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4F2" w:rsidRPr="001A3D2B" w:rsidRDefault="003474F2" w:rsidP="003474F2">
      <w:pPr>
        <w:pStyle w:val="a3"/>
        <w:jc w:val="center"/>
        <w:rPr>
          <w:sz w:val="52"/>
        </w:rPr>
      </w:pPr>
      <w:r w:rsidRPr="001A3D2B">
        <w:rPr>
          <w:sz w:val="52"/>
        </w:rPr>
        <w:t>Personal Research Database</w:t>
      </w:r>
      <w:r w:rsidR="00BA438D">
        <w:rPr>
          <w:rFonts w:hint="eastAsia"/>
          <w:sz w:val="52"/>
        </w:rPr>
        <w:t>t</w:t>
      </w:r>
    </w:p>
    <w:p w:rsidR="003474F2" w:rsidRPr="001A3D2B" w:rsidRDefault="003474F2" w:rsidP="003474F2">
      <w:pPr>
        <w:pStyle w:val="a3"/>
        <w:jc w:val="center"/>
        <w:rPr>
          <w:sz w:val="52"/>
        </w:rPr>
      </w:pPr>
      <w:r w:rsidRPr="001A3D2B">
        <w:rPr>
          <w:sz w:val="52"/>
        </w:rPr>
        <w:t>Bibliometric</w:t>
      </w:r>
    </w:p>
    <w:p w:rsidR="003474F2" w:rsidRPr="001A3D2B" w:rsidRDefault="003474F2" w:rsidP="003474F2">
      <w:pPr>
        <w:pStyle w:val="a3"/>
        <w:jc w:val="center"/>
        <w:rPr>
          <w:sz w:val="52"/>
        </w:rPr>
      </w:pPr>
      <w:r w:rsidRPr="001A3D2B">
        <w:rPr>
          <w:sz w:val="52"/>
        </w:rPr>
        <w:t xml:space="preserve">Part I: A to </w:t>
      </w:r>
      <w:r w:rsidR="00655AED">
        <w:rPr>
          <w:rFonts w:hint="eastAsia"/>
          <w:sz w:val="52"/>
        </w:rPr>
        <w:t>B</w:t>
      </w:r>
    </w:p>
    <w:p w:rsidR="003474F2" w:rsidRPr="001A3D2B" w:rsidRDefault="003474F2" w:rsidP="003474F2">
      <w:pPr>
        <w:pStyle w:val="a3"/>
        <w:jc w:val="center"/>
        <w:rPr>
          <w:sz w:val="36"/>
        </w:rPr>
      </w:pPr>
      <w:r w:rsidRPr="001A3D2B">
        <w:rPr>
          <w:sz w:val="36"/>
        </w:rPr>
        <w:t>By</w:t>
      </w:r>
    </w:p>
    <w:p w:rsidR="003474F2" w:rsidRPr="001A3D2B" w:rsidRDefault="003474F2" w:rsidP="003474F2">
      <w:pPr>
        <w:pStyle w:val="a3"/>
        <w:jc w:val="center"/>
        <w:rPr>
          <w:sz w:val="36"/>
        </w:rPr>
      </w:pPr>
      <w:r w:rsidRPr="001A3D2B">
        <w:rPr>
          <w:sz w:val="36"/>
        </w:rPr>
        <w:t>Prof. Yuh-Shan Ho</w:t>
      </w:r>
    </w:p>
    <w:p w:rsidR="00D5664A" w:rsidRPr="00FC7835" w:rsidRDefault="00D5664A" w:rsidP="00D5664A">
      <w:pPr>
        <w:pStyle w:val="a3"/>
        <w:jc w:val="center"/>
        <w:rPr>
          <w:sz w:val="32"/>
        </w:rPr>
      </w:pPr>
      <w:r w:rsidRPr="00FC7835">
        <w:rPr>
          <w:sz w:val="32"/>
          <w:szCs w:val="32"/>
        </w:rPr>
        <w:t xml:space="preserve">Last data updates: </w:t>
      </w:r>
      <w:r w:rsidR="001D5A6F">
        <w:rPr>
          <w:rFonts w:hint="eastAsia"/>
          <w:sz w:val="32"/>
        </w:rPr>
        <w:t>29</w:t>
      </w:r>
      <w:r>
        <w:rPr>
          <w:rFonts w:hint="eastAsia"/>
          <w:sz w:val="32"/>
        </w:rPr>
        <w:t>/</w:t>
      </w:r>
      <w:r w:rsidR="007A52CA">
        <w:rPr>
          <w:rFonts w:hint="eastAsia"/>
          <w:sz w:val="32"/>
        </w:rPr>
        <w:t>0</w:t>
      </w:r>
      <w:r w:rsidR="001D5A6F">
        <w:rPr>
          <w:rFonts w:hint="eastAsia"/>
          <w:sz w:val="32"/>
        </w:rPr>
        <w:t>5</w:t>
      </w:r>
      <w:r>
        <w:rPr>
          <w:rFonts w:hint="eastAsia"/>
          <w:sz w:val="32"/>
        </w:rPr>
        <w:t>/1</w:t>
      </w:r>
      <w:r w:rsidR="007A52CA">
        <w:rPr>
          <w:rFonts w:hint="eastAsia"/>
          <w:sz w:val="32"/>
        </w:rPr>
        <w:t>5</w:t>
      </w:r>
    </w:p>
    <w:p w:rsidR="003474F2" w:rsidRPr="00D5664A" w:rsidRDefault="003474F2" w:rsidP="003474F2">
      <w:pPr>
        <w:pStyle w:val="a3"/>
        <w:sectPr w:rsidR="003474F2" w:rsidRPr="00D5664A" w:rsidSect="003474F2">
          <w:pgSz w:w="11907" w:h="16834" w:code="9"/>
          <w:pgMar w:top="1418" w:right="1701" w:bottom="1418" w:left="1701" w:header="720" w:footer="720" w:gutter="0"/>
          <w:cols w:space="720"/>
          <w:docGrid w:linePitch="326"/>
        </w:sectPr>
      </w:pPr>
    </w:p>
    <w:p w:rsidR="003474F2" w:rsidRPr="001A3D2B" w:rsidRDefault="003474F2" w:rsidP="003474F2">
      <w:pPr>
        <w:pStyle w:val="a3"/>
      </w:pPr>
      <w:r w:rsidRPr="001A3D2B">
        <w:lastRenderedPageBreak/>
        <w:t>#: in processing</w:t>
      </w:r>
      <w:r w:rsidR="00427468">
        <w:t xml:space="preserve"> of </w:t>
      </w:r>
      <w:r w:rsidRPr="001A3D2B">
        <w:t>inter-library loan</w:t>
      </w:r>
    </w:p>
    <w:p w:rsidR="003474F2" w:rsidRPr="001A3D2B" w:rsidRDefault="003474F2" w:rsidP="003474F2">
      <w:pPr>
        <w:pStyle w:val="a3"/>
      </w:pPr>
      <w:r w:rsidRPr="001A3D2B">
        <w:t>?: has not asked for inter-library loan yet</w:t>
      </w:r>
    </w:p>
    <w:p w:rsidR="003474F2" w:rsidRPr="001A3D2B" w:rsidRDefault="003474F2" w:rsidP="003474F2">
      <w:pPr>
        <w:pStyle w:val="a3"/>
      </w:pPr>
      <w:r w:rsidRPr="001A3D2B">
        <w:t>??: questions</w:t>
      </w:r>
    </w:p>
    <w:p w:rsidR="003474F2" w:rsidRPr="001A3D2B" w:rsidRDefault="003474F2" w:rsidP="003474F2">
      <w:pPr>
        <w:pStyle w:val="a3"/>
      </w:pPr>
    </w:p>
    <w:p w:rsidR="004F2BF8" w:rsidRDefault="004F2BF8">
      <w:pPr>
        <w:pStyle w:val="11"/>
        <w:tabs>
          <w:tab w:val="right" w:leader="dot" w:pos="8494"/>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20814226" w:history="1">
        <w:r w:rsidRPr="002F4868">
          <w:rPr>
            <w:rStyle w:val="a5"/>
            <w:noProof/>
            <w:lang w:val="de-DE"/>
          </w:rPr>
          <w:t>Title: AAA-Arbeiten aus Anglistik und Amerikanistik</w:t>
        </w:r>
        <w:r>
          <w:rPr>
            <w:noProof/>
            <w:webHidden/>
          </w:rPr>
          <w:tab/>
        </w:r>
        <w:r>
          <w:rPr>
            <w:noProof/>
            <w:webHidden/>
          </w:rPr>
          <w:fldChar w:fldCharType="begin"/>
        </w:r>
        <w:r>
          <w:rPr>
            <w:noProof/>
            <w:webHidden/>
          </w:rPr>
          <w:instrText xml:space="preserve"> PAGEREF _Toc420814226 \h </w:instrText>
        </w:r>
        <w:r>
          <w:rPr>
            <w:noProof/>
            <w:webHidden/>
          </w:rPr>
        </w:r>
        <w:r>
          <w:rPr>
            <w:noProof/>
            <w:webHidden/>
          </w:rPr>
          <w:fldChar w:fldCharType="separate"/>
        </w:r>
        <w:r>
          <w:rPr>
            <w:noProof/>
            <w:webHidden/>
          </w:rPr>
          <w:t>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27" w:history="1">
        <w:r w:rsidRPr="002F4868">
          <w:rPr>
            <w:rStyle w:val="a5"/>
            <w:noProof/>
          </w:rPr>
          <w:t>Title: Abacus-A Journal of Accounting and Business Studies</w:t>
        </w:r>
        <w:r>
          <w:rPr>
            <w:noProof/>
            <w:webHidden/>
          </w:rPr>
          <w:tab/>
        </w:r>
        <w:r>
          <w:rPr>
            <w:noProof/>
            <w:webHidden/>
          </w:rPr>
          <w:fldChar w:fldCharType="begin"/>
        </w:r>
        <w:r>
          <w:rPr>
            <w:noProof/>
            <w:webHidden/>
          </w:rPr>
          <w:instrText xml:space="preserve"> PAGEREF _Toc420814227 \h </w:instrText>
        </w:r>
        <w:r>
          <w:rPr>
            <w:noProof/>
            <w:webHidden/>
          </w:rPr>
        </w:r>
        <w:r>
          <w:rPr>
            <w:noProof/>
            <w:webHidden/>
          </w:rPr>
          <w:fldChar w:fldCharType="separate"/>
        </w:r>
        <w:r>
          <w:rPr>
            <w:noProof/>
            <w:webHidden/>
          </w:rPr>
          <w:t>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28" w:history="1">
        <w:r w:rsidRPr="002F4868">
          <w:rPr>
            <w:rStyle w:val="a5"/>
            <w:noProof/>
          </w:rPr>
          <w:t>Title: Abstracts of Papers of the American Chemical Society</w:t>
        </w:r>
        <w:r>
          <w:rPr>
            <w:noProof/>
            <w:webHidden/>
          </w:rPr>
          <w:tab/>
        </w:r>
        <w:r>
          <w:rPr>
            <w:noProof/>
            <w:webHidden/>
          </w:rPr>
          <w:fldChar w:fldCharType="begin"/>
        </w:r>
        <w:r>
          <w:rPr>
            <w:noProof/>
            <w:webHidden/>
          </w:rPr>
          <w:instrText xml:space="preserve"> PAGEREF _Toc420814228 \h </w:instrText>
        </w:r>
        <w:r>
          <w:rPr>
            <w:noProof/>
            <w:webHidden/>
          </w:rPr>
        </w:r>
        <w:r>
          <w:rPr>
            <w:noProof/>
            <w:webHidden/>
          </w:rPr>
          <w:fldChar w:fldCharType="separate"/>
        </w:r>
        <w:r>
          <w:rPr>
            <w:noProof/>
            <w:webHidden/>
          </w:rPr>
          <w:t>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29" w:history="1">
        <w:r w:rsidRPr="002F4868">
          <w:rPr>
            <w:rStyle w:val="a5"/>
            <w:noProof/>
          </w:rPr>
          <w:t>Title: Academia-Revista Latinoamericana de Administracion</w:t>
        </w:r>
        <w:r>
          <w:rPr>
            <w:noProof/>
            <w:webHidden/>
          </w:rPr>
          <w:tab/>
        </w:r>
        <w:r>
          <w:rPr>
            <w:noProof/>
            <w:webHidden/>
          </w:rPr>
          <w:fldChar w:fldCharType="begin"/>
        </w:r>
        <w:r>
          <w:rPr>
            <w:noProof/>
            <w:webHidden/>
          </w:rPr>
          <w:instrText xml:space="preserve"> PAGEREF _Toc420814229 \h </w:instrText>
        </w:r>
        <w:r>
          <w:rPr>
            <w:noProof/>
            <w:webHidden/>
          </w:rPr>
        </w:r>
        <w:r>
          <w:rPr>
            <w:noProof/>
            <w:webHidden/>
          </w:rPr>
          <w:fldChar w:fldCharType="separate"/>
        </w:r>
        <w:r>
          <w:rPr>
            <w:noProof/>
            <w:webHidden/>
          </w:rPr>
          <w:t>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0" w:history="1">
        <w:r w:rsidRPr="002F4868">
          <w:rPr>
            <w:rStyle w:val="a5"/>
            <w:noProof/>
          </w:rPr>
          <w:t>Title: Academic Emergency Medicine</w:t>
        </w:r>
        <w:r>
          <w:rPr>
            <w:noProof/>
            <w:webHidden/>
          </w:rPr>
          <w:tab/>
        </w:r>
        <w:r>
          <w:rPr>
            <w:noProof/>
            <w:webHidden/>
          </w:rPr>
          <w:fldChar w:fldCharType="begin"/>
        </w:r>
        <w:r>
          <w:rPr>
            <w:noProof/>
            <w:webHidden/>
          </w:rPr>
          <w:instrText xml:space="preserve"> PAGEREF _Toc420814230 \h </w:instrText>
        </w:r>
        <w:r>
          <w:rPr>
            <w:noProof/>
            <w:webHidden/>
          </w:rPr>
        </w:r>
        <w:r>
          <w:rPr>
            <w:noProof/>
            <w:webHidden/>
          </w:rPr>
          <w:fldChar w:fldCharType="separate"/>
        </w:r>
        <w:r>
          <w:rPr>
            <w:noProof/>
            <w:webHidden/>
          </w:rPr>
          <w:t>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1" w:history="1">
        <w:r w:rsidRPr="002F4868">
          <w:rPr>
            <w:rStyle w:val="a5"/>
            <w:noProof/>
          </w:rPr>
          <w:t>Title: Academic Medicine</w:t>
        </w:r>
        <w:r>
          <w:rPr>
            <w:noProof/>
            <w:webHidden/>
          </w:rPr>
          <w:tab/>
        </w:r>
        <w:r>
          <w:rPr>
            <w:noProof/>
            <w:webHidden/>
          </w:rPr>
          <w:fldChar w:fldCharType="begin"/>
        </w:r>
        <w:r>
          <w:rPr>
            <w:noProof/>
            <w:webHidden/>
          </w:rPr>
          <w:instrText xml:space="preserve"> PAGEREF _Toc420814231 \h </w:instrText>
        </w:r>
        <w:r>
          <w:rPr>
            <w:noProof/>
            <w:webHidden/>
          </w:rPr>
        </w:r>
        <w:r>
          <w:rPr>
            <w:noProof/>
            <w:webHidden/>
          </w:rPr>
          <w:fldChar w:fldCharType="separate"/>
        </w:r>
        <w:r>
          <w:rPr>
            <w:noProof/>
            <w:webHidden/>
          </w:rPr>
          <w:t>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2" w:history="1">
        <w:r w:rsidRPr="002F4868">
          <w:rPr>
            <w:rStyle w:val="a5"/>
            <w:noProof/>
          </w:rPr>
          <w:t>Title: Academic Pediatrics</w:t>
        </w:r>
        <w:r>
          <w:rPr>
            <w:noProof/>
            <w:webHidden/>
          </w:rPr>
          <w:tab/>
        </w:r>
        <w:r>
          <w:rPr>
            <w:noProof/>
            <w:webHidden/>
          </w:rPr>
          <w:fldChar w:fldCharType="begin"/>
        </w:r>
        <w:r>
          <w:rPr>
            <w:noProof/>
            <w:webHidden/>
          </w:rPr>
          <w:instrText xml:space="preserve"> PAGEREF _Toc420814232 \h </w:instrText>
        </w:r>
        <w:r>
          <w:rPr>
            <w:noProof/>
            <w:webHidden/>
          </w:rPr>
        </w:r>
        <w:r>
          <w:rPr>
            <w:noProof/>
            <w:webHidden/>
          </w:rPr>
          <w:fldChar w:fldCharType="separate"/>
        </w:r>
        <w:r>
          <w:rPr>
            <w:noProof/>
            <w:webHidden/>
          </w:rPr>
          <w:t>28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3" w:history="1">
        <w:r w:rsidRPr="002F4868">
          <w:rPr>
            <w:rStyle w:val="a5"/>
            <w:noProof/>
          </w:rPr>
          <w:t>Title: Academic Psychiatry</w:t>
        </w:r>
        <w:r>
          <w:rPr>
            <w:noProof/>
            <w:webHidden/>
          </w:rPr>
          <w:tab/>
        </w:r>
        <w:r>
          <w:rPr>
            <w:noProof/>
            <w:webHidden/>
          </w:rPr>
          <w:fldChar w:fldCharType="begin"/>
        </w:r>
        <w:r>
          <w:rPr>
            <w:noProof/>
            <w:webHidden/>
          </w:rPr>
          <w:instrText xml:space="preserve"> PAGEREF _Toc420814233 \h </w:instrText>
        </w:r>
        <w:r>
          <w:rPr>
            <w:noProof/>
            <w:webHidden/>
          </w:rPr>
        </w:r>
        <w:r>
          <w:rPr>
            <w:noProof/>
            <w:webHidden/>
          </w:rPr>
          <w:fldChar w:fldCharType="separate"/>
        </w:r>
        <w:r>
          <w:rPr>
            <w:noProof/>
            <w:webHidden/>
          </w:rPr>
          <w:t>30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4" w:history="1">
        <w:r w:rsidRPr="002F4868">
          <w:rPr>
            <w:rStyle w:val="a5"/>
            <w:noProof/>
          </w:rPr>
          <w:t>Title: Academic Radiology</w:t>
        </w:r>
        <w:r>
          <w:rPr>
            <w:noProof/>
            <w:webHidden/>
          </w:rPr>
          <w:tab/>
        </w:r>
        <w:r>
          <w:rPr>
            <w:noProof/>
            <w:webHidden/>
          </w:rPr>
          <w:fldChar w:fldCharType="begin"/>
        </w:r>
        <w:r>
          <w:rPr>
            <w:noProof/>
            <w:webHidden/>
          </w:rPr>
          <w:instrText xml:space="preserve"> PAGEREF _Toc420814234 \h </w:instrText>
        </w:r>
        <w:r>
          <w:rPr>
            <w:noProof/>
            <w:webHidden/>
          </w:rPr>
        </w:r>
        <w:r>
          <w:rPr>
            <w:noProof/>
            <w:webHidden/>
          </w:rPr>
          <w:fldChar w:fldCharType="separate"/>
        </w:r>
        <w:r>
          <w:rPr>
            <w:noProof/>
            <w:webHidden/>
          </w:rPr>
          <w:t>33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5" w:history="1">
        <w:r w:rsidRPr="002F4868">
          <w:rPr>
            <w:rStyle w:val="a5"/>
            <w:noProof/>
          </w:rPr>
          <w:t>Title: Academy of Management Journal</w:t>
        </w:r>
        <w:r>
          <w:rPr>
            <w:noProof/>
            <w:webHidden/>
          </w:rPr>
          <w:tab/>
        </w:r>
        <w:r>
          <w:rPr>
            <w:noProof/>
            <w:webHidden/>
          </w:rPr>
          <w:fldChar w:fldCharType="begin"/>
        </w:r>
        <w:r>
          <w:rPr>
            <w:noProof/>
            <w:webHidden/>
          </w:rPr>
          <w:instrText xml:space="preserve"> PAGEREF _Toc420814235 \h </w:instrText>
        </w:r>
        <w:r>
          <w:rPr>
            <w:noProof/>
            <w:webHidden/>
          </w:rPr>
        </w:r>
        <w:r>
          <w:rPr>
            <w:noProof/>
            <w:webHidden/>
          </w:rPr>
          <w:fldChar w:fldCharType="separate"/>
        </w:r>
        <w:r>
          <w:rPr>
            <w:noProof/>
            <w:webHidden/>
          </w:rPr>
          <w:t>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6" w:history="1">
        <w:r w:rsidRPr="002F4868">
          <w:rPr>
            <w:rStyle w:val="a5"/>
            <w:noProof/>
          </w:rPr>
          <w:t>Title: Academy of Management Learning &amp; Education</w:t>
        </w:r>
        <w:r>
          <w:rPr>
            <w:noProof/>
            <w:webHidden/>
          </w:rPr>
          <w:tab/>
        </w:r>
        <w:r>
          <w:rPr>
            <w:noProof/>
            <w:webHidden/>
          </w:rPr>
          <w:fldChar w:fldCharType="begin"/>
        </w:r>
        <w:r>
          <w:rPr>
            <w:noProof/>
            <w:webHidden/>
          </w:rPr>
          <w:instrText xml:space="preserve"> PAGEREF _Toc420814236 \h </w:instrText>
        </w:r>
        <w:r>
          <w:rPr>
            <w:noProof/>
            <w:webHidden/>
          </w:rPr>
        </w:r>
        <w:r>
          <w:rPr>
            <w:noProof/>
            <w:webHidden/>
          </w:rPr>
          <w:fldChar w:fldCharType="separate"/>
        </w:r>
        <w:r>
          <w:rPr>
            <w:noProof/>
            <w:webHidden/>
          </w:rPr>
          <w:t>39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7" w:history="1">
        <w:r w:rsidRPr="002F4868">
          <w:rPr>
            <w:rStyle w:val="a5"/>
            <w:noProof/>
          </w:rPr>
          <w:t>Title: Accident Analysis and Prevention</w:t>
        </w:r>
        <w:r>
          <w:rPr>
            <w:noProof/>
            <w:webHidden/>
          </w:rPr>
          <w:tab/>
        </w:r>
        <w:r>
          <w:rPr>
            <w:noProof/>
            <w:webHidden/>
          </w:rPr>
          <w:fldChar w:fldCharType="begin"/>
        </w:r>
        <w:r>
          <w:rPr>
            <w:noProof/>
            <w:webHidden/>
          </w:rPr>
          <w:instrText xml:space="preserve"> PAGEREF _Toc420814237 \h </w:instrText>
        </w:r>
        <w:r>
          <w:rPr>
            <w:noProof/>
            <w:webHidden/>
          </w:rPr>
        </w:r>
        <w:r>
          <w:rPr>
            <w:noProof/>
            <w:webHidden/>
          </w:rPr>
          <w:fldChar w:fldCharType="separate"/>
        </w:r>
        <w:r>
          <w:rPr>
            <w:noProof/>
            <w:webHidden/>
          </w:rPr>
          <w:t>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8" w:history="1">
        <w:r w:rsidRPr="002F4868">
          <w:rPr>
            <w:rStyle w:val="a5"/>
            <w:noProof/>
          </w:rPr>
          <w:t>Title: Accountability in Research-Policies and Quality Assurance</w:t>
        </w:r>
        <w:r>
          <w:rPr>
            <w:noProof/>
            <w:webHidden/>
          </w:rPr>
          <w:tab/>
        </w:r>
        <w:r>
          <w:rPr>
            <w:noProof/>
            <w:webHidden/>
          </w:rPr>
          <w:fldChar w:fldCharType="begin"/>
        </w:r>
        <w:r>
          <w:rPr>
            <w:noProof/>
            <w:webHidden/>
          </w:rPr>
          <w:instrText xml:space="preserve"> PAGEREF _Toc420814238 \h </w:instrText>
        </w:r>
        <w:r>
          <w:rPr>
            <w:noProof/>
            <w:webHidden/>
          </w:rPr>
        </w:r>
        <w:r>
          <w:rPr>
            <w:noProof/>
            <w:webHidden/>
          </w:rPr>
          <w:fldChar w:fldCharType="separate"/>
        </w:r>
        <w:r>
          <w:rPr>
            <w:noProof/>
            <w:webHidden/>
          </w:rPr>
          <w:t>44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39" w:history="1">
        <w:r w:rsidRPr="002F4868">
          <w:rPr>
            <w:rStyle w:val="a5"/>
            <w:noProof/>
          </w:rPr>
          <w:t>Title: Accounting, Business and Financial History</w:t>
        </w:r>
        <w:r>
          <w:rPr>
            <w:noProof/>
            <w:webHidden/>
          </w:rPr>
          <w:tab/>
        </w:r>
        <w:r>
          <w:rPr>
            <w:noProof/>
            <w:webHidden/>
          </w:rPr>
          <w:fldChar w:fldCharType="begin"/>
        </w:r>
        <w:r>
          <w:rPr>
            <w:noProof/>
            <w:webHidden/>
          </w:rPr>
          <w:instrText xml:space="preserve"> PAGEREF _Toc420814239 \h </w:instrText>
        </w:r>
        <w:r>
          <w:rPr>
            <w:noProof/>
            <w:webHidden/>
          </w:rPr>
        </w:r>
        <w:r>
          <w:rPr>
            <w:noProof/>
            <w:webHidden/>
          </w:rPr>
          <w:fldChar w:fldCharType="separate"/>
        </w:r>
        <w:r>
          <w:rPr>
            <w:noProof/>
            <w:webHidden/>
          </w:rPr>
          <w:t>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0" w:history="1">
        <w:r w:rsidRPr="002F4868">
          <w:rPr>
            <w:rStyle w:val="a5"/>
            <w:noProof/>
          </w:rPr>
          <w:t>Title: Accounting Organizations and Society</w:t>
        </w:r>
        <w:r>
          <w:rPr>
            <w:noProof/>
            <w:webHidden/>
          </w:rPr>
          <w:tab/>
        </w:r>
        <w:r>
          <w:rPr>
            <w:noProof/>
            <w:webHidden/>
          </w:rPr>
          <w:fldChar w:fldCharType="begin"/>
        </w:r>
        <w:r>
          <w:rPr>
            <w:noProof/>
            <w:webHidden/>
          </w:rPr>
          <w:instrText xml:space="preserve"> PAGEREF _Toc420814240 \h </w:instrText>
        </w:r>
        <w:r>
          <w:rPr>
            <w:noProof/>
            <w:webHidden/>
          </w:rPr>
        </w:r>
        <w:r>
          <w:rPr>
            <w:noProof/>
            <w:webHidden/>
          </w:rPr>
          <w:fldChar w:fldCharType="separate"/>
        </w:r>
        <w:r>
          <w:rPr>
            <w:noProof/>
            <w:webHidden/>
          </w:rPr>
          <w:t>49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1" w:history="1">
        <w:r w:rsidRPr="002F4868">
          <w:rPr>
            <w:rStyle w:val="a5"/>
            <w:noProof/>
          </w:rPr>
          <w:t>Title: Accounts of Chemical Research</w:t>
        </w:r>
        <w:r>
          <w:rPr>
            <w:noProof/>
            <w:webHidden/>
          </w:rPr>
          <w:tab/>
        </w:r>
        <w:r>
          <w:rPr>
            <w:noProof/>
            <w:webHidden/>
          </w:rPr>
          <w:fldChar w:fldCharType="begin"/>
        </w:r>
        <w:r>
          <w:rPr>
            <w:noProof/>
            <w:webHidden/>
          </w:rPr>
          <w:instrText xml:space="preserve"> PAGEREF _Toc420814241 \h </w:instrText>
        </w:r>
        <w:r>
          <w:rPr>
            <w:noProof/>
            <w:webHidden/>
          </w:rPr>
        </w:r>
        <w:r>
          <w:rPr>
            <w:noProof/>
            <w:webHidden/>
          </w:rPr>
          <w:fldChar w:fldCharType="separate"/>
        </w:r>
        <w:r>
          <w:rPr>
            <w:noProof/>
            <w:webHidden/>
          </w:rPr>
          <w:t>50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2" w:history="1">
        <w:r w:rsidRPr="002F4868">
          <w:rPr>
            <w:rStyle w:val="a5"/>
            <w:noProof/>
          </w:rPr>
          <w:t>Title: ACIMED</w:t>
        </w:r>
        <w:r>
          <w:rPr>
            <w:noProof/>
            <w:webHidden/>
          </w:rPr>
          <w:tab/>
        </w:r>
        <w:r>
          <w:rPr>
            <w:noProof/>
            <w:webHidden/>
          </w:rPr>
          <w:fldChar w:fldCharType="begin"/>
        </w:r>
        <w:r>
          <w:rPr>
            <w:noProof/>
            <w:webHidden/>
          </w:rPr>
          <w:instrText xml:space="preserve"> PAGEREF _Toc420814242 \h </w:instrText>
        </w:r>
        <w:r>
          <w:rPr>
            <w:noProof/>
            <w:webHidden/>
          </w:rPr>
        </w:r>
        <w:r>
          <w:rPr>
            <w:noProof/>
            <w:webHidden/>
          </w:rPr>
          <w:fldChar w:fldCharType="separate"/>
        </w:r>
        <w:r>
          <w:rPr>
            <w:noProof/>
            <w:webHidden/>
          </w:rPr>
          <w:t>51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3" w:history="1">
        <w:r w:rsidRPr="002F4868">
          <w:rPr>
            <w:rStyle w:val="a5"/>
            <w:noProof/>
          </w:rPr>
          <w:t>Title: ACS NANO</w:t>
        </w:r>
        <w:r>
          <w:rPr>
            <w:noProof/>
            <w:webHidden/>
          </w:rPr>
          <w:tab/>
        </w:r>
        <w:r>
          <w:rPr>
            <w:noProof/>
            <w:webHidden/>
          </w:rPr>
          <w:fldChar w:fldCharType="begin"/>
        </w:r>
        <w:r>
          <w:rPr>
            <w:noProof/>
            <w:webHidden/>
          </w:rPr>
          <w:instrText xml:space="preserve"> PAGEREF _Toc420814243 \h </w:instrText>
        </w:r>
        <w:r>
          <w:rPr>
            <w:noProof/>
            <w:webHidden/>
          </w:rPr>
        </w:r>
        <w:r>
          <w:rPr>
            <w:noProof/>
            <w:webHidden/>
          </w:rPr>
          <w:fldChar w:fldCharType="separate"/>
        </w:r>
        <w:r>
          <w:rPr>
            <w:noProof/>
            <w:webHidden/>
          </w:rPr>
          <w:t>57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4" w:history="1">
        <w:r w:rsidRPr="002F4868">
          <w:rPr>
            <w:rStyle w:val="a5"/>
            <w:noProof/>
          </w:rPr>
          <w:t>Title: Acta Agriculturae Zhejiangensis</w:t>
        </w:r>
        <w:r>
          <w:rPr>
            <w:noProof/>
            <w:webHidden/>
          </w:rPr>
          <w:tab/>
        </w:r>
        <w:r>
          <w:rPr>
            <w:noProof/>
            <w:webHidden/>
          </w:rPr>
          <w:fldChar w:fldCharType="begin"/>
        </w:r>
        <w:r>
          <w:rPr>
            <w:noProof/>
            <w:webHidden/>
          </w:rPr>
          <w:instrText xml:space="preserve"> PAGEREF _Toc420814244 \h </w:instrText>
        </w:r>
        <w:r>
          <w:rPr>
            <w:noProof/>
            <w:webHidden/>
          </w:rPr>
        </w:r>
        <w:r>
          <w:rPr>
            <w:noProof/>
            <w:webHidden/>
          </w:rPr>
          <w:fldChar w:fldCharType="separate"/>
        </w:r>
        <w:r>
          <w:rPr>
            <w:noProof/>
            <w:webHidden/>
          </w:rPr>
          <w:t>58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5" w:history="1">
        <w:r w:rsidRPr="002F4868">
          <w:rPr>
            <w:rStyle w:val="a5"/>
            <w:noProof/>
          </w:rPr>
          <w:t>Title: Acta Agriculturae Zhejiangensis</w:t>
        </w:r>
        <w:r>
          <w:rPr>
            <w:noProof/>
            <w:webHidden/>
          </w:rPr>
          <w:tab/>
        </w:r>
        <w:r>
          <w:rPr>
            <w:noProof/>
            <w:webHidden/>
          </w:rPr>
          <w:fldChar w:fldCharType="begin"/>
        </w:r>
        <w:r>
          <w:rPr>
            <w:noProof/>
            <w:webHidden/>
          </w:rPr>
          <w:instrText xml:space="preserve"> PAGEREF _Toc420814245 \h </w:instrText>
        </w:r>
        <w:r>
          <w:rPr>
            <w:noProof/>
            <w:webHidden/>
          </w:rPr>
        </w:r>
        <w:r>
          <w:rPr>
            <w:noProof/>
            <w:webHidden/>
          </w:rPr>
          <w:fldChar w:fldCharType="separate"/>
        </w:r>
        <w:r>
          <w:rPr>
            <w:noProof/>
            <w:webHidden/>
          </w:rPr>
          <w:t>60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6" w:history="1">
        <w:r w:rsidRPr="002F4868">
          <w:rPr>
            <w:rStyle w:val="a5"/>
            <w:noProof/>
          </w:rPr>
          <w:t>Title: Acta Anaesthesiologica Scandinavica</w:t>
        </w:r>
        <w:r>
          <w:rPr>
            <w:noProof/>
            <w:webHidden/>
          </w:rPr>
          <w:tab/>
        </w:r>
        <w:r>
          <w:rPr>
            <w:noProof/>
            <w:webHidden/>
          </w:rPr>
          <w:fldChar w:fldCharType="begin"/>
        </w:r>
        <w:r>
          <w:rPr>
            <w:noProof/>
            <w:webHidden/>
          </w:rPr>
          <w:instrText xml:space="preserve"> PAGEREF _Toc420814246 \h </w:instrText>
        </w:r>
        <w:r>
          <w:rPr>
            <w:noProof/>
            <w:webHidden/>
          </w:rPr>
        </w:r>
        <w:r>
          <w:rPr>
            <w:noProof/>
            <w:webHidden/>
          </w:rPr>
          <w:fldChar w:fldCharType="separate"/>
        </w:r>
        <w:r>
          <w:rPr>
            <w:noProof/>
            <w:webHidden/>
          </w:rPr>
          <w:t>61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7" w:history="1">
        <w:r w:rsidRPr="002F4868">
          <w:rPr>
            <w:rStyle w:val="a5"/>
            <w:noProof/>
          </w:rPr>
          <w:t>Title: Acta Anatomica Sinica</w:t>
        </w:r>
        <w:r>
          <w:rPr>
            <w:noProof/>
            <w:webHidden/>
          </w:rPr>
          <w:tab/>
        </w:r>
        <w:r>
          <w:rPr>
            <w:noProof/>
            <w:webHidden/>
          </w:rPr>
          <w:fldChar w:fldCharType="begin"/>
        </w:r>
        <w:r>
          <w:rPr>
            <w:noProof/>
            <w:webHidden/>
          </w:rPr>
          <w:instrText xml:space="preserve"> PAGEREF _Toc420814247 \h </w:instrText>
        </w:r>
        <w:r>
          <w:rPr>
            <w:noProof/>
            <w:webHidden/>
          </w:rPr>
        </w:r>
        <w:r>
          <w:rPr>
            <w:noProof/>
            <w:webHidden/>
          </w:rPr>
          <w:fldChar w:fldCharType="separate"/>
        </w:r>
        <w:r>
          <w:rPr>
            <w:noProof/>
            <w:webHidden/>
          </w:rPr>
          <w:t>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8" w:history="1">
        <w:r w:rsidRPr="002F4868">
          <w:rPr>
            <w:rStyle w:val="a5"/>
            <w:noProof/>
          </w:rPr>
          <w:t>Title: Acta Arachnologica Sinica</w:t>
        </w:r>
        <w:r>
          <w:rPr>
            <w:noProof/>
            <w:webHidden/>
          </w:rPr>
          <w:tab/>
        </w:r>
        <w:r>
          <w:rPr>
            <w:noProof/>
            <w:webHidden/>
          </w:rPr>
          <w:fldChar w:fldCharType="begin"/>
        </w:r>
        <w:r>
          <w:rPr>
            <w:noProof/>
            <w:webHidden/>
          </w:rPr>
          <w:instrText xml:space="preserve"> PAGEREF _Toc420814248 \h </w:instrText>
        </w:r>
        <w:r>
          <w:rPr>
            <w:noProof/>
            <w:webHidden/>
          </w:rPr>
        </w:r>
        <w:r>
          <w:rPr>
            <w:noProof/>
            <w:webHidden/>
          </w:rPr>
          <w:fldChar w:fldCharType="separate"/>
        </w:r>
        <w:r>
          <w:rPr>
            <w:noProof/>
            <w:webHidden/>
          </w:rPr>
          <w:t>71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49" w:history="1">
        <w:r w:rsidRPr="002F4868">
          <w:rPr>
            <w:rStyle w:val="a5"/>
            <w:noProof/>
          </w:rPr>
          <w:t>Title: Acta Bioethica</w:t>
        </w:r>
        <w:r>
          <w:rPr>
            <w:noProof/>
            <w:webHidden/>
          </w:rPr>
          <w:tab/>
        </w:r>
        <w:r>
          <w:rPr>
            <w:noProof/>
            <w:webHidden/>
          </w:rPr>
          <w:fldChar w:fldCharType="begin"/>
        </w:r>
        <w:r>
          <w:rPr>
            <w:noProof/>
            <w:webHidden/>
          </w:rPr>
          <w:instrText xml:space="preserve"> PAGEREF _Toc420814249 \h </w:instrText>
        </w:r>
        <w:r>
          <w:rPr>
            <w:noProof/>
            <w:webHidden/>
          </w:rPr>
        </w:r>
        <w:r>
          <w:rPr>
            <w:noProof/>
            <w:webHidden/>
          </w:rPr>
          <w:fldChar w:fldCharType="separate"/>
        </w:r>
        <w:r>
          <w:rPr>
            <w:noProof/>
            <w:webHidden/>
          </w:rPr>
          <w:t>72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0" w:history="1">
        <w:r w:rsidRPr="002F4868">
          <w:rPr>
            <w:rStyle w:val="a5"/>
            <w:noProof/>
          </w:rPr>
          <w:t>Title: Acta Botanica Brasilica</w:t>
        </w:r>
        <w:r>
          <w:rPr>
            <w:noProof/>
            <w:webHidden/>
          </w:rPr>
          <w:tab/>
        </w:r>
        <w:r>
          <w:rPr>
            <w:noProof/>
            <w:webHidden/>
          </w:rPr>
          <w:fldChar w:fldCharType="begin"/>
        </w:r>
        <w:r>
          <w:rPr>
            <w:noProof/>
            <w:webHidden/>
          </w:rPr>
          <w:instrText xml:space="preserve"> PAGEREF _Toc420814250 \h </w:instrText>
        </w:r>
        <w:r>
          <w:rPr>
            <w:noProof/>
            <w:webHidden/>
          </w:rPr>
        </w:r>
        <w:r>
          <w:rPr>
            <w:noProof/>
            <w:webHidden/>
          </w:rPr>
          <w:fldChar w:fldCharType="separate"/>
        </w:r>
        <w:r>
          <w:rPr>
            <w:noProof/>
            <w:webHidden/>
          </w:rPr>
          <w:t>74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1" w:history="1">
        <w:r w:rsidRPr="002F4868">
          <w:rPr>
            <w:rStyle w:val="a5"/>
            <w:noProof/>
          </w:rPr>
          <w:t>Title: Acta Botanica Croatica</w:t>
        </w:r>
        <w:r>
          <w:rPr>
            <w:noProof/>
            <w:webHidden/>
          </w:rPr>
          <w:tab/>
        </w:r>
        <w:r>
          <w:rPr>
            <w:noProof/>
            <w:webHidden/>
          </w:rPr>
          <w:fldChar w:fldCharType="begin"/>
        </w:r>
        <w:r>
          <w:rPr>
            <w:noProof/>
            <w:webHidden/>
          </w:rPr>
          <w:instrText xml:space="preserve"> PAGEREF _Toc420814251 \h </w:instrText>
        </w:r>
        <w:r>
          <w:rPr>
            <w:noProof/>
            <w:webHidden/>
          </w:rPr>
        </w:r>
        <w:r>
          <w:rPr>
            <w:noProof/>
            <w:webHidden/>
          </w:rPr>
          <w:fldChar w:fldCharType="separate"/>
        </w:r>
        <w:r>
          <w:rPr>
            <w:noProof/>
            <w:webHidden/>
          </w:rPr>
          <w:t>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2" w:history="1">
        <w:r w:rsidRPr="002F4868">
          <w:rPr>
            <w:rStyle w:val="a5"/>
            <w:noProof/>
          </w:rPr>
          <w:t>Title: Acta Cardiologica</w:t>
        </w:r>
        <w:r>
          <w:rPr>
            <w:noProof/>
            <w:webHidden/>
          </w:rPr>
          <w:tab/>
        </w:r>
        <w:r>
          <w:rPr>
            <w:noProof/>
            <w:webHidden/>
          </w:rPr>
          <w:fldChar w:fldCharType="begin"/>
        </w:r>
        <w:r>
          <w:rPr>
            <w:noProof/>
            <w:webHidden/>
          </w:rPr>
          <w:instrText xml:space="preserve"> PAGEREF _Toc420814252 \h </w:instrText>
        </w:r>
        <w:r>
          <w:rPr>
            <w:noProof/>
            <w:webHidden/>
          </w:rPr>
        </w:r>
        <w:r>
          <w:rPr>
            <w:noProof/>
            <w:webHidden/>
          </w:rPr>
          <w:fldChar w:fldCharType="separate"/>
        </w:r>
        <w:r>
          <w:rPr>
            <w:noProof/>
            <w:webHidden/>
          </w:rPr>
          <w:t>78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3" w:history="1">
        <w:r w:rsidRPr="002F4868">
          <w:rPr>
            <w:rStyle w:val="a5"/>
            <w:noProof/>
          </w:rPr>
          <w:t>Title: Acta Chirurgica Belgica</w:t>
        </w:r>
        <w:r>
          <w:rPr>
            <w:noProof/>
            <w:webHidden/>
          </w:rPr>
          <w:tab/>
        </w:r>
        <w:r>
          <w:rPr>
            <w:noProof/>
            <w:webHidden/>
          </w:rPr>
          <w:fldChar w:fldCharType="begin"/>
        </w:r>
        <w:r>
          <w:rPr>
            <w:noProof/>
            <w:webHidden/>
          </w:rPr>
          <w:instrText xml:space="preserve"> PAGEREF _Toc420814253 \h </w:instrText>
        </w:r>
        <w:r>
          <w:rPr>
            <w:noProof/>
            <w:webHidden/>
          </w:rPr>
        </w:r>
        <w:r>
          <w:rPr>
            <w:noProof/>
            <w:webHidden/>
          </w:rPr>
          <w:fldChar w:fldCharType="separate"/>
        </w:r>
        <w:r>
          <w:rPr>
            <w:noProof/>
            <w:webHidden/>
          </w:rPr>
          <w:t>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4" w:history="1">
        <w:r w:rsidRPr="002F4868">
          <w:rPr>
            <w:rStyle w:val="a5"/>
            <w:noProof/>
          </w:rPr>
          <w:t>Title: Acta Cirurgica Brasileira</w:t>
        </w:r>
        <w:r>
          <w:rPr>
            <w:noProof/>
            <w:webHidden/>
          </w:rPr>
          <w:tab/>
        </w:r>
        <w:r>
          <w:rPr>
            <w:noProof/>
            <w:webHidden/>
          </w:rPr>
          <w:fldChar w:fldCharType="begin"/>
        </w:r>
        <w:r>
          <w:rPr>
            <w:noProof/>
            <w:webHidden/>
          </w:rPr>
          <w:instrText xml:space="preserve"> PAGEREF _Toc420814254 \h </w:instrText>
        </w:r>
        <w:r>
          <w:rPr>
            <w:noProof/>
            <w:webHidden/>
          </w:rPr>
        </w:r>
        <w:r>
          <w:rPr>
            <w:noProof/>
            <w:webHidden/>
          </w:rPr>
          <w:fldChar w:fldCharType="separate"/>
        </w:r>
        <w:r>
          <w:rPr>
            <w:noProof/>
            <w:webHidden/>
          </w:rPr>
          <w:t>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5" w:history="1">
        <w:r w:rsidRPr="002F4868">
          <w:rPr>
            <w:rStyle w:val="a5"/>
            <w:noProof/>
          </w:rPr>
          <w:t>Title: Acta Clinica Belgica</w:t>
        </w:r>
        <w:r>
          <w:rPr>
            <w:noProof/>
            <w:webHidden/>
          </w:rPr>
          <w:tab/>
        </w:r>
        <w:r>
          <w:rPr>
            <w:noProof/>
            <w:webHidden/>
          </w:rPr>
          <w:fldChar w:fldCharType="begin"/>
        </w:r>
        <w:r>
          <w:rPr>
            <w:noProof/>
            <w:webHidden/>
          </w:rPr>
          <w:instrText xml:space="preserve"> PAGEREF _Toc420814255 \h </w:instrText>
        </w:r>
        <w:r>
          <w:rPr>
            <w:noProof/>
            <w:webHidden/>
          </w:rPr>
        </w:r>
        <w:r>
          <w:rPr>
            <w:noProof/>
            <w:webHidden/>
          </w:rPr>
          <w:fldChar w:fldCharType="separate"/>
        </w:r>
        <w:r>
          <w:rPr>
            <w:noProof/>
            <w:webHidden/>
          </w:rPr>
          <w:t>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6" w:history="1">
        <w:r w:rsidRPr="002F4868">
          <w:rPr>
            <w:rStyle w:val="a5"/>
            <w:noProof/>
          </w:rPr>
          <w:t>Title: Acta Clinica Croatica</w:t>
        </w:r>
        <w:r>
          <w:rPr>
            <w:noProof/>
            <w:webHidden/>
          </w:rPr>
          <w:tab/>
        </w:r>
        <w:r>
          <w:rPr>
            <w:noProof/>
            <w:webHidden/>
          </w:rPr>
          <w:fldChar w:fldCharType="begin"/>
        </w:r>
        <w:r>
          <w:rPr>
            <w:noProof/>
            <w:webHidden/>
          </w:rPr>
          <w:instrText xml:space="preserve"> PAGEREF _Toc420814256 \h </w:instrText>
        </w:r>
        <w:r>
          <w:rPr>
            <w:noProof/>
            <w:webHidden/>
          </w:rPr>
        </w:r>
        <w:r>
          <w:rPr>
            <w:noProof/>
            <w:webHidden/>
          </w:rPr>
          <w:fldChar w:fldCharType="separate"/>
        </w:r>
        <w:r>
          <w:rPr>
            <w:noProof/>
            <w:webHidden/>
          </w:rPr>
          <w:t>87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7" w:history="1">
        <w:r w:rsidRPr="002F4868">
          <w:rPr>
            <w:rStyle w:val="a5"/>
            <w:noProof/>
          </w:rPr>
          <w:t>Title: Acta Crystallographica Section A</w:t>
        </w:r>
        <w:r>
          <w:rPr>
            <w:noProof/>
            <w:webHidden/>
          </w:rPr>
          <w:tab/>
        </w:r>
        <w:r>
          <w:rPr>
            <w:noProof/>
            <w:webHidden/>
          </w:rPr>
          <w:fldChar w:fldCharType="begin"/>
        </w:r>
        <w:r>
          <w:rPr>
            <w:noProof/>
            <w:webHidden/>
          </w:rPr>
          <w:instrText xml:space="preserve"> PAGEREF _Toc420814257 \h </w:instrText>
        </w:r>
        <w:r>
          <w:rPr>
            <w:noProof/>
            <w:webHidden/>
          </w:rPr>
        </w:r>
        <w:r>
          <w:rPr>
            <w:noProof/>
            <w:webHidden/>
          </w:rPr>
          <w:fldChar w:fldCharType="separate"/>
        </w:r>
        <w:r>
          <w:rPr>
            <w:noProof/>
            <w:webHidden/>
          </w:rPr>
          <w:t>88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8" w:history="1">
        <w:r w:rsidRPr="002F4868">
          <w:rPr>
            <w:rStyle w:val="a5"/>
            <w:noProof/>
          </w:rPr>
          <w:t>Title: Acta Crystallographica Section B-Structural Science</w:t>
        </w:r>
        <w:r>
          <w:rPr>
            <w:noProof/>
            <w:webHidden/>
          </w:rPr>
          <w:tab/>
        </w:r>
        <w:r>
          <w:rPr>
            <w:noProof/>
            <w:webHidden/>
          </w:rPr>
          <w:fldChar w:fldCharType="begin"/>
        </w:r>
        <w:r>
          <w:rPr>
            <w:noProof/>
            <w:webHidden/>
          </w:rPr>
          <w:instrText xml:space="preserve"> PAGEREF _Toc420814258 \h </w:instrText>
        </w:r>
        <w:r>
          <w:rPr>
            <w:noProof/>
            <w:webHidden/>
          </w:rPr>
        </w:r>
        <w:r>
          <w:rPr>
            <w:noProof/>
            <w:webHidden/>
          </w:rPr>
          <w:fldChar w:fldCharType="separate"/>
        </w:r>
        <w:r>
          <w:rPr>
            <w:noProof/>
            <w:webHidden/>
          </w:rPr>
          <w:t>90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59" w:history="1">
        <w:r w:rsidRPr="002F4868">
          <w:rPr>
            <w:rStyle w:val="a5"/>
            <w:noProof/>
          </w:rPr>
          <w:t>Title: Acta Dermato-Venereologica</w:t>
        </w:r>
        <w:r>
          <w:rPr>
            <w:noProof/>
            <w:webHidden/>
          </w:rPr>
          <w:tab/>
        </w:r>
        <w:r>
          <w:rPr>
            <w:noProof/>
            <w:webHidden/>
          </w:rPr>
          <w:fldChar w:fldCharType="begin"/>
        </w:r>
        <w:r>
          <w:rPr>
            <w:noProof/>
            <w:webHidden/>
          </w:rPr>
          <w:instrText xml:space="preserve"> PAGEREF _Toc420814259 \h </w:instrText>
        </w:r>
        <w:r>
          <w:rPr>
            <w:noProof/>
            <w:webHidden/>
          </w:rPr>
        </w:r>
        <w:r>
          <w:rPr>
            <w:noProof/>
            <w:webHidden/>
          </w:rPr>
          <w:fldChar w:fldCharType="separate"/>
        </w:r>
        <w:r>
          <w:rPr>
            <w:noProof/>
            <w:webHidden/>
          </w:rPr>
          <w:t>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0" w:history="1">
        <w:r w:rsidRPr="002F4868">
          <w:rPr>
            <w:rStyle w:val="a5"/>
            <w:noProof/>
          </w:rPr>
          <w:t>Title: Acta Ecologica Sinica</w:t>
        </w:r>
        <w:r>
          <w:rPr>
            <w:noProof/>
            <w:webHidden/>
          </w:rPr>
          <w:tab/>
        </w:r>
        <w:r>
          <w:rPr>
            <w:noProof/>
            <w:webHidden/>
          </w:rPr>
          <w:fldChar w:fldCharType="begin"/>
        </w:r>
        <w:r>
          <w:rPr>
            <w:noProof/>
            <w:webHidden/>
          </w:rPr>
          <w:instrText xml:space="preserve"> PAGEREF _Toc420814260 \h </w:instrText>
        </w:r>
        <w:r>
          <w:rPr>
            <w:noProof/>
            <w:webHidden/>
          </w:rPr>
        </w:r>
        <w:r>
          <w:rPr>
            <w:noProof/>
            <w:webHidden/>
          </w:rPr>
          <w:fldChar w:fldCharType="separate"/>
        </w:r>
        <w:r>
          <w:rPr>
            <w:noProof/>
            <w:webHidden/>
          </w:rPr>
          <w:t>93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1" w:history="1">
        <w:r w:rsidRPr="002F4868">
          <w:rPr>
            <w:rStyle w:val="a5"/>
            <w:noProof/>
          </w:rPr>
          <w:t>Title: Acta Endocrinologica</w:t>
        </w:r>
        <w:r>
          <w:rPr>
            <w:noProof/>
            <w:webHidden/>
          </w:rPr>
          <w:tab/>
        </w:r>
        <w:r>
          <w:rPr>
            <w:noProof/>
            <w:webHidden/>
          </w:rPr>
          <w:fldChar w:fldCharType="begin"/>
        </w:r>
        <w:r>
          <w:rPr>
            <w:noProof/>
            <w:webHidden/>
          </w:rPr>
          <w:instrText xml:space="preserve"> PAGEREF _Toc420814261 \h </w:instrText>
        </w:r>
        <w:r>
          <w:rPr>
            <w:noProof/>
            <w:webHidden/>
          </w:rPr>
        </w:r>
        <w:r>
          <w:rPr>
            <w:noProof/>
            <w:webHidden/>
          </w:rPr>
          <w:fldChar w:fldCharType="separate"/>
        </w:r>
        <w:r>
          <w:rPr>
            <w:noProof/>
            <w:webHidden/>
          </w:rPr>
          <w:t>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2" w:history="1">
        <w:r w:rsidRPr="002F4868">
          <w:rPr>
            <w:rStyle w:val="a5"/>
            <w:noProof/>
          </w:rPr>
          <w:t>Title: Acta Endocrinologica-Bucharest</w:t>
        </w:r>
        <w:r>
          <w:rPr>
            <w:noProof/>
            <w:webHidden/>
          </w:rPr>
          <w:tab/>
        </w:r>
        <w:r>
          <w:rPr>
            <w:noProof/>
            <w:webHidden/>
          </w:rPr>
          <w:fldChar w:fldCharType="begin"/>
        </w:r>
        <w:r>
          <w:rPr>
            <w:noProof/>
            <w:webHidden/>
          </w:rPr>
          <w:instrText xml:space="preserve"> PAGEREF _Toc420814262 \h </w:instrText>
        </w:r>
        <w:r>
          <w:rPr>
            <w:noProof/>
            <w:webHidden/>
          </w:rPr>
        </w:r>
        <w:r>
          <w:rPr>
            <w:noProof/>
            <w:webHidden/>
          </w:rPr>
          <w:fldChar w:fldCharType="separate"/>
        </w:r>
        <w:r>
          <w:rPr>
            <w:noProof/>
            <w:webHidden/>
          </w:rPr>
          <w:t>95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3" w:history="1">
        <w:r w:rsidRPr="002F4868">
          <w:rPr>
            <w:rStyle w:val="a5"/>
            <w:noProof/>
          </w:rPr>
          <w:t>Title: Acta Geographica Slovenica-Geografski Zbornik</w:t>
        </w:r>
        <w:r>
          <w:rPr>
            <w:noProof/>
            <w:webHidden/>
          </w:rPr>
          <w:tab/>
        </w:r>
        <w:r>
          <w:rPr>
            <w:noProof/>
            <w:webHidden/>
          </w:rPr>
          <w:fldChar w:fldCharType="begin"/>
        </w:r>
        <w:r>
          <w:rPr>
            <w:noProof/>
            <w:webHidden/>
          </w:rPr>
          <w:instrText xml:space="preserve"> PAGEREF _Toc420814263 \h </w:instrText>
        </w:r>
        <w:r>
          <w:rPr>
            <w:noProof/>
            <w:webHidden/>
          </w:rPr>
        </w:r>
        <w:r>
          <w:rPr>
            <w:noProof/>
            <w:webHidden/>
          </w:rPr>
          <w:fldChar w:fldCharType="separate"/>
        </w:r>
        <w:r>
          <w:rPr>
            <w:noProof/>
            <w:webHidden/>
          </w:rPr>
          <w:t>97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4" w:history="1">
        <w:r w:rsidRPr="002F4868">
          <w:rPr>
            <w:rStyle w:val="a5"/>
            <w:noProof/>
          </w:rPr>
          <w:t>Title: Acta Haematologica</w:t>
        </w:r>
        <w:r>
          <w:rPr>
            <w:noProof/>
            <w:webHidden/>
          </w:rPr>
          <w:tab/>
        </w:r>
        <w:r>
          <w:rPr>
            <w:noProof/>
            <w:webHidden/>
          </w:rPr>
          <w:fldChar w:fldCharType="begin"/>
        </w:r>
        <w:r>
          <w:rPr>
            <w:noProof/>
            <w:webHidden/>
          </w:rPr>
          <w:instrText xml:space="preserve"> PAGEREF _Toc420814264 \h </w:instrText>
        </w:r>
        <w:r>
          <w:rPr>
            <w:noProof/>
            <w:webHidden/>
          </w:rPr>
        </w:r>
        <w:r>
          <w:rPr>
            <w:noProof/>
            <w:webHidden/>
          </w:rPr>
          <w:fldChar w:fldCharType="separate"/>
        </w:r>
        <w:r>
          <w:rPr>
            <w:noProof/>
            <w:webHidden/>
          </w:rPr>
          <w:t>98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5" w:history="1">
        <w:r w:rsidRPr="002F4868">
          <w:rPr>
            <w:rStyle w:val="a5"/>
            <w:noProof/>
          </w:rPr>
          <w:t>Title: Acta Medica Croatica</w:t>
        </w:r>
        <w:r>
          <w:rPr>
            <w:noProof/>
            <w:webHidden/>
          </w:rPr>
          <w:tab/>
        </w:r>
        <w:r>
          <w:rPr>
            <w:noProof/>
            <w:webHidden/>
          </w:rPr>
          <w:fldChar w:fldCharType="begin"/>
        </w:r>
        <w:r>
          <w:rPr>
            <w:noProof/>
            <w:webHidden/>
          </w:rPr>
          <w:instrText xml:space="preserve"> PAGEREF _Toc420814265 \h </w:instrText>
        </w:r>
        <w:r>
          <w:rPr>
            <w:noProof/>
            <w:webHidden/>
          </w:rPr>
        </w:r>
        <w:r>
          <w:rPr>
            <w:noProof/>
            <w:webHidden/>
          </w:rPr>
          <w:fldChar w:fldCharType="separate"/>
        </w:r>
        <w:r>
          <w:rPr>
            <w:noProof/>
            <w:webHidden/>
          </w:rPr>
          <w:t>101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6" w:history="1">
        <w:r w:rsidRPr="002F4868">
          <w:rPr>
            <w:rStyle w:val="a5"/>
            <w:noProof/>
          </w:rPr>
          <w:t>Title: Acta Médica Portuguesa</w:t>
        </w:r>
        <w:r>
          <w:rPr>
            <w:noProof/>
            <w:webHidden/>
          </w:rPr>
          <w:tab/>
        </w:r>
        <w:r>
          <w:rPr>
            <w:noProof/>
            <w:webHidden/>
          </w:rPr>
          <w:fldChar w:fldCharType="begin"/>
        </w:r>
        <w:r>
          <w:rPr>
            <w:noProof/>
            <w:webHidden/>
          </w:rPr>
          <w:instrText xml:space="preserve"> PAGEREF _Toc420814266 \h </w:instrText>
        </w:r>
        <w:r>
          <w:rPr>
            <w:noProof/>
            <w:webHidden/>
          </w:rPr>
        </w:r>
        <w:r>
          <w:rPr>
            <w:noProof/>
            <w:webHidden/>
          </w:rPr>
          <w:fldChar w:fldCharType="separate"/>
        </w:r>
        <w:r>
          <w:rPr>
            <w:noProof/>
            <w:webHidden/>
          </w:rPr>
          <w:t>102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7" w:history="1">
        <w:r w:rsidRPr="002F4868">
          <w:rPr>
            <w:rStyle w:val="a5"/>
            <w:noProof/>
          </w:rPr>
          <w:t>Title: Acta Naturae</w:t>
        </w:r>
        <w:r>
          <w:rPr>
            <w:noProof/>
            <w:webHidden/>
          </w:rPr>
          <w:tab/>
        </w:r>
        <w:r>
          <w:rPr>
            <w:noProof/>
            <w:webHidden/>
          </w:rPr>
          <w:fldChar w:fldCharType="begin"/>
        </w:r>
        <w:r>
          <w:rPr>
            <w:noProof/>
            <w:webHidden/>
          </w:rPr>
          <w:instrText xml:space="preserve"> PAGEREF _Toc420814267 \h </w:instrText>
        </w:r>
        <w:r>
          <w:rPr>
            <w:noProof/>
            <w:webHidden/>
          </w:rPr>
        </w:r>
        <w:r>
          <w:rPr>
            <w:noProof/>
            <w:webHidden/>
          </w:rPr>
          <w:fldChar w:fldCharType="separate"/>
        </w:r>
        <w:r>
          <w:rPr>
            <w:noProof/>
            <w:webHidden/>
          </w:rPr>
          <w:t>107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8" w:history="1">
        <w:r w:rsidRPr="002F4868">
          <w:rPr>
            <w:rStyle w:val="a5"/>
            <w:noProof/>
          </w:rPr>
          <w:t>Title: Acta Neuropsychiatrica</w:t>
        </w:r>
        <w:r>
          <w:rPr>
            <w:noProof/>
            <w:webHidden/>
          </w:rPr>
          <w:tab/>
        </w:r>
        <w:r>
          <w:rPr>
            <w:noProof/>
            <w:webHidden/>
          </w:rPr>
          <w:fldChar w:fldCharType="begin"/>
        </w:r>
        <w:r>
          <w:rPr>
            <w:noProof/>
            <w:webHidden/>
          </w:rPr>
          <w:instrText xml:space="preserve"> PAGEREF _Toc420814268 \h </w:instrText>
        </w:r>
        <w:r>
          <w:rPr>
            <w:noProof/>
            <w:webHidden/>
          </w:rPr>
        </w:r>
        <w:r>
          <w:rPr>
            <w:noProof/>
            <w:webHidden/>
          </w:rPr>
          <w:fldChar w:fldCharType="separate"/>
        </w:r>
        <w:r>
          <w:rPr>
            <w:noProof/>
            <w:webHidden/>
          </w:rPr>
          <w:t>109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69" w:history="1">
        <w:r w:rsidRPr="002F4868">
          <w:rPr>
            <w:rStyle w:val="a5"/>
            <w:noProof/>
          </w:rPr>
          <w:t>Title: Acta Obstetricia et Gynecologica Scandinavica</w:t>
        </w:r>
        <w:r>
          <w:rPr>
            <w:noProof/>
            <w:webHidden/>
          </w:rPr>
          <w:tab/>
        </w:r>
        <w:r>
          <w:rPr>
            <w:noProof/>
            <w:webHidden/>
          </w:rPr>
          <w:fldChar w:fldCharType="begin"/>
        </w:r>
        <w:r>
          <w:rPr>
            <w:noProof/>
            <w:webHidden/>
          </w:rPr>
          <w:instrText xml:space="preserve"> PAGEREF _Toc420814269 \h </w:instrText>
        </w:r>
        <w:r>
          <w:rPr>
            <w:noProof/>
            <w:webHidden/>
          </w:rPr>
        </w:r>
        <w:r>
          <w:rPr>
            <w:noProof/>
            <w:webHidden/>
          </w:rPr>
          <w:fldChar w:fldCharType="separate"/>
        </w:r>
        <w:r>
          <w:rPr>
            <w:noProof/>
            <w:webHidden/>
          </w:rPr>
          <w:t>112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0" w:history="1">
        <w:r w:rsidRPr="002F4868">
          <w:rPr>
            <w:rStyle w:val="a5"/>
            <w:noProof/>
          </w:rPr>
          <w:t>Title: Acta Odontologica Scandinavica</w:t>
        </w:r>
        <w:r>
          <w:rPr>
            <w:noProof/>
            <w:webHidden/>
          </w:rPr>
          <w:tab/>
        </w:r>
        <w:r>
          <w:rPr>
            <w:noProof/>
            <w:webHidden/>
          </w:rPr>
          <w:fldChar w:fldCharType="begin"/>
        </w:r>
        <w:r>
          <w:rPr>
            <w:noProof/>
            <w:webHidden/>
          </w:rPr>
          <w:instrText xml:space="preserve"> PAGEREF _Toc420814270 \h </w:instrText>
        </w:r>
        <w:r>
          <w:rPr>
            <w:noProof/>
            <w:webHidden/>
          </w:rPr>
        </w:r>
        <w:r>
          <w:rPr>
            <w:noProof/>
            <w:webHidden/>
          </w:rPr>
          <w:fldChar w:fldCharType="separate"/>
        </w:r>
        <w:r>
          <w:rPr>
            <w:noProof/>
            <w:webHidden/>
          </w:rPr>
          <w:t>119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1" w:history="1">
        <w:r w:rsidRPr="002F4868">
          <w:rPr>
            <w:rStyle w:val="a5"/>
            <w:noProof/>
          </w:rPr>
          <w:t>Title: Acta Oecologica-International Journal of Ecology</w:t>
        </w:r>
        <w:r>
          <w:rPr>
            <w:noProof/>
            <w:webHidden/>
          </w:rPr>
          <w:tab/>
        </w:r>
        <w:r>
          <w:rPr>
            <w:noProof/>
            <w:webHidden/>
          </w:rPr>
          <w:fldChar w:fldCharType="begin"/>
        </w:r>
        <w:r>
          <w:rPr>
            <w:noProof/>
            <w:webHidden/>
          </w:rPr>
          <w:instrText xml:space="preserve"> PAGEREF _Toc420814271 \h </w:instrText>
        </w:r>
        <w:r>
          <w:rPr>
            <w:noProof/>
            <w:webHidden/>
          </w:rPr>
        </w:r>
        <w:r>
          <w:rPr>
            <w:noProof/>
            <w:webHidden/>
          </w:rPr>
          <w:fldChar w:fldCharType="separate"/>
        </w:r>
        <w:r>
          <w:rPr>
            <w:noProof/>
            <w:webHidden/>
          </w:rPr>
          <w:t>122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2" w:history="1">
        <w:r w:rsidRPr="002F4868">
          <w:rPr>
            <w:rStyle w:val="a5"/>
            <w:noProof/>
          </w:rPr>
          <w:t>Title: Acta Oeconomica</w:t>
        </w:r>
        <w:r>
          <w:rPr>
            <w:noProof/>
            <w:webHidden/>
          </w:rPr>
          <w:tab/>
        </w:r>
        <w:r>
          <w:rPr>
            <w:noProof/>
            <w:webHidden/>
          </w:rPr>
          <w:fldChar w:fldCharType="begin"/>
        </w:r>
        <w:r>
          <w:rPr>
            <w:noProof/>
            <w:webHidden/>
          </w:rPr>
          <w:instrText xml:space="preserve"> PAGEREF _Toc420814272 \h </w:instrText>
        </w:r>
        <w:r>
          <w:rPr>
            <w:noProof/>
            <w:webHidden/>
          </w:rPr>
        </w:r>
        <w:r>
          <w:rPr>
            <w:noProof/>
            <w:webHidden/>
          </w:rPr>
          <w:fldChar w:fldCharType="separate"/>
        </w:r>
        <w:r>
          <w:rPr>
            <w:noProof/>
            <w:webHidden/>
          </w:rPr>
          <w:t>124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3" w:history="1">
        <w:r w:rsidRPr="002F4868">
          <w:rPr>
            <w:rStyle w:val="a5"/>
            <w:noProof/>
          </w:rPr>
          <w:t>Title: Acta Oncologica</w:t>
        </w:r>
        <w:r>
          <w:rPr>
            <w:noProof/>
            <w:webHidden/>
          </w:rPr>
          <w:tab/>
        </w:r>
        <w:r>
          <w:rPr>
            <w:noProof/>
            <w:webHidden/>
          </w:rPr>
          <w:fldChar w:fldCharType="begin"/>
        </w:r>
        <w:r>
          <w:rPr>
            <w:noProof/>
            <w:webHidden/>
          </w:rPr>
          <w:instrText xml:space="preserve"> PAGEREF _Toc420814273 \h </w:instrText>
        </w:r>
        <w:r>
          <w:rPr>
            <w:noProof/>
            <w:webHidden/>
          </w:rPr>
        </w:r>
        <w:r>
          <w:rPr>
            <w:noProof/>
            <w:webHidden/>
          </w:rPr>
          <w:fldChar w:fldCharType="separate"/>
        </w:r>
        <w:r>
          <w:rPr>
            <w:noProof/>
            <w:webHidden/>
          </w:rPr>
          <w:t>126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4" w:history="1">
        <w:r w:rsidRPr="002F4868">
          <w:rPr>
            <w:rStyle w:val="a5"/>
            <w:noProof/>
          </w:rPr>
          <w:t>Title: Acta Ophthalmologica</w:t>
        </w:r>
        <w:r>
          <w:rPr>
            <w:noProof/>
            <w:webHidden/>
          </w:rPr>
          <w:tab/>
        </w:r>
        <w:r>
          <w:rPr>
            <w:noProof/>
            <w:webHidden/>
          </w:rPr>
          <w:fldChar w:fldCharType="begin"/>
        </w:r>
        <w:r>
          <w:rPr>
            <w:noProof/>
            <w:webHidden/>
          </w:rPr>
          <w:instrText xml:space="preserve"> PAGEREF _Toc420814274 \h </w:instrText>
        </w:r>
        <w:r>
          <w:rPr>
            <w:noProof/>
            <w:webHidden/>
          </w:rPr>
        </w:r>
        <w:r>
          <w:rPr>
            <w:noProof/>
            <w:webHidden/>
          </w:rPr>
          <w:fldChar w:fldCharType="separate"/>
        </w:r>
        <w:r>
          <w:rPr>
            <w:noProof/>
            <w:webHidden/>
          </w:rPr>
          <w:t>131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5" w:history="1">
        <w:r w:rsidRPr="002F4868">
          <w:rPr>
            <w:rStyle w:val="a5"/>
            <w:noProof/>
          </w:rPr>
          <w:t>Title: Acta Orthopaedica</w:t>
        </w:r>
        <w:r>
          <w:rPr>
            <w:noProof/>
            <w:webHidden/>
          </w:rPr>
          <w:tab/>
        </w:r>
        <w:r>
          <w:rPr>
            <w:noProof/>
            <w:webHidden/>
          </w:rPr>
          <w:fldChar w:fldCharType="begin"/>
        </w:r>
        <w:r>
          <w:rPr>
            <w:noProof/>
            <w:webHidden/>
          </w:rPr>
          <w:instrText xml:space="preserve"> PAGEREF _Toc420814275 \h </w:instrText>
        </w:r>
        <w:r>
          <w:rPr>
            <w:noProof/>
            <w:webHidden/>
          </w:rPr>
        </w:r>
        <w:r>
          <w:rPr>
            <w:noProof/>
            <w:webHidden/>
          </w:rPr>
          <w:fldChar w:fldCharType="separate"/>
        </w:r>
        <w:r>
          <w:rPr>
            <w:noProof/>
            <w:webHidden/>
          </w:rPr>
          <w:t>132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6" w:history="1">
        <w:r w:rsidRPr="002F4868">
          <w:rPr>
            <w:rStyle w:val="a5"/>
            <w:noProof/>
          </w:rPr>
          <w:t>Title: Acta Orthopaedica Belgica</w:t>
        </w:r>
        <w:r>
          <w:rPr>
            <w:noProof/>
            <w:webHidden/>
          </w:rPr>
          <w:tab/>
        </w:r>
        <w:r>
          <w:rPr>
            <w:noProof/>
            <w:webHidden/>
          </w:rPr>
          <w:fldChar w:fldCharType="begin"/>
        </w:r>
        <w:r>
          <w:rPr>
            <w:noProof/>
            <w:webHidden/>
          </w:rPr>
          <w:instrText xml:space="preserve"> PAGEREF _Toc420814276 \h </w:instrText>
        </w:r>
        <w:r>
          <w:rPr>
            <w:noProof/>
            <w:webHidden/>
          </w:rPr>
        </w:r>
        <w:r>
          <w:rPr>
            <w:noProof/>
            <w:webHidden/>
          </w:rPr>
          <w:fldChar w:fldCharType="separate"/>
        </w:r>
        <w:r>
          <w:rPr>
            <w:noProof/>
            <w:webHidden/>
          </w:rPr>
          <w:t>134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7" w:history="1">
        <w:r w:rsidRPr="002F4868">
          <w:rPr>
            <w:rStyle w:val="a5"/>
            <w:noProof/>
          </w:rPr>
          <w:t>Title: Acta Orthopaedica et Traumatologica Turcica</w:t>
        </w:r>
        <w:r>
          <w:rPr>
            <w:noProof/>
            <w:webHidden/>
          </w:rPr>
          <w:tab/>
        </w:r>
        <w:r>
          <w:rPr>
            <w:noProof/>
            <w:webHidden/>
          </w:rPr>
          <w:fldChar w:fldCharType="begin"/>
        </w:r>
        <w:r>
          <w:rPr>
            <w:noProof/>
            <w:webHidden/>
          </w:rPr>
          <w:instrText xml:space="preserve"> PAGEREF _Toc420814277 \h </w:instrText>
        </w:r>
        <w:r>
          <w:rPr>
            <w:noProof/>
            <w:webHidden/>
          </w:rPr>
        </w:r>
        <w:r>
          <w:rPr>
            <w:noProof/>
            <w:webHidden/>
          </w:rPr>
          <w:fldChar w:fldCharType="separate"/>
        </w:r>
        <w:r>
          <w:rPr>
            <w:noProof/>
            <w:webHidden/>
          </w:rPr>
          <w:t>135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8" w:history="1">
        <w:r w:rsidRPr="002F4868">
          <w:rPr>
            <w:rStyle w:val="a5"/>
            <w:noProof/>
          </w:rPr>
          <w:t>Title: Acta Otorrinolaringológica Española</w:t>
        </w:r>
        <w:r>
          <w:rPr>
            <w:noProof/>
            <w:webHidden/>
          </w:rPr>
          <w:tab/>
        </w:r>
        <w:r>
          <w:rPr>
            <w:noProof/>
            <w:webHidden/>
          </w:rPr>
          <w:fldChar w:fldCharType="begin"/>
        </w:r>
        <w:r>
          <w:rPr>
            <w:noProof/>
            <w:webHidden/>
          </w:rPr>
          <w:instrText xml:space="preserve"> PAGEREF _Toc420814278 \h </w:instrText>
        </w:r>
        <w:r>
          <w:rPr>
            <w:noProof/>
            <w:webHidden/>
          </w:rPr>
        </w:r>
        <w:r>
          <w:rPr>
            <w:noProof/>
            <w:webHidden/>
          </w:rPr>
          <w:fldChar w:fldCharType="separate"/>
        </w:r>
        <w:r>
          <w:rPr>
            <w:noProof/>
            <w:webHidden/>
          </w:rPr>
          <w:t>138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79" w:history="1">
        <w:r w:rsidRPr="002F4868">
          <w:rPr>
            <w:rStyle w:val="a5"/>
            <w:noProof/>
          </w:rPr>
          <w:t>Title: Acta Paediatrica</w:t>
        </w:r>
        <w:r>
          <w:rPr>
            <w:noProof/>
            <w:webHidden/>
          </w:rPr>
          <w:tab/>
        </w:r>
        <w:r>
          <w:rPr>
            <w:noProof/>
            <w:webHidden/>
          </w:rPr>
          <w:fldChar w:fldCharType="begin"/>
        </w:r>
        <w:r>
          <w:rPr>
            <w:noProof/>
            <w:webHidden/>
          </w:rPr>
          <w:instrText xml:space="preserve"> PAGEREF _Toc420814279 \h </w:instrText>
        </w:r>
        <w:r>
          <w:rPr>
            <w:noProof/>
            <w:webHidden/>
          </w:rPr>
        </w:r>
        <w:r>
          <w:rPr>
            <w:noProof/>
            <w:webHidden/>
          </w:rPr>
          <w:fldChar w:fldCharType="separate"/>
        </w:r>
        <w:r>
          <w:rPr>
            <w:noProof/>
            <w:webHidden/>
          </w:rPr>
          <w:t>139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0" w:history="1">
        <w:r w:rsidRPr="002F4868">
          <w:rPr>
            <w:rStyle w:val="a5"/>
            <w:noProof/>
          </w:rPr>
          <w:t>Title: Acta Paulista de Enfermagem</w:t>
        </w:r>
        <w:r>
          <w:rPr>
            <w:noProof/>
            <w:webHidden/>
          </w:rPr>
          <w:tab/>
        </w:r>
        <w:r>
          <w:rPr>
            <w:noProof/>
            <w:webHidden/>
          </w:rPr>
          <w:fldChar w:fldCharType="begin"/>
        </w:r>
        <w:r>
          <w:rPr>
            <w:noProof/>
            <w:webHidden/>
          </w:rPr>
          <w:instrText xml:space="preserve"> PAGEREF _Toc420814280 \h </w:instrText>
        </w:r>
        <w:r>
          <w:rPr>
            <w:noProof/>
            <w:webHidden/>
          </w:rPr>
        </w:r>
        <w:r>
          <w:rPr>
            <w:noProof/>
            <w:webHidden/>
          </w:rPr>
          <w:fldChar w:fldCharType="separate"/>
        </w:r>
        <w:r>
          <w:rPr>
            <w:noProof/>
            <w:webHidden/>
          </w:rPr>
          <w:t>142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1" w:history="1">
        <w:r w:rsidRPr="002F4868">
          <w:rPr>
            <w:rStyle w:val="a5"/>
            <w:noProof/>
          </w:rPr>
          <w:t>Title: Acta Physica et Chemica</w:t>
        </w:r>
        <w:r>
          <w:rPr>
            <w:noProof/>
            <w:webHidden/>
          </w:rPr>
          <w:tab/>
        </w:r>
        <w:r>
          <w:rPr>
            <w:noProof/>
            <w:webHidden/>
          </w:rPr>
          <w:fldChar w:fldCharType="begin"/>
        </w:r>
        <w:r>
          <w:rPr>
            <w:noProof/>
            <w:webHidden/>
          </w:rPr>
          <w:instrText xml:space="preserve"> PAGEREF _Toc420814281 \h </w:instrText>
        </w:r>
        <w:r>
          <w:rPr>
            <w:noProof/>
            <w:webHidden/>
          </w:rPr>
        </w:r>
        <w:r>
          <w:rPr>
            <w:noProof/>
            <w:webHidden/>
          </w:rPr>
          <w:fldChar w:fldCharType="separate"/>
        </w:r>
        <w:r>
          <w:rPr>
            <w:noProof/>
            <w:webHidden/>
          </w:rPr>
          <w:t>145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2" w:history="1">
        <w:r w:rsidRPr="002F4868">
          <w:rPr>
            <w:rStyle w:val="a5"/>
            <w:noProof/>
          </w:rPr>
          <w:t>Title: Acta Physica Polonica A</w:t>
        </w:r>
        <w:r>
          <w:rPr>
            <w:noProof/>
            <w:webHidden/>
          </w:rPr>
          <w:tab/>
        </w:r>
        <w:r>
          <w:rPr>
            <w:noProof/>
            <w:webHidden/>
          </w:rPr>
          <w:fldChar w:fldCharType="begin"/>
        </w:r>
        <w:r>
          <w:rPr>
            <w:noProof/>
            <w:webHidden/>
          </w:rPr>
          <w:instrText xml:space="preserve"> PAGEREF _Toc420814282 \h </w:instrText>
        </w:r>
        <w:r>
          <w:rPr>
            <w:noProof/>
            <w:webHidden/>
          </w:rPr>
        </w:r>
        <w:r>
          <w:rPr>
            <w:noProof/>
            <w:webHidden/>
          </w:rPr>
          <w:fldChar w:fldCharType="separate"/>
        </w:r>
        <w:r>
          <w:rPr>
            <w:noProof/>
            <w:webHidden/>
          </w:rPr>
          <w:t>146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3" w:history="1">
        <w:r w:rsidRPr="002F4868">
          <w:rPr>
            <w:rStyle w:val="a5"/>
            <w:noProof/>
          </w:rPr>
          <w:t>Title: Acta Physica Sinica</w:t>
        </w:r>
        <w:r>
          <w:rPr>
            <w:noProof/>
            <w:webHidden/>
          </w:rPr>
          <w:tab/>
        </w:r>
        <w:r>
          <w:rPr>
            <w:noProof/>
            <w:webHidden/>
          </w:rPr>
          <w:fldChar w:fldCharType="begin"/>
        </w:r>
        <w:r>
          <w:rPr>
            <w:noProof/>
            <w:webHidden/>
          </w:rPr>
          <w:instrText xml:space="preserve"> PAGEREF _Toc420814283 \h </w:instrText>
        </w:r>
        <w:r>
          <w:rPr>
            <w:noProof/>
            <w:webHidden/>
          </w:rPr>
        </w:r>
        <w:r>
          <w:rPr>
            <w:noProof/>
            <w:webHidden/>
          </w:rPr>
          <w:fldChar w:fldCharType="separate"/>
        </w:r>
        <w:r>
          <w:rPr>
            <w:noProof/>
            <w:webHidden/>
          </w:rPr>
          <w:t>147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4" w:history="1">
        <w:r w:rsidRPr="002F4868">
          <w:rPr>
            <w:rStyle w:val="a5"/>
            <w:noProof/>
          </w:rPr>
          <w:t>Title: Acta Physiologica</w:t>
        </w:r>
        <w:r>
          <w:rPr>
            <w:noProof/>
            <w:webHidden/>
          </w:rPr>
          <w:tab/>
        </w:r>
        <w:r>
          <w:rPr>
            <w:noProof/>
            <w:webHidden/>
          </w:rPr>
          <w:fldChar w:fldCharType="begin"/>
        </w:r>
        <w:r>
          <w:rPr>
            <w:noProof/>
            <w:webHidden/>
          </w:rPr>
          <w:instrText xml:space="preserve"> PAGEREF _Toc420814284 \h </w:instrText>
        </w:r>
        <w:r>
          <w:rPr>
            <w:noProof/>
            <w:webHidden/>
          </w:rPr>
        </w:r>
        <w:r>
          <w:rPr>
            <w:noProof/>
            <w:webHidden/>
          </w:rPr>
          <w:fldChar w:fldCharType="separate"/>
        </w:r>
        <w:r>
          <w:rPr>
            <w:noProof/>
            <w:webHidden/>
          </w:rPr>
          <w:t>148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5" w:history="1">
        <w:r w:rsidRPr="002F4868">
          <w:rPr>
            <w:rStyle w:val="a5"/>
            <w:noProof/>
          </w:rPr>
          <w:t>Title: Acta Physiologica Scandinavica</w:t>
        </w:r>
        <w:r>
          <w:rPr>
            <w:noProof/>
            <w:webHidden/>
          </w:rPr>
          <w:tab/>
        </w:r>
        <w:r>
          <w:rPr>
            <w:noProof/>
            <w:webHidden/>
          </w:rPr>
          <w:fldChar w:fldCharType="begin"/>
        </w:r>
        <w:r>
          <w:rPr>
            <w:noProof/>
            <w:webHidden/>
          </w:rPr>
          <w:instrText xml:space="preserve"> PAGEREF _Toc420814285 \h </w:instrText>
        </w:r>
        <w:r>
          <w:rPr>
            <w:noProof/>
            <w:webHidden/>
          </w:rPr>
        </w:r>
        <w:r>
          <w:rPr>
            <w:noProof/>
            <w:webHidden/>
          </w:rPr>
          <w:fldChar w:fldCharType="separate"/>
        </w:r>
        <w:r>
          <w:rPr>
            <w:noProof/>
            <w:webHidden/>
          </w:rPr>
          <w:t>150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6" w:history="1">
        <w:r w:rsidRPr="002F4868">
          <w:rPr>
            <w:rStyle w:val="a5"/>
            <w:noProof/>
          </w:rPr>
          <w:t>Title: Acta Psychiatrica Scandinavica</w:t>
        </w:r>
        <w:r>
          <w:rPr>
            <w:noProof/>
            <w:webHidden/>
          </w:rPr>
          <w:tab/>
        </w:r>
        <w:r>
          <w:rPr>
            <w:noProof/>
            <w:webHidden/>
          </w:rPr>
          <w:fldChar w:fldCharType="begin"/>
        </w:r>
        <w:r>
          <w:rPr>
            <w:noProof/>
            <w:webHidden/>
          </w:rPr>
          <w:instrText xml:space="preserve"> PAGEREF _Toc420814286 \h </w:instrText>
        </w:r>
        <w:r>
          <w:rPr>
            <w:noProof/>
            <w:webHidden/>
          </w:rPr>
        </w:r>
        <w:r>
          <w:rPr>
            <w:noProof/>
            <w:webHidden/>
          </w:rPr>
          <w:fldChar w:fldCharType="separate"/>
        </w:r>
        <w:r>
          <w:rPr>
            <w:noProof/>
            <w:webHidden/>
          </w:rPr>
          <w:t>151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7" w:history="1">
        <w:r w:rsidRPr="002F4868">
          <w:rPr>
            <w:rStyle w:val="a5"/>
            <w:noProof/>
          </w:rPr>
          <w:t>Title: Acta Radiologica</w:t>
        </w:r>
        <w:r>
          <w:rPr>
            <w:noProof/>
            <w:webHidden/>
          </w:rPr>
          <w:tab/>
        </w:r>
        <w:r>
          <w:rPr>
            <w:noProof/>
            <w:webHidden/>
          </w:rPr>
          <w:fldChar w:fldCharType="begin"/>
        </w:r>
        <w:r>
          <w:rPr>
            <w:noProof/>
            <w:webHidden/>
          </w:rPr>
          <w:instrText xml:space="preserve"> PAGEREF _Toc420814287 \h </w:instrText>
        </w:r>
        <w:r>
          <w:rPr>
            <w:noProof/>
            <w:webHidden/>
          </w:rPr>
        </w:r>
        <w:r>
          <w:rPr>
            <w:noProof/>
            <w:webHidden/>
          </w:rPr>
          <w:fldChar w:fldCharType="separate"/>
        </w:r>
        <w:r>
          <w:rPr>
            <w:noProof/>
            <w:webHidden/>
          </w:rPr>
          <w:t>157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8" w:history="1">
        <w:r w:rsidRPr="002F4868">
          <w:rPr>
            <w:rStyle w:val="a5"/>
            <w:noProof/>
          </w:rPr>
          <w:t>Title: Acta Scientiarum Biological Sciences</w:t>
        </w:r>
        <w:r>
          <w:rPr>
            <w:noProof/>
            <w:webHidden/>
          </w:rPr>
          <w:tab/>
        </w:r>
        <w:r>
          <w:rPr>
            <w:noProof/>
            <w:webHidden/>
          </w:rPr>
          <w:fldChar w:fldCharType="begin"/>
        </w:r>
        <w:r>
          <w:rPr>
            <w:noProof/>
            <w:webHidden/>
          </w:rPr>
          <w:instrText xml:space="preserve"> PAGEREF _Toc420814288 \h </w:instrText>
        </w:r>
        <w:r>
          <w:rPr>
            <w:noProof/>
            <w:webHidden/>
          </w:rPr>
        </w:r>
        <w:r>
          <w:rPr>
            <w:noProof/>
            <w:webHidden/>
          </w:rPr>
          <w:fldChar w:fldCharType="separate"/>
        </w:r>
        <w:r>
          <w:rPr>
            <w:noProof/>
            <w:webHidden/>
          </w:rPr>
          <w:t>159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89" w:history="1">
        <w:r w:rsidRPr="002F4868">
          <w:rPr>
            <w:rStyle w:val="a5"/>
            <w:noProof/>
          </w:rPr>
          <w:t>Title: Acta Scientiarum Naturalium Universitatis Pekinensis</w:t>
        </w:r>
        <w:r>
          <w:rPr>
            <w:noProof/>
            <w:webHidden/>
          </w:rPr>
          <w:tab/>
        </w:r>
        <w:r>
          <w:rPr>
            <w:noProof/>
            <w:webHidden/>
          </w:rPr>
          <w:fldChar w:fldCharType="begin"/>
        </w:r>
        <w:r>
          <w:rPr>
            <w:noProof/>
            <w:webHidden/>
          </w:rPr>
          <w:instrText xml:space="preserve"> PAGEREF _Toc420814289 \h </w:instrText>
        </w:r>
        <w:r>
          <w:rPr>
            <w:noProof/>
            <w:webHidden/>
          </w:rPr>
        </w:r>
        <w:r>
          <w:rPr>
            <w:noProof/>
            <w:webHidden/>
          </w:rPr>
          <w:fldChar w:fldCharType="separate"/>
        </w:r>
        <w:r>
          <w:rPr>
            <w:noProof/>
            <w:webHidden/>
          </w:rPr>
          <w:t>161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0" w:history="1">
        <w:r w:rsidRPr="002F4868">
          <w:rPr>
            <w:rStyle w:val="a5"/>
            <w:noProof/>
          </w:rPr>
          <w:t>Title: Acta Societatis Ophthalmologicae Sinicae</w:t>
        </w:r>
        <w:r>
          <w:rPr>
            <w:noProof/>
            <w:webHidden/>
          </w:rPr>
          <w:tab/>
        </w:r>
        <w:r>
          <w:rPr>
            <w:noProof/>
            <w:webHidden/>
          </w:rPr>
          <w:fldChar w:fldCharType="begin"/>
        </w:r>
        <w:r>
          <w:rPr>
            <w:noProof/>
            <w:webHidden/>
          </w:rPr>
          <w:instrText xml:space="preserve"> PAGEREF _Toc420814290 \h </w:instrText>
        </w:r>
        <w:r>
          <w:rPr>
            <w:noProof/>
            <w:webHidden/>
          </w:rPr>
        </w:r>
        <w:r>
          <w:rPr>
            <w:noProof/>
            <w:webHidden/>
          </w:rPr>
          <w:fldChar w:fldCharType="separate"/>
        </w:r>
        <w:r>
          <w:rPr>
            <w:noProof/>
            <w:webHidden/>
          </w:rPr>
          <w:t>162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1" w:history="1">
        <w:r w:rsidRPr="002F4868">
          <w:rPr>
            <w:rStyle w:val="a5"/>
            <w:noProof/>
          </w:rPr>
          <w:t>Title: Acta Sociologica</w:t>
        </w:r>
        <w:r>
          <w:rPr>
            <w:noProof/>
            <w:webHidden/>
          </w:rPr>
          <w:tab/>
        </w:r>
        <w:r>
          <w:rPr>
            <w:noProof/>
            <w:webHidden/>
          </w:rPr>
          <w:fldChar w:fldCharType="begin"/>
        </w:r>
        <w:r>
          <w:rPr>
            <w:noProof/>
            <w:webHidden/>
          </w:rPr>
          <w:instrText xml:space="preserve"> PAGEREF _Toc420814291 \h </w:instrText>
        </w:r>
        <w:r>
          <w:rPr>
            <w:noProof/>
            <w:webHidden/>
          </w:rPr>
        </w:r>
        <w:r>
          <w:rPr>
            <w:noProof/>
            <w:webHidden/>
          </w:rPr>
          <w:fldChar w:fldCharType="separate"/>
        </w:r>
        <w:r>
          <w:rPr>
            <w:noProof/>
            <w:webHidden/>
          </w:rPr>
          <w:t>164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2" w:history="1">
        <w:r w:rsidRPr="002F4868">
          <w:rPr>
            <w:rStyle w:val="a5"/>
            <w:noProof/>
          </w:rPr>
          <w:t>Title: Acta Stomatologica Croatica</w:t>
        </w:r>
        <w:r>
          <w:rPr>
            <w:noProof/>
            <w:webHidden/>
          </w:rPr>
          <w:tab/>
        </w:r>
        <w:r>
          <w:rPr>
            <w:noProof/>
            <w:webHidden/>
          </w:rPr>
          <w:fldChar w:fldCharType="begin"/>
        </w:r>
        <w:r>
          <w:rPr>
            <w:noProof/>
            <w:webHidden/>
          </w:rPr>
          <w:instrText xml:space="preserve"> PAGEREF _Toc420814292 \h </w:instrText>
        </w:r>
        <w:r>
          <w:rPr>
            <w:noProof/>
            <w:webHidden/>
          </w:rPr>
        </w:r>
        <w:r>
          <w:rPr>
            <w:noProof/>
            <w:webHidden/>
          </w:rPr>
          <w:fldChar w:fldCharType="separate"/>
        </w:r>
        <w:r>
          <w:rPr>
            <w:noProof/>
            <w:webHidden/>
          </w:rPr>
          <w:t>165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3" w:history="1">
        <w:r w:rsidRPr="002F4868">
          <w:rPr>
            <w:rStyle w:val="a5"/>
            <w:noProof/>
          </w:rPr>
          <w:t>Title: Acta Tropica</w:t>
        </w:r>
        <w:r>
          <w:rPr>
            <w:noProof/>
            <w:webHidden/>
          </w:rPr>
          <w:tab/>
        </w:r>
        <w:r>
          <w:rPr>
            <w:noProof/>
            <w:webHidden/>
          </w:rPr>
          <w:fldChar w:fldCharType="begin"/>
        </w:r>
        <w:r>
          <w:rPr>
            <w:noProof/>
            <w:webHidden/>
          </w:rPr>
          <w:instrText xml:space="preserve"> PAGEREF _Toc420814293 \h </w:instrText>
        </w:r>
        <w:r>
          <w:rPr>
            <w:noProof/>
            <w:webHidden/>
          </w:rPr>
        </w:r>
        <w:r>
          <w:rPr>
            <w:noProof/>
            <w:webHidden/>
          </w:rPr>
          <w:fldChar w:fldCharType="separate"/>
        </w:r>
        <w:r>
          <w:rPr>
            <w:noProof/>
            <w:webHidden/>
          </w:rPr>
          <w:t>168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4" w:history="1">
        <w:r w:rsidRPr="002F4868">
          <w:rPr>
            <w:rStyle w:val="a5"/>
            <w:noProof/>
            <w:lang w:val="fr-FR"/>
          </w:rPr>
          <w:t>Title: Actas Espanolas de Psiquiatria</w:t>
        </w:r>
        <w:r>
          <w:rPr>
            <w:noProof/>
            <w:webHidden/>
          </w:rPr>
          <w:tab/>
        </w:r>
        <w:r>
          <w:rPr>
            <w:noProof/>
            <w:webHidden/>
          </w:rPr>
          <w:fldChar w:fldCharType="begin"/>
        </w:r>
        <w:r>
          <w:rPr>
            <w:noProof/>
            <w:webHidden/>
          </w:rPr>
          <w:instrText xml:space="preserve"> PAGEREF _Toc420814294 \h </w:instrText>
        </w:r>
        <w:r>
          <w:rPr>
            <w:noProof/>
            <w:webHidden/>
          </w:rPr>
        </w:r>
        <w:r>
          <w:rPr>
            <w:noProof/>
            <w:webHidden/>
          </w:rPr>
          <w:fldChar w:fldCharType="separate"/>
        </w:r>
        <w:r>
          <w:rPr>
            <w:noProof/>
            <w:webHidden/>
          </w:rPr>
          <w:t>170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5" w:history="1">
        <w:r w:rsidRPr="002F4868">
          <w:rPr>
            <w:rStyle w:val="a5"/>
            <w:noProof/>
            <w:lang w:val="fr-FR"/>
          </w:rPr>
          <w:t xml:space="preserve">Title: </w:t>
        </w:r>
        <w:r w:rsidRPr="002F4868">
          <w:rPr>
            <w:rStyle w:val="a5"/>
            <w:noProof/>
          </w:rPr>
          <w:t>Actas Urologicas Espanolas</w:t>
        </w:r>
        <w:r>
          <w:rPr>
            <w:noProof/>
            <w:webHidden/>
          </w:rPr>
          <w:tab/>
        </w:r>
        <w:r>
          <w:rPr>
            <w:noProof/>
            <w:webHidden/>
          </w:rPr>
          <w:fldChar w:fldCharType="begin"/>
        </w:r>
        <w:r>
          <w:rPr>
            <w:noProof/>
            <w:webHidden/>
          </w:rPr>
          <w:instrText xml:space="preserve"> PAGEREF _Toc420814295 \h </w:instrText>
        </w:r>
        <w:r>
          <w:rPr>
            <w:noProof/>
            <w:webHidden/>
          </w:rPr>
        </w:r>
        <w:r>
          <w:rPr>
            <w:noProof/>
            <w:webHidden/>
          </w:rPr>
          <w:fldChar w:fldCharType="separate"/>
        </w:r>
        <w:r>
          <w:rPr>
            <w:noProof/>
            <w:webHidden/>
          </w:rPr>
          <w:t>175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6" w:history="1">
        <w:r w:rsidRPr="002F4868">
          <w:rPr>
            <w:rStyle w:val="a5"/>
            <w:noProof/>
          </w:rPr>
          <w:t>Title: Actes de la Recherche en Sciences Sociales</w:t>
        </w:r>
        <w:r>
          <w:rPr>
            <w:noProof/>
            <w:webHidden/>
          </w:rPr>
          <w:tab/>
        </w:r>
        <w:r>
          <w:rPr>
            <w:noProof/>
            <w:webHidden/>
          </w:rPr>
          <w:fldChar w:fldCharType="begin"/>
        </w:r>
        <w:r>
          <w:rPr>
            <w:noProof/>
            <w:webHidden/>
          </w:rPr>
          <w:instrText xml:space="preserve"> PAGEREF _Toc420814296 \h </w:instrText>
        </w:r>
        <w:r>
          <w:rPr>
            <w:noProof/>
            <w:webHidden/>
          </w:rPr>
        </w:r>
        <w:r>
          <w:rPr>
            <w:noProof/>
            <w:webHidden/>
          </w:rPr>
          <w:fldChar w:fldCharType="separate"/>
        </w:r>
        <w:r>
          <w:rPr>
            <w:noProof/>
            <w:webHidden/>
          </w:rPr>
          <w:t>181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7" w:history="1">
        <w:r w:rsidRPr="002F4868">
          <w:rPr>
            <w:rStyle w:val="a5"/>
            <w:noProof/>
          </w:rPr>
          <w:t>Title: Action Research</w:t>
        </w:r>
        <w:r>
          <w:rPr>
            <w:noProof/>
            <w:webHidden/>
          </w:rPr>
          <w:tab/>
        </w:r>
        <w:r>
          <w:rPr>
            <w:noProof/>
            <w:webHidden/>
          </w:rPr>
          <w:fldChar w:fldCharType="begin"/>
        </w:r>
        <w:r>
          <w:rPr>
            <w:noProof/>
            <w:webHidden/>
          </w:rPr>
          <w:instrText xml:space="preserve"> PAGEREF _Toc420814297 \h </w:instrText>
        </w:r>
        <w:r>
          <w:rPr>
            <w:noProof/>
            <w:webHidden/>
          </w:rPr>
        </w:r>
        <w:r>
          <w:rPr>
            <w:noProof/>
            <w:webHidden/>
          </w:rPr>
          <w:fldChar w:fldCharType="separate"/>
        </w:r>
        <w:r>
          <w:rPr>
            <w:noProof/>
            <w:webHidden/>
          </w:rPr>
          <w:t>182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8" w:history="1">
        <w:r w:rsidRPr="002F4868">
          <w:rPr>
            <w:rStyle w:val="a5"/>
            <w:noProof/>
          </w:rPr>
          <w:t>Title: Activitas Nervosa Superior</w:t>
        </w:r>
        <w:r>
          <w:rPr>
            <w:noProof/>
            <w:webHidden/>
          </w:rPr>
          <w:tab/>
        </w:r>
        <w:r>
          <w:rPr>
            <w:noProof/>
            <w:webHidden/>
          </w:rPr>
          <w:fldChar w:fldCharType="begin"/>
        </w:r>
        <w:r>
          <w:rPr>
            <w:noProof/>
            <w:webHidden/>
          </w:rPr>
          <w:instrText xml:space="preserve"> PAGEREF _Toc420814298 \h </w:instrText>
        </w:r>
        <w:r>
          <w:rPr>
            <w:noProof/>
            <w:webHidden/>
          </w:rPr>
        </w:r>
        <w:r>
          <w:rPr>
            <w:noProof/>
            <w:webHidden/>
          </w:rPr>
          <w:fldChar w:fldCharType="separate"/>
        </w:r>
        <w:r>
          <w:rPr>
            <w:noProof/>
            <w:webHidden/>
          </w:rPr>
          <w:t>184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299" w:history="1">
        <w:r w:rsidRPr="002F4868">
          <w:rPr>
            <w:rStyle w:val="a5"/>
            <w:noProof/>
          </w:rPr>
          <w:t>Title: Actualite Chimique</w:t>
        </w:r>
        <w:r>
          <w:rPr>
            <w:noProof/>
            <w:webHidden/>
          </w:rPr>
          <w:tab/>
        </w:r>
        <w:r>
          <w:rPr>
            <w:noProof/>
            <w:webHidden/>
          </w:rPr>
          <w:fldChar w:fldCharType="begin"/>
        </w:r>
        <w:r>
          <w:rPr>
            <w:noProof/>
            <w:webHidden/>
          </w:rPr>
          <w:instrText xml:space="preserve"> PAGEREF _Toc420814299 \h </w:instrText>
        </w:r>
        <w:r>
          <w:rPr>
            <w:noProof/>
            <w:webHidden/>
          </w:rPr>
        </w:r>
        <w:r>
          <w:rPr>
            <w:noProof/>
            <w:webHidden/>
          </w:rPr>
          <w:fldChar w:fldCharType="separate"/>
        </w:r>
        <w:r>
          <w:rPr>
            <w:noProof/>
            <w:webHidden/>
          </w:rPr>
          <w:t>185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0" w:history="1">
        <w:r w:rsidRPr="002F4868">
          <w:rPr>
            <w:rStyle w:val="a5"/>
            <w:noProof/>
          </w:rPr>
          <w:t>Title: Acupuncture in Medicine</w:t>
        </w:r>
        <w:r>
          <w:rPr>
            <w:noProof/>
            <w:webHidden/>
          </w:rPr>
          <w:tab/>
        </w:r>
        <w:r>
          <w:rPr>
            <w:noProof/>
            <w:webHidden/>
          </w:rPr>
          <w:fldChar w:fldCharType="begin"/>
        </w:r>
        <w:r>
          <w:rPr>
            <w:noProof/>
            <w:webHidden/>
          </w:rPr>
          <w:instrText xml:space="preserve"> PAGEREF _Toc420814300 \h </w:instrText>
        </w:r>
        <w:r>
          <w:rPr>
            <w:noProof/>
            <w:webHidden/>
          </w:rPr>
        </w:r>
        <w:r>
          <w:rPr>
            <w:noProof/>
            <w:webHidden/>
          </w:rPr>
          <w:fldChar w:fldCharType="separate"/>
        </w:r>
        <w:r>
          <w:rPr>
            <w:noProof/>
            <w:webHidden/>
          </w:rPr>
          <w:t>186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1" w:history="1">
        <w:r w:rsidRPr="002F4868">
          <w:rPr>
            <w:rStyle w:val="a5"/>
            <w:noProof/>
          </w:rPr>
          <w:t>Title: Adapted Physical Activity Quarterly</w:t>
        </w:r>
        <w:r>
          <w:rPr>
            <w:noProof/>
            <w:webHidden/>
          </w:rPr>
          <w:tab/>
        </w:r>
        <w:r>
          <w:rPr>
            <w:noProof/>
            <w:webHidden/>
          </w:rPr>
          <w:fldChar w:fldCharType="begin"/>
        </w:r>
        <w:r>
          <w:rPr>
            <w:noProof/>
            <w:webHidden/>
          </w:rPr>
          <w:instrText xml:space="preserve"> PAGEREF _Toc420814301 \h </w:instrText>
        </w:r>
        <w:r>
          <w:rPr>
            <w:noProof/>
            <w:webHidden/>
          </w:rPr>
        </w:r>
        <w:r>
          <w:rPr>
            <w:noProof/>
            <w:webHidden/>
          </w:rPr>
          <w:fldChar w:fldCharType="separate"/>
        </w:r>
        <w:r>
          <w:rPr>
            <w:noProof/>
            <w:webHidden/>
          </w:rPr>
          <w:t>188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2" w:history="1">
        <w:r w:rsidRPr="002F4868">
          <w:rPr>
            <w:rStyle w:val="a5"/>
            <w:noProof/>
          </w:rPr>
          <w:t>Title: Addiction</w:t>
        </w:r>
        <w:r>
          <w:rPr>
            <w:noProof/>
            <w:webHidden/>
          </w:rPr>
          <w:tab/>
        </w:r>
        <w:r>
          <w:rPr>
            <w:noProof/>
            <w:webHidden/>
          </w:rPr>
          <w:fldChar w:fldCharType="begin"/>
        </w:r>
        <w:r>
          <w:rPr>
            <w:noProof/>
            <w:webHidden/>
          </w:rPr>
          <w:instrText xml:space="preserve"> PAGEREF _Toc420814302 \h </w:instrText>
        </w:r>
        <w:r>
          <w:rPr>
            <w:noProof/>
            <w:webHidden/>
          </w:rPr>
        </w:r>
        <w:r>
          <w:rPr>
            <w:noProof/>
            <w:webHidden/>
          </w:rPr>
          <w:fldChar w:fldCharType="separate"/>
        </w:r>
        <w:r>
          <w:rPr>
            <w:noProof/>
            <w:webHidden/>
          </w:rPr>
          <w:t>190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3" w:history="1">
        <w:r w:rsidRPr="002F4868">
          <w:rPr>
            <w:rStyle w:val="a5"/>
            <w:noProof/>
          </w:rPr>
          <w:t>Title: Addictive Behaviors</w:t>
        </w:r>
        <w:r>
          <w:rPr>
            <w:noProof/>
            <w:webHidden/>
          </w:rPr>
          <w:tab/>
        </w:r>
        <w:r>
          <w:rPr>
            <w:noProof/>
            <w:webHidden/>
          </w:rPr>
          <w:fldChar w:fldCharType="begin"/>
        </w:r>
        <w:r>
          <w:rPr>
            <w:noProof/>
            <w:webHidden/>
          </w:rPr>
          <w:instrText xml:space="preserve"> PAGEREF _Toc420814303 \h </w:instrText>
        </w:r>
        <w:r>
          <w:rPr>
            <w:noProof/>
            <w:webHidden/>
          </w:rPr>
        </w:r>
        <w:r>
          <w:rPr>
            <w:noProof/>
            <w:webHidden/>
          </w:rPr>
          <w:fldChar w:fldCharType="separate"/>
        </w:r>
        <w:r>
          <w:rPr>
            <w:noProof/>
            <w:webHidden/>
          </w:rPr>
          <w:t>199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4" w:history="1">
        <w:r w:rsidRPr="002F4868">
          <w:rPr>
            <w:rStyle w:val="a5"/>
            <w:noProof/>
          </w:rPr>
          <w:t>Title: Adicciones</w:t>
        </w:r>
        <w:r>
          <w:rPr>
            <w:noProof/>
            <w:webHidden/>
          </w:rPr>
          <w:tab/>
        </w:r>
        <w:r>
          <w:rPr>
            <w:noProof/>
            <w:webHidden/>
          </w:rPr>
          <w:fldChar w:fldCharType="begin"/>
        </w:r>
        <w:r>
          <w:rPr>
            <w:noProof/>
            <w:webHidden/>
          </w:rPr>
          <w:instrText xml:space="preserve"> PAGEREF _Toc420814304 \h </w:instrText>
        </w:r>
        <w:r>
          <w:rPr>
            <w:noProof/>
            <w:webHidden/>
          </w:rPr>
        </w:r>
        <w:r>
          <w:rPr>
            <w:noProof/>
            <w:webHidden/>
          </w:rPr>
          <w:fldChar w:fldCharType="separate"/>
        </w:r>
        <w:r>
          <w:rPr>
            <w:noProof/>
            <w:webHidden/>
          </w:rPr>
          <w:t>201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5" w:history="1">
        <w:r w:rsidRPr="002F4868">
          <w:rPr>
            <w:rStyle w:val="a5"/>
            <w:noProof/>
          </w:rPr>
          <w:t>Title: Adult Education Quarterly</w:t>
        </w:r>
        <w:r>
          <w:rPr>
            <w:noProof/>
            <w:webHidden/>
          </w:rPr>
          <w:tab/>
        </w:r>
        <w:r>
          <w:rPr>
            <w:noProof/>
            <w:webHidden/>
          </w:rPr>
          <w:fldChar w:fldCharType="begin"/>
        </w:r>
        <w:r>
          <w:rPr>
            <w:noProof/>
            <w:webHidden/>
          </w:rPr>
          <w:instrText xml:space="preserve"> PAGEREF _Toc420814305 \h </w:instrText>
        </w:r>
        <w:r>
          <w:rPr>
            <w:noProof/>
            <w:webHidden/>
          </w:rPr>
        </w:r>
        <w:r>
          <w:rPr>
            <w:noProof/>
            <w:webHidden/>
          </w:rPr>
          <w:fldChar w:fldCharType="separate"/>
        </w:r>
        <w:r>
          <w:rPr>
            <w:noProof/>
            <w:webHidden/>
          </w:rPr>
          <w:t>203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6" w:history="1">
        <w:r w:rsidRPr="002F4868">
          <w:rPr>
            <w:rStyle w:val="a5"/>
            <w:noProof/>
          </w:rPr>
          <w:t>Title: Advanced Drug Delivery Reviews</w:t>
        </w:r>
        <w:r>
          <w:rPr>
            <w:noProof/>
            <w:webHidden/>
          </w:rPr>
          <w:tab/>
        </w:r>
        <w:r>
          <w:rPr>
            <w:noProof/>
            <w:webHidden/>
          </w:rPr>
          <w:fldChar w:fldCharType="begin"/>
        </w:r>
        <w:r>
          <w:rPr>
            <w:noProof/>
            <w:webHidden/>
          </w:rPr>
          <w:instrText xml:space="preserve"> PAGEREF _Toc420814306 \h </w:instrText>
        </w:r>
        <w:r>
          <w:rPr>
            <w:noProof/>
            <w:webHidden/>
          </w:rPr>
        </w:r>
        <w:r>
          <w:rPr>
            <w:noProof/>
            <w:webHidden/>
          </w:rPr>
          <w:fldChar w:fldCharType="separate"/>
        </w:r>
        <w:r>
          <w:rPr>
            <w:noProof/>
            <w:webHidden/>
          </w:rPr>
          <w:t>205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7" w:history="1">
        <w:r w:rsidRPr="002F4868">
          <w:rPr>
            <w:rStyle w:val="a5"/>
            <w:noProof/>
          </w:rPr>
          <w:t>Title: Advanced Engineering Materials</w:t>
        </w:r>
        <w:r>
          <w:rPr>
            <w:noProof/>
            <w:webHidden/>
          </w:rPr>
          <w:tab/>
        </w:r>
        <w:r>
          <w:rPr>
            <w:noProof/>
            <w:webHidden/>
          </w:rPr>
          <w:fldChar w:fldCharType="begin"/>
        </w:r>
        <w:r>
          <w:rPr>
            <w:noProof/>
            <w:webHidden/>
          </w:rPr>
          <w:instrText xml:space="preserve"> PAGEREF _Toc420814307 \h </w:instrText>
        </w:r>
        <w:r>
          <w:rPr>
            <w:noProof/>
            <w:webHidden/>
          </w:rPr>
        </w:r>
        <w:r>
          <w:rPr>
            <w:noProof/>
            <w:webHidden/>
          </w:rPr>
          <w:fldChar w:fldCharType="separate"/>
        </w:r>
        <w:r>
          <w:rPr>
            <w:noProof/>
            <w:webHidden/>
          </w:rPr>
          <w:t>206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8" w:history="1">
        <w:r w:rsidRPr="002F4868">
          <w:rPr>
            <w:rStyle w:val="a5"/>
            <w:noProof/>
          </w:rPr>
          <w:t>Title: Advanced Materials</w:t>
        </w:r>
        <w:r>
          <w:rPr>
            <w:noProof/>
            <w:webHidden/>
          </w:rPr>
          <w:tab/>
        </w:r>
        <w:r>
          <w:rPr>
            <w:noProof/>
            <w:webHidden/>
          </w:rPr>
          <w:fldChar w:fldCharType="begin"/>
        </w:r>
        <w:r>
          <w:rPr>
            <w:noProof/>
            <w:webHidden/>
          </w:rPr>
          <w:instrText xml:space="preserve"> PAGEREF _Toc420814308 \h </w:instrText>
        </w:r>
        <w:r>
          <w:rPr>
            <w:noProof/>
            <w:webHidden/>
          </w:rPr>
        </w:r>
        <w:r>
          <w:rPr>
            <w:noProof/>
            <w:webHidden/>
          </w:rPr>
          <w:fldChar w:fldCharType="separate"/>
        </w:r>
        <w:r>
          <w:rPr>
            <w:noProof/>
            <w:webHidden/>
          </w:rPr>
          <w:t>207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09" w:history="1">
        <w:r w:rsidRPr="002F4868">
          <w:rPr>
            <w:rStyle w:val="a5"/>
            <w:noProof/>
          </w:rPr>
          <w:t>Title: Advances in Anatomic Pathology</w:t>
        </w:r>
        <w:r>
          <w:rPr>
            <w:noProof/>
            <w:webHidden/>
          </w:rPr>
          <w:tab/>
        </w:r>
        <w:r>
          <w:rPr>
            <w:noProof/>
            <w:webHidden/>
          </w:rPr>
          <w:fldChar w:fldCharType="begin"/>
        </w:r>
        <w:r>
          <w:rPr>
            <w:noProof/>
            <w:webHidden/>
          </w:rPr>
          <w:instrText xml:space="preserve"> PAGEREF _Toc420814309 \h </w:instrText>
        </w:r>
        <w:r>
          <w:rPr>
            <w:noProof/>
            <w:webHidden/>
          </w:rPr>
        </w:r>
        <w:r>
          <w:rPr>
            <w:noProof/>
            <w:webHidden/>
          </w:rPr>
          <w:fldChar w:fldCharType="separate"/>
        </w:r>
        <w:r>
          <w:rPr>
            <w:noProof/>
            <w:webHidden/>
          </w:rPr>
          <w:t>208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0" w:history="1">
        <w:r w:rsidRPr="002F4868">
          <w:rPr>
            <w:rStyle w:val="a5"/>
            <w:noProof/>
          </w:rPr>
          <w:t>Title: Advances in Atmospheric Sciences</w:t>
        </w:r>
        <w:r>
          <w:rPr>
            <w:noProof/>
            <w:webHidden/>
          </w:rPr>
          <w:tab/>
        </w:r>
        <w:r>
          <w:rPr>
            <w:noProof/>
            <w:webHidden/>
          </w:rPr>
          <w:fldChar w:fldCharType="begin"/>
        </w:r>
        <w:r>
          <w:rPr>
            <w:noProof/>
            <w:webHidden/>
          </w:rPr>
          <w:instrText xml:space="preserve"> PAGEREF _Toc420814310 \h </w:instrText>
        </w:r>
        <w:r>
          <w:rPr>
            <w:noProof/>
            <w:webHidden/>
          </w:rPr>
        </w:r>
        <w:r>
          <w:rPr>
            <w:noProof/>
            <w:webHidden/>
          </w:rPr>
          <w:fldChar w:fldCharType="separate"/>
        </w:r>
        <w:r>
          <w:rPr>
            <w:noProof/>
            <w:webHidden/>
          </w:rPr>
          <w:t>210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1" w:history="1">
        <w:r w:rsidRPr="002F4868">
          <w:rPr>
            <w:rStyle w:val="a5"/>
            <w:noProof/>
          </w:rPr>
          <w:t>Title: Advances in Classification Research</w:t>
        </w:r>
        <w:r>
          <w:rPr>
            <w:noProof/>
            <w:webHidden/>
          </w:rPr>
          <w:tab/>
        </w:r>
        <w:r>
          <w:rPr>
            <w:noProof/>
            <w:webHidden/>
          </w:rPr>
          <w:fldChar w:fldCharType="begin"/>
        </w:r>
        <w:r>
          <w:rPr>
            <w:noProof/>
            <w:webHidden/>
          </w:rPr>
          <w:instrText xml:space="preserve"> PAGEREF _Toc420814311 \h </w:instrText>
        </w:r>
        <w:r>
          <w:rPr>
            <w:noProof/>
            <w:webHidden/>
          </w:rPr>
        </w:r>
        <w:r>
          <w:rPr>
            <w:noProof/>
            <w:webHidden/>
          </w:rPr>
          <w:fldChar w:fldCharType="separate"/>
        </w:r>
        <w:r>
          <w:rPr>
            <w:noProof/>
            <w:webHidden/>
          </w:rPr>
          <w:t>212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2" w:history="1">
        <w:r w:rsidRPr="002F4868">
          <w:rPr>
            <w:rStyle w:val="a5"/>
            <w:noProof/>
          </w:rPr>
          <w:t>Title: Advances in Climate Change Research</w:t>
        </w:r>
        <w:r>
          <w:rPr>
            <w:noProof/>
            <w:webHidden/>
          </w:rPr>
          <w:tab/>
        </w:r>
        <w:r>
          <w:rPr>
            <w:noProof/>
            <w:webHidden/>
          </w:rPr>
          <w:fldChar w:fldCharType="begin"/>
        </w:r>
        <w:r>
          <w:rPr>
            <w:noProof/>
            <w:webHidden/>
          </w:rPr>
          <w:instrText xml:space="preserve"> PAGEREF _Toc420814312 \h </w:instrText>
        </w:r>
        <w:r>
          <w:rPr>
            <w:noProof/>
            <w:webHidden/>
          </w:rPr>
        </w:r>
        <w:r>
          <w:rPr>
            <w:noProof/>
            <w:webHidden/>
          </w:rPr>
          <w:fldChar w:fldCharType="separate"/>
        </w:r>
        <w:r>
          <w:rPr>
            <w:noProof/>
            <w:webHidden/>
          </w:rPr>
          <w:t>213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3" w:history="1">
        <w:r w:rsidRPr="002F4868">
          <w:rPr>
            <w:rStyle w:val="a5"/>
            <w:noProof/>
          </w:rPr>
          <w:t>Title: Advances in Complex Systems</w:t>
        </w:r>
        <w:r>
          <w:rPr>
            <w:noProof/>
            <w:webHidden/>
          </w:rPr>
          <w:tab/>
        </w:r>
        <w:r>
          <w:rPr>
            <w:noProof/>
            <w:webHidden/>
          </w:rPr>
          <w:fldChar w:fldCharType="begin"/>
        </w:r>
        <w:r>
          <w:rPr>
            <w:noProof/>
            <w:webHidden/>
          </w:rPr>
          <w:instrText xml:space="preserve"> PAGEREF _Toc420814313 \h </w:instrText>
        </w:r>
        <w:r>
          <w:rPr>
            <w:noProof/>
            <w:webHidden/>
          </w:rPr>
        </w:r>
        <w:r>
          <w:rPr>
            <w:noProof/>
            <w:webHidden/>
          </w:rPr>
          <w:fldChar w:fldCharType="separate"/>
        </w:r>
        <w:r>
          <w:rPr>
            <w:noProof/>
            <w:webHidden/>
          </w:rPr>
          <w:t>214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4" w:history="1">
        <w:r w:rsidRPr="002F4868">
          <w:rPr>
            <w:rStyle w:val="a5"/>
            <w:noProof/>
          </w:rPr>
          <w:t>Title: Advances in Consumer Research</w:t>
        </w:r>
        <w:r>
          <w:rPr>
            <w:noProof/>
            <w:webHidden/>
          </w:rPr>
          <w:tab/>
        </w:r>
        <w:r>
          <w:rPr>
            <w:noProof/>
            <w:webHidden/>
          </w:rPr>
          <w:fldChar w:fldCharType="begin"/>
        </w:r>
        <w:r>
          <w:rPr>
            <w:noProof/>
            <w:webHidden/>
          </w:rPr>
          <w:instrText xml:space="preserve"> PAGEREF _Toc420814314 \h </w:instrText>
        </w:r>
        <w:r>
          <w:rPr>
            <w:noProof/>
            <w:webHidden/>
          </w:rPr>
        </w:r>
        <w:r>
          <w:rPr>
            <w:noProof/>
            <w:webHidden/>
          </w:rPr>
          <w:fldChar w:fldCharType="separate"/>
        </w:r>
        <w:r>
          <w:rPr>
            <w:noProof/>
            <w:webHidden/>
          </w:rPr>
          <w:t>215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5" w:history="1">
        <w:r w:rsidRPr="002F4868">
          <w:rPr>
            <w:rStyle w:val="a5"/>
            <w:noProof/>
          </w:rPr>
          <w:t>Title: Advances in Data Analysis and Classification</w:t>
        </w:r>
        <w:r>
          <w:rPr>
            <w:noProof/>
            <w:webHidden/>
          </w:rPr>
          <w:tab/>
        </w:r>
        <w:r>
          <w:rPr>
            <w:noProof/>
            <w:webHidden/>
          </w:rPr>
          <w:fldChar w:fldCharType="begin"/>
        </w:r>
        <w:r>
          <w:rPr>
            <w:noProof/>
            <w:webHidden/>
          </w:rPr>
          <w:instrText xml:space="preserve"> PAGEREF _Toc420814315 \h </w:instrText>
        </w:r>
        <w:r>
          <w:rPr>
            <w:noProof/>
            <w:webHidden/>
          </w:rPr>
        </w:r>
        <w:r>
          <w:rPr>
            <w:noProof/>
            <w:webHidden/>
          </w:rPr>
          <w:fldChar w:fldCharType="separate"/>
        </w:r>
        <w:r>
          <w:rPr>
            <w:noProof/>
            <w:webHidden/>
          </w:rPr>
          <w:t>216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6" w:history="1">
        <w:r w:rsidRPr="002F4868">
          <w:rPr>
            <w:rStyle w:val="a5"/>
            <w:noProof/>
          </w:rPr>
          <w:t>Title: Advances in Earth Science</w:t>
        </w:r>
        <w:r>
          <w:rPr>
            <w:noProof/>
            <w:webHidden/>
          </w:rPr>
          <w:tab/>
        </w:r>
        <w:r>
          <w:rPr>
            <w:noProof/>
            <w:webHidden/>
          </w:rPr>
          <w:fldChar w:fldCharType="begin"/>
        </w:r>
        <w:r>
          <w:rPr>
            <w:noProof/>
            <w:webHidden/>
          </w:rPr>
          <w:instrText xml:space="preserve"> PAGEREF _Toc420814316 \h </w:instrText>
        </w:r>
        <w:r>
          <w:rPr>
            <w:noProof/>
            <w:webHidden/>
          </w:rPr>
        </w:r>
        <w:r>
          <w:rPr>
            <w:noProof/>
            <w:webHidden/>
          </w:rPr>
          <w:fldChar w:fldCharType="separate"/>
        </w:r>
        <w:r>
          <w:rPr>
            <w:noProof/>
            <w:webHidden/>
          </w:rPr>
          <w:t>217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7" w:history="1">
        <w:r w:rsidRPr="002F4868">
          <w:rPr>
            <w:rStyle w:val="a5"/>
            <w:noProof/>
          </w:rPr>
          <w:t>Title: Advances in Gerontology</w:t>
        </w:r>
        <w:r>
          <w:rPr>
            <w:noProof/>
            <w:webHidden/>
          </w:rPr>
          <w:tab/>
        </w:r>
        <w:r>
          <w:rPr>
            <w:noProof/>
            <w:webHidden/>
          </w:rPr>
          <w:fldChar w:fldCharType="begin"/>
        </w:r>
        <w:r>
          <w:rPr>
            <w:noProof/>
            <w:webHidden/>
          </w:rPr>
          <w:instrText xml:space="preserve"> PAGEREF _Toc420814317 \h </w:instrText>
        </w:r>
        <w:r>
          <w:rPr>
            <w:noProof/>
            <w:webHidden/>
          </w:rPr>
        </w:r>
        <w:r>
          <w:rPr>
            <w:noProof/>
            <w:webHidden/>
          </w:rPr>
          <w:fldChar w:fldCharType="separate"/>
        </w:r>
        <w:r>
          <w:rPr>
            <w:noProof/>
            <w:webHidden/>
          </w:rPr>
          <w:t>218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8" w:history="1">
        <w:r w:rsidRPr="002F4868">
          <w:rPr>
            <w:rStyle w:val="a5"/>
            <w:noProof/>
          </w:rPr>
          <w:t>Title: Advances in Knowledge Discovery and Data Mining, Proceedings</w:t>
        </w:r>
        <w:r>
          <w:rPr>
            <w:noProof/>
            <w:webHidden/>
          </w:rPr>
          <w:tab/>
        </w:r>
        <w:r>
          <w:rPr>
            <w:noProof/>
            <w:webHidden/>
          </w:rPr>
          <w:fldChar w:fldCharType="begin"/>
        </w:r>
        <w:r>
          <w:rPr>
            <w:noProof/>
            <w:webHidden/>
          </w:rPr>
          <w:instrText xml:space="preserve"> PAGEREF _Toc420814318 \h </w:instrText>
        </w:r>
        <w:r>
          <w:rPr>
            <w:noProof/>
            <w:webHidden/>
          </w:rPr>
        </w:r>
        <w:r>
          <w:rPr>
            <w:noProof/>
            <w:webHidden/>
          </w:rPr>
          <w:fldChar w:fldCharType="separate"/>
        </w:r>
        <w:r>
          <w:rPr>
            <w:noProof/>
            <w:webHidden/>
          </w:rPr>
          <w:t>219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19" w:history="1">
        <w:r w:rsidRPr="002F4868">
          <w:rPr>
            <w:rStyle w:val="a5"/>
            <w:noProof/>
          </w:rPr>
          <w:t>Title: Advances in Management of Technology</w:t>
        </w:r>
        <w:r>
          <w:rPr>
            <w:noProof/>
            <w:webHidden/>
          </w:rPr>
          <w:tab/>
        </w:r>
        <w:r>
          <w:rPr>
            <w:noProof/>
            <w:webHidden/>
          </w:rPr>
          <w:fldChar w:fldCharType="begin"/>
        </w:r>
        <w:r>
          <w:rPr>
            <w:noProof/>
            <w:webHidden/>
          </w:rPr>
          <w:instrText xml:space="preserve"> PAGEREF _Toc420814319 \h </w:instrText>
        </w:r>
        <w:r>
          <w:rPr>
            <w:noProof/>
            <w:webHidden/>
          </w:rPr>
        </w:r>
        <w:r>
          <w:rPr>
            <w:noProof/>
            <w:webHidden/>
          </w:rPr>
          <w:fldChar w:fldCharType="separate"/>
        </w:r>
        <w:r>
          <w:rPr>
            <w:noProof/>
            <w:webHidden/>
          </w:rPr>
          <w:t>220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0" w:history="1">
        <w:r w:rsidRPr="002F4868">
          <w:rPr>
            <w:rStyle w:val="a5"/>
            <w:noProof/>
          </w:rPr>
          <w:t>Title: Advances in Meditation Research: Neuroscience and Clinical Applications</w:t>
        </w:r>
        <w:r>
          <w:rPr>
            <w:noProof/>
            <w:webHidden/>
          </w:rPr>
          <w:tab/>
        </w:r>
        <w:r>
          <w:rPr>
            <w:noProof/>
            <w:webHidden/>
          </w:rPr>
          <w:fldChar w:fldCharType="begin"/>
        </w:r>
        <w:r>
          <w:rPr>
            <w:noProof/>
            <w:webHidden/>
          </w:rPr>
          <w:instrText xml:space="preserve"> PAGEREF _Toc420814320 \h </w:instrText>
        </w:r>
        <w:r>
          <w:rPr>
            <w:noProof/>
            <w:webHidden/>
          </w:rPr>
        </w:r>
        <w:r>
          <w:rPr>
            <w:noProof/>
            <w:webHidden/>
          </w:rPr>
          <w:fldChar w:fldCharType="separate"/>
        </w:r>
        <w:r>
          <w:rPr>
            <w:noProof/>
            <w:webHidden/>
          </w:rPr>
          <w:t>222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1" w:history="1">
        <w:r w:rsidRPr="002F4868">
          <w:rPr>
            <w:rStyle w:val="a5"/>
            <w:noProof/>
          </w:rPr>
          <w:t>Title: Advances in Meteorology</w:t>
        </w:r>
        <w:r>
          <w:rPr>
            <w:noProof/>
            <w:webHidden/>
          </w:rPr>
          <w:tab/>
        </w:r>
        <w:r>
          <w:rPr>
            <w:noProof/>
            <w:webHidden/>
          </w:rPr>
          <w:fldChar w:fldCharType="begin"/>
        </w:r>
        <w:r>
          <w:rPr>
            <w:noProof/>
            <w:webHidden/>
          </w:rPr>
          <w:instrText xml:space="preserve"> PAGEREF _Toc420814321 \h </w:instrText>
        </w:r>
        <w:r>
          <w:rPr>
            <w:noProof/>
            <w:webHidden/>
          </w:rPr>
        </w:r>
        <w:r>
          <w:rPr>
            <w:noProof/>
            <w:webHidden/>
          </w:rPr>
          <w:fldChar w:fldCharType="separate"/>
        </w:r>
        <w:r>
          <w:rPr>
            <w:noProof/>
            <w:webHidden/>
          </w:rPr>
          <w:t>224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2" w:history="1">
        <w:r w:rsidRPr="002F4868">
          <w:rPr>
            <w:rStyle w:val="a5"/>
            <w:noProof/>
          </w:rPr>
          <w:t>Title: Advances in Physiology Education</w:t>
        </w:r>
        <w:r>
          <w:rPr>
            <w:noProof/>
            <w:webHidden/>
          </w:rPr>
          <w:tab/>
        </w:r>
        <w:r>
          <w:rPr>
            <w:noProof/>
            <w:webHidden/>
          </w:rPr>
          <w:fldChar w:fldCharType="begin"/>
        </w:r>
        <w:r>
          <w:rPr>
            <w:noProof/>
            <w:webHidden/>
          </w:rPr>
          <w:instrText xml:space="preserve"> PAGEREF _Toc420814322 \h </w:instrText>
        </w:r>
        <w:r>
          <w:rPr>
            <w:noProof/>
            <w:webHidden/>
          </w:rPr>
        </w:r>
        <w:r>
          <w:rPr>
            <w:noProof/>
            <w:webHidden/>
          </w:rPr>
          <w:fldChar w:fldCharType="separate"/>
        </w:r>
        <w:r>
          <w:rPr>
            <w:noProof/>
            <w:webHidden/>
          </w:rPr>
          <w:t>225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3" w:history="1">
        <w:r w:rsidRPr="002F4868">
          <w:rPr>
            <w:rStyle w:val="a5"/>
            <w:noProof/>
          </w:rPr>
          <w:t>Title: Advances in Psychological Science</w:t>
        </w:r>
        <w:r>
          <w:rPr>
            <w:noProof/>
            <w:webHidden/>
          </w:rPr>
          <w:tab/>
        </w:r>
        <w:r>
          <w:rPr>
            <w:noProof/>
            <w:webHidden/>
          </w:rPr>
          <w:fldChar w:fldCharType="begin"/>
        </w:r>
        <w:r>
          <w:rPr>
            <w:noProof/>
            <w:webHidden/>
          </w:rPr>
          <w:instrText xml:space="preserve"> PAGEREF _Toc420814323 \h </w:instrText>
        </w:r>
        <w:r>
          <w:rPr>
            <w:noProof/>
            <w:webHidden/>
          </w:rPr>
        </w:r>
        <w:r>
          <w:rPr>
            <w:noProof/>
            <w:webHidden/>
          </w:rPr>
          <w:fldChar w:fldCharType="separate"/>
        </w:r>
        <w:r>
          <w:rPr>
            <w:noProof/>
            <w:webHidden/>
          </w:rPr>
          <w:t>227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4" w:history="1">
        <w:r w:rsidRPr="002F4868">
          <w:rPr>
            <w:rStyle w:val="a5"/>
            <w:noProof/>
          </w:rPr>
          <w:t>Title: Aesthetic Plastic Surgery</w:t>
        </w:r>
        <w:r>
          <w:rPr>
            <w:noProof/>
            <w:webHidden/>
          </w:rPr>
          <w:tab/>
        </w:r>
        <w:r>
          <w:rPr>
            <w:noProof/>
            <w:webHidden/>
          </w:rPr>
          <w:fldChar w:fldCharType="begin"/>
        </w:r>
        <w:r>
          <w:rPr>
            <w:noProof/>
            <w:webHidden/>
          </w:rPr>
          <w:instrText xml:space="preserve"> PAGEREF _Toc420814324 \h </w:instrText>
        </w:r>
        <w:r>
          <w:rPr>
            <w:noProof/>
            <w:webHidden/>
          </w:rPr>
        </w:r>
        <w:r>
          <w:rPr>
            <w:noProof/>
            <w:webHidden/>
          </w:rPr>
          <w:fldChar w:fldCharType="separate"/>
        </w:r>
        <w:r>
          <w:rPr>
            <w:noProof/>
            <w:webHidden/>
          </w:rPr>
          <w:t>228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5" w:history="1">
        <w:r w:rsidRPr="002F4868">
          <w:rPr>
            <w:rStyle w:val="a5"/>
            <w:noProof/>
          </w:rPr>
          <w:t>Title: Aesthetic Surgery Journal</w:t>
        </w:r>
        <w:r>
          <w:rPr>
            <w:noProof/>
            <w:webHidden/>
          </w:rPr>
          <w:tab/>
        </w:r>
        <w:r>
          <w:rPr>
            <w:noProof/>
            <w:webHidden/>
          </w:rPr>
          <w:fldChar w:fldCharType="begin"/>
        </w:r>
        <w:r>
          <w:rPr>
            <w:noProof/>
            <w:webHidden/>
          </w:rPr>
          <w:instrText xml:space="preserve"> PAGEREF _Toc420814325 \h </w:instrText>
        </w:r>
        <w:r>
          <w:rPr>
            <w:noProof/>
            <w:webHidden/>
          </w:rPr>
        </w:r>
        <w:r>
          <w:rPr>
            <w:noProof/>
            <w:webHidden/>
          </w:rPr>
          <w:fldChar w:fldCharType="separate"/>
        </w:r>
        <w:r>
          <w:rPr>
            <w:noProof/>
            <w:webHidden/>
          </w:rPr>
          <w:t>231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6" w:history="1">
        <w:r w:rsidRPr="002F4868">
          <w:rPr>
            <w:rStyle w:val="a5"/>
            <w:noProof/>
          </w:rPr>
          <w:t>Title: AJAR-African Journal of AIDS Research</w:t>
        </w:r>
        <w:r>
          <w:rPr>
            <w:noProof/>
            <w:webHidden/>
          </w:rPr>
          <w:tab/>
        </w:r>
        <w:r>
          <w:rPr>
            <w:noProof/>
            <w:webHidden/>
          </w:rPr>
          <w:fldChar w:fldCharType="begin"/>
        </w:r>
        <w:r>
          <w:rPr>
            <w:noProof/>
            <w:webHidden/>
          </w:rPr>
          <w:instrText xml:space="preserve"> PAGEREF _Toc420814326 \h </w:instrText>
        </w:r>
        <w:r>
          <w:rPr>
            <w:noProof/>
            <w:webHidden/>
          </w:rPr>
        </w:r>
        <w:r>
          <w:rPr>
            <w:noProof/>
            <w:webHidden/>
          </w:rPr>
          <w:fldChar w:fldCharType="separate"/>
        </w:r>
        <w:r>
          <w:rPr>
            <w:noProof/>
            <w:webHidden/>
          </w:rPr>
          <w:t>235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7" w:history="1">
        <w:r w:rsidRPr="002F4868">
          <w:rPr>
            <w:rStyle w:val="a5"/>
            <w:noProof/>
          </w:rPr>
          <w:t>Title: African Health Sciences</w:t>
        </w:r>
        <w:r>
          <w:rPr>
            <w:noProof/>
            <w:webHidden/>
          </w:rPr>
          <w:tab/>
        </w:r>
        <w:r>
          <w:rPr>
            <w:noProof/>
            <w:webHidden/>
          </w:rPr>
          <w:fldChar w:fldCharType="begin"/>
        </w:r>
        <w:r>
          <w:rPr>
            <w:noProof/>
            <w:webHidden/>
          </w:rPr>
          <w:instrText xml:space="preserve"> PAGEREF _Toc420814327 \h </w:instrText>
        </w:r>
        <w:r>
          <w:rPr>
            <w:noProof/>
            <w:webHidden/>
          </w:rPr>
        </w:r>
        <w:r>
          <w:rPr>
            <w:noProof/>
            <w:webHidden/>
          </w:rPr>
          <w:fldChar w:fldCharType="separate"/>
        </w:r>
        <w:r>
          <w:rPr>
            <w:noProof/>
            <w:webHidden/>
          </w:rPr>
          <w:t>237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8" w:history="1">
        <w:r w:rsidRPr="002F4868">
          <w:rPr>
            <w:rStyle w:val="a5"/>
            <w:noProof/>
          </w:rPr>
          <w:t>Title: African Journal of Biotechnology</w:t>
        </w:r>
        <w:r>
          <w:rPr>
            <w:noProof/>
            <w:webHidden/>
          </w:rPr>
          <w:tab/>
        </w:r>
        <w:r>
          <w:rPr>
            <w:noProof/>
            <w:webHidden/>
          </w:rPr>
          <w:fldChar w:fldCharType="begin"/>
        </w:r>
        <w:r>
          <w:rPr>
            <w:noProof/>
            <w:webHidden/>
          </w:rPr>
          <w:instrText xml:space="preserve"> PAGEREF _Toc420814328 \h </w:instrText>
        </w:r>
        <w:r>
          <w:rPr>
            <w:noProof/>
            <w:webHidden/>
          </w:rPr>
        </w:r>
        <w:r>
          <w:rPr>
            <w:noProof/>
            <w:webHidden/>
          </w:rPr>
          <w:fldChar w:fldCharType="separate"/>
        </w:r>
        <w:r>
          <w:rPr>
            <w:noProof/>
            <w:webHidden/>
          </w:rPr>
          <w:t>238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29" w:history="1">
        <w:r w:rsidRPr="002F4868">
          <w:rPr>
            <w:rStyle w:val="a5"/>
            <w:noProof/>
          </w:rPr>
          <w:t>Title: African Journal of Business Management</w:t>
        </w:r>
        <w:r>
          <w:rPr>
            <w:noProof/>
            <w:webHidden/>
          </w:rPr>
          <w:tab/>
        </w:r>
        <w:r>
          <w:rPr>
            <w:noProof/>
            <w:webHidden/>
          </w:rPr>
          <w:fldChar w:fldCharType="begin"/>
        </w:r>
        <w:r>
          <w:rPr>
            <w:noProof/>
            <w:webHidden/>
          </w:rPr>
          <w:instrText xml:space="preserve"> PAGEREF _Toc420814329 \h </w:instrText>
        </w:r>
        <w:r>
          <w:rPr>
            <w:noProof/>
            <w:webHidden/>
          </w:rPr>
        </w:r>
        <w:r>
          <w:rPr>
            <w:noProof/>
            <w:webHidden/>
          </w:rPr>
          <w:fldChar w:fldCharType="separate"/>
        </w:r>
        <w:r>
          <w:rPr>
            <w:noProof/>
            <w:webHidden/>
          </w:rPr>
          <w:t>241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0" w:history="1">
        <w:r w:rsidRPr="002F4868">
          <w:rPr>
            <w:rStyle w:val="a5"/>
            <w:noProof/>
          </w:rPr>
          <w:t>Title: African Journal of Library Archives and Information Science</w:t>
        </w:r>
        <w:r>
          <w:rPr>
            <w:noProof/>
            <w:webHidden/>
          </w:rPr>
          <w:tab/>
        </w:r>
        <w:r>
          <w:rPr>
            <w:noProof/>
            <w:webHidden/>
          </w:rPr>
          <w:fldChar w:fldCharType="begin"/>
        </w:r>
        <w:r>
          <w:rPr>
            <w:noProof/>
            <w:webHidden/>
          </w:rPr>
          <w:instrText xml:space="preserve"> PAGEREF _Toc420814330 \h </w:instrText>
        </w:r>
        <w:r>
          <w:rPr>
            <w:noProof/>
            <w:webHidden/>
          </w:rPr>
        </w:r>
        <w:r>
          <w:rPr>
            <w:noProof/>
            <w:webHidden/>
          </w:rPr>
          <w:fldChar w:fldCharType="separate"/>
        </w:r>
        <w:r>
          <w:rPr>
            <w:noProof/>
            <w:webHidden/>
          </w:rPr>
          <w:t>247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1" w:history="1">
        <w:r w:rsidRPr="002F4868">
          <w:rPr>
            <w:rStyle w:val="a5"/>
            <w:noProof/>
          </w:rPr>
          <w:t>Title: African Journal of Traditional Complementary and Alternative Medicines</w:t>
        </w:r>
        <w:r>
          <w:rPr>
            <w:noProof/>
            <w:webHidden/>
          </w:rPr>
          <w:tab/>
        </w:r>
        <w:r>
          <w:rPr>
            <w:noProof/>
            <w:webHidden/>
          </w:rPr>
          <w:fldChar w:fldCharType="begin"/>
        </w:r>
        <w:r>
          <w:rPr>
            <w:noProof/>
            <w:webHidden/>
          </w:rPr>
          <w:instrText xml:space="preserve"> PAGEREF _Toc420814331 \h </w:instrText>
        </w:r>
        <w:r>
          <w:rPr>
            <w:noProof/>
            <w:webHidden/>
          </w:rPr>
        </w:r>
        <w:r>
          <w:rPr>
            <w:noProof/>
            <w:webHidden/>
          </w:rPr>
          <w:fldChar w:fldCharType="separate"/>
        </w:r>
        <w:r>
          <w:rPr>
            <w:noProof/>
            <w:webHidden/>
          </w:rPr>
          <w:t>251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2" w:history="1">
        <w:r w:rsidRPr="002F4868">
          <w:rPr>
            <w:rStyle w:val="a5"/>
            <w:noProof/>
          </w:rPr>
          <w:t>Title: Age</w:t>
        </w:r>
        <w:r>
          <w:rPr>
            <w:noProof/>
            <w:webHidden/>
          </w:rPr>
          <w:tab/>
        </w:r>
        <w:r>
          <w:rPr>
            <w:noProof/>
            <w:webHidden/>
          </w:rPr>
          <w:fldChar w:fldCharType="begin"/>
        </w:r>
        <w:r>
          <w:rPr>
            <w:noProof/>
            <w:webHidden/>
          </w:rPr>
          <w:instrText xml:space="preserve"> PAGEREF _Toc420814332 \h </w:instrText>
        </w:r>
        <w:r>
          <w:rPr>
            <w:noProof/>
            <w:webHidden/>
          </w:rPr>
        </w:r>
        <w:r>
          <w:rPr>
            <w:noProof/>
            <w:webHidden/>
          </w:rPr>
          <w:fldChar w:fldCharType="separate"/>
        </w:r>
        <w:r>
          <w:rPr>
            <w:noProof/>
            <w:webHidden/>
          </w:rPr>
          <w:t>254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3" w:history="1">
        <w:r w:rsidRPr="002F4868">
          <w:rPr>
            <w:rStyle w:val="a5"/>
            <w:noProof/>
          </w:rPr>
          <w:t>Title: Age and Ageing</w:t>
        </w:r>
        <w:r>
          <w:rPr>
            <w:noProof/>
            <w:webHidden/>
          </w:rPr>
          <w:tab/>
        </w:r>
        <w:r>
          <w:rPr>
            <w:noProof/>
            <w:webHidden/>
          </w:rPr>
          <w:fldChar w:fldCharType="begin"/>
        </w:r>
        <w:r>
          <w:rPr>
            <w:noProof/>
            <w:webHidden/>
          </w:rPr>
          <w:instrText xml:space="preserve"> PAGEREF _Toc420814333 \h </w:instrText>
        </w:r>
        <w:r>
          <w:rPr>
            <w:noProof/>
            <w:webHidden/>
          </w:rPr>
        </w:r>
        <w:r>
          <w:rPr>
            <w:noProof/>
            <w:webHidden/>
          </w:rPr>
          <w:fldChar w:fldCharType="separate"/>
        </w:r>
        <w:r>
          <w:rPr>
            <w:noProof/>
            <w:webHidden/>
          </w:rPr>
          <w:t>256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4" w:history="1">
        <w:r w:rsidRPr="002F4868">
          <w:rPr>
            <w:rStyle w:val="a5"/>
            <w:noProof/>
          </w:rPr>
          <w:t>Title: Ageing and Society</w:t>
        </w:r>
        <w:r>
          <w:rPr>
            <w:noProof/>
            <w:webHidden/>
          </w:rPr>
          <w:tab/>
        </w:r>
        <w:r>
          <w:rPr>
            <w:noProof/>
            <w:webHidden/>
          </w:rPr>
          <w:fldChar w:fldCharType="begin"/>
        </w:r>
        <w:r>
          <w:rPr>
            <w:noProof/>
            <w:webHidden/>
          </w:rPr>
          <w:instrText xml:space="preserve"> PAGEREF _Toc420814334 \h </w:instrText>
        </w:r>
        <w:r>
          <w:rPr>
            <w:noProof/>
            <w:webHidden/>
          </w:rPr>
        </w:r>
        <w:r>
          <w:rPr>
            <w:noProof/>
            <w:webHidden/>
          </w:rPr>
          <w:fldChar w:fldCharType="separate"/>
        </w:r>
        <w:r>
          <w:rPr>
            <w:noProof/>
            <w:webHidden/>
          </w:rPr>
          <w:t>265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5" w:history="1">
        <w:r w:rsidRPr="002F4868">
          <w:rPr>
            <w:rStyle w:val="a5"/>
            <w:noProof/>
          </w:rPr>
          <w:t>Title: Ageing Research Reviews</w:t>
        </w:r>
        <w:r>
          <w:rPr>
            <w:noProof/>
            <w:webHidden/>
          </w:rPr>
          <w:tab/>
        </w:r>
        <w:r>
          <w:rPr>
            <w:noProof/>
            <w:webHidden/>
          </w:rPr>
          <w:fldChar w:fldCharType="begin"/>
        </w:r>
        <w:r>
          <w:rPr>
            <w:noProof/>
            <w:webHidden/>
          </w:rPr>
          <w:instrText xml:space="preserve"> PAGEREF _Toc420814335 \h </w:instrText>
        </w:r>
        <w:r>
          <w:rPr>
            <w:noProof/>
            <w:webHidden/>
          </w:rPr>
        </w:r>
        <w:r>
          <w:rPr>
            <w:noProof/>
            <w:webHidden/>
          </w:rPr>
          <w:fldChar w:fldCharType="separate"/>
        </w:r>
        <w:r>
          <w:rPr>
            <w:noProof/>
            <w:webHidden/>
          </w:rPr>
          <w:t>266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6" w:history="1">
        <w:r w:rsidRPr="002F4868">
          <w:rPr>
            <w:rStyle w:val="a5"/>
            <w:noProof/>
          </w:rPr>
          <w:t>Title: Aging Clinical and Experimental Research</w:t>
        </w:r>
        <w:r>
          <w:rPr>
            <w:noProof/>
            <w:webHidden/>
          </w:rPr>
          <w:tab/>
        </w:r>
        <w:r>
          <w:rPr>
            <w:noProof/>
            <w:webHidden/>
          </w:rPr>
          <w:fldChar w:fldCharType="begin"/>
        </w:r>
        <w:r>
          <w:rPr>
            <w:noProof/>
            <w:webHidden/>
          </w:rPr>
          <w:instrText xml:space="preserve"> PAGEREF _Toc420814336 \h </w:instrText>
        </w:r>
        <w:r>
          <w:rPr>
            <w:noProof/>
            <w:webHidden/>
          </w:rPr>
        </w:r>
        <w:r>
          <w:rPr>
            <w:noProof/>
            <w:webHidden/>
          </w:rPr>
          <w:fldChar w:fldCharType="separate"/>
        </w:r>
        <w:r>
          <w:rPr>
            <w:noProof/>
            <w:webHidden/>
          </w:rPr>
          <w:t>269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7" w:history="1">
        <w:r w:rsidRPr="002F4868">
          <w:rPr>
            <w:rStyle w:val="a5"/>
            <w:noProof/>
          </w:rPr>
          <w:t>Title: Aging Male</w:t>
        </w:r>
        <w:r>
          <w:rPr>
            <w:noProof/>
            <w:webHidden/>
          </w:rPr>
          <w:tab/>
        </w:r>
        <w:r>
          <w:rPr>
            <w:noProof/>
            <w:webHidden/>
          </w:rPr>
          <w:fldChar w:fldCharType="begin"/>
        </w:r>
        <w:r>
          <w:rPr>
            <w:noProof/>
            <w:webHidden/>
          </w:rPr>
          <w:instrText xml:space="preserve"> PAGEREF _Toc420814337 \h </w:instrText>
        </w:r>
        <w:r>
          <w:rPr>
            <w:noProof/>
            <w:webHidden/>
          </w:rPr>
        </w:r>
        <w:r>
          <w:rPr>
            <w:noProof/>
            <w:webHidden/>
          </w:rPr>
          <w:fldChar w:fldCharType="separate"/>
        </w:r>
        <w:r>
          <w:rPr>
            <w:noProof/>
            <w:webHidden/>
          </w:rPr>
          <w:t>271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8" w:history="1">
        <w:r w:rsidRPr="002F4868">
          <w:rPr>
            <w:rStyle w:val="a5"/>
            <w:noProof/>
          </w:rPr>
          <w:t>Title: Aging &amp; Mental Health</w:t>
        </w:r>
        <w:r>
          <w:rPr>
            <w:noProof/>
            <w:webHidden/>
          </w:rPr>
          <w:tab/>
        </w:r>
        <w:r>
          <w:rPr>
            <w:noProof/>
            <w:webHidden/>
          </w:rPr>
          <w:fldChar w:fldCharType="begin"/>
        </w:r>
        <w:r>
          <w:rPr>
            <w:noProof/>
            <w:webHidden/>
          </w:rPr>
          <w:instrText xml:space="preserve"> PAGEREF _Toc420814338 \h </w:instrText>
        </w:r>
        <w:r>
          <w:rPr>
            <w:noProof/>
            <w:webHidden/>
          </w:rPr>
        </w:r>
        <w:r>
          <w:rPr>
            <w:noProof/>
            <w:webHidden/>
          </w:rPr>
          <w:fldChar w:fldCharType="separate"/>
        </w:r>
        <w:r>
          <w:rPr>
            <w:noProof/>
            <w:webHidden/>
          </w:rPr>
          <w:t>273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39" w:history="1">
        <w:r w:rsidRPr="002F4868">
          <w:rPr>
            <w:rStyle w:val="a5"/>
            <w:noProof/>
          </w:rPr>
          <w:t>Title: Aging Neuropsychology and Cognition</w:t>
        </w:r>
        <w:r>
          <w:rPr>
            <w:noProof/>
            <w:webHidden/>
          </w:rPr>
          <w:tab/>
        </w:r>
        <w:r>
          <w:rPr>
            <w:noProof/>
            <w:webHidden/>
          </w:rPr>
          <w:fldChar w:fldCharType="begin"/>
        </w:r>
        <w:r>
          <w:rPr>
            <w:noProof/>
            <w:webHidden/>
          </w:rPr>
          <w:instrText xml:space="preserve"> PAGEREF _Toc420814339 \h </w:instrText>
        </w:r>
        <w:r>
          <w:rPr>
            <w:noProof/>
            <w:webHidden/>
          </w:rPr>
        </w:r>
        <w:r>
          <w:rPr>
            <w:noProof/>
            <w:webHidden/>
          </w:rPr>
          <w:fldChar w:fldCharType="separate"/>
        </w:r>
        <w:r>
          <w:rPr>
            <w:noProof/>
            <w:webHidden/>
          </w:rPr>
          <w:t>275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0" w:history="1">
        <w:r w:rsidRPr="002F4868">
          <w:rPr>
            <w:rStyle w:val="a5"/>
            <w:noProof/>
          </w:rPr>
          <w:t>Title: Agrekon</w:t>
        </w:r>
        <w:r>
          <w:rPr>
            <w:noProof/>
            <w:webHidden/>
          </w:rPr>
          <w:tab/>
        </w:r>
        <w:r>
          <w:rPr>
            <w:noProof/>
            <w:webHidden/>
          </w:rPr>
          <w:fldChar w:fldCharType="begin"/>
        </w:r>
        <w:r>
          <w:rPr>
            <w:noProof/>
            <w:webHidden/>
          </w:rPr>
          <w:instrText xml:space="preserve"> PAGEREF _Toc420814340 \h </w:instrText>
        </w:r>
        <w:r>
          <w:rPr>
            <w:noProof/>
            <w:webHidden/>
          </w:rPr>
        </w:r>
        <w:r>
          <w:rPr>
            <w:noProof/>
            <w:webHidden/>
          </w:rPr>
          <w:fldChar w:fldCharType="separate"/>
        </w:r>
        <w:r>
          <w:rPr>
            <w:noProof/>
            <w:webHidden/>
          </w:rPr>
          <w:t>276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1" w:history="1">
        <w:r w:rsidRPr="002F4868">
          <w:rPr>
            <w:rStyle w:val="a5"/>
            <w:noProof/>
          </w:rPr>
          <w:t>Title: Agricultural Administration and Extension</w:t>
        </w:r>
        <w:r>
          <w:rPr>
            <w:noProof/>
            <w:webHidden/>
          </w:rPr>
          <w:tab/>
        </w:r>
        <w:r>
          <w:rPr>
            <w:noProof/>
            <w:webHidden/>
          </w:rPr>
          <w:fldChar w:fldCharType="begin"/>
        </w:r>
        <w:r>
          <w:rPr>
            <w:noProof/>
            <w:webHidden/>
          </w:rPr>
          <w:instrText xml:space="preserve"> PAGEREF _Toc420814341 \h </w:instrText>
        </w:r>
        <w:r>
          <w:rPr>
            <w:noProof/>
            <w:webHidden/>
          </w:rPr>
        </w:r>
        <w:r>
          <w:rPr>
            <w:noProof/>
            <w:webHidden/>
          </w:rPr>
          <w:fldChar w:fldCharType="separate"/>
        </w:r>
        <w:r>
          <w:rPr>
            <w:noProof/>
            <w:webHidden/>
          </w:rPr>
          <w:t>277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2" w:history="1">
        <w:r w:rsidRPr="002F4868">
          <w:rPr>
            <w:rStyle w:val="a5"/>
            <w:noProof/>
          </w:rPr>
          <w:t>Title: Agriculture and Human Values</w:t>
        </w:r>
        <w:r>
          <w:rPr>
            <w:noProof/>
            <w:webHidden/>
          </w:rPr>
          <w:tab/>
        </w:r>
        <w:r>
          <w:rPr>
            <w:noProof/>
            <w:webHidden/>
          </w:rPr>
          <w:fldChar w:fldCharType="begin"/>
        </w:r>
        <w:r>
          <w:rPr>
            <w:noProof/>
            <w:webHidden/>
          </w:rPr>
          <w:instrText xml:space="preserve"> PAGEREF _Toc420814342 \h </w:instrText>
        </w:r>
        <w:r>
          <w:rPr>
            <w:noProof/>
            <w:webHidden/>
          </w:rPr>
        </w:r>
        <w:r>
          <w:rPr>
            <w:noProof/>
            <w:webHidden/>
          </w:rPr>
          <w:fldChar w:fldCharType="separate"/>
        </w:r>
        <w:r>
          <w:rPr>
            <w:noProof/>
            <w:webHidden/>
          </w:rPr>
          <w:t>278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3" w:history="1">
        <w:r w:rsidRPr="002F4868">
          <w:rPr>
            <w:rStyle w:val="a5"/>
            <w:noProof/>
          </w:rPr>
          <w:t>Title: Agro Food Industry Hi-Tech</w:t>
        </w:r>
        <w:r>
          <w:rPr>
            <w:noProof/>
            <w:webHidden/>
          </w:rPr>
          <w:tab/>
        </w:r>
        <w:r>
          <w:rPr>
            <w:noProof/>
            <w:webHidden/>
          </w:rPr>
          <w:fldChar w:fldCharType="begin"/>
        </w:r>
        <w:r>
          <w:rPr>
            <w:noProof/>
            <w:webHidden/>
          </w:rPr>
          <w:instrText xml:space="preserve"> PAGEREF _Toc420814343 \h </w:instrText>
        </w:r>
        <w:r>
          <w:rPr>
            <w:noProof/>
            <w:webHidden/>
          </w:rPr>
        </w:r>
        <w:r>
          <w:rPr>
            <w:noProof/>
            <w:webHidden/>
          </w:rPr>
          <w:fldChar w:fldCharType="separate"/>
        </w:r>
        <w:r>
          <w:rPr>
            <w:noProof/>
            <w:webHidden/>
          </w:rPr>
          <w:t>280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4" w:history="1">
        <w:r w:rsidRPr="002F4868">
          <w:rPr>
            <w:rStyle w:val="a5"/>
            <w:noProof/>
          </w:rPr>
          <w:t>Title: Agronomy for Sustainable Development</w:t>
        </w:r>
        <w:r>
          <w:rPr>
            <w:noProof/>
            <w:webHidden/>
          </w:rPr>
          <w:tab/>
        </w:r>
        <w:r>
          <w:rPr>
            <w:noProof/>
            <w:webHidden/>
          </w:rPr>
          <w:fldChar w:fldCharType="begin"/>
        </w:r>
        <w:r>
          <w:rPr>
            <w:noProof/>
            <w:webHidden/>
          </w:rPr>
          <w:instrText xml:space="preserve"> PAGEREF _Toc420814344 \h </w:instrText>
        </w:r>
        <w:r>
          <w:rPr>
            <w:noProof/>
            <w:webHidden/>
          </w:rPr>
        </w:r>
        <w:r>
          <w:rPr>
            <w:noProof/>
            <w:webHidden/>
          </w:rPr>
          <w:fldChar w:fldCharType="separate"/>
        </w:r>
        <w:r>
          <w:rPr>
            <w:noProof/>
            <w:webHidden/>
          </w:rPr>
          <w:t>281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5" w:history="1">
        <w:r w:rsidRPr="002F4868">
          <w:rPr>
            <w:rStyle w:val="a5"/>
            <w:noProof/>
          </w:rPr>
          <w:t>Title: AI Communications</w:t>
        </w:r>
        <w:r>
          <w:rPr>
            <w:noProof/>
            <w:webHidden/>
          </w:rPr>
          <w:tab/>
        </w:r>
        <w:r>
          <w:rPr>
            <w:noProof/>
            <w:webHidden/>
          </w:rPr>
          <w:fldChar w:fldCharType="begin"/>
        </w:r>
        <w:r>
          <w:rPr>
            <w:noProof/>
            <w:webHidden/>
          </w:rPr>
          <w:instrText xml:space="preserve"> PAGEREF _Toc420814345 \h </w:instrText>
        </w:r>
        <w:r>
          <w:rPr>
            <w:noProof/>
            <w:webHidden/>
          </w:rPr>
        </w:r>
        <w:r>
          <w:rPr>
            <w:noProof/>
            <w:webHidden/>
          </w:rPr>
          <w:fldChar w:fldCharType="separate"/>
        </w:r>
        <w:r>
          <w:rPr>
            <w:noProof/>
            <w:webHidden/>
          </w:rPr>
          <w:t>283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6" w:history="1">
        <w:r w:rsidRPr="002F4868">
          <w:rPr>
            <w:rStyle w:val="a5"/>
            <w:noProof/>
          </w:rPr>
          <w:t>Title: AIDS</w:t>
        </w:r>
        <w:r>
          <w:rPr>
            <w:noProof/>
            <w:webHidden/>
          </w:rPr>
          <w:tab/>
        </w:r>
        <w:r>
          <w:rPr>
            <w:noProof/>
            <w:webHidden/>
          </w:rPr>
          <w:fldChar w:fldCharType="begin"/>
        </w:r>
        <w:r>
          <w:rPr>
            <w:noProof/>
            <w:webHidden/>
          </w:rPr>
          <w:instrText xml:space="preserve"> PAGEREF _Toc420814346 \h </w:instrText>
        </w:r>
        <w:r>
          <w:rPr>
            <w:noProof/>
            <w:webHidden/>
          </w:rPr>
        </w:r>
        <w:r>
          <w:rPr>
            <w:noProof/>
            <w:webHidden/>
          </w:rPr>
          <w:fldChar w:fldCharType="separate"/>
        </w:r>
        <w:r>
          <w:rPr>
            <w:noProof/>
            <w:webHidden/>
          </w:rPr>
          <w:t>284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7" w:history="1">
        <w:r w:rsidRPr="002F4868">
          <w:rPr>
            <w:rStyle w:val="a5"/>
            <w:noProof/>
          </w:rPr>
          <w:t>Title: AIDS and Behavior</w:t>
        </w:r>
        <w:r>
          <w:rPr>
            <w:noProof/>
            <w:webHidden/>
          </w:rPr>
          <w:tab/>
        </w:r>
        <w:r>
          <w:rPr>
            <w:noProof/>
            <w:webHidden/>
          </w:rPr>
          <w:fldChar w:fldCharType="begin"/>
        </w:r>
        <w:r>
          <w:rPr>
            <w:noProof/>
            <w:webHidden/>
          </w:rPr>
          <w:instrText xml:space="preserve"> PAGEREF _Toc420814347 \h </w:instrText>
        </w:r>
        <w:r>
          <w:rPr>
            <w:noProof/>
            <w:webHidden/>
          </w:rPr>
        </w:r>
        <w:r>
          <w:rPr>
            <w:noProof/>
            <w:webHidden/>
          </w:rPr>
          <w:fldChar w:fldCharType="separate"/>
        </w:r>
        <w:r>
          <w:rPr>
            <w:noProof/>
            <w:webHidden/>
          </w:rPr>
          <w:t>291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8" w:history="1">
        <w:r w:rsidRPr="002F4868">
          <w:rPr>
            <w:rStyle w:val="a5"/>
            <w:noProof/>
          </w:rPr>
          <w:t>Title: AIDS Care-Psychological and Socio-Medical Aspects of AIDS/HIV</w:t>
        </w:r>
        <w:r>
          <w:rPr>
            <w:noProof/>
            <w:webHidden/>
          </w:rPr>
          <w:tab/>
        </w:r>
        <w:r>
          <w:rPr>
            <w:noProof/>
            <w:webHidden/>
          </w:rPr>
          <w:fldChar w:fldCharType="begin"/>
        </w:r>
        <w:r>
          <w:rPr>
            <w:noProof/>
            <w:webHidden/>
          </w:rPr>
          <w:instrText xml:space="preserve"> PAGEREF _Toc420814348 \h </w:instrText>
        </w:r>
        <w:r>
          <w:rPr>
            <w:noProof/>
            <w:webHidden/>
          </w:rPr>
        </w:r>
        <w:r>
          <w:rPr>
            <w:noProof/>
            <w:webHidden/>
          </w:rPr>
          <w:fldChar w:fldCharType="separate"/>
        </w:r>
        <w:r>
          <w:rPr>
            <w:noProof/>
            <w:webHidden/>
          </w:rPr>
          <w:t>292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49" w:history="1">
        <w:r w:rsidRPr="002F4868">
          <w:rPr>
            <w:rStyle w:val="a5"/>
            <w:noProof/>
          </w:rPr>
          <w:t>Title: AIDS Patient Care and STDs</w:t>
        </w:r>
        <w:r>
          <w:rPr>
            <w:noProof/>
            <w:webHidden/>
          </w:rPr>
          <w:tab/>
        </w:r>
        <w:r>
          <w:rPr>
            <w:noProof/>
            <w:webHidden/>
          </w:rPr>
          <w:fldChar w:fldCharType="begin"/>
        </w:r>
        <w:r>
          <w:rPr>
            <w:noProof/>
            <w:webHidden/>
          </w:rPr>
          <w:instrText xml:space="preserve"> PAGEREF _Toc420814349 \h </w:instrText>
        </w:r>
        <w:r>
          <w:rPr>
            <w:noProof/>
            <w:webHidden/>
          </w:rPr>
        </w:r>
        <w:r>
          <w:rPr>
            <w:noProof/>
            <w:webHidden/>
          </w:rPr>
          <w:fldChar w:fldCharType="separate"/>
        </w:r>
        <w:r>
          <w:rPr>
            <w:noProof/>
            <w:webHidden/>
          </w:rPr>
          <w:t>296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0" w:history="1">
        <w:r w:rsidRPr="002F4868">
          <w:rPr>
            <w:rStyle w:val="a5"/>
            <w:noProof/>
          </w:rPr>
          <w:t>Title: AIDS Research and Human Retroviruses</w:t>
        </w:r>
        <w:r>
          <w:rPr>
            <w:noProof/>
            <w:webHidden/>
          </w:rPr>
          <w:tab/>
        </w:r>
        <w:r>
          <w:rPr>
            <w:noProof/>
            <w:webHidden/>
          </w:rPr>
          <w:fldChar w:fldCharType="begin"/>
        </w:r>
        <w:r>
          <w:rPr>
            <w:noProof/>
            <w:webHidden/>
          </w:rPr>
          <w:instrText xml:space="preserve"> PAGEREF _Toc420814350 \h </w:instrText>
        </w:r>
        <w:r>
          <w:rPr>
            <w:noProof/>
            <w:webHidden/>
          </w:rPr>
        </w:r>
        <w:r>
          <w:rPr>
            <w:noProof/>
            <w:webHidden/>
          </w:rPr>
          <w:fldChar w:fldCharType="separate"/>
        </w:r>
        <w:r>
          <w:rPr>
            <w:noProof/>
            <w:webHidden/>
          </w:rPr>
          <w:t>299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1" w:history="1">
        <w:r w:rsidRPr="002F4868">
          <w:rPr>
            <w:rStyle w:val="a5"/>
            <w:noProof/>
          </w:rPr>
          <w:t>Title: AIDS Reviews</w:t>
        </w:r>
        <w:r>
          <w:rPr>
            <w:noProof/>
            <w:webHidden/>
          </w:rPr>
          <w:tab/>
        </w:r>
        <w:r>
          <w:rPr>
            <w:noProof/>
            <w:webHidden/>
          </w:rPr>
          <w:fldChar w:fldCharType="begin"/>
        </w:r>
        <w:r>
          <w:rPr>
            <w:noProof/>
            <w:webHidden/>
          </w:rPr>
          <w:instrText xml:space="preserve"> PAGEREF _Toc420814351 \h </w:instrText>
        </w:r>
        <w:r>
          <w:rPr>
            <w:noProof/>
            <w:webHidden/>
          </w:rPr>
        </w:r>
        <w:r>
          <w:rPr>
            <w:noProof/>
            <w:webHidden/>
          </w:rPr>
          <w:fldChar w:fldCharType="separate"/>
        </w:r>
        <w:r>
          <w:rPr>
            <w:noProof/>
            <w:webHidden/>
          </w:rPr>
          <w:t>301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2" w:history="1">
        <w:r w:rsidRPr="002F4868">
          <w:rPr>
            <w:rStyle w:val="a5"/>
            <w:noProof/>
          </w:rPr>
          <w:t>Title: Aktuelle Neurologie</w:t>
        </w:r>
        <w:r>
          <w:rPr>
            <w:noProof/>
            <w:webHidden/>
          </w:rPr>
          <w:tab/>
        </w:r>
        <w:r>
          <w:rPr>
            <w:noProof/>
            <w:webHidden/>
          </w:rPr>
          <w:fldChar w:fldCharType="begin"/>
        </w:r>
        <w:r>
          <w:rPr>
            <w:noProof/>
            <w:webHidden/>
          </w:rPr>
          <w:instrText xml:space="preserve"> PAGEREF _Toc420814352 \h </w:instrText>
        </w:r>
        <w:r>
          <w:rPr>
            <w:noProof/>
            <w:webHidden/>
          </w:rPr>
        </w:r>
        <w:r>
          <w:rPr>
            <w:noProof/>
            <w:webHidden/>
          </w:rPr>
          <w:fldChar w:fldCharType="separate"/>
        </w:r>
        <w:r>
          <w:rPr>
            <w:noProof/>
            <w:webHidden/>
          </w:rPr>
          <w:t>303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3" w:history="1">
        <w:r w:rsidRPr="002F4868">
          <w:rPr>
            <w:rStyle w:val="a5"/>
            <w:noProof/>
          </w:rPr>
          <w:t>Title: Alaska Medicine</w:t>
        </w:r>
        <w:r>
          <w:rPr>
            <w:noProof/>
            <w:webHidden/>
          </w:rPr>
          <w:tab/>
        </w:r>
        <w:r>
          <w:rPr>
            <w:noProof/>
            <w:webHidden/>
          </w:rPr>
          <w:fldChar w:fldCharType="begin"/>
        </w:r>
        <w:r>
          <w:rPr>
            <w:noProof/>
            <w:webHidden/>
          </w:rPr>
          <w:instrText xml:space="preserve"> PAGEREF _Toc420814353 \h </w:instrText>
        </w:r>
        <w:r>
          <w:rPr>
            <w:noProof/>
            <w:webHidden/>
          </w:rPr>
        </w:r>
        <w:r>
          <w:rPr>
            <w:noProof/>
            <w:webHidden/>
          </w:rPr>
          <w:fldChar w:fldCharType="separate"/>
        </w:r>
        <w:r>
          <w:rPr>
            <w:noProof/>
            <w:webHidden/>
          </w:rPr>
          <w:t>305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4" w:history="1">
        <w:r w:rsidRPr="002F4868">
          <w:rPr>
            <w:rStyle w:val="a5"/>
            <w:noProof/>
          </w:rPr>
          <w:t>Title: Albion</w:t>
        </w:r>
        <w:r>
          <w:rPr>
            <w:noProof/>
            <w:webHidden/>
          </w:rPr>
          <w:tab/>
        </w:r>
        <w:r>
          <w:rPr>
            <w:noProof/>
            <w:webHidden/>
          </w:rPr>
          <w:fldChar w:fldCharType="begin"/>
        </w:r>
        <w:r>
          <w:rPr>
            <w:noProof/>
            <w:webHidden/>
          </w:rPr>
          <w:instrText xml:space="preserve"> PAGEREF _Toc420814354 \h </w:instrText>
        </w:r>
        <w:r>
          <w:rPr>
            <w:noProof/>
            <w:webHidden/>
          </w:rPr>
        </w:r>
        <w:r>
          <w:rPr>
            <w:noProof/>
            <w:webHidden/>
          </w:rPr>
          <w:fldChar w:fldCharType="separate"/>
        </w:r>
        <w:r>
          <w:rPr>
            <w:noProof/>
            <w:webHidden/>
          </w:rPr>
          <w:t>306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5" w:history="1">
        <w:r w:rsidRPr="002F4868">
          <w:rPr>
            <w:rStyle w:val="a5"/>
            <w:noProof/>
          </w:rPr>
          <w:t>Title: Alcohol and Alcoholism</w:t>
        </w:r>
        <w:r>
          <w:rPr>
            <w:noProof/>
            <w:webHidden/>
          </w:rPr>
          <w:tab/>
        </w:r>
        <w:r>
          <w:rPr>
            <w:noProof/>
            <w:webHidden/>
          </w:rPr>
          <w:fldChar w:fldCharType="begin"/>
        </w:r>
        <w:r>
          <w:rPr>
            <w:noProof/>
            <w:webHidden/>
          </w:rPr>
          <w:instrText xml:space="preserve"> PAGEREF _Toc420814355 \h </w:instrText>
        </w:r>
        <w:r>
          <w:rPr>
            <w:noProof/>
            <w:webHidden/>
          </w:rPr>
        </w:r>
        <w:r>
          <w:rPr>
            <w:noProof/>
            <w:webHidden/>
          </w:rPr>
          <w:fldChar w:fldCharType="separate"/>
        </w:r>
        <w:r>
          <w:rPr>
            <w:noProof/>
            <w:webHidden/>
          </w:rPr>
          <w:t>307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6" w:history="1">
        <w:r w:rsidRPr="002F4868">
          <w:rPr>
            <w:rStyle w:val="a5"/>
            <w:noProof/>
          </w:rPr>
          <w:t>Title: Alcoholism-Clinical and Experimental Research</w:t>
        </w:r>
        <w:r>
          <w:rPr>
            <w:noProof/>
            <w:webHidden/>
          </w:rPr>
          <w:tab/>
        </w:r>
        <w:r>
          <w:rPr>
            <w:noProof/>
            <w:webHidden/>
          </w:rPr>
          <w:fldChar w:fldCharType="begin"/>
        </w:r>
        <w:r>
          <w:rPr>
            <w:noProof/>
            <w:webHidden/>
          </w:rPr>
          <w:instrText xml:space="preserve"> PAGEREF _Toc420814356 \h </w:instrText>
        </w:r>
        <w:r>
          <w:rPr>
            <w:noProof/>
            <w:webHidden/>
          </w:rPr>
        </w:r>
        <w:r>
          <w:rPr>
            <w:noProof/>
            <w:webHidden/>
          </w:rPr>
          <w:fldChar w:fldCharType="separate"/>
        </w:r>
        <w:r>
          <w:rPr>
            <w:noProof/>
            <w:webHidden/>
          </w:rPr>
          <w:t>311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7" w:history="1">
        <w:r w:rsidRPr="002F4868">
          <w:rPr>
            <w:rStyle w:val="a5"/>
            <w:noProof/>
          </w:rPr>
          <w:t>Title: Algal Research-Biomass Biofuels and Bioproducts</w:t>
        </w:r>
        <w:r>
          <w:rPr>
            <w:noProof/>
            <w:webHidden/>
          </w:rPr>
          <w:tab/>
        </w:r>
        <w:r>
          <w:rPr>
            <w:noProof/>
            <w:webHidden/>
          </w:rPr>
          <w:fldChar w:fldCharType="begin"/>
        </w:r>
        <w:r>
          <w:rPr>
            <w:noProof/>
            <w:webHidden/>
          </w:rPr>
          <w:instrText xml:space="preserve"> PAGEREF _Toc420814357 \h </w:instrText>
        </w:r>
        <w:r>
          <w:rPr>
            <w:noProof/>
            <w:webHidden/>
          </w:rPr>
        </w:r>
        <w:r>
          <w:rPr>
            <w:noProof/>
            <w:webHidden/>
          </w:rPr>
          <w:fldChar w:fldCharType="separate"/>
        </w:r>
        <w:r>
          <w:rPr>
            <w:noProof/>
            <w:webHidden/>
          </w:rPr>
          <w:t>314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8" w:history="1">
        <w:r w:rsidRPr="002F4868">
          <w:rPr>
            <w:rStyle w:val="a5"/>
            <w:noProof/>
          </w:rPr>
          <w:t>Title: Alimentaria</w:t>
        </w:r>
        <w:r>
          <w:rPr>
            <w:noProof/>
            <w:webHidden/>
          </w:rPr>
          <w:tab/>
        </w:r>
        <w:r>
          <w:rPr>
            <w:noProof/>
            <w:webHidden/>
          </w:rPr>
          <w:fldChar w:fldCharType="begin"/>
        </w:r>
        <w:r>
          <w:rPr>
            <w:noProof/>
            <w:webHidden/>
          </w:rPr>
          <w:instrText xml:space="preserve"> PAGEREF _Toc420814358 \h </w:instrText>
        </w:r>
        <w:r>
          <w:rPr>
            <w:noProof/>
            <w:webHidden/>
          </w:rPr>
        </w:r>
        <w:r>
          <w:rPr>
            <w:noProof/>
            <w:webHidden/>
          </w:rPr>
          <w:fldChar w:fldCharType="separate"/>
        </w:r>
        <w:r>
          <w:rPr>
            <w:noProof/>
            <w:webHidden/>
          </w:rPr>
          <w:t>316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59" w:history="1">
        <w:r w:rsidRPr="002F4868">
          <w:rPr>
            <w:rStyle w:val="a5"/>
            <w:noProof/>
          </w:rPr>
          <w:t>Title: Alimentary Pharmacology &amp; Therapeutics</w:t>
        </w:r>
        <w:r>
          <w:rPr>
            <w:noProof/>
            <w:webHidden/>
          </w:rPr>
          <w:tab/>
        </w:r>
        <w:r>
          <w:rPr>
            <w:noProof/>
            <w:webHidden/>
          </w:rPr>
          <w:fldChar w:fldCharType="begin"/>
        </w:r>
        <w:r>
          <w:rPr>
            <w:noProof/>
            <w:webHidden/>
          </w:rPr>
          <w:instrText xml:space="preserve"> PAGEREF _Toc420814359 \h </w:instrText>
        </w:r>
        <w:r>
          <w:rPr>
            <w:noProof/>
            <w:webHidden/>
          </w:rPr>
        </w:r>
        <w:r>
          <w:rPr>
            <w:noProof/>
            <w:webHidden/>
          </w:rPr>
          <w:fldChar w:fldCharType="separate"/>
        </w:r>
        <w:r>
          <w:rPr>
            <w:noProof/>
            <w:webHidden/>
          </w:rPr>
          <w:t>317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0" w:history="1">
        <w:r w:rsidRPr="002F4868">
          <w:rPr>
            <w:rStyle w:val="a5"/>
            <w:noProof/>
          </w:rPr>
          <w:t>Title: Allergy</w:t>
        </w:r>
        <w:r>
          <w:rPr>
            <w:noProof/>
            <w:webHidden/>
          </w:rPr>
          <w:tab/>
        </w:r>
        <w:r>
          <w:rPr>
            <w:noProof/>
            <w:webHidden/>
          </w:rPr>
          <w:fldChar w:fldCharType="begin"/>
        </w:r>
        <w:r>
          <w:rPr>
            <w:noProof/>
            <w:webHidden/>
          </w:rPr>
          <w:instrText xml:space="preserve"> PAGEREF _Toc420814360 \h </w:instrText>
        </w:r>
        <w:r>
          <w:rPr>
            <w:noProof/>
            <w:webHidden/>
          </w:rPr>
        </w:r>
        <w:r>
          <w:rPr>
            <w:noProof/>
            <w:webHidden/>
          </w:rPr>
          <w:fldChar w:fldCharType="separate"/>
        </w:r>
        <w:r>
          <w:rPr>
            <w:noProof/>
            <w:webHidden/>
          </w:rPr>
          <w:t>329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1" w:history="1">
        <w:r w:rsidRPr="002F4868">
          <w:rPr>
            <w:rStyle w:val="a5"/>
            <w:noProof/>
          </w:rPr>
          <w:t>Title: Allergy Asthma and Clinical Immunology</w:t>
        </w:r>
        <w:r>
          <w:rPr>
            <w:noProof/>
            <w:webHidden/>
          </w:rPr>
          <w:tab/>
        </w:r>
        <w:r>
          <w:rPr>
            <w:noProof/>
            <w:webHidden/>
          </w:rPr>
          <w:fldChar w:fldCharType="begin"/>
        </w:r>
        <w:r>
          <w:rPr>
            <w:noProof/>
            <w:webHidden/>
          </w:rPr>
          <w:instrText xml:space="preserve"> PAGEREF _Toc420814361 \h </w:instrText>
        </w:r>
        <w:r>
          <w:rPr>
            <w:noProof/>
            <w:webHidden/>
          </w:rPr>
        </w:r>
        <w:r>
          <w:rPr>
            <w:noProof/>
            <w:webHidden/>
          </w:rPr>
          <w:fldChar w:fldCharType="separate"/>
        </w:r>
        <w:r>
          <w:rPr>
            <w:noProof/>
            <w:webHidden/>
          </w:rPr>
          <w:t>334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2" w:history="1">
        <w:r w:rsidRPr="002F4868">
          <w:rPr>
            <w:rStyle w:val="a5"/>
            <w:noProof/>
          </w:rPr>
          <w:t>Title: Allergy and Asthma Proceedings</w:t>
        </w:r>
        <w:r>
          <w:rPr>
            <w:noProof/>
            <w:webHidden/>
          </w:rPr>
          <w:tab/>
        </w:r>
        <w:r>
          <w:rPr>
            <w:noProof/>
            <w:webHidden/>
          </w:rPr>
          <w:fldChar w:fldCharType="begin"/>
        </w:r>
        <w:r>
          <w:rPr>
            <w:noProof/>
            <w:webHidden/>
          </w:rPr>
          <w:instrText xml:space="preserve"> PAGEREF _Toc420814362 \h </w:instrText>
        </w:r>
        <w:r>
          <w:rPr>
            <w:noProof/>
            <w:webHidden/>
          </w:rPr>
        </w:r>
        <w:r>
          <w:rPr>
            <w:noProof/>
            <w:webHidden/>
          </w:rPr>
          <w:fldChar w:fldCharType="separate"/>
        </w:r>
        <w:r>
          <w:rPr>
            <w:noProof/>
            <w:webHidden/>
          </w:rPr>
          <w:t>336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3" w:history="1">
        <w:r w:rsidRPr="002F4868">
          <w:rPr>
            <w:rStyle w:val="a5"/>
            <w:noProof/>
          </w:rPr>
          <w:t>Title: Alternative Therapies in Health and Medicine</w:t>
        </w:r>
        <w:r>
          <w:rPr>
            <w:noProof/>
            <w:webHidden/>
          </w:rPr>
          <w:tab/>
        </w:r>
        <w:r>
          <w:rPr>
            <w:noProof/>
            <w:webHidden/>
          </w:rPr>
          <w:fldChar w:fldCharType="begin"/>
        </w:r>
        <w:r>
          <w:rPr>
            <w:noProof/>
            <w:webHidden/>
          </w:rPr>
          <w:instrText xml:space="preserve"> PAGEREF _Toc420814363 \h </w:instrText>
        </w:r>
        <w:r>
          <w:rPr>
            <w:noProof/>
            <w:webHidden/>
          </w:rPr>
        </w:r>
        <w:r>
          <w:rPr>
            <w:noProof/>
            <w:webHidden/>
          </w:rPr>
          <w:fldChar w:fldCharType="separate"/>
        </w:r>
        <w:r>
          <w:rPr>
            <w:noProof/>
            <w:webHidden/>
          </w:rPr>
          <w:t>340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4" w:history="1">
        <w:r w:rsidRPr="002F4868">
          <w:rPr>
            <w:rStyle w:val="a5"/>
            <w:noProof/>
          </w:rPr>
          <w:t>Title: American Anthropologist</w:t>
        </w:r>
        <w:r>
          <w:rPr>
            <w:noProof/>
            <w:webHidden/>
          </w:rPr>
          <w:tab/>
        </w:r>
        <w:r>
          <w:rPr>
            <w:noProof/>
            <w:webHidden/>
          </w:rPr>
          <w:fldChar w:fldCharType="begin"/>
        </w:r>
        <w:r>
          <w:rPr>
            <w:noProof/>
            <w:webHidden/>
          </w:rPr>
          <w:instrText xml:space="preserve"> PAGEREF _Toc420814364 \h </w:instrText>
        </w:r>
        <w:r>
          <w:rPr>
            <w:noProof/>
            <w:webHidden/>
          </w:rPr>
        </w:r>
        <w:r>
          <w:rPr>
            <w:noProof/>
            <w:webHidden/>
          </w:rPr>
          <w:fldChar w:fldCharType="separate"/>
        </w:r>
        <w:r>
          <w:rPr>
            <w:noProof/>
            <w:webHidden/>
          </w:rPr>
          <w:t>342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5" w:history="1">
        <w:r w:rsidRPr="002F4868">
          <w:rPr>
            <w:rStyle w:val="a5"/>
            <w:noProof/>
          </w:rPr>
          <w:t>Title: American Bar Association Journal</w:t>
        </w:r>
        <w:r>
          <w:rPr>
            <w:noProof/>
            <w:webHidden/>
          </w:rPr>
          <w:tab/>
        </w:r>
        <w:r>
          <w:rPr>
            <w:noProof/>
            <w:webHidden/>
          </w:rPr>
          <w:fldChar w:fldCharType="begin"/>
        </w:r>
        <w:r>
          <w:rPr>
            <w:noProof/>
            <w:webHidden/>
          </w:rPr>
          <w:instrText xml:space="preserve"> PAGEREF _Toc420814365 \h </w:instrText>
        </w:r>
        <w:r>
          <w:rPr>
            <w:noProof/>
            <w:webHidden/>
          </w:rPr>
        </w:r>
        <w:r>
          <w:rPr>
            <w:noProof/>
            <w:webHidden/>
          </w:rPr>
          <w:fldChar w:fldCharType="separate"/>
        </w:r>
        <w:r>
          <w:rPr>
            <w:noProof/>
            <w:webHidden/>
          </w:rPr>
          <w:t>343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6" w:history="1">
        <w:r w:rsidRPr="002F4868">
          <w:rPr>
            <w:rStyle w:val="a5"/>
            <w:noProof/>
          </w:rPr>
          <w:t>Title: American Behavioral Scientist</w:t>
        </w:r>
        <w:r>
          <w:rPr>
            <w:noProof/>
            <w:webHidden/>
          </w:rPr>
          <w:tab/>
        </w:r>
        <w:r>
          <w:rPr>
            <w:noProof/>
            <w:webHidden/>
          </w:rPr>
          <w:fldChar w:fldCharType="begin"/>
        </w:r>
        <w:r>
          <w:rPr>
            <w:noProof/>
            <w:webHidden/>
          </w:rPr>
          <w:instrText xml:space="preserve"> PAGEREF _Toc420814366 \h </w:instrText>
        </w:r>
        <w:r>
          <w:rPr>
            <w:noProof/>
            <w:webHidden/>
          </w:rPr>
        </w:r>
        <w:r>
          <w:rPr>
            <w:noProof/>
            <w:webHidden/>
          </w:rPr>
          <w:fldChar w:fldCharType="separate"/>
        </w:r>
        <w:r>
          <w:rPr>
            <w:noProof/>
            <w:webHidden/>
          </w:rPr>
          <w:t>344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7" w:history="1">
        <w:r w:rsidRPr="002F4868">
          <w:rPr>
            <w:rStyle w:val="a5"/>
            <w:noProof/>
          </w:rPr>
          <w:t>Title: American Documentation</w:t>
        </w:r>
        <w:r>
          <w:rPr>
            <w:noProof/>
            <w:webHidden/>
          </w:rPr>
          <w:tab/>
        </w:r>
        <w:r>
          <w:rPr>
            <w:noProof/>
            <w:webHidden/>
          </w:rPr>
          <w:fldChar w:fldCharType="begin"/>
        </w:r>
        <w:r>
          <w:rPr>
            <w:noProof/>
            <w:webHidden/>
          </w:rPr>
          <w:instrText xml:space="preserve"> PAGEREF _Toc420814367 \h </w:instrText>
        </w:r>
        <w:r>
          <w:rPr>
            <w:noProof/>
            <w:webHidden/>
          </w:rPr>
        </w:r>
        <w:r>
          <w:rPr>
            <w:noProof/>
            <w:webHidden/>
          </w:rPr>
          <w:fldChar w:fldCharType="separate"/>
        </w:r>
        <w:r>
          <w:rPr>
            <w:noProof/>
            <w:webHidden/>
          </w:rPr>
          <w:t>345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8" w:history="1">
        <w:r w:rsidRPr="002F4868">
          <w:rPr>
            <w:rStyle w:val="a5"/>
            <w:noProof/>
          </w:rPr>
          <w:t>Title: American Family Physician</w:t>
        </w:r>
        <w:r>
          <w:rPr>
            <w:noProof/>
            <w:webHidden/>
          </w:rPr>
          <w:tab/>
        </w:r>
        <w:r>
          <w:rPr>
            <w:noProof/>
            <w:webHidden/>
          </w:rPr>
          <w:fldChar w:fldCharType="begin"/>
        </w:r>
        <w:r>
          <w:rPr>
            <w:noProof/>
            <w:webHidden/>
          </w:rPr>
          <w:instrText xml:space="preserve"> PAGEREF _Toc420814368 \h </w:instrText>
        </w:r>
        <w:r>
          <w:rPr>
            <w:noProof/>
            <w:webHidden/>
          </w:rPr>
        </w:r>
        <w:r>
          <w:rPr>
            <w:noProof/>
            <w:webHidden/>
          </w:rPr>
          <w:fldChar w:fldCharType="separate"/>
        </w:r>
        <w:r>
          <w:rPr>
            <w:noProof/>
            <w:webHidden/>
          </w:rPr>
          <w:t>348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69" w:history="1">
        <w:r w:rsidRPr="002F4868">
          <w:rPr>
            <w:rStyle w:val="a5"/>
            <w:noProof/>
          </w:rPr>
          <w:t>Title: American Heart Journal</w:t>
        </w:r>
        <w:r>
          <w:rPr>
            <w:noProof/>
            <w:webHidden/>
          </w:rPr>
          <w:tab/>
        </w:r>
        <w:r>
          <w:rPr>
            <w:noProof/>
            <w:webHidden/>
          </w:rPr>
          <w:fldChar w:fldCharType="begin"/>
        </w:r>
        <w:r>
          <w:rPr>
            <w:noProof/>
            <w:webHidden/>
          </w:rPr>
          <w:instrText xml:space="preserve"> PAGEREF _Toc420814369 \h </w:instrText>
        </w:r>
        <w:r>
          <w:rPr>
            <w:noProof/>
            <w:webHidden/>
          </w:rPr>
        </w:r>
        <w:r>
          <w:rPr>
            <w:noProof/>
            <w:webHidden/>
          </w:rPr>
          <w:fldChar w:fldCharType="separate"/>
        </w:r>
        <w:r>
          <w:rPr>
            <w:noProof/>
            <w:webHidden/>
          </w:rPr>
          <w:t>353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0" w:history="1">
        <w:r w:rsidRPr="002F4868">
          <w:rPr>
            <w:rStyle w:val="a5"/>
            <w:noProof/>
          </w:rPr>
          <w:t>Title: American Historical Review</w:t>
        </w:r>
        <w:r>
          <w:rPr>
            <w:noProof/>
            <w:webHidden/>
          </w:rPr>
          <w:tab/>
        </w:r>
        <w:r>
          <w:rPr>
            <w:noProof/>
            <w:webHidden/>
          </w:rPr>
          <w:fldChar w:fldCharType="begin"/>
        </w:r>
        <w:r>
          <w:rPr>
            <w:noProof/>
            <w:webHidden/>
          </w:rPr>
          <w:instrText xml:space="preserve"> PAGEREF _Toc420814370 \h </w:instrText>
        </w:r>
        <w:r>
          <w:rPr>
            <w:noProof/>
            <w:webHidden/>
          </w:rPr>
        </w:r>
        <w:r>
          <w:rPr>
            <w:noProof/>
            <w:webHidden/>
          </w:rPr>
          <w:fldChar w:fldCharType="separate"/>
        </w:r>
        <w:r>
          <w:rPr>
            <w:noProof/>
            <w:webHidden/>
          </w:rPr>
          <w:t>361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1" w:history="1">
        <w:r w:rsidRPr="002F4868">
          <w:rPr>
            <w:rStyle w:val="a5"/>
            <w:noProof/>
          </w:rPr>
          <w:t>Title: American Journal of Agricultural Economics</w:t>
        </w:r>
        <w:r>
          <w:rPr>
            <w:noProof/>
            <w:webHidden/>
          </w:rPr>
          <w:tab/>
        </w:r>
        <w:r>
          <w:rPr>
            <w:noProof/>
            <w:webHidden/>
          </w:rPr>
          <w:fldChar w:fldCharType="begin"/>
        </w:r>
        <w:r>
          <w:rPr>
            <w:noProof/>
            <w:webHidden/>
          </w:rPr>
          <w:instrText xml:space="preserve"> PAGEREF _Toc420814371 \h </w:instrText>
        </w:r>
        <w:r>
          <w:rPr>
            <w:noProof/>
            <w:webHidden/>
          </w:rPr>
        </w:r>
        <w:r>
          <w:rPr>
            <w:noProof/>
            <w:webHidden/>
          </w:rPr>
          <w:fldChar w:fldCharType="separate"/>
        </w:r>
        <w:r>
          <w:rPr>
            <w:noProof/>
            <w:webHidden/>
          </w:rPr>
          <w:t>362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2" w:history="1">
        <w:r w:rsidRPr="002F4868">
          <w:rPr>
            <w:rStyle w:val="a5"/>
            <w:noProof/>
          </w:rPr>
          <w:t>Title: American Journal of Alzheimer’s Disease and Other Dementias</w:t>
        </w:r>
        <w:r>
          <w:rPr>
            <w:noProof/>
            <w:webHidden/>
          </w:rPr>
          <w:tab/>
        </w:r>
        <w:r>
          <w:rPr>
            <w:noProof/>
            <w:webHidden/>
          </w:rPr>
          <w:fldChar w:fldCharType="begin"/>
        </w:r>
        <w:r>
          <w:rPr>
            <w:noProof/>
            <w:webHidden/>
          </w:rPr>
          <w:instrText xml:space="preserve"> PAGEREF _Toc420814372 \h </w:instrText>
        </w:r>
        <w:r>
          <w:rPr>
            <w:noProof/>
            <w:webHidden/>
          </w:rPr>
        </w:r>
        <w:r>
          <w:rPr>
            <w:noProof/>
            <w:webHidden/>
          </w:rPr>
          <w:fldChar w:fldCharType="separate"/>
        </w:r>
        <w:r>
          <w:rPr>
            <w:noProof/>
            <w:webHidden/>
          </w:rPr>
          <w:t>364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3" w:history="1">
        <w:r w:rsidRPr="002F4868">
          <w:rPr>
            <w:rStyle w:val="a5"/>
            <w:noProof/>
          </w:rPr>
          <w:t>Title: American Journal of Bioethics</w:t>
        </w:r>
        <w:r>
          <w:rPr>
            <w:noProof/>
            <w:webHidden/>
          </w:rPr>
          <w:tab/>
        </w:r>
        <w:r>
          <w:rPr>
            <w:noProof/>
            <w:webHidden/>
          </w:rPr>
          <w:fldChar w:fldCharType="begin"/>
        </w:r>
        <w:r>
          <w:rPr>
            <w:noProof/>
            <w:webHidden/>
          </w:rPr>
          <w:instrText xml:space="preserve"> PAGEREF _Toc420814373 \h </w:instrText>
        </w:r>
        <w:r>
          <w:rPr>
            <w:noProof/>
            <w:webHidden/>
          </w:rPr>
        </w:r>
        <w:r>
          <w:rPr>
            <w:noProof/>
            <w:webHidden/>
          </w:rPr>
          <w:fldChar w:fldCharType="separate"/>
        </w:r>
        <w:r>
          <w:rPr>
            <w:noProof/>
            <w:webHidden/>
          </w:rPr>
          <w:t>365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4" w:history="1">
        <w:r w:rsidRPr="002F4868">
          <w:rPr>
            <w:rStyle w:val="a5"/>
            <w:noProof/>
          </w:rPr>
          <w:t>Title: American Journal of Botany</w:t>
        </w:r>
        <w:r>
          <w:rPr>
            <w:noProof/>
            <w:webHidden/>
          </w:rPr>
          <w:tab/>
        </w:r>
        <w:r>
          <w:rPr>
            <w:noProof/>
            <w:webHidden/>
          </w:rPr>
          <w:fldChar w:fldCharType="begin"/>
        </w:r>
        <w:r>
          <w:rPr>
            <w:noProof/>
            <w:webHidden/>
          </w:rPr>
          <w:instrText xml:space="preserve"> PAGEREF _Toc420814374 \h </w:instrText>
        </w:r>
        <w:r>
          <w:rPr>
            <w:noProof/>
            <w:webHidden/>
          </w:rPr>
        </w:r>
        <w:r>
          <w:rPr>
            <w:noProof/>
            <w:webHidden/>
          </w:rPr>
          <w:fldChar w:fldCharType="separate"/>
        </w:r>
        <w:r>
          <w:rPr>
            <w:noProof/>
            <w:webHidden/>
          </w:rPr>
          <w:t>366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5" w:history="1">
        <w:r w:rsidRPr="002F4868">
          <w:rPr>
            <w:rStyle w:val="a5"/>
            <w:noProof/>
          </w:rPr>
          <w:t>Title: American Journal of Cardiology</w:t>
        </w:r>
        <w:r>
          <w:rPr>
            <w:noProof/>
            <w:webHidden/>
          </w:rPr>
          <w:tab/>
        </w:r>
        <w:r>
          <w:rPr>
            <w:noProof/>
            <w:webHidden/>
          </w:rPr>
          <w:fldChar w:fldCharType="begin"/>
        </w:r>
        <w:r>
          <w:rPr>
            <w:noProof/>
            <w:webHidden/>
          </w:rPr>
          <w:instrText xml:space="preserve"> PAGEREF _Toc420814375 \h </w:instrText>
        </w:r>
        <w:r>
          <w:rPr>
            <w:noProof/>
            <w:webHidden/>
          </w:rPr>
        </w:r>
        <w:r>
          <w:rPr>
            <w:noProof/>
            <w:webHidden/>
          </w:rPr>
          <w:fldChar w:fldCharType="separate"/>
        </w:r>
        <w:r>
          <w:rPr>
            <w:noProof/>
            <w:webHidden/>
          </w:rPr>
          <w:t>368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6" w:history="1">
        <w:r w:rsidRPr="002F4868">
          <w:rPr>
            <w:rStyle w:val="a5"/>
            <w:noProof/>
          </w:rPr>
          <w:t>Title: American Journal of Cardiovascular Drugs</w:t>
        </w:r>
        <w:r>
          <w:rPr>
            <w:noProof/>
            <w:webHidden/>
          </w:rPr>
          <w:tab/>
        </w:r>
        <w:r>
          <w:rPr>
            <w:noProof/>
            <w:webHidden/>
          </w:rPr>
          <w:fldChar w:fldCharType="begin"/>
        </w:r>
        <w:r>
          <w:rPr>
            <w:noProof/>
            <w:webHidden/>
          </w:rPr>
          <w:instrText xml:space="preserve"> PAGEREF _Toc420814376 \h </w:instrText>
        </w:r>
        <w:r>
          <w:rPr>
            <w:noProof/>
            <w:webHidden/>
          </w:rPr>
        </w:r>
        <w:r>
          <w:rPr>
            <w:noProof/>
            <w:webHidden/>
          </w:rPr>
          <w:fldChar w:fldCharType="separate"/>
        </w:r>
        <w:r>
          <w:rPr>
            <w:noProof/>
            <w:webHidden/>
          </w:rPr>
          <w:t>377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7" w:history="1">
        <w:r w:rsidRPr="002F4868">
          <w:rPr>
            <w:rStyle w:val="a5"/>
            <w:noProof/>
          </w:rPr>
          <w:t>Title: American Journal of Clinical Dermatology</w:t>
        </w:r>
        <w:r>
          <w:rPr>
            <w:noProof/>
            <w:webHidden/>
          </w:rPr>
          <w:tab/>
        </w:r>
        <w:r>
          <w:rPr>
            <w:noProof/>
            <w:webHidden/>
          </w:rPr>
          <w:fldChar w:fldCharType="begin"/>
        </w:r>
        <w:r>
          <w:rPr>
            <w:noProof/>
            <w:webHidden/>
          </w:rPr>
          <w:instrText xml:space="preserve"> PAGEREF _Toc420814377 \h </w:instrText>
        </w:r>
        <w:r>
          <w:rPr>
            <w:noProof/>
            <w:webHidden/>
          </w:rPr>
        </w:r>
        <w:r>
          <w:rPr>
            <w:noProof/>
            <w:webHidden/>
          </w:rPr>
          <w:fldChar w:fldCharType="separate"/>
        </w:r>
        <w:r>
          <w:rPr>
            <w:noProof/>
            <w:webHidden/>
          </w:rPr>
          <w:t>379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8" w:history="1">
        <w:r w:rsidRPr="002F4868">
          <w:rPr>
            <w:rStyle w:val="a5"/>
            <w:noProof/>
          </w:rPr>
          <w:t>Title: American Journal of Clinical Nutrition</w:t>
        </w:r>
        <w:r>
          <w:rPr>
            <w:noProof/>
            <w:webHidden/>
          </w:rPr>
          <w:tab/>
        </w:r>
        <w:r>
          <w:rPr>
            <w:noProof/>
            <w:webHidden/>
          </w:rPr>
          <w:fldChar w:fldCharType="begin"/>
        </w:r>
        <w:r>
          <w:rPr>
            <w:noProof/>
            <w:webHidden/>
          </w:rPr>
          <w:instrText xml:space="preserve"> PAGEREF _Toc420814378 \h </w:instrText>
        </w:r>
        <w:r>
          <w:rPr>
            <w:noProof/>
            <w:webHidden/>
          </w:rPr>
        </w:r>
        <w:r>
          <w:rPr>
            <w:noProof/>
            <w:webHidden/>
          </w:rPr>
          <w:fldChar w:fldCharType="separate"/>
        </w:r>
        <w:r>
          <w:rPr>
            <w:noProof/>
            <w:webHidden/>
          </w:rPr>
          <w:t>382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79" w:history="1">
        <w:r w:rsidRPr="002F4868">
          <w:rPr>
            <w:rStyle w:val="a5"/>
            <w:noProof/>
          </w:rPr>
          <w:t>Title: American Journal of Clinical Oncology-Cancer Clinical Trials</w:t>
        </w:r>
        <w:r>
          <w:rPr>
            <w:noProof/>
            <w:webHidden/>
          </w:rPr>
          <w:tab/>
        </w:r>
        <w:r>
          <w:rPr>
            <w:noProof/>
            <w:webHidden/>
          </w:rPr>
          <w:fldChar w:fldCharType="begin"/>
        </w:r>
        <w:r>
          <w:rPr>
            <w:noProof/>
            <w:webHidden/>
          </w:rPr>
          <w:instrText xml:space="preserve"> PAGEREF _Toc420814379 \h </w:instrText>
        </w:r>
        <w:r>
          <w:rPr>
            <w:noProof/>
            <w:webHidden/>
          </w:rPr>
        </w:r>
        <w:r>
          <w:rPr>
            <w:noProof/>
            <w:webHidden/>
          </w:rPr>
          <w:fldChar w:fldCharType="separate"/>
        </w:r>
        <w:r>
          <w:rPr>
            <w:noProof/>
            <w:webHidden/>
          </w:rPr>
          <w:t>390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0" w:history="1">
        <w:r w:rsidRPr="002F4868">
          <w:rPr>
            <w:rStyle w:val="a5"/>
            <w:noProof/>
          </w:rPr>
          <w:t>Title: American Journal of Clinical Pathology</w:t>
        </w:r>
        <w:r>
          <w:rPr>
            <w:noProof/>
            <w:webHidden/>
          </w:rPr>
          <w:tab/>
        </w:r>
        <w:r>
          <w:rPr>
            <w:noProof/>
            <w:webHidden/>
          </w:rPr>
          <w:fldChar w:fldCharType="begin"/>
        </w:r>
        <w:r>
          <w:rPr>
            <w:noProof/>
            <w:webHidden/>
          </w:rPr>
          <w:instrText xml:space="preserve"> PAGEREF _Toc420814380 \h </w:instrText>
        </w:r>
        <w:r>
          <w:rPr>
            <w:noProof/>
            <w:webHidden/>
          </w:rPr>
        </w:r>
        <w:r>
          <w:rPr>
            <w:noProof/>
            <w:webHidden/>
          </w:rPr>
          <w:fldChar w:fldCharType="separate"/>
        </w:r>
        <w:r>
          <w:rPr>
            <w:noProof/>
            <w:webHidden/>
          </w:rPr>
          <w:t>392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1" w:history="1">
        <w:r w:rsidRPr="002F4868">
          <w:rPr>
            <w:rStyle w:val="a5"/>
            <w:noProof/>
          </w:rPr>
          <w:t>Title: American Journal of Community Psychology</w:t>
        </w:r>
        <w:r>
          <w:rPr>
            <w:noProof/>
            <w:webHidden/>
          </w:rPr>
          <w:tab/>
        </w:r>
        <w:r>
          <w:rPr>
            <w:noProof/>
            <w:webHidden/>
          </w:rPr>
          <w:fldChar w:fldCharType="begin"/>
        </w:r>
        <w:r>
          <w:rPr>
            <w:noProof/>
            <w:webHidden/>
          </w:rPr>
          <w:instrText xml:space="preserve"> PAGEREF _Toc420814381 \h </w:instrText>
        </w:r>
        <w:r>
          <w:rPr>
            <w:noProof/>
            <w:webHidden/>
          </w:rPr>
        </w:r>
        <w:r>
          <w:rPr>
            <w:noProof/>
            <w:webHidden/>
          </w:rPr>
          <w:fldChar w:fldCharType="separate"/>
        </w:r>
        <w:r>
          <w:rPr>
            <w:noProof/>
            <w:webHidden/>
          </w:rPr>
          <w:t>393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2" w:history="1">
        <w:r w:rsidRPr="002F4868">
          <w:rPr>
            <w:rStyle w:val="a5"/>
            <w:noProof/>
          </w:rPr>
          <w:t>Title: American Journal of Dentistry</w:t>
        </w:r>
        <w:r>
          <w:rPr>
            <w:noProof/>
            <w:webHidden/>
          </w:rPr>
          <w:tab/>
        </w:r>
        <w:r>
          <w:rPr>
            <w:noProof/>
            <w:webHidden/>
          </w:rPr>
          <w:fldChar w:fldCharType="begin"/>
        </w:r>
        <w:r>
          <w:rPr>
            <w:noProof/>
            <w:webHidden/>
          </w:rPr>
          <w:instrText xml:space="preserve"> PAGEREF _Toc420814382 \h </w:instrText>
        </w:r>
        <w:r>
          <w:rPr>
            <w:noProof/>
            <w:webHidden/>
          </w:rPr>
        </w:r>
        <w:r>
          <w:rPr>
            <w:noProof/>
            <w:webHidden/>
          </w:rPr>
          <w:fldChar w:fldCharType="separate"/>
        </w:r>
        <w:r>
          <w:rPr>
            <w:noProof/>
            <w:webHidden/>
          </w:rPr>
          <w:t>394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3" w:history="1">
        <w:r w:rsidRPr="002F4868">
          <w:rPr>
            <w:rStyle w:val="a5"/>
            <w:noProof/>
          </w:rPr>
          <w:t>Title: American Journal of Economics and Sociology</w:t>
        </w:r>
        <w:r>
          <w:rPr>
            <w:noProof/>
            <w:webHidden/>
          </w:rPr>
          <w:tab/>
        </w:r>
        <w:r>
          <w:rPr>
            <w:noProof/>
            <w:webHidden/>
          </w:rPr>
          <w:fldChar w:fldCharType="begin"/>
        </w:r>
        <w:r>
          <w:rPr>
            <w:noProof/>
            <w:webHidden/>
          </w:rPr>
          <w:instrText xml:space="preserve"> PAGEREF _Toc420814383 \h </w:instrText>
        </w:r>
        <w:r>
          <w:rPr>
            <w:noProof/>
            <w:webHidden/>
          </w:rPr>
        </w:r>
        <w:r>
          <w:rPr>
            <w:noProof/>
            <w:webHidden/>
          </w:rPr>
          <w:fldChar w:fldCharType="separate"/>
        </w:r>
        <w:r>
          <w:rPr>
            <w:noProof/>
            <w:webHidden/>
          </w:rPr>
          <w:t>396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4" w:history="1">
        <w:r w:rsidRPr="002F4868">
          <w:rPr>
            <w:rStyle w:val="a5"/>
            <w:noProof/>
          </w:rPr>
          <w:t>Title: American Journal of Emergency Medicine</w:t>
        </w:r>
        <w:r>
          <w:rPr>
            <w:noProof/>
            <w:webHidden/>
          </w:rPr>
          <w:tab/>
        </w:r>
        <w:r>
          <w:rPr>
            <w:noProof/>
            <w:webHidden/>
          </w:rPr>
          <w:fldChar w:fldCharType="begin"/>
        </w:r>
        <w:r>
          <w:rPr>
            <w:noProof/>
            <w:webHidden/>
          </w:rPr>
          <w:instrText xml:space="preserve"> PAGEREF _Toc420814384 \h </w:instrText>
        </w:r>
        <w:r>
          <w:rPr>
            <w:noProof/>
            <w:webHidden/>
          </w:rPr>
        </w:r>
        <w:r>
          <w:rPr>
            <w:noProof/>
            <w:webHidden/>
          </w:rPr>
          <w:fldChar w:fldCharType="separate"/>
        </w:r>
        <w:r>
          <w:rPr>
            <w:noProof/>
            <w:webHidden/>
          </w:rPr>
          <w:t>398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5" w:history="1">
        <w:r w:rsidRPr="002F4868">
          <w:rPr>
            <w:rStyle w:val="a5"/>
            <w:noProof/>
          </w:rPr>
          <w:t>Title: American Journal of Enology and Viticulture</w:t>
        </w:r>
        <w:r>
          <w:rPr>
            <w:noProof/>
            <w:webHidden/>
          </w:rPr>
          <w:tab/>
        </w:r>
        <w:r>
          <w:rPr>
            <w:noProof/>
            <w:webHidden/>
          </w:rPr>
          <w:fldChar w:fldCharType="begin"/>
        </w:r>
        <w:r>
          <w:rPr>
            <w:noProof/>
            <w:webHidden/>
          </w:rPr>
          <w:instrText xml:space="preserve"> PAGEREF _Toc420814385 \h </w:instrText>
        </w:r>
        <w:r>
          <w:rPr>
            <w:noProof/>
            <w:webHidden/>
          </w:rPr>
        </w:r>
        <w:r>
          <w:rPr>
            <w:noProof/>
            <w:webHidden/>
          </w:rPr>
          <w:fldChar w:fldCharType="separate"/>
        </w:r>
        <w:r>
          <w:rPr>
            <w:noProof/>
            <w:webHidden/>
          </w:rPr>
          <w:t>401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6" w:history="1">
        <w:r w:rsidRPr="002F4868">
          <w:rPr>
            <w:rStyle w:val="a5"/>
            <w:noProof/>
          </w:rPr>
          <w:t>Title: American Journal of Epidemiology</w:t>
        </w:r>
        <w:r>
          <w:rPr>
            <w:noProof/>
            <w:webHidden/>
          </w:rPr>
          <w:tab/>
        </w:r>
        <w:r>
          <w:rPr>
            <w:noProof/>
            <w:webHidden/>
          </w:rPr>
          <w:fldChar w:fldCharType="begin"/>
        </w:r>
        <w:r>
          <w:rPr>
            <w:noProof/>
            <w:webHidden/>
          </w:rPr>
          <w:instrText xml:space="preserve"> PAGEREF _Toc420814386 \h </w:instrText>
        </w:r>
        <w:r>
          <w:rPr>
            <w:noProof/>
            <w:webHidden/>
          </w:rPr>
        </w:r>
        <w:r>
          <w:rPr>
            <w:noProof/>
            <w:webHidden/>
          </w:rPr>
          <w:fldChar w:fldCharType="separate"/>
        </w:r>
        <w:r>
          <w:rPr>
            <w:noProof/>
            <w:webHidden/>
          </w:rPr>
          <w:t>402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7" w:history="1">
        <w:r w:rsidRPr="002F4868">
          <w:rPr>
            <w:rStyle w:val="a5"/>
            <w:noProof/>
          </w:rPr>
          <w:t>Title: American Journal of Evaluation</w:t>
        </w:r>
        <w:r>
          <w:rPr>
            <w:noProof/>
            <w:webHidden/>
          </w:rPr>
          <w:tab/>
        </w:r>
        <w:r>
          <w:rPr>
            <w:noProof/>
            <w:webHidden/>
          </w:rPr>
          <w:fldChar w:fldCharType="begin"/>
        </w:r>
        <w:r>
          <w:rPr>
            <w:noProof/>
            <w:webHidden/>
          </w:rPr>
          <w:instrText xml:space="preserve"> PAGEREF _Toc420814387 \h </w:instrText>
        </w:r>
        <w:r>
          <w:rPr>
            <w:noProof/>
            <w:webHidden/>
          </w:rPr>
        </w:r>
        <w:r>
          <w:rPr>
            <w:noProof/>
            <w:webHidden/>
          </w:rPr>
          <w:fldChar w:fldCharType="separate"/>
        </w:r>
        <w:r>
          <w:rPr>
            <w:noProof/>
            <w:webHidden/>
          </w:rPr>
          <w:t>410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8" w:history="1">
        <w:r w:rsidRPr="002F4868">
          <w:rPr>
            <w:rStyle w:val="a5"/>
            <w:noProof/>
          </w:rPr>
          <w:t>Title: American Journal of Forensic Medicine and Pathology</w:t>
        </w:r>
        <w:r>
          <w:rPr>
            <w:noProof/>
            <w:webHidden/>
          </w:rPr>
          <w:tab/>
        </w:r>
        <w:r>
          <w:rPr>
            <w:noProof/>
            <w:webHidden/>
          </w:rPr>
          <w:fldChar w:fldCharType="begin"/>
        </w:r>
        <w:r>
          <w:rPr>
            <w:noProof/>
            <w:webHidden/>
          </w:rPr>
          <w:instrText xml:space="preserve"> PAGEREF _Toc420814388 \h </w:instrText>
        </w:r>
        <w:r>
          <w:rPr>
            <w:noProof/>
            <w:webHidden/>
          </w:rPr>
        </w:r>
        <w:r>
          <w:rPr>
            <w:noProof/>
            <w:webHidden/>
          </w:rPr>
          <w:fldChar w:fldCharType="separate"/>
        </w:r>
        <w:r>
          <w:rPr>
            <w:noProof/>
            <w:webHidden/>
          </w:rPr>
          <w:t>413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89" w:history="1">
        <w:r w:rsidRPr="002F4868">
          <w:rPr>
            <w:rStyle w:val="a5"/>
            <w:noProof/>
          </w:rPr>
          <w:t>Title: American Journal of Gastroenterology</w:t>
        </w:r>
        <w:r>
          <w:rPr>
            <w:noProof/>
            <w:webHidden/>
          </w:rPr>
          <w:tab/>
        </w:r>
        <w:r>
          <w:rPr>
            <w:noProof/>
            <w:webHidden/>
          </w:rPr>
          <w:fldChar w:fldCharType="begin"/>
        </w:r>
        <w:r>
          <w:rPr>
            <w:noProof/>
            <w:webHidden/>
          </w:rPr>
          <w:instrText xml:space="preserve"> PAGEREF _Toc420814389 \h </w:instrText>
        </w:r>
        <w:r>
          <w:rPr>
            <w:noProof/>
            <w:webHidden/>
          </w:rPr>
        </w:r>
        <w:r>
          <w:rPr>
            <w:noProof/>
            <w:webHidden/>
          </w:rPr>
          <w:fldChar w:fldCharType="separate"/>
        </w:r>
        <w:r>
          <w:rPr>
            <w:noProof/>
            <w:webHidden/>
          </w:rPr>
          <w:t>414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0" w:history="1">
        <w:r w:rsidRPr="002F4868">
          <w:rPr>
            <w:rStyle w:val="a5"/>
            <w:noProof/>
          </w:rPr>
          <w:t>Title: American Journal of Geriatric Pharmacotherapy</w:t>
        </w:r>
        <w:r>
          <w:rPr>
            <w:noProof/>
            <w:webHidden/>
          </w:rPr>
          <w:tab/>
        </w:r>
        <w:r>
          <w:rPr>
            <w:noProof/>
            <w:webHidden/>
          </w:rPr>
          <w:fldChar w:fldCharType="begin"/>
        </w:r>
        <w:r>
          <w:rPr>
            <w:noProof/>
            <w:webHidden/>
          </w:rPr>
          <w:instrText xml:space="preserve"> PAGEREF _Toc420814390 \h </w:instrText>
        </w:r>
        <w:r>
          <w:rPr>
            <w:noProof/>
            <w:webHidden/>
          </w:rPr>
        </w:r>
        <w:r>
          <w:rPr>
            <w:noProof/>
            <w:webHidden/>
          </w:rPr>
          <w:fldChar w:fldCharType="separate"/>
        </w:r>
        <w:r>
          <w:rPr>
            <w:noProof/>
            <w:webHidden/>
          </w:rPr>
          <w:t>425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1" w:history="1">
        <w:r w:rsidRPr="002F4868">
          <w:rPr>
            <w:rStyle w:val="a5"/>
            <w:noProof/>
          </w:rPr>
          <w:t>Title: American Journal of Geriatric Psychiatry</w:t>
        </w:r>
        <w:r>
          <w:rPr>
            <w:noProof/>
            <w:webHidden/>
          </w:rPr>
          <w:tab/>
        </w:r>
        <w:r>
          <w:rPr>
            <w:noProof/>
            <w:webHidden/>
          </w:rPr>
          <w:fldChar w:fldCharType="begin"/>
        </w:r>
        <w:r>
          <w:rPr>
            <w:noProof/>
            <w:webHidden/>
          </w:rPr>
          <w:instrText xml:space="preserve"> PAGEREF _Toc420814391 \h </w:instrText>
        </w:r>
        <w:r>
          <w:rPr>
            <w:noProof/>
            <w:webHidden/>
          </w:rPr>
        </w:r>
        <w:r>
          <w:rPr>
            <w:noProof/>
            <w:webHidden/>
          </w:rPr>
          <w:fldChar w:fldCharType="separate"/>
        </w:r>
        <w:r>
          <w:rPr>
            <w:noProof/>
            <w:webHidden/>
          </w:rPr>
          <w:t>429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2" w:history="1">
        <w:r w:rsidRPr="002F4868">
          <w:rPr>
            <w:rStyle w:val="a5"/>
            <w:noProof/>
          </w:rPr>
          <w:t>Title: American Journal of Health Behavior</w:t>
        </w:r>
        <w:r>
          <w:rPr>
            <w:noProof/>
            <w:webHidden/>
          </w:rPr>
          <w:tab/>
        </w:r>
        <w:r>
          <w:rPr>
            <w:noProof/>
            <w:webHidden/>
          </w:rPr>
          <w:fldChar w:fldCharType="begin"/>
        </w:r>
        <w:r>
          <w:rPr>
            <w:noProof/>
            <w:webHidden/>
          </w:rPr>
          <w:instrText xml:space="preserve"> PAGEREF _Toc420814392 \h </w:instrText>
        </w:r>
        <w:r>
          <w:rPr>
            <w:noProof/>
            <w:webHidden/>
          </w:rPr>
        </w:r>
        <w:r>
          <w:rPr>
            <w:noProof/>
            <w:webHidden/>
          </w:rPr>
          <w:fldChar w:fldCharType="separate"/>
        </w:r>
        <w:r>
          <w:rPr>
            <w:noProof/>
            <w:webHidden/>
          </w:rPr>
          <w:t>431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3" w:history="1">
        <w:r w:rsidRPr="002F4868">
          <w:rPr>
            <w:rStyle w:val="a5"/>
            <w:noProof/>
          </w:rPr>
          <w:t>Title: American Journal of Health Promotion</w:t>
        </w:r>
        <w:r>
          <w:rPr>
            <w:noProof/>
            <w:webHidden/>
          </w:rPr>
          <w:tab/>
        </w:r>
        <w:r>
          <w:rPr>
            <w:noProof/>
            <w:webHidden/>
          </w:rPr>
          <w:fldChar w:fldCharType="begin"/>
        </w:r>
        <w:r>
          <w:rPr>
            <w:noProof/>
            <w:webHidden/>
          </w:rPr>
          <w:instrText xml:space="preserve"> PAGEREF _Toc420814393 \h </w:instrText>
        </w:r>
        <w:r>
          <w:rPr>
            <w:noProof/>
            <w:webHidden/>
          </w:rPr>
        </w:r>
        <w:r>
          <w:rPr>
            <w:noProof/>
            <w:webHidden/>
          </w:rPr>
          <w:fldChar w:fldCharType="separate"/>
        </w:r>
        <w:r>
          <w:rPr>
            <w:noProof/>
            <w:webHidden/>
          </w:rPr>
          <w:t>432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4" w:history="1">
        <w:r w:rsidRPr="002F4868">
          <w:rPr>
            <w:rStyle w:val="a5"/>
            <w:noProof/>
          </w:rPr>
          <w:t>Title: American Journal of Health-System Pharmacy</w:t>
        </w:r>
        <w:r>
          <w:rPr>
            <w:noProof/>
            <w:webHidden/>
          </w:rPr>
          <w:tab/>
        </w:r>
        <w:r>
          <w:rPr>
            <w:noProof/>
            <w:webHidden/>
          </w:rPr>
          <w:fldChar w:fldCharType="begin"/>
        </w:r>
        <w:r>
          <w:rPr>
            <w:noProof/>
            <w:webHidden/>
          </w:rPr>
          <w:instrText xml:space="preserve"> PAGEREF _Toc420814394 \h </w:instrText>
        </w:r>
        <w:r>
          <w:rPr>
            <w:noProof/>
            <w:webHidden/>
          </w:rPr>
        </w:r>
        <w:r>
          <w:rPr>
            <w:noProof/>
            <w:webHidden/>
          </w:rPr>
          <w:fldChar w:fldCharType="separate"/>
        </w:r>
        <w:r>
          <w:rPr>
            <w:noProof/>
            <w:webHidden/>
          </w:rPr>
          <w:t>440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5" w:history="1">
        <w:r w:rsidRPr="002F4868">
          <w:rPr>
            <w:rStyle w:val="a5"/>
            <w:noProof/>
          </w:rPr>
          <w:t>Title: American Journal of Hematology</w:t>
        </w:r>
        <w:r>
          <w:rPr>
            <w:noProof/>
            <w:webHidden/>
          </w:rPr>
          <w:tab/>
        </w:r>
        <w:r>
          <w:rPr>
            <w:noProof/>
            <w:webHidden/>
          </w:rPr>
          <w:fldChar w:fldCharType="begin"/>
        </w:r>
        <w:r>
          <w:rPr>
            <w:noProof/>
            <w:webHidden/>
          </w:rPr>
          <w:instrText xml:space="preserve"> PAGEREF _Toc420814395 \h </w:instrText>
        </w:r>
        <w:r>
          <w:rPr>
            <w:noProof/>
            <w:webHidden/>
          </w:rPr>
        </w:r>
        <w:r>
          <w:rPr>
            <w:noProof/>
            <w:webHidden/>
          </w:rPr>
          <w:fldChar w:fldCharType="separate"/>
        </w:r>
        <w:r>
          <w:rPr>
            <w:noProof/>
            <w:webHidden/>
          </w:rPr>
          <w:t>443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6" w:history="1">
        <w:r w:rsidRPr="002F4868">
          <w:rPr>
            <w:rStyle w:val="a5"/>
            <w:noProof/>
          </w:rPr>
          <w:t>Title: American Journal of Hospice and Palliative Medicine</w:t>
        </w:r>
        <w:r>
          <w:rPr>
            <w:noProof/>
            <w:webHidden/>
          </w:rPr>
          <w:tab/>
        </w:r>
        <w:r>
          <w:rPr>
            <w:noProof/>
            <w:webHidden/>
          </w:rPr>
          <w:fldChar w:fldCharType="begin"/>
        </w:r>
        <w:r>
          <w:rPr>
            <w:noProof/>
            <w:webHidden/>
          </w:rPr>
          <w:instrText xml:space="preserve"> PAGEREF _Toc420814396 \h </w:instrText>
        </w:r>
        <w:r>
          <w:rPr>
            <w:noProof/>
            <w:webHidden/>
          </w:rPr>
        </w:r>
        <w:r>
          <w:rPr>
            <w:noProof/>
            <w:webHidden/>
          </w:rPr>
          <w:fldChar w:fldCharType="separate"/>
        </w:r>
        <w:r>
          <w:rPr>
            <w:noProof/>
            <w:webHidden/>
          </w:rPr>
          <w:t>446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7" w:history="1">
        <w:r w:rsidRPr="002F4868">
          <w:rPr>
            <w:rStyle w:val="a5"/>
            <w:noProof/>
          </w:rPr>
          <w:t>Title: American Journal of Human Biology</w:t>
        </w:r>
        <w:r>
          <w:rPr>
            <w:noProof/>
            <w:webHidden/>
          </w:rPr>
          <w:tab/>
        </w:r>
        <w:r>
          <w:rPr>
            <w:noProof/>
            <w:webHidden/>
          </w:rPr>
          <w:fldChar w:fldCharType="begin"/>
        </w:r>
        <w:r>
          <w:rPr>
            <w:noProof/>
            <w:webHidden/>
          </w:rPr>
          <w:instrText xml:space="preserve"> PAGEREF _Toc420814397 \h </w:instrText>
        </w:r>
        <w:r>
          <w:rPr>
            <w:noProof/>
            <w:webHidden/>
          </w:rPr>
        </w:r>
        <w:r>
          <w:rPr>
            <w:noProof/>
            <w:webHidden/>
          </w:rPr>
          <w:fldChar w:fldCharType="separate"/>
        </w:r>
        <w:r>
          <w:rPr>
            <w:noProof/>
            <w:webHidden/>
          </w:rPr>
          <w:t>447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8" w:history="1">
        <w:r w:rsidRPr="002F4868">
          <w:rPr>
            <w:rStyle w:val="a5"/>
            <w:noProof/>
          </w:rPr>
          <w:t>Title: American Journal of Human Genetics</w:t>
        </w:r>
        <w:r>
          <w:rPr>
            <w:noProof/>
            <w:webHidden/>
          </w:rPr>
          <w:tab/>
        </w:r>
        <w:r>
          <w:rPr>
            <w:noProof/>
            <w:webHidden/>
          </w:rPr>
          <w:fldChar w:fldCharType="begin"/>
        </w:r>
        <w:r>
          <w:rPr>
            <w:noProof/>
            <w:webHidden/>
          </w:rPr>
          <w:instrText xml:space="preserve"> PAGEREF _Toc420814398 \h </w:instrText>
        </w:r>
        <w:r>
          <w:rPr>
            <w:noProof/>
            <w:webHidden/>
          </w:rPr>
        </w:r>
        <w:r>
          <w:rPr>
            <w:noProof/>
            <w:webHidden/>
          </w:rPr>
          <w:fldChar w:fldCharType="separate"/>
        </w:r>
        <w:r>
          <w:rPr>
            <w:noProof/>
            <w:webHidden/>
          </w:rPr>
          <w:t>448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399" w:history="1">
        <w:r w:rsidRPr="002F4868">
          <w:rPr>
            <w:rStyle w:val="a5"/>
            <w:noProof/>
          </w:rPr>
          <w:t>Title: American Journal of Hygiene</w:t>
        </w:r>
        <w:r>
          <w:rPr>
            <w:noProof/>
            <w:webHidden/>
          </w:rPr>
          <w:tab/>
        </w:r>
        <w:r>
          <w:rPr>
            <w:noProof/>
            <w:webHidden/>
          </w:rPr>
          <w:fldChar w:fldCharType="begin"/>
        </w:r>
        <w:r>
          <w:rPr>
            <w:noProof/>
            <w:webHidden/>
          </w:rPr>
          <w:instrText xml:space="preserve"> PAGEREF _Toc420814399 \h </w:instrText>
        </w:r>
        <w:r>
          <w:rPr>
            <w:noProof/>
            <w:webHidden/>
          </w:rPr>
        </w:r>
        <w:r>
          <w:rPr>
            <w:noProof/>
            <w:webHidden/>
          </w:rPr>
          <w:fldChar w:fldCharType="separate"/>
        </w:r>
        <w:r>
          <w:rPr>
            <w:noProof/>
            <w:webHidden/>
          </w:rPr>
          <w:t>449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0" w:history="1">
        <w:r w:rsidRPr="002F4868">
          <w:rPr>
            <w:rStyle w:val="a5"/>
            <w:noProof/>
          </w:rPr>
          <w:t>Title: American Journal of Hypertension</w:t>
        </w:r>
        <w:r>
          <w:rPr>
            <w:noProof/>
            <w:webHidden/>
          </w:rPr>
          <w:tab/>
        </w:r>
        <w:r>
          <w:rPr>
            <w:noProof/>
            <w:webHidden/>
          </w:rPr>
          <w:fldChar w:fldCharType="begin"/>
        </w:r>
        <w:r>
          <w:rPr>
            <w:noProof/>
            <w:webHidden/>
          </w:rPr>
          <w:instrText xml:space="preserve"> PAGEREF _Toc420814400 \h </w:instrText>
        </w:r>
        <w:r>
          <w:rPr>
            <w:noProof/>
            <w:webHidden/>
          </w:rPr>
        </w:r>
        <w:r>
          <w:rPr>
            <w:noProof/>
            <w:webHidden/>
          </w:rPr>
          <w:fldChar w:fldCharType="separate"/>
        </w:r>
        <w:r>
          <w:rPr>
            <w:noProof/>
            <w:webHidden/>
          </w:rPr>
          <w:t>450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1" w:history="1">
        <w:r w:rsidRPr="002F4868">
          <w:rPr>
            <w:rStyle w:val="a5"/>
            <w:noProof/>
          </w:rPr>
          <w:t>Title: American Journal of Industrial Medicine</w:t>
        </w:r>
        <w:r>
          <w:rPr>
            <w:noProof/>
            <w:webHidden/>
          </w:rPr>
          <w:tab/>
        </w:r>
        <w:r>
          <w:rPr>
            <w:noProof/>
            <w:webHidden/>
          </w:rPr>
          <w:fldChar w:fldCharType="begin"/>
        </w:r>
        <w:r>
          <w:rPr>
            <w:noProof/>
            <w:webHidden/>
          </w:rPr>
          <w:instrText xml:space="preserve"> PAGEREF _Toc420814401 \h </w:instrText>
        </w:r>
        <w:r>
          <w:rPr>
            <w:noProof/>
            <w:webHidden/>
          </w:rPr>
        </w:r>
        <w:r>
          <w:rPr>
            <w:noProof/>
            <w:webHidden/>
          </w:rPr>
          <w:fldChar w:fldCharType="separate"/>
        </w:r>
        <w:r>
          <w:rPr>
            <w:noProof/>
            <w:webHidden/>
          </w:rPr>
          <w:t>452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2" w:history="1">
        <w:r w:rsidRPr="002F4868">
          <w:rPr>
            <w:rStyle w:val="a5"/>
            <w:noProof/>
          </w:rPr>
          <w:t>Title: American Journal of Infection Control</w:t>
        </w:r>
        <w:r>
          <w:rPr>
            <w:noProof/>
            <w:webHidden/>
          </w:rPr>
          <w:tab/>
        </w:r>
        <w:r>
          <w:rPr>
            <w:noProof/>
            <w:webHidden/>
          </w:rPr>
          <w:fldChar w:fldCharType="begin"/>
        </w:r>
        <w:r>
          <w:rPr>
            <w:noProof/>
            <w:webHidden/>
          </w:rPr>
          <w:instrText xml:space="preserve"> PAGEREF _Toc420814402 \h </w:instrText>
        </w:r>
        <w:r>
          <w:rPr>
            <w:noProof/>
            <w:webHidden/>
          </w:rPr>
        </w:r>
        <w:r>
          <w:rPr>
            <w:noProof/>
            <w:webHidden/>
          </w:rPr>
          <w:fldChar w:fldCharType="separate"/>
        </w:r>
        <w:r>
          <w:rPr>
            <w:noProof/>
            <w:webHidden/>
          </w:rPr>
          <w:t>455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3" w:history="1">
        <w:r w:rsidRPr="002F4868">
          <w:rPr>
            <w:rStyle w:val="a5"/>
            <w:noProof/>
          </w:rPr>
          <w:t>Title: American Journal of Kidney Diseases</w:t>
        </w:r>
        <w:r>
          <w:rPr>
            <w:noProof/>
            <w:webHidden/>
          </w:rPr>
          <w:tab/>
        </w:r>
        <w:r>
          <w:rPr>
            <w:noProof/>
            <w:webHidden/>
          </w:rPr>
          <w:fldChar w:fldCharType="begin"/>
        </w:r>
        <w:r>
          <w:rPr>
            <w:noProof/>
            <w:webHidden/>
          </w:rPr>
          <w:instrText xml:space="preserve"> PAGEREF _Toc420814403 \h </w:instrText>
        </w:r>
        <w:r>
          <w:rPr>
            <w:noProof/>
            <w:webHidden/>
          </w:rPr>
        </w:r>
        <w:r>
          <w:rPr>
            <w:noProof/>
            <w:webHidden/>
          </w:rPr>
          <w:fldChar w:fldCharType="separate"/>
        </w:r>
        <w:r>
          <w:rPr>
            <w:noProof/>
            <w:webHidden/>
          </w:rPr>
          <w:t>457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4" w:history="1">
        <w:r w:rsidRPr="002F4868">
          <w:rPr>
            <w:rStyle w:val="a5"/>
            <w:noProof/>
          </w:rPr>
          <w:t>Title: American Journal of Managed Care</w:t>
        </w:r>
        <w:r>
          <w:rPr>
            <w:noProof/>
            <w:webHidden/>
          </w:rPr>
          <w:tab/>
        </w:r>
        <w:r>
          <w:rPr>
            <w:noProof/>
            <w:webHidden/>
          </w:rPr>
          <w:fldChar w:fldCharType="begin"/>
        </w:r>
        <w:r>
          <w:rPr>
            <w:noProof/>
            <w:webHidden/>
          </w:rPr>
          <w:instrText xml:space="preserve"> PAGEREF _Toc420814404 \h </w:instrText>
        </w:r>
        <w:r>
          <w:rPr>
            <w:noProof/>
            <w:webHidden/>
          </w:rPr>
        </w:r>
        <w:r>
          <w:rPr>
            <w:noProof/>
            <w:webHidden/>
          </w:rPr>
          <w:fldChar w:fldCharType="separate"/>
        </w:r>
        <w:r>
          <w:rPr>
            <w:noProof/>
            <w:webHidden/>
          </w:rPr>
          <w:t>462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5" w:history="1">
        <w:r w:rsidRPr="002F4868">
          <w:rPr>
            <w:rStyle w:val="a5"/>
            <w:noProof/>
          </w:rPr>
          <w:t>Title: American Journal of Mathematics</w:t>
        </w:r>
        <w:r>
          <w:rPr>
            <w:noProof/>
            <w:webHidden/>
          </w:rPr>
          <w:tab/>
        </w:r>
        <w:r>
          <w:rPr>
            <w:noProof/>
            <w:webHidden/>
          </w:rPr>
          <w:fldChar w:fldCharType="begin"/>
        </w:r>
        <w:r>
          <w:rPr>
            <w:noProof/>
            <w:webHidden/>
          </w:rPr>
          <w:instrText xml:space="preserve"> PAGEREF _Toc420814405 \h </w:instrText>
        </w:r>
        <w:r>
          <w:rPr>
            <w:noProof/>
            <w:webHidden/>
          </w:rPr>
        </w:r>
        <w:r>
          <w:rPr>
            <w:noProof/>
            <w:webHidden/>
          </w:rPr>
          <w:fldChar w:fldCharType="separate"/>
        </w:r>
        <w:r>
          <w:rPr>
            <w:noProof/>
            <w:webHidden/>
          </w:rPr>
          <w:t>465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6" w:history="1">
        <w:r w:rsidRPr="002F4868">
          <w:rPr>
            <w:rStyle w:val="a5"/>
            <w:noProof/>
          </w:rPr>
          <w:t>Title: American Journal of Medical Genetics Part B-Neuropsychiatric Genetics</w:t>
        </w:r>
        <w:r>
          <w:rPr>
            <w:noProof/>
            <w:webHidden/>
          </w:rPr>
          <w:tab/>
        </w:r>
        <w:r>
          <w:rPr>
            <w:noProof/>
            <w:webHidden/>
          </w:rPr>
          <w:fldChar w:fldCharType="begin"/>
        </w:r>
        <w:r>
          <w:rPr>
            <w:noProof/>
            <w:webHidden/>
          </w:rPr>
          <w:instrText xml:space="preserve"> PAGEREF _Toc420814406 \h </w:instrText>
        </w:r>
        <w:r>
          <w:rPr>
            <w:noProof/>
            <w:webHidden/>
          </w:rPr>
        </w:r>
        <w:r>
          <w:rPr>
            <w:noProof/>
            <w:webHidden/>
          </w:rPr>
          <w:fldChar w:fldCharType="separate"/>
        </w:r>
        <w:r>
          <w:rPr>
            <w:noProof/>
            <w:webHidden/>
          </w:rPr>
          <w:t>466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7" w:history="1">
        <w:r w:rsidRPr="002F4868">
          <w:rPr>
            <w:rStyle w:val="a5"/>
            <w:noProof/>
          </w:rPr>
          <w:t>Title: American Journal of Medical Quality</w:t>
        </w:r>
        <w:r>
          <w:rPr>
            <w:noProof/>
            <w:webHidden/>
          </w:rPr>
          <w:tab/>
        </w:r>
        <w:r>
          <w:rPr>
            <w:noProof/>
            <w:webHidden/>
          </w:rPr>
          <w:fldChar w:fldCharType="begin"/>
        </w:r>
        <w:r>
          <w:rPr>
            <w:noProof/>
            <w:webHidden/>
          </w:rPr>
          <w:instrText xml:space="preserve"> PAGEREF _Toc420814407 \h </w:instrText>
        </w:r>
        <w:r>
          <w:rPr>
            <w:noProof/>
            <w:webHidden/>
          </w:rPr>
        </w:r>
        <w:r>
          <w:rPr>
            <w:noProof/>
            <w:webHidden/>
          </w:rPr>
          <w:fldChar w:fldCharType="separate"/>
        </w:r>
        <w:r>
          <w:rPr>
            <w:noProof/>
            <w:webHidden/>
          </w:rPr>
          <w:t>468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8" w:history="1">
        <w:r w:rsidRPr="002F4868">
          <w:rPr>
            <w:rStyle w:val="a5"/>
            <w:noProof/>
          </w:rPr>
          <w:t>Title: American Journal of the Medical Sciences</w:t>
        </w:r>
        <w:r>
          <w:rPr>
            <w:noProof/>
            <w:webHidden/>
          </w:rPr>
          <w:tab/>
        </w:r>
        <w:r>
          <w:rPr>
            <w:noProof/>
            <w:webHidden/>
          </w:rPr>
          <w:fldChar w:fldCharType="begin"/>
        </w:r>
        <w:r>
          <w:rPr>
            <w:noProof/>
            <w:webHidden/>
          </w:rPr>
          <w:instrText xml:space="preserve"> PAGEREF _Toc420814408 \h </w:instrText>
        </w:r>
        <w:r>
          <w:rPr>
            <w:noProof/>
            <w:webHidden/>
          </w:rPr>
        </w:r>
        <w:r>
          <w:rPr>
            <w:noProof/>
            <w:webHidden/>
          </w:rPr>
          <w:fldChar w:fldCharType="separate"/>
        </w:r>
        <w:r>
          <w:rPr>
            <w:noProof/>
            <w:webHidden/>
          </w:rPr>
          <w:t>469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09" w:history="1">
        <w:r w:rsidRPr="002F4868">
          <w:rPr>
            <w:rStyle w:val="a5"/>
            <w:noProof/>
          </w:rPr>
          <w:t>Title: American Journal of Medicine</w:t>
        </w:r>
        <w:r>
          <w:rPr>
            <w:noProof/>
            <w:webHidden/>
          </w:rPr>
          <w:tab/>
        </w:r>
        <w:r>
          <w:rPr>
            <w:noProof/>
            <w:webHidden/>
          </w:rPr>
          <w:fldChar w:fldCharType="begin"/>
        </w:r>
        <w:r>
          <w:rPr>
            <w:noProof/>
            <w:webHidden/>
          </w:rPr>
          <w:instrText xml:space="preserve"> PAGEREF _Toc420814409 \h </w:instrText>
        </w:r>
        <w:r>
          <w:rPr>
            <w:noProof/>
            <w:webHidden/>
          </w:rPr>
        </w:r>
        <w:r>
          <w:rPr>
            <w:noProof/>
            <w:webHidden/>
          </w:rPr>
          <w:fldChar w:fldCharType="separate"/>
        </w:r>
        <w:r>
          <w:rPr>
            <w:noProof/>
            <w:webHidden/>
          </w:rPr>
          <w:t>473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0" w:history="1">
        <w:r w:rsidRPr="002F4868">
          <w:rPr>
            <w:rStyle w:val="a5"/>
            <w:noProof/>
          </w:rPr>
          <w:t>Title: American Journal of Mens Health</w:t>
        </w:r>
        <w:r>
          <w:rPr>
            <w:noProof/>
            <w:webHidden/>
          </w:rPr>
          <w:tab/>
        </w:r>
        <w:r>
          <w:rPr>
            <w:noProof/>
            <w:webHidden/>
          </w:rPr>
          <w:fldChar w:fldCharType="begin"/>
        </w:r>
        <w:r>
          <w:rPr>
            <w:noProof/>
            <w:webHidden/>
          </w:rPr>
          <w:instrText xml:space="preserve"> PAGEREF _Toc420814410 \h </w:instrText>
        </w:r>
        <w:r>
          <w:rPr>
            <w:noProof/>
            <w:webHidden/>
          </w:rPr>
        </w:r>
        <w:r>
          <w:rPr>
            <w:noProof/>
            <w:webHidden/>
          </w:rPr>
          <w:fldChar w:fldCharType="separate"/>
        </w:r>
        <w:r>
          <w:rPr>
            <w:noProof/>
            <w:webHidden/>
          </w:rPr>
          <w:t>483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1" w:history="1">
        <w:r w:rsidRPr="002F4868">
          <w:rPr>
            <w:rStyle w:val="a5"/>
            <w:noProof/>
          </w:rPr>
          <w:t>Title: American Journal of Nephrology</w:t>
        </w:r>
        <w:r>
          <w:rPr>
            <w:noProof/>
            <w:webHidden/>
          </w:rPr>
          <w:tab/>
        </w:r>
        <w:r>
          <w:rPr>
            <w:noProof/>
            <w:webHidden/>
          </w:rPr>
          <w:fldChar w:fldCharType="begin"/>
        </w:r>
        <w:r>
          <w:rPr>
            <w:noProof/>
            <w:webHidden/>
          </w:rPr>
          <w:instrText xml:space="preserve"> PAGEREF _Toc420814411 \h </w:instrText>
        </w:r>
        <w:r>
          <w:rPr>
            <w:noProof/>
            <w:webHidden/>
          </w:rPr>
        </w:r>
        <w:r>
          <w:rPr>
            <w:noProof/>
            <w:webHidden/>
          </w:rPr>
          <w:fldChar w:fldCharType="separate"/>
        </w:r>
        <w:r>
          <w:rPr>
            <w:noProof/>
            <w:webHidden/>
          </w:rPr>
          <w:t>485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2" w:history="1">
        <w:r w:rsidRPr="002F4868">
          <w:rPr>
            <w:rStyle w:val="a5"/>
            <w:noProof/>
          </w:rPr>
          <w:t>Title: American Journal of Neuroradiology</w:t>
        </w:r>
        <w:r>
          <w:rPr>
            <w:noProof/>
            <w:webHidden/>
          </w:rPr>
          <w:tab/>
        </w:r>
        <w:r>
          <w:rPr>
            <w:noProof/>
            <w:webHidden/>
          </w:rPr>
          <w:fldChar w:fldCharType="begin"/>
        </w:r>
        <w:r>
          <w:rPr>
            <w:noProof/>
            <w:webHidden/>
          </w:rPr>
          <w:instrText xml:space="preserve"> PAGEREF _Toc420814412 \h </w:instrText>
        </w:r>
        <w:r>
          <w:rPr>
            <w:noProof/>
            <w:webHidden/>
          </w:rPr>
        </w:r>
        <w:r>
          <w:rPr>
            <w:noProof/>
            <w:webHidden/>
          </w:rPr>
          <w:fldChar w:fldCharType="separate"/>
        </w:r>
        <w:r>
          <w:rPr>
            <w:noProof/>
            <w:webHidden/>
          </w:rPr>
          <w:t>487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3" w:history="1">
        <w:r w:rsidRPr="002F4868">
          <w:rPr>
            <w:rStyle w:val="a5"/>
            <w:noProof/>
          </w:rPr>
          <w:t>Title: American Journal of Nursing</w:t>
        </w:r>
        <w:r>
          <w:rPr>
            <w:noProof/>
            <w:webHidden/>
          </w:rPr>
          <w:tab/>
        </w:r>
        <w:r>
          <w:rPr>
            <w:noProof/>
            <w:webHidden/>
          </w:rPr>
          <w:fldChar w:fldCharType="begin"/>
        </w:r>
        <w:r>
          <w:rPr>
            <w:noProof/>
            <w:webHidden/>
          </w:rPr>
          <w:instrText xml:space="preserve"> PAGEREF _Toc420814413 \h </w:instrText>
        </w:r>
        <w:r>
          <w:rPr>
            <w:noProof/>
            <w:webHidden/>
          </w:rPr>
        </w:r>
        <w:r>
          <w:rPr>
            <w:noProof/>
            <w:webHidden/>
          </w:rPr>
          <w:fldChar w:fldCharType="separate"/>
        </w:r>
        <w:r>
          <w:rPr>
            <w:noProof/>
            <w:webHidden/>
          </w:rPr>
          <w:t>490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4" w:history="1">
        <w:r w:rsidRPr="002F4868">
          <w:rPr>
            <w:rStyle w:val="a5"/>
            <w:noProof/>
          </w:rPr>
          <w:t>Title: American Journal of Obstetrics and Gynecology</w:t>
        </w:r>
        <w:r>
          <w:rPr>
            <w:noProof/>
            <w:webHidden/>
          </w:rPr>
          <w:tab/>
        </w:r>
        <w:r>
          <w:rPr>
            <w:noProof/>
            <w:webHidden/>
          </w:rPr>
          <w:fldChar w:fldCharType="begin"/>
        </w:r>
        <w:r>
          <w:rPr>
            <w:noProof/>
            <w:webHidden/>
          </w:rPr>
          <w:instrText xml:space="preserve"> PAGEREF _Toc420814414 \h </w:instrText>
        </w:r>
        <w:r>
          <w:rPr>
            <w:noProof/>
            <w:webHidden/>
          </w:rPr>
        </w:r>
        <w:r>
          <w:rPr>
            <w:noProof/>
            <w:webHidden/>
          </w:rPr>
          <w:fldChar w:fldCharType="separate"/>
        </w:r>
        <w:r>
          <w:rPr>
            <w:noProof/>
            <w:webHidden/>
          </w:rPr>
          <w:t>491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5" w:history="1">
        <w:r w:rsidRPr="002F4868">
          <w:rPr>
            <w:rStyle w:val="a5"/>
            <w:noProof/>
          </w:rPr>
          <w:t>Title: American Journal of Occupational Therapy</w:t>
        </w:r>
        <w:r>
          <w:rPr>
            <w:noProof/>
            <w:webHidden/>
          </w:rPr>
          <w:tab/>
        </w:r>
        <w:r>
          <w:rPr>
            <w:noProof/>
            <w:webHidden/>
          </w:rPr>
          <w:fldChar w:fldCharType="begin"/>
        </w:r>
        <w:r>
          <w:rPr>
            <w:noProof/>
            <w:webHidden/>
          </w:rPr>
          <w:instrText xml:space="preserve"> PAGEREF _Toc420814415 \h </w:instrText>
        </w:r>
        <w:r>
          <w:rPr>
            <w:noProof/>
            <w:webHidden/>
          </w:rPr>
        </w:r>
        <w:r>
          <w:rPr>
            <w:noProof/>
            <w:webHidden/>
          </w:rPr>
          <w:fldChar w:fldCharType="separate"/>
        </w:r>
        <w:r>
          <w:rPr>
            <w:noProof/>
            <w:webHidden/>
          </w:rPr>
          <w:t>500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6" w:history="1">
        <w:r w:rsidRPr="002F4868">
          <w:rPr>
            <w:rStyle w:val="a5"/>
            <w:noProof/>
          </w:rPr>
          <w:t>Title: American Journal of Ophthalmology</w:t>
        </w:r>
        <w:r>
          <w:rPr>
            <w:noProof/>
            <w:webHidden/>
          </w:rPr>
          <w:tab/>
        </w:r>
        <w:r>
          <w:rPr>
            <w:noProof/>
            <w:webHidden/>
          </w:rPr>
          <w:fldChar w:fldCharType="begin"/>
        </w:r>
        <w:r>
          <w:rPr>
            <w:noProof/>
            <w:webHidden/>
          </w:rPr>
          <w:instrText xml:space="preserve"> PAGEREF _Toc420814416 \h </w:instrText>
        </w:r>
        <w:r>
          <w:rPr>
            <w:noProof/>
            <w:webHidden/>
          </w:rPr>
        </w:r>
        <w:r>
          <w:rPr>
            <w:noProof/>
            <w:webHidden/>
          </w:rPr>
          <w:fldChar w:fldCharType="separate"/>
        </w:r>
        <w:r>
          <w:rPr>
            <w:noProof/>
            <w:webHidden/>
          </w:rPr>
          <w:t>504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7" w:history="1">
        <w:r w:rsidRPr="002F4868">
          <w:rPr>
            <w:rStyle w:val="a5"/>
            <w:noProof/>
          </w:rPr>
          <w:t>Title: American Journal of Orthodontics and Dentofacial Orthopedics</w:t>
        </w:r>
        <w:r>
          <w:rPr>
            <w:noProof/>
            <w:webHidden/>
          </w:rPr>
          <w:tab/>
        </w:r>
        <w:r>
          <w:rPr>
            <w:noProof/>
            <w:webHidden/>
          </w:rPr>
          <w:fldChar w:fldCharType="begin"/>
        </w:r>
        <w:r>
          <w:rPr>
            <w:noProof/>
            <w:webHidden/>
          </w:rPr>
          <w:instrText xml:space="preserve"> PAGEREF _Toc420814417 \h </w:instrText>
        </w:r>
        <w:r>
          <w:rPr>
            <w:noProof/>
            <w:webHidden/>
          </w:rPr>
        </w:r>
        <w:r>
          <w:rPr>
            <w:noProof/>
            <w:webHidden/>
          </w:rPr>
          <w:fldChar w:fldCharType="separate"/>
        </w:r>
        <w:r>
          <w:rPr>
            <w:noProof/>
            <w:webHidden/>
          </w:rPr>
          <w:t>508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8" w:history="1">
        <w:r w:rsidRPr="002F4868">
          <w:rPr>
            <w:rStyle w:val="a5"/>
            <w:noProof/>
          </w:rPr>
          <w:t>Title: American Journal of Perinatology</w:t>
        </w:r>
        <w:r>
          <w:rPr>
            <w:noProof/>
            <w:webHidden/>
          </w:rPr>
          <w:tab/>
        </w:r>
        <w:r>
          <w:rPr>
            <w:noProof/>
            <w:webHidden/>
          </w:rPr>
          <w:fldChar w:fldCharType="begin"/>
        </w:r>
        <w:r>
          <w:rPr>
            <w:noProof/>
            <w:webHidden/>
          </w:rPr>
          <w:instrText xml:space="preserve"> PAGEREF _Toc420814418 \h </w:instrText>
        </w:r>
        <w:r>
          <w:rPr>
            <w:noProof/>
            <w:webHidden/>
          </w:rPr>
        </w:r>
        <w:r>
          <w:rPr>
            <w:noProof/>
            <w:webHidden/>
          </w:rPr>
          <w:fldChar w:fldCharType="separate"/>
        </w:r>
        <w:r>
          <w:rPr>
            <w:noProof/>
            <w:webHidden/>
          </w:rPr>
          <w:t>515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19" w:history="1">
        <w:r w:rsidRPr="002F4868">
          <w:rPr>
            <w:rStyle w:val="a5"/>
            <w:noProof/>
          </w:rPr>
          <w:t>Title: American Journal of Pharmaceutical Education</w:t>
        </w:r>
        <w:r>
          <w:rPr>
            <w:noProof/>
            <w:webHidden/>
          </w:rPr>
          <w:tab/>
        </w:r>
        <w:r>
          <w:rPr>
            <w:noProof/>
            <w:webHidden/>
          </w:rPr>
          <w:fldChar w:fldCharType="begin"/>
        </w:r>
        <w:r>
          <w:rPr>
            <w:noProof/>
            <w:webHidden/>
          </w:rPr>
          <w:instrText xml:space="preserve"> PAGEREF _Toc420814419 \h </w:instrText>
        </w:r>
        <w:r>
          <w:rPr>
            <w:noProof/>
            <w:webHidden/>
          </w:rPr>
        </w:r>
        <w:r>
          <w:rPr>
            <w:noProof/>
            <w:webHidden/>
          </w:rPr>
          <w:fldChar w:fldCharType="separate"/>
        </w:r>
        <w:r>
          <w:rPr>
            <w:noProof/>
            <w:webHidden/>
          </w:rPr>
          <w:t>517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0" w:history="1">
        <w:r w:rsidRPr="002F4868">
          <w:rPr>
            <w:rStyle w:val="a5"/>
            <w:noProof/>
          </w:rPr>
          <w:t>Title: American Journal of Physical Medicine &amp; Rehabilitation</w:t>
        </w:r>
        <w:r>
          <w:rPr>
            <w:noProof/>
            <w:webHidden/>
          </w:rPr>
          <w:tab/>
        </w:r>
        <w:r>
          <w:rPr>
            <w:noProof/>
            <w:webHidden/>
          </w:rPr>
          <w:fldChar w:fldCharType="begin"/>
        </w:r>
        <w:r>
          <w:rPr>
            <w:noProof/>
            <w:webHidden/>
          </w:rPr>
          <w:instrText xml:space="preserve"> PAGEREF _Toc420814420 \h </w:instrText>
        </w:r>
        <w:r>
          <w:rPr>
            <w:noProof/>
            <w:webHidden/>
          </w:rPr>
        </w:r>
        <w:r>
          <w:rPr>
            <w:noProof/>
            <w:webHidden/>
          </w:rPr>
          <w:fldChar w:fldCharType="separate"/>
        </w:r>
        <w:r>
          <w:rPr>
            <w:noProof/>
            <w:webHidden/>
          </w:rPr>
          <w:t>520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1" w:history="1">
        <w:r w:rsidRPr="002F4868">
          <w:rPr>
            <w:rStyle w:val="a5"/>
            <w:noProof/>
          </w:rPr>
          <w:t>Title: American Journal of Physics</w:t>
        </w:r>
        <w:r>
          <w:rPr>
            <w:noProof/>
            <w:webHidden/>
          </w:rPr>
          <w:tab/>
        </w:r>
        <w:r>
          <w:rPr>
            <w:noProof/>
            <w:webHidden/>
          </w:rPr>
          <w:fldChar w:fldCharType="begin"/>
        </w:r>
        <w:r>
          <w:rPr>
            <w:noProof/>
            <w:webHidden/>
          </w:rPr>
          <w:instrText xml:space="preserve"> PAGEREF _Toc420814421 \h </w:instrText>
        </w:r>
        <w:r>
          <w:rPr>
            <w:noProof/>
            <w:webHidden/>
          </w:rPr>
        </w:r>
        <w:r>
          <w:rPr>
            <w:noProof/>
            <w:webHidden/>
          </w:rPr>
          <w:fldChar w:fldCharType="separate"/>
        </w:r>
        <w:r>
          <w:rPr>
            <w:noProof/>
            <w:webHidden/>
          </w:rPr>
          <w:t>523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2" w:history="1">
        <w:r w:rsidRPr="002F4868">
          <w:rPr>
            <w:rStyle w:val="a5"/>
            <w:noProof/>
          </w:rPr>
          <w:t>Title: American Journal of Preventive Medicine</w:t>
        </w:r>
        <w:r>
          <w:rPr>
            <w:noProof/>
            <w:webHidden/>
          </w:rPr>
          <w:tab/>
        </w:r>
        <w:r>
          <w:rPr>
            <w:noProof/>
            <w:webHidden/>
          </w:rPr>
          <w:fldChar w:fldCharType="begin"/>
        </w:r>
        <w:r>
          <w:rPr>
            <w:noProof/>
            <w:webHidden/>
          </w:rPr>
          <w:instrText xml:space="preserve"> PAGEREF _Toc420814422 \h </w:instrText>
        </w:r>
        <w:r>
          <w:rPr>
            <w:noProof/>
            <w:webHidden/>
          </w:rPr>
        </w:r>
        <w:r>
          <w:rPr>
            <w:noProof/>
            <w:webHidden/>
          </w:rPr>
          <w:fldChar w:fldCharType="separate"/>
        </w:r>
        <w:r>
          <w:rPr>
            <w:noProof/>
            <w:webHidden/>
          </w:rPr>
          <w:t>524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3" w:history="1">
        <w:r w:rsidRPr="002F4868">
          <w:rPr>
            <w:rStyle w:val="a5"/>
            <w:noProof/>
          </w:rPr>
          <w:t>Title: American Journal of Primatology</w:t>
        </w:r>
        <w:r>
          <w:rPr>
            <w:noProof/>
            <w:webHidden/>
          </w:rPr>
          <w:tab/>
        </w:r>
        <w:r>
          <w:rPr>
            <w:noProof/>
            <w:webHidden/>
          </w:rPr>
          <w:fldChar w:fldCharType="begin"/>
        </w:r>
        <w:r>
          <w:rPr>
            <w:noProof/>
            <w:webHidden/>
          </w:rPr>
          <w:instrText xml:space="preserve"> PAGEREF _Toc420814423 \h </w:instrText>
        </w:r>
        <w:r>
          <w:rPr>
            <w:noProof/>
            <w:webHidden/>
          </w:rPr>
        </w:r>
        <w:r>
          <w:rPr>
            <w:noProof/>
            <w:webHidden/>
          </w:rPr>
          <w:fldChar w:fldCharType="separate"/>
        </w:r>
        <w:r>
          <w:rPr>
            <w:noProof/>
            <w:webHidden/>
          </w:rPr>
          <w:t>538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4" w:history="1">
        <w:r w:rsidRPr="002F4868">
          <w:rPr>
            <w:rStyle w:val="a5"/>
            <w:noProof/>
          </w:rPr>
          <w:t>Title: American Journal of Psychiatry</w:t>
        </w:r>
        <w:r>
          <w:rPr>
            <w:noProof/>
            <w:webHidden/>
          </w:rPr>
          <w:tab/>
        </w:r>
        <w:r>
          <w:rPr>
            <w:noProof/>
            <w:webHidden/>
          </w:rPr>
          <w:fldChar w:fldCharType="begin"/>
        </w:r>
        <w:r>
          <w:rPr>
            <w:noProof/>
            <w:webHidden/>
          </w:rPr>
          <w:instrText xml:space="preserve"> PAGEREF _Toc420814424 \h </w:instrText>
        </w:r>
        <w:r>
          <w:rPr>
            <w:noProof/>
            <w:webHidden/>
          </w:rPr>
        </w:r>
        <w:r>
          <w:rPr>
            <w:noProof/>
            <w:webHidden/>
          </w:rPr>
          <w:fldChar w:fldCharType="separate"/>
        </w:r>
        <w:r>
          <w:rPr>
            <w:noProof/>
            <w:webHidden/>
          </w:rPr>
          <w:t>539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5" w:history="1">
        <w:r w:rsidRPr="002F4868">
          <w:rPr>
            <w:rStyle w:val="a5"/>
            <w:noProof/>
          </w:rPr>
          <w:t>Title: American Journal of Psychology</w:t>
        </w:r>
        <w:r>
          <w:rPr>
            <w:noProof/>
            <w:webHidden/>
          </w:rPr>
          <w:tab/>
        </w:r>
        <w:r>
          <w:rPr>
            <w:noProof/>
            <w:webHidden/>
          </w:rPr>
          <w:fldChar w:fldCharType="begin"/>
        </w:r>
        <w:r>
          <w:rPr>
            <w:noProof/>
            <w:webHidden/>
          </w:rPr>
          <w:instrText xml:space="preserve"> PAGEREF _Toc420814425 \h </w:instrText>
        </w:r>
        <w:r>
          <w:rPr>
            <w:noProof/>
            <w:webHidden/>
          </w:rPr>
        </w:r>
        <w:r>
          <w:rPr>
            <w:noProof/>
            <w:webHidden/>
          </w:rPr>
          <w:fldChar w:fldCharType="separate"/>
        </w:r>
        <w:r>
          <w:rPr>
            <w:noProof/>
            <w:webHidden/>
          </w:rPr>
          <w:t>540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6" w:history="1">
        <w:r w:rsidRPr="002F4868">
          <w:rPr>
            <w:rStyle w:val="a5"/>
            <w:noProof/>
          </w:rPr>
          <w:t>Title: American Journal of Public Health</w:t>
        </w:r>
        <w:r>
          <w:rPr>
            <w:noProof/>
            <w:webHidden/>
          </w:rPr>
          <w:tab/>
        </w:r>
        <w:r>
          <w:rPr>
            <w:noProof/>
            <w:webHidden/>
          </w:rPr>
          <w:fldChar w:fldCharType="begin"/>
        </w:r>
        <w:r>
          <w:rPr>
            <w:noProof/>
            <w:webHidden/>
          </w:rPr>
          <w:instrText xml:space="preserve"> PAGEREF _Toc420814426 \h </w:instrText>
        </w:r>
        <w:r>
          <w:rPr>
            <w:noProof/>
            <w:webHidden/>
          </w:rPr>
        </w:r>
        <w:r>
          <w:rPr>
            <w:noProof/>
            <w:webHidden/>
          </w:rPr>
          <w:fldChar w:fldCharType="separate"/>
        </w:r>
        <w:r>
          <w:rPr>
            <w:noProof/>
            <w:webHidden/>
          </w:rPr>
          <w:t>542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7" w:history="1">
        <w:r w:rsidRPr="002F4868">
          <w:rPr>
            <w:rStyle w:val="a5"/>
            <w:noProof/>
          </w:rPr>
          <w:t>Title: American Journal of Reproductive Immunology</w:t>
        </w:r>
        <w:r>
          <w:rPr>
            <w:noProof/>
            <w:webHidden/>
          </w:rPr>
          <w:tab/>
        </w:r>
        <w:r>
          <w:rPr>
            <w:noProof/>
            <w:webHidden/>
          </w:rPr>
          <w:fldChar w:fldCharType="begin"/>
        </w:r>
        <w:r>
          <w:rPr>
            <w:noProof/>
            <w:webHidden/>
          </w:rPr>
          <w:instrText xml:space="preserve"> PAGEREF _Toc420814427 \h </w:instrText>
        </w:r>
        <w:r>
          <w:rPr>
            <w:noProof/>
            <w:webHidden/>
          </w:rPr>
        </w:r>
        <w:r>
          <w:rPr>
            <w:noProof/>
            <w:webHidden/>
          </w:rPr>
          <w:fldChar w:fldCharType="separate"/>
        </w:r>
        <w:r>
          <w:rPr>
            <w:noProof/>
            <w:webHidden/>
          </w:rPr>
          <w:t>545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8" w:history="1">
        <w:r w:rsidRPr="002F4868">
          <w:rPr>
            <w:rStyle w:val="a5"/>
            <w:noProof/>
          </w:rPr>
          <w:t>Title: American Journal of Respiratory and Critical Care Medicine</w:t>
        </w:r>
        <w:r>
          <w:rPr>
            <w:noProof/>
            <w:webHidden/>
          </w:rPr>
          <w:tab/>
        </w:r>
        <w:r>
          <w:rPr>
            <w:noProof/>
            <w:webHidden/>
          </w:rPr>
          <w:fldChar w:fldCharType="begin"/>
        </w:r>
        <w:r>
          <w:rPr>
            <w:noProof/>
            <w:webHidden/>
          </w:rPr>
          <w:instrText xml:space="preserve"> PAGEREF _Toc420814428 \h </w:instrText>
        </w:r>
        <w:r>
          <w:rPr>
            <w:noProof/>
            <w:webHidden/>
          </w:rPr>
        </w:r>
        <w:r>
          <w:rPr>
            <w:noProof/>
            <w:webHidden/>
          </w:rPr>
          <w:fldChar w:fldCharType="separate"/>
        </w:r>
        <w:r>
          <w:rPr>
            <w:noProof/>
            <w:webHidden/>
          </w:rPr>
          <w:t>546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29" w:history="1">
        <w:r w:rsidRPr="002F4868">
          <w:rPr>
            <w:rStyle w:val="a5"/>
            <w:noProof/>
          </w:rPr>
          <w:t>Title: American Journal of Rhinology</w:t>
        </w:r>
        <w:r>
          <w:rPr>
            <w:noProof/>
            <w:webHidden/>
          </w:rPr>
          <w:tab/>
        </w:r>
        <w:r>
          <w:rPr>
            <w:noProof/>
            <w:webHidden/>
          </w:rPr>
          <w:fldChar w:fldCharType="begin"/>
        </w:r>
        <w:r>
          <w:rPr>
            <w:noProof/>
            <w:webHidden/>
          </w:rPr>
          <w:instrText xml:space="preserve"> PAGEREF _Toc420814429 \h </w:instrText>
        </w:r>
        <w:r>
          <w:rPr>
            <w:noProof/>
            <w:webHidden/>
          </w:rPr>
        </w:r>
        <w:r>
          <w:rPr>
            <w:noProof/>
            <w:webHidden/>
          </w:rPr>
          <w:fldChar w:fldCharType="separate"/>
        </w:r>
        <w:r>
          <w:rPr>
            <w:noProof/>
            <w:webHidden/>
          </w:rPr>
          <w:t>547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0" w:history="1">
        <w:r w:rsidRPr="002F4868">
          <w:rPr>
            <w:rStyle w:val="a5"/>
            <w:noProof/>
          </w:rPr>
          <w:t>Title: American Journal of Rhinology &amp; Allergy</w:t>
        </w:r>
        <w:r>
          <w:rPr>
            <w:noProof/>
            <w:webHidden/>
          </w:rPr>
          <w:tab/>
        </w:r>
        <w:r>
          <w:rPr>
            <w:noProof/>
            <w:webHidden/>
          </w:rPr>
          <w:fldChar w:fldCharType="begin"/>
        </w:r>
        <w:r>
          <w:rPr>
            <w:noProof/>
            <w:webHidden/>
          </w:rPr>
          <w:instrText xml:space="preserve"> PAGEREF _Toc420814430 \h </w:instrText>
        </w:r>
        <w:r>
          <w:rPr>
            <w:noProof/>
            <w:webHidden/>
          </w:rPr>
        </w:r>
        <w:r>
          <w:rPr>
            <w:noProof/>
            <w:webHidden/>
          </w:rPr>
          <w:fldChar w:fldCharType="separate"/>
        </w:r>
        <w:r>
          <w:rPr>
            <w:noProof/>
            <w:webHidden/>
          </w:rPr>
          <w:t>549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1" w:history="1">
        <w:r w:rsidRPr="002F4868">
          <w:rPr>
            <w:rStyle w:val="a5"/>
            <w:noProof/>
          </w:rPr>
          <w:t>Title: American Journal of Roentgenology</w:t>
        </w:r>
        <w:r>
          <w:rPr>
            <w:noProof/>
            <w:webHidden/>
          </w:rPr>
          <w:tab/>
        </w:r>
        <w:r>
          <w:rPr>
            <w:noProof/>
            <w:webHidden/>
          </w:rPr>
          <w:fldChar w:fldCharType="begin"/>
        </w:r>
        <w:r>
          <w:rPr>
            <w:noProof/>
            <w:webHidden/>
          </w:rPr>
          <w:instrText xml:space="preserve"> PAGEREF _Toc420814431 \h </w:instrText>
        </w:r>
        <w:r>
          <w:rPr>
            <w:noProof/>
            <w:webHidden/>
          </w:rPr>
        </w:r>
        <w:r>
          <w:rPr>
            <w:noProof/>
            <w:webHidden/>
          </w:rPr>
          <w:fldChar w:fldCharType="separate"/>
        </w:r>
        <w:r>
          <w:rPr>
            <w:noProof/>
            <w:webHidden/>
          </w:rPr>
          <w:t>552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2" w:history="1">
        <w:r w:rsidRPr="002F4868">
          <w:rPr>
            <w:rStyle w:val="a5"/>
            <w:noProof/>
          </w:rPr>
          <w:t>Title: American Journal of Science</w:t>
        </w:r>
        <w:r>
          <w:rPr>
            <w:noProof/>
            <w:webHidden/>
          </w:rPr>
          <w:tab/>
        </w:r>
        <w:r>
          <w:rPr>
            <w:noProof/>
            <w:webHidden/>
          </w:rPr>
          <w:fldChar w:fldCharType="begin"/>
        </w:r>
        <w:r>
          <w:rPr>
            <w:noProof/>
            <w:webHidden/>
          </w:rPr>
          <w:instrText xml:space="preserve"> PAGEREF _Toc420814432 \h </w:instrText>
        </w:r>
        <w:r>
          <w:rPr>
            <w:noProof/>
            <w:webHidden/>
          </w:rPr>
        </w:r>
        <w:r>
          <w:rPr>
            <w:noProof/>
            <w:webHidden/>
          </w:rPr>
          <w:fldChar w:fldCharType="separate"/>
        </w:r>
        <w:r>
          <w:rPr>
            <w:noProof/>
            <w:webHidden/>
          </w:rPr>
          <w:t>563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3" w:history="1">
        <w:r w:rsidRPr="002F4868">
          <w:rPr>
            <w:rStyle w:val="a5"/>
            <w:noProof/>
          </w:rPr>
          <w:t>Title: American Journal of Sociology</w:t>
        </w:r>
        <w:r>
          <w:rPr>
            <w:noProof/>
            <w:webHidden/>
          </w:rPr>
          <w:tab/>
        </w:r>
        <w:r>
          <w:rPr>
            <w:noProof/>
            <w:webHidden/>
          </w:rPr>
          <w:fldChar w:fldCharType="begin"/>
        </w:r>
        <w:r>
          <w:rPr>
            <w:noProof/>
            <w:webHidden/>
          </w:rPr>
          <w:instrText xml:space="preserve"> PAGEREF _Toc420814433 \h </w:instrText>
        </w:r>
        <w:r>
          <w:rPr>
            <w:noProof/>
            <w:webHidden/>
          </w:rPr>
        </w:r>
        <w:r>
          <w:rPr>
            <w:noProof/>
            <w:webHidden/>
          </w:rPr>
          <w:fldChar w:fldCharType="separate"/>
        </w:r>
        <w:r>
          <w:rPr>
            <w:noProof/>
            <w:webHidden/>
          </w:rPr>
          <w:t>564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4" w:history="1">
        <w:r w:rsidRPr="002F4868">
          <w:rPr>
            <w:rStyle w:val="a5"/>
            <w:noProof/>
          </w:rPr>
          <w:t>Title: American Journal of Sports Medicine</w:t>
        </w:r>
        <w:r>
          <w:rPr>
            <w:noProof/>
            <w:webHidden/>
          </w:rPr>
          <w:tab/>
        </w:r>
        <w:r>
          <w:rPr>
            <w:noProof/>
            <w:webHidden/>
          </w:rPr>
          <w:fldChar w:fldCharType="begin"/>
        </w:r>
        <w:r>
          <w:rPr>
            <w:noProof/>
            <w:webHidden/>
          </w:rPr>
          <w:instrText xml:space="preserve"> PAGEREF _Toc420814434 \h </w:instrText>
        </w:r>
        <w:r>
          <w:rPr>
            <w:noProof/>
            <w:webHidden/>
          </w:rPr>
        </w:r>
        <w:r>
          <w:rPr>
            <w:noProof/>
            <w:webHidden/>
          </w:rPr>
          <w:fldChar w:fldCharType="separate"/>
        </w:r>
        <w:r>
          <w:rPr>
            <w:noProof/>
            <w:webHidden/>
          </w:rPr>
          <w:t>565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5" w:history="1">
        <w:r w:rsidRPr="002F4868">
          <w:rPr>
            <w:rStyle w:val="a5"/>
            <w:noProof/>
          </w:rPr>
          <w:t>Title: American Journal of Surgery</w:t>
        </w:r>
        <w:r>
          <w:rPr>
            <w:noProof/>
            <w:webHidden/>
          </w:rPr>
          <w:tab/>
        </w:r>
        <w:r>
          <w:rPr>
            <w:noProof/>
            <w:webHidden/>
          </w:rPr>
          <w:fldChar w:fldCharType="begin"/>
        </w:r>
        <w:r>
          <w:rPr>
            <w:noProof/>
            <w:webHidden/>
          </w:rPr>
          <w:instrText xml:space="preserve"> PAGEREF _Toc420814435 \h </w:instrText>
        </w:r>
        <w:r>
          <w:rPr>
            <w:noProof/>
            <w:webHidden/>
          </w:rPr>
        </w:r>
        <w:r>
          <w:rPr>
            <w:noProof/>
            <w:webHidden/>
          </w:rPr>
          <w:fldChar w:fldCharType="separate"/>
        </w:r>
        <w:r>
          <w:rPr>
            <w:noProof/>
            <w:webHidden/>
          </w:rPr>
          <w:t>566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6" w:history="1">
        <w:r w:rsidRPr="002F4868">
          <w:rPr>
            <w:rStyle w:val="a5"/>
            <w:noProof/>
          </w:rPr>
          <w:t>Title: American Journal of Therapeutics</w:t>
        </w:r>
        <w:r>
          <w:rPr>
            <w:noProof/>
            <w:webHidden/>
          </w:rPr>
          <w:tab/>
        </w:r>
        <w:r>
          <w:rPr>
            <w:noProof/>
            <w:webHidden/>
          </w:rPr>
          <w:fldChar w:fldCharType="begin"/>
        </w:r>
        <w:r>
          <w:rPr>
            <w:noProof/>
            <w:webHidden/>
          </w:rPr>
          <w:instrText xml:space="preserve"> PAGEREF _Toc420814436 \h </w:instrText>
        </w:r>
        <w:r>
          <w:rPr>
            <w:noProof/>
            <w:webHidden/>
          </w:rPr>
        </w:r>
        <w:r>
          <w:rPr>
            <w:noProof/>
            <w:webHidden/>
          </w:rPr>
          <w:fldChar w:fldCharType="separate"/>
        </w:r>
        <w:r>
          <w:rPr>
            <w:noProof/>
            <w:webHidden/>
          </w:rPr>
          <w:t>569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7" w:history="1">
        <w:r w:rsidRPr="002F4868">
          <w:rPr>
            <w:rStyle w:val="a5"/>
            <w:noProof/>
          </w:rPr>
          <w:t>Title: American Journal of Transplantation</w:t>
        </w:r>
        <w:r>
          <w:rPr>
            <w:noProof/>
            <w:webHidden/>
          </w:rPr>
          <w:tab/>
        </w:r>
        <w:r>
          <w:rPr>
            <w:noProof/>
            <w:webHidden/>
          </w:rPr>
          <w:fldChar w:fldCharType="begin"/>
        </w:r>
        <w:r>
          <w:rPr>
            <w:noProof/>
            <w:webHidden/>
          </w:rPr>
          <w:instrText xml:space="preserve"> PAGEREF _Toc420814437 \h </w:instrText>
        </w:r>
        <w:r>
          <w:rPr>
            <w:noProof/>
            <w:webHidden/>
          </w:rPr>
        </w:r>
        <w:r>
          <w:rPr>
            <w:noProof/>
            <w:webHidden/>
          </w:rPr>
          <w:fldChar w:fldCharType="separate"/>
        </w:r>
        <w:r>
          <w:rPr>
            <w:noProof/>
            <w:webHidden/>
          </w:rPr>
          <w:t>571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8" w:history="1">
        <w:r w:rsidRPr="002F4868">
          <w:rPr>
            <w:rStyle w:val="a5"/>
            <w:noProof/>
          </w:rPr>
          <w:t>Title: American Journal of Tropical Medicine and Hygiene</w:t>
        </w:r>
        <w:r>
          <w:rPr>
            <w:noProof/>
            <w:webHidden/>
          </w:rPr>
          <w:tab/>
        </w:r>
        <w:r>
          <w:rPr>
            <w:noProof/>
            <w:webHidden/>
          </w:rPr>
          <w:fldChar w:fldCharType="begin"/>
        </w:r>
        <w:r>
          <w:rPr>
            <w:noProof/>
            <w:webHidden/>
          </w:rPr>
          <w:instrText xml:space="preserve"> PAGEREF _Toc420814438 \h </w:instrText>
        </w:r>
        <w:r>
          <w:rPr>
            <w:noProof/>
            <w:webHidden/>
          </w:rPr>
        </w:r>
        <w:r>
          <w:rPr>
            <w:noProof/>
            <w:webHidden/>
          </w:rPr>
          <w:fldChar w:fldCharType="separate"/>
        </w:r>
        <w:r>
          <w:rPr>
            <w:noProof/>
            <w:webHidden/>
          </w:rPr>
          <w:t>574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39" w:history="1">
        <w:r w:rsidRPr="002F4868">
          <w:rPr>
            <w:rStyle w:val="a5"/>
            <w:noProof/>
          </w:rPr>
          <w:t>Title: American Mineralogist</w:t>
        </w:r>
        <w:r>
          <w:rPr>
            <w:noProof/>
            <w:webHidden/>
          </w:rPr>
          <w:tab/>
        </w:r>
        <w:r>
          <w:rPr>
            <w:noProof/>
            <w:webHidden/>
          </w:rPr>
          <w:fldChar w:fldCharType="begin"/>
        </w:r>
        <w:r>
          <w:rPr>
            <w:noProof/>
            <w:webHidden/>
          </w:rPr>
          <w:instrText xml:space="preserve"> PAGEREF _Toc420814439 \h </w:instrText>
        </w:r>
        <w:r>
          <w:rPr>
            <w:noProof/>
            <w:webHidden/>
          </w:rPr>
        </w:r>
        <w:r>
          <w:rPr>
            <w:noProof/>
            <w:webHidden/>
          </w:rPr>
          <w:fldChar w:fldCharType="separate"/>
        </w:r>
        <w:r>
          <w:rPr>
            <w:noProof/>
            <w:webHidden/>
          </w:rPr>
          <w:t>576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0" w:history="1">
        <w:r w:rsidRPr="002F4868">
          <w:rPr>
            <w:rStyle w:val="a5"/>
            <w:noProof/>
          </w:rPr>
          <w:t>Title: American Psychologist</w:t>
        </w:r>
        <w:r>
          <w:rPr>
            <w:noProof/>
            <w:webHidden/>
          </w:rPr>
          <w:tab/>
        </w:r>
        <w:r>
          <w:rPr>
            <w:noProof/>
            <w:webHidden/>
          </w:rPr>
          <w:fldChar w:fldCharType="begin"/>
        </w:r>
        <w:r>
          <w:rPr>
            <w:noProof/>
            <w:webHidden/>
          </w:rPr>
          <w:instrText xml:space="preserve"> PAGEREF _Toc420814440 \h </w:instrText>
        </w:r>
        <w:r>
          <w:rPr>
            <w:noProof/>
            <w:webHidden/>
          </w:rPr>
        </w:r>
        <w:r>
          <w:rPr>
            <w:noProof/>
            <w:webHidden/>
          </w:rPr>
          <w:fldChar w:fldCharType="separate"/>
        </w:r>
        <w:r>
          <w:rPr>
            <w:noProof/>
            <w:webHidden/>
          </w:rPr>
          <w:t>578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1" w:history="1">
        <w:r w:rsidRPr="002F4868">
          <w:rPr>
            <w:rStyle w:val="a5"/>
            <w:noProof/>
          </w:rPr>
          <w:t>Title: American Review of Public Administration</w:t>
        </w:r>
        <w:r>
          <w:rPr>
            <w:noProof/>
            <w:webHidden/>
          </w:rPr>
          <w:tab/>
        </w:r>
        <w:r>
          <w:rPr>
            <w:noProof/>
            <w:webHidden/>
          </w:rPr>
          <w:fldChar w:fldCharType="begin"/>
        </w:r>
        <w:r>
          <w:rPr>
            <w:noProof/>
            <w:webHidden/>
          </w:rPr>
          <w:instrText xml:space="preserve"> PAGEREF _Toc420814441 \h </w:instrText>
        </w:r>
        <w:r>
          <w:rPr>
            <w:noProof/>
            <w:webHidden/>
          </w:rPr>
        </w:r>
        <w:r>
          <w:rPr>
            <w:noProof/>
            <w:webHidden/>
          </w:rPr>
          <w:fldChar w:fldCharType="separate"/>
        </w:r>
        <w:r>
          <w:rPr>
            <w:noProof/>
            <w:webHidden/>
          </w:rPr>
          <w:t>582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2" w:history="1">
        <w:r w:rsidRPr="002F4868">
          <w:rPr>
            <w:rStyle w:val="a5"/>
            <w:noProof/>
          </w:rPr>
          <w:t>Title: American Scientist</w:t>
        </w:r>
        <w:r>
          <w:rPr>
            <w:noProof/>
            <w:webHidden/>
          </w:rPr>
          <w:tab/>
        </w:r>
        <w:r>
          <w:rPr>
            <w:noProof/>
            <w:webHidden/>
          </w:rPr>
          <w:fldChar w:fldCharType="begin"/>
        </w:r>
        <w:r>
          <w:rPr>
            <w:noProof/>
            <w:webHidden/>
          </w:rPr>
          <w:instrText xml:space="preserve"> PAGEREF _Toc420814442 \h </w:instrText>
        </w:r>
        <w:r>
          <w:rPr>
            <w:noProof/>
            <w:webHidden/>
          </w:rPr>
        </w:r>
        <w:r>
          <w:rPr>
            <w:noProof/>
            <w:webHidden/>
          </w:rPr>
          <w:fldChar w:fldCharType="separate"/>
        </w:r>
        <w:r>
          <w:rPr>
            <w:noProof/>
            <w:webHidden/>
          </w:rPr>
          <w:t>585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3" w:history="1">
        <w:r w:rsidRPr="002F4868">
          <w:rPr>
            <w:rStyle w:val="a5"/>
            <w:noProof/>
          </w:rPr>
          <w:t>Title: American Sociological Review</w:t>
        </w:r>
        <w:r>
          <w:rPr>
            <w:noProof/>
            <w:webHidden/>
          </w:rPr>
          <w:tab/>
        </w:r>
        <w:r>
          <w:rPr>
            <w:noProof/>
            <w:webHidden/>
          </w:rPr>
          <w:fldChar w:fldCharType="begin"/>
        </w:r>
        <w:r>
          <w:rPr>
            <w:noProof/>
            <w:webHidden/>
          </w:rPr>
          <w:instrText xml:space="preserve"> PAGEREF _Toc420814443 \h </w:instrText>
        </w:r>
        <w:r>
          <w:rPr>
            <w:noProof/>
            <w:webHidden/>
          </w:rPr>
        </w:r>
        <w:r>
          <w:rPr>
            <w:noProof/>
            <w:webHidden/>
          </w:rPr>
          <w:fldChar w:fldCharType="separate"/>
        </w:r>
        <w:r>
          <w:rPr>
            <w:noProof/>
            <w:webHidden/>
          </w:rPr>
          <w:t>586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4" w:history="1">
        <w:r w:rsidRPr="002F4868">
          <w:rPr>
            <w:rStyle w:val="a5"/>
            <w:noProof/>
          </w:rPr>
          <w:t>Title: American Sociologist</w:t>
        </w:r>
        <w:r>
          <w:rPr>
            <w:noProof/>
            <w:webHidden/>
          </w:rPr>
          <w:tab/>
        </w:r>
        <w:r>
          <w:rPr>
            <w:noProof/>
            <w:webHidden/>
          </w:rPr>
          <w:fldChar w:fldCharType="begin"/>
        </w:r>
        <w:r>
          <w:rPr>
            <w:noProof/>
            <w:webHidden/>
          </w:rPr>
          <w:instrText xml:space="preserve"> PAGEREF _Toc420814444 \h </w:instrText>
        </w:r>
        <w:r>
          <w:rPr>
            <w:noProof/>
            <w:webHidden/>
          </w:rPr>
        </w:r>
        <w:r>
          <w:rPr>
            <w:noProof/>
            <w:webHidden/>
          </w:rPr>
          <w:fldChar w:fldCharType="separate"/>
        </w:r>
        <w:r>
          <w:rPr>
            <w:noProof/>
            <w:webHidden/>
          </w:rPr>
          <w:t>587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5" w:history="1">
        <w:r w:rsidRPr="002F4868">
          <w:rPr>
            <w:rStyle w:val="a5"/>
            <w:noProof/>
          </w:rPr>
          <w:t>Title: American Statistician</w:t>
        </w:r>
        <w:r>
          <w:rPr>
            <w:noProof/>
            <w:webHidden/>
          </w:rPr>
          <w:tab/>
        </w:r>
        <w:r>
          <w:rPr>
            <w:noProof/>
            <w:webHidden/>
          </w:rPr>
          <w:fldChar w:fldCharType="begin"/>
        </w:r>
        <w:r>
          <w:rPr>
            <w:noProof/>
            <w:webHidden/>
          </w:rPr>
          <w:instrText xml:space="preserve"> PAGEREF _Toc420814445 \h </w:instrText>
        </w:r>
        <w:r>
          <w:rPr>
            <w:noProof/>
            <w:webHidden/>
          </w:rPr>
        </w:r>
        <w:r>
          <w:rPr>
            <w:noProof/>
            <w:webHidden/>
          </w:rPr>
          <w:fldChar w:fldCharType="separate"/>
        </w:r>
        <w:r>
          <w:rPr>
            <w:noProof/>
            <w:webHidden/>
          </w:rPr>
          <w:t>588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6" w:history="1">
        <w:r w:rsidRPr="002F4868">
          <w:rPr>
            <w:rStyle w:val="a5"/>
            <w:noProof/>
          </w:rPr>
          <w:t>Title: American Surgeon</w:t>
        </w:r>
        <w:r>
          <w:rPr>
            <w:noProof/>
            <w:webHidden/>
          </w:rPr>
          <w:tab/>
        </w:r>
        <w:r>
          <w:rPr>
            <w:noProof/>
            <w:webHidden/>
          </w:rPr>
          <w:fldChar w:fldCharType="begin"/>
        </w:r>
        <w:r>
          <w:rPr>
            <w:noProof/>
            <w:webHidden/>
          </w:rPr>
          <w:instrText xml:space="preserve"> PAGEREF _Toc420814446 \h </w:instrText>
        </w:r>
        <w:r>
          <w:rPr>
            <w:noProof/>
            <w:webHidden/>
          </w:rPr>
        </w:r>
        <w:r>
          <w:rPr>
            <w:noProof/>
            <w:webHidden/>
          </w:rPr>
          <w:fldChar w:fldCharType="separate"/>
        </w:r>
        <w:r>
          <w:rPr>
            <w:noProof/>
            <w:webHidden/>
          </w:rPr>
          <w:t>589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7" w:history="1">
        <w:r w:rsidRPr="002F4868">
          <w:rPr>
            <w:rStyle w:val="a5"/>
            <w:noProof/>
          </w:rPr>
          <w:t>Title: American Zoologist</w:t>
        </w:r>
        <w:r>
          <w:rPr>
            <w:noProof/>
            <w:webHidden/>
          </w:rPr>
          <w:tab/>
        </w:r>
        <w:r>
          <w:rPr>
            <w:noProof/>
            <w:webHidden/>
          </w:rPr>
          <w:fldChar w:fldCharType="begin"/>
        </w:r>
        <w:r>
          <w:rPr>
            <w:noProof/>
            <w:webHidden/>
          </w:rPr>
          <w:instrText xml:space="preserve"> PAGEREF _Toc420814447 \h </w:instrText>
        </w:r>
        <w:r>
          <w:rPr>
            <w:noProof/>
            <w:webHidden/>
          </w:rPr>
        </w:r>
        <w:r>
          <w:rPr>
            <w:noProof/>
            <w:webHidden/>
          </w:rPr>
          <w:fldChar w:fldCharType="separate"/>
        </w:r>
        <w:r>
          <w:rPr>
            <w:noProof/>
            <w:webHidden/>
          </w:rPr>
          <w:t>592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8" w:history="1">
        <w:r w:rsidRPr="002F4868">
          <w:rPr>
            <w:rStyle w:val="a5"/>
            <w:noProof/>
          </w:rPr>
          <w:t>Title: Amfiteatru Economic</w:t>
        </w:r>
        <w:r>
          <w:rPr>
            <w:noProof/>
            <w:webHidden/>
          </w:rPr>
          <w:tab/>
        </w:r>
        <w:r>
          <w:rPr>
            <w:noProof/>
            <w:webHidden/>
          </w:rPr>
          <w:fldChar w:fldCharType="begin"/>
        </w:r>
        <w:r>
          <w:rPr>
            <w:noProof/>
            <w:webHidden/>
          </w:rPr>
          <w:instrText xml:space="preserve"> PAGEREF _Toc420814448 \h </w:instrText>
        </w:r>
        <w:r>
          <w:rPr>
            <w:noProof/>
            <w:webHidden/>
          </w:rPr>
        </w:r>
        <w:r>
          <w:rPr>
            <w:noProof/>
            <w:webHidden/>
          </w:rPr>
          <w:fldChar w:fldCharType="separate"/>
        </w:r>
        <w:r>
          <w:rPr>
            <w:noProof/>
            <w:webHidden/>
          </w:rPr>
          <w:t>594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49" w:history="1">
        <w:r w:rsidRPr="002F4868">
          <w:rPr>
            <w:rStyle w:val="a5"/>
            <w:noProof/>
          </w:rPr>
          <w:t>Title: Anadolu Kardiyoloji Dergisi-the Anatolian Journal of Cardiology</w:t>
        </w:r>
        <w:r>
          <w:rPr>
            <w:noProof/>
            <w:webHidden/>
          </w:rPr>
          <w:tab/>
        </w:r>
        <w:r>
          <w:rPr>
            <w:noProof/>
            <w:webHidden/>
          </w:rPr>
          <w:fldChar w:fldCharType="begin"/>
        </w:r>
        <w:r>
          <w:rPr>
            <w:noProof/>
            <w:webHidden/>
          </w:rPr>
          <w:instrText xml:space="preserve"> PAGEREF _Toc420814449 \h </w:instrText>
        </w:r>
        <w:r>
          <w:rPr>
            <w:noProof/>
            <w:webHidden/>
          </w:rPr>
        </w:r>
        <w:r>
          <w:rPr>
            <w:noProof/>
            <w:webHidden/>
          </w:rPr>
          <w:fldChar w:fldCharType="separate"/>
        </w:r>
        <w:r>
          <w:rPr>
            <w:noProof/>
            <w:webHidden/>
          </w:rPr>
          <w:t>595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0" w:history="1">
        <w:r w:rsidRPr="002F4868">
          <w:rPr>
            <w:rStyle w:val="a5"/>
            <w:noProof/>
          </w:rPr>
          <w:t>Title: Anaesthesia</w:t>
        </w:r>
        <w:r>
          <w:rPr>
            <w:noProof/>
            <w:webHidden/>
          </w:rPr>
          <w:tab/>
        </w:r>
        <w:r>
          <w:rPr>
            <w:noProof/>
            <w:webHidden/>
          </w:rPr>
          <w:fldChar w:fldCharType="begin"/>
        </w:r>
        <w:r>
          <w:rPr>
            <w:noProof/>
            <w:webHidden/>
          </w:rPr>
          <w:instrText xml:space="preserve"> PAGEREF _Toc420814450 \h </w:instrText>
        </w:r>
        <w:r>
          <w:rPr>
            <w:noProof/>
            <w:webHidden/>
          </w:rPr>
        </w:r>
        <w:r>
          <w:rPr>
            <w:noProof/>
            <w:webHidden/>
          </w:rPr>
          <w:fldChar w:fldCharType="separate"/>
        </w:r>
        <w:r>
          <w:rPr>
            <w:noProof/>
            <w:webHidden/>
          </w:rPr>
          <w:t>598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1" w:history="1">
        <w:r w:rsidRPr="002F4868">
          <w:rPr>
            <w:rStyle w:val="a5"/>
            <w:noProof/>
          </w:rPr>
          <w:t>Title: Anaesthesia and Intensive Care</w:t>
        </w:r>
        <w:r>
          <w:rPr>
            <w:noProof/>
            <w:webHidden/>
          </w:rPr>
          <w:tab/>
        </w:r>
        <w:r>
          <w:rPr>
            <w:noProof/>
            <w:webHidden/>
          </w:rPr>
          <w:fldChar w:fldCharType="begin"/>
        </w:r>
        <w:r>
          <w:rPr>
            <w:noProof/>
            <w:webHidden/>
          </w:rPr>
          <w:instrText xml:space="preserve"> PAGEREF _Toc420814451 \h </w:instrText>
        </w:r>
        <w:r>
          <w:rPr>
            <w:noProof/>
            <w:webHidden/>
          </w:rPr>
        </w:r>
        <w:r>
          <w:rPr>
            <w:noProof/>
            <w:webHidden/>
          </w:rPr>
          <w:fldChar w:fldCharType="separate"/>
        </w:r>
        <w:r>
          <w:rPr>
            <w:noProof/>
            <w:webHidden/>
          </w:rPr>
          <w:t>605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2" w:history="1">
        <w:r w:rsidRPr="002F4868">
          <w:rPr>
            <w:rStyle w:val="a5"/>
            <w:noProof/>
          </w:rPr>
          <w:t>Title: Anaesthesist</w:t>
        </w:r>
        <w:r>
          <w:rPr>
            <w:noProof/>
            <w:webHidden/>
          </w:rPr>
          <w:tab/>
        </w:r>
        <w:r>
          <w:rPr>
            <w:noProof/>
            <w:webHidden/>
          </w:rPr>
          <w:fldChar w:fldCharType="begin"/>
        </w:r>
        <w:r>
          <w:rPr>
            <w:noProof/>
            <w:webHidden/>
          </w:rPr>
          <w:instrText xml:space="preserve"> PAGEREF _Toc420814452 \h </w:instrText>
        </w:r>
        <w:r>
          <w:rPr>
            <w:noProof/>
            <w:webHidden/>
          </w:rPr>
        </w:r>
        <w:r>
          <w:rPr>
            <w:noProof/>
            <w:webHidden/>
          </w:rPr>
          <w:fldChar w:fldCharType="separate"/>
        </w:r>
        <w:r>
          <w:rPr>
            <w:noProof/>
            <w:webHidden/>
          </w:rPr>
          <w:t>607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3" w:history="1">
        <w:r w:rsidRPr="002F4868">
          <w:rPr>
            <w:rStyle w:val="a5"/>
            <w:noProof/>
          </w:rPr>
          <w:t>Title: Anais da Academia Brasileira de Ciencias</w:t>
        </w:r>
        <w:r>
          <w:rPr>
            <w:noProof/>
            <w:webHidden/>
          </w:rPr>
          <w:tab/>
        </w:r>
        <w:r>
          <w:rPr>
            <w:noProof/>
            <w:webHidden/>
          </w:rPr>
          <w:fldChar w:fldCharType="begin"/>
        </w:r>
        <w:r>
          <w:rPr>
            <w:noProof/>
            <w:webHidden/>
          </w:rPr>
          <w:instrText xml:space="preserve"> PAGEREF _Toc420814453 \h </w:instrText>
        </w:r>
        <w:r>
          <w:rPr>
            <w:noProof/>
            <w:webHidden/>
          </w:rPr>
        </w:r>
        <w:r>
          <w:rPr>
            <w:noProof/>
            <w:webHidden/>
          </w:rPr>
          <w:fldChar w:fldCharType="separate"/>
        </w:r>
        <w:r>
          <w:rPr>
            <w:noProof/>
            <w:webHidden/>
          </w:rPr>
          <w:t>609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4" w:history="1">
        <w:r w:rsidRPr="002F4868">
          <w:rPr>
            <w:rStyle w:val="a5"/>
            <w:noProof/>
          </w:rPr>
          <w:t>Title: Anales Españoles de Pediatria</w:t>
        </w:r>
        <w:r>
          <w:rPr>
            <w:noProof/>
            <w:webHidden/>
          </w:rPr>
          <w:tab/>
        </w:r>
        <w:r>
          <w:rPr>
            <w:noProof/>
            <w:webHidden/>
          </w:rPr>
          <w:fldChar w:fldCharType="begin"/>
        </w:r>
        <w:r>
          <w:rPr>
            <w:noProof/>
            <w:webHidden/>
          </w:rPr>
          <w:instrText xml:space="preserve"> PAGEREF _Toc420814454 \h </w:instrText>
        </w:r>
        <w:r>
          <w:rPr>
            <w:noProof/>
            <w:webHidden/>
          </w:rPr>
        </w:r>
        <w:r>
          <w:rPr>
            <w:noProof/>
            <w:webHidden/>
          </w:rPr>
          <w:fldChar w:fldCharType="separate"/>
        </w:r>
        <w:r>
          <w:rPr>
            <w:noProof/>
            <w:webHidden/>
          </w:rPr>
          <w:t>614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5" w:history="1">
        <w:r w:rsidRPr="002F4868">
          <w:rPr>
            <w:rStyle w:val="a5"/>
            <w:noProof/>
          </w:rPr>
          <w:t>Title: Anales de Farmacia Hospitalaria</w:t>
        </w:r>
        <w:r>
          <w:rPr>
            <w:noProof/>
            <w:webHidden/>
          </w:rPr>
          <w:tab/>
        </w:r>
        <w:r>
          <w:rPr>
            <w:noProof/>
            <w:webHidden/>
          </w:rPr>
          <w:fldChar w:fldCharType="begin"/>
        </w:r>
        <w:r>
          <w:rPr>
            <w:noProof/>
            <w:webHidden/>
          </w:rPr>
          <w:instrText xml:space="preserve"> PAGEREF _Toc420814455 \h </w:instrText>
        </w:r>
        <w:r>
          <w:rPr>
            <w:noProof/>
            <w:webHidden/>
          </w:rPr>
        </w:r>
        <w:r>
          <w:rPr>
            <w:noProof/>
            <w:webHidden/>
          </w:rPr>
          <w:fldChar w:fldCharType="separate"/>
        </w:r>
        <w:r>
          <w:rPr>
            <w:noProof/>
            <w:webHidden/>
          </w:rPr>
          <w:t>615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6" w:history="1">
        <w:r w:rsidRPr="002F4868">
          <w:rPr>
            <w:rStyle w:val="a5"/>
            <w:noProof/>
          </w:rPr>
          <w:t>Title: Anales Otorrinolaringologicos Ibero-Americanos</w:t>
        </w:r>
        <w:r>
          <w:rPr>
            <w:noProof/>
            <w:webHidden/>
          </w:rPr>
          <w:tab/>
        </w:r>
        <w:r>
          <w:rPr>
            <w:noProof/>
            <w:webHidden/>
          </w:rPr>
          <w:fldChar w:fldCharType="begin"/>
        </w:r>
        <w:r>
          <w:rPr>
            <w:noProof/>
            <w:webHidden/>
          </w:rPr>
          <w:instrText xml:space="preserve"> PAGEREF _Toc420814456 \h </w:instrText>
        </w:r>
        <w:r>
          <w:rPr>
            <w:noProof/>
            <w:webHidden/>
          </w:rPr>
        </w:r>
        <w:r>
          <w:rPr>
            <w:noProof/>
            <w:webHidden/>
          </w:rPr>
          <w:fldChar w:fldCharType="separate"/>
        </w:r>
        <w:r>
          <w:rPr>
            <w:noProof/>
            <w:webHidden/>
          </w:rPr>
          <w:t>616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7" w:history="1">
        <w:r w:rsidRPr="002F4868">
          <w:rPr>
            <w:rStyle w:val="a5"/>
            <w:noProof/>
          </w:rPr>
          <w:t>Title: Anales de Psicologia</w:t>
        </w:r>
        <w:r>
          <w:rPr>
            <w:noProof/>
            <w:webHidden/>
          </w:rPr>
          <w:tab/>
        </w:r>
        <w:r>
          <w:rPr>
            <w:noProof/>
            <w:webHidden/>
          </w:rPr>
          <w:fldChar w:fldCharType="begin"/>
        </w:r>
        <w:r>
          <w:rPr>
            <w:noProof/>
            <w:webHidden/>
          </w:rPr>
          <w:instrText xml:space="preserve"> PAGEREF _Toc420814457 \h </w:instrText>
        </w:r>
        <w:r>
          <w:rPr>
            <w:noProof/>
            <w:webHidden/>
          </w:rPr>
        </w:r>
        <w:r>
          <w:rPr>
            <w:noProof/>
            <w:webHidden/>
          </w:rPr>
          <w:fldChar w:fldCharType="separate"/>
        </w:r>
        <w:r>
          <w:rPr>
            <w:noProof/>
            <w:webHidden/>
          </w:rPr>
          <w:t>617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8" w:history="1">
        <w:r w:rsidRPr="002F4868">
          <w:rPr>
            <w:rStyle w:val="a5"/>
            <w:noProof/>
            <w:lang w:val="fr-FR"/>
          </w:rPr>
          <w:t xml:space="preserve">Title: </w:t>
        </w:r>
        <w:r w:rsidRPr="002F4868">
          <w:rPr>
            <w:rStyle w:val="a5"/>
            <w:noProof/>
          </w:rPr>
          <w:t>Anales del Sistema Sanitario de Navarra</w:t>
        </w:r>
        <w:r>
          <w:rPr>
            <w:noProof/>
            <w:webHidden/>
          </w:rPr>
          <w:tab/>
        </w:r>
        <w:r>
          <w:rPr>
            <w:noProof/>
            <w:webHidden/>
          </w:rPr>
          <w:fldChar w:fldCharType="begin"/>
        </w:r>
        <w:r>
          <w:rPr>
            <w:noProof/>
            <w:webHidden/>
          </w:rPr>
          <w:instrText xml:space="preserve"> PAGEREF _Toc420814458 \h </w:instrText>
        </w:r>
        <w:r>
          <w:rPr>
            <w:noProof/>
            <w:webHidden/>
          </w:rPr>
        </w:r>
        <w:r>
          <w:rPr>
            <w:noProof/>
            <w:webHidden/>
          </w:rPr>
          <w:fldChar w:fldCharType="separate"/>
        </w:r>
        <w:r>
          <w:rPr>
            <w:noProof/>
            <w:webHidden/>
          </w:rPr>
          <w:t>620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59" w:history="1">
        <w:r w:rsidRPr="002F4868">
          <w:rPr>
            <w:rStyle w:val="a5"/>
            <w:noProof/>
          </w:rPr>
          <w:t>Title: Analusis</w:t>
        </w:r>
        <w:r>
          <w:rPr>
            <w:noProof/>
            <w:webHidden/>
          </w:rPr>
          <w:tab/>
        </w:r>
        <w:r>
          <w:rPr>
            <w:noProof/>
            <w:webHidden/>
          </w:rPr>
          <w:fldChar w:fldCharType="begin"/>
        </w:r>
        <w:r>
          <w:rPr>
            <w:noProof/>
            <w:webHidden/>
          </w:rPr>
          <w:instrText xml:space="preserve"> PAGEREF _Toc420814459 \h </w:instrText>
        </w:r>
        <w:r>
          <w:rPr>
            <w:noProof/>
            <w:webHidden/>
          </w:rPr>
        </w:r>
        <w:r>
          <w:rPr>
            <w:noProof/>
            <w:webHidden/>
          </w:rPr>
          <w:fldChar w:fldCharType="separate"/>
        </w:r>
        <w:r>
          <w:rPr>
            <w:noProof/>
            <w:webHidden/>
          </w:rPr>
          <w:t>621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0" w:history="1">
        <w:r w:rsidRPr="002F4868">
          <w:rPr>
            <w:rStyle w:val="a5"/>
            <w:noProof/>
          </w:rPr>
          <w:t>Title: Analytica Chimica Acta</w:t>
        </w:r>
        <w:r>
          <w:rPr>
            <w:noProof/>
            <w:webHidden/>
          </w:rPr>
          <w:tab/>
        </w:r>
        <w:r>
          <w:rPr>
            <w:noProof/>
            <w:webHidden/>
          </w:rPr>
          <w:fldChar w:fldCharType="begin"/>
        </w:r>
        <w:r>
          <w:rPr>
            <w:noProof/>
            <w:webHidden/>
          </w:rPr>
          <w:instrText xml:space="preserve"> PAGEREF _Toc420814460 \h </w:instrText>
        </w:r>
        <w:r>
          <w:rPr>
            <w:noProof/>
            <w:webHidden/>
          </w:rPr>
        </w:r>
        <w:r>
          <w:rPr>
            <w:noProof/>
            <w:webHidden/>
          </w:rPr>
          <w:fldChar w:fldCharType="separate"/>
        </w:r>
        <w:r>
          <w:rPr>
            <w:noProof/>
            <w:webHidden/>
          </w:rPr>
          <w:t>623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1" w:history="1">
        <w:r w:rsidRPr="002F4868">
          <w:rPr>
            <w:rStyle w:val="a5"/>
            <w:noProof/>
          </w:rPr>
          <w:t>Title: Analytical and Bioanalytical Chemistry</w:t>
        </w:r>
        <w:r>
          <w:rPr>
            <w:noProof/>
            <w:webHidden/>
          </w:rPr>
          <w:tab/>
        </w:r>
        <w:r>
          <w:rPr>
            <w:noProof/>
            <w:webHidden/>
          </w:rPr>
          <w:fldChar w:fldCharType="begin"/>
        </w:r>
        <w:r>
          <w:rPr>
            <w:noProof/>
            <w:webHidden/>
          </w:rPr>
          <w:instrText xml:space="preserve"> PAGEREF _Toc420814461 \h </w:instrText>
        </w:r>
        <w:r>
          <w:rPr>
            <w:noProof/>
            <w:webHidden/>
          </w:rPr>
        </w:r>
        <w:r>
          <w:rPr>
            <w:noProof/>
            <w:webHidden/>
          </w:rPr>
          <w:fldChar w:fldCharType="separate"/>
        </w:r>
        <w:r>
          <w:rPr>
            <w:noProof/>
            <w:webHidden/>
          </w:rPr>
          <w:t>624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2" w:history="1">
        <w:r w:rsidRPr="002F4868">
          <w:rPr>
            <w:rStyle w:val="a5"/>
            <w:noProof/>
          </w:rPr>
          <w:t>Title: Analytical Chemistry</w:t>
        </w:r>
        <w:r>
          <w:rPr>
            <w:noProof/>
            <w:webHidden/>
          </w:rPr>
          <w:tab/>
        </w:r>
        <w:r>
          <w:rPr>
            <w:noProof/>
            <w:webHidden/>
          </w:rPr>
          <w:fldChar w:fldCharType="begin"/>
        </w:r>
        <w:r>
          <w:rPr>
            <w:noProof/>
            <w:webHidden/>
          </w:rPr>
          <w:instrText xml:space="preserve"> PAGEREF _Toc420814462 \h </w:instrText>
        </w:r>
        <w:r>
          <w:rPr>
            <w:noProof/>
            <w:webHidden/>
          </w:rPr>
        </w:r>
        <w:r>
          <w:rPr>
            <w:noProof/>
            <w:webHidden/>
          </w:rPr>
          <w:fldChar w:fldCharType="separate"/>
        </w:r>
        <w:r>
          <w:rPr>
            <w:noProof/>
            <w:webHidden/>
          </w:rPr>
          <w:t>626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3" w:history="1">
        <w:r w:rsidRPr="002F4868">
          <w:rPr>
            <w:rStyle w:val="a5"/>
            <w:noProof/>
          </w:rPr>
          <w:t>Title: Analytical Letters</w:t>
        </w:r>
        <w:r>
          <w:rPr>
            <w:noProof/>
            <w:webHidden/>
          </w:rPr>
          <w:tab/>
        </w:r>
        <w:r>
          <w:rPr>
            <w:noProof/>
            <w:webHidden/>
          </w:rPr>
          <w:fldChar w:fldCharType="begin"/>
        </w:r>
        <w:r>
          <w:rPr>
            <w:noProof/>
            <w:webHidden/>
          </w:rPr>
          <w:instrText xml:space="preserve"> PAGEREF _Toc420814463 \h </w:instrText>
        </w:r>
        <w:r>
          <w:rPr>
            <w:noProof/>
            <w:webHidden/>
          </w:rPr>
        </w:r>
        <w:r>
          <w:rPr>
            <w:noProof/>
            <w:webHidden/>
          </w:rPr>
          <w:fldChar w:fldCharType="separate"/>
        </w:r>
        <w:r>
          <w:rPr>
            <w:noProof/>
            <w:webHidden/>
          </w:rPr>
          <w:t>627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4" w:history="1">
        <w:r w:rsidRPr="002F4868">
          <w:rPr>
            <w:rStyle w:val="a5"/>
            <w:noProof/>
          </w:rPr>
          <w:t>Title: Analytical Proceedings</w:t>
        </w:r>
        <w:r>
          <w:rPr>
            <w:noProof/>
            <w:webHidden/>
          </w:rPr>
          <w:tab/>
        </w:r>
        <w:r>
          <w:rPr>
            <w:noProof/>
            <w:webHidden/>
          </w:rPr>
          <w:fldChar w:fldCharType="begin"/>
        </w:r>
        <w:r>
          <w:rPr>
            <w:noProof/>
            <w:webHidden/>
          </w:rPr>
          <w:instrText xml:space="preserve"> PAGEREF _Toc420814464 \h </w:instrText>
        </w:r>
        <w:r>
          <w:rPr>
            <w:noProof/>
            <w:webHidden/>
          </w:rPr>
        </w:r>
        <w:r>
          <w:rPr>
            <w:noProof/>
            <w:webHidden/>
          </w:rPr>
          <w:fldChar w:fldCharType="separate"/>
        </w:r>
        <w:r>
          <w:rPr>
            <w:noProof/>
            <w:webHidden/>
          </w:rPr>
          <w:t>628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5" w:history="1">
        <w:r w:rsidRPr="002F4868">
          <w:rPr>
            <w:rStyle w:val="a5"/>
            <w:noProof/>
          </w:rPr>
          <w:t>Title: Analytical and Quantitative Cytology and Histology</w:t>
        </w:r>
        <w:r>
          <w:rPr>
            <w:noProof/>
            <w:webHidden/>
          </w:rPr>
          <w:tab/>
        </w:r>
        <w:r>
          <w:rPr>
            <w:noProof/>
            <w:webHidden/>
          </w:rPr>
          <w:fldChar w:fldCharType="begin"/>
        </w:r>
        <w:r>
          <w:rPr>
            <w:noProof/>
            <w:webHidden/>
          </w:rPr>
          <w:instrText xml:space="preserve"> PAGEREF _Toc420814465 \h </w:instrText>
        </w:r>
        <w:r>
          <w:rPr>
            <w:noProof/>
            <w:webHidden/>
          </w:rPr>
        </w:r>
        <w:r>
          <w:rPr>
            <w:noProof/>
            <w:webHidden/>
          </w:rPr>
          <w:fldChar w:fldCharType="separate"/>
        </w:r>
        <w:r>
          <w:rPr>
            <w:noProof/>
            <w:webHidden/>
          </w:rPr>
          <w:t>629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6" w:history="1">
        <w:r w:rsidRPr="002F4868">
          <w:rPr>
            <w:rStyle w:val="a5"/>
            <w:noProof/>
          </w:rPr>
          <w:t>Title: Anasthesiologie Intensivmedizin Notfallmedizin Schmerztherapie</w:t>
        </w:r>
        <w:r>
          <w:rPr>
            <w:noProof/>
            <w:webHidden/>
          </w:rPr>
          <w:tab/>
        </w:r>
        <w:r>
          <w:rPr>
            <w:noProof/>
            <w:webHidden/>
          </w:rPr>
          <w:fldChar w:fldCharType="begin"/>
        </w:r>
        <w:r>
          <w:rPr>
            <w:noProof/>
            <w:webHidden/>
          </w:rPr>
          <w:instrText xml:space="preserve"> PAGEREF _Toc420814466 \h </w:instrText>
        </w:r>
        <w:r>
          <w:rPr>
            <w:noProof/>
            <w:webHidden/>
          </w:rPr>
        </w:r>
        <w:r>
          <w:rPr>
            <w:noProof/>
            <w:webHidden/>
          </w:rPr>
          <w:fldChar w:fldCharType="separate"/>
        </w:r>
        <w:r>
          <w:rPr>
            <w:noProof/>
            <w:webHidden/>
          </w:rPr>
          <w:t>630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7" w:history="1">
        <w:r w:rsidRPr="002F4868">
          <w:rPr>
            <w:rStyle w:val="a5"/>
            <w:noProof/>
          </w:rPr>
          <w:t>Title: Anesthesia and Analgesia</w:t>
        </w:r>
        <w:r>
          <w:rPr>
            <w:noProof/>
            <w:webHidden/>
          </w:rPr>
          <w:tab/>
        </w:r>
        <w:r>
          <w:rPr>
            <w:noProof/>
            <w:webHidden/>
          </w:rPr>
          <w:fldChar w:fldCharType="begin"/>
        </w:r>
        <w:r>
          <w:rPr>
            <w:noProof/>
            <w:webHidden/>
          </w:rPr>
          <w:instrText xml:space="preserve"> PAGEREF _Toc420814467 \h </w:instrText>
        </w:r>
        <w:r>
          <w:rPr>
            <w:noProof/>
            <w:webHidden/>
          </w:rPr>
        </w:r>
        <w:r>
          <w:rPr>
            <w:noProof/>
            <w:webHidden/>
          </w:rPr>
          <w:fldChar w:fldCharType="separate"/>
        </w:r>
        <w:r>
          <w:rPr>
            <w:noProof/>
            <w:webHidden/>
          </w:rPr>
          <w:t>632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8" w:history="1">
        <w:r w:rsidRPr="002F4868">
          <w:rPr>
            <w:rStyle w:val="a5"/>
            <w:noProof/>
          </w:rPr>
          <w:t>Title: Anesthesiology</w:t>
        </w:r>
        <w:r>
          <w:rPr>
            <w:noProof/>
            <w:webHidden/>
          </w:rPr>
          <w:tab/>
        </w:r>
        <w:r>
          <w:rPr>
            <w:noProof/>
            <w:webHidden/>
          </w:rPr>
          <w:fldChar w:fldCharType="begin"/>
        </w:r>
        <w:r>
          <w:rPr>
            <w:noProof/>
            <w:webHidden/>
          </w:rPr>
          <w:instrText xml:space="preserve"> PAGEREF _Toc420814468 \h </w:instrText>
        </w:r>
        <w:r>
          <w:rPr>
            <w:noProof/>
            <w:webHidden/>
          </w:rPr>
        </w:r>
        <w:r>
          <w:rPr>
            <w:noProof/>
            <w:webHidden/>
          </w:rPr>
          <w:fldChar w:fldCharType="separate"/>
        </w:r>
        <w:r>
          <w:rPr>
            <w:noProof/>
            <w:webHidden/>
          </w:rPr>
          <w:t>648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69" w:history="1">
        <w:r w:rsidRPr="002F4868">
          <w:rPr>
            <w:rStyle w:val="a5"/>
            <w:noProof/>
            <w:lang w:val="de-DE"/>
          </w:rPr>
          <w:t>Title: Angewandte Chemie-International Edition</w:t>
        </w:r>
        <w:r>
          <w:rPr>
            <w:noProof/>
            <w:webHidden/>
          </w:rPr>
          <w:tab/>
        </w:r>
        <w:r>
          <w:rPr>
            <w:noProof/>
            <w:webHidden/>
          </w:rPr>
          <w:fldChar w:fldCharType="begin"/>
        </w:r>
        <w:r>
          <w:rPr>
            <w:noProof/>
            <w:webHidden/>
          </w:rPr>
          <w:instrText xml:space="preserve"> PAGEREF _Toc420814469 \h </w:instrText>
        </w:r>
        <w:r>
          <w:rPr>
            <w:noProof/>
            <w:webHidden/>
          </w:rPr>
        </w:r>
        <w:r>
          <w:rPr>
            <w:noProof/>
            <w:webHidden/>
          </w:rPr>
          <w:fldChar w:fldCharType="separate"/>
        </w:r>
        <w:r>
          <w:rPr>
            <w:noProof/>
            <w:webHidden/>
          </w:rPr>
          <w:t>652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0" w:history="1">
        <w:r w:rsidRPr="002F4868">
          <w:rPr>
            <w:rStyle w:val="a5"/>
            <w:noProof/>
            <w:lang w:val="de-DE"/>
          </w:rPr>
          <w:t>Title: Angewandte Informatik</w:t>
        </w:r>
        <w:r>
          <w:rPr>
            <w:noProof/>
            <w:webHidden/>
          </w:rPr>
          <w:tab/>
        </w:r>
        <w:r>
          <w:rPr>
            <w:noProof/>
            <w:webHidden/>
          </w:rPr>
          <w:fldChar w:fldCharType="begin"/>
        </w:r>
        <w:r>
          <w:rPr>
            <w:noProof/>
            <w:webHidden/>
          </w:rPr>
          <w:instrText xml:space="preserve"> PAGEREF _Toc420814470 \h </w:instrText>
        </w:r>
        <w:r>
          <w:rPr>
            <w:noProof/>
            <w:webHidden/>
          </w:rPr>
        </w:r>
        <w:r>
          <w:rPr>
            <w:noProof/>
            <w:webHidden/>
          </w:rPr>
          <w:fldChar w:fldCharType="separate"/>
        </w:r>
        <w:r>
          <w:rPr>
            <w:noProof/>
            <w:webHidden/>
          </w:rPr>
          <w:t>653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1" w:history="1">
        <w:r w:rsidRPr="002F4868">
          <w:rPr>
            <w:rStyle w:val="a5"/>
            <w:noProof/>
          </w:rPr>
          <w:t>Title: Angle Orthodontist</w:t>
        </w:r>
        <w:r>
          <w:rPr>
            <w:noProof/>
            <w:webHidden/>
          </w:rPr>
          <w:tab/>
        </w:r>
        <w:r>
          <w:rPr>
            <w:noProof/>
            <w:webHidden/>
          </w:rPr>
          <w:fldChar w:fldCharType="begin"/>
        </w:r>
        <w:r>
          <w:rPr>
            <w:noProof/>
            <w:webHidden/>
          </w:rPr>
          <w:instrText xml:space="preserve"> PAGEREF _Toc420814471 \h </w:instrText>
        </w:r>
        <w:r>
          <w:rPr>
            <w:noProof/>
            <w:webHidden/>
          </w:rPr>
        </w:r>
        <w:r>
          <w:rPr>
            <w:noProof/>
            <w:webHidden/>
          </w:rPr>
          <w:fldChar w:fldCharType="separate"/>
        </w:r>
        <w:r>
          <w:rPr>
            <w:noProof/>
            <w:webHidden/>
          </w:rPr>
          <w:t>654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2" w:history="1">
        <w:r w:rsidRPr="002F4868">
          <w:rPr>
            <w:rStyle w:val="a5"/>
            <w:noProof/>
          </w:rPr>
          <w:t>Title: Animal Behaviour</w:t>
        </w:r>
        <w:r>
          <w:rPr>
            <w:noProof/>
            <w:webHidden/>
          </w:rPr>
          <w:tab/>
        </w:r>
        <w:r>
          <w:rPr>
            <w:noProof/>
            <w:webHidden/>
          </w:rPr>
          <w:fldChar w:fldCharType="begin"/>
        </w:r>
        <w:r>
          <w:rPr>
            <w:noProof/>
            <w:webHidden/>
          </w:rPr>
          <w:instrText xml:space="preserve"> PAGEREF _Toc420814472 \h </w:instrText>
        </w:r>
        <w:r>
          <w:rPr>
            <w:noProof/>
            <w:webHidden/>
          </w:rPr>
        </w:r>
        <w:r>
          <w:rPr>
            <w:noProof/>
            <w:webHidden/>
          </w:rPr>
          <w:fldChar w:fldCharType="separate"/>
        </w:r>
        <w:r>
          <w:rPr>
            <w:noProof/>
            <w:webHidden/>
          </w:rPr>
          <w:t>665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3" w:history="1">
        <w:r w:rsidRPr="002F4868">
          <w:rPr>
            <w:rStyle w:val="a5"/>
            <w:noProof/>
          </w:rPr>
          <w:t>Title: Animal Breeding Abstracts</w:t>
        </w:r>
        <w:r>
          <w:rPr>
            <w:noProof/>
            <w:webHidden/>
          </w:rPr>
          <w:tab/>
        </w:r>
        <w:r>
          <w:rPr>
            <w:noProof/>
            <w:webHidden/>
          </w:rPr>
          <w:fldChar w:fldCharType="begin"/>
        </w:r>
        <w:r>
          <w:rPr>
            <w:noProof/>
            <w:webHidden/>
          </w:rPr>
          <w:instrText xml:space="preserve"> PAGEREF _Toc420814473 \h </w:instrText>
        </w:r>
        <w:r>
          <w:rPr>
            <w:noProof/>
            <w:webHidden/>
          </w:rPr>
        </w:r>
        <w:r>
          <w:rPr>
            <w:noProof/>
            <w:webHidden/>
          </w:rPr>
          <w:fldChar w:fldCharType="separate"/>
        </w:r>
        <w:r>
          <w:rPr>
            <w:noProof/>
            <w:webHidden/>
          </w:rPr>
          <w:t>667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4" w:history="1">
        <w:r w:rsidRPr="002F4868">
          <w:rPr>
            <w:rStyle w:val="a5"/>
            <w:noProof/>
            <w:lang w:val="de-DE"/>
          </w:rPr>
          <w:t xml:space="preserve">Title: </w:t>
        </w:r>
        <w:r w:rsidRPr="002F4868">
          <w:rPr>
            <w:rStyle w:val="a5"/>
            <w:noProof/>
          </w:rPr>
          <w:t>Animal Health Research Reviews</w:t>
        </w:r>
        <w:r>
          <w:rPr>
            <w:noProof/>
            <w:webHidden/>
          </w:rPr>
          <w:tab/>
        </w:r>
        <w:r>
          <w:rPr>
            <w:noProof/>
            <w:webHidden/>
          </w:rPr>
          <w:fldChar w:fldCharType="begin"/>
        </w:r>
        <w:r>
          <w:rPr>
            <w:noProof/>
            <w:webHidden/>
          </w:rPr>
          <w:instrText xml:space="preserve"> PAGEREF _Toc420814474 \h </w:instrText>
        </w:r>
        <w:r>
          <w:rPr>
            <w:noProof/>
            <w:webHidden/>
          </w:rPr>
        </w:r>
        <w:r>
          <w:rPr>
            <w:noProof/>
            <w:webHidden/>
          </w:rPr>
          <w:fldChar w:fldCharType="separate"/>
        </w:r>
        <w:r>
          <w:rPr>
            <w:noProof/>
            <w:webHidden/>
          </w:rPr>
          <w:t>668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5" w:history="1">
        <w:r w:rsidRPr="002F4868">
          <w:rPr>
            <w:rStyle w:val="a5"/>
            <w:noProof/>
            <w:lang w:val="de-DE"/>
          </w:rPr>
          <w:t>Title: Annalen der Physik</w:t>
        </w:r>
        <w:r>
          <w:rPr>
            <w:noProof/>
            <w:webHidden/>
          </w:rPr>
          <w:tab/>
        </w:r>
        <w:r>
          <w:rPr>
            <w:noProof/>
            <w:webHidden/>
          </w:rPr>
          <w:fldChar w:fldCharType="begin"/>
        </w:r>
        <w:r>
          <w:rPr>
            <w:noProof/>
            <w:webHidden/>
          </w:rPr>
          <w:instrText xml:space="preserve"> PAGEREF _Toc420814475 \h </w:instrText>
        </w:r>
        <w:r>
          <w:rPr>
            <w:noProof/>
            <w:webHidden/>
          </w:rPr>
        </w:r>
        <w:r>
          <w:rPr>
            <w:noProof/>
            <w:webHidden/>
          </w:rPr>
          <w:fldChar w:fldCharType="separate"/>
        </w:r>
        <w:r>
          <w:rPr>
            <w:noProof/>
            <w:webHidden/>
          </w:rPr>
          <w:t>670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6" w:history="1">
        <w:r w:rsidRPr="002F4868">
          <w:rPr>
            <w:rStyle w:val="a5"/>
            <w:noProof/>
            <w:lang w:val="de-DE"/>
          </w:rPr>
          <w:t xml:space="preserve">Title: </w:t>
        </w:r>
        <w:r w:rsidRPr="002F4868">
          <w:rPr>
            <w:rStyle w:val="a5"/>
            <w:noProof/>
          </w:rPr>
          <w:t>Annalen der Physik und Chemie</w:t>
        </w:r>
        <w:r>
          <w:rPr>
            <w:noProof/>
            <w:webHidden/>
          </w:rPr>
          <w:tab/>
        </w:r>
        <w:r>
          <w:rPr>
            <w:noProof/>
            <w:webHidden/>
          </w:rPr>
          <w:fldChar w:fldCharType="begin"/>
        </w:r>
        <w:r>
          <w:rPr>
            <w:noProof/>
            <w:webHidden/>
          </w:rPr>
          <w:instrText xml:space="preserve"> PAGEREF _Toc420814476 \h </w:instrText>
        </w:r>
        <w:r>
          <w:rPr>
            <w:noProof/>
            <w:webHidden/>
          </w:rPr>
        </w:r>
        <w:r>
          <w:rPr>
            <w:noProof/>
            <w:webHidden/>
          </w:rPr>
          <w:fldChar w:fldCharType="separate"/>
        </w:r>
        <w:r>
          <w:rPr>
            <w:noProof/>
            <w:webHidden/>
          </w:rPr>
          <w:t>675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7" w:history="1">
        <w:r w:rsidRPr="002F4868">
          <w:rPr>
            <w:rStyle w:val="a5"/>
            <w:noProof/>
          </w:rPr>
          <w:t>Title: Annales de Chirurgie</w:t>
        </w:r>
        <w:r>
          <w:rPr>
            <w:noProof/>
            <w:webHidden/>
          </w:rPr>
          <w:tab/>
        </w:r>
        <w:r>
          <w:rPr>
            <w:noProof/>
            <w:webHidden/>
          </w:rPr>
          <w:fldChar w:fldCharType="begin"/>
        </w:r>
        <w:r>
          <w:rPr>
            <w:noProof/>
            <w:webHidden/>
          </w:rPr>
          <w:instrText xml:space="preserve"> PAGEREF _Toc420814477 \h </w:instrText>
        </w:r>
        <w:r>
          <w:rPr>
            <w:noProof/>
            <w:webHidden/>
          </w:rPr>
        </w:r>
        <w:r>
          <w:rPr>
            <w:noProof/>
            <w:webHidden/>
          </w:rPr>
          <w:fldChar w:fldCharType="separate"/>
        </w:r>
        <w:r>
          <w:rPr>
            <w:noProof/>
            <w:webHidden/>
          </w:rPr>
          <w:t>676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8" w:history="1">
        <w:r w:rsidRPr="002F4868">
          <w:rPr>
            <w:rStyle w:val="a5"/>
            <w:noProof/>
            <w:lang w:val="fr-FR"/>
          </w:rPr>
          <w:t xml:space="preserve">Title: </w:t>
        </w:r>
        <w:r w:rsidRPr="002F4868">
          <w:rPr>
            <w:rStyle w:val="a5"/>
            <w:noProof/>
          </w:rPr>
          <w:t>Annales de Chirurgie Plastique Esthetique</w:t>
        </w:r>
        <w:r>
          <w:rPr>
            <w:noProof/>
            <w:webHidden/>
          </w:rPr>
          <w:tab/>
        </w:r>
        <w:r>
          <w:rPr>
            <w:noProof/>
            <w:webHidden/>
          </w:rPr>
          <w:fldChar w:fldCharType="begin"/>
        </w:r>
        <w:r>
          <w:rPr>
            <w:noProof/>
            <w:webHidden/>
          </w:rPr>
          <w:instrText xml:space="preserve"> PAGEREF _Toc420814478 \h </w:instrText>
        </w:r>
        <w:r>
          <w:rPr>
            <w:noProof/>
            <w:webHidden/>
          </w:rPr>
        </w:r>
        <w:r>
          <w:rPr>
            <w:noProof/>
            <w:webHidden/>
          </w:rPr>
          <w:fldChar w:fldCharType="separate"/>
        </w:r>
        <w:r>
          <w:rPr>
            <w:noProof/>
            <w:webHidden/>
          </w:rPr>
          <w:t>677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79" w:history="1">
        <w:r w:rsidRPr="002F4868">
          <w:rPr>
            <w:rStyle w:val="a5"/>
            <w:noProof/>
            <w:lang w:val="fr-FR"/>
          </w:rPr>
          <w:t xml:space="preserve">Title: </w:t>
        </w:r>
        <w:r w:rsidRPr="002F4868">
          <w:rPr>
            <w:rStyle w:val="a5"/>
            <w:noProof/>
          </w:rPr>
          <w:t>Annales de Dermatologie et de Venereologie</w:t>
        </w:r>
        <w:r>
          <w:rPr>
            <w:noProof/>
            <w:webHidden/>
          </w:rPr>
          <w:tab/>
        </w:r>
        <w:r>
          <w:rPr>
            <w:noProof/>
            <w:webHidden/>
          </w:rPr>
          <w:fldChar w:fldCharType="begin"/>
        </w:r>
        <w:r>
          <w:rPr>
            <w:noProof/>
            <w:webHidden/>
          </w:rPr>
          <w:instrText xml:space="preserve"> PAGEREF _Toc420814479 \h </w:instrText>
        </w:r>
        <w:r>
          <w:rPr>
            <w:noProof/>
            <w:webHidden/>
          </w:rPr>
        </w:r>
        <w:r>
          <w:rPr>
            <w:noProof/>
            <w:webHidden/>
          </w:rPr>
          <w:fldChar w:fldCharType="separate"/>
        </w:r>
        <w:r>
          <w:rPr>
            <w:noProof/>
            <w:webHidden/>
          </w:rPr>
          <w:t>679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0" w:history="1">
        <w:r w:rsidRPr="002F4868">
          <w:rPr>
            <w:rStyle w:val="a5"/>
            <w:noProof/>
            <w:lang w:val="fr-FR"/>
          </w:rPr>
          <w:t>Title: Annales Françaises d’Anesthésie et de Réanimation</w:t>
        </w:r>
        <w:r>
          <w:rPr>
            <w:noProof/>
            <w:webHidden/>
          </w:rPr>
          <w:tab/>
        </w:r>
        <w:r>
          <w:rPr>
            <w:noProof/>
            <w:webHidden/>
          </w:rPr>
          <w:fldChar w:fldCharType="begin"/>
        </w:r>
        <w:r>
          <w:rPr>
            <w:noProof/>
            <w:webHidden/>
          </w:rPr>
          <w:instrText xml:space="preserve"> PAGEREF _Toc420814480 \h </w:instrText>
        </w:r>
        <w:r>
          <w:rPr>
            <w:noProof/>
            <w:webHidden/>
          </w:rPr>
        </w:r>
        <w:r>
          <w:rPr>
            <w:noProof/>
            <w:webHidden/>
          </w:rPr>
          <w:fldChar w:fldCharType="separate"/>
        </w:r>
        <w:r>
          <w:rPr>
            <w:noProof/>
            <w:webHidden/>
          </w:rPr>
          <w:t>681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1" w:history="1">
        <w:r w:rsidRPr="002F4868">
          <w:rPr>
            <w:rStyle w:val="a5"/>
            <w:noProof/>
          </w:rPr>
          <w:t>Title: Annales Geophysicae</w:t>
        </w:r>
        <w:r>
          <w:rPr>
            <w:noProof/>
            <w:webHidden/>
          </w:rPr>
          <w:tab/>
        </w:r>
        <w:r>
          <w:rPr>
            <w:noProof/>
            <w:webHidden/>
          </w:rPr>
          <w:fldChar w:fldCharType="begin"/>
        </w:r>
        <w:r>
          <w:rPr>
            <w:noProof/>
            <w:webHidden/>
          </w:rPr>
          <w:instrText xml:space="preserve"> PAGEREF _Toc420814481 \h </w:instrText>
        </w:r>
        <w:r>
          <w:rPr>
            <w:noProof/>
            <w:webHidden/>
          </w:rPr>
        </w:r>
        <w:r>
          <w:rPr>
            <w:noProof/>
            <w:webHidden/>
          </w:rPr>
          <w:fldChar w:fldCharType="separate"/>
        </w:r>
        <w:r>
          <w:rPr>
            <w:noProof/>
            <w:webHidden/>
          </w:rPr>
          <w:t>684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2" w:history="1">
        <w:r w:rsidRPr="002F4868">
          <w:rPr>
            <w:rStyle w:val="a5"/>
            <w:noProof/>
          </w:rPr>
          <w:t>Title: Annales Historiques de la Revolution Francaise</w:t>
        </w:r>
        <w:r>
          <w:rPr>
            <w:noProof/>
            <w:webHidden/>
          </w:rPr>
          <w:tab/>
        </w:r>
        <w:r>
          <w:rPr>
            <w:noProof/>
            <w:webHidden/>
          </w:rPr>
          <w:fldChar w:fldCharType="begin"/>
        </w:r>
        <w:r>
          <w:rPr>
            <w:noProof/>
            <w:webHidden/>
          </w:rPr>
          <w:instrText xml:space="preserve"> PAGEREF _Toc420814482 \h </w:instrText>
        </w:r>
        <w:r>
          <w:rPr>
            <w:noProof/>
            <w:webHidden/>
          </w:rPr>
        </w:r>
        <w:r>
          <w:rPr>
            <w:noProof/>
            <w:webHidden/>
          </w:rPr>
          <w:fldChar w:fldCharType="separate"/>
        </w:r>
        <w:r>
          <w:rPr>
            <w:noProof/>
            <w:webHidden/>
          </w:rPr>
          <w:t>686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3" w:history="1">
        <w:r w:rsidRPr="002F4868">
          <w:rPr>
            <w:rStyle w:val="a5"/>
            <w:noProof/>
          </w:rPr>
          <w:t>Title: Annales Medico-Psychologiques</w:t>
        </w:r>
        <w:r>
          <w:rPr>
            <w:noProof/>
            <w:webHidden/>
          </w:rPr>
          <w:tab/>
        </w:r>
        <w:r>
          <w:rPr>
            <w:noProof/>
            <w:webHidden/>
          </w:rPr>
          <w:fldChar w:fldCharType="begin"/>
        </w:r>
        <w:r>
          <w:rPr>
            <w:noProof/>
            <w:webHidden/>
          </w:rPr>
          <w:instrText xml:space="preserve"> PAGEREF _Toc420814483 \h </w:instrText>
        </w:r>
        <w:r>
          <w:rPr>
            <w:noProof/>
            <w:webHidden/>
          </w:rPr>
        </w:r>
        <w:r>
          <w:rPr>
            <w:noProof/>
            <w:webHidden/>
          </w:rPr>
          <w:fldChar w:fldCharType="separate"/>
        </w:r>
        <w:r>
          <w:rPr>
            <w:noProof/>
            <w:webHidden/>
          </w:rPr>
          <w:t>687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4" w:history="1">
        <w:r w:rsidRPr="002F4868">
          <w:rPr>
            <w:rStyle w:val="a5"/>
            <w:noProof/>
          </w:rPr>
          <w:t>Title: Annals Academy of Medicine Singapore</w:t>
        </w:r>
        <w:r>
          <w:rPr>
            <w:noProof/>
            <w:webHidden/>
          </w:rPr>
          <w:tab/>
        </w:r>
        <w:r>
          <w:rPr>
            <w:noProof/>
            <w:webHidden/>
          </w:rPr>
          <w:fldChar w:fldCharType="begin"/>
        </w:r>
        <w:r>
          <w:rPr>
            <w:noProof/>
            <w:webHidden/>
          </w:rPr>
          <w:instrText xml:space="preserve"> PAGEREF _Toc420814484 \h </w:instrText>
        </w:r>
        <w:r>
          <w:rPr>
            <w:noProof/>
            <w:webHidden/>
          </w:rPr>
        </w:r>
        <w:r>
          <w:rPr>
            <w:noProof/>
            <w:webHidden/>
          </w:rPr>
          <w:fldChar w:fldCharType="separate"/>
        </w:r>
        <w:r>
          <w:rPr>
            <w:noProof/>
            <w:webHidden/>
          </w:rPr>
          <w:t>691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5" w:history="1">
        <w:r w:rsidRPr="002F4868">
          <w:rPr>
            <w:rStyle w:val="a5"/>
            <w:noProof/>
          </w:rPr>
          <w:t>Title: Annals of Allergy</w:t>
        </w:r>
        <w:r>
          <w:rPr>
            <w:noProof/>
            <w:webHidden/>
          </w:rPr>
          <w:tab/>
        </w:r>
        <w:r>
          <w:rPr>
            <w:noProof/>
            <w:webHidden/>
          </w:rPr>
          <w:fldChar w:fldCharType="begin"/>
        </w:r>
        <w:r>
          <w:rPr>
            <w:noProof/>
            <w:webHidden/>
          </w:rPr>
          <w:instrText xml:space="preserve"> PAGEREF _Toc420814485 \h </w:instrText>
        </w:r>
        <w:r>
          <w:rPr>
            <w:noProof/>
            <w:webHidden/>
          </w:rPr>
        </w:r>
        <w:r>
          <w:rPr>
            <w:noProof/>
            <w:webHidden/>
          </w:rPr>
          <w:fldChar w:fldCharType="separate"/>
        </w:r>
        <w:r>
          <w:rPr>
            <w:noProof/>
            <w:webHidden/>
          </w:rPr>
          <w:t>693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6" w:history="1">
        <w:r w:rsidRPr="002F4868">
          <w:rPr>
            <w:rStyle w:val="a5"/>
            <w:noProof/>
          </w:rPr>
          <w:t>Title: Annals of Allergy Asthma &amp; Immunology</w:t>
        </w:r>
        <w:r>
          <w:rPr>
            <w:noProof/>
            <w:webHidden/>
          </w:rPr>
          <w:tab/>
        </w:r>
        <w:r>
          <w:rPr>
            <w:noProof/>
            <w:webHidden/>
          </w:rPr>
          <w:fldChar w:fldCharType="begin"/>
        </w:r>
        <w:r>
          <w:rPr>
            <w:noProof/>
            <w:webHidden/>
          </w:rPr>
          <w:instrText xml:space="preserve"> PAGEREF _Toc420814486 \h </w:instrText>
        </w:r>
        <w:r>
          <w:rPr>
            <w:noProof/>
            <w:webHidden/>
          </w:rPr>
        </w:r>
        <w:r>
          <w:rPr>
            <w:noProof/>
            <w:webHidden/>
          </w:rPr>
          <w:fldChar w:fldCharType="separate"/>
        </w:r>
        <w:r>
          <w:rPr>
            <w:noProof/>
            <w:webHidden/>
          </w:rPr>
          <w:t>694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7" w:history="1">
        <w:r w:rsidRPr="002F4868">
          <w:rPr>
            <w:rStyle w:val="a5"/>
            <w:noProof/>
          </w:rPr>
          <w:t>Title: the Annals of the American Academy of Political and Social Science</w:t>
        </w:r>
        <w:r>
          <w:rPr>
            <w:noProof/>
            <w:webHidden/>
          </w:rPr>
          <w:tab/>
        </w:r>
        <w:r>
          <w:rPr>
            <w:noProof/>
            <w:webHidden/>
          </w:rPr>
          <w:fldChar w:fldCharType="begin"/>
        </w:r>
        <w:r>
          <w:rPr>
            <w:noProof/>
            <w:webHidden/>
          </w:rPr>
          <w:instrText xml:space="preserve"> PAGEREF _Toc420814487 \h </w:instrText>
        </w:r>
        <w:r>
          <w:rPr>
            <w:noProof/>
            <w:webHidden/>
          </w:rPr>
        </w:r>
        <w:r>
          <w:rPr>
            <w:noProof/>
            <w:webHidden/>
          </w:rPr>
          <w:fldChar w:fldCharType="separate"/>
        </w:r>
        <w:r>
          <w:rPr>
            <w:noProof/>
            <w:webHidden/>
          </w:rPr>
          <w:t>699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8" w:history="1">
        <w:r w:rsidRPr="002F4868">
          <w:rPr>
            <w:rStyle w:val="a5"/>
            <w:noProof/>
          </w:rPr>
          <w:t>Title: Annals of Anatomy-Anatomischer Anzeiger</w:t>
        </w:r>
        <w:r>
          <w:rPr>
            <w:noProof/>
            <w:webHidden/>
          </w:rPr>
          <w:tab/>
        </w:r>
        <w:r>
          <w:rPr>
            <w:noProof/>
            <w:webHidden/>
          </w:rPr>
          <w:fldChar w:fldCharType="begin"/>
        </w:r>
        <w:r>
          <w:rPr>
            <w:noProof/>
            <w:webHidden/>
          </w:rPr>
          <w:instrText xml:space="preserve"> PAGEREF _Toc420814488 \h </w:instrText>
        </w:r>
        <w:r>
          <w:rPr>
            <w:noProof/>
            <w:webHidden/>
          </w:rPr>
        </w:r>
        <w:r>
          <w:rPr>
            <w:noProof/>
            <w:webHidden/>
          </w:rPr>
          <w:fldChar w:fldCharType="separate"/>
        </w:r>
        <w:r>
          <w:rPr>
            <w:noProof/>
            <w:webHidden/>
          </w:rPr>
          <w:t>700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89" w:history="1">
        <w:r w:rsidRPr="002F4868">
          <w:rPr>
            <w:rStyle w:val="a5"/>
            <w:noProof/>
          </w:rPr>
          <w:t>Title: Annals of Applied Biology</w:t>
        </w:r>
        <w:r>
          <w:rPr>
            <w:noProof/>
            <w:webHidden/>
          </w:rPr>
          <w:tab/>
        </w:r>
        <w:r>
          <w:rPr>
            <w:noProof/>
            <w:webHidden/>
          </w:rPr>
          <w:fldChar w:fldCharType="begin"/>
        </w:r>
        <w:r>
          <w:rPr>
            <w:noProof/>
            <w:webHidden/>
          </w:rPr>
          <w:instrText xml:space="preserve"> PAGEREF _Toc420814489 \h </w:instrText>
        </w:r>
        <w:r>
          <w:rPr>
            <w:noProof/>
            <w:webHidden/>
          </w:rPr>
        </w:r>
        <w:r>
          <w:rPr>
            <w:noProof/>
            <w:webHidden/>
          </w:rPr>
          <w:fldChar w:fldCharType="separate"/>
        </w:r>
        <w:r>
          <w:rPr>
            <w:noProof/>
            <w:webHidden/>
          </w:rPr>
          <w:t>702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0" w:history="1">
        <w:r w:rsidRPr="002F4868">
          <w:rPr>
            <w:rStyle w:val="a5"/>
            <w:noProof/>
          </w:rPr>
          <w:t>Title: Annals of Behavioral Medicine</w:t>
        </w:r>
        <w:r>
          <w:rPr>
            <w:noProof/>
            <w:webHidden/>
          </w:rPr>
          <w:tab/>
        </w:r>
        <w:r>
          <w:rPr>
            <w:noProof/>
            <w:webHidden/>
          </w:rPr>
          <w:fldChar w:fldCharType="begin"/>
        </w:r>
        <w:r>
          <w:rPr>
            <w:noProof/>
            <w:webHidden/>
          </w:rPr>
          <w:instrText xml:space="preserve"> PAGEREF _Toc420814490 \h </w:instrText>
        </w:r>
        <w:r>
          <w:rPr>
            <w:noProof/>
            <w:webHidden/>
          </w:rPr>
        </w:r>
        <w:r>
          <w:rPr>
            <w:noProof/>
            <w:webHidden/>
          </w:rPr>
          <w:fldChar w:fldCharType="separate"/>
        </w:r>
        <w:r>
          <w:rPr>
            <w:noProof/>
            <w:webHidden/>
          </w:rPr>
          <w:t>703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1" w:history="1">
        <w:r w:rsidRPr="002F4868">
          <w:rPr>
            <w:rStyle w:val="a5"/>
            <w:noProof/>
          </w:rPr>
          <w:t>Title: Annals of Biomedical Engineering</w:t>
        </w:r>
        <w:r>
          <w:rPr>
            <w:noProof/>
            <w:webHidden/>
          </w:rPr>
          <w:tab/>
        </w:r>
        <w:r>
          <w:rPr>
            <w:noProof/>
            <w:webHidden/>
          </w:rPr>
          <w:fldChar w:fldCharType="begin"/>
        </w:r>
        <w:r>
          <w:rPr>
            <w:noProof/>
            <w:webHidden/>
          </w:rPr>
          <w:instrText xml:space="preserve"> PAGEREF _Toc420814491 \h </w:instrText>
        </w:r>
        <w:r>
          <w:rPr>
            <w:noProof/>
            <w:webHidden/>
          </w:rPr>
        </w:r>
        <w:r>
          <w:rPr>
            <w:noProof/>
            <w:webHidden/>
          </w:rPr>
          <w:fldChar w:fldCharType="separate"/>
        </w:r>
        <w:r>
          <w:rPr>
            <w:noProof/>
            <w:webHidden/>
          </w:rPr>
          <w:t>705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2" w:history="1">
        <w:r w:rsidRPr="002F4868">
          <w:rPr>
            <w:rStyle w:val="a5"/>
            <w:noProof/>
          </w:rPr>
          <w:t>Title: Annals of Clinical Biochemistry</w:t>
        </w:r>
        <w:r>
          <w:rPr>
            <w:noProof/>
            <w:webHidden/>
          </w:rPr>
          <w:tab/>
        </w:r>
        <w:r>
          <w:rPr>
            <w:noProof/>
            <w:webHidden/>
          </w:rPr>
          <w:fldChar w:fldCharType="begin"/>
        </w:r>
        <w:r>
          <w:rPr>
            <w:noProof/>
            <w:webHidden/>
          </w:rPr>
          <w:instrText xml:space="preserve"> PAGEREF _Toc420814492 \h </w:instrText>
        </w:r>
        <w:r>
          <w:rPr>
            <w:noProof/>
            <w:webHidden/>
          </w:rPr>
        </w:r>
        <w:r>
          <w:rPr>
            <w:noProof/>
            <w:webHidden/>
          </w:rPr>
          <w:fldChar w:fldCharType="separate"/>
        </w:r>
        <w:r>
          <w:rPr>
            <w:noProof/>
            <w:webHidden/>
          </w:rPr>
          <w:t>706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3" w:history="1">
        <w:r w:rsidRPr="002F4868">
          <w:rPr>
            <w:rStyle w:val="a5"/>
            <w:noProof/>
          </w:rPr>
          <w:t>Title: Annals of Clinical and Laboratory Science</w:t>
        </w:r>
        <w:r>
          <w:rPr>
            <w:noProof/>
            <w:webHidden/>
          </w:rPr>
          <w:tab/>
        </w:r>
        <w:r>
          <w:rPr>
            <w:noProof/>
            <w:webHidden/>
          </w:rPr>
          <w:fldChar w:fldCharType="begin"/>
        </w:r>
        <w:r>
          <w:rPr>
            <w:noProof/>
            <w:webHidden/>
          </w:rPr>
          <w:instrText xml:space="preserve"> PAGEREF _Toc420814493 \h </w:instrText>
        </w:r>
        <w:r>
          <w:rPr>
            <w:noProof/>
            <w:webHidden/>
          </w:rPr>
        </w:r>
        <w:r>
          <w:rPr>
            <w:noProof/>
            <w:webHidden/>
          </w:rPr>
          <w:fldChar w:fldCharType="separate"/>
        </w:r>
        <w:r>
          <w:rPr>
            <w:noProof/>
            <w:webHidden/>
          </w:rPr>
          <w:t>708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4" w:history="1">
        <w:r w:rsidRPr="002F4868">
          <w:rPr>
            <w:rStyle w:val="a5"/>
            <w:noProof/>
          </w:rPr>
          <w:t>Title: Annals of Emergency Medicine</w:t>
        </w:r>
        <w:r>
          <w:rPr>
            <w:noProof/>
            <w:webHidden/>
          </w:rPr>
          <w:tab/>
        </w:r>
        <w:r>
          <w:rPr>
            <w:noProof/>
            <w:webHidden/>
          </w:rPr>
          <w:fldChar w:fldCharType="begin"/>
        </w:r>
        <w:r>
          <w:rPr>
            <w:noProof/>
            <w:webHidden/>
          </w:rPr>
          <w:instrText xml:space="preserve"> PAGEREF _Toc420814494 \h </w:instrText>
        </w:r>
        <w:r>
          <w:rPr>
            <w:noProof/>
            <w:webHidden/>
          </w:rPr>
        </w:r>
        <w:r>
          <w:rPr>
            <w:noProof/>
            <w:webHidden/>
          </w:rPr>
          <w:fldChar w:fldCharType="separate"/>
        </w:r>
        <w:r>
          <w:rPr>
            <w:noProof/>
            <w:webHidden/>
          </w:rPr>
          <w:t>710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5" w:history="1">
        <w:r w:rsidRPr="002F4868">
          <w:rPr>
            <w:rStyle w:val="a5"/>
            <w:noProof/>
          </w:rPr>
          <w:t>Title: Annals of Epidemiology</w:t>
        </w:r>
        <w:r>
          <w:rPr>
            <w:noProof/>
            <w:webHidden/>
          </w:rPr>
          <w:tab/>
        </w:r>
        <w:r>
          <w:rPr>
            <w:noProof/>
            <w:webHidden/>
          </w:rPr>
          <w:fldChar w:fldCharType="begin"/>
        </w:r>
        <w:r>
          <w:rPr>
            <w:noProof/>
            <w:webHidden/>
          </w:rPr>
          <w:instrText xml:space="preserve"> PAGEREF _Toc420814495 \h </w:instrText>
        </w:r>
        <w:r>
          <w:rPr>
            <w:noProof/>
            <w:webHidden/>
          </w:rPr>
        </w:r>
        <w:r>
          <w:rPr>
            <w:noProof/>
            <w:webHidden/>
          </w:rPr>
          <w:fldChar w:fldCharType="separate"/>
        </w:r>
        <w:r>
          <w:rPr>
            <w:noProof/>
            <w:webHidden/>
          </w:rPr>
          <w:t>720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6" w:history="1">
        <w:r w:rsidRPr="002F4868">
          <w:rPr>
            <w:rStyle w:val="a5"/>
            <w:noProof/>
          </w:rPr>
          <w:t>Title: Annals of Eugenics</w:t>
        </w:r>
        <w:r>
          <w:rPr>
            <w:noProof/>
            <w:webHidden/>
          </w:rPr>
          <w:tab/>
        </w:r>
        <w:r>
          <w:rPr>
            <w:noProof/>
            <w:webHidden/>
          </w:rPr>
          <w:fldChar w:fldCharType="begin"/>
        </w:r>
        <w:r>
          <w:rPr>
            <w:noProof/>
            <w:webHidden/>
          </w:rPr>
          <w:instrText xml:space="preserve"> PAGEREF _Toc420814496 \h </w:instrText>
        </w:r>
        <w:r>
          <w:rPr>
            <w:noProof/>
            <w:webHidden/>
          </w:rPr>
        </w:r>
        <w:r>
          <w:rPr>
            <w:noProof/>
            <w:webHidden/>
          </w:rPr>
          <w:fldChar w:fldCharType="separate"/>
        </w:r>
        <w:r>
          <w:rPr>
            <w:noProof/>
            <w:webHidden/>
          </w:rPr>
          <w:t>724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7" w:history="1">
        <w:r w:rsidRPr="002F4868">
          <w:rPr>
            <w:rStyle w:val="a5"/>
            <w:noProof/>
          </w:rPr>
          <w:t>Title: Annals of Family Medicine</w:t>
        </w:r>
        <w:r>
          <w:rPr>
            <w:noProof/>
            <w:webHidden/>
          </w:rPr>
          <w:tab/>
        </w:r>
        <w:r>
          <w:rPr>
            <w:noProof/>
            <w:webHidden/>
          </w:rPr>
          <w:fldChar w:fldCharType="begin"/>
        </w:r>
        <w:r>
          <w:rPr>
            <w:noProof/>
            <w:webHidden/>
          </w:rPr>
          <w:instrText xml:space="preserve"> PAGEREF _Toc420814497 \h </w:instrText>
        </w:r>
        <w:r>
          <w:rPr>
            <w:noProof/>
            <w:webHidden/>
          </w:rPr>
        </w:r>
        <w:r>
          <w:rPr>
            <w:noProof/>
            <w:webHidden/>
          </w:rPr>
          <w:fldChar w:fldCharType="separate"/>
        </w:r>
        <w:r>
          <w:rPr>
            <w:noProof/>
            <w:webHidden/>
          </w:rPr>
          <w:t>725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8" w:history="1">
        <w:r w:rsidRPr="002F4868">
          <w:rPr>
            <w:rStyle w:val="a5"/>
            <w:noProof/>
          </w:rPr>
          <w:t>Title: Annals of Forest Research</w:t>
        </w:r>
        <w:r>
          <w:rPr>
            <w:noProof/>
            <w:webHidden/>
          </w:rPr>
          <w:tab/>
        </w:r>
        <w:r>
          <w:rPr>
            <w:noProof/>
            <w:webHidden/>
          </w:rPr>
          <w:fldChar w:fldCharType="begin"/>
        </w:r>
        <w:r>
          <w:rPr>
            <w:noProof/>
            <w:webHidden/>
          </w:rPr>
          <w:instrText xml:space="preserve"> PAGEREF _Toc420814498 \h </w:instrText>
        </w:r>
        <w:r>
          <w:rPr>
            <w:noProof/>
            <w:webHidden/>
          </w:rPr>
        </w:r>
        <w:r>
          <w:rPr>
            <w:noProof/>
            <w:webHidden/>
          </w:rPr>
          <w:fldChar w:fldCharType="separate"/>
        </w:r>
        <w:r>
          <w:rPr>
            <w:noProof/>
            <w:webHidden/>
          </w:rPr>
          <w:t>727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499" w:history="1">
        <w:r w:rsidRPr="002F4868">
          <w:rPr>
            <w:rStyle w:val="a5"/>
            <w:noProof/>
          </w:rPr>
          <w:t>Title: Annals of Forest Science</w:t>
        </w:r>
        <w:r>
          <w:rPr>
            <w:noProof/>
            <w:webHidden/>
          </w:rPr>
          <w:tab/>
        </w:r>
        <w:r>
          <w:rPr>
            <w:noProof/>
            <w:webHidden/>
          </w:rPr>
          <w:fldChar w:fldCharType="begin"/>
        </w:r>
        <w:r>
          <w:rPr>
            <w:noProof/>
            <w:webHidden/>
          </w:rPr>
          <w:instrText xml:space="preserve"> PAGEREF _Toc420814499 \h </w:instrText>
        </w:r>
        <w:r>
          <w:rPr>
            <w:noProof/>
            <w:webHidden/>
          </w:rPr>
        </w:r>
        <w:r>
          <w:rPr>
            <w:noProof/>
            <w:webHidden/>
          </w:rPr>
          <w:fldChar w:fldCharType="separate"/>
        </w:r>
        <w:r>
          <w:rPr>
            <w:noProof/>
            <w:webHidden/>
          </w:rPr>
          <w:t>729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0" w:history="1">
        <w:r w:rsidRPr="002F4868">
          <w:rPr>
            <w:rStyle w:val="a5"/>
            <w:noProof/>
          </w:rPr>
          <w:t>Title: Annals of General Psychiatry</w:t>
        </w:r>
        <w:r>
          <w:rPr>
            <w:noProof/>
            <w:webHidden/>
          </w:rPr>
          <w:tab/>
        </w:r>
        <w:r>
          <w:rPr>
            <w:noProof/>
            <w:webHidden/>
          </w:rPr>
          <w:fldChar w:fldCharType="begin"/>
        </w:r>
        <w:r>
          <w:rPr>
            <w:noProof/>
            <w:webHidden/>
          </w:rPr>
          <w:instrText xml:space="preserve"> PAGEREF _Toc420814500 \h </w:instrText>
        </w:r>
        <w:r>
          <w:rPr>
            <w:noProof/>
            <w:webHidden/>
          </w:rPr>
        </w:r>
        <w:r>
          <w:rPr>
            <w:noProof/>
            <w:webHidden/>
          </w:rPr>
          <w:fldChar w:fldCharType="separate"/>
        </w:r>
        <w:r>
          <w:rPr>
            <w:noProof/>
            <w:webHidden/>
          </w:rPr>
          <w:t>732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1" w:history="1">
        <w:r w:rsidRPr="002F4868">
          <w:rPr>
            <w:rStyle w:val="a5"/>
            <w:noProof/>
          </w:rPr>
          <w:t>Title: Annals of Hematology</w:t>
        </w:r>
        <w:r>
          <w:rPr>
            <w:noProof/>
            <w:webHidden/>
          </w:rPr>
          <w:tab/>
        </w:r>
        <w:r>
          <w:rPr>
            <w:noProof/>
            <w:webHidden/>
          </w:rPr>
          <w:fldChar w:fldCharType="begin"/>
        </w:r>
        <w:r>
          <w:rPr>
            <w:noProof/>
            <w:webHidden/>
          </w:rPr>
          <w:instrText xml:space="preserve"> PAGEREF _Toc420814501 \h </w:instrText>
        </w:r>
        <w:r>
          <w:rPr>
            <w:noProof/>
            <w:webHidden/>
          </w:rPr>
        </w:r>
        <w:r>
          <w:rPr>
            <w:noProof/>
            <w:webHidden/>
          </w:rPr>
          <w:fldChar w:fldCharType="separate"/>
        </w:r>
        <w:r>
          <w:rPr>
            <w:noProof/>
            <w:webHidden/>
          </w:rPr>
          <w:t>734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2" w:history="1">
        <w:r w:rsidRPr="002F4868">
          <w:rPr>
            <w:rStyle w:val="a5"/>
            <w:noProof/>
          </w:rPr>
          <w:t>Title: Annals of Hepatology</w:t>
        </w:r>
        <w:r>
          <w:rPr>
            <w:noProof/>
            <w:webHidden/>
          </w:rPr>
          <w:tab/>
        </w:r>
        <w:r>
          <w:rPr>
            <w:noProof/>
            <w:webHidden/>
          </w:rPr>
          <w:fldChar w:fldCharType="begin"/>
        </w:r>
        <w:r>
          <w:rPr>
            <w:noProof/>
            <w:webHidden/>
          </w:rPr>
          <w:instrText xml:space="preserve"> PAGEREF _Toc420814502 \h </w:instrText>
        </w:r>
        <w:r>
          <w:rPr>
            <w:noProof/>
            <w:webHidden/>
          </w:rPr>
        </w:r>
        <w:r>
          <w:rPr>
            <w:noProof/>
            <w:webHidden/>
          </w:rPr>
          <w:fldChar w:fldCharType="separate"/>
        </w:r>
        <w:r>
          <w:rPr>
            <w:noProof/>
            <w:webHidden/>
          </w:rPr>
          <w:t>736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3" w:history="1">
        <w:r w:rsidRPr="002F4868">
          <w:rPr>
            <w:rStyle w:val="a5"/>
            <w:noProof/>
          </w:rPr>
          <w:t>Title: Annals of Human Genetics</w:t>
        </w:r>
        <w:r>
          <w:rPr>
            <w:noProof/>
            <w:webHidden/>
          </w:rPr>
          <w:tab/>
        </w:r>
        <w:r>
          <w:rPr>
            <w:noProof/>
            <w:webHidden/>
          </w:rPr>
          <w:fldChar w:fldCharType="begin"/>
        </w:r>
        <w:r>
          <w:rPr>
            <w:noProof/>
            <w:webHidden/>
          </w:rPr>
          <w:instrText xml:space="preserve"> PAGEREF _Toc420814503 \h </w:instrText>
        </w:r>
        <w:r>
          <w:rPr>
            <w:noProof/>
            <w:webHidden/>
          </w:rPr>
        </w:r>
        <w:r>
          <w:rPr>
            <w:noProof/>
            <w:webHidden/>
          </w:rPr>
          <w:fldChar w:fldCharType="separate"/>
        </w:r>
        <w:r>
          <w:rPr>
            <w:noProof/>
            <w:webHidden/>
          </w:rPr>
          <w:t>738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4" w:history="1">
        <w:r w:rsidRPr="002F4868">
          <w:rPr>
            <w:rStyle w:val="a5"/>
            <w:noProof/>
          </w:rPr>
          <w:t>Title: Annals of Indian Academy of Neurology</w:t>
        </w:r>
        <w:r>
          <w:rPr>
            <w:noProof/>
            <w:webHidden/>
          </w:rPr>
          <w:tab/>
        </w:r>
        <w:r>
          <w:rPr>
            <w:noProof/>
            <w:webHidden/>
          </w:rPr>
          <w:fldChar w:fldCharType="begin"/>
        </w:r>
        <w:r>
          <w:rPr>
            <w:noProof/>
            <w:webHidden/>
          </w:rPr>
          <w:instrText xml:space="preserve"> PAGEREF _Toc420814504 \h </w:instrText>
        </w:r>
        <w:r>
          <w:rPr>
            <w:noProof/>
            <w:webHidden/>
          </w:rPr>
        </w:r>
        <w:r>
          <w:rPr>
            <w:noProof/>
            <w:webHidden/>
          </w:rPr>
          <w:fldChar w:fldCharType="separate"/>
        </w:r>
        <w:r>
          <w:rPr>
            <w:noProof/>
            <w:webHidden/>
          </w:rPr>
          <w:t>740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5" w:history="1">
        <w:r w:rsidRPr="002F4868">
          <w:rPr>
            <w:rStyle w:val="a5"/>
            <w:noProof/>
          </w:rPr>
          <w:t>Title: Annals of Internal Medicine</w:t>
        </w:r>
        <w:r>
          <w:rPr>
            <w:noProof/>
            <w:webHidden/>
          </w:rPr>
          <w:tab/>
        </w:r>
        <w:r>
          <w:rPr>
            <w:noProof/>
            <w:webHidden/>
          </w:rPr>
          <w:fldChar w:fldCharType="begin"/>
        </w:r>
        <w:r>
          <w:rPr>
            <w:noProof/>
            <w:webHidden/>
          </w:rPr>
          <w:instrText xml:space="preserve"> PAGEREF _Toc420814505 \h </w:instrText>
        </w:r>
        <w:r>
          <w:rPr>
            <w:noProof/>
            <w:webHidden/>
          </w:rPr>
        </w:r>
        <w:r>
          <w:rPr>
            <w:noProof/>
            <w:webHidden/>
          </w:rPr>
          <w:fldChar w:fldCharType="separate"/>
        </w:r>
        <w:r>
          <w:rPr>
            <w:noProof/>
            <w:webHidden/>
          </w:rPr>
          <w:t>742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6" w:history="1">
        <w:r w:rsidRPr="002F4868">
          <w:rPr>
            <w:rStyle w:val="a5"/>
            <w:noProof/>
          </w:rPr>
          <w:t>Title: Annals of Laboratory Medicine</w:t>
        </w:r>
        <w:r>
          <w:rPr>
            <w:noProof/>
            <w:webHidden/>
          </w:rPr>
          <w:tab/>
        </w:r>
        <w:r>
          <w:rPr>
            <w:noProof/>
            <w:webHidden/>
          </w:rPr>
          <w:fldChar w:fldCharType="begin"/>
        </w:r>
        <w:r>
          <w:rPr>
            <w:noProof/>
            <w:webHidden/>
          </w:rPr>
          <w:instrText xml:space="preserve"> PAGEREF _Toc420814506 \h </w:instrText>
        </w:r>
        <w:r>
          <w:rPr>
            <w:noProof/>
            <w:webHidden/>
          </w:rPr>
        </w:r>
        <w:r>
          <w:rPr>
            <w:noProof/>
            <w:webHidden/>
          </w:rPr>
          <w:fldChar w:fldCharType="separate"/>
        </w:r>
        <w:r>
          <w:rPr>
            <w:noProof/>
            <w:webHidden/>
          </w:rPr>
          <w:t>773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7" w:history="1">
        <w:r w:rsidRPr="002F4868">
          <w:rPr>
            <w:rStyle w:val="a5"/>
            <w:noProof/>
          </w:rPr>
          <w:t>Title: Annals of Library and Information Studies</w:t>
        </w:r>
        <w:r>
          <w:rPr>
            <w:noProof/>
            <w:webHidden/>
          </w:rPr>
          <w:tab/>
        </w:r>
        <w:r>
          <w:rPr>
            <w:noProof/>
            <w:webHidden/>
          </w:rPr>
          <w:fldChar w:fldCharType="begin"/>
        </w:r>
        <w:r>
          <w:rPr>
            <w:noProof/>
            <w:webHidden/>
          </w:rPr>
          <w:instrText xml:space="preserve"> PAGEREF _Toc420814507 \h </w:instrText>
        </w:r>
        <w:r>
          <w:rPr>
            <w:noProof/>
            <w:webHidden/>
          </w:rPr>
        </w:r>
        <w:r>
          <w:rPr>
            <w:noProof/>
            <w:webHidden/>
          </w:rPr>
          <w:fldChar w:fldCharType="separate"/>
        </w:r>
        <w:r>
          <w:rPr>
            <w:noProof/>
            <w:webHidden/>
          </w:rPr>
          <w:t>775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8" w:history="1">
        <w:r w:rsidRPr="002F4868">
          <w:rPr>
            <w:rStyle w:val="a5"/>
            <w:noProof/>
          </w:rPr>
          <w:t>Title: Annals of Library Science and Documentation</w:t>
        </w:r>
        <w:r>
          <w:rPr>
            <w:noProof/>
            <w:webHidden/>
          </w:rPr>
          <w:tab/>
        </w:r>
        <w:r>
          <w:rPr>
            <w:noProof/>
            <w:webHidden/>
          </w:rPr>
          <w:fldChar w:fldCharType="begin"/>
        </w:r>
        <w:r>
          <w:rPr>
            <w:noProof/>
            <w:webHidden/>
          </w:rPr>
          <w:instrText xml:space="preserve"> PAGEREF _Toc420814508 \h </w:instrText>
        </w:r>
        <w:r>
          <w:rPr>
            <w:noProof/>
            <w:webHidden/>
          </w:rPr>
        </w:r>
        <w:r>
          <w:rPr>
            <w:noProof/>
            <w:webHidden/>
          </w:rPr>
          <w:fldChar w:fldCharType="separate"/>
        </w:r>
        <w:r>
          <w:rPr>
            <w:noProof/>
            <w:webHidden/>
          </w:rPr>
          <w:t>776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09" w:history="1">
        <w:r w:rsidRPr="002F4868">
          <w:rPr>
            <w:rStyle w:val="a5"/>
            <w:noProof/>
          </w:rPr>
          <w:t>Title: Annals of Mathematical Statistics</w:t>
        </w:r>
        <w:r>
          <w:rPr>
            <w:noProof/>
            <w:webHidden/>
          </w:rPr>
          <w:tab/>
        </w:r>
        <w:r>
          <w:rPr>
            <w:noProof/>
            <w:webHidden/>
          </w:rPr>
          <w:fldChar w:fldCharType="begin"/>
        </w:r>
        <w:r>
          <w:rPr>
            <w:noProof/>
            <w:webHidden/>
          </w:rPr>
          <w:instrText xml:space="preserve"> PAGEREF _Toc420814509 \h </w:instrText>
        </w:r>
        <w:r>
          <w:rPr>
            <w:noProof/>
            <w:webHidden/>
          </w:rPr>
        </w:r>
        <w:r>
          <w:rPr>
            <w:noProof/>
            <w:webHidden/>
          </w:rPr>
          <w:fldChar w:fldCharType="separate"/>
        </w:r>
        <w:r>
          <w:rPr>
            <w:noProof/>
            <w:webHidden/>
          </w:rPr>
          <w:t>779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0" w:history="1">
        <w:r w:rsidRPr="002F4868">
          <w:rPr>
            <w:rStyle w:val="a5"/>
            <w:noProof/>
          </w:rPr>
          <w:t>Title: Annals of Mathematics</w:t>
        </w:r>
        <w:r>
          <w:rPr>
            <w:noProof/>
            <w:webHidden/>
          </w:rPr>
          <w:tab/>
        </w:r>
        <w:r>
          <w:rPr>
            <w:noProof/>
            <w:webHidden/>
          </w:rPr>
          <w:fldChar w:fldCharType="begin"/>
        </w:r>
        <w:r>
          <w:rPr>
            <w:noProof/>
            <w:webHidden/>
          </w:rPr>
          <w:instrText xml:space="preserve"> PAGEREF _Toc420814510 \h </w:instrText>
        </w:r>
        <w:r>
          <w:rPr>
            <w:noProof/>
            <w:webHidden/>
          </w:rPr>
        </w:r>
        <w:r>
          <w:rPr>
            <w:noProof/>
            <w:webHidden/>
          </w:rPr>
          <w:fldChar w:fldCharType="separate"/>
        </w:r>
        <w:r>
          <w:rPr>
            <w:noProof/>
            <w:webHidden/>
          </w:rPr>
          <w:t>780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1" w:history="1">
        <w:r w:rsidRPr="002F4868">
          <w:rPr>
            <w:rStyle w:val="a5"/>
            <w:noProof/>
          </w:rPr>
          <w:t>Title: Annals of Medicine</w:t>
        </w:r>
        <w:r>
          <w:rPr>
            <w:noProof/>
            <w:webHidden/>
          </w:rPr>
          <w:tab/>
        </w:r>
        <w:r>
          <w:rPr>
            <w:noProof/>
            <w:webHidden/>
          </w:rPr>
          <w:fldChar w:fldCharType="begin"/>
        </w:r>
        <w:r>
          <w:rPr>
            <w:noProof/>
            <w:webHidden/>
          </w:rPr>
          <w:instrText xml:space="preserve"> PAGEREF _Toc420814511 \h </w:instrText>
        </w:r>
        <w:r>
          <w:rPr>
            <w:noProof/>
            <w:webHidden/>
          </w:rPr>
        </w:r>
        <w:r>
          <w:rPr>
            <w:noProof/>
            <w:webHidden/>
          </w:rPr>
          <w:fldChar w:fldCharType="separate"/>
        </w:r>
        <w:r>
          <w:rPr>
            <w:noProof/>
            <w:webHidden/>
          </w:rPr>
          <w:t>781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2" w:history="1">
        <w:r w:rsidRPr="002F4868">
          <w:rPr>
            <w:rStyle w:val="a5"/>
            <w:noProof/>
          </w:rPr>
          <w:t>Title: Annals of Noninvasive Electrocardiology</w:t>
        </w:r>
        <w:r>
          <w:rPr>
            <w:noProof/>
            <w:webHidden/>
          </w:rPr>
          <w:tab/>
        </w:r>
        <w:r>
          <w:rPr>
            <w:noProof/>
            <w:webHidden/>
          </w:rPr>
          <w:fldChar w:fldCharType="begin"/>
        </w:r>
        <w:r>
          <w:rPr>
            <w:noProof/>
            <w:webHidden/>
          </w:rPr>
          <w:instrText xml:space="preserve"> PAGEREF _Toc420814512 \h </w:instrText>
        </w:r>
        <w:r>
          <w:rPr>
            <w:noProof/>
            <w:webHidden/>
          </w:rPr>
        </w:r>
        <w:r>
          <w:rPr>
            <w:noProof/>
            <w:webHidden/>
          </w:rPr>
          <w:fldChar w:fldCharType="separate"/>
        </w:r>
        <w:r>
          <w:rPr>
            <w:noProof/>
            <w:webHidden/>
          </w:rPr>
          <w:t>783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3" w:history="1">
        <w:r w:rsidRPr="002F4868">
          <w:rPr>
            <w:rStyle w:val="a5"/>
            <w:noProof/>
          </w:rPr>
          <w:t>Title: Annals of Nuclear Medicine</w:t>
        </w:r>
        <w:r>
          <w:rPr>
            <w:noProof/>
            <w:webHidden/>
          </w:rPr>
          <w:tab/>
        </w:r>
        <w:r>
          <w:rPr>
            <w:noProof/>
            <w:webHidden/>
          </w:rPr>
          <w:fldChar w:fldCharType="begin"/>
        </w:r>
        <w:r>
          <w:rPr>
            <w:noProof/>
            <w:webHidden/>
          </w:rPr>
          <w:instrText xml:space="preserve"> PAGEREF _Toc420814513 \h </w:instrText>
        </w:r>
        <w:r>
          <w:rPr>
            <w:noProof/>
            <w:webHidden/>
          </w:rPr>
        </w:r>
        <w:r>
          <w:rPr>
            <w:noProof/>
            <w:webHidden/>
          </w:rPr>
          <w:fldChar w:fldCharType="separate"/>
        </w:r>
        <w:r>
          <w:rPr>
            <w:noProof/>
            <w:webHidden/>
          </w:rPr>
          <w:t>785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4" w:history="1">
        <w:r w:rsidRPr="002F4868">
          <w:rPr>
            <w:rStyle w:val="a5"/>
            <w:noProof/>
          </w:rPr>
          <w:t>Title: Annals of Nutrition and Metabolism</w:t>
        </w:r>
        <w:r>
          <w:rPr>
            <w:noProof/>
            <w:webHidden/>
          </w:rPr>
          <w:tab/>
        </w:r>
        <w:r>
          <w:rPr>
            <w:noProof/>
            <w:webHidden/>
          </w:rPr>
          <w:fldChar w:fldCharType="begin"/>
        </w:r>
        <w:r>
          <w:rPr>
            <w:noProof/>
            <w:webHidden/>
          </w:rPr>
          <w:instrText xml:space="preserve"> PAGEREF _Toc420814514 \h </w:instrText>
        </w:r>
        <w:r>
          <w:rPr>
            <w:noProof/>
            <w:webHidden/>
          </w:rPr>
        </w:r>
        <w:r>
          <w:rPr>
            <w:noProof/>
            <w:webHidden/>
          </w:rPr>
          <w:fldChar w:fldCharType="separate"/>
        </w:r>
        <w:r>
          <w:rPr>
            <w:noProof/>
            <w:webHidden/>
          </w:rPr>
          <w:t>786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5" w:history="1">
        <w:r w:rsidRPr="002F4868">
          <w:rPr>
            <w:rStyle w:val="a5"/>
            <w:noProof/>
          </w:rPr>
          <w:t>Title: Annals of Occupational Hygiene</w:t>
        </w:r>
        <w:r>
          <w:rPr>
            <w:noProof/>
            <w:webHidden/>
          </w:rPr>
          <w:tab/>
        </w:r>
        <w:r>
          <w:rPr>
            <w:noProof/>
            <w:webHidden/>
          </w:rPr>
          <w:fldChar w:fldCharType="begin"/>
        </w:r>
        <w:r>
          <w:rPr>
            <w:noProof/>
            <w:webHidden/>
          </w:rPr>
          <w:instrText xml:space="preserve"> PAGEREF _Toc420814515 \h </w:instrText>
        </w:r>
        <w:r>
          <w:rPr>
            <w:noProof/>
            <w:webHidden/>
          </w:rPr>
        </w:r>
        <w:r>
          <w:rPr>
            <w:noProof/>
            <w:webHidden/>
          </w:rPr>
          <w:fldChar w:fldCharType="separate"/>
        </w:r>
        <w:r>
          <w:rPr>
            <w:noProof/>
            <w:webHidden/>
          </w:rPr>
          <w:t>789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6" w:history="1">
        <w:r w:rsidRPr="002F4868">
          <w:rPr>
            <w:rStyle w:val="a5"/>
            <w:noProof/>
          </w:rPr>
          <w:t>Title: Annals of Oncology</w:t>
        </w:r>
        <w:r>
          <w:rPr>
            <w:noProof/>
            <w:webHidden/>
          </w:rPr>
          <w:tab/>
        </w:r>
        <w:r>
          <w:rPr>
            <w:noProof/>
            <w:webHidden/>
          </w:rPr>
          <w:fldChar w:fldCharType="begin"/>
        </w:r>
        <w:r>
          <w:rPr>
            <w:noProof/>
            <w:webHidden/>
          </w:rPr>
          <w:instrText xml:space="preserve"> PAGEREF _Toc420814516 \h </w:instrText>
        </w:r>
        <w:r>
          <w:rPr>
            <w:noProof/>
            <w:webHidden/>
          </w:rPr>
        </w:r>
        <w:r>
          <w:rPr>
            <w:noProof/>
            <w:webHidden/>
          </w:rPr>
          <w:fldChar w:fldCharType="separate"/>
        </w:r>
        <w:r>
          <w:rPr>
            <w:noProof/>
            <w:webHidden/>
          </w:rPr>
          <w:t>791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7" w:history="1">
        <w:r w:rsidRPr="002F4868">
          <w:rPr>
            <w:rStyle w:val="a5"/>
            <w:noProof/>
          </w:rPr>
          <w:t>Title: Annals of Otology Rhinology and Laryngology</w:t>
        </w:r>
        <w:r>
          <w:rPr>
            <w:noProof/>
            <w:webHidden/>
          </w:rPr>
          <w:tab/>
        </w:r>
        <w:r>
          <w:rPr>
            <w:noProof/>
            <w:webHidden/>
          </w:rPr>
          <w:fldChar w:fldCharType="begin"/>
        </w:r>
        <w:r>
          <w:rPr>
            <w:noProof/>
            <w:webHidden/>
          </w:rPr>
          <w:instrText xml:space="preserve"> PAGEREF _Toc420814517 \h </w:instrText>
        </w:r>
        <w:r>
          <w:rPr>
            <w:noProof/>
            <w:webHidden/>
          </w:rPr>
        </w:r>
        <w:r>
          <w:rPr>
            <w:noProof/>
            <w:webHidden/>
          </w:rPr>
          <w:fldChar w:fldCharType="separate"/>
        </w:r>
        <w:r>
          <w:rPr>
            <w:noProof/>
            <w:webHidden/>
          </w:rPr>
          <w:t>798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8" w:history="1">
        <w:r w:rsidRPr="002F4868">
          <w:rPr>
            <w:rStyle w:val="a5"/>
            <w:noProof/>
          </w:rPr>
          <w:t>Title: Annals of Pharmacotherapy</w:t>
        </w:r>
        <w:r>
          <w:rPr>
            <w:noProof/>
            <w:webHidden/>
          </w:rPr>
          <w:tab/>
        </w:r>
        <w:r>
          <w:rPr>
            <w:noProof/>
            <w:webHidden/>
          </w:rPr>
          <w:fldChar w:fldCharType="begin"/>
        </w:r>
        <w:r>
          <w:rPr>
            <w:noProof/>
            <w:webHidden/>
          </w:rPr>
          <w:instrText xml:space="preserve"> PAGEREF _Toc420814518 \h </w:instrText>
        </w:r>
        <w:r>
          <w:rPr>
            <w:noProof/>
            <w:webHidden/>
          </w:rPr>
        </w:r>
        <w:r>
          <w:rPr>
            <w:noProof/>
            <w:webHidden/>
          </w:rPr>
          <w:fldChar w:fldCharType="separate"/>
        </w:r>
        <w:r>
          <w:rPr>
            <w:noProof/>
            <w:webHidden/>
          </w:rPr>
          <w:t>800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19" w:history="1">
        <w:r w:rsidRPr="002F4868">
          <w:rPr>
            <w:rStyle w:val="a5"/>
            <w:noProof/>
          </w:rPr>
          <w:t>Title: Annals of Plastic Surgery</w:t>
        </w:r>
        <w:r>
          <w:rPr>
            <w:noProof/>
            <w:webHidden/>
          </w:rPr>
          <w:tab/>
        </w:r>
        <w:r>
          <w:rPr>
            <w:noProof/>
            <w:webHidden/>
          </w:rPr>
          <w:fldChar w:fldCharType="begin"/>
        </w:r>
        <w:r>
          <w:rPr>
            <w:noProof/>
            <w:webHidden/>
          </w:rPr>
          <w:instrText xml:space="preserve"> PAGEREF _Toc420814519 \h </w:instrText>
        </w:r>
        <w:r>
          <w:rPr>
            <w:noProof/>
            <w:webHidden/>
          </w:rPr>
        </w:r>
        <w:r>
          <w:rPr>
            <w:noProof/>
            <w:webHidden/>
          </w:rPr>
          <w:fldChar w:fldCharType="separate"/>
        </w:r>
        <w:r>
          <w:rPr>
            <w:noProof/>
            <w:webHidden/>
          </w:rPr>
          <w:t>826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0" w:history="1">
        <w:r w:rsidRPr="002F4868">
          <w:rPr>
            <w:rStyle w:val="a5"/>
            <w:noProof/>
          </w:rPr>
          <w:t>Title: Annals of Regional Science</w:t>
        </w:r>
        <w:r>
          <w:rPr>
            <w:noProof/>
            <w:webHidden/>
          </w:rPr>
          <w:tab/>
        </w:r>
        <w:r>
          <w:rPr>
            <w:noProof/>
            <w:webHidden/>
          </w:rPr>
          <w:fldChar w:fldCharType="begin"/>
        </w:r>
        <w:r>
          <w:rPr>
            <w:noProof/>
            <w:webHidden/>
          </w:rPr>
          <w:instrText xml:space="preserve"> PAGEREF _Toc420814520 \h </w:instrText>
        </w:r>
        <w:r>
          <w:rPr>
            <w:noProof/>
            <w:webHidden/>
          </w:rPr>
        </w:r>
        <w:r>
          <w:rPr>
            <w:noProof/>
            <w:webHidden/>
          </w:rPr>
          <w:fldChar w:fldCharType="separate"/>
        </w:r>
        <w:r>
          <w:rPr>
            <w:noProof/>
            <w:webHidden/>
          </w:rPr>
          <w:t>829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1" w:history="1">
        <w:r w:rsidRPr="002F4868">
          <w:rPr>
            <w:rStyle w:val="a5"/>
            <w:noProof/>
          </w:rPr>
          <w:t>Title: Annals of the Rheumatic Diseases</w:t>
        </w:r>
        <w:r>
          <w:rPr>
            <w:noProof/>
            <w:webHidden/>
          </w:rPr>
          <w:tab/>
        </w:r>
        <w:r>
          <w:rPr>
            <w:noProof/>
            <w:webHidden/>
          </w:rPr>
          <w:fldChar w:fldCharType="begin"/>
        </w:r>
        <w:r>
          <w:rPr>
            <w:noProof/>
            <w:webHidden/>
          </w:rPr>
          <w:instrText xml:space="preserve"> PAGEREF _Toc420814521 \h </w:instrText>
        </w:r>
        <w:r>
          <w:rPr>
            <w:noProof/>
            <w:webHidden/>
          </w:rPr>
        </w:r>
        <w:r>
          <w:rPr>
            <w:noProof/>
            <w:webHidden/>
          </w:rPr>
          <w:fldChar w:fldCharType="separate"/>
        </w:r>
        <w:r>
          <w:rPr>
            <w:noProof/>
            <w:webHidden/>
          </w:rPr>
          <w:t>830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2" w:history="1">
        <w:r w:rsidRPr="002F4868">
          <w:rPr>
            <w:rStyle w:val="a5"/>
            <w:noProof/>
          </w:rPr>
          <w:t>Title: Annals of the Royal College of Surgeons of England</w:t>
        </w:r>
        <w:r>
          <w:rPr>
            <w:noProof/>
            <w:webHidden/>
          </w:rPr>
          <w:tab/>
        </w:r>
        <w:r>
          <w:rPr>
            <w:noProof/>
            <w:webHidden/>
          </w:rPr>
          <w:fldChar w:fldCharType="begin"/>
        </w:r>
        <w:r>
          <w:rPr>
            <w:noProof/>
            <w:webHidden/>
          </w:rPr>
          <w:instrText xml:space="preserve"> PAGEREF _Toc420814522 \h </w:instrText>
        </w:r>
        <w:r>
          <w:rPr>
            <w:noProof/>
            <w:webHidden/>
          </w:rPr>
        </w:r>
        <w:r>
          <w:rPr>
            <w:noProof/>
            <w:webHidden/>
          </w:rPr>
          <w:fldChar w:fldCharType="separate"/>
        </w:r>
        <w:r>
          <w:rPr>
            <w:noProof/>
            <w:webHidden/>
          </w:rPr>
          <w:t>834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3" w:history="1">
        <w:r w:rsidRPr="002F4868">
          <w:rPr>
            <w:rStyle w:val="a5"/>
            <w:noProof/>
          </w:rPr>
          <w:t>Title: Annals of Saudi Medicine</w:t>
        </w:r>
        <w:r>
          <w:rPr>
            <w:noProof/>
            <w:webHidden/>
          </w:rPr>
          <w:tab/>
        </w:r>
        <w:r>
          <w:rPr>
            <w:noProof/>
            <w:webHidden/>
          </w:rPr>
          <w:fldChar w:fldCharType="begin"/>
        </w:r>
        <w:r>
          <w:rPr>
            <w:noProof/>
            <w:webHidden/>
          </w:rPr>
          <w:instrText xml:space="preserve"> PAGEREF _Toc420814523 \h </w:instrText>
        </w:r>
        <w:r>
          <w:rPr>
            <w:noProof/>
            <w:webHidden/>
          </w:rPr>
        </w:r>
        <w:r>
          <w:rPr>
            <w:noProof/>
            <w:webHidden/>
          </w:rPr>
          <w:fldChar w:fldCharType="separate"/>
        </w:r>
        <w:r>
          <w:rPr>
            <w:noProof/>
            <w:webHidden/>
          </w:rPr>
          <w:t>837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4" w:history="1">
        <w:r w:rsidRPr="002F4868">
          <w:rPr>
            <w:rStyle w:val="a5"/>
            <w:noProof/>
          </w:rPr>
          <w:t>Title: Annals of Science</w:t>
        </w:r>
        <w:r>
          <w:rPr>
            <w:noProof/>
            <w:webHidden/>
          </w:rPr>
          <w:tab/>
        </w:r>
        <w:r>
          <w:rPr>
            <w:noProof/>
            <w:webHidden/>
          </w:rPr>
          <w:fldChar w:fldCharType="begin"/>
        </w:r>
        <w:r>
          <w:rPr>
            <w:noProof/>
            <w:webHidden/>
          </w:rPr>
          <w:instrText xml:space="preserve"> PAGEREF _Toc420814524 \h </w:instrText>
        </w:r>
        <w:r>
          <w:rPr>
            <w:noProof/>
            <w:webHidden/>
          </w:rPr>
        </w:r>
        <w:r>
          <w:rPr>
            <w:noProof/>
            <w:webHidden/>
          </w:rPr>
          <w:fldChar w:fldCharType="separate"/>
        </w:r>
        <w:r>
          <w:rPr>
            <w:noProof/>
            <w:webHidden/>
          </w:rPr>
          <w:t>840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5" w:history="1">
        <w:r w:rsidRPr="002F4868">
          <w:rPr>
            <w:rStyle w:val="a5"/>
            <w:noProof/>
          </w:rPr>
          <w:t>Title: Annals of Surgery</w:t>
        </w:r>
        <w:r>
          <w:rPr>
            <w:noProof/>
            <w:webHidden/>
          </w:rPr>
          <w:tab/>
        </w:r>
        <w:r>
          <w:rPr>
            <w:noProof/>
            <w:webHidden/>
          </w:rPr>
          <w:fldChar w:fldCharType="begin"/>
        </w:r>
        <w:r>
          <w:rPr>
            <w:noProof/>
            <w:webHidden/>
          </w:rPr>
          <w:instrText xml:space="preserve"> PAGEREF _Toc420814525 \h </w:instrText>
        </w:r>
        <w:r>
          <w:rPr>
            <w:noProof/>
            <w:webHidden/>
          </w:rPr>
        </w:r>
        <w:r>
          <w:rPr>
            <w:noProof/>
            <w:webHidden/>
          </w:rPr>
          <w:fldChar w:fldCharType="separate"/>
        </w:r>
        <w:r>
          <w:rPr>
            <w:noProof/>
            <w:webHidden/>
          </w:rPr>
          <w:t>841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6" w:history="1">
        <w:r w:rsidRPr="002F4868">
          <w:rPr>
            <w:rStyle w:val="a5"/>
            <w:noProof/>
          </w:rPr>
          <w:t>Title: Annals of Surgical Oncology</w:t>
        </w:r>
        <w:r>
          <w:rPr>
            <w:noProof/>
            <w:webHidden/>
          </w:rPr>
          <w:tab/>
        </w:r>
        <w:r>
          <w:rPr>
            <w:noProof/>
            <w:webHidden/>
          </w:rPr>
          <w:fldChar w:fldCharType="begin"/>
        </w:r>
        <w:r>
          <w:rPr>
            <w:noProof/>
            <w:webHidden/>
          </w:rPr>
          <w:instrText xml:space="preserve"> PAGEREF _Toc420814526 \h </w:instrText>
        </w:r>
        <w:r>
          <w:rPr>
            <w:noProof/>
            <w:webHidden/>
          </w:rPr>
        </w:r>
        <w:r>
          <w:rPr>
            <w:noProof/>
            <w:webHidden/>
          </w:rPr>
          <w:fldChar w:fldCharType="separate"/>
        </w:r>
        <w:r>
          <w:rPr>
            <w:noProof/>
            <w:webHidden/>
          </w:rPr>
          <w:t>854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7" w:history="1">
        <w:r w:rsidRPr="002F4868">
          <w:rPr>
            <w:rStyle w:val="a5"/>
            <w:noProof/>
          </w:rPr>
          <w:t>Title: Annals of Thoracic Surgery</w:t>
        </w:r>
        <w:r>
          <w:rPr>
            <w:noProof/>
            <w:webHidden/>
          </w:rPr>
          <w:tab/>
        </w:r>
        <w:r>
          <w:rPr>
            <w:noProof/>
            <w:webHidden/>
          </w:rPr>
          <w:fldChar w:fldCharType="begin"/>
        </w:r>
        <w:r>
          <w:rPr>
            <w:noProof/>
            <w:webHidden/>
          </w:rPr>
          <w:instrText xml:space="preserve"> PAGEREF _Toc420814527 \h </w:instrText>
        </w:r>
        <w:r>
          <w:rPr>
            <w:noProof/>
            <w:webHidden/>
          </w:rPr>
        </w:r>
        <w:r>
          <w:rPr>
            <w:noProof/>
            <w:webHidden/>
          </w:rPr>
          <w:fldChar w:fldCharType="separate"/>
        </w:r>
        <w:r>
          <w:rPr>
            <w:noProof/>
            <w:webHidden/>
          </w:rPr>
          <w:t>859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8" w:history="1">
        <w:r w:rsidRPr="002F4868">
          <w:rPr>
            <w:rStyle w:val="a5"/>
            <w:noProof/>
          </w:rPr>
          <w:t>Title: Annals of Tourism Research</w:t>
        </w:r>
        <w:r>
          <w:rPr>
            <w:noProof/>
            <w:webHidden/>
          </w:rPr>
          <w:tab/>
        </w:r>
        <w:r>
          <w:rPr>
            <w:noProof/>
            <w:webHidden/>
          </w:rPr>
          <w:fldChar w:fldCharType="begin"/>
        </w:r>
        <w:r>
          <w:rPr>
            <w:noProof/>
            <w:webHidden/>
          </w:rPr>
          <w:instrText xml:space="preserve"> PAGEREF _Toc420814528 \h </w:instrText>
        </w:r>
        <w:r>
          <w:rPr>
            <w:noProof/>
            <w:webHidden/>
          </w:rPr>
        </w:r>
        <w:r>
          <w:rPr>
            <w:noProof/>
            <w:webHidden/>
          </w:rPr>
          <w:fldChar w:fldCharType="separate"/>
        </w:r>
        <w:r>
          <w:rPr>
            <w:noProof/>
            <w:webHidden/>
          </w:rPr>
          <w:t>862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29" w:history="1">
        <w:r w:rsidRPr="002F4868">
          <w:rPr>
            <w:rStyle w:val="a5"/>
            <w:noProof/>
          </w:rPr>
          <w:t>Title: Annals of Transplantation</w:t>
        </w:r>
        <w:r>
          <w:rPr>
            <w:noProof/>
            <w:webHidden/>
          </w:rPr>
          <w:tab/>
        </w:r>
        <w:r>
          <w:rPr>
            <w:noProof/>
            <w:webHidden/>
          </w:rPr>
          <w:fldChar w:fldCharType="begin"/>
        </w:r>
        <w:r>
          <w:rPr>
            <w:noProof/>
            <w:webHidden/>
          </w:rPr>
          <w:instrText xml:space="preserve"> PAGEREF _Toc420814529 \h </w:instrText>
        </w:r>
        <w:r>
          <w:rPr>
            <w:noProof/>
            <w:webHidden/>
          </w:rPr>
        </w:r>
        <w:r>
          <w:rPr>
            <w:noProof/>
            <w:webHidden/>
          </w:rPr>
          <w:fldChar w:fldCharType="separate"/>
        </w:r>
        <w:r>
          <w:rPr>
            <w:noProof/>
            <w:webHidden/>
          </w:rPr>
          <w:t>864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0" w:history="1">
        <w:r w:rsidRPr="002F4868">
          <w:rPr>
            <w:rStyle w:val="a5"/>
            <w:noProof/>
          </w:rPr>
          <w:t>Title: Annals of Tropical Medicine and Parasitology</w:t>
        </w:r>
        <w:r>
          <w:rPr>
            <w:noProof/>
            <w:webHidden/>
          </w:rPr>
          <w:tab/>
        </w:r>
        <w:r>
          <w:rPr>
            <w:noProof/>
            <w:webHidden/>
          </w:rPr>
          <w:fldChar w:fldCharType="begin"/>
        </w:r>
        <w:r>
          <w:rPr>
            <w:noProof/>
            <w:webHidden/>
          </w:rPr>
          <w:instrText xml:space="preserve"> PAGEREF _Toc420814530 \h </w:instrText>
        </w:r>
        <w:r>
          <w:rPr>
            <w:noProof/>
            <w:webHidden/>
          </w:rPr>
        </w:r>
        <w:r>
          <w:rPr>
            <w:noProof/>
            <w:webHidden/>
          </w:rPr>
          <w:fldChar w:fldCharType="separate"/>
        </w:r>
        <w:r>
          <w:rPr>
            <w:noProof/>
            <w:webHidden/>
          </w:rPr>
          <w:t>867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1" w:history="1">
        <w:r w:rsidRPr="002F4868">
          <w:rPr>
            <w:rStyle w:val="a5"/>
            <w:noProof/>
          </w:rPr>
          <w:t>Title: Annals of Vascular Surgery</w:t>
        </w:r>
        <w:r>
          <w:rPr>
            <w:noProof/>
            <w:webHidden/>
          </w:rPr>
          <w:tab/>
        </w:r>
        <w:r>
          <w:rPr>
            <w:noProof/>
            <w:webHidden/>
          </w:rPr>
          <w:fldChar w:fldCharType="begin"/>
        </w:r>
        <w:r>
          <w:rPr>
            <w:noProof/>
            <w:webHidden/>
          </w:rPr>
          <w:instrText xml:space="preserve"> PAGEREF _Toc420814531 \h </w:instrText>
        </w:r>
        <w:r>
          <w:rPr>
            <w:noProof/>
            <w:webHidden/>
          </w:rPr>
        </w:r>
        <w:r>
          <w:rPr>
            <w:noProof/>
            <w:webHidden/>
          </w:rPr>
          <w:fldChar w:fldCharType="separate"/>
        </w:r>
        <w:r>
          <w:rPr>
            <w:noProof/>
            <w:webHidden/>
          </w:rPr>
          <w:t>869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2" w:history="1">
        <w:r w:rsidRPr="002F4868">
          <w:rPr>
            <w:rStyle w:val="a5"/>
            <w:noProof/>
          </w:rPr>
          <w:t>Title: ANNEE Psychologique</w:t>
        </w:r>
        <w:r>
          <w:rPr>
            <w:noProof/>
            <w:webHidden/>
          </w:rPr>
          <w:tab/>
        </w:r>
        <w:r>
          <w:rPr>
            <w:noProof/>
            <w:webHidden/>
          </w:rPr>
          <w:fldChar w:fldCharType="begin"/>
        </w:r>
        <w:r>
          <w:rPr>
            <w:noProof/>
            <w:webHidden/>
          </w:rPr>
          <w:instrText xml:space="preserve"> PAGEREF _Toc420814532 \h </w:instrText>
        </w:r>
        <w:r>
          <w:rPr>
            <w:noProof/>
            <w:webHidden/>
          </w:rPr>
        </w:r>
        <w:r>
          <w:rPr>
            <w:noProof/>
            <w:webHidden/>
          </w:rPr>
          <w:fldChar w:fldCharType="separate"/>
        </w:r>
        <w:r>
          <w:rPr>
            <w:noProof/>
            <w:webHidden/>
          </w:rPr>
          <w:t>873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3" w:history="1">
        <w:r w:rsidRPr="002F4868">
          <w:rPr>
            <w:rStyle w:val="a5"/>
            <w:noProof/>
          </w:rPr>
          <w:t>Title: 2008 41st Annual Hawaii International Conference on System Sciences</w:t>
        </w:r>
        <w:r>
          <w:rPr>
            <w:noProof/>
            <w:webHidden/>
          </w:rPr>
          <w:tab/>
        </w:r>
        <w:r>
          <w:rPr>
            <w:noProof/>
            <w:webHidden/>
          </w:rPr>
          <w:fldChar w:fldCharType="begin"/>
        </w:r>
        <w:r>
          <w:rPr>
            <w:noProof/>
            <w:webHidden/>
          </w:rPr>
          <w:instrText xml:space="preserve"> PAGEREF _Toc420814533 \h </w:instrText>
        </w:r>
        <w:r>
          <w:rPr>
            <w:noProof/>
            <w:webHidden/>
          </w:rPr>
        </w:r>
        <w:r>
          <w:rPr>
            <w:noProof/>
            <w:webHidden/>
          </w:rPr>
          <w:fldChar w:fldCharType="separate"/>
        </w:r>
        <w:r>
          <w:rPr>
            <w:noProof/>
            <w:webHidden/>
          </w:rPr>
          <w:t>874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4" w:history="1">
        <w:r w:rsidRPr="002F4868">
          <w:rPr>
            <w:rStyle w:val="a5"/>
            <w:noProof/>
          </w:rPr>
          <w:t>Title: Annual Review of Information Science and Technology</w:t>
        </w:r>
        <w:r>
          <w:rPr>
            <w:noProof/>
            <w:webHidden/>
          </w:rPr>
          <w:tab/>
        </w:r>
        <w:r>
          <w:rPr>
            <w:noProof/>
            <w:webHidden/>
          </w:rPr>
          <w:fldChar w:fldCharType="begin"/>
        </w:r>
        <w:r>
          <w:rPr>
            <w:noProof/>
            <w:webHidden/>
          </w:rPr>
          <w:instrText xml:space="preserve"> PAGEREF _Toc420814534 \h </w:instrText>
        </w:r>
        <w:r>
          <w:rPr>
            <w:noProof/>
            <w:webHidden/>
          </w:rPr>
        </w:r>
        <w:r>
          <w:rPr>
            <w:noProof/>
            <w:webHidden/>
          </w:rPr>
          <w:fldChar w:fldCharType="separate"/>
        </w:r>
        <w:r>
          <w:rPr>
            <w:noProof/>
            <w:webHidden/>
          </w:rPr>
          <w:t>875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5" w:history="1">
        <w:r w:rsidRPr="002F4868">
          <w:rPr>
            <w:rStyle w:val="a5"/>
            <w:noProof/>
          </w:rPr>
          <w:t>Title: Annual Review of Nursing Research</w:t>
        </w:r>
        <w:r>
          <w:rPr>
            <w:noProof/>
            <w:webHidden/>
          </w:rPr>
          <w:tab/>
        </w:r>
        <w:r>
          <w:rPr>
            <w:noProof/>
            <w:webHidden/>
          </w:rPr>
          <w:fldChar w:fldCharType="begin"/>
        </w:r>
        <w:r>
          <w:rPr>
            <w:noProof/>
            <w:webHidden/>
          </w:rPr>
          <w:instrText xml:space="preserve"> PAGEREF _Toc420814535 \h </w:instrText>
        </w:r>
        <w:r>
          <w:rPr>
            <w:noProof/>
            <w:webHidden/>
          </w:rPr>
        </w:r>
        <w:r>
          <w:rPr>
            <w:noProof/>
            <w:webHidden/>
          </w:rPr>
          <w:fldChar w:fldCharType="separate"/>
        </w:r>
        <w:r>
          <w:rPr>
            <w:noProof/>
            <w:webHidden/>
          </w:rPr>
          <w:t>877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6" w:history="1">
        <w:r w:rsidRPr="002F4868">
          <w:rPr>
            <w:rStyle w:val="a5"/>
            <w:noProof/>
          </w:rPr>
          <w:t>Title: Annual Review of Sociology</w:t>
        </w:r>
        <w:r>
          <w:rPr>
            <w:noProof/>
            <w:webHidden/>
          </w:rPr>
          <w:tab/>
        </w:r>
        <w:r>
          <w:rPr>
            <w:noProof/>
            <w:webHidden/>
          </w:rPr>
          <w:fldChar w:fldCharType="begin"/>
        </w:r>
        <w:r>
          <w:rPr>
            <w:noProof/>
            <w:webHidden/>
          </w:rPr>
          <w:instrText xml:space="preserve"> PAGEREF _Toc420814536 \h </w:instrText>
        </w:r>
        <w:r>
          <w:rPr>
            <w:noProof/>
            <w:webHidden/>
          </w:rPr>
        </w:r>
        <w:r>
          <w:rPr>
            <w:noProof/>
            <w:webHidden/>
          </w:rPr>
          <w:fldChar w:fldCharType="separate"/>
        </w:r>
        <w:r>
          <w:rPr>
            <w:noProof/>
            <w:webHidden/>
          </w:rPr>
          <w:t>879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7" w:history="1">
        <w:r w:rsidRPr="002F4868">
          <w:rPr>
            <w:rStyle w:val="a5"/>
            <w:noProof/>
          </w:rPr>
          <w:t>Title: AMIA Annual Symposium Proceedings</w:t>
        </w:r>
        <w:r>
          <w:rPr>
            <w:noProof/>
            <w:webHidden/>
          </w:rPr>
          <w:tab/>
        </w:r>
        <w:r>
          <w:rPr>
            <w:noProof/>
            <w:webHidden/>
          </w:rPr>
          <w:fldChar w:fldCharType="begin"/>
        </w:r>
        <w:r>
          <w:rPr>
            <w:noProof/>
            <w:webHidden/>
          </w:rPr>
          <w:instrText xml:space="preserve"> PAGEREF _Toc420814537 \h </w:instrText>
        </w:r>
        <w:r>
          <w:rPr>
            <w:noProof/>
            <w:webHidden/>
          </w:rPr>
        </w:r>
        <w:r>
          <w:rPr>
            <w:noProof/>
            <w:webHidden/>
          </w:rPr>
          <w:fldChar w:fldCharType="separate"/>
        </w:r>
        <w:r>
          <w:rPr>
            <w:noProof/>
            <w:webHidden/>
          </w:rPr>
          <w:t>880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8" w:history="1">
        <w:r w:rsidRPr="002F4868">
          <w:rPr>
            <w:rStyle w:val="a5"/>
            <w:noProof/>
          </w:rPr>
          <w:t>Title: Anticancer Research</w:t>
        </w:r>
        <w:r>
          <w:rPr>
            <w:noProof/>
            <w:webHidden/>
          </w:rPr>
          <w:tab/>
        </w:r>
        <w:r>
          <w:rPr>
            <w:noProof/>
            <w:webHidden/>
          </w:rPr>
          <w:fldChar w:fldCharType="begin"/>
        </w:r>
        <w:r>
          <w:rPr>
            <w:noProof/>
            <w:webHidden/>
          </w:rPr>
          <w:instrText xml:space="preserve"> PAGEREF _Toc420814538 \h </w:instrText>
        </w:r>
        <w:r>
          <w:rPr>
            <w:noProof/>
            <w:webHidden/>
          </w:rPr>
        </w:r>
        <w:r>
          <w:rPr>
            <w:noProof/>
            <w:webHidden/>
          </w:rPr>
          <w:fldChar w:fldCharType="separate"/>
        </w:r>
        <w:r>
          <w:rPr>
            <w:noProof/>
            <w:webHidden/>
          </w:rPr>
          <w:t>882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39" w:history="1">
        <w:r w:rsidRPr="002F4868">
          <w:rPr>
            <w:rStyle w:val="a5"/>
            <w:noProof/>
          </w:rPr>
          <w:t>Title: Anti-Cancer Drugs</w:t>
        </w:r>
        <w:r>
          <w:rPr>
            <w:noProof/>
            <w:webHidden/>
          </w:rPr>
          <w:tab/>
        </w:r>
        <w:r>
          <w:rPr>
            <w:noProof/>
            <w:webHidden/>
          </w:rPr>
          <w:fldChar w:fldCharType="begin"/>
        </w:r>
        <w:r>
          <w:rPr>
            <w:noProof/>
            <w:webHidden/>
          </w:rPr>
          <w:instrText xml:space="preserve"> PAGEREF _Toc420814539 \h </w:instrText>
        </w:r>
        <w:r>
          <w:rPr>
            <w:noProof/>
            <w:webHidden/>
          </w:rPr>
        </w:r>
        <w:r>
          <w:rPr>
            <w:noProof/>
            <w:webHidden/>
          </w:rPr>
          <w:fldChar w:fldCharType="separate"/>
        </w:r>
        <w:r>
          <w:rPr>
            <w:noProof/>
            <w:webHidden/>
          </w:rPr>
          <w:t>884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0" w:history="1">
        <w:r w:rsidRPr="002F4868">
          <w:rPr>
            <w:rStyle w:val="a5"/>
            <w:noProof/>
          </w:rPr>
          <w:t>Title: Antimicrobial Agents and Chemotherapy</w:t>
        </w:r>
        <w:r>
          <w:rPr>
            <w:noProof/>
            <w:webHidden/>
          </w:rPr>
          <w:tab/>
        </w:r>
        <w:r>
          <w:rPr>
            <w:noProof/>
            <w:webHidden/>
          </w:rPr>
          <w:fldChar w:fldCharType="begin"/>
        </w:r>
        <w:r>
          <w:rPr>
            <w:noProof/>
            <w:webHidden/>
          </w:rPr>
          <w:instrText xml:space="preserve"> PAGEREF _Toc420814540 \h </w:instrText>
        </w:r>
        <w:r>
          <w:rPr>
            <w:noProof/>
            <w:webHidden/>
          </w:rPr>
        </w:r>
        <w:r>
          <w:rPr>
            <w:noProof/>
            <w:webHidden/>
          </w:rPr>
          <w:fldChar w:fldCharType="separate"/>
        </w:r>
        <w:r>
          <w:rPr>
            <w:noProof/>
            <w:webHidden/>
          </w:rPr>
          <w:t>888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1" w:history="1">
        <w:r w:rsidRPr="002F4868">
          <w:rPr>
            <w:rStyle w:val="a5"/>
            <w:noProof/>
          </w:rPr>
          <w:t>Title: Antioxidants &amp; Redox Signaling</w:t>
        </w:r>
        <w:r>
          <w:rPr>
            <w:noProof/>
            <w:webHidden/>
          </w:rPr>
          <w:tab/>
        </w:r>
        <w:r>
          <w:rPr>
            <w:noProof/>
            <w:webHidden/>
          </w:rPr>
          <w:fldChar w:fldCharType="begin"/>
        </w:r>
        <w:r>
          <w:rPr>
            <w:noProof/>
            <w:webHidden/>
          </w:rPr>
          <w:instrText xml:space="preserve"> PAGEREF _Toc420814541 \h </w:instrText>
        </w:r>
        <w:r>
          <w:rPr>
            <w:noProof/>
            <w:webHidden/>
          </w:rPr>
        </w:r>
        <w:r>
          <w:rPr>
            <w:noProof/>
            <w:webHidden/>
          </w:rPr>
          <w:fldChar w:fldCharType="separate"/>
        </w:r>
        <w:r>
          <w:rPr>
            <w:noProof/>
            <w:webHidden/>
          </w:rPr>
          <w:t>908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2" w:history="1">
        <w:r w:rsidRPr="002F4868">
          <w:rPr>
            <w:rStyle w:val="a5"/>
            <w:noProof/>
          </w:rPr>
          <w:t>Title: Antiviral Research</w:t>
        </w:r>
        <w:r>
          <w:rPr>
            <w:noProof/>
            <w:webHidden/>
          </w:rPr>
          <w:tab/>
        </w:r>
        <w:r>
          <w:rPr>
            <w:noProof/>
            <w:webHidden/>
          </w:rPr>
          <w:fldChar w:fldCharType="begin"/>
        </w:r>
        <w:r>
          <w:rPr>
            <w:noProof/>
            <w:webHidden/>
          </w:rPr>
          <w:instrText xml:space="preserve"> PAGEREF _Toc420814542 \h </w:instrText>
        </w:r>
        <w:r>
          <w:rPr>
            <w:noProof/>
            <w:webHidden/>
          </w:rPr>
        </w:r>
        <w:r>
          <w:rPr>
            <w:noProof/>
            <w:webHidden/>
          </w:rPr>
          <w:fldChar w:fldCharType="separate"/>
        </w:r>
        <w:r>
          <w:rPr>
            <w:noProof/>
            <w:webHidden/>
          </w:rPr>
          <w:t>909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3" w:history="1">
        <w:r w:rsidRPr="002F4868">
          <w:rPr>
            <w:rStyle w:val="a5"/>
            <w:noProof/>
          </w:rPr>
          <w:t>Title: ANZ Journal of Surgery</w:t>
        </w:r>
        <w:r>
          <w:rPr>
            <w:noProof/>
            <w:webHidden/>
          </w:rPr>
          <w:tab/>
        </w:r>
        <w:r>
          <w:rPr>
            <w:noProof/>
            <w:webHidden/>
          </w:rPr>
          <w:fldChar w:fldCharType="begin"/>
        </w:r>
        <w:r>
          <w:rPr>
            <w:noProof/>
            <w:webHidden/>
          </w:rPr>
          <w:instrText xml:space="preserve"> PAGEREF _Toc420814543 \h </w:instrText>
        </w:r>
        <w:r>
          <w:rPr>
            <w:noProof/>
            <w:webHidden/>
          </w:rPr>
        </w:r>
        <w:r>
          <w:rPr>
            <w:noProof/>
            <w:webHidden/>
          </w:rPr>
          <w:fldChar w:fldCharType="separate"/>
        </w:r>
        <w:r>
          <w:rPr>
            <w:noProof/>
            <w:webHidden/>
          </w:rPr>
          <w:t>911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4" w:history="1">
        <w:r w:rsidRPr="002F4868">
          <w:rPr>
            <w:rStyle w:val="a5"/>
            <w:noProof/>
          </w:rPr>
          <w:t>Title: Aphasiology</w:t>
        </w:r>
        <w:r>
          <w:rPr>
            <w:noProof/>
            <w:webHidden/>
          </w:rPr>
          <w:tab/>
        </w:r>
        <w:r>
          <w:rPr>
            <w:noProof/>
            <w:webHidden/>
          </w:rPr>
          <w:fldChar w:fldCharType="begin"/>
        </w:r>
        <w:r>
          <w:rPr>
            <w:noProof/>
            <w:webHidden/>
          </w:rPr>
          <w:instrText xml:space="preserve"> PAGEREF _Toc420814544 \h </w:instrText>
        </w:r>
        <w:r>
          <w:rPr>
            <w:noProof/>
            <w:webHidden/>
          </w:rPr>
        </w:r>
        <w:r>
          <w:rPr>
            <w:noProof/>
            <w:webHidden/>
          </w:rPr>
          <w:fldChar w:fldCharType="separate"/>
        </w:r>
        <w:r>
          <w:rPr>
            <w:noProof/>
            <w:webHidden/>
          </w:rPr>
          <w:t>917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5" w:history="1">
        <w:r w:rsidRPr="002F4868">
          <w:rPr>
            <w:rStyle w:val="a5"/>
            <w:noProof/>
          </w:rPr>
          <w:t>Title: Appetite</w:t>
        </w:r>
        <w:r>
          <w:rPr>
            <w:noProof/>
            <w:webHidden/>
          </w:rPr>
          <w:tab/>
        </w:r>
        <w:r>
          <w:rPr>
            <w:noProof/>
            <w:webHidden/>
          </w:rPr>
          <w:fldChar w:fldCharType="begin"/>
        </w:r>
        <w:r>
          <w:rPr>
            <w:noProof/>
            <w:webHidden/>
          </w:rPr>
          <w:instrText xml:space="preserve"> PAGEREF _Toc420814545 \h </w:instrText>
        </w:r>
        <w:r>
          <w:rPr>
            <w:noProof/>
            <w:webHidden/>
          </w:rPr>
        </w:r>
        <w:r>
          <w:rPr>
            <w:noProof/>
            <w:webHidden/>
          </w:rPr>
          <w:fldChar w:fldCharType="separate"/>
        </w:r>
        <w:r>
          <w:rPr>
            <w:noProof/>
            <w:webHidden/>
          </w:rPr>
          <w:t>919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6" w:history="1">
        <w:r w:rsidRPr="002F4868">
          <w:rPr>
            <w:rStyle w:val="a5"/>
            <w:noProof/>
          </w:rPr>
          <w:t>Title: Application Research of Computers</w:t>
        </w:r>
        <w:r>
          <w:rPr>
            <w:noProof/>
            <w:webHidden/>
          </w:rPr>
          <w:tab/>
        </w:r>
        <w:r>
          <w:rPr>
            <w:noProof/>
            <w:webHidden/>
          </w:rPr>
          <w:fldChar w:fldCharType="begin"/>
        </w:r>
        <w:r>
          <w:rPr>
            <w:noProof/>
            <w:webHidden/>
          </w:rPr>
          <w:instrText xml:space="preserve"> PAGEREF _Toc420814546 \h </w:instrText>
        </w:r>
        <w:r>
          <w:rPr>
            <w:noProof/>
            <w:webHidden/>
          </w:rPr>
        </w:r>
        <w:r>
          <w:rPr>
            <w:noProof/>
            <w:webHidden/>
          </w:rPr>
          <w:fldChar w:fldCharType="separate"/>
        </w:r>
        <w:r>
          <w:rPr>
            <w:noProof/>
            <w:webHidden/>
          </w:rPr>
          <w:t>922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7" w:history="1">
        <w:r w:rsidRPr="002F4868">
          <w:rPr>
            <w:rStyle w:val="a5"/>
            <w:noProof/>
          </w:rPr>
          <w:t>Title: Applied Clinical Informatics</w:t>
        </w:r>
        <w:r>
          <w:rPr>
            <w:noProof/>
            <w:webHidden/>
          </w:rPr>
          <w:tab/>
        </w:r>
        <w:r>
          <w:rPr>
            <w:noProof/>
            <w:webHidden/>
          </w:rPr>
          <w:fldChar w:fldCharType="begin"/>
        </w:r>
        <w:r>
          <w:rPr>
            <w:noProof/>
            <w:webHidden/>
          </w:rPr>
          <w:instrText xml:space="preserve"> PAGEREF _Toc420814547 \h </w:instrText>
        </w:r>
        <w:r>
          <w:rPr>
            <w:noProof/>
            <w:webHidden/>
          </w:rPr>
        </w:r>
        <w:r>
          <w:rPr>
            <w:noProof/>
            <w:webHidden/>
          </w:rPr>
          <w:fldChar w:fldCharType="separate"/>
        </w:r>
        <w:r>
          <w:rPr>
            <w:noProof/>
            <w:webHidden/>
          </w:rPr>
          <w:t>923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8" w:history="1">
        <w:r w:rsidRPr="002F4868">
          <w:rPr>
            <w:rStyle w:val="a5"/>
            <w:noProof/>
          </w:rPr>
          <w:t>Title: Applied Ecology and Environmental Research</w:t>
        </w:r>
        <w:r>
          <w:rPr>
            <w:noProof/>
            <w:webHidden/>
          </w:rPr>
          <w:tab/>
        </w:r>
        <w:r>
          <w:rPr>
            <w:noProof/>
            <w:webHidden/>
          </w:rPr>
          <w:fldChar w:fldCharType="begin"/>
        </w:r>
        <w:r>
          <w:rPr>
            <w:noProof/>
            <w:webHidden/>
          </w:rPr>
          <w:instrText xml:space="preserve"> PAGEREF _Toc420814548 \h </w:instrText>
        </w:r>
        <w:r>
          <w:rPr>
            <w:noProof/>
            <w:webHidden/>
          </w:rPr>
        </w:r>
        <w:r>
          <w:rPr>
            <w:noProof/>
            <w:webHidden/>
          </w:rPr>
          <w:fldChar w:fldCharType="separate"/>
        </w:r>
        <w:r>
          <w:rPr>
            <w:noProof/>
            <w:webHidden/>
          </w:rPr>
          <w:t>925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49" w:history="1">
        <w:r w:rsidRPr="002F4868">
          <w:rPr>
            <w:rStyle w:val="a5"/>
            <w:noProof/>
          </w:rPr>
          <w:t>Title: Applied Economics</w:t>
        </w:r>
        <w:r>
          <w:rPr>
            <w:noProof/>
            <w:webHidden/>
          </w:rPr>
          <w:tab/>
        </w:r>
        <w:r>
          <w:rPr>
            <w:noProof/>
            <w:webHidden/>
          </w:rPr>
          <w:fldChar w:fldCharType="begin"/>
        </w:r>
        <w:r>
          <w:rPr>
            <w:noProof/>
            <w:webHidden/>
          </w:rPr>
          <w:instrText xml:space="preserve"> PAGEREF _Toc420814549 \h </w:instrText>
        </w:r>
        <w:r>
          <w:rPr>
            <w:noProof/>
            <w:webHidden/>
          </w:rPr>
        </w:r>
        <w:r>
          <w:rPr>
            <w:noProof/>
            <w:webHidden/>
          </w:rPr>
          <w:fldChar w:fldCharType="separate"/>
        </w:r>
        <w:r>
          <w:rPr>
            <w:noProof/>
            <w:webHidden/>
          </w:rPr>
          <w:t>927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0" w:history="1">
        <w:r w:rsidRPr="002F4868">
          <w:rPr>
            <w:rStyle w:val="a5"/>
            <w:noProof/>
          </w:rPr>
          <w:t>Title: Applied Economics Letters</w:t>
        </w:r>
        <w:r>
          <w:rPr>
            <w:noProof/>
            <w:webHidden/>
          </w:rPr>
          <w:tab/>
        </w:r>
        <w:r>
          <w:rPr>
            <w:noProof/>
            <w:webHidden/>
          </w:rPr>
          <w:fldChar w:fldCharType="begin"/>
        </w:r>
        <w:r>
          <w:rPr>
            <w:noProof/>
            <w:webHidden/>
          </w:rPr>
          <w:instrText xml:space="preserve"> PAGEREF _Toc420814550 \h </w:instrText>
        </w:r>
        <w:r>
          <w:rPr>
            <w:noProof/>
            <w:webHidden/>
          </w:rPr>
        </w:r>
        <w:r>
          <w:rPr>
            <w:noProof/>
            <w:webHidden/>
          </w:rPr>
          <w:fldChar w:fldCharType="separate"/>
        </w:r>
        <w:r>
          <w:rPr>
            <w:noProof/>
            <w:webHidden/>
          </w:rPr>
          <w:t>930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1" w:history="1">
        <w:r w:rsidRPr="002F4868">
          <w:rPr>
            <w:rStyle w:val="a5"/>
            <w:noProof/>
          </w:rPr>
          <w:t>Title: Applied Energy</w:t>
        </w:r>
        <w:r>
          <w:rPr>
            <w:noProof/>
            <w:webHidden/>
          </w:rPr>
          <w:tab/>
        </w:r>
        <w:r>
          <w:rPr>
            <w:noProof/>
            <w:webHidden/>
          </w:rPr>
          <w:fldChar w:fldCharType="begin"/>
        </w:r>
        <w:r>
          <w:rPr>
            <w:noProof/>
            <w:webHidden/>
          </w:rPr>
          <w:instrText xml:space="preserve"> PAGEREF _Toc420814551 \h </w:instrText>
        </w:r>
        <w:r>
          <w:rPr>
            <w:noProof/>
            <w:webHidden/>
          </w:rPr>
        </w:r>
        <w:r>
          <w:rPr>
            <w:noProof/>
            <w:webHidden/>
          </w:rPr>
          <w:fldChar w:fldCharType="separate"/>
        </w:r>
        <w:r>
          <w:rPr>
            <w:noProof/>
            <w:webHidden/>
          </w:rPr>
          <w:t>932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2" w:history="1">
        <w:r w:rsidRPr="002F4868">
          <w:rPr>
            <w:rStyle w:val="a5"/>
            <w:noProof/>
          </w:rPr>
          <w:t>Title: Applied Linguistics</w:t>
        </w:r>
        <w:r>
          <w:rPr>
            <w:noProof/>
            <w:webHidden/>
          </w:rPr>
          <w:tab/>
        </w:r>
        <w:r>
          <w:rPr>
            <w:noProof/>
            <w:webHidden/>
          </w:rPr>
          <w:fldChar w:fldCharType="begin"/>
        </w:r>
        <w:r>
          <w:rPr>
            <w:noProof/>
            <w:webHidden/>
          </w:rPr>
          <w:instrText xml:space="preserve"> PAGEREF _Toc420814552 \h </w:instrText>
        </w:r>
        <w:r>
          <w:rPr>
            <w:noProof/>
            <w:webHidden/>
          </w:rPr>
        </w:r>
        <w:r>
          <w:rPr>
            <w:noProof/>
            <w:webHidden/>
          </w:rPr>
          <w:fldChar w:fldCharType="separate"/>
        </w:r>
        <w:r>
          <w:rPr>
            <w:noProof/>
            <w:webHidden/>
          </w:rPr>
          <w:t>936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3" w:history="1">
        <w:r w:rsidRPr="002F4868">
          <w:rPr>
            <w:rStyle w:val="a5"/>
            <w:noProof/>
          </w:rPr>
          <w:t>Title: Applied Mathematics &amp; Information Sciences</w:t>
        </w:r>
        <w:r>
          <w:rPr>
            <w:noProof/>
            <w:webHidden/>
          </w:rPr>
          <w:tab/>
        </w:r>
        <w:r>
          <w:rPr>
            <w:noProof/>
            <w:webHidden/>
          </w:rPr>
          <w:fldChar w:fldCharType="begin"/>
        </w:r>
        <w:r>
          <w:rPr>
            <w:noProof/>
            <w:webHidden/>
          </w:rPr>
          <w:instrText xml:space="preserve"> PAGEREF _Toc420814553 \h </w:instrText>
        </w:r>
        <w:r>
          <w:rPr>
            <w:noProof/>
            <w:webHidden/>
          </w:rPr>
        </w:r>
        <w:r>
          <w:rPr>
            <w:noProof/>
            <w:webHidden/>
          </w:rPr>
          <w:fldChar w:fldCharType="separate"/>
        </w:r>
        <w:r>
          <w:rPr>
            <w:noProof/>
            <w:webHidden/>
          </w:rPr>
          <w:t>938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4" w:history="1">
        <w:r w:rsidRPr="002F4868">
          <w:rPr>
            <w:rStyle w:val="a5"/>
            <w:noProof/>
          </w:rPr>
          <w:t>Title: Applied Numerical Mathematics</w:t>
        </w:r>
        <w:r>
          <w:rPr>
            <w:noProof/>
            <w:webHidden/>
          </w:rPr>
          <w:tab/>
        </w:r>
        <w:r>
          <w:rPr>
            <w:noProof/>
            <w:webHidden/>
          </w:rPr>
          <w:fldChar w:fldCharType="begin"/>
        </w:r>
        <w:r>
          <w:rPr>
            <w:noProof/>
            <w:webHidden/>
          </w:rPr>
          <w:instrText xml:space="preserve"> PAGEREF _Toc420814554 \h </w:instrText>
        </w:r>
        <w:r>
          <w:rPr>
            <w:noProof/>
            <w:webHidden/>
          </w:rPr>
        </w:r>
        <w:r>
          <w:rPr>
            <w:noProof/>
            <w:webHidden/>
          </w:rPr>
          <w:fldChar w:fldCharType="separate"/>
        </w:r>
        <w:r>
          <w:rPr>
            <w:noProof/>
            <w:webHidden/>
          </w:rPr>
          <w:t>939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5" w:history="1">
        <w:r w:rsidRPr="002F4868">
          <w:rPr>
            <w:rStyle w:val="a5"/>
            <w:noProof/>
          </w:rPr>
          <w:t>Title: Applied Nursing Research</w:t>
        </w:r>
        <w:r>
          <w:rPr>
            <w:noProof/>
            <w:webHidden/>
          </w:rPr>
          <w:tab/>
        </w:r>
        <w:r>
          <w:rPr>
            <w:noProof/>
            <w:webHidden/>
          </w:rPr>
          <w:fldChar w:fldCharType="begin"/>
        </w:r>
        <w:r>
          <w:rPr>
            <w:noProof/>
            <w:webHidden/>
          </w:rPr>
          <w:instrText xml:space="preserve"> PAGEREF _Toc420814555 \h </w:instrText>
        </w:r>
        <w:r>
          <w:rPr>
            <w:noProof/>
            <w:webHidden/>
          </w:rPr>
        </w:r>
        <w:r>
          <w:rPr>
            <w:noProof/>
            <w:webHidden/>
          </w:rPr>
          <w:fldChar w:fldCharType="separate"/>
        </w:r>
        <w:r>
          <w:rPr>
            <w:noProof/>
            <w:webHidden/>
          </w:rPr>
          <w:t>940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6" w:history="1">
        <w:r w:rsidRPr="002F4868">
          <w:rPr>
            <w:rStyle w:val="a5"/>
            <w:noProof/>
          </w:rPr>
          <w:t>Title: Applied Occupational and Environmental Hygiene</w:t>
        </w:r>
        <w:r>
          <w:rPr>
            <w:noProof/>
            <w:webHidden/>
          </w:rPr>
          <w:tab/>
        </w:r>
        <w:r>
          <w:rPr>
            <w:noProof/>
            <w:webHidden/>
          </w:rPr>
          <w:fldChar w:fldCharType="begin"/>
        </w:r>
        <w:r>
          <w:rPr>
            <w:noProof/>
            <w:webHidden/>
          </w:rPr>
          <w:instrText xml:space="preserve"> PAGEREF _Toc420814556 \h </w:instrText>
        </w:r>
        <w:r>
          <w:rPr>
            <w:noProof/>
            <w:webHidden/>
          </w:rPr>
        </w:r>
        <w:r>
          <w:rPr>
            <w:noProof/>
            <w:webHidden/>
          </w:rPr>
          <w:fldChar w:fldCharType="separate"/>
        </w:r>
        <w:r>
          <w:rPr>
            <w:noProof/>
            <w:webHidden/>
          </w:rPr>
          <w:t>941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7" w:history="1">
        <w:r w:rsidRPr="002F4868">
          <w:rPr>
            <w:rStyle w:val="a5"/>
            <w:noProof/>
          </w:rPr>
          <w:t>Title: Applied Soft Computing</w:t>
        </w:r>
        <w:r>
          <w:rPr>
            <w:noProof/>
            <w:webHidden/>
          </w:rPr>
          <w:tab/>
        </w:r>
        <w:r>
          <w:rPr>
            <w:noProof/>
            <w:webHidden/>
          </w:rPr>
          <w:fldChar w:fldCharType="begin"/>
        </w:r>
        <w:r>
          <w:rPr>
            <w:noProof/>
            <w:webHidden/>
          </w:rPr>
          <w:instrText xml:space="preserve"> PAGEREF _Toc420814557 \h </w:instrText>
        </w:r>
        <w:r>
          <w:rPr>
            <w:noProof/>
            <w:webHidden/>
          </w:rPr>
        </w:r>
        <w:r>
          <w:rPr>
            <w:noProof/>
            <w:webHidden/>
          </w:rPr>
          <w:fldChar w:fldCharType="separate"/>
        </w:r>
        <w:r>
          <w:rPr>
            <w:noProof/>
            <w:webHidden/>
          </w:rPr>
          <w:t>943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8" w:history="1">
        <w:r w:rsidRPr="002F4868">
          <w:rPr>
            <w:rStyle w:val="a5"/>
            <w:noProof/>
          </w:rPr>
          <w:t>Title: Applied Statistics</w:t>
        </w:r>
        <w:r>
          <w:rPr>
            <w:noProof/>
            <w:webHidden/>
          </w:rPr>
          <w:tab/>
        </w:r>
        <w:r>
          <w:rPr>
            <w:noProof/>
            <w:webHidden/>
          </w:rPr>
          <w:fldChar w:fldCharType="begin"/>
        </w:r>
        <w:r>
          <w:rPr>
            <w:noProof/>
            <w:webHidden/>
          </w:rPr>
          <w:instrText xml:space="preserve"> PAGEREF _Toc420814558 \h </w:instrText>
        </w:r>
        <w:r>
          <w:rPr>
            <w:noProof/>
            <w:webHidden/>
          </w:rPr>
        </w:r>
        <w:r>
          <w:rPr>
            <w:noProof/>
            <w:webHidden/>
          </w:rPr>
          <w:fldChar w:fldCharType="separate"/>
        </w:r>
        <w:r>
          <w:rPr>
            <w:noProof/>
            <w:webHidden/>
          </w:rPr>
          <w:t>945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59" w:history="1">
        <w:r w:rsidRPr="002F4868">
          <w:rPr>
            <w:rStyle w:val="a5"/>
            <w:noProof/>
          </w:rPr>
          <w:t>Title: Aquatic Invasions</w:t>
        </w:r>
        <w:r>
          <w:rPr>
            <w:noProof/>
            <w:webHidden/>
          </w:rPr>
          <w:tab/>
        </w:r>
        <w:r>
          <w:rPr>
            <w:noProof/>
            <w:webHidden/>
          </w:rPr>
          <w:fldChar w:fldCharType="begin"/>
        </w:r>
        <w:r>
          <w:rPr>
            <w:noProof/>
            <w:webHidden/>
          </w:rPr>
          <w:instrText xml:space="preserve"> PAGEREF _Toc420814559 \h </w:instrText>
        </w:r>
        <w:r>
          <w:rPr>
            <w:noProof/>
            <w:webHidden/>
          </w:rPr>
        </w:r>
        <w:r>
          <w:rPr>
            <w:noProof/>
            <w:webHidden/>
          </w:rPr>
          <w:fldChar w:fldCharType="separate"/>
        </w:r>
        <w:r>
          <w:rPr>
            <w:noProof/>
            <w:webHidden/>
          </w:rPr>
          <w:t>946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0" w:history="1">
        <w:r w:rsidRPr="002F4868">
          <w:rPr>
            <w:rStyle w:val="a5"/>
            <w:noProof/>
          </w:rPr>
          <w:t>Title: Aquichan</w:t>
        </w:r>
        <w:r>
          <w:rPr>
            <w:noProof/>
            <w:webHidden/>
          </w:rPr>
          <w:tab/>
        </w:r>
        <w:r>
          <w:rPr>
            <w:noProof/>
            <w:webHidden/>
          </w:rPr>
          <w:fldChar w:fldCharType="begin"/>
        </w:r>
        <w:r>
          <w:rPr>
            <w:noProof/>
            <w:webHidden/>
          </w:rPr>
          <w:instrText xml:space="preserve"> PAGEREF _Toc420814560 \h </w:instrText>
        </w:r>
        <w:r>
          <w:rPr>
            <w:noProof/>
            <w:webHidden/>
          </w:rPr>
        </w:r>
        <w:r>
          <w:rPr>
            <w:noProof/>
            <w:webHidden/>
          </w:rPr>
          <w:fldChar w:fldCharType="separate"/>
        </w:r>
        <w:r>
          <w:rPr>
            <w:noProof/>
            <w:webHidden/>
          </w:rPr>
          <w:t>948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1" w:history="1">
        <w:r w:rsidRPr="002F4868">
          <w:rPr>
            <w:rStyle w:val="a5"/>
            <w:noProof/>
          </w:rPr>
          <w:t>Title: Arbor-Ciencia Pensamiento y Cultura</w:t>
        </w:r>
        <w:r>
          <w:rPr>
            <w:noProof/>
            <w:webHidden/>
          </w:rPr>
          <w:tab/>
        </w:r>
        <w:r>
          <w:rPr>
            <w:noProof/>
            <w:webHidden/>
          </w:rPr>
          <w:fldChar w:fldCharType="begin"/>
        </w:r>
        <w:r>
          <w:rPr>
            <w:noProof/>
            <w:webHidden/>
          </w:rPr>
          <w:instrText xml:space="preserve"> PAGEREF _Toc420814561 \h </w:instrText>
        </w:r>
        <w:r>
          <w:rPr>
            <w:noProof/>
            <w:webHidden/>
          </w:rPr>
        </w:r>
        <w:r>
          <w:rPr>
            <w:noProof/>
            <w:webHidden/>
          </w:rPr>
          <w:fldChar w:fldCharType="separate"/>
        </w:r>
        <w:r>
          <w:rPr>
            <w:noProof/>
            <w:webHidden/>
          </w:rPr>
          <w:t>951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2" w:history="1">
        <w:r w:rsidRPr="002F4868">
          <w:rPr>
            <w:rStyle w:val="a5"/>
            <w:noProof/>
          </w:rPr>
          <w:t>Title: Archaeofauna</w:t>
        </w:r>
        <w:r>
          <w:rPr>
            <w:noProof/>
            <w:webHidden/>
          </w:rPr>
          <w:tab/>
        </w:r>
        <w:r>
          <w:rPr>
            <w:noProof/>
            <w:webHidden/>
          </w:rPr>
          <w:fldChar w:fldCharType="begin"/>
        </w:r>
        <w:r>
          <w:rPr>
            <w:noProof/>
            <w:webHidden/>
          </w:rPr>
          <w:instrText xml:space="preserve"> PAGEREF _Toc420814562 \h </w:instrText>
        </w:r>
        <w:r>
          <w:rPr>
            <w:noProof/>
            <w:webHidden/>
          </w:rPr>
        </w:r>
        <w:r>
          <w:rPr>
            <w:noProof/>
            <w:webHidden/>
          </w:rPr>
          <w:fldChar w:fldCharType="separate"/>
        </w:r>
        <w:r>
          <w:rPr>
            <w:noProof/>
            <w:webHidden/>
          </w:rPr>
          <w:t>953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3" w:history="1">
        <w:r w:rsidRPr="002F4868">
          <w:rPr>
            <w:rStyle w:val="a5"/>
            <w:noProof/>
          </w:rPr>
          <w:t>Title: Archaeologies-Journal of the World Archaeological Congress</w:t>
        </w:r>
        <w:r>
          <w:rPr>
            <w:noProof/>
            <w:webHidden/>
          </w:rPr>
          <w:tab/>
        </w:r>
        <w:r>
          <w:rPr>
            <w:noProof/>
            <w:webHidden/>
          </w:rPr>
          <w:fldChar w:fldCharType="begin"/>
        </w:r>
        <w:r>
          <w:rPr>
            <w:noProof/>
            <w:webHidden/>
          </w:rPr>
          <w:instrText xml:space="preserve"> PAGEREF _Toc420814563 \h </w:instrText>
        </w:r>
        <w:r>
          <w:rPr>
            <w:noProof/>
            <w:webHidden/>
          </w:rPr>
        </w:r>
        <w:r>
          <w:rPr>
            <w:noProof/>
            <w:webHidden/>
          </w:rPr>
          <w:fldChar w:fldCharType="separate"/>
        </w:r>
        <w:r>
          <w:rPr>
            <w:noProof/>
            <w:webHidden/>
          </w:rPr>
          <w:t>955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4" w:history="1">
        <w:r w:rsidRPr="002F4868">
          <w:rPr>
            <w:rStyle w:val="a5"/>
            <w:noProof/>
          </w:rPr>
          <w:t>Title: Archives of Andrology</w:t>
        </w:r>
        <w:r>
          <w:rPr>
            <w:noProof/>
            <w:webHidden/>
          </w:rPr>
          <w:tab/>
        </w:r>
        <w:r>
          <w:rPr>
            <w:noProof/>
            <w:webHidden/>
          </w:rPr>
          <w:fldChar w:fldCharType="begin"/>
        </w:r>
        <w:r>
          <w:rPr>
            <w:noProof/>
            <w:webHidden/>
          </w:rPr>
          <w:instrText xml:space="preserve"> PAGEREF _Toc420814564 \h </w:instrText>
        </w:r>
        <w:r>
          <w:rPr>
            <w:noProof/>
            <w:webHidden/>
          </w:rPr>
        </w:r>
        <w:r>
          <w:rPr>
            <w:noProof/>
            <w:webHidden/>
          </w:rPr>
          <w:fldChar w:fldCharType="separate"/>
        </w:r>
        <w:r>
          <w:rPr>
            <w:noProof/>
            <w:webHidden/>
          </w:rPr>
          <w:t>956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5" w:history="1">
        <w:r w:rsidRPr="002F4868">
          <w:rPr>
            <w:rStyle w:val="a5"/>
            <w:noProof/>
          </w:rPr>
          <w:t>Title: Archives of Budo</w:t>
        </w:r>
        <w:r>
          <w:rPr>
            <w:noProof/>
            <w:webHidden/>
          </w:rPr>
          <w:tab/>
        </w:r>
        <w:r>
          <w:rPr>
            <w:noProof/>
            <w:webHidden/>
          </w:rPr>
          <w:fldChar w:fldCharType="begin"/>
        </w:r>
        <w:r>
          <w:rPr>
            <w:noProof/>
            <w:webHidden/>
          </w:rPr>
          <w:instrText xml:space="preserve"> PAGEREF _Toc420814565 \h </w:instrText>
        </w:r>
        <w:r>
          <w:rPr>
            <w:noProof/>
            <w:webHidden/>
          </w:rPr>
        </w:r>
        <w:r>
          <w:rPr>
            <w:noProof/>
            <w:webHidden/>
          </w:rPr>
          <w:fldChar w:fldCharType="separate"/>
        </w:r>
        <w:r>
          <w:rPr>
            <w:noProof/>
            <w:webHidden/>
          </w:rPr>
          <w:t>958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6" w:history="1">
        <w:r w:rsidRPr="002F4868">
          <w:rPr>
            <w:rStyle w:val="a5"/>
            <w:noProof/>
          </w:rPr>
          <w:t>Title: Archives of Civil and Mechanical Engineering</w:t>
        </w:r>
        <w:r>
          <w:rPr>
            <w:noProof/>
            <w:webHidden/>
          </w:rPr>
          <w:tab/>
        </w:r>
        <w:r>
          <w:rPr>
            <w:noProof/>
            <w:webHidden/>
          </w:rPr>
          <w:fldChar w:fldCharType="begin"/>
        </w:r>
        <w:r>
          <w:rPr>
            <w:noProof/>
            <w:webHidden/>
          </w:rPr>
          <w:instrText xml:space="preserve"> PAGEREF _Toc420814566 \h </w:instrText>
        </w:r>
        <w:r>
          <w:rPr>
            <w:noProof/>
            <w:webHidden/>
          </w:rPr>
        </w:r>
        <w:r>
          <w:rPr>
            <w:noProof/>
            <w:webHidden/>
          </w:rPr>
          <w:fldChar w:fldCharType="separate"/>
        </w:r>
        <w:r>
          <w:rPr>
            <w:noProof/>
            <w:webHidden/>
          </w:rPr>
          <w:t>966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7" w:history="1">
        <w:r w:rsidRPr="002F4868">
          <w:rPr>
            <w:rStyle w:val="a5"/>
            <w:noProof/>
          </w:rPr>
          <w:t>Title: Archives of Dermatology</w:t>
        </w:r>
        <w:r>
          <w:rPr>
            <w:noProof/>
            <w:webHidden/>
          </w:rPr>
          <w:tab/>
        </w:r>
        <w:r>
          <w:rPr>
            <w:noProof/>
            <w:webHidden/>
          </w:rPr>
          <w:fldChar w:fldCharType="begin"/>
        </w:r>
        <w:r>
          <w:rPr>
            <w:noProof/>
            <w:webHidden/>
          </w:rPr>
          <w:instrText xml:space="preserve"> PAGEREF _Toc420814567 \h </w:instrText>
        </w:r>
        <w:r>
          <w:rPr>
            <w:noProof/>
            <w:webHidden/>
          </w:rPr>
        </w:r>
        <w:r>
          <w:rPr>
            <w:noProof/>
            <w:webHidden/>
          </w:rPr>
          <w:fldChar w:fldCharType="separate"/>
        </w:r>
        <w:r>
          <w:rPr>
            <w:noProof/>
            <w:webHidden/>
          </w:rPr>
          <w:t>968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8" w:history="1">
        <w:r w:rsidRPr="002F4868">
          <w:rPr>
            <w:rStyle w:val="a5"/>
            <w:noProof/>
          </w:rPr>
          <w:t>Title: Archives of Disease in Childhood</w:t>
        </w:r>
        <w:r>
          <w:rPr>
            <w:noProof/>
            <w:webHidden/>
          </w:rPr>
          <w:tab/>
        </w:r>
        <w:r>
          <w:rPr>
            <w:noProof/>
            <w:webHidden/>
          </w:rPr>
          <w:fldChar w:fldCharType="begin"/>
        </w:r>
        <w:r>
          <w:rPr>
            <w:noProof/>
            <w:webHidden/>
          </w:rPr>
          <w:instrText xml:space="preserve"> PAGEREF _Toc420814568 \h </w:instrText>
        </w:r>
        <w:r>
          <w:rPr>
            <w:noProof/>
            <w:webHidden/>
          </w:rPr>
        </w:r>
        <w:r>
          <w:rPr>
            <w:noProof/>
            <w:webHidden/>
          </w:rPr>
          <w:fldChar w:fldCharType="separate"/>
        </w:r>
        <w:r>
          <w:rPr>
            <w:noProof/>
            <w:webHidden/>
          </w:rPr>
          <w:t>974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69" w:history="1">
        <w:r w:rsidRPr="002F4868">
          <w:rPr>
            <w:rStyle w:val="a5"/>
            <w:noProof/>
          </w:rPr>
          <w:t>Title: Archives of Disease in Childhood-Fetal and Neonatal Edition</w:t>
        </w:r>
        <w:r>
          <w:rPr>
            <w:noProof/>
            <w:webHidden/>
          </w:rPr>
          <w:tab/>
        </w:r>
        <w:r>
          <w:rPr>
            <w:noProof/>
            <w:webHidden/>
          </w:rPr>
          <w:fldChar w:fldCharType="begin"/>
        </w:r>
        <w:r>
          <w:rPr>
            <w:noProof/>
            <w:webHidden/>
          </w:rPr>
          <w:instrText xml:space="preserve"> PAGEREF _Toc420814569 \h </w:instrText>
        </w:r>
        <w:r>
          <w:rPr>
            <w:noProof/>
            <w:webHidden/>
          </w:rPr>
        </w:r>
        <w:r>
          <w:rPr>
            <w:noProof/>
            <w:webHidden/>
          </w:rPr>
          <w:fldChar w:fldCharType="separate"/>
        </w:r>
        <w:r>
          <w:rPr>
            <w:noProof/>
            <w:webHidden/>
          </w:rPr>
          <w:t>979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0" w:history="1">
        <w:r w:rsidRPr="002F4868">
          <w:rPr>
            <w:rStyle w:val="a5"/>
            <w:noProof/>
          </w:rPr>
          <w:t>Title: Archives of Environmental &amp; Occupational Health</w:t>
        </w:r>
        <w:r>
          <w:rPr>
            <w:noProof/>
            <w:webHidden/>
          </w:rPr>
          <w:tab/>
        </w:r>
        <w:r>
          <w:rPr>
            <w:noProof/>
            <w:webHidden/>
          </w:rPr>
          <w:fldChar w:fldCharType="begin"/>
        </w:r>
        <w:r>
          <w:rPr>
            <w:noProof/>
            <w:webHidden/>
          </w:rPr>
          <w:instrText xml:space="preserve"> PAGEREF _Toc420814570 \h </w:instrText>
        </w:r>
        <w:r>
          <w:rPr>
            <w:noProof/>
            <w:webHidden/>
          </w:rPr>
        </w:r>
        <w:r>
          <w:rPr>
            <w:noProof/>
            <w:webHidden/>
          </w:rPr>
          <w:fldChar w:fldCharType="separate"/>
        </w:r>
        <w:r>
          <w:rPr>
            <w:noProof/>
            <w:webHidden/>
          </w:rPr>
          <w:t>982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1" w:history="1">
        <w:r w:rsidRPr="002F4868">
          <w:rPr>
            <w:rStyle w:val="a5"/>
            <w:noProof/>
          </w:rPr>
          <w:t>Title: Archives of Environmental Science</w:t>
        </w:r>
        <w:r>
          <w:rPr>
            <w:noProof/>
            <w:webHidden/>
          </w:rPr>
          <w:tab/>
        </w:r>
        <w:r>
          <w:rPr>
            <w:noProof/>
            <w:webHidden/>
          </w:rPr>
          <w:fldChar w:fldCharType="begin"/>
        </w:r>
        <w:r>
          <w:rPr>
            <w:noProof/>
            <w:webHidden/>
          </w:rPr>
          <w:instrText xml:space="preserve"> PAGEREF _Toc420814571 \h </w:instrText>
        </w:r>
        <w:r>
          <w:rPr>
            <w:noProof/>
            <w:webHidden/>
          </w:rPr>
        </w:r>
        <w:r>
          <w:rPr>
            <w:noProof/>
            <w:webHidden/>
          </w:rPr>
          <w:fldChar w:fldCharType="separate"/>
        </w:r>
        <w:r>
          <w:rPr>
            <w:noProof/>
            <w:webHidden/>
          </w:rPr>
          <w:t>986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2" w:history="1">
        <w:r w:rsidRPr="002F4868">
          <w:rPr>
            <w:rStyle w:val="a5"/>
            <w:noProof/>
          </w:rPr>
          <w:t>Title: Archives Europeennes de Sociologie</w:t>
        </w:r>
        <w:r>
          <w:rPr>
            <w:noProof/>
            <w:webHidden/>
          </w:rPr>
          <w:tab/>
        </w:r>
        <w:r>
          <w:rPr>
            <w:noProof/>
            <w:webHidden/>
          </w:rPr>
          <w:fldChar w:fldCharType="begin"/>
        </w:r>
        <w:r>
          <w:rPr>
            <w:noProof/>
            <w:webHidden/>
          </w:rPr>
          <w:instrText xml:space="preserve"> PAGEREF _Toc420814572 \h </w:instrText>
        </w:r>
        <w:r>
          <w:rPr>
            <w:noProof/>
            <w:webHidden/>
          </w:rPr>
        </w:r>
        <w:r>
          <w:rPr>
            <w:noProof/>
            <w:webHidden/>
          </w:rPr>
          <w:fldChar w:fldCharType="separate"/>
        </w:r>
        <w:r>
          <w:rPr>
            <w:noProof/>
            <w:webHidden/>
          </w:rPr>
          <w:t>989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3" w:history="1">
        <w:r w:rsidRPr="002F4868">
          <w:rPr>
            <w:rStyle w:val="a5"/>
            <w:noProof/>
          </w:rPr>
          <w:t>Title: Archives of General Psychiatry</w:t>
        </w:r>
        <w:r>
          <w:rPr>
            <w:noProof/>
            <w:webHidden/>
          </w:rPr>
          <w:tab/>
        </w:r>
        <w:r>
          <w:rPr>
            <w:noProof/>
            <w:webHidden/>
          </w:rPr>
          <w:fldChar w:fldCharType="begin"/>
        </w:r>
        <w:r>
          <w:rPr>
            <w:noProof/>
            <w:webHidden/>
          </w:rPr>
          <w:instrText xml:space="preserve"> PAGEREF _Toc420814573 \h </w:instrText>
        </w:r>
        <w:r>
          <w:rPr>
            <w:noProof/>
            <w:webHidden/>
          </w:rPr>
        </w:r>
        <w:r>
          <w:rPr>
            <w:noProof/>
            <w:webHidden/>
          </w:rPr>
          <w:fldChar w:fldCharType="separate"/>
        </w:r>
        <w:r>
          <w:rPr>
            <w:noProof/>
            <w:webHidden/>
          </w:rPr>
          <w:t>991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4" w:history="1">
        <w:r w:rsidRPr="002F4868">
          <w:rPr>
            <w:rStyle w:val="a5"/>
            <w:noProof/>
          </w:rPr>
          <w:t>Title: Archives of Gerontology and Geriatrics</w:t>
        </w:r>
        <w:r>
          <w:rPr>
            <w:noProof/>
            <w:webHidden/>
          </w:rPr>
          <w:tab/>
        </w:r>
        <w:r>
          <w:rPr>
            <w:noProof/>
            <w:webHidden/>
          </w:rPr>
          <w:fldChar w:fldCharType="begin"/>
        </w:r>
        <w:r>
          <w:rPr>
            <w:noProof/>
            <w:webHidden/>
          </w:rPr>
          <w:instrText xml:space="preserve"> PAGEREF _Toc420814574 \h </w:instrText>
        </w:r>
        <w:r>
          <w:rPr>
            <w:noProof/>
            <w:webHidden/>
          </w:rPr>
        </w:r>
        <w:r>
          <w:rPr>
            <w:noProof/>
            <w:webHidden/>
          </w:rPr>
          <w:fldChar w:fldCharType="separate"/>
        </w:r>
        <w:r>
          <w:rPr>
            <w:noProof/>
            <w:webHidden/>
          </w:rPr>
          <w:t>994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5" w:history="1">
        <w:r w:rsidRPr="002F4868">
          <w:rPr>
            <w:rStyle w:val="a5"/>
            <w:noProof/>
          </w:rPr>
          <w:t>Title: Archives of Gynecology and Obstetrics</w:t>
        </w:r>
        <w:r>
          <w:rPr>
            <w:noProof/>
            <w:webHidden/>
          </w:rPr>
          <w:tab/>
        </w:r>
        <w:r>
          <w:rPr>
            <w:noProof/>
            <w:webHidden/>
          </w:rPr>
          <w:fldChar w:fldCharType="begin"/>
        </w:r>
        <w:r>
          <w:rPr>
            <w:noProof/>
            <w:webHidden/>
          </w:rPr>
          <w:instrText xml:space="preserve"> PAGEREF _Toc420814575 \h </w:instrText>
        </w:r>
        <w:r>
          <w:rPr>
            <w:noProof/>
            <w:webHidden/>
          </w:rPr>
        </w:r>
        <w:r>
          <w:rPr>
            <w:noProof/>
            <w:webHidden/>
          </w:rPr>
          <w:fldChar w:fldCharType="separate"/>
        </w:r>
        <w:r>
          <w:rPr>
            <w:noProof/>
            <w:webHidden/>
          </w:rPr>
          <w:t>997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6" w:history="1">
        <w:r w:rsidRPr="002F4868">
          <w:rPr>
            <w:rStyle w:val="a5"/>
            <w:noProof/>
          </w:rPr>
          <w:t>Title: Archives of History of Exact Sciences</w:t>
        </w:r>
        <w:r>
          <w:rPr>
            <w:noProof/>
            <w:webHidden/>
          </w:rPr>
          <w:tab/>
        </w:r>
        <w:r>
          <w:rPr>
            <w:noProof/>
            <w:webHidden/>
          </w:rPr>
          <w:fldChar w:fldCharType="begin"/>
        </w:r>
        <w:r>
          <w:rPr>
            <w:noProof/>
            <w:webHidden/>
          </w:rPr>
          <w:instrText xml:space="preserve"> PAGEREF _Toc420814576 \h </w:instrText>
        </w:r>
        <w:r>
          <w:rPr>
            <w:noProof/>
            <w:webHidden/>
          </w:rPr>
        </w:r>
        <w:r>
          <w:rPr>
            <w:noProof/>
            <w:webHidden/>
          </w:rPr>
          <w:fldChar w:fldCharType="separate"/>
        </w:r>
        <w:r>
          <w:rPr>
            <w:noProof/>
            <w:webHidden/>
          </w:rPr>
          <w:t>1005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7" w:history="1">
        <w:r w:rsidRPr="002F4868">
          <w:rPr>
            <w:rStyle w:val="a5"/>
            <w:noProof/>
          </w:rPr>
          <w:t>Title: Archives of Internal Medicine</w:t>
        </w:r>
        <w:r>
          <w:rPr>
            <w:noProof/>
            <w:webHidden/>
          </w:rPr>
          <w:tab/>
        </w:r>
        <w:r>
          <w:rPr>
            <w:noProof/>
            <w:webHidden/>
          </w:rPr>
          <w:fldChar w:fldCharType="begin"/>
        </w:r>
        <w:r>
          <w:rPr>
            <w:noProof/>
            <w:webHidden/>
          </w:rPr>
          <w:instrText xml:space="preserve"> PAGEREF _Toc420814577 \h </w:instrText>
        </w:r>
        <w:r>
          <w:rPr>
            <w:noProof/>
            <w:webHidden/>
          </w:rPr>
        </w:r>
        <w:r>
          <w:rPr>
            <w:noProof/>
            <w:webHidden/>
          </w:rPr>
          <w:fldChar w:fldCharType="separate"/>
        </w:r>
        <w:r>
          <w:rPr>
            <w:noProof/>
            <w:webHidden/>
          </w:rPr>
          <w:t>1006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8" w:history="1">
        <w:r w:rsidRPr="002F4868">
          <w:rPr>
            <w:rStyle w:val="a5"/>
            <w:noProof/>
          </w:rPr>
          <w:t>Title: Archives of Iranian Medicine</w:t>
        </w:r>
        <w:r>
          <w:rPr>
            <w:noProof/>
            <w:webHidden/>
          </w:rPr>
          <w:tab/>
        </w:r>
        <w:r>
          <w:rPr>
            <w:noProof/>
            <w:webHidden/>
          </w:rPr>
          <w:fldChar w:fldCharType="begin"/>
        </w:r>
        <w:r>
          <w:rPr>
            <w:noProof/>
            <w:webHidden/>
          </w:rPr>
          <w:instrText xml:space="preserve"> PAGEREF _Toc420814578 \h </w:instrText>
        </w:r>
        <w:r>
          <w:rPr>
            <w:noProof/>
            <w:webHidden/>
          </w:rPr>
        </w:r>
        <w:r>
          <w:rPr>
            <w:noProof/>
            <w:webHidden/>
          </w:rPr>
          <w:fldChar w:fldCharType="separate"/>
        </w:r>
        <w:r>
          <w:rPr>
            <w:noProof/>
            <w:webHidden/>
          </w:rPr>
          <w:t>1019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79" w:history="1">
        <w:r w:rsidRPr="002F4868">
          <w:rPr>
            <w:rStyle w:val="a5"/>
            <w:noProof/>
            <w:lang w:val="fr-FR"/>
          </w:rPr>
          <w:t>Title: Archives des Maladies Professionnelles de Medecine du Travail et de Securite Sociale</w:t>
        </w:r>
        <w:r>
          <w:rPr>
            <w:noProof/>
            <w:webHidden/>
          </w:rPr>
          <w:tab/>
        </w:r>
        <w:r>
          <w:rPr>
            <w:noProof/>
            <w:webHidden/>
          </w:rPr>
          <w:fldChar w:fldCharType="begin"/>
        </w:r>
        <w:r>
          <w:rPr>
            <w:noProof/>
            <w:webHidden/>
          </w:rPr>
          <w:instrText xml:space="preserve"> PAGEREF _Toc420814579 \h </w:instrText>
        </w:r>
        <w:r>
          <w:rPr>
            <w:noProof/>
            <w:webHidden/>
          </w:rPr>
        </w:r>
        <w:r>
          <w:rPr>
            <w:noProof/>
            <w:webHidden/>
          </w:rPr>
          <w:fldChar w:fldCharType="separate"/>
        </w:r>
        <w:r>
          <w:rPr>
            <w:noProof/>
            <w:webHidden/>
          </w:rPr>
          <w:t>1025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0" w:history="1">
        <w:r w:rsidRPr="002F4868">
          <w:rPr>
            <w:rStyle w:val="a5"/>
            <w:noProof/>
          </w:rPr>
          <w:t>Title: Archives of Medical Research</w:t>
        </w:r>
        <w:r>
          <w:rPr>
            <w:noProof/>
            <w:webHidden/>
          </w:rPr>
          <w:tab/>
        </w:r>
        <w:r>
          <w:rPr>
            <w:noProof/>
            <w:webHidden/>
          </w:rPr>
          <w:fldChar w:fldCharType="begin"/>
        </w:r>
        <w:r>
          <w:rPr>
            <w:noProof/>
            <w:webHidden/>
          </w:rPr>
          <w:instrText xml:space="preserve"> PAGEREF _Toc420814580 \h </w:instrText>
        </w:r>
        <w:r>
          <w:rPr>
            <w:noProof/>
            <w:webHidden/>
          </w:rPr>
        </w:r>
        <w:r>
          <w:rPr>
            <w:noProof/>
            <w:webHidden/>
          </w:rPr>
          <w:fldChar w:fldCharType="separate"/>
        </w:r>
        <w:r>
          <w:rPr>
            <w:noProof/>
            <w:webHidden/>
          </w:rPr>
          <w:t>1026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1" w:history="1">
        <w:r w:rsidRPr="002F4868">
          <w:rPr>
            <w:rStyle w:val="a5"/>
            <w:noProof/>
          </w:rPr>
          <w:t>Title: Archives of Medical Science</w:t>
        </w:r>
        <w:r>
          <w:rPr>
            <w:noProof/>
            <w:webHidden/>
          </w:rPr>
          <w:tab/>
        </w:r>
        <w:r>
          <w:rPr>
            <w:noProof/>
            <w:webHidden/>
          </w:rPr>
          <w:fldChar w:fldCharType="begin"/>
        </w:r>
        <w:r>
          <w:rPr>
            <w:noProof/>
            <w:webHidden/>
          </w:rPr>
          <w:instrText xml:space="preserve"> PAGEREF _Toc420814581 \h </w:instrText>
        </w:r>
        <w:r>
          <w:rPr>
            <w:noProof/>
            <w:webHidden/>
          </w:rPr>
        </w:r>
        <w:r>
          <w:rPr>
            <w:noProof/>
            <w:webHidden/>
          </w:rPr>
          <w:fldChar w:fldCharType="separate"/>
        </w:r>
        <w:r>
          <w:rPr>
            <w:noProof/>
            <w:webHidden/>
          </w:rPr>
          <w:t>1029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2" w:history="1">
        <w:r w:rsidRPr="002F4868">
          <w:rPr>
            <w:rStyle w:val="a5"/>
            <w:noProof/>
          </w:rPr>
          <w:t>Title: Archives of Neurology</w:t>
        </w:r>
        <w:r>
          <w:rPr>
            <w:noProof/>
            <w:webHidden/>
          </w:rPr>
          <w:tab/>
        </w:r>
        <w:r>
          <w:rPr>
            <w:noProof/>
            <w:webHidden/>
          </w:rPr>
          <w:fldChar w:fldCharType="begin"/>
        </w:r>
        <w:r>
          <w:rPr>
            <w:noProof/>
            <w:webHidden/>
          </w:rPr>
          <w:instrText xml:space="preserve"> PAGEREF _Toc420814582 \h </w:instrText>
        </w:r>
        <w:r>
          <w:rPr>
            <w:noProof/>
            <w:webHidden/>
          </w:rPr>
        </w:r>
        <w:r>
          <w:rPr>
            <w:noProof/>
            <w:webHidden/>
          </w:rPr>
          <w:fldChar w:fldCharType="separate"/>
        </w:r>
        <w:r>
          <w:rPr>
            <w:noProof/>
            <w:webHidden/>
          </w:rPr>
          <w:t>1032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3" w:history="1">
        <w:r w:rsidRPr="002F4868">
          <w:rPr>
            <w:rStyle w:val="a5"/>
            <w:noProof/>
          </w:rPr>
          <w:t>Title: Archives of Ophthalmology</w:t>
        </w:r>
        <w:r>
          <w:rPr>
            <w:noProof/>
            <w:webHidden/>
          </w:rPr>
          <w:tab/>
        </w:r>
        <w:r>
          <w:rPr>
            <w:noProof/>
            <w:webHidden/>
          </w:rPr>
          <w:fldChar w:fldCharType="begin"/>
        </w:r>
        <w:r>
          <w:rPr>
            <w:noProof/>
            <w:webHidden/>
          </w:rPr>
          <w:instrText xml:space="preserve"> PAGEREF _Toc420814583 \h </w:instrText>
        </w:r>
        <w:r>
          <w:rPr>
            <w:noProof/>
            <w:webHidden/>
          </w:rPr>
        </w:r>
        <w:r>
          <w:rPr>
            <w:noProof/>
            <w:webHidden/>
          </w:rPr>
          <w:fldChar w:fldCharType="separate"/>
        </w:r>
        <w:r>
          <w:rPr>
            <w:noProof/>
            <w:webHidden/>
          </w:rPr>
          <w:t>1035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4" w:history="1">
        <w:r w:rsidRPr="002F4868">
          <w:rPr>
            <w:rStyle w:val="a5"/>
            <w:noProof/>
          </w:rPr>
          <w:t>Title: Archives of Orthopaedic and Trauma Surgery</w:t>
        </w:r>
        <w:r>
          <w:rPr>
            <w:noProof/>
            <w:webHidden/>
          </w:rPr>
          <w:tab/>
        </w:r>
        <w:r>
          <w:rPr>
            <w:noProof/>
            <w:webHidden/>
          </w:rPr>
          <w:fldChar w:fldCharType="begin"/>
        </w:r>
        <w:r>
          <w:rPr>
            <w:noProof/>
            <w:webHidden/>
          </w:rPr>
          <w:instrText xml:space="preserve"> PAGEREF _Toc420814584 \h </w:instrText>
        </w:r>
        <w:r>
          <w:rPr>
            <w:noProof/>
            <w:webHidden/>
          </w:rPr>
        </w:r>
        <w:r>
          <w:rPr>
            <w:noProof/>
            <w:webHidden/>
          </w:rPr>
          <w:fldChar w:fldCharType="separate"/>
        </w:r>
        <w:r>
          <w:rPr>
            <w:noProof/>
            <w:webHidden/>
          </w:rPr>
          <w:t>1038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5" w:history="1">
        <w:r w:rsidRPr="002F4868">
          <w:rPr>
            <w:rStyle w:val="a5"/>
            <w:noProof/>
          </w:rPr>
          <w:t>Title: Archives of Otolaryngology-Head &amp; Neck Surgery</w:t>
        </w:r>
        <w:r>
          <w:rPr>
            <w:noProof/>
            <w:webHidden/>
          </w:rPr>
          <w:tab/>
        </w:r>
        <w:r>
          <w:rPr>
            <w:noProof/>
            <w:webHidden/>
          </w:rPr>
          <w:fldChar w:fldCharType="begin"/>
        </w:r>
        <w:r>
          <w:rPr>
            <w:noProof/>
            <w:webHidden/>
          </w:rPr>
          <w:instrText xml:space="preserve"> PAGEREF _Toc420814585 \h </w:instrText>
        </w:r>
        <w:r>
          <w:rPr>
            <w:noProof/>
            <w:webHidden/>
          </w:rPr>
        </w:r>
        <w:r>
          <w:rPr>
            <w:noProof/>
            <w:webHidden/>
          </w:rPr>
          <w:fldChar w:fldCharType="separate"/>
        </w:r>
        <w:r>
          <w:rPr>
            <w:noProof/>
            <w:webHidden/>
          </w:rPr>
          <w:t>1039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6" w:history="1">
        <w:r w:rsidRPr="002F4868">
          <w:rPr>
            <w:rStyle w:val="a5"/>
            <w:noProof/>
          </w:rPr>
          <w:t>Title: Archives of Pathology &amp; Laboratory Medicine</w:t>
        </w:r>
        <w:r>
          <w:rPr>
            <w:noProof/>
            <w:webHidden/>
          </w:rPr>
          <w:tab/>
        </w:r>
        <w:r>
          <w:rPr>
            <w:noProof/>
            <w:webHidden/>
          </w:rPr>
          <w:fldChar w:fldCharType="begin"/>
        </w:r>
        <w:r>
          <w:rPr>
            <w:noProof/>
            <w:webHidden/>
          </w:rPr>
          <w:instrText xml:space="preserve"> PAGEREF _Toc420814586 \h </w:instrText>
        </w:r>
        <w:r>
          <w:rPr>
            <w:noProof/>
            <w:webHidden/>
          </w:rPr>
        </w:r>
        <w:r>
          <w:rPr>
            <w:noProof/>
            <w:webHidden/>
          </w:rPr>
          <w:fldChar w:fldCharType="separate"/>
        </w:r>
        <w:r>
          <w:rPr>
            <w:noProof/>
            <w:webHidden/>
          </w:rPr>
          <w:t>1041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7" w:history="1">
        <w:r w:rsidRPr="002F4868">
          <w:rPr>
            <w:rStyle w:val="a5"/>
            <w:noProof/>
          </w:rPr>
          <w:t>Title: Archives of Pediatrics &amp; Adolescent Medicine</w:t>
        </w:r>
        <w:r>
          <w:rPr>
            <w:noProof/>
            <w:webHidden/>
          </w:rPr>
          <w:tab/>
        </w:r>
        <w:r>
          <w:rPr>
            <w:noProof/>
            <w:webHidden/>
          </w:rPr>
          <w:fldChar w:fldCharType="begin"/>
        </w:r>
        <w:r>
          <w:rPr>
            <w:noProof/>
            <w:webHidden/>
          </w:rPr>
          <w:instrText xml:space="preserve"> PAGEREF _Toc420814587 \h </w:instrText>
        </w:r>
        <w:r>
          <w:rPr>
            <w:noProof/>
            <w:webHidden/>
          </w:rPr>
        </w:r>
        <w:r>
          <w:rPr>
            <w:noProof/>
            <w:webHidden/>
          </w:rPr>
          <w:fldChar w:fldCharType="separate"/>
        </w:r>
        <w:r>
          <w:rPr>
            <w:noProof/>
            <w:webHidden/>
          </w:rPr>
          <w:t>1043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8" w:history="1">
        <w:r w:rsidRPr="002F4868">
          <w:rPr>
            <w:rStyle w:val="a5"/>
            <w:noProof/>
          </w:rPr>
          <w:t>Title: Archives of Physical Medicine and Rehabilitation</w:t>
        </w:r>
        <w:r>
          <w:rPr>
            <w:noProof/>
            <w:webHidden/>
          </w:rPr>
          <w:tab/>
        </w:r>
        <w:r>
          <w:rPr>
            <w:noProof/>
            <w:webHidden/>
          </w:rPr>
          <w:fldChar w:fldCharType="begin"/>
        </w:r>
        <w:r>
          <w:rPr>
            <w:noProof/>
            <w:webHidden/>
          </w:rPr>
          <w:instrText xml:space="preserve"> PAGEREF _Toc420814588 \h </w:instrText>
        </w:r>
        <w:r>
          <w:rPr>
            <w:noProof/>
            <w:webHidden/>
          </w:rPr>
        </w:r>
        <w:r>
          <w:rPr>
            <w:noProof/>
            <w:webHidden/>
          </w:rPr>
          <w:fldChar w:fldCharType="separate"/>
        </w:r>
        <w:r>
          <w:rPr>
            <w:noProof/>
            <w:webHidden/>
          </w:rPr>
          <w:t>1048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89" w:history="1">
        <w:r w:rsidRPr="002F4868">
          <w:rPr>
            <w:rStyle w:val="a5"/>
            <w:noProof/>
          </w:rPr>
          <w:t>Title: Archives of Plastic Surgery</w:t>
        </w:r>
        <w:r>
          <w:rPr>
            <w:noProof/>
            <w:webHidden/>
          </w:rPr>
          <w:tab/>
        </w:r>
        <w:r>
          <w:rPr>
            <w:noProof/>
            <w:webHidden/>
          </w:rPr>
          <w:fldChar w:fldCharType="begin"/>
        </w:r>
        <w:r>
          <w:rPr>
            <w:noProof/>
            <w:webHidden/>
          </w:rPr>
          <w:instrText xml:space="preserve"> PAGEREF _Toc420814589 \h </w:instrText>
        </w:r>
        <w:r>
          <w:rPr>
            <w:noProof/>
            <w:webHidden/>
          </w:rPr>
        </w:r>
        <w:r>
          <w:rPr>
            <w:noProof/>
            <w:webHidden/>
          </w:rPr>
          <w:fldChar w:fldCharType="separate"/>
        </w:r>
        <w:r>
          <w:rPr>
            <w:noProof/>
            <w:webHidden/>
          </w:rPr>
          <w:t>1067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0" w:history="1">
        <w:r w:rsidRPr="002F4868">
          <w:rPr>
            <w:rStyle w:val="a5"/>
            <w:noProof/>
          </w:rPr>
          <w:t>Title: Archives des Sciences</w:t>
        </w:r>
        <w:r>
          <w:rPr>
            <w:noProof/>
            <w:webHidden/>
          </w:rPr>
          <w:tab/>
        </w:r>
        <w:r>
          <w:rPr>
            <w:noProof/>
            <w:webHidden/>
          </w:rPr>
          <w:fldChar w:fldCharType="begin"/>
        </w:r>
        <w:r>
          <w:rPr>
            <w:noProof/>
            <w:webHidden/>
          </w:rPr>
          <w:instrText xml:space="preserve"> PAGEREF _Toc420814590 \h </w:instrText>
        </w:r>
        <w:r>
          <w:rPr>
            <w:noProof/>
            <w:webHidden/>
          </w:rPr>
        </w:r>
        <w:r>
          <w:rPr>
            <w:noProof/>
            <w:webHidden/>
          </w:rPr>
          <w:fldChar w:fldCharType="separate"/>
        </w:r>
        <w:r>
          <w:rPr>
            <w:noProof/>
            <w:webHidden/>
          </w:rPr>
          <w:t>1069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1" w:history="1">
        <w:r w:rsidRPr="002F4868">
          <w:rPr>
            <w:rStyle w:val="a5"/>
            <w:noProof/>
          </w:rPr>
          <w:t>Title: Archives of Surgery</w:t>
        </w:r>
        <w:r>
          <w:rPr>
            <w:noProof/>
            <w:webHidden/>
          </w:rPr>
          <w:tab/>
        </w:r>
        <w:r>
          <w:rPr>
            <w:noProof/>
            <w:webHidden/>
          </w:rPr>
          <w:fldChar w:fldCharType="begin"/>
        </w:r>
        <w:r>
          <w:rPr>
            <w:noProof/>
            <w:webHidden/>
          </w:rPr>
          <w:instrText xml:space="preserve"> PAGEREF _Toc420814591 \h </w:instrText>
        </w:r>
        <w:r>
          <w:rPr>
            <w:noProof/>
            <w:webHidden/>
          </w:rPr>
        </w:r>
        <w:r>
          <w:rPr>
            <w:noProof/>
            <w:webHidden/>
          </w:rPr>
          <w:fldChar w:fldCharType="separate"/>
        </w:r>
        <w:r>
          <w:rPr>
            <w:noProof/>
            <w:webHidden/>
          </w:rPr>
          <w:t>1070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2" w:history="1">
        <w:r w:rsidRPr="002F4868">
          <w:rPr>
            <w:rStyle w:val="a5"/>
            <w:noProof/>
          </w:rPr>
          <w:t>Title: Archives of Toxicology</w:t>
        </w:r>
        <w:r>
          <w:rPr>
            <w:noProof/>
            <w:webHidden/>
          </w:rPr>
          <w:tab/>
        </w:r>
        <w:r>
          <w:rPr>
            <w:noProof/>
            <w:webHidden/>
          </w:rPr>
          <w:fldChar w:fldCharType="begin"/>
        </w:r>
        <w:r>
          <w:rPr>
            <w:noProof/>
            <w:webHidden/>
          </w:rPr>
          <w:instrText xml:space="preserve"> PAGEREF _Toc420814592 \h </w:instrText>
        </w:r>
        <w:r>
          <w:rPr>
            <w:noProof/>
            <w:webHidden/>
          </w:rPr>
        </w:r>
        <w:r>
          <w:rPr>
            <w:noProof/>
            <w:webHidden/>
          </w:rPr>
          <w:fldChar w:fldCharType="separate"/>
        </w:r>
        <w:r>
          <w:rPr>
            <w:noProof/>
            <w:webHidden/>
          </w:rPr>
          <w:t>1072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3" w:history="1">
        <w:r w:rsidRPr="002F4868">
          <w:rPr>
            <w:rStyle w:val="a5"/>
            <w:noProof/>
          </w:rPr>
          <w:t>Title: Archives of Virology</w:t>
        </w:r>
        <w:r>
          <w:rPr>
            <w:noProof/>
            <w:webHidden/>
          </w:rPr>
          <w:tab/>
        </w:r>
        <w:r>
          <w:rPr>
            <w:noProof/>
            <w:webHidden/>
          </w:rPr>
          <w:fldChar w:fldCharType="begin"/>
        </w:r>
        <w:r>
          <w:rPr>
            <w:noProof/>
            <w:webHidden/>
          </w:rPr>
          <w:instrText xml:space="preserve"> PAGEREF _Toc420814593 \h </w:instrText>
        </w:r>
        <w:r>
          <w:rPr>
            <w:noProof/>
            <w:webHidden/>
          </w:rPr>
        </w:r>
        <w:r>
          <w:rPr>
            <w:noProof/>
            <w:webHidden/>
          </w:rPr>
          <w:fldChar w:fldCharType="separate"/>
        </w:r>
        <w:r>
          <w:rPr>
            <w:noProof/>
            <w:webHidden/>
          </w:rPr>
          <w:t>1073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4" w:history="1">
        <w:r w:rsidRPr="002F4868">
          <w:rPr>
            <w:rStyle w:val="a5"/>
            <w:noProof/>
          </w:rPr>
          <w:t>Title: Archives of Virology Supplement</w:t>
        </w:r>
        <w:r>
          <w:rPr>
            <w:noProof/>
            <w:webHidden/>
          </w:rPr>
          <w:tab/>
        </w:r>
        <w:r>
          <w:rPr>
            <w:noProof/>
            <w:webHidden/>
          </w:rPr>
          <w:fldChar w:fldCharType="begin"/>
        </w:r>
        <w:r>
          <w:rPr>
            <w:noProof/>
            <w:webHidden/>
          </w:rPr>
          <w:instrText xml:space="preserve"> PAGEREF _Toc420814594 \h </w:instrText>
        </w:r>
        <w:r>
          <w:rPr>
            <w:noProof/>
            <w:webHidden/>
          </w:rPr>
        </w:r>
        <w:r>
          <w:rPr>
            <w:noProof/>
            <w:webHidden/>
          </w:rPr>
          <w:fldChar w:fldCharType="separate"/>
        </w:r>
        <w:r>
          <w:rPr>
            <w:noProof/>
            <w:webHidden/>
          </w:rPr>
          <w:t>1075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5" w:history="1">
        <w:r w:rsidRPr="002F4868">
          <w:rPr>
            <w:rStyle w:val="a5"/>
            <w:noProof/>
          </w:rPr>
          <w:t>Title: Archives of Womens Mental Health</w:t>
        </w:r>
        <w:r>
          <w:rPr>
            <w:noProof/>
            <w:webHidden/>
          </w:rPr>
          <w:tab/>
        </w:r>
        <w:r>
          <w:rPr>
            <w:noProof/>
            <w:webHidden/>
          </w:rPr>
          <w:fldChar w:fldCharType="begin"/>
        </w:r>
        <w:r>
          <w:rPr>
            <w:noProof/>
            <w:webHidden/>
          </w:rPr>
          <w:instrText xml:space="preserve"> PAGEREF _Toc420814595 \h </w:instrText>
        </w:r>
        <w:r>
          <w:rPr>
            <w:noProof/>
            <w:webHidden/>
          </w:rPr>
        </w:r>
        <w:r>
          <w:rPr>
            <w:noProof/>
            <w:webHidden/>
          </w:rPr>
          <w:fldChar w:fldCharType="separate"/>
        </w:r>
        <w:r>
          <w:rPr>
            <w:noProof/>
            <w:webHidden/>
          </w:rPr>
          <w:t>1076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6" w:history="1">
        <w:r w:rsidRPr="002F4868">
          <w:rPr>
            <w:rStyle w:val="a5"/>
            <w:noProof/>
          </w:rPr>
          <w:t>Title: Archivos Argentinos de Pediatria</w:t>
        </w:r>
        <w:r>
          <w:rPr>
            <w:noProof/>
            <w:webHidden/>
          </w:rPr>
          <w:tab/>
        </w:r>
        <w:r>
          <w:rPr>
            <w:noProof/>
            <w:webHidden/>
          </w:rPr>
          <w:fldChar w:fldCharType="begin"/>
        </w:r>
        <w:r>
          <w:rPr>
            <w:noProof/>
            <w:webHidden/>
          </w:rPr>
          <w:instrText xml:space="preserve"> PAGEREF _Toc420814596 \h </w:instrText>
        </w:r>
        <w:r>
          <w:rPr>
            <w:noProof/>
            <w:webHidden/>
          </w:rPr>
        </w:r>
        <w:r>
          <w:rPr>
            <w:noProof/>
            <w:webHidden/>
          </w:rPr>
          <w:fldChar w:fldCharType="separate"/>
        </w:r>
        <w:r>
          <w:rPr>
            <w:noProof/>
            <w:webHidden/>
          </w:rPr>
          <w:t>1078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7" w:history="1">
        <w:r w:rsidRPr="002F4868">
          <w:rPr>
            <w:rStyle w:val="a5"/>
            <w:noProof/>
          </w:rPr>
          <w:t>Title: Archivos de Biologia y Medicina Experimentales</w:t>
        </w:r>
        <w:r>
          <w:rPr>
            <w:noProof/>
            <w:webHidden/>
          </w:rPr>
          <w:tab/>
        </w:r>
        <w:r>
          <w:rPr>
            <w:noProof/>
            <w:webHidden/>
          </w:rPr>
          <w:fldChar w:fldCharType="begin"/>
        </w:r>
        <w:r>
          <w:rPr>
            <w:noProof/>
            <w:webHidden/>
          </w:rPr>
          <w:instrText xml:space="preserve"> PAGEREF _Toc420814597 \h </w:instrText>
        </w:r>
        <w:r>
          <w:rPr>
            <w:noProof/>
            <w:webHidden/>
          </w:rPr>
        </w:r>
        <w:r>
          <w:rPr>
            <w:noProof/>
            <w:webHidden/>
          </w:rPr>
          <w:fldChar w:fldCharType="separate"/>
        </w:r>
        <w:r>
          <w:rPr>
            <w:noProof/>
            <w:webHidden/>
          </w:rPr>
          <w:t>1079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8" w:history="1">
        <w:r w:rsidRPr="002F4868">
          <w:rPr>
            <w:rStyle w:val="a5"/>
            <w:noProof/>
          </w:rPr>
          <w:t>Title: Archivos de Bronconeumología</w:t>
        </w:r>
        <w:r>
          <w:rPr>
            <w:noProof/>
            <w:webHidden/>
          </w:rPr>
          <w:tab/>
        </w:r>
        <w:r>
          <w:rPr>
            <w:noProof/>
            <w:webHidden/>
          </w:rPr>
          <w:fldChar w:fldCharType="begin"/>
        </w:r>
        <w:r>
          <w:rPr>
            <w:noProof/>
            <w:webHidden/>
          </w:rPr>
          <w:instrText xml:space="preserve"> PAGEREF _Toc420814598 \h </w:instrText>
        </w:r>
        <w:r>
          <w:rPr>
            <w:noProof/>
            <w:webHidden/>
          </w:rPr>
        </w:r>
        <w:r>
          <w:rPr>
            <w:noProof/>
            <w:webHidden/>
          </w:rPr>
          <w:fldChar w:fldCharType="separate"/>
        </w:r>
        <w:r>
          <w:rPr>
            <w:noProof/>
            <w:webHidden/>
          </w:rPr>
          <w:t>1080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599" w:history="1">
        <w:r w:rsidRPr="002F4868">
          <w:rPr>
            <w:rStyle w:val="a5"/>
            <w:noProof/>
          </w:rPr>
          <w:t>Title: Archivos Espanoles de Urologia</w:t>
        </w:r>
        <w:r>
          <w:rPr>
            <w:noProof/>
            <w:webHidden/>
          </w:rPr>
          <w:tab/>
        </w:r>
        <w:r>
          <w:rPr>
            <w:noProof/>
            <w:webHidden/>
          </w:rPr>
          <w:fldChar w:fldCharType="begin"/>
        </w:r>
        <w:r>
          <w:rPr>
            <w:noProof/>
            <w:webHidden/>
          </w:rPr>
          <w:instrText xml:space="preserve"> PAGEREF _Toc420814599 \h </w:instrText>
        </w:r>
        <w:r>
          <w:rPr>
            <w:noProof/>
            <w:webHidden/>
          </w:rPr>
        </w:r>
        <w:r>
          <w:rPr>
            <w:noProof/>
            <w:webHidden/>
          </w:rPr>
          <w:fldChar w:fldCharType="separate"/>
        </w:r>
        <w:r>
          <w:rPr>
            <w:noProof/>
            <w:webHidden/>
          </w:rPr>
          <w:t>1089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0" w:history="1">
        <w:r w:rsidRPr="002F4868">
          <w:rPr>
            <w:rStyle w:val="a5"/>
            <w:noProof/>
          </w:rPr>
          <w:t>Title: Archivum Immunologiae et Therapiae Experimentalis</w:t>
        </w:r>
        <w:r>
          <w:rPr>
            <w:noProof/>
            <w:webHidden/>
          </w:rPr>
          <w:tab/>
        </w:r>
        <w:r>
          <w:rPr>
            <w:noProof/>
            <w:webHidden/>
          </w:rPr>
          <w:fldChar w:fldCharType="begin"/>
        </w:r>
        <w:r>
          <w:rPr>
            <w:noProof/>
            <w:webHidden/>
          </w:rPr>
          <w:instrText xml:space="preserve"> PAGEREF _Toc420814600 \h </w:instrText>
        </w:r>
        <w:r>
          <w:rPr>
            <w:noProof/>
            <w:webHidden/>
          </w:rPr>
        </w:r>
        <w:r>
          <w:rPr>
            <w:noProof/>
            <w:webHidden/>
          </w:rPr>
          <w:fldChar w:fldCharType="separate"/>
        </w:r>
        <w:r>
          <w:rPr>
            <w:noProof/>
            <w:webHidden/>
          </w:rPr>
          <w:t>1091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1" w:history="1">
        <w:r w:rsidRPr="002F4868">
          <w:rPr>
            <w:rStyle w:val="a5"/>
            <w:noProof/>
          </w:rPr>
          <w:t>Title: Ardeola</w:t>
        </w:r>
        <w:r>
          <w:rPr>
            <w:noProof/>
            <w:webHidden/>
          </w:rPr>
          <w:tab/>
        </w:r>
        <w:r>
          <w:rPr>
            <w:noProof/>
            <w:webHidden/>
          </w:rPr>
          <w:fldChar w:fldCharType="begin"/>
        </w:r>
        <w:r>
          <w:rPr>
            <w:noProof/>
            <w:webHidden/>
          </w:rPr>
          <w:instrText xml:space="preserve"> PAGEREF _Toc420814601 \h </w:instrText>
        </w:r>
        <w:r>
          <w:rPr>
            <w:noProof/>
            <w:webHidden/>
          </w:rPr>
        </w:r>
        <w:r>
          <w:rPr>
            <w:noProof/>
            <w:webHidden/>
          </w:rPr>
          <w:fldChar w:fldCharType="separate"/>
        </w:r>
        <w:r>
          <w:rPr>
            <w:noProof/>
            <w:webHidden/>
          </w:rPr>
          <w:t>1098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2" w:history="1">
        <w:r w:rsidRPr="002F4868">
          <w:rPr>
            <w:rStyle w:val="a5"/>
            <w:noProof/>
          </w:rPr>
          <w:t>Title: Area</w:t>
        </w:r>
        <w:r>
          <w:rPr>
            <w:noProof/>
            <w:webHidden/>
          </w:rPr>
          <w:tab/>
        </w:r>
        <w:r>
          <w:rPr>
            <w:noProof/>
            <w:webHidden/>
          </w:rPr>
          <w:fldChar w:fldCharType="begin"/>
        </w:r>
        <w:r>
          <w:rPr>
            <w:noProof/>
            <w:webHidden/>
          </w:rPr>
          <w:instrText xml:space="preserve"> PAGEREF _Toc420814602 \h </w:instrText>
        </w:r>
        <w:r>
          <w:rPr>
            <w:noProof/>
            <w:webHidden/>
          </w:rPr>
        </w:r>
        <w:r>
          <w:rPr>
            <w:noProof/>
            <w:webHidden/>
          </w:rPr>
          <w:fldChar w:fldCharType="separate"/>
        </w:r>
        <w:r>
          <w:rPr>
            <w:noProof/>
            <w:webHidden/>
          </w:rPr>
          <w:t>1100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3" w:history="1">
        <w:r w:rsidRPr="002F4868">
          <w:rPr>
            <w:rStyle w:val="a5"/>
            <w:noProof/>
          </w:rPr>
          <w:t>Title: ArethUSA</w:t>
        </w:r>
        <w:r>
          <w:rPr>
            <w:noProof/>
            <w:webHidden/>
          </w:rPr>
          <w:tab/>
        </w:r>
        <w:r>
          <w:rPr>
            <w:noProof/>
            <w:webHidden/>
          </w:rPr>
          <w:fldChar w:fldCharType="begin"/>
        </w:r>
        <w:r>
          <w:rPr>
            <w:noProof/>
            <w:webHidden/>
          </w:rPr>
          <w:instrText xml:space="preserve"> PAGEREF _Toc420814603 \h </w:instrText>
        </w:r>
        <w:r>
          <w:rPr>
            <w:noProof/>
            <w:webHidden/>
          </w:rPr>
        </w:r>
        <w:r>
          <w:rPr>
            <w:noProof/>
            <w:webHidden/>
          </w:rPr>
          <w:fldChar w:fldCharType="separate"/>
        </w:r>
        <w:r>
          <w:rPr>
            <w:noProof/>
            <w:webHidden/>
          </w:rPr>
          <w:t>1103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4" w:history="1">
        <w:r w:rsidRPr="002F4868">
          <w:rPr>
            <w:rStyle w:val="a5"/>
            <w:noProof/>
          </w:rPr>
          <w:t>Title: Argos</w:t>
        </w:r>
        <w:r>
          <w:rPr>
            <w:noProof/>
            <w:webHidden/>
          </w:rPr>
          <w:tab/>
        </w:r>
        <w:r>
          <w:rPr>
            <w:noProof/>
            <w:webHidden/>
          </w:rPr>
          <w:fldChar w:fldCharType="begin"/>
        </w:r>
        <w:r>
          <w:rPr>
            <w:noProof/>
            <w:webHidden/>
          </w:rPr>
          <w:instrText xml:space="preserve"> PAGEREF _Toc420814604 \h </w:instrText>
        </w:r>
        <w:r>
          <w:rPr>
            <w:noProof/>
            <w:webHidden/>
          </w:rPr>
        </w:r>
        <w:r>
          <w:rPr>
            <w:noProof/>
            <w:webHidden/>
          </w:rPr>
          <w:fldChar w:fldCharType="separate"/>
        </w:r>
        <w:r>
          <w:rPr>
            <w:noProof/>
            <w:webHidden/>
          </w:rPr>
          <w:t>1104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5" w:history="1">
        <w:r w:rsidRPr="002F4868">
          <w:rPr>
            <w:rStyle w:val="a5"/>
            <w:noProof/>
          </w:rPr>
          <w:t>Title: Arid Land Geography</w:t>
        </w:r>
        <w:r>
          <w:rPr>
            <w:noProof/>
            <w:webHidden/>
          </w:rPr>
          <w:tab/>
        </w:r>
        <w:r>
          <w:rPr>
            <w:noProof/>
            <w:webHidden/>
          </w:rPr>
          <w:fldChar w:fldCharType="begin"/>
        </w:r>
        <w:r>
          <w:rPr>
            <w:noProof/>
            <w:webHidden/>
          </w:rPr>
          <w:instrText xml:space="preserve"> PAGEREF _Toc420814605 \h </w:instrText>
        </w:r>
        <w:r>
          <w:rPr>
            <w:noProof/>
            <w:webHidden/>
          </w:rPr>
        </w:r>
        <w:r>
          <w:rPr>
            <w:noProof/>
            <w:webHidden/>
          </w:rPr>
          <w:fldChar w:fldCharType="separate"/>
        </w:r>
        <w:r>
          <w:rPr>
            <w:noProof/>
            <w:webHidden/>
          </w:rPr>
          <w:t>1105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6" w:history="1">
        <w:r w:rsidRPr="002F4868">
          <w:rPr>
            <w:rStyle w:val="a5"/>
            <w:noProof/>
          </w:rPr>
          <w:t>Title: Arquivos Brasileiros de Cardiologia</w:t>
        </w:r>
        <w:r>
          <w:rPr>
            <w:noProof/>
            <w:webHidden/>
          </w:rPr>
          <w:tab/>
        </w:r>
        <w:r>
          <w:rPr>
            <w:noProof/>
            <w:webHidden/>
          </w:rPr>
          <w:fldChar w:fldCharType="begin"/>
        </w:r>
        <w:r>
          <w:rPr>
            <w:noProof/>
            <w:webHidden/>
          </w:rPr>
          <w:instrText xml:space="preserve"> PAGEREF _Toc420814606 \h </w:instrText>
        </w:r>
        <w:r>
          <w:rPr>
            <w:noProof/>
            <w:webHidden/>
          </w:rPr>
        </w:r>
        <w:r>
          <w:rPr>
            <w:noProof/>
            <w:webHidden/>
          </w:rPr>
          <w:fldChar w:fldCharType="separate"/>
        </w:r>
        <w:r>
          <w:rPr>
            <w:noProof/>
            <w:webHidden/>
          </w:rPr>
          <w:t>1106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7" w:history="1">
        <w:r w:rsidRPr="002F4868">
          <w:rPr>
            <w:rStyle w:val="a5"/>
            <w:noProof/>
          </w:rPr>
          <w:t>Title: Arquivos Brasileiros de Oftalmologia</w:t>
        </w:r>
        <w:r>
          <w:rPr>
            <w:noProof/>
            <w:webHidden/>
          </w:rPr>
          <w:tab/>
        </w:r>
        <w:r>
          <w:rPr>
            <w:noProof/>
            <w:webHidden/>
          </w:rPr>
          <w:fldChar w:fldCharType="begin"/>
        </w:r>
        <w:r>
          <w:rPr>
            <w:noProof/>
            <w:webHidden/>
          </w:rPr>
          <w:instrText xml:space="preserve"> PAGEREF _Toc420814607 \h </w:instrText>
        </w:r>
        <w:r>
          <w:rPr>
            <w:noProof/>
            <w:webHidden/>
          </w:rPr>
        </w:r>
        <w:r>
          <w:rPr>
            <w:noProof/>
            <w:webHidden/>
          </w:rPr>
          <w:fldChar w:fldCharType="separate"/>
        </w:r>
        <w:r>
          <w:rPr>
            <w:noProof/>
            <w:webHidden/>
          </w:rPr>
          <w:t>1113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8" w:history="1">
        <w:r w:rsidRPr="002F4868">
          <w:rPr>
            <w:rStyle w:val="a5"/>
            <w:noProof/>
          </w:rPr>
          <w:t>Title: Art History</w:t>
        </w:r>
        <w:r>
          <w:rPr>
            <w:noProof/>
            <w:webHidden/>
          </w:rPr>
          <w:tab/>
        </w:r>
        <w:r>
          <w:rPr>
            <w:noProof/>
            <w:webHidden/>
          </w:rPr>
          <w:fldChar w:fldCharType="begin"/>
        </w:r>
        <w:r>
          <w:rPr>
            <w:noProof/>
            <w:webHidden/>
          </w:rPr>
          <w:instrText xml:space="preserve"> PAGEREF _Toc420814608 \h </w:instrText>
        </w:r>
        <w:r>
          <w:rPr>
            <w:noProof/>
            <w:webHidden/>
          </w:rPr>
        </w:r>
        <w:r>
          <w:rPr>
            <w:noProof/>
            <w:webHidden/>
          </w:rPr>
          <w:fldChar w:fldCharType="separate"/>
        </w:r>
        <w:r>
          <w:rPr>
            <w:noProof/>
            <w:webHidden/>
          </w:rPr>
          <w:t>1114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09" w:history="1">
        <w:r w:rsidRPr="002F4868">
          <w:rPr>
            <w:rStyle w:val="a5"/>
            <w:noProof/>
          </w:rPr>
          <w:t>Title: Arthritis Care &amp; Research</w:t>
        </w:r>
        <w:r>
          <w:rPr>
            <w:noProof/>
            <w:webHidden/>
          </w:rPr>
          <w:tab/>
        </w:r>
        <w:r>
          <w:rPr>
            <w:noProof/>
            <w:webHidden/>
          </w:rPr>
          <w:fldChar w:fldCharType="begin"/>
        </w:r>
        <w:r>
          <w:rPr>
            <w:noProof/>
            <w:webHidden/>
          </w:rPr>
          <w:instrText xml:space="preserve"> PAGEREF _Toc420814609 \h </w:instrText>
        </w:r>
        <w:r>
          <w:rPr>
            <w:noProof/>
            <w:webHidden/>
          </w:rPr>
        </w:r>
        <w:r>
          <w:rPr>
            <w:noProof/>
            <w:webHidden/>
          </w:rPr>
          <w:fldChar w:fldCharType="separate"/>
        </w:r>
        <w:r>
          <w:rPr>
            <w:noProof/>
            <w:webHidden/>
          </w:rPr>
          <w:t>1115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0" w:history="1">
        <w:r w:rsidRPr="002F4868">
          <w:rPr>
            <w:rStyle w:val="a5"/>
            <w:noProof/>
          </w:rPr>
          <w:t>Title: Arthritis Research &amp; Therapy</w:t>
        </w:r>
        <w:r>
          <w:rPr>
            <w:noProof/>
            <w:webHidden/>
          </w:rPr>
          <w:tab/>
        </w:r>
        <w:r>
          <w:rPr>
            <w:noProof/>
            <w:webHidden/>
          </w:rPr>
          <w:fldChar w:fldCharType="begin"/>
        </w:r>
        <w:r>
          <w:rPr>
            <w:noProof/>
            <w:webHidden/>
          </w:rPr>
          <w:instrText xml:space="preserve"> PAGEREF _Toc420814610 \h </w:instrText>
        </w:r>
        <w:r>
          <w:rPr>
            <w:noProof/>
            <w:webHidden/>
          </w:rPr>
        </w:r>
        <w:r>
          <w:rPr>
            <w:noProof/>
            <w:webHidden/>
          </w:rPr>
          <w:fldChar w:fldCharType="separate"/>
        </w:r>
        <w:r>
          <w:rPr>
            <w:noProof/>
            <w:webHidden/>
          </w:rPr>
          <w:t>1118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1" w:history="1">
        <w:r w:rsidRPr="002F4868">
          <w:rPr>
            <w:rStyle w:val="a5"/>
            <w:noProof/>
          </w:rPr>
          <w:t>Title: Arthritis &amp; Rheumatism-Arthritis Care &amp; Research</w:t>
        </w:r>
        <w:r>
          <w:rPr>
            <w:noProof/>
            <w:webHidden/>
          </w:rPr>
          <w:tab/>
        </w:r>
        <w:r>
          <w:rPr>
            <w:noProof/>
            <w:webHidden/>
          </w:rPr>
          <w:fldChar w:fldCharType="begin"/>
        </w:r>
        <w:r>
          <w:rPr>
            <w:noProof/>
            <w:webHidden/>
          </w:rPr>
          <w:instrText xml:space="preserve"> PAGEREF _Toc420814611 \h </w:instrText>
        </w:r>
        <w:r>
          <w:rPr>
            <w:noProof/>
            <w:webHidden/>
          </w:rPr>
        </w:r>
        <w:r>
          <w:rPr>
            <w:noProof/>
            <w:webHidden/>
          </w:rPr>
          <w:fldChar w:fldCharType="separate"/>
        </w:r>
        <w:r>
          <w:rPr>
            <w:noProof/>
            <w:webHidden/>
          </w:rPr>
          <w:t>1120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2" w:history="1">
        <w:r w:rsidRPr="002F4868">
          <w:rPr>
            <w:rStyle w:val="a5"/>
            <w:noProof/>
          </w:rPr>
          <w:t>Title: Arthroscopy-the Journal of Arthroscopic and Related Surgery</w:t>
        </w:r>
        <w:r>
          <w:rPr>
            <w:noProof/>
            <w:webHidden/>
          </w:rPr>
          <w:tab/>
        </w:r>
        <w:r>
          <w:rPr>
            <w:noProof/>
            <w:webHidden/>
          </w:rPr>
          <w:fldChar w:fldCharType="begin"/>
        </w:r>
        <w:r>
          <w:rPr>
            <w:noProof/>
            <w:webHidden/>
          </w:rPr>
          <w:instrText xml:space="preserve"> PAGEREF _Toc420814612 \h </w:instrText>
        </w:r>
        <w:r>
          <w:rPr>
            <w:noProof/>
            <w:webHidden/>
          </w:rPr>
        </w:r>
        <w:r>
          <w:rPr>
            <w:noProof/>
            <w:webHidden/>
          </w:rPr>
          <w:fldChar w:fldCharType="separate"/>
        </w:r>
        <w:r>
          <w:rPr>
            <w:noProof/>
            <w:webHidden/>
          </w:rPr>
          <w:t>1122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3" w:history="1">
        <w:r w:rsidRPr="002F4868">
          <w:rPr>
            <w:rStyle w:val="a5"/>
            <w:noProof/>
          </w:rPr>
          <w:t>Title: Arzneimittel-Forschung-Drug Research</w:t>
        </w:r>
        <w:r>
          <w:rPr>
            <w:noProof/>
            <w:webHidden/>
          </w:rPr>
          <w:tab/>
        </w:r>
        <w:r>
          <w:rPr>
            <w:noProof/>
            <w:webHidden/>
          </w:rPr>
          <w:fldChar w:fldCharType="begin"/>
        </w:r>
        <w:r>
          <w:rPr>
            <w:noProof/>
            <w:webHidden/>
          </w:rPr>
          <w:instrText xml:space="preserve"> PAGEREF _Toc420814613 \h </w:instrText>
        </w:r>
        <w:r>
          <w:rPr>
            <w:noProof/>
            <w:webHidden/>
          </w:rPr>
        </w:r>
        <w:r>
          <w:rPr>
            <w:noProof/>
            <w:webHidden/>
          </w:rPr>
          <w:fldChar w:fldCharType="separate"/>
        </w:r>
        <w:r>
          <w:rPr>
            <w:noProof/>
            <w:webHidden/>
          </w:rPr>
          <w:t>1125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4" w:history="1">
        <w:r w:rsidRPr="002F4868">
          <w:rPr>
            <w:rStyle w:val="a5"/>
            <w:noProof/>
          </w:rPr>
          <w:t>Title: ASAIO Journal</w:t>
        </w:r>
        <w:r>
          <w:rPr>
            <w:noProof/>
            <w:webHidden/>
          </w:rPr>
          <w:tab/>
        </w:r>
        <w:r>
          <w:rPr>
            <w:noProof/>
            <w:webHidden/>
          </w:rPr>
          <w:fldChar w:fldCharType="begin"/>
        </w:r>
        <w:r>
          <w:rPr>
            <w:noProof/>
            <w:webHidden/>
          </w:rPr>
          <w:instrText xml:space="preserve"> PAGEREF _Toc420814614 \h </w:instrText>
        </w:r>
        <w:r>
          <w:rPr>
            <w:noProof/>
            <w:webHidden/>
          </w:rPr>
        </w:r>
        <w:r>
          <w:rPr>
            <w:noProof/>
            <w:webHidden/>
          </w:rPr>
          <w:fldChar w:fldCharType="separate"/>
        </w:r>
        <w:r>
          <w:rPr>
            <w:noProof/>
            <w:webHidden/>
          </w:rPr>
          <w:t>1127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5" w:history="1">
        <w:r w:rsidRPr="002F4868">
          <w:rPr>
            <w:rStyle w:val="a5"/>
            <w:noProof/>
          </w:rPr>
          <w:t>Title: Asia Life Sciences</w:t>
        </w:r>
        <w:r>
          <w:rPr>
            <w:noProof/>
            <w:webHidden/>
          </w:rPr>
          <w:tab/>
        </w:r>
        <w:r>
          <w:rPr>
            <w:noProof/>
            <w:webHidden/>
          </w:rPr>
          <w:fldChar w:fldCharType="begin"/>
        </w:r>
        <w:r>
          <w:rPr>
            <w:noProof/>
            <w:webHidden/>
          </w:rPr>
          <w:instrText xml:space="preserve"> PAGEREF _Toc420814615 \h </w:instrText>
        </w:r>
        <w:r>
          <w:rPr>
            <w:noProof/>
            <w:webHidden/>
          </w:rPr>
        </w:r>
        <w:r>
          <w:rPr>
            <w:noProof/>
            <w:webHidden/>
          </w:rPr>
          <w:fldChar w:fldCharType="separate"/>
        </w:r>
        <w:r>
          <w:rPr>
            <w:noProof/>
            <w:webHidden/>
          </w:rPr>
          <w:t>1129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6" w:history="1">
        <w:r w:rsidRPr="002F4868">
          <w:rPr>
            <w:rStyle w:val="a5"/>
            <w:noProof/>
          </w:rPr>
          <w:t>Title: Asia Pacific Education Review</w:t>
        </w:r>
        <w:r>
          <w:rPr>
            <w:noProof/>
            <w:webHidden/>
          </w:rPr>
          <w:tab/>
        </w:r>
        <w:r>
          <w:rPr>
            <w:noProof/>
            <w:webHidden/>
          </w:rPr>
          <w:fldChar w:fldCharType="begin"/>
        </w:r>
        <w:r>
          <w:rPr>
            <w:noProof/>
            <w:webHidden/>
          </w:rPr>
          <w:instrText xml:space="preserve"> PAGEREF _Toc420814616 \h </w:instrText>
        </w:r>
        <w:r>
          <w:rPr>
            <w:noProof/>
            <w:webHidden/>
          </w:rPr>
        </w:r>
        <w:r>
          <w:rPr>
            <w:noProof/>
            <w:webHidden/>
          </w:rPr>
          <w:fldChar w:fldCharType="separate"/>
        </w:r>
        <w:r>
          <w:rPr>
            <w:noProof/>
            <w:webHidden/>
          </w:rPr>
          <w:t>1131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7" w:history="1">
        <w:r w:rsidRPr="002F4868">
          <w:rPr>
            <w:rStyle w:val="a5"/>
            <w:noProof/>
          </w:rPr>
          <w:t>Title: Asia Pacific Journal of Clinical Nutrition</w:t>
        </w:r>
        <w:r>
          <w:rPr>
            <w:noProof/>
            <w:webHidden/>
          </w:rPr>
          <w:tab/>
        </w:r>
        <w:r>
          <w:rPr>
            <w:noProof/>
            <w:webHidden/>
          </w:rPr>
          <w:fldChar w:fldCharType="begin"/>
        </w:r>
        <w:r>
          <w:rPr>
            <w:noProof/>
            <w:webHidden/>
          </w:rPr>
          <w:instrText xml:space="preserve"> PAGEREF _Toc420814617 \h </w:instrText>
        </w:r>
        <w:r>
          <w:rPr>
            <w:noProof/>
            <w:webHidden/>
          </w:rPr>
        </w:r>
        <w:r>
          <w:rPr>
            <w:noProof/>
            <w:webHidden/>
          </w:rPr>
          <w:fldChar w:fldCharType="separate"/>
        </w:r>
        <w:r>
          <w:rPr>
            <w:noProof/>
            <w:webHidden/>
          </w:rPr>
          <w:t>1134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8" w:history="1">
        <w:r w:rsidRPr="002F4868">
          <w:rPr>
            <w:rStyle w:val="a5"/>
            <w:noProof/>
          </w:rPr>
          <w:t>Title: Asia Pacific Journal of Management</w:t>
        </w:r>
        <w:r>
          <w:rPr>
            <w:noProof/>
            <w:webHidden/>
          </w:rPr>
          <w:tab/>
        </w:r>
        <w:r>
          <w:rPr>
            <w:noProof/>
            <w:webHidden/>
          </w:rPr>
          <w:fldChar w:fldCharType="begin"/>
        </w:r>
        <w:r>
          <w:rPr>
            <w:noProof/>
            <w:webHidden/>
          </w:rPr>
          <w:instrText xml:space="preserve"> PAGEREF _Toc420814618 \h </w:instrText>
        </w:r>
        <w:r>
          <w:rPr>
            <w:noProof/>
            <w:webHidden/>
          </w:rPr>
        </w:r>
        <w:r>
          <w:rPr>
            <w:noProof/>
            <w:webHidden/>
          </w:rPr>
          <w:fldChar w:fldCharType="separate"/>
        </w:r>
        <w:r>
          <w:rPr>
            <w:noProof/>
            <w:webHidden/>
          </w:rPr>
          <w:t>1137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19" w:history="1">
        <w:r w:rsidRPr="002F4868">
          <w:rPr>
            <w:rStyle w:val="a5"/>
            <w:noProof/>
          </w:rPr>
          <w:t>Title: Asia-Pacific Education Researcher</w:t>
        </w:r>
        <w:r>
          <w:rPr>
            <w:noProof/>
            <w:webHidden/>
          </w:rPr>
          <w:tab/>
        </w:r>
        <w:r>
          <w:rPr>
            <w:noProof/>
            <w:webHidden/>
          </w:rPr>
          <w:fldChar w:fldCharType="begin"/>
        </w:r>
        <w:r>
          <w:rPr>
            <w:noProof/>
            <w:webHidden/>
          </w:rPr>
          <w:instrText xml:space="preserve"> PAGEREF _Toc420814619 \h </w:instrText>
        </w:r>
        <w:r>
          <w:rPr>
            <w:noProof/>
            <w:webHidden/>
          </w:rPr>
        </w:r>
        <w:r>
          <w:rPr>
            <w:noProof/>
            <w:webHidden/>
          </w:rPr>
          <w:fldChar w:fldCharType="separate"/>
        </w:r>
        <w:r>
          <w:rPr>
            <w:noProof/>
            <w:webHidden/>
          </w:rPr>
          <w:t>1138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0" w:history="1">
        <w:r w:rsidRPr="002F4868">
          <w:rPr>
            <w:rStyle w:val="a5"/>
            <w:noProof/>
          </w:rPr>
          <w:t>Title: Asia-Pacific Journal of Operational Research</w:t>
        </w:r>
        <w:r>
          <w:rPr>
            <w:noProof/>
            <w:webHidden/>
          </w:rPr>
          <w:tab/>
        </w:r>
        <w:r>
          <w:rPr>
            <w:noProof/>
            <w:webHidden/>
          </w:rPr>
          <w:fldChar w:fldCharType="begin"/>
        </w:r>
        <w:r>
          <w:rPr>
            <w:noProof/>
            <w:webHidden/>
          </w:rPr>
          <w:instrText xml:space="preserve"> PAGEREF _Toc420814620 \h </w:instrText>
        </w:r>
        <w:r>
          <w:rPr>
            <w:noProof/>
            <w:webHidden/>
          </w:rPr>
        </w:r>
        <w:r>
          <w:rPr>
            <w:noProof/>
            <w:webHidden/>
          </w:rPr>
          <w:fldChar w:fldCharType="separate"/>
        </w:r>
        <w:r>
          <w:rPr>
            <w:noProof/>
            <w:webHidden/>
          </w:rPr>
          <w:t>1140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1" w:history="1">
        <w:r w:rsidRPr="002F4868">
          <w:rPr>
            <w:rStyle w:val="a5"/>
            <w:noProof/>
          </w:rPr>
          <w:t>Title: Asia-Pacific Journal of Public Health</w:t>
        </w:r>
        <w:r>
          <w:rPr>
            <w:noProof/>
            <w:webHidden/>
          </w:rPr>
          <w:tab/>
        </w:r>
        <w:r>
          <w:rPr>
            <w:noProof/>
            <w:webHidden/>
          </w:rPr>
          <w:fldChar w:fldCharType="begin"/>
        </w:r>
        <w:r>
          <w:rPr>
            <w:noProof/>
            <w:webHidden/>
          </w:rPr>
          <w:instrText xml:space="preserve"> PAGEREF _Toc420814621 \h </w:instrText>
        </w:r>
        <w:r>
          <w:rPr>
            <w:noProof/>
            <w:webHidden/>
          </w:rPr>
        </w:r>
        <w:r>
          <w:rPr>
            <w:noProof/>
            <w:webHidden/>
          </w:rPr>
          <w:fldChar w:fldCharType="separate"/>
        </w:r>
        <w:r>
          <w:rPr>
            <w:noProof/>
            <w:webHidden/>
          </w:rPr>
          <w:t>1142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2" w:history="1">
        <w:r w:rsidRPr="002F4868">
          <w:rPr>
            <w:rStyle w:val="a5"/>
            <w:noProof/>
          </w:rPr>
          <w:t>Title: Asia-Pacific Psychiatry</w:t>
        </w:r>
        <w:r>
          <w:rPr>
            <w:noProof/>
            <w:webHidden/>
          </w:rPr>
          <w:tab/>
        </w:r>
        <w:r>
          <w:rPr>
            <w:noProof/>
            <w:webHidden/>
          </w:rPr>
          <w:fldChar w:fldCharType="begin"/>
        </w:r>
        <w:r>
          <w:rPr>
            <w:noProof/>
            <w:webHidden/>
          </w:rPr>
          <w:instrText xml:space="preserve"> PAGEREF _Toc420814622 \h </w:instrText>
        </w:r>
        <w:r>
          <w:rPr>
            <w:noProof/>
            <w:webHidden/>
          </w:rPr>
        </w:r>
        <w:r>
          <w:rPr>
            <w:noProof/>
            <w:webHidden/>
          </w:rPr>
          <w:fldChar w:fldCharType="separate"/>
        </w:r>
        <w:r>
          <w:rPr>
            <w:noProof/>
            <w:webHidden/>
          </w:rPr>
          <w:t>1146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3" w:history="1">
        <w:r w:rsidRPr="002F4868">
          <w:rPr>
            <w:rStyle w:val="a5"/>
            <w:noProof/>
          </w:rPr>
          <w:t>Title: Asia Pacific Viewpoint</w:t>
        </w:r>
        <w:r>
          <w:rPr>
            <w:noProof/>
            <w:webHidden/>
          </w:rPr>
          <w:tab/>
        </w:r>
        <w:r>
          <w:rPr>
            <w:noProof/>
            <w:webHidden/>
          </w:rPr>
          <w:fldChar w:fldCharType="begin"/>
        </w:r>
        <w:r>
          <w:rPr>
            <w:noProof/>
            <w:webHidden/>
          </w:rPr>
          <w:instrText xml:space="preserve"> PAGEREF _Toc420814623 \h </w:instrText>
        </w:r>
        <w:r>
          <w:rPr>
            <w:noProof/>
            <w:webHidden/>
          </w:rPr>
        </w:r>
        <w:r>
          <w:rPr>
            <w:noProof/>
            <w:webHidden/>
          </w:rPr>
          <w:fldChar w:fldCharType="separate"/>
        </w:r>
        <w:r>
          <w:rPr>
            <w:noProof/>
            <w:webHidden/>
          </w:rPr>
          <w:t>1148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4" w:history="1">
        <w:r w:rsidRPr="002F4868">
          <w:rPr>
            <w:rStyle w:val="a5"/>
            <w:noProof/>
          </w:rPr>
          <w:t>Title: Asian-Australasian Journal of Animal Sciences</w:t>
        </w:r>
        <w:r>
          <w:rPr>
            <w:noProof/>
            <w:webHidden/>
          </w:rPr>
          <w:tab/>
        </w:r>
        <w:r>
          <w:rPr>
            <w:noProof/>
            <w:webHidden/>
          </w:rPr>
          <w:fldChar w:fldCharType="begin"/>
        </w:r>
        <w:r>
          <w:rPr>
            <w:noProof/>
            <w:webHidden/>
          </w:rPr>
          <w:instrText xml:space="preserve"> PAGEREF _Toc420814624 \h </w:instrText>
        </w:r>
        <w:r>
          <w:rPr>
            <w:noProof/>
            <w:webHidden/>
          </w:rPr>
        </w:r>
        <w:r>
          <w:rPr>
            <w:noProof/>
            <w:webHidden/>
          </w:rPr>
          <w:fldChar w:fldCharType="separate"/>
        </w:r>
        <w:r>
          <w:rPr>
            <w:noProof/>
            <w:webHidden/>
          </w:rPr>
          <w:t>1149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5" w:history="1">
        <w:r w:rsidRPr="002F4868">
          <w:rPr>
            <w:rStyle w:val="a5"/>
            <w:noProof/>
          </w:rPr>
          <w:t>Title: Asian Biomedicine</w:t>
        </w:r>
        <w:r>
          <w:rPr>
            <w:noProof/>
            <w:webHidden/>
          </w:rPr>
          <w:tab/>
        </w:r>
        <w:r>
          <w:rPr>
            <w:noProof/>
            <w:webHidden/>
          </w:rPr>
          <w:fldChar w:fldCharType="begin"/>
        </w:r>
        <w:r>
          <w:rPr>
            <w:noProof/>
            <w:webHidden/>
          </w:rPr>
          <w:instrText xml:space="preserve"> PAGEREF _Toc420814625 \h </w:instrText>
        </w:r>
        <w:r>
          <w:rPr>
            <w:noProof/>
            <w:webHidden/>
          </w:rPr>
        </w:r>
        <w:r>
          <w:rPr>
            <w:noProof/>
            <w:webHidden/>
          </w:rPr>
          <w:fldChar w:fldCharType="separate"/>
        </w:r>
        <w:r>
          <w:rPr>
            <w:noProof/>
            <w:webHidden/>
          </w:rPr>
          <w:t>1152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6" w:history="1">
        <w:r w:rsidRPr="002F4868">
          <w:rPr>
            <w:rStyle w:val="a5"/>
            <w:noProof/>
          </w:rPr>
          <w:t>Title: Asian Business &amp; Management</w:t>
        </w:r>
        <w:r>
          <w:rPr>
            <w:noProof/>
            <w:webHidden/>
          </w:rPr>
          <w:tab/>
        </w:r>
        <w:r>
          <w:rPr>
            <w:noProof/>
            <w:webHidden/>
          </w:rPr>
          <w:fldChar w:fldCharType="begin"/>
        </w:r>
        <w:r>
          <w:rPr>
            <w:noProof/>
            <w:webHidden/>
          </w:rPr>
          <w:instrText xml:space="preserve"> PAGEREF _Toc420814626 \h </w:instrText>
        </w:r>
        <w:r>
          <w:rPr>
            <w:noProof/>
            <w:webHidden/>
          </w:rPr>
        </w:r>
        <w:r>
          <w:rPr>
            <w:noProof/>
            <w:webHidden/>
          </w:rPr>
          <w:fldChar w:fldCharType="separate"/>
        </w:r>
        <w:r>
          <w:rPr>
            <w:noProof/>
            <w:webHidden/>
          </w:rPr>
          <w:t>1154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7" w:history="1">
        <w:r w:rsidRPr="002F4868">
          <w:rPr>
            <w:rStyle w:val="a5"/>
            <w:noProof/>
          </w:rPr>
          <w:t>Title: Asian Journal of Andrology</w:t>
        </w:r>
        <w:r>
          <w:rPr>
            <w:noProof/>
            <w:webHidden/>
          </w:rPr>
          <w:tab/>
        </w:r>
        <w:r>
          <w:rPr>
            <w:noProof/>
            <w:webHidden/>
          </w:rPr>
          <w:fldChar w:fldCharType="begin"/>
        </w:r>
        <w:r>
          <w:rPr>
            <w:noProof/>
            <w:webHidden/>
          </w:rPr>
          <w:instrText xml:space="preserve"> PAGEREF _Toc420814627 \h </w:instrText>
        </w:r>
        <w:r>
          <w:rPr>
            <w:noProof/>
            <w:webHidden/>
          </w:rPr>
        </w:r>
        <w:r>
          <w:rPr>
            <w:noProof/>
            <w:webHidden/>
          </w:rPr>
          <w:fldChar w:fldCharType="separate"/>
        </w:r>
        <w:r>
          <w:rPr>
            <w:noProof/>
            <w:webHidden/>
          </w:rPr>
          <w:t>1155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8" w:history="1">
        <w:r w:rsidRPr="002F4868">
          <w:rPr>
            <w:rStyle w:val="a5"/>
            <w:noProof/>
          </w:rPr>
          <w:t>Title: Autoimmunity Reviews</w:t>
        </w:r>
        <w:r>
          <w:rPr>
            <w:noProof/>
            <w:webHidden/>
          </w:rPr>
          <w:tab/>
        </w:r>
        <w:r>
          <w:rPr>
            <w:noProof/>
            <w:webHidden/>
          </w:rPr>
          <w:fldChar w:fldCharType="begin"/>
        </w:r>
        <w:r>
          <w:rPr>
            <w:noProof/>
            <w:webHidden/>
          </w:rPr>
          <w:instrText xml:space="preserve"> PAGEREF _Toc420814628 \h </w:instrText>
        </w:r>
        <w:r>
          <w:rPr>
            <w:noProof/>
            <w:webHidden/>
          </w:rPr>
        </w:r>
        <w:r>
          <w:rPr>
            <w:noProof/>
            <w:webHidden/>
          </w:rPr>
          <w:fldChar w:fldCharType="separate"/>
        </w:r>
        <w:r>
          <w:rPr>
            <w:noProof/>
            <w:webHidden/>
          </w:rPr>
          <w:t>1158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29" w:history="1">
        <w:r w:rsidRPr="002F4868">
          <w:rPr>
            <w:rStyle w:val="a5"/>
            <w:noProof/>
          </w:rPr>
          <w:t>Title: Asian Journal of Chemistry</w:t>
        </w:r>
        <w:r>
          <w:rPr>
            <w:noProof/>
            <w:webHidden/>
          </w:rPr>
          <w:tab/>
        </w:r>
        <w:r>
          <w:rPr>
            <w:noProof/>
            <w:webHidden/>
          </w:rPr>
          <w:fldChar w:fldCharType="begin"/>
        </w:r>
        <w:r>
          <w:rPr>
            <w:noProof/>
            <w:webHidden/>
          </w:rPr>
          <w:instrText xml:space="preserve"> PAGEREF _Toc420814629 \h </w:instrText>
        </w:r>
        <w:r>
          <w:rPr>
            <w:noProof/>
            <w:webHidden/>
          </w:rPr>
        </w:r>
        <w:r>
          <w:rPr>
            <w:noProof/>
            <w:webHidden/>
          </w:rPr>
          <w:fldChar w:fldCharType="separate"/>
        </w:r>
        <w:r>
          <w:rPr>
            <w:noProof/>
            <w:webHidden/>
          </w:rPr>
          <w:t>1160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0" w:history="1">
        <w:r w:rsidRPr="002F4868">
          <w:rPr>
            <w:rStyle w:val="a5"/>
            <w:noProof/>
          </w:rPr>
          <w:t>Title: Asian Journal of Communication</w:t>
        </w:r>
        <w:r>
          <w:rPr>
            <w:noProof/>
            <w:webHidden/>
          </w:rPr>
          <w:tab/>
        </w:r>
        <w:r>
          <w:rPr>
            <w:noProof/>
            <w:webHidden/>
          </w:rPr>
          <w:fldChar w:fldCharType="begin"/>
        </w:r>
        <w:r>
          <w:rPr>
            <w:noProof/>
            <w:webHidden/>
          </w:rPr>
          <w:instrText xml:space="preserve"> PAGEREF _Toc420814630 \h </w:instrText>
        </w:r>
        <w:r>
          <w:rPr>
            <w:noProof/>
            <w:webHidden/>
          </w:rPr>
        </w:r>
        <w:r>
          <w:rPr>
            <w:noProof/>
            <w:webHidden/>
          </w:rPr>
          <w:fldChar w:fldCharType="separate"/>
        </w:r>
        <w:r>
          <w:rPr>
            <w:noProof/>
            <w:webHidden/>
          </w:rPr>
          <w:t>1164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1" w:history="1">
        <w:r w:rsidRPr="002F4868">
          <w:rPr>
            <w:rStyle w:val="a5"/>
            <w:noProof/>
          </w:rPr>
          <w:t>Title: Asian Journal of Psychiatry</w:t>
        </w:r>
        <w:r>
          <w:rPr>
            <w:noProof/>
            <w:webHidden/>
          </w:rPr>
          <w:tab/>
        </w:r>
        <w:r>
          <w:rPr>
            <w:noProof/>
            <w:webHidden/>
          </w:rPr>
          <w:fldChar w:fldCharType="begin"/>
        </w:r>
        <w:r>
          <w:rPr>
            <w:noProof/>
            <w:webHidden/>
          </w:rPr>
          <w:instrText xml:space="preserve"> PAGEREF _Toc420814631 \h </w:instrText>
        </w:r>
        <w:r>
          <w:rPr>
            <w:noProof/>
            <w:webHidden/>
          </w:rPr>
        </w:r>
        <w:r>
          <w:rPr>
            <w:noProof/>
            <w:webHidden/>
          </w:rPr>
          <w:fldChar w:fldCharType="separate"/>
        </w:r>
        <w:r>
          <w:rPr>
            <w:noProof/>
            <w:webHidden/>
          </w:rPr>
          <w:t>1165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2" w:history="1">
        <w:r w:rsidRPr="002F4868">
          <w:rPr>
            <w:rStyle w:val="a5"/>
            <w:noProof/>
          </w:rPr>
          <w:t>Title: Asian Journal of Social Psychology</w:t>
        </w:r>
        <w:r>
          <w:rPr>
            <w:noProof/>
            <w:webHidden/>
          </w:rPr>
          <w:tab/>
        </w:r>
        <w:r>
          <w:rPr>
            <w:noProof/>
            <w:webHidden/>
          </w:rPr>
          <w:fldChar w:fldCharType="begin"/>
        </w:r>
        <w:r>
          <w:rPr>
            <w:noProof/>
            <w:webHidden/>
          </w:rPr>
          <w:instrText xml:space="preserve"> PAGEREF _Toc420814632 \h </w:instrText>
        </w:r>
        <w:r>
          <w:rPr>
            <w:noProof/>
            <w:webHidden/>
          </w:rPr>
        </w:r>
        <w:r>
          <w:rPr>
            <w:noProof/>
            <w:webHidden/>
          </w:rPr>
          <w:fldChar w:fldCharType="separate"/>
        </w:r>
        <w:r>
          <w:rPr>
            <w:noProof/>
            <w:webHidden/>
          </w:rPr>
          <w:t>1167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3" w:history="1">
        <w:r w:rsidRPr="002F4868">
          <w:rPr>
            <w:rStyle w:val="a5"/>
            <w:noProof/>
          </w:rPr>
          <w:t>Title: Asian Journal of Surgery</w:t>
        </w:r>
        <w:r>
          <w:rPr>
            <w:noProof/>
            <w:webHidden/>
          </w:rPr>
          <w:tab/>
        </w:r>
        <w:r>
          <w:rPr>
            <w:noProof/>
            <w:webHidden/>
          </w:rPr>
          <w:fldChar w:fldCharType="begin"/>
        </w:r>
        <w:r>
          <w:rPr>
            <w:noProof/>
            <w:webHidden/>
          </w:rPr>
          <w:instrText xml:space="preserve"> PAGEREF _Toc420814633 \h </w:instrText>
        </w:r>
        <w:r>
          <w:rPr>
            <w:noProof/>
            <w:webHidden/>
          </w:rPr>
        </w:r>
        <w:r>
          <w:rPr>
            <w:noProof/>
            <w:webHidden/>
          </w:rPr>
          <w:fldChar w:fldCharType="separate"/>
        </w:r>
        <w:r>
          <w:rPr>
            <w:noProof/>
            <w:webHidden/>
          </w:rPr>
          <w:t>1168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4" w:history="1">
        <w:r w:rsidRPr="002F4868">
          <w:rPr>
            <w:rStyle w:val="a5"/>
            <w:noProof/>
          </w:rPr>
          <w:t>Title: Asian Journal of Technology Innovation</w:t>
        </w:r>
        <w:r>
          <w:rPr>
            <w:noProof/>
            <w:webHidden/>
          </w:rPr>
          <w:tab/>
        </w:r>
        <w:r>
          <w:rPr>
            <w:noProof/>
            <w:webHidden/>
          </w:rPr>
          <w:fldChar w:fldCharType="begin"/>
        </w:r>
        <w:r>
          <w:rPr>
            <w:noProof/>
            <w:webHidden/>
          </w:rPr>
          <w:instrText xml:space="preserve"> PAGEREF _Toc420814634 \h </w:instrText>
        </w:r>
        <w:r>
          <w:rPr>
            <w:noProof/>
            <w:webHidden/>
          </w:rPr>
        </w:r>
        <w:r>
          <w:rPr>
            <w:noProof/>
            <w:webHidden/>
          </w:rPr>
          <w:fldChar w:fldCharType="separate"/>
        </w:r>
        <w:r>
          <w:rPr>
            <w:noProof/>
            <w:webHidden/>
          </w:rPr>
          <w:t>1169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5" w:history="1">
        <w:r w:rsidRPr="002F4868">
          <w:rPr>
            <w:rStyle w:val="a5"/>
            <w:noProof/>
          </w:rPr>
          <w:t>Title: Asian Libraries</w:t>
        </w:r>
        <w:r>
          <w:rPr>
            <w:noProof/>
            <w:webHidden/>
          </w:rPr>
          <w:tab/>
        </w:r>
        <w:r>
          <w:rPr>
            <w:noProof/>
            <w:webHidden/>
          </w:rPr>
          <w:fldChar w:fldCharType="begin"/>
        </w:r>
        <w:r>
          <w:rPr>
            <w:noProof/>
            <w:webHidden/>
          </w:rPr>
          <w:instrText xml:space="preserve"> PAGEREF _Toc420814635 \h </w:instrText>
        </w:r>
        <w:r>
          <w:rPr>
            <w:noProof/>
            <w:webHidden/>
          </w:rPr>
        </w:r>
        <w:r>
          <w:rPr>
            <w:noProof/>
            <w:webHidden/>
          </w:rPr>
          <w:fldChar w:fldCharType="separate"/>
        </w:r>
        <w:r>
          <w:rPr>
            <w:noProof/>
            <w:webHidden/>
          </w:rPr>
          <w:t>1170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6" w:history="1">
        <w:r w:rsidRPr="002F4868">
          <w:rPr>
            <w:rStyle w:val="a5"/>
            <w:noProof/>
          </w:rPr>
          <w:t>Title: Asian-Pacific Economic Literature</w:t>
        </w:r>
        <w:r>
          <w:rPr>
            <w:noProof/>
            <w:webHidden/>
          </w:rPr>
          <w:tab/>
        </w:r>
        <w:r>
          <w:rPr>
            <w:noProof/>
            <w:webHidden/>
          </w:rPr>
          <w:fldChar w:fldCharType="begin"/>
        </w:r>
        <w:r>
          <w:rPr>
            <w:noProof/>
            <w:webHidden/>
          </w:rPr>
          <w:instrText xml:space="preserve"> PAGEREF _Toc420814636 \h </w:instrText>
        </w:r>
        <w:r>
          <w:rPr>
            <w:noProof/>
            <w:webHidden/>
          </w:rPr>
        </w:r>
        <w:r>
          <w:rPr>
            <w:noProof/>
            <w:webHidden/>
          </w:rPr>
          <w:fldChar w:fldCharType="separate"/>
        </w:r>
        <w:r>
          <w:rPr>
            <w:noProof/>
            <w:webHidden/>
          </w:rPr>
          <w:t>1172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7" w:history="1">
        <w:r w:rsidRPr="002F4868">
          <w:rPr>
            <w:rStyle w:val="a5"/>
            <w:noProof/>
          </w:rPr>
          <w:t>Title: Asian Pacific Journal of Cancer Prevention</w:t>
        </w:r>
        <w:r>
          <w:rPr>
            <w:noProof/>
            <w:webHidden/>
          </w:rPr>
          <w:tab/>
        </w:r>
        <w:r>
          <w:rPr>
            <w:noProof/>
            <w:webHidden/>
          </w:rPr>
          <w:fldChar w:fldCharType="begin"/>
        </w:r>
        <w:r>
          <w:rPr>
            <w:noProof/>
            <w:webHidden/>
          </w:rPr>
          <w:instrText xml:space="preserve"> PAGEREF _Toc420814637 \h </w:instrText>
        </w:r>
        <w:r>
          <w:rPr>
            <w:noProof/>
            <w:webHidden/>
          </w:rPr>
        </w:r>
        <w:r>
          <w:rPr>
            <w:noProof/>
            <w:webHidden/>
          </w:rPr>
          <w:fldChar w:fldCharType="separate"/>
        </w:r>
        <w:r>
          <w:rPr>
            <w:noProof/>
            <w:webHidden/>
          </w:rPr>
          <w:t>1173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8" w:history="1">
        <w:r w:rsidRPr="002F4868">
          <w:rPr>
            <w:rStyle w:val="a5"/>
            <w:noProof/>
          </w:rPr>
          <w:t>Title: Asian Pacific Journal of Tropical Medicine</w:t>
        </w:r>
        <w:r>
          <w:rPr>
            <w:noProof/>
            <w:webHidden/>
          </w:rPr>
          <w:tab/>
        </w:r>
        <w:r>
          <w:rPr>
            <w:noProof/>
            <w:webHidden/>
          </w:rPr>
          <w:fldChar w:fldCharType="begin"/>
        </w:r>
        <w:r>
          <w:rPr>
            <w:noProof/>
            <w:webHidden/>
          </w:rPr>
          <w:instrText xml:space="preserve"> PAGEREF _Toc420814638 \h </w:instrText>
        </w:r>
        <w:r>
          <w:rPr>
            <w:noProof/>
            <w:webHidden/>
          </w:rPr>
        </w:r>
        <w:r>
          <w:rPr>
            <w:noProof/>
            <w:webHidden/>
          </w:rPr>
          <w:fldChar w:fldCharType="separate"/>
        </w:r>
        <w:r>
          <w:rPr>
            <w:noProof/>
            <w:webHidden/>
          </w:rPr>
          <w:t>1217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39" w:history="1">
        <w:r w:rsidRPr="002F4868">
          <w:rPr>
            <w:rStyle w:val="a5"/>
            <w:noProof/>
          </w:rPr>
          <w:t>Title: Asian Survey</w:t>
        </w:r>
        <w:r>
          <w:rPr>
            <w:noProof/>
            <w:webHidden/>
          </w:rPr>
          <w:tab/>
        </w:r>
        <w:r>
          <w:rPr>
            <w:noProof/>
            <w:webHidden/>
          </w:rPr>
          <w:fldChar w:fldCharType="begin"/>
        </w:r>
        <w:r>
          <w:rPr>
            <w:noProof/>
            <w:webHidden/>
          </w:rPr>
          <w:instrText xml:space="preserve"> PAGEREF _Toc420814639 \h </w:instrText>
        </w:r>
        <w:r>
          <w:rPr>
            <w:noProof/>
            <w:webHidden/>
          </w:rPr>
        </w:r>
        <w:r>
          <w:rPr>
            <w:noProof/>
            <w:webHidden/>
          </w:rPr>
          <w:fldChar w:fldCharType="separate"/>
        </w:r>
        <w:r>
          <w:rPr>
            <w:noProof/>
            <w:webHidden/>
          </w:rPr>
          <w:t>1220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0" w:history="1">
        <w:r w:rsidRPr="002F4868">
          <w:rPr>
            <w:rStyle w:val="a5"/>
            <w:noProof/>
          </w:rPr>
          <w:t>Title: ASIST 2001: Proceedings of the 64th ASIST Annual Meeting, Vol 38, 2001</w:t>
        </w:r>
        <w:r>
          <w:rPr>
            <w:noProof/>
            <w:webHidden/>
          </w:rPr>
          <w:tab/>
        </w:r>
        <w:r>
          <w:rPr>
            <w:noProof/>
            <w:webHidden/>
          </w:rPr>
          <w:fldChar w:fldCharType="begin"/>
        </w:r>
        <w:r>
          <w:rPr>
            <w:noProof/>
            <w:webHidden/>
          </w:rPr>
          <w:instrText xml:space="preserve"> PAGEREF _Toc420814640 \h </w:instrText>
        </w:r>
        <w:r>
          <w:rPr>
            <w:noProof/>
            <w:webHidden/>
          </w:rPr>
        </w:r>
        <w:r>
          <w:rPr>
            <w:noProof/>
            <w:webHidden/>
          </w:rPr>
          <w:fldChar w:fldCharType="separate"/>
        </w:r>
        <w:r>
          <w:rPr>
            <w:noProof/>
            <w:webHidden/>
          </w:rPr>
          <w:t>1221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1" w:history="1">
        <w:r w:rsidRPr="002F4868">
          <w:rPr>
            <w:rStyle w:val="a5"/>
            <w:noProof/>
          </w:rPr>
          <w:t>Title: Asist Monograph Series</w:t>
        </w:r>
        <w:r>
          <w:rPr>
            <w:noProof/>
            <w:webHidden/>
          </w:rPr>
          <w:tab/>
        </w:r>
        <w:r>
          <w:rPr>
            <w:noProof/>
            <w:webHidden/>
          </w:rPr>
          <w:fldChar w:fldCharType="begin"/>
        </w:r>
        <w:r>
          <w:rPr>
            <w:noProof/>
            <w:webHidden/>
          </w:rPr>
          <w:instrText xml:space="preserve"> PAGEREF _Toc420814641 \h </w:instrText>
        </w:r>
        <w:r>
          <w:rPr>
            <w:noProof/>
            <w:webHidden/>
          </w:rPr>
        </w:r>
        <w:r>
          <w:rPr>
            <w:noProof/>
            <w:webHidden/>
          </w:rPr>
          <w:fldChar w:fldCharType="separate"/>
        </w:r>
        <w:r>
          <w:rPr>
            <w:noProof/>
            <w:webHidden/>
          </w:rPr>
          <w:t>1222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2" w:history="1">
        <w:r w:rsidRPr="002F4868">
          <w:rPr>
            <w:rStyle w:val="a5"/>
            <w:noProof/>
          </w:rPr>
          <w:t>Title: Aslib Journal of Information Management</w:t>
        </w:r>
        <w:r>
          <w:rPr>
            <w:noProof/>
            <w:webHidden/>
          </w:rPr>
          <w:tab/>
        </w:r>
        <w:r>
          <w:rPr>
            <w:noProof/>
            <w:webHidden/>
          </w:rPr>
          <w:fldChar w:fldCharType="begin"/>
        </w:r>
        <w:r>
          <w:rPr>
            <w:noProof/>
            <w:webHidden/>
          </w:rPr>
          <w:instrText xml:space="preserve"> PAGEREF _Toc420814642 \h </w:instrText>
        </w:r>
        <w:r>
          <w:rPr>
            <w:noProof/>
            <w:webHidden/>
          </w:rPr>
        </w:r>
        <w:r>
          <w:rPr>
            <w:noProof/>
            <w:webHidden/>
          </w:rPr>
          <w:fldChar w:fldCharType="separate"/>
        </w:r>
        <w:r>
          <w:rPr>
            <w:noProof/>
            <w:webHidden/>
          </w:rPr>
          <w:t>1226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3" w:history="1">
        <w:r w:rsidRPr="002F4868">
          <w:rPr>
            <w:rStyle w:val="a5"/>
            <w:noProof/>
          </w:rPr>
          <w:t>Title: Aslib Proceedings</w:t>
        </w:r>
        <w:r>
          <w:rPr>
            <w:noProof/>
            <w:webHidden/>
          </w:rPr>
          <w:tab/>
        </w:r>
        <w:r>
          <w:rPr>
            <w:noProof/>
            <w:webHidden/>
          </w:rPr>
          <w:fldChar w:fldCharType="begin"/>
        </w:r>
        <w:r>
          <w:rPr>
            <w:noProof/>
            <w:webHidden/>
          </w:rPr>
          <w:instrText xml:space="preserve"> PAGEREF _Toc420814643 \h </w:instrText>
        </w:r>
        <w:r>
          <w:rPr>
            <w:noProof/>
            <w:webHidden/>
          </w:rPr>
        </w:r>
        <w:r>
          <w:rPr>
            <w:noProof/>
            <w:webHidden/>
          </w:rPr>
          <w:fldChar w:fldCharType="separate"/>
        </w:r>
        <w:r>
          <w:rPr>
            <w:noProof/>
            <w:webHidden/>
          </w:rPr>
          <w:t>1233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4" w:history="1">
        <w:r w:rsidRPr="002F4868">
          <w:rPr>
            <w:rStyle w:val="a5"/>
            <w:noProof/>
          </w:rPr>
          <w:t>Title: ASM News</w:t>
        </w:r>
        <w:r>
          <w:rPr>
            <w:noProof/>
            <w:webHidden/>
          </w:rPr>
          <w:tab/>
        </w:r>
        <w:r>
          <w:rPr>
            <w:noProof/>
            <w:webHidden/>
          </w:rPr>
          <w:fldChar w:fldCharType="begin"/>
        </w:r>
        <w:r>
          <w:rPr>
            <w:noProof/>
            <w:webHidden/>
          </w:rPr>
          <w:instrText xml:space="preserve"> PAGEREF _Toc420814644 \h </w:instrText>
        </w:r>
        <w:r>
          <w:rPr>
            <w:noProof/>
            <w:webHidden/>
          </w:rPr>
        </w:r>
        <w:r>
          <w:rPr>
            <w:noProof/>
            <w:webHidden/>
          </w:rPr>
          <w:fldChar w:fldCharType="separate"/>
        </w:r>
        <w:r>
          <w:rPr>
            <w:noProof/>
            <w:webHidden/>
          </w:rPr>
          <w:t>1255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5" w:history="1">
        <w:r w:rsidRPr="002F4868">
          <w:rPr>
            <w:rStyle w:val="a5"/>
            <w:noProof/>
          </w:rPr>
          <w:t>Title: Assessment</w:t>
        </w:r>
        <w:r>
          <w:rPr>
            <w:noProof/>
            <w:webHidden/>
          </w:rPr>
          <w:tab/>
        </w:r>
        <w:r>
          <w:rPr>
            <w:noProof/>
            <w:webHidden/>
          </w:rPr>
          <w:fldChar w:fldCharType="begin"/>
        </w:r>
        <w:r>
          <w:rPr>
            <w:noProof/>
            <w:webHidden/>
          </w:rPr>
          <w:instrText xml:space="preserve"> PAGEREF _Toc420814645 \h </w:instrText>
        </w:r>
        <w:r>
          <w:rPr>
            <w:noProof/>
            <w:webHidden/>
          </w:rPr>
        </w:r>
        <w:r>
          <w:rPr>
            <w:noProof/>
            <w:webHidden/>
          </w:rPr>
          <w:fldChar w:fldCharType="separate"/>
        </w:r>
        <w:r>
          <w:rPr>
            <w:noProof/>
            <w:webHidden/>
          </w:rPr>
          <w:t>1256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6" w:history="1">
        <w:r w:rsidRPr="002F4868">
          <w:rPr>
            <w:rStyle w:val="a5"/>
            <w:noProof/>
          </w:rPr>
          <w:t>Title: Assessment &amp; Evaluation in Higher Education</w:t>
        </w:r>
        <w:r>
          <w:rPr>
            <w:noProof/>
            <w:webHidden/>
          </w:rPr>
          <w:tab/>
        </w:r>
        <w:r>
          <w:rPr>
            <w:noProof/>
            <w:webHidden/>
          </w:rPr>
          <w:fldChar w:fldCharType="begin"/>
        </w:r>
        <w:r>
          <w:rPr>
            <w:noProof/>
            <w:webHidden/>
          </w:rPr>
          <w:instrText xml:space="preserve"> PAGEREF _Toc420814646 \h </w:instrText>
        </w:r>
        <w:r>
          <w:rPr>
            <w:noProof/>
            <w:webHidden/>
          </w:rPr>
        </w:r>
        <w:r>
          <w:rPr>
            <w:noProof/>
            <w:webHidden/>
          </w:rPr>
          <w:fldChar w:fldCharType="separate"/>
        </w:r>
        <w:r>
          <w:rPr>
            <w:noProof/>
            <w:webHidden/>
          </w:rPr>
          <w:t>1257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7" w:history="1">
        <w:r w:rsidRPr="002F4868">
          <w:rPr>
            <w:rStyle w:val="a5"/>
            <w:noProof/>
          </w:rPr>
          <w:t>Title: Astronomical Data Analysis Software and Systems XXI</w:t>
        </w:r>
        <w:r>
          <w:rPr>
            <w:noProof/>
            <w:webHidden/>
          </w:rPr>
          <w:tab/>
        </w:r>
        <w:r>
          <w:rPr>
            <w:noProof/>
            <w:webHidden/>
          </w:rPr>
          <w:fldChar w:fldCharType="begin"/>
        </w:r>
        <w:r>
          <w:rPr>
            <w:noProof/>
            <w:webHidden/>
          </w:rPr>
          <w:instrText xml:space="preserve"> PAGEREF _Toc420814647 \h </w:instrText>
        </w:r>
        <w:r>
          <w:rPr>
            <w:noProof/>
            <w:webHidden/>
          </w:rPr>
        </w:r>
        <w:r>
          <w:rPr>
            <w:noProof/>
            <w:webHidden/>
          </w:rPr>
          <w:fldChar w:fldCharType="separate"/>
        </w:r>
        <w:r>
          <w:rPr>
            <w:noProof/>
            <w:webHidden/>
          </w:rPr>
          <w:t>1259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8" w:history="1">
        <w:r w:rsidRPr="002F4868">
          <w:rPr>
            <w:rStyle w:val="a5"/>
            <w:noProof/>
          </w:rPr>
          <w:t>Title: Astronomical Journal</w:t>
        </w:r>
        <w:r>
          <w:rPr>
            <w:noProof/>
            <w:webHidden/>
          </w:rPr>
          <w:tab/>
        </w:r>
        <w:r>
          <w:rPr>
            <w:noProof/>
            <w:webHidden/>
          </w:rPr>
          <w:fldChar w:fldCharType="begin"/>
        </w:r>
        <w:r>
          <w:rPr>
            <w:noProof/>
            <w:webHidden/>
          </w:rPr>
          <w:instrText xml:space="preserve"> PAGEREF _Toc420814648 \h </w:instrText>
        </w:r>
        <w:r>
          <w:rPr>
            <w:noProof/>
            <w:webHidden/>
          </w:rPr>
        </w:r>
        <w:r>
          <w:rPr>
            <w:noProof/>
            <w:webHidden/>
          </w:rPr>
          <w:fldChar w:fldCharType="separate"/>
        </w:r>
        <w:r>
          <w:rPr>
            <w:noProof/>
            <w:webHidden/>
          </w:rPr>
          <w:t>1260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49" w:history="1">
        <w:r w:rsidRPr="002F4868">
          <w:rPr>
            <w:rStyle w:val="a5"/>
            <w:noProof/>
          </w:rPr>
          <w:t>Title: Astronomische Nachrichten</w:t>
        </w:r>
        <w:r>
          <w:rPr>
            <w:noProof/>
            <w:webHidden/>
          </w:rPr>
          <w:tab/>
        </w:r>
        <w:r>
          <w:rPr>
            <w:noProof/>
            <w:webHidden/>
          </w:rPr>
          <w:fldChar w:fldCharType="begin"/>
        </w:r>
        <w:r>
          <w:rPr>
            <w:noProof/>
            <w:webHidden/>
          </w:rPr>
          <w:instrText xml:space="preserve"> PAGEREF _Toc420814649 \h </w:instrText>
        </w:r>
        <w:r>
          <w:rPr>
            <w:noProof/>
            <w:webHidden/>
          </w:rPr>
        </w:r>
        <w:r>
          <w:rPr>
            <w:noProof/>
            <w:webHidden/>
          </w:rPr>
          <w:fldChar w:fldCharType="separate"/>
        </w:r>
        <w:r>
          <w:rPr>
            <w:noProof/>
            <w:webHidden/>
          </w:rPr>
          <w:t>1261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0" w:history="1">
        <w:r w:rsidRPr="002F4868">
          <w:rPr>
            <w:rStyle w:val="a5"/>
            <w:noProof/>
          </w:rPr>
          <w:t>Title: Astronomy &amp; Geophysics</w:t>
        </w:r>
        <w:r>
          <w:rPr>
            <w:noProof/>
            <w:webHidden/>
          </w:rPr>
          <w:tab/>
        </w:r>
        <w:r>
          <w:rPr>
            <w:noProof/>
            <w:webHidden/>
          </w:rPr>
          <w:fldChar w:fldCharType="begin"/>
        </w:r>
        <w:r>
          <w:rPr>
            <w:noProof/>
            <w:webHidden/>
          </w:rPr>
          <w:instrText xml:space="preserve"> PAGEREF _Toc420814650 \h </w:instrText>
        </w:r>
        <w:r>
          <w:rPr>
            <w:noProof/>
            <w:webHidden/>
          </w:rPr>
        </w:r>
        <w:r>
          <w:rPr>
            <w:noProof/>
            <w:webHidden/>
          </w:rPr>
          <w:fldChar w:fldCharType="separate"/>
        </w:r>
        <w:r>
          <w:rPr>
            <w:noProof/>
            <w:webHidden/>
          </w:rPr>
          <w:t>1262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1" w:history="1">
        <w:r w:rsidRPr="002F4868">
          <w:rPr>
            <w:rStyle w:val="a5"/>
            <w:noProof/>
          </w:rPr>
          <w:t>Title: Astrophysical Journal</w:t>
        </w:r>
        <w:r>
          <w:rPr>
            <w:noProof/>
            <w:webHidden/>
          </w:rPr>
          <w:tab/>
        </w:r>
        <w:r>
          <w:rPr>
            <w:noProof/>
            <w:webHidden/>
          </w:rPr>
          <w:fldChar w:fldCharType="begin"/>
        </w:r>
        <w:r>
          <w:rPr>
            <w:noProof/>
            <w:webHidden/>
          </w:rPr>
          <w:instrText xml:space="preserve"> PAGEREF _Toc420814651 \h </w:instrText>
        </w:r>
        <w:r>
          <w:rPr>
            <w:noProof/>
            <w:webHidden/>
          </w:rPr>
        </w:r>
        <w:r>
          <w:rPr>
            <w:noProof/>
            <w:webHidden/>
          </w:rPr>
          <w:fldChar w:fldCharType="separate"/>
        </w:r>
        <w:r>
          <w:rPr>
            <w:noProof/>
            <w:webHidden/>
          </w:rPr>
          <w:t>1263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2" w:history="1">
        <w:r w:rsidRPr="002F4868">
          <w:rPr>
            <w:rStyle w:val="a5"/>
            <w:noProof/>
          </w:rPr>
          <w:t>Title: Atencion Primaria</w:t>
        </w:r>
        <w:r>
          <w:rPr>
            <w:noProof/>
            <w:webHidden/>
          </w:rPr>
          <w:tab/>
        </w:r>
        <w:r>
          <w:rPr>
            <w:noProof/>
            <w:webHidden/>
          </w:rPr>
          <w:fldChar w:fldCharType="begin"/>
        </w:r>
        <w:r>
          <w:rPr>
            <w:noProof/>
            <w:webHidden/>
          </w:rPr>
          <w:instrText xml:space="preserve"> PAGEREF _Toc420814652 \h </w:instrText>
        </w:r>
        <w:r>
          <w:rPr>
            <w:noProof/>
            <w:webHidden/>
          </w:rPr>
        </w:r>
        <w:r>
          <w:rPr>
            <w:noProof/>
            <w:webHidden/>
          </w:rPr>
          <w:fldChar w:fldCharType="separate"/>
        </w:r>
        <w:r>
          <w:rPr>
            <w:noProof/>
            <w:webHidden/>
          </w:rPr>
          <w:t>1265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3" w:history="1">
        <w:r w:rsidRPr="002F4868">
          <w:rPr>
            <w:rStyle w:val="a5"/>
            <w:noProof/>
          </w:rPr>
          <w:t>Title: Atherosclerosis</w:t>
        </w:r>
        <w:r>
          <w:rPr>
            <w:noProof/>
            <w:webHidden/>
          </w:rPr>
          <w:tab/>
        </w:r>
        <w:r>
          <w:rPr>
            <w:noProof/>
            <w:webHidden/>
          </w:rPr>
          <w:fldChar w:fldCharType="begin"/>
        </w:r>
        <w:r>
          <w:rPr>
            <w:noProof/>
            <w:webHidden/>
          </w:rPr>
          <w:instrText xml:space="preserve"> PAGEREF _Toc420814653 \h </w:instrText>
        </w:r>
        <w:r>
          <w:rPr>
            <w:noProof/>
            <w:webHidden/>
          </w:rPr>
        </w:r>
        <w:r>
          <w:rPr>
            <w:noProof/>
            <w:webHidden/>
          </w:rPr>
          <w:fldChar w:fldCharType="separate"/>
        </w:r>
        <w:r>
          <w:rPr>
            <w:noProof/>
            <w:webHidden/>
          </w:rPr>
          <w:t>1271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4" w:history="1">
        <w:r w:rsidRPr="002F4868">
          <w:rPr>
            <w:rStyle w:val="a5"/>
            <w:noProof/>
          </w:rPr>
          <w:t>Title: ATLA-Alternatives to Laboratory Animals</w:t>
        </w:r>
        <w:r>
          <w:rPr>
            <w:noProof/>
            <w:webHidden/>
          </w:rPr>
          <w:tab/>
        </w:r>
        <w:r>
          <w:rPr>
            <w:noProof/>
            <w:webHidden/>
          </w:rPr>
          <w:fldChar w:fldCharType="begin"/>
        </w:r>
        <w:r>
          <w:rPr>
            <w:noProof/>
            <w:webHidden/>
          </w:rPr>
          <w:instrText xml:space="preserve"> PAGEREF _Toc420814654 \h </w:instrText>
        </w:r>
        <w:r>
          <w:rPr>
            <w:noProof/>
            <w:webHidden/>
          </w:rPr>
        </w:r>
        <w:r>
          <w:rPr>
            <w:noProof/>
            <w:webHidden/>
          </w:rPr>
          <w:fldChar w:fldCharType="separate"/>
        </w:r>
        <w:r>
          <w:rPr>
            <w:noProof/>
            <w:webHidden/>
          </w:rPr>
          <w:t>1276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5" w:history="1">
        <w:r w:rsidRPr="002F4868">
          <w:rPr>
            <w:rStyle w:val="a5"/>
            <w:noProof/>
          </w:rPr>
          <w:t>Title: Atmosfera</w:t>
        </w:r>
        <w:r>
          <w:rPr>
            <w:noProof/>
            <w:webHidden/>
          </w:rPr>
          <w:tab/>
        </w:r>
        <w:r>
          <w:rPr>
            <w:noProof/>
            <w:webHidden/>
          </w:rPr>
          <w:fldChar w:fldCharType="begin"/>
        </w:r>
        <w:r>
          <w:rPr>
            <w:noProof/>
            <w:webHidden/>
          </w:rPr>
          <w:instrText xml:space="preserve"> PAGEREF _Toc420814655 \h </w:instrText>
        </w:r>
        <w:r>
          <w:rPr>
            <w:noProof/>
            <w:webHidden/>
          </w:rPr>
        </w:r>
        <w:r>
          <w:rPr>
            <w:noProof/>
            <w:webHidden/>
          </w:rPr>
          <w:fldChar w:fldCharType="separate"/>
        </w:r>
        <w:r>
          <w:rPr>
            <w:noProof/>
            <w:webHidden/>
          </w:rPr>
          <w:t>1277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6" w:history="1">
        <w:r w:rsidRPr="002F4868">
          <w:rPr>
            <w:rStyle w:val="a5"/>
            <w:noProof/>
          </w:rPr>
          <w:t>Title: Atmospheric Environment</w:t>
        </w:r>
        <w:r>
          <w:rPr>
            <w:noProof/>
            <w:webHidden/>
          </w:rPr>
          <w:tab/>
        </w:r>
        <w:r>
          <w:rPr>
            <w:noProof/>
            <w:webHidden/>
          </w:rPr>
          <w:fldChar w:fldCharType="begin"/>
        </w:r>
        <w:r>
          <w:rPr>
            <w:noProof/>
            <w:webHidden/>
          </w:rPr>
          <w:instrText xml:space="preserve"> PAGEREF _Toc420814656 \h </w:instrText>
        </w:r>
        <w:r>
          <w:rPr>
            <w:noProof/>
            <w:webHidden/>
          </w:rPr>
        </w:r>
        <w:r>
          <w:rPr>
            <w:noProof/>
            <w:webHidden/>
          </w:rPr>
          <w:fldChar w:fldCharType="separate"/>
        </w:r>
        <w:r>
          <w:rPr>
            <w:noProof/>
            <w:webHidden/>
          </w:rPr>
          <w:t>1278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7" w:history="1">
        <w:r w:rsidRPr="002F4868">
          <w:rPr>
            <w:rStyle w:val="a5"/>
            <w:noProof/>
          </w:rPr>
          <w:t>Title: Atmospheric Research</w:t>
        </w:r>
        <w:r>
          <w:rPr>
            <w:noProof/>
            <w:webHidden/>
          </w:rPr>
          <w:tab/>
        </w:r>
        <w:r>
          <w:rPr>
            <w:noProof/>
            <w:webHidden/>
          </w:rPr>
          <w:fldChar w:fldCharType="begin"/>
        </w:r>
        <w:r>
          <w:rPr>
            <w:noProof/>
            <w:webHidden/>
          </w:rPr>
          <w:instrText xml:space="preserve"> PAGEREF _Toc420814657 \h </w:instrText>
        </w:r>
        <w:r>
          <w:rPr>
            <w:noProof/>
            <w:webHidden/>
          </w:rPr>
        </w:r>
        <w:r>
          <w:rPr>
            <w:noProof/>
            <w:webHidden/>
          </w:rPr>
          <w:fldChar w:fldCharType="separate"/>
        </w:r>
        <w:r>
          <w:rPr>
            <w:noProof/>
            <w:webHidden/>
          </w:rPr>
          <w:t>1279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8" w:history="1">
        <w:r w:rsidRPr="002F4868">
          <w:rPr>
            <w:rStyle w:val="a5"/>
            <w:noProof/>
          </w:rPr>
          <w:t>Title: Auditing-A Journal of Practice &amp; Theory</w:t>
        </w:r>
        <w:r>
          <w:rPr>
            <w:noProof/>
            <w:webHidden/>
          </w:rPr>
          <w:tab/>
        </w:r>
        <w:r>
          <w:rPr>
            <w:noProof/>
            <w:webHidden/>
          </w:rPr>
          <w:fldChar w:fldCharType="begin"/>
        </w:r>
        <w:r>
          <w:rPr>
            <w:noProof/>
            <w:webHidden/>
          </w:rPr>
          <w:instrText xml:space="preserve"> PAGEREF _Toc420814658 \h </w:instrText>
        </w:r>
        <w:r>
          <w:rPr>
            <w:noProof/>
            <w:webHidden/>
          </w:rPr>
        </w:r>
        <w:r>
          <w:rPr>
            <w:noProof/>
            <w:webHidden/>
          </w:rPr>
          <w:fldChar w:fldCharType="separate"/>
        </w:r>
        <w:r>
          <w:rPr>
            <w:noProof/>
            <w:webHidden/>
          </w:rPr>
          <w:t>1280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59" w:history="1">
        <w:r w:rsidRPr="002F4868">
          <w:rPr>
            <w:rStyle w:val="a5"/>
            <w:noProof/>
          </w:rPr>
          <w:t>Title: Auris Nasus Larynx</w:t>
        </w:r>
        <w:r>
          <w:rPr>
            <w:noProof/>
            <w:webHidden/>
          </w:rPr>
          <w:tab/>
        </w:r>
        <w:r>
          <w:rPr>
            <w:noProof/>
            <w:webHidden/>
          </w:rPr>
          <w:fldChar w:fldCharType="begin"/>
        </w:r>
        <w:r>
          <w:rPr>
            <w:noProof/>
            <w:webHidden/>
          </w:rPr>
          <w:instrText xml:space="preserve"> PAGEREF _Toc420814659 \h </w:instrText>
        </w:r>
        <w:r>
          <w:rPr>
            <w:noProof/>
            <w:webHidden/>
          </w:rPr>
        </w:r>
        <w:r>
          <w:rPr>
            <w:noProof/>
            <w:webHidden/>
          </w:rPr>
          <w:fldChar w:fldCharType="separate"/>
        </w:r>
        <w:r>
          <w:rPr>
            <w:noProof/>
            <w:webHidden/>
          </w:rPr>
          <w:t>1281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0" w:history="1">
        <w:r w:rsidRPr="002F4868">
          <w:rPr>
            <w:rStyle w:val="a5"/>
            <w:noProof/>
          </w:rPr>
          <w:t>Title: Aut Aut</w:t>
        </w:r>
        <w:r>
          <w:rPr>
            <w:noProof/>
            <w:webHidden/>
          </w:rPr>
          <w:tab/>
        </w:r>
        <w:r>
          <w:rPr>
            <w:noProof/>
            <w:webHidden/>
          </w:rPr>
          <w:fldChar w:fldCharType="begin"/>
        </w:r>
        <w:r>
          <w:rPr>
            <w:noProof/>
            <w:webHidden/>
          </w:rPr>
          <w:instrText xml:space="preserve"> PAGEREF _Toc420814660 \h </w:instrText>
        </w:r>
        <w:r>
          <w:rPr>
            <w:noProof/>
            <w:webHidden/>
          </w:rPr>
        </w:r>
        <w:r>
          <w:rPr>
            <w:noProof/>
            <w:webHidden/>
          </w:rPr>
          <w:fldChar w:fldCharType="separate"/>
        </w:r>
        <w:r>
          <w:rPr>
            <w:noProof/>
            <w:webHidden/>
          </w:rPr>
          <w:t>1283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1" w:history="1">
        <w:r w:rsidRPr="002F4868">
          <w:rPr>
            <w:rStyle w:val="a5"/>
            <w:noProof/>
          </w:rPr>
          <w:t>Title: Austral Ecology</w:t>
        </w:r>
        <w:r>
          <w:rPr>
            <w:noProof/>
            <w:webHidden/>
          </w:rPr>
          <w:tab/>
        </w:r>
        <w:r>
          <w:rPr>
            <w:noProof/>
            <w:webHidden/>
          </w:rPr>
          <w:fldChar w:fldCharType="begin"/>
        </w:r>
        <w:r>
          <w:rPr>
            <w:noProof/>
            <w:webHidden/>
          </w:rPr>
          <w:instrText xml:space="preserve"> PAGEREF _Toc420814661 \h </w:instrText>
        </w:r>
        <w:r>
          <w:rPr>
            <w:noProof/>
            <w:webHidden/>
          </w:rPr>
        </w:r>
        <w:r>
          <w:rPr>
            <w:noProof/>
            <w:webHidden/>
          </w:rPr>
          <w:fldChar w:fldCharType="separate"/>
        </w:r>
        <w:r>
          <w:rPr>
            <w:noProof/>
            <w:webHidden/>
          </w:rPr>
          <w:t>1284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2" w:history="1">
        <w:r w:rsidRPr="002F4868">
          <w:rPr>
            <w:rStyle w:val="a5"/>
            <w:noProof/>
          </w:rPr>
          <w:t>Title: Australasian Journal of Educational Technology</w:t>
        </w:r>
        <w:r>
          <w:rPr>
            <w:noProof/>
            <w:webHidden/>
          </w:rPr>
          <w:tab/>
        </w:r>
        <w:r>
          <w:rPr>
            <w:noProof/>
            <w:webHidden/>
          </w:rPr>
          <w:fldChar w:fldCharType="begin"/>
        </w:r>
        <w:r>
          <w:rPr>
            <w:noProof/>
            <w:webHidden/>
          </w:rPr>
          <w:instrText xml:space="preserve"> PAGEREF _Toc420814662 \h </w:instrText>
        </w:r>
        <w:r>
          <w:rPr>
            <w:noProof/>
            <w:webHidden/>
          </w:rPr>
        </w:r>
        <w:r>
          <w:rPr>
            <w:noProof/>
            <w:webHidden/>
          </w:rPr>
          <w:fldChar w:fldCharType="separate"/>
        </w:r>
        <w:r>
          <w:rPr>
            <w:noProof/>
            <w:webHidden/>
          </w:rPr>
          <w:t>1285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3" w:history="1">
        <w:r w:rsidRPr="002F4868">
          <w:rPr>
            <w:rStyle w:val="a5"/>
            <w:noProof/>
          </w:rPr>
          <w:t>Title: Australasian Physical &amp; Engineering Sciences in Medicine</w:t>
        </w:r>
        <w:r>
          <w:rPr>
            <w:noProof/>
            <w:webHidden/>
          </w:rPr>
          <w:tab/>
        </w:r>
        <w:r>
          <w:rPr>
            <w:noProof/>
            <w:webHidden/>
          </w:rPr>
          <w:fldChar w:fldCharType="begin"/>
        </w:r>
        <w:r>
          <w:rPr>
            <w:noProof/>
            <w:webHidden/>
          </w:rPr>
          <w:instrText xml:space="preserve"> PAGEREF _Toc420814663 \h </w:instrText>
        </w:r>
        <w:r>
          <w:rPr>
            <w:noProof/>
            <w:webHidden/>
          </w:rPr>
        </w:r>
        <w:r>
          <w:rPr>
            <w:noProof/>
            <w:webHidden/>
          </w:rPr>
          <w:fldChar w:fldCharType="separate"/>
        </w:r>
        <w:r>
          <w:rPr>
            <w:noProof/>
            <w:webHidden/>
          </w:rPr>
          <w:t>1286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4" w:history="1">
        <w:r w:rsidRPr="002F4868">
          <w:rPr>
            <w:rStyle w:val="a5"/>
            <w:noProof/>
          </w:rPr>
          <w:t>Title: Australasian Plant Pathology</w:t>
        </w:r>
        <w:r>
          <w:rPr>
            <w:noProof/>
            <w:webHidden/>
          </w:rPr>
          <w:tab/>
        </w:r>
        <w:r>
          <w:rPr>
            <w:noProof/>
            <w:webHidden/>
          </w:rPr>
          <w:fldChar w:fldCharType="begin"/>
        </w:r>
        <w:r>
          <w:rPr>
            <w:noProof/>
            <w:webHidden/>
          </w:rPr>
          <w:instrText xml:space="preserve"> PAGEREF _Toc420814664 \h </w:instrText>
        </w:r>
        <w:r>
          <w:rPr>
            <w:noProof/>
            <w:webHidden/>
          </w:rPr>
        </w:r>
        <w:r>
          <w:rPr>
            <w:noProof/>
            <w:webHidden/>
          </w:rPr>
          <w:fldChar w:fldCharType="separate"/>
        </w:r>
        <w:r>
          <w:rPr>
            <w:noProof/>
            <w:webHidden/>
          </w:rPr>
          <w:t>1287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5" w:history="1">
        <w:r w:rsidRPr="002F4868">
          <w:rPr>
            <w:rStyle w:val="a5"/>
            <w:noProof/>
          </w:rPr>
          <w:t>Title: Australasian Psychiatry</w:t>
        </w:r>
        <w:r>
          <w:rPr>
            <w:noProof/>
            <w:webHidden/>
          </w:rPr>
          <w:tab/>
        </w:r>
        <w:r>
          <w:rPr>
            <w:noProof/>
            <w:webHidden/>
          </w:rPr>
          <w:fldChar w:fldCharType="begin"/>
        </w:r>
        <w:r>
          <w:rPr>
            <w:noProof/>
            <w:webHidden/>
          </w:rPr>
          <w:instrText xml:space="preserve"> PAGEREF _Toc420814665 \h </w:instrText>
        </w:r>
        <w:r>
          <w:rPr>
            <w:noProof/>
            <w:webHidden/>
          </w:rPr>
        </w:r>
        <w:r>
          <w:rPr>
            <w:noProof/>
            <w:webHidden/>
          </w:rPr>
          <w:fldChar w:fldCharType="separate"/>
        </w:r>
        <w:r>
          <w:rPr>
            <w:noProof/>
            <w:webHidden/>
          </w:rPr>
          <w:t>1289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6" w:history="1">
        <w:r w:rsidRPr="002F4868">
          <w:rPr>
            <w:rStyle w:val="a5"/>
            <w:noProof/>
          </w:rPr>
          <w:t>Title: Australian Academic &amp; Research Libraries</w:t>
        </w:r>
        <w:r>
          <w:rPr>
            <w:noProof/>
            <w:webHidden/>
          </w:rPr>
          <w:tab/>
        </w:r>
        <w:r>
          <w:rPr>
            <w:noProof/>
            <w:webHidden/>
          </w:rPr>
          <w:fldChar w:fldCharType="begin"/>
        </w:r>
        <w:r>
          <w:rPr>
            <w:noProof/>
            <w:webHidden/>
          </w:rPr>
          <w:instrText xml:space="preserve"> PAGEREF _Toc420814666 \h </w:instrText>
        </w:r>
        <w:r>
          <w:rPr>
            <w:noProof/>
            <w:webHidden/>
          </w:rPr>
        </w:r>
        <w:r>
          <w:rPr>
            <w:noProof/>
            <w:webHidden/>
          </w:rPr>
          <w:fldChar w:fldCharType="separate"/>
        </w:r>
        <w:r>
          <w:rPr>
            <w:noProof/>
            <w:webHidden/>
          </w:rPr>
          <w:t>1291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7" w:history="1">
        <w:r w:rsidRPr="002F4868">
          <w:rPr>
            <w:rStyle w:val="a5"/>
            <w:noProof/>
          </w:rPr>
          <w:t>Title: Australian Clinical Review</w:t>
        </w:r>
        <w:r>
          <w:rPr>
            <w:noProof/>
            <w:webHidden/>
          </w:rPr>
          <w:tab/>
        </w:r>
        <w:r>
          <w:rPr>
            <w:noProof/>
            <w:webHidden/>
          </w:rPr>
          <w:fldChar w:fldCharType="begin"/>
        </w:r>
        <w:r>
          <w:rPr>
            <w:noProof/>
            <w:webHidden/>
          </w:rPr>
          <w:instrText xml:space="preserve"> PAGEREF _Toc420814667 \h </w:instrText>
        </w:r>
        <w:r>
          <w:rPr>
            <w:noProof/>
            <w:webHidden/>
          </w:rPr>
        </w:r>
        <w:r>
          <w:rPr>
            <w:noProof/>
            <w:webHidden/>
          </w:rPr>
          <w:fldChar w:fldCharType="separate"/>
        </w:r>
        <w:r>
          <w:rPr>
            <w:noProof/>
            <w:webHidden/>
          </w:rPr>
          <w:t>1293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8" w:history="1">
        <w:r w:rsidRPr="002F4868">
          <w:rPr>
            <w:rStyle w:val="a5"/>
            <w:noProof/>
          </w:rPr>
          <w:t>Title: Australian Critical Care</w:t>
        </w:r>
        <w:r>
          <w:rPr>
            <w:noProof/>
            <w:webHidden/>
          </w:rPr>
          <w:tab/>
        </w:r>
        <w:r>
          <w:rPr>
            <w:noProof/>
            <w:webHidden/>
          </w:rPr>
          <w:fldChar w:fldCharType="begin"/>
        </w:r>
        <w:r>
          <w:rPr>
            <w:noProof/>
            <w:webHidden/>
          </w:rPr>
          <w:instrText xml:space="preserve"> PAGEREF _Toc420814668 \h </w:instrText>
        </w:r>
        <w:r>
          <w:rPr>
            <w:noProof/>
            <w:webHidden/>
          </w:rPr>
        </w:r>
        <w:r>
          <w:rPr>
            <w:noProof/>
            <w:webHidden/>
          </w:rPr>
          <w:fldChar w:fldCharType="separate"/>
        </w:r>
        <w:r>
          <w:rPr>
            <w:noProof/>
            <w:webHidden/>
          </w:rPr>
          <w:t>1294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69" w:history="1">
        <w:r w:rsidRPr="002F4868">
          <w:rPr>
            <w:rStyle w:val="a5"/>
            <w:noProof/>
          </w:rPr>
          <w:t>Title: Australian Dental Journal</w:t>
        </w:r>
        <w:r>
          <w:rPr>
            <w:noProof/>
            <w:webHidden/>
          </w:rPr>
          <w:tab/>
        </w:r>
        <w:r>
          <w:rPr>
            <w:noProof/>
            <w:webHidden/>
          </w:rPr>
          <w:fldChar w:fldCharType="begin"/>
        </w:r>
        <w:r>
          <w:rPr>
            <w:noProof/>
            <w:webHidden/>
          </w:rPr>
          <w:instrText xml:space="preserve"> PAGEREF _Toc420814669 \h </w:instrText>
        </w:r>
        <w:r>
          <w:rPr>
            <w:noProof/>
            <w:webHidden/>
          </w:rPr>
        </w:r>
        <w:r>
          <w:rPr>
            <w:noProof/>
            <w:webHidden/>
          </w:rPr>
          <w:fldChar w:fldCharType="separate"/>
        </w:r>
        <w:r>
          <w:rPr>
            <w:noProof/>
            <w:webHidden/>
          </w:rPr>
          <w:t>1296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0" w:history="1">
        <w:r w:rsidRPr="002F4868">
          <w:rPr>
            <w:rStyle w:val="a5"/>
            <w:noProof/>
          </w:rPr>
          <w:t>Title: Australian Educational Researcher</w:t>
        </w:r>
        <w:r>
          <w:rPr>
            <w:noProof/>
            <w:webHidden/>
          </w:rPr>
          <w:tab/>
        </w:r>
        <w:r>
          <w:rPr>
            <w:noProof/>
            <w:webHidden/>
          </w:rPr>
          <w:fldChar w:fldCharType="begin"/>
        </w:r>
        <w:r>
          <w:rPr>
            <w:noProof/>
            <w:webHidden/>
          </w:rPr>
          <w:instrText xml:space="preserve"> PAGEREF _Toc420814670 \h </w:instrText>
        </w:r>
        <w:r>
          <w:rPr>
            <w:noProof/>
            <w:webHidden/>
          </w:rPr>
        </w:r>
        <w:r>
          <w:rPr>
            <w:noProof/>
            <w:webHidden/>
          </w:rPr>
          <w:fldChar w:fldCharType="separate"/>
        </w:r>
        <w:r>
          <w:rPr>
            <w:noProof/>
            <w:webHidden/>
          </w:rPr>
          <w:t>1298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1" w:history="1">
        <w:r w:rsidRPr="002F4868">
          <w:rPr>
            <w:rStyle w:val="a5"/>
            <w:noProof/>
          </w:rPr>
          <w:t>Title: Australian Journal of Dairy Technology</w:t>
        </w:r>
        <w:r>
          <w:rPr>
            <w:noProof/>
            <w:webHidden/>
          </w:rPr>
          <w:tab/>
        </w:r>
        <w:r>
          <w:rPr>
            <w:noProof/>
            <w:webHidden/>
          </w:rPr>
          <w:fldChar w:fldCharType="begin"/>
        </w:r>
        <w:r>
          <w:rPr>
            <w:noProof/>
            <w:webHidden/>
          </w:rPr>
          <w:instrText xml:space="preserve"> PAGEREF _Toc420814671 \h </w:instrText>
        </w:r>
        <w:r>
          <w:rPr>
            <w:noProof/>
            <w:webHidden/>
          </w:rPr>
        </w:r>
        <w:r>
          <w:rPr>
            <w:noProof/>
            <w:webHidden/>
          </w:rPr>
          <w:fldChar w:fldCharType="separate"/>
        </w:r>
        <w:r>
          <w:rPr>
            <w:noProof/>
            <w:webHidden/>
          </w:rPr>
          <w:t>1300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2" w:history="1">
        <w:r w:rsidRPr="002F4868">
          <w:rPr>
            <w:rStyle w:val="a5"/>
            <w:noProof/>
          </w:rPr>
          <w:t>Title: Australian Journal of Earth Sciences</w:t>
        </w:r>
        <w:r>
          <w:rPr>
            <w:noProof/>
            <w:webHidden/>
          </w:rPr>
          <w:tab/>
        </w:r>
        <w:r>
          <w:rPr>
            <w:noProof/>
            <w:webHidden/>
          </w:rPr>
          <w:fldChar w:fldCharType="begin"/>
        </w:r>
        <w:r>
          <w:rPr>
            <w:noProof/>
            <w:webHidden/>
          </w:rPr>
          <w:instrText xml:space="preserve"> PAGEREF _Toc420814672 \h </w:instrText>
        </w:r>
        <w:r>
          <w:rPr>
            <w:noProof/>
            <w:webHidden/>
          </w:rPr>
        </w:r>
        <w:r>
          <w:rPr>
            <w:noProof/>
            <w:webHidden/>
          </w:rPr>
          <w:fldChar w:fldCharType="separate"/>
        </w:r>
        <w:r>
          <w:rPr>
            <w:noProof/>
            <w:webHidden/>
          </w:rPr>
          <w:t>1301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3" w:history="1">
        <w:r w:rsidRPr="002F4868">
          <w:rPr>
            <w:rStyle w:val="a5"/>
            <w:noProof/>
          </w:rPr>
          <w:t>Title: Australian Journal of Political Science</w:t>
        </w:r>
        <w:r>
          <w:rPr>
            <w:noProof/>
            <w:webHidden/>
          </w:rPr>
          <w:tab/>
        </w:r>
        <w:r>
          <w:rPr>
            <w:noProof/>
            <w:webHidden/>
          </w:rPr>
          <w:fldChar w:fldCharType="begin"/>
        </w:r>
        <w:r>
          <w:rPr>
            <w:noProof/>
            <w:webHidden/>
          </w:rPr>
          <w:instrText xml:space="preserve"> PAGEREF _Toc420814673 \h </w:instrText>
        </w:r>
        <w:r>
          <w:rPr>
            <w:noProof/>
            <w:webHidden/>
          </w:rPr>
        </w:r>
        <w:r>
          <w:rPr>
            <w:noProof/>
            <w:webHidden/>
          </w:rPr>
          <w:fldChar w:fldCharType="separate"/>
        </w:r>
        <w:r>
          <w:rPr>
            <w:noProof/>
            <w:webHidden/>
          </w:rPr>
          <w:t>1303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4" w:history="1">
        <w:r w:rsidRPr="002F4868">
          <w:rPr>
            <w:rStyle w:val="a5"/>
            <w:noProof/>
          </w:rPr>
          <w:t>Title: Australian Journal of Psychology</w:t>
        </w:r>
        <w:r>
          <w:rPr>
            <w:noProof/>
            <w:webHidden/>
          </w:rPr>
          <w:tab/>
        </w:r>
        <w:r>
          <w:rPr>
            <w:noProof/>
            <w:webHidden/>
          </w:rPr>
          <w:fldChar w:fldCharType="begin"/>
        </w:r>
        <w:r>
          <w:rPr>
            <w:noProof/>
            <w:webHidden/>
          </w:rPr>
          <w:instrText xml:space="preserve"> PAGEREF _Toc420814674 \h </w:instrText>
        </w:r>
        <w:r>
          <w:rPr>
            <w:noProof/>
            <w:webHidden/>
          </w:rPr>
        </w:r>
        <w:r>
          <w:rPr>
            <w:noProof/>
            <w:webHidden/>
          </w:rPr>
          <w:fldChar w:fldCharType="separate"/>
        </w:r>
        <w:r>
          <w:rPr>
            <w:noProof/>
            <w:webHidden/>
          </w:rPr>
          <w:t>1304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5" w:history="1">
        <w:r w:rsidRPr="002F4868">
          <w:rPr>
            <w:rStyle w:val="a5"/>
            <w:noProof/>
          </w:rPr>
          <w:t>Title: Australian Journal of Rural Health</w:t>
        </w:r>
        <w:r>
          <w:rPr>
            <w:noProof/>
            <w:webHidden/>
          </w:rPr>
          <w:tab/>
        </w:r>
        <w:r>
          <w:rPr>
            <w:noProof/>
            <w:webHidden/>
          </w:rPr>
          <w:fldChar w:fldCharType="begin"/>
        </w:r>
        <w:r>
          <w:rPr>
            <w:noProof/>
            <w:webHidden/>
          </w:rPr>
          <w:instrText xml:space="preserve"> PAGEREF _Toc420814675 \h </w:instrText>
        </w:r>
        <w:r>
          <w:rPr>
            <w:noProof/>
            <w:webHidden/>
          </w:rPr>
        </w:r>
        <w:r>
          <w:rPr>
            <w:noProof/>
            <w:webHidden/>
          </w:rPr>
          <w:fldChar w:fldCharType="separate"/>
        </w:r>
        <w:r>
          <w:rPr>
            <w:noProof/>
            <w:webHidden/>
          </w:rPr>
          <w:t>1305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6" w:history="1">
        <w:r w:rsidRPr="002F4868">
          <w:rPr>
            <w:rStyle w:val="a5"/>
            <w:noProof/>
          </w:rPr>
          <w:t>Title: Australian Library Journal</w:t>
        </w:r>
        <w:r>
          <w:rPr>
            <w:noProof/>
            <w:webHidden/>
          </w:rPr>
          <w:tab/>
        </w:r>
        <w:r>
          <w:rPr>
            <w:noProof/>
            <w:webHidden/>
          </w:rPr>
          <w:fldChar w:fldCharType="begin"/>
        </w:r>
        <w:r>
          <w:rPr>
            <w:noProof/>
            <w:webHidden/>
          </w:rPr>
          <w:instrText xml:space="preserve"> PAGEREF _Toc420814676 \h </w:instrText>
        </w:r>
        <w:r>
          <w:rPr>
            <w:noProof/>
            <w:webHidden/>
          </w:rPr>
        </w:r>
        <w:r>
          <w:rPr>
            <w:noProof/>
            <w:webHidden/>
          </w:rPr>
          <w:fldChar w:fldCharType="separate"/>
        </w:r>
        <w:r>
          <w:rPr>
            <w:noProof/>
            <w:webHidden/>
          </w:rPr>
          <w:t>1308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7" w:history="1">
        <w:r w:rsidRPr="002F4868">
          <w:rPr>
            <w:rStyle w:val="a5"/>
            <w:noProof/>
          </w:rPr>
          <w:t>Title: Australian and New Zealand Journal of Criminology</w:t>
        </w:r>
        <w:r>
          <w:rPr>
            <w:noProof/>
            <w:webHidden/>
          </w:rPr>
          <w:tab/>
        </w:r>
        <w:r>
          <w:rPr>
            <w:noProof/>
            <w:webHidden/>
          </w:rPr>
          <w:fldChar w:fldCharType="begin"/>
        </w:r>
        <w:r>
          <w:rPr>
            <w:noProof/>
            <w:webHidden/>
          </w:rPr>
          <w:instrText xml:space="preserve"> PAGEREF _Toc420814677 \h </w:instrText>
        </w:r>
        <w:r>
          <w:rPr>
            <w:noProof/>
            <w:webHidden/>
          </w:rPr>
        </w:r>
        <w:r>
          <w:rPr>
            <w:noProof/>
            <w:webHidden/>
          </w:rPr>
          <w:fldChar w:fldCharType="separate"/>
        </w:r>
        <w:r>
          <w:rPr>
            <w:noProof/>
            <w:webHidden/>
          </w:rPr>
          <w:t>1310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8" w:history="1">
        <w:r w:rsidRPr="002F4868">
          <w:rPr>
            <w:rStyle w:val="a5"/>
            <w:noProof/>
          </w:rPr>
          <w:t>Title: Australian and New Zealand Journal of Family Therapy</w:t>
        </w:r>
        <w:r>
          <w:rPr>
            <w:noProof/>
            <w:webHidden/>
          </w:rPr>
          <w:tab/>
        </w:r>
        <w:r>
          <w:rPr>
            <w:noProof/>
            <w:webHidden/>
          </w:rPr>
          <w:fldChar w:fldCharType="begin"/>
        </w:r>
        <w:r>
          <w:rPr>
            <w:noProof/>
            <w:webHidden/>
          </w:rPr>
          <w:instrText xml:space="preserve"> PAGEREF _Toc420814678 \h </w:instrText>
        </w:r>
        <w:r>
          <w:rPr>
            <w:noProof/>
            <w:webHidden/>
          </w:rPr>
        </w:r>
        <w:r>
          <w:rPr>
            <w:noProof/>
            <w:webHidden/>
          </w:rPr>
          <w:fldChar w:fldCharType="separate"/>
        </w:r>
        <w:r>
          <w:rPr>
            <w:noProof/>
            <w:webHidden/>
          </w:rPr>
          <w:t>1312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79" w:history="1">
        <w:r w:rsidRPr="002F4868">
          <w:rPr>
            <w:rStyle w:val="a5"/>
            <w:noProof/>
          </w:rPr>
          <w:t>Title: Australian and New Zealand Journal of Psychiatry</w:t>
        </w:r>
        <w:r>
          <w:rPr>
            <w:noProof/>
            <w:webHidden/>
          </w:rPr>
          <w:tab/>
        </w:r>
        <w:r>
          <w:rPr>
            <w:noProof/>
            <w:webHidden/>
          </w:rPr>
          <w:fldChar w:fldCharType="begin"/>
        </w:r>
        <w:r>
          <w:rPr>
            <w:noProof/>
            <w:webHidden/>
          </w:rPr>
          <w:instrText xml:space="preserve"> PAGEREF _Toc420814679 \h </w:instrText>
        </w:r>
        <w:r>
          <w:rPr>
            <w:noProof/>
            <w:webHidden/>
          </w:rPr>
        </w:r>
        <w:r>
          <w:rPr>
            <w:noProof/>
            <w:webHidden/>
          </w:rPr>
          <w:fldChar w:fldCharType="separate"/>
        </w:r>
        <w:r>
          <w:rPr>
            <w:noProof/>
            <w:webHidden/>
          </w:rPr>
          <w:t>1314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0" w:history="1">
        <w:r w:rsidRPr="002F4868">
          <w:rPr>
            <w:rStyle w:val="a5"/>
            <w:noProof/>
          </w:rPr>
          <w:t>Title: Australian and New Zealand Journal of Public Health</w:t>
        </w:r>
        <w:r>
          <w:rPr>
            <w:noProof/>
            <w:webHidden/>
          </w:rPr>
          <w:tab/>
        </w:r>
        <w:r>
          <w:rPr>
            <w:noProof/>
            <w:webHidden/>
          </w:rPr>
          <w:fldChar w:fldCharType="begin"/>
        </w:r>
        <w:r>
          <w:rPr>
            <w:noProof/>
            <w:webHidden/>
          </w:rPr>
          <w:instrText xml:space="preserve"> PAGEREF _Toc420814680 \h </w:instrText>
        </w:r>
        <w:r>
          <w:rPr>
            <w:noProof/>
            <w:webHidden/>
          </w:rPr>
        </w:r>
        <w:r>
          <w:rPr>
            <w:noProof/>
            <w:webHidden/>
          </w:rPr>
          <w:fldChar w:fldCharType="separate"/>
        </w:r>
        <w:r>
          <w:rPr>
            <w:noProof/>
            <w:webHidden/>
          </w:rPr>
          <w:t>1322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1" w:history="1">
        <w:r w:rsidRPr="002F4868">
          <w:rPr>
            <w:rStyle w:val="a5"/>
            <w:noProof/>
          </w:rPr>
          <w:t>Title: Australian &amp; New Zealand Journal of Statistics</w:t>
        </w:r>
        <w:r>
          <w:rPr>
            <w:noProof/>
            <w:webHidden/>
          </w:rPr>
          <w:tab/>
        </w:r>
        <w:r>
          <w:rPr>
            <w:noProof/>
            <w:webHidden/>
          </w:rPr>
          <w:fldChar w:fldCharType="begin"/>
        </w:r>
        <w:r>
          <w:rPr>
            <w:noProof/>
            <w:webHidden/>
          </w:rPr>
          <w:instrText xml:space="preserve"> PAGEREF _Toc420814681 \h </w:instrText>
        </w:r>
        <w:r>
          <w:rPr>
            <w:noProof/>
            <w:webHidden/>
          </w:rPr>
        </w:r>
        <w:r>
          <w:rPr>
            <w:noProof/>
            <w:webHidden/>
          </w:rPr>
          <w:fldChar w:fldCharType="separate"/>
        </w:r>
        <w:r>
          <w:rPr>
            <w:noProof/>
            <w:webHidden/>
          </w:rPr>
          <w:t>1326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2" w:history="1">
        <w:r w:rsidRPr="002F4868">
          <w:rPr>
            <w:rStyle w:val="a5"/>
            <w:noProof/>
          </w:rPr>
          <w:t>Title: Australian and New Zealand Journal of Surgery</w:t>
        </w:r>
        <w:r>
          <w:rPr>
            <w:noProof/>
            <w:webHidden/>
          </w:rPr>
          <w:tab/>
        </w:r>
        <w:r>
          <w:rPr>
            <w:noProof/>
            <w:webHidden/>
          </w:rPr>
          <w:fldChar w:fldCharType="begin"/>
        </w:r>
        <w:r>
          <w:rPr>
            <w:noProof/>
            <w:webHidden/>
          </w:rPr>
          <w:instrText xml:space="preserve"> PAGEREF _Toc420814682 \h </w:instrText>
        </w:r>
        <w:r>
          <w:rPr>
            <w:noProof/>
            <w:webHidden/>
          </w:rPr>
        </w:r>
        <w:r>
          <w:rPr>
            <w:noProof/>
            <w:webHidden/>
          </w:rPr>
          <w:fldChar w:fldCharType="separate"/>
        </w:r>
        <w:r>
          <w:rPr>
            <w:noProof/>
            <w:webHidden/>
          </w:rPr>
          <w:t>1327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3" w:history="1">
        <w:r w:rsidRPr="002F4868">
          <w:rPr>
            <w:rStyle w:val="a5"/>
            <w:noProof/>
          </w:rPr>
          <w:t>Title: Australian Occupational Therapy Journal</w:t>
        </w:r>
        <w:r>
          <w:rPr>
            <w:noProof/>
            <w:webHidden/>
          </w:rPr>
          <w:tab/>
        </w:r>
        <w:r>
          <w:rPr>
            <w:noProof/>
            <w:webHidden/>
          </w:rPr>
          <w:fldChar w:fldCharType="begin"/>
        </w:r>
        <w:r>
          <w:rPr>
            <w:noProof/>
            <w:webHidden/>
          </w:rPr>
          <w:instrText xml:space="preserve"> PAGEREF _Toc420814683 \h </w:instrText>
        </w:r>
        <w:r>
          <w:rPr>
            <w:noProof/>
            <w:webHidden/>
          </w:rPr>
        </w:r>
        <w:r>
          <w:rPr>
            <w:noProof/>
            <w:webHidden/>
          </w:rPr>
          <w:fldChar w:fldCharType="separate"/>
        </w:r>
        <w:r>
          <w:rPr>
            <w:noProof/>
            <w:webHidden/>
          </w:rPr>
          <w:t>1329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4" w:history="1">
        <w:r w:rsidRPr="002F4868">
          <w:rPr>
            <w:rStyle w:val="a5"/>
            <w:noProof/>
          </w:rPr>
          <w:t>Title: Australian Psychologist</w:t>
        </w:r>
        <w:r>
          <w:rPr>
            <w:noProof/>
            <w:webHidden/>
          </w:rPr>
          <w:tab/>
        </w:r>
        <w:r>
          <w:rPr>
            <w:noProof/>
            <w:webHidden/>
          </w:rPr>
          <w:fldChar w:fldCharType="begin"/>
        </w:r>
        <w:r>
          <w:rPr>
            <w:noProof/>
            <w:webHidden/>
          </w:rPr>
          <w:instrText xml:space="preserve"> PAGEREF _Toc420814684 \h </w:instrText>
        </w:r>
        <w:r>
          <w:rPr>
            <w:noProof/>
            <w:webHidden/>
          </w:rPr>
        </w:r>
        <w:r>
          <w:rPr>
            <w:noProof/>
            <w:webHidden/>
          </w:rPr>
          <w:fldChar w:fldCharType="separate"/>
        </w:r>
        <w:r>
          <w:rPr>
            <w:noProof/>
            <w:webHidden/>
          </w:rPr>
          <w:t>1331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5" w:history="1">
        <w:r w:rsidRPr="002F4868">
          <w:rPr>
            <w:rStyle w:val="a5"/>
            <w:noProof/>
          </w:rPr>
          <w:t>Title: Australian Veterinary Journal</w:t>
        </w:r>
        <w:r>
          <w:rPr>
            <w:noProof/>
            <w:webHidden/>
          </w:rPr>
          <w:tab/>
        </w:r>
        <w:r>
          <w:rPr>
            <w:noProof/>
            <w:webHidden/>
          </w:rPr>
          <w:fldChar w:fldCharType="begin"/>
        </w:r>
        <w:r>
          <w:rPr>
            <w:noProof/>
            <w:webHidden/>
          </w:rPr>
          <w:instrText xml:space="preserve"> PAGEREF _Toc420814685 \h </w:instrText>
        </w:r>
        <w:r>
          <w:rPr>
            <w:noProof/>
            <w:webHidden/>
          </w:rPr>
        </w:r>
        <w:r>
          <w:rPr>
            <w:noProof/>
            <w:webHidden/>
          </w:rPr>
          <w:fldChar w:fldCharType="separate"/>
        </w:r>
        <w:r>
          <w:rPr>
            <w:noProof/>
            <w:webHidden/>
          </w:rPr>
          <w:t>1332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6" w:history="1">
        <w:r w:rsidRPr="002F4868">
          <w:rPr>
            <w:rStyle w:val="a5"/>
            <w:noProof/>
          </w:rPr>
          <w:t>Title: Avian Diseases</w:t>
        </w:r>
        <w:r>
          <w:rPr>
            <w:noProof/>
            <w:webHidden/>
          </w:rPr>
          <w:tab/>
        </w:r>
        <w:r>
          <w:rPr>
            <w:noProof/>
            <w:webHidden/>
          </w:rPr>
          <w:fldChar w:fldCharType="begin"/>
        </w:r>
        <w:r>
          <w:rPr>
            <w:noProof/>
            <w:webHidden/>
          </w:rPr>
          <w:instrText xml:space="preserve"> PAGEREF _Toc420814686 \h </w:instrText>
        </w:r>
        <w:r>
          <w:rPr>
            <w:noProof/>
            <w:webHidden/>
          </w:rPr>
        </w:r>
        <w:r>
          <w:rPr>
            <w:noProof/>
            <w:webHidden/>
          </w:rPr>
          <w:fldChar w:fldCharType="separate"/>
        </w:r>
        <w:r>
          <w:rPr>
            <w:noProof/>
            <w:webHidden/>
          </w:rPr>
          <w:t>1334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7" w:history="1">
        <w:r w:rsidRPr="002F4868">
          <w:rPr>
            <w:rStyle w:val="a5"/>
            <w:noProof/>
          </w:rPr>
          <w:t>Title: Aviation Space and Environmental Medicine</w:t>
        </w:r>
        <w:r>
          <w:rPr>
            <w:noProof/>
            <w:webHidden/>
          </w:rPr>
          <w:tab/>
        </w:r>
        <w:r>
          <w:rPr>
            <w:noProof/>
            <w:webHidden/>
          </w:rPr>
          <w:fldChar w:fldCharType="begin"/>
        </w:r>
        <w:r>
          <w:rPr>
            <w:noProof/>
            <w:webHidden/>
          </w:rPr>
          <w:instrText xml:space="preserve"> PAGEREF _Toc420814687 \h </w:instrText>
        </w:r>
        <w:r>
          <w:rPr>
            <w:noProof/>
            <w:webHidden/>
          </w:rPr>
        </w:r>
        <w:r>
          <w:rPr>
            <w:noProof/>
            <w:webHidden/>
          </w:rPr>
          <w:fldChar w:fldCharType="separate"/>
        </w:r>
        <w:r>
          <w:rPr>
            <w:noProof/>
            <w:webHidden/>
          </w:rPr>
          <w:t>1335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8" w:history="1">
        <w:r w:rsidRPr="002F4868">
          <w:rPr>
            <w:rStyle w:val="a5"/>
            <w:noProof/>
          </w:rPr>
          <w:t>Title: Basic and Applied Ecology</w:t>
        </w:r>
        <w:r>
          <w:rPr>
            <w:noProof/>
            <w:webHidden/>
          </w:rPr>
          <w:tab/>
        </w:r>
        <w:r>
          <w:rPr>
            <w:noProof/>
            <w:webHidden/>
          </w:rPr>
          <w:fldChar w:fldCharType="begin"/>
        </w:r>
        <w:r>
          <w:rPr>
            <w:noProof/>
            <w:webHidden/>
          </w:rPr>
          <w:instrText xml:space="preserve"> PAGEREF _Toc420814688 \h </w:instrText>
        </w:r>
        <w:r>
          <w:rPr>
            <w:noProof/>
            <w:webHidden/>
          </w:rPr>
        </w:r>
        <w:r>
          <w:rPr>
            <w:noProof/>
            <w:webHidden/>
          </w:rPr>
          <w:fldChar w:fldCharType="separate"/>
        </w:r>
        <w:r>
          <w:rPr>
            <w:noProof/>
            <w:webHidden/>
          </w:rPr>
          <w:t>1337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89" w:history="1">
        <w:r w:rsidRPr="002F4868">
          <w:rPr>
            <w:rStyle w:val="a5"/>
            <w:noProof/>
          </w:rPr>
          <w:t>Title: Basic and Applied Myology</w:t>
        </w:r>
        <w:r>
          <w:rPr>
            <w:noProof/>
            <w:webHidden/>
          </w:rPr>
          <w:tab/>
        </w:r>
        <w:r>
          <w:rPr>
            <w:noProof/>
            <w:webHidden/>
          </w:rPr>
          <w:fldChar w:fldCharType="begin"/>
        </w:r>
        <w:r>
          <w:rPr>
            <w:noProof/>
            <w:webHidden/>
          </w:rPr>
          <w:instrText xml:space="preserve"> PAGEREF _Toc420814689 \h </w:instrText>
        </w:r>
        <w:r>
          <w:rPr>
            <w:noProof/>
            <w:webHidden/>
          </w:rPr>
        </w:r>
        <w:r>
          <w:rPr>
            <w:noProof/>
            <w:webHidden/>
          </w:rPr>
          <w:fldChar w:fldCharType="separate"/>
        </w:r>
        <w:r>
          <w:rPr>
            <w:noProof/>
            <w:webHidden/>
          </w:rPr>
          <w:t>1338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0" w:history="1">
        <w:r w:rsidRPr="002F4868">
          <w:rPr>
            <w:rStyle w:val="a5"/>
            <w:noProof/>
          </w:rPr>
          <w:t>Title: Basic &amp; Clinical Pharmacology &amp; Toxicology</w:t>
        </w:r>
        <w:r>
          <w:rPr>
            <w:noProof/>
            <w:webHidden/>
          </w:rPr>
          <w:tab/>
        </w:r>
        <w:r>
          <w:rPr>
            <w:noProof/>
            <w:webHidden/>
          </w:rPr>
          <w:fldChar w:fldCharType="begin"/>
        </w:r>
        <w:r>
          <w:rPr>
            <w:noProof/>
            <w:webHidden/>
          </w:rPr>
          <w:instrText xml:space="preserve"> PAGEREF _Toc420814690 \h </w:instrText>
        </w:r>
        <w:r>
          <w:rPr>
            <w:noProof/>
            <w:webHidden/>
          </w:rPr>
        </w:r>
        <w:r>
          <w:rPr>
            <w:noProof/>
            <w:webHidden/>
          </w:rPr>
          <w:fldChar w:fldCharType="separate"/>
        </w:r>
        <w:r>
          <w:rPr>
            <w:noProof/>
            <w:webHidden/>
          </w:rPr>
          <w:t>1340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1" w:history="1">
        <w:r w:rsidRPr="002F4868">
          <w:rPr>
            <w:rStyle w:val="a5"/>
            <w:noProof/>
          </w:rPr>
          <w:t>Title: Behavior Analyst</w:t>
        </w:r>
        <w:r>
          <w:rPr>
            <w:noProof/>
            <w:webHidden/>
          </w:rPr>
          <w:tab/>
        </w:r>
        <w:r>
          <w:rPr>
            <w:noProof/>
            <w:webHidden/>
          </w:rPr>
          <w:fldChar w:fldCharType="begin"/>
        </w:r>
        <w:r>
          <w:rPr>
            <w:noProof/>
            <w:webHidden/>
          </w:rPr>
          <w:instrText xml:space="preserve"> PAGEREF _Toc420814691 \h </w:instrText>
        </w:r>
        <w:r>
          <w:rPr>
            <w:noProof/>
            <w:webHidden/>
          </w:rPr>
        </w:r>
        <w:r>
          <w:rPr>
            <w:noProof/>
            <w:webHidden/>
          </w:rPr>
          <w:fldChar w:fldCharType="separate"/>
        </w:r>
        <w:r>
          <w:rPr>
            <w:noProof/>
            <w:webHidden/>
          </w:rPr>
          <w:t>1341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2" w:history="1">
        <w:r w:rsidRPr="002F4868">
          <w:rPr>
            <w:rStyle w:val="a5"/>
            <w:noProof/>
          </w:rPr>
          <w:t>Title: Behavioral Ecology and Sociobiology</w:t>
        </w:r>
        <w:r>
          <w:rPr>
            <w:noProof/>
            <w:webHidden/>
          </w:rPr>
          <w:tab/>
        </w:r>
        <w:r>
          <w:rPr>
            <w:noProof/>
            <w:webHidden/>
          </w:rPr>
          <w:fldChar w:fldCharType="begin"/>
        </w:r>
        <w:r>
          <w:rPr>
            <w:noProof/>
            <w:webHidden/>
          </w:rPr>
          <w:instrText xml:space="preserve"> PAGEREF _Toc420814692 \h </w:instrText>
        </w:r>
        <w:r>
          <w:rPr>
            <w:noProof/>
            <w:webHidden/>
          </w:rPr>
        </w:r>
        <w:r>
          <w:rPr>
            <w:noProof/>
            <w:webHidden/>
          </w:rPr>
          <w:fldChar w:fldCharType="separate"/>
        </w:r>
        <w:r>
          <w:rPr>
            <w:noProof/>
            <w:webHidden/>
          </w:rPr>
          <w:t>1343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3" w:history="1">
        <w:r w:rsidRPr="002F4868">
          <w:rPr>
            <w:rStyle w:val="a5"/>
            <w:noProof/>
          </w:rPr>
          <w:t>Title: Behavioral Sciences &amp; the Law</w:t>
        </w:r>
        <w:r>
          <w:rPr>
            <w:noProof/>
            <w:webHidden/>
          </w:rPr>
          <w:tab/>
        </w:r>
        <w:r>
          <w:rPr>
            <w:noProof/>
            <w:webHidden/>
          </w:rPr>
          <w:fldChar w:fldCharType="begin"/>
        </w:r>
        <w:r>
          <w:rPr>
            <w:noProof/>
            <w:webHidden/>
          </w:rPr>
          <w:instrText xml:space="preserve"> PAGEREF _Toc420814693 \h </w:instrText>
        </w:r>
        <w:r>
          <w:rPr>
            <w:noProof/>
            <w:webHidden/>
          </w:rPr>
        </w:r>
        <w:r>
          <w:rPr>
            <w:noProof/>
            <w:webHidden/>
          </w:rPr>
          <w:fldChar w:fldCharType="separate"/>
        </w:r>
        <w:r>
          <w:rPr>
            <w:noProof/>
            <w:webHidden/>
          </w:rPr>
          <w:t>1344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4" w:history="1">
        <w:r w:rsidRPr="002F4868">
          <w:rPr>
            <w:rStyle w:val="a5"/>
            <w:noProof/>
          </w:rPr>
          <w:t>Title: Behavioral &amp; Social Sciences Librarian</w:t>
        </w:r>
        <w:r>
          <w:rPr>
            <w:noProof/>
            <w:webHidden/>
          </w:rPr>
          <w:tab/>
        </w:r>
        <w:r>
          <w:rPr>
            <w:noProof/>
            <w:webHidden/>
          </w:rPr>
          <w:fldChar w:fldCharType="begin"/>
        </w:r>
        <w:r>
          <w:rPr>
            <w:noProof/>
            <w:webHidden/>
          </w:rPr>
          <w:instrText xml:space="preserve"> PAGEREF _Toc420814694 \h </w:instrText>
        </w:r>
        <w:r>
          <w:rPr>
            <w:noProof/>
            <w:webHidden/>
          </w:rPr>
        </w:r>
        <w:r>
          <w:rPr>
            <w:noProof/>
            <w:webHidden/>
          </w:rPr>
          <w:fldChar w:fldCharType="separate"/>
        </w:r>
        <w:r>
          <w:rPr>
            <w:noProof/>
            <w:webHidden/>
          </w:rPr>
          <w:t>1345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5" w:history="1">
        <w:r w:rsidRPr="002F4868">
          <w:rPr>
            <w:rStyle w:val="a5"/>
            <w:noProof/>
          </w:rPr>
          <w:t>Title: Behaviour &amp; Information Technology</w:t>
        </w:r>
        <w:r>
          <w:rPr>
            <w:noProof/>
            <w:webHidden/>
          </w:rPr>
          <w:tab/>
        </w:r>
        <w:r>
          <w:rPr>
            <w:noProof/>
            <w:webHidden/>
          </w:rPr>
          <w:fldChar w:fldCharType="begin"/>
        </w:r>
        <w:r>
          <w:rPr>
            <w:noProof/>
            <w:webHidden/>
          </w:rPr>
          <w:instrText xml:space="preserve"> PAGEREF _Toc420814695 \h </w:instrText>
        </w:r>
        <w:r>
          <w:rPr>
            <w:noProof/>
            <w:webHidden/>
          </w:rPr>
        </w:r>
        <w:r>
          <w:rPr>
            <w:noProof/>
            <w:webHidden/>
          </w:rPr>
          <w:fldChar w:fldCharType="separate"/>
        </w:r>
        <w:r>
          <w:rPr>
            <w:noProof/>
            <w:webHidden/>
          </w:rPr>
          <w:t>1349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6" w:history="1">
        <w:r w:rsidRPr="002F4868">
          <w:rPr>
            <w:rStyle w:val="a5"/>
            <w:noProof/>
          </w:rPr>
          <w:t>Title: Behavioural and Cognitive Psychotherapy</w:t>
        </w:r>
        <w:r>
          <w:rPr>
            <w:noProof/>
            <w:webHidden/>
          </w:rPr>
          <w:tab/>
        </w:r>
        <w:r>
          <w:rPr>
            <w:noProof/>
            <w:webHidden/>
          </w:rPr>
          <w:fldChar w:fldCharType="begin"/>
        </w:r>
        <w:r>
          <w:rPr>
            <w:noProof/>
            <w:webHidden/>
          </w:rPr>
          <w:instrText xml:space="preserve"> PAGEREF _Toc420814696 \h </w:instrText>
        </w:r>
        <w:r>
          <w:rPr>
            <w:noProof/>
            <w:webHidden/>
          </w:rPr>
        </w:r>
        <w:r>
          <w:rPr>
            <w:noProof/>
            <w:webHidden/>
          </w:rPr>
          <w:fldChar w:fldCharType="separate"/>
        </w:r>
        <w:r>
          <w:rPr>
            <w:noProof/>
            <w:webHidden/>
          </w:rPr>
          <w:t>1350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7" w:history="1">
        <w:r w:rsidRPr="002F4868">
          <w:rPr>
            <w:rStyle w:val="a5"/>
            <w:noProof/>
          </w:rPr>
          <w:t>Title: Berkut</w:t>
        </w:r>
        <w:r>
          <w:rPr>
            <w:noProof/>
            <w:webHidden/>
          </w:rPr>
          <w:tab/>
        </w:r>
        <w:r>
          <w:rPr>
            <w:noProof/>
            <w:webHidden/>
          </w:rPr>
          <w:fldChar w:fldCharType="begin"/>
        </w:r>
        <w:r>
          <w:rPr>
            <w:noProof/>
            <w:webHidden/>
          </w:rPr>
          <w:instrText xml:space="preserve"> PAGEREF _Toc420814697 \h </w:instrText>
        </w:r>
        <w:r>
          <w:rPr>
            <w:noProof/>
            <w:webHidden/>
          </w:rPr>
        </w:r>
        <w:r>
          <w:rPr>
            <w:noProof/>
            <w:webHidden/>
          </w:rPr>
          <w:fldChar w:fldCharType="separate"/>
        </w:r>
        <w:r>
          <w:rPr>
            <w:noProof/>
            <w:webHidden/>
          </w:rPr>
          <w:t>1352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8" w:history="1">
        <w:r w:rsidRPr="002F4868">
          <w:rPr>
            <w:rStyle w:val="a5"/>
            <w:noProof/>
          </w:rPr>
          <w:t>Title: Betriebswirtschaftliche Forschung und Praxis</w:t>
        </w:r>
        <w:r>
          <w:rPr>
            <w:noProof/>
            <w:webHidden/>
          </w:rPr>
          <w:tab/>
        </w:r>
        <w:r>
          <w:rPr>
            <w:noProof/>
            <w:webHidden/>
          </w:rPr>
          <w:fldChar w:fldCharType="begin"/>
        </w:r>
        <w:r>
          <w:rPr>
            <w:noProof/>
            <w:webHidden/>
          </w:rPr>
          <w:instrText xml:space="preserve"> PAGEREF _Toc420814698 \h </w:instrText>
        </w:r>
        <w:r>
          <w:rPr>
            <w:noProof/>
            <w:webHidden/>
          </w:rPr>
        </w:r>
        <w:r>
          <w:rPr>
            <w:noProof/>
            <w:webHidden/>
          </w:rPr>
          <w:fldChar w:fldCharType="separate"/>
        </w:r>
        <w:r>
          <w:rPr>
            <w:noProof/>
            <w:webHidden/>
          </w:rPr>
          <w:t>1354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699" w:history="1">
        <w:r w:rsidRPr="002F4868">
          <w:rPr>
            <w:rStyle w:val="a5"/>
            <w:noProof/>
          </w:rPr>
          <w:t xml:space="preserve">Title: </w:t>
        </w:r>
        <w:r w:rsidRPr="002F4868">
          <w:rPr>
            <w:rStyle w:val="a5"/>
            <w:rFonts w:eastAsia="SimSun"/>
            <w:noProof/>
            <w:lang w:eastAsia="zh-CN"/>
          </w:rPr>
          <w:t>Bibliometric indicators–definitions and USAge at Karolinska Institutet</w:t>
        </w:r>
        <w:r>
          <w:rPr>
            <w:noProof/>
            <w:webHidden/>
          </w:rPr>
          <w:tab/>
        </w:r>
        <w:r>
          <w:rPr>
            <w:noProof/>
            <w:webHidden/>
          </w:rPr>
          <w:fldChar w:fldCharType="begin"/>
        </w:r>
        <w:r>
          <w:rPr>
            <w:noProof/>
            <w:webHidden/>
          </w:rPr>
          <w:instrText xml:space="preserve"> PAGEREF _Toc420814699 \h </w:instrText>
        </w:r>
        <w:r>
          <w:rPr>
            <w:noProof/>
            <w:webHidden/>
          </w:rPr>
        </w:r>
        <w:r>
          <w:rPr>
            <w:noProof/>
            <w:webHidden/>
          </w:rPr>
          <w:fldChar w:fldCharType="separate"/>
        </w:r>
        <w:r>
          <w:rPr>
            <w:noProof/>
            <w:webHidden/>
          </w:rPr>
          <w:t>1355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0" w:history="1">
        <w:r w:rsidRPr="002F4868">
          <w:rPr>
            <w:rStyle w:val="a5"/>
            <w:noProof/>
          </w:rPr>
          <w:t>Title: Bibliometric Notes</w:t>
        </w:r>
        <w:r>
          <w:rPr>
            <w:noProof/>
            <w:webHidden/>
          </w:rPr>
          <w:tab/>
        </w:r>
        <w:r>
          <w:rPr>
            <w:noProof/>
            <w:webHidden/>
          </w:rPr>
          <w:fldChar w:fldCharType="begin"/>
        </w:r>
        <w:r>
          <w:rPr>
            <w:noProof/>
            <w:webHidden/>
          </w:rPr>
          <w:instrText xml:space="preserve"> PAGEREF _Toc420814700 \h </w:instrText>
        </w:r>
        <w:r>
          <w:rPr>
            <w:noProof/>
            <w:webHidden/>
          </w:rPr>
        </w:r>
        <w:r>
          <w:rPr>
            <w:noProof/>
            <w:webHidden/>
          </w:rPr>
          <w:fldChar w:fldCharType="separate"/>
        </w:r>
        <w:r>
          <w:rPr>
            <w:noProof/>
            <w:webHidden/>
          </w:rPr>
          <w:t>1356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1" w:history="1">
        <w:r w:rsidRPr="002F4868">
          <w:rPr>
            <w:rStyle w:val="a5"/>
            <w:noProof/>
          </w:rPr>
          <w:t>Title: Bilig</w:t>
        </w:r>
        <w:r>
          <w:rPr>
            <w:noProof/>
            <w:webHidden/>
          </w:rPr>
          <w:tab/>
        </w:r>
        <w:r>
          <w:rPr>
            <w:noProof/>
            <w:webHidden/>
          </w:rPr>
          <w:fldChar w:fldCharType="begin"/>
        </w:r>
        <w:r>
          <w:rPr>
            <w:noProof/>
            <w:webHidden/>
          </w:rPr>
          <w:instrText xml:space="preserve"> PAGEREF _Toc420814701 \h </w:instrText>
        </w:r>
        <w:r>
          <w:rPr>
            <w:noProof/>
            <w:webHidden/>
          </w:rPr>
        </w:r>
        <w:r>
          <w:rPr>
            <w:noProof/>
            <w:webHidden/>
          </w:rPr>
          <w:fldChar w:fldCharType="separate"/>
        </w:r>
        <w:r>
          <w:rPr>
            <w:noProof/>
            <w:webHidden/>
          </w:rPr>
          <w:t>1357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2" w:history="1">
        <w:r w:rsidRPr="002F4868">
          <w:rPr>
            <w:rStyle w:val="a5"/>
            <w:noProof/>
          </w:rPr>
          <w:t>Title: Bioanalysis</w:t>
        </w:r>
        <w:r>
          <w:rPr>
            <w:noProof/>
            <w:webHidden/>
          </w:rPr>
          <w:tab/>
        </w:r>
        <w:r>
          <w:rPr>
            <w:noProof/>
            <w:webHidden/>
          </w:rPr>
          <w:fldChar w:fldCharType="begin"/>
        </w:r>
        <w:r>
          <w:rPr>
            <w:noProof/>
            <w:webHidden/>
          </w:rPr>
          <w:instrText xml:space="preserve"> PAGEREF _Toc420814702 \h </w:instrText>
        </w:r>
        <w:r>
          <w:rPr>
            <w:noProof/>
            <w:webHidden/>
          </w:rPr>
        </w:r>
        <w:r>
          <w:rPr>
            <w:noProof/>
            <w:webHidden/>
          </w:rPr>
          <w:fldChar w:fldCharType="separate"/>
        </w:r>
        <w:r>
          <w:rPr>
            <w:noProof/>
            <w:webHidden/>
          </w:rPr>
          <w:t>1359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3" w:history="1">
        <w:r w:rsidRPr="002F4868">
          <w:rPr>
            <w:rStyle w:val="a5"/>
            <w:noProof/>
          </w:rPr>
          <w:t>Title: Biochemia Medica</w:t>
        </w:r>
        <w:r>
          <w:rPr>
            <w:noProof/>
            <w:webHidden/>
          </w:rPr>
          <w:tab/>
        </w:r>
        <w:r>
          <w:rPr>
            <w:noProof/>
            <w:webHidden/>
          </w:rPr>
          <w:fldChar w:fldCharType="begin"/>
        </w:r>
        <w:r>
          <w:rPr>
            <w:noProof/>
            <w:webHidden/>
          </w:rPr>
          <w:instrText xml:space="preserve"> PAGEREF _Toc420814703 \h </w:instrText>
        </w:r>
        <w:r>
          <w:rPr>
            <w:noProof/>
            <w:webHidden/>
          </w:rPr>
        </w:r>
        <w:r>
          <w:rPr>
            <w:noProof/>
            <w:webHidden/>
          </w:rPr>
          <w:fldChar w:fldCharType="separate"/>
        </w:r>
        <w:r>
          <w:rPr>
            <w:noProof/>
            <w:webHidden/>
          </w:rPr>
          <w:t>1360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4" w:history="1">
        <w:r w:rsidRPr="002F4868">
          <w:rPr>
            <w:rStyle w:val="a5"/>
            <w:noProof/>
          </w:rPr>
          <w:t>Title: Biochemical and Biophysical Research Communications</w:t>
        </w:r>
        <w:r>
          <w:rPr>
            <w:noProof/>
            <w:webHidden/>
          </w:rPr>
          <w:tab/>
        </w:r>
        <w:r>
          <w:rPr>
            <w:noProof/>
            <w:webHidden/>
          </w:rPr>
          <w:fldChar w:fldCharType="begin"/>
        </w:r>
        <w:r>
          <w:rPr>
            <w:noProof/>
            <w:webHidden/>
          </w:rPr>
          <w:instrText xml:space="preserve"> PAGEREF _Toc420814704 \h </w:instrText>
        </w:r>
        <w:r>
          <w:rPr>
            <w:noProof/>
            <w:webHidden/>
          </w:rPr>
        </w:r>
        <w:r>
          <w:rPr>
            <w:noProof/>
            <w:webHidden/>
          </w:rPr>
          <w:fldChar w:fldCharType="separate"/>
        </w:r>
        <w:r>
          <w:rPr>
            <w:noProof/>
            <w:webHidden/>
          </w:rPr>
          <w:t>1364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5" w:history="1">
        <w:r w:rsidRPr="002F4868">
          <w:rPr>
            <w:rStyle w:val="a5"/>
            <w:noProof/>
          </w:rPr>
          <w:t>Title: Biochemistry and Cell Biology-Biochimie et Biologie Cellulaire</w:t>
        </w:r>
        <w:r>
          <w:rPr>
            <w:noProof/>
            <w:webHidden/>
          </w:rPr>
          <w:tab/>
        </w:r>
        <w:r>
          <w:rPr>
            <w:noProof/>
            <w:webHidden/>
          </w:rPr>
          <w:fldChar w:fldCharType="begin"/>
        </w:r>
        <w:r>
          <w:rPr>
            <w:noProof/>
            <w:webHidden/>
          </w:rPr>
          <w:instrText xml:space="preserve"> PAGEREF _Toc420814705 \h </w:instrText>
        </w:r>
        <w:r>
          <w:rPr>
            <w:noProof/>
            <w:webHidden/>
          </w:rPr>
        </w:r>
        <w:r>
          <w:rPr>
            <w:noProof/>
            <w:webHidden/>
          </w:rPr>
          <w:fldChar w:fldCharType="separate"/>
        </w:r>
        <w:r>
          <w:rPr>
            <w:noProof/>
            <w:webHidden/>
          </w:rPr>
          <w:t>1366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6" w:history="1">
        <w:r w:rsidRPr="002F4868">
          <w:rPr>
            <w:rStyle w:val="a5"/>
            <w:noProof/>
          </w:rPr>
          <w:t>Title: Biochimica et Biophysica Acta-Proteins and Proteomics</w:t>
        </w:r>
        <w:r>
          <w:rPr>
            <w:noProof/>
            <w:webHidden/>
          </w:rPr>
          <w:tab/>
        </w:r>
        <w:r>
          <w:rPr>
            <w:noProof/>
            <w:webHidden/>
          </w:rPr>
          <w:fldChar w:fldCharType="begin"/>
        </w:r>
        <w:r>
          <w:rPr>
            <w:noProof/>
            <w:webHidden/>
          </w:rPr>
          <w:instrText xml:space="preserve"> PAGEREF _Toc420814706 \h </w:instrText>
        </w:r>
        <w:r>
          <w:rPr>
            <w:noProof/>
            <w:webHidden/>
          </w:rPr>
        </w:r>
        <w:r>
          <w:rPr>
            <w:noProof/>
            <w:webHidden/>
          </w:rPr>
          <w:fldChar w:fldCharType="separate"/>
        </w:r>
        <w:r>
          <w:rPr>
            <w:noProof/>
            <w:webHidden/>
          </w:rPr>
          <w:t>1368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7" w:history="1">
        <w:r w:rsidRPr="002F4868">
          <w:rPr>
            <w:rStyle w:val="a5"/>
            <w:noProof/>
          </w:rPr>
          <w:t>Title: Biodemography and Social Biology</w:t>
        </w:r>
        <w:r>
          <w:rPr>
            <w:noProof/>
            <w:webHidden/>
          </w:rPr>
          <w:tab/>
        </w:r>
        <w:r>
          <w:rPr>
            <w:noProof/>
            <w:webHidden/>
          </w:rPr>
          <w:fldChar w:fldCharType="begin"/>
        </w:r>
        <w:r>
          <w:rPr>
            <w:noProof/>
            <w:webHidden/>
          </w:rPr>
          <w:instrText xml:space="preserve"> PAGEREF _Toc420814707 \h </w:instrText>
        </w:r>
        <w:r>
          <w:rPr>
            <w:noProof/>
            <w:webHidden/>
          </w:rPr>
        </w:r>
        <w:r>
          <w:rPr>
            <w:noProof/>
            <w:webHidden/>
          </w:rPr>
          <w:fldChar w:fldCharType="separate"/>
        </w:r>
        <w:r>
          <w:rPr>
            <w:noProof/>
            <w:webHidden/>
          </w:rPr>
          <w:t>1369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8" w:history="1">
        <w:r w:rsidRPr="002F4868">
          <w:rPr>
            <w:rStyle w:val="a5"/>
            <w:noProof/>
          </w:rPr>
          <w:t>Title: Biodiversity and Conservation</w:t>
        </w:r>
        <w:r>
          <w:rPr>
            <w:noProof/>
            <w:webHidden/>
          </w:rPr>
          <w:tab/>
        </w:r>
        <w:r>
          <w:rPr>
            <w:noProof/>
            <w:webHidden/>
          </w:rPr>
          <w:fldChar w:fldCharType="begin"/>
        </w:r>
        <w:r>
          <w:rPr>
            <w:noProof/>
            <w:webHidden/>
          </w:rPr>
          <w:instrText xml:space="preserve"> PAGEREF _Toc420814708 \h </w:instrText>
        </w:r>
        <w:r>
          <w:rPr>
            <w:noProof/>
            <w:webHidden/>
          </w:rPr>
        </w:r>
        <w:r>
          <w:rPr>
            <w:noProof/>
            <w:webHidden/>
          </w:rPr>
          <w:fldChar w:fldCharType="separate"/>
        </w:r>
        <w:r>
          <w:rPr>
            <w:noProof/>
            <w:webHidden/>
          </w:rPr>
          <w:t>1370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09" w:history="1">
        <w:r w:rsidRPr="002F4868">
          <w:rPr>
            <w:rStyle w:val="a5"/>
            <w:noProof/>
          </w:rPr>
          <w:t>Title: Bioelectrochemistry</w:t>
        </w:r>
        <w:r>
          <w:rPr>
            <w:noProof/>
            <w:webHidden/>
          </w:rPr>
          <w:tab/>
        </w:r>
        <w:r>
          <w:rPr>
            <w:noProof/>
            <w:webHidden/>
          </w:rPr>
          <w:fldChar w:fldCharType="begin"/>
        </w:r>
        <w:r>
          <w:rPr>
            <w:noProof/>
            <w:webHidden/>
          </w:rPr>
          <w:instrText xml:space="preserve"> PAGEREF _Toc420814709 \h </w:instrText>
        </w:r>
        <w:r>
          <w:rPr>
            <w:noProof/>
            <w:webHidden/>
          </w:rPr>
        </w:r>
        <w:r>
          <w:rPr>
            <w:noProof/>
            <w:webHidden/>
          </w:rPr>
          <w:fldChar w:fldCharType="separate"/>
        </w:r>
        <w:r>
          <w:rPr>
            <w:noProof/>
            <w:webHidden/>
          </w:rPr>
          <w:t>1373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0" w:history="1">
        <w:r w:rsidRPr="002F4868">
          <w:rPr>
            <w:rStyle w:val="a5"/>
            <w:noProof/>
          </w:rPr>
          <w:t>Title: Bioelectrochemistry and Bioenergetics</w:t>
        </w:r>
        <w:r>
          <w:rPr>
            <w:noProof/>
            <w:webHidden/>
          </w:rPr>
          <w:tab/>
        </w:r>
        <w:r>
          <w:rPr>
            <w:noProof/>
            <w:webHidden/>
          </w:rPr>
          <w:fldChar w:fldCharType="begin"/>
        </w:r>
        <w:r>
          <w:rPr>
            <w:noProof/>
            <w:webHidden/>
          </w:rPr>
          <w:instrText xml:space="preserve"> PAGEREF _Toc420814710 \h </w:instrText>
        </w:r>
        <w:r>
          <w:rPr>
            <w:noProof/>
            <w:webHidden/>
          </w:rPr>
        </w:r>
        <w:r>
          <w:rPr>
            <w:noProof/>
            <w:webHidden/>
          </w:rPr>
          <w:fldChar w:fldCharType="separate"/>
        </w:r>
        <w:r>
          <w:rPr>
            <w:noProof/>
            <w:webHidden/>
          </w:rPr>
          <w:t>1374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1" w:history="1">
        <w:r w:rsidRPr="002F4868">
          <w:rPr>
            <w:rStyle w:val="a5"/>
            <w:noProof/>
          </w:rPr>
          <w:t>Title: Bioessays</w:t>
        </w:r>
        <w:r>
          <w:rPr>
            <w:noProof/>
            <w:webHidden/>
          </w:rPr>
          <w:tab/>
        </w:r>
        <w:r>
          <w:rPr>
            <w:noProof/>
            <w:webHidden/>
          </w:rPr>
          <w:fldChar w:fldCharType="begin"/>
        </w:r>
        <w:r>
          <w:rPr>
            <w:noProof/>
            <w:webHidden/>
          </w:rPr>
          <w:instrText xml:space="preserve"> PAGEREF _Toc420814711 \h </w:instrText>
        </w:r>
        <w:r>
          <w:rPr>
            <w:noProof/>
            <w:webHidden/>
          </w:rPr>
        </w:r>
        <w:r>
          <w:rPr>
            <w:noProof/>
            <w:webHidden/>
          </w:rPr>
          <w:fldChar w:fldCharType="separate"/>
        </w:r>
        <w:r>
          <w:rPr>
            <w:noProof/>
            <w:webHidden/>
          </w:rPr>
          <w:t>1375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2" w:history="1">
        <w:r w:rsidRPr="002F4868">
          <w:rPr>
            <w:rStyle w:val="a5"/>
            <w:noProof/>
          </w:rPr>
          <w:t>Title: Bioethics</w:t>
        </w:r>
        <w:r>
          <w:rPr>
            <w:noProof/>
            <w:webHidden/>
          </w:rPr>
          <w:tab/>
        </w:r>
        <w:r>
          <w:rPr>
            <w:noProof/>
            <w:webHidden/>
          </w:rPr>
          <w:fldChar w:fldCharType="begin"/>
        </w:r>
        <w:r>
          <w:rPr>
            <w:noProof/>
            <w:webHidden/>
          </w:rPr>
          <w:instrText xml:space="preserve"> PAGEREF _Toc420814712 \h </w:instrText>
        </w:r>
        <w:r>
          <w:rPr>
            <w:noProof/>
            <w:webHidden/>
          </w:rPr>
        </w:r>
        <w:r>
          <w:rPr>
            <w:noProof/>
            <w:webHidden/>
          </w:rPr>
          <w:fldChar w:fldCharType="separate"/>
        </w:r>
        <w:r>
          <w:rPr>
            <w:noProof/>
            <w:webHidden/>
          </w:rPr>
          <w:t>1376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3" w:history="1">
        <w:r w:rsidRPr="002F4868">
          <w:rPr>
            <w:rStyle w:val="a5"/>
            <w:noProof/>
          </w:rPr>
          <w:t>Title: Biofutur</w:t>
        </w:r>
        <w:r>
          <w:rPr>
            <w:noProof/>
            <w:webHidden/>
          </w:rPr>
          <w:tab/>
        </w:r>
        <w:r>
          <w:rPr>
            <w:noProof/>
            <w:webHidden/>
          </w:rPr>
          <w:fldChar w:fldCharType="begin"/>
        </w:r>
        <w:r>
          <w:rPr>
            <w:noProof/>
            <w:webHidden/>
          </w:rPr>
          <w:instrText xml:space="preserve"> PAGEREF _Toc420814713 \h </w:instrText>
        </w:r>
        <w:r>
          <w:rPr>
            <w:noProof/>
            <w:webHidden/>
          </w:rPr>
        </w:r>
        <w:r>
          <w:rPr>
            <w:noProof/>
            <w:webHidden/>
          </w:rPr>
          <w:fldChar w:fldCharType="separate"/>
        </w:r>
        <w:r>
          <w:rPr>
            <w:noProof/>
            <w:webHidden/>
          </w:rPr>
          <w:t>1378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4" w:history="1">
        <w:r w:rsidRPr="002F4868">
          <w:rPr>
            <w:rStyle w:val="a5"/>
            <w:noProof/>
          </w:rPr>
          <w:t>Title: Bioinformatics</w:t>
        </w:r>
        <w:r>
          <w:rPr>
            <w:noProof/>
            <w:webHidden/>
          </w:rPr>
          <w:tab/>
        </w:r>
        <w:r>
          <w:rPr>
            <w:noProof/>
            <w:webHidden/>
          </w:rPr>
          <w:fldChar w:fldCharType="begin"/>
        </w:r>
        <w:r>
          <w:rPr>
            <w:noProof/>
            <w:webHidden/>
          </w:rPr>
          <w:instrText xml:space="preserve"> PAGEREF _Toc420814714 \h </w:instrText>
        </w:r>
        <w:r>
          <w:rPr>
            <w:noProof/>
            <w:webHidden/>
          </w:rPr>
        </w:r>
        <w:r>
          <w:rPr>
            <w:noProof/>
            <w:webHidden/>
          </w:rPr>
          <w:fldChar w:fldCharType="separate"/>
        </w:r>
        <w:r>
          <w:rPr>
            <w:noProof/>
            <w:webHidden/>
          </w:rPr>
          <w:t>1379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5" w:history="1">
        <w:r w:rsidRPr="002F4868">
          <w:rPr>
            <w:rStyle w:val="a5"/>
            <w:noProof/>
          </w:rPr>
          <w:t>Title: Biological Control</w:t>
        </w:r>
        <w:r>
          <w:rPr>
            <w:noProof/>
            <w:webHidden/>
          </w:rPr>
          <w:tab/>
        </w:r>
        <w:r>
          <w:rPr>
            <w:noProof/>
            <w:webHidden/>
          </w:rPr>
          <w:fldChar w:fldCharType="begin"/>
        </w:r>
        <w:r>
          <w:rPr>
            <w:noProof/>
            <w:webHidden/>
          </w:rPr>
          <w:instrText xml:space="preserve"> PAGEREF _Toc420814715 \h </w:instrText>
        </w:r>
        <w:r>
          <w:rPr>
            <w:noProof/>
            <w:webHidden/>
          </w:rPr>
        </w:r>
        <w:r>
          <w:rPr>
            <w:noProof/>
            <w:webHidden/>
          </w:rPr>
          <w:fldChar w:fldCharType="separate"/>
        </w:r>
        <w:r>
          <w:rPr>
            <w:noProof/>
            <w:webHidden/>
          </w:rPr>
          <w:t>1380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6" w:history="1">
        <w:r w:rsidRPr="002F4868">
          <w:rPr>
            <w:rStyle w:val="a5"/>
            <w:noProof/>
          </w:rPr>
          <w:t>Title: Biological Cybernetics</w:t>
        </w:r>
        <w:r>
          <w:rPr>
            <w:noProof/>
            <w:webHidden/>
          </w:rPr>
          <w:tab/>
        </w:r>
        <w:r>
          <w:rPr>
            <w:noProof/>
            <w:webHidden/>
          </w:rPr>
          <w:fldChar w:fldCharType="begin"/>
        </w:r>
        <w:r>
          <w:rPr>
            <w:noProof/>
            <w:webHidden/>
          </w:rPr>
          <w:instrText xml:space="preserve"> PAGEREF _Toc420814716 \h </w:instrText>
        </w:r>
        <w:r>
          <w:rPr>
            <w:noProof/>
            <w:webHidden/>
          </w:rPr>
        </w:r>
        <w:r>
          <w:rPr>
            <w:noProof/>
            <w:webHidden/>
          </w:rPr>
          <w:fldChar w:fldCharType="separate"/>
        </w:r>
        <w:r>
          <w:rPr>
            <w:noProof/>
            <w:webHidden/>
          </w:rPr>
          <w:t>1381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7" w:history="1">
        <w:r w:rsidRPr="002F4868">
          <w:rPr>
            <w:rStyle w:val="a5"/>
            <w:noProof/>
          </w:rPr>
          <w:t>Title: Biological Invasions</w:t>
        </w:r>
        <w:r>
          <w:rPr>
            <w:noProof/>
            <w:webHidden/>
          </w:rPr>
          <w:tab/>
        </w:r>
        <w:r>
          <w:rPr>
            <w:noProof/>
            <w:webHidden/>
          </w:rPr>
          <w:fldChar w:fldCharType="begin"/>
        </w:r>
        <w:r>
          <w:rPr>
            <w:noProof/>
            <w:webHidden/>
          </w:rPr>
          <w:instrText xml:space="preserve"> PAGEREF _Toc420814717 \h </w:instrText>
        </w:r>
        <w:r>
          <w:rPr>
            <w:noProof/>
            <w:webHidden/>
          </w:rPr>
        </w:r>
        <w:r>
          <w:rPr>
            <w:noProof/>
            <w:webHidden/>
          </w:rPr>
          <w:fldChar w:fldCharType="separate"/>
        </w:r>
        <w:r>
          <w:rPr>
            <w:noProof/>
            <w:webHidden/>
          </w:rPr>
          <w:t>1383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8" w:history="1">
        <w:r w:rsidRPr="002F4868">
          <w:rPr>
            <w:rStyle w:val="a5"/>
            <w:noProof/>
          </w:rPr>
          <w:t>Title: Biological Journal of the Linnean Society</w:t>
        </w:r>
        <w:r>
          <w:rPr>
            <w:noProof/>
            <w:webHidden/>
          </w:rPr>
          <w:tab/>
        </w:r>
        <w:r>
          <w:rPr>
            <w:noProof/>
            <w:webHidden/>
          </w:rPr>
          <w:fldChar w:fldCharType="begin"/>
        </w:r>
        <w:r>
          <w:rPr>
            <w:noProof/>
            <w:webHidden/>
          </w:rPr>
          <w:instrText xml:space="preserve"> PAGEREF _Toc420814718 \h </w:instrText>
        </w:r>
        <w:r>
          <w:rPr>
            <w:noProof/>
            <w:webHidden/>
          </w:rPr>
        </w:r>
        <w:r>
          <w:rPr>
            <w:noProof/>
            <w:webHidden/>
          </w:rPr>
          <w:fldChar w:fldCharType="separate"/>
        </w:r>
        <w:r>
          <w:rPr>
            <w:noProof/>
            <w:webHidden/>
          </w:rPr>
          <w:t>1385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19" w:history="1">
        <w:r w:rsidRPr="002F4868">
          <w:rPr>
            <w:rStyle w:val="a5"/>
            <w:noProof/>
          </w:rPr>
          <w:t>Title: Biological Research</w:t>
        </w:r>
        <w:r>
          <w:rPr>
            <w:noProof/>
            <w:webHidden/>
          </w:rPr>
          <w:tab/>
        </w:r>
        <w:r>
          <w:rPr>
            <w:noProof/>
            <w:webHidden/>
          </w:rPr>
          <w:fldChar w:fldCharType="begin"/>
        </w:r>
        <w:r>
          <w:rPr>
            <w:noProof/>
            <w:webHidden/>
          </w:rPr>
          <w:instrText xml:space="preserve"> PAGEREF _Toc420814719 \h </w:instrText>
        </w:r>
        <w:r>
          <w:rPr>
            <w:noProof/>
            <w:webHidden/>
          </w:rPr>
        </w:r>
        <w:r>
          <w:rPr>
            <w:noProof/>
            <w:webHidden/>
          </w:rPr>
          <w:fldChar w:fldCharType="separate"/>
        </w:r>
        <w:r>
          <w:rPr>
            <w:noProof/>
            <w:webHidden/>
          </w:rPr>
          <w:t>1386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0" w:history="1">
        <w:r w:rsidRPr="002F4868">
          <w:rPr>
            <w:rStyle w:val="a5"/>
            <w:noProof/>
          </w:rPr>
          <w:t>Title: Biologist</w:t>
        </w:r>
        <w:r>
          <w:rPr>
            <w:noProof/>
            <w:webHidden/>
          </w:rPr>
          <w:tab/>
        </w:r>
        <w:r>
          <w:rPr>
            <w:noProof/>
            <w:webHidden/>
          </w:rPr>
          <w:fldChar w:fldCharType="begin"/>
        </w:r>
        <w:r>
          <w:rPr>
            <w:noProof/>
            <w:webHidden/>
          </w:rPr>
          <w:instrText xml:space="preserve"> PAGEREF _Toc420814720 \h </w:instrText>
        </w:r>
        <w:r>
          <w:rPr>
            <w:noProof/>
            <w:webHidden/>
          </w:rPr>
        </w:r>
        <w:r>
          <w:rPr>
            <w:noProof/>
            <w:webHidden/>
          </w:rPr>
          <w:fldChar w:fldCharType="separate"/>
        </w:r>
        <w:r>
          <w:rPr>
            <w:noProof/>
            <w:webHidden/>
          </w:rPr>
          <w:t>1388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1" w:history="1">
        <w:r w:rsidRPr="002F4868">
          <w:rPr>
            <w:rStyle w:val="a5"/>
            <w:noProof/>
          </w:rPr>
          <w:t>Title: Biology of Blood and Marrow Transplantation</w:t>
        </w:r>
        <w:r>
          <w:rPr>
            <w:noProof/>
            <w:webHidden/>
          </w:rPr>
          <w:tab/>
        </w:r>
        <w:r>
          <w:rPr>
            <w:noProof/>
            <w:webHidden/>
          </w:rPr>
          <w:fldChar w:fldCharType="begin"/>
        </w:r>
        <w:r>
          <w:rPr>
            <w:noProof/>
            <w:webHidden/>
          </w:rPr>
          <w:instrText xml:space="preserve"> PAGEREF _Toc420814721 \h </w:instrText>
        </w:r>
        <w:r>
          <w:rPr>
            <w:noProof/>
            <w:webHidden/>
          </w:rPr>
        </w:r>
        <w:r>
          <w:rPr>
            <w:noProof/>
            <w:webHidden/>
          </w:rPr>
          <w:fldChar w:fldCharType="separate"/>
        </w:r>
        <w:r>
          <w:rPr>
            <w:noProof/>
            <w:webHidden/>
          </w:rPr>
          <w:t>1389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2" w:history="1">
        <w:r w:rsidRPr="002F4868">
          <w:rPr>
            <w:rStyle w:val="a5"/>
            <w:noProof/>
          </w:rPr>
          <w:t>Title: Biomarkers</w:t>
        </w:r>
        <w:r>
          <w:rPr>
            <w:noProof/>
            <w:webHidden/>
          </w:rPr>
          <w:tab/>
        </w:r>
        <w:r>
          <w:rPr>
            <w:noProof/>
            <w:webHidden/>
          </w:rPr>
          <w:fldChar w:fldCharType="begin"/>
        </w:r>
        <w:r>
          <w:rPr>
            <w:noProof/>
            <w:webHidden/>
          </w:rPr>
          <w:instrText xml:space="preserve"> PAGEREF _Toc420814722 \h </w:instrText>
        </w:r>
        <w:r>
          <w:rPr>
            <w:noProof/>
            <w:webHidden/>
          </w:rPr>
        </w:r>
        <w:r>
          <w:rPr>
            <w:noProof/>
            <w:webHidden/>
          </w:rPr>
          <w:fldChar w:fldCharType="separate"/>
        </w:r>
        <w:r>
          <w:rPr>
            <w:noProof/>
            <w:webHidden/>
          </w:rPr>
          <w:t>1391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3" w:history="1">
        <w:r w:rsidRPr="002F4868">
          <w:rPr>
            <w:rStyle w:val="a5"/>
            <w:noProof/>
          </w:rPr>
          <w:t>Title: Biomass &amp; Bioenergy</w:t>
        </w:r>
        <w:r>
          <w:rPr>
            <w:noProof/>
            <w:webHidden/>
          </w:rPr>
          <w:tab/>
        </w:r>
        <w:r>
          <w:rPr>
            <w:noProof/>
            <w:webHidden/>
          </w:rPr>
          <w:fldChar w:fldCharType="begin"/>
        </w:r>
        <w:r>
          <w:rPr>
            <w:noProof/>
            <w:webHidden/>
          </w:rPr>
          <w:instrText xml:space="preserve"> PAGEREF _Toc420814723 \h </w:instrText>
        </w:r>
        <w:r>
          <w:rPr>
            <w:noProof/>
            <w:webHidden/>
          </w:rPr>
        </w:r>
        <w:r>
          <w:rPr>
            <w:noProof/>
            <w:webHidden/>
          </w:rPr>
          <w:fldChar w:fldCharType="separate"/>
        </w:r>
        <w:r>
          <w:rPr>
            <w:noProof/>
            <w:webHidden/>
          </w:rPr>
          <w:t>1392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4" w:history="1">
        <w:r w:rsidRPr="002F4868">
          <w:rPr>
            <w:rStyle w:val="a5"/>
            <w:noProof/>
          </w:rPr>
          <w:t>Title: Biomaterials</w:t>
        </w:r>
        <w:r>
          <w:rPr>
            <w:noProof/>
            <w:webHidden/>
          </w:rPr>
          <w:tab/>
        </w:r>
        <w:r>
          <w:rPr>
            <w:noProof/>
            <w:webHidden/>
          </w:rPr>
          <w:fldChar w:fldCharType="begin"/>
        </w:r>
        <w:r>
          <w:rPr>
            <w:noProof/>
            <w:webHidden/>
          </w:rPr>
          <w:instrText xml:space="preserve"> PAGEREF _Toc420814724 \h </w:instrText>
        </w:r>
        <w:r>
          <w:rPr>
            <w:noProof/>
            <w:webHidden/>
          </w:rPr>
        </w:r>
        <w:r>
          <w:rPr>
            <w:noProof/>
            <w:webHidden/>
          </w:rPr>
          <w:fldChar w:fldCharType="separate"/>
        </w:r>
        <w:r>
          <w:rPr>
            <w:noProof/>
            <w:webHidden/>
          </w:rPr>
          <w:t>1394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5" w:history="1">
        <w:r w:rsidRPr="002F4868">
          <w:rPr>
            <w:rStyle w:val="a5"/>
            <w:noProof/>
          </w:rPr>
          <w:t>Title: BioMed Research International</w:t>
        </w:r>
        <w:r>
          <w:rPr>
            <w:noProof/>
            <w:webHidden/>
          </w:rPr>
          <w:tab/>
        </w:r>
        <w:r>
          <w:rPr>
            <w:noProof/>
            <w:webHidden/>
          </w:rPr>
          <w:fldChar w:fldCharType="begin"/>
        </w:r>
        <w:r>
          <w:rPr>
            <w:noProof/>
            <w:webHidden/>
          </w:rPr>
          <w:instrText xml:space="preserve"> PAGEREF _Toc420814725 \h </w:instrText>
        </w:r>
        <w:r>
          <w:rPr>
            <w:noProof/>
            <w:webHidden/>
          </w:rPr>
        </w:r>
        <w:r>
          <w:rPr>
            <w:noProof/>
            <w:webHidden/>
          </w:rPr>
          <w:fldChar w:fldCharType="separate"/>
        </w:r>
        <w:r>
          <w:rPr>
            <w:noProof/>
            <w:webHidden/>
          </w:rPr>
          <w:t>1395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6" w:history="1">
        <w:r w:rsidRPr="002F4868">
          <w:rPr>
            <w:rStyle w:val="a5"/>
            <w:noProof/>
          </w:rPr>
          <w:t>Title: Biomedical Papers-Olomouc</w:t>
        </w:r>
        <w:r>
          <w:rPr>
            <w:noProof/>
            <w:webHidden/>
          </w:rPr>
          <w:tab/>
        </w:r>
        <w:r>
          <w:rPr>
            <w:noProof/>
            <w:webHidden/>
          </w:rPr>
          <w:fldChar w:fldCharType="begin"/>
        </w:r>
        <w:r>
          <w:rPr>
            <w:noProof/>
            <w:webHidden/>
          </w:rPr>
          <w:instrText xml:space="preserve"> PAGEREF _Toc420814726 \h </w:instrText>
        </w:r>
        <w:r>
          <w:rPr>
            <w:noProof/>
            <w:webHidden/>
          </w:rPr>
        </w:r>
        <w:r>
          <w:rPr>
            <w:noProof/>
            <w:webHidden/>
          </w:rPr>
          <w:fldChar w:fldCharType="separate"/>
        </w:r>
        <w:r>
          <w:rPr>
            <w:noProof/>
            <w:webHidden/>
          </w:rPr>
          <w:t>1409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7" w:history="1">
        <w:r w:rsidRPr="002F4868">
          <w:rPr>
            <w:rStyle w:val="a5"/>
            <w:noProof/>
          </w:rPr>
          <w:t>Title: Biomedicine &amp; Pharmacotherapy</w:t>
        </w:r>
        <w:r>
          <w:rPr>
            <w:noProof/>
            <w:webHidden/>
          </w:rPr>
          <w:tab/>
        </w:r>
        <w:r>
          <w:rPr>
            <w:noProof/>
            <w:webHidden/>
          </w:rPr>
          <w:fldChar w:fldCharType="begin"/>
        </w:r>
        <w:r>
          <w:rPr>
            <w:noProof/>
            <w:webHidden/>
          </w:rPr>
          <w:instrText xml:space="preserve"> PAGEREF _Toc420814727 \h </w:instrText>
        </w:r>
        <w:r>
          <w:rPr>
            <w:noProof/>
            <w:webHidden/>
          </w:rPr>
        </w:r>
        <w:r>
          <w:rPr>
            <w:noProof/>
            <w:webHidden/>
          </w:rPr>
          <w:fldChar w:fldCharType="separate"/>
        </w:r>
        <w:r>
          <w:rPr>
            <w:noProof/>
            <w:webHidden/>
          </w:rPr>
          <w:t>1414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8" w:history="1">
        <w:r w:rsidRPr="002F4868">
          <w:rPr>
            <w:rStyle w:val="a5"/>
            <w:noProof/>
          </w:rPr>
          <w:t>Title: Biometrika</w:t>
        </w:r>
        <w:r>
          <w:rPr>
            <w:noProof/>
            <w:webHidden/>
          </w:rPr>
          <w:tab/>
        </w:r>
        <w:r>
          <w:rPr>
            <w:noProof/>
            <w:webHidden/>
          </w:rPr>
          <w:fldChar w:fldCharType="begin"/>
        </w:r>
        <w:r>
          <w:rPr>
            <w:noProof/>
            <w:webHidden/>
          </w:rPr>
          <w:instrText xml:space="preserve"> PAGEREF _Toc420814728 \h </w:instrText>
        </w:r>
        <w:r>
          <w:rPr>
            <w:noProof/>
            <w:webHidden/>
          </w:rPr>
        </w:r>
        <w:r>
          <w:rPr>
            <w:noProof/>
            <w:webHidden/>
          </w:rPr>
          <w:fldChar w:fldCharType="separate"/>
        </w:r>
        <w:r>
          <w:rPr>
            <w:noProof/>
            <w:webHidden/>
          </w:rPr>
          <w:t>1416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29" w:history="1">
        <w:r w:rsidRPr="002F4868">
          <w:rPr>
            <w:rStyle w:val="a5"/>
            <w:noProof/>
          </w:rPr>
          <w:t>Title: Biopolimery i Kletka</w:t>
        </w:r>
        <w:r>
          <w:rPr>
            <w:noProof/>
            <w:webHidden/>
          </w:rPr>
          <w:tab/>
        </w:r>
        <w:r>
          <w:rPr>
            <w:noProof/>
            <w:webHidden/>
          </w:rPr>
          <w:fldChar w:fldCharType="begin"/>
        </w:r>
        <w:r>
          <w:rPr>
            <w:noProof/>
            <w:webHidden/>
          </w:rPr>
          <w:instrText xml:space="preserve"> PAGEREF _Toc420814729 \h </w:instrText>
        </w:r>
        <w:r>
          <w:rPr>
            <w:noProof/>
            <w:webHidden/>
          </w:rPr>
        </w:r>
        <w:r>
          <w:rPr>
            <w:noProof/>
            <w:webHidden/>
          </w:rPr>
          <w:fldChar w:fldCharType="separate"/>
        </w:r>
        <w:r>
          <w:rPr>
            <w:noProof/>
            <w:webHidden/>
          </w:rPr>
          <w:t>1417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0" w:history="1">
        <w:r w:rsidRPr="002F4868">
          <w:rPr>
            <w:rStyle w:val="a5"/>
            <w:noProof/>
          </w:rPr>
          <w:t>Title: Biopolymers and Cell</w:t>
        </w:r>
        <w:r>
          <w:rPr>
            <w:noProof/>
            <w:webHidden/>
          </w:rPr>
          <w:tab/>
        </w:r>
        <w:r>
          <w:rPr>
            <w:noProof/>
            <w:webHidden/>
          </w:rPr>
          <w:fldChar w:fldCharType="begin"/>
        </w:r>
        <w:r>
          <w:rPr>
            <w:noProof/>
            <w:webHidden/>
          </w:rPr>
          <w:instrText xml:space="preserve"> PAGEREF _Toc420814730 \h </w:instrText>
        </w:r>
        <w:r>
          <w:rPr>
            <w:noProof/>
            <w:webHidden/>
          </w:rPr>
        </w:r>
        <w:r>
          <w:rPr>
            <w:noProof/>
            <w:webHidden/>
          </w:rPr>
          <w:fldChar w:fldCharType="separate"/>
        </w:r>
        <w:r>
          <w:rPr>
            <w:noProof/>
            <w:webHidden/>
          </w:rPr>
          <w:t>1418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1" w:history="1">
        <w:r w:rsidRPr="002F4868">
          <w:rPr>
            <w:rStyle w:val="a5"/>
            <w:noProof/>
          </w:rPr>
          <w:t>Title: Biorheology</w:t>
        </w:r>
        <w:r>
          <w:rPr>
            <w:noProof/>
            <w:webHidden/>
          </w:rPr>
          <w:tab/>
        </w:r>
        <w:r>
          <w:rPr>
            <w:noProof/>
            <w:webHidden/>
          </w:rPr>
          <w:fldChar w:fldCharType="begin"/>
        </w:r>
        <w:r>
          <w:rPr>
            <w:noProof/>
            <w:webHidden/>
          </w:rPr>
          <w:instrText xml:space="preserve"> PAGEREF _Toc420814731 \h </w:instrText>
        </w:r>
        <w:r>
          <w:rPr>
            <w:noProof/>
            <w:webHidden/>
          </w:rPr>
        </w:r>
        <w:r>
          <w:rPr>
            <w:noProof/>
            <w:webHidden/>
          </w:rPr>
          <w:fldChar w:fldCharType="separate"/>
        </w:r>
        <w:r>
          <w:rPr>
            <w:noProof/>
            <w:webHidden/>
          </w:rPr>
          <w:t>1419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2" w:history="1">
        <w:r w:rsidRPr="002F4868">
          <w:rPr>
            <w:rStyle w:val="a5"/>
            <w:noProof/>
          </w:rPr>
          <w:t>Title: BioScience</w:t>
        </w:r>
        <w:r>
          <w:rPr>
            <w:noProof/>
            <w:webHidden/>
          </w:rPr>
          <w:tab/>
        </w:r>
        <w:r>
          <w:rPr>
            <w:noProof/>
            <w:webHidden/>
          </w:rPr>
          <w:fldChar w:fldCharType="begin"/>
        </w:r>
        <w:r>
          <w:rPr>
            <w:noProof/>
            <w:webHidden/>
          </w:rPr>
          <w:instrText xml:space="preserve"> PAGEREF _Toc420814732 \h </w:instrText>
        </w:r>
        <w:r>
          <w:rPr>
            <w:noProof/>
            <w:webHidden/>
          </w:rPr>
        </w:r>
        <w:r>
          <w:rPr>
            <w:noProof/>
            <w:webHidden/>
          </w:rPr>
          <w:fldChar w:fldCharType="separate"/>
        </w:r>
        <w:r>
          <w:rPr>
            <w:noProof/>
            <w:webHidden/>
          </w:rPr>
          <w:t>1421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3" w:history="1">
        <w:r w:rsidRPr="002F4868">
          <w:rPr>
            <w:rStyle w:val="a5"/>
            <w:noProof/>
          </w:rPr>
          <w:t>Title: Bioscience Journal</w:t>
        </w:r>
        <w:r>
          <w:rPr>
            <w:noProof/>
            <w:webHidden/>
          </w:rPr>
          <w:tab/>
        </w:r>
        <w:r>
          <w:rPr>
            <w:noProof/>
            <w:webHidden/>
          </w:rPr>
          <w:fldChar w:fldCharType="begin"/>
        </w:r>
        <w:r>
          <w:rPr>
            <w:noProof/>
            <w:webHidden/>
          </w:rPr>
          <w:instrText xml:space="preserve"> PAGEREF _Toc420814733 \h </w:instrText>
        </w:r>
        <w:r>
          <w:rPr>
            <w:noProof/>
            <w:webHidden/>
          </w:rPr>
        </w:r>
        <w:r>
          <w:rPr>
            <w:noProof/>
            <w:webHidden/>
          </w:rPr>
          <w:fldChar w:fldCharType="separate"/>
        </w:r>
        <w:r>
          <w:rPr>
            <w:noProof/>
            <w:webHidden/>
          </w:rPr>
          <w:t>1423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4" w:history="1">
        <w:r w:rsidRPr="002F4868">
          <w:rPr>
            <w:rStyle w:val="a5"/>
            <w:noProof/>
          </w:rPr>
          <w:t>Title: Biosystema</w:t>
        </w:r>
        <w:r>
          <w:rPr>
            <w:noProof/>
            <w:webHidden/>
          </w:rPr>
          <w:tab/>
        </w:r>
        <w:r>
          <w:rPr>
            <w:noProof/>
            <w:webHidden/>
          </w:rPr>
          <w:fldChar w:fldCharType="begin"/>
        </w:r>
        <w:r>
          <w:rPr>
            <w:noProof/>
            <w:webHidden/>
          </w:rPr>
          <w:instrText xml:space="preserve"> PAGEREF _Toc420814734 \h </w:instrText>
        </w:r>
        <w:r>
          <w:rPr>
            <w:noProof/>
            <w:webHidden/>
          </w:rPr>
        </w:r>
        <w:r>
          <w:rPr>
            <w:noProof/>
            <w:webHidden/>
          </w:rPr>
          <w:fldChar w:fldCharType="separate"/>
        </w:r>
        <w:r>
          <w:rPr>
            <w:noProof/>
            <w:webHidden/>
          </w:rPr>
          <w:t>1425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5" w:history="1">
        <w:r w:rsidRPr="002F4868">
          <w:rPr>
            <w:rStyle w:val="a5"/>
            <w:noProof/>
          </w:rPr>
          <w:t>Title: Biotechnologie Agronomie Societe et Environnement</w:t>
        </w:r>
        <w:r>
          <w:rPr>
            <w:noProof/>
            <w:webHidden/>
          </w:rPr>
          <w:tab/>
        </w:r>
        <w:r>
          <w:rPr>
            <w:noProof/>
            <w:webHidden/>
          </w:rPr>
          <w:fldChar w:fldCharType="begin"/>
        </w:r>
        <w:r>
          <w:rPr>
            <w:noProof/>
            <w:webHidden/>
          </w:rPr>
          <w:instrText xml:space="preserve"> PAGEREF _Toc420814735 \h </w:instrText>
        </w:r>
        <w:r>
          <w:rPr>
            <w:noProof/>
            <w:webHidden/>
          </w:rPr>
        </w:r>
        <w:r>
          <w:rPr>
            <w:noProof/>
            <w:webHidden/>
          </w:rPr>
          <w:fldChar w:fldCharType="separate"/>
        </w:r>
        <w:r>
          <w:rPr>
            <w:noProof/>
            <w:webHidden/>
          </w:rPr>
          <w:t>1426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6" w:history="1">
        <w:r w:rsidRPr="002F4868">
          <w:rPr>
            <w:rStyle w:val="a5"/>
            <w:noProof/>
          </w:rPr>
          <w:t>Title: Biotechnology Advances</w:t>
        </w:r>
        <w:r>
          <w:rPr>
            <w:noProof/>
            <w:webHidden/>
          </w:rPr>
          <w:tab/>
        </w:r>
        <w:r>
          <w:rPr>
            <w:noProof/>
            <w:webHidden/>
          </w:rPr>
          <w:fldChar w:fldCharType="begin"/>
        </w:r>
        <w:r>
          <w:rPr>
            <w:noProof/>
            <w:webHidden/>
          </w:rPr>
          <w:instrText xml:space="preserve"> PAGEREF _Toc420814736 \h </w:instrText>
        </w:r>
        <w:r>
          <w:rPr>
            <w:noProof/>
            <w:webHidden/>
          </w:rPr>
        </w:r>
        <w:r>
          <w:rPr>
            <w:noProof/>
            <w:webHidden/>
          </w:rPr>
          <w:fldChar w:fldCharType="separate"/>
        </w:r>
        <w:r>
          <w:rPr>
            <w:noProof/>
            <w:webHidden/>
          </w:rPr>
          <w:t>1428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7" w:history="1">
        <w:r w:rsidRPr="002F4868">
          <w:rPr>
            <w:rStyle w:val="a5"/>
            <w:noProof/>
          </w:rPr>
          <w:t>Title: Biotechnology Journal</w:t>
        </w:r>
        <w:r>
          <w:rPr>
            <w:noProof/>
            <w:webHidden/>
          </w:rPr>
          <w:tab/>
        </w:r>
        <w:r>
          <w:rPr>
            <w:noProof/>
            <w:webHidden/>
          </w:rPr>
          <w:fldChar w:fldCharType="begin"/>
        </w:r>
        <w:r>
          <w:rPr>
            <w:noProof/>
            <w:webHidden/>
          </w:rPr>
          <w:instrText xml:space="preserve"> PAGEREF _Toc420814737 \h </w:instrText>
        </w:r>
        <w:r>
          <w:rPr>
            <w:noProof/>
            <w:webHidden/>
          </w:rPr>
        </w:r>
        <w:r>
          <w:rPr>
            <w:noProof/>
            <w:webHidden/>
          </w:rPr>
          <w:fldChar w:fldCharType="separate"/>
        </w:r>
        <w:r>
          <w:rPr>
            <w:noProof/>
            <w:webHidden/>
          </w:rPr>
          <w:t>1430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8" w:history="1">
        <w:r w:rsidRPr="002F4868">
          <w:rPr>
            <w:rStyle w:val="a5"/>
            <w:noProof/>
          </w:rPr>
          <w:t>Title: Biotropica</w:t>
        </w:r>
        <w:r>
          <w:rPr>
            <w:noProof/>
            <w:webHidden/>
          </w:rPr>
          <w:tab/>
        </w:r>
        <w:r>
          <w:rPr>
            <w:noProof/>
            <w:webHidden/>
          </w:rPr>
          <w:fldChar w:fldCharType="begin"/>
        </w:r>
        <w:r>
          <w:rPr>
            <w:noProof/>
            <w:webHidden/>
          </w:rPr>
          <w:instrText xml:space="preserve"> PAGEREF _Toc420814738 \h </w:instrText>
        </w:r>
        <w:r>
          <w:rPr>
            <w:noProof/>
            <w:webHidden/>
          </w:rPr>
        </w:r>
        <w:r>
          <w:rPr>
            <w:noProof/>
            <w:webHidden/>
          </w:rPr>
          <w:fldChar w:fldCharType="separate"/>
        </w:r>
        <w:r>
          <w:rPr>
            <w:noProof/>
            <w:webHidden/>
          </w:rPr>
          <w:t>1431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39" w:history="1">
        <w:r w:rsidRPr="002F4868">
          <w:rPr>
            <w:rStyle w:val="a5"/>
            <w:noProof/>
          </w:rPr>
          <w:t>Title: Bipolar Disorders</w:t>
        </w:r>
        <w:r>
          <w:rPr>
            <w:noProof/>
            <w:webHidden/>
          </w:rPr>
          <w:tab/>
        </w:r>
        <w:r>
          <w:rPr>
            <w:noProof/>
            <w:webHidden/>
          </w:rPr>
          <w:fldChar w:fldCharType="begin"/>
        </w:r>
        <w:r>
          <w:rPr>
            <w:noProof/>
            <w:webHidden/>
          </w:rPr>
          <w:instrText xml:space="preserve"> PAGEREF _Toc420814739 \h </w:instrText>
        </w:r>
        <w:r>
          <w:rPr>
            <w:noProof/>
            <w:webHidden/>
          </w:rPr>
        </w:r>
        <w:r>
          <w:rPr>
            <w:noProof/>
            <w:webHidden/>
          </w:rPr>
          <w:fldChar w:fldCharType="separate"/>
        </w:r>
        <w:r>
          <w:rPr>
            <w:noProof/>
            <w:webHidden/>
          </w:rPr>
          <w:t>1433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0" w:history="1">
        <w:r w:rsidRPr="002F4868">
          <w:rPr>
            <w:rStyle w:val="a5"/>
            <w:noProof/>
          </w:rPr>
          <w:t>Title: Bird Conservation International</w:t>
        </w:r>
        <w:r>
          <w:rPr>
            <w:noProof/>
            <w:webHidden/>
          </w:rPr>
          <w:tab/>
        </w:r>
        <w:r>
          <w:rPr>
            <w:noProof/>
            <w:webHidden/>
          </w:rPr>
          <w:fldChar w:fldCharType="begin"/>
        </w:r>
        <w:r>
          <w:rPr>
            <w:noProof/>
            <w:webHidden/>
          </w:rPr>
          <w:instrText xml:space="preserve"> PAGEREF _Toc420814740 \h </w:instrText>
        </w:r>
        <w:r>
          <w:rPr>
            <w:noProof/>
            <w:webHidden/>
          </w:rPr>
        </w:r>
        <w:r>
          <w:rPr>
            <w:noProof/>
            <w:webHidden/>
          </w:rPr>
          <w:fldChar w:fldCharType="separate"/>
        </w:r>
        <w:r>
          <w:rPr>
            <w:noProof/>
            <w:webHidden/>
          </w:rPr>
          <w:t>1437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1" w:history="1">
        <w:r w:rsidRPr="002F4868">
          <w:rPr>
            <w:rStyle w:val="a5"/>
            <w:noProof/>
          </w:rPr>
          <w:t>Title: Birth-Issues in Perinatal Care</w:t>
        </w:r>
        <w:r>
          <w:rPr>
            <w:noProof/>
            <w:webHidden/>
          </w:rPr>
          <w:tab/>
        </w:r>
        <w:r>
          <w:rPr>
            <w:noProof/>
            <w:webHidden/>
          </w:rPr>
          <w:fldChar w:fldCharType="begin"/>
        </w:r>
        <w:r>
          <w:rPr>
            <w:noProof/>
            <w:webHidden/>
          </w:rPr>
          <w:instrText xml:space="preserve"> PAGEREF _Toc420814741 \h </w:instrText>
        </w:r>
        <w:r>
          <w:rPr>
            <w:noProof/>
            <w:webHidden/>
          </w:rPr>
        </w:r>
        <w:r>
          <w:rPr>
            <w:noProof/>
            <w:webHidden/>
          </w:rPr>
          <w:fldChar w:fldCharType="separate"/>
        </w:r>
        <w:r>
          <w:rPr>
            <w:noProof/>
            <w:webHidden/>
          </w:rPr>
          <w:t>1439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2" w:history="1">
        <w:r w:rsidRPr="002F4868">
          <w:rPr>
            <w:rStyle w:val="a5"/>
            <w:noProof/>
          </w:rPr>
          <w:t>Title: BIT</w:t>
        </w:r>
        <w:r>
          <w:rPr>
            <w:noProof/>
            <w:webHidden/>
          </w:rPr>
          <w:tab/>
        </w:r>
        <w:r>
          <w:rPr>
            <w:noProof/>
            <w:webHidden/>
          </w:rPr>
          <w:fldChar w:fldCharType="begin"/>
        </w:r>
        <w:r>
          <w:rPr>
            <w:noProof/>
            <w:webHidden/>
          </w:rPr>
          <w:instrText xml:space="preserve"> PAGEREF _Toc420814742 \h </w:instrText>
        </w:r>
        <w:r>
          <w:rPr>
            <w:noProof/>
            <w:webHidden/>
          </w:rPr>
        </w:r>
        <w:r>
          <w:rPr>
            <w:noProof/>
            <w:webHidden/>
          </w:rPr>
          <w:fldChar w:fldCharType="separate"/>
        </w:r>
        <w:r>
          <w:rPr>
            <w:noProof/>
            <w:webHidden/>
          </w:rPr>
          <w:t>1441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3" w:history="1">
        <w:r w:rsidRPr="002F4868">
          <w:rPr>
            <w:rStyle w:val="a5"/>
            <w:noProof/>
          </w:rPr>
          <w:t>Title: BJOG-An International Journal of Obstetrics and Gynaecology</w:t>
        </w:r>
        <w:r>
          <w:rPr>
            <w:noProof/>
            <w:webHidden/>
          </w:rPr>
          <w:tab/>
        </w:r>
        <w:r>
          <w:rPr>
            <w:noProof/>
            <w:webHidden/>
          </w:rPr>
          <w:fldChar w:fldCharType="begin"/>
        </w:r>
        <w:r>
          <w:rPr>
            <w:noProof/>
            <w:webHidden/>
          </w:rPr>
          <w:instrText xml:space="preserve"> PAGEREF _Toc420814743 \h </w:instrText>
        </w:r>
        <w:r>
          <w:rPr>
            <w:noProof/>
            <w:webHidden/>
          </w:rPr>
        </w:r>
        <w:r>
          <w:rPr>
            <w:noProof/>
            <w:webHidden/>
          </w:rPr>
          <w:fldChar w:fldCharType="separate"/>
        </w:r>
        <w:r>
          <w:rPr>
            <w:noProof/>
            <w:webHidden/>
          </w:rPr>
          <w:t>1442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4" w:history="1">
        <w:r w:rsidRPr="002F4868">
          <w:rPr>
            <w:rStyle w:val="a5"/>
            <w:noProof/>
          </w:rPr>
          <w:t>Title: BJU International</w:t>
        </w:r>
        <w:r>
          <w:rPr>
            <w:noProof/>
            <w:webHidden/>
          </w:rPr>
          <w:tab/>
        </w:r>
        <w:r>
          <w:rPr>
            <w:noProof/>
            <w:webHidden/>
          </w:rPr>
          <w:fldChar w:fldCharType="begin"/>
        </w:r>
        <w:r>
          <w:rPr>
            <w:noProof/>
            <w:webHidden/>
          </w:rPr>
          <w:instrText xml:space="preserve"> PAGEREF _Toc420814744 \h </w:instrText>
        </w:r>
        <w:r>
          <w:rPr>
            <w:noProof/>
            <w:webHidden/>
          </w:rPr>
        </w:r>
        <w:r>
          <w:rPr>
            <w:noProof/>
            <w:webHidden/>
          </w:rPr>
          <w:fldChar w:fldCharType="separate"/>
        </w:r>
        <w:r>
          <w:rPr>
            <w:noProof/>
            <w:webHidden/>
          </w:rPr>
          <w:t>1449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5" w:history="1">
        <w:r w:rsidRPr="002F4868">
          <w:rPr>
            <w:rStyle w:val="a5"/>
            <w:noProof/>
          </w:rPr>
          <w:t>Title: Blood Cells Molecules and Diseases</w:t>
        </w:r>
        <w:r>
          <w:rPr>
            <w:noProof/>
            <w:webHidden/>
          </w:rPr>
          <w:tab/>
        </w:r>
        <w:r>
          <w:rPr>
            <w:noProof/>
            <w:webHidden/>
          </w:rPr>
          <w:fldChar w:fldCharType="begin"/>
        </w:r>
        <w:r>
          <w:rPr>
            <w:noProof/>
            <w:webHidden/>
          </w:rPr>
          <w:instrText xml:space="preserve"> PAGEREF _Toc420814745 \h </w:instrText>
        </w:r>
        <w:r>
          <w:rPr>
            <w:noProof/>
            <w:webHidden/>
          </w:rPr>
        </w:r>
        <w:r>
          <w:rPr>
            <w:noProof/>
            <w:webHidden/>
          </w:rPr>
          <w:fldChar w:fldCharType="separate"/>
        </w:r>
        <w:r>
          <w:rPr>
            <w:noProof/>
            <w:webHidden/>
          </w:rPr>
          <w:t>1462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6" w:history="1">
        <w:r w:rsidRPr="002F4868">
          <w:rPr>
            <w:rStyle w:val="a5"/>
            <w:noProof/>
          </w:rPr>
          <w:t>Title: Blood Coagulation &amp; Fibrinolysis</w:t>
        </w:r>
        <w:r>
          <w:rPr>
            <w:noProof/>
            <w:webHidden/>
          </w:rPr>
          <w:tab/>
        </w:r>
        <w:r>
          <w:rPr>
            <w:noProof/>
            <w:webHidden/>
          </w:rPr>
          <w:fldChar w:fldCharType="begin"/>
        </w:r>
        <w:r>
          <w:rPr>
            <w:noProof/>
            <w:webHidden/>
          </w:rPr>
          <w:instrText xml:space="preserve"> PAGEREF _Toc420814746 \h </w:instrText>
        </w:r>
        <w:r>
          <w:rPr>
            <w:noProof/>
            <w:webHidden/>
          </w:rPr>
        </w:r>
        <w:r>
          <w:rPr>
            <w:noProof/>
            <w:webHidden/>
          </w:rPr>
          <w:fldChar w:fldCharType="separate"/>
        </w:r>
        <w:r>
          <w:rPr>
            <w:noProof/>
            <w:webHidden/>
          </w:rPr>
          <w:t>1464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7" w:history="1">
        <w:r w:rsidRPr="002F4868">
          <w:rPr>
            <w:rStyle w:val="a5"/>
            <w:noProof/>
          </w:rPr>
          <w:t>Title: Blood Pressure</w:t>
        </w:r>
        <w:r>
          <w:rPr>
            <w:noProof/>
            <w:webHidden/>
          </w:rPr>
          <w:tab/>
        </w:r>
        <w:r>
          <w:rPr>
            <w:noProof/>
            <w:webHidden/>
          </w:rPr>
          <w:fldChar w:fldCharType="begin"/>
        </w:r>
        <w:r>
          <w:rPr>
            <w:noProof/>
            <w:webHidden/>
          </w:rPr>
          <w:instrText xml:space="preserve"> PAGEREF _Toc420814747 \h </w:instrText>
        </w:r>
        <w:r>
          <w:rPr>
            <w:noProof/>
            <w:webHidden/>
          </w:rPr>
        </w:r>
        <w:r>
          <w:rPr>
            <w:noProof/>
            <w:webHidden/>
          </w:rPr>
          <w:fldChar w:fldCharType="separate"/>
        </w:r>
        <w:r>
          <w:rPr>
            <w:noProof/>
            <w:webHidden/>
          </w:rPr>
          <w:t>1466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8" w:history="1">
        <w:r w:rsidRPr="002F4868">
          <w:rPr>
            <w:rStyle w:val="a5"/>
            <w:noProof/>
          </w:rPr>
          <w:t>Title: Blood Purification</w:t>
        </w:r>
        <w:r>
          <w:rPr>
            <w:noProof/>
            <w:webHidden/>
          </w:rPr>
          <w:tab/>
        </w:r>
        <w:r>
          <w:rPr>
            <w:noProof/>
            <w:webHidden/>
          </w:rPr>
          <w:fldChar w:fldCharType="begin"/>
        </w:r>
        <w:r>
          <w:rPr>
            <w:noProof/>
            <w:webHidden/>
          </w:rPr>
          <w:instrText xml:space="preserve"> PAGEREF _Toc420814748 \h </w:instrText>
        </w:r>
        <w:r>
          <w:rPr>
            <w:noProof/>
            <w:webHidden/>
          </w:rPr>
        </w:r>
        <w:r>
          <w:rPr>
            <w:noProof/>
            <w:webHidden/>
          </w:rPr>
          <w:fldChar w:fldCharType="separate"/>
        </w:r>
        <w:r>
          <w:rPr>
            <w:noProof/>
            <w:webHidden/>
          </w:rPr>
          <w:t>1468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49" w:history="1">
        <w:r w:rsidRPr="002F4868">
          <w:rPr>
            <w:rStyle w:val="a5"/>
            <w:noProof/>
          </w:rPr>
          <w:t>Title: BMC Anesthesiology</w:t>
        </w:r>
        <w:r>
          <w:rPr>
            <w:noProof/>
            <w:webHidden/>
          </w:rPr>
          <w:tab/>
        </w:r>
        <w:r>
          <w:rPr>
            <w:noProof/>
            <w:webHidden/>
          </w:rPr>
          <w:fldChar w:fldCharType="begin"/>
        </w:r>
        <w:r>
          <w:rPr>
            <w:noProof/>
            <w:webHidden/>
          </w:rPr>
          <w:instrText xml:space="preserve"> PAGEREF _Toc420814749 \h </w:instrText>
        </w:r>
        <w:r>
          <w:rPr>
            <w:noProof/>
            <w:webHidden/>
          </w:rPr>
        </w:r>
        <w:r>
          <w:rPr>
            <w:noProof/>
            <w:webHidden/>
          </w:rPr>
          <w:fldChar w:fldCharType="separate"/>
        </w:r>
        <w:r>
          <w:rPr>
            <w:noProof/>
            <w:webHidden/>
          </w:rPr>
          <w:t>1470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0" w:history="1">
        <w:r w:rsidRPr="002F4868">
          <w:rPr>
            <w:rStyle w:val="a5"/>
            <w:noProof/>
          </w:rPr>
          <w:t>Title: BMC Bioinformatics</w:t>
        </w:r>
        <w:r>
          <w:rPr>
            <w:noProof/>
            <w:webHidden/>
          </w:rPr>
          <w:tab/>
        </w:r>
        <w:r>
          <w:rPr>
            <w:noProof/>
            <w:webHidden/>
          </w:rPr>
          <w:fldChar w:fldCharType="begin"/>
        </w:r>
        <w:r>
          <w:rPr>
            <w:noProof/>
            <w:webHidden/>
          </w:rPr>
          <w:instrText xml:space="preserve"> PAGEREF _Toc420814750 \h </w:instrText>
        </w:r>
        <w:r>
          <w:rPr>
            <w:noProof/>
            <w:webHidden/>
          </w:rPr>
        </w:r>
        <w:r>
          <w:rPr>
            <w:noProof/>
            <w:webHidden/>
          </w:rPr>
          <w:fldChar w:fldCharType="separate"/>
        </w:r>
        <w:r>
          <w:rPr>
            <w:noProof/>
            <w:webHidden/>
          </w:rPr>
          <w:t>1472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1" w:history="1">
        <w:r w:rsidRPr="002F4868">
          <w:rPr>
            <w:rStyle w:val="a5"/>
            <w:noProof/>
          </w:rPr>
          <w:t>Title: BMC Cancer</w:t>
        </w:r>
        <w:r>
          <w:rPr>
            <w:noProof/>
            <w:webHidden/>
          </w:rPr>
          <w:tab/>
        </w:r>
        <w:r>
          <w:rPr>
            <w:noProof/>
            <w:webHidden/>
          </w:rPr>
          <w:fldChar w:fldCharType="begin"/>
        </w:r>
        <w:r>
          <w:rPr>
            <w:noProof/>
            <w:webHidden/>
          </w:rPr>
          <w:instrText xml:space="preserve"> PAGEREF _Toc420814751 \h </w:instrText>
        </w:r>
        <w:r>
          <w:rPr>
            <w:noProof/>
            <w:webHidden/>
          </w:rPr>
        </w:r>
        <w:r>
          <w:rPr>
            <w:noProof/>
            <w:webHidden/>
          </w:rPr>
          <w:fldChar w:fldCharType="separate"/>
        </w:r>
        <w:r>
          <w:rPr>
            <w:noProof/>
            <w:webHidden/>
          </w:rPr>
          <w:t>1475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2" w:history="1">
        <w:r w:rsidRPr="002F4868">
          <w:rPr>
            <w:rStyle w:val="a5"/>
            <w:noProof/>
          </w:rPr>
          <w:t>Title: BMC Cardiovascular Disorders</w:t>
        </w:r>
        <w:r>
          <w:rPr>
            <w:noProof/>
            <w:webHidden/>
          </w:rPr>
          <w:tab/>
        </w:r>
        <w:r>
          <w:rPr>
            <w:noProof/>
            <w:webHidden/>
          </w:rPr>
          <w:fldChar w:fldCharType="begin"/>
        </w:r>
        <w:r>
          <w:rPr>
            <w:noProof/>
            <w:webHidden/>
          </w:rPr>
          <w:instrText xml:space="preserve"> PAGEREF _Toc420814752 \h </w:instrText>
        </w:r>
        <w:r>
          <w:rPr>
            <w:noProof/>
            <w:webHidden/>
          </w:rPr>
        </w:r>
        <w:r>
          <w:rPr>
            <w:noProof/>
            <w:webHidden/>
          </w:rPr>
          <w:fldChar w:fldCharType="separate"/>
        </w:r>
        <w:r>
          <w:rPr>
            <w:noProof/>
            <w:webHidden/>
          </w:rPr>
          <w:t>1492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3" w:history="1">
        <w:r w:rsidRPr="002F4868">
          <w:rPr>
            <w:rStyle w:val="a5"/>
            <w:noProof/>
          </w:rPr>
          <w:t>Title: BMC Complementary and Alternative Medicine</w:t>
        </w:r>
        <w:r>
          <w:rPr>
            <w:noProof/>
            <w:webHidden/>
          </w:rPr>
          <w:tab/>
        </w:r>
        <w:r>
          <w:rPr>
            <w:noProof/>
            <w:webHidden/>
          </w:rPr>
          <w:fldChar w:fldCharType="begin"/>
        </w:r>
        <w:r>
          <w:rPr>
            <w:noProof/>
            <w:webHidden/>
          </w:rPr>
          <w:instrText xml:space="preserve"> PAGEREF _Toc420814753 \h </w:instrText>
        </w:r>
        <w:r>
          <w:rPr>
            <w:noProof/>
            <w:webHidden/>
          </w:rPr>
        </w:r>
        <w:r>
          <w:rPr>
            <w:noProof/>
            <w:webHidden/>
          </w:rPr>
          <w:fldChar w:fldCharType="separate"/>
        </w:r>
        <w:r>
          <w:rPr>
            <w:noProof/>
            <w:webHidden/>
          </w:rPr>
          <w:t>1494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4" w:history="1">
        <w:r w:rsidRPr="002F4868">
          <w:rPr>
            <w:rStyle w:val="a5"/>
            <w:noProof/>
          </w:rPr>
          <w:t>Title: BMC Dermatology</w:t>
        </w:r>
        <w:r>
          <w:rPr>
            <w:noProof/>
            <w:webHidden/>
          </w:rPr>
          <w:tab/>
        </w:r>
        <w:r>
          <w:rPr>
            <w:noProof/>
            <w:webHidden/>
          </w:rPr>
          <w:fldChar w:fldCharType="begin"/>
        </w:r>
        <w:r>
          <w:rPr>
            <w:noProof/>
            <w:webHidden/>
          </w:rPr>
          <w:instrText xml:space="preserve"> PAGEREF _Toc420814754 \h </w:instrText>
        </w:r>
        <w:r>
          <w:rPr>
            <w:noProof/>
            <w:webHidden/>
          </w:rPr>
        </w:r>
        <w:r>
          <w:rPr>
            <w:noProof/>
            <w:webHidden/>
          </w:rPr>
          <w:fldChar w:fldCharType="separate"/>
        </w:r>
        <w:r>
          <w:rPr>
            <w:noProof/>
            <w:webHidden/>
          </w:rPr>
          <w:t>1499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5" w:history="1">
        <w:r w:rsidRPr="002F4868">
          <w:rPr>
            <w:rStyle w:val="a5"/>
            <w:noProof/>
          </w:rPr>
          <w:t>Title: BMC Family Practice</w:t>
        </w:r>
        <w:r>
          <w:rPr>
            <w:noProof/>
            <w:webHidden/>
          </w:rPr>
          <w:tab/>
        </w:r>
        <w:r>
          <w:rPr>
            <w:noProof/>
            <w:webHidden/>
          </w:rPr>
          <w:fldChar w:fldCharType="begin"/>
        </w:r>
        <w:r>
          <w:rPr>
            <w:noProof/>
            <w:webHidden/>
          </w:rPr>
          <w:instrText xml:space="preserve"> PAGEREF _Toc420814755 \h </w:instrText>
        </w:r>
        <w:r>
          <w:rPr>
            <w:noProof/>
            <w:webHidden/>
          </w:rPr>
        </w:r>
        <w:r>
          <w:rPr>
            <w:noProof/>
            <w:webHidden/>
          </w:rPr>
          <w:fldChar w:fldCharType="separate"/>
        </w:r>
        <w:r>
          <w:rPr>
            <w:noProof/>
            <w:webHidden/>
          </w:rPr>
          <w:t>1501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6" w:history="1">
        <w:r w:rsidRPr="002F4868">
          <w:rPr>
            <w:rStyle w:val="a5"/>
            <w:noProof/>
          </w:rPr>
          <w:t>Title: BMC Gastroenterology</w:t>
        </w:r>
        <w:r>
          <w:rPr>
            <w:noProof/>
            <w:webHidden/>
          </w:rPr>
          <w:tab/>
        </w:r>
        <w:r>
          <w:rPr>
            <w:noProof/>
            <w:webHidden/>
          </w:rPr>
          <w:fldChar w:fldCharType="begin"/>
        </w:r>
        <w:r>
          <w:rPr>
            <w:noProof/>
            <w:webHidden/>
          </w:rPr>
          <w:instrText xml:space="preserve"> PAGEREF _Toc420814756 \h </w:instrText>
        </w:r>
        <w:r>
          <w:rPr>
            <w:noProof/>
            <w:webHidden/>
          </w:rPr>
        </w:r>
        <w:r>
          <w:rPr>
            <w:noProof/>
            <w:webHidden/>
          </w:rPr>
          <w:fldChar w:fldCharType="separate"/>
        </w:r>
        <w:r>
          <w:rPr>
            <w:noProof/>
            <w:webHidden/>
          </w:rPr>
          <w:t>1503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7" w:history="1">
        <w:r w:rsidRPr="002F4868">
          <w:rPr>
            <w:rStyle w:val="a5"/>
            <w:noProof/>
          </w:rPr>
          <w:t>Title: BMC Geriatrics</w:t>
        </w:r>
        <w:r>
          <w:rPr>
            <w:noProof/>
            <w:webHidden/>
          </w:rPr>
          <w:tab/>
        </w:r>
        <w:r>
          <w:rPr>
            <w:noProof/>
            <w:webHidden/>
          </w:rPr>
          <w:fldChar w:fldCharType="begin"/>
        </w:r>
        <w:r>
          <w:rPr>
            <w:noProof/>
            <w:webHidden/>
          </w:rPr>
          <w:instrText xml:space="preserve"> PAGEREF _Toc420814757 \h </w:instrText>
        </w:r>
        <w:r>
          <w:rPr>
            <w:noProof/>
            <w:webHidden/>
          </w:rPr>
        </w:r>
        <w:r>
          <w:rPr>
            <w:noProof/>
            <w:webHidden/>
          </w:rPr>
          <w:fldChar w:fldCharType="separate"/>
        </w:r>
        <w:r>
          <w:rPr>
            <w:noProof/>
            <w:webHidden/>
          </w:rPr>
          <w:t>1516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8" w:history="1">
        <w:r w:rsidRPr="002F4868">
          <w:rPr>
            <w:rStyle w:val="a5"/>
            <w:noProof/>
          </w:rPr>
          <w:t>Title: BMC Health Services Research</w:t>
        </w:r>
        <w:r>
          <w:rPr>
            <w:noProof/>
            <w:webHidden/>
          </w:rPr>
          <w:tab/>
        </w:r>
        <w:r>
          <w:rPr>
            <w:noProof/>
            <w:webHidden/>
          </w:rPr>
          <w:fldChar w:fldCharType="begin"/>
        </w:r>
        <w:r>
          <w:rPr>
            <w:noProof/>
            <w:webHidden/>
          </w:rPr>
          <w:instrText xml:space="preserve"> PAGEREF _Toc420814758 \h </w:instrText>
        </w:r>
        <w:r>
          <w:rPr>
            <w:noProof/>
            <w:webHidden/>
          </w:rPr>
        </w:r>
        <w:r>
          <w:rPr>
            <w:noProof/>
            <w:webHidden/>
          </w:rPr>
          <w:fldChar w:fldCharType="separate"/>
        </w:r>
        <w:r>
          <w:rPr>
            <w:noProof/>
            <w:webHidden/>
          </w:rPr>
          <w:t>1520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59" w:history="1">
        <w:r w:rsidRPr="002F4868">
          <w:rPr>
            <w:rStyle w:val="a5"/>
            <w:noProof/>
          </w:rPr>
          <w:t>Title: BMC Infectious Diseases</w:t>
        </w:r>
        <w:r>
          <w:rPr>
            <w:noProof/>
            <w:webHidden/>
          </w:rPr>
          <w:tab/>
        </w:r>
        <w:r>
          <w:rPr>
            <w:noProof/>
            <w:webHidden/>
          </w:rPr>
          <w:fldChar w:fldCharType="begin"/>
        </w:r>
        <w:r>
          <w:rPr>
            <w:noProof/>
            <w:webHidden/>
          </w:rPr>
          <w:instrText xml:space="preserve"> PAGEREF _Toc420814759 \h </w:instrText>
        </w:r>
        <w:r>
          <w:rPr>
            <w:noProof/>
            <w:webHidden/>
          </w:rPr>
        </w:r>
        <w:r>
          <w:rPr>
            <w:noProof/>
            <w:webHidden/>
          </w:rPr>
          <w:fldChar w:fldCharType="separate"/>
        </w:r>
        <w:r>
          <w:rPr>
            <w:noProof/>
            <w:webHidden/>
          </w:rPr>
          <w:t>1542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0" w:history="1">
        <w:r w:rsidRPr="002F4868">
          <w:rPr>
            <w:rStyle w:val="a5"/>
            <w:noProof/>
          </w:rPr>
          <w:t>Title: BMC Medical Education</w:t>
        </w:r>
        <w:r>
          <w:rPr>
            <w:noProof/>
            <w:webHidden/>
          </w:rPr>
          <w:tab/>
        </w:r>
        <w:r>
          <w:rPr>
            <w:noProof/>
            <w:webHidden/>
          </w:rPr>
          <w:fldChar w:fldCharType="begin"/>
        </w:r>
        <w:r>
          <w:rPr>
            <w:noProof/>
            <w:webHidden/>
          </w:rPr>
          <w:instrText xml:space="preserve"> PAGEREF _Toc420814760 \h </w:instrText>
        </w:r>
        <w:r>
          <w:rPr>
            <w:noProof/>
            <w:webHidden/>
          </w:rPr>
        </w:r>
        <w:r>
          <w:rPr>
            <w:noProof/>
            <w:webHidden/>
          </w:rPr>
          <w:fldChar w:fldCharType="separate"/>
        </w:r>
        <w:r>
          <w:rPr>
            <w:noProof/>
            <w:webHidden/>
          </w:rPr>
          <w:t>1558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1" w:history="1">
        <w:r w:rsidRPr="002F4868">
          <w:rPr>
            <w:rStyle w:val="a5"/>
            <w:noProof/>
          </w:rPr>
          <w:t>Title: BMC Medical Ethics</w:t>
        </w:r>
        <w:r>
          <w:rPr>
            <w:noProof/>
            <w:webHidden/>
          </w:rPr>
          <w:tab/>
        </w:r>
        <w:r>
          <w:rPr>
            <w:noProof/>
            <w:webHidden/>
          </w:rPr>
          <w:fldChar w:fldCharType="begin"/>
        </w:r>
        <w:r>
          <w:rPr>
            <w:noProof/>
            <w:webHidden/>
          </w:rPr>
          <w:instrText xml:space="preserve"> PAGEREF _Toc420814761 \h </w:instrText>
        </w:r>
        <w:r>
          <w:rPr>
            <w:noProof/>
            <w:webHidden/>
          </w:rPr>
        </w:r>
        <w:r>
          <w:rPr>
            <w:noProof/>
            <w:webHidden/>
          </w:rPr>
          <w:fldChar w:fldCharType="separate"/>
        </w:r>
        <w:r>
          <w:rPr>
            <w:noProof/>
            <w:webHidden/>
          </w:rPr>
          <w:t>1566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2" w:history="1">
        <w:r w:rsidRPr="002F4868">
          <w:rPr>
            <w:rStyle w:val="a5"/>
            <w:noProof/>
          </w:rPr>
          <w:t>Title: BMC Medical Genomics</w:t>
        </w:r>
        <w:r>
          <w:rPr>
            <w:noProof/>
            <w:webHidden/>
          </w:rPr>
          <w:tab/>
        </w:r>
        <w:r>
          <w:rPr>
            <w:noProof/>
            <w:webHidden/>
          </w:rPr>
          <w:fldChar w:fldCharType="begin"/>
        </w:r>
        <w:r>
          <w:rPr>
            <w:noProof/>
            <w:webHidden/>
          </w:rPr>
          <w:instrText xml:space="preserve"> PAGEREF _Toc420814762 \h </w:instrText>
        </w:r>
        <w:r>
          <w:rPr>
            <w:noProof/>
            <w:webHidden/>
          </w:rPr>
        </w:r>
        <w:r>
          <w:rPr>
            <w:noProof/>
            <w:webHidden/>
          </w:rPr>
          <w:fldChar w:fldCharType="separate"/>
        </w:r>
        <w:r>
          <w:rPr>
            <w:noProof/>
            <w:webHidden/>
          </w:rPr>
          <w:t>1567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3" w:history="1">
        <w:r w:rsidRPr="002F4868">
          <w:rPr>
            <w:rStyle w:val="a5"/>
            <w:noProof/>
          </w:rPr>
          <w:t>Title: BMC Medical Informatics and Decision Making</w:t>
        </w:r>
        <w:r>
          <w:rPr>
            <w:noProof/>
            <w:webHidden/>
          </w:rPr>
          <w:tab/>
        </w:r>
        <w:r>
          <w:rPr>
            <w:noProof/>
            <w:webHidden/>
          </w:rPr>
          <w:fldChar w:fldCharType="begin"/>
        </w:r>
        <w:r>
          <w:rPr>
            <w:noProof/>
            <w:webHidden/>
          </w:rPr>
          <w:instrText xml:space="preserve"> PAGEREF _Toc420814763 \h </w:instrText>
        </w:r>
        <w:r>
          <w:rPr>
            <w:noProof/>
            <w:webHidden/>
          </w:rPr>
        </w:r>
        <w:r>
          <w:rPr>
            <w:noProof/>
            <w:webHidden/>
          </w:rPr>
          <w:fldChar w:fldCharType="separate"/>
        </w:r>
        <w:r>
          <w:rPr>
            <w:noProof/>
            <w:webHidden/>
          </w:rPr>
          <w:t>1569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4" w:history="1">
        <w:r w:rsidRPr="002F4868">
          <w:rPr>
            <w:rStyle w:val="a5"/>
            <w:noProof/>
          </w:rPr>
          <w:t>Title: BMC Medical Research Methodology</w:t>
        </w:r>
        <w:r>
          <w:rPr>
            <w:noProof/>
            <w:webHidden/>
          </w:rPr>
          <w:tab/>
        </w:r>
        <w:r>
          <w:rPr>
            <w:noProof/>
            <w:webHidden/>
          </w:rPr>
          <w:fldChar w:fldCharType="begin"/>
        </w:r>
        <w:r>
          <w:rPr>
            <w:noProof/>
            <w:webHidden/>
          </w:rPr>
          <w:instrText xml:space="preserve"> PAGEREF _Toc420814764 \h </w:instrText>
        </w:r>
        <w:r>
          <w:rPr>
            <w:noProof/>
            <w:webHidden/>
          </w:rPr>
        </w:r>
        <w:r>
          <w:rPr>
            <w:noProof/>
            <w:webHidden/>
          </w:rPr>
          <w:fldChar w:fldCharType="separate"/>
        </w:r>
        <w:r>
          <w:rPr>
            <w:noProof/>
            <w:webHidden/>
          </w:rPr>
          <w:t>1576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5" w:history="1">
        <w:r w:rsidRPr="002F4868">
          <w:rPr>
            <w:rStyle w:val="a5"/>
            <w:noProof/>
          </w:rPr>
          <w:t>Title: BMC Medicine</w:t>
        </w:r>
        <w:r>
          <w:rPr>
            <w:noProof/>
            <w:webHidden/>
          </w:rPr>
          <w:tab/>
        </w:r>
        <w:r>
          <w:rPr>
            <w:noProof/>
            <w:webHidden/>
          </w:rPr>
          <w:fldChar w:fldCharType="begin"/>
        </w:r>
        <w:r>
          <w:rPr>
            <w:noProof/>
            <w:webHidden/>
          </w:rPr>
          <w:instrText xml:space="preserve"> PAGEREF _Toc420814765 \h </w:instrText>
        </w:r>
        <w:r>
          <w:rPr>
            <w:noProof/>
            <w:webHidden/>
          </w:rPr>
        </w:r>
        <w:r>
          <w:rPr>
            <w:noProof/>
            <w:webHidden/>
          </w:rPr>
          <w:fldChar w:fldCharType="separate"/>
        </w:r>
        <w:r>
          <w:rPr>
            <w:noProof/>
            <w:webHidden/>
          </w:rPr>
          <w:t>1583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6" w:history="1">
        <w:r w:rsidRPr="002F4868">
          <w:rPr>
            <w:rStyle w:val="a5"/>
            <w:noProof/>
          </w:rPr>
          <w:t>Title: BMC Musculoskeletal Disorders</w:t>
        </w:r>
        <w:r>
          <w:rPr>
            <w:noProof/>
            <w:webHidden/>
          </w:rPr>
          <w:tab/>
        </w:r>
        <w:r>
          <w:rPr>
            <w:noProof/>
            <w:webHidden/>
          </w:rPr>
          <w:fldChar w:fldCharType="begin"/>
        </w:r>
        <w:r>
          <w:rPr>
            <w:noProof/>
            <w:webHidden/>
          </w:rPr>
          <w:instrText xml:space="preserve"> PAGEREF _Toc420814766 \h </w:instrText>
        </w:r>
        <w:r>
          <w:rPr>
            <w:noProof/>
            <w:webHidden/>
          </w:rPr>
        </w:r>
        <w:r>
          <w:rPr>
            <w:noProof/>
            <w:webHidden/>
          </w:rPr>
          <w:fldChar w:fldCharType="separate"/>
        </w:r>
        <w:r>
          <w:rPr>
            <w:noProof/>
            <w:webHidden/>
          </w:rPr>
          <w:t>1593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7" w:history="1">
        <w:r w:rsidRPr="002F4868">
          <w:rPr>
            <w:rStyle w:val="a5"/>
            <w:noProof/>
          </w:rPr>
          <w:t>Title: BMC Nephrology</w:t>
        </w:r>
        <w:r>
          <w:rPr>
            <w:noProof/>
            <w:webHidden/>
          </w:rPr>
          <w:tab/>
        </w:r>
        <w:r>
          <w:rPr>
            <w:noProof/>
            <w:webHidden/>
          </w:rPr>
          <w:fldChar w:fldCharType="begin"/>
        </w:r>
        <w:r>
          <w:rPr>
            <w:noProof/>
            <w:webHidden/>
          </w:rPr>
          <w:instrText xml:space="preserve"> PAGEREF _Toc420814767 \h </w:instrText>
        </w:r>
        <w:r>
          <w:rPr>
            <w:noProof/>
            <w:webHidden/>
          </w:rPr>
        </w:r>
        <w:r>
          <w:rPr>
            <w:noProof/>
            <w:webHidden/>
          </w:rPr>
          <w:fldChar w:fldCharType="separate"/>
        </w:r>
        <w:r>
          <w:rPr>
            <w:noProof/>
            <w:webHidden/>
          </w:rPr>
          <w:t>1602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8" w:history="1">
        <w:r w:rsidRPr="002F4868">
          <w:rPr>
            <w:rStyle w:val="a5"/>
            <w:noProof/>
          </w:rPr>
          <w:t>Title: BMC Neurology</w:t>
        </w:r>
        <w:r>
          <w:rPr>
            <w:noProof/>
            <w:webHidden/>
          </w:rPr>
          <w:tab/>
        </w:r>
        <w:r>
          <w:rPr>
            <w:noProof/>
            <w:webHidden/>
          </w:rPr>
          <w:fldChar w:fldCharType="begin"/>
        </w:r>
        <w:r>
          <w:rPr>
            <w:noProof/>
            <w:webHidden/>
          </w:rPr>
          <w:instrText xml:space="preserve"> PAGEREF _Toc420814768 \h </w:instrText>
        </w:r>
        <w:r>
          <w:rPr>
            <w:noProof/>
            <w:webHidden/>
          </w:rPr>
        </w:r>
        <w:r>
          <w:rPr>
            <w:noProof/>
            <w:webHidden/>
          </w:rPr>
          <w:fldChar w:fldCharType="separate"/>
        </w:r>
        <w:r>
          <w:rPr>
            <w:noProof/>
            <w:webHidden/>
          </w:rPr>
          <w:t>1605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69" w:history="1">
        <w:r w:rsidRPr="002F4868">
          <w:rPr>
            <w:rStyle w:val="a5"/>
            <w:noProof/>
          </w:rPr>
          <w:t>Title: BMC Nursing</w:t>
        </w:r>
        <w:r>
          <w:rPr>
            <w:noProof/>
            <w:webHidden/>
          </w:rPr>
          <w:tab/>
        </w:r>
        <w:r>
          <w:rPr>
            <w:noProof/>
            <w:webHidden/>
          </w:rPr>
          <w:fldChar w:fldCharType="begin"/>
        </w:r>
        <w:r>
          <w:rPr>
            <w:noProof/>
            <w:webHidden/>
          </w:rPr>
          <w:instrText xml:space="preserve"> PAGEREF _Toc420814769 \h </w:instrText>
        </w:r>
        <w:r>
          <w:rPr>
            <w:noProof/>
            <w:webHidden/>
          </w:rPr>
        </w:r>
        <w:r>
          <w:rPr>
            <w:noProof/>
            <w:webHidden/>
          </w:rPr>
          <w:fldChar w:fldCharType="separate"/>
        </w:r>
        <w:r>
          <w:rPr>
            <w:noProof/>
            <w:webHidden/>
          </w:rPr>
          <w:t>1608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0" w:history="1">
        <w:r w:rsidRPr="002F4868">
          <w:rPr>
            <w:rStyle w:val="a5"/>
            <w:noProof/>
          </w:rPr>
          <w:t>Title: BMC Ophthalmology</w:t>
        </w:r>
        <w:r>
          <w:rPr>
            <w:noProof/>
            <w:webHidden/>
          </w:rPr>
          <w:tab/>
        </w:r>
        <w:r>
          <w:rPr>
            <w:noProof/>
            <w:webHidden/>
          </w:rPr>
          <w:fldChar w:fldCharType="begin"/>
        </w:r>
        <w:r>
          <w:rPr>
            <w:noProof/>
            <w:webHidden/>
          </w:rPr>
          <w:instrText xml:space="preserve"> PAGEREF _Toc420814770 \h </w:instrText>
        </w:r>
        <w:r>
          <w:rPr>
            <w:noProof/>
            <w:webHidden/>
          </w:rPr>
        </w:r>
        <w:r>
          <w:rPr>
            <w:noProof/>
            <w:webHidden/>
          </w:rPr>
          <w:fldChar w:fldCharType="separate"/>
        </w:r>
        <w:r>
          <w:rPr>
            <w:noProof/>
            <w:webHidden/>
          </w:rPr>
          <w:t>1610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1" w:history="1">
        <w:r w:rsidRPr="002F4868">
          <w:rPr>
            <w:rStyle w:val="a5"/>
            <w:noProof/>
          </w:rPr>
          <w:t>Title: BMC Oral Health</w:t>
        </w:r>
        <w:r>
          <w:rPr>
            <w:noProof/>
            <w:webHidden/>
          </w:rPr>
          <w:tab/>
        </w:r>
        <w:r>
          <w:rPr>
            <w:noProof/>
            <w:webHidden/>
          </w:rPr>
          <w:fldChar w:fldCharType="begin"/>
        </w:r>
        <w:r>
          <w:rPr>
            <w:noProof/>
            <w:webHidden/>
          </w:rPr>
          <w:instrText xml:space="preserve"> PAGEREF _Toc420814771 \h </w:instrText>
        </w:r>
        <w:r>
          <w:rPr>
            <w:noProof/>
            <w:webHidden/>
          </w:rPr>
        </w:r>
        <w:r>
          <w:rPr>
            <w:noProof/>
            <w:webHidden/>
          </w:rPr>
          <w:fldChar w:fldCharType="separate"/>
        </w:r>
        <w:r>
          <w:rPr>
            <w:noProof/>
            <w:webHidden/>
          </w:rPr>
          <w:t>1615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2" w:history="1">
        <w:r w:rsidRPr="002F4868">
          <w:rPr>
            <w:rStyle w:val="a5"/>
            <w:noProof/>
          </w:rPr>
          <w:t>Title: BMC Pediatrics</w:t>
        </w:r>
        <w:r>
          <w:rPr>
            <w:noProof/>
            <w:webHidden/>
          </w:rPr>
          <w:tab/>
        </w:r>
        <w:r>
          <w:rPr>
            <w:noProof/>
            <w:webHidden/>
          </w:rPr>
          <w:fldChar w:fldCharType="begin"/>
        </w:r>
        <w:r>
          <w:rPr>
            <w:noProof/>
            <w:webHidden/>
          </w:rPr>
          <w:instrText xml:space="preserve"> PAGEREF _Toc420814772 \h </w:instrText>
        </w:r>
        <w:r>
          <w:rPr>
            <w:noProof/>
            <w:webHidden/>
          </w:rPr>
        </w:r>
        <w:r>
          <w:rPr>
            <w:noProof/>
            <w:webHidden/>
          </w:rPr>
          <w:fldChar w:fldCharType="separate"/>
        </w:r>
        <w:r>
          <w:rPr>
            <w:noProof/>
            <w:webHidden/>
          </w:rPr>
          <w:t>1618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3" w:history="1">
        <w:r w:rsidRPr="002F4868">
          <w:rPr>
            <w:rStyle w:val="a5"/>
            <w:noProof/>
          </w:rPr>
          <w:t>Title: BMC Pregnancy and Childbirth</w:t>
        </w:r>
        <w:r>
          <w:rPr>
            <w:noProof/>
            <w:webHidden/>
          </w:rPr>
          <w:tab/>
        </w:r>
        <w:r>
          <w:rPr>
            <w:noProof/>
            <w:webHidden/>
          </w:rPr>
          <w:fldChar w:fldCharType="begin"/>
        </w:r>
        <w:r>
          <w:rPr>
            <w:noProof/>
            <w:webHidden/>
          </w:rPr>
          <w:instrText xml:space="preserve"> PAGEREF _Toc420814773 \h </w:instrText>
        </w:r>
        <w:r>
          <w:rPr>
            <w:noProof/>
            <w:webHidden/>
          </w:rPr>
        </w:r>
        <w:r>
          <w:rPr>
            <w:noProof/>
            <w:webHidden/>
          </w:rPr>
          <w:fldChar w:fldCharType="separate"/>
        </w:r>
        <w:r>
          <w:rPr>
            <w:noProof/>
            <w:webHidden/>
          </w:rPr>
          <w:t>1623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4" w:history="1">
        <w:r w:rsidRPr="002F4868">
          <w:rPr>
            <w:rStyle w:val="a5"/>
            <w:noProof/>
          </w:rPr>
          <w:t>Title: BMC Psychiatry</w:t>
        </w:r>
        <w:r>
          <w:rPr>
            <w:noProof/>
            <w:webHidden/>
          </w:rPr>
          <w:tab/>
        </w:r>
        <w:r>
          <w:rPr>
            <w:noProof/>
            <w:webHidden/>
          </w:rPr>
          <w:fldChar w:fldCharType="begin"/>
        </w:r>
        <w:r>
          <w:rPr>
            <w:noProof/>
            <w:webHidden/>
          </w:rPr>
          <w:instrText xml:space="preserve"> PAGEREF _Toc420814774 \h </w:instrText>
        </w:r>
        <w:r>
          <w:rPr>
            <w:noProof/>
            <w:webHidden/>
          </w:rPr>
        </w:r>
        <w:r>
          <w:rPr>
            <w:noProof/>
            <w:webHidden/>
          </w:rPr>
          <w:fldChar w:fldCharType="separate"/>
        </w:r>
        <w:r>
          <w:rPr>
            <w:noProof/>
            <w:webHidden/>
          </w:rPr>
          <w:t>1627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5" w:history="1">
        <w:r w:rsidRPr="002F4868">
          <w:rPr>
            <w:rStyle w:val="a5"/>
            <w:noProof/>
          </w:rPr>
          <w:t>Title: BMC Public Health</w:t>
        </w:r>
        <w:r>
          <w:rPr>
            <w:noProof/>
            <w:webHidden/>
          </w:rPr>
          <w:tab/>
        </w:r>
        <w:r>
          <w:rPr>
            <w:noProof/>
            <w:webHidden/>
          </w:rPr>
          <w:fldChar w:fldCharType="begin"/>
        </w:r>
        <w:r>
          <w:rPr>
            <w:noProof/>
            <w:webHidden/>
          </w:rPr>
          <w:instrText xml:space="preserve"> PAGEREF _Toc420814775 \h </w:instrText>
        </w:r>
        <w:r>
          <w:rPr>
            <w:noProof/>
            <w:webHidden/>
          </w:rPr>
        </w:r>
        <w:r>
          <w:rPr>
            <w:noProof/>
            <w:webHidden/>
          </w:rPr>
          <w:fldChar w:fldCharType="separate"/>
        </w:r>
        <w:r>
          <w:rPr>
            <w:noProof/>
            <w:webHidden/>
          </w:rPr>
          <w:t>1634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6" w:history="1">
        <w:r w:rsidRPr="002F4868">
          <w:rPr>
            <w:rStyle w:val="a5"/>
            <w:noProof/>
          </w:rPr>
          <w:t>Title: BMC Surgery</w:t>
        </w:r>
        <w:r>
          <w:rPr>
            <w:noProof/>
            <w:webHidden/>
          </w:rPr>
          <w:tab/>
        </w:r>
        <w:r>
          <w:rPr>
            <w:noProof/>
            <w:webHidden/>
          </w:rPr>
          <w:fldChar w:fldCharType="begin"/>
        </w:r>
        <w:r>
          <w:rPr>
            <w:noProof/>
            <w:webHidden/>
          </w:rPr>
          <w:instrText xml:space="preserve"> PAGEREF _Toc420814776 \h </w:instrText>
        </w:r>
        <w:r>
          <w:rPr>
            <w:noProof/>
            <w:webHidden/>
          </w:rPr>
        </w:r>
        <w:r>
          <w:rPr>
            <w:noProof/>
            <w:webHidden/>
          </w:rPr>
          <w:fldChar w:fldCharType="separate"/>
        </w:r>
        <w:r>
          <w:rPr>
            <w:noProof/>
            <w:webHidden/>
          </w:rPr>
          <w:t>1674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7" w:history="1">
        <w:r w:rsidRPr="002F4868">
          <w:rPr>
            <w:rStyle w:val="a5"/>
            <w:noProof/>
          </w:rPr>
          <w:t>Title: BMC Womens Health</w:t>
        </w:r>
        <w:r>
          <w:rPr>
            <w:noProof/>
            <w:webHidden/>
          </w:rPr>
          <w:tab/>
        </w:r>
        <w:r>
          <w:rPr>
            <w:noProof/>
            <w:webHidden/>
          </w:rPr>
          <w:fldChar w:fldCharType="begin"/>
        </w:r>
        <w:r>
          <w:rPr>
            <w:noProof/>
            <w:webHidden/>
          </w:rPr>
          <w:instrText xml:space="preserve"> PAGEREF _Toc420814777 \h </w:instrText>
        </w:r>
        <w:r>
          <w:rPr>
            <w:noProof/>
            <w:webHidden/>
          </w:rPr>
        </w:r>
        <w:r>
          <w:rPr>
            <w:noProof/>
            <w:webHidden/>
          </w:rPr>
          <w:fldChar w:fldCharType="separate"/>
        </w:r>
        <w:r>
          <w:rPr>
            <w:noProof/>
            <w:webHidden/>
          </w:rPr>
          <w:t>1677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8" w:history="1">
        <w:r w:rsidRPr="002F4868">
          <w:rPr>
            <w:rStyle w:val="a5"/>
            <w:noProof/>
          </w:rPr>
          <w:t>Title: BMJ-British Medical Journal</w:t>
        </w:r>
        <w:r>
          <w:rPr>
            <w:noProof/>
            <w:webHidden/>
          </w:rPr>
          <w:tab/>
        </w:r>
        <w:r>
          <w:rPr>
            <w:noProof/>
            <w:webHidden/>
          </w:rPr>
          <w:fldChar w:fldCharType="begin"/>
        </w:r>
        <w:r>
          <w:rPr>
            <w:noProof/>
            <w:webHidden/>
          </w:rPr>
          <w:instrText xml:space="preserve"> PAGEREF _Toc420814778 \h </w:instrText>
        </w:r>
        <w:r>
          <w:rPr>
            <w:noProof/>
            <w:webHidden/>
          </w:rPr>
        </w:r>
        <w:r>
          <w:rPr>
            <w:noProof/>
            <w:webHidden/>
          </w:rPr>
          <w:fldChar w:fldCharType="separate"/>
        </w:r>
        <w:r>
          <w:rPr>
            <w:noProof/>
            <w:webHidden/>
          </w:rPr>
          <w:t>1679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79" w:history="1">
        <w:r w:rsidRPr="002F4868">
          <w:rPr>
            <w:rStyle w:val="a5"/>
            <w:noProof/>
          </w:rPr>
          <w:t>Title: BMJ Open</w:t>
        </w:r>
        <w:r>
          <w:rPr>
            <w:noProof/>
            <w:webHidden/>
          </w:rPr>
          <w:tab/>
        </w:r>
        <w:r>
          <w:rPr>
            <w:noProof/>
            <w:webHidden/>
          </w:rPr>
          <w:fldChar w:fldCharType="begin"/>
        </w:r>
        <w:r>
          <w:rPr>
            <w:noProof/>
            <w:webHidden/>
          </w:rPr>
          <w:instrText xml:space="preserve"> PAGEREF _Toc420814779 \h </w:instrText>
        </w:r>
        <w:r>
          <w:rPr>
            <w:noProof/>
            <w:webHidden/>
          </w:rPr>
        </w:r>
        <w:r>
          <w:rPr>
            <w:noProof/>
            <w:webHidden/>
          </w:rPr>
          <w:fldChar w:fldCharType="separate"/>
        </w:r>
        <w:r>
          <w:rPr>
            <w:noProof/>
            <w:webHidden/>
          </w:rPr>
          <w:t>1693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0" w:history="1">
        <w:r w:rsidRPr="002F4868">
          <w:rPr>
            <w:rStyle w:val="a5"/>
            <w:noProof/>
          </w:rPr>
          <w:t>Title: BMJ Quality &amp; Safety</w:t>
        </w:r>
        <w:r>
          <w:rPr>
            <w:noProof/>
            <w:webHidden/>
          </w:rPr>
          <w:tab/>
        </w:r>
        <w:r>
          <w:rPr>
            <w:noProof/>
            <w:webHidden/>
          </w:rPr>
          <w:fldChar w:fldCharType="begin"/>
        </w:r>
        <w:r>
          <w:rPr>
            <w:noProof/>
            <w:webHidden/>
          </w:rPr>
          <w:instrText xml:space="preserve"> PAGEREF _Toc420814780 \h </w:instrText>
        </w:r>
        <w:r>
          <w:rPr>
            <w:noProof/>
            <w:webHidden/>
          </w:rPr>
        </w:r>
        <w:r>
          <w:rPr>
            <w:noProof/>
            <w:webHidden/>
          </w:rPr>
          <w:fldChar w:fldCharType="separate"/>
        </w:r>
        <w:r>
          <w:rPr>
            <w:noProof/>
            <w:webHidden/>
          </w:rPr>
          <w:t>1725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1" w:history="1">
        <w:r w:rsidRPr="002F4868">
          <w:rPr>
            <w:rStyle w:val="a5"/>
            <w:noProof/>
          </w:rPr>
          <w:t>Title: BMC Veterinary Research</w:t>
        </w:r>
        <w:r>
          <w:rPr>
            <w:noProof/>
            <w:webHidden/>
          </w:rPr>
          <w:tab/>
        </w:r>
        <w:r>
          <w:rPr>
            <w:noProof/>
            <w:webHidden/>
          </w:rPr>
          <w:fldChar w:fldCharType="begin"/>
        </w:r>
        <w:r>
          <w:rPr>
            <w:noProof/>
            <w:webHidden/>
          </w:rPr>
          <w:instrText xml:space="preserve"> PAGEREF _Toc420814781 \h </w:instrText>
        </w:r>
        <w:r>
          <w:rPr>
            <w:noProof/>
            <w:webHidden/>
          </w:rPr>
        </w:r>
        <w:r>
          <w:rPr>
            <w:noProof/>
            <w:webHidden/>
          </w:rPr>
          <w:fldChar w:fldCharType="separate"/>
        </w:r>
        <w:r>
          <w:rPr>
            <w:noProof/>
            <w:webHidden/>
          </w:rPr>
          <w:t>1730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2" w:history="1">
        <w:r w:rsidRPr="002F4868">
          <w:rPr>
            <w:rStyle w:val="a5"/>
            <w:noProof/>
          </w:rPr>
          <w:t>Title: Boletim de Ciencias Geodesicas</w:t>
        </w:r>
        <w:r>
          <w:rPr>
            <w:noProof/>
            <w:webHidden/>
          </w:rPr>
          <w:tab/>
        </w:r>
        <w:r>
          <w:rPr>
            <w:noProof/>
            <w:webHidden/>
          </w:rPr>
          <w:fldChar w:fldCharType="begin"/>
        </w:r>
        <w:r>
          <w:rPr>
            <w:noProof/>
            <w:webHidden/>
          </w:rPr>
          <w:instrText xml:space="preserve"> PAGEREF _Toc420814782 \h </w:instrText>
        </w:r>
        <w:r>
          <w:rPr>
            <w:noProof/>
            <w:webHidden/>
          </w:rPr>
        </w:r>
        <w:r>
          <w:rPr>
            <w:noProof/>
            <w:webHidden/>
          </w:rPr>
          <w:fldChar w:fldCharType="separate"/>
        </w:r>
        <w:r>
          <w:rPr>
            <w:noProof/>
            <w:webHidden/>
          </w:rPr>
          <w:t>1732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3" w:history="1">
        <w:r w:rsidRPr="002F4868">
          <w:rPr>
            <w:rStyle w:val="a5"/>
            <w:noProof/>
          </w:rPr>
          <w:t>Title: Boletin de la Asociacion de Geografos Espanoles</w:t>
        </w:r>
        <w:r>
          <w:rPr>
            <w:noProof/>
            <w:webHidden/>
          </w:rPr>
          <w:tab/>
        </w:r>
        <w:r>
          <w:rPr>
            <w:noProof/>
            <w:webHidden/>
          </w:rPr>
          <w:fldChar w:fldCharType="begin"/>
        </w:r>
        <w:r>
          <w:rPr>
            <w:noProof/>
            <w:webHidden/>
          </w:rPr>
          <w:instrText xml:space="preserve"> PAGEREF _Toc420814783 \h </w:instrText>
        </w:r>
        <w:r>
          <w:rPr>
            <w:noProof/>
            <w:webHidden/>
          </w:rPr>
        </w:r>
        <w:r>
          <w:rPr>
            <w:noProof/>
            <w:webHidden/>
          </w:rPr>
          <w:fldChar w:fldCharType="separate"/>
        </w:r>
        <w:r>
          <w:rPr>
            <w:noProof/>
            <w:webHidden/>
          </w:rPr>
          <w:t>1734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4" w:history="1">
        <w:r w:rsidRPr="002F4868">
          <w:rPr>
            <w:rStyle w:val="a5"/>
            <w:noProof/>
          </w:rPr>
          <w:t>Title: Boletin de Malariologia y Salud Ambiental</w:t>
        </w:r>
        <w:r>
          <w:rPr>
            <w:noProof/>
            <w:webHidden/>
          </w:rPr>
          <w:tab/>
        </w:r>
        <w:r>
          <w:rPr>
            <w:noProof/>
            <w:webHidden/>
          </w:rPr>
          <w:fldChar w:fldCharType="begin"/>
        </w:r>
        <w:r>
          <w:rPr>
            <w:noProof/>
            <w:webHidden/>
          </w:rPr>
          <w:instrText xml:space="preserve"> PAGEREF _Toc420814784 \h </w:instrText>
        </w:r>
        <w:r>
          <w:rPr>
            <w:noProof/>
            <w:webHidden/>
          </w:rPr>
        </w:r>
        <w:r>
          <w:rPr>
            <w:noProof/>
            <w:webHidden/>
          </w:rPr>
          <w:fldChar w:fldCharType="separate"/>
        </w:r>
        <w:r>
          <w:rPr>
            <w:noProof/>
            <w:webHidden/>
          </w:rPr>
          <w:t>1735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5" w:history="1">
        <w:r w:rsidRPr="002F4868">
          <w:rPr>
            <w:rStyle w:val="a5"/>
            <w:noProof/>
          </w:rPr>
          <w:t>Title: Boletin Latinoamericano y del Caribe de Plantas Medicinales y Aromaticas</w:t>
        </w:r>
        <w:r>
          <w:rPr>
            <w:noProof/>
            <w:webHidden/>
          </w:rPr>
          <w:tab/>
        </w:r>
        <w:r>
          <w:rPr>
            <w:noProof/>
            <w:webHidden/>
          </w:rPr>
          <w:fldChar w:fldCharType="begin"/>
        </w:r>
        <w:r>
          <w:rPr>
            <w:noProof/>
            <w:webHidden/>
          </w:rPr>
          <w:instrText xml:space="preserve"> PAGEREF _Toc420814785 \h </w:instrText>
        </w:r>
        <w:r>
          <w:rPr>
            <w:noProof/>
            <w:webHidden/>
          </w:rPr>
        </w:r>
        <w:r>
          <w:rPr>
            <w:noProof/>
            <w:webHidden/>
          </w:rPr>
          <w:fldChar w:fldCharType="separate"/>
        </w:r>
        <w:r>
          <w:rPr>
            <w:noProof/>
            <w:webHidden/>
          </w:rPr>
          <w:t>1737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6" w:history="1">
        <w:r w:rsidRPr="002F4868">
          <w:rPr>
            <w:rStyle w:val="a5"/>
            <w:noProof/>
          </w:rPr>
          <w:t>Title: Boletin de la Oficina Sanitaria Panamericana</w:t>
        </w:r>
        <w:r>
          <w:rPr>
            <w:noProof/>
            <w:webHidden/>
          </w:rPr>
          <w:tab/>
        </w:r>
        <w:r>
          <w:rPr>
            <w:noProof/>
            <w:webHidden/>
          </w:rPr>
          <w:fldChar w:fldCharType="begin"/>
        </w:r>
        <w:r>
          <w:rPr>
            <w:noProof/>
            <w:webHidden/>
          </w:rPr>
          <w:instrText xml:space="preserve"> PAGEREF _Toc420814786 \h </w:instrText>
        </w:r>
        <w:r>
          <w:rPr>
            <w:noProof/>
            <w:webHidden/>
          </w:rPr>
        </w:r>
        <w:r>
          <w:rPr>
            <w:noProof/>
            <w:webHidden/>
          </w:rPr>
          <w:fldChar w:fldCharType="separate"/>
        </w:r>
        <w:r>
          <w:rPr>
            <w:noProof/>
            <w:webHidden/>
          </w:rPr>
          <w:t>1738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7" w:history="1">
        <w:r w:rsidRPr="002F4868">
          <w:rPr>
            <w:rStyle w:val="a5"/>
            <w:noProof/>
          </w:rPr>
          <w:t>Title: Boletin de la Oficina Sanitaria Panamericana</w:t>
        </w:r>
        <w:r>
          <w:rPr>
            <w:noProof/>
            <w:webHidden/>
          </w:rPr>
          <w:tab/>
        </w:r>
        <w:r>
          <w:rPr>
            <w:noProof/>
            <w:webHidden/>
          </w:rPr>
          <w:fldChar w:fldCharType="begin"/>
        </w:r>
        <w:r>
          <w:rPr>
            <w:noProof/>
            <w:webHidden/>
          </w:rPr>
          <w:instrText xml:space="preserve"> PAGEREF _Toc420814787 \h </w:instrText>
        </w:r>
        <w:r>
          <w:rPr>
            <w:noProof/>
            <w:webHidden/>
          </w:rPr>
        </w:r>
        <w:r>
          <w:rPr>
            <w:noProof/>
            <w:webHidden/>
          </w:rPr>
          <w:fldChar w:fldCharType="separate"/>
        </w:r>
        <w:r>
          <w:rPr>
            <w:noProof/>
            <w:webHidden/>
          </w:rPr>
          <w:t>1739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8" w:history="1">
        <w:r w:rsidRPr="002F4868">
          <w:rPr>
            <w:rStyle w:val="a5"/>
            <w:noProof/>
            <w:lang w:val="fr-FR"/>
          </w:rPr>
          <w:t>Title: Boletin de la Sociedad Chilena de Quimica</w:t>
        </w:r>
        <w:r>
          <w:rPr>
            <w:noProof/>
            <w:webHidden/>
          </w:rPr>
          <w:tab/>
        </w:r>
        <w:r>
          <w:rPr>
            <w:noProof/>
            <w:webHidden/>
          </w:rPr>
          <w:fldChar w:fldCharType="begin"/>
        </w:r>
        <w:r>
          <w:rPr>
            <w:noProof/>
            <w:webHidden/>
          </w:rPr>
          <w:instrText xml:space="preserve"> PAGEREF _Toc420814788 \h </w:instrText>
        </w:r>
        <w:r>
          <w:rPr>
            <w:noProof/>
            <w:webHidden/>
          </w:rPr>
        </w:r>
        <w:r>
          <w:rPr>
            <w:noProof/>
            <w:webHidden/>
          </w:rPr>
          <w:fldChar w:fldCharType="separate"/>
        </w:r>
        <w:r>
          <w:rPr>
            <w:noProof/>
            <w:webHidden/>
          </w:rPr>
          <w:t>1740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89" w:history="1">
        <w:r w:rsidRPr="002F4868">
          <w:rPr>
            <w:rStyle w:val="a5"/>
            <w:noProof/>
          </w:rPr>
          <w:t>Title: Boletin de la Sociedad Espanola de Ceramica y Vidrio</w:t>
        </w:r>
        <w:r>
          <w:rPr>
            <w:noProof/>
            <w:webHidden/>
          </w:rPr>
          <w:tab/>
        </w:r>
        <w:r>
          <w:rPr>
            <w:noProof/>
            <w:webHidden/>
          </w:rPr>
          <w:fldChar w:fldCharType="begin"/>
        </w:r>
        <w:r>
          <w:rPr>
            <w:noProof/>
            <w:webHidden/>
          </w:rPr>
          <w:instrText xml:space="preserve"> PAGEREF _Toc420814789 \h </w:instrText>
        </w:r>
        <w:r>
          <w:rPr>
            <w:noProof/>
            <w:webHidden/>
          </w:rPr>
        </w:r>
        <w:r>
          <w:rPr>
            <w:noProof/>
            <w:webHidden/>
          </w:rPr>
          <w:fldChar w:fldCharType="separate"/>
        </w:r>
        <w:r>
          <w:rPr>
            <w:noProof/>
            <w:webHidden/>
          </w:rPr>
          <w:t>1741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0" w:history="1">
        <w:r w:rsidRPr="002F4868">
          <w:rPr>
            <w:rStyle w:val="a5"/>
            <w:noProof/>
          </w:rPr>
          <w:t>Title: Bone</w:t>
        </w:r>
        <w:r>
          <w:rPr>
            <w:noProof/>
            <w:webHidden/>
          </w:rPr>
          <w:tab/>
        </w:r>
        <w:r>
          <w:rPr>
            <w:noProof/>
            <w:webHidden/>
          </w:rPr>
          <w:fldChar w:fldCharType="begin"/>
        </w:r>
        <w:r>
          <w:rPr>
            <w:noProof/>
            <w:webHidden/>
          </w:rPr>
          <w:instrText xml:space="preserve"> PAGEREF _Toc420814790 \h </w:instrText>
        </w:r>
        <w:r>
          <w:rPr>
            <w:noProof/>
            <w:webHidden/>
          </w:rPr>
        </w:r>
        <w:r>
          <w:rPr>
            <w:noProof/>
            <w:webHidden/>
          </w:rPr>
          <w:fldChar w:fldCharType="separate"/>
        </w:r>
        <w:r>
          <w:rPr>
            <w:noProof/>
            <w:webHidden/>
          </w:rPr>
          <w:t>1746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1" w:history="1">
        <w:r w:rsidRPr="002F4868">
          <w:rPr>
            <w:rStyle w:val="a5"/>
            <w:noProof/>
          </w:rPr>
          <w:t>Title: Book Collector</w:t>
        </w:r>
        <w:r>
          <w:rPr>
            <w:noProof/>
            <w:webHidden/>
          </w:rPr>
          <w:tab/>
        </w:r>
        <w:r>
          <w:rPr>
            <w:noProof/>
            <w:webHidden/>
          </w:rPr>
          <w:fldChar w:fldCharType="begin"/>
        </w:r>
        <w:r>
          <w:rPr>
            <w:noProof/>
            <w:webHidden/>
          </w:rPr>
          <w:instrText xml:space="preserve"> PAGEREF _Toc420814791 \h </w:instrText>
        </w:r>
        <w:r>
          <w:rPr>
            <w:noProof/>
            <w:webHidden/>
          </w:rPr>
        </w:r>
        <w:r>
          <w:rPr>
            <w:noProof/>
            <w:webHidden/>
          </w:rPr>
          <w:fldChar w:fldCharType="separate"/>
        </w:r>
        <w:r>
          <w:rPr>
            <w:noProof/>
            <w:webHidden/>
          </w:rPr>
          <w:t>1750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2" w:history="1">
        <w:r w:rsidRPr="002F4868">
          <w:rPr>
            <w:rStyle w:val="a5"/>
            <w:noProof/>
          </w:rPr>
          <w:t>Title: Bosque</w:t>
        </w:r>
        <w:r>
          <w:rPr>
            <w:noProof/>
            <w:webHidden/>
          </w:rPr>
          <w:tab/>
        </w:r>
        <w:r>
          <w:rPr>
            <w:noProof/>
            <w:webHidden/>
          </w:rPr>
          <w:fldChar w:fldCharType="begin"/>
        </w:r>
        <w:r>
          <w:rPr>
            <w:noProof/>
            <w:webHidden/>
          </w:rPr>
          <w:instrText xml:space="preserve"> PAGEREF _Toc420814792 \h </w:instrText>
        </w:r>
        <w:r>
          <w:rPr>
            <w:noProof/>
            <w:webHidden/>
          </w:rPr>
        </w:r>
        <w:r>
          <w:rPr>
            <w:noProof/>
            <w:webHidden/>
          </w:rPr>
          <w:fldChar w:fldCharType="separate"/>
        </w:r>
        <w:r>
          <w:rPr>
            <w:noProof/>
            <w:webHidden/>
          </w:rPr>
          <w:t>1751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3" w:history="1">
        <w:r w:rsidRPr="002F4868">
          <w:rPr>
            <w:rStyle w:val="a5"/>
            <w:noProof/>
          </w:rPr>
          <w:t>Title: Botany-Botanique</w:t>
        </w:r>
        <w:r>
          <w:rPr>
            <w:noProof/>
            <w:webHidden/>
          </w:rPr>
          <w:tab/>
        </w:r>
        <w:r>
          <w:rPr>
            <w:noProof/>
            <w:webHidden/>
          </w:rPr>
          <w:fldChar w:fldCharType="begin"/>
        </w:r>
        <w:r>
          <w:rPr>
            <w:noProof/>
            <w:webHidden/>
          </w:rPr>
          <w:instrText xml:space="preserve"> PAGEREF _Toc420814793 \h </w:instrText>
        </w:r>
        <w:r>
          <w:rPr>
            <w:noProof/>
            <w:webHidden/>
          </w:rPr>
        </w:r>
        <w:r>
          <w:rPr>
            <w:noProof/>
            <w:webHidden/>
          </w:rPr>
          <w:fldChar w:fldCharType="separate"/>
        </w:r>
        <w:r>
          <w:rPr>
            <w:noProof/>
            <w:webHidden/>
          </w:rPr>
          <w:t>1753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4" w:history="1">
        <w:r w:rsidRPr="002F4868">
          <w:rPr>
            <w:rStyle w:val="a5"/>
            <w:noProof/>
          </w:rPr>
          <w:t>Title: Bothalia</w:t>
        </w:r>
        <w:r>
          <w:rPr>
            <w:noProof/>
            <w:webHidden/>
          </w:rPr>
          <w:tab/>
        </w:r>
        <w:r>
          <w:rPr>
            <w:noProof/>
            <w:webHidden/>
          </w:rPr>
          <w:fldChar w:fldCharType="begin"/>
        </w:r>
        <w:r>
          <w:rPr>
            <w:noProof/>
            <w:webHidden/>
          </w:rPr>
          <w:instrText xml:space="preserve"> PAGEREF _Toc420814794 \h </w:instrText>
        </w:r>
        <w:r>
          <w:rPr>
            <w:noProof/>
            <w:webHidden/>
          </w:rPr>
        </w:r>
        <w:r>
          <w:rPr>
            <w:noProof/>
            <w:webHidden/>
          </w:rPr>
          <w:fldChar w:fldCharType="separate"/>
        </w:r>
        <w:r>
          <w:rPr>
            <w:noProof/>
            <w:webHidden/>
          </w:rPr>
          <w:t>1754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5" w:history="1">
        <w:r w:rsidRPr="002F4868">
          <w:rPr>
            <w:rStyle w:val="a5"/>
            <w:noProof/>
          </w:rPr>
          <w:t>Title: Brain</w:t>
        </w:r>
        <w:r>
          <w:rPr>
            <w:noProof/>
            <w:webHidden/>
          </w:rPr>
          <w:tab/>
        </w:r>
        <w:r>
          <w:rPr>
            <w:noProof/>
            <w:webHidden/>
          </w:rPr>
          <w:fldChar w:fldCharType="begin"/>
        </w:r>
        <w:r>
          <w:rPr>
            <w:noProof/>
            <w:webHidden/>
          </w:rPr>
          <w:instrText xml:space="preserve"> PAGEREF _Toc420814795 \h </w:instrText>
        </w:r>
        <w:r>
          <w:rPr>
            <w:noProof/>
            <w:webHidden/>
          </w:rPr>
        </w:r>
        <w:r>
          <w:rPr>
            <w:noProof/>
            <w:webHidden/>
          </w:rPr>
          <w:fldChar w:fldCharType="separate"/>
        </w:r>
        <w:r>
          <w:rPr>
            <w:noProof/>
            <w:webHidden/>
          </w:rPr>
          <w:t>1755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6" w:history="1">
        <w:r w:rsidRPr="002F4868">
          <w:rPr>
            <w:rStyle w:val="a5"/>
            <w:noProof/>
          </w:rPr>
          <w:t>Title: Brain, Behavior, and Immunity</w:t>
        </w:r>
        <w:r>
          <w:rPr>
            <w:noProof/>
            <w:webHidden/>
          </w:rPr>
          <w:tab/>
        </w:r>
        <w:r>
          <w:rPr>
            <w:noProof/>
            <w:webHidden/>
          </w:rPr>
          <w:fldChar w:fldCharType="begin"/>
        </w:r>
        <w:r>
          <w:rPr>
            <w:noProof/>
            <w:webHidden/>
          </w:rPr>
          <w:instrText xml:space="preserve"> PAGEREF _Toc420814796 \h </w:instrText>
        </w:r>
        <w:r>
          <w:rPr>
            <w:noProof/>
            <w:webHidden/>
          </w:rPr>
        </w:r>
        <w:r>
          <w:rPr>
            <w:noProof/>
            <w:webHidden/>
          </w:rPr>
          <w:fldChar w:fldCharType="separate"/>
        </w:r>
        <w:r>
          <w:rPr>
            <w:noProof/>
            <w:webHidden/>
          </w:rPr>
          <w:t>1758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7" w:history="1">
        <w:r w:rsidRPr="002F4868">
          <w:rPr>
            <w:rStyle w:val="a5"/>
            <w:noProof/>
          </w:rPr>
          <w:t>Title: Brain &amp; Development</w:t>
        </w:r>
        <w:r>
          <w:rPr>
            <w:noProof/>
            <w:webHidden/>
          </w:rPr>
          <w:tab/>
        </w:r>
        <w:r>
          <w:rPr>
            <w:noProof/>
            <w:webHidden/>
          </w:rPr>
          <w:fldChar w:fldCharType="begin"/>
        </w:r>
        <w:r>
          <w:rPr>
            <w:noProof/>
            <w:webHidden/>
          </w:rPr>
          <w:instrText xml:space="preserve"> PAGEREF _Toc420814797 \h </w:instrText>
        </w:r>
        <w:r>
          <w:rPr>
            <w:noProof/>
            <w:webHidden/>
          </w:rPr>
        </w:r>
        <w:r>
          <w:rPr>
            <w:noProof/>
            <w:webHidden/>
          </w:rPr>
          <w:fldChar w:fldCharType="separate"/>
        </w:r>
        <w:r>
          <w:rPr>
            <w:noProof/>
            <w:webHidden/>
          </w:rPr>
          <w:t>1762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8" w:history="1">
        <w:r w:rsidRPr="002F4868">
          <w:rPr>
            <w:rStyle w:val="a5"/>
            <w:noProof/>
          </w:rPr>
          <w:t>Title: Brain and Language</w:t>
        </w:r>
        <w:r>
          <w:rPr>
            <w:noProof/>
            <w:webHidden/>
          </w:rPr>
          <w:tab/>
        </w:r>
        <w:r>
          <w:rPr>
            <w:noProof/>
            <w:webHidden/>
          </w:rPr>
          <w:fldChar w:fldCharType="begin"/>
        </w:r>
        <w:r>
          <w:rPr>
            <w:noProof/>
            <w:webHidden/>
          </w:rPr>
          <w:instrText xml:space="preserve"> PAGEREF _Toc420814798 \h </w:instrText>
        </w:r>
        <w:r>
          <w:rPr>
            <w:noProof/>
            <w:webHidden/>
          </w:rPr>
        </w:r>
        <w:r>
          <w:rPr>
            <w:noProof/>
            <w:webHidden/>
          </w:rPr>
          <w:fldChar w:fldCharType="separate"/>
        </w:r>
        <w:r>
          <w:rPr>
            <w:noProof/>
            <w:webHidden/>
          </w:rPr>
          <w:t>1764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799" w:history="1">
        <w:r w:rsidRPr="002F4868">
          <w:rPr>
            <w:rStyle w:val="a5"/>
            <w:noProof/>
          </w:rPr>
          <w:t>Title: Brain Research Bulletin</w:t>
        </w:r>
        <w:r>
          <w:rPr>
            <w:noProof/>
            <w:webHidden/>
          </w:rPr>
          <w:tab/>
        </w:r>
        <w:r>
          <w:rPr>
            <w:noProof/>
            <w:webHidden/>
          </w:rPr>
          <w:fldChar w:fldCharType="begin"/>
        </w:r>
        <w:r>
          <w:rPr>
            <w:noProof/>
            <w:webHidden/>
          </w:rPr>
          <w:instrText xml:space="preserve"> PAGEREF _Toc420814799 \h </w:instrText>
        </w:r>
        <w:r>
          <w:rPr>
            <w:noProof/>
            <w:webHidden/>
          </w:rPr>
        </w:r>
        <w:r>
          <w:rPr>
            <w:noProof/>
            <w:webHidden/>
          </w:rPr>
          <w:fldChar w:fldCharType="separate"/>
        </w:r>
        <w:r>
          <w:rPr>
            <w:noProof/>
            <w:webHidden/>
          </w:rPr>
          <w:t>1766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0" w:history="1">
        <w:r w:rsidRPr="002F4868">
          <w:rPr>
            <w:rStyle w:val="a5"/>
            <w:noProof/>
          </w:rPr>
          <w:t>Title: Brain Stimulation</w:t>
        </w:r>
        <w:r>
          <w:rPr>
            <w:noProof/>
            <w:webHidden/>
          </w:rPr>
          <w:tab/>
        </w:r>
        <w:r>
          <w:rPr>
            <w:noProof/>
            <w:webHidden/>
          </w:rPr>
          <w:fldChar w:fldCharType="begin"/>
        </w:r>
        <w:r>
          <w:rPr>
            <w:noProof/>
            <w:webHidden/>
          </w:rPr>
          <w:instrText xml:space="preserve"> PAGEREF _Toc420814800 \h </w:instrText>
        </w:r>
        <w:r>
          <w:rPr>
            <w:noProof/>
            <w:webHidden/>
          </w:rPr>
        </w:r>
        <w:r>
          <w:rPr>
            <w:noProof/>
            <w:webHidden/>
          </w:rPr>
          <w:fldChar w:fldCharType="separate"/>
        </w:r>
        <w:r>
          <w:rPr>
            <w:noProof/>
            <w:webHidden/>
          </w:rPr>
          <w:t>1768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1" w:history="1">
        <w:r w:rsidRPr="002F4868">
          <w:rPr>
            <w:rStyle w:val="a5"/>
            <w:noProof/>
          </w:rPr>
          <w:t>Title: Brazilian Journal of Biology</w:t>
        </w:r>
        <w:r>
          <w:rPr>
            <w:noProof/>
            <w:webHidden/>
          </w:rPr>
          <w:tab/>
        </w:r>
        <w:r>
          <w:rPr>
            <w:noProof/>
            <w:webHidden/>
          </w:rPr>
          <w:fldChar w:fldCharType="begin"/>
        </w:r>
        <w:r>
          <w:rPr>
            <w:noProof/>
            <w:webHidden/>
          </w:rPr>
          <w:instrText xml:space="preserve"> PAGEREF _Toc420814801 \h </w:instrText>
        </w:r>
        <w:r>
          <w:rPr>
            <w:noProof/>
            <w:webHidden/>
          </w:rPr>
        </w:r>
        <w:r>
          <w:rPr>
            <w:noProof/>
            <w:webHidden/>
          </w:rPr>
          <w:fldChar w:fldCharType="separate"/>
        </w:r>
        <w:r>
          <w:rPr>
            <w:noProof/>
            <w:webHidden/>
          </w:rPr>
          <w:t>1770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2" w:history="1">
        <w:r w:rsidRPr="002F4868">
          <w:rPr>
            <w:rStyle w:val="a5"/>
            <w:noProof/>
          </w:rPr>
          <w:t>Title: Brazilian Journal of Infectious Diseases</w:t>
        </w:r>
        <w:r>
          <w:rPr>
            <w:noProof/>
            <w:webHidden/>
          </w:rPr>
          <w:tab/>
        </w:r>
        <w:r>
          <w:rPr>
            <w:noProof/>
            <w:webHidden/>
          </w:rPr>
          <w:fldChar w:fldCharType="begin"/>
        </w:r>
        <w:r>
          <w:rPr>
            <w:noProof/>
            <w:webHidden/>
          </w:rPr>
          <w:instrText xml:space="preserve"> PAGEREF _Toc420814802 \h </w:instrText>
        </w:r>
        <w:r>
          <w:rPr>
            <w:noProof/>
            <w:webHidden/>
          </w:rPr>
        </w:r>
        <w:r>
          <w:rPr>
            <w:noProof/>
            <w:webHidden/>
          </w:rPr>
          <w:fldChar w:fldCharType="separate"/>
        </w:r>
        <w:r>
          <w:rPr>
            <w:noProof/>
            <w:webHidden/>
          </w:rPr>
          <w:t>1772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3" w:history="1">
        <w:r w:rsidRPr="002F4868">
          <w:rPr>
            <w:rStyle w:val="a5"/>
            <w:noProof/>
          </w:rPr>
          <w:t>Title: Brazilian Journal of Medical and Biological Research</w:t>
        </w:r>
        <w:r>
          <w:rPr>
            <w:noProof/>
            <w:webHidden/>
          </w:rPr>
          <w:tab/>
        </w:r>
        <w:r>
          <w:rPr>
            <w:noProof/>
            <w:webHidden/>
          </w:rPr>
          <w:fldChar w:fldCharType="begin"/>
        </w:r>
        <w:r>
          <w:rPr>
            <w:noProof/>
            <w:webHidden/>
          </w:rPr>
          <w:instrText xml:space="preserve"> PAGEREF _Toc420814803 \h </w:instrText>
        </w:r>
        <w:r>
          <w:rPr>
            <w:noProof/>
            <w:webHidden/>
          </w:rPr>
        </w:r>
        <w:r>
          <w:rPr>
            <w:noProof/>
            <w:webHidden/>
          </w:rPr>
          <w:fldChar w:fldCharType="separate"/>
        </w:r>
        <w:r>
          <w:rPr>
            <w:noProof/>
            <w:webHidden/>
          </w:rPr>
          <w:t>1775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4" w:history="1">
        <w:r w:rsidRPr="002F4868">
          <w:rPr>
            <w:rStyle w:val="a5"/>
            <w:noProof/>
          </w:rPr>
          <w:t>Title: Brazilian Journal of Otorhinolaryngology</w:t>
        </w:r>
        <w:r>
          <w:rPr>
            <w:noProof/>
            <w:webHidden/>
          </w:rPr>
          <w:tab/>
        </w:r>
        <w:r>
          <w:rPr>
            <w:noProof/>
            <w:webHidden/>
          </w:rPr>
          <w:fldChar w:fldCharType="begin"/>
        </w:r>
        <w:r>
          <w:rPr>
            <w:noProof/>
            <w:webHidden/>
          </w:rPr>
          <w:instrText xml:space="preserve"> PAGEREF _Toc420814804 \h </w:instrText>
        </w:r>
        <w:r>
          <w:rPr>
            <w:noProof/>
            <w:webHidden/>
          </w:rPr>
        </w:r>
        <w:r>
          <w:rPr>
            <w:noProof/>
            <w:webHidden/>
          </w:rPr>
          <w:fldChar w:fldCharType="separate"/>
        </w:r>
        <w:r>
          <w:rPr>
            <w:noProof/>
            <w:webHidden/>
          </w:rPr>
          <w:t>1785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5" w:history="1">
        <w:r w:rsidRPr="002F4868">
          <w:rPr>
            <w:rStyle w:val="a5"/>
            <w:noProof/>
          </w:rPr>
          <w:t>Title: Brazilian Journal of Pharmaceutical Sciences</w:t>
        </w:r>
        <w:r>
          <w:rPr>
            <w:noProof/>
            <w:webHidden/>
          </w:rPr>
          <w:tab/>
        </w:r>
        <w:r>
          <w:rPr>
            <w:noProof/>
            <w:webHidden/>
          </w:rPr>
          <w:fldChar w:fldCharType="begin"/>
        </w:r>
        <w:r>
          <w:rPr>
            <w:noProof/>
            <w:webHidden/>
          </w:rPr>
          <w:instrText xml:space="preserve"> PAGEREF _Toc420814805 \h </w:instrText>
        </w:r>
        <w:r>
          <w:rPr>
            <w:noProof/>
            <w:webHidden/>
          </w:rPr>
        </w:r>
        <w:r>
          <w:rPr>
            <w:noProof/>
            <w:webHidden/>
          </w:rPr>
          <w:fldChar w:fldCharType="separate"/>
        </w:r>
        <w:r>
          <w:rPr>
            <w:noProof/>
            <w:webHidden/>
          </w:rPr>
          <w:t>1788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6" w:history="1">
        <w:r w:rsidRPr="002F4868">
          <w:rPr>
            <w:rStyle w:val="a5"/>
            <w:noProof/>
          </w:rPr>
          <w:t>Title: Brazilian Journal of Physical Therapy</w:t>
        </w:r>
        <w:r>
          <w:rPr>
            <w:noProof/>
            <w:webHidden/>
          </w:rPr>
          <w:tab/>
        </w:r>
        <w:r>
          <w:rPr>
            <w:noProof/>
            <w:webHidden/>
          </w:rPr>
          <w:fldChar w:fldCharType="begin"/>
        </w:r>
        <w:r>
          <w:rPr>
            <w:noProof/>
            <w:webHidden/>
          </w:rPr>
          <w:instrText xml:space="preserve"> PAGEREF _Toc420814806 \h </w:instrText>
        </w:r>
        <w:r>
          <w:rPr>
            <w:noProof/>
            <w:webHidden/>
          </w:rPr>
        </w:r>
        <w:r>
          <w:rPr>
            <w:noProof/>
            <w:webHidden/>
          </w:rPr>
          <w:fldChar w:fldCharType="separate"/>
        </w:r>
        <w:r>
          <w:rPr>
            <w:noProof/>
            <w:webHidden/>
          </w:rPr>
          <w:t>1790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7" w:history="1">
        <w:r w:rsidRPr="002F4868">
          <w:rPr>
            <w:rStyle w:val="a5"/>
            <w:noProof/>
          </w:rPr>
          <w:t>Title: Brazilian Oral Research</w:t>
        </w:r>
        <w:r>
          <w:rPr>
            <w:noProof/>
            <w:webHidden/>
          </w:rPr>
          <w:tab/>
        </w:r>
        <w:r>
          <w:rPr>
            <w:noProof/>
            <w:webHidden/>
          </w:rPr>
          <w:fldChar w:fldCharType="begin"/>
        </w:r>
        <w:r>
          <w:rPr>
            <w:noProof/>
            <w:webHidden/>
          </w:rPr>
          <w:instrText xml:space="preserve"> PAGEREF _Toc420814807 \h </w:instrText>
        </w:r>
        <w:r>
          <w:rPr>
            <w:noProof/>
            <w:webHidden/>
          </w:rPr>
        </w:r>
        <w:r>
          <w:rPr>
            <w:noProof/>
            <w:webHidden/>
          </w:rPr>
          <w:fldChar w:fldCharType="separate"/>
        </w:r>
        <w:r>
          <w:rPr>
            <w:noProof/>
            <w:webHidden/>
          </w:rPr>
          <w:t>1793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8" w:history="1">
        <w:r w:rsidRPr="002F4868">
          <w:rPr>
            <w:rStyle w:val="a5"/>
            <w:noProof/>
          </w:rPr>
          <w:t>Title: Breast Cancer Research</w:t>
        </w:r>
        <w:r>
          <w:rPr>
            <w:noProof/>
            <w:webHidden/>
          </w:rPr>
          <w:tab/>
        </w:r>
        <w:r>
          <w:rPr>
            <w:noProof/>
            <w:webHidden/>
          </w:rPr>
          <w:fldChar w:fldCharType="begin"/>
        </w:r>
        <w:r>
          <w:rPr>
            <w:noProof/>
            <w:webHidden/>
          </w:rPr>
          <w:instrText xml:space="preserve"> PAGEREF _Toc420814808 \h </w:instrText>
        </w:r>
        <w:r>
          <w:rPr>
            <w:noProof/>
            <w:webHidden/>
          </w:rPr>
        </w:r>
        <w:r>
          <w:rPr>
            <w:noProof/>
            <w:webHidden/>
          </w:rPr>
          <w:fldChar w:fldCharType="separate"/>
        </w:r>
        <w:r>
          <w:rPr>
            <w:noProof/>
            <w:webHidden/>
          </w:rPr>
          <w:t>1795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09" w:history="1">
        <w:r w:rsidRPr="002F4868">
          <w:rPr>
            <w:rStyle w:val="a5"/>
            <w:noProof/>
          </w:rPr>
          <w:t>Title: Breast Cancer Research and Treatment</w:t>
        </w:r>
        <w:r>
          <w:rPr>
            <w:noProof/>
            <w:webHidden/>
          </w:rPr>
          <w:tab/>
        </w:r>
        <w:r>
          <w:rPr>
            <w:noProof/>
            <w:webHidden/>
          </w:rPr>
          <w:fldChar w:fldCharType="begin"/>
        </w:r>
        <w:r>
          <w:rPr>
            <w:noProof/>
            <w:webHidden/>
          </w:rPr>
          <w:instrText xml:space="preserve"> PAGEREF _Toc420814809 \h </w:instrText>
        </w:r>
        <w:r>
          <w:rPr>
            <w:noProof/>
            <w:webHidden/>
          </w:rPr>
        </w:r>
        <w:r>
          <w:rPr>
            <w:noProof/>
            <w:webHidden/>
          </w:rPr>
          <w:fldChar w:fldCharType="separate"/>
        </w:r>
        <w:r>
          <w:rPr>
            <w:noProof/>
            <w:webHidden/>
          </w:rPr>
          <w:t>1797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0" w:history="1">
        <w:r w:rsidRPr="002F4868">
          <w:rPr>
            <w:rStyle w:val="a5"/>
            <w:noProof/>
          </w:rPr>
          <w:t>Title: the British Accounting Review</w:t>
        </w:r>
        <w:r>
          <w:rPr>
            <w:noProof/>
            <w:webHidden/>
          </w:rPr>
          <w:tab/>
        </w:r>
        <w:r>
          <w:rPr>
            <w:noProof/>
            <w:webHidden/>
          </w:rPr>
          <w:fldChar w:fldCharType="begin"/>
        </w:r>
        <w:r>
          <w:rPr>
            <w:noProof/>
            <w:webHidden/>
          </w:rPr>
          <w:instrText xml:space="preserve"> PAGEREF _Toc420814810 \h </w:instrText>
        </w:r>
        <w:r>
          <w:rPr>
            <w:noProof/>
            <w:webHidden/>
          </w:rPr>
        </w:r>
        <w:r>
          <w:rPr>
            <w:noProof/>
            <w:webHidden/>
          </w:rPr>
          <w:fldChar w:fldCharType="separate"/>
        </w:r>
        <w:r>
          <w:rPr>
            <w:noProof/>
            <w:webHidden/>
          </w:rPr>
          <w:t>1808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1" w:history="1">
        <w:r w:rsidRPr="002F4868">
          <w:rPr>
            <w:rStyle w:val="a5"/>
            <w:noProof/>
          </w:rPr>
          <w:t>Title: British Dental Journal</w:t>
        </w:r>
        <w:r>
          <w:rPr>
            <w:noProof/>
            <w:webHidden/>
          </w:rPr>
          <w:tab/>
        </w:r>
        <w:r>
          <w:rPr>
            <w:noProof/>
            <w:webHidden/>
          </w:rPr>
          <w:fldChar w:fldCharType="begin"/>
        </w:r>
        <w:r>
          <w:rPr>
            <w:noProof/>
            <w:webHidden/>
          </w:rPr>
          <w:instrText xml:space="preserve"> PAGEREF _Toc420814811 \h </w:instrText>
        </w:r>
        <w:r>
          <w:rPr>
            <w:noProof/>
            <w:webHidden/>
          </w:rPr>
        </w:r>
        <w:r>
          <w:rPr>
            <w:noProof/>
            <w:webHidden/>
          </w:rPr>
          <w:fldChar w:fldCharType="separate"/>
        </w:r>
        <w:r>
          <w:rPr>
            <w:noProof/>
            <w:webHidden/>
          </w:rPr>
          <w:t>1809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2" w:history="1">
        <w:r w:rsidRPr="002F4868">
          <w:rPr>
            <w:rStyle w:val="a5"/>
            <w:noProof/>
          </w:rPr>
          <w:t>Title: British Food Journal</w:t>
        </w:r>
        <w:r>
          <w:rPr>
            <w:noProof/>
            <w:webHidden/>
          </w:rPr>
          <w:tab/>
        </w:r>
        <w:r>
          <w:rPr>
            <w:noProof/>
            <w:webHidden/>
          </w:rPr>
          <w:fldChar w:fldCharType="begin"/>
        </w:r>
        <w:r>
          <w:rPr>
            <w:noProof/>
            <w:webHidden/>
          </w:rPr>
          <w:instrText xml:space="preserve"> PAGEREF _Toc420814812 \h </w:instrText>
        </w:r>
        <w:r>
          <w:rPr>
            <w:noProof/>
            <w:webHidden/>
          </w:rPr>
        </w:r>
        <w:r>
          <w:rPr>
            <w:noProof/>
            <w:webHidden/>
          </w:rPr>
          <w:fldChar w:fldCharType="separate"/>
        </w:r>
        <w:r>
          <w:rPr>
            <w:noProof/>
            <w:webHidden/>
          </w:rPr>
          <w:t>1812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3" w:history="1">
        <w:r w:rsidRPr="002F4868">
          <w:rPr>
            <w:rStyle w:val="a5"/>
            <w:noProof/>
          </w:rPr>
          <w:t>Title: British Journal of Anaesthesia</w:t>
        </w:r>
        <w:r>
          <w:rPr>
            <w:noProof/>
            <w:webHidden/>
          </w:rPr>
          <w:tab/>
        </w:r>
        <w:r>
          <w:rPr>
            <w:noProof/>
            <w:webHidden/>
          </w:rPr>
          <w:fldChar w:fldCharType="begin"/>
        </w:r>
        <w:r>
          <w:rPr>
            <w:noProof/>
            <w:webHidden/>
          </w:rPr>
          <w:instrText xml:space="preserve"> PAGEREF _Toc420814813 \h </w:instrText>
        </w:r>
        <w:r>
          <w:rPr>
            <w:noProof/>
            <w:webHidden/>
          </w:rPr>
        </w:r>
        <w:r>
          <w:rPr>
            <w:noProof/>
            <w:webHidden/>
          </w:rPr>
          <w:fldChar w:fldCharType="separate"/>
        </w:r>
        <w:r>
          <w:rPr>
            <w:noProof/>
            <w:webHidden/>
          </w:rPr>
          <w:t>1815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4" w:history="1">
        <w:r w:rsidRPr="002F4868">
          <w:rPr>
            <w:rStyle w:val="a5"/>
            <w:noProof/>
          </w:rPr>
          <w:t>Title: British Journal of Audiology</w:t>
        </w:r>
        <w:r>
          <w:rPr>
            <w:noProof/>
            <w:webHidden/>
          </w:rPr>
          <w:tab/>
        </w:r>
        <w:r>
          <w:rPr>
            <w:noProof/>
            <w:webHidden/>
          </w:rPr>
          <w:fldChar w:fldCharType="begin"/>
        </w:r>
        <w:r>
          <w:rPr>
            <w:noProof/>
            <w:webHidden/>
          </w:rPr>
          <w:instrText xml:space="preserve"> PAGEREF _Toc420814814 \h </w:instrText>
        </w:r>
        <w:r>
          <w:rPr>
            <w:noProof/>
            <w:webHidden/>
          </w:rPr>
        </w:r>
        <w:r>
          <w:rPr>
            <w:noProof/>
            <w:webHidden/>
          </w:rPr>
          <w:fldChar w:fldCharType="separate"/>
        </w:r>
        <w:r>
          <w:rPr>
            <w:noProof/>
            <w:webHidden/>
          </w:rPr>
          <w:t>1821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5" w:history="1">
        <w:r w:rsidRPr="002F4868">
          <w:rPr>
            <w:rStyle w:val="a5"/>
            <w:noProof/>
          </w:rPr>
          <w:t>Title: British Journal of Cancer</w:t>
        </w:r>
        <w:r>
          <w:rPr>
            <w:noProof/>
            <w:webHidden/>
          </w:rPr>
          <w:tab/>
        </w:r>
        <w:r>
          <w:rPr>
            <w:noProof/>
            <w:webHidden/>
          </w:rPr>
          <w:fldChar w:fldCharType="begin"/>
        </w:r>
        <w:r>
          <w:rPr>
            <w:noProof/>
            <w:webHidden/>
          </w:rPr>
          <w:instrText xml:space="preserve"> PAGEREF _Toc420814815 \h </w:instrText>
        </w:r>
        <w:r>
          <w:rPr>
            <w:noProof/>
            <w:webHidden/>
          </w:rPr>
        </w:r>
        <w:r>
          <w:rPr>
            <w:noProof/>
            <w:webHidden/>
          </w:rPr>
          <w:fldChar w:fldCharType="separate"/>
        </w:r>
        <w:r>
          <w:rPr>
            <w:noProof/>
            <w:webHidden/>
          </w:rPr>
          <w:t>1822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6" w:history="1">
        <w:r w:rsidRPr="002F4868">
          <w:rPr>
            <w:rStyle w:val="a5"/>
            <w:noProof/>
          </w:rPr>
          <w:t>Title: British Journal of Clinical Pharmacology</w:t>
        </w:r>
        <w:r>
          <w:rPr>
            <w:noProof/>
            <w:webHidden/>
          </w:rPr>
          <w:tab/>
        </w:r>
        <w:r>
          <w:rPr>
            <w:noProof/>
            <w:webHidden/>
          </w:rPr>
          <w:fldChar w:fldCharType="begin"/>
        </w:r>
        <w:r>
          <w:rPr>
            <w:noProof/>
            <w:webHidden/>
          </w:rPr>
          <w:instrText xml:space="preserve"> PAGEREF _Toc420814816 \h </w:instrText>
        </w:r>
        <w:r>
          <w:rPr>
            <w:noProof/>
            <w:webHidden/>
          </w:rPr>
        </w:r>
        <w:r>
          <w:rPr>
            <w:noProof/>
            <w:webHidden/>
          </w:rPr>
          <w:fldChar w:fldCharType="separate"/>
        </w:r>
        <w:r>
          <w:rPr>
            <w:noProof/>
            <w:webHidden/>
          </w:rPr>
          <w:t>1827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7" w:history="1">
        <w:r w:rsidRPr="002F4868">
          <w:rPr>
            <w:rStyle w:val="a5"/>
            <w:noProof/>
          </w:rPr>
          <w:t>Title: British Journal of Criminology</w:t>
        </w:r>
        <w:r>
          <w:rPr>
            <w:noProof/>
            <w:webHidden/>
          </w:rPr>
          <w:tab/>
        </w:r>
        <w:r>
          <w:rPr>
            <w:noProof/>
            <w:webHidden/>
          </w:rPr>
          <w:fldChar w:fldCharType="begin"/>
        </w:r>
        <w:r>
          <w:rPr>
            <w:noProof/>
            <w:webHidden/>
          </w:rPr>
          <w:instrText xml:space="preserve"> PAGEREF _Toc420814817 \h </w:instrText>
        </w:r>
        <w:r>
          <w:rPr>
            <w:noProof/>
            <w:webHidden/>
          </w:rPr>
        </w:r>
        <w:r>
          <w:rPr>
            <w:noProof/>
            <w:webHidden/>
          </w:rPr>
          <w:fldChar w:fldCharType="separate"/>
        </w:r>
        <w:r>
          <w:rPr>
            <w:noProof/>
            <w:webHidden/>
          </w:rPr>
          <w:t>1833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8" w:history="1">
        <w:r w:rsidRPr="002F4868">
          <w:rPr>
            <w:rStyle w:val="a5"/>
            <w:noProof/>
          </w:rPr>
          <w:t>Title: British Journal of Dermatology</w:t>
        </w:r>
        <w:r>
          <w:rPr>
            <w:noProof/>
            <w:webHidden/>
          </w:rPr>
          <w:tab/>
        </w:r>
        <w:r>
          <w:rPr>
            <w:noProof/>
            <w:webHidden/>
          </w:rPr>
          <w:fldChar w:fldCharType="begin"/>
        </w:r>
        <w:r>
          <w:rPr>
            <w:noProof/>
            <w:webHidden/>
          </w:rPr>
          <w:instrText xml:space="preserve"> PAGEREF _Toc420814818 \h </w:instrText>
        </w:r>
        <w:r>
          <w:rPr>
            <w:noProof/>
            <w:webHidden/>
          </w:rPr>
        </w:r>
        <w:r>
          <w:rPr>
            <w:noProof/>
            <w:webHidden/>
          </w:rPr>
          <w:fldChar w:fldCharType="separate"/>
        </w:r>
        <w:r>
          <w:rPr>
            <w:noProof/>
            <w:webHidden/>
          </w:rPr>
          <w:t>1834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19" w:history="1">
        <w:r w:rsidRPr="002F4868">
          <w:rPr>
            <w:rStyle w:val="a5"/>
            <w:noProof/>
          </w:rPr>
          <w:t>Title: British Journal of Educational Technology</w:t>
        </w:r>
        <w:r>
          <w:rPr>
            <w:noProof/>
            <w:webHidden/>
          </w:rPr>
          <w:tab/>
        </w:r>
        <w:r>
          <w:rPr>
            <w:noProof/>
            <w:webHidden/>
          </w:rPr>
          <w:fldChar w:fldCharType="begin"/>
        </w:r>
        <w:r>
          <w:rPr>
            <w:noProof/>
            <w:webHidden/>
          </w:rPr>
          <w:instrText xml:space="preserve"> PAGEREF _Toc420814819 \h </w:instrText>
        </w:r>
        <w:r>
          <w:rPr>
            <w:noProof/>
            <w:webHidden/>
          </w:rPr>
        </w:r>
        <w:r>
          <w:rPr>
            <w:noProof/>
            <w:webHidden/>
          </w:rPr>
          <w:fldChar w:fldCharType="separate"/>
        </w:r>
        <w:r>
          <w:rPr>
            <w:noProof/>
            <w:webHidden/>
          </w:rPr>
          <w:t>1838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0" w:history="1">
        <w:r w:rsidRPr="002F4868">
          <w:rPr>
            <w:rStyle w:val="a5"/>
            <w:noProof/>
          </w:rPr>
          <w:t>Title: British Journal of Engineering</w:t>
        </w:r>
        <w:r>
          <w:rPr>
            <w:noProof/>
            <w:webHidden/>
          </w:rPr>
          <w:tab/>
        </w:r>
        <w:r>
          <w:rPr>
            <w:noProof/>
            <w:webHidden/>
          </w:rPr>
          <w:fldChar w:fldCharType="begin"/>
        </w:r>
        <w:r>
          <w:rPr>
            <w:noProof/>
            <w:webHidden/>
          </w:rPr>
          <w:instrText xml:space="preserve"> PAGEREF _Toc420814820 \h </w:instrText>
        </w:r>
        <w:r>
          <w:rPr>
            <w:noProof/>
            <w:webHidden/>
          </w:rPr>
        </w:r>
        <w:r>
          <w:rPr>
            <w:noProof/>
            <w:webHidden/>
          </w:rPr>
          <w:fldChar w:fldCharType="separate"/>
        </w:r>
        <w:r>
          <w:rPr>
            <w:noProof/>
            <w:webHidden/>
          </w:rPr>
          <w:t>1841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1" w:history="1">
        <w:r w:rsidRPr="002F4868">
          <w:rPr>
            <w:rStyle w:val="a5"/>
            <w:noProof/>
          </w:rPr>
          <w:t>Title: British Journal of General Practice</w:t>
        </w:r>
        <w:r>
          <w:rPr>
            <w:noProof/>
            <w:webHidden/>
          </w:rPr>
          <w:tab/>
        </w:r>
        <w:r>
          <w:rPr>
            <w:noProof/>
            <w:webHidden/>
          </w:rPr>
          <w:fldChar w:fldCharType="begin"/>
        </w:r>
        <w:r>
          <w:rPr>
            <w:noProof/>
            <w:webHidden/>
          </w:rPr>
          <w:instrText xml:space="preserve"> PAGEREF _Toc420814821 \h </w:instrText>
        </w:r>
        <w:r>
          <w:rPr>
            <w:noProof/>
            <w:webHidden/>
          </w:rPr>
        </w:r>
        <w:r>
          <w:rPr>
            <w:noProof/>
            <w:webHidden/>
          </w:rPr>
          <w:fldChar w:fldCharType="separate"/>
        </w:r>
        <w:r>
          <w:rPr>
            <w:noProof/>
            <w:webHidden/>
          </w:rPr>
          <w:t>1842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2" w:history="1">
        <w:r w:rsidRPr="002F4868">
          <w:rPr>
            <w:rStyle w:val="a5"/>
            <w:noProof/>
          </w:rPr>
          <w:t>Title: British Journal of Health Psychology</w:t>
        </w:r>
        <w:r>
          <w:rPr>
            <w:noProof/>
            <w:webHidden/>
          </w:rPr>
          <w:tab/>
        </w:r>
        <w:r>
          <w:rPr>
            <w:noProof/>
            <w:webHidden/>
          </w:rPr>
          <w:fldChar w:fldCharType="begin"/>
        </w:r>
        <w:r>
          <w:rPr>
            <w:noProof/>
            <w:webHidden/>
          </w:rPr>
          <w:instrText xml:space="preserve"> PAGEREF _Toc420814822 \h </w:instrText>
        </w:r>
        <w:r>
          <w:rPr>
            <w:noProof/>
            <w:webHidden/>
          </w:rPr>
        </w:r>
        <w:r>
          <w:rPr>
            <w:noProof/>
            <w:webHidden/>
          </w:rPr>
          <w:fldChar w:fldCharType="separate"/>
        </w:r>
        <w:r>
          <w:rPr>
            <w:noProof/>
            <w:webHidden/>
          </w:rPr>
          <w:t>1847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3" w:history="1">
        <w:r w:rsidRPr="002F4868">
          <w:rPr>
            <w:rStyle w:val="a5"/>
            <w:noProof/>
          </w:rPr>
          <w:t>Title: British Journal of Hospital Medicine</w:t>
        </w:r>
        <w:r>
          <w:rPr>
            <w:noProof/>
            <w:webHidden/>
          </w:rPr>
          <w:tab/>
        </w:r>
        <w:r>
          <w:rPr>
            <w:noProof/>
            <w:webHidden/>
          </w:rPr>
          <w:fldChar w:fldCharType="begin"/>
        </w:r>
        <w:r>
          <w:rPr>
            <w:noProof/>
            <w:webHidden/>
          </w:rPr>
          <w:instrText xml:space="preserve"> PAGEREF _Toc420814823 \h </w:instrText>
        </w:r>
        <w:r>
          <w:rPr>
            <w:noProof/>
            <w:webHidden/>
          </w:rPr>
        </w:r>
        <w:r>
          <w:rPr>
            <w:noProof/>
            <w:webHidden/>
          </w:rPr>
          <w:fldChar w:fldCharType="separate"/>
        </w:r>
        <w:r>
          <w:rPr>
            <w:noProof/>
            <w:webHidden/>
          </w:rPr>
          <w:t>1849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4" w:history="1">
        <w:r w:rsidRPr="002F4868">
          <w:rPr>
            <w:rStyle w:val="a5"/>
            <w:noProof/>
          </w:rPr>
          <w:t>Title: British Journal of Industrial Relations</w:t>
        </w:r>
        <w:r>
          <w:rPr>
            <w:noProof/>
            <w:webHidden/>
          </w:rPr>
          <w:tab/>
        </w:r>
        <w:r>
          <w:rPr>
            <w:noProof/>
            <w:webHidden/>
          </w:rPr>
          <w:fldChar w:fldCharType="begin"/>
        </w:r>
        <w:r>
          <w:rPr>
            <w:noProof/>
            <w:webHidden/>
          </w:rPr>
          <w:instrText xml:space="preserve"> PAGEREF _Toc420814824 \h </w:instrText>
        </w:r>
        <w:r>
          <w:rPr>
            <w:noProof/>
            <w:webHidden/>
          </w:rPr>
        </w:r>
        <w:r>
          <w:rPr>
            <w:noProof/>
            <w:webHidden/>
          </w:rPr>
          <w:fldChar w:fldCharType="separate"/>
        </w:r>
        <w:r>
          <w:rPr>
            <w:noProof/>
            <w:webHidden/>
          </w:rPr>
          <w:t>1850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5" w:history="1">
        <w:r w:rsidRPr="002F4868">
          <w:rPr>
            <w:rStyle w:val="a5"/>
            <w:noProof/>
          </w:rPr>
          <w:t>Title: British Journal of Management</w:t>
        </w:r>
        <w:r>
          <w:rPr>
            <w:noProof/>
            <w:webHidden/>
          </w:rPr>
          <w:tab/>
        </w:r>
        <w:r>
          <w:rPr>
            <w:noProof/>
            <w:webHidden/>
          </w:rPr>
          <w:fldChar w:fldCharType="begin"/>
        </w:r>
        <w:r>
          <w:rPr>
            <w:noProof/>
            <w:webHidden/>
          </w:rPr>
          <w:instrText xml:space="preserve"> PAGEREF _Toc420814825 \h </w:instrText>
        </w:r>
        <w:r>
          <w:rPr>
            <w:noProof/>
            <w:webHidden/>
          </w:rPr>
        </w:r>
        <w:r>
          <w:rPr>
            <w:noProof/>
            <w:webHidden/>
          </w:rPr>
          <w:fldChar w:fldCharType="separate"/>
        </w:r>
        <w:r>
          <w:rPr>
            <w:noProof/>
            <w:webHidden/>
          </w:rPr>
          <w:t>1851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6" w:history="1">
        <w:r w:rsidRPr="002F4868">
          <w:rPr>
            <w:rStyle w:val="a5"/>
            <w:noProof/>
          </w:rPr>
          <w:t>Title: British Journal of Neurosurgery</w:t>
        </w:r>
        <w:r>
          <w:rPr>
            <w:noProof/>
            <w:webHidden/>
          </w:rPr>
          <w:tab/>
        </w:r>
        <w:r>
          <w:rPr>
            <w:noProof/>
            <w:webHidden/>
          </w:rPr>
          <w:fldChar w:fldCharType="begin"/>
        </w:r>
        <w:r>
          <w:rPr>
            <w:noProof/>
            <w:webHidden/>
          </w:rPr>
          <w:instrText xml:space="preserve"> PAGEREF _Toc420814826 \h </w:instrText>
        </w:r>
        <w:r>
          <w:rPr>
            <w:noProof/>
            <w:webHidden/>
          </w:rPr>
        </w:r>
        <w:r>
          <w:rPr>
            <w:noProof/>
            <w:webHidden/>
          </w:rPr>
          <w:fldChar w:fldCharType="separate"/>
        </w:r>
        <w:r>
          <w:rPr>
            <w:noProof/>
            <w:webHidden/>
          </w:rPr>
          <w:t>1853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7" w:history="1">
        <w:r w:rsidRPr="002F4868">
          <w:rPr>
            <w:rStyle w:val="a5"/>
            <w:noProof/>
          </w:rPr>
          <w:t>Title: British Journal of Nutrition</w:t>
        </w:r>
        <w:r>
          <w:rPr>
            <w:noProof/>
            <w:webHidden/>
          </w:rPr>
          <w:tab/>
        </w:r>
        <w:r>
          <w:rPr>
            <w:noProof/>
            <w:webHidden/>
          </w:rPr>
          <w:fldChar w:fldCharType="begin"/>
        </w:r>
        <w:r>
          <w:rPr>
            <w:noProof/>
            <w:webHidden/>
          </w:rPr>
          <w:instrText xml:space="preserve"> PAGEREF _Toc420814827 \h </w:instrText>
        </w:r>
        <w:r>
          <w:rPr>
            <w:noProof/>
            <w:webHidden/>
          </w:rPr>
        </w:r>
        <w:r>
          <w:rPr>
            <w:noProof/>
            <w:webHidden/>
          </w:rPr>
          <w:fldChar w:fldCharType="separate"/>
        </w:r>
        <w:r>
          <w:rPr>
            <w:noProof/>
            <w:webHidden/>
          </w:rPr>
          <w:t>1856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8" w:history="1">
        <w:r w:rsidRPr="002F4868">
          <w:rPr>
            <w:rStyle w:val="a5"/>
            <w:noProof/>
          </w:rPr>
          <w:t>Title: British Journal of Ophthalmology</w:t>
        </w:r>
        <w:r>
          <w:rPr>
            <w:noProof/>
            <w:webHidden/>
          </w:rPr>
          <w:tab/>
        </w:r>
        <w:r>
          <w:rPr>
            <w:noProof/>
            <w:webHidden/>
          </w:rPr>
          <w:fldChar w:fldCharType="begin"/>
        </w:r>
        <w:r>
          <w:rPr>
            <w:noProof/>
            <w:webHidden/>
          </w:rPr>
          <w:instrText xml:space="preserve"> PAGEREF _Toc420814828 \h </w:instrText>
        </w:r>
        <w:r>
          <w:rPr>
            <w:noProof/>
            <w:webHidden/>
          </w:rPr>
        </w:r>
        <w:r>
          <w:rPr>
            <w:noProof/>
            <w:webHidden/>
          </w:rPr>
          <w:fldChar w:fldCharType="separate"/>
        </w:r>
        <w:r>
          <w:rPr>
            <w:noProof/>
            <w:webHidden/>
          </w:rPr>
          <w:t>1860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29" w:history="1">
        <w:r w:rsidRPr="002F4868">
          <w:rPr>
            <w:rStyle w:val="a5"/>
            <w:noProof/>
          </w:rPr>
          <w:t>Title: British Journal for the Philosophy of Science</w:t>
        </w:r>
        <w:r>
          <w:rPr>
            <w:noProof/>
            <w:webHidden/>
          </w:rPr>
          <w:tab/>
        </w:r>
        <w:r>
          <w:rPr>
            <w:noProof/>
            <w:webHidden/>
          </w:rPr>
          <w:fldChar w:fldCharType="begin"/>
        </w:r>
        <w:r>
          <w:rPr>
            <w:noProof/>
            <w:webHidden/>
          </w:rPr>
          <w:instrText xml:space="preserve"> PAGEREF _Toc420814829 \h </w:instrText>
        </w:r>
        <w:r>
          <w:rPr>
            <w:noProof/>
            <w:webHidden/>
          </w:rPr>
        </w:r>
        <w:r>
          <w:rPr>
            <w:noProof/>
            <w:webHidden/>
          </w:rPr>
          <w:fldChar w:fldCharType="separate"/>
        </w:r>
        <w:r>
          <w:rPr>
            <w:noProof/>
            <w:webHidden/>
          </w:rPr>
          <w:t>1865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0" w:history="1">
        <w:r w:rsidRPr="002F4868">
          <w:rPr>
            <w:rStyle w:val="a5"/>
            <w:noProof/>
          </w:rPr>
          <w:t>Title: British Journal of Plastic Surgery</w:t>
        </w:r>
        <w:r>
          <w:rPr>
            <w:noProof/>
            <w:webHidden/>
          </w:rPr>
          <w:tab/>
        </w:r>
        <w:r>
          <w:rPr>
            <w:noProof/>
            <w:webHidden/>
          </w:rPr>
          <w:fldChar w:fldCharType="begin"/>
        </w:r>
        <w:r>
          <w:rPr>
            <w:noProof/>
            <w:webHidden/>
          </w:rPr>
          <w:instrText xml:space="preserve"> PAGEREF _Toc420814830 \h </w:instrText>
        </w:r>
        <w:r>
          <w:rPr>
            <w:noProof/>
            <w:webHidden/>
          </w:rPr>
        </w:r>
        <w:r>
          <w:rPr>
            <w:noProof/>
            <w:webHidden/>
          </w:rPr>
          <w:fldChar w:fldCharType="separate"/>
        </w:r>
        <w:r>
          <w:rPr>
            <w:noProof/>
            <w:webHidden/>
          </w:rPr>
          <w:t>1866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1" w:history="1">
        <w:r w:rsidRPr="002F4868">
          <w:rPr>
            <w:rStyle w:val="a5"/>
            <w:noProof/>
          </w:rPr>
          <w:t>Title: British Journal of Psychiatry</w:t>
        </w:r>
        <w:r>
          <w:rPr>
            <w:noProof/>
            <w:webHidden/>
          </w:rPr>
          <w:tab/>
        </w:r>
        <w:r>
          <w:rPr>
            <w:noProof/>
            <w:webHidden/>
          </w:rPr>
          <w:fldChar w:fldCharType="begin"/>
        </w:r>
        <w:r>
          <w:rPr>
            <w:noProof/>
            <w:webHidden/>
          </w:rPr>
          <w:instrText xml:space="preserve"> PAGEREF _Toc420814831 \h </w:instrText>
        </w:r>
        <w:r>
          <w:rPr>
            <w:noProof/>
            <w:webHidden/>
          </w:rPr>
        </w:r>
        <w:r>
          <w:rPr>
            <w:noProof/>
            <w:webHidden/>
          </w:rPr>
          <w:fldChar w:fldCharType="separate"/>
        </w:r>
        <w:r>
          <w:rPr>
            <w:noProof/>
            <w:webHidden/>
          </w:rPr>
          <w:t>1868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2" w:history="1">
        <w:r w:rsidRPr="002F4868">
          <w:rPr>
            <w:rStyle w:val="a5"/>
            <w:noProof/>
          </w:rPr>
          <w:t>Title: British Journal of Psychology</w:t>
        </w:r>
        <w:r>
          <w:rPr>
            <w:noProof/>
            <w:webHidden/>
          </w:rPr>
          <w:tab/>
        </w:r>
        <w:r>
          <w:rPr>
            <w:noProof/>
            <w:webHidden/>
          </w:rPr>
          <w:fldChar w:fldCharType="begin"/>
        </w:r>
        <w:r>
          <w:rPr>
            <w:noProof/>
            <w:webHidden/>
          </w:rPr>
          <w:instrText xml:space="preserve"> PAGEREF _Toc420814832 \h </w:instrText>
        </w:r>
        <w:r>
          <w:rPr>
            <w:noProof/>
            <w:webHidden/>
          </w:rPr>
        </w:r>
        <w:r>
          <w:rPr>
            <w:noProof/>
            <w:webHidden/>
          </w:rPr>
          <w:fldChar w:fldCharType="separate"/>
        </w:r>
        <w:r>
          <w:rPr>
            <w:noProof/>
            <w:webHidden/>
          </w:rPr>
          <w:t>1873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3" w:history="1">
        <w:r w:rsidRPr="002F4868">
          <w:rPr>
            <w:rStyle w:val="a5"/>
            <w:noProof/>
          </w:rPr>
          <w:t>Title: British Journal of Radiology</w:t>
        </w:r>
        <w:r>
          <w:rPr>
            <w:noProof/>
            <w:webHidden/>
          </w:rPr>
          <w:tab/>
        </w:r>
        <w:r>
          <w:rPr>
            <w:noProof/>
            <w:webHidden/>
          </w:rPr>
          <w:fldChar w:fldCharType="begin"/>
        </w:r>
        <w:r>
          <w:rPr>
            <w:noProof/>
            <w:webHidden/>
          </w:rPr>
          <w:instrText xml:space="preserve"> PAGEREF _Toc420814833 \h </w:instrText>
        </w:r>
        <w:r>
          <w:rPr>
            <w:noProof/>
            <w:webHidden/>
          </w:rPr>
        </w:r>
        <w:r>
          <w:rPr>
            <w:noProof/>
            <w:webHidden/>
          </w:rPr>
          <w:fldChar w:fldCharType="separate"/>
        </w:r>
        <w:r>
          <w:rPr>
            <w:noProof/>
            <w:webHidden/>
          </w:rPr>
          <w:t>1875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4" w:history="1">
        <w:r w:rsidRPr="002F4868">
          <w:rPr>
            <w:rStyle w:val="a5"/>
            <w:noProof/>
          </w:rPr>
          <w:t>Title: British Journal of Rheumatology</w:t>
        </w:r>
        <w:r>
          <w:rPr>
            <w:noProof/>
            <w:webHidden/>
          </w:rPr>
          <w:tab/>
        </w:r>
        <w:r>
          <w:rPr>
            <w:noProof/>
            <w:webHidden/>
          </w:rPr>
          <w:fldChar w:fldCharType="begin"/>
        </w:r>
        <w:r>
          <w:rPr>
            <w:noProof/>
            <w:webHidden/>
          </w:rPr>
          <w:instrText xml:space="preserve"> PAGEREF _Toc420814834 \h </w:instrText>
        </w:r>
        <w:r>
          <w:rPr>
            <w:noProof/>
            <w:webHidden/>
          </w:rPr>
        </w:r>
        <w:r>
          <w:rPr>
            <w:noProof/>
            <w:webHidden/>
          </w:rPr>
          <w:fldChar w:fldCharType="separate"/>
        </w:r>
        <w:r>
          <w:rPr>
            <w:noProof/>
            <w:webHidden/>
          </w:rPr>
          <w:t>1878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5" w:history="1">
        <w:r w:rsidRPr="002F4868">
          <w:rPr>
            <w:rStyle w:val="a5"/>
            <w:noProof/>
          </w:rPr>
          <w:t>Title: British Journal of Sports Medicine</w:t>
        </w:r>
        <w:r>
          <w:rPr>
            <w:noProof/>
            <w:webHidden/>
          </w:rPr>
          <w:tab/>
        </w:r>
        <w:r>
          <w:rPr>
            <w:noProof/>
            <w:webHidden/>
          </w:rPr>
          <w:fldChar w:fldCharType="begin"/>
        </w:r>
        <w:r>
          <w:rPr>
            <w:noProof/>
            <w:webHidden/>
          </w:rPr>
          <w:instrText xml:space="preserve"> PAGEREF _Toc420814835 \h </w:instrText>
        </w:r>
        <w:r>
          <w:rPr>
            <w:noProof/>
            <w:webHidden/>
          </w:rPr>
        </w:r>
        <w:r>
          <w:rPr>
            <w:noProof/>
            <w:webHidden/>
          </w:rPr>
          <w:fldChar w:fldCharType="separate"/>
        </w:r>
        <w:r>
          <w:rPr>
            <w:noProof/>
            <w:webHidden/>
          </w:rPr>
          <w:t>1879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6" w:history="1">
        <w:r w:rsidRPr="002F4868">
          <w:rPr>
            <w:rStyle w:val="a5"/>
            <w:noProof/>
          </w:rPr>
          <w:t>Title: British Journal of Social Psychology</w:t>
        </w:r>
        <w:r>
          <w:rPr>
            <w:noProof/>
            <w:webHidden/>
          </w:rPr>
          <w:tab/>
        </w:r>
        <w:r>
          <w:rPr>
            <w:noProof/>
            <w:webHidden/>
          </w:rPr>
          <w:fldChar w:fldCharType="begin"/>
        </w:r>
        <w:r>
          <w:rPr>
            <w:noProof/>
            <w:webHidden/>
          </w:rPr>
          <w:instrText xml:space="preserve"> PAGEREF _Toc420814836 \h </w:instrText>
        </w:r>
        <w:r>
          <w:rPr>
            <w:noProof/>
            <w:webHidden/>
          </w:rPr>
        </w:r>
        <w:r>
          <w:rPr>
            <w:noProof/>
            <w:webHidden/>
          </w:rPr>
          <w:fldChar w:fldCharType="separate"/>
        </w:r>
        <w:r>
          <w:rPr>
            <w:noProof/>
            <w:webHidden/>
          </w:rPr>
          <w:t>1891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7" w:history="1">
        <w:r w:rsidRPr="002F4868">
          <w:rPr>
            <w:rStyle w:val="a5"/>
            <w:noProof/>
          </w:rPr>
          <w:t>Title: British Journal of Social Work</w:t>
        </w:r>
        <w:r>
          <w:rPr>
            <w:noProof/>
            <w:webHidden/>
          </w:rPr>
          <w:tab/>
        </w:r>
        <w:r>
          <w:rPr>
            <w:noProof/>
            <w:webHidden/>
          </w:rPr>
          <w:fldChar w:fldCharType="begin"/>
        </w:r>
        <w:r>
          <w:rPr>
            <w:noProof/>
            <w:webHidden/>
          </w:rPr>
          <w:instrText xml:space="preserve"> PAGEREF _Toc420814837 \h </w:instrText>
        </w:r>
        <w:r>
          <w:rPr>
            <w:noProof/>
            <w:webHidden/>
          </w:rPr>
        </w:r>
        <w:r>
          <w:rPr>
            <w:noProof/>
            <w:webHidden/>
          </w:rPr>
          <w:fldChar w:fldCharType="separate"/>
        </w:r>
        <w:r>
          <w:rPr>
            <w:noProof/>
            <w:webHidden/>
          </w:rPr>
          <w:t>1892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8" w:history="1">
        <w:r w:rsidRPr="002F4868">
          <w:rPr>
            <w:rStyle w:val="a5"/>
            <w:noProof/>
          </w:rPr>
          <w:t>Title: British Journal of Surgery</w:t>
        </w:r>
        <w:r>
          <w:rPr>
            <w:noProof/>
            <w:webHidden/>
          </w:rPr>
          <w:tab/>
        </w:r>
        <w:r>
          <w:rPr>
            <w:noProof/>
            <w:webHidden/>
          </w:rPr>
          <w:fldChar w:fldCharType="begin"/>
        </w:r>
        <w:r>
          <w:rPr>
            <w:noProof/>
            <w:webHidden/>
          </w:rPr>
          <w:instrText xml:space="preserve"> PAGEREF _Toc420814838 \h </w:instrText>
        </w:r>
        <w:r>
          <w:rPr>
            <w:noProof/>
            <w:webHidden/>
          </w:rPr>
        </w:r>
        <w:r>
          <w:rPr>
            <w:noProof/>
            <w:webHidden/>
          </w:rPr>
          <w:fldChar w:fldCharType="separate"/>
        </w:r>
        <w:r>
          <w:rPr>
            <w:noProof/>
            <w:webHidden/>
          </w:rPr>
          <w:t>1894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39" w:history="1">
        <w:r w:rsidRPr="002F4868">
          <w:rPr>
            <w:rStyle w:val="a5"/>
            <w:noProof/>
          </w:rPr>
          <w:t>Title: British Medical Bulletin</w:t>
        </w:r>
        <w:r>
          <w:rPr>
            <w:noProof/>
            <w:webHidden/>
          </w:rPr>
          <w:tab/>
        </w:r>
        <w:r>
          <w:rPr>
            <w:noProof/>
            <w:webHidden/>
          </w:rPr>
          <w:fldChar w:fldCharType="begin"/>
        </w:r>
        <w:r>
          <w:rPr>
            <w:noProof/>
            <w:webHidden/>
          </w:rPr>
          <w:instrText xml:space="preserve"> PAGEREF _Toc420814839 \h </w:instrText>
        </w:r>
        <w:r>
          <w:rPr>
            <w:noProof/>
            <w:webHidden/>
          </w:rPr>
        </w:r>
        <w:r>
          <w:rPr>
            <w:noProof/>
            <w:webHidden/>
          </w:rPr>
          <w:fldChar w:fldCharType="separate"/>
        </w:r>
        <w:r>
          <w:rPr>
            <w:noProof/>
            <w:webHidden/>
          </w:rPr>
          <w:t>1906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0" w:history="1">
        <w:r w:rsidRPr="002F4868">
          <w:rPr>
            <w:rStyle w:val="a5"/>
            <w:noProof/>
          </w:rPr>
          <w:t>Title: British Medical Journal</w:t>
        </w:r>
        <w:r>
          <w:rPr>
            <w:noProof/>
            <w:webHidden/>
          </w:rPr>
          <w:tab/>
        </w:r>
        <w:r>
          <w:rPr>
            <w:noProof/>
            <w:webHidden/>
          </w:rPr>
          <w:fldChar w:fldCharType="begin"/>
        </w:r>
        <w:r>
          <w:rPr>
            <w:noProof/>
            <w:webHidden/>
          </w:rPr>
          <w:instrText xml:space="preserve"> PAGEREF _Toc420814840 \h </w:instrText>
        </w:r>
        <w:r>
          <w:rPr>
            <w:noProof/>
            <w:webHidden/>
          </w:rPr>
        </w:r>
        <w:r>
          <w:rPr>
            <w:noProof/>
            <w:webHidden/>
          </w:rPr>
          <w:fldChar w:fldCharType="separate"/>
        </w:r>
        <w:r>
          <w:rPr>
            <w:noProof/>
            <w:webHidden/>
          </w:rPr>
          <w:t>1912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1" w:history="1">
        <w:r w:rsidRPr="002F4868">
          <w:rPr>
            <w:rStyle w:val="a5"/>
            <w:noProof/>
          </w:rPr>
          <w:t>Title: Bronte Studies</w:t>
        </w:r>
        <w:r>
          <w:rPr>
            <w:noProof/>
            <w:webHidden/>
          </w:rPr>
          <w:tab/>
        </w:r>
        <w:r>
          <w:rPr>
            <w:noProof/>
            <w:webHidden/>
          </w:rPr>
          <w:fldChar w:fldCharType="begin"/>
        </w:r>
        <w:r>
          <w:rPr>
            <w:noProof/>
            <w:webHidden/>
          </w:rPr>
          <w:instrText xml:space="preserve"> PAGEREF _Toc420814841 \h </w:instrText>
        </w:r>
        <w:r>
          <w:rPr>
            <w:noProof/>
            <w:webHidden/>
          </w:rPr>
        </w:r>
        <w:r>
          <w:rPr>
            <w:noProof/>
            <w:webHidden/>
          </w:rPr>
          <w:fldChar w:fldCharType="separate"/>
        </w:r>
        <w:r>
          <w:rPr>
            <w:noProof/>
            <w:webHidden/>
          </w:rPr>
          <w:t>1972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2" w:history="1">
        <w:r w:rsidRPr="002F4868">
          <w:rPr>
            <w:rStyle w:val="a5"/>
            <w:noProof/>
          </w:rPr>
          <w:t>Title: Buffalo Law Review</w:t>
        </w:r>
        <w:r>
          <w:rPr>
            <w:noProof/>
            <w:webHidden/>
          </w:rPr>
          <w:tab/>
        </w:r>
        <w:r>
          <w:rPr>
            <w:noProof/>
            <w:webHidden/>
          </w:rPr>
          <w:fldChar w:fldCharType="begin"/>
        </w:r>
        <w:r>
          <w:rPr>
            <w:noProof/>
            <w:webHidden/>
          </w:rPr>
          <w:instrText xml:space="preserve"> PAGEREF _Toc420814842 \h </w:instrText>
        </w:r>
        <w:r>
          <w:rPr>
            <w:noProof/>
            <w:webHidden/>
          </w:rPr>
        </w:r>
        <w:r>
          <w:rPr>
            <w:noProof/>
            <w:webHidden/>
          </w:rPr>
          <w:fldChar w:fldCharType="separate"/>
        </w:r>
        <w:r>
          <w:rPr>
            <w:noProof/>
            <w:webHidden/>
          </w:rPr>
          <w:t>1973</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3" w:history="1">
        <w:r w:rsidRPr="002F4868">
          <w:rPr>
            <w:rStyle w:val="a5"/>
            <w:noProof/>
          </w:rPr>
          <w:t>Title: Building an Information Society for All. Proceedings of the International Conference on Libraries, Information and Society, ICoLIS 2007</w:t>
        </w:r>
        <w:r>
          <w:rPr>
            <w:noProof/>
            <w:webHidden/>
          </w:rPr>
          <w:tab/>
        </w:r>
        <w:r>
          <w:rPr>
            <w:noProof/>
            <w:webHidden/>
          </w:rPr>
          <w:fldChar w:fldCharType="begin"/>
        </w:r>
        <w:r>
          <w:rPr>
            <w:noProof/>
            <w:webHidden/>
          </w:rPr>
          <w:instrText xml:space="preserve"> PAGEREF _Toc420814843 \h </w:instrText>
        </w:r>
        <w:r>
          <w:rPr>
            <w:noProof/>
            <w:webHidden/>
          </w:rPr>
        </w:r>
        <w:r>
          <w:rPr>
            <w:noProof/>
            <w:webHidden/>
          </w:rPr>
          <w:fldChar w:fldCharType="separate"/>
        </w:r>
        <w:r>
          <w:rPr>
            <w:noProof/>
            <w:webHidden/>
          </w:rPr>
          <w:t>1974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4" w:history="1">
        <w:r w:rsidRPr="002F4868">
          <w:rPr>
            <w:rStyle w:val="a5"/>
            <w:noProof/>
          </w:rPr>
          <w:t>Title: Building Research &amp; Information</w:t>
        </w:r>
        <w:r>
          <w:rPr>
            <w:noProof/>
            <w:webHidden/>
          </w:rPr>
          <w:tab/>
        </w:r>
        <w:r>
          <w:rPr>
            <w:noProof/>
            <w:webHidden/>
          </w:rPr>
          <w:fldChar w:fldCharType="begin"/>
        </w:r>
        <w:r>
          <w:rPr>
            <w:noProof/>
            <w:webHidden/>
          </w:rPr>
          <w:instrText xml:space="preserve"> PAGEREF _Toc420814844 \h </w:instrText>
        </w:r>
        <w:r>
          <w:rPr>
            <w:noProof/>
            <w:webHidden/>
          </w:rPr>
        </w:r>
        <w:r>
          <w:rPr>
            <w:noProof/>
            <w:webHidden/>
          </w:rPr>
          <w:fldChar w:fldCharType="separate"/>
        </w:r>
        <w:r>
          <w:rPr>
            <w:noProof/>
            <w:webHidden/>
          </w:rPr>
          <w:t>1977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5" w:history="1">
        <w:r w:rsidRPr="002F4868">
          <w:rPr>
            <w:rStyle w:val="a5"/>
            <w:noProof/>
          </w:rPr>
          <w:t>Title: Bulgarian Historical Review-Revue Bulgare d Histoire</w:t>
        </w:r>
        <w:r>
          <w:rPr>
            <w:noProof/>
            <w:webHidden/>
          </w:rPr>
          <w:tab/>
        </w:r>
        <w:r>
          <w:rPr>
            <w:noProof/>
            <w:webHidden/>
          </w:rPr>
          <w:fldChar w:fldCharType="begin"/>
        </w:r>
        <w:r>
          <w:rPr>
            <w:noProof/>
            <w:webHidden/>
          </w:rPr>
          <w:instrText xml:space="preserve"> PAGEREF _Toc420814845 \h </w:instrText>
        </w:r>
        <w:r>
          <w:rPr>
            <w:noProof/>
            <w:webHidden/>
          </w:rPr>
        </w:r>
        <w:r>
          <w:rPr>
            <w:noProof/>
            <w:webHidden/>
          </w:rPr>
          <w:fldChar w:fldCharType="separate"/>
        </w:r>
        <w:r>
          <w:rPr>
            <w:noProof/>
            <w:webHidden/>
          </w:rPr>
          <w:t>1979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6" w:history="1">
        <w:r w:rsidRPr="002F4868">
          <w:rPr>
            <w:rStyle w:val="a5"/>
            <w:noProof/>
            <w:lang w:val="fr-FR"/>
          </w:rPr>
          <w:t>Title: Bulletin de l Academie Nationale de Medecine</w:t>
        </w:r>
        <w:r>
          <w:rPr>
            <w:noProof/>
            <w:webHidden/>
          </w:rPr>
          <w:tab/>
        </w:r>
        <w:r>
          <w:rPr>
            <w:noProof/>
            <w:webHidden/>
          </w:rPr>
          <w:fldChar w:fldCharType="begin"/>
        </w:r>
        <w:r>
          <w:rPr>
            <w:noProof/>
            <w:webHidden/>
          </w:rPr>
          <w:instrText xml:space="preserve"> PAGEREF _Toc420814846 \h </w:instrText>
        </w:r>
        <w:r>
          <w:rPr>
            <w:noProof/>
            <w:webHidden/>
          </w:rPr>
        </w:r>
        <w:r>
          <w:rPr>
            <w:noProof/>
            <w:webHidden/>
          </w:rPr>
          <w:fldChar w:fldCharType="separate"/>
        </w:r>
        <w:r>
          <w:rPr>
            <w:noProof/>
            <w:webHidden/>
          </w:rPr>
          <w:t>1980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7" w:history="1">
        <w:r w:rsidRPr="002F4868">
          <w:rPr>
            <w:rStyle w:val="a5"/>
            <w:noProof/>
          </w:rPr>
          <w:t>Title: Bulletin of the Academy of Military Medical Sciences</w:t>
        </w:r>
        <w:r>
          <w:rPr>
            <w:noProof/>
            <w:webHidden/>
          </w:rPr>
          <w:tab/>
        </w:r>
        <w:r>
          <w:rPr>
            <w:noProof/>
            <w:webHidden/>
          </w:rPr>
          <w:fldChar w:fldCharType="begin"/>
        </w:r>
        <w:r>
          <w:rPr>
            <w:noProof/>
            <w:webHidden/>
          </w:rPr>
          <w:instrText xml:space="preserve"> PAGEREF _Toc420814847 \h </w:instrText>
        </w:r>
        <w:r>
          <w:rPr>
            <w:noProof/>
            <w:webHidden/>
          </w:rPr>
        </w:r>
        <w:r>
          <w:rPr>
            <w:noProof/>
            <w:webHidden/>
          </w:rPr>
          <w:fldChar w:fldCharType="separate"/>
        </w:r>
        <w:r>
          <w:rPr>
            <w:noProof/>
            <w:webHidden/>
          </w:rPr>
          <w:t>1981</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8" w:history="1">
        <w:r w:rsidRPr="002F4868">
          <w:rPr>
            <w:rStyle w:val="a5"/>
            <w:noProof/>
          </w:rPr>
          <w:t>Title: Bulletin of the American Meteorological Society</w:t>
        </w:r>
        <w:r>
          <w:rPr>
            <w:noProof/>
            <w:webHidden/>
          </w:rPr>
          <w:tab/>
        </w:r>
        <w:r>
          <w:rPr>
            <w:noProof/>
            <w:webHidden/>
          </w:rPr>
          <w:fldChar w:fldCharType="begin"/>
        </w:r>
        <w:r>
          <w:rPr>
            <w:noProof/>
            <w:webHidden/>
          </w:rPr>
          <w:instrText xml:space="preserve"> PAGEREF _Toc420814848 \h </w:instrText>
        </w:r>
        <w:r>
          <w:rPr>
            <w:noProof/>
            <w:webHidden/>
          </w:rPr>
        </w:r>
        <w:r>
          <w:rPr>
            <w:noProof/>
            <w:webHidden/>
          </w:rPr>
          <w:fldChar w:fldCharType="separate"/>
        </w:r>
        <w:r>
          <w:rPr>
            <w:noProof/>
            <w:webHidden/>
          </w:rPr>
          <w:t>1982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49" w:history="1">
        <w:r w:rsidRPr="002F4868">
          <w:rPr>
            <w:rStyle w:val="a5"/>
            <w:noProof/>
          </w:rPr>
          <w:t>Title: Bulletin of the Belgian Mathematical Society-Simon Stevin</w:t>
        </w:r>
        <w:r>
          <w:rPr>
            <w:noProof/>
            <w:webHidden/>
          </w:rPr>
          <w:tab/>
        </w:r>
        <w:r>
          <w:rPr>
            <w:noProof/>
            <w:webHidden/>
          </w:rPr>
          <w:fldChar w:fldCharType="begin"/>
        </w:r>
        <w:r>
          <w:rPr>
            <w:noProof/>
            <w:webHidden/>
          </w:rPr>
          <w:instrText xml:space="preserve"> PAGEREF _Toc420814849 \h </w:instrText>
        </w:r>
        <w:r>
          <w:rPr>
            <w:noProof/>
            <w:webHidden/>
          </w:rPr>
        </w:r>
        <w:r>
          <w:rPr>
            <w:noProof/>
            <w:webHidden/>
          </w:rPr>
          <w:fldChar w:fldCharType="separate"/>
        </w:r>
        <w:r>
          <w:rPr>
            <w:noProof/>
            <w:webHidden/>
          </w:rPr>
          <w:t>1984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0" w:history="1">
        <w:r w:rsidRPr="002F4868">
          <w:rPr>
            <w:rStyle w:val="a5"/>
            <w:noProof/>
          </w:rPr>
          <w:t>Title: Bulletin du Cancer</w:t>
        </w:r>
        <w:r>
          <w:rPr>
            <w:noProof/>
            <w:webHidden/>
          </w:rPr>
          <w:tab/>
        </w:r>
        <w:r>
          <w:rPr>
            <w:noProof/>
            <w:webHidden/>
          </w:rPr>
          <w:fldChar w:fldCharType="begin"/>
        </w:r>
        <w:r>
          <w:rPr>
            <w:noProof/>
            <w:webHidden/>
          </w:rPr>
          <w:instrText xml:space="preserve"> PAGEREF _Toc420814850 \h </w:instrText>
        </w:r>
        <w:r>
          <w:rPr>
            <w:noProof/>
            <w:webHidden/>
          </w:rPr>
        </w:r>
        <w:r>
          <w:rPr>
            <w:noProof/>
            <w:webHidden/>
          </w:rPr>
          <w:fldChar w:fldCharType="separate"/>
        </w:r>
        <w:r>
          <w:rPr>
            <w:noProof/>
            <w:webHidden/>
          </w:rPr>
          <w:t>1985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1" w:history="1">
        <w:r w:rsidRPr="002F4868">
          <w:rPr>
            <w:rStyle w:val="a5"/>
            <w:noProof/>
          </w:rPr>
          <w:t>Title: Bulletin of the International Statistical Institute</w:t>
        </w:r>
        <w:r>
          <w:rPr>
            <w:noProof/>
            <w:webHidden/>
          </w:rPr>
          <w:tab/>
        </w:r>
        <w:r>
          <w:rPr>
            <w:noProof/>
            <w:webHidden/>
          </w:rPr>
          <w:fldChar w:fldCharType="begin"/>
        </w:r>
        <w:r>
          <w:rPr>
            <w:noProof/>
            <w:webHidden/>
          </w:rPr>
          <w:instrText xml:space="preserve"> PAGEREF _Toc420814851 \h </w:instrText>
        </w:r>
        <w:r>
          <w:rPr>
            <w:noProof/>
            <w:webHidden/>
          </w:rPr>
        </w:r>
        <w:r>
          <w:rPr>
            <w:noProof/>
            <w:webHidden/>
          </w:rPr>
          <w:fldChar w:fldCharType="separate"/>
        </w:r>
        <w:r>
          <w:rPr>
            <w:noProof/>
            <w:webHidden/>
          </w:rPr>
          <w:t>1986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2" w:history="1">
        <w:r w:rsidRPr="002F4868">
          <w:rPr>
            <w:rStyle w:val="a5"/>
            <w:noProof/>
          </w:rPr>
          <w:t>Title: Bulletin of Marine Science</w:t>
        </w:r>
        <w:r>
          <w:rPr>
            <w:noProof/>
            <w:webHidden/>
          </w:rPr>
          <w:tab/>
        </w:r>
        <w:r>
          <w:rPr>
            <w:noProof/>
            <w:webHidden/>
          </w:rPr>
          <w:fldChar w:fldCharType="begin"/>
        </w:r>
        <w:r>
          <w:rPr>
            <w:noProof/>
            <w:webHidden/>
          </w:rPr>
          <w:instrText xml:space="preserve"> PAGEREF _Toc420814852 \h </w:instrText>
        </w:r>
        <w:r>
          <w:rPr>
            <w:noProof/>
            <w:webHidden/>
          </w:rPr>
        </w:r>
        <w:r>
          <w:rPr>
            <w:noProof/>
            <w:webHidden/>
          </w:rPr>
          <w:fldChar w:fldCharType="separate"/>
        </w:r>
        <w:r>
          <w:rPr>
            <w:noProof/>
            <w:webHidden/>
          </w:rPr>
          <w:t>1987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3" w:history="1">
        <w:r w:rsidRPr="002F4868">
          <w:rPr>
            <w:rStyle w:val="a5"/>
            <w:noProof/>
          </w:rPr>
          <w:t>Title: Bulletin of Mathematical Biology</w:t>
        </w:r>
        <w:r>
          <w:rPr>
            <w:noProof/>
            <w:webHidden/>
          </w:rPr>
          <w:tab/>
        </w:r>
        <w:r>
          <w:rPr>
            <w:noProof/>
            <w:webHidden/>
          </w:rPr>
          <w:fldChar w:fldCharType="begin"/>
        </w:r>
        <w:r>
          <w:rPr>
            <w:noProof/>
            <w:webHidden/>
          </w:rPr>
          <w:instrText xml:space="preserve"> PAGEREF _Toc420814853 \h </w:instrText>
        </w:r>
        <w:r>
          <w:rPr>
            <w:noProof/>
            <w:webHidden/>
          </w:rPr>
        </w:r>
        <w:r>
          <w:rPr>
            <w:noProof/>
            <w:webHidden/>
          </w:rPr>
          <w:fldChar w:fldCharType="separate"/>
        </w:r>
        <w:r>
          <w:rPr>
            <w:noProof/>
            <w:webHidden/>
          </w:rPr>
          <w:t>1988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4" w:history="1">
        <w:r w:rsidRPr="002F4868">
          <w:rPr>
            <w:rStyle w:val="a5"/>
            <w:noProof/>
          </w:rPr>
          <w:t>Title: Bulletin of the Medical Library Association</w:t>
        </w:r>
        <w:r>
          <w:rPr>
            <w:noProof/>
            <w:webHidden/>
          </w:rPr>
          <w:tab/>
        </w:r>
        <w:r>
          <w:rPr>
            <w:noProof/>
            <w:webHidden/>
          </w:rPr>
          <w:fldChar w:fldCharType="begin"/>
        </w:r>
        <w:r>
          <w:rPr>
            <w:noProof/>
            <w:webHidden/>
          </w:rPr>
          <w:instrText xml:space="preserve"> PAGEREF _Toc420814854 \h </w:instrText>
        </w:r>
        <w:r>
          <w:rPr>
            <w:noProof/>
            <w:webHidden/>
          </w:rPr>
        </w:r>
        <w:r>
          <w:rPr>
            <w:noProof/>
            <w:webHidden/>
          </w:rPr>
          <w:fldChar w:fldCharType="separate"/>
        </w:r>
        <w:r>
          <w:rPr>
            <w:noProof/>
            <w:webHidden/>
          </w:rPr>
          <w:t>1989</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5" w:history="1">
        <w:r w:rsidRPr="002F4868">
          <w:rPr>
            <w:rStyle w:val="a5"/>
            <w:noProof/>
          </w:rPr>
          <w:t>Title: Bulletin of National Natural Science Foundation of China</w:t>
        </w:r>
        <w:r>
          <w:rPr>
            <w:noProof/>
            <w:webHidden/>
          </w:rPr>
          <w:tab/>
        </w:r>
        <w:r>
          <w:rPr>
            <w:noProof/>
            <w:webHidden/>
          </w:rPr>
          <w:fldChar w:fldCharType="begin"/>
        </w:r>
        <w:r>
          <w:rPr>
            <w:noProof/>
            <w:webHidden/>
          </w:rPr>
          <w:instrText xml:space="preserve"> PAGEREF _Toc420814855 \h </w:instrText>
        </w:r>
        <w:r>
          <w:rPr>
            <w:noProof/>
            <w:webHidden/>
          </w:rPr>
        </w:r>
        <w:r>
          <w:rPr>
            <w:noProof/>
            <w:webHidden/>
          </w:rPr>
          <w:fldChar w:fldCharType="separate"/>
        </w:r>
        <w:r>
          <w:rPr>
            <w:noProof/>
            <w:webHidden/>
          </w:rPr>
          <w:t>2008</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6" w:history="1">
        <w:r w:rsidRPr="002F4868">
          <w:rPr>
            <w:rStyle w:val="a5"/>
            <w:noProof/>
          </w:rPr>
          <w:t>Title: Bulletin of the Polish Academy of Sciences-Technical Sciences</w:t>
        </w:r>
        <w:r>
          <w:rPr>
            <w:noProof/>
            <w:webHidden/>
          </w:rPr>
          <w:tab/>
        </w:r>
        <w:r>
          <w:rPr>
            <w:noProof/>
            <w:webHidden/>
          </w:rPr>
          <w:fldChar w:fldCharType="begin"/>
        </w:r>
        <w:r>
          <w:rPr>
            <w:noProof/>
            <w:webHidden/>
          </w:rPr>
          <w:instrText xml:space="preserve"> PAGEREF _Toc420814856 \h </w:instrText>
        </w:r>
        <w:r>
          <w:rPr>
            <w:noProof/>
            <w:webHidden/>
          </w:rPr>
        </w:r>
        <w:r>
          <w:rPr>
            <w:noProof/>
            <w:webHidden/>
          </w:rPr>
          <w:fldChar w:fldCharType="separate"/>
        </w:r>
        <w:r>
          <w:rPr>
            <w:noProof/>
            <w:webHidden/>
          </w:rPr>
          <w:t>2010</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7" w:history="1">
        <w:r w:rsidRPr="002F4868">
          <w:rPr>
            <w:rStyle w:val="a5"/>
            <w:noProof/>
          </w:rPr>
          <w:t>Title: Bulletin of the World Health Organization</w:t>
        </w:r>
        <w:r>
          <w:rPr>
            <w:noProof/>
            <w:webHidden/>
          </w:rPr>
          <w:tab/>
        </w:r>
        <w:r>
          <w:rPr>
            <w:noProof/>
            <w:webHidden/>
          </w:rPr>
          <w:fldChar w:fldCharType="begin"/>
        </w:r>
        <w:r>
          <w:rPr>
            <w:noProof/>
            <w:webHidden/>
          </w:rPr>
          <w:instrText xml:space="preserve"> PAGEREF _Toc420814857 \h </w:instrText>
        </w:r>
        <w:r>
          <w:rPr>
            <w:noProof/>
            <w:webHidden/>
          </w:rPr>
        </w:r>
        <w:r>
          <w:rPr>
            <w:noProof/>
            <w:webHidden/>
          </w:rPr>
          <w:fldChar w:fldCharType="separate"/>
        </w:r>
        <w:r>
          <w:rPr>
            <w:noProof/>
            <w:webHidden/>
          </w:rPr>
          <w:t>2012</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8" w:history="1">
        <w:r w:rsidRPr="002F4868">
          <w:rPr>
            <w:rStyle w:val="a5"/>
            <w:noProof/>
          </w:rPr>
          <w:t>Title: Bureaucrat</w:t>
        </w:r>
        <w:r>
          <w:rPr>
            <w:noProof/>
            <w:webHidden/>
          </w:rPr>
          <w:tab/>
        </w:r>
        <w:r>
          <w:rPr>
            <w:noProof/>
            <w:webHidden/>
          </w:rPr>
          <w:fldChar w:fldCharType="begin"/>
        </w:r>
        <w:r>
          <w:rPr>
            <w:noProof/>
            <w:webHidden/>
          </w:rPr>
          <w:instrText xml:space="preserve"> PAGEREF _Toc420814858 \h </w:instrText>
        </w:r>
        <w:r>
          <w:rPr>
            <w:noProof/>
            <w:webHidden/>
          </w:rPr>
        </w:r>
        <w:r>
          <w:rPr>
            <w:noProof/>
            <w:webHidden/>
          </w:rPr>
          <w:fldChar w:fldCharType="separate"/>
        </w:r>
        <w:r>
          <w:rPr>
            <w:noProof/>
            <w:webHidden/>
          </w:rPr>
          <w:t>2014</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59" w:history="1">
        <w:r w:rsidRPr="002F4868">
          <w:rPr>
            <w:rStyle w:val="a5"/>
            <w:noProof/>
          </w:rPr>
          <w:t>Title: Burns</w:t>
        </w:r>
        <w:r>
          <w:rPr>
            <w:noProof/>
            <w:webHidden/>
          </w:rPr>
          <w:tab/>
        </w:r>
        <w:r>
          <w:rPr>
            <w:noProof/>
            <w:webHidden/>
          </w:rPr>
          <w:fldChar w:fldCharType="begin"/>
        </w:r>
        <w:r>
          <w:rPr>
            <w:noProof/>
            <w:webHidden/>
          </w:rPr>
          <w:instrText xml:space="preserve"> PAGEREF _Toc420814859 \h </w:instrText>
        </w:r>
        <w:r>
          <w:rPr>
            <w:noProof/>
            <w:webHidden/>
          </w:rPr>
        </w:r>
        <w:r>
          <w:rPr>
            <w:noProof/>
            <w:webHidden/>
          </w:rPr>
          <w:fldChar w:fldCharType="separate"/>
        </w:r>
        <w:r>
          <w:rPr>
            <w:noProof/>
            <w:webHidden/>
          </w:rPr>
          <w:t>2015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60" w:history="1">
        <w:r w:rsidRPr="002F4868">
          <w:rPr>
            <w:rStyle w:val="a5"/>
            <w:noProof/>
          </w:rPr>
          <w:t>Title: Business Ethics-A European Review</w:t>
        </w:r>
        <w:r>
          <w:rPr>
            <w:noProof/>
            <w:webHidden/>
          </w:rPr>
          <w:tab/>
        </w:r>
        <w:r>
          <w:rPr>
            <w:noProof/>
            <w:webHidden/>
          </w:rPr>
          <w:fldChar w:fldCharType="begin"/>
        </w:r>
        <w:r>
          <w:rPr>
            <w:noProof/>
            <w:webHidden/>
          </w:rPr>
          <w:instrText xml:space="preserve"> PAGEREF _Toc420814860 \h </w:instrText>
        </w:r>
        <w:r>
          <w:rPr>
            <w:noProof/>
            <w:webHidden/>
          </w:rPr>
        </w:r>
        <w:r>
          <w:rPr>
            <w:noProof/>
            <w:webHidden/>
          </w:rPr>
          <w:fldChar w:fldCharType="separate"/>
        </w:r>
        <w:r>
          <w:rPr>
            <w:noProof/>
            <w:webHidden/>
          </w:rPr>
          <w:t>2025</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61" w:history="1">
        <w:r w:rsidRPr="002F4868">
          <w:rPr>
            <w:rStyle w:val="a5"/>
            <w:noProof/>
          </w:rPr>
          <w:t>Title: Business History</w:t>
        </w:r>
        <w:r>
          <w:rPr>
            <w:noProof/>
            <w:webHidden/>
          </w:rPr>
          <w:tab/>
        </w:r>
        <w:r>
          <w:rPr>
            <w:noProof/>
            <w:webHidden/>
          </w:rPr>
          <w:fldChar w:fldCharType="begin"/>
        </w:r>
        <w:r>
          <w:rPr>
            <w:noProof/>
            <w:webHidden/>
          </w:rPr>
          <w:instrText xml:space="preserve"> PAGEREF _Toc420814861 \h </w:instrText>
        </w:r>
        <w:r>
          <w:rPr>
            <w:noProof/>
            <w:webHidden/>
          </w:rPr>
        </w:r>
        <w:r>
          <w:rPr>
            <w:noProof/>
            <w:webHidden/>
          </w:rPr>
          <w:fldChar w:fldCharType="separate"/>
        </w:r>
        <w:r>
          <w:rPr>
            <w:noProof/>
            <w:webHidden/>
          </w:rPr>
          <w:t>2026</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62" w:history="1">
        <w:r w:rsidRPr="002F4868">
          <w:rPr>
            <w:rStyle w:val="a5"/>
            <w:noProof/>
          </w:rPr>
          <w:t>Title: Business Horizons</w:t>
        </w:r>
        <w:r>
          <w:rPr>
            <w:noProof/>
            <w:webHidden/>
          </w:rPr>
          <w:tab/>
        </w:r>
        <w:r>
          <w:rPr>
            <w:noProof/>
            <w:webHidden/>
          </w:rPr>
          <w:fldChar w:fldCharType="begin"/>
        </w:r>
        <w:r>
          <w:rPr>
            <w:noProof/>
            <w:webHidden/>
          </w:rPr>
          <w:instrText xml:space="preserve"> PAGEREF _Toc420814862 \h </w:instrText>
        </w:r>
        <w:r>
          <w:rPr>
            <w:noProof/>
            <w:webHidden/>
          </w:rPr>
        </w:r>
        <w:r>
          <w:rPr>
            <w:noProof/>
            <w:webHidden/>
          </w:rPr>
          <w:fldChar w:fldCharType="separate"/>
        </w:r>
        <w:r>
          <w:rPr>
            <w:noProof/>
            <w:webHidden/>
          </w:rPr>
          <w:t>2027</w:t>
        </w:r>
        <w:r>
          <w:rPr>
            <w:noProof/>
            <w:webHidden/>
          </w:rPr>
          <w:fldChar w:fldCharType="end"/>
        </w:r>
      </w:hyperlink>
    </w:p>
    <w:p w:rsidR="004F2BF8" w:rsidRDefault="004F2BF8">
      <w:pPr>
        <w:pStyle w:val="11"/>
        <w:tabs>
          <w:tab w:val="right" w:leader="dot" w:pos="8494"/>
        </w:tabs>
        <w:rPr>
          <w:rFonts w:asciiTheme="minorHAnsi" w:eastAsiaTheme="minorEastAsia" w:hAnsiTheme="minorHAnsi" w:cstheme="minorBidi"/>
          <w:noProof/>
          <w:szCs w:val="22"/>
        </w:rPr>
      </w:pPr>
      <w:hyperlink w:anchor="_Toc420814863" w:history="1">
        <w:r w:rsidRPr="002F4868">
          <w:rPr>
            <w:rStyle w:val="a5"/>
            <w:noProof/>
          </w:rPr>
          <w:t>Title: Business and Society</w:t>
        </w:r>
        <w:r>
          <w:rPr>
            <w:noProof/>
            <w:webHidden/>
          </w:rPr>
          <w:tab/>
        </w:r>
        <w:r>
          <w:rPr>
            <w:noProof/>
            <w:webHidden/>
          </w:rPr>
          <w:fldChar w:fldCharType="begin"/>
        </w:r>
        <w:r>
          <w:rPr>
            <w:noProof/>
            <w:webHidden/>
          </w:rPr>
          <w:instrText xml:space="preserve"> PAGEREF _Toc420814863 \h </w:instrText>
        </w:r>
        <w:r>
          <w:rPr>
            <w:noProof/>
            <w:webHidden/>
          </w:rPr>
        </w:r>
        <w:r>
          <w:rPr>
            <w:noProof/>
            <w:webHidden/>
          </w:rPr>
          <w:fldChar w:fldCharType="separate"/>
        </w:r>
        <w:r>
          <w:rPr>
            <w:noProof/>
            <w:webHidden/>
          </w:rPr>
          <w:t>2029</w:t>
        </w:r>
        <w:r>
          <w:rPr>
            <w:noProof/>
            <w:webHidden/>
          </w:rPr>
          <w:fldChar w:fldCharType="end"/>
        </w:r>
      </w:hyperlink>
    </w:p>
    <w:p w:rsidR="00F31CE5" w:rsidRPr="001A3D2B" w:rsidRDefault="004F2BF8" w:rsidP="003474F2">
      <w:pPr>
        <w:pStyle w:val="a3"/>
        <w:sectPr w:rsidR="00F31CE5" w:rsidRPr="001A3D2B">
          <w:type w:val="nextColumn"/>
          <w:pgSz w:w="11906" w:h="16838"/>
          <w:pgMar w:top="1418" w:right="1701" w:bottom="1418" w:left="1701" w:header="851" w:footer="992" w:gutter="0"/>
          <w:cols w:space="425"/>
          <w:docGrid w:type="lines" w:linePitch="360"/>
        </w:sectPr>
      </w:pPr>
      <w:r>
        <w:rPr>
          <w:kern w:val="2"/>
          <w:szCs w:val="24"/>
        </w:rPr>
        <w:fldChar w:fldCharType="end"/>
      </w:r>
      <w:bookmarkStart w:id="0" w:name="_GoBack"/>
      <w:bookmarkEnd w:id="0"/>
    </w:p>
    <w:p w:rsidR="003474F2" w:rsidRPr="001A3D2B" w:rsidRDefault="003474F2" w:rsidP="003474F2">
      <w:pPr>
        <w:pStyle w:val="1"/>
        <w:rPr>
          <w:lang w:val="de-DE"/>
        </w:rPr>
      </w:pPr>
      <w:bookmarkStart w:id="1" w:name="_Toc81215566"/>
      <w:bookmarkStart w:id="2" w:name="_Toc47758474"/>
      <w:bookmarkStart w:id="3" w:name="_Toc38726761"/>
      <w:bookmarkStart w:id="4" w:name="_Toc43634513"/>
      <w:bookmarkStart w:id="5" w:name="_Toc490687558"/>
      <w:bookmarkStart w:id="6" w:name="_Toc492777801"/>
      <w:bookmarkStart w:id="7" w:name="_Toc30750562"/>
      <w:bookmarkStart w:id="8" w:name="_Toc30748002"/>
      <w:bookmarkStart w:id="9" w:name="_Toc30179795"/>
      <w:bookmarkStart w:id="10" w:name="_Toc420814226"/>
      <w:r w:rsidRPr="001A3D2B">
        <w:rPr>
          <w:lang w:val="de-DE"/>
        </w:rPr>
        <w:lastRenderedPageBreak/>
        <w:t>Title: AAA-Arbeiten aus Anglistik und Amerikanistik</w:t>
      </w:r>
      <w:bookmarkEnd w:id="1"/>
      <w:bookmarkEnd w:id="10"/>
    </w:p>
    <w:p w:rsidR="003474F2" w:rsidRPr="001A3D2B" w:rsidRDefault="003474F2" w:rsidP="003474F2">
      <w:pPr>
        <w:pStyle w:val="12"/>
      </w:pPr>
      <w:r w:rsidRPr="001A3D2B">
        <w:rPr>
          <w:lang w:val="de-DE"/>
        </w:rPr>
        <w:t>Full Journal Title: AAA-Arbeiten aus Anglistik und Amerikanistik</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0171-5410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Bernhart, W.</w:t>
      </w:r>
      <w:r w:rsidR="005853A9">
        <w:t xml:space="preserve"> and </w:t>
      </w:r>
      <w:r w:rsidRPr="001A3D2B">
        <w:t>Zach, W. (1984), In honor</w:t>
      </w:r>
      <w:r w:rsidR="00427468">
        <w:t xml:space="preserve"> of </w:t>
      </w:r>
      <w:r w:rsidRPr="001A3D2B">
        <w:t>Stanzel, Franz, K. 60th birthday - a bibliography</w:t>
      </w:r>
      <w:r w:rsidR="00427468">
        <w:t xml:space="preserve"> of </w:t>
      </w:r>
      <w:r w:rsidRPr="001A3D2B">
        <w:t>his works</w:t>
      </w:r>
      <w:r w:rsidR="005853A9">
        <w:t xml:space="preserve"> and </w:t>
      </w:r>
      <w:r w:rsidRPr="001A3D2B">
        <w:t>works quoting him compiled from</w:t>
      </w:r>
      <w:r w:rsidR="003A1917">
        <w:t xml:space="preserve"> the </w:t>
      </w:r>
      <w:r w:rsidRPr="001A3D2B">
        <w:t>Arts</w:t>
      </w:r>
      <w:r w:rsidR="005853A9">
        <w:t xml:space="preserve"> and </w:t>
      </w:r>
      <w:r w:rsidRPr="001A3D2B">
        <w:t xml:space="preserve">Humanities Citation Index. </w:t>
      </w:r>
      <w:r w:rsidRPr="001A3D2B">
        <w:rPr>
          <w:i/>
          <w:iCs/>
        </w:rPr>
        <w:t>AAA-Arbeiten aus Anglistik und Amerikanistik</w:t>
      </w:r>
      <w:r w:rsidRPr="001A3D2B">
        <w:t xml:space="preserve">, </w:t>
      </w:r>
      <w:r w:rsidRPr="001A3D2B">
        <w:rPr>
          <w:b/>
          <w:bCs/>
        </w:rPr>
        <w:t>9</w:t>
      </w:r>
      <w:r w:rsidRPr="001A3D2B">
        <w:t xml:space="preserve"> (1), 3-21.</w:t>
      </w:r>
    </w:p>
    <w:p w:rsidR="00AD6D0B" w:rsidRPr="00F219CA" w:rsidRDefault="00AD6D0B" w:rsidP="00AD6D0B">
      <w:pPr>
        <w:pStyle w:val="1"/>
      </w:pPr>
      <w:r w:rsidRPr="00F219CA">
        <w:br w:type="page"/>
      </w:r>
      <w:bookmarkStart w:id="11" w:name="_Toc256336123"/>
      <w:bookmarkStart w:id="12" w:name="_Toc420814227"/>
      <w:r w:rsidRPr="00F219CA">
        <w:lastRenderedPageBreak/>
        <w:t>Title: Abacus-A Journal</w:t>
      </w:r>
      <w:r w:rsidR="00427468">
        <w:t xml:space="preserve"> of </w:t>
      </w:r>
      <w:r w:rsidRPr="00F219CA">
        <w:t>Accounting</w:t>
      </w:r>
      <w:r w:rsidR="005853A9">
        <w:t xml:space="preserve"> and </w:t>
      </w:r>
      <w:r w:rsidRPr="00F219CA">
        <w:t>Business Studies</w:t>
      </w:r>
      <w:bookmarkEnd w:id="11"/>
      <w:bookmarkEnd w:id="12"/>
    </w:p>
    <w:p w:rsidR="00AD6D0B" w:rsidRPr="00F219CA" w:rsidRDefault="00AD6D0B" w:rsidP="00AD6D0B">
      <w:pPr>
        <w:pStyle w:val="12"/>
      </w:pPr>
      <w:r w:rsidRPr="00F219CA">
        <w:t xml:space="preserve">Full Journal Title: </w:t>
      </w:r>
      <w:hyperlink r:id="rId9" w:history="1">
        <w:r w:rsidRPr="0017120C">
          <w:rPr>
            <w:rStyle w:val="a5"/>
          </w:rPr>
          <w:t>Abacus-A Journal</w:t>
        </w:r>
        <w:r w:rsidR="00427468">
          <w:rPr>
            <w:rStyle w:val="a5"/>
          </w:rPr>
          <w:t xml:space="preserve"> of </w:t>
        </w:r>
        <w:r w:rsidRPr="0017120C">
          <w:rPr>
            <w:rStyle w:val="a5"/>
          </w:rPr>
          <w:t>Accounting</w:t>
        </w:r>
        <w:r w:rsidR="005853A9">
          <w:rPr>
            <w:rStyle w:val="a5"/>
          </w:rPr>
          <w:t xml:space="preserve"> and </w:t>
        </w:r>
        <w:r w:rsidRPr="0017120C">
          <w:rPr>
            <w:rStyle w:val="a5"/>
          </w:rPr>
          <w:t>Business Studies</w:t>
        </w:r>
      </w:hyperlink>
    </w:p>
    <w:p w:rsidR="00AD6D0B" w:rsidRPr="00F219CA" w:rsidRDefault="00AD6D0B" w:rsidP="00AD6D0B">
      <w:pPr>
        <w:pStyle w:val="12"/>
      </w:pPr>
      <w:r w:rsidRPr="00F219CA">
        <w:t xml:space="preserve">ISO Abbreviated Title: </w:t>
      </w:r>
    </w:p>
    <w:p w:rsidR="00AD6D0B" w:rsidRPr="00F219CA" w:rsidRDefault="00AD6D0B" w:rsidP="00AD6D0B">
      <w:pPr>
        <w:pStyle w:val="12"/>
      </w:pPr>
      <w:r w:rsidRPr="00F219CA">
        <w:t xml:space="preserve">JCR Abbreviated Title: </w:t>
      </w:r>
    </w:p>
    <w:p w:rsidR="00AD6D0B" w:rsidRPr="00F219CA" w:rsidRDefault="00AD6D0B" w:rsidP="00AD6D0B">
      <w:pPr>
        <w:pStyle w:val="12"/>
      </w:pPr>
      <w:r w:rsidRPr="00F219CA">
        <w:t xml:space="preserve">ISSN: </w:t>
      </w:r>
    </w:p>
    <w:p w:rsidR="00AD6D0B" w:rsidRPr="00F219CA" w:rsidRDefault="00AD6D0B" w:rsidP="00AD6D0B">
      <w:pPr>
        <w:pStyle w:val="12"/>
      </w:pPr>
      <w:r w:rsidRPr="00F219CA">
        <w:t xml:space="preserve">Issues/Year: </w:t>
      </w:r>
    </w:p>
    <w:p w:rsidR="00AD6D0B" w:rsidRPr="00F219CA" w:rsidRDefault="00AD6D0B" w:rsidP="00AD6D0B">
      <w:pPr>
        <w:pStyle w:val="12"/>
      </w:pPr>
      <w:r w:rsidRPr="00F219CA">
        <w:t xml:space="preserve">Journal Country/Territory: </w:t>
      </w:r>
    </w:p>
    <w:p w:rsidR="00AD6D0B" w:rsidRPr="00F219CA" w:rsidRDefault="00AD6D0B" w:rsidP="00AD6D0B">
      <w:pPr>
        <w:pStyle w:val="12"/>
      </w:pPr>
      <w:r w:rsidRPr="00F219CA">
        <w:t xml:space="preserve">Language: </w:t>
      </w:r>
    </w:p>
    <w:p w:rsidR="00AD6D0B" w:rsidRPr="00F219CA" w:rsidRDefault="00AD6D0B" w:rsidP="00AD6D0B">
      <w:pPr>
        <w:pStyle w:val="12"/>
      </w:pPr>
      <w:r w:rsidRPr="00F219CA">
        <w:t xml:space="preserve">Publisher: </w:t>
      </w:r>
    </w:p>
    <w:p w:rsidR="00AD6D0B" w:rsidRPr="00F219CA" w:rsidRDefault="00AD6D0B" w:rsidP="00AD6D0B">
      <w:pPr>
        <w:pStyle w:val="12"/>
      </w:pPr>
      <w:r w:rsidRPr="00F219CA">
        <w:t xml:space="preserve">Publisher Address: </w:t>
      </w:r>
    </w:p>
    <w:p w:rsidR="00AD6D0B" w:rsidRPr="00F219CA" w:rsidRDefault="00AD6D0B" w:rsidP="00AD6D0B">
      <w:pPr>
        <w:pStyle w:val="12"/>
      </w:pPr>
      <w:r w:rsidRPr="00F219CA">
        <w:t xml:space="preserve">Subject Categories: </w:t>
      </w:r>
    </w:p>
    <w:p w:rsidR="00AD6D0B" w:rsidRPr="00F219CA" w:rsidRDefault="00AD6D0B" w:rsidP="00AD6D0B">
      <w:pPr>
        <w:pStyle w:val="12"/>
      </w:pPr>
      <w:r w:rsidRPr="00F219CA">
        <w:t xml:space="preserve">: Impact Factor </w:t>
      </w:r>
    </w:p>
    <w:p w:rsidR="00AD6D0B" w:rsidRDefault="00AD6D0B" w:rsidP="00AD6D0B">
      <w:pPr>
        <w:pStyle w:val="a3"/>
        <w:rPr>
          <w:kern w:val="0"/>
          <w:szCs w:val="24"/>
        </w:rPr>
      </w:pPr>
      <w:r w:rsidRPr="00F219CA">
        <w:rPr>
          <w:kern w:val="0"/>
          <w:szCs w:val="24"/>
        </w:rPr>
        <w:t>? Chung, K.H., Pak, H.S.</w:t>
      </w:r>
      <w:r w:rsidR="005853A9">
        <w:rPr>
          <w:kern w:val="0"/>
          <w:szCs w:val="24"/>
        </w:rPr>
        <w:t xml:space="preserve"> and </w:t>
      </w:r>
      <w:r w:rsidRPr="00F219CA">
        <w:rPr>
          <w:kern w:val="0"/>
          <w:szCs w:val="24"/>
        </w:rPr>
        <w:t>Cox, R.A.K. (1992), Patterns</w:t>
      </w:r>
      <w:r w:rsidR="00427468">
        <w:rPr>
          <w:kern w:val="0"/>
          <w:szCs w:val="24"/>
        </w:rPr>
        <w:t xml:space="preserve"> of </w:t>
      </w:r>
      <w:r w:rsidRPr="00F219CA">
        <w:rPr>
          <w:kern w:val="0"/>
          <w:szCs w:val="24"/>
        </w:rPr>
        <w:t>research output in</w:t>
      </w:r>
      <w:r w:rsidR="003A1917">
        <w:rPr>
          <w:kern w:val="0"/>
          <w:szCs w:val="24"/>
        </w:rPr>
        <w:t xml:space="preserve"> the </w:t>
      </w:r>
      <w:r w:rsidRPr="00F219CA">
        <w:rPr>
          <w:kern w:val="0"/>
          <w:szCs w:val="24"/>
        </w:rPr>
        <w:t>accounting literature: A study</w:t>
      </w:r>
      <w:r w:rsidR="00427468">
        <w:rPr>
          <w:kern w:val="0"/>
          <w:szCs w:val="24"/>
        </w:rPr>
        <w:t xml:space="preserve"> of </w:t>
      </w:r>
      <w:r w:rsidR="003A1917">
        <w:rPr>
          <w:kern w:val="0"/>
          <w:szCs w:val="24"/>
        </w:rPr>
        <w:t xml:space="preserve">the </w:t>
      </w:r>
      <w:r w:rsidRPr="00F219CA">
        <w:rPr>
          <w:kern w:val="0"/>
          <w:szCs w:val="24"/>
        </w:rPr>
        <w:t xml:space="preserve">bibliometric distributions. </w:t>
      </w:r>
      <w:r w:rsidRPr="00F219CA">
        <w:rPr>
          <w:i/>
          <w:iCs/>
          <w:kern w:val="0"/>
          <w:szCs w:val="24"/>
        </w:rPr>
        <w:t>Abacus-A Journal</w:t>
      </w:r>
      <w:r w:rsidR="00427468">
        <w:rPr>
          <w:i/>
          <w:iCs/>
          <w:kern w:val="0"/>
          <w:szCs w:val="24"/>
        </w:rPr>
        <w:t xml:space="preserve"> of </w:t>
      </w:r>
      <w:r w:rsidRPr="00F219CA">
        <w:rPr>
          <w:i/>
          <w:iCs/>
          <w:kern w:val="0"/>
          <w:szCs w:val="24"/>
        </w:rPr>
        <w:t>Accounting</w:t>
      </w:r>
      <w:r w:rsidR="005853A9">
        <w:rPr>
          <w:i/>
          <w:iCs/>
          <w:kern w:val="0"/>
          <w:szCs w:val="24"/>
        </w:rPr>
        <w:t xml:space="preserve"> and </w:t>
      </w:r>
      <w:r w:rsidRPr="00F219CA">
        <w:rPr>
          <w:i/>
          <w:iCs/>
          <w:kern w:val="0"/>
          <w:szCs w:val="24"/>
        </w:rPr>
        <w:t>Business Studies</w:t>
      </w:r>
      <w:r w:rsidRPr="00F219CA">
        <w:rPr>
          <w:kern w:val="0"/>
          <w:szCs w:val="24"/>
        </w:rPr>
        <w:t xml:space="preserve">, </w:t>
      </w:r>
      <w:r w:rsidRPr="00F219CA">
        <w:rPr>
          <w:b/>
          <w:bCs/>
          <w:kern w:val="0"/>
          <w:szCs w:val="24"/>
        </w:rPr>
        <w:t>28</w:t>
      </w:r>
      <w:r w:rsidRPr="00F219CA">
        <w:rPr>
          <w:kern w:val="0"/>
          <w:szCs w:val="24"/>
        </w:rPr>
        <w:t xml:space="preserve"> (2), 168-185.</w:t>
      </w:r>
    </w:p>
    <w:p w:rsidR="00AD6D0B" w:rsidRPr="00F219CA" w:rsidRDefault="00AD6D0B" w:rsidP="00AD6D0B">
      <w:pPr>
        <w:pStyle w:val="a3"/>
        <w:rPr>
          <w:kern w:val="0"/>
          <w:szCs w:val="24"/>
        </w:rPr>
      </w:pPr>
      <w:r>
        <w:rPr>
          <w:rFonts w:hint="eastAsia"/>
          <w:kern w:val="0"/>
          <w:szCs w:val="24"/>
        </w:rPr>
        <w:t xml:space="preserve">Full Text: </w:t>
      </w:r>
      <w:hyperlink r:id="rId10" w:history="1">
        <w:r w:rsidRPr="00845D18">
          <w:rPr>
            <w:rStyle w:val="a5"/>
            <w:kern w:val="0"/>
            <w:szCs w:val="24"/>
          </w:rPr>
          <w:t>1992\Aba- J Acc Bus Stu28, 168.pdf</w:t>
        </w:r>
      </w:hyperlink>
    </w:p>
    <w:p w:rsidR="00AD6D0B" w:rsidRPr="00F219CA" w:rsidRDefault="00AD6D0B" w:rsidP="00AD6D0B">
      <w:pPr>
        <w:pStyle w:val="a3"/>
        <w:rPr>
          <w:kern w:val="0"/>
          <w:szCs w:val="24"/>
        </w:rPr>
      </w:pPr>
      <w:r w:rsidRPr="00F219CA">
        <w:rPr>
          <w:kern w:val="0"/>
          <w:szCs w:val="24"/>
        </w:rPr>
        <w:t>Abstract: This study examines whether any regularity exists in</w:t>
      </w:r>
      <w:r w:rsidR="003A1917">
        <w:rPr>
          <w:kern w:val="0"/>
          <w:szCs w:val="24"/>
        </w:rPr>
        <w:t xml:space="preserve"> the </w:t>
      </w:r>
      <w:r w:rsidRPr="00F219CA">
        <w:rPr>
          <w:kern w:val="0"/>
          <w:szCs w:val="24"/>
        </w:rPr>
        <w:t>publication pattern among accounting researchers</w:t>
      </w:r>
      <w:r w:rsidR="00A37C1D">
        <w:rPr>
          <w:kern w:val="0"/>
          <w:szCs w:val="24"/>
        </w:rPr>
        <w:t>. The</w:t>
      </w:r>
      <w:r w:rsidR="003A1917">
        <w:rPr>
          <w:kern w:val="0"/>
          <w:szCs w:val="24"/>
        </w:rPr>
        <w:t xml:space="preserve"> </w:t>
      </w:r>
      <w:r w:rsidRPr="00F219CA">
        <w:rPr>
          <w:kern w:val="0"/>
          <w:szCs w:val="24"/>
        </w:rPr>
        <w:t>empirical results reveal that a strong bibliometric regularity exists in</w:t>
      </w:r>
      <w:r w:rsidR="003A1917">
        <w:rPr>
          <w:kern w:val="0"/>
          <w:szCs w:val="24"/>
        </w:rPr>
        <w:t xml:space="preserve"> the </w:t>
      </w:r>
      <w:r w:rsidRPr="00F219CA">
        <w:rPr>
          <w:kern w:val="0"/>
          <w:szCs w:val="24"/>
        </w:rPr>
        <w:t>accounting literature:</w:t>
      </w:r>
      <w:r w:rsidR="003A1917">
        <w:rPr>
          <w:kern w:val="0"/>
          <w:szCs w:val="24"/>
        </w:rPr>
        <w:t xml:space="preserve"> the </w:t>
      </w:r>
      <w:r w:rsidRPr="00F219CA">
        <w:rPr>
          <w:kern w:val="0"/>
          <w:szCs w:val="24"/>
        </w:rPr>
        <w:t>number</w:t>
      </w:r>
      <w:r w:rsidR="00427468">
        <w:rPr>
          <w:kern w:val="0"/>
          <w:szCs w:val="24"/>
        </w:rPr>
        <w:t xml:space="preserve"> of </w:t>
      </w:r>
      <w:r w:rsidRPr="00F219CA">
        <w:rPr>
          <w:kern w:val="0"/>
          <w:szCs w:val="24"/>
        </w:rPr>
        <w:t>authors publishing in papers is approximately 1/n(c)</w:t>
      </w:r>
      <w:r w:rsidR="00427468">
        <w:rPr>
          <w:kern w:val="0"/>
          <w:szCs w:val="24"/>
        </w:rPr>
        <w:t xml:space="preserve"> of </w:t>
      </w:r>
      <w:r w:rsidRPr="00F219CA">
        <w:rPr>
          <w:kern w:val="0"/>
          <w:szCs w:val="24"/>
        </w:rPr>
        <w:t>those publishing one paper. It is shown that</w:t>
      </w:r>
      <w:r w:rsidR="003A1917">
        <w:rPr>
          <w:kern w:val="0"/>
          <w:szCs w:val="24"/>
        </w:rPr>
        <w:t xml:space="preserve"> the </w:t>
      </w:r>
      <w:r w:rsidRPr="00F219CA">
        <w:rPr>
          <w:kern w:val="0"/>
          <w:szCs w:val="24"/>
        </w:rPr>
        <w:t>accounting literature conforms very well to</w:t>
      </w:r>
      <w:r w:rsidR="003A1917">
        <w:rPr>
          <w:kern w:val="0"/>
          <w:szCs w:val="24"/>
        </w:rPr>
        <w:t xml:space="preserve"> the </w:t>
      </w:r>
      <w:r w:rsidRPr="00F219CA">
        <w:rPr>
          <w:kern w:val="0"/>
          <w:szCs w:val="24"/>
        </w:rPr>
        <w:t>model with c=1.872 if data are taken from a large collection</w:t>
      </w:r>
      <w:r w:rsidR="00427468">
        <w:rPr>
          <w:kern w:val="0"/>
          <w:szCs w:val="24"/>
        </w:rPr>
        <w:t xml:space="preserve"> of </w:t>
      </w:r>
      <w:r w:rsidRPr="00F219CA">
        <w:rPr>
          <w:kern w:val="0"/>
          <w:szCs w:val="24"/>
        </w:rPr>
        <w:t>journals. When applied to individual journals,</w:t>
      </w:r>
      <w:r w:rsidR="003A1917">
        <w:rPr>
          <w:kern w:val="0"/>
          <w:szCs w:val="24"/>
        </w:rPr>
        <w:t xml:space="preserve"> the </w:t>
      </w:r>
      <w:r w:rsidRPr="00F219CA">
        <w:rPr>
          <w:kern w:val="0"/>
          <w:szCs w:val="24"/>
        </w:rPr>
        <w:t>result shows that values</w:t>
      </w:r>
      <w:r w:rsidR="00427468">
        <w:rPr>
          <w:kern w:val="0"/>
          <w:szCs w:val="24"/>
        </w:rPr>
        <w:t xml:space="preserve"> of </w:t>
      </w:r>
      <w:r w:rsidRPr="00F219CA">
        <w:rPr>
          <w:kern w:val="0"/>
          <w:szCs w:val="24"/>
        </w:rPr>
        <w:t>c range from 2.220 to 4.368</w:t>
      </w:r>
      <w:r w:rsidR="00A37C1D">
        <w:rPr>
          <w:kern w:val="0"/>
          <w:szCs w:val="24"/>
        </w:rPr>
        <w:t>. The</w:t>
      </w:r>
      <w:r w:rsidR="003A1917">
        <w:rPr>
          <w:kern w:val="0"/>
          <w:szCs w:val="24"/>
        </w:rPr>
        <w:t xml:space="preserve"> </w:t>
      </w:r>
      <w:r w:rsidRPr="00F219CA">
        <w:rPr>
          <w:kern w:val="0"/>
          <w:szCs w:val="24"/>
        </w:rPr>
        <w:t>graduates</w:t>
      </w:r>
      <w:r w:rsidR="00427468">
        <w:rPr>
          <w:kern w:val="0"/>
          <w:szCs w:val="24"/>
        </w:rPr>
        <w:t xml:space="preserve"> of </w:t>
      </w:r>
      <w:r w:rsidRPr="00F219CA">
        <w:rPr>
          <w:kern w:val="0"/>
          <w:szCs w:val="24"/>
        </w:rPr>
        <w:t>seven graduate programs are found to account for more than one-third</w:t>
      </w:r>
      <w:r w:rsidR="00427468">
        <w:rPr>
          <w:kern w:val="0"/>
          <w:szCs w:val="24"/>
        </w:rPr>
        <w:t xml:space="preserve"> of </w:t>
      </w:r>
      <w:r w:rsidR="003A1917">
        <w:rPr>
          <w:kern w:val="0"/>
          <w:szCs w:val="24"/>
        </w:rPr>
        <w:t xml:space="preserve">the </w:t>
      </w:r>
      <w:r w:rsidRPr="00F219CA">
        <w:rPr>
          <w:kern w:val="0"/>
          <w:szCs w:val="24"/>
        </w:rPr>
        <w:t>most prolific authors, indicating strong institutional dominance in</w:t>
      </w:r>
      <w:r w:rsidR="003A1917">
        <w:rPr>
          <w:kern w:val="0"/>
          <w:szCs w:val="24"/>
        </w:rPr>
        <w:t xml:space="preserve"> the </w:t>
      </w:r>
      <w:r w:rsidRPr="00F219CA">
        <w:rPr>
          <w:kern w:val="0"/>
          <w:szCs w:val="24"/>
        </w:rPr>
        <w:t>production</w:t>
      </w:r>
      <w:r w:rsidR="00427468">
        <w:rPr>
          <w:kern w:val="0"/>
          <w:szCs w:val="24"/>
        </w:rPr>
        <w:t xml:space="preserve"> of </w:t>
      </w:r>
      <w:r w:rsidRPr="00F219CA">
        <w:rPr>
          <w:kern w:val="0"/>
          <w:szCs w:val="24"/>
        </w:rPr>
        <w:t>accounting literature.</w:t>
      </w:r>
    </w:p>
    <w:p w:rsidR="00AD6D0B" w:rsidRDefault="00AD6D0B" w:rsidP="00AD6D0B">
      <w:pPr>
        <w:pStyle w:val="a3"/>
        <w:rPr>
          <w:kern w:val="0"/>
        </w:rPr>
      </w:pPr>
      <w:r>
        <w:rPr>
          <w:kern w:val="0"/>
        </w:rPr>
        <w:t>Keywords: Bibliometric, Concentration, Journals, Literature, Model, Publication, Publishing, Research, Research Output, Researchers</w:t>
      </w:r>
    </w:p>
    <w:p w:rsidR="003474F2" w:rsidRPr="001A3D2B" w:rsidRDefault="003474F2" w:rsidP="003474F2">
      <w:pPr>
        <w:pStyle w:val="1"/>
      </w:pPr>
      <w:r w:rsidRPr="001A3D2B">
        <w:br w:type="page"/>
      </w:r>
      <w:bookmarkStart w:id="13" w:name="_Toc420814228"/>
      <w:r w:rsidRPr="001A3D2B">
        <w:lastRenderedPageBreak/>
        <w:t>Title: Abstracts</w:t>
      </w:r>
      <w:r w:rsidR="00427468">
        <w:t xml:space="preserve"> of </w:t>
      </w:r>
      <w:r w:rsidRPr="001A3D2B">
        <w:t>Papers</w:t>
      </w:r>
      <w:r w:rsidR="00427468">
        <w:t xml:space="preserve"> of </w:t>
      </w:r>
      <w:r w:rsidR="003A1917">
        <w:t xml:space="preserve">the </w:t>
      </w:r>
      <w:r w:rsidRPr="001A3D2B">
        <w:t>American Chemical Society</w:t>
      </w:r>
      <w:bookmarkEnd w:id="13"/>
    </w:p>
    <w:p w:rsidR="003474F2" w:rsidRPr="001A3D2B" w:rsidRDefault="003474F2" w:rsidP="003474F2">
      <w:pPr>
        <w:pStyle w:val="12"/>
      </w:pPr>
      <w:r w:rsidRPr="001A3D2B">
        <w:t>Full Journal Title: Abstracts</w:t>
      </w:r>
      <w:r w:rsidR="00427468">
        <w:t xml:space="preserve"> of </w:t>
      </w:r>
      <w:r w:rsidRPr="001A3D2B">
        <w:t>Papers</w:t>
      </w:r>
      <w:r w:rsidR="00427468">
        <w:t xml:space="preserve"> of </w:t>
      </w:r>
      <w:r w:rsidR="003A1917">
        <w:t xml:space="preserve">the </w:t>
      </w:r>
      <w:r w:rsidRPr="001A3D2B">
        <w:t>American Chemical Society</w:t>
      </w:r>
    </w:p>
    <w:p w:rsidR="003474F2" w:rsidRPr="001A3D2B" w:rsidRDefault="003474F2" w:rsidP="003474F2">
      <w:pPr>
        <w:pStyle w:val="12"/>
      </w:pPr>
      <w:r w:rsidRPr="001A3D2B">
        <w:t>ISO Abbreviated Title: Abstr. Pap. Am. Chem. Soc.</w:t>
      </w:r>
    </w:p>
    <w:p w:rsidR="003474F2" w:rsidRPr="001A3D2B" w:rsidRDefault="003474F2" w:rsidP="003474F2">
      <w:pPr>
        <w:pStyle w:val="12"/>
      </w:pPr>
      <w:r w:rsidRPr="001A3D2B">
        <w:t>JCR Abbreviated Title: Abstr Pap Amer Chem Soc</w:t>
      </w:r>
    </w:p>
    <w:p w:rsidR="003474F2" w:rsidRPr="001A3D2B" w:rsidRDefault="003474F2" w:rsidP="003474F2">
      <w:pPr>
        <w:pStyle w:val="12"/>
      </w:pPr>
      <w:r w:rsidRPr="001A3D2B">
        <w:t>ISSN: 0065-7727</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Publisher: Amer Chemical Soc, Washington</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rPr>
          <w:szCs w:val="24"/>
        </w:rPr>
      </w:pPr>
      <w:r w:rsidRPr="001A3D2B">
        <w:t>? Dewitt, T.W., Nicholson, R.S.</w:t>
      </w:r>
      <w:r w:rsidR="005853A9">
        <w:t xml:space="preserve"> and </w:t>
      </w:r>
      <w:r w:rsidRPr="001A3D2B">
        <w:t>Wilson, M.K. (1976), Science Citation Index</w:t>
      </w:r>
      <w:r w:rsidR="005853A9">
        <w:t xml:space="preserve"> and </w:t>
      </w:r>
      <w:r w:rsidRPr="001A3D2B">
        <w:t xml:space="preserve">Chemistry. </w:t>
      </w:r>
      <w:r w:rsidRPr="001A3D2B">
        <w:rPr>
          <w:i/>
          <w:iCs/>
        </w:rPr>
        <w:t>Abstracts</w:t>
      </w:r>
      <w:r w:rsidR="00427468">
        <w:rPr>
          <w:i/>
          <w:iCs/>
        </w:rPr>
        <w:t xml:space="preserve"> of </w:t>
      </w:r>
      <w:r w:rsidRPr="001A3D2B">
        <w:rPr>
          <w:i/>
          <w:iCs/>
        </w:rPr>
        <w:t>Papers</w:t>
      </w:r>
      <w:r w:rsidR="00427468">
        <w:rPr>
          <w:i/>
          <w:iCs/>
        </w:rPr>
        <w:t xml:space="preserve"> of </w:t>
      </w:r>
      <w:r w:rsidR="003A1917">
        <w:rPr>
          <w:i/>
          <w:iCs/>
        </w:rPr>
        <w:t xml:space="preserve">the </w:t>
      </w:r>
      <w:r w:rsidRPr="001A3D2B">
        <w:rPr>
          <w:i/>
          <w:iCs/>
        </w:rPr>
        <w:t>American Chemical Society</w:t>
      </w:r>
      <w:r w:rsidRPr="001A3D2B">
        <w:t xml:space="preserve">, </w:t>
      </w:r>
      <w:r w:rsidRPr="001A3D2B">
        <w:rPr>
          <w:b/>
          <w:bCs/>
        </w:rPr>
        <w:t>172</w:t>
      </w:r>
      <w:r w:rsidRPr="001A3D2B">
        <w:rPr>
          <w:szCs w:val="24"/>
        </w:rPr>
        <w:t xml:space="preserve"> (SEP3), 28</w:t>
      </w:r>
      <w:r w:rsidR="006F745F">
        <w:rPr>
          <w:rFonts w:hint="eastAsia"/>
          <w:szCs w:val="24"/>
        </w:rPr>
        <w:t>.</w:t>
      </w:r>
    </w:p>
    <w:p w:rsidR="003474F2" w:rsidRPr="001A3D2B" w:rsidRDefault="003474F2" w:rsidP="003474F2">
      <w:pPr>
        <w:pStyle w:val="a3"/>
        <w:rPr>
          <w:szCs w:val="24"/>
        </w:rPr>
      </w:pPr>
      <w:r w:rsidRPr="001A3D2B">
        <w:rPr>
          <w:szCs w:val="24"/>
        </w:rPr>
        <w:t>Keywords: Chemistry, Citation, Science Citation Index</w:t>
      </w:r>
    </w:p>
    <w:p w:rsidR="006F745F" w:rsidRDefault="006F745F" w:rsidP="006F745F">
      <w:pPr>
        <w:pStyle w:val="a3"/>
        <w:rPr>
          <w:kern w:val="0"/>
        </w:rPr>
      </w:pPr>
      <w:r>
        <w:rPr>
          <w:rFonts w:hint="eastAsia"/>
          <w:kern w:val="0"/>
        </w:rPr>
        <w:t xml:space="preserve">? </w:t>
      </w:r>
      <w:r>
        <w:rPr>
          <w:kern w:val="0"/>
        </w:rPr>
        <w:t>Lawlor, B.</w:t>
      </w:r>
      <w:r w:rsidR="005853A9">
        <w:rPr>
          <w:kern w:val="0"/>
        </w:rPr>
        <w:t xml:space="preserve"> and </w:t>
      </w:r>
      <w:r>
        <w:rPr>
          <w:kern w:val="0"/>
        </w:rPr>
        <w:t>Garfield, E. (1979), Most-cited authors</w:t>
      </w:r>
      <w:r w:rsidR="00427468">
        <w:rPr>
          <w:kern w:val="0"/>
        </w:rPr>
        <w:t xml:space="preserve"> of </w:t>
      </w:r>
      <w:r>
        <w:rPr>
          <w:kern w:val="0"/>
        </w:rPr>
        <w:t xml:space="preserve">synthetic organic-chemistry - 1966-1976. </w:t>
      </w:r>
      <w:r>
        <w:rPr>
          <w:i/>
          <w:iCs/>
          <w:kern w:val="0"/>
        </w:rPr>
        <w:t>Abstracts</w:t>
      </w:r>
      <w:r w:rsidR="00427468">
        <w:rPr>
          <w:i/>
          <w:iCs/>
          <w:kern w:val="0"/>
        </w:rPr>
        <w:t xml:space="preserve"> of </w:t>
      </w:r>
      <w:r>
        <w:rPr>
          <w:i/>
          <w:iCs/>
          <w:kern w:val="0"/>
        </w:rPr>
        <w:t>Papers</w:t>
      </w:r>
      <w:r w:rsidR="00427468">
        <w:rPr>
          <w:i/>
          <w:iCs/>
          <w:kern w:val="0"/>
        </w:rPr>
        <w:t xml:space="preserve"> of </w:t>
      </w:r>
      <w:r w:rsidR="003A1917">
        <w:rPr>
          <w:i/>
          <w:iCs/>
          <w:kern w:val="0"/>
        </w:rPr>
        <w:t xml:space="preserve">the </w:t>
      </w:r>
      <w:r>
        <w:rPr>
          <w:i/>
          <w:iCs/>
          <w:kern w:val="0"/>
        </w:rPr>
        <w:t>American Chemical Society</w:t>
      </w:r>
      <w:r>
        <w:rPr>
          <w:kern w:val="0"/>
        </w:rPr>
        <w:t>, (APR), 32-</w:t>
      </w:r>
      <w:r>
        <w:rPr>
          <w:rFonts w:hint="eastAsia"/>
          <w:kern w:val="0"/>
        </w:rPr>
        <w:t>??.</w:t>
      </w:r>
    </w:p>
    <w:p w:rsidR="006F745F" w:rsidRDefault="006F745F" w:rsidP="006F745F">
      <w:pPr>
        <w:pStyle w:val="a3"/>
        <w:rPr>
          <w:kern w:val="0"/>
        </w:rPr>
      </w:pPr>
      <w:r>
        <w:rPr>
          <w:kern w:val="0"/>
        </w:rPr>
        <w:t>Keywords: Authors</w:t>
      </w:r>
    </w:p>
    <w:p w:rsidR="003474F2" w:rsidRPr="001A3D2B" w:rsidRDefault="003474F2" w:rsidP="003474F2">
      <w:pPr>
        <w:pStyle w:val="a3"/>
      </w:pPr>
      <w:r w:rsidRPr="001A3D2B">
        <w:t xml:space="preserve">? Almond, J.R. (1981), Bibliometric analysis - A tool in tracking competitive research interests. </w:t>
      </w:r>
      <w:r w:rsidRPr="001A3D2B">
        <w:rPr>
          <w:i/>
          <w:iCs/>
        </w:rPr>
        <w:t>Abstracts</w:t>
      </w:r>
      <w:r w:rsidR="00427468">
        <w:rPr>
          <w:i/>
          <w:iCs/>
        </w:rPr>
        <w:t xml:space="preserve"> of </w:t>
      </w:r>
      <w:r w:rsidRPr="001A3D2B">
        <w:rPr>
          <w:i/>
          <w:iCs/>
        </w:rPr>
        <w:t>Papers</w:t>
      </w:r>
      <w:r w:rsidR="00427468">
        <w:rPr>
          <w:i/>
          <w:iCs/>
        </w:rPr>
        <w:t xml:space="preserve"> of </w:t>
      </w:r>
      <w:r w:rsidR="003A1917">
        <w:rPr>
          <w:i/>
          <w:iCs/>
        </w:rPr>
        <w:t xml:space="preserve">the </w:t>
      </w:r>
      <w:r w:rsidRPr="001A3D2B">
        <w:rPr>
          <w:i/>
          <w:iCs/>
        </w:rPr>
        <w:t>American Chemical Society</w:t>
      </w:r>
      <w:r w:rsidRPr="001A3D2B">
        <w:t xml:space="preserve">, </w:t>
      </w:r>
      <w:r w:rsidRPr="001A3D2B">
        <w:rPr>
          <w:b/>
          <w:bCs/>
        </w:rPr>
        <w:t>182</w:t>
      </w:r>
      <w:r w:rsidRPr="001A3D2B">
        <w:t>, 25-CINF.</w:t>
      </w:r>
    </w:p>
    <w:p w:rsidR="003474F2" w:rsidRPr="001A3D2B" w:rsidRDefault="003474F2" w:rsidP="003474F2">
      <w:pPr>
        <w:pStyle w:val="a3"/>
      </w:pPr>
      <w:r w:rsidRPr="001A3D2B">
        <w:t>? Lyon, W.S. (1985), Scientometrics with some emphasis on communication at scientific meetings</w:t>
      </w:r>
      <w:r w:rsidR="005853A9">
        <w:t xml:space="preserve"> and </w:t>
      </w:r>
      <w:r w:rsidRPr="001A3D2B">
        <w:t>through</w:t>
      </w:r>
      <w:r w:rsidR="003A1917">
        <w:t xml:space="preserve"> the </w:t>
      </w:r>
      <w:r w:rsidRPr="001A3D2B">
        <w:t xml:space="preserve">Invisible </w:t>
      </w:r>
      <w:smartTag w:uri="urn:schemas-microsoft-com:office:smarttags" w:element="PlaceType">
        <w:r w:rsidRPr="001A3D2B">
          <w:t>College</w:t>
        </w:r>
      </w:smartTag>
      <w:r w:rsidRPr="001A3D2B">
        <w:t xml:space="preserve">. </w:t>
      </w:r>
      <w:r w:rsidRPr="001A3D2B">
        <w:rPr>
          <w:i/>
          <w:iCs/>
        </w:rPr>
        <w:t>Abstracts</w:t>
      </w:r>
      <w:r w:rsidR="00427468">
        <w:rPr>
          <w:i/>
          <w:iCs/>
        </w:rPr>
        <w:t xml:space="preserve"> of </w:t>
      </w:r>
      <w:r w:rsidRPr="001A3D2B">
        <w:rPr>
          <w:i/>
          <w:iCs/>
        </w:rPr>
        <w:t>Papers</w:t>
      </w:r>
      <w:r w:rsidR="00427468">
        <w:rPr>
          <w:i/>
          <w:iCs/>
        </w:rPr>
        <w:t xml:space="preserve"> of </w:t>
      </w:r>
      <w:r w:rsidR="003A1917">
        <w:rPr>
          <w:i/>
          <w:iCs/>
        </w:rPr>
        <w:t xml:space="preserve">the </w:t>
      </w:r>
      <w:r w:rsidRPr="001A3D2B">
        <w:rPr>
          <w:i/>
          <w:iCs/>
        </w:rPr>
        <w:t>American Chemical Society</w:t>
      </w:r>
      <w:r w:rsidRPr="001A3D2B">
        <w:t xml:space="preserve">, </w:t>
      </w:r>
      <w:r w:rsidRPr="001A3D2B">
        <w:rPr>
          <w:b/>
          <w:bCs/>
        </w:rPr>
        <w:t>189</w:t>
      </w:r>
      <w:r w:rsidRPr="001A3D2B">
        <w:t xml:space="preserve"> (APR-), 4-CINF.</w:t>
      </w:r>
    </w:p>
    <w:p w:rsidR="003474F2" w:rsidRPr="001A3D2B" w:rsidRDefault="003474F2" w:rsidP="003474F2">
      <w:pPr>
        <w:pStyle w:val="a3"/>
        <w:rPr>
          <w:szCs w:val="24"/>
        </w:rPr>
      </w:pPr>
      <w:r w:rsidRPr="001A3D2B">
        <w:t>? Jenkins, J.A. (1986), Instructional-materials for Science Citation Index, Current-Abstracts</w:t>
      </w:r>
      <w:r w:rsidR="00434900">
        <w:t>-of-</w:t>
      </w:r>
      <w:r w:rsidRPr="001A3D2B">
        <w:t>Chemistry-and-Index-Chemicus,</w:t>
      </w:r>
      <w:r w:rsidR="005853A9">
        <w:t xml:space="preserve"> and </w:t>
      </w:r>
      <w:r w:rsidRPr="001A3D2B">
        <w:t xml:space="preserve">other abstracting for indexing services. </w:t>
      </w:r>
      <w:r w:rsidRPr="001A3D2B">
        <w:rPr>
          <w:i/>
          <w:iCs/>
        </w:rPr>
        <w:t>Abstracts</w:t>
      </w:r>
      <w:r w:rsidR="00427468">
        <w:rPr>
          <w:i/>
          <w:iCs/>
        </w:rPr>
        <w:t xml:space="preserve"> of </w:t>
      </w:r>
      <w:r w:rsidRPr="001A3D2B">
        <w:rPr>
          <w:i/>
          <w:iCs/>
        </w:rPr>
        <w:t>Papers</w:t>
      </w:r>
      <w:r w:rsidR="00427468">
        <w:rPr>
          <w:i/>
          <w:iCs/>
        </w:rPr>
        <w:t xml:space="preserve"> of </w:t>
      </w:r>
      <w:r w:rsidR="003A1917">
        <w:rPr>
          <w:i/>
          <w:iCs/>
        </w:rPr>
        <w:t xml:space="preserve">the </w:t>
      </w:r>
      <w:r w:rsidRPr="001A3D2B">
        <w:rPr>
          <w:i/>
          <w:iCs/>
        </w:rPr>
        <w:t>American Chemical Society</w:t>
      </w:r>
      <w:r w:rsidRPr="001A3D2B">
        <w:t xml:space="preserve">, </w:t>
      </w:r>
      <w:r w:rsidRPr="001A3D2B">
        <w:rPr>
          <w:b/>
          <w:bCs/>
        </w:rPr>
        <w:t>191</w:t>
      </w:r>
      <w:r w:rsidRPr="001A3D2B">
        <w:rPr>
          <w:szCs w:val="24"/>
        </w:rPr>
        <w:t>, 138-CHED</w:t>
      </w:r>
    </w:p>
    <w:p w:rsidR="003474F2" w:rsidRPr="001A3D2B" w:rsidRDefault="003474F2" w:rsidP="003474F2">
      <w:pPr>
        <w:pStyle w:val="a3"/>
        <w:rPr>
          <w:szCs w:val="24"/>
        </w:rPr>
      </w:pPr>
      <w:r w:rsidRPr="001A3D2B">
        <w:rPr>
          <w:szCs w:val="24"/>
        </w:rPr>
        <w:t>Keywords: Science Citation Index</w:t>
      </w:r>
    </w:p>
    <w:p w:rsidR="00614094" w:rsidRDefault="00614094" w:rsidP="00614094">
      <w:pPr>
        <w:pStyle w:val="a3"/>
        <w:rPr>
          <w:kern w:val="0"/>
        </w:rPr>
      </w:pPr>
      <w:r>
        <w:rPr>
          <w:rFonts w:hint="eastAsia"/>
          <w:kern w:val="0"/>
        </w:rPr>
        <w:t xml:space="preserve">? </w:t>
      </w:r>
      <w:r>
        <w:rPr>
          <w:kern w:val="0"/>
        </w:rPr>
        <w:t xml:space="preserve">Francl, M.M. (2007), Chemistry breaks the Top 100: Podcasting quantum mechanics. </w:t>
      </w:r>
      <w:r>
        <w:rPr>
          <w:i/>
          <w:iCs/>
          <w:kern w:val="0"/>
        </w:rPr>
        <w:t>Abstracts of Papers of the American Chemical Society</w:t>
      </w:r>
      <w:r>
        <w:rPr>
          <w:kern w:val="0"/>
        </w:rPr>
        <w:t xml:space="preserve">, </w:t>
      </w:r>
      <w:r>
        <w:rPr>
          <w:b/>
          <w:bCs/>
          <w:kern w:val="0"/>
        </w:rPr>
        <w:t>233</w:t>
      </w:r>
      <w:r>
        <w:rPr>
          <w:kern w:val="0"/>
        </w:rPr>
        <w:t>, 34</w:t>
      </w:r>
      <w:r>
        <w:rPr>
          <w:rFonts w:hint="eastAsia"/>
          <w:kern w:val="0"/>
        </w:rPr>
        <w:t>.</w:t>
      </w:r>
    </w:p>
    <w:p w:rsidR="00614094" w:rsidRPr="001A3D2B" w:rsidRDefault="00614094" w:rsidP="00614094">
      <w:pPr>
        <w:pStyle w:val="a3"/>
      </w:pPr>
      <w:r>
        <w:rPr>
          <w:rFonts w:hint="eastAsia"/>
        </w:rPr>
        <w:t>Full Text: 2007\</w:t>
      </w:r>
      <w:r>
        <w:rPr>
          <w:iCs/>
          <w:kern w:val="0"/>
        </w:rPr>
        <w:t>Abs Pap Ame Che Soc</w:t>
      </w:r>
      <w:r w:rsidRPr="00CF0EA9">
        <w:rPr>
          <w:bCs/>
          <w:kern w:val="0"/>
        </w:rPr>
        <w:t>233</w:t>
      </w:r>
      <w:r>
        <w:rPr>
          <w:kern w:val="0"/>
        </w:rPr>
        <w:t>, 34</w:t>
      </w:r>
      <w:r>
        <w:rPr>
          <w:rFonts w:hint="eastAsia"/>
          <w:kern w:val="0"/>
        </w:rPr>
        <w:t>.pdf</w:t>
      </w:r>
    </w:p>
    <w:p w:rsidR="00614094" w:rsidRDefault="00614094" w:rsidP="00614094">
      <w:pPr>
        <w:pStyle w:val="a3"/>
        <w:rPr>
          <w:kern w:val="0"/>
        </w:rPr>
      </w:pPr>
      <w:r>
        <w:rPr>
          <w:kern w:val="0"/>
        </w:rPr>
        <w:t>Keywords: Chemistry</w:t>
      </w:r>
      <w:r>
        <w:rPr>
          <w:rFonts w:hint="eastAsia"/>
          <w:kern w:val="0"/>
        </w:rPr>
        <w:t xml:space="preserve">, </w:t>
      </w:r>
      <w:r>
        <w:rPr>
          <w:kern w:val="0"/>
        </w:rPr>
        <w:t>Mar</w:t>
      </w:r>
      <w:r>
        <w:rPr>
          <w:rFonts w:hint="eastAsia"/>
          <w:kern w:val="0"/>
        </w:rPr>
        <w:t xml:space="preserve">, </w:t>
      </w:r>
      <w:r>
        <w:rPr>
          <w:kern w:val="0"/>
        </w:rPr>
        <w:t>Top 100</w:t>
      </w:r>
    </w:p>
    <w:p w:rsidR="0082380E" w:rsidRDefault="0082380E" w:rsidP="0082380E">
      <w:pPr>
        <w:pStyle w:val="a3"/>
        <w:rPr>
          <w:kern w:val="0"/>
        </w:rPr>
      </w:pPr>
      <w:r>
        <w:rPr>
          <w:rFonts w:hint="eastAsia"/>
          <w:kern w:val="0"/>
        </w:rPr>
        <w:t xml:space="preserve">? </w:t>
      </w:r>
      <w:r>
        <w:rPr>
          <w:kern w:val="0"/>
        </w:rPr>
        <w:t xml:space="preserve">Wang, Y.L. (2014), PubChem BioAssay, a public information resource for drug discovery: A bibliometric analysis on PubChem application. </w:t>
      </w:r>
      <w:r>
        <w:rPr>
          <w:i/>
          <w:iCs/>
          <w:kern w:val="0"/>
        </w:rPr>
        <w:t>Abstracts of Papers of the American Chemical Society</w:t>
      </w:r>
      <w:r>
        <w:rPr>
          <w:kern w:val="0"/>
        </w:rPr>
        <w:t xml:space="preserve">, </w:t>
      </w:r>
      <w:r>
        <w:rPr>
          <w:b/>
          <w:bCs/>
          <w:kern w:val="0"/>
        </w:rPr>
        <w:t>248</w:t>
      </w:r>
      <w:r w:rsidRPr="003B37AE">
        <w:rPr>
          <w:rFonts w:hint="eastAsia"/>
          <w:bCs/>
          <w:kern w:val="0"/>
        </w:rPr>
        <w:t xml:space="preserve">, </w:t>
      </w:r>
      <w:r w:rsidRPr="003B37AE">
        <w:rPr>
          <w:bCs/>
          <w:kern w:val="0"/>
        </w:rPr>
        <w:t>Meeting Abstract: 41-COMP</w:t>
      </w:r>
      <w:r>
        <w:rPr>
          <w:rFonts w:hint="eastAsia"/>
          <w:bCs/>
          <w:kern w:val="0"/>
        </w:rPr>
        <w:t>.</w:t>
      </w:r>
    </w:p>
    <w:p w:rsidR="0082380E" w:rsidRDefault="0082380E" w:rsidP="0082380E">
      <w:pPr>
        <w:pStyle w:val="a3"/>
        <w:rPr>
          <w:kern w:val="0"/>
        </w:rPr>
      </w:pPr>
      <w:r>
        <w:rPr>
          <w:kern w:val="0"/>
        </w:rPr>
        <w:t>Keywords: Analysis, Application, Bibliometric, Bibliometric Analysis, Discovery, Drug, Drug Discovery, Information, Public</w:t>
      </w:r>
    </w:p>
    <w:p w:rsidR="00102D10" w:rsidRPr="001A3D2B" w:rsidRDefault="00102D10" w:rsidP="00102D10">
      <w:pPr>
        <w:pStyle w:val="1"/>
      </w:pPr>
      <w:r w:rsidRPr="001A3D2B">
        <w:rPr>
          <w:lang w:val="en-GB"/>
        </w:rPr>
        <w:br w:type="page"/>
      </w:r>
      <w:bookmarkStart w:id="14" w:name="_Toc349213788"/>
      <w:bookmarkStart w:id="15" w:name="_Toc420814229"/>
      <w:r w:rsidRPr="001A3D2B">
        <w:lastRenderedPageBreak/>
        <w:t xml:space="preserve">Title: </w:t>
      </w:r>
      <w:bookmarkEnd w:id="14"/>
      <w:r w:rsidRPr="00102D10">
        <w:rPr>
          <w:iCs w:val="0"/>
        </w:rPr>
        <w:t>Academia-Revista Latinoamericana de Administracion</w:t>
      </w:r>
      <w:bookmarkEnd w:id="15"/>
    </w:p>
    <w:p w:rsidR="00102D10" w:rsidRPr="001A3D2B" w:rsidRDefault="00102D10" w:rsidP="00102D10">
      <w:pPr>
        <w:pStyle w:val="12"/>
      </w:pPr>
      <w:r w:rsidRPr="001A3D2B">
        <w:t xml:space="preserve">Full Journal Title: </w:t>
      </w:r>
      <w:r w:rsidRPr="00102D10">
        <w:rPr>
          <w:kern w:val="0"/>
        </w:rPr>
        <w:t>Academia-Revista Latinoamericana de Administracion</w:t>
      </w:r>
    </w:p>
    <w:p w:rsidR="00102D10" w:rsidRPr="001A3D2B" w:rsidRDefault="00102D10" w:rsidP="00102D10">
      <w:pPr>
        <w:pStyle w:val="12"/>
      </w:pPr>
      <w:r w:rsidRPr="001A3D2B">
        <w:t xml:space="preserve">ISO Abbreviated Title: </w:t>
      </w:r>
    </w:p>
    <w:p w:rsidR="00102D10" w:rsidRPr="001A3D2B" w:rsidRDefault="00102D10" w:rsidP="00102D10">
      <w:pPr>
        <w:pStyle w:val="12"/>
      </w:pPr>
      <w:r w:rsidRPr="001A3D2B">
        <w:t xml:space="preserve">JCR Abbreviated Title: </w:t>
      </w:r>
    </w:p>
    <w:p w:rsidR="00102D10" w:rsidRPr="001A3D2B" w:rsidRDefault="00102D10" w:rsidP="00102D10">
      <w:pPr>
        <w:pStyle w:val="12"/>
      </w:pPr>
      <w:r>
        <w:t xml:space="preserve">ISSN: </w:t>
      </w:r>
    </w:p>
    <w:p w:rsidR="00102D10" w:rsidRPr="001A3D2B" w:rsidRDefault="00102D10" w:rsidP="00102D10">
      <w:pPr>
        <w:pStyle w:val="12"/>
      </w:pPr>
      <w:r w:rsidRPr="001A3D2B">
        <w:t xml:space="preserve">Issues/Year: </w:t>
      </w:r>
    </w:p>
    <w:p w:rsidR="00102D10" w:rsidRPr="001A3D2B" w:rsidRDefault="00102D10" w:rsidP="00102D10">
      <w:pPr>
        <w:pStyle w:val="12"/>
      </w:pPr>
      <w:r w:rsidRPr="001A3D2B">
        <w:t xml:space="preserve">Journal Country/Territory: </w:t>
      </w:r>
    </w:p>
    <w:p w:rsidR="00102D10" w:rsidRPr="001A3D2B" w:rsidRDefault="00102D10" w:rsidP="00102D10">
      <w:pPr>
        <w:pStyle w:val="12"/>
      </w:pPr>
      <w:r w:rsidRPr="001A3D2B">
        <w:t xml:space="preserve">Language: </w:t>
      </w:r>
    </w:p>
    <w:p w:rsidR="00102D10" w:rsidRPr="001A3D2B" w:rsidRDefault="00102D10" w:rsidP="00102D10">
      <w:pPr>
        <w:pStyle w:val="12"/>
      </w:pPr>
      <w:r w:rsidRPr="001A3D2B">
        <w:t xml:space="preserve">Publisher: </w:t>
      </w:r>
    </w:p>
    <w:p w:rsidR="00102D10" w:rsidRPr="001A3D2B" w:rsidRDefault="00102D10" w:rsidP="00102D10">
      <w:pPr>
        <w:pStyle w:val="12"/>
      </w:pPr>
      <w:r w:rsidRPr="001A3D2B">
        <w:t xml:space="preserve">Publisher Address: </w:t>
      </w:r>
    </w:p>
    <w:p w:rsidR="00102D10" w:rsidRPr="001A3D2B" w:rsidRDefault="00102D10" w:rsidP="00102D10">
      <w:pPr>
        <w:pStyle w:val="12"/>
      </w:pPr>
      <w:r w:rsidRPr="001A3D2B">
        <w:t>Subject Categories:</w:t>
      </w:r>
    </w:p>
    <w:p w:rsidR="00102D10" w:rsidRPr="001A3D2B" w:rsidRDefault="00102D10" w:rsidP="00102D10">
      <w:pPr>
        <w:pStyle w:val="12"/>
      </w:pPr>
      <w:r w:rsidRPr="001A3D2B">
        <w:t xml:space="preserve">: Impact Factor </w:t>
      </w:r>
    </w:p>
    <w:p w:rsidR="00102D10" w:rsidRDefault="00102D10" w:rsidP="00102D10">
      <w:pPr>
        <w:pStyle w:val="a3"/>
        <w:rPr>
          <w:kern w:val="0"/>
        </w:rPr>
      </w:pPr>
      <w:r>
        <w:rPr>
          <w:rFonts w:hint="eastAsia"/>
          <w:kern w:val="0"/>
        </w:rPr>
        <w:t xml:space="preserve">? </w:t>
      </w:r>
      <w:r>
        <w:rPr>
          <w:kern w:val="0"/>
        </w:rPr>
        <w:t xml:space="preserve">Ogliastri, E. (2008), Foreword. </w:t>
      </w:r>
      <w:r w:rsidRPr="00102D10">
        <w:rPr>
          <w:i/>
          <w:kern w:val="0"/>
        </w:rPr>
        <w:t>Academia-Revista Latinoamericana de Administracion</w:t>
      </w:r>
      <w:r>
        <w:rPr>
          <w:kern w:val="0"/>
        </w:rPr>
        <w:t xml:space="preserve">, </w:t>
      </w:r>
      <w:r w:rsidRPr="00102D10">
        <w:rPr>
          <w:b/>
          <w:kern w:val="0"/>
        </w:rPr>
        <w:t>41</w:t>
      </w:r>
      <w:r>
        <w:rPr>
          <w:kern w:val="0"/>
        </w:rPr>
        <w:t>, V-X.</w:t>
      </w:r>
    </w:p>
    <w:p w:rsidR="00102D10" w:rsidRPr="001A3D2B" w:rsidRDefault="00102D10" w:rsidP="00102D10">
      <w:pPr>
        <w:pStyle w:val="a3"/>
      </w:pPr>
      <w:r w:rsidRPr="001A3D2B">
        <w:t xml:space="preserve">Full Text: </w:t>
      </w:r>
      <w:hyperlink r:id="rId11" w:history="1">
        <w:r w:rsidRPr="00102D10">
          <w:rPr>
            <w:rStyle w:val="a5"/>
          </w:rPr>
          <w:t>2008\Aca-Rev Lat Adm41, V.pdf</w:t>
        </w:r>
      </w:hyperlink>
    </w:p>
    <w:p w:rsidR="00102D10" w:rsidRDefault="00102D10" w:rsidP="00102D10">
      <w:pPr>
        <w:pStyle w:val="a3"/>
        <w:rPr>
          <w:kern w:val="0"/>
        </w:rPr>
      </w:pPr>
      <w:r>
        <w:rPr>
          <w:kern w:val="0"/>
        </w:rPr>
        <w:t>Abstract: This issue -on research in marketing in Latin America-includes six articles, an essay,</w:t>
      </w:r>
      <w:r w:rsidR="005853A9">
        <w:rPr>
          <w:kern w:val="0"/>
        </w:rPr>
        <w:t xml:space="preserve"> and </w:t>
      </w:r>
      <w:r>
        <w:rPr>
          <w:kern w:val="0"/>
        </w:rPr>
        <w:t>a case study, written by researchers from Brazil, Chile, Spain, Mexico</w:t>
      </w:r>
      <w:r w:rsidR="005853A9">
        <w:rPr>
          <w:kern w:val="0"/>
        </w:rPr>
        <w:t xml:space="preserve"> and </w:t>
      </w:r>
      <w:r>
        <w:rPr>
          <w:kern w:val="0"/>
        </w:rPr>
        <w:t>Nicaragua</w:t>
      </w:r>
      <w:r w:rsidR="00A37C1D">
        <w:rPr>
          <w:kern w:val="0"/>
        </w:rPr>
        <w:t>. The</w:t>
      </w:r>
      <w:r>
        <w:rPr>
          <w:kern w:val="0"/>
        </w:rPr>
        <w:t xml:space="preserve"> introductory essay, written by the issue</w:t>
      </w:r>
      <w:r w:rsidR="00700038">
        <w:rPr>
          <w:kern w:val="0"/>
        </w:rPr>
        <w:t>’</w:t>
      </w:r>
      <w:r>
        <w:rPr>
          <w:kern w:val="0"/>
        </w:rPr>
        <w:t>s guest editor, analyzes the challenges</w:t>
      </w:r>
      <w:r w:rsidR="00427468">
        <w:rPr>
          <w:kern w:val="0"/>
        </w:rPr>
        <w:t xml:space="preserve"> of </w:t>
      </w:r>
      <w:r>
        <w:rPr>
          <w:kern w:val="0"/>
        </w:rPr>
        <w:t>market research in our region, especially in focusing on priority real</w:t>
      </w:r>
      <w:r w:rsidR="005853A9">
        <w:rPr>
          <w:kern w:val="0"/>
        </w:rPr>
        <w:t xml:space="preserve"> and </w:t>
      </w:r>
      <w:r>
        <w:rPr>
          <w:kern w:val="0"/>
        </w:rPr>
        <w:t>global problems, such as generating more research cases</w:t>
      </w:r>
      <w:r w:rsidR="00A37C1D">
        <w:rPr>
          <w:kern w:val="0"/>
        </w:rPr>
        <w:t>. The</w:t>
      </w:r>
      <w:r>
        <w:rPr>
          <w:kern w:val="0"/>
        </w:rPr>
        <w:t xml:space="preserve"> articles deal with female</w:t>
      </w:r>
      <w:r w:rsidR="005853A9">
        <w:rPr>
          <w:kern w:val="0"/>
        </w:rPr>
        <w:t xml:space="preserve"> and </w:t>
      </w:r>
      <w:r>
        <w:rPr>
          <w:kern w:val="0"/>
        </w:rPr>
        <w:t>male stereotypes in advertising, changes in the consumers</w:t>
      </w:r>
      <w:r w:rsidR="00700038">
        <w:rPr>
          <w:kern w:val="0"/>
        </w:rPr>
        <w:t>’</w:t>
      </w:r>
      <w:r>
        <w:rPr>
          <w:kern w:val="0"/>
        </w:rPr>
        <w:t xml:space="preserve"> expectations with respect to different types</w:t>
      </w:r>
      <w:r w:rsidR="00427468">
        <w:rPr>
          <w:kern w:val="0"/>
        </w:rPr>
        <w:t xml:space="preserve"> of </w:t>
      </w:r>
      <w:r>
        <w:rPr>
          <w:kern w:val="0"/>
        </w:rPr>
        <w:t>shops, the consumer experience as a determining factor</w:t>
      </w:r>
      <w:r w:rsidR="00427468">
        <w:rPr>
          <w:kern w:val="0"/>
        </w:rPr>
        <w:t xml:space="preserve"> of </w:t>
      </w:r>
      <w:r>
        <w:rPr>
          <w:kern w:val="0"/>
        </w:rPr>
        <w:t>satisfaction, perceived value</w:t>
      </w:r>
      <w:r w:rsidR="005853A9">
        <w:rPr>
          <w:kern w:val="0"/>
        </w:rPr>
        <w:t xml:space="preserve"> and </w:t>
      </w:r>
      <w:r>
        <w:rPr>
          <w:kern w:val="0"/>
        </w:rPr>
        <w:t>consumer loyalty, customer satisfaction</w:t>
      </w:r>
      <w:r w:rsidR="005853A9">
        <w:rPr>
          <w:kern w:val="0"/>
        </w:rPr>
        <w:t xml:space="preserve"> and </w:t>
      </w:r>
      <w:r>
        <w:rPr>
          <w:kern w:val="0"/>
        </w:rPr>
        <w:t>dissatisfaction with respect to Internet banking, an instrument to measure consumer based brand equity components,</w:t>
      </w:r>
      <w:r w:rsidR="005853A9">
        <w:rPr>
          <w:kern w:val="0"/>
        </w:rPr>
        <w:t xml:space="preserve"> and </w:t>
      </w:r>
      <w:r>
        <w:rPr>
          <w:kern w:val="0"/>
        </w:rPr>
        <w:t>whether internet advertising can improve the efficiency</w:t>
      </w:r>
      <w:r w:rsidR="00427468">
        <w:rPr>
          <w:kern w:val="0"/>
        </w:rPr>
        <w:t xml:space="preserve"> of </w:t>
      </w:r>
      <w:r>
        <w:rPr>
          <w:kern w:val="0"/>
        </w:rPr>
        <w:t>advertising</w:t>
      </w:r>
      <w:r w:rsidR="00A37C1D">
        <w:rPr>
          <w:kern w:val="0"/>
        </w:rPr>
        <w:t>. The</w:t>
      </w:r>
      <w:r>
        <w:rPr>
          <w:kern w:val="0"/>
        </w:rPr>
        <w:t xml:space="preserve"> case study is about Unilever</w:t>
      </w:r>
      <w:r w:rsidR="00700038">
        <w:rPr>
          <w:kern w:val="0"/>
        </w:rPr>
        <w:t>’</w:t>
      </w:r>
      <w:r>
        <w:rPr>
          <w:kern w:val="0"/>
        </w:rPr>
        <w:t>s decision to change the name</w:t>
      </w:r>
      <w:r w:rsidR="00427468">
        <w:rPr>
          <w:kern w:val="0"/>
        </w:rPr>
        <w:t xml:space="preserve"> of </w:t>
      </w:r>
      <w:r>
        <w:rPr>
          <w:kern w:val="0"/>
        </w:rPr>
        <w:t>a shampoo brand for the Central American region. At the end</w:t>
      </w:r>
      <w:r w:rsidR="00427468">
        <w:rPr>
          <w:kern w:val="0"/>
        </w:rPr>
        <w:t xml:space="preserve"> of </w:t>
      </w:r>
      <w:r>
        <w:rPr>
          <w:kern w:val="0"/>
        </w:rPr>
        <w:t>a ten year period -the second stage</w:t>
      </w:r>
      <w:r w:rsidR="00427468">
        <w:rPr>
          <w:kern w:val="0"/>
        </w:rPr>
        <w:t xml:space="preserve"> of </w:t>
      </w:r>
      <w:r>
        <w:rPr>
          <w:kern w:val="0"/>
        </w:rPr>
        <w:t>the magazine- we have received ISI (Social Sciences Citation Index) indexing. This issue is an academic contribution that deals with factors that affect our countries such as managing some</w:t>
      </w:r>
      <w:r w:rsidR="00427468">
        <w:rPr>
          <w:kern w:val="0"/>
        </w:rPr>
        <w:t xml:space="preserve"> of </w:t>
      </w:r>
      <w:r>
        <w:rPr>
          <w:kern w:val="0"/>
        </w:rPr>
        <w:t>the challenges, supporting the practice</w:t>
      </w:r>
      <w:r w:rsidR="00427468">
        <w:rPr>
          <w:kern w:val="0"/>
        </w:rPr>
        <w:t xml:space="preserve"> of </w:t>
      </w:r>
      <w:r>
        <w:rPr>
          <w:kern w:val="0"/>
        </w:rPr>
        <w:t>marketing,</w:t>
      </w:r>
      <w:r w:rsidR="005853A9">
        <w:rPr>
          <w:kern w:val="0"/>
        </w:rPr>
        <w:t xml:space="preserve"> and </w:t>
      </w:r>
      <w:r>
        <w:rPr>
          <w:kern w:val="0"/>
        </w:rPr>
        <w:t>the issue</w:t>
      </w:r>
      <w:r w:rsidR="00427468">
        <w:rPr>
          <w:kern w:val="0"/>
        </w:rPr>
        <w:t xml:space="preserve"> of </w:t>
      </w:r>
      <w:r>
        <w:rPr>
          <w:kern w:val="0"/>
        </w:rPr>
        <w:t>competitiveness.</w:t>
      </w:r>
    </w:p>
    <w:p w:rsidR="00102D10" w:rsidRDefault="00102D10" w:rsidP="00102D10">
      <w:pPr>
        <w:pStyle w:val="a3"/>
        <w:rPr>
          <w:kern w:val="0"/>
        </w:rPr>
      </w:pPr>
      <w:r>
        <w:rPr>
          <w:kern w:val="0"/>
        </w:rPr>
        <w:t>Keywords: Advertising, Brazil, Case Study, Changes, Chile, Citation, Decision, Efficiency, Equity, Expectations, Experience, Female, Global, Indexing, Internet</w:t>
      </w:r>
      <w:r w:rsidR="00D5664A">
        <w:rPr>
          <w:kern w:val="0"/>
        </w:rPr>
        <w:t>, ISI,</w:t>
      </w:r>
      <w:r>
        <w:rPr>
          <w:kern w:val="0"/>
        </w:rPr>
        <w:t xml:space="preserve"> Male, Market, Marketing, Measure, Mexico, Nicaragua, Practice, Region, Research, Satisfaction, Second Stage, Social Sciences, Social Sciences Citation Index, Spain, Value</w:t>
      </w:r>
    </w:p>
    <w:p w:rsidR="003474F2" w:rsidRPr="001A3D2B" w:rsidRDefault="003474F2" w:rsidP="003474F2">
      <w:pPr>
        <w:pStyle w:val="1"/>
      </w:pPr>
      <w:r w:rsidRPr="001A3D2B">
        <w:br w:type="page"/>
      </w:r>
      <w:bookmarkStart w:id="16" w:name="_Toc23785352"/>
      <w:bookmarkStart w:id="17" w:name="_Toc132379229"/>
      <w:bookmarkStart w:id="18" w:name="_Toc420814230"/>
      <w:r w:rsidRPr="001A3D2B">
        <w:lastRenderedPageBreak/>
        <w:t>Title: Academic Emergency Medicine</w:t>
      </w:r>
      <w:bookmarkEnd w:id="16"/>
      <w:bookmarkEnd w:id="17"/>
      <w:bookmarkEnd w:id="18"/>
    </w:p>
    <w:p w:rsidR="003474F2" w:rsidRPr="001A3D2B" w:rsidRDefault="003474F2" w:rsidP="003474F2">
      <w:pPr>
        <w:pStyle w:val="12"/>
      </w:pPr>
      <w:r w:rsidRPr="001A3D2B">
        <w:t xml:space="preserve">Full Journal Title: </w:t>
      </w:r>
      <w:hyperlink r:id="rId12" w:history="1">
        <w:r w:rsidRPr="001A3D2B">
          <w:rPr>
            <w:rStyle w:val="a5"/>
          </w:rPr>
          <w:t>Academic Emergency Medicine</w:t>
        </w:r>
      </w:hyperlink>
    </w:p>
    <w:p w:rsidR="003474F2" w:rsidRPr="001A3D2B" w:rsidRDefault="003474F2" w:rsidP="003474F2">
      <w:pPr>
        <w:pStyle w:val="12"/>
      </w:pPr>
      <w:r w:rsidRPr="001A3D2B">
        <w:t>ISO Abbreviated Title: Acad. Emerg. Med.</w:t>
      </w:r>
    </w:p>
    <w:p w:rsidR="003474F2" w:rsidRPr="001A3D2B" w:rsidRDefault="003474F2" w:rsidP="003474F2">
      <w:pPr>
        <w:pStyle w:val="12"/>
      </w:pPr>
      <w:r w:rsidRPr="001A3D2B">
        <w:t>JCR Abbreviated Title: Acad Emerg Med</w:t>
      </w:r>
    </w:p>
    <w:p w:rsidR="003474F2" w:rsidRPr="001A3D2B" w:rsidRDefault="003474F2" w:rsidP="003474F2">
      <w:pPr>
        <w:pStyle w:val="12"/>
      </w:pPr>
      <w:r w:rsidRPr="001A3D2B">
        <w:t>ISSN: 1069-6563</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Hanley &amp; Belfus Inc</w:t>
      </w:r>
    </w:p>
    <w:p w:rsidR="003474F2" w:rsidRPr="001A3D2B" w:rsidRDefault="003474F2" w:rsidP="003474F2">
      <w:pPr>
        <w:pStyle w:val="12"/>
      </w:pPr>
      <w:r w:rsidRPr="001A3D2B">
        <w:t xml:space="preserve">Publisher Address: 210 s </w:t>
      </w:r>
      <w:smartTag w:uri="urn:schemas-microsoft-com:office:smarttags" w:element="address">
        <w:smartTag w:uri="urn:schemas-microsoft-com:office:smarttags" w:element="Street">
          <w:r w:rsidRPr="001A3D2B">
            <w:t>13th St</w:t>
          </w:r>
        </w:smartTag>
        <w:r w:rsidRPr="001A3D2B">
          <w:t xml:space="preserve">, </w:t>
        </w:r>
        <w:smartTag w:uri="urn:schemas-microsoft-com:office:smarttags" w:element="City">
          <w:r w:rsidRPr="001A3D2B">
            <w:t>Philadelphia</w:t>
          </w:r>
        </w:smartTag>
        <w:r w:rsidRPr="001A3D2B">
          <w:t xml:space="preserve">, </w:t>
        </w:r>
        <w:smartTag w:uri="urn:schemas-microsoft-com:office:smarttags" w:element="State">
          <w:r w:rsidRPr="001A3D2B">
            <w:t>PA</w:t>
          </w:r>
        </w:smartTag>
        <w:r w:rsidRPr="001A3D2B">
          <w:t xml:space="preserve"> </w:t>
        </w:r>
        <w:smartTag w:uri="urn:schemas-microsoft-com:office:smarttags" w:element="PostalCode">
          <w:r w:rsidRPr="001A3D2B">
            <w:t>19107</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Emergency Medicine: Impact Factor 1.144, 3/12 (2001)</w:t>
      </w:r>
    </w:p>
    <w:p w:rsidR="003474F2" w:rsidRPr="001A3D2B" w:rsidRDefault="003474F2" w:rsidP="003474F2">
      <w:pPr>
        <w:pStyle w:val="a3"/>
      </w:pPr>
      <w:r w:rsidRPr="001A3D2B">
        <w:t>? Osmond, M.H.</w:t>
      </w:r>
      <w:r w:rsidR="005853A9">
        <w:t xml:space="preserve"> and </w:t>
      </w:r>
      <w:r w:rsidRPr="001A3D2B">
        <w:t>Klassen, T.P. (1995), Efficacy</w:t>
      </w:r>
      <w:r w:rsidR="00427468">
        <w:t xml:space="preserve"> of </w:t>
      </w:r>
      <w:r w:rsidRPr="001A3D2B">
        <w:t>Ipratropium bromide in acute childhood asthma</w:t>
      </w:r>
      <w:r w:rsidR="00C242D1">
        <w:rPr>
          <w:rFonts w:hint="eastAsia"/>
        </w:rPr>
        <w:t>:</w:t>
      </w:r>
      <w:r w:rsidRPr="001A3D2B">
        <w:t xml:space="preserve"> A metaanalysis. </w:t>
      </w:r>
      <w:r w:rsidRPr="001A3D2B">
        <w:rPr>
          <w:i/>
          <w:iCs/>
        </w:rPr>
        <w:t>Academic Emergency Medicine</w:t>
      </w:r>
      <w:r w:rsidRPr="001A3D2B">
        <w:t xml:space="preserve">, </w:t>
      </w:r>
      <w:r w:rsidRPr="001A3D2B">
        <w:rPr>
          <w:b/>
          <w:bCs/>
        </w:rPr>
        <w:t>2</w:t>
      </w:r>
      <w:r w:rsidRPr="001A3D2B">
        <w:t xml:space="preserve"> (7), 651-656.</w:t>
      </w:r>
    </w:p>
    <w:p w:rsidR="000875D0" w:rsidRPr="00F219CA" w:rsidRDefault="000875D0" w:rsidP="000875D0">
      <w:pPr>
        <w:pStyle w:val="a3"/>
      </w:pPr>
      <w:r w:rsidRPr="00F219CA">
        <w:t xml:space="preserve">Full Text: </w:t>
      </w:r>
      <w:hyperlink r:id="rId13" w:history="1">
        <w:r w:rsidR="00C242D1" w:rsidRPr="00C242D1">
          <w:rPr>
            <w:rStyle w:val="a5"/>
          </w:rPr>
          <w:t>1995\Aca Eme Med2, 651.pdf</w:t>
        </w:r>
      </w:hyperlink>
    </w:p>
    <w:p w:rsidR="003474F2" w:rsidRPr="001A3D2B" w:rsidRDefault="003474F2" w:rsidP="003474F2">
      <w:pPr>
        <w:pStyle w:val="a3"/>
      </w:pPr>
      <w:r w:rsidRPr="001A3D2B">
        <w:t xml:space="preserve">Abstract: Purpose: To determine whether inhaled ipratropium bromide provides an additive, clinically important improvement in children with acute asthma who are being treated with beta(2)-agonists. Methods: An English-language literature search was conducted employing </w:t>
      </w:r>
      <w:r w:rsidR="00D5664A">
        <w:t>MEDLINE</w:t>
      </w:r>
      <w:r w:rsidRPr="001A3D2B">
        <w:t xml:space="preserve"> (1966 to 1992), Science Citation Index (1986 to 1992) using key citations, bibliographic reviews</w:t>
      </w:r>
      <w:r w:rsidR="00427468">
        <w:t xml:space="preserve"> of </w:t>
      </w:r>
      <w:r w:rsidRPr="001A3D2B">
        <w:t>primary research</w:t>
      </w:r>
      <w:r w:rsidR="005853A9">
        <w:t xml:space="preserve"> and </w:t>
      </w:r>
      <w:r w:rsidRPr="001A3D2B">
        <w:t>review articles,</w:t>
      </w:r>
      <w:r w:rsidR="005853A9">
        <w:t xml:space="preserve"> and </w:t>
      </w:r>
      <w:r w:rsidRPr="001A3D2B">
        <w:t>correspondence with authors</w:t>
      </w:r>
      <w:r w:rsidR="00427468">
        <w:t xml:space="preserve"> of </w:t>
      </w:r>
      <w:r w:rsidRPr="001A3D2B">
        <w:t>recent articles. After independent review by two observers, six studies were selected on</w:t>
      </w:r>
      <w:r w:rsidR="003A1917">
        <w:t xml:space="preserve"> the </w:t>
      </w:r>
      <w:r w:rsidRPr="001A3D2B">
        <w:t>basis</w:t>
      </w:r>
      <w:r w:rsidR="00427468">
        <w:t xml:space="preserve"> of </w:t>
      </w:r>
      <w:r w:rsidRPr="001A3D2B">
        <w:t>prespecified selection criteria. Two observers independently assessed</w:t>
      </w:r>
      <w:r w:rsidR="003A1917">
        <w:t xml:space="preserve"> the </w:t>
      </w:r>
      <w:r w:rsidRPr="001A3D2B">
        <w:t>selected papers by using explicit methodologic criteria for evaluating</w:t>
      </w:r>
      <w:r w:rsidR="003A1917">
        <w:t xml:space="preserve"> the </w:t>
      </w:r>
      <w:r w:rsidRPr="001A3D2B">
        <w:t>quality</w:t>
      </w:r>
      <w:r w:rsidR="00427468">
        <w:t xml:space="preserve"> of </w:t>
      </w:r>
      <w:r w:rsidRPr="001A3D2B">
        <w:t>studies dealing with therapeutic intervention. Results: None</w:t>
      </w:r>
      <w:r w:rsidR="00427468">
        <w:t xml:space="preserve"> of </w:t>
      </w:r>
      <w:r w:rsidR="003A1917">
        <w:t xml:space="preserve">the </w:t>
      </w:r>
      <w:r w:rsidRPr="001A3D2B">
        <w:t>six studies found a significant difference in clinical rating score, admission rate; or length</w:t>
      </w:r>
      <w:r w:rsidR="00427468">
        <w:t xml:space="preserve"> of </w:t>
      </w:r>
      <w:r w:rsidRPr="001A3D2B">
        <w:t>stay in hospital between</w:t>
      </w:r>
      <w:r w:rsidR="003A1917">
        <w:t xml:space="preserve"> the </w:t>
      </w:r>
      <w:r w:rsidRPr="001A3D2B">
        <w:t>ipratropium bromide</w:t>
      </w:r>
      <w:r w:rsidR="005853A9">
        <w:t xml:space="preserve"> and </w:t>
      </w:r>
      <w:r w:rsidR="003A1917">
        <w:t xml:space="preserve">the </w:t>
      </w:r>
      <w:r w:rsidRPr="001A3D2B">
        <w:t>control groups</w:t>
      </w:r>
      <w:r w:rsidR="00A37C1D">
        <w:t>. The</w:t>
      </w:r>
      <w:r w:rsidR="003A1917">
        <w:t xml:space="preserve"> </w:t>
      </w:r>
      <w:r w:rsidRPr="001A3D2B">
        <w:t>three studies with</w:t>
      </w:r>
      <w:r w:rsidR="003A1917">
        <w:t xml:space="preserve"> the </w:t>
      </w:r>
      <w:r w:rsidRPr="001A3D2B">
        <w:t>highest methodologic validity measured</w:t>
      </w:r>
      <w:r w:rsidR="003A1917">
        <w:t xml:space="preserve"> the </w:t>
      </w:r>
      <w:r w:rsidRPr="001A3D2B">
        <w:t>change in percentage predicted forced expiratory volume in 1 second (FEV(1)) from baseline to 60 minutes</w:t>
      </w:r>
      <w:r w:rsidR="00A37C1D">
        <w:t>. The</w:t>
      </w:r>
      <w:r w:rsidR="003A1917">
        <w:t xml:space="preserve"> </w:t>
      </w:r>
      <w:r w:rsidRPr="001A3D2B">
        <w:t>pooled effect size (95% CI) for these studies was 0.88 (0.42-1.34), which translates to an improvement in percentage predicted FEV(1) over</w:t>
      </w:r>
      <w:r w:rsidR="003A1917">
        <w:t xml:space="preserve"> the </w:t>
      </w:r>
      <w:r w:rsidRPr="001A3D2B">
        <w:t>control group</w:t>
      </w:r>
      <w:r w:rsidR="00427468">
        <w:t xml:space="preserve"> of </w:t>
      </w:r>
      <w:r w:rsidRPr="001A3D2B">
        <w:t>12.5% (95% CI, 6.6-18.4). In a subset</w:t>
      </w:r>
      <w:r w:rsidR="00427468">
        <w:t xml:space="preserve"> of </w:t>
      </w:r>
      <w:r w:rsidRPr="001A3D2B">
        <w:t>23 children who had severe airway obstruction, peak expiratory flow rate (PEFR) responded better to a beta(2)-agonist alone (p = 0.007). Conclusion:</w:t>
      </w:r>
      <w:r w:rsidR="003A1917">
        <w:t xml:space="preserve"> the </w:t>
      </w:r>
      <w:r w:rsidRPr="001A3D2B">
        <w:t>existing evidence reveals that</w:t>
      </w:r>
      <w:r w:rsidR="003A1917">
        <w:t xml:space="preserve"> the </w:t>
      </w:r>
      <w:r w:rsidRPr="001A3D2B">
        <w:t>addition</w:t>
      </w:r>
      <w:r w:rsidR="00427468">
        <w:t xml:space="preserve"> of </w:t>
      </w:r>
      <w:r w:rsidRPr="001A3D2B">
        <w:t xml:space="preserve">ipratropium bromide to a beta(2)-agonist offers a statistically significant improvement in percentage predicted FEV(1) but no clinical improvement. As it may cause deterioration in PEFR in severely asthmatic children, ipratropium bromide should not be used universally for acute childhood asthma until </w:t>
      </w:r>
      <w:r w:rsidRPr="001A3D2B">
        <w:lastRenderedPageBreak/>
        <w:t>further research determines</w:t>
      </w:r>
      <w:r w:rsidR="003A1917">
        <w:t xml:space="preserve"> the </w:t>
      </w:r>
      <w:r w:rsidRPr="001A3D2B">
        <w:t>clinical significance</w:t>
      </w:r>
      <w:r w:rsidR="00427468">
        <w:t xml:space="preserve"> of </w:t>
      </w:r>
      <w:r w:rsidRPr="001A3D2B">
        <w:t>these spirometric changes.</w:t>
      </w:r>
    </w:p>
    <w:p w:rsidR="003474F2" w:rsidRPr="001A3D2B" w:rsidRDefault="003474F2" w:rsidP="003474F2">
      <w:pPr>
        <w:pStyle w:val="a3"/>
      </w:pPr>
      <w:r w:rsidRPr="001A3D2B">
        <w:t>Keywords: Additive, Airway, Asthma, Childhood, Children, Citations, Clinical, Clinical Significance, Control, Fenoterol, Flow, Flow Rate, Forced Expiratory Volume, Group, Groups, Hospital, Inhalation, Intervention, Ipratropium Bromide, Key, Length</w:t>
      </w:r>
      <w:r w:rsidR="00427468">
        <w:t xml:space="preserve"> of </w:t>
      </w:r>
      <w:r w:rsidRPr="001A3D2B">
        <w:t xml:space="preserve">Stay, Management, </w:t>
      </w:r>
      <w:r w:rsidR="00D5664A">
        <w:t>MEDLINE</w:t>
      </w:r>
      <w:r w:rsidRPr="001A3D2B">
        <w:t>, Metaanalysis, Pediatrics, Quality, Recent, Research, Review, Reviews, Salbutamol, Science Citation Index, Selection, Size, Validity</w:t>
      </w:r>
    </w:p>
    <w:p w:rsidR="003474F2" w:rsidRPr="001A3D2B" w:rsidRDefault="003474F2" w:rsidP="003474F2">
      <w:pPr>
        <w:pStyle w:val="a3"/>
      </w:pPr>
      <w:r w:rsidRPr="001A3D2B">
        <w:t>? Federiuk, C.S. (1999</w:t>
      </w:r>
      <w:r w:rsidR="00F42EAC">
        <w:t>), The</w:t>
      </w:r>
      <w:r w:rsidR="003A1917">
        <w:t xml:space="preserve"> </w:t>
      </w:r>
      <w:r w:rsidRPr="001A3D2B">
        <w:t>effect</w:t>
      </w:r>
      <w:r w:rsidR="00427468">
        <w:t xml:space="preserve"> of </w:t>
      </w:r>
      <w:r w:rsidRPr="001A3D2B">
        <w:t xml:space="preserve">abbreviations on </w:t>
      </w:r>
      <w:r w:rsidR="00D5664A">
        <w:t>MEDLINE</w:t>
      </w:r>
      <w:r w:rsidRPr="001A3D2B">
        <w:t xml:space="preserve"> searching. </w:t>
      </w:r>
      <w:r w:rsidRPr="001A3D2B">
        <w:rPr>
          <w:i/>
          <w:iCs/>
        </w:rPr>
        <w:t>Academic Emergency Medicine</w:t>
      </w:r>
      <w:r w:rsidRPr="001A3D2B">
        <w:t xml:space="preserve">, </w:t>
      </w:r>
      <w:r w:rsidRPr="001A3D2B">
        <w:rPr>
          <w:b/>
          <w:bCs/>
        </w:rPr>
        <w:t>6</w:t>
      </w:r>
      <w:r w:rsidRPr="001A3D2B">
        <w:t xml:space="preserve"> (4), 292-296.</w:t>
      </w:r>
    </w:p>
    <w:p w:rsidR="000875D0" w:rsidRPr="00F219CA" w:rsidRDefault="000875D0" w:rsidP="000875D0">
      <w:pPr>
        <w:pStyle w:val="a3"/>
      </w:pPr>
      <w:r w:rsidRPr="00F219CA">
        <w:t xml:space="preserve">Full Text: </w:t>
      </w:r>
      <w:hyperlink r:id="rId14" w:history="1">
        <w:r w:rsidRPr="00260869">
          <w:rPr>
            <w:rStyle w:val="a5"/>
          </w:rPr>
          <w:t>1999\Aca Eme Med6, 292.pdf</w:t>
        </w:r>
      </w:hyperlink>
    </w:p>
    <w:p w:rsidR="003474F2" w:rsidRPr="001A3D2B" w:rsidRDefault="003474F2" w:rsidP="003474F2">
      <w:pPr>
        <w:pStyle w:val="a3"/>
      </w:pPr>
      <w:r w:rsidRPr="001A3D2B">
        <w:t>Abstract: Objective: To determine</w:t>
      </w:r>
      <w:r w:rsidR="003A1917">
        <w:t xml:space="preserve"> the </w:t>
      </w:r>
      <w:r w:rsidRPr="001A3D2B">
        <w:t>effect</w:t>
      </w:r>
      <w:r w:rsidR="00427468">
        <w:t xml:space="preserve"> of </w:t>
      </w:r>
      <w:r w:rsidR="003A1917">
        <w:t xml:space="preserve">the </w:t>
      </w:r>
      <w:r w:rsidRPr="001A3D2B">
        <w:t>use</w:t>
      </w:r>
      <w:r w:rsidR="00427468">
        <w:t xml:space="preserve"> of </w:t>
      </w:r>
      <w:r w:rsidRPr="001A3D2B">
        <w:t>abbreviations</w:t>
      </w:r>
      <w:r w:rsidR="005853A9">
        <w:t xml:space="preserve"> and </w:t>
      </w:r>
      <w:r w:rsidRPr="001A3D2B">
        <w:t xml:space="preserve">acronyms on citation retrieval in </w:t>
      </w:r>
      <w:r w:rsidR="00D5664A">
        <w:t>MEDLINE</w:t>
      </w:r>
      <w:r w:rsidRPr="001A3D2B">
        <w:t xml:space="preserve"> searches. Methods: Twenty common medical abbreviations that retrieved a minimum</w:t>
      </w:r>
      <w:r w:rsidR="00427468">
        <w:t xml:space="preserve"> of </w:t>
      </w:r>
      <w:r w:rsidRPr="001A3D2B">
        <w:t xml:space="preserve">400 citations each in </w:t>
      </w:r>
      <w:r w:rsidR="00D5664A">
        <w:t>MEDLINE</w:t>
      </w:r>
      <w:r w:rsidRPr="001A3D2B">
        <w:t xml:space="preserve"> text, word searches were studied. Each abbreviation was entered in a </w:t>
      </w:r>
      <w:r w:rsidR="00D5664A">
        <w:t>MEDLINE</w:t>
      </w:r>
      <w:r w:rsidRPr="001A3D2B">
        <w:t xml:space="preserve"> subject search to determine whether it mapped to an appropriate medical subject heading (MeSH) term</w:t>
      </w:r>
      <w:r w:rsidR="00A37C1D">
        <w:t>. The</w:t>
      </w:r>
      <w:r w:rsidR="003A1917">
        <w:t xml:space="preserve"> </w:t>
      </w:r>
      <w:r w:rsidRPr="001A3D2B">
        <w:t>MeSH category</w:t>
      </w:r>
      <w:r w:rsidR="005853A9">
        <w:t xml:space="preserve"> and </w:t>
      </w:r>
      <w:r w:rsidR="003A1917">
        <w:t xml:space="preserve">the </w:t>
      </w:r>
      <w:r w:rsidRPr="001A3D2B">
        <w:t>number</w:t>
      </w:r>
      <w:r w:rsidR="00427468">
        <w:t xml:space="preserve"> of </w:t>
      </w:r>
      <w:r w:rsidRPr="001A3D2B">
        <w:t>citations retrieved were recorded</w:t>
      </w:r>
      <w:r w:rsidR="00A37C1D">
        <w:t>. The</w:t>
      </w:r>
      <w:r w:rsidR="003A1917">
        <w:t xml:space="preserve"> </w:t>
      </w:r>
      <w:r w:rsidRPr="001A3D2B">
        <w:t>abbreviation</w:t>
      </w:r>
      <w:r w:rsidR="005853A9">
        <w:t xml:space="preserve"> and </w:t>
      </w:r>
      <w:r w:rsidRPr="001A3D2B">
        <w:t>its definition were each entered in separate text word searches,</w:t>
      </w:r>
      <w:r w:rsidR="005853A9">
        <w:t xml:space="preserve"> and </w:t>
      </w:r>
      <w:r w:rsidR="003A1917">
        <w:t xml:space="preserve">the </w:t>
      </w:r>
      <w:r w:rsidRPr="001A3D2B">
        <w:t>number</w:t>
      </w:r>
      <w:r w:rsidR="00427468">
        <w:t xml:space="preserve"> of </w:t>
      </w:r>
      <w:r w:rsidRPr="001A3D2B">
        <w:t>citations retrieved was recorded. Sets were combined to determine</w:t>
      </w:r>
      <w:r w:rsidR="003A1917">
        <w:t xml:space="preserve"> the </w:t>
      </w:r>
      <w:r w:rsidRPr="001A3D2B">
        <w:t>number</w:t>
      </w:r>
      <w:r w:rsidR="00427468">
        <w:t xml:space="preserve"> of </w:t>
      </w:r>
      <w:r w:rsidRPr="001A3D2B">
        <w:t>identical</w:t>
      </w:r>
      <w:r w:rsidR="005853A9">
        <w:t xml:space="preserve"> and </w:t>
      </w:r>
      <w:r w:rsidRPr="001A3D2B">
        <w:t>unique citations retrieved in</w:t>
      </w:r>
      <w:r w:rsidR="003A1917">
        <w:t xml:space="preserve"> the </w:t>
      </w:r>
      <w:r w:rsidRPr="001A3D2B">
        <w:t xml:space="preserve">searches. Results: </w:t>
      </w:r>
      <w:r w:rsidR="00D5664A">
        <w:t>MEDLINE</w:t>
      </w:r>
      <w:r w:rsidRPr="001A3D2B">
        <w:t xml:space="preserve"> recognized all 20 abbreviations</w:t>
      </w:r>
      <w:r w:rsidR="005853A9">
        <w:t xml:space="preserve"> and </w:t>
      </w:r>
      <w:r w:rsidRPr="001A3D2B">
        <w:t>mapped them to appropriate MeSH headings. MeSH term assignment, however, may be case-</w:t>
      </w:r>
      <w:r w:rsidR="005853A9">
        <w:t xml:space="preserve"> and </w:t>
      </w:r>
      <w:r w:rsidRPr="001A3D2B">
        <w:t>space-sensitive, MeSH term searches retrieved more citations than text word searches for 18</w:t>
      </w:r>
      <w:r w:rsidR="00427468">
        <w:t xml:space="preserve"> of </w:t>
      </w:r>
      <w:r w:rsidRPr="001A3D2B">
        <w:t>20 abbreviations. Comparison</w:t>
      </w:r>
      <w:r w:rsidR="00427468">
        <w:t xml:space="preserve"> of </w:t>
      </w:r>
      <w:r w:rsidR="003A1917">
        <w:t xml:space="preserve">the </w:t>
      </w:r>
      <w:r w:rsidRPr="001A3D2B">
        <w:t>document sets yielded by each search method revealed a subset</w:t>
      </w:r>
      <w:r w:rsidR="00427468">
        <w:t xml:space="preserve"> of </w:t>
      </w:r>
      <w:r w:rsidRPr="001A3D2B">
        <w:t>citations common to each. Although all sets retrieved showed overlap, no two were identical. In addition, each citation set contained a proportion</w:t>
      </w:r>
      <w:r w:rsidR="00427468">
        <w:t xml:space="preserve"> of </w:t>
      </w:r>
      <w:r w:rsidRPr="001A3D2B">
        <w:t>unique documents. Conclusion: Retrieval</w:t>
      </w:r>
      <w:r w:rsidR="00427468">
        <w:t xml:space="preserve"> of </w:t>
      </w:r>
      <w:r w:rsidRPr="001A3D2B">
        <w:t>all unique citations required three searches; subject with abbreviation, text word with abbreviation,</w:t>
      </w:r>
      <w:r w:rsidR="005853A9">
        <w:t xml:space="preserve"> and </w:t>
      </w:r>
      <w:r w:rsidRPr="001A3D2B">
        <w:t>text word with definition</w:t>
      </w:r>
      <w:r w:rsidR="00A37C1D">
        <w:t>. The</w:t>
      </w:r>
      <w:r w:rsidRPr="001A3D2B">
        <w:t xml:space="preserve">se results have important implications for </w:t>
      </w:r>
      <w:r w:rsidR="00D5664A">
        <w:t>MEDLINE</w:t>
      </w:r>
      <w:r w:rsidRPr="001A3D2B">
        <w:t>. users.</w:t>
      </w:r>
    </w:p>
    <w:p w:rsidR="003474F2" w:rsidRPr="001A3D2B" w:rsidRDefault="003474F2" w:rsidP="003474F2">
      <w:pPr>
        <w:pStyle w:val="a3"/>
      </w:pPr>
      <w:r w:rsidRPr="001A3D2B">
        <w:t>Keywords: Abbreviations, End-User, Information Storage</w:t>
      </w:r>
      <w:r w:rsidR="005853A9">
        <w:t xml:space="preserve"> and </w:t>
      </w:r>
      <w:r w:rsidRPr="001A3D2B">
        <w:t xml:space="preserve">Retrieval, </w:t>
      </w:r>
      <w:r w:rsidR="00D5664A">
        <w:t>MEDLINE</w:t>
      </w:r>
      <w:r w:rsidRPr="001A3D2B">
        <w:t>, Review Literature, Subject Headings</w:t>
      </w:r>
    </w:p>
    <w:p w:rsidR="00E914A7" w:rsidRPr="001A3D2B" w:rsidRDefault="00E914A7" w:rsidP="00E914A7">
      <w:pPr>
        <w:pStyle w:val="a3"/>
      </w:pPr>
      <w:r w:rsidRPr="001A3D2B">
        <w:t xml:space="preserve">? </w:t>
      </w:r>
      <w:r>
        <w:t>Gaeta, T</w:t>
      </w:r>
      <w:r>
        <w:rPr>
          <w:rFonts w:hint="eastAsia"/>
        </w:rPr>
        <w:t>.</w:t>
      </w:r>
      <w:r>
        <w:t>J</w:t>
      </w:r>
      <w:r>
        <w:rPr>
          <w:rFonts w:hint="eastAsia"/>
        </w:rPr>
        <w:t>.</w:t>
      </w:r>
      <w:r>
        <w:t xml:space="preserve"> </w:t>
      </w:r>
      <w:r w:rsidRPr="001A3D2B">
        <w:t xml:space="preserve">(1999), </w:t>
      </w:r>
      <w:r>
        <w:t xml:space="preserve">Authorship: </w:t>
      </w:r>
      <w:r w:rsidR="00B5188C">
        <w:t>“</w:t>
      </w:r>
      <w:r>
        <w:t>law</w:t>
      </w:r>
      <w:r w:rsidR="00B5188C">
        <w:t>”</w:t>
      </w:r>
      <w:r w:rsidR="005853A9">
        <w:t xml:space="preserve"> and </w:t>
      </w:r>
      <w:r>
        <w:t>order</w:t>
      </w:r>
      <w:r w:rsidRPr="001A3D2B">
        <w:t xml:space="preserve">. </w:t>
      </w:r>
      <w:r w:rsidRPr="001A3D2B">
        <w:rPr>
          <w:i/>
          <w:iCs/>
        </w:rPr>
        <w:t>Academic Emergency Medicine</w:t>
      </w:r>
      <w:r w:rsidRPr="001A3D2B">
        <w:t xml:space="preserve">, </w:t>
      </w:r>
      <w:r w:rsidRPr="001A3D2B">
        <w:rPr>
          <w:b/>
          <w:bCs/>
        </w:rPr>
        <w:t>6</w:t>
      </w:r>
      <w:r w:rsidRPr="001A3D2B">
        <w:t xml:space="preserve"> (4), </w:t>
      </w:r>
      <w:r>
        <w:t>297-301</w:t>
      </w:r>
      <w:r w:rsidRPr="001A3D2B">
        <w:t>.</w:t>
      </w:r>
    </w:p>
    <w:p w:rsidR="00E914A7" w:rsidRDefault="00E914A7" w:rsidP="00E914A7">
      <w:pPr>
        <w:pStyle w:val="a3"/>
      </w:pPr>
      <w:r w:rsidRPr="00F219CA">
        <w:t xml:space="preserve">Full Text: </w:t>
      </w:r>
      <w:hyperlink r:id="rId15" w:history="1">
        <w:r w:rsidRPr="00E914A7">
          <w:rPr>
            <w:rStyle w:val="a5"/>
          </w:rPr>
          <w:t>1999\Aca Eme Med6, 297.pdf</w:t>
        </w:r>
      </w:hyperlink>
    </w:p>
    <w:p w:rsidR="00E914A7" w:rsidRDefault="00E914A7" w:rsidP="00E914A7">
      <w:pPr>
        <w:pStyle w:val="a3"/>
      </w:pPr>
      <w:r>
        <w:t>Abstract: Publication is a marker</w:t>
      </w:r>
      <w:r w:rsidR="00427468">
        <w:t xml:space="preserve"> of </w:t>
      </w:r>
      <w:r>
        <w:t>academic success. In academia, appointments</w:t>
      </w:r>
      <w:r w:rsidR="005853A9">
        <w:t xml:space="preserve"> and </w:t>
      </w:r>
      <w:r>
        <w:t>promotions are in many cases strongly linked to</w:t>
      </w:r>
      <w:r w:rsidR="003A1917">
        <w:t xml:space="preserve"> the </w:t>
      </w:r>
      <w:r>
        <w:t>candidate</w:t>
      </w:r>
      <w:r w:rsidR="00700038">
        <w:t>’</w:t>
      </w:r>
      <w:r>
        <w:t>s bibliography</w:t>
      </w:r>
      <w:r w:rsidR="00A37C1D">
        <w:t>. The</w:t>
      </w:r>
      <w:r w:rsidR="003A1917">
        <w:t xml:space="preserve"> </w:t>
      </w:r>
      <w:r w:rsidR="00B5188C">
        <w:t>“</w:t>
      </w:r>
      <w:r>
        <w:t>publish or perish</w:t>
      </w:r>
      <w:r w:rsidR="00B5188C">
        <w:t>”</w:t>
      </w:r>
      <w:r>
        <w:t xml:space="preserve"> mindset has placed extraordinary pressures on scientists</w:t>
      </w:r>
      <w:r w:rsidR="005853A9">
        <w:t xml:space="preserve"> and </w:t>
      </w:r>
      <w:r>
        <w:t>academic physicians alike. Authorship controversies have received considerable attention in</w:t>
      </w:r>
      <w:r w:rsidR="003A1917">
        <w:t xml:space="preserve"> the </w:t>
      </w:r>
      <w:r>
        <w:t xml:space="preserve">medical literature. Although guidelines are available to help determine how attribution should be acknowledged, anecdotal experiences with </w:t>
      </w:r>
      <w:r>
        <w:lastRenderedPageBreak/>
        <w:t>disputes associated with authorship continue to exist. This paper addresses several key problems facing authorship. A discussion</w:t>
      </w:r>
      <w:r w:rsidR="00427468">
        <w:t xml:space="preserve"> of </w:t>
      </w:r>
      <w:r>
        <w:t>who should be given authorship,</w:t>
      </w:r>
      <w:r w:rsidR="003A1917">
        <w:t xml:space="preserve"> the </w:t>
      </w:r>
      <w:r>
        <w:t>responsibilities</w:t>
      </w:r>
      <w:r w:rsidR="00427468">
        <w:t xml:space="preserve"> of </w:t>
      </w:r>
      <w:r>
        <w:t>an author,</w:t>
      </w:r>
      <w:r w:rsidR="005853A9">
        <w:t xml:space="preserve"> and </w:t>
      </w:r>
      <w:r>
        <w:t>a method for assigning authorship in a multiauthored publication is provided.</w:t>
      </w:r>
    </w:p>
    <w:p w:rsidR="00E914A7" w:rsidRPr="00F219CA" w:rsidRDefault="00E914A7" w:rsidP="00E914A7">
      <w:pPr>
        <w:pStyle w:val="a3"/>
      </w:pPr>
      <w:r>
        <w:t>Keywords: Authorship, Publication, Ethics, Coauthorship</w:t>
      </w:r>
    </w:p>
    <w:p w:rsidR="003B7D7E" w:rsidRDefault="003B7D7E" w:rsidP="003B7D7E">
      <w:pPr>
        <w:pStyle w:val="a3"/>
        <w:rPr>
          <w:kern w:val="0"/>
        </w:rPr>
      </w:pPr>
      <w:r>
        <w:rPr>
          <w:rFonts w:hint="eastAsia"/>
          <w:kern w:val="0"/>
        </w:rPr>
        <w:t xml:space="preserve">? </w:t>
      </w:r>
      <w:r>
        <w:rPr>
          <w:kern w:val="0"/>
        </w:rPr>
        <w:t>Feeser, V.R.</w:t>
      </w:r>
      <w:r w:rsidR="005853A9">
        <w:rPr>
          <w:kern w:val="0"/>
        </w:rPr>
        <w:t xml:space="preserve"> and </w:t>
      </w:r>
      <w:r>
        <w:rPr>
          <w:kern w:val="0"/>
        </w:rPr>
        <w:t>Simon, J.R. (2008</w:t>
      </w:r>
      <w:r w:rsidR="00F42EAC">
        <w:rPr>
          <w:kern w:val="0"/>
        </w:rPr>
        <w:t>), The</w:t>
      </w:r>
      <w:r w:rsidR="003A1917">
        <w:rPr>
          <w:kern w:val="0"/>
        </w:rPr>
        <w:t xml:space="preserve"> </w:t>
      </w:r>
      <w:r>
        <w:rPr>
          <w:kern w:val="0"/>
        </w:rPr>
        <w:t>ethical assignment</w:t>
      </w:r>
      <w:r w:rsidR="00427468">
        <w:rPr>
          <w:kern w:val="0"/>
        </w:rPr>
        <w:t xml:space="preserve"> of </w:t>
      </w:r>
      <w:r>
        <w:rPr>
          <w:kern w:val="0"/>
        </w:rPr>
        <w:t>authorship in scientific publications: Issues</w:t>
      </w:r>
      <w:r w:rsidR="005853A9">
        <w:rPr>
          <w:kern w:val="0"/>
        </w:rPr>
        <w:t xml:space="preserve"> and </w:t>
      </w:r>
      <w:r>
        <w:rPr>
          <w:kern w:val="0"/>
        </w:rPr>
        <w:t xml:space="preserve">guidelines. </w:t>
      </w:r>
      <w:r>
        <w:rPr>
          <w:i/>
          <w:iCs/>
          <w:kern w:val="0"/>
        </w:rPr>
        <w:t>Academic Emergency Medicine</w:t>
      </w:r>
      <w:r>
        <w:rPr>
          <w:kern w:val="0"/>
        </w:rPr>
        <w:t xml:space="preserve">, </w:t>
      </w:r>
      <w:r>
        <w:rPr>
          <w:b/>
          <w:bCs/>
          <w:kern w:val="0"/>
        </w:rPr>
        <w:t>15</w:t>
      </w:r>
      <w:r>
        <w:rPr>
          <w:kern w:val="0"/>
        </w:rPr>
        <w:t xml:space="preserve"> (10), 963-969.</w:t>
      </w:r>
    </w:p>
    <w:p w:rsidR="003B7D7E" w:rsidRPr="00F219CA" w:rsidRDefault="003B7D7E" w:rsidP="003B7D7E">
      <w:pPr>
        <w:pStyle w:val="a3"/>
      </w:pPr>
      <w:r w:rsidRPr="00F219CA">
        <w:t xml:space="preserve">Full Text: </w:t>
      </w:r>
      <w:hyperlink r:id="rId16" w:history="1">
        <w:r w:rsidRPr="00EF246E">
          <w:rPr>
            <w:rStyle w:val="a5"/>
          </w:rPr>
          <w:t>2008\Aca Eme Med15, 963.pdf</w:t>
        </w:r>
      </w:hyperlink>
    </w:p>
    <w:p w:rsidR="003B7D7E" w:rsidRDefault="003B7D7E" w:rsidP="003B7D7E">
      <w:pPr>
        <w:pStyle w:val="a3"/>
        <w:rPr>
          <w:kern w:val="0"/>
        </w:rPr>
      </w:pPr>
      <w:r>
        <w:rPr>
          <w:kern w:val="0"/>
        </w:rPr>
        <w:t>Abstract: Properly assigning authorship</w:t>
      </w:r>
      <w:r w:rsidR="00427468">
        <w:rPr>
          <w:kern w:val="0"/>
        </w:rPr>
        <w:t xml:space="preserve"> of </w:t>
      </w:r>
      <w:r>
        <w:rPr>
          <w:kern w:val="0"/>
        </w:rPr>
        <w:t>academic papers is often an ethical challenge. Through a hypothetical case study,</w:t>
      </w:r>
      <w:r w:rsidR="003A1917">
        <w:rPr>
          <w:kern w:val="0"/>
        </w:rPr>
        <w:t xml:space="preserve"> the </w:t>
      </w:r>
      <w:r>
        <w:rPr>
          <w:kern w:val="0"/>
        </w:rPr>
        <w:t>authors examine some</w:t>
      </w:r>
      <w:r w:rsidR="00427468">
        <w:rPr>
          <w:kern w:val="0"/>
        </w:rPr>
        <w:t xml:space="preserve"> of </w:t>
      </w:r>
      <w:r w:rsidR="003A1917">
        <w:rPr>
          <w:kern w:val="0"/>
        </w:rPr>
        <w:t xml:space="preserve">the </w:t>
      </w:r>
      <w:r>
        <w:rPr>
          <w:kern w:val="0"/>
        </w:rPr>
        <w:t>potential ethical issues involved in determining who should</w:t>
      </w:r>
      <w:r w:rsidR="005853A9">
        <w:rPr>
          <w:kern w:val="0"/>
        </w:rPr>
        <w:t xml:space="preserve"> and </w:t>
      </w:r>
      <w:r>
        <w:rPr>
          <w:kern w:val="0"/>
        </w:rPr>
        <w:t>should not be listed as an author:</w:t>
      </w:r>
      <w:r w:rsidR="003A1917">
        <w:rPr>
          <w:kern w:val="0"/>
        </w:rPr>
        <w:t xml:space="preserve"> the </w:t>
      </w:r>
      <w:r>
        <w:rPr>
          <w:kern w:val="0"/>
        </w:rPr>
        <w:t>problems</w:t>
      </w:r>
      <w:r w:rsidR="00427468">
        <w:rPr>
          <w:kern w:val="0"/>
        </w:rPr>
        <w:t xml:space="preserve"> of </w:t>
      </w:r>
      <w:r>
        <w:rPr>
          <w:kern w:val="0"/>
        </w:rPr>
        <w:t>honorary authorship, coerced authorship,</w:t>
      </w:r>
      <w:r w:rsidR="005853A9">
        <w:rPr>
          <w:kern w:val="0"/>
        </w:rPr>
        <w:t xml:space="preserve"> and </w:t>
      </w:r>
      <w:r>
        <w:rPr>
          <w:kern w:val="0"/>
        </w:rPr>
        <w:t>ghost authorship, as well as</w:t>
      </w:r>
      <w:r w:rsidR="003A1917">
        <w:rPr>
          <w:kern w:val="0"/>
        </w:rPr>
        <w:t xml:space="preserve"> the </w:t>
      </w:r>
      <w:r>
        <w:rPr>
          <w:kern w:val="0"/>
        </w:rPr>
        <w:t>question</w:t>
      </w:r>
      <w:r w:rsidR="00427468">
        <w:rPr>
          <w:kern w:val="0"/>
        </w:rPr>
        <w:t xml:space="preserve"> of </w:t>
      </w:r>
      <w:r>
        <w:rPr>
          <w:kern w:val="0"/>
        </w:rPr>
        <w:t>how to order authors. Guidelines for avoiding</w:t>
      </w:r>
      <w:r w:rsidR="005853A9">
        <w:rPr>
          <w:kern w:val="0"/>
        </w:rPr>
        <w:t xml:space="preserve"> and </w:t>
      </w:r>
      <w:r>
        <w:rPr>
          <w:kern w:val="0"/>
        </w:rPr>
        <w:t>negotiating these issues are also discussed. ACADEMIC EMERGENCY MEDICINE 2008; 15:963-969 (C) 2008 by</w:t>
      </w:r>
      <w:r w:rsidR="003A1917">
        <w:rPr>
          <w:kern w:val="0"/>
        </w:rPr>
        <w:t xml:space="preserve"> the </w:t>
      </w:r>
      <w:r>
        <w:rPr>
          <w:kern w:val="0"/>
        </w:rPr>
        <w:t>Society for Academic Emergency Medicine.</w:t>
      </w:r>
    </w:p>
    <w:p w:rsidR="003B7D7E" w:rsidRDefault="003B7D7E" w:rsidP="003B7D7E">
      <w:pPr>
        <w:pStyle w:val="a3"/>
        <w:rPr>
          <w:kern w:val="0"/>
        </w:rPr>
      </w:pPr>
      <w:r>
        <w:rPr>
          <w:kern w:val="0"/>
        </w:rPr>
        <w:t>Keywords: Authors, Authorship, Case Study, Challenge, Emergencies, Emergency, Emergency Medicine, Emergency-Medicine, Ethical, Ethical Issues, Ethics, Honorary, Medical Journals, Medicine, Naproxen, Negotiating, Paper, Papers, Potential, Prevalence, Proposal, Publications, Research, Rheumatoid-Arthritis, Rofecoxib, System, Upper Gastrointestinal Toxicity</w:t>
      </w:r>
    </w:p>
    <w:p w:rsidR="000875D0" w:rsidRDefault="000875D0" w:rsidP="000875D0">
      <w:pPr>
        <w:pStyle w:val="a3"/>
        <w:rPr>
          <w:kern w:val="0"/>
        </w:rPr>
      </w:pPr>
      <w:r>
        <w:rPr>
          <w:rFonts w:hint="eastAsia"/>
          <w:kern w:val="0"/>
        </w:rPr>
        <w:t xml:space="preserve">? </w:t>
      </w:r>
      <w:r>
        <w:rPr>
          <w:kern w:val="0"/>
        </w:rPr>
        <w:t>Wing, A., Villa-Roel, C., Yeh, B., Eskin, B., Buckingham, J.</w:t>
      </w:r>
      <w:r w:rsidR="005853A9">
        <w:rPr>
          <w:kern w:val="0"/>
        </w:rPr>
        <w:t xml:space="preserve"> and </w:t>
      </w:r>
      <w:r>
        <w:rPr>
          <w:kern w:val="0"/>
        </w:rPr>
        <w:t>Rowe, B.H. (2010), Effectiveness</w:t>
      </w:r>
      <w:r w:rsidR="00427468">
        <w:rPr>
          <w:kern w:val="0"/>
        </w:rPr>
        <w:t xml:space="preserve"> of </w:t>
      </w:r>
      <w:r>
        <w:rPr>
          <w:kern w:val="0"/>
        </w:rPr>
        <w:t>corticosteroid treatment in acute Pharyngitis: A systematic review</w:t>
      </w:r>
      <w:r w:rsidR="00427468">
        <w:rPr>
          <w:kern w:val="0"/>
        </w:rPr>
        <w:t xml:space="preserve"> of </w:t>
      </w:r>
      <w:r w:rsidR="003A1917">
        <w:rPr>
          <w:kern w:val="0"/>
        </w:rPr>
        <w:t xml:space="preserve">the </w:t>
      </w:r>
      <w:r>
        <w:rPr>
          <w:kern w:val="0"/>
        </w:rPr>
        <w:t xml:space="preserve">literature. </w:t>
      </w:r>
      <w:r>
        <w:rPr>
          <w:i/>
          <w:iCs/>
          <w:kern w:val="0"/>
        </w:rPr>
        <w:t>Academic Emergency Medicine</w:t>
      </w:r>
      <w:r>
        <w:rPr>
          <w:kern w:val="0"/>
        </w:rPr>
        <w:t xml:space="preserve">, </w:t>
      </w:r>
      <w:r>
        <w:rPr>
          <w:b/>
          <w:bCs/>
          <w:kern w:val="0"/>
        </w:rPr>
        <w:t>17</w:t>
      </w:r>
      <w:r>
        <w:rPr>
          <w:kern w:val="0"/>
        </w:rPr>
        <w:t xml:space="preserve"> (5), 476-483.</w:t>
      </w:r>
    </w:p>
    <w:p w:rsidR="000875D0" w:rsidRPr="00F219CA" w:rsidRDefault="000875D0" w:rsidP="000875D0">
      <w:pPr>
        <w:pStyle w:val="a3"/>
      </w:pPr>
      <w:r w:rsidRPr="00F219CA">
        <w:t xml:space="preserve">Full Text: </w:t>
      </w:r>
      <w:hyperlink r:id="rId17" w:history="1">
        <w:r w:rsidRPr="000875D0">
          <w:rPr>
            <w:rStyle w:val="a5"/>
          </w:rPr>
          <w:t>2010\Aca Eme Med17, 476.pdf</w:t>
        </w:r>
      </w:hyperlink>
    </w:p>
    <w:p w:rsidR="000875D0" w:rsidRDefault="000875D0" w:rsidP="000875D0">
      <w:pPr>
        <w:pStyle w:val="a3"/>
        <w:rPr>
          <w:kern w:val="0"/>
        </w:rPr>
      </w:pPr>
      <w:r>
        <w:rPr>
          <w:kern w:val="0"/>
        </w:rPr>
        <w:t>Abstract: Objectives:</w:t>
      </w:r>
      <w:r w:rsidR="003A1917">
        <w:rPr>
          <w:kern w:val="0"/>
        </w:rPr>
        <w:t xml:space="preserve"> the </w:t>
      </w:r>
      <w:r>
        <w:rPr>
          <w:kern w:val="0"/>
        </w:rPr>
        <w:t>objective was to examine</w:t>
      </w:r>
      <w:r w:rsidR="003A1917">
        <w:rPr>
          <w:kern w:val="0"/>
        </w:rPr>
        <w:t xml:space="preserve"> the </w:t>
      </w:r>
      <w:r>
        <w:rPr>
          <w:kern w:val="0"/>
        </w:rPr>
        <w:t>effectiveness</w:t>
      </w:r>
      <w:r w:rsidR="00427468">
        <w:rPr>
          <w:kern w:val="0"/>
        </w:rPr>
        <w:t xml:space="preserve"> of </w:t>
      </w:r>
      <w:r>
        <w:rPr>
          <w:kern w:val="0"/>
        </w:rPr>
        <w:t>corticosteroid treatment for</w:t>
      </w:r>
      <w:r w:rsidR="003A1917">
        <w:rPr>
          <w:kern w:val="0"/>
        </w:rPr>
        <w:t xml:space="preserve"> the </w:t>
      </w:r>
      <w:r>
        <w:rPr>
          <w:kern w:val="0"/>
        </w:rPr>
        <w:t>relief</w:t>
      </w:r>
      <w:r w:rsidR="00427468">
        <w:rPr>
          <w:kern w:val="0"/>
        </w:rPr>
        <w:t xml:space="preserve"> of </w:t>
      </w:r>
      <w:r>
        <w:rPr>
          <w:kern w:val="0"/>
        </w:rPr>
        <w:t>pain associated with acute pharyngitis potentially caused by group A beta-hemolytic Streptococcus (GABHS). Methods: This was a systematic review</w:t>
      </w:r>
      <w:r w:rsidR="00427468">
        <w:rPr>
          <w:kern w:val="0"/>
        </w:rPr>
        <w:t xml:space="preserve"> of </w:t>
      </w:r>
      <w:r w:rsidR="003A1917">
        <w:rPr>
          <w:kern w:val="0"/>
        </w:rPr>
        <w:t xml:space="preserve">the </w:t>
      </w:r>
      <w:r>
        <w:rPr>
          <w:kern w:val="0"/>
        </w:rPr>
        <w:t xml:space="preserve">literature. Data sources used were electronic databases (Cochrane Library, </w:t>
      </w:r>
      <w:r w:rsidR="00D5664A">
        <w:rPr>
          <w:kern w:val="0"/>
        </w:rPr>
        <w:t>MEDLINE</w:t>
      </w:r>
      <w:r>
        <w:rPr>
          <w:kern w:val="0"/>
        </w:rPr>
        <w:t>, EMBASE, Biosis Previews,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controlled trial registration websites, conference proceedings, study references, experts in</w:t>
      </w:r>
      <w:r w:rsidR="003A1917">
        <w:rPr>
          <w:kern w:val="0"/>
        </w:rPr>
        <w:t xml:space="preserve"> the </w:t>
      </w:r>
      <w:r>
        <w:rPr>
          <w:kern w:val="0"/>
        </w:rPr>
        <w:t>field,</w:t>
      </w:r>
      <w:r w:rsidR="005853A9">
        <w:rPr>
          <w:kern w:val="0"/>
        </w:rPr>
        <w:t xml:space="preserve"> and </w:t>
      </w:r>
      <w:r>
        <w:rPr>
          <w:kern w:val="0"/>
        </w:rPr>
        <w:t>correspondence with authors. Selection criteria consisted</w:t>
      </w:r>
      <w:r w:rsidR="00427468">
        <w:rPr>
          <w:kern w:val="0"/>
        </w:rPr>
        <w:t xml:space="preserve"> of </w:t>
      </w:r>
      <w:r>
        <w:rPr>
          <w:kern w:val="0"/>
        </w:rPr>
        <w:t>randomized controlled trials (RCTs) in which corticosteroids, alone or in combination with antibiotics, were compared to placebo or any other standard therapy for treatment</w:t>
      </w:r>
      <w:r w:rsidR="00427468">
        <w:rPr>
          <w:kern w:val="0"/>
        </w:rPr>
        <w:t xml:space="preserve"> of </w:t>
      </w:r>
      <w:r>
        <w:rPr>
          <w:kern w:val="0"/>
        </w:rPr>
        <w:t>acute pharyngitis in adult patients, pediatric patients, or both. Two reviewers independently assessed for relevance, inclusion,</w:t>
      </w:r>
      <w:r w:rsidR="005853A9">
        <w:rPr>
          <w:kern w:val="0"/>
        </w:rPr>
        <w:t xml:space="preserve"> and </w:t>
      </w:r>
      <w:r>
        <w:rPr>
          <w:kern w:val="0"/>
        </w:rPr>
        <w:t>study quality. Weighted mean differences (WMDs) were calculated</w:t>
      </w:r>
      <w:r w:rsidR="005853A9">
        <w:rPr>
          <w:kern w:val="0"/>
        </w:rPr>
        <w:t xml:space="preserve"> and </w:t>
      </w:r>
      <w:r>
        <w:rPr>
          <w:kern w:val="0"/>
        </w:rPr>
        <w:t>are reported with corresponding 95% confidence intervals (CIs). Results: From 272 potentially relevant citations, 10 studies met</w:t>
      </w:r>
      <w:r w:rsidR="003A1917">
        <w:rPr>
          <w:kern w:val="0"/>
        </w:rPr>
        <w:t xml:space="preserve"> the </w:t>
      </w:r>
      <w:r>
        <w:rPr>
          <w:kern w:val="0"/>
        </w:rPr>
        <w:t xml:space="preserve">inclusion criteria. When compared to placebo, </w:t>
      </w:r>
      <w:r>
        <w:rPr>
          <w:kern w:val="0"/>
        </w:rPr>
        <w:lastRenderedPageBreak/>
        <w:t>corticosteroids reduced</w:t>
      </w:r>
      <w:r w:rsidR="003A1917">
        <w:rPr>
          <w:kern w:val="0"/>
        </w:rPr>
        <w:t xml:space="preserve"> the </w:t>
      </w:r>
      <w:r>
        <w:rPr>
          <w:kern w:val="0"/>
        </w:rPr>
        <w:t>time to clinically meaningful pain relief (WMD = -4.54 hours; 95% CI = -7.19 to -1.89); however, they provided only a small reduction in pain scores at 24 hours (WMD = -0.90 on a 0-10 visual analog scale; 95% CI = -1.5 to -0.3). Heterogeneity among pooled studies was identified for both outcomes (I(2) = 81</w:t>
      </w:r>
      <w:r w:rsidR="005853A9">
        <w:rPr>
          <w:kern w:val="0"/>
        </w:rPr>
        <w:t xml:space="preserve"> and </w:t>
      </w:r>
      <w:r>
        <w:rPr>
          <w:kern w:val="0"/>
        </w:rPr>
        <w:t>74%, respectively); however,</w:t>
      </w:r>
      <w:r w:rsidR="003A1917">
        <w:rPr>
          <w:kern w:val="0"/>
        </w:rPr>
        <w:t xml:space="preserve"> the </w:t>
      </w:r>
      <w:r>
        <w:rPr>
          <w:kern w:val="0"/>
        </w:rPr>
        <w:t>GABHS-positive subgroup receiving corticosteroid treatment did have a significant mean reduction in time to clinically meaningful pain relief</w:t>
      </w:r>
      <w:r w:rsidR="00427468">
        <w:rPr>
          <w:kern w:val="0"/>
        </w:rPr>
        <w:t xml:space="preserve"> of </w:t>
      </w:r>
      <w:r>
        <w:rPr>
          <w:kern w:val="0"/>
        </w:rPr>
        <w:t>5.22 hours (95% CI = -7.02 to -3.42; I(2) = 0%). Short-term side effect profiles between corticosteroids</w:t>
      </w:r>
      <w:r w:rsidR="005853A9">
        <w:rPr>
          <w:kern w:val="0"/>
        </w:rPr>
        <w:t xml:space="preserve"> and </w:t>
      </w:r>
      <w:r>
        <w:rPr>
          <w:kern w:val="0"/>
        </w:rPr>
        <w:t>placebo groups were similar. Conclusions: Corticosteroid administration for acute pharyngitis was associated with a relatively small effect in time to clinically meaningful pain relief (4.5-hour reduction)</w:t>
      </w:r>
      <w:r w:rsidR="005853A9">
        <w:rPr>
          <w:kern w:val="0"/>
        </w:rPr>
        <w:t xml:space="preserve"> and </w:t>
      </w:r>
      <w:r>
        <w:rPr>
          <w:kern w:val="0"/>
        </w:rPr>
        <w:t>in pain relief at 24 hours (0.9-point reduction), with significant heterogeneity in</w:t>
      </w:r>
      <w:r w:rsidR="003A1917">
        <w:rPr>
          <w:kern w:val="0"/>
        </w:rPr>
        <w:t xml:space="preserve"> the </w:t>
      </w:r>
      <w:r>
        <w:rPr>
          <w:kern w:val="0"/>
        </w:rPr>
        <w:t>pooled results. Decision-making should be individualized to determine</w:t>
      </w:r>
      <w:r w:rsidR="003A1917">
        <w:rPr>
          <w:kern w:val="0"/>
        </w:rPr>
        <w:t xml:space="preserve"> the </w:t>
      </w:r>
      <w:r>
        <w:rPr>
          <w:kern w:val="0"/>
        </w:rPr>
        <w:t>risks</w:t>
      </w:r>
      <w:r w:rsidR="005853A9">
        <w:rPr>
          <w:kern w:val="0"/>
        </w:rPr>
        <w:t xml:space="preserve"> and </w:t>
      </w:r>
      <w:r>
        <w:rPr>
          <w:kern w:val="0"/>
        </w:rPr>
        <w:t>benefits; however, corticosteroids should not be used as routine treatment for acute pharyngitis. ACADEMIC EMERGENCY MEDICINE 2010; 17:476-483 (C) 2010 by</w:t>
      </w:r>
      <w:r w:rsidR="003A1917">
        <w:rPr>
          <w:kern w:val="0"/>
        </w:rPr>
        <w:t xml:space="preserve"> the </w:t>
      </w:r>
      <w:r>
        <w:rPr>
          <w:kern w:val="0"/>
        </w:rPr>
        <w:t>Society for Academic Emergency Medicine.</w:t>
      </w:r>
    </w:p>
    <w:p w:rsidR="000875D0" w:rsidRDefault="000875D0" w:rsidP="000875D0">
      <w:pPr>
        <w:pStyle w:val="a3"/>
        <w:rPr>
          <w:kern w:val="0"/>
        </w:rPr>
      </w:pPr>
      <w:r>
        <w:rPr>
          <w:kern w:val="0"/>
        </w:rPr>
        <w:t xml:space="preserve">Keywords: Acute Exudative Pharyngitis, Adjuvant Therapy, Adult, Antibiotics, Authors, Children, Citations, Cochrane, Confidence Intervals, Controlled-Trial, Correspondence, Corticosteroid, Databases, Decision Making, Decision-Making, Effectiveness, Efficacy, Embase, Emergency, Emergency-Medicine, Literature, Medicine, </w:t>
      </w:r>
      <w:r w:rsidR="00D5664A">
        <w:rPr>
          <w:kern w:val="0"/>
        </w:rPr>
        <w:t>MEDLINE</w:t>
      </w:r>
      <w:r>
        <w:rPr>
          <w:kern w:val="0"/>
        </w:rPr>
        <w:t xml:space="preserve">, Metaanalysis, Methods, Oral Dexamethasone, Outcomes, Pain, Pediatric, Pharyngitis, Randomized Controlled Trials, Registration, Review, Science, Scopus, Sore Throat, Streptococcal Pharyngitis, Systematic, Systematic Review, Therapy, Treatment, </w:t>
      </w:r>
      <w:r w:rsidR="00D5664A">
        <w:rPr>
          <w:kern w:val="0"/>
        </w:rPr>
        <w:t>Web</w:t>
      </w:r>
      <w:r w:rsidR="00427468">
        <w:rPr>
          <w:kern w:val="0"/>
        </w:rPr>
        <w:t xml:space="preserve"> of </w:t>
      </w:r>
      <w:r w:rsidR="00D5664A">
        <w:rPr>
          <w:kern w:val="0"/>
        </w:rPr>
        <w:t>Science</w:t>
      </w:r>
      <w:r>
        <w:rPr>
          <w:kern w:val="0"/>
        </w:rPr>
        <w:t>, Websites</w:t>
      </w:r>
    </w:p>
    <w:p w:rsidR="000875D0" w:rsidRDefault="000875D0" w:rsidP="000875D0">
      <w:pPr>
        <w:pStyle w:val="a3"/>
        <w:rPr>
          <w:kern w:val="0"/>
        </w:rPr>
      </w:pPr>
      <w:r>
        <w:rPr>
          <w:rFonts w:hint="eastAsia"/>
          <w:kern w:val="0"/>
        </w:rPr>
        <w:t xml:space="preserve">? </w:t>
      </w:r>
      <w:r>
        <w:rPr>
          <w:kern w:val="0"/>
        </w:rPr>
        <w:t>Kuhn, G.J., Shayne, P., Coates, W.C., Fisher, J., Lin, M., Maggio, L.A.</w:t>
      </w:r>
      <w:r w:rsidR="005853A9">
        <w:rPr>
          <w:kern w:val="0"/>
        </w:rPr>
        <w:t xml:space="preserve"> and </w:t>
      </w:r>
      <w:r>
        <w:rPr>
          <w:kern w:val="0"/>
        </w:rPr>
        <w:t>Farrell, S.E. (2010), Critical appraisal</w:t>
      </w:r>
      <w:r w:rsidR="00427468">
        <w:rPr>
          <w:kern w:val="0"/>
        </w:rPr>
        <w:t xml:space="preserve"> of </w:t>
      </w:r>
      <w:r>
        <w:rPr>
          <w:kern w:val="0"/>
        </w:rPr>
        <w:t>emergency medicine educational research:</w:t>
      </w:r>
      <w:r w:rsidR="003A1917">
        <w:rPr>
          <w:kern w:val="0"/>
        </w:rPr>
        <w:t xml:space="preserve"> the </w:t>
      </w:r>
      <w:r>
        <w:rPr>
          <w:kern w:val="0"/>
        </w:rPr>
        <w:t>best publications</w:t>
      </w:r>
      <w:r w:rsidR="00427468">
        <w:rPr>
          <w:kern w:val="0"/>
        </w:rPr>
        <w:t xml:space="preserve"> of </w:t>
      </w:r>
      <w:r>
        <w:rPr>
          <w:kern w:val="0"/>
        </w:rPr>
        <w:t xml:space="preserve">2009. </w:t>
      </w:r>
      <w:r>
        <w:rPr>
          <w:i/>
          <w:iCs/>
          <w:kern w:val="0"/>
        </w:rPr>
        <w:t>Academic Emergency Medicine</w:t>
      </w:r>
      <w:r>
        <w:rPr>
          <w:kern w:val="0"/>
        </w:rPr>
        <w:t xml:space="preserve">, </w:t>
      </w:r>
      <w:r>
        <w:rPr>
          <w:b/>
          <w:bCs/>
          <w:kern w:val="0"/>
        </w:rPr>
        <w:t>17</w:t>
      </w:r>
      <w:r>
        <w:rPr>
          <w:kern w:val="0"/>
        </w:rPr>
        <w:t xml:space="preserve"> (10), S16-S25.</w:t>
      </w:r>
    </w:p>
    <w:p w:rsidR="000875D0" w:rsidRPr="00F219CA" w:rsidRDefault="000875D0" w:rsidP="000875D0">
      <w:pPr>
        <w:pStyle w:val="a3"/>
      </w:pPr>
      <w:r w:rsidRPr="00F219CA">
        <w:t xml:space="preserve">Full Text: </w:t>
      </w:r>
      <w:hyperlink r:id="rId18" w:history="1">
        <w:r w:rsidRPr="000875D0">
          <w:rPr>
            <w:rStyle w:val="a5"/>
          </w:rPr>
          <w:t>2010\Aca Eme Med17, S16.pdf</w:t>
        </w:r>
      </w:hyperlink>
    </w:p>
    <w:p w:rsidR="000875D0" w:rsidRDefault="000875D0" w:rsidP="000875D0">
      <w:pPr>
        <w:pStyle w:val="a3"/>
        <w:rPr>
          <w:kern w:val="0"/>
        </w:rPr>
      </w:pPr>
      <w:r>
        <w:rPr>
          <w:kern w:val="0"/>
        </w:rPr>
        <w:t>Abstract: Objectives:</w:t>
      </w:r>
      <w:r w:rsidR="003A1917">
        <w:rPr>
          <w:kern w:val="0"/>
        </w:rPr>
        <w:t xml:space="preserve"> the </w:t>
      </w:r>
      <w:r>
        <w:rPr>
          <w:kern w:val="0"/>
        </w:rPr>
        <w:t>objective was to critically appraise</w:t>
      </w:r>
      <w:r w:rsidR="005853A9">
        <w:rPr>
          <w:kern w:val="0"/>
        </w:rPr>
        <w:t xml:space="preserve"> and </w:t>
      </w:r>
      <w:r>
        <w:rPr>
          <w:kern w:val="0"/>
        </w:rPr>
        <w:t>highlight methodologically superior medical education research specific to emergency medicine (EM) published in 2009. Methods: A search</w:t>
      </w:r>
      <w:r w:rsidR="00427468">
        <w:rPr>
          <w:kern w:val="0"/>
        </w:rPr>
        <w:t xml:space="preserve"> of </w:t>
      </w:r>
      <w:r w:rsidR="003A1917">
        <w:rPr>
          <w:kern w:val="0"/>
        </w:rPr>
        <w:t xml:space="preserve">the </w:t>
      </w:r>
      <w:r>
        <w:rPr>
          <w:kern w:val="0"/>
        </w:rPr>
        <w:t xml:space="preserve">English language literature in 2009 querying Ovid </w:t>
      </w:r>
      <w:r w:rsidR="00D5664A">
        <w:rPr>
          <w:kern w:val="0"/>
        </w:rPr>
        <w:t>MEDLINE</w:t>
      </w:r>
      <w:r>
        <w:rPr>
          <w:kern w:val="0"/>
        </w:rPr>
        <w:t xml:space="preserve"> In-Process &amp; Other Non-Indexed Citations, Ovid </w:t>
      </w:r>
      <w:r w:rsidR="00D5664A">
        <w:rPr>
          <w:kern w:val="0"/>
        </w:rPr>
        <w:t>MEDLINE</w:t>
      </w:r>
      <w:r>
        <w:rPr>
          <w:kern w:val="0"/>
        </w:rPr>
        <w:t xml:space="preserve"> 1950 to Present, </w:t>
      </w:r>
      <w:r w:rsidR="00D5664A">
        <w:rPr>
          <w:kern w:val="0"/>
        </w:rPr>
        <w:t>Web</w:t>
      </w:r>
      <w:r w:rsidR="00427468">
        <w:rPr>
          <w:kern w:val="0"/>
        </w:rPr>
        <w:t xml:space="preserve"> of </w:t>
      </w:r>
      <w:r w:rsidR="00D5664A">
        <w:rPr>
          <w:kern w:val="0"/>
        </w:rPr>
        <w:t>Science</w:t>
      </w:r>
      <w:r>
        <w:rPr>
          <w:kern w:val="0"/>
        </w:rPr>
        <w:t>, Education Resources Information Center (ERIC),</w:t>
      </w:r>
      <w:r w:rsidR="005853A9">
        <w:rPr>
          <w:kern w:val="0"/>
        </w:rPr>
        <w:t xml:space="preserve"> and </w:t>
      </w:r>
      <w:r>
        <w:rPr>
          <w:kern w:val="0"/>
        </w:rPr>
        <w:t>PsychInfo identified 36 EM studies that used hypothesis-testing or observational investigations</w:t>
      </w:r>
      <w:r w:rsidR="00427468">
        <w:rPr>
          <w:kern w:val="0"/>
        </w:rPr>
        <w:t xml:space="preserve"> of </w:t>
      </w:r>
      <w:r>
        <w:rPr>
          <w:kern w:val="0"/>
        </w:rPr>
        <w:t>educational interventions. Six reviewers independently ranked all publications based on 10 criteria, including four related to methodology, that were chosen a priori to standardize evaluation by reviewers. This was a refinement</w:t>
      </w:r>
      <w:r w:rsidR="00427468">
        <w:rPr>
          <w:kern w:val="0"/>
        </w:rPr>
        <w:t xml:space="preserve"> of </w:t>
      </w:r>
      <w:r w:rsidR="003A1917">
        <w:rPr>
          <w:kern w:val="0"/>
        </w:rPr>
        <w:t xml:space="preserve">the </w:t>
      </w:r>
      <w:r>
        <w:rPr>
          <w:kern w:val="0"/>
        </w:rPr>
        <w:t>methods used to appraise medical education published in 2008. Results: Seven studies met</w:t>
      </w:r>
      <w:r w:rsidR="003A1917">
        <w:rPr>
          <w:kern w:val="0"/>
        </w:rPr>
        <w:t xml:space="preserve"> the </w:t>
      </w:r>
      <w:r>
        <w:rPr>
          <w:kern w:val="0"/>
        </w:rPr>
        <w:t>standards as determined by</w:t>
      </w:r>
      <w:r w:rsidR="003A1917">
        <w:rPr>
          <w:kern w:val="0"/>
        </w:rPr>
        <w:t xml:space="preserve"> the </w:t>
      </w:r>
      <w:r>
        <w:rPr>
          <w:kern w:val="0"/>
        </w:rPr>
        <w:t>averaged rankings</w:t>
      </w:r>
      <w:r w:rsidR="005853A9">
        <w:rPr>
          <w:kern w:val="0"/>
        </w:rPr>
        <w:t xml:space="preserve"> and </w:t>
      </w:r>
      <w:r>
        <w:rPr>
          <w:kern w:val="0"/>
        </w:rPr>
        <w:t>are highlighted</w:t>
      </w:r>
      <w:r w:rsidR="005853A9">
        <w:rPr>
          <w:kern w:val="0"/>
        </w:rPr>
        <w:t xml:space="preserve"> and </w:t>
      </w:r>
      <w:r>
        <w:rPr>
          <w:kern w:val="0"/>
        </w:rPr>
        <w:t>summarized here. This year, 16</w:t>
      </w:r>
      <w:r w:rsidR="00427468">
        <w:rPr>
          <w:kern w:val="0"/>
        </w:rPr>
        <w:t xml:space="preserve"> of </w:t>
      </w:r>
      <w:r>
        <w:rPr>
          <w:kern w:val="0"/>
        </w:rPr>
        <w:t xml:space="preserve">36 </w:t>
      </w:r>
      <w:r>
        <w:rPr>
          <w:kern w:val="0"/>
        </w:rPr>
        <w:lastRenderedPageBreak/>
        <w:t>(44%) identified studies had funding, compared to 11</w:t>
      </w:r>
      <w:r w:rsidR="00427468">
        <w:rPr>
          <w:kern w:val="0"/>
        </w:rPr>
        <w:t xml:space="preserve"> of </w:t>
      </w:r>
      <w:r>
        <w:rPr>
          <w:kern w:val="0"/>
        </w:rPr>
        <w:t>30 (36%) identified last year; five</w:t>
      </w:r>
      <w:r w:rsidR="00427468">
        <w:rPr>
          <w:kern w:val="0"/>
        </w:rPr>
        <w:t xml:space="preserve"> of </w:t>
      </w:r>
      <w:r>
        <w:rPr>
          <w:kern w:val="0"/>
        </w:rPr>
        <w:t>seven (71%) highlighted publications were funded in 2009 compared to three</w:t>
      </w:r>
      <w:r w:rsidR="00427468">
        <w:rPr>
          <w:kern w:val="0"/>
        </w:rPr>
        <w:t xml:space="preserve"> of </w:t>
      </w:r>
      <w:r>
        <w:rPr>
          <w:kern w:val="0"/>
        </w:rPr>
        <w:t>five (60%) highlighted in 2008. Use</w:t>
      </w:r>
      <w:r w:rsidR="00427468">
        <w:rPr>
          <w:kern w:val="0"/>
        </w:rPr>
        <w:t xml:space="preserve"> of </w:t>
      </w:r>
      <w:r>
        <w:rPr>
          <w:kern w:val="0"/>
        </w:rPr>
        <w:t>technology in medical education was reported in 14 identified</w:t>
      </w:r>
      <w:r w:rsidR="005853A9">
        <w:rPr>
          <w:kern w:val="0"/>
        </w:rPr>
        <w:t xml:space="preserve"> and </w:t>
      </w:r>
      <w:r>
        <w:rPr>
          <w:kern w:val="0"/>
        </w:rPr>
        <w:t>four highlighted publications, with simulation being</w:t>
      </w:r>
      <w:r w:rsidR="003A1917">
        <w:rPr>
          <w:kern w:val="0"/>
        </w:rPr>
        <w:t xml:space="preserve"> the </w:t>
      </w:r>
      <w:r>
        <w:rPr>
          <w:kern w:val="0"/>
        </w:rPr>
        <w:t>most common technology studied. Five</w:t>
      </w:r>
      <w:r w:rsidR="00427468">
        <w:rPr>
          <w:kern w:val="0"/>
        </w:rPr>
        <w:t xml:space="preserve"> of </w:t>
      </w:r>
      <w:r w:rsidR="003A1917">
        <w:rPr>
          <w:kern w:val="0"/>
        </w:rPr>
        <w:t xml:space="preserve">the </w:t>
      </w:r>
      <w:r>
        <w:rPr>
          <w:kern w:val="0"/>
        </w:rPr>
        <w:t>seven (71%) featured publications used a quasi-experimental or experimental design, one was observational,</w:t>
      </w:r>
      <w:r w:rsidR="005853A9">
        <w:rPr>
          <w:kern w:val="0"/>
        </w:rPr>
        <w:t xml:space="preserve"> and </w:t>
      </w:r>
      <w:r>
        <w:rPr>
          <w:kern w:val="0"/>
        </w:rPr>
        <w:t>one was qualitative. Practice management topics, including patient safety, efficiency,</w:t>
      </w:r>
      <w:r w:rsidR="005853A9">
        <w:rPr>
          <w:kern w:val="0"/>
        </w:rPr>
        <w:t xml:space="preserve"> and </w:t>
      </w:r>
      <w:r>
        <w:rPr>
          <w:kern w:val="0"/>
        </w:rPr>
        <w:t>revenue generation, were examined in seven reviewed studies. Conclusions: Thirty-six medical education publications published in 2009 focusing on EM were identified. This critical appraisal reviews</w:t>
      </w:r>
      <w:r w:rsidR="005853A9">
        <w:rPr>
          <w:kern w:val="0"/>
        </w:rPr>
        <w:t xml:space="preserve"> and </w:t>
      </w:r>
      <w:r>
        <w:rPr>
          <w:kern w:val="0"/>
        </w:rPr>
        <w:t>highlights seven studies that met a priori quality indicators. Current trends are noted. ACADEMIC EMERGENCY MEDICINE 2010; 17:S16-S25 (C) 2010 by</w:t>
      </w:r>
      <w:r w:rsidR="003A1917">
        <w:rPr>
          <w:kern w:val="0"/>
        </w:rPr>
        <w:t xml:space="preserve"> the </w:t>
      </w:r>
      <w:r>
        <w:rPr>
          <w:kern w:val="0"/>
        </w:rPr>
        <w:t>Society for Academic Emergency Medicine.</w:t>
      </w:r>
    </w:p>
    <w:p w:rsidR="000875D0" w:rsidRDefault="000875D0" w:rsidP="000875D0">
      <w:pPr>
        <w:pStyle w:val="a3"/>
        <w:rPr>
          <w:kern w:val="0"/>
        </w:rPr>
      </w:pPr>
      <w:r>
        <w:rPr>
          <w:kern w:val="0"/>
        </w:rPr>
        <w:t xml:space="preserve">Keywords: Citations, Continuing Medical Education, Critical, Critical Appraisal, Education, Education Research, Emergency, Emergency Medicine, Emergency-Medicine, Environment, Evaluation, Experience, Funding, Graduate Medical Education, High-Fidelity Simulation, Interventions, Literature, Management, Medical, Medicine, </w:t>
      </w:r>
      <w:r w:rsidR="00D5664A">
        <w:rPr>
          <w:kern w:val="0"/>
        </w:rPr>
        <w:t>MEDLINE</w:t>
      </w:r>
      <w:r>
        <w:rPr>
          <w:kern w:val="0"/>
        </w:rPr>
        <w:t xml:space="preserve">, Methodology, Methods, Perceptions, Performance, Practice, Publications, Qualitative Research, Quality Indicators, Real-Time, Reliability, Research, Residents, Safety, Science, Standards, Topics, Training-Program, Trends, Undergraduate Medical Education, </w:t>
      </w:r>
      <w:r w:rsidR="00D5664A">
        <w:rPr>
          <w:kern w:val="0"/>
        </w:rPr>
        <w:t>Web</w:t>
      </w:r>
      <w:r w:rsidR="00427468">
        <w:rPr>
          <w:kern w:val="0"/>
        </w:rPr>
        <w:t xml:space="preserve"> of </w:t>
      </w:r>
      <w:r w:rsidR="00D5664A">
        <w:rPr>
          <w:kern w:val="0"/>
        </w:rPr>
        <w:t>Science</w:t>
      </w:r>
    </w:p>
    <w:p w:rsidR="000875D0" w:rsidRDefault="000875D0" w:rsidP="000875D0">
      <w:pPr>
        <w:pStyle w:val="a3"/>
        <w:rPr>
          <w:kern w:val="0"/>
        </w:rPr>
      </w:pPr>
      <w:r>
        <w:rPr>
          <w:rFonts w:hint="eastAsia"/>
          <w:kern w:val="0"/>
        </w:rPr>
        <w:t xml:space="preserve">? </w:t>
      </w:r>
      <w:r>
        <w:rPr>
          <w:kern w:val="0"/>
        </w:rPr>
        <w:t>Rowe, B.H., Guo, X.Y., Villa-Roel, C., Schull, M., Holroyd, B., Bullard, M., Vandermeer, B., Ospina, M.</w:t>
      </w:r>
      <w:r w:rsidR="005853A9">
        <w:rPr>
          <w:kern w:val="0"/>
        </w:rPr>
        <w:t xml:space="preserve"> and </w:t>
      </w:r>
      <w:r>
        <w:rPr>
          <w:kern w:val="0"/>
        </w:rPr>
        <w:t>Innes, G. (2011</w:t>
      </w:r>
      <w:r w:rsidR="00F42EAC">
        <w:rPr>
          <w:kern w:val="0"/>
        </w:rPr>
        <w:t>), The</w:t>
      </w:r>
      <w:r w:rsidR="003A1917">
        <w:rPr>
          <w:kern w:val="0"/>
        </w:rPr>
        <w:t xml:space="preserve"> </w:t>
      </w:r>
      <w:r>
        <w:rPr>
          <w:kern w:val="0"/>
        </w:rPr>
        <w:t>role</w:t>
      </w:r>
      <w:r w:rsidR="00427468">
        <w:rPr>
          <w:kern w:val="0"/>
        </w:rPr>
        <w:t xml:space="preserve"> of </w:t>
      </w:r>
      <w:r>
        <w:rPr>
          <w:kern w:val="0"/>
        </w:rPr>
        <w:t xml:space="preserve">triage liaison physicians on mitigating overcrowding in emergency departments: A systematic review. </w:t>
      </w:r>
      <w:r>
        <w:rPr>
          <w:i/>
          <w:iCs/>
          <w:kern w:val="0"/>
        </w:rPr>
        <w:t>Academic Emergency Medicine</w:t>
      </w:r>
      <w:r>
        <w:rPr>
          <w:kern w:val="0"/>
        </w:rPr>
        <w:t xml:space="preserve">, </w:t>
      </w:r>
      <w:r>
        <w:rPr>
          <w:b/>
          <w:bCs/>
          <w:kern w:val="0"/>
        </w:rPr>
        <w:t>18</w:t>
      </w:r>
      <w:r>
        <w:rPr>
          <w:kern w:val="0"/>
        </w:rPr>
        <w:t xml:space="preserve"> (2), 111-120.</w:t>
      </w:r>
    </w:p>
    <w:p w:rsidR="000875D0" w:rsidRPr="00F219CA" w:rsidRDefault="000875D0" w:rsidP="000875D0">
      <w:pPr>
        <w:pStyle w:val="a3"/>
      </w:pPr>
      <w:r w:rsidRPr="00F219CA">
        <w:t xml:space="preserve">Full Text: </w:t>
      </w:r>
      <w:hyperlink r:id="rId19" w:history="1">
        <w:r w:rsidRPr="000875D0">
          <w:rPr>
            <w:rStyle w:val="a5"/>
          </w:rPr>
          <w:t>2011\Aca Eme Med18, 111.pdf</w:t>
        </w:r>
      </w:hyperlink>
    </w:p>
    <w:p w:rsidR="000875D0" w:rsidRDefault="000875D0" w:rsidP="000875D0">
      <w:pPr>
        <w:pStyle w:val="a3"/>
        <w:rPr>
          <w:kern w:val="0"/>
        </w:rPr>
      </w:pPr>
      <w:r>
        <w:rPr>
          <w:kern w:val="0"/>
        </w:rPr>
        <w:t>Abstract: Objectives:</w:t>
      </w:r>
      <w:r w:rsidR="003A1917">
        <w:rPr>
          <w:kern w:val="0"/>
        </w:rPr>
        <w:t xml:space="preserve"> the </w:t>
      </w:r>
      <w:r>
        <w:rPr>
          <w:kern w:val="0"/>
        </w:rPr>
        <w:t>objective was to examine</w:t>
      </w:r>
      <w:r w:rsidR="003A1917">
        <w:rPr>
          <w:kern w:val="0"/>
        </w:rPr>
        <w:t xml:space="preserve"> the </w:t>
      </w:r>
      <w:r>
        <w:rPr>
          <w:kern w:val="0"/>
        </w:rPr>
        <w:t>effectiveness</w:t>
      </w:r>
      <w:r w:rsidR="00427468">
        <w:rPr>
          <w:kern w:val="0"/>
        </w:rPr>
        <w:t xml:space="preserve"> of </w:t>
      </w:r>
      <w:r>
        <w:rPr>
          <w:kern w:val="0"/>
        </w:rPr>
        <w:t>triage liaison physicians (TLPs) on mitigating</w:t>
      </w:r>
      <w:r w:rsidR="003A1917">
        <w:rPr>
          <w:kern w:val="0"/>
        </w:rPr>
        <w:t xml:space="preserve"> the </w:t>
      </w:r>
      <w:r>
        <w:rPr>
          <w:kern w:val="0"/>
        </w:rPr>
        <w:t>effects</w:t>
      </w:r>
      <w:r w:rsidR="00427468">
        <w:rPr>
          <w:kern w:val="0"/>
        </w:rPr>
        <w:t xml:space="preserve"> of </w:t>
      </w:r>
      <w:r>
        <w:rPr>
          <w:kern w:val="0"/>
        </w:rPr>
        <w:t>emergency department (ED) overcrowding. Methods: Electronic databases (Cochrane Central Register</w:t>
      </w:r>
      <w:r w:rsidR="00427468">
        <w:rPr>
          <w:kern w:val="0"/>
        </w:rPr>
        <w:t xml:space="preserve"> of </w:t>
      </w:r>
      <w:r>
        <w:rPr>
          <w:kern w:val="0"/>
        </w:rPr>
        <w:t xml:space="preserve">Controlled Trials,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 HealthSTAR, Dissertation Abstracts,</w:t>
      </w:r>
      <w:r w:rsidR="005853A9">
        <w:rPr>
          <w:kern w:val="0"/>
        </w:rPr>
        <w:t xml:space="preserve"> and </w:t>
      </w:r>
      <w:r>
        <w:rPr>
          <w:kern w:val="0"/>
        </w:rPr>
        <w:t>ABI/INFORM Global), controlled trial registry websites, conference proceedings, study references, contact with experts in</w:t>
      </w:r>
      <w:r w:rsidR="003A1917">
        <w:rPr>
          <w:kern w:val="0"/>
        </w:rPr>
        <w:t xml:space="preserve"> the </w:t>
      </w:r>
      <w:r>
        <w:rPr>
          <w:kern w:val="0"/>
        </w:rPr>
        <w:t>field,</w:t>
      </w:r>
      <w:r w:rsidR="005853A9">
        <w:rPr>
          <w:kern w:val="0"/>
        </w:rPr>
        <w:t xml:space="preserve"> and </w:t>
      </w:r>
      <w:r>
        <w:rPr>
          <w:kern w:val="0"/>
        </w:rPr>
        <w:t>correspondence with authors were used to identify potentially relevant TLP studies. Intervention studies in which a TLP was used to influence ED overcrowding metrics (length</w:t>
      </w:r>
      <w:r w:rsidR="00427468">
        <w:rPr>
          <w:kern w:val="0"/>
        </w:rPr>
        <w:t xml:space="preserve"> of </w:t>
      </w:r>
      <w:r>
        <w:rPr>
          <w:kern w:val="0"/>
        </w:rPr>
        <w:t>stay [LOS] in minutes, physician initial assessment [PIA],</w:t>
      </w:r>
      <w:r w:rsidR="005853A9">
        <w:rPr>
          <w:kern w:val="0"/>
        </w:rPr>
        <w:t xml:space="preserve"> and </w:t>
      </w:r>
      <w:r>
        <w:rPr>
          <w:kern w:val="0"/>
        </w:rPr>
        <w:t>left without being seen [LWBS]) were included in</w:t>
      </w:r>
      <w:r w:rsidR="003A1917">
        <w:rPr>
          <w:kern w:val="0"/>
        </w:rPr>
        <w:t xml:space="preserve"> the </w:t>
      </w:r>
      <w:r>
        <w:rPr>
          <w:kern w:val="0"/>
        </w:rPr>
        <w:t>review. Two reviewers independently conducted data extraction</w:t>
      </w:r>
      <w:r w:rsidR="005853A9">
        <w:rPr>
          <w:kern w:val="0"/>
        </w:rPr>
        <w:t xml:space="preserve"> and </w:t>
      </w:r>
      <w:r>
        <w:rPr>
          <w:kern w:val="0"/>
        </w:rPr>
        <w:t>assessed</w:t>
      </w:r>
      <w:r w:rsidR="003A1917">
        <w:rPr>
          <w:kern w:val="0"/>
        </w:rPr>
        <w:t xml:space="preserve"> the </w:t>
      </w:r>
      <w:r>
        <w:rPr>
          <w:kern w:val="0"/>
        </w:rPr>
        <w:t>citation relevance, inclusion,</w:t>
      </w:r>
      <w:r w:rsidR="005853A9">
        <w:rPr>
          <w:kern w:val="0"/>
        </w:rPr>
        <w:t xml:space="preserve"> and </w:t>
      </w:r>
      <w:r>
        <w:rPr>
          <w:kern w:val="0"/>
        </w:rPr>
        <w:t>study quality. For continuous outcomes, weighted mean differences (WMD) were calculated</w:t>
      </w:r>
      <w:r w:rsidR="005853A9">
        <w:rPr>
          <w:kern w:val="0"/>
        </w:rPr>
        <w:t xml:space="preserve"> and </w:t>
      </w:r>
      <w:r>
        <w:rPr>
          <w:kern w:val="0"/>
        </w:rPr>
        <w:t xml:space="preserve">reported with corresponding 95% confidence intervals (CIs). For </w:t>
      </w:r>
      <w:r>
        <w:rPr>
          <w:kern w:val="0"/>
        </w:rPr>
        <w:lastRenderedPageBreak/>
        <w:t>dichotomous variables, individual</w:t>
      </w:r>
      <w:r w:rsidR="005853A9">
        <w:rPr>
          <w:kern w:val="0"/>
        </w:rPr>
        <w:t xml:space="preserve"> and </w:t>
      </w:r>
      <w:r>
        <w:rPr>
          <w:kern w:val="0"/>
        </w:rPr>
        <w:t>pooled statistics were calculated as relative risk (RR) with 95% CI. Results: From 14,446 potentially relevant studies, 28 were included in</w:t>
      </w:r>
      <w:r w:rsidR="003A1917">
        <w:rPr>
          <w:kern w:val="0"/>
        </w:rPr>
        <w:t xml:space="preserve"> the </w:t>
      </w:r>
      <w:r>
        <w:rPr>
          <w:kern w:val="0"/>
        </w:rPr>
        <w:t>systematic review. Thirteen were journal publications, 12 were abstracts,</w:t>
      </w:r>
      <w:r w:rsidR="005853A9">
        <w:rPr>
          <w:kern w:val="0"/>
        </w:rPr>
        <w:t xml:space="preserve"> and </w:t>
      </w:r>
      <w:r>
        <w:rPr>
          <w:kern w:val="0"/>
        </w:rPr>
        <w:t>three were Web-based articles. Most studies employed before-after designs; 23</w:t>
      </w:r>
      <w:r w:rsidR="00427468">
        <w:rPr>
          <w:kern w:val="0"/>
        </w:rPr>
        <w:t xml:space="preserve"> of </w:t>
      </w:r>
      <w:r w:rsidR="003A1917">
        <w:rPr>
          <w:kern w:val="0"/>
        </w:rPr>
        <w:t xml:space="preserve">the </w:t>
      </w:r>
      <w:r>
        <w:rPr>
          <w:kern w:val="0"/>
        </w:rPr>
        <w:t>28 studies were considered</w:t>
      </w:r>
      <w:r w:rsidR="00427468">
        <w:rPr>
          <w:kern w:val="0"/>
        </w:rPr>
        <w:t xml:space="preserve"> of </w:t>
      </w:r>
      <w:r>
        <w:rPr>
          <w:kern w:val="0"/>
        </w:rPr>
        <w:t>weak quality. Based on</w:t>
      </w:r>
      <w:r w:rsidR="003A1917">
        <w:rPr>
          <w:kern w:val="0"/>
        </w:rPr>
        <w:t xml:space="preserve"> the </w:t>
      </w:r>
      <w:r>
        <w:rPr>
          <w:kern w:val="0"/>
        </w:rPr>
        <w:t>statistical pooling</w:t>
      </w:r>
      <w:r w:rsidR="00427468">
        <w:rPr>
          <w:kern w:val="0"/>
        </w:rPr>
        <w:t xml:space="preserve"> of </w:t>
      </w:r>
      <w:r>
        <w:rPr>
          <w:kern w:val="0"/>
        </w:rPr>
        <w:t>data from two randomized controlled trials (RCTs), TLP resulted in shorter ED LOS compared to nurse-led triage (WMD =) -36.85 min; 95% CI =) -51.11 to -22.58). One</w:t>
      </w:r>
      <w:r w:rsidR="00427468">
        <w:rPr>
          <w:kern w:val="0"/>
        </w:rPr>
        <w:t xml:space="preserve"> of </w:t>
      </w:r>
      <w:r>
        <w:rPr>
          <w:kern w:val="0"/>
        </w:rPr>
        <w:t>these RCTs showed a significant reduction in</w:t>
      </w:r>
      <w:r w:rsidR="003A1917">
        <w:rPr>
          <w:kern w:val="0"/>
        </w:rPr>
        <w:t xml:space="preserve"> the </w:t>
      </w:r>
      <w:r>
        <w:rPr>
          <w:kern w:val="0"/>
        </w:rPr>
        <w:t>PIA associated to TLP presence (WMD =) -30.00 min; 95% CI =) -56.91 to -3.09);</w:t>
      </w:r>
      <w:r w:rsidR="003A1917">
        <w:rPr>
          <w:kern w:val="0"/>
        </w:rPr>
        <w:t xml:space="preserve"> the </w:t>
      </w:r>
      <w:r>
        <w:rPr>
          <w:kern w:val="0"/>
        </w:rPr>
        <w:t>other RCT showed no change in LWBS due to a CI that included unity (RR = 0.82; 95% CI = 0.67 to 1.00). Conclusions: While</w:t>
      </w:r>
      <w:r w:rsidR="003A1917">
        <w:rPr>
          <w:kern w:val="0"/>
        </w:rPr>
        <w:t xml:space="preserve"> the </w:t>
      </w:r>
      <w:r>
        <w:rPr>
          <w:kern w:val="0"/>
        </w:rPr>
        <w:t>evidence summarized here suggests that to have a TLP is an effective intervention to mitigate</w:t>
      </w:r>
      <w:r w:rsidR="003A1917">
        <w:rPr>
          <w:kern w:val="0"/>
        </w:rPr>
        <w:t xml:space="preserve"> the </w:t>
      </w:r>
      <w:r>
        <w:rPr>
          <w:kern w:val="0"/>
        </w:rPr>
        <w:t>effects</w:t>
      </w:r>
      <w:r w:rsidR="00427468">
        <w:rPr>
          <w:kern w:val="0"/>
        </w:rPr>
        <w:t xml:space="preserve"> of </w:t>
      </w:r>
      <w:r>
        <w:rPr>
          <w:kern w:val="0"/>
        </w:rPr>
        <w:t>ED overcrowding, due to</w:t>
      </w:r>
      <w:r w:rsidR="003A1917">
        <w:rPr>
          <w:kern w:val="0"/>
        </w:rPr>
        <w:t xml:space="preserve"> the </w:t>
      </w:r>
      <w:r>
        <w:rPr>
          <w:kern w:val="0"/>
        </w:rPr>
        <w:t>weak research methods identified, more research is required before its widespread implementation. ACADEMIC EMERGENCY MEDICINE 2011; 18:111-120 (C) 2011 by</w:t>
      </w:r>
      <w:r w:rsidR="003A1917">
        <w:rPr>
          <w:kern w:val="0"/>
        </w:rPr>
        <w:t xml:space="preserve"> the </w:t>
      </w:r>
      <w:r>
        <w:rPr>
          <w:kern w:val="0"/>
        </w:rPr>
        <w:t>Society for Academic Emergency Medicine.</w:t>
      </w:r>
    </w:p>
    <w:p w:rsidR="000875D0" w:rsidRDefault="000875D0" w:rsidP="000875D0">
      <w:pPr>
        <w:pStyle w:val="a3"/>
        <w:rPr>
          <w:kern w:val="0"/>
        </w:rPr>
      </w:pPr>
      <w:r>
        <w:rPr>
          <w:kern w:val="0"/>
        </w:rPr>
        <w:t>Keywords: Assessment, Authors, Citation, Clinical-Trials, Cochrane, Confidence Intervals, Correspondence, Databases, Doctor, Effectiveness, EMBASE, Emergency, Emergency Department, Emergency-Medicine, Impact, Intervention, Intervention Studies, Journal, Journal Publications, Length</w:t>
      </w:r>
      <w:r w:rsidR="00427468">
        <w:rPr>
          <w:kern w:val="0"/>
        </w:rPr>
        <w:t xml:space="preserve"> of </w:t>
      </w:r>
      <w:r>
        <w:rPr>
          <w:kern w:val="0"/>
        </w:rPr>
        <w:t xml:space="preserve">Stay, Medicine, </w:t>
      </w:r>
      <w:r w:rsidR="00D5664A">
        <w:rPr>
          <w:kern w:val="0"/>
        </w:rPr>
        <w:t>MEDLINE</w:t>
      </w:r>
      <w:r>
        <w:rPr>
          <w:kern w:val="0"/>
        </w:rPr>
        <w:t xml:space="preserve">, Methods, Metrics, Outcomes, Physicians, Publications, Randomized Controlled Trials, Relative Risk, Research, Review, Risk, Science, Statistical, Statistics, Systematic, Systematic Review, </w:t>
      </w:r>
      <w:r w:rsidR="00D5664A">
        <w:rPr>
          <w:kern w:val="0"/>
        </w:rPr>
        <w:t>Web</w:t>
      </w:r>
      <w:r w:rsidR="00427468">
        <w:rPr>
          <w:kern w:val="0"/>
        </w:rPr>
        <w:t xml:space="preserve"> of </w:t>
      </w:r>
      <w:r w:rsidR="00D5664A">
        <w:rPr>
          <w:kern w:val="0"/>
        </w:rPr>
        <w:t>Science</w:t>
      </w:r>
      <w:r>
        <w:rPr>
          <w:kern w:val="0"/>
        </w:rPr>
        <w:t>, Websites</w:t>
      </w:r>
    </w:p>
    <w:p w:rsidR="00E72621" w:rsidRDefault="00E72621" w:rsidP="00E72621">
      <w:pPr>
        <w:pStyle w:val="a3"/>
        <w:rPr>
          <w:kern w:val="0"/>
        </w:rPr>
      </w:pPr>
      <w:r>
        <w:rPr>
          <w:rFonts w:hint="eastAsia"/>
          <w:kern w:val="0"/>
        </w:rPr>
        <w:t xml:space="preserve">? </w:t>
      </w:r>
      <w:r>
        <w:rPr>
          <w:kern w:val="0"/>
        </w:rPr>
        <w:t>Rowe, B.H., Villa-Roel, C., Guo, X.Y., Bullard, M.J., Ospina, M., Vandermeer, B., Innes, G., Schull, M.J.</w:t>
      </w:r>
      <w:r w:rsidR="005853A9">
        <w:rPr>
          <w:kern w:val="0"/>
        </w:rPr>
        <w:t xml:space="preserve"> and </w:t>
      </w:r>
      <w:r>
        <w:rPr>
          <w:kern w:val="0"/>
        </w:rPr>
        <w:t>Holroyd, B.R. (2011</w:t>
      </w:r>
      <w:r w:rsidR="00F42EAC">
        <w:rPr>
          <w:kern w:val="0"/>
        </w:rPr>
        <w:t>), The</w:t>
      </w:r>
      <w:r w:rsidR="003A1917">
        <w:rPr>
          <w:kern w:val="0"/>
        </w:rPr>
        <w:t xml:space="preserve"> </w:t>
      </w:r>
      <w:r>
        <w:rPr>
          <w:kern w:val="0"/>
        </w:rPr>
        <w:t>role</w:t>
      </w:r>
      <w:r w:rsidR="00427468">
        <w:rPr>
          <w:kern w:val="0"/>
        </w:rPr>
        <w:t xml:space="preserve"> of </w:t>
      </w:r>
      <w:r>
        <w:rPr>
          <w:kern w:val="0"/>
        </w:rPr>
        <w:t xml:space="preserve">triage nurse ordering on mitigating overcrowding in emergency departments: A systematic review. </w:t>
      </w:r>
      <w:r>
        <w:rPr>
          <w:i/>
          <w:iCs/>
          <w:kern w:val="0"/>
        </w:rPr>
        <w:t>Academic Emergency Medicine</w:t>
      </w:r>
      <w:r>
        <w:rPr>
          <w:kern w:val="0"/>
        </w:rPr>
        <w:t xml:space="preserve">, </w:t>
      </w:r>
      <w:r>
        <w:rPr>
          <w:b/>
          <w:bCs/>
          <w:kern w:val="0"/>
        </w:rPr>
        <w:t>18</w:t>
      </w:r>
      <w:r>
        <w:rPr>
          <w:kern w:val="0"/>
        </w:rPr>
        <w:t xml:space="preserve"> (12), 1349-1357.</w:t>
      </w:r>
    </w:p>
    <w:p w:rsidR="00E72621" w:rsidRPr="00F219CA" w:rsidRDefault="00E72621" w:rsidP="00E72621">
      <w:pPr>
        <w:pStyle w:val="a3"/>
      </w:pPr>
      <w:r w:rsidRPr="00F219CA">
        <w:t xml:space="preserve">Full Text: </w:t>
      </w:r>
      <w:hyperlink r:id="rId20" w:history="1">
        <w:r w:rsidRPr="00D612B8">
          <w:rPr>
            <w:rStyle w:val="a5"/>
          </w:rPr>
          <w:t>2011\Aca Eme Med18, 1349.pdf</w:t>
        </w:r>
      </w:hyperlink>
    </w:p>
    <w:p w:rsidR="00E72621" w:rsidRDefault="00E72621" w:rsidP="00E72621">
      <w:pPr>
        <w:pStyle w:val="a3"/>
        <w:rPr>
          <w:kern w:val="0"/>
        </w:rPr>
      </w:pPr>
      <w:r>
        <w:rPr>
          <w:kern w:val="0"/>
        </w:rPr>
        <w:t>Abstract: Objectives:</w:t>
      </w:r>
      <w:r w:rsidR="003A1917">
        <w:rPr>
          <w:kern w:val="0"/>
        </w:rPr>
        <w:t xml:space="preserve"> the </w:t>
      </w:r>
      <w:r>
        <w:rPr>
          <w:kern w:val="0"/>
        </w:rPr>
        <w:t>objective was to examine</w:t>
      </w:r>
      <w:r w:rsidR="003A1917">
        <w:rPr>
          <w:kern w:val="0"/>
        </w:rPr>
        <w:t xml:space="preserve"> the </w:t>
      </w:r>
      <w:r>
        <w:rPr>
          <w:kern w:val="0"/>
        </w:rPr>
        <w:t>effectiveness</w:t>
      </w:r>
      <w:r w:rsidR="00427468">
        <w:rPr>
          <w:kern w:val="0"/>
        </w:rPr>
        <w:t xml:space="preserve"> of </w:t>
      </w:r>
      <w:r>
        <w:rPr>
          <w:kern w:val="0"/>
        </w:rPr>
        <w:t>triage nurse ordering (TNO) on mitigating</w:t>
      </w:r>
      <w:r w:rsidR="003A1917">
        <w:rPr>
          <w:kern w:val="0"/>
        </w:rPr>
        <w:t xml:space="preserve"> the </w:t>
      </w:r>
      <w:r>
        <w:rPr>
          <w:kern w:val="0"/>
        </w:rPr>
        <w:t>effect</w:t>
      </w:r>
      <w:r w:rsidR="00427468">
        <w:rPr>
          <w:kern w:val="0"/>
        </w:rPr>
        <w:t xml:space="preserve"> of </w:t>
      </w:r>
      <w:r>
        <w:rPr>
          <w:kern w:val="0"/>
        </w:rPr>
        <w:t>emergency department (ED) overcrowding. Methods: Electronic databases (Cochrane Central Register</w:t>
      </w:r>
      <w:r w:rsidR="00427468">
        <w:rPr>
          <w:kern w:val="0"/>
        </w:rPr>
        <w:t xml:space="preserve"> of </w:t>
      </w:r>
      <w:r>
        <w:rPr>
          <w:kern w:val="0"/>
        </w:rPr>
        <w:t xml:space="preserve">Controlled Trials, </w:t>
      </w:r>
      <w:r w:rsidR="00D5664A">
        <w:rPr>
          <w:kern w:val="0"/>
        </w:rPr>
        <w:t>MEDLINE</w:t>
      </w:r>
      <w:r>
        <w:rPr>
          <w:kern w:val="0"/>
        </w:rPr>
        <w:t xml:space="preserve">, EMBASE, CINAHL, SCOPUS, </w:t>
      </w:r>
      <w:r w:rsidR="00D5664A">
        <w:rPr>
          <w:kern w:val="0"/>
        </w:rPr>
        <w:t>Web</w:t>
      </w:r>
      <w:r w:rsidR="00427468">
        <w:rPr>
          <w:kern w:val="0"/>
        </w:rPr>
        <w:t xml:space="preserve"> of </w:t>
      </w:r>
      <w:r w:rsidR="00D5664A">
        <w:rPr>
          <w:kern w:val="0"/>
        </w:rPr>
        <w:t>Science</w:t>
      </w:r>
      <w:r>
        <w:rPr>
          <w:kern w:val="0"/>
        </w:rPr>
        <w:t>, HealthSTAR, Dissertation Abstracts, ABI/INFORM Global), controlled trial registry websites, conference proceedings, study references, experts in</w:t>
      </w:r>
      <w:r w:rsidR="003A1917">
        <w:rPr>
          <w:kern w:val="0"/>
        </w:rPr>
        <w:t xml:space="preserve"> the </w:t>
      </w:r>
      <w:r>
        <w:rPr>
          <w:kern w:val="0"/>
        </w:rPr>
        <w:t>field,</w:t>
      </w:r>
      <w:r w:rsidR="005853A9">
        <w:rPr>
          <w:kern w:val="0"/>
        </w:rPr>
        <w:t xml:space="preserve"> and </w:t>
      </w:r>
      <w:r>
        <w:rPr>
          <w:kern w:val="0"/>
        </w:rPr>
        <w:t>correspondence with authors were used to identify potentially relevant studies. Interventional studies in which TNO was used to influence ED overcrowding metrics (length</w:t>
      </w:r>
      <w:r w:rsidR="00427468">
        <w:rPr>
          <w:kern w:val="0"/>
        </w:rPr>
        <w:t xml:space="preserve"> of </w:t>
      </w:r>
      <w:r>
        <w:rPr>
          <w:kern w:val="0"/>
        </w:rPr>
        <w:t>stay [LOS]</w:t>
      </w:r>
      <w:r w:rsidR="005853A9">
        <w:rPr>
          <w:kern w:val="0"/>
        </w:rPr>
        <w:t xml:space="preserve"> and </w:t>
      </w:r>
      <w:r>
        <w:rPr>
          <w:kern w:val="0"/>
        </w:rPr>
        <w:t>physician initial assessment [PIA]) were included in</w:t>
      </w:r>
      <w:r w:rsidR="003A1917">
        <w:rPr>
          <w:kern w:val="0"/>
        </w:rPr>
        <w:t xml:space="preserve"> the </w:t>
      </w:r>
      <w:r>
        <w:rPr>
          <w:kern w:val="0"/>
        </w:rPr>
        <w:t>review. Two reviewers independently assessed study eligibility</w:t>
      </w:r>
      <w:r w:rsidR="005853A9">
        <w:rPr>
          <w:kern w:val="0"/>
        </w:rPr>
        <w:t xml:space="preserve"> and </w:t>
      </w:r>
      <w:r>
        <w:rPr>
          <w:kern w:val="0"/>
        </w:rPr>
        <w:t>methodologic quality. Mean differences were calculated</w:t>
      </w:r>
      <w:r w:rsidR="005853A9">
        <w:rPr>
          <w:kern w:val="0"/>
        </w:rPr>
        <w:t xml:space="preserve"> and </w:t>
      </w:r>
      <w:r>
        <w:rPr>
          <w:kern w:val="0"/>
        </w:rPr>
        <w:t xml:space="preserve">reported with corresponding 95% </w:t>
      </w:r>
      <w:r>
        <w:rPr>
          <w:kern w:val="0"/>
        </w:rPr>
        <w:lastRenderedPageBreak/>
        <w:t>confidence intervals (CIs). Results: From more than 14,000 potentially relevant studies, 14 were included in</w:t>
      </w:r>
      <w:r w:rsidR="003A1917">
        <w:rPr>
          <w:kern w:val="0"/>
        </w:rPr>
        <w:t xml:space="preserve"> the </w:t>
      </w:r>
      <w:r>
        <w:rPr>
          <w:kern w:val="0"/>
        </w:rPr>
        <w:t>systematic review. Most were single-center ED studies;</w:t>
      </w:r>
      <w:r w:rsidR="003A1917">
        <w:rPr>
          <w:kern w:val="0"/>
        </w:rPr>
        <w:t xml:space="preserve"> the </w:t>
      </w:r>
      <w:r>
        <w:rPr>
          <w:kern w:val="0"/>
        </w:rPr>
        <w:t>overall quality was rated as weak, due to methodologic deficiencies</w:t>
      </w:r>
      <w:r w:rsidR="005853A9">
        <w:rPr>
          <w:kern w:val="0"/>
        </w:rPr>
        <w:t xml:space="preserve"> and </w:t>
      </w:r>
      <w:r>
        <w:rPr>
          <w:kern w:val="0"/>
        </w:rPr>
        <w:t>variable outcome reporting. TNO was associated with a 37-minute mean reduction (95% CI = -44.10 to -30.30 minutes) in</w:t>
      </w:r>
      <w:r w:rsidR="003A1917">
        <w:rPr>
          <w:kern w:val="0"/>
        </w:rPr>
        <w:t xml:space="preserve"> the </w:t>
      </w:r>
      <w:r>
        <w:rPr>
          <w:kern w:val="0"/>
        </w:rPr>
        <w:t>overall ED LOS in one randomized clinical trial (RCT); a 51-minute mean reduction (95% CI = -56.3 to -45.5 minutes) was observed in non-RCTs. When applied to injured subjects with suspected fractures, TNO interventions reduced ED LOS by 20 minutes (95% CI = -37.5 to -1.9 minutes) in three RCTs</w:t>
      </w:r>
      <w:r w:rsidR="005853A9">
        <w:rPr>
          <w:kern w:val="0"/>
        </w:rPr>
        <w:t xml:space="preserve"> and </w:t>
      </w:r>
      <w:r>
        <w:rPr>
          <w:kern w:val="0"/>
        </w:rPr>
        <w:t>by 18 minutes (95% CI = -23.2 to -13.2) in two non-RCTs. No significant reduction in PIA was observed in two RCTs. Conclusions: Overall, TNO appears to be an effective intervention to reduce ED LOS, especially in injury and/or suspected fracture cases</w:t>
      </w:r>
      <w:r w:rsidR="00A37C1D">
        <w:rPr>
          <w:kern w:val="0"/>
        </w:rPr>
        <w:t>. The</w:t>
      </w:r>
      <w:r w:rsidR="003A1917">
        <w:rPr>
          <w:kern w:val="0"/>
        </w:rPr>
        <w:t xml:space="preserve"> </w:t>
      </w:r>
      <w:r>
        <w:rPr>
          <w:kern w:val="0"/>
        </w:rPr>
        <w:t>available evidence is limited by small numbers</w:t>
      </w:r>
      <w:r w:rsidR="00427468">
        <w:rPr>
          <w:kern w:val="0"/>
        </w:rPr>
        <w:t xml:space="preserve"> of </w:t>
      </w:r>
      <w:r>
        <w:rPr>
          <w:kern w:val="0"/>
        </w:rPr>
        <w:t>studies, weak methodologic quality,</w:t>
      </w:r>
      <w:r w:rsidR="005853A9">
        <w:rPr>
          <w:kern w:val="0"/>
        </w:rPr>
        <w:t xml:space="preserve"> and </w:t>
      </w:r>
      <w:r>
        <w:rPr>
          <w:kern w:val="0"/>
        </w:rPr>
        <w:t>incomplete reporting. Future studies should focus on a better description</w:t>
      </w:r>
      <w:r w:rsidR="00427468">
        <w:rPr>
          <w:kern w:val="0"/>
        </w:rPr>
        <w:t xml:space="preserve"> of </w:t>
      </w:r>
      <w:r w:rsidR="003A1917">
        <w:rPr>
          <w:kern w:val="0"/>
        </w:rPr>
        <w:t xml:space="preserve">the </w:t>
      </w:r>
      <w:r>
        <w:rPr>
          <w:kern w:val="0"/>
        </w:rPr>
        <w:t>contextual factors surrounding these interventions</w:t>
      </w:r>
      <w:r w:rsidR="005853A9">
        <w:rPr>
          <w:kern w:val="0"/>
        </w:rPr>
        <w:t xml:space="preserve"> and </w:t>
      </w:r>
      <w:r>
        <w:rPr>
          <w:kern w:val="0"/>
        </w:rPr>
        <w:t>exploring</w:t>
      </w:r>
      <w:r w:rsidR="003A1917">
        <w:rPr>
          <w:kern w:val="0"/>
        </w:rPr>
        <w:t xml:space="preserve"> the </w:t>
      </w:r>
      <w:r>
        <w:rPr>
          <w:kern w:val="0"/>
        </w:rPr>
        <w:t>impact</w:t>
      </w:r>
      <w:r w:rsidR="00427468">
        <w:rPr>
          <w:kern w:val="0"/>
        </w:rPr>
        <w:t xml:space="preserve"> of </w:t>
      </w:r>
      <w:r>
        <w:rPr>
          <w:kern w:val="0"/>
        </w:rPr>
        <w:t>TNO on other indicators</w:t>
      </w:r>
      <w:r w:rsidR="00427468">
        <w:rPr>
          <w:kern w:val="0"/>
        </w:rPr>
        <w:t xml:space="preserve"> of </w:t>
      </w:r>
      <w:r>
        <w:rPr>
          <w:kern w:val="0"/>
        </w:rPr>
        <w:t>productivity</w:t>
      </w:r>
      <w:r w:rsidR="005853A9">
        <w:rPr>
          <w:kern w:val="0"/>
        </w:rPr>
        <w:t xml:space="preserve"> and </w:t>
      </w:r>
      <w:r>
        <w:rPr>
          <w:kern w:val="0"/>
        </w:rPr>
        <w:t>satisfaction with health care delivery.</w:t>
      </w:r>
    </w:p>
    <w:p w:rsidR="00E72621" w:rsidRDefault="00E72621" w:rsidP="00E72621">
      <w:pPr>
        <w:pStyle w:val="a3"/>
        <w:rPr>
          <w:kern w:val="0"/>
        </w:rPr>
      </w:pPr>
      <w:r>
        <w:rPr>
          <w:kern w:val="0"/>
        </w:rPr>
        <w:t>Keywords: Assessment, Authors, Care, Clinical Trial, Clinical-Trials, Cochrane, Confidence Intervals, Correspondence, Databases, Differences, Effectiveness, Embase, Emergency, Emergency Department, Fracture, Health Care, Health Care Delivery, Impact, Indicators, Injury, Intervention, Interventions, Length</w:t>
      </w:r>
      <w:r w:rsidR="00427468">
        <w:rPr>
          <w:kern w:val="0"/>
        </w:rPr>
        <w:t xml:space="preserve"> of </w:t>
      </w:r>
      <w:r>
        <w:rPr>
          <w:kern w:val="0"/>
        </w:rPr>
        <w:t xml:space="preserve">Stay, Medicine, </w:t>
      </w:r>
      <w:r w:rsidR="00D5664A">
        <w:rPr>
          <w:kern w:val="0"/>
        </w:rPr>
        <w:t>MEDLINE</w:t>
      </w:r>
      <w:r>
        <w:rPr>
          <w:kern w:val="0"/>
        </w:rPr>
        <w:t xml:space="preserve">, Methods, Metrics, Outcome, Physician, Productivity, Quality, Randomized Clinical Trial, Randomized Controlled-Trial, Reduction, Review, Science, Scopus, Systematic, Systematic Review,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r>
        <w:rPr>
          <w:kern w:val="0"/>
        </w:rPr>
        <w:t>, Websites, X-Rays</w:t>
      </w:r>
    </w:p>
    <w:p w:rsidR="007A24DB" w:rsidRDefault="007A24DB" w:rsidP="007A24DB">
      <w:pPr>
        <w:pStyle w:val="a3"/>
        <w:rPr>
          <w:kern w:val="0"/>
        </w:rPr>
      </w:pPr>
      <w:r>
        <w:rPr>
          <w:rFonts w:hint="eastAsia"/>
          <w:kern w:val="0"/>
        </w:rPr>
        <w:t xml:space="preserve">? </w:t>
      </w:r>
      <w:r>
        <w:rPr>
          <w:kern w:val="0"/>
        </w:rPr>
        <w:t>Carpenter, C.R., Sarli, C.C., Fowler, S.A., Kulasegaram, K., Vallera, T., Lapaine, P., Schalet, G.</w:t>
      </w:r>
      <w:r w:rsidR="005853A9">
        <w:rPr>
          <w:kern w:val="0"/>
        </w:rPr>
        <w:t xml:space="preserve"> and </w:t>
      </w:r>
      <w:r>
        <w:rPr>
          <w:kern w:val="0"/>
        </w:rPr>
        <w:t>Worster, A. (2013), Best evidence in emergency medicine (BEEM) rater scores correlate with publications</w:t>
      </w:r>
      <w:r w:rsidR="00700038">
        <w:rPr>
          <w:kern w:val="0"/>
        </w:rPr>
        <w:t>’</w:t>
      </w:r>
      <w:r>
        <w:rPr>
          <w:kern w:val="0"/>
        </w:rPr>
        <w:t xml:space="preserve"> future citations. </w:t>
      </w:r>
      <w:r>
        <w:rPr>
          <w:i/>
          <w:iCs/>
          <w:kern w:val="0"/>
        </w:rPr>
        <w:t>Academic Emergency Medicine</w:t>
      </w:r>
      <w:r>
        <w:rPr>
          <w:kern w:val="0"/>
        </w:rPr>
        <w:t xml:space="preserve">, </w:t>
      </w:r>
      <w:r>
        <w:rPr>
          <w:b/>
          <w:bCs/>
          <w:kern w:val="0"/>
        </w:rPr>
        <w:t>20</w:t>
      </w:r>
      <w:r>
        <w:rPr>
          <w:kern w:val="0"/>
        </w:rPr>
        <w:t xml:space="preserve"> (10), 1004-1012.</w:t>
      </w:r>
    </w:p>
    <w:p w:rsidR="007A24DB" w:rsidRPr="00F219CA" w:rsidRDefault="007A24DB" w:rsidP="007A24DB">
      <w:pPr>
        <w:pStyle w:val="a3"/>
      </w:pPr>
      <w:r w:rsidRPr="00F219CA">
        <w:t xml:space="preserve">Full Text: </w:t>
      </w:r>
      <w:hyperlink r:id="rId21" w:history="1">
        <w:r w:rsidRPr="002329CA">
          <w:rPr>
            <w:rStyle w:val="a5"/>
          </w:rPr>
          <w:t>2013\Aca Eme Med20, 1004.pdf</w:t>
        </w:r>
      </w:hyperlink>
    </w:p>
    <w:p w:rsidR="007A24DB" w:rsidRDefault="007A24DB" w:rsidP="007A24DB">
      <w:pPr>
        <w:pStyle w:val="a3"/>
        <w:rPr>
          <w:kern w:val="0"/>
        </w:rPr>
      </w:pPr>
      <w:r>
        <w:rPr>
          <w:kern w:val="0"/>
        </w:rPr>
        <w:t>Abstract: BackgroundThe BEEM (best evidence in emergency medicine) rater scale was created for emergency physicians (EPs) to evaluate the physician-derived clinical relevance score</w:t>
      </w:r>
      <w:r w:rsidR="00427468">
        <w:rPr>
          <w:kern w:val="0"/>
        </w:rPr>
        <w:t xml:space="preserve"> of </w:t>
      </w:r>
      <w:r>
        <w:rPr>
          <w:kern w:val="0"/>
        </w:rPr>
        <w:t>recently published, emergency medicine (EM)-related studies. BEEM therefore is designed to help make EPs aware</w:t>
      </w:r>
      <w:r w:rsidR="00427468">
        <w:rPr>
          <w:kern w:val="0"/>
        </w:rPr>
        <w:t xml:space="preserve"> of </w:t>
      </w:r>
      <w:r>
        <w:rPr>
          <w:kern w:val="0"/>
        </w:rPr>
        <w:t>studies most likely to confirm or change current clinical practice. ObjectivesThe objective was to validate the BEEM rater score as a predictor</w:t>
      </w:r>
      <w:r w:rsidR="00427468">
        <w:rPr>
          <w:kern w:val="0"/>
        </w:rPr>
        <w:t xml:space="preserve"> of </w:t>
      </w:r>
      <w:r>
        <w:rPr>
          <w:kern w:val="0"/>
        </w:rPr>
        <w:t>literature citation, using a bibliometric construct</w:t>
      </w:r>
      <w:r w:rsidR="00427468">
        <w:rPr>
          <w:kern w:val="0"/>
        </w:rPr>
        <w:t xml:space="preserve"> of </w:t>
      </w:r>
      <w:r>
        <w:rPr>
          <w:kern w:val="0"/>
        </w:rPr>
        <w:t>clinical relevance to EM based on author-, document-,</w:t>
      </w:r>
      <w:r w:rsidR="005853A9">
        <w:rPr>
          <w:kern w:val="0"/>
        </w:rPr>
        <w:t xml:space="preserve"> and </w:t>
      </w:r>
      <w:r>
        <w:rPr>
          <w:kern w:val="0"/>
        </w:rPr>
        <w:t>journal-level measures (first</w:t>
      </w:r>
      <w:r w:rsidR="005853A9">
        <w:rPr>
          <w:kern w:val="0"/>
        </w:rPr>
        <w:t xml:space="preserve"> and </w:t>
      </w:r>
      <w:r>
        <w:rPr>
          <w:kern w:val="0"/>
        </w:rPr>
        <w:t>last author h-indices, number</w:t>
      </w:r>
      <w:r w:rsidR="00427468">
        <w:rPr>
          <w:kern w:val="0"/>
        </w:rPr>
        <w:t xml:space="preserve"> of </w:t>
      </w:r>
      <w:r>
        <w:rPr>
          <w:kern w:val="0"/>
        </w:rPr>
        <w:t>authors including corporate</w:t>
      </w:r>
      <w:r w:rsidR="005853A9">
        <w:rPr>
          <w:kern w:val="0"/>
        </w:rPr>
        <w:t xml:space="preserve"> and </w:t>
      </w:r>
      <w:r>
        <w:rPr>
          <w:kern w:val="0"/>
        </w:rPr>
        <w:t>group authors, citations from date</w:t>
      </w:r>
      <w:r w:rsidR="00427468">
        <w:rPr>
          <w:kern w:val="0"/>
        </w:rPr>
        <w:t xml:space="preserve"> of </w:t>
      </w:r>
      <w:r>
        <w:rPr>
          <w:kern w:val="0"/>
        </w:rPr>
        <w:t>publication to 2011,</w:t>
      </w:r>
      <w:r w:rsidR="005853A9">
        <w:rPr>
          <w:kern w:val="0"/>
        </w:rPr>
        <w:t xml:space="preserve"> and </w:t>
      </w:r>
      <w:r>
        <w:rPr>
          <w:kern w:val="0"/>
        </w:rPr>
        <w:t>journal impact factor scores)</w:t>
      </w:r>
      <w:r w:rsidR="005853A9">
        <w:rPr>
          <w:kern w:val="0"/>
        </w:rPr>
        <w:t xml:space="preserve"> and </w:t>
      </w:r>
      <w:r>
        <w:rPr>
          <w:kern w:val="0"/>
        </w:rPr>
        <w:t>study characteristics (design, category,</w:t>
      </w:r>
      <w:r w:rsidR="005853A9">
        <w:rPr>
          <w:kern w:val="0"/>
        </w:rPr>
        <w:t xml:space="preserve"> and </w:t>
      </w:r>
      <w:r>
        <w:rPr>
          <w:kern w:val="0"/>
        </w:rPr>
        <w:t xml:space="preserve">sample size). MethodsEach </w:t>
      </w:r>
      <w:r>
        <w:rPr>
          <w:kern w:val="0"/>
        </w:rPr>
        <w:lastRenderedPageBreak/>
        <w:t>month from 2007 through 2012, approximately 200 EPs from around the world voluntarily reviewed the titles</w:t>
      </w:r>
      <w:r w:rsidR="005853A9">
        <w:rPr>
          <w:kern w:val="0"/>
        </w:rPr>
        <w:t xml:space="preserve"> and </w:t>
      </w:r>
      <w:r>
        <w:rPr>
          <w:kern w:val="0"/>
        </w:rPr>
        <w:t>conclusions</w:t>
      </w:r>
      <w:r w:rsidR="00427468">
        <w:rPr>
          <w:kern w:val="0"/>
        </w:rPr>
        <w:t xml:space="preserve"> of </w:t>
      </w:r>
      <w:r>
        <w:rPr>
          <w:kern w:val="0"/>
        </w:rPr>
        <w:t>recently published EM-related studies identified by BEEM faculty via the McMaster Health Information Research Unit. Using the BEEM rater scale, a reliable seven-item instrument that evaluates the clinical relevance</w:t>
      </w:r>
      <w:r w:rsidR="00427468">
        <w:rPr>
          <w:kern w:val="0"/>
        </w:rPr>
        <w:t xml:space="preserve"> of </w:t>
      </w:r>
      <w:r>
        <w:rPr>
          <w:kern w:val="0"/>
        </w:rPr>
        <w:t xml:space="preserve">studies, raters independently assigned BEEM scores to approximately 10 to 20 articles each month. Two investigators independently abstracted the bibliometric indices for these articles. A citation rate for each article was calculated by dividing the Thomson Reuters </w:t>
      </w:r>
      <w:r w:rsidR="00D5664A">
        <w:rPr>
          <w:kern w:val="0"/>
        </w:rPr>
        <w:t>Web</w:t>
      </w:r>
      <w:r w:rsidR="00427468">
        <w:rPr>
          <w:kern w:val="0"/>
        </w:rPr>
        <w:t xml:space="preserve"> of </w:t>
      </w:r>
      <w:r w:rsidR="00D5664A">
        <w:rPr>
          <w:kern w:val="0"/>
        </w:rPr>
        <w:t>Science</w:t>
      </w:r>
      <w:r>
        <w:rPr>
          <w:kern w:val="0"/>
        </w:rPr>
        <w:t xml:space="preserve"> (WoS) total citation count by the number ofyears in publication. BEEM rater scores were correlated with the citation rate using Spearman</w:t>
      </w:r>
      <w:r w:rsidR="00700038">
        <w:rPr>
          <w:kern w:val="0"/>
        </w:rPr>
        <w:t>’</w:t>
      </w:r>
      <w:r>
        <w:rPr>
          <w:kern w:val="0"/>
        </w:rPr>
        <w:t>s rho</w:t>
      </w:r>
      <w:r w:rsidR="00A37C1D">
        <w:rPr>
          <w:kern w:val="0"/>
        </w:rPr>
        <w:t>. The</w:t>
      </w:r>
      <w:r>
        <w:rPr>
          <w:kern w:val="0"/>
        </w:rPr>
        <w:t xml:space="preserve"> performance</w:t>
      </w:r>
      <w:r w:rsidR="00427468">
        <w:rPr>
          <w:kern w:val="0"/>
        </w:rPr>
        <w:t xml:space="preserve"> of </w:t>
      </w:r>
      <w:r>
        <w:rPr>
          <w:kern w:val="0"/>
        </w:rPr>
        <w:t>the BEEM rater score was assessed for each article using negative binomial regression with composite citation count as the criterion standard, while controlling for other independent bibliometric variables in three models. ResultsThe BEEM raters evaluated 605 articles with a mean (SD) BEEM score</w:t>
      </w:r>
      <w:r w:rsidR="00427468">
        <w:rPr>
          <w:kern w:val="0"/>
        </w:rPr>
        <w:t xml:space="preserve"> of </w:t>
      </w:r>
      <w:r>
        <w:rPr>
          <w:kern w:val="0"/>
        </w:rPr>
        <w:t>3.84 (0.7)</w:t>
      </w:r>
      <w:r w:rsidR="005853A9">
        <w:rPr>
          <w:kern w:val="0"/>
        </w:rPr>
        <w:t xml:space="preserve"> and </w:t>
      </w:r>
      <w:r>
        <w:rPr>
          <w:kern w:val="0"/>
        </w:rPr>
        <w:t>a median BEEM score</w:t>
      </w:r>
      <w:r w:rsidR="00427468">
        <w:rPr>
          <w:kern w:val="0"/>
        </w:rPr>
        <w:t xml:space="preserve"> of </w:t>
      </w:r>
      <w:r>
        <w:rPr>
          <w:kern w:val="0"/>
        </w:rPr>
        <w:t>3.85 (interquartile range= 3.38 to 4.30). Articles were primarily therapeutic (59%)</w:t>
      </w:r>
      <w:r w:rsidR="005853A9">
        <w:rPr>
          <w:kern w:val="0"/>
        </w:rPr>
        <w:t xml:space="preserve"> and </w:t>
      </w:r>
      <w:r>
        <w:rPr>
          <w:kern w:val="0"/>
        </w:rPr>
        <w:t>diagnostic (27%), with various designs, including 37% systematic reviews, 32% randomized controlled trials (RCTs),</w:t>
      </w:r>
      <w:r w:rsidR="005853A9">
        <w:rPr>
          <w:kern w:val="0"/>
        </w:rPr>
        <w:t xml:space="preserve"> and </w:t>
      </w:r>
      <w:r>
        <w:rPr>
          <w:kern w:val="0"/>
        </w:rPr>
        <w:t>30% observational designs</w:t>
      </w:r>
      <w:r w:rsidR="00A37C1D">
        <w:rPr>
          <w:kern w:val="0"/>
        </w:rPr>
        <w:t>. The</w:t>
      </w:r>
      <w:r>
        <w:rPr>
          <w:kern w:val="0"/>
        </w:rPr>
        <w:t xml:space="preserve"> citation rate</w:t>
      </w:r>
      <w:r w:rsidR="005853A9">
        <w:rPr>
          <w:kern w:val="0"/>
        </w:rPr>
        <w:t xml:space="preserve"> and </w:t>
      </w:r>
      <w:r>
        <w:rPr>
          <w:kern w:val="0"/>
        </w:rPr>
        <w:t>BEEM rater score correlated positively (0.144), while the BEEM rater score</w:t>
      </w:r>
      <w:r w:rsidR="005853A9">
        <w:rPr>
          <w:kern w:val="0"/>
        </w:rPr>
        <w:t xml:space="preserve"> and </w:t>
      </w:r>
      <w:r>
        <w:rPr>
          <w:kern w:val="0"/>
        </w:rPr>
        <w:t>the Journal Citation Report (JCR) impact factor score were minimally correlated (0.053). In the first model, the BEEM rater score significantly predicted WoS citation rate (p&lt;0.0001) with an odds ratio (OR)</w:t>
      </w:r>
      <w:r w:rsidR="00427468">
        <w:rPr>
          <w:kern w:val="0"/>
        </w:rPr>
        <w:t xml:space="preserve"> of </w:t>
      </w:r>
      <w:r>
        <w:rPr>
          <w:kern w:val="0"/>
        </w:rPr>
        <w:t>1.24 (95% confidence interval [CI]=1.106 to 1.402). In subsequent models adjusting for the JCR impact factor score, the h-indices</w:t>
      </w:r>
      <w:r w:rsidR="00427468">
        <w:rPr>
          <w:kern w:val="0"/>
        </w:rPr>
        <w:t xml:space="preserve"> of </w:t>
      </w:r>
      <w:r>
        <w:rPr>
          <w:kern w:val="0"/>
        </w:rPr>
        <w:t>the first</w:t>
      </w:r>
      <w:r w:rsidR="005853A9">
        <w:rPr>
          <w:kern w:val="0"/>
        </w:rPr>
        <w:t xml:space="preserve"> and </w:t>
      </w:r>
      <w:r>
        <w:rPr>
          <w:kern w:val="0"/>
        </w:rPr>
        <w:t>last authors, number</w:t>
      </w:r>
      <w:r w:rsidR="00427468">
        <w:rPr>
          <w:kern w:val="0"/>
        </w:rPr>
        <w:t xml:space="preserve"> of </w:t>
      </w:r>
      <w:r>
        <w:rPr>
          <w:kern w:val="0"/>
        </w:rPr>
        <w:t>authors,</w:t>
      </w:r>
      <w:r w:rsidR="005853A9">
        <w:rPr>
          <w:kern w:val="0"/>
        </w:rPr>
        <w:t xml:space="preserve"> and </w:t>
      </w:r>
      <w:r>
        <w:rPr>
          <w:kern w:val="0"/>
        </w:rPr>
        <w:t>study design, the BEEM rater score was not significant (p=0.08). ConclusionsTo the best</w:t>
      </w:r>
      <w:r w:rsidR="00427468">
        <w:rPr>
          <w:kern w:val="0"/>
        </w:rPr>
        <w:t xml:space="preserve"> of </w:t>
      </w:r>
      <w:r>
        <w:rPr>
          <w:kern w:val="0"/>
        </w:rPr>
        <w:t>our knowledge, the BEEM rater score is the only known measure</w:t>
      </w:r>
      <w:r w:rsidR="00427468">
        <w:rPr>
          <w:kern w:val="0"/>
        </w:rPr>
        <w:t xml:space="preserve"> of </w:t>
      </w:r>
      <w:r>
        <w:rPr>
          <w:kern w:val="0"/>
        </w:rPr>
        <w:t>clinical relevance. It has a high interrater reliability</w:t>
      </w:r>
      <w:r w:rsidR="005853A9">
        <w:rPr>
          <w:kern w:val="0"/>
        </w:rPr>
        <w:t xml:space="preserve"> and </w:t>
      </w:r>
      <w:r>
        <w:rPr>
          <w:kern w:val="0"/>
        </w:rPr>
        <w:t>face validity</w:t>
      </w:r>
      <w:r w:rsidR="005853A9">
        <w:rPr>
          <w:kern w:val="0"/>
        </w:rPr>
        <w:t xml:space="preserve"> and </w:t>
      </w:r>
      <w:r>
        <w:rPr>
          <w:kern w:val="0"/>
        </w:rPr>
        <w:t>correlates with future citations. Future research should assess this instrument against alternative constructs</w:t>
      </w:r>
      <w:r w:rsidR="00427468">
        <w:rPr>
          <w:kern w:val="0"/>
        </w:rPr>
        <w:t xml:space="preserve"> of </w:t>
      </w:r>
      <w:r>
        <w:rPr>
          <w:kern w:val="0"/>
        </w:rPr>
        <w:t>clinical relevance.</w:t>
      </w:r>
    </w:p>
    <w:p w:rsidR="007A24DB" w:rsidRDefault="007A24DB" w:rsidP="007A24DB">
      <w:pPr>
        <w:pStyle w:val="a3"/>
        <w:rPr>
          <w:kern w:val="0"/>
        </w:rPr>
      </w:pPr>
      <w:r>
        <w:rPr>
          <w:kern w:val="0"/>
        </w:rPr>
        <w:t xml:space="preserve">Keywords: Alternative, Article, Articles, Authors, Bibliometric, Characteristics, Citation, Citations, Clinical, Clinical Practice, Clinical-Relevance, Composite, Confidence, Correlates, Cr, Design, Emergency, Emergency Medicine, Evidence, Factor Scores, Faculty, First, Health-Care, Impact, Impact Factor, Impact Factor Scores, Indexes, Indices, Information, Interrater Reliability, Interval, JCR, Journal, Journal Citation Report, Journal Impact, Journal Impact Factor, Knowledge, Knowledge Translation, Literature, Literature Citation, Measure, Medicine, Mo, Model, Models, Observational, Odds Ratio, Performance, Physicians, Practice, Publication, Publications, Quality, Randomized, Randomized Controlled Trials, Regression, Relevance, Reliability, Research, Reviews, River, Sample Size, Scale, Science, Size, Specialties, Standard, Study Design, Systematic Reviews, Therapeutic, </w:t>
      </w:r>
      <w:r>
        <w:rPr>
          <w:kern w:val="0"/>
        </w:rPr>
        <w:lastRenderedPageBreak/>
        <w:t xml:space="preserve">Thomson Reuters, Thomson-Reuters, </w:t>
      </w:r>
      <w:r w:rsidR="00D5664A">
        <w:rPr>
          <w:kern w:val="0"/>
        </w:rPr>
        <w:t>USA</w:t>
      </w:r>
      <w:r>
        <w:rPr>
          <w:kern w:val="0"/>
        </w:rPr>
        <w:t xml:space="preserve">, Validity, Washington, </w:t>
      </w:r>
      <w:r w:rsidR="00D5664A">
        <w:rPr>
          <w:kern w:val="0"/>
        </w:rPr>
        <w:t>Web</w:t>
      </w:r>
      <w:r w:rsidR="00427468">
        <w:rPr>
          <w:kern w:val="0"/>
        </w:rPr>
        <w:t xml:space="preserve"> of </w:t>
      </w:r>
      <w:r w:rsidR="00D5664A">
        <w:rPr>
          <w:kern w:val="0"/>
        </w:rPr>
        <w:t>Science</w:t>
      </w:r>
      <w:r>
        <w:rPr>
          <w:kern w:val="0"/>
        </w:rPr>
        <w:t>, World, W</w:t>
      </w:r>
      <w:r>
        <w:rPr>
          <w:rFonts w:hint="eastAsia"/>
          <w:kern w:val="0"/>
        </w:rPr>
        <w:t>o</w:t>
      </w:r>
      <w:r>
        <w:rPr>
          <w:kern w:val="0"/>
        </w:rPr>
        <w:t>S</w:t>
      </w:r>
    </w:p>
    <w:p w:rsidR="0087245C" w:rsidRDefault="0087245C" w:rsidP="0087245C">
      <w:pPr>
        <w:pStyle w:val="a3"/>
        <w:rPr>
          <w:kern w:val="0"/>
        </w:rPr>
      </w:pPr>
      <w:r>
        <w:rPr>
          <w:kern w:val="0"/>
        </w:rPr>
        <w:t xml:space="preserve">? Carpenter, C.R., Cone, D.C. and Sarli, C.C. (2014), Using publication metrics to highlight academic productivity and research impact. </w:t>
      </w:r>
      <w:r>
        <w:rPr>
          <w:i/>
          <w:iCs/>
          <w:kern w:val="0"/>
        </w:rPr>
        <w:t>Academic Emergency Medicine</w:t>
      </w:r>
      <w:r>
        <w:rPr>
          <w:kern w:val="0"/>
        </w:rPr>
        <w:t xml:space="preserve">, </w:t>
      </w:r>
      <w:r>
        <w:rPr>
          <w:b/>
          <w:bCs/>
          <w:kern w:val="0"/>
        </w:rPr>
        <w:t>21</w:t>
      </w:r>
      <w:r>
        <w:rPr>
          <w:kern w:val="0"/>
        </w:rPr>
        <w:t xml:space="preserve"> (10), 1160-1172.</w:t>
      </w:r>
    </w:p>
    <w:p w:rsidR="0087245C" w:rsidRPr="00F219CA" w:rsidRDefault="0087245C" w:rsidP="0087245C">
      <w:pPr>
        <w:pStyle w:val="a3"/>
      </w:pPr>
      <w:r w:rsidRPr="00F219CA">
        <w:t xml:space="preserve">Full Text: </w:t>
      </w:r>
      <w:hyperlink r:id="rId22" w:history="1">
        <w:r w:rsidRPr="002E5861">
          <w:rPr>
            <w:rStyle w:val="a5"/>
          </w:rPr>
          <w:t>2014\Aca Eme Med21, 1160.pdf</w:t>
        </w:r>
      </w:hyperlink>
    </w:p>
    <w:p w:rsidR="0087245C" w:rsidRDefault="0087245C" w:rsidP="0087245C">
      <w:pPr>
        <w:pStyle w:val="a3"/>
        <w:rPr>
          <w:kern w:val="0"/>
        </w:rPr>
      </w:pPr>
      <w:r>
        <w:rPr>
          <w:kern w:val="0"/>
        </w:rPr>
        <w:t>Abstract: This article provides a broad overview of widely available measures of academic productivity and impact using publication data and highlights uses of these metrics for various purposes. Metrics based on publication data include measures such as number of publications, number of citations, the journal impact factor score, and the h-index, as well as emerging metrics based on document-level metrics. Publication metrics can be used for a variety of purposes for tenure and promotion, grant applications and renewal reports, benchmarking, recruiting efforts, and administrative purposes for departmental or university performance reports. The authors also highlight practical applications of measuring and reporting academic productivity and impact to emphasize and promote individual investigators, grant applications, or department output. Resumen Este articulo proporciona una amplia vision de las medidas disponibles del rendimiento academico y del impacto mediante los datos de las publicaciones, y destaca los usos de estos indicadores para varios propositos. Los indicadores basados en los datos de publicacion incluyen medidas como el numero de publicaciones, el numero de citaciones, la puntuacion del factor de impacto de la revista y el indice h, asi como indicadores emergentes basados en indicadores del documento. Los indicadores de publicacion pueden ser utilizados para una variedad de propositos como los nombramientos y ascensos, la solicitud de becas e informes de renovacion, la evaluacion comparativa, los esfuerzos de reclutamiento. Tambien pueden utilizarse con propositos administrativos para los informes de rendimiento universitario o del servicio. Los autores tambien destacan las aplicaciones practicas de las mediciones y documentan el rendimiento academico y el impacto para enfatizar y promocionar investigadores individuales, solicitud de ayudas o la salida del servicio.</w:t>
      </w:r>
    </w:p>
    <w:p w:rsidR="0087245C" w:rsidRDefault="0087245C" w:rsidP="0087245C">
      <w:pPr>
        <w:pStyle w:val="a3"/>
        <w:rPr>
          <w:kern w:val="0"/>
        </w:rPr>
      </w:pPr>
      <w:r>
        <w:rPr>
          <w:kern w:val="0"/>
        </w:rPr>
        <w:t>Keywords: Academic, Academic Productivity, Article, Authors, Benchmarking, Bibliometric Indicators, Citation Analysis, Citations, Data, Folia-Phoniatrica, H Index, H-Index, Health, Impact, Impact Factor, Journal, Journal Impact, Journal Impact Factor, Measures, Medical Informatics, Metrics, Network Analysis, Overview, Performance, Productivity, Promotion, Publication, Publications, Quality, Reporting, Research, Scientific-Research, Tenure, Translational Research, University</w:t>
      </w:r>
    </w:p>
    <w:p w:rsidR="003474F2" w:rsidRPr="001A3D2B" w:rsidRDefault="003474F2" w:rsidP="003474F2">
      <w:pPr>
        <w:pStyle w:val="1"/>
      </w:pPr>
      <w:r w:rsidRPr="001A3D2B">
        <w:br w:type="page"/>
      </w:r>
      <w:bookmarkStart w:id="19" w:name="_Toc81215567"/>
      <w:bookmarkStart w:id="20" w:name="_Toc420814231"/>
      <w:r w:rsidRPr="001A3D2B">
        <w:lastRenderedPageBreak/>
        <w:t>Title: Academic Medicine</w:t>
      </w:r>
      <w:bookmarkEnd w:id="2"/>
      <w:bookmarkEnd w:id="19"/>
      <w:bookmarkEnd w:id="20"/>
    </w:p>
    <w:p w:rsidR="003474F2" w:rsidRPr="001A3D2B" w:rsidRDefault="003474F2" w:rsidP="003474F2">
      <w:pPr>
        <w:pStyle w:val="12"/>
      </w:pPr>
      <w:r w:rsidRPr="001A3D2B">
        <w:t xml:space="preserve">Full Journal Title: </w:t>
      </w:r>
      <w:hyperlink r:id="rId23" w:history="1">
        <w:r w:rsidRPr="001A3D2B">
          <w:rPr>
            <w:rStyle w:val="a5"/>
          </w:rPr>
          <w:t>Academic Medicine</w:t>
        </w:r>
      </w:hyperlink>
      <w:r w:rsidRPr="001A3D2B">
        <w:t xml:space="preserve">; </w:t>
      </w:r>
      <w:hyperlink r:id="rId24" w:history="1">
        <w:r w:rsidRPr="001A3D2B">
          <w:rPr>
            <w:rStyle w:val="a5"/>
          </w:rPr>
          <w:t>Academic Medicine</w:t>
        </w:r>
      </w:hyperlink>
      <w:r w:rsidRPr="001A3D2B">
        <w:t>;</w:t>
      </w:r>
      <w:r w:rsidRPr="001A3D2B">
        <w:rPr>
          <w:szCs w:val="15"/>
        </w:rPr>
        <w:t xml:space="preserve"> </w:t>
      </w:r>
      <w:hyperlink r:id="rId25" w:history="1">
        <w:r w:rsidRPr="001A3D2B">
          <w:rPr>
            <w:rStyle w:val="a5"/>
            <w:szCs w:val="15"/>
          </w:rPr>
          <w:t>Academic Medicine</w:t>
        </w:r>
      </w:hyperlink>
    </w:p>
    <w:p w:rsidR="003474F2" w:rsidRPr="001A3D2B" w:rsidRDefault="003474F2" w:rsidP="003474F2">
      <w:pPr>
        <w:pStyle w:val="12"/>
      </w:pPr>
      <w:r w:rsidRPr="001A3D2B">
        <w:t>ISO Abbreviated Title: Acad. Med.</w:t>
      </w:r>
    </w:p>
    <w:p w:rsidR="003474F2" w:rsidRPr="001A3D2B" w:rsidRDefault="003474F2" w:rsidP="003474F2">
      <w:pPr>
        <w:pStyle w:val="12"/>
      </w:pPr>
      <w:r w:rsidRPr="001A3D2B">
        <w:t>JCR Abbreviated Title: Acad Med</w:t>
      </w:r>
    </w:p>
    <w:p w:rsidR="003474F2" w:rsidRPr="001A3D2B" w:rsidRDefault="003474F2" w:rsidP="003474F2">
      <w:pPr>
        <w:pStyle w:val="12"/>
      </w:pPr>
      <w:r w:rsidRPr="001A3D2B">
        <w:t>ISSN: 1040-2446</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Hanley &amp; Belfus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210 S 13th St</w:t>
          </w:r>
        </w:smartTag>
        <w:r w:rsidRPr="001A3D2B">
          <w:t xml:space="preserve">, </w:t>
        </w:r>
        <w:smartTag w:uri="urn:schemas-microsoft-com:office:smarttags" w:element="City">
          <w:r w:rsidRPr="001A3D2B">
            <w:t>Philadelphia</w:t>
          </w:r>
        </w:smartTag>
        <w:r w:rsidRPr="001A3D2B">
          <w:t xml:space="preserve">, </w:t>
        </w:r>
        <w:smartTag w:uri="urn:schemas-microsoft-com:office:smarttags" w:element="State">
          <w:r w:rsidRPr="001A3D2B">
            <w:t>PA</w:t>
          </w:r>
        </w:smartTag>
        <w:r w:rsidRPr="001A3D2B">
          <w:t xml:space="preserve"> </w:t>
        </w:r>
        <w:smartTag w:uri="urn:schemas-microsoft-com:office:smarttags" w:element="PostalCode">
          <w:r w:rsidRPr="001A3D2B">
            <w:t>19107</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Education, Scientific Disciplines: Impact Factor 1.302 (2002)</w:t>
      </w:r>
    </w:p>
    <w:p w:rsidR="003474F2" w:rsidRPr="001A3D2B" w:rsidRDefault="003474F2" w:rsidP="003474F2">
      <w:pPr>
        <w:pStyle w:val="12"/>
      </w:pPr>
      <w:r w:rsidRPr="001A3D2B">
        <w:t>Health Care Sciences &amp; Services: Impact Factor 1.302 (2002)</w:t>
      </w:r>
    </w:p>
    <w:p w:rsidR="003B7D7E" w:rsidRDefault="003B7D7E" w:rsidP="003B7D7E">
      <w:pPr>
        <w:pStyle w:val="a3"/>
        <w:rPr>
          <w:kern w:val="0"/>
        </w:rPr>
      </w:pPr>
      <w:r>
        <w:rPr>
          <w:rFonts w:hint="eastAsia"/>
          <w:kern w:val="0"/>
        </w:rPr>
        <w:t xml:space="preserve">? </w:t>
      </w:r>
      <w:r>
        <w:rPr>
          <w:kern w:val="0"/>
        </w:rPr>
        <w:t>Halperin, E.C., Scott, J.</w:t>
      </w:r>
      <w:r w:rsidR="005853A9">
        <w:rPr>
          <w:kern w:val="0"/>
        </w:rPr>
        <w:t xml:space="preserve"> and </w:t>
      </w:r>
      <w:r>
        <w:rPr>
          <w:kern w:val="0"/>
        </w:rPr>
        <w:t xml:space="preserve">George, S.L. (1992), Multiple authorship in </w:t>
      </w:r>
      <w:r>
        <w:rPr>
          <w:rFonts w:hint="eastAsia"/>
          <w:kern w:val="0"/>
        </w:rPr>
        <w:t>two</w:t>
      </w:r>
      <w:r>
        <w:rPr>
          <w:kern w:val="0"/>
        </w:rPr>
        <w:t xml:space="preserve"> English-language journals in radiation oncology. </w:t>
      </w:r>
      <w:r>
        <w:rPr>
          <w:i/>
          <w:iCs/>
          <w:kern w:val="0"/>
        </w:rPr>
        <w:t>Academic Medicine</w:t>
      </w:r>
      <w:r>
        <w:rPr>
          <w:kern w:val="0"/>
        </w:rPr>
        <w:t xml:space="preserve">, </w:t>
      </w:r>
      <w:r>
        <w:rPr>
          <w:b/>
          <w:bCs/>
          <w:kern w:val="0"/>
        </w:rPr>
        <w:t>67</w:t>
      </w:r>
      <w:r>
        <w:rPr>
          <w:kern w:val="0"/>
        </w:rPr>
        <w:t xml:space="preserve"> (12), 850-856.</w:t>
      </w:r>
    </w:p>
    <w:p w:rsidR="0096673F" w:rsidRDefault="0096673F" w:rsidP="0096673F">
      <w:pPr>
        <w:pStyle w:val="a3"/>
      </w:pPr>
      <w:r w:rsidRPr="00F219CA">
        <w:t xml:space="preserve">Full Text: </w:t>
      </w:r>
      <w:hyperlink r:id="rId26" w:history="1">
        <w:r w:rsidRPr="008F2ED6">
          <w:rPr>
            <w:rStyle w:val="a5"/>
          </w:rPr>
          <w:t>1992\Aca Med67, 850.pdf</w:t>
        </w:r>
      </w:hyperlink>
    </w:p>
    <w:p w:rsidR="003B7D7E" w:rsidRDefault="003B7D7E" w:rsidP="003B7D7E">
      <w:pPr>
        <w:pStyle w:val="a3"/>
        <w:rPr>
          <w:kern w:val="0"/>
        </w:rPr>
      </w:pPr>
      <w:r>
        <w:rPr>
          <w:kern w:val="0"/>
        </w:rPr>
        <w:t>Abstract: Multiple authorship is</w:t>
      </w:r>
      <w:r w:rsidR="003A1917">
        <w:rPr>
          <w:kern w:val="0"/>
        </w:rPr>
        <w:t xml:space="preserve"> the </w:t>
      </w:r>
      <w:r>
        <w:rPr>
          <w:kern w:val="0"/>
        </w:rPr>
        <w:t>listing</w:t>
      </w:r>
      <w:r w:rsidR="00427468">
        <w:rPr>
          <w:kern w:val="0"/>
        </w:rPr>
        <w:t xml:space="preserve"> of </w:t>
      </w:r>
      <w:r>
        <w:rPr>
          <w:kern w:val="0"/>
        </w:rPr>
        <w:t>more than one person as author</w:t>
      </w:r>
      <w:r w:rsidR="00427468">
        <w:rPr>
          <w:kern w:val="0"/>
        </w:rPr>
        <w:t xml:space="preserve"> of </w:t>
      </w:r>
      <w:r>
        <w:rPr>
          <w:kern w:val="0"/>
        </w:rPr>
        <w:t>an article in</w:t>
      </w:r>
      <w:r w:rsidR="003A1917">
        <w:rPr>
          <w:kern w:val="0"/>
        </w:rPr>
        <w:t xml:space="preserve"> the </w:t>
      </w:r>
      <w:r>
        <w:rPr>
          <w:kern w:val="0"/>
        </w:rPr>
        <w:t>scholarly literature. Editors, researchers,</w:t>
      </w:r>
      <w:r w:rsidR="005853A9">
        <w:rPr>
          <w:kern w:val="0"/>
        </w:rPr>
        <w:t xml:space="preserve"> and </w:t>
      </w:r>
      <w:r>
        <w:rPr>
          <w:kern w:val="0"/>
        </w:rPr>
        <w:t>others in science publishing have raised concerns about</w:t>
      </w:r>
      <w:r w:rsidR="003A1917">
        <w:rPr>
          <w:kern w:val="0"/>
        </w:rPr>
        <w:t xml:space="preserve"> the </w:t>
      </w:r>
      <w:r>
        <w:rPr>
          <w:kern w:val="0"/>
        </w:rPr>
        <w:t>increasing number</w:t>
      </w:r>
      <w:r w:rsidR="00427468">
        <w:rPr>
          <w:kern w:val="0"/>
        </w:rPr>
        <w:t xml:space="preserve"> of </w:t>
      </w:r>
      <w:r>
        <w:rPr>
          <w:kern w:val="0"/>
        </w:rPr>
        <w:t>authors being listed per article,</w:t>
      </w:r>
      <w:r w:rsidR="003A1917">
        <w:rPr>
          <w:kern w:val="0"/>
        </w:rPr>
        <w:t xml:space="preserve"> the </w:t>
      </w:r>
      <w:r>
        <w:rPr>
          <w:kern w:val="0"/>
        </w:rPr>
        <w:t>practice</w:t>
      </w:r>
      <w:r w:rsidR="00427468">
        <w:rPr>
          <w:kern w:val="0"/>
        </w:rPr>
        <w:t xml:space="preserve"> of </w:t>
      </w:r>
      <w:r w:rsidR="00B5188C">
        <w:rPr>
          <w:kern w:val="0"/>
        </w:rPr>
        <w:t>“</w:t>
      </w:r>
      <w:r>
        <w:rPr>
          <w:kern w:val="0"/>
        </w:rPr>
        <w:t>honorary authorship</w:t>
      </w:r>
      <w:r w:rsidR="00B5188C">
        <w:rPr>
          <w:kern w:val="0"/>
        </w:rPr>
        <w:t>”</w:t>
      </w:r>
      <w:r>
        <w:rPr>
          <w:kern w:val="0"/>
        </w:rPr>
        <w:t xml:space="preserve"> (listing as an author someone who made little or no contribution to</w:t>
      </w:r>
      <w:r w:rsidR="003A1917">
        <w:rPr>
          <w:kern w:val="0"/>
        </w:rPr>
        <w:t xml:space="preserve"> the </w:t>
      </w:r>
      <w:r>
        <w:rPr>
          <w:kern w:val="0"/>
        </w:rPr>
        <w:t>work being reported),</w:t>
      </w:r>
      <w:r w:rsidR="005853A9">
        <w:rPr>
          <w:kern w:val="0"/>
        </w:rPr>
        <w:t xml:space="preserve"> and </w:t>
      </w:r>
      <w:r w:rsidR="003A1917">
        <w:rPr>
          <w:kern w:val="0"/>
        </w:rPr>
        <w:t xml:space="preserve">the </w:t>
      </w:r>
      <w:r>
        <w:rPr>
          <w:kern w:val="0"/>
        </w:rPr>
        <w:t>danger</w:t>
      </w:r>
      <w:r w:rsidR="00427468">
        <w:rPr>
          <w:kern w:val="0"/>
        </w:rPr>
        <w:t xml:space="preserve"> of </w:t>
      </w:r>
      <w:r w:rsidR="003A1917">
        <w:rPr>
          <w:kern w:val="0"/>
        </w:rPr>
        <w:t xml:space="preserve">the </w:t>
      </w:r>
      <w:r>
        <w:rPr>
          <w:kern w:val="0"/>
        </w:rPr>
        <w:t>dilution</w:t>
      </w:r>
      <w:r w:rsidR="00427468">
        <w:rPr>
          <w:kern w:val="0"/>
        </w:rPr>
        <w:t xml:space="preserve"> of </w:t>
      </w:r>
      <w:r>
        <w:rPr>
          <w:kern w:val="0"/>
        </w:rPr>
        <w:t>responsibility when many authors are involved</w:t>
      </w:r>
      <w:r w:rsidR="00A37C1D">
        <w:rPr>
          <w:kern w:val="0"/>
        </w:rPr>
        <w:t>. The</w:t>
      </w:r>
      <w:r w:rsidR="003A1917">
        <w:rPr>
          <w:kern w:val="0"/>
        </w:rPr>
        <w:t xml:space="preserve"> </w:t>
      </w:r>
      <w:r>
        <w:rPr>
          <w:kern w:val="0"/>
        </w:rPr>
        <w:t>authors studied multi-authorship in</w:t>
      </w:r>
      <w:r w:rsidR="003A1917">
        <w:rPr>
          <w:kern w:val="0"/>
        </w:rPr>
        <w:t xml:space="preserve"> the </w:t>
      </w:r>
      <w:r>
        <w:rPr>
          <w:kern w:val="0"/>
        </w:rPr>
        <w:t>two most popular English-language journals on radiation oncology, examining 1,908 papers</w:t>
      </w:r>
      <w:r w:rsidR="005853A9">
        <w:rPr>
          <w:kern w:val="0"/>
        </w:rPr>
        <w:t xml:space="preserve"> and </w:t>
      </w:r>
      <w:r>
        <w:rPr>
          <w:kern w:val="0"/>
        </w:rPr>
        <w:t>letters published in</w:t>
      </w:r>
      <w:r w:rsidR="003A1917">
        <w:rPr>
          <w:kern w:val="0"/>
        </w:rPr>
        <w:t xml:space="preserve"> the </w:t>
      </w:r>
      <w:r>
        <w:rPr>
          <w:kern w:val="0"/>
        </w:rPr>
        <w:t>International Journal</w:t>
      </w:r>
      <w:r w:rsidR="00427468">
        <w:rPr>
          <w:kern w:val="0"/>
        </w:rPr>
        <w:t xml:space="preserve"> of </w:t>
      </w:r>
      <w:r>
        <w:rPr>
          <w:kern w:val="0"/>
        </w:rPr>
        <w:t>Radiation Oncology, Biology,</w:t>
      </w:r>
      <w:r w:rsidR="005853A9">
        <w:rPr>
          <w:kern w:val="0"/>
        </w:rPr>
        <w:t xml:space="preserve"> and </w:t>
      </w:r>
      <w:r>
        <w:rPr>
          <w:kern w:val="0"/>
        </w:rPr>
        <w:t>Physics (IJROBP)</w:t>
      </w:r>
      <w:r w:rsidR="005853A9">
        <w:rPr>
          <w:kern w:val="0"/>
        </w:rPr>
        <w:t xml:space="preserve"> and </w:t>
      </w:r>
      <w:r>
        <w:rPr>
          <w:kern w:val="0"/>
        </w:rPr>
        <w:t>Radiotherapy</w:t>
      </w:r>
      <w:r w:rsidR="005853A9">
        <w:rPr>
          <w:kern w:val="0"/>
        </w:rPr>
        <w:t xml:space="preserve"> and </w:t>
      </w:r>
      <w:r>
        <w:rPr>
          <w:kern w:val="0"/>
        </w:rPr>
        <w:t>Oncology (RO) from 1983 through 1987</w:t>
      </w:r>
      <w:r w:rsidR="00A37C1D">
        <w:rPr>
          <w:kern w:val="0"/>
        </w:rPr>
        <w:t>. The</w:t>
      </w:r>
      <w:r>
        <w:rPr>
          <w:kern w:val="0"/>
        </w:rPr>
        <w:t>re was no increase in</w:t>
      </w:r>
      <w:r w:rsidR="003A1917">
        <w:rPr>
          <w:kern w:val="0"/>
        </w:rPr>
        <w:t xml:space="preserve"> the </w:t>
      </w:r>
      <w:r>
        <w:rPr>
          <w:kern w:val="0"/>
        </w:rPr>
        <w:t>number</w:t>
      </w:r>
      <w:r w:rsidR="00427468">
        <w:rPr>
          <w:kern w:val="0"/>
        </w:rPr>
        <w:t xml:space="preserve"> of </w:t>
      </w:r>
      <w:r>
        <w:rPr>
          <w:kern w:val="0"/>
        </w:rPr>
        <w:t>authors per article during this period, when</w:t>
      </w:r>
      <w:r w:rsidR="003A1917">
        <w:rPr>
          <w:kern w:val="0"/>
        </w:rPr>
        <w:t xml:space="preserve"> the </w:t>
      </w:r>
      <w:r>
        <w:rPr>
          <w:kern w:val="0"/>
        </w:rPr>
        <w:t>median number for IJROBP was four</w:t>
      </w:r>
      <w:r w:rsidR="005853A9">
        <w:rPr>
          <w:kern w:val="0"/>
        </w:rPr>
        <w:t xml:space="preserve"> and </w:t>
      </w:r>
      <w:r>
        <w:rPr>
          <w:kern w:val="0"/>
        </w:rPr>
        <w:t>that for RO was three</w:t>
      </w:r>
      <w:r w:rsidR="00A37C1D">
        <w:rPr>
          <w:kern w:val="0"/>
        </w:rPr>
        <w:t>. The</w:t>
      </w:r>
      <w:r w:rsidR="003A1917">
        <w:rPr>
          <w:kern w:val="0"/>
        </w:rPr>
        <w:t xml:space="preserve"> </w:t>
      </w:r>
      <w:r>
        <w:rPr>
          <w:kern w:val="0"/>
        </w:rPr>
        <w:t>number</w:t>
      </w:r>
      <w:r w:rsidR="00427468">
        <w:rPr>
          <w:kern w:val="0"/>
        </w:rPr>
        <w:t xml:space="preserve"> of </w:t>
      </w:r>
      <w:r>
        <w:rPr>
          <w:kern w:val="0"/>
        </w:rPr>
        <w:t>authors varied by type</w:t>
      </w:r>
      <w:r w:rsidR="00427468">
        <w:rPr>
          <w:kern w:val="0"/>
        </w:rPr>
        <w:t xml:space="preserve"> of </w:t>
      </w:r>
      <w:r>
        <w:rPr>
          <w:kern w:val="0"/>
        </w:rPr>
        <w:t>article, by country (France had</w:t>
      </w:r>
      <w:r w:rsidR="003A1917">
        <w:rPr>
          <w:kern w:val="0"/>
        </w:rPr>
        <w:t xml:space="preserve"> the </w:t>
      </w:r>
      <w:r>
        <w:rPr>
          <w:kern w:val="0"/>
        </w:rPr>
        <w:t>largest median number, six for IJROBP</w:t>
      </w:r>
      <w:r w:rsidR="005853A9">
        <w:rPr>
          <w:kern w:val="0"/>
        </w:rPr>
        <w:t xml:space="preserve"> and </w:t>
      </w:r>
      <w:r>
        <w:rPr>
          <w:kern w:val="0"/>
        </w:rPr>
        <w:t>five for RO),</w:t>
      </w:r>
      <w:r w:rsidR="005853A9">
        <w:rPr>
          <w:kern w:val="0"/>
        </w:rPr>
        <w:t xml:space="preserve"> and </w:t>
      </w:r>
      <w:r>
        <w:rPr>
          <w:kern w:val="0"/>
        </w:rPr>
        <w:t>by</w:t>
      </w:r>
      <w:r w:rsidR="003A1917">
        <w:rPr>
          <w:kern w:val="0"/>
        </w:rPr>
        <w:t xml:space="preserve"> the </w:t>
      </w:r>
      <w:r>
        <w:rPr>
          <w:kern w:val="0"/>
        </w:rPr>
        <w:t>author</w:t>
      </w:r>
      <w:r w:rsidR="00700038">
        <w:rPr>
          <w:kern w:val="0"/>
        </w:rPr>
        <w:t>’</w:t>
      </w:r>
      <w:r>
        <w:rPr>
          <w:kern w:val="0"/>
        </w:rPr>
        <w:t>s institution</w:t>
      </w:r>
      <w:r w:rsidR="00A37C1D">
        <w:rPr>
          <w:kern w:val="0"/>
        </w:rPr>
        <w:t>. The</w:t>
      </w:r>
      <w:r w:rsidR="003A1917">
        <w:rPr>
          <w:kern w:val="0"/>
        </w:rPr>
        <w:t xml:space="preserve"> </w:t>
      </w:r>
      <w:r>
        <w:rPr>
          <w:kern w:val="0"/>
        </w:rPr>
        <w:t>first author</w:t>
      </w:r>
      <w:r w:rsidR="00700038">
        <w:rPr>
          <w:kern w:val="0"/>
        </w:rPr>
        <w:t>’</w:t>
      </w:r>
      <w:r>
        <w:rPr>
          <w:kern w:val="0"/>
        </w:rPr>
        <w:t>s gender was unrelated to</w:t>
      </w:r>
      <w:r w:rsidR="003A1917">
        <w:rPr>
          <w:kern w:val="0"/>
        </w:rPr>
        <w:t xml:space="preserve"> the </w:t>
      </w:r>
      <w:r>
        <w:rPr>
          <w:kern w:val="0"/>
        </w:rPr>
        <w:t>number</w:t>
      </w:r>
      <w:r w:rsidR="00427468">
        <w:rPr>
          <w:kern w:val="0"/>
        </w:rPr>
        <w:t xml:space="preserve"> of </w:t>
      </w:r>
      <w:r>
        <w:rPr>
          <w:kern w:val="0"/>
        </w:rPr>
        <w:t>subsequent authors for an article</w:t>
      </w:r>
      <w:r w:rsidR="00A37C1D">
        <w:rPr>
          <w:kern w:val="0"/>
        </w:rPr>
        <w:t>. The</w:t>
      </w:r>
      <w:r w:rsidR="003A1917">
        <w:rPr>
          <w:kern w:val="0"/>
        </w:rPr>
        <w:t xml:space="preserve"> </w:t>
      </w:r>
      <w:r>
        <w:rPr>
          <w:kern w:val="0"/>
        </w:rPr>
        <w:t>proportion</w:t>
      </w:r>
      <w:r w:rsidR="00427468">
        <w:rPr>
          <w:kern w:val="0"/>
        </w:rPr>
        <w:t xml:space="preserve"> of </w:t>
      </w:r>
      <w:r>
        <w:rPr>
          <w:kern w:val="0"/>
        </w:rPr>
        <w:t>men first authors varied widely between countries</w:t>
      </w:r>
      <w:r w:rsidR="005853A9">
        <w:rPr>
          <w:kern w:val="0"/>
        </w:rPr>
        <w:t xml:space="preserve"> and </w:t>
      </w:r>
      <w:r>
        <w:rPr>
          <w:kern w:val="0"/>
        </w:rPr>
        <w:t>institutions. Possible explanations for these variations include</w:t>
      </w:r>
      <w:r w:rsidR="003A1917">
        <w:rPr>
          <w:kern w:val="0"/>
        </w:rPr>
        <w:t xml:space="preserve"> the </w:t>
      </w:r>
      <w:r>
        <w:rPr>
          <w:kern w:val="0"/>
        </w:rPr>
        <w:t>multidisciplinary nature</w:t>
      </w:r>
      <w:r w:rsidR="005853A9">
        <w:rPr>
          <w:kern w:val="0"/>
        </w:rPr>
        <w:t xml:space="preserve"> and </w:t>
      </w:r>
      <w:r>
        <w:rPr>
          <w:kern w:val="0"/>
        </w:rPr>
        <w:t>complexity</w:t>
      </w:r>
      <w:r w:rsidR="00427468">
        <w:rPr>
          <w:kern w:val="0"/>
        </w:rPr>
        <w:t xml:space="preserve"> of </w:t>
      </w:r>
      <w:r>
        <w:rPr>
          <w:kern w:val="0"/>
        </w:rPr>
        <w:t>some forms</w:t>
      </w:r>
      <w:r w:rsidR="00427468">
        <w:rPr>
          <w:kern w:val="0"/>
        </w:rPr>
        <w:t xml:space="preserve"> of </w:t>
      </w:r>
      <w:r>
        <w:rPr>
          <w:kern w:val="0"/>
        </w:rPr>
        <w:t>research, institutional policies concerning</w:t>
      </w:r>
      <w:r w:rsidR="003A1917">
        <w:rPr>
          <w:kern w:val="0"/>
        </w:rPr>
        <w:t xml:space="preserve"> the </w:t>
      </w:r>
      <w:r>
        <w:rPr>
          <w:kern w:val="0"/>
        </w:rPr>
        <w:t>use</w:t>
      </w:r>
      <w:r w:rsidR="00427468">
        <w:rPr>
          <w:kern w:val="0"/>
        </w:rPr>
        <w:t xml:space="preserve"> of </w:t>
      </w:r>
      <w:r>
        <w:rPr>
          <w:kern w:val="0"/>
        </w:rPr>
        <w:t>authorship as a commodity</w:t>
      </w:r>
      <w:r w:rsidR="00427468">
        <w:rPr>
          <w:kern w:val="0"/>
        </w:rPr>
        <w:t xml:space="preserve"> of </w:t>
      </w:r>
      <w:r>
        <w:rPr>
          <w:kern w:val="0"/>
        </w:rPr>
        <w:t>exchange,</w:t>
      </w:r>
      <w:r w:rsidR="005853A9">
        <w:rPr>
          <w:kern w:val="0"/>
        </w:rPr>
        <w:t xml:space="preserve"> and </w:t>
      </w:r>
      <w:r>
        <w:rPr>
          <w:kern w:val="0"/>
        </w:rPr>
        <w:t>social-cultural factors.</w:t>
      </w:r>
    </w:p>
    <w:p w:rsidR="003B7D7E" w:rsidRDefault="003B7D7E" w:rsidP="003B7D7E">
      <w:pPr>
        <w:pStyle w:val="a3"/>
        <w:rPr>
          <w:kern w:val="0"/>
        </w:rPr>
      </w:pPr>
      <w:r>
        <w:rPr>
          <w:kern w:val="0"/>
        </w:rPr>
        <w:t xml:space="preserve">Keywords: Authors, Authorship, Complexity, Countries, Country, Dilution, Editors, </w:t>
      </w:r>
      <w:r>
        <w:rPr>
          <w:kern w:val="0"/>
        </w:rPr>
        <w:lastRenderedPageBreak/>
        <w:t>First, Forms, France, Gender, Impact, Institutions, Journal, Journals, Literature, Men, Multidisciplinary, Oncology, Paper, Papers, Perish, Person, Policies, Practice, Publish, Publishing, Radiation, Radiation Oncology, Radiotherapy, Research, Responsibility, Science, Work, Write</w:t>
      </w:r>
    </w:p>
    <w:p w:rsidR="003474F2" w:rsidRPr="001A3D2B" w:rsidRDefault="003474F2" w:rsidP="003474F2">
      <w:pPr>
        <w:pStyle w:val="a3"/>
      </w:pPr>
      <w:r w:rsidRPr="001A3D2B">
        <w:t>? Bilge, A., Shugerman, R.P.</w:t>
      </w:r>
      <w:r w:rsidR="005853A9">
        <w:t xml:space="preserve"> and </w:t>
      </w:r>
      <w:r w:rsidRPr="001A3D2B">
        <w:t>Robertson, W.O. (1998), Misrepresentation</w:t>
      </w:r>
      <w:r w:rsidR="00427468">
        <w:t xml:space="preserve"> of </w:t>
      </w:r>
      <w:r w:rsidRPr="001A3D2B">
        <w:t xml:space="preserve">authorship by applicants to pediatrics training programs. </w:t>
      </w:r>
      <w:r w:rsidRPr="001A3D2B">
        <w:rPr>
          <w:i/>
          <w:iCs/>
        </w:rPr>
        <w:t>Academic Medicine</w:t>
      </w:r>
      <w:r w:rsidRPr="001A3D2B">
        <w:t xml:space="preserve">, </w:t>
      </w:r>
      <w:r w:rsidRPr="001A3D2B">
        <w:rPr>
          <w:b/>
          <w:bCs/>
        </w:rPr>
        <w:t>73</w:t>
      </w:r>
      <w:r w:rsidRPr="001A3D2B">
        <w:t xml:space="preserve"> (5), 532-533.</w:t>
      </w:r>
    </w:p>
    <w:p w:rsidR="003474F2" w:rsidRPr="001A3D2B" w:rsidRDefault="003474F2" w:rsidP="003474F2">
      <w:pPr>
        <w:pStyle w:val="a3"/>
      </w:pPr>
      <w:r w:rsidRPr="001A3D2B">
        <w:t xml:space="preserve">Full Text: </w:t>
      </w:r>
      <w:hyperlink r:id="rId27" w:history="1">
        <w:r w:rsidRPr="001A3D2B">
          <w:rPr>
            <w:rStyle w:val="a5"/>
          </w:rPr>
          <w:t>1998\Aca Med73, 532.pdf</w:t>
        </w:r>
      </w:hyperlink>
    </w:p>
    <w:p w:rsidR="003474F2" w:rsidRPr="001A3D2B" w:rsidRDefault="003474F2" w:rsidP="003474F2">
      <w:pPr>
        <w:pStyle w:val="a3"/>
      </w:pPr>
      <w:r w:rsidRPr="001A3D2B">
        <w:t>Abstract: Purpose. To determine whether applicants to pediatrics residency</w:t>
      </w:r>
      <w:r w:rsidR="005853A9">
        <w:t xml:space="preserve"> and </w:t>
      </w:r>
      <w:r w:rsidRPr="001A3D2B">
        <w:t>fellowship programs misrepresented authorship</w:t>
      </w:r>
      <w:r w:rsidR="00427468">
        <w:t xml:space="preserve"> of </w:t>
      </w:r>
      <w:r w:rsidRPr="001A3D2B">
        <w:t>publications.</w:t>
      </w:r>
    </w:p>
    <w:p w:rsidR="003474F2" w:rsidRPr="001A3D2B" w:rsidRDefault="003474F2" w:rsidP="003474F2">
      <w:pPr>
        <w:pStyle w:val="a3"/>
      </w:pPr>
      <w:r w:rsidRPr="001A3D2B">
        <w:t>Method</w:t>
      </w:r>
      <w:r w:rsidR="00A37C1D">
        <w:t>. The</w:t>
      </w:r>
      <w:r w:rsidR="003A1917">
        <w:t xml:space="preserve"> </w:t>
      </w:r>
      <w:r w:rsidRPr="001A3D2B">
        <w:t>authors sampled 1995 applications to</w:t>
      </w:r>
      <w:r w:rsidR="003A1917">
        <w:t xml:space="preserve"> the </w:t>
      </w:r>
      <w:r w:rsidRPr="001A3D2B">
        <w:t>University</w:t>
      </w:r>
      <w:r w:rsidR="00427468">
        <w:t xml:space="preserve"> of </w:t>
      </w:r>
      <w:r w:rsidRPr="001A3D2B">
        <w:t>Washington School</w:t>
      </w:r>
      <w:r w:rsidR="00427468">
        <w:t xml:space="preserve"> of </w:t>
      </w:r>
      <w:r w:rsidRPr="001A3D2B">
        <w:t>Medicine</w:t>
      </w:r>
      <w:r w:rsidR="00700038">
        <w:t>’</w:t>
      </w:r>
      <w:r w:rsidR="00C13DDC">
        <w:t>s</w:t>
      </w:r>
      <w:r w:rsidRPr="001A3D2B">
        <w:t xml:space="preserve"> pediatrics residency program</w:t>
      </w:r>
      <w:r w:rsidR="005853A9">
        <w:t xml:space="preserve"> and </w:t>
      </w:r>
      <w:r w:rsidRPr="001A3D2B">
        <w:t>pediatrics pulmonary fellowship program</w:t>
      </w:r>
      <w:r w:rsidR="00A37C1D">
        <w:t>. The</w:t>
      </w:r>
      <w:r w:rsidRPr="001A3D2B">
        <w:t>y submitted all publications claimed in</w:t>
      </w:r>
      <w:r w:rsidR="003A1917">
        <w:t xml:space="preserve"> the </w:t>
      </w:r>
      <w:r w:rsidRPr="001A3D2B">
        <w:t>submitted applications to extensive efforts to authenticate both their existence</w:t>
      </w:r>
      <w:r w:rsidR="005853A9">
        <w:t xml:space="preserve"> and </w:t>
      </w:r>
      <w:r w:rsidRPr="001A3D2B">
        <w:t>authorship.</w:t>
      </w:r>
    </w:p>
    <w:p w:rsidR="003474F2" w:rsidRPr="001A3D2B" w:rsidRDefault="003474F2" w:rsidP="003474F2">
      <w:pPr>
        <w:pStyle w:val="a3"/>
      </w:pPr>
      <w:r w:rsidRPr="001A3D2B">
        <w:t>Results. Among</w:t>
      </w:r>
      <w:r w:rsidR="003A1917">
        <w:t xml:space="preserve"> the </w:t>
      </w:r>
      <w:r w:rsidRPr="001A3D2B">
        <w:t>404 pediatrics residency program applications studied, 147 claimed authorship</w:t>
      </w:r>
      <w:r w:rsidR="00427468">
        <w:t xml:space="preserve"> of </w:t>
      </w:r>
      <w:r w:rsidRPr="001A3D2B">
        <w:t>publications; 29 (19.7%)</w:t>
      </w:r>
      <w:r w:rsidR="00427468">
        <w:t xml:space="preserve"> of </w:t>
      </w:r>
      <w:r w:rsidRPr="001A3D2B">
        <w:t>these contained at least one unverifiable publication.</w:t>
      </w:r>
      <w:r w:rsidR="00427468">
        <w:t xml:space="preserve"> of </w:t>
      </w:r>
      <w:r w:rsidR="003A1917">
        <w:t xml:space="preserve">the </w:t>
      </w:r>
      <w:r w:rsidRPr="001A3D2B">
        <w:t>401 publications claimed in</w:t>
      </w:r>
      <w:r w:rsidR="003A1917">
        <w:t xml:space="preserve"> the </w:t>
      </w:r>
      <w:r w:rsidRPr="001A3D2B">
        <w:t>147 applications, 41 (10.2%) could not be confirmed. Among 31 fellowship applications, 14 claimed publications. At least one citation was unverifiable for each</w:t>
      </w:r>
      <w:r w:rsidR="00427468">
        <w:t xml:space="preserve"> of </w:t>
      </w:r>
      <w:r w:rsidR="003A1917">
        <w:t xml:space="preserve">the </w:t>
      </w:r>
      <w:r w:rsidRPr="001A3D2B">
        <w:t>14 applications.</w:t>
      </w:r>
      <w:r w:rsidR="00427468">
        <w:t xml:space="preserve"> of </w:t>
      </w:r>
      <w:r w:rsidR="003A1917">
        <w:t xml:space="preserve">the </w:t>
      </w:r>
      <w:r w:rsidRPr="001A3D2B">
        <w:t>total 77 publications claimed, 31 (40%) could not be confirmed.</w:t>
      </w:r>
    </w:p>
    <w:p w:rsidR="003474F2" w:rsidRPr="001A3D2B" w:rsidRDefault="003474F2" w:rsidP="003474F2">
      <w:pPr>
        <w:pStyle w:val="a3"/>
      </w:pPr>
      <w:r w:rsidRPr="001A3D2B">
        <w:t>Conclusion. Misrepresentation occurs on graduate medical education applications; solutions are needed to address this problem.</w:t>
      </w:r>
    </w:p>
    <w:p w:rsidR="003474F2" w:rsidRPr="001A3D2B" w:rsidRDefault="003474F2" w:rsidP="003474F2">
      <w:pPr>
        <w:pStyle w:val="a3"/>
      </w:pPr>
      <w:r w:rsidRPr="001A3D2B">
        <w:t>Keywords: Credentials</w:t>
      </w:r>
    </w:p>
    <w:p w:rsidR="00021E6B" w:rsidRDefault="00021E6B" w:rsidP="00021E6B">
      <w:pPr>
        <w:pStyle w:val="a3"/>
        <w:rPr>
          <w:kern w:val="0"/>
        </w:rPr>
      </w:pPr>
      <w:r>
        <w:rPr>
          <w:rFonts w:hint="eastAsia"/>
          <w:kern w:val="0"/>
        </w:rPr>
        <w:t xml:space="preserve">? </w:t>
      </w:r>
      <w:r>
        <w:rPr>
          <w:kern w:val="0"/>
        </w:rPr>
        <w:t>Goe, L.C., Herrera, A.M.</w:t>
      </w:r>
      <w:r w:rsidR="005853A9">
        <w:rPr>
          <w:kern w:val="0"/>
        </w:rPr>
        <w:t xml:space="preserve"> and </w:t>
      </w:r>
      <w:r>
        <w:rPr>
          <w:kern w:val="0"/>
        </w:rPr>
        <w:t>Mower, W.R. (1998), Misrepresentation</w:t>
      </w:r>
      <w:r w:rsidR="00427468">
        <w:rPr>
          <w:kern w:val="0"/>
        </w:rPr>
        <w:t xml:space="preserve"> of </w:t>
      </w:r>
      <w:r>
        <w:rPr>
          <w:kern w:val="0"/>
        </w:rPr>
        <w:t xml:space="preserve">research citations among medical school faculty applicants. </w:t>
      </w:r>
      <w:r>
        <w:rPr>
          <w:i/>
          <w:iCs/>
          <w:kern w:val="0"/>
        </w:rPr>
        <w:t>Academic Medicine</w:t>
      </w:r>
      <w:r>
        <w:rPr>
          <w:kern w:val="0"/>
        </w:rPr>
        <w:t xml:space="preserve">, </w:t>
      </w:r>
      <w:r>
        <w:rPr>
          <w:b/>
          <w:bCs/>
          <w:kern w:val="0"/>
        </w:rPr>
        <w:t>73</w:t>
      </w:r>
      <w:r>
        <w:rPr>
          <w:kern w:val="0"/>
        </w:rPr>
        <w:t xml:space="preserve"> (11), 1183-1186.</w:t>
      </w:r>
    </w:p>
    <w:p w:rsidR="00021E6B" w:rsidRPr="00F219CA" w:rsidRDefault="00021E6B" w:rsidP="00021E6B">
      <w:pPr>
        <w:pStyle w:val="a3"/>
      </w:pPr>
      <w:r w:rsidRPr="00F219CA">
        <w:t xml:space="preserve">Full Text: </w:t>
      </w:r>
      <w:hyperlink r:id="rId28" w:history="1">
        <w:r w:rsidRPr="00D447C7">
          <w:rPr>
            <w:rStyle w:val="a5"/>
          </w:rPr>
          <w:t>1998\Aca Med73, 1183.pdf</w:t>
        </w:r>
      </w:hyperlink>
    </w:p>
    <w:p w:rsidR="00021E6B" w:rsidRDefault="00021E6B" w:rsidP="00021E6B">
      <w:pPr>
        <w:pStyle w:val="a3"/>
        <w:rPr>
          <w:kern w:val="0"/>
        </w:rPr>
      </w:pPr>
      <w:r>
        <w:rPr>
          <w:kern w:val="0"/>
        </w:rPr>
        <w:t>Abstract: Purpose. A descriptive study</w:t>
      </w:r>
      <w:r w:rsidR="00427468">
        <w:rPr>
          <w:kern w:val="0"/>
        </w:rPr>
        <w:t xml:space="preserve"> of </w:t>
      </w:r>
      <w:r>
        <w:rPr>
          <w:kern w:val="0"/>
        </w:rPr>
        <w:t>bibliographic misrepresentations by applicants to medical school faculty positions. Method</w:t>
      </w:r>
      <w:r w:rsidR="00A37C1D">
        <w:rPr>
          <w:kern w:val="0"/>
        </w:rPr>
        <w:t>. The</w:t>
      </w:r>
      <w:r w:rsidR="003A1917">
        <w:rPr>
          <w:kern w:val="0"/>
        </w:rPr>
        <w:t xml:space="preserve"> </w:t>
      </w:r>
      <w:r>
        <w:rPr>
          <w:kern w:val="0"/>
        </w:rPr>
        <w:t>authors reviewed 250 1995 faculty applicant bibliographies from eight medical institutions, representing six medical specialities. Using computerized library database searches or direct retrieval, they evaluated</w:t>
      </w:r>
      <w:r w:rsidR="003A1917">
        <w:rPr>
          <w:kern w:val="0"/>
        </w:rPr>
        <w:t xml:space="preserve"> the </w:t>
      </w:r>
      <w:r>
        <w:rPr>
          <w:kern w:val="0"/>
        </w:rPr>
        <w:t>legitimacy</w:t>
      </w:r>
      <w:r w:rsidR="00427468">
        <w:rPr>
          <w:kern w:val="0"/>
        </w:rPr>
        <w:t xml:space="preserve"> of </w:t>
      </w:r>
      <w:r>
        <w:rPr>
          <w:kern w:val="0"/>
        </w:rPr>
        <w:t>each journal, abstract,</w:t>
      </w:r>
      <w:r w:rsidR="005853A9">
        <w:rPr>
          <w:kern w:val="0"/>
        </w:rPr>
        <w:t xml:space="preserve"> and </w:t>
      </w:r>
      <w:r>
        <w:rPr>
          <w:kern w:val="0"/>
        </w:rPr>
        <w:t>book citation</w:t>
      </w:r>
      <w:r w:rsidR="00A37C1D">
        <w:rPr>
          <w:kern w:val="0"/>
        </w:rPr>
        <w:t>. The</w:t>
      </w:r>
      <w:r w:rsidR="003A1917">
        <w:rPr>
          <w:kern w:val="0"/>
        </w:rPr>
        <w:t xml:space="preserve"> </w:t>
      </w:r>
      <w:r>
        <w:rPr>
          <w:kern w:val="0"/>
        </w:rPr>
        <w:t>authors classified</w:t>
      </w:r>
      <w:r w:rsidR="005853A9">
        <w:rPr>
          <w:kern w:val="0"/>
        </w:rPr>
        <w:t xml:space="preserve"> and </w:t>
      </w:r>
      <w:r>
        <w:rPr>
          <w:kern w:val="0"/>
        </w:rPr>
        <w:t>tabulated</w:t>
      </w:r>
      <w:r w:rsidR="003A1917">
        <w:rPr>
          <w:kern w:val="0"/>
        </w:rPr>
        <w:t xml:space="preserve"> the </w:t>
      </w:r>
      <w:r>
        <w:rPr>
          <w:kern w:val="0"/>
        </w:rPr>
        <w:t>following discrepancies as misrepresentations: (1) citing a nonexistent article in an existent source, (2) claiming authorship on an article that did not list</w:t>
      </w:r>
      <w:r w:rsidR="003A1917">
        <w:rPr>
          <w:kern w:val="0"/>
        </w:rPr>
        <w:t xml:space="preserve"> the </w:t>
      </w:r>
      <w:r>
        <w:rPr>
          <w:kern w:val="0"/>
        </w:rPr>
        <w:t>applicant as an author,</w:t>
      </w:r>
      <w:r w:rsidR="005853A9">
        <w:rPr>
          <w:kern w:val="0"/>
        </w:rPr>
        <w:t xml:space="preserve"> and </w:t>
      </w:r>
      <w:r>
        <w:rPr>
          <w:kern w:val="0"/>
        </w:rPr>
        <w:t>(3) altering authorship order to enhance</w:t>
      </w:r>
      <w:r w:rsidR="003A1917">
        <w:rPr>
          <w:kern w:val="0"/>
        </w:rPr>
        <w:t xml:space="preserve"> the </w:t>
      </w:r>
      <w:r>
        <w:rPr>
          <w:kern w:val="0"/>
        </w:rPr>
        <w:t>applicant</w:t>
      </w:r>
      <w:r w:rsidR="00700038">
        <w:rPr>
          <w:kern w:val="0"/>
        </w:rPr>
        <w:t>’</w:t>
      </w:r>
      <w:r>
        <w:rPr>
          <w:kern w:val="0"/>
        </w:rPr>
        <w:t>s position. Results</w:t>
      </w:r>
      <w:r w:rsidR="00A37C1D">
        <w:rPr>
          <w:kern w:val="0"/>
        </w:rPr>
        <w:t>. The</w:t>
      </w:r>
      <w:r w:rsidR="003A1917">
        <w:rPr>
          <w:kern w:val="0"/>
        </w:rPr>
        <w:t xml:space="preserve"> </w:t>
      </w:r>
      <w:r>
        <w:rPr>
          <w:kern w:val="0"/>
        </w:rPr>
        <w:t>authors found 56 misrepresented citations among 2,149 verified articles (2.6%)</w:t>
      </w:r>
      <w:r w:rsidR="00A37C1D">
        <w:rPr>
          <w:kern w:val="0"/>
        </w:rPr>
        <w:t>. The</w:t>
      </w:r>
      <w:r>
        <w:rPr>
          <w:kern w:val="0"/>
        </w:rPr>
        <w:t>se misrepresentations were distributed among 39 applicants (15.6%; 95% CI, 11.5% to 20.9%); 11</w:t>
      </w:r>
      <w:r w:rsidR="00427468">
        <w:rPr>
          <w:kern w:val="0"/>
        </w:rPr>
        <w:t xml:space="preserve"> of </w:t>
      </w:r>
      <w:r>
        <w:rPr>
          <w:kern w:val="0"/>
        </w:rPr>
        <w:t>whom (4.4%) had multiple discrepancies. Sixty-eight percent</w:t>
      </w:r>
      <w:r w:rsidR="00427468">
        <w:rPr>
          <w:kern w:val="0"/>
        </w:rPr>
        <w:t xml:space="preserve"> of </w:t>
      </w:r>
      <w:r>
        <w:rPr>
          <w:kern w:val="0"/>
        </w:rPr>
        <w:t xml:space="preserve">all misrepresentations were due to </w:t>
      </w:r>
      <w:r>
        <w:rPr>
          <w:kern w:val="0"/>
        </w:rPr>
        <w:lastRenderedPageBreak/>
        <w:t>discrepancies in authorship order, while journal citations constituted</w:t>
      </w:r>
      <w:r w:rsidR="003A1917">
        <w:rPr>
          <w:kern w:val="0"/>
        </w:rPr>
        <w:t xml:space="preserve"> the </w:t>
      </w:r>
      <w:r>
        <w:rPr>
          <w:kern w:val="0"/>
        </w:rPr>
        <w:t>most frequent source</w:t>
      </w:r>
      <w:r w:rsidR="00427468">
        <w:rPr>
          <w:kern w:val="0"/>
        </w:rPr>
        <w:t xml:space="preserve"> of </w:t>
      </w:r>
      <w:r>
        <w:rPr>
          <w:kern w:val="0"/>
        </w:rPr>
        <w:t>misrepresentation (77%). Conclusions. Misrepresentation</w:t>
      </w:r>
      <w:r w:rsidR="00427468">
        <w:rPr>
          <w:kern w:val="0"/>
        </w:rPr>
        <w:t xml:space="preserve"> of </w:t>
      </w:r>
      <w:r>
        <w:rPr>
          <w:kern w:val="0"/>
        </w:rPr>
        <w:t>bibliographic citations does exist among medical school faculty applicants. One possible solution to this problem would be to require applicants to document their bibliographic citations.</w:t>
      </w:r>
    </w:p>
    <w:p w:rsidR="00021E6B" w:rsidRDefault="00021E6B" w:rsidP="00021E6B">
      <w:pPr>
        <w:pStyle w:val="a3"/>
        <w:rPr>
          <w:kern w:val="0"/>
        </w:rPr>
      </w:pPr>
      <w:r>
        <w:rPr>
          <w:kern w:val="0"/>
        </w:rPr>
        <w:t>Keywords: Author, Authors, Authorship, Bibliographic, Citation, Citations, Faculty, Journal, Medical, Medical School, Research</w:t>
      </w:r>
    </w:p>
    <w:p w:rsidR="003474F2" w:rsidRPr="001A3D2B" w:rsidRDefault="003474F2" w:rsidP="003474F2">
      <w:pPr>
        <w:pStyle w:val="a3"/>
      </w:pPr>
      <w:r w:rsidRPr="001A3D2B">
        <w:t>Notes: TTopic</w:t>
      </w:r>
    </w:p>
    <w:p w:rsidR="003474F2" w:rsidRPr="001A3D2B" w:rsidRDefault="003474F2" w:rsidP="003474F2">
      <w:pPr>
        <w:pStyle w:val="a3"/>
      </w:pPr>
      <w:r w:rsidRPr="001A3D2B">
        <w:t>Adler, M.D.</w:t>
      </w:r>
      <w:r w:rsidR="005853A9">
        <w:t xml:space="preserve"> and </w:t>
      </w:r>
      <w:r w:rsidRPr="001A3D2B">
        <w:t>Johnson, K.B. (2000), Quantifying</w:t>
      </w:r>
      <w:r w:rsidR="003A1917">
        <w:t xml:space="preserve"> the </w:t>
      </w:r>
      <w:r w:rsidRPr="001A3D2B">
        <w:t>literature</w:t>
      </w:r>
      <w:r w:rsidR="00427468">
        <w:t xml:space="preserve"> of </w:t>
      </w:r>
      <w:r w:rsidRPr="001A3D2B">
        <w:t xml:space="preserve">computer-aided instruction in medical education. </w:t>
      </w:r>
      <w:r w:rsidRPr="001A3D2B">
        <w:rPr>
          <w:i/>
          <w:iCs/>
        </w:rPr>
        <w:t>Academic Medicine</w:t>
      </w:r>
      <w:r w:rsidRPr="001A3D2B">
        <w:t xml:space="preserve">, </w:t>
      </w:r>
      <w:r w:rsidRPr="001A3D2B">
        <w:rPr>
          <w:b/>
          <w:bCs/>
        </w:rPr>
        <w:t>75</w:t>
      </w:r>
      <w:r w:rsidRPr="001A3D2B">
        <w:t xml:space="preserve"> (10), 1025-1028.</w:t>
      </w:r>
    </w:p>
    <w:p w:rsidR="003474F2" w:rsidRPr="001A3D2B" w:rsidRDefault="003474F2" w:rsidP="003474F2">
      <w:pPr>
        <w:pStyle w:val="a3"/>
      </w:pPr>
      <w:r w:rsidRPr="001A3D2B">
        <w:t xml:space="preserve">Full Text: </w:t>
      </w:r>
      <w:hyperlink r:id="rId29" w:history="1">
        <w:r w:rsidRPr="001A3D2B">
          <w:rPr>
            <w:rStyle w:val="a5"/>
          </w:rPr>
          <w:t>2000\Aca Med75, 1025.pdf</w:t>
        </w:r>
      </w:hyperlink>
    </w:p>
    <w:p w:rsidR="003474F2" w:rsidRPr="001A3D2B" w:rsidRDefault="003474F2" w:rsidP="003474F2">
      <w:pPr>
        <w:pStyle w:val="a3"/>
      </w:pPr>
      <w:r w:rsidRPr="001A3D2B">
        <w:t>Abstract: Purpose. To characterize</w:t>
      </w:r>
      <w:r w:rsidR="003A1917">
        <w:t xml:space="preserve"> the </w:t>
      </w:r>
      <w:r w:rsidRPr="001A3D2B">
        <w:t>literature about computer-aided instruction (CAI) as it relates to medical education.</w:t>
      </w:r>
    </w:p>
    <w:p w:rsidR="003474F2" w:rsidRPr="001A3D2B" w:rsidRDefault="003474F2" w:rsidP="003474F2">
      <w:pPr>
        <w:pStyle w:val="a3"/>
      </w:pPr>
      <w:r w:rsidRPr="001A3D2B">
        <w:t>Method. A descriptive study using</w:t>
      </w:r>
      <w:r w:rsidR="003A1917">
        <w:t xml:space="preserve"> the </w:t>
      </w:r>
      <w:r w:rsidR="00D5664A">
        <w:t>MEDLINE</w:t>
      </w:r>
      <w:r w:rsidR="005853A9">
        <w:t xml:space="preserve"> and </w:t>
      </w:r>
      <w:r w:rsidRPr="001A3D2B">
        <w:t>ERIC databases, reviewing articles pertaining to CAI for medical professionals</w:t>
      </w:r>
      <w:r w:rsidR="00A37C1D">
        <w:t>. The</w:t>
      </w:r>
      <w:r w:rsidR="003A1917">
        <w:t xml:space="preserve"> </w:t>
      </w:r>
      <w:r w:rsidRPr="001A3D2B">
        <w:t>literature was evaluated with respect to type</w:t>
      </w:r>
      <w:r w:rsidR="00427468">
        <w:t xml:space="preserve"> of </w:t>
      </w:r>
      <w:r w:rsidRPr="001A3D2B">
        <w:t>article, journal, language,</w:t>
      </w:r>
      <w:r w:rsidR="005853A9">
        <w:t xml:space="preserve"> and </w:t>
      </w:r>
      <w:r w:rsidRPr="001A3D2B">
        <w:t>year</w:t>
      </w:r>
      <w:r w:rsidR="00427468">
        <w:t xml:space="preserve"> of </w:t>
      </w:r>
      <w:r w:rsidRPr="001A3D2B">
        <w:t>publication.</w:t>
      </w:r>
    </w:p>
    <w:p w:rsidR="003474F2" w:rsidRPr="001A3D2B" w:rsidRDefault="003474F2" w:rsidP="003474F2">
      <w:pPr>
        <w:pStyle w:val="a3"/>
      </w:pPr>
      <w:r w:rsidRPr="001A3D2B">
        <w:t>Results</w:t>
      </w:r>
      <w:r w:rsidR="00A37C1D">
        <w:t>. The</w:t>
      </w:r>
      <w:r w:rsidR="003A1917">
        <w:t xml:space="preserve"> </w:t>
      </w:r>
      <w:r w:rsidRPr="001A3D2B">
        <w:t>search yielded 2,840 citations, 92%</w:t>
      </w:r>
      <w:r w:rsidR="00427468">
        <w:t xml:space="preserve"> of </w:t>
      </w:r>
      <w:r w:rsidRPr="001A3D2B">
        <w:t>which were in English</w:t>
      </w:r>
      <w:r w:rsidR="00A37C1D">
        <w:t>. The</w:t>
      </w:r>
      <w:r w:rsidR="003A1917">
        <w:t xml:space="preserve"> </w:t>
      </w:r>
      <w:r w:rsidRPr="001A3D2B">
        <w:t>number</w:t>
      </w:r>
      <w:r w:rsidR="00427468">
        <w:t xml:space="preserve"> of </w:t>
      </w:r>
      <w:r w:rsidRPr="001A3D2B">
        <w:t>journals with at least one citation was 747. Less than 5%</w:t>
      </w:r>
      <w:r w:rsidR="00427468">
        <w:t xml:space="preserve"> of </w:t>
      </w:r>
      <w:r w:rsidR="003A1917">
        <w:t xml:space="preserve">the </w:t>
      </w:r>
      <w:r w:rsidRPr="001A3D2B">
        <w:t>5,147 authors had three or more articles published in</w:t>
      </w:r>
      <w:r w:rsidR="003A1917">
        <w:t xml:space="preserve"> the </w:t>
      </w:r>
      <w:r w:rsidRPr="001A3D2B">
        <w:t>CAI literature.</w:t>
      </w:r>
      <w:r w:rsidR="00427468">
        <w:t xml:space="preserve"> of </w:t>
      </w:r>
      <w:r w:rsidR="003A1917">
        <w:t xml:space="preserve">the </w:t>
      </w:r>
      <w:r w:rsidRPr="001A3D2B">
        <w:t>citations with abstracts, 60% were demonstrations</w:t>
      </w:r>
      <w:r w:rsidR="00427468">
        <w:t xml:space="preserve"> of </w:t>
      </w:r>
      <w:r w:rsidRPr="001A3D2B">
        <w:t>a CAI application, 11% were media-comparative studies,</w:t>
      </w:r>
      <w:r w:rsidR="005853A9">
        <w:t xml:space="preserve"> and </w:t>
      </w:r>
      <w:r w:rsidRPr="001A3D2B">
        <w:t>13% were analyses</w:t>
      </w:r>
      <w:r w:rsidR="00427468">
        <w:t xml:space="preserve"> of </w:t>
      </w:r>
      <w:r w:rsidR="003A1917">
        <w:t xml:space="preserve">the </w:t>
      </w:r>
      <w:r w:rsidRPr="001A3D2B">
        <w:t>CAI field. While</w:t>
      </w:r>
      <w:r w:rsidR="003A1917">
        <w:t xml:space="preserve"> the </w:t>
      </w:r>
      <w:r w:rsidRPr="001A3D2B">
        <w:t>pace</w:t>
      </w:r>
      <w:r w:rsidR="00427468">
        <w:t xml:space="preserve"> of </w:t>
      </w:r>
      <w:r w:rsidRPr="001A3D2B">
        <w:t>article publication increased markedly over time,</w:t>
      </w:r>
      <w:r w:rsidR="003A1917">
        <w:t xml:space="preserve"> the </w:t>
      </w:r>
      <w:r w:rsidRPr="001A3D2B">
        <w:t>percentages</w:t>
      </w:r>
      <w:r w:rsidR="00427468">
        <w:t xml:space="preserve"> of </w:t>
      </w:r>
      <w:r w:rsidRPr="001A3D2B">
        <w:t>article types did not change significantly over time. Less than 10%</w:t>
      </w:r>
      <w:r w:rsidR="00427468">
        <w:t xml:space="preserve"> of </w:t>
      </w:r>
      <w:r w:rsidRPr="001A3D2B">
        <w:t>CAI articles appeared in core medical journals.</w:t>
      </w:r>
    </w:p>
    <w:p w:rsidR="003474F2" w:rsidRPr="001A3D2B" w:rsidRDefault="003474F2" w:rsidP="003474F2">
      <w:pPr>
        <w:pStyle w:val="a3"/>
      </w:pPr>
      <w:r w:rsidRPr="001A3D2B">
        <w:t>Conclusion. Medical CAI is an increasingly popular topic</w:t>
      </w:r>
      <w:r w:rsidR="00427468">
        <w:t xml:space="preserve"> of </w:t>
      </w:r>
      <w:r w:rsidRPr="001A3D2B">
        <w:t>research</w:t>
      </w:r>
      <w:r w:rsidR="005853A9">
        <w:t xml:space="preserve"> and </w:t>
      </w:r>
      <w:r w:rsidRPr="001A3D2B">
        <w:t>publication. However, these studies appear in journals with smaller circulations, are predominantly demonstration articles,</w:t>
      </w:r>
      <w:r w:rsidR="005853A9">
        <w:t xml:space="preserve"> and </w:t>
      </w:r>
      <w:r w:rsidRPr="001A3D2B">
        <w:t>are generally written by authors with two or fewer publications. Evaluation articles remain less common. A series</w:t>
      </w:r>
      <w:r w:rsidR="00427468">
        <w:t xml:space="preserve"> of </w:t>
      </w:r>
      <w:r w:rsidRPr="001A3D2B">
        <w:t>analytic articles has appeared offering substantive suggestions for better research design</w:t>
      </w:r>
      <w:r w:rsidR="00A37C1D">
        <w:t>. The</w:t>
      </w:r>
      <w:r w:rsidRPr="001A3D2B">
        <w:t>se suggestions appear to have gone unheeded. CAI investigators need be more aware</w:t>
      </w:r>
      <w:r w:rsidR="00427468">
        <w:t xml:space="preserve"> of </w:t>
      </w:r>
      <w:r w:rsidR="003A1917">
        <w:t xml:space="preserve">the </w:t>
      </w:r>
      <w:r w:rsidRPr="001A3D2B">
        <w:t>gaps in</w:t>
      </w:r>
      <w:r w:rsidR="003A1917">
        <w:t xml:space="preserve"> the </w:t>
      </w:r>
      <w:r w:rsidRPr="001A3D2B">
        <w:t>existing body</w:t>
      </w:r>
      <w:r w:rsidR="00427468">
        <w:t xml:space="preserve"> of </w:t>
      </w:r>
      <w:r w:rsidRPr="001A3D2B">
        <w:t>CAI publications,</w:t>
      </w:r>
      <w:r w:rsidR="005853A9">
        <w:t xml:space="preserve"> and </w:t>
      </w:r>
      <w:r w:rsidR="003A1917">
        <w:t xml:space="preserve">the </w:t>
      </w:r>
      <w:r w:rsidRPr="001A3D2B">
        <w:t>inherent difficulties</w:t>
      </w:r>
      <w:r w:rsidR="00427468">
        <w:t xml:space="preserve"> of </w:t>
      </w:r>
      <w:r w:rsidRPr="001A3D2B">
        <w:t>this type</w:t>
      </w:r>
      <w:r w:rsidR="00427468">
        <w:t xml:space="preserve"> of </w:t>
      </w:r>
      <w:r w:rsidRPr="001A3D2B">
        <w:t>research, if this literature is to move beyond this early stage</w:t>
      </w:r>
      <w:r w:rsidR="00427468">
        <w:t xml:space="preserve"> of </w:t>
      </w:r>
      <w:r w:rsidRPr="001A3D2B">
        <w:t>development.</w:t>
      </w:r>
    </w:p>
    <w:p w:rsidR="003474F2" w:rsidRPr="001A3D2B" w:rsidRDefault="003474F2" w:rsidP="003474F2">
      <w:pPr>
        <w:pStyle w:val="a3"/>
      </w:pPr>
      <w:r w:rsidRPr="001A3D2B">
        <w:t>Bordage, G.</w:t>
      </w:r>
      <w:r w:rsidR="005853A9">
        <w:t xml:space="preserve"> and </w:t>
      </w:r>
      <w:r w:rsidRPr="001A3D2B">
        <w:t>McGaghie, W.C. (2001), Title, authors,</w:t>
      </w:r>
      <w:r w:rsidR="005853A9">
        <w:t xml:space="preserve"> and </w:t>
      </w:r>
      <w:r w:rsidRPr="001A3D2B">
        <w:t xml:space="preserve">abstract. </w:t>
      </w:r>
      <w:r w:rsidRPr="001A3D2B">
        <w:rPr>
          <w:i/>
          <w:iCs/>
        </w:rPr>
        <w:t>Academic Medicine</w:t>
      </w:r>
      <w:r w:rsidRPr="001A3D2B">
        <w:t xml:space="preserve">, </w:t>
      </w:r>
      <w:r w:rsidRPr="001A3D2B">
        <w:rPr>
          <w:b/>
          <w:bCs/>
        </w:rPr>
        <w:t>76</w:t>
      </w:r>
      <w:r w:rsidRPr="001A3D2B">
        <w:t xml:space="preserve"> (9), 945-947.</w:t>
      </w:r>
    </w:p>
    <w:p w:rsidR="003474F2" w:rsidRPr="001A3D2B" w:rsidRDefault="003474F2" w:rsidP="003474F2">
      <w:pPr>
        <w:pStyle w:val="a3"/>
      </w:pPr>
      <w:r w:rsidRPr="001A3D2B">
        <w:t xml:space="preserve">Full Text: </w:t>
      </w:r>
      <w:hyperlink r:id="rId30" w:history="1">
        <w:r w:rsidRPr="001A3D2B">
          <w:rPr>
            <w:rStyle w:val="a5"/>
          </w:rPr>
          <w:t>2001\Aca Med76, 945.pdf</w:t>
        </w:r>
      </w:hyperlink>
    </w:p>
    <w:p w:rsidR="003474F2" w:rsidRPr="001A3D2B" w:rsidRDefault="003474F2" w:rsidP="003474F2">
      <w:pPr>
        <w:pStyle w:val="a3"/>
      </w:pPr>
      <w:r w:rsidRPr="001A3D2B">
        <w:t>Keywords: Informative Abstracts, Structured Abstracts, Research Articles, Proposal, Accuracy</w:t>
      </w:r>
    </w:p>
    <w:p w:rsidR="003474F2" w:rsidRPr="001A3D2B" w:rsidRDefault="003474F2" w:rsidP="003474F2">
      <w:pPr>
        <w:pStyle w:val="a3"/>
      </w:pPr>
      <w:r w:rsidRPr="001A3D2B">
        <w:t>Kostoff, R. (2001</w:t>
      </w:r>
      <w:r w:rsidR="00F42EAC">
        <w:t>), The</w:t>
      </w:r>
      <w:r w:rsidR="003A1917">
        <w:t xml:space="preserve"> </w:t>
      </w:r>
      <w:r w:rsidRPr="001A3D2B">
        <w:t>extraction</w:t>
      </w:r>
      <w:r w:rsidR="00427468">
        <w:t xml:space="preserve"> of </w:t>
      </w:r>
      <w:r w:rsidRPr="001A3D2B">
        <w:t>useful information from</w:t>
      </w:r>
      <w:r w:rsidR="003A1917">
        <w:t xml:space="preserve"> the </w:t>
      </w:r>
      <w:r w:rsidRPr="001A3D2B">
        <w:t xml:space="preserve">biomedical literature. </w:t>
      </w:r>
      <w:r w:rsidRPr="001A3D2B">
        <w:rPr>
          <w:i/>
          <w:iCs/>
        </w:rPr>
        <w:lastRenderedPageBreak/>
        <w:t>Academic Medicine</w:t>
      </w:r>
      <w:r w:rsidRPr="001A3D2B">
        <w:t xml:space="preserve">, </w:t>
      </w:r>
      <w:r w:rsidRPr="001A3D2B">
        <w:rPr>
          <w:b/>
          <w:bCs/>
        </w:rPr>
        <w:t>76</w:t>
      </w:r>
      <w:r w:rsidRPr="001A3D2B">
        <w:t xml:space="preserve"> (12), 1265-1270.</w:t>
      </w:r>
    </w:p>
    <w:p w:rsidR="003474F2" w:rsidRPr="001A3D2B" w:rsidRDefault="003474F2" w:rsidP="003474F2">
      <w:pPr>
        <w:pStyle w:val="a3"/>
      </w:pPr>
      <w:r w:rsidRPr="001A3D2B">
        <w:t xml:space="preserve">Full Text: </w:t>
      </w:r>
      <w:hyperlink r:id="rId31" w:history="1">
        <w:r w:rsidRPr="001A3D2B">
          <w:rPr>
            <w:rStyle w:val="a5"/>
          </w:rPr>
          <w:t>2001\Aca Med76, 1265.pdf</w:t>
        </w:r>
      </w:hyperlink>
    </w:p>
    <w:p w:rsidR="00BF0BA9" w:rsidRPr="00F219CA" w:rsidRDefault="00BF0BA9" w:rsidP="00BF0BA9">
      <w:pPr>
        <w:pStyle w:val="a3"/>
      </w:pPr>
      <w:r w:rsidRPr="00F219CA">
        <w:t>Abstract: Modern information technology provides</w:t>
      </w:r>
      <w:r w:rsidR="003A1917">
        <w:t xml:space="preserve"> the </w:t>
      </w:r>
      <w:r w:rsidRPr="00F219CA">
        <w:t>biomedical professional</w:t>
      </w:r>
      <w:r w:rsidRPr="00F219CA">
        <w:rPr>
          <w:vertAlign w:val="superscript"/>
        </w:rPr>
        <w:t xml:space="preserve"> </w:t>
      </w:r>
      <w:r w:rsidRPr="00F219CA">
        <w:t>with powerful tools</w:t>
      </w:r>
      <w:r w:rsidR="005853A9">
        <w:t xml:space="preserve"> and </w:t>
      </w:r>
      <w:r w:rsidRPr="00F219CA">
        <w:t>processes for extracting useful information</w:t>
      </w:r>
      <w:r w:rsidRPr="00F219CA">
        <w:rPr>
          <w:vertAlign w:val="superscript"/>
        </w:rPr>
        <w:t xml:space="preserve"> </w:t>
      </w:r>
      <w:r w:rsidRPr="00F219CA">
        <w:t>from large volumes</w:t>
      </w:r>
      <w:r w:rsidR="00427468">
        <w:t xml:space="preserve"> of </w:t>
      </w:r>
      <w:r w:rsidRPr="00F219CA">
        <w:t>text. Presently, little use is made</w:t>
      </w:r>
      <w:r w:rsidR="00427468">
        <w:t xml:space="preserve"> of </w:t>
      </w:r>
      <w:r w:rsidR="003A1917">
        <w:t xml:space="preserve">the </w:t>
      </w:r>
      <w:r w:rsidRPr="00F219CA">
        <w:t>full capabilities</w:t>
      </w:r>
      <w:r w:rsidR="00427468">
        <w:t xml:space="preserve"> of </w:t>
      </w:r>
      <w:r w:rsidRPr="00F219CA">
        <w:t>these tools to supplement research</w:t>
      </w:r>
      <w:r w:rsidR="005853A9">
        <w:rPr>
          <w:vertAlign w:val="superscript"/>
        </w:rPr>
        <w:t xml:space="preserve"> and </w:t>
      </w:r>
      <w:r w:rsidRPr="00F219CA">
        <w:t>teaching. This article gives an overview</w:t>
      </w:r>
      <w:r w:rsidR="00427468">
        <w:t xml:space="preserve"> of </w:t>
      </w:r>
      <w:r w:rsidRPr="00F219CA">
        <w:t>these tools</w:t>
      </w:r>
      <w:r w:rsidR="005853A9">
        <w:rPr>
          <w:vertAlign w:val="superscript"/>
        </w:rPr>
        <w:t xml:space="preserve"> and </w:t>
      </w:r>
      <w:r w:rsidRPr="00F219CA">
        <w:t>processes,</w:t>
      </w:r>
      <w:r w:rsidR="005853A9">
        <w:t xml:space="preserve"> and </w:t>
      </w:r>
      <w:r w:rsidRPr="00F219CA">
        <w:t>shows</w:t>
      </w:r>
      <w:r w:rsidR="003A1917">
        <w:t xml:space="preserve"> the </w:t>
      </w:r>
      <w:r w:rsidRPr="00F219CA">
        <w:t>diversity</w:t>
      </w:r>
      <w:r w:rsidR="00427468">
        <w:t xml:space="preserve"> of </w:t>
      </w:r>
      <w:r w:rsidRPr="00F219CA">
        <w:t>ways they can be applied</w:t>
      </w:r>
      <w:r w:rsidRPr="00F219CA">
        <w:rPr>
          <w:vertAlign w:val="superscript"/>
        </w:rPr>
        <w:t xml:space="preserve"> </w:t>
      </w:r>
      <w:r w:rsidRPr="00F219CA">
        <w:t>to enhance</w:t>
      </w:r>
      <w:r w:rsidR="003A1917">
        <w:t xml:space="preserve"> the </w:t>
      </w:r>
      <w:r w:rsidRPr="00F219CA">
        <w:t>capabilities</w:t>
      </w:r>
      <w:r w:rsidR="00427468">
        <w:t xml:space="preserve"> of </w:t>
      </w:r>
      <w:r w:rsidRPr="00F219CA">
        <w:t>biomedical professionals</w:t>
      </w:r>
      <w:r w:rsidR="00A37C1D">
        <w:t>. The</w:t>
      </w:r>
      <w:r w:rsidR="003A1917">
        <w:t xml:space="preserve"> </w:t>
      </w:r>
      <w:r w:rsidRPr="00F219CA">
        <w:t>article</w:t>
      </w:r>
      <w:r w:rsidRPr="00F219CA">
        <w:rPr>
          <w:vertAlign w:val="superscript"/>
        </w:rPr>
        <w:t xml:space="preserve"> </w:t>
      </w:r>
      <w:r w:rsidRPr="00F219CA">
        <w:t>defines information technology terms, presents</w:t>
      </w:r>
      <w:r w:rsidR="003A1917">
        <w:t xml:space="preserve"> the </w:t>
      </w:r>
      <w:r w:rsidRPr="00F219CA">
        <w:t>requirements</w:t>
      </w:r>
      <w:r w:rsidRPr="00F219CA">
        <w:rPr>
          <w:vertAlign w:val="superscript"/>
        </w:rPr>
        <w:t xml:space="preserve"> </w:t>
      </w:r>
      <w:r w:rsidRPr="00F219CA">
        <w:t>for extracting high-quality information, describes some available</w:t>
      </w:r>
      <w:r w:rsidRPr="00F219CA">
        <w:rPr>
          <w:vertAlign w:val="superscript"/>
        </w:rPr>
        <w:t xml:space="preserve"> </w:t>
      </w:r>
      <w:r w:rsidRPr="00F219CA">
        <w:t>techniques for extracting information,</w:t>
      </w:r>
      <w:r w:rsidR="005853A9">
        <w:t xml:space="preserve"> and </w:t>
      </w:r>
      <w:r w:rsidRPr="00F219CA">
        <w:t>summarizes myriad</w:t>
      </w:r>
      <w:r w:rsidRPr="00F219CA">
        <w:rPr>
          <w:vertAlign w:val="superscript"/>
        </w:rPr>
        <w:t xml:space="preserve"> </w:t>
      </w:r>
      <w:r w:rsidRPr="00F219CA">
        <w:t>information-extraction applications. While</w:t>
      </w:r>
      <w:r w:rsidR="003A1917">
        <w:t xml:space="preserve"> the </w:t>
      </w:r>
      <w:r w:rsidRPr="00F219CA">
        <w:t>biomedical researcher</w:t>
      </w:r>
      <w:r w:rsidRPr="00F219CA">
        <w:rPr>
          <w:vertAlign w:val="superscript"/>
        </w:rPr>
        <w:t xml:space="preserve"> </w:t>
      </w:r>
      <w:r w:rsidRPr="00F219CA">
        <w:t>or teacher can gain substantial benefits by using effective</w:t>
      </w:r>
      <w:r w:rsidRPr="00F219CA">
        <w:rPr>
          <w:vertAlign w:val="superscript"/>
        </w:rPr>
        <w:t xml:space="preserve"> </w:t>
      </w:r>
      <w:r w:rsidRPr="00F219CA">
        <w:t>information-extraction techniques, substantial time</w:t>
      </w:r>
      <w:r w:rsidR="005853A9">
        <w:t xml:space="preserve"> and </w:t>
      </w:r>
      <w:r w:rsidRPr="00F219CA">
        <w:t>effort</w:t>
      </w:r>
      <w:r w:rsidR="005853A9">
        <w:rPr>
          <w:vertAlign w:val="superscript"/>
        </w:rPr>
        <w:t xml:space="preserve"> and </w:t>
      </w:r>
      <w:r w:rsidRPr="00F219CA">
        <w:t>technical expertise are required to generate a credible high-quality</w:t>
      </w:r>
      <w:r w:rsidRPr="00F219CA">
        <w:rPr>
          <w:vertAlign w:val="superscript"/>
        </w:rPr>
        <w:t xml:space="preserve"> </w:t>
      </w:r>
      <w:r w:rsidRPr="00F219CA">
        <w:t>product, that is,</w:t>
      </w:r>
      <w:r w:rsidR="003A1917">
        <w:t xml:space="preserve"> the </w:t>
      </w:r>
      <w:r w:rsidRPr="00F219CA">
        <w:t>information needed.</w:t>
      </w:r>
    </w:p>
    <w:p w:rsidR="003474F2" w:rsidRPr="001A3D2B" w:rsidRDefault="003474F2" w:rsidP="003474F2">
      <w:pPr>
        <w:pStyle w:val="a3"/>
      </w:pPr>
      <w:r w:rsidRPr="001A3D2B">
        <w:t>Notes: TTopic</w:t>
      </w:r>
    </w:p>
    <w:p w:rsidR="003474F2" w:rsidRPr="001A3D2B" w:rsidRDefault="003474F2" w:rsidP="003474F2">
      <w:pPr>
        <w:pStyle w:val="a3"/>
      </w:pPr>
      <w:r w:rsidRPr="001A3D2B">
        <w:t>? Beasley, B.W., Scrase, D.R.</w:t>
      </w:r>
      <w:r w:rsidR="005853A9">
        <w:t xml:space="preserve"> and </w:t>
      </w:r>
      <w:r w:rsidRPr="001A3D2B">
        <w:t>Schulz, H.J. (2002), Determining</w:t>
      </w:r>
      <w:r w:rsidR="003A1917">
        <w:t xml:space="preserve"> the </w:t>
      </w:r>
      <w:r w:rsidRPr="001A3D2B">
        <w:t>predictors</w:t>
      </w:r>
      <w:r w:rsidR="00427468">
        <w:t xml:space="preserve"> of </w:t>
      </w:r>
      <w:r w:rsidRPr="001A3D2B">
        <w:t xml:space="preserve">internal medicine residency accreditation: What they do (not what they say). </w:t>
      </w:r>
      <w:r w:rsidRPr="001A3D2B">
        <w:rPr>
          <w:i/>
          <w:iCs/>
        </w:rPr>
        <w:t>Academic Medicine</w:t>
      </w:r>
      <w:r w:rsidRPr="001A3D2B">
        <w:t xml:space="preserve">, </w:t>
      </w:r>
      <w:r w:rsidRPr="001A3D2B">
        <w:rPr>
          <w:b/>
          <w:bCs/>
        </w:rPr>
        <w:t>77</w:t>
      </w:r>
      <w:r w:rsidRPr="001A3D2B">
        <w:t xml:space="preserve"> (3), 238-246.</w:t>
      </w:r>
    </w:p>
    <w:p w:rsidR="003474F2" w:rsidRPr="001A3D2B" w:rsidRDefault="003474F2" w:rsidP="003474F2">
      <w:pPr>
        <w:pStyle w:val="a3"/>
        <w:rPr>
          <w:rStyle w:val="a5"/>
        </w:rPr>
      </w:pPr>
      <w:r w:rsidRPr="001A3D2B">
        <w:t xml:space="preserve">Full Text: </w:t>
      </w:r>
      <w:hyperlink r:id="rId32" w:history="1">
        <w:r w:rsidRPr="001A3D2B">
          <w:rPr>
            <w:rStyle w:val="a5"/>
          </w:rPr>
          <w:t>2002\Aca Med77, 238.pdf</w:t>
        </w:r>
      </w:hyperlink>
    </w:p>
    <w:p w:rsidR="003474F2" w:rsidRPr="001A3D2B" w:rsidRDefault="003474F2" w:rsidP="003474F2">
      <w:pPr>
        <w:pStyle w:val="a3"/>
      </w:pPr>
      <w:r w:rsidRPr="001A3D2B">
        <w:t>Abstract: Purpose</w:t>
      </w:r>
      <w:r w:rsidR="00A37C1D">
        <w:t>. The</w:t>
      </w:r>
      <w:r w:rsidR="003A1917">
        <w:t xml:space="preserve"> </w:t>
      </w:r>
      <w:r w:rsidRPr="001A3D2B">
        <w:t>Accreditation Council for Graduate Medical Education</w:t>
      </w:r>
      <w:r w:rsidR="005853A9">
        <w:t xml:space="preserve"> and </w:t>
      </w:r>
      <w:r w:rsidR="003A1917">
        <w:t xml:space="preserve">the </w:t>
      </w:r>
      <w:r w:rsidRPr="001A3D2B">
        <w:t>Residency Review Committee for Internal Medicine (RRC-IM) evaluate internal medicine residence programs using a list</w:t>
      </w:r>
      <w:r w:rsidR="00427468">
        <w:t xml:space="preserve"> of </w:t>
      </w:r>
      <w:r w:rsidRPr="001A3D2B">
        <w:t>301 program requirements</w:t>
      </w:r>
      <w:r w:rsidR="00A37C1D">
        <w:t>. The</w:t>
      </w:r>
      <w:r w:rsidR="003A1917">
        <w:t xml:space="preserve"> </w:t>
      </w:r>
      <w:r w:rsidRPr="001A3D2B">
        <w:t>authors investigated which requirements, program demographics,</w:t>
      </w:r>
      <w:r w:rsidR="005853A9">
        <w:t xml:space="preserve"> and </w:t>
      </w:r>
      <w:r w:rsidRPr="001A3D2B">
        <w:t>site-visitor characteristics were</w:t>
      </w:r>
      <w:r w:rsidR="003A1917">
        <w:t xml:space="preserve"> the </w:t>
      </w:r>
      <w:r w:rsidRPr="001A3D2B">
        <w:t>strongest predictors</w:t>
      </w:r>
      <w:r w:rsidR="00427468">
        <w:t xml:space="preserve"> of </w:t>
      </w:r>
      <w:r w:rsidRPr="001A3D2B">
        <w:t>accreditation.</w:t>
      </w:r>
    </w:p>
    <w:p w:rsidR="003474F2" w:rsidRPr="001A3D2B" w:rsidRDefault="003474F2" w:rsidP="003474F2">
      <w:pPr>
        <w:pStyle w:val="a3"/>
      </w:pPr>
      <w:r w:rsidRPr="001A3D2B">
        <w:t>Method</w:t>
      </w:r>
      <w:r w:rsidR="00A37C1D">
        <w:t>. The</w:t>
      </w:r>
      <w:r w:rsidR="003A1917">
        <w:t xml:space="preserve"> </w:t>
      </w:r>
      <w:r w:rsidRPr="001A3D2B">
        <w:t>authors surveyed</w:t>
      </w:r>
      <w:r w:rsidR="003A1917">
        <w:t xml:space="preserve"> the </w:t>
      </w:r>
      <w:r w:rsidRPr="001A3D2B">
        <w:t>program directors</w:t>
      </w:r>
      <w:r w:rsidR="00427468">
        <w:t xml:space="preserve"> of </w:t>
      </w:r>
      <w:r w:rsidRPr="001A3D2B">
        <w:t>all 405 accredited internal medicine residency programs in February 1998, obtaining data on</w:t>
      </w:r>
      <w:r w:rsidR="003A1917">
        <w:t xml:space="preserve"> the </w:t>
      </w:r>
      <w:r w:rsidRPr="001A3D2B">
        <w:t>duration</w:t>
      </w:r>
      <w:r w:rsidR="00427468">
        <w:t xml:space="preserve"> of </w:t>
      </w:r>
      <w:r w:rsidR="003A1917">
        <w:t xml:space="preserve">the </w:t>
      </w:r>
      <w:r w:rsidRPr="001A3D2B">
        <w:t>accreditation process, site visitors,</w:t>
      </w:r>
      <w:r w:rsidR="005853A9">
        <w:t xml:space="preserve"> and </w:t>
      </w:r>
      <w:r w:rsidRPr="001A3D2B">
        <w:t>number</w:t>
      </w:r>
      <w:r w:rsidR="005853A9">
        <w:t xml:space="preserve"> and </w:t>
      </w:r>
      <w:r w:rsidRPr="001A3D2B">
        <w:t>quality</w:t>
      </w:r>
      <w:r w:rsidR="00427468">
        <w:t xml:space="preserve"> of </w:t>
      </w:r>
      <w:r w:rsidRPr="001A3D2B">
        <w:t>citations</w:t>
      </w:r>
      <w:r w:rsidR="00A37C1D">
        <w:t>. The</w:t>
      </w:r>
      <w:r w:rsidRPr="001A3D2B">
        <w:t>y also requested a copy</w:t>
      </w:r>
      <w:r w:rsidR="00427468">
        <w:t xml:space="preserve"> of </w:t>
      </w:r>
      <w:r w:rsidR="003A1917">
        <w:t xml:space="preserve">the </w:t>
      </w:r>
      <w:r w:rsidRPr="001A3D2B">
        <w:t>notification letter containing citations</w:t>
      </w:r>
      <w:r w:rsidR="005853A9">
        <w:t xml:space="preserve"> and </w:t>
      </w:r>
      <w:r w:rsidRPr="001A3D2B">
        <w:t>length</w:t>
      </w:r>
      <w:r w:rsidR="00427468">
        <w:t xml:space="preserve"> of </w:t>
      </w:r>
      <w:r w:rsidRPr="001A3D2B">
        <w:t>time until</w:t>
      </w:r>
      <w:r w:rsidR="003A1917">
        <w:t xml:space="preserve"> the </w:t>
      </w:r>
      <w:r w:rsidRPr="001A3D2B">
        <w:t>next accreditation site visit (cycle length).</w:t>
      </w:r>
    </w:p>
    <w:p w:rsidR="003474F2" w:rsidRPr="001A3D2B" w:rsidRDefault="003474F2" w:rsidP="003474F2">
      <w:pPr>
        <w:pStyle w:val="a3"/>
      </w:pPr>
      <w:r w:rsidRPr="001A3D2B">
        <w:t>Results. A total</w:t>
      </w:r>
      <w:r w:rsidR="00427468">
        <w:t xml:space="preserve"> of </w:t>
      </w:r>
      <w:r w:rsidRPr="001A3D2B">
        <w:t>217 responses (54%) was received</w:t>
      </w:r>
      <w:r w:rsidR="00A37C1D">
        <w:t>. The</w:t>
      </w:r>
      <w:r w:rsidR="003A1917">
        <w:t xml:space="preserve"> </w:t>
      </w:r>
      <w:r w:rsidRPr="001A3D2B">
        <w:t>mean cycle length was 3.0 years,</w:t>
      </w:r>
      <w:r w:rsidR="005853A9">
        <w:t xml:space="preserve"> and </w:t>
      </w:r>
      <w:r w:rsidR="003A1917">
        <w:t xml:space="preserve">the </w:t>
      </w:r>
      <w:r w:rsidRPr="001A3D2B">
        <w:t>accreditation process averaged 14.5 months. Smaller programs had a shorter average cycle length. Site visitors were reported to be prepared</w:t>
      </w:r>
      <w:r w:rsidR="005853A9">
        <w:t xml:space="preserve"> and </w:t>
      </w:r>
      <w:r w:rsidRPr="001A3D2B">
        <w:t>professional overall. However, site visitors with</w:t>
      </w:r>
      <w:r w:rsidR="003A1917">
        <w:t xml:space="preserve"> the </w:t>
      </w:r>
      <w:r w:rsidRPr="001A3D2B">
        <w:t>lowest evaluations by program directors were associated with shorter cycle lengths. Four program characteristics</w:t>
      </w:r>
      <w:r w:rsidR="005853A9">
        <w:t xml:space="preserve"> and </w:t>
      </w:r>
      <w:r w:rsidRPr="001A3D2B">
        <w:t>program citations accounted for 60%</w:t>
      </w:r>
      <w:r w:rsidR="00427468">
        <w:t xml:space="preserve"> of </w:t>
      </w:r>
      <w:r w:rsidR="003A1917">
        <w:t xml:space="preserve">the </w:t>
      </w:r>
      <w:r w:rsidRPr="001A3D2B">
        <w:t>variation in cycle length: total number</w:t>
      </w:r>
      <w:r w:rsidR="00427468">
        <w:t xml:space="preserve"> of </w:t>
      </w:r>
      <w:r w:rsidRPr="001A3D2B">
        <w:t>citations in</w:t>
      </w:r>
      <w:r w:rsidR="003A1917">
        <w:t xml:space="preserve"> the </w:t>
      </w:r>
      <w:r w:rsidRPr="001A3D2B">
        <w:t>notification letter, percentage</w:t>
      </w:r>
      <w:r w:rsidR="00427468">
        <w:t xml:space="preserve"> of </w:t>
      </w:r>
      <w:r w:rsidRPr="001A3D2B">
        <w:t>graduates passing</w:t>
      </w:r>
      <w:r w:rsidR="003A1917">
        <w:t xml:space="preserve"> the </w:t>
      </w:r>
      <w:r w:rsidRPr="001A3D2B">
        <w:t>American Board</w:t>
      </w:r>
      <w:r w:rsidR="00427468">
        <w:t xml:space="preserve"> of </w:t>
      </w:r>
      <w:r w:rsidRPr="001A3D2B">
        <w:t>Internal Medicine Certifying Examination, inadequate demonstration</w:t>
      </w:r>
      <w:r w:rsidR="00427468">
        <w:t xml:space="preserve"> of </w:t>
      </w:r>
      <w:r w:rsidRPr="001A3D2B">
        <w:t>resident scholar, hip,</w:t>
      </w:r>
      <w:r w:rsidR="005853A9">
        <w:t xml:space="preserve"> and </w:t>
      </w:r>
      <w:r w:rsidRPr="001A3D2B">
        <w:t>inadequate ambulatory care experience.</w:t>
      </w:r>
    </w:p>
    <w:p w:rsidR="003474F2" w:rsidRPr="001A3D2B" w:rsidRDefault="003474F2" w:rsidP="003474F2">
      <w:pPr>
        <w:pStyle w:val="a3"/>
      </w:pPr>
      <w:r w:rsidRPr="001A3D2B">
        <w:t>Conclusion</w:t>
      </w:r>
      <w:r w:rsidR="00A37C1D">
        <w:t>. The</w:t>
      </w:r>
      <w:r w:rsidR="003A1917">
        <w:t xml:space="preserve"> </w:t>
      </w:r>
      <w:r w:rsidRPr="001A3D2B">
        <w:t>authors devised an independent mechanism for determining</w:t>
      </w:r>
      <w:r w:rsidR="003A1917">
        <w:t xml:space="preserve"> the </w:t>
      </w:r>
      <w:r w:rsidRPr="001A3D2B">
        <w:lastRenderedPageBreak/>
        <w:t>duration</w:t>
      </w:r>
      <w:r w:rsidR="00427468">
        <w:t xml:space="preserve"> of </w:t>
      </w:r>
      <w:r w:rsidR="003A1917">
        <w:t xml:space="preserve">the </w:t>
      </w:r>
      <w:r w:rsidRPr="001A3D2B">
        <w:t>RRC-IM review process, influence</w:t>
      </w:r>
      <w:r w:rsidR="00427468">
        <w:t xml:space="preserve"> of </w:t>
      </w:r>
      <w:r w:rsidRPr="001A3D2B">
        <w:t>program demographics on</w:t>
      </w:r>
      <w:r w:rsidR="003A1917">
        <w:t xml:space="preserve"> the </w:t>
      </w:r>
      <w:r w:rsidRPr="001A3D2B">
        <w:t>process, influence</w:t>
      </w:r>
      <w:r w:rsidR="00427468">
        <w:t xml:space="preserve"> of </w:t>
      </w:r>
      <w:r w:rsidRPr="001A3D2B">
        <w:t>site visitors on</w:t>
      </w:r>
      <w:r w:rsidR="003A1917">
        <w:t xml:space="preserve"> the </w:t>
      </w:r>
      <w:r w:rsidRPr="001A3D2B">
        <w:t>accreditation action,</w:t>
      </w:r>
      <w:r w:rsidR="005853A9">
        <w:t xml:space="preserve"> and </w:t>
      </w:r>
      <w:r w:rsidRPr="001A3D2B">
        <w:t>program requirements having</w:t>
      </w:r>
      <w:r w:rsidR="003A1917">
        <w:t xml:space="preserve"> the </w:t>
      </w:r>
      <w:r w:rsidRPr="001A3D2B">
        <w:t>greatest effect on cycle length.</w:t>
      </w:r>
    </w:p>
    <w:p w:rsidR="003474F2" w:rsidRPr="001A3D2B" w:rsidRDefault="003474F2" w:rsidP="003474F2">
      <w:pPr>
        <w:pStyle w:val="a3"/>
      </w:pPr>
      <w:r w:rsidRPr="001A3D2B">
        <w:t>Keywords: Directors, Requirements</w:t>
      </w:r>
    </w:p>
    <w:p w:rsidR="003474F2" w:rsidRPr="001A3D2B" w:rsidRDefault="003474F2" w:rsidP="003474F2">
      <w:pPr>
        <w:pStyle w:val="a3"/>
      </w:pPr>
      <w:r w:rsidRPr="001A3D2B">
        <w:t>Hebert, R.S., Levine, R.B., Smith, C.G.</w:t>
      </w:r>
      <w:r w:rsidR="005853A9">
        <w:t xml:space="preserve"> and </w:t>
      </w:r>
      <w:r w:rsidRPr="001A3D2B">
        <w:t>Wright, S.M. (2003), A systematic review</w:t>
      </w:r>
      <w:r w:rsidR="00427468">
        <w:t xml:space="preserve"> of </w:t>
      </w:r>
      <w:r w:rsidRPr="001A3D2B">
        <w:t xml:space="preserve">resident research curricula. </w:t>
      </w:r>
      <w:r w:rsidRPr="001A3D2B">
        <w:rPr>
          <w:i/>
          <w:iCs/>
        </w:rPr>
        <w:t>Academic Medicine</w:t>
      </w:r>
      <w:r w:rsidRPr="001A3D2B">
        <w:t xml:space="preserve">, </w:t>
      </w:r>
      <w:r w:rsidRPr="001A3D2B">
        <w:rPr>
          <w:b/>
          <w:bCs/>
        </w:rPr>
        <w:t>78</w:t>
      </w:r>
      <w:r w:rsidRPr="001A3D2B">
        <w:t xml:space="preserve"> (1), 61-68.</w:t>
      </w:r>
    </w:p>
    <w:p w:rsidR="003474F2" w:rsidRPr="001A3D2B" w:rsidRDefault="003474F2" w:rsidP="003474F2">
      <w:pPr>
        <w:pStyle w:val="a3"/>
      </w:pPr>
      <w:r w:rsidRPr="001A3D2B">
        <w:t xml:space="preserve">Full Text: </w:t>
      </w:r>
      <w:hyperlink r:id="rId33" w:history="1">
        <w:r w:rsidRPr="001A3D2B">
          <w:rPr>
            <w:rStyle w:val="a5"/>
          </w:rPr>
          <w:t>2003\Aca Med78, 61.pdf</w:t>
        </w:r>
      </w:hyperlink>
    </w:p>
    <w:p w:rsidR="003474F2" w:rsidRPr="001A3D2B" w:rsidRDefault="003474F2" w:rsidP="003474F2">
      <w:pPr>
        <w:pStyle w:val="a3"/>
      </w:pPr>
      <w:r w:rsidRPr="001A3D2B">
        <w:t>Abstract: Purpose. To review in a systematic manner</w:t>
      </w:r>
      <w:r w:rsidR="003A1917">
        <w:t xml:space="preserve"> the </w:t>
      </w:r>
      <w:r w:rsidRPr="001A3D2B">
        <w:t>published curricula for training house officers in research.</w:t>
      </w:r>
    </w:p>
    <w:p w:rsidR="003474F2" w:rsidRPr="001A3D2B" w:rsidRDefault="003474F2" w:rsidP="003474F2">
      <w:pPr>
        <w:pStyle w:val="a3"/>
      </w:pPr>
      <w:r w:rsidRPr="001A3D2B">
        <w:t>Method. Articles were identified by searching</w:t>
      </w:r>
      <w:r w:rsidR="003A1917">
        <w:t xml:space="preserve"> the </w:t>
      </w:r>
      <w:r w:rsidR="00D5664A">
        <w:t>MEDLINE</w:t>
      </w:r>
      <w:r w:rsidRPr="001A3D2B">
        <w:t xml:space="preserve">, </w:t>
      </w:r>
      <w:smartTag w:uri="urn:schemas-microsoft-com:office:smarttags" w:element="place">
        <w:smartTag w:uri="urn:schemas-microsoft-com:office:smarttags" w:element="PlaceName">
          <w:r w:rsidRPr="001A3D2B">
            <w:t>Educational</w:t>
          </w:r>
        </w:smartTag>
        <w:r w:rsidRPr="001A3D2B">
          <w:t xml:space="preserve"> </w:t>
        </w:r>
        <w:smartTag w:uri="urn:schemas-microsoft-com:office:smarttags" w:element="PlaceName">
          <w:r w:rsidRPr="001A3D2B">
            <w:t>Resources</w:t>
          </w:r>
        </w:smartTag>
        <w:r w:rsidRPr="001A3D2B">
          <w:t xml:space="preserve"> </w:t>
        </w:r>
        <w:smartTag w:uri="urn:schemas-microsoft-com:office:smarttags" w:element="PlaceName">
          <w:r w:rsidRPr="001A3D2B">
            <w:t>Information</w:t>
          </w:r>
        </w:smartTag>
        <w:r w:rsidRPr="001A3D2B">
          <w:t xml:space="preserve"> </w:t>
        </w:r>
        <w:smartTag w:uri="urn:schemas-microsoft-com:office:smarttags" w:element="PlaceType">
          <w:r w:rsidRPr="001A3D2B">
            <w:t>Center</w:t>
          </w:r>
        </w:smartTag>
      </w:smartTag>
      <w:r w:rsidRPr="001A3D2B">
        <w:t>,</w:t>
      </w:r>
      <w:r w:rsidR="005853A9">
        <w:t xml:space="preserve"> and </w:t>
      </w:r>
      <w:r w:rsidRPr="001A3D2B">
        <w:t>Science Citation Index databases, educational Web sites,</w:t>
      </w:r>
      <w:r w:rsidR="005853A9">
        <w:t xml:space="preserve"> and </w:t>
      </w:r>
      <w:r w:rsidRPr="001A3D2B">
        <w:t>bibliographies</w:t>
      </w:r>
      <w:r w:rsidR="00427468">
        <w:t xml:space="preserve"> of </w:t>
      </w:r>
      <w:r w:rsidRPr="001A3D2B">
        <w:t>captured articles,</w:t>
      </w:r>
      <w:r w:rsidR="005853A9">
        <w:t xml:space="preserve"> and </w:t>
      </w:r>
      <w:r w:rsidRPr="001A3D2B">
        <w:t>by contacting experts who had developed resident research curricula. Demographic information, curriculum development steps, educational strategies, evaluation methods,</w:t>
      </w:r>
      <w:r w:rsidR="005853A9">
        <w:t xml:space="preserve"> and </w:t>
      </w:r>
      <w:r w:rsidRPr="001A3D2B">
        <w:t>outcomes were abstracted.</w:t>
      </w:r>
    </w:p>
    <w:p w:rsidR="003474F2" w:rsidRPr="001A3D2B" w:rsidRDefault="003474F2" w:rsidP="003474F2">
      <w:pPr>
        <w:pStyle w:val="a3"/>
      </w:pPr>
      <w:r w:rsidRPr="001A3D2B">
        <w:t>Results</w:t>
      </w:r>
      <w:r w:rsidR="00A37C1D">
        <w:t>. The</w:t>
      </w:r>
      <w:r w:rsidR="003A1917">
        <w:t xml:space="preserve"> </w:t>
      </w:r>
      <w:r w:rsidRPr="001A3D2B">
        <w:t>search identified 41 articles describing curricula</w:t>
      </w:r>
      <w:r w:rsidR="00A37C1D">
        <w:t>. The</w:t>
      </w:r>
      <w:r w:rsidR="003A1917">
        <w:t xml:space="preserve"> </w:t>
      </w:r>
      <w:r w:rsidRPr="001A3D2B">
        <w:t>most common curricular objectives were to increase house officers</w:t>
      </w:r>
      <w:r w:rsidR="00700038">
        <w:t>’</w:t>
      </w:r>
      <w:r w:rsidRPr="001A3D2B">
        <w:t xml:space="preserve"> research productivity</w:t>
      </w:r>
      <w:r w:rsidR="005853A9">
        <w:t xml:space="preserve"> and </w:t>
      </w:r>
      <w:r w:rsidRPr="001A3D2B">
        <w:t>improve their critical appraisal skills. Only one curriculum was designed with</w:t>
      </w:r>
      <w:r w:rsidR="003A1917">
        <w:t xml:space="preserve"> the </w:t>
      </w:r>
      <w:r w:rsidRPr="001A3D2B">
        <w:t>goal</w:t>
      </w:r>
      <w:r w:rsidR="00427468">
        <w:t xml:space="preserve"> of </w:t>
      </w:r>
      <w:r w:rsidRPr="001A3D2B">
        <w:t>producing academic physicians. Among many instructional methods, conducting research projects, exposing learners to role models or mentors,</w:t>
      </w:r>
      <w:r w:rsidR="005853A9">
        <w:t xml:space="preserve"> and </w:t>
      </w:r>
      <w:r w:rsidRPr="001A3D2B">
        <w:t>providing house officers with multiple opportunities to present their work were common. Only 27 articles (66%) articulated goals or objectives,</w:t>
      </w:r>
      <w:r w:rsidR="005853A9">
        <w:t xml:space="preserve"> and </w:t>
      </w:r>
      <w:r w:rsidRPr="001A3D2B">
        <w:t>11 included (27%) needs assessments. Evaluation methods were often rudimentary, frequently limited to learners</w:t>
      </w:r>
      <w:r w:rsidR="00700038">
        <w:t>’</w:t>
      </w:r>
      <w:r w:rsidRPr="001A3D2B">
        <w:t xml:space="preserve"> self-assessments or authors</w:t>
      </w:r>
      <w:r w:rsidR="00700038">
        <w:t>’</w:t>
      </w:r>
      <w:r w:rsidRPr="001A3D2B">
        <w:t xml:space="preserve"> anecdotal reports. Five (12%) reported pre-postintervention testing</w:t>
      </w:r>
      <w:r w:rsidR="00427468">
        <w:t xml:space="preserve"> of </w:t>
      </w:r>
      <w:r w:rsidRPr="001A3D2B">
        <w:t>learners</w:t>
      </w:r>
      <w:r w:rsidR="00700038">
        <w:t>’</w:t>
      </w:r>
      <w:r w:rsidRPr="001A3D2B">
        <w:t xml:space="preserve"> knowledge. No curricula were evaluated as prospective pretest - posttest controlled trials. A minority</w:t>
      </w:r>
      <w:r w:rsidR="00427468">
        <w:t xml:space="preserve"> of </w:t>
      </w:r>
      <w:r w:rsidRPr="001A3D2B">
        <w:t>articles reported costs, obstacles encountered, or modifications made in</w:t>
      </w:r>
      <w:r w:rsidR="003A1917">
        <w:t xml:space="preserve"> the </w:t>
      </w:r>
      <w:r w:rsidRPr="001A3D2B">
        <w:t>curriculum.</w:t>
      </w:r>
    </w:p>
    <w:p w:rsidR="003474F2" w:rsidRPr="001A3D2B" w:rsidRDefault="003474F2" w:rsidP="003474F2">
      <w:pPr>
        <w:pStyle w:val="a3"/>
      </w:pPr>
      <w:r w:rsidRPr="001A3D2B">
        <w:t>Conclusion. Successful educational interventions should incorporate needs assessments, clearly defined learning objectives,</w:t>
      </w:r>
      <w:r w:rsidR="005853A9">
        <w:t xml:space="preserve"> and </w:t>
      </w:r>
      <w:r w:rsidRPr="001A3D2B">
        <w:t>evaluation methods. While many curricula for resident research exist,</w:t>
      </w:r>
      <w:r w:rsidR="003A1917">
        <w:t xml:space="preserve"> the </w:t>
      </w:r>
      <w:r w:rsidRPr="001A3D2B">
        <w:t>lack</w:t>
      </w:r>
      <w:r w:rsidR="00427468">
        <w:t xml:space="preserve"> of </w:t>
      </w:r>
      <w:r w:rsidRPr="001A3D2B">
        <w:t>detailed developmental information</w:t>
      </w:r>
      <w:r w:rsidR="005853A9">
        <w:t xml:space="preserve"> and </w:t>
      </w:r>
      <w:r w:rsidRPr="001A3D2B">
        <w:t>meaningful evaluations hinders educators interested in adopting these curricula.</w:t>
      </w:r>
    </w:p>
    <w:p w:rsidR="003474F2" w:rsidRPr="001A3D2B" w:rsidRDefault="003474F2" w:rsidP="003474F2">
      <w:pPr>
        <w:pStyle w:val="a3"/>
      </w:pPr>
      <w:r w:rsidRPr="001A3D2B">
        <w:t>Keywords: Graduate Medical-Education, Clinical Research, Scientific Method, Program, Challenge, Radiologists, Psychiatry, Obstetrics, Gynecology</w:t>
      </w:r>
    </w:p>
    <w:p w:rsidR="00DF2FA3" w:rsidRDefault="00DF2FA3" w:rsidP="00DF2FA3">
      <w:pPr>
        <w:pStyle w:val="a3"/>
        <w:rPr>
          <w:kern w:val="0"/>
        </w:rPr>
      </w:pPr>
      <w:r>
        <w:rPr>
          <w:rFonts w:hint="eastAsia"/>
          <w:kern w:val="0"/>
        </w:rPr>
        <w:t xml:space="preserve">? </w:t>
      </w:r>
      <w:r>
        <w:rPr>
          <w:kern w:val="0"/>
        </w:rPr>
        <w:t>Boex, J.R.</w:t>
      </w:r>
      <w:r w:rsidR="005853A9">
        <w:rPr>
          <w:kern w:val="0"/>
        </w:rPr>
        <w:t xml:space="preserve"> and </w:t>
      </w:r>
      <w:r>
        <w:rPr>
          <w:kern w:val="0"/>
        </w:rPr>
        <w:t>Leahy, P.J. (2003), Understanding residents</w:t>
      </w:r>
      <w:r w:rsidR="00700038">
        <w:rPr>
          <w:kern w:val="0"/>
        </w:rPr>
        <w:t>’</w:t>
      </w:r>
      <w:r>
        <w:rPr>
          <w:kern w:val="0"/>
        </w:rPr>
        <w:t xml:space="preserve"> work: Moving beyond counting hours to assessing educational value. </w:t>
      </w:r>
      <w:r>
        <w:rPr>
          <w:i/>
          <w:iCs/>
          <w:kern w:val="0"/>
        </w:rPr>
        <w:t>Academic Medicine</w:t>
      </w:r>
      <w:r>
        <w:rPr>
          <w:kern w:val="0"/>
        </w:rPr>
        <w:t xml:space="preserve">, </w:t>
      </w:r>
      <w:r>
        <w:rPr>
          <w:b/>
          <w:bCs/>
          <w:kern w:val="0"/>
        </w:rPr>
        <w:t>78</w:t>
      </w:r>
      <w:r>
        <w:rPr>
          <w:kern w:val="0"/>
        </w:rPr>
        <w:t xml:space="preserve"> (9), 939-944.</w:t>
      </w:r>
    </w:p>
    <w:p w:rsidR="00DF2FA3" w:rsidRPr="00F219CA" w:rsidRDefault="00DF2FA3" w:rsidP="00DF2FA3">
      <w:pPr>
        <w:pStyle w:val="a3"/>
      </w:pPr>
      <w:r w:rsidRPr="00F219CA">
        <w:t xml:space="preserve">Full Text: </w:t>
      </w:r>
      <w:hyperlink r:id="rId34" w:history="1">
        <w:r w:rsidRPr="00370815">
          <w:rPr>
            <w:rStyle w:val="a5"/>
          </w:rPr>
          <w:t>2003\Aca Med78, 939.pdf</w:t>
        </w:r>
      </w:hyperlink>
    </w:p>
    <w:p w:rsidR="00DF2FA3" w:rsidRDefault="00DF2FA3" w:rsidP="00DF2FA3">
      <w:pPr>
        <w:pStyle w:val="a3"/>
        <w:rPr>
          <w:kern w:val="0"/>
        </w:rPr>
      </w:pPr>
      <w:r>
        <w:rPr>
          <w:kern w:val="0"/>
        </w:rPr>
        <w:t>Abstract: Purpose. To begin to understand how residents</w:t>
      </w:r>
      <w:r w:rsidR="00700038">
        <w:rPr>
          <w:kern w:val="0"/>
        </w:rPr>
        <w:t>’</w:t>
      </w:r>
      <w:r>
        <w:rPr>
          <w:kern w:val="0"/>
        </w:rPr>
        <w:t xml:space="preserve"> work affects their own educations</w:t>
      </w:r>
      <w:r w:rsidR="005853A9">
        <w:rPr>
          <w:kern w:val="0"/>
        </w:rPr>
        <w:t xml:space="preserve"> and </w:t>
      </w:r>
      <w:r w:rsidR="003A1917">
        <w:rPr>
          <w:kern w:val="0"/>
        </w:rPr>
        <w:t xml:space="preserve">the </w:t>
      </w:r>
      <w:r>
        <w:rPr>
          <w:kern w:val="0"/>
        </w:rPr>
        <w:t>hospitals in which most</w:t>
      </w:r>
      <w:r w:rsidR="00427468">
        <w:rPr>
          <w:kern w:val="0"/>
        </w:rPr>
        <w:t xml:space="preserve"> of </w:t>
      </w:r>
      <w:r>
        <w:rPr>
          <w:kern w:val="0"/>
        </w:rPr>
        <w:t>their training takes place,</w:t>
      </w:r>
      <w:r w:rsidR="003A1917">
        <w:rPr>
          <w:kern w:val="0"/>
        </w:rPr>
        <w:t xml:space="preserve"> the </w:t>
      </w:r>
      <w:r>
        <w:rPr>
          <w:kern w:val="0"/>
        </w:rPr>
        <w:t>authors undertook a systematic review</w:t>
      </w:r>
      <w:r w:rsidR="00427468">
        <w:rPr>
          <w:kern w:val="0"/>
        </w:rPr>
        <w:t xml:space="preserve"> of </w:t>
      </w:r>
      <w:r w:rsidR="003A1917">
        <w:rPr>
          <w:kern w:val="0"/>
        </w:rPr>
        <w:t xml:space="preserve">the </w:t>
      </w:r>
      <w:r>
        <w:rPr>
          <w:kern w:val="0"/>
        </w:rPr>
        <w:t>literature analyzing residents</w:t>
      </w:r>
      <w:r w:rsidR="00700038">
        <w:rPr>
          <w:kern w:val="0"/>
        </w:rPr>
        <w:t>’</w:t>
      </w:r>
      <w:r>
        <w:rPr>
          <w:kern w:val="0"/>
        </w:rPr>
        <w:t xml:space="preserve"> activities. This review sought to analyze resident physicians</w:t>
      </w:r>
      <w:r w:rsidR="00700038">
        <w:rPr>
          <w:kern w:val="0"/>
        </w:rPr>
        <w:t>’</w:t>
      </w:r>
      <w:r>
        <w:rPr>
          <w:kern w:val="0"/>
        </w:rPr>
        <w:t xml:space="preserve"> activities to assess</w:t>
      </w:r>
      <w:r w:rsidR="003A1917">
        <w:rPr>
          <w:kern w:val="0"/>
        </w:rPr>
        <w:t xml:space="preserve"> the </w:t>
      </w:r>
      <w:r>
        <w:rPr>
          <w:kern w:val="0"/>
        </w:rPr>
        <w:t xml:space="preserve">educational </w:t>
      </w:r>
      <w:r>
        <w:rPr>
          <w:kern w:val="0"/>
        </w:rPr>
        <w:lastRenderedPageBreak/>
        <w:t>value</w:t>
      </w:r>
      <w:r w:rsidR="00427468">
        <w:rPr>
          <w:kern w:val="0"/>
        </w:rPr>
        <w:t xml:space="preserve"> of </w:t>
      </w:r>
      <w:r>
        <w:rPr>
          <w:kern w:val="0"/>
        </w:rPr>
        <w:t>residents</w:t>
      </w:r>
      <w:r w:rsidR="00700038">
        <w:rPr>
          <w:kern w:val="0"/>
        </w:rPr>
        <w:t>’</w:t>
      </w:r>
      <w:r>
        <w:rPr>
          <w:kern w:val="0"/>
        </w:rPr>
        <w:t xml:space="preserve"> work. Method</w:t>
      </w:r>
      <w:r w:rsidR="00A37C1D">
        <w:rPr>
          <w:kern w:val="0"/>
        </w:rPr>
        <w:t>. The</w:t>
      </w:r>
      <w:r w:rsidR="003A1917">
        <w:rPr>
          <w:kern w:val="0"/>
        </w:rPr>
        <w:t xml:space="preserve"> </w:t>
      </w:r>
      <w:r>
        <w:rPr>
          <w:kern w:val="0"/>
        </w:rPr>
        <w:t>published literature was searched in 2001 using</w:t>
      </w:r>
      <w:r w:rsidR="003A1917">
        <w:rPr>
          <w:kern w:val="0"/>
        </w:rPr>
        <w:t xml:space="preserve"> the </w:t>
      </w:r>
      <w:r w:rsidR="00D5664A">
        <w:rPr>
          <w:kern w:val="0"/>
        </w:rPr>
        <w:t>MEDLINE</w:t>
      </w:r>
      <w:r w:rsidR="005853A9">
        <w:rPr>
          <w:kern w:val="0"/>
        </w:rPr>
        <w:t xml:space="preserve"> and </w:t>
      </w:r>
      <w:r>
        <w:rPr>
          <w:kern w:val="0"/>
        </w:rPr>
        <w:t>Science Citation Index databases,</w:t>
      </w:r>
      <w:r w:rsidR="005853A9">
        <w:rPr>
          <w:kern w:val="0"/>
        </w:rPr>
        <w:t xml:space="preserve"> and </w:t>
      </w:r>
      <w:r w:rsidR="003A1917">
        <w:rPr>
          <w:kern w:val="0"/>
        </w:rPr>
        <w:t xml:space="preserve">the </w:t>
      </w:r>
      <w:r>
        <w:rPr>
          <w:kern w:val="0"/>
        </w:rPr>
        <w:t>unpublished literature was searched using bibliographies</w:t>
      </w:r>
      <w:r w:rsidR="005853A9">
        <w:rPr>
          <w:kern w:val="0"/>
        </w:rPr>
        <w:t xml:space="preserve"> and </w:t>
      </w:r>
      <w:r>
        <w:rPr>
          <w:kern w:val="0"/>
        </w:rPr>
        <w:t>key informants. One hundred six studies were rated for methodological rigor using</w:t>
      </w:r>
      <w:r w:rsidR="003A1917">
        <w:rPr>
          <w:kern w:val="0"/>
        </w:rPr>
        <w:t xml:space="preserve"> the </w:t>
      </w:r>
      <w:r>
        <w:rPr>
          <w:kern w:val="0"/>
        </w:rPr>
        <w:t>Cochrane Collaboration protocol, as modified by Bland et al. for nonclinical trials. Only those studies undertaken following</w:t>
      </w:r>
      <w:r w:rsidR="003A1917">
        <w:rPr>
          <w:kern w:val="0"/>
        </w:rPr>
        <w:t xml:space="preserve"> the </w:t>
      </w:r>
      <w:r>
        <w:rPr>
          <w:kern w:val="0"/>
        </w:rPr>
        <w:t>Bell Commission</w:t>
      </w:r>
      <w:r w:rsidR="00700038">
        <w:rPr>
          <w:kern w:val="0"/>
        </w:rPr>
        <w:t>’</w:t>
      </w:r>
      <w:r w:rsidR="00C13DDC">
        <w:rPr>
          <w:kern w:val="0"/>
        </w:rPr>
        <w:t>s</w:t>
      </w:r>
      <w:r>
        <w:rPr>
          <w:kern w:val="0"/>
        </w:rPr>
        <w:t xml:space="preserve"> report in 1987</w:t>
      </w:r>
      <w:r w:rsidR="005853A9">
        <w:rPr>
          <w:kern w:val="0"/>
        </w:rPr>
        <w:t xml:space="preserve"> and </w:t>
      </w:r>
      <w:r>
        <w:rPr>
          <w:kern w:val="0"/>
        </w:rPr>
        <w:t>whose methodological rigor score fell at or above</w:t>
      </w:r>
      <w:r w:rsidR="003A1917">
        <w:rPr>
          <w:kern w:val="0"/>
        </w:rPr>
        <w:t xml:space="preserve"> the </w:t>
      </w:r>
      <w:r>
        <w:rPr>
          <w:kern w:val="0"/>
        </w:rPr>
        <w:t>median for all studies rated were included in</w:t>
      </w:r>
      <w:r w:rsidR="003A1917">
        <w:rPr>
          <w:kern w:val="0"/>
        </w:rPr>
        <w:t xml:space="preserve"> the </w:t>
      </w:r>
      <w:r>
        <w:rPr>
          <w:kern w:val="0"/>
        </w:rPr>
        <w:t>data synthesis. Results data from 16 studies that included over 1,000 residents in six different specialties, were combined under</w:t>
      </w:r>
      <w:r w:rsidR="003A1917">
        <w:rPr>
          <w:kern w:val="0"/>
        </w:rPr>
        <w:t xml:space="preserve"> the </w:t>
      </w:r>
      <w:r>
        <w:rPr>
          <w:kern w:val="0"/>
        </w:rPr>
        <w:t>definitions</w:t>
      </w:r>
      <w:r w:rsidR="00427468">
        <w:rPr>
          <w:kern w:val="0"/>
        </w:rPr>
        <w:t xml:space="preserve"> of </w:t>
      </w:r>
      <w:r>
        <w:rPr>
          <w:kern w:val="0"/>
        </w:rPr>
        <w:t>types</w:t>
      </w:r>
      <w:r w:rsidR="00427468">
        <w:rPr>
          <w:kern w:val="0"/>
        </w:rPr>
        <w:t xml:space="preserve"> of </w:t>
      </w:r>
      <w:r>
        <w:rPr>
          <w:kern w:val="0"/>
        </w:rPr>
        <w:t>residents</w:t>
      </w:r>
      <w:r w:rsidR="00700038">
        <w:rPr>
          <w:kern w:val="0"/>
        </w:rPr>
        <w:t>’</w:t>
      </w:r>
      <w:r>
        <w:rPr>
          <w:kern w:val="0"/>
        </w:rPr>
        <w:t xml:space="preserve"> activities: marginal, patient care, teaching</w:t>
      </w:r>
      <w:r w:rsidR="005853A9">
        <w:rPr>
          <w:kern w:val="0"/>
        </w:rPr>
        <w:t xml:space="preserve"> and </w:t>
      </w:r>
      <w:r>
        <w:rPr>
          <w:kern w:val="0"/>
        </w:rPr>
        <w:t>learning,</w:t>
      </w:r>
      <w:r w:rsidR="005853A9">
        <w:rPr>
          <w:kern w:val="0"/>
        </w:rPr>
        <w:t xml:space="preserve"> and </w:t>
      </w:r>
      <w:r>
        <w:rPr>
          <w:kern w:val="0"/>
        </w:rPr>
        <w:t>other. Results. This preliminary analysis found that residents devoted approximately 36%</w:t>
      </w:r>
      <w:r w:rsidR="00427468">
        <w:rPr>
          <w:kern w:val="0"/>
        </w:rPr>
        <w:t xml:space="preserve"> of </w:t>
      </w:r>
      <w:r>
        <w:rPr>
          <w:kern w:val="0"/>
        </w:rPr>
        <w:t>their effort to direct patient care necessary to achieve specialty-specific learning objectives, 15% to</w:t>
      </w:r>
      <w:r w:rsidR="003A1917">
        <w:rPr>
          <w:kern w:val="0"/>
        </w:rPr>
        <w:t xml:space="preserve"> the </w:t>
      </w:r>
      <w:r>
        <w:rPr>
          <w:kern w:val="0"/>
        </w:rPr>
        <w:t>residency program</w:t>
      </w:r>
      <w:r w:rsidR="00700038">
        <w:rPr>
          <w:kern w:val="0"/>
        </w:rPr>
        <w:t>’</w:t>
      </w:r>
      <w:r w:rsidR="00C13DDC">
        <w:rPr>
          <w:kern w:val="0"/>
        </w:rPr>
        <w:t>s</w:t>
      </w:r>
      <w:r>
        <w:rPr>
          <w:kern w:val="0"/>
        </w:rPr>
        <w:t xml:space="preserve"> organized teaching activities,</w:t>
      </w:r>
      <w:r w:rsidR="005853A9">
        <w:rPr>
          <w:kern w:val="0"/>
        </w:rPr>
        <w:t xml:space="preserve"> and </w:t>
      </w:r>
      <w:r>
        <w:rPr>
          <w:kern w:val="0"/>
        </w:rPr>
        <w:t>potentially as much as 35% to delivering patient care</w:t>
      </w:r>
      <w:r w:rsidR="00427468">
        <w:rPr>
          <w:kern w:val="0"/>
        </w:rPr>
        <w:t xml:space="preserve"> of </w:t>
      </w:r>
      <w:r>
        <w:rPr>
          <w:kern w:val="0"/>
        </w:rPr>
        <w:t>marginal or no educational value. An additional 16%</w:t>
      </w:r>
      <w:r w:rsidR="00427468">
        <w:rPr>
          <w:kern w:val="0"/>
        </w:rPr>
        <w:t xml:space="preserve"> of </w:t>
      </w:r>
      <w:r>
        <w:rPr>
          <w:kern w:val="0"/>
        </w:rPr>
        <w:t>residents</w:t>
      </w:r>
      <w:r w:rsidR="00700038">
        <w:rPr>
          <w:kern w:val="0"/>
        </w:rPr>
        <w:t>’</w:t>
      </w:r>
      <w:r>
        <w:rPr>
          <w:kern w:val="0"/>
        </w:rPr>
        <w:t xml:space="preserve"> waking time on duty was spent in other, unspecified activities. Conclusion. It is possible</w:t>
      </w:r>
      <w:r w:rsidR="005853A9">
        <w:rPr>
          <w:kern w:val="0"/>
        </w:rPr>
        <w:t xml:space="preserve"> and </w:t>
      </w:r>
      <w:r>
        <w:rPr>
          <w:kern w:val="0"/>
        </w:rPr>
        <w:t>potentially valuable to consider not only</w:t>
      </w:r>
      <w:r w:rsidR="003A1917">
        <w:rPr>
          <w:kern w:val="0"/>
        </w:rPr>
        <w:t xml:space="preserve"> the </w:t>
      </w:r>
      <w:r>
        <w:rPr>
          <w:kern w:val="0"/>
        </w:rPr>
        <w:t>number</w:t>
      </w:r>
      <w:r w:rsidR="00427468">
        <w:rPr>
          <w:kern w:val="0"/>
        </w:rPr>
        <w:t xml:space="preserve"> of </w:t>
      </w:r>
      <w:r>
        <w:rPr>
          <w:kern w:val="0"/>
        </w:rPr>
        <w:t>hours worked by residents, but</w:t>
      </w:r>
      <w:r w:rsidR="003A1917">
        <w:rPr>
          <w:kern w:val="0"/>
        </w:rPr>
        <w:t xml:space="preserve"> the </w:t>
      </w:r>
      <w:r>
        <w:rPr>
          <w:kern w:val="0"/>
        </w:rPr>
        <w:t>educational content</w:t>
      </w:r>
      <w:r w:rsidR="00427468">
        <w:rPr>
          <w:kern w:val="0"/>
        </w:rPr>
        <w:t xml:space="preserve"> of </w:t>
      </w:r>
      <w:r>
        <w:rPr>
          <w:kern w:val="0"/>
        </w:rPr>
        <w:t>their work when considering residency work</w:t>
      </w:r>
      <w:r w:rsidR="005853A9">
        <w:rPr>
          <w:kern w:val="0"/>
        </w:rPr>
        <w:t xml:space="preserve"> and </w:t>
      </w:r>
      <w:r>
        <w:rPr>
          <w:kern w:val="0"/>
        </w:rPr>
        <w:t>hour reforms.</w:t>
      </w:r>
    </w:p>
    <w:p w:rsidR="00DF2FA3" w:rsidRDefault="00DF2FA3" w:rsidP="00DF2FA3">
      <w:pPr>
        <w:pStyle w:val="a3"/>
        <w:rPr>
          <w:kern w:val="0"/>
        </w:rPr>
      </w:pPr>
      <w:r>
        <w:rPr>
          <w:kern w:val="0"/>
        </w:rPr>
        <w:t xml:space="preserve">Keywords: Bibliographies, Call, Care, Citation, Collaboration, Counting, Databases, Internal-Medicine, Learning, Literature, Medicine House Staff, </w:t>
      </w:r>
      <w:r w:rsidR="00D5664A">
        <w:rPr>
          <w:kern w:val="0"/>
        </w:rPr>
        <w:t>MEDLINE</w:t>
      </w:r>
      <w:r>
        <w:rPr>
          <w:kern w:val="0"/>
        </w:rPr>
        <w:t>, Nights, Residents, Review, Science, Science Citation Index, Service, Spend, Surgical Residents, Systematic Review, Time Use, Training</w:t>
      </w:r>
    </w:p>
    <w:p w:rsidR="00021E6B" w:rsidRDefault="00021E6B" w:rsidP="00021E6B">
      <w:pPr>
        <w:pStyle w:val="a3"/>
        <w:rPr>
          <w:kern w:val="0"/>
        </w:rPr>
      </w:pPr>
      <w:r>
        <w:rPr>
          <w:rFonts w:hint="eastAsia"/>
          <w:kern w:val="0"/>
        </w:rPr>
        <w:t xml:space="preserve">? </w:t>
      </w:r>
      <w:r>
        <w:rPr>
          <w:kern w:val="0"/>
        </w:rPr>
        <w:t>McCarty, T., Parkes, M.V., Anderson, T.T., Mines, J., Skipper, B.J.</w:t>
      </w:r>
      <w:r w:rsidR="005853A9">
        <w:rPr>
          <w:kern w:val="0"/>
        </w:rPr>
        <w:t xml:space="preserve"> and </w:t>
      </w:r>
      <w:r>
        <w:rPr>
          <w:kern w:val="0"/>
        </w:rPr>
        <w:t>Grebosky, J. (2005), Improved patient notes from medical students during Web-based teaching using faculty-calibrated peer review</w:t>
      </w:r>
      <w:r w:rsidR="005853A9">
        <w:rPr>
          <w:kern w:val="0"/>
        </w:rPr>
        <w:t xml:space="preserve"> and </w:t>
      </w:r>
      <w:r>
        <w:rPr>
          <w:kern w:val="0"/>
        </w:rPr>
        <w:t xml:space="preserve">self-assessment. </w:t>
      </w:r>
      <w:r>
        <w:rPr>
          <w:i/>
          <w:iCs/>
          <w:kern w:val="0"/>
        </w:rPr>
        <w:t>Academic Medicine</w:t>
      </w:r>
      <w:r>
        <w:rPr>
          <w:kern w:val="0"/>
        </w:rPr>
        <w:t xml:space="preserve">, </w:t>
      </w:r>
      <w:r>
        <w:rPr>
          <w:b/>
          <w:bCs/>
          <w:kern w:val="0"/>
        </w:rPr>
        <w:t>80</w:t>
      </w:r>
      <w:r>
        <w:rPr>
          <w:kern w:val="0"/>
        </w:rPr>
        <w:t xml:space="preserve"> (10), S67-S70.</w:t>
      </w:r>
    </w:p>
    <w:p w:rsidR="00021E6B" w:rsidRPr="001A3D2B" w:rsidRDefault="00021E6B" w:rsidP="00021E6B">
      <w:pPr>
        <w:pStyle w:val="a3"/>
        <w:rPr>
          <w:rStyle w:val="a5"/>
        </w:rPr>
      </w:pPr>
      <w:r w:rsidRPr="001A3D2B">
        <w:t xml:space="preserve">Full Text: </w:t>
      </w:r>
      <w:hyperlink r:id="rId35" w:history="1">
        <w:r w:rsidRPr="00D447C7">
          <w:rPr>
            <w:rStyle w:val="a5"/>
          </w:rPr>
          <w:t>2005\Aca Med80, S67.pdf</w:t>
        </w:r>
      </w:hyperlink>
    </w:p>
    <w:p w:rsidR="00021E6B" w:rsidRDefault="00021E6B" w:rsidP="00021E6B">
      <w:pPr>
        <w:pStyle w:val="a3"/>
        <w:rPr>
          <w:kern w:val="0"/>
        </w:rPr>
      </w:pPr>
      <w:r>
        <w:rPr>
          <w:kern w:val="0"/>
        </w:rPr>
        <w:t>Abstract: Background This study examines</w:t>
      </w:r>
      <w:r w:rsidR="003A1917">
        <w:rPr>
          <w:kern w:val="0"/>
        </w:rPr>
        <w:t xml:space="preserve"> the </w:t>
      </w:r>
      <w:r>
        <w:rPr>
          <w:kern w:val="0"/>
        </w:rPr>
        <w:t>effectiveness</w:t>
      </w:r>
      <w:r w:rsidR="00427468">
        <w:rPr>
          <w:kern w:val="0"/>
        </w:rPr>
        <w:t xml:space="preserve"> of </w:t>
      </w:r>
      <w:r>
        <w:rPr>
          <w:kern w:val="0"/>
        </w:rPr>
        <w:t>Calibrated Peer Review (TM) (CPR), a Web-based writing development program, to teach</w:t>
      </w:r>
      <w:r w:rsidR="005853A9">
        <w:rPr>
          <w:kern w:val="0"/>
        </w:rPr>
        <w:t xml:space="preserve"> and </w:t>
      </w:r>
      <w:r>
        <w:rPr>
          <w:kern w:val="0"/>
        </w:rPr>
        <w:t>assess medical students</w:t>
      </w:r>
      <w:r w:rsidR="00700038">
        <w:rPr>
          <w:kern w:val="0"/>
        </w:rPr>
        <w:t>’</w:t>
      </w:r>
      <w:r>
        <w:rPr>
          <w:kern w:val="0"/>
        </w:rPr>
        <w:t xml:space="preserve"> patient note-writing skills in a standardized fashion. Method At</w:t>
      </w:r>
      <w:r w:rsidR="003A1917">
        <w:rPr>
          <w:kern w:val="0"/>
        </w:rPr>
        <w:t xml:space="preserve"> the </w:t>
      </w:r>
      <w:r>
        <w:rPr>
          <w:kern w:val="0"/>
        </w:rPr>
        <w:t>end</w:t>
      </w:r>
      <w:r w:rsidR="00427468">
        <w:rPr>
          <w:kern w:val="0"/>
        </w:rPr>
        <w:t xml:space="preserve"> of </w:t>
      </w:r>
      <w:r w:rsidR="003A1917">
        <w:rPr>
          <w:kern w:val="0"/>
        </w:rPr>
        <w:t xml:space="preserve">the </w:t>
      </w:r>
      <w:r>
        <w:rPr>
          <w:kern w:val="0"/>
        </w:rPr>
        <w:t>clerkship year, 67 medical students were divided into three groups, introduced to CPR,</w:t>
      </w:r>
      <w:r w:rsidR="005853A9">
        <w:rPr>
          <w:kern w:val="0"/>
        </w:rPr>
        <w:t xml:space="preserve"> and </w:t>
      </w:r>
      <w:r>
        <w:rPr>
          <w:kern w:val="0"/>
        </w:rPr>
        <w:t>instructed in patient note-writing. Students then wrote notes for three clinical cases, presented in different order to each group. After training on faculty-calibrated standards, students evaluated their peers</w:t>
      </w:r>
      <w:r w:rsidR="00700038">
        <w:rPr>
          <w:kern w:val="0"/>
        </w:rPr>
        <w:t>’</w:t>
      </w:r>
      <w:r>
        <w:rPr>
          <w:kern w:val="0"/>
        </w:rPr>
        <w:t xml:space="preserve"> notes</w:t>
      </w:r>
      <w:r w:rsidR="005853A9">
        <w:rPr>
          <w:kern w:val="0"/>
        </w:rPr>
        <w:t xml:space="preserve"> and </w:t>
      </w:r>
      <w:r>
        <w:rPr>
          <w:kern w:val="0"/>
        </w:rPr>
        <w:t>their own notes. Trained faculty, blinded to author, order,</w:t>
      </w:r>
      <w:r w:rsidR="005853A9">
        <w:rPr>
          <w:kern w:val="0"/>
        </w:rPr>
        <w:t xml:space="preserve"> and </w:t>
      </w:r>
      <w:r>
        <w:rPr>
          <w:kern w:val="0"/>
        </w:rPr>
        <w:t>group, also graded student notes. Results Faculty gave lower scores than students, but both groups found students</w:t>
      </w:r>
      <w:r w:rsidR="00700038">
        <w:rPr>
          <w:kern w:val="0"/>
        </w:rPr>
        <w:t>’</w:t>
      </w:r>
      <w:r>
        <w:rPr>
          <w:kern w:val="0"/>
        </w:rPr>
        <w:t xml:space="preserve"> scores improved significantly from</w:t>
      </w:r>
      <w:r w:rsidR="003A1917">
        <w:rPr>
          <w:kern w:val="0"/>
        </w:rPr>
        <w:t xml:space="preserve"> the </w:t>
      </w:r>
      <w:r>
        <w:rPr>
          <w:kern w:val="0"/>
        </w:rPr>
        <w:t>first to</w:t>
      </w:r>
      <w:r w:rsidR="003A1917">
        <w:rPr>
          <w:kern w:val="0"/>
        </w:rPr>
        <w:t xml:space="preserve"> the </w:t>
      </w:r>
      <w:r>
        <w:rPr>
          <w:kern w:val="0"/>
        </w:rPr>
        <w:t>third note written. Conclusions Student-written patient notes improved in quality while using CPR</w:t>
      </w:r>
      <w:r w:rsidR="00A37C1D">
        <w:rPr>
          <w:kern w:val="0"/>
        </w:rPr>
        <w:t>. The</w:t>
      </w:r>
      <w:r w:rsidR="003A1917">
        <w:rPr>
          <w:kern w:val="0"/>
        </w:rPr>
        <w:t xml:space="preserve"> </w:t>
      </w:r>
      <w:r>
        <w:rPr>
          <w:kern w:val="0"/>
        </w:rPr>
        <w:t>program uses approaches valued in medicine (accurate peer review</w:t>
      </w:r>
      <w:r w:rsidR="005853A9">
        <w:rPr>
          <w:kern w:val="0"/>
        </w:rPr>
        <w:t xml:space="preserve"> and </w:t>
      </w:r>
      <w:r>
        <w:rPr>
          <w:kern w:val="0"/>
        </w:rPr>
        <w:t xml:space="preserve">self -reflection) to </w:t>
      </w:r>
      <w:r>
        <w:rPr>
          <w:kern w:val="0"/>
        </w:rPr>
        <w:lastRenderedPageBreak/>
        <w:t>enhance performance.</w:t>
      </w:r>
    </w:p>
    <w:p w:rsidR="00021E6B" w:rsidRDefault="00021E6B" w:rsidP="00021E6B">
      <w:pPr>
        <w:pStyle w:val="a3"/>
        <w:rPr>
          <w:kern w:val="0"/>
        </w:rPr>
      </w:pPr>
      <w:r>
        <w:rPr>
          <w:kern w:val="0"/>
        </w:rPr>
        <w:t>Keywords: Author, Development, Education, Effectiveness, Faculty, Medical, Medicine, Peer Review, Peer-Review, Quality, Review, Standards, Students, Teaching, Training, Writing</w:t>
      </w:r>
    </w:p>
    <w:p w:rsidR="003474F2" w:rsidRPr="001A3D2B" w:rsidRDefault="003474F2" w:rsidP="003474F2">
      <w:pPr>
        <w:pStyle w:val="a3"/>
      </w:pPr>
      <w:r w:rsidRPr="001A3D2B">
        <w:t>? Kennedy, T.J.T., Regehr, G., Baker, G.R.</w:t>
      </w:r>
      <w:r w:rsidR="005853A9">
        <w:t xml:space="preserve"> and </w:t>
      </w:r>
      <w:r w:rsidRPr="001A3D2B">
        <w:t xml:space="preserve">Lingard, L.A. (2005), Progressive independence in clinical training: A tradition worth defending? </w:t>
      </w:r>
      <w:r w:rsidRPr="001A3D2B">
        <w:rPr>
          <w:i/>
          <w:iCs/>
        </w:rPr>
        <w:t>Academic Medicine</w:t>
      </w:r>
      <w:r w:rsidRPr="001A3D2B">
        <w:t xml:space="preserve">, </w:t>
      </w:r>
      <w:r w:rsidRPr="001A3D2B">
        <w:rPr>
          <w:b/>
          <w:bCs/>
        </w:rPr>
        <w:t>80</w:t>
      </w:r>
      <w:r w:rsidRPr="001A3D2B">
        <w:t xml:space="preserve"> (10), S106-S111.</w:t>
      </w:r>
    </w:p>
    <w:p w:rsidR="003474F2" w:rsidRPr="001A3D2B" w:rsidRDefault="003474F2" w:rsidP="003474F2">
      <w:pPr>
        <w:pStyle w:val="a3"/>
        <w:rPr>
          <w:rStyle w:val="a5"/>
        </w:rPr>
      </w:pPr>
      <w:r w:rsidRPr="001A3D2B">
        <w:t xml:space="preserve">Full Text: </w:t>
      </w:r>
      <w:hyperlink r:id="rId36" w:history="1">
        <w:r w:rsidR="00DF2FA3" w:rsidRPr="00DF2FA3">
          <w:rPr>
            <w:rStyle w:val="a5"/>
          </w:rPr>
          <w:t>2005\Aca Med80, S106.pdf</w:t>
        </w:r>
      </w:hyperlink>
    </w:p>
    <w:p w:rsidR="003474F2" w:rsidRPr="001A3D2B" w:rsidRDefault="003474F2" w:rsidP="003474F2">
      <w:pPr>
        <w:pStyle w:val="a3"/>
      </w:pPr>
      <w:r w:rsidRPr="001A3D2B">
        <w:t>Abstract: Background Progressive independence is a traditional premise</w:t>
      </w:r>
      <w:r w:rsidR="00427468">
        <w:t xml:space="preserve"> of </w:t>
      </w:r>
      <w:r w:rsidRPr="001A3D2B">
        <w:t>clinical training. Recently, issues such as managed care, work hours limitation,</w:t>
      </w:r>
      <w:r w:rsidR="005853A9">
        <w:t xml:space="preserve"> and </w:t>
      </w:r>
      <w:r w:rsidRPr="001A3D2B">
        <w:t>patient safety have begun to impact</w:t>
      </w:r>
      <w:r w:rsidR="003A1917">
        <w:t xml:space="preserve"> the </w:t>
      </w:r>
      <w:r w:rsidRPr="001A3D2B">
        <w:t>degree</w:t>
      </w:r>
      <w:r w:rsidR="00427468">
        <w:t xml:space="preserve"> of </w:t>
      </w:r>
      <w:r w:rsidRPr="001A3D2B">
        <w:t>autonomy afforded to clinical trainees. This article reviews empirical evidence</w:t>
      </w:r>
      <w:r w:rsidR="005853A9">
        <w:t xml:space="preserve"> and </w:t>
      </w:r>
      <w:r w:rsidRPr="001A3D2B">
        <w:t>theory pertaining to</w:t>
      </w:r>
      <w:r w:rsidR="003A1917">
        <w:t xml:space="preserve"> the </w:t>
      </w:r>
      <w:r w:rsidRPr="001A3D2B">
        <w:t>role</w:t>
      </w:r>
      <w:r w:rsidR="00427468">
        <w:t xml:space="preserve"> of </w:t>
      </w:r>
      <w:r w:rsidRPr="001A3D2B">
        <w:t xml:space="preserve">progressive autonomy in clinical learning. Method A computerized literature search was performed using </w:t>
      </w:r>
      <w:r w:rsidR="00D5664A">
        <w:t>MEDLINE</w:t>
      </w:r>
      <w:r w:rsidRPr="001A3D2B">
        <w:t>, PsycINFO, Social Sciences Citation Index,</w:t>
      </w:r>
      <w:r w:rsidR="005853A9">
        <w:t xml:space="preserve"> and </w:t>
      </w:r>
      <w:r w:rsidRPr="001A3D2B">
        <w:t>Educational Resources information Center. This article presents a synthetic review</w:t>
      </w:r>
      <w:r w:rsidR="00427468">
        <w:t xml:space="preserve"> of </w:t>
      </w:r>
      <w:r w:rsidRPr="001A3D2B">
        <w:t>relevant empirical</w:t>
      </w:r>
      <w:r w:rsidR="005853A9">
        <w:t xml:space="preserve"> and </w:t>
      </w:r>
      <w:r w:rsidRPr="001A3D2B">
        <w:t>theoretical concepts from</w:t>
      </w:r>
      <w:r w:rsidR="003A1917">
        <w:t xml:space="preserve"> the </w:t>
      </w:r>
      <w:r w:rsidRPr="001A3D2B">
        <w:t>domains</w:t>
      </w:r>
      <w:r w:rsidR="00427468">
        <w:t xml:space="preserve"> of </w:t>
      </w:r>
      <w:r w:rsidRPr="001A3D2B">
        <w:t>medicine, psychology, education, kinesiology,</w:t>
      </w:r>
      <w:r w:rsidR="005853A9">
        <w:t xml:space="preserve"> and </w:t>
      </w:r>
      <w:r w:rsidRPr="001A3D2B">
        <w:t>sociology. Results</w:t>
      </w:r>
      <w:r w:rsidR="003A1917">
        <w:t xml:space="preserve"> the </w:t>
      </w:r>
      <w:r w:rsidRPr="001A3D2B">
        <w:t>clinical psychology</w:t>
      </w:r>
      <w:r w:rsidR="005853A9">
        <w:t xml:space="preserve"> and </w:t>
      </w:r>
      <w:r w:rsidRPr="001A3D2B">
        <w:t>medical education literatures provide evidence that clinical trainees act more independently as their training progresses, but have not yet evaluated</w:t>
      </w:r>
      <w:r w:rsidR="003A1917">
        <w:t xml:space="preserve"> the </w:t>
      </w:r>
      <w:r w:rsidRPr="001A3D2B">
        <w:t>educational efficacy</w:t>
      </w:r>
      <w:r w:rsidR="00427468">
        <w:t xml:space="preserve"> of </w:t>
      </w:r>
      <w:r w:rsidRPr="001A3D2B">
        <w:t>providing progressive independence, or</w:t>
      </w:r>
      <w:r w:rsidR="003A1917">
        <w:t xml:space="preserve"> the </w:t>
      </w:r>
      <w:r w:rsidRPr="001A3D2B">
        <w:t>consequences</w:t>
      </w:r>
      <w:r w:rsidR="00427468">
        <w:t xml:space="preserve"> of </w:t>
      </w:r>
      <w:r w:rsidRPr="001A3D2B">
        <w:t>failing to do so</w:t>
      </w:r>
      <w:r w:rsidR="00A37C1D">
        <w:t>. The</w:t>
      </w:r>
      <w:r w:rsidR="003A1917">
        <w:t xml:space="preserve"> </w:t>
      </w:r>
      <w:r w:rsidRPr="001A3D2B">
        <w:t>expertise</w:t>
      </w:r>
      <w:r w:rsidR="005853A9">
        <w:t xml:space="preserve"> and </w:t>
      </w:r>
      <w:r w:rsidRPr="001A3D2B">
        <w:t>motor learning literatures provide some theoretical evidence (as yet untested in complex clinical environments) that</w:t>
      </w:r>
      <w:r w:rsidR="003A1917">
        <w:t xml:space="preserve"> the </w:t>
      </w:r>
      <w:r w:rsidRPr="001A3D2B">
        <w:t>provision</w:t>
      </w:r>
      <w:r w:rsidR="00427468">
        <w:t xml:space="preserve"> of </w:t>
      </w:r>
      <w:r w:rsidRPr="001A3D2B">
        <w:t>too much guidance or feedback to trainees could be educationally detrimental in</w:t>
      </w:r>
      <w:r w:rsidR="003A1917">
        <w:t xml:space="preserve"> the </w:t>
      </w:r>
      <w:r w:rsidRPr="001A3D2B">
        <w:t>long term</w:t>
      </w:r>
      <w:r w:rsidR="00A37C1D">
        <w:t>. The</w:t>
      </w:r>
      <w:r w:rsidR="003A1917">
        <w:t xml:space="preserve"> </w:t>
      </w:r>
      <w:r w:rsidRPr="001A3D2B">
        <w:t>sociology literature provides insight into</w:t>
      </w:r>
      <w:r w:rsidR="003A1917">
        <w:t xml:space="preserve"> the </w:t>
      </w:r>
      <w:r w:rsidRPr="001A3D2B">
        <w:t>cultural values underlying</w:t>
      </w:r>
      <w:r w:rsidR="003A1917">
        <w:t xml:space="preserve"> the </w:t>
      </w:r>
      <w:r w:rsidRPr="001A3D2B">
        <w:t>behavior</w:t>
      </w:r>
      <w:r w:rsidR="00427468">
        <w:t xml:space="preserve"> of </w:t>
      </w:r>
      <w:r w:rsidRPr="001A3D2B">
        <w:t>clinical teachers</w:t>
      </w:r>
      <w:r w:rsidR="005853A9">
        <w:t xml:space="preserve"> and </w:t>
      </w:r>
      <w:r w:rsidRPr="001A3D2B">
        <w:t>trainees relating to issues</w:t>
      </w:r>
      <w:r w:rsidR="00427468">
        <w:t xml:space="preserve"> of </w:t>
      </w:r>
      <w:r w:rsidRPr="001A3D2B">
        <w:t>supervision</w:t>
      </w:r>
      <w:r w:rsidR="005853A9">
        <w:t xml:space="preserve"> and </w:t>
      </w:r>
      <w:r w:rsidRPr="001A3D2B">
        <w:t>independence. Conclusions There is limited empirical support for</w:t>
      </w:r>
      <w:r w:rsidR="003A1917">
        <w:t xml:space="preserve"> the </w:t>
      </w:r>
      <w:r w:rsidRPr="001A3D2B">
        <w:t>current model</w:t>
      </w:r>
      <w:r w:rsidR="00427468">
        <w:t xml:space="preserve"> of </w:t>
      </w:r>
      <w:r w:rsidRPr="001A3D2B">
        <w:t>progressive independence in clinical learning; however, diverse theoretical perspectives raise concern about</w:t>
      </w:r>
      <w:r w:rsidR="003A1917">
        <w:t xml:space="preserve"> the </w:t>
      </w:r>
      <w:r w:rsidRPr="001A3D2B">
        <w:t>potential educational consequences</w:t>
      </w:r>
      <w:r w:rsidR="00427468">
        <w:t xml:space="preserve"> of </w:t>
      </w:r>
      <w:r w:rsidRPr="001A3D2B">
        <w:t>eroding progressive independence</w:t>
      </w:r>
      <w:r w:rsidR="00A37C1D">
        <w:t>. The</w:t>
      </w:r>
      <w:r w:rsidRPr="001A3D2B">
        <w:t>se perspectives could inform future research programs that would create a creative</w:t>
      </w:r>
      <w:r w:rsidR="005853A9">
        <w:t xml:space="preserve"> and </w:t>
      </w:r>
      <w:r w:rsidRPr="001A3D2B">
        <w:t>effective response to</w:t>
      </w:r>
      <w:r w:rsidR="003A1917">
        <w:t xml:space="preserve"> the </w:t>
      </w:r>
      <w:r w:rsidRPr="001A3D2B">
        <w:t>social</w:t>
      </w:r>
      <w:r w:rsidR="005853A9">
        <w:t xml:space="preserve"> and </w:t>
      </w:r>
      <w:r w:rsidRPr="001A3D2B">
        <w:t>economic forces impacting clinical education.</w:t>
      </w:r>
    </w:p>
    <w:p w:rsidR="003474F2" w:rsidRPr="001A3D2B" w:rsidRDefault="003474F2" w:rsidP="003474F2">
      <w:pPr>
        <w:pStyle w:val="a3"/>
      </w:pPr>
      <w:r w:rsidRPr="001A3D2B">
        <w:t>Keywords: Autonomy, Behavior, Care, Clinical, Clinical Psychology, Cultural, Economic, Education, Efficacy, Evidence, Guidance, Impact, Information, Learning, Limitation, Literature, Long Term, Long-Term, Managed Care, Medical, Medical Education, Medicine, Model, Patient Safety, Potential, Psychology, PsycINFO, Research, Review, Reviews, Role, Safety, Social, Sociology, Support, Term, Theory, Training, Work, Work Hours</w:t>
      </w:r>
    </w:p>
    <w:p w:rsidR="00265990" w:rsidRDefault="00265990" w:rsidP="00265990">
      <w:pPr>
        <w:pStyle w:val="a3"/>
        <w:rPr>
          <w:kern w:val="0"/>
        </w:rPr>
      </w:pPr>
      <w:r>
        <w:rPr>
          <w:rFonts w:hint="eastAsia"/>
          <w:kern w:val="0"/>
        </w:rPr>
        <w:t xml:space="preserve">? </w:t>
      </w:r>
      <w:r>
        <w:rPr>
          <w:kern w:val="0"/>
        </w:rPr>
        <w:t>Cook, D.A., Levinson, A.J., Garside, S., Dupras, D.M., Erwin, P.J.</w:t>
      </w:r>
      <w:r w:rsidR="005853A9">
        <w:rPr>
          <w:kern w:val="0"/>
        </w:rPr>
        <w:t xml:space="preserve"> and </w:t>
      </w:r>
      <w:r>
        <w:rPr>
          <w:kern w:val="0"/>
        </w:rPr>
        <w:t xml:space="preserve">Montori, V.M. (2010), Instructional design variations in internet-based learning for health </w:t>
      </w:r>
      <w:r>
        <w:rPr>
          <w:kern w:val="0"/>
        </w:rPr>
        <w:lastRenderedPageBreak/>
        <w:t>professions education: A systematic review</w:t>
      </w:r>
      <w:r w:rsidR="005853A9">
        <w:rPr>
          <w:kern w:val="0"/>
        </w:rPr>
        <w:t xml:space="preserve"> and </w:t>
      </w:r>
      <w:r>
        <w:rPr>
          <w:kern w:val="0"/>
        </w:rPr>
        <w:t xml:space="preserve">meta-analysis. </w:t>
      </w:r>
      <w:r>
        <w:rPr>
          <w:i/>
          <w:iCs/>
          <w:kern w:val="0"/>
        </w:rPr>
        <w:t>Academic Medicine</w:t>
      </w:r>
      <w:r>
        <w:rPr>
          <w:kern w:val="0"/>
        </w:rPr>
        <w:t xml:space="preserve">, </w:t>
      </w:r>
      <w:r>
        <w:rPr>
          <w:b/>
          <w:bCs/>
          <w:kern w:val="0"/>
        </w:rPr>
        <w:t>85</w:t>
      </w:r>
      <w:r>
        <w:rPr>
          <w:kern w:val="0"/>
        </w:rPr>
        <w:t xml:space="preserve"> (5), 909-922.</w:t>
      </w:r>
    </w:p>
    <w:p w:rsidR="00265990" w:rsidRPr="00F219CA" w:rsidRDefault="00265990" w:rsidP="00265990">
      <w:pPr>
        <w:pStyle w:val="a3"/>
      </w:pPr>
      <w:r w:rsidRPr="00F219CA">
        <w:t xml:space="preserve">Full Text: </w:t>
      </w:r>
      <w:hyperlink r:id="rId37" w:history="1">
        <w:r w:rsidR="00E25DE0" w:rsidRPr="00E25DE0">
          <w:rPr>
            <w:rStyle w:val="a5"/>
          </w:rPr>
          <w:t>2010\Aca Med85, 909.pdf</w:t>
        </w:r>
      </w:hyperlink>
    </w:p>
    <w:p w:rsidR="00265990" w:rsidRDefault="00265990" w:rsidP="00265990">
      <w:pPr>
        <w:pStyle w:val="a3"/>
        <w:rPr>
          <w:kern w:val="0"/>
        </w:rPr>
      </w:pPr>
      <w:r>
        <w:rPr>
          <w:kern w:val="0"/>
        </w:rPr>
        <w:t>Abstract: Purpose A recent systematic review (2008) described</w:t>
      </w:r>
      <w:r w:rsidR="003A1917">
        <w:rPr>
          <w:kern w:val="0"/>
        </w:rPr>
        <w:t xml:space="preserve"> the </w:t>
      </w:r>
      <w:r>
        <w:rPr>
          <w:kern w:val="0"/>
        </w:rPr>
        <w:t>effectiveness</w:t>
      </w:r>
      <w:r w:rsidR="00427468">
        <w:rPr>
          <w:kern w:val="0"/>
        </w:rPr>
        <w:t xml:space="preserve"> of </w:t>
      </w:r>
      <w:r>
        <w:rPr>
          <w:kern w:val="0"/>
        </w:rPr>
        <w:t>Internet-based learning (IBL) in health professions education. A comprehensive synthesis</w:t>
      </w:r>
      <w:r w:rsidR="00427468">
        <w:rPr>
          <w:kern w:val="0"/>
        </w:rPr>
        <w:t xml:space="preserve"> of </w:t>
      </w:r>
      <w:r>
        <w:rPr>
          <w:kern w:val="0"/>
        </w:rPr>
        <w:t>research investigating how to improve IBL is needed. This systematic review sought to provide such a synthesis. Method</w:t>
      </w:r>
      <w:r w:rsidR="003A1917">
        <w:rPr>
          <w:kern w:val="0"/>
        </w:rPr>
        <w:t xml:space="preserve"> the </w:t>
      </w:r>
      <w:r>
        <w:rPr>
          <w:kern w:val="0"/>
        </w:rPr>
        <w:t xml:space="preserve">authors searched </w:t>
      </w:r>
      <w:r w:rsidR="00D5664A">
        <w:rPr>
          <w:kern w:val="0"/>
        </w:rPr>
        <w:t>MEDLINE</w:t>
      </w:r>
      <w:r>
        <w:rPr>
          <w:kern w:val="0"/>
        </w:rPr>
        <w:t xml:space="preserve">, CINAHL, EMBASE, </w:t>
      </w:r>
      <w:r w:rsidR="00D5664A">
        <w:rPr>
          <w:kern w:val="0"/>
        </w:rPr>
        <w:t>Web</w:t>
      </w:r>
      <w:r w:rsidR="00427468">
        <w:rPr>
          <w:kern w:val="0"/>
        </w:rPr>
        <w:t xml:space="preserve"> of </w:t>
      </w:r>
      <w:r w:rsidR="00D5664A">
        <w:rPr>
          <w:kern w:val="0"/>
        </w:rPr>
        <w:t>Science</w:t>
      </w:r>
      <w:r>
        <w:rPr>
          <w:kern w:val="0"/>
        </w:rPr>
        <w:t>, Scopus, ERIC, TimeLit,</w:t>
      </w:r>
      <w:r w:rsidR="005853A9">
        <w:rPr>
          <w:kern w:val="0"/>
        </w:rPr>
        <w:t xml:space="preserve"> and </w:t>
      </w:r>
      <w:r w:rsidR="003A1917">
        <w:rPr>
          <w:kern w:val="0"/>
        </w:rPr>
        <w:t xml:space="preserve">the </w:t>
      </w:r>
      <w:r>
        <w:rPr>
          <w:kern w:val="0"/>
        </w:rPr>
        <w:t>University</w:t>
      </w:r>
      <w:r w:rsidR="00427468">
        <w:rPr>
          <w:kern w:val="0"/>
        </w:rPr>
        <w:t xml:space="preserve"> of </w:t>
      </w:r>
      <w:r>
        <w:rPr>
          <w:kern w:val="0"/>
        </w:rPr>
        <w:t>Toronto Research</w:t>
      </w:r>
      <w:r w:rsidR="005853A9">
        <w:rPr>
          <w:kern w:val="0"/>
        </w:rPr>
        <w:t xml:space="preserve"> and </w:t>
      </w:r>
      <w:r>
        <w:rPr>
          <w:kern w:val="0"/>
        </w:rPr>
        <w:t>Development Resource Base for articles published from 1990 through November 2008</w:t>
      </w:r>
      <w:r w:rsidR="00A37C1D">
        <w:rPr>
          <w:kern w:val="0"/>
        </w:rPr>
        <w:t>. The</w:t>
      </w:r>
      <w:r>
        <w:rPr>
          <w:kern w:val="0"/>
        </w:rPr>
        <w:t>y included all studies quantifying</w:t>
      </w:r>
      <w:r w:rsidR="003A1917">
        <w:rPr>
          <w:kern w:val="0"/>
        </w:rPr>
        <w:t xml:space="preserve"> the </w:t>
      </w:r>
      <w:r>
        <w:rPr>
          <w:kern w:val="0"/>
        </w:rPr>
        <w:t>effect</w:t>
      </w:r>
      <w:r w:rsidR="00427468">
        <w:rPr>
          <w:kern w:val="0"/>
        </w:rPr>
        <w:t xml:space="preserve"> of </w:t>
      </w:r>
      <w:r>
        <w:rPr>
          <w:kern w:val="0"/>
        </w:rPr>
        <w:t>IBL compared with another Internet-based or computer-assisted instructional intervention on practicing</w:t>
      </w:r>
      <w:r w:rsidR="005853A9">
        <w:rPr>
          <w:kern w:val="0"/>
        </w:rPr>
        <w:t xml:space="preserve"> and </w:t>
      </w:r>
      <w:r>
        <w:rPr>
          <w:kern w:val="0"/>
        </w:rPr>
        <w:t>student physicians, nurses, pharmacists, dentists,</w:t>
      </w:r>
      <w:r w:rsidR="005853A9">
        <w:rPr>
          <w:kern w:val="0"/>
        </w:rPr>
        <w:t xml:space="preserve"> and </w:t>
      </w:r>
      <w:r>
        <w:rPr>
          <w:kern w:val="0"/>
        </w:rPr>
        <w:t>other health professionals. Reviewers working independently</w:t>
      </w:r>
      <w:r w:rsidR="005853A9">
        <w:rPr>
          <w:kern w:val="0"/>
        </w:rPr>
        <w:t xml:space="preserve"> and </w:t>
      </w:r>
      <w:r>
        <w:rPr>
          <w:kern w:val="0"/>
        </w:rPr>
        <w:t>in duplicate abstracted information, coded study quality,</w:t>
      </w:r>
      <w:r w:rsidR="005853A9">
        <w:rPr>
          <w:kern w:val="0"/>
        </w:rPr>
        <w:t xml:space="preserve"> and </w:t>
      </w:r>
      <w:r>
        <w:rPr>
          <w:kern w:val="0"/>
        </w:rPr>
        <w:t>grouped studies according to inductively identified themes. Results From 2,705 articles,</w:t>
      </w:r>
      <w:r w:rsidR="003A1917">
        <w:rPr>
          <w:kern w:val="0"/>
        </w:rPr>
        <w:t xml:space="preserve"> the </w:t>
      </w:r>
      <w:r>
        <w:rPr>
          <w:kern w:val="0"/>
        </w:rPr>
        <w:t>authors identified 51 eligible studies, including 30 randomized trials</w:t>
      </w:r>
      <w:r w:rsidR="00A37C1D">
        <w:rPr>
          <w:kern w:val="0"/>
        </w:rPr>
        <w:t>. The</w:t>
      </w:r>
      <w:r w:rsidR="003A1917">
        <w:rPr>
          <w:kern w:val="0"/>
        </w:rPr>
        <w:t xml:space="preserve"> </w:t>
      </w:r>
      <w:r>
        <w:rPr>
          <w:kern w:val="0"/>
        </w:rPr>
        <w:t>pooled effect size (ES) for learning outcomes in 15 studies investigating high versus low interactivity was 0.27 (95% confidence interval, 0.08-0.46; P = .006). Also associated with higher learning were practice exercises (ES 0.40 [0.08-0.71; P = .01]; 10 studies), feedback (ES 0.68 [0.01-1.35; P = .047]; 2 studies),</w:t>
      </w:r>
      <w:r w:rsidR="005853A9">
        <w:rPr>
          <w:kern w:val="0"/>
        </w:rPr>
        <w:t xml:space="preserve"> and </w:t>
      </w:r>
      <w:r>
        <w:rPr>
          <w:kern w:val="0"/>
        </w:rPr>
        <w:t>repetition</w:t>
      </w:r>
      <w:r w:rsidR="00427468">
        <w:rPr>
          <w:kern w:val="0"/>
        </w:rPr>
        <w:t xml:space="preserve"> of </w:t>
      </w:r>
      <w:r>
        <w:rPr>
          <w:kern w:val="0"/>
        </w:rPr>
        <w:t>study material (ES 0.19 [0.09-0.30; P &lt; .001]; 2 studies)</w:t>
      </w:r>
      <w:r w:rsidR="00A37C1D">
        <w:rPr>
          <w:kern w:val="0"/>
        </w:rPr>
        <w:t>. The</w:t>
      </w:r>
      <w:r w:rsidR="003A1917">
        <w:rPr>
          <w:kern w:val="0"/>
        </w:rPr>
        <w:t xml:space="preserve"> </w:t>
      </w:r>
      <w:r>
        <w:rPr>
          <w:kern w:val="0"/>
        </w:rPr>
        <w:t>ES was 0.26 (-0.62 to 1.13; P = .57) for three studies examining online discussion. Inconsistency was large (I(2) &gt;= 89%) in most analyses. Meta-analyses for other themes generally yielded imprecise results. Conclusions Interactivity, practice exercises, repetition,</w:t>
      </w:r>
      <w:r w:rsidR="005853A9">
        <w:rPr>
          <w:kern w:val="0"/>
        </w:rPr>
        <w:t xml:space="preserve"> and </w:t>
      </w:r>
      <w:r>
        <w:rPr>
          <w:kern w:val="0"/>
        </w:rPr>
        <w:t>feedback seem to be associated with improved learning outcomes, although inconsistency across studies tempers conclusions. Evidence for other instructional variations remains inconclusive.</w:t>
      </w:r>
    </w:p>
    <w:p w:rsidR="00265990" w:rsidRDefault="00265990" w:rsidP="00265990">
      <w:pPr>
        <w:pStyle w:val="a3"/>
        <w:rPr>
          <w:kern w:val="0"/>
        </w:rPr>
      </w:pPr>
      <w:r>
        <w:rPr>
          <w:kern w:val="0"/>
        </w:rPr>
        <w:t xml:space="preserve">Keywords: Authors, Computer-Assisted, Computer-Assisted-Instruction, Continuing Medical-Education, Crossover Trial, Dentists, Education, Effectiveness, Embase, Feedback, Health, Information, Intervention, Knowledge, Learning, </w:t>
      </w:r>
      <w:r w:rsidR="00D5664A">
        <w:rPr>
          <w:kern w:val="0"/>
        </w:rPr>
        <w:t>MEDLINE</w:t>
      </w:r>
      <w:r>
        <w:rPr>
          <w:kern w:val="0"/>
        </w:rPr>
        <w:t xml:space="preserve">, Nurses, Nursing-Students, Online, Outcomes, Outcomes Research, Pharmacists, Physicians, Practice, Randomized Controlled-Trial, Research, Review, Science, Scopus, Spaced Education, Systematic, Systematic Review, University, </w:t>
      </w:r>
      <w:r w:rsidR="00D5664A">
        <w:rPr>
          <w:kern w:val="0"/>
        </w:rPr>
        <w:t>Web</w:t>
      </w:r>
      <w:r w:rsidR="00427468">
        <w:rPr>
          <w:kern w:val="0"/>
        </w:rPr>
        <w:t xml:space="preserve"> of </w:t>
      </w:r>
      <w:r w:rsidR="00D5664A">
        <w:rPr>
          <w:kern w:val="0"/>
        </w:rPr>
        <w:t>Science</w:t>
      </w:r>
      <w:r>
        <w:rPr>
          <w:kern w:val="0"/>
        </w:rPr>
        <w:t>, Web-Based Instruction</w:t>
      </w:r>
    </w:p>
    <w:p w:rsidR="00265990" w:rsidRDefault="00265990" w:rsidP="00265990">
      <w:pPr>
        <w:pStyle w:val="a3"/>
        <w:rPr>
          <w:kern w:val="0"/>
        </w:rPr>
      </w:pPr>
      <w:r>
        <w:rPr>
          <w:rFonts w:hint="eastAsia"/>
          <w:kern w:val="0"/>
        </w:rPr>
        <w:t xml:space="preserve">? </w:t>
      </w:r>
      <w:r>
        <w:rPr>
          <w:kern w:val="0"/>
        </w:rPr>
        <w:t>Davis, O.C.</w:t>
      </w:r>
      <w:r w:rsidR="005853A9">
        <w:rPr>
          <w:kern w:val="0"/>
        </w:rPr>
        <w:t xml:space="preserve"> and </w:t>
      </w:r>
      <w:r>
        <w:rPr>
          <w:kern w:val="0"/>
        </w:rPr>
        <w:t xml:space="preserve">Nakamura, J. (2010), A proposed model for an optimal mentoring environment for medical residents: A literature review. </w:t>
      </w:r>
      <w:r>
        <w:rPr>
          <w:i/>
          <w:iCs/>
          <w:kern w:val="0"/>
        </w:rPr>
        <w:t>Academic Medicine</w:t>
      </w:r>
      <w:r>
        <w:rPr>
          <w:kern w:val="0"/>
        </w:rPr>
        <w:t xml:space="preserve">, </w:t>
      </w:r>
      <w:r>
        <w:rPr>
          <w:b/>
          <w:bCs/>
          <w:kern w:val="0"/>
        </w:rPr>
        <w:t>85</w:t>
      </w:r>
      <w:r>
        <w:rPr>
          <w:kern w:val="0"/>
        </w:rPr>
        <w:t xml:space="preserve"> (6), 1060-1066.</w:t>
      </w:r>
    </w:p>
    <w:p w:rsidR="00265990" w:rsidRPr="00F219CA" w:rsidRDefault="00265990" w:rsidP="00265990">
      <w:pPr>
        <w:pStyle w:val="a3"/>
      </w:pPr>
      <w:r w:rsidRPr="00F219CA">
        <w:t xml:space="preserve">Full Text: </w:t>
      </w:r>
      <w:hyperlink r:id="rId38" w:history="1">
        <w:r w:rsidR="00E25DE0" w:rsidRPr="00E25DE0">
          <w:rPr>
            <w:rStyle w:val="a5"/>
          </w:rPr>
          <w:t>2010\Aca Med85, 1060.pdf</w:t>
        </w:r>
      </w:hyperlink>
    </w:p>
    <w:p w:rsidR="00265990" w:rsidRDefault="00265990" w:rsidP="00265990">
      <w:pPr>
        <w:pStyle w:val="a3"/>
        <w:rPr>
          <w:kern w:val="0"/>
        </w:rPr>
      </w:pPr>
      <w:r>
        <w:rPr>
          <w:kern w:val="0"/>
        </w:rPr>
        <w:t>Abstract: Purpose To develop a model</w:t>
      </w:r>
      <w:r w:rsidR="00427468">
        <w:rPr>
          <w:kern w:val="0"/>
        </w:rPr>
        <w:t xml:space="preserve"> of </w:t>
      </w:r>
      <w:r w:rsidR="003A1917">
        <w:rPr>
          <w:kern w:val="0"/>
        </w:rPr>
        <w:t xml:space="preserve">the </w:t>
      </w:r>
      <w:r>
        <w:rPr>
          <w:kern w:val="0"/>
        </w:rPr>
        <w:t>optimal mentoring environment for medical residents</w:t>
      </w:r>
      <w:r w:rsidR="00A37C1D">
        <w:rPr>
          <w:kern w:val="0"/>
        </w:rPr>
        <w:t>. The</w:t>
      </w:r>
      <w:r w:rsidR="003A1917">
        <w:rPr>
          <w:kern w:val="0"/>
        </w:rPr>
        <w:t xml:space="preserve"> </w:t>
      </w:r>
      <w:r>
        <w:rPr>
          <w:kern w:val="0"/>
        </w:rPr>
        <w:t>authors propose that such an environment is a function</w:t>
      </w:r>
      <w:r w:rsidR="00427468">
        <w:rPr>
          <w:kern w:val="0"/>
        </w:rPr>
        <w:t xml:space="preserve"> of </w:t>
      </w:r>
      <w:r>
        <w:rPr>
          <w:kern w:val="0"/>
        </w:rPr>
        <w:t xml:space="preserve">a </w:t>
      </w:r>
      <w:r>
        <w:rPr>
          <w:kern w:val="0"/>
        </w:rPr>
        <w:lastRenderedPageBreak/>
        <w:t>relationship that rests upon a set</w:t>
      </w:r>
      <w:r w:rsidR="00427468">
        <w:rPr>
          <w:kern w:val="0"/>
        </w:rPr>
        <w:t xml:space="preserve"> of </w:t>
      </w:r>
      <w:r>
        <w:rPr>
          <w:kern w:val="0"/>
        </w:rPr>
        <w:t>interactional foundations that allow a protege to capitalize on</w:t>
      </w:r>
      <w:r w:rsidR="003A1917">
        <w:rPr>
          <w:kern w:val="0"/>
        </w:rPr>
        <w:t xml:space="preserve"> the </w:t>
      </w:r>
      <w:r>
        <w:rPr>
          <w:kern w:val="0"/>
        </w:rPr>
        <w:t>strengths</w:t>
      </w:r>
      <w:r w:rsidR="00427468">
        <w:rPr>
          <w:kern w:val="0"/>
        </w:rPr>
        <w:t xml:space="preserve"> of </w:t>
      </w:r>
      <w:r w:rsidR="003A1917">
        <w:rPr>
          <w:kern w:val="0"/>
        </w:rPr>
        <w:t xml:space="preserve">the </w:t>
      </w:r>
      <w:r>
        <w:rPr>
          <w:kern w:val="0"/>
        </w:rPr>
        <w:t>mentor,</w:t>
      </w:r>
      <w:r w:rsidR="005853A9">
        <w:rPr>
          <w:kern w:val="0"/>
        </w:rPr>
        <w:t xml:space="preserve"> and </w:t>
      </w:r>
      <w:r>
        <w:rPr>
          <w:kern w:val="0"/>
        </w:rPr>
        <w:t>it facilitates behaviors that will enable</w:t>
      </w:r>
      <w:r w:rsidR="003A1917">
        <w:rPr>
          <w:kern w:val="0"/>
        </w:rPr>
        <w:t xml:space="preserve"> the </w:t>
      </w:r>
      <w:r>
        <w:rPr>
          <w:kern w:val="0"/>
        </w:rPr>
        <w:t>protege to develop</w:t>
      </w:r>
      <w:r w:rsidR="005853A9">
        <w:rPr>
          <w:kern w:val="0"/>
        </w:rPr>
        <w:t xml:space="preserve"> and </w:t>
      </w:r>
      <w:r>
        <w:rPr>
          <w:kern w:val="0"/>
        </w:rPr>
        <w:t>internalize</w:t>
      </w:r>
      <w:r w:rsidR="003A1917">
        <w:rPr>
          <w:kern w:val="0"/>
        </w:rPr>
        <w:t xml:space="preserve"> the </w:t>
      </w:r>
      <w:r>
        <w:rPr>
          <w:kern w:val="0"/>
        </w:rPr>
        <w:t>requisite knowledge, skills,</w:t>
      </w:r>
      <w:r w:rsidR="005853A9">
        <w:rPr>
          <w:kern w:val="0"/>
        </w:rPr>
        <w:t xml:space="preserve"> and </w:t>
      </w:r>
      <w:r>
        <w:rPr>
          <w:kern w:val="0"/>
        </w:rPr>
        <w:t>attitudes (KSAs) as fully as possible. Method</w:t>
      </w:r>
      <w:r w:rsidR="003A1917">
        <w:rPr>
          <w:kern w:val="0"/>
        </w:rPr>
        <w:t xml:space="preserve"> the </w:t>
      </w:r>
      <w:r>
        <w:rPr>
          <w:kern w:val="0"/>
        </w:rPr>
        <w:t>authors searched</w:t>
      </w:r>
      <w:r w:rsidR="003A1917">
        <w:rPr>
          <w:kern w:val="0"/>
        </w:rPr>
        <w:t xml:space="preserve"> the </w:t>
      </w:r>
      <w:r>
        <w:rPr>
          <w:kern w:val="0"/>
        </w:rPr>
        <w:t xml:space="preserve">literature using </w:t>
      </w:r>
      <w:r w:rsidR="00D5664A">
        <w:rPr>
          <w:kern w:val="0"/>
        </w:rPr>
        <w:t>Web</w:t>
      </w:r>
      <w:r w:rsidR="00427468">
        <w:rPr>
          <w:kern w:val="0"/>
        </w:rPr>
        <w:t xml:space="preserve"> of </w:t>
      </w:r>
      <w:r w:rsidR="00D5664A">
        <w:rPr>
          <w:kern w:val="0"/>
        </w:rPr>
        <w:t>Science</w:t>
      </w:r>
      <w:r w:rsidR="005853A9">
        <w:rPr>
          <w:kern w:val="0"/>
        </w:rPr>
        <w:t xml:space="preserve"> and </w:t>
      </w:r>
      <w:r>
        <w:rPr>
          <w:kern w:val="0"/>
        </w:rPr>
        <w:t>Google Scholar in 2007-2008 to identify articles addressing</w:t>
      </w:r>
      <w:r w:rsidR="003A1917">
        <w:rPr>
          <w:kern w:val="0"/>
        </w:rPr>
        <w:t xml:space="preserve"> the </w:t>
      </w:r>
      <w:r>
        <w:rPr>
          <w:kern w:val="0"/>
        </w:rPr>
        <w:t>mentoring process</w:t>
      </w:r>
      <w:r w:rsidR="005853A9">
        <w:rPr>
          <w:kern w:val="0"/>
        </w:rPr>
        <w:t xml:space="preserve"> and </w:t>
      </w:r>
      <w:r w:rsidR="003A1917">
        <w:rPr>
          <w:kern w:val="0"/>
        </w:rPr>
        <w:t xml:space="preserve">the </w:t>
      </w:r>
      <w:r>
        <w:rPr>
          <w:kern w:val="0"/>
        </w:rPr>
        <w:t>context in which it occurs (mentoring environment),</w:t>
      </w:r>
      <w:r w:rsidR="005853A9">
        <w:rPr>
          <w:kern w:val="0"/>
        </w:rPr>
        <w:t xml:space="preserve"> and </w:t>
      </w:r>
      <w:r w:rsidR="003A1917">
        <w:rPr>
          <w:kern w:val="0"/>
        </w:rPr>
        <w:t xml:space="preserve">the </w:t>
      </w:r>
      <w:r>
        <w:rPr>
          <w:kern w:val="0"/>
        </w:rPr>
        <w:t>effect both have on KSA development</w:t>
      </w:r>
      <w:r w:rsidR="00A37C1D">
        <w:rPr>
          <w:kern w:val="0"/>
        </w:rPr>
        <w:t>. The</w:t>
      </w:r>
      <w:r w:rsidR="003A1917">
        <w:rPr>
          <w:kern w:val="0"/>
        </w:rPr>
        <w:t xml:space="preserve"> </w:t>
      </w:r>
      <w:r>
        <w:rPr>
          <w:kern w:val="0"/>
        </w:rPr>
        <w:t>authors distilled</w:t>
      </w:r>
      <w:r w:rsidR="003A1917">
        <w:rPr>
          <w:kern w:val="0"/>
        </w:rPr>
        <w:t xml:space="preserve"> the </w:t>
      </w:r>
      <w:r>
        <w:rPr>
          <w:kern w:val="0"/>
        </w:rPr>
        <w:t>attributes</w:t>
      </w:r>
      <w:r w:rsidR="00427468">
        <w:rPr>
          <w:kern w:val="0"/>
        </w:rPr>
        <w:t xml:space="preserve"> of </w:t>
      </w:r>
      <w:r>
        <w:rPr>
          <w:kern w:val="0"/>
        </w:rPr>
        <w:t>a good mentor that were consistent across</w:t>
      </w:r>
      <w:r w:rsidR="003A1917">
        <w:rPr>
          <w:kern w:val="0"/>
        </w:rPr>
        <w:t xml:space="preserve"> the </w:t>
      </w:r>
      <w:r>
        <w:rPr>
          <w:kern w:val="0"/>
        </w:rPr>
        <w:t>20 papers that met inclusion criteria</w:t>
      </w:r>
      <w:r w:rsidR="005853A9">
        <w:rPr>
          <w:kern w:val="0"/>
        </w:rPr>
        <w:t xml:space="preserve"> and </w:t>
      </w:r>
      <w:r>
        <w:rPr>
          <w:kern w:val="0"/>
        </w:rPr>
        <w:t>described good mentoring</w:t>
      </w:r>
      <w:r w:rsidR="00427468">
        <w:rPr>
          <w:kern w:val="0"/>
        </w:rPr>
        <w:t xml:space="preserve"> of </w:t>
      </w:r>
      <w:r>
        <w:rPr>
          <w:kern w:val="0"/>
        </w:rPr>
        <w:t>residents or curricula for training mentors or residents. Results</w:t>
      </w:r>
      <w:r w:rsidR="003A1917">
        <w:rPr>
          <w:kern w:val="0"/>
        </w:rPr>
        <w:t xml:space="preserve"> the </w:t>
      </w:r>
      <w:r>
        <w:rPr>
          <w:kern w:val="0"/>
        </w:rPr>
        <w:t>authors identified six interactional foundations that underlie</w:t>
      </w:r>
      <w:r w:rsidR="003A1917">
        <w:rPr>
          <w:kern w:val="0"/>
        </w:rPr>
        <w:t xml:space="preserve"> the </w:t>
      </w:r>
      <w:r>
        <w:rPr>
          <w:kern w:val="0"/>
        </w:rPr>
        <w:t>optimal mentoring relationship: emotional safety, support, protege-centeredness, informality, responsiveness,</w:t>
      </w:r>
      <w:r w:rsidR="005853A9">
        <w:rPr>
          <w:kern w:val="0"/>
        </w:rPr>
        <w:t xml:space="preserve"> and </w:t>
      </w:r>
      <w:r>
        <w:rPr>
          <w:kern w:val="0"/>
        </w:rPr>
        <w:t>respect</w:t>
      </w:r>
      <w:r w:rsidR="00A37C1D">
        <w:rPr>
          <w:kern w:val="0"/>
        </w:rPr>
        <w:t>. The</w:t>
      </w:r>
      <w:r>
        <w:rPr>
          <w:kern w:val="0"/>
        </w:rPr>
        <w:t>se foundations enable proteges to engage in four key developmental behaviors: exercising independence, reflecting, extrapolating,</w:t>
      </w:r>
      <w:r w:rsidR="005853A9">
        <w:rPr>
          <w:kern w:val="0"/>
        </w:rPr>
        <w:t xml:space="preserve"> and </w:t>
      </w:r>
      <w:r>
        <w:rPr>
          <w:kern w:val="0"/>
        </w:rPr>
        <w:t>synthesizing. Conclusions This model identifies mentoring practices that empower proteges to engage in developmental behaviors that will help them become</w:t>
      </w:r>
      <w:r w:rsidR="003A1917">
        <w:rPr>
          <w:kern w:val="0"/>
        </w:rPr>
        <w:t xml:space="preserve"> the </w:t>
      </w:r>
      <w:r>
        <w:rPr>
          <w:kern w:val="0"/>
        </w:rPr>
        <w:t>best physicians possible. Educators may use this model to develop training tools to teach attendings how to create an optimal mentoring environment. Researchers can use</w:t>
      </w:r>
      <w:r w:rsidR="003A1917">
        <w:rPr>
          <w:kern w:val="0"/>
        </w:rPr>
        <w:t xml:space="preserve"> the </w:t>
      </w:r>
      <w:r>
        <w:rPr>
          <w:kern w:val="0"/>
        </w:rPr>
        <w:t>model to help guide their future investigations</w:t>
      </w:r>
      <w:r w:rsidR="00427468">
        <w:rPr>
          <w:kern w:val="0"/>
        </w:rPr>
        <w:t xml:space="preserve"> of </w:t>
      </w:r>
      <w:r>
        <w:rPr>
          <w:kern w:val="0"/>
        </w:rPr>
        <w:t>mentoring in medicine.</w:t>
      </w:r>
    </w:p>
    <w:p w:rsidR="00265990" w:rsidRDefault="00265990" w:rsidP="00265990">
      <w:pPr>
        <w:pStyle w:val="a3"/>
        <w:rPr>
          <w:kern w:val="0"/>
        </w:rPr>
      </w:pPr>
      <w:r>
        <w:rPr>
          <w:kern w:val="0"/>
        </w:rPr>
        <w:t xml:space="preserve">Keywords: Academic Medicine, Authors, Core Competences, Development, Environment, Faculty, Google Scholar, Knowledge, Literature, Literature Review, Medical, Medicine, Model, Papers, Physicians, Researchers, Residents, Review, Safety, Science, Students, Supervision, Training, Training-Program, </w:t>
      </w:r>
      <w:r w:rsidR="00D5664A">
        <w:rPr>
          <w:kern w:val="0"/>
        </w:rPr>
        <w:t>Web</w:t>
      </w:r>
      <w:r w:rsidR="00427468">
        <w:rPr>
          <w:kern w:val="0"/>
        </w:rPr>
        <w:t xml:space="preserve"> of </w:t>
      </w:r>
      <w:r w:rsidR="00D5664A">
        <w:rPr>
          <w:kern w:val="0"/>
        </w:rPr>
        <w:t>Science</w:t>
      </w:r>
    </w:p>
    <w:p w:rsidR="00021E6B" w:rsidRDefault="00021E6B" w:rsidP="00021E6B">
      <w:pPr>
        <w:pStyle w:val="a3"/>
        <w:rPr>
          <w:kern w:val="0"/>
        </w:rPr>
      </w:pPr>
      <w:r>
        <w:rPr>
          <w:rFonts w:hint="eastAsia"/>
          <w:kern w:val="0"/>
        </w:rPr>
        <w:t xml:space="preserve">? </w:t>
      </w:r>
      <w:r>
        <w:rPr>
          <w:kern w:val="0"/>
        </w:rPr>
        <w:t>Wiggins, M.N. (2010), A meta-analysis</w:t>
      </w:r>
      <w:r w:rsidR="00427468">
        <w:rPr>
          <w:kern w:val="0"/>
        </w:rPr>
        <w:t xml:space="preserve"> of </w:t>
      </w:r>
      <w:r>
        <w:rPr>
          <w:kern w:val="0"/>
        </w:rPr>
        <w:t>studies</w:t>
      </w:r>
      <w:r w:rsidR="00427468">
        <w:rPr>
          <w:kern w:val="0"/>
        </w:rPr>
        <w:t xml:space="preserve"> of </w:t>
      </w:r>
      <w:r>
        <w:rPr>
          <w:kern w:val="0"/>
        </w:rPr>
        <w:t>publication misrepresentation by applicants to residency</w:t>
      </w:r>
      <w:r w:rsidR="005853A9">
        <w:rPr>
          <w:kern w:val="0"/>
        </w:rPr>
        <w:t xml:space="preserve"> and </w:t>
      </w:r>
      <w:r>
        <w:rPr>
          <w:kern w:val="0"/>
        </w:rPr>
        <w:t xml:space="preserve">fellowship programs. </w:t>
      </w:r>
      <w:r>
        <w:rPr>
          <w:i/>
          <w:iCs/>
          <w:kern w:val="0"/>
        </w:rPr>
        <w:t>Academic Medicine</w:t>
      </w:r>
      <w:r>
        <w:rPr>
          <w:kern w:val="0"/>
        </w:rPr>
        <w:t xml:space="preserve">, </w:t>
      </w:r>
      <w:r>
        <w:rPr>
          <w:b/>
          <w:bCs/>
          <w:kern w:val="0"/>
        </w:rPr>
        <w:t>85</w:t>
      </w:r>
      <w:r>
        <w:rPr>
          <w:kern w:val="0"/>
        </w:rPr>
        <w:t xml:space="preserve"> (9), 1470-1474.</w:t>
      </w:r>
    </w:p>
    <w:p w:rsidR="00021E6B" w:rsidRPr="00F219CA" w:rsidRDefault="00021E6B" w:rsidP="00021E6B">
      <w:pPr>
        <w:pStyle w:val="a3"/>
      </w:pPr>
      <w:r w:rsidRPr="00F219CA">
        <w:t xml:space="preserve">Full Text: </w:t>
      </w:r>
      <w:hyperlink r:id="rId39" w:history="1">
        <w:r w:rsidRPr="00D447C7">
          <w:rPr>
            <w:rStyle w:val="a5"/>
          </w:rPr>
          <w:t>2010\Aca Med85, 1470.pdf</w:t>
        </w:r>
      </w:hyperlink>
    </w:p>
    <w:p w:rsidR="00021E6B" w:rsidRDefault="00021E6B" w:rsidP="00021E6B">
      <w:pPr>
        <w:pStyle w:val="a3"/>
        <w:rPr>
          <w:kern w:val="0"/>
        </w:rPr>
      </w:pPr>
      <w:r>
        <w:rPr>
          <w:kern w:val="0"/>
        </w:rPr>
        <w:t>Abstract: Purpose Many studies from various fields</w:t>
      </w:r>
      <w:r w:rsidR="00427468">
        <w:rPr>
          <w:kern w:val="0"/>
        </w:rPr>
        <w:t xml:space="preserve"> of </w:t>
      </w:r>
      <w:r>
        <w:rPr>
          <w:kern w:val="0"/>
        </w:rPr>
        <w:t>medicine about</w:t>
      </w:r>
      <w:r w:rsidR="003A1917">
        <w:rPr>
          <w:kern w:val="0"/>
        </w:rPr>
        <w:t xml:space="preserve"> the </w:t>
      </w:r>
      <w:r>
        <w:rPr>
          <w:kern w:val="0"/>
        </w:rPr>
        <w:t>accuracy</w:t>
      </w:r>
      <w:r w:rsidR="00427468">
        <w:rPr>
          <w:kern w:val="0"/>
        </w:rPr>
        <w:t xml:space="preserve"> of </w:t>
      </w:r>
      <w:r>
        <w:rPr>
          <w:kern w:val="0"/>
        </w:rPr>
        <w:t>residency</w:t>
      </w:r>
      <w:r w:rsidR="005853A9">
        <w:rPr>
          <w:kern w:val="0"/>
        </w:rPr>
        <w:t xml:space="preserve"> and </w:t>
      </w:r>
      <w:r>
        <w:rPr>
          <w:kern w:val="0"/>
        </w:rPr>
        <w:t>fellowship applications have reported disturbing percentages</w:t>
      </w:r>
      <w:r w:rsidR="00427468">
        <w:rPr>
          <w:kern w:val="0"/>
        </w:rPr>
        <w:t xml:space="preserve"> of </w:t>
      </w:r>
      <w:r>
        <w:rPr>
          <w:kern w:val="0"/>
        </w:rPr>
        <w:t>candidates with publication misrepresentation on their applications. However, other similar studies have found much lower percentages. No evaluation</w:t>
      </w:r>
      <w:r w:rsidR="00427468">
        <w:rPr>
          <w:kern w:val="0"/>
        </w:rPr>
        <w:t xml:space="preserve"> of </w:t>
      </w:r>
      <w:r>
        <w:rPr>
          <w:kern w:val="0"/>
        </w:rPr>
        <w:t>these types</w:t>
      </w:r>
      <w:r w:rsidR="00427468">
        <w:rPr>
          <w:kern w:val="0"/>
        </w:rPr>
        <w:t xml:space="preserve"> of </w:t>
      </w:r>
      <w:r>
        <w:rPr>
          <w:kern w:val="0"/>
        </w:rPr>
        <w:t>studies is currently available to explain this disparity</w:t>
      </w:r>
      <w:r w:rsidR="00A37C1D">
        <w:rPr>
          <w:kern w:val="0"/>
        </w:rPr>
        <w:t>. The</w:t>
      </w:r>
      <w:r>
        <w:rPr>
          <w:kern w:val="0"/>
        </w:rPr>
        <w:t>refore, this study evaluated</w:t>
      </w:r>
      <w:r w:rsidR="003A1917">
        <w:rPr>
          <w:kern w:val="0"/>
        </w:rPr>
        <w:t xml:space="preserve"> the </w:t>
      </w:r>
      <w:r>
        <w:rPr>
          <w:kern w:val="0"/>
        </w:rPr>
        <w:t>wide range</w:t>
      </w:r>
      <w:r w:rsidR="00427468">
        <w:rPr>
          <w:kern w:val="0"/>
        </w:rPr>
        <w:t xml:space="preserve"> of </w:t>
      </w:r>
      <w:r>
        <w:rPr>
          <w:kern w:val="0"/>
        </w:rPr>
        <w:t>percentages</w:t>
      </w:r>
      <w:r w:rsidR="00427468">
        <w:rPr>
          <w:kern w:val="0"/>
        </w:rPr>
        <w:t xml:space="preserve"> of </w:t>
      </w:r>
      <w:r>
        <w:rPr>
          <w:kern w:val="0"/>
        </w:rPr>
        <w:t>applicants with publication misrepresentation reported in</w:t>
      </w:r>
      <w:r w:rsidR="003A1917">
        <w:rPr>
          <w:kern w:val="0"/>
        </w:rPr>
        <w:t xml:space="preserve"> the </w:t>
      </w:r>
      <w:r>
        <w:rPr>
          <w:kern w:val="0"/>
        </w:rPr>
        <w:t>literature. Method Studies</w:t>
      </w:r>
      <w:r w:rsidR="00427468">
        <w:rPr>
          <w:kern w:val="0"/>
        </w:rPr>
        <w:t xml:space="preserve"> of </w:t>
      </w:r>
      <w:r>
        <w:rPr>
          <w:kern w:val="0"/>
        </w:rPr>
        <w:t>residency</w:t>
      </w:r>
      <w:r w:rsidR="005853A9">
        <w:rPr>
          <w:kern w:val="0"/>
        </w:rPr>
        <w:t xml:space="preserve"> and </w:t>
      </w:r>
      <w:r>
        <w:rPr>
          <w:kern w:val="0"/>
        </w:rPr>
        <w:t>fellowship applicant misrepresentation were identified</w:t>
      </w:r>
      <w:r w:rsidR="005853A9">
        <w:rPr>
          <w:kern w:val="0"/>
        </w:rPr>
        <w:t xml:space="preserve"> and </w:t>
      </w:r>
      <w:r>
        <w:rPr>
          <w:kern w:val="0"/>
        </w:rPr>
        <w:t>reviewed. Using uniform inclusion criteria,</w:t>
      </w:r>
      <w:r w:rsidR="003A1917">
        <w:rPr>
          <w:kern w:val="0"/>
        </w:rPr>
        <w:t xml:space="preserve"> the </w:t>
      </w:r>
      <w:r>
        <w:rPr>
          <w:kern w:val="0"/>
        </w:rPr>
        <w:t>data reported by each study were recalculated to determine</w:t>
      </w:r>
      <w:r w:rsidR="003A1917">
        <w:rPr>
          <w:kern w:val="0"/>
        </w:rPr>
        <w:t xml:space="preserve"> the </w:t>
      </w:r>
      <w:r>
        <w:rPr>
          <w:kern w:val="0"/>
        </w:rPr>
        <w:t>percentage</w:t>
      </w:r>
      <w:r w:rsidR="00427468">
        <w:rPr>
          <w:kern w:val="0"/>
        </w:rPr>
        <w:t xml:space="preserve"> of </w:t>
      </w:r>
      <w:r>
        <w:rPr>
          <w:kern w:val="0"/>
        </w:rPr>
        <w:t>candidates with misrepresentation. Results Thirteen out</w:t>
      </w:r>
      <w:r w:rsidR="00427468">
        <w:rPr>
          <w:kern w:val="0"/>
        </w:rPr>
        <w:t xml:space="preserve"> of </w:t>
      </w:r>
      <w:r>
        <w:rPr>
          <w:kern w:val="0"/>
        </w:rPr>
        <w:t>18 studies (eight residency</w:t>
      </w:r>
      <w:r w:rsidR="005853A9">
        <w:rPr>
          <w:kern w:val="0"/>
        </w:rPr>
        <w:t xml:space="preserve"> and </w:t>
      </w:r>
      <w:r>
        <w:rPr>
          <w:kern w:val="0"/>
        </w:rPr>
        <w:t>five fellowship) found in</w:t>
      </w:r>
      <w:r w:rsidR="003A1917">
        <w:rPr>
          <w:kern w:val="0"/>
        </w:rPr>
        <w:t xml:space="preserve"> the </w:t>
      </w:r>
      <w:r>
        <w:rPr>
          <w:kern w:val="0"/>
        </w:rPr>
        <w:t>literature from 1995 to 2008 reported sufficient details to perform a recalculation</w:t>
      </w:r>
      <w:r w:rsidR="00A37C1D">
        <w:rPr>
          <w:kern w:val="0"/>
        </w:rPr>
        <w:t>. The</w:t>
      </w:r>
      <w:r w:rsidR="003A1917">
        <w:rPr>
          <w:kern w:val="0"/>
        </w:rPr>
        <w:t xml:space="preserve"> </w:t>
      </w:r>
      <w:r>
        <w:rPr>
          <w:kern w:val="0"/>
        </w:rPr>
        <w:t>most common type</w:t>
      </w:r>
      <w:r w:rsidR="00427468">
        <w:rPr>
          <w:kern w:val="0"/>
        </w:rPr>
        <w:t xml:space="preserve"> of </w:t>
      </w:r>
      <w:r>
        <w:rPr>
          <w:kern w:val="0"/>
        </w:rPr>
        <w:t>misrepresentation reported was listing nonexistent articles, followed by errors in authorship order</w:t>
      </w:r>
      <w:r w:rsidR="005853A9">
        <w:rPr>
          <w:kern w:val="0"/>
        </w:rPr>
        <w:t xml:space="preserve"> and </w:t>
      </w:r>
      <w:r>
        <w:rPr>
          <w:kern w:val="0"/>
        </w:rPr>
        <w:lastRenderedPageBreak/>
        <w:t>nonauthorship. After recalculation,</w:t>
      </w:r>
      <w:r w:rsidR="003A1917">
        <w:rPr>
          <w:kern w:val="0"/>
        </w:rPr>
        <w:t xml:space="preserve"> the </w:t>
      </w:r>
      <w:r>
        <w:rPr>
          <w:kern w:val="0"/>
        </w:rPr>
        <w:t>mean percentage</w:t>
      </w:r>
      <w:r w:rsidR="00427468">
        <w:rPr>
          <w:kern w:val="0"/>
        </w:rPr>
        <w:t xml:space="preserve"> of </w:t>
      </w:r>
      <w:r>
        <w:rPr>
          <w:kern w:val="0"/>
        </w:rPr>
        <w:t>candidates with misrepresentation per applicant pool decreased significantly (7.2% to 4.9%, P = .03048). No study characteristic, such as sample size, was found to be predictive</w:t>
      </w:r>
      <w:r w:rsidR="00427468">
        <w:rPr>
          <w:kern w:val="0"/>
        </w:rPr>
        <w:t xml:space="preserve"> of </w:t>
      </w:r>
      <w:r w:rsidR="003A1917">
        <w:rPr>
          <w:kern w:val="0"/>
        </w:rPr>
        <w:t xml:space="preserve">the </w:t>
      </w:r>
      <w:r>
        <w:rPr>
          <w:kern w:val="0"/>
        </w:rPr>
        <w:t>percentage</w:t>
      </w:r>
      <w:r w:rsidR="00427468">
        <w:rPr>
          <w:kern w:val="0"/>
        </w:rPr>
        <w:t xml:space="preserve"> of </w:t>
      </w:r>
      <w:r>
        <w:rPr>
          <w:kern w:val="0"/>
        </w:rPr>
        <w:t>applicants with misrepresentation. No difference was found in</w:t>
      </w:r>
      <w:r w:rsidR="003A1917">
        <w:rPr>
          <w:kern w:val="0"/>
        </w:rPr>
        <w:t xml:space="preserve"> the </w:t>
      </w:r>
      <w:r>
        <w:rPr>
          <w:kern w:val="0"/>
        </w:rPr>
        <w:t>percentage</w:t>
      </w:r>
      <w:r w:rsidR="00427468">
        <w:rPr>
          <w:kern w:val="0"/>
        </w:rPr>
        <w:t xml:space="preserve"> of </w:t>
      </w:r>
      <w:r>
        <w:rPr>
          <w:kern w:val="0"/>
        </w:rPr>
        <w:t>applicants with misrepresentation in residency versus fellowship programs. Conclusions</w:t>
      </w:r>
      <w:r w:rsidR="003A1917">
        <w:rPr>
          <w:kern w:val="0"/>
        </w:rPr>
        <w:t xml:space="preserve"> the </w:t>
      </w:r>
      <w:r>
        <w:rPr>
          <w:kern w:val="0"/>
        </w:rPr>
        <w:t>variance in study results</w:t>
      </w:r>
      <w:r w:rsidR="00427468">
        <w:rPr>
          <w:kern w:val="0"/>
        </w:rPr>
        <w:t xml:space="preserve"> of </w:t>
      </w:r>
      <w:r>
        <w:rPr>
          <w:kern w:val="0"/>
        </w:rPr>
        <w:t>misrepresentation decreases when uniform inclusion criteria are applied. Caution must be used in directly comparing</w:t>
      </w:r>
      <w:r w:rsidR="003A1917">
        <w:rPr>
          <w:kern w:val="0"/>
        </w:rPr>
        <w:t xml:space="preserve"> the </w:t>
      </w:r>
      <w:r>
        <w:rPr>
          <w:kern w:val="0"/>
        </w:rPr>
        <w:t>results</w:t>
      </w:r>
      <w:r w:rsidR="00427468">
        <w:rPr>
          <w:kern w:val="0"/>
        </w:rPr>
        <w:t xml:space="preserve"> of </w:t>
      </w:r>
      <w:r>
        <w:rPr>
          <w:kern w:val="0"/>
        </w:rPr>
        <w:t>these studies as originally reported. Program directors should be aware that self-promotion in</w:t>
      </w:r>
      <w:r w:rsidR="003A1917">
        <w:rPr>
          <w:kern w:val="0"/>
        </w:rPr>
        <w:t xml:space="preserve"> the </w:t>
      </w:r>
      <w:r>
        <w:rPr>
          <w:kern w:val="0"/>
        </w:rPr>
        <w:t>authorship list is a common form</w:t>
      </w:r>
      <w:r w:rsidR="00427468">
        <w:rPr>
          <w:kern w:val="0"/>
        </w:rPr>
        <w:t xml:space="preserve"> of </w:t>
      </w:r>
      <w:r>
        <w:rPr>
          <w:kern w:val="0"/>
        </w:rPr>
        <w:t>misrepresentation.</w:t>
      </w:r>
    </w:p>
    <w:p w:rsidR="00021E6B" w:rsidRDefault="00021E6B" w:rsidP="00021E6B">
      <w:pPr>
        <w:pStyle w:val="a3"/>
        <w:rPr>
          <w:kern w:val="0"/>
        </w:rPr>
      </w:pPr>
      <w:r>
        <w:rPr>
          <w:kern w:val="0"/>
        </w:rPr>
        <w:t>Keywords: Accuracy, Authorship, Disparity, Evaluation, Literature, Medicine, Meta-Analysis, Publication, Residency</w:t>
      </w:r>
    </w:p>
    <w:p w:rsidR="00265990" w:rsidRDefault="00265990" w:rsidP="00265990">
      <w:pPr>
        <w:pStyle w:val="a3"/>
        <w:rPr>
          <w:kern w:val="0"/>
        </w:rPr>
      </w:pPr>
      <w:r>
        <w:rPr>
          <w:rFonts w:hint="eastAsia"/>
          <w:kern w:val="0"/>
        </w:rPr>
        <w:t xml:space="preserve">? </w:t>
      </w:r>
      <w:r>
        <w:rPr>
          <w:kern w:val="0"/>
        </w:rPr>
        <w:t>Buchanan, I.M.</w:t>
      </w:r>
      <w:r w:rsidR="005853A9">
        <w:rPr>
          <w:kern w:val="0"/>
        </w:rPr>
        <w:t xml:space="preserve"> and </w:t>
      </w:r>
      <w:r>
        <w:rPr>
          <w:kern w:val="0"/>
        </w:rPr>
        <w:t>Besdine, R.W. (2011), A systematic review</w:t>
      </w:r>
      <w:r w:rsidR="00427468">
        <w:rPr>
          <w:kern w:val="0"/>
        </w:rPr>
        <w:t xml:space="preserve"> of </w:t>
      </w:r>
      <w:r>
        <w:rPr>
          <w:kern w:val="0"/>
        </w:rPr>
        <w:t>curricular interventions teaching transitional care to physicians-in-training</w:t>
      </w:r>
      <w:r w:rsidR="005853A9">
        <w:rPr>
          <w:kern w:val="0"/>
        </w:rPr>
        <w:t xml:space="preserve"> and </w:t>
      </w:r>
      <w:r>
        <w:rPr>
          <w:kern w:val="0"/>
        </w:rPr>
        <w:t xml:space="preserve">physicians. </w:t>
      </w:r>
      <w:r>
        <w:rPr>
          <w:i/>
          <w:iCs/>
          <w:kern w:val="0"/>
        </w:rPr>
        <w:t>Academic Medicine</w:t>
      </w:r>
      <w:r>
        <w:rPr>
          <w:kern w:val="0"/>
        </w:rPr>
        <w:t xml:space="preserve">, </w:t>
      </w:r>
      <w:r>
        <w:rPr>
          <w:b/>
          <w:bCs/>
          <w:kern w:val="0"/>
        </w:rPr>
        <w:t>86</w:t>
      </w:r>
      <w:r>
        <w:rPr>
          <w:kern w:val="0"/>
        </w:rPr>
        <w:t xml:space="preserve"> (5), 628-639.</w:t>
      </w:r>
    </w:p>
    <w:p w:rsidR="00265990" w:rsidRPr="00F219CA" w:rsidRDefault="00265990" w:rsidP="00265990">
      <w:pPr>
        <w:pStyle w:val="a3"/>
      </w:pPr>
      <w:r w:rsidRPr="00F219CA">
        <w:t xml:space="preserve">Full Text: </w:t>
      </w:r>
      <w:hyperlink r:id="rId40" w:history="1">
        <w:r w:rsidR="00E25DE0" w:rsidRPr="00E25DE0">
          <w:rPr>
            <w:rStyle w:val="a5"/>
          </w:rPr>
          <w:t>2011\Aca Med86, 628.pdf</w:t>
        </w:r>
      </w:hyperlink>
    </w:p>
    <w:p w:rsidR="00265990" w:rsidRDefault="00265990" w:rsidP="00265990">
      <w:pPr>
        <w:pStyle w:val="a3"/>
        <w:rPr>
          <w:kern w:val="0"/>
        </w:rPr>
      </w:pPr>
      <w:r>
        <w:rPr>
          <w:kern w:val="0"/>
        </w:rPr>
        <w:t>Abstract: Purpose To systematically review</w:t>
      </w:r>
      <w:r w:rsidR="005853A9">
        <w:rPr>
          <w:kern w:val="0"/>
        </w:rPr>
        <w:t xml:space="preserve"> and </w:t>
      </w:r>
      <w:r>
        <w:rPr>
          <w:kern w:val="0"/>
        </w:rPr>
        <w:t>describe published interventions about teaching continuity</w:t>
      </w:r>
      <w:r w:rsidR="00434900">
        <w:rPr>
          <w:kern w:val="0"/>
        </w:rPr>
        <w:t>-of-</w:t>
      </w:r>
      <w:r>
        <w:rPr>
          <w:kern w:val="0"/>
        </w:rPr>
        <w:t>care best practices, embodied by transitional care, to physician-trainees</w:t>
      </w:r>
      <w:r w:rsidR="005853A9">
        <w:rPr>
          <w:kern w:val="0"/>
        </w:rPr>
        <w:t xml:space="preserve"> and </w:t>
      </w:r>
      <w:r>
        <w:rPr>
          <w:kern w:val="0"/>
        </w:rPr>
        <w:t>physicians. Method</w:t>
      </w:r>
      <w:r w:rsidR="003A1917">
        <w:rPr>
          <w:kern w:val="0"/>
        </w:rPr>
        <w:t xml:space="preserve"> the </w:t>
      </w:r>
      <w:r>
        <w:rPr>
          <w:kern w:val="0"/>
        </w:rPr>
        <w:t>authors performed a systematic review</w:t>
      </w:r>
      <w:r w:rsidR="00427468">
        <w:rPr>
          <w:kern w:val="0"/>
        </w:rPr>
        <w:t xml:space="preserve"> of </w:t>
      </w:r>
      <w:r>
        <w:rPr>
          <w:kern w:val="0"/>
        </w:rPr>
        <w:t xml:space="preserve">interventions indexed in </w:t>
      </w:r>
      <w:r w:rsidR="002C12F0">
        <w:rPr>
          <w:kern w:val="0"/>
        </w:rPr>
        <w:t>PUBMED</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Educational Resources Information Center, professional society Web sites, education databases,</w:t>
      </w:r>
      <w:r w:rsidR="005853A9">
        <w:rPr>
          <w:kern w:val="0"/>
        </w:rPr>
        <w:t xml:space="preserve"> and </w:t>
      </w:r>
      <w:r>
        <w:rPr>
          <w:kern w:val="0"/>
        </w:rPr>
        <w:t>hand-selected references. English-language articles published between 1973</w:t>
      </w:r>
      <w:r w:rsidR="005853A9">
        <w:rPr>
          <w:kern w:val="0"/>
        </w:rPr>
        <w:t xml:space="preserve"> and </w:t>
      </w:r>
      <w:r>
        <w:rPr>
          <w:kern w:val="0"/>
        </w:rPr>
        <w:t>2010 that demonstrated purposeful, directed education</w:t>
      </w:r>
      <w:r w:rsidR="00427468">
        <w:rPr>
          <w:kern w:val="0"/>
        </w:rPr>
        <w:t xml:space="preserve"> of </w:t>
      </w:r>
      <w:r>
        <w:rPr>
          <w:kern w:val="0"/>
        </w:rPr>
        <w:t>physician-trainees</w:t>
      </w:r>
      <w:r w:rsidR="005853A9">
        <w:rPr>
          <w:kern w:val="0"/>
        </w:rPr>
        <w:t xml:space="preserve"> and </w:t>
      </w:r>
      <w:r>
        <w:rPr>
          <w:kern w:val="0"/>
        </w:rPr>
        <w:t>physicians on topics consistent with</w:t>
      </w:r>
      <w:r w:rsidR="003A1917">
        <w:rPr>
          <w:kern w:val="0"/>
        </w:rPr>
        <w:t xml:space="preserve"> the </w:t>
      </w:r>
      <w:r>
        <w:rPr>
          <w:kern w:val="0"/>
        </w:rPr>
        <w:t>contemporary definition</w:t>
      </w:r>
      <w:r w:rsidR="00427468">
        <w:rPr>
          <w:kern w:val="0"/>
        </w:rPr>
        <w:t xml:space="preserve"> of </w:t>
      </w:r>
      <w:r>
        <w:rPr>
          <w:kern w:val="0"/>
        </w:rPr>
        <w:t>transitional care were included. Abstracted data included intended audience, duration/intensity, objectives, resources used, learner assessment,</w:t>
      </w:r>
      <w:r w:rsidR="005853A9">
        <w:rPr>
          <w:kern w:val="0"/>
        </w:rPr>
        <w:t xml:space="preserve"> and </w:t>
      </w:r>
      <w:r>
        <w:rPr>
          <w:kern w:val="0"/>
        </w:rPr>
        <w:t>curricular evaluation method. Results A dramatic increase in</w:t>
      </w:r>
      <w:r w:rsidR="003A1917">
        <w:rPr>
          <w:kern w:val="0"/>
        </w:rPr>
        <w:t xml:space="preserve"> the </w:t>
      </w:r>
      <w:r>
        <w:rPr>
          <w:kern w:val="0"/>
        </w:rPr>
        <w:t>number</w:t>
      </w:r>
      <w:r w:rsidR="00427468">
        <w:rPr>
          <w:kern w:val="0"/>
        </w:rPr>
        <w:t xml:space="preserve"> of </w:t>
      </w:r>
      <w:r>
        <w:rPr>
          <w:kern w:val="0"/>
        </w:rPr>
        <w:t>published interventions teaching transitional care was noted in</w:t>
      </w:r>
      <w:r w:rsidR="003A1917">
        <w:rPr>
          <w:kern w:val="0"/>
        </w:rPr>
        <w:t xml:space="preserve"> the </w:t>
      </w:r>
      <w:r>
        <w:rPr>
          <w:kern w:val="0"/>
        </w:rPr>
        <w:t>last 10 years. Learners included preclinical medical students through attending physicians</w:t>
      </w:r>
      <w:r w:rsidR="005853A9">
        <w:rPr>
          <w:kern w:val="0"/>
        </w:rPr>
        <w:t xml:space="preserve"> and </w:t>
      </w:r>
      <w:r>
        <w:rPr>
          <w:kern w:val="0"/>
        </w:rPr>
        <w:t>also included allied health professionals. Brief, self-limited interactions in large groups were</w:t>
      </w:r>
      <w:r w:rsidR="003A1917">
        <w:rPr>
          <w:kern w:val="0"/>
        </w:rPr>
        <w:t xml:space="preserve"> the </w:t>
      </w:r>
      <w:r>
        <w:rPr>
          <w:kern w:val="0"/>
        </w:rPr>
        <w:t>most frequent mode</w:t>
      </w:r>
      <w:r w:rsidR="00427468">
        <w:rPr>
          <w:kern w:val="0"/>
        </w:rPr>
        <w:t xml:space="preserve"> of </w:t>
      </w:r>
      <w:r>
        <w:rPr>
          <w:kern w:val="0"/>
        </w:rPr>
        <w:t>interaction. A wide array</w:t>
      </w:r>
      <w:r w:rsidR="00427468">
        <w:rPr>
          <w:kern w:val="0"/>
        </w:rPr>
        <w:t xml:space="preserve"> of </w:t>
      </w:r>
      <w:r>
        <w:rPr>
          <w:kern w:val="0"/>
        </w:rPr>
        <w:t>objectives</w:t>
      </w:r>
      <w:r w:rsidR="005853A9">
        <w:rPr>
          <w:kern w:val="0"/>
        </w:rPr>
        <w:t xml:space="preserve"> and </w:t>
      </w:r>
      <w:r>
        <w:rPr>
          <w:kern w:val="0"/>
        </w:rPr>
        <w:t>resources used were represented. Most interventions provided a method for assessing knowledge acquisition by</w:t>
      </w:r>
      <w:r w:rsidR="003A1917">
        <w:rPr>
          <w:kern w:val="0"/>
        </w:rPr>
        <w:t xml:space="preserve"> the </w:t>
      </w:r>
      <w:r>
        <w:rPr>
          <w:kern w:val="0"/>
        </w:rPr>
        <w:t>learner; however, few interventions provided a mechanism for eliciting feedback from learners. Conclusions Proficiency in providing transitional care is an essential skill for medical practitioners. Historically, there have been few curricular interventions teaching this topic; however, recently a dramatic increase in</w:t>
      </w:r>
      <w:r w:rsidR="003A1917">
        <w:rPr>
          <w:kern w:val="0"/>
        </w:rPr>
        <w:t xml:space="preserve"> the </w:t>
      </w:r>
      <w:r>
        <w:rPr>
          <w:kern w:val="0"/>
        </w:rPr>
        <w:t>number</w:t>
      </w:r>
      <w:r w:rsidR="00427468">
        <w:rPr>
          <w:kern w:val="0"/>
        </w:rPr>
        <w:t xml:space="preserve"> of </w:t>
      </w:r>
      <w:r>
        <w:rPr>
          <w:kern w:val="0"/>
        </w:rPr>
        <w:t>interventions has occurred. A diverse range</w:t>
      </w:r>
      <w:r w:rsidR="00427468">
        <w:rPr>
          <w:kern w:val="0"/>
        </w:rPr>
        <w:t xml:space="preserve"> of </w:t>
      </w:r>
      <w:r>
        <w:rPr>
          <w:kern w:val="0"/>
        </w:rPr>
        <w:t>learners, modes</w:t>
      </w:r>
      <w:r w:rsidR="00427468">
        <w:rPr>
          <w:kern w:val="0"/>
        </w:rPr>
        <w:t xml:space="preserve"> of </w:t>
      </w:r>
      <w:r>
        <w:rPr>
          <w:kern w:val="0"/>
        </w:rPr>
        <w:t>delivery,</w:t>
      </w:r>
      <w:r w:rsidR="005853A9">
        <w:rPr>
          <w:kern w:val="0"/>
        </w:rPr>
        <w:t xml:space="preserve"> and </w:t>
      </w:r>
      <w:r>
        <w:rPr>
          <w:kern w:val="0"/>
        </w:rPr>
        <w:t>intended objectives are represented. In establishing a pooled description</w:t>
      </w:r>
      <w:r w:rsidR="00427468">
        <w:rPr>
          <w:kern w:val="0"/>
        </w:rPr>
        <w:t xml:space="preserve"> of </w:t>
      </w:r>
      <w:r>
        <w:rPr>
          <w:kern w:val="0"/>
        </w:rPr>
        <w:t>published interventions, this review provides a comprehensive</w:t>
      </w:r>
      <w:r w:rsidR="005853A9">
        <w:rPr>
          <w:kern w:val="0"/>
        </w:rPr>
        <w:t xml:space="preserve"> and </w:t>
      </w:r>
      <w:r>
        <w:rPr>
          <w:kern w:val="0"/>
        </w:rPr>
        <w:t xml:space="preserve">novel resource for educators </w:t>
      </w:r>
      <w:r>
        <w:rPr>
          <w:kern w:val="0"/>
        </w:rPr>
        <w:lastRenderedPageBreak/>
        <w:t>charged with designing curricula for all medical professionals.</w:t>
      </w:r>
    </w:p>
    <w:p w:rsidR="00265990" w:rsidRDefault="00265990" w:rsidP="00265990">
      <w:pPr>
        <w:pStyle w:val="a3"/>
        <w:rPr>
          <w:kern w:val="0"/>
        </w:rPr>
      </w:pPr>
      <w:r>
        <w:rPr>
          <w:kern w:val="0"/>
        </w:rPr>
        <w:t>Keywords: Assessment, Authors, Care, Databases, Education, Elders, Evaluation, Feedback, Follow</w:t>
      </w:r>
      <w:r w:rsidR="0062028A">
        <w:rPr>
          <w:kern w:val="0"/>
        </w:rPr>
        <w:t>-up,</w:t>
      </w:r>
      <w:r>
        <w:rPr>
          <w:kern w:val="0"/>
        </w:rPr>
        <w:t xml:space="preserve"> Handovers, Hospital Discharge, Interventions</w:t>
      </w:r>
      <w:r w:rsidR="00D5664A">
        <w:rPr>
          <w:kern w:val="0"/>
        </w:rPr>
        <w:t>, ISI,</w:t>
      </w:r>
      <w:r>
        <w:rPr>
          <w:kern w:val="0"/>
        </w:rPr>
        <w:t xml:space="preserve"> Knowledge, Mechanism, Medical, Older-Adults, Patterns, Physicians, Professional, Program, </w:t>
      </w:r>
      <w:r w:rsidR="002C12F0">
        <w:rPr>
          <w:kern w:val="0"/>
        </w:rPr>
        <w:t>PUBMED</w:t>
      </w:r>
      <w:r>
        <w:rPr>
          <w:kern w:val="0"/>
        </w:rPr>
        <w:t xml:space="preserve">, Review, Science, Settings, Students, Systematic, Systematic Review, Topics, Trial, </w:t>
      </w:r>
      <w:r w:rsidR="00D5664A">
        <w:rPr>
          <w:kern w:val="0"/>
        </w:rPr>
        <w:t>Web</w:t>
      </w:r>
      <w:r w:rsidR="00427468">
        <w:rPr>
          <w:kern w:val="0"/>
        </w:rPr>
        <w:t xml:space="preserve"> of </w:t>
      </w:r>
      <w:r w:rsidR="00D5664A">
        <w:rPr>
          <w:kern w:val="0"/>
        </w:rPr>
        <w:t>Science</w:t>
      </w:r>
    </w:p>
    <w:p w:rsidR="00061447" w:rsidRDefault="00061447" w:rsidP="00061447">
      <w:pPr>
        <w:pStyle w:val="a3"/>
        <w:rPr>
          <w:kern w:val="0"/>
        </w:rPr>
      </w:pPr>
      <w:r>
        <w:rPr>
          <w:rFonts w:hint="eastAsia"/>
          <w:kern w:val="0"/>
        </w:rPr>
        <w:t xml:space="preserve">? </w:t>
      </w:r>
      <w:r>
        <w:rPr>
          <w:kern w:val="0"/>
        </w:rPr>
        <w:t>Sampson, M., Horsley, T.</w:t>
      </w:r>
      <w:r w:rsidR="005853A9">
        <w:rPr>
          <w:kern w:val="0"/>
        </w:rPr>
        <w:t xml:space="preserve"> and </w:t>
      </w:r>
      <w:r>
        <w:rPr>
          <w:kern w:val="0"/>
        </w:rPr>
        <w:t>Doja, A. (2013), A bibliometric analysis</w:t>
      </w:r>
      <w:r w:rsidR="00427468">
        <w:rPr>
          <w:kern w:val="0"/>
        </w:rPr>
        <w:t xml:space="preserve"> of </w:t>
      </w:r>
      <w:r>
        <w:rPr>
          <w:kern w:val="0"/>
        </w:rPr>
        <w:t>evaluative medical education studies: Characteristics</w:t>
      </w:r>
      <w:r w:rsidR="005853A9">
        <w:rPr>
          <w:kern w:val="0"/>
        </w:rPr>
        <w:t xml:space="preserve"> and </w:t>
      </w:r>
      <w:r>
        <w:rPr>
          <w:kern w:val="0"/>
        </w:rPr>
        <w:t xml:space="preserve">indexing accuracy. </w:t>
      </w:r>
      <w:r>
        <w:rPr>
          <w:i/>
          <w:iCs/>
          <w:kern w:val="0"/>
        </w:rPr>
        <w:t>Academic Medicine</w:t>
      </w:r>
      <w:r>
        <w:rPr>
          <w:kern w:val="0"/>
        </w:rPr>
        <w:t xml:space="preserve">, </w:t>
      </w:r>
      <w:r>
        <w:rPr>
          <w:b/>
          <w:bCs/>
          <w:kern w:val="0"/>
        </w:rPr>
        <w:t>88</w:t>
      </w:r>
      <w:r>
        <w:rPr>
          <w:kern w:val="0"/>
        </w:rPr>
        <w:t xml:space="preserve"> (3), 421-427.</w:t>
      </w:r>
    </w:p>
    <w:p w:rsidR="00061447" w:rsidRPr="00F219CA" w:rsidRDefault="00061447" w:rsidP="00061447">
      <w:pPr>
        <w:pStyle w:val="a3"/>
      </w:pPr>
      <w:r w:rsidRPr="00F219CA">
        <w:t xml:space="preserve">Full Text: </w:t>
      </w:r>
      <w:hyperlink r:id="rId41" w:history="1">
        <w:r w:rsidRPr="00061447">
          <w:rPr>
            <w:rStyle w:val="a5"/>
          </w:rPr>
          <w:t>2013\Aca Med88, 421.pdf</w:t>
        </w:r>
      </w:hyperlink>
    </w:p>
    <w:p w:rsidR="00061447" w:rsidRDefault="00061447" w:rsidP="00061447">
      <w:pPr>
        <w:pStyle w:val="a3"/>
        <w:rPr>
          <w:kern w:val="0"/>
        </w:rPr>
      </w:pPr>
      <w:r>
        <w:rPr>
          <w:kern w:val="0"/>
        </w:rPr>
        <w:t>Abstract: Purpose To determine the characteristics</w:t>
      </w:r>
      <w:r w:rsidR="00427468">
        <w:rPr>
          <w:kern w:val="0"/>
        </w:rPr>
        <w:t xml:space="preserve"> of </w:t>
      </w:r>
      <w:r>
        <w:rPr>
          <w:kern w:val="0"/>
        </w:rPr>
        <w:t>medical education studies published in general</w:t>
      </w:r>
      <w:r w:rsidR="005853A9">
        <w:rPr>
          <w:kern w:val="0"/>
        </w:rPr>
        <w:t xml:space="preserve"> and </w:t>
      </w:r>
      <w:r>
        <w:rPr>
          <w:kern w:val="0"/>
        </w:rPr>
        <w:t>internal medicine (GIM)</w:t>
      </w:r>
      <w:r w:rsidR="005853A9">
        <w:rPr>
          <w:kern w:val="0"/>
        </w:rPr>
        <w:t xml:space="preserve"> and </w:t>
      </w:r>
      <w:r>
        <w:rPr>
          <w:kern w:val="0"/>
        </w:rPr>
        <w:t>medical education journals,</w:t>
      </w:r>
      <w:r w:rsidR="005853A9">
        <w:rPr>
          <w:kern w:val="0"/>
        </w:rPr>
        <w:t xml:space="preserve"> and </w:t>
      </w:r>
      <w:r>
        <w:rPr>
          <w:kern w:val="0"/>
        </w:rPr>
        <w:t>to analyze the accuracy</w:t>
      </w:r>
      <w:r w:rsidR="00427468">
        <w:rPr>
          <w:kern w:val="0"/>
        </w:rPr>
        <w:t xml:space="preserve"> of </w:t>
      </w:r>
      <w:r>
        <w:rPr>
          <w:kern w:val="0"/>
        </w:rPr>
        <w:t>their indexing. Method The authors identified the five GIM</w:t>
      </w:r>
      <w:r w:rsidR="005853A9">
        <w:rPr>
          <w:kern w:val="0"/>
        </w:rPr>
        <w:t xml:space="preserve"> and </w:t>
      </w:r>
      <w:r>
        <w:rPr>
          <w:kern w:val="0"/>
        </w:rPr>
        <w:t xml:space="preserve">five medical education journals that published the most articles indexed in </w:t>
      </w:r>
      <w:r w:rsidR="00D5664A">
        <w:rPr>
          <w:kern w:val="0"/>
        </w:rPr>
        <w:t>MEDLINE</w:t>
      </w:r>
      <w:r>
        <w:rPr>
          <w:kern w:val="0"/>
        </w:rPr>
        <w:t xml:space="preserve"> as medical education during January 2001 to January 2010</w:t>
      </w:r>
      <w:r w:rsidR="00A37C1D">
        <w:rPr>
          <w:kern w:val="0"/>
        </w:rPr>
        <w:t>. The</w:t>
      </w:r>
      <w:r>
        <w:rPr>
          <w:kern w:val="0"/>
        </w:rPr>
        <w:t xml:space="preserve">y searched Ovid </w:t>
      </w:r>
      <w:r w:rsidR="00D5664A">
        <w:rPr>
          <w:kern w:val="0"/>
        </w:rPr>
        <w:t>MEDLINE</w:t>
      </w:r>
      <w:r>
        <w:rPr>
          <w:kern w:val="0"/>
        </w:rPr>
        <w:t xml:space="preserve"> for evaluative medical education studies published in these journals during this period</w:t>
      </w:r>
      <w:r w:rsidR="005853A9">
        <w:rPr>
          <w:kern w:val="0"/>
        </w:rPr>
        <w:t xml:space="preserve"> and </w:t>
      </w:r>
      <w:r>
        <w:rPr>
          <w:kern w:val="0"/>
        </w:rPr>
        <w:t xml:space="preserve">classified them as quantitative or qualitative studies according to </w:t>
      </w:r>
      <w:r w:rsidR="00D5664A">
        <w:rPr>
          <w:kern w:val="0"/>
        </w:rPr>
        <w:t>MEDLINE</w:t>
      </w:r>
      <w:r>
        <w:rPr>
          <w:kern w:val="0"/>
        </w:rPr>
        <w:t xml:space="preserve"> indexing</w:t>
      </w:r>
      <w:r w:rsidR="00A37C1D">
        <w:rPr>
          <w:kern w:val="0"/>
        </w:rPr>
        <w:t>. The</w:t>
      </w:r>
      <w:r>
        <w:rPr>
          <w:kern w:val="0"/>
        </w:rPr>
        <w:t>y also examined themes</w:t>
      </w:r>
      <w:r w:rsidR="005853A9">
        <w:rPr>
          <w:kern w:val="0"/>
        </w:rPr>
        <w:t xml:space="preserve"> and </w:t>
      </w:r>
      <w:r>
        <w:rPr>
          <w:kern w:val="0"/>
        </w:rPr>
        <w:t>learner levels targeted. Using a random sample</w:t>
      </w:r>
      <w:r w:rsidR="00427468">
        <w:rPr>
          <w:kern w:val="0"/>
        </w:rPr>
        <w:t xml:space="preserve"> of </w:t>
      </w:r>
      <w:r>
        <w:rPr>
          <w:kern w:val="0"/>
        </w:rPr>
        <w:t>records, they assessed the accuracy</w:t>
      </w:r>
      <w:r w:rsidR="00427468">
        <w:rPr>
          <w:kern w:val="0"/>
        </w:rPr>
        <w:t xml:space="preserve"> of </w:t>
      </w:r>
      <w:r>
        <w:rPr>
          <w:kern w:val="0"/>
        </w:rPr>
        <w:t>study-type indexing. Results</w:t>
      </w:r>
      <w:r w:rsidR="00427468">
        <w:rPr>
          <w:kern w:val="0"/>
        </w:rPr>
        <w:t xml:space="preserve"> of </w:t>
      </w:r>
      <w:r>
        <w:rPr>
          <w:kern w:val="0"/>
        </w:rPr>
        <w:t>4,418 records retrieved, 3,853 (87.2%) were from medical education journals</w:t>
      </w:r>
      <w:r w:rsidR="005853A9">
        <w:rPr>
          <w:kern w:val="0"/>
        </w:rPr>
        <w:t xml:space="preserve"> and </w:t>
      </w:r>
      <w:r>
        <w:rPr>
          <w:kern w:val="0"/>
        </w:rPr>
        <w:t>565 (12.3%) were from GIM journals. Qualitative studies</w:t>
      </w:r>
      <w:r w:rsidR="005853A9">
        <w:rPr>
          <w:kern w:val="0"/>
        </w:rPr>
        <w:t xml:space="preserve"> and </w:t>
      </w:r>
      <w:r>
        <w:rPr>
          <w:kern w:val="0"/>
        </w:rPr>
        <w:t>program evaluations were more prevalent within medical education journals, whereas GIM journals published a higher proportion</w:t>
      </w:r>
      <w:r w:rsidR="00427468">
        <w:rPr>
          <w:kern w:val="0"/>
        </w:rPr>
        <w:t xml:space="preserve"> of </w:t>
      </w:r>
      <w:r>
        <w:rPr>
          <w:kern w:val="0"/>
        </w:rPr>
        <w:t>clinical trials</w:t>
      </w:r>
      <w:r w:rsidR="005853A9">
        <w:rPr>
          <w:kern w:val="0"/>
        </w:rPr>
        <w:t xml:space="preserve"> and </w:t>
      </w:r>
      <w:r>
        <w:rPr>
          <w:kern w:val="0"/>
        </w:rPr>
        <w:t>systematic reviews (chi(2) = 74.28, df = 3, P&lt;.001). Medical education journals had a concentration</w:t>
      </w:r>
      <w:r w:rsidR="00427468">
        <w:rPr>
          <w:kern w:val="0"/>
        </w:rPr>
        <w:t xml:space="preserve"> of </w:t>
      </w:r>
      <w:r>
        <w:rPr>
          <w:kern w:val="0"/>
        </w:rPr>
        <w:t>studies targeting medical students, whereas GIM journals had a concentration targeting residents; themes were similar</w:t>
      </w:r>
      <w:r w:rsidR="00A37C1D">
        <w:rPr>
          <w:kern w:val="0"/>
        </w:rPr>
        <w:t>. The</w:t>
      </w:r>
      <w:r>
        <w:rPr>
          <w:kern w:val="0"/>
        </w:rPr>
        <w:t xml:space="preserve"> authors confirmed that 170 (56.7%)</w:t>
      </w:r>
      <w:r w:rsidR="00427468">
        <w:rPr>
          <w:kern w:val="0"/>
        </w:rPr>
        <w:t xml:space="preserve"> of </w:t>
      </w:r>
      <w:r>
        <w:rPr>
          <w:kern w:val="0"/>
        </w:rPr>
        <w:t xml:space="preserve">the 300 sampled articles were correctly classified in </w:t>
      </w:r>
      <w:r w:rsidR="00D5664A">
        <w:rPr>
          <w:kern w:val="0"/>
        </w:rPr>
        <w:t>MEDLINE</w:t>
      </w:r>
      <w:r>
        <w:rPr>
          <w:kern w:val="0"/>
        </w:rPr>
        <w:t xml:space="preserve"> as evaluative studies. Conclusions The majority</w:t>
      </w:r>
      <w:r w:rsidR="00427468">
        <w:rPr>
          <w:kern w:val="0"/>
        </w:rPr>
        <w:t xml:space="preserve"> of </w:t>
      </w:r>
      <w:r>
        <w:rPr>
          <w:kern w:val="0"/>
        </w:rPr>
        <w:t>the identified evaluative studies were published in medical education journals, confirming the integrity</w:t>
      </w:r>
      <w:r w:rsidR="00427468">
        <w:rPr>
          <w:kern w:val="0"/>
        </w:rPr>
        <w:t xml:space="preserve"> of </w:t>
      </w:r>
      <w:r>
        <w:rPr>
          <w:kern w:val="0"/>
        </w:rPr>
        <w:t>medical education as a specialty. Findings concerning the study types published in medical education versus GIM journals are important for medical education researchers who seek to publish outside the field</w:t>
      </w:r>
      <w:r w:rsidR="00700038">
        <w:rPr>
          <w:kern w:val="0"/>
        </w:rPr>
        <w:t>’</w:t>
      </w:r>
      <w:r>
        <w:rPr>
          <w:kern w:val="0"/>
        </w:rPr>
        <w:t>s specialty journals.</w:t>
      </w:r>
    </w:p>
    <w:p w:rsidR="00061447" w:rsidRDefault="00061447" w:rsidP="00061447">
      <w:pPr>
        <w:pStyle w:val="a3"/>
        <w:rPr>
          <w:kern w:val="0"/>
        </w:rPr>
      </w:pPr>
      <w:r>
        <w:rPr>
          <w:kern w:val="0"/>
        </w:rPr>
        <w:t xml:space="preserve">Keywords: Accuracy, Authors, Bibliometric, Bibliometric Analysis, Characteristics, Citation Patterns, Clinical, Clinical Trials, Concentration, Education, General, Health, Indexing, Internal Medicine, Journals, Mar, Medical, Medical Education, Medical Students, Medicine, </w:t>
      </w:r>
      <w:r w:rsidR="00D5664A">
        <w:rPr>
          <w:kern w:val="0"/>
        </w:rPr>
        <w:t>MEDLINE</w:t>
      </w:r>
      <w:r>
        <w:rPr>
          <w:kern w:val="0"/>
        </w:rPr>
        <w:t>, Qualitative, Random Sample, Records, Results, Reviews, Specialty, Students, Systematic Reviews, Targeting</w:t>
      </w:r>
    </w:p>
    <w:p w:rsidR="005B0549" w:rsidRDefault="005B0549" w:rsidP="005B0549">
      <w:pPr>
        <w:pStyle w:val="a3"/>
        <w:rPr>
          <w:kern w:val="0"/>
        </w:rPr>
      </w:pPr>
      <w:r>
        <w:rPr>
          <w:rFonts w:hint="eastAsia"/>
          <w:kern w:val="0"/>
        </w:rPr>
        <w:t xml:space="preserve">? </w:t>
      </w:r>
      <w:r>
        <w:rPr>
          <w:kern w:val="0"/>
        </w:rPr>
        <w:t>Orom, H., Semalulu, T.</w:t>
      </w:r>
      <w:r w:rsidR="005853A9">
        <w:rPr>
          <w:kern w:val="0"/>
        </w:rPr>
        <w:t xml:space="preserve"> and </w:t>
      </w:r>
      <w:r>
        <w:rPr>
          <w:kern w:val="0"/>
        </w:rPr>
        <w:t>Underwood, W. (2013), The social</w:t>
      </w:r>
      <w:r w:rsidR="005853A9">
        <w:rPr>
          <w:kern w:val="0"/>
        </w:rPr>
        <w:t xml:space="preserve"> and </w:t>
      </w:r>
      <w:r>
        <w:rPr>
          <w:kern w:val="0"/>
        </w:rPr>
        <w:t xml:space="preserve">learning environments experienced by underrepresented minority medical students: A </w:t>
      </w:r>
      <w:r>
        <w:rPr>
          <w:kern w:val="0"/>
        </w:rPr>
        <w:lastRenderedPageBreak/>
        <w:t xml:space="preserve">narrative review. </w:t>
      </w:r>
      <w:r>
        <w:rPr>
          <w:i/>
          <w:iCs/>
          <w:kern w:val="0"/>
        </w:rPr>
        <w:t>Academic Medicine</w:t>
      </w:r>
      <w:r>
        <w:rPr>
          <w:kern w:val="0"/>
        </w:rPr>
        <w:t xml:space="preserve">, </w:t>
      </w:r>
      <w:r>
        <w:rPr>
          <w:b/>
          <w:bCs/>
          <w:kern w:val="0"/>
        </w:rPr>
        <w:t>88</w:t>
      </w:r>
      <w:r>
        <w:rPr>
          <w:kern w:val="0"/>
        </w:rPr>
        <w:t xml:space="preserve"> (11), 1765-1777.</w:t>
      </w:r>
    </w:p>
    <w:p w:rsidR="005B0549" w:rsidRPr="00F219CA" w:rsidRDefault="005B0549" w:rsidP="005B0549">
      <w:pPr>
        <w:pStyle w:val="a3"/>
      </w:pPr>
      <w:r w:rsidRPr="00F219CA">
        <w:t xml:space="preserve">Full Text: </w:t>
      </w:r>
      <w:hyperlink r:id="rId42" w:history="1">
        <w:r w:rsidRPr="0099354F">
          <w:rPr>
            <w:rStyle w:val="a5"/>
          </w:rPr>
          <w:t>2013\Aca Med88, 1765.pdf</w:t>
        </w:r>
      </w:hyperlink>
    </w:p>
    <w:p w:rsidR="005B0549" w:rsidRDefault="005B0549" w:rsidP="005B0549">
      <w:pPr>
        <w:pStyle w:val="a3"/>
        <w:rPr>
          <w:kern w:val="0"/>
        </w:rPr>
      </w:pPr>
      <w:r>
        <w:rPr>
          <w:kern w:val="0"/>
        </w:rPr>
        <w:t>Abstract: Purpose To review the literature on the social</w:t>
      </w:r>
      <w:r w:rsidR="005853A9">
        <w:rPr>
          <w:kern w:val="0"/>
        </w:rPr>
        <w:t xml:space="preserve"> and </w:t>
      </w:r>
      <w:r>
        <w:rPr>
          <w:kern w:val="0"/>
        </w:rPr>
        <w:t>learning environments experienced by underrepresented minority (URM) medical students to determine what type</w:t>
      </w:r>
      <w:r w:rsidR="00427468">
        <w:rPr>
          <w:kern w:val="0"/>
        </w:rPr>
        <w:t xml:space="preserve"> of </w:t>
      </w:r>
      <w:r>
        <w:rPr>
          <w:kern w:val="0"/>
        </w:rPr>
        <w:t>interventions are needed to eliminate potential barriers to enrolling</w:t>
      </w:r>
      <w:r w:rsidR="005853A9">
        <w:rPr>
          <w:kern w:val="0"/>
        </w:rPr>
        <w:t xml:space="preserve"> and </w:t>
      </w:r>
      <w:r>
        <w:rPr>
          <w:kern w:val="0"/>
        </w:rPr>
        <w:t>retaining URM students. Method The authors searched MEDLINE, PubMed, Ovid HealthStar,</w:t>
      </w:r>
      <w:r w:rsidR="005853A9">
        <w:rPr>
          <w:kern w:val="0"/>
        </w:rPr>
        <w:t xml:space="preserve"> and </w:t>
      </w:r>
      <w:r>
        <w:rPr>
          <w:kern w:val="0"/>
        </w:rPr>
        <w:t>Web</w:t>
      </w:r>
      <w:r w:rsidR="00427468">
        <w:rPr>
          <w:kern w:val="0"/>
        </w:rPr>
        <w:t xml:space="preserve"> of </w:t>
      </w:r>
      <w:r>
        <w:rPr>
          <w:kern w:val="0"/>
        </w:rPr>
        <w:t>Science,</w:t>
      </w:r>
      <w:r w:rsidR="005853A9">
        <w:rPr>
          <w:kern w:val="0"/>
        </w:rPr>
        <w:t xml:space="preserve"> and </w:t>
      </w:r>
      <w:r>
        <w:rPr>
          <w:kern w:val="0"/>
        </w:rPr>
        <w:t>the reference lists</w:t>
      </w:r>
      <w:r w:rsidR="00427468">
        <w:rPr>
          <w:kern w:val="0"/>
        </w:rPr>
        <w:t xml:space="preserve"> of </w:t>
      </w:r>
      <w:r>
        <w:rPr>
          <w:kern w:val="0"/>
        </w:rPr>
        <w:t>included studies, published between January 1, 1980,</w:t>
      </w:r>
      <w:r w:rsidR="005853A9">
        <w:rPr>
          <w:kern w:val="0"/>
        </w:rPr>
        <w:t xml:space="preserve"> and </w:t>
      </w:r>
      <w:r>
        <w:rPr>
          <w:kern w:val="0"/>
        </w:rPr>
        <w:t>September 15, 2012. Studies</w:t>
      </w:r>
      <w:r w:rsidR="00427468">
        <w:rPr>
          <w:kern w:val="0"/>
        </w:rPr>
        <w:t xml:space="preserve"> of </w:t>
      </w:r>
      <w:r>
        <w:rPr>
          <w:kern w:val="0"/>
        </w:rPr>
        <w:t>the learning</w:t>
      </w:r>
      <w:r w:rsidR="005853A9">
        <w:rPr>
          <w:kern w:val="0"/>
        </w:rPr>
        <w:t xml:space="preserve"> and </w:t>
      </w:r>
      <w:r>
        <w:rPr>
          <w:kern w:val="0"/>
        </w:rPr>
        <w:t>social environments</w:t>
      </w:r>
      <w:r w:rsidR="005853A9">
        <w:rPr>
          <w:kern w:val="0"/>
        </w:rPr>
        <w:t xml:space="preserve"> and</w:t>
      </w:r>
      <w:r w:rsidR="00427468">
        <w:rPr>
          <w:kern w:val="0"/>
        </w:rPr>
        <w:t xml:space="preserve"> of </w:t>
      </w:r>
      <w:r>
        <w:rPr>
          <w:kern w:val="0"/>
        </w:rPr>
        <w:t>students</w:t>
      </w:r>
      <w:r w:rsidR="00700038">
        <w:rPr>
          <w:kern w:val="0"/>
        </w:rPr>
        <w:t>’</w:t>
      </w:r>
      <w:r>
        <w:rPr>
          <w:kern w:val="0"/>
        </w:rPr>
        <w:t xml:space="preserve"> satisfaction, experiences with discrimination or unfair practices,</w:t>
      </w:r>
      <w:r w:rsidR="005853A9">
        <w:rPr>
          <w:kern w:val="0"/>
        </w:rPr>
        <w:t xml:space="preserve"> and </w:t>
      </w:r>
      <w:r>
        <w:rPr>
          <w:kern w:val="0"/>
        </w:rPr>
        <w:t>academic performance or progress, as well as assessments</w:t>
      </w:r>
      <w:r w:rsidR="00427468">
        <w:rPr>
          <w:kern w:val="0"/>
        </w:rPr>
        <w:t xml:space="preserve"> of </w:t>
      </w:r>
      <w:r>
        <w:rPr>
          <w:kern w:val="0"/>
        </w:rPr>
        <w:t>programs or interventions to improve URM students</w:t>
      </w:r>
      <w:r w:rsidR="00700038">
        <w:rPr>
          <w:kern w:val="0"/>
        </w:rPr>
        <w:t>’</w:t>
      </w:r>
      <w:r>
        <w:rPr>
          <w:kern w:val="0"/>
        </w:rPr>
        <w:t xml:space="preserve"> academic performance, were eligible for inclusion. Results The authors identified 28 studies (27 unique data sets) meeting the inclusion criteria</w:t>
      </w:r>
      <w:r w:rsidR="00A37C1D">
        <w:rPr>
          <w:kern w:val="0"/>
        </w:rPr>
        <w:t>. The</w:t>
      </w:r>
      <w:r>
        <w:rPr>
          <w:kern w:val="0"/>
        </w:rPr>
        <w:t xml:space="preserve"> results</w:t>
      </w:r>
      <w:r w:rsidR="00427468">
        <w:rPr>
          <w:kern w:val="0"/>
        </w:rPr>
        <w:t xml:space="preserve"> of </w:t>
      </w:r>
      <w:r>
        <w:rPr>
          <w:kern w:val="0"/>
        </w:rPr>
        <w:t>the included studies indicated that URM students experienced less supportive social</w:t>
      </w:r>
      <w:r w:rsidR="005853A9">
        <w:rPr>
          <w:kern w:val="0"/>
        </w:rPr>
        <w:t xml:space="preserve"> and </w:t>
      </w:r>
      <w:r>
        <w:rPr>
          <w:kern w:val="0"/>
        </w:rPr>
        <w:t>less positive learning environments, were subjected to discrimination</w:t>
      </w:r>
      <w:r w:rsidR="005853A9">
        <w:rPr>
          <w:kern w:val="0"/>
        </w:rPr>
        <w:t xml:space="preserve"> and </w:t>
      </w:r>
      <w:r>
        <w:rPr>
          <w:kern w:val="0"/>
        </w:rPr>
        <w:t>racial harassment,</w:t>
      </w:r>
      <w:r w:rsidR="005853A9">
        <w:rPr>
          <w:kern w:val="0"/>
        </w:rPr>
        <w:t xml:space="preserve"> and </w:t>
      </w:r>
      <w:r>
        <w:rPr>
          <w:kern w:val="0"/>
        </w:rPr>
        <w:t>were more likely to see their race as having a negative impact on their medical school experiences than non-URM students. Academic performance on standardized exams was worse, progress less timely,</w:t>
      </w:r>
      <w:r w:rsidR="005853A9">
        <w:rPr>
          <w:kern w:val="0"/>
        </w:rPr>
        <w:t xml:space="preserve"> and </w:t>
      </w:r>
      <w:r>
        <w:rPr>
          <w:kern w:val="0"/>
        </w:rPr>
        <w:t>attrition higher for URM students as well. Conclusions For URM students, an adverse climate may be decreasing the attractiveness</w:t>
      </w:r>
      <w:r w:rsidR="00427468">
        <w:rPr>
          <w:kern w:val="0"/>
        </w:rPr>
        <w:t xml:space="preserve"> of </w:t>
      </w:r>
      <w:r>
        <w:rPr>
          <w:kern w:val="0"/>
        </w:rPr>
        <w:t>careers in medicine, impairing their academic performance,</w:t>
      </w:r>
      <w:r w:rsidR="005853A9">
        <w:rPr>
          <w:kern w:val="0"/>
        </w:rPr>
        <w:t xml:space="preserve"> and </w:t>
      </w:r>
      <w:r>
        <w:rPr>
          <w:kern w:val="0"/>
        </w:rPr>
        <w:t>increasing attrition. Improvements to the social</w:t>
      </w:r>
      <w:r w:rsidR="005853A9">
        <w:rPr>
          <w:kern w:val="0"/>
        </w:rPr>
        <w:t xml:space="preserve"> and </w:t>
      </w:r>
      <w:r>
        <w:rPr>
          <w:kern w:val="0"/>
        </w:rPr>
        <w:t>learning environments experienced by URM students are needed to make medicine a more inclusive profession</w:t>
      </w:r>
      <w:r w:rsidR="00A37C1D">
        <w:rPr>
          <w:kern w:val="0"/>
        </w:rPr>
        <w:t>. The</w:t>
      </w:r>
      <w:r>
        <w:rPr>
          <w:kern w:val="0"/>
        </w:rPr>
        <w:t xml:space="preserve"> current environment</w:t>
      </w:r>
      <w:r w:rsidR="00427468">
        <w:rPr>
          <w:kern w:val="0"/>
        </w:rPr>
        <w:t xml:space="preserve"> of </w:t>
      </w:r>
      <w:r>
        <w:rPr>
          <w:kern w:val="0"/>
        </w:rPr>
        <w:t>health care reform creates an opportunity for institutions to implement strategies to achieve this goal.</w:t>
      </w:r>
    </w:p>
    <w:p w:rsidR="005B0549" w:rsidRDefault="005B0549" w:rsidP="005B0549">
      <w:pPr>
        <w:pStyle w:val="a3"/>
        <w:rPr>
          <w:kern w:val="0"/>
        </w:rPr>
      </w:pPr>
      <w:r>
        <w:rPr>
          <w:kern w:val="0"/>
        </w:rPr>
        <w:t>Keywords: Academic, Assessments, Authors, Barriers, Care, Careers, Climate, Criteria, Data, Discrimination, Environment, Harassment, Health, Health Care, Health Care Reform, Impact, Institutions, Interventions, Learning, Literature, Medical, Medical Students, Medicine, Medline, Nov, Performance, Potential, Practices, Profession, Progress, Pubmed, Race, Reference, Reference Lists, Reform, Results, Review, Satisfaction, Science, Social, Students, Web</w:t>
      </w:r>
      <w:r w:rsidR="00427468">
        <w:rPr>
          <w:kern w:val="0"/>
        </w:rPr>
        <w:t xml:space="preserve"> of </w:t>
      </w:r>
      <w:r>
        <w:rPr>
          <w:kern w:val="0"/>
        </w:rPr>
        <w:t>Science</w:t>
      </w:r>
    </w:p>
    <w:p w:rsidR="003B6C33" w:rsidRDefault="003B6C33" w:rsidP="003B6C33">
      <w:pPr>
        <w:pStyle w:val="a3"/>
        <w:rPr>
          <w:kern w:val="0"/>
        </w:rPr>
      </w:pPr>
      <w:r>
        <w:rPr>
          <w:kern w:val="0"/>
        </w:rPr>
        <w:t xml:space="preserve">? O’Brien, B.C., Harris, I.B., Beckman, T.J., Reed, D.A. and Cook, D.A. (2014), Standards for reporting qualitative research: A synthesis of recommendations. </w:t>
      </w:r>
      <w:r>
        <w:rPr>
          <w:i/>
          <w:iCs/>
          <w:kern w:val="0"/>
        </w:rPr>
        <w:t>Academic Medicine</w:t>
      </w:r>
      <w:r>
        <w:rPr>
          <w:kern w:val="0"/>
        </w:rPr>
        <w:t xml:space="preserve">, </w:t>
      </w:r>
      <w:r>
        <w:rPr>
          <w:b/>
          <w:bCs/>
          <w:kern w:val="0"/>
        </w:rPr>
        <w:t>89</w:t>
      </w:r>
      <w:r>
        <w:rPr>
          <w:kern w:val="0"/>
        </w:rPr>
        <w:t xml:space="preserve"> (9), 1245-1251.</w:t>
      </w:r>
    </w:p>
    <w:p w:rsidR="003B6C33" w:rsidRDefault="003B6C33" w:rsidP="003B6C33">
      <w:pPr>
        <w:pStyle w:val="a3"/>
      </w:pPr>
      <w:r>
        <w:t xml:space="preserve">Full Text: </w:t>
      </w:r>
      <w:hyperlink r:id="rId43" w:history="1">
        <w:r w:rsidRPr="003B6C33">
          <w:rPr>
            <w:rStyle w:val="a5"/>
          </w:rPr>
          <w:t>2014\Aca Med89, 1245.pdf</w:t>
        </w:r>
      </w:hyperlink>
    </w:p>
    <w:p w:rsidR="003B6C33" w:rsidRPr="00545593" w:rsidRDefault="003B6C33" w:rsidP="003B6C33">
      <w:pPr>
        <w:pStyle w:val="a3"/>
        <w:rPr>
          <w:kern w:val="2"/>
        </w:rPr>
      </w:pPr>
      <w:r>
        <w:rPr>
          <w:kern w:val="0"/>
        </w:rPr>
        <w:t xml:space="preserve">Abstract: Purpose Standards for reporting exist for many types of quantitative research, but currently none exist for the broad spectrum of qualitative research. The purpose of the present study was to formulate and define standards for reporting qualitative research while preserving the requisite flexibility to accommodate various paradigms, approaches, and methods. Method The authors identified guidelines, reporting </w:t>
      </w:r>
      <w:r>
        <w:rPr>
          <w:kern w:val="0"/>
        </w:rPr>
        <w:lastRenderedPageBreak/>
        <w:t>standards, and critical appraisal criteria for qualitative research by searching PubMed, Web of Science, and Google through July 2013; reviewing the reference lists of retrieved sources; and contacting experts. Specifically, two authors reviewed a sample of sources to generate an initial set of items that were potentially important in reporting qualitative research. Through an iterative process of reviewing sources, modifying the set of items, and coding all sources for items, the authors prepared a near-final list of items and descriptions and sent this list to five external reviewers for feedback. The final items and descriptions included in the reporting standards reflect this feedback. Results The Standards for Reporting Qualitative Research (SRQR) consists of 21 items. The authors define and explain key elements of each item and provide examples from recently published articles to illustrate ways in which the standards can be met. Conclusions The SRQR aims to improve the transparency of all aspects of qualitative research by providing clear standards for reporting qualitative research. These standards will assist authors during manuscript preparation, editors and reviewers in evaluating a manuscript for potential publication, and readers when critically appraising, applying, and synthesizing study findings.</w:t>
      </w:r>
    </w:p>
    <w:p w:rsidR="003B6C33" w:rsidRDefault="003B6C33" w:rsidP="003B6C33">
      <w:pPr>
        <w:pStyle w:val="a3"/>
        <w:rPr>
          <w:kern w:val="0"/>
        </w:rPr>
      </w:pPr>
      <w:r>
        <w:rPr>
          <w:kern w:val="0"/>
        </w:rPr>
        <w:t>Keywords: Articles, Authors, Care, Coding, Criteria, Editors, Education, Experts, Flexibility, Google, Guidelines, Health-Services Research, Medical Literature, Methods, Paradigms, Perspective, Potential, Preparation, Publication, Published Articles, Pubmed, Purpose, Qualitative, Qualitative Research, Quantitative Research, Reference, Reference Lists, Reporting, Research, Research Articles, Results, Reviewers, Science, Sources, Standards, Statement, Synthesis, Transparency, Users Guides, Web Of Science</w:t>
      </w:r>
    </w:p>
    <w:p w:rsidR="003B6C33" w:rsidRDefault="003B6C33" w:rsidP="003B6C33">
      <w:pPr>
        <w:pStyle w:val="a3"/>
        <w:rPr>
          <w:kern w:val="0"/>
        </w:rPr>
      </w:pPr>
      <w:r>
        <w:rPr>
          <w:kern w:val="0"/>
        </w:rPr>
        <w:t xml:space="preserve">? Rosenman, E.D., Shandro, J.R., Ilgen, J.S., Harper, A.L. and Fernandez, R. (2014), Leadership training in health care action teams: A systematic review. </w:t>
      </w:r>
      <w:r>
        <w:rPr>
          <w:i/>
          <w:iCs/>
          <w:kern w:val="0"/>
        </w:rPr>
        <w:t>Academic Medicine</w:t>
      </w:r>
      <w:r>
        <w:rPr>
          <w:kern w:val="0"/>
        </w:rPr>
        <w:t xml:space="preserve">, </w:t>
      </w:r>
      <w:r>
        <w:rPr>
          <w:b/>
          <w:bCs/>
          <w:kern w:val="0"/>
        </w:rPr>
        <w:t>89</w:t>
      </w:r>
      <w:r>
        <w:rPr>
          <w:kern w:val="0"/>
        </w:rPr>
        <w:t xml:space="preserve"> (9), 1295-1306.</w:t>
      </w:r>
    </w:p>
    <w:p w:rsidR="003B6C33" w:rsidRDefault="003B6C33" w:rsidP="003B6C33">
      <w:pPr>
        <w:pStyle w:val="a3"/>
        <w:rPr>
          <w:kern w:val="2"/>
        </w:rPr>
      </w:pPr>
      <w:r>
        <w:t xml:space="preserve">Full Text: </w:t>
      </w:r>
      <w:hyperlink r:id="rId44" w:history="1">
        <w:r>
          <w:rPr>
            <w:rStyle w:val="a5"/>
          </w:rPr>
          <w:t>2014\Aca Med89, 1295.pdf</w:t>
        </w:r>
      </w:hyperlink>
    </w:p>
    <w:p w:rsidR="003B6C33" w:rsidRDefault="003B6C33" w:rsidP="003B6C33">
      <w:pPr>
        <w:pStyle w:val="a3"/>
        <w:rPr>
          <w:kern w:val="0"/>
        </w:rPr>
      </w:pPr>
      <w:r>
        <w:rPr>
          <w:kern w:val="0"/>
        </w:rPr>
        <w:t xml:space="preserve">Abstract: Purpose To identify and describe the design, implementation, and evidence of effectiveness of leadership training interventions for health care action (HCA) teams, defined as interdisciplinary teams whose members coordinate their actions in time-pressured, unstable situations. Method The authors conducted a systematic search of the PubMed/MEDLINE, CINAHL, ERIC, EMBASE, PsycINFO, and Web of Science databases, key journals, and review articles published through March 2012. They identified peer-reviewed English-language articles describing leadership training interventions targeting HCA teams, at all levels of training and across all health care professions. Reviewers, working in duplicate, abstracted training characteristics and outcome data. Methodological quality was evaluated using the Medical Education Research Study Quality Instrument (MERSQI). Results Of the 52 </w:t>
      </w:r>
      <w:r>
        <w:rPr>
          <w:kern w:val="0"/>
        </w:rPr>
        <w:lastRenderedPageBreak/>
        <w:t>included studies, 5 (10%) focused primarily on leadership training, whereas the remainder included leadership training as part of a larger teamwork curriculum. Few studies reported using a team leadership model (2; 4%) or a theoretical framework (9; 17%) to support their curricular design. Only 15 studies (29%) specified the leadership behaviors targeted by training. Forty-five studies (87%) reported an assessment component; of those, 31 (69%) provided objective outcome measures including assessment of knowledge or skills (21; 47%), behavior change (8; 18%), and patient-or system-level metrics (8; 18%). The mean MERSQI score was 11.4 (SD 2.9). Conclusions Leadership training targeting HCA teams has become more prevalent. Determining best practices in leadership training is confounded by variability in leadership definitions, absence of supporting frameworks, and a paucity of robust assessments.</w:t>
      </w:r>
    </w:p>
    <w:p w:rsidR="003B6C33" w:rsidRDefault="003B6C33" w:rsidP="003B6C33">
      <w:pPr>
        <w:pStyle w:val="a3"/>
        <w:rPr>
          <w:kern w:val="0"/>
        </w:rPr>
      </w:pPr>
      <w:r>
        <w:rPr>
          <w:kern w:val="0"/>
        </w:rPr>
        <w:t>Keywords: Articles, Assessment, Assessments, Authors, Behavior, Behavior Change, Cardiopulmonary-Resuscitation, Care, Characteristics, Curriculum, Data, Databases, Design, Education, Effectiveness, Embase, Emergency-Medicine, Evidence, Framework, Health, Health Care, High-Fidelity Simulation, Implementation, Instrument, Interdisciplinary, Interventions, Journals, Knowledge, Leadership, Life-Support, Measures, Medical, Medical-Education Research, Methodological Quality, Metrics, Model, Operating-Room, Outcome, Outcome Measures, Patient Safety, Peer-Reviewed, Practices, Prisma Statement, Professions, Psycinfo, Quality, Randomized Controlled-Trial, Research, Results, Review, Reviewers, Science, Support, Systematic, Systematic Review, Targeting, Teamwork, Theoretical, Training, Trauma Teams, Variability, Web Of Science, Web Of Science Databases</w:t>
      </w:r>
    </w:p>
    <w:p w:rsidR="00CD7B0F" w:rsidRPr="00217FB1" w:rsidRDefault="00CD7B0F" w:rsidP="00CD7B0F">
      <w:pPr>
        <w:pStyle w:val="1"/>
      </w:pPr>
      <w:r>
        <w:br w:type="page"/>
      </w:r>
      <w:bookmarkStart w:id="21" w:name="_Toc420814232"/>
      <w:r>
        <w:lastRenderedPageBreak/>
        <w:t xml:space="preserve">Title: </w:t>
      </w:r>
      <w:r w:rsidRPr="00CD7B0F">
        <w:t>Academic Pediatrics</w:t>
      </w:r>
      <w:bookmarkEnd w:id="21"/>
    </w:p>
    <w:p w:rsidR="00CD7B0F" w:rsidRPr="00217FB1" w:rsidRDefault="00CD7B0F" w:rsidP="00CD7B0F">
      <w:pPr>
        <w:pStyle w:val="12"/>
      </w:pPr>
      <w:r w:rsidRPr="00217FB1">
        <w:t xml:space="preserve">Full Journal Title: </w:t>
      </w:r>
      <w:r w:rsidRPr="00CD7B0F">
        <w:rPr>
          <w:iCs/>
          <w:kern w:val="0"/>
        </w:rPr>
        <w:t>Academic Pediatrics</w:t>
      </w:r>
    </w:p>
    <w:p w:rsidR="00CD7B0F" w:rsidRPr="00217FB1" w:rsidRDefault="00CD7B0F" w:rsidP="00CD7B0F">
      <w:pPr>
        <w:pStyle w:val="12"/>
      </w:pPr>
      <w:r w:rsidRPr="00217FB1">
        <w:t xml:space="preserve">ISO Abbreviated Title: </w:t>
      </w:r>
    </w:p>
    <w:p w:rsidR="00CD7B0F" w:rsidRPr="00217FB1" w:rsidRDefault="00CD7B0F" w:rsidP="00CD7B0F">
      <w:pPr>
        <w:pStyle w:val="12"/>
      </w:pPr>
      <w:r w:rsidRPr="00217FB1">
        <w:t>JCR Abbreviated Title</w:t>
      </w:r>
      <w:r>
        <w:t>:</w:t>
      </w:r>
      <w:r w:rsidRPr="00217FB1">
        <w:t xml:space="preserve"> </w:t>
      </w:r>
    </w:p>
    <w:p w:rsidR="00CD7B0F" w:rsidRPr="00217FB1" w:rsidRDefault="00CD7B0F" w:rsidP="00CD7B0F">
      <w:pPr>
        <w:pStyle w:val="12"/>
      </w:pPr>
      <w:r>
        <w:t xml:space="preserve">ISSN: </w:t>
      </w:r>
    </w:p>
    <w:p w:rsidR="00CD7B0F" w:rsidRPr="00217FB1" w:rsidRDefault="00CD7B0F" w:rsidP="00CD7B0F">
      <w:pPr>
        <w:pStyle w:val="12"/>
      </w:pPr>
      <w:r w:rsidRPr="00217FB1">
        <w:t xml:space="preserve">Issues/Year: </w:t>
      </w:r>
    </w:p>
    <w:p w:rsidR="00CD7B0F" w:rsidRPr="00217FB1" w:rsidRDefault="00CD7B0F" w:rsidP="00CD7B0F">
      <w:pPr>
        <w:pStyle w:val="12"/>
      </w:pPr>
      <w:r>
        <w:t xml:space="preserve">Journal Country/Territory: </w:t>
      </w:r>
    </w:p>
    <w:p w:rsidR="00CD7B0F" w:rsidRPr="00217FB1" w:rsidRDefault="00CD7B0F" w:rsidP="00CD7B0F">
      <w:pPr>
        <w:pStyle w:val="12"/>
      </w:pPr>
      <w:r w:rsidRPr="00217FB1">
        <w:t xml:space="preserve">Language: </w:t>
      </w:r>
    </w:p>
    <w:p w:rsidR="00CD7B0F" w:rsidRPr="00217FB1" w:rsidRDefault="00CD7B0F" w:rsidP="00CD7B0F">
      <w:pPr>
        <w:pStyle w:val="12"/>
      </w:pPr>
      <w:r w:rsidRPr="00217FB1">
        <w:t xml:space="preserve">Publisher: </w:t>
      </w:r>
    </w:p>
    <w:p w:rsidR="00CD7B0F" w:rsidRPr="00217FB1" w:rsidRDefault="00CD7B0F" w:rsidP="00CD7B0F">
      <w:pPr>
        <w:pStyle w:val="12"/>
      </w:pPr>
      <w:r w:rsidRPr="00217FB1">
        <w:t xml:space="preserve">Publisher Address: </w:t>
      </w:r>
    </w:p>
    <w:p w:rsidR="00CD7B0F" w:rsidRPr="00217FB1" w:rsidRDefault="00CD7B0F" w:rsidP="00CD7B0F">
      <w:pPr>
        <w:pStyle w:val="12"/>
      </w:pPr>
      <w:r w:rsidRPr="00217FB1">
        <w:t>Subject Categories:</w:t>
      </w:r>
    </w:p>
    <w:p w:rsidR="00CD7B0F" w:rsidRPr="00217FB1" w:rsidRDefault="00CD7B0F" w:rsidP="00CD7B0F">
      <w:pPr>
        <w:pStyle w:val="12"/>
      </w:pPr>
      <w:r w:rsidRPr="00217FB1">
        <w:t xml:space="preserve">: Impact Factor </w:t>
      </w:r>
    </w:p>
    <w:p w:rsidR="00CD7B0F" w:rsidRDefault="00CD7B0F" w:rsidP="00CD7B0F">
      <w:pPr>
        <w:pStyle w:val="a3"/>
        <w:rPr>
          <w:kern w:val="0"/>
        </w:rPr>
      </w:pPr>
      <w:r>
        <w:rPr>
          <w:rFonts w:hint="eastAsia"/>
          <w:kern w:val="0"/>
        </w:rPr>
        <w:t xml:space="preserve">? </w:t>
      </w:r>
      <w:r>
        <w:rPr>
          <w:kern w:val="0"/>
        </w:rPr>
        <w:t xml:space="preserve">Pearson, N., Braithwaite, R. and Biddle, S.J.H. (2015), The effectiveness of interventions to increase physical activity among adolescent girls: A meta-analysis. </w:t>
      </w:r>
      <w:r w:rsidRPr="00CD7B0F">
        <w:rPr>
          <w:i/>
          <w:iCs/>
          <w:kern w:val="0"/>
        </w:rPr>
        <w:t>Academic Pediatrics</w:t>
      </w:r>
      <w:r>
        <w:rPr>
          <w:kern w:val="0"/>
        </w:rPr>
        <w:t xml:space="preserve">, </w:t>
      </w:r>
      <w:r>
        <w:rPr>
          <w:b/>
          <w:bCs/>
          <w:kern w:val="0"/>
        </w:rPr>
        <w:t>15</w:t>
      </w:r>
      <w:r>
        <w:rPr>
          <w:kern w:val="0"/>
        </w:rPr>
        <w:t xml:space="preserve"> (1), 9-18.</w:t>
      </w:r>
    </w:p>
    <w:p w:rsidR="00CD7B0F" w:rsidRDefault="00CD7B0F" w:rsidP="00CD7B0F">
      <w:pPr>
        <w:pStyle w:val="a3"/>
        <w:rPr>
          <w:kern w:val="0"/>
        </w:rPr>
      </w:pPr>
      <w:r>
        <w:rPr>
          <w:rFonts w:hint="eastAsia"/>
          <w:kern w:val="0"/>
        </w:rPr>
        <w:t xml:space="preserve">Full Text: </w:t>
      </w:r>
      <w:hyperlink r:id="rId45" w:history="1">
        <w:r w:rsidRPr="00CD7B0F">
          <w:rPr>
            <w:rStyle w:val="a5"/>
            <w:kern w:val="0"/>
          </w:rPr>
          <w:t>2015\Aca Ped15, 9.pdf</w:t>
        </w:r>
      </w:hyperlink>
    </w:p>
    <w:p w:rsidR="00CD7B0F" w:rsidRDefault="00CD7B0F" w:rsidP="00CD7B0F">
      <w:pPr>
        <w:pStyle w:val="a3"/>
        <w:rPr>
          <w:kern w:val="0"/>
        </w:rPr>
      </w:pPr>
      <w:r>
        <w:rPr>
          <w:kern w:val="0"/>
        </w:rPr>
        <w:t xml:space="preserve">Abstract: BACKGROUND: Research has shown that a clear decline in physical activity among girls starting in early adolescence. Therefore, adolescent girls have been identified as a key target population for physical activity behavior change. The quantification of intervention effectiveness for this group has not been previously reported in a meta-analysis, and this therefore was the objective of the current meta-analysis. STUDY SELECTION: Included were interventions in which the main component, or 1 of the components, was aimed at promoting physical activity through behavior change in any setting. Interventions had to include a non physical activity control group or comparison group, and include a quantitative outcome assessment of physical activity behavior in girls aged 12 to 18 years. DATA SOURCES: Science Direct, PubMed, PsychINFO, Web of Science, Cochrane Libraries, and EPPI Centre databases were searched up to and including May 2013. DATA EXTRACTION AND SYNTHESIS: Forty-five studies (k = 34 independent samples) were eligible from an initial 13,747 references. A random-effects meta-analysis was conducted. RESULTS: The average treatment effect for adolescent girls involved in physical activity interventions was significant but small (g = 0.350, 95% confidence interval 0.12, 0.58, P &lt; .001). Moderator analyses showed larger effects for interventions that were theory based, performed in schools, were girls only, with younger girls, used multicomponent strategies, and involved targeting both physical activity and sedentary behavior. CONCLUSIONS: Interventions to increase physical activity in adolescent girls show small but </w:t>
      </w:r>
      <w:r>
        <w:rPr>
          <w:kern w:val="0"/>
        </w:rPr>
        <w:lastRenderedPageBreak/>
        <w:t>significant effects, suggesting that behavior change may be challenging. Results suggest some approaches that appear to be successful.</w:t>
      </w:r>
    </w:p>
    <w:p w:rsidR="00CD7B0F" w:rsidRDefault="00CD7B0F" w:rsidP="00CD7B0F">
      <w:pPr>
        <w:pStyle w:val="a3"/>
        <w:rPr>
          <w:kern w:val="0"/>
        </w:rPr>
      </w:pPr>
      <w:r>
        <w:rPr>
          <w:kern w:val="0"/>
        </w:rPr>
        <w:t>Keywords: Activity, Activity Participation, Adolescence, Adolescent, Adolescent Girls, Aged, Analyses, Assessment, Background, Behavior, Behavior Change, Children, Comparison, Conclusions, Confidence, Control, Correlation-Coefficients, Databases, Effectiveness, Effects, Exercise, Extraction, Female, From, Girls, Health Behavior, Heart-Health-Program, Interval, Intervention, Intervention Studies, Interventions, Libraries, Meta Analysis, Meta-Analysis, Metaanalysis, Moderator, Motor Activity, Obesity, Obesity, Outcome, Outcome Assessment, Overweight, P, Physical, Physical Activity, Population, Publication Bias, Pubmed, Quantification, Randomized Controlled-Trial, References, Research, Results, School-Based Intervention, Science, Sedentary, Sedentary Behavior, Sedentary Lifestyle, Selection, Small, Targeting, Theory, Treatment, Web, Web Of Science, Youth</w:t>
      </w:r>
    </w:p>
    <w:p w:rsidR="003732BB" w:rsidRPr="00217FB1" w:rsidRDefault="003732BB" w:rsidP="003B6C33">
      <w:pPr>
        <w:pStyle w:val="1"/>
      </w:pPr>
      <w:r>
        <w:br w:type="page"/>
      </w:r>
      <w:bookmarkStart w:id="22" w:name="_Toc302123744"/>
      <w:bookmarkStart w:id="23" w:name="_Toc420814233"/>
      <w:r>
        <w:lastRenderedPageBreak/>
        <w:t xml:space="preserve">Title: </w:t>
      </w:r>
      <w:bookmarkEnd w:id="22"/>
      <w:r w:rsidRPr="008C414C">
        <w:t>Academic Psychiatry</w:t>
      </w:r>
      <w:bookmarkEnd w:id="23"/>
    </w:p>
    <w:p w:rsidR="003732BB" w:rsidRPr="00217FB1" w:rsidRDefault="003732BB" w:rsidP="003732BB">
      <w:pPr>
        <w:pStyle w:val="12"/>
      </w:pPr>
      <w:r w:rsidRPr="00217FB1">
        <w:t xml:space="preserve">Full Journal Title: </w:t>
      </w:r>
      <w:r w:rsidRPr="008C414C">
        <w:rPr>
          <w:iCs/>
          <w:kern w:val="0"/>
        </w:rPr>
        <w:t>Academic Psychiatry</w:t>
      </w:r>
    </w:p>
    <w:p w:rsidR="003732BB" w:rsidRPr="00217FB1" w:rsidRDefault="003732BB" w:rsidP="003732BB">
      <w:pPr>
        <w:pStyle w:val="12"/>
      </w:pPr>
      <w:r w:rsidRPr="00217FB1">
        <w:t xml:space="preserve">ISO Abbreviated Title: </w:t>
      </w:r>
    </w:p>
    <w:p w:rsidR="003732BB" w:rsidRPr="00217FB1" w:rsidRDefault="003732BB" w:rsidP="003732BB">
      <w:pPr>
        <w:pStyle w:val="12"/>
      </w:pPr>
      <w:r w:rsidRPr="00217FB1">
        <w:t>JCR Abbreviated Title</w:t>
      </w:r>
      <w:r>
        <w:t>:</w:t>
      </w:r>
      <w:r w:rsidRPr="00217FB1">
        <w:t xml:space="preserve"> </w:t>
      </w:r>
    </w:p>
    <w:p w:rsidR="003732BB" w:rsidRPr="00217FB1" w:rsidRDefault="003732BB" w:rsidP="003732BB">
      <w:pPr>
        <w:pStyle w:val="12"/>
      </w:pPr>
      <w:r>
        <w:t xml:space="preserve">ISSN: </w:t>
      </w:r>
    </w:p>
    <w:p w:rsidR="003732BB" w:rsidRPr="00217FB1" w:rsidRDefault="003732BB" w:rsidP="003732BB">
      <w:pPr>
        <w:pStyle w:val="12"/>
      </w:pPr>
      <w:r w:rsidRPr="00217FB1">
        <w:t xml:space="preserve">Issues/Year: </w:t>
      </w:r>
    </w:p>
    <w:p w:rsidR="003732BB" w:rsidRPr="00217FB1" w:rsidRDefault="003732BB" w:rsidP="003732BB">
      <w:pPr>
        <w:pStyle w:val="12"/>
      </w:pPr>
      <w:r>
        <w:t xml:space="preserve">Journal Country/Territory: </w:t>
      </w:r>
    </w:p>
    <w:p w:rsidR="003732BB" w:rsidRPr="00217FB1" w:rsidRDefault="003732BB" w:rsidP="003732BB">
      <w:pPr>
        <w:pStyle w:val="12"/>
      </w:pPr>
      <w:r w:rsidRPr="00217FB1">
        <w:t xml:space="preserve">Language: </w:t>
      </w:r>
    </w:p>
    <w:p w:rsidR="003732BB" w:rsidRPr="00217FB1" w:rsidRDefault="003732BB" w:rsidP="003732BB">
      <w:pPr>
        <w:pStyle w:val="12"/>
      </w:pPr>
      <w:r w:rsidRPr="00217FB1">
        <w:t xml:space="preserve">Publisher: </w:t>
      </w:r>
    </w:p>
    <w:p w:rsidR="003732BB" w:rsidRPr="00217FB1" w:rsidRDefault="003732BB" w:rsidP="003732BB">
      <w:pPr>
        <w:pStyle w:val="12"/>
      </w:pPr>
      <w:r w:rsidRPr="00217FB1">
        <w:t xml:space="preserve">Publisher Address: </w:t>
      </w:r>
    </w:p>
    <w:p w:rsidR="003732BB" w:rsidRPr="00217FB1" w:rsidRDefault="003732BB" w:rsidP="003732BB">
      <w:pPr>
        <w:pStyle w:val="12"/>
      </w:pPr>
      <w:r w:rsidRPr="00217FB1">
        <w:t>Subject Categories:</w:t>
      </w:r>
    </w:p>
    <w:p w:rsidR="003732BB" w:rsidRPr="00217FB1" w:rsidRDefault="003732BB" w:rsidP="003732BB">
      <w:pPr>
        <w:pStyle w:val="12"/>
      </w:pPr>
      <w:r w:rsidRPr="00217FB1">
        <w:t xml:space="preserve">: Impact Factor </w:t>
      </w:r>
    </w:p>
    <w:p w:rsidR="003732BB" w:rsidRDefault="003732BB" w:rsidP="003732BB">
      <w:pPr>
        <w:pStyle w:val="a3"/>
        <w:rPr>
          <w:kern w:val="0"/>
        </w:rPr>
      </w:pPr>
      <w:r>
        <w:rPr>
          <w:rFonts w:hint="eastAsia"/>
          <w:kern w:val="0"/>
        </w:rPr>
        <w:t xml:space="preserve">? </w:t>
      </w:r>
      <w:r>
        <w:rPr>
          <w:kern w:val="0"/>
        </w:rPr>
        <w:t>Ko, K.</w:t>
      </w:r>
      <w:r w:rsidR="005853A9">
        <w:rPr>
          <w:kern w:val="0"/>
        </w:rPr>
        <w:t xml:space="preserve"> and </w:t>
      </w:r>
      <w:r>
        <w:rPr>
          <w:kern w:val="0"/>
        </w:rPr>
        <w:t xml:space="preserve">Goebert, D. (2011), Factors influencing consent to having videotaped mental health sessions. </w:t>
      </w:r>
      <w:r w:rsidRPr="008C414C">
        <w:rPr>
          <w:i/>
          <w:iCs/>
          <w:kern w:val="0"/>
        </w:rPr>
        <w:t>Academic Psychiatry</w:t>
      </w:r>
      <w:r>
        <w:rPr>
          <w:kern w:val="0"/>
        </w:rPr>
        <w:t xml:space="preserve">, </w:t>
      </w:r>
      <w:r>
        <w:rPr>
          <w:b/>
          <w:bCs/>
          <w:kern w:val="0"/>
        </w:rPr>
        <w:t>35</w:t>
      </w:r>
      <w:r>
        <w:rPr>
          <w:kern w:val="0"/>
        </w:rPr>
        <w:t xml:space="preserve"> (3), 199-201.</w:t>
      </w:r>
    </w:p>
    <w:p w:rsidR="003732BB" w:rsidRDefault="003732BB" w:rsidP="003732BB">
      <w:pPr>
        <w:pStyle w:val="a3"/>
        <w:rPr>
          <w:kern w:val="0"/>
        </w:rPr>
      </w:pPr>
      <w:r>
        <w:rPr>
          <w:rFonts w:hint="eastAsia"/>
          <w:kern w:val="0"/>
        </w:rPr>
        <w:t>Full Text: 2011\</w:t>
      </w:r>
      <w:r>
        <w:rPr>
          <w:iCs/>
          <w:kern w:val="0"/>
        </w:rPr>
        <w:t>Aca Psy</w:t>
      </w:r>
      <w:r w:rsidRPr="003732BB">
        <w:rPr>
          <w:bCs/>
          <w:kern w:val="0"/>
        </w:rPr>
        <w:t>35</w:t>
      </w:r>
      <w:r>
        <w:rPr>
          <w:kern w:val="0"/>
        </w:rPr>
        <w:t>, 199</w:t>
      </w:r>
      <w:r>
        <w:rPr>
          <w:rFonts w:hint="eastAsia"/>
          <w:kern w:val="0"/>
        </w:rPr>
        <w:t>.pdf</w:t>
      </w:r>
    </w:p>
    <w:p w:rsidR="003732BB" w:rsidRDefault="003732BB" w:rsidP="003732BB">
      <w:pPr>
        <w:pStyle w:val="a3"/>
        <w:rPr>
          <w:kern w:val="0"/>
        </w:rPr>
      </w:pPr>
      <w:r>
        <w:rPr>
          <w:kern w:val="0"/>
        </w:rPr>
        <w:t>Abstract: Objective:</w:t>
      </w:r>
      <w:r w:rsidR="003A1917">
        <w:rPr>
          <w:kern w:val="0"/>
        </w:rPr>
        <w:t xml:space="preserve"> the </w:t>
      </w:r>
      <w:r>
        <w:rPr>
          <w:kern w:val="0"/>
        </w:rPr>
        <w:t>authors critically reviewed</w:t>
      </w:r>
      <w:r w:rsidR="003A1917">
        <w:rPr>
          <w:kern w:val="0"/>
        </w:rPr>
        <w:t xml:space="preserve"> the </w:t>
      </w:r>
      <w:r>
        <w:rPr>
          <w:kern w:val="0"/>
        </w:rPr>
        <w:t>literature regarding factors influencing consent to having videotaped mental health sessions. Methods:</w:t>
      </w:r>
      <w:r w:rsidR="003A1917">
        <w:rPr>
          <w:kern w:val="0"/>
        </w:rPr>
        <w:t xml:space="preserve"> the </w:t>
      </w:r>
      <w:r>
        <w:rPr>
          <w:kern w:val="0"/>
        </w:rPr>
        <w:t>authors searched</w:t>
      </w:r>
      <w:r w:rsidR="003A1917">
        <w:rPr>
          <w:kern w:val="0"/>
        </w:rPr>
        <w:t xml:space="preserve"> the </w:t>
      </w:r>
      <w:r>
        <w:rPr>
          <w:kern w:val="0"/>
        </w:rPr>
        <w:t xml:space="preserve">literature in </w:t>
      </w:r>
      <w:r w:rsidR="002C12F0">
        <w:rPr>
          <w:kern w:val="0"/>
        </w:rPr>
        <w:t>PUBMED</w:t>
      </w:r>
      <w:r>
        <w:rPr>
          <w:kern w:val="0"/>
        </w:rPr>
        <w:t>, PsycINFO, Google Scholar,</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w:t>
      </w:r>
      <w:r w:rsidR="003A1917">
        <w:rPr>
          <w:kern w:val="0"/>
        </w:rPr>
        <w:t xml:space="preserve"> the </w:t>
      </w:r>
      <w:r>
        <w:rPr>
          <w:kern w:val="0"/>
        </w:rPr>
        <w:t>mid-1950s through February 2009. Results:</w:t>
      </w:r>
      <w:r w:rsidR="003A1917">
        <w:rPr>
          <w:kern w:val="0"/>
        </w:rPr>
        <w:t xml:space="preserve"> the </w:t>
      </w:r>
      <w:r>
        <w:rPr>
          <w:kern w:val="0"/>
        </w:rPr>
        <w:t>authors identified 27 studies,</w:t>
      </w:r>
      <w:r w:rsidR="00427468">
        <w:rPr>
          <w:kern w:val="0"/>
        </w:rPr>
        <w:t xml:space="preserve"> of </w:t>
      </w:r>
      <w:r>
        <w:rPr>
          <w:kern w:val="0"/>
        </w:rPr>
        <w:t>which 19 (73%) examined general practice. Only 4 (15%) were in mental health. Most patients agree to be videotaped when asked. Those who did not consent tended to be female</w:t>
      </w:r>
      <w:r w:rsidR="005853A9">
        <w:rPr>
          <w:kern w:val="0"/>
        </w:rPr>
        <w:t xml:space="preserve"> and </w:t>
      </w:r>
      <w:r>
        <w:rPr>
          <w:kern w:val="0"/>
        </w:rPr>
        <w:t>younger, with previous psychiatric history or psychological distress</w:t>
      </w:r>
      <w:r w:rsidR="00A37C1D">
        <w:rPr>
          <w:kern w:val="0"/>
        </w:rPr>
        <w:t>. The</w:t>
      </w:r>
      <w:r w:rsidR="003A1917">
        <w:rPr>
          <w:kern w:val="0"/>
        </w:rPr>
        <w:t xml:space="preserve"> </w:t>
      </w:r>
      <w:r>
        <w:rPr>
          <w:kern w:val="0"/>
        </w:rPr>
        <w:t>data are mixed about whether psychiatric patients felt inhibited in videotaped sessions. Conclusion:</w:t>
      </w:r>
      <w:r w:rsidR="003A1917">
        <w:rPr>
          <w:kern w:val="0"/>
        </w:rPr>
        <w:t xml:space="preserve"> the </w:t>
      </w:r>
      <w:r>
        <w:rPr>
          <w:kern w:val="0"/>
        </w:rPr>
        <w:t>mental health literature in this area is limited</w:t>
      </w:r>
      <w:r w:rsidR="005853A9">
        <w:rPr>
          <w:kern w:val="0"/>
        </w:rPr>
        <w:t xml:space="preserve"> and </w:t>
      </w:r>
      <w:r>
        <w:rPr>
          <w:kern w:val="0"/>
        </w:rPr>
        <w:t>dated. Implications for practice are drawn inferentially from</w:t>
      </w:r>
      <w:r w:rsidR="003A1917">
        <w:rPr>
          <w:kern w:val="0"/>
        </w:rPr>
        <w:t xml:space="preserve"> the </w:t>
      </w:r>
      <w:r>
        <w:rPr>
          <w:kern w:val="0"/>
        </w:rPr>
        <w:t>general-practice literature. Recommendations for increasing</w:t>
      </w:r>
      <w:r w:rsidR="003A1917">
        <w:rPr>
          <w:kern w:val="0"/>
        </w:rPr>
        <w:t xml:space="preserve"> the </w:t>
      </w:r>
      <w:r>
        <w:rPr>
          <w:kern w:val="0"/>
        </w:rPr>
        <w:t>consent rate include building a relationship with patients before asking them for videotaping and, when asking, explaining</w:t>
      </w:r>
      <w:r w:rsidR="003A1917">
        <w:rPr>
          <w:kern w:val="0"/>
        </w:rPr>
        <w:t xml:space="preserve"> the </w:t>
      </w:r>
      <w:r>
        <w:rPr>
          <w:kern w:val="0"/>
        </w:rPr>
        <w:t>educational value</w:t>
      </w:r>
      <w:r w:rsidR="005853A9">
        <w:rPr>
          <w:kern w:val="0"/>
        </w:rPr>
        <w:t xml:space="preserve"> and </w:t>
      </w:r>
      <w:r>
        <w:rPr>
          <w:kern w:val="0"/>
        </w:rPr>
        <w:t>specific purpose</w:t>
      </w:r>
      <w:r w:rsidR="00427468">
        <w:rPr>
          <w:kern w:val="0"/>
        </w:rPr>
        <w:t xml:space="preserve"> of </w:t>
      </w:r>
      <w:r w:rsidR="003A1917">
        <w:rPr>
          <w:kern w:val="0"/>
        </w:rPr>
        <w:t xml:space="preserve">the </w:t>
      </w:r>
      <w:r>
        <w:rPr>
          <w:kern w:val="0"/>
        </w:rPr>
        <w:t>recording. Academic Psychiatry 2011; 35: 199-201.</w:t>
      </w:r>
    </w:p>
    <w:p w:rsidR="003732BB" w:rsidRDefault="003732BB" w:rsidP="003732BB">
      <w:pPr>
        <w:pStyle w:val="a3"/>
        <w:rPr>
          <w:kern w:val="0"/>
        </w:rPr>
      </w:pPr>
      <w:r>
        <w:rPr>
          <w:kern w:val="0"/>
        </w:rPr>
        <w:t xml:space="preserve">Keywords: Authors, Distress, General Practice, General-Practice, Google Scholar, Health, History, Literature, Mental Health, Methods, Practice, Psychotherapy, </w:t>
      </w:r>
      <w:r w:rsidR="002C12F0">
        <w:rPr>
          <w:kern w:val="0"/>
        </w:rPr>
        <w:t>PUBMED</w:t>
      </w:r>
      <w:r>
        <w:rPr>
          <w:kern w:val="0"/>
        </w:rPr>
        <w:t xml:space="preserve">, Science, </w:t>
      </w:r>
      <w:r w:rsidR="00D5664A">
        <w:rPr>
          <w:kern w:val="0"/>
        </w:rPr>
        <w:t>Web</w:t>
      </w:r>
      <w:r w:rsidR="00427468">
        <w:rPr>
          <w:kern w:val="0"/>
        </w:rPr>
        <w:t xml:space="preserve"> of </w:t>
      </w:r>
      <w:r w:rsidR="00D5664A">
        <w:rPr>
          <w:kern w:val="0"/>
        </w:rPr>
        <w:t>Science</w:t>
      </w:r>
    </w:p>
    <w:p w:rsidR="00985ABD" w:rsidRDefault="00985ABD" w:rsidP="00985ABD">
      <w:pPr>
        <w:pStyle w:val="a3"/>
        <w:rPr>
          <w:kern w:val="0"/>
        </w:rPr>
      </w:pPr>
      <w:r>
        <w:rPr>
          <w:kern w:val="0"/>
        </w:rPr>
        <w:t>? Stone, K., Whitham, E.A.</w:t>
      </w:r>
      <w:r w:rsidR="005853A9">
        <w:rPr>
          <w:kern w:val="0"/>
        </w:rPr>
        <w:t xml:space="preserve"> and </w:t>
      </w:r>
      <w:r>
        <w:rPr>
          <w:kern w:val="0"/>
        </w:rPr>
        <w:t>Ghaemi, S.N. (2012), A comparison</w:t>
      </w:r>
      <w:r w:rsidR="00427468">
        <w:rPr>
          <w:kern w:val="0"/>
        </w:rPr>
        <w:t xml:space="preserve"> of </w:t>
      </w:r>
      <w:r>
        <w:rPr>
          <w:kern w:val="0"/>
        </w:rPr>
        <w:t>psychiatry</w:t>
      </w:r>
      <w:r w:rsidR="005853A9">
        <w:rPr>
          <w:kern w:val="0"/>
        </w:rPr>
        <w:t xml:space="preserve"> and </w:t>
      </w:r>
      <w:r>
        <w:rPr>
          <w:kern w:val="0"/>
        </w:rPr>
        <w:t xml:space="preserve">internal medicine: A bibliometric study. </w:t>
      </w:r>
      <w:r>
        <w:rPr>
          <w:i/>
          <w:iCs/>
          <w:kern w:val="0"/>
        </w:rPr>
        <w:t>Academic Psychiatry</w:t>
      </w:r>
      <w:r>
        <w:rPr>
          <w:kern w:val="0"/>
        </w:rPr>
        <w:t xml:space="preserve">, </w:t>
      </w:r>
      <w:r>
        <w:rPr>
          <w:b/>
          <w:bCs/>
          <w:kern w:val="0"/>
        </w:rPr>
        <w:t>36</w:t>
      </w:r>
      <w:r>
        <w:rPr>
          <w:kern w:val="0"/>
        </w:rPr>
        <w:t xml:space="preserve"> (2), 129-132.</w:t>
      </w:r>
    </w:p>
    <w:p w:rsidR="00985ABD" w:rsidRDefault="00985ABD" w:rsidP="00985ABD">
      <w:pPr>
        <w:pStyle w:val="a3"/>
        <w:rPr>
          <w:kern w:val="0"/>
        </w:rPr>
      </w:pPr>
      <w:r>
        <w:rPr>
          <w:kern w:val="0"/>
        </w:rPr>
        <w:t>Full Text: 201</w:t>
      </w:r>
      <w:r>
        <w:rPr>
          <w:rFonts w:hint="eastAsia"/>
          <w:kern w:val="0"/>
        </w:rPr>
        <w:t>2</w:t>
      </w:r>
      <w:r>
        <w:rPr>
          <w:kern w:val="0"/>
        </w:rPr>
        <w:t>\</w:t>
      </w:r>
      <w:r>
        <w:rPr>
          <w:iCs/>
          <w:kern w:val="0"/>
        </w:rPr>
        <w:t>Aca Psy</w:t>
      </w:r>
      <w:r>
        <w:rPr>
          <w:bCs/>
          <w:kern w:val="0"/>
        </w:rPr>
        <w:t>3</w:t>
      </w:r>
      <w:r>
        <w:rPr>
          <w:rFonts w:hint="eastAsia"/>
          <w:bCs/>
          <w:kern w:val="0"/>
        </w:rPr>
        <w:t>6</w:t>
      </w:r>
      <w:r>
        <w:rPr>
          <w:kern w:val="0"/>
        </w:rPr>
        <w:t>, 1</w:t>
      </w:r>
      <w:r>
        <w:rPr>
          <w:rFonts w:hint="eastAsia"/>
          <w:kern w:val="0"/>
        </w:rPr>
        <w:t>2</w:t>
      </w:r>
      <w:r>
        <w:rPr>
          <w:kern w:val="0"/>
        </w:rPr>
        <w:t>9.pdf</w:t>
      </w:r>
    </w:p>
    <w:p w:rsidR="00985ABD" w:rsidRDefault="001E1D98" w:rsidP="00985ABD">
      <w:pPr>
        <w:pStyle w:val="a3"/>
        <w:rPr>
          <w:kern w:val="0"/>
        </w:rPr>
      </w:pPr>
      <w:r>
        <w:rPr>
          <w:kern w:val="0"/>
        </w:rPr>
        <w:t>Abstract:</w:t>
      </w:r>
      <w:r w:rsidR="00985ABD">
        <w:rPr>
          <w:kern w:val="0"/>
        </w:rPr>
        <w:t xml:space="preserve"> Objective: Psychiatric education needs to expose students to a broad range</w:t>
      </w:r>
      <w:r w:rsidR="00427468">
        <w:rPr>
          <w:kern w:val="0"/>
        </w:rPr>
        <w:t xml:space="preserve"> of </w:t>
      </w:r>
      <w:r w:rsidR="00985ABD">
        <w:rPr>
          <w:kern w:val="0"/>
        </w:rPr>
        <w:t>topics. One resource for psychiatric education, both during initial training</w:t>
      </w:r>
      <w:r w:rsidR="005853A9">
        <w:rPr>
          <w:kern w:val="0"/>
        </w:rPr>
        <w:t xml:space="preserve"> and </w:t>
      </w:r>
      <w:r w:rsidR="00985ABD">
        <w:rPr>
          <w:kern w:val="0"/>
        </w:rPr>
        <w:t xml:space="preserve">in later </w:t>
      </w:r>
      <w:r w:rsidR="00985ABD">
        <w:rPr>
          <w:kern w:val="0"/>
        </w:rPr>
        <w:lastRenderedPageBreak/>
        <w:t>continuing medical education, is</w:t>
      </w:r>
      <w:r w:rsidR="003A1917">
        <w:rPr>
          <w:kern w:val="0"/>
        </w:rPr>
        <w:t xml:space="preserve"> the </w:t>
      </w:r>
      <w:r w:rsidR="00985ABD">
        <w:rPr>
          <w:kern w:val="0"/>
        </w:rPr>
        <w:t>scientific literature, as published in psychiatric journals</w:t>
      </w:r>
      <w:r w:rsidR="00A37C1D">
        <w:rPr>
          <w:kern w:val="0"/>
        </w:rPr>
        <w:t>. The</w:t>
      </w:r>
      <w:r w:rsidR="003A1917">
        <w:rPr>
          <w:kern w:val="0"/>
        </w:rPr>
        <w:t xml:space="preserve"> </w:t>
      </w:r>
      <w:r w:rsidR="00985ABD">
        <w:rPr>
          <w:kern w:val="0"/>
        </w:rPr>
        <w:t>authors assessed current research trends in psychiatric journals, as compared with internal-medicine counterparts</w:t>
      </w:r>
      <w:r w:rsidR="005853A9">
        <w:rPr>
          <w:kern w:val="0"/>
        </w:rPr>
        <w:t xml:space="preserve"> and </w:t>
      </w:r>
      <w:r w:rsidR="00985ABD">
        <w:rPr>
          <w:kern w:val="0"/>
        </w:rPr>
        <w:t>examined their relevance to psychiatric education. Methods:</w:t>
      </w:r>
      <w:r w:rsidR="003A1917">
        <w:rPr>
          <w:kern w:val="0"/>
        </w:rPr>
        <w:t xml:space="preserve"> the </w:t>
      </w:r>
      <w:r w:rsidR="00985ABD">
        <w:rPr>
          <w:kern w:val="0"/>
        </w:rPr>
        <w:t>authors classified abstracts</w:t>
      </w:r>
      <w:r w:rsidR="005853A9">
        <w:rPr>
          <w:kern w:val="0"/>
        </w:rPr>
        <w:t xml:space="preserve"> and </w:t>
      </w:r>
      <w:r w:rsidR="00985ABD">
        <w:rPr>
          <w:kern w:val="0"/>
        </w:rPr>
        <w:t>original articles as biological or non-biological, based on methodology, from 2008 in Archives</w:t>
      </w:r>
      <w:r w:rsidR="00427468">
        <w:rPr>
          <w:kern w:val="0"/>
        </w:rPr>
        <w:t xml:space="preserve"> of </w:t>
      </w:r>
      <w:r w:rsidR="00985ABD">
        <w:rPr>
          <w:kern w:val="0"/>
        </w:rPr>
        <w:t>General Psychiatry</w:t>
      </w:r>
      <w:r w:rsidR="005853A9">
        <w:rPr>
          <w:kern w:val="0"/>
        </w:rPr>
        <w:t xml:space="preserve"> and </w:t>
      </w:r>
      <w:r w:rsidR="003A1917">
        <w:rPr>
          <w:kern w:val="0"/>
        </w:rPr>
        <w:t xml:space="preserve">the </w:t>
      </w:r>
      <w:r w:rsidR="00985ABD">
        <w:rPr>
          <w:kern w:val="0"/>
        </w:rPr>
        <w:t>American Journal</w:t>
      </w:r>
      <w:r w:rsidR="00427468">
        <w:rPr>
          <w:kern w:val="0"/>
        </w:rPr>
        <w:t xml:space="preserve"> of </w:t>
      </w:r>
      <w:r w:rsidR="00985ABD">
        <w:rPr>
          <w:kern w:val="0"/>
        </w:rPr>
        <w:t>Psychiatry, as compared with</w:t>
      </w:r>
      <w:r w:rsidR="003A1917">
        <w:rPr>
          <w:kern w:val="0"/>
        </w:rPr>
        <w:t xml:space="preserve"> the </w:t>
      </w:r>
      <w:r w:rsidR="00985ABD">
        <w:rPr>
          <w:kern w:val="0"/>
        </w:rPr>
        <w:t>Archives</w:t>
      </w:r>
      <w:r w:rsidR="00427468">
        <w:rPr>
          <w:kern w:val="0"/>
        </w:rPr>
        <w:t xml:space="preserve"> of </w:t>
      </w:r>
      <w:r w:rsidR="00985ABD">
        <w:rPr>
          <w:kern w:val="0"/>
        </w:rPr>
        <w:t>Internal Medicine</w:t>
      </w:r>
      <w:r w:rsidR="005853A9">
        <w:rPr>
          <w:kern w:val="0"/>
        </w:rPr>
        <w:t xml:space="preserve"> and </w:t>
      </w:r>
      <w:r w:rsidR="00985ABD">
        <w:rPr>
          <w:kern w:val="0"/>
        </w:rPr>
        <w:t>Annals</w:t>
      </w:r>
      <w:r w:rsidR="00427468">
        <w:rPr>
          <w:kern w:val="0"/>
        </w:rPr>
        <w:t xml:space="preserve"> of </w:t>
      </w:r>
      <w:r w:rsidR="00985ABD">
        <w:rPr>
          <w:kern w:val="0"/>
        </w:rPr>
        <w:t>Internal Medicine. Results: Biological</w:t>
      </w:r>
      <w:r w:rsidR="005853A9">
        <w:rPr>
          <w:kern w:val="0"/>
        </w:rPr>
        <w:t xml:space="preserve"> and </w:t>
      </w:r>
      <w:r w:rsidR="00985ABD">
        <w:rPr>
          <w:kern w:val="0"/>
        </w:rPr>
        <w:t>non-biological studies were similarly frequent in psychiatric journals (48.2%</w:t>
      </w:r>
      <w:r w:rsidR="005853A9">
        <w:rPr>
          <w:kern w:val="0"/>
        </w:rPr>
        <w:t xml:space="preserve"> and </w:t>
      </w:r>
      <w:r w:rsidR="00985ABD">
        <w:rPr>
          <w:kern w:val="0"/>
        </w:rPr>
        <w:t>51.8%, respectively). Internal-medicine journals had a non-biological</w:t>
      </w:r>
      <w:r w:rsidR="005853A9">
        <w:rPr>
          <w:kern w:val="0"/>
        </w:rPr>
        <w:t xml:space="preserve"> and </w:t>
      </w:r>
      <w:r w:rsidR="00985ABD">
        <w:rPr>
          <w:kern w:val="0"/>
        </w:rPr>
        <w:t>epidemiological predominance (22.2% biological, 77.8% non-biological: epidemiological, 59.9%; reviews, 21.4%; clinical, 13.2%; other, 5.4%). Conclusion: Psychiatric journals publish more biological studies than internal-medicine journals. This tendency may influence psychiatric education</w:t>
      </w:r>
      <w:r w:rsidR="005853A9">
        <w:rPr>
          <w:kern w:val="0"/>
        </w:rPr>
        <w:t xml:space="preserve"> and </w:t>
      </w:r>
      <w:r w:rsidR="00985ABD">
        <w:rPr>
          <w:kern w:val="0"/>
        </w:rPr>
        <w:t>practice in a biological direction, with less attention to psychosocial or clinical approaches to psychiatry.</w:t>
      </w:r>
    </w:p>
    <w:p w:rsidR="00985ABD" w:rsidRDefault="00985ABD" w:rsidP="00985ABD">
      <w:pPr>
        <w:pStyle w:val="a3"/>
        <w:rPr>
          <w:kern w:val="0"/>
        </w:rPr>
      </w:pPr>
      <w:r>
        <w:rPr>
          <w:kern w:val="0"/>
        </w:rPr>
        <w:t>Keywords: Articles, Authors, Bibliometric, Biological, Clinical, Continuing Medical Education, Education, Initial Training, Journal, Journals, Literature, Medical, Medical Education, Medicine, Methodology, Needs, Practice, Psychiatry, Psychosocial, Relevance, Research, Research Trends, Reviews, Scientific Literature, Students, Topics, Training, Trends</w:t>
      </w:r>
    </w:p>
    <w:p w:rsidR="007A584A" w:rsidRDefault="007A584A" w:rsidP="007A584A">
      <w:pPr>
        <w:pStyle w:val="a3"/>
        <w:rPr>
          <w:kern w:val="0"/>
        </w:rPr>
      </w:pPr>
      <w:r>
        <w:rPr>
          <w:rFonts w:hint="eastAsia"/>
          <w:kern w:val="0"/>
        </w:rPr>
        <w:t xml:space="preserve">? </w:t>
      </w:r>
      <w:r>
        <w:rPr>
          <w:kern w:val="0"/>
        </w:rPr>
        <w:t xml:space="preserve">Hodges, B.D., Hollenberg, E., McNaughton, N., Hanson, M.D. and Regehr, G. (2014), The psychiatry OSCE: A 20-year retrospective. </w:t>
      </w:r>
      <w:r>
        <w:rPr>
          <w:i/>
          <w:iCs/>
          <w:kern w:val="0"/>
        </w:rPr>
        <w:t>Academic Psychiatry</w:t>
      </w:r>
      <w:r>
        <w:rPr>
          <w:kern w:val="0"/>
        </w:rPr>
        <w:t xml:space="preserve">, </w:t>
      </w:r>
      <w:r>
        <w:rPr>
          <w:b/>
          <w:bCs/>
          <w:kern w:val="0"/>
        </w:rPr>
        <w:t>38</w:t>
      </w:r>
      <w:r>
        <w:rPr>
          <w:kern w:val="0"/>
        </w:rPr>
        <w:t xml:space="preserve"> (1), 26-34.</w:t>
      </w:r>
    </w:p>
    <w:p w:rsidR="007A584A" w:rsidRDefault="007A584A" w:rsidP="007A584A">
      <w:pPr>
        <w:pStyle w:val="a3"/>
        <w:rPr>
          <w:kern w:val="0"/>
        </w:rPr>
      </w:pPr>
      <w:r>
        <w:rPr>
          <w:kern w:val="0"/>
        </w:rPr>
        <w:t>Full Text: 201</w:t>
      </w:r>
      <w:r>
        <w:rPr>
          <w:rFonts w:hint="eastAsia"/>
          <w:kern w:val="0"/>
        </w:rPr>
        <w:t>4</w:t>
      </w:r>
      <w:r>
        <w:rPr>
          <w:kern w:val="0"/>
        </w:rPr>
        <w:t>\</w:t>
      </w:r>
      <w:r>
        <w:rPr>
          <w:iCs/>
          <w:kern w:val="0"/>
        </w:rPr>
        <w:t>Aca Psy</w:t>
      </w:r>
      <w:r>
        <w:rPr>
          <w:bCs/>
          <w:kern w:val="0"/>
        </w:rPr>
        <w:t>3</w:t>
      </w:r>
      <w:r>
        <w:rPr>
          <w:rFonts w:hint="eastAsia"/>
          <w:bCs/>
          <w:kern w:val="0"/>
        </w:rPr>
        <w:t>8</w:t>
      </w:r>
      <w:r>
        <w:rPr>
          <w:kern w:val="0"/>
        </w:rPr>
        <w:t xml:space="preserve">, </w:t>
      </w:r>
      <w:r>
        <w:rPr>
          <w:rFonts w:hint="eastAsia"/>
          <w:kern w:val="0"/>
        </w:rPr>
        <w:t>26</w:t>
      </w:r>
      <w:r>
        <w:rPr>
          <w:kern w:val="0"/>
        </w:rPr>
        <w:t>.pdf</w:t>
      </w:r>
    </w:p>
    <w:p w:rsidR="007A584A" w:rsidRDefault="007A584A" w:rsidP="007A584A">
      <w:pPr>
        <w:pStyle w:val="a3"/>
        <w:rPr>
          <w:kern w:val="0"/>
        </w:rPr>
      </w:pPr>
      <w:r>
        <w:rPr>
          <w:kern w:val="0"/>
        </w:rPr>
        <w:t>Abstract: Objective Twenty years ago researchers at the University</w:t>
      </w:r>
      <w:r w:rsidR="00427468">
        <w:rPr>
          <w:kern w:val="0"/>
        </w:rPr>
        <w:t xml:space="preserve"> of </w:t>
      </w:r>
      <w:r>
        <w:rPr>
          <w:kern w:val="0"/>
        </w:rPr>
        <w:t>Toronto launched the Psychiatry Skills Assessment Project (PSAP), a research program exploring Objective Structured Clinical Examinations (OSCEs) in psychiatry. Between 1994 and 2005 PSAP produced publications on the feasibility, reliability, validity, ethics, and practical concerns</w:t>
      </w:r>
      <w:r w:rsidR="00427468">
        <w:rPr>
          <w:kern w:val="0"/>
        </w:rPr>
        <w:t xml:space="preserve"> of </w:t>
      </w:r>
      <w:r>
        <w:rPr>
          <w:kern w:val="0"/>
        </w:rPr>
        <w:t>OSCEs in psychiatry</w:t>
      </w:r>
      <w:r w:rsidR="00A37C1D">
        <w:rPr>
          <w:kern w:val="0"/>
        </w:rPr>
        <w:t>. The</w:t>
      </w:r>
      <w:r>
        <w:rPr>
          <w:kern w:val="0"/>
        </w:rPr>
        <w:t xml:space="preserve"> current review has two parts: a review</w:t>
      </w:r>
      <w:r w:rsidR="00427468">
        <w:rPr>
          <w:kern w:val="0"/>
        </w:rPr>
        <w:t xml:space="preserve"> of </w:t>
      </w:r>
      <w:r>
        <w:rPr>
          <w:kern w:val="0"/>
        </w:rPr>
        <w:t>the state</w:t>
      </w:r>
      <w:r w:rsidR="00427468">
        <w:rPr>
          <w:kern w:val="0"/>
        </w:rPr>
        <w:t xml:space="preserve"> of </w:t>
      </w:r>
      <w:r>
        <w:rPr>
          <w:kern w:val="0"/>
        </w:rPr>
        <w:t>the art</w:t>
      </w:r>
      <w:r w:rsidR="00427468">
        <w:rPr>
          <w:kern w:val="0"/>
        </w:rPr>
        <w:t xml:space="preserve"> of </w:t>
      </w:r>
      <w:r>
        <w:rPr>
          <w:kern w:val="0"/>
        </w:rPr>
        <w:t>OSCEs in psychiatry 20 years after they were introduced and documentation</w:t>
      </w:r>
      <w:r w:rsidR="00427468">
        <w:rPr>
          <w:kern w:val="0"/>
        </w:rPr>
        <w:t xml:space="preserve"> of </w:t>
      </w:r>
      <w:r>
        <w:rPr>
          <w:kern w:val="0"/>
        </w:rPr>
        <w:t>the impact</w:t>
      </w:r>
      <w:r w:rsidR="00427468">
        <w:rPr>
          <w:kern w:val="0"/>
        </w:rPr>
        <w:t xml:space="preserve"> of </w:t>
      </w:r>
      <w:r>
        <w:rPr>
          <w:kern w:val="0"/>
        </w:rPr>
        <w:t>the PSAP research program. Methods A literature search identified all publications on OSCEs and psychiatry. Articles were coded thematically, and locations</w:t>
      </w:r>
      <w:r w:rsidR="00427468">
        <w:rPr>
          <w:kern w:val="0"/>
        </w:rPr>
        <w:t xml:space="preserve"> of </w:t>
      </w:r>
      <w:r>
        <w:rPr>
          <w:kern w:val="0"/>
        </w:rPr>
        <w:t>agreement and controversies were identified. Bibliometric analysis identified citations</w:t>
      </w:r>
      <w:r w:rsidR="00427468">
        <w:rPr>
          <w:kern w:val="0"/>
        </w:rPr>
        <w:t xml:space="preserve"> of </w:t>
      </w:r>
      <w:r>
        <w:rPr>
          <w:kern w:val="0"/>
        </w:rPr>
        <w:t>PSAP research papers, which were analyzed thematically. Results As</w:t>
      </w:r>
      <w:r w:rsidR="00427468">
        <w:rPr>
          <w:kern w:val="0"/>
        </w:rPr>
        <w:t xml:space="preserve"> of </w:t>
      </w:r>
      <w:r>
        <w:rPr>
          <w:kern w:val="0"/>
        </w:rPr>
        <w:t>May 2013, there were 250 publications related to OSCEs in psychiatry (not including 10 PSAP papers), published in 29 different countries and ten languages. Prominent topics were the validity and acceptability</w:t>
      </w:r>
      <w:r w:rsidR="00427468">
        <w:rPr>
          <w:kern w:val="0"/>
        </w:rPr>
        <w:t xml:space="preserve"> of </w:t>
      </w:r>
      <w:r>
        <w:rPr>
          <w:kern w:val="0"/>
        </w:rPr>
        <w:t>OSCEs and SPs, systems issues in adopting OSCEs in psychiatry, and the effects on learning. Eighty-eight percent</w:t>
      </w:r>
      <w:r w:rsidR="00427468">
        <w:rPr>
          <w:kern w:val="0"/>
        </w:rPr>
        <w:t xml:space="preserve"> of </w:t>
      </w:r>
      <w:r>
        <w:rPr>
          <w:kern w:val="0"/>
        </w:rPr>
        <w:t>all publications cited PSAP work (300 citations). Citations were employed for four purposes: as evidence/justification (54 %); to frame replication research (14 %); to support adaptation</w:t>
      </w:r>
      <w:r w:rsidR="00427468">
        <w:rPr>
          <w:kern w:val="0"/>
        </w:rPr>
        <w:t xml:space="preserve"> of </w:t>
      </w:r>
      <w:r>
        <w:rPr>
          <w:kern w:val="0"/>
        </w:rPr>
        <w:t xml:space="preserve">OSCEs in </w:t>
      </w:r>
      <w:r>
        <w:rPr>
          <w:kern w:val="0"/>
        </w:rPr>
        <w:lastRenderedPageBreak/>
        <w:t>other countries and professions (15 %); and for debate (18 %). Conclusions Over the past 20 years, use</w:t>
      </w:r>
      <w:r w:rsidR="00427468">
        <w:rPr>
          <w:kern w:val="0"/>
        </w:rPr>
        <w:t xml:space="preserve"> of </w:t>
      </w:r>
      <w:r>
        <w:rPr>
          <w:kern w:val="0"/>
        </w:rPr>
        <w:t>OSCEs has grown steadily in psychiatry, and several national certification organizations have adopted OSCEs. PSAP work, introduced two decades ago, continues to provide a scholarly foundation for psychometric, practical, and ethical issues</w:t>
      </w:r>
      <w:r w:rsidR="00427468">
        <w:rPr>
          <w:kern w:val="0"/>
        </w:rPr>
        <w:t xml:space="preserve"> of </w:t>
      </w:r>
      <w:r>
        <w:rPr>
          <w:kern w:val="0"/>
        </w:rPr>
        <w:t>interest to this field.</w:t>
      </w:r>
    </w:p>
    <w:p w:rsidR="007A584A" w:rsidRDefault="007A584A" w:rsidP="007A584A">
      <w:pPr>
        <w:pStyle w:val="a3"/>
        <w:rPr>
          <w:kern w:val="0"/>
        </w:rPr>
      </w:pPr>
      <w:r>
        <w:rPr>
          <w:kern w:val="0"/>
        </w:rPr>
        <w:t>Keywords: Acceptability, Adaptation, Adolescent Standardized Patients, Analysis, Art, Articles, Assessment, Bibliometric, Bibliometric Analysis, Certification, Citations, Clerkship, Documentation, Effects, Ethical, Ethical Issues, Ethics, Feasibility, Field, Impact, Issues, Languages, Learning, Literature, Literature Search, Medical Education, Medical-Students, Methods, Objective Structured Clinical Examination, Papers, Patient, Professions, Psychiatry, Psychiatry Education, Publications, Reliability, Replication, Research, Residents, Results, Review, Simulated Patients, State, State-Of-The-Art, Structured Clinical Examination, Support, Systems, University, Validity, Work</w:t>
      </w:r>
    </w:p>
    <w:p w:rsidR="003474F2" w:rsidRPr="001A3D2B" w:rsidRDefault="003474F2" w:rsidP="003474F2">
      <w:pPr>
        <w:pStyle w:val="1"/>
      </w:pPr>
      <w:r w:rsidRPr="001A3D2B">
        <w:br w:type="page"/>
      </w:r>
      <w:bookmarkStart w:id="24" w:name="_Toc420814234"/>
      <w:r w:rsidRPr="001A3D2B">
        <w:lastRenderedPageBreak/>
        <w:t>Title: Academic Radiology</w:t>
      </w:r>
      <w:bookmarkEnd w:id="24"/>
    </w:p>
    <w:p w:rsidR="003474F2" w:rsidRPr="001A3D2B" w:rsidRDefault="003474F2" w:rsidP="003474F2">
      <w:pPr>
        <w:pStyle w:val="12"/>
      </w:pPr>
      <w:r w:rsidRPr="001A3D2B">
        <w:t xml:space="preserve">Full Journal Title: </w:t>
      </w:r>
      <w:hyperlink r:id="rId46" w:history="1">
        <w:r w:rsidRPr="001A3D2B">
          <w:rPr>
            <w:rStyle w:val="a5"/>
          </w:rPr>
          <w:t>Academic Radiology</w:t>
        </w:r>
      </w:hyperlink>
    </w:p>
    <w:p w:rsidR="003474F2" w:rsidRPr="001A3D2B" w:rsidRDefault="003474F2" w:rsidP="003474F2">
      <w:pPr>
        <w:pStyle w:val="12"/>
      </w:pPr>
      <w:r w:rsidRPr="001A3D2B">
        <w:t>ISO Abbreviated Title: Acad. Radiol.</w:t>
      </w:r>
    </w:p>
    <w:p w:rsidR="003474F2" w:rsidRPr="001A3D2B" w:rsidRDefault="003474F2" w:rsidP="003474F2">
      <w:pPr>
        <w:pStyle w:val="12"/>
      </w:pPr>
      <w:r w:rsidRPr="001A3D2B">
        <w:t>JCR Abbreviated Title: Acad Radiol</w:t>
      </w:r>
    </w:p>
    <w:p w:rsidR="003474F2" w:rsidRPr="001A3D2B" w:rsidRDefault="003474F2" w:rsidP="003474F2">
      <w:pPr>
        <w:pStyle w:val="12"/>
      </w:pPr>
      <w:r w:rsidRPr="001A3D2B">
        <w:t>ISSN: 1076-6332</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Assoc Univ Radiologists</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820 Jorie Blvd</w:t>
          </w:r>
        </w:smartTag>
        <w:r w:rsidRPr="001A3D2B">
          <w:t xml:space="preserve">, </w:t>
        </w:r>
        <w:smartTag w:uri="urn:schemas-microsoft-com:office:smarttags" w:element="City">
          <w:r w:rsidRPr="001A3D2B">
            <w:t>Oak Brook</w:t>
          </w:r>
        </w:smartTag>
        <w:r w:rsidRPr="001A3D2B">
          <w:t xml:space="preserve">, </w:t>
        </w:r>
        <w:smartTag w:uri="urn:schemas-microsoft-com:office:smarttags" w:element="State">
          <w:r w:rsidRPr="001A3D2B">
            <w:t>IL</w:t>
          </w:r>
        </w:smartTag>
        <w:r w:rsidRPr="001A3D2B">
          <w:t xml:space="preserve"> </w:t>
        </w:r>
        <w:smartTag w:uri="urn:schemas-microsoft-com:office:smarttags" w:element="PostalCode">
          <w:r w:rsidRPr="001A3D2B">
            <w:t>60523-2251</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Radiology, Nuclear Medicine &amp; Medical Imaging: Impact Factor 1.644, 41/84 (2005)</w:t>
      </w:r>
    </w:p>
    <w:p w:rsidR="009C0A54" w:rsidRPr="001A3D2B" w:rsidRDefault="009C0A54" w:rsidP="009C0A54">
      <w:pPr>
        <w:pStyle w:val="a3"/>
      </w:pPr>
      <w:r w:rsidRPr="001A3D2B">
        <w:t>? Hunter, T.B. (1994), Point-counterpoint. Plagiarism: What is it, whom does it offend,</w:t>
      </w:r>
      <w:r w:rsidR="005853A9">
        <w:t xml:space="preserve"> and </w:t>
      </w:r>
      <w:r w:rsidRPr="001A3D2B">
        <w:t xml:space="preserve">how does one deal with it? </w:t>
      </w:r>
      <w:r w:rsidRPr="001A3D2B">
        <w:rPr>
          <w:i/>
          <w:iCs/>
        </w:rPr>
        <w:t>Academic Radiology</w:t>
      </w:r>
      <w:r w:rsidRPr="001A3D2B">
        <w:t xml:space="preserve">, </w:t>
      </w:r>
      <w:r w:rsidRPr="001A3D2B">
        <w:rPr>
          <w:b/>
          <w:bCs/>
        </w:rPr>
        <w:t>1</w:t>
      </w:r>
      <w:r w:rsidRPr="001A3D2B">
        <w:t xml:space="preserve"> (2), 191-193.</w:t>
      </w:r>
    </w:p>
    <w:p w:rsidR="00AB286B" w:rsidRPr="00F219CA" w:rsidRDefault="00AB286B" w:rsidP="00AB286B">
      <w:pPr>
        <w:pStyle w:val="a3"/>
      </w:pPr>
      <w:r w:rsidRPr="00F219CA">
        <w:t xml:space="preserve">Full Text: </w:t>
      </w:r>
      <w:r>
        <w:rPr>
          <w:rFonts w:hint="eastAsia"/>
        </w:rPr>
        <w:t>1994\</w:t>
      </w:r>
      <w:r w:rsidRPr="00F219CA">
        <w:t>Aca Rad1, 191</w:t>
      </w:r>
      <w:r>
        <w:rPr>
          <w:rFonts w:hint="eastAsia"/>
        </w:rPr>
        <w:t>.pdf</w:t>
      </w:r>
    </w:p>
    <w:p w:rsidR="009C0A54" w:rsidRPr="001A3D2B" w:rsidRDefault="009C0A54" w:rsidP="009C0A54">
      <w:pPr>
        <w:pStyle w:val="a3"/>
      </w:pPr>
      <w:r w:rsidRPr="001A3D2B">
        <w:t>Abstract: In</w:t>
      </w:r>
      <w:r w:rsidR="003A1917">
        <w:t xml:space="preserve"> the </w:t>
      </w:r>
      <w:r w:rsidRPr="001A3D2B">
        <w:t xml:space="preserve">article entitled </w:t>
      </w:r>
      <w:r w:rsidR="00B5188C">
        <w:t>“</w:t>
      </w:r>
      <w:r w:rsidRPr="001A3D2B">
        <w:t>Plagiarism: What Is It, Whom Does It Offend,</w:t>
      </w:r>
      <w:r w:rsidR="005853A9">
        <w:t xml:space="preserve"> and </w:t>
      </w:r>
      <w:r w:rsidRPr="001A3D2B">
        <w:t>How Does One Deal with It?</w:t>
      </w:r>
      <w:r w:rsidR="00B5188C">
        <w:t>”</w:t>
      </w:r>
      <w:r w:rsidRPr="001A3D2B">
        <w:t xml:space="preserve"> [1], John D. Armstrong II presents a scholarly account</w:t>
      </w:r>
      <w:r w:rsidR="00427468">
        <w:t xml:space="preserve"> of </w:t>
      </w:r>
      <w:r w:rsidR="003A1917">
        <w:t xml:space="preserve">the </w:t>
      </w:r>
      <w:r w:rsidRPr="001A3D2B">
        <w:t xml:space="preserve">following: </w:t>
      </w:r>
      <w:r w:rsidR="00B5188C">
        <w:t>“</w:t>
      </w:r>
      <w:r w:rsidRPr="001A3D2B">
        <w:t>What constitutes plagiarism,</w:t>
      </w:r>
      <w:r w:rsidR="005853A9">
        <w:t xml:space="preserve"> and </w:t>
      </w:r>
      <w:r w:rsidRPr="001A3D2B">
        <w:t>how is it so judged? Whom does plagiarism offend,</w:t>
      </w:r>
      <w:r w:rsidR="005853A9">
        <w:t xml:space="preserve"> and </w:t>
      </w:r>
      <w:r w:rsidRPr="001A3D2B">
        <w:t>how does one respond when it is discovered? How does one avoid plagiarism?</w:t>
      </w:r>
      <w:r w:rsidR="00B5188C">
        <w:t>”</w:t>
      </w:r>
      <w:r w:rsidRPr="001A3D2B">
        <w:t xml:space="preserve"> Dr. Armstrong first presents a short case history as a background for his article. In</w:t>
      </w:r>
      <w:r w:rsidR="003A1917">
        <w:t xml:space="preserve"> the </w:t>
      </w:r>
      <w:r w:rsidRPr="001A3D2B">
        <w:t>case history, a young university radiologist recognizes his own writing in a professional journal. Unfortunately,</w:t>
      </w:r>
      <w:r w:rsidR="003A1917">
        <w:t xml:space="preserve"> the </w:t>
      </w:r>
      <w:r w:rsidRPr="001A3D2B">
        <w:t>young radiologist is not given credit for his work,</w:t>
      </w:r>
      <w:r w:rsidR="005853A9">
        <w:t xml:space="preserve"> and </w:t>
      </w:r>
      <w:r w:rsidR="003A1917">
        <w:t xml:space="preserve">the </w:t>
      </w:r>
      <w:r w:rsidRPr="001A3D2B">
        <w:t>writing is attributed to another person, who happens to be a revered figure in</w:t>
      </w:r>
      <w:r w:rsidR="003A1917">
        <w:t xml:space="preserve"> the </w:t>
      </w:r>
      <w:r w:rsidRPr="001A3D2B">
        <w:t>young radiologist</w:t>
      </w:r>
      <w:r w:rsidR="00700038">
        <w:t>’</w:t>
      </w:r>
      <w:r w:rsidR="00C13DDC">
        <w:t>s</w:t>
      </w:r>
      <w:r w:rsidRPr="001A3D2B">
        <w:t xml:space="preserve"> subspecialty. Because</w:t>
      </w:r>
      <w:r w:rsidR="003A1917">
        <w:t xml:space="preserve"> the </w:t>
      </w:r>
      <w:r w:rsidRPr="001A3D2B">
        <w:t>young radiologist is afraid</w:t>
      </w:r>
      <w:r w:rsidR="00427468">
        <w:t xml:space="preserve"> of </w:t>
      </w:r>
      <w:r w:rsidRPr="001A3D2B">
        <w:t>being harmed professionally by</w:t>
      </w:r>
      <w:r w:rsidR="003A1917">
        <w:t xml:space="preserve"> the </w:t>
      </w:r>
      <w:r w:rsidRPr="001A3D2B">
        <w:t>plagiarist, he elects to pursue no formal action.</w:t>
      </w:r>
    </w:p>
    <w:p w:rsidR="009C0A54" w:rsidRPr="001A3D2B" w:rsidRDefault="009C0A54" w:rsidP="009C0A54">
      <w:pPr>
        <w:pStyle w:val="a3"/>
      </w:pPr>
      <w:r w:rsidRPr="001A3D2B">
        <w:t>There are several reasons why authors are responsible for formally citing</w:t>
      </w:r>
      <w:r w:rsidR="003A1917">
        <w:t xml:space="preserve"> the </w:t>
      </w:r>
      <w:r w:rsidRPr="001A3D2B">
        <w:t>work</w:t>
      </w:r>
      <w:r w:rsidR="00427468">
        <w:t xml:space="preserve"> of </w:t>
      </w:r>
      <w:r w:rsidRPr="001A3D2B">
        <w:t>others in any scientific communication. Such citations give due credit, place one</w:t>
      </w:r>
      <w:r w:rsidR="00700038">
        <w:t>’</w:t>
      </w:r>
      <w:r w:rsidR="00C13DDC">
        <w:t>s</w:t>
      </w:r>
      <w:r w:rsidRPr="001A3D2B">
        <w:t xml:space="preserve"> work in context with those</w:t>
      </w:r>
      <w:r w:rsidR="00427468">
        <w:t xml:space="preserve"> of </w:t>
      </w:r>
      <w:r w:rsidRPr="001A3D2B">
        <w:t>others,</w:t>
      </w:r>
      <w:r w:rsidR="005853A9">
        <w:t xml:space="preserve"> and </w:t>
      </w:r>
      <w:r w:rsidRPr="001A3D2B">
        <w:t>leave a paper trail. Such a paper trail is an important path toward finding sources</w:t>
      </w:r>
      <w:r w:rsidR="00427468">
        <w:t xml:space="preserve"> of </w:t>
      </w:r>
      <w:r w:rsidRPr="001A3D2B">
        <w:t>error or sources</w:t>
      </w:r>
      <w:r w:rsidR="00427468">
        <w:t xml:space="preserve"> of </w:t>
      </w:r>
      <w:r w:rsidRPr="001A3D2B">
        <w:t xml:space="preserve">inspiration. In other words, </w:t>
      </w:r>
      <w:r w:rsidR="00B5188C">
        <w:t>“</w:t>
      </w:r>
      <w:r w:rsidRPr="001A3D2B">
        <w:t>citations assign credit as well as responsibility</w:t>
      </w:r>
      <w:r w:rsidR="00B5188C">
        <w:t>”</w:t>
      </w:r>
      <w:r w:rsidRPr="001A3D2B">
        <w:t>.</w:t>
      </w:r>
    </w:p>
    <w:p w:rsidR="009C0A54" w:rsidRPr="001A3D2B" w:rsidRDefault="009C0A54" w:rsidP="009C0A54">
      <w:pPr>
        <w:pStyle w:val="a3"/>
      </w:pPr>
      <w:r w:rsidRPr="001A3D2B">
        <w:t>Baker, D.R.</w:t>
      </w:r>
      <w:r w:rsidR="005853A9">
        <w:t xml:space="preserve"> and </w:t>
      </w:r>
      <w:r w:rsidRPr="001A3D2B">
        <w:t>Jackson, V.P. (2000), Misrepresentation</w:t>
      </w:r>
      <w:r w:rsidR="00427468">
        <w:t xml:space="preserve"> of </w:t>
      </w:r>
      <w:r w:rsidRPr="001A3D2B">
        <w:t xml:space="preserve">publications by radiology residency applicants. </w:t>
      </w:r>
      <w:r w:rsidRPr="001A3D2B">
        <w:rPr>
          <w:i/>
          <w:iCs/>
        </w:rPr>
        <w:t>Academic Radiology</w:t>
      </w:r>
      <w:r w:rsidRPr="001A3D2B">
        <w:t xml:space="preserve">, </w:t>
      </w:r>
      <w:r w:rsidRPr="001A3D2B">
        <w:rPr>
          <w:b/>
          <w:bCs/>
        </w:rPr>
        <w:t>7</w:t>
      </w:r>
      <w:r w:rsidRPr="001A3D2B">
        <w:t xml:space="preserve"> (9), 727-729.</w:t>
      </w:r>
    </w:p>
    <w:p w:rsidR="009C0A54" w:rsidRPr="001A3D2B" w:rsidRDefault="009C0A54" w:rsidP="009C0A54">
      <w:pPr>
        <w:pStyle w:val="a3"/>
      </w:pPr>
      <w:r w:rsidRPr="001A3D2B">
        <w:t xml:space="preserve">Full Text: </w:t>
      </w:r>
      <w:hyperlink r:id="rId47" w:history="1">
        <w:r w:rsidRPr="001A3D2B">
          <w:rPr>
            <w:rStyle w:val="a5"/>
          </w:rPr>
          <w:t>2000\Aca Rad7, 727.pdf</w:t>
        </w:r>
      </w:hyperlink>
    </w:p>
    <w:p w:rsidR="003474F2" w:rsidRPr="001A3D2B" w:rsidRDefault="003474F2" w:rsidP="003474F2">
      <w:pPr>
        <w:pStyle w:val="a3"/>
      </w:pPr>
      <w:r w:rsidRPr="001A3D2B">
        <w:t>Abstract: Rationale</w:t>
      </w:r>
      <w:r w:rsidR="005853A9">
        <w:t xml:space="preserve"> and </w:t>
      </w:r>
      <w:r w:rsidRPr="001A3D2B">
        <w:t>Objectives</w:t>
      </w:r>
      <w:r w:rsidR="00A37C1D">
        <w:t>. The</w:t>
      </w:r>
      <w:r w:rsidR="003A1917">
        <w:t xml:space="preserve"> </w:t>
      </w:r>
      <w:r w:rsidRPr="001A3D2B">
        <w:t>authors</w:t>
      </w:r>
      <w:r w:rsidR="00700038">
        <w:t>’</w:t>
      </w:r>
      <w:r w:rsidRPr="001A3D2B">
        <w:t xml:space="preserve"> purpose was to determine</w:t>
      </w:r>
      <w:r w:rsidR="003A1917">
        <w:t xml:space="preserve"> the </w:t>
      </w:r>
      <w:r w:rsidRPr="001A3D2B">
        <w:t>extent</w:t>
      </w:r>
      <w:r w:rsidR="00427468">
        <w:t xml:space="preserve"> of </w:t>
      </w:r>
      <w:r w:rsidRPr="001A3D2B">
        <w:t>misrepresentation</w:t>
      </w:r>
      <w:r w:rsidR="00427468">
        <w:t xml:space="preserve"> of </w:t>
      </w:r>
      <w:r w:rsidRPr="001A3D2B">
        <w:t>research publications by radiology resident applicants.</w:t>
      </w:r>
    </w:p>
    <w:p w:rsidR="003474F2" w:rsidRPr="001A3D2B" w:rsidRDefault="003474F2" w:rsidP="003474F2">
      <w:pPr>
        <w:pStyle w:val="a3"/>
      </w:pPr>
      <w:r w:rsidRPr="001A3D2B">
        <w:t>Materials</w:t>
      </w:r>
      <w:r w:rsidR="005853A9">
        <w:t xml:space="preserve"> and </w:t>
      </w:r>
      <w:r w:rsidRPr="001A3D2B">
        <w:t>Methods</w:t>
      </w:r>
      <w:r w:rsidR="00A37C1D">
        <w:t>. The</w:t>
      </w:r>
      <w:r w:rsidR="003A1917">
        <w:t xml:space="preserve"> </w:t>
      </w:r>
      <w:r w:rsidRPr="001A3D2B">
        <w:t xml:space="preserve">authors reviewed 379 consecutive applications, including </w:t>
      </w:r>
      <w:r w:rsidRPr="001A3D2B">
        <w:lastRenderedPageBreak/>
        <w:t>curricula vitae, for a radiology residency program in 1996. All reported publications</w:t>
      </w:r>
      <w:r w:rsidR="005853A9">
        <w:t xml:space="preserve"> and </w:t>
      </w:r>
      <w:r w:rsidR="00700038">
        <w:t>‘</w:t>
      </w:r>
      <w:r w:rsidRPr="001A3D2B">
        <w:t>in-press</w:t>
      </w:r>
      <w:r w:rsidR="00700038">
        <w:t>’</w:t>
      </w:r>
      <w:r w:rsidRPr="001A3D2B">
        <w:t xml:space="preserve"> articles were checked by means</w:t>
      </w:r>
      <w:r w:rsidR="00427468">
        <w:t xml:space="preserve"> of </w:t>
      </w:r>
      <w:r w:rsidRPr="001A3D2B">
        <w:t xml:space="preserve">a </w:t>
      </w:r>
      <w:r w:rsidR="00D5664A">
        <w:t>MEDLINE</w:t>
      </w:r>
      <w:r w:rsidRPr="001A3D2B">
        <w:t xml:space="preserve"> search.</w:t>
      </w:r>
    </w:p>
    <w:p w:rsidR="003474F2" w:rsidRPr="001A3D2B" w:rsidRDefault="003474F2" w:rsidP="003474F2">
      <w:pPr>
        <w:pStyle w:val="a3"/>
      </w:pPr>
      <w:r w:rsidRPr="001A3D2B">
        <w:t>Results.</w:t>
      </w:r>
      <w:r w:rsidR="00427468">
        <w:t xml:space="preserve"> of </w:t>
      </w:r>
      <w:r w:rsidR="003A1917">
        <w:t xml:space="preserve">the </w:t>
      </w:r>
      <w:r w:rsidRPr="001A3D2B">
        <w:t>379 applicants, 108 were from medical schools in</w:t>
      </w:r>
      <w:r w:rsidR="003A1917">
        <w:t xml:space="preserve"> the </w:t>
      </w:r>
      <w:r w:rsidRPr="001A3D2B">
        <w:t>United States,</w:t>
      </w:r>
      <w:r w:rsidR="005853A9">
        <w:t xml:space="preserve"> and </w:t>
      </w:r>
      <w:r w:rsidRPr="001A3D2B">
        <w:t xml:space="preserve">271 were from international medical schools. Seventy-three applicants listed articles published or in press on their applications (24 </w:t>
      </w:r>
      <w:smartTag w:uri="urn:schemas-microsoft-com:office:smarttags" w:element="place">
        <w:smartTag w:uri="urn:schemas-microsoft-com:office:smarttags" w:element="country-region">
          <w:r w:rsidRPr="001A3D2B">
            <w:t>U.S.</w:t>
          </w:r>
        </w:smartTag>
      </w:smartTag>
      <w:r w:rsidRPr="001A3D2B">
        <w:t>, 49 international applicants).</w:t>
      </w:r>
      <w:r w:rsidR="00427468">
        <w:t xml:space="preserve"> of </w:t>
      </w:r>
      <w:r w:rsidRPr="001A3D2B">
        <w:t>286 separate citations in</w:t>
      </w:r>
      <w:r w:rsidR="003A1917">
        <w:t xml:space="preserve"> the </w:t>
      </w:r>
      <w:r w:rsidRPr="001A3D2B">
        <w:t>applications, 105 were found with</w:t>
      </w:r>
      <w:r w:rsidR="003A1917">
        <w:t xml:space="preserve"> the </w:t>
      </w:r>
      <w:r w:rsidR="00D5664A">
        <w:t>MEDLINE</w:t>
      </w:r>
      <w:r w:rsidRPr="001A3D2B">
        <w:t xml:space="preserve"> search,</w:t>
      </w:r>
      <w:r w:rsidR="005853A9">
        <w:t xml:space="preserve"> and </w:t>
      </w:r>
      <w:r w:rsidRPr="001A3D2B">
        <w:t>181 were not found.</w:t>
      </w:r>
      <w:r w:rsidR="00427468">
        <w:t xml:space="preserve"> of </w:t>
      </w:r>
      <w:r w:rsidR="003A1917">
        <w:t xml:space="preserve">the </w:t>
      </w:r>
      <w:r w:rsidRPr="001A3D2B">
        <w:t xml:space="preserve">latter, 168 cited journals were not indexed in </w:t>
      </w:r>
      <w:r w:rsidR="00D5664A">
        <w:t>MEDLINE</w:t>
      </w:r>
      <w:r w:rsidRPr="001A3D2B">
        <w:t xml:space="preserve"> or</w:t>
      </w:r>
      <w:r w:rsidR="003A1917">
        <w:t xml:space="preserve"> the </w:t>
      </w:r>
      <w:r w:rsidRPr="001A3D2B">
        <w:t xml:space="preserve">applicants did not include sufficient information to verify their existence. Thirteen citations (from eight applicants; three </w:t>
      </w:r>
      <w:smartTag w:uri="urn:schemas-microsoft-com:office:smarttags" w:element="place">
        <w:smartTag w:uri="urn:schemas-microsoft-com:office:smarttags" w:element="country-region">
          <w:r w:rsidRPr="001A3D2B">
            <w:t>U.S.</w:t>
          </w:r>
        </w:smartTag>
      </w:smartTag>
      <w:r w:rsidRPr="001A3D2B">
        <w:t xml:space="preserve">, five international) were not found even though they cited journals indexed by </w:t>
      </w:r>
      <w:r w:rsidR="00D5664A">
        <w:t>MEDLINE</w:t>
      </w:r>
      <w:r w:rsidRPr="001A3D2B">
        <w:t>.</w:t>
      </w:r>
    </w:p>
    <w:p w:rsidR="003474F2" w:rsidRPr="001A3D2B" w:rsidRDefault="003474F2" w:rsidP="003474F2">
      <w:pPr>
        <w:pStyle w:val="a3"/>
      </w:pPr>
      <w:r w:rsidRPr="001A3D2B">
        <w:t>Conclusion.</w:t>
      </w:r>
      <w:r w:rsidR="00427468">
        <w:t xml:space="preserve"> of </w:t>
      </w:r>
      <w:r w:rsidRPr="001A3D2B">
        <w:t>all applicants reporting publications, 11% likely misrepresented them on their applications. A large percentage</w:t>
      </w:r>
      <w:r w:rsidR="00427468">
        <w:t xml:space="preserve"> of </w:t>
      </w:r>
      <w:r w:rsidRPr="001A3D2B">
        <w:t>citations, however, could not be verified because</w:t>
      </w:r>
      <w:r w:rsidR="00427468">
        <w:t xml:space="preserve"> of </w:t>
      </w:r>
      <w:r w:rsidRPr="001A3D2B">
        <w:t>insufficient information in</w:t>
      </w:r>
      <w:r w:rsidR="003A1917">
        <w:t xml:space="preserve"> the </w:t>
      </w:r>
      <w:r w:rsidRPr="001A3D2B">
        <w:t xml:space="preserve">citation or claimed publication in a journal not available on </w:t>
      </w:r>
      <w:r w:rsidR="00D5664A">
        <w:t>MEDLINE</w:t>
      </w:r>
      <w:r w:rsidRPr="001A3D2B">
        <w:t>. Radiology residency program directors should be aware</w:t>
      </w:r>
      <w:r w:rsidR="00427468">
        <w:t xml:space="preserve"> of </w:t>
      </w:r>
      <w:r w:rsidRPr="001A3D2B">
        <w:t>this uncommon, but important, problem.</w:t>
      </w:r>
    </w:p>
    <w:p w:rsidR="003474F2" w:rsidRPr="001A3D2B" w:rsidRDefault="003474F2" w:rsidP="003474F2">
      <w:pPr>
        <w:pStyle w:val="a3"/>
      </w:pPr>
      <w:r w:rsidRPr="001A3D2B">
        <w:t>Keywords: Fellowships</w:t>
      </w:r>
    </w:p>
    <w:p w:rsidR="003474F2" w:rsidRPr="001A3D2B" w:rsidRDefault="003474F2" w:rsidP="003474F2">
      <w:pPr>
        <w:pStyle w:val="a3"/>
      </w:pPr>
      <w:r w:rsidRPr="001A3D2B">
        <w:t xml:space="preserve">Notes: </w:t>
      </w:r>
      <w:r w:rsidR="00C22DDA" w:rsidRPr="001A3D2B">
        <w:t>FField</w:t>
      </w:r>
    </w:p>
    <w:p w:rsidR="003474F2" w:rsidRPr="001A3D2B" w:rsidRDefault="003474F2" w:rsidP="003474F2">
      <w:pPr>
        <w:pStyle w:val="a3"/>
      </w:pPr>
      <w:r w:rsidRPr="001A3D2B">
        <w:t>Rahman, M., Haque, T.L.</w:t>
      </w:r>
      <w:r w:rsidR="005853A9">
        <w:t xml:space="preserve"> and </w:t>
      </w:r>
      <w:r w:rsidRPr="001A3D2B">
        <w:t>Fukui, T. (2005), Research articles published in clinical radiology journals: Trend</w:t>
      </w:r>
      <w:r w:rsidR="00427468">
        <w:t xml:space="preserve"> of </w:t>
      </w:r>
      <w:r w:rsidRPr="001A3D2B">
        <w:t xml:space="preserve">contribution from different countries. </w:t>
      </w:r>
      <w:r w:rsidRPr="001A3D2B">
        <w:rPr>
          <w:i/>
          <w:iCs/>
        </w:rPr>
        <w:t>Academic Radiology</w:t>
      </w:r>
      <w:r w:rsidRPr="001A3D2B">
        <w:t xml:space="preserve">, </w:t>
      </w:r>
      <w:r w:rsidRPr="001A3D2B">
        <w:rPr>
          <w:b/>
          <w:bCs/>
        </w:rPr>
        <w:t>12</w:t>
      </w:r>
      <w:r w:rsidRPr="001A3D2B">
        <w:t xml:space="preserve"> (7), 825-829.</w:t>
      </w:r>
    </w:p>
    <w:p w:rsidR="003474F2" w:rsidRPr="001A3D2B" w:rsidRDefault="003474F2" w:rsidP="003474F2">
      <w:pPr>
        <w:pStyle w:val="a3"/>
      </w:pPr>
      <w:r w:rsidRPr="001A3D2B">
        <w:t xml:space="preserve">Full Text: </w:t>
      </w:r>
      <w:hyperlink r:id="rId48" w:history="1">
        <w:r w:rsidRPr="001A3D2B">
          <w:rPr>
            <w:rStyle w:val="a5"/>
          </w:rPr>
          <w:t>2005\Aca Rad12, 825.pdf</w:t>
        </w:r>
      </w:hyperlink>
    </w:p>
    <w:p w:rsidR="003474F2" w:rsidRPr="001A3D2B" w:rsidRDefault="003474F2" w:rsidP="003474F2">
      <w:pPr>
        <w:pStyle w:val="a3"/>
      </w:pPr>
      <w:r w:rsidRPr="001A3D2B">
        <w:t>Abstract: Rationale</w:t>
      </w:r>
      <w:r w:rsidR="005853A9">
        <w:t xml:space="preserve"> and </w:t>
      </w:r>
      <w:r w:rsidRPr="001A3D2B">
        <w:t>Objectives. To determine different countries</w:t>
      </w:r>
      <w:r w:rsidR="00700038">
        <w:t>’</w:t>
      </w:r>
      <w:r w:rsidRPr="001A3D2B">
        <w:t xml:space="preserve"> trend</w:t>
      </w:r>
      <w:r w:rsidR="00427468">
        <w:t xml:space="preserve"> of </w:t>
      </w:r>
      <w:r w:rsidRPr="001A3D2B">
        <w:t>contribution to clinical radiology journals</w:t>
      </w:r>
      <w:r w:rsidR="005853A9">
        <w:t xml:space="preserve"> and </w:t>
      </w:r>
      <w:r w:rsidRPr="001A3D2B">
        <w:t>its relationship with impact factor.</w:t>
      </w:r>
    </w:p>
    <w:p w:rsidR="003474F2" w:rsidRPr="001A3D2B" w:rsidRDefault="003474F2" w:rsidP="003474F2">
      <w:pPr>
        <w:pStyle w:val="a3"/>
      </w:pPr>
      <w:r w:rsidRPr="001A3D2B">
        <w:t>Materials</w:t>
      </w:r>
      <w:r w:rsidR="005853A9">
        <w:t xml:space="preserve"> and </w:t>
      </w:r>
      <w:r w:rsidRPr="001A3D2B">
        <w:t>Methods. All</w:t>
      </w:r>
      <w:r w:rsidR="003A1917">
        <w:t xml:space="preserve"> the </w:t>
      </w:r>
      <w:r w:rsidRPr="001A3D2B">
        <w:t>journals, which publish articles on clinical radiology, were selected from</w:t>
      </w:r>
      <w:r w:rsidR="003A1917">
        <w:t xml:space="preserve"> the </w:t>
      </w:r>
      <w:r w:rsidRPr="001A3D2B">
        <w:t>category</w:t>
      </w:r>
      <w:r w:rsidR="00427468">
        <w:t xml:space="preserve"> of </w:t>
      </w:r>
      <w:r w:rsidRPr="001A3D2B">
        <w:t>Radiology</w:t>
      </w:r>
      <w:r w:rsidR="005853A9">
        <w:t xml:space="preserve"> and </w:t>
      </w:r>
      <w:r w:rsidRPr="001A3D2B">
        <w:t>Nuclear Medicine group</w:t>
      </w:r>
      <w:r w:rsidR="00427468">
        <w:t xml:space="preserve"> of </w:t>
      </w:r>
      <w:r w:rsidRPr="001A3D2B">
        <w:t>journals,</w:t>
      </w:r>
      <w:r w:rsidR="005853A9">
        <w:t xml:space="preserve"> and </w:t>
      </w:r>
      <w:r w:rsidRPr="001A3D2B">
        <w:t>articles published in these journals between 1991</w:t>
      </w:r>
      <w:r w:rsidR="005853A9">
        <w:t xml:space="preserve"> and </w:t>
      </w:r>
      <w:r w:rsidRPr="001A3D2B">
        <w:t>2000 were searched for</w:t>
      </w:r>
      <w:r w:rsidR="003A1917">
        <w:t xml:space="preserve"> the </w:t>
      </w:r>
      <w:r w:rsidRPr="001A3D2B">
        <w:t>authors</w:t>
      </w:r>
      <w:r w:rsidR="00700038">
        <w:t>’</w:t>
      </w:r>
      <w:r w:rsidRPr="001A3D2B">
        <w:t xml:space="preserve"> affiliation using</w:t>
      </w:r>
      <w:r w:rsidR="003A1917">
        <w:t xml:space="preserve"> the </w:t>
      </w:r>
      <w:r w:rsidR="00D5664A">
        <w:t>MEDLINE</w:t>
      </w:r>
      <w:r w:rsidRPr="001A3D2B">
        <w:t xml:space="preserve"> database</w:t>
      </w:r>
      <w:r w:rsidR="00A37C1D">
        <w:t>. The</w:t>
      </w:r>
      <w:r w:rsidRPr="001A3D2B">
        <w:t>n, share</w:t>
      </w:r>
      <w:r w:rsidR="00427468">
        <w:t xml:space="preserve"> of </w:t>
      </w:r>
      <w:r w:rsidRPr="001A3D2B">
        <w:t>research output</w:t>
      </w:r>
      <w:r w:rsidR="00427468">
        <w:t xml:space="preserve"> of </w:t>
      </w:r>
      <w:r w:rsidR="003A1917">
        <w:t xml:space="preserve">the </w:t>
      </w:r>
      <w:r w:rsidRPr="001A3D2B">
        <w:t>top-ranking 20 countries was determined along with</w:t>
      </w:r>
      <w:r w:rsidR="003A1917">
        <w:t xml:space="preserve"> the </w:t>
      </w:r>
      <w:r w:rsidRPr="001A3D2B">
        <w:t>trend over time. Also,</w:t>
      </w:r>
      <w:r w:rsidR="003A1917">
        <w:t xml:space="preserve"> the </w:t>
      </w:r>
      <w:r w:rsidRPr="001A3D2B">
        <w:t>relationship</w:t>
      </w:r>
      <w:r w:rsidR="00427468">
        <w:t xml:space="preserve"> of </w:t>
      </w:r>
      <w:r w:rsidRPr="001A3D2B">
        <w:t>different countries</w:t>
      </w:r>
      <w:r w:rsidR="00700038">
        <w:t>’</w:t>
      </w:r>
      <w:r w:rsidRPr="001A3D2B">
        <w:t xml:space="preserve"> contribution with</w:t>
      </w:r>
      <w:r w:rsidR="003A1917">
        <w:t xml:space="preserve"> the </w:t>
      </w:r>
      <w:r w:rsidRPr="001A3D2B">
        <w:t>impact factor</w:t>
      </w:r>
      <w:r w:rsidR="00427468">
        <w:t xml:space="preserve"> of </w:t>
      </w:r>
      <w:r w:rsidRPr="001A3D2B">
        <w:t>journals was examined by cross-sectional time-series linear model.</w:t>
      </w:r>
    </w:p>
    <w:p w:rsidR="003474F2" w:rsidRPr="001A3D2B" w:rsidRDefault="003474F2" w:rsidP="003474F2">
      <w:pPr>
        <w:pStyle w:val="a3"/>
      </w:pPr>
      <w:r w:rsidRPr="001A3D2B">
        <w:t>Results.</w:t>
      </w:r>
      <w:r w:rsidR="00427468">
        <w:t xml:space="preserve"> of </w:t>
      </w:r>
      <w:r w:rsidRPr="001A3D2B">
        <w:t>total articles (38,359</w:t>
      </w:r>
      <w:r w:rsidR="00F42EAC">
        <w:t>), The</w:t>
      </w:r>
      <w:r w:rsidR="003A1917">
        <w:t xml:space="preserve"> </w:t>
      </w:r>
      <w:r w:rsidRPr="001A3D2B">
        <w:t>United States</w:t>
      </w:r>
      <w:r w:rsidR="00700038">
        <w:t>’</w:t>
      </w:r>
      <w:r w:rsidRPr="001A3D2B">
        <w:t xml:space="preserve"> share for</w:t>
      </w:r>
      <w:r w:rsidR="003A1917">
        <w:t xml:space="preserve"> the </w:t>
      </w:r>
      <w:r w:rsidRPr="001A3D2B">
        <w:t>selected journals in clinical radiology was 43.2% (16,582 articles)</w:t>
      </w:r>
      <w:r w:rsidR="005853A9">
        <w:t xml:space="preserve"> and </w:t>
      </w:r>
      <w:r w:rsidRPr="001A3D2B">
        <w:t>ranked top in</w:t>
      </w:r>
      <w:r w:rsidR="003A1917">
        <w:t xml:space="preserve"> the </w:t>
      </w:r>
      <w:r w:rsidRPr="001A3D2B">
        <w:t>world, followed by</w:t>
      </w:r>
      <w:r w:rsidR="003A1917">
        <w:t xml:space="preserve"> the </w:t>
      </w:r>
      <w:r w:rsidRPr="001A3D2B">
        <w:t>United Kingdom (9.9%)</w:t>
      </w:r>
      <w:r w:rsidR="005853A9">
        <w:t xml:space="preserve"> and </w:t>
      </w:r>
      <w:r w:rsidRPr="001A3D2B">
        <w:t>Japan (8.0%)</w:t>
      </w:r>
      <w:r w:rsidR="00A37C1D">
        <w:t>. The</w:t>
      </w:r>
      <w:r w:rsidR="003A1917">
        <w:t xml:space="preserve"> </w:t>
      </w:r>
      <w:r w:rsidRPr="001A3D2B">
        <w:t>recent increase in</w:t>
      </w:r>
      <w:r w:rsidR="003A1917">
        <w:t xml:space="preserve"> the </w:t>
      </w:r>
      <w:r w:rsidRPr="001A3D2B">
        <w:t xml:space="preserve">share was statistically significant for </w:t>
      </w:r>
      <w:smartTag w:uri="urn:schemas-microsoft-com:office:smarttags" w:element="country-region">
        <w:r w:rsidRPr="001A3D2B">
          <w:t>Japan</w:t>
        </w:r>
      </w:smartTag>
      <w:r w:rsidRPr="001A3D2B">
        <w:t xml:space="preserve">, </w:t>
      </w:r>
      <w:smartTag w:uri="urn:schemas-microsoft-com:office:smarttags" w:element="country-region">
        <w:r w:rsidRPr="001A3D2B">
          <w:t>France</w:t>
        </w:r>
      </w:smartTag>
      <w:r w:rsidRPr="001A3D2B">
        <w:t xml:space="preserve">, </w:t>
      </w:r>
      <w:smartTag w:uri="urn:schemas-microsoft-com:office:smarttags" w:element="country-region">
        <w:r w:rsidRPr="001A3D2B">
          <w:t>Germany</w:t>
        </w:r>
      </w:smartTag>
      <w:r w:rsidRPr="001A3D2B">
        <w:t xml:space="preserve">, </w:t>
      </w:r>
      <w:smartTag w:uri="urn:schemas-microsoft-com:office:smarttags" w:element="country-region">
        <w:r w:rsidRPr="001A3D2B">
          <w:t>Italy</w:t>
        </w:r>
      </w:smartTag>
      <w:r w:rsidRPr="001A3D2B">
        <w:t xml:space="preserve">, </w:t>
      </w:r>
      <w:smartTag w:uri="urn:schemas-microsoft-com:office:smarttags" w:element="country-region">
        <w:r w:rsidRPr="001A3D2B">
          <w:t>South Korea</w:t>
        </w:r>
      </w:smartTag>
      <w:r w:rsidRPr="001A3D2B">
        <w:t xml:space="preserve">, </w:t>
      </w:r>
      <w:smartTag w:uri="urn:schemas-microsoft-com:office:smarttags" w:element="country-region">
        <w:r w:rsidRPr="001A3D2B">
          <w:t>Turkey</w:t>
        </w:r>
      </w:smartTag>
      <w:r w:rsidRPr="001A3D2B">
        <w:t xml:space="preserve">, </w:t>
      </w:r>
      <w:smartTag w:uri="urn:schemas-microsoft-com:office:smarttags" w:element="country-region">
        <w:r w:rsidRPr="001A3D2B">
          <w:t>Spain</w:t>
        </w:r>
      </w:smartTag>
      <w:r w:rsidRPr="001A3D2B">
        <w:t xml:space="preserve">, </w:t>
      </w:r>
      <w:smartTag w:uri="urn:schemas-microsoft-com:office:smarttags" w:element="country-region">
        <w:r w:rsidRPr="001A3D2B">
          <w:t>Switzerland</w:t>
        </w:r>
      </w:smartTag>
      <w:r w:rsidRPr="001A3D2B">
        <w:t xml:space="preserve">, </w:t>
      </w:r>
      <w:smartTag w:uri="urn:schemas-microsoft-com:office:smarttags" w:element="country-region">
        <w:r w:rsidRPr="001A3D2B">
          <w:t>Austria</w:t>
        </w:r>
      </w:smartTag>
      <w:r w:rsidRPr="001A3D2B">
        <w:t>,</w:t>
      </w:r>
      <w:r w:rsidR="005853A9">
        <w:t xml:space="preserve"> and </w:t>
      </w:r>
      <w:r w:rsidRPr="001A3D2B">
        <w:t>China. On</w:t>
      </w:r>
      <w:r w:rsidR="003A1917">
        <w:t xml:space="preserve"> the </w:t>
      </w:r>
      <w:r w:rsidRPr="001A3D2B">
        <w:t>other hand,</w:t>
      </w:r>
      <w:r w:rsidR="003A1917">
        <w:t xml:space="preserve"> the </w:t>
      </w:r>
      <w:r w:rsidRPr="001A3D2B">
        <w:t xml:space="preserve">United States, </w:t>
      </w:r>
      <w:smartTag w:uri="urn:schemas-microsoft-com:office:smarttags" w:element="country-region">
        <w:r w:rsidRPr="001A3D2B">
          <w:t>United Kingdom</w:t>
        </w:r>
      </w:smartTag>
      <w:r w:rsidRPr="001A3D2B">
        <w:t>,</w:t>
      </w:r>
      <w:r w:rsidR="005853A9">
        <w:t xml:space="preserve"> and </w:t>
      </w:r>
      <w:r w:rsidRPr="001A3D2B">
        <w:t>Canada showed a significant negative trend. Among</w:t>
      </w:r>
      <w:r w:rsidR="003A1917">
        <w:t xml:space="preserve"> the </w:t>
      </w:r>
      <w:r w:rsidRPr="001A3D2B">
        <w:t>top-ranking 10 countries,</w:t>
      </w:r>
      <w:r w:rsidR="003A1917">
        <w:t xml:space="preserve"> the </w:t>
      </w:r>
      <w:r w:rsidRPr="001A3D2B">
        <w:t>US contribution was significantly higher to journals with high-impact factors, whereas</w:t>
      </w:r>
      <w:r w:rsidR="003A1917">
        <w:t xml:space="preserve"> the </w:t>
      </w:r>
      <w:r w:rsidRPr="001A3D2B">
        <w:t xml:space="preserve">opposite was true for </w:t>
      </w:r>
      <w:smartTag w:uri="urn:schemas-microsoft-com:office:smarttags" w:element="place">
        <w:smartTag w:uri="urn:schemas-microsoft-com:office:smarttags" w:element="country-region">
          <w:r w:rsidRPr="001A3D2B">
            <w:t>France</w:t>
          </w:r>
        </w:smartTag>
      </w:smartTag>
      <w:r w:rsidRPr="001A3D2B">
        <w:t>.</w:t>
      </w:r>
    </w:p>
    <w:p w:rsidR="003474F2" w:rsidRPr="001A3D2B" w:rsidRDefault="003474F2" w:rsidP="003474F2">
      <w:pPr>
        <w:pStyle w:val="a3"/>
      </w:pPr>
      <w:r w:rsidRPr="001A3D2B">
        <w:t>Conclusion</w:t>
      </w:r>
      <w:r w:rsidR="00A37C1D">
        <w:t>. The</w:t>
      </w:r>
      <w:r w:rsidR="003A1917">
        <w:t xml:space="preserve"> </w:t>
      </w:r>
      <w:r w:rsidRPr="001A3D2B">
        <w:t xml:space="preserve">United States, </w:t>
      </w:r>
      <w:smartTag w:uri="urn:schemas-microsoft-com:office:smarttags" w:element="country-region">
        <w:r w:rsidRPr="001A3D2B">
          <w:t>United Kingdom</w:t>
        </w:r>
      </w:smartTag>
      <w:r w:rsidRPr="001A3D2B">
        <w:t>,</w:t>
      </w:r>
      <w:r w:rsidR="005853A9">
        <w:t xml:space="preserve"> and </w:t>
      </w:r>
      <w:r w:rsidRPr="001A3D2B">
        <w:t xml:space="preserve">Canada showed a negative trend </w:t>
      </w:r>
      <w:r w:rsidRPr="001A3D2B">
        <w:lastRenderedPageBreak/>
        <w:t>over</w:t>
      </w:r>
      <w:r w:rsidR="003A1917">
        <w:t xml:space="preserve"> the </w:t>
      </w:r>
      <w:r w:rsidRPr="001A3D2B">
        <w:t>last decade in terms</w:t>
      </w:r>
      <w:r w:rsidR="00427468">
        <w:t xml:space="preserve"> of </w:t>
      </w:r>
      <w:r w:rsidRPr="001A3D2B">
        <w:t>proportion</w:t>
      </w:r>
      <w:r w:rsidR="00427468">
        <w:t xml:space="preserve"> of </w:t>
      </w:r>
      <w:r w:rsidRPr="001A3D2B">
        <w:t>contribution</w:t>
      </w:r>
      <w:r w:rsidR="00427468">
        <w:t xml:space="preserve"> of </w:t>
      </w:r>
      <w:r w:rsidRPr="001A3D2B">
        <w:t>articles to</w:t>
      </w:r>
      <w:r w:rsidR="003A1917">
        <w:t xml:space="preserve"> the </w:t>
      </w:r>
      <w:r w:rsidRPr="001A3D2B">
        <w:t>clinical radiology journals. However, only</w:t>
      </w:r>
      <w:r w:rsidR="003A1917">
        <w:t xml:space="preserve"> the </w:t>
      </w:r>
      <w:r w:rsidRPr="001A3D2B">
        <w:t>United States published more articles in high-impact factor journals.</w:t>
      </w:r>
    </w:p>
    <w:p w:rsidR="003474F2" w:rsidRPr="001A3D2B" w:rsidRDefault="003474F2" w:rsidP="003474F2">
      <w:pPr>
        <w:pStyle w:val="a3"/>
      </w:pPr>
      <w:r w:rsidRPr="001A3D2B">
        <w:t xml:space="preserve">Keywords: </w:t>
      </w:r>
      <w:r w:rsidR="00D5664A">
        <w:t>MEDLINE</w:t>
      </w:r>
      <w:r w:rsidRPr="001A3D2B">
        <w:t xml:space="preserve"> Database, Publication, Radiologic Research, Research Output, Research Productivity</w:t>
      </w:r>
    </w:p>
    <w:p w:rsidR="0050689D" w:rsidRDefault="0050689D" w:rsidP="0050689D">
      <w:pPr>
        <w:pStyle w:val="a3"/>
        <w:rPr>
          <w:kern w:val="0"/>
        </w:rPr>
      </w:pPr>
      <w:r>
        <w:rPr>
          <w:rFonts w:hint="eastAsia"/>
          <w:kern w:val="0"/>
        </w:rPr>
        <w:t xml:space="preserve">? </w:t>
      </w:r>
      <w:r>
        <w:rPr>
          <w:kern w:val="0"/>
        </w:rPr>
        <w:t>Mullins, M.E. (2010), Has</w:t>
      </w:r>
      <w:r w:rsidR="003A1917">
        <w:rPr>
          <w:kern w:val="0"/>
        </w:rPr>
        <w:t xml:space="preserve"> the </w:t>
      </w:r>
      <w:r>
        <w:rPr>
          <w:kern w:val="0"/>
        </w:rPr>
        <w:t>time come for bibliometrics</w:t>
      </w:r>
      <w:r w:rsidR="005853A9">
        <w:rPr>
          <w:kern w:val="0"/>
        </w:rPr>
        <w:t xml:space="preserve"> and </w:t>
      </w:r>
      <w:r w:rsidR="003A1917">
        <w:rPr>
          <w:kern w:val="0"/>
        </w:rPr>
        <w:t xml:space="preserve">the </w:t>
      </w:r>
      <w:r w:rsidR="00D5664A">
        <w:rPr>
          <w:i/>
          <w:kern w:val="0"/>
        </w:rPr>
        <w:t>h-Index</w:t>
      </w:r>
      <w:r>
        <w:rPr>
          <w:kern w:val="0"/>
        </w:rPr>
        <w:t xml:space="preserve"> in </w:t>
      </w:r>
      <w:r w:rsidRPr="0050689D">
        <w:rPr>
          <w:i/>
          <w:kern w:val="0"/>
        </w:rPr>
        <w:t>Academic Radiology</w:t>
      </w:r>
      <w:r>
        <w:rPr>
          <w:kern w:val="0"/>
        </w:rPr>
        <w:t xml:space="preserve">? </w:t>
      </w:r>
      <w:r>
        <w:rPr>
          <w:i/>
          <w:iCs/>
          <w:kern w:val="0"/>
        </w:rPr>
        <w:t>Academic Radiology</w:t>
      </w:r>
      <w:r>
        <w:rPr>
          <w:kern w:val="0"/>
        </w:rPr>
        <w:t xml:space="preserve">, </w:t>
      </w:r>
      <w:r>
        <w:rPr>
          <w:b/>
          <w:bCs/>
          <w:kern w:val="0"/>
        </w:rPr>
        <w:t>17</w:t>
      </w:r>
      <w:r>
        <w:rPr>
          <w:kern w:val="0"/>
        </w:rPr>
        <w:t xml:space="preserve"> (7), 815-816</w:t>
      </w:r>
      <w:r>
        <w:rPr>
          <w:rFonts w:hint="eastAsia"/>
          <w:kern w:val="0"/>
        </w:rPr>
        <w:t>.</w:t>
      </w:r>
    </w:p>
    <w:p w:rsidR="0050689D" w:rsidRPr="00F219CA" w:rsidRDefault="0050689D" w:rsidP="0050689D">
      <w:pPr>
        <w:pStyle w:val="a3"/>
      </w:pPr>
      <w:r w:rsidRPr="00F219CA">
        <w:t xml:space="preserve">Full Text: </w:t>
      </w:r>
      <w:hyperlink r:id="rId49" w:history="1">
        <w:r w:rsidR="002457A2" w:rsidRPr="002457A2">
          <w:rPr>
            <w:rStyle w:val="a5"/>
          </w:rPr>
          <w:t>2010\Aca Rad17, 815.pdf</w:t>
        </w:r>
      </w:hyperlink>
    </w:p>
    <w:p w:rsidR="0050689D" w:rsidRDefault="0050689D" w:rsidP="0050689D">
      <w:pPr>
        <w:pStyle w:val="a3"/>
        <w:rPr>
          <w:kern w:val="0"/>
        </w:rPr>
      </w:pPr>
      <w:r>
        <w:rPr>
          <w:kern w:val="0"/>
        </w:rPr>
        <w:t>Keywords: Bibliometrics, Quality</w:t>
      </w:r>
    </w:p>
    <w:p w:rsidR="00AB286B" w:rsidRDefault="00AB286B" w:rsidP="00AB286B">
      <w:pPr>
        <w:pStyle w:val="a3"/>
        <w:rPr>
          <w:kern w:val="0"/>
        </w:rPr>
      </w:pPr>
      <w:r>
        <w:rPr>
          <w:rFonts w:hint="eastAsia"/>
          <w:kern w:val="0"/>
        </w:rPr>
        <w:t xml:space="preserve">? </w:t>
      </w:r>
      <w:r>
        <w:t>Rad</w:t>
      </w:r>
      <w:r>
        <w:rPr>
          <w:rFonts w:hint="eastAsia"/>
        </w:rPr>
        <w:t>,</w:t>
      </w:r>
      <w:r>
        <w:t xml:space="preserve"> A</w:t>
      </w:r>
      <w:r>
        <w:rPr>
          <w:rFonts w:hint="eastAsia"/>
        </w:rPr>
        <w:t>.</w:t>
      </w:r>
      <w:r>
        <w:t>E</w:t>
      </w:r>
      <w:r>
        <w:rPr>
          <w:rFonts w:hint="eastAsia"/>
        </w:rPr>
        <w:t>.,</w:t>
      </w:r>
      <w:r>
        <w:t xml:space="preserve"> Brinjikji</w:t>
      </w:r>
      <w:r>
        <w:rPr>
          <w:rFonts w:hint="eastAsia"/>
        </w:rPr>
        <w:t>,</w:t>
      </w:r>
      <w:r>
        <w:t xml:space="preserve"> W</w:t>
      </w:r>
      <w:r>
        <w:rPr>
          <w:rFonts w:hint="eastAsia"/>
        </w:rPr>
        <w:t>.,</w:t>
      </w:r>
      <w:r>
        <w:t xml:space="preserve"> Cloft</w:t>
      </w:r>
      <w:r>
        <w:rPr>
          <w:rFonts w:hint="eastAsia"/>
        </w:rPr>
        <w:t>,</w:t>
      </w:r>
      <w:r>
        <w:t xml:space="preserve"> H</w:t>
      </w:r>
      <w:r>
        <w:rPr>
          <w:rFonts w:hint="eastAsia"/>
        </w:rPr>
        <w:t>.</w:t>
      </w:r>
      <w:r>
        <w:t>J</w:t>
      </w:r>
      <w:r>
        <w:rPr>
          <w:rFonts w:hint="eastAsia"/>
        </w:rPr>
        <w:t>.</w:t>
      </w:r>
      <w:r w:rsidR="005853A9">
        <w:rPr>
          <w:rFonts w:hint="eastAsia"/>
        </w:rPr>
        <w:t xml:space="preserve"> and </w:t>
      </w:r>
      <w:r>
        <w:t>Kallmes</w:t>
      </w:r>
      <w:r>
        <w:rPr>
          <w:rFonts w:hint="eastAsia"/>
        </w:rPr>
        <w:t>,</w:t>
      </w:r>
      <w:r>
        <w:t xml:space="preserve"> D</w:t>
      </w:r>
      <w:r>
        <w:rPr>
          <w:rFonts w:hint="eastAsia"/>
        </w:rPr>
        <w:t>.</w:t>
      </w:r>
      <w:r>
        <w:t>F</w:t>
      </w:r>
      <w:r>
        <w:rPr>
          <w:rFonts w:hint="eastAsia"/>
        </w:rPr>
        <w:t>.</w:t>
      </w:r>
      <w:r>
        <w:rPr>
          <w:kern w:val="0"/>
        </w:rPr>
        <w:t xml:space="preserve"> (2010</w:t>
      </w:r>
      <w:r w:rsidR="00F42EAC">
        <w:rPr>
          <w:kern w:val="0"/>
        </w:rPr>
        <w:t>), The</w:t>
      </w:r>
      <w:r w:rsidR="003A1917">
        <w:rPr>
          <w:kern w:val="0"/>
        </w:rPr>
        <w:t xml:space="preserve"> </w:t>
      </w:r>
      <w:r w:rsidR="00D5664A">
        <w:t>h-Index</w:t>
      </w:r>
      <w:r>
        <w:t xml:space="preserve"> in </w:t>
      </w:r>
      <w:r w:rsidRPr="00DF0ADA">
        <w:rPr>
          <w:i/>
        </w:rPr>
        <w:t>Academic Radiology</w:t>
      </w:r>
      <w:r>
        <w:rPr>
          <w:rFonts w:hint="eastAsia"/>
          <w:kern w:val="0"/>
        </w:rPr>
        <w:t>.</w:t>
      </w:r>
      <w:r>
        <w:rPr>
          <w:kern w:val="0"/>
        </w:rPr>
        <w:t xml:space="preserve"> </w:t>
      </w:r>
      <w:r>
        <w:rPr>
          <w:i/>
          <w:iCs/>
          <w:kern w:val="0"/>
        </w:rPr>
        <w:t>Academic Radiology</w:t>
      </w:r>
      <w:r>
        <w:rPr>
          <w:kern w:val="0"/>
        </w:rPr>
        <w:t xml:space="preserve">, </w:t>
      </w:r>
      <w:r>
        <w:rPr>
          <w:b/>
          <w:bCs/>
          <w:kern w:val="0"/>
        </w:rPr>
        <w:t>17</w:t>
      </w:r>
      <w:r>
        <w:rPr>
          <w:kern w:val="0"/>
        </w:rPr>
        <w:t xml:space="preserve"> (7), </w:t>
      </w:r>
      <w:r>
        <w:t>817-821</w:t>
      </w:r>
      <w:r>
        <w:rPr>
          <w:rFonts w:hint="eastAsia"/>
          <w:kern w:val="0"/>
        </w:rPr>
        <w:t>.</w:t>
      </w:r>
    </w:p>
    <w:p w:rsidR="00AB286B" w:rsidRDefault="00AB286B" w:rsidP="00AB286B">
      <w:pPr>
        <w:pStyle w:val="a3"/>
      </w:pPr>
      <w:r w:rsidRPr="00F219CA">
        <w:t xml:space="preserve">Full Text: </w:t>
      </w:r>
      <w:hyperlink r:id="rId50" w:history="1">
        <w:r w:rsidR="002457A2" w:rsidRPr="002457A2">
          <w:rPr>
            <w:rStyle w:val="a5"/>
          </w:rPr>
          <w:t>2010\Aca Rad17, 817.pdf</w:t>
        </w:r>
      </w:hyperlink>
    </w:p>
    <w:p w:rsidR="00AB286B" w:rsidRDefault="00AB286B" w:rsidP="00AB286B">
      <w:pPr>
        <w:pStyle w:val="a3"/>
      </w:pPr>
      <w:r>
        <w:t>Abstract: Rationale</w:t>
      </w:r>
      <w:r w:rsidR="005853A9">
        <w:t xml:space="preserve"> and </w:t>
      </w:r>
      <w:r>
        <w:t>Objectives:</w:t>
      </w:r>
      <w:r w:rsidR="003A1917">
        <w:t xml:space="preserve"> the </w:t>
      </w:r>
      <w:r w:rsidR="00D5664A">
        <w:t>h Index</w:t>
      </w:r>
      <w:r>
        <w:t xml:space="preserve"> is a recently developed tool to assess</w:t>
      </w:r>
      <w:r w:rsidR="003A1917">
        <w:t xml:space="preserve"> the </w:t>
      </w:r>
      <w:r>
        <w:t>impact</w:t>
      </w:r>
      <w:r w:rsidR="00427468">
        <w:t xml:space="preserve"> of </w:t>
      </w:r>
      <w:r>
        <w:t>an author</w:t>
      </w:r>
      <w:r w:rsidR="00700038">
        <w:t>’</w:t>
      </w:r>
      <w:r w:rsidR="00C13DDC">
        <w:t>s</w:t>
      </w:r>
      <w:r>
        <w:t xml:space="preserve"> publications</w:t>
      </w:r>
      <w:r w:rsidR="00A37C1D">
        <w:t>. The</w:t>
      </w:r>
      <w:r w:rsidR="003A1917">
        <w:t xml:space="preserve"> </w:t>
      </w:r>
      <w:r>
        <w:t>purpose</w:t>
      </w:r>
      <w:r w:rsidR="00427468">
        <w:t xml:space="preserve"> of </w:t>
      </w:r>
      <w:r>
        <w:t>this study was to apply</w:t>
      </w:r>
      <w:r w:rsidR="005853A9">
        <w:t xml:space="preserve"> and </w:t>
      </w:r>
      <w:r>
        <w:t>evaluate</w:t>
      </w:r>
      <w:r w:rsidR="003A1917">
        <w:t xml:space="preserve"> the </w:t>
      </w:r>
      <w:r w:rsidR="00D5664A">
        <w:t>h Index</w:t>
      </w:r>
      <w:r>
        <w:t>es</w:t>
      </w:r>
      <w:r w:rsidR="00427468">
        <w:t xml:space="preserve"> of </w:t>
      </w:r>
      <w:r>
        <w:t>US academic radiologists.</w:t>
      </w:r>
    </w:p>
    <w:p w:rsidR="00AB286B" w:rsidRDefault="00AB286B" w:rsidP="00AB286B">
      <w:pPr>
        <w:pStyle w:val="a3"/>
      </w:pPr>
      <w:r>
        <w:t>Materials</w:t>
      </w:r>
      <w:r w:rsidR="005853A9">
        <w:t xml:space="preserve"> and </w:t>
      </w:r>
      <w:r>
        <w:t>Methods: Radiology programs that participated in</w:t>
      </w:r>
      <w:r w:rsidR="003A1917">
        <w:t xml:space="preserve"> the </w:t>
      </w:r>
      <w:r>
        <w:t>residency match in 2009 were identified through</w:t>
      </w:r>
      <w:r w:rsidR="003A1917">
        <w:t xml:space="preserve"> the </w:t>
      </w:r>
      <w:r>
        <w:t>National Resident Matching Program</w:t>
      </w:r>
      <w:r w:rsidR="00700038">
        <w:t>’</w:t>
      </w:r>
      <w:r w:rsidR="00C13DDC">
        <w:t>s</w:t>
      </w:r>
      <w:r>
        <w:t xml:space="preserve"> Web site. One third</w:t>
      </w:r>
      <w:r w:rsidR="00427468">
        <w:t xml:space="preserve"> of </w:t>
      </w:r>
      <w:r>
        <w:t>programs were randomly selected</w:t>
      </w:r>
      <w:r w:rsidR="00A37C1D">
        <w:t>. The</w:t>
      </w:r>
      <w:r w:rsidR="003A1917">
        <w:t xml:space="preserve"> </w:t>
      </w:r>
      <w:r>
        <w:t>academic ranks (instructor, assistant professor, associate professor, professor, or chairperson)</w:t>
      </w:r>
      <w:r w:rsidR="00427468">
        <w:t xml:space="preserve"> of </w:t>
      </w:r>
      <w:r>
        <w:t>faculty members were determined on</w:t>
      </w:r>
      <w:r w:rsidR="003A1917">
        <w:t xml:space="preserve"> the </w:t>
      </w:r>
      <w:r>
        <w:t>basis</w:t>
      </w:r>
      <w:r w:rsidR="00427468">
        <w:t xml:space="preserve"> of </w:t>
      </w:r>
      <w:r>
        <w:t>information from</w:t>
      </w:r>
      <w:r w:rsidR="003A1917">
        <w:t xml:space="preserve"> the </w:t>
      </w:r>
      <w:r>
        <w:t>programs Web sites during October</w:t>
      </w:r>
      <w:r w:rsidR="005853A9">
        <w:t xml:space="preserve"> and </w:t>
      </w:r>
      <w:r>
        <w:t>November 2009. One third</w:t>
      </w:r>
      <w:r w:rsidR="00427468">
        <w:t xml:space="preserve"> of </w:t>
      </w:r>
      <w:r>
        <w:t xml:space="preserve">radiologists at each randomly selected institution were randomly selected for detailed analysis. For each radiologist, an automatically computed </w:t>
      </w:r>
      <w:r w:rsidR="00D5664A">
        <w:t>h Index</w:t>
      </w:r>
      <w:r>
        <w:t xml:space="preserve"> was obtained through</w:t>
      </w:r>
      <w:r w:rsidR="003A1917">
        <w:t xml:space="preserve"> the </w:t>
      </w:r>
      <w:r>
        <w:t>Scopus database</w:t>
      </w:r>
      <w:r w:rsidR="00A37C1D">
        <w:t>. The</w:t>
      </w:r>
      <w:r w:rsidR="003A1917">
        <w:t xml:space="preserve"> </w:t>
      </w:r>
      <w:r w:rsidR="00D5664A">
        <w:t>h Index</w:t>
      </w:r>
      <w:r>
        <w:t xml:space="preserve"> was compared across ranks using analysis</w:t>
      </w:r>
      <w:r w:rsidR="00427468">
        <w:t xml:space="preserve"> of </w:t>
      </w:r>
      <w:r>
        <w:t>variance. A multivariate logistic regression analysis was also performed to determine</w:t>
      </w:r>
      <w:r w:rsidR="003A1917">
        <w:t xml:space="preserve"> the </w:t>
      </w:r>
      <w:r>
        <w:t>best predictors (number</w:t>
      </w:r>
      <w:r w:rsidR="00427468">
        <w:t xml:space="preserve"> of </w:t>
      </w:r>
      <w:r>
        <w:t>publications, number</w:t>
      </w:r>
      <w:r w:rsidR="00427468">
        <w:t xml:space="preserve"> of </w:t>
      </w:r>
      <w:r>
        <w:t xml:space="preserve">citations, </w:t>
      </w:r>
      <w:r w:rsidR="00D5664A">
        <w:t>h Index</w:t>
      </w:r>
      <w:r>
        <w:t>,</w:t>
      </w:r>
      <w:r w:rsidR="005853A9">
        <w:t xml:space="preserve"> and </w:t>
      </w:r>
      <w:r>
        <w:t>number</w:t>
      </w:r>
      <w:r w:rsidR="00427468">
        <w:t xml:space="preserve"> of </w:t>
      </w:r>
      <w:r>
        <w:t>citations per publication)</w:t>
      </w:r>
      <w:r w:rsidR="00427468">
        <w:t xml:space="preserve"> of </w:t>
      </w:r>
      <w:r>
        <w:t>academic rank.</w:t>
      </w:r>
    </w:p>
    <w:p w:rsidR="00AB286B" w:rsidRDefault="00AB286B" w:rsidP="00AB286B">
      <w:pPr>
        <w:pStyle w:val="a3"/>
      </w:pPr>
      <w:r>
        <w:t>Results: Sixty hundred eighty-three radiologists from 47 programs were included in this study</w:t>
      </w:r>
      <w:r w:rsidR="00A37C1D">
        <w:t>. The</w:t>
      </w:r>
      <w:r w:rsidR="003A1917">
        <w:t xml:space="preserve"> </w:t>
      </w:r>
      <w:r>
        <w:t xml:space="preserve">mean </w:t>
      </w:r>
      <w:r w:rsidR="00D5664A">
        <w:t>h Index</w:t>
      </w:r>
      <w:r>
        <w:t>es were 1.1</w:t>
      </w:r>
      <w:r w:rsidR="00BF0BA9">
        <w:t>±</w:t>
      </w:r>
      <w:r>
        <w:t>2.7 for instructors, 2.3</w:t>
      </w:r>
      <w:r w:rsidR="00BF0BA9">
        <w:t>±</w:t>
      </w:r>
      <w:r>
        <w:t>4.1 for assistant professors, 6.2</w:t>
      </w:r>
      <w:r w:rsidR="00BF0BA9">
        <w:t>±</w:t>
      </w:r>
      <w:r>
        <w:t>7.2 for associate professors, 12.5</w:t>
      </w:r>
      <w:r w:rsidR="00BF0BA9">
        <w:t>±</w:t>
      </w:r>
      <w:r>
        <w:t>10.8 for full professors,</w:t>
      </w:r>
      <w:r w:rsidR="005853A9">
        <w:t xml:space="preserve"> and </w:t>
      </w:r>
      <w:r>
        <w:t>12.0</w:t>
      </w:r>
      <w:r w:rsidR="00BF0BA9">
        <w:t>±</w:t>
      </w:r>
      <w:r>
        <w:t>9.5 for chairpersons</w:t>
      </w:r>
      <w:r w:rsidR="00A37C1D">
        <w:t>. The</w:t>
      </w:r>
      <w:r>
        <w:t xml:space="preserve">re was a significant relationship between </w:t>
      </w:r>
      <w:r w:rsidR="00D5664A">
        <w:t>h Index</w:t>
      </w:r>
      <w:r w:rsidR="005853A9">
        <w:t xml:space="preserve"> and </w:t>
      </w:r>
      <w:r>
        <w:t xml:space="preserve">academic rank (P&lt;.0001). Multivariate logistic regression analysis demonstrated that </w:t>
      </w:r>
      <w:r w:rsidR="00D5664A">
        <w:t>h Index</w:t>
      </w:r>
      <w:r>
        <w:t xml:space="preserve"> (P&lt;.0001)</w:t>
      </w:r>
      <w:r w:rsidR="005853A9">
        <w:t xml:space="preserve"> and </w:t>
      </w:r>
      <w:r>
        <w:t>number</w:t>
      </w:r>
      <w:r w:rsidR="00427468">
        <w:t xml:space="preserve"> of </w:t>
      </w:r>
      <w:r>
        <w:t>publications (P&lt;.0001) were</w:t>
      </w:r>
      <w:r w:rsidR="003A1917">
        <w:t xml:space="preserve"> the </w:t>
      </w:r>
      <w:r>
        <w:t>best predictors</w:t>
      </w:r>
      <w:r w:rsidR="00427468">
        <w:t xml:space="preserve"> of </w:t>
      </w:r>
      <w:r>
        <w:t>academic rank.</w:t>
      </w:r>
    </w:p>
    <w:p w:rsidR="00AB286B" w:rsidRDefault="00AB286B" w:rsidP="00AB286B">
      <w:pPr>
        <w:pStyle w:val="a3"/>
      </w:pPr>
      <w:r>
        <w:t xml:space="preserve">Conclusion: There exists a significant relationship between </w:t>
      </w:r>
      <w:r w:rsidR="00D5664A">
        <w:t>h Index</w:t>
      </w:r>
      <w:r w:rsidR="005853A9">
        <w:t xml:space="preserve"> and </w:t>
      </w:r>
      <w:r>
        <w:t xml:space="preserve">academic rank, with </w:t>
      </w:r>
      <w:r w:rsidR="00D5664A">
        <w:t>h Index</w:t>
      </w:r>
      <w:r>
        <w:t xml:space="preserve"> increasing with academic rank</w:t>
      </w:r>
      <w:r w:rsidR="00A37C1D">
        <w:t>. The</w:t>
      </w:r>
      <w:r>
        <w:t>se results offer a benchmark for comparing a given academic radiologist to national averages.</w:t>
      </w:r>
    </w:p>
    <w:p w:rsidR="00AB286B" w:rsidRPr="00F219CA" w:rsidRDefault="00AB286B" w:rsidP="00AB286B">
      <w:pPr>
        <w:pStyle w:val="a3"/>
      </w:pPr>
      <w:r>
        <w:t xml:space="preserve">Keywords: </w:t>
      </w:r>
      <w:r w:rsidR="00D5664A">
        <w:rPr>
          <w:rFonts w:hint="eastAsia"/>
        </w:rPr>
        <w:t>h-Index</w:t>
      </w:r>
      <w:r>
        <w:t>, Radiology, Impact Factor</w:t>
      </w:r>
    </w:p>
    <w:p w:rsidR="00067D36" w:rsidRDefault="00067D36" w:rsidP="00067D36">
      <w:pPr>
        <w:pStyle w:val="a3"/>
        <w:rPr>
          <w:kern w:val="0"/>
        </w:rPr>
      </w:pPr>
      <w:r>
        <w:rPr>
          <w:kern w:val="0"/>
        </w:rPr>
        <w:t xml:space="preserve">? Pagni, M., Khan, N.R., Cohen, H.L. and Choudhri, A.F. (2014), Highly cited works in </w:t>
      </w:r>
      <w:r>
        <w:rPr>
          <w:kern w:val="0"/>
        </w:rPr>
        <w:lastRenderedPageBreak/>
        <w:t xml:space="preserve">radiology: The top 100 cited articles in radiologic journals. </w:t>
      </w:r>
      <w:r>
        <w:rPr>
          <w:i/>
          <w:iCs/>
          <w:kern w:val="0"/>
        </w:rPr>
        <w:t>Academic Radiology</w:t>
      </w:r>
      <w:r>
        <w:rPr>
          <w:kern w:val="0"/>
        </w:rPr>
        <w:t xml:space="preserve">, </w:t>
      </w:r>
      <w:r>
        <w:rPr>
          <w:b/>
          <w:bCs/>
          <w:kern w:val="0"/>
        </w:rPr>
        <w:t>21</w:t>
      </w:r>
      <w:r>
        <w:rPr>
          <w:kern w:val="0"/>
        </w:rPr>
        <w:t xml:space="preserve"> (8), 1056-1066.</w:t>
      </w:r>
    </w:p>
    <w:p w:rsidR="00067D36" w:rsidRDefault="00067D36" w:rsidP="00067D36">
      <w:pPr>
        <w:pStyle w:val="a3"/>
      </w:pPr>
      <w:r w:rsidRPr="00F219CA">
        <w:t xml:space="preserve">Full Text: </w:t>
      </w:r>
      <w:hyperlink r:id="rId51" w:history="1">
        <w:r w:rsidRPr="00067D36">
          <w:rPr>
            <w:rStyle w:val="a5"/>
          </w:rPr>
          <w:t>2014\Aca Rad21, 1056.pdf</w:t>
        </w:r>
      </w:hyperlink>
    </w:p>
    <w:p w:rsidR="00067D36" w:rsidRDefault="00067D36" w:rsidP="00067D36">
      <w:pPr>
        <w:pStyle w:val="a3"/>
        <w:rPr>
          <w:kern w:val="0"/>
        </w:rPr>
      </w:pPr>
      <w:r>
        <w:rPr>
          <w:kern w:val="0"/>
        </w:rPr>
        <w:t>Abstract: Rationale and Objectives: The number of citations a publication receives can be used to show its impact on a field of study. It may indicate the-educational interest in a given population or underline a perceived or real educational-gap. This article identifies and characterizes the 100 top cited publications in radiologic journals as of May 2013. Materials-and Methods: All clinical radiologic journals listed by Thomson Reuters Journal Citation Reports in 2011 were identified. A total of 46 journals were identified, and all articles published within these journals were analyzed for citation counts. The top 100 highly cited articles were recorded. Results: The most frequently cited radiologic articles appeared in 9 of the 46 journals. These included 59 articles in Radiology, 17 in Journal of Nuclear Medicine, 9 in the American Journal of Roentgenology, 5 in the British Journal of Radiology, 4 in Investigative Radiology, 2 in American Journal of Neuroradiology, 2 in European Radiology, 2 in Radiologic Clinics of North America, 1 in the Seminars in Nuclear Medicine, and 1 in Pediatric Radiology. The citation values ranged from 422 to 7506 with a mean of 751. Publication dates ranged from 1967 to 2006 with the 5-year period between 1986 and 1990 accounting for the: largest percentage of articles. The most frequently studied radiologic modality was magnetic resonance imaging (MRI; 28 articles), followed by vascular/interventional (19 articles) and nuclear medicine (13 articles). The central nervous system-was the most frequently studied organ system (22 articles), followed by Mixed organ systems (14 articles) and liver (12 articles). Conclusions: the top Cited articles in radiologic journals span a wide range of imaging modalities, subspecialties, and organ systems. Topics that occurred frequently in the top 100 cited articles included contrast and radiopharmaceutical characterization, MRI of motion, percutaneous radiofrequency ablation in the liver and percutaneous vertebroplasty. We present a methodology that uses citation analysis to identify and characterize these articles. Its use may aid radiologists, academic organization, and editorial staff in determining areas-of imaging interest or perceived educational gap. It also highlights the importance of including classic articles in current imaging education.</w:t>
      </w:r>
    </w:p>
    <w:p w:rsidR="00067D36" w:rsidRDefault="00067D36" w:rsidP="00067D36">
      <w:pPr>
        <w:pStyle w:val="a3"/>
        <w:rPr>
          <w:kern w:val="0"/>
        </w:rPr>
      </w:pPr>
      <w:r>
        <w:rPr>
          <w:kern w:val="0"/>
        </w:rPr>
        <w:t xml:space="preserve">Keywords: Ablation, Ajr, Analysis, Article, Articles, Bibliometrics, Characterization, Citation, Citation Analysis, Citation Counts, Citation-Classics, Citations, Clinical, Education, Field, Google Scholar, Highly Cited, Highly Cited Articles, Highly-Cited, Imaging, Impact, Impact Factor, Journal, Journal Citation Reports, Journals, Liver, Magnetic, Magnetic Resonance, Magnetic Resonance Imaging, Medicine, Methodology, Methods, Modalities, Mri, North, North America, Nuclear Medicine, Ophthalmology Journals, Organization, Orthopedic-Surgery, Pediatric Neurosurgery, </w:t>
      </w:r>
      <w:r>
        <w:rPr>
          <w:kern w:val="0"/>
        </w:rPr>
        <w:lastRenderedPageBreak/>
        <w:t>Percutaneous, Population, Publication, Publications, Radiologists, Radiology, Results, Scientometrics, Scopus, Surgery Journals, Systems, Thomson Reuters, Thomson-Reuters, Top 100, Top-Cited, Topics, Urology, Web Of Science</w:t>
      </w:r>
    </w:p>
    <w:p w:rsidR="003474F2" w:rsidRPr="001A3D2B" w:rsidRDefault="003474F2" w:rsidP="003474F2">
      <w:pPr>
        <w:pStyle w:val="1"/>
      </w:pPr>
      <w:r w:rsidRPr="001A3D2B">
        <w:br w:type="page"/>
      </w:r>
      <w:bookmarkStart w:id="25" w:name="_Toc81215568"/>
      <w:bookmarkStart w:id="26" w:name="_Toc420814235"/>
      <w:r w:rsidRPr="001A3D2B">
        <w:lastRenderedPageBreak/>
        <w:t>Title: Academy</w:t>
      </w:r>
      <w:r w:rsidR="00427468">
        <w:t xml:space="preserve"> of </w:t>
      </w:r>
      <w:r w:rsidRPr="001A3D2B">
        <w:t>Management Journal</w:t>
      </w:r>
      <w:bookmarkEnd w:id="3"/>
      <w:bookmarkEnd w:id="4"/>
      <w:bookmarkEnd w:id="25"/>
      <w:bookmarkEnd w:id="26"/>
    </w:p>
    <w:p w:rsidR="003474F2" w:rsidRPr="001A3D2B" w:rsidRDefault="003474F2" w:rsidP="003474F2">
      <w:pPr>
        <w:pStyle w:val="12"/>
      </w:pPr>
      <w:r w:rsidRPr="001A3D2B">
        <w:t xml:space="preserve">Full Journal Title: </w:t>
      </w:r>
      <w:hyperlink r:id="rId52" w:history="1">
        <w:r w:rsidRPr="001A3D2B">
          <w:rPr>
            <w:rStyle w:val="a5"/>
          </w:rPr>
          <w:t>Academy</w:t>
        </w:r>
        <w:r w:rsidR="00427468">
          <w:rPr>
            <w:rStyle w:val="a5"/>
          </w:rPr>
          <w:t xml:space="preserve"> of </w:t>
        </w:r>
        <w:r w:rsidRPr="001A3D2B">
          <w:rPr>
            <w:rStyle w:val="a5"/>
          </w:rPr>
          <w:t>Management Journal</w:t>
        </w:r>
      </w:hyperlink>
    </w:p>
    <w:p w:rsidR="003474F2" w:rsidRPr="001A3D2B" w:rsidRDefault="003474F2" w:rsidP="003474F2">
      <w:pPr>
        <w:pStyle w:val="12"/>
      </w:pPr>
      <w:r w:rsidRPr="001A3D2B">
        <w:t>ISO Abbreviated Title: Acad. Manage. J.</w:t>
      </w:r>
    </w:p>
    <w:p w:rsidR="003474F2" w:rsidRPr="001A3D2B" w:rsidRDefault="003474F2" w:rsidP="003474F2">
      <w:pPr>
        <w:pStyle w:val="12"/>
      </w:pPr>
      <w:r w:rsidRPr="001A3D2B">
        <w:t>JCR Abbreviated Title: Acad Manage J</w:t>
      </w:r>
    </w:p>
    <w:p w:rsidR="003474F2" w:rsidRPr="001A3D2B" w:rsidRDefault="003474F2" w:rsidP="003474F2">
      <w:pPr>
        <w:pStyle w:val="12"/>
      </w:pPr>
      <w:r w:rsidRPr="001A3D2B">
        <w:t>ISSN: 0001-4273</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Acad Management</w:t>
      </w:r>
    </w:p>
    <w:p w:rsidR="003474F2" w:rsidRPr="001A3D2B" w:rsidRDefault="003474F2" w:rsidP="003474F2">
      <w:pPr>
        <w:pStyle w:val="12"/>
      </w:pPr>
      <w:r w:rsidRPr="001A3D2B">
        <w:t xml:space="preserve">Publisher Address: Pace Univ, </w:t>
      </w:r>
      <w:smartTag w:uri="urn:schemas-microsoft-com:office:smarttags" w:element="address">
        <w:smartTag w:uri="urn:schemas-microsoft-com:office:smarttags" w:element="Street">
          <w:r w:rsidRPr="001A3D2B">
            <w:t>PO Box</w:t>
          </w:r>
        </w:smartTag>
        <w:r w:rsidRPr="001A3D2B">
          <w:t xml:space="preserve"> 3020</w:t>
        </w:r>
      </w:smartTag>
      <w:r w:rsidRPr="001A3D2B">
        <w:t xml:space="preserve">, </w:t>
      </w:r>
      <w:smartTag w:uri="urn:schemas-microsoft-com:office:smarttags" w:element="address">
        <w:smartTag w:uri="urn:schemas-microsoft-com:office:smarttags" w:element="Street">
          <w:r w:rsidRPr="001A3D2B">
            <w:t>235 Elm Rd</w:t>
          </w:r>
        </w:smartTag>
        <w:r w:rsidRPr="001A3D2B">
          <w:t xml:space="preserve">, </w:t>
        </w:r>
        <w:smartTag w:uri="urn:schemas-microsoft-com:office:smarttags" w:element="City">
          <w:r w:rsidRPr="001A3D2B">
            <w:t>Briarcliff Manor</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10510-8020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Business: Impact Factor 2.375, 7/54 (2000) </w:t>
      </w:r>
      <w:r w:rsidR="00D5664A">
        <w:t>SSCI</w:t>
      </w:r>
    </w:p>
    <w:p w:rsidR="003474F2" w:rsidRPr="001A3D2B" w:rsidRDefault="003474F2" w:rsidP="003474F2">
      <w:pPr>
        <w:pStyle w:val="12"/>
      </w:pPr>
      <w:r w:rsidRPr="001A3D2B">
        <w:t xml:space="preserve">Management: Impact Factor 2.375, 6/60 (2000) </w:t>
      </w:r>
      <w:r w:rsidR="00D5664A">
        <w:t>SSCI</w:t>
      </w:r>
    </w:p>
    <w:p w:rsidR="003474F2" w:rsidRPr="001A3D2B" w:rsidRDefault="003474F2" w:rsidP="003474F2">
      <w:pPr>
        <w:pStyle w:val="a3"/>
      </w:pPr>
      <w:r w:rsidRPr="001A3D2B">
        <w:t>Notes: TTopic</w:t>
      </w:r>
    </w:p>
    <w:p w:rsidR="003474F2" w:rsidRPr="001A3D2B" w:rsidRDefault="003474F2" w:rsidP="003474F2">
      <w:pPr>
        <w:pStyle w:val="a3"/>
      </w:pPr>
      <w:r w:rsidRPr="001A3D2B">
        <w:t>Gomez-Mejia, L.R.</w:t>
      </w:r>
      <w:r w:rsidR="005853A9">
        <w:t xml:space="preserve"> and </w:t>
      </w:r>
      <w:r w:rsidRPr="001A3D2B">
        <w:t>Balkin, D.B. (1992), Determinants</w:t>
      </w:r>
      <w:r w:rsidR="00427468">
        <w:t xml:space="preserve"> of </w:t>
      </w:r>
      <w:r w:rsidRPr="001A3D2B">
        <w:t xml:space="preserve">faculty pay: An agency theory perspective. </w:t>
      </w:r>
      <w:r w:rsidRPr="001A3D2B">
        <w:rPr>
          <w:i/>
          <w:iCs/>
        </w:rPr>
        <w:t>Academy</w:t>
      </w:r>
      <w:r w:rsidR="00427468">
        <w:rPr>
          <w:i/>
          <w:iCs/>
        </w:rPr>
        <w:t xml:space="preserve"> of </w:t>
      </w:r>
      <w:r w:rsidRPr="001A3D2B">
        <w:rPr>
          <w:i/>
          <w:iCs/>
        </w:rPr>
        <w:t>Management Journal</w:t>
      </w:r>
      <w:r w:rsidRPr="001A3D2B">
        <w:t xml:space="preserve">, </w:t>
      </w:r>
      <w:r w:rsidRPr="001A3D2B">
        <w:rPr>
          <w:b/>
          <w:bCs/>
        </w:rPr>
        <w:t>35</w:t>
      </w:r>
      <w:r w:rsidRPr="001A3D2B">
        <w:t xml:space="preserve"> (5), 921-955.</w:t>
      </w:r>
    </w:p>
    <w:p w:rsidR="003474F2" w:rsidRPr="001A3D2B" w:rsidRDefault="003474F2" w:rsidP="003474F2">
      <w:pPr>
        <w:pStyle w:val="a3"/>
      </w:pPr>
      <w:r w:rsidRPr="001A3D2B">
        <w:t xml:space="preserve">Full Text: </w:t>
      </w:r>
      <w:hyperlink r:id="rId53" w:history="1">
        <w:r w:rsidRPr="001A3D2B">
          <w:rPr>
            <w:rStyle w:val="a5"/>
          </w:rPr>
          <w:t>1992\Aca Man J35, 921.pdf</w:t>
        </w:r>
      </w:hyperlink>
    </w:p>
    <w:p w:rsidR="003474F2" w:rsidRPr="001A3D2B" w:rsidRDefault="003474F2" w:rsidP="003474F2">
      <w:pPr>
        <w:pStyle w:val="a3"/>
      </w:pPr>
      <w:r w:rsidRPr="001A3D2B">
        <w:t>Abstract: This study tested 12 hypotheses on</w:t>
      </w:r>
      <w:r w:rsidR="003A1917">
        <w:t xml:space="preserve"> the </w:t>
      </w:r>
      <w:r w:rsidRPr="001A3D2B">
        <w:t>determinants</w:t>
      </w:r>
      <w:r w:rsidR="00427468">
        <w:t xml:space="preserve"> of </w:t>
      </w:r>
      <w:r w:rsidRPr="001A3D2B">
        <w:t>faculty pay using an agency theory perspective</w:t>
      </w:r>
      <w:r w:rsidR="00A37C1D">
        <w:t>. The</w:t>
      </w:r>
      <w:r w:rsidR="003A1917">
        <w:t xml:space="preserve"> </w:t>
      </w:r>
      <w:r w:rsidRPr="001A3D2B">
        <w:t>sample consisted</w:t>
      </w:r>
      <w:r w:rsidR="00427468">
        <w:t xml:space="preserve"> of </w:t>
      </w:r>
      <w:r w:rsidRPr="001A3D2B">
        <w:t>353 professors</w:t>
      </w:r>
      <w:r w:rsidR="00427468">
        <w:t xml:space="preserve"> of </w:t>
      </w:r>
      <w:r w:rsidRPr="001A3D2B">
        <w:t>management. Data were collected from survey responses, curricula vitae,</w:t>
      </w:r>
      <w:r w:rsidR="005853A9">
        <w:t xml:space="preserve"> and </w:t>
      </w:r>
      <w:r w:rsidR="003A1917">
        <w:t xml:space="preserve">the </w:t>
      </w:r>
      <w:r w:rsidRPr="001A3D2B">
        <w:t>Social Science Citation Index. Results show that</w:t>
      </w:r>
      <w:r w:rsidR="003A1917">
        <w:t xml:space="preserve"> the </w:t>
      </w:r>
      <w:r w:rsidRPr="001A3D2B">
        <w:t>primary determinants</w:t>
      </w:r>
      <w:r w:rsidR="00427468">
        <w:t xml:space="preserve"> of </w:t>
      </w:r>
      <w:r w:rsidRPr="001A3D2B">
        <w:t>faculty pay, in both institutions that grant doctorates</w:t>
      </w:r>
      <w:r w:rsidR="005853A9">
        <w:t xml:space="preserve"> and </w:t>
      </w:r>
      <w:r w:rsidRPr="001A3D2B">
        <w:t>those that do not, are</w:t>
      </w:r>
      <w:r w:rsidR="003A1917">
        <w:t xml:space="preserve"> the </w:t>
      </w:r>
      <w:r w:rsidRPr="001A3D2B">
        <w:t>number</w:t>
      </w:r>
      <w:r w:rsidR="00427468">
        <w:t xml:space="preserve"> of </w:t>
      </w:r>
      <w:r w:rsidRPr="001A3D2B">
        <w:t>top-tier journal publications a faculty member has authored</w:t>
      </w:r>
      <w:r w:rsidR="005853A9">
        <w:t xml:space="preserve"> and </w:t>
      </w:r>
      <w:r w:rsidRPr="001A3D2B">
        <w:t>changes in institutional affiliation. Teaching performance</w:t>
      </w:r>
      <w:r w:rsidR="005853A9">
        <w:t xml:space="preserve"> and </w:t>
      </w:r>
      <w:r w:rsidRPr="001A3D2B">
        <w:t>numbers</w:t>
      </w:r>
      <w:r w:rsidR="00427468">
        <w:t xml:space="preserve"> of </w:t>
      </w:r>
      <w:r w:rsidRPr="001A3D2B">
        <w:t>citations, second-tier publications,</w:t>
      </w:r>
      <w:r w:rsidR="005853A9">
        <w:t xml:space="preserve"> and </w:t>
      </w:r>
      <w:r w:rsidRPr="001A3D2B">
        <w:t>books published affect pay allocations only for faculty members who have exceptional research records.</w:t>
      </w:r>
    </w:p>
    <w:p w:rsidR="003474F2" w:rsidRPr="001A3D2B" w:rsidRDefault="003474F2" w:rsidP="003474F2">
      <w:pPr>
        <w:pStyle w:val="a3"/>
      </w:pPr>
      <w:r w:rsidRPr="001A3D2B">
        <w:t>Keywords: Students Evaluations, Management Journals, Performance, Productivity, Instruction, University, Salaries, Departments, Economics, Validity</w:t>
      </w:r>
    </w:p>
    <w:p w:rsidR="003443BC" w:rsidRPr="001A3D2B" w:rsidRDefault="003443BC" w:rsidP="003443BC">
      <w:pPr>
        <w:pStyle w:val="1"/>
        <w:snapToGrid w:val="0"/>
      </w:pPr>
      <w:r w:rsidRPr="001A3D2B">
        <w:br w:type="page"/>
      </w:r>
      <w:bookmarkStart w:id="27" w:name="_Toc420814236"/>
      <w:r w:rsidRPr="001A3D2B">
        <w:lastRenderedPageBreak/>
        <w:t xml:space="preserve">Title: </w:t>
      </w:r>
      <w:r w:rsidRPr="003443BC">
        <w:rPr>
          <w:szCs w:val="24"/>
        </w:rPr>
        <w:t>Academy</w:t>
      </w:r>
      <w:r w:rsidR="00427468">
        <w:rPr>
          <w:szCs w:val="24"/>
        </w:rPr>
        <w:t xml:space="preserve"> of </w:t>
      </w:r>
      <w:r w:rsidRPr="003443BC">
        <w:rPr>
          <w:szCs w:val="24"/>
        </w:rPr>
        <w:t>Management Learning &amp; Education</w:t>
      </w:r>
      <w:bookmarkEnd w:id="27"/>
    </w:p>
    <w:p w:rsidR="003443BC" w:rsidRPr="00F219CA" w:rsidRDefault="003443BC" w:rsidP="003443BC">
      <w:pPr>
        <w:pStyle w:val="12"/>
      </w:pPr>
      <w:r w:rsidRPr="00F219CA">
        <w:t xml:space="preserve">Full Journal Title: </w:t>
      </w:r>
      <w:r w:rsidRPr="003443BC">
        <w:rPr>
          <w:iCs/>
          <w:kern w:val="0"/>
        </w:rPr>
        <w:t>Academy</w:t>
      </w:r>
      <w:r w:rsidR="00427468">
        <w:rPr>
          <w:iCs/>
          <w:kern w:val="0"/>
        </w:rPr>
        <w:t xml:space="preserve"> of </w:t>
      </w:r>
      <w:r w:rsidRPr="003443BC">
        <w:rPr>
          <w:iCs/>
          <w:kern w:val="0"/>
        </w:rPr>
        <w:t>Management Learning &amp; Education</w:t>
      </w:r>
    </w:p>
    <w:p w:rsidR="003443BC" w:rsidRPr="001A3D2B" w:rsidRDefault="003443BC" w:rsidP="003443BC">
      <w:pPr>
        <w:pStyle w:val="12"/>
      </w:pPr>
      <w:r w:rsidRPr="001A3D2B">
        <w:t xml:space="preserve">ISO Abbreviated Title: </w:t>
      </w:r>
    </w:p>
    <w:p w:rsidR="003443BC" w:rsidRPr="001A3D2B" w:rsidRDefault="003443BC" w:rsidP="003443BC">
      <w:pPr>
        <w:pStyle w:val="12"/>
      </w:pPr>
      <w:r w:rsidRPr="001A3D2B">
        <w:t xml:space="preserve">JCR Abbreviated Title: </w:t>
      </w:r>
    </w:p>
    <w:p w:rsidR="003443BC" w:rsidRPr="001A3D2B" w:rsidRDefault="003443BC" w:rsidP="003443BC">
      <w:pPr>
        <w:pStyle w:val="12"/>
      </w:pPr>
      <w:r>
        <w:t xml:space="preserve">ISSN: </w:t>
      </w:r>
    </w:p>
    <w:p w:rsidR="003443BC" w:rsidRPr="001A3D2B" w:rsidRDefault="003443BC" w:rsidP="003443BC">
      <w:pPr>
        <w:pStyle w:val="12"/>
      </w:pPr>
      <w:r w:rsidRPr="001A3D2B">
        <w:t xml:space="preserve">Issues/Year: </w:t>
      </w:r>
    </w:p>
    <w:p w:rsidR="003443BC" w:rsidRPr="001A3D2B" w:rsidRDefault="003443BC" w:rsidP="003443BC">
      <w:pPr>
        <w:pStyle w:val="12"/>
      </w:pPr>
      <w:r w:rsidRPr="001A3D2B">
        <w:t xml:space="preserve">Journal Country/Territory: </w:t>
      </w:r>
    </w:p>
    <w:p w:rsidR="003443BC" w:rsidRPr="001A3D2B" w:rsidRDefault="003443BC" w:rsidP="003443BC">
      <w:pPr>
        <w:pStyle w:val="12"/>
      </w:pPr>
      <w:r w:rsidRPr="001A3D2B">
        <w:t xml:space="preserve">Language: </w:t>
      </w:r>
    </w:p>
    <w:p w:rsidR="003443BC" w:rsidRPr="001A3D2B" w:rsidRDefault="003443BC" w:rsidP="003443BC">
      <w:pPr>
        <w:pStyle w:val="12"/>
      </w:pPr>
      <w:r w:rsidRPr="001A3D2B">
        <w:t xml:space="preserve">Publisher: </w:t>
      </w:r>
    </w:p>
    <w:p w:rsidR="003443BC" w:rsidRPr="001A3D2B" w:rsidRDefault="003443BC" w:rsidP="003443BC">
      <w:pPr>
        <w:pStyle w:val="12"/>
      </w:pPr>
      <w:r w:rsidRPr="001A3D2B">
        <w:t xml:space="preserve">Publisher Address: </w:t>
      </w:r>
    </w:p>
    <w:p w:rsidR="003443BC" w:rsidRPr="001A3D2B" w:rsidRDefault="003443BC" w:rsidP="003443BC">
      <w:pPr>
        <w:pStyle w:val="12"/>
      </w:pPr>
      <w:r w:rsidRPr="001A3D2B">
        <w:t>Subject Categories:</w:t>
      </w:r>
    </w:p>
    <w:p w:rsidR="003443BC" w:rsidRPr="001A3D2B" w:rsidRDefault="003443BC" w:rsidP="003443BC">
      <w:pPr>
        <w:pStyle w:val="12"/>
      </w:pPr>
      <w:r w:rsidRPr="001A3D2B">
        <w:t xml:space="preserve">: Impact Factor </w:t>
      </w:r>
    </w:p>
    <w:p w:rsidR="00A06A70" w:rsidRDefault="00A06A70" w:rsidP="00A06A70">
      <w:pPr>
        <w:pStyle w:val="a3"/>
        <w:rPr>
          <w:kern w:val="0"/>
          <w:szCs w:val="24"/>
        </w:rPr>
      </w:pPr>
      <w:r>
        <w:rPr>
          <w:rFonts w:hint="eastAsia"/>
          <w:kern w:val="0"/>
          <w:szCs w:val="24"/>
        </w:rPr>
        <w:t xml:space="preserve">? </w:t>
      </w:r>
      <w:r w:rsidRPr="00F611F1">
        <w:rPr>
          <w:kern w:val="0"/>
          <w:szCs w:val="24"/>
        </w:rPr>
        <w:t>Adler, N</w:t>
      </w:r>
      <w:r>
        <w:rPr>
          <w:rFonts w:hint="eastAsia"/>
          <w:kern w:val="0"/>
          <w:szCs w:val="24"/>
        </w:rPr>
        <w:t>.</w:t>
      </w:r>
      <w:r w:rsidRPr="00F611F1">
        <w:rPr>
          <w:kern w:val="0"/>
          <w:szCs w:val="24"/>
        </w:rPr>
        <w:t>J</w:t>
      </w:r>
      <w:r>
        <w:rPr>
          <w:rFonts w:hint="eastAsia"/>
          <w:kern w:val="0"/>
          <w:szCs w:val="24"/>
        </w:rPr>
        <w:t>.</w:t>
      </w:r>
      <w:r w:rsidR="005853A9">
        <w:rPr>
          <w:rFonts w:hint="eastAsia"/>
          <w:kern w:val="0"/>
          <w:szCs w:val="24"/>
        </w:rPr>
        <w:t xml:space="preserve"> and </w:t>
      </w:r>
      <w:r w:rsidRPr="00F611F1">
        <w:rPr>
          <w:kern w:val="0"/>
          <w:szCs w:val="24"/>
        </w:rPr>
        <w:t>Harzing, A</w:t>
      </w:r>
      <w:r>
        <w:rPr>
          <w:rFonts w:hint="eastAsia"/>
          <w:kern w:val="0"/>
          <w:szCs w:val="24"/>
        </w:rPr>
        <w:t>.</w:t>
      </w:r>
      <w:r w:rsidRPr="00F611F1">
        <w:rPr>
          <w:kern w:val="0"/>
          <w:szCs w:val="24"/>
        </w:rPr>
        <w:t>W</w:t>
      </w:r>
      <w:r>
        <w:rPr>
          <w:rFonts w:hint="eastAsia"/>
          <w:kern w:val="0"/>
          <w:szCs w:val="24"/>
        </w:rPr>
        <w:t>.</w:t>
      </w:r>
      <w:r>
        <w:rPr>
          <w:kern w:val="0"/>
          <w:szCs w:val="24"/>
        </w:rPr>
        <w:t xml:space="preserve"> (20</w:t>
      </w:r>
      <w:r>
        <w:rPr>
          <w:rFonts w:hint="eastAsia"/>
          <w:kern w:val="0"/>
          <w:szCs w:val="24"/>
        </w:rPr>
        <w:t>09</w:t>
      </w:r>
      <w:r>
        <w:rPr>
          <w:kern w:val="0"/>
          <w:szCs w:val="24"/>
        </w:rPr>
        <w:t xml:space="preserve">), </w:t>
      </w:r>
      <w:r w:rsidRPr="00F611F1">
        <w:rPr>
          <w:kern w:val="0"/>
          <w:szCs w:val="24"/>
        </w:rPr>
        <w:t>When knowledge wins: Transcending the sense</w:t>
      </w:r>
      <w:r w:rsidR="005853A9">
        <w:rPr>
          <w:kern w:val="0"/>
          <w:szCs w:val="24"/>
        </w:rPr>
        <w:t xml:space="preserve"> and </w:t>
      </w:r>
      <w:r w:rsidRPr="00F611F1">
        <w:rPr>
          <w:kern w:val="0"/>
          <w:szCs w:val="24"/>
        </w:rPr>
        <w:t>nonsense</w:t>
      </w:r>
      <w:r w:rsidR="00427468">
        <w:rPr>
          <w:kern w:val="0"/>
          <w:szCs w:val="24"/>
        </w:rPr>
        <w:t xml:space="preserve"> of </w:t>
      </w:r>
      <w:r w:rsidRPr="00F611F1">
        <w:rPr>
          <w:kern w:val="0"/>
          <w:szCs w:val="24"/>
        </w:rPr>
        <w:t>academic rankings</w:t>
      </w:r>
      <w:r>
        <w:rPr>
          <w:kern w:val="0"/>
          <w:szCs w:val="24"/>
        </w:rPr>
        <w:t xml:space="preserve">. </w:t>
      </w:r>
      <w:r w:rsidRPr="003443BC">
        <w:rPr>
          <w:i/>
          <w:iCs/>
          <w:kern w:val="0"/>
          <w:szCs w:val="24"/>
        </w:rPr>
        <w:t>Academy</w:t>
      </w:r>
      <w:r w:rsidR="00427468">
        <w:rPr>
          <w:i/>
          <w:iCs/>
          <w:kern w:val="0"/>
          <w:szCs w:val="24"/>
        </w:rPr>
        <w:t xml:space="preserve"> of </w:t>
      </w:r>
      <w:r w:rsidRPr="003443BC">
        <w:rPr>
          <w:i/>
          <w:iCs/>
          <w:kern w:val="0"/>
          <w:szCs w:val="24"/>
        </w:rPr>
        <w:t>Management Learning &amp; Education</w:t>
      </w:r>
      <w:r>
        <w:rPr>
          <w:kern w:val="0"/>
          <w:szCs w:val="24"/>
        </w:rPr>
        <w:t xml:space="preserve">, </w:t>
      </w:r>
      <w:r>
        <w:rPr>
          <w:rFonts w:hint="eastAsia"/>
          <w:b/>
          <w:bCs/>
          <w:kern w:val="0"/>
          <w:szCs w:val="24"/>
        </w:rPr>
        <w:t>8</w:t>
      </w:r>
      <w:r>
        <w:rPr>
          <w:kern w:val="0"/>
          <w:szCs w:val="24"/>
        </w:rPr>
        <w:t xml:space="preserve"> (</w:t>
      </w:r>
      <w:r>
        <w:rPr>
          <w:rFonts w:hint="eastAsia"/>
          <w:kern w:val="0"/>
          <w:szCs w:val="24"/>
        </w:rPr>
        <w:t>1</w:t>
      </w:r>
      <w:r>
        <w:rPr>
          <w:kern w:val="0"/>
          <w:szCs w:val="24"/>
        </w:rPr>
        <w:t xml:space="preserve">), </w:t>
      </w:r>
      <w:r w:rsidRPr="00F611F1">
        <w:rPr>
          <w:kern w:val="0"/>
          <w:szCs w:val="24"/>
        </w:rPr>
        <w:t>72-95</w:t>
      </w:r>
      <w:r>
        <w:rPr>
          <w:kern w:val="0"/>
          <w:szCs w:val="24"/>
        </w:rPr>
        <w:t>.</w:t>
      </w:r>
    </w:p>
    <w:p w:rsidR="00A06A70" w:rsidRDefault="00A06A70" w:rsidP="00A06A70">
      <w:pPr>
        <w:pStyle w:val="a3"/>
        <w:rPr>
          <w:kern w:val="0"/>
          <w:szCs w:val="24"/>
        </w:rPr>
      </w:pPr>
      <w:r>
        <w:rPr>
          <w:rFonts w:hint="eastAsia"/>
          <w:kern w:val="0"/>
          <w:szCs w:val="24"/>
        </w:rPr>
        <w:t xml:space="preserve">Full Text: </w:t>
      </w:r>
      <w:hyperlink r:id="rId54" w:history="1">
        <w:r w:rsidRPr="00F611F1">
          <w:rPr>
            <w:rStyle w:val="a5"/>
            <w:kern w:val="0"/>
            <w:szCs w:val="24"/>
          </w:rPr>
          <w:t>2009\Aca Man Lea Edu8, 72.pdf</w:t>
        </w:r>
      </w:hyperlink>
    </w:p>
    <w:p w:rsidR="00A06A70" w:rsidRPr="00F611F1" w:rsidRDefault="00A06A70" w:rsidP="00A06A70">
      <w:pPr>
        <w:pStyle w:val="a3"/>
        <w:rPr>
          <w:kern w:val="0"/>
          <w:szCs w:val="24"/>
        </w:rPr>
      </w:pPr>
      <w:r w:rsidRPr="00F611F1">
        <w:rPr>
          <w:kern w:val="0"/>
          <w:szCs w:val="24"/>
        </w:rPr>
        <w:t>Abstract: Has university scholarship gone astray? Do our academic assessment systems reward scholarship that addresses the questions that matter most to society? Using international business as an example, we highlight the problematic nature</w:t>
      </w:r>
      <w:r w:rsidR="00427468">
        <w:rPr>
          <w:kern w:val="0"/>
          <w:szCs w:val="24"/>
        </w:rPr>
        <w:t xml:space="preserve"> of </w:t>
      </w:r>
      <w:r w:rsidRPr="00F611F1">
        <w:rPr>
          <w:kern w:val="0"/>
          <w:szCs w:val="24"/>
        </w:rPr>
        <w:t>academic ranking systems</w:t>
      </w:r>
      <w:r w:rsidR="005853A9">
        <w:rPr>
          <w:kern w:val="0"/>
          <w:szCs w:val="24"/>
        </w:rPr>
        <w:t xml:space="preserve"> and </w:t>
      </w:r>
      <w:r w:rsidRPr="00F611F1">
        <w:rPr>
          <w:kern w:val="0"/>
          <w:szCs w:val="24"/>
        </w:rPr>
        <w:t>question if such assessments are drawing scholarship away from its fundamental purpose. We call for an immediate examination</w:t>
      </w:r>
      <w:r w:rsidR="00427468">
        <w:rPr>
          <w:kern w:val="0"/>
          <w:szCs w:val="24"/>
        </w:rPr>
        <w:t xml:space="preserve"> of </w:t>
      </w:r>
      <w:r w:rsidRPr="00F611F1">
        <w:rPr>
          <w:kern w:val="0"/>
          <w:szCs w:val="24"/>
        </w:rPr>
        <w:t>existing ranking systems, not only as a legitimate scholarly question vis-a-vis performance-a conceptual lens with deep roots in management research-but also because the very health</w:t>
      </w:r>
      <w:r w:rsidR="005853A9">
        <w:rPr>
          <w:kern w:val="0"/>
          <w:szCs w:val="24"/>
        </w:rPr>
        <w:t xml:space="preserve"> and </w:t>
      </w:r>
      <w:r w:rsidRPr="00F611F1">
        <w:rPr>
          <w:kern w:val="0"/>
          <w:szCs w:val="24"/>
        </w:rPr>
        <w:t>vibrancy</w:t>
      </w:r>
      <w:r w:rsidR="00427468">
        <w:rPr>
          <w:kern w:val="0"/>
          <w:szCs w:val="24"/>
        </w:rPr>
        <w:t xml:space="preserve"> of </w:t>
      </w:r>
      <w:r w:rsidRPr="00F611F1">
        <w:rPr>
          <w:kern w:val="0"/>
          <w:szCs w:val="24"/>
        </w:rPr>
        <w:t>the field are at stake. Indeed in light</w:t>
      </w:r>
      <w:r w:rsidR="00427468">
        <w:rPr>
          <w:kern w:val="0"/>
          <w:szCs w:val="24"/>
        </w:rPr>
        <w:t xml:space="preserve"> of </w:t>
      </w:r>
      <w:r w:rsidRPr="00F611F1">
        <w:rPr>
          <w:kern w:val="0"/>
          <w:szCs w:val="24"/>
        </w:rPr>
        <w:t>the data presented here,. which suggest that current systems are dysfunctional</w:t>
      </w:r>
      <w:r w:rsidR="005853A9">
        <w:rPr>
          <w:kern w:val="0"/>
          <w:szCs w:val="24"/>
        </w:rPr>
        <w:t xml:space="preserve"> and </w:t>
      </w:r>
      <w:r w:rsidRPr="00F611F1">
        <w:rPr>
          <w:kern w:val="0"/>
          <w:szCs w:val="24"/>
        </w:rPr>
        <w:t>potentially cause more harm than good a temporary moratorium on rankings may be appropriate until more valid</w:t>
      </w:r>
      <w:r w:rsidR="005853A9">
        <w:rPr>
          <w:kern w:val="0"/>
          <w:szCs w:val="24"/>
        </w:rPr>
        <w:t xml:space="preserve"> and </w:t>
      </w:r>
      <w:r w:rsidRPr="00F611F1">
        <w:rPr>
          <w:kern w:val="0"/>
          <w:szCs w:val="24"/>
        </w:rPr>
        <w:t>reliable ways to assess scholarly contributions can be developed The worldwide community</w:t>
      </w:r>
      <w:r w:rsidR="00427468">
        <w:rPr>
          <w:kern w:val="0"/>
          <w:szCs w:val="24"/>
        </w:rPr>
        <w:t xml:space="preserve"> of </w:t>
      </w:r>
      <w:r w:rsidRPr="00F611F1">
        <w:rPr>
          <w:kern w:val="0"/>
          <w:szCs w:val="24"/>
        </w:rPr>
        <w:t>scholars, along with the global network</w:t>
      </w:r>
      <w:r w:rsidR="00427468">
        <w:rPr>
          <w:kern w:val="0"/>
          <w:szCs w:val="24"/>
        </w:rPr>
        <w:t xml:space="preserve"> of </w:t>
      </w:r>
      <w:r w:rsidRPr="00F611F1">
        <w:rPr>
          <w:kern w:val="0"/>
          <w:szCs w:val="24"/>
        </w:rPr>
        <w:t>institutions interacting with</w:t>
      </w:r>
      <w:r w:rsidR="005853A9">
        <w:rPr>
          <w:kern w:val="0"/>
          <w:szCs w:val="24"/>
        </w:rPr>
        <w:t xml:space="preserve"> and </w:t>
      </w:r>
      <w:r w:rsidRPr="00F611F1">
        <w:rPr>
          <w:kern w:val="0"/>
          <w:szCs w:val="24"/>
        </w:rPr>
        <w:t>supporting management scholarship (such as the Academy</w:t>
      </w:r>
      <w:r w:rsidR="00427468">
        <w:rPr>
          <w:kern w:val="0"/>
          <w:szCs w:val="24"/>
        </w:rPr>
        <w:t xml:space="preserve"> of </w:t>
      </w:r>
      <w:r w:rsidRPr="00F611F1">
        <w:rPr>
          <w:kern w:val="0"/>
          <w:szCs w:val="24"/>
        </w:rPr>
        <w:t>Management, AACSB,</w:t>
      </w:r>
      <w:r w:rsidR="005853A9">
        <w:rPr>
          <w:kern w:val="0"/>
          <w:szCs w:val="24"/>
        </w:rPr>
        <w:t xml:space="preserve"> and </w:t>
      </w:r>
      <w:r w:rsidRPr="00F611F1">
        <w:rPr>
          <w:kern w:val="0"/>
          <w:szCs w:val="24"/>
        </w:rPr>
        <w:t>Thomson Reuters Scientific) are invited to innovate</w:t>
      </w:r>
      <w:r w:rsidR="005853A9">
        <w:rPr>
          <w:kern w:val="0"/>
          <w:szCs w:val="24"/>
        </w:rPr>
        <w:t xml:space="preserve"> and </w:t>
      </w:r>
      <w:r w:rsidRPr="00F611F1">
        <w:rPr>
          <w:kern w:val="0"/>
          <w:szCs w:val="24"/>
        </w:rPr>
        <w:t>design more reliable</w:t>
      </w:r>
      <w:r w:rsidR="005853A9">
        <w:rPr>
          <w:kern w:val="0"/>
          <w:szCs w:val="24"/>
        </w:rPr>
        <w:t xml:space="preserve"> and </w:t>
      </w:r>
      <w:r w:rsidRPr="00F611F1">
        <w:rPr>
          <w:kern w:val="0"/>
          <w:szCs w:val="24"/>
        </w:rPr>
        <w:t>valid ways to assess scholarly contributions that truly promote the advancement</w:t>
      </w:r>
      <w:r w:rsidR="00427468">
        <w:rPr>
          <w:kern w:val="0"/>
          <w:szCs w:val="24"/>
        </w:rPr>
        <w:t xml:space="preserve"> of </w:t>
      </w:r>
      <w:r w:rsidRPr="00F611F1">
        <w:rPr>
          <w:kern w:val="0"/>
          <w:szCs w:val="24"/>
        </w:rPr>
        <w:t>relevant 21st century knowledge,</w:t>
      </w:r>
      <w:r w:rsidR="005853A9">
        <w:rPr>
          <w:kern w:val="0"/>
          <w:szCs w:val="24"/>
        </w:rPr>
        <w:t xml:space="preserve"> and </w:t>
      </w:r>
      <w:r w:rsidRPr="00F611F1">
        <w:rPr>
          <w:kern w:val="0"/>
          <w:szCs w:val="24"/>
        </w:rPr>
        <w:t>likewise recognize those individuals</w:t>
      </w:r>
      <w:r w:rsidR="005853A9">
        <w:rPr>
          <w:kern w:val="0"/>
          <w:szCs w:val="24"/>
        </w:rPr>
        <w:t xml:space="preserve"> and </w:t>
      </w:r>
      <w:r w:rsidRPr="00F611F1">
        <w:rPr>
          <w:kern w:val="0"/>
          <w:szCs w:val="24"/>
        </w:rPr>
        <w:t>institutions that best fulfill the uni</w:t>
      </w:r>
      <w:r>
        <w:rPr>
          <w:kern w:val="0"/>
          <w:szCs w:val="24"/>
        </w:rPr>
        <w:t>versity</w:t>
      </w:r>
      <w:r w:rsidR="00700038">
        <w:rPr>
          <w:kern w:val="0"/>
          <w:szCs w:val="24"/>
        </w:rPr>
        <w:t>’</w:t>
      </w:r>
      <w:r>
        <w:rPr>
          <w:kern w:val="0"/>
          <w:szCs w:val="24"/>
        </w:rPr>
        <w:t>s fundamental purpose.</w:t>
      </w:r>
    </w:p>
    <w:p w:rsidR="00A06A70" w:rsidRDefault="00A06A70" w:rsidP="00A06A70">
      <w:pPr>
        <w:pStyle w:val="a3"/>
        <w:rPr>
          <w:kern w:val="0"/>
          <w:szCs w:val="24"/>
        </w:rPr>
      </w:pPr>
      <w:r w:rsidRPr="00F611F1">
        <w:rPr>
          <w:kern w:val="0"/>
          <w:szCs w:val="24"/>
        </w:rPr>
        <w:t>Keywords: International-Business Research</w:t>
      </w:r>
      <w:r>
        <w:rPr>
          <w:kern w:val="0"/>
          <w:szCs w:val="24"/>
        </w:rPr>
        <w:t>,</w:t>
      </w:r>
      <w:r w:rsidRPr="00F611F1">
        <w:rPr>
          <w:kern w:val="0"/>
          <w:szCs w:val="24"/>
        </w:rPr>
        <w:t xml:space="preserve"> Bad Management Theories</w:t>
      </w:r>
      <w:r>
        <w:rPr>
          <w:kern w:val="0"/>
          <w:szCs w:val="24"/>
        </w:rPr>
        <w:t>,</w:t>
      </w:r>
      <w:r w:rsidRPr="00F611F1">
        <w:rPr>
          <w:kern w:val="0"/>
          <w:szCs w:val="24"/>
        </w:rPr>
        <w:t xml:space="preserve"> Journals</w:t>
      </w:r>
      <w:r>
        <w:rPr>
          <w:kern w:val="0"/>
          <w:szCs w:val="24"/>
        </w:rPr>
        <w:t>,</w:t>
      </w:r>
      <w:r w:rsidRPr="00F611F1">
        <w:rPr>
          <w:kern w:val="0"/>
          <w:szCs w:val="24"/>
        </w:rPr>
        <w:t xml:space="preserve"> Quality</w:t>
      </w:r>
      <w:r>
        <w:rPr>
          <w:kern w:val="0"/>
          <w:szCs w:val="24"/>
        </w:rPr>
        <w:t>,</w:t>
      </w:r>
      <w:r w:rsidRPr="00F611F1">
        <w:rPr>
          <w:kern w:val="0"/>
          <w:szCs w:val="24"/>
        </w:rPr>
        <w:t xml:space="preserve"> Publication</w:t>
      </w:r>
      <w:r>
        <w:rPr>
          <w:kern w:val="0"/>
          <w:szCs w:val="24"/>
        </w:rPr>
        <w:t>,</w:t>
      </w:r>
      <w:r w:rsidRPr="00F611F1">
        <w:rPr>
          <w:kern w:val="0"/>
          <w:szCs w:val="24"/>
        </w:rPr>
        <w:t xml:space="preserve"> Relevance</w:t>
      </w:r>
      <w:r>
        <w:rPr>
          <w:kern w:val="0"/>
          <w:szCs w:val="24"/>
        </w:rPr>
        <w:t>,</w:t>
      </w:r>
      <w:r w:rsidRPr="00F611F1">
        <w:rPr>
          <w:kern w:val="0"/>
          <w:szCs w:val="24"/>
        </w:rPr>
        <w:t xml:space="preserve"> Scie</w:t>
      </w:r>
      <w:r>
        <w:rPr>
          <w:kern w:val="0"/>
          <w:szCs w:val="24"/>
        </w:rPr>
        <w:t>nce, Editors, Field, Citations</w:t>
      </w:r>
    </w:p>
    <w:p w:rsidR="003443BC" w:rsidRDefault="003443BC" w:rsidP="003443BC">
      <w:pPr>
        <w:pStyle w:val="a3"/>
        <w:rPr>
          <w:kern w:val="0"/>
          <w:szCs w:val="24"/>
        </w:rPr>
      </w:pPr>
      <w:r>
        <w:rPr>
          <w:rFonts w:hint="eastAsia"/>
          <w:kern w:val="0"/>
          <w:szCs w:val="24"/>
        </w:rPr>
        <w:t xml:space="preserve">? </w:t>
      </w:r>
      <w:r>
        <w:rPr>
          <w:kern w:val="0"/>
          <w:szCs w:val="24"/>
        </w:rPr>
        <w:t>Bedeian, A.G., Taylor, S.G.</w:t>
      </w:r>
      <w:r w:rsidR="005853A9">
        <w:rPr>
          <w:kern w:val="0"/>
          <w:szCs w:val="24"/>
        </w:rPr>
        <w:t xml:space="preserve"> and </w:t>
      </w:r>
      <w:r>
        <w:rPr>
          <w:kern w:val="0"/>
          <w:szCs w:val="24"/>
        </w:rPr>
        <w:t>Miller, A.N. (2010), Management science on</w:t>
      </w:r>
      <w:r w:rsidR="003A1917">
        <w:rPr>
          <w:kern w:val="0"/>
          <w:szCs w:val="24"/>
        </w:rPr>
        <w:t xml:space="preserve"> the </w:t>
      </w:r>
      <w:r>
        <w:rPr>
          <w:kern w:val="0"/>
          <w:szCs w:val="24"/>
        </w:rPr>
        <w:lastRenderedPageBreak/>
        <w:t>credibility bubble: Cardinal sins</w:t>
      </w:r>
      <w:r w:rsidR="005853A9">
        <w:rPr>
          <w:kern w:val="0"/>
          <w:szCs w:val="24"/>
        </w:rPr>
        <w:t xml:space="preserve"> and </w:t>
      </w:r>
      <w:r>
        <w:rPr>
          <w:kern w:val="0"/>
          <w:szCs w:val="24"/>
        </w:rPr>
        <w:t xml:space="preserve">various misdemeanors. </w:t>
      </w:r>
      <w:r w:rsidRPr="003443BC">
        <w:rPr>
          <w:i/>
          <w:iCs/>
          <w:kern w:val="0"/>
          <w:szCs w:val="24"/>
        </w:rPr>
        <w:t>Academy</w:t>
      </w:r>
      <w:r w:rsidR="00427468">
        <w:rPr>
          <w:i/>
          <w:iCs/>
          <w:kern w:val="0"/>
          <w:szCs w:val="24"/>
        </w:rPr>
        <w:t xml:space="preserve"> of </w:t>
      </w:r>
      <w:r w:rsidRPr="003443BC">
        <w:rPr>
          <w:i/>
          <w:iCs/>
          <w:kern w:val="0"/>
          <w:szCs w:val="24"/>
        </w:rPr>
        <w:t>Management Learning &amp; Education</w:t>
      </w:r>
      <w:r>
        <w:rPr>
          <w:kern w:val="0"/>
          <w:szCs w:val="24"/>
        </w:rPr>
        <w:t xml:space="preserve">, </w:t>
      </w:r>
      <w:r>
        <w:rPr>
          <w:b/>
          <w:bCs/>
          <w:kern w:val="0"/>
          <w:szCs w:val="24"/>
        </w:rPr>
        <w:t>9</w:t>
      </w:r>
      <w:r>
        <w:rPr>
          <w:kern w:val="0"/>
          <w:szCs w:val="24"/>
        </w:rPr>
        <w:t xml:space="preserve"> (4), 715-725.</w:t>
      </w:r>
    </w:p>
    <w:p w:rsidR="003443BC" w:rsidRDefault="003443BC" w:rsidP="003443BC">
      <w:pPr>
        <w:pStyle w:val="a3"/>
        <w:rPr>
          <w:kern w:val="0"/>
          <w:szCs w:val="24"/>
        </w:rPr>
      </w:pPr>
      <w:r>
        <w:rPr>
          <w:rFonts w:hint="eastAsia"/>
          <w:kern w:val="0"/>
          <w:szCs w:val="24"/>
        </w:rPr>
        <w:t xml:space="preserve">Full Text: </w:t>
      </w:r>
      <w:hyperlink r:id="rId55" w:history="1">
        <w:r w:rsidRPr="003443BC">
          <w:rPr>
            <w:rStyle w:val="a5"/>
            <w:kern w:val="0"/>
            <w:szCs w:val="24"/>
          </w:rPr>
          <w:t>2010\Aca Man Lea Edu9, 715.pdf</w:t>
        </w:r>
      </w:hyperlink>
    </w:p>
    <w:p w:rsidR="003443BC" w:rsidRDefault="003443BC" w:rsidP="003443BC">
      <w:pPr>
        <w:pStyle w:val="a3"/>
        <w:rPr>
          <w:kern w:val="0"/>
          <w:szCs w:val="24"/>
        </w:rPr>
      </w:pPr>
      <w:r>
        <w:rPr>
          <w:kern w:val="0"/>
          <w:szCs w:val="24"/>
        </w:rPr>
        <w:t>Abstract: This research-based essay presents survey results-collected from faculty in 104 PhD-granting management departments</w:t>
      </w:r>
      <w:r w:rsidR="00427468">
        <w:rPr>
          <w:kern w:val="0"/>
          <w:szCs w:val="24"/>
        </w:rPr>
        <w:t xml:space="preserve"> of </w:t>
      </w:r>
      <w:r>
        <w:rPr>
          <w:kern w:val="0"/>
          <w:szCs w:val="24"/>
        </w:rPr>
        <w:t>AACSB-accredited business schools in</w:t>
      </w:r>
      <w:r w:rsidR="003A1917">
        <w:rPr>
          <w:kern w:val="0"/>
          <w:szCs w:val="24"/>
        </w:rPr>
        <w:t xml:space="preserve"> the </w:t>
      </w:r>
      <w:r>
        <w:rPr>
          <w:kern w:val="0"/>
          <w:szCs w:val="24"/>
        </w:rPr>
        <w:t>United States-regarding 11 different types</w:t>
      </w:r>
      <w:r w:rsidR="00427468">
        <w:rPr>
          <w:kern w:val="0"/>
          <w:szCs w:val="24"/>
        </w:rPr>
        <w:t xml:space="preserve"> of </w:t>
      </w:r>
      <w:r>
        <w:rPr>
          <w:kern w:val="0"/>
          <w:szCs w:val="24"/>
        </w:rPr>
        <w:t>questionable research conduct, including data fabrication, data falsification, plagiarism, inappropriately accepting or assigning authorship credit,</w:t>
      </w:r>
      <w:r w:rsidR="005853A9">
        <w:rPr>
          <w:kern w:val="0"/>
          <w:szCs w:val="24"/>
        </w:rPr>
        <w:t xml:space="preserve"> and </w:t>
      </w:r>
      <w:r>
        <w:rPr>
          <w:kern w:val="0"/>
          <w:szCs w:val="24"/>
        </w:rPr>
        <w:t>publishing</w:t>
      </w:r>
      <w:r w:rsidR="003A1917">
        <w:rPr>
          <w:kern w:val="0"/>
          <w:szCs w:val="24"/>
        </w:rPr>
        <w:t xml:space="preserve"> the </w:t>
      </w:r>
      <w:r>
        <w:rPr>
          <w:kern w:val="0"/>
          <w:szCs w:val="24"/>
        </w:rPr>
        <w:t>same data or results in two or more publications. Findings suggest that instances</w:t>
      </w:r>
      <w:r w:rsidR="00427468">
        <w:rPr>
          <w:kern w:val="0"/>
          <w:szCs w:val="24"/>
        </w:rPr>
        <w:t xml:space="preserve"> of </w:t>
      </w:r>
      <w:r>
        <w:rPr>
          <w:kern w:val="0"/>
          <w:szCs w:val="24"/>
        </w:rPr>
        <w:t>research misconduct covering a broad array</w:t>
      </w:r>
      <w:r w:rsidR="00427468">
        <w:rPr>
          <w:kern w:val="0"/>
          <w:szCs w:val="24"/>
        </w:rPr>
        <w:t xml:space="preserve"> of </w:t>
      </w:r>
      <w:r>
        <w:rPr>
          <w:kern w:val="0"/>
          <w:szCs w:val="24"/>
        </w:rPr>
        <w:t>behaviors are not unknown to survey respondents.</w:t>
      </w:r>
    </w:p>
    <w:p w:rsidR="003443BC" w:rsidRDefault="003443BC" w:rsidP="003443BC">
      <w:pPr>
        <w:pStyle w:val="a3"/>
        <w:rPr>
          <w:kern w:val="0"/>
          <w:szCs w:val="24"/>
        </w:rPr>
      </w:pPr>
      <w:r>
        <w:rPr>
          <w:kern w:val="0"/>
          <w:szCs w:val="24"/>
        </w:rPr>
        <w:t>Keywords: Authorship, Climate, Decision-Making, Ethics, Integrity, Knowledge, Others, Plagiarism, Publications, Publishing, Questions, Research, Scientific Misconduct, Survey</w:t>
      </w:r>
    </w:p>
    <w:p w:rsidR="001C07A1" w:rsidRDefault="001C07A1" w:rsidP="001C07A1">
      <w:pPr>
        <w:pStyle w:val="a3"/>
        <w:rPr>
          <w:kern w:val="0"/>
        </w:rPr>
      </w:pPr>
      <w:r>
        <w:rPr>
          <w:rFonts w:hint="eastAsia"/>
          <w:kern w:val="0"/>
        </w:rPr>
        <w:t xml:space="preserve">? </w:t>
      </w:r>
      <w:r>
        <w:rPr>
          <w:kern w:val="0"/>
        </w:rPr>
        <w:t xml:space="preserve">Schulz, A.C. and Nicolai, A.T. (2015), The intellectual link between management research and popularization media: A bibliometric analysis of the </w:t>
      </w:r>
      <w:r w:rsidRPr="00381DAD">
        <w:rPr>
          <w:i/>
          <w:kern w:val="0"/>
        </w:rPr>
        <w:t>Harvard Business Review</w:t>
      </w:r>
      <w:r>
        <w:rPr>
          <w:kern w:val="0"/>
        </w:rPr>
        <w:t xml:space="preserve">. </w:t>
      </w:r>
      <w:r>
        <w:rPr>
          <w:i/>
          <w:iCs/>
          <w:kern w:val="0"/>
        </w:rPr>
        <w:t>Academy of Management Learning &amp; Education</w:t>
      </w:r>
      <w:r>
        <w:rPr>
          <w:kern w:val="0"/>
        </w:rPr>
        <w:t xml:space="preserve">, </w:t>
      </w:r>
      <w:r>
        <w:rPr>
          <w:b/>
          <w:bCs/>
          <w:kern w:val="0"/>
        </w:rPr>
        <w:t>14</w:t>
      </w:r>
      <w:r>
        <w:rPr>
          <w:kern w:val="0"/>
        </w:rPr>
        <w:t xml:space="preserve"> (1), 31-49.</w:t>
      </w:r>
    </w:p>
    <w:p w:rsidR="001C07A1" w:rsidRDefault="001C07A1" w:rsidP="001C07A1">
      <w:pPr>
        <w:pStyle w:val="a3"/>
        <w:rPr>
          <w:kern w:val="0"/>
        </w:rPr>
      </w:pPr>
      <w:r>
        <w:rPr>
          <w:rFonts w:hint="eastAsia"/>
          <w:kern w:val="0"/>
        </w:rPr>
        <w:t xml:space="preserve">Full Text: </w:t>
      </w:r>
      <w:hyperlink r:id="rId56" w:history="1">
        <w:r w:rsidRPr="00D663B1">
          <w:rPr>
            <w:rStyle w:val="a5"/>
            <w:kern w:val="0"/>
          </w:rPr>
          <w:t>2015\Aca Man Lea Edu14, 31.pdf</w:t>
        </w:r>
      </w:hyperlink>
    </w:p>
    <w:p w:rsidR="001C07A1" w:rsidRDefault="001C07A1" w:rsidP="001C07A1">
      <w:pPr>
        <w:pStyle w:val="a3"/>
        <w:rPr>
          <w:kern w:val="0"/>
        </w:rPr>
      </w:pPr>
      <w:r>
        <w:rPr>
          <w:kern w:val="0"/>
        </w:rPr>
        <w:t>Abstract: We explore the intellectual link between management research and popularization media. In the “dominant view” of popularization in the sociology of science, the process of popularization is understood as a one-way movement of ideas from the field of science to the general public. Thus, it is seen as unlikely to influence management research. However, more recent research has challenged the assumptions of this view and has offered an alternative perspective, which can be termed the “revised view” of popularization. In this view, interactions between science and popularization media are much more complex, and relevant feedback effects from popularization media to scholarly journals are possible. Against this theoretical background, we investigate the role played by an important example of popularization media in the field of management, the Harvard Business Review, in management discourse. Using a bibliometric analysis of 231 Harvard Business Review articles, we analyze the degree, direction, and type of intellectual influence of the publication. Our findings suggest that this magazine’s role differs significantly from the traditional view of popularization. According to our results, the Harvard Business Review is not only a widely quoted scientific source, but it also has a significant impact on the scientific discourse in management research.</w:t>
      </w:r>
    </w:p>
    <w:p w:rsidR="001C07A1" w:rsidRDefault="001C07A1" w:rsidP="001C07A1">
      <w:pPr>
        <w:pStyle w:val="a3"/>
        <w:rPr>
          <w:kern w:val="0"/>
        </w:rPr>
      </w:pPr>
      <w:r>
        <w:rPr>
          <w:kern w:val="0"/>
        </w:rPr>
        <w:t xml:space="preserve">Keywords: Alternative, Analysis, Articles, Assumptions, Bibliometric, Bibliometric Analysis, Business, Citation Analysis, Community, Discourse, Education, Effects, Evolution, Field, From, General, Human-Resource Management, Impact, Influence, Journals, Knowledge, Management, Mar, Media, Movement, Public, Publication, Recent, Research, Review, Review Articles, Role, Scholarly Journals, Science, </w:t>
      </w:r>
      <w:r>
        <w:rPr>
          <w:kern w:val="0"/>
        </w:rPr>
        <w:lastRenderedPageBreak/>
        <w:t>Separate Worlds, Sociology, Sociology Of Science, Source, Theoretical, View</w:t>
      </w:r>
    </w:p>
    <w:p w:rsidR="003474F2" w:rsidRPr="001A3D2B" w:rsidRDefault="003474F2" w:rsidP="003474F2">
      <w:pPr>
        <w:pStyle w:val="1"/>
      </w:pPr>
      <w:r w:rsidRPr="001A3D2B">
        <w:br w:type="page"/>
      </w:r>
      <w:bookmarkStart w:id="28" w:name="_Toc34355726"/>
      <w:bookmarkStart w:id="29" w:name="_Toc43634515"/>
      <w:bookmarkStart w:id="30" w:name="_Toc81215570"/>
      <w:bookmarkStart w:id="31" w:name="_Toc420814237"/>
      <w:r w:rsidRPr="001A3D2B">
        <w:lastRenderedPageBreak/>
        <w:t>Title: Accident Analysis</w:t>
      </w:r>
      <w:r w:rsidR="005853A9">
        <w:t xml:space="preserve"> and </w:t>
      </w:r>
      <w:r w:rsidRPr="001A3D2B">
        <w:t>Prevention</w:t>
      </w:r>
      <w:bookmarkEnd w:id="28"/>
      <w:bookmarkEnd w:id="29"/>
      <w:bookmarkEnd w:id="30"/>
      <w:bookmarkEnd w:id="31"/>
    </w:p>
    <w:p w:rsidR="003474F2" w:rsidRPr="001A3D2B" w:rsidRDefault="003474F2" w:rsidP="003474F2">
      <w:pPr>
        <w:pStyle w:val="12"/>
      </w:pPr>
      <w:r w:rsidRPr="001A3D2B">
        <w:t xml:space="preserve">Full Journal Title: </w:t>
      </w:r>
      <w:hyperlink r:id="rId57" w:history="1">
        <w:r w:rsidRPr="001A3D2B">
          <w:rPr>
            <w:rStyle w:val="a5"/>
          </w:rPr>
          <w:t>Accident Analysis</w:t>
        </w:r>
        <w:r w:rsidR="005853A9">
          <w:rPr>
            <w:rStyle w:val="a5"/>
          </w:rPr>
          <w:t xml:space="preserve"> and </w:t>
        </w:r>
        <w:r w:rsidRPr="001A3D2B">
          <w:rPr>
            <w:rStyle w:val="a5"/>
          </w:rPr>
          <w:t>Prevention</w:t>
        </w:r>
      </w:hyperlink>
    </w:p>
    <w:p w:rsidR="003474F2" w:rsidRPr="001A3D2B" w:rsidRDefault="003474F2" w:rsidP="003474F2">
      <w:pPr>
        <w:pStyle w:val="12"/>
      </w:pPr>
      <w:r w:rsidRPr="001A3D2B">
        <w:t>ISO Abbreviated Title: Accid. Anal. Prev.</w:t>
      </w:r>
    </w:p>
    <w:p w:rsidR="003474F2" w:rsidRPr="001A3D2B" w:rsidRDefault="003474F2" w:rsidP="003474F2">
      <w:pPr>
        <w:pStyle w:val="12"/>
      </w:pPr>
      <w:r w:rsidRPr="001A3D2B">
        <w:t>JCR Abbreviated Title: Accident Anal Prev</w:t>
      </w:r>
    </w:p>
    <w:p w:rsidR="003474F2" w:rsidRPr="001A3D2B" w:rsidRDefault="003474F2" w:rsidP="003474F2">
      <w:pPr>
        <w:pStyle w:val="12"/>
      </w:pPr>
      <w:r w:rsidRPr="001A3D2B">
        <w:t>ISSN: 0001-4575</w:t>
      </w:r>
    </w:p>
    <w:p w:rsidR="003474F2" w:rsidRPr="001A3D2B" w:rsidRDefault="003474F2" w:rsidP="003474F2">
      <w:pPr>
        <w:pStyle w:val="12"/>
      </w:pPr>
      <w:r w:rsidRPr="001A3D2B">
        <w:t>Issues/Year: 5</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Pergamon-Elsevier Science Ltd</w:t>
      </w:r>
    </w:p>
    <w:p w:rsidR="003474F2" w:rsidRPr="001A3D2B" w:rsidRDefault="003474F2" w:rsidP="003474F2">
      <w:pPr>
        <w:pStyle w:val="12"/>
      </w:pPr>
      <w:r w:rsidRPr="001A3D2B">
        <w:t>Publisher Address:</w:t>
      </w:r>
      <w:r w:rsidR="003A1917">
        <w:t xml:space="preserve"> the </w:t>
      </w:r>
      <w:r w:rsidRPr="001A3D2B">
        <w:t xml:space="preserve">Boulevard, </w:t>
      </w:r>
      <w:smartTag w:uri="urn:schemas-microsoft-com:office:smarttags" w:element="Street">
        <w:smartTag w:uri="urn:schemas-microsoft-com:office:smarttags" w:element="address">
          <w:r w:rsidRPr="001A3D2B">
            <w:t>Langford Lane</w:t>
          </w:r>
        </w:smartTag>
      </w:smartTag>
      <w:r w:rsidRPr="001A3D2B">
        <w:t xml:space="preserve">, Kidlington, </w:t>
      </w:r>
      <w:smartTag w:uri="urn:schemas-microsoft-com:office:smarttags" w:element="City">
        <w:r w:rsidRPr="001A3D2B">
          <w:t>Oxford</w:t>
        </w:r>
      </w:smartTag>
      <w:r w:rsidRPr="001A3D2B">
        <w:t xml:space="preserve"> OX5 1GB, </w:t>
      </w:r>
      <w:smartTag w:uri="urn:schemas-microsoft-com:office:smarttags" w:element="place">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Ergonomics: Impact Factor 0.754,/(2001); Impact Factor 0.820, 5/13 (2002) </w:t>
      </w:r>
      <w:r w:rsidR="00D5664A">
        <w:t>SSCI</w:t>
      </w:r>
    </w:p>
    <w:p w:rsidR="003474F2" w:rsidRPr="001A3D2B" w:rsidRDefault="003474F2" w:rsidP="003474F2">
      <w:pPr>
        <w:pStyle w:val="12"/>
      </w:pPr>
      <w:r w:rsidRPr="001A3D2B">
        <w:t xml:space="preserve">Public, Environmental &amp; Occupational Health: Impact Factor 0.754,/(2001); Impact Factor 0.820, 23/55 (2002) </w:t>
      </w:r>
      <w:r w:rsidR="00D5664A">
        <w:t>SSCI</w:t>
      </w:r>
    </w:p>
    <w:p w:rsidR="003474F2" w:rsidRPr="001A3D2B" w:rsidRDefault="003474F2" w:rsidP="003474F2">
      <w:pPr>
        <w:pStyle w:val="12"/>
      </w:pPr>
      <w:r w:rsidRPr="001A3D2B">
        <w:t xml:space="preserve">Social Sciences, Interdisciplinary: Impact Factor 0.754,/(2001); Impact Factor 0.820, 9/56 (2002) </w:t>
      </w:r>
      <w:r w:rsidR="00D5664A">
        <w:t>SSCI</w:t>
      </w:r>
    </w:p>
    <w:p w:rsidR="003474F2" w:rsidRPr="001A3D2B" w:rsidRDefault="003474F2" w:rsidP="003474F2">
      <w:pPr>
        <w:pStyle w:val="12"/>
      </w:pPr>
      <w:r w:rsidRPr="001A3D2B">
        <w:t xml:space="preserve">Transportation: Impact Factor 0.754,/(2001); Impact Factor 0.820, 3/11 (2002) </w:t>
      </w:r>
      <w:r w:rsidR="00D5664A">
        <w:t>SSCI</w:t>
      </w:r>
    </w:p>
    <w:p w:rsidR="003474F2" w:rsidRPr="001A3D2B" w:rsidRDefault="003474F2" w:rsidP="003474F2">
      <w:pPr>
        <w:pStyle w:val="a3"/>
      </w:pPr>
      <w:r w:rsidRPr="001A3D2B">
        <w:t>Notes: TTopic</w:t>
      </w:r>
    </w:p>
    <w:p w:rsidR="003474F2" w:rsidRPr="001A3D2B" w:rsidRDefault="003474F2" w:rsidP="003474F2">
      <w:pPr>
        <w:pStyle w:val="a3"/>
      </w:pPr>
      <w:r w:rsidRPr="001A3D2B">
        <w:t xml:space="preserve">Cushman, </w:t>
      </w:r>
      <w:smartTag w:uri="urn:schemas-microsoft-com:office:smarttags" w:element="place">
        <w:smartTag w:uri="urn:schemas-microsoft-com:office:smarttags" w:element="City">
          <w:r w:rsidRPr="001A3D2B">
            <w:t>L.A.</w:t>
          </w:r>
        </w:smartTag>
      </w:smartTag>
      <w:r w:rsidRPr="001A3D2B">
        <w:t>, Good, R.G.</w:t>
      </w:r>
      <w:r w:rsidR="005853A9">
        <w:t xml:space="preserve"> and </w:t>
      </w:r>
      <w:r w:rsidRPr="001A3D2B">
        <w:t>States, J.D. (1991), Characteristics</w:t>
      </w:r>
      <w:r w:rsidR="00427468">
        <w:t xml:space="preserve"> of </w:t>
      </w:r>
      <w:r w:rsidRPr="001A3D2B">
        <w:t xml:space="preserve">motor vehicle accidents resulting in spinal cord injury. </w:t>
      </w:r>
      <w:r w:rsidRPr="001A3D2B">
        <w:rPr>
          <w:i/>
          <w:iCs/>
        </w:rPr>
        <w:t>Accident Analysis</w:t>
      </w:r>
      <w:r w:rsidR="005853A9">
        <w:rPr>
          <w:i/>
          <w:iCs/>
        </w:rPr>
        <w:t xml:space="preserve"> and </w:t>
      </w:r>
      <w:r w:rsidRPr="001A3D2B">
        <w:rPr>
          <w:i/>
          <w:iCs/>
        </w:rPr>
        <w:t>Prevention</w:t>
      </w:r>
      <w:r w:rsidRPr="001A3D2B">
        <w:t xml:space="preserve">, </w:t>
      </w:r>
      <w:r w:rsidRPr="001A3D2B">
        <w:rPr>
          <w:b/>
          <w:bCs/>
        </w:rPr>
        <w:t>23</w:t>
      </w:r>
      <w:r w:rsidRPr="001A3D2B">
        <w:t xml:space="preserve"> (6), 557-560.</w:t>
      </w:r>
    </w:p>
    <w:p w:rsidR="003474F2" w:rsidRPr="001A3D2B" w:rsidRDefault="003474F2" w:rsidP="003474F2">
      <w:pPr>
        <w:pStyle w:val="a3"/>
      </w:pPr>
      <w:r w:rsidRPr="001A3D2B">
        <w:t xml:space="preserve">Full Text: </w:t>
      </w:r>
      <w:hyperlink r:id="rId58" w:history="1">
        <w:r w:rsidRPr="001A3D2B">
          <w:rPr>
            <w:rStyle w:val="a5"/>
          </w:rPr>
          <w:t>1991\Acc Ana Pre23, 557.pdf</w:t>
        </w:r>
      </w:hyperlink>
    </w:p>
    <w:p w:rsidR="003474F2" w:rsidRPr="001A3D2B" w:rsidRDefault="003474F2" w:rsidP="003474F2">
      <w:pPr>
        <w:pStyle w:val="a3"/>
      </w:pPr>
      <w:r w:rsidRPr="001A3D2B">
        <w:t>Abstract:</w:t>
      </w:r>
      <w:r w:rsidR="003A1917">
        <w:t xml:space="preserve"> the </w:t>
      </w:r>
      <w:r w:rsidRPr="001A3D2B">
        <w:t>majority</w:t>
      </w:r>
      <w:r w:rsidR="00427468">
        <w:t xml:space="preserve"> of </w:t>
      </w:r>
      <w:r w:rsidRPr="001A3D2B">
        <w:t>cases</w:t>
      </w:r>
      <w:r w:rsidR="00427468">
        <w:t xml:space="preserve"> of </w:t>
      </w:r>
      <w:r w:rsidRPr="001A3D2B">
        <w:t>spinal cord injury (SCI) occur during car crashes. Yet, relatively little is known about</w:t>
      </w:r>
      <w:r w:rsidR="003A1917">
        <w:t xml:space="preserve"> the </w:t>
      </w:r>
      <w:r w:rsidRPr="001A3D2B">
        <w:t>precise accident factors involved</w:t>
      </w:r>
      <w:r w:rsidR="00A37C1D">
        <w:t>. The</w:t>
      </w:r>
      <w:r w:rsidR="003A1917">
        <w:t xml:space="preserve"> </w:t>
      </w:r>
      <w:r w:rsidRPr="001A3D2B">
        <w:t>present study investigated 30 cases</w:t>
      </w:r>
      <w:r w:rsidR="00427468">
        <w:t xml:space="preserve"> of </w:t>
      </w:r>
      <w:r w:rsidRPr="001A3D2B">
        <w:t>SCI in automobile drivers that occurred in a series</w:t>
      </w:r>
      <w:r w:rsidR="00427468">
        <w:t xml:space="preserve"> of </w:t>
      </w:r>
      <w:r w:rsidRPr="001A3D2B">
        <w:t>91 spinal cord injuries. A matched control group was also studied. SCI drivers were not different from controls in terms</w:t>
      </w:r>
      <w:r w:rsidR="00427468">
        <w:t xml:space="preserve"> of </w:t>
      </w:r>
      <w:r w:rsidRPr="001A3D2B">
        <w:t>mortality, number</w:t>
      </w:r>
      <w:r w:rsidR="00427468">
        <w:t xml:space="preserve"> of </w:t>
      </w:r>
      <w:r w:rsidRPr="001A3D2B">
        <w:t>rollover crashes, alcohol use, citations for contributing human factors, nighttime accidents, or unfavorable weather</w:t>
      </w:r>
      <w:r w:rsidR="005853A9">
        <w:t xml:space="preserve"> and </w:t>
      </w:r>
      <w:r w:rsidRPr="001A3D2B">
        <w:t>road conditions. However, SCI drivers less frequently used restraints. Results are discussed in terms</w:t>
      </w:r>
      <w:r w:rsidR="00427468">
        <w:t xml:space="preserve"> of </w:t>
      </w:r>
      <w:r w:rsidRPr="001A3D2B">
        <w:t>preventive measures, specifically, those concerning restraint use, alcohol use,</w:t>
      </w:r>
      <w:r w:rsidR="005853A9">
        <w:t xml:space="preserve"> and </w:t>
      </w:r>
      <w:r w:rsidRPr="001A3D2B">
        <w:t>driving behavior.</w:t>
      </w:r>
    </w:p>
    <w:p w:rsidR="003474F2" w:rsidRPr="001A3D2B" w:rsidRDefault="003474F2" w:rsidP="003474F2">
      <w:pPr>
        <w:pStyle w:val="a3"/>
      </w:pPr>
      <w:r w:rsidRPr="001A3D2B">
        <w:t>Kmet, L., Brasher, P.</w:t>
      </w:r>
      <w:r w:rsidR="005853A9">
        <w:t xml:space="preserve"> and </w:t>
      </w:r>
      <w:r w:rsidRPr="001A3D2B">
        <w:t>Macarthur, C. (2003), A small area study</w:t>
      </w:r>
      <w:r w:rsidR="00427468">
        <w:t xml:space="preserve"> of </w:t>
      </w:r>
      <w:r w:rsidRPr="001A3D2B">
        <w:t xml:space="preserve">motor vehicle crash fatalities in </w:t>
      </w:r>
      <w:smartTag w:uri="urn:schemas-microsoft-com:office:smarttags" w:element="State">
        <w:r w:rsidRPr="001A3D2B">
          <w:t>Alberta</w:t>
        </w:r>
      </w:smartTag>
      <w:r w:rsidRPr="001A3D2B">
        <w:t xml:space="preserve">, </w:t>
      </w:r>
      <w:smartTag w:uri="urn:schemas-microsoft-com:office:smarttags" w:element="place">
        <w:smartTag w:uri="urn:schemas-microsoft-com:office:smarttags" w:element="country-region">
          <w:r w:rsidRPr="001A3D2B">
            <w:t>Canada</w:t>
          </w:r>
        </w:smartTag>
      </w:smartTag>
      <w:r w:rsidRPr="001A3D2B">
        <w:t xml:space="preserve">. </w:t>
      </w:r>
      <w:r w:rsidRPr="001A3D2B">
        <w:rPr>
          <w:i/>
          <w:iCs/>
        </w:rPr>
        <w:t>Accident Analysis</w:t>
      </w:r>
      <w:r w:rsidR="005853A9">
        <w:rPr>
          <w:i/>
          <w:iCs/>
        </w:rPr>
        <w:t xml:space="preserve"> and </w:t>
      </w:r>
      <w:r w:rsidRPr="001A3D2B">
        <w:rPr>
          <w:i/>
          <w:iCs/>
        </w:rPr>
        <w:t>Prevention</w:t>
      </w:r>
      <w:r w:rsidRPr="001A3D2B">
        <w:t xml:space="preserve">, </w:t>
      </w:r>
      <w:r w:rsidRPr="001A3D2B">
        <w:rPr>
          <w:b/>
          <w:bCs/>
        </w:rPr>
        <w:t>35</w:t>
      </w:r>
      <w:r w:rsidRPr="001A3D2B">
        <w:t xml:space="preserve"> (2), 177-182.</w:t>
      </w:r>
    </w:p>
    <w:p w:rsidR="003474F2" w:rsidRPr="001A3D2B" w:rsidRDefault="003474F2" w:rsidP="003474F2">
      <w:pPr>
        <w:pStyle w:val="a3"/>
      </w:pPr>
      <w:r w:rsidRPr="001A3D2B">
        <w:t xml:space="preserve">Full Text: </w:t>
      </w:r>
      <w:hyperlink r:id="rId59" w:history="1">
        <w:r w:rsidRPr="001A3D2B">
          <w:rPr>
            <w:rStyle w:val="a5"/>
          </w:rPr>
          <w:t>2003\Acc Ana Pre35, 177.pdf</w:t>
        </w:r>
      </w:hyperlink>
    </w:p>
    <w:p w:rsidR="003474F2" w:rsidRPr="001A3D2B" w:rsidRDefault="003474F2" w:rsidP="003474F2">
      <w:pPr>
        <w:pStyle w:val="a3"/>
      </w:pPr>
      <w:r w:rsidRPr="001A3D2B">
        <w:t>Abstract: This study examined</w:t>
      </w:r>
      <w:r w:rsidR="003A1917">
        <w:t xml:space="preserve"> the </w:t>
      </w:r>
      <w:r w:rsidRPr="001A3D2B">
        <w:t xml:space="preserve">small area variation in motor vehicle crash fatality </w:t>
      </w:r>
      <w:r w:rsidRPr="001A3D2B">
        <w:lastRenderedPageBreak/>
        <w:t>rates in</w:t>
      </w:r>
      <w:r w:rsidR="003A1917">
        <w:t xml:space="preserve"> the </w:t>
      </w:r>
      <w:r w:rsidRPr="001A3D2B">
        <w:t>province</w:t>
      </w:r>
      <w:r w:rsidR="00427468">
        <w:t xml:space="preserve"> of </w:t>
      </w:r>
      <w:r w:rsidRPr="001A3D2B">
        <w:t xml:space="preserve">Alberta, </w:t>
      </w:r>
      <w:smartTag w:uri="urn:schemas-microsoft-com:office:smarttags" w:element="place">
        <w:smartTag w:uri="urn:schemas-microsoft-com:office:smarttags" w:element="country-region">
          <w:r w:rsidRPr="001A3D2B">
            <w:t>Canada</w:t>
          </w:r>
        </w:smartTag>
      </w:smartTag>
      <w:r w:rsidRPr="001A3D2B">
        <w:t>. Motor vehicle crash fatality rates per 100,000 population (1995–1997, inclusive) were determined for five geographic areas in</w:t>
      </w:r>
      <w:r w:rsidR="003A1917">
        <w:t xml:space="preserve"> the </w:t>
      </w:r>
      <w:r w:rsidRPr="001A3D2B">
        <w:t>province</w:t>
      </w:r>
      <w:r w:rsidR="00A37C1D">
        <w:t>. The</w:t>
      </w:r>
      <w:r w:rsidR="003A1917">
        <w:t xml:space="preserve"> </w:t>
      </w:r>
      <w:r w:rsidRPr="001A3D2B">
        <w:t>rates showed substantial, statistically significant variation across areas, with fatality rates lowest in</w:t>
      </w:r>
      <w:r w:rsidR="003A1917">
        <w:t xml:space="preserve"> the </w:t>
      </w:r>
      <w:r w:rsidRPr="001A3D2B">
        <w:t>urban areas</w:t>
      </w:r>
      <w:r w:rsidR="00427468">
        <w:t xml:space="preserve"> of </w:t>
      </w:r>
      <w:r w:rsidRPr="001A3D2B">
        <w:t>Calgary</w:t>
      </w:r>
      <w:r w:rsidR="005853A9">
        <w:t xml:space="preserve"> and </w:t>
      </w:r>
      <w:r w:rsidRPr="001A3D2B">
        <w:t>Edmonton,</w:t>
      </w:r>
      <w:r w:rsidR="005853A9">
        <w:t xml:space="preserve"> and </w:t>
      </w:r>
      <w:r w:rsidRPr="001A3D2B">
        <w:t>highest in</w:t>
      </w:r>
      <w:r w:rsidR="003A1917">
        <w:t xml:space="preserve"> the </w:t>
      </w:r>
      <w:r w:rsidRPr="001A3D2B">
        <w:t>rural areas (south, central,</w:t>
      </w:r>
      <w:r w:rsidR="005853A9">
        <w:t xml:space="preserve"> and </w:t>
      </w:r>
      <w:r w:rsidRPr="001A3D2B">
        <w:t xml:space="preserve">northern </w:t>
      </w:r>
      <w:smartTag w:uri="urn:schemas-microsoft-com:office:smarttags" w:element="place">
        <w:smartTag w:uri="urn:schemas-microsoft-com:office:smarttags" w:element="State">
          <w:r w:rsidRPr="001A3D2B">
            <w:t>Alberta</w:t>
          </w:r>
        </w:smartTag>
      </w:smartTag>
      <w:r w:rsidRPr="001A3D2B">
        <w:t>). Examination</w:t>
      </w:r>
      <w:r w:rsidR="00427468">
        <w:t xml:space="preserve"> of </w:t>
      </w:r>
      <w:r w:rsidRPr="001A3D2B">
        <w:t>area-level predictors––population density, impaired driving citation rates, education level, unemployment levels,</w:t>
      </w:r>
      <w:r w:rsidR="005853A9">
        <w:t xml:space="preserve"> and </w:t>
      </w:r>
      <w:r w:rsidRPr="001A3D2B">
        <w:t>ethnicity––showed that population density</w:t>
      </w:r>
      <w:r w:rsidR="005853A9">
        <w:t xml:space="preserve"> and </w:t>
      </w:r>
      <w:r w:rsidRPr="001A3D2B">
        <w:t>impaired driving rates were associated with motor vehicle crash fatality rates</w:t>
      </w:r>
      <w:r w:rsidR="00A37C1D">
        <w:t>. The</w:t>
      </w:r>
      <w:r w:rsidRPr="001A3D2B">
        <w:t>re was a five-fold difference in annual motor vehicle crash fatality rates between rural (22.9/100,000)</w:t>
      </w:r>
      <w:r w:rsidR="005853A9">
        <w:t xml:space="preserve"> and </w:t>
      </w:r>
      <w:r w:rsidRPr="001A3D2B">
        <w:t>urban areas (4.4/100,000), whereas annual impaired driving rates were around 1.8% in rural areas, compared with 0.6% in urban areas. Because</w:t>
      </w:r>
      <w:r w:rsidR="00427468">
        <w:t xml:space="preserve"> of </w:t>
      </w:r>
      <w:r w:rsidRPr="001A3D2B">
        <w:t>multicollinearity problems, it was not possible to estimate a multivariable Poisson regression model. In conclusion, rural areas in</w:t>
      </w:r>
      <w:r w:rsidR="003A1917">
        <w:t xml:space="preserve"> the </w:t>
      </w:r>
      <w:r w:rsidRPr="001A3D2B">
        <w:t>province</w:t>
      </w:r>
      <w:r w:rsidR="00427468">
        <w:t xml:space="preserve"> of </w:t>
      </w:r>
      <w:r w:rsidRPr="001A3D2B">
        <w:t>Alberta demonstrate a significantly higher motor vehicle crash fatality rate, compared with urban areas.</w:t>
      </w:r>
    </w:p>
    <w:p w:rsidR="003474F2" w:rsidRPr="001A3D2B" w:rsidRDefault="003474F2" w:rsidP="003474F2">
      <w:pPr>
        <w:pStyle w:val="a3"/>
      </w:pPr>
      <w:r w:rsidRPr="001A3D2B">
        <w:t>Keywords: Traffic Accidents, Mortality, Small Area Study, Population Surveillance</w:t>
      </w:r>
    </w:p>
    <w:p w:rsidR="003474F2" w:rsidRPr="001A3D2B" w:rsidRDefault="003474F2" w:rsidP="003474F2">
      <w:pPr>
        <w:pStyle w:val="1"/>
        <w:snapToGrid w:val="0"/>
      </w:pPr>
      <w:r w:rsidRPr="001A3D2B">
        <w:br w:type="page"/>
      </w:r>
      <w:bookmarkStart w:id="32" w:name="_Toc420814238"/>
      <w:r w:rsidRPr="001A3D2B">
        <w:lastRenderedPageBreak/>
        <w:t xml:space="preserve">Title: </w:t>
      </w:r>
      <w:r w:rsidR="00BF6B4E">
        <w:t>Accountability in Research-Policies</w:t>
      </w:r>
      <w:r w:rsidR="005853A9">
        <w:t xml:space="preserve"> and </w:t>
      </w:r>
      <w:r w:rsidR="00BF6B4E">
        <w:t>Quality Assurance</w:t>
      </w:r>
      <w:bookmarkEnd w:id="32"/>
    </w:p>
    <w:p w:rsidR="00A5575A" w:rsidRPr="00F219CA" w:rsidRDefault="00A5575A" w:rsidP="00A5575A">
      <w:pPr>
        <w:pStyle w:val="12"/>
      </w:pPr>
      <w:r w:rsidRPr="00F219CA">
        <w:t xml:space="preserve">Full Journal Title: </w:t>
      </w:r>
      <w:hyperlink r:id="rId60" w:history="1">
        <w:r w:rsidR="00BF6B4E">
          <w:rPr>
            <w:rStyle w:val="a5"/>
          </w:rPr>
          <w:t>Accountability in Research-Policies</w:t>
        </w:r>
        <w:r w:rsidR="005853A9">
          <w:rPr>
            <w:rStyle w:val="a5"/>
          </w:rPr>
          <w:t xml:space="preserve"> and </w:t>
        </w:r>
        <w:r w:rsidR="00BF6B4E">
          <w:rPr>
            <w:rStyle w:val="a5"/>
          </w:rPr>
          <w:t>Quality Assurance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0898-9621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Carlin, A.P. (2003), Some bibliographic practices in interdisciplinary work: Accounting for citations in library</w:t>
      </w:r>
      <w:r w:rsidR="005853A9">
        <w:t xml:space="preserve"> and </w:t>
      </w:r>
      <w:r w:rsidRPr="001A3D2B">
        <w:t xml:space="preserve">information sciences. </w:t>
      </w:r>
      <w:r w:rsidR="00BF6B4E">
        <w:rPr>
          <w:i/>
          <w:iCs/>
        </w:rPr>
        <w:t>Accountability in Research-Policies</w:t>
      </w:r>
      <w:r w:rsidR="005853A9">
        <w:rPr>
          <w:i/>
          <w:iCs/>
        </w:rPr>
        <w:t xml:space="preserve"> and </w:t>
      </w:r>
      <w:r w:rsidR="00BF6B4E">
        <w:rPr>
          <w:i/>
          <w:iCs/>
        </w:rPr>
        <w:t>Quality Assurance</w:t>
      </w:r>
      <w:r w:rsidRPr="001A3D2B">
        <w:t xml:space="preserve">, </w:t>
      </w:r>
      <w:r w:rsidRPr="001A3D2B">
        <w:rPr>
          <w:b/>
          <w:bCs/>
        </w:rPr>
        <w:t>10</w:t>
      </w:r>
      <w:r w:rsidRPr="001A3D2B">
        <w:t xml:space="preserve"> (1), 27-45.</w:t>
      </w:r>
    </w:p>
    <w:p w:rsidR="003474F2" w:rsidRPr="001A3D2B" w:rsidRDefault="003474F2" w:rsidP="003474F2">
      <w:pPr>
        <w:pStyle w:val="a3"/>
      </w:pPr>
      <w:r w:rsidRPr="001A3D2B">
        <w:t xml:space="preserve">Full Text: </w:t>
      </w:r>
      <w:hyperlink r:id="rId61" w:history="1">
        <w:r w:rsidRPr="001A3D2B">
          <w:rPr>
            <w:rStyle w:val="a5"/>
          </w:rPr>
          <w:t>2003\Acc Res Pol Qua Ass10, 27.pdf</w:t>
        </w:r>
      </w:hyperlink>
    </w:p>
    <w:p w:rsidR="003474F2" w:rsidRPr="001A3D2B" w:rsidRDefault="003474F2" w:rsidP="003474F2">
      <w:pPr>
        <w:pStyle w:val="a3"/>
      </w:pPr>
      <w:r w:rsidRPr="001A3D2B">
        <w:t>Abstract: Interdisciplinary studies involve</w:t>
      </w:r>
      <w:r w:rsidR="003A1917">
        <w:t xml:space="preserve"> the </w:t>
      </w:r>
      <w:r w:rsidRPr="001A3D2B">
        <w:t>use</w:t>
      </w:r>
      <w:r w:rsidR="00427468">
        <w:t xml:space="preserve"> of </w:t>
      </w:r>
      <w:r w:rsidRPr="001A3D2B">
        <w:t>concepts, methods</w:t>
      </w:r>
      <w:r w:rsidR="005853A9">
        <w:t xml:space="preserve"> and </w:t>
      </w:r>
      <w:r w:rsidRPr="001A3D2B">
        <w:t>theories developed in other disciplines. Using sociology</w:t>
      </w:r>
      <w:r w:rsidR="005853A9">
        <w:t xml:space="preserve"> and </w:t>
      </w:r>
      <w:r w:rsidRPr="001A3D2B">
        <w:t>library</w:t>
      </w:r>
      <w:r w:rsidR="005853A9">
        <w:t xml:space="preserve"> and </w:t>
      </w:r>
      <w:r w:rsidRPr="001A3D2B">
        <w:t>information science as researchable fields, this paper examines how interdisciplinary presentations appropriate discipline-specific concepts. Itemizing materials in a bibliography is a claim to familiarity with</w:t>
      </w:r>
      <w:r w:rsidR="003A1917">
        <w:t xml:space="preserve"> the </w:t>
      </w:r>
      <w:r w:rsidRPr="001A3D2B">
        <w:t>content</w:t>
      </w:r>
      <w:r w:rsidR="00427468">
        <w:t xml:space="preserve"> of </w:t>
      </w:r>
      <w:r w:rsidRPr="001A3D2B">
        <w:t>those materials. Bibliographic anomalies are apparent in papers by Elfreda Chatman, published in library</w:t>
      </w:r>
      <w:r w:rsidR="005853A9">
        <w:t xml:space="preserve"> and </w:t>
      </w:r>
      <w:r w:rsidRPr="001A3D2B">
        <w:t>information science journals. Misspellings</w:t>
      </w:r>
      <w:r w:rsidR="005853A9">
        <w:t xml:space="preserve"> and </w:t>
      </w:r>
      <w:r w:rsidRPr="001A3D2B">
        <w:t>disjunctive uses</w:t>
      </w:r>
      <w:r w:rsidR="00427468">
        <w:t xml:space="preserve"> of </w:t>
      </w:r>
      <w:r w:rsidRPr="001A3D2B">
        <w:t>material suggests that Chatman is unfamiliar with</w:t>
      </w:r>
      <w:r w:rsidR="003A1917">
        <w:t xml:space="preserve"> the </w:t>
      </w:r>
      <w:r w:rsidRPr="001A3D2B">
        <w:t>literature bases she invokes. Working through texts</w:t>
      </w:r>
      <w:r w:rsidR="005853A9">
        <w:t xml:space="preserve"> and </w:t>
      </w:r>
      <w:r w:rsidRPr="001A3D2B">
        <w:t>accompanying bibliographies, this article shows how</w:t>
      </w:r>
      <w:r w:rsidR="003A1917">
        <w:t xml:space="preserve"> the </w:t>
      </w:r>
      <w:r w:rsidRPr="001A3D2B">
        <w:t>entailments</w:t>
      </w:r>
      <w:r w:rsidR="00427468">
        <w:t xml:space="preserve"> of </w:t>
      </w:r>
      <w:r w:rsidRPr="001A3D2B">
        <w:t>research programs that Chatman claims to use can be reflected back onto her own work</w:t>
      </w:r>
      <w:r w:rsidR="00A37C1D">
        <w:t>. The</w:t>
      </w:r>
      <w:r w:rsidR="003A1917">
        <w:t xml:space="preserve"> </w:t>
      </w:r>
      <w:r w:rsidRPr="001A3D2B">
        <w:t>article provides suggestions on how to make interdisciplinary studies more accountable to academic communities.</w:t>
      </w:r>
    </w:p>
    <w:p w:rsidR="003474F2" w:rsidRPr="001A3D2B" w:rsidRDefault="003474F2" w:rsidP="003474F2">
      <w:pPr>
        <w:pStyle w:val="a3"/>
      </w:pPr>
      <w:r w:rsidRPr="001A3D2B">
        <w:t>Keywords: Bibliography, Citation, Impression Management, Interdisciplinary, Scholarly Communication, Trust</w:t>
      </w:r>
    </w:p>
    <w:p w:rsidR="00EE1272" w:rsidRDefault="00EE1272" w:rsidP="00EE1272">
      <w:pPr>
        <w:pStyle w:val="a3"/>
        <w:rPr>
          <w:kern w:val="0"/>
        </w:rPr>
      </w:pPr>
      <w:r>
        <w:rPr>
          <w:rFonts w:hint="eastAsia"/>
          <w:kern w:val="0"/>
        </w:rPr>
        <w:t xml:space="preserve">? </w:t>
      </w:r>
      <w:r>
        <w:rPr>
          <w:kern w:val="0"/>
        </w:rPr>
        <w:t>Foo, J.Y.A. (2009), Effect</w:t>
      </w:r>
      <w:r w:rsidR="00427468">
        <w:rPr>
          <w:kern w:val="0"/>
        </w:rPr>
        <w:t xml:space="preserve"> of </w:t>
      </w:r>
      <w:r>
        <w:rPr>
          <w:kern w:val="0"/>
        </w:rPr>
        <w:t>bibliographical classification on</w:t>
      </w:r>
      <w:r w:rsidR="003A1917">
        <w:rPr>
          <w:kern w:val="0"/>
        </w:rPr>
        <w:t xml:space="preserve"> the </w:t>
      </w:r>
      <w:r>
        <w:rPr>
          <w:kern w:val="0"/>
        </w:rPr>
        <w:t>impact factor</w:t>
      </w:r>
      <w:r w:rsidR="00427468">
        <w:rPr>
          <w:kern w:val="0"/>
        </w:rPr>
        <w:t xml:space="preserve"> of </w:t>
      </w:r>
      <w:r>
        <w:rPr>
          <w:kern w:val="0"/>
        </w:rPr>
        <w:t>science-</w:t>
      </w:r>
      <w:r w:rsidR="005853A9">
        <w:rPr>
          <w:kern w:val="0"/>
        </w:rPr>
        <w:t xml:space="preserve"> and </w:t>
      </w:r>
      <w:r>
        <w:rPr>
          <w:kern w:val="0"/>
        </w:rPr>
        <w:t xml:space="preserve">engineering-based journals. </w:t>
      </w:r>
      <w:r w:rsidR="00BF6B4E">
        <w:rPr>
          <w:i/>
          <w:iCs/>
          <w:kern w:val="0"/>
        </w:rPr>
        <w:t>Accountability in Research-Policies</w:t>
      </w:r>
      <w:r w:rsidR="005853A9">
        <w:rPr>
          <w:i/>
          <w:iCs/>
          <w:kern w:val="0"/>
        </w:rPr>
        <w:t xml:space="preserve"> and </w:t>
      </w:r>
      <w:r w:rsidR="00BF6B4E">
        <w:rPr>
          <w:i/>
          <w:iCs/>
          <w:kern w:val="0"/>
        </w:rPr>
        <w:t>Quality Assurance</w:t>
      </w:r>
      <w:r>
        <w:rPr>
          <w:kern w:val="0"/>
        </w:rPr>
        <w:t xml:space="preserve">, </w:t>
      </w:r>
      <w:r>
        <w:rPr>
          <w:b/>
          <w:bCs/>
          <w:kern w:val="0"/>
        </w:rPr>
        <w:t>16</w:t>
      </w:r>
      <w:r>
        <w:rPr>
          <w:kern w:val="0"/>
        </w:rPr>
        <w:t xml:space="preserve"> (1), 1-12.</w:t>
      </w:r>
    </w:p>
    <w:p w:rsidR="00EE1272" w:rsidRPr="00F219CA" w:rsidRDefault="00EE1272" w:rsidP="00EE1272">
      <w:pPr>
        <w:pStyle w:val="a3"/>
      </w:pPr>
      <w:r w:rsidRPr="00F219CA">
        <w:t xml:space="preserve">Full Text: </w:t>
      </w:r>
      <w:hyperlink r:id="rId62" w:history="1">
        <w:r w:rsidRPr="003A6784">
          <w:rPr>
            <w:rStyle w:val="a5"/>
          </w:rPr>
          <w:t>2009\Acc Res Pol Qua Ass16, 1.pdf</w:t>
        </w:r>
      </w:hyperlink>
    </w:p>
    <w:p w:rsidR="00EE1272" w:rsidRDefault="00EE1272" w:rsidP="00EE1272">
      <w:pPr>
        <w:pStyle w:val="a3"/>
        <w:rPr>
          <w:kern w:val="0"/>
        </w:rPr>
      </w:pPr>
      <w:r>
        <w:rPr>
          <w:kern w:val="0"/>
        </w:rPr>
        <w:t>Abstract:</w:t>
      </w:r>
      <w:r w:rsidR="003A1917">
        <w:rPr>
          <w:kern w:val="0"/>
        </w:rPr>
        <w:t xml:space="preserve"> the </w:t>
      </w:r>
      <w:r>
        <w:rPr>
          <w:kern w:val="0"/>
        </w:rPr>
        <w:t>simplest</w:t>
      </w:r>
      <w:r w:rsidR="005853A9">
        <w:rPr>
          <w:kern w:val="0"/>
        </w:rPr>
        <w:t xml:space="preserve"> and </w:t>
      </w:r>
      <w:r>
        <w:rPr>
          <w:kern w:val="0"/>
        </w:rPr>
        <w:t>widely used assessment</w:t>
      </w:r>
      <w:r w:rsidR="00427468">
        <w:rPr>
          <w:kern w:val="0"/>
        </w:rPr>
        <w:t xml:space="preserve"> of </w:t>
      </w:r>
      <w:r>
        <w:rPr>
          <w:kern w:val="0"/>
        </w:rPr>
        <w:t>academic research</w:t>
      </w:r>
      <w:r w:rsidR="005853A9">
        <w:rPr>
          <w:kern w:val="0"/>
        </w:rPr>
        <w:t xml:space="preserve"> and </w:t>
      </w:r>
      <w:r>
        <w:rPr>
          <w:kern w:val="0"/>
        </w:rPr>
        <w:t>researchers is</w:t>
      </w:r>
      <w:r w:rsidR="003A1917">
        <w:rPr>
          <w:kern w:val="0"/>
        </w:rPr>
        <w:t xml:space="preserve"> the </w:t>
      </w:r>
      <w:r>
        <w:rPr>
          <w:kern w:val="0"/>
        </w:rPr>
        <w:t>journal impact factor (JIF). However,</w:t>
      </w:r>
      <w:r w:rsidR="003A1917">
        <w:rPr>
          <w:kern w:val="0"/>
        </w:rPr>
        <w:t xml:space="preserve"> the </w:t>
      </w:r>
      <w:r>
        <w:rPr>
          <w:kern w:val="0"/>
        </w:rPr>
        <w:t xml:space="preserve">JIF may exhibit patterns that are </w:t>
      </w:r>
      <w:r>
        <w:rPr>
          <w:kern w:val="0"/>
        </w:rPr>
        <w:lastRenderedPageBreak/>
        <w:t>skewed towards journals that publish high number</w:t>
      </w:r>
      <w:r w:rsidR="00427468">
        <w:rPr>
          <w:kern w:val="0"/>
        </w:rPr>
        <w:t xml:space="preserve"> of </w:t>
      </w:r>
      <w:r>
        <w:rPr>
          <w:kern w:val="0"/>
        </w:rPr>
        <w:t>non-research items</w:t>
      </w:r>
      <w:r w:rsidR="005853A9">
        <w:rPr>
          <w:kern w:val="0"/>
        </w:rPr>
        <w:t xml:space="preserve"> and </w:t>
      </w:r>
      <w:r>
        <w:rPr>
          <w:kern w:val="0"/>
        </w:rPr>
        <w:t>short turnover research. Moreover, there are concerns as</w:t>
      </w:r>
      <w:r w:rsidR="003A1917">
        <w:rPr>
          <w:kern w:val="0"/>
        </w:rPr>
        <w:t xml:space="preserve"> the </w:t>
      </w:r>
      <w:r>
        <w:rPr>
          <w:kern w:val="0"/>
        </w:rPr>
        <w:t>JIF is often used as a comparison for journals from different disciplines. In this study,</w:t>
      </w:r>
      <w:r w:rsidR="003A1917">
        <w:rPr>
          <w:kern w:val="0"/>
        </w:rPr>
        <w:t xml:space="preserve"> the </w:t>
      </w:r>
      <w:r>
        <w:rPr>
          <w:kern w:val="0"/>
        </w:rPr>
        <w:t>JIF computation</w:t>
      </w:r>
      <w:r w:rsidR="00427468">
        <w:rPr>
          <w:kern w:val="0"/>
        </w:rPr>
        <w:t xml:space="preserve"> of </w:t>
      </w:r>
      <w:r>
        <w:rPr>
          <w:kern w:val="0"/>
        </w:rPr>
        <w:t>eight top ranked journals from four different subject categories was analyzed</w:t>
      </w:r>
      <w:r w:rsidR="00A37C1D">
        <w:rPr>
          <w:kern w:val="0"/>
        </w:rPr>
        <w:t>. The</w:t>
      </w:r>
      <w:r w:rsidR="003A1917">
        <w:rPr>
          <w:kern w:val="0"/>
        </w:rPr>
        <w:t xml:space="preserve"> </w:t>
      </w:r>
      <w:r>
        <w:rPr>
          <w:kern w:val="0"/>
        </w:rPr>
        <w:t>analysis reveals that most</w:t>
      </w:r>
      <w:r w:rsidR="00427468">
        <w:rPr>
          <w:kern w:val="0"/>
        </w:rPr>
        <w:t xml:space="preserve"> of </w:t>
      </w:r>
      <w:r w:rsidR="003A1917">
        <w:rPr>
          <w:kern w:val="0"/>
        </w:rPr>
        <w:t xml:space="preserve">the </w:t>
      </w:r>
      <w:r>
        <w:rPr>
          <w:kern w:val="0"/>
        </w:rPr>
        <w:t>published items (&gt; 65%) in</w:t>
      </w:r>
      <w:r w:rsidR="003A1917">
        <w:rPr>
          <w:kern w:val="0"/>
        </w:rPr>
        <w:t xml:space="preserve"> the </w:t>
      </w:r>
      <w:r>
        <w:rPr>
          <w:kern w:val="0"/>
        </w:rPr>
        <w:t>science disciplines were nonresearch items while fewer such items (&lt; 22%) were observed in engineering-based journals</w:t>
      </w:r>
      <w:r w:rsidR="00A37C1D">
        <w:rPr>
          <w:kern w:val="0"/>
        </w:rPr>
        <w:t>. The</w:t>
      </w:r>
      <w:r w:rsidR="003A1917">
        <w:rPr>
          <w:kern w:val="0"/>
        </w:rPr>
        <w:t xml:space="preserve"> </w:t>
      </w:r>
      <w:r>
        <w:rPr>
          <w:kern w:val="0"/>
        </w:rPr>
        <w:t>single regression analysis confirmed that there is correlation (R-2 &gt;= .99) in</w:t>
      </w:r>
      <w:r w:rsidR="003A1917">
        <w:rPr>
          <w:kern w:val="0"/>
        </w:rPr>
        <w:t xml:space="preserve"> the </w:t>
      </w:r>
      <w:r>
        <w:rPr>
          <w:kern w:val="0"/>
        </w:rPr>
        <w:t>number</w:t>
      </w:r>
      <w:r w:rsidR="00427468">
        <w:rPr>
          <w:kern w:val="0"/>
        </w:rPr>
        <w:t xml:space="preserve"> of </w:t>
      </w:r>
      <w:r>
        <w:rPr>
          <w:kern w:val="0"/>
        </w:rPr>
        <w:t>published items or citations received over</w:t>
      </w:r>
      <w:r w:rsidR="003A1917">
        <w:rPr>
          <w:kern w:val="0"/>
        </w:rPr>
        <w:t xml:space="preserve"> the </w:t>
      </w:r>
      <w:r>
        <w:rPr>
          <w:kern w:val="0"/>
        </w:rPr>
        <w:t>two-year period used in</w:t>
      </w:r>
      <w:r w:rsidR="003A1917">
        <w:rPr>
          <w:kern w:val="0"/>
        </w:rPr>
        <w:t xml:space="preserve"> the </w:t>
      </w:r>
      <w:r>
        <w:rPr>
          <w:kern w:val="0"/>
        </w:rPr>
        <w:t>JIF calculation amongst</w:t>
      </w:r>
      <w:r w:rsidR="003A1917">
        <w:rPr>
          <w:kern w:val="0"/>
        </w:rPr>
        <w:t xml:space="preserve"> the </w:t>
      </w:r>
      <w:r>
        <w:rPr>
          <w:kern w:val="0"/>
        </w:rPr>
        <w:t>eight selected journals. A weighted factor computation is introduced to compensate for</w:t>
      </w:r>
      <w:r w:rsidR="003A1917">
        <w:rPr>
          <w:kern w:val="0"/>
        </w:rPr>
        <w:t xml:space="preserve"> the </w:t>
      </w:r>
      <w:r>
        <w:rPr>
          <w:kern w:val="0"/>
        </w:rPr>
        <w:t>smaller journals</w:t>
      </w:r>
      <w:r w:rsidR="005853A9">
        <w:rPr>
          <w:kern w:val="0"/>
        </w:rPr>
        <w:t xml:space="preserve"> and </w:t>
      </w:r>
      <w:r>
        <w:rPr>
          <w:kern w:val="0"/>
        </w:rPr>
        <w:t>journals that publish longer turnover research. It is hoped that</w:t>
      </w:r>
      <w:r w:rsidR="003A1917">
        <w:rPr>
          <w:kern w:val="0"/>
        </w:rPr>
        <w:t xml:space="preserve"> the </w:t>
      </w:r>
      <w:r>
        <w:rPr>
          <w:kern w:val="0"/>
        </w:rPr>
        <w:t>approach can provide a comprehensive assessment</w:t>
      </w:r>
      <w:r w:rsidR="00427468">
        <w:rPr>
          <w:kern w:val="0"/>
        </w:rPr>
        <w:t xml:space="preserve"> of </w:t>
      </w:r>
      <w:r w:rsidR="003A1917">
        <w:rPr>
          <w:kern w:val="0"/>
        </w:rPr>
        <w:t xml:space="preserve">the </w:t>
      </w:r>
      <w:r>
        <w:rPr>
          <w:kern w:val="0"/>
        </w:rPr>
        <w:t>quality</w:t>
      </w:r>
      <w:r w:rsidR="00427468">
        <w:rPr>
          <w:kern w:val="0"/>
        </w:rPr>
        <w:t xml:space="preserve"> of </w:t>
      </w:r>
      <w:r>
        <w:rPr>
          <w:kern w:val="0"/>
        </w:rPr>
        <w:t>a journal regardless</w:t>
      </w:r>
      <w:r w:rsidR="00427468">
        <w:rPr>
          <w:kern w:val="0"/>
        </w:rPr>
        <w:t xml:space="preserve"> of </w:t>
      </w:r>
      <w:r w:rsidR="003A1917">
        <w:rPr>
          <w:kern w:val="0"/>
        </w:rPr>
        <w:t xml:space="preserve">the </w:t>
      </w:r>
      <w:r>
        <w:rPr>
          <w:kern w:val="0"/>
        </w:rPr>
        <w:t>disciplinary field.</w:t>
      </w:r>
    </w:p>
    <w:p w:rsidR="00EE1272" w:rsidRDefault="00EE1272" w:rsidP="00EE1272">
      <w:pPr>
        <w:pStyle w:val="a3"/>
        <w:rPr>
          <w:kern w:val="0"/>
        </w:rPr>
      </w:pPr>
      <w:r>
        <w:rPr>
          <w:kern w:val="0"/>
        </w:rPr>
        <w:t>Keywords: Analysis, Authors, Bibliographical Database, Citation, Citations, Concerns, Editors, Impact Factor, Indexing, Journals, Medical Journals, Peer-Reviewed Journals, Publication, Quality, Research, Researchers, Science, Self-Citation</w:t>
      </w:r>
    </w:p>
    <w:p w:rsidR="003139B3" w:rsidRDefault="003139B3" w:rsidP="00A5575A">
      <w:pPr>
        <w:pStyle w:val="a3"/>
        <w:rPr>
          <w:kern w:val="0"/>
        </w:rPr>
      </w:pPr>
      <w:r>
        <w:rPr>
          <w:rFonts w:hint="eastAsia"/>
          <w:kern w:val="0"/>
        </w:rPr>
        <w:t>Notes: FField</w:t>
      </w:r>
    </w:p>
    <w:p w:rsidR="00A5575A" w:rsidRDefault="00A5575A" w:rsidP="00A5575A">
      <w:pPr>
        <w:pStyle w:val="a3"/>
        <w:rPr>
          <w:kern w:val="0"/>
        </w:rPr>
      </w:pPr>
      <w:r>
        <w:rPr>
          <w:rFonts w:hint="eastAsia"/>
          <w:kern w:val="0"/>
        </w:rPr>
        <w:t xml:space="preserve">? </w:t>
      </w:r>
      <w:r>
        <w:rPr>
          <w:kern w:val="0"/>
        </w:rPr>
        <w:t>Foo, J.Y.A. (2009), A 9-year analysis</w:t>
      </w:r>
      <w:r w:rsidR="00427468">
        <w:rPr>
          <w:kern w:val="0"/>
        </w:rPr>
        <w:t xml:space="preserve"> of </w:t>
      </w:r>
      <w:r>
        <w:rPr>
          <w:kern w:val="0"/>
        </w:rPr>
        <w:t>bibliographical trends for journals in</w:t>
      </w:r>
      <w:r w:rsidR="003A1917">
        <w:rPr>
          <w:kern w:val="0"/>
        </w:rPr>
        <w:t xml:space="preserve"> the </w:t>
      </w:r>
      <w:r>
        <w:rPr>
          <w:kern w:val="0"/>
        </w:rPr>
        <w:t>subject category</w:t>
      </w:r>
      <w:r w:rsidR="00427468">
        <w:rPr>
          <w:kern w:val="0"/>
        </w:rPr>
        <w:t xml:space="preserve"> of </w:t>
      </w:r>
      <w:r>
        <w:rPr>
          <w:kern w:val="0"/>
        </w:rPr>
        <w:t>general</w:t>
      </w:r>
      <w:r w:rsidR="005853A9">
        <w:rPr>
          <w:kern w:val="0"/>
        </w:rPr>
        <w:t xml:space="preserve"> and </w:t>
      </w:r>
      <w:r>
        <w:rPr>
          <w:kern w:val="0"/>
        </w:rPr>
        <w:t xml:space="preserve">internal medicine. </w:t>
      </w:r>
      <w:r w:rsidR="00BF6B4E">
        <w:rPr>
          <w:i/>
          <w:iCs/>
          <w:kern w:val="0"/>
        </w:rPr>
        <w:t>Accountability in Research-Policies</w:t>
      </w:r>
      <w:r w:rsidR="005853A9">
        <w:rPr>
          <w:i/>
          <w:iCs/>
          <w:kern w:val="0"/>
        </w:rPr>
        <w:t xml:space="preserve"> and </w:t>
      </w:r>
      <w:r w:rsidR="00BF6B4E">
        <w:rPr>
          <w:i/>
          <w:iCs/>
          <w:kern w:val="0"/>
        </w:rPr>
        <w:t>Quality Assurance</w:t>
      </w:r>
      <w:r>
        <w:rPr>
          <w:kern w:val="0"/>
        </w:rPr>
        <w:t xml:space="preserve">, </w:t>
      </w:r>
      <w:r>
        <w:rPr>
          <w:b/>
          <w:bCs/>
          <w:kern w:val="0"/>
        </w:rPr>
        <w:t>16</w:t>
      </w:r>
      <w:r>
        <w:rPr>
          <w:kern w:val="0"/>
        </w:rPr>
        <w:t xml:space="preserve"> (3), 127-152.</w:t>
      </w:r>
    </w:p>
    <w:p w:rsidR="00A5575A" w:rsidRPr="00F219CA" w:rsidRDefault="00A5575A" w:rsidP="00A5575A">
      <w:pPr>
        <w:pStyle w:val="a3"/>
      </w:pPr>
      <w:r w:rsidRPr="00F219CA">
        <w:t xml:space="preserve">Full Text: </w:t>
      </w:r>
      <w:hyperlink r:id="rId63" w:history="1">
        <w:r w:rsidR="00944506" w:rsidRPr="00944506">
          <w:rPr>
            <w:rStyle w:val="a5"/>
          </w:rPr>
          <w:t>2009\Acc Res Pol Qua Ass16, 127.pdf</w:t>
        </w:r>
      </w:hyperlink>
    </w:p>
    <w:p w:rsidR="00A5575A" w:rsidRDefault="00A5575A" w:rsidP="00A5575A">
      <w:pPr>
        <w:pStyle w:val="a3"/>
        <w:rPr>
          <w:kern w:val="0"/>
        </w:rPr>
      </w:pPr>
      <w:r>
        <w:rPr>
          <w:kern w:val="0"/>
        </w:rPr>
        <w:t>Abstract: For academic research outcomes, an important bibliometric scoring termed as</w:t>
      </w:r>
      <w:r w:rsidR="003A1917">
        <w:rPr>
          <w:kern w:val="0"/>
        </w:rPr>
        <w:t xml:space="preserve"> the </w:t>
      </w:r>
      <w:r>
        <w:rPr>
          <w:kern w:val="0"/>
        </w:rPr>
        <w:t>journal impact factor (JIF) is used when assessment</w:t>
      </w:r>
      <w:r w:rsidR="00427468">
        <w:rPr>
          <w:kern w:val="0"/>
        </w:rPr>
        <w:t xml:space="preserve"> of </w:t>
      </w:r>
      <w:r w:rsidR="003A1917">
        <w:rPr>
          <w:kern w:val="0"/>
        </w:rPr>
        <w:t xml:space="preserve">the </w:t>
      </w:r>
      <w:r>
        <w:rPr>
          <w:kern w:val="0"/>
        </w:rPr>
        <w:t>quality</w:t>
      </w:r>
      <w:r w:rsidR="00427468">
        <w:rPr>
          <w:kern w:val="0"/>
        </w:rPr>
        <w:t xml:space="preserve"> of </w:t>
      </w:r>
      <w:r>
        <w:rPr>
          <w:kern w:val="0"/>
        </w:rPr>
        <w:t>research is required. No known study has been conducted to explore</w:t>
      </w:r>
      <w:r w:rsidR="003A1917">
        <w:rPr>
          <w:kern w:val="0"/>
        </w:rPr>
        <w:t xml:space="preserve"> the </w:t>
      </w:r>
      <w:r>
        <w:rPr>
          <w:kern w:val="0"/>
        </w:rPr>
        <w:t>bibliographical trends</w:t>
      </w:r>
      <w:r w:rsidR="00427468">
        <w:rPr>
          <w:kern w:val="0"/>
        </w:rPr>
        <w:t xml:space="preserve"> of </w:t>
      </w:r>
      <w:r w:rsidR="00700038">
        <w:rPr>
          <w:kern w:val="0"/>
        </w:rPr>
        <w:t>‘</w:t>
      </w:r>
      <w:r>
        <w:rPr>
          <w:kern w:val="0"/>
        </w:rPr>
        <w:t>Medicine, General &amp; Internal</w:t>
      </w:r>
      <w:r w:rsidR="00700038">
        <w:rPr>
          <w:kern w:val="0"/>
        </w:rPr>
        <w:t>’</w:t>
      </w:r>
      <w:r>
        <w:rPr>
          <w:kern w:val="0"/>
        </w:rPr>
        <w:t xml:space="preserve"> journals indexed by</w:t>
      </w:r>
      <w:r w:rsidR="003A1917">
        <w:rPr>
          <w:kern w:val="0"/>
        </w:rPr>
        <w:t xml:space="preserve"> the </w:t>
      </w:r>
      <w:r>
        <w:rPr>
          <w:kern w:val="0"/>
        </w:rPr>
        <w:t>annual Journal Citation Reports. Data from</w:t>
      </w:r>
      <w:r w:rsidR="003A1917">
        <w:rPr>
          <w:kern w:val="0"/>
        </w:rPr>
        <w:t xml:space="preserve"> the </w:t>
      </w:r>
      <w:r>
        <w:rPr>
          <w:kern w:val="0"/>
        </w:rPr>
        <w:t>Journal Citation Reports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 were extracted to formulate a comprehensive analysis. In this study,</w:t>
      </w:r>
      <w:r w:rsidR="003A1917">
        <w:rPr>
          <w:kern w:val="0"/>
        </w:rPr>
        <w:t xml:space="preserve"> the </w:t>
      </w:r>
      <w:r>
        <w:rPr>
          <w:kern w:val="0"/>
        </w:rPr>
        <w:t>trends</w:t>
      </w:r>
      <w:r w:rsidR="00427468">
        <w:rPr>
          <w:kern w:val="0"/>
        </w:rPr>
        <w:t xml:space="preserve"> of </w:t>
      </w:r>
      <w:r>
        <w:rPr>
          <w:kern w:val="0"/>
        </w:rPr>
        <w:t>15 journals (5 top ranked</w:t>
      </w:r>
      <w:r w:rsidR="005853A9">
        <w:rPr>
          <w:kern w:val="0"/>
        </w:rPr>
        <w:t xml:space="preserve"> and </w:t>
      </w:r>
      <w:r>
        <w:rPr>
          <w:kern w:val="0"/>
        </w:rPr>
        <w:t>10 low ranked; 5 English</w:t>
      </w:r>
      <w:r w:rsidR="005853A9">
        <w:rPr>
          <w:kern w:val="0"/>
        </w:rPr>
        <w:t xml:space="preserve"> and </w:t>
      </w:r>
      <w:r>
        <w:rPr>
          <w:kern w:val="0"/>
        </w:rPr>
        <w:t>5 non-English based) were selected</w:t>
      </w:r>
      <w:r w:rsidR="005853A9">
        <w:rPr>
          <w:kern w:val="0"/>
        </w:rPr>
        <w:t xml:space="preserve"> and </w:t>
      </w:r>
      <w:r>
        <w:rPr>
          <w:kern w:val="0"/>
        </w:rPr>
        <w:t>analysed over a 9-year period (starting from year 1999 to 2007). Using</w:t>
      </w:r>
      <w:r w:rsidR="003A1917">
        <w:rPr>
          <w:kern w:val="0"/>
        </w:rPr>
        <w:t xml:space="preserve"> the </w:t>
      </w:r>
      <w:r>
        <w:rPr>
          <w:kern w:val="0"/>
        </w:rPr>
        <w:t>year 1999 as</w:t>
      </w:r>
      <w:r w:rsidR="003A1917">
        <w:rPr>
          <w:kern w:val="0"/>
        </w:rPr>
        <w:t xml:space="preserve"> the </w:t>
      </w:r>
      <w:r>
        <w:rPr>
          <w:kern w:val="0"/>
        </w:rPr>
        <w:t>base year,</w:t>
      </w:r>
      <w:r w:rsidR="003A1917">
        <w:rPr>
          <w:kern w:val="0"/>
        </w:rPr>
        <w:t xml:space="preserve"> the </w:t>
      </w:r>
      <w:r>
        <w:rPr>
          <w:kern w:val="0"/>
        </w:rPr>
        <w:t>results showed that</w:t>
      </w:r>
      <w:r w:rsidR="003A1917">
        <w:rPr>
          <w:kern w:val="0"/>
        </w:rPr>
        <w:t xml:space="preserve"> the </w:t>
      </w:r>
      <w:r>
        <w:rPr>
          <w:kern w:val="0"/>
        </w:rPr>
        <w:t>JIF rose significantly for</w:t>
      </w:r>
      <w:r w:rsidR="003A1917">
        <w:rPr>
          <w:kern w:val="0"/>
        </w:rPr>
        <w:t xml:space="preserve"> the </w:t>
      </w:r>
      <w:r>
        <w:rPr>
          <w:kern w:val="0"/>
        </w:rPr>
        <w:t>selected top ranked journals (up to 180.9%) while</w:t>
      </w:r>
      <w:r w:rsidR="003A1917">
        <w:rPr>
          <w:kern w:val="0"/>
        </w:rPr>
        <w:t xml:space="preserve"> the </w:t>
      </w:r>
      <w:r>
        <w:rPr>
          <w:kern w:val="0"/>
        </w:rPr>
        <w:t>low ranked ones slipped in their JIF value (down to -44.4%)</w:t>
      </w:r>
      <w:r w:rsidR="00A37C1D">
        <w:rPr>
          <w:kern w:val="0"/>
        </w:rPr>
        <w:t>. The</w:t>
      </w:r>
      <w:r w:rsidR="003A1917">
        <w:rPr>
          <w:kern w:val="0"/>
        </w:rPr>
        <w:t xml:space="preserve"> </w:t>
      </w:r>
      <w:r>
        <w:rPr>
          <w:kern w:val="0"/>
        </w:rPr>
        <w:t>observed upward or downward trend was caused by a combination</w:t>
      </w:r>
      <w:r w:rsidR="00427468">
        <w:rPr>
          <w:kern w:val="0"/>
        </w:rPr>
        <w:t xml:space="preserve"> of </w:t>
      </w:r>
      <w:r>
        <w:rPr>
          <w:kern w:val="0"/>
        </w:rPr>
        <w:t>other bibliographical measures like citations, number</w:t>
      </w:r>
      <w:r w:rsidR="00427468">
        <w:rPr>
          <w:kern w:val="0"/>
        </w:rPr>
        <w:t xml:space="preserve"> of </w:t>
      </w:r>
      <w:r>
        <w:rPr>
          <w:kern w:val="0"/>
        </w:rPr>
        <w:t>citable,</w:t>
      </w:r>
      <w:r w:rsidR="005853A9">
        <w:rPr>
          <w:kern w:val="0"/>
        </w:rPr>
        <w:t xml:space="preserve"> and </w:t>
      </w:r>
      <w:r>
        <w:rPr>
          <w:kern w:val="0"/>
        </w:rPr>
        <w:t>total items published. It is postulated that changes in bibliographical trends can be classified as editorial</w:t>
      </w:r>
      <w:r w:rsidR="005853A9">
        <w:rPr>
          <w:kern w:val="0"/>
        </w:rPr>
        <w:t xml:space="preserve"> and </w:t>
      </w:r>
      <w:r>
        <w:rPr>
          <w:kern w:val="0"/>
        </w:rPr>
        <w:t>non-editorial influences</w:t>
      </w:r>
      <w:r w:rsidR="00A37C1D">
        <w:rPr>
          <w:kern w:val="0"/>
        </w:rPr>
        <w:t>. The</w:t>
      </w:r>
      <w:r w:rsidR="003A1917">
        <w:rPr>
          <w:kern w:val="0"/>
        </w:rPr>
        <w:t xml:space="preserve"> </w:t>
      </w:r>
      <w:r>
        <w:rPr>
          <w:kern w:val="0"/>
        </w:rPr>
        <w:t>impacts</w:t>
      </w:r>
      <w:r w:rsidR="00427468">
        <w:rPr>
          <w:kern w:val="0"/>
        </w:rPr>
        <w:t xml:space="preserve"> of </w:t>
      </w:r>
      <w:r>
        <w:rPr>
          <w:kern w:val="0"/>
        </w:rPr>
        <w:t>these influences on</w:t>
      </w:r>
      <w:r w:rsidR="003A1917">
        <w:rPr>
          <w:kern w:val="0"/>
        </w:rPr>
        <w:t xml:space="preserve"> the </w:t>
      </w:r>
      <w:r>
        <w:rPr>
          <w:kern w:val="0"/>
        </w:rPr>
        <w:t>15 selected journals over</w:t>
      </w:r>
      <w:r w:rsidR="003A1917">
        <w:rPr>
          <w:kern w:val="0"/>
        </w:rPr>
        <w:t xml:space="preserve"> the </w:t>
      </w:r>
      <w:r>
        <w:rPr>
          <w:kern w:val="0"/>
        </w:rPr>
        <w:t>9-year period were also discussed retrospectively.</w:t>
      </w:r>
    </w:p>
    <w:p w:rsidR="00A5575A" w:rsidRDefault="00A5575A" w:rsidP="00A5575A">
      <w:pPr>
        <w:pStyle w:val="a3"/>
        <w:rPr>
          <w:kern w:val="0"/>
        </w:rPr>
      </w:pPr>
      <w:r>
        <w:rPr>
          <w:kern w:val="0"/>
        </w:rPr>
        <w:t xml:space="preserve">Keywords: Assessment, Bibliographical Database, Bibliometric, Citation, Citation Analysis, Citations, Database, English, Impact, Impact Factor, Impact Factor, </w:t>
      </w:r>
      <w:r>
        <w:rPr>
          <w:kern w:val="0"/>
        </w:rPr>
        <w:lastRenderedPageBreak/>
        <w:t xml:space="preserve">Indexing, Journal, Journal Citation Reports, Journal Impact, Journal Impact Factor, Journals, Outcomes, Quality, Research, Science, Trends, </w:t>
      </w:r>
      <w:r w:rsidR="00D5664A">
        <w:rPr>
          <w:kern w:val="0"/>
        </w:rPr>
        <w:t>Web</w:t>
      </w:r>
      <w:r w:rsidR="00427468">
        <w:rPr>
          <w:kern w:val="0"/>
        </w:rPr>
        <w:t xml:space="preserve"> of </w:t>
      </w:r>
      <w:r w:rsidR="00D5664A">
        <w:rPr>
          <w:kern w:val="0"/>
        </w:rPr>
        <w:t>Science</w:t>
      </w:r>
    </w:p>
    <w:p w:rsidR="00C21C0C" w:rsidRDefault="00C21C0C" w:rsidP="00C21C0C">
      <w:pPr>
        <w:pStyle w:val="a3"/>
        <w:rPr>
          <w:kern w:val="0"/>
        </w:rPr>
      </w:pPr>
      <w:r>
        <w:rPr>
          <w:rFonts w:hint="eastAsia"/>
          <w:kern w:val="0"/>
        </w:rPr>
        <w:t xml:space="preserve">? </w:t>
      </w:r>
      <w:r>
        <w:rPr>
          <w:kern w:val="0"/>
        </w:rPr>
        <w:t xml:space="preserve">Moffatt, B. (2011), Responsible authorship: Why researchers must forgo honorary authorship. </w:t>
      </w:r>
      <w:r>
        <w:rPr>
          <w:i/>
          <w:iCs/>
          <w:kern w:val="0"/>
        </w:rPr>
        <w:t>Accountability in Research-Policies</w:t>
      </w:r>
      <w:r w:rsidR="005853A9">
        <w:rPr>
          <w:i/>
          <w:iCs/>
          <w:kern w:val="0"/>
        </w:rPr>
        <w:t xml:space="preserve"> and </w:t>
      </w:r>
      <w:r>
        <w:rPr>
          <w:i/>
          <w:iCs/>
          <w:kern w:val="0"/>
        </w:rPr>
        <w:t>Quality Assurance</w:t>
      </w:r>
      <w:r>
        <w:rPr>
          <w:kern w:val="0"/>
        </w:rPr>
        <w:t xml:space="preserve">, </w:t>
      </w:r>
      <w:r>
        <w:rPr>
          <w:b/>
          <w:bCs/>
          <w:kern w:val="0"/>
        </w:rPr>
        <w:t>18</w:t>
      </w:r>
      <w:r>
        <w:rPr>
          <w:kern w:val="0"/>
        </w:rPr>
        <w:t xml:space="preserve"> (2), 76-90.</w:t>
      </w:r>
    </w:p>
    <w:p w:rsidR="00C21C0C" w:rsidRPr="00F219CA" w:rsidRDefault="00C21C0C" w:rsidP="00C21C0C">
      <w:pPr>
        <w:pStyle w:val="a3"/>
      </w:pPr>
      <w:r w:rsidRPr="00F219CA">
        <w:t xml:space="preserve">Full Text: </w:t>
      </w:r>
      <w:hyperlink r:id="rId64" w:history="1">
        <w:r w:rsidR="005070A9" w:rsidRPr="005070A9">
          <w:rPr>
            <w:rStyle w:val="a5"/>
          </w:rPr>
          <w:t>2011\Acc Res Pol Qua Ass18, 76.pdf</w:t>
        </w:r>
      </w:hyperlink>
    </w:p>
    <w:p w:rsidR="00C21C0C" w:rsidRDefault="00C21C0C" w:rsidP="00C21C0C">
      <w:pPr>
        <w:pStyle w:val="a3"/>
        <w:rPr>
          <w:kern w:val="0"/>
        </w:rPr>
      </w:pPr>
      <w:r>
        <w:rPr>
          <w:kern w:val="0"/>
        </w:rPr>
        <w:t>Abstract: Although widespread throughout</w:t>
      </w:r>
      <w:r w:rsidR="003A1917">
        <w:rPr>
          <w:kern w:val="0"/>
        </w:rPr>
        <w:t xml:space="preserve"> the </w:t>
      </w:r>
      <w:r>
        <w:rPr>
          <w:kern w:val="0"/>
        </w:rPr>
        <w:t>biomedical sciences,</w:t>
      </w:r>
      <w:r w:rsidR="003A1917">
        <w:rPr>
          <w:kern w:val="0"/>
        </w:rPr>
        <w:t xml:space="preserve"> the </w:t>
      </w:r>
      <w:r>
        <w:rPr>
          <w:kern w:val="0"/>
        </w:rPr>
        <w:t>practice</w:t>
      </w:r>
      <w:r w:rsidR="00427468">
        <w:rPr>
          <w:kern w:val="0"/>
        </w:rPr>
        <w:t xml:space="preserve"> of </w:t>
      </w:r>
      <w:r>
        <w:rPr>
          <w:kern w:val="0"/>
        </w:rPr>
        <w:t>honorary authorshipthe listing</w:t>
      </w:r>
      <w:r w:rsidR="00427468">
        <w:rPr>
          <w:kern w:val="0"/>
        </w:rPr>
        <w:t xml:space="preserve"> of </w:t>
      </w:r>
      <w:r>
        <w:rPr>
          <w:kern w:val="0"/>
        </w:rPr>
        <w:t>authors who fail to merit inclusion as authors by authorship criteriahas received relatively little sustained attention. Is there something wrong with honorary authorship, or is it only a problem when used in conjunction with other unethical authorship practices like ghostwriting? Numerous sets</w:t>
      </w:r>
      <w:r w:rsidR="00427468">
        <w:rPr>
          <w:kern w:val="0"/>
        </w:rPr>
        <w:t xml:space="preserve"> of </w:t>
      </w:r>
      <w:r>
        <w:rPr>
          <w:kern w:val="0"/>
        </w:rPr>
        <w:t>authorship guidelines discourage</w:t>
      </w:r>
      <w:r w:rsidR="003A1917">
        <w:rPr>
          <w:kern w:val="0"/>
        </w:rPr>
        <w:t xml:space="preserve"> the </w:t>
      </w:r>
      <w:r>
        <w:rPr>
          <w:kern w:val="0"/>
        </w:rPr>
        <w:t>practice, but its ubiquity throughout biomedicine suggests that there is a need to say more about honorary authorship. Despite its general acceptance among many scientists, honorary authorship is unethical. Even if burdensome, responsible researchers are obligated to forgo honorary authorship.</w:t>
      </w:r>
    </w:p>
    <w:p w:rsidR="00C21C0C" w:rsidRDefault="00C21C0C" w:rsidP="00C21C0C">
      <w:pPr>
        <w:pStyle w:val="a3"/>
        <w:rPr>
          <w:kern w:val="0"/>
        </w:rPr>
      </w:pPr>
      <w:r>
        <w:rPr>
          <w:kern w:val="0"/>
        </w:rPr>
        <w:t>Keywords: Acceptance, Accountability, Articles, Authors, Authorship, Biomedical, Biomedicine, General, Guidelines, Honorary Authorship, Practice, Practices, Prevalence, Research Ethics, Sciences</w:t>
      </w:r>
    </w:p>
    <w:p w:rsidR="00BF6B4E" w:rsidRDefault="00BF6B4E" w:rsidP="00BF6B4E">
      <w:pPr>
        <w:pStyle w:val="a3"/>
        <w:rPr>
          <w:kern w:val="0"/>
        </w:rPr>
      </w:pPr>
      <w:r>
        <w:rPr>
          <w:rFonts w:hint="eastAsia"/>
          <w:kern w:val="0"/>
        </w:rPr>
        <w:t xml:space="preserve">? </w:t>
      </w:r>
      <w:r>
        <w:rPr>
          <w:kern w:val="0"/>
        </w:rPr>
        <w:t>de Gloucester, P.C. (2013), Referees often miss obvious errors in computer</w:t>
      </w:r>
      <w:r w:rsidR="005853A9">
        <w:rPr>
          <w:kern w:val="0"/>
        </w:rPr>
        <w:t xml:space="preserve"> and </w:t>
      </w:r>
      <w:r>
        <w:rPr>
          <w:kern w:val="0"/>
        </w:rPr>
        <w:t xml:space="preserve">electronic publications. </w:t>
      </w:r>
      <w:r>
        <w:rPr>
          <w:i/>
          <w:iCs/>
          <w:kern w:val="0"/>
        </w:rPr>
        <w:t>Accountability in Research-Policies</w:t>
      </w:r>
      <w:r w:rsidR="005853A9">
        <w:rPr>
          <w:i/>
          <w:iCs/>
          <w:kern w:val="0"/>
        </w:rPr>
        <w:t xml:space="preserve"> and </w:t>
      </w:r>
      <w:r>
        <w:rPr>
          <w:i/>
          <w:iCs/>
          <w:kern w:val="0"/>
        </w:rPr>
        <w:t>Quality Assurance</w:t>
      </w:r>
      <w:r>
        <w:rPr>
          <w:kern w:val="0"/>
        </w:rPr>
        <w:t xml:space="preserve">, </w:t>
      </w:r>
      <w:r>
        <w:rPr>
          <w:b/>
          <w:bCs/>
          <w:kern w:val="0"/>
        </w:rPr>
        <w:t>20</w:t>
      </w:r>
      <w:r>
        <w:rPr>
          <w:kern w:val="0"/>
        </w:rPr>
        <w:t xml:space="preserve"> (3), 143-166.</w:t>
      </w:r>
    </w:p>
    <w:p w:rsidR="00BF6B4E" w:rsidRPr="00F219CA" w:rsidRDefault="00BF6B4E" w:rsidP="00BF6B4E">
      <w:pPr>
        <w:pStyle w:val="a3"/>
      </w:pPr>
      <w:r w:rsidRPr="00F219CA">
        <w:t xml:space="preserve">Full Text: </w:t>
      </w:r>
      <w:hyperlink r:id="rId65" w:history="1">
        <w:r w:rsidRPr="0024627D">
          <w:rPr>
            <w:rStyle w:val="a5"/>
          </w:rPr>
          <w:t>2013\Acc Res Pol Qua Ass20, 143.pdf</w:t>
        </w:r>
      </w:hyperlink>
    </w:p>
    <w:p w:rsidR="00BF6B4E" w:rsidRDefault="00BF6B4E" w:rsidP="00BF6B4E">
      <w:pPr>
        <w:pStyle w:val="a3"/>
        <w:rPr>
          <w:kern w:val="0"/>
        </w:rPr>
      </w:pPr>
      <w:r>
        <w:rPr>
          <w:kern w:val="0"/>
        </w:rPr>
        <w:t>Abstract: Misconduct is extensive</w:t>
      </w:r>
      <w:r w:rsidR="005853A9">
        <w:rPr>
          <w:kern w:val="0"/>
        </w:rPr>
        <w:t xml:space="preserve"> and </w:t>
      </w:r>
      <w:r>
        <w:rPr>
          <w:kern w:val="0"/>
        </w:rPr>
        <w:t>damaging. So-called science is prevalent. Articles resulting from so-called science are often cited in other publications. This can have damaging consequences for society</w:t>
      </w:r>
      <w:r w:rsidR="005853A9">
        <w:rPr>
          <w:kern w:val="0"/>
        </w:rPr>
        <w:t xml:space="preserve"> and </w:t>
      </w:r>
      <w:r>
        <w:rPr>
          <w:kern w:val="0"/>
        </w:rPr>
        <w:t>for science</w:t>
      </w:r>
      <w:r w:rsidR="00A37C1D">
        <w:rPr>
          <w:kern w:val="0"/>
        </w:rPr>
        <w:t>. The</w:t>
      </w:r>
      <w:r>
        <w:rPr>
          <w:kern w:val="0"/>
        </w:rPr>
        <w:t xml:space="preserve"> present work includes a scientometric study</w:t>
      </w:r>
      <w:r w:rsidR="00427468">
        <w:rPr>
          <w:kern w:val="0"/>
        </w:rPr>
        <w:t xml:space="preserve"> of </w:t>
      </w:r>
      <w:r>
        <w:rPr>
          <w:kern w:val="0"/>
        </w:rPr>
        <w:t>350 articles (published by the Association for Computing Machinery; Elsevier; The Institute</w:t>
      </w:r>
      <w:r w:rsidR="00427468">
        <w:rPr>
          <w:kern w:val="0"/>
        </w:rPr>
        <w:t xml:space="preserve"> of </w:t>
      </w:r>
      <w:r>
        <w:rPr>
          <w:kern w:val="0"/>
        </w:rPr>
        <w:t>Electrical</w:t>
      </w:r>
      <w:r w:rsidR="005853A9">
        <w:rPr>
          <w:kern w:val="0"/>
        </w:rPr>
        <w:t xml:space="preserve"> and </w:t>
      </w:r>
      <w:r>
        <w:rPr>
          <w:kern w:val="0"/>
        </w:rPr>
        <w:t>Electronics Engineers, Inc.; John Wiley; Springer; Taylor &amp; Francis;</w:t>
      </w:r>
      <w:r w:rsidR="005853A9">
        <w:rPr>
          <w:kern w:val="0"/>
        </w:rPr>
        <w:t xml:space="preserve"> and </w:t>
      </w:r>
      <w:r>
        <w:rPr>
          <w:kern w:val="0"/>
        </w:rPr>
        <w:t>World Scientific Publishing Co.). A lower bound</w:t>
      </w:r>
      <w:r w:rsidR="00427468">
        <w:rPr>
          <w:kern w:val="0"/>
        </w:rPr>
        <w:t xml:space="preserve"> of </w:t>
      </w:r>
      <w:r>
        <w:rPr>
          <w:kern w:val="0"/>
        </w:rPr>
        <w:t>85.4% articles are found to be incongruous. Authors cite inherently self-contradictory articles more than valid articles. Incorrect informational cascades ruin the literature</w:t>
      </w:r>
      <w:r w:rsidR="00700038">
        <w:rPr>
          <w:kern w:val="0"/>
        </w:rPr>
        <w:t>’</w:t>
      </w:r>
      <w:r>
        <w:rPr>
          <w:kern w:val="0"/>
        </w:rPr>
        <w:t>s signal-to-noise ratio even for uncomplicated cases.</w:t>
      </w:r>
    </w:p>
    <w:p w:rsidR="00BF6B4E" w:rsidRDefault="00BF6B4E" w:rsidP="00BF6B4E">
      <w:pPr>
        <w:pStyle w:val="a3"/>
        <w:rPr>
          <w:kern w:val="0"/>
        </w:rPr>
      </w:pPr>
      <w:r>
        <w:rPr>
          <w:kern w:val="0"/>
        </w:rPr>
        <w:t>Keywords: Articles, Citations, Co, Computer Science, Electronic Engineering, Impact Factor, Journals, Misconduct, Misconduct, Publications, Publishing, Refereeing Shortcomings, Science, Scientometric, Society, Springer, Work</w:t>
      </w:r>
    </w:p>
    <w:p w:rsidR="00D777D6" w:rsidRDefault="00D777D6" w:rsidP="00D777D6">
      <w:pPr>
        <w:pStyle w:val="a3"/>
        <w:rPr>
          <w:kern w:val="0"/>
        </w:rPr>
      </w:pPr>
      <w:r>
        <w:rPr>
          <w:rFonts w:hint="eastAsia"/>
          <w:kern w:val="0"/>
        </w:rPr>
        <w:t xml:space="preserve">? </w:t>
      </w:r>
      <w:r>
        <w:rPr>
          <w:kern w:val="0"/>
        </w:rPr>
        <w:t>Foo, J.Y.A. (2013), Implications</w:t>
      </w:r>
      <w:r w:rsidR="00427468">
        <w:rPr>
          <w:kern w:val="0"/>
        </w:rPr>
        <w:t xml:space="preserve"> of </w:t>
      </w:r>
      <w:r>
        <w:rPr>
          <w:kern w:val="0"/>
        </w:rPr>
        <w:t>a single highly cited article on a journal</w:t>
      </w:r>
      <w:r w:rsidR="005853A9">
        <w:rPr>
          <w:kern w:val="0"/>
        </w:rPr>
        <w:t xml:space="preserve"> and </w:t>
      </w:r>
      <w:r>
        <w:rPr>
          <w:kern w:val="0"/>
        </w:rPr>
        <w:t>its citation indexes: A tale</w:t>
      </w:r>
      <w:r w:rsidR="00427468">
        <w:rPr>
          <w:kern w:val="0"/>
        </w:rPr>
        <w:t xml:space="preserve"> of </w:t>
      </w:r>
      <w:r>
        <w:rPr>
          <w:kern w:val="0"/>
        </w:rPr>
        <w:t xml:space="preserve">two journals. </w:t>
      </w:r>
      <w:r>
        <w:rPr>
          <w:i/>
          <w:iCs/>
          <w:kern w:val="0"/>
        </w:rPr>
        <w:t>Accountability in Research-Policies</w:t>
      </w:r>
      <w:r w:rsidR="005853A9">
        <w:rPr>
          <w:i/>
          <w:iCs/>
          <w:kern w:val="0"/>
        </w:rPr>
        <w:t xml:space="preserve"> and </w:t>
      </w:r>
      <w:r>
        <w:rPr>
          <w:i/>
          <w:iCs/>
          <w:kern w:val="0"/>
        </w:rPr>
        <w:t>Quality Assurance</w:t>
      </w:r>
      <w:r>
        <w:rPr>
          <w:kern w:val="0"/>
        </w:rPr>
        <w:t xml:space="preserve">, </w:t>
      </w:r>
      <w:r>
        <w:rPr>
          <w:b/>
          <w:bCs/>
          <w:kern w:val="0"/>
        </w:rPr>
        <w:t>20</w:t>
      </w:r>
      <w:r>
        <w:rPr>
          <w:kern w:val="0"/>
        </w:rPr>
        <w:t xml:space="preserve"> (2), 93-106.</w:t>
      </w:r>
    </w:p>
    <w:p w:rsidR="00D777D6" w:rsidRPr="00F219CA" w:rsidRDefault="00D777D6" w:rsidP="00D777D6">
      <w:pPr>
        <w:pStyle w:val="a3"/>
      </w:pPr>
      <w:r w:rsidRPr="00F219CA">
        <w:lastRenderedPageBreak/>
        <w:t xml:space="preserve">Full Text: </w:t>
      </w:r>
      <w:hyperlink r:id="rId66" w:history="1">
        <w:r w:rsidRPr="00D777D6">
          <w:rPr>
            <w:rStyle w:val="a5"/>
          </w:rPr>
          <w:t>2013\Acc Res Pol Qua Ass20, 93.pdf</w:t>
        </w:r>
      </w:hyperlink>
    </w:p>
    <w:p w:rsidR="00D777D6" w:rsidRDefault="00D777D6" w:rsidP="00D777D6">
      <w:pPr>
        <w:pStyle w:val="a3"/>
        <w:rPr>
          <w:kern w:val="0"/>
        </w:rPr>
      </w:pPr>
      <w:r>
        <w:rPr>
          <w:kern w:val="0"/>
        </w:rPr>
        <w:t>Abstract: Citation indexes such as journal impact factor are increasingly used to evaluate the quality</w:t>
      </w:r>
      <w:r w:rsidR="00427468">
        <w:rPr>
          <w:kern w:val="0"/>
        </w:rPr>
        <w:t xml:space="preserve"> of </w:t>
      </w:r>
      <w:r>
        <w:rPr>
          <w:kern w:val="0"/>
        </w:rPr>
        <w:t>a scholarly work and/or assess one</w:t>
      </w:r>
      <w:r w:rsidR="00700038">
        <w:rPr>
          <w:kern w:val="0"/>
        </w:rPr>
        <w:t>’</w:t>
      </w:r>
      <w:r>
        <w:rPr>
          <w:kern w:val="0"/>
        </w:rPr>
        <w:t>s scientific contributions. However, this simplistic approach has increasingly been refuted with publication gaming</w:t>
      </w:r>
      <w:r w:rsidR="005853A9">
        <w:rPr>
          <w:kern w:val="0"/>
        </w:rPr>
        <w:t xml:space="preserve"> and </w:t>
      </w:r>
      <w:r>
        <w:rPr>
          <w:kern w:val="0"/>
        </w:rPr>
        <w:t>incorrect applications to rank one</w:t>
      </w:r>
      <w:r w:rsidR="00700038">
        <w:rPr>
          <w:kern w:val="0"/>
        </w:rPr>
        <w:t>’</w:t>
      </w:r>
      <w:r>
        <w:rPr>
          <w:kern w:val="0"/>
        </w:rPr>
        <w:t>s academic significance</w:t>
      </w:r>
      <w:r w:rsidR="00A37C1D">
        <w:rPr>
          <w:kern w:val="0"/>
        </w:rPr>
        <w:t>. The</w:t>
      </w:r>
      <w:r>
        <w:rPr>
          <w:kern w:val="0"/>
        </w:rPr>
        <w:t>se indexes are being game not only by researchers but also subtly by journal editors. Although the attention drawn from the public pertaining to such misbehaviors from editors is limited, the associated implications cannot be undermined. In this article, the focus will be on the motivations, impacts,</w:t>
      </w:r>
      <w:r w:rsidR="005853A9">
        <w:rPr>
          <w:kern w:val="0"/>
        </w:rPr>
        <w:t xml:space="preserve"> and </w:t>
      </w:r>
      <w:r>
        <w:rPr>
          <w:kern w:val="0"/>
        </w:rPr>
        <w:t>lessons learnt from how single highly cited article can have on the reactions from</w:t>
      </w:r>
      <w:r w:rsidR="005853A9">
        <w:rPr>
          <w:kern w:val="0"/>
        </w:rPr>
        <w:t xml:space="preserve"> and </w:t>
      </w:r>
      <w:r>
        <w:rPr>
          <w:kern w:val="0"/>
        </w:rPr>
        <w:t>the reputation</w:t>
      </w:r>
      <w:r w:rsidR="00427468">
        <w:rPr>
          <w:kern w:val="0"/>
        </w:rPr>
        <w:t xml:space="preserve"> of </w:t>
      </w:r>
      <w:r>
        <w:rPr>
          <w:kern w:val="0"/>
        </w:rPr>
        <w:t>two academic journals: Folia Phoniatrica et Logopaedica</w:t>
      </w:r>
      <w:r w:rsidR="005853A9">
        <w:rPr>
          <w:kern w:val="0"/>
        </w:rPr>
        <w:t xml:space="preserve"> and </w:t>
      </w:r>
      <w:r>
        <w:rPr>
          <w:kern w:val="0"/>
        </w:rPr>
        <w:t>Acta Crystallographica Section A. For the former, it adopted an unconventional approach to improve its prominence in the field while the latter reiterates the correct</w:t>
      </w:r>
      <w:r w:rsidR="005853A9">
        <w:rPr>
          <w:kern w:val="0"/>
        </w:rPr>
        <w:t xml:space="preserve"> and </w:t>
      </w:r>
      <w:r>
        <w:rPr>
          <w:kern w:val="0"/>
        </w:rPr>
        <w:t>the original intent</w:t>
      </w:r>
      <w:r w:rsidR="00427468">
        <w:rPr>
          <w:kern w:val="0"/>
        </w:rPr>
        <w:t xml:space="preserve"> of </w:t>
      </w:r>
      <w:r>
        <w:rPr>
          <w:kern w:val="0"/>
        </w:rPr>
        <w:t>citation indexes, as well as the importance</w:t>
      </w:r>
      <w:r w:rsidR="00427468">
        <w:rPr>
          <w:kern w:val="0"/>
        </w:rPr>
        <w:t xml:space="preserve"> of </w:t>
      </w:r>
      <w:r>
        <w:rPr>
          <w:kern w:val="0"/>
        </w:rPr>
        <w:t>good editorial governance. From these incidents, few considerations are proposed to assist in minimising the recurrence</w:t>
      </w:r>
      <w:r w:rsidR="00427468">
        <w:rPr>
          <w:kern w:val="0"/>
        </w:rPr>
        <w:t xml:space="preserve"> of </w:t>
      </w:r>
      <w:r>
        <w:rPr>
          <w:kern w:val="0"/>
        </w:rPr>
        <w:t>possible publication gaming in the editorial process. However, the inherent ethical values</w:t>
      </w:r>
      <w:r w:rsidR="00427468">
        <w:rPr>
          <w:kern w:val="0"/>
        </w:rPr>
        <w:t xml:space="preserve"> of </w:t>
      </w:r>
      <w:r>
        <w:rPr>
          <w:kern w:val="0"/>
        </w:rPr>
        <w:t>an individual should still take precedence</w:t>
      </w:r>
      <w:r w:rsidR="00427468">
        <w:rPr>
          <w:kern w:val="0"/>
        </w:rPr>
        <w:t xml:space="preserve"> of </w:t>
      </w:r>
      <w:r>
        <w:rPr>
          <w:kern w:val="0"/>
        </w:rPr>
        <w:t>any preventive measure.</w:t>
      </w:r>
    </w:p>
    <w:p w:rsidR="00D777D6" w:rsidRDefault="00D777D6" w:rsidP="00D777D6">
      <w:pPr>
        <w:pStyle w:val="a3"/>
        <w:rPr>
          <w:kern w:val="0"/>
        </w:rPr>
      </w:pPr>
      <w:r>
        <w:rPr>
          <w:kern w:val="0"/>
        </w:rPr>
        <w:t>Keywords: Approach, Article, Attention, Author, Bibliometric Data, Citation, Citation Indexes, Ethical, Field, Folia-Phoniatrica, Governance, Highly Cited, Highly-Cited, History, Impact, Impact Factor, Impacts, Indexing, Journal, Journal Editors, Journal Impact, Journal Impact Factor, Journals, Logopaedica, Mar, Measure, Public, Publication, Publication Ethics, Quality, Quality Of, Rank, Recurrence, Reputation, Research Integrity, Research Misconduct, Science, Shelx, Significance, Work</w:t>
      </w:r>
    </w:p>
    <w:p w:rsidR="00500B3E" w:rsidRPr="001A3D2B" w:rsidRDefault="00500B3E" w:rsidP="00500B3E">
      <w:pPr>
        <w:pStyle w:val="1"/>
        <w:snapToGrid w:val="0"/>
      </w:pPr>
      <w:r w:rsidRPr="001A3D2B">
        <w:br w:type="page"/>
      </w:r>
      <w:bookmarkStart w:id="33" w:name="_Toc420814239"/>
      <w:r w:rsidRPr="001A3D2B">
        <w:lastRenderedPageBreak/>
        <w:t>Title: Accounting, Business</w:t>
      </w:r>
      <w:r w:rsidR="005853A9">
        <w:t xml:space="preserve"> and </w:t>
      </w:r>
      <w:r w:rsidRPr="001A3D2B">
        <w:t>Financial History</w:t>
      </w:r>
      <w:bookmarkEnd w:id="33"/>
    </w:p>
    <w:p w:rsidR="00500B3E" w:rsidRPr="001A3D2B" w:rsidRDefault="00500B3E" w:rsidP="00500B3E">
      <w:pPr>
        <w:pStyle w:val="12"/>
      </w:pPr>
      <w:r w:rsidRPr="001A3D2B">
        <w:t xml:space="preserve">Full Journal Title: </w:t>
      </w:r>
      <w:hyperlink r:id="rId67" w:history="1">
        <w:r w:rsidRPr="001A3D2B">
          <w:rPr>
            <w:rStyle w:val="a5"/>
          </w:rPr>
          <w:t>Accounting, Business</w:t>
        </w:r>
        <w:r w:rsidR="005853A9">
          <w:rPr>
            <w:rStyle w:val="a5"/>
          </w:rPr>
          <w:t xml:space="preserve"> and </w:t>
        </w:r>
        <w:r w:rsidRPr="001A3D2B">
          <w:rPr>
            <w:rStyle w:val="a5"/>
          </w:rPr>
          <w:t>Financial History</w:t>
        </w:r>
      </w:hyperlink>
      <w:r w:rsidRPr="001A3D2B">
        <w:t xml:space="preserve">; </w:t>
      </w:r>
      <w:hyperlink r:id="rId68" w:history="1">
        <w:r w:rsidRPr="001A3D2B">
          <w:rPr>
            <w:rStyle w:val="a5"/>
          </w:rPr>
          <w:t>Accounting, Business</w:t>
        </w:r>
        <w:r w:rsidR="005853A9">
          <w:rPr>
            <w:rStyle w:val="a5"/>
          </w:rPr>
          <w:t xml:space="preserve"> and </w:t>
        </w:r>
        <w:r w:rsidRPr="001A3D2B">
          <w:rPr>
            <w:rStyle w:val="a5"/>
          </w:rPr>
          <w:t>Financial History</w:t>
        </w:r>
      </w:hyperlink>
      <w:r w:rsidRPr="001A3D2B">
        <w:t xml:space="preserve">; </w:t>
      </w:r>
      <w:hyperlink r:id="rId69" w:history="1">
        <w:r w:rsidRPr="001A3D2B">
          <w:rPr>
            <w:rStyle w:val="a5"/>
          </w:rPr>
          <w:t>Accounting, Business</w:t>
        </w:r>
        <w:r w:rsidR="005853A9">
          <w:rPr>
            <w:rStyle w:val="a5"/>
          </w:rPr>
          <w:t xml:space="preserve"> and </w:t>
        </w:r>
        <w:r w:rsidRPr="001A3D2B">
          <w:rPr>
            <w:rStyle w:val="a5"/>
          </w:rPr>
          <w:t>Financial History</w:t>
        </w:r>
      </w:hyperlink>
    </w:p>
    <w:p w:rsidR="00500B3E" w:rsidRPr="001A3D2B" w:rsidRDefault="00500B3E" w:rsidP="00500B3E">
      <w:pPr>
        <w:pStyle w:val="12"/>
      </w:pPr>
      <w:r w:rsidRPr="001A3D2B">
        <w:t xml:space="preserve">ISO Abbreviated Title: </w:t>
      </w:r>
    </w:p>
    <w:p w:rsidR="00500B3E" w:rsidRPr="001A3D2B" w:rsidRDefault="00500B3E" w:rsidP="00500B3E">
      <w:pPr>
        <w:pStyle w:val="12"/>
      </w:pPr>
      <w:r w:rsidRPr="001A3D2B">
        <w:t xml:space="preserve">JCR Abbreviated Title: </w:t>
      </w:r>
    </w:p>
    <w:p w:rsidR="00500B3E" w:rsidRPr="001A3D2B" w:rsidRDefault="00500B3E" w:rsidP="00500B3E">
      <w:pPr>
        <w:pStyle w:val="12"/>
      </w:pPr>
      <w:r w:rsidRPr="001A3D2B">
        <w:t xml:space="preserve">ISSN: </w:t>
      </w:r>
    </w:p>
    <w:p w:rsidR="00500B3E" w:rsidRPr="001A3D2B" w:rsidRDefault="00500B3E" w:rsidP="00500B3E">
      <w:pPr>
        <w:pStyle w:val="12"/>
      </w:pPr>
      <w:r w:rsidRPr="001A3D2B">
        <w:t xml:space="preserve">Issues/Year: </w:t>
      </w:r>
    </w:p>
    <w:p w:rsidR="00500B3E" w:rsidRPr="001A3D2B" w:rsidRDefault="00500B3E" w:rsidP="00500B3E">
      <w:pPr>
        <w:pStyle w:val="12"/>
      </w:pPr>
      <w:r w:rsidRPr="001A3D2B">
        <w:t xml:space="preserve">Journal Country/Territory: </w:t>
      </w:r>
    </w:p>
    <w:p w:rsidR="00500B3E" w:rsidRPr="001A3D2B" w:rsidRDefault="00500B3E" w:rsidP="00500B3E">
      <w:pPr>
        <w:pStyle w:val="12"/>
      </w:pPr>
      <w:r w:rsidRPr="001A3D2B">
        <w:t xml:space="preserve">Language: </w:t>
      </w:r>
    </w:p>
    <w:p w:rsidR="00500B3E" w:rsidRPr="001A3D2B" w:rsidRDefault="00500B3E" w:rsidP="00500B3E">
      <w:pPr>
        <w:pStyle w:val="12"/>
      </w:pPr>
      <w:r w:rsidRPr="001A3D2B">
        <w:t xml:space="preserve">Publisher: </w:t>
      </w:r>
    </w:p>
    <w:p w:rsidR="00500B3E" w:rsidRPr="001A3D2B" w:rsidRDefault="00500B3E" w:rsidP="00500B3E">
      <w:pPr>
        <w:pStyle w:val="12"/>
      </w:pPr>
      <w:r w:rsidRPr="001A3D2B">
        <w:t xml:space="preserve">Publisher Address: </w:t>
      </w:r>
    </w:p>
    <w:p w:rsidR="00500B3E" w:rsidRPr="001A3D2B" w:rsidRDefault="00500B3E" w:rsidP="00500B3E">
      <w:pPr>
        <w:pStyle w:val="12"/>
      </w:pPr>
      <w:r w:rsidRPr="001A3D2B">
        <w:t>Subject Categories:</w:t>
      </w:r>
    </w:p>
    <w:p w:rsidR="00500B3E" w:rsidRPr="001A3D2B" w:rsidRDefault="00500B3E" w:rsidP="00500B3E">
      <w:pPr>
        <w:pStyle w:val="12"/>
      </w:pPr>
      <w:r w:rsidRPr="001A3D2B">
        <w:t xml:space="preserve">: Impact Factor </w:t>
      </w:r>
    </w:p>
    <w:p w:rsidR="00500B3E" w:rsidRPr="001A3D2B" w:rsidRDefault="00500B3E" w:rsidP="00500B3E">
      <w:pPr>
        <w:pStyle w:val="a3"/>
      </w:pPr>
      <w:r w:rsidRPr="001A3D2B">
        <w:t>Notes: JJournal</w:t>
      </w:r>
    </w:p>
    <w:p w:rsidR="00500B3E" w:rsidRPr="001A3D2B" w:rsidRDefault="00500B3E" w:rsidP="00500B3E">
      <w:pPr>
        <w:pStyle w:val="a3"/>
      </w:pPr>
      <w:smartTag w:uri="urn:schemas-microsoft-com:office:smarttags" w:element="place">
        <w:smartTag w:uri="urn:schemas-microsoft-com:office:smarttags" w:element="City">
          <w:r w:rsidRPr="001A3D2B">
            <w:t>Anderson</w:t>
          </w:r>
        </w:smartTag>
      </w:smartTag>
      <w:r w:rsidRPr="001A3D2B">
        <w:t>, M. (2002), An analysis</w:t>
      </w:r>
      <w:r w:rsidR="00427468">
        <w:t xml:space="preserve"> of </w:t>
      </w:r>
      <w:r w:rsidR="003A1917">
        <w:t xml:space="preserve">the </w:t>
      </w:r>
      <w:r w:rsidRPr="001A3D2B">
        <w:t>first ten volumes</w:t>
      </w:r>
      <w:r w:rsidR="00427468">
        <w:t xml:space="preserve"> of </w:t>
      </w:r>
      <w:r w:rsidRPr="001A3D2B">
        <w:t xml:space="preserve">research in </w:t>
      </w:r>
      <w:r w:rsidRPr="001A3D2B">
        <w:rPr>
          <w:i/>
          <w:iCs/>
        </w:rPr>
        <w:t>Accounting, Business</w:t>
      </w:r>
      <w:r w:rsidR="005853A9">
        <w:rPr>
          <w:i/>
          <w:iCs/>
        </w:rPr>
        <w:t xml:space="preserve"> and </w:t>
      </w:r>
      <w:r w:rsidRPr="001A3D2B">
        <w:rPr>
          <w:i/>
          <w:iCs/>
        </w:rPr>
        <w:t>Financial History</w:t>
      </w:r>
      <w:r w:rsidRPr="001A3D2B">
        <w:t xml:space="preserve">. </w:t>
      </w:r>
      <w:r w:rsidRPr="001A3D2B">
        <w:rPr>
          <w:i/>
          <w:iCs/>
        </w:rPr>
        <w:t>Accounting, Business</w:t>
      </w:r>
      <w:r w:rsidR="005853A9">
        <w:rPr>
          <w:i/>
          <w:iCs/>
        </w:rPr>
        <w:t xml:space="preserve"> and </w:t>
      </w:r>
      <w:r w:rsidRPr="001A3D2B">
        <w:rPr>
          <w:i/>
          <w:iCs/>
        </w:rPr>
        <w:t>Financial History</w:t>
      </w:r>
      <w:r w:rsidRPr="001A3D2B">
        <w:t xml:space="preserve">, </w:t>
      </w:r>
      <w:r w:rsidRPr="001A3D2B">
        <w:rPr>
          <w:b/>
          <w:bCs/>
        </w:rPr>
        <w:t>12</w:t>
      </w:r>
      <w:r w:rsidRPr="001A3D2B">
        <w:t xml:space="preserve"> (1), 1-24.</w:t>
      </w:r>
    </w:p>
    <w:p w:rsidR="00500B3E" w:rsidRPr="001A3D2B" w:rsidRDefault="00500B3E" w:rsidP="00500B3E">
      <w:pPr>
        <w:pStyle w:val="a3"/>
      </w:pPr>
      <w:r w:rsidRPr="001A3D2B">
        <w:t xml:space="preserve">Full Text: </w:t>
      </w:r>
      <w:hyperlink r:id="rId70" w:history="1">
        <w:r w:rsidRPr="001A3D2B">
          <w:rPr>
            <w:rStyle w:val="a5"/>
          </w:rPr>
          <w:t>2002\Acc Bus Fin His12, 1.pdf</w:t>
        </w:r>
      </w:hyperlink>
    </w:p>
    <w:p w:rsidR="00500B3E" w:rsidRPr="001A3D2B" w:rsidRDefault="00500B3E" w:rsidP="00500B3E">
      <w:pPr>
        <w:pStyle w:val="a3"/>
      </w:pPr>
      <w:r w:rsidRPr="001A3D2B">
        <w:t>Abstract: Although numerous studies have focused upon</w:t>
      </w:r>
      <w:r w:rsidR="003A1917">
        <w:t xml:space="preserve"> the </w:t>
      </w:r>
      <w:r w:rsidRPr="001A3D2B">
        <w:t>publishing patterns</w:t>
      </w:r>
      <w:r w:rsidR="00427468">
        <w:t xml:space="preserve"> of </w:t>
      </w:r>
      <w:r w:rsidRPr="001A3D2B">
        <w:t>leading academic accounting journals,</w:t>
      </w:r>
      <w:r w:rsidR="003A1917">
        <w:t xml:space="preserve"> the </w:t>
      </w:r>
      <w:r w:rsidRPr="001A3D2B">
        <w:t>area</w:t>
      </w:r>
      <w:r w:rsidR="00427468">
        <w:t xml:space="preserve"> of </w:t>
      </w:r>
      <w:r w:rsidRPr="001A3D2B">
        <w:t>accounting history has largely been neglected. This paper uses standard content</w:t>
      </w:r>
      <w:r w:rsidR="005853A9">
        <w:t xml:space="preserve"> and </w:t>
      </w:r>
      <w:r w:rsidRPr="001A3D2B">
        <w:t>citation techniques to analyse</w:t>
      </w:r>
      <w:r w:rsidR="003A1917">
        <w:t xml:space="preserve"> the </w:t>
      </w:r>
      <w:r w:rsidRPr="001A3D2B">
        <w:t>155 articles published in</w:t>
      </w:r>
      <w:r w:rsidR="003A1917">
        <w:t xml:space="preserve"> the </w:t>
      </w:r>
      <w:r w:rsidRPr="001A3D2B">
        <w:t>first ten volumes</w:t>
      </w:r>
      <w:r w:rsidR="00427468">
        <w:t xml:space="preserve"> of </w:t>
      </w:r>
      <w:r w:rsidRPr="001A3D2B">
        <w:rPr>
          <w:i/>
          <w:iCs/>
        </w:rPr>
        <w:t>Accounting, Business</w:t>
      </w:r>
      <w:r w:rsidR="005853A9">
        <w:rPr>
          <w:i/>
          <w:iCs/>
        </w:rPr>
        <w:t xml:space="preserve"> and </w:t>
      </w:r>
      <w:r w:rsidRPr="001A3D2B">
        <w:rPr>
          <w:i/>
          <w:iCs/>
        </w:rPr>
        <w:t>Financial History</w:t>
      </w:r>
      <w:r w:rsidRPr="001A3D2B">
        <w:t xml:space="preserve"> across</w:t>
      </w:r>
      <w:r w:rsidR="003A1917">
        <w:t xml:space="preserve"> the </w:t>
      </w:r>
      <w:r w:rsidRPr="001A3D2B">
        <w:t>period 1990 to 2000. It highlights</w:t>
      </w:r>
      <w:r w:rsidR="003A1917">
        <w:t xml:space="preserve"> the </w:t>
      </w:r>
      <w:r w:rsidRPr="001A3D2B">
        <w:t>leading individual</w:t>
      </w:r>
      <w:r w:rsidR="005853A9">
        <w:t xml:space="preserve"> and </w:t>
      </w:r>
      <w:r w:rsidRPr="001A3D2B">
        <w:t>institutional contributors to ABFH,</w:t>
      </w:r>
      <w:r w:rsidR="003A1917">
        <w:t xml:space="preserve"> the </w:t>
      </w:r>
      <w:r w:rsidRPr="001A3D2B">
        <w:t>major foci</w:t>
      </w:r>
      <w:r w:rsidR="00427468">
        <w:t xml:space="preserve"> of </w:t>
      </w:r>
      <w:r w:rsidRPr="001A3D2B">
        <w:t>their studies</w:t>
      </w:r>
      <w:r w:rsidR="005853A9">
        <w:t xml:space="preserve"> and </w:t>
      </w:r>
      <w:r w:rsidR="003A1917">
        <w:t xml:space="preserve">the </w:t>
      </w:r>
      <w:r w:rsidRPr="001A3D2B">
        <w:t>journals, articles</w:t>
      </w:r>
      <w:r w:rsidR="005853A9">
        <w:t xml:space="preserve"> and </w:t>
      </w:r>
      <w:r w:rsidRPr="001A3D2B">
        <w:t>scholars exerting</w:t>
      </w:r>
      <w:r w:rsidR="003A1917">
        <w:t xml:space="preserve"> the </w:t>
      </w:r>
      <w:r w:rsidRPr="001A3D2B">
        <w:t>greatest influence upon ABFH authors.</w:t>
      </w:r>
    </w:p>
    <w:p w:rsidR="00500B3E" w:rsidRPr="001A3D2B" w:rsidRDefault="00500B3E" w:rsidP="00500B3E">
      <w:pPr>
        <w:pStyle w:val="a3"/>
      </w:pPr>
      <w:r w:rsidRPr="001A3D2B">
        <w:t>Keywords: Accounting History, ABFH, Publishing Patterns, Content Analysis, Citation Analysis</w:t>
      </w:r>
    </w:p>
    <w:p w:rsidR="003474F2" w:rsidRPr="001A3D2B" w:rsidRDefault="003474F2" w:rsidP="003474F2">
      <w:pPr>
        <w:pStyle w:val="1"/>
      </w:pPr>
      <w:r w:rsidRPr="001A3D2B">
        <w:br w:type="page"/>
      </w:r>
      <w:bookmarkStart w:id="34" w:name="_Toc43634514"/>
      <w:bookmarkStart w:id="35" w:name="_Toc81215569"/>
      <w:bookmarkStart w:id="36" w:name="_Toc420814240"/>
      <w:r w:rsidRPr="001A3D2B">
        <w:lastRenderedPageBreak/>
        <w:t>Title: Accounting Organizations</w:t>
      </w:r>
      <w:r w:rsidR="005853A9">
        <w:t xml:space="preserve"> and </w:t>
      </w:r>
      <w:r w:rsidRPr="001A3D2B">
        <w:t>Society</w:t>
      </w:r>
      <w:bookmarkEnd w:id="34"/>
      <w:bookmarkEnd w:id="35"/>
      <w:bookmarkEnd w:id="36"/>
    </w:p>
    <w:p w:rsidR="003474F2" w:rsidRPr="001A3D2B" w:rsidRDefault="003474F2" w:rsidP="003474F2">
      <w:pPr>
        <w:pStyle w:val="12"/>
      </w:pPr>
      <w:r w:rsidRPr="001A3D2B">
        <w:t xml:space="preserve">Full Journal Title: </w:t>
      </w:r>
      <w:hyperlink r:id="rId71" w:history="1">
        <w:r w:rsidRPr="001A3D2B">
          <w:rPr>
            <w:rStyle w:val="a5"/>
          </w:rPr>
          <w:t>Accounting Organizations</w:t>
        </w:r>
        <w:r w:rsidR="005853A9">
          <w:rPr>
            <w:rStyle w:val="a5"/>
          </w:rPr>
          <w:t xml:space="preserve"> and </w:t>
        </w:r>
        <w:r w:rsidRPr="001A3D2B">
          <w:rPr>
            <w:rStyle w:val="a5"/>
          </w:rPr>
          <w:t>Society</w:t>
        </w:r>
      </w:hyperlink>
    </w:p>
    <w:p w:rsidR="003474F2" w:rsidRPr="001A3D2B" w:rsidRDefault="003474F2" w:rsidP="003474F2">
      <w:pPr>
        <w:pStyle w:val="12"/>
      </w:pPr>
      <w:r w:rsidRPr="001A3D2B">
        <w:t>ISO Abbreviated Title: Account. Organ. Soc.</w:t>
      </w:r>
    </w:p>
    <w:p w:rsidR="003474F2" w:rsidRPr="001A3D2B" w:rsidRDefault="003474F2" w:rsidP="003474F2">
      <w:pPr>
        <w:pStyle w:val="12"/>
      </w:pPr>
      <w:r w:rsidRPr="001A3D2B">
        <w:t>JCR Abbreviated Title: Account Org Soc</w:t>
      </w:r>
    </w:p>
    <w:p w:rsidR="003474F2" w:rsidRPr="001A3D2B" w:rsidRDefault="003474F2" w:rsidP="003474F2">
      <w:pPr>
        <w:pStyle w:val="12"/>
      </w:pPr>
      <w:r w:rsidRPr="001A3D2B">
        <w:t>ISSN: 0361-3682</w:t>
      </w:r>
    </w:p>
    <w:p w:rsidR="003474F2" w:rsidRPr="001A3D2B" w:rsidRDefault="003474F2" w:rsidP="003474F2">
      <w:pPr>
        <w:pStyle w:val="12"/>
      </w:pPr>
      <w:r w:rsidRPr="001A3D2B">
        <w:t>Issues/Year: 7</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Pergamon-Elsevier Science Ltd</w:t>
      </w:r>
    </w:p>
    <w:p w:rsidR="003474F2" w:rsidRPr="001A3D2B" w:rsidRDefault="003474F2" w:rsidP="003474F2">
      <w:pPr>
        <w:pStyle w:val="12"/>
      </w:pPr>
      <w:r w:rsidRPr="001A3D2B">
        <w:t>Publisher Address:</w:t>
      </w:r>
      <w:r w:rsidR="003A1917">
        <w:t xml:space="preserve"> the </w:t>
      </w:r>
      <w:r w:rsidRPr="001A3D2B">
        <w:t xml:space="preserve">Boulevard, </w:t>
      </w:r>
      <w:smartTag w:uri="urn:schemas-microsoft-com:office:smarttags" w:element="Street">
        <w:smartTag w:uri="urn:schemas-microsoft-com:office:smarttags" w:element="address">
          <w:r w:rsidRPr="001A3D2B">
            <w:t>Langford Lane</w:t>
          </w:r>
        </w:smartTag>
      </w:smartTag>
      <w:r w:rsidRPr="001A3D2B">
        <w:t xml:space="preserve">, Kidlington, </w:t>
      </w:r>
      <w:smartTag w:uri="urn:schemas-microsoft-com:office:smarttags" w:element="City">
        <w:r w:rsidRPr="001A3D2B">
          <w:t>Oxford</w:t>
        </w:r>
      </w:smartTag>
      <w:r w:rsidRPr="001A3D2B">
        <w:t xml:space="preserve"> OX5 1GB, </w:t>
      </w:r>
      <w:smartTag w:uri="urn:schemas-microsoft-com:office:smarttags" w:element="place">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Business, Finance: Impact Factor 0.343,/(2001)</w:t>
      </w:r>
    </w:p>
    <w:p w:rsidR="003474F2" w:rsidRPr="001A3D2B" w:rsidRDefault="003474F2" w:rsidP="003474F2">
      <w:pPr>
        <w:pStyle w:val="a3"/>
      </w:pPr>
      <w:r w:rsidRPr="001A3D2B">
        <w:t>Notes: JJournal</w:t>
      </w:r>
    </w:p>
    <w:p w:rsidR="003474F2" w:rsidRPr="001A3D2B" w:rsidRDefault="003474F2" w:rsidP="003474F2">
      <w:pPr>
        <w:pStyle w:val="a3"/>
      </w:pPr>
      <w:r w:rsidRPr="001A3D2B">
        <w:t>Solomon, I.</w:t>
      </w:r>
      <w:r w:rsidR="005853A9">
        <w:t xml:space="preserve"> and </w:t>
      </w:r>
      <w:r w:rsidRPr="001A3D2B">
        <w:t>Trotman, K.T. (2003), Experimental judgment</w:t>
      </w:r>
      <w:r w:rsidR="005853A9">
        <w:t xml:space="preserve"> and </w:t>
      </w:r>
      <w:r w:rsidRPr="001A3D2B">
        <w:t>decision research in auditing:</w:t>
      </w:r>
      <w:r w:rsidR="003A1917">
        <w:t xml:space="preserve"> the </w:t>
      </w:r>
      <w:r w:rsidRPr="001A3D2B">
        <w:t>first 25 years</w:t>
      </w:r>
      <w:r w:rsidR="00427468">
        <w:t xml:space="preserve"> of </w:t>
      </w:r>
      <w:r w:rsidRPr="001A3D2B">
        <w:rPr>
          <w:i/>
          <w:iCs/>
        </w:rPr>
        <w:t>AOS</w:t>
      </w:r>
      <w:r w:rsidRPr="001A3D2B">
        <w:t xml:space="preserve">. </w:t>
      </w:r>
      <w:r w:rsidRPr="001A3D2B">
        <w:rPr>
          <w:i/>
          <w:iCs/>
        </w:rPr>
        <w:t>Accounting, Organizations</w:t>
      </w:r>
      <w:r w:rsidR="005853A9">
        <w:rPr>
          <w:i/>
          <w:iCs/>
        </w:rPr>
        <w:t xml:space="preserve"> and </w:t>
      </w:r>
      <w:r w:rsidRPr="001A3D2B">
        <w:rPr>
          <w:i/>
          <w:iCs/>
        </w:rPr>
        <w:t>Society</w:t>
      </w:r>
      <w:r w:rsidRPr="001A3D2B">
        <w:t xml:space="preserve">, </w:t>
      </w:r>
      <w:r w:rsidRPr="001A3D2B">
        <w:rPr>
          <w:b/>
          <w:bCs/>
        </w:rPr>
        <w:t>28</w:t>
      </w:r>
      <w:r w:rsidRPr="001A3D2B">
        <w:t xml:space="preserve"> (4), 395-412.</w:t>
      </w:r>
    </w:p>
    <w:p w:rsidR="003474F2" w:rsidRPr="001A3D2B" w:rsidRDefault="003474F2" w:rsidP="003474F2">
      <w:pPr>
        <w:pStyle w:val="a3"/>
      </w:pPr>
      <w:r w:rsidRPr="001A3D2B">
        <w:t xml:space="preserve">Full Text: </w:t>
      </w:r>
      <w:hyperlink r:id="rId72" w:history="1">
        <w:r w:rsidRPr="001A3D2B">
          <w:rPr>
            <w:rStyle w:val="a5"/>
          </w:rPr>
          <w:t>2003\Acc Org Soc28, 395.pdf</w:t>
        </w:r>
      </w:hyperlink>
    </w:p>
    <w:p w:rsidR="003474F2" w:rsidRPr="001A3D2B" w:rsidRDefault="003474F2" w:rsidP="003474F2">
      <w:pPr>
        <w:pStyle w:val="a3"/>
      </w:pPr>
      <w:r w:rsidRPr="001A3D2B">
        <w:t>Abstract: We review</w:t>
      </w:r>
      <w:r w:rsidR="003A1917">
        <w:t xml:space="preserve"> the </w:t>
      </w:r>
      <w:r w:rsidRPr="001A3D2B">
        <w:t xml:space="preserve">papers published in </w:t>
      </w:r>
      <w:r w:rsidRPr="001A3D2B">
        <w:rPr>
          <w:i/>
          <w:iCs/>
        </w:rPr>
        <w:t>Accounting, Organizations</w:t>
      </w:r>
      <w:r w:rsidR="005853A9">
        <w:rPr>
          <w:i/>
          <w:iCs/>
        </w:rPr>
        <w:t xml:space="preserve"> and </w:t>
      </w:r>
      <w:r w:rsidRPr="001A3D2B">
        <w:rPr>
          <w:i/>
          <w:iCs/>
        </w:rPr>
        <w:t>Society</w:t>
      </w:r>
      <w:r w:rsidRPr="001A3D2B">
        <w:t xml:space="preserve"> (</w:t>
      </w:r>
      <w:r w:rsidRPr="001A3D2B">
        <w:rPr>
          <w:i/>
          <w:iCs/>
        </w:rPr>
        <w:t>AOS</w:t>
      </w:r>
      <w:r w:rsidRPr="001A3D2B">
        <w:t>) during</w:t>
      </w:r>
      <w:r w:rsidR="003A1917">
        <w:t xml:space="preserve"> the </w:t>
      </w:r>
      <w:r w:rsidRPr="001A3D2B">
        <w:t>period 1976–2000 that report auditing judgment</w:t>
      </w:r>
      <w:r w:rsidR="005853A9">
        <w:t xml:space="preserve"> and </w:t>
      </w:r>
      <w:r w:rsidRPr="001A3D2B">
        <w:t>decision experiments. We also review</w:t>
      </w:r>
      <w:r w:rsidR="003A1917">
        <w:t xml:space="preserve"> the </w:t>
      </w:r>
      <w:r w:rsidRPr="001A3D2B">
        <w:rPr>
          <w:i/>
          <w:iCs/>
        </w:rPr>
        <w:t>AOS</w:t>
      </w:r>
      <w:r w:rsidRPr="001A3D2B">
        <w:t xml:space="preserve"> papers during</w:t>
      </w:r>
      <w:r w:rsidR="003A1917">
        <w:t xml:space="preserve"> the </w:t>
      </w:r>
      <w:r w:rsidRPr="001A3D2B">
        <w:t>same period that attempt to influence</w:t>
      </w:r>
      <w:r w:rsidR="003A1917">
        <w:t xml:space="preserve"> the </w:t>
      </w:r>
      <w:r w:rsidRPr="001A3D2B">
        <w:t>future directions</w:t>
      </w:r>
      <w:r w:rsidR="00427468">
        <w:t xml:space="preserve"> of </w:t>
      </w:r>
      <w:r w:rsidRPr="001A3D2B">
        <w:t>such studies. Our review is focussed on describing</w:t>
      </w:r>
      <w:r w:rsidR="003A1917">
        <w:t xml:space="preserve"> the </w:t>
      </w:r>
      <w:r w:rsidRPr="001A3D2B">
        <w:t>characteristics</w:t>
      </w:r>
      <w:r w:rsidR="005853A9">
        <w:t xml:space="preserve"> and </w:t>
      </w:r>
      <w:r w:rsidRPr="001A3D2B">
        <w:t>quantity</w:t>
      </w:r>
      <w:r w:rsidR="00427468">
        <w:t xml:space="preserve"> of </w:t>
      </w:r>
      <w:r w:rsidRPr="001A3D2B">
        <w:t>such papers</w:t>
      </w:r>
      <w:r w:rsidR="005853A9">
        <w:t xml:space="preserve"> and </w:t>
      </w:r>
      <w:r w:rsidRPr="001A3D2B">
        <w:t>assessing their impact on</w:t>
      </w:r>
      <w:r w:rsidR="003A1917">
        <w:t xml:space="preserve"> the </w:t>
      </w:r>
      <w:r w:rsidRPr="001A3D2B">
        <w:t>scholarly literature. We employ citation data</w:t>
      </w:r>
      <w:r w:rsidR="005853A9">
        <w:t xml:space="preserve"> and </w:t>
      </w:r>
      <w:r w:rsidRPr="001A3D2B">
        <w:t>analysis as</w:t>
      </w:r>
      <w:r w:rsidR="003A1917">
        <w:t xml:space="preserve"> the </w:t>
      </w:r>
      <w:r w:rsidRPr="001A3D2B">
        <w:t>primary means</w:t>
      </w:r>
      <w:r w:rsidR="00427468">
        <w:t xml:space="preserve"> of </w:t>
      </w:r>
      <w:r w:rsidRPr="001A3D2B">
        <w:t>judging scholarly impact</w:t>
      </w:r>
      <w:r w:rsidR="005853A9">
        <w:t xml:space="preserve"> and </w:t>
      </w:r>
      <w:r w:rsidRPr="001A3D2B">
        <w:t>we draw comparisons with other leading research journals. Our inquiry</w:t>
      </w:r>
      <w:r w:rsidR="005853A9">
        <w:t xml:space="preserve"> and </w:t>
      </w:r>
      <w:r w:rsidRPr="001A3D2B">
        <w:t xml:space="preserve">analysis reveals that </w:t>
      </w:r>
      <w:r w:rsidRPr="001A3D2B">
        <w:rPr>
          <w:i/>
          <w:iCs/>
        </w:rPr>
        <w:t>AOS</w:t>
      </w:r>
      <w:r w:rsidRPr="001A3D2B">
        <w:t xml:space="preserve"> papers reporting auditing judgment</w:t>
      </w:r>
      <w:r w:rsidR="005853A9">
        <w:t xml:space="preserve"> and </w:t>
      </w:r>
      <w:r w:rsidRPr="001A3D2B">
        <w:t>decision experiments have been a significant component</w:t>
      </w:r>
      <w:r w:rsidR="00427468">
        <w:t xml:space="preserve"> of </w:t>
      </w:r>
      <w:r w:rsidR="003A1917">
        <w:t xml:space="preserve">the </w:t>
      </w:r>
      <w:r w:rsidRPr="001A3D2B">
        <w:t>audit judgment</w:t>
      </w:r>
      <w:r w:rsidR="005853A9">
        <w:t xml:space="preserve"> and </w:t>
      </w:r>
      <w:r w:rsidRPr="001A3D2B">
        <w:t>decision literature, although</w:t>
      </w:r>
      <w:r w:rsidR="003A1917">
        <w:t xml:space="preserve"> the </w:t>
      </w:r>
      <w:r w:rsidRPr="001A3D2B">
        <w:t>impact</w:t>
      </w:r>
      <w:r w:rsidR="00427468">
        <w:t xml:space="preserve"> of </w:t>
      </w:r>
      <w:r w:rsidR="003A1917">
        <w:t xml:space="preserve">the </w:t>
      </w:r>
      <w:r w:rsidRPr="001A3D2B">
        <w:rPr>
          <w:i/>
          <w:iCs/>
        </w:rPr>
        <w:t>AOS</w:t>
      </w:r>
      <w:r w:rsidRPr="001A3D2B">
        <w:t xml:space="preserve"> papers is less than that</w:t>
      </w:r>
      <w:r w:rsidR="00427468">
        <w:t xml:space="preserve"> of </w:t>
      </w:r>
      <w:r w:rsidRPr="001A3D2B">
        <w:t>papers appearing in</w:t>
      </w:r>
      <w:r w:rsidR="003A1917">
        <w:t xml:space="preserve"> the </w:t>
      </w:r>
      <w:r w:rsidRPr="001A3D2B">
        <w:t>other leading journals. For</w:t>
      </w:r>
      <w:r w:rsidR="003A1917">
        <w:t xml:space="preserve"> the </w:t>
      </w:r>
      <w:r w:rsidRPr="001A3D2B">
        <w:rPr>
          <w:i/>
          <w:iCs/>
        </w:rPr>
        <w:t>AOS</w:t>
      </w:r>
      <w:r w:rsidRPr="001A3D2B">
        <w:t xml:space="preserve"> future-directions papers, however, we find a relatively large number</w:t>
      </w:r>
      <w:r w:rsidR="005853A9">
        <w:t xml:space="preserve"> and </w:t>
      </w:r>
      <w:r w:rsidRPr="001A3D2B">
        <w:t>citations that compare favorably with citations</w:t>
      </w:r>
      <w:r w:rsidR="00427468">
        <w:t xml:space="preserve"> of </w:t>
      </w:r>
      <w:r w:rsidRPr="001A3D2B">
        <w:t>both papers reporting experiments</w:t>
      </w:r>
      <w:r w:rsidR="005853A9">
        <w:t xml:space="preserve"> and </w:t>
      </w:r>
      <w:r w:rsidRPr="001A3D2B">
        <w:t>future-direction papers in other leading journals.</w:t>
      </w:r>
    </w:p>
    <w:p w:rsidR="003474F2" w:rsidRPr="001A3D2B" w:rsidRDefault="003474F2" w:rsidP="003474F2">
      <w:pPr>
        <w:pStyle w:val="a3"/>
      </w:pPr>
      <w:r w:rsidRPr="001A3D2B">
        <w:t xml:space="preserve">Keywords: Auditors Judgments, Belief-Adjustment Model, Experience, Hypothesis Generation, Impact, </w:t>
      </w:r>
      <w:smartTag w:uri="urn:schemas-microsoft-com:office:smarttags" w:element="place">
        <w:smartTag w:uri="urn:schemas-microsoft-com:office:smarttags" w:element="City">
          <w:r w:rsidRPr="001A3D2B">
            <w:t>Independence</w:t>
          </w:r>
        </w:smartTag>
      </w:smartTag>
      <w:r w:rsidRPr="001A3D2B">
        <w:t>, Knowledge, Performance, Research, Revision, Risk Judgments, Task Complexity</w:t>
      </w:r>
    </w:p>
    <w:p w:rsidR="00500B3E" w:rsidRPr="001A3D2B" w:rsidRDefault="00500B3E" w:rsidP="00500B3E">
      <w:pPr>
        <w:pStyle w:val="1"/>
      </w:pPr>
      <w:r w:rsidRPr="001A3D2B">
        <w:br w:type="page"/>
      </w:r>
      <w:bookmarkStart w:id="37" w:name="_Toc420814241"/>
      <w:r w:rsidRPr="001A3D2B">
        <w:lastRenderedPageBreak/>
        <w:t xml:space="preserve">Title: </w:t>
      </w:r>
      <w:r w:rsidRPr="00500B3E">
        <w:t>Accounts</w:t>
      </w:r>
      <w:r w:rsidR="00427468">
        <w:t xml:space="preserve"> of </w:t>
      </w:r>
      <w:r w:rsidRPr="00500B3E">
        <w:t>Chemical Research</w:t>
      </w:r>
      <w:bookmarkEnd w:id="37"/>
    </w:p>
    <w:p w:rsidR="00500B3E" w:rsidRPr="001A3D2B" w:rsidRDefault="00500B3E" w:rsidP="00500B3E">
      <w:pPr>
        <w:pStyle w:val="12"/>
      </w:pPr>
      <w:r w:rsidRPr="001A3D2B">
        <w:t xml:space="preserve">Full Journal Title: </w:t>
      </w:r>
      <w:r w:rsidRPr="00500B3E">
        <w:rPr>
          <w:iCs/>
          <w:kern w:val="0"/>
        </w:rPr>
        <w:t>Accounts</w:t>
      </w:r>
      <w:r w:rsidR="00427468">
        <w:rPr>
          <w:iCs/>
          <w:kern w:val="0"/>
        </w:rPr>
        <w:t xml:space="preserve"> of </w:t>
      </w:r>
      <w:r w:rsidRPr="00500B3E">
        <w:rPr>
          <w:iCs/>
          <w:kern w:val="0"/>
        </w:rPr>
        <w:t>Chemical Research</w:t>
      </w:r>
    </w:p>
    <w:p w:rsidR="00500B3E" w:rsidRPr="001A3D2B" w:rsidRDefault="00500B3E" w:rsidP="00500B3E">
      <w:pPr>
        <w:pStyle w:val="12"/>
      </w:pPr>
      <w:r w:rsidRPr="001A3D2B">
        <w:t xml:space="preserve">ISO Abbreviated Title: </w:t>
      </w:r>
    </w:p>
    <w:p w:rsidR="00500B3E" w:rsidRPr="001A3D2B" w:rsidRDefault="00500B3E" w:rsidP="00500B3E">
      <w:pPr>
        <w:pStyle w:val="12"/>
      </w:pPr>
      <w:r w:rsidRPr="001A3D2B">
        <w:t xml:space="preserve">JCR Abbreviated Title: </w:t>
      </w:r>
    </w:p>
    <w:p w:rsidR="00500B3E" w:rsidRPr="001A3D2B" w:rsidRDefault="00500B3E" w:rsidP="00500B3E">
      <w:pPr>
        <w:pStyle w:val="12"/>
      </w:pPr>
      <w:r w:rsidRPr="001A3D2B">
        <w:t xml:space="preserve">ISSN: </w:t>
      </w:r>
    </w:p>
    <w:p w:rsidR="00500B3E" w:rsidRPr="001A3D2B" w:rsidRDefault="00500B3E" w:rsidP="00500B3E">
      <w:pPr>
        <w:pStyle w:val="12"/>
      </w:pPr>
      <w:r w:rsidRPr="001A3D2B">
        <w:t xml:space="preserve">Issues/Year: </w:t>
      </w:r>
    </w:p>
    <w:p w:rsidR="00500B3E" w:rsidRPr="001A3D2B" w:rsidRDefault="00500B3E" w:rsidP="00500B3E">
      <w:pPr>
        <w:pStyle w:val="12"/>
      </w:pPr>
      <w:r w:rsidRPr="001A3D2B">
        <w:t xml:space="preserve">Journal Country/Territory: </w:t>
      </w:r>
    </w:p>
    <w:p w:rsidR="00500B3E" w:rsidRPr="001A3D2B" w:rsidRDefault="00500B3E" w:rsidP="00500B3E">
      <w:pPr>
        <w:pStyle w:val="12"/>
      </w:pPr>
      <w:r w:rsidRPr="001A3D2B">
        <w:t xml:space="preserve">Language: </w:t>
      </w:r>
    </w:p>
    <w:p w:rsidR="00500B3E" w:rsidRPr="001A3D2B" w:rsidRDefault="00500B3E" w:rsidP="00500B3E">
      <w:pPr>
        <w:pStyle w:val="12"/>
      </w:pPr>
      <w:r w:rsidRPr="001A3D2B">
        <w:t xml:space="preserve">Publisher: </w:t>
      </w:r>
    </w:p>
    <w:p w:rsidR="00500B3E" w:rsidRPr="001A3D2B" w:rsidRDefault="00500B3E" w:rsidP="00500B3E">
      <w:pPr>
        <w:pStyle w:val="12"/>
      </w:pPr>
      <w:r w:rsidRPr="001A3D2B">
        <w:t xml:space="preserve">Publisher Address: </w:t>
      </w:r>
    </w:p>
    <w:p w:rsidR="00500B3E" w:rsidRPr="001A3D2B" w:rsidRDefault="00500B3E" w:rsidP="00500B3E">
      <w:pPr>
        <w:pStyle w:val="12"/>
      </w:pPr>
      <w:r w:rsidRPr="001A3D2B">
        <w:t>Subject Categories:</w:t>
      </w:r>
    </w:p>
    <w:p w:rsidR="00500B3E" w:rsidRPr="001A3D2B" w:rsidRDefault="00500B3E" w:rsidP="00500B3E">
      <w:pPr>
        <w:pStyle w:val="12"/>
      </w:pPr>
      <w:r w:rsidRPr="001A3D2B">
        <w:t xml:space="preserve">: Impact Factor </w:t>
      </w:r>
    </w:p>
    <w:p w:rsidR="00500B3E" w:rsidRDefault="00500B3E" w:rsidP="00500B3E">
      <w:pPr>
        <w:pStyle w:val="a3"/>
        <w:rPr>
          <w:kern w:val="0"/>
        </w:rPr>
      </w:pPr>
      <w:r>
        <w:rPr>
          <w:rFonts w:hint="eastAsia"/>
          <w:kern w:val="0"/>
        </w:rPr>
        <w:t xml:space="preserve">? </w:t>
      </w:r>
      <w:r>
        <w:rPr>
          <w:kern w:val="0"/>
        </w:rPr>
        <w:t>Salem, L. (1986), Self-citation</w:t>
      </w:r>
      <w:r w:rsidR="005853A9">
        <w:rPr>
          <w:kern w:val="0"/>
        </w:rPr>
        <w:t xml:space="preserve"> and </w:t>
      </w:r>
      <w:r>
        <w:rPr>
          <w:kern w:val="0"/>
        </w:rPr>
        <w:t xml:space="preserve">ethical transgression. </w:t>
      </w:r>
      <w:r w:rsidRPr="00500B3E">
        <w:rPr>
          <w:i/>
          <w:iCs/>
          <w:kern w:val="0"/>
        </w:rPr>
        <w:t>Accounts</w:t>
      </w:r>
      <w:r w:rsidR="00427468">
        <w:rPr>
          <w:i/>
          <w:iCs/>
          <w:kern w:val="0"/>
        </w:rPr>
        <w:t xml:space="preserve"> of </w:t>
      </w:r>
      <w:r w:rsidRPr="00500B3E">
        <w:rPr>
          <w:i/>
          <w:iCs/>
          <w:kern w:val="0"/>
        </w:rPr>
        <w:t>Chemical Research</w:t>
      </w:r>
      <w:r>
        <w:rPr>
          <w:kern w:val="0"/>
        </w:rPr>
        <w:t xml:space="preserve">, </w:t>
      </w:r>
      <w:r>
        <w:rPr>
          <w:b/>
          <w:bCs/>
          <w:kern w:val="0"/>
        </w:rPr>
        <w:t>19</w:t>
      </w:r>
      <w:r>
        <w:rPr>
          <w:kern w:val="0"/>
        </w:rPr>
        <w:t xml:space="preserve"> (11), 376</w:t>
      </w:r>
      <w:r>
        <w:rPr>
          <w:rFonts w:hint="eastAsia"/>
          <w:kern w:val="0"/>
        </w:rPr>
        <w:t>.</w:t>
      </w:r>
    </w:p>
    <w:p w:rsidR="00500B3E" w:rsidRDefault="00500B3E" w:rsidP="00500B3E">
      <w:pPr>
        <w:pStyle w:val="a3"/>
        <w:rPr>
          <w:kern w:val="0"/>
        </w:rPr>
      </w:pPr>
      <w:r>
        <w:rPr>
          <w:rFonts w:hint="eastAsia"/>
          <w:kern w:val="0"/>
        </w:rPr>
        <w:t xml:space="preserve">Full Text: </w:t>
      </w:r>
      <w:hyperlink r:id="rId73" w:history="1">
        <w:r w:rsidR="00D42358" w:rsidRPr="00D42358">
          <w:rPr>
            <w:rStyle w:val="a5"/>
            <w:kern w:val="0"/>
          </w:rPr>
          <w:t>1986\Acc Che Res19, 376.pdf</w:t>
        </w:r>
      </w:hyperlink>
    </w:p>
    <w:p w:rsidR="003474F2" w:rsidRPr="001A3D2B" w:rsidRDefault="003474F2" w:rsidP="003474F2">
      <w:pPr>
        <w:pStyle w:val="1"/>
      </w:pPr>
      <w:r w:rsidRPr="001A3D2B">
        <w:br w:type="page"/>
      </w:r>
      <w:bookmarkStart w:id="38" w:name="_Toc81215571"/>
      <w:bookmarkStart w:id="39" w:name="_Toc420814242"/>
      <w:r w:rsidRPr="001A3D2B">
        <w:lastRenderedPageBreak/>
        <w:t>Title: ACIMED</w:t>
      </w:r>
      <w:bookmarkEnd w:id="38"/>
      <w:bookmarkEnd w:id="39"/>
    </w:p>
    <w:p w:rsidR="003474F2" w:rsidRPr="001A3D2B" w:rsidRDefault="003474F2" w:rsidP="003474F2">
      <w:pPr>
        <w:pStyle w:val="12"/>
      </w:pPr>
      <w:r w:rsidRPr="001A3D2B">
        <w:t>Full Journal Title: ACIMED</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Arencibia Jorge, R.</w:t>
      </w:r>
      <w:r w:rsidR="005853A9">
        <w:t xml:space="preserve"> and </w:t>
      </w:r>
      <w:r w:rsidRPr="001A3D2B">
        <w:t>Perezleo Solorzano, L., Achón Veloz, G.</w:t>
      </w:r>
      <w:r w:rsidR="005853A9">
        <w:t xml:space="preserve"> and </w:t>
      </w:r>
      <w:r w:rsidRPr="001A3D2B">
        <w:t>Araújo Ruiz, J.A. (2001), La informática biomedical desde una perspectiva bibliométrica.</w:t>
      </w:r>
      <w:r w:rsidRPr="001A3D2B">
        <w:rPr>
          <w:iCs/>
        </w:rPr>
        <w:t xml:space="preserve"> </w:t>
      </w:r>
      <w:r w:rsidRPr="001A3D2B">
        <w:rPr>
          <w:i/>
          <w:iCs/>
        </w:rPr>
        <w:t>ACIMED</w:t>
      </w:r>
      <w:r w:rsidRPr="001A3D2B">
        <w:t xml:space="preserve">, </w:t>
      </w:r>
      <w:r w:rsidRPr="001A3D2B">
        <w:rPr>
          <w:b/>
          <w:bCs/>
        </w:rPr>
        <w:t>9</w:t>
      </w:r>
      <w:r w:rsidRPr="001A3D2B">
        <w:t xml:space="preserve"> (3), 201-208.</w:t>
      </w:r>
    </w:p>
    <w:p w:rsidR="003474F2" w:rsidRPr="001A3D2B" w:rsidRDefault="003474F2" w:rsidP="003474F2">
      <w:pPr>
        <w:pStyle w:val="a3"/>
      </w:pPr>
      <w:r w:rsidRPr="001A3D2B">
        <w:t xml:space="preserve">Full Text: </w:t>
      </w:r>
      <w:hyperlink r:id="rId74" w:history="1">
        <w:r w:rsidRPr="001A3D2B">
          <w:rPr>
            <w:rStyle w:val="a5"/>
          </w:rPr>
          <w:t>2001\ACIMED9, 201.pdf</w:t>
        </w:r>
      </w:hyperlink>
    </w:p>
    <w:p w:rsidR="003474F2" w:rsidRPr="001A3D2B" w:rsidRDefault="003474F2" w:rsidP="003474F2">
      <w:pPr>
        <w:pStyle w:val="a3"/>
      </w:pPr>
      <w:r w:rsidRPr="001A3D2B">
        <w:t>Abstract: A bibliometric study was conducted to determine</w:t>
      </w:r>
      <w:r w:rsidR="003A1917">
        <w:t xml:space="preserve"> the </w:t>
      </w:r>
      <w:r w:rsidRPr="001A3D2B">
        <w:t>development</w:t>
      </w:r>
      <w:r w:rsidR="00427468">
        <w:t xml:space="preserve"> of </w:t>
      </w:r>
      <w:r w:rsidRPr="001A3D2B">
        <w:t>biomedical informatics in</w:t>
      </w:r>
      <w:r w:rsidR="003A1917">
        <w:t xml:space="preserve"> the </w:t>
      </w:r>
      <w:r w:rsidRPr="001A3D2B">
        <w:t>last decade</w:t>
      </w:r>
      <w:r w:rsidR="00427468">
        <w:t xml:space="preserve"> of </w:t>
      </w:r>
      <w:r w:rsidR="003A1917">
        <w:t xml:space="preserve">the </w:t>
      </w:r>
      <w:r w:rsidRPr="001A3D2B">
        <w:t>20th century. Thirty-four journals specialized in this field</w:t>
      </w:r>
      <w:r w:rsidR="005853A9">
        <w:t xml:space="preserve"> and </w:t>
      </w:r>
      <w:r w:rsidRPr="001A3D2B">
        <w:t>indexed by</w:t>
      </w:r>
      <w:r w:rsidR="003A1917">
        <w:t xml:space="preserve"> the </w:t>
      </w:r>
      <w:r w:rsidRPr="001A3D2B">
        <w:t>Institute for Scientific Information</w:t>
      </w:r>
      <w:r w:rsidR="00427468">
        <w:t xml:space="preserve"> of </w:t>
      </w:r>
      <w:r w:rsidRPr="001A3D2B">
        <w:t>Philadelphia were selected</w:t>
      </w:r>
      <w:r w:rsidR="005853A9">
        <w:t xml:space="preserve"> and </w:t>
      </w:r>
      <w:r w:rsidR="003A1917">
        <w:t xml:space="preserve">the </w:t>
      </w:r>
      <w:r w:rsidRPr="001A3D2B">
        <w:t>Journal Citation Report covering</w:t>
      </w:r>
      <w:r w:rsidR="003A1917">
        <w:t xml:space="preserve"> the </w:t>
      </w:r>
      <w:r w:rsidRPr="001A3D2B">
        <w:t>evaluated period was consulted to determine</w:t>
      </w:r>
      <w:r w:rsidR="003A1917">
        <w:t xml:space="preserve"> the </w:t>
      </w:r>
      <w:r w:rsidRPr="001A3D2B">
        <w:t>average impact factor as well as</w:t>
      </w:r>
      <w:r w:rsidR="003A1917">
        <w:t xml:space="preserve"> the </w:t>
      </w:r>
      <w:r w:rsidRPr="001A3D2B">
        <w:t>increase index</w:t>
      </w:r>
      <w:r w:rsidR="00427468">
        <w:t xml:space="preserve"> of </w:t>
      </w:r>
      <w:r w:rsidR="003A1917">
        <w:t xml:space="preserve">the </w:t>
      </w:r>
      <w:r w:rsidRPr="001A3D2B">
        <w:t>impact factor</w:t>
      </w:r>
      <w:r w:rsidR="00427468">
        <w:t xml:space="preserve"> of </w:t>
      </w:r>
      <w:r w:rsidRPr="001A3D2B">
        <w:t>each</w:t>
      </w:r>
      <w:r w:rsidR="00427468">
        <w:t xml:space="preserve"> of </w:t>
      </w:r>
      <w:r w:rsidRPr="001A3D2B">
        <w:t>them. Also</w:t>
      </w:r>
      <w:r w:rsidR="003A1917">
        <w:t xml:space="preserve"> the </w:t>
      </w:r>
      <w:r w:rsidRPr="001A3D2B">
        <w:t>general average impact factor</w:t>
      </w:r>
      <w:r w:rsidR="00427468">
        <w:t xml:space="preserve"> of </w:t>
      </w:r>
      <w:r w:rsidRPr="001A3D2B">
        <w:t>journals published between 1992</w:t>
      </w:r>
      <w:r w:rsidR="005853A9">
        <w:t xml:space="preserve"> and </w:t>
      </w:r>
      <w:r w:rsidRPr="001A3D2B">
        <w:t>1999</w:t>
      </w:r>
      <w:r w:rsidR="005853A9">
        <w:t xml:space="preserve"> and </w:t>
      </w:r>
      <w:r w:rsidR="003A1917">
        <w:t xml:space="preserve">the </w:t>
      </w:r>
      <w:r w:rsidRPr="001A3D2B">
        <w:t>general increase index</w:t>
      </w:r>
      <w:r w:rsidR="00427468">
        <w:t xml:space="preserve"> of </w:t>
      </w:r>
      <w:r w:rsidR="003A1917">
        <w:t xml:space="preserve">the </w:t>
      </w:r>
      <w:r w:rsidRPr="001A3D2B">
        <w:t>general average impact factor were estimated</w:t>
      </w:r>
      <w:r w:rsidR="00A37C1D">
        <w:t>. The</w:t>
      </w:r>
      <w:r w:rsidR="003A1917">
        <w:t xml:space="preserve"> </w:t>
      </w:r>
      <w:r w:rsidRPr="001A3D2B">
        <w:t>results were shown in graphs</w:t>
      </w:r>
      <w:r w:rsidR="005853A9">
        <w:t xml:space="preserve"> and </w:t>
      </w:r>
      <w:r w:rsidR="003A1917">
        <w:t xml:space="preserve">the </w:t>
      </w:r>
      <w:r w:rsidRPr="001A3D2B">
        <w:t>10 top journals according to</w:t>
      </w:r>
      <w:r w:rsidR="003A1917">
        <w:t xml:space="preserve"> the </w:t>
      </w:r>
      <w:r w:rsidRPr="001A3D2B">
        <w:t>highest average impact factor reached,</w:t>
      </w:r>
      <w:r w:rsidR="003A1917">
        <w:t xml:space="preserve"> the </w:t>
      </w:r>
      <w:r w:rsidRPr="001A3D2B">
        <w:t>highest increase index</w:t>
      </w:r>
      <w:r w:rsidR="00427468">
        <w:t xml:space="preserve"> of </w:t>
      </w:r>
      <w:r w:rsidRPr="001A3D2B">
        <w:t>their impact factor</w:t>
      </w:r>
      <w:r w:rsidR="005853A9">
        <w:t xml:space="preserve"> and </w:t>
      </w:r>
      <w:r w:rsidR="003A1917">
        <w:t xml:space="preserve">the </w:t>
      </w:r>
      <w:r w:rsidRPr="001A3D2B">
        <w:t>highest impact factors accrued in</w:t>
      </w:r>
      <w:r w:rsidR="003A1917">
        <w:t xml:space="preserve"> the </w:t>
      </w:r>
      <w:r w:rsidRPr="001A3D2B">
        <w:t>evaluated period were recorded. Finally comments are made on</w:t>
      </w:r>
      <w:r w:rsidR="003A1917">
        <w:t xml:space="preserve"> the </w:t>
      </w:r>
      <w:r w:rsidRPr="001A3D2B">
        <w:t>main applications</w:t>
      </w:r>
      <w:r w:rsidR="00427468">
        <w:t xml:space="preserve"> of </w:t>
      </w:r>
      <w:r w:rsidRPr="001A3D2B">
        <w:t>informatics in Biomedicine</w:t>
      </w:r>
      <w:r w:rsidR="005853A9">
        <w:t xml:space="preserve"> and </w:t>
      </w:r>
      <w:r w:rsidR="003A1917">
        <w:t xml:space="preserve">the </w:t>
      </w:r>
      <w:r w:rsidRPr="001A3D2B">
        <w:t>advantages</w:t>
      </w:r>
      <w:r w:rsidR="00427468">
        <w:t xml:space="preserve"> of </w:t>
      </w:r>
      <w:r w:rsidR="003A1917">
        <w:t xml:space="preserve">the </w:t>
      </w:r>
      <w:r w:rsidRPr="001A3D2B">
        <w:t>analysis</w:t>
      </w:r>
      <w:r w:rsidR="00427468">
        <w:t xml:space="preserve"> of </w:t>
      </w:r>
      <w:r w:rsidRPr="001A3D2B">
        <w:t>citations made by</w:t>
      </w:r>
      <w:r w:rsidR="003A1917">
        <w:t xml:space="preserve"> the </w:t>
      </w:r>
      <w:r w:rsidRPr="001A3D2B">
        <w:t>Institute for Scientific Information to assess</w:t>
      </w:r>
      <w:r w:rsidR="003A1917">
        <w:t xml:space="preserve"> the </w:t>
      </w:r>
      <w:r w:rsidRPr="001A3D2B">
        <w:t>performance</w:t>
      </w:r>
      <w:r w:rsidR="00427468">
        <w:t xml:space="preserve"> of </w:t>
      </w:r>
      <w:r w:rsidRPr="001A3D2B">
        <w:t>a biomedical discipline.</w:t>
      </w:r>
    </w:p>
    <w:p w:rsidR="003474F2" w:rsidRPr="001A3D2B" w:rsidRDefault="003474F2" w:rsidP="003474F2">
      <w:pPr>
        <w:pStyle w:val="a3"/>
      </w:pPr>
      <w:r w:rsidRPr="001A3D2B">
        <w:t>Keywords: Informatica Medica, Bibliometria, Factor de Impacto, Analisis de Citas, Medical Informatics, Bibliometrics, Impact Factor, Citation Analysis</w:t>
      </w:r>
    </w:p>
    <w:p w:rsidR="003474F2" w:rsidRPr="001A3D2B" w:rsidRDefault="003474F2" w:rsidP="003474F2">
      <w:pPr>
        <w:pStyle w:val="a3"/>
        <w:rPr>
          <w:szCs w:val="24"/>
        </w:rPr>
      </w:pPr>
      <w:r w:rsidRPr="001A3D2B">
        <w:rPr>
          <w:szCs w:val="24"/>
        </w:rPr>
        <w:t>Notes: MModel</w:t>
      </w:r>
    </w:p>
    <w:p w:rsidR="003474F2" w:rsidRPr="001A3D2B" w:rsidRDefault="003474F2" w:rsidP="003474F2">
      <w:pPr>
        <w:pStyle w:val="a3"/>
      </w:pPr>
      <w:r w:rsidRPr="001A3D2B">
        <w:t xml:space="preserve">Spinak, E. (2001), Indicadores cienciométricos. </w:t>
      </w:r>
      <w:r w:rsidRPr="001A3D2B">
        <w:rPr>
          <w:i/>
          <w:iCs/>
        </w:rPr>
        <w:t>ACIMED</w:t>
      </w:r>
      <w:r w:rsidRPr="001A3D2B">
        <w:t xml:space="preserve">, </w:t>
      </w:r>
      <w:r w:rsidRPr="001A3D2B">
        <w:rPr>
          <w:b/>
          <w:bCs/>
        </w:rPr>
        <w:t>9</w:t>
      </w:r>
      <w:r w:rsidRPr="001A3D2B">
        <w:t xml:space="preserve"> (Supl.), 42-49.</w:t>
      </w:r>
    </w:p>
    <w:p w:rsidR="003474F2" w:rsidRPr="001A3D2B" w:rsidRDefault="003474F2" w:rsidP="003474F2">
      <w:pPr>
        <w:pStyle w:val="a3"/>
      </w:pPr>
      <w:r w:rsidRPr="001A3D2B">
        <w:t xml:space="preserve">Full Text: </w:t>
      </w:r>
      <w:hyperlink r:id="rId75" w:history="1">
        <w:r w:rsidRPr="001A3D2B">
          <w:rPr>
            <w:rStyle w:val="a5"/>
          </w:rPr>
          <w:t>2001\ACIMED9S, 42.pdf</w:t>
        </w:r>
      </w:hyperlink>
    </w:p>
    <w:p w:rsidR="003474F2" w:rsidRPr="001A3D2B" w:rsidRDefault="003474F2" w:rsidP="003474F2">
      <w:pPr>
        <w:pStyle w:val="a3"/>
      </w:pPr>
      <w:r w:rsidRPr="001A3D2B">
        <w:t>Abstract: Scientific indicators arise from</w:t>
      </w:r>
      <w:r w:rsidR="003A1917">
        <w:t xml:space="preserve"> the </w:t>
      </w:r>
      <w:r w:rsidRPr="001A3D2B">
        <w:t>measurement</w:t>
      </w:r>
      <w:r w:rsidR="00427468">
        <w:t xml:space="preserve"> of </w:t>
      </w:r>
      <w:r w:rsidRPr="001A3D2B">
        <w:t>inputs</w:t>
      </w:r>
      <w:r w:rsidR="005853A9">
        <w:t xml:space="preserve"> and </w:t>
      </w:r>
      <w:r w:rsidRPr="001A3D2B">
        <w:t>results</w:t>
      </w:r>
      <w:r w:rsidR="00427468">
        <w:t xml:space="preserve"> of </w:t>
      </w:r>
      <w:r w:rsidR="003A1917">
        <w:t xml:space="preserve">the </w:t>
      </w:r>
      <w:r w:rsidRPr="001A3D2B">
        <w:t xml:space="preserve">scientific institution. Scientometrics develops methodologies for set up those </w:t>
      </w:r>
      <w:r w:rsidRPr="001A3D2B">
        <w:lastRenderedPageBreak/>
        <w:t>indicators based on interdisplinary technics from</w:t>
      </w:r>
      <w:r w:rsidR="003A1917">
        <w:t xml:space="preserve"> the </w:t>
      </w:r>
      <w:r w:rsidRPr="001A3D2B">
        <w:t>economics, statistics, management</w:t>
      </w:r>
      <w:r w:rsidR="005853A9">
        <w:t xml:space="preserve"> and </w:t>
      </w:r>
      <w:r w:rsidRPr="001A3D2B">
        <w:t>documentation</w:t>
      </w:r>
      <w:r w:rsidR="00A37C1D">
        <w:t>. The</w:t>
      </w:r>
      <w:r w:rsidR="003A1917">
        <w:t xml:space="preserve"> </w:t>
      </w:r>
      <w:r w:rsidRPr="001A3D2B">
        <w:t>methodologies that are internationally accepted (Frascati Manual, Oslo Manual</w:t>
      </w:r>
      <w:r w:rsidR="005853A9">
        <w:t xml:space="preserve"> and </w:t>
      </w:r>
      <w:r w:rsidRPr="001A3D2B">
        <w:t>Canberra Manual) constitute</w:t>
      </w:r>
      <w:r w:rsidR="003A1917">
        <w:t xml:space="preserve"> the </w:t>
      </w:r>
      <w:r w:rsidRPr="001A3D2B">
        <w:t>classical references to measure</w:t>
      </w:r>
      <w:r w:rsidR="003A1917">
        <w:t xml:space="preserve"> the </w:t>
      </w:r>
      <w:r w:rsidRPr="001A3D2B">
        <w:t>econocmic inputs</w:t>
      </w:r>
      <w:r w:rsidR="005853A9">
        <w:t xml:space="preserve"> and </w:t>
      </w:r>
      <w:r w:rsidRPr="001A3D2B">
        <w:t>results, as well as</w:t>
      </w:r>
      <w:r w:rsidR="003A1917">
        <w:t xml:space="preserve"> the </w:t>
      </w:r>
      <w:r w:rsidRPr="001A3D2B">
        <w:t>technological results</w:t>
      </w:r>
      <w:r w:rsidR="00427468">
        <w:t xml:space="preserve"> of </w:t>
      </w:r>
      <w:r w:rsidR="003A1917">
        <w:t xml:space="preserve">the </w:t>
      </w:r>
      <w:r w:rsidRPr="001A3D2B">
        <w:t>research</w:t>
      </w:r>
      <w:r w:rsidR="005853A9">
        <w:t xml:space="preserve"> and </w:t>
      </w:r>
      <w:r w:rsidRPr="001A3D2B">
        <w:t>development. However, there is no international consensus about how to measure</w:t>
      </w:r>
      <w:r w:rsidR="005853A9">
        <w:t xml:space="preserve"> and </w:t>
      </w:r>
      <w:r w:rsidRPr="001A3D2B">
        <w:t>evaluate intellectual</w:t>
      </w:r>
      <w:r w:rsidR="005853A9">
        <w:t xml:space="preserve"> and </w:t>
      </w:r>
      <w:r w:rsidRPr="001A3D2B">
        <w:t>academic production in</w:t>
      </w:r>
      <w:r w:rsidR="003A1917">
        <w:t xml:space="preserve"> the </w:t>
      </w:r>
      <w:r w:rsidRPr="001A3D2B">
        <w:t>ways in which it is expressed in</w:t>
      </w:r>
      <w:r w:rsidR="003A1917">
        <w:t xml:space="preserve"> the </w:t>
      </w:r>
      <w:r w:rsidRPr="001A3D2B">
        <w:t>editorial system, either in</w:t>
      </w:r>
      <w:r w:rsidR="003A1917">
        <w:t xml:space="preserve"> the </w:t>
      </w:r>
      <w:r w:rsidRPr="001A3D2B">
        <w:t>interpretation</w:t>
      </w:r>
      <w:r w:rsidR="00427468">
        <w:t xml:space="preserve"> of </w:t>
      </w:r>
      <w:r w:rsidRPr="001A3D2B">
        <w:t>its impacts e influences. Defining bibliometrics, scientometrics</w:t>
      </w:r>
      <w:r w:rsidR="005853A9">
        <w:t xml:space="preserve"> and </w:t>
      </w:r>
      <w:r w:rsidRPr="001A3D2B">
        <w:t>infometrics, as well as their scope</w:t>
      </w:r>
      <w:r w:rsidR="005853A9">
        <w:t xml:space="preserve"> and </w:t>
      </w:r>
      <w:r w:rsidRPr="001A3D2B">
        <w:t>application, this paper presents alternative views to interpret current scientometric indicators, which greatly outcome from compilation</w:t>
      </w:r>
      <w:r w:rsidR="00427468">
        <w:t xml:space="preserve"> of </w:t>
      </w:r>
      <w:r w:rsidR="003A1917">
        <w:t xml:space="preserve">the </w:t>
      </w:r>
      <w:r w:rsidRPr="001A3D2B">
        <w:t>Citation Index, published by</w:t>
      </w:r>
      <w:r w:rsidR="003A1917">
        <w:t xml:space="preserve"> the </w:t>
      </w:r>
      <w:r w:rsidRPr="001A3D2B">
        <w:t>Institute for Scientific Information,</w:t>
      </w:r>
      <w:r w:rsidR="005853A9">
        <w:t xml:space="preserve"> and </w:t>
      </w:r>
      <w:r w:rsidRPr="001A3D2B">
        <w:t>other similar databases. Particularly, an hypothesis is presented aiming at explaining</w:t>
      </w:r>
      <w:r w:rsidR="003A1917">
        <w:t xml:space="preserve"> the </w:t>
      </w:r>
      <w:r w:rsidRPr="001A3D2B">
        <w:t>bias</w:t>
      </w:r>
      <w:r w:rsidR="00427468">
        <w:t xml:space="preserve"> of </w:t>
      </w:r>
      <w:r w:rsidR="003A1917">
        <w:t xml:space="preserve">the </w:t>
      </w:r>
      <w:r w:rsidRPr="001A3D2B">
        <w:t>Citation Index in favour</w:t>
      </w:r>
      <w:r w:rsidR="00427468">
        <w:t xml:space="preserve"> of </w:t>
      </w:r>
      <w:r w:rsidR="003A1917">
        <w:t xml:space="preserve">the </w:t>
      </w:r>
      <w:r w:rsidRPr="001A3D2B">
        <w:t>publications that belong to</w:t>
      </w:r>
      <w:r w:rsidR="003A1917">
        <w:t xml:space="preserve"> the </w:t>
      </w:r>
      <w:r w:rsidRPr="001A3D2B">
        <w:t>mainstream</w:t>
      </w:r>
      <w:r w:rsidR="00427468">
        <w:t xml:space="preserve"> of </w:t>
      </w:r>
      <w:r w:rsidR="003A1917">
        <w:t xml:space="preserve">the </w:t>
      </w:r>
      <w:r w:rsidRPr="001A3D2B">
        <w:t>developed countries, against those publications</w:t>
      </w:r>
      <w:r w:rsidR="00427468">
        <w:t xml:space="preserve"> of </w:t>
      </w:r>
      <w:r w:rsidRPr="001A3D2B">
        <w:t xml:space="preserve">similar quality published by </w:t>
      </w:r>
      <w:smartTag w:uri="urn:schemas-microsoft-com:office:smarttags" w:element="place">
        <w:r w:rsidRPr="001A3D2B">
          <w:t>Third World</w:t>
        </w:r>
      </w:smartTag>
      <w:r w:rsidRPr="001A3D2B">
        <w:t xml:space="preserve"> countries.</w:t>
      </w:r>
    </w:p>
    <w:p w:rsidR="003474F2" w:rsidRPr="001A3D2B" w:rsidRDefault="003474F2" w:rsidP="003474F2">
      <w:pPr>
        <w:pStyle w:val="a3"/>
      </w:pPr>
      <w:r w:rsidRPr="001A3D2B">
        <w:t>Keywords: Indicadores/Utilización, Bibliometria, Cienciometria, ley de Bradford, ley de Zipf, ley de Sengupta, ley de Lotka, Analisis de Citas, Factor de Impacto, Indicators/Utilization, Bibliometrics, Scientometrics, Bradford</w:t>
      </w:r>
      <w:r w:rsidR="00700038">
        <w:t>’</w:t>
      </w:r>
      <w:r w:rsidR="00C13DDC">
        <w:t>s</w:t>
      </w:r>
      <w:r w:rsidRPr="001A3D2B">
        <w:t xml:space="preserve"> Law, Zinpf</w:t>
      </w:r>
      <w:r w:rsidR="00700038">
        <w:t>’</w:t>
      </w:r>
      <w:r w:rsidR="00C13DDC">
        <w:t>s</w:t>
      </w:r>
      <w:r w:rsidRPr="001A3D2B">
        <w:t xml:space="preserve"> Law, Sengupta</w:t>
      </w:r>
      <w:r w:rsidR="00700038">
        <w:t>’</w:t>
      </w:r>
      <w:r w:rsidR="00C13DDC">
        <w:t>s</w:t>
      </w:r>
      <w:r w:rsidRPr="001A3D2B">
        <w:t xml:space="preserve"> Law, Lotka</w:t>
      </w:r>
      <w:r w:rsidR="00700038">
        <w:t>’</w:t>
      </w:r>
      <w:r w:rsidR="00C13DDC">
        <w:t>s</w:t>
      </w:r>
      <w:r w:rsidRPr="001A3D2B">
        <w:t xml:space="preserve"> Law, Citation Analysis, Impact Factor</w:t>
      </w:r>
    </w:p>
    <w:p w:rsidR="003474F2" w:rsidRPr="001A3D2B" w:rsidRDefault="003474F2" w:rsidP="003474F2">
      <w:pPr>
        <w:pStyle w:val="a3"/>
      </w:pPr>
      <w:r w:rsidRPr="001A3D2B">
        <w:rPr>
          <w:lang w:val="fr-FR"/>
        </w:rPr>
        <w:t xml:space="preserve">Rousseau, R. (2001), Indicadores bibliométricos y econométricos en la evaluación de instituciones científicas. </w:t>
      </w:r>
      <w:r w:rsidRPr="001A3D2B">
        <w:rPr>
          <w:i/>
          <w:iCs/>
        </w:rPr>
        <w:t>ACIMED</w:t>
      </w:r>
      <w:r w:rsidRPr="001A3D2B">
        <w:t xml:space="preserve">, </w:t>
      </w:r>
      <w:r w:rsidRPr="001A3D2B">
        <w:rPr>
          <w:b/>
          <w:bCs/>
        </w:rPr>
        <w:t>9</w:t>
      </w:r>
      <w:r w:rsidRPr="001A3D2B">
        <w:t xml:space="preserve"> (Supl.), 50-60.</w:t>
      </w:r>
    </w:p>
    <w:p w:rsidR="003474F2" w:rsidRPr="001A3D2B" w:rsidRDefault="003474F2" w:rsidP="003474F2">
      <w:pPr>
        <w:pStyle w:val="a3"/>
      </w:pPr>
      <w:r w:rsidRPr="001A3D2B">
        <w:t xml:space="preserve">Full Text: </w:t>
      </w:r>
      <w:hyperlink r:id="rId76" w:history="1">
        <w:r w:rsidRPr="001A3D2B">
          <w:rPr>
            <w:rStyle w:val="a5"/>
          </w:rPr>
          <w:t>2001\ACIMED9S, 50.pdf</w:t>
        </w:r>
      </w:hyperlink>
    </w:p>
    <w:p w:rsidR="003474F2" w:rsidRPr="001A3D2B" w:rsidRDefault="003474F2" w:rsidP="003474F2">
      <w:pPr>
        <w:pStyle w:val="a3"/>
      </w:pPr>
      <w:r w:rsidRPr="001A3D2B">
        <w:t>Abstract: This article consists</w:t>
      </w:r>
      <w:r w:rsidR="00427468">
        <w:t xml:space="preserve"> of </w:t>
      </w:r>
      <w:r w:rsidRPr="001A3D2B">
        <w:t>two parts:</w:t>
      </w:r>
      <w:r w:rsidR="003A1917">
        <w:t xml:space="preserve"> the </w:t>
      </w:r>
      <w:r w:rsidRPr="001A3D2B">
        <w:t>first part describes</w:t>
      </w:r>
      <w:r w:rsidR="003A1917">
        <w:t xml:space="preserve"> the </w:t>
      </w:r>
      <w:r w:rsidRPr="001A3D2B">
        <w:t>evaluation</w:t>
      </w:r>
      <w:r w:rsidR="00427468">
        <w:t xml:space="preserve"> of </w:t>
      </w:r>
      <w:r w:rsidRPr="001A3D2B">
        <w:t>a small university it is based on scientometric data</w:t>
      </w:r>
      <w:r w:rsidR="005853A9">
        <w:t xml:space="preserve"> and </w:t>
      </w:r>
      <w:r w:rsidRPr="001A3D2B">
        <w:t>aims mainly at</w:t>
      </w:r>
      <w:r w:rsidR="003A1917">
        <w:t xml:space="preserve"> the </w:t>
      </w:r>
      <w:r w:rsidRPr="001A3D2B">
        <w:t>evaluation</w:t>
      </w:r>
      <w:r w:rsidR="00427468">
        <w:t xml:space="preserve"> of </w:t>
      </w:r>
      <w:r w:rsidRPr="001A3D2B">
        <w:t>internationally visible research</w:t>
      </w:r>
      <w:r w:rsidR="00A37C1D">
        <w:t>. The</w:t>
      </w:r>
      <w:r w:rsidR="003A1917">
        <w:t xml:space="preserve"> </w:t>
      </w:r>
      <w:r w:rsidRPr="001A3D2B">
        <w:t>second part shows how an econometric method (DEA: data enveloping analysis) can be used to include teaching</w:t>
      </w:r>
      <w:r w:rsidR="005853A9">
        <w:t xml:space="preserve"> and </w:t>
      </w:r>
      <w:r w:rsidRPr="001A3D2B">
        <w:t>other aspects, e.g. fund raising, into</w:t>
      </w:r>
      <w:r w:rsidR="003A1917">
        <w:t xml:space="preserve"> the </w:t>
      </w:r>
      <w:r w:rsidRPr="001A3D2B">
        <w:t>evaluation. Both approaches show how a body</w:t>
      </w:r>
      <w:r w:rsidR="00427468">
        <w:t xml:space="preserve"> of </w:t>
      </w:r>
      <w:r w:rsidRPr="001A3D2B">
        <w:t>bibliometric, scientometric</w:t>
      </w:r>
      <w:r w:rsidR="005853A9">
        <w:t xml:space="preserve"> and </w:t>
      </w:r>
      <w:r w:rsidRPr="001A3D2B">
        <w:t>econometric theory can be applied to real world problems.</w:t>
      </w:r>
    </w:p>
    <w:p w:rsidR="003474F2" w:rsidRPr="001A3D2B" w:rsidRDefault="003474F2" w:rsidP="003474F2">
      <w:pPr>
        <w:pStyle w:val="a3"/>
      </w:pPr>
      <w:r w:rsidRPr="001A3D2B">
        <w:t>Keywords: Cienciometria, Investigacion, Evaluacion, Econometria/Métodos, Factor de Impacto, Analisis de Citas, Produccion Cientifica, Publicacion Electronica, Bibliometria, Universidades/Eficiencia, Universidades/Efectividad, Scientometrics, Research, Evaluation, Econometrics/Methods, Impact Factor, Citation Analysis, Scientific Production, Electronic Publishing, Bibliometrica Universities/Efficiency, Universities/Effectiveness</w:t>
      </w:r>
    </w:p>
    <w:p w:rsidR="003474F2" w:rsidRPr="001A3D2B" w:rsidRDefault="003474F2" w:rsidP="003474F2">
      <w:pPr>
        <w:pStyle w:val="a3"/>
      </w:pPr>
      <w:r w:rsidRPr="001A3D2B">
        <w:rPr>
          <w:lang w:val="fr-FR"/>
        </w:rPr>
        <w:t xml:space="preserve">Worwell, I. (2001), Informetría: Explorando bases de datos como instrumentos de análisiss. </w:t>
      </w:r>
      <w:r w:rsidRPr="001A3D2B">
        <w:rPr>
          <w:i/>
          <w:iCs/>
        </w:rPr>
        <w:t>ACIMED</w:t>
      </w:r>
      <w:r w:rsidRPr="001A3D2B">
        <w:t xml:space="preserve">, </w:t>
      </w:r>
      <w:r w:rsidRPr="001A3D2B">
        <w:rPr>
          <w:b/>
          <w:bCs/>
        </w:rPr>
        <w:t>9</w:t>
      </w:r>
      <w:r w:rsidRPr="001A3D2B">
        <w:t xml:space="preserve"> (Supl.), 115-121.</w:t>
      </w:r>
    </w:p>
    <w:p w:rsidR="003474F2" w:rsidRPr="001A3D2B" w:rsidRDefault="003474F2" w:rsidP="003474F2">
      <w:pPr>
        <w:pStyle w:val="a3"/>
      </w:pPr>
      <w:r w:rsidRPr="001A3D2B">
        <w:t xml:space="preserve">Full Text: </w:t>
      </w:r>
      <w:hyperlink r:id="rId77" w:history="1">
        <w:r w:rsidRPr="001A3D2B">
          <w:rPr>
            <w:rStyle w:val="a5"/>
          </w:rPr>
          <w:t>2001\ACIMED9S, 115.pdf</w:t>
        </w:r>
      </w:hyperlink>
    </w:p>
    <w:p w:rsidR="003474F2" w:rsidRPr="001A3D2B" w:rsidRDefault="003474F2" w:rsidP="003474F2">
      <w:pPr>
        <w:pStyle w:val="a3"/>
      </w:pPr>
      <w:r w:rsidRPr="001A3D2B">
        <w:t>Abstract: This paper gives a sample</w:t>
      </w:r>
      <w:r w:rsidR="00427468">
        <w:t xml:space="preserve"> of </w:t>
      </w:r>
      <w:r w:rsidR="003A1917">
        <w:t xml:space="preserve">the </w:t>
      </w:r>
      <w:r w:rsidRPr="001A3D2B">
        <w:t>research programmes</w:t>
      </w:r>
      <w:r w:rsidR="00427468">
        <w:t xml:space="preserve"> of </w:t>
      </w:r>
      <w:r w:rsidR="003A1917">
        <w:t xml:space="preserve">the </w:t>
      </w:r>
      <w:r w:rsidRPr="001A3D2B">
        <w:t xml:space="preserve">Centre for </w:t>
      </w:r>
      <w:r w:rsidRPr="001A3D2B">
        <w:lastRenderedPageBreak/>
        <w:t>Informetric Studies, Copenhaguen. It also describes informetrics as a sub-field</w:t>
      </w:r>
      <w:r w:rsidR="00427468">
        <w:t xml:space="preserve"> of </w:t>
      </w:r>
      <w:r w:rsidRPr="001A3D2B">
        <w:t>bibliometrics discussing its new approach, i.e</w:t>
      </w:r>
      <w:r w:rsidR="00A37C1D">
        <w:t>. The</w:t>
      </w:r>
      <w:r w:rsidR="003A1917">
        <w:t xml:space="preserve"> </w:t>
      </w:r>
      <w:r w:rsidRPr="001A3D2B">
        <w:t>combination</w:t>
      </w:r>
      <w:r w:rsidR="00427468">
        <w:t xml:space="preserve"> of </w:t>
      </w:r>
      <w:r w:rsidRPr="001A3D2B">
        <w:t>advan-ced information retrieval theories</w:t>
      </w:r>
      <w:r w:rsidR="005853A9">
        <w:t xml:space="preserve"> and </w:t>
      </w:r>
      <w:r w:rsidRPr="001A3D2B">
        <w:t>methodologies with</w:t>
      </w:r>
      <w:r w:rsidR="003A1917">
        <w:t xml:space="preserve"> the </w:t>
      </w:r>
      <w:r w:rsidRPr="001A3D2B">
        <w:t>scientific study</w:t>
      </w:r>
      <w:r w:rsidR="00427468">
        <w:t xml:space="preserve"> of </w:t>
      </w:r>
      <w:r w:rsidRPr="001A3D2B">
        <w:t>information flows</w:t>
      </w:r>
      <w:r w:rsidR="00A37C1D">
        <w:t>. The</w:t>
      </w:r>
      <w:r w:rsidR="003A1917">
        <w:t xml:space="preserve"> </w:t>
      </w:r>
      <w:r w:rsidRPr="001A3D2B">
        <w:t>Centre aims to apply bibliometric methods not only to scientometric studies</w:t>
      </w:r>
      <w:r w:rsidR="005853A9">
        <w:t xml:space="preserve"> and </w:t>
      </w:r>
      <w:r w:rsidRPr="001A3D2B">
        <w:t>research evaluations</w:t>
      </w:r>
      <w:r w:rsidR="00427468">
        <w:t xml:space="preserve"> of </w:t>
      </w:r>
      <w:r w:rsidRPr="001A3D2B">
        <w:t>science</w:t>
      </w:r>
      <w:r w:rsidR="005853A9">
        <w:t xml:space="preserve"> and </w:t>
      </w:r>
      <w:r w:rsidRPr="001A3D2B">
        <w:t>technology, but also</w:t>
      </w:r>
      <w:r w:rsidR="003A1917">
        <w:t xml:space="preserve"> the </w:t>
      </w:r>
      <w:r w:rsidRPr="001A3D2B">
        <w:t>analysis</w:t>
      </w:r>
      <w:r w:rsidR="00427468">
        <w:t xml:space="preserve"> of </w:t>
      </w:r>
      <w:r w:rsidRPr="001A3D2B">
        <w:t>their societal, industrial</w:t>
      </w:r>
      <w:r w:rsidR="005853A9">
        <w:t xml:space="preserve"> and </w:t>
      </w:r>
      <w:r w:rsidRPr="001A3D2B">
        <w:t>other special relations. This means an extension</w:t>
      </w:r>
      <w:r w:rsidR="00427468">
        <w:t xml:space="preserve"> of </w:t>
      </w:r>
      <w:r w:rsidR="003A1917">
        <w:t xml:space="preserve">the </w:t>
      </w:r>
      <w:r w:rsidRPr="001A3D2B">
        <w:t>traditional bibliometric analyses to cover non-scholarly communities in which information produced, communicated</w:t>
      </w:r>
      <w:r w:rsidR="005853A9">
        <w:t xml:space="preserve"> and </w:t>
      </w:r>
      <w:r w:rsidRPr="001A3D2B">
        <w:t>used</w:t>
      </w:r>
      <w:r w:rsidR="00A37C1D">
        <w:t>. The</w:t>
      </w:r>
      <w:r w:rsidR="003A1917">
        <w:t xml:space="preserve"> </w:t>
      </w:r>
      <w:r w:rsidRPr="001A3D2B">
        <w:t>author also appeals to LIS professionals to face</w:t>
      </w:r>
      <w:r w:rsidR="003A1917">
        <w:t xml:space="preserve"> the </w:t>
      </w:r>
      <w:r w:rsidRPr="001A3D2B">
        <w:t>challenge</w:t>
      </w:r>
      <w:r w:rsidR="00427468">
        <w:t xml:space="preserve"> of </w:t>
      </w:r>
      <w:r w:rsidRPr="001A3D2B">
        <w:t>this new area</w:t>
      </w:r>
      <w:r w:rsidR="00427468">
        <w:t xml:space="preserve"> of </w:t>
      </w:r>
      <w:r w:rsidRPr="001A3D2B">
        <w:t>quantitative studies, learning to explore data bases also as a tool to carry out analytical work, emphasizing</w:t>
      </w:r>
      <w:r w:rsidR="003A1917">
        <w:t xml:space="preserve"> the </w:t>
      </w:r>
      <w:r w:rsidRPr="001A3D2B">
        <w:t>possibilities for those professionals to raise their positions in</w:t>
      </w:r>
      <w:r w:rsidR="003A1917">
        <w:t xml:space="preserve"> the </w:t>
      </w:r>
      <w:r w:rsidRPr="001A3D2B">
        <w:t>information work hierarchies, as well as to explore informetric techniques to support</w:t>
      </w:r>
      <w:r w:rsidR="003A1917">
        <w:t xml:space="preserve"> the </w:t>
      </w:r>
      <w:r w:rsidRPr="001A3D2B">
        <w:t>management</w:t>
      </w:r>
      <w:r w:rsidR="00427468">
        <w:t xml:space="preserve"> of </w:t>
      </w:r>
      <w:r w:rsidRPr="001A3D2B">
        <w:t>decisions</w:t>
      </w:r>
      <w:r w:rsidR="005853A9">
        <w:t xml:space="preserve"> and </w:t>
      </w:r>
      <w:r w:rsidRPr="001A3D2B">
        <w:t>policy making.</w:t>
      </w:r>
    </w:p>
    <w:p w:rsidR="003474F2" w:rsidRPr="001A3D2B" w:rsidRDefault="003474F2" w:rsidP="003474F2">
      <w:pPr>
        <w:pStyle w:val="a3"/>
        <w:rPr>
          <w:lang w:val="fr-FR"/>
        </w:rPr>
      </w:pPr>
      <w:r w:rsidRPr="001A3D2B">
        <w:rPr>
          <w:lang w:val="fr-FR"/>
        </w:rPr>
        <w:t>Keywords: Bibliometria, Informetria, Bases de Datos/Análisis, Bibliometrics, Informetrics, Databases/Analysis</w:t>
      </w:r>
    </w:p>
    <w:p w:rsidR="003474F2" w:rsidRPr="001A3D2B" w:rsidRDefault="003474F2" w:rsidP="003474F2">
      <w:pPr>
        <w:pStyle w:val="a3"/>
      </w:pPr>
      <w:r w:rsidRPr="001A3D2B">
        <w:rPr>
          <w:lang w:val="fr-FR"/>
        </w:rPr>
        <w:t>Sanz Casado, E., Martín Moreno, C., García Zorita, C., Suárez Balseiro, C.</w:t>
      </w:r>
      <w:r w:rsidR="005853A9">
        <w:rPr>
          <w:lang w:val="fr-FR"/>
        </w:rPr>
        <w:t xml:space="preserve"> and </w:t>
      </w:r>
      <w:r w:rsidRPr="001A3D2B">
        <w:rPr>
          <w:lang w:val="fr-FR"/>
        </w:rPr>
        <w:t xml:space="preserve">Lascurain Sánchez, M.L. (2002), La actividad científica española en ciencias médicas en el período 1991-1999. </w:t>
      </w:r>
      <w:r w:rsidRPr="001A3D2B">
        <w:rPr>
          <w:i/>
          <w:iCs/>
        </w:rPr>
        <w:t>ACIMED</w:t>
      </w:r>
      <w:r w:rsidRPr="001A3D2B">
        <w:t xml:space="preserve">, </w:t>
      </w:r>
      <w:r w:rsidRPr="001A3D2B">
        <w:rPr>
          <w:b/>
          <w:bCs/>
        </w:rPr>
        <w:t>10</w:t>
      </w:r>
      <w:r w:rsidRPr="001A3D2B">
        <w:t xml:space="preserve"> (1).</w:t>
      </w:r>
    </w:p>
    <w:p w:rsidR="003474F2" w:rsidRPr="001A3D2B" w:rsidRDefault="003474F2" w:rsidP="003474F2">
      <w:pPr>
        <w:pStyle w:val="a3"/>
      </w:pPr>
      <w:r w:rsidRPr="001A3D2B">
        <w:t xml:space="preserve">Full Text: </w:t>
      </w:r>
      <w:hyperlink r:id="rId78" w:history="1">
        <w:r w:rsidRPr="001A3D2B">
          <w:rPr>
            <w:rStyle w:val="a5"/>
          </w:rPr>
          <w:t>2002\ACIMED10-Sanz.pdf</w:t>
        </w:r>
      </w:hyperlink>
    </w:p>
    <w:p w:rsidR="003474F2" w:rsidRPr="001A3D2B" w:rsidRDefault="003474F2" w:rsidP="003474F2">
      <w:pPr>
        <w:pStyle w:val="a3"/>
      </w:pPr>
      <w:r w:rsidRPr="001A3D2B">
        <w:t>Abstract:</w:t>
      </w:r>
      <w:r w:rsidR="003A1917">
        <w:t xml:space="preserve"> the </w:t>
      </w:r>
      <w:r w:rsidRPr="001A3D2B">
        <w:t>group</w:t>
      </w:r>
      <w:r w:rsidR="00427468">
        <w:t xml:space="preserve"> of </w:t>
      </w:r>
      <w:r w:rsidRPr="001A3D2B">
        <w:t>Spanish medical sciences researchers is studied. Unidimensional</w:t>
      </w:r>
      <w:r w:rsidR="005853A9">
        <w:t xml:space="preserve"> and </w:t>
      </w:r>
      <w:r w:rsidRPr="001A3D2B">
        <w:t>relational bibliometric indicators are used to analyze</w:t>
      </w:r>
      <w:r w:rsidR="003A1917">
        <w:t xml:space="preserve"> the </w:t>
      </w:r>
      <w:r w:rsidRPr="001A3D2B">
        <w:t>papers published by</w:t>
      </w:r>
      <w:r w:rsidR="003A1917">
        <w:t xml:space="preserve"> the </w:t>
      </w:r>
      <w:r w:rsidRPr="001A3D2B">
        <w:t>researchers processed in</w:t>
      </w:r>
      <w:r w:rsidR="003A1917">
        <w:t xml:space="preserve"> the </w:t>
      </w:r>
      <w:r w:rsidR="00D5664A">
        <w:t>MEDLINE</w:t>
      </w:r>
      <w:r w:rsidRPr="001A3D2B">
        <w:t xml:space="preserve"> database from 1991 to 1999</w:t>
      </w:r>
      <w:r w:rsidR="00A37C1D">
        <w:t>. The</w:t>
      </w:r>
      <w:r w:rsidR="003A1917">
        <w:t xml:space="preserve"> </w:t>
      </w:r>
      <w:r w:rsidRPr="001A3D2B">
        <w:t>results show that</w:t>
      </w:r>
      <w:r w:rsidR="003A1917">
        <w:t xml:space="preserve"> the </w:t>
      </w:r>
      <w:r w:rsidRPr="001A3D2B">
        <w:t>Spanish scientific production in medical sciences has raised in more than 70 %. Likewise, its weight concerning world production has increased from 1.4 % to 2 %. Biology-biochemistry, general medicine, neurosciences</w:t>
      </w:r>
      <w:r w:rsidR="005853A9">
        <w:t xml:space="preserve"> and </w:t>
      </w:r>
      <w:r w:rsidRPr="001A3D2B">
        <w:t>nephrology-urology are</w:t>
      </w:r>
      <w:r w:rsidR="003A1917">
        <w:t xml:space="preserve"> the </w:t>
      </w:r>
      <w:r w:rsidRPr="001A3D2B">
        <w:t>most published topics. A rise has also been observed in</w:t>
      </w:r>
      <w:r w:rsidR="003A1917">
        <w:t xml:space="preserve"> the </w:t>
      </w:r>
      <w:r w:rsidRPr="001A3D2B">
        <w:t>size</w:t>
      </w:r>
      <w:r w:rsidR="00427468">
        <w:t xml:space="preserve"> of </w:t>
      </w:r>
      <w:r w:rsidR="003A1917">
        <w:t xml:space="preserve">the </w:t>
      </w:r>
      <w:r w:rsidRPr="001A3D2B">
        <w:t>research groups</w:t>
      </w:r>
      <w:r w:rsidR="005853A9">
        <w:t xml:space="preserve"> and </w:t>
      </w:r>
      <w:r w:rsidRPr="001A3D2B">
        <w:t>in</w:t>
      </w:r>
      <w:r w:rsidR="003A1917">
        <w:t xml:space="preserve"> the </w:t>
      </w:r>
      <w:r w:rsidRPr="001A3D2B">
        <w:t>coauthorship index from 4.58 to 5.09 authors/document</w:t>
      </w:r>
      <w:r w:rsidR="00A37C1D">
        <w:t>. The</w:t>
      </w:r>
      <w:r w:rsidR="003A1917">
        <w:t xml:space="preserve"> </w:t>
      </w:r>
      <w:r w:rsidRPr="001A3D2B">
        <w:t>journal article has been</w:t>
      </w:r>
      <w:r w:rsidR="003A1917">
        <w:t xml:space="preserve"> the </w:t>
      </w:r>
      <w:r w:rsidRPr="001A3D2B">
        <w:t>most used type</w:t>
      </w:r>
      <w:r w:rsidR="00427468">
        <w:t xml:space="preserve"> of </w:t>
      </w:r>
      <w:r w:rsidRPr="001A3D2B">
        <w:t>document to spread research. 15</w:t>
      </w:r>
      <w:r w:rsidR="00427468">
        <w:t xml:space="preserve"> of </w:t>
      </w:r>
      <w:r w:rsidR="003A1917">
        <w:t xml:space="preserve">the </w:t>
      </w:r>
      <w:r w:rsidRPr="001A3D2B">
        <w:t>17 most productive journals are Spanish</w:t>
      </w:r>
      <w:r w:rsidR="00A37C1D">
        <w:t>. The</w:t>
      </w:r>
      <w:r w:rsidR="003A1917">
        <w:t xml:space="preserve"> </w:t>
      </w:r>
      <w:r w:rsidRPr="001A3D2B">
        <w:t>relational indicators utilized, which are based on</w:t>
      </w:r>
      <w:r w:rsidR="003A1917">
        <w:t xml:space="preserve"> the </w:t>
      </w:r>
      <w:r w:rsidRPr="001A3D2B">
        <w:t>correspondence analysis, reveal a clear differentiation between institutional sectors, according to</w:t>
      </w:r>
      <w:r w:rsidR="003A1917">
        <w:t xml:space="preserve"> the </w:t>
      </w:r>
      <w:r w:rsidRPr="001A3D2B">
        <w:t>topics in which their researchers work. Hospitals show their preference for clinical areas, whereas</w:t>
      </w:r>
      <w:r w:rsidR="003A1917">
        <w:t xml:space="preserve"> the </w:t>
      </w:r>
      <w:r w:rsidRPr="001A3D2B">
        <w:t>universities prefer basic research areas</w:t>
      </w:r>
      <w:r w:rsidR="00A37C1D">
        <w:t>. The</w:t>
      </w:r>
      <w:r w:rsidR="003A1917">
        <w:t xml:space="preserve"> </w:t>
      </w:r>
      <w:r w:rsidRPr="001A3D2B">
        <w:t>scientific activity in</w:t>
      </w:r>
      <w:r w:rsidR="003A1917">
        <w:t xml:space="preserve"> the </w:t>
      </w:r>
      <w:r w:rsidRPr="001A3D2B">
        <w:t>field</w:t>
      </w:r>
      <w:r w:rsidR="00427468">
        <w:t xml:space="preserve"> of </w:t>
      </w:r>
      <w:r w:rsidRPr="001A3D2B">
        <w:t xml:space="preserve">medical sciences has had a significant change in </w:t>
      </w:r>
      <w:smartTag w:uri="urn:schemas-microsoft-com:office:smarttags" w:element="place">
        <w:smartTag w:uri="urn:schemas-microsoft-com:office:smarttags" w:element="country-region">
          <w:r w:rsidRPr="001A3D2B">
            <w:t>Spain</w:t>
          </w:r>
        </w:smartTag>
      </w:smartTag>
      <w:r w:rsidRPr="001A3D2B">
        <w:t>. Most</w:t>
      </w:r>
      <w:r w:rsidR="00427468">
        <w:t xml:space="preserve"> of </w:t>
      </w:r>
      <w:r w:rsidR="003A1917">
        <w:t xml:space="preserve">the </w:t>
      </w:r>
      <w:r w:rsidRPr="001A3D2B">
        <w:t>research activity is developed by</w:t>
      </w:r>
      <w:r w:rsidR="003A1917">
        <w:t xml:space="preserve"> the </w:t>
      </w:r>
      <w:r w:rsidRPr="001A3D2B">
        <w:t>health sector, where applied investigation is made.</w:t>
      </w:r>
    </w:p>
    <w:p w:rsidR="003474F2" w:rsidRPr="001A3D2B" w:rsidRDefault="003474F2" w:rsidP="003474F2">
      <w:pPr>
        <w:pStyle w:val="a3"/>
        <w:rPr>
          <w:lang w:val="fr-FR"/>
        </w:rPr>
      </w:pPr>
      <w:r w:rsidRPr="001A3D2B">
        <w:rPr>
          <w:lang w:val="fr-FR"/>
        </w:rPr>
        <w:t>Keywords: Produccion Cientifica, Produccion Cientifica/Tendencias, Investigadores, Bibliometria, España, Scientific Production, Scientists, Bibliometry, Spain</w:t>
      </w:r>
    </w:p>
    <w:p w:rsidR="003474F2" w:rsidRPr="001A3D2B" w:rsidRDefault="003474F2" w:rsidP="003474F2">
      <w:pPr>
        <w:pStyle w:val="a3"/>
        <w:rPr>
          <w:lang w:val="fr-FR"/>
        </w:rPr>
      </w:pPr>
      <w:r w:rsidRPr="001A3D2B">
        <w:rPr>
          <w:lang w:val="fr-FR"/>
        </w:rPr>
        <w:t xml:space="preserve">Pérez Matos, N.E. (2002), La bibliografía, bibliometría y las ciencias a. </w:t>
      </w:r>
      <w:r w:rsidRPr="001A3D2B">
        <w:rPr>
          <w:i/>
          <w:iCs/>
          <w:lang w:val="fr-FR"/>
        </w:rPr>
        <w:t>ACIMED</w:t>
      </w:r>
      <w:r w:rsidRPr="001A3D2B">
        <w:rPr>
          <w:lang w:val="fr-FR"/>
        </w:rPr>
        <w:t xml:space="preserve">, </w:t>
      </w:r>
      <w:r w:rsidRPr="001A3D2B">
        <w:rPr>
          <w:b/>
          <w:bCs/>
          <w:lang w:val="fr-FR"/>
        </w:rPr>
        <w:t>10</w:t>
      </w:r>
      <w:r w:rsidRPr="001A3D2B">
        <w:rPr>
          <w:lang w:val="fr-FR"/>
        </w:rPr>
        <w:t xml:space="preserve"> (3).</w:t>
      </w:r>
    </w:p>
    <w:p w:rsidR="003474F2" w:rsidRPr="001A3D2B" w:rsidRDefault="003474F2" w:rsidP="003474F2">
      <w:pPr>
        <w:pStyle w:val="a3"/>
      </w:pPr>
      <w:r w:rsidRPr="001A3D2B">
        <w:lastRenderedPageBreak/>
        <w:t xml:space="preserve">Full Text: </w:t>
      </w:r>
      <w:hyperlink r:id="rId79" w:history="1">
        <w:r w:rsidRPr="001A3D2B">
          <w:rPr>
            <w:rStyle w:val="a5"/>
          </w:rPr>
          <w:t>2002\ACIMED10-Perez.pdf</w:t>
        </w:r>
      </w:hyperlink>
    </w:p>
    <w:p w:rsidR="003474F2" w:rsidRPr="001A3D2B" w:rsidRDefault="003474F2" w:rsidP="003474F2">
      <w:pPr>
        <w:pStyle w:val="a3"/>
      </w:pPr>
      <w:r w:rsidRPr="001A3D2B">
        <w:t>Abstract:</w:t>
      </w:r>
      <w:r w:rsidR="003A1917">
        <w:t xml:space="preserve"> the </w:t>
      </w:r>
      <w:r w:rsidRPr="001A3D2B">
        <w:t>fundamental characteristics revealing</w:t>
      </w:r>
      <w:r w:rsidR="003A1917">
        <w:t xml:space="preserve"> the </w:t>
      </w:r>
      <w:r w:rsidRPr="001A3D2B">
        <w:t>upsurge</w:t>
      </w:r>
      <w:r w:rsidR="00427468">
        <w:t xml:space="preserve"> of </w:t>
      </w:r>
      <w:r w:rsidRPr="001A3D2B">
        <w:t>an incipient digital culture at present are described starting from</w:t>
      </w:r>
      <w:r w:rsidR="003A1917">
        <w:t xml:space="preserve"> the </w:t>
      </w:r>
      <w:r w:rsidRPr="001A3D2B">
        <w:t>changes taking place in</w:t>
      </w:r>
      <w:r w:rsidR="003A1917">
        <w:t xml:space="preserve"> the </w:t>
      </w:r>
      <w:r w:rsidRPr="001A3D2B">
        <w:t>so-called information society. Bibliography is presented as a new science in</w:t>
      </w:r>
      <w:r w:rsidR="003A1917">
        <w:t xml:space="preserve"> the </w:t>
      </w:r>
      <w:r w:rsidRPr="001A3D2B">
        <w:t>complex bibliological-informational world, whereas bibliometry is defined as a metric science</w:t>
      </w:r>
      <w:r w:rsidR="00A37C1D">
        <w:t>. The</w:t>
      </w:r>
      <w:r w:rsidR="003A1917">
        <w:t xml:space="preserve"> </w:t>
      </w:r>
      <w:r w:rsidRPr="001A3D2B">
        <w:t>appearance</w:t>
      </w:r>
      <w:r w:rsidR="005853A9">
        <w:t xml:space="preserve"> and </w:t>
      </w:r>
      <w:r w:rsidRPr="001A3D2B">
        <w:t>importance</w:t>
      </w:r>
      <w:r w:rsidR="00427468">
        <w:t xml:space="preserve"> of </w:t>
      </w:r>
      <w:r w:rsidRPr="001A3D2B">
        <w:t>publications in science, as well as</w:t>
      </w:r>
      <w:r w:rsidR="003A1917">
        <w:t xml:space="preserve"> the </w:t>
      </w:r>
      <w:r w:rsidRPr="001A3D2B">
        <w:t>possibilities offered by</w:t>
      </w:r>
      <w:r w:rsidR="003A1917">
        <w:t xml:space="preserve"> the </w:t>
      </w:r>
      <w:r w:rsidRPr="001A3D2B">
        <w:t>electronic formats are studied. Bibliometry is analyzed as a science that reckons from</w:t>
      </w:r>
      <w:r w:rsidR="003A1917">
        <w:t xml:space="preserve"> the </w:t>
      </w:r>
      <w:r w:rsidRPr="001A3D2B">
        <w:t>descriptive elements</w:t>
      </w:r>
      <w:r w:rsidR="00427468">
        <w:t xml:space="preserve"> of </w:t>
      </w:r>
      <w:r w:rsidRPr="001A3D2B">
        <w:t>scientific documentation</w:t>
      </w:r>
      <w:r w:rsidR="005853A9">
        <w:t xml:space="preserve"> and </w:t>
      </w:r>
      <w:r w:rsidRPr="001A3D2B">
        <w:t>from</w:t>
      </w:r>
      <w:r w:rsidR="003A1917">
        <w:t xml:space="preserve"> the </w:t>
      </w:r>
      <w:r w:rsidRPr="001A3D2B">
        <w:t>need to assess</w:t>
      </w:r>
      <w:r w:rsidR="003A1917">
        <w:t xml:space="preserve"> the </w:t>
      </w:r>
      <w:r w:rsidRPr="001A3D2B">
        <w:t>documental typology in order to attain results reflecting</w:t>
      </w:r>
      <w:r w:rsidR="003A1917">
        <w:t xml:space="preserve"> the </w:t>
      </w:r>
      <w:r w:rsidRPr="001A3D2B">
        <w:t>scientific phenomenon with more accuracy</w:t>
      </w:r>
      <w:r w:rsidR="00A37C1D">
        <w:t>. The</w:t>
      </w:r>
      <w:r w:rsidR="003A1917">
        <w:t xml:space="preserve"> </w:t>
      </w:r>
      <w:r w:rsidRPr="001A3D2B">
        <w:t>significance</w:t>
      </w:r>
      <w:r w:rsidR="00427468">
        <w:t xml:space="preserve"> of </w:t>
      </w:r>
      <w:r w:rsidRPr="001A3D2B">
        <w:t>bibliometry for information</w:t>
      </w:r>
      <w:r w:rsidR="005853A9">
        <w:t xml:space="preserve"> and </w:t>
      </w:r>
      <w:r w:rsidRPr="001A3D2B">
        <w:t>knowledge management is stressed</w:t>
      </w:r>
      <w:r w:rsidR="005853A9">
        <w:t xml:space="preserve"> and </w:t>
      </w:r>
      <w:r w:rsidR="003A1917">
        <w:t xml:space="preserve">the </w:t>
      </w:r>
      <w:r w:rsidRPr="001A3D2B">
        <w:t>librarian</w:t>
      </w:r>
      <w:r w:rsidR="00700038">
        <w:t>’</w:t>
      </w:r>
      <w:r w:rsidR="00C13DDC">
        <w:t>s</w:t>
      </w:r>
      <w:r w:rsidRPr="001A3D2B">
        <w:t xml:space="preserve"> work is considered as</w:t>
      </w:r>
      <w:r w:rsidR="003A1917">
        <w:t xml:space="preserve"> the </w:t>
      </w:r>
      <w:r w:rsidRPr="001A3D2B">
        <w:t>oldest</w:t>
      </w:r>
      <w:r w:rsidR="005853A9">
        <w:t xml:space="preserve"> and </w:t>
      </w:r>
      <w:r w:rsidRPr="001A3D2B">
        <w:t>most professional in</w:t>
      </w:r>
      <w:r w:rsidR="003A1917">
        <w:t xml:space="preserve"> the </w:t>
      </w:r>
      <w:r w:rsidRPr="001A3D2B">
        <w:t>organization</w:t>
      </w:r>
      <w:r w:rsidR="00427468">
        <w:t xml:space="preserve"> of </w:t>
      </w:r>
      <w:r w:rsidRPr="001A3D2B">
        <w:t>information.</w:t>
      </w:r>
    </w:p>
    <w:p w:rsidR="003474F2" w:rsidRPr="001A3D2B" w:rsidRDefault="003474F2" w:rsidP="003474F2">
      <w:pPr>
        <w:pStyle w:val="a3"/>
      </w:pPr>
      <w:r w:rsidRPr="001A3D2B">
        <w:t>Keywords: Procesamiento Automatizado de Datos, Bibliometria, Bibliografías, Ciencias de la Información, Firma Editora, Automatic Data Processing, Bibliometrics, Bibliography, Information Science, Publishing</w:t>
      </w:r>
    </w:p>
    <w:p w:rsidR="003474F2" w:rsidRPr="001A3D2B" w:rsidRDefault="003474F2" w:rsidP="003474F2">
      <w:pPr>
        <w:pStyle w:val="a3"/>
      </w:pPr>
      <w:r w:rsidRPr="001A3D2B">
        <w:t>Araújo Ruiz, J.A.</w:t>
      </w:r>
      <w:r w:rsidR="005853A9">
        <w:t xml:space="preserve"> and </w:t>
      </w:r>
      <w:r w:rsidRPr="001A3D2B">
        <w:t xml:space="preserve">Arencibia Jorge, R. (2002), Informetría, bibliometría y cienciometría: Aspectos teórico-prácticos. </w:t>
      </w:r>
      <w:r w:rsidRPr="001A3D2B">
        <w:rPr>
          <w:i/>
          <w:iCs/>
        </w:rPr>
        <w:t>ACIMED</w:t>
      </w:r>
      <w:r w:rsidRPr="001A3D2B">
        <w:t xml:space="preserve">, </w:t>
      </w:r>
      <w:r w:rsidRPr="001A3D2B">
        <w:rPr>
          <w:b/>
          <w:bCs/>
        </w:rPr>
        <w:t>10</w:t>
      </w:r>
      <w:r w:rsidRPr="001A3D2B">
        <w:t xml:space="preserve"> (4).</w:t>
      </w:r>
    </w:p>
    <w:p w:rsidR="003474F2" w:rsidRPr="001A3D2B" w:rsidRDefault="003474F2" w:rsidP="003474F2">
      <w:pPr>
        <w:pStyle w:val="a3"/>
      </w:pPr>
      <w:r w:rsidRPr="001A3D2B">
        <w:t xml:space="preserve">Full Text: </w:t>
      </w:r>
      <w:hyperlink r:id="rId80" w:history="1">
        <w:r w:rsidRPr="001A3D2B">
          <w:rPr>
            <w:rStyle w:val="a5"/>
          </w:rPr>
          <w:t>2002\ACIMED10-Araujo.pdf</w:t>
        </w:r>
      </w:hyperlink>
    </w:p>
    <w:p w:rsidR="003474F2" w:rsidRPr="001A3D2B" w:rsidRDefault="003474F2" w:rsidP="003474F2">
      <w:pPr>
        <w:pStyle w:val="a3"/>
      </w:pPr>
      <w:r w:rsidRPr="001A3D2B">
        <w:t>Abstract: Mathematical methods have been applied to</w:t>
      </w:r>
      <w:r w:rsidR="003A1917">
        <w:t xml:space="preserve"> the </w:t>
      </w:r>
      <w:r w:rsidRPr="001A3D2B">
        <w:t>study</w:t>
      </w:r>
      <w:r w:rsidR="00427468">
        <w:t xml:space="preserve"> of </w:t>
      </w:r>
      <w:r w:rsidRPr="001A3D2B">
        <w:t>scientific literature since</w:t>
      </w:r>
      <w:r w:rsidR="003A1917">
        <w:t xml:space="preserve"> the </w:t>
      </w:r>
      <w:r w:rsidRPr="001A3D2B">
        <w:t>beginning</w:t>
      </w:r>
      <w:r w:rsidR="00427468">
        <w:t xml:space="preserve"> of </w:t>
      </w:r>
      <w:r w:rsidR="003A1917">
        <w:t xml:space="preserve">the </w:t>
      </w:r>
      <w:r w:rsidRPr="001A3D2B">
        <w:t>last century</w:t>
      </w:r>
      <w:r w:rsidR="00A37C1D">
        <w:t>. The</w:t>
      </w:r>
      <w:r w:rsidRPr="001A3D2B">
        <w:t>y gave origin to bibliometry</w:t>
      </w:r>
      <w:r w:rsidR="00A37C1D">
        <w:t>. The</w:t>
      </w:r>
      <w:r w:rsidR="003A1917">
        <w:t xml:space="preserve"> </w:t>
      </w:r>
      <w:r w:rsidRPr="001A3D2B">
        <w:t>eagerness for measuring</w:t>
      </w:r>
      <w:r w:rsidR="003A1917">
        <w:t xml:space="preserve"> the </w:t>
      </w:r>
      <w:r w:rsidRPr="001A3D2B">
        <w:t>results</w:t>
      </w:r>
      <w:r w:rsidR="00427468">
        <w:t xml:space="preserve"> of </w:t>
      </w:r>
      <w:r w:rsidRPr="001A3D2B">
        <w:t>sciences in countries</w:t>
      </w:r>
      <w:r w:rsidR="005853A9">
        <w:t xml:space="preserve"> and </w:t>
      </w:r>
      <w:r w:rsidRPr="001A3D2B">
        <w:t>organizations made possible</w:t>
      </w:r>
      <w:r w:rsidR="003A1917">
        <w:t xml:space="preserve"> the </w:t>
      </w:r>
      <w:r w:rsidRPr="001A3D2B">
        <w:t>appearance</w:t>
      </w:r>
      <w:r w:rsidR="00427468">
        <w:t xml:space="preserve"> of </w:t>
      </w:r>
      <w:r w:rsidRPr="001A3D2B">
        <w:t>informetry</w:t>
      </w:r>
      <w:r w:rsidR="005853A9">
        <w:t xml:space="preserve"> and </w:t>
      </w:r>
      <w:r w:rsidRPr="001A3D2B">
        <w:t>sciencetometrics</w:t>
      </w:r>
      <w:r w:rsidR="00A37C1D">
        <w:t>. The</w:t>
      </w:r>
      <w:r w:rsidRPr="001A3D2B">
        <w:t>re is no doubt about</w:t>
      </w:r>
      <w:r w:rsidR="003A1917">
        <w:t xml:space="preserve"> the </w:t>
      </w:r>
      <w:r w:rsidRPr="001A3D2B">
        <w:t>existance</w:t>
      </w:r>
      <w:r w:rsidR="00427468">
        <w:t xml:space="preserve"> of </w:t>
      </w:r>
      <w:r w:rsidRPr="001A3D2B">
        <w:t>similar characteristics among these 3 disciplines; however, each</w:t>
      </w:r>
      <w:r w:rsidR="00427468">
        <w:t xml:space="preserve"> of </w:t>
      </w:r>
      <w:r w:rsidRPr="001A3D2B">
        <w:t>them has its specific object</w:t>
      </w:r>
      <w:r w:rsidR="005853A9">
        <w:t xml:space="preserve"> and </w:t>
      </w:r>
      <w:r w:rsidRPr="001A3D2B">
        <w:t>topic</w:t>
      </w:r>
      <w:r w:rsidR="00427468">
        <w:t xml:space="preserve"> of </w:t>
      </w:r>
      <w:r w:rsidRPr="001A3D2B">
        <w:t>study. This paper tries to define in a synthetized way</w:t>
      </w:r>
      <w:r w:rsidR="003A1917">
        <w:t xml:space="preserve"> the </w:t>
      </w:r>
      <w:r w:rsidRPr="001A3D2B">
        <w:t>concept</w:t>
      </w:r>
      <w:r w:rsidR="005853A9">
        <w:t xml:space="preserve"> and </w:t>
      </w:r>
      <w:r w:rsidRPr="001A3D2B">
        <w:t>object</w:t>
      </w:r>
      <w:r w:rsidR="00427468">
        <w:t xml:space="preserve"> of </w:t>
      </w:r>
      <w:r w:rsidRPr="001A3D2B">
        <w:t>these disciplines as well as some theoretical</w:t>
      </w:r>
      <w:r w:rsidR="005853A9">
        <w:t xml:space="preserve"> and </w:t>
      </w:r>
      <w:r w:rsidRPr="001A3D2B">
        <w:t>practical aspects</w:t>
      </w:r>
      <w:r w:rsidR="00427468">
        <w:t xml:space="preserve"> of </w:t>
      </w:r>
      <w:r w:rsidR="003A1917">
        <w:t xml:space="preserve">the </w:t>
      </w:r>
      <w:r w:rsidRPr="001A3D2B">
        <w:t>sciences to which they serve as instruments.</w:t>
      </w:r>
    </w:p>
    <w:p w:rsidR="003474F2" w:rsidRPr="001A3D2B" w:rsidRDefault="003474F2" w:rsidP="003474F2">
      <w:pPr>
        <w:pStyle w:val="a3"/>
      </w:pPr>
      <w:r w:rsidRPr="001A3D2B">
        <w:rPr>
          <w:lang w:val="fr-FR"/>
        </w:rPr>
        <w:t>Keywords: Scientometrics, Informetrics, Bibliometrics, Mathematical Models, Information Science, Bibliometría, Modelos Matemáticos, Cienias de la Información</w:t>
      </w:r>
    </w:p>
    <w:p w:rsidR="003474F2" w:rsidRPr="001A3D2B" w:rsidRDefault="003474F2" w:rsidP="003474F2">
      <w:pPr>
        <w:pStyle w:val="a3"/>
      </w:pPr>
      <w:r w:rsidRPr="001A3D2B">
        <w:rPr>
          <w:lang w:val="fr-FR"/>
        </w:rPr>
        <w:t>Perezleo Solórzano, L., Arencibia Jorge, R., Conill González, C., Achón Veloz, G.</w:t>
      </w:r>
      <w:r w:rsidR="005853A9">
        <w:rPr>
          <w:lang w:val="fr-FR"/>
        </w:rPr>
        <w:t xml:space="preserve"> and </w:t>
      </w:r>
      <w:r w:rsidRPr="001A3D2B">
        <w:rPr>
          <w:lang w:val="fr-FR"/>
        </w:rPr>
        <w:t xml:space="preserve">Araújo Ruiz, J.A. (2003), Impacto de la Bioinformática en las ciencias biomédicas. </w:t>
      </w:r>
      <w:r w:rsidRPr="001A3D2B">
        <w:rPr>
          <w:i/>
          <w:iCs/>
        </w:rPr>
        <w:t>ACIMED</w:t>
      </w:r>
      <w:r w:rsidRPr="001A3D2B">
        <w:t xml:space="preserve">, </w:t>
      </w:r>
      <w:r w:rsidRPr="001A3D2B">
        <w:rPr>
          <w:b/>
          <w:bCs/>
        </w:rPr>
        <w:t>11</w:t>
      </w:r>
      <w:r w:rsidRPr="001A3D2B">
        <w:t xml:space="preserve"> (4).</w:t>
      </w:r>
    </w:p>
    <w:p w:rsidR="003474F2" w:rsidRPr="001A3D2B" w:rsidRDefault="003474F2" w:rsidP="003474F2">
      <w:pPr>
        <w:pStyle w:val="a3"/>
      </w:pPr>
      <w:r w:rsidRPr="001A3D2B">
        <w:t xml:space="preserve">Full Text: </w:t>
      </w:r>
      <w:hyperlink r:id="rId81" w:history="1">
        <w:r w:rsidRPr="001A3D2B">
          <w:rPr>
            <w:rStyle w:val="a5"/>
          </w:rPr>
          <w:t>2003\ACIMED11-Perezleo.pdf</w:t>
        </w:r>
      </w:hyperlink>
    </w:p>
    <w:p w:rsidR="003474F2" w:rsidRPr="001A3D2B" w:rsidRDefault="003474F2" w:rsidP="003474F2">
      <w:pPr>
        <w:pStyle w:val="a3"/>
      </w:pPr>
      <w:r w:rsidRPr="001A3D2B">
        <w:t>Abstract:</w:t>
      </w:r>
      <w:r w:rsidR="003A1917">
        <w:t xml:space="preserve"> the </w:t>
      </w:r>
      <w:r w:rsidRPr="001A3D2B">
        <w:t>advances reached by</w:t>
      </w:r>
      <w:r w:rsidR="003A1917">
        <w:t xml:space="preserve"> the </w:t>
      </w:r>
      <w:r w:rsidRPr="001A3D2B">
        <w:t>genetic engineering</w:t>
      </w:r>
      <w:r w:rsidR="005853A9">
        <w:t xml:space="preserve"> and </w:t>
      </w:r>
      <w:r w:rsidR="003A1917">
        <w:t xml:space="preserve">the </w:t>
      </w:r>
      <w:r w:rsidRPr="001A3D2B">
        <w:t>development</w:t>
      </w:r>
      <w:r w:rsidR="00427468">
        <w:t xml:space="preserve"> of </w:t>
      </w:r>
      <w:r w:rsidRPr="001A3D2B">
        <w:t>new information technologies during</w:t>
      </w:r>
      <w:r w:rsidR="003A1917">
        <w:t xml:space="preserve"> the </w:t>
      </w:r>
      <w:r w:rsidRPr="001A3D2B">
        <w:t>last decade, conditioned</w:t>
      </w:r>
      <w:r w:rsidR="003A1917">
        <w:t xml:space="preserve"> the </w:t>
      </w:r>
      <w:r w:rsidRPr="001A3D2B">
        <w:t>emergence</w:t>
      </w:r>
      <w:r w:rsidR="00427468">
        <w:t xml:space="preserve"> of </w:t>
      </w:r>
      <w:r w:rsidRPr="001A3D2B">
        <w:t>a discipline that has created indissoluble bonds between</w:t>
      </w:r>
      <w:r w:rsidR="003A1917">
        <w:t xml:space="preserve"> the </w:t>
      </w:r>
      <w:r w:rsidRPr="001A3D2B">
        <w:t>Computer Sciences</w:t>
      </w:r>
      <w:r w:rsidR="005853A9">
        <w:t xml:space="preserve"> and </w:t>
      </w:r>
      <w:r w:rsidR="003A1917">
        <w:t xml:space="preserve">the </w:t>
      </w:r>
      <w:r w:rsidRPr="001A3D2B">
        <w:t>Biological Sciences:</w:t>
      </w:r>
      <w:r w:rsidR="003A1917">
        <w:t xml:space="preserve"> the </w:t>
      </w:r>
      <w:r w:rsidRPr="001A3D2B">
        <w:t>Bioinformatics</w:t>
      </w:r>
      <w:r w:rsidR="00A37C1D">
        <w:t>. The</w:t>
      </w:r>
      <w:r w:rsidR="003A1917">
        <w:t xml:space="preserve"> </w:t>
      </w:r>
      <w:r w:rsidRPr="001A3D2B">
        <w:t>present work demonstrates</w:t>
      </w:r>
      <w:r w:rsidR="003A1917">
        <w:t xml:space="preserve"> the </w:t>
      </w:r>
      <w:r w:rsidRPr="001A3D2B">
        <w:t>impact</w:t>
      </w:r>
      <w:r w:rsidR="00427468">
        <w:t xml:space="preserve"> of </w:t>
      </w:r>
      <w:r w:rsidR="003A1917">
        <w:t xml:space="preserve">the </w:t>
      </w:r>
      <w:r w:rsidRPr="001A3D2B">
        <w:t>Bioinformatics in</w:t>
      </w:r>
      <w:r w:rsidR="003A1917">
        <w:t xml:space="preserve"> the </w:t>
      </w:r>
      <w:r w:rsidRPr="001A3D2B">
        <w:t>Medical Sciences, through</w:t>
      </w:r>
      <w:r w:rsidR="003A1917">
        <w:t xml:space="preserve"> the </w:t>
      </w:r>
      <w:r w:rsidRPr="001A3D2B">
        <w:t>bibliometric analysis</w:t>
      </w:r>
      <w:r w:rsidR="00427468">
        <w:t xml:space="preserve"> of </w:t>
      </w:r>
      <w:r w:rsidR="00D5664A">
        <w:t>MEDLINE</w:t>
      </w:r>
      <w:r w:rsidRPr="001A3D2B">
        <w:t>,</w:t>
      </w:r>
      <w:r w:rsidR="003A1917">
        <w:t xml:space="preserve"> the </w:t>
      </w:r>
      <w:r w:rsidRPr="001A3D2B">
        <w:t>most important database</w:t>
      </w:r>
      <w:r w:rsidR="00427468">
        <w:t xml:space="preserve"> of </w:t>
      </w:r>
      <w:r w:rsidR="003A1917">
        <w:t xml:space="preserve">the </w:t>
      </w:r>
      <w:r w:rsidRPr="001A3D2B">
        <w:t xml:space="preserve">biomedical environment </w:t>
      </w:r>
      <w:r w:rsidRPr="001A3D2B">
        <w:lastRenderedPageBreak/>
        <w:t>at</w:t>
      </w:r>
      <w:r w:rsidR="003A1917">
        <w:t xml:space="preserve"> the </w:t>
      </w:r>
      <w:r w:rsidRPr="001A3D2B">
        <w:t>present time</w:t>
      </w:r>
      <w:r w:rsidR="00A37C1D">
        <w:t>. The</w:t>
      </w:r>
      <w:r w:rsidR="003A1917">
        <w:t xml:space="preserve"> </w:t>
      </w:r>
      <w:r w:rsidRPr="001A3D2B">
        <w:t>main applications</w:t>
      </w:r>
      <w:r w:rsidR="00427468">
        <w:t xml:space="preserve"> of </w:t>
      </w:r>
      <w:r w:rsidRPr="001A3D2B">
        <w:t>this discipline in</w:t>
      </w:r>
      <w:r w:rsidR="003A1917">
        <w:t xml:space="preserve"> the </w:t>
      </w:r>
      <w:r w:rsidRPr="001A3D2B">
        <w:t xml:space="preserve">registrations obtained in </w:t>
      </w:r>
      <w:r w:rsidR="00D5664A">
        <w:t>MEDLINE</w:t>
      </w:r>
      <w:r w:rsidRPr="001A3D2B">
        <w:t xml:space="preserve"> were directed to</w:t>
      </w:r>
      <w:r w:rsidR="003A1917">
        <w:t xml:space="preserve"> the </w:t>
      </w:r>
      <w:r w:rsidRPr="001A3D2B">
        <w:t>data management in</w:t>
      </w:r>
      <w:r w:rsidR="003A1917">
        <w:t xml:space="preserve"> the </w:t>
      </w:r>
      <w:r w:rsidRPr="001A3D2B">
        <w:t>laboratory,</w:t>
      </w:r>
      <w:r w:rsidR="003A1917">
        <w:t xml:space="preserve"> the </w:t>
      </w:r>
      <w:r w:rsidRPr="001A3D2B">
        <w:t>automation</w:t>
      </w:r>
      <w:r w:rsidR="00427468">
        <w:t xml:space="preserve"> of </w:t>
      </w:r>
      <w:r w:rsidRPr="001A3D2B">
        <w:t>experiments,</w:t>
      </w:r>
      <w:r w:rsidR="003A1917">
        <w:t xml:space="preserve"> the </w:t>
      </w:r>
      <w:r w:rsidRPr="001A3D2B">
        <w:t>assembling</w:t>
      </w:r>
      <w:r w:rsidR="00427468">
        <w:t xml:space="preserve"> of </w:t>
      </w:r>
      <w:r w:rsidRPr="001A3D2B">
        <w:t>contiguous sequences,</w:t>
      </w:r>
      <w:r w:rsidR="003A1917">
        <w:t xml:space="preserve"> the </w:t>
      </w:r>
      <w:r w:rsidRPr="001A3D2B">
        <w:t>prediction</w:t>
      </w:r>
      <w:r w:rsidR="00427468">
        <w:t xml:space="preserve"> of </w:t>
      </w:r>
      <w:r w:rsidRPr="001A3D2B">
        <w:t>functional domains in gene sequences,</w:t>
      </w:r>
      <w:r w:rsidR="003A1917">
        <w:t xml:space="preserve"> the </w:t>
      </w:r>
      <w:r w:rsidRPr="001A3D2B">
        <w:t>alignment</w:t>
      </w:r>
      <w:r w:rsidR="00427468">
        <w:t xml:space="preserve"> of </w:t>
      </w:r>
      <w:r w:rsidRPr="001A3D2B">
        <w:t>sequences,</w:t>
      </w:r>
      <w:r w:rsidR="003A1917">
        <w:t xml:space="preserve"> the </w:t>
      </w:r>
      <w:r w:rsidRPr="001A3D2B">
        <w:t>searches in databases</w:t>
      </w:r>
      <w:r w:rsidR="00427468">
        <w:t xml:space="preserve"> of </w:t>
      </w:r>
      <w:r w:rsidRPr="001A3D2B">
        <w:t>structures,</w:t>
      </w:r>
      <w:r w:rsidR="003A1917">
        <w:t xml:space="preserve"> the </w:t>
      </w:r>
      <w:r w:rsidRPr="001A3D2B">
        <w:t>structure determination</w:t>
      </w:r>
      <w:r w:rsidR="005853A9">
        <w:t xml:space="preserve"> and </w:t>
      </w:r>
      <w:r w:rsidRPr="001A3D2B">
        <w:t>prediction</w:t>
      </w:r>
      <w:r w:rsidR="00427468">
        <w:t xml:space="preserve"> of </w:t>
      </w:r>
      <w:r w:rsidRPr="001A3D2B">
        <w:t>macro-molecules,</w:t>
      </w:r>
      <w:r w:rsidR="003A1917">
        <w:t xml:space="preserve"> the </w:t>
      </w:r>
      <w:r w:rsidRPr="001A3D2B">
        <w:t>molecular evolution</w:t>
      </w:r>
      <w:r w:rsidR="005853A9">
        <w:t xml:space="preserve"> and </w:t>
      </w:r>
      <w:r w:rsidR="003A1917">
        <w:t xml:space="preserve">the </w:t>
      </w:r>
      <w:r w:rsidRPr="001A3D2B">
        <w:t>phylogenetic trees</w:t>
      </w:r>
      <w:r w:rsidR="00A37C1D">
        <w:t>. The</w:t>
      </w:r>
      <w:r w:rsidR="003A1917">
        <w:t xml:space="preserve"> </w:t>
      </w:r>
      <w:r w:rsidRPr="001A3D2B">
        <w:t>medical specialties mostly influenced by</w:t>
      </w:r>
      <w:r w:rsidR="003A1917">
        <w:t xml:space="preserve"> the </w:t>
      </w:r>
      <w:r w:rsidRPr="001A3D2B">
        <w:t>Bioinformatics were</w:t>
      </w:r>
      <w:r w:rsidR="003A1917">
        <w:t xml:space="preserve"> the </w:t>
      </w:r>
      <w:r w:rsidRPr="001A3D2B">
        <w:t>Medical Genetics, Clinical Biochemistry, Pharmacology, Neurosciences, Medical Statistic, Immunology, Physiology</w:t>
      </w:r>
      <w:r w:rsidR="005853A9">
        <w:t xml:space="preserve"> and </w:t>
      </w:r>
      <w:r w:rsidRPr="001A3D2B">
        <w:t>Oncology.</w:t>
      </w:r>
    </w:p>
    <w:p w:rsidR="003474F2" w:rsidRPr="001A3D2B" w:rsidRDefault="003474F2" w:rsidP="003474F2">
      <w:pPr>
        <w:pStyle w:val="a3"/>
      </w:pPr>
      <w:r w:rsidRPr="001A3D2B">
        <w:t xml:space="preserve">Keywords: Informatica Médica, Biologia Computacional, Bibliometria, Tecnologia de la Informacion, Medical Informatics, Computational Biology, </w:t>
      </w:r>
      <w:r w:rsidR="00D5664A">
        <w:t>MEDLINE</w:t>
      </w:r>
      <w:r w:rsidRPr="001A3D2B">
        <w:t>, Bibliometrics, Medical Informatics, Information Technology</w:t>
      </w:r>
    </w:p>
    <w:p w:rsidR="003474F2" w:rsidRPr="001A3D2B" w:rsidRDefault="003474F2" w:rsidP="003474F2">
      <w:pPr>
        <w:pStyle w:val="a3"/>
      </w:pPr>
      <w:r w:rsidRPr="001A3D2B">
        <w:t>López Espinosa, J.A.</w:t>
      </w:r>
      <w:r w:rsidR="005853A9">
        <w:t xml:space="preserve"> and </w:t>
      </w:r>
      <w:r w:rsidRPr="001A3D2B">
        <w:t xml:space="preserve">Díaz </w:t>
      </w:r>
      <w:smartTag w:uri="urn:schemas-microsoft-com:office:smarttags" w:element="place">
        <w:smartTag w:uri="urn:schemas-microsoft-com:office:smarttags" w:element="State">
          <w:r w:rsidRPr="001A3D2B">
            <w:t>del</w:t>
          </w:r>
        </w:smartTag>
      </w:smartTag>
      <w:r w:rsidRPr="001A3D2B">
        <w:t xml:space="preserve"> Campo, S. (2003), Introducción al estudio bibliométrico de la bibliografía activa de Carlos J. Finlay. </w:t>
      </w:r>
      <w:r w:rsidRPr="001A3D2B">
        <w:rPr>
          <w:i/>
          <w:iCs/>
        </w:rPr>
        <w:t>ACIMED</w:t>
      </w:r>
      <w:r w:rsidRPr="001A3D2B">
        <w:t xml:space="preserve">, </w:t>
      </w:r>
      <w:r w:rsidRPr="001A3D2B">
        <w:rPr>
          <w:b/>
          <w:bCs/>
        </w:rPr>
        <w:t>11</w:t>
      </w:r>
      <w:r w:rsidRPr="001A3D2B">
        <w:t xml:space="preserve"> (5).</w:t>
      </w:r>
    </w:p>
    <w:p w:rsidR="003474F2" w:rsidRPr="001A3D2B" w:rsidRDefault="003474F2" w:rsidP="003474F2">
      <w:pPr>
        <w:pStyle w:val="a3"/>
      </w:pPr>
      <w:r w:rsidRPr="001A3D2B">
        <w:t xml:space="preserve">Full Text: </w:t>
      </w:r>
      <w:hyperlink r:id="rId82" w:history="1">
        <w:r w:rsidRPr="001A3D2B">
          <w:rPr>
            <w:rStyle w:val="a5"/>
          </w:rPr>
          <w:t>2003\ACIMED11-Lopez.pdf</w:t>
        </w:r>
      </w:hyperlink>
    </w:p>
    <w:p w:rsidR="003474F2" w:rsidRPr="001A3D2B" w:rsidRDefault="003474F2" w:rsidP="003474F2">
      <w:pPr>
        <w:pStyle w:val="a3"/>
      </w:pPr>
      <w:r w:rsidRPr="001A3D2B">
        <w:t>Abstract:</w:t>
      </w:r>
      <w:r w:rsidR="003A1917">
        <w:t xml:space="preserve"> the </w:t>
      </w:r>
      <w:r w:rsidRPr="001A3D2B">
        <w:t>results from</w:t>
      </w:r>
      <w:r w:rsidR="003A1917">
        <w:t xml:space="preserve"> the </w:t>
      </w:r>
      <w:r w:rsidRPr="001A3D2B">
        <w:t>retrospective</w:t>
      </w:r>
      <w:r w:rsidR="005853A9">
        <w:t xml:space="preserve"> and </w:t>
      </w:r>
      <w:r w:rsidRPr="001A3D2B">
        <w:t>descriptive study aimed at knowing</w:t>
      </w:r>
      <w:r w:rsidR="003A1917">
        <w:t xml:space="preserve"> the </w:t>
      </w:r>
      <w:r w:rsidRPr="001A3D2B">
        <w:t>features</w:t>
      </w:r>
      <w:r w:rsidR="00427468">
        <w:t xml:space="preserve"> of </w:t>
      </w:r>
      <w:r w:rsidRPr="001A3D2B">
        <w:t>active bibliography</w:t>
      </w:r>
      <w:r w:rsidR="00427468">
        <w:t xml:space="preserve"> of </w:t>
      </w:r>
      <w:r w:rsidRPr="001A3D2B">
        <w:t>Dr Carlos J Finlay published in journal articles are exposed. A procedure</w:t>
      </w:r>
      <w:r w:rsidR="00427468">
        <w:t xml:space="preserve"> of </w:t>
      </w:r>
      <w:r w:rsidRPr="001A3D2B">
        <w:t>bibliometric profile analysis was carried out in which</w:t>
      </w:r>
      <w:r w:rsidR="003A1917">
        <w:t xml:space="preserve"> the </w:t>
      </w:r>
      <w:r w:rsidRPr="001A3D2B">
        <w:t>folliwing indicators were taking into account:</w:t>
      </w:r>
      <w:r w:rsidR="003A1917">
        <w:t xml:space="preserve"> the </w:t>
      </w:r>
      <w:r w:rsidRPr="001A3D2B">
        <w:t>temporary extent</w:t>
      </w:r>
      <w:r w:rsidR="00427468">
        <w:t xml:space="preserve"> of </w:t>
      </w:r>
      <w:r w:rsidRPr="001A3D2B">
        <w:t>his scientific production,</w:t>
      </w:r>
      <w:r w:rsidR="003A1917">
        <w:t xml:space="preserve"> the </w:t>
      </w:r>
      <w:r w:rsidRPr="001A3D2B">
        <w:t>researches published in Cuban</w:t>
      </w:r>
      <w:r w:rsidR="005853A9">
        <w:t xml:space="preserve"> and </w:t>
      </w:r>
      <w:r w:rsidRPr="001A3D2B">
        <w:t>foreing journals,</w:t>
      </w:r>
      <w:r w:rsidR="003A1917">
        <w:t xml:space="preserve"> the </w:t>
      </w:r>
      <w:r w:rsidRPr="001A3D2B">
        <w:t>articles he wrote as sole author</w:t>
      </w:r>
      <w:r w:rsidR="005853A9">
        <w:t xml:space="preserve"> and </w:t>
      </w:r>
      <w:r w:rsidRPr="001A3D2B">
        <w:t>in colaboration, his original contribution</w:t>
      </w:r>
      <w:r w:rsidR="00700038">
        <w:t>’</w:t>
      </w:r>
      <w:r w:rsidR="00C13DDC">
        <w:t>s</w:t>
      </w:r>
      <w:r w:rsidRPr="001A3D2B">
        <w:t xml:space="preserve"> in Spanish</w:t>
      </w:r>
      <w:r w:rsidR="005853A9">
        <w:t xml:space="preserve"> and </w:t>
      </w:r>
      <w:r w:rsidRPr="001A3D2B">
        <w:t>other languages, his translations</w:t>
      </w:r>
      <w:r w:rsidR="005853A9">
        <w:t xml:space="preserve"> and </w:t>
      </w:r>
      <w:r w:rsidR="003A1917">
        <w:t xml:space="preserve">the </w:t>
      </w:r>
      <w:r w:rsidRPr="001A3D2B">
        <w:t>topics he discussed as a publicist. From 1864 to 1912, Finlay wrote a total</w:t>
      </w:r>
      <w:r w:rsidR="00427468">
        <w:t xml:space="preserve"> of </w:t>
      </w:r>
      <w:r w:rsidRPr="001A3D2B">
        <w:t>187 articles published in 11 Cuban journals</w:t>
      </w:r>
      <w:r w:rsidR="005853A9">
        <w:t xml:space="preserve"> and </w:t>
      </w:r>
      <w:r w:rsidRPr="001A3D2B">
        <w:t>9 foreing journals, 168</w:t>
      </w:r>
      <w:r w:rsidR="00427468">
        <w:t xml:space="preserve"> of </w:t>
      </w:r>
      <w:r w:rsidRPr="001A3D2B">
        <w:t>them as sole author.</w:t>
      </w:r>
      <w:r w:rsidR="00427468">
        <w:t xml:space="preserve"> of </w:t>
      </w:r>
      <w:r w:rsidRPr="001A3D2B">
        <w:t>a total numbers</w:t>
      </w:r>
      <w:r w:rsidR="00427468">
        <w:t xml:space="preserve"> of </w:t>
      </w:r>
      <w:r w:rsidRPr="001A3D2B">
        <w:t>182 original works, 163 were written in Spanish</w:t>
      </w:r>
      <w:r w:rsidR="00A37C1D">
        <w:t>. The</w:t>
      </w:r>
      <w:r w:rsidR="003A1917">
        <w:t xml:space="preserve"> </w:t>
      </w:r>
      <w:r w:rsidRPr="001A3D2B">
        <w:t>other original works were written in English</w:t>
      </w:r>
      <w:r w:rsidR="005853A9">
        <w:t xml:space="preserve"> and </w:t>
      </w:r>
      <w:r w:rsidRPr="001A3D2B">
        <w:t>Germany as well as 5 translation</w:t>
      </w:r>
      <w:r w:rsidR="00427468">
        <w:t xml:space="preserve"> of </w:t>
      </w:r>
      <w:r w:rsidRPr="001A3D2B">
        <w:t>texts from English</w:t>
      </w:r>
      <w:r w:rsidR="005853A9">
        <w:t xml:space="preserve"> and </w:t>
      </w:r>
      <w:r w:rsidRPr="001A3D2B">
        <w:t>French</w:t>
      </w:r>
      <w:r w:rsidR="00A37C1D">
        <w:t>. The</w:t>
      </w:r>
      <w:r w:rsidR="003A1917">
        <w:t xml:space="preserve"> </w:t>
      </w:r>
      <w:r w:rsidRPr="001A3D2B">
        <w:t>most referred topics were yellow fever, cholera</w:t>
      </w:r>
      <w:r w:rsidR="005853A9">
        <w:t xml:space="preserve"> and </w:t>
      </w:r>
      <w:r w:rsidRPr="001A3D2B">
        <w:t>eye diseases</w:t>
      </w:r>
      <w:r w:rsidR="00A37C1D">
        <w:t>. The</w:t>
      </w:r>
      <w:r w:rsidR="003A1917">
        <w:t xml:space="preserve"> </w:t>
      </w:r>
      <w:r w:rsidRPr="001A3D2B">
        <w:t>possible usefulness</w:t>
      </w:r>
      <w:r w:rsidR="00427468">
        <w:t xml:space="preserve"> of </w:t>
      </w:r>
      <w:r w:rsidRPr="001A3D2B">
        <w:t>this original study as a reference for further researches on Finlaist literature is established</w:t>
      </w:r>
      <w:r w:rsidR="005853A9">
        <w:t xml:space="preserve"> and </w:t>
      </w:r>
      <w:r w:rsidR="003A1917">
        <w:t xml:space="preserve">the </w:t>
      </w:r>
      <w:r w:rsidRPr="001A3D2B">
        <w:t>encouragement for</w:t>
      </w:r>
      <w:r w:rsidR="003A1917">
        <w:t xml:space="preserve"> the </w:t>
      </w:r>
      <w:r w:rsidRPr="001A3D2B">
        <w:t>examination</w:t>
      </w:r>
      <w:r w:rsidR="00427468">
        <w:t xml:space="preserve"> of </w:t>
      </w:r>
      <w:r w:rsidRPr="001A3D2B">
        <w:t>other remarkable features</w:t>
      </w:r>
      <w:r w:rsidR="00427468">
        <w:t xml:space="preserve"> of </w:t>
      </w:r>
      <w:r w:rsidRPr="001A3D2B">
        <w:t>Cuban medical bibliography that remains unexplored.</w:t>
      </w:r>
    </w:p>
    <w:p w:rsidR="003474F2" w:rsidRPr="001A3D2B" w:rsidRDefault="003474F2" w:rsidP="003474F2">
      <w:pPr>
        <w:pStyle w:val="a3"/>
      </w:pPr>
      <w:r w:rsidRPr="001A3D2B">
        <w:t>Keywords: Estudios Retrospectivos, Estudios Descriptivos, Personajes, Bibliografia de Medicina, Fiebre Amarilla, Colera, Oftalmopatias, Bibliometria, Produccion Cientifica, Bibliografia de Medicina/Historia, Bibliografia Retrospectiva, Retrospective Studies, Epidemiology, Descriptive, Famous Persons, Bibliography</w:t>
      </w:r>
      <w:r w:rsidR="00427468">
        <w:t xml:space="preserve"> of </w:t>
      </w:r>
      <w:r w:rsidRPr="001A3D2B">
        <w:t>Medicine, Yellow Fever, Cholera, Eye Diseases, Scientific Production, Bibliography</w:t>
      </w:r>
      <w:r w:rsidR="00427468">
        <w:t xml:space="preserve"> of </w:t>
      </w:r>
      <w:r w:rsidRPr="001A3D2B">
        <w:t>Medicine/History, Bibliography, Bibliometrics, Cuba</w:t>
      </w:r>
    </w:p>
    <w:p w:rsidR="003474F2" w:rsidRPr="001A3D2B" w:rsidRDefault="003474F2" w:rsidP="003474F2">
      <w:pPr>
        <w:pStyle w:val="a3"/>
      </w:pPr>
      <w:r w:rsidRPr="001A3D2B">
        <w:t>Cañedo Andalia, R., Arencibia Jorge, R., Perezleo Solórzano, L.</w:t>
      </w:r>
      <w:r w:rsidR="005853A9">
        <w:t xml:space="preserve"> and </w:t>
      </w:r>
      <w:r w:rsidRPr="001A3D2B">
        <w:t xml:space="preserve">Araújo Ruiz, J.A. (2004), </w:t>
      </w:r>
      <w:smartTag w:uri="urn:schemas-microsoft-com:office:smarttags" w:element="PersonName">
        <w:smartTagPr>
          <w:attr w:name="ProductID" w:val="La Colaboraci￳n Cochrane"/>
        </w:smartTagPr>
        <w:r w:rsidRPr="001A3D2B">
          <w:t>La Colaboración Cochrane</w:t>
        </w:r>
      </w:smartTag>
      <w:r w:rsidRPr="001A3D2B">
        <w:t xml:space="preserve"> en </w:t>
      </w:r>
      <w:smartTag w:uri="urn:schemas-microsoft-com:office:smarttags" w:element="place">
        <w:smartTag w:uri="urn:schemas-microsoft-com:office:smarttags" w:element="country-region">
          <w:r w:rsidRPr="001A3D2B">
            <w:t>Cuba</w:t>
          </w:r>
        </w:smartTag>
      </w:smartTag>
      <w:r w:rsidRPr="001A3D2B">
        <w:t xml:space="preserve">. </w:t>
      </w:r>
      <w:r w:rsidRPr="001A3D2B">
        <w:rPr>
          <w:lang w:val="fr-FR"/>
        </w:rPr>
        <w:t xml:space="preserve">Parte VI. Producción de guías para la práctica clínica: Una visión desde la perspectiva de la base de datos </w:t>
      </w:r>
      <w:r w:rsidR="00D5664A">
        <w:rPr>
          <w:lang w:val="fr-FR"/>
        </w:rPr>
        <w:t>MEDLINE</w:t>
      </w:r>
      <w:r w:rsidRPr="001A3D2B">
        <w:rPr>
          <w:lang w:val="fr-FR"/>
        </w:rPr>
        <w:t xml:space="preserve">. </w:t>
      </w:r>
      <w:r w:rsidRPr="001A3D2B">
        <w:rPr>
          <w:i/>
          <w:iCs/>
        </w:rPr>
        <w:lastRenderedPageBreak/>
        <w:t>ACIMED</w:t>
      </w:r>
      <w:r w:rsidRPr="001A3D2B">
        <w:t xml:space="preserve">, </w:t>
      </w:r>
      <w:r w:rsidRPr="001A3D2B">
        <w:rPr>
          <w:b/>
          <w:bCs/>
        </w:rPr>
        <w:t>12</w:t>
      </w:r>
      <w:r w:rsidRPr="001A3D2B">
        <w:t xml:space="preserve"> (4).</w:t>
      </w:r>
    </w:p>
    <w:p w:rsidR="003474F2" w:rsidRPr="001A3D2B" w:rsidRDefault="003474F2" w:rsidP="003474F2">
      <w:pPr>
        <w:pStyle w:val="a3"/>
      </w:pPr>
      <w:r w:rsidRPr="001A3D2B">
        <w:t xml:space="preserve">Full Text: </w:t>
      </w:r>
      <w:hyperlink r:id="rId83" w:history="1">
        <w:r w:rsidRPr="001A3D2B">
          <w:rPr>
            <w:rStyle w:val="a5"/>
          </w:rPr>
          <w:t>2004\ACIMED10-Canedo.pdf</w:t>
        </w:r>
      </w:hyperlink>
    </w:p>
    <w:p w:rsidR="003474F2" w:rsidRPr="001A3D2B" w:rsidRDefault="003474F2" w:rsidP="003474F2">
      <w:pPr>
        <w:pStyle w:val="a3"/>
      </w:pPr>
      <w:r w:rsidRPr="001A3D2B">
        <w:t>Abstract: AIM: To show</w:t>
      </w:r>
      <w:r w:rsidR="003A1917">
        <w:t xml:space="preserve"> the </w:t>
      </w:r>
      <w:r w:rsidRPr="001A3D2B">
        <w:t>qualitative</w:t>
      </w:r>
      <w:r w:rsidR="005853A9">
        <w:t xml:space="preserve"> and </w:t>
      </w:r>
      <w:r w:rsidRPr="001A3D2B">
        <w:t>quantitative features</w:t>
      </w:r>
      <w:r w:rsidR="00427468">
        <w:t xml:space="preserve"> of </w:t>
      </w:r>
      <w:r w:rsidRPr="001A3D2B">
        <w:t>information flow</w:t>
      </w:r>
      <w:r w:rsidR="00427468">
        <w:t xml:space="preserve"> of </w:t>
      </w:r>
      <w:r w:rsidRPr="001A3D2B">
        <w:t xml:space="preserve">medical practice guides processed by </w:t>
      </w:r>
      <w:r w:rsidR="00D5664A">
        <w:t>MEDLINE</w:t>
      </w:r>
      <w:r w:rsidRPr="001A3D2B">
        <w:t xml:space="preserve"> in 1993</w:t>
      </w:r>
      <w:r w:rsidR="005853A9">
        <w:t xml:space="preserve"> and </w:t>
      </w:r>
      <w:r w:rsidRPr="001A3D2B">
        <w:t>2004. METHODS:</w:t>
      </w:r>
      <w:r w:rsidR="003A1917">
        <w:t xml:space="preserve"> the </w:t>
      </w:r>
      <w:r w:rsidRPr="001A3D2B">
        <w:t xml:space="preserve">guides for medical practice procesed by </w:t>
      </w:r>
      <w:r w:rsidR="00D5664A">
        <w:t>MEDLINE</w:t>
      </w:r>
      <w:r w:rsidRPr="001A3D2B">
        <w:t xml:space="preserve"> were identified using search approach design for that purpose</w:t>
      </w:r>
      <w:r w:rsidR="00A37C1D">
        <w:t>. The</w:t>
      </w:r>
      <w:r w:rsidR="003A1917">
        <w:t xml:space="preserve"> </w:t>
      </w:r>
      <w:r w:rsidRPr="001A3D2B">
        <w:t>relevant</w:t>
      </w:r>
      <w:r w:rsidR="00427468">
        <w:t xml:space="preserve"> of </w:t>
      </w:r>
      <w:r w:rsidRPr="001A3D2B">
        <w:t>retrieved records was handy reviewed</w:t>
      </w:r>
      <w:r w:rsidR="00A37C1D">
        <w:t>. The</w:t>
      </w:r>
      <w:r w:rsidR="003A1917">
        <w:t xml:space="preserve"> </w:t>
      </w:r>
      <w:r w:rsidRPr="001A3D2B">
        <w:t>frecuency indexes were prepared for a variable group chosen according relevance to distinguish</w:t>
      </w:r>
      <w:r w:rsidR="003A1917">
        <w:t xml:space="preserve"> the </w:t>
      </w:r>
      <w:r w:rsidRPr="001A3D2B">
        <w:t>study flow</w:t>
      </w:r>
      <w:r w:rsidR="00A37C1D">
        <w:t>. The</w:t>
      </w:r>
      <w:r w:rsidR="003A1917">
        <w:t xml:space="preserve"> </w:t>
      </w:r>
      <w:r w:rsidRPr="001A3D2B">
        <w:t>foremention indexes were conceived using</w:t>
      </w:r>
      <w:r w:rsidR="003A1917">
        <w:t xml:space="preserve"> the </w:t>
      </w:r>
      <w:r w:rsidRPr="001A3D2B">
        <w:t>Procite software</w:t>
      </w:r>
      <w:r w:rsidR="00A37C1D">
        <w:t>. The</w:t>
      </w:r>
      <w:r w:rsidR="003A1917">
        <w:t xml:space="preserve"> </w:t>
      </w:r>
      <w:r w:rsidRPr="001A3D2B">
        <w:t>study</w:t>
      </w:r>
      <w:r w:rsidR="00427468">
        <w:t xml:space="preserve"> of </w:t>
      </w:r>
      <w:r w:rsidRPr="001A3D2B">
        <w:t>topic distribution was carried out using</w:t>
      </w:r>
      <w:r w:rsidR="003A1917">
        <w:t xml:space="preserve"> the </w:t>
      </w:r>
      <w:r w:rsidRPr="001A3D2B">
        <w:t>Refvitz software, a tool for data mining created by Institute for Scientific Information. RESULTS:</w:t>
      </w:r>
      <w:r w:rsidR="003A1917">
        <w:t xml:space="preserve"> the </w:t>
      </w:r>
      <w:r w:rsidRPr="001A3D2B">
        <w:t>identification</w:t>
      </w:r>
      <w:r w:rsidR="00427468">
        <w:t xml:space="preserve"> of </w:t>
      </w:r>
      <w:r w:rsidRPr="001A3D2B">
        <w:t xml:space="preserve">6 350 clinical guides processed by </w:t>
      </w:r>
      <w:r w:rsidR="00D5664A">
        <w:t>MEDLINE</w:t>
      </w:r>
      <w:r w:rsidRPr="001A3D2B">
        <w:t xml:space="preserve"> in</w:t>
      </w:r>
      <w:r w:rsidR="003A1917">
        <w:t xml:space="preserve"> the </w:t>
      </w:r>
      <w:r w:rsidRPr="001A3D2B">
        <w:t>years 1993</w:t>
      </w:r>
      <w:r w:rsidR="005853A9">
        <w:t xml:space="preserve"> and </w:t>
      </w:r>
      <w:r w:rsidRPr="001A3D2B">
        <w:t>2004 was possible</w:t>
      </w:r>
      <w:r w:rsidR="00A37C1D">
        <w:t>. The</w:t>
      </w:r>
      <w:r w:rsidRPr="001A3D2B">
        <w:t>se guides, written in 22 languages proceedings from 43 countries, were published in 1 094 different journals. According to country,</w:t>
      </w:r>
      <w:r w:rsidR="003A1917">
        <w:t xml:space="preserve"> the </w:t>
      </w:r>
      <w:r w:rsidRPr="001A3D2B">
        <w:t>United States</w:t>
      </w:r>
      <w:r w:rsidR="00427468">
        <w:t xml:space="preserve"> of </w:t>
      </w:r>
      <w:r w:rsidRPr="001A3D2B">
        <w:t>America produced more than</w:t>
      </w:r>
      <w:r w:rsidR="003A1917">
        <w:t xml:space="preserve"> the </w:t>
      </w:r>
      <w:r w:rsidRPr="001A3D2B">
        <w:t>half (53,5%)</w:t>
      </w:r>
      <w:r w:rsidR="00427468">
        <w:t xml:space="preserve"> of </w:t>
      </w:r>
      <w:r w:rsidR="003A1917">
        <w:t xml:space="preserve">the </w:t>
      </w:r>
      <w:r w:rsidRPr="001A3D2B">
        <w:t xml:space="preserve">clinical guides published in </w:t>
      </w:r>
      <w:r w:rsidR="00D5664A">
        <w:t>MEDLINE</w:t>
      </w:r>
      <w:r w:rsidR="00A37C1D">
        <w:t>. The</w:t>
      </w:r>
      <w:r w:rsidR="003A1917">
        <w:t xml:space="preserve"> </w:t>
      </w:r>
      <w:r w:rsidRPr="001A3D2B">
        <w:t>most productive journal was Pediatrics from U.S.A containing 208 contributions</w:t>
      </w:r>
      <w:r w:rsidR="00A37C1D">
        <w:t>. The</w:t>
      </w:r>
      <w:r w:rsidR="003A1917">
        <w:t xml:space="preserve"> </w:t>
      </w:r>
      <w:r w:rsidRPr="001A3D2B">
        <w:t>most productive institutions were</w:t>
      </w:r>
      <w:r w:rsidR="003A1917">
        <w:t xml:space="preserve"> the </w:t>
      </w:r>
      <w:r w:rsidRPr="001A3D2B">
        <w:t>American College</w:t>
      </w:r>
      <w:r w:rsidR="00427468">
        <w:t xml:space="preserve"> of </w:t>
      </w:r>
      <w:r w:rsidRPr="001A3D2B">
        <w:t>Obstetricians</w:t>
      </w:r>
      <w:r w:rsidR="005853A9">
        <w:t xml:space="preserve"> and </w:t>
      </w:r>
      <w:r w:rsidRPr="001A3D2B">
        <w:t>Gynecologists,</w:t>
      </w:r>
      <w:r w:rsidR="003A1917">
        <w:t xml:space="preserve"> the </w:t>
      </w:r>
      <w:r w:rsidRPr="001A3D2B">
        <w:t>American Heart Association,</w:t>
      </w:r>
      <w:r w:rsidR="003A1917">
        <w:t xml:space="preserve"> the </w:t>
      </w:r>
      <w:r w:rsidRPr="001A3D2B">
        <w:t>American Academy</w:t>
      </w:r>
      <w:r w:rsidR="00427468">
        <w:t xml:space="preserve"> of </w:t>
      </w:r>
      <w:r w:rsidRPr="001A3D2B">
        <w:t>Pediatrics,</w:t>
      </w:r>
      <w:r w:rsidR="003A1917">
        <w:t xml:space="preserve"> the </w:t>
      </w:r>
      <w:r w:rsidRPr="001A3D2B">
        <w:t>American College</w:t>
      </w:r>
      <w:r w:rsidR="00427468">
        <w:t xml:space="preserve"> of </w:t>
      </w:r>
      <w:r w:rsidRPr="001A3D2B">
        <w:t>Cardiology</w:t>
      </w:r>
      <w:r w:rsidR="005853A9">
        <w:t xml:space="preserve"> and </w:t>
      </w:r>
      <w:r w:rsidR="003A1917">
        <w:t xml:space="preserve">the </w:t>
      </w:r>
      <w:r w:rsidRPr="001A3D2B">
        <w:t>American Diabetes Association</w:t>
      </w:r>
      <w:r w:rsidR="00A37C1D">
        <w:t>. The</w:t>
      </w:r>
      <w:r w:rsidR="003A1917">
        <w:t xml:space="preserve"> </w:t>
      </w:r>
      <w:r w:rsidRPr="001A3D2B">
        <w:t>majority</w:t>
      </w:r>
      <w:r w:rsidR="00427468">
        <w:t xml:space="preserve"> of </w:t>
      </w:r>
      <w:r w:rsidR="003A1917">
        <w:t xml:space="preserve">the </w:t>
      </w:r>
      <w:r w:rsidRPr="001A3D2B">
        <w:t>most treated thematic subgroups were concentrated in 4 areas: therapy</w:t>
      </w:r>
      <w:r w:rsidR="00427468">
        <w:t xml:space="preserve"> of </w:t>
      </w:r>
      <w:r w:rsidRPr="001A3D2B">
        <w:t>general diseases, cancer</w:t>
      </w:r>
      <w:r w:rsidR="005853A9">
        <w:t xml:space="preserve"> and </w:t>
      </w:r>
      <w:r w:rsidRPr="001A3D2B">
        <w:t>malignant tumors as well as</w:t>
      </w:r>
      <w:r w:rsidR="003A1917">
        <w:t xml:space="preserve"> the </w:t>
      </w:r>
      <w:r w:rsidRPr="001A3D2B">
        <w:t>infectious</w:t>
      </w:r>
      <w:r w:rsidR="005853A9">
        <w:t xml:space="preserve"> and </w:t>
      </w:r>
      <w:r w:rsidRPr="001A3D2B">
        <w:t>cardiovascular diseases. CONCLUSION: Even though</w:t>
      </w:r>
      <w:r w:rsidR="003A1917">
        <w:t xml:space="preserve"> the </w:t>
      </w:r>
      <w:r w:rsidRPr="001A3D2B">
        <w:t>predominance</w:t>
      </w:r>
      <w:r w:rsidR="00427468">
        <w:t xml:space="preserve"> of </w:t>
      </w:r>
      <w:r w:rsidR="003A1917">
        <w:t xml:space="preserve">the </w:t>
      </w:r>
      <w:r w:rsidRPr="001A3D2B">
        <w:t>U.S.A in clinical guide production is unquestionable,</w:t>
      </w:r>
      <w:r w:rsidR="003A1917">
        <w:t xml:space="preserve"> the </w:t>
      </w:r>
      <w:r w:rsidRPr="001A3D2B">
        <w:t>recognized trend</w:t>
      </w:r>
      <w:r w:rsidR="00427468">
        <w:t xml:space="preserve"> of </w:t>
      </w:r>
      <w:r w:rsidR="00D5664A">
        <w:t>MEDLINE</w:t>
      </w:r>
      <w:r w:rsidRPr="001A3D2B">
        <w:t xml:space="preserve"> database to process mainly publications from U.S.A</w:t>
      </w:r>
      <w:r w:rsidR="005853A9">
        <w:t xml:space="preserve"> and </w:t>
      </w:r>
      <w:r w:rsidRPr="001A3D2B">
        <w:t>also from English speaking countries could a disavantage for</w:t>
      </w:r>
      <w:r w:rsidR="003A1917">
        <w:t xml:space="preserve"> the </w:t>
      </w:r>
      <w:r w:rsidRPr="001A3D2B">
        <w:t>results</w:t>
      </w:r>
      <w:r w:rsidR="005853A9">
        <w:t xml:space="preserve"> and </w:t>
      </w:r>
      <w:r w:rsidRPr="001A3D2B">
        <w:t>positions occupied by other countries.</w:t>
      </w:r>
    </w:p>
    <w:p w:rsidR="003474F2" w:rsidRPr="001A3D2B" w:rsidRDefault="003474F2" w:rsidP="003474F2">
      <w:pPr>
        <w:pStyle w:val="a3"/>
      </w:pPr>
      <w:r w:rsidRPr="001A3D2B">
        <w:t xml:space="preserve">Keywords: Guías Para </w:t>
      </w:r>
      <w:smartTag w:uri="urn:schemas-microsoft-com:office:smarttags" w:element="PersonName">
        <w:smartTagPr>
          <w:attr w:name="ProductID" w:val="La Pr￡ctica Cl￭nica"/>
        </w:smartTagPr>
        <w:r w:rsidRPr="001A3D2B">
          <w:t>La Práctica Clínica</w:t>
        </w:r>
      </w:smartTag>
      <w:r w:rsidRPr="001A3D2B">
        <w:t xml:space="preserve">, Informetría, Bibliometría, </w:t>
      </w:r>
      <w:r w:rsidR="00D5664A">
        <w:t>MEDLINE</w:t>
      </w:r>
      <w:r w:rsidRPr="001A3D2B">
        <w:t xml:space="preserve">, Clinical Practice Guidelines, Informetrics, Bibliometrics, </w:t>
      </w:r>
      <w:r w:rsidR="00D5664A">
        <w:t>MEDLINE</w:t>
      </w:r>
    </w:p>
    <w:p w:rsidR="00800C50" w:rsidRPr="001A3D2B" w:rsidRDefault="00800C50" w:rsidP="00800C50">
      <w:pPr>
        <w:pStyle w:val="1"/>
      </w:pPr>
      <w:r w:rsidRPr="001A3D2B">
        <w:br w:type="page"/>
      </w:r>
      <w:bookmarkStart w:id="40" w:name="_Toc420814243"/>
      <w:r w:rsidRPr="001A3D2B">
        <w:lastRenderedPageBreak/>
        <w:t xml:space="preserve">Title: </w:t>
      </w:r>
      <w:r>
        <w:t>ACS NANO</w:t>
      </w:r>
      <w:bookmarkEnd w:id="40"/>
    </w:p>
    <w:p w:rsidR="00800C50" w:rsidRPr="001A3D2B" w:rsidRDefault="00800C50" w:rsidP="00800C50">
      <w:pPr>
        <w:pStyle w:val="12"/>
      </w:pPr>
      <w:r w:rsidRPr="001A3D2B">
        <w:t xml:space="preserve">Full Journal Title: </w:t>
      </w:r>
      <w:r>
        <w:t>ACS NANO</w:t>
      </w:r>
    </w:p>
    <w:p w:rsidR="00800C50" w:rsidRPr="001A3D2B" w:rsidRDefault="00800C50" w:rsidP="00800C50">
      <w:pPr>
        <w:pStyle w:val="12"/>
      </w:pPr>
      <w:r w:rsidRPr="001A3D2B">
        <w:t xml:space="preserve">ISO Abbreviated Title: </w:t>
      </w:r>
    </w:p>
    <w:p w:rsidR="00800C50" w:rsidRPr="001A3D2B" w:rsidRDefault="00800C50" w:rsidP="00800C50">
      <w:pPr>
        <w:pStyle w:val="12"/>
      </w:pPr>
      <w:r w:rsidRPr="001A3D2B">
        <w:t xml:space="preserve">JCR Abbreviated Title: </w:t>
      </w:r>
    </w:p>
    <w:p w:rsidR="00800C50" w:rsidRPr="001A3D2B" w:rsidRDefault="00800C50" w:rsidP="00800C50">
      <w:pPr>
        <w:pStyle w:val="12"/>
      </w:pPr>
      <w:r w:rsidRPr="001A3D2B">
        <w:t xml:space="preserve">ISSN: </w:t>
      </w:r>
    </w:p>
    <w:p w:rsidR="00800C50" w:rsidRPr="001A3D2B" w:rsidRDefault="00800C50" w:rsidP="00800C50">
      <w:pPr>
        <w:pStyle w:val="12"/>
      </w:pPr>
      <w:r w:rsidRPr="001A3D2B">
        <w:t xml:space="preserve">Issues/Year: </w:t>
      </w:r>
    </w:p>
    <w:p w:rsidR="00800C50" w:rsidRPr="001A3D2B" w:rsidRDefault="00800C50" w:rsidP="00800C50">
      <w:pPr>
        <w:pStyle w:val="12"/>
      </w:pPr>
      <w:r w:rsidRPr="001A3D2B">
        <w:t xml:space="preserve">Journal Country/Territory: </w:t>
      </w:r>
    </w:p>
    <w:p w:rsidR="00800C50" w:rsidRPr="001A3D2B" w:rsidRDefault="00800C50" w:rsidP="00800C50">
      <w:pPr>
        <w:pStyle w:val="12"/>
      </w:pPr>
      <w:r w:rsidRPr="001A3D2B">
        <w:t xml:space="preserve">Language: </w:t>
      </w:r>
    </w:p>
    <w:p w:rsidR="00800C50" w:rsidRPr="001A3D2B" w:rsidRDefault="00800C50" w:rsidP="00800C50">
      <w:pPr>
        <w:pStyle w:val="12"/>
      </w:pPr>
      <w:r w:rsidRPr="001A3D2B">
        <w:t xml:space="preserve">Publisher: </w:t>
      </w:r>
    </w:p>
    <w:p w:rsidR="00800C50" w:rsidRPr="001A3D2B" w:rsidRDefault="00800C50" w:rsidP="00800C50">
      <w:pPr>
        <w:pStyle w:val="12"/>
      </w:pPr>
      <w:r w:rsidRPr="001A3D2B">
        <w:t xml:space="preserve">Publisher Address: </w:t>
      </w:r>
    </w:p>
    <w:p w:rsidR="00800C50" w:rsidRPr="001A3D2B" w:rsidRDefault="00800C50" w:rsidP="00800C50">
      <w:pPr>
        <w:pStyle w:val="12"/>
      </w:pPr>
      <w:r w:rsidRPr="001A3D2B">
        <w:t xml:space="preserve">Subject Categories: </w:t>
      </w:r>
    </w:p>
    <w:p w:rsidR="00800C50" w:rsidRPr="001A3D2B" w:rsidRDefault="00800C50" w:rsidP="00800C50">
      <w:pPr>
        <w:pStyle w:val="12"/>
      </w:pPr>
      <w:r w:rsidRPr="001A3D2B">
        <w:t xml:space="preserve">: Impact Factor </w:t>
      </w:r>
    </w:p>
    <w:p w:rsidR="00800C50" w:rsidRPr="001A3D2B" w:rsidRDefault="00800C50" w:rsidP="00800C50">
      <w:pPr>
        <w:pStyle w:val="a3"/>
      </w:pPr>
      <w:r w:rsidRPr="001A3D2B">
        <w:t xml:space="preserve">? </w:t>
      </w:r>
      <w:r>
        <w:t>Weiss, P</w:t>
      </w:r>
      <w:r>
        <w:rPr>
          <w:rFonts w:hint="eastAsia"/>
        </w:rPr>
        <w:t>.</w:t>
      </w:r>
      <w:r>
        <w:t>S</w:t>
      </w:r>
      <w:r>
        <w:rPr>
          <w:rFonts w:hint="eastAsia"/>
        </w:rPr>
        <w:t>.</w:t>
      </w:r>
      <w:r>
        <w:t xml:space="preserve"> </w:t>
      </w:r>
      <w:r w:rsidRPr="001A3D2B">
        <w:t>(20</w:t>
      </w:r>
      <w:r>
        <w:rPr>
          <w:rFonts w:hint="eastAsia"/>
        </w:rPr>
        <w:t>12</w:t>
      </w:r>
      <w:r w:rsidRPr="001A3D2B">
        <w:t xml:space="preserve">), </w:t>
      </w:r>
      <w:r>
        <w:t>Who are corresponding authors?</w:t>
      </w:r>
      <w:r w:rsidRPr="001A3D2B">
        <w:t xml:space="preserve"> </w:t>
      </w:r>
      <w:r w:rsidRPr="00800C50">
        <w:rPr>
          <w:i/>
        </w:rPr>
        <w:t>ACS NANO</w:t>
      </w:r>
      <w:r w:rsidRPr="001A3D2B">
        <w:t xml:space="preserve">, </w:t>
      </w:r>
      <w:r>
        <w:rPr>
          <w:rFonts w:hint="eastAsia"/>
          <w:b/>
          <w:szCs w:val="19"/>
        </w:rPr>
        <w:t>6</w:t>
      </w:r>
      <w:r w:rsidRPr="001A3D2B">
        <w:rPr>
          <w:szCs w:val="19"/>
        </w:rPr>
        <w:t xml:space="preserve"> (</w:t>
      </w:r>
      <w:r>
        <w:rPr>
          <w:rFonts w:hint="eastAsia"/>
          <w:szCs w:val="19"/>
        </w:rPr>
        <w:t>4</w:t>
      </w:r>
      <w:r w:rsidRPr="001A3D2B">
        <w:rPr>
          <w:szCs w:val="19"/>
        </w:rPr>
        <w:t xml:space="preserve">), </w:t>
      </w:r>
      <w:r>
        <w:t>2861</w:t>
      </w:r>
      <w:r w:rsidRPr="001A3D2B">
        <w:t>.</w:t>
      </w:r>
    </w:p>
    <w:p w:rsidR="00800C50" w:rsidRDefault="00800C50" w:rsidP="00800C50">
      <w:pPr>
        <w:pStyle w:val="a3"/>
      </w:pPr>
      <w:r w:rsidRPr="001A3D2B">
        <w:t xml:space="preserve">Full Text: </w:t>
      </w:r>
      <w:hyperlink r:id="rId84" w:history="1">
        <w:r w:rsidRPr="00800C50">
          <w:rPr>
            <w:rStyle w:val="a5"/>
          </w:rPr>
          <w:t>2012\ACS NANO19, 2861.pdf</w:t>
        </w:r>
      </w:hyperlink>
    </w:p>
    <w:p w:rsidR="000B7779" w:rsidRPr="001A3D2B" w:rsidRDefault="000B7779" w:rsidP="000B7779">
      <w:pPr>
        <w:pStyle w:val="1"/>
      </w:pPr>
      <w:r w:rsidRPr="001A3D2B">
        <w:br w:type="page"/>
      </w:r>
      <w:bookmarkStart w:id="41" w:name="_Toc420814244"/>
      <w:r w:rsidRPr="001A3D2B">
        <w:lastRenderedPageBreak/>
        <w:t>Title: Acta Agriculturae Zhejiangensis</w:t>
      </w:r>
      <w:bookmarkEnd w:id="41"/>
    </w:p>
    <w:p w:rsidR="000B7779" w:rsidRPr="001A3D2B" w:rsidRDefault="000B7779" w:rsidP="000B7779">
      <w:pPr>
        <w:pStyle w:val="12"/>
      </w:pPr>
      <w:r w:rsidRPr="001A3D2B">
        <w:t xml:space="preserve">Full Journal Title: </w:t>
      </w:r>
      <w:hyperlink r:id="rId85" w:history="1">
        <w:r w:rsidRPr="001A3D2B">
          <w:rPr>
            <w:rStyle w:val="a5"/>
          </w:rPr>
          <w:t>Acta Agriculturae Zhejiangensis</w:t>
        </w:r>
      </w:hyperlink>
    </w:p>
    <w:p w:rsidR="000B7779" w:rsidRPr="001A3D2B" w:rsidRDefault="000B7779" w:rsidP="000B7779">
      <w:pPr>
        <w:pStyle w:val="12"/>
      </w:pPr>
      <w:r w:rsidRPr="001A3D2B">
        <w:t xml:space="preserve">ISO Abbreviated Title: </w:t>
      </w:r>
    </w:p>
    <w:p w:rsidR="000B7779" w:rsidRPr="001A3D2B" w:rsidRDefault="000B7779" w:rsidP="000B7779">
      <w:pPr>
        <w:pStyle w:val="12"/>
      </w:pPr>
      <w:r w:rsidRPr="001A3D2B">
        <w:t xml:space="preserve">JCR Abbreviated Title: </w:t>
      </w:r>
    </w:p>
    <w:p w:rsidR="000B7779" w:rsidRPr="001A3D2B" w:rsidRDefault="000B7779" w:rsidP="000B7779">
      <w:pPr>
        <w:pStyle w:val="12"/>
      </w:pPr>
      <w:r w:rsidRPr="001A3D2B">
        <w:t xml:space="preserve">ISSN: </w:t>
      </w:r>
    </w:p>
    <w:p w:rsidR="000B7779" w:rsidRPr="001A3D2B" w:rsidRDefault="000B7779" w:rsidP="000B7779">
      <w:pPr>
        <w:pStyle w:val="12"/>
      </w:pPr>
      <w:r w:rsidRPr="001A3D2B">
        <w:t xml:space="preserve">Issues/Year: </w:t>
      </w:r>
    </w:p>
    <w:p w:rsidR="000B7779" w:rsidRPr="001A3D2B" w:rsidRDefault="000B7779" w:rsidP="000B7779">
      <w:pPr>
        <w:pStyle w:val="12"/>
      </w:pPr>
      <w:r w:rsidRPr="001A3D2B">
        <w:t xml:space="preserve">Journal Country/Territory: </w:t>
      </w:r>
    </w:p>
    <w:p w:rsidR="000B7779" w:rsidRPr="001A3D2B" w:rsidRDefault="000B7779" w:rsidP="000B7779">
      <w:pPr>
        <w:pStyle w:val="12"/>
      </w:pPr>
      <w:r w:rsidRPr="001A3D2B">
        <w:t xml:space="preserve">Language: </w:t>
      </w:r>
    </w:p>
    <w:p w:rsidR="000B7779" w:rsidRPr="001A3D2B" w:rsidRDefault="000B7779" w:rsidP="000B7779">
      <w:pPr>
        <w:pStyle w:val="12"/>
      </w:pPr>
      <w:r w:rsidRPr="001A3D2B">
        <w:t xml:space="preserve">Publisher: </w:t>
      </w:r>
    </w:p>
    <w:p w:rsidR="000B7779" w:rsidRPr="001A3D2B" w:rsidRDefault="000B7779" w:rsidP="000B7779">
      <w:pPr>
        <w:pStyle w:val="12"/>
      </w:pPr>
      <w:r w:rsidRPr="001A3D2B">
        <w:t xml:space="preserve">Publisher Address: </w:t>
      </w:r>
    </w:p>
    <w:p w:rsidR="000B7779" w:rsidRPr="001A3D2B" w:rsidRDefault="000B7779" w:rsidP="000B7779">
      <w:pPr>
        <w:pStyle w:val="12"/>
      </w:pPr>
      <w:r w:rsidRPr="001A3D2B">
        <w:t xml:space="preserve">Subject Categories: </w:t>
      </w:r>
    </w:p>
    <w:p w:rsidR="000B7779" w:rsidRPr="001A3D2B" w:rsidRDefault="000B7779" w:rsidP="000B7779">
      <w:pPr>
        <w:pStyle w:val="12"/>
      </w:pPr>
      <w:r w:rsidRPr="001A3D2B">
        <w:t xml:space="preserve">: Impact Factor </w:t>
      </w:r>
    </w:p>
    <w:p w:rsidR="000B7779" w:rsidRDefault="000B7779" w:rsidP="000B7779">
      <w:pPr>
        <w:pStyle w:val="a3"/>
        <w:rPr>
          <w:kern w:val="0"/>
          <w:szCs w:val="24"/>
        </w:rPr>
      </w:pPr>
      <w:r>
        <w:rPr>
          <w:rFonts w:hint="eastAsia"/>
          <w:kern w:val="0"/>
          <w:szCs w:val="24"/>
        </w:rPr>
        <w:t xml:space="preserve">? </w:t>
      </w:r>
      <w:r>
        <w:rPr>
          <w:kern w:val="0"/>
          <w:szCs w:val="24"/>
        </w:rPr>
        <w:t xml:space="preserve">Guo, K., Liu, Y.F., Zeng, C., Chen, Y.Y. and Wei, X.J. (2014), Global research on soil contamination from 1999 to 2012: A bibliometric analysis. </w:t>
      </w:r>
      <w:r>
        <w:rPr>
          <w:i/>
          <w:iCs/>
          <w:kern w:val="0"/>
          <w:szCs w:val="24"/>
        </w:rPr>
        <w:t>Acta Agriculturae Scandinavica Section B-Soil and Plant Science</w:t>
      </w:r>
      <w:r>
        <w:rPr>
          <w:kern w:val="0"/>
          <w:szCs w:val="24"/>
        </w:rPr>
        <w:t xml:space="preserve">, </w:t>
      </w:r>
      <w:r>
        <w:rPr>
          <w:b/>
          <w:bCs/>
          <w:kern w:val="0"/>
          <w:szCs w:val="24"/>
        </w:rPr>
        <w:t>64</w:t>
      </w:r>
      <w:r>
        <w:rPr>
          <w:kern w:val="0"/>
          <w:szCs w:val="24"/>
        </w:rPr>
        <w:t xml:space="preserve"> (5), 377-391.</w:t>
      </w:r>
    </w:p>
    <w:p w:rsidR="000B7779" w:rsidRDefault="000B7779" w:rsidP="000B7779">
      <w:pPr>
        <w:pStyle w:val="a3"/>
        <w:rPr>
          <w:kern w:val="0"/>
          <w:szCs w:val="24"/>
        </w:rPr>
      </w:pPr>
      <w:r>
        <w:rPr>
          <w:rFonts w:hint="eastAsia"/>
          <w:kern w:val="0"/>
          <w:szCs w:val="24"/>
        </w:rPr>
        <w:t xml:space="preserve">Full Text: </w:t>
      </w:r>
      <w:hyperlink r:id="rId86" w:history="1">
        <w:r w:rsidRPr="000B7779">
          <w:rPr>
            <w:rStyle w:val="a5"/>
            <w:kern w:val="0"/>
            <w:szCs w:val="24"/>
          </w:rPr>
          <w:t>2014\Act Agr Sca Sec B-Soi Pla Sci64, 377.pdf</w:t>
        </w:r>
      </w:hyperlink>
    </w:p>
    <w:p w:rsidR="000B7779" w:rsidRDefault="000B7779" w:rsidP="000B7779">
      <w:pPr>
        <w:pStyle w:val="a3"/>
        <w:rPr>
          <w:kern w:val="0"/>
          <w:szCs w:val="24"/>
        </w:rPr>
      </w:pPr>
      <w:r>
        <w:rPr>
          <w:kern w:val="0"/>
          <w:szCs w:val="24"/>
        </w:rPr>
        <w:t>Abstract: We evaluated soil contamination research based on a bibliometric analysis of 14,090 articles published in journals in the Science Citation Index and Social Sciences Citation Index bibliographic databases from 1999 to 2012, which revealed scientific outputs, subject categories and major journals, international collaboration and geographic distribution of authors and countries, keywords, and hot issues. The results suggested that research on soil contamination developed well with increasing scientific production and research collaboration. Environmental science, engineering environment, soil science, and applied microbiology were the most frequently used subject categories in soil contamination studies. Chemosphere was the most active journal in this field. The clusters of authors were more in the USA, Western European countries, China, Japan, and India. Q. X. Zhou of Nankai University was the most productive author, and S. P. Mcgrath of Rothamsted Research England published the most influential articles. The USA exceeded all other countries with the most independent and collaborative papers in research on global soil contamination. Heavy metal pollution was the hottest issue, and bioremediation is the most promising research topic in combating against heavy metal pollution of soils. The status of publication on soil contamination research described here is significant for researchers on soil contamination in their future work.</w:t>
      </w:r>
    </w:p>
    <w:p w:rsidR="000B7779" w:rsidRDefault="000B7779" w:rsidP="000B7779">
      <w:pPr>
        <w:pStyle w:val="a3"/>
        <w:rPr>
          <w:kern w:val="0"/>
          <w:szCs w:val="24"/>
        </w:rPr>
      </w:pPr>
      <w:r>
        <w:rPr>
          <w:kern w:val="0"/>
          <w:szCs w:val="24"/>
        </w:rPr>
        <w:t xml:space="preserve">Keywords: Agricultural Soils, Analysis, Articles, Authors, Bibliographic, Bibliographic Databases, Bibliometric, Bibliometric Analysis, Bibliometrics Analysis, Bioremediation, China, Citation, Collaboration, Contamination, Databases, </w:t>
      </w:r>
      <w:r>
        <w:rPr>
          <w:kern w:val="0"/>
          <w:szCs w:val="24"/>
        </w:rPr>
        <w:lastRenderedPageBreak/>
        <w:t>Diffuse-Reflectance Spectroscopy, Distribution, Engineering, England, Environment, Environmental, Environmental Science, Field, Geographic Distribution, Global, Heavy Metal, Heavy Metal Pollution, Heavy-Metal, Heavy-Metals, Hot Issues, Human Health, India, Influential Articles, International, International Collaboration, Issues, Japan, Journal, Journals, Metal, Microbial Community Composition, Microbiology, Natural Attenuation, P, Papers, Polluted Soils, Pollution, Publication, Research, Research Collaboration, Researchers, Risk Assessment, S, Science, Science Citation Index, Sciences, Scientific Production, Social Sciences, Social Sciences Citation Index, Soil, Soil Contamination, Soil Science, Soils, Topic, Trace-Elements, University, USA, Work</w:t>
      </w:r>
    </w:p>
    <w:p w:rsidR="003474F2" w:rsidRPr="001A3D2B" w:rsidRDefault="003474F2" w:rsidP="003474F2">
      <w:pPr>
        <w:pStyle w:val="1"/>
      </w:pPr>
      <w:r w:rsidRPr="001A3D2B">
        <w:br w:type="page"/>
      </w:r>
      <w:bookmarkStart w:id="42" w:name="_Toc420814245"/>
      <w:r w:rsidRPr="001A3D2B">
        <w:lastRenderedPageBreak/>
        <w:t>Title: Acta Agriculturae Zhejiangensis</w:t>
      </w:r>
      <w:bookmarkEnd w:id="42"/>
    </w:p>
    <w:p w:rsidR="003474F2" w:rsidRPr="001A3D2B" w:rsidRDefault="003474F2" w:rsidP="003474F2">
      <w:pPr>
        <w:pStyle w:val="12"/>
      </w:pPr>
      <w:r w:rsidRPr="001A3D2B">
        <w:t xml:space="preserve">Full Journal Title: </w:t>
      </w:r>
      <w:hyperlink r:id="rId87" w:history="1">
        <w:r w:rsidRPr="001A3D2B">
          <w:rPr>
            <w:rStyle w:val="a5"/>
          </w:rPr>
          <w:t>Acta Agriculturae Zhejiangensis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Yuan, Z.M.</w:t>
      </w:r>
      <w:r w:rsidR="005853A9">
        <w:t xml:space="preserve"> and </w:t>
      </w:r>
      <w:r w:rsidRPr="001A3D2B">
        <w:t>Chen, H.P. (2007), Analysis on</w:t>
      </w:r>
      <w:r w:rsidR="003A1917">
        <w:t xml:space="preserve"> the </w:t>
      </w:r>
      <w:r w:rsidRPr="001A3D2B">
        <w:t xml:space="preserve">papers published in </w:t>
      </w:r>
      <w:r w:rsidRPr="001A3D2B">
        <w:rPr>
          <w:i/>
        </w:rPr>
        <w:t>Acta Agriculturae Zhejiangensis</w:t>
      </w:r>
      <w:r w:rsidRPr="001A3D2B">
        <w:t xml:space="preserve"> from year 2003 to 2005. </w:t>
      </w:r>
      <w:r w:rsidRPr="001A3D2B">
        <w:rPr>
          <w:i/>
        </w:rPr>
        <w:t>Acta Agriculturae Zhejiangensis</w:t>
      </w:r>
      <w:r w:rsidRPr="001A3D2B">
        <w:t xml:space="preserve">, </w:t>
      </w:r>
      <w:r w:rsidRPr="001A3D2B">
        <w:rPr>
          <w:b/>
          <w:szCs w:val="19"/>
        </w:rPr>
        <w:t>19</w:t>
      </w:r>
      <w:r w:rsidRPr="001A3D2B">
        <w:rPr>
          <w:szCs w:val="19"/>
        </w:rPr>
        <w:t xml:space="preserve"> (1), 60-64</w:t>
      </w:r>
      <w:r w:rsidRPr="001A3D2B">
        <w:t>.</w:t>
      </w:r>
    </w:p>
    <w:p w:rsidR="003474F2" w:rsidRPr="001A3D2B" w:rsidRDefault="003474F2" w:rsidP="003474F2">
      <w:pPr>
        <w:pStyle w:val="a3"/>
      </w:pPr>
      <w:r w:rsidRPr="001A3D2B">
        <w:t xml:space="preserve">Full Text: </w:t>
      </w:r>
      <w:hyperlink r:id="rId88" w:history="1">
        <w:r w:rsidRPr="001A3D2B">
          <w:rPr>
            <w:rStyle w:val="a5"/>
          </w:rPr>
          <w:t>2007\Act Agr Zhe19, 60.pdf</w:t>
        </w:r>
      </w:hyperlink>
    </w:p>
    <w:p w:rsidR="003474F2" w:rsidRPr="001A3D2B" w:rsidRDefault="003474F2" w:rsidP="003474F2">
      <w:pPr>
        <w:pStyle w:val="a3"/>
      </w:pPr>
      <w:r w:rsidRPr="001A3D2B">
        <w:t>Abstract: Statistical analysis on</w:t>
      </w:r>
      <w:r w:rsidR="003A1917">
        <w:t xml:space="preserve"> the </w:t>
      </w:r>
      <w:r w:rsidRPr="001A3D2B">
        <w:t>bibliometric indicators, including quantity</w:t>
      </w:r>
      <w:r w:rsidR="00427468">
        <w:t xml:space="preserve"> of </w:t>
      </w:r>
      <w:r w:rsidRPr="001A3D2B">
        <w:t>papers, publishing latency, rate</w:t>
      </w:r>
      <w:r w:rsidR="00427468">
        <w:t xml:space="preserve"> of </w:t>
      </w:r>
      <w:r w:rsidRPr="001A3D2B">
        <w:t>foundation-supported papers, reference, mean citation rate, average number</w:t>
      </w:r>
      <w:r w:rsidR="00427468">
        <w:t xml:space="preserve"> of </w:t>
      </w:r>
      <w:r w:rsidRPr="001A3D2B">
        <w:t>authors per article, regional</w:t>
      </w:r>
      <w:r w:rsidR="005853A9">
        <w:t xml:space="preserve"> and </w:t>
      </w:r>
      <w:r w:rsidRPr="001A3D2B">
        <w:t>institutional distributions by origin,</w:t>
      </w:r>
      <w:r w:rsidR="005853A9">
        <w:t xml:space="preserve"> and </w:t>
      </w:r>
      <w:r w:rsidRPr="001A3D2B">
        <w:t>rate</w:t>
      </w:r>
      <w:r w:rsidR="00427468">
        <w:t xml:space="preserve"> of </w:t>
      </w:r>
      <w:r w:rsidRPr="001A3D2B">
        <w:t>international contributions, was done using literature metrological methods for</w:t>
      </w:r>
      <w:r w:rsidR="003A1917">
        <w:t xml:space="preserve"> the </w:t>
      </w:r>
      <w:r w:rsidRPr="001A3D2B">
        <w:t>papers published in Acta Agriculturae Zhejiangensis from year 2003 to 2005. Evaluation on citation frequency, impact factor, immediacy index, cited rate, rate of</w:t>
      </w:r>
    </w:p>
    <w:p w:rsidR="003474F2" w:rsidRPr="001A3D2B" w:rsidRDefault="003474F2" w:rsidP="003474F2">
      <w:pPr>
        <w:pStyle w:val="a3"/>
      </w:pPr>
      <w:r w:rsidRPr="001A3D2B">
        <w:t>Keywords: Academic Journals, Acta Agriculturae Zhejiangensis, Bibliometric Indicator, Citation Indicator</w:t>
      </w:r>
    </w:p>
    <w:p w:rsidR="003474F2" w:rsidRPr="001A3D2B" w:rsidRDefault="003474F2" w:rsidP="003474F2">
      <w:pPr>
        <w:pStyle w:val="1"/>
      </w:pPr>
      <w:r w:rsidRPr="001A3D2B">
        <w:br w:type="page"/>
      </w:r>
      <w:bookmarkStart w:id="43" w:name="_Toc54840394"/>
      <w:bookmarkStart w:id="44" w:name="_Toc81215572"/>
      <w:bookmarkStart w:id="45" w:name="_Toc420814246"/>
      <w:r w:rsidRPr="001A3D2B">
        <w:lastRenderedPageBreak/>
        <w:t>Title: Acta Anaesthesiologica Scandinavica</w:t>
      </w:r>
      <w:bookmarkEnd w:id="43"/>
      <w:bookmarkEnd w:id="44"/>
      <w:bookmarkEnd w:id="45"/>
    </w:p>
    <w:p w:rsidR="003474F2" w:rsidRPr="001A3D2B" w:rsidRDefault="003474F2" w:rsidP="003474F2">
      <w:pPr>
        <w:pStyle w:val="12"/>
      </w:pPr>
      <w:r w:rsidRPr="001A3D2B">
        <w:t xml:space="preserve">Full Journal Title: </w:t>
      </w:r>
      <w:hyperlink r:id="rId89" w:history="1">
        <w:r w:rsidRPr="001A3D2B">
          <w:rPr>
            <w:rStyle w:val="a5"/>
          </w:rPr>
          <w:t>Acta Anaesthesiologica Scandinavica</w:t>
        </w:r>
      </w:hyperlink>
    </w:p>
    <w:p w:rsidR="003474F2" w:rsidRPr="001A3D2B" w:rsidRDefault="003474F2" w:rsidP="003474F2">
      <w:pPr>
        <w:pStyle w:val="12"/>
      </w:pPr>
      <w:r w:rsidRPr="001A3D2B">
        <w:t>ISO Abbreviated Title: Acta Anaesthesiol. Scand.</w:t>
      </w:r>
    </w:p>
    <w:p w:rsidR="003474F2" w:rsidRPr="001A3D2B" w:rsidRDefault="003474F2" w:rsidP="003474F2">
      <w:pPr>
        <w:pStyle w:val="12"/>
      </w:pPr>
      <w:r w:rsidRPr="001A3D2B">
        <w:t>JCR Abbreviated Title: Acta Anaesth Scand</w:t>
      </w:r>
    </w:p>
    <w:p w:rsidR="003474F2" w:rsidRPr="001A3D2B" w:rsidRDefault="003474F2" w:rsidP="003474F2">
      <w:pPr>
        <w:pStyle w:val="12"/>
      </w:pPr>
      <w:r w:rsidRPr="001A3D2B">
        <w:t>ISSN: 0001-5172</w:t>
      </w:r>
    </w:p>
    <w:p w:rsidR="003474F2" w:rsidRPr="001A3D2B" w:rsidRDefault="003474F2" w:rsidP="003474F2">
      <w:pPr>
        <w:pStyle w:val="12"/>
      </w:pPr>
      <w:r w:rsidRPr="001A3D2B">
        <w:t>Issues/Year: 10</w:t>
      </w:r>
    </w:p>
    <w:p w:rsidR="003474F2" w:rsidRPr="001A3D2B" w:rsidRDefault="00AA25A4" w:rsidP="003474F2">
      <w:pPr>
        <w:pStyle w:val="12"/>
      </w:pPr>
      <w:r w:rsidRPr="001A3D2B">
        <w:t>Journal Country/Territory:</w:t>
      </w:r>
      <w:r w:rsidR="008F46E9" w:rsidRPr="001A3D2B">
        <w:t xml:space="preserve"> </w:t>
      </w:r>
      <w:r w:rsidR="003474F2" w:rsidRPr="001A3D2B">
        <w:t>Denmark</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Munksgaard</w:t>
      </w:r>
    </w:p>
    <w:p w:rsidR="003474F2" w:rsidRPr="001A3D2B" w:rsidRDefault="003474F2" w:rsidP="003474F2">
      <w:pPr>
        <w:pStyle w:val="12"/>
      </w:pPr>
      <w:r w:rsidRPr="001A3D2B">
        <w:t xml:space="preserve">Publisher Address: 35 Norre Sogade, </w:t>
      </w:r>
      <w:smartTag w:uri="urn:schemas-microsoft-com:office:smarttags" w:element="address">
        <w:smartTag w:uri="urn:schemas-microsoft-com:office:smarttags" w:element="Street">
          <w:r w:rsidRPr="001A3D2B">
            <w:t>PO Box</w:t>
          </w:r>
        </w:smartTag>
        <w:r w:rsidRPr="001A3D2B">
          <w:t xml:space="preserve"> 2148</w:t>
        </w:r>
      </w:smartTag>
      <w:r w:rsidRPr="001A3D2B">
        <w:t xml:space="preserve">, DK-1016 </w:t>
      </w:r>
      <w:smartTag w:uri="urn:schemas-microsoft-com:office:smarttags" w:element="place">
        <w:smartTag w:uri="urn:schemas-microsoft-com:office:smarttags" w:element="City">
          <w:r w:rsidRPr="001A3D2B">
            <w:t>Copenhagen</w:t>
          </w:r>
        </w:smartTag>
        <w:r w:rsidRPr="001A3D2B">
          <w:t xml:space="preserve">, </w:t>
        </w:r>
        <w:smartTag w:uri="urn:schemas-microsoft-com:office:smarttags" w:element="country-region">
          <w:r w:rsidRPr="001A3D2B">
            <w:t>Denmark</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Anesthesiology: Impact Factor </w:t>
      </w:r>
    </w:p>
    <w:p w:rsidR="00C242D1" w:rsidRPr="00F219CA" w:rsidRDefault="00C242D1" w:rsidP="00C242D1">
      <w:pPr>
        <w:pStyle w:val="a3"/>
      </w:pPr>
      <w:r w:rsidRPr="00F219CA">
        <w:t>? Gisvold, S.E. (1995), What is happening to the quality</w:t>
      </w:r>
      <w:r w:rsidR="00427468">
        <w:t xml:space="preserve"> of </w:t>
      </w:r>
      <w:r w:rsidRPr="00F219CA">
        <w:t>research -</w:t>
      </w:r>
      <w:r w:rsidR="005853A9">
        <w:t xml:space="preserve"> and </w:t>
      </w:r>
      <w:r w:rsidRPr="00F219CA">
        <w:t>how can quality be measured</w:t>
      </w:r>
      <w:r>
        <w:rPr>
          <w:rFonts w:hint="eastAsia"/>
        </w:rPr>
        <w:t>?</w:t>
      </w:r>
      <w:r w:rsidRPr="00F219CA">
        <w:rPr>
          <w:iCs/>
        </w:rPr>
        <w:t xml:space="preserve"> </w:t>
      </w:r>
      <w:r w:rsidRPr="00F219CA">
        <w:rPr>
          <w:i/>
          <w:iCs/>
        </w:rPr>
        <w:t>Acta Anaesthesiologica Scandinavica</w:t>
      </w:r>
      <w:r w:rsidRPr="00F219CA">
        <w:t xml:space="preserve">, </w:t>
      </w:r>
      <w:r w:rsidRPr="00F219CA">
        <w:rPr>
          <w:b/>
          <w:bCs/>
        </w:rPr>
        <w:t>39</w:t>
      </w:r>
      <w:r w:rsidRPr="00F219CA">
        <w:t xml:space="preserve"> (1), 1-2.</w:t>
      </w:r>
    </w:p>
    <w:p w:rsidR="00C242D1" w:rsidRPr="00F219CA" w:rsidRDefault="00C242D1" w:rsidP="00C242D1">
      <w:pPr>
        <w:pStyle w:val="a3"/>
      </w:pPr>
      <w:r w:rsidRPr="00F219CA">
        <w:t xml:space="preserve">Full Text: </w:t>
      </w:r>
      <w:hyperlink r:id="rId90" w:history="1">
        <w:r w:rsidRPr="00022182">
          <w:rPr>
            <w:rStyle w:val="a5"/>
          </w:rPr>
          <w:t>1995\Act Ana Sca39, 1.pdf</w:t>
        </w:r>
      </w:hyperlink>
    </w:p>
    <w:p w:rsidR="00C242D1" w:rsidRPr="00F219CA" w:rsidRDefault="00C242D1" w:rsidP="00C242D1">
      <w:pPr>
        <w:pStyle w:val="a3"/>
        <w:rPr>
          <w:kern w:val="0"/>
          <w:szCs w:val="24"/>
        </w:rPr>
      </w:pPr>
      <w:r w:rsidRPr="00F219CA">
        <w:rPr>
          <w:kern w:val="0"/>
          <w:szCs w:val="24"/>
        </w:rPr>
        <w:t>Keywords: Bibliometric Indicators, Ethics, Research, Research Quality</w:t>
      </w:r>
    </w:p>
    <w:p w:rsidR="00C242D1" w:rsidRPr="00F219CA" w:rsidRDefault="00C242D1" w:rsidP="00C242D1">
      <w:pPr>
        <w:pStyle w:val="a3"/>
      </w:pPr>
      <w:r w:rsidRPr="00F219CA">
        <w:t>? Nishina, K., Asano, M., Mikawa, K., Maekawa, N.</w:t>
      </w:r>
      <w:r w:rsidR="005853A9">
        <w:t xml:space="preserve"> and </w:t>
      </w:r>
      <w:r w:rsidRPr="00F219CA">
        <w:t>Obara, H. (1995), The accuracy</w:t>
      </w:r>
      <w:r w:rsidR="00427468">
        <w:t xml:space="preserve"> of </w:t>
      </w:r>
      <w:r w:rsidRPr="00F219CA">
        <w:t xml:space="preserve">reference lists in </w:t>
      </w:r>
      <w:r w:rsidRPr="00F219CA">
        <w:rPr>
          <w:i/>
          <w:iCs/>
        </w:rPr>
        <w:t>Acta Anaesthesiologica Scandinavica</w:t>
      </w:r>
      <w:r w:rsidRPr="00F219CA">
        <w:t xml:space="preserve">. </w:t>
      </w:r>
      <w:r w:rsidRPr="00F219CA">
        <w:rPr>
          <w:i/>
          <w:iCs/>
        </w:rPr>
        <w:t>Acta Anaesthesiologica Scandinavica</w:t>
      </w:r>
      <w:r w:rsidRPr="00F219CA">
        <w:t xml:space="preserve">, </w:t>
      </w:r>
      <w:r w:rsidRPr="00F219CA">
        <w:rPr>
          <w:b/>
          <w:bCs/>
        </w:rPr>
        <w:t>39</w:t>
      </w:r>
      <w:r w:rsidRPr="00F219CA">
        <w:t xml:space="preserve"> (5), 577-578.</w:t>
      </w:r>
    </w:p>
    <w:p w:rsidR="00C242D1" w:rsidRPr="00F219CA" w:rsidRDefault="00C242D1" w:rsidP="00C242D1">
      <w:pPr>
        <w:pStyle w:val="a3"/>
      </w:pPr>
      <w:r w:rsidRPr="00F219CA">
        <w:t xml:space="preserve">Full Text: </w:t>
      </w:r>
      <w:hyperlink r:id="rId91" w:history="1">
        <w:r w:rsidRPr="00022182">
          <w:rPr>
            <w:rStyle w:val="a5"/>
          </w:rPr>
          <w:t>1995\Act Ana Sca39, 577.pdf</w:t>
        </w:r>
      </w:hyperlink>
    </w:p>
    <w:p w:rsidR="003474F2" w:rsidRPr="001A3D2B" w:rsidRDefault="003474F2" w:rsidP="003474F2">
      <w:pPr>
        <w:pStyle w:val="a3"/>
      </w:pPr>
      <w:r w:rsidRPr="001A3D2B">
        <w:t>Abstract: To determine</w:t>
      </w:r>
      <w:r w:rsidR="003A1917">
        <w:t xml:space="preserve"> the </w:t>
      </w:r>
      <w:r w:rsidRPr="001A3D2B">
        <w:t>accuracy</w:t>
      </w:r>
      <w:r w:rsidR="00427468">
        <w:t xml:space="preserve"> of </w:t>
      </w:r>
      <w:r w:rsidRPr="001A3D2B">
        <w:t>bibliographic citation in Acta Anaesthesiologica Scandinavica, we reviewed all 1990 volumes</w:t>
      </w:r>
      <w:r w:rsidR="005853A9">
        <w:t xml:space="preserve"> and </w:t>
      </w:r>
      <w:r w:rsidRPr="001A3D2B">
        <w:t>part</w:t>
      </w:r>
      <w:r w:rsidR="00427468">
        <w:t xml:space="preserve"> of </w:t>
      </w:r>
      <w:r w:rsidRPr="001A3D2B">
        <w:t>1994 volumes</w:t>
      </w:r>
      <w:r w:rsidR="00427468">
        <w:t xml:space="preserve"> of </w:t>
      </w:r>
      <w:r w:rsidR="003A1917">
        <w:t xml:space="preserve">the </w:t>
      </w:r>
      <w:r w:rsidRPr="001A3D2B">
        <w:t>journal</w:t>
      </w:r>
      <w:r w:rsidR="005853A9">
        <w:t xml:space="preserve"> and </w:t>
      </w:r>
      <w:r w:rsidRPr="001A3D2B">
        <w:t>sequentially numbered all references appearing in those years (n = 2701</w:t>
      </w:r>
      <w:r w:rsidR="005853A9">
        <w:t xml:space="preserve"> and </w:t>
      </w:r>
      <w:r w:rsidRPr="001A3D2B">
        <w:t>2158 in 1990 (No. 1-No. 8)</w:t>
      </w:r>
      <w:r w:rsidR="005853A9">
        <w:t xml:space="preserve"> and </w:t>
      </w:r>
      <w:r w:rsidRPr="001A3D2B">
        <w:t>1994 (No. 1-No. 5), respectively). We randomly selected 100 references from each year. After citations</w:t>
      </w:r>
      <w:r w:rsidR="00427468">
        <w:t xml:space="preserve"> of </w:t>
      </w:r>
      <w:r w:rsidRPr="001A3D2B">
        <w:t>nonjournal articles were excluded</w:t>
      </w:r>
      <w:r w:rsidR="00A37C1D">
        <w:t>. The</w:t>
      </w:r>
      <w:r w:rsidR="003A1917">
        <w:t xml:space="preserve"> </w:t>
      </w:r>
      <w:r w:rsidRPr="001A3D2B">
        <w:t>remaining 195 citations were carefully scrutinized. Authors</w:t>
      </w:r>
      <w:r w:rsidR="00700038">
        <w:t>’</w:t>
      </w:r>
      <w:r w:rsidRPr="001A3D2B">
        <w:t xml:space="preserve"> names, article title, journal title, volume number, page numbers,</w:t>
      </w:r>
      <w:r w:rsidR="005853A9">
        <w:t xml:space="preserve"> and </w:t>
      </w:r>
      <w:r w:rsidRPr="001A3D2B">
        <w:t>year were examined in each selected reference. A reference was deemed correct if each element</w:t>
      </w:r>
      <w:r w:rsidR="00427468">
        <w:t xml:space="preserve"> of </w:t>
      </w:r>
      <w:r w:rsidR="003A1917">
        <w:t xml:space="preserve">the </w:t>
      </w:r>
      <w:r w:rsidRPr="001A3D2B">
        <w:t>citation was identical to its source.</w:t>
      </w:r>
      <w:r w:rsidR="00427468">
        <w:t xml:space="preserve"> of </w:t>
      </w:r>
      <w:r w:rsidR="003A1917">
        <w:t xml:space="preserve">the </w:t>
      </w:r>
      <w:r w:rsidRPr="001A3D2B">
        <w:t>examined references. 40%</w:t>
      </w:r>
      <w:r w:rsidR="005853A9">
        <w:t xml:space="preserve"> and </w:t>
      </w:r>
      <w:r w:rsidRPr="001A3D2B">
        <w:t>45% contained one or more errors in 1990</w:t>
      </w:r>
      <w:r w:rsidR="005853A9">
        <w:t xml:space="preserve"> and </w:t>
      </w:r>
      <w:r w:rsidRPr="001A3D2B">
        <w:t>1994, respectively</w:t>
      </w:r>
      <w:r w:rsidR="00A37C1D">
        <w:t>. The</w:t>
      </w:r>
      <w:r w:rsidR="003A1917">
        <w:t xml:space="preserve"> </w:t>
      </w:r>
      <w:r w:rsidRPr="001A3D2B">
        <w:t>elements most likely to be inaccurate were, in descending order</w:t>
      </w:r>
      <w:r w:rsidR="00427468">
        <w:t xml:space="preserve"> of </w:t>
      </w:r>
      <w:r w:rsidRPr="001A3D2B">
        <w:t>frequency article title, author,</w:t>
      </w:r>
      <w:r w:rsidR="005853A9">
        <w:t xml:space="preserve"> and </w:t>
      </w:r>
      <w:r w:rsidRPr="001A3D2B">
        <w:t>page number. No significant differences existed in</w:t>
      </w:r>
      <w:r w:rsidR="003A1917">
        <w:t xml:space="preserve"> the </w:t>
      </w:r>
      <w:r w:rsidRPr="001A3D2B">
        <w:t>error rate between</w:t>
      </w:r>
      <w:r w:rsidR="003A1917">
        <w:t xml:space="preserve"> the </w:t>
      </w:r>
      <w:r w:rsidRPr="001A3D2B">
        <w:t>two years. We have found many citation errors in</w:t>
      </w:r>
      <w:r w:rsidR="003A1917">
        <w:t xml:space="preserve"> the </w:t>
      </w:r>
      <w:r w:rsidRPr="001A3D2B">
        <w:t>reference lists</w:t>
      </w:r>
      <w:r w:rsidR="00427468">
        <w:t xml:space="preserve"> of </w:t>
      </w:r>
      <w:r w:rsidRPr="001A3D2B">
        <w:t>Acta Anaesthesiologica Scandinavica</w:t>
      </w:r>
      <w:r w:rsidR="005853A9">
        <w:t xml:space="preserve"> and </w:t>
      </w:r>
      <w:r w:rsidRPr="001A3D2B">
        <w:t>no improvement in these latest four years. All contributors to Acta Anaesthesiologica Scandinavica should thoroughly check</w:t>
      </w:r>
      <w:r w:rsidR="003A1917">
        <w:t xml:space="preserve"> the </w:t>
      </w:r>
      <w:r w:rsidRPr="001A3D2B">
        <w:t>accuracy</w:t>
      </w:r>
      <w:r w:rsidR="00427468">
        <w:t xml:space="preserve"> of </w:t>
      </w:r>
      <w:r w:rsidRPr="001A3D2B">
        <w:t>reference lists.</w:t>
      </w:r>
    </w:p>
    <w:p w:rsidR="003474F2" w:rsidRPr="001A3D2B" w:rsidRDefault="003474F2" w:rsidP="003474F2">
      <w:pPr>
        <w:pStyle w:val="a3"/>
      </w:pPr>
      <w:r w:rsidRPr="001A3D2B">
        <w:t xml:space="preserve">Keywords: Accuracy, Citation, Citation Errors, Citations, Documentation,Acta </w:t>
      </w:r>
      <w:r w:rsidRPr="001A3D2B">
        <w:lastRenderedPageBreak/>
        <w:t>Anaesthesiologica Scandinavica, Error, Error Rate, Errors, Improvement, Journal, Reference, References, Source, Volume</w:t>
      </w:r>
    </w:p>
    <w:p w:rsidR="003474F2" w:rsidRPr="001A3D2B" w:rsidRDefault="003474F2" w:rsidP="003474F2">
      <w:pPr>
        <w:pStyle w:val="a3"/>
      </w:pPr>
      <w:r w:rsidRPr="001A3D2B">
        <w:t>Gisvold, S.E. (1999), Citation analysis</w:t>
      </w:r>
      <w:r w:rsidR="005853A9">
        <w:t xml:space="preserve"> and </w:t>
      </w:r>
      <w:r w:rsidRPr="001A3D2B">
        <w:t>journal impact factors - is</w:t>
      </w:r>
      <w:r w:rsidR="003A1917">
        <w:t xml:space="preserve"> the </w:t>
      </w:r>
      <w:r w:rsidRPr="001A3D2B">
        <w:t>tail wagging</w:t>
      </w:r>
      <w:r w:rsidR="003A1917">
        <w:t xml:space="preserve"> the </w:t>
      </w:r>
      <w:r w:rsidRPr="001A3D2B">
        <w:t>dog?</w:t>
      </w:r>
      <w:r w:rsidRPr="001A3D2B">
        <w:rPr>
          <w:iCs/>
        </w:rPr>
        <w:t xml:space="preserve"> </w:t>
      </w:r>
      <w:r w:rsidRPr="001A3D2B">
        <w:rPr>
          <w:i/>
          <w:iCs/>
        </w:rPr>
        <w:t>Acta Anaesthesiologica Scandinavica</w:t>
      </w:r>
      <w:r w:rsidRPr="001A3D2B">
        <w:t xml:space="preserve">, </w:t>
      </w:r>
      <w:r w:rsidRPr="001A3D2B">
        <w:rPr>
          <w:b/>
          <w:bCs/>
        </w:rPr>
        <w:t>43</w:t>
      </w:r>
      <w:r w:rsidRPr="001A3D2B">
        <w:t xml:space="preserve"> (10), 971-973.</w:t>
      </w:r>
    </w:p>
    <w:p w:rsidR="003474F2" w:rsidRPr="001A3D2B" w:rsidRDefault="003474F2" w:rsidP="003474F2">
      <w:pPr>
        <w:pStyle w:val="a3"/>
      </w:pPr>
      <w:r w:rsidRPr="001A3D2B">
        <w:t xml:space="preserve">Full Text: </w:t>
      </w:r>
      <w:hyperlink r:id="rId92" w:history="1">
        <w:r w:rsidRPr="001A3D2B">
          <w:rPr>
            <w:rStyle w:val="a5"/>
          </w:rPr>
          <w:t>1999\Act Ana Sca43, 971.pdf</w:t>
        </w:r>
      </w:hyperlink>
    </w:p>
    <w:p w:rsidR="003474F2" w:rsidRPr="001A3D2B" w:rsidRDefault="003474F2" w:rsidP="003474F2">
      <w:pPr>
        <w:pStyle w:val="a3"/>
      </w:pPr>
      <w:r w:rsidRPr="001A3D2B">
        <w:t>? Boldt, J., Haisch, G.</w:t>
      </w:r>
      <w:r w:rsidR="005853A9">
        <w:t xml:space="preserve"> and </w:t>
      </w:r>
      <w:r w:rsidRPr="001A3D2B">
        <w:t>Maleck, W.H. (2000), Changes in</w:t>
      </w:r>
      <w:r w:rsidR="003A1917">
        <w:t xml:space="preserve"> the </w:t>
      </w:r>
      <w:r w:rsidRPr="001A3D2B">
        <w:t>impact factor</w:t>
      </w:r>
      <w:r w:rsidR="00427468">
        <w:t xml:space="preserve"> of </w:t>
      </w:r>
      <w:r w:rsidRPr="001A3D2B">
        <w:t>anesthesia/critical care journals within</w:t>
      </w:r>
      <w:r w:rsidR="003A1917">
        <w:t xml:space="preserve"> the </w:t>
      </w:r>
      <w:r w:rsidRPr="001A3D2B">
        <w:t xml:space="preserve">past 10 years. </w:t>
      </w:r>
      <w:r w:rsidRPr="001A3D2B">
        <w:rPr>
          <w:i/>
        </w:rPr>
        <w:t>Acta Anaesthesiologica Scandinavica</w:t>
      </w:r>
      <w:r w:rsidRPr="001A3D2B">
        <w:t xml:space="preserve">, </w:t>
      </w:r>
      <w:r w:rsidRPr="001A3D2B">
        <w:rPr>
          <w:b/>
        </w:rPr>
        <w:t>44</w:t>
      </w:r>
      <w:r w:rsidRPr="001A3D2B">
        <w:t xml:space="preserve"> (7), 842-849.</w:t>
      </w:r>
    </w:p>
    <w:p w:rsidR="003474F2" w:rsidRPr="001A3D2B" w:rsidRDefault="003474F2" w:rsidP="003474F2">
      <w:pPr>
        <w:pStyle w:val="a3"/>
      </w:pPr>
      <w:r w:rsidRPr="001A3D2B">
        <w:t xml:space="preserve">Full Text: </w:t>
      </w:r>
      <w:hyperlink r:id="rId93" w:history="1">
        <w:r w:rsidRPr="001A3D2B">
          <w:rPr>
            <w:rStyle w:val="a5"/>
          </w:rPr>
          <w:t>2000\Act Ana Sca44, 842.pdf</w:t>
        </w:r>
      </w:hyperlink>
    </w:p>
    <w:p w:rsidR="003474F2" w:rsidRPr="001A3D2B" w:rsidRDefault="003474F2" w:rsidP="003474F2">
      <w:pPr>
        <w:pStyle w:val="a3"/>
      </w:pPr>
      <w:r w:rsidRPr="001A3D2B">
        <w:t>Abstract: Background:</w:t>
      </w:r>
      <w:r w:rsidR="003A1917">
        <w:t xml:space="preserve"> the </w:t>
      </w:r>
      <w:r w:rsidRPr="001A3D2B">
        <w:t>impact factor (IF) is published by</w:t>
      </w:r>
      <w:r w:rsidR="003A1917">
        <w:t xml:space="preserve"> the </w:t>
      </w:r>
      <w:r w:rsidRPr="001A3D2B">
        <w:t>Institute for Scientific Information (ISI)</w:t>
      </w:r>
      <w:r w:rsidR="00A37C1D">
        <w:t>. The</w:t>
      </w:r>
      <w:r w:rsidRPr="001A3D2B">
        <w:t>re is a tendency to assess quality</w:t>
      </w:r>
      <w:r w:rsidR="00427468">
        <w:t xml:space="preserve"> of </w:t>
      </w:r>
      <w:r w:rsidRPr="001A3D2B">
        <w:t>scientific journals with</w:t>
      </w:r>
      <w:r w:rsidR="003A1917">
        <w:t xml:space="preserve"> the </w:t>
      </w:r>
      <w:r w:rsidRPr="001A3D2B">
        <w:t>help</w:t>
      </w:r>
      <w:r w:rsidR="00427468">
        <w:t xml:space="preserve"> of </w:t>
      </w:r>
      <w:r w:rsidR="003A1917">
        <w:t xml:space="preserve">the </w:t>
      </w:r>
      <w:r w:rsidRPr="001A3D2B">
        <w:t>IF. An analysis</w:t>
      </w:r>
      <w:r w:rsidR="00427468">
        <w:t xml:space="preserve"> of </w:t>
      </w:r>
      <w:r w:rsidR="003A1917">
        <w:t xml:space="preserve">the </w:t>
      </w:r>
      <w:r w:rsidRPr="001A3D2B">
        <w:t>changes in</w:t>
      </w:r>
      <w:r w:rsidR="003A1917">
        <w:t xml:space="preserve"> the </w:t>
      </w:r>
      <w:r w:rsidRPr="001A3D2B">
        <w:t>EF over time in</w:t>
      </w:r>
      <w:r w:rsidR="003A1917">
        <w:t xml:space="preserve"> the </w:t>
      </w:r>
      <w:r w:rsidRPr="001A3D2B">
        <w:t>different specialities may help to further enlighten</w:t>
      </w:r>
      <w:r w:rsidR="003A1917">
        <w:t xml:space="preserve"> the </w:t>
      </w:r>
      <w:r w:rsidRPr="001A3D2B">
        <w:t>worth</w:t>
      </w:r>
      <w:r w:rsidR="005853A9">
        <w:t xml:space="preserve"> and </w:t>
      </w:r>
      <w:r w:rsidRPr="001A3D2B">
        <w:t>problems</w:t>
      </w:r>
      <w:r w:rsidR="00427468">
        <w:t xml:space="preserve"> of </w:t>
      </w:r>
      <w:r w:rsidR="003A1917">
        <w:t xml:space="preserve">the </w:t>
      </w:r>
      <w:r w:rsidRPr="001A3D2B">
        <w:t>IF Methods:</w:t>
      </w:r>
      <w:r w:rsidR="003A1917">
        <w:t xml:space="preserve"> the </w:t>
      </w:r>
      <w:r w:rsidRPr="001A3D2B">
        <w:t>IFs listed under</w:t>
      </w:r>
      <w:r w:rsidR="003A1917">
        <w:t xml:space="preserve"> the </w:t>
      </w:r>
      <w:r w:rsidRPr="001A3D2B">
        <w:t>subheadings Anesthesiology</w:t>
      </w:r>
      <w:r w:rsidR="005853A9">
        <w:t xml:space="preserve"> and </w:t>
      </w:r>
      <w:r w:rsidRPr="001A3D2B">
        <w:t>Emergency Medicine &amp; Critical Care in</w:t>
      </w:r>
      <w:r w:rsidR="003A1917">
        <w:t xml:space="preserve"> the </w:t>
      </w:r>
      <w:r w:rsidRPr="001A3D2B">
        <w:t>Science Citation Index - Journal Citation Report were descriptively analysed over</w:t>
      </w:r>
      <w:r w:rsidR="003A1917">
        <w:t xml:space="preserve"> the </w:t>
      </w:r>
      <w:r w:rsidRPr="001A3D2B">
        <w:t>past 10 years. Additionally, IFs</w:t>
      </w:r>
      <w:r w:rsidR="00427468">
        <w:t xml:space="preserve"> of </w:t>
      </w:r>
      <w:r w:rsidRPr="001A3D2B">
        <w:t>some other important journals (subheadings Surgery, Cardiovascular, General Medicine) were analysed. Results:</w:t>
      </w:r>
      <w:r w:rsidR="003A1917">
        <w:t xml:space="preserve"> the </w:t>
      </w:r>
      <w:r w:rsidRPr="001A3D2B">
        <w:t>IF</w:t>
      </w:r>
      <w:r w:rsidR="00427468">
        <w:t xml:space="preserve"> of </w:t>
      </w:r>
      <w:r w:rsidRPr="001A3D2B">
        <w:t>most</w:t>
      </w:r>
      <w:r w:rsidR="00427468">
        <w:t xml:space="preserve"> of </w:t>
      </w:r>
      <w:r w:rsidR="003A1917">
        <w:t xml:space="preserve">the </w:t>
      </w:r>
      <w:r w:rsidRPr="001A3D2B">
        <w:t>journals showed a constant increase over</w:t>
      </w:r>
      <w:r w:rsidR="003A1917">
        <w:t xml:space="preserve"> the </w:t>
      </w:r>
      <w:r w:rsidRPr="001A3D2B">
        <w:t>years (average in Anesthesiology: +65%; average in Emergency Medicine gr Critical Care: +145%). IFs</w:t>
      </w:r>
      <w:r w:rsidR="00427468">
        <w:t xml:space="preserve"> of </w:t>
      </w:r>
      <w:r w:rsidR="003A1917">
        <w:t xml:space="preserve">the </w:t>
      </w:r>
      <w:r w:rsidRPr="001A3D2B">
        <w:t>highest ranked journals</w:t>
      </w:r>
      <w:r w:rsidR="00427468">
        <w:t xml:space="preserve"> of </w:t>
      </w:r>
      <w:r w:rsidRPr="001A3D2B">
        <w:t>other specialities showed a similar increase over</w:t>
      </w:r>
      <w:r w:rsidR="003A1917">
        <w:t xml:space="preserve"> the </w:t>
      </w:r>
      <w:r w:rsidRPr="001A3D2B">
        <w:t>years (average in surgical journals: +56%; average in cardiac journals: +59%; average in general journals: +40%). More Anesthesiology</w:t>
      </w:r>
      <w:r w:rsidR="005853A9">
        <w:t xml:space="preserve"> and </w:t>
      </w:r>
      <w:r w:rsidRPr="001A3D2B">
        <w:t>Emergency Medicine &amp; Critical Care journals originated from</w:t>
      </w:r>
      <w:r w:rsidR="003A1917">
        <w:t xml:space="preserve"> the </w:t>
      </w:r>
      <w:r w:rsidR="00D5664A">
        <w:t>USA</w:t>
      </w:r>
      <w:r w:rsidRPr="001A3D2B">
        <w:t xml:space="preserve"> show an IF &gt;2.0 over</w:t>
      </w:r>
      <w:r w:rsidR="003A1917">
        <w:t xml:space="preserve"> the </w:t>
      </w:r>
      <w:r w:rsidRPr="001A3D2B">
        <w:t>past 10 years than do European journals. Conclusion: Although</w:t>
      </w:r>
      <w:r w:rsidR="003A1917">
        <w:t xml:space="preserve"> the </w:t>
      </w:r>
      <w:r w:rsidRPr="001A3D2B">
        <w:t>value</w:t>
      </w:r>
      <w:r w:rsidR="00427468">
        <w:t xml:space="preserve"> of </w:t>
      </w:r>
      <w:r w:rsidR="003A1917">
        <w:t xml:space="preserve">the </w:t>
      </w:r>
      <w:r w:rsidRPr="001A3D2B">
        <w:t>IF is highly controversial, it is a frequently used tool to assess rating</w:t>
      </w:r>
      <w:r w:rsidR="00427468">
        <w:t xml:space="preserve"> of </w:t>
      </w:r>
      <w:r w:rsidRPr="001A3D2B">
        <w:t>a medical journal. Anesthesiology</w:t>
      </w:r>
      <w:r w:rsidR="005853A9">
        <w:t xml:space="preserve"> and </w:t>
      </w:r>
      <w:r w:rsidRPr="001A3D2B">
        <w:t>Emergency Medicine &amp; Critical Care journals showed a continuous increase in</w:t>
      </w:r>
      <w:r w:rsidR="003A1917">
        <w:t xml:space="preserve"> the </w:t>
      </w:r>
      <w:r w:rsidRPr="001A3D2B">
        <w:t>IF over</w:t>
      </w:r>
      <w:r w:rsidR="003A1917">
        <w:t xml:space="preserve"> the </w:t>
      </w:r>
      <w:r w:rsidRPr="001A3D2B">
        <w:t>past 10 years.</w:t>
      </w:r>
    </w:p>
    <w:p w:rsidR="003474F2" w:rsidRPr="001A3D2B" w:rsidRDefault="003474F2" w:rsidP="003474F2">
      <w:pPr>
        <w:pStyle w:val="a3"/>
      </w:pPr>
      <w:r w:rsidRPr="001A3D2B">
        <w:t>Keywords: Analysis, Care, Changes, General, Impact, Impact Factor, Institute for Scientific Information</w:t>
      </w:r>
      <w:r w:rsidR="00D5664A">
        <w:t>, ISI,</w:t>
      </w:r>
      <w:r w:rsidRPr="001A3D2B">
        <w:t xml:space="preserve"> Journal, Journals, Medical, Quality, Quality of, Science Citation Index, Scientific Journals, Specialities, </w:t>
      </w:r>
      <w:r w:rsidR="00D5664A">
        <w:t>USA</w:t>
      </w:r>
      <w:r w:rsidRPr="001A3D2B">
        <w:t>, Value</w:t>
      </w:r>
    </w:p>
    <w:p w:rsidR="00BB6F18" w:rsidRDefault="00BB6F18" w:rsidP="00BB6F18">
      <w:pPr>
        <w:pStyle w:val="a3"/>
        <w:rPr>
          <w:kern w:val="0"/>
        </w:rPr>
      </w:pPr>
      <w:r>
        <w:rPr>
          <w:rFonts w:hint="eastAsia"/>
          <w:kern w:val="0"/>
        </w:rPr>
        <w:t xml:space="preserve">? </w:t>
      </w:r>
      <w:r>
        <w:rPr>
          <w:kern w:val="0"/>
        </w:rPr>
        <w:t>Boldt, J., Maleck, W.H.</w:t>
      </w:r>
      <w:r w:rsidR="005853A9">
        <w:rPr>
          <w:kern w:val="0"/>
        </w:rPr>
        <w:t xml:space="preserve"> and </w:t>
      </w:r>
      <w:r>
        <w:rPr>
          <w:kern w:val="0"/>
        </w:rPr>
        <w:t>Fent, T. (2001), Price development in important anesthesia</w:t>
      </w:r>
      <w:r w:rsidR="005853A9">
        <w:rPr>
          <w:kern w:val="0"/>
        </w:rPr>
        <w:t xml:space="preserve"> and </w:t>
      </w:r>
      <w:r>
        <w:rPr>
          <w:kern w:val="0"/>
        </w:rPr>
        <w:t>critical care medicine journals in comparison to journals</w:t>
      </w:r>
      <w:r w:rsidR="00427468">
        <w:rPr>
          <w:kern w:val="0"/>
        </w:rPr>
        <w:t xml:space="preserve"> of </w:t>
      </w:r>
      <w:r>
        <w:rPr>
          <w:kern w:val="0"/>
        </w:rPr>
        <w:t xml:space="preserve">other disciplines. </w:t>
      </w:r>
      <w:r>
        <w:rPr>
          <w:i/>
          <w:iCs/>
          <w:kern w:val="0"/>
        </w:rPr>
        <w:t>Acta Anaesthesiologica Scandinavica</w:t>
      </w:r>
      <w:r>
        <w:rPr>
          <w:kern w:val="0"/>
        </w:rPr>
        <w:t xml:space="preserve">, </w:t>
      </w:r>
      <w:r>
        <w:rPr>
          <w:b/>
          <w:bCs/>
          <w:kern w:val="0"/>
        </w:rPr>
        <w:t>45</w:t>
      </w:r>
      <w:r>
        <w:rPr>
          <w:kern w:val="0"/>
        </w:rPr>
        <w:t xml:space="preserve"> (4), 458-464.</w:t>
      </w:r>
    </w:p>
    <w:p w:rsidR="00BB6F18" w:rsidRPr="001A3D2B" w:rsidRDefault="00BB6F18" w:rsidP="00BB6F18">
      <w:pPr>
        <w:pStyle w:val="a3"/>
      </w:pPr>
      <w:r w:rsidRPr="001A3D2B">
        <w:t xml:space="preserve">Full Text: </w:t>
      </w:r>
      <w:hyperlink r:id="rId94" w:history="1">
        <w:r w:rsidRPr="00787EEE">
          <w:rPr>
            <w:rStyle w:val="a5"/>
          </w:rPr>
          <w:t>2001\Act Ana Sca45, 458.pdf</w:t>
        </w:r>
      </w:hyperlink>
    </w:p>
    <w:p w:rsidR="00BB6F18" w:rsidRDefault="00BB6F18" w:rsidP="00BB6F18">
      <w:pPr>
        <w:pStyle w:val="a3"/>
        <w:rPr>
          <w:kern w:val="0"/>
        </w:rPr>
      </w:pPr>
      <w:r>
        <w:rPr>
          <w:kern w:val="0"/>
        </w:rPr>
        <w:t>Abstract: Background: in today</w:t>
      </w:r>
      <w:r w:rsidR="00700038">
        <w:rPr>
          <w:kern w:val="0"/>
        </w:rPr>
        <w:t>’</w:t>
      </w:r>
      <w:r w:rsidR="00C13DDC">
        <w:rPr>
          <w:kern w:val="0"/>
        </w:rPr>
        <w:t>s</w:t>
      </w:r>
      <w:r>
        <w:rPr>
          <w:kern w:val="0"/>
        </w:rPr>
        <w:t xml:space="preserve"> climate</w:t>
      </w:r>
      <w:r w:rsidR="00427468">
        <w:rPr>
          <w:kern w:val="0"/>
        </w:rPr>
        <w:t xml:space="preserve"> of </w:t>
      </w:r>
      <w:r>
        <w:rPr>
          <w:kern w:val="0"/>
        </w:rPr>
        <w:t>financial restrictions, Libraries</w:t>
      </w:r>
      <w:r w:rsidR="005853A9">
        <w:rPr>
          <w:kern w:val="0"/>
        </w:rPr>
        <w:t xml:space="preserve"> and </w:t>
      </w:r>
      <w:r>
        <w:rPr>
          <w:kern w:val="0"/>
        </w:rPr>
        <w:t>individual subscribers complain about</w:t>
      </w:r>
      <w:r w:rsidR="003A1917">
        <w:rPr>
          <w:kern w:val="0"/>
        </w:rPr>
        <w:t xml:space="preserve"> the </w:t>
      </w:r>
      <w:r>
        <w:rPr>
          <w:kern w:val="0"/>
        </w:rPr>
        <w:t>price increase</w:t>
      </w:r>
      <w:r w:rsidR="00427468">
        <w:rPr>
          <w:kern w:val="0"/>
        </w:rPr>
        <w:t xml:space="preserve"> of </w:t>
      </w:r>
      <w:r>
        <w:rPr>
          <w:kern w:val="0"/>
        </w:rPr>
        <w:t>scientific journals</w:t>
      </w:r>
      <w:r w:rsidR="00A37C1D">
        <w:rPr>
          <w:kern w:val="0"/>
        </w:rPr>
        <w:t>. The</w:t>
      </w:r>
      <w:r w:rsidR="003A1917">
        <w:rPr>
          <w:kern w:val="0"/>
        </w:rPr>
        <w:t xml:space="preserve"> </w:t>
      </w:r>
      <w:r>
        <w:rPr>
          <w:kern w:val="0"/>
        </w:rPr>
        <w:t>development in prices</w:t>
      </w:r>
      <w:r w:rsidR="00427468">
        <w:rPr>
          <w:kern w:val="0"/>
        </w:rPr>
        <w:t xml:space="preserve"> of </w:t>
      </w:r>
      <w:r>
        <w:rPr>
          <w:kern w:val="0"/>
        </w:rPr>
        <w:t>anesthesia/ critical care journals was analysed over</w:t>
      </w:r>
      <w:r w:rsidR="003A1917">
        <w:rPr>
          <w:kern w:val="0"/>
        </w:rPr>
        <w:t xml:space="preserve"> the </w:t>
      </w:r>
      <w:r>
        <w:rPr>
          <w:kern w:val="0"/>
        </w:rPr>
        <w:t>past 6 years</w:t>
      </w:r>
      <w:r w:rsidR="005853A9">
        <w:rPr>
          <w:kern w:val="0"/>
        </w:rPr>
        <w:t xml:space="preserve"> and </w:t>
      </w:r>
      <w:r>
        <w:rPr>
          <w:kern w:val="0"/>
        </w:rPr>
        <w:t>compared to prices</w:t>
      </w:r>
      <w:r w:rsidR="00427468">
        <w:rPr>
          <w:kern w:val="0"/>
        </w:rPr>
        <w:t xml:space="preserve"> of </w:t>
      </w:r>
      <w:r>
        <w:rPr>
          <w:kern w:val="0"/>
        </w:rPr>
        <w:t>some journals</w:t>
      </w:r>
      <w:r w:rsidR="00427468">
        <w:rPr>
          <w:kern w:val="0"/>
        </w:rPr>
        <w:t xml:space="preserve"> of </w:t>
      </w:r>
      <w:r>
        <w:rPr>
          <w:kern w:val="0"/>
        </w:rPr>
        <w:t>other disciplines. Methods: Important journals in</w:t>
      </w:r>
      <w:r w:rsidR="003A1917">
        <w:rPr>
          <w:kern w:val="0"/>
        </w:rPr>
        <w:t xml:space="preserve"> the </w:t>
      </w:r>
      <w:r>
        <w:rPr>
          <w:kern w:val="0"/>
        </w:rPr>
        <w:t xml:space="preserve">categories Anesthesiology, Emergency Medicine &amp; Critical </w:t>
      </w:r>
      <w:r>
        <w:rPr>
          <w:kern w:val="0"/>
        </w:rPr>
        <w:lastRenderedPageBreak/>
        <w:t>Care, Surgery, Medicine (General),</w:t>
      </w:r>
      <w:r w:rsidR="005853A9">
        <w:rPr>
          <w:kern w:val="0"/>
        </w:rPr>
        <w:t xml:space="preserve"> and </w:t>
      </w:r>
      <w:r>
        <w:rPr>
          <w:kern w:val="0"/>
        </w:rPr>
        <w:t>Cardiac &amp; Cardiovascular Systems listed in</w:t>
      </w:r>
      <w:r w:rsidR="003A1917">
        <w:rPr>
          <w:kern w:val="0"/>
        </w:rPr>
        <w:t xml:space="preserve"> the </w:t>
      </w:r>
      <w:r>
        <w:rPr>
          <w:kern w:val="0"/>
        </w:rPr>
        <w:t>1999 Science Citation Index</w:t>
      </w:r>
      <w:r w:rsidR="00427468">
        <w:rPr>
          <w:kern w:val="0"/>
        </w:rPr>
        <w:t xml:space="preserve"> of </w:t>
      </w:r>
      <w:r>
        <w:rPr>
          <w:kern w:val="0"/>
        </w:rPr>
        <w:t>Journal Citation Report were included</w:t>
      </w:r>
      <w:r w:rsidR="005853A9">
        <w:rPr>
          <w:kern w:val="0"/>
        </w:rPr>
        <w:t xml:space="preserve"> and </w:t>
      </w:r>
      <w:r>
        <w:rPr>
          <w:kern w:val="0"/>
        </w:rPr>
        <w:t>prices for</w:t>
      </w:r>
      <w:r w:rsidR="003A1917">
        <w:rPr>
          <w:kern w:val="0"/>
        </w:rPr>
        <w:t xml:space="preserve"> the </w:t>
      </w:r>
      <w:r>
        <w:rPr>
          <w:kern w:val="0"/>
        </w:rPr>
        <w:t>years 1995 to 2000 were analysed. Results: Increase in prices ranged from +13% to +199%</w:t>
      </w:r>
      <w:r w:rsidR="00A37C1D">
        <w:rPr>
          <w:kern w:val="0"/>
        </w:rPr>
        <w:t>. The</w:t>
      </w:r>
      <w:r w:rsidR="003A1917">
        <w:rPr>
          <w:kern w:val="0"/>
        </w:rPr>
        <w:t xml:space="preserve"> </w:t>
      </w:r>
      <w:r>
        <w:rPr>
          <w:kern w:val="0"/>
        </w:rPr>
        <w:t>mean increase in journal prices was lowest in</w:t>
      </w:r>
      <w:r w:rsidR="003A1917">
        <w:rPr>
          <w:kern w:val="0"/>
        </w:rPr>
        <w:t xml:space="preserve"> the </w:t>
      </w:r>
      <w:r>
        <w:rPr>
          <w:kern w:val="0"/>
        </w:rPr>
        <w:t>category Anesthesiology (+61%), higher in</w:t>
      </w:r>
      <w:r w:rsidR="003A1917">
        <w:rPr>
          <w:kern w:val="0"/>
        </w:rPr>
        <w:t xml:space="preserve"> the </w:t>
      </w:r>
      <w:r>
        <w:rPr>
          <w:kern w:val="0"/>
        </w:rPr>
        <w:t>category Critical Cave (+73%),</w:t>
      </w:r>
      <w:r w:rsidR="005853A9">
        <w:rPr>
          <w:kern w:val="0"/>
        </w:rPr>
        <w:t xml:space="preserve"> and </w:t>
      </w:r>
      <w:r>
        <w:rPr>
          <w:kern w:val="0"/>
        </w:rPr>
        <w:t>highest in</w:t>
      </w:r>
      <w:r w:rsidR="003A1917">
        <w:rPr>
          <w:kern w:val="0"/>
        </w:rPr>
        <w:t xml:space="preserve"> the </w:t>
      </w:r>
      <w:r>
        <w:rPr>
          <w:kern w:val="0"/>
        </w:rPr>
        <w:t>category Medicine, General (+101%). Changes in</w:t>
      </w:r>
      <w:r w:rsidR="003A1917">
        <w:rPr>
          <w:kern w:val="0"/>
        </w:rPr>
        <w:t xml:space="preserve"> the </w:t>
      </w:r>
      <w:r>
        <w:rPr>
          <w:kern w:val="0"/>
        </w:rPr>
        <w:t>impact factor (IF) varied widely, ranging from a decrease (Lancet: -43%; J Neurosurg Anesth: -44%) to a tremendous increase (e.g. Reg Anesth +165%; Ann Emerg Med +149%)</w:t>
      </w:r>
      <w:r w:rsidR="00A37C1D">
        <w:rPr>
          <w:kern w:val="0"/>
        </w:rPr>
        <w:t>. The</w:t>
      </w:r>
      <w:r w:rsidR="003A1917">
        <w:rPr>
          <w:kern w:val="0"/>
        </w:rPr>
        <w:t xml:space="preserve"> </w:t>
      </w:r>
      <w:r>
        <w:rPr>
          <w:kern w:val="0"/>
        </w:rPr>
        <w:t>journals</w:t>
      </w:r>
      <w:r w:rsidR="00700038">
        <w:rPr>
          <w:kern w:val="0"/>
        </w:rPr>
        <w:t>’</w:t>
      </w:r>
      <w:r>
        <w:rPr>
          <w:kern w:val="0"/>
        </w:rPr>
        <w:t xml:space="preserve"> size (number</w:t>
      </w:r>
      <w:r w:rsidR="00427468">
        <w:rPr>
          <w:kern w:val="0"/>
        </w:rPr>
        <w:t xml:space="preserve"> of </w:t>
      </w:r>
      <w:r>
        <w:rPr>
          <w:kern w:val="0"/>
        </w:rPr>
        <w:t>articles or pages) did not increase proportionally with</w:t>
      </w:r>
      <w:r w:rsidR="003A1917">
        <w:rPr>
          <w:kern w:val="0"/>
        </w:rPr>
        <w:t xml:space="preserve"> the </w:t>
      </w:r>
      <w:r>
        <w:rPr>
          <w:kern w:val="0"/>
        </w:rPr>
        <w:t>increase in prices. Conclusion: A disproportionate rise in journal prices was seen over</w:t>
      </w:r>
      <w:r w:rsidR="003A1917">
        <w:rPr>
          <w:kern w:val="0"/>
        </w:rPr>
        <w:t xml:space="preserve"> the </w:t>
      </w:r>
      <w:r>
        <w:rPr>
          <w:kern w:val="0"/>
        </w:rPr>
        <w:t>past 6 years</w:t>
      </w:r>
      <w:r w:rsidR="00A37C1D">
        <w:rPr>
          <w:kern w:val="0"/>
        </w:rPr>
        <w:t>. The</w:t>
      </w:r>
      <w:r w:rsidR="003A1917">
        <w:rPr>
          <w:kern w:val="0"/>
        </w:rPr>
        <w:t xml:space="preserve"> </w:t>
      </w:r>
      <w:r>
        <w:rPr>
          <w:kern w:val="0"/>
        </w:rPr>
        <w:t>large increase in cost may have multiple reasons</w:t>
      </w:r>
      <w:r w:rsidR="00A37C1D">
        <w:rPr>
          <w:kern w:val="0"/>
        </w:rPr>
        <w:t>. The</w:t>
      </w:r>
      <w:r w:rsidR="003A1917">
        <w:rPr>
          <w:kern w:val="0"/>
        </w:rPr>
        <w:t xml:space="preserve"> </w:t>
      </w:r>
      <w:r>
        <w:rPr>
          <w:kern w:val="0"/>
        </w:rPr>
        <w:t>rapidly increasing cost</w:t>
      </w:r>
      <w:r w:rsidR="00427468">
        <w:rPr>
          <w:kern w:val="0"/>
        </w:rPr>
        <w:t xml:space="preserve"> of </w:t>
      </w:r>
      <w:r>
        <w:rPr>
          <w:kern w:val="0"/>
        </w:rPr>
        <w:t>research journals may affect research quality because economic pressure may result in reduction in availibility</w:t>
      </w:r>
      <w:r w:rsidR="00427468">
        <w:rPr>
          <w:kern w:val="0"/>
        </w:rPr>
        <w:t xml:space="preserve"> of </w:t>
      </w:r>
      <w:r>
        <w:rPr>
          <w:kern w:val="0"/>
        </w:rPr>
        <w:t>information due to cancellation</w:t>
      </w:r>
      <w:r w:rsidR="00427468">
        <w:rPr>
          <w:kern w:val="0"/>
        </w:rPr>
        <w:t xml:space="preserve"> of </w:t>
      </w:r>
      <w:r>
        <w:rPr>
          <w:kern w:val="0"/>
        </w:rPr>
        <w:t>subscriptions to journals.</w:t>
      </w:r>
    </w:p>
    <w:p w:rsidR="00BB6F18" w:rsidRDefault="00BB6F18" w:rsidP="00BB6F18">
      <w:pPr>
        <w:pStyle w:val="a3"/>
        <w:rPr>
          <w:kern w:val="0"/>
        </w:rPr>
      </w:pPr>
      <w:r>
        <w:rPr>
          <w:kern w:val="0"/>
        </w:rPr>
        <w:t>Keywords: Anesthesia, Articles, Citation, Comparison, Costs, Critical Care, Critical Care Medicine, Development, Economic, General Medicine, IF, Impact, Impact Factor, Journal, Journals, Libraries, Medicine, Price, Prices, Reduction, Research, Research Journals, Research Quality, Science, Science Citation Index, Scientific Journals, Surgery</w:t>
      </w:r>
    </w:p>
    <w:p w:rsidR="003474F2" w:rsidRPr="001A3D2B" w:rsidRDefault="003474F2" w:rsidP="003474F2">
      <w:pPr>
        <w:pStyle w:val="a3"/>
      </w:pPr>
      <w:r w:rsidRPr="001A3D2B">
        <w:t>Fassoulaki, A., Papilas, K., Paraskeva, A.</w:t>
      </w:r>
      <w:r w:rsidR="005853A9">
        <w:t xml:space="preserve"> and </w:t>
      </w:r>
      <w:r w:rsidRPr="001A3D2B">
        <w:t>Patris, K. (2002), Impact factor bias</w:t>
      </w:r>
      <w:r w:rsidR="005853A9">
        <w:t xml:space="preserve"> and </w:t>
      </w:r>
      <w:r w:rsidRPr="001A3D2B">
        <w:t>proposed adjustments for its determination.</w:t>
      </w:r>
      <w:r w:rsidRPr="001A3D2B">
        <w:rPr>
          <w:iCs/>
        </w:rPr>
        <w:t xml:space="preserve"> </w:t>
      </w:r>
      <w:r w:rsidRPr="001A3D2B">
        <w:rPr>
          <w:i/>
          <w:iCs/>
        </w:rPr>
        <w:t>Acta Anaesthesiologica Scandinavica</w:t>
      </w:r>
      <w:r w:rsidRPr="001A3D2B">
        <w:t xml:space="preserve">, </w:t>
      </w:r>
      <w:r w:rsidRPr="001A3D2B">
        <w:rPr>
          <w:b/>
          <w:bCs/>
        </w:rPr>
        <w:t>46</w:t>
      </w:r>
      <w:r w:rsidRPr="001A3D2B">
        <w:t xml:space="preserve"> (7), 902-905.</w:t>
      </w:r>
    </w:p>
    <w:p w:rsidR="003474F2" w:rsidRPr="001A3D2B" w:rsidRDefault="003474F2" w:rsidP="003474F2">
      <w:pPr>
        <w:pStyle w:val="a3"/>
      </w:pPr>
      <w:r w:rsidRPr="001A3D2B">
        <w:t xml:space="preserve">Full Text: </w:t>
      </w:r>
      <w:hyperlink r:id="rId95" w:history="1">
        <w:r w:rsidRPr="001A3D2B">
          <w:rPr>
            <w:rStyle w:val="a5"/>
          </w:rPr>
          <w:t>2002\Act Ana Sca46, 902.pdf</w:t>
        </w:r>
      </w:hyperlink>
    </w:p>
    <w:p w:rsidR="00630BBF" w:rsidRPr="001A3D2B" w:rsidRDefault="00630BBF" w:rsidP="00630BBF">
      <w:pPr>
        <w:pStyle w:val="a3"/>
        <w:rPr>
          <w:kern w:val="0"/>
        </w:rPr>
      </w:pPr>
      <w:r w:rsidRPr="001A3D2B">
        <w:rPr>
          <w:kern w:val="0"/>
        </w:rPr>
        <w:t>Abstract: Background:</w:t>
      </w:r>
      <w:r w:rsidR="003A1917">
        <w:rPr>
          <w:kern w:val="0"/>
        </w:rPr>
        <w:t xml:space="preserve"> the </w:t>
      </w:r>
      <w:r w:rsidRPr="001A3D2B">
        <w:rPr>
          <w:kern w:val="0"/>
        </w:rPr>
        <w:t>impact factor (IF), a qualitative parameter used to evaluate scientific journals, has several flaws</w:t>
      </w:r>
      <w:r w:rsidR="00A37C1D">
        <w:rPr>
          <w:kern w:val="0"/>
        </w:rPr>
        <w:t>. The</w:t>
      </w:r>
      <w:r w:rsidR="003A1917">
        <w:rPr>
          <w:kern w:val="0"/>
        </w:rPr>
        <w:t xml:space="preserve"> </w:t>
      </w:r>
      <w:r w:rsidRPr="001A3D2B">
        <w:rPr>
          <w:kern w:val="0"/>
        </w:rPr>
        <w:t>aim</w:t>
      </w:r>
      <w:r w:rsidR="00427468">
        <w:rPr>
          <w:kern w:val="0"/>
        </w:rPr>
        <w:t xml:space="preserve"> of </w:t>
      </w:r>
      <w:r w:rsidR="003A1917">
        <w:rPr>
          <w:kern w:val="0"/>
        </w:rPr>
        <w:t xml:space="preserve">the </w:t>
      </w:r>
      <w:r w:rsidRPr="001A3D2B">
        <w:rPr>
          <w:kern w:val="0"/>
        </w:rPr>
        <w:t>study was to evaluate two</w:t>
      </w:r>
      <w:r w:rsidR="00427468">
        <w:rPr>
          <w:kern w:val="0"/>
        </w:rPr>
        <w:t xml:space="preserve"> of </w:t>
      </w:r>
      <w:r w:rsidRPr="001A3D2B">
        <w:rPr>
          <w:kern w:val="0"/>
        </w:rPr>
        <w:t>its important constraints, journal self-citation</w:t>
      </w:r>
      <w:r w:rsidR="005853A9">
        <w:rPr>
          <w:kern w:val="0"/>
        </w:rPr>
        <w:t xml:space="preserve"> and </w:t>
      </w:r>
      <w:r w:rsidRPr="001A3D2B">
        <w:rPr>
          <w:kern w:val="0"/>
        </w:rPr>
        <w:t>scientific field,</w:t>
      </w:r>
      <w:r w:rsidR="005853A9">
        <w:rPr>
          <w:kern w:val="0"/>
        </w:rPr>
        <w:t xml:space="preserve"> and </w:t>
      </w:r>
      <w:r w:rsidRPr="001A3D2B">
        <w:rPr>
          <w:kern w:val="0"/>
        </w:rPr>
        <w:t>to investigate</w:t>
      </w:r>
      <w:r w:rsidR="003A1917">
        <w:rPr>
          <w:kern w:val="0"/>
        </w:rPr>
        <w:t xml:space="preserve"> the </w:t>
      </w:r>
      <w:r w:rsidRPr="001A3D2B">
        <w:rPr>
          <w:kern w:val="0"/>
        </w:rPr>
        <w:t>potential for improvement. Methods: We studied</w:t>
      </w:r>
      <w:r w:rsidR="003A1917">
        <w:rPr>
          <w:kern w:val="0"/>
        </w:rPr>
        <w:t xml:space="preserve"> the </w:t>
      </w:r>
      <w:r w:rsidRPr="001A3D2B">
        <w:rPr>
          <w:kern w:val="0"/>
        </w:rPr>
        <w:t>five or six highest impact journals from each</w:t>
      </w:r>
      <w:r w:rsidR="00427468">
        <w:rPr>
          <w:kern w:val="0"/>
        </w:rPr>
        <w:t xml:space="preserve"> of </w:t>
      </w:r>
      <w:r w:rsidRPr="001A3D2B">
        <w:rPr>
          <w:kern w:val="0"/>
        </w:rPr>
        <w:t>seven medical fields: anesthesiology, dermatology, genetics</w:t>
      </w:r>
      <w:r w:rsidR="005853A9">
        <w:rPr>
          <w:kern w:val="0"/>
        </w:rPr>
        <w:t xml:space="preserve"> and </w:t>
      </w:r>
      <w:r w:rsidRPr="001A3D2B">
        <w:rPr>
          <w:kern w:val="0"/>
        </w:rPr>
        <w:t>heredity, immunology, general</w:t>
      </w:r>
      <w:r w:rsidR="005853A9">
        <w:rPr>
          <w:kern w:val="0"/>
        </w:rPr>
        <w:t xml:space="preserve"> and </w:t>
      </w:r>
      <w:r w:rsidRPr="001A3D2B">
        <w:rPr>
          <w:kern w:val="0"/>
        </w:rPr>
        <w:t>internal medicine, ophthalmology</w:t>
      </w:r>
      <w:r w:rsidR="005853A9">
        <w:rPr>
          <w:kern w:val="0"/>
        </w:rPr>
        <w:t xml:space="preserve"> and </w:t>
      </w:r>
      <w:r w:rsidRPr="001A3D2B">
        <w:rPr>
          <w:kern w:val="0"/>
        </w:rPr>
        <w:t>surgery. To correct for journal self-citation, we divided</w:t>
      </w:r>
      <w:r w:rsidR="003A1917">
        <w:rPr>
          <w:kern w:val="0"/>
        </w:rPr>
        <w:t xml:space="preserve"> the </w:t>
      </w:r>
      <w:r w:rsidRPr="001A3D2B">
        <w:rPr>
          <w:kern w:val="0"/>
        </w:rPr>
        <w:t>number</w:t>
      </w:r>
      <w:r w:rsidR="00427468">
        <w:rPr>
          <w:kern w:val="0"/>
        </w:rPr>
        <w:t xml:space="preserve"> of </w:t>
      </w:r>
      <w:r w:rsidRPr="001A3D2B">
        <w:rPr>
          <w:kern w:val="0"/>
        </w:rPr>
        <w:t>1998 citations</w:t>
      </w:r>
      <w:r w:rsidR="00427468">
        <w:rPr>
          <w:kern w:val="0"/>
        </w:rPr>
        <w:t xml:space="preserve"> of </w:t>
      </w:r>
      <w:r w:rsidRPr="001A3D2B">
        <w:rPr>
          <w:kern w:val="0"/>
        </w:rPr>
        <w:t>papers published in 1996</w:t>
      </w:r>
      <w:r w:rsidR="005853A9">
        <w:rPr>
          <w:kern w:val="0"/>
        </w:rPr>
        <w:t xml:space="preserve"> and </w:t>
      </w:r>
      <w:r w:rsidRPr="001A3D2B">
        <w:rPr>
          <w:kern w:val="0"/>
        </w:rPr>
        <w:t>1997, minus</w:t>
      </w:r>
      <w:r w:rsidR="003A1917">
        <w:rPr>
          <w:kern w:val="0"/>
        </w:rPr>
        <w:t xml:space="preserve"> the </w:t>
      </w:r>
      <w:r w:rsidRPr="001A3D2B">
        <w:rPr>
          <w:kern w:val="0"/>
        </w:rPr>
        <w:t>self-citations, by</w:t>
      </w:r>
      <w:r w:rsidR="003A1917">
        <w:rPr>
          <w:kern w:val="0"/>
        </w:rPr>
        <w:t xml:space="preserve"> the </w:t>
      </w:r>
      <w:r w:rsidRPr="001A3D2B">
        <w:rPr>
          <w:kern w:val="0"/>
        </w:rPr>
        <w:t>number</w:t>
      </w:r>
      <w:r w:rsidR="00427468">
        <w:rPr>
          <w:kern w:val="0"/>
        </w:rPr>
        <w:t xml:space="preserve"> of </w:t>
      </w:r>
      <w:r w:rsidRPr="001A3D2B">
        <w:rPr>
          <w:kern w:val="0"/>
        </w:rPr>
        <w:t>papers published in</w:t>
      </w:r>
      <w:r w:rsidR="003A1917">
        <w:rPr>
          <w:kern w:val="0"/>
        </w:rPr>
        <w:t xml:space="preserve"> the </w:t>
      </w:r>
      <w:r w:rsidRPr="001A3D2B">
        <w:rPr>
          <w:kern w:val="0"/>
        </w:rPr>
        <w:t>same period. For inter-field normalization we divided</w:t>
      </w:r>
      <w:r w:rsidR="003A1917">
        <w:rPr>
          <w:kern w:val="0"/>
        </w:rPr>
        <w:t xml:space="preserve"> the </w:t>
      </w:r>
      <w:r w:rsidRPr="001A3D2B">
        <w:rPr>
          <w:kern w:val="0"/>
        </w:rPr>
        <w:t>IF by</w:t>
      </w:r>
      <w:r w:rsidR="003A1917">
        <w:rPr>
          <w:kern w:val="0"/>
        </w:rPr>
        <w:t xml:space="preserve"> the </w:t>
      </w:r>
      <w:r w:rsidRPr="001A3D2B">
        <w:rPr>
          <w:kern w:val="0"/>
        </w:rPr>
        <w:t>mean</w:t>
      </w:r>
      <w:r w:rsidR="00427468">
        <w:rPr>
          <w:kern w:val="0"/>
        </w:rPr>
        <w:t xml:space="preserve"> of </w:t>
      </w:r>
      <w:r w:rsidR="003A1917">
        <w:rPr>
          <w:kern w:val="0"/>
        </w:rPr>
        <w:t xml:space="preserve">the </w:t>
      </w:r>
      <w:r w:rsidRPr="001A3D2B">
        <w:rPr>
          <w:kern w:val="0"/>
        </w:rPr>
        <w:t>IFs</w:t>
      </w:r>
      <w:r w:rsidR="00427468">
        <w:rPr>
          <w:kern w:val="0"/>
        </w:rPr>
        <w:t xml:space="preserve"> of </w:t>
      </w:r>
      <w:r w:rsidR="003A1917">
        <w:rPr>
          <w:kern w:val="0"/>
        </w:rPr>
        <w:t xml:space="preserve">the </w:t>
      </w:r>
      <w:r w:rsidRPr="001A3D2B">
        <w:rPr>
          <w:kern w:val="0"/>
        </w:rPr>
        <w:t>upper quartile for</w:t>
      </w:r>
      <w:r w:rsidR="003A1917">
        <w:rPr>
          <w:kern w:val="0"/>
        </w:rPr>
        <w:t xml:space="preserve"> the </w:t>
      </w:r>
      <w:r w:rsidRPr="001A3D2B">
        <w:rPr>
          <w:kern w:val="0"/>
        </w:rPr>
        <w:t>same category</w:t>
      </w:r>
      <w:r w:rsidR="00427468">
        <w:rPr>
          <w:kern w:val="0"/>
        </w:rPr>
        <w:t xml:space="preserve"> of </w:t>
      </w:r>
      <w:r w:rsidRPr="001A3D2B">
        <w:rPr>
          <w:kern w:val="0"/>
        </w:rPr>
        <w:t>medical field (IF/f(cat)</w:t>
      </w:r>
      <w:r w:rsidR="00C26C67">
        <w:rPr>
          <w:kern w:val="0"/>
        </w:rPr>
        <w:t>)</w:t>
      </w:r>
      <w:r w:rsidRPr="001A3D2B">
        <w:rPr>
          <w:kern w:val="0"/>
        </w:rPr>
        <w:t>. Results: For</w:t>
      </w:r>
      <w:r w:rsidR="003A1917">
        <w:rPr>
          <w:kern w:val="0"/>
        </w:rPr>
        <w:t xml:space="preserve"> the </w:t>
      </w:r>
      <w:r w:rsidRPr="001A3D2B">
        <w:rPr>
          <w:kern w:val="0"/>
        </w:rPr>
        <w:t>36 journals, there was a negative correlation between IF</w:t>
      </w:r>
      <w:r w:rsidR="005853A9">
        <w:rPr>
          <w:kern w:val="0"/>
        </w:rPr>
        <w:t xml:space="preserve"> and </w:t>
      </w:r>
      <w:r w:rsidRPr="001A3D2B">
        <w:rPr>
          <w:kern w:val="0"/>
        </w:rPr>
        <w:t>self-cited</w:t>
      </w:r>
      <w:r w:rsidR="005853A9">
        <w:rPr>
          <w:kern w:val="0"/>
        </w:rPr>
        <w:t xml:space="preserve"> and </w:t>
      </w:r>
      <w:r w:rsidRPr="001A3D2B">
        <w:rPr>
          <w:kern w:val="0"/>
        </w:rPr>
        <w:t>self-citing rates (r (s) = -0.765, P &lt; 0.001</w:t>
      </w:r>
      <w:r w:rsidR="005853A9">
        <w:rPr>
          <w:kern w:val="0"/>
        </w:rPr>
        <w:t xml:space="preserve"> and </w:t>
      </w:r>
      <w:r w:rsidRPr="001A3D2B">
        <w:rPr>
          <w:kern w:val="0"/>
        </w:rPr>
        <w:t>r (s) = -0.479, P &lt; 0.003, respectively). Self-cited rate is</w:t>
      </w:r>
      <w:r w:rsidR="003A1917">
        <w:rPr>
          <w:kern w:val="0"/>
        </w:rPr>
        <w:t xml:space="preserve"> the </w:t>
      </w:r>
      <w:r w:rsidRPr="001A3D2B">
        <w:rPr>
          <w:kern w:val="0"/>
        </w:rPr>
        <w:t>ratio</w:t>
      </w:r>
      <w:r w:rsidR="00427468">
        <w:rPr>
          <w:kern w:val="0"/>
        </w:rPr>
        <w:t xml:space="preserve"> of </w:t>
      </w:r>
      <w:r w:rsidRPr="001A3D2B">
        <w:rPr>
          <w:kern w:val="0"/>
        </w:rPr>
        <w:t>a journal</w:t>
      </w:r>
      <w:r w:rsidR="00700038">
        <w:rPr>
          <w:kern w:val="0"/>
        </w:rPr>
        <w:t>’</w:t>
      </w:r>
      <w:r w:rsidR="00C13DDC">
        <w:rPr>
          <w:kern w:val="0"/>
        </w:rPr>
        <w:t>s</w:t>
      </w:r>
      <w:r w:rsidRPr="001A3D2B">
        <w:rPr>
          <w:kern w:val="0"/>
        </w:rPr>
        <w:t xml:space="preserve"> self-citations to</w:t>
      </w:r>
      <w:r w:rsidR="003A1917">
        <w:rPr>
          <w:kern w:val="0"/>
        </w:rPr>
        <w:t xml:space="preserve"> the </w:t>
      </w:r>
      <w:r w:rsidRPr="001A3D2B">
        <w:rPr>
          <w:kern w:val="0"/>
        </w:rPr>
        <w:t>number</w:t>
      </w:r>
      <w:r w:rsidR="00427468">
        <w:rPr>
          <w:kern w:val="0"/>
        </w:rPr>
        <w:t xml:space="preserve"> of </w:t>
      </w:r>
      <w:r w:rsidRPr="001A3D2B">
        <w:rPr>
          <w:kern w:val="0"/>
        </w:rPr>
        <w:t>times it is cited by all journals including itself. Self-citing rate relates a journal</w:t>
      </w:r>
      <w:r w:rsidR="00700038">
        <w:rPr>
          <w:kern w:val="0"/>
        </w:rPr>
        <w:t>’</w:t>
      </w:r>
      <w:r w:rsidR="00C13DDC">
        <w:rPr>
          <w:kern w:val="0"/>
        </w:rPr>
        <w:t>s</w:t>
      </w:r>
      <w:r w:rsidRPr="001A3D2B">
        <w:rPr>
          <w:kern w:val="0"/>
        </w:rPr>
        <w:t xml:space="preserve"> self-citations to</w:t>
      </w:r>
      <w:r w:rsidR="003A1917">
        <w:rPr>
          <w:kern w:val="0"/>
        </w:rPr>
        <w:t xml:space="preserve"> the </w:t>
      </w:r>
      <w:r w:rsidRPr="001A3D2B">
        <w:rPr>
          <w:kern w:val="0"/>
        </w:rPr>
        <w:t>total references it makes</w:t>
      </w:r>
      <w:r w:rsidR="00A37C1D">
        <w:rPr>
          <w:kern w:val="0"/>
        </w:rPr>
        <w:t>. The</w:t>
      </w:r>
      <w:r w:rsidR="003A1917">
        <w:rPr>
          <w:kern w:val="0"/>
        </w:rPr>
        <w:t xml:space="preserve"> </w:t>
      </w:r>
      <w:r w:rsidRPr="001A3D2B">
        <w:rPr>
          <w:kern w:val="0"/>
        </w:rPr>
        <w:t>IF/f(cat) for</w:t>
      </w:r>
      <w:r w:rsidR="003A1917">
        <w:rPr>
          <w:kern w:val="0"/>
        </w:rPr>
        <w:t xml:space="preserve"> the </w:t>
      </w:r>
      <w:r w:rsidRPr="001A3D2B">
        <w:rPr>
          <w:kern w:val="0"/>
        </w:rPr>
        <w:t xml:space="preserve">36 journals are positively correlated with their conventional IF (r (s) = 0.91, P &lt; 0.001). </w:t>
      </w:r>
      <w:r w:rsidRPr="001A3D2B">
        <w:rPr>
          <w:kern w:val="0"/>
        </w:rPr>
        <w:lastRenderedPageBreak/>
        <w:t>Conclusion: Correcting</w:t>
      </w:r>
      <w:r w:rsidR="003A1917">
        <w:rPr>
          <w:kern w:val="0"/>
        </w:rPr>
        <w:t xml:space="preserve"> the </w:t>
      </w:r>
      <w:r w:rsidRPr="001A3D2B">
        <w:rPr>
          <w:kern w:val="0"/>
        </w:rPr>
        <w:t>IF</w:t>
      </w:r>
      <w:r w:rsidR="00427468">
        <w:rPr>
          <w:kern w:val="0"/>
        </w:rPr>
        <w:t xml:space="preserve"> of </w:t>
      </w:r>
      <w:r w:rsidR="003A1917">
        <w:rPr>
          <w:kern w:val="0"/>
        </w:rPr>
        <w:t xml:space="preserve">the </w:t>
      </w:r>
      <w:r w:rsidRPr="001A3D2B">
        <w:rPr>
          <w:kern w:val="0"/>
        </w:rPr>
        <w:t>36 journals for self-citation did not significantly change journal rankings</w:t>
      </w:r>
      <w:r w:rsidR="00A37C1D">
        <w:rPr>
          <w:kern w:val="0"/>
        </w:rPr>
        <w:t>. The</w:t>
      </w:r>
      <w:r w:rsidR="003A1917">
        <w:rPr>
          <w:kern w:val="0"/>
        </w:rPr>
        <w:t xml:space="preserve"> </w:t>
      </w:r>
      <w:r w:rsidRPr="001A3D2B">
        <w:rPr>
          <w:kern w:val="0"/>
        </w:rPr>
        <w:t>adjusted IF/f(cat) to normalize for</w:t>
      </w:r>
      <w:r w:rsidR="003A1917">
        <w:rPr>
          <w:kern w:val="0"/>
        </w:rPr>
        <w:t xml:space="preserve"> the </w:t>
      </w:r>
      <w:r w:rsidRPr="001A3D2B">
        <w:rPr>
          <w:kern w:val="0"/>
        </w:rPr>
        <w:t>scientific field was positively correlated with</w:t>
      </w:r>
      <w:r w:rsidR="003A1917">
        <w:rPr>
          <w:kern w:val="0"/>
        </w:rPr>
        <w:t xml:space="preserve"> the </w:t>
      </w:r>
      <w:r w:rsidRPr="001A3D2B">
        <w:rPr>
          <w:kern w:val="0"/>
        </w:rPr>
        <w:t>conventional IF.</w:t>
      </w:r>
    </w:p>
    <w:p w:rsidR="00630BBF" w:rsidRPr="001A3D2B" w:rsidRDefault="00630BBF" w:rsidP="00630BBF">
      <w:pPr>
        <w:pStyle w:val="a3"/>
        <w:rPr>
          <w:kern w:val="0"/>
        </w:rPr>
      </w:pPr>
      <w:r w:rsidRPr="001A3D2B">
        <w:rPr>
          <w:kern w:val="0"/>
        </w:rPr>
        <w:t>Keywords: Anesthesia-Journals, Correction Factors, Impact Factor, Medical Journals, Scientific Field</w:t>
      </w:r>
    </w:p>
    <w:p w:rsidR="003474F2" w:rsidRPr="001A3D2B" w:rsidRDefault="003474F2" w:rsidP="003474F2">
      <w:pPr>
        <w:pStyle w:val="a3"/>
      </w:pPr>
      <w:r w:rsidRPr="001A3D2B">
        <w:t>Notes: TTopic</w:t>
      </w:r>
    </w:p>
    <w:p w:rsidR="003474F2" w:rsidRPr="001A3D2B" w:rsidRDefault="003474F2" w:rsidP="003474F2">
      <w:pPr>
        <w:pStyle w:val="a3"/>
      </w:pPr>
      <w:r w:rsidRPr="001A3D2B">
        <w:t>Figueredo, E., Perales, G.S.</w:t>
      </w:r>
      <w:r w:rsidR="005853A9">
        <w:t xml:space="preserve"> and </w:t>
      </w:r>
      <w:r w:rsidRPr="001A3D2B">
        <w:t>Blanco, F.M. (2003), International publishing in anaesthesia - how do different countries contribute?</w:t>
      </w:r>
      <w:r w:rsidRPr="001A3D2B">
        <w:rPr>
          <w:iCs/>
        </w:rPr>
        <w:t xml:space="preserve"> </w:t>
      </w:r>
      <w:r w:rsidRPr="001A3D2B">
        <w:rPr>
          <w:i/>
          <w:iCs/>
        </w:rPr>
        <w:t>Acta Anaesthesiologica Scandinavica</w:t>
      </w:r>
      <w:r w:rsidRPr="001A3D2B">
        <w:t xml:space="preserve">, </w:t>
      </w:r>
      <w:r w:rsidRPr="001A3D2B">
        <w:rPr>
          <w:b/>
          <w:bCs/>
        </w:rPr>
        <w:t>47</w:t>
      </w:r>
      <w:r w:rsidRPr="001A3D2B">
        <w:t xml:space="preserve"> (4), 378-382.</w:t>
      </w:r>
    </w:p>
    <w:p w:rsidR="003474F2" w:rsidRPr="001A3D2B" w:rsidRDefault="003474F2" w:rsidP="003474F2">
      <w:pPr>
        <w:pStyle w:val="a3"/>
      </w:pPr>
      <w:r w:rsidRPr="001A3D2B">
        <w:t xml:space="preserve">Full Text: </w:t>
      </w:r>
      <w:hyperlink r:id="rId96" w:history="1">
        <w:r w:rsidRPr="001A3D2B">
          <w:rPr>
            <w:rStyle w:val="a5"/>
          </w:rPr>
          <w:t>2003\Act Ana Sca47, 378.pdf</w:t>
        </w:r>
      </w:hyperlink>
    </w:p>
    <w:p w:rsidR="003474F2" w:rsidRPr="001A3D2B" w:rsidRDefault="003474F2" w:rsidP="003474F2">
      <w:pPr>
        <w:pStyle w:val="a3"/>
      </w:pPr>
      <w:r w:rsidRPr="001A3D2B">
        <w:t>Abstract: Background:</w:t>
      </w:r>
      <w:r w:rsidR="003A1917">
        <w:t xml:space="preserve"> the </w:t>
      </w:r>
      <w:r w:rsidRPr="001A3D2B">
        <w:t>evaluation</w:t>
      </w:r>
      <w:r w:rsidR="00427468">
        <w:t xml:space="preserve"> of </w:t>
      </w:r>
      <w:r w:rsidR="003A1917">
        <w:t xml:space="preserve">the </w:t>
      </w:r>
      <w:r w:rsidRPr="001A3D2B">
        <w:t>international distribution in biomedicine research is a subject that creates expectations. This study assesses</w:t>
      </w:r>
      <w:r w:rsidR="003A1917">
        <w:t xml:space="preserve"> the </w:t>
      </w:r>
      <w:r w:rsidRPr="001A3D2B">
        <w:t>recent evolution</w:t>
      </w:r>
      <w:r w:rsidR="00427468">
        <w:t xml:space="preserve"> of </w:t>
      </w:r>
      <w:r w:rsidRPr="001A3D2B">
        <w:t>world-wide distribution</w:t>
      </w:r>
      <w:r w:rsidR="00427468">
        <w:t xml:space="preserve"> of </w:t>
      </w:r>
      <w:r w:rsidRPr="001A3D2B">
        <w:t>research in</w:t>
      </w:r>
      <w:r w:rsidR="003A1917">
        <w:t xml:space="preserve"> the </w:t>
      </w:r>
      <w:r w:rsidRPr="001A3D2B">
        <w:t>anaesthesiology field</w:t>
      </w:r>
      <w:r w:rsidR="005853A9">
        <w:t xml:space="preserve"> and </w:t>
      </w:r>
      <w:r w:rsidRPr="001A3D2B">
        <w:t>discusses some</w:t>
      </w:r>
      <w:r w:rsidR="00427468">
        <w:t xml:space="preserve"> of </w:t>
      </w:r>
      <w:r w:rsidR="003A1917">
        <w:t xml:space="preserve">the </w:t>
      </w:r>
      <w:r w:rsidRPr="001A3D2B">
        <w:t>possible factors which could give rise to changes in</w:t>
      </w:r>
      <w:r w:rsidR="003A1917">
        <w:t xml:space="preserve"> the </w:t>
      </w:r>
      <w:r w:rsidRPr="001A3D2B">
        <w:t>interpretation</w:t>
      </w:r>
      <w:r w:rsidR="00427468">
        <w:t xml:space="preserve"> of </w:t>
      </w:r>
      <w:r w:rsidRPr="001A3D2B">
        <w:t>absolute results.</w:t>
      </w:r>
    </w:p>
    <w:p w:rsidR="003474F2" w:rsidRPr="001A3D2B" w:rsidRDefault="003474F2" w:rsidP="003474F2">
      <w:pPr>
        <w:pStyle w:val="a3"/>
      </w:pPr>
      <w:r w:rsidRPr="001A3D2B">
        <w:t xml:space="preserve">Methods: A search on </w:t>
      </w:r>
      <w:r w:rsidR="00D5664A">
        <w:t>MEDLINE</w:t>
      </w:r>
      <w:r w:rsidRPr="001A3D2B">
        <w:t xml:space="preserve"> was run to obtain</w:t>
      </w:r>
      <w:r w:rsidR="003A1917">
        <w:t xml:space="preserve"> the </w:t>
      </w:r>
      <w:r w:rsidRPr="001A3D2B">
        <w:t>source country</w:t>
      </w:r>
      <w:r w:rsidR="00427468">
        <w:t xml:space="preserve"> of </w:t>
      </w:r>
      <w:r w:rsidR="003A1917">
        <w:t xml:space="preserve">the </w:t>
      </w:r>
      <w:r w:rsidRPr="001A3D2B">
        <w:t>journal articles (with abstract) from 10 important anaesthesia journals in</w:t>
      </w:r>
      <w:r w:rsidR="003A1917">
        <w:t xml:space="preserve"> the </w:t>
      </w:r>
      <w:r w:rsidRPr="001A3D2B">
        <w:t>1997-2001 period</w:t>
      </w:r>
      <w:r w:rsidR="00A37C1D">
        <w:t>. The</w:t>
      </w:r>
      <w:r w:rsidR="003A1917">
        <w:t xml:space="preserve"> </w:t>
      </w:r>
      <w:r w:rsidRPr="001A3D2B">
        <w:t>data were analysed</w:t>
      </w:r>
      <w:r w:rsidR="005853A9">
        <w:t xml:space="preserve"> and </w:t>
      </w:r>
      <w:r w:rsidRPr="001A3D2B">
        <w:t>standardized to journal impact factor values</w:t>
      </w:r>
      <w:r w:rsidR="00427468">
        <w:t xml:space="preserve"> of </w:t>
      </w:r>
      <w:r w:rsidRPr="001A3D2B">
        <w:t>each publication</w:t>
      </w:r>
      <w:r w:rsidR="005853A9">
        <w:t xml:space="preserve"> and </w:t>
      </w:r>
      <w:r w:rsidRPr="001A3D2B">
        <w:t>population size. Annual evolution in</w:t>
      </w:r>
      <w:r w:rsidR="003A1917">
        <w:t xml:space="preserve"> the </w:t>
      </w:r>
      <w:r w:rsidRPr="001A3D2B">
        <w:t>number</w:t>
      </w:r>
      <w:r w:rsidR="00427468">
        <w:t xml:space="preserve"> of </w:t>
      </w:r>
      <w:r w:rsidRPr="001A3D2B">
        <w:t>publications in</w:t>
      </w:r>
      <w:r w:rsidR="003A1917">
        <w:t xml:space="preserve"> the </w:t>
      </w:r>
      <w:r w:rsidRPr="001A3D2B">
        <w:t>countries with</w:t>
      </w:r>
      <w:r w:rsidR="003A1917">
        <w:t xml:space="preserve"> the </w:t>
      </w:r>
      <w:r w:rsidRPr="001A3D2B">
        <w:t>largest scientific production was analysed. Furthermore,</w:t>
      </w:r>
      <w:r w:rsidR="003A1917">
        <w:t xml:space="preserve"> the </w:t>
      </w:r>
      <w:r w:rsidRPr="001A3D2B">
        <w:t>distribution</w:t>
      </w:r>
      <w:r w:rsidR="00427468">
        <w:t xml:space="preserve"> of </w:t>
      </w:r>
      <w:r w:rsidRPr="001A3D2B">
        <w:t>articles by country</w:t>
      </w:r>
      <w:r w:rsidR="00427468">
        <w:t xml:space="preserve"> of </w:t>
      </w:r>
      <w:r w:rsidRPr="001A3D2B">
        <w:t>origin was studied for each journal.</w:t>
      </w:r>
    </w:p>
    <w:p w:rsidR="003474F2" w:rsidRPr="001A3D2B" w:rsidRDefault="003474F2" w:rsidP="003474F2">
      <w:pPr>
        <w:pStyle w:val="a3"/>
      </w:pPr>
      <w:r w:rsidRPr="001A3D2B">
        <w:t>Results:</w:t>
      </w:r>
      <w:r w:rsidR="003A1917">
        <w:t xml:space="preserve"> the </w:t>
      </w:r>
      <w:r w:rsidRPr="001A3D2B">
        <w:t>9724 publications came from 65 countries. In absolute numbers,</w:t>
      </w:r>
      <w:r w:rsidR="003A1917">
        <w:t xml:space="preserve"> the </w:t>
      </w:r>
      <w:r w:rsidR="00D5664A">
        <w:t>USA</w:t>
      </w:r>
      <w:r w:rsidRPr="001A3D2B">
        <w:t xml:space="preserve"> leads research in anaesthesiology (24.4%)</w:t>
      </w:r>
      <w:r w:rsidR="00A37C1D">
        <w:t>. The</w:t>
      </w:r>
      <w:r w:rsidR="003A1917">
        <w:t xml:space="preserve"> </w:t>
      </w:r>
      <w:r w:rsidRPr="001A3D2B">
        <w:t>evaluation</w:t>
      </w:r>
      <w:r w:rsidR="00427468">
        <w:t xml:space="preserve"> of </w:t>
      </w:r>
      <w:r w:rsidR="003A1917">
        <w:t xml:space="preserve">the </w:t>
      </w:r>
      <w:r w:rsidRPr="001A3D2B">
        <w:t>contribution</w:t>
      </w:r>
      <w:r w:rsidR="00427468">
        <w:t xml:space="preserve"> of </w:t>
      </w:r>
      <w:r w:rsidR="003A1917">
        <w:t xml:space="preserve">the </w:t>
      </w:r>
      <w:r w:rsidRPr="001A3D2B">
        <w:t>more productive countries revealed a progressive increase in</w:t>
      </w:r>
      <w:r w:rsidR="003A1917">
        <w:t xml:space="preserve"> the </w:t>
      </w:r>
      <w:r w:rsidRPr="001A3D2B">
        <w:t>German contribution (from 5.1% to 9.4%)</w:t>
      </w:r>
      <w:r w:rsidR="005853A9">
        <w:t xml:space="preserve"> and </w:t>
      </w:r>
      <w:r w:rsidRPr="001A3D2B">
        <w:t>a decrease in</w:t>
      </w:r>
      <w:r w:rsidR="003A1917">
        <w:t xml:space="preserve"> the </w:t>
      </w:r>
      <w:r w:rsidRPr="001A3D2B">
        <w:t>American contribution (from 28.6% to 21.8%) over</w:t>
      </w:r>
      <w:r w:rsidR="003A1917">
        <w:t xml:space="preserve"> the </w:t>
      </w:r>
      <w:r w:rsidRPr="001A3D2B">
        <w:t xml:space="preserve">5 years analysed. In relative terms, </w:t>
      </w:r>
      <w:smartTag w:uri="urn:schemas-microsoft-com:office:smarttags" w:element="country-region">
        <w:r w:rsidRPr="001A3D2B">
          <w:t>Finland</w:t>
        </w:r>
      </w:smartTag>
      <w:r w:rsidRPr="001A3D2B">
        <w:t>, Sweden</w:t>
      </w:r>
      <w:r w:rsidR="005853A9">
        <w:t xml:space="preserve"> and </w:t>
      </w:r>
      <w:r w:rsidRPr="001A3D2B">
        <w:t>Denmark were</w:t>
      </w:r>
      <w:r w:rsidR="003A1917">
        <w:t xml:space="preserve"> the </w:t>
      </w:r>
      <w:r w:rsidRPr="001A3D2B">
        <w:t>most productive countries per million inhabitants (8.8, 7.2</w:t>
      </w:r>
      <w:r w:rsidR="005853A9">
        <w:t xml:space="preserve"> and </w:t>
      </w:r>
      <w:r w:rsidRPr="001A3D2B">
        <w:t>6 publications/year, respectively).</w:t>
      </w:r>
    </w:p>
    <w:p w:rsidR="003474F2" w:rsidRPr="001A3D2B" w:rsidRDefault="003474F2" w:rsidP="003474F2">
      <w:pPr>
        <w:pStyle w:val="a3"/>
      </w:pPr>
      <w:r w:rsidRPr="001A3D2B">
        <w:t>Conclusion:</w:t>
      </w:r>
      <w:r w:rsidR="003A1917">
        <w:t xml:space="preserve"> the </w:t>
      </w:r>
      <w:r w:rsidRPr="001A3D2B">
        <w:t>geographic distribution</w:t>
      </w:r>
      <w:r w:rsidR="00427468">
        <w:t xml:space="preserve"> of </w:t>
      </w:r>
      <w:r w:rsidR="003A1917">
        <w:t xml:space="preserve">the </w:t>
      </w:r>
      <w:r w:rsidRPr="001A3D2B">
        <w:t>publications on anaesthesiology must not only be analysed in absolute numbers, where</w:t>
      </w:r>
      <w:r w:rsidR="003A1917">
        <w:t xml:space="preserve"> the </w:t>
      </w:r>
      <w:r w:rsidR="00D5664A">
        <w:t>USA</w:t>
      </w:r>
      <w:r w:rsidRPr="001A3D2B">
        <w:t xml:space="preserve"> is</w:t>
      </w:r>
      <w:r w:rsidR="003A1917">
        <w:t xml:space="preserve"> the </w:t>
      </w:r>
      <w:r w:rsidRPr="001A3D2B">
        <w:t>most productive</w:t>
      </w:r>
      <w:r w:rsidR="00A37C1D">
        <w:t>. The</w:t>
      </w:r>
      <w:r w:rsidR="003A1917">
        <w:t xml:space="preserve"> </w:t>
      </w:r>
      <w:r w:rsidRPr="001A3D2B">
        <w:t>North-European countries show</w:t>
      </w:r>
      <w:r w:rsidR="003A1917">
        <w:t xml:space="preserve"> the </w:t>
      </w:r>
      <w:r w:rsidRPr="001A3D2B">
        <w:t>largest production/number</w:t>
      </w:r>
      <w:r w:rsidR="00427468">
        <w:t xml:space="preserve"> of </w:t>
      </w:r>
      <w:r w:rsidRPr="001A3D2B">
        <w:t>inhabitants ratio; whereas</w:t>
      </w:r>
      <w:r w:rsidR="003A1917">
        <w:t xml:space="preserve"> the </w:t>
      </w:r>
      <w:r w:rsidRPr="001A3D2B">
        <w:t>largest percentage increase during</w:t>
      </w:r>
      <w:r w:rsidR="003A1917">
        <w:t xml:space="preserve"> the </w:t>
      </w:r>
      <w:r w:rsidRPr="001A3D2B">
        <w:t xml:space="preserve">period is found in </w:t>
      </w:r>
      <w:smartTag w:uri="urn:schemas-microsoft-com:office:smarttags" w:element="place">
        <w:smartTag w:uri="urn:schemas-microsoft-com:office:smarttags" w:element="country-region">
          <w:r w:rsidRPr="001A3D2B">
            <w:t>Germany</w:t>
          </w:r>
        </w:smartTag>
      </w:smartTag>
      <w:r w:rsidRPr="001A3D2B">
        <w:t>.</w:t>
      </w:r>
    </w:p>
    <w:p w:rsidR="003474F2" w:rsidRPr="001A3D2B" w:rsidRDefault="003474F2" w:rsidP="003474F2">
      <w:pPr>
        <w:pStyle w:val="a3"/>
      </w:pPr>
      <w:r w:rsidRPr="001A3D2B">
        <w:t xml:space="preserve">Keywords: Anesthesia, Journals, Information Science, Publications, Manuscripts, Biomedical Publications, Anesthesia-Journals, Impact Factors, Care Journals, </w:t>
      </w:r>
      <w:smartTag w:uri="urn:schemas-microsoft-com:office:smarttags" w:element="place">
        <w:smartTag w:uri="urn:schemas-microsoft-com:office:smarttags" w:element="City">
          <w:r w:rsidRPr="001A3D2B">
            <w:t>Geography</w:t>
          </w:r>
        </w:smartTag>
        <w:r w:rsidRPr="001A3D2B">
          <w:t xml:space="preserve">, </w:t>
        </w:r>
        <w:smartTag w:uri="urn:schemas-microsoft-com:office:smarttags" w:element="country-region">
          <w:r w:rsidRPr="001A3D2B">
            <w:t>US</w:t>
          </w:r>
        </w:smartTag>
      </w:smartTag>
    </w:p>
    <w:p w:rsidR="003474F2" w:rsidRPr="001A3D2B" w:rsidRDefault="003474F2" w:rsidP="003474F2">
      <w:pPr>
        <w:pStyle w:val="a3"/>
      </w:pPr>
      <w:r w:rsidRPr="001A3D2B">
        <w:t>Terajima, K.</w:t>
      </w:r>
      <w:r w:rsidR="005853A9">
        <w:t xml:space="preserve"> and </w:t>
      </w:r>
      <w:r w:rsidRPr="001A3D2B">
        <w:t>Åneman, A. (2003), Citation classics in anaesthesia</w:t>
      </w:r>
      <w:r w:rsidR="005853A9">
        <w:t xml:space="preserve"> and </w:t>
      </w:r>
      <w:r w:rsidRPr="001A3D2B">
        <w:t>pain journals: A literature review in</w:t>
      </w:r>
      <w:r w:rsidR="003A1917">
        <w:t xml:space="preserve"> the </w:t>
      </w:r>
      <w:r w:rsidRPr="001A3D2B">
        <w:t>era</w:t>
      </w:r>
      <w:r w:rsidR="00427468">
        <w:t xml:space="preserve"> of </w:t>
      </w:r>
      <w:r w:rsidR="003A1917">
        <w:t xml:space="preserve">the </w:t>
      </w:r>
      <w:r w:rsidRPr="001A3D2B">
        <w:t>internet.</w:t>
      </w:r>
      <w:r w:rsidRPr="001A3D2B">
        <w:rPr>
          <w:iCs/>
        </w:rPr>
        <w:t xml:space="preserve"> </w:t>
      </w:r>
      <w:r w:rsidRPr="001A3D2B">
        <w:rPr>
          <w:i/>
          <w:iCs/>
        </w:rPr>
        <w:t>Acta Anaesthesiologica Scandinavica</w:t>
      </w:r>
      <w:r w:rsidRPr="001A3D2B">
        <w:t xml:space="preserve">, </w:t>
      </w:r>
      <w:r w:rsidRPr="001A3D2B">
        <w:rPr>
          <w:b/>
          <w:bCs/>
        </w:rPr>
        <w:t>47</w:t>
      </w:r>
      <w:r w:rsidRPr="001A3D2B">
        <w:t xml:space="preserve"> (6), 655-663.</w:t>
      </w:r>
    </w:p>
    <w:p w:rsidR="003474F2" w:rsidRPr="001A3D2B" w:rsidRDefault="003474F2" w:rsidP="003474F2">
      <w:pPr>
        <w:pStyle w:val="a3"/>
      </w:pPr>
      <w:r w:rsidRPr="001A3D2B">
        <w:t xml:space="preserve">Full Text: </w:t>
      </w:r>
      <w:hyperlink r:id="rId97" w:history="1">
        <w:r w:rsidRPr="001A3D2B">
          <w:rPr>
            <w:rStyle w:val="a5"/>
          </w:rPr>
          <w:t>2003\Act Ana Sca47, 655.pdf</w:t>
        </w:r>
      </w:hyperlink>
    </w:p>
    <w:p w:rsidR="003474F2" w:rsidRPr="001A3D2B" w:rsidRDefault="003474F2" w:rsidP="003474F2">
      <w:pPr>
        <w:pStyle w:val="a3"/>
      </w:pPr>
      <w:r w:rsidRPr="001A3D2B">
        <w:lastRenderedPageBreak/>
        <w:t>Abstract: Background:</w:t>
      </w:r>
      <w:r w:rsidR="003A1917">
        <w:t xml:space="preserve"> the </w:t>
      </w:r>
      <w:r w:rsidRPr="001A3D2B">
        <w:t>number</w:t>
      </w:r>
      <w:r w:rsidR="00427468">
        <w:t xml:space="preserve"> of </w:t>
      </w:r>
      <w:r w:rsidRPr="001A3D2B">
        <w:t>citations an article receives reflects its scientific impact</w:t>
      </w:r>
      <w:r w:rsidR="00A37C1D">
        <w:t>. The</w:t>
      </w:r>
      <w:r w:rsidR="003A1917">
        <w:t xml:space="preserve"> </w:t>
      </w:r>
      <w:r w:rsidRPr="001A3D2B">
        <w:t>introduction</w:t>
      </w:r>
      <w:r w:rsidR="00427468">
        <w:t xml:space="preserve"> of </w:t>
      </w:r>
      <w:r w:rsidRPr="001A3D2B">
        <w:t>internet-based resources to search</w:t>
      </w:r>
      <w:r w:rsidR="005853A9">
        <w:t xml:space="preserve"> and </w:t>
      </w:r>
      <w:r w:rsidRPr="001A3D2B">
        <w:t>access articles has made it possible to review even whole scientific areas. This study identifies</w:t>
      </w:r>
      <w:r w:rsidR="003A1917">
        <w:t xml:space="preserve"> the </w:t>
      </w:r>
      <w:r w:rsidRPr="001A3D2B">
        <w:t>top 50 most-cited articles over</w:t>
      </w:r>
      <w:r w:rsidR="003A1917">
        <w:t xml:space="preserve"> the </w:t>
      </w:r>
      <w:r w:rsidRPr="001A3D2B">
        <w:t>last 25 years in speciality journals dedicated to anaesthesia</w:t>
      </w:r>
      <w:r w:rsidR="005853A9">
        <w:t xml:space="preserve"> and </w:t>
      </w:r>
      <w:r w:rsidRPr="001A3D2B">
        <w:t>pain, respectively. Methods: Twenty-two journals listed in</w:t>
      </w:r>
      <w:r w:rsidR="003A1917">
        <w:t xml:space="preserve"> the </w:t>
      </w:r>
      <w:r w:rsidRPr="001A3D2B">
        <w:t>Science Citation Index Expanded(TM) in</w:t>
      </w:r>
      <w:r w:rsidR="003A1917">
        <w:t xml:space="preserve"> the </w:t>
      </w:r>
      <w:r w:rsidRPr="001A3D2B">
        <w:t>field</w:t>
      </w:r>
      <w:r w:rsidR="00427468">
        <w:t xml:space="preserve"> of </w:t>
      </w:r>
      <w:r w:rsidRPr="001A3D2B">
        <w:t>anaesthesiology</w:t>
      </w:r>
      <w:r w:rsidR="005853A9">
        <w:t xml:space="preserve"> and </w:t>
      </w:r>
      <w:r w:rsidRPr="001A3D2B">
        <w:t>nine major medical journals were screened using</w:t>
      </w:r>
      <w:r w:rsidR="003A1917">
        <w:t xml:space="preserve"> the </w:t>
      </w:r>
      <w:r w:rsidRPr="001A3D2B">
        <w:t>cited reference option to identify articles cited more than 100 times between 1986</w:t>
      </w:r>
      <w:r w:rsidR="005853A9">
        <w:t xml:space="preserve"> and </w:t>
      </w:r>
      <w:r w:rsidRPr="001A3D2B">
        <w:t>2002</w:t>
      </w:r>
      <w:r w:rsidR="00A37C1D">
        <w:t>. The</w:t>
      </w:r>
      <w:r w:rsidR="003A1917">
        <w:t xml:space="preserve"> </w:t>
      </w:r>
      <w:r w:rsidRPr="001A3D2B">
        <w:t>top 50 articles in speciality journals</w:t>
      </w:r>
      <w:r w:rsidR="005853A9">
        <w:t xml:space="preserve"> and </w:t>
      </w:r>
      <w:r w:rsidR="003A1917">
        <w:t xml:space="preserve">the </w:t>
      </w:r>
      <w:r w:rsidRPr="001A3D2B">
        <w:t>top 10 articles in major medical journals concerning anaesthesia</w:t>
      </w:r>
      <w:r w:rsidR="005853A9">
        <w:t xml:space="preserve"> and </w:t>
      </w:r>
      <w:r w:rsidRPr="001A3D2B">
        <w:t>pain were retrieved for further analysis. Results:</w:t>
      </w:r>
      <w:r w:rsidR="003A1917">
        <w:t xml:space="preserve"> the </w:t>
      </w:r>
      <w:r w:rsidRPr="001A3D2B">
        <w:t>most-cited articles in speciality journals were published from 1986 to 1997</w:t>
      </w:r>
      <w:r w:rsidR="005853A9">
        <w:t xml:space="preserve"> and </w:t>
      </w:r>
      <w:r w:rsidRPr="001A3D2B">
        <w:t>received a mean</w:t>
      </w:r>
      <w:r w:rsidR="00427468">
        <w:t xml:space="preserve"> of </w:t>
      </w:r>
      <w:r w:rsidRPr="001A3D2B">
        <w:t>222 (anaesthesia)</w:t>
      </w:r>
      <w:r w:rsidR="005853A9">
        <w:t xml:space="preserve"> and </w:t>
      </w:r>
      <w:r w:rsidRPr="001A3D2B">
        <w:t>279 (pain) citations. Sixty-seven institutions produced</w:t>
      </w:r>
      <w:r w:rsidR="003A1917">
        <w:t xml:space="preserve"> the </w:t>
      </w:r>
      <w:r w:rsidRPr="001A3D2B">
        <w:t>most-cited articles</w:t>
      </w:r>
      <w:r w:rsidR="005853A9">
        <w:t xml:space="preserve"> and</w:t>
      </w:r>
      <w:r w:rsidR="00427468">
        <w:t xml:space="preserve"> of </w:t>
      </w:r>
      <w:r w:rsidRPr="001A3D2B">
        <w:t>those 28 were located outside North America</w:t>
      </w:r>
      <w:r w:rsidR="00A37C1D">
        <w:t>. The</w:t>
      </w:r>
      <w:r w:rsidR="003A1917">
        <w:t xml:space="preserve"> </w:t>
      </w:r>
      <w:r w:rsidRPr="001A3D2B">
        <w:t>articles were published in six journals led by</w:t>
      </w:r>
      <w:r w:rsidR="003A1917">
        <w:t xml:space="preserve"> the </w:t>
      </w:r>
      <w:r w:rsidRPr="001A3D2B">
        <w:t>Journal</w:t>
      </w:r>
      <w:r w:rsidR="00427468">
        <w:t xml:space="preserve"> of </w:t>
      </w:r>
      <w:r w:rsidRPr="001A3D2B">
        <w:t>Pain (50 articles)</w:t>
      </w:r>
      <w:r w:rsidR="005853A9">
        <w:t xml:space="preserve"> and </w:t>
      </w:r>
      <w:r w:rsidRPr="001A3D2B">
        <w:t>Journal</w:t>
      </w:r>
      <w:r w:rsidR="00427468">
        <w:t xml:space="preserve"> of </w:t>
      </w:r>
      <w:r w:rsidRPr="001A3D2B">
        <w:t>Anaesthesiology (39 articles). Forty-seven articles were classified as related to clinical experience, 33 were review articles,</w:t>
      </w:r>
      <w:r w:rsidR="005853A9">
        <w:t xml:space="preserve"> and </w:t>
      </w:r>
      <w:r w:rsidRPr="001A3D2B">
        <w:t xml:space="preserve">20 discussed basic science. Conclusion: To make an article a possible </w:t>
      </w:r>
      <w:r w:rsidR="00700038">
        <w:t>‘</w:t>
      </w:r>
      <w:r w:rsidRPr="001A3D2B">
        <w:t>citation classic</w:t>
      </w:r>
      <w:r w:rsidR="00700038">
        <w:t>’</w:t>
      </w:r>
      <w:r w:rsidRPr="001A3D2B">
        <w:t xml:space="preserve"> in anaesthesiology, it should be published in one</w:t>
      </w:r>
      <w:r w:rsidR="00427468">
        <w:t xml:space="preserve"> of </w:t>
      </w:r>
      <w:r w:rsidRPr="001A3D2B">
        <w:t>six leading journals</w:t>
      </w:r>
      <w:r w:rsidR="005853A9">
        <w:t xml:space="preserve"> and </w:t>
      </w:r>
      <w:r w:rsidRPr="001A3D2B">
        <w:t>originate from an established institute in North America. Internet resources to publish</w:t>
      </w:r>
      <w:r w:rsidR="005853A9">
        <w:t xml:space="preserve"> and </w:t>
      </w:r>
      <w:r w:rsidRPr="001A3D2B">
        <w:t>cite</w:t>
      </w:r>
      <w:r w:rsidR="003A1917">
        <w:t xml:space="preserve"> the </w:t>
      </w:r>
      <w:r w:rsidRPr="001A3D2B">
        <w:t>literature have to date not advanced any article published in</w:t>
      </w:r>
      <w:r w:rsidR="003A1917">
        <w:t xml:space="preserve"> the </w:t>
      </w:r>
      <w:r w:rsidRPr="001A3D2B">
        <w:t>last 5 years to</w:t>
      </w:r>
      <w:r w:rsidR="003A1917">
        <w:t xml:space="preserve"> the </w:t>
      </w:r>
      <w:r w:rsidRPr="001A3D2B">
        <w:t>top 100 list.</w:t>
      </w:r>
    </w:p>
    <w:p w:rsidR="003474F2" w:rsidRPr="001A3D2B" w:rsidRDefault="003474F2" w:rsidP="003474F2">
      <w:pPr>
        <w:pStyle w:val="a3"/>
      </w:pPr>
      <w:r w:rsidRPr="001A3D2B">
        <w:t>Keywords: Access, Anaesthesia, Anaesthesiology, Analysis, Citation, Citations, Clinical, Clinical Experience, Experience, Field, Impact, Institutions, Internet, Journals, Literature, Literature Review, Medical, Medical Journals, North, Pain, Review, Science, Science Citation Index</w:t>
      </w:r>
    </w:p>
    <w:p w:rsidR="003474F2" w:rsidRPr="001A3D2B" w:rsidRDefault="003474F2" w:rsidP="003474F2">
      <w:pPr>
        <w:pStyle w:val="a3"/>
      </w:pPr>
      <w:r w:rsidRPr="001A3D2B">
        <w:t>Skram, U., Larsen, B., Ingwersen, P.</w:t>
      </w:r>
      <w:r w:rsidR="005853A9">
        <w:t xml:space="preserve"> and </w:t>
      </w:r>
      <w:r w:rsidRPr="001A3D2B">
        <w:t>Viby-Mogensen, J. (2004), Scandinavian research in anaesthesiology 1981-2000: Visibility</w:t>
      </w:r>
      <w:r w:rsidR="005853A9">
        <w:t xml:space="preserve"> and </w:t>
      </w:r>
      <w:r w:rsidRPr="001A3D2B">
        <w:t>impact in EU</w:t>
      </w:r>
      <w:r w:rsidR="005853A9">
        <w:t xml:space="preserve"> and </w:t>
      </w:r>
      <w:r w:rsidRPr="001A3D2B">
        <w:t>world context.</w:t>
      </w:r>
      <w:r w:rsidRPr="001A3D2B">
        <w:rPr>
          <w:iCs/>
        </w:rPr>
        <w:t xml:space="preserve"> </w:t>
      </w:r>
      <w:r w:rsidRPr="001A3D2B">
        <w:rPr>
          <w:i/>
          <w:iCs/>
        </w:rPr>
        <w:t>Acta Anaesthesiologica Scandinavica</w:t>
      </w:r>
      <w:r w:rsidRPr="001A3D2B">
        <w:t xml:space="preserve">, </w:t>
      </w:r>
      <w:r w:rsidRPr="001A3D2B">
        <w:rPr>
          <w:b/>
          <w:bCs/>
        </w:rPr>
        <w:t>48</w:t>
      </w:r>
      <w:r w:rsidRPr="001A3D2B">
        <w:t xml:space="preserve"> (8), 1006-1013.</w:t>
      </w:r>
    </w:p>
    <w:p w:rsidR="003474F2" w:rsidRPr="001A3D2B" w:rsidRDefault="003474F2" w:rsidP="003474F2">
      <w:pPr>
        <w:pStyle w:val="a3"/>
      </w:pPr>
      <w:r w:rsidRPr="001A3D2B">
        <w:t xml:space="preserve">Full Text: </w:t>
      </w:r>
      <w:hyperlink r:id="rId98" w:history="1">
        <w:r w:rsidRPr="001A3D2B">
          <w:rPr>
            <w:rStyle w:val="a5"/>
          </w:rPr>
          <w:t>2004\Act Ana Sca48, 1006.pdf</w:t>
        </w:r>
      </w:hyperlink>
    </w:p>
    <w:p w:rsidR="003474F2" w:rsidRPr="001A3D2B" w:rsidRDefault="003474F2" w:rsidP="003474F2">
      <w:pPr>
        <w:pStyle w:val="a3"/>
      </w:pPr>
      <w:r w:rsidRPr="001A3D2B">
        <w:t>Abstract: Background: We wished to assess</w:t>
      </w:r>
      <w:r w:rsidR="003A1917">
        <w:t xml:space="preserve"> the </w:t>
      </w:r>
      <w:r w:rsidRPr="001A3D2B">
        <w:t>development in number</w:t>
      </w:r>
      <w:r w:rsidR="005853A9">
        <w:t xml:space="preserve"> and </w:t>
      </w:r>
      <w:r w:rsidRPr="001A3D2B">
        <w:t>impact</w:t>
      </w:r>
      <w:r w:rsidR="00427468">
        <w:t xml:space="preserve"> of </w:t>
      </w:r>
      <w:r w:rsidRPr="001A3D2B">
        <w:t>publications in anaesthesiology</w:t>
      </w:r>
      <w:r w:rsidR="005853A9">
        <w:t xml:space="preserve"> and </w:t>
      </w:r>
      <w:r w:rsidRPr="001A3D2B">
        <w:t>intensive care medicine from 1981 to 2000 in</w:t>
      </w:r>
      <w:r w:rsidR="003A1917">
        <w:t xml:space="preserve"> the </w:t>
      </w:r>
      <w:r w:rsidRPr="001A3D2B">
        <w:t>four Scandinavian countries: Sweden, Norway, Finland,</w:t>
      </w:r>
      <w:r w:rsidR="005853A9">
        <w:t xml:space="preserve"> and </w:t>
      </w:r>
      <w:r w:rsidRPr="001A3D2B">
        <w:t>Denmark. For comparison, we also analyzed data from</w:t>
      </w:r>
      <w:r w:rsidR="003A1917">
        <w:t xml:space="preserve"> the </w:t>
      </w:r>
      <w:r w:rsidRPr="001A3D2B">
        <w:t>UK</w:t>
      </w:r>
      <w:r w:rsidR="005853A9">
        <w:t xml:space="preserve"> and </w:t>
      </w:r>
      <w:r w:rsidR="003A1917">
        <w:t xml:space="preserve">the </w:t>
      </w:r>
      <w:r w:rsidRPr="001A3D2B">
        <w:t>Netherlands. Methods: Publication</w:t>
      </w:r>
      <w:r w:rsidR="005853A9">
        <w:t xml:space="preserve"> and </w:t>
      </w:r>
      <w:r w:rsidRPr="001A3D2B">
        <w:t>citation data from 1981 to 2000 were gathered from National Science Indicators (2001), covering 33 journals indexed in Current Contents. Data were analyzed in running 5-year periods</w:t>
      </w:r>
      <w:r w:rsidR="00A37C1D">
        <w:t>. The</w:t>
      </w:r>
      <w:r w:rsidR="003A1917">
        <w:t xml:space="preserve"> </w:t>
      </w:r>
      <w:r w:rsidRPr="001A3D2B">
        <w:t>following informetric indicators were used: absolute number</w:t>
      </w:r>
      <w:r w:rsidR="00427468">
        <w:t xml:space="preserve"> of </w:t>
      </w:r>
      <w:r w:rsidRPr="001A3D2B">
        <w:t>publications; absolute number</w:t>
      </w:r>
      <w:r w:rsidR="00427468">
        <w:t xml:space="preserve"> of </w:t>
      </w:r>
      <w:r w:rsidRPr="001A3D2B">
        <w:t>citations; absolute citation impact (average number</w:t>
      </w:r>
      <w:r w:rsidR="00427468">
        <w:t xml:space="preserve"> of </w:t>
      </w:r>
      <w:r w:rsidRPr="001A3D2B">
        <w:t>citations per publication per 5-year period); citation impact relative to</w:t>
      </w:r>
      <w:r w:rsidR="003A1917">
        <w:t xml:space="preserve"> the </w:t>
      </w:r>
      <w:r w:rsidRPr="001A3D2B">
        <w:t>European Union</w:t>
      </w:r>
      <w:r w:rsidR="005853A9">
        <w:t xml:space="preserve"> and </w:t>
      </w:r>
      <w:r w:rsidR="003A1917">
        <w:t xml:space="preserve">the </w:t>
      </w:r>
      <w:r w:rsidRPr="001A3D2B">
        <w:t>world;</w:t>
      </w:r>
      <w:r w:rsidR="005853A9">
        <w:t xml:space="preserve"> and </w:t>
      </w:r>
      <w:r w:rsidR="003A1917">
        <w:t xml:space="preserve">the </w:t>
      </w:r>
      <w:r w:rsidRPr="001A3D2B">
        <w:t>percentage</w:t>
      </w:r>
      <w:r w:rsidR="00427468">
        <w:t xml:space="preserve"> of </w:t>
      </w:r>
      <w:r w:rsidRPr="001A3D2B">
        <w:t>cited papers from each country. Results:</w:t>
      </w:r>
      <w:r w:rsidR="003A1917">
        <w:t xml:space="preserve"> the </w:t>
      </w:r>
      <w:r w:rsidRPr="001A3D2B">
        <w:t>annual number</w:t>
      </w:r>
      <w:r w:rsidR="00427468">
        <w:t xml:space="preserve"> of </w:t>
      </w:r>
      <w:r w:rsidRPr="001A3D2B">
        <w:t xml:space="preserve">publications from Denmark </w:t>
      </w:r>
      <w:r w:rsidRPr="001A3D2B">
        <w:lastRenderedPageBreak/>
        <w:t>was stable over</w:t>
      </w:r>
      <w:r w:rsidR="003A1917">
        <w:t xml:space="preserve"> the </w:t>
      </w:r>
      <w:r w:rsidRPr="001A3D2B">
        <w:t>20-year period. Sweden increased its production by 35%, while</w:t>
      </w:r>
      <w:r w:rsidR="003A1917">
        <w:t xml:space="preserve"> the </w:t>
      </w:r>
      <w:r w:rsidRPr="001A3D2B">
        <w:t>remaining four countries showed increases from 100% to 146%. Thus, Sweden</w:t>
      </w:r>
      <w:r w:rsidR="005853A9">
        <w:t xml:space="preserve"> and </w:t>
      </w:r>
      <w:r w:rsidRPr="001A3D2B">
        <w:t>Denmark lost visibility within</w:t>
      </w:r>
      <w:r w:rsidR="003A1917">
        <w:t xml:space="preserve"> the </w:t>
      </w:r>
      <w:r w:rsidRPr="001A3D2B">
        <w:t>European Union (EU)</w:t>
      </w:r>
      <w:r w:rsidR="005853A9">
        <w:t xml:space="preserve"> and </w:t>
      </w:r>
      <w:r w:rsidRPr="001A3D2B">
        <w:t>in world context</w:t>
      </w:r>
      <w:r w:rsidR="00A37C1D">
        <w:t>. The</w:t>
      </w:r>
      <w:r w:rsidR="003A1917">
        <w:t xml:space="preserve"> </w:t>
      </w:r>
      <w:r w:rsidRPr="001A3D2B">
        <w:t>EU</w:t>
      </w:r>
      <w:r w:rsidR="005853A9">
        <w:t xml:space="preserve"> and </w:t>
      </w:r>
      <w:r w:rsidRPr="001A3D2B">
        <w:t>world citation shares</w:t>
      </w:r>
      <w:r w:rsidR="00427468">
        <w:t xml:space="preserve"> of </w:t>
      </w:r>
      <w:r w:rsidRPr="001A3D2B">
        <w:t>Finland</w:t>
      </w:r>
      <w:r w:rsidR="005853A9">
        <w:t xml:space="preserve"> and </w:t>
      </w:r>
      <w:r w:rsidRPr="001A3D2B">
        <w:t>Norway increased slightly, whereas those</w:t>
      </w:r>
      <w:r w:rsidR="00427468">
        <w:t xml:space="preserve"> of </w:t>
      </w:r>
      <w:r w:rsidRPr="001A3D2B">
        <w:t>Sweden, Denmark,</w:t>
      </w:r>
      <w:r w:rsidR="003A1917">
        <w:t xml:space="preserve"> the </w:t>
      </w:r>
      <w:r w:rsidR="008E3069">
        <w:t>UK,</w:t>
      </w:r>
      <w:r w:rsidR="005853A9">
        <w:t xml:space="preserve"> and </w:t>
      </w:r>
      <w:r w:rsidR="003A1917">
        <w:t xml:space="preserve">the </w:t>
      </w:r>
      <w:r w:rsidRPr="001A3D2B">
        <w:t>Netherlands all declined significantly</w:t>
      </w:r>
      <w:r w:rsidR="00A37C1D">
        <w:t>. The</w:t>
      </w:r>
      <w:r w:rsidR="003A1917">
        <w:t xml:space="preserve"> </w:t>
      </w:r>
      <w:r w:rsidRPr="001A3D2B">
        <w:t>absolute citation impact (ACI) increased for all</w:t>
      </w:r>
      <w:r w:rsidR="003A1917">
        <w:t xml:space="preserve"> the </w:t>
      </w:r>
      <w:r w:rsidRPr="001A3D2B">
        <w:t>four Scandinavian countries</w:t>
      </w:r>
      <w:r w:rsidR="00A37C1D">
        <w:t>. The</w:t>
      </w:r>
      <w:r w:rsidR="003A1917">
        <w:t xml:space="preserve"> </w:t>
      </w:r>
      <w:r w:rsidRPr="001A3D2B">
        <w:t>ACI</w:t>
      </w:r>
      <w:r w:rsidR="00427468">
        <w:t xml:space="preserve"> of </w:t>
      </w:r>
      <w:r w:rsidR="003A1917">
        <w:t xml:space="preserve">the </w:t>
      </w:r>
      <w:r w:rsidRPr="001A3D2B">
        <w:t>Netherlands did not change</w:t>
      </w:r>
      <w:r w:rsidR="005853A9">
        <w:t xml:space="preserve"> and </w:t>
      </w:r>
      <w:r w:rsidRPr="001A3D2B">
        <w:t>was surpassed by all</w:t>
      </w:r>
      <w:r w:rsidR="003A1917">
        <w:t xml:space="preserve"> the </w:t>
      </w:r>
      <w:r w:rsidRPr="001A3D2B">
        <w:t>Scandinavian countries by 1994-98, while</w:t>
      </w:r>
      <w:r w:rsidR="003A1917">
        <w:t xml:space="preserve"> the </w:t>
      </w:r>
      <w:r w:rsidRPr="001A3D2B">
        <w:t>UK finished below</w:t>
      </w:r>
      <w:r w:rsidR="003A1917">
        <w:t xml:space="preserve"> the </w:t>
      </w:r>
      <w:r w:rsidRPr="001A3D2B">
        <w:t>other five countries. Conclusions: (1)</w:t>
      </w:r>
      <w:r w:rsidR="003A1917">
        <w:t xml:space="preserve"> the </w:t>
      </w:r>
      <w:r w:rsidRPr="001A3D2B">
        <w:t>annual number</w:t>
      </w:r>
      <w:r w:rsidR="00427468">
        <w:t xml:space="preserve"> of </w:t>
      </w:r>
      <w:r w:rsidRPr="001A3D2B">
        <w:t>publications from Sweden, Norway, Finland,</w:t>
      </w:r>
      <w:r w:rsidR="003A1917">
        <w:t xml:space="preserve"> the </w:t>
      </w:r>
      <w:r w:rsidR="008E3069">
        <w:t>UK,</w:t>
      </w:r>
      <w:r w:rsidR="005853A9">
        <w:t xml:space="preserve"> and </w:t>
      </w:r>
      <w:r w:rsidR="003A1917">
        <w:t xml:space="preserve">the </w:t>
      </w:r>
      <w:r w:rsidRPr="001A3D2B">
        <w:t>Netherlands increased after</w:t>
      </w:r>
      <w:r w:rsidR="003A1917">
        <w:t xml:space="preserve"> the </w:t>
      </w:r>
      <w:r w:rsidRPr="001A3D2B">
        <w:t>late eighties, whereas</w:t>
      </w:r>
      <w:r w:rsidR="003A1917">
        <w:t xml:space="preserve"> the </w:t>
      </w:r>
      <w:r w:rsidRPr="001A3D2B">
        <w:t>net publication output from Denmark was stagnant over</w:t>
      </w:r>
      <w:r w:rsidR="003A1917">
        <w:t xml:space="preserve"> the </w:t>
      </w:r>
      <w:r w:rsidRPr="001A3D2B">
        <w:t>20-year period investigated; (2)</w:t>
      </w:r>
      <w:r w:rsidR="003A1917">
        <w:t xml:space="preserve"> the </w:t>
      </w:r>
      <w:r w:rsidRPr="001A3D2B">
        <w:t>international publication</w:t>
      </w:r>
      <w:r w:rsidR="005853A9">
        <w:t xml:space="preserve"> and </w:t>
      </w:r>
      <w:r w:rsidRPr="001A3D2B">
        <w:t>citation visibility</w:t>
      </w:r>
      <w:r w:rsidR="00427468">
        <w:t xml:space="preserve"> of </w:t>
      </w:r>
      <w:r w:rsidRPr="001A3D2B">
        <w:t>Finland</w:t>
      </w:r>
      <w:r w:rsidR="005853A9">
        <w:t xml:space="preserve"> and </w:t>
      </w:r>
      <w:r w:rsidRPr="001A3D2B">
        <w:t>Norway increased slightly, as opposed to</w:t>
      </w:r>
      <w:r w:rsidR="003A1917">
        <w:t xml:space="preserve"> the </w:t>
      </w:r>
      <w:r w:rsidRPr="001A3D2B">
        <w:t>significant decrease seen by</w:t>
      </w:r>
      <w:r w:rsidR="003A1917">
        <w:t xml:space="preserve"> the </w:t>
      </w:r>
      <w:r w:rsidRPr="001A3D2B">
        <w:t>other four countries; (3) judging from</w:t>
      </w:r>
      <w:r w:rsidR="003A1917">
        <w:t xml:space="preserve"> the </w:t>
      </w:r>
      <w:r w:rsidRPr="001A3D2B">
        <w:t>increase in absolute</w:t>
      </w:r>
      <w:r w:rsidR="005853A9">
        <w:t xml:space="preserve"> and </w:t>
      </w:r>
      <w:r w:rsidRPr="001A3D2B">
        <w:t>relative citation impact</w:t>
      </w:r>
      <w:r w:rsidR="005853A9">
        <w:t xml:space="preserve"> and </w:t>
      </w:r>
      <w:r w:rsidRPr="001A3D2B">
        <w:t>in</w:t>
      </w:r>
      <w:r w:rsidR="003A1917">
        <w:t xml:space="preserve"> the </w:t>
      </w:r>
      <w:r w:rsidRPr="001A3D2B">
        <w:t>percentage</w:t>
      </w:r>
      <w:r w:rsidR="00427468">
        <w:t xml:space="preserve"> of </w:t>
      </w:r>
      <w:r w:rsidRPr="001A3D2B">
        <w:t>cited papers,</w:t>
      </w:r>
      <w:r w:rsidR="003A1917">
        <w:t xml:space="preserve"> the </w:t>
      </w:r>
      <w:r w:rsidRPr="001A3D2B">
        <w:t>recognition</w:t>
      </w:r>
      <w:r w:rsidR="00427468">
        <w:t xml:space="preserve"> of </w:t>
      </w:r>
      <w:r w:rsidRPr="001A3D2B">
        <w:t>publications from</w:t>
      </w:r>
      <w:r w:rsidR="003A1917">
        <w:t xml:space="preserve"> the </w:t>
      </w:r>
      <w:r w:rsidRPr="001A3D2B">
        <w:t>four Scandinavian countries increased over</w:t>
      </w:r>
      <w:r w:rsidR="003A1917">
        <w:t xml:space="preserve"> the </w:t>
      </w:r>
      <w:r w:rsidRPr="001A3D2B">
        <w:t>past 20 years.</w:t>
      </w:r>
    </w:p>
    <w:p w:rsidR="00C337FD" w:rsidRPr="001A3D2B" w:rsidRDefault="00C337FD" w:rsidP="00C337FD">
      <w:pPr>
        <w:pStyle w:val="a3"/>
        <w:rPr>
          <w:kern w:val="0"/>
          <w:szCs w:val="24"/>
        </w:rPr>
      </w:pPr>
      <w:r w:rsidRPr="001A3D2B">
        <w:rPr>
          <w:kern w:val="0"/>
          <w:szCs w:val="24"/>
        </w:rPr>
        <w:t>Keywords: Anaesthesiology, Anesthesiology, Standards, Anesthesiology, Statistics</w:t>
      </w:r>
      <w:r w:rsidR="005853A9">
        <w:rPr>
          <w:kern w:val="0"/>
          <w:szCs w:val="24"/>
        </w:rPr>
        <w:t xml:space="preserve"> and </w:t>
      </w:r>
      <w:r w:rsidRPr="001A3D2B">
        <w:rPr>
          <w:kern w:val="0"/>
          <w:szCs w:val="24"/>
        </w:rPr>
        <w:t>Numerical Data, Anesthesiology, Trends, Bibliometrics, Citation, Citation Analysis, Citation Impact, Citations, Countries, Departments, Development, European Union, Impact, Indicators, Journals, Papers, Publication, Publications, Publishing, Standards, Publishing, Statistics</w:t>
      </w:r>
      <w:r w:rsidR="005853A9">
        <w:rPr>
          <w:kern w:val="0"/>
          <w:szCs w:val="24"/>
        </w:rPr>
        <w:t xml:space="preserve"> and </w:t>
      </w:r>
      <w:r w:rsidRPr="001A3D2B">
        <w:rPr>
          <w:kern w:val="0"/>
          <w:szCs w:val="24"/>
        </w:rPr>
        <w:t>Numerical Data, Publishing, Trends, Research, Research, Standards, Research, Statistics</w:t>
      </w:r>
      <w:r w:rsidR="005853A9">
        <w:rPr>
          <w:kern w:val="0"/>
          <w:szCs w:val="24"/>
        </w:rPr>
        <w:t xml:space="preserve"> and </w:t>
      </w:r>
      <w:r w:rsidRPr="001A3D2B">
        <w:rPr>
          <w:kern w:val="0"/>
          <w:szCs w:val="24"/>
        </w:rPr>
        <w:t>Numerical Data, Research, Trends, Science, Scientific Publications, Visibility</w:t>
      </w:r>
    </w:p>
    <w:p w:rsidR="00BD5C25" w:rsidRDefault="00BD5C25" w:rsidP="00BD5C25">
      <w:pPr>
        <w:pStyle w:val="a3"/>
        <w:rPr>
          <w:kern w:val="0"/>
        </w:rPr>
      </w:pPr>
      <w:r>
        <w:rPr>
          <w:rFonts w:hint="eastAsia"/>
          <w:kern w:val="0"/>
        </w:rPr>
        <w:t xml:space="preserve">? </w:t>
      </w:r>
      <w:r>
        <w:rPr>
          <w:kern w:val="0"/>
        </w:rPr>
        <w:t>Pagel, P.S.</w:t>
      </w:r>
      <w:r w:rsidR="005853A9">
        <w:rPr>
          <w:kern w:val="0"/>
        </w:rPr>
        <w:t xml:space="preserve"> and </w:t>
      </w:r>
      <w:r>
        <w:rPr>
          <w:kern w:val="0"/>
        </w:rPr>
        <w:t xml:space="preserve">Hudetz, J.A. (2011), </w:t>
      </w:r>
      <w:r w:rsidR="00D5664A">
        <w:rPr>
          <w:rFonts w:hint="eastAsia"/>
          <w:kern w:val="0"/>
        </w:rPr>
        <w:t>h-Index</w:t>
      </w:r>
      <w:r>
        <w:rPr>
          <w:kern w:val="0"/>
        </w:rPr>
        <w:t xml:space="preserve"> is a sensitive indicator</w:t>
      </w:r>
      <w:r w:rsidR="00427468">
        <w:rPr>
          <w:kern w:val="0"/>
        </w:rPr>
        <w:t xml:space="preserve"> of </w:t>
      </w:r>
      <w:r>
        <w:rPr>
          <w:kern w:val="0"/>
        </w:rPr>
        <w:t>academic activity in highly productive anaesthesiologists: Results</w:t>
      </w:r>
      <w:r w:rsidR="00427468">
        <w:rPr>
          <w:kern w:val="0"/>
        </w:rPr>
        <w:t xml:space="preserve"> of </w:t>
      </w:r>
      <w:r>
        <w:rPr>
          <w:kern w:val="0"/>
        </w:rPr>
        <w:t xml:space="preserve">a bibliometric analysis. </w:t>
      </w:r>
      <w:r>
        <w:rPr>
          <w:i/>
          <w:iCs/>
          <w:kern w:val="0"/>
        </w:rPr>
        <w:t>Acta Anaesthesiologica Scandinavica</w:t>
      </w:r>
      <w:r>
        <w:rPr>
          <w:kern w:val="0"/>
        </w:rPr>
        <w:t xml:space="preserve">, </w:t>
      </w:r>
      <w:r>
        <w:rPr>
          <w:b/>
          <w:bCs/>
          <w:kern w:val="0"/>
        </w:rPr>
        <w:t>55</w:t>
      </w:r>
      <w:r>
        <w:rPr>
          <w:kern w:val="0"/>
        </w:rPr>
        <w:t xml:space="preserve"> (9), 1085-1089.</w:t>
      </w:r>
    </w:p>
    <w:p w:rsidR="00BD5C25" w:rsidRPr="00F219CA" w:rsidRDefault="00BD5C25" w:rsidP="00BD5C25">
      <w:pPr>
        <w:pStyle w:val="a3"/>
      </w:pPr>
      <w:r w:rsidRPr="00F219CA">
        <w:t xml:space="preserve">Full Text: </w:t>
      </w:r>
      <w:hyperlink r:id="rId99" w:history="1">
        <w:r w:rsidRPr="00BD5C25">
          <w:rPr>
            <w:rStyle w:val="a5"/>
          </w:rPr>
          <w:t>2011\Act Ana Sca55, 1085.pdf</w:t>
        </w:r>
      </w:hyperlink>
    </w:p>
    <w:p w:rsidR="00BD5C25" w:rsidRDefault="00BD5C25" w:rsidP="00BD5C25">
      <w:pPr>
        <w:pStyle w:val="a3"/>
        <w:rPr>
          <w:kern w:val="0"/>
        </w:rPr>
      </w:pPr>
      <w:r>
        <w:rPr>
          <w:kern w:val="0"/>
        </w:rPr>
        <w:t xml:space="preserve">Abstract: Background: </w:t>
      </w:r>
      <w:r w:rsidR="00D5664A">
        <w:rPr>
          <w:kern w:val="0"/>
        </w:rPr>
        <w:t>H-Index</w:t>
      </w:r>
      <w:r>
        <w:rPr>
          <w:kern w:val="0"/>
        </w:rPr>
        <w:t xml:space="preserve"> distinguishes differences in scholarly output across faculty ranks in anaesthesiologists, but whether </w:t>
      </w:r>
      <w:r w:rsidR="00D5664A">
        <w:rPr>
          <w:kern w:val="0"/>
        </w:rPr>
        <w:t>h-Index</w:t>
      </w:r>
      <w:r>
        <w:rPr>
          <w:kern w:val="0"/>
        </w:rPr>
        <w:t xml:space="preserve"> also identifies differences in other aspects</w:t>
      </w:r>
      <w:r w:rsidR="00427468">
        <w:rPr>
          <w:kern w:val="0"/>
        </w:rPr>
        <w:t xml:space="preserve"> of </w:t>
      </w:r>
      <w:r>
        <w:rPr>
          <w:kern w:val="0"/>
        </w:rPr>
        <w:t>productivity is unknown. We tested</w:t>
      </w:r>
      <w:r w:rsidR="003A1917">
        <w:rPr>
          <w:kern w:val="0"/>
        </w:rPr>
        <w:t xml:space="preserve"> the </w:t>
      </w:r>
      <w:r>
        <w:rPr>
          <w:kern w:val="0"/>
        </w:rPr>
        <w:t xml:space="preserve">hypothesis that </w:t>
      </w:r>
      <w:r w:rsidR="00D5664A">
        <w:rPr>
          <w:kern w:val="0"/>
        </w:rPr>
        <w:t>h-Index</w:t>
      </w:r>
      <w:r>
        <w:rPr>
          <w:kern w:val="0"/>
        </w:rPr>
        <w:t xml:space="preserve"> is an indicator</w:t>
      </w:r>
      <w:r w:rsidR="00427468">
        <w:rPr>
          <w:kern w:val="0"/>
        </w:rPr>
        <w:t xml:space="preserve"> of </w:t>
      </w:r>
      <w:r>
        <w:rPr>
          <w:kern w:val="0"/>
        </w:rPr>
        <w:t>not only publication record, but also grant funding</w:t>
      </w:r>
      <w:r w:rsidR="005853A9">
        <w:rPr>
          <w:kern w:val="0"/>
        </w:rPr>
        <w:t xml:space="preserve"> and </w:t>
      </w:r>
      <w:r>
        <w:rPr>
          <w:kern w:val="0"/>
        </w:rPr>
        <w:t>mentoring in highly productive US academic anaesthesiologists. Methods: We conducted an internet analysis</w:t>
      </w:r>
      <w:r w:rsidR="00427468">
        <w:rPr>
          <w:kern w:val="0"/>
        </w:rPr>
        <w:t xml:space="preserve"> of </w:t>
      </w:r>
      <w:r w:rsidR="003A1917">
        <w:rPr>
          <w:kern w:val="0"/>
        </w:rPr>
        <w:t xml:space="preserve">the </w:t>
      </w:r>
      <w:r>
        <w:rPr>
          <w:kern w:val="0"/>
        </w:rPr>
        <w:t>Foundation for Anesthesia Education</w:t>
      </w:r>
      <w:r w:rsidR="005853A9">
        <w:rPr>
          <w:kern w:val="0"/>
        </w:rPr>
        <w:t xml:space="preserve"> and </w:t>
      </w:r>
      <w:r>
        <w:rPr>
          <w:kern w:val="0"/>
        </w:rPr>
        <w:t>Research Academy</w:t>
      </w:r>
      <w:r w:rsidR="00427468">
        <w:rPr>
          <w:kern w:val="0"/>
        </w:rPr>
        <w:t xml:space="preserve"> of </w:t>
      </w:r>
      <w:r>
        <w:rPr>
          <w:kern w:val="0"/>
        </w:rPr>
        <w:t>Research Mentors in Anesthesiology (n = 43). Publications, citations, citations per publication,</w:t>
      </w:r>
      <w:r w:rsidR="005853A9">
        <w:rPr>
          <w:kern w:val="0"/>
        </w:rPr>
        <w:t xml:space="preserve"> and </w:t>
      </w:r>
      <w:r w:rsidR="00D5664A">
        <w:rPr>
          <w:kern w:val="0"/>
        </w:rPr>
        <w:t>h-Index</w:t>
      </w:r>
      <w:r>
        <w:rPr>
          <w:kern w:val="0"/>
        </w:rPr>
        <w:t xml:space="preserve"> for each investigator were obtained using</w:t>
      </w:r>
      <w:r w:rsidR="003A1917">
        <w:rPr>
          <w:kern w:val="0"/>
        </w:rPr>
        <w:t xml:space="preserve"> the </w:t>
      </w:r>
      <w:r>
        <w:rPr>
          <w:kern w:val="0"/>
        </w:rPr>
        <w:t>Scopus (R). Total grants, active grants, years</w:t>
      </w:r>
      <w:r w:rsidR="00427468">
        <w:rPr>
          <w:kern w:val="0"/>
        </w:rPr>
        <w:t xml:space="preserve"> of </w:t>
      </w:r>
      <w:r>
        <w:rPr>
          <w:kern w:val="0"/>
        </w:rPr>
        <w:t>funding,</w:t>
      </w:r>
      <w:r w:rsidR="005853A9">
        <w:rPr>
          <w:kern w:val="0"/>
        </w:rPr>
        <w:t xml:space="preserve"> and </w:t>
      </w:r>
      <w:r>
        <w:rPr>
          <w:kern w:val="0"/>
        </w:rPr>
        <w:t>duration</w:t>
      </w:r>
      <w:r w:rsidR="00427468">
        <w:rPr>
          <w:kern w:val="0"/>
        </w:rPr>
        <w:t xml:space="preserve"> of </w:t>
      </w:r>
      <w:r>
        <w:rPr>
          <w:kern w:val="0"/>
        </w:rPr>
        <w:t>longest funded grant were recorded using</w:t>
      </w:r>
      <w:r w:rsidR="003A1917">
        <w:rPr>
          <w:kern w:val="0"/>
        </w:rPr>
        <w:t xml:space="preserve"> the </w:t>
      </w:r>
      <w:r>
        <w:rPr>
          <w:kern w:val="0"/>
        </w:rPr>
        <w:t>US National Institutes</w:t>
      </w:r>
      <w:r w:rsidR="00427468">
        <w:rPr>
          <w:kern w:val="0"/>
        </w:rPr>
        <w:t xml:space="preserve"> of </w:t>
      </w:r>
      <w:r>
        <w:rPr>
          <w:kern w:val="0"/>
        </w:rPr>
        <w:t>Health Research Portfolio Online Reporting Tools (R). Members were surveyed to identify</w:t>
      </w:r>
      <w:r w:rsidR="003A1917">
        <w:rPr>
          <w:kern w:val="0"/>
        </w:rPr>
        <w:t xml:space="preserve"> the </w:t>
      </w:r>
      <w:r>
        <w:rPr>
          <w:kern w:val="0"/>
        </w:rPr>
        <w:t>number</w:t>
      </w:r>
      <w:r w:rsidR="00427468">
        <w:rPr>
          <w:kern w:val="0"/>
        </w:rPr>
        <w:t xml:space="preserve"> of </w:t>
      </w:r>
      <w:r>
        <w:rPr>
          <w:kern w:val="0"/>
        </w:rPr>
        <w:t>their career trainees</w:t>
      </w:r>
      <w:r w:rsidR="005853A9">
        <w:rPr>
          <w:kern w:val="0"/>
        </w:rPr>
        <w:t xml:space="preserve"> and </w:t>
      </w:r>
      <w:r>
        <w:rPr>
          <w:kern w:val="0"/>
        </w:rPr>
        <w:t>those who obtained independent funding. Results:</w:t>
      </w:r>
      <w:r w:rsidR="003A1917">
        <w:rPr>
          <w:kern w:val="0"/>
        </w:rPr>
        <w:t xml:space="preserve"> the </w:t>
      </w:r>
      <w:r>
        <w:rPr>
          <w:kern w:val="0"/>
        </w:rPr>
        <w:t xml:space="preserve">median [IRQ </w:t>
      </w:r>
      <w:r>
        <w:rPr>
          <w:kern w:val="0"/>
        </w:rPr>
        <w:lastRenderedPageBreak/>
        <w:t xml:space="preserve">(Interquartile range)] </w:t>
      </w:r>
      <w:r w:rsidR="00D5664A">
        <w:rPr>
          <w:kern w:val="0"/>
        </w:rPr>
        <w:t>h-Index</w:t>
      </w:r>
      <w:r w:rsidR="00427468">
        <w:rPr>
          <w:kern w:val="0"/>
        </w:rPr>
        <w:t xml:space="preserve"> of </w:t>
      </w:r>
      <w:r>
        <w:rPr>
          <w:kern w:val="0"/>
        </w:rPr>
        <w:t>members was 23 [17-32 (8-50)]. Members published 136 [100-225 (39-461)] papers with 3573 [1832-5090 (150-11,601)] citations</w:t>
      </w:r>
      <w:r w:rsidR="005853A9">
        <w:rPr>
          <w:kern w:val="0"/>
        </w:rPr>
        <w:t xml:space="preserve"> and </w:t>
      </w:r>
      <w:r>
        <w:rPr>
          <w:kern w:val="0"/>
        </w:rPr>
        <w:t>21 [15-32 (4-59)] citations per publication. Members received four [3-7 (0-10)] grants</w:t>
      </w:r>
      <w:r w:rsidR="005853A9">
        <w:rPr>
          <w:kern w:val="0"/>
        </w:rPr>
        <w:t xml:space="preserve"> and </w:t>
      </w:r>
      <w:r>
        <w:rPr>
          <w:kern w:val="0"/>
        </w:rPr>
        <w:t>were funded for 29 [17-45 (0-115)] grant-years. Survey respondents (79%) mentored 40 [26-69 (15-191)] trainees, three [2-6 (0-20)]</w:t>
      </w:r>
      <w:r w:rsidR="00427468">
        <w:rPr>
          <w:kern w:val="0"/>
        </w:rPr>
        <w:t xml:space="preserve"> of </w:t>
      </w:r>
      <w:r>
        <w:rPr>
          <w:kern w:val="0"/>
        </w:rPr>
        <w:t>which subsequently received funding. Members with h-indices greater than</w:t>
      </w:r>
      <w:r w:rsidR="003A1917">
        <w:rPr>
          <w:kern w:val="0"/>
        </w:rPr>
        <w:t xml:space="preserve"> the </w:t>
      </w:r>
      <w:r>
        <w:rPr>
          <w:kern w:val="0"/>
        </w:rPr>
        <w:t>median had more publications, citations, citations per publication, grants,</w:t>
      </w:r>
      <w:r w:rsidR="005853A9">
        <w:rPr>
          <w:kern w:val="0"/>
        </w:rPr>
        <w:t xml:space="preserve"> and </w:t>
      </w:r>
      <w:r>
        <w:rPr>
          <w:kern w:val="0"/>
        </w:rPr>
        <w:t>years</w:t>
      </w:r>
      <w:r w:rsidR="00427468">
        <w:rPr>
          <w:kern w:val="0"/>
        </w:rPr>
        <w:t xml:space="preserve"> of </w:t>
      </w:r>
      <w:r>
        <w:rPr>
          <w:kern w:val="0"/>
        </w:rPr>
        <w:t xml:space="preserve">funding compared with their counterparts. </w:t>
      </w:r>
      <w:r w:rsidR="00D5664A">
        <w:rPr>
          <w:kern w:val="0"/>
        </w:rPr>
        <w:t>H-Index</w:t>
      </w:r>
      <w:r>
        <w:rPr>
          <w:kern w:val="0"/>
        </w:rPr>
        <w:t xml:space="preserve"> was associated with total citations, active grants,</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 xml:space="preserve">trainees. Conclusions: In addition to publication record, </w:t>
      </w:r>
      <w:r w:rsidR="00D5664A">
        <w:rPr>
          <w:kern w:val="0"/>
        </w:rPr>
        <w:t>h-Index</w:t>
      </w:r>
      <w:r>
        <w:rPr>
          <w:kern w:val="0"/>
        </w:rPr>
        <w:t xml:space="preserve"> sensitively indicates grant funding</w:t>
      </w:r>
      <w:r w:rsidR="005853A9">
        <w:rPr>
          <w:kern w:val="0"/>
        </w:rPr>
        <w:t xml:space="preserve"> and </w:t>
      </w:r>
      <w:r>
        <w:rPr>
          <w:kern w:val="0"/>
        </w:rPr>
        <w:t>mentoring in highly productive US academic anaesthesiologists.</w:t>
      </w:r>
    </w:p>
    <w:p w:rsidR="00BD5C25" w:rsidRDefault="00BD5C25" w:rsidP="00BD5C25">
      <w:pPr>
        <w:pStyle w:val="a3"/>
        <w:rPr>
          <w:kern w:val="0"/>
        </w:rPr>
      </w:pPr>
      <w:r>
        <w:rPr>
          <w:kern w:val="0"/>
        </w:rPr>
        <w:t xml:space="preserve">Keywords: Analysis, Anesthesia, Bibliometric, Bibliometric Analysis, Citation Analysis, Citations, Differences, Education, Faculty, Funding, </w:t>
      </w:r>
      <w:r w:rsidR="00D5664A">
        <w:rPr>
          <w:rFonts w:hint="eastAsia"/>
          <w:kern w:val="0"/>
        </w:rPr>
        <w:t>h Index</w:t>
      </w:r>
      <w:r>
        <w:rPr>
          <w:kern w:val="0"/>
        </w:rPr>
        <w:t xml:space="preserve">, </w:t>
      </w:r>
      <w:r w:rsidR="00D5664A">
        <w:rPr>
          <w:rFonts w:hint="eastAsia"/>
          <w:kern w:val="0"/>
        </w:rPr>
        <w:t>h-Index</w:t>
      </w:r>
      <w:r>
        <w:rPr>
          <w:kern w:val="0"/>
        </w:rPr>
        <w:t xml:space="preserve">, </w:t>
      </w:r>
      <w:r>
        <w:rPr>
          <w:rFonts w:hint="eastAsia"/>
          <w:kern w:val="0"/>
        </w:rPr>
        <w:t>h</w:t>
      </w:r>
      <w:r>
        <w:rPr>
          <w:kern w:val="0"/>
        </w:rPr>
        <w:t>-Indices, Health, Journal Impact Factors, Medicine, Methods, Papers, Productivity, Publication, Publications, Research, Scopus, US</w:t>
      </w:r>
    </w:p>
    <w:p w:rsidR="00D87205" w:rsidRDefault="00D87205" w:rsidP="00D87205">
      <w:pPr>
        <w:pStyle w:val="a3"/>
        <w:rPr>
          <w:kern w:val="0"/>
        </w:rPr>
      </w:pPr>
      <w:r>
        <w:rPr>
          <w:rFonts w:hint="eastAsia"/>
          <w:kern w:val="0"/>
        </w:rPr>
        <w:t xml:space="preserve">? </w:t>
      </w:r>
      <w:r>
        <w:rPr>
          <w:kern w:val="0"/>
        </w:rPr>
        <w:t>Pashkova, A.A., Svider, P.F., Chang, C.Y., Diaz, L., Eloy, J.A.</w:t>
      </w:r>
      <w:r w:rsidR="005853A9">
        <w:rPr>
          <w:kern w:val="0"/>
        </w:rPr>
        <w:t xml:space="preserve"> and </w:t>
      </w:r>
      <w:r>
        <w:rPr>
          <w:kern w:val="0"/>
        </w:rPr>
        <w:t>Eloy, J.D. (2013), Gender disparity among US anaesthesiologists: Are women underrepresented in academic ranks</w:t>
      </w:r>
      <w:r w:rsidR="005853A9">
        <w:rPr>
          <w:kern w:val="0"/>
        </w:rPr>
        <w:t xml:space="preserve"> and </w:t>
      </w:r>
      <w:r>
        <w:rPr>
          <w:kern w:val="0"/>
        </w:rPr>
        <w:t xml:space="preserve">scholarly productivity? </w:t>
      </w:r>
      <w:r>
        <w:rPr>
          <w:i/>
          <w:iCs/>
          <w:kern w:val="0"/>
        </w:rPr>
        <w:t>Acta Anaesthesiologica Scandinavica</w:t>
      </w:r>
      <w:r>
        <w:rPr>
          <w:kern w:val="0"/>
        </w:rPr>
        <w:t xml:space="preserve">, </w:t>
      </w:r>
      <w:r>
        <w:rPr>
          <w:b/>
          <w:bCs/>
          <w:kern w:val="0"/>
        </w:rPr>
        <w:t>57</w:t>
      </w:r>
      <w:r>
        <w:rPr>
          <w:kern w:val="0"/>
        </w:rPr>
        <w:t xml:space="preserve"> (8), 1058-1064.</w:t>
      </w:r>
    </w:p>
    <w:p w:rsidR="00D87205" w:rsidRPr="00F219CA" w:rsidRDefault="00D87205" w:rsidP="00D87205">
      <w:pPr>
        <w:pStyle w:val="a3"/>
      </w:pPr>
      <w:r w:rsidRPr="00F219CA">
        <w:t xml:space="preserve">Full Text: </w:t>
      </w:r>
      <w:hyperlink r:id="rId100" w:history="1">
        <w:r w:rsidRPr="00D87205">
          <w:rPr>
            <w:rStyle w:val="a5"/>
          </w:rPr>
          <w:t>2013\Act Ana Sca57, 1058.pdf</w:t>
        </w:r>
      </w:hyperlink>
    </w:p>
    <w:p w:rsidR="00D87205" w:rsidRDefault="00D87205" w:rsidP="00D87205">
      <w:pPr>
        <w:pStyle w:val="a3"/>
        <w:rPr>
          <w:kern w:val="0"/>
        </w:rPr>
      </w:pPr>
      <w:r>
        <w:rPr>
          <w:kern w:val="0"/>
        </w:rPr>
        <w:t xml:space="preserve">Abstract: Introduction: The </w:t>
      </w:r>
      <w:r w:rsidR="00D5664A">
        <w:rPr>
          <w:kern w:val="0"/>
        </w:rPr>
        <w:t>h-Index</w:t>
      </w:r>
      <w:r>
        <w:rPr>
          <w:kern w:val="0"/>
        </w:rPr>
        <w:t xml:space="preserve"> is an objective indicator</w:t>
      </w:r>
      <w:r w:rsidR="00427468">
        <w:rPr>
          <w:kern w:val="0"/>
        </w:rPr>
        <w:t xml:space="preserve"> of </w:t>
      </w:r>
      <w:r>
        <w:rPr>
          <w:kern w:val="0"/>
        </w:rPr>
        <w:t>research productivity</w:t>
      </w:r>
      <w:r w:rsidR="005853A9">
        <w:rPr>
          <w:kern w:val="0"/>
        </w:rPr>
        <w:t xml:space="preserve"> and </w:t>
      </w:r>
      <w:r>
        <w:rPr>
          <w:kern w:val="0"/>
        </w:rPr>
        <w:t>influence on scholarly discourse within a discipline. It may be a valuable adjunct for measuring research productivity, a key component in decisions regarding appointment</w:t>
      </w:r>
      <w:r w:rsidR="005853A9">
        <w:rPr>
          <w:kern w:val="0"/>
        </w:rPr>
        <w:t xml:space="preserve"> and </w:t>
      </w:r>
      <w:r>
        <w:rPr>
          <w:kern w:val="0"/>
        </w:rPr>
        <w:t>promotion in academic medicine</w:t>
      </w:r>
      <w:r w:rsidR="00A37C1D">
        <w:rPr>
          <w:kern w:val="0"/>
        </w:rPr>
        <w:t>. The</w:t>
      </w:r>
      <w:r>
        <w:rPr>
          <w:kern w:val="0"/>
        </w:rPr>
        <w:t xml:space="preserve"> objectives</w:t>
      </w:r>
      <w:r w:rsidR="00427468">
        <w:rPr>
          <w:kern w:val="0"/>
        </w:rPr>
        <w:t xml:space="preserve"> of </w:t>
      </w:r>
      <w:r>
        <w:rPr>
          <w:kern w:val="0"/>
        </w:rPr>
        <w:t>this analysis were to (1) examine whether there are gender disparities in research productivity among academic anaesthesiologists,</w:t>
      </w:r>
      <w:r w:rsidR="005853A9">
        <w:rPr>
          <w:kern w:val="0"/>
        </w:rPr>
        <w:t xml:space="preserve"> and </w:t>
      </w:r>
      <w:r>
        <w:rPr>
          <w:kern w:val="0"/>
        </w:rPr>
        <w:t>(2) compare results to measures</w:t>
      </w:r>
      <w:r w:rsidR="00427468">
        <w:rPr>
          <w:kern w:val="0"/>
        </w:rPr>
        <w:t xml:space="preserve"> of </w:t>
      </w:r>
      <w:r>
        <w:rPr>
          <w:kern w:val="0"/>
        </w:rPr>
        <w:t>research productivity in other specialties. Methods: A bibliometric analysis</w:t>
      </w:r>
      <w:r w:rsidR="00427468">
        <w:rPr>
          <w:kern w:val="0"/>
        </w:rPr>
        <w:t xml:space="preserve"> of </w:t>
      </w:r>
      <w:r>
        <w:rPr>
          <w:kern w:val="0"/>
        </w:rPr>
        <w:t>faculty members from 25 academic anaesthesiology departments was performed using the Scopus database. Academic anaesthesiologists were organised by academic rank</w:t>
      </w:r>
      <w:r w:rsidR="005853A9">
        <w:rPr>
          <w:kern w:val="0"/>
        </w:rPr>
        <w:t xml:space="preserve"> and </w:t>
      </w:r>
      <w:r>
        <w:rPr>
          <w:kern w:val="0"/>
        </w:rPr>
        <w:t>gender</w:t>
      </w:r>
      <w:r w:rsidR="00A37C1D">
        <w:rPr>
          <w:kern w:val="0"/>
        </w:rPr>
        <w:t>. The</w:t>
      </w:r>
      <w:r>
        <w:rPr>
          <w:kern w:val="0"/>
        </w:rPr>
        <w:t xml:space="preserve"> </w:t>
      </w:r>
      <w:r w:rsidR="00D5664A">
        <w:rPr>
          <w:kern w:val="0"/>
        </w:rPr>
        <w:t>h-Index</w:t>
      </w:r>
      <w:r w:rsidR="005853A9">
        <w:rPr>
          <w:kern w:val="0"/>
        </w:rPr>
        <w:t xml:space="preserve"> and </w:t>
      </w:r>
      <w:r>
        <w:rPr>
          <w:kern w:val="0"/>
        </w:rPr>
        <w:t>publication range (in years)</w:t>
      </w:r>
      <w:r w:rsidR="00427468">
        <w:rPr>
          <w:kern w:val="0"/>
        </w:rPr>
        <w:t xml:space="preserve"> of </w:t>
      </w:r>
      <w:r>
        <w:rPr>
          <w:kern w:val="0"/>
        </w:rPr>
        <w:t xml:space="preserve">faculty members were calculated. Results: Male anaesthesiologists had higher research productivity, as measured by the </w:t>
      </w:r>
      <w:r w:rsidR="00D5664A">
        <w:rPr>
          <w:kern w:val="0"/>
        </w:rPr>
        <w:t>h-Index</w:t>
      </w:r>
      <w:r>
        <w:rPr>
          <w:kern w:val="0"/>
        </w:rPr>
        <w:t>, than female colleagues. Organised by rank, this difference was noted only among full professors. Men had higher overall</w:t>
      </w:r>
      <w:r w:rsidR="005853A9">
        <w:rPr>
          <w:kern w:val="0"/>
        </w:rPr>
        <w:t xml:space="preserve"> and </w:t>
      </w:r>
      <w:r>
        <w:rPr>
          <w:kern w:val="0"/>
        </w:rPr>
        <w:t>early-career research productivity, while women had mid-career research productivity rates equivalent to</w:t>
      </w:r>
      <w:r w:rsidR="005853A9">
        <w:rPr>
          <w:kern w:val="0"/>
        </w:rPr>
        <w:t xml:space="preserve"> and </w:t>
      </w:r>
      <w:r>
        <w:rPr>
          <w:kern w:val="0"/>
        </w:rPr>
        <w:t>surpassing that</w:t>
      </w:r>
      <w:r w:rsidR="00427468">
        <w:rPr>
          <w:kern w:val="0"/>
        </w:rPr>
        <w:t xml:space="preserve"> of </w:t>
      </w:r>
      <w:r>
        <w:rPr>
          <w:kern w:val="0"/>
        </w:rPr>
        <w:t>their male colleagues. Gender disparities in research productivity were also noted among a sample</w:t>
      </w:r>
      <w:r w:rsidR="00427468">
        <w:rPr>
          <w:kern w:val="0"/>
        </w:rPr>
        <w:t xml:space="preserve"> of </w:t>
      </w:r>
      <w:r>
        <w:rPr>
          <w:kern w:val="0"/>
        </w:rPr>
        <w:t xml:space="preserve">academic physicians in other specialties. Conclusions: While men had higher overall research productivity, women had equivalent or higher mid-career research output, suggesting that early-career considerations unique to women should be taken into account during </w:t>
      </w:r>
      <w:r>
        <w:rPr>
          <w:kern w:val="0"/>
        </w:rPr>
        <w:lastRenderedPageBreak/>
        <w:t>appointment</w:t>
      </w:r>
      <w:r w:rsidR="005853A9">
        <w:rPr>
          <w:kern w:val="0"/>
        </w:rPr>
        <w:t xml:space="preserve"> and </w:t>
      </w:r>
      <w:r>
        <w:rPr>
          <w:kern w:val="0"/>
        </w:rPr>
        <w:t>promotion in academic anaesthesiology. While disparities in gender representation among anaesthesiologists have also been noted in Europe, further study as to whether these differences also extend to research productivity</w:t>
      </w:r>
      <w:r w:rsidR="005853A9">
        <w:rPr>
          <w:kern w:val="0"/>
        </w:rPr>
        <w:t xml:space="preserve"> and </w:t>
      </w:r>
      <w:r>
        <w:rPr>
          <w:kern w:val="0"/>
        </w:rPr>
        <w:t>academic promotion outside</w:t>
      </w:r>
      <w:r w:rsidR="00427468">
        <w:rPr>
          <w:kern w:val="0"/>
        </w:rPr>
        <w:t xml:space="preserve"> of </w:t>
      </w:r>
      <w:r>
        <w:rPr>
          <w:kern w:val="0"/>
        </w:rPr>
        <w:t>the US would be</w:t>
      </w:r>
      <w:r w:rsidR="00427468">
        <w:rPr>
          <w:kern w:val="0"/>
        </w:rPr>
        <w:t xml:space="preserve"> of </w:t>
      </w:r>
      <w:r>
        <w:rPr>
          <w:kern w:val="0"/>
        </w:rPr>
        <w:t>interest.</w:t>
      </w:r>
    </w:p>
    <w:p w:rsidR="00D87205" w:rsidRDefault="00D87205" w:rsidP="00D87205">
      <w:pPr>
        <w:pStyle w:val="a3"/>
        <w:rPr>
          <w:kern w:val="0"/>
        </w:rPr>
      </w:pPr>
      <w:r>
        <w:rPr>
          <w:kern w:val="0"/>
        </w:rPr>
        <w:t xml:space="preserve">Keywords: Academic, Academic Promotion, Anaesthesiology, Analysis, Article, Bibliometric, Bibliometric Analysis, Citation, Database, Discourse, Disparities, Disparity, Europe, Faculty, Female, Gender, Gender Disparities, </w:t>
      </w:r>
      <w:r w:rsidR="00D5664A">
        <w:rPr>
          <w:rFonts w:hint="eastAsia"/>
          <w:kern w:val="0"/>
        </w:rPr>
        <w:t>h Index</w:t>
      </w:r>
      <w:r>
        <w:rPr>
          <w:kern w:val="0"/>
        </w:rPr>
        <w:t xml:space="preserve">, </w:t>
      </w:r>
      <w:r w:rsidR="00D5664A">
        <w:rPr>
          <w:rFonts w:hint="eastAsia"/>
          <w:kern w:val="0"/>
        </w:rPr>
        <w:t>h-Index</w:t>
      </w:r>
      <w:r>
        <w:rPr>
          <w:kern w:val="0"/>
        </w:rPr>
        <w:t xml:space="preserve">, Impact, Indicator, Influence, Jersey, Male, Medicine, Men, Methods, New Jersey, Otolaryngology, Physician Scientists, Physicians, Power, Productivity, Professors, Promotion, Publication, Rank, Rates, Representation, Research, Research Output, Research Productivity, Residency, Results, River, Scopus, Specialty, US, </w:t>
      </w:r>
      <w:r w:rsidR="00D5664A">
        <w:rPr>
          <w:kern w:val="0"/>
        </w:rPr>
        <w:t>USA</w:t>
      </w:r>
      <w:r>
        <w:rPr>
          <w:kern w:val="0"/>
        </w:rPr>
        <w:t>, Women</w:t>
      </w:r>
    </w:p>
    <w:p w:rsidR="00BA438D" w:rsidRDefault="00BA438D" w:rsidP="00BA438D">
      <w:pPr>
        <w:pStyle w:val="a3"/>
        <w:rPr>
          <w:kern w:val="0"/>
        </w:rPr>
      </w:pPr>
      <w:r>
        <w:rPr>
          <w:rFonts w:hint="eastAsia"/>
          <w:kern w:val="0"/>
        </w:rPr>
        <w:t xml:space="preserve">? </w:t>
      </w:r>
      <w:r>
        <w:rPr>
          <w:kern w:val="0"/>
        </w:rPr>
        <w:t xml:space="preserve">Blaser, A.R., Starkopf, J., Kirsimagi, U. and Deane, A.M. (2014), Definition, prevalence, and outcome of feeding intolerance in intensive care: A systematic review and meta-analysis. </w:t>
      </w:r>
      <w:r>
        <w:rPr>
          <w:i/>
          <w:iCs/>
          <w:kern w:val="0"/>
        </w:rPr>
        <w:t>Acta Anaesthesiologica Scandinavica</w:t>
      </w:r>
      <w:r>
        <w:rPr>
          <w:kern w:val="0"/>
        </w:rPr>
        <w:t xml:space="preserve">, </w:t>
      </w:r>
      <w:r>
        <w:rPr>
          <w:b/>
          <w:bCs/>
          <w:kern w:val="0"/>
        </w:rPr>
        <w:t>58</w:t>
      </w:r>
      <w:r>
        <w:rPr>
          <w:kern w:val="0"/>
        </w:rPr>
        <w:t xml:space="preserve"> (8), 914-922.</w:t>
      </w:r>
    </w:p>
    <w:p w:rsidR="00BA438D" w:rsidRPr="00F219CA" w:rsidRDefault="00BA438D" w:rsidP="00BA438D">
      <w:pPr>
        <w:pStyle w:val="a3"/>
      </w:pPr>
      <w:r w:rsidRPr="00F219CA">
        <w:t xml:space="preserve">Full Text: </w:t>
      </w:r>
      <w:hyperlink r:id="rId101" w:history="1">
        <w:r w:rsidRPr="00BA438D">
          <w:rPr>
            <w:rStyle w:val="a5"/>
          </w:rPr>
          <w:t>2014\Act Ana Sca58, 914.pdf</w:t>
        </w:r>
      </w:hyperlink>
    </w:p>
    <w:p w:rsidR="00BA438D" w:rsidRDefault="00BA438D" w:rsidP="00BA438D">
      <w:pPr>
        <w:pStyle w:val="a3"/>
        <w:rPr>
          <w:kern w:val="0"/>
        </w:rPr>
      </w:pPr>
      <w:r>
        <w:rPr>
          <w:kern w:val="0"/>
        </w:rPr>
        <w:t>Abstract: Clinicians and researchers frequently use the phrase ‘feeding intolerance’ (FI) as a descriptive term in enterally fed critically ill patients. We aimed to: (1) determine what is the most accepted definition of FI; (2) estimate the prevalence of FI; and (3) evaluate whether FI is associated with important outcomes. Systematic searches of peer-reviewed publications using PubMed, MEDLINE, and Web of Science were performed with studies reporting FI extracted. We identified 72 studies defining FI. In 33 studies, the definition was based on large gastric residual volumes (GRVs) together with other gastrointestinal symptoms, while 30 studies relied solely on large GRVs, six studies used inadequate delivery of enteral nutrition (EN) as a threshold, and three studies gastrointestinal symptoms without reference to GRV. The median volume used to define a ‘large’ GRV was 250 ml (ranges from 75 to 500 ml). The pooled proportion (n = 31 studies) of FI was 38.3% (95% CI 30.7-46.2). Five studies reported outcomes, all of them observed adverse outcome in FI patients. In three studies, respectively, FI was associated with increased mortality and ICU length-of-stay. In summary, FI is inconsistently defined but appears to occur frequently. There are preliminary data indicating that FI is associated with adverse outcomes. A standard definition of FI is required to determine the accuracy of these preliminary data. (C) 2014 The Acta Anaesthesiologica Scandinavica Foundation. Published by John Wiley &amp; Sons Ltd.</w:t>
      </w:r>
    </w:p>
    <w:p w:rsidR="00BA438D" w:rsidRDefault="00BA438D" w:rsidP="00BA438D">
      <w:pPr>
        <w:pStyle w:val="a3"/>
        <w:rPr>
          <w:kern w:val="0"/>
        </w:rPr>
      </w:pPr>
      <w:r>
        <w:rPr>
          <w:kern w:val="0"/>
        </w:rPr>
        <w:t xml:space="preserve">Keywords: Accuracy, Adverse Outcome, Adverse Outcomes, Care, Critical Illness, Critically-Ill Patients, Data, Definition, Delivery, Early Enteral Nutrition, Enteral, Enteral Nutrition, Feeding, From, Gastric, Gastric Residual Volumes, Gastrointestinal Symptoms, ICU, Intensive Care, Length Of Stay, Mechanically </w:t>
      </w:r>
      <w:r>
        <w:rPr>
          <w:kern w:val="0"/>
        </w:rPr>
        <w:lastRenderedPageBreak/>
        <w:t>Ventilated Patients, Medline, Meta Analysis, Meta-Analysis, Metaanalysis, Mortality, Nutrition, Outcome, Outcomes, Patients, Peer-Reviewed, Peer-Reviewed Publications, Pneumonia, Prevalence, Prospective Cohort, Publications, Pubmed, Randomized Controlled-Trial, Reference, Reporting, Researchers, Review, Science, Standard, Symptoms, Systematic, Systematic Review, Term, Threshold, Traumatic Brain-Injury, Volume, Web Of Science</w:t>
      </w:r>
    </w:p>
    <w:p w:rsidR="003474F2" w:rsidRPr="001A3D2B" w:rsidRDefault="003474F2" w:rsidP="003474F2">
      <w:pPr>
        <w:pStyle w:val="1"/>
      </w:pPr>
      <w:r w:rsidRPr="001A3D2B">
        <w:br w:type="page"/>
      </w:r>
      <w:bookmarkStart w:id="46" w:name="_Toc420814247"/>
      <w:r w:rsidRPr="001A3D2B">
        <w:lastRenderedPageBreak/>
        <w:t>Title: Acta Anatomica Sinica</w:t>
      </w:r>
      <w:bookmarkEnd w:id="46"/>
    </w:p>
    <w:p w:rsidR="003474F2" w:rsidRPr="001A3D2B" w:rsidRDefault="003474F2" w:rsidP="003474F2">
      <w:pPr>
        <w:pStyle w:val="12"/>
      </w:pPr>
      <w:r w:rsidRPr="001A3D2B">
        <w:t xml:space="preserve">Full Journal Title: </w:t>
      </w:r>
      <w:hyperlink r:id="rId102" w:history="1">
        <w:r w:rsidRPr="001A3D2B">
          <w:rPr>
            <w:rStyle w:val="a5"/>
            <w:iCs/>
          </w:rPr>
          <w:t>Acta Anatomica Sinica</w:t>
        </w:r>
      </w:hyperlink>
    </w:p>
    <w:p w:rsidR="003474F2" w:rsidRPr="001A3D2B" w:rsidRDefault="003474F2" w:rsidP="003474F2">
      <w:pPr>
        <w:pStyle w:val="12"/>
      </w:pPr>
      <w:r w:rsidRPr="001A3D2B">
        <w:t>ISO Abbreviated Title:</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0529-1356</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Journal Country/Territory:</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w:t>
      </w:r>
    </w:p>
    <w:p w:rsidR="003474F2" w:rsidRPr="001A3D2B" w:rsidRDefault="003474F2" w:rsidP="003474F2">
      <w:pPr>
        <w:pStyle w:val="a3"/>
      </w:pPr>
      <w:r w:rsidRPr="001A3D2B">
        <w:t>? Zhou, P.</w:t>
      </w:r>
      <w:r w:rsidR="005853A9">
        <w:t xml:space="preserve"> and </w:t>
      </w:r>
      <w:r w:rsidRPr="001A3D2B">
        <w:t>Tang, M. (2008), A bibliometric analysis</w:t>
      </w:r>
      <w:r w:rsidR="00427468">
        <w:t xml:space="preserve"> of </w:t>
      </w:r>
      <w:r w:rsidR="003A1917">
        <w:t xml:space="preserve">the </w:t>
      </w:r>
      <w:r w:rsidRPr="001A3D2B">
        <w:t xml:space="preserve">research on anterolateral thigh flap. </w:t>
      </w:r>
      <w:r w:rsidRPr="001A3D2B">
        <w:rPr>
          <w:i/>
          <w:iCs/>
        </w:rPr>
        <w:t>Acta Anatomica Sinica</w:t>
      </w:r>
      <w:r w:rsidRPr="001A3D2B">
        <w:t xml:space="preserve">, </w:t>
      </w:r>
      <w:r w:rsidRPr="001A3D2B">
        <w:rPr>
          <w:b/>
          <w:bCs/>
        </w:rPr>
        <w:t>39</w:t>
      </w:r>
      <w:r w:rsidRPr="001A3D2B">
        <w:t xml:space="preserve"> (2), 264-266.</w:t>
      </w:r>
    </w:p>
    <w:p w:rsidR="003474F2" w:rsidRPr="001A3D2B" w:rsidRDefault="003474F2" w:rsidP="003474F2">
      <w:pPr>
        <w:pStyle w:val="a3"/>
      </w:pPr>
      <w:r w:rsidRPr="001A3D2B">
        <w:t xml:space="preserve">Full Text: </w:t>
      </w:r>
      <w:hyperlink r:id="rId103" w:history="1">
        <w:r w:rsidRPr="001A3D2B">
          <w:rPr>
            <w:rStyle w:val="a5"/>
          </w:rPr>
          <w:t>2008\Act Ana Sin39, 264.pdf</w:t>
        </w:r>
      </w:hyperlink>
    </w:p>
    <w:p w:rsidR="003474F2" w:rsidRPr="001A3D2B" w:rsidRDefault="003474F2" w:rsidP="003474F2">
      <w:pPr>
        <w:pStyle w:val="a3"/>
      </w:pPr>
      <w:r w:rsidRPr="001A3D2B">
        <w:t>Abstract: Objective To understand</w:t>
      </w:r>
      <w:r w:rsidR="003A1917">
        <w:t xml:space="preserve"> the </w:t>
      </w:r>
      <w:r w:rsidRPr="001A3D2B">
        <w:t>status</w:t>
      </w:r>
      <w:r w:rsidR="005853A9">
        <w:t xml:space="preserve"> and </w:t>
      </w:r>
      <w:r w:rsidRPr="001A3D2B">
        <w:t>developmental trends</w:t>
      </w:r>
      <w:r w:rsidR="00427468">
        <w:t xml:space="preserve"> of </w:t>
      </w:r>
      <w:r w:rsidR="003A1917">
        <w:t xml:space="preserve">the </w:t>
      </w:r>
      <w:r w:rsidRPr="001A3D2B">
        <w:t>research on anterolateral thigh flap. Methods</w:t>
      </w:r>
      <w:r w:rsidR="003A1917">
        <w:t xml:space="preserve"> the </w:t>
      </w:r>
      <w:r w:rsidR="002C12F0">
        <w:t>PUBMED</w:t>
      </w:r>
      <w:r w:rsidRPr="001A3D2B">
        <w:t xml:space="preserve"> search was downloaded</w:t>
      </w:r>
      <w:r w:rsidR="005853A9">
        <w:t xml:space="preserve"> and </w:t>
      </w:r>
      <w:r w:rsidR="003A1917">
        <w:t xml:space="preserve">the </w:t>
      </w:r>
      <w:r w:rsidRPr="001A3D2B">
        <w:t>results were imported into</w:t>
      </w:r>
      <w:r w:rsidR="003A1917">
        <w:t xml:space="preserve"> the </w:t>
      </w:r>
      <w:r w:rsidRPr="001A3D2B">
        <w:t>EndNote database, then</w:t>
      </w:r>
      <w:r w:rsidR="003A1917">
        <w:t xml:space="preserve"> the </w:t>
      </w:r>
      <w:r w:rsidRPr="001A3D2B">
        <w:t>distribution was analysed by age, nation, language, periodical</w:t>
      </w:r>
      <w:r w:rsidR="005853A9">
        <w:t xml:space="preserve"> and </w:t>
      </w:r>
      <w:r w:rsidRPr="001A3D2B">
        <w:t xml:space="preserve">frequency. Results There were 236 articles on anterolateral thigh flap in </w:t>
      </w:r>
      <w:r w:rsidR="002C12F0">
        <w:t>PUBMED</w:t>
      </w:r>
      <w:r w:rsidRPr="001A3D2B">
        <w:t xml:space="preserve"> from 1996 to August 2006</w:t>
      </w:r>
      <w:r w:rsidR="00A37C1D">
        <w:t>. The</w:t>
      </w:r>
      <w:r w:rsidR="003A1917">
        <w:t xml:space="preserve"> </w:t>
      </w:r>
      <w:r w:rsidRPr="001A3D2B">
        <w:t>amount</w:t>
      </w:r>
      <w:r w:rsidR="00427468">
        <w:t xml:space="preserve"> of </w:t>
      </w:r>
      <w:r w:rsidRPr="001A3D2B">
        <w:t>articles multiply increased from 2002 to August 2006, at eighty percent</w:t>
      </w:r>
      <w:r w:rsidR="00427468">
        <w:t xml:space="preserve"> of </w:t>
      </w:r>
      <w:r w:rsidRPr="001A3D2B">
        <w:t>all</w:t>
      </w:r>
      <w:r w:rsidR="00A37C1D">
        <w:t>. The</w:t>
      </w:r>
      <w:r w:rsidRPr="001A3D2B">
        <w:t>y were published in 8 languages, in 47 journals</w:t>
      </w:r>
      <w:r w:rsidR="005853A9">
        <w:t xml:space="preserve"> and </w:t>
      </w:r>
      <w:r w:rsidRPr="001A3D2B">
        <w:t>from 9 countries. China</w:t>
      </w:r>
      <w:r w:rsidR="005853A9">
        <w:t xml:space="preserve"> and </w:t>
      </w:r>
      <w:r w:rsidR="003A1917">
        <w:t xml:space="preserve">the </w:t>
      </w:r>
      <w:r w:rsidR="00D5664A">
        <w:t>USA</w:t>
      </w:r>
      <w:r w:rsidRPr="001A3D2B">
        <w:t xml:space="preserve"> are</w:t>
      </w:r>
      <w:r w:rsidR="003A1917">
        <w:t xml:space="preserve"> the </w:t>
      </w:r>
      <w:r w:rsidRPr="001A3D2B">
        <w:t>major countries</w:t>
      </w:r>
      <w:r w:rsidR="00427468">
        <w:t xml:space="preserve"> of </w:t>
      </w:r>
      <w:r w:rsidR="003A1917">
        <w:t xml:space="preserve">the </w:t>
      </w:r>
      <w:r w:rsidRPr="001A3D2B">
        <w:t>publication, with 77 articles each, which altogether took up 65.2%</w:t>
      </w:r>
      <w:r w:rsidR="00427468">
        <w:t xml:space="preserve"> of </w:t>
      </w:r>
      <w:r w:rsidR="003A1917">
        <w:t xml:space="preserve">the </w:t>
      </w:r>
      <w:r w:rsidRPr="001A3D2B">
        <w:t>total. Words</w:t>
      </w:r>
      <w:r w:rsidR="00427468">
        <w:t xml:space="preserve"> of </w:t>
      </w:r>
      <w:r w:rsidRPr="001A3D2B">
        <w:t>a high frequency are as follows: free skip flap, island skin flap, ultrathin skin flap, perforating artery,</w:t>
      </w:r>
      <w:r w:rsidR="005853A9">
        <w:t xml:space="preserve"> and </w:t>
      </w:r>
      <w:r w:rsidRPr="001A3D2B">
        <w:t>descending branch</w:t>
      </w:r>
      <w:r w:rsidR="00427468">
        <w:t xml:space="preserve"> of </w:t>
      </w:r>
      <w:r w:rsidRPr="001A3D2B">
        <w:t>lateral circumflex femoral artery,</w:t>
      </w:r>
      <w:r w:rsidR="003A1917">
        <w:t xml:space="preserve"> the </w:t>
      </w:r>
      <w:r w:rsidRPr="001A3D2B">
        <w:t>frequency ratio</w:t>
      </w:r>
      <w:r w:rsidR="00427468">
        <w:t xml:space="preserve"> of </w:t>
      </w:r>
      <w:r w:rsidRPr="001A3D2B">
        <w:t>which is up to 97.46%. Conclusion</w:t>
      </w:r>
      <w:r w:rsidR="003A1917">
        <w:t xml:space="preserve"> the </w:t>
      </w:r>
      <w:r w:rsidRPr="001A3D2B">
        <w:t>papers on anterolateral thigh flap are written mainly by China</w:t>
      </w:r>
      <w:r w:rsidR="005853A9">
        <w:t xml:space="preserve"> and </w:t>
      </w:r>
      <w:r w:rsidR="00D5664A">
        <w:t>USA</w:t>
      </w:r>
      <w:r w:rsidRPr="001A3D2B">
        <w:t>; English is</w:t>
      </w:r>
      <w:r w:rsidR="003A1917">
        <w:t xml:space="preserve"> the </w:t>
      </w:r>
      <w:r w:rsidRPr="001A3D2B">
        <w:t>main publishing language;</w:t>
      </w:r>
      <w:r w:rsidR="003A1917">
        <w:t xml:space="preserve"> the </w:t>
      </w:r>
      <w:r w:rsidRPr="001A3D2B">
        <w:t>articles are chiefly published by Plast Reconstr Surg</w:t>
      </w:r>
      <w:r w:rsidR="005853A9">
        <w:t xml:space="preserve"> and </w:t>
      </w:r>
      <w:r w:rsidRPr="001A3D2B">
        <w:t>other 8 journals</w:t>
      </w:r>
      <w:r w:rsidR="00A37C1D">
        <w:t>. The</w:t>
      </w:r>
      <w:r w:rsidR="003A1917">
        <w:t xml:space="preserve"> </w:t>
      </w:r>
      <w:r w:rsidRPr="001A3D2B">
        <w:t>research emphases</w:t>
      </w:r>
      <w:r w:rsidR="00427468">
        <w:t xml:space="preserve"> of </w:t>
      </w:r>
      <w:r w:rsidR="003A1917">
        <w:t xml:space="preserve">the </w:t>
      </w:r>
      <w:r w:rsidRPr="001A3D2B">
        <w:t>anterolateral thigh flap are on free skip flap, perforating flap, ultrathin skin flap,</w:t>
      </w:r>
      <w:r w:rsidR="005853A9">
        <w:t xml:space="preserve"> and </w:t>
      </w:r>
      <w:r w:rsidRPr="001A3D2B">
        <w:t>island flap. Angiography</w:t>
      </w:r>
      <w:r w:rsidR="005853A9">
        <w:t xml:space="preserve"> and </w:t>
      </w:r>
      <w:r w:rsidRPr="001A3D2B">
        <w:t>3D-reconstruction are</w:t>
      </w:r>
      <w:r w:rsidR="003A1917">
        <w:t xml:space="preserve"> the </w:t>
      </w:r>
      <w:r w:rsidRPr="001A3D2B">
        <w:t>recent techniques for</w:t>
      </w:r>
      <w:r w:rsidR="003A1917">
        <w:t xml:space="preserve"> the </w:t>
      </w:r>
      <w:r w:rsidRPr="001A3D2B">
        <w:t>research.</w:t>
      </w:r>
    </w:p>
    <w:p w:rsidR="003474F2" w:rsidRPr="001A3D2B" w:rsidRDefault="003474F2" w:rsidP="003474F2">
      <w:pPr>
        <w:pStyle w:val="a3"/>
      </w:pPr>
      <w:r w:rsidRPr="001A3D2B">
        <w:t xml:space="preserve">Keywords: Age, Analysis, Artery, Bibliometric, Bibliometric Analysis, China, Database, Distribution, Journals, Languages, Papers, Periodical, Publication, Publishing, </w:t>
      </w:r>
      <w:r w:rsidR="002C12F0">
        <w:t>PUBMED</w:t>
      </w:r>
      <w:r w:rsidRPr="001A3D2B">
        <w:t xml:space="preserve">, Research, Skin, Techniques, Trends, </w:t>
      </w:r>
      <w:r w:rsidR="00D5664A">
        <w:t>USA</w:t>
      </w:r>
    </w:p>
    <w:p w:rsidR="003474F2" w:rsidRPr="001A3D2B" w:rsidRDefault="003474F2" w:rsidP="003474F2">
      <w:pPr>
        <w:pStyle w:val="1"/>
      </w:pPr>
      <w:r w:rsidRPr="001A3D2B">
        <w:br w:type="page"/>
      </w:r>
      <w:bookmarkStart w:id="47" w:name="_Toc420814248"/>
      <w:r w:rsidRPr="001A3D2B">
        <w:lastRenderedPageBreak/>
        <w:t xml:space="preserve">Title: </w:t>
      </w:r>
      <w:r w:rsidRPr="001A3D2B">
        <w:rPr>
          <w:szCs w:val="12"/>
        </w:rPr>
        <w:t>Acta Arachnologica Sinica</w:t>
      </w:r>
      <w:bookmarkEnd w:id="47"/>
    </w:p>
    <w:p w:rsidR="00990401" w:rsidRPr="00F219CA" w:rsidRDefault="00990401" w:rsidP="00990401">
      <w:pPr>
        <w:pStyle w:val="12"/>
      </w:pPr>
      <w:r w:rsidRPr="00F219CA">
        <w:t xml:space="preserve">Full Journal Title: </w:t>
      </w:r>
      <w:hyperlink r:id="rId104" w:history="1">
        <w:r w:rsidRPr="006D05D4">
          <w:rPr>
            <w:rStyle w:val="a5"/>
            <w:szCs w:val="12"/>
          </w:rPr>
          <w:t>Acta Arachnologica Sinica</w:t>
        </w:r>
      </w:hyperlink>
    </w:p>
    <w:p w:rsidR="003474F2" w:rsidRPr="001A3D2B" w:rsidRDefault="003474F2" w:rsidP="003474F2">
      <w:pPr>
        <w:pStyle w:val="12"/>
      </w:pPr>
      <w:r w:rsidRPr="001A3D2B">
        <w:t>ISO Abbreviated Title:</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1005-9628</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Journal Country/Territory:</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rPr>
          <w:szCs w:val="12"/>
        </w:rPr>
        <w:t>? Yang, Z.Q., Fan, H.L.</w:t>
      </w:r>
      <w:r w:rsidR="005853A9">
        <w:rPr>
          <w:szCs w:val="12"/>
        </w:rPr>
        <w:t xml:space="preserve"> and </w:t>
      </w:r>
      <w:r w:rsidRPr="001A3D2B">
        <w:rPr>
          <w:szCs w:val="12"/>
        </w:rPr>
        <w:t>Liu, Y.R.</w:t>
      </w:r>
      <w:r w:rsidRPr="001A3D2B">
        <w:t xml:space="preserve"> (2003), </w:t>
      </w:r>
      <w:r w:rsidRPr="001A3D2B">
        <w:rPr>
          <w:szCs w:val="12"/>
        </w:rPr>
        <w:t>Bibliometric analysis</w:t>
      </w:r>
      <w:r w:rsidR="00427468">
        <w:rPr>
          <w:szCs w:val="12"/>
        </w:rPr>
        <w:t xml:space="preserve"> of </w:t>
      </w:r>
      <w:r w:rsidRPr="001A3D2B">
        <w:rPr>
          <w:szCs w:val="12"/>
        </w:rPr>
        <w:t>scientific papers</w:t>
      </w:r>
      <w:r w:rsidR="00427468">
        <w:rPr>
          <w:szCs w:val="12"/>
        </w:rPr>
        <w:t xml:space="preserve"> of </w:t>
      </w:r>
      <w:r w:rsidR="00B5188C">
        <w:rPr>
          <w:szCs w:val="12"/>
        </w:rPr>
        <w:t>“</w:t>
      </w:r>
      <w:r w:rsidRPr="00990401">
        <w:rPr>
          <w:i/>
          <w:szCs w:val="12"/>
        </w:rPr>
        <w:t>Acta Arachnologica Sinica</w:t>
      </w:r>
      <w:r w:rsidR="00B5188C">
        <w:rPr>
          <w:szCs w:val="12"/>
        </w:rPr>
        <w:t>”</w:t>
      </w:r>
      <w:r w:rsidRPr="001A3D2B">
        <w:rPr>
          <w:szCs w:val="12"/>
        </w:rPr>
        <w:t xml:space="preserve"> from 1992 to 2001</w:t>
      </w:r>
      <w:r w:rsidRPr="001A3D2B">
        <w:t xml:space="preserve">. </w:t>
      </w:r>
      <w:r w:rsidRPr="001A3D2B">
        <w:rPr>
          <w:i/>
          <w:szCs w:val="12"/>
        </w:rPr>
        <w:t>Acta Arachnologica Sinica</w:t>
      </w:r>
      <w:r w:rsidRPr="001A3D2B">
        <w:t xml:space="preserve">, </w:t>
      </w:r>
      <w:r w:rsidRPr="001A3D2B">
        <w:rPr>
          <w:b/>
          <w:bCs/>
        </w:rPr>
        <w:t>12</w:t>
      </w:r>
      <w:r w:rsidRPr="001A3D2B">
        <w:t xml:space="preserve"> (2), 122-124.</w:t>
      </w:r>
    </w:p>
    <w:p w:rsidR="003474F2" w:rsidRPr="001A3D2B" w:rsidRDefault="003474F2" w:rsidP="003474F2">
      <w:pPr>
        <w:pStyle w:val="a3"/>
      </w:pPr>
      <w:r w:rsidRPr="001A3D2B">
        <w:t xml:space="preserve">Full Text: </w:t>
      </w:r>
      <w:hyperlink r:id="rId105" w:history="1">
        <w:r w:rsidRPr="001A3D2B">
          <w:rPr>
            <w:rStyle w:val="a5"/>
            <w:szCs w:val="12"/>
          </w:rPr>
          <w:t>2003\Act Ara Sin12, 122.pdf</w:t>
        </w:r>
      </w:hyperlink>
    </w:p>
    <w:p w:rsidR="003474F2" w:rsidRPr="001A3D2B" w:rsidRDefault="003474F2" w:rsidP="003474F2">
      <w:pPr>
        <w:pStyle w:val="a3"/>
      </w:pPr>
      <w:r w:rsidRPr="001A3D2B">
        <w:t>Abstract:</w:t>
      </w:r>
      <w:r w:rsidR="003A1917">
        <w:t xml:space="preserve"> the </w:t>
      </w:r>
      <w:r w:rsidRPr="001A3D2B">
        <w:t xml:space="preserve">scientific papers in </w:t>
      </w:r>
      <w:r w:rsidR="00700038">
        <w:rPr>
          <w:szCs w:val="21"/>
        </w:rPr>
        <w:t>‘</w:t>
      </w:r>
      <w:r w:rsidRPr="001A3D2B">
        <w:t>Acta A rachno logica Sinica</w:t>
      </w:r>
      <w:r w:rsidR="00700038">
        <w:rPr>
          <w:szCs w:val="21"/>
        </w:rPr>
        <w:t>’</w:t>
      </w:r>
      <w:r w:rsidRPr="001A3D2B">
        <w:rPr>
          <w:szCs w:val="21"/>
        </w:rPr>
        <w:t xml:space="preserve"> </w:t>
      </w:r>
      <w:r w:rsidRPr="001A3D2B">
        <w:t>from l992 to 2001 have been analysed by bibliometrics, including</w:t>
      </w:r>
      <w:r w:rsidR="003A1917">
        <w:t xml:space="preserve"> the </w:t>
      </w:r>
      <w:r w:rsidRPr="001A3D2B">
        <w:t>characteristics</w:t>
      </w:r>
      <w:r w:rsidR="00427468">
        <w:t xml:space="preserve"> of </w:t>
      </w:r>
      <w:r w:rsidR="003A1917">
        <w:t xml:space="preserve">the </w:t>
      </w:r>
      <w:r w:rsidRPr="001A3D2B">
        <w:t>periodical, it sauthor</w:t>
      </w:r>
      <w:r w:rsidR="00700038">
        <w:t>’</w:t>
      </w:r>
      <w:r w:rsidR="00C13DDC">
        <w:t>s</w:t>
      </w:r>
      <w:r w:rsidRPr="001A3D2B">
        <w:t xml:space="preserve"> areas, units distribution</w:t>
      </w:r>
      <w:r w:rsidR="005853A9">
        <w:t xml:space="preserve"> and </w:t>
      </w:r>
      <w:r w:rsidRPr="001A3D2B">
        <w:t>quotations. Some suggest ions have been put forward to promote</w:t>
      </w:r>
      <w:r w:rsidR="003A1917">
        <w:t xml:space="preserve"> the </w:t>
      </w:r>
      <w:r w:rsidRPr="001A3D2B">
        <w:t>Acta Arachnologica Sinica.</w:t>
      </w:r>
    </w:p>
    <w:p w:rsidR="003474F2" w:rsidRPr="001A3D2B" w:rsidRDefault="003474F2" w:rsidP="003474F2">
      <w:pPr>
        <w:pStyle w:val="a3"/>
      </w:pPr>
      <w:r w:rsidRPr="001A3D2B">
        <w:t>Keywords: Acta Arachnologica Sinica, Bibliometric Analysis, Periodical Review</w:t>
      </w:r>
    </w:p>
    <w:p w:rsidR="00C5584C" w:rsidRPr="00F219CA" w:rsidRDefault="00C5584C" w:rsidP="00C5584C">
      <w:pPr>
        <w:pStyle w:val="1"/>
      </w:pPr>
      <w:r w:rsidRPr="00F219CA">
        <w:br w:type="page"/>
      </w:r>
      <w:bookmarkStart w:id="48" w:name="_Toc420814249"/>
      <w:r w:rsidRPr="00F219CA">
        <w:lastRenderedPageBreak/>
        <w:t xml:space="preserve">Title: </w:t>
      </w:r>
      <w:r w:rsidRPr="00390EB2">
        <w:rPr>
          <w:iCs w:val="0"/>
          <w:szCs w:val="24"/>
        </w:rPr>
        <w:t>Acta Bioethica</w:t>
      </w:r>
      <w:bookmarkEnd w:id="48"/>
    </w:p>
    <w:p w:rsidR="00C5584C" w:rsidRPr="00F219CA" w:rsidRDefault="00C5584C" w:rsidP="00C5584C">
      <w:pPr>
        <w:pStyle w:val="12"/>
      </w:pPr>
      <w:r w:rsidRPr="00F219CA">
        <w:t xml:space="preserve">Full Journal Title: </w:t>
      </w:r>
      <w:hyperlink r:id="rId106" w:history="1">
        <w:r w:rsidRPr="003A6E3B">
          <w:rPr>
            <w:rStyle w:val="a5"/>
            <w:kern w:val="0"/>
          </w:rPr>
          <w:t>Acta Bioethica</w:t>
        </w:r>
      </w:hyperlink>
    </w:p>
    <w:p w:rsidR="00C5584C" w:rsidRPr="00F219CA" w:rsidRDefault="00C5584C" w:rsidP="00C5584C">
      <w:pPr>
        <w:pStyle w:val="12"/>
      </w:pPr>
      <w:r w:rsidRPr="00F219CA">
        <w:t xml:space="preserve">ISO Abbreviated Title: </w:t>
      </w:r>
    </w:p>
    <w:p w:rsidR="00C5584C" w:rsidRPr="00F219CA" w:rsidRDefault="00C5584C" w:rsidP="00C5584C">
      <w:pPr>
        <w:pStyle w:val="12"/>
      </w:pPr>
      <w:r w:rsidRPr="00F219CA">
        <w:t xml:space="preserve">JCR Abbreviated Title: </w:t>
      </w:r>
    </w:p>
    <w:p w:rsidR="00C5584C" w:rsidRPr="00F219CA" w:rsidRDefault="00C5584C" w:rsidP="00C5584C">
      <w:pPr>
        <w:pStyle w:val="12"/>
      </w:pPr>
      <w:r w:rsidRPr="00F219CA">
        <w:t xml:space="preserve">ISSN: </w:t>
      </w:r>
    </w:p>
    <w:p w:rsidR="00C5584C" w:rsidRPr="00F219CA" w:rsidRDefault="00C5584C" w:rsidP="00C5584C">
      <w:pPr>
        <w:pStyle w:val="12"/>
      </w:pPr>
      <w:r w:rsidRPr="00F219CA">
        <w:t xml:space="preserve">Issues/Year: </w:t>
      </w:r>
    </w:p>
    <w:p w:rsidR="00C5584C" w:rsidRPr="00F219CA" w:rsidRDefault="00C5584C" w:rsidP="00C5584C">
      <w:pPr>
        <w:pStyle w:val="12"/>
      </w:pPr>
      <w:r w:rsidRPr="00F219CA">
        <w:t xml:space="preserve">Journal Country/Territory: </w:t>
      </w:r>
    </w:p>
    <w:p w:rsidR="00C5584C" w:rsidRPr="00F219CA" w:rsidRDefault="00C5584C" w:rsidP="00C5584C">
      <w:pPr>
        <w:pStyle w:val="12"/>
      </w:pPr>
      <w:r w:rsidRPr="00F219CA">
        <w:t xml:space="preserve">Language: </w:t>
      </w:r>
    </w:p>
    <w:p w:rsidR="00C5584C" w:rsidRPr="00F219CA" w:rsidRDefault="00C5584C" w:rsidP="00C5584C">
      <w:pPr>
        <w:pStyle w:val="12"/>
      </w:pPr>
      <w:r w:rsidRPr="00F219CA">
        <w:t xml:space="preserve">Publisher: </w:t>
      </w:r>
    </w:p>
    <w:p w:rsidR="00C5584C" w:rsidRPr="00F219CA" w:rsidRDefault="00C5584C" w:rsidP="00C5584C">
      <w:pPr>
        <w:pStyle w:val="12"/>
      </w:pPr>
      <w:r w:rsidRPr="00F219CA">
        <w:t xml:space="preserve">Publisher Address: </w:t>
      </w:r>
    </w:p>
    <w:p w:rsidR="00C5584C" w:rsidRPr="00F219CA" w:rsidRDefault="00C5584C" w:rsidP="00C5584C">
      <w:pPr>
        <w:pStyle w:val="12"/>
      </w:pPr>
      <w:r w:rsidRPr="00F219CA">
        <w:t xml:space="preserve">Subject Categories: </w:t>
      </w:r>
    </w:p>
    <w:p w:rsidR="00C5584C" w:rsidRPr="00F219CA" w:rsidRDefault="00C5584C" w:rsidP="00C5584C">
      <w:pPr>
        <w:pStyle w:val="12"/>
      </w:pPr>
      <w:r w:rsidRPr="00F219CA">
        <w:t xml:space="preserve">: Impact Factor </w:t>
      </w:r>
    </w:p>
    <w:p w:rsidR="003043E8" w:rsidRDefault="003043E8" w:rsidP="00C5584C">
      <w:pPr>
        <w:pStyle w:val="a3"/>
        <w:rPr>
          <w:kern w:val="0"/>
          <w:szCs w:val="24"/>
        </w:rPr>
      </w:pPr>
      <w:r>
        <w:rPr>
          <w:rFonts w:hint="eastAsia"/>
          <w:kern w:val="0"/>
          <w:szCs w:val="24"/>
        </w:rPr>
        <w:t>Notes: JJournal</w:t>
      </w:r>
    </w:p>
    <w:p w:rsidR="00C5584C" w:rsidRDefault="00C5584C" w:rsidP="00C5584C">
      <w:pPr>
        <w:pStyle w:val="a3"/>
        <w:rPr>
          <w:kern w:val="0"/>
          <w:szCs w:val="24"/>
        </w:rPr>
      </w:pPr>
      <w:r>
        <w:rPr>
          <w:rFonts w:hint="eastAsia"/>
          <w:kern w:val="0"/>
          <w:szCs w:val="24"/>
        </w:rPr>
        <w:t xml:space="preserve">? </w:t>
      </w:r>
      <w:r>
        <w:rPr>
          <w:kern w:val="0"/>
          <w:szCs w:val="24"/>
        </w:rPr>
        <w:t xml:space="preserve">Stepke, F.L. (2010), </w:t>
      </w:r>
      <w:r w:rsidRPr="00E30FC0">
        <w:rPr>
          <w:i/>
          <w:kern w:val="0"/>
          <w:szCs w:val="24"/>
        </w:rPr>
        <w:t>Acta Bioethica</w:t>
      </w:r>
      <w:r>
        <w:rPr>
          <w:kern w:val="0"/>
          <w:szCs w:val="24"/>
        </w:rPr>
        <w:t>: A decade</w:t>
      </w:r>
      <w:r w:rsidR="00427468">
        <w:rPr>
          <w:kern w:val="0"/>
          <w:szCs w:val="24"/>
        </w:rPr>
        <w:t xml:space="preserve"> of </w:t>
      </w:r>
      <w:r>
        <w:rPr>
          <w:kern w:val="0"/>
          <w:szCs w:val="24"/>
        </w:rPr>
        <w:t xml:space="preserve">history. </w:t>
      </w:r>
      <w:r w:rsidRPr="00390EB2">
        <w:rPr>
          <w:i/>
          <w:kern w:val="0"/>
          <w:szCs w:val="24"/>
        </w:rPr>
        <w:t>Acta Bioethica</w:t>
      </w:r>
      <w:r>
        <w:rPr>
          <w:kern w:val="0"/>
          <w:szCs w:val="24"/>
        </w:rPr>
        <w:t xml:space="preserve">, </w:t>
      </w:r>
      <w:r>
        <w:rPr>
          <w:b/>
          <w:bCs/>
          <w:kern w:val="0"/>
          <w:szCs w:val="24"/>
        </w:rPr>
        <w:t>16</w:t>
      </w:r>
      <w:r>
        <w:rPr>
          <w:kern w:val="0"/>
          <w:szCs w:val="24"/>
        </w:rPr>
        <w:t xml:space="preserve"> (2), 115-118.</w:t>
      </w:r>
    </w:p>
    <w:p w:rsidR="00C5584C" w:rsidRDefault="00C5584C" w:rsidP="00C5584C">
      <w:pPr>
        <w:pStyle w:val="a3"/>
        <w:rPr>
          <w:kern w:val="0"/>
          <w:szCs w:val="24"/>
        </w:rPr>
      </w:pPr>
      <w:r>
        <w:rPr>
          <w:rFonts w:hint="eastAsia"/>
          <w:kern w:val="0"/>
          <w:szCs w:val="24"/>
        </w:rPr>
        <w:t xml:space="preserve">Full Text: </w:t>
      </w:r>
      <w:hyperlink r:id="rId107" w:history="1">
        <w:r w:rsidR="00AE495E" w:rsidRPr="00AE495E">
          <w:rPr>
            <w:rStyle w:val="a5"/>
            <w:kern w:val="0"/>
            <w:szCs w:val="24"/>
          </w:rPr>
          <w:t>2010\Act Bio16, 115.pdf</w:t>
        </w:r>
      </w:hyperlink>
    </w:p>
    <w:p w:rsidR="00C5584C" w:rsidRDefault="00C5584C" w:rsidP="00C5584C">
      <w:pPr>
        <w:pStyle w:val="a3"/>
        <w:rPr>
          <w:kern w:val="0"/>
          <w:szCs w:val="24"/>
        </w:rPr>
      </w:pPr>
      <w:r>
        <w:rPr>
          <w:kern w:val="0"/>
          <w:szCs w:val="24"/>
        </w:rPr>
        <w:t>Abstract: A historical account</w:t>
      </w:r>
      <w:r w:rsidR="00427468">
        <w:rPr>
          <w:kern w:val="0"/>
          <w:szCs w:val="24"/>
        </w:rPr>
        <w:t xml:space="preserve"> of </w:t>
      </w:r>
      <w:r>
        <w:rPr>
          <w:kern w:val="0"/>
          <w:szCs w:val="24"/>
        </w:rPr>
        <w:t>origin</w:t>
      </w:r>
      <w:r w:rsidR="005853A9">
        <w:rPr>
          <w:kern w:val="0"/>
          <w:szCs w:val="24"/>
        </w:rPr>
        <w:t xml:space="preserve"> and </w:t>
      </w:r>
      <w:r>
        <w:rPr>
          <w:kern w:val="0"/>
          <w:szCs w:val="24"/>
        </w:rPr>
        <w:t>evolution</w:t>
      </w:r>
      <w:r w:rsidR="00427468">
        <w:rPr>
          <w:kern w:val="0"/>
          <w:szCs w:val="24"/>
        </w:rPr>
        <w:t xml:space="preserve"> of </w:t>
      </w:r>
      <w:r>
        <w:rPr>
          <w:kern w:val="0"/>
          <w:szCs w:val="24"/>
        </w:rPr>
        <w:t>Acta Bioethica (ISSN 0717-5906) is presented, emphasizing</w:t>
      </w:r>
      <w:r w:rsidR="003A1917">
        <w:rPr>
          <w:kern w:val="0"/>
          <w:szCs w:val="24"/>
        </w:rPr>
        <w:t xml:space="preserve"> the </w:t>
      </w:r>
      <w:r>
        <w:rPr>
          <w:kern w:val="0"/>
          <w:szCs w:val="24"/>
        </w:rPr>
        <w:t>topics addressed</w:t>
      </w:r>
      <w:r w:rsidR="005853A9">
        <w:rPr>
          <w:kern w:val="0"/>
          <w:szCs w:val="24"/>
        </w:rPr>
        <w:t xml:space="preserve"> and </w:t>
      </w:r>
      <w:r w:rsidR="003A1917">
        <w:rPr>
          <w:kern w:val="0"/>
          <w:szCs w:val="24"/>
        </w:rPr>
        <w:t xml:space="preserve">the </w:t>
      </w:r>
      <w:r>
        <w:rPr>
          <w:kern w:val="0"/>
          <w:szCs w:val="24"/>
        </w:rPr>
        <w:t>geographical origin</w:t>
      </w:r>
      <w:r w:rsidR="00427468">
        <w:rPr>
          <w:kern w:val="0"/>
          <w:szCs w:val="24"/>
        </w:rPr>
        <w:t xml:space="preserve"> of </w:t>
      </w:r>
      <w:r>
        <w:rPr>
          <w:kern w:val="0"/>
          <w:szCs w:val="24"/>
        </w:rPr>
        <w:t>its authors during its first ten years</w:t>
      </w:r>
      <w:r w:rsidR="00427468">
        <w:rPr>
          <w:kern w:val="0"/>
          <w:szCs w:val="24"/>
        </w:rPr>
        <w:t xml:space="preserve"> of </w:t>
      </w:r>
      <w:r>
        <w:rPr>
          <w:kern w:val="0"/>
          <w:szCs w:val="24"/>
        </w:rPr>
        <w:t>existence. Indexed in SciELO, Science Citation Index, Latindex</w:t>
      </w:r>
      <w:r w:rsidR="005853A9">
        <w:rPr>
          <w:kern w:val="0"/>
          <w:szCs w:val="24"/>
        </w:rPr>
        <w:t xml:space="preserve"> and </w:t>
      </w:r>
      <w:r>
        <w:rPr>
          <w:kern w:val="0"/>
          <w:szCs w:val="24"/>
        </w:rPr>
        <w:t>other bibliographic databases,</w:t>
      </w:r>
      <w:r w:rsidR="003A1917">
        <w:rPr>
          <w:kern w:val="0"/>
          <w:szCs w:val="24"/>
        </w:rPr>
        <w:t xml:space="preserve"> the </w:t>
      </w:r>
      <w:r>
        <w:rPr>
          <w:kern w:val="0"/>
          <w:szCs w:val="24"/>
        </w:rPr>
        <w:t>journal has become standard reference for scholars. Its papers, in English, Spanish</w:t>
      </w:r>
      <w:r w:rsidR="005853A9">
        <w:rPr>
          <w:kern w:val="0"/>
          <w:szCs w:val="24"/>
        </w:rPr>
        <w:t xml:space="preserve"> and </w:t>
      </w:r>
      <w:r>
        <w:rPr>
          <w:kern w:val="0"/>
          <w:szCs w:val="24"/>
        </w:rPr>
        <w:t>Portuguese, are cited with increasingly higher frequency</w:t>
      </w:r>
      <w:r w:rsidR="00A37C1D">
        <w:rPr>
          <w:kern w:val="0"/>
          <w:szCs w:val="24"/>
        </w:rPr>
        <w:t>. The</w:t>
      </w:r>
      <w:r w:rsidR="003A1917">
        <w:rPr>
          <w:kern w:val="0"/>
          <w:szCs w:val="24"/>
        </w:rPr>
        <w:t xml:space="preserve"> </w:t>
      </w:r>
      <w:r>
        <w:rPr>
          <w:kern w:val="0"/>
          <w:szCs w:val="24"/>
        </w:rPr>
        <w:t>Centro Interdisciplinario de Estudios en Bioetica (CIEB), at</w:t>
      </w:r>
      <w:r w:rsidR="003A1917">
        <w:rPr>
          <w:kern w:val="0"/>
          <w:szCs w:val="24"/>
        </w:rPr>
        <w:t xml:space="preserve"> the </w:t>
      </w:r>
      <w:r>
        <w:rPr>
          <w:kern w:val="0"/>
          <w:szCs w:val="24"/>
        </w:rPr>
        <w:t>University</w:t>
      </w:r>
      <w:r w:rsidR="00427468">
        <w:rPr>
          <w:kern w:val="0"/>
          <w:szCs w:val="24"/>
        </w:rPr>
        <w:t xml:space="preserve"> of </w:t>
      </w:r>
      <w:r>
        <w:rPr>
          <w:kern w:val="0"/>
          <w:szCs w:val="24"/>
        </w:rPr>
        <w:t>Chile, which edited it during</w:t>
      </w:r>
      <w:r w:rsidR="003A1917">
        <w:rPr>
          <w:kern w:val="0"/>
          <w:szCs w:val="24"/>
        </w:rPr>
        <w:t xml:space="preserve"> the </w:t>
      </w:r>
      <w:r>
        <w:rPr>
          <w:kern w:val="0"/>
          <w:szCs w:val="24"/>
        </w:rPr>
        <w:t>time</w:t>
      </w:r>
      <w:r w:rsidR="00427468">
        <w:rPr>
          <w:kern w:val="0"/>
          <w:szCs w:val="24"/>
        </w:rPr>
        <w:t xml:space="preserve"> of </w:t>
      </w:r>
      <w:r w:rsidR="003A1917">
        <w:rPr>
          <w:kern w:val="0"/>
          <w:szCs w:val="24"/>
        </w:rPr>
        <w:t xml:space="preserve">the </w:t>
      </w:r>
      <w:r>
        <w:rPr>
          <w:kern w:val="0"/>
          <w:szCs w:val="24"/>
        </w:rPr>
        <w:t>consortium with</w:t>
      </w:r>
      <w:r w:rsidR="003A1917">
        <w:rPr>
          <w:kern w:val="0"/>
          <w:szCs w:val="24"/>
        </w:rPr>
        <w:t xml:space="preserve"> the </w:t>
      </w:r>
      <w:r>
        <w:rPr>
          <w:kern w:val="0"/>
          <w:szCs w:val="24"/>
        </w:rPr>
        <w:t>PAHO/WHO Bioethics Program, continues increasing its presence in specialized circles.</w:t>
      </w:r>
    </w:p>
    <w:p w:rsidR="00C5584C" w:rsidRDefault="00C5584C" w:rsidP="00C5584C">
      <w:pPr>
        <w:pStyle w:val="a3"/>
        <w:rPr>
          <w:kern w:val="0"/>
          <w:szCs w:val="24"/>
        </w:rPr>
      </w:pPr>
      <w:r>
        <w:rPr>
          <w:kern w:val="0"/>
          <w:szCs w:val="24"/>
        </w:rPr>
        <w:t>Keywords: Acta Bioethica, Authors, Bibliographic Databases, Bioethics History, Bioethics Publication, Chile, Citation, Databases, Evolution, First, History, Journal, Origin, Papers, Reference, SCIELO, Science, Science Citation Index, Standard, University</w:t>
      </w:r>
    </w:p>
    <w:p w:rsidR="004812C8" w:rsidRDefault="004812C8" w:rsidP="004812C8">
      <w:pPr>
        <w:pStyle w:val="a3"/>
        <w:rPr>
          <w:kern w:val="0"/>
        </w:rPr>
      </w:pPr>
      <w:r>
        <w:rPr>
          <w:rFonts w:hint="eastAsia"/>
          <w:kern w:val="0"/>
        </w:rPr>
        <w:t xml:space="preserve">? </w:t>
      </w:r>
      <w:r>
        <w:rPr>
          <w:kern w:val="0"/>
        </w:rPr>
        <w:t>Thevenet, P.S.</w:t>
      </w:r>
      <w:r w:rsidR="005853A9">
        <w:rPr>
          <w:kern w:val="0"/>
        </w:rPr>
        <w:t xml:space="preserve"> and </w:t>
      </w:r>
      <w:r>
        <w:rPr>
          <w:kern w:val="0"/>
        </w:rPr>
        <w:t>Del Rio, C.J. (2011), Relationship between bioethics</w:t>
      </w:r>
      <w:r w:rsidR="005853A9">
        <w:rPr>
          <w:kern w:val="0"/>
        </w:rPr>
        <w:t xml:space="preserve"> and </w:t>
      </w:r>
      <w:r>
        <w:rPr>
          <w:kern w:val="0"/>
        </w:rPr>
        <w:t xml:space="preserve">life sciences research in Argentina: Descriptive study at national level. </w:t>
      </w:r>
      <w:r>
        <w:rPr>
          <w:i/>
          <w:iCs/>
          <w:kern w:val="0"/>
        </w:rPr>
        <w:t>Acta Bioethica</w:t>
      </w:r>
      <w:r>
        <w:rPr>
          <w:kern w:val="0"/>
        </w:rPr>
        <w:t xml:space="preserve">, </w:t>
      </w:r>
      <w:r>
        <w:rPr>
          <w:b/>
          <w:bCs/>
          <w:kern w:val="0"/>
        </w:rPr>
        <w:t>17</w:t>
      </w:r>
      <w:r>
        <w:rPr>
          <w:kern w:val="0"/>
        </w:rPr>
        <w:t xml:space="preserve"> (1), 105-114.</w:t>
      </w:r>
    </w:p>
    <w:p w:rsidR="004812C8" w:rsidRDefault="004812C8" w:rsidP="004812C8">
      <w:pPr>
        <w:pStyle w:val="a3"/>
        <w:rPr>
          <w:kern w:val="0"/>
          <w:szCs w:val="24"/>
        </w:rPr>
      </w:pPr>
      <w:r>
        <w:rPr>
          <w:rFonts w:hint="eastAsia"/>
          <w:kern w:val="0"/>
          <w:szCs w:val="24"/>
        </w:rPr>
        <w:t xml:space="preserve">Full Text: </w:t>
      </w:r>
      <w:hyperlink r:id="rId108" w:history="1">
        <w:r w:rsidR="0028067D" w:rsidRPr="0028067D">
          <w:rPr>
            <w:rStyle w:val="a5"/>
            <w:kern w:val="0"/>
            <w:szCs w:val="24"/>
          </w:rPr>
          <w:t>2011\Act Bio17, 105.pdf</w:t>
        </w:r>
      </w:hyperlink>
    </w:p>
    <w:p w:rsidR="004812C8" w:rsidRDefault="004812C8" w:rsidP="004812C8">
      <w:pPr>
        <w:pStyle w:val="a3"/>
        <w:rPr>
          <w:kern w:val="0"/>
        </w:rPr>
      </w:pPr>
      <w:r>
        <w:rPr>
          <w:kern w:val="0"/>
        </w:rPr>
        <w:t>Abstract:</w:t>
      </w:r>
      <w:r w:rsidR="003A1917">
        <w:rPr>
          <w:kern w:val="0"/>
        </w:rPr>
        <w:t xml:space="preserve"> the </w:t>
      </w:r>
      <w:r>
        <w:rPr>
          <w:kern w:val="0"/>
        </w:rPr>
        <w:t>aim</w:t>
      </w:r>
      <w:r w:rsidR="00427468">
        <w:rPr>
          <w:kern w:val="0"/>
        </w:rPr>
        <w:t xml:space="preserve"> of </w:t>
      </w:r>
      <w:r>
        <w:rPr>
          <w:kern w:val="0"/>
        </w:rPr>
        <w:t>this study is to explore</w:t>
      </w:r>
      <w:r w:rsidR="005853A9">
        <w:rPr>
          <w:kern w:val="0"/>
        </w:rPr>
        <w:t xml:space="preserve"> and </w:t>
      </w:r>
      <w:r>
        <w:rPr>
          <w:kern w:val="0"/>
        </w:rPr>
        <w:t>update</w:t>
      </w:r>
      <w:r w:rsidR="003A1917">
        <w:rPr>
          <w:kern w:val="0"/>
        </w:rPr>
        <w:t xml:space="preserve"> the </w:t>
      </w:r>
      <w:r>
        <w:rPr>
          <w:kern w:val="0"/>
        </w:rPr>
        <w:t>relationship between bioethics</w:t>
      </w:r>
      <w:r w:rsidR="005853A9">
        <w:rPr>
          <w:kern w:val="0"/>
        </w:rPr>
        <w:t xml:space="preserve"> and </w:t>
      </w:r>
      <w:r>
        <w:rPr>
          <w:kern w:val="0"/>
        </w:rPr>
        <w:t>life sciences research in Argentina at national level. For this a descriptive, transversal, content analysis</w:t>
      </w:r>
      <w:r w:rsidR="005853A9">
        <w:rPr>
          <w:kern w:val="0"/>
        </w:rPr>
        <w:t xml:space="preserve"> and </w:t>
      </w:r>
      <w:r>
        <w:rPr>
          <w:kern w:val="0"/>
        </w:rPr>
        <w:t>bibliometric section study was carried out about observable public products</w:t>
      </w:r>
      <w:r w:rsidR="00427468">
        <w:rPr>
          <w:kern w:val="0"/>
        </w:rPr>
        <w:t xml:space="preserve"> of </w:t>
      </w:r>
      <w:r>
        <w:rPr>
          <w:kern w:val="0"/>
        </w:rPr>
        <w:t xml:space="preserve">national character. Bioethical elements were </w:t>
      </w:r>
      <w:r>
        <w:rPr>
          <w:kern w:val="0"/>
        </w:rPr>
        <w:lastRenderedPageBreak/>
        <w:t>found in national norms related to scientific research in this science field. It was evident that</w:t>
      </w:r>
      <w:r w:rsidR="003A1917">
        <w:rPr>
          <w:kern w:val="0"/>
        </w:rPr>
        <w:t xml:space="preserve"> the </w:t>
      </w:r>
      <w:r>
        <w:rPr>
          <w:kern w:val="0"/>
        </w:rPr>
        <w:t>ethical requirements asked in scientific research for</w:t>
      </w:r>
      <w:r w:rsidR="003A1917">
        <w:rPr>
          <w:kern w:val="0"/>
        </w:rPr>
        <w:t xml:space="preserve"> the </w:t>
      </w:r>
      <w:r>
        <w:rPr>
          <w:kern w:val="0"/>
        </w:rPr>
        <w:t>publication</w:t>
      </w:r>
      <w:r w:rsidR="00427468">
        <w:rPr>
          <w:kern w:val="0"/>
        </w:rPr>
        <w:t xml:space="preserve"> of </w:t>
      </w:r>
      <w:r>
        <w:rPr>
          <w:kern w:val="0"/>
        </w:rPr>
        <w:t>studies in these sciences needs optimization</w:t>
      </w:r>
      <w:r w:rsidR="00A37C1D">
        <w:rPr>
          <w:kern w:val="0"/>
        </w:rPr>
        <w:t>. The</w:t>
      </w:r>
      <w:r w:rsidR="003A1917">
        <w:rPr>
          <w:kern w:val="0"/>
        </w:rPr>
        <w:t xml:space="preserve"> </w:t>
      </w:r>
      <w:r>
        <w:rPr>
          <w:kern w:val="0"/>
        </w:rPr>
        <w:t>contribution</w:t>
      </w:r>
      <w:r w:rsidR="00427468">
        <w:rPr>
          <w:kern w:val="0"/>
        </w:rPr>
        <w:t xml:space="preserve"> of </w:t>
      </w:r>
      <w:r>
        <w:rPr>
          <w:kern w:val="0"/>
        </w:rPr>
        <w:t>Argentinean authors to bibliography production in</w:t>
      </w:r>
      <w:r w:rsidR="003A1917">
        <w:rPr>
          <w:kern w:val="0"/>
        </w:rPr>
        <w:t xml:space="preserve"> the </w:t>
      </w:r>
      <w:r>
        <w:rPr>
          <w:kern w:val="0"/>
        </w:rPr>
        <w:t>discipline was established since 1988. Results indicate situations that contribute to a consolidation</w:t>
      </w:r>
      <w:r w:rsidR="00427468">
        <w:rPr>
          <w:kern w:val="0"/>
        </w:rPr>
        <w:t xml:space="preserve"> of </w:t>
      </w:r>
      <w:r>
        <w:rPr>
          <w:kern w:val="0"/>
        </w:rPr>
        <w:t>bioethics discipline in relation to life sciences in Argentina.</w:t>
      </w:r>
    </w:p>
    <w:p w:rsidR="004812C8" w:rsidRDefault="004812C8" w:rsidP="004812C8">
      <w:pPr>
        <w:pStyle w:val="a3"/>
        <w:rPr>
          <w:kern w:val="0"/>
        </w:rPr>
      </w:pPr>
      <w:r>
        <w:rPr>
          <w:kern w:val="0"/>
        </w:rPr>
        <w:t>Keywords: Analysis, Argentina, Authors, Bibliography, Bibliometric, Bioethics, Content Analysis, Ethical, Field, Life, Life Sciences, Needs, Norms, Optimization, Public, Publication, Research, Science, Sciences, Scientific Research</w:t>
      </w:r>
    </w:p>
    <w:p w:rsidR="004812C8" w:rsidRDefault="004812C8" w:rsidP="004812C8">
      <w:pPr>
        <w:pStyle w:val="a3"/>
        <w:rPr>
          <w:kern w:val="0"/>
        </w:rPr>
      </w:pPr>
      <w:r>
        <w:rPr>
          <w:rFonts w:hint="eastAsia"/>
          <w:kern w:val="0"/>
        </w:rPr>
        <w:t xml:space="preserve">? </w:t>
      </w:r>
      <w:r>
        <w:rPr>
          <w:kern w:val="0"/>
        </w:rPr>
        <w:t>Hossne, W.S. (2011), Bioethics journals: Are there many? Are there few? What</w:t>
      </w:r>
      <w:r w:rsidR="003A1917">
        <w:rPr>
          <w:kern w:val="0"/>
        </w:rPr>
        <w:t xml:space="preserve"> the </w:t>
      </w:r>
      <w:r>
        <w:rPr>
          <w:kern w:val="0"/>
        </w:rPr>
        <w:t xml:space="preserve">situation is? </w:t>
      </w:r>
      <w:r>
        <w:rPr>
          <w:i/>
          <w:iCs/>
          <w:kern w:val="0"/>
        </w:rPr>
        <w:t>Acta Bioethica</w:t>
      </w:r>
      <w:r>
        <w:rPr>
          <w:kern w:val="0"/>
        </w:rPr>
        <w:t xml:space="preserve">, </w:t>
      </w:r>
      <w:r>
        <w:rPr>
          <w:b/>
          <w:bCs/>
          <w:kern w:val="0"/>
        </w:rPr>
        <w:t>17</w:t>
      </w:r>
      <w:r>
        <w:rPr>
          <w:kern w:val="0"/>
        </w:rPr>
        <w:t xml:space="preserve"> (1), 115-121.</w:t>
      </w:r>
    </w:p>
    <w:p w:rsidR="004812C8" w:rsidRDefault="004812C8" w:rsidP="004812C8">
      <w:pPr>
        <w:pStyle w:val="a3"/>
        <w:rPr>
          <w:kern w:val="0"/>
        </w:rPr>
      </w:pPr>
      <w:r>
        <w:rPr>
          <w:rFonts w:hint="eastAsia"/>
          <w:kern w:val="0"/>
        </w:rPr>
        <w:t xml:space="preserve">Full Text: </w:t>
      </w:r>
      <w:hyperlink r:id="rId109" w:history="1">
        <w:r w:rsidR="006E0649" w:rsidRPr="006E0649">
          <w:rPr>
            <w:rStyle w:val="a5"/>
            <w:kern w:val="0"/>
          </w:rPr>
          <w:t>2011\Act Bio17, 115.pdf</w:t>
        </w:r>
      </w:hyperlink>
    </w:p>
    <w:p w:rsidR="004812C8" w:rsidRDefault="004812C8" w:rsidP="004812C8">
      <w:pPr>
        <w:pStyle w:val="a3"/>
        <w:rPr>
          <w:kern w:val="0"/>
        </w:rPr>
      </w:pPr>
      <w:r>
        <w:rPr>
          <w:kern w:val="0"/>
        </w:rPr>
        <w:t>Abstract: This work presents a bibliometric profile</w:t>
      </w:r>
      <w:r w:rsidR="00427468">
        <w:rPr>
          <w:kern w:val="0"/>
        </w:rPr>
        <w:t xml:space="preserve"> of </w:t>
      </w:r>
      <w:r>
        <w:rPr>
          <w:kern w:val="0"/>
        </w:rPr>
        <w:t>Bioethics Journal according to</w:t>
      </w:r>
      <w:r w:rsidR="003A1917">
        <w:rPr>
          <w:kern w:val="0"/>
        </w:rPr>
        <w:t xml:space="preserve"> the </w:t>
      </w:r>
      <w:r>
        <w:rPr>
          <w:kern w:val="0"/>
        </w:rPr>
        <w:t xml:space="preserve">following journal databases: </w:t>
      </w:r>
      <w:r w:rsidR="00D5664A">
        <w:rPr>
          <w:kern w:val="0"/>
        </w:rPr>
        <w:t>MEDLINE</w:t>
      </w:r>
      <w:r>
        <w:rPr>
          <w:kern w:val="0"/>
        </w:rPr>
        <w:t>, LILACS,</w:t>
      </w:r>
      <w:r w:rsidR="003A1917">
        <w:rPr>
          <w:kern w:val="0"/>
        </w:rPr>
        <w:t xml:space="preserve"> the </w:t>
      </w:r>
      <w:r>
        <w:rPr>
          <w:kern w:val="0"/>
        </w:rPr>
        <w:t>Philosopher</w:t>
      </w:r>
      <w:r w:rsidR="00700038">
        <w:rPr>
          <w:kern w:val="0"/>
        </w:rPr>
        <w:t>’</w:t>
      </w:r>
      <w:r>
        <w:rPr>
          <w:kern w:val="0"/>
        </w:rPr>
        <w:t xml:space="preserve"> s Index, Ulrich</w:t>
      </w:r>
      <w:r w:rsidR="00700038">
        <w:rPr>
          <w:kern w:val="0"/>
        </w:rPr>
        <w:t>’</w:t>
      </w:r>
      <w:r>
        <w:rPr>
          <w:kern w:val="0"/>
        </w:rPr>
        <w:t>s, SciELO</w:t>
      </w:r>
      <w:r w:rsidR="005853A9">
        <w:rPr>
          <w:kern w:val="0"/>
        </w:rPr>
        <w:t xml:space="preserve"> and </w:t>
      </w:r>
      <w:r>
        <w:rPr>
          <w:kern w:val="0"/>
        </w:rPr>
        <w:t xml:space="preserve">Qualis classification system (Brazil). We found that: from 38 titles indexed in </w:t>
      </w:r>
      <w:r w:rsidR="00D5664A">
        <w:rPr>
          <w:kern w:val="0"/>
        </w:rPr>
        <w:t>MEDLINE</w:t>
      </w:r>
      <w:r>
        <w:rPr>
          <w:kern w:val="0"/>
        </w:rPr>
        <w:t>, 25 (66%) still exist;</w:t>
      </w:r>
      <w:r w:rsidR="003A1917">
        <w:rPr>
          <w:kern w:val="0"/>
        </w:rPr>
        <w:t xml:space="preserve"> the </w:t>
      </w:r>
      <w:r>
        <w:rPr>
          <w:kern w:val="0"/>
        </w:rPr>
        <w:t>country with</w:t>
      </w:r>
      <w:r w:rsidR="003A1917">
        <w:rPr>
          <w:kern w:val="0"/>
        </w:rPr>
        <w:t xml:space="preserve"> the </w:t>
      </w:r>
      <w:r>
        <w:rPr>
          <w:kern w:val="0"/>
        </w:rPr>
        <w:t>highest number is</w:t>
      </w:r>
      <w:r w:rsidR="003A1917">
        <w:rPr>
          <w:kern w:val="0"/>
        </w:rPr>
        <w:t xml:space="preserve"> the </w:t>
      </w:r>
      <w:r>
        <w:rPr>
          <w:kern w:val="0"/>
        </w:rPr>
        <w:t>U. S. A (36%); most Bioethics journals appeared in</w:t>
      </w:r>
      <w:r w:rsidR="003A1917">
        <w:rPr>
          <w:kern w:val="0"/>
        </w:rPr>
        <w:t xml:space="preserve"> the </w:t>
      </w:r>
      <w:r>
        <w:rPr>
          <w:kern w:val="0"/>
        </w:rPr>
        <w:t>1990</w:t>
      </w:r>
      <w:r w:rsidR="00700038">
        <w:rPr>
          <w:kern w:val="0"/>
        </w:rPr>
        <w:t>’</w:t>
      </w:r>
      <w:r>
        <w:rPr>
          <w:kern w:val="0"/>
        </w:rPr>
        <w:t>s (47%),</w:t>
      </w:r>
      <w:r w:rsidR="005853A9">
        <w:rPr>
          <w:kern w:val="0"/>
        </w:rPr>
        <w:t xml:space="preserve"> and </w:t>
      </w:r>
      <w:r>
        <w:rPr>
          <w:kern w:val="0"/>
        </w:rPr>
        <w:t>36% have less than 10 years</w:t>
      </w:r>
      <w:r w:rsidR="00427468">
        <w:rPr>
          <w:kern w:val="0"/>
        </w:rPr>
        <w:t xml:space="preserve"> of </w:t>
      </w:r>
      <w:r>
        <w:rPr>
          <w:kern w:val="0"/>
        </w:rPr>
        <w:t>existence. From those that disappeared (34%</w:t>
      </w:r>
      <w:r w:rsidR="00F42EAC">
        <w:rPr>
          <w:kern w:val="0"/>
        </w:rPr>
        <w:t>), The</w:t>
      </w:r>
      <w:r w:rsidR="003A1917">
        <w:rPr>
          <w:kern w:val="0"/>
        </w:rPr>
        <w:t xml:space="preserve"> </w:t>
      </w:r>
      <w:r>
        <w:rPr>
          <w:kern w:val="0"/>
        </w:rPr>
        <w:t>average survival time was about 4 years</w:t>
      </w:r>
      <w:r w:rsidR="00A37C1D">
        <w:rPr>
          <w:kern w:val="0"/>
        </w:rPr>
        <w:t>. The</w:t>
      </w:r>
      <w:r>
        <w:rPr>
          <w:kern w:val="0"/>
        </w:rPr>
        <w:t>re are only 12 countries wit</w:t>
      </w:r>
      <w:r w:rsidR="00D5664A">
        <w:rPr>
          <w:kern w:val="0"/>
        </w:rPr>
        <w:t>h Index</w:t>
      </w:r>
      <w:r>
        <w:rPr>
          <w:kern w:val="0"/>
        </w:rPr>
        <w:t>ed journals. In Brazil, from 3 Bioethics journals, only one is (partially) indexed. English is</w:t>
      </w:r>
      <w:r w:rsidR="003A1917">
        <w:rPr>
          <w:kern w:val="0"/>
        </w:rPr>
        <w:t xml:space="preserve"> the </w:t>
      </w:r>
      <w:r>
        <w:rPr>
          <w:kern w:val="0"/>
        </w:rPr>
        <w:t>preponderant language (45%). Only 3%</w:t>
      </w:r>
      <w:r w:rsidR="00427468">
        <w:rPr>
          <w:kern w:val="0"/>
        </w:rPr>
        <w:t xml:space="preserve"> of </w:t>
      </w:r>
      <w:r>
        <w:rPr>
          <w:kern w:val="0"/>
        </w:rPr>
        <w:t>journals are monthly. LILACS has two additional publications (Acta Bioethica, Chile,</w:t>
      </w:r>
      <w:r w:rsidR="005853A9">
        <w:rPr>
          <w:kern w:val="0"/>
        </w:rPr>
        <w:t xml:space="preserve"> and </w:t>
      </w:r>
      <w:r>
        <w:rPr>
          <w:kern w:val="0"/>
        </w:rPr>
        <w:t>Revista Latino Americana, Colombia). SciELO has only Acta Bioethica. In Ulrich</w:t>
      </w:r>
      <w:r w:rsidR="00700038">
        <w:rPr>
          <w:kern w:val="0"/>
        </w:rPr>
        <w:t>’</w:t>
      </w:r>
      <w:r>
        <w:rPr>
          <w:kern w:val="0"/>
        </w:rPr>
        <w:t xml:space="preserve">s database, there are eight additional publications. In </w:t>
      </w:r>
      <w:r w:rsidR="00B5188C">
        <w:rPr>
          <w:kern w:val="0"/>
        </w:rPr>
        <w:t>“</w:t>
      </w:r>
      <w:r>
        <w:rPr>
          <w:kern w:val="0"/>
        </w:rPr>
        <w:t>Qualis</w:t>
      </w:r>
      <w:r w:rsidR="00B5188C">
        <w:rPr>
          <w:kern w:val="0"/>
        </w:rPr>
        <w:t>”</w:t>
      </w:r>
      <w:r>
        <w:rPr>
          <w:kern w:val="0"/>
        </w:rPr>
        <w:t xml:space="preserve"> classification system there are four journals.</w:t>
      </w:r>
    </w:p>
    <w:p w:rsidR="004812C8" w:rsidRDefault="004812C8" w:rsidP="004812C8">
      <w:pPr>
        <w:pStyle w:val="a3"/>
        <w:rPr>
          <w:kern w:val="0"/>
        </w:rPr>
      </w:pPr>
      <w:r>
        <w:rPr>
          <w:kern w:val="0"/>
        </w:rPr>
        <w:t xml:space="preserve">Keywords: Acta Bioethica, Bibliometric, Bibliometric Profile, Bioethics-Publications, Brazil, Chile, Classification, Colombia, Countries, Country, Database, Databases, Journal, Journals, </w:t>
      </w:r>
      <w:r w:rsidR="00D5664A">
        <w:rPr>
          <w:kern w:val="0"/>
        </w:rPr>
        <w:t>MEDLINE</w:t>
      </w:r>
      <w:r>
        <w:rPr>
          <w:kern w:val="0"/>
        </w:rPr>
        <w:t>, Publications, Scielo, Scientific Journal, Survival, U, Work</w:t>
      </w:r>
    </w:p>
    <w:p w:rsidR="00D3471E" w:rsidRPr="001A3D2B" w:rsidRDefault="00D3471E" w:rsidP="00D3471E">
      <w:pPr>
        <w:pStyle w:val="1"/>
      </w:pPr>
      <w:r w:rsidRPr="001A3D2B">
        <w:br w:type="page"/>
      </w:r>
      <w:bookmarkStart w:id="49" w:name="_Toc420814250"/>
      <w:r w:rsidRPr="001A3D2B">
        <w:lastRenderedPageBreak/>
        <w:t>Title: Acta Botanica Brasilica</w:t>
      </w:r>
      <w:bookmarkEnd w:id="49"/>
    </w:p>
    <w:p w:rsidR="00D3471E" w:rsidRPr="001A3D2B" w:rsidRDefault="00D3471E" w:rsidP="00D3471E">
      <w:pPr>
        <w:pStyle w:val="12"/>
      </w:pPr>
      <w:r w:rsidRPr="001A3D2B">
        <w:t xml:space="preserve">Full Journal Title: </w:t>
      </w:r>
      <w:hyperlink r:id="rId110" w:history="1">
        <w:r w:rsidRPr="003A3BEA">
          <w:rPr>
            <w:rStyle w:val="a5"/>
            <w:kern w:val="0"/>
          </w:rPr>
          <w:t>Acta Botanica Brasilica</w:t>
        </w:r>
      </w:hyperlink>
    </w:p>
    <w:p w:rsidR="00D3471E" w:rsidRPr="001A3D2B" w:rsidRDefault="00D3471E" w:rsidP="00D3471E">
      <w:pPr>
        <w:pStyle w:val="12"/>
      </w:pPr>
      <w:r w:rsidRPr="001A3D2B">
        <w:t>ISO Abbreviated Title:</w:t>
      </w:r>
    </w:p>
    <w:p w:rsidR="00D3471E" w:rsidRPr="001A3D2B" w:rsidRDefault="00D3471E" w:rsidP="00D3471E">
      <w:pPr>
        <w:pStyle w:val="12"/>
      </w:pPr>
      <w:r w:rsidRPr="001A3D2B">
        <w:t xml:space="preserve">JCR Abbreviated Title: </w:t>
      </w:r>
    </w:p>
    <w:p w:rsidR="00D3471E" w:rsidRPr="001A3D2B" w:rsidRDefault="00D3471E" w:rsidP="00D3471E">
      <w:pPr>
        <w:pStyle w:val="12"/>
      </w:pPr>
      <w:r w:rsidRPr="001A3D2B">
        <w:t>ISSN: 0102-3306</w:t>
      </w:r>
    </w:p>
    <w:p w:rsidR="00D3471E" w:rsidRPr="001A3D2B" w:rsidRDefault="00D3471E" w:rsidP="00D3471E">
      <w:pPr>
        <w:pStyle w:val="12"/>
      </w:pPr>
      <w:r w:rsidRPr="001A3D2B">
        <w:t xml:space="preserve">Issues/Year: </w:t>
      </w:r>
    </w:p>
    <w:p w:rsidR="00D3471E" w:rsidRPr="001A3D2B" w:rsidRDefault="00D3471E" w:rsidP="00D3471E">
      <w:pPr>
        <w:pStyle w:val="12"/>
      </w:pPr>
      <w:r w:rsidRPr="001A3D2B">
        <w:t>Journal Country/Territory:</w:t>
      </w:r>
    </w:p>
    <w:p w:rsidR="00D3471E" w:rsidRPr="001A3D2B" w:rsidRDefault="00D3471E" w:rsidP="00D3471E">
      <w:pPr>
        <w:pStyle w:val="12"/>
      </w:pPr>
      <w:r w:rsidRPr="001A3D2B">
        <w:t xml:space="preserve">Language: </w:t>
      </w:r>
    </w:p>
    <w:p w:rsidR="00D3471E" w:rsidRPr="001A3D2B" w:rsidRDefault="00D3471E" w:rsidP="00D3471E">
      <w:pPr>
        <w:pStyle w:val="12"/>
      </w:pPr>
      <w:r w:rsidRPr="001A3D2B">
        <w:t xml:space="preserve">Publisher: </w:t>
      </w:r>
    </w:p>
    <w:p w:rsidR="00D3471E" w:rsidRPr="001A3D2B" w:rsidRDefault="00D3471E" w:rsidP="00D3471E">
      <w:pPr>
        <w:pStyle w:val="12"/>
      </w:pPr>
      <w:r w:rsidRPr="001A3D2B">
        <w:t xml:space="preserve">Publisher Address: </w:t>
      </w:r>
    </w:p>
    <w:p w:rsidR="00D3471E" w:rsidRPr="001A3D2B" w:rsidRDefault="00D3471E" w:rsidP="00D3471E">
      <w:pPr>
        <w:pStyle w:val="12"/>
      </w:pPr>
      <w:r w:rsidRPr="001A3D2B">
        <w:t xml:space="preserve">Subject Categories: </w:t>
      </w:r>
    </w:p>
    <w:p w:rsidR="00D3471E" w:rsidRPr="001A3D2B" w:rsidRDefault="00D3471E" w:rsidP="00D3471E">
      <w:pPr>
        <w:pStyle w:val="12"/>
      </w:pPr>
      <w:r w:rsidRPr="001A3D2B">
        <w:t xml:space="preserve">: Impact Factor </w:t>
      </w:r>
    </w:p>
    <w:p w:rsidR="00D3471E" w:rsidRPr="001A3D2B" w:rsidRDefault="00D3471E" w:rsidP="00D3471E">
      <w:pPr>
        <w:pStyle w:val="a3"/>
        <w:rPr>
          <w:kern w:val="0"/>
        </w:rPr>
      </w:pPr>
      <w:r w:rsidRPr="001A3D2B">
        <w:rPr>
          <w:kern w:val="0"/>
        </w:rPr>
        <w:t>Notes: JJournal</w:t>
      </w:r>
    </w:p>
    <w:p w:rsidR="00D3471E" w:rsidRPr="001A3D2B" w:rsidRDefault="00D3471E" w:rsidP="00D3471E">
      <w:pPr>
        <w:pStyle w:val="a3"/>
        <w:rPr>
          <w:kern w:val="0"/>
        </w:rPr>
      </w:pPr>
      <w:r w:rsidRPr="001A3D2B">
        <w:rPr>
          <w:kern w:val="0"/>
        </w:rPr>
        <w:t>? Scarano, F.R., De Toni, K.</w:t>
      </w:r>
      <w:r w:rsidR="005853A9">
        <w:rPr>
          <w:kern w:val="0"/>
        </w:rPr>
        <w:t xml:space="preserve"> and </w:t>
      </w:r>
      <w:r w:rsidRPr="001A3D2B">
        <w:rPr>
          <w:kern w:val="0"/>
        </w:rPr>
        <w:t>Amarante, C.V.G. (2009), A profile</w:t>
      </w:r>
      <w:r w:rsidR="00427468">
        <w:rPr>
          <w:kern w:val="0"/>
        </w:rPr>
        <w:t xml:space="preserve"> of </w:t>
      </w:r>
      <w:r w:rsidR="003A1917">
        <w:rPr>
          <w:kern w:val="0"/>
        </w:rPr>
        <w:t xml:space="preserve">the </w:t>
      </w:r>
      <w:r w:rsidRPr="001A3D2B">
        <w:rPr>
          <w:kern w:val="0"/>
        </w:rPr>
        <w:t>impact</w:t>
      </w:r>
      <w:r w:rsidR="00427468">
        <w:rPr>
          <w:kern w:val="0"/>
        </w:rPr>
        <w:t xml:space="preserve"> of </w:t>
      </w:r>
      <w:r w:rsidRPr="001A3D2B">
        <w:rPr>
          <w:i/>
          <w:kern w:val="0"/>
        </w:rPr>
        <w:t>Acta Botanica Brasilica</w:t>
      </w:r>
      <w:r w:rsidRPr="001A3D2B">
        <w:rPr>
          <w:kern w:val="0"/>
        </w:rPr>
        <w:t>: Reflections on how to improve visibility</w:t>
      </w:r>
      <w:r w:rsidR="005853A9">
        <w:rPr>
          <w:kern w:val="0"/>
        </w:rPr>
        <w:t xml:space="preserve"> and </w:t>
      </w:r>
      <w:r w:rsidRPr="001A3D2B">
        <w:rPr>
          <w:kern w:val="0"/>
        </w:rPr>
        <w:t>recognition</w:t>
      </w:r>
      <w:r w:rsidR="00427468">
        <w:rPr>
          <w:kern w:val="0"/>
        </w:rPr>
        <w:t xml:space="preserve"> of </w:t>
      </w:r>
      <w:r w:rsidRPr="001A3D2B">
        <w:rPr>
          <w:kern w:val="0"/>
        </w:rPr>
        <w:t xml:space="preserve">a scientific journal. </w:t>
      </w:r>
      <w:r w:rsidRPr="001A3D2B">
        <w:rPr>
          <w:i/>
          <w:iCs/>
          <w:kern w:val="0"/>
        </w:rPr>
        <w:t>Acta Botanica Brasilica</w:t>
      </w:r>
      <w:r w:rsidRPr="001A3D2B">
        <w:rPr>
          <w:kern w:val="0"/>
        </w:rPr>
        <w:t xml:space="preserve">, </w:t>
      </w:r>
      <w:r w:rsidRPr="001A3D2B">
        <w:rPr>
          <w:b/>
          <w:bCs/>
          <w:kern w:val="0"/>
        </w:rPr>
        <w:t>23</w:t>
      </w:r>
      <w:r w:rsidRPr="001A3D2B">
        <w:rPr>
          <w:kern w:val="0"/>
        </w:rPr>
        <w:t xml:space="preserve"> (2), 606-611.</w:t>
      </w:r>
    </w:p>
    <w:p w:rsidR="003A3BEA" w:rsidRPr="00F219CA" w:rsidRDefault="003A3BEA" w:rsidP="003A3BEA">
      <w:pPr>
        <w:pStyle w:val="a3"/>
        <w:rPr>
          <w:kern w:val="0"/>
        </w:rPr>
      </w:pPr>
      <w:r>
        <w:rPr>
          <w:rFonts w:hint="eastAsia"/>
          <w:kern w:val="0"/>
        </w:rPr>
        <w:t xml:space="preserve">Full Text: </w:t>
      </w:r>
      <w:hyperlink r:id="rId111" w:history="1">
        <w:r w:rsidRPr="00612539">
          <w:rPr>
            <w:rStyle w:val="a5"/>
            <w:kern w:val="0"/>
          </w:rPr>
          <w:t>2009\Act Bot Bra23, 606.pdf</w:t>
        </w:r>
      </w:hyperlink>
    </w:p>
    <w:p w:rsidR="00D3471E" w:rsidRPr="001A3D2B" w:rsidRDefault="00D3471E" w:rsidP="00D3471E">
      <w:pPr>
        <w:pStyle w:val="a3"/>
        <w:rPr>
          <w:kern w:val="0"/>
        </w:rPr>
      </w:pPr>
      <w:r w:rsidRPr="001A3D2B">
        <w:rPr>
          <w:kern w:val="0"/>
        </w:rPr>
        <w:t>Abstract: We have estimated</w:t>
      </w:r>
      <w:r w:rsidR="003A1917">
        <w:rPr>
          <w:kern w:val="0"/>
        </w:rPr>
        <w:t xml:space="preserve"> the </w:t>
      </w:r>
      <w:r w:rsidRPr="001A3D2B">
        <w:rPr>
          <w:kern w:val="0"/>
        </w:rPr>
        <w:t>ISI-impact factor</w:t>
      </w:r>
      <w:r w:rsidR="00427468">
        <w:rPr>
          <w:kern w:val="0"/>
        </w:rPr>
        <w:t xml:space="preserve"> of </w:t>
      </w:r>
      <w:r w:rsidRPr="001A3D2B">
        <w:rPr>
          <w:kern w:val="0"/>
        </w:rPr>
        <w:t>Acta Botanica Brasilica for</w:t>
      </w:r>
      <w:r w:rsidR="003A1917">
        <w:rPr>
          <w:kern w:val="0"/>
        </w:rPr>
        <w:t xml:space="preserve"> the </w:t>
      </w:r>
      <w:r w:rsidRPr="001A3D2B">
        <w:rPr>
          <w:kern w:val="0"/>
        </w:rPr>
        <w:t>past six years, calculated</w:t>
      </w:r>
      <w:r w:rsidR="003A1917">
        <w:rPr>
          <w:kern w:val="0"/>
        </w:rPr>
        <w:t xml:space="preserve"> the </w:t>
      </w:r>
      <w:r w:rsidRPr="001A3D2B">
        <w:rPr>
          <w:kern w:val="0"/>
        </w:rPr>
        <w:t>journal</w:t>
      </w:r>
      <w:r w:rsidR="00700038">
        <w:rPr>
          <w:kern w:val="0"/>
        </w:rPr>
        <w:t>’</w:t>
      </w:r>
      <w:r w:rsidR="00C13DDC">
        <w:rPr>
          <w:kern w:val="0"/>
        </w:rPr>
        <w:t>s</w:t>
      </w:r>
      <w:r w:rsidRPr="001A3D2B">
        <w:rPr>
          <w:kern w:val="0"/>
        </w:rPr>
        <w:t xml:space="preserve"> </w:t>
      </w:r>
      <w:r w:rsidR="00D5664A">
        <w:rPr>
          <w:kern w:val="0"/>
        </w:rPr>
        <w:t>h-Index</w:t>
      </w:r>
      <w:r w:rsidRPr="001A3D2B">
        <w:rPr>
          <w:kern w:val="0"/>
        </w:rPr>
        <w:t>., calculated</w:t>
      </w:r>
      <w:r w:rsidR="003A1917">
        <w:rPr>
          <w:kern w:val="0"/>
        </w:rPr>
        <w:t xml:space="preserve"> the </w:t>
      </w:r>
      <w:r w:rsidRPr="001A3D2B">
        <w:rPr>
          <w:kern w:val="0"/>
        </w:rPr>
        <w:t>journal</w:t>
      </w:r>
      <w:r w:rsidR="00700038">
        <w:rPr>
          <w:kern w:val="0"/>
        </w:rPr>
        <w:t>’</w:t>
      </w:r>
      <w:r w:rsidR="00C13DDC">
        <w:rPr>
          <w:kern w:val="0"/>
        </w:rPr>
        <w:t>s</w:t>
      </w:r>
      <w:r w:rsidRPr="001A3D2B">
        <w:rPr>
          <w:kern w:val="0"/>
        </w:rPr>
        <w:t xml:space="preserve"> self-citation, examined country</w:t>
      </w:r>
      <w:r w:rsidR="005853A9">
        <w:rPr>
          <w:kern w:val="0"/>
        </w:rPr>
        <w:t xml:space="preserve"> and </w:t>
      </w:r>
      <w:r w:rsidRPr="001A3D2B">
        <w:rPr>
          <w:kern w:val="0"/>
        </w:rPr>
        <w:t>institutions</w:t>
      </w:r>
      <w:r w:rsidR="00427468">
        <w:rPr>
          <w:kern w:val="0"/>
        </w:rPr>
        <w:t xml:space="preserve"> of </w:t>
      </w:r>
      <w:r w:rsidRPr="001A3D2B">
        <w:rPr>
          <w:kern w:val="0"/>
        </w:rPr>
        <w:t>origin</w:t>
      </w:r>
      <w:r w:rsidR="00427468">
        <w:rPr>
          <w:kern w:val="0"/>
        </w:rPr>
        <w:t xml:space="preserve"> of </w:t>
      </w:r>
      <w:r w:rsidR="003A1917">
        <w:rPr>
          <w:kern w:val="0"/>
        </w:rPr>
        <w:t xml:space="preserve">the </w:t>
      </w:r>
      <w:r w:rsidRPr="001A3D2B">
        <w:rPr>
          <w:kern w:val="0"/>
        </w:rPr>
        <w:t>papers that cite Acto papers,</w:t>
      </w:r>
      <w:r w:rsidR="005853A9">
        <w:rPr>
          <w:kern w:val="0"/>
        </w:rPr>
        <w:t xml:space="preserve"> and </w:t>
      </w:r>
      <w:r w:rsidRPr="001A3D2B">
        <w:rPr>
          <w:kern w:val="0"/>
        </w:rPr>
        <w:t>examined scope</w:t>
      </w:r>
      <w:r w:rsidR="005853A9">
        <w:rPr>
          <w:kern w:val="0"/>
        </w:rPr>
        <w:t xml:space="preserve"> and </w:t>
      </w:r>
      <w:r w:rsidRPr="001A3D2B">
        <w:rPr>
          <w:kern w:val="0"/>
        </w:rPr>
        <w:t>profile</w:t>
      </w:r>
      <w:r w:rsidR="00427468">
        <w:rPr>
          <w:kern w:val="0"/>
        </w:rPr>
        <w:t xml:space="preserve"> of </w:t>
      </w:r>
      <w:r w:rsidR="003A1917">
        <w:rPr>
          <w:kern w:val="0"/>
        </w:rPr>
        <w:t xml:space="preserve">the </w:t>
      </w:r>
      <w:r w:rsidRPr="001A3D2B">
        <w:rPr>
          <w:kern w:val="0"/>
        </w:rPr>
        <w:t>most-cited papers published by</w:t>
      </w:r>
      <w:r w:rsidR="003A1917">
        <w:rPr>
          <w:kern w:val="0"/>
        </w:rPr>
        <w:t xml:space="preserve"> the </w:t>
      </w:r>
      <w:r w:rsidRPr="001A3D2B">
        <w:rPr>
          <w:kern w:val="0"/>
        </w:rPr>
        <w:t>journal. Results demonstrated a steep rise in impact factor</w:t>
      </w:r>
      <w:r w:rsidR="005853A9">
        <w:rPr>
          <w:kern w:val="0"/>
        </w:rPr>
        <w:t xml:space="preserve"> and </w:t>
      </w:r>
      <w:r w:rsidRPr="001A3D2B">
        <w:rPr>
          <w:kern w:val="0"/>
        </w:rPr>
        <w:t>citation frequency in 2008, which is most encouraging. but also revealed that</w:t>
      </w:r>
      <w:r w:rsidR="003A1917">
        <w:rPr>
          <w:kern w:val="0"/>
        </w:rPr>
        <w:t xml:space="preserve"> the </w:t>
      </w:r>
      <w:r w:rsidRPr="001A3D2B">
        <w:rPr>
          <w:kern w:val="0"/>
        </w:rPr>
        <w:t>journal is below</w:t>
      </w:r>
      <w:r w:rsidR="003A1917">
        <w:rPr>
          <w:kern w:val="0"/>
        </w:rPr>
        <w:t xml:space="preserve"> the </w:t>
      </w:r>
      <w:r w:rsidRPr="001A3D2B">
        <w:rPr>
          <w:kern w:val="0"/>
        </w:rPr>
        <w:t>level</w:t>
      </w:r>
      <w:r w:rsidR="00427468">
        <w:rPr>
          <w:kern w:val="0"/>
        </w:rPr>
        <w:t xml:space="preserve"> of </w:t>
      </w:r>
      <w:r w:rsidRPr="001A3D2B">
        <w:rPr>
          <w:kern w:val="0"/>
        </w:rPr>
        <w:t>maturity expected</w:t>
      </w:r>
      <w:r w:rsidR="00427468">
        <w:rPr>
          <w:kern w:val="0"/>
        </w:rPr>
        <w:t xml:space="preserve"> of </w:t>
      </w:r>
      <w:r w:rsidRPr="001A3D2B">
        <w:rPr>
          <w:kern w:val="0"/>
        </w:rPr>
        <w:t>a 20-year old journal. Visibility</w:t>
      </w:r>
      <w:r w:rsidR="00427468">
        <w:rPr>
          <w:kern w:val="0"/>
        </w:rPr>
        <w:t xml:space="preserve"> of </w:t>
      </w:r>
      <w:r w:rsidR="003A1917">
        <w:rPr>
          <w:kern w:val="0"/>
        </w:rPr>
        <w:t xml:space="preserve">the </w:t>
      </w:r>
      <w:r w:rsidRPr="001A3D2B">
        <w:rPr>
          <w:kern w:val="0"/>
        </w:rPr>
        <w:t>journal is mostly national although, surprisingly, journal</w:t>
      </w:r>
      <w:r w:rsidR="00700038">
        <w:rPr>
          <w:kern w:val="0"/>
        </w:rPr>
        <w:t>’</w:t>
      </w:r>
      <w:r w:rsidR="00C13DDC">
        <w:rPr>
          <w:kern w:val="0"/>
        </w:rPr>
        <w:t>s</w:t>
      </w:r>
      <w:r w:rsidRPr="001A3D2B">
        <w:rPr>
          <w:kern w:val="0"/>
        </w:rPr>
        <w:t xml:space="preserve"> self-citation</w:t>
      </w:r>
      <w:r w:rsidR="00427468">
        <w:rPr>
          <w:kern w:val="0"/>
        </w:rPr>
        <w:t xml:space="preserve"> of </w:t>
      </w:r>
      <w:r w:rsidRPr="001A3D2B">
        <w:rPr>
          <w:kern w:val="0"/>
        </w:rPr>
        <w:t>12% is fairly low. We use Acta as an example to discuss possible strategies to enhance</w:t>
      </w:r>
      <w:r w:rsidR="003A1917">
        <w:rPr>
          <w:kern w:val="0"/>
        </w:rPr>
        <w:t xml:space="preserve"> the </w:t>
      </w:r>
      <w:r w:rsidRPr="001A3D2B">
        <w:rPr>
          <w:kern w:val="0"/>
        </w:rPr>
        <w:t>international visibility</w:t>
      </w:r>
      <w:r w:rsidR="00427468">
        <w:rPr>
          <w:kern w:val="0"/>
        </w:rPr>
        <w:t xml:space="preserve"> of </w:t>
      </w:r>
      <w:r w:rsidRPr="001A3D2B">
        <w:rPr>
          <w:kern w:val="0"/>
        </w:rPr>
        <w:t>botanical journals that are newcomers to ISI.</w:t>
      </w:r>
    </w:p>
    <w:p w:rsidR="00D3471E" w:rsidRPr="001A3D2B" w:rsidRDefault="00D3471E" w:rsidP="00D3471E">
      <w:pPr>
        <w:pStyle w:val="a3"/>
        <w:rPr>
          <w:kern w:val="0"/>
        </w:rPr>
      </w:pPr>
      <w:r w:rsidRPr="001A3D2B">
        <w:rPr>
          <w:kern w:val="0"/>
        </w:rPr>
        <w:t xml:space="preserve">Keywords: </w:t>
      </w:r>
      <w:r w:rsidR="00D5664A">
        <w:rPr>
          <w:kern w:val="0"/>
        </w:rPr>
        <w:t>h-Index</w:t>
      </w:r>
      <w:r w:rsidRPr="001A3D2B">
        <w:rPr>
          <w:kern w:val="0"/>
        </w:rPr>
        <w:t xml:space="preserve">, Impact Factor, Science, Scientometrics, Self-Citation, Successive </w:t>
      </w:r>
      <w:r w:rsidR="00D5664A">
        <w:rPr>
          <w:kern w:val="0"/>
        </w:rPr>
        <w:t>h-Index</w:t>
      </w:r>
      <w:r w:rsidRPr="001A3D2B">
        <w:rPr>
          <w:kern w:val="0"/>
        </w:rPr>
        <w:t>es</w:t>
      </w:r>
    </w:p>
    <w:p w:rsidR="002E343C" w:rsidRDefault="002E343C" w:rsidP="002E343C">
      <w:pPr>
        <w:pStyle w:val="a3"/>
        <w:rPr>
          <w:kern w:val="0"/>
        </w:rPr>
      </w:pPr>
      <w:r>
        <w:rPr>
          <w:rFonts w:hint="eastAsia"/>
          <w:kern w:val="0"/>
        </w:rPr>
        <w:t xml:space="preserve">? </w:t>
      </w:r>
      <w:r>
        <w:rPr>
          <w:kern w:val="0"/>
        </w:rPr>
        <w:t xml:space="preserve">Morais, J.M. and Cianciaruso, M.V. (2014), Plant functional groups: Scientometric analysis focused on removal experiments. </w:t>
      </w:r>
      <w:r>
        <w:rPr>
          <w:i/>
          <w:iCs/>
          <w:kern w:val="0"/>
        </w:rPr>
        <w:t>Acta Botanica Brasilica</w:t>
      </w:r>
      <w:r>
        <w:rPr>
          <w:kern w:val="0"/>
        </w:rPr>
        <w:t xml:space="preserve">, </w:t>
      </w:r>
      <w:r>
        <w:rPr>
          <w:b/>
          <w:bCs/>
          <w:kern w:val="0"/>
        </w:rPr>
        <w:t>28</w:t>
      </w:r>
      <w:r>
        <w:rPr>
          <w:kern w:val="0"/>
        </w:rPr>
        <w:t xml:space="preserve"> (4), 502-511.</w:t>
      </w:r>
    </w:p>
    <w:p w:rsidR="002E343C" w:rsidRPr="00F219CA" w:rsidRDefault="002E343C" w:rsidP="002E343C">
      <w:pPr>
        <w:pStyle w:val="a3"/>
        <w:rPr>
          <w:kern w:val="0"/>
        </w:rPr>
      </w:pPr>
      <w:r>
        <w:rPr>
          <w:rFonts w:hint="eastAsia"/>
          <w:kern w:val="0"/>
        </w:rPr>
        <w:t xml:space="preserve">Full Text: </w:t>
      </w:r>
      <w:hyperlink r:id="rId112" w:history="1">
        <w:r w:rsidRPr="004F2060">
          <w:rPr>
            <w:rStyle w:val="a5"/>
            <w:kern w:val="0"/>
          </w:rPr>
          <w:t>2014\Act Bot Bra28, 502.pdf</w:t>
        </w:r>
      </w:hyperlink>
    </w:p>
    <w:p w:rsidR="002E343C" w:rsidRDefault="002E343C" w:rsidP="002E343C">
      <w:pPr>
        <w:pStyle w:val="a3"/>
        <w:rPr>
          <w:kern w:val="0"/>
        </w:rPr>
      </w:pPr>
      <w:r>
        <w:rPr>
          <w:kern w:val="0"/>
        </w:rPr>
        <w:t xml:space="preserve">Abstract: Understanding what determines species co-occurrence and its consequences for ecosystem functioning is central to the study of plant ecology. The ecological similarity of species can explain co-occurrence patterns, species interactions, and how species affect ecosystem processes. A useful approach to answer these questions is to group similar species in functional groups and then perform removal </w:t>
      </w:r>
      <w:r>
        <w:rPr>
          <w:kern w:val="0"/>
        </w:rPr>
        <w:lastRenderedPageBreak/>
        <w:t>experiments. Here, we conducted a scientometric review of articles about plant functional diversity and plant functional group removal. We identified publication patterns and impact; environmental and geographic gaps; ecological effects being tested; which groups are removed; and what the removal methods are. We analyzed articles published between 1991 and 2012 in journals indexed for the Thomson ISI Web of Science database. Although the number of articles and citations of experimental articles increased during that period, the corresponding increase for functional diversity articles was 12 times greater. This might be because field and cafeteria experiments are harder to conduct. Most studies were performed in temperate regions, where taxonomic knowledge and scientific investment is greater. Studies on herbaceous vegetation predominate, probably because short-lived species are more easily removed and manipulated than are trees. The main reason for the removal experiments was to test hypotheses related to competition, and clipping at ground level was the most common removal method. Few studies were performed in the field and in greenhouses, which could control for differential responses of natural conditions and controlled environments.</w:t>
      </w:r>
    </w:p>
    <w:p w:rsidR="002E343C" w:rsidRDefault="002E343C" w:rsidP="002E343C">
      <w:pPr>
        <w:pStyle w:val="a3"/>
        <w:rPr>
          <w:kern w:val="0"/>
        </w:rPr>
      </w:pPr>
      <w:r>
        <w:rPr>
          <w:kern w:val="0"/>
        </w:rPr>
        <w:t>Keywords: Affect, Analysis, Approach, Articles, Biodiversity, Citations, Communities, Competition, Control, Database, Diversity, Ecology, Ecosystem, Effects, Environmental, Experimental, Experimental Research, Experiments, Field, Field Experiments, Floral Traits, Forest Ecosystem, Functional Group, Functional Group Removal, Functional Groups, Grassland, Group Diversity, Group Identity, Groups, Impact, Interspecific Competition, ISI, ISI Web Of Science, Journals, Knowledge, Methods, Natural, Plant, Plant Removal, Publication, Removal, Review, Science, Scientometric, Scientometric Analysis, Similarity, Species, Species Interactions, Temperate, Trees, Vegetation, Web, Web Of Science</w:t>
      </w:r>
    </w:p>
    <w:p w:rsidR="00CA4EED" w:rsidRDefault="00CA4EED" w:rsidP="00897828">
      <w:pPr>
        <w:pStyle w:val="a3"/>
        <w:rPr>
          <w:kern w:val="0"/>
        </w:rPr>
      </w:pPr>
      <w:r>
        <w:rPr>
          <w:rFonts w:hint="eastAsia"/>
          <w:kern w:val="0"/>
        </w:rPr>
        <w:t>Notes: CCountry</w:t>
      </w:r>
    </w:p>
    <w:p w:rsidR="00897828" w:rsidRDefault="00897828" w:rsidP="00897828">
      <w:pPr>
        <w:pStyle w:val="a3"/>
        <w:rPr>
          <w:kern w:val="0"/>
        </w:rPr>
      </w:pPr>
      <w:r>
        <w:rPr>
          <w:rFonts w:hint="eastAsia"/>
          <w:kern w:val="0"/>
        </w:rPr>
        <w:t xml:space="preserve">? </w:t>
      </w:r>
      <w:r>
        <w:rPr>
          <w:kern w:val="0"/>
        </w:rPr>
        <w:t xml:space="preserve">Ritter, M.R., da Silva, T.C., Araujo, E.D. and Albuquerque, U.P. (2015), Bibliometric analysis of ethnobotanical research in Brazil (1988-2013). </w:t>
      </w:r>
      <w:r>
        <w:rPr>
          <w:i/>
          <w:iCs/>
          <w:kern w:val="0"/>
        </w:rPr>
        <w:t>Acta Botanica Brasilica</w:t>
      </w:r>
      <w:r>
        <w:rPr>
          <w:kern w:val="0"/>
        </w:rPr>
        <w:t xml:space="preserve">, </w:t>
      </w:r>
      <w:r>
        <w:rPr>
          <w:b/>
          <w:bCs/>
          <w:kern w:val="0"/>
        </w:rPr>
        <w:t>29</w:t>
      </w:r>
      <w:r>
        <w:rPr>
          <w:kern w:val="0"/>
        </w:rPr>
        <w:t xml:space="preserve"> (1), 113-119.</w:t>
      </w:r>
    </w:p>
    <w:p w:rsidR="00897828" w:rsidRPr="00F219CA" w:rsidRDefault="00897828" w:rsidP="00897828">
      <w:pPr>
        <w:pStyle w:val="a3"/>
        <w:rPr>
          <w:kern w:val="0"/>
        </w:rPr>
      </w:pPr>
      <w:r>
        <w:rPr>
          <w:rFonts w:hint="eastAsia"/>
          <w:kern w:val="0"/>
        </w:rPr>
        <w:t xml:space="preserve">Full Text: </w:t>
      </w:r>
      <w:hyperlink r:id="rId113" w:history="1">
        <w:r w:rsidRPr="00EC5E49">
          <w:rPr>
            <w:rStyle w:val="a5"/>
            <w:kern w:val="0"/>
          </w:rPr>
          <w:t>2015\Act Bot Bra29, 113.pdf</w:t>
        </w:r>
      </w:hyperlink>
    </w:p>
    <w:p w:rsidR="00897828" w:rsidRDefault="00897828" w:rsidP="00897828">
      <w:pPr>
        <w:pStyle w:val="a3"/>
        <w:rPr>
          <w:kern w:val="0"/>
        </w:rPr>
      </w:pPr>
      <w:r>
        <w:rPr>
          <w:kern w:val="0"/>
        </w:rPr>
        <w:t xml:space="preserve">Abstract: This study aimed to define the current status of ethnobotanical research in Brazil based on published scientific articles and to detect current knowledge gaps in Brazil’s ethnobotany. A database, including articles published in national and international scientific journals from 1988 to 2013, was gathered for this purpose. This report discusses the growing number of publications in ethnobotanical research and the main techniques used in the discipline. To identify current knowledge gaps, his report emphasizes the main focus of the different studies, target regions, and communities targeted or involved in the original study. Most publications focused on the northeast and southeast Brazil, and the most frequently studied biomes were the </w:t>
      </w:r>
      <w:r>
        <w:rPr>
          <w:kern w:val="0"/>
        </w:rPr>
        <w:lastRenderedPageBreak/>
        <w:t>Caatinga and Atlantic forest. Further, the most frequently studied communities were located in rural areas, although the number of studies focused in urban areas has been steadily increasing. A lack of human resources in ethnobotanical research and a lack of current studies in the Amazon, Cerrado, Pampa, and Pantanal regions were the main identified gaps. These data provide a basis for future studies and investments aimed at strengthening ethnobotanical research in Brazil.</w:t>
      </w:r>
    </w:p>
    <w:p w:rsidR="00897828" w:rsidRDefault="00897828" w:rsidP="00897828">
      <w:pPr>
        <w:pStyle w:val="a3"/>
        <w:rPr>
          <w:kern w:val="0"/>
        </w:rPr>
      </w:pPr>
      <w:r>
        <w:rPr>
          <w:kern w:val="0"/>
        </w:rPr>
        <w:t>Keywords: Amazon, Analysis, Articles, Bibliometric, Bibliometric Analysis, Brazil, Caatinga, Data, Database, Economic Botany, Ethnobiology, Ethnoecology, Forest, From, Human, International, Journals, Knowledge, Publications, Purpose, Research, Resources, Rural, Rural Areas, Scientific Journals, Scientometrics, Techniques, Traditional Knowledge, Urban, Urban Areas</w:t>
      </w:r>
    </w:p>
    <w:p w:rsidR="003474F2" w:rsidRPr="001A3D2B" w:rsidRDefault="003474F2" w:rsidP="003474F2">
      <w:pPr>
        <w:pStyle w:val="1"/>
      </w:pPr>
      <w:r w:rsidRPr="001A3D2B">
        <w:br w:type="page"/>
      </w:r>
      <w:bookmarkStart w:id="50" w:name="_Toc420814251"/>
      <w:r w:rsidRPr="001A3D2B">
        <w:lastRenderedPageBreak/>
        <w:t>Title: Acta Botanica Croatica</w:t>
      </w:r>
      <w:bookmarkEnd w:id="50"/>
    </w:p>
    <w:p w:rsidR="003474F2" w:rsidRPr="001A3D2B" w:rsidRDefault="003474F2" w:rsidP="003474F2">
      <w:pPr>
        <w:pStyle w:val="12"/>
      </w:pPr>
      <w:r w:rsidRPr="001A3D2B">
        <w:t xml:space="preserve">Full Journal Title: </w:t>
      </w:r>
      <w:hyperlink r:id="rId114" w:history="1">
        <w:r w:rsidRPr="001A3D2B">
          <w:rPr>
            <w:rStyle w:val="a5"/>
          </w:rPr>
          <w:t>Acta Botanica Croatica</w:t>
        </w:r>
      </w:hyperlink>
    </w:p>
    <w:p w:rsidR="003474F2" w:rsidRPr="001A3D2B" w:rsidRDefault="003474F2" w:rsidP="003474F2">
      <w:pPr>
        <w:pStyle w:val="12"/>
      </w:pPr>
      <w:r w:rsidRPr="001A3D2B">
        <w:t>ISO Abbreviated Title:</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Journal Country/Territory:</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Pr="001A3D2B" w:rsidRDefault="003474F2" w:rsidP="003474F2">
      <w:pPr>
        <w:pStyle w:val="a3"/>
      </w:pPr>
      <w:r w:rsidRPr="001A3D2B">
        <w:t>? Jokić, M.</w:t>
      </w:r>
      <w:r w:rsidR="005853A9">
        <w:t xml:space="preserve"> and </w:t>
      </w:r>
      <w:r w:rsidRPr="001A3D2B">
        <w:t>Sirotić, G. (2002</w:t>
      </w:r>
      <w:r w:rsidR="00F42EAC">
        <w:t>), The</w:t>
      </w:r>
      <w:r w:rsidR="003A1917">
        <w:t xml:space="preserve"> </w:t>
      </w:r>
      <w:r w:rsidRPr="001A3D2B">
        <w:t>communicability</w:t>
      </w:r>
      <w:r w:rsidR="00427468">
        <w:t xml:space="preserve"> of </w:t>
      </w:r>
      <w:r w:rsidR="003A1917">
        <w:t xml:space="preserve">the </w:t>
      </w:r>
      <w:r w:rsidRPr="001A3D2B">
        <w:t xml:space="preserve">journal </w:t>
      </w:r>
      <w:r w:rsidRPr="001A3D2B">
        <w:rPr>
          <w:i/>
          <w:iCs/>
        </w:rPr>
        <w:t>Acta Botanica Croatica</w:t>
      </w:r>
      <w:r w:rsidRPr="001A3D2B">
        <w:t xml:space="preserve"> over</w:t>
      </w:r>
      <w:r w:rsidR="003A1917">
        <w:t xml:space="preserve"> the </w:t>
      </w:r>
      <w:r w:rsidRPr="001A3D2B">
        <w:t xml:space="preserve">1991-2000 period. </w:t>
      </w:r>
      <w:r w:rsidRPr="001A3D2B">
        <w:rPr>
          <w:i/>
          <w:iCs/>
        </w:rPr>
        <w:t>Acta Botanica Croatica</w:t>
      </w:r>
      <w:r w:rsidRPr="001A3D2B">
        <w:t xml:space="preserve">, </w:t>
      </w:r>
      <w:r w:rsidRPr="001A3D2B">
        <w:rPr>
          <w:b/>
          <w:bCs/>
        </w:rPr>
        <w:t>61</w:t>
      </w:r>
      <w:r w:rsidRPr="001A3D2B">
        <w:t xml:space="preserve"> (2), 221-230.</w:t>
      </w:r>
    </w:p>
    <w:p w:rsidR="003474F2" w:rsidRPr="001A3D2B" w:rsidRDefault="003474F2" w:rsidP="003474F2">
      <w:pPr>
        <w:pStyle w:val="a3"/>
      </w:pPr>
      <w:r w:rsidRPr="001A3D2B">
        <w:t xml:space="preserve">Full Text: </w:t>
      </w:r>
      <w:hyperlink r:id="rId115" w:history="1">
        <w:r w:rsidRPr="001A3D2B">
          <w:rPr>
            <w:rStyle w:val="a5"/>
          </w:rPr>
          <w:t>2002\Act Bot Cro61, 221.pdf</w:t>
        </w:r>
      </w:hyperlink>
    </w:p>
    <w:p w:rsidR="003474F2" w:rsidRPr="001A3D2B" w:rsidRDefault="003474F2" w:rsidP="003474F2">
      <w:pPr>
        <w:pStyle w:val="a3"/>
      </w:pPr>
      <w:r w:rsidRPr="001A3D2B">
        <w:t>Abstract:</w:t>
      </w:r>
      <w:r w:rsidR="003A1917">
        <w:t xml:space="preserve"> the </w:t>
      </w:r>
      <w:r w:rsidRPr="001A3D2B">
        <w:t>papers published in</w:t>
      </w:r>
      <w:r w:rsidR="003A1917">
        <w:t xml:space="preserve"> the </w:t>
      </w:r>
      <w:r w:rsidRPr="001A3D2B">
        <w:t>journal Acta botanica croatica in</w:t>
      </w:r>
      <w:r w:rsidR="003A1917">
        <w:t xml:space="preserve"> the </w:t>
      </w:r>
      <w:r w:rsidRPr="001A3D2B">
        <w:t>period from 1991 to 2000 are analysed from a scientometric point</w:t>
      </w:r>
      <w:r w:rsidR="00427468">
        <w:t xml:space="preserve"> of </w:t>
      </w:r>
      <w:r w:rsidRPr="001A3D2B">
        <w:t>view</w:t>
      </w:r>
      <w:r w:rsidR="00A37C1D">
        <w:t>. The</w:t>
      </w:r>
      <w:r w:rsidR="003A1917">
        <w:t xml:space="preserve"> </w:t>
      </w:r>
      <w:r w:rsidRPr="001A3D2B">
        <w:t>purpose</w:t>
      </w:r>
      <w:r w:rsidR="00427468">
        <w:t xml:space="preserve"> of </w:t>
      </w:r>
      <w:r w:rsidRPr="001A3D2B">
        <w:t>this article is to determine</w:t>
      </w:r>
      <w:r w:rsidR="003A1917">
        <w:t xml:space="preserve"> the </w:t>
      </w:r>
      <w:r w:rsidRPr="001A3D2B">
        <w:t>communicability</w:t>
      </w:r>
      <w:r w:rsidR="00427468">
        <w:t xml:space="preserve"> of </w:t>
      </w:r>
      <w:r w:rsidRPr="001A3D2B">
        <w:t>this journal through parameters such as</w:t>
      </w:r>
      <w:r w:rsidR="003A1917">
        <w:t xml:space="preserve"> the </w:t>
      </w:r>
      <w:r w:rsidRPr="001A3D2B">
        <w:t>extent to which institutions</w:t>
      </w:r>
      <w:r w:rsidR="005853A9">
        <w:t xml:space="preserve"> and </w:t>
      </w:r>
      <w:r w:rsidRPr="001A3D2B">
        <w:t>countries are represented in</w:t>
      </w:r>
      <w:r w:rsidR="003A1917">
        <w:t xml:space="preserve"> the </w:t>
      </w:r>
      <w:r w:rsidRPr="001A3D2B">
        <w:t>authors</w:t>
      </w:r>
      <w:r w:rsidR="00427468">
        <w:t xml:space="preserve"> of </w:t>
      </w:r>
      <w:r w:rsidR="003A1917">
        <w:t xml:space="preserve">the </w:t>
      </w:r>
      <w:r w:rsidRPr="001A3D2B">
        <w:t>papers,</w:t>
      </w:r>
      <w:r w:rsidR="003A1917">
        <w:t xml:space="preserve"> the </w:t>
      </w:r>
      <w:r w:rsidRPr="001A3D2B">
        <w:t>number</w:t>
      </w:r>
      <w:r w:rsidR="00427468">
        <w:t xml:space="preserve"> of </w:t>
      </w:r>
      <w:r w:rsidRPr="001A3D2B">
        <w:t>citations per year measured in</w:t>
      </w:r>
      <w:r w:rsidR="003A1917">
        <w:t xml:space="preserve"> the </w:t>
      </w:r>
      <w:r w:rsidRPr="001A3D2B">
        <w:t>SCI (</w:t>
      </w:r>
      <w:r w:rsidR="00D5664A">
        <w:t>Web</w:t>
      </w:r>
      <w:r w:rsidR="00427468">
        <w:t xml:space="preserve"> of </w:t>
      </w:r>
      <w:r w:rsidR="00D5664A">
        <w:t>Science</w:t>
      </w:r>
      <w:r w:rsidR="00F42EAC">
        <w:t>), The</w:t>
      </w:r>
      <w:r w:rsidR="003A1917">
        <w:t xml:space="preserve"> </w:t>
      </w:r>
      <w:r w:rsidRPr="001A3D2B">
        <w:t>age</w:t>
      </w:r>
      <w:r w:rsidR="00427468">
        <w:t xml:space="preserve"> of </w:t>
      </w:r>
      <w:r w:rsidR="003A1917">
        <w:t xml:space="preserve">the </w:t>
      </w:r>
      <w:r w:rsidRPr="001A3D2B">
        <w:t>literature quoted in terms</w:t>
      </w:r>
      <w:r w:rsidR="00427468">
        <w:t xml:space="preserve"> of </w:t>
      </w:r>
      <w:r w:rsidRPr="001A3D2B">
        <w:t>years,</w:t>
      </w:r>
      <w:r w:rsidR="003A1917">
        <w:t xml:space="preserve"> the </w:t>
      </w:r>
      <w:r w:rsidRPr="001A3D2B">
        <w:t>distribution</w:t>
      </w:r>
      <w:r w:rsidR="00427468">
        <w:t xml:space="preserve"> of </w:t>
      </w:r>
      <w:r w:rsidR="005853A9">
        <w:t xml:space="preserve">and </w:t>
      </w:r>
      <w:r w:rsidRPr="001A3D2B">
        <w:t>list</w:t>
      </w:r>
      <w:r w:rsidR="00427468">
        <w:t xml:space="preserve"> of </w:t>
      </w:r>
      <w:r w:rsidRPr="001A3D2B">
        <w:t>journals that cite Acta botanica croatica,</w:t>
      </w:r>
      <w:r w:rsidR="005853A9">
        <w:t xml:space="preserve"> and </w:t>
      </w:r>
      <w:r w:rsidR="003A1917">
        <w:t xml:space="preserve">the </w:t>
      </w:r>
      <w:r w:rsidRPr="001A3D2B">
        <w:t>geographical origin</w:t>
      </w:r>
      <w:r w:rsidR="00427468">
        <w:t xml:space="preserve"> of </w:t>
      </w:r>
      <w:r w:rsidR="003A1917">
        <w:t xml:space="preserve">the </w:t>
      </w:r>
      <w:r w:rsidRPr="001A3D2B">
        <w:t>journals that cite it. Acta botanica croatica is read</w:t>
      </w:r>
      <w:r w:rsidR="005853A9">
        <w:t xml:space="preserve"> and </w:t>
      </w:r>
      <w:r w:rsidRPr="001A3D2B">
        <w:t>available in 24 countries, it has been cited by 101 journals covered in</w:t>
      </w:r>
      <w:r w:rsidR="003A1917">
        <w:t xml:space="preserve"> the </w:t>
      </w:r>
      <w:r w:rsidRPr="001A3D2B">
        <w:t>SCI; since 1998 original scientific papers have been written in English,</w:t>
      </w:r>
      <w:r w:rsidR="005853A9">
        <w:t xml:space="preserve"> and </w:t>
      </w:r>
      <w:r w:rsidR="003A1917">
        <w:t xml:space="preserve">the </w:t>
      </w:r>
      <w:r w:rsidRPr="001A3D2B">
        <w:t>potential accessibility</w:t>
      </w:r>
      <w:r w:rsidR="00427468">
        <w:t xml:space="preserve"> of </w:t>
      </w:r>
      <w:r w:rsidR="003A1917">
        <w:t xml:space="preserve">the </w:t>
      </w:r>
      <w:r w:rsidRPr="001A3D2B">
        <w:t>journal has been increased. In 2000</w:t>
      </w:r>
      <w:r w:rsidR="003A1917">
        <w:t xml:space="preserve"> the </w:t>
      </w:r>
      <w:r w:rsidRPr="001A3D2B">
        <w:t>percentage</w:t>
      </w:r>
      <w:r w:rsidR="00427468">
        <w:t xml:space="preserve"> of </w:t>
      </w:r>
      <w:r w:rsidRPr="001A3D2B">
        <w:t>foreign authors publishing in</w:t>
      </w:r>
      <w:r w:rsidR="003A1917">
        <w:t xml:space="preserve"> the </w:t>
      </w:r>
      <w:r w:rsidRPr="001A3D2B">
        <w:t>journal rose to 57%.</w:t>
      </w:r>
    </w:p>
    <w:p w:rsidR="003474F2" w:rsidRPr="001A3D2B" w:rsidRDefault="003474F2" w:rsidP="003474F2">
      <w:pPr>
        <w:pStyle w:val="1"/>
      </w:pPr>
      <w:r w:rsidRPr="001A3D2B">
        <w:br w:type="page"/>
      </w:r>
      <w:bookmarkStart w:id="51" w:name="_Toc420814252"/>
      <w:r w:rsidRPr="001A3D2B">
        <w:lastRenderedPageBreak/>
        <w:t>Title: Acta Cardiologica</w:t>
      </w:r>
      <w:bookmarkEnd w:id="51"/>
    </w:p>
    <w:p w:rsidR="003474F2" w:rsidRPr="001A3D2B" w:rsidRDefault="003474F2" w:rsidP="003474F2">
      <w:pPr>
        <w:pStyle w:val="12"/>
      </w:pPr>
      <w:r w:rsidRPr="001A3D2B">
        <w:t>Full Journal Title: Acta Cardiologica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Hilderson, D., Van Deyk, K.</w:t>
      </w:r>
      <w:r w:rsidR="005853A9">
        <w:t xml:space="preserve"> and </w:t>
      </w:r>
      <w:r w:rsidRPr="001A3D2B">
        <w:t>Moons, P. (2008), Empirical evidence on transfer</w:t>
      </w:r>
      <w:r w:rsidR="005853A9">
        <w:t xml:space="preserve"> and </w:t>
      </w:r>
      <w:r w:rsidRPr="001A3D2B">
        <w:t xml:space="preserve">transition in congenital heart disease: A bibliometric study. </w:t>
      </w:r>
      <w:r w:rsidRPr="001A3D2B">
        <w:rPr>
          <w:i/>
          <w:iCs/>
        </w:rPr>
        <w:t>Acta Cardiologica</w:t>
      </w:r>
      <w:r w:rsidRPr="001A3D2B">
        <w:t xml:space="preserve">, </w:t>
      </w:r>
      <w:r w:rsidRPr="001A3D2B">
        <w:rPr>
          <w:b/>
          <w:bCs/>
        </w:rPr>
        <w:t>63</w:t>
      </w:r>
      <w:r w:rsidRPr="001A3D2B">
        <w:t xml:space="preserve"> (1), 124</w:t>
      </w:r>
    </w:p>
    <w:p w:rsidR="003474F2" w:rsidRPr="001A3D2B" w:rsidRDefault="003474F2" w:rsidP="003474F2">
      <w:pPr>
        <w:pStyle w:val="a3"/>
      </w:pPr>
      <w:r w:rsidRPr="001A3D2B">
        <w:t>Keywords: Bibliometric, Bibliometric Study, Evidence</w:t>
      </w:r>
    </w:p>
    <w:p w:rsidR="00624F6C" w:rsidRPr="00F219CA" w:rsidRDefault="00624F6C" w:rsidP="00624F6C">
      <w:pPr>
        <w:pStyle w:val="1"/>
      </w:pPr>
      <w:r w:rsidRPr="00F219CA">
        <w:br w:type="page"/>
      </w:r>
      <w:bookmarkStart w:id="52" w:name="_Toc420814253"/>
      <w:r w:rsidRPr="00F219CA">
        <w:lastRenderedPageBreak/>
        <w:t>Title:</w:t>
      </w:r>
      <w:r>
        <w:rPr>
          <w:rFonts w:hint="eastAsia"/>
        </w:rPr>
        <w:t xml:space="preserve"> </w:t>
      </w:r>
      <w:r w:rsidRPr="00D36EFD">
        <w:rPr>
          <w:szCs w:val="24"/>
        </w:rPr>
        <w:t>Acta Chirurgica Belgica</w:t>
      </w:r>
      <w:bookmarkEnd w:id="52"/>
    </w:p>
    <w:p w:rsidR="00624F6C" w:rsidRPr="00F219CA" w:rsidRDefault="00624F6C" w:rsidP="00624F6C">
      <w:pPr>
        <w:pStyle w:val="12"/>
      </w:pPr>
      <w:r w:rsidRPr="00F219CA">
        <w:t xml:space="preserve">Full Journal Title: </w:t>
      </w:r>
      <w:r w:rsidRPr="00D36EFD">
        <w:rPr>
          <w:iCs/>
          <w:kern w:val="0"/>
        </w:rPr>
        <w:t>Acta Chirurgica Belgica</w:t>
      </w:r>
    </w:p>
    <w:p w:rsidR="00624F6C" w:rsidRPr="00F219CA" w:rsidRDefault="00624F6C" w:rsidP="00624F6C">
      <w:pPr>
        <w:pStyle w:val="12"/>
      </w:pPr>
      <w:r w:rsidRPr="00F219CA">
        <w:t xml:space="preserve">ISO Abbreviated Title: </w:t>
      </w:r>
    </w:p>
    <w:p w:rsidR="00624F6C" w:rsidRPr="00F219CA" w:rsidRDefault="00624F6C" w:rsidP="00624F6C">
      <w:pPr>
        <w:pStyle w:val="12"/>
      </w:pPr>
      <w:r>
        <w:t xml:space="preserve">JCR Abbreviated Title: </w:t>
      </w:r>
    </w:p>
    <w:p w:rsidR="00624F6C" w:rsidRPr="00F219CA" w:rsidRDefault="00624F6C" w:rsidP="00624F6C">
      <w:pPr>
        <w:pStyle w:val="12"/>
      </w:pPr>
      <w:r w:rsidRPr="00F219CA">
        <w:t xml:space="preserve">ISSN: </w:t>
      </w:r>
    </w:p>
    <w:p w:rsidR="00624F6C" w:rsidRPr="00F219CA" w:rsidRDefault="00624F6C" w:rsidP="00624F6C">
      <w:pPr>
        <w:pStyle w:val="12"/>
      </w:pPr>
      <w:r w:rsidRPr="00F219CA">
        <w:t xml:space="preserve">Issues/Year: </w:t>
      </w:r>
    </w:p>
    <w:p w:rsidR="00624F6C" w:rsidRPr="00F219CA" w:rsidRDefault="00624F6C" w:rsidP="00624F6C">
      <w:pPr>
        <w:pStyle w:val="12"/>
      </w:pPr>
      <w:r w:rsidRPr="00F219CA">
        <w:t xml:space="preserve">Journal Country/Territory: </w:t>
      </w:r>
    </w:p>
    <w:p w:rsidR="00624F6C" w:rsidRPr="00F219CA" w:rsidRDefault="00624F6C" w:rsidP="00624F6C">
      <w:pPr>
        <w:pStyle w:val="12"/>
      </w:pPr>
      <w:r w:rsidRPr="00F219CA">
        <w:t xml:space="preserve">Language: </w:t>
      </w:r>
    </w:p>
    <w:p w:rsidR="00624F6C" w:rsidRPr="00F219CA" w:rsidRDefault="00624F6C" w:rsidP="00624F6C">
      <w:pPr>
        <w:pStyle w:val="12"/>
      </w:pPr>
      <w:r w:rsidRPr="00F219CA">
        <w:t xml:space="preserve">Publisher: </w:t>
      </w:r>
    </w:p>
    <w:p w:rsidR="00624F6C" w:rsidRPr="00F219CA" w:rsidRDefault="00624F6C" w:rsidP="00624F6C">
      <w:pPr>
        <w:pStyle w:val="12"/>
      </w:pPr>
      <w:r w:rsidRPr="00F219CA">
        <w:t xml:space="preserve">Publisher Address: </w:t>
      </w:r>
    </w:p>
    <w:p w:rsidR="00624F6C" w:rsidRPr="00F219CA" w:rsidRDefault="00624F6C" w:rsidP="00624F6C">
      <w:pPr>
        <w:pStyle w:val="12"/>
      </w:pPr>
      <w:r w:rsidRPr="00F219CA">
        <w:t xml:space="preserve">Subject Categories: </w:t>
      </w:r>
    </w:p>
    <w:p w:rsidR="00624F6C" w:rsidRPr="00F219CA" w:rsidRDefault="00624F6C" w:rsidP="00624F6C">
      <w:pPr>
        <w:pStyle w:val="12"/>
      </w:pPr>
      <w:r w:rsidRPr="00F219CA">
        <w:t>: Impact Factor</w:t>
      </w:r>
    </w:p>
    <w:p w:rsidR="00624F6C" w:rsidRDefault="00624F6C" w:rsidP="00624F6C">
      <w:pPr>
        <w:pStyle w:val="a3"/>
        <w:rPr>
          <w:kern w:val="0"/>
          <w:szCs w:val="24"/>
        </w:rPr>
      </w:pPr>
      <w:r>
        <w:rPr>
          <w:rFonts w:hint="eastAsia"/>
          <w:kern w:val="0"/>
          <w:szCs w:val="24"/>
        </w:rPr>
        <w:t xml:space="preserve">? </w:t>
      </w:r>
      <w:r>
        <w:rPr>
          <w:kern w:val="0"/>
          <w:szCs w:val="24"/>
        </w:rPr>
        <w:t>Willaert, W., Van de Putte, D., Van Renterghem, K., Van Nieuwenhove, Y., Ceelen, W.</w:t>
      </w:r>
      <w:r w:rsidR="005853A9">
        <w:rPr>
          <w:kern w:val="0"/>
          <w:szCs w:val="24"/>
        </w:rPr>
        <w:t xml:space="preserve"> and </w:t>
      </w:r>
      <w:r>
        <w:rPr>
          <w:kern w:val="0"/>
          <w:szCs w:val="24"/>
        </w:rPr>
        <w:t xml:space="preserve">Pattyn, P. (2013), Training models in laparoscopy: A systematic review comparing their effectiveness in learning surgical skills. </w:t>
      </w:r>
      <w:r w:rsidRPr="00D36EFD">
        <w:rPr>
          <w:i/>
          <w:iCs/>
          <w:kern w:val="0"/>
          <w:szCs w:val="24"/>
        </w:rPr>
        <w:t>Acta Chirurgica Belgica</w:t>
      </w:r>
      <w:r>
        <w:rPr>
          <w:kern w:val="0"/>
          <w:szCs w:val="24"/>
        </w:rPr>
        <w:t xml:space="preserve">, </w:t>
      </w:r>
      <w:r>
        <w:rPr>
          <w:b/>
          <w:bCs/>
          <w:kern w:val="0"/>
          <w:szCs w:val="24"/>
        </w:rPr>
        <w:t>113</w:t>
      </w:r>
      <w:r>
        <w:rPr>
          <w:kern w:val="0"/>
          <w:szCs w:val="24"/>
        </w:rPr>
        <w:t xml:space="preserve"> (2), 77-95.</w:t>
      </w:r>
    </w:p>
    <w:p w:rsidR="00624F6C" w:rsidRDefault="00624F6C" w:rsidP="00624F6C">
      <w:pPr>
        <w:pStyle w:val="a3"/>
        <w:rPr>
          <w:kern w:val="0"/>
          <w:szCs w:val="24"/>
        </w:rPr>
      </w:pPr>
      <w:r>
        <w:rPr>
          <w:rFonts w:hint="eastAsia"/>
          <w:kern w:val="0"/>
          <w:szCs w:val="24"/>
        </w:rPr>
        <w:t xml:space="preserve">Full Text: </w:t>
      </w:r>
      <w:hyperlink r:id="rId116" w:history="1">
        <w:r w:rsidR="006F6297" w:rsidRPr="006F6297">
          <w:rPr>
            <w:rStyle w:val="a5"/>
            <w:kern w:val="0"/>
            <w:szCs w:val="24"/>
          </w:rPr>
          <w:t>2013\Act Chi Bel113, 77.pdf</w:t>
        </w:r>
      </w:hyperlink>
    </w:p>
    <w:p w:rsidR="00624F6C" w:rsidRDefault="00624F6C" w:rsidP="00624F6C">
      <w:pPr>
        <w:pStyle w:val="a3"/>
        <w:rPr>
          <w:kern w:val="0"/>
          <w:szCs w:val="24"/>
        </w:rPr>
      </w:pPr>
      <w:r>
        <w:rPr>
          <w:kern w:val="0"/>
          <w:szCs w:val="24"/>
        </w:rPr>
        <w:t>Abstract: Background: Surgery has traditionally been learned on patients in the operating room, which is time-consuming, can have an impact on the patient outcomes,</w:t>
      </w:r>
      <w:r w:rsidR="005853A9">
        <w:rPr>
          <w:kern w:val="0"/>
          <w:szCs w:val="24"/>
        </w:rPr>
        <w:t xml:space="preserve"> and </w:t>
      </w:r>
      <w:r>
        <w:rPr>
          <w:kern w:val="0"/>
          <w:szCs w:val="24"/>
        </w:rPr>
        <w:t>is</w:t>
      </w:r>
      <w:r w:rsidR="00427468">
        <w:rPr>
          <w:kern w:val="0"/>
          <w:szCs w:val="24"/>
        </w:rPr>
        <w:t xml:space="preserve"> of </w:t>
      </w:r>
      <w:r>
        <w:rPr>
          <w:kern w:val="0"/>
          <w:szCs w:val="24"/>
        </w:rPr>
        <w:t>variable effectiveness. As a result, surgical training models have been developed, which are compared in this systematic review. Methods: We searched Pubmed, CENTRAL,</w:t>
      </w:r>
      <w:r w:rsidR="005853A9">
        <w:rPr>
          <w:kern w:val="0"/>
          <w:szCs w:val="24"/>
        </w:rPr>
        <w:t xml:space="preserve"> and </w:t>
      </w:r>
      <w:r>
        <w:rPr>
          <w:kern w:val="0"/>
          <w:szCs w:val="24"/>
        </w:rPr>
        <w:t>Science Citation index expanded for randomised clinical trials</w:t>
      </w:r>
      <w:r w:rsidR="005853A9">
        <w:rPr>
          <w:kern w:val="0"/>
          <w:szCs w:val="24"/>
        </w:rPr>
        <w:t xml:space="preserve"> and </w:t>
      </w:r>
      <w:r>
        <w:rPr>
          <w:kern w:val="0"/>
          <w:szCs w:val="24"/>
        </w:rPr>
        <w:t>randomised cross-over studies comparing laparoscopic training models. Studies comparing one model with no training were also included</w:t>
      </w:r>
      <w:r w:rsidR="00A37C1D">
        <w:rPr>
          <w:kern w:val="0"/>
          <w:szCs w:val="24"/>
        </w:rPr>
        <w:t>. The</w:t>
      </w:r>
      <w:r>
        <w:rPr>
          <w:kern w:val="0"/>
          <w:szCs w:val="24"/>
        </w:rPr>
        <w:t xml:space="preserve"> reference list</w:t>
      </w:r>
      <w:r w:rsidR="00427468">
        <w:rPr>
          <w:kern w:val="0"/>
          <w:szCs w:val="24"/>
        </w:rPr>
        <w:t xml:space="preserve"> of </w:t>
      </w:r>
      <w:r>
        <w:rPr>
          <w:kern w:val="0"/>
          <w:szCs w:val="24"/>
        </w:rPr>
        <w:t>identified trials was searched for further relevant studies. Results: Fifty-eight trials evaluating several training forms</w:t>
      </w:r>
      <w:r w:rsidR="005853A9">
        <w:rPr>
          <w:kern w:val="0"/>
          <w:szCs w:val="24"/>
        </w:rPr>
        <w:t xml:space="preserve"> and </w:t>
      </w:r>
      <w:r>
        <w:rPr>
          <w:kern w:val="0"/>
          <w:szCs w:val="24"/>
        </w:rPr>
        <w:t>involving 1591 participants were included (four studies with a low risk</w:t>
      </w:r>
      <w:r w:rsidR="00427468">
        <w:rPr>
          <w:kern w:val="0"/>
          <w:szCs w:val="24"/>
        </w:rPr>
        <w:t xml:space="preserve"> of </w:t>
      </w:r>
      <w:r>
        <w:rPr>
          <w:kern w:val="0"/>
          <w:szCs w:val="24"/>
        </w:rPr>
        <w:t>bias). Training (virtual reality (VR) or video trainer (VT)) versus no training improves surgical skills in the majority</w:t>
      </w:r>
      <w:r w:rsidR="00427468">
        <w:rPr>
          <w:kern w:val="0"/>
          <w:szCs w:val="24"/>
        </w:rPr>
        <w:t xml:space="preserve"> of </w:t>
      </w:r>
      <w:r>
        <w:rPr>
          <w:kern w:val="0"/>
          <w:szCs w:val="24"/>
        </w:rPr>
        <w:t>trials. Both VR</w:t>
      </w:r>
      <w:r w:rsidR="005853A9">
        <w:rPr>
          <w:kern w:val="0"/>
          <w:szCs w:val="24"/>
        </w:rPr>
        <w:t xml:space="preserve"> and </w:t>
      </w:r>
      <w:r>
        <w:rPr>
          <w:kern w:val="0"/>
          <w:szCs w:val="24"/>
        </w:rPr>
        <w:t>VT are as effective in most studies. VR training is superior to traditional laparoscopic training in the operating room. Outcome results for VR robotic simulations versus robot training show no clear difference in effectiveness for either model. Only one trial included human cadavers</w:t>
      </w:r>
      <w:r w:rsidR="005853A9">
        <w:rPr>
          <w:kern w:val="0"/>
          <w:szCs w:val="24"/>
        </w:rPr>
        <w:t xml:space="preserve"> and </w:t>
      </w:r>
      <w:r>
        <w:rPr>
          <w:kern w:val="0"/>
          <w:szCs w:val="24"/>
        </w:rPr>
        <w:t>observed better results versus VR for one out</w:t>
      </w:r>
      <w:r w:rsidR="00427468">
        <w:rPr>
          <w:kern w:val="0"/>
          <w:szCs w:val="24"/>
        </w:rPr>
        <w:t xml:space="preserve"> of </w:t>
      </w:r>
      <w:r>
        <w:rPr>
          <w:kern w:val="0"/>
          <w:szCs w:val="24"/>
        </w:rPr>
        <w:t>four scores. Contrasting results are observed when robotic technology is compared with manual laparoscopy. Conclusion: VR training</w:t>
      </w:r>
      <w:r w:rsidR="005853A9">
        <w:rPr>
          <w:kern w:val="0"/>
          <w:szCs w:val="24"/>
        </w:rPr>
        <w:t xml:space="preserve"> and </w:t>
      </w:r>
      <w:r>
        <w:rPr>
          <w:kern w:val="0"/>
          <w:szCs w:val="24"/>
        </w:rPr>
        <w:t>VT training are valid teaching models. Practicing on these models similarly improves surgical skills. A combination</w:t>
      </w:r>
      <w:r w:rsidR="00427468">
        <w:rPr>
          <w:kern w:val="0"/>
          <w:szCs w:val="24"/>
        </w:rPr>
        <w:t xml:space="preserve"> of </w:t>
      </w:r>
      <w:r>
        <w:rPr>
          <w:kern w:val="0"/>
          <w:szCs w:val="24"/>
        </w:rPr>
        <w:t xml:space="preserve">both methods is recommended in a surgical curriculum. VR training is superior to unstructured traditional training in the </w:t>
      </w:r>
      <w:r>
        <w:rPr>
          <w:kern w:val="0"/>
          <w:szCs w:val="24"/>
        </w:rPr>
        <w:lastRenderedPageBreak/>
        <w:t>operating room</w:t>
      </w:r>
      <w:r w:rsidR="00A37C1D">
        <w:rPr>
          <w:kern w:val="0"/>
          <w:szCs w:val="24"/>
        </w:rPr>
        <w:t>. The</w:t>
      </w:r>
      <w:r>
        <w:rPr>
          <w:kern w:val="0"/>
          <w:szCs w:val="24"/>
        </w:rPr>
        <w:t xml:space="preserve"> reciprocal effectiveness</w:t>
      </w:r>
      <w:r w:rsidR="00427468">
        <w:rPr>
          <w:kern w:val="0"/>
          <w:szCs w:val="24"/>
        </w:rPr>
        <w:t xml:space="preserve"> of </w:t>
      </w:r>
      <w:r>
        <w:rPr>
          <w:kern w:val="0"/>
          <w:szCs w:val="24"/>
        </w:rPr>
        <w:t>the other models to learn surgical skills has not yet been established.</w:t>
      </w:r>
    </w:p>
    <w:p w:rsidR="00624F6C" w:rsidRDefault="00624F6C" w:rsidP="00624F6C">
      <w:pPr>
        <w:pStyle w:val="a3"/>
        <w:rPr>
          <w:kern w:val="0"/>
          <w:szCs w:val="24"/>
        </w:rPr>
      </w:pPr>
      <w:r>
        <w:rPr>
          <w:kern w:val="0"/>
          <w:szCs w:val="24"/>
        </w:rPr>
        <w:t>Keywords: Acquisition, Bias, Box Trainer, Citation, Citation Index, Clinical, Clinical Trials, Curriculum, Effectiveness, Forms, Human, Impact, Improves Performance, Index, Laparoscopic, Laparoscopy, Low Risk, Medical-Students, Methods, Model, Models, Operating-Room, Outcomes, Patients, Proficiency, Randomised, Randomized-Controlled-Trial, Reference, Results, Review, Risk, Robotic Surgery, Science, Surgery, Suturing Skills, Systematic Review, Teaching, Technology, Training, Trial, Video, Virtual Reality, Virtual-Reality Simulator</w:t>
      </w:r>
    </w:p>
    <w:p w:rsidR="003474F2" w:rsidRPr="001A3D2B" w:rsidRDefault="003474F2" w:rsidP="003474F2">
      <w:pPr>
        <w:pStyle w:val="1"/>
      </w:pPr>
      <w:r w:rsidRPr="001A3D2B">
        <w:br w:type="page"/>
      </w:r>
      <w:bookmarkStart w:id="53" w:name="_Toc420814254"/>
      <w:r w:rsidRPr="001A3D2B">
        <w:lastRenderedPageBreak/>
        <w:t>Title: Acta Cir</w:t>
      </w:r>
      <w:r w:rsidR="00211EB4">
        <w:rPr>
          <w:rFonts w:hint="eastAsia"/>
        </w:rPr>
        <w:t>u</w:t>
      </w:r>
      <w:r w:rsidRPr="001A3D2B">
        <w:t>rgica Brasileira</w:t>
      </w:r>
      <w:bookmarkEnd w:id="53"/>
    </w:p>
    <w:p w:rsidR="003474F2" w:rsidRPr="001A3D2B" w:rsidRDefault="003474F2" w:rsidP="003474F2">
      <w:pPr>
        <w:pStyle w:val="12"/>
      </w:pPr>
      <w:r w:rsidRPr="001A3D2B">
        <w:t xml:space="preserve">Full Journal Title: </w:t>
      </w:r>
      <w:hyperlink r:id="rId117" w:history="1">
        <w:r w:rsidRPr="001A3D2B">
          <w:rPr>
            <w:rStyle w:val="a5"/>
          </w:rPr>
          <w:t>Acta Cirúrgica Brasileira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Acta Cir Bras</w:t>
      </w:r>
    </w:p>
    <w:p w:rsidR="003474F2" w:rsidRPr="001A3D2B" w:rsidRDefault="003474F2" w:rsidP="003474F2">
      <w:pPr>
        <w:pStyle w:val="12"/>
      </w:pPr>
      <w:r w:rsidRPr="001A3D2B">
        <w:t>ISSN: 0102-8650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r w:rsidR="003474F2" w:rsidRPr="001A3D2B">
        <w:t>Brazil</w:t>
      </w:r>
    </w:p>
    <w:p w:rsidR="003474F2" w:rsidRPr="001A3D2B" w:rsidRDefault="003474F2" w:rsidP="003474F2">
      <w:pPr>
        <w:pStyle w:val="12"/>
      </w:pPr>
      <w:r w:rsidRPr="001A3D2B">
        <w:t>Language: Portuguese</w:t>
      </w:r>
    </w:p>
    <w:p w:rsidR="003474F2" w:rsidRPr="001A3D2B" w:rsidRDefault="003474F2" w:rsidP="003474F2">
      <w:pPr>
        <w:pStyle w:val="12"/>
      </w:pPr>
      <w:r w:rsidRPr="001A3D2B">
        <w:t>Publisher: Sociedade Brasileira Para O Desenvolvimento Da Pesquisa Em Cirurgia Curso De Pos-Graduacao Em Tecnica Operatoria E Cirurgia Experimental Escola Paulista De Medicina</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Surgery: Impact Factor </w:t>
      </w:r>
    </w:p>
    <w:p w:rsidR="003474F2" w:rsidRPr="001A3D2B" w:rsidRDefault="003474F2" w:rsidP="003474F2">
      <w:pPr>
        <w:pStyle w:val="a3"/>
      </w:pPr>
      <w:r w:rsidRPr="001A3D2B">
        <w:t>Amorim, K.P.C., Alves, M.D.S.C.F.</w:t>
      </w:r>
      <w:r w:rsidR="005853A9">
        <w:t xml:space="preserve"> and </w:t>
      </w:r>
      <w:r w:rsidRPr="001A3D2B">
        <w:t>Germano, R.M. (2005), Construction</w:t>
      </w:r>
      <w:r w:rsidR="00427468">
        <w:t xml:space="preserve"> of </w:t>
      </w:r>
      <w:r w:rsidRPr="001A3D2B">
        <w:t>knowledge in odontology:</w:t>
      </w:r>
      <w:r w:rsidR="003A1917">
        <w:t xml:space="preserve"> </w:t>
      </w:r>
      <w:r w:rsidR="00C14042">
        <w:t xml:space="preserve">The </w:t>
      </w:r>
      <w:r w:rsidRPr="001A3D2B">
        <w:t xml:space="preserve">scientific production in debate. </w:t>
      </w:r>
      <w:r w:rsidRPr="001A3D2B">
        <w:rPr>
          <w:i/>
        </w:rPr>
        <w:t>Acta Cirúrgica Brasileira</w:t>
      </w:r>
      <w:r w:rsidRPr="001A3D2B">
        <w:t xml:space="preserve">, </w:t>
      </w:r>
      <w:r w:rsidRPr="001A3D2B">
        <w:rPr>
          <w:b/>
          <w:bCs/>
        </w:rPr>
        <w:t>20</w:t>
      </w:r>
      <w:r w:rsidRPr="001A3D2B">
        <w:t xml:space="preserve"> (Suppl 1), 12-15.</w:t>
      </w:r>
    </w:p>
    <w:p w:rsidR="003474F2" w:rsidRPr="001A3D2B" w:rsidRDefault="003474F2" w:rsidP="003474F2">
      <w:pPr>
        <w:pStyle w:val="a3"/>
      </w:pPr>
      <w:r w:rsidRPr="001A3D2B">
        <w:t xml:space="preserve">Full text: </w:t>
      </w:r>
      <w:hyperlink r:id="rId118" w:history="1">
        <w:r w:rsidRPr="001A3D2B">
          <w:rPr>
            <w:rStyle w:val="a5"/>
          </w:rPr>
          <w:t>2005\Act Cir Bra20, 12.pdf</w:t>
        </w:r>
      </w:hyperlink>
    </w:p>
    <w:p w:rsidR="003474F2" w:rsidRPr="001A3D2B" w:rsidRDefault="003474F2" w:rsidP="003474F2">
      <w:pPr>
        <w:pStyle w:val="a3"/>
      </w:pPr>
      <w:r w:rsidRPr="001A3D2B">
        <w:t>Abstract: PURPOSE: Analyze, quantitatively, which odontology magazines are being consulted</w:t>
      </w:r>
      <w:r w:rsidR="005853A9">
        <w:t xml:space="preserve"> and </w:t>
      </w:r>
      <w:r w:rsidRPr="001A3D2B">
        <w:t>read by surgeon-dentists,</w:t>
      </w:r>
      <w:r w:rsidR="005853A9">
        <w:t xml:space="preserve"> and </w:t>
      </w:r>
      <w:r w:rsidRPr="001A3D2B">
        <w:t>evaluate</w:t>
      </w:r>
      <w:r w:rsidR="003A1917">
        <w:t xml:space="preserve"> the </w:t>
      </w:r>
      <w:r w:rsidRPr="001A3D2B">
        <w:t>profiles</w:t>
      </w:r>
      <w:r w:rsidR="00427468">
        <w:t xml:space="preserve"> of </w:t>
      </w:r>
      <w:r w:rsidR="003A1917">
        <w:t xml:space="preserve">the </w:t>
      </w:r>
      <w:r w:rsidRPr="001A3D2B">
        <w:t>mostly cited. METHODS: 370 polls were made, during</w:t>
      </w:r>
      <w:r w:rsidR="003A1917">
        <w:t xml:space="preserve"> the </w:t>
      </w:r>
      <w:r w:rsidRPr="001A3D2B">
        <w:t>XVII Congresso Pernambucano de Odontologia (Pernambucan Congress</w:t>
      </w:r>
      <w:r w:rsidR="00427468">
        <w:t xml:space="preserve"> of </w:t>
      </w:r>
      <w:r w:rsidRPr="001A3D2B">
        <w:t>Odontology)</w:t>
      </w:r>
      <w:r w:rsidR="005853A9">
        <w:t xml:space="preserve"> and </w:t>
      </w:r>
      <w:r w:rsidR="003A1917">
        <w:t xml:space="preserve">the </w:t>
      </w:r>
      <w:r w:rsidRPr="001A3D2B">
        <w:t>IX Congresso de Odontologia do Rio Grande do Norte (Congress</w:t>
      </w:r>
      <w:r w:rsidR="00427468">
        <w:t xml:space="preserve"> of </w:t>
      </w:r>
      <w:r w:rsidRPr="001A3D2B">
        <w:t>Odontology</w:t>
      </w:r>
      <w:r w:rsidR="00427468">
        <w:t xml:space="preserve"> of </w:t>
      </w:r>
      <w:r w:rsidRPr="001A3D2B">
        <w:t>Rio Grande do Norte), which took place, respectively, in April</w:t>
      </w:r>
      <w:r w:rsidR="005853A9">
        <w:t xml:space="preserve"> and </w:t>
      </w:r>
      <w:r w:rsidRPr="001A3D2B">
        <w:t>September 2004</w:t>
      </w:r>
      <w:r w:rsidR="00A37C1D">
        <w:t>. The</w:t>
      </w:r>
      <w:r w:rsidR="003A1917">
        <w:t xml:space="preserve"> </w:t>
      </w:r>
      <w:r w:rsidRPr="001A3D2B">
        <w:t>participants were volunteering professionals divided among General Practice (37.84%)</w:t>
      </w:r>
      <w:r w:rsidR="005853A9">
        <w:t xml:space="preserve"> and </w:t>
      </w:r>
      <w:r w:rsidRPr="001A3D2B">
        <w:t>ten differing specialties (62.16%);</w:t>
      </w:r>
      <w:r w:rsidR="00427468">
        <w:t xml:space="preserve"> of </w:t>
      </w:r>
      <w:r w:rsidRPr="001A3D2B">
        <w:t>which 77.02% had up to ten years</w:t>
      </w:r>
      <w:r w:rsidR="00427468">
        <w:t xml:space="preserve"> of </w:t>
      </w:r>
      <w:r w:rsidRPr="001A3D2B">
        <w:t>graduation. RESULTS: Resulting</w:t>
      </w:r>
      <w:r w:rsidR="003A1917">
        <w:t xml:space="preserve"> the </w:t>
      </w:r>
      <w:r w:rsidRPr="001A3D2B">
        <w:t>researches made, 620 quotes were generated, in which, 35 different magazines, national</w:t>
      </w:r>
      <w:r w:rsidR="005853A9">
        <w:t xml:space="preserve"> and </w:t>
      </w:r>
      <w:r w:rsidRPr="001A3D2B">
        <w:t>international, were quoted. By analyzing</w:t>
      </w:r>
      <w:r w:rsidR="003A1917">
        <w:t xml:space="preserve"> the </w:t>
      </w:r>
      <w:r w:rsidRPr="001A3D2B">
        <w:t>data collected, we observe that three magazines summed more than half</w:t>
      </w:r>
      <w:r w:rsidR="00427468">
        <w:t xml:space="preserve"> of </w:t>
      </w:r>
      <w:r w:rsidR="003A1917">
        <w:t xml:space="preserve">the </w:t>
      </w:r>
      <w:r w:rsidRPr="001A3D2B">
        <w:t>quota (52.74%), which are: Revista da Associacao Paulista de Cirurgioes Dentistas-APCP (Magazine</w:t>
      </w:r>
      <w:r w:rsidR="00427468">
        <w:t xml:space="preserve"> of </w:t>
      </w:r>
      <w:r w:rsidR="003A1917">
        <w:t xml:space="preserve">the </w:t>
      </w:r>
      <w:r w:rsidRPr="001A3D2B">
        <w:t>Paulista Association</w:t>
      </w:r>
      <w:r w:rsidR="00427468">
        <w:t xml:space="preserve"> of </w:t>
      </w:r>
      <w:r w:rsidRPr="001A3D2B">
        <w:t>Surgeon-Dentists), Revista da Associacao Brasileira de Odontologia - ABO national (Magazine</w:t>
      </w:r>
      <w:r w:rsidR="00427468">
        <w:t xml:space="preserve"> of </w:t>
      </w:r>
      <w:r w:rsidR="003A1917">
        <w:t xml:space="preserve">the </w:t>
      </w:r>
      <w:r w:rsidRPr="001A3D2B">
        <w:t>Brazilian Association</w:t>
      </w:r>
      <w:r w:rsidR="00427468">
        <w:t xml:space="preserve"> of </w:t>
      </w:r>
      <w:r w:rsidRPr="001A3D2B">
        <w:t>Odontology)</w:t>
      </w:r>
      <w:r w:rsidR="005853A9">
        <w:t xml:space="preserve"> and </w:t>
      </w:r>
      <w:r w:rsidR="003A1917">
        <w:t xml:space="preserve">the </w:t>
      </w:r>
      <w:r w:rsidRPr="001A3D2B">
        <w:t>Revista Brasileira de Odontologia-RBO (Brazilian Magazine</w:t>
      </w:r>
      <w:r w:rsidR="00427468">
        <w:t xml:space="preserve"> of </w:t>
      </w:r>
      <w:r w:rsidRPr="001A3D2B">
        <w:t>Odontology). CONCLUSION: Despite</w:t>
      </w:r>
      <w:r w:rsidR="003A1917">
        <w:t xml:space="preserve"> the </w:t>
      </w:r>
      <w:r w:rsidRPr="001A3D2B">
        <w:t>participants</w:t>
      </w:r>
      <w:r w:rsidR="00427468">
        <w:t xml:space="preserve"> of </w:t>
      </w:r>
      <w:r w:rsidR="003A1917">
        <w:t xml:space="preserve">the </w:t>
      </w:r>
      <w:r w:rsidRPr="001A3D2B">
        <w:t>research being, in their majority, specialists, we observe a tendency</w:t>
      </w:r>
      <w:r w:rsidR="00427468">
        <w:t xml:space="preserve"> of </w:t>
      </w:r>
      <w:r w:rsidRPr="001A3D2B">
        <w:t>a greater consultation</w:t>
      </w:r>
      <w:r w:rsidR="00427468">
        <w:t xml:space="preserve"> of </w:t>
      </w:r>
      <w:r w:rsidR="003A1917">
        <w:t xml:space="preserve">the </w:t>
      </w:r>
      <w:r w:rsidRPr="001A3D2B">
        <w:t>magazines</w:t>
      </w:r>
      <w:r w:rsidR="00427468">
        <w:t xml:space="preserve"> of </w:t>
      </w:r>
      <w:r w:rsidRPr="001A3D2B">
        <w:t>general characteristic</w:t>
      </w:r>
      <w:r w:rsidR="00A37C1D">
        <w:t>. The</w:t>
      </w:r>
      <w:r w:rsidRPr="001A3D2B">
        <w:t>se magazines predominantly tackle clinical</w:t>
      </w:r>
      <w:r w:rsidR="005853A9">
        <w:t xml:space="preserve"> and </w:t>
      </w:r>
      <w:r w:rsidRPr="001A3D2B">
        <w:t>technical subjects</w:t>
      </w:r>
      <w:r w:rsidR="005853A9">
        <w:t xml:space="preserve"> and </w:t>
      </w:r>
      <w:r w:rsidRPr="001A3D2B">
        <w:t xml:space="preserve">present an expressive </w:t>
      </w:r>
      <w:r w:rsidRPr="001A3D2B">
        <w:lastRenderedPageBreak/>
        <w:t>circulation, great penetration in</w:t>
      </w:r>
      <w:r w:rsidR="003A1917">
        <w:t xml:space="preserve"> the </w:t>
      </w:r>
      <w:r w:rsidRPr="001A3D2B">
        <w:t>odontologic world, easy accessibility</w:t>
      </w:r>
      <w:r w:rsidR="005853A9">
        <w:t xml:space="preserve"> and </w:t>
      </w:r>
      <w:r w:rsidRPr="001A3D2B">
        <w:t>a long time in</w:t>
      </w:r>
      <w:r w:rsidR="003A1917">
        <w:t xml:space="preserve"> the </w:t>
      </w:r>
      <w:r w:rsidRPr="001A3D2B">
        <w:t>market (two</w:t>
      </w:r>
      <w:r w:rsidR="00427468">
        <w:t xml:space="preserve"> of </w:t>
      </w:r>
      <w:r w:rsidRPr="001A3D2B">
        <w:t>them are over 50 years-old). According to CAPES - QUALIS, all possess a B national concept</w:t>
      </w:r>
      <w:r w:rsidR="00A37C1D">
        <w:t>. The</w:t>
      </w:r>
      <w:r w:rsidRPr="001A3D2B">
        <w:t>refore, it is necessary a deepening</w:t>
      </w:r>
      <w:r w:rsidR="00427468">
        <w:t xml:space="preserve"> of </w:t>
      </w:r>
      <w:r w:rsidRPr="001A3D2B">
        <w:t>this study, so as to analyze qualitatively what kind</w:t>
      </w:r>
      <w:r w:rsidR="00427468">
        <w:t xml:space="preserve"> of </w:t>
      </w:r>
      <w:r w:rsidRPr="001A3D2B">
        <w:t>subjects</w:t>
      </w:r>
      <w:r w:rsidR="005853A9">
        <w:t xml:space="preserve"> and </w:t>
      </w:r>
      <w:r w:rsidRPr="001A3D2B">
        <w:t>themes these magazines touch, since they influence</w:t>
      </w:r>
      <w:r w:rsidR="003A1917">
        <w:t xml:space="preserve"> the </w:t>
      </w:r>
      <w:r w:rsidRPr="001A3D2B">
        <w:t>odontologic formation</w:t>
      </w:r>
      <w:r w:rsidR="005853A9">
        <w:t xml:space="preserve"> and </w:t>
      </w:r>
      <w:r w:rsidRPr="001A3D2B">
        <w:t>practice.</w:t>
      </w:r>
    </w:p>
    <w:p w:rsidR="003474F2" w:rsidRPr="001A3D2B" w:rsidRDefault="003474F2" w:rsidP="003474F2">
      <w:pPr>
        <w:pStyle w:val="a3"/>
      </w:pPr>
      <w:r w:rsidRPr="001A3D2B">
        <w:t>Keywords: Clinical, Consultation, Data, General, International, Knowledge, Market, Methods, Practice, Profiles, Purpose, Research, Rio Grande, Scientific Production, World</w:t>
      </w:r>
    </w:p>
    <w:p w:rsidR="00C14042" w:rsidRDefault="00C14042" w:rsidP="00C14042">
      <w:pPr>
        <w:pStyle w:val="a3"/>
        <w:rPr>
          <w:kern w:val="0"/>
        </w:rPr>
      </w:pPr>
      <w:r>
        <w:rPr>
          <w:rFonts w:hint="eastAsia"/>
          <w:kern w:val="0"/>
        </w:rPr>
        <w:t xml:space="preserve">? </w:t>
      </w:r>
      <w:r>
        <w:rPr>
          <w:kern w:val="0"/>
        </w:rPr>
        <w:t>Guimaraes, C.A., Pellizzon, R.D.</w:t>
      </w:r>
      <w:r w:rsidR="005853A9">
        <w:rPr>
          <w:kern w:val="0"/>
        </w:rPr>
        <w:t xml:space="preserve"> and </w:t>
      </w:r>
      <w:r>
        <w:rPr>
          <w:kern w:val="0"/>
        </w:rPr>
        <w:t>Koike, M.K. (2013), Brazilian Scientific Journals in Surgery. Quality control in the abstract structure</w:t>
      </w:r>
      <w:r w:rsidR="00427468">
        <w:rPr>
          <w:kern w:val="0"/>
        </w:rPr>
        <w:t xml:space="preserve"> of </w:t>
      </w:r>
      <w:r>
        <w:rPr>
          <w:kern w:val="0"/>
        </w:rPr>
        <w:t xml:space="preserve">non-experimental articles. </w:t>
      </w:r>
      <w:r>
        <w:rPr>
          <w:i/>
          <w:iCs/>
          <w:kern w:val="0"/>
        </w:rPr>
        <w:t xml:space="preserve">Acta </w:t>
      </w:r>
      <w:r w:rsidRPr="001A3D2B">
        <w:rPr>
          <w:i/>
        </w:rPr>
        <w:t xml:space="preserve">Cirúrgica </w:t>
      </w:r>
      <w:r>
        <w:rPr>
          <w:i/>
          <w:iCs/>
          <w:kern w:val="0"/>
        </w:rPr>
        <w:t>Brasileira</w:t>
      </w:r>
      <w:r>
        <w:rPr>
          <w:kern w:val="0"/>
        </w:rPr>
        <w:t xml:space="preserve">, </w:t>
      </w:r>
      <w:r>
        <w:rPr>
          <w:b/>
          <w:bCs/>
          <w:kern w:val="0"/>
        </w:rPr>
        <w:t>28</w:t>
      </w:r>
      <w:r>
        <w:rPr>
          <w:kern w:val="0"/>
        </w:rPr>
        <w:t xml:space="preserve"> (1), 84-87.</w:t>
      </w:r>
    </w:p>
    <w:p w:rsidR="00C14042" w:rsidRPr="00F219CA" w:rsidRDefault="00C14042" w:rsidP="00C14042">
      <w:pPr>
        <w:pStyle w:val="a3"/>
      </w:pPr>
      <w:r w:rsidRPr="00F219CA">
        <w:t xml:space="preserve">Full text: </w:t>
      </w:r>
      <w:hyperlink r:id="rId119" w:history="1">
        <w:r w:rsidRPr="001942AC">
          <w:rPr>
            <w:rStyle w:val="a5"/>
          </w:rPr>
          <w:t>2013\Act Cir Bra28, 84.pdf</w:t>
        </w:r>
      </w:hyperlink>
    </w:p>
    <w:p w:rsidR="00C14042" w:rsidRDefault="00C14042" w:rsidP="00C14042">
      <w:pPr>
        <w:pStyle w:val="a3"/>
        <w:rPr>
          <w:kern w:val="0"/>
        </w:rPr>
      </w:pPr>
      <w:r>
        <w:rPr>
          <w:kern w:val="0"/>
        </w:rPr>
        <w:t>Abstract: PURPOSE: To evaluate the quality</w:t>
      </w:r>
      <w:r w:rsidR="00427468">
        <w:rPr>
          <w:kern w:val="0"/>
        </w:rPr>
        <w:t xml:space="preserve"> of </w:t>
      </w:r>
      <w:r>
        <w:rPr>
          <w:kern w:val="0"/>
        </w:rPr>
        <w:t>abstracts</w:t>
      </w:r>
      <w:r w:rsidR="00427468">
        <w:rPr>
          <w:kern w:val="0"/>
        </w:rPr>
        <w:t xml:space="preserve"> of </w:t>
      </w:r>
      <w:r>
        <w:rPr>
          <w:kern w:val="0"/>
        </w:rPr>
        <w:t>original non-experimental research articles in Brazilian Journals in Surgery. METHODS: Convenience sample</w:t>
      </w:r>
      <w:r w:rsidR="00427468">
        <w:rPr>
          <w:kern w:val="0"/>
        </w:rPr>
        <w:t xml:space="preserve"> of </w:t>
      </w:r>
      <w:r>
        <w:rPr>
          <w:kern w:val="0"/>
        </w:rPr>
        <w:t>471 abstracts</w:t>
      </w:r>
      <w:r w:rsidR="00427468">
        <w:rPr>
          <w:kern w:val="0"/>
        </w:rPr>
        <w:t xml:space="preserve"> of </w:t>
      </w:r>
      <w:r>
        <w:rPr>
          <w:kern w:val="0"/>
        </w:rPr>
        <w:t>original research articles from six Brazilian surgical journals indexed in Thomson Reuters (ISI) Web</w:t>
      </w:r>
      <w:r w:rsidR="00427468">
        <w:rPr>
          <w:kern w:val="0"/>
        </w:rPr>
        <w:t xml:space="preserve"> of </w:t>
      </w:r>
      <w:r>
        <w:rPr>
          <w:kern w:val="0"/>
        </w:rPr>
        <w:t>Knowledge</w:t>
      </w:r>
      <w:r w:rsidR="00A37C1D">
        <w:rPr>
          <w:kern w:val="0"/>
        </w:rPr>
        <w:t>. The</w:t>
      </w:r>
      <w:r>
        <w:rPr>
          <w:kern w:val="0"/>
        </w:rPr>
        <w:t xml:space="preserve"> quality</w:t>
      </w:r>
      <w:r w:rsidR="00427468">
        <w:rPr>
          <w:kern w:val="0"/>
        </w:rPr>
        <w:t xml:space="preserve"> of </w:t>
      </w:r>
      <w:r>
        <w:rPr>
          <w:kern w:val="0"/>
        </w:rPr>
        <w:t>abstracts was measured against a checklist</w:t>
      </w:r>
      <w:r w:rsidR="00427468">
        <w:rPr>
          <w:kern w:val="0"/>
        </w:rPr>
        <w:t xml:space="preserve"> of </w:t>
      </w:r>
      <w:r>
        <w:rPr>
          <w:kern w:val="0"/>
        </w:rPr>
        <w:t>eight evaluation criteria, which were divided into 32 categories</w:t>
      </w:r>
      <w:r w:rsidR="00A37C1D">
        <w:rPr>
          <w:kern w:val="0"/>
        </w:rPr>
        <w:t>. The</w:t>
      </w:r>
      <w:r>
        <w:rPr>
          <w:kern w:val="0"/>
        </w:rPr>
        <w:t xml:space="preserve"> total score for each abstract was obtained by summing the score</w:t>
      </w:r>
      <w:r w:rsidR="00427468">
        <w:rPr>
          <w:kern w:val="0"/>
        </w:rPr>
        <w:t xml:space="preserve"> of </w:t>
      </w:r>
      <w:r>
        <w:rPr>
          <w:kern w:val="0"/>
        </w:rPr>
        <w:t>all criteria present</w:t>
      </w:r>
      <w:r w:rsidR="00A37C1D">
        <w:rPr>
          <w:kern w:val="0"/>
        </w:rPr>
        <w:t>. The</w:t>
      </w:r>
      <w:r>
        <w:rPr>
          <w:kern w:val="0"/>
        </w:rPr>
        <w:t xml:space="preserve"> overall mean score was also determined. RESULTS: The overall mean score</w:t>
      </w:r>
      <w:r w:rsidR="00427468">
        <w:rPr>
          <w:kern w:val="0"/>
        </w:rPr>
        <w:t xml:space="preserve"> of </w:t>
      </w:r>
      <w:r>
        <w:rPr>
          <w:kern w:val="0"/>
        </w:rPr>
        <w:t>abstract quality was that</w:t>
      </w:r>
      <w:r w:rsidR="00427468">
        <w:rPr>
          <w:kern w:val="0"/>
        </w:rPr>
        <w:t xml:space="preserve"> of </w:t>
      </w:r>
      <w:r>
        <w:rPr>
          <w:kern w:val="0"/>
        </w:rPr>
        <w:t>a good abstract. Most</w:t>
      </w:r>
      <w:r w:rsidR="00427468">
        <w:rPr>
          <w:kern w:val="0"/>
        </w:rPr>
        <w:t xml:space="preserve"> of </w:t>
      </w:r>
      <w:r>
        <w:rPr>
          <w:kern w:val="0"/>
        </w:rPr>
        <w:t>the abstracts contained some information from each</w:t>
      </w:r>
      <w:r w:rsidR="00427468">
        <w:rPr>
          <w:kern w:val="0"/>
        </w:rPr>
        <w:t xml:space="preserve"> of </w:t>
      </w:r>
      <w:r>
        <w:rPr>
          <w:kern w:val="0"/>
        </w:rPr>
        <w:t>the eight basic categories</w:t>
      </w:r>
      <w:r w:rsidR="00427468">
        <w:rPr>
          <w:kern w:val="0"/>
        </w:rPr>
        <w:t xml:space="preserve"> of </w:t>
      </w:r>
      <w:r>
        <w:rPr>
          <w:kern w:val="0"/>
        </w:rPr>
        <w:t>an abstract. All abstracts were structured ones. CONCLUSION: The overall quality, for abstracts</w:t>
      </w:r>
      <w:r w:rsidR="00427468">
        <w:rPr>
          <w:kern w:val="0"/>
        </w:rPr>
        <w:t xml:space="preserve"> of </w:t>
      </w:r>
      <w:r>
        <w:rPr>
          <w:kern w:val="0"/>
        </w:rPr>
        <w:t>original articles</w:t>
      </w:r>
      <w:r w:rsidR="00427468">
        <w:rPr>
          <w:kern w:val="0"/>
        </w:rPr>
        <w:t xml:space="preserve"> of </w:t>
      </w:r>
      <w:r>
        <w:rPr>
          <w:kern w:val="0"/>
        </w:rPr>
        <w:t>six Brazilian non-experimental journals in surgery, was classified as good.</w:t>
      </w:r>
    </w:p>
    <w:p w:rsidR="00C14042" w:rsidRDefault="00C14042" w:rsidP="00C14042">
      <w:pPr>
        <w:pStyle w:val="a3"/>
        <w:rPr>
          <w:kern w:val="0"/>
        </w:rPr>
      </w:pPr>
      <w:r>
        <w:rPr>
          <w:kern w:val="0"/>
        </w:rPr>
        <w:t>Keywords: Abstracting</w:t>
      </w:r>
      <w:r w:rsidR="005853A9">
        <w:rPr>
          <w:kern w:val="0"/>
        </w:rPr>
        <w:t xml:space="preserve"> and </w:t>
      </w:r>
      <w:r>
        <w:rPr>
          <w:kern w:val="0"/>
        </w:rPr>
        <w:t>Indexing As Topic, American-Medical-Association, Bibliometrics, Control, Criteria, Evaluation, General Surgery, Information, Informative Abstracts</w:t>
      </w:r>
      <w:r w:rsidR="00D5664A">
        <w:rPr>
          <w:kern w:val="0"/>
        </w:rPr>
        <w:t>, ISI,</w:t>
      </w:r>
      <w:r>
        <w:rPr>
          <w:kern w:val="0"/>
        </w:rPr>
        <w:t xml:space="preserve"> Journals, Methods, Original Research Articles, Periodicals As Topic, Purpose, Quality, Quality Control, Quality Improvement, Quality Of, Research, Scientific Journals, Structure, Surgery, Thomson Reuters, Thomson-Reuters, Web</w:t>
      </w:r>
      <w:r w:rsidR="00427468">
        <w:rPr>
          <w:kern w:val="0"/>
        </w:rPr>
        <w:t xml:space="preserve"> of </w:t>
      </w:r>
      <w:r>
        <w:rPr>
          <w:kern w:val="0"/>
        </w:rPr>
        <w:t>Knowledge</w:t>
      </w:r>
    </w:p>
    <w:p w:rsidR="00211EB4" w:rsidRDefault="00211EB4" w:rsidP="00211EB4">
      <w:pPr>
        <w:pStyle w:val="a3"/>
        <w:rPr>
          <w:kern w:val="0"/>
        </w:rPr>
      </w:pPr>
      <w:r>
        <w:rPr>
          <w:rFonts w:hint="eastAsia"/>
          <w:kern w:val="0"/>
        </w:rPr>
        <w:t xml:space="preserve">? </w:t>
      </w:r>
      <w:r>
        <w:rPr>
          <w:kern w:val="0"/>
        </w:rPr>
        <w:t>Lao, L.F., Daubs, M.D., Phan, K.H.</w:t>
      </w:r>
      <w:r w:rsidR="005853A9">
        <w:rPr>
          <w:kern w:val="0"/>
        </w:rPr>
        <w:t xml:space="preserve"> and </w:t>
      </w:r>
      <w:r>
        <w:rPr>
          <w:kern w:val="0"/>
        </w:rPr>
        <w:t>Wang, J.C. (2013), Comparative study</w:t>
      </w:r>
      <w:r w:rsidR="00427468">
        <w:rPr>
          <w:kern w:val="0"/>
        </w:rPr>
        <w:t xml:space="preserve"> of </w:t>
      </w:r>
      <w:r>
        <w:rPr>
          <w:kern w:val="0"/>
        </w:rPr>
        <w:t>scientific publications in orthopedics journals originating from USA, Japan</w:t>
      </w:r>
      <w:r w:rsidR="005853A9">
        <w:rPr>
          <w:kern w:val="0"/>
        </w:rPr>
        <w:t xml:space="preserve"> and </w:t>
      </w:r>
      <w:r>
        <w:rPr>
          <w:kern w:val="0"/>
        </w:rPr>
        <w:t xml:space="preserve">China (2000-2012). </w:t>
      </w:r>
      <w:r>
        <w:rPr>
          <w:i/>
          <w:iCs/>
          <w:kern w:val="0"/>
        </w:rPr>
        <w:t xml:space="preserve">Acta </w:t>
      </w:r>
      <w:r w:rsidRPr="001A3D2B">
        <w:rPr>
          <w:i/>
        </w:rPr>
        <w:t xml:space="preserve">Cirúrgica </w:t>
      </w:r>
      <w:r>
        <w:rPr>
          <w:i/>
          <w:iCs/>
          <w:kern w:val="0"/>
        </w:rPr>
        <w:t>Brasileira</w:t>
      </w:r>
      <w:r>
        <w:rPr>
          <w:kern w:val="0"/>
        </w:rPr>
        <w:t xml:space="preserve">, </w:t>
      </w:r>
      <w:r>
        <w:rPr>
          <w:b/>
          <w:bCs/>
          <w:kern w:val="0"/>
        </w:rPr>
        <w:t>28</w:t>
      </w:r>
      <w:r>
        <w:rPr>
          <w:kern w:val="0"/>
        </w:rPr>
        <w:t xml:space="preserve"> (11), 800-806.</w:t>
      </w:r>
    </w:p>
    <w:p w:rsidR="00211EB4" w:rsidRPr="00F219CA" w:rsidRDefault="00211EB4" w:rsidP="00211EB4">
      <w:pPr>
        <w:pStyle w:val="a3"/>
      </w:pPr>
      <w:r w:rsidRPr="00F219CA">
        <w:t xml:space="preserve">Full text: </w:t>
      </w:r>
      <w:hyperlink r:id="rId120" w:history="1">
        <w:r w:rsidRPr="00CF78AF">
          <w:rPr>
            <w:rStyle w:val="a5"/>
          </w:rPr>
          <w:t>2013\Act Cir Bra28, 800.pdf</w:t>
        </w:r>
      </w:hyperlink>
    </w:p>
    <w:p w:rsidR="00211EB4" w:rsidRDefault="00211EB4" w:rsidP="00211EB4">
      <w:pPr>
        <w:pStyle w:val="a3"/>
        <w:rPr>
          <w:kern w:val="0"/>
        </w:rPr>
      </w:pPr>
      <w:r>
        <w:rPr>
          <w:kern w:val="0"/>
        </w:rPr>
        <w:t>Abstract: PURPOSE: To compare orthopedics publications from USA, Japan</w:t>
      </w:r>
      <w:r w:rsidR="005853A9">
        <w:rPr>
          <w:kern w:val="0"/>
        </w:rPr>
        <w:t xml:space="preserve"> and </w:t>
      </w:r>
      <w:r>
        <w:rPr>
          <w:kern w:val="0"/>
        </w:rPr>
        <w:t>China. METHODS: Scientific papers belong to “Orthopedics” category</w:t>
      </w:r>
      <w:r w:rsidR="00427468">
        <w:rPr>
          <w:kern w:val="0"/>
        </w:rPr>
        <w:t xml:space="preserve"> of </w:t>
      </w:r>
      <w:r>
        <w:rPr>
          <w:kern w:val="0"/>
        </w:rPr>
        <w:t>Science Citation Index Expanded subject categories were retrieved from the “PubMed”</w:t>
      </w:r>
      <w:r w:rsidR="005853A9">
        <w:rPr>
          <w:kern w:val="0"/>
        </w:rPr>
        <w:t xml:space="preserve"> and </w:t>
      </w:r>
      <w:r>
        <w:rPr>
          <w:kern w:val="0"/>
        </w:rPr>
        <w:t>“Web</w:t>
      </w:r>
      <w:r w:rsidR="00427468">
        <w:rPr>
          <w:kern w:val="0"/>
        </w:rPr>
        <w:t xml:space="preserve"> of </w:t>
      </w:r>
      <w:r>
        <w:rPr>
          <w:kern w:val="0"/>
        </w:rPr>
        <w:t>Knowledge” online databases. RESULTS: In the field</w:t>
      </w:r>
      <w:r w:rsidR="00427468">
        <w:rPr>
          <w:kern w:val="0"/>
        </w:rPr>
        <w:t xml:space="preserve"> of </w:t>
      </w:r>
      <w:r>
        <w:rPr>
          <w:kern w:val="0"/>
        </w:rPr>
        <w:t>orthopedics, the annual number increased significantly from 2000 to 2012 in the three countries (p&lt;0.001)</w:t>
      </w:r>
      <w:r w:rsidR="00A37C1D">
        <w:rPr>
          <w:kern w:val="0"/>
        </w:rPr>
        <w:t xml:space="preserve">. </w:t>
      </w:r>
      <w:r w:rsidR="00A37C1D">
        <w:rPr>
          <w:kern w:val="0"/>
        </w:rPr>
        <w:lastRenderedPageBreak/>
        <w:t>The</w:t>
      </w:r>
      <w:r>
        <w:rPr>
          <w:kern w:val="0"/>
        </w:rPr>
        <w:t xml:space="preserve"> share</w:t>
      </w:r>
      <w:r w:rsidR="00427468">
        <w:rPr>
          <w:kern w:val="0"/>
        </w:rPr>
        <w:t xml:space="preserve"> of </w:t>
      </w:r>
      <w:r>
        <w:rPr>
          <w:kern w:val="0"/>
        </w:rPr>
        <w:t>articles increased significantly in China, but decreased significantly in Japan</w:t>
      </w:r>
      <w:r w:rsidR="005853A9">
        <w:rPr>
          <w:kern w:val="0"/>
        </w:rPr>
        <w:t xml:space="preserve"> and </w:t>
      </w:r>
      <w:r>
        <w:rPr>
          <w:kern w:val="0"/>
        </w:rPr>
        <w:t>USA (p&lt;0.05). In 2012, USA contributed 35.3%</w:t>
      </w:r>
      <w:r w:rsidR="00427468">
        <w:rPr>
          <w:kern w:val="0"/>
        </w:rPr>
        <w:t xml:space="preserve"> of </w:t>
      </w:r>
      <w:r>
        <w:rPr>
          <w:kern w:val="0"/>
        </w:rPr>
        <w:t>the total world output in orthopedics field</w:t>
      </w:r>
      <w:r w:rsidR="005853A9">
        <w:rPr>
          <w:kern w:val="0"/>
        </w:rPr>
        <w:t xml:space="preserve"> and </w:t>
      </w:r>
      <w:r>
        <w:rPr>
          <w:kern w:val="0"/>
        </w:rPr>
        <w:t>ranked 1st; Japan contributed 5.9%</w:t>
      </w:r>
      <w:r w:rsidR="005853A9">
        <w:rPr>
          <w:kern w:val="0"/>
        </w:rPr>
        <w:t xml:space="preserve"> and </w:t>
      </w:r>
      <w:r>
        <w:rPr>
          <w:kern w:val="0"/>
        </w:rPr>
        <w:t>ranked 4th; China contributed 5.2%</w:t>
      </w:r>
      <w:r w:rsidR="005853A9">
        <w:rPr>
          <w:kern w:val="0"/>
        </w:rPr>
        <w:t xml:space="preserve"> and </w:t>
      </w:r>
      <w:r>
        <w:rPr>
          <w:kern w:val="0"/>
        </w:rPr>
        <w:t>ranked 5th. Publications from USA had the highest accumulated IFs</w:t>
      </w:r>
      <w:r w:rsidR="005853A9">
        <w:rPr>
          <w:kern w:val="0"/>
        </w:rPr>
        <w:t xml:space="preserve"> and </w:t>
      </w:r>
      <w:r>
        <w:rPr>
          <w:kern w:val="0"/>
        </w:rPr>
        <w:t>the highest total citations</w:t>
      </w:r>
      <w:r w:rsidR="00427468">
        <w:rPr>
          <w:kern w:val="0"/>
        </w:rPr>
        <w:t xml:space="preserve"> of </w:t>
      </w:r>
      <w:r>
        <w:rPr>
          <w:kern w:val="0"/>
        </w:rPr>
        <w:t>articles (USA &gt; Japan &gt; China, p&lt;0.001). Average IF from USA was much higher than Japan</w:t>
      </w:r>
      <w:r w:rsidR="005853A9">
        <w:rPr>
          <w:kern w:val="0"/>
        </w:rPr>
        <w:t xml:space="preserve"> and </w:t>
      </w:r>
      <w:r>
        <w:rPr>
          <w:kern w:val="0"/>
        </w:rPr>
        <w:t>China (p&lt;0.001). USA published the most articles in the top ten orthopedics journals (USA (14355) &gt; Japan (1702) &gt; China (487), p&lt;0.01). CONCLUSION: Although China has undergone significant increase in annual number</w:t>
      </w:r>
      <w:r w:rsidR="005853A9">
        <w:rPr>
          <w:kern w:val="0"/>
        </w:rPr>
        <w:t xml:space="preserve"> and </w:t>
      </w:r>
      <w:r>
        <w:rPr>
          <w:kern w:val="0"/>
        </w:rPr>
        <w:t>percentage</w:t>
      </w:r>
      <w:r w:rsidR="00427468">
        <w:rPr>
          <w:kern w:val="0"/>
        </w:rPr>
        <w:t xml:space="preserve"> of </w:t>
      </w:r>
      <w:r>
        <w:rPr>
          <w:kern w:val="0"/>
        </w:rPr>
        <w:t>scientific publication in orthopedics journals, it still lags far behind USA</w:t>
      </w:r>
      <w:r w:rsidR="005853A9">
        <w:rPr>
          <w:kern w:val="0"/>
        </w:rPr>
        <w:t xml:space="preserve"> and </w:t>
      </w:r>
      <w:r>
        <w:rPr>
          <w:kern w:val="0"/>
        </w:rPr>
        <w:t>Japan in the field</w:t>
      </w:r>
      <w:r w:rsidR="00427468">
        <w:rPr>
          <w:kern w:val="0"/>
        </w:rPr>
        <w:t xml:space="preserve"> of </w:t>
      </w:r>
      <w:r>
        <w:rPr>
          <w:kern w:val="0"/>
        </w:rPr>
        <w:t>orthopedics in terms</w:t>
      </w:r>
      <w:r w:rsidR="00427468">
        <w:rPr>
          <w:kern w:val="0"/>
        </w:rPr>
        <w:t xml:space="preserve"> of </w:t>
      </w:r>
      <w:r>
        <w:rPr>
          <w:kern w:val="0"/>
        </w:rPr>
        <w:t>quantity</w:t>
      </w:r>
      <w:r w:rsidR="005853A9">
        <w:rPr>
          <w:kern w:val="0"/>
        </w:rPr>
        <w:t xml:space="preserve"> and </w:t>
      </w:r>
      <w:r>
        <w:rPr>
          <w:kern w:val="0"/>
        </w:rPr>
        <w:t>quality.</w:t>
      </w:r>
    </w:p>
    <w:p w:rsidR="00211EB4" w:rsidRDefault="00211EB4" w:rsidP="00211EB4">
      <w:pPr>
        <w:pStyle w:val="a3"/>
        <w:rPr>
          <w:kern w:val="0"/>
        </w:rPr>
      </w:pPr>
      <w:r>
        <w:rPr>
          <w:kern w:val="0"/>
        </w:rPr>
        <w:t>Keywords: Article, Brazil, China, Citation, Citations, Countries, Databases, Disease, Field, Global Burden, Impact, Injuries, Japan, Journals, Methods, Nov, Online, Orthopedics, Papers, Publication, Publications, Purpose, Quality, Sao, Sao-Paulo, Science, Science Citation Index, Science Citation Index Expanded, Sciences, Scientific Publication, Scientific Publication Indicators, Scientific Publications, Surgery, United States, United-States, USA, World</w:t>
      </w:r>
    </w:p>
    <w:p w:rsidR="00646775" w:rsidRDefault="00646775" w:rsidP="00646775">
      <w:pPr>
        <w:pStyle w:val="a3"/>
        <w:rPr>
          <w:kern w:val="0"/>
        </w:rPr>
      </w:pPr>
      <w:r>
        <w:rPr>
          <w:kern w:val="0"/>
        </w:rPr>
        <w:t xml:space="preserve">? Concha, J.A.M., Cartes-Velásquez, R. and Delgado, C.M. (2014), Single-incision laparoscopic appendectomy versus conventional laparoscopy in adults. A systematic review. </w:t>
      </w:r>
      <w:r>
        <w:rPr>
          <w:i/>
          <w:iCs/>
          <w:kern w:val="0"/>
        </w:rPr>
        <w:t>Acta Cirurgica Brasileira</w:t>
      </w:r>
      <w:r>
        <w:rPr>
          <w:kern w:val="0"/>
        </w:rPr>
        <w:t xml:space="preserve">, </w:t>
      </w:r>
      <w:r>
        <w:rPr>
          <w:b/>
          <w:bCs/>
          <w:kern w:val="0"/>
        </w:rPr>
        <w:t>29</w:t>
      </w:r>
      <w:r>
        <w:rPr>
          <w:kern w:val="0"/>
        </w:rPr>
        <w:t xml:space="preserve"> (12), 826-831.</w:t>
      </w:r>
    </w:p>
    <w:p w:rsidR="00646775" w:rsidRPr="00F219CA" w:rsidRDefault="00646775" w:rsidP="00646775">
      <w:pPr>
        <w:pStyle w:val="a3"/>
      </w:pPr>
      <w:r w:rsidRPr="00F219CA">
        <w:t xml:space="preserve">Full text: </w:t>
      </w:r>
      <w:hyperlink r:id="rId121" w:history="1">
        <w:r w:rsidRPr="00B14D5D">
          <w:rPr>
            <w:rStyle w:val="a5"/>
          </w:rPr>
          <w:t>2014\Act Cir Bra29, 826.pdf</w:t>
        </w:r>
      </w:hyperlink>
    </w:p>
    <w:p w:rsidR="00646775" w:rsidRDefault="00646775" w:rsidP="00646775">
      <w:pPr>
        <w:pStyle w:val="a3"/>
        <w:rPr>
          <w:kern w:val="0"/>
        </w:rPr>
      </w:pPr>
      <w:r>
        <w:rPr>
          <w:kern w:val="0"/>
        </w:rPr>
        <w:t>Abstract: PURPOSE: To determine the best treatment option for not complicated acute appendicitis (AA) in adult patients, between single incision laparoscopy (SIL) and conventional laparoscopy (CL), measured by morbidity associated with disease. METHODS: Systematic review. Articles of adults diagnosed with AA treated by SIL or CL were analyzed. Databases included: MEDLINE, LILACS, IBECS, Web of Science, Scopus and Cochrane, using MeSH terms and free words. The studies were analyzed using the MINCIR methodology. Variables included: conversion rate, morbidity, hospital stay, surgery duration, and methodological quality (MQ) of primary studies. Averages, medians and weighted averages were calculated. RESULTS: Thirteen articles were analyzed. For SIL and CL the conversion rate were 3.4% and 0.7 %, the morbidity were 8% and 6.5%, the hospital stay were 2.5 and 2.8 days, the surgery duration were 53.4 and 53.8 minutes, and the MQ were 14.3 +/- 6.6 and 16.0 +/- 6.9 points, respectively. CONCLUSION: With the exception of the conversion rate, there are no differences between single incision laparoscopy and conventional laparoscopy for the treatment of acute appendicitis in adults.</w:t>
      </w:r>
    </w:p>
    <w:p w:rsidR="00646775" w:rsidRDefault="00646775" w:rsidP="00646775">
      <w:pPr>
        <w:pStyle w:val="a3"/>
        <w:rPr>
          <w:kern w:val="0"/>
        </w:rPr>
      </w:pPr>
      <w:r>
        <w:rPr>
          <w:kern w:val="0"/>
        </w:rPr>
        <w:t xml:space="preserve">Keywords: 3-Port Appendectomy, Adult, Appendectomy, Appendicitis, Articles, Cl, Conventional, Conversion, Databases, Disease, Duration, Hospital, Hospital Stay, </w:t>
      </w:r>
      <w:r>
        <w:rPr>
          <w:kern w:val="0"/>
        </w:rPr>
        <w:lastRenderedPageBreak/>
        <w:t>Initial-Experience, Laparoscopic, Laparoscopy, Medline, Metaanalysis, Methodological Quality, Methodology, Methods, Morbidity, Patients, Port Appendectomy, Postoperative Complications, Primary, Purpose, Quality, Review, Scale, Science, Scopus, Single Incision, Single-Incision, Site Access, Surgery, Systematic, Systematic Review, Therapy, Treatment, Treatment Option, Trial, Web, Web of Science</w:t>
      </w:r>
    </w:p>
    <w:p w:rsidR="00CD1332" w:rsidRPr="00217FB1" w:rsidRDefault="00CD1332" w:rsidP="00CD1332">
      <w:pPr>
        <w:pStyle w:val="1"/>
      </w:pPr>
      <w:r w:rsidRPr="00217FB1">
        <w:br w:type="page"/>
      </w:r>
      <w:bookmarkStart w:id="54" w:name="_Toc81215812"/>
      <w:bookmarkStart w:id="55" w:name="_Toc276370006"/>
      <w:bookmarkStart w:id="56" w:name="_Toc420814255"/>
      <w:r w:rsidRPr="00217FB1">
        <w:lastRenderedPageBreak/>
        <w:t xml:space="preserve">Title: </w:t>
      </w:r>
      <w:bookmarkEnd w:id="54"/>
      <w:bookmarkEnd w:id="55"/>
      <w:r w:rsidRPr="00CD1332">
        <w:t>Acta Clinica Belgica</w:t>
      </w:r>
      <w:bookmarkEnd w:id="56"/>
    </w:p>
    <w:p w:rsidR="00CD1332" w:rsidRPr="00217FB1" w:rsidRDefault="00CD1332" w:rsidP="00CD1332">
      <w:pPr>
        <w:pStyle w:val="12"/>
      </w:pPr>
      <w:r w:rsidRPr="00217FB1">
        <w:t xml:space="preserve">Full Journal Title: </w:t>
      </w:r>
      <w:r w:rsidRPr="00CD1332">
        <w:rPr>
          <w:iCs/>
          <w:kern w:val="0"/>
        </w:rPr>
        <w:t>Acta Clinica Belgica</w:t>
      </w:r>
    </w:p>
    <w:p w:rsidR="00CD1332" w:rsidRPr="00217FB1" w:rsidRDefault="00CD1332" w:rsidP="00CD1332">
      <w:pPr>
        <w:pStyle w:val="12"/>
      </w:pPr>
      <w:r w:rsidRPr="00217FB1">
        <w:t xml:space="preserve">ISO Abbreviated Title: </w:t>
      </w:r>
    </w:p>
    <w:p w:rsidR="00CD1332" w:rsidRPr="00217FB1" w:rsidRDefault="00CD1332" w:rsidP="00CD1332">
      <w:pPr>
        <w:pStyle w:val="12"/>
      </w:pPr>
      <w:r w:rsidRPr="00217FB1">
        <w:t>JCR Abbreviated Title</w:t>
      </w:r>
      <w:r>
        <w:t>:</w:t>
      </w:r>
      <w:r w:rsidRPr="00217FB1">
        <w:t xml:space="preserve"> </w:t>
      </w:r>
    </w:p>
    <w:p w:rsidR="00CD1332" w:rsidRPr="00217FB1" w:rsidRDefault="00CD1332" w:rsidP="00CD1332">
      <w:pPr>
        <w:pStyle w:val="12"/>
      </w:pPr>
      <w:r w:rsidRPr="00217FB1">
        <w:t xml:space="preserve">ISSN: </w:t>
      </w:r>
    </w:p>
    <w:p w:rsidR="00CD1332" w:rsidRPr="00217FB1" w:rsidRDefault="00CD1332" w:rsidP="00CD1332">
      <w:pPr>
        <w:pStyle w:val="12"/>
      </w:pPr>
      <w:r w:rsidRPr="00217FB1">
        <w:t xml:space="preserve">Issues/Year: </w:t>
      </w:r>
    </w:p>
    <w:p w:rsidR="00CD1332" w:rsidRPr="00217FB1" w:rsidRDefault="00CD1332" w:rsidP="00CD1332">
      <w:pPr>
        <w:pStyle w:val="12"/>
      </w:pPr>
      <w:r>
        <w:t xml:space="preserve">Journal Country/Territory: </w:t>
      </w:r>
    </w:p>
    <w:p w:rsidR="00CD1332" w:rsidRPr="00217FB1" w:rsidRDefault="00CD1332" w:rsidP="00CD1332">
      <w:pPr>
        <w:pStyle w:val="12"/>
      </w:pPr>
      <w:r w:rsidRPr="00217FB1">
        <w:t xml:space="preserve">Language: </w:t>
      </w:r>
    </w:p>
    <w:p w:rsidR="00CD1332" w:rsidRPr="00217FB1" w:rsidRDefault="00CD1332" w:rsidP="00CD1332">
      <w:pPr>
        <w:pStyle w:val="12"/>
      </w:pPr>
      <w:r w:rsidRPr="00217FB1">
        <w:t xml:space="preserve">Publisher: </w:t>
      </w:r>
    </w:p>
    <w:p w:rsidR="00CD1332" w:rsidRPr="00217FB1" w:rsidRDefault="00CD1332" w:rsidP="00CD1332">
      <w:pPr>
        <w:pStyle w:val="12"/>
      </w:pPr>
      <w:r w:rsidRPr="00217FB1">
        <w:t xml:space="preserve">Publisher Address: </w:t>
      </w:r>
    </w:p>
    <w:p w:rsidR="00CD1332" w:rsidRPr="00217FB1" w:rsidRDefault="00CD1332" w:rsidP="00CD1332">
      <w:pPr>
        <w:pStyle w:val="12"/>
      </w:pPr>
      <w:r w:rsidRPr="00217FB1">
        <w:t>Subject Categories:</w:t>
      </w:r>
    </w:p>
    <w:p w:rsidR="00CD1332" w:rsidRPr="00217FB1" w:rsidRDefault="00CD1332" w:rsidP="00CD1332">
      <w:pPr>
        <w:pStyle w:val="12"/>
      </w:pPr>
      <w:r w:rsidRPr="00217FB1">
        <w:t xml:space="preserve">: Impact Factor </w:t>
      </w:r>
    </w:p>
    <w:p w:rsidR="00021E6B" w:rsidRDefault="00021E6B" w:rsidP="00021E6B">
      <w:pPr>
        <w:pStyle w:val="a3"/>
        <w:rPr>
          <w:kern w:val="0"/>
        </w:rPr>
      </w:pPr>
      <w:r>
        <w:rPr>
          <w:rFonts w:hint="eastAsia"/>
          <w:kern w:val="0"/>
        </w:rPr>
        <w:t xml:space="preserve">? </w:t>
      </w:r>
      <w:r>
        <w:rPr>
          <w:kern w:val="0"/>
        </w:rPr>
        <w:t>Hamen, J.</w:t>
      </w:r>
      <w:r w:rsidR="005853A9">
        <w:rPr>
          <w:kern w:val="0"/>
        </w:rPr>
        <w:t xml:space="preserve"> and </w:t>
      </w:r>
      <w:r>
        <w:rPr>
          <w:kern w:val="0"/>
        </w:rPr>
        <w:t>Wennig, R. (1999), Diagnosis</w:t>
      </w:r>
      <w:r w:rsidR="00427468">
        <w:rPr>
          <w:kern w:val="0"/>
        </w:rPr>
        <w:t xml:space="preserve"> of </w:t>
      </w:r>
      <w:r>
        <w:rPr>
          <w:kern w:val="0"/>
        </w:rPr>
        <w:t>an acute parathion-intoxication</w:t>
      </w:r>
      <w:r w:rsidR="005853A9">
        <w:rPr>
          <w:kern w:val="0"/>
        </w:rPr>
        <w:t xml:space="preserve"> and </w:t>
      </w:r>
      <w:r>
        <w:rPr>
          <w:kern w:val="0"/>
        </w:rPr>
        <w:t xml:space="preserve">forensic consequences. </w:t>
      </w:r>
      <w:r>
        <w:rPr>
          <w:i/>
          <w:iCs/>
          <w:kern w:val="0"/>
        </w:rPr>
        <w:t>Acta Clinica Belgica</w:t>
      </w:r>
      <w:r>
        <w:rPr>
          <w:kern w:val="0"/>
        </w:rPr>
        <w:t xml:space="preserve">, </w:t>
      </w:r>
      <w:r>
        <w:rPr>
          <w:rFonts w:hint="eastAsia"/>
          <w:b/>
          <w:kern w:val="0"/>
        </w:rPr>
        <w:t>S1</w:t>
      </w:r>
      <w:r>
        <w:rPr>
          <w:kern w:val="0"/>
        </w:rPr>
        <w:t>, 54-58.</w:t>
      </w:r>
    </w:p>
    <w:p w:rsidR="00021E6B" w:rsidRDefault="00021E6B" w:rsidP="00021E6B">
      <w:pPr>
        <w:pStyle w:val="a3"/>
        <w:rPr>
          <w:kern w:val="0"/>
        </w:rPr>
      </w:pPr>
      <w:r>
        <w:rPr>
          <w:rFonts w:hint="eastAsia"/>
          <w:kern w:val="0"/>
        </w:rPr>
        <w:t>Full Text: 1999</w:t>
      </w:r>
      <w:r>
        <w:rPr>
          <w:kern w:val="0"/>
        </w:rPr>
        <w:t>\Act Cli Bel</w:t>
      </w:r>
      <w:r>
        <w:rPr>
          <w:rFonts w:hint="eastAsia"/>
          <w:kern w:val="0"/>
        </w:rPr>
        <w:t>S1</w:t>
      </w:r>
      <w:r>
        <w:rPr>
          <w:kern w:val="0"/>
        </w:rPr>
        <w:t xml:space="preserve">, </w:t>
      </w:r>
      <w:r>
        <w:rPr>
          <w:rFonts w:hint="eastAsia"/>
          <w:kern w:val="0"/>
        </w:rPr>
        <w:t>54</w:t>
      </w:r>
      <w:r w:rsidRPr="00F4686D">
        <w:rPr>
          <w:kern w:val="0"/>
        </w:rPr>
        <w:t>.pdf</w:t>
      </w:r>
    </w:p>
    <w:p w:rsidR="00021E6B" w:rsidRDefault="00021E6B" w:rsidP="00021E6B">
      <w:pPr>
        <w:pStyle w:val="a3"/>
        <w:rPr>
          <w:kern w:val="0"/>
        </w:rPr>
      </w:pPr>
      <w:r>
        <w:rPr>
          <w:kern w:val="0"/>
        </w:rPr>
        <w:t>Abstract: During a toxicological screening</w:t>
      </w:r>
      <w:r w:rsidR="00427468">
        <w:rPr>
          <w:kern w:val="0"/>
        </w:rPr>
        <w:t xml:space="preserve"> of </w:t>
      </w:r>
      <w:r>
        <w:rPr>
          <w:kern w:val="0"/>
        </w:rPr>
        <w:t>a 16-year-old girl, in a clinical toxicological case, a parathion-intoxication has been detected. GC/MS revealed</w:t>
      </w:r>
      <w:r w:rsidR="003A1917">
        <w:rPr>
          <w:kern w:val="0"/>
        </w:rPr>
        <w:t xml:space="preserve"> the </w:t>
      </w:r>
      <w:r>
        <w:rPr>
          <w:kern w:val="0"/>
        </w:rPr>
        <w:t>presence</w:t>
      </w:r>
      <w:r w:rsidR="00427468">
        <w:rPr>
          <w:kern w:val="0"/>
        </w:rPr>
        <w:t xml:space="preserve"> of </w:t>
      </w:r>
      <w:r>
        <w:rPr>
          <w:kern w:val="0"/>
        </w:rPr>
        <w:t>ethyl parathion in</w:t>
      </w:r>
      <w:r w:rsidR="003A1917">
        <w:rPr>
          <w:kern w:val="0"/>
        </w:rPr>
        <w:t xml:space="preserve"> the </w:t>
      </w:r>
      <w:r>
        <w:rPr>
          <w:kern w:val="0"/>
        </w:rPr>
        <w:t>gastric content</w:t>
      </w:r>
      <w:r w:rsidR="005853A9">
        <w:rPr>
          <w:kern w:val="0"/>
        </w:rPr>
        <w:t xml:space="preserve"> and </w:t>
      </w:r>
      <w:r>
        <w:rPr>
          <w:kern w:val="0"/>
        </w:rPr>
        <w:t>p-nitrophenol in urine. p-Nitrophenol is a major metabolite</w:t>
      </w:r>
      <w:r w:rsidR="00427468">
        <w:rPr>
          <w:kern w:val="0"/>
        </w:rPr>
        <w:t xml:space="preserve"> of </w:t>
      </w:r>
      <w:r>
        <w:rPr>
          <w:kern w:val="0"/>
        </w:rPr>
        <w:t>ethyl-parathion, A serum concentration</w:t>
      </w:r>
      <w:r w:rsidR="00427468">
        <w:rPr>
          <w:kern w:val="0"/>
        </w:rPr>
        <w:t xml:space="preserve"> of </w:t>
      </w:r>
      <w:r>
        <w:rPr>
          <w:kern w:val="0"/>
        </w:rPr>
        <w:t>0.07mg/L</w:t>
      </w:r>
      <w:r w:rsidR="00427468">
        <w:rPr>
          <w:kern w:val="0"/>
        </w:rPr>
        <w:t xml:space="preserve"> of </w:t>
      </w:r>
      <w:r>
        <w:rPr>
          <w:kern w:val="0"/>
        </w:rPr>
        <w:t>ethyl parathion was measured by GC/MS-SIM. During hospitalisation</w:t>
      </w:r>
      <w:r w:rsidR="003A1917">
        <w:rPr>
          <w:kern w:val="0"/>
        </w:rPr>
        <w:t xml:space="preserve"> the </w:t>
      </w:r>
      <w:r>
        <w:rPr>
          <w:kern w:val="0"/>
        </w:rPr>
        <w:t>severity</w:t>
      </w:r>
      <w:r w:rsidR="00427468">
        <w:rPr>
          <w:kern w:val="0"/>
        </w:rPr>
        <w:t xml:space="preserve"> of </w:t>
      </w:r>
      <w:r>
        <w:rPr>
          <w:kern w:val="0"/>
        </w:rPr>
        <w:t>parathion intoxication was monitored by measurement</w:t>
      </w:r>
      <w:r w:rsidR="00427468">
        <w:rPr>
          <w:kern w:val="0"/>
        </w:rPr>
        <w:t xml:space="preserve"> of </w:t>
      </w:r>
      <w:r>
        <w:rPr>
          <w:kern w:val="0"/>
        </w:rPr>
        <w:t>pseudo-cholinesterase activities in serum</w:t>
      </w:r>
      <w:r w:rsidR="00A37C1D">
        <w:rPr>
          <w:kern w:val="0"/>
        </w:rPr>
        <w:t>. The</w:t>
      </w:r>
      <w:r w:rsidR="003A1917">
        <w:rPr>
          <w:kern w:val="0"/>
        </w:rPr>
        <w:t xml:space="preserve"> </w:t>
      </w:r>
      <w:r>
        <w:rPr>
          <w:kern w:val="0"/>
        </w:rPr>
        <w:t>young girl recovered well</w:t>
      </w:r>
      <w:r w:rsidR="00427468">
        <w:rPr>
          <w:kern w:val="0"/>
        </w:rPr>
        <w:t xml:space="preserve"> of </w:t>
      </w:r>
      <w:r>
        <w:rPr>
          <w:kern w:val="0"/>
        </w:rPr>
        <w:t>her intoxication after a few days, without any apparent sequellae. A preliminary inquiry revealed that</w:t>
      </w:r>
      <w:r w:rsidR="003A1917">
        <w:rPr>
          <w:kern w:val="0"/>
        </w:rPr>
        <w:t xml:space="preserve"> the </w:t>
      </w:r>
      <w:r>
        <w:rPr>
          <w:kern w:val="0"/>
        </w:rPr>
        <w:t>adolescent had consumed a bowl</w:t>
      </w:r>
      <w:r w:rsidR="00427468">
        <w:rPr>
          <w:kern w:val="0"/>
        </w:rPr>
        <w:t xml:space="preserve"> of </w:t>
      </w:r>
      <w:r>
        <w:rPr>
          <w:kern w:val="0"/>
        </w:rPr>
        <w:t>soup at</w:t>
      </w:r>
      <w:r w:rsidR="003A1917">
        <w:rPr>
          <w:kern w:val="0"/>
        </w:rPr>
        <w:t xml:space="preserve"> the </w:t>
      </w:r>
      <w:r>
        <w:rPr>
          <w:kern w:val="0"/>
        </w:rPr>
        <w:t>home</w:t>
      </w:r>
      <w:r w:rsidR="00427468">
        <w:rPr>
          <w:kern w:val="0"/>
        </w:rPr>
        <w:t xml:space="preserve"> of </w:t>
      </w:r>
      <w:r>
        <w:rPr>
          <w:kern w:val="0"/>
        </w:rPr>
        <w:t>a 67-year-old female neighbour, who died</w:t>
      </w:r>
      <w:r w:rsidR="003A1917">
        <w:rPr>
          <w:kern w:val="0"/>
        </w:rPr>
        <w:t xml:space="preserve"> the </w:t>
      </w:r>
      <w:r>
        <w:rPr>
          <w:kern w:val="0"/>
        </w:rPr>
        <w:t>same day. Her corpse was found at her home</w:t>
      </w:r>
      <w:r w:rsidR="00A37C1D">
        <w:rPr>
          <w:kern w:val="0"/>
        </w:rPr>
        <w:t>. The</w:t>
      </w:r>
      <w:r w:rsidR="003A1917">
        <w:rPr>
          <w:kern w:val="0"/>
        </w:rPr>
        <w:t xml:space="preserve"> </w:t>
      </w:r>
      <w:r>
        <w:rPr>
          <w:kern w:val="0"/>
        </w:rPr>
        <w:t>certificate</w:t>
      </w:r>
      <w:r w:rsidR="00427468">
        <w:rPr>
          <w:kern w:val="0"/>
        </w:rPr>
        <w:t xml:space="preserve"> of </w:t>
      </w:r>
      <w:r>
        <w:rPr>
          <w:kern w:val="0"/>
        </w:rPr>
        <w:t>death, written by</w:t>
      </w:r>
      <w:r w:rsidR="003A1917">
        <w:rPr>
          <w:kern w:val="0"/>
        </w:rPr>
        <w:t xml:space="preserve"> the </w:t>
      </w:r>
      <w:r>
        <w:rPr>
          <w:kern w:val="0"/>
        </w:rPr>
        <w:t>doctor in charge, attested a heart failure. Due to</w:t>
      </w:r>
      <w:r w:rsidR="003A1917">
        <w:rPr>
          <w:kern w:val="0"/>
        </w:rPr>
        <w:t xml:space="preserve"> the </w:t>
      </w:r>
      <w:r>
        <w:rPr>
          <w:kern w:val="0"/>
        </w:rPr>
        <w:t>results</w:t>
      </w:r>
      <w:r w:rsidR="00427468">
        <w:rPr>
          <w:kern w:val="0"/>
        </w:rPr>
        <w:t xml:space="preserve"> of </w:t>
      </w:r>
      <w:r w:rsidR="003A1917">
        <w:rPr>
          <w:kern w:val="0"/>
        </w:rPr>
        <w:t xml:space="preserve">the </w:t>
      </w:r>
      <w:r>
        <w:rPr>
          <w:kern w:val="0"/>
        </w:rPr>
        <w:t>toxicological analyses from</w:t>
      </w:r>
      <w:r w:rsidR="003A1917">
        <w:rPr>
          <w:kern w:val="0"/>
        </w:rPr>
        <w:t xml:space="preserve"> the </w:t>
      </w:r>
      <w:r>
        <w:rPr>
          <w:kern w:val="0"/>
        </w:rPr>
        <w:t>kid,</w:t>
      </w:r>
      <w:r w:rsidR="003A1917">
        <w:rPr>
          <w:kern w:val="0"/>
        </w:rPr>
        <w:t xml:space="preserve"> the </w:t>
      </w:r>
      <w:r>
        <w:rPr>
          <w:kern w:val="0"/>
        </w:rPr>
        <w:t>juridical authorities ordered an autopsy</w:t>
      </w:r>
      <w:r w:rsidR="00427468">
        <w:rPr>
          <w:kern w:val="0"/>
        </w:rPr>
        <w:t xml:space="preserve"> of </w:t>
      </w:r>
      <w:r w:rsidR="003A1917">
        <w:rPr>
          <w:kern w:val="0"/>
        </w:rPr>
        <w:t xml:space="preserve">the </w:t>
      </w:r>
      <w:r>
        <w:rPr>
          <w:kern w:val="0"/>
        </w:rPr>
        <w:t>corpse</w:t>
      </w:r>
      <w:r w:rsidR="00427468">
        <w:rPr>
          <w:kern w:val="0"/>
        </w:rPr>
        <w:t xml:space="preserve"> of </w:t>
      </w:r>
      <w:r w:rsidR="003A1917">
        <w:rPr>
          <w:kern w:val="0"/>
        </w:rPr>
        <w:t xml:space="preserve">the </w:t>
      </w:r>
      <w:r>
        <w:rPr>
          <w:kern w:val="0"/>
        </w:rPr>
        <w:t>lady. Ethyl parathion was found in</w:t>
      </w:r>
      <w:r w:rsidR="003A1917">
        <w:rPr>
          <w:kern w:val="0"/>
        </w:rPr>
        <w:t xml:space="preserve"> the </w:t>
      </w:r>
      <w:r>
        <w:rPr>
          <w:kern w:val="0"/>
        </w:rPr>
        <w:t>gastric content</w:t>
      </w:r>
      <w:r w:rsidR="005853A9">
        <w:rPr>
          <w:kern w:val="0"/>
        </w:rPr>
        <w:t xml:space="preserve"> and </w:t>
      </w:r>
      <w:r>
        <w:rPr>
          <w:kern w:val="0"/>
        </w:rPr>
        <w:t>p-nitrophenol in urine. Even after several temptations it has not been possible to detect ethyl parathion neither in blood nor in some organs. But it was possible to detect traces</w:t>
      </w:r>
      <w:r w:rsidR="00427468">
        <w:rPr>
          <w:kern w:val="0"/>
        </w:rPr>
        <w:t xml:space="preserve"> of </w:t>
      </w:r>
      <w:r>
        <w:rPr>
          <w:kern w:val="0"/>
        </w:rPr>
        <w:t>p-nitrophenol her blood.</w:t>
      </w:r>
    </w:p>
    <w:p w:rsidR="00021E6B" w:rsidRDefault="00021E6B" w:rsidP="00021E6B">
      <w:pPr>
        <w:pStyle w:val="a3"/>
        <w:rPr>
          <w:kern w:val="0"/>
        </w:rPr>
      </w:pPr>
      <w:r>
        <w:rPr>
          <w:kern w:val="0"/>
        </w:rPr>
        <w:t>Keywords: Activities, Acute, Adolescent, Blood, Diagnosis, Measurement, P-Nitrophenol, Screening, Severity, Urine</w:t>
      </w:r>
    </w:p>
    <w:p w:rsidR="00CD1332" w:rsidRDefault="00CD1332" w:rsidP="00CD1332">
      <w:pPr>
        <w:pStyle w:val="a3"/>
        <w:rPr>
          <w:kern w:val="0"/>
        </w:rPr>
      </w:pPr>
      <w:r>
        <w:rPr>
          <w:rFonts w:hint="eastAsia"/>
          <w:kern w:val="0"/>
        </w:rPr>
        <w:t xml:space="preserve">? </w:t>
      </w:r>
      <w:r>
        <w:rPr>
          <w:kern w:val="0"/>
        </w:rPr>
        <w:t>Devroey, D.</w:t>
      </w:r>
      <w:r w:rsidR="005853A9">
        <w:rPr>
          <w:kern w:val="0"/>
        </w:rPr>
        <w:t xml:space="preserve"> and </w:t>
      </w:r>
      <w:r>
        <w:rPr>
          <w:kern w:val="0"/>
        </w:rPr>
        <w:t>Betz, W. (2003), An analysis</w:t>
      </w:r>
      <w:r w:rsidR="00427468">
        <w:rPr>
          <w:kern w:val="0"/>
        </w:rPr>
        <w:t xml:space="preserve"> of </w:t>
      </w:r>
      <w:r>
        <w:rPr>
          <w:kern w:val="0"/>
        </w:rPr>
        <w:t xml:space="preserve">first authorisations for lipid-lowering drugs in Belgium. </w:t>
      </w:r>
      <w:r w:rsidRPr="00CD1332">
        <w:rPr>
          <w:i/>
          <w:iCs/>
          <w:kern w:val="0"/>
        </w:rPr>
        <w:t>Acta Clinica Belgica</w:t>
      </w:r>
      <w:r>
        <w:rPr>
          <w:kern w:val="0"/>
        </w:rPr>
        <w:t xml:space="preserve">, </w:t>
      </w:r>
      <w:r>
        <w:rPr>
          <w:b/>
          <w:bCs/>
          <w:kern w:val="0"/>
        </w:rPr>
        <w:t>58</w:t>
      </w:r>
      <w:r>
        <w:rPr>
          <w:kern w:val="0"/>
        </w:rPr>
        <w:t xml:space="preserve"> (3), 152-158.</w:t>
      </w:r>
    </w:p>
    <w:p w:rsidR="00E672D3" w:rsidRDefault="00E672D3" w:rsidP="00CD1332">
      <w:pPr>
        <w:pStyle w:val="a3"/>
        <w:rPr>
          <w:kern w:val="0"/>
        </w:rPr>
      </w:pPr>
      <w:r>
        <w:rPr>
          <w:rFonts w:hint="eastAsia"/>
          <w:kern w:val="0"/>
        </w:rPr>
        <w:t xml:space="preserve">Full Text: </w:t>
      </w:r>
      <w:hyperlink r:id="rId122" w:history="1">
        <w:r w:rsidR="00237551" w:rsidRPr="00237551">
          <w:rPr>
            <w:rStyle w:val="a5"/>
            <w:kern w:val="0"/>
          </w:rPr>
          <w:t>2003\Act Cli Bel58, 152.pdf</w:t>
        </w:r>
      </w:hyperlink>
    </w:p>
    <w:p w:rsidR="00CD1332" w:rsidRDefault="00CD1332" w:rsidP="00CD1332">
      <w:pPr>
        <w:pStyle w:val="a3"/>
        <w:rPr>
          <w:kern w:val="0"/>
        </w:rPr>
      </w:pPr>
      <w:r>
        <w:rPr>
          <w:kern w:val="0"/>
        </w:rPr>
        <w:t>Abstract: Introduction: In Belgium lipid-lowering drugs are reimbursed in primary</w:t>
      </w:r>
      <w:r w:rsidR="005853A9">
        <w:rPr>
          <w:kern w:val="0"/>
        </w:rPr>
        <w:t xml:space="preserve"> and </w:t>
      </w:r>
      <w:r>
        <w:rPr>
          <w:kern w:val="0"/>
        </w:rPr>
        <w:lastRenderedPageBreak/>
        <w:t>secondary prevention when after a non-specified diet</w:t>
      </w:r>
      <w:r w:rsidR="00427468">
        <w:rPr>
          <w:kern w:val="0"/>
        </w:rPr>
        <w:t xml:space="preserve"> of </w:t>
      </w:r>
      <w:r>
        <w:rPr>
          <w:kern w:val="0"/>
        </w:rPr>
        <w:t>at least three months total cholesterol (TC) remains higher than 250 mg/dl or triglycerides (TG) remain higher than 200 mg/dl. Low-density lipoprotein cholesterol (LDL-C) is only taken into account for</w:t>
      </w:r>
      <w:r w:rsidR="003A1917">
        <w:rPr>
          <w:kern w:val="0"/>
        </w:rPr>
        <w:t xml:space="preserve"> the </w:t>
      </w:r>
      <w:r>
        <w:rPr>
          <w:kern w:val="0"/>
        </w:rPr>
        <w:t>reimbursement</w:t>
      </w:r>
      <w:r w:rsidR="00427468">
        <w:rPr>
          <w:kern w:val="0"/>
        </w:rPr>
        <w:t xml:space="preserve"> of </w:t>
      </w:r>
      <w:r>
        <w:rPr>
          <w:kern w:val="0"/>
        </w:rPr>
        <w:t>fibrates when it remains higher than 160 mg/dl in secondary prevention</w:t>
      </w:r>
      <w:r w:rsidR="00A37C1D">
        <w:rPr>
          <w:kern w:val="0"/>
        </w:rPr>
        <w:t>. The</w:t>
      </w:r>
      <w:r w:rsidR="003A1917">
        <w:rPr>
          <w:kern w:val="0"/>
        </w:rPr>
        <w:t xml:space="preserve"> </w:t>
      </w:r>
      <w:r>
        <w:rPr>
          <w:kern w:val="0"/>
        </w:rPr>
        <w:t>aim</w:t>
      </w:r>
      <w:r w:rsidR="00427468">
        <w:rPr>
          <w:kern w:val="0"/>
        </w:rPr>
        <w:t xml:space="preserve"> of </w:t>
      </w:r>
      <w:r>
        <w:rPr>
          <w:kern w:val="0"/>
        </w:rPr>
        <w:t>this study was to evaluate</w:t>
      </w:r>
      <w:r w:rsidR="003A1917">
        <w:rPr>
          <w:kern w:val="0"/>
        </w:rPr>
        <w:t xml:space="preserve"> the </w:t>
      </w:r>
      <w:r>
        <w:rPr>
          <w:kern w:val="0"/>
        </w:rPr>
        <w:t>changes in fasting lipoproteins levels among patients who wait for</w:t>
      </w:r>
      <w:r w:rsidR="003A1917">
        <w:rPr>
          <w:kern w:val="0"/>
        </w:rPr>
        <w:t xml:space="preserve"> the </w:t>
      </w:r>
      <w:r>
        <w:rPr>
          <w:kern w:val="0"/>
        </w:rPr>
        <w:t>reimbursement</w:t>
      </w:r>
      <w:r w:rsidR="00427468">
        <w:rPr>
          <w:kern w:val="0"/>
        </w:rPr>
        <w:t xml:space="preserve"> of </w:t>
      </w:r>
      <w:r>
        <w:rPr>
          <w:kern w:val="0"/>
        </w:rPr>
        <w:t>a lipid-lowering drug. Additionally,</w:t>
      </w:r>
      <w:r w:rsidR="003A1917">
        <w:rPr>
          <w:kern w:val="0"/>
        </w:rPr>
        <w:t xml:space="preserve"> the </w:t>
      </w:r>
      <w:r>
        <w:rPr>
          <w:kern w:val="0"/>
        </w:rPr>
        <w:t>parameters influencing</w:t>
      </w:r>
      <w:r w:rsidR="003A1917">
        <w:rPr>
          <w:kern w:val="0"/>
        </w:rPr>
        <w:t xml:space="preserve"> the </w:t>
      </w:r>
      <w:r>
        <w:rPr>
          <w:kern w:val="0"/>
        </w:rPr>
        <w:t>physicians</w:t>
      </w:r>
      <w:r w:rsidR="00700038">
        <w:rPr>
          <w:kern w:val="0"/>
        </w:rPr>
        <w:t>’</w:t>
      </w:r>
      <w:r>
        <w:rPr>
          <w:kern w:val="0"/>
        </w:rPr>
        <w:t xml:space="preserve"> choice to prescribe a statin or a fibrate were analysed. Methods: In total 286 first authorisations for</w:t>
      </w:r>
      <w:r w:rsidR="003A1917">
        <w:rPr>
          <w:kern w:val="0"/>
        </w:rPr>
        <w:t xml:space="preserve"> the </w:t>
      </w:r>
      <w:r>
        <w:rPr>
          <w:kern w:val="0"/>
        </w:rPr>
        <w:t>reimbursement</w:t>
      </w:r>
      <w:r w:rsidR="00427468">
        <w:rPr>
          <w:kern w:val="0"/>
        </w:rPr>
        <w:t xml:space="preserve"> of </w:t>
      </w:r>
      <w:r>
        <w:rPr>
          <w:kern w:val="0"/>
        </w:rPr>
        <w:t>lipid-lowering drugs were recorded during February</w:t>
      </w:r>
      <w:r w:rsidR="005853A9">
        <w:rPr>
          <w:kern w:val="0"/>
        </w:rPr>
        <w:t xml:space="preserve"> and </w:t>
      </w:r>
      <w:r>
        <w:rPr>
          <w:kern w:val="0"/>
        </w:rPr>
        <w:t>March</w:t>
      </w:r>
      <w:r w:rsidR="00427468">
        <w:rPr>
          <w:kern w:val="0"/>
        </w:rPr>
        <w:t xml:space="preserve"> of </w:t>
      </w:r>
      <w:r>
        <w:rPr>
          <w:kern w:val="0"/>
        </w:rPr>
        <w:t>2002 at two regional health insurance offices. We studied a mixed primary</w:t>
      </w:r>
      <w:r w:rsidR="005853A9">
        <w:rPr>
          <w:kern w:val="0"/>
        </w:rPr>
        <w:t xml:space="preserve"> and </w:t>
      </w:r>
      <w:r>
        <w:rPr>
          <w:kern w:val="0"/>
        </w:rPr>
        <w:t>secondary prevention population. Results:</w:t>
      </w:r>
      <w:r w:rsidR="003A1917">
        <w:rPr>
          <w:kern w:val="0"/>
        </w:rPr>
        <w:t xml:space="preserve"> the </w:t>
      </w:r>
      <w:r>
        <w:rPr>
          <w:kern w:val="0"/>
        </w:rPr>
        <w:t>mean age at</w:t>
      </w:r>
      <w:r w:rsidR="003A1917">
        <w:rPr>
          <w:kern w:val="0"/>
        </w:rPr>
        <w:t xml:space="preserve"> the </w:t>
      </w:r>
      <w:r>
        <w:rPr>
          <w:kern w:val="0"/>
        </w:rPr>
        <w:t>initiation</w:t>
      </w:r>
      <w:r w:rsidR="00427468">
        <w:rPr>
          <w:kern w:val="0"/>
        </w:rPr>
        <w:t xml:space="preserve"> of </w:t>
      </w:r>
      <w:r w:rsidR="003A1917">
        <w:rPr>
          <w:kern w:val="0"/>
        </w:rPr>
        <w:t xml:space="preserve">the </w:t>
      </w:r>
      <w:r>
        <w:rPr>
          <w:kern w:val="0"/>
        </w:rPr>
        <w:t>treatment was 61 years (SD=12). Mean fasting TC was 285 mg/dl before</w:t>
      </w:r>
      <w:r w:rsidR="003A1917">
        <w:rPr>
          <w:kern w:val="0"/>
        </w:rPr>
        <w:t xml:space="preserve"> the </w:t>
      </w:r>
      <w:r>
        <w:rPr>
          <w:kern w:val="0"/>
        </w:rPr>
        <w:t>diet</w:t>
      </w:r>
      <w:r w:rsidR="005853A9">
        <w:rPr>
          <w:kern w:val="0"/>
        </w:rPr>
        <w:t xml:space="preserve"> and </w:t>
      </w:r>
      <w:r>
        <w:rPr>
          <w:kern w:val="0"/>
        </w:rPr>
        <w:t>286 mg/dl after</w:t>
      </w:r>
      <w:r w:rsidR="003A1917">
        <w:rPr>
          <w:kern w:val="0"/>
        </w:rPr>
        <w:t xml:space="preserve"> the </w:t>
      </w:r>
      <w:r>
        <w:rPr>
          <w:kern w:val="0"/>
        </w:rPr>
        <w:t>diet. Fasting TC</w:t>
      </w:r>
      <w:r w:rsidR="005853A9">
        <w:rPr>
          <w:kern w:val="0"/>
        </w:rPr>
        <w:t xml:space="preserve"> and </w:t>
      </w:r>
      <w:r>
        <w:rPr>
          <w:kern w:val="0"/>
        </w:rPr>
        <w:t>TG did not decrease with</w:t>
      </w:r>
      <w:r w:rsidR="003A1917">
        <w:rPr>
          <w:kern w:val="0"/>
        </w:rPr>
        <w:t xml:space="preserve"> the </w:t>
      </w:r>
      <w:r>
        <w:rPr>
          <w:kern w:val="0"/>
        </w:rPr>
        <w:t>diet for respectively 51%</w:t>
      </w:r>
      <w:r w:rsidR="005853A9">
        <w:rPr>
          <w:kern w:val="0"/>
        </w:rPr>
        <w:t xml:space="preserve"> and </w:t>
      </w:r>
      <w:r>
        <w:rPr>
          <w:kern w:val="0"/>
        </w:rPr>
        <w:t>54%</w:t>
      </w:r>
      <w:r w:rsidR="00427468">
        <w:rPr>
          <w:kern w:val="0"/>
        </w:rPr>
        <w:t xml:space="preserve"> of </w:t>
      </w:r>
      <w:r w:rsidR="003A1917">
        <w:rPr>
          <w:kern w:val="0"/>
        </w:rPr>
        <w:t xml:space="preserve">the </w:t>
      </w:r>
      <w:r>
        <w:rPr>
          <w:kern w:val="0"/>
        </w:rPr>
        <w:t>patients. High TC</w:t>
      </w:r>
      <w:r w:rsidR="005853A9">
        <w:rPr>
          <w:kern w:val="0"/>
        </w:rPr>
        <w:t xml:space="preserve"> and </w:t>
      </w:r>
      <w:r>
        <w:rPr>
          <w:kern w:val="0"/>
        </w:rPr>
        <w:t>an improvement</w:t>
      </w:r>
      <w:r w:rsidR="00427468">
        <w:rPr>
          <w:kern w:val="0"/>
        </w:rPr>
        <w:t xml:space="preserve"> of </w:t>
      </w:r>
      <w:r>
        <w:rPr>
          <w:kern w:val="0"/>
        </w:rPr>
        <w:t>TG during</w:t>
      </w:r>
      <w:r w:rsidR="003A1917">
        <w:rPr>
          <w:kern w:val="0"/>
        </w:rPr>
        <w:t xml:space="preserve"> the </w:t>
      </w:r>
      <w:r>
        <w:rPr>
          <w:kern w:val="0"/>
        </w:rPr>
        <w:t>diet were</w:t>
      </w:r>
      <w:r w:rsidR="003A1917">
        <w:rPr>
          <w:kern w:val="0"/>
        </w:rPr>
        <w:t xml:space="preserve"> the </w:t>
      </w:r>
      <w:r>
        <w:rPr>
          <w:kern w:val="0"/>
        </w:rPr>
        <w:t>only two factors correlated with</w:t>
      </w:r>
      <w:r w:rsidR="003A1917">
        <w:rPr>
          <w:kern w:val="0"/>
        </w:rPr>
        <w:t xml:space="preserve"> the </w:t>
      </w:r>
      <w:r>
        <w:rPr>
          <w:kern w:val="0"/>
        </w:rPr>
        <w:t>prescription</w:t>
      </w:r>
      <w:r w:rsidR="00427468">
        <w:rPr>
          <w:kern w:val="0"/>
        </w:rPr>
        <w:t xml:space="preserve"> of </w:t>
      </w:r>
      <w:r>
        <w:rPr>
          <w:kern w:val="0"/>
        </w:rPr>
        <w:t>a statin instead</w:t>
      </w:r>
      <w:r w:rsidR="00427468">
        <w:rPr>
          <w:kern w:val="0"/>
        </w:rPr>
        <w:t xml:space="preserve"> of </w:t>
      </w:r>
      <w:r>
        <w:rPr>
          <w:kern w:val="0"/>
        </w:rPr>
        <w:t>a fibrate. Conclusions: Half</w:t>
      </w:r>
      <w:r w:rsidR="00427468">
        <w:rPr>
          <w:kern w:val="0"/>
        </w:rPr>
        <w:t xml:space="preserve"> of </w:t>
      </w:r>
      <w:r w:rsidR="003A1917">
        <w:rPr>
          <w:kern w:val="0"/>
        </w:rPr>
        <w:t xml:space="preserve">the </w:t>
      </w:r>
      <w:r>
        <w:rPr>
          <w:kern w:val="0"/>
        </w:rPr>
        <w:t>patients receiving lipid-lowering drugs in Belgium were not able to decrease their TC with diet before</w:t>
      </w:r>
      <w:r w:rsidR="003A1917">
        <w:rPr>
          <w:kern w:val="0"/>
        </w:rPr>
        <w:t xml:space="preserve"> the </w:t>
      </w:r>
      <w:r>
        <w:rPr>
          <w:kern w:val="0"/>
        </w:rPr>
        <w:t>initiation</w:t>
      </w:r>
      <w:r w:rsidR="00427468">
        <w:rPr>
          <w:kern w:val="0"/>
        </w:rPr>
        <w:t xml:space="preserve"> of </w:t>
      </w:r>
      <w:r w:rsidR="003A1917">
        <w:rPr>
          <w:kern w:val="0"/>
        </w:rPr>
        <w:t xml:space="preserve">the </w:t>
      </w:r>
      <w:r>
        <w:rPr>
          <w:kern w:val="0"/>
        </w:rPr>
        <w:t>treatment. Cardiovascular risk factors were not taken into account for</w:t>
      </w:r>
      <w:r w:rsidR="003A1917">
        <w:rPr>
          <w:kern w:val="0"/>
        </w:rPr>
        <w:t xml:space="preserve"> the </w:t>
      </w:r>
      <w:r>
        <w:rPr>
          <w:kern w:val="0"/>
        </w:rPr>
        <w:t>reimbursement</w:t>
      </w:r>
      <w:r w:rsidR="00427468">
        <w:rPr>
          <w:kern w:val="0"/>
        </w:rPr>
        <w:t xml:space="preserve"> of </w:t>
      </w:r>
      <w:r>
        <w:rPr>
          <w:kern w:val="0"/>
        </w:rPr>
        <w:t>statins. Belgian reimbursement criteria should be adapted.</w:t>
      </w:r>
    </w:p>
    <w:p w:rsidR="00CD1332" w:rsidRDefault="00CD1332" w:rsidP="00CD1332">
      <w:pPr>
        <w:pStyle w:val="a3"/>
        <w:rPr>
          <w:kern w:val="0"/>
        </w:rPr>
      </w:pPr>
      <w:r>
        <w:rPr>
          <w:kern w:val="0"/>
        </w:rPr>
        <w:t>Keywords: Belgium, Cholesterol, Cholesterol, Coronary-Heart-Disease, Diet, Drug Therapy, Hyperlipidemia, Prevention, Program, Treatment, Treatment Guidelines</w:t>
      </w:r>
    </w:p>
    <w:p w:rsidR="00B600BA" w:rsidRPr="00217FB1" w:rsidRDefault="00B600BA" w:rsidP="00B600BA">
      <w:pPr>
        <w:pStyle w:val="1"/>
      </w:pPr>
      <w:r w:rsidRPr="00217FB1">
        <w:br w:type="page"/>
      </w:r>
      <w:bookmarkStart w:id="57" w:name="_Toc420814256"/>
      <w:r w:rsidRPr="00217FB1">
        <w:lastRenderedPageBreak/>
        <w:t xml:space="preserve">Title: </w:t>
      </w:r>
      <w:r w:rsidRPr="001A1B38">
        <w:rPr>
          <w:iCs w:val="0"/>
        </w:rPr>
        <w:t>Acta Clinica Croatica</w:t>
      </w:r>
      <w:bookmarkEnd w:id="57"/>
    </w:p>
    <w:p w:rsidR="00B600BA" w:rsidRPr="00217FB1" w:rsidRDefault="00B600BA" w:rsidP="00B600BA">
      <w:pPr>
        <w:pStyle w:val="12"/>
      </w:pPr>
      <w:r w:rsidRPr="00217FB1">
        <w:t xml:space="preserve">Full Journal Title: </w:t>
      </w:r>
      <w:r w:rsidRPr="001A1B38">
        <w:rPr>
          <w:iCs/>
          <w:kern w:val="0"/>
        </w:rPr>
        <w:t>Acta Clinica Croatica</w:t>
      </w:r>
    </w:p>
    <w:p w:rsidR="00B600BA" w:rsidRPr="00217FB1" w:rsidRDefault="00B600BA" w:rsidP="00B600BA">
      <w:pPr>
        <w:pStyle w:val="12"/>
      </w:pPr>
      <w:r w:rsidRPr="00217FB1">
        <w:t xml:space="preserve">ISO Abbreviated Title: </w:t>
      </w:r>
    </w:p>
    <w:p w:rsidR="00B600BA" w:rsidRPr="00217FB1" w:rsidRDefault="00B600BA" w:rsidP="00B600BA">
      <w:pPr>
        <w:pStyle w:val="12"/>
      </w:pPr>
      <w:r w:rsidRPr="00217FB1">
        <w:t>JCR Abbreviated Title</w:t>
      </w:r>
      <w:r>
        <w:t>:</w:t>
      </w:r>
      <w:r w:rsidRPr="00217FB1">
        <w:t xml:space="preserve"> </w:t>
      </w:r>
    </w:p>
    <w:p w:rsidR="00B600BA" w:rsidRPr="00217FB1" w:rsidRDefault="00B600BA" w:rsidP="00B600BA">
      <w:pPr>
        <w:pStyle w:val="12"/>
      </w:pPr>
      <w:r w:rsidRPr="00217FB1">
        <w:t xml:space="preserve">ISSN: </w:t>
      </w:r>
    </w:p>
    <w:p w:rsidR="00B600BA" w:rsidRPr="00217FB1" w:rsidRDefault="00B600BA" w:rsidP="00B600BA">
      <w:pPr>
        <w:pStyle w:val="12"/>
      </w:pPr>
      <w:r w:rsidRPr="00217FB1">
        <w:t xml:space="preserve">Issues/Year: </w:t>
      </w:r>
    </w:p>
    <w:p w:rsidR="00B600BA" w:rsidRPr="00217FB1" w:rsidRDefault="00B600BA" w:rsidP="00B600BA">
      <w:pPr>
        <w:pStyle w:val="12"/>
      </w:pPr>
      <w:r>
        <w:t xml:space="preserve">Journal Country/Territory: </w:t>
      </w:r>
    </w:p>
    <w:p w:rsidR="00B600BA" w:rsidRPr="00217FB1" w:rsidRDefault="00B600BA" w:rsidP="00B600BA">
      <w:pPr>
        <w:pStyle w:val="12"/>
      </w:pPr>
      <w:r w:rsidRPr="00217FB1">
        <w:t xml:space="preserve">Language: </w:t>
      </w:r>
    </w:p>
    <w:p w:rsidR="00B600BA" w:rsidRPr="00217FB1" w:rsidRDefault="00B600BA" w:rsidP="00B600BA">
      <w:pPr>
        <w:pStyle w:val="12"/>
      </w:pPr>
      <w:r w:rsidRPr="00217FB1">
        <w:t xml:space="preserve">Publisher: </w:t>
      </w:r>
    </w:p>
    <w:p w:rsidR="00B600BA" w:rsidRPr="00217FB1" w:rsidRDefault="00B600BA" w:rsidP="00B600BA">
      <w:pPr>
        <w:pStyle w:val="12"/>
      </w:pPr>
      <w:r w:rsidRPr="00217FB1">
        <w:t xml:space="preserve">Publisher Address: </w:t>
      </w:r>
    </w:p>
    <w:p w:rsidR="00B600BA" w:rsidRPr="00217FB1" w:rsidRDefault="00B600BA" w:rsidP="00B600BA">
      <w:pPr>
        <w:pStyle w:val="12"/>
      </w:pPr>
      <w:r w:rsidRPr="00217FB1">
        <w:t>Subject Categories:</w:t>
      </w:r>
    </w:p>
    <w:p w:rsidR="00B600BA" w:rsidRPr="00217FB1" w:rsidRDefault="00B600BA" w:rsidP="00B600BA">
      <w:pPr>
        <w:pStyle w:val="12"/>
      </w:pPr>
      <w:r w:rsidRPr="00217FB1">
        <w:t xml:space="preserve">: Impact Factor </w:t>
      </w:r>
    </w:p>
    <w:p w:rsidR="00B600BA" w:rsidRDefault="00B600BA" w:rsidP="00B600BA">
      <w:pPr>
        <w:pStyle w:val="a3"/>
        <w:rPr>
          <w:kern w:val="0"/>
        </w:rPr>
      </w:pPr>
      <w:r>
        <w:rPr>
          <w:rFonts w:hint="eastAsia"/>
          <w:kern w:val="0"/>
        </w:rPr>
        <w:t xml:space="preserve">? </w:t>
      </w:r>
      <w:r>
        <w:rPr>
          <w:kern w:val="0"/>
        </w:rPr>
        <w:t xml:space="preserve">Ramljak, G. (2014), Acta clinica croatica: Progress of a journal step by step. </w:t>
      </w:r>
      <w:r w:rsidRPr="001A1B38">
        <w:rPr>
          <w:i/>
          <w:iCs/>
          <w:kern w:val="0"/>
        </w:rPr>
        <w:t>Acta Clinica Croatica</w:t>
      </w:r>
      <w:r>
        <w:rPr>
          <w:kern w:val="0"/>
        </w:rPr>
        <w:t xml:space="preserve">, </w:t>
      </w:r>
      <w:r>
        <w:rPr>
          <w:b/>
          <w:bCs/>
          <w:kern w:val="0"/>
        </w:rPr>
        <w:t>53</w:t>
      </w:r>
      <w:r>
        <w:rPr>
          <w:kern w:val="0"/>
        </w:rPr>
        <w:t xml:space="preserve"> (1), 37-43.</w:t>
      </w:r>
    </w:p>
    <w:p w:rsidR="00B600BA" w:rsidRDefault="00B600BA" w:rsidP="00B600BA">
      <w:pPr>
        <w:pStyle w:val="a3"/>
        <w:rPr>
          <w:kern w:val="0"/>
        </w:rPr>
      </w:pPr>
      <w:r>
        <w:rPr>
          <w:rFonts w:hint="eastAsia"/>
          <w:kern w:val="0"/>
        </w:rPr>
        <w:t>Full Text: 1999</w:t>
      </w:r>
      <w:r>
        <w:rPr>
          <w:kern w:val="0"/>
        </w:rPr>
        <w:t xml:space="preserve">\Act Cli </w:t>
      </w:r>
      <w:r>
        <w:rPr>
          <w:rFonts w:hint="eastAsia"/>
          <w:kern w:val="0"/>
        </w:rPr>
        <w:t>Cr053</w:t>
      </w:r>
      <w:r>
        <w:rPr>
          <w:kern w:val="0"/>
        </w:rPr>
        <w:t xml:space="preserve">, </w:t>
      </w:r>
      <w:r>
        <w:rPr>
          <w:rFonts w:hint="eastAsia"/>
          <w:kern w:val="0"/>
        </w:rPr>
        <w:t>37</w:t>
      </w:r>
      <w:r w:rsidRPr="00F4686D">
        <w:rPr>
          <w:kern w:val="0"/>
        </w:rPr>
        <w:t>.pdf</w:t>
      </w:r>
    </w:p>
    <w:p w:rsidR="00B600BA" w:rsidRDefault="00B600BA" w:rsidP="00B600BA">
      <w:pPr>
        <w:pStyle w:val="a3"/>
        <w:rPr>
          <w:kern w:val="0"/>
        </w:rPr>
      </w:pPr>
      <w:r>
        <w:rPr>
          <w:kern w:val="0"/>
        </w:rPr>
        <w:t>Abstract: The journal Acta Clinica Croatica (ACC) was founded in 1962 under the title Anali Bolnice Dr. M. Stojanovic In 1995, the title of the journal was changed into its present form and ever since all papers have been published in English. In 2000, the electronic (online) edition of the ACC was released in addition to the print version</w:t>
      </w:r>
      <w:r w:rsidR="00A37C1D">
        <w:rPr>
          <w:kern w:val="0"/>
        </w:rPr>
        <w:t>. The</w:t>
      </w:r>
      <w:r>
        <w:rPr>
          <w:kern w:val="0"/>
        </w:rPr>
        <w:t xml:space="preserve"> paper presents development of the journal from 1962 to 2012 based on the analysis of the following SCOPUS citation index parameters: type and number of documents published in the journal; number of citations; and number of domestic and foreign authors</w:t>
      </w:r>
      <w:r w:rsidR="00A37C1D">
        <w:rPr>
          <w:kern w:val="0"/>
        </w:rPr>
        <w:t>. The</w:t>
      </w:r>
      <w:r>
        <w:rPr>
          <w:kern w:val="0"/>
        </w:rPr>
        <w:t xml:space="preserve"> studied period was analyzed in three time segments: the period from 1995 to 1999, the period from 2000 to 2006 and the period from 2007 to 2012</w:t>
      </w:r>
      <w:r w:rsidR="00A37C1D">
        <w:rPr>
          <w:kern w:val="0"/>
        </w:rPr>
        <w:t>. The</w:t>
      </w:r>
      <w:r>
        <w:rPr>
          <w:kern w:val="0"/>
        </w:rPr>
        <w:t xml:space="preserve"> same parameters were analyzed in the Web of Science/SCI-Expanded bibliographic and citation index for the 2007-2012 period</w:t>
      </w:r>
      <w:r w:rsidR="00A37C1D">
        <w:rPr>
          <w:kern w:val="0"/>
        </w:rPr>
        <w:t>. The</w:t>
      </w:r>
      <w:r>
        <w:rPr>
          <w:kern w:val="0"/>
        </w:rPr>
        <w:t xml:space="preserve"> increasing number of documents, authors (both domestic and foreign) and citations demonstrates gradual rise in the quality, visibility and impact of the journal</w:t>
      </w:r>
      <w:r w:rsidR="00A37C1D">
        <w:rPr>
          <w:kern w:val="0"/>
        </w:rPr>
        <w:t>. The</w:t>
      </w:r>
      <w:r>
        <w:rPr>
          <w:kern w:val="0"/>
        </w:rPr>
        <w:t xml:space="preserve"> fifty years of experience show that a goal, at first very distant and almost unachievable, may be reached by progressing step by step.</w:t>
      </w:r>
    </w:p>
    <w:p w:rsidR="00B600BA" w:rsidRDefault="00B600BA" w:rsidP="00B600BA">
      <w:pPr>
        <w:pStyle w:val="a3"/>
        <w:rPr>
          <w:kern w:val="0"/>
        </w:rPr>
      </w:pPr>
      <w:r>
        <w:rPr>
          <w:kern w:val="0"/>
        </w:rPr>
        <w:t>Keywords: Analysis, Authors, Bibliographic, Bibliometrics, Citation, Citation Index, Citations, Croatia, Development, Documents, English, Experience, First, Impact, Index, Indexing, Journal, Mar, Medical Journals, Online, Papers, Publishing, Quality, Scopus, Version, Visibility</w:t>
      </w:r>
    </w:p>
    <w:p w:rsidR="003474F2" w:rsidRPr="001A3D2B" w:rsidRDefault="003474F2" w:rsidP="003474F2">
      <w:pPr>
        <w:pStyle w:val="1"/>
      </w:pPr>
      <w:r w:rsidRPr="001A3D2B">
        <w:br w:type="page"/>
      </w:r>
      <w:bookmarkStart w:id="58" w:name="_Toc54840407"/>
      <w:bookmarkStart w:id="59" w:name="_Toc81215573"/>
      <w:bookmarkStart w:id="60" w:name="_Toc420814257"/>
      <w:r w:rsidRPr="001A3D2B">
        <w:lastRenderedPageBreak/>
        <w:t>Title: Acta Crystallographica Section A</w:t>
      </w:r>
      <w:bookmarkEnd w:id="58"/>
      <w:bookmarkEnd w:id="59"/>
      <w:bookmarkEnd w:id="60"/>
    </w:p>
    <w:p w:rsidR="003474F2" w:rsidRPr="001A3D2B" w:rsidRDefault="003474F2" w:rsidP="003474F2">
      <w:pPr>
        <w:pStyle w:val="12"/>
      </w:pPr>
      <w:r w:rsidRPr="001A3D2B">
        <w:t xml:space="preserve">Full Journal Title: </w:t>
      </w:r>
      <w:hyperlink r:id="rId123" w:history="1">
        <w:r w:rsidRPr="001A3D2B">
          <w:rPr>
            <w:rStyle w:val="a5"/>
          </w:rPr>
          <w:t>Acta Crystallographica Section A</w:t>
        </w:r>
      </w:hyperlink>
      <w:r w:rsidRPr="001A3D2B">
        <w:t xml:space="preserve">; </w:t>
      </w:r>
      <w:hyperlink r:id="rId124" w:history="1">
        <w:r w:rsidRPr="001A3D2B">
          <w:rPr>
            <w:rStyle w:val="a5"/>
          </w:rPr>
          <w:t>Acta Crystallographica Section A</w:t>
        </w:r>
      </w:hyperlink>
      <w:r w:rsidRPr="001A3D2B">
        <w:t xml:space="preserve">; </w:t>
      </w:r>
      <w:hyperlink r:id="rId125" w:history="1">
        <w:r w:rsidRPr="001A3D2B">
          <w:rPr>
            <w:rStyle w:val="a5"/>
          </w:rPr>
          <w:t>Acta Crystallographica Section A</w:t>
        </w:r>
      </w:hyperlink>
    </w:p>
    <w:p w:rsidR="003474F2" w:rsidRPr="001A3D2B" w:rsidRDefault="003474F2" w:rsidP="003474F2">
      <w:pPr>
        <w:pStyle w:val="12"/>
      </w:pPr>
      <w:r w:rsidRPr="001A3D2B">
        <w:t>ISO Abbreviated Title: Acta crystallogr. Sect. A</w:t>
      </w:r>
    </w:p>
    <w:p w:rsidR="003474F2" w:rsidRPr="001A3D2B" w:rsidRDefault="003474F2" w:rsidP="003474F2">
      <w:pPr>
        <w:pStyle w:val="12"/>
      </w:pPr>
      <w:r w:rsidRPr="001A3D2B">
        <w:t>JCR Abbreviated Title: Acta Crystallogr A</w:t>
      </w:r>
    </w:p>
    <w:p w:rsidR="003474F2" w:rsidRPr="001A3D2B" w:rsidRDefault="003474F2" w:rsidP="003474F2">
      <w:pPr>
        <w:pStyle w:val="12"/>
      </w:pPr>
      <w:r w:rsidRPr="001A3D2B">
        <w:t>ISSN: 0108-7673</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Denmark</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Blackwell Munksgaard</w:t>
      </w:r>
    </w:p>
    <w:p w:rsidR="003474F2" w:rsidRPr="001A3D2B" w:rsidRDefault="003474F2" w:rsidP="003474F2">
      <w:pPr>
        <w:pStyle w:val="12"/>
      </w:pPr>
      <w:r w:rsidRPr="001A3D2B">
        <w:t xml:space="preserve">Publisher Address: 35 Norre Sogade, </w:t>
      </w:r>
      <w:smartTag w:uri="urn:schemas-microsoft-com:office:smarttags" w:element="address">
        <w:smartTag w:uri="urn:schemas-microsoft-com:office:smarttags" w:element="Street">
          <w:r w:rsidRPr="001A3D2B">
            <w:t>PO Box</w:t>
          </w:r>
        </w:smartTag>
        <w:r w:rsidRPr="001A3D2B">
          <w:t xml:space="preserve"> 2148</w:t>
        </w:r>
      </w:smartTag>
      <w:r w:rsidRPr="001A3D2B">
        <w:t xml:space="preserve">, DK-1016 </w:t>
      </w:r>
      <w:smartTag w:uri="urn:schemas-microsoft-com:office:smarttags" w:element="place">
        <w:smartTag w:uri="urn:schemas-microsoft-com:office:smarttags" w:element="City">
          <w:r w:rsidRPr="001A3D2B">
            <w:t>Copenhagen</w:t>
          </w:r>
        </w:smartTag>
        <w:r w:rsidRPr="001A3D2B">
          <w:t xml:space="preserve">, </w:t>
        </w:r>
        <w:smartTag w:uri="urn:schemas-microsoft-com:office:smarttags" w:element="country-region">
          <w:r w:rsidRPr="001A3D2B">
            <w:t>Denmark</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Crystallography: Impact Factor 1.417,/</w:t>
      </w:r>
    </w:p>
    <w:p w:rsidR="003474F2" w:rsidRPr="001A3D2B" w:rsidRDefault="003474F2" w:rsidP="003474F2">
      <w:pPr>
        <w:pStyle w:val="a3"/>
      </w:pPr>
      <w:r w:rsidRPr="001A3D2B">
        <w:t>Notes: TTopic</w:t>
      </w:r>
    </w:p>
    <w:p w:rsidR="003474F2" w:rsidRPr="001A3D2B" w:rsidRDefault="003474F2" w:rsidP="003474F2">
      <w:pPr>
        <w:pStyle w:val="a3"/>
      </w:pPr>
      <w:r w:rsidRPr="001A3D2B">
        <w:t>Hawkins, D.T. (1980), Crystallographic literature: A bibliometric</w:t>
      </w:r>
      <w:r w:rsidR="005853A9">
        <w:t xml:space="preserve"> and </w:t>
      </w:r>
      <w:r w:rsidRPr="001A3D2B">
        <w:t xml:space="preserve">citation analysis. </w:t>
      </w:r>
      <w:r w:rsidRPr="001A3D2B">
        <w:rPr>
          <w:i/>
          <w:iCs/>
        </w:rPr>
        <w:t>Acta Crystallographica Section A</w:t>
      </w:r>
      <w:r w:rsidRPr="001A3D2B">
        <w:t xml:space="preserve">, </w:t>
      </w:r>
      <w:r w:rsidRPr="001A3D2B">
        <w:rPr>
          <w:b/>
        </w:rPr>
        <w:t>36</w:t>
      </w:r>
      <w:r w:rsidRPr="001A3D2B">
        <w:t xml:space="preserve"> (3), 475-482.</w:t>
      </w:r>
    </w:p>
    <w:p w:rsidR="0039485A" w:rsidRPr="00F219CA" w:rsidRDefault="0039485A" w:rsidP="0039485A">
      <w:pPr>
        <w:pStyle w:val="a3"/>
      </w:pPr>
      <w:r w:rsidRPr="00F219CA">
        <w:t xml:space="preserve">Full Text: </w:t>
      </w:r>
      <w:hyperlink r:id="rId126" w:history="1">
        <w:r w:rsidRPr="00F567F1">
          <w:rPr>
            <w:rStyle w:val="a5"/>
          </w:rPr>
          <w:t>1960-80\Act Cry Sec A36, 475.pdf</w:t>
        </w:r>
      </w:hyperlink>
    </w:p>
    <w:p w:rsidR="003474F2" w:rsidRPr="001A3D2B" w:rsidRDefault="003474F2" w:rsidP="003474F2">
      <w:pPr>
        <w:pStyle w:val="a3"/>
      </w:pPr>
      <w:r w:rsidRPr="001A3D2B">
        <w:t>Abstract: Citation analysis has been widely used to quantify</w:t>
      </w:r>
      <w:r w:rsidR="003A1917">
        <w:t xml:space="preserve"> the </w:t>
      </w:r>
      <w:r w:rsidRPr="001A3D2B">
        <w:t>influence</w:t>
      </w:r>
      <w:r w:rsidR="00427468">
        <w:t xml:space="preserve"> of </w:t>
      </w:r>
      <w:r w:rsidRPr="001A3D2B">
        <w:t>research articles on</w:t>
      </w:r>
      <w:r w:rsidR="003A1917">
        <w:t xml:space="preserve"> the </w:t>
      </w:r>
      <w:r w:rsidRPr="001A3D2B">
        <w:t>development</w:t>
      </w:r>
      <w:r w:rsidR="00427468">
        <w:t xml:space="preserve"> of </w:t>
      </w:r>
      <w:r w:rsidRPr="001A3D2B">
        <w:t>science. This paper reports a citation analysis</w:t>
      </w:r>
      <w:r w:rsidR="00427468">
        <w:t xml:space="preserve"> of </w:t>
      </w:r>
      <w:r w:rsidRPr="001A3D2B">
        <w:t>ten highly cited papers associated with</w:t>
      </w:r>
      <w:r w:rsidR="003A1917">
        <w:t xml:space="preserve"> the </w:t>
      </w:r>
      <w:r w:rsidRPr="001A3D2B">
        <w:t>Cambridge Crystallographic Data Centre (CCDC), covering</w:t>
      </w:r>
      <w:r w:rsidR="003A1917">
        <w:t xml:space="preserve"> the </w:t>
      </w:r>
      <w:r w:rsidRPr="001A3D2B">
        <w:t>variation</w:t>
      </w:r>
      <w:r w:rsidR="00427468">
        <w:t xml:space="preserve"> of </w:t>
      </w:r>
      <w:r w:rsidRPr="001A3D2B">
        <w:t>citation with time,</w:t>
      </w:r>
      <w:r w:rsidR="003A1917">
        <w:t xml:space="preserve"> the </w:t>
      </w:r>
      <w:r w:rsidRPr="001A3D2B">
        <w:t>journals in which citations occur,</w:t>
      </w:r>
      <w:r w:rsidR="005853A9">
        <w:t xml:space="preserve"> and </w:t>
      </w:r>
      <w:r w:rsidR="003A1917">
        <w:t xml:space="preserve">the </w:t>
      </w:r>
      <w:r w:rsidRPr="001A3D2B">
        <w:t>types</w:t>
      </w:r>
      <w:r w:rsidR="00427468">
        <w:t xml:space="preserve"> of </w:t>
      </w:r>
      <w:r w:rsidRPr="001A3D2B">
        <w:t>organization</w:t>
      </w:r>
      <w:r w:rsidR="005853A9">
        <w:t xml:space="preserve"> and </w:t>
      </w:r>
      <w:r w:rsidR="003A1917">
        <w:t xml:space="preserve">the </w:t>
      </w:r>
      <w:r w:rsidRPr="001A3D2B">
        <w:t>geographic regions that use</w:t>
      </w:r>
      <w:r w:rsidR="003A1917">
        <w:t xml:space="preserve"> the </w:t>
      </w:r>
      <w:r w:rsidRPr="001A3D2B">
        <w:t>Cambridge Structural Database</w:t>
      </w:r>
      <w:r w:rsidR="00A37C1D">
        <w:t>. The</w:t>
      </w:r>
      <w:r w:rsidR="003A1917">
        <w:t xml:space="preserve"> </w:t>
      </w:r>
      <w:r w:rsidRPr="001A3D2B">
        <w:t>ten most highly cited papers, comprising four database descriptions (CSD), two geometrical tabulations (TAB)</w:t>
      </w:r>
      <w:r w:rsidR="005853A9">
        <w:t xml:space="preserve"> and </w:t>
      </w:r>
      <w:r w:rsidRPr="001A3D2B">
        <w:t>four basic research papers (RES), received a total</w:t>
      </w:r>
      <w:r w:rsidR="00427468">
        <w:t xml:space="preserve"> of </w:t>
      </w:r>
      <w:r w:rsidRPr="001A3D2B">
        <w:t>8494 citations over</w:t>
      </w:r>
      <w:r w:rsidR="003A1917">
        <w:t xml:space="preserve"> the </w:t>
      </w:r>
      <w:r w:rsidRPr="001A3D2B">
        <w:t>period 1981-1998, with more than half</w:t>
      </w:r>
      <w:r w:rsidR="00427468">
        <w:t xml:space="preserve"> of </w:t>
      </w:r>
      <w:r w:rsidRPr="001A3D2B">
        <w:t>these citations occurring in</w:t>
      </w:r>
      <w:r w:rsidR="003A1917">
        <w:t xml:space="preserve"> the </w:t>
      </w:r>
      <w:r w:rsidRPr="001A3D2B">
        <w:t>literature published from 1995 onwards</w:t>
      </w:r>
      <w:r w:rsidR="00A37C1D">
        <w:t>. The</w:t>
      </w:r>
      <w:r w:rsidR="003A1917">
        <w:t xml:space="preserve"> </w:t>
      </w:r>
      <w:r w:rsidRPr="001A3D2B">
        <w:t>high citation rates</w:t>
      </w:r>
      <w:r w:rsidR="00427468">
        <w:t xml:space="preserve"> of </w:t>
      </w:r>
      <w:r w:rsidR="003A1917">
        <w:t xml:space="preserve">the </w:t>
      </w:r>
      <w:r w:rsidRPr="001A3D2B">
        <w:t>database descriptions (3573</w:t>
      </w:r>
      <w:r w:rsidR="00427468">
        <w:t xml:space="preserve"> of </w:t>
      </w:r>
      <w:r w:rsidRPr="001A3D2B">
        <w:t>8494) indicate</w:t>
      </w:r>
      <w:r w:rsidR="003A1917">
        <w:t xml:space="preserve"> the </w:t>
      </w:r>
      <w:r w:rsidRPr="001A3D2B">
        <w:t>value</w:t>
      </w:r>
      <w:r w:rsidR="00427468">
        <w:t xml:space="preserve"> of </w:t>
      </w:r>
      <w:r w:rsidRPr="001A3D2B">
        <w:t>crystallographic data. However,</w:t>
      </w:r>
      <w:r w:rsidR="003A1917">
        <w:t xml:space="preserve"> the </w:t>
      </w:r>
      <w:r w:rsidRPr="001A3D2B">
        <w:t>large number</w:t>
      </w:r>
      <w:r w:rsidR="00427468">
        <w:t xml:space="preserve"> of </w:t>
      </w:r>
      <w:r w:rsidRPr="001A3D2B">
        <w:t>citations</w:t>
      </w:r>
      <w:r w:rsidR="00427468">
        <w:t xml:space="preserve"> of </w:t>
      </w:r>
      <w:r w:rsidR="003A1917">
        <w:t xml:space="preserve">the </w:t>
      </w:r>
      <w:r w:rsidRPr="001A3D2B">
        <w:t>geometrical tables (3172)</w:t>
      </w:r>
      <w:r w:rsidR="005853A9">
        <w:t xml:space="preserve"> and </w:t>
      </w:r>
      <w:r w:rsidR="003A1917">
        <w:t xml:space="preserve">the </w:t>
      </w:r>
      <w:r w:rsidRPr="001A3D2B">
        <w:t>research papers (1767) indicate that this value resides not just in</w:t>
      </w:r>
      <w:r w:rsidR="003A1917">
        <w:t xml:space="preserve"> the </w:t>
      </w:r>
      <w:r w:rsidRPr="001A3D2B">
        <w:t>raw data held in</w:t>
      </w:r>
      <w:r w:rsidR="003A1917">
        <w:t xml:space="preserve"> the </w:t>
      </w:r>
      <w:r w:rsidRPr="001A3D2B">
        <w:t>Cambridge Structural Database, but also in</w:t>
      </w:r>
      <w:r w:rsidR="003A1917">
        <w:t xml:space="preserve"> the </w:t>
      </w:r>
      <w:r w:rsidRPr="001A3D2B">
        <w:t>structural knowledge that can be derived from it. In</w:t>
      </w:r>
      <w:r w:rsidR="003A1917">
        <w:t xml:space="preserve"> the </w:t>
      </w:r>
      <w:r w:rsidRPr="001A3D2B">
        <w:t>most recent years covered by</w:t>
      </w:r>
      <w:r w:rsidR="003A1917">
        <w:t xml:space="preserve"> the </w:t>
      </w:r>
      <w:r w:rsidRPr="001A3D2B">
        <w:t>analysis (1995-1998</w:t>
      </w:r>
      <w:r w:rsidR="00F42EAC">
        <w:t>), The</w:t>
      </w:r>
      <w:r w:rsidRPr="001A3D2B">
        <w:t>se ten CCDC publications have received more than 1000 citations per annum (CSD 507, TAB 398</w:t>
      </w:r>
      <w:r w:rsidR="005853A9">
        <w:t xml:space="preserve"> and </w:t>
      </w:r>
      <w:r w:rsidRPr="001A3D2B">
        <w:t>RES 153 citations per annum)</w:t>
      </w:r>
      <w:r w:rsidR="005853A9">
        <w:t xml:space="preserve"> and </w:t>
      </w:r>
      <w:r w:rsidR="003A1917">
        <w:t xml:space="preserve">the </w:t>
      </w:r>
      <w:r w:rsidRPr="001A3D2B">
        <w:t>detailed analysis shows that these papers,</w:t>
      </w:r>
      <w:r w:rsidR="005853A9">
        <w:t xml:space="preserve"> and </w:t>
      </w:r>
      <w:r w:rsidR="003A1917">
        <w:t xml:space="preserve">the </w:t>
      </w:r>
      <w:r w:rsidRPr="001A3D2B">
        <w:t>data that they discuss, are used not only by crystallographers but also by researchers across</w:t>
      </w:r>
      <w:r w:rsidR="003A1917">
        <w:t xml:space="preserve"> the </w:t>
      </w:r>
      <w:r w:rsidRPr="001A3D2B">
        <w:t>entire range</w:t>
      </w:r>
      <w:r w:rsidR="00427468">
        <w:t xml:space="preserve"> of </w:t>
      </w:r>
      <w:r w:rsidR="003A1917">
        <w:t xml:space="preserve">the </w:t>
      </w:r>
      <w:r w:rsidRPr="001A3D2B">
        <w:t>chemical sciences.</w:t>
      </w:r>
    </w:p>
    <w:p w:rsidR="003474F2" w:rsidRPr="001A3D2B" w:rsidRDefault="003474F2" w:rsidP="003474F2">
      <w:pPr>
        <w:pStyle w:val="a3"/>
      </w:pPr>
      <w:r w:rsidRPr="001A3D2B">
        <w:t xml:space="preserve">Keywords: Citation Analysis, Information Science, Cambridge Crystallographic Data </w:t>
      </w:r>
      <w:r w:rsidRPr="001A3D2B">
        <w:lastRenderedPageBreak/>
        <w:t>Centre, Cambridge Structural Database</w:t>
      </w:r>
    </w:p>
    <w:p w:rsidR="003474F2" w:rsidRPr="001A3D2B" w:rsidRDefault="003474F2" w:rsidP="003474F2">
      <w:pPr>
        <w:pStyle w:val="1"/>
      </w:pPr>
      <w:r w:rsidRPr="001A3D2B">
        <w:br w:type="page"/>
      </w:r>
      <w:bookmarkStart w:id="61" w:name="_Toc420814258"/>
      <w:r w:rsidRPr="001A3D2B">
        <w:lastRenderedPageBreak/>
        <w:t>Title: Acta Crystallographica Section B-Structural Science</w:t>
      </w:r>
      <w:bookmarkEnd w:id="61"/>
    </w:p>
    <w:p w:rsidR="003474F2" w:rsidRPr="001A3D2B" w:rsidRDefault="003474F2" w:rsidP="003474F2">
      <w:pPr>
        <w:pStyle w:val="12"/>
      </w:pPr>
      <w:r w:rsidRPr="001A3D2B">
        <w:t xml:space="preserve">Full Journal Title: </w:t>
      </w:r>
      <w:hyperlink r:id="rId127" w:history="1">
        <w:r w:rsidRPr="001A3D2B">
          <w:rPr>
            <w:rStyle w:val="a5"/>
            <w:iCs/>
          </w:rPr>
          <w:t>Acta Crystallographica Section B-Structural Science</w:t>
        </w:r>
      </w:hyperlink>
    </w:p>
    <w:p w:rsidR="003474F2" w:rsidRPr="001A3D2B" w:rsidRDefault="003474F2" w:rsidP="003474F2">
      <w:pPr>
        <w:pStyle w:val="12"/>
      </w:pPr>
      <w:r w:rsidRPr="001A3D2B">
        <w:t>ISO Abbreviated Title: Acta crystallogr. Sect. B</w:t>
      </w:r>
    </w:p>
    <w:p w:rsidR="003474F2" w:rsidRPr="001A3D2B" w:rsidRDefault="003474F2" w:rsidP="003474F2">
      <w:pPr>
        <w:pStyle w:val="12"/>
      </w:pPr>
      <w:r w:rsidRPr="001A3D2B">
        <w:t>JCR Abbreviated Title: Acta Crystallogr B</w:t>
      </w:r>
    </w:p>
    <w:p w:rsidR="003474F2" w:rsidRPr="001A3D2B" w:rsidRDefault="003474F2" w:rsidP="003474F2">
      <w:pPr>
        <w:pStyle w:val="12"/>
      </w:pPr>
      <w:r w:rsidRPr="001A3D2B">
        <w:t>ISSN: 0108-7681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5E7956" w:rsidRPr="001A3D2B" w:rsidRDefault="00CE1D1C" w:rsidP="003474F2">
      <w:pPr>
        <w:pStyle w:val="a3"/>
      </w:pPr>
      <w:r>
        <w:t>Notes: TTopic</w:t>
      </w:r>
      <w:r>
        <w:rPr>
          <w:rFonts w:hint="eastAsia"/>
        </w:rPr>
        <w:t>, MModel</w:t>
      </w:r>
    </w:p>
    <w:p w:rsidR="003474F2" w:rsidRPr="001A3D2B" w:rsidRDefault="003474F2" w:rsidP="003474F2">
      <w:pPr>
        <w:pStyle w:val="a3"/>
      </w:pPr>
      <w:r w:rsidRPr="001A3D2B">
        <w:t>? Behrens, H.</w:t>
      </w:r>
      <w:r w:rsidR="005853A9">
        <w:t xml:space="preserve"> and </w:t>
      </w:r>
      <w:r w:rsidRPr="001A3D2B">
        <w:t xml:space="preserve">Luksch, P. (2006), A bibliometric study in crystallography. </w:t>
      </w:r>
      <w:r w:rsidRPr="001A3D2B">
        <w:rPr>
          <w:i/>
          <w:iCs/>
        </w:rPr>
        <w:t>Acta Crystallographica Section B-Structural Science</w:t>
      </w:r>
      <w:r w:rsidRPr="001A3D2B">
        <w:t xml:space="preserve">, </w:t>
      </w:r>
      <w:r w:rsidRPr="001A3D2B">
        <w:rPr>
          <w:b/>
          <w:bCs/>
        </w:rPr>
        <w:t>62</w:t>
      </w:r>
      <w:r w:rsidRPr="001A3D2B">
        <w:t>, 993-1001.</w:t>
      </w:r>
    </w:p>
    <w:p w:rsidR="003474F2" w:rsidRPr="001A3D2B" w:rsidRDefault="003474F2" w:rsidP="003474F2">
      <w:pPr>
        <w:pStyle w:val="a3"/>
      </w:pPr>
      <w:r w:rsidRPr="001A3D2B">
        <w:t xml:space="preserve">Full Text: </w:t>
      </w:r>
      <w:hyperlink r:id="rId128" w:history="1">
        <w:r w:rsidRPr="001A3D2B">
          <w:rPr>
            <w:rStyle w:val="a5"/>
          </w:rPr>
          <w:t>2006\Act Cry Sec B62, 993.pdf</w:t>
        </w:r>
      </w:hyperlink>
    </w:p>
    <w:p w:rsidR="003474F2" w:rsidRPr="001A3D2B" w:rsidRDefault="003474F2" w:rsidP="003474F2">
      <w:pPr>
        <w:pStyle w:val="a3"/>
      </w:pPr>
      <w:r w:rsidRPr="001A3D2B">
        <w:t>Abstract: This is an application</w:t>
      </w:r>
      <w:r w:rsidR="00427468">
        <w:t xml:space="preserve"> of </w:t>
      </w:r>
      <w:r w:rsidR="003A1917">
        <w:t xml:space="preserve">the </w:t>
      </w:r>
      <w:r w:rsidRPr="001A3D2B">
        <w:t>mathematical</w:t>
      </w:r>
      <w:r w:rsidR="005853A9">
        <w:t xml:space="preserve"> and </w:t>
      </w:r>
      <w:r w:rsidRPr="001A3D2B">
        <w:t>statistical techniques</w:t>
      </w:r>
      <w:r w:rsidR="00427468">
        <w:t xml:space="preserve"> of </w:t>
      </w:r>
      <w:r w:rsidRPr="001A3D2B">
        <w:t>bibliometrics to</w:t>
      </w:r>
      <w:r w:rsidR="003A1917">
        <w:t xml:space="preserve"> the </w:t>
      </w:r>
      <w:r w:rsidRPr="001A3D2B">
        <w:t>field</w:t>
      </w:r>
      <w:r w:rsidR="00427468">
        <w:t xml:space="preserve"> of </w:t>
      </w:r>
      <w:r w:rsidRPr="001A3D2B">
        <w:t>crystallography. This study is, however, restricted to inorganic compounds</w:t>
      </w:r>
      <w:r w:rsidR="00A37C1D">
        <w:t>. The</w:t>
      </w:r>
      <w:r w:rsidR="003A1917">
        <w:t xml:space="preserve"> </w:t>
      </w:r>
      <w:r w:rsidRPr="001A3D2B">
        <w:t>data were taken from</w:t>
      </w:r>
      <w:r w:rsidR="003A1917">
        <w:t xml:space="preserve"> the </w:t>
      </w:r>
      <w:r w:rsidRPr="001A3D2B">
        <w:t>Inorganic Crystal Structure Database, which is a well defined</w:t>
      </w:r>
      <w:r w:rsidR="005853A9">
        <w:t xml:space="preserve"> and </w:t>
      </w:r>
      <w:r w:rsidRPr="001A3D2B">
        <w:t>evaluated body</w:t>
      </w:r>
      <w:r w:rsidR="00427468">
        <w:t xml:space="preserve"> of </w:t>
      </w:r>
      <w:r w:rsidRPr="001A3D2B">
        <w:t>literature</w:t>
      </w:r>
      <w:r w:rsidR="005853A9">
        <w:t xml:space="preserve"> and </w:t>
      </w:r>
      <w:r w:rsidRPr="001A3D2B">
        <w:t>data published from 1913 to date</w:t>
      </w:r>
      <w:r w:rsidR="00A37C1D">
        <w:t>. The</w:t>
      </w:r>
      <w:r w:rsidR="003A1917">
        <w:t xml:space="preserve"> </w:t>
      </w:r>
      <w:r w:rsidRPr="001A3D2B">
        <w:t>data were loaded in a relational database system, which allows a widespread analysis</w:t>
      </w:r>
      <w:r w:rsidR="00A37C1D">
        <w:t>. The</w:t>
      </w:r>
      <w:r w:rsidR="003A1917">
        <w:t xml:space="preserve"> </w:t>
      </w:r>
      <w:r w:rsidRPr="001A3D2B">
        <w:t>following results were obtained:</w:t>
      </w:r>
      <w:r w:rsidR="003A1917">
        <w:t xml:space="preserve"> the </w:t>
      </w:r>
      <w:r w:rsidRPr="001A3D2B">
        <w:t>cumulative growth rate</w:t>
      </w:r>
      <w:r w:rsidR="00427468">
        <w:t xml:space="preserve"> of </w:t>
      </w:r>
      <w:r w:rsidR="003A1917">
        <w:t xml:space="preserve">the </w:t>
      </w:r>
      <w:r w:rsidRPr="001A3D2B">
        <w:t>number</w:t>
      </w:r>
      <w:r w:rsidR="00427468">
        <w:t xml:space="preserve"> of </w:t>
      </w:r>
      <w:r w:rsidRPr="001A3D2B">
        <w:t>experimentally determined crystal structures is best described by a third-degree polynomial function. Except for</w:t>
      </w:r>
      <w:r w:rsidR="003A1917">
        <w:t xml:space="preserve"> the </w:t>
      </w:r>
      <w:r w:rsidRPr="001A3D2B">
        <w:t>upper end</w:t>
      </w:r>
      <w:r w:rsidR="00427468">
        <w:t xml:space="preserve"> of </w:t>
      </w:r>
      <w:r w:rsidR="003A1917">
        <w:t xml:space="preserve">the </w:t>
      </w:r>
      <w:r w:rsidRPr="001A3D2B">
        <w:t>curve, Bradford</w:t>
      </w:r>
      <w:r w:rsidR="00700038">
        <w:t>’</w:t>
      </w:r>
      <w:r w:rsidR="00C13DDC">
        <w:t>s</w:t>
      </w:r>
      <w:r w:rsidRPr="001A3D2B">
        <w:t xml:space="preserve"> plot can be described well by</w:t>
      </w:r>
      <w:r w:rsidR="003A1917">
        <w:t xml:space="preserve"> the </w:t>
      </w:r>
      <w:r w:rsidRPr="001A3D2B">
        <w:t>analytical Leimkuhler function</w:t>
      </w:r>
      <w:r w:rsidR="00A37C1D">
        <w:t>. The</w:t>
      </w:r>
      <w:r w:rsidR="003A1917">
        <w:t xml:space="preserve"> </w:t>
      </w:r>
      <w:r w:rsidRPr="001A3D2B">
        <w:t>publication process is dominated by a small number</w:t>
      </w:r>
      <w:r w:rsidR="00427468">
        <w:t xml:space="preserve"> of </w:t>
      </w:r>
      <w:r w:rsidRPr="001A3D2B">
        <w:t>periodicals</w:t>
      </w:r>
      <w:r w:rsidR="00A37C1D">
        <w:t>. The</w:t>
      </w:r>
      <w:r w:rsidR="003A1917">
        <w:t xml:space="preserve"> </w:t>
      </w:r>
      <w:r w:rsidRPr="001A3D2B">
        <w:t>probability</w:t>
      </w:r>
      <w:r w:rsidR="00427468">
        <w:t xml:space="preserve"> of </w:t>
      </w:r>
      <w:r w:rsidR="003A1917">
        <w:t xml:space="preserve">the </w:t>
      </w:r>
      <w:r w:rsidRPr="001A3D2B">
        <w:t>author productivity in terms</w:t>
      </w:r>
      <w:r w:rsidR="00427468">
        <w:t xml:space="preserve"> of </w:t>
      </w:r>
      <w:r w:rsidRPr="001A3D2B">
        <w:t>publications follows an inverse power law</w:t>
      </w:r>
      <w:r w:rsidR="00427468">
        <w:t xml:space="preserve"> of </w:t>
      </w:r>
      <w:r w:rsidR="003A1917">
        <w:t xml:space="preserve">the </w:t>
      </w:r>
      <w:r w:rsidRPr="001A3D2B">
        <w:t>Lotka form</w:t>
      </w:r>
      <w:r w:rsidR="005853A9">
        <w:t xml:space="preserve"> and </w:t>
      </w:r>
      <w:r w:rsidRPr="001A3D2B">
        <w:t>in terms</w:t>
      </w:r>
      <w:r w:rsidR="00427468">
        <w:t xml:space="preserve"> of </w:t>
      </w:r>
      <w:r w:rsidRPr="001A3D2B">
        <w:t>database entries an inverse power law in</w:t>
      </w:r>
      <w:r w:rsidR="003A1917">
        <w:t xml:space="preserve"> the </w:t>
      </w:r>
      <w:r w:rsidRPr="001A3D2B">
        <w:t>Mandelbrot form. In both cases</w:t>
      </w:r>
      <w:r w:rsidR="003A1917">
        <w:t xml:space="preserve"> the </w:t>
      </w:r>
      <w:r w:rsidRPr="001A3D2B">
        <w:t>exponent is about 1.7. For</w:t>
      </w:r>
      <w:r w:rsidR="003A1917">
        <w:t xml:space="preserve"> the </w:t>
      </w:r>
      <w:r w:rsidRPr="001A3D2B">
        <w:t>lower tail</w:t>
      </w:r>
      <w:r w:rsidR="00427468">
        <w:t xml:space="preserve"> of </w:t>
      </w:r>
      <w:r w:rsidR="003A1917">
        <w:t xml:space="preserve">the </w:t>
      </w:r>
      <w:r w:rsidRPr="001A3D2B">
        <w:t>data an exponential correction factor has to be applied. Multiple authorship has increased from 1.4 authors per publication to about four within</w:t>
      </w:r>
      <w:r w:rsidR="003A1917">
        <w:t xml:space="preserve"> the </w:t>
      </w:r>
      <w:r w:rsidRPr="001A3D2B">
        <w:t>past eight decades</w:t>
      </w:r>
      <w:r w:rsidR="00A37C1D">
        <w:t>. The</w:t>
      </w:r>
      <w:r w:rsidR="003A1917">
        <w:t xml:space="preserve"> </w:t>
      </w:r>
      <w:r w:rsidRPr="001A3D2B">
        <w:t>author distribution itself is represented by a lognormal distribution.</w:t>
      </w:r>
    </w:p>
    <w:p w:rsidR="003474F2" w:rsidRPr="001A3D2B" w:rsidRDefault="003474F2" w:rsidP="003474F2">
      <w:pPr>
        <w:pStyle w:val="a3"/>
      </w:pPr>
      <w:r w:rsidRPr="001A3D2B">
        <w:t>Keywords: Analysis, Bibliometric Study, Bibliometrics, Citation Analysis, Crystal-Structure Database, Distribution, Function, Growth, Growth Rate, ICSD, Inorganic, Law, Laws, Periodicals, Probability, Process, Productivity, Publication, Publications, Techniques, Upper</w:t>
      </w:r>
    </w:p>
    <w:p w:rsidR="00A71BE0" w:rsidRPr="001A3D2B" w:rsidRDefault="00A71BE0" w:rsidP="00A71BE0">
      <w:pPr>
        <w:pStyle w:val="1"/>
      </w:pPr>
      <w:r w:rsidRPr="001A3D2B">
        <w:br w:type="page"/>
      </w:r>
      <w:bookmarkStart w:id="62" w:name="_Toc420814259"/>
      <w:r w:rsidRPr="001A3D2B">
        <w:lastRenderedPageBreak/>
        <w:t xml:space="preserve">Title: </w:t>
      </w:r>
      <w:r w:rsidR="00E11B22" w:rsidRPr="00E11B22">
        <w:t>Acta Dermato-Venereologica</w:t>
      </w:r>
      <w:bookmarkEnd w:id="62"/>
    </w:p>
    <w:p w:rsidR="00E11B22" w:rsidRPr="001A3D2B" w:rsidRDefault="00E11B22" w:rsidP="00E11B22">
      <w:pPr>
        <w:pStyle w:val="12"/>
      </w:pPr>
      <w:r w:rsidRPr="001A3D2B">
        <w:t xml:space="preserve">Full Journal Title: </w:t>
      </w:r>
      <w:hyperlink r:id="rId129" w:history="1">
        <w:r w:rsidRPr="00CD67EB">
          <w:rPr>
            <w:rStyle w:val="a5"/>
            <w:iCs/>
            <w:kern w:val="0"/>
          </w:rPr>
          <w:t>Acta Dermato-Venereologica</w:t>
        </w:r>
      </w:hyperlink>
    </w:p>
    <w:p w:rsidR="00A71BE0" w:rsidRPr="001A3D2B" w:rsidRDefault="00A71BE0" w:rsidP="00A71BE0">
      <w:pPr>
        <w:pStyle w:val="12"/>
      </w:pPr>
      <w:r w:rsidRPr="001A3D2B">
        <w:t xml:space="preserve">ISO Abbreviated Title: </w:t>
      </w:r>
    </w:p>
    <w:p w:rsidR="00A71BE0" w:rsidRPr="001A3D2B" w:rsidRDefault="00A71BE0" w:rsidP="00A71BE0">
      <w:pPr>
        <w:pStyle w:val="12"/>
      </w:pPr>
      <w:r w:rsidRPr="001A3D2B">
        <w:t xml:space="preserve">JCR Abbreviated Title: </w:t>
      </w:r>
    </w:p>
    <w:p w:rsidR="00A71BE0" w:rsidRPr="001A3D2B" w:rsidRDefault="00A71BE0" w:rsidP="00A71BE0">
      <w:pPr>
        <w:pStyle w:val="12"/>
      </w:pPr>
      <w:r w:rsidRPr="001A3D2B">
        <w:t xml:space="preserve">ISSN: </w:t>
      </w:r>
    </w:p>
    <w:p w:rsidR="00A71BE0" w:rsidRPr="001A3D2B" w:rsidRDefault="00A71BE0" w:rsidP="00A71BE0">
      <w:pPr>
        <w:pStyle w:val="12"/>
      </w:pPr>
      <w:r w:rsidRPr="001A3D2B">
        <w:t xml:space="preserve">Issues/Year: </w:t>
      </w:r>
    </w:p>
    <w:p w:rsidR="00A71BE0" w:rsidRPr="001A3D2B" w:rsidRDefault="00A71BE0" w:rsidP="00A71BE0">
      <w:pPr>
        <w:pStyle w:val="12"/>
      </w:pPr>
      <w:r w:rsidRPr="001A3D2B">
        <w:t xml:space="preserve">Journal Country/Territory: </w:t>
      </w:r>
    </w:p>
    <w:p w:rsidR="00A71BE0" w:rsidRPr="001A3D2B" w:rsidRDefault="00A71BE0" w:rsidP="00A71BE0">
      <w:pPr>
        <w:pStyle w:val="12"/>
      </w:pPr>
      <w:r w:rsidRPr="001A3D2B">
        <w:t xml:space="preserve">Language: </w:t>
      </w:r>
    </w:p>
    <w:p w:rsidR="00A71BE0" w:rsidRPr="001A3D2B" w:rsidRDefault="00A71BE0" w:rsidP="00A71BE0">
      <w:pPr>
        <w:pStyle w:val="12"/>
      </w:pPr>
      <w:r w:rsidRPr="001A3D2B">
        <w:t xml:space="preserve">Publisher: </w:t>
      </w:r>
    </w:p>
    <w:p w:rsidR="00A71BE0" w:rsidRPr="001A3D2B" w:rsidRDefault="00A71BE0" w:rsidP="00A71BE0">
      <w:pPr>
        <w:pStyle w:val="12"/>
      </w:pPr>
      <w:r w:rsidRPr="001A3D2B">
        <w:t xml:space="preserve">Publisher Address: </w:t>
      </w:r>
    </w:p>
    <w:p w:rsidR="00A71BE0" w:rsidRPr="001A3D2B" w:rsidRDefault="00A71BE0" w:rsidP="00A71BE0">
      <w:pPr>
        <w:pStyle w:val="12"/>
      </w:pPr>
      <w:r w:rsidRPr="001A3D2B">
        <w:t xml:space="preserve">Subject Categories: </w:t>
      </w:r>
    </w:p>
    <w:p w:rsidR="00A71BE0" w:rsidRPr="001A3D2B" w:rsidRDefault="00A71BE0" w:rsidP="00A71BE0">
      <w:pPr>
        <w:pStyle w:val="12"/>
      </w:pPr>
      <w:r w:rsidRPr="001A3D2B">
        <w:t xml:space="preserve">: Impact Factor </w:t>
      </w:r>
    </w:p>
    <w:p w:rsidR="00A71BE0" w:rsidRDefault="00A71BE0" w:rsidP="00A71BE0">
      <w:pPr>
        <w:pStyle w:val="a3"/>
        <w:rPr>
          <w:kern w:val="0"/>
        </w:rPr>
      </w:pPr>
      <w:r>
        <w:rPr>
          <w:rFonts w:hint="eastAsia"/>
          <w:kern w:val="0"/>
        </w:rPr>
        <w:t xml:space="preserve">? </w:t>
      </w:r>
      <w:r>
        <w:rPr>
          <w:kern w:val="0"/>
        </w:rPr>
        <w:t>Haslund, P., Lee, R.A.</w:t>
      </w:r>
      <w:r w:rsidR="005853A9">
        <w:rPr>
          <w:kern w:val="0"/>
        </w:rPr>
        <w:t xml:space="preserve"> and </w:t>
      </w:r>
      <w:r>
        <w:rPr>
          <w:kern w:val="0"/>
        </w:rPr>
        <w:t>Jemec, G.B.E. (2009), Treatment</w:t>
      </w:r>
      <w:r w:rsidR="00427468">
        <w:rPr>
          <w:kern w:val="0"/>
        </w:rPr>
        <w:t xml:space="preserve"> of </w:t>
      </w:r>
      <w:r>
        <w:rPr>
          <w:kern w:val="0"/>
        </w:rPr>
        <w:t xml:space="preserve">hidradenitis suppurativa with tumour necrosis factor-alpha inhibitors. </w:t>
      </w:r>
      <w:r w:rsidRPr="00E11B22">
        <w:rPr>
          <w:i/>
          <w:iCs/>
          <w:kern w:val="0"/>
        </w:rPr>
        <w:t>Acta Dermato-Venereologica</w:t>
      </w:r>
      <w:r>
        <w:rPr>
          <w:kern w:val="0"/>
        </w:rPr>
        <w:t xml:space="preserve">, </w:t>
      </w:r>
      <w:r>
        <w:rPr>
          <w:b/>
          <w:bCs/>
          <w:kern w:val="0"/>
        </w:rPr>
        <w:t>89</w:t>
      </w:r>
      <w:r>
        <w:rPr>
          <w:kern w:val="0"/>
        </w:rPr>
        <w:t xml:space="preserve"> (6), 595-600.</w:t>
      </w:r>
    </w:p>
    <w:p w:rsidR="00A71BE0" w:rsidRDefault="00A71BE0" w:rsidP="00A71BE0">
      <w:pPr>
        <w:pStyle w:val="a3"/>
        <w:rPr>
          <w:kern w:val="0"/>
        </w:rPr>
      </w:pPr>
      <w:r>
        <w:rPr>
          <w:rFonts w:hint="eastAsia"/>
          <w:kern w:val="0"/>
        </w:rPr>
        <w:t xml:space="preserve">Full Text: </w:t>
      </w:r>
      <w:hyperlink r:id="rId130" w:history="1">
        <w:r w:rsidRPr="00A71BE0">
          <w:rPr>
            <w:rStyle w:val="a5"/>
            <w:kern w:val="0"/>
          </w:rPr>
          <w:t>2009\Act Der-Ven89, 595.pdf</w:t>
        </w:r>
      </w:hyperlink>
    </w:p>
    <w:p w:rsidR="00A71BE0" w:rsidRDefault="00A71BE0" w:rsidP="00A71BE0">
      <w:pPr>
        <w:pStyle w:val="a3"/>
        <w:rPr>
          <w:kern w:val="0"/>
        </w:rPr>
      </w:pPr>
      <w:r>
        <w:rPr>
          <w:kern w:val="0"/>
        </w:rPr>
        <w:t>Abstract: Hidradenitis suppurativa (HS) is a common inflammatory skin disease. Medical treatment is often disappointing</w:t>
      </w:r>
      <w:r w:rsidR="005853A9">
        <w:rPr>
          <w:kern w:val="0"/>
        </w:rPr>
        <w:t xml:space="preserve"> and </w:t>
      </w:r>
      <w:r>
        <w:rPr>
          <w:kern w:val="0"/>
        </w:rPr>
        <w:t>in severe disease surgery remains</w:t>
      </w:r>
      <w:r w:rsidR="003A1917">
        <w:rPr>
          <w:kern w:val="0"/>
        </w:rPr>
        <w:t xml:space="preserve"> the </w:t>
      </w:r>
      <w:r>
        <w:rPr>
          <w:kern w:val="0"/>
        </w:rPr>
        <w:t>therapy</w:t>
      </w:r>
      <w:r w:rsidR="00427468">
        <w:rPr>
          <w:kern w:val="0"/>
        </w:rPr>
        <w:t xml:space="preserve"> of </w:t>
      </w:r>
      <w:r>
        <w:rPr>
          <w:kern w:val="0"/>
        </w:rPr>
        <w:t>choice. Extensive surgery may be effective but also mutilating. Patients experience a significant reduction in quality</w:t>
      </w:r>
      <w:r w:rsidR="00427468">
        <w:rPr>
          <w:kern w:val="0"/>
        </w:rPr>
        <w:t xml:space="preserve"> of </w:t>
      </w:r>
      <w:r>
        <w:rPr>
          <w:kern w:val="0"/>
        </w:rPr>
        <w:t>life</w:t>
      </w:r>
      <w:r w:rsidR="005853A9">
        <w:rPr>
          <w:kern w:val="0"/>
        </w:rPr>
        <w:t xml:space="preserve"> and </w:t>
      </w:r>
      <w:r w:rsidR="003A1917">
        <w:rPr>
          <w:kern w:val="0"/>
        </w:rPr>
        <w:t xml:space="preserve">the </w:t>
      </w:r>
      <w:r>
        <w:rPr>
          <w:kern w:val="0"/>
        </w:rPr>
        <w:t>need for new treatment modalities are urgent. In recent years patients with HS have been treated off-label with tumour necrosis factor-alpha (TNF-alpha) inhibitors with a varying degrees</w:t>
      </w:r>
      <w:r w:rsidR="00427468">
        <w:rPr>
          <w:kern w:val="0"/>
        </w:rPr>
        <w:t xml:space="preserve"> of </w:t>
      </w:r>
      <w:r>
        <w:rPr>
          <w:kern w:val="0"/>
        </w:rPr>
        <w:t>effect. We performed a systematic review</w:t>
      </w:r>
      <w:r w:rsidR="00427468">
        <w:rPr>
          <w:kern w:val="0"/>
        </w:rPr>
        <w:t xml:space="preserve"> of </w:t>
      </w:r>
      <w:r>
        <w:rPr>
          <w:kern w:val="0"/>
        </w:rPr>
        <w:t>papers retrieved from two databases (</w:t>
      </w:r>
      <w:r w:rsidR="002C12F0">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using</w:t>
      </w:r>
      <w:r w:rsidR="003A1917">
        <w:rPr>
          <w:kern w:val="0"/>
        </w:rPr>
        <w:t xml:space="preserve"> the </w:t>
      </w:r>
      <w:r>
        <w:rPr>
          <w:kern w:val="0"/>
        </w:rPr>
        <w:t>following keywords: hidradenitis suppurativa, acne inversa, infliximab, etanercept,</w:t>
      </w:r>
      <w:r w:rsidR="005853A9">
        <w:rPr>
          <w:kern w:val="0"/>
        </w:rPr>
        <w:t xml:space="preserve"> and </w:t>
      </w:r>
      <w:r>
        <w:rPr>
          <w:kern w:val="0"/>
        </w:rPr>
        <w:t>adalimumab. A total</w:t>
      </w:r>
      <w:r w:rsidR="00427468">
        <w:rPr>
          <w:kern w:val="0"/>
        </w:rPr>
        <w:t xml:space="preserve"> of </w:t>
      </w:r>
      <w:r>
        <w:rPr>
          <w:kern w:val="0"/>
        </w:rPr>
        <w:t>34 publications were retrieved, describing treatment</w:t>
      </w:r>
      <w:r w:rsidR="00427468">
        <w:rPr>
          <w:kern w:val="0"/>
        </w:rPr>
        <w:t xml:space="preserve"> of </w:t>
      </w:r>
      <w:r>
        <w:rPr>
          <w:kern w:val="0"/>
        </w:rPr>
        <w:t>105 patients. Most cases report treatment with infliximab (52/105). A positive treatment outcome was reported in 90/105 cases, with only 7/105 non-responders</w:t>
      </w:r>
      <w:r w:rsidR="005853A9">
        <w:rPr>
          <w:kern w:val="0"/>
        </w:rPr>
        <w:t xml:space="preserve"> and </w:t>
      </w:r>
      <w:r>
        <w:rPr>
          <w:kern w:val="0"/>
        </w:rPr>
        <w:t>8/105 patients experiencing side-effects</w:t>
      </w:r>
      <w:r w:rsidR="00A37C1D">
        <w:rPr>
          <w:kern w:val="0"/>
        </w:rPr>
        <w:t>. The</w:t>
      </w:r>
      <w:r w:rsidR="003A1917">
        <w:rPr>
          <w:kern w:val="0"/>
        </w:rPr>
        <w:t xml:space="preserve"> </w:t>
      </w:r>
      <w:r>
        <w:rPr>
          <w:kern w:val="0"/>
        </w:rPr>
        <w:t>side-effects were comparable to those seen in other TNF-alpha inhibitor studies. In</w:t>
      </w:r>
      <w:r w:rsidR="003A1917">
        <w:rPr>
          <w:kern w:val="0"/>
        </w:rPr>
        <w:t xml:space="preserve"> the </w:t>
      </w:r>
      <w:r>
        <w:rPr>
          <w:kern w:val="0"/>
        </w:rPr>
        <w:t>majority</w:t>
      </w:r>
      <w:r w:rsidR="00427468">
        <w:rPr>
          <w:kern w:val="0"/>
        </w:rPr>
        <w:t xml:space="preserve"> of </w:t>
      </w:r>
      <w:r>
        <w:rPr>
          <w:kern w:val="0"/>
        </w:rPr>
        <w:t>cases</w:t>
      </w:r>
      <w:r w:rsidR="003A1917">
        <w:rPr>
          <w:kern w:val="0"/>
        </w:rPr>
        <w:t xml:space="preserve"> the </w:t>
      </w:r>
      <w:r>
        <w:rPr>
          <w:kern w:val="0"/>
        </w:rPr>
        <w:t>treatment was effective when given as a suppressive therapy, but 15/105 cases were described with long-term remission (&gt;= 3 months) after</w:t>
      </w:r>
      <w:r w:rsidR="003A1917">
        <w:rPr>
          <w:kern w:val="0"/>
        </w:rPr>
        <w:t xml:space="preserve"> the </w:t>
      </w:r>
      <w:r>
        <w:rPr>
          <w:kern w:val="0"/>
        </w:rPr>
        <w:t>end</w:t>
      </w:r>
      <w:r w:rsidR="00427468">
        <w:rPr>
          <w:kern w:val="0"/>
        </w:rPr>
        <w:t xml:space="preserve"> of </w:t>
      </w:r>
      <w:r>
        <w:rPr>
          <w:kern w:val="0"/>
        </w:rPr>
        <w:t>therapy. In most publications follow-up was, however, insufficient to allow a systematic exploration</w:t>
      </w:r>
      <w:r w:rsidR="00427468">
        <w:rPr>
          <w:kern w:val="0"/>
        </w:rPr>
        <w:t xml:space="preserve"> of </w:t>
      </w:r>
      <w:r>
        <w:rPr>
          <w:kern w:val="0"/>
        </w:rPr>
        <w:t>this. TNF-alpha inhibitors seem to be effective in</w:t>
      </w:r>
      <w:r w:rsidR="003A1917">
        <w:rPr>
          <w:kern w:val="0"/>
        </w:rPr>
        <w:t xml:space="preserve"> the </w:t>
      </w:r>
      <w:r>
        <w:rPr>
          <w:kern w:val="0"/>
        </w:rPr>
        <w:t>treatment</w:t>
      </w:r>
      <w:r w:rsidR="00427468">
        <w:rPr>
          <w:kern w:val="0"/>
        </w:rPr>
        <w:t xml:space="preserve"> of </w:t>
      </w:r>
      <w:r>
        <w:rPr>
          <w:kern w:val="0"/>
        </w:rPr>
        <w:t>HS. However, several questions remain to be answered through specific studies. This review has also identified a need for more standardized reporting</w:t>
      </w:r>
      <w:r w:rsidR="00427468">
        <w:rPr>
          <w:kern w:val="0"/>
        </w:rPr>
        <w:t xml:space="preserve"> of </w:t>
      </w:r>
      <w:r w:rsidR="003A1917">
        <w:rPr>
          <w:kern w:val="0"/>
        </w:rPr>
        <w:t xml:space="preserve">the </w:t>
      </w:r>
      <w:r>
        <w:rPr>
          <w:kern w:val="0"/>
        </w:rPr>
        <w:t>outcomes as well as randomized controlled trials in this disease.</w:t>
      </w:r>
    </w:p>
    <w:p w:rsidR="00A71BE0" w:rsidRDefault="00A71BE0" w:rsidP="00A71BE0">
      <w:pPr>
        <w:pStyle w:val="a3"/>
        <w:rPr>
          <w:kern w:val="0"/>
        </w:rPr>
      </w:pPr>
      <w:r>
        <w:rPr>
          <w:kern w:val="0"/>
        </w:rPr>
        <w:lastRenderedPageBreak/>
        <w:t>Keywords: Acne Inversa, Adalimumab, Clindamycin, Crohns-Disease, Databases, Disease, Etanercept, Etanercept: Adalimumab, Follow</w:t>
      </w:r>
      <w:r w:rsidR="0062028A">
        <w:rPr>
          <w:kern w:val="0"/>
        </w:rPr>
        <w:t>-up,</w:t>
      </w:r>
      <w:r>
        <w:rPr>
          <w:kern w:val="0"/>
        </w:rPr>
        <w:t xml:space="preserve"> Hidradenitis Suppurativa, Infliximab, Infliximab, Long-Term Efficacy, Management, Outcome, Outcomes, Papers, Patient, Publications, </w:t>
      </w:r>
      <w:r w:rsidR="002C12F0">
        <w:rPr>
          <w:kern w:val="0"/>
        </w:rPr>
        <w:t>PUBMED</w:t>
      </w:r>
      <w:r>
        <w:rPr>
          <w:kern w:val="0"/>
        </w:rPr>
        <w:t>, Quality</w:t>
      </w:r>
      <w:r w:rsidR="00427468">
        <w:rPr>
          <w:kern w:val="0"/>
        </w:rPr>
        <w:t xml:space="preserve"> of </w:t>
      </w:r>
      <w:r>
        <w:rPr>
          <w:kern w:val="0"/>
        </w:rPr>
        <w:t xml:space="preserve">Life, Randomized Controlled Trials, Remission, Review, Science, Surgery, Systematic, Systematic Review, Therapy, Treatment, Treatment Outcome, Tumour Necrosis Factor-Alpha Inhibitors, </w:t>
      </w:r>
      <w:r w:rsidR="00D5664A">
        <w:rPr>
          <w:kern w:val="0"/>
        </w:rPr>
        <w:t>Web</w:t>
      </w:r>
      <w:r w:rsidR="00427468">
        <w:rPr>
          <w:kern w:val="0"/>
        </w:rPr>
        <w:t xml:space="preserve"> of </w:t>
      </w:r>
      <w:r w:rsidR="00D5664A">
        <w:rPr>
          <w:kern w:val="0"/>
        </w:rPr>
        <w:t>Science</w:t>
      </w:r>
    </w:p>
    <w:p w:rsidR="00343909" w:rsidRDefault="00343909" w:rsidP="00343909">
      <w:pPr>
        <w:pStyle w:val="a3"/>
        <w:rPr>
          <w:kern w:val="0"/>
        </w:rPr>
      </w:pPr>
      <w:r>
        <w:rPr>
          <w:rFonts w:hint="eastAsia"/>
          <w:kern w:val="0"/>
        </w:rPr>
        <w:t xml:space="preserve">? </w:t>
      </w:r>
      <w:r>
        <w:rPr>
          <w:kern w:val="0"/>
        </w:rPr>
        <w:t>Enery-Stonelake, M. and Bernhard, J. (2011), The bibliometrics</w:t>
      </w:r>
      <w:r w:rsidR="00427468">
        <w:rPr>
          <w:kern w:val="0"/>
        </w:rPr>
        <w:t xml:space="preserve"> of </w:t>
      </w:r>
      <w:r>
        <w:rPr>
          <w:kern w:val="0"/>
        </w:rPr>
        <w:t xml:space="preserve">itch. </w:t>
      </w:r>
      <w:r>
        <w:rPr>
          <w:i/>
          <w:iCs/>
          <w:kern w:val="0"/>
        </w:rPr>
        <w:t>Acta Dermato-Venereologica</w:t>
      </w:r>
      <w:r>
        <w:rPr>
          <w:kern w:val="0"/>
        </w:rPr>
        <w:t xml:space="preserve">, </w:t>
      </w:r>
      <w:r>
        <w:rPr>
          <w:b/>
          <w:bCs/>
          <w:kern w:val="0"/>
        </w:rPr>
        <w:t>91</w:t>
      </w:r>
      <w:r>
        <w:rPr>
          <w:kern w:val="0"/>
        </w:rPr>
        <w:t xml:space="preserve"> (5), 621</w:t>
      </w:r>
      <w:r>
        <w:rPr>
          <w:rFonts w:hint="eastAsia"/>
          <w:kern w:val="0"/>
        </w:rPr>
        <w:t>.</w:t>
      </w:r>
    </w:p>
    <w:p w:rsidR="00343909" w:rsidRDefault="00343909" w:rsidP="00343909">
      <w:pPr>
        <w:pStyle w:val="a3"/>
        <w:rPr>
          <w:kern w:val="0"/>
        </w:rPr>
      </w:pPr>
      <w:r>
        <w:rPr>
          <w:rFonts w:hint="eastAsia"/>
          <w:kern w:val="0"/>
        </w:rPr>
        <w:t xml:space="preserve">Full Text: </w:t>
      </w:r>
      <w:hyperlink r:id="rId131" w:history="1">
        <w:r w:rsidRPr="00CD67EB">
          <w:rPr>
            <w:rStyle w:val="a5"/>
            <w:kern w:val="0"/>
          </w:rPr>
          <w:t>2011\Act Der-Ven91, 621.pdf</w:t>
        </w:r>
      </w:hyperlink>
    </w:p>
    <w:p w:rsidR="00343909" w:rsidRDefault="00343909" w:rsidP="00343909">
      <w:pPr>
        <w:pStyle w:val="a3"/>
        <w:rPr>
          <w:kern w:val="0"/>
        </w:rPr>
      </w:pPr>
      <w:r>
        <w:rPr>
          <w:kern w:val="0"/>
        </w:rPr>
        <w:t>Keywords: Bibliometrics</w:t>
      </w:r>
    </w:p>
    <w:p w:rsidR="00343909" w:rsidRDefault="00343909" w:rsidP="00343909">
      <w:pPr>
        <w:pStyle w:val="a3"/>
        <w:rPr>
          <w:kern w:val="0"/>
        </w:rPr>
      </w:pPr>
      <w:r>
        <w:rPr>
          <w:rFonts w:hint="eastAsia"/>
          <w:kern w:val="0"/>
        </w:rPr>
        <w:t xml:space="preserve">? </w:t>
      </w:r>
      <w:r>
        <w:rPr>
          <w:kern w:val="0"/>
        </w:rPr>
        <w:t>McEnery-Stonelake, M. (2013), The bibliometrics</w:t>
      </w:r>
      <w:r w:rsidR="00427468">
        <w:rPr>
          <w:kern w:val="0"/>
        </w:rPr>
        <w:t xml:space="preserve"> of </w:t>
      </w:r>
      <w:r>
        <w:rPr>
          <w:kern w:val="0"/>
        </w:rPr>
        <w:t xml:space="preserve">itch: 2013 update. </w:t>
      </w:r>
      <w:r>
        <w:rPr>
          <w:i/>
          <w:iCs/>
          <w:kern w:val="0"/>
        </w:rPr>
        <w:t>Acta Dermato-Venereologica</w:t>
      </w:r>
      <w:r>
        <w:rPr>
          <w:kern w:val="0"/>
        </w:rPr>
        <w:t xml:space="preserve">, </w:t>
      </w:r>
      <w:r>
        <w:rPr>
          <w:b/>
          <w:bCs/>
          <w:kern w:val="0"/>
        </w:rPr>
        <w:t>93</w:t>
      </w:r>
      <w:r>
        <w:rPr>
          <w:kern w:val="0"/>
        </w:rPr>
        <w:t xml:space="preserve"> (5), 632</w:t>
      </w:r>
      <w:r>
        <w:rPr>
          <w:rFonts w:hint="eastAsia"/>
          <w:kern w:val="0"/>
        </w:rPr>
        <w:t>.</w:t>
      </w:r>
    </w:p>
    <w:p w:rsidR="00343909" w:rsidRDefault="00343909" w:rsidP="00343909">
      <w:pPr>
        <w:pStyle w:val="a3"/>
        <w:rPr>
          <w:kern w:val="0"/>
        </w:rPr>
      </w:pPr>
      <w:r>
        <w:rPr>
          <w:rFonts w:hint="eastAsia"/>
          <w:kern w:val="0"/>
        </w:rPr>
        <w:t xml:space="preserve">Full Text: </w:t>
      </w:r>
      <w:r w:rsidRPr="00BB154C">
        <w:rPr>
          <w:kern w:val="0"/>
        </w:rPr>
        <w:t>2013\Act Der-Ven93, 632.pdf</w:t>
      </w:r>
    </w:p>
    <w:p w:rsidR="00343909" w:rsidRDefault="00343909" w:rsidP="00343909">
      <w:pPr>
        <w:pStyle w:val="a3"/>
        <w:rPr>
          <w:kern w:val="0"/>
        </w:rPr>
      </w:pPr>
      <w:r>
        <w:rPr>
          <w:kern w:val="0"/>
        </w:rPr>
        <w:t>Keywords: Bibliometrics</w:t>
      </w:r>
    </w:p>
    <w:p w:rsidR="009F6CF0" w:rsidRPr="001A3D2B" w:rsidRDefault="009F6CF0" w:rsidP="009F6CF0">
      <w:pPr>
        <w:pStyle w:val="1"/>
      </w:pPr>
      <w:r w:rsidRPr="001A3D2B">
        <w:br w:type="page"/>
      </w:r>
      <w:bookmarkStart w:id="63" w:name="_Toc420814260"/>
      <w:r w:rsidRPr="001A3D2B">
        <w:lastRenderedPageBreak/>
        <w:t xml:space="preserve">Title: </w:t>
      </w:r>
      <w:r w:rsidRPr="002D0824">
        <w:rPr>
          <w:iCs w:val="0"/>
        </w:rPr>
        <w:t>Acta Ecologica Sinica</w:t>
      </w:r>
      <w:bookmarkEnd w:id="63"/>
    </w:p>
    <w:p w:rsidR="009F6CF0" w:rsidRPr="001A3D2B" w:rsidRDefault="009F6CF0" w:rsidP="009F6CF0">
      <w:pPr>
        <w:pStyle w:val="12"/>
      </w:pPr>
      <w:r w:rsidRPr="001A3D2B">
        <w:t xml:space="preserve">Full Journal Title: </w:t>
      </w:r>
      <w:r w:rsidRPr="002D0824">
        <w:rPr>
          <w:iCs/>
          <w:kern w:val="0"/>
        </w:rPr>
        <w:t>Acta Ecologica Sinica</w:t>
      </w:r>
    </w:p>
    <w:p w:rsidR="009F6CF0" w:rsidRPr="001A3D2B" w:rsidRDefault="009F6CF0" w:rsidP="009F6CF0">
      <w:pPr>
        <w:pStyle w:val="12"/>
      </w:pPr>
      <w:r w:rsidRPr="001A3D2B">
        <w:t xml:space="preserve">ISO Abbreviated Title: </w:t>
      </w:r>
    </w:p>
    <w:p w:rsidR="009F6CF0" w:rsidRPr="001A3D2B" w:rsidRDefault="009F6CF0" w:rsidP="009F6CF0">
      <w:pPr>
        <w:pStyle w:val="12"/>
      </w:pPr>
      <w:r w:rsidRPr="001A3D2B">
        <w:t xml:space="preserve">JCR Abbreviated Title: </w:t>
      </w:r>
    </w:p>
    <w:p w:rsidR="009F6CF0" w:rsidRPr="001A3D2B" w:rsidRDefault="009F6CF0" w:rsidP="009F6CF0">
      <w:pPr>
        <w:pStyle w:val="12"/>
      </w:pPr>
      <w:r w:rsidRPr="001A3D2B">
        <w:t xml:space="preserve">ISSN: </w:t>
      </w:r>
    </w:p>
    <w:p w:rsidR="009F6CF0" w:rsidRPr="001A3D2B" w:rsidRDefault="009F6CF0" w:rsidP="009F6CF0">
      <w:pPr>
        <w:pStyle w:val="12"/>
      </w:pPr>
      <w:r w:rsidRPr="001A3D2B">
        <w:t xml:space="preserve">Issues/Year: </w:t>
      </w:r>
    </w:p>
    <w:p w:rsidR="009F6CF0" w:rsidRPr="001A3D2B" w:rsidRDefault="009F6CF0" w:rsidP="009F6CF0">
      <w:pPr>
        <w:pStyle w:val="12"/>
      </w:pPr>
      <w:r w:rsidRPr="001A3D2B">
        <w:t xml:space="preserve">Journal Country/Territory: </w:t>
      </w:r>
    </w:p>
    <w:p w:rsidR="009F6CF0" w:rsidRPr="001A3D2B" w:rsidRDefault="009F6CF0" w:rsidP="009F6CF0">
      <w:pPr>
        <w:pStyle w:val="12"/>
      </w:pPr>
      <w:r w:rsidRPr="001A3D2B">
        <w:t xml:space="preserve">Language: </w:t>
      </w:r>
    </w:p>
    <w:p w:rsidR="009F6CF0" w:rsidRPr="001A3D2B" w:rsidRDefault="009F6CF0" w:rsidP="009F6CF0">
      <w:pPr>
        <w:pStyle w:val="12"/>
      </w:pPr>
      <w:r w:rsidRPr="001A3D2B">
        <w:t xml:space="preserve">Publisher: </w:t>
      </w:r>
    </w:p>
    <w:p w:rsidR="009F6CF0" w:rsidRPr="001A3D2B" w:rsidRDefault="009F6CF0" w:rsidP="009F6CF0">
      <w:pPr>
        <w:pStyle w:val="12"/>
      </w:pPr>
      <w:r w:rsidRPr="001A3D2B">
        <w:t xml:space="preserve">Publisher Address: </w:t>
      </w:r>
    </w:p>
    <w:p w:rsidR="009F6CF0" w:rsidRPr="001A3D2B" w:rsidRDefault="009F6CF0" w:rsidP="009F6CF0">
      <w:pPr>
        <w:pStyle w:val="12"/>
      </w:pPr>
      <w:r w:rsidRPr="001A3D2B">
        <w:t xml:space="preserve">Subject Categories: </w:t>
      </w:r>
    </w:p>
    <w:p w:rsidR="009F6CF0" w:rsidRPr="001A3D2B" w:rsidRDefault="009F6CF0" w:rsidP="009F6CF0">
      <w:pPr>
        <w:pStyle w:val="12"/>
      </w:pPr>
      <w:r w:rsidRPr="001A3D2B">
        <w:t xml:space="preserve">: Impact Factor </w:t>
      </w:r>
    </w:p>
    <w:p w:rsidR="009F6CF0" w:rsidRDefault="009F6CF0" w:rsidP="009F6CF0">
      <w:pPr>
        <w:pStyle w:val="a3"/>
        <w:rPr>
          <w:kern w:val="0"/>
        </w:rPr>
      </w:pPr>
      <w:r>
        <w:rPr>
          <w:rFonts w:hint="eastAsia"/>
          <w:kern w:val="0"/>
        </w:rPr>
        <w:t xml:space="preserve">? </w:t>
      </w:r>
      <w:r>
        <w:t>Wang</w:t>
      </w:r>
      <w:r>
        <w:rPr>
          <w:rFonts w:hint="eastAsia"/>
        </w:rPr>
        <w:t>,</w:t>
      </w:r>
      <w:r>
        <w:t xml:space="preserve"> X</w:t>
      </w:r>
      <w:r>
        <w:rPr>
          <w:rFonts w:hint="eastAsia"/>
        </w:rPr>
        <w:t xml:space="preserve">.M., </w:t>
      </w:r>
      <w:r>
        <w:t>Qu</w:t>
      </w:r>
      <w:r>
        <w:rPr>
          <w:rFonts w:hint="eastAsia"/>
        </w:rPr>
        <w:t>,</w:t>
      </w:r>
      <w:r>
        <w:t xml:space="preserve"> J</w:t>
      </w:r>
      <w:r>
        <w:rPr>
          <w:rFonts w:hint="eastAsia"/>
        </w:rPr>
        <w:t>.S.</w:t>
      </w:r>
      <w:r>
        <w:t>, Li</w:t>
      </w:r>
      <w:r>
        <w:rPr>
          <w:rFonts w:hint="eastAsia"/>
        </w:rPr>
        <w:t>,</w:t>
      </w:r>
      <w:r>
        <w:t xml:space="preserve"> Y</w:t>
      </w:r>
      <w:r>
        <w:rPr>
          <w:rFonts w:hint="eastAsia"/>
        </w:rPr>
        <w:t>.M.</w:t>
      </w:r>
      <w:r w:rsidR="005853A9">
        <w:rPr>
          <w:rFonts w:hint="eastAsia"/>
        </w:rPr>
        <w:t xml:space="preserve"> and </w:t>
      </w:r>
      <w:r>
        <w:t>Zhang</w:t>
      </w:r>
      <w:r>
        <w:rPr>
          <w:rFonts w:hint="eastAsia"/>
        </w:rPr>
        <w:t>,</w:t>
      </w:r>
      <w:r>
        <w:t xml:space="preserve"> Z</w:t>
      </w:r>
      <w:r>
        <w:rPr>
          <w:rFonts w:hint="eastAsia"/>
        </w:rPr>
        <w:t>.Q.</w:t>
      </w:r>
      <w:r>
        <w:rPr>
          <w:kern w:val="0"/>
        </w:rPr>
        <w:t xml:space="preserve"> (</w:t>
      </w:r>
      <w:r>
        <w:rPr>
          <w:rFonts w:hint="eastAsia"/>
          <w:kern w:val="0"/>
        </w:rPr>
        <w:t>2010</w:t>
      </w:r>
      <w:r>
        <w:rPr>
          <w:kern w:val="0"/>
        </w:rPr>
        <w:t xml:space="preserve">), </w:t>
      </w:r>
      <w:r>
        <w:t>Analysis on situation</w:t>
      </w:r>
      <w:r w:rsidR="005853A9">
        <w:t xml:space="preserve"> and </w:t>
      </w:r>
      <w:r>
        <w:t>tendency</w:t>
      </w:r>
      <w:r w:rsidR="00427468">
        <w:t xml:space="preserve"> of </w:t>
      </w:r>
      <w:r>
        <w:t>internationa</w:t>
      </w:r>
      <w:r>
        <w:rPr>
          <w:rFonts w:hint="eastAsia"/>
        </w:rPr>
        <w:t>l</w:t>
      </w:r>
      <w:r>
        <w:t xml:space="preserve"> biodiversity research</w:t>
      </w:r>
      <w:r>
        <w:rPr>
          <w:kern w:val="0"/>
        </w:rPr>
        <w:t xml:space="preserve">. </w:t>
      </w:r>
      <w:r w:rsidRPr="002D0824">
        <w:rPr>
          <w:i/>
          <w:iCs/>
          <w:kern w:val="0"/>
        </w:rPr>
        <w:t>Acta Ecologica Sinica</w:t>
      </w:r>
      <w:r>
        <w:rPr>
          <w:kern w:val="0"/>
        </w:rPr>
        <w:t xml:space="preserve">, </w:t>
      </w:r>
      <w:r>
        <w:rPr>
          <w:rFonts w:hint="eastAsia"/>
          <w:b/>
          <w:bCs/>
          <w:kern w:val="0"/>
        </w:rPr>
        <w:t>30</w:t>
      </w:r>
      <w:r>
        <w:rPr>
          <w:rFonts w:hint="eastAsia"/>
          <w:kern w:val="0"/>
        </w:rPr>
        <w:t xml:space="preserve"> (4),</w:t>
      </w:r>
      <w:r>
        <w:rPr>
          <w:kern w:val="0"/>
        </w:rPr>
        <w:t xml:space="preserve"> </w:t>
      </w:r>
      <w:r>
        <w:rPr>
          <w:rFonts w:hint="eastAsia"/>
          <w:kern w:val="0"/>
        </w:rPr>
        <w:t>1066-1073</w:t>
      </w:r>
      <w:r>
        <w:rPr>
          <w:kern w:val="0"/>
        </w:rPr>
        <w:t>.</w:t>
      </w:r>
    </w:p>
    <w:p w:rsidR="009F6CF0" w:rsidRDefault="009F6CF0" w:rsidP="009F6CF0">
      <w:pPr>
        <w:pStyle w:val="a3"/>
      </w:pPr>
      <w:r w:rsidRPr="00F219CA">
        <w:t xml:space="preserve">Full Text: </w:t>
      </w:r>
      <w:hyperlink r:id="rId132" w:history="1">
        <w:r w:rsidRPr="0069586E">
          <w:rPr>
            <w:rStyle w:val="a5"/>
          </w:rPr>
          <w:t>2010\Act Eco Sin30, 1066.pdf</w:t>
        </w:r>
      </w:hyperlink>
    </w:p>
    <w:p w:rsidR="009F6CF0" w:rsidRDefault="009F6CF0" w:rsidP="009F6CF0">
      <w:pPr>
        <w:pStyle w:val="a3"/>
      </w:pPr>
      <w:r>
        <w:t>Abstract: Study on the biodiversity is a comprehensive</w:t>
      </w:r>
      <w:r w:rsidR="005853A9">
        <w:t xml:space="preserve"> and </w:t>
      </w:r>
      <w:r>
        <w:t>interdisciplinary subject. By the end</w:t>
      </w:r>
      <w:r w:rsidR="00427468">
        <w:t xml:space="preserve"> of </w:t>
      </w:r>
      <w:r>
        <w:t>1997, the Science Magazine made a prediction about thatBiodiversitywould be one</w:t>
      </w:r>
      <w:r w:rsidR="00427468">
        <w:t xml:space="preserve"> of </w:t>
      </w:r>
      <w:r>
        <w:t>the six research hotspots in 1998</w:t>
      </w:r>
      <w:r w:rsidR="005853A9">
        <w:t xml:space="preserve"> and </w:t>
      </w:r>
      <w:r>
        <w:t>in the near future. Research papers on biodiversity during 1986 to 2008, which included articles, proceedings papers,</w:t>
      </w:r>
      <w:r w:rsidR="005853A9">
        <w:t xml:space="preserve"> and </w:t>
      </w:r>
      <w:r>
        <w:t>reviews, were retrieved from Science Citation Index Expanded (SCIE) database</w:t>
      </w:r>
      <w:r w:rsidR="00A37C1D">
        <w:t>. The</w:t>
      </w:r>
      <w:r>
        <w:t xml:space="preserve"> hotspots</w:t>
      </w:r>
      <w:r w:rsidR="005853A9">
        <w:t xml:space="preserve"> and </w:t>
      </w:r>
      <w:r>
        <w:t>development trends</w:t>
      </w:r>
      <w:r w:rsidR="00427468">
        <w:t xml:space="preserve"> of </w:t>
      </w:r>
      <w:r>
        <w:t>the biodiversity research were extracted based on data mining by using the Thomson Data Analyzer (TDA)</w:t>
      </w:r>
      <w:r w:rsidR="005853A9">
        <w:t xml:space="preserve"> and </w:t>
      </w:r>
      <w:r>
        <w:t>Aureka analysis platform</w:t>
      </w:r>
      <w:r w:rsidR="00427468">
        <w:t xml:space="preserve"> of </w:t>
      </w:r>
      <w:r>
        <w:t>Thomson Reuters Company</w:t>
      </w:r>
      <w:r w:rsidR="00A37C1D">
        <w:t>. The</w:t>
      </w:r>
      <w:r>
        <w:t xml:space="preserve"> results indicated that biodiversity research involved many interrelated fields, such as ecology, environmental science, botany, biodiversity conservation, genetics, marine</w:t>
      </w:r>
      <w:r w:rsidR="005853A9">
        <w:t xml:space="preserve"> and </w:t>
      </w:r>
      <w:r>
        <w:t>freshwater biology, microbiology, agronomy,</w:t>
      </w:r>
      <w:r w:rsidR="005853A9">
        <w:t xml:space="preserve"> and </w:t>
      </w:r>
      <w:r>
        <w:t>so on. Among these fields, biodiversity conservation, genetics, biochemistry</w:t>
      </w:r>
      <w:r w:rsidR="005853A9">
        <w:t xml:space="preserve"> and </w:t>
      </w:r>
      <w:r>
        <w:t>molecular biology had shown relatively fast increase in paper number</w:t>
      </w:r>
      <w:r w:rsidR="00A37C1D">
        <w:t>. The</w:t>
      </w:r>
      <w:r>
        <w:t xml:space="preserve"> International biodiversity research paid more</w:t>
      </w:r>
      <w:r w:rsidR="005853A9">
        <w:t xml:space="preserve"> and </w:t>
      </w:r>
      <w:r>
        <w:t>more attentions on microsatellites, AFLP,</w:t>
      </w:r>
      <w:r w:rsidR="005853A9">
        <w:t xml:space="preserve"> and </w:t>
      </w:r>
      <w:r>
        <w:t>biogeography. Its hotspots mainly focused on plant diversity development, biodiversity conservation, species richness, genetic diversity, sustainable management, climatic change, forest, soil, ecosystem, etc</w:t>
      </w:r>
      <w:r w:rsidR="00A37C1D">
        <w:t>. The</w:t>
      </w:r>
      <w:r>
        <w:t xml:space="preserve"> international biodiversity research focused more on the interaction between human society</w:t>
      </w:r>
      <w:r w:rsidR="005853A9">
        <w:t xml:space="preserve"> and </w:t>
      </w:r>
      <w:r>
        <w:t>biodiversity. In addition, the advanced technologies, such asDNA technology</w:t>
      </w:r>
      <w:r w:rsidR="005853A9">
        <w:t xml:space="preserve"> and </w:t>
      </w:r>
      <w:r>
        <w:t>genetic engineering, played a more prominent role in research</w:t>
      </w:r>
      <w:r w:rsidR="005853A9">
        <w:t xml:space="preserve"> and </w:t>
      </w:r>
      <w:r>
        <w:t>conservation</w:t>
      </w:r>
      <w:r w:rsidR="00427468">
        <w:t xml:space="preserve"> of </w:t>
      </w:r>
      <w:r>
        <w:t>biodiversity.</w:t>
      </w:r>
    </w:p>
    <w:p w:rsidR="009F6CF0" w:rsidRPr="00F219CA" w:rsidRDefault="009F6CF0" w:rsidP="009F6CF0">
      <w:pPr>
        <w:pStyle w:val="a3"/>
      </w:pPr>
      <w:r>
        <w:t>Keywords: Biodiversity, Ecology, Species, Global Change, Bibliometrical Analysis</w:t>
      </w:r>
    </w:p>
    <w:p w:rsidR="0027493F" w:rsidRPr="001A3D2B" w:rsidRDefault="0027493F" w:rsidP="0027493F">
      <w:pPr>
        <w:pStyle w:val="1"/>
      </w:pPr>
      <w:r w:rsidRPr="001A3D2B">
        <w:br w:type="page"/>
      </w:r>
      <w:bookmarkStart w:id="64" w:name="_Toc420814261"/>
      <w:r w:rsidRPr="001A3D2B">
        <w:lastRenderedPageBreak/>
        <w:t xml:space="preserve">Title: </w:t>
      </w:r>
      <w:r w:rsidRPr="0027493F">
        <w:t>Acta Endocrinologica</w:t>
      </w:r>
      <w:bookmarkEnd w:id="64"/>
    </w:p>
    <w:p w:rsidR="0027493F" w:rsidRPr="001A3D2B" w:rsidRDefault="0027493F" w:rsidP="0027493F">
      <w:pPr>
        <w:pStyle w:val="12"/>
      </w:pPr>
      <w:r w:rsidRPr="001A3D2B">
        <w:t xml:space="preserve">Full Journal Title: </w:t>
      </w:r>
      <w:r w:rsidRPr="0027493F">
        <w:rPr>
          <w:iCs/>
          <w:kern w:val="0"/>
        </w:rPr>
        <w:t>Acta Endocrinologica</w:t>
      </w:r>
    </w:p>
    <w:p w:rsidR="0027493F" w:rsidRPr="001A3D2B" w:rsidRDefault="0027493F" w:rsidP="0027493F">
      <w:pPr>
        <w:pStyle w:val="12"/>
      </w:pPr>
      <w:r w:rsidRPr="001A3D2B">
        <w:t xml:space="preserve">ISO Abbreviated Title: </w:t>
      </w:r>
    </w:p>
    <w:p w:rsidR="0027493F" w:rsidRPr="001A3D2B" w:rsidRDefault="0027493F" w:rsidP="0027493F">
      <w:pPr>
        <w:pStyle w:val="12"/>
      </w:pPr>
      <w:r w:rsidRPr="001A3D2B">
        <w:t xml:space="preserve">JCR Abbreviated Title: </w:t>
      </w:r>
    </w:p>
    <w:p w:rsidR="0027493F" w:rsidRPr="001A3D2B" w:rsidRDefault="0027493F" w:rsidP="0027493F">
      <w:pPr>
        <w:pStyle w:val="12"/>
      </w:pPr>
      <w:r w:rsidRPr="001A3D2B">
        <w:t xml:space="preserve">ISSN: </w:t>
      </w:r>
    </w:p>
    <w:p w:rsidR="0027493F" w:rsidRPr="001A3D2B" w:rsidRDefault="0027493F" w:rsidP="0027493F">
      <w:pPr>
        <w:pStyle w:val="12"/>
      </w:pPr>
      <w:r w:rsidRPr="001A3D2B">
        <w:t xml:space="preserve">Issues/Year: </w:t>
      </w:r>
    </w:p>
    <w:p w:rsidR="0027493F" w:rsidRPr="001A3D2B" w:rsidRDefault="0027493F" w:rsidP="0027493F">
      <w:pPr>
        <w:pStyle w:val="12"/>
      </w:pPr>
      <w:r w:rsidRPr="001A3D2B">
        <w:t xml:space="preserve">Journal Country/Territory: </w:t>
      </w:r>
    </w:p>
    <w:p w:rsidR="0027493F" w:rsidRPr="001A3D2B" w:rsidRDefault="0027493F" w:rsidP="0027493F">
      <w:pPr>
        <w:pStyle w:val="12"/>
      </w:pPr>
      <w:r w:rsidRPr="001A3D2B">
        <w:t xml:space="preserve">Language: </w:t>
      </w:r>
    </w:p>
    <w:p w:rsidR="0027493F" w:rsidRPr="001A3D2B" w:rsidRDefault="0027493F" w:rsidP="0027493F">
      <w:pPr>
        <w:pStyle w:val="12"/>
      </w:pPr>
      <w:r w:rsidRPr="001A3D2B">
        <w:t xml:space="preserve">Publisher: </w:t>
      </w:r>
    </w:p>
    <w:p w:rsidR="0027493F" w:rsidRPr="001A3D2B" w:rsidRDefault="0027493F" w:rsidP="0027493F">
      <w:pPr>
        <w:pStyle w:val="12"/>
      </w:pPr>
      <w:r w:rsidRPr="001A3D2B">
        <w:t xml:space="preserve">Publisher Address: </w:t>
      </w:r>
    </w:p>
    <w:p w:rsidR="0027493F" w:rsidRPr="001A3D2B" w:rsidRDefault="0027493F" w:rsidP="0027493F">
      <w:pPr>
        <w:pStyle w:val="12"/>
      </w:pPr>
      <w:r w:rsidRPr="001A3D2B">
        <w:t xml:space="preserve">Subject Categories: </w:t>
      </w:r>
    </w:p>
    <w:p w:rsidR="0027493F" w:rsidRPr="001A3D2B" w:rsidRDefault="0027493F" w:rsidP="0027493F">
      <w:pPr>
        <w:pStyle w:val="12"/>
      </w:pPr>
      <w:r w:rsidRPr="001A3D2B">
        <w:t xml:space="preserve">: Impact Factor </w:t>
      </w:r>
    </w:p>
    <w:p w:rsidR="0027493F" w:rsidRDefault="0027493F" w:rsidP="0027493F">
      <w:pPr>
        <w:pStyle w:val="a3"/>
        <w:rPr>
          <w:kern w:val="0"/>
        </w:rPr>
      </w:pPr>
      <w:r>
        <w:rPr>
          <w:rFonts w:hint="eastAsia"/>
          <w:kern w:val="0"/>
        </w:rPr>
        <w:t xml:space="preserve">? </w:t>
      </w:r>
      <w:r>
        <w:rPr>
          <w:kern w:val="0"/>
        </w:rPr>
        <w:t>Binder, C. (1990), Self-plagiarism</w:t>
      </w:r>
      <w:r w:rsidR="005853A9">
        <w:rPr>
          <w:kern w:val="0"/>
        </w:rPr>
        <w:t xml:space="preserve"> and </w:t>
      </w:r>
      <w:r>
        <w:rPr>
          <w:kern w:val="0"/>
        </w:rPr>
        <w:t xml:space="preserve">multiple publications - Negligence or epidemic disease. </w:t>
      </w:r>
      <w:r w:rsidRPr="0027493F">
        <w:rPr>
          <w:i/>
          <w:iCs/>
          <w:kern w:val="0"/>
        </w:rPr>
        <w:t>Acta Endocrinologica</w:t>
      </w:r>
      <w:r>
        <w:rPr>
          <w:kern w:val="0"/>
        </w:rPr>
        <w:t xml:space="preserve">, </w:t>
      </w:r>
      <w:r>
        <w:rPr>
          <w:b/>
          <w:bCs/>
          <w:kern w:val="0"/>
        </w:rPr>
        <w:t>122</w:t>
      </w:r>
      <w:r>
        <w:rPr>
          <w:kern w:val="0"/>
        </w:rPr>
        <w:t xml:space="preserve"> (1), 7.</w:t>
      </w:r>
    </w:p>
    <w:p w:rsidR="0027493F" w:rsidRPr="00F219CA" w:rsidRDefault="0027493F" w:rsidP="0027493F">
      <w:pPr>
        <w:pStyle w:val="a3"/>
      </w:pPr>
      <w:r w:rsidRPr="00F219CA">
        <w:t>Full Text: 19</w:t>
      </w:r>
      <w:r>
        <w:rPr>
          <w:rFonts w:hint="eastAsia"/>
        </w:rPr>
        <w:t>90</w:t>
      </w:r>
      <w:r w:rsidRPr="00F219CA">
        <w:t xml:space="preserve">\Act </w:t>
      </w:r>
      <w:r>
        <w:rPr>
          <w:rFonts w:hint="eastAsia"/>
        </w:rPr>
        <w:t>End122</w:t>
      </w:r>
      <w:r w:rsidRPr="00F219CA">
        <w:t xml:space="preserve">, </w:t>
      </w:r>
      <w:r>
        <w:rPr>
          <w:rFonts w:hint="eastAsia"/>
        </w:rPr>
        <w:t>7</w:t>
      </w:r>
      <w:r w:rsidRPr="00F219CA">
        <w:t>.pdf</w:t>
      </w:r>
    </w:p>
    <w:p w:rsidR="0027493F" w:rsidRDefault="0027493F" w:rsidP="0027493F">
      <w:pPr>
        <w:pStyle w:val="a3"/>
        <w:rPr>
          <w:kern w:val="0"/>
        </w:rPr>
      </w:pPr>
      <w:r>
        <w:rPr>
          <w:kern w:val="0"/>
        </w:rPr>
        <w:t>Keywords: Publications</w:t>
      </w:r>
    </w:p>
    <w:p w:rsidR="00F64F85" w:rsidRPr="001A3D2B" w:rsidRDefault="00F64F85" w:rsidP="00F64F85">
      <w:pPr>
        <w:pStyle w:val="1"/>
      </w:pPr>
      <w:r w:rsidRPr="001A3D2B">
        <w:br w:type="page"/>
      </w:r>
      <w:bookmarkStart w:id="65" w:name="_Toc420814262"/>
      <w:r w:rsidRPr="001A3D2B">
        <w:lastRenderedPageBreak/>
        <w:t xml:space="preserve">Title: </w:t>
      </w:r>
      <w:r w:rsidRPr="00826EB9">
        <w:t>Acta Endocrinologica-Bucharest</w:t>
      </w:r>
      <w:bookmarkEnd w:id="65"/>
    </w:p>
    <w:p w:rsidR="00F64F85" w:rsidRPr="001A3D2B" w:rsidRDefault="00F64F85" w:rsidP="00F64F85">
      <w:pPr>
        <w:pStyle w:val="12"/>
      </w:pPr>
      <w:r w:rsidRPr="001A3D2B">
        <w:t xml:space="preserve">Full Journal Title: </w:t>
      </w:r>
      <w:r w:rsidRPr="00826EB9">
        <w:rPr>
          <w:iCs/>
          <w:kern w:val="0"/>
        </w:rPr>
        <w:t>Acta Endocrinologica-Bucharest</w:t>
      </w:r>
    </w:p>
    <w:p w:rsidR="00F64F85" w:rsidRPr="001A3D2B" w:rsidRDefault="00F64F85" w:rsidP="00F64F85">
      <w:pPr>
        <w:pStyle w:val="12"/>
      </w:pPr>
      <w:r w:rsidRPr="001A3D2B">
        <w:t xml:space="preserve">ISO Abbreviated Title: </w:t>
      </w:r>
    </w:p>
    <w:p w:rsidR="00F64F85" w:rsidRPr="001A3D2B" w:rsidRDefault="00F64F85" w:rsidP="00F64F85">
      <w:pPr>
        <w:pStyle w:val="12"/>
      </w:pPr>
      <w:r w:rsidRPr="001A3D2B">
        <w:t xml:space="preserve">JCR Abbreviated Title: </w:t>
      </w:r>
    </w:p>
    <w:p w:rsidR="00F64F85" w:rsidRPr="001A3D2B" w:rsidRDefault="00F64F85" w:rsidP="00F64F85">
      <w:pPr>
        <w:pStyle w:val="12"/>
      </w:pPr>
      <w:r w:rsidRPr="001A3D2B">
        <w:t xml:space="preserve">ISSN: </w:t>
      </w:r>
    </w:p>
    <w:p w:rsidR="00F64F85" w:rsidRPr="001A3D2B" w:rsidRDefault="00F64F85" w:rsidP="00F64F85">
      <w:pPr>
        <w:pStyle w:val="12"/>
      </w:pPr>
      <w:r w:rsidRPr="001A3D2B">
        <w:t xml:space="preserve">Issues/Year: </w:t>
      </w:r>
    </w:p>
    <w:p w:rsidR="00F64F85" w:rsidRPr="001A3D2B" w:rsidRDefault="00F64F85" w:rsidP="00F64F85">
      <w:pPr>
        <w:pStyle w:val="12"/>
      </w:pPr>
      <w:r w:rsidRPr="001A3D2B">
        <w:t xml:space="preserve">Journal Country/Territory: </w:t>
      </w:r>
    </w:p>
    <w:p w:rsidR="00F64F85" w:rsidRPr="001A3D2B" w:rsidRDefault="00F64F85" w:rsidP="00F64F85">
      <w:pPr>
        <w:pStyle w:val="12"/>
      </w:pPr>
      <w:r w:rsidRPr="001A3D2B">
        <w:t xml:space="preserve">Language: </w:t>
      </w:r>
    </w:p>
    <w:p w:rsidR="00F64F85" w:rsidRPr="001A3D2B" w:rsidRDefault="00F64F85" w:rsidP="00F64F85">
      <w:pPr>
        <w:pStyle w:val="12"/>
      </w:pPr>
      <w:r w:rsidRPr="001A3D2B">
        <w:t xml:space="preserve">Publisher: </w:t>
      </w:r>
    </w:p>
    <w:p w:rsidR="00F64F85" w:rsidRPr="001A3D2B" w:rsidRDefault="00F64F85" w:rsidP="00F64F85">
      <w:pPr>
        <w:pStyle w:val="12"/>
      </w:pPr>
      <w:r w:rsidRPr="001A3D2B">
        <w:t xml:space="preserve">Publisher Address: </w:t>
      </w:r>
    </w:p>
    <w:p w:rsidR="00F64F85" w:rsidRPr="001A3D2B" w:rsidRDefault="00F64F85" w:rsidP="00F64F85">
      <w:pPr>
        <w:pStyle w:val="12"/>
      </w:pPr>
      <w:r w:rsidRPr="001A3D2B">
        <w:t xml:space="preserve">Subject Categories: </w:t>
      </w:r>
    </w:p>
    <w:p w:rsidR="00F64F85" w:rsidRPr="001A3D2B" w:rsidRDefault="00F64F85" w:rsidP="00F64F85">
      <w:pPr>
        <w:pStyle w:val="12"/>
      </w:pPr>
      <w:r w:rsidRPr="001A3D2B">
        <w:t xml:space="preserve">: Impact Factor </w:t>
      </w:r>
    </w:p>
    <w:p w:rsidR="00F64F85" w:rsidRDefault="00F64F85" w:rsidP="00F64F85">
      <w:pPr>
        <w:pStyle w:val="a3"/>
        <w:rPr>
          <w:kern w:val="0"/>
        </w:rPr>
      </w:pPr>
      <w:r>
        <w:rPr>
          <w:rFonts w:hint="eastAsia"/>
          <w:kern w:val="0"/>
        </w:rPr>
        <w:t xml:space="preserve">? </w:t>
      </w:r>
      <w:r>
        <w:rPr>
          <w:kern w:val="0"/>
        </w:rPr>
        <w:t xml:space="preserve">Zhou, J. and Xu, H. (2014), Low carbohydrate and high protein diets and all-cause, cancer and cardiovascular diseases mortalities: A systematic review and meta-analysis from 7 cohort studies. </w:t>
      </w:r>
      <w:r w:rsidRPr="00826EB9">
        <w:rPr>
          <w:i/>
          <w:iCs/>
          <w:kern w:val="0"/>
        </w:rPr>
        <w:t>Acta Endocrinologica-Bucharest</w:t>
      </w:r>
      <w:r>
        <w:rPr>
          <w:kern w:val="0"/>
        </w:rPr>
        <w:t xml:space="preserve">, </w:t>
      </w:r>
      <w:r>
        <w:rPr>
          <w:b/>
          <w:bCs/>
          <w:kern w:val="0"/>
        </w:rPr>
        <w:t>10</w:t>
      </w:r>
      <w:r>
        <w:rPr>
          <w:kern w:val="0"/>
        </w:rPr>
        <w:t xml:space="preserve"> (2), 259-266.</w:t>
      </w:r>
    </w:p>
    <w:p w:rsidR="00F64F85" w:rsidRPr="00F219CA" w:rsidRDefault="00F64F85" w:rsidP="00F64F85">
      <w:pPr>
        <w:pStyle w:val="a3"/>
      </w:pPr>
      <w:r w:rsidRPr="00F219CA">
        <w:t xml:space="preserve">Full Text: </w:t>
      </w:r>
      <w:hyperlink r:id="rId133" w:history="1">
        <w:r w:rsidRPr="00826EB9">
          <w:rPr>
            <w:rStyle w:val="a5"/>
          </w:rPr>
          <w:t>2014\Act End-Buc10, 259.pdf</w:t>
        </w:r>
      </w:hyperlink>
    </w:p>
    <w:p w:rsidR="00F64F85" w:rsidRDefault="00F64F85" w:rsidP="00F64F85">
      <w:pPr>
        <w:pStyle w:val="a3"/>
        <w:rPr>
          <w:kern w:val="0"/>
        </w:rPr>
      </w:pPr>
      <w:r>
        <w:rPr>
          <w:kern w:val="0"/>
        </w:rPr>
        <w:t>Abstract: Background &amp; Aims. Results from observational studies on low carbohydrate and high protein (LCHP) diets on all-cause mortality and cause-specific mortality are inconsistent</w:t>
      </w:r>
      <w:r w:rsidR="00A37C1D">
        <w:rPr>
          <w:kern w:val="0"/>
        </w:rPr>
        <w:t>. The</w:t>
      </w:r>
      <w:r>
        <w:rPr>
          <w:kern w:val="0"/>
        </w:rPr>
        <w:t xml:space="preserve"> objective of the present meta-analysis was to investigate LCHP diets and mortality, and cause-specific mortality. Methods. Med line, EMBASE and web of science database were searched for cohort studies published from January 2000 to April 2013. A database was developed on the basis of 7 cohorts from 6 studies, including 279,332 individuals with an average 13.2 years of follow-up. Results. A significantly increased risk of all-cause mortality was observed among those who adhere to LCHP diets [(HR (95% CI): 1.06 (1.04, 1.09); p = 0.001; 12 = 8.2% (p = 0.336)]. However, there were no significant associations between LCHP diets and mortalities from cancer [(HR (95% CI): 1.02 (0.98, 1.05); p = 0.097; 12 = 59.9% (p = 0.041)] and CVD [(HR (95% CI): 1.01 (0.98, 1.03); p = 0.428; 12 = 24.0% (p = 0.0.254)]. Furthermore, a significantly decreased risk of all-cause mortality among those who adhere to high carbohydrate diets [(HR (95% CI): 0.97 (0.94, 0.98); p &lt;0.001; 12 = 5.7% (p = 0.364)] was observed. Conclusion. Present results support that long-term LCHP diets could cause increased mortality of all-cause, while high carbohydrate diets have a protective effect for all-cause mortality. Our analysis provides health professionals with an incentive to pay attention to the adverse effects of LCHP diets on health.</w:t>
      </w:r>
    </w:p>
    <w:p w:rsidR="00F64F85" w:rsidRDefault="00F64F85" w:rsidP="00F64F85">
      <w:pPr>
        <w:pStyle w:val="a3"/>
        <w:rPr>
          <w:kern w:val="0"/>
        </w:rPr>
      </w:pPr>
      <w:r>
        <w:rPr>
          <w:kern w:val="0"/>
        </w:rPr>
        <w:t xml:space="preserve">Keywords: Adverse Effects, Analysis, Attention, Cancer, Carbohydrate, Cardiovascular </w:t>
      </w:r>
      <w:r>
        <w:rPr>
          <w:kern w:val="0"/>
        </w:rPr>
        <w:lastRenderedPageBreak/>
        <w:t>Disease, Cardiovascular Diseases, Cohort, Database, Effects, Embase, Follow-Up, Glycemic Load, Health, Health Professionals, Index, Long Term, Long-Term, Low-Fat Diet, Men, Meta Analysis, Meta-Analysis, Metaanalysis, Methods, Mortality, Nutrition, Observational, Observational Studies, Population, Protein, Results, Review, Risk, Science, Support, Survival, Systematic Review, Web, Web Of Science, Weight-Loss, Women</w:t>
      </w:r>
    </w:p>
    <w:p w:rsidR="00067D36" w:rsidRDefault="00067D36" w:rsidP="00067D36">
      <w:pPr>
        <w:pStyle w:val="a3"/>
        <w:rPr>
          <w:kern w:val="0"/>
        </w:rPr>
      </w:pPr>
      <w:r>
        <w:rPr>
          <w:kern w:val="0"/>
        </w:rPr>
        <w:t xml:space="preserve">? Ren, H., Tan, S., Zhang, Y., Lin, Z., Peng, D., Liu, W., Huang, T. and Hu, J. (2014), The C677T methylenetetrahydrofolate reductase mutation and Alzheimer’s disease: A Meta-analysis of 33 studies. </w:t>
      </w:r>
      <w:r>
        <w:rPr>
          <w:i/>
          <w:iCs/>
          <w:kern w:val="0"/>
        </w:rPr>
        <w:t>Acta Endocrinologica-Bucharest</w:t>
      </w:r>
      <w:r>
        <w:rPr>
          <w:kern w:val="0"/>
        </w:rPr>
        <w:t xml:space="preserve">, </w:t>
      </w:r>
      <w:r>
        <w:rPr>
          <w:b/>
          <w:bCs/>
          <w:kern w:val="0"/>
        </w:rPr>
        <w:t>10</w:t>
      </w:r>
      <w:r>
        <w:rPr>
          <w:kern w:val="0"/>
        </w:rPr>
        <w:t xml:space="preserve"> (3), 443-456.</w:t>
      </w:r>
    </w:p>
    <w:p w:rsidR="00067D36" w:rsidRPr="00F219CA" w:rsidRDefault="00067D36" w:rsidP="00067D36">
      <w:pPr>
        <w:pStyle w:val="a3"/>
      </w:pPr>
      <w:r w:rsidRPr="00F219CA">
        <w:t xml:space="preserve">Full Text: </w:t>
      </w:r>
      <w:hyperlink r:id="rId134" w:history="1">
        <w:r w:rsidRPr="00067D36">
          <w:rPr>
            <w:rStyle w:val="a5"/>
          </w:rPr>
          <w:t>2014\Act End-Buc10, 443.pdf</w:t>
        </w:r>
      </w:hyperlink>
    </w:p>
    <w:p w:rsidR="00067D36" w:rsidRDefault="00067D36" w:rsidP="00067D36">
      <w:pPr>
        <w:pStyle w:val="a3"/>
        <w:rPr>
          <w:kern w:val="0"/>
        </w:rPr>
      </w:pPr>
      <w:r>
        <w:rPr>
          <w:kern w:val="0"/>
        </w:rPr>
        <w:t>Abstract: Context. Data are conflicting concerning risk for Alzheimer’s disease (AD) and 5,10-methylenetetrahydrofolate reductase genetic variant (MTHFR C677T). Objective. The aim of the study was to investigate the associations of MTHFR C677T and risk of developing AD. Design and Methods. We searched the relevant articles by using Medline, web of science, and abstracts of conference proceedings. The meta-analysis and statistical analyses were performed using Stata. Results. In 33 included studies which provided 4518 cases and 5476 controls, the analysis for investigating the association between C677T allele T and the risk of developing AD relative to the allele C revealed no heterogeneity (p=0.088, I2=26.1%) between the 33 studies; the random effects (RE) pooled OR was significant: [RE OR=1.13(1.05-1.22)]. In subgroup analysis, we only observed the significant results in Asian populations. The pooled analysis for MTHFR 677 CT+TT vs. 677CC revealed a significant result [fixed effect (FE) OR=1.22(1.10-1.34)]. However, we did not observe significant associations in Europeans when comparing MTHFR 677 CT+TT with 677CC in subgroup analysis. The pooled analysis for MTHFR 677 IT vs. 677CC+CT did not reveal significant results: [FE OR=1.08(0.95-1.22)]. Conclusion. The risk allele T of MTHFR C677T is associated with high risk of AD in Asian populations, but not in Europeans.</w:t>
      </w:r>
    </w:p>
    <w:p w:rsidR="00067D36" w:rsidRDefault="00067D36" w:rsidP="00067D36">
      <w:pPr>
        <w:pStyle w:val="a3"/>
        <w:rPr>
          <w:kern w:val="0"/>
        </w:rPr>
      </w:pPr>
      <w:r>
        <w:rPr>
          <w:kern w:val="0"/>
        </w:rPr>
        <w:t>Keywords: Ad, Alzheimer’S Disease, Analyses, Analysis, Articles, Asian, Association, Conference Proceedings, Data, Design, Developing, Disease, Effects, Environmental-Factors, Fe, Folate, Genetic, Genetic Variant, Heterogeneity, Medline, Meta Analysis, Meta-Analysis, Metaanalysis, Methods, Mthfr, Mthfr C677t, Mthfr Gene, Plasma Homocysteine, Polymorphisms, Pooled Analysis, Populations, Re, Results, Risk, Risk-Factors, Science, Stata, Statistical Analyses, Susceptibility, Total Homocysteine Levels, Vascular Dementia, Web, Web Of Science</w:t>
      </w:r>
    </w:p>
    <w:p w:rsidR="004A3B0D" w:rsidRPr="00F219CA" w:rsidRDefault="004A3B0D" w:rsidP="004A3B0D">
      <w:pPr>
        <w:pStyle w:val="1"/>
      </w:pPr>
      <w:r w:rsidRPr="00F219CA">
        <w:rPr>
          <w:lang w:val="en-GB"/>
        </w:rPr>
        <w:br w:type="page"/>
      </w:r>
      <w:bookmarkStart w:id="66" w:name="_Toc420814263"/>
      <w:r w:rsidRPr="00F219CA">
        <w:lastRenderedPageBreak/>
        <w:t xml:space="preserve">Title: </w:t>
      </w:r>
      <w:r w:rsidRPr="007817FB">
        <w:t>Acta Geographica Slovenica-Geografski Zbornik</w:t>
      </w:r>
      <w:bookmarkEnd w:id="66"/>
    </w:p>
    <w:p w:rsidR="004A3B0D" w:rsidRPr="00F219CA" w:rsidRDefault="004A3B0D" w:rsidP="004A3B0D">
      <w:pPr>
        <w:pStyle w:val="12"/>
      </w:pPr>
      <w:r w:rsidRPr="00F219CA">
        <w:t xml:space="preserve">Full Journal Title: </w:t>
      </w:r>
      <w:r w:rsidRPr="007817FB">
        <w:rPr>
          <w:iCs/>
          <w:kern w:val="0"/>
        </w:rPr>
        <w:t>Acta Geographica Slovenica-Geografski Zbornik</w:t>
      </w:r>
    </w:p>
    <w:p w:rsidR="004A3B0D" w:rsidRPr="00F219CA" w:rsidRDefault="004A3B0D" w:rsidP="004A3B0D">
      <w:pPr>
        <w:pStyle w:val="12"/>
      </w:pPr>
      <w:r w:rsidRPr="00F219CA">
        <w:t xml:space="preserve">ISO Abbreviated Title: </w:t>
      </w:r>
    </w:p>
    <w:p w:rsidR="004A3B0D" w:rsidRPr="00F219CA" w:rsidRDefault="004A3B0D" w:rsidP="004A3B0D">
      <w:pPr>
        <w:pStyle w:val="12"/>
      </w:pPr>
      <w:r w:rsidRPr="00F219CA">
        <w:t xml:space="preserve">JCR Abbreviated Title: </w:t>
      </w:r>
    </w:p>
    <w:p w:rsidR="004A3B0D" w:rsidRPr="00F219CA" w:rsidRDefault="004A3B0D" w:rsidP="004A3B0D">
      <w:pPr>
        <w:pStyle w:val="12"/>
      </w:pPr>
      <w:r w:rsidRPr="00F219CA">
        <w:t xml:space="preserve">ISSN: </w:t>
      </w:r>
      <w:r w:rsidRPr="007817FB">
        <w:t>1581-6613</w:t>
      </w:r>
    </w:p>
    <w:p w:rsidR="004A3B0D" w:rsidRPr="00F219CA" w:rsidRDefault="004A3B0D" w:rsidP="004A3B0D">
      <w:pPr>
        <w:pStyle w:val="12"/>
      </w:pPr>
      <w:r w:rsidRPr="00F219CA">
        <w:t xml:space="preserve">Issues/Year: </w:t>
      </w:r>
    </w:p>
    <w:p w:rsidR="004A3B0D" w:rsidRPr="00F219CA" w:rsidRDefault="004A3B0D" w:rsidP="004A3B0D">
      <w:pPr>
        <w:pStyle w:val="12"/>
      </w:pPr>
      <w:r w:rsidRPr="00F219CA">
        <w:t xml:space="preserve">Journal Country/Territory: </w:t>
      </w:r>
    </w:p>
    <w:p w:rsidR="004A3B0D" w:rsidRPr="00F219CA" w:rsidRDefault="004A3B0D" w:rsidP="004A3B0D">
      <w:pPr>
        <w:pStyle w:val="12"/>
      </w:pPr>
      <w:r w:rsidRPr="00F219CA">
        <w:t xml:space="preserve">Language: </w:t>
      </w:r>
    </w:p>
    <w:p w:rsidR="004A3B0D" w:rsidRPr="00F219CA" w:rsidRDefault="004A3B0D" w:rsidP="004A3B0D">
      <w:pPr>
        <w:pStyle w:val="12"/>
      </w:pPr>
      <w:r w:rsidRPr="00F219CA">
        <w:t xml:space="preserve">Publisher: </w:t>
      </w:r>
    </w:p>
    <w:p w:rsidR="004A3B0D" w:rsidRPr="00F219CA" w:rsidRDefault="004A3B0D" w:rsidP="004A3B0D">
      <w:pPr>
        <w:pStyle w:val="12"/>
      </w:pPr>
      <w:r w:rsidRPr="00F219CA">
        <w:t xml:space="preserve">Publisher Address: </w:t>
      </w:r>
    </w:p>
    <w:p w:rsidR="004A3B0D" w:rsidRPr="00F219CA" w:rsidRDefault="004A3B0D" w:rsidP="004A3B0D">
      <w:pPr>
        <w:pStyle w:val="12"/>
      </w:pPr>
      <w:r w:rsidRPr="00F219CA">
        <w:t xml:space="preserve">Subject Categories: </w:t>
      </w:r>
    </w:p>
    <w:p w:rsidR="004A3B0D" w:rsidRPr="00F219CA" w:rsidRDefault="004A3B0D" w:rsidP="004A3B0D">
      <w:pPr>
        <w:pStyle w:val="12"/>
      </w:pPr>
      <w:r w:rsidRPr="00F219CA">
        <w:t>: Impact Factor</w:t>
      </w:r>
    </w:p>
    <w:p w:rsidR="004A3B0D" w:rsidRDefault="004A3B0D" w:rsidP="004A3B0D">
      <w:pPr>
        <w:pStyle w:val="a3"/>
        <w:rPr>
          <w:kern w:val="0"/>
        </w:rPr>
      </w:pPr>
      <w:r>
        <w:rPr>
          <w:rFonts w:hint="eastAsia"/>
          <w:kern w:val="0"/>
        </w:rPr>
        <w:t xml:space="preserve">? </w:t>
      </w:r>
      <w:r>
        <w:rPr>
          <w:kern w:val="0"/>
        </w:rPr>
        <w:t>Zorn, M.</w:t>
      </w:r>
      <w:r w:rsidR="005853A9">
        <w:rPr>
          <w:kern w:val="0"/>
        </w:rPr>
        <w:t xml:space="preserve"> and </w:t>
      </w:r>
      <w:r>
        <w:rPr>
          <w:kern w:val="0"/>
        </w:rPr>
        <w:t>Komac, B. (2010</w:t>
      </w:r>
      <w:r w:rsidR="00F42EAC">
        <w:rPr>
          <w:kern w:val="0"/>
        </w:rPr>
        <w:t>), The</w:t>
      </w:r>
      <w:r w:rsidR="003A1917">
        <w:rPr>
          <w:kern w:val="0"/>
        </w:rPr>
        <w:t xml:space="preserve"> </w:t>
      </w:r>
      <w:r>
        <w:rPr>
          <w:kern w:val="0"/>
        </w:rPr>
        <w:t>history</w:t>
      </w:r>
      <w:r w:rsidR="00427468">
        <w:rPr>
          <w:kern w:val="0"/>
        </w:rPr>
        <w:t xml:space="preserve"> of </w:t>
      </w:r>
      <w:r w:rsidRPr="00AA3EF8">
        <w:rPr>
          <w:i/>
          <w:kern w:val="0"/>
        </w:rPr>
        <w:t>Acta Geographica Slovenica</w:t>
      </w:r>
      <w:r>
        <w:rPr>
          <w:kern w:val="0"/>
        </w:rPr>
        <w:t xml:space="preserve">. </w:t>
      </w:r>
      <w:r>
        <w:rPr>
          <w:i/>
          <w:iCs/>
          <w:kern w:val="0"/>
        </w:rPr>
        <w:t>Acta Geographica Slovenica-Geografski Zbornik</w:t>
      </w:r>
      <w:r>
        <w:rPr>
          <w:kern w:val="0"/>
        </w:rPr>
        <w:t xml:space="preserve">, </w:t>
      </w:r>
      <w:r>
        <w:rPr>
          <w:b/>
          <w:bCs/>
          <w:kern w:val="0"/>
        </w:rPr>
        <w:t>50</w:t>
      </w:r>
      <w:r>
        <w:rPr>
          <w:kern w:val="0"/>
        </w:rPr>
        <w:t xml:space="preserve"> (1), 8-25.</w:t>
      </w:r>
    </w:p>
    <w:p w:rsidR="004A3B0D" w:rsidRDefault="004A3B0D" w:rsidP="004A3B0D">
      <w:pPr>
        <w:pStyle w:val="a3"/>
        <w:rPr>
          <w:kern w:val="0"/>
        </w:rPr>
      </w:pPr>
      <w:r>
        <w:rPr>
          <w:rFonts w:hint="eastAsia"/>
          <w:kern w:val="0"/>
        </w:rPr>
        <w:t xml:space="preserve">Full Text: </w:t>
      </w:r>
      <w:hyperlink r:id="rId135" w:history="1">
        <w:r w:rsidRPr="007817FB">
          <w:rPr>
            <w:rStyle w:val="a5"/>
            <w:kern w:val="0"/>
          </w:rPr>
          <w:t>2010\Act Geo Slo50, 8.pdf</w:t>
        </w:r>
      </w:hyperlink>
    </w:p>
    <w:p w:rsidR="004A3B0D" w:rsidRDefault="004A3B0D" w:rsidP="004A3B0D">
      <w:pPr>
        <w:pStyle w:val="a3"/>
        <w:rPr>
          <w:kern w:val="0"/>
        </w:rPr>
      </w:pPr>
      <w:r>
        <w:rPr>
          <w:kern w:val="0"/>
        </w:rPr>
        <w:t>Abstract: Acta geographica Slovenica is a research journal for geography</w:t>
      </w:r>
      <w:r w:rsidR="005853A9">
        <w:rPr>
          <w:kern w:val="0"/>
        </w:rPr>
        <w:t xml:space="preserve"> and </w:t>
      </w:r>
      <w:r>
        <w:rPr>
          <w:kern w:val="0"/>
        </w:rPr>
        <w:t>related disciplines published by</w:t>
      </w:r>
      <w:r w:rsidR="003A1917">
        <w:rPr>
          <w:kern w:val="0"/>
        </w:rPr>
        <w:t xml:space="preserve"> the </w:t>
      </w:r>
      <w:r>
        <w:rPr>
          <w:kern w:val="0"/>
        </w:rPr>
        <w:t>Anton Melik Geographical Institute</w:t>
      </w:r>
      <w:r w:rsidR="00427468">
        <w:rPr>
          <w:kern w:val="0"/>
        </w:rPr>
        <w:t xml:space="preserve"> of </w:t>
      </w:r>
      <w:r>
        <w:rPr>
          <w:kern w:val="0"/>
        </w:rPr>
        <w:t>Scientific Research Centre</w:t>
      </w:r>
      <w:r w:rsidR="00427468">
        <w:rPr>
          <w:kern w:val="0"/>
        </w:rPr>
        <w:t xml:space="preserve"> of </w:t>
      </w:r>
      <w:r w:rsidR="003A1917">
        <w:rPr>
          <w:kern w:val="0"/>
        </w:rPr>
        <w:t xml:space="preserve">the </w:t>
      </w:r>
      <w:r>
        <w:rPr>
          <w:kern w:val="0"/>
        </w:rPr>
        <w:t>Slovenian Academy</w:t>
      </w:r>
      <w:r w:rsidR="00427468">
        <w:rPr>
          <w:kern w:val="0"/>
        </w:rPr>
        <w:t xml:space="preserve"> of </w:t>
      </w:r>
      <w:r>
        <w:rPr>
          <w:kern w:val="0"/>
        </w:rPr>
        <w:t>Sciences</w:t>
      </w:r>
      <w:r w:rsidR="005853A9">
        <w:rPr>
          <w:kern w:val="0"/>
        </w:rPr>
        <w:t xml:space="preserve"> and </w:t>
      </w:r>
      <w:r>
        <w:rPr>
          <w:kern w:val="0"/>
        </w:rPr>
        <w:t>Arts. It has been published since 1952</w:t>
      </w:r>
      <w:r w:rsidR="005853A9">
        <w:rPr>
          <w:kern w:val="0"/>
        </w:rPr>
        <w:t xml:space="preserve"> and </w:t>
      </w:r>
      <w:r>
        <w:rPr>
          <w:kern w:val="0"/>
        </w:rPr>
        <w:t>is</w:t>
      </w:r>
      <w:r w:rsidR="003A1917">
        <w:rPr>
          <w:kern w:val="0"/>
        </w:rPr>
        <w:t xml:space="preserve"> the </w:t>
      </w:r>
      <w:r>
        <w:rPr>
          <w:kern w:val="0"/>
        </w:rPr>
        <w:t>second-oldest Slovenian geographical journal. Volume 50 was published in 2010,</w:t>
      </w:r>
      <w:r w:rsidR="005853A9">
        <w:rPr>
          <w:kern w:val="0"/>
        </w:rPr>
        <w:t xml:space="preserve"> and </w:t>
      </w:r>
      <w:r>
        <w:rPr>
          <w:kern w:val="0"/>
        </w:rPr>
        <w:t>this article is dedicated to this special anniversary</w:t>
      </w:r>
      <w:r w:rsidR="00A37C1D">
        <w:rPr>
          <w:kern w:val="0"/>
        </w:rPr>
        <w:t>. The</w:t>
      </w:r>
      <w:r w:rsidR="003A1917">
        <w:rPr>
          <w:kern w:val="0"/>
        </w:rPr>
        <w:t xml:space="preserve"> </w:t>
      </w:r>
      <w:r>
        <w:rPr>
          <w:kern w:val="0"/>
        </w:rPr>
        <w:t>journal was only published occasionally until 1976, when</w:t>
      </w:r>
      <w:r w:rsidR="003A1917">
        <w:rPr>
          <w:kern w:val="0"/>
        </w:rPr>
        <w:t xml:space="preserve"> the </w:t>
      </w:r>
      <w:r>
        <w:rPr>
          <w:kern w:val="0"/>
        </w:rPr>
        <w:t>volume 14 appeared, but afterwards it began to be published annually, with two volumes a year since 2003 (volume 43). With volume 43,</w:t>
      </w:r>
      <w:r w:rsidR="003A1917">
        <w:rPr>
          <w:kern w:val="0"/>
        </w:rPr>
        <w:t xml:space="preserve"> the </w:t>
      </w:r>
      <w:r>
        <w:rPr>
          <w:kern w:val="0"/>
        </w:rPr>
        <w:t>journal was included in Science Citation Index Expanded (SCIE). Since 2010, it has also had an impact factor. For 2009, this factor was 0.714, which ranks</w:t>
      </w:r>
      <w:r w:rsidR="003A1917">
        <w:rPr>
          <w:kern w:val="0"/>
        </w:rPr>
        <w:t xml:space="preserve"> the </w:t>
      </w:r>
      <w:r>
        <w:rPr>
          <w:kern w:val="0"/>
        </w:rPr>
        <w:t>journal in third place among all indexed Slovenian journals. In all</w:t>
      </w:r>
      <w:r w:rsidR="003A1917">
        <w:rPr>
          <w:kern w:val="0"/>
        </w:rPr>
        <w:t xml:space="preserve"> the </w:t>
      </w:r>
      <w:r>
        <w:rPr>
          <w:kern w:val="0"/>
        </w:rPr>
        <w:t>volumes, a total</w:t>
      </w:r>
      <w:r w:rsidR="00427468">
        <w:rPr>
          <w:kern w:val="0"/>
        </w:rPr>
        <w:t xml:space="preserve"> of </w:t>
      </w:r>
      <w:r>
        <w:rPr>
          <w:kern w:val="0"/>
        </w:rPr>
        <w:t>273 research articles have been published on more than 12,000 pages; half</w:t>
      </w:r>
      <w:r w:rsidR="00427468">
        <w:rPr>
          <w:kern w:val="0"/>
        </w:rPr>
        <w:t xml:space="preserve"> of </w:t>
      </w:r>
      <w:r>
        <w:rPr>
          <w:kern w:val="0"/>
        </w:rPr>
        <w:t>these articles were written by</w:t>
      </w:r>
      <w:r w:rsidR="003A1917">
        <w:rPr>
          <w:kern w:val="0"/>
        </w:rPr>
        <w:t xml:space="preserve"> the </w:t>
      </w:r>
      <w:r>
        <w:rPr>
          <w:kern w:val="0"/>
        </w:rPr>
        <w:t>institute members.</w:t>
      </w:r>
    </w:p>
    <w:p w:rsidR="004A3B0D" w:rsidRDefault="004A3B0D" w:rsidP="004A3B0D">
      <w:pPr>
        <w:pStyle w:val="a3"/>
        <w:rPr>
          <w:kern w:val="0"/>
        </w:rPr>
      </w:pPr>
      <w:r>
        <w:rPr>
          <w:kern w:val="0"/>
        </w:rPr>
        <w:t>Keywords: Acta Geographica Slovenica, Anton Melik Geographical Institute, Geography, History, Impact, Impact Factor, Journal, Journals, Research, Science Citation Index, Scientific Research Centre</w:t>
      </w:r>
      <w:r w:rsidR="00427468">
        <w:rPr>
          <w:kern w:val="0"/>
        </w:rPr>
        <w:t xml:space="preserve"> of </w:t>
      </w:r>
      <w:r w:rsidR="003A1917">
        <w:rPr>
          <w:kern w:val="0"/>
        </w:rPr>
        <w:t xml:space="preserve">the </w:t>
      </w:r>
      <w:r>
        <w:rPr>
          <w:kern w:val="0"/>
        </w:rPr>
        <w:t>Slovenian Academy</w:t>
      </w:r>
      <w:r w:rsidR="00427468">
        <w:rPr>
          <w:kern w:val="0"/>
        </w:rPr>
        <w:t xml:space="preserve"> of </w:t>
      </w:r>
      <w:r>
        <w:rPr>
          <w:kern w:val="0"/>
        </w:rPr>
        <w:t>Sciences</w:t>
      </w:r>
      <w:r w:rsidR="005853A9">
        <w:rPr>
          <w:kern w:val="0"/>
        </w:rPr>
        <w:t xml:space="preserve"> and </w:t>
      </w:r>
      <w:r>
        <w:rPr>
          <w:kern w:val="0"/>
        </w:rPr>
        <w:t>Arts, Slovenia, Volume</w:t>
      </w:r>
    </w:p>
    <w:p w:rsidR="00920620" w:rsidRPr="001A3D2B" w:rsidRDefault="00920620" w:rsidP="00920620">
      <w:pPr>
        <w:pStyle w:val="1"/>
      </w:pPr>
      <w:r w:rsidRPr="001A3D2B">
        <w:br w:type="page"/>
      </w:r>
      <w:bookmarkStart w:id="67" w:name="_Toc420814264"/>
      <w:r w:rsidRPr="001A3D2B">
        <w:lastRenderedPageBreak/>
        <w:t xml:space="preserve">Title: </w:t>
      </w:r>
      <w:r w:rsidRPr="00920620">
        <w:t>Acta Haematologica</w:t>
      </w:r>
      <w:bookmarkEnd w:id="67"/>
    </w:p>
    <w:p w:rsidR="00920620" w:rsidRPr="001A3D2B" w:rsidRDefault="00920620" w:rsidP="00920620">
      <w:pPr>
        <w:pStyle w:val="12"/>
      </w:pPr>
      <w:r w:rsidRPr="001A3D2B">
        <w:t xml:space="preserve">Full Journal Title: </w:t>
      </w:r>
      <w:r w:rsidRPr="00920620">
        <w:rPr>
          <w:iCs/>
          <w:kern w:val="0"/>
        </w:rPr>
        <w:t>Acta Haematologica</w:t>
      </w:r>
    </w:p>
    <w:p w:rsidR="00920620" w:rsidRPr="001A3D2B" w:rsidRDefault="00920620" w:rsidP="00920620">
      <w:pPr>
        <w:pStyle w:val="12"/>
      </w:pPr>
      <w:r w:rsidRPr="001A3D2B">
        <w:t xml:space="preserve">ISO Abbreviated Title: </w:t>
      </w:r>
    </w:p>
    <w:p w:rsidR="00920620" w:rsidRPr="001A3D2B" w:rsidRDefault="00920620" w:rsidP="00920620">
      <w:pPr>
        <w:pStyle w:val="12"/>
      </w:pPr>
      <w:r w:rsidRPr="001A3D2B">
        <w:t xml:space="preserve">JCR Abbreviated Title: </w:t>
      </w:r>
    </w:p>
    <w:p w:rsidR="00920620" w:rsidRPr="001A3D2B" w:rsidRDefault="00920620" w:rsidP="00920620">
      <w:pPr>
        <w:pStyle w:val="12"/>
      </w:pPr>
      <w:r w:rsidRPr="001A3D2B">
        <w:t xml:space="preserve">ISSN: </w:t>
      </w:r>
    </w:p>
    <w:p w:rsidR="00920620" w:rsidRPr="001A3D2B" w:rsidRDefault="00920620" w:rsidP="00920620">
      <w:pPr>
        <w:pStyle w:val="12"/>
      </w:pPr>
      <w:r w:rsidRPr="001A3D2B">
        <w:t xml:space="preserve">Issues/Year: </w:t>
      </w:r>
    </w:p>
    <w:p w:rsidR="00920620" w:rsidRPr="001A3D2B" w:rsidRDefault="00920620" w:rsidP="00920620">
      <w:pPr>
        <w:pStyle w:val="12"/>
      </w:pPr>
      <w:r w:rsidRPr="001A3D2B">
        <w:t xml:space="preserve">Journal Country/Territory: </w:t>
      </w:r>
    </w:p>
    <w:p w:rsidR="00920620" w:rsidRPr="001A3D2B" w:rsidRDefault="00920620" w:rsidP="00920620">
      <w:pPr>
        <w:pStyle w:val="12"/>
      </w:pPr>
      <w:r w:rsidRPr="001A3D2B">
        <w:t xml:space="preserve">Language: </w:t>
      </w:r>
    </w:p>
    <w:p w:rsidR="00920620" w:rsidRPr="001A3D2B" w:rsidRDefault="00920620" w:rsidP="00920620">
      <w:pPr>
        <w:pStyle w:val="12"/>
      </w:pPr>
      <w:r w:rsidRPr="001A3D2B">
        <w:t xml:space="preserve">Publisher: </w:t>
      </w:r>
      <w:smartTag w:uri="urn:schemas-microsoft-com:office:smarttags" w:element="PlaceName">
        <w:r w:rsidRPr="001A3D2B">
          <w:t>Scandinavian</w:t>
        </w:r>
      </w:smartTag>
      <w:r w:rsidRPr="001A3D2B">
        <w:t xml:space="preserve"> </w:t>
      </w:r>
      <w:smartTag w:uri="urn:schemas-microsoft-com:office:smarttags" w:element="PlaceType">
        <w:r w:rsidRPr="001A3D2B">
          <w:t>University</w:t>
        </w:r>
      </w:smartTag>
      <w:r w:rsidRPr="001A3D2B">
        <w:t xml:space="preserve"> Press, </w:t>
      </w:r>
      <w:smartTag w:uri="urn:schemas-microsoft-com:office:smarttags" w:element="place">
        <w:smartTag w:uri="urn:schemas-microsoft-com:office:smarttags" w:element="City">
          <w:r w:rsidRPr="001A3D2B">
            <w:t>Oslo</w:t>
          </w:r>
        </w:smartTag>
      </w:smartTag>
    </w:p>
    <w:p w:rsidR="00920620" w:rsidRPr="001A3D2B" w:rsidRDefault="00920620" w:rsidP="00920620">
      <w:pPr>
        <w:pStyle w:val="12"/>
      </w:pPr>
      <w:r w:rsidRPr="001A3D2B">
        <w:t xml:space="preserve">Publisher Address: </w:t>
      </w:r>
    </w:p>
    <w:p w:rsidR="00920620" w:rsidRPr="001A3D2B" w:rsidRDefault="00920620" w:rsidP="00920620">
      <w:pPr>
        <w:pStyle w:val="12"/>
      </w:pPr>
      <w:r w:rsidRPr="001A3D2B">
        <w:t xml:space="preserve">Subject Categories: </w:t>
      </w:r>
    </w:p>
    <w:p w:rsidR="00920620" w:rsidRPr="001A3D2B" w:rsidRDefault="00920620" w:rsidP="00920620">
      <w:pPr>
        <w:pStyle w:val="12"/>
      </w:pPr>
      <w:r w:rsidRPr="001A3D2B">
        <w:t xml:space="preserve">: Impact Factor </w:t>
      </w:r>
    </w:p>
    <w:p w:rsidR="00920620" w:rsidRDefault="00920620" w:rsidP="00920620">
      <w:pPr>
        <w:pStyle w:val="a3"/>
        <w:rPr>
          <w:kern w:val="0"/>
        </w:rPr>
      </w:pPr>
      <w:r>
        <w:rPr>
          <w:rFonts w:hint="eastAsia"/>
          <w:kern w:val="0"/>
        </w:rPr>
        <w:t xml:space="preserve">? </w:t>
      </w:r>
      <w:r>
        <w:rPr>
          <w:kern w:val="0"/>
        </w:rPr>
        <w:t>Sheng, Z.X., Ma, H.W., Pang, W.Z., Niu, S.N.</w:t>
      </w:r>
      <w:r w:rsidR="005853A9">
        <w:rPr>
          <w:kern w:val="0"/>
        </w:rPr>
        <w:t xml:space="preserve"> and </w:t>
      </w:r>
      <w:r>
        <w:rPr>
          <w:kern w:val="0"/>
        </w:rPr>
        <w:t xml:space="preserve">Xu, J.B. (2013), In vivo T-cell depletion with antithymocyte globulins improves overall survival after myeloablative allogeneic stem cell transplantation in patients with hematologic disorders. </w:t>
      </w:r>
      <w:r w:rsidRPr="00920620">
        <w:rPr>
          <w:i/>
          <w:iCs/>
          <w:kern w:val="0"/>
        </w:rPr>
        <w:t>Acta Haematologica</w:t>
      </w:r>
      <w:r>
        <w:rPr>
          <w:kern w:val="0"/>
        </w:rPr>
        <w:t xml:space="preserve">, </w:t>
      </w:r>
      <w:r>
        <w:rPr>
          <w:b/>
          <w:bCs/>
          <w:kern w:val="0"/>
        </w:rPr>
        <w:t>129</w:t>
      </w:r>
      <w:r>
        <w:rPr>
          <w:kern w:val="0"/>
        </w:rPr>
        <w:t xml:space="preserve"> (3), 146-153.</w:t>
      </w:r>
    </w:p>
    <w:p w:rsidR="00920620" w:rsidRDefault="00920620" w:rsidP="00920620">
      <w:pPr>
        <w:pStyle w:val="a3"/>
        <w:rPr>
          <w:kern w:val="0"/>
        </w:rPr>
      </w:pPr>
      <w:r>
        <w:rPr>
          <w:rFonts w:hint="eastAsia"/>
          <w:kern w:val="0"/>
        </w:rPr>
        <w:t xml:space="preserve">Full Text: </w:t>
      </w:r>
      <w:hyperlink r:id="rId136" w:history="1">
        <w:r w:rsidR="002B1634" w:rsidRPr="002B1634">
          <w:rPr>
            <w:rStyle w:val="a5"/>
            <w:kern w:val="0"/>
          </w:rPr>
          <w:t>2013\Act Hae129, 146.pdf</w:t>
        </w:r>
      </w:hyperlink>
    </w:p>
    <w:p w:rsidR="00920620" w:rsidRDefault="00920620" w:rsidP="00920620">
      <w:pPr>
        <w:pStyle w:val="a3"/>
        <w:rPr>
          <w:kern w:val="0"/>
        </w:rPr>
      </w:pPr>
      <w:r>
        <w:rPr>
          <w:kern w:val="0"/>
        </w:rPr>
        <w:t>Abstract: To assess the effect</w:t>
      </w:r>
      <w:r w:rsidR="00427468">
        <w:rPr>
          <w:kern w:val="0"/>
        </w:rPr>
        <w:t xml:space="preserve"> of </w:t>
      </w:r>
      <w:r>
        <w:rPr>
          <w:kern w:val="0"/>
        </w:rPr>
        <w:t>prophylactic treatment with antithymocyte globulin (ATG) on graft-versus-host disease (GvHD) in myeloablative transplant patients, we performed a meta-analysis</w:t>
      </w:r>
      <w:r w:rsidR="00427468">
        <w:rPr>
          <w:kern w:val="0"/>
        </w:rPr>
        <w:t xml:space="preserve"> of </w:t>
      </w:r>
      <w:r>
        <w:rPr>
          <w:kern w:val="0"/>
        </w:rPr>
        <w:t>randomized</w:t>
      </w:r>
      <w:r w:rsidR="005853A9">
        <w:rPr>
          <w:kern w:val="0"/>
        </w:rPr>
        <w:t xml:space="preserve"> and </w:t>
      </w:r>
      <w:r>
        <w:rPr>
          <w:kern w:val="0"/>
        </w:rPr>
        <w:t xml:space="preserve">cohort studies. </w:t>
      </w:r>
      <w:r w:rsidR="00D5664A">
        <w:rPr>
          <w:kern w:val="0"/>
        </w:rPr>
        <w:t>MEDLINE</w:t>
      </w:r>
      <w:r>
        <w:rPr>
          <w:kern w:val="0"/>
        </w:rPr>
        <w:t>, Embase, the Cochrane Controlled Trial Register</w:t>
      </w:r>
      <w:r w:rsidR="005853A9">
        <w:rPr>
          <w:kern w:val="0"/>
        </w:rPr>
        <w:t xml:space="preserve"> and </w:t>
      </w:r>
      <w:r>
        <w:rPr>
          <w:kern w:val="0"/>
        </w:rPr>
        <w:t>the Science Citation Index were searched for studies on ATG treatment in patients with hematologic disorders undergoing myeloablative transplantation. Four randomized controlled trials, six retrospective</w:t>
      </w:r>
      <w:r w:rsidR="005853A9">
        <w:rPr>
          <w:kern w:val="0"/>
        </w:rPr>
        <w:t xml:space="preserve"> and </w:t>
      </w:r>
      <w:r>
        <w:rPr>
          <w:kern w:val="0"/>
        </w:rPr>
        <w:t>one prospective cohort study were included, covering 1,549 patients</w:t>
      </w:r>
      <w:r w:rsidR="00A37C1D">
        <w:rPr>
          <w:kern w:val="0"/>
        </w:rPr>
        <w:t>. The</w:t>
      </w:r>
      <w:r>
        <w:rPr>
          <w:kern w:val="0"/>
        </w:rPr>
        <w:t xml:space="preserve"> summary hazard ratios (HRs) for overall survival were 0.84 [95% confidence interval (CI) 0.63-1.12; p = 0.23] for randomized studies, 0.70 (95% CI 0.57-0.88; p = 0.002) for cohort studies</w:t>
      </w:r>
      <w:r w:rsidR="005853A9">
        <w:rPr>
          <w:kern w:val="0"/>
        </w:rPr>
        <w:t xml:space="preserve"> and </w:t>
      </w:r>
      <w:r>
        <w:rPr>
          <w:kern w:val="0"/>
        </w:rPr>
        <w:t>0.75 (95% CI 0.63-0.89; p = 0.001) for all studies combined</w:t>
      </w:r>
      <w:r w:rsidR="00A37C1D">
        <w:rPr>
          <w:kern w:val="0"/>
        </w:rPr>
        <w:t>. The</w:t>
      </w:r>
      <w:r>
        <w:rPr>
          <w:kern w:val="0"/>
        </w:rPr>
        <w:t xml:space="preserve"> corresponding HRs for treatment-related mortality (TRM) were 0.81 (95% CI 0.54-1.22; p = 0.32) for randomized studies, 0.70 (95% CI 0.49-0.99; p = 0.05) for cohort studies</w:t>
      </w:r>
      <w:r w:rsidR="005853A9">
        <w:rPr>
          <w:kern w:val="0"/>
        </w:rPr>
        <w:t xml:space="preserve"> and </w:t>
      </w:r>
      <w:r>
        <w:rPr>
          <w:kern w:val="0"/>
        </w:rPr>
        <w:t>0.74 (95% CI 0.57-0.95; p = 0.02) for all studies combined</w:t>
      </w:r>
      <w:r w:rsidR="00A37C1D">
        <w:rPr>
          <w:kern w:val="0"/>
        </w:rPr>
        <w:t>. The</w:t>
      </w:r>
      <w:r>
        <w:rPr>
          <w:kern w:val="0"/>
        </w:rPr>
        <w:t xml:space="preserve"> corresponding HRs for relapse mortality were 1.18 (95% CI 0.69-2.02; p = 0.55) for randomized studies, 1.02 (95% CI 0.65-1.61; p = 0.93) for cohort studies</w:t>
      </w:r>
      <w:r w:rsidR="005853A9">
        <w:rPr>
          <w:kern w:val="0"/>
        </w:rPr>
        <w:t xml:space="preserve"> and </w:t>
      </w:r>
      <w:r>
        <w:rPr>
          <w:kern w:val="0"/>
        </w:rPr>
        <w:t>1.05 (95% CI 0.74-1.50; p = 0.79) for all studies combined. In conclusion, the addition</w:t>
      </w:r>
      <w:r w:rsidR="00427468">
        <w:rPr>
          <w:kern w:val="0"/>
        </w:rPr>
        <w:t xml:space="preserve"> of </w:t>
      </w:r>
      <w:r>
        <w:rPr>
          <w:kern w:val="0"/>
        </w:rPr>
        <w:t>ATG to standard GvHD prophylaxis might improve survival due to improved TRM without decreasing relapse mortality. Copyright (C) 2012 S. Karger AG, Basel.</w:t>
      </w:r>
    </w:p>
    <w:p w:rsidR="00920620" w:rsidRDefault="00920620" w:rsidP="00920620">
      <w:pPr>
        <w:pStyle w:val="a3"/>
        <w:rPr>
          <w:kern w:val="0"/>
        </w:rPr>
      </w:pPr>
      <w:r>
        <w:rPr>
          <w:kern w:val="0"/>
        </w:rPr>
        <w:t xml:space="preserve">Keywords: Ag, Allogeneic Stem Cell Transplantation, Antithymocyte Globulins, </w:t>
      </w:r>
      <w:r>
        <w:rPr>
          <w:kern w:val="0"/>
        </w:rPr>
        <w:lastRenderedPageBreak/>
        <w:t xml:space="preserve">Bone-Marrow-Transplantation, Citation, Cohort, Cohort Study, Confidence, Disease, Graft, Graft Versus Host Disease, Graft-Versus-Host Disease, Hazard, Hematologic, Interval, Leukemia, </w:t>
      </w:r>
      <w:r w:rsidR="00D5664A">
        <w:rPr>
          <w:kern w:val="0"/>
        </w:rPr>
        <w:t>MEDLINE</w:t>
      </w:r>
      <w:r>
        <w:rPr>
          <w:kern w:val="0"/>
        </w:rPr>
        <w:t>, Meta Analysis, Meta-Analysis, Metaanalysis, Mortality, Myeloablative Transplant, Myeloablative Transplantation, Overall Survival, Patients, Prophylactic, Prophylaxis, Prospective, Randomized, Randomized Controlled Trials, Randomized-Trial, Relapse, Science, Science Citation Index, Standard, Survival, T-Cell Depletion, Term-Follow-Up, Thymoglobulin, Transplantation, Treatment, Treatment-Related Mortality, Unrelated Donors, Versus-Host-Disease</w:t>
      </w:r>
    </w:p>
    <w:p w:rsidR="00317598" w:rsidRDefault="00317598" w:rsidP="00317598">
      <w:pPr>
        <w:pStyle w:val="a3"/>
        <w:rPr>
          <w:kern w:val="0"/>
        </w:rPr>
      </w:pPr>
      <w:r>
        <w:rPr>
          <w:rFonts w:hint="eastAsia"/>
          <w:kern w:val="0"/>
        </w:rPr>
        <w:t xml:space="preserve">? </w:t>
      </w:r>
      <w:r>
        <w:rPr>
          <w:kern w:val="0"/>
        </w:rPr>
        <w:t>Yin, J., Wei, J., Xu, J.H., Xiao, Y. and Zhang, Y.C. (2014), Autologous stem cell transplantation as the first-line treatment for peripheral T cell lymphoma: Results</w:t>
      </w:r>
      <w:r w:rsidR="00427468">
        <w:rPr>
          <w:kern w:val="0"/>
        </w:rPr>
        <w:t xml:space="preserve"> of </w:t>
      </w:r>
      <w:r>
        <w:rPr>
          <w:kern w:val="0"/>
        </w:rPr>
        <w:t xml:space="preserve">a comprehensive meta-analysis. </w:t>
      </w:r>
      <w:r>
        <w:rPr>
          <w:i/>
          <w:iCs/>
          <w:kern w:val="0"/>
        </w:rPr>
        <w:t>Acta Haematologica</w:t>
      </w:r>
      <w:r>
        <w:rPr>
          <w:kern w:val="0"/>
        </w:rPr>
        <w:t xml:space="preserve">, </w:t>
      </w:r>
      <w:r>
        <w:rPr>
          <w:b/>
          <w:bCs/>
          <w:kern w:val="0"/>
        </w:rPr>
        <w:t>131</w:t>
      </w:r>
      <w:r>
        <w:rPr>
          <w:kern w:val="0"/>
        </w:rPr>
        <w:t xml:space="preserve"> (2), 114-125.</w:t>
      </w:r>
    </w:p>
    <w:p w:rsidR="00317598" w:rsidRDefault="00317598" w:rsidP="00317598">
      <w:pPr>
        <w:pStyle w:val="a3"/>
        <w:rPr>
          <w:kern w:val="0"/>
        </w:rPr>
      </w:pPr>
      <w:r>
        <w:rPr>
          <w:rFonts w:hint="eastAsia"/>
          <w:kern w:val="0"/>
        </w:rPr>
        <w:t xml:space="preserve">Full Text: </w:t>
      </w:r>
      <w:hyperlink r:id="rId137" w:history="1">
        <w:r w:rsidR="002B1634" w:rsidRPr="002B1634">
          <w:rPr>
            <w:rStyle w:val="a5"/>
            <w:kern w:val="0"/>
          </w:rPr>
          <w:t>2014\Act Hae131, 114.pdf</w:t>
        </w:r>
      </w:hyperlink>
    </w:p>
    <w:p w:rsidR="00317598" w:rsidRDefault="00317598" w:rsidP="00317598">
      <w:pPr>
        <w:pStyle w:val="a3"/>
        <w:rPr>
          <w:kern w:val="0"/>
        </w:rPr>
      </w:pPr>
      <w:r>
        <w:rPr>
          <w:kern w:val="0"/>
        </w:rPr>
        <w:t>Abstract: Objective: In view</w:t>
      </w:r>
      <w:r w:rsidR="00427468">
        <w:rPr>
          <w:kern w:val="0"/>
        </w:rPr>
        <w:t xml:space="preserve"> of </w:t>
      </w:r>
      <w:r>
        <w:rPr>
          <w:kern w:val="0"/>
        </w:rPr>
        <w:t>the poor prognosis</w:t>
      </w:r>
      <w:r w:rsidR="00427468">
        <w:rPr>
          <w:kern w:val="0"/>
        </w:rPr>
        <w:t xml:space="preserve"> of </w:t>
      </w:r>
      <w:r>
        <w:rPr>
          <w:kern w:val="0"/>
        </w:rPr>
        <w:t>most peripheral T cell lymphoma (PTCL) subtypes treated with conventional chemotherapy such as CHOP/CHOP-like regimens, high-dose chemotherapy followed by autologous stem cell transplantation (HDT/ASCT) seems a reasonable option in eligible patients: Nevertheless, owing to the small size</w:t>
      </w:r>
      <w:r w:rsidR="00427468">
        <w:rPr>
          <w:kern w:val="0"/>
        </w:rPr>
        <w:t xml:space="preserve"> of </w:t>
      </w:r>
      <w:r>
        <w:rPr>
          <w:kern w:val="0"/>
        </w:rPr>
        <w:t>the study and the heterogeneity</w:t>
      </w:r>
      <w:r w:rsidR="00427468">
        <w:rPr>
          <w:kern w:val="0"/>
        </w:rPr>
        <w:t xml:space="preserve"> of </w:t>
      </w:r>
      <w:r>
        <w:rPr>
          <w:kern w:val="0"/>
        </w:rPr>
        <w:t>most published series, a consensus on the role</w:t>
      </w:r>
      <w:r w:rsidR="00427468">
        <w:rPr>
          <w:kern w:val="0"/>
        </w:rPr>
        <w:t xml:space="preserve"> of </w:t>
      </w:r>
      <w:r>
        <w:rPr>
          <w:kern w:val="0"/>
        </w:rPr>
        <w:t>ASCT as the first-line consolidation therapy for high-risk PTCL patients has not been reached so far. Study Design: We searched MEDLI NE, EMBASE, EBSCO, Web</w:t>
      </w:r>
      <w:r w:rsidR="00427468">
        <w:rPr>
          <w:kern w:val="0"/>
        </w:rPr>
        <w:t xml:space="preserve"> of </w:t>
      </w:r>
      <w:r>
        <w:rPr>
          <w:kern w:val="0"/>
        </w:rPr>
        <w:t>Science, clinicaltrials.gov and the Cochrane Library. Hazard ratio (HR) and 95% confidence intervals (CIs) were calculated by a fixed/random effect model. Results: Twenty-one studies were eligible. Although no statistical significance was observed in these studies, there was a trend toward survival advantage for the HDT/ASCT group as compared to the historical control group (HR 0.81, 95% Cl 0.31-2.13). Statistical differences were confirmed in terms</w:t>
      </w:r>
      <w:r w:rsidR="00427468">
        <w:rPr>
          <w:kern w:val="0"/>
        </w:rPr>
        <w:t xml:space="preserve"> of </w:t>
      </w:r>
      <w:r>
        <w:rPr>
          <w:kern w:val="0"/>
        </w:rPr>
        <w:t>overall survival (OS) between complete remission (CR) and non-CR patients (HR 3.17, 95% CI 0.92-5.42), patients with good and poor risk according to the International Prognostic Index (IPI; HR 0.36, 95% CI 0.22-0.60, I-2 49%) and Prognostic Index for PTCL (PIT; HR 0.31, 95% CI 0.17-0.58; HR 0.31, 95% CI 0.18-0.54). Conclusion: The clear and convincing proof</w:t>
      </w:r>
      <w:r w:rsidR="00427468">
        <w:rPr>
          <w:kern w:val="0"/>
        </w:rPr>
        <w:t xml:space="preserve"> of </w:t>
      </w:r>
      <w:r>
        <w:rPr>
          <w:kern w:val="0"/>
        </w:rPr>
        <w:t>the effects</w:t>
      </w:r>
      <w:r w:rsidR="00427468">
        <w:rPr>
          <w:kern w:val="0"/>
        </w:rPr>
        <w:t xml:space="preserve"> of </w:t>
      </w:r>
      <w:r>
        <w:rPr>
          <w:kern w:val="0"/>
        </w:rPr>
        <w:t>upfront HDT/ASCT still depends on sufficient large PTCL-restricted randomized trials in the future. Patients who failed to attain CR before transplant exhibited a worse prognosis; patients with good risk</w:t>
      </w:r>
      <w:r w:rsidR="00427468">
        <w:rPr>
          <w:kern w:val="0"/>
        </w:rPr>
        <w:t xml:space="preserve"> of </w:t>
      </w:r>
      <w:r>
        <w:rPr>
          <w:kern w:val="0"/>
        </w:rPr>
        <w:t>IPI or PIT had a substantially better OS after ASCT. (C) 2013 S. Karger AG, Basel.</w:t>
      </w:r>
    </w:p>
    <w:p w:rsidR="00317598" w:rsidRDefault="00317598" w:rsidP="00317598">
      <w:pPr>
        <w:pStyle w:val="a3"/>
        <w:rPr>
          <w:kern w:val="0"/>
        </w:rPr>
      </w:pPr>
      <w:r>
        <w:rPr>
          <w:kern w:val="0"/>
        </w:rPr>
        <w:t xml:space="preserve">Keywords: Ag, Autologous Stem Cell Transplantation, Bone-Marrow-Transplantation, Cell Transplantation, Chemotherapy, Clinical-Outcomes, Complete, Complete Remission, Confidence, Confidence Intervals, Consensus, Control, Conventional, Cr, Design, Effects, Embase, European Group, Gel-Tamo Experience, Heterogeneity, </w:t>
      </w:r>
      <w:r>
        <w:rPr>
          <w:kern w:val="0"/>
        </w:rPr>
        <w:lastRenderedPageBreak/>
        <w:t>High Dose, High-Dose Chemotherapy, International Prognostic Index, Intervals, Lymphoma, Meta-Analysis, Model, Non-Hodgkins-Lymphoma, Patients, Peripheral T Cell Lymphoma, Prognosis, Prolonged Survival, Randomized, Results, Risk, Role, Science, Sequential Chemotherapy, Significance, Size, Small, Stem Cell, Stem Cell Transplantation, Survival, Therapy, Transplantation, Treatment, Trend, Web</w:t>
      </w:r>
      <w:r w:rsidR="00427468">
        <w:rPr>
          <w:kern w:val="0"/>
        </w:rPr>
        <w:t xml:space="preserve"> of </w:t>
      </w:r>
      <w:r>
        <w:rPr>
          <w:kern w:val="0"/>
        </w:rPr>
        <w:t>Science</w:t>
      </w:r>
    </w:p>
    <w:p w:rsidR="003474F2" w:rsidRPr="001A3D2B" w:rsidRDefault="003474F2" w:rsidP="003474F2">
      <w:pPr>
        <w:pStyle w:val="1"/>
      </w:pPr>
      <w:r w:rsidRPr="001A3D2B">
        <w:br w:type="page"/>
      </w:r>
      <w:bookmarkStart w:id="68" w:name="_Toc420814265"/>
      <w:r w:rsidRPr="001A3D2B">
        <w:lastRenderedPageBreak/>
        <w:t>Title: Acta Medica Croatica</w:t>
      </w:r>
      <w:bookmarkEnd w:id="68"/>
    </w:p>
    <w:p w:rsidR="003474F2" w:rsidRPr="001A3D2B" w:rsidRDefault="003474F2" w:rsidP="003474F2">
      <w:pPr>
        <w:pStyle w:val="12"/>
      </w:pPr>
      <w:r w:rsidRPr="001A3D2B">
        <w:t>Full Journal Title: Acta Medica Croatica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smartTag w:uri="urn:schemas-microsoft-com:office:smarttags" w:element="PlaceName">
        <w:r w:rsidRPr="001A3D2B">
          <w:t>Scandinavian</w:t>
        </w:r>
      </w:smartTag>
      <w:r w:rsidRPr="001A3D2B">
        <w:t xml:space="preserve"> </w:t>
      </w:r>
      <w:smartTag w:uri="urn:schemas-microsoft-com:office:smarttags" w:element="PlaceType">
        <w:r w:rsidRPr="001A3D2B">
          <w:t>University</w:t>
        </w:r>
      </w:smartTag>
      <w:r w:rsidRPr="001A3D2B">
        <w:t xml:space="preserve"> Press, </w:t>
      </w:r>
      <w:smartTag w:uri="urn:schemas-microsoft-com:office:smarttags" w:element="place">
        <w:smartTag w:uri="urn:schemas-microsoft-com:office:smarttags" w:element="City">
          <w:r w:rsidRPr="001A3D2B">
            <w:t>Oslo</w:t>
          </w:r>
        </w:smartTag>
      </w:smartTag>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Silobrcic, V. (2004), Relative scales</w:t>
      </w:r>
      <w:r w:rsidR="005853A9">
        <w:t xml:space="preserve"> and </w:t>
      </w:r>
      <w:r w:rsidRPr="001A3D2B">
        <w:t>their possible use in evaluation</w:t>
      </w:r>
      <w:r w:rsidR="00427468">
        <w:t xml:space="preserve"> of </w:t>
      </w:r>
      <w:r w:rsidRPr="001A3D2B">
        <w:t xml:space="preserve">scientific research in a small scientific community. </w:t>
      </w:r>
      <w:r w:rsidRPr="001A3D2B">
        <w:rPr>
          <w:i/>
          <w:iCs/>
        </w:rPr>
        <w:t>Acta Medica Croatica</w:t>
      </w:r>
      <w:r w:rsidRPr="001A3D2B">
        <w:t xml:space="preserve">, </w:t>
      </w:r>
      <w:r w:rsidRPr="001A3D2B">
        <w:rPr>
          <w:b/>
          <w:bCs/>
        </w:rPr>
        <w:t>58</w:t>
      </w:r>
      <w:r w:rsidRPr="001A3D2B">
        <w:t xml:space="preserve"> (3), 173-176.</w:t>
      </w:r>
    </w:p>
    <w:p w:rsidR="003474F2" w:rsidRPr="001A3D2B" w:rsidRDefault="003474F2" w:rsidP="003474F2">
      <w:pPr>
        <w:pStyle w:val="a3"/>
      </w:pPr>
      <w:r w:rsidRPr="001A3D2B">
        <w:t>Abstract:</w:t>
      </w:r>
      <w:r w:rsidR="003A1917">
        <w:t xml:space="preserve"> the </w:t>
      </w:r>
      <w:r w:rsidRPr="001A3D2B">
        <w:t>most appropriate way</w:t>
      </w:r>
      <w:r w:rsidR="00427468">
        <w:t xml:space="preserve"> of </w:t>
      </w:r>
      <w:r w:rsidRPr="001A3D2B">
        <w:t>evaluating</w:t>
      </w:r>
      <w:r w:rsidR="003A1917">
        <w:t xml:space="preserve"> the </w:t>
      </w:r>
      <w:r w:rsidRPr="001A3D2B">
        <w:t>quality</w:t>
      </w:r>
      <w:r w:rsidR="00427468">
        <w:t xml:space="preserve"> of </w:t>
      </w:r>
      <w:r w:rsidRPr="001A3D2B">
        <w:t>scientific research is peer review by competent</w:t>
      </w:r>
      <w:r w:rsidR="005853A9">
        <w:t xml:space="preserve"> and </w:t>
      </w:r>
      <w:r w:rsidRPr="001A3D2B">
        <w:t>objective colleagues. An objective review, however, is practically impossible within a small scientific community like</w:t>
      </w:r>
      <w:r w:rsidR="003A1917">
        <w:t xml:space="preserve"> the </w:t>
      </w:r>
      <w:r w:rsidRPr="001A3D2B">
        <w:t>Croatian one,</w:t>
      </w:r>
      <w:r w:rsidR="005853A9">
        <w:t xml:space="preserve"> and </w:t>
      </w:r>
      <w:r w:rsidR="003A1917">
        <w:t xml:space="preserve">the </w:t>
      </w:r>
      <w:r w:rsidRPr="001A3D2B">
        <w:t>only solution in this case is internationalization</w:t>
      </w:r>
      <w:r w:rsidR="00427468">
        <w:t xml:space="preserve"> of </w:t>
      </w:r>
      <w:r w:rsidR="003A1917">
        <w:t xml:space="preserve">the </w:t>
      </w:r>
      <w:r w:rsidRPr="001A3D2B">
        <w:t>process. In order to upgrade</w:t>
      </w:r>
      <w:r w:rsidR="003A1917">
        <w:t xml:space="preserve"> the </w:t>
      </w:r>
      <w:r w:rsidRPr="001A3D2B">
        <w:t>objectivity</w:t>
      </w:r>
      <w:r w:rsidR="00427468">
        <w:t xml:space="preserve"> of </w:t>
      </w:r>
      <w:r w:rsidR="003A1917">
        <w:t xml:space="preserve">the </w:t>
      </w:r>
      <w:r w:rsidRPr="001A3D2B">
        <w:t>evaluation, bibliometric/scientiometric indicators can be used, provided they are interpreted by experts in</w:t>
      </w:r>
      <w:r w:rsidR="003A1917">
        <w:t xml:space="preserve"> the </w:t>
      </w:r>
      <w:r w:rsidRPr="001A3D2B">
        <w:t>field</w:t>
      </w:r>
      <w:r w:rsidR="00A37C1D">
        <w:t>. The</w:t>
      </w:r>
      <w:r w:rsidR="003A1917">
        <w:t xml:space="preserve"> </w:t>
      </w:r>
      <w:r w:rsidRPr="001A3D2B">
        <w:t>author believes that relative scales based on these indicators are</w:t>
      </w:r>
      <w:r w:rsidR="00427468">
        <w:t xml:space="preserve"> of </w:t>
      </w:r>
      <w:r w:rsidRPr="001A3D2B">
        <w:t>particular relevance for such small scientific communities</w:t>
      </w:r>
      <w:r w:rsidR="00A37C1D">
        <w:t>. The</w:t>
      </w:r>
      <w:r w:rsidRPr="001A3D2B">
        <w:t>y enable determination</w:t>
      </w:r>
      <w:r w:rsidR="00427468">
        <w:t xml:space="preserve"> of </w:t>
      </w:r>
      <w:r w:rsidRPr="001A3D2B">
        <w:t>relative positions</w:t>
      </w:r>
      <w:r w:rsidR="00427468">
        <w:t xml:space="preserve"> of </w:t>
      </w:r>
      <w:r w:rsidRPr="001A3D2B">
        <w:t>a scientist, or a group</w:t>
      </w:r>
      <w:r w:rsidR="00427468">
        <w:t xml:space="preserve"> of </w:t>
      </w:r>
      <w:r w:rsidRPr="001A3D2B">
        <w:t>scientists, within a given scientific discipline,</w:t>
      </w:r>
      <w:r w:rsidR="005853A9">
        <w:t xml:space="preserve"> and </w:t>
      </w:r>
      <w:r w:rsidRPr="001A3D2B">
        <w:t>for a given indicator, both at</w:t>
      </w:r>
      <w:r w:rsidR="003A1917">
        <w:t xml:space="preserve"> the </w:t>
      </w:r>
      <w:r w:rsidRPr="001A3D2B">
        <w:t>international and/or national level. Such relative positions can often serve better for more objective evaluation than absolute values</w:t>
      </w:r>
      <w:r w:rsidR="00427468">
        <w:t xml:space="preserve"> of </w:t>
      </w:r>
      <w:r w:rsidR="003A1917">
        <w:t xml:space="preserve">the </w:t>
      </w:r>
      <w:r w:rsidRPr="001A3D2B">
        <w:t>same indicators. An example</w:t>
      </w:r>
      <w:r w:rsidR="00427468">
        <w:t xml:space="preserve"> of </w:t>
      </w:r>
      <w:r w:rsidRPr="001A3D2B">
        <w:t>relative scales</w:t>
      </w:r>
      <w:r w:rsidR="005853A9">
        <w:t xml:space="preserve"> and </w:t>
      </w:r>
      <w:r w:rsidRPr="001A3D2B">
        <w:t>their use is presented.</w:t>
      </w:r>
    </w:p>
    <w:p w:rsidR="003474F2" w:rsidRPr="001A3D2B" w:rsidRDefault="003474F2" w:rsidP="003474F2">
      <w:pPr>
        <w:pStyle w:val="1"/>
      </w:pPr>
      <w:r w:rsidRPr="001A3D2B">
        <w:br w:type="page"/>
      </w:r>
      <w:bookmarkStart w:id="69" w:name="_Toc420814266"/>
      <w:r w:rsidRPr="001A3D2B">
        <w:lastRenderedPageBreak/>
        <w:t>Title: Acta Médica Portuguesa</w:t>
      </w:r>
      <w:bookmarkEnd w:id="69"/>
    </w:p>
    <w:p w:rsidR="003474F2" w:rsidRPr="001A3D2B" w:rsidRDefault="003474F2" w:rsidP="003E631D">
      <w:pPr>
        <w:pStyle w:val="12"/>
      </w:pPr>
      <w:r w:rsidRPr="001A3D2B">
        <w:t xml:space="preserve">Full Journal Title: </w:t>
      </w:r>
      <w:hyperlink r:id="rId138" w:history="1">
        <w:r w:rsidRPr="002C13BB">
          <w:rPr>
            <w:rStyle w:val="a5"/>
          </w:rPr>
          <w:t>Acta M</w:t>
        </w:r>
        <w:r w:rsidR="003E631D" w:rsidRPr="002C13BB">
          <w:rPr>
            <w:rStyle w:val="a5"/>
          </w:rPr>
          <w:t>e</w:t>
        </w:r>
        <w:r w:rsidRPr="002C13BB">
          <w:rPr>
            <w:rStyle w:val="a5"/>
          </w:rPr>
          <w:t>dica Portuguesa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Acta Med Port</w:t>
      </w:r>
    </w:p>
    <w:p w:rsidR="003474F2" w:rsidRPr="001A3D2B" w:rsidRDefault="003474F2" w:rsidP="003474F2">
      <w:pPr>
        <w:pStyle w:val="12"/>
      </w:pPr>
      <w:r w:rsidRPr="001A3D2B">
        <w:t>ISSN: 0870-399X (Print), 1646-0758 (Electronic)</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r w:rsidR="003474F2" w:rsidRPr="001A3D2B">
        <w:t>Portugal</w:t>
      </w:r>
    </w:p>
    <w:p w:rsidR="003474F2" w:rsidRPr="001A3D2B" w:rsidRDefault="003474F2" w:rsidP="003474F2">
      <w:pPr>
        <w:pStyle w:val="12"/>
      </w:pPr>
      <w:r w:rsidRPr="001A3D2B">
        <w:t>Language: English, Portuguese</w:t>
      </w:r>
    </w:p>
    <w:p w:rsidR="003474F2" w:rsidRPr="001A3D2B" w:rsidRDefault="003474F2" w:rsidP="003474F2">
      <w:pPr>
        <w:pStyle w:val="12"/>
      </w:pPr>
      <w:r w:rsidRPr="001A3D2B">
        <w:t>Publisher: Centro Editor Livreiro da Ordem dos Médicos</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w:t>
      </w:r>
    </w:p>
    <w:p w:rsidR="003474F2" w:rsidRPr="001A3D2B" w:rsidRDefault="003474F2" w:rsidP="003474F2">
      <w:pPr>
        <w:pStyle w:val="a3"/>
      </w:pPr>
      <w:r w:rsidRPr="001A3D2B">
        <w:t>? Donato, H.M.</w:t>
      </w:r>
      <w:r w:rsidR="005853A9">
        <w:t xml:space="preserve"> and </w:t>
      </w:r>
      <w:r w:rsidRPr="001A3D2B">
        <w:t>De Oliveira, C.F. (2006), Breast pathology: Evaluation</w:t>
      </w:r>
      <w:r w:rsidR="00427468">
        <w:t xml:space="preserve"> of </w:t>
      </w:r>
      <w:r w:rsidR="003A1917">
        <w:t xml:space="preserve">the </w:t>
      </w:r>
      <w:r w:rsidRPr="001A3D2B">
        <w:t xml:space="preserve">Portuguese scientific activity based on bibliometric indicators. </w:t>
      </w:r>
      <w:r w:rsidRPr="001A3D2B">
        <w:rPr>
          <w:i/>
        </w:rPr>
        <w:t>Acta Médica Portuguesa</w:t>
      </w:r>
      <w:r w:rsidRPr="001A3D2B">
        <w:t xml:space="preserve">, </w:t>
      </w:r>
      <w:r w:rsidRPr="001A3D2B">
        <w:rPr>
          <w:b/>
          <w:bCs/>
        </w:rPr>
        <w:t>19</w:t>
      </w:r>
      <w:r w:rsidRPr="001A3D2B">
        <w:t xml:space="preserve"> (3), 225-234.</w:t>
      </w:r>
    </w:p>
    <w:p w:rsidR="00CE1065" w:rsidRPr="001A3D2B" w:rsidRDefault="00CE1065" w:rsidP="00CE1065">
      <w:pPr>
        <w:pStyle w:val="a3"/>
      </w:pPr>
      <w:r w:rsidRPr="001A3D2B">
        <w:t xml:space="preserve">Full Text: </w:t>
      </w:r>
      <w:hyperlink r:id="rId139" w:history="1">
        <w:r w:rsidRPr="001A3D2B">
          <w:rPr>
            <w:rStyle w:val="a5"/>
          </w:rPr>
          <w:t>2006\Act Méd Por19, 225.pdf</w:t>
        </w:r>
      </w:hyperlink>
    </w:p>
    <w:p w:rsidR="003474F2" w:rsidRPr="001A3D2B" w:rsidRDefault="003474F2" w:rsidP="003474F2">
      <w:pPr>
        <w:pStyle w:val="a3"/>
      </w:pPr>
      <w:r w:rsidRPr="001A3D2B">
        <w:t>Abstract: Introduction</w:t>
      </w:r>
      <w:r w:rsidR="005853A9">
        <w:t xml:space="preserve"> and </w:t>
      </w:r>
      <w:r w:rsidRPr="001A3D2B">
        <w:t>objectives:</w:t>
      </w:r>
      <w:r w:rsidR="003A1917">
        <w:t xml:space="preserve"> the </w:t>
      </w:r>
      <w:r w:rsidRPr="001A3D2B">
        <w:t>bibliometric analysis</w:t>
      </w:r>
      <w:r w:rsidR="00427468">
        <w:t xml:space="preserve"> of </w:t>
      </w:r>
      <w:r w:rsidR="003A1917">
        <w:t xml:space="preserve">the </w:t>
      </w:r>
      <w:r w:rsidRPr="001A3D2B">
        <w:t>portuguese scientific production in</w:t>
      </w:r>
      <w:r w:rsidR="003A1917">
        <w:t xml:space="preserve"> the </w:t>
      </w:r>
      <w:r w:rsidRPr="001A3D2B">
        <w:t>field</w:t>
      </w:r>
      <w:r w:rsidR="00427468">
        <w:t xml:space="preserve"> of </w:t>
      </w:r>
      <w:r w:rsidRPr="001A3D2B">
        <w:t>breast pathology since 1995 to date (July 2005) Provides an overview on</w:t>
      </w:r>
      <w:r w:rsidR="003A1917">
        <w:t xml:space="preserve"> the </w:t>
      </w:r>
      <w:r w:rsidRPr="001A3D2B">
        <w:t>developed scientific activity on this subject</w:t>
      </w:r>
      <w:r w:rsidR="005853A9">
        <w:t xml:space="preserve"> and </w:t>
      </w:r>
      <w:r w:rsidRPr="001A3D2B">
        <w:t>allows</w:t>
      </w:r>
      <w:r w:rsidR="003A1917">
        <w:t xml:space="preserve"> the </w:t>
      </w:r>
      <w:r w:rsidRPr="001A3D2B">
        <w:t>characterisation</w:t>
      </w:r>
      <w:r w:rsidR="00427468">
        <w:t xml:space="preserve"> of </w:t>
      </w:r>
      <w:r w:rsidRPr="001A3D2B">
        <w:t>some relevant features as well as its evolution along</w:t>
      </w:r>
      <w:r w:rsidR="003A1917">
        <w:t xml:space="preserve"> the </w:t>
      </w:r>
      <w:r w:rsidRPr="001A3D2B">
        <w:t>studied period. Material</w:t>
      </w:r>
      <w:r w:rsidR="005853A9">
        <w:t xml:space="preserve"> and </w:t>
      </w:r>
      <w:r w:rsidRPr="001A3D2B">
        <w:t>methods: Documents collected, reflecting</w:t>
      </w:r>
      <w:r w:rsidR="003A1917">
        <w:t xml:space="preserve"> the </w:t>
      </w:r>
      <w:r w:rsidRPr="001A3D2B">
        <w:t>national scientific production in</w:t>
      </w:r>
      <w:r w:rsidR="003A1917">
        <w:t xml:space="preserve"> the </w:t>
      </w:r>
      <w:r w:rsidRPr="001A3D2B">
        <w:t>field</w:t>
      </w:r>
      <w:r w:rsidR="00427468">
        <w:t xml:space="preserve"> of </w:t>
      </w:r>
      <w:r w:rsidRPr="001A3D2B">
        <w:t>breast pathology between 1995</w:t>
      </w:r>
      <w:r w:rsidR="005853A9">
        <w:t xml:space="preserve"> and </w:t>
      </w:r>
      <w:r w:rsidRPr="001A3D2B">
        <w:t xml:space="preserve">July 2005 in 3 databases, </w:t>
      </w:r>
      <w:r w:rsidR="00D5664A">
        <w:t>MEDLINE</w:t>
      </w:r>
      <w:r w:rsidRPr="001A3D2B">
        <w:t xml:space="preserve"> (With search interface </w:t>
      </w:r>
      <w:r w:rsidR="002C12F0">
        <w:t>PUBMED</w:t>
      </w:r>
      <w:r w:rsidRPr="001A3D2B">
        <w:t>), Science citation index</w:t>
      </w:r>
      <w:r w:rsidR="005853A9">
        <w:t xml:space="preserve"> and </w:t>
      </w:r>
      <w:r w:rsidRPr="001A3D2B">
        <w:t>index</w:t>
      </w:r>
      <w:r w:rsidR="00427468">
        <w:t xml:space="preserve"> of </w:t>
      </w:r>
      <w:r w:rsidR="003A1917">
        <w:t xml:space="preserve">the </w:t>
      </w:r>
      <w:r w:rsidRPr="001A3D2B">
        <w:t>portuguese medical journals were studied. We applied quantitative</w:t>
      </w:r>
      <w:r w:rsidR="005853A9">
        <w:t xml:space="preserve"> and </w:t>
      </w:r>
      <w:r w:rsidRPr="001A3D2B">
        <w:t>qualitative bibliometric indicators to</w:t>
      </w:r>
      <w:r w:rsidR="003A1917">
        <w:t xml:space="preserve"> the </w:t>
      </w:r>
      <w:r w:rsidRPr="001A3D2B">
        <w:t>found number</w:t>
      </w:r>
      <w:r w:rsidR="00427468">
        <w:t xml:space="preserve"> of </w:t>
      </w:r>
      <w:r w:rsidRPr="001A3D2B">
        <w:t>articles</w:t>
      </w:r>
      <w:r w:rsidR="005853A9">
        <w:t xml:space="preserve"> and </w:t>
      </w:r>
      <w:r w:rsidR="003A1917">
        <w:t xml:space="preserve">the </w:t>
      </w:r>
      <w:r w:rsidRPr="001A3D2B">
        <w:t>journals where they were published</w:t>
      </w:r>
      <w:r w:rsidR="00A37C1D">
        <w:t>. The</w:t>
      </w:r>
      <w:r w:rsidR="003A1917">
        <w:t xml:space="preserve"> </w:t>
      </w:r>
      <w:r w:rsidRPr="001A3D2B">
        <w:t>quantitative indicators based on</w:t>
      </w:r>
      <w:r w:rsidR="003A1917">
        <w:t xml:space="preserve"> the </w:t>
      </w:r>
      <w:r w:rsidRPr="001A3D2B">
        <w:t>number</w:t>
      </w:r>
      <w:r w:rsidR="00427468">
        <w:t xml:space="preserve"> of </w:t>
      </w:r>
      <w:r w:rsidRPr="001A3D2B">
        <w:t>published articles illustrate portugal</w:t>
      </w:r>
      <w:r w:rsidR="00700038">
        <w:t>’</w:t>
      </w:r>
      <w:r w:rsidR="00C13DDC">
        <w:t>s</w:t>
      </w:r>
      <w:r w:rsidRPr="001A3D2B">
        <w:t xml:space="preserve"> position in</w:t>
      </w:r>
      <w:r w:rsidR="003A1917">
        <w:t xml:space="preserve"> the </w:t>
      </w:r>
      <w:r w:rsidRPr="001A3D2B">
        <w:t>area</w:t>
      </w:r>
      <w:r w:rsidR="00427468">
        <w:t xml:space="preserve"> of </w:t>
      </w:r>
      <w:r w:rsidRPr="001A3D2B">
        <w:t>breast pathology within</w:t>
      </w:r>
      <w:r w:rsidR="003A1917">
        <w:t xml:space="preserve"> the </w:t>
      </w:r>
      <w:r w:rsidRPr="001A3D2B">
        <w:t>international scientific community; Further, it also allows</w:t>
      </w:r>
      <w:r w:rsidR="003A1917">
        <w:t xml:space="preserve"> the </w:t>
      </w:r>
      <w:r w:rsidRPr="001A3D2B">
        <w:t>identification</w:t>
      </w:r>
      <w:r w:rsidR="00427468">
        <w:t xml:space="preserve"> of </w:t>
      </w:r>
      <w:r w:rsidR="003A1917">
        <w:t xml:space="preserve">the </w:t>
      </w:r>
      <w:r w:rsidRPr="001A3D2B">
        <w:t>participation</w:t>
      </w:r>
      <w:r w:rsidR="00427468">
        <w:t xml:space="preserve"> of </w:t>
      </w:r>
      <w:r w:rsidR="003A1917">
        <w:t xml:space="preserve">the </w:t>
      </w:r>
      <w:r w:rsidRPr="001A3D2B">
        <w:t>different institutions</w:t>
      </w:r>
      <w:r w:rsidR="005853A9">
        <w:t xml:space="preserve"> and </w:t>
      </w:r>
      <w:r w:rsidRPr="001A3D2B">
        <w:t>national bodies, allocated by geographic areas, in scientific production as well as</w:t>
      </w:r>
      <w:r w:rsidR="003A1917">
        <w:t xml:space="preserve"> the </w:t>
      </w:r>
      <w:r w:rsidRPr="001A3D2B">
        <w:t>establishment</w:t>
      </w:r>
      <w:r w:rsidR="00427468">
        <w:t xml:space="preserve"> of </w:t>
      </w:r>
      <w:r w:rsidRPr="001A3D2B">
        <w:t>international collaboration. Qualitative indicators were used to investigate</w:t>
      </w:r>
      <w:r w:rsidR="003A1917">
        <w:t xml:space="preserve"> the </w:t>
      </w:r>
      <w:r w:rsidRPr="001A3D2B">
        <w:t>influence,</w:t>
      </w:r>
      <w:r w:rsidR="005853A9">
        <w:t xml:space="preserve"> and </w:t>
      </w:r>
      <w:r w:rsidR="003A1917">
        <w:t xml:space="preserve">the </w:t>
      </w:r>
      <w:r w:rsidRPr="001A3D2B">
        <w:t>impact</w:t>
      </w:r>
      <w:r w:rsidR="00427468">
        <w:t xml:space="preserve"> of </w:t>
      </w:r>
      <w:r w:rsidR="003A1917">
        <w:t xml:space="preserve">the </w:t>
      </w:r>
      <w:r w:rsidRPr="001A3D2B">
        <w:t>scientific production</w:t>
      </w:r>
      <w:r w:rsidR="00A37C1D">
        <w:t>. The</w:t>
      </w:r>
      <w:r w:rsidRPr="001A3D2B">
        <w:t>se are indicators based on</w:t>
      </w:r>
      <w:r w:rsidR="003A1917">
        <w:t xml:space="preserve"> the </w:t>
      </w:r>
      <w:r w:rsidRPr="001A3D2B">
        <w:t>journal classification where</w:t>
      </w:r>
      <w:r w:rsidR="003A1917">
        <w:t xml:space="preserve"> the </w:t>
      </w:r>
      <w:r w:rsidRPr="001A3D2B">
        <w:t>articles were published</w:t>
      </w:r>
      <w:r w:rsidR="005853A9">
        <w:t xml:space="preserve"> and </w:t>
      </w:r>
      <w:r w:rsidRPr="001A3D2B">
        <w:t>also</w:t>
      </w:r>
      <w:r w:rsidR="003A1917">
        <w:t xml:space="preserve"> the </w:t>
      </w:r>
      <w:r w:rsidRPr="001A3D2B">
        <w:t>citations they received</w:t>
      </w:r>
      <w:r w:rsidR="00A37C1D">
        <w:t>. The</w:t>
      </w:r>
      <w:r w:rsidR="003A1917">
        <w:t xml:space="preserve"> </w:t>
      </w:r>
      <w:r w:rsidRPr="001A3D2B">
        <w:t>number</w:t>
      </w:r>
      <w:r w:rsidR="00427468">
        <w:t xml:space="preserve"> of </w:t>
      </w:r>
      <w:r w:rsidRPr="001A3D2B">
        <w:t>citations obtained by</w:t>
      </w:r>
      <w:r w:rsidR="003A1917">
        <w:t xml:space="preserve"> the </w:t>
      </w:r>
      <w:r w:rsidRPr="001A3D2B">
        <w:t>articles collected in</w:t>
      </w:r>
      <w:r w:rsidR="003A1917">
        <w:t xml:space="preserve"> the </w:t>
      </w:r>
      <w:r w:rsidRPr="001A3D2B">
        <w:t>performed search, was determined, based on</w:t>
      </w:r>
      <w:r w:rsidR="003A1917">
        <w:t xml:space="preserve"> the </w:t>
      </w:r>
      <w:r w:rsidRPr="001A3D2B">
        <w:t>science citation index</w:t>
      </w:r>
      <w:r w:rsidR="005853A9">
        <w:t xml:space="preserve"> and </w:t>
      </w:r>
      <w:r w:rsidR="003A1917">
        <w:t xml:space="preserve">the </w:t>
      </w:r>
      <w:r w:rsidRPr="001A3D2B">
        <w:t>impact factor (If)</w:t>
      </w:r>
      <w:r w:rsidR="00427468">
        <w:t xml:space="preserve"> of </w:t>
      </w:r>
      <w:r w:rsidR="003A1917">
        <w:t xml:space="preserve">the </w:t>
      </w:r>
      <w:r w:rsidRPr="001A3D2B">
        <w:t>journals, which is annually published in</w:t>
      </w:r>
      <w:r w:rsidR="003A1917">
        <w:t xml:space="preserve"> the </w:t>
      </w:r>
      <w:r w:rsidRPr="001A3D2B">
        <w:t xml:space="preserve">journal citation reports (JCR). In </w:t>
      </w:r>
      <w:r w:rsidRPr="001A3D2B">
        <w:lastRenderedPageBreak/>
        <w:t>spite</w:t>
      </w:r>
      <w:r w:rsidR="00427468">
        <w:t xml:space="preserve"> of </w:t>
      </w:r>
      <w:r w:rsidRPr="001A3D2B">
        <w:t>all its constraints, it is difficult not to accept</w:t>
      </w:r>
      <w:r w:rsidR="003A1917">
        <w:t xml:space="preserve"> the </w:t>
      </w:r>
      <w:r w:rsidRPr="001A3D2B">
        <w:t>opinion that</w:t>
      </w:r>
      <w:r w:rsidR="003A1917">
        <w:t xml:space="preserve"> the </w:t>
      </w:r>
      <w:r w:rsidRPr="001A3D2B">
        <w:t>impact factor is today one</w:t>
      </w:r>
      <w:r w:rsidR="00427468">
        <w:t xml:space="preserve"> of </w:t>
      </w:r>
      <w:r w:rsidR="003A1917">
        <w:t xml:space="preserve">the </w:t>
      </w:r>
      <w:r w:rsidRPr="001A3D2B">
        <w:t>few means (If not</w:t>
      </w:r>
      <w:r w:rsidR="003A1917">
        <w:t xml:space="preserve"> the </w:t>
      </w:r>
      <w:r w:rsidRPr="001A3D2B">
        <w:t>sole one) Which enables an assessment</w:t>
      </w:r>
      <w:r w:rsidR="00427468">
        <w:t xml:space="preserve"> of </w:t>
      </w:r>
      <w:r w:rsidR="003A1917">
        <w:t xml:space="preserve">the </w:t>
      </w:r>
      <w:r w:rsidRPr="001A3D2B">
        <w:t>influence</w:t>
      </w:r>
      <w:r w:rsidR="00427468">
        <w:t xml:space="preserve"> of </w:t>
      </w:r>
      <w:r w:rsidRPr="001A3D2B">
        <w:t>a journal in</w:t>
      </w:r>
      <w:r w:rsidR="003A1917">
        <w:t xml:space="preserve"> the </w:t>
      </w:r>
      <w:r w:rsidRPr="001A3D2B">
        <w:t>international scientific community. Results: During</w:t>
      </w:r>
      <w:r w:rsidR="003A1917">
        <w:t xml:space="preserve"> the </w:t>
      </w:r>
      <w:r w:rsidRPr="001A3D2B">
        <w:t>evaluated period,</w:t>
      </w:r>
      <w:r w:rsidR="003A1917">
        <w:t xml:space="preserve"> the </w:t>
      </w:r>
      <w:r w:rsidRPr="001A3D2B">
        <w:t>portuguese scientific production in</w:t>
      </w:r>
      <w:r w:rsidR="003A1917">
        <w:t xml:space="preserve"> the </w:t>
      </w:r>
      <w:r w:rsidRPr="001A3D2B">
        <w:t>selected area showed an increase</w:t>
      </w:r>
      <w:r w:rsidR="00427468">
        <w:t xml:space="preserve"> of </w:t>
      </w:r>
      <w:r w:rsidRPr="001A3D2B">
        <w:t>200%. We analysed 348 documents (232 Published in</w:t>
      </w:r>
      <w:r w:rsidR="003A1917">
        <w:t xml:space="preserve"> the </w:t>
      </w:r>
      <w:r w:rsidRPr="001A3D2B">
        <w:t>selected international databases</w:t>
      </w:r>
      <w:r w:rsidR="005853A9">
        <w:t xml:space="preserve"> and </w:t>
      </w:r>
      <w:r w:rsidRPr="001A3D2B">
        <w:t>16 in</w:t>
      </w:r>
      <w:r w:rsidR="003A1917">
        <w:t xml:space="preserve"> the </w:t>
      </w:r>
      <w:r w:rsidRPr="001A3D2B">
        <w:t>national database. We noticed that articles published by one single author are very rare, n=6</w:t>
      </w:r>
      <w:r w:rsidR="005853A9">
        <w:t xml:space="preserve"> and </w:t>
      </w:r>
      <w:r w:rsidRPr="001A3D2B">
        <w:t>that co-authorship is</w:t>
      </w:r>
      <w:r w:rsidR="003A1917">
        <w:t xml:space="preserve"> the </w:t>
      </w:r>
      <w:r w:rsidRPr="001A3D2B">
        <w:t>most common way</w:t>
      </w:r>
      <w:r w:rsidR="00427468">
        <w:t xml:space="preserve"> of </w:t>
      </w:r>
      <w:r w:rsidRPr="001A3D2B">
        <w:t>publishing</w:t>
      </w:r>
      <w:r w:rsidR="00A37C1D">
        <w:t>. The</w:t>
      </w:r>
      <w:r w:rsidR="003A1917">
        <w:t xml:space="preserve"> </w:t>
      </w:r>
      <w:r w:rsidRPr="001A3D2B">
        <w:t>distribution</w:t>
      </w:r>
      <w:r w:rsidR="00427468">
        <w:t xml:space="preserve"> of </w:t>
      </w:r>
      <w:r w:rsidRPr="001A3D2B">
        <w:t>article production is as follows: 59% In</w:t>
      </w:r>
      <w:r w:rsidR="003A1917">
        <w:t xml:space="preserve"> the </w:t>
      </w:r>
      <w:r w:rsidRPr="001A3D2B">
        <w:t>north zone, 26% in</w:t>
      </w:r>
      <w:r w:rsidR="003A1917">
        <w:t xml:space="preserve"> the </w:t>
      </w:r>
      <w:r w:rsidRPr="001A3D2B">
        <w:t>south zone</w:t>
      </w:r>
      <w:r w:rsidR="005853A9">
        <w:t xml:space="preserve"> and </w:t>
      </w:r>
      <w:r w:rsidRPr="001A3D2B">
        <w:t>15% in</w:t>
      </w:r>
      <w:r w:rsidR="003A1917">
        <w:t xml:space="preserve"> the </w:t>
      </w:r>
      <w:r w:rsidRPr="001A3D2B">
        <w:t>central zone</w:t>
      </w:r>
      <w:r w:rsidR="00427468">
        <w:t xml:space="preserve"> of </w:t>
      </w:r>
      <w:r w:rsidR="003A1917">
        <w:t xml:space="preserve">the </w:t>
      </w:r>
      <w:r w:rsidRPr="001A3D2B">
        <w:t>country</w:t>
      </w:r>
      <w:r w:rsidR="00A37C1D">
        <w:t>. The</w:t>
      </w:r>
      <w:r w:rsidR="003A1917">
        <w:t xml:space="preserve"> </w:t>
      </w:r>
      <w:r w:rsidRPr="001A3D2B">
        <w:t>national institutions with a higher rate</w:t>
      </w:r>
      <w:r w:rsidR="00427468">
        <w:t xml:space="preserve"> of </w:t>
      </w:r>
      <w:r w:rsidRPr="001A3D2B">
        <w:t>publishing in renowned international journals are ipatimup, ipo porto</w:t>
      </w:r>
      <w:r w:rsidR="005853A9">
        <w:t xml:space="preserve"> and </w:t>
      </w:r>
      <w:r w:rsidRPr="001A3D2B">
        <w:t>ipo lisboa</w:t>
      </w:r>
      <w:r w:rsidR="00A37C1D">
        <w:t>. The</w:t>
      </w:r>
      <w:r w:rsidR="003A1917">
        <w:t xml:space="preserve"> </w:t>
      </w:r>
      <w:r w:rsidRPr="001A3D2B">
        <w:t>institutions which publish</w:t>
      </w:r>
      <w:r w:rsidR="003A1917">
        <w:t xml:space="preserve"> the </w:t>
      </w:r>
      <w:r w:rsidRPr="001A3D2B">
        <w:t>larger number</w:t>
      </w:r>
      <w:r w:rsidR="00427468">
        <w:t xml:space="preserve"> of </w:t>
      </w:r>
      <w:r w:rsidRPr="001A3D2B">
        <w:t>papers in portuguese journals are hospitals</w:t>
      </w:r>
      <w:r w:rsidR="005853A9">
        <w:t xml:space="preserve"> and </w:t>
      </w:r>
      <w:r w:rsidRPr="001A3D2B">
        <w:t>health centres</w:t>
      </w:r>
      <w:r w:rsidR="00A37C1D">
        <w:t>. The</w:t>
      </w:r>
      <w:r w:rsidR="003A1917">
        <w:t xml:space="preserve"> </w:t>
      </w:r>
      <w:r w:rsidRPr="001A3D2B">
        <w:t>international journals selected by</w:t>
      </w:r>
      <w:r w:rsidR="003A1917">
        <w:t xml:space="preserve"> the </w:t>
      </w:r>
      <w:r w:rsidRPr="001A3D2B">
        <w:t>national scientists present a high impact factor. In</w:t>
      </w:r>
      <w:r w:rsidR="003A1917">
        <w:t xml:space="preserve"> the </w:t>
      </w:r>
      <w:r w:rsidRPr="001A3D2B">
        <w:t>whole</w:t>
      </w:r>
      <w:r w:rsidR="00427468">
        <w:t xml:space="preserve"> of </w:t>
      </w:r>
      <w:r w:rsidR="003A1917">
        <w:t xml:space="preserve">the </w:t>
      </w:r>
      <w:r w:rsidRPr="001A3D2B">
        <w:t>232 articles selected in</w:t>
      </w:r>
      <w:r w:rsidR="003A1917">
        <w:t xml:space="preserve"> the </w:t>
      </w:r>
      <w:r w:rsidRPr="001A3D2B">
        <w:t>international databases, 81 have not received any citation</w:t>
      </w:r>
      <w:r w:rsidR="005853A9">
        <w:t xml:space="preserve"> and </w:t>
      </w:r>
      <w:r w:rsidRPr="001A3D2B">
        <w:t>120 obtained a total</w:t>
      </w:r>
      <w:r w:rsidR="00427468">
        <w:t xml:space="preserve"> of </w:t>
      </w:r>
      <w:r w:rsidRPr="001A3D2B">
        <w:t>1.856 Citations. It should be noted that</w:t>
      </w:r>
      <w:r w:rsidR="003A1917">
        <w:t xml:space="preserve"> the </w:t>
      </w:r>
      <w:r w:rsidRPr="001A3D2B">
        <w:t>more recent articles have not yet received citations</w:t>
      </w:r>
      <w:r w:rsidR="00A37C1D">
        <w:t>. The</w:t>
      </w:r>
      <w:r w:rsidR="003A1917">
        <w:t xml:space="preserve"> </w:t>
      </w:r>
      <w:r w:rsidRPr="001A3D2B">
        <w:t>articles resulting from international collaboration, were those receiving an higher rate</w:t>
      </w:r>
      <w:r w:rsidR="00427468">
        <w:t xml:space="preserve"> of </w:t>
      </w:r>
      <w:r w:rsidRPr="001A3D2B">
        <w:t>citations. Conclusions: An increase</w:t>
      </w:r>
      <w:r w:rsidR="00427468">
        <w:t xml:space="preserve"> of </w:t>
      </w:r>
      <w:r w:rsidR="003A1917">
        <w:t xml:space="preserve">the </w:t>
      </w:r>
      <w:r w:rsidRPr="001A3D2B">
        <w:t>investigation in breast pathology is observed, this being illustrated by</w:t>
      </w:r>
      <w:r w:rsidR="003A1917">
        <w:t xml:space="preserve"> the </w:t>
      </w:r>
      <w:r w:rsidRPr="001A3D2B">
        <w:t>increase in</w:t>
      </w:r>
      <w:r w:rsidR="003A1917">
        <w:t xml:space="preserve"> the </w:t>
      </w:r>
      <w:r w:rsidRPr="001A3D2B">
        <w:t>number</w:t>
      </w:r>
      <w:r w:rsidR="00427468">
        <w:t xml:space="preserve"> of </w:t>
      </w:r>
      <w:r w:rsidRPr="001A3D2B">
        <w:t>articles published in well-recognized international journals. It is also noticed a trend to publish in journals with a higher impact factor as well as an increasing role</w:t>
      </w:r>
      <w:r w:rsidR="00427468">
        <w:t xml:space="preserve"> of </w:t>
      </w:r>
      <w:r w:rsidRPr="001A3D2B">
        <w:t>co-authorship</w:t>
      </w:r>
      <w:r w:rsidR="005853A9">
        <w:t xml:space="preserve"> and </w:t>
      </w:r>
      <w:r w:rsidRPr="001A3D2B">
        <w:t>international collaboration.</w:t>
      </w:r>
    </w:p>
    <w:p w:rsidR="003474F2" w:rsidRPr="001A3D2B" w:rsidRDefault="003474F2" w:rsidP="003474F2">
      <w:pPr>
        <w:pStyle w:val="a3"/>
      </w:pPr>
      <w:r w:rsidRPr="001A3D2B">
        <w:t xml:space="preserve">Keywords: Analysis, Assessment, Bibliometric, Bibliometric Analysis, Bibliometric Indicators, Bodies, Citation, Citations, Classification, Co-Authorship, Coauthorship, Collaboration, Community, Country, Database, Databases, Distribution, Evaluation, Evolution, Field, Health, Hospitals, Identification, Impact, Impact Factor, Index, Indicators, Institutions, International, Investigation, Journal, Journals, Medical, Medical Journals, </w:t>
      </w:r>
      <w:r w:rsidR="00D5664A">
        <w:t>MEDLINE</w:t>
      </w:r>
      <w:r w:rsidRPr="001A3D2B">
        <w:t>, Methods, Papers, Participation, Pathology, Publishing, Qualitative, Role, Science, Science Citation Index, Scientific Production, Trend</w:t>
      </w:r>
    </w:p>
    <w:p w:rsidR="00CE1065" w:rsidRPr="001A3D2B" w:rsidRDefault="00CE1065" w:rsidP="00CE1065">
      <w:pPr>
        <w:pStyle w:val="a3"/>
        <w:rPr>
          <w:kern w:val="0"/>
        </w:rPr>
      </w:pPr>
      <w:r w:rsidRPr="001A3D2B">
        <w:rPr>
          <w:kern w:val="0"/>
        </w:rPr>
        <w:t>? Nunes, P. (2008), Portuguese indexed medical act</w:t>
      </w:r>
      <w:r w:rsidR="00427468">
        <w:rPr>
          <w:kern w:val="0"/>
        </w:rPr>
        <w:t xml:space="preserve"> of </w:t>
      </w:r>
      <w:r w:rsidR="003A1917">
        <w:rPr>
          <w:kern w:val="0"/>
        </w:rPr>
        <w:t xml:space="preserve">the </w:t>
      </w:r>
      <w:r w:rsidRPr="001A3D2B">
        <w:rPr>
          <w:kern w:val="0"/>
        </w:rPr>
        <w:t xml:space="preserve">Science Citation Index. </w:t>
      </w:r>
      <w:r w:rsidRPr="001A3D2B">
        <w:rPr>
          <w:i/>
          <w:iCs/>
          <w:kern w:val="0"/>
        </w:rPr>
        <w:t xml:space="preserve">Acta </w:t>
      </w:r>
      <w:r w:rsidR="002C13BB" w:rsidRPr="001A3D2B">
        <w:rPr>
          <w:i/>
        </w:rPr>
        <w:t xml:space="preserve">Médica </w:t>
      </w:r>
      <w:r w:rsidRPr="001A3D2B">
        <w:rPr>
          <w:i/>
          <w:iCs/>
          <w:kern w:val="0"/>
        </w:rPr>
        <w:t>Portuguesa</w:t>
      </w:r>
      <w:r w:rsidRPr="001A3D2B">
        <w:rPr>
          <w:kern w:val="0"/>
        </w:rPr>
        <w:t xml:space="preserve">, </w:t>
      </w:r>
      <w:r w:rsidRPr="001A3D2B">
        <w:rPr>
          <w:b/>
          <w:bCs/>
          <w:kern w:val="0"/>
        </w:rPr>
        <w:t>21</w:t>
      </w:r>
      <w:r w:rsidRPr="001A3D2B">
        <w:rPr>
          <w:kern w:val="0"/>
        </w:rPr>
        <w:t xml:space="preserve"> (6), 525.</w:t>
      </w:r>
    </w:p>
    <w:p w:rsidR="003E631D" w:rsidRPr="001A3D2B" w:rsidRDefault="003E631D" w:rsidP="003E631D">
      <w:pPr>
        <w:pStyle w:val="a3"/>
        <w:rPr>
          <w:kern w:val="0"/>
          <w:szCs w:val="24"/>
        </w:rPr>
      </w:pPr>
      <w:r w:rsidRPr="001A3D2B">
        <w:rPr>
          <w:kern w:val="0"/>
          <w:szCs w:val="24"/>
        </w:rPr>
        <w:t>? Donato, H.</w:t>
      </w:r>
      <w:r w:rsidR="005853A9">
        <w:rPr>
          <w:kern w:val="0"/>
          <w:szCs w:val="24"/>
        </w:rPr>
        <w:t xml:space="preserve"> and </w:t>
      </w:r>
      <w:r w:rsidRPr="001A3D2B">
        <w:rPr>
          <w:kern w:val="0"/>
          <w:szCs w:val="24"/>
        </w:rPr>
        <w:t>De Oliveira, C.F. (2009), Bibliometry</w:t>
      </w:r>
      <w:r w:rsidR="00427468">
        <w:rPr>
          <w:kern w:val="0"/>
          <w:szCs w:val="24"/>
        </w:rPr>
        <w:t xml:space="preserve"> of </w:t>
      </w:r>
      <w:r w:rsidR="003E03F5" w:rsidRPr="001A3D2B">
        <w:rPr>
          <w:kern w:val="0"/>
          <w:szCs w:val="24"/>
        </w:rPr>
        <w:t xml:space="preserve">cancer </w:t>
      </w:r>
      <w:r w:rsidRPr="001A3D2B">
        <w:rPr>
          <w:kern w:val="0"/>
          <w:szCs w:val="24"/>
        </w:rPr>
        <w:t xml:space="preserve">in Portugal: 1997 to 2006. </w:t>
      </w:r>
      <w:r w:rsidRPr="001A3D2B">
        <w:rPr>
          <w:i/>
          <w:iCs/>
          <w:kern w:val="0"/>
          <w:szCs w:val="24"/>
        </w:rPr>
        <w:t xml:space="preserve">Acta </w:t>
      </w:r>
      <w:r w:rsidRPr="001A3D2B">
        <w:rPr>
          <w:i/>
        </w:rPr>
        <w:t xml:space="preserve">Médica </w:t>
      </w:r>
      <w:r w:rsidRPr="001A3D2B">
        <w:rPr>
          <w:i/>
          <w:iCs/>
          <w:kern w:val="0"/>
          <w:szCs w:val="24"/>
        </w:rPr>
        <w:t>Portuguesa</w:t>
      </w:r>
      <w:r w:rsidRPr="001A3D2B">
        <w:rPr>
          <w:kern w:val="0"/>
          <w:szCs w:val="24"/>
        </w:rPr>
        <w:t xml:space="preserve">, </w:t>
      </w:r>
      <w:r w:rsidRPr="001A3D2B">
        <w:rPr>
          <w:b/>
          <w:bCs/>
          <w:kern w:val="0"/>
          <w:szCs w:val="24"/>
        </w:rPr>
        <w:t>22</w:t>
      </w:r>
      <w:r w:rsidRPr="001A3D2B">
        <w:rPr>
          <w:kern w:val="0"/>
          <w:szCs w:val="24"/>
        </w:rPr>
        <w:t xml:space="preserve"> (1), 41-50.</w:t>
      </w:r>
    </w:p>
    <w:p w:rsidR="00CE1065" w:rsidRPr="001A3D2B" w:rsidRDefault="00CE1065" w:rsidP="00CE1065">
      <w:pPr>
        <w:pStyle w:val="a3"/>
      </w:pPr>
      <w:r w:rsidRPr="001A3D2B">
        <w:t xml:space="preserve">Full Text: </w:t>
      </w:r>
      <w:hyperlink r:id="rId140" w:history="1">
        <w:r w:rsidRPr="001A3D2B">
          <w:rPr>
            <w:rStyle w:val="a5"/>
          </w:rPr>
          <w:t>2009\Act Méd Por22, 41.pdf</w:t>
        </w:r>
      </w:hyperlink>
    </w:p>
    <w:p w:rsidR="003E631D" w:rsidRPr="001A3D2B" w:rsidRDefault="003E631D" w:rsidP="003E631D">
      <w:pPr>
        <w:pStyle w:val="a3"/>
        <w:rPr>
          <w:kern w:val="0"/>
          <w:szCs w:val="24"/>
        </w:rPr>
      </w:pPr>
      <w:r w:rsidRPr="001A3D2B">
        <w:rPr>
          <w:kern w:val="0"/>
          <w:szCs w:val="24"/>
        </w:rPr>
        <w:t>Abstract: Introduction:</w:t>
      </w:r>
      <w:r w:rsidR="003A1917">
        <w:rPr>
          <w:kern w:val="0"/>
          <w:szCs w:val="24"/>
        </w:rPr>
        <w:t xml:space="preserve"> the </w:t>
      </w:r>
      <w:r w:rsidRPr="001A3D2B">
        <w:rPr>
          <w:kern w:val="0"/>
          <w:szCs w:val="24"/>
        </w:rPr>
        <w:t>scientific production</w:t>
      </w:r>
      <w:r w:rsidR="00427468">
        <w:rPr>
          <w:kern w:val="0"/>
          <w:szCs w:val="24"/>
        </w:rPr>
        <w:t xml:space="preserve"> of </w:t>
      </w:r>
      <w:r w:rsidRPr="001A3D2B">
        <w:rPr>
          <w:kern w:val="0"/>
          <w:szCs w:val="24"/>
        </w:rPr>
        <w:t>Portuguese institutions in</w:t>
      </w:r>
      <w:r w:rsidR="003A1917">
        <w:rPr>
          <w:kern w:val="0"/>
          <w:szCs w:val="24"/>
        </w:rPr>
        <w:t xml:space="preserve"> the </w:t>
      </w:r>
      <w:r w:rsidRPr="001A3D2B">
        <w:rPr>
          <w:kern w:val="0"/>
          <w:szCs w:val="24"/>
        </w:rPr>
        <w:t>specific field Oncology during a 10 year period (1997-2006) was evaluated</w:t>
      </w:r>
      <w:r w:rsidR="00A37C1D">
        <w:rPr>
          <w:kern w:val="0"/>
          <w:szCs w:val="24"/>
        </w:rPr>
        <w:t>. The</w:t>
      </w:r>
      <w:r w:rsidR="003A1917">
        <w:rPr>
          <w:kern w:val="0"/>
          <w:szCs w:val="24"/>
        </w:rPr>
        <w:t xml:space="preserve"> </w:t>
      </w:r>
      <w:r w:rsidRPr="001A3D2B">
        <w:rPr>
          <w:kern w:val="0"/>
          <w:szCs w:val="24"/>
        </w:rPr>
        <w:t>contribution</w:t>
      </w:r>
      <w:r w:rsidR="00427468">
        <w:rPr>
          <w:kern w:val="0"/>
          <w:szCs w:val="24"/>
        </w:rPr>
        <w:t xml:space="preserve"> of </w:t>
      </w:r>
      <w:r w:rsidRPr="001A3D2B">
        <w:rPr>
          <w:kern w:val="0"/>
          <w:szCs w:val="24"/>
        </w:rPr>
        <w:t>national authors to</w:t>
      </w:r>
      <w:r w:rsidR="003A1917">
        <w:rPr>
          <w:kern w:val="0"/>
          <w:szCs w:val="24"/>
        </w:rPr>
        <w:t xml:space="preserve"> the </w:t>
      </w:r>
      <w:r w:rsidRPr="001A3D2B">
        <w:rPr>
          <w:kern w:val="0"/>
          <w:szCs w:val="24"/>
        </w:rPr>
        <w:t>international scientific production was verified. This enabled to assess</w:t>
      </w:r>
      <w:r w:rsidR="005853A9">
        <w:rPr>
          <w:kern w:val="0"/>
          <w:szCs w:val="24"/>
        </w:rPr>
        <w:t xml:space="preserve"> and </w:t>
      </w:r>
      <w:r w:rsidRPr="001A3D2B">
        <w:rPr>
          <w:kern w:val="0"/>
          <w:szCs w:val="24"/>
        </w:rPr>
        <w:t>quantify</w:t>
      </w:r>
      <w:r w:rsidR="003A1917">
        <w:rPr>
          <w:kern w:val="0"/>
          <w:szCs w:val="24"/>
        </w:rPr>
        <w:t xml:space="preserve"> the </w:t>
      </w:r>
      <w:r w:rsidRPr="001A3D2B">
        <w:rPr>
          <w:kern w:val="0"/>
          <w:szCs w:val="24"/>
        </w:rPr>
        <w:t>importance</w:t>
      </w:r>
      <w:r w:rsidR="00427468">
        <w:rPr>
          <w:kern w:val="0"/>
          <w:szCs w:val="24"/>
        </w:rPr>
        <w:t xml:space="preserve"> of </w:t>
      </w:r>
      <w:r w:rsidRPr="001A3D2B">
        <w:rPr>
          <w:kern w:val="0"/>
          <w:szCs w:val="24"/>
        </w:rPr>
        <w:t>authors, departments, institutions</w:t>
      </w:r>
      <w:r w:rsidR="005853A9">
        <w:rPr>
          <w:kern w:val="0"/>
          <w:szCs w:val="24"/>
        </w:rPr>
        <w:t xml:space="preserve"> and </w:t>
      </w:r>
      <w:r w:rsidRPr="001A3D2B">
        <w:rPr>
          <w:kern w:val="0"/>
          <w:szCs w:val="24"/>
        </w:rPr>
        <w:t>scientific investigations. Material</w:t>
      </w:r>
      <w:r w:rsidR="005853A9">
        <w:rPr>
          <w:kern w:val="0"/>
          <w:szCs w:val="24"/>
        </w:rPr>
        <w:t xml:space="preserve"> and </w:t>
      </w:r>
      <w:r w:rsidRPr="001A3D2B">
        <w:rPr>
          <w:kern w:val="0"/>
          <w:szCs w:val="24"/>
        </w:rPr>
        <w:t>Methods: Using version 2006</w:t>
      </w:r>
      <w:r w:rsidR="00427468">
        <w:rPr>
          <w:kern w:val="0"/>
          <w:szCs w:val="24"/>
        </w:rPr>
        <w:t xml:space="preserve"> </w:t>
      </w:r>
      <w:r w:rsidR="00427468">
        <w:rPr>
          <w:kern w:val="0"/>
          <w:szCs w:val="24"/>
        </w:rPr>
        <w:lastRenderedPageBreak/>
        <w:t xml:space="preserve">of </w:t>
      </w:r>
      <w:r w:rsidR="00D5664A">
        <w:rPr>
          <w:kern w:val="0"/>
          <w:szCs w:val="24"/>
        </w:rPr>
        <w:t>Web</w:t>
      </w:r>
      <w:r w:rsidR="00427468">
        <w:rPr>
          <w:kern w:val="0"/>
          <w:szCs w:val="24"/>
        </w:rPr>
        <w:t xml:space="preserve"> of </w:t>
      </w:r>
      <w:r w:rsidR="00D5664A">
        <w:rPr>
          <w:kern w:val="0"/>
          <w:szCs w:val="24"/>
        </w:rPr>
        <w:t>Science</w:t>
      </w:r>
      <w:r w:rsidRPr="001A3D2B">
        <w:rPr>
          <w:kern w:val="0"/>
          <w:szCs w:val="24"/>
        </w:rPr>
        <w:t>, section Science Citation Index, a database</w:t>
      </w:r>
      <w:r w:rsidR="00427468">
        <w:rPr>
          <w:kern w:val="0"/>
          <w:szCs w:val="24"/>
        </w:rPr>
        <w:t xml:space="preserve"> of </w:t>
      </w:r>
      <w:r w:rsidRPr="001A3D2B">
        <w:rPr>
          <w:kern w:val="0"/>
          <w:szCs w:val="24"/>
        </w:rPr>
        <w:t>literature references which enables analysis</w:t>
      </w:r>
      <w:r w:rsidR="00427468">
        <w:rPr>
          <w:kern w:val="0"/>
          <w:szCs w:val="24"/>
        </w:rPr>
        <w:t xml:space="preserve"> of </w:t>
      </w:r>
      <w:r w:rsidRPr="001A3D2B">
        <w:rPr>
          <w:kern w:val="0"/>
          <w:szCs w:val="24"/>
        </w:rPr>
        <w:t>citations,</w:t>
      </w:r>
      <w:r w:rsidR="005853A9">
        <w:rPr>
          <w:kern w:val="0"/>
          <w:szCs w:val="24"/>
        </w:rPr>
        <w:t xml:space="preserve"> and </w:t>
      </w:r>
      <w:r w:rsidRPr="001A3D2B">
        <w:rPr>
          <w:kern w:val="0"/>
          <w:szCs w:val="24"/>
        </w:rPr>
        <w:t>also</w:t>
      </w:r>
      <w:r w:rsidR="003A1917">
        <w:rPr>
          <w:kern w:val="0"/>
          <w:szCs w:val="24"/>
        </w:rPr>
        <w:t xml:space="preserve"> the </w:t>
      </w:r>
      <w:r w:rsidRPr="001A3D2B">
        <w:rPr>
          <w:kern w:val="0"/>
          <w:szCs w:val="24"/>
        </w:rPr>
        <w:t>Journal Citation Reports (tools produced by ISI Thomson Scientific), a quantitative</w:t>
      </w:r>
      <w:r w:rsidR="005853A9">
        <w:rPr>
          <w:kern w:val="0"/>
          <w:szCs w:val="24"/>
        </w:rPr>
        <w:t xml:space="preserve"> and </w:t>
      </w:r>
      <w:r w:rsidRPr="001A3D2B">
        <w:rPr>
          <w:kern w:val="0"/>
          <w:szCs w:val="24"/>
        </w:rPr>
        <w:t>qualitative analysis</w:t>
      </w:r>
      <w:r w:rsidR="00427468">
        <w:rPr>
          <w:kern w:val="0"/>
          <w:szCs w:val="24"/>
        </w:rPr>
        <w:t xml:space="preserve"> of </w:t>
      </w:r>
      <w:r w:rsidR="003A1917">
        <w:rPr>
          <w:kern w:val="0"/>
          <w:szCs w:val="24"/>
        </w:rPr>
        <w:t xml:space="preserve">the </w:t>
      </w:r>
      <w:r w:rsidRPr="001A3D2B">
        <w:rPr>
          <w:kern w:val="0"/>
          <w:szCs w:val="24"/>
        </w:rPr>
        <w:t>Portuguese scientific production on cancer between 1997 to 2006 was performed. Results: during</w:t>
      </w:r>
      <w:r w:rsidR="003A1917">
        <w:rPr>
          <w:kern w:val="0"/>
          <w:szCs w:val="24"/>
        </w:rPr>
        <w:t xml:space="preserve"> the </w:t>
      </w:r>
      <w:r w:rsidRPr="001A3D2B">
        <w:rPr>
          <w:kern w:val="0"/>
          <w:szCs w:val="24"/>
        </w:rPr>
        <w:t>studied period, 1.384 articles were published in scientific journals with given impact factor, which obtained a total</w:t>
      </w:r>
      <w:r w:rsidR="00427468">
        <w:rPr>
          <w:kern w:val="0"/>
          <w:szCs w:val="24"/>
        </w:rPr>
        <w:t xml:space="preserve"> of </w:t>
      </w:r>
      <w:r w:rsidRPr="001A3D2B">
        <w:rPr>
          <w:kern w:val="0"/>
          <w:szCs w:val="24"/>
        </w:rPr>
        <w:t>16.484 citations, corresponding to a mean</w:t>
      </w:r>
      <w:r w:rsidR="00427468">
        <w:rPr>
          <w:kern w:val="0"/>
          <w:szCs w:val="24"/>
        </w:rPr>
        <w:t xml:space="preserve"> of </w:t>
      </w:r>
      <w:r w:rsidRPr="001A3D2B">
        <w:rPr>
          <w:kern w:val="0"/>
          <w:szCs w:val="24"/>
        </w:rPr>
        <w:t>11.91 citations per article. Between 1997</w:t>
      </w:r>
      <w:r w:rsidR="005853A9">
        <w:rPr>
          <w:kern w:val="0"/>
          <w:szCs w:val="24"/>
        </w:rPr>
        <w:t xml:space="preserve"> and </w:t>
      </w:r>
      <w:r w:rsidRPr="001A3D2B">
        <w:rPr>
          <w:kern w:val="0"/>
          <w:szCs w:val="24"/>
        </w:rPr>
        <w:t>2006 an increase</w:t>
      </w:r>
      <w:r w:rsidR="00427468">
        <w:rPr>
          <w:kern w:val="0"/>
          <w:szCs w:val="24"/>
        </w:rPr>
        <w:t xml:space="preserve"> of </w:t>
      </w:r>
      <w:r w:rsidRPr="001A3D2B">
        <w:rPr>
          <w:kern w:val="0"/>
          <w:szCs w:val="24"/>
        </w:rPr>
        <w:t>214% was noticed in</w:t>
      </w:r>
      <w:r w:rsidR="003A1917">
        <w:rPr>
          <w:kern w:val="0"/>
          <w:szCs w:val="24"/>
        </w:rPr>
        <w:t xml:space="preserve"> the </w:t>
      </w:r>
      <w:r w:rsidRPr="001A3D2B">
        <w:rPr>
          <w:kern w:val="0"/>
          <w:szCs w:val="24"/>
        </w:rPr>
        <w:t>national scientific production in</w:t>
      </w:r>
      <w:r w:rsidR="003A1917">
        <w:rPr>
          <w:kern w:val="0"/>
          <w:szCs w:val="24"/>
        </w:rPr>
        <w:t xml:space="preserve"> the </w:t>
      </w:r>
      <w:r w:rsidRPr="001A3D2B">
        <w:rPr>
          <w:kern w:val="0"/>
          <w:szCs w:val="24"/>
        </w:rPr>
        <w:t>selected field. Ten authors represent 46%</w:t>
      </w:r>
      <w:r w:rsidR="00427468">
        <w:rPr>
          <w:kern w:val="0"/>
          <w:szCs w:val="24"/>
        </w:rPr>
        <w:t xml:space="preserve"> of </w:t>
      </w:r>
      <w:r w:rsidR="003A1917">
        <w:rPr>
          <w:kern w:val="0"/>
          <w:szCs w:val="24"/>
        </w:rPr>
        <w:t xml:space="preserve">the </w:t>
      </w:r>
      <w:r w:rsidRPr="001A3D2B">
        <w:rPr>
          <w:kern w:val="0"/>
          <w:szCs w:val="24"/>
        </w:rPr>
        <w:t>produced documents</w:t>
      </w:r>
      <w:r w:rsidR="00A37C1D">
        <w:rPr>
          <w:kern w:val="0"/>
          <w:szCs w:val="24"/>
        </w:rPr>
        <w:t>. The</w:t>
      </w:r>
      <w:r w:rsidR="003A1917">
        <w:rPr>
          <w:kern w:val="0"/>
          <w:szCs w:val="24"/>
        </w:rPr>
        <w:t xml:space="preserve"> </w:t>
      </w:r>
      <w:r w:rsidRPr="001A3D2B">
        <w:rPr>
          <w:kern w:val="0"/>
          <w:szCs w:val="24"/>
        </w:rPr>
        <w:t>majority</w:t>
      </w:r>
      <w:r w:rsidR="00427468">
        <w:rPr>
          <w:kern w:val="0"/>
          <w:szCs w:val="24"/>
        </w:rPr>
        <w:t xml:space="preserve"> of </w:t>
      </w:r>
      <w:r w:rsidRPr="001A3D2B">
        <w:rPr>
          <w:kern w:val="0"/>
          <w:szCs w:val="24"/>
        </w:rPr>
        <w:t>published articles were performed by Universities, being Oporto University</w:t>
      </w:r>
      <w:r w:rsidR="003A1917">
        <w:rPr>
          <w:kern w:val="0"/>
          <w:szCs w:val="24"/>
        </w:rPr>
        <w:t xml:space="preserve"> the </w:t>
      </w:r>
      <w:r w:rsidRPr="001A3D2B">
        <w:rPr>
          <w:kern w:val="0"/>
          <w:szCs w:val="24"/>
        </w:rPr>
        <w:t>one with highest contribution. Co-authorship is</w:t>
      </w:r>
      <w:r w:rsidR="003A1917">
        <w:rPr>
          <w:kern w:val="0"/>
          <w:szCs w:val="24"/>
        </w:rPr>
        <w:t xml:space="preserve"> the </w:t>
      </w:r>
      <w:r w:rsidRPr="001A3D2B">
        <w:rPr>
          <w:kern w:val="0"/>
          <w:szCs w:val="24"/>
        </w:rPr>
        <w:t>rule in</w:t>
      </w:r>
      <w:r w:rsidR="003A1917">
        <w:rPr>
          <w:kern w:val="0"/>
          <w:szCs w:val="24"/>
        </w:rPr>
        <w:t xml:space="preserve"> the </w:t>
      </w:r>
      <w:r w:rsidRPr="001A3D2B">
        <w:rPr>
          <w:kern w:val="0"/>
          <w:szCs w:val="24"/>
        </w:rPr>
        <w:t>production</w:t>
      </w:r>
      <w:r w:rsidR="00427468">
        <w:rPr>
          <w:kern w:val="0"/>
          <w:szCs w:val="24"/>
        </w:rPr>
        <w:t xml:space="preserve"> of </w:t>
      </w:r>
      <w:r w:rsidRPr="001A3D2B">
        <w:rPr>
          <w:kern w:val="0"/>
          <w:szCs w:val="24"/>
        </w:rPr>
        <w:t>articles</w:t>
      </w:r>
      <w:r w:rsidR="005853A9">
        <w:rPr>
          <w:kern w:val="0"/>
          <w:szCs w:val="24"/>
        </w:rPr>
        <w:t xml:space="preserve"> and </w:t>
      </w:r>
      <w:r w:rsidRPr="001A3D2B">
        <w:rPr>
          <w:kern w:val="0"/>
          <w:szCs w:val="24"/>
        </w:rPr>
        <w:t>Portugal is no exception. Articles with international collaboration where those which obtained</w:t>
      </w:r>
      <w:r w:rsidR="003A1917">
        <w:rPr>
          <w:kern w:val="0"/>
          <w:szCs w:val="24"/>
        </w:rPr>
        <w:t xml:space="preserve"> the </w:t>
      </w:r>
      <w:r w:rsidRPr="001A3D2B">
        <w:rPr>
          <w:kern w:val="0"/>
          <w:szCs w:val="24"/>
        </w:rPr>
        <w:t>highest citation rate</w:t>
      </w:r>
      <w:r w:rsidR="00A37C1D">
        <w:rPr>
          <w:kern w:val="0"/>
          <w:szCs w:val="24"/>
        </w:rPr>
        <w:t>. The</w:t>
      </w:r>
      <w:r w:rsidR="003A1917">
        <w:rPr>
          <w:kern w:val="0"/>
          <w:szCs w:val="24"/>
        </w:rPr>
        <w:t xml:space="preserve"> </w:t>
      </w:r>
      <w:r w:rsidRPr="001A3D2B">
        <w:rPr>
          <w:kern w:val="0"/>
          <w:szCs w:val="24"/>
        </w:rPr>
        <w:t>Portuguese contribution to</w:t>
      </w:r>
      <w:r w:rsidR="003A1917">
        <w:rPr>
          <w:kern w:val="0"/>
          <w:szCs w:val="24"/>
        </w:rPr>
        <w:t xml:space="preserve"> the </w:t>
      </w:r>
      <w:r w:rsidRPr="001A3D2B">
        <w:rPr>
          <w:kern w:val="0"/>
          <w:szCs w:val="24"/>
        </w:rPr>
        <w:t>international scientific production in</w:t>
      </w:r>
      <w:r w:rsidR="003A1917">
        <w:rPr>
          <w:kern w:val="0"/>
          <w:szCs w:val="24"/>
        </w:rPr>
        <w:t xml:space="preserve"> the </w:t>
      </w:r>
      <w:r w:rsidRPr="001A3D2B">
        <w:rPr>
          <w:kern w:val="0"/>
          <w:szCs w:val="24"/>
        </w:rPr>
        <w:t>field</w:t>
      </w:r>
      <w:r w:rsidR="00427468">
        <w:rPr>
          <w:kern w:val="0"/>
          <w:szCs w:val="24"/>
        </w:rPr>
        <w:t xml:space="preserve"> of </w:t>
      </w:r>
      <w:r w:rsidRPr="001A3D2B">
        <w:rPr>
          <w:kern w:val="0"/>
          <w:szCs w:val="24"/>
        </w:rPr>
        <w:t>Oncology in</w:t>
      </w:r>
      <w:r w:rsidR="003A1917">
        <w:rPr>
          <w:kern w:val="0"/>
          <w:szCs w:val="24"/>
        </w:rPr>
        <w:t xml:space="preserve"> the </w:t>
      </w:r>
      <w:r w:rsidRPr="001A3D2B">
        <w:rPr>
          <w:kern w:val="0"/>
          <w:szCs w:val="24"/>
        </w:rPr>
        <w:t>studied period was</w:t>
      </w:r>
      <w:r w:rsidR="00427468">
        <w:rPr>
          <w:kern w:val="0"/>
          <w:szCs w:val="24"/>
        </w:rPr>
        <w:t xml:space="preserve"> of </w:t>
      </w:r>
      <w:r w:rsidRPr="001A3D2B">
        <w:rPr>
          <w:kern w:val="0"/>
          <w:szCs w:val="24"/>
        </w:rPr>
        <w:t>0.21%. Conclusions: Bibliometric analysis is a reliable tool to evaluate</w:t>
      </w:r>
      <w:r w:rsidR="003A1917">
        <w:rPr>
          <w:kern w:val="0"/>
          <w:szCs w:val="24"/>
        </w:rPr>
        <w:t xml:space="preserve"> the </w:t>
      </w:r>
      <w:r w:rsidRPr="001A3D2B">
        <w:rPr>
          <w:kern w:val="0"/>
          <w:szCs w:val="24"/>
        </w:rPr>
        <w:t>development</w:t>
      </w:r>
      <w:r w:rsidR="005853A9">
        <w:rPr>
          <w:kern w:val="0"/>
          <w:szCs w:val="24"/>
        </w:rPr>
        <w:t xml:space="preserve"> and </w:t>
      </w:r>
      <w:r w:rsidRPr="001A3D2B">
        <w:rPr>
          <w:kern w:val="0"/>
          <w:szCs w:val="24"/>
        </w:rPr>
        <w:t>quality</w:t>
      </w:r>
      <w:r w:rsidR="00427468">
        <w:rPr>
          <w:kern w:val="0"/>
          <w:szCs w:val="24"/>
        </w:rPr>
        <w:t xml:space="preserve"> of </w:t>
      </w:r>
      <w:r w:rsidRPr="001A3D2B">
        <w:rPr>
          <w:kern w:val="0"/>
          <w:szCs w:val="24"/>
        </w:rPr>
        <w:t>scientific production. A growing visibility</w:t>
      </w:r>
      <w:r w:rsidR="00427468">
        <w:rPr>
          <w:kern w:val="0"/>
          <w:szCs w:val="24"/>
        </w:rPr>
        <w:t xml:space="preserve"> of </w:t>
      </w:r>
      <w:r w:rsidRPr="001A3D2B">
        <w:rPr>
          <w:kern w:val="0"/>
          <w:szCs w:val="24"/>
        </w:rPr>
        <w:t>investigation in this area was observed. This conclusion is based on</w:t>
      </w:r>
      <w:r w:rsidR="003A1917">
        <w:rPr>
          <w:kern w:val="0"/>
          <w:szCs w:val="24"/>
        </w:rPr>
        <w:t xml:space="preserve"> the </w:t>
      </w:r>
      <w:r w:rsidRPr="001A3D2B">
        <w:rPr>
          <w:kern w:val="0"/>
          <w:szCs w:val="24"/>
        </w:rPr>
        <w:t>increase in</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articles published in international journals</w:t>
      </w:r>
      <w:r w:rsidR="00427468">
        <w:rPr>
          <w:kern w:val="0"/>
          <w:szCs w:val="24"/>
        </w:rPr>
        <w:t xml:space="preserve"> of </w:t>
      </w:r>
      <w:r w:rsidRPr="001A3D2B">
        <w:rPr>
          <w:kern w:val="0"/>
          <w:szCs w:val="24"/>
        </w:rPr>
        <w:t>recognized reputation. National authors publish few articles, but they select high standard journals.</w:t>
      </w:r>
    </w:p>
    <w:p w:rsidR="003E631D" w:rsidRPr="001A3D2B" w:rsidRDefault="003E631D" w:rsidP="003E631D">
      <w:pPr>
        <w:pStyle w:val="a3"/>
        <w:rPr>
          <w:kern w:val="0"/>
          <w:szCs w:val="24"/>
        </w:rPr>
      </w:pPr>
      <w:r w:rsidRPr="001A3D2B">
        <w:rPr>
          <w:kern w:val="0"/>
          <w:szCs w:val="24"/>
        </w:rPr>
        <w:t>Keywords: Analysis, Authors, Bibliometric, Bibliometric Analysis, Cancer, Citation, Citations, Collaboration, Contribution, Database, Development, Field, Fields, Impact, Impact Factor, Institutions, International, Investigation, Investigations</w:t>
      </w:r>
      <w:r w:rsidR="00D5664A">
        <w:rPr>
          <w:kern w:val="0"/>
          <w:szCs w:val="24"/>
        </w:rPr>
        <w:t>, ISI,</w:t>
      </w:r>
      <w:r w:rsidRPr="001A3D2B">
        <w:rPr>
          <w:kern w:val="0"/>
          <w:szCs w:val="24"/>
        </w:rPr>
        <w:t xml:space="preserve"> Journal Citation Reports, Journal Impact, Journals, Literature, Majority, National, Portugal, Portuguese, Production, Qualitative, Qualitative Analysis, Quality, Quality of, References, Reputation, Science, Science Citation Index, Scientific Journals, Scientific Production, Standard, Strengths, Tool, Version, Visibility, Weaknesses, </w:t>
      </w:r>
      <w:r w:rsidR="00D5664A">
        <w:rPr>
          <w:kern w:val="0"/>
          <w:szCs w:val="24"/>
        </w:rPr>
        <w:t>Web</w:t>
      </w:r>
      <w:r w:rsidR="00427468">
        <w:rPr>
          <w:kern w:val="0"/>
          <w:szCs w:val="24"/>
        </w:rPr>
        <w:t xml:space="preserve"> of </w:t>
      </w:r>
      <w:r w:rsidR="00D5664A">
        <w:rPr>
          <w:kern w:val="0"/>
          <w:szCs w:val="24"/>
        </w:rPr>
        <w:t>Science</w:t>
      </w:r>
    </w:p>
    <w:p w:rsidR="002C13BB" w:rsidRPr="001A3D2B" w:rsidRDefault="002C13BB" w:rsidP="002C13BB">
      <w:pPr>
        <w:pStyle w:val="a3"/>
        <w:rPr>
          <w:kern w:val="0"/>
          <w:szCs w:val="24"/>
        </w:rPr>
      </w:pPr>
      <w:r w:rsidRPr="001A3D2B">
        <w:rPr>
          <w:kern w:val="0"/>
          <w:szCs w:val="24"/>
        </w:rPr>
        <w:t xml:space="preserve">? </w:t>
      </w:r>
      <w:r>
        <w:t>Fernandez-Llimos</w:t>
      </w:r>
      <w:r>
        <w:rPr>
          <w:rFonts w:hint="eastAsia"/>
        </w:rPr>
        <w:t>,</w:t>
      </w:r>
      <w:r>
        <w:t xml:space="preserve"> F</w:t>
      </w:r>
      <w:r>
        <w:rPr>
          <w:rFonts w:hint="eastAsia"/>
        </w:rPr>
        <w:t>.</w:t>
      </w:r>
      <w:r w:rsidR="005853A9">
        <w:rPr>
          <w:rFonts w:hint="eastAsia"/>
        </w:rPr>
        <w:t xml:space="preserve"> and </w:t>
      </w:r>
      <w:r>
        <w:t>Mendes</w:t>
      </w:r>
      <w:r>
        <w:rPr>
          <w:rFonts w:hint="eastAsia"/>
        </w:rPr>
        <w:t>,</w:t>
      </w:r>
      <w:r>
        <w:t xml:space="preserve"> A</w:t>
      </w:r>
      <w:r>
        <w:rPr>
          <w:rFonts w:hint="eastAsia"/>
        </w:rPr>
        <w:t>.</w:t>
      </w:r>
      <w:r>
        <w:t>M</w:t>
      </w:r>
      <w:r>
        <w:rPr>
          <w:rFonts w:hint="eastAsia"/>
        </w:rPr>
        <w:t>.</w:t>
      </w:r>
      <w:r w:rsidRPr="001A3D2B">
        <w:rPr>
          <w:kern w:val="0"/>
          <w:szCs w:val="24"/>
        </w:rPr>
        <w:t xml:space="preserve"> (20</w:t>
      </w:r>
      <w:r>
        <w:rPr>
          <w:rFonts w:hint="eastAsia"/>
          <w:kern w:val="0"/>
          <w:szCs w:val="24"/>
        </w:rPr>
        <w:t>10</w:t>
      </w:r>
      <w:r w:rsidRPr="001A3D2B">
        <w:rPr>
          <w:kern w:val="0"/>
          <w:szCs w:val="24"/>
        </w:rPr>
        <w:t xml:space="preserve">), </w:t>
      </w:r>
      <w:r>
        <w:t xml:space="preserve">Scientific production in international journals by </w:t>
      </w:r>
      <w:r w:rsidRPr="001A3D2B">
        <w:rPr>
          <w:i/>
          <w:iCs/>
          <w:kern w:val="0"/>
          <w:szCs w:val="24"/>
        </w:rPr>
        <w:t xml:space="preserve">Acta </w:t>
      </w:r>
      <w:r w:rsidRPr="001A3D2B">
        <w:rPr>
          <w:i/>
        </w:rPr>
        <w:t xml:space="preserve">Médica </w:t>
      </w:r>
      <w:r w:rsidRPr="001A3D2B">
        <w:rPr>
          <w:i/>
          <w:iCs/>
          <w:kern w:val="0"/>
          <w:szCs w:val="24"/>
        </w:rPr>
        <w:t>Portuguesa</w:t>
      </w:r>
      <w:r>
        <w:t xml:space="preserve"> authors</w:t>
      </w:r>
      <w:r w:rsidRPr="001A3D2B">
        <w:rPr>
          <w:kern w:val="0"/>
          <w:szCs w:val="24"/>
        </w:rPr>
        <w:t xml:space="preserve">. </w:t>
      </w:r>
      <w:r w:rsidRPr="001A3D2B">
        <w:rPr>
          <w:i/>
          <w:iCs/>
          <w:kern w:val="0"/>
          <w:szCs w:val="24"/>
        </w:rPr>
        <w:t xml:space="preserve">Acta </w:t>
      </w:r>
      <w:r w:rsidRPr="001A3D2B">
        <w:rPr>
          <w:i/>
        </w:rPr>
        <w:t xml:space="preserve">Médica </w:t>
      </w:r>
      <w:r w:rsidRPr="001A3D2B">
        <w:rPr>
          <w:i/>
          <w:iCs/>
          <w:kern w:val="0"/>
          <w:szCs w:val="24"/>
        </w:rPr>
        <w:t>Portuguesa</w:t>
      </w:r>
      <w:r w:rsidRPr="001A3D2B">
        <w:rPr>
          <w:kern w:val="0"/>
          <w:szCs w:val="24"/>
        </w:rPr>
        <w:t xml:space="preserve">, </w:t>
      </w:r>
      <w:r w:rsidRPr="001A3D2B">
        <w:rPr>
          <w:b/>
          <w:bCs/>
          <w:kern w:val="0"/>
          <w:szCs w:val="24"/>
        </w:rPr>
        <w:t>2</w:t>
      </w:r>
      <w:r>
        <w:rPr>
          <w:rFonts w:hint="eastAsia"/>
          <w:b/>
          <w:bCs/>
          <w:kern w:val="0"/>
          <w:szCs w:val="24"/>
        </w:rPr>
        <w:t>3</w:t>
      </w:r>
      <w:r w:rsidRPr="001A3D2B">
        <w:rPr>
          <w:kern w:val="0"/>
          <w:szCs w:val="24"/>
        </w:rPr>
        <w:t xml:space="preserve"> (</w:t>
      </w:r>
      <w:r>
        <w:rPr>
          <w:rFonts w:hint="eastAsia"/>
          <w:kern w:val="0"/>
          <w:szCs w:val="24"/>
        </w:rPr>
        <w:t>4</w:t>
      </w:r>
      <w:r w:rsidRPr="001A3D2B">
        <w:rPr>
          <w:kern w:val="0"/>
          <w:szCs w:val="24"/>
        </w:rPr>
        <w:t xml:space="preserve">), </w:t>
      </w:r>
      <w:r>
        <w:t>561-566</w:t>
      </w:r>
      <w:r w:rsidRPr="001A3D2B">
        <w:rPr>
          <w:kern w:val="0"/>
          <w:szCs w:val="24"/>
        </w:rPr>
        <w:t>.</w:t>
      </w:r>
    </w:p>
    <w:p w:rsidR="002C13BB" w:rsidRDefault="002C13BB" w:rsidP="002C13BB">
      <w:pPr>
        <w:pStyle w:val="a3"/>
      </w:pPr>
      <w:r w:rsidRPr="001A3D2B">
        <w:t xml:space="preserve">Full Text: </w:t>
      </w:r>
      <w:hyperlink r:id="rId141" w:history="1">
        <w:r w:rsidRPr="002C13BB">
          <w:rPr>
            <w:rStyle w:val="a5"/>
          </w:rPr>
          <w:t>2010\Act Méd Por23, 561.pdf</w:t>
        </w:r>
      </w:hyperlink>
    </w:p>
    <w:p w:rsidR="002C13BB" w:rsidRPr="001A3D2B" w:rsidRDefault="002C13BB" w:rsidP="002C13BB">
      <w:pPr>
        <w:pStyle w:val="a3"/>
      </w:pPr>
      <w:r>
        <w:t>Abstract: Local</w:t>
      </w:r>
      <w:r w:rsidR="005853A9">
        <w:t xml:space="preserve"> and </w:t>
      </w:r>
      <w:r>
        <w:t>national scientific journals have been widely criticized by some authors. Additionally, they are quite rarely indexed at international databases, which results in a reduced visibility</w:t>
      </w:r>
      <w:r w:rsidR="00427468">
        <w:t xml:space="preserve"> of </w:t>
      </w:r>
      <w:r>
        <w:t>their articles.</w:t>
      </w:r>
      <w:r>
        <w:rPr>
          <w:rFonts w:hint="eastAsia"/>
        </w:rPr>
        <w:t xml:space="preserve"> </w:t>
      </w:r>
      <w:r>
        <w:t>Objective: To analyze international scientific productions</w:t>
      </w:r>
      <w:r w:rsidR="00427468">
        <w:t xml:space="preserve"> of </w:t>
      </w:r>
      <w:r>
        <w:t>authors publishing in Acta Medica Portuguesa during 2008.</w:t>
      </w:r>
      <w:r>
        <w:rPr>
          <w:rFonts w:hint="eastAsia"/>
        </w:rPr>
        <w:t xml:space="preserve"> </w:t>
      </w:r>
      <w:r>
        <w:t>Methods: A database with all</w:t>
      </w:r>
      <w:r w:rsidR="003A1917">
        <w:t xml:space="preserve"> the </w:t>
      </w:r>
      <w:r>
        <w:t>authors publishing in Acta Medica Portuguesa in 2008 was built. In July 2009, production</w:t>
      </w:r>
      <w:r w:rsidR="00427468">
        <w:t xml:space="preserve"> of </w:t>
      </w:r>
      <w:r>
        <w:t>all those authors from</w:t>
      </w:r>
      <w:r w:rsidR="003A1917">
        <w:t xml:space="preserve"> the </w:t>
      </w:r>
      <w:r>
        <w:t>previous five years (20032007) was retrieved from Science Citation Index. Journals where they published, Impact Factors</w:t>
      </w:r>
      <w:r w:rsidR="00427468">
        <w:t xml:space="preserve"> of </w:t>
      </w:r>
      <w:r>
        <w:t>those journals, articles</w:t>
      </w:r>
      <w:r w:rsidR="00700038">
        <w:t>’</w:t>
      </w:r>
      <w:r>
        <w:t xml:space="preserve"> references,</w:t>
      </w:r>
      <w:r w:rsidR="005853A9">
        <w:t xml:space="preserve"> and </w:t>
      </w:r>
      <w:r>
        <w:t xml:space="preserve">times cited were </w:t>
      </w:r>
      <w:r>
        <w:lastRenderedPageBreak/>
        <w:t>analyzed.</w:t>
      </w:r>
      <w:r>
        <w:rPr>
          <w:rFonts w:hint="eastAsia"/>
        </w:rPr>
        <w:t xml:space="preserve"> </w:t>
      </w:r>
      <w:r>
        <w:t>Results:</w:t>
      </w:r>
      <w:r w:rsidR="003A1917">
        <w:t xml:space="preserve"> the </w:t>
      </w:r>
      <w:r>
        <w:t>78 articles published by Acta Medica Portuguesa in 2008 were produced by 259 different authors. Ninety four (36.3%)</w:t>
      </w:r>
      <w:r w:rsidR="00427468">
        <w:t xml:space="preserve"> of </w:t>
      </w:r>
      <w:r>
        <w:t>those authors wrote 420 articles from 2003 to 2007 indexed at Science Citation Index</w:t>
      </w:r>
      <w:r w:rsidR="00A37C1D">
        <w:t>. The</w:t>
      </w:r>
      <w:r>
        <w:t>se articles were published in 249 different journals, with an average Impact Factor</w:t>
      </w:r>
      <w:r w:rsidR="00427468">
        <w:t xml:space="preserve"> of </w:t>
      </w:r>
      <w:r>
        <w:t>2.973 (SD = 2.92). Journal with highest Impact Factor was</w:t>
      </w:r>
      <w:r w:rsidR="003A1917">
        <w:t xml:space="preserve"> the </w:t>
      </w:r>
      <w:r>
        <w:t>Lancet (IF2008 = 28.409) with two papers published. Eighty seven</w:t>
      </w:r>
      <w:r w:rsidR="00427468">
        <w:t xml:space="preserve"> of </w:t>
      </w:r>
      <w:r>
        <w:t>those authors received some citation to their articles, with a total amount</w:t>
      </w:r>
      <w:r w:rsidR="00427468">
        <w:t xml:space="preserve"> of </w:t>
      </w:r>
      <w:r>
        <w:t>5001 cites. Out</w:t>
      </w:r>
      <w:r w:rsidR="00427468">
        <w:t xml:space="preserve"> of </w:t>
      </w:r>
      <w:r w:rsidR="003A1917">
        <w:t xml:space="preserve">the </w:t>
      </w:r>
      <w:r>
        <w:t>14035 references on those 420 articles, only 10 cited any article published in Acta Medica Portuguesa.</w:t>
      </w:r>
      <w:r>
        <w:rPr>
          <w:rFonts w:hint="eastAsia"/>
        </w:rPr>
        <w:t xml:space="preserve"> </w:t>
      </w:r>
      <w:r>
        <w:t>Conclusion: Authors publishing in Acta Medica Portuguesa produce a good amount</w:t>
      </w:r>
      <w:r w:rsidR="00427468">
        <w:t xml:space="preserve"> of </w:t>
      </w:r>
      <w:r>
        <w:t>international publications in journals with an acceptable Impact Factor</w:t>
      </w:r>
      <w:r w:rsidR="005853A9">
        <w:t xml:space="preserve"> and </w:t>
      </w:r>
      <w:r>
        <w:t>they receive quite a good number</w:t>
      </w:r>
      <w:r w:rsidR="00427468">
        <w:t xml:space="preserve"> of </w:t>
      </w:r>
      <w:r>
        <w:t>citations. Conversely, these authors when publishing in international journals have an extremely low citation</w:t>
      </w:r>
      <w:r w:rsidR="00427468">
        <w:t xml:space="preserve"> of </w:t>
      </w:r>
      <w:r>
        <w:t>articles published in Acta Medica Portuguesa.</w:t>
      </w:r>
    </w:p>
    <w:p w:rsidR="00C32E49" w:rsidRDefault="00C32E49" w:rsidP="00C32E49">
      <w:pPr>
        <w:pStyle w:val="a3"/>
        <w:rPr>
          <w:kern w:val="0"/>
          <w:szCs w:val="24"/>
        </w:rPr>
      </w:pPr>
      <w:r>
        <w:rPr>
          <w:kern w:val="0"/>
          <w:szCs w:val="24"/>
        </w:rPr>
        <w:t>? Coelho, A., Leone, C., Ribeiro, V., Sa Moreira, P. and Dussault, G. (2014), Integrated disease management: A critical review</w:t>
      </w:r>
      <w:r w:rsidR="00427468">
        <w:rPr>
          <w:kern w:val="0"/>
          <w:szCs w:val="24"/>
        </w:rPr>
        <w:t xml:space="preserve"> of </w:t>
      </w:r>
      <w:r>
        <w:rPr>
          <w:kern w:val="0"/>
          <w:szCs w:val="24"/>
        </w:rPr>
        <w:t xml:space="preserve">foreign and portuguese experience. </w:t>
      </w:r>
      <w:r>
        <w:rPr>
          <w:i/>
          <w:iCs/>
          <w:kern w:val="0"/>
          <w:szCs w:val="24"/>
        </w:rPr>
        <w:t xml:space="preserve">Acta </w:t>
      </w:r>
      <w:r w:rsidRPr="001A3D2B">
        <w:rPr>
          <w:i/>
        </w:rPr>
        <w:t xml:space="preserve">Médica </w:t>
      </w:r>
      <w:r>
        <w:rPr>
          <w:i/>
          <w:iCs/>
          <w:kern w:val="0"/>
          <w:szCs w:val="24"/>
        </w:rPr>
        <w:t>Portuguesa</w:t>
      </w:r>
      <w:r>
        <w:rPr>
          <w:kern w:val="0"/>
          <w:szCs w:val="24"/>
        </w:rPr>
        <w:t xml:space="preserve">, </w:t>
      </w:r>
      <w:r>
        <w:rPr>
          <w:b/>
          <w:bCs/>
          <w:kern w:val="0"/>
          <w:szCs w:val="24"/>
        </w:rPr>
        <w:t>27</w:t>
      </w:r>
      <w:r>
        <w:rPr>
          <w:kern w:val="0"/>
          <w:szCs w:val="24"/>
        </w:rPr>
        <w:t xml:space="preserve"> (1), 116-125.</w:t>
      </w:r>
    </w:p>
    <w:p w:rsidR="00C32E49" w:rsidRDefault="00C32E49" w:rsidP="00C32E49">
      <w:pPr>
        <w:pStyle w:val="a3"/>
      </w:pPr>
      <w:r w:rsidRPr="001A3D2B">
        <w:t xml:space="preserve">Full Text: </w:t>
      </w:r>
      <w:hyperlink r:id="rId142" w:history="1">
        <w:r w:rsidRPr="00EB31B1">
          <w:rPr>
            <w:rStyle w:val="a5"/>
          </w:rPr>
          <w:t>2014\Act Méd Por27, 116.pdf</w:t>
        </w:r>
      </w:hyperlink>
    </w:p>
    <w:p w:rsidR="00C32E49" w:rsidRDefault="00C32E49" w:rsidP="00C32E49">
      <w:pPr>
        <w:pStyle w:val="a3"/>
        <w:rPr>
          <w:kern w:val="0"/>
          <w:szCs w:val="24"/>
        </w:rPr>
      </w:pPr>
      <w:r>
        <w:rPr>
          <w:kern w:val="0"/>
          <w:szCs w:val="24"/>
        </w:rPr>
        <w:t>Abstract: Introduction: The present article reviews findings from empirical evaluations</w:t>
      </w:r>
      <w:r w:rsidR="00427468">
        <w:rPr>
          <w:kern w:val="0"/>
          <w:szCs w:val="24"/>
        </w:rPr>
        <w:t xml:space="preserve"> of </w:t>
      </w:r>
      <w:r>
        <w:rPr>
          <w:kern w:val="0"/>
          <w:szCs w:val="24"/>
        </w:rPr>
        <w:t>integrated disease management programmes</w:t>
      </w:r>
      <w:r w:rsidR="00A37C1D">
        <w:rPr>
          <w:kern w:val="0"/>
          <w:szCs w:val="24"/>
        </w:rPr>
        <w:t>. The</w:t>
      </w:r>
      <w:r>
        <w:rPr>
          <w:kern w:val="0"/>
          <w:szCs w:val="24"/>
        </w:rPr>
        <w:t xml:space="preserve"> objective is to provide insights on integration levels, priority interventions and their effect on patient outcomes. Material and Methods: The literature review identified 1 251 articles, published from 2006 to 2011. Upon a detailed screening 61 articles were selected for bibliometric analysis and critical discussion. Results: Among several findings, it can be noted that United States</w:t>
      </w:r>
      <w:r w:rsidR="00427468">
        <w:rPr>
          <w:kern w:val="0"/>
          <w:szCs w:val="24"/>
        </w:rPr>
        <w:t xml:space="preserve"> of </w:t>
      </w:r>
      <w:r>
        <w:rPr>
          <w:kern w:val="0"/>
          <w:szCs w:val="24"/>
        </w:rPr>
        <w:t>America is the country with the highest amount</w:t>
      </w:r>
      <w:r w:rsidR="00427468">
        <w:rPr>
          <w:kern w:val="0"/>
          <w:szCs w:val="24"/>
        </w:rPr>
        <w:t xml:space="preserve"> of </w:t>
      </w:r>
      <w:r>
        <w:rPr>
          <w:kern w:val="0"/>
          <w:szCs w:val="24"/>
        </w:rPr>
        <w:t>published evidence on the subject under study</w:t>
      </w:r>
      <w:r w:rsidR="00A37C1D">
        <w:rPr>
          <w:kern w:val="0"/>
          <w:szCs w:val="24"/>
        </w:rPr>
        <w:t>. The</w:t>
      </w:r>
      <w:r>
        <w:rPr>
          <w:kern w:val="0"/>
          <w:szCs w:val="24"/>
        </w:rPr>
        <w:t xml:space="preserve"> most frequently referred disease is diabetes mellitus and the main reported issue</w:t>
      </w:r>
      <w:r w:rsidR="00427468">
        <w:rPr>
          <w:kern w:val="0"/>
          <w:szCs w:val="24"/>
        </w:rPr>
        <w:t xml:space="preserve"> of </w:t>
      </w:r>
      <w:r>
        <w:rPr>
          <w:kern w:val="0"/>
          <w:szCs w:val="24"/>
        </w:rPr>
        <w:t>integrated disease management is self-management support</w:t>
      </w:r>
      <w:r w:rsidR="00A37C1D">
        <w:rPr>
          <w:kern w:val="0"/>
          <w:szCs w:val="24"/>
        </w:rPr>
        <w:t>. The</w:t>
      </w:r>
      <w:r>
        <w:rPr>
          <w:kern w:val="0"/>
          <w:szCs w:val="24"/>
        </w:rPr>
        <w:t xml:space="preserve"> majority</w:t>
      </w:r>
      <w:r w:rsidR="00427468">
        <w:rPr>
          <w:kern w:val="0"/>
          <w:szCs w:val="24"/>
        </w:rPr>
        <w:t xml:space="preserve"> of </w:t>
      </w:r>
      <w:r>
        <w:rPr>
          <w:kern w:val="0"/>
          <w:szCs w:val="24"/>
        </w:rPr>
        <w:t>the studies were developed and exclusively managed by managed care organizations, organized family doctors or hospitals. From a total</w:t>
      </w:r>
      <w:r w:rsidR="00427468">
        <w:rPr>
          <w:kern w:val="0"/>
          <w:szCs w:val="24"/>
        </w:rPr>
        <w:t xml:space="preserve"> of </w:t>
      </w:r>
      <w:r>
        <w:rPr>
          <w:kern w:val="0"/>
          <w:szCs w:val="24"/>
        </w:rPr>
        <w:t>360 interventions reported in studies, patient interventions are the most frequently used across all disease groups, followed by professional interventions. To monitor the effectiveness</w:t>
      </w:r>
      <w:r w:rsidR="00427468">
        <w:rPr>
          <w:kern w:val="0"/>
          <w:szCs w:val="24"/>
        </w:rPr>
        <w:t xml:space="preserve"> of </w:t>
      </w:r>
      <w:r>
        <w:rPr>
          <w:kern w:val="0"/>
          <w:szCs w:val="24"/>
        </w:rPr>
        <w:t>the disease programmes, the most frequently used outcomes are patient physiological measures, service use and patient health status. Discussion: Every country has its own way to implement the integrated disease management strategy</w:t>
      </w:r>
      <w:r w:rsidR="00A37C1D">
        <w:rPr>
          <w:kern w:val="0"/>
          <w:szCs w:val="24"/>
        </w:rPr>
        <w:t>. The</w:t>
      </w:r>
      <w:r>
        <w:rPr>
          <w:kern w:val="0"/>
          <w:szCs w:val="24"/>
        </w:rPr>
        <w:t xml:space="preserve"> focus</w:t>
      </w:r>
      <w:r w:rsidR="00427468">
        <w:rPr>
          <w:kern w:val="0"/>
          <w:szCs w:val="24"/>
        </w:rPr>
        <w:t xml:space="preserve"> of </w:t>
      </w:r>
      <w:r>
        <w:rPr>
          <w:kern w:val="0"/>
          <w:szCs w:val="24"/>
        </w:rPr>
        <w:t>practice lies on patient empowerment, particularly through self-management. Physiological measures and service use are the outcomes with the highest rate</w:t>
      </w:r>
      <w:r w:rsidR="00427468">
        <w:rPr>
          <w:kern w:val="0"/>
          <w:szCs w:val="24"/>
        </w:rPr>
        <w:t xml:space="preserve"> of </w:t>
      </w:r>
      <w:r>
        <w:rPr>
          <w:kern w:val="0"/>
          <w:szCs w:val="24"/>
        </w:rPr>
        <w:t>assessment, which are also the indicators that show higher impact among all integrated disease management programmes. Conclusion: The Portuguese health care system still faces challenges in the coordination and integration</w:t>
      </w:r>
      <w:r w:rsidR="00427468">
        <w:rPr>
          <w:kern w:val="0"/>
          <w:szCs w:val="24"/>
        </w:rPr>
        <w:t xml:space="preserve"> of </w:t>
      </w:r>
      <w:r>
        <w:rPr>
          <w:kern w:val="0"/>
          <w:szCs w:val="24"/>
        </w:rPr>
        <w:t xml:space="preserve">care for patients with chronic disease thus </w:t>
      </w:r>
      <w:r>
        <w:rPr>
          <w:kern w:val="0"/>
          <w:szCs w:val="24"/>
        </w:rPr>
        <w:lastRenderedPageBreak/>
        <w:t>improvements at integrated disease management programmes should be incorporate.</w:t>
      </w:r>
    </w:p>
    <w:p w:rsidR="00C32E49" w:rsidRDefault="00C32E49" w:rsidP="00C32E49">
      <w:pPr>
        <w:pStyle w:val="a3"/>
        <w:rPr>
          <w:kern w:val="0"/>
          <w:szCs w:val="24"/>
        </w:rPr>
      </w:pPr>
      <w:r>
        <w:rPr>
          <w:kern w:val="0"/>
          <w:szCs w:val="24"/>
        </w:rPr>
        <w:t>Keywords: Analysis, Assessment, Bibliometric, Bibliometric Analysis, Care, Case Management, Chronic, Chronic Disease, Chronic Illness, Coordination, Country, Delivery</w:t>
      </w:r>
      <w:r w:rsidR="00427468">
        <w:rPr>
          <w:kern w:val="0"/>
          <w:szCs w:val="24"/>
        </w:rPr>
        <w:t xml:space="preserve"> of </w:t>
      </w:r>
      <w:r>
        <w:rPr>
          <w:kern w:val="0"/>
          <w:szCs w:val="24"/>
        </w:rPr>
        <w:t>Health Care,Integrated, Diabetes, Diabetes Mellitus, Disease, Disease Management, Doctors, Effectiveness, Empowerment, Evidence, Experience, Family, Groups, Health, Health Care, Health Care System, Health Status, Hospitals, Impact, Indicators, Integration, Interventions, Literature, Literature Review, Managed Care, Management, Measures, Metaanalysis, Methods, Model, Outcomes, Patients, Policy, Portugal, Practice, Programmes, Results, Review, Reviews, Screening, Self Management, Service, Strategy, Support, United States, United-States</w:t>
      </w:r>
    </w:p>
    <w:p w:rsidR="00111E21" w:rsidRPr="00F219CA" w:rsidRDefault="00111E21" w:rsidP="00111E21">
      <w:pPr>
        <w:pStyle w:val="1"/>
      </w:pPr>
      <w:r w:rsidRPr="00F219CA">
        <w:br w:type="page"/>
      </w:r>
      <w:bookmarkStart w:id="70" w:name="_Toc420814267"/>
      <w:r w:rsidRPr="00F219CA">
        <w:lastRenderedPageBreak/>
        <w:t xml:space="preserve">Title: </w:t>
      </w:r>
      <w:r w:rsidRPr="00111E21">
        <w:rPr>
          <w:iCs w:val="0"/>
          <w:szCs w:val="24"/>
        </w:rPr>
        <w:t>Acta Naturae</w:t>
      </w:r>
      <w:bookmarkEnd w:id="70"/>
    </w:p>
    <w:p w:rsidR="00111E21" w:rsidRPr="00F219CA" w:rsidRDefault="00111E21" w:rsidP="00111E21">
      <w:pPr>
        <w:pStyle w:val="12"/>
      </w:pPr>
      <w:r w:rsidRPr="00F219CA">
        <w:t xml:space="preserve">Full Journal Title: </w:t>
      </w:r>
      <w:r w:rsidRPr="00111E21">
        <w:rPr>
          <w:iCs/>
          <w:kern w:val="0"/>
        </w:rPr>
        <w:t>Acta Naturae</w:t>
      </w:r>
    </w:p>
    <w:p w:rsidR="00111E21" w:rsidRPr="00F219CA" w:rsidRDefault="00111E21" w:rsidP="00111E21">
      <w:pPr>
        <w:pStyle w:val="12"/>
      </w:pPr>
      <w:r w:rsidRPr="00F219CA">
        <w:t xml:space="preserve">ISO Abbreviated Title: </w:t>
      </w:r>
    </w:p>
    <w:p w:rsidR="00111E21" w:rsidRPr="00F219CA" w:rsidRDefault="00111E21" w:rsidP="00111E21">
      <w:pPr>
        <w:pStyle w:val="12"/>
      </w:pPr>
      <w:r w:rsidRPr="00F219CA">
        <w:t xml:space="preserve">JCR Abbreviated Title: </w:t>
      </w:r>
    </w:p>
    <w:p w:rsidR="00111E21" w:rsidRPr="00F219CA" w:rsidRDefault="00111E21" w:rsidP="00111E21">
      <w:pPr>
        <w:pStyle w:val="12"/>
      </w:pPr>
      <w:r w:rsidRPr="00F219CA">
        <w:t>ISSN:</w:t>
      </w:r>
      <w:r>
        <w:rPr>
          <w:rFonts w:hint="eastAsia"/>
        </w:rPr>
        <w:t xml:space="preserve"> </w:t>
      </w:r>
    </w:p>
    <w:p w:rsidR="00111E21" w:rsidRPr="00F219CA" w:rsidRDefault="00111E21" w:rsidP="00111E21">
      <w:pPr>
        <w:pStyle w:val="12"/>
      </w:pPr>
      <w:r w:rsidRPr="00F219CA">
        <w:t xml:space="preserve">Issues/Year: </w:t>
      </w:r>
    </w:p>
    <w:p w:rsidR="00111E21" w:rsidRPr="00F219CA" w:rsidRDefault="00111E21" w:rsidP="00111E21">
      <w:pPr>
        <w:pStyle w:val="12"/>
      </w:pPr>
      <w:r w:rsidRPr="00F219CA">
        <w:t xml:space="preserve">Journal Country/Territory: </w:t>
      </w:r>
    </w:p>
    <w:p w:rsidR="00111E21" w:rsidRPr="00F219CA" w:rsidRDefault="00111E21" w:rsidP="00111E21">
      <w:pPr>
        <w:pStyle w:val="12"/>
      </w:pPr>
      <w:r w:rsidRPr="00F219CA">
        <w:t xml:space="preserve">Language: </w:t>
      </w:r>
    </w:p>
    <w:p w:rsidR="00111E21" w:rsidRPr="00F219CA" w:rsidRDefault="00111E21" w:rsidP="00111E21">
      <w:pPr>
        <w:pStyle w:val="12"/>
      </w:pPr>
      <w:r w:rsidRPr="00F219CA">
        <w:t xml:space="preserve">Publisher: </w:t>
      </w:r>
    </w:p>
    <w:p w:rsidR="00111E21" w:rsidRPr="00F219CA" w:rsidRDefault="00111E21" w:rsidP="00111E21">
      <w:pPr>
        <w:pStyle w:val="12"/>
      </w:pPr>
      <w:r w:rsidRPr="00F219CA">
        <w:t xml:space="preserve">Publisher Address: </w:t>
      </w:r>
    </w:p>
    <w:p w:rsidR="00111E21" w:rsidRPr="00F219CA" w:rsidRDefault="00111E21" w:rsidP="00111E21">
      <w:pPr>
        <w:pStyle w:val="12"/>
      </w:pPr>
      <w:r w:rsidRPr="00F219CA">
        <w:t xml:space="preserve">Subject Categories: </w:t>
      </w:r>
    </w:p>
    <w:p w:rsidR="00111E21" w:rsidRPr="00F219CA" w:rsidRDefault="00111E21" w:rsidP="00111E21">
      <w:pPr>
        <w:pStyle w:val="12"/>
      </w:pPr>
      <w:r w:rsidRPr="00F219CA">
        <w:t xml:space="preserve">: Impact Factor </w:t>
      </w:r>
    </w:p>
    <w:p w:rsidR="00111E21" w:rsidRDefault="00111E21" w:rsidP="00111E21">
      <w:pPr>
        <w:pStyle w:val="a3"/>
        <w:rPr>
          <w:kern w:val="0"/>
          <w:szCs w:val="24"/>
        </w:rPr>
      </w:pPr>
      <w:r w:rsidRPr="00F219CA">
        <w:t xml:space="preserve">? </w:t>
      </w:r>
      <w:r>
        <w:rPr>
          <w:kern w:val="0"/>
          <w:szCs w:val="24"/>
        </w:rPr>
        <w:t>Kotsemir, M.N. (2012), Publication activity</w:t>
      </w:r>
      <w:r w:rsidR="00427468">
        <w:rPr>
          <w:kern w:val="0"/>
          <w:szCs w:val="24"/>
        </w:rPr>
        <w:t xml:space="preserve"> of </w:t>
      </w:r>
      <w:r>
        <w:rPr>
          <w:kern w:val="0"/>
          <w:szCs w:val="24"/>
        </w:rPr>
        <w:t xml:space="preserve">Russian researches in leading international scientific journals. </w:t>
      </w:r>
      <w:r w:rsidRPr="00111E21">
        <w:rPr>
          <w:i/>
          <w:iCs/>
          <w:kern w:val="0"/>
          <w:szCs w:val="24"/>
        </w:rPr>
        <w:t>Acta Naturae</w:t>
      </w:r>
      <w:r>
        <w:rPr>
          <w:kern w:val="0"/>
          <w:szCs w:val="24"/>
        </w:rPr>
        <w:t xml:space="preserve">, </w:t>
      </w:r>
      <w:r>
        <w:rPr>
          <w:b/>
          <w:bCs/>
          <w:kern w:val="0"/>
          <w:szCs w:val="24"/>
        </w:rPr>
        <w:t>4</w:t>
      </w:r>
      <w:r>
        <w:rPr>
          <w:kern w:val="0"/>
          <w:szCs w:val="24"/>
        </w:rPr>
        <w:t xml:space="preserve"> (2), 14-34.</w:t>
      </w:r>
    </w:p>
    <w:p w:rsidR="00111E21" w:rsidRDefault="00111E21" w:rsidP="00111E21">
      <w:pPr>
        <w:pStyle w:val="a3"/>
        <w:rPr>
          <w:kern w:val="0"/>
          <w:szCs w:val="24"/>
        </w:rPr>
      </w:pPr>
      <w:r>
        <w:rPr>
          <w:rFonts w:hint="eastAsia"/>
          <w:kern w:val="0"/>
          <w:szCs w:val="24"/>
        </w:rPr>
        <w:t xml:space="preserve">Full Text: </w:t>
      </w:r>
      <w:hyperlink r:id="rId143" w:history="1">
        <w:r w:rsidRPr="00111E21">
          <w:rPr>
            <w:rStyle w:val="a5"/>
            <w:kern w:val="0"/>
            <w:szCs w:val="24"/>
          </w:rPr>
          <w:t>2012\Act Nat4, 14.pdf</w:t>
        </w:r>
      </w:hyperlink>
    </w:p>
    <w:p w:rsidR="00111E21" w:rsidRDefault="00111E21" w:rsidP="00111E21">
      <w:pPr>
        <w:pStyle w:val="a3"/>
        <w:rPr>
          <w:kern w:val="0"/>
          <w:szCs w:val="24"/>
        </w:rPr>
      </w:pPr>
      <w:r>
        <w:rPr>
          <w:kern w:val="0"/>
          <w:szCs w:val="24"/>
        </w:rPr>
        <w:t>Abstract:</w:t>
      </w:r>
      <w:r w:rsidR="003A1917">
        <w:rPr>
          <w:kern w:val="0"/>
          <w:szCs w:val="24"/>
        </w:rPr>
        <w:t xml:space="preserve"> the </w:t>
      </w:r>
      <w:r>
        <w:rPr>
          <w:kern w:val="0"/>
          <w:szCs w:val="24"/>
        </w:rPr>
        <w:t>primary aim</w:t>
      </w:r>
      <w:r w:rsidR="00427468">
        <w:rPr>
          <w:kern w:val="0"/>
          <w:szCs w:val="24"/>
        </w:rPr>
        <w:t xml:space="preserve"> of </w:t>
      </w:r>
      <w:r>
        <w:rPr>
          <w:kern w:val="0"/>
          <w:szCs w:val="24"/>
        </w:rPr>
        <w:t>this research report is to analyse</w:t>
      </w:r>
      <w:r w:rsidR="003A1917">
        <w:rPr>
          <w:kern w:val="0"/>
          <w:szCs w:val="24"/>
        </w:rPr>
        <w:t xml:space="preserve"> the </w:t>
      </w:r>
      <w:r>
        <w:rPr>
          <w:kern w:val="0"/>
          <w:szCs w:val="24"/>
        </w:rPr>
        <w:t>dynamics</w:t>
      </w:r>
      <w:r w:rsidR="005853A9">
        <w:rPr>
          <w:kern w:val="0"/>
          <w:szCs w:val="24"/>
        </w:rPr>
        <w:t xml:space="preserve"> and </w:t>
      </w:r>
      <w:r>
        <w:rPr>
          <w:kern w:val="0"/>
          <w:szCs w:val="24"/>
        </w:rPr>
        <w:t>structure</w:t>
      </w:r>
      <w:r w:rsidR="00427468">
        <w:rPr>
          <w:kern w:val="0"/>
          <w:szCs w:val="24"/>
        </w:rPr>
        <w:t xml:space="preserve"> of </w:t>
      </w:r>
      <w:r w:rsidR="003A1917">
        <w:rPr>
          <w:kern w:val="0"/>
          <w:szCs w:val="24"/>
        </w:rPr>
        <w:t xml:space="preserve">the </w:t>
      </w:r>
      <w:r>
        <w:rPr>
          <w:kern w:val="0"/>
          <w:szCs w:val="24"/>
        </w:rPr>
        <w:t>publications</w:t>
      </w:r>
      <w:r w:rsidR="00427468">
        <w:rPr>
          <w:kern w:val="0"/>
          <w:szCs w:val="24"/>
        </w:rPr>
        <w:t xml:space="preserve"> of </w:t>
      </w:r>
      <w:r>
        <w:rPr>
          <w:kern w:val="0"/>
          <w:szCs w:val="24"/>
        </w:rPr>
        <w:t>Russian authors, as well as to define</w:t>
      </w:r>
      <w:r w:rsidR="003A1917">
        <w:rPr>
          <w:kern w:val="0"/>
          <w:szCs w:val="24"/>
        </w:rPr>
        <w:t xml:space="preserve"> the </w:t>
      </w:r>
      <w:r>
        <w:rPr>
          <w:kern w:val="0"/>
          <w:szCs w:val="24"/>
        </w:rPr>
        <w:t>place</w:t>
      </w:r>
      <w:r w:rsidR="00427468">
        <w:rPr>
          <w:kern w:val="0"/>
          <w:szCs w:val="24"/>
        </w:rPr>
        <w:t xml:space="preserve"> of </w:t>
      </w:r>
      <w:r>
        <w:rPr>
          <w:kern w:val="0"/>
          <w:szCs w:val="24"/>
        </w:rPr>
        <w:t>Russian science in</w:t>
      </w:r>
      <w:r w:rsidR="003A1917">
        <w:rPr>
          <w:kern w:val="0"/>
          <w:szCs w:val="24"/>
        </w:rPr>
        <w:t xml:space="preserve"> the </w:t>
      </w:r>
      <w:r>
        <w:rPr>
          <w:kern w:val="0"/>
          <w:szCs w:val="24"/>
        </w:rPr>
        <w:t>global scientific process. Bibliometric analysis methods are</w:t>
      </w:r>
      <w:r w:rsidR="003A1917">
        <w:rPr>
          <w:kern w:val="0"/>
          <w:szCs w:val="24"/>
        </w:rPr>
        <w:t xml:space="preserve"> the </w:t>
      </w:r>
      <w:r>
        <w:rPr>
          <w:kern w:val="0"/>
          <w:szCs w:val="24"/>
        </w:rPr>
        <w:t>main methods for quantitative analysis</w:t>
      </w:r>
      <w:r w:rsidR="00427468">
        <w:rPr>
          <w:kern w:val="0"/>
          <w:szCs w:val="24"/>
        </w:rPr>
        <w:t xml:space="preserve"> of </w:t>
      </w:r>
      <w:r>
        <w:rPr>
          <w:kern w:val="0"/>
          <w:szCs w:val="24"/>
        </w:rPr>
        <w:t>scientific cooperation, efficiency,</w:t>
      </w:r>
      <w:r w:rsidR="005853A9">
        <w:rPr>
          <w:kern w:val="0"/>
          <w:szCs w:val="24"/>
        </w:rPr>
        <w:t xml:space="preserve"> and </w:t>
      </w:r>
      <w:r>
        <w:rPr>
          <w:kern w:val="0"/>
          <w:szCs w:val="24"/>
        </w:rPr>
        <w:t>other aspects</w:t>
      </w:r>
      <w:r w:rsidR="00427468">
        <w:rPr>
          <w:kern w:val="0"/>
          <w:szCs w:val="24"/>
        </w:rPr>
        <w:t xml:space="preserve"> of </w:t>
      </w:r>
      <w:r>
        <w:rPr>
          <w:kern w:val="0"/>
          <w:szCs w:val="24"/>
        </w:rPr>
        <w:t>scientific activity</w:t>
      </w:r>
      <w:r w:rsidR="00A37C1D">
        <w:rPr>
          <w:kern w:val="0"/>
          <w:szCs w:val="24"/>
        </w:rPr>
        <w:t>. The</w:t>
      </w:r>
      <w:r w:rsidR="003A1917">
        <w:rPr>
          <w:kern w:val="0"/>
          <w:szCs w:val="24"/>
        </w:rPr>
        <w:t xml:space="preserve"> </w:t>
      </w:r>
      <w:r>
        <w:rPr>
          <w:kern w:val="0"/>
          <w:szCs w:val="24"/>
        </w:rPr>
        <w:t>information base for this research includes materials from science citation databases containing bibliographic descriptions</w:t>
      </w:r>
      <w:r w:rsidR="00427468">
        <w:rPr>
          <w:kern w:val="0"/>
          <w:szCs w:val="24"/>
        </w:rPr>
        <w:t xml:space="preserve"> of </w:t>
      </w:r>
      <w:r w:rsidR="003A1917">
        <w:rPr>
          <w:kern w:val="0"/>
          <w:szCs w:val="24"/>
        </w:rPr>
        <w:t xml:space="preserve">the </w:t>
      </w:r>
      <w:r>
        <w:rPr>
          <w:kern w:val="0"/>
          <w:szCs w:val="24"/>
        </w:rPr>
        <w:t>articles published in scientific journals (mainly written in English) in a significant number</w:t>
      </w:r>
      <w:r w:rsidR="00427468">
        <w:rPr>
          <w:kern w:val="0"/>
          <w:szCs w:val="24"/>
        </w:rPr>
        <w:t xml:space="preserve"> of </w:t>
      </w:r>
      <w:r>
        <w:rPr>
          <w:kern w:val="0"/>
          <w:szCs w:val="24"/>
        </w:rPr>
        <w:t>fields</w:t>
      </w:r>
      <w:r w:rsidR="00427468">
        <w:rPr>
          <w:kern w:val="0"/>
          <w:szCs w:val="24"/>
        </w:rPr>
        <w:t xml:space="preserve"> of </w:t>
      </w:r>
      <w:r>
        <w:rPr>
          <w:kern w:val="0"/>
          <w:szCs w:val="24"/>
        </w:rPr>
        <w:t>science. Various parameters (e.g. dynamics</w:t>
      </w:r>
      <w:r w:rsidR="00427468">
        <w:rPr>
          <w:kern w:val="0"/>
          <w:szCs w:val="24"/>
        </w:rPr>
        <w:t xml:space="preserve"> of </w:t>
      </w:r>
      <w:r w:rsidR="003A1917">
        <w:rPr>
          <w:kern w:val="0"/>
          <w:szCs w:val="24"/>
        </w:rPr>
        <w:t xml:space="preserve">the </w:t>
      </w:r>
      <w:r>
        <w:rPr>
          <w:kern w:val="0"/>
          <w:szCs w:val="24"/>
        </w:rPr>
        <w:t>number</w:t>
      </w:r>
      <w:r w:rsidR="00427468">
        <w:rPr>
          <w:kern w:val="0"/>
          <w:szCs w:val="24"/>
        </w:rPr>
        <w:t xml:space="preserve"> of </w:t>
      </w:r>
      <w:r>
        <w:rPr>
          <w:kern w:val="0"/>
          <w:szCs w:val="24"/>
        </w:rPr>
        <w:t>publications,</w:t>
      </w:r>
      <w:r w:rsidR="003A1917">
        <w:rPr>
          <w:kern w:val="0"/>
          <w:szCs w:val="24"/>
        </w:rPr>
        <w:t xml:space="preserve"> the </w:t>
      </w:r>
      <w:r>
        <w:rPr>
          <w:kern w:val="0"/>
          <w:szCs w:val="24"/>
        </w:rPr>
        <w:t>number</w:t>
      </w:r>
      <w:r w:rsidR="00427468">
        <w:rPr>
          <w:kern w:val="0"/>
          <w:szCs w:val="24"/>
        </w:rPr>
        <w:t xml:space="preserve"> of </w:t>
      </w:r>
      <w:r>
        <w:rPr>
          <w:kern w:val="0"/>
          <w:szCs w:val="24"/>
        </w:rPr>
        <w:t>citation,</w:t>
      </w:r>
      <w:r w:rsidR="003A1917">
        <w:rPr>
          <w:kern w:val="0"/>
          <w:szCs w:val="24"/>
        </w:rPr>
        <w:t xml:space="preserve"> the </w:t>
      </w:r>
      <w:r>
        <w:rPr>
          <w:kern w:val="0"/>
          <w:szCs w:val="24"/>
        </w:rPr>
        <w:t>level</w:t>
      </w:r>
      <w:r w:rsidR="00427468">
        <w:rPr>
          <w:kern w:val="0"/>
          <w:szCs w:val="24"/>
        </w:rPr>
        <w:t xml:space="preserve"> of </w:t>
      </w:r>
      <w:r>
        <w:rPr>
          <w:kern w:val="0"/>
          <w:szCs w:val="24"/>
        </w:rPr>
        <w:t>co-authorship,</w:t>
      </w:r>
      <w:r w:rsidR="003A1917">
        <w:rPr>
          <w:kern w:val="0"/>
          <w:szCs w:val="24"/>
        </w:rPr>
        <w:t xml:space="preserve"> the </w:t>
      </w:r>
      <w:r>
        <w:rPr>
          <w:kern w:val="0"/>
          <w:szCs w:val="24"/>
        </w:rPr>
        <w:t>scientific specialization index, etc.) at various levels</w:t>
      </w:r>
      <w:r w:rsidR="00427468">
        <w:rPr>
          <w:kern w:val="0"/>
          <w:szCs w:val="24"/>
        </w:rPr>
        <w:t xml:space="preserve"> of </w:t>
      </w:r>
      <w:r>
        <w:rPr>
          <w:kern w:val="0"/>
          <w:szCs w:val="24"/>
        </w:rPr>
        <w:t>aggregation (e.g. individual researchers, research organizations, countries</w:t>
      </w:r>
      <w:r w:rsidR="005853A9">
        <w:rPr>
          <w:kern w:val="0"/>
          <w:szCs w:val="24"/>
        </w:rPr>
        <w:t xml:space="preserve"> and </w:t>
      </w:r>
      <w:r>
        <w:rPr>
          <w:kern w:val="0"/>
          <w:szCs w:val="24"/>
        </w:rPr>
        <w:t>regions</w:t>
      </w:r>
      <w:r w:rsidR="00427468">
        <w:rPr>
          <w:kern w:val="0"/>
          <w:szCs w:val="24"/>
        </w:rPr>
        <w:t xml:space="preserve"> of </w:t>
      </w:r>
      <w:r w:rsidR="003A1917">
        <w:rPr>
          <w:kern w:val="0"/>
          <w:szCs w:val="24"/>
        </w:rPr>
        <w:t xml:space="preserve">the </w:t>
      </w:r>
      <w:r>
        <w:rPr>
          <w:kern w:val="0"/>
          <w:szCs w:val="24"/>
        </w:rPr>
        <w:t>world) can be calculated based on these data</w:t>
      </w:r>
      <w:r w:rsidR="00A37C1D">
        <w:rPr>
          <w:kern w:val="0"/>
          <w:szCs w:val="24"/>
        </w:rPr>
        <w:t>. The</w:t>
      </w:r>
      <w:r w:rsidR="003A1917">
        <w:rPr>
          <w:kern w:val="0"/>
          <w:szCs w:val="24"/>
        </w:rPr>
        <w:t xml:space="preserve"> </w:t>
      </w:r>
      <w:r>
        <w:rPr>
          <w:kern w:val="0"/>
          <w:szCs w:val="24"/>
        </w:rPr>
        <w:t>results</w:t>
      </w:r>
      <w:r w:rsidR="00427468">
        <w:rPr>
          <w:kern w:val="0"/>
          <w:szCs w:val="24"/>
        </w:rPr>
        <w:t xml:space="preserve"> of </w:t>
      </w:r>
      <w:r>
        <w:rPr>
          <w:kern w:val="0"/>
          <w:szCs w:val="24"/>
        </w:rPr>
        <w:t>bibliometric studies can be used in a number</w:t>
      </w:r>
      <w:r w:rsidR="00427468">
        <w:rPr>
          <w:kern w:val="0"/>
          <w:szCs w:val="24"/>
        </w:rPr>
        <w:t xml:space="preserve"> of </w:t>
      </w:r>
      <w:r>
        <w:rPr>
          <w:kern w:val="0"/>
          <w:szCs w:val="24"/>
        </w:rPr>
        <w:t>ways: - analysis</w:t>
      </w:r>
      <w:r w:rsidR="00427468">
        <w:rPr>
          <w:kern w:val="0"/>
          <w:szCs w:val="24"/>
        </w:rPr>
        <w:t xml:space="preserve"> of </w:t>
      </w:r>
      <w:r>
        <w:rPr>
          <w:kern w:val="0"/>
          <w:szCs w:val="24"/>
        </w:rPr>
        <w:t>latest trends in</w:t>
      </w:r>
      <w:r w:rsidR="003A1917">
        <w:rPr>
          <w:kern w:val="0"/>
          <w:szCs w:val="24"/>
        </w:rPr>
        <w:t xml:space="preserve"> the </w:t>
      </w:r>
      <w:r>
        <w:rPr>
          <w:kern w:val="0"/>
          <w:szCs w:val="24"/>
        </w:rPr>
        <w:t>development</w:t>
      </w:r>
      <w:r w:rsidR="00427468">
        <w:rPr>
          <w:kern w:val="0"/>
          <w:szCs w:val="24"/>
        </w:rPr>
        <w:t xml:space="preserve"> of </w:t>
      </w:r>
      <w:r>
        <w:rPr>
          <w:kern w:val="0"/>
          <w:szCs w:val="24"/>
        </w:rPr>
        <w:t>various scientific fields; - evaluation</w:t>
      </w:r>
      <w:r w:rsidR="00427468">
        <w:rPr>
          <w:kern w:val="0"/>
          <w:szCs w:val="24"/>
        </w:rPr>
        <w:t xml:space="preserve"> of </w:t>
      </w:r>
      <w:r w:rsidR="003A1917">
        <w:rPr>
          <w:kern w:val="0"/>
          <w:szCs w:val="24"/>
        </w:rPr>
        <w:t xml:space="preserve">the </w:t>
      </w:r>
      <w:r>
        <w:rPr>
          <w:kern w:val="0"/>
          <w:szCs w:val="24"/>
        </w:rPr>
        <w:t>effectiveness</w:t>
      </w:r>
      <w:r w:rsidR="00427468">
        <w:rPr>
          <w:kern w:val="0"/>
          <w:szCs w:val="24"/>
        </w:rPr>
        <w:t xml:space="preserve"> of </w:t>
      </w:r>
      <w:r>
        <w:rPr>
          <w:kern w:val="0"/>
          <w:szCs w:val="24"/>
        </w:rPr>
        <w:t>research organizations; - overall assessment</w:t>
      </w:r>
      <w:r w:rsidR="00427468">
        <w:rPr>
          <w:kern w:val="0"/>
          <w:szCs w:val="24"/>
        </w:rPr>
        <w:t xml:space="preserve"> of </w:t>
      </w:r>
      <w:r w:rsidR="003A1917">
        <w:rPr>
          <w:kern w:val="0"/>
          <w:szCs w:val="24"/>
        </w:rPr>
        <w:t xml:space="preserve">the </w:t>
      </w:r>
      <w:r>
        <w:rPr>
          <w:kern w:val="0"/>
          <w:szCs w:val="24"/>
        </w:rPr>
        <w:t>scientific potential</w:t>
      </w:r>
      <w:r w:rsidR="00427468">
        <w:rPr>
          <w:kern w:val="0"/>
          <w:szCs w:val="24"/>
        </w:rPr>
        <w:t xml:space="preserve"> of </w:t>
      </w:r>
      <w:r>
        <w:rPr>
          <w:kern w:val="0"/>
          <w:szCs w:val="24"/>
        </w:rPr>
        <w:t>Russia (its strengths</w:t>
      </w:r>
      <w:r w:rsidR="005853A9">
        <w:rPr>
          <w:kern w:val="0"/>
          <w:szCs w:val="24"/>
        </w:rPr>
        <w:t xml:space="preserve"> and </w:t>
      </w:r>
      <w:r>
        <w:rPr>
          <w:kern w:val="0"/>
          <w:szCs w:val="24"/>
        </w:rPr>
        <w:t>weaknesses); - identification</w:t>
      </w:r>
      <w:r w:rsidR="003A1917">
        <w:rPr>
          <w:kern w:val="0"/>
          <w:szCs w:val="24"/>
        </w:rPr>
        <w:t xml:space="preserve"> the </w:t>
      </w:r>
      <w:r>
        <w:rPr>
          <w:kern w:val="0"/>
          <w:szCs w:val="24"/>
        </w:rPr>
        <w:t>most productive scientists in various fields</w:t>
      </w:r>
      <w:r w:rsidR="00427468">
        <w:rPr>
          <w:kern w:val="0"/>
          <w:szCs w:val="24"/>
        </w:rPr>
        <w:t xml:space="preserve"> of </w:t>
      </w:r>
      <w:r>
        <w:rPr>
          <w:kern w:val="0"/>
          <w:szCs w:val="24"/>
        </w:rPr>
        <w:t>science; - drawing</w:t>
      </w:r>
      <w:r w:rsidR="003A1917">
        <w:rPr>
          <w:kern w:val="0"/>
          <w:szCs w:val="24"/>
        </w:rPr>
        <w:t xml:space="preserve"> the </w:t>
      </w:r>
      <w:r>
        <w:rPr>
          <w:kern w:val="0"/>
          <w:szCs w:val="24"/>
        </w:rPr>
        <w:t>international comparisons</w:t>
      </w:r>
      <w:r w:rsidR="00427468">
        <w:rPr>
          <w:kern w:val="0"/>
          <w:szCs w:val="24"/>
        </w:rPr>
        <w:t xml:space="preserve"> of </w:t>
      </w:r>
      <w:r>
        <w:rPr>
          <w:kern w:val="0"/>
          <w:szCs w:val="24"/>
        </w:rPr>
        <w:t>publications; - analysis</w:t>
      </w:r>
      <w:r w:rsidR="00427468">
        <w:rPr>
          <w:kern w:val="0"/>
          <w:szCs w:val="24"/>
        </w:rPr>
        <w:t xml:space="preserve"> of </w:t>
      </w:r>
      <w:r>
        <w:rPr>
          <w:kern w:val="0"/>
          <w:szCs w:val="24"/>
        </w:rPr>
        <w:t>collaboration networks</w:t>
      </w:r>
      <w:r w:rsidR="00427468">
        <w:rPr>
          <w:kern w:val="0"/>
          <w:szCs w:val="24"/>
        </w:rPr>
        <w:t xml:space="preserve"> of </w:t>
      </w:r>
      <w:r>
        <w:rPr>
          <w:kern w:val="0"/>
          <w:szCs w:val="24"/>
        </w:rPr>
        <w:t>scientific teams</w:t>
      </w:r>
      <w:r w:rsidR="00A37C1D">
        <w:rPr>
          <w:kern w:val="0"/>
          <w:szCs w:val="24"/>
        </w:rPr>
        <w:t>. The</w:t>
      </w:r>
      <w:r w:rsidR="003A1917">
        <w:rPr>
          <w:kern w:val="0"/>
          <w:szCs w:val="24"/>
        </w:rPr>
        <w:t xml:space="preserve"> </w:t>
      </w:r>
      <w:r>
        <w:rPr>
          <w:kern w:val="0"/>
          <w:szCs w:val="24"/>
        </w:rPr>
        <w:t>paper analyses</w:t>
      </w:r>
      <w:r w:rsidR="003A1917">
        <w:rPr>
          <w:kern w:val="0"/>
          <w:szCs w:val="24"/>
        </w:rPr>
        <w:t xml:space="preserve"> the </w:t>
      </w:r>
      <w:r>
        <w:rPr>
          <w:kern w:val="0"/>
          <w:szCs w:val="24"/>
        </w:rPr>
        <w:t>basic indicators</w:t>
      </w:r>
      <w:r w:rsidR="00427468">
        <w:rPr>
          <w:kern w:val="0"/>
          <w:szCs w:val="24"/>
        </w:rPr>
        <w:t xml:space="preserve"> of </w:t>
      </w:r>
      <w:r w:rsidR="003A1917">
        <w:rPr>
          <w:kern w:val="0"/>
          <w:szCs w:val="24"/>
        </w:rPr>
        <w:t xml:space="preserve">the </w:t>
      </w:r>
      <w:r>
        <w:rPr>
          <w:kern w:val="0"/>
          <w:szCs w:val="24"/>
        </w:rPr>
        <w:t>publication activity</w:t>
      </w:r>
      <w:r w:rsidR="00427468">
        <w:rPr>
          <w:kern w:val="0"/>
          <w:szCs w:val="24"/>
        </w:rPr>
        <w:t xml:space="preserve"> of </w:t>
      </w:r>
      <w:r>
        <w:rPr>
          <w:kern w:val="0"/>
          <w:szCs w:val="24"/>
        </w:rPr>
        <w:t>scientists in Russia</w:t>
      </w:r>
      <w:r w:rsidR="005853A9">
        <w:rPr>
          <w:kern w:val="0"/>
          <w:szCs w:val="24"/>
        </w:rPr>
        <w:t xml:space="preserve"> and </w:t>
      </w:r>
      <w:r w:rsidR="003A1917">
        <w:rPr>
          <w:kern w:val="0"/>
          <w:szCs w:val="24"/>
        </w:rPr>
        <w:t xml:space="preserve">the </w:t>
      </w:r>
      <w:r>
        <w:rPr>
          <w:kern w:val="0"/>
          <w:szCs w:val="24"/>
        </w:rPr>
        <w:t>leading countries over</w:t>
      </w:r>
      <w:r w:rsidR="003A1917">
        <w:rPr>
          <w:kern w:val="0"/>
          <w:szCs w:val="24"/>
        </w:rPr>
        <w:t xml:space="preserve"> the </w:t>
      </w:r>
      <w:r>
        <w:rPr>
          <w:kern w:val="0"/>
          <w:szCs w:val="24"/>
        </w:rPr>
        <w:t>period between 2001</w:t>
      </w:r>
      <w:r w:rsidR="005853A9">
        <w:rPr>
          <w:kern w:val="0"/>
          <w:szCs w:val="24"/>
        </w:rPr>
        <w:t xml:space="preserve"> and </w:t>
      </w:r>
      <w:r>
        <w:rPr>
          <w:kern w:val="0"/>
          <w:szCs w:val="24"/>
        </w:rPr>
        <w:t>2011. Publication activity</w:t>
      </w:r>
      <w:r w:rsidR="00427468">
        <w:rPr>
          <w:kern w:val="0"/>
          <w:szCs w:val="24"/>
        </w:rPr>
        <w:t xml:space="preserve"> of </w:t>
      </w:r>
      <w:r>
        <w:rPr>
          <w:kern w:val="0"/>
          <w:szCs w:val="24"/>
        </w:rPr>
        <w:t>Russian scientists is analysed in</w:t>
      </w:r>
      <w:r w:rsidR="003A1917">
        <w:rPr>
          <w:kern w:val="0"/>
          <w:szCs w:val="24"/>
        </w:rPr>
        <w:t xml:space="preserve"> the </w:t>
      </w:r>
      <w:r>
        <w:rPr>
          <w:kern w:val="0"/>
          <w:szCs w:val="24"/>
        </w:rPr>
        <w:t>context</w:t>
      </w:r>
      <w:r w:rsidR="00427468">
        <w:rPr>
          <w:kern w:val="0"/>
          <w:szCs w:val="24"/>
        </w:rPr>
        <w:t xml:space="preserve"> of </w:t>
      </w:r>
      <w:r>
        <w:rPr>
          <w:kern w:val="0"/>
          <w:szCs w:val="24"/>
        </w:rPr>
        <w:t>specific areas</w:t>
      </w:r>
      <w:r w:rsidR="00427468">
        <w:rPr>
          <w:kern w:val="0"/>
          <w:szCs w:val="24"/>
        </w:rPr>
        <w:t xml:space="preserve"> of </w:t>
      </w:r>
      <w:r>
        <w:rPr>
          <w:kern w:val="0"/>
          <w:szCs w:val="24"/>
        </w:rPr>
        <w:t>science. This allows</w:t>
      </w:r>
      <w:r w:rsidR="003A1917">
        <w:rPr>
          <w:kern w:val="0"/>
          <w:szCs w:val="24"/>
        </w:rPr>
        <w:t xml:space="preserve"> the </w:t>
      </w:r>
      <w:r>
        <w:rPr>
          <w:kern w:val="0"/>
          <w:szCs w:val="24"/>
        </w:rPr>
        <w:t>identification</w:t>
      </w:r>
      <w:r w:rsidR="00427468">
        <w:rPr>
          <w:kern w:val="0"/>
          <w:szCs w:val="24"/>
        </w:rPr>
        <w:t xml:space="preserve"> of </w:t>
      </w:r>
      <w:r>
        <w:rPr>
          <w:kern w:val="0"/>
          <w:szCs w:val="24"/>
        </w:rPr>
        <w:t>areas</w:t>
      </w:r>
      <w:r w:rsidR="00427468">
        <w:rPr>
          <w:kern w:val="0"/>
          <w:szCs w:val="24"/>
        </w:rPr>
        <w:t xml:space="preserve"> of </w:t>
      </w:r>
      <w:r>
        <w:rPr>
          <w:kern w:val="0"/>
          <w:szCs w:val="24"/>
        </w:rPr>
        <w:t>specialization</w:t>
      </w:r>
      <w:r w:rsidR="00427468">
        <w:rPr>
          <w:kern w:val="0"/>
          <w:szCs w:val="24"/>
        </w:rPr>
        <w:t xml:space="preserve"> of </w:t>
      </w:r>
      <w:r>
        <w:rPr>
          <w:kern w:val="0"/>
          <w:szCs w:val="24"/>
        </w:rPr>
        <w:t>Russian publications</w:t>
      </w:r>
      <w:r w:rsidR="00A37C1D">
        <w:rPr>
          <w:kern w:val="0"/>
          <w:szCs w:val="24"/>
        </w:rPr>
        <w:t>. The</w:t>
      </w:r>
      <w:r w:rsidR="003A1917">
        <w:rPr>
          <w:kern w:val="0"/>
          <w:szCs w:val="24"/>
        </w:rPr>
        <w:t xml:space="preserve"> </w:t>
      </w:r>
      <w:r>
        <w:rPr>
          <w:kern w:val="0"/>
          <w:szCs w:val="24"/>
        </w:rPr>
        <w:t>paper also examines</w:t>
      </w:r>
      <w:r w:rsidR="003A1917">
        <w:rPr>
          <w:kern w:val="0"/>
          <w:szCs w:val="24"/>
        </w:rPr>
        <w:t xml:space="preserve"> the </w:t>
      </w:r>
      <w:r>
        <w:rPr>
          <w:kern w:val="0"/>
          <w:szCs w:val="24"/>
        </w:rPr>
        <w:t>dynamics</w:t>
      </w:r>
      <w:r w:rsidR="00427468">
        <w:rPr>
          <w:kern w:val="0"/>
          <w:szCs w:val="24"/>
        </w:rPr>
        <w:t xml:space="preserve"> of </w:t>
      </w:r>
      <w:r>
        <w:rPr>
          <w:kern w:val="0"/>
          <w:szCs w:val="24"/>
        </w:rPr>
        <w:t>highly-cited publications</w:t>
      </w:r>
      <w:r w:rsidR="005853A9">
        <w:rPr>
          <w:kern w:val="0"/>
          <w:szCs w:val="24"/>
        </w:rPr>
        <w:t xml:space="preserve"> and </w:t>
      </w:r>
      <w:r w:rsidR="003A1917">
        <w:rPr>
          <w:kern w:val="0"/>
          <w:szCs w:val="24"/>
        </w:rPr>
        <w:t xml:space="preserve">the </w:t>
      </w:r>
      <w:r>
        <w:rPr>
          <w:kern w:val="0"/>
          <w:szCs w:val="24"/>
        </w:rPr>
        <w:t>indicators</w:t>
      </w:r>
      <w:r w:rsidR="00427468">
        <w:rPr>
          <w:kern w:val="0"/>
          <w:szCs w:val="24"/>
        </w:rPr>
        <w:t xml:space="preserve"> of </w:t>
      </w:r>
      <w:r w:rsidR="003A1917">
        <w:rPr>
          <w:kern w:val="0"/>
          <w:szCs w:val="24"/>
        </w:rPr>
        <w:lastRenderedPageBreak/>
        <w:t xml:space="preserve">the </w:t>
      </w:r>
      <w:r>
        <w:rPr>
          <w:kern w:val="0"/>
          <w:szCs w:val="24"/>
        </w:rPr>
        <w:t>international scientific collaboration</w:t>
      </w:r>
      <w:r w:rsidR="00427468">
        <w:rPr>
          <w:kern w:val="0"/>
          <w:szCs w:val="24"/>
        </w:rPr>
        <w:t xml:space="preserve"> of </w:t>
      </w:r>
      <w:r>
        <w:rPr>
          <w:kern w:val="0"/>
          <w:szCs w:val="24"/>
        </w:rPr>
        <w:t>Russian researchers. In this paper, materials</w:t>
      </w:r>
      <w:r w:rsidR="00427468">
        <w:rPr>
          <w:kern w:val="0"/>
          <w:szCs w:val="24"/>
        </w:rPr>
        <w:t xml:space="preserve"> of </w:t>
      </w:r>
      <w:r w:rsidR="00D5664A">
        <w:rPr>
          <w:kern w:val="0"/>
          <w:szCs w:val="24"/>
        </w:rPr>
        <w:t>Web</w:t>
      </w:r>
      <w:r w:rsidR="00427468">
        <w:rPr>
          <w:kern w:val="0"/>
          <w:szCs w:val="24"/>
        </w:rPr>
        <w:t xml:space="preserve"> of </w:t>
      </w:r>
      <w:r w:rsidR="00D5664A">
        <w:rPr>
          <w:kern w:val="0"/>
          <w:szCs w:val="24"/>
        </w:rPr>
        <w:t>Science</w:t>
      </w:r>
      <w:r>
        <w:rPr>
          <w:kern w:val="0"/>
          <w:szCs w:val="24"/>
        </w:rPr>
        <w:t xml:space="preserve"> database were used for analysis</w:t>
      </w:r>
      <w:r w:rsidR="00427468">
        <w:rPr>
          <w:kern w:val="0"/>
          <w:szCs w:val="24"/>
        </w:rPr>
        <w:t xml:space="preserve"> of </w:t>
      </w:r>
      <w:r>
        <w:rPr>
          <w:kern w:val="0"/>
          <w:szCs w:val="24"/>
        </w:rPr>
        <w:t>publication activity.</w:t>
      </w:r>
    </w:p>
    <w:p w:rsidR="00111E21" w:rsidRDefault="00111E21" w:rsidP="00111E21">
      <w:pPr>
        <w:pStyle w:val="a3"/>
        <w:rPr>
          <w:kern w:val="0"/>
          <w:szCs w:val="24"/>
        </w:rPr>
      </w:pPr>
      <w:r>
        <w:rPr>
          <w:kern w:val="0"/>
          <w:szCs w:val="24"/>
        </w:rPr>
        <w:t>Keywords: Activity, Aggregation, Analyses, Analysis, Assessment, Authors, Bibliographic, Bibliometric, Bibliometric Analysis, Bibliometric Indicators, Bibliometric Studies, Citation, Co-Authorship, Coauthorship, Collaboration, Collaboration Networks, Context, Cooperation, Cross-Country Analysis, Data, Database, Databases, Development, Dynamics, Effectiveness, Efficiency, Evaluation, Global, Highly Cited, Highly-Cited, Identification, Index, Indicators, Information, International, Journals, Methods, Networks, Potential, Primary, Publication, Publication Activity, Publications, Publications</w:t>
      </w:r>
      <w:r w:rsidR="00427468">
        <w:rPr>
          <w:kern w:val="0"/>
          <w:szCs w:val="24"/>
        </w:rPr>
        <w:t xml:space="preserve"> of </w:t>
      </w:r>
      <w:r>
        <w:rPr>
          <w:kern w:val="0"/>
          <w:szCs w:val="24"/>
        </w:rPr>
        <w:t>Russian Authors, Quantitative Analysis, Research, Russia, Science, Scientific Collaboration, Scientific Cooperation, Scientific Journals, Structure,</w:t>
      </w:r>
      <w:r w:rsidR="003A1917">
        <w:rPr>
          <w:kern w:val="0"/>
          <w:szCs w:val="24"/>
        </w:rPr>
        <w:t xml:space="preserve"> the </w:t>
      </w:r>
      <w:r>
        <w:rPr>
          <w:kern w:val="0"/>
          <w:szCs w:val="24"/>
        </w:rPr>
        <w:t>Level</w:t>
      </w:r>
      <w:r w:rsidR="00427468">
        <w:rPr>
          <w:kern w:val="0"/>
          <w:szCs w:val="24"/>
        </w:rPr>
        <w:t xml:space="preserve"> of </w:t>
      </w:r>
      <w:r>
        <w:rPr>
          <w:kern w:val="0"/>
          <w:szCs w:val="24"/>
        </w:rPr>
        <w:t xml:space="preserve">Citation, Trends, </w:t>
      </w:r>
      <w:r w:rsidR="00D5664A">
        <w:rPr>
          <w:kern w:val="0"/>
          <w:szCs w:val="24"/>
        </w:rPr>
        <w:t>Web</w:t>
      </w:r>
      <w:r w:rsidR="00427468">
        <w:rPr>
          <w:kern w:val="0"/>
          <w:szCs w:val="24"/>
        </w:rPr>
        <w:t xml:space="preserve"> of </w:t>
      </w:r>
      <w:r w:rsidR="00D5664A">
        <w:rPr>
          <w:kern w:val="0"/>
          <w:szCs w:val="24"/>
        </w:rPr>
        <w:t>Science</w:t>
      </w:r>
      <w:r>
        <w:rPr>
          <w:kern w:val="0"/>
          <w:szCs w:val="24"/>
        </w:rPr>
        <w:t>, World</w:t>
      </w:r>
    </w:p>
    <w:p w:rsidR="00481459" w:rsidRDefault="00481459" w:rsidP="00481459">
      <w:pPr>
        <w:pStyle w:val="a3"/>
        <w:rPr>
          <w:kern w:val="0"/>
        </w:rPr>
      </w:pPr>
      <w:r>
        <w:rPr>
          <w:kern w:val="0"/>
        </w:rPr>
        <w:t xml:space="preserve">? Libkind, A.N., Markusova, V.A. and Mindeli, L.E. (2013), Bibliometric indicators of Russian journals by JCR-science edition, 1995-2010. </w:t>
      </w:r>
      <w:r>
        <w:rPr>
          <w:i/>
          <w:iCs/>
          <w:kern w:val="0"/>
        </w:rPr>
        <w:t>Acta Naturae</w:t>
      </w:r>
      <w:r>
        <w:rPr>
          <w:kern w:val="0"/>
        </w:rPr>
        <w:t xml:space="preserve">, </w:t>
      </w:r>
      <w:r>
        <w:rPr>
          <w:b/>
          <w:bCs/>
          <w:kern w:val="0"/>
        </w:rPr>
        <w:t>5</w:t>
      </w:r>
      <w:r>
        <w:rPr>
          <w:kern w:val="0"/>
        </w:rPr>
        <w:t xml:space="preserve"> (3), 6-12.</w:t>
      </w:r>
    </w:p>
    <w:p w:rsidR="00481459" w:rsidRDefault="00481459" w:rsidP="00481459">
      <w:pPr>
        <w:pStyle w:val="a3"/>
        <w:rPr>
          <w:kern w:val="0"/>
        </w:rPr>
      </w:pPr>
      <w:r>
        <w:rPr>
          <w:kern w:val="0"/>
        </w:rPr>
        <w:t xml:space="preserve">Full Text: </w:t>
      </w:r>
      <w:hyperlink r:id="rId144" w:history="1">
        <w:r w:rsidRPr="00481459">
          <w:rPr>
            <w:rStyle w:val="a5"/>
            <w:kern w:val="0"/>
          </w:rPr>
          <w:t>2013\Act Nat5, 6.pdf</w:t>
        </w:r>
      </w:hyperlink>
    </w:p>
    <w:p w:rsidR="00481459" w:rsidRDefault="00481459" w:rsidP="00481459">
      <w:pPr>
        <w:pStyle w:val="a3"/>
        <w:rPr>
          <w:kern w:val="0"/>
        </w:rPr>
      </w:pPr>
      <w:r>
        <w:rPr>
          <w:kern w:val="0"/>
        </w:rPr>
        <w:t>Abstract: A representative empirical bibliometric analysis of Russian journals included in the Journal Citation Reports-Science Edition (JCR-SE) for the time period 1995-2010 was conducted at the macro level (excluding the subject categories). It was found that the growth in the number of articles covered by JCR (a 1.8-fold increase compared to 1995) is ahead of the growth rates of Russian publications (1.2-fold increase). Hence, the share of Russian articles covered by JCR-SE was down from 2.5% in 1995 to 1.7% in 2010. It was determined that the number of articles published in an average Russian journal reduced by 20% as compared to the number of articles in an average journal of the full data set</w:t>
      </w:r>
      <w:r w:rsidR="00A37C1D">
        <w:rPr>
          <w:kern w:val="0"/>
        </w:rPr>
        <w:t>. The</w:t>
      </w:r>
      <w:r>
        <w:rPr>
          <w:kern w:val="0"/>
        </w:rPr>
        <w:t>se facts could partly shed light on the question why Russian research performance is staggering (approximately 30,000 articles per year), although the coverage of Russian journals has expanded to 150 titles. Over the past 15 years, a twofold increase in the impact factor of the Russian journals has been observed, which is higher than that for the full data set of journals (a 1.4-fold increase). Measures to improve the quality of Russian journals are proposed.</w:t>
      </w:r>
    </w:p>
    <w:p w:rsidR="00481459" w:rsidRDefault="00481459" w:rsidP="00481459">
      <w:pPr>
        <w:pStyle w:val="a3"/>
        <w:rPr>
          <w:kern w:val="0"/>
        </w:rPr>
      </w:pPr>
      <w:r>
        <w:rPr>
          <w:kern w:val="0"/>
        </w:rPr>
        <w:t>Keywords: Analysis, Article, Bibliometric, Bibliometric Analysis, Bibliometric Indicators, Citation, Coverage, Data, Data Set, Expected Citation Rate, Full Data Set, Growth, Impact, Impact Factor, Indicators, JCR, Journal, Journals, Performance, Publications, Quality, Quality Of, Rates, Research, Research Performance, Russian Journal, Time Period</w:t>
      </w:r>
    </w:p>
    <w:p w:rsidR="006C122B" w:rsidRPr="00F219CA" w:rsidRDefault="006C122B" w:rsidP="006C122B">
      <w:pPr>
        <w:pStyle w:val="1"/>
      </w:pPr>
      <w:r w:rsidRPr="00F219CA">
        <w:br w:type="page"/>
      </w:r>
      <w:bookmarkStart w:id="71" w:name="_Toc420814268"/>
      <w:r w:rsidRPr="00F219CA">
        <w:lastRenderedPageBreak/>
        <w:t xml:space="preserve">Title: </w:t>
      </w:r>
      <w:r w:rsidRPr="00241FDD">
        <w:t>Acta Neuropsychiatrica</w:t>
      </w:r>
      <w:bookmarkEnd w:id="71"/>
    </w:p>
    <w:p w:rsidR="006C122B" w:rsidRPr="00F219CA" w:rsidRDefault="006C122B" w:rsidP="006C122B">
      <w:pPr>
        <w:pStyle w:val="12"/>
      </w:pPr>
      <w:r w:rsidRPr="00F219CA">
        <w:t xml:space="preserve">Full Journal Title: </w:t>
      </w:r>
      <w:r w:rsidRPr="00241FDD">
        <w:rPr>
          <w:iCs/>
          <w:kern w:val="0"/>
        </w:rPr>
        <w:t>Acta Neuropsychiatrica</w:t>
      </w:r>
    </w:p>
    <w:p w:rsidR="006C122B" w:rsidRPr="00F219CA" w:rsidRDefault="006C122B" w:rsidP="006C122B">
      <w:pPr>
        <w:pStyle w:val="12"/>
      </w:pPr>
      <w:r w:rsidRPr="00F219CA">
        <w:t xml:space="preserve">ISO Abbreviated Title: </w:t>
      </w:r>
    </w:p>
    <w:p w:rsidR="006C122B" w:rsidRPr="00F219CA" w:rsidRDefault="006C122B" w:rsidP="006C122B">
      <w:pPr>
        <w:pStyle w:val="12"/>
      </w:pPr>
      <w:r w:rsidRPr="00F219CA">
        <w:t xml:space="preserve">JCR Abbreviated Title: </w:t>
      </w:r>
    </w:p>
    <w:p w:rsidR="006C122B" w:rsidRPr="00F219CA" w:rsidRDefault="006C122B" w:rsidP="006C122B">
      <w:pPr>
        <w:pStyle w:val="12"/>
      </w:pPr>
      <w:r w:rsidRPr="00F219CA">
        <w:t>ISSN:</w:t>
      </w:r>
      <w:r>
        <w:rPr>
          <w:rFonts w:hint="eastAsia"/>
        </w:rPr>
        <w:t xml:space="preserve"> </w:t>
      </w:r>
    </w:p>
    <w:p w:rsidR="006C122B" w:rsidRPr="00F219CA" w:rsidRDefault="006C122B" w:rsidP="006C122B">
      <w:pPr>
        <w:pStyle w:val="12"/>
      </w:pPr>
      <w:r w:rsidRPr="00F219CA">
        <w:t xml:space="preserve">Issues/Year: </w:t>
      </w:r>
    </w:p>
    <w:p w:rsidR="006C122B" w:rsidRPr="00F219CA" w:rsidRDefault="006C122B" w:rsidP="006C122B">
      <w:pPr>
        <w:pStyle w:val="12"/>
      </w:pPr>
      <w:r w:rsidRPr="00F219CA">
        <w:t xml:space="preserve">Journal Country/Territory: </w:t>
      </w:r>
    </w:p>
    <w:p w:rsidR="006C122B" w:rsidRPr="00F219CA" w:rsidRDefault="006C122B" w:rsidP="006C122B">
      <w:pPr>
        <w:pStyle w:val="12"/>
      </w:pPr>
      <w:r w:rsidRPr="00F219CA">
        <w:t xml:space="preserve">Language: </w:t>
      </w:r>
    </w:p>
    <w:p w:rsidR="006C122B" w:rsidRPr="00F219CA" w:rsidRDefault="006C122B" w:rsidP="006C122B">
      <w:pPr>
        <w:pStyle w:val="12"/>
      </w:pPr>
      <w:r w:rsidRPr="00F219CA">
        <w:t xml:space="preserve">Publisher: </w:t>
      </w:r>
    </w:p>
    <w:p w:rsidR="006C122B" w:rsidRPr="00F219CA" w:rsidRDefault="006C122B" w:rsidP="006C122B">
      <w:pPr>
        <w:pStyle w:val="12"/>
      </w:pPr>
      <w:r w:rsidRPr="00F219CA">
        <w:t xml:space="preserve">Publisher Address: </w:t>
      </w:r>
    </w:p>
    <w:p w:rsidR="006C122B" w:rsidRPr="00F219CA" w:rsidRDefault="006C122B" w:rsidP="006C122B">
      <w:pPr>
        <w:pStyle w:val="12"/>
      </w:pPr>
      <w:r w:rsidRPr="00F219CA">
        <w:t xml:space="preserve">Subject Categories: </w:t>
      </w:r>
    </w:p>
    <w:p w:rsidR="006C122B" w:rsidRPr="00F219CA" w:rsidRDefault="006C122B" w:rsidP="006C122B">
      <w:pPr>
        <w:pStyle w:val="12"/>
      </w:pPr>
      <w:r w:rsidRPr="00F219CA">
        <w:t xml:space="preserve">: Impact Factor </w:t>
      </w:r>
    </w:p>
    <w:p w:rsidR="002B1634" w:rsidRDefault="002B1634" w:rsidP="002B1634">
      <w:pPr>
        <w:pStyle w:val="a3"/>
        <w:rPr>
          <w:kern w:val="0"/>
        </w:rPr>
      </w:pPr>
      <w:r>
        <w:rPr>
          <w:rFonts w:hint="eastAsia"/>
          <w:kern w:val="0"/>
        </w:rPr>
        <w:t xml:space="preserve">? </w:t>
      </w:r>
      <w:r>
        <w:t>San, L</w:t>
      </w:r>
      <w:r>
        <w:rPr>
          <w:rFonts w:hint="eastAsia"/>
        </w:rPr>
        <w:t>. and</w:t>
      </w:r>
      <w:r>
        <w:t xml:space="preserve"> Arranz, B</w:t>
      </w:r>
      <w:r>
        <w:rPr>
          <w:rFonts w:hint="eastAsia"/>
        </w:rPr>
        <w:t>.</w:t>
      </w:r>
      <w:r>
        <w:rPr>
          <w:kern w:val="0"/>
        </w:rPr>
        <w:t xml:space="preserve"> (20</w:t>
      </w:r>
      <w:r>
        <w:rPr>
          <w:rFonts w:hint="eastAsia"/>
          <w:kern w:val="0"/>
        </w:rPr>
        <w:t>06</w:t>
      </w:r>
      <w:r>
        <w:rPr>
          <w:kern w:val="0"/>
        </w:rPr>
        <w:t xml:space="preserve">), </w:t>
      </w:r>
      <w:r>
        <w:t>Mirtazapine: Only for depression?</w:t>
      </w:r>
      <w:r>
        <w:rPr>
          <w:kern w:val="0"/>
        </w:rPr>
        <w:t xml:space="preserve"> </w:t>
      </w:r>
      <w:r w:rsidRPr="00241FDD">
        <w:rPr>
          <w:i/>
          <w:iCs/>
          <w:kern w:val="0"/>
        </w:rPr>
        <w:t>Acta Neuropsychiatrica</w:t>
      </w:r>
      <w:r>
        <w:rPr>
          <w:kern w:val="0"/>
        </w:rPr>
        <w:t xml:space="preserve">, </w:t>
      </w:r>
      <w:r>
        <w:rPr>
          <w:rFonts w:hint="eastAsia"/>
          <w:b/>
          <w:bCs/>
          <w:kern w:val="0"/>
        </w:rPr>
        <w:t>18</w:t>
      </w:r>
      <w:r>
        <w:rPr>
          <w:kern w:val="0"/>
        </w:rPr>
        <w:t xml:space="preserve"> (</w:t>
      </w:r>
      <w:r>
        <w:rPr>
          <w:rFonts w:hint="eastAsia"/>
          <w:kern w:val="0"/>
        </w:rPr>
        <w:t>3-4</w:t>
      </w:r>
      <w:r>
        <w:rPr>
          <w:kern w:val="0"/>
        </w:rPr>
        <w:t xml:space="preserve">), </w:t>
      </w:r>
      <w:r>
        <w:t>130-143</w:t>
      </w:r>
      <w:r>
        <w:rPr>
          <w:rFonts w:hint="eastAsia"/>
          <w:kern w:val="0"/>
        </w:rPr>
        <w:t>.</w:t>
      </w:r>
    </w:p>
    <w:p w:rsidR="002B1634" w:rsidRDefault="002B1634" w:rsidP="002B1634">
      <w:pPr>
        <w:pStyle w:val="a3"/>
      </w:pPr>
      <w:r>
        <w:rPr>
          <w:rFonts w:hint="eastAsia"/>
        </w:rPr>
        <w:t xml:space="preserve">Full Text: </w:t>
      </w:r>
      <w:hyperlink r:id="rId145" w:history="1">
        <w:r w:rsidRPr="002B1634">
          <w:rPr>
            <w:rStyle w:val="a5"/>
          </w:rPr>
          <w:t>2006\Act Neu18, 130.pdf</w:t>
        </w:r>
      </w:hyperlink>
    </w:p>
    <w:p w:rsidR="002B1634" w:rsidRDefault="002B1634" w:rsidP="002B1634">
      <w:pPr>
        <w:pStyle w:val="a3"/>
      </w:pPr>
      <w:r>
        <w:t>Abstract</w:t>
      </w:r>
      <w:r>
        <w:rPr>
          <w:rFonts w:hint="eastAsia"/>
        </w:rPr>
        <w:t xml:space="preserve">: </w:t>
      </w:r>
      <w:r>
        <w:t>Background: Mirtazapine is an antidepressant first approved in the Netherlands in 1994 for the treatment of major depressive disorder. However, evidence suggests its effectiveness in a variety of other psychiatric disorders and non-psychiatric medical conditions.</w:t>
      </w:r>
    </w:p>
    <w:p w:rsidR="002B1634" w:rsidRDefault="002B1634" w:rsidP="002B1634">
      <w:pPr>
        <w:pStyle w:val="a3"/>
      </w:pPr>
      <w:r>
        <w:t>Objective: The present paper reviews the published literature on the off-label indications of Mirtazapine.</w:t>
      </w:r>
    </w:p>
    <w:p w:rsidR="002B1634" w:rsidRDefault="002B1634" w:rsidP="002B1634">
      <w:pPr>
        <w:pStyle w:val="a3"/>
      </w:pPr>
      <w:r>
        <w:t>Methods: A search of the relevant literature from MEDLINE, PsycLIT and EMBASE databases, included in the Science Citation Index and available up to March 2006, was conducted using the terms mirtazapine, case-reports, open-label trials and randomized controlled trials. Only articles referring to conditions other than major depression were included in this present review.</w:t>
      </w:r>
    </w:p>
    <w:p w:rsidR="002B1634" w:rsidRDefault="002B1634" w:rsidP="002B1634">
      <w:pPr>
        <w:pStyle w:val="a3"/>
      </w:pPr>
      <w:r>
        <w:t>Results: Off-label use of mirtazapine has been reported in panic disorder, post-traumatic stress disorder, generalized anxiety disorder, social phobia, obsessive-compulsive disorder, dysthymia, menopausal depression, poststroke depression, depression as a result of infection with human immunodeficiency virus, elderly depression, Methylenedioxymethamphetamine (MDMA)-induced depression, hot flashes, alcohol and other substance use disorders, sleep disorders, sexual disorders, tension-type headaches, cancer pain, fibromyalgia, schizophrenia and other less frequent conditions.</w:t>
      </w:r>
    </w:p>
    <w:p w:rsidR="002B1634" w:rsidRDefault="002B1634" w:rsidP="002B1634">
      <w:pPr>
        <w:pStyle w:val="a3"/>
      </w:pPr>
      <w:r>
        <w:t xml:space="preserve">Conclusions: So far, data on the off-label usefulness of mirtazapine are limited and mainly based on observations from case reports or open-label studies. However, positive cues suggest that confirmation of these preliminary data with randomized </w:t>
      </w:r>
      <w:r>
        <w:lastRenderedPageBreak/>
        <w:t>controlled trials may give sufficient evidence to warrant the use of mirtazapine in a broad range of disorders.</w:t>
      </w:r>
    </w:p>
    <w:p w:rsidR="002B1634" w:rsidRPr="001A3D2B" w:rsidRDefault="002B1634" w:rsidP="002B1634">
      <w:pPr>
        <w:pStyle w:val="a3"/>
      </w:pPr>
      <w:r>
        <w:t>Keywords: Case Reports, Controlled Trials, Mirazapine, Open-Label Trials, Randomized, Posttraumatic-Stress-Disorder, Obsessive-Compulsive Disorder, Neuroleptic-Induced Akathisia, Generalized Anxiety Disorder, Induced Sexual Dysfunction, Tension-Type Headache, Low-Dose Mirtazapine, Open-Label Trial, Double-Blind, Major Depression</w:t>
      </w:r>
    </w:p>
    <w:p w:rsidR="002B1634" w:rsidRDefault="002B1634" w:rsidP="002B1634">
      <w:pPr>
        <w:pStyle w:val="a3"/>
        <w:rPr>
          <w:kern w:val="0"/>
        </w:rPr>
      </w:pPr>
      <w:r>
        <w:rPr>
          <w:rFonts w:hint="eastAsia"/>
          <w:kern w:val="0"/>
        </w:rPr>
        <w:t xml:space="preserve">? </w:t>
      </w:r>
      <w:r>
        <w:rPr>
          <w:kern w:val="0"/>
        </w:rPr>
        <w:t xml:space="preserve">Hunt, G.E. (2011), Making sense of bibliometrics. </w:t>
      </w:r>
      <w:r w:rsidRPr="00241FDD">
        <w:rPr>
          <w:i/>
          <w:iCs/>
          <w:kern w:val="0"/>
        </w:rPr>
        <w:t>Acta Neuropsychiatrica</w:t>
      </w:r>
      <w:r>
        <w:rPr>
          <w:kern w:val="0"/>
        </w:rPr>
        <w:t xml:space="preserve">, </w:t>
      </w:r>
      <w:r>
        <w:rPr>
          <w:b/>
          <w:bCs/>
          <w:kern w:val="0"/>
        </w:rPr>
        <w:t>23</w:t>
      </w:r>
      <w:r>
        <w:rPr>
          <w:kern w:val="0"/>
        </w:rPr>
        <w:t xml:space="preserve"> (2), 80-81</w:t>
      </w:r>
      <w:r>
        <w:rPr>
          <w:rFonts w:hint="eastAsia"/>
          <w:kern w:val="0"/>
        </w:rPr>
        <w:t>.</w:t>
      </w:r>
    </w:p>
    <w:p w:rsidR="002B1634" w:rsidRPr="001A3D2B" w:rsidRDefault="002B1634" w:rsidP="002B1634">
      <w:pPr>
        <w:pStyle w:val="a3"/>
      </w:pPr>
      <w:r>
        <w:rPr>
          <w:rFonts w:hint="eastAsia"/>
        </w:rPr>
        <w:t xml:space="preserve">Full Text: </w:t>
      </w:r>
      <w:hyperlink r:id="rId146" w:history="1">
        <w:r w:rsidRPr="00241FDD">
          <w:rPr>
            <w:rStyle w:val="a5"/>
          </w:rPr>
          <w:t>2011\Act Neu23, 80.pdf</w:t>
        </w:r>
      </w:hyperlink>
    </w:p>
    <w:p w:rsidR="006C122B" w:rsidRDefault="006C122B" w:rsidP="006C122B">
      <w:pPr>
        <w:pStyle w:val="a3"/>
        <w:rPr>
          <w:kern w:val="0"/>
        </w:rPr>
      </w:pPr>
      <w:r>
        <w:rPr>
          <w:kern w:val="0"/>
        </w:rPr>
        <w:t xml:space="preserve">Keywords: Bibliometrics, Citations, </w:t>
      </w:r>
      <w:r w:rsidR="00D5664A">
        <w:rPr>
          <w:rFonts w:hint="eastAsia"/>
          <w:kern w:val="0"/>
        </w:rPr>
        <w:t>h-Index</w:t>
      </w:r>
      <w:r>
        <w:rPr>
          <w:kern w:val="0"/>
        </w:rPr>
        <w:t>, Impact Factor, Science</w:t>
      </w:r>
    </w:p>
    <w:p w:rsidR="001C07A1" w:rsidRDefault="001C07A1" w:rsidP="001C07A1">
      <w:pPr>
        <w:pStyle w:val="a3"/>
        <w:rPr>
          <w:kern w:val="0"/>
        </w:rPr>
      </w:pPr>
      <w:r>
        <w:rPr>
          <w:rFonts w:hint="eastAsia"/>
          <w:kern w:val="0"/>
        </w:rPr>
        <w:t xml:space="preserve">? </w:t>
      </w:r>
      <w:r>
        <w:rPr>
          <w:kern w:val="0"/>
        </w:rPr>
        <w:t xml:space="preserve">Zhu, H.C., Lu, Z.M., Jin, Y.T., Duan, X.J., Teng, J.F. and Duan, D.X. (2015), Low-frequency repetitive transcranial magnetic stimulation on Parkinson motor function: A meta-analysis of randomised controlled trials. </w:t>
      </w:r>
      <w:r>
        <w:rPr>
          <w:i/>
          <w:iCs/>
          <w:kern w:val="0"/>
        </w:rPr>
        <w:t>Acta Neuropsychiatrica</w:t>
      </w:r>
      <w:r>
        <w:rPr>
          <w:kern w:val="0"/>
        </w:rPr>
        <w:t xml:space="preserve">, </w:t>
      </w:r>
      <w:r>
        <w:rPr>
          <w:b/>
          <w:bCs/>
          <w:kern w:val="0"/>
        </w:rPr>
        <w:t>27</w:t>
      </w:r>
      <w:r>
        <w:rPr>
          <w:kern w:val="0"/>
        </w:rPr>
        <w:t xml:space="preserve"> (2), 82-89.</w:t>
      </w:r>
    </w:p>
    <w:p w:rsidR="001C07A1" w:rsidRPr="001A3D2B" w:rsidRDefault="001C07A1" w:rsidP="001C07A1">
      <w:pPr>
        <w:pStyle w:val="a3"/>
      </w:pPr>
      <w:r>
        <w:rPr>
          <w:rFonts w:hint="eastAsia"/>
        </w:rPr>
        <w:t xml:space="preserve">Full Text: </w:t>
      </w:r>
      <w:hyperlink r:id="rId147" w:history="1">
        <w:r w:rsidRPr="00D663B1">
          <w:rPr>
            <w:rStyle w:val="a5"/>
          </w:rPr>
          <w:t>2015\Act Neu27, 82.pdf</w:t>
        </w:r>
      </w:hyperlink>
    </w:p>
    <w:p w:rsidR="001C07A1" w:rsidRDefault="001C07A1" w:rsidP="001C07A1">
      <w:pPr>
        <w:pStyle w:val="a3"/>
        <w:rPr>
          <w:kern w:val="0"/>
        </w:rPr>
      </w:pPr>
      <w:r>
        <w:rPr>
          <w:kern w:val="0"/>
        </w:rPr>
        <w:t>Abstract: Objectives: Previous studies have demonstrated inconsistent findings regarding the efficacy of low-frequency repetitive transcranial magnetic stimulation (rTMS) in treating motor symptoms of Parkinson’s disease (PD). Therefore, this meta-analysis was conducted to assess the efficacy of low-frequency rTMS. Methods: A comprehensive literature search (including PubMed, CCTR, Embase, Web of Science, CNKI, CBM-disc, NTIS, EAGLE, Clinical Trials, Current Controlled Trials, International Clinical Trials Registry) was conducted dating until June 2014. The key search terms (‘Parkinson’, ‘PD’, ‘transcranial magnetic stimulation’, ‘TMS’, ‘RTMS’ and ‘noninvasive brain stimulation’) produced eight high-quality randomised controlled trials (RCT) of low-frequency rTMS versus sham stimulation. Results: These eight studies, composed of 319 patients, were meta-analysed through assessment of the decreased Unified Parkinson’s Disease Rating Scale (UPDRS part III) score. Pooling of the results from these RCTs yielded an effect size of -0.40 (95% CI = -0.73 to -0.06, p&lt;0.05) in UPDRS part III, which indicated that low-frequency rTMS could have 5.05 (95% CI = -1.73 to -8.37) point decrease in UPDRS part III score than sham stimulation. Discussion: Low-frequency rTMS had a significant effect on motor signs in PD. As the number of RCTs and PD patients included here was limited, further large-scale multi-center RCTs were required to validate our conclusions.</w:t>
      </w:r>
    </w:p>
    <w:p w:rsidR="001C07A1" w:rsidRDefault="001C07A1" w:rsidP="001C07A1">
      <w:pPr>
        <w:pStyle w:val="a3"/>
        <w:rPr>
          <w:kern w:val="0"/>
        </w:rPr>
      </w:pPr>
      <w:r>
        <w:rPr>
          <w:kern w:val="0"/>
        </w:rPr>
        <w:t>Keywords: Assessment, Brain, Brain-Stimulation, Clinical Trials, Disease, Effect Size, Efficacy, From, Function, International, Literature, Literature Search, Magnetic, Magnetic Stimulation, Meta Analysis, Meta-Analysis, Metaanalysis, Methods, Motor Function, Parkinson’</w:t>
      </w:r>
      <w:r>
        <w:rPr>
          <w:rFonts w:hint="eastAsia"/>
          <w:kern w:val="0"/>
        </w:rPr>
        <w:t>s</w:t>
      </w:r>
      <w:r>
        <w:rPr>
          <w:kern w:val="0"/>
        </w:rPr>
        <w:t xml:space="preserve"> Disease, Patients, Pd, Pubmed, Randomised, Randomised </w:t>
      </w:r>
      <w:r>
        <w:rPr>
          <w:kern w:val="0"/>
        </w:rPr>
        <w:lastRenderedPageBreak/>
        <w:t>Controlled Trials, RCT, Repetitive Transcranial Magnetic Stimulation, Results, Rtms, Rtms, Safety, Scale, Science, Size, Symptoms, Therapy, Tms, Transcranial Magnetic Stimulation, Treating Major Depression, Web, Web Of Science</w:t>
      </w:r>
    </w:p>
    <w:p w:rsidR="006E167F" w:rsidRPr="00F219CA" w:rsidRDefault="006E167F" w:rsidP="006E167F">
      <w:pPr>
        <w:pStyle w:val="1"/>
      </w:pPr>
      <w:r w:rsidRPr="00F219CA">
        <w:br w:type="page"/>
      </w:r>
      <w:bookmarkStart w:id="72" w:name="_Toc420814269"/>
      <w:r w:rsidRPr="00F219CA">
        <w:lastRenderedPageBreak/>
        <w:t xml:space="preserve">Title: </w:t>
      </w:r>
      <w:r w:rsidRPr="00FC021B">
        <w:rPr>
          <w:iCs w:val="0"/>
        </w:rPr>
        <w:t>Acta Obstetricia et Gynecologica Scandinavica</w:t>
      </w:r>
      <w:bookmarkEnd w:id="72"/>
    </w:p>
    <w:p w:rsidR="006E167F" w:rsidRPr="00F219CA" w:rsidRDefault="006E167F" w:rsidP="006E167F">
      <w:pPr>
        <w:pStyle w:val="12"/>
      </w:pPr>
      <w:r w:rsidRPr="00F219CA">
        <w:t xml:space="preserve">Full Journal Title: </w:t>
      </w:r>
      <w:r w:rsidRPr="00FC021B">
        <w:rPr>
          <w:iCs/>
          <w:kern w:val="0"/>
        </w:rPr>
        <w:t>Acta Obstetricia et Gynecologica Scandinavica</w:t>
      </w:r>
    </w:p>
    <w:p w:rsidR="006E167F" w:rsidRPr="00F219CA" w:rsidRDefault="006E167F" w:rsidP="006E167F">
      <w:pPr>
        <w:pStyle w:val="12"/>
      </w:pPr>
      <w:r w:rsidRPr="00F219CA">
        <w:t xml:space="preserve">ISO Abbreviated Title: </w:t>
      </w:r>
    </w:p>
    <w:p w:rsidR="006E167F" w:rsidRPr="00F219CA" w:rsidRDefault="006E167F" w:rsidP="006E167F">
      <w:pPr>
        <w:pStyle w:val="12"/>
      </w:pPr>
      <w:r w:rsidRPr="00F219CA">
        <w:t xml:space="preserve">JCR Abbreviated Title: </w:t>
      </w:r>
    </w:p>
    <w:p w:rsidR="006E167F" w:rsidRPr="00F219CA" w:rsidRDefault="006E167F" w:rsidP="006E167F">
      <w:pPr>
        <w:pStyle w:val="12"/>
      </w:pPr>
      <w:r w:rsidRPr="00F219CA">
        <w:t>ISSN:</w:t>
      </w:r>
      <w:r>
        <w:rPr>
          <w:rFonts w:hint="eastAsia"/>
        </w:rPr>
        <w:t xml:space="preserve"> </w:t>
      </w:r>
    </w:p>
    <w:p w:rsidR="006E167F" w:rsidRPr="00F219CA" w:rsidRDefault="006E167F" w:rsidP="006E167F">
      <w:pPr>
        <w:pStyle w:val="12"/>
      </w:pPr>
      <w:r w:rsidRPr="00F219CA">
        <w:t xml:space="preserve">Issues/Year: </w:t>
      </w:r>
    </w:p>
    <w:p w:rsidR="006E167F" w:rsidRPr="00F219CA" w:rsidRDefault="006E167F" w:rsidP="006E167F">
      <w:pPr>
        <w:pStyle w:val="12"/>
      </w:pPr>
      <w:r w:rsidRPr="00F219CA">
        <w:t xml:space="preserve">Journal Country/Territory: </w:t>
      </w:r>
    </w:p>
    <w:p w:rsidR="006E167F" w:rsidRPr="00F219CA" w:rsidRDefault="006E167F" w:rsidP="006E167F">
      <w:pPr>
        <w:pStyle w:val="12"/>
      </w:pPr>
      <w:r w:rsidRPr="00F219CA">
        <w:t xml:space="preserve">Language: </w:t>
      </w:r>
    </w:p>
    <w:p w:rsidR="006E167F" w:rsidRPr="00F219CA" w:rsidRDefault="006E167F" w:rsidP="006E167F">
      <w:pPr>
        <w:pStyle w:val="12"/>
      </w:pPr>
      <w:r w:rsidRPr="00F219CA">
        <w:t xml:space="preserve">Publisher: </w:t>
      </w:r>
    </w:p>
    <w:p w:rsidR="006E167F" w:rsidRPr="00F219CA" w:rsidRDefault="006E167F" w:rsidP="006E167F">
      <w:pPr>
        <w:pStyle w:val="12"/>
      </w:pPr>
      <w:r w:rsidRPr="00F219CA">
        <w:t xml:space="preserve">Publisher Address: </w:t>
      </w:r>
    </w:p>
    <w:p w:rsidR="006E167F" w:rsidRPr="00F219CA" w:rsidRDefault="006E167F" w:rsidP="006E167F">
      <w:pPr>
        <w:pStyle w:val="12"/>
      </w:pPr>
      <w:r w:rsidRPr="00F219CA">
        <w:t xml:space="preserve">Subject Categories: </w:t>
      </w:r>
    </w:p>
    <w:p w:rsidR="006E167F" w:rsidRPr="00F219CA" w:rsidRDefault="006E167F" w:rsidP="006E167F">
      <w:pPr>
        <w:pStyle w:val="12"/>
      </w:pPr>
      <w:r w:rsidRPr="00F219CA">
        <w:t xml:space="preserve">: Impact Factor </w:t>
      </w:r>
    </w:p>
    <w:p w:rsidR="006E167F" w:rsidRDefault="006E167F" w:rsidP="006E167F">
      <w:pPr>
        <w:pStyle w:val="a3"/>
        <w:rPr>
          <w:kern w:val="0"/>
        </w:rPr>
      </w:pPr>
      <w:r>
        <w:rPr>
          <w:rFonts w:hint="eastAsia"/>
          <w:kern w:val="0"/>
        </w:rPr>
        <w:t xml:space="preserve">? </w:t>
      </w:r>
      <w:r>
        <w:rPr>
          <w:kern w:val="0"/>
        </w:rPr>
        <w:t>Tummon, I., Gavrilova-Jordan, L., Allemand, M.C.</w:t>
      </w:r>
      <w:r w:rsidR="005853A9">
        <w:rPr>
          <w:kern w:val="0"/>
        </w:rPr>
        <w:t xml:space="preserve"> and </w:t>
      </w:r>
      <w:r>
        <w:rPr>
          <w:kern w:val="0"/>
        </w:rPr>
        <w:t>Session, D. (2005), Polycystic ovaries</w:t>
      </w:r>
      <w:r w:rsidR="005853A9">
        <w:rPr>
          <w:kern w:val="0"/>
        </w:rPr>
        <w:t xml:space="preserve"> and </w:t>
      </w:r>
      <w:r>
        <w:rPr>
          <w:kern w:val="0"/>
        </w:rPr>
        <w:t xml:space="preserve">ovarian hyperstimulation syndrome: A systematic review. </w:t>
      </w:r>
      <w:r w:rsidRPr="00FC021B">
        <w:rPr>
          <w:i/>
          <w:iCs/>
          <w:kern w:val="0"/>
        </w:rPr>
        <w:t>Acta Obstetricia et Gynecologica Scandinavica</w:t>
      </w:r>
      <w:r>
        <w:rPr>
          <w:kern w:val="0"/>
        </w:rPr>
        <w:t xml:space="preserve">, </w:t>
      </w:r>
      <w:r>
        <w:rPr>
          <w:b/>
          <w:bCs/>
          <w:kern w:val="0"/>
        </w:rPr>
        <w:t>84</w:t>
      </w:r>
      <w:r>
        <w:rPr>
          <w:kern w:val="0"/>
        </w:rPr>
        <w:t xml:space="preserve"> (7), 611-616.</w:t>
      </w:r>
    </w:p>
    <w:p w:rsidR="006E167F" w:rsidRDefault="006E167F" w:rsidP="006E167F">
      <w:pPr>
        <w:pStyle w:val="a3"/>
        <w:rPr>
          <w:kern w:val="0"/>
        </w:rPr>
      </w:pPr>
      <w:r>
        <w:rPr>
          <w:rFonts w:hint="eastAsia"/>
          <w:kern w:val="0"/>
        </w:rPr>
        <w:t xml:space="preserve">Full Text: </w:t>
      </w:r>
      <w:hyperlink r:id="rId148" w:history="1">
        <w:r w:rsidRPr="001E7408">
          <w:rPr>
            <w:rStyle w:val="a5"/>
            <w:kern w:val="0"/>
          </w:rPr>
          <w:t>2005\Act Obs Gyn Sca84, 611.pdf</w:t>
        </w:r>
      </w:hyperlink>
    </w:p>
    <w:p w:rsidR="006E167F" w:rsidRDefault="006E167F" w:rsidP="006E167F">
      <w:pPr>
        <w:pStyle w:val="a3"/>
        <w:rPr>
          <w:kern w:val="0"/>
        </w:rPr>
      </w:pPr>
      <w:r>
        <w:rPr>
          <w:kern w:val="0"/>
        </w:rPr>
        <w:t>Abstract: Objectives. To assess</w:t>
      </w:r>
      <w:r w:rsidR="005853A9">
        <w:rPr>
          <w:kern w:val="0"/>
        </w:rPr>
        <w:t xml:space="preserve"> and </w:t>
      </w:r>
      <w:r>
        <w:rPr>
          <w:kern w:val="0"/>
        </w:rPr>
        <w:t>quantify</w:t>
      </w:r>
      <w:r w:rsidR="003A1917">
        <w:rPr>
          <w:kern w:val="0"/>
        </w:rPr>
        <w:t xml:space="preserve"> the </w:t>
      </w:r>
      <w:r>
        <w:rPr>
          <w:kern w:val="0"/>
        </w:rPr>
        <w:t>relationship between polycystic ovaries (PCOs)</w:t>
      </w:r>
      <w:r w:rsidR="005853A9">
        <w:rPr>
          <w:kern w:val="0"/>
        </w:rPr>
        <w:t xml:space="preserve"> and </w:t>
      </w:r>
      <w:r>
        <w:rPr>
          <w:kern w:val="0"/>
        </w:rPr>
        <w:t xml:space="preserve">ovarian hyperstimulation syndrome (OHSS). Data Sources. Published studies, any language, identified through </w:t>
      </w:r>
      <w:r w:rsidR="00D5664A">
        <w:rPr>
          <w:kern w:val="0"/>
        </w:rPr>
        <w:t>MEDLINE</w:t>
      </w:r>
      <w:r>
        <w:rPr>
          <w:kern w:val="0"/>
        </w:rPr>
        <w:t xml:space="preserve">, EMBASE, BIOSIS,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bibliographies. Studies were selected if exposure (ultrasound findings</w:t>
      </w:r>
      <w:r w:rsidR="00427468">
        <w:rPr>
          <w:kern w:val="0"/>
        </w:rPr>
        <w:t xml:space="preserve"> of </w:t>
      </w:r>
      <w:r>
        <w:rPr>
          <w:kern w:val="0"/>
        </w:rPr>
        <w:t>PCO before treatment)</w:t>
      </w:r>
      <w:r w:rsidR="005853A9">
        <w:rPr>
          <w:kern w:val="0"/>
        </w:rPr>
        <w:t xml:space="preserve"> and </w:t>
      </w:r>
      <w:r>
        <w:rPr>
          <w:kern w:val="0"/>
        </w:rPr>
        <w:t>outcome (OHSS) could be abstracted to two-by-two tables. Results. Ten studies, meeting inclusion</w:t>
      </w:r>
      <w:r w:rsidR="005853A9">
        <w:rPr>
          <w:kern w:val="0"/>
        </w:rPr>
        <w:t xml:space="preserve"> and </w:t>
      </w:r>
      <w:r>
        <w:rPr>
          <w:kern w:val="0"/>
        </w:rPr>
        <w:t>exclusion criteria, were analyzed. When PCO were present,</w:t>
      </w:r>
      <w:r w:rsidR="003A1917">
        <w:rPr>
          <w:kern w:val="0"/>
        </w:rPr>
        <w:t xml:space="preserve"> the </w:t>
      </w:r>
      <w:r>
        <w:rPr>
          <w:kern w:val="0"/>
        </w:rPr>
        <w:t>combined odds ratio for OHSS was 6.8 (95% confidence interval 4.9-9.6). Conclusion</w:t>
      </w:r>
      <w:r w:rsidR="00A37C1D">
        <w:rPr>
          <w:kern w:val="0"/>
        </w:rPr>
        <w:t>. The</w:t>
      </w:r>
      <w:r>
        <w:rPr>
          <w:kern w:val="0"/>
        </w:rPr>
        <w:t>re is a significant</w:t>
      </w:r>
      <w:r w:rsidR="005853A9">
        <w:rPr>
          <w:kern w:val="0"/>
        </w:rPr>
        <w:t xml:space="preserve"> and </w:t>
      </w:r>
      <w:r>
        <w:rPr>
          <w:kern w:val="0"/>
        </w:rPr>
        <w:t>consistent relationship between PCO</w:t>
      </w:r>
      <w:r w:rsidR="005853A9">
        <w:rPr>
          <w:kern w:val="0"/>
        </w:rPr>
        <w:t xml:space="preserve"> and </w:t>
      </w:r>
      <w:r>
        <w:rPr>
          <w:kern w:val="0"/>
        </w:rPr>
        <w:t>OHSS. When PCO are present before treatment with assisted reproduction, deliberate policies to moderate treatment appear justified.</w:t>
      </w:r>
    </w:p>
    <w:p w:rsidR="006E167F" w:rsidRDefault="006E167F" w:rsidP="006E167F">
      <w:pPr>
        <w:pStyle w:val="a3"/>
        <w:rPr>
          <w:kern w:val="0"/>
        </w:rPr>
      </w:pPr>
      <w:r>
        <w:rPr>
          <w:kern w:val="0"/>
        </w:rPr>
        <w:t xml:space="preserve">Keywords: Embase, Features, Gonadotropin-Releasing-Hormone, In-Vitro Fertilization, Invitro Fertilization, </w:t>
      </w:r>
      <w:r w:rsidR="00D5664A">
        <w:rPr>
          <w:kern w:val="0"/>
        </w:rPr>
        <w:t>MEDLINE</w:t>
      </w:r>
      <w:r>
        <w:rPr>
          <w:kern w:val="0"/>
        </w:rPr>
        <w:t xml:space="preserve">, Morphology, Number, Outcome, Ovarian Hyperstimulation Syndrome, Policies, Polycystic Ovaries, Pregnancy, Ratio, Reproduction, Review, Risk-Factors, Science, Sources, Stimulation, Systematic, Systematic Review, Treatment, Ultrasonography, Ultrasound, </w:t>
      </w:r>
      <w:r w:rsidR="00D5664A">
        <w:rPr>
          <w:kern w:val="0"/>
        </w:rPr>
        <w:t>Web</w:t>
      </w:r>
      <w:r w:rsidR="00427468">
        <w:rPr>
          <w:kern w:val="0"/>
        </w:rPr>
        <w:t xml:space="preserve"> of </w:t>
      </w:r>
      <w:r w:rsidR="00D5664A">
        <w:rPr>
          <w:kern w:val="0"/>
        </w:rPr>
        <w:t>Science</w:t>
      </w:r>
      <w:r>
        <w:rPr>
          <w:kern w:val="0"/>
        </w:rPr>
        <w:t>, Women</w:t>
      </w:r>
    </w:p>
    <w:p w:rsidR="006E167F" w:rsidRDefault="006E167F" w:rsidP="006E167F">
      <w:pPr>
        <w:pStyle w:val="a3"/>
        <w:rPr>
          <w:kern w:val="0"/>
        </w:rPr>
      </w:pPr>
      <w:r>
        <w:rPr>
          <w:rFonts w:hint="eastAsia"/>
          <w:kern w:val="0"/>
        </w:rPr>
        <w:t xml:space="preserve">? </w:t>
      </w:r>
      <w:r>
        <w:rPr>
          <w:kern w:val="0"/>
        </w:rPr>
        <w:t>Hansen, A.K., Wisborg, K., Uldbjerg, N.</w:t>
      </w:r>
      <w:r w:rsidR="005853A9">
        <w:rPr>
          <w:kern w:val="0"/>
        </w:rPr>
        <w:t xml:space="preserve"> and </w:t>
      </w:r>
      <w:r>
        <w:rPr>
          <w:kern w:val="0"/>
        </w:rPr>
        <w:t>Henriksen, T.B. (2007), Elective caesarean section</w:t>
      </w:r>
      <w:r w:rsidR="005853A9">
        <w:rPr>
          <w:kern w:val="0"/>
        </w:rPr>
        <w:t xml:space="preserve"> and </w:t>
      </w:r>
      <w:r>
        <w:rPr>
          <w:kern w:val="0"/>
        </w:rPr>
        <w:t>respiratory morbidity in</w:t>
      </w:r>
      <w:r w:rsidR="003A1917">
        <w:rPr>
          <w:kern w:val="0"/>
        </w:rPr>
        <w:t xml:space="preserve"> the </w:t>
      </w:r>
      <w:r>
        <w:rPr>
          <w:kern w:val="0"/>
        </w:rPr>
        <w:t>term</w:t>
      </w:r>
      <w:r w:rsidR="005853A9">
        <w:rPr>
          <w:kern w:val="0"/>
        </w:rPr>
        <w:t xml:space="preserve"> and </w:t>
      </w:r>
      <w:r>
        <w:rPr>
          <w:kern w:val="0"/>
        </w:rPr>
        <w:t xml:space="preserve">near-term neonate. </w:t>
      </w:r>
      <w:r>
        <w:rPr>
          <w:i/>
          <w:iCs/>
          <w:kern w:val="0"/>
        </w:rPr>
        <w:t>Acta Obstetricia et Gynecologica Scandinavica</w:t>
      </w:r>
      <w:r>
        <w:rPr>
          <w:kern w:val="0"/>
        </w:rPr>
        <w:t xml:space="preserve">, </w:t>
      </w:r>
      <w:r>
        <w:rPr>
          <w:b/>
          <w:bCs/>
          <w:kern w:val="0"/>
        </w:rPr>
        <w:t>86</w:t>
      </w:r>
      <w:r>
        <w:rPr>
          <w:kern w:val="0"/>
        </w:rPr>
        <w:t xml:space="preserve"> (4), 389-394.</w:t>
      </w:r>
    </w:p>
    <w:p w:rsidR="006E167F" w:rsidRDefault="006E167F" w:rsidP="006E167F">
      <w:pPr>
        <w:pStyle w:val="a3"/>
        <w:rPr>
          <w:kern w:val="0"/>
        </w:rPr>
      </w:pPr>
      <w:r>
        <w:rPr>
          <w:rFonts w:hint="eastAsia"/>
          <w:kern w:val="0"/>
        </w:rPr>
        <w:t xml:space="preserve">Full Text: </w:t>
      </w:r>
      <w:hyperlink r:id="rId149" w:history="1">
        <w:r w:rsidRPr="004B4995">
          <w:rPr>
            <w:rStyle w:val="a5"/>
            <w:kern w:val="0"/>
          </w:rPr>
          <w:t>2007\Act Obs Gyn Sca86, 389.pdf</w:t>
        </w:r>
      </w:hyperlink>
    </w:p>
    <w:p w:rsidR="006E167F" w:rsidRDefault="006E167F" w:rsidP="006E167F">
      <w:pPr>
        <w:pStyle w:val="a3"/>
        <w:rPr>
          <w:kern w:val="0"/>
        </w:rPr>
      </w:pPr>
      <w:r>
        <w:rPr>
          <w:kern w:val="0"/>
        </w:rPr>
        <w:t>Abstract: Aim</w:t>
      </w:r>
      <w:r w:rsidR="00A37C1D">
        <w:rPr>
          <w:kern w:val="0"/>
        </w:rPr>
        <w:t>. The</w:t>
      </w:r>
      <w:r w:rsidR="003A1917">
        <w:rPr>
          <w:kern w:val="0"/>
        </w:rPr>
        <w:t xml:space="preserve"> </w:t>
      </w:r>
      <w:r>
        <w:rPr>
          <w:kern w:val="0"/>
        </w:rPr>
        <w:t>aim</w:t>
      </w:r>
      <w:r w:rsidR="00427468">
        <w:rPr>
          <w:kern w:val="0"/>
        </w:rPr>
        <w:t xml:space="preserve"> of </w:t>
      </w:r>
      <w:r>
        <w:rPr>
          <w:kern w:val="0"/>
        </w:rPr>
        <w:t>this review was to assess</w:t>
      </w:r>
      <w:r w:rsidR="003A1917">
        <w:rPr>
          <w:kern w:val="0"/>
        </w:rPr>
        <w:t xml:space="preserve"> the </w:t>
      </w:r>
      <w:r>
        <w:rPr>
          <w:kern w:val="0"/>
        </w:rPr>
        <w:t xml:space="preserve">relationship between delivery </w:t>
      </w:r>
      <w:r>
        <w:rPr>
          <w:kern w:val="0"/>
        </w:rPr>
        <w:lastRenderedPageBreak/>
        <w:t>by elective caesarean section</w:t>
      </w:r>
      <w:r w:rsidR="005853A9">
        <w:rPr>
          <w:kern w:val="0"/>
        </w:rPr>
        <w:t xml:space="preserve"> and </w:t>
      </w:r>
      <w:r>
        <w:rPr>
          <w:kern w:val="0"/>
        </w:rPr>
        <w:t>respiratory morbidity in</w:t>
      </w:r>
      <w:r w:rsidR="003A1917">
        <w:rPr>
          <w:kern w:val="0"/>
        </w:rPr>
        <w:t xml:space="preserve"> the </w:t>
      </w:r>
      <w:r>
        <w:rPr>
          <w:kern w:val="0"/>
        </w:rPr>
        <w:t>term</w:t>
      </w:r>
      <w:r w:rsidR="005853A9">
        <w:rPr>
          <w:kern w:val="0"/>
        </w:rPr>
        <w:t xml:space="preserve"> and </w:t>
      </w:r>
      <w:r>
        <w:rPr>
          <w:kern w:val="0"/>
        </w:rPr>
        <w:t>near-term neonate. Methods. Searches were made in</w:t>
      </w:r>
      <w:r w:rsidR="003A1917">
        <w:rPr>
          <w:kern w:val="0"/>
        </w:rPr>
        <w:t xml:space="preserve"> the </w:t>
      </w:r>
      <w:r w:rsidR="00D5664A">
        <w:rPr>
          <w:kern w:val="0"/>
        </w:rPr>
        <w:t>MEDLINE</w:t>
      </w:r>
      <w:r>
        <w:rPr>
          <w:kern w:val="0"/>
        </w:rPr>
        <w:t xml:space="preserve"> database, EMBASE, Cochrane database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to identify peer-reviewed studies in English on elective caesarean section</w:t>
      </w:r>
      <w:r w:rsidR="005853A9">
        <w:rPr>
          <w:kern w:val="0"/>
        </w:rPr>
        <w:t xml:space="preserve"> and </w:t>
      </w:r>
      <w:r>
        <w:rPr>
          <w:kern w:val="0"/>
        </w:rPr>
        <w:t>respiratory morbidity in</w:t>
      </w:r>
      <w:r w:rsidR="003A1917">
        <w:rPr>
          <w:kern w:val="0"/>
        </w:rPr>
        <w:t xml:space="preserve"> the </w:t>
      </w:r>
      <w:r>
        <w:rPr>
          <w:kern w:val="0"/>
        </w:rPr>
        <w:t>newborn. We included studies that compared elective caesarean section to vaginal or intended vaginal delivery, with clear definition</w:t>
      </w:r>
      <w:r w:rsidR="00427468">
        <w:rPr>
          <w:kern w:val="0"/>
        </w:rPr>
        <w:t xml:space="preserve"> of </w:t>
      </w:r>
      <w:r>
        <w:rPr>
          <w:kern w:val="0"/>
        </w:rPr>
        <w:t>outcome measures</w:t>
      </w:r>
      <w:r w:rsidR="005853A9">
        <w:rPr>
          <w:kern w:val="0"/>
        </w:rPr>
        <w:t xml:space="preserve"> and </w:t>
      </w:r>
      <w:r>
        <w:rPr>
          <w:kern w:val="0"/>
        </w:rPr>
        <w:t>information about gestational age. Results. Nine eligible studies were identified. All studies found that delivery by elective caesarean section increased</w:t>
      </w:r>
      <w:r w:rsidR="003A1917">
        <w:rPr>
          <w:kern w:val="0"/>
        </w:rPr>
        <w:t xml:space="preserve"> the </w:t>
      </w:r>
      <w:r>
        <w:rPr>
          <w:kern w:val="0"/>
        </w:rPr>
        <w:t>risk</w:t>
      </w:r>
      <w:r w:rsidR="00427468">
        <w:rPr>
          <w:kern w:val="0"/>
        </w:rPr>
        <w:t xml:space="preserve"> of </w:t>
      </w:r>
      <w:r>
        <w:rPr>
          <w:kern w:val="0"/>
        </w:rPr>
        <w:t>various respiratory morbidities in</w:t>
      </w:r>
      <w:r w:rsidR="003A1917">
        <w:rPr>
          <w:kern w:val="0"/>
        </w:rPr>
        <w:t xml:space="preserve"> the </w:t>
      </w:r>
      <w:r>
        <w:rPr>
          <w:kern w:val="0"/>
        </w:rPr>
        <w:t>newborn near term compared with vaginal delivery, although</w:t>
      </w:r>
      <w:r w:rsidR="003A1917">
        <w:rPr>
          <w:kern w:val="0"/>
        </w:rPr>
        <w:t xml:space="preserve"> the </w:t>
      </w:r>
      <w:r>
        <w:rPr>
          <w:kern w:val="0"/>
        </w:rPr>
        <w:t>findings were not statistically significant in all studies. It was inappropriate to carry out a meta-analysis with a pooled risk estimate because</w:t>
      </w:r>
      <w:r w:rsidR="00427468">
        <w:rPr>
          <w:kern w:val="0"/>
        </w:rPr>
        <w:t xml:space="preserve"> of </w:t>
      </w:r>
      <w:r>
        <w:rPr>
          <w:kern w:val="0"/>
        </w:rPr>
        <w:t>a variety</w:t>
      </w:r>
      <w:r w:rsidR="00427468">
        <w:rPr>
          <w:kern w:val="0"/>
        </w:rPr>
        <w:t xml:space="preserve"> of </w:t>
      </w:r>
      <w:r>
        <w:rPr>
          <w:kern w:val="0"/>
        </w:rPr>
        <w:t>methodological differences between</w:t>
      </w:r>
      <w:r w:rsidR="003A1917">
        <w:rPr>
          <w:kern w:val="0"/>
        </w:rPr>
        <w:t xml:space="preserve"> the </w:t>
      </w:r>
      <w:r>
        <w:rPr>
          <w:kern w:val="0"/>
        </w:rPr>
        <w:t>studies</w:t>
      </w:r>
      <w:r w:rsidR="00A37C1D">
        <w:rPr>
          <w:kern w:val="0"/>
        </w:rPr>
        <w:t>. The</w:t>
      </w:r>
      <w:r w:rsidR="003A1917">
        <w:rPr>
          <w:kern w:val="0"/>
        </w:rPr>
        <w:t xml:space="preserve"> </w:t>
      </w:r>
      <w:r>
        <w:rPr>
          <w:kern w:val="0"/>
        </w:rPr>
        <w:t>overall risk for respiratory morbidity, however, seemed to increase about 2 to 3 times, though some studies presented much higher risk estimates. A decreasing risk with increasing gestational age was shown in 2 studies. Conclusion. Delivery by elective caesarean section was shown to increase</w:t>
      </w:r>
      <w:r w:rsidR="003A1917">
        <w:rPr>
          <w:kern w:val="0"/>
        </w:rPr>
        <w:t xml:space="preserve"> the </w:t>
      </w:r>
      <w:r>
        <w:rPr>
          <w:kern w:val="0"/>
        </w:rPr>
        <w:t>risk</w:t>
      </w:r>
      <w:r w:rsidR="00427468">
        <w:rPr>
          <w:kern w:val="0"/>
        </w:rPr>
        <w:t xml:space="preserve"> of </w:t>
      </w:r>
      <w:r>
        <w:rPr>
          <w:kern w:val="0"/>
        </w:rPr>
        <w:t>respiratory morbidity in all studies eligible for inclusion</w:t>
      </w:r>
      <w:r w:rsidR="00A37C1D">
        <w:rPr>
          <w:kern w:val="0"/>
        </w:rPr>
        <w:t>. The</w:t>
      </w:r>
      <w:r w:rsidR="003A1917">
        <w:rPr>
          <w:kern w:val="0"/>
        </w:rPr>
        <w:t xml:space="preserve"> </w:t>
      </w:r>
      <w:r>
        <w:rPr>
          <w:kern w:val="0"/>
        </w:rPr>
        <w:t>magnitude</w:t>
      </w:r>
      <w:r w:rsidR="00427468">
        <w:rPr>
          <w:kern w:val="0"/>
        </w:rPr>
        <w:t xml:space="preserve"> of </w:t>
      </w:r>
      <w:r>
        <w:rPr>
          <w:kern w:val="0"/>
        </w:rPr>
        <w:t>this relative risk seemed to depend on gestational age even in deliveries after 37 completed weeks</w:t>
      </w:r>
      <w:r w:rsidR="00427468">
        <w:rPr>
          <w:kern w:val="0"/>
        </w:rPr>
        <w:t xml:space="preserve"> of </w:t>
      </w:r>
      <w:r>
        <w:rPr>
          <w:kern w:val="0"/>
        </w:rPr>
        <w:t>gestation.</w:t>
      </w:r>
    </w:p>
    <w:p w:rsidR="006E167F" w:rsidRDefault="006E167F" w:rsidP="006E167F">
      <w:pPr>
        <w:pStyle w:val="a3"/>
        <w:rPr>
          <w:kern w:val="0"/>
        </w:rPr>
      </w:pPr>
      <w:r>
        <w:rPr>
          <w:kern w:val="0"/>
        </w:rPr>
        <w:t xml:space="preserve">Keywords: Cochrane, Delivery, Distress Syndrome, Elective Caesarean Section, Embase, Gestational-Age, Infants, Information, Labor, </w:t>
      </w:r>
      <w:r w:rsidR="00D5664A">
        <w:rPr>
          <w:kern w:val="0"/>
        </w:rPr>
        <w:t>MEDLINE</w:t>
      </w:r>
      <w:r>
        <w:rPr>
          <w:kern w:val="0"/>
        </w:rPr>
        <w:t>, Meta-Analysis, Methods, Mode, Morbidity, Outcome, Relative Risk, Respiratory Morbidity in</w:t>
      </w:r>
      <w:r w:rsidR="003A1917">
        <w:rPr>
          <w:kern w:val="0"/>
        </w:rPr>
        <w:t xml:space="preserve"> the </w:t>
      </w:r>
      <w:r>
        <w:rPr>
          <w:kern w:val="0"/>
        </w:rPr>
        <w:t xml:space="preserve">Newborn, Review, Risk, Route, Science, Systematic Review, Trial, </w:t>
      </w:r>
      <w:r w:rsidR="00D5664A">
        <w:rPr>
          <w:kern w:val="0"/>
        </w:rPr>
        <w:t>Web</w:t>
      </w:r>
      <w:r w:rsidR="00427468">
        <w:rPr>
          <w:kern w:val="0"/>
        </w:rPr>
        <w:t xml:space="preserve"> of </w:t>
      </w:r>
      <w:r w:rsidR="00D5664A">
        <w:rPr>
          <w:kern w:val="0"/>
        </w:rPr>
        <w:t>Science</w:t>
      </w:r>
    </w:p>
    <w:p w:rsidR="006E167F" w:rsidRDefault="006E167F" w:rsidP="006E167F">
      <w:pPr>
        <w:pStyle w:val="a3"/>
        <w:rPr>
          <w:kern w:val="0"/>
        </w:rPr>
      </w:pPr>
      <w:r>
        <w:rPr>
          <w:rFonts w:hint="eastAsia"/>
          <w:kern w:val="0"/>
        </w:rPr>
        <w:t xml:space="preserve">? </w:t>
      </w:r>
      <w:r>
        <w:rPr>
          <w:kern w:val="0"/>
        </w:rPr>
        <w:t>Sandven, I., Abdelnoor, M., Nesheim, B.I.</w:t>
      </w:r>
      <w:r w:rsidR="005853A9">
        <w:rPr>
          <w:kern w:val="0"/>
        </w:rPr>
        <w:t xml:space="preserve"> and </w:t>
      </w:r>
      <w:r>
        <w:rPr>
          <w:kern w:val="0"/>
        </w:rPr>
        <w:t xml:space="preserve">Melby, K.K. (2009), </w:t>
      </w:r>
      <w:r w:rsidRPr="004B4995">
        <w:rPr>
          <w:i/>
          <w:kern w:val="0"/>
        </w:rPr>
        <w:t>Helicobacter pylori</w:t>
      </w:r>
      <w:r>
        <w:rPr>
          <w:kern w:val="0"/>
        </w:rPr>
        <w:t xml:space="preserve"> infection</w:t>
      </w:r>
      <w:r w:rsidR="005853A9">
        <w:rPr>
          <w:kern w:val="0"/>
        </w:rPr>
        <w:t xml:space="preserve"> and </w:t>
      </w:r>
      <w:r>
        <w:rPr>
          <w:kern w:val="0"/>
        </w:rPr>
        <w:t>hyperemesis gravidarum: A systematic review</w:t>
      </w:r>
      <w:r w:rsidR="005853A9">
        <w:rPr>
          <w:kern w:val="0"/>
        </w:rPr>
        <w:t xml:space="preserve"> and </w:t>
      </w:r>
      <w:r>
        <w:rPr>
          <w:kern w:val="0"/>
        </w:rPr>
        <w:t>meta-analysis</w:t>
      </w:r>
      <w:r w:rsidR="00427468">
        <w:rPr>
          <w:kern w:val="0"/>
        </w:rPr>
        <w:t xml:space="preserve"> of </w:t>
      </w:r>
      <w:r>
        <w:rPr>
          <w:kern w:val="0"/>
        </w:rPr>
        <w:t xml:space="preserve">case-control studies. </w:t>
      </w:r>
      <w:r>
        <w:rPr>
          <w:i/>
          <w:iCs/>
          <w:kern w:val="0"/>
        </w:rPr>
        <w:t>Acta Obstetricia et Gynecologica Scandinavica</w:t>
      </w:r>
      <w:r>
        <w:rPr>
          <w:kern w:val="0"/>
        </w:rPr>
        <w:t xml:space="preserve">, </w:t>
      </w:r>
      <w:r>
        <w:rPr>
          <w:b/>
          <w:bCs/>
          <w:kern w:val="0"/>
        </w:rPr>
        <w:t>88</w:t>
      </w:r>
      <w:r>
        <w:rPr>
          <w:kern w:val="0"/>
        </w:rPr>
        <w:t xml:space="preserve"> (11), 1190-1200.</w:t>
      </w:r>
    </w:p>
    <w:p w:rsidR="006E167F" w:rsidRDefault="006E167F" w:rsidP="006E167F">
      <w:pPr>
        <w:pStyle w:val="a3"/>
        <w:rPr>
          <w:kern w:val="0"/>
        </w:rPr>
      </w:pPr>
      <w:r>
        <w:rPr>
          <w:rFonts w:hint="eastAsia"/>
          <w:kern w:val="0"/>
        </w:rPr>
        <w:t xml:space="preserve">Full Text: </w:t>
      </w:r>
      <w:hyperlink r:id="rId150" w:history="1">
        <w:r w:rsidRPr="004B4995">
          <w:rPr>
            <w:rStyle w:val="a5"/>
            <w:kern w:val="0"/>
          </w:rPr>
          <w:t>2009\Act Obs Gyn Sca88, 1190.pdf</w:t>
        </w:r>
      </w:hyperlink>
    </w:p>
    <w:p w:rsidR="006E167F" w:rsidRDefault="006E167F" w:rsidP="006E167F">
      <w:pPr>
        <w:pStyle w:val="a3"/>
        <w:rPr>
          <w:kern w:val="0"/>
        </w:rPr>
      </w:pPr>
      <w:r>
        <w:rPr>
          <w:kern w:val="0"/>
        </w:rPr>
        <w:t>Abstract: Objective. To summarize</w:t>
      </w:r>
      <w:r w:rsidR="003A1917">
        <w:rPr>
          <w:kern w:val="0"/>
        </w:rPr>
        <w:t xml:space="preserve"> the </w:t>
      </w:r>
      <w:r>
        <w:rPr>
          <w:kern w:val="0"/>
        </w:rPr>
        <w:t>evidence from epidemiological studies examining</w:t>
      </w:r>
      <w:r w:rsidR="003A1917">
        <w:rPr>
          <w:kern w:val="0"/>
        </w:rPr>
        <w:t xml:space="preserve"> the </w:t>
      </w:r>
      <w:r>
        <w:rPr>
          <w:kern w:val="0"/>
        </w:rPr>
        <w:t>association between Helicobacter pylori infection</w:t>
      </w:r>
      <w:r w:rsidR="005853A9">
        <w:rPr>
          <w:kern w:val="0"/>
        </w:rPr>
        <w:t xml:space="preserve"> and </w:t>
      </w:r>
      <w:r>
        <w:rPr>
          <w:kern w:val="0"/>
        </w:rPr>
        <w:t>hyperemesis gravidarum. Design. Systematic review</w:t>
      </w:r>
      <w:r w:rsidR="005853A9">
        <w:rPr>
          <w:kern w:val="0"/>
        </w:rPr>
        <w:t xml:space="preserve"> and </w:t>
      </w:r>
      <w:r>
        <w:rPr>
          <w:kern w:val="0"/>
        </w:rPr>
        <w:t>meta-analysis</w:t>
      </w:r>
      <w:r w:rsidR="00427468">
        <w:rPr>
          <w:kern w:val="0"/>
        </w:rPr>
        <w:t xml:space="preserve"> of </w:t>
      </w:r>
      <w:r>
        <w:rPr>
          <w:kern w:val="0"/>
        </w:rPr>
        <w:t>case-control studies. Material</w:t>
      </w:r>
      <w:r w:rsidR="005853A9">
        <w:rPr>
          <w:kern w:val="0"/>
        </w:rPr>
        <w:t xml:space="preserve"> and </w:t>
      </w:r>
      <w:r>
        <w:rPr>
          <w:kern w:val="0"/>
        </w:rPr>
        <w:t>methods. We searched</w:t>
      </w:r>
      <w:r w:rsidR="003A1917">
        <w:rPr>
          <w:kern w:val="0"/>
        </w:rPr>
        <w:t xml:space="preserve"> the </w:t>
      </w:r>
      <w:r w:rsidR="00D5664A">
        <w:rPr>
          <w:kern w:val="0"/>
        </w:rPr>
        <w:t>MEDLINE</w:t>
      </w:r>
      <w:r>
        <w:rPr>
          <w:kern w:val="0"/>
        </w:rPr>
        <w:t>/</w:t>
      </w:r>
      <w:r w:rsidR="002C12F0">
        <w:rPr>
          <w:kern w:val="0"/>
        </w:rPr>
        <w:t>PUBMED</w:t>
      </w:r>
      <w:r>
        <w:rPr>
          <w:kern w:val="0"/>
        </w:rPr>
        <w:t xml:space="preserve">, Embase, Cinahl,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Biological Abstracts databases from 1966 to 17 June 2008</w:t>
      </w:r>
      <w:r w:rsidR="005853A9">
        <w:rPr>
          <w:kern w:val="0"/>
        </w:rPr>
        <w:t xml:space="preserve"> and </w:t>
      </w:r>
      <w:r>
        <w:rPr>
          <w:kern w:val="0"/>
        </w:rPr>
        <w:t>finally Google Scholar. A total</w:t>
      </w:r>
      <w:r w:rsidR="00427468">
        <w:rPr>
          <w:kern w:val="0"/>
        </w:rPr>
        <w:t xml:space="preserve"> of </w:t>
      </w:r>
      <w:r>
        <w:rPr>
          <w:kern w:val="0"/>
        </w:rPr>
        <w:t>25 case-control studies were identified. Both fixed-effect</w:t>
      </w:r>
      <w:r w:rsidR="005853A9">
        <w:rPr>
          <w:kern w:val="0"/>
        </w:rPr>
        <w:t xml:space="preserve"> and </w:t>
      </w:r>
      <w:r>
        <w:rPr>
          <w:kern w:val="0"/>
        </w:rPr>
        <w:t>random-effect models were used to synthesize</w:t>
      </w:r>
      <w:r w:rsidR="003A1917">
        <w:rPr>
          <w:kern w:val="0"/>
        </w:rPr>
        <w:t xml:space="preserve"> the </w:t>
      </w:r>
      <w:r>
        <w:rPr>
          <w:kern w:val="0"/>
        </w:rPr>
        <w:t>results</w:t>
      </w:r>
      <w:r w:rsidR="00427468">
        <w:rPr>
          <w:kern w:val="0"/>
        </w:rPr>
        <w:t xml:space="preserve"> of </w:t>
      </w:r>
      <w:r>
        <w:rPr>
          <w:kern w:val="0"/>
        </w:rPr>
        <w:t>individual studies</w:t>
      </w:r>
      <w:r w:rsidR="00A37C1D">
        <w:rPr>
          <w:kern w:val="0"/>
        </w:rPr>
        <w:t>. The</w:t>
      </w:r>
      <w:r w:rsidR="003A1917">
        <w:rPr>
          <w:kern w:val="0"/>
        </w:rPr>
        <w:t xml:space="preserve"> </w:t>
      </w:r>
      <w:r>
        <w:rPr>
          <w:kern w:val="0"/>
        </w:rPr>
        <w:t>Cochran Q, tau(2)</w:t>
      </w:r>
      <w:r w:rsidR="00427468">
        <w:rPr>
          <w:kern w:val="0"/>
        </w:rPr>
        <w:t xml:space="preserve"> of </w:t>
      </w:r>
      <w:r>
        <w:rPr>
          <w:kern w:val="0"/>
        </w:rPr>
        <w:t>between-study variance</w:t>
      </w:r>
      <w:r w:rsidR="005853A9">
        <w:rPr>
          <w:kern w:val="0"/>
        </w:rPr>
        <w:t xml:space="preserve"> and </w:t>
      </w:r>
      <w:r>
        <w:rPr>
          <w:kern w:val="0"/>
        </w:rPr>
        <w:t>index</w:t>
      </w:r>
      <w:r w:rsidR="00427468">
        <w:rPr>
          <w:kern w:val="0"/>
        </w:rPr>
        <w:t xml:space="preserve"> of </w:t>
      </w:r>
      <w:r>
        <w:rPr>
          <w:kern w:val="0"/>
        </w:rPr>
        <w:t>heterogeneity (I(2)) were used to evaluate heterogeneity. Heterogeneity between studies was examined by subgroup</w:t>
      </w:r>
      <w:r w:rsidR="005853A9">
        <w:rPr>
          <w:kern w:val="0"/>
        </w:rPr>
        <w:t xml:space="preserve"> and </w:t>
      </w:r>
      <w:r>
        <w:rPr>
          <w:kern w:val="0"/>
        </w:rPr>
        <w:t>random effect meta-regression analyses. Publication bias was evaluated. Results. Publication bias was not observed</w:t>
      </w:r>
      <w:r w:rsidR="00A37C1D">
        <w:rPr>
          <w:kern w:val="0"/>
        </w:rPr>
        <w:t>. The</w:t>
      </w:r>
      <w:r w:rsidR="003A1917">
        <w:rPr>
          <w:kern w:val="0"/>
        </w:rPr>
        <w:t xml:space="preserve"> </w:t>
      </w:r>
      <w:r>
        <w:rPr>
          <w:kern w:val="0"/>
        </w:rPr>
        <w:t xml:space="preserve">random model pooled estimate was odds ratio = 3.32, 95 % confidence interval (CI): </w:t>
      </w:r>
      <w:r>
        <w:rPr>
          <w:kern w:val="0"/>
        </w:rPr>
        <w:lastRenderedPageBreak/>
        <w:t>2.25-4.90. A high heterogeneity was pinpointed (I(2) = 80 %, 95 % CI: 65-89). Subgroup analysis</w:t>
      </w:r>
      <w:r w:rsidR="005853A9">
        <w:rPr>
          <w:kern w:val="0"/>
        </w:rPr>
        <w:t xml:space="preserve"> and </w:t>
      </w:r>
      <w:r>
        <w:rPr>
          <w:kern w:val="0"/>
        </w:rPr>
        <w:t>meta-regression showed a weaker association in studies with a clear definition</w:t>
      </w:r>
      <w:r w:rsidR="00427468">
        <w:rPr>
          <w:kern w:val="0"/>
        </w:rPr>
        <w:t xml:space="preserve"> of </w:t>
      </w:r>
      <w:r>
        <w:rPr>
          <w:kern w:val="0"/>
        </w:rPr>
        <w:t>hyperemesis gravidarum compared to studies without this condition,</w:t>
      </w:r>
      <w:r w:rsidR="005853A9">
        <w:rPr>
          <w:kern w:val="0"/>
        </w:rPr>
        <w:t xml:space="preserve"> and </w:t>
      </w:r>
      <w:r>
        <w:rPr>
          <w:kern w:val="0"/>
        </w:rPr>
        <w:t>weaker association in recent studies compared to earlier studies. Meta-regression showed that these two study characteristics explained 40%</w:t>
      </w:r>
      <w:r w:rsidR="00427468">
        <w:rPr>
          <w:kern w:val="0"/>
        </w:rPr>
        <w:t xml:space="preserve"> of </w:t>
      </w:r>
      <w:r>
        <w:rPr>
          <w:kern w:val="0"/>
        </w:rPr>
        <w:t>heterogeneity between studies. Conclusions. Exposure to H. pylori appears to be associated with an increased risk</w:t>
      </w:r>
      <w:r w:rsidR="00427468">
        <w:rPr>
          <w:kern w:val="0"/>
        </w:rPr>
        <w:t xml:space="preserve"> of </w:t>
      </w:r>
      <w:r>
        <w:rPr>
          <w:kern w:val="0"/>
        </w:rPr>
        <w:t>hyperemesis gravidarum</w:t>
      </w:r>
      <w:r w:rsidR="00A37C1D">
        <w:rPr>
          <w:kern w:val="0"/>
        </w:rPr>
        <w:t>. The</w:t>
      </w:r>
      <w:r w:rsidR="003A1917">
        <w:rPr>
          <w:kern w:val="0"/>
        </w:rPr>
        <w:t xml:space="preserve"> </w:t>
      </w:r>
      <w:r>
        <w:rPr>
          <w:kern w:val="0"/>
        </w:rPr>
        <w:t>residual heterogeneity might have different reasons. Given</w:t>
      </w:r>
      <w:r w:rsidR="003A1917">
        <w:rPr>
          <w:kern w:val="0"/>
        </w:rPr>
        <w:t xml:space="preserve"> the </w:t>
      </w:r>
      <w:r>
        <w:rPr>
          <w:kern w:val="0"/>
        </w:rPr>
        <w:t>high prevalence</w:t>
      </w:r>
      <w:r w:rsidR="00427468">
        <w:rPr>
          <w:kern w:val="0"/>
        </w:rPr>
        <w:t xml:space="preserve"> of </w:t>
      </w:r>
      <w:r>
        <w:rPr>
          <w:kern w:val="0"/>
        </w:rPr>
        <w:t>H. pylori,</w:t>
      </w:r>
      <w:r w:rsidR="003A1917">
        <w:rPr>
          <w:kern w:val="0"/>
        </w:rPr>
        <w:t xml:space="preserve"> the </w:t>
      </w:r>
      <w:r>
        <w:rPr>
          <w:kern w:val="0"/>
        </w:rPr>
        <w:t>public health consequence</w:t>
      </w:r>
      <w:r w:rsidR="00427468">
        <w:rPr>
          <w:kern w:val="0"/>
        </w:rPr>
        <w:t xml:space="preserve"> of </w:t>
      </w:r>
      <w:r>
        <w:rPr>
          <w:kern w:val="0"/>
        </w:rPr>
        <w:t>H. pylori with regard to hyperemesis gravidarum may be important.</w:t>
      </w:r>
    </w:p>
    <w:p w:rsidR="006E167F" w:rsidRDefault="006E167F" w:rsidP="006E167F">
      <w:pPr>
        <w:pStyle w:val="a3"/>
        <w:rPr>
          <w:kern w:val="0"/>
        </w:rPr>
      </w:pPr>
      <w:r>
        <w:rPr>
          <w:kern w:val="0"/>
        </w:rPr>
        <w:t>Keywords: Analysis, Bias, Case-Control Studies, Case-Control Study, Databases, Epidemiology, Google Scholar, Helicobacter Pylori, Hyperemesis Gravidarum, Infection</w:t>
      </w:r>
      <w:r w:rsidR="00D5664A">
        <w:rPr>
          <w:kern w:val="0"/>
        </w:rPr>
        <w:t>, ISI,</w:t>
      </w:r>
      <w:r>
        <w:rPr>
          <w:kern w:val="0"/>
        </w:rPr>
        <w:t xml:space="preserve"> Meta-Analysis, Model, Population, Pregnancy, Prevalence, Public Health, Publication Bias, Ratio, Response Bias, Review, Risk, Risk-Factors, Science, Seropositivity, Symptoms, Systematic, Systematic Review, </w:t>
      </w:r>
      <w:r w:rsidR="00D5664A">
        <w:rPr>
          <w:kern w:val="0"/>
        </w:rPr>
        <w:t>Web</w:t>
      </w:r>
      <w:r w:rsidR="00427468">
        <w:rPr>
          <w:kern w:val="0"/>
        </w:rPr>
        <w:t xml:space="preserve"> of </w:t>
      </w:r>
      <w:r w:rsidR="00D5664A">
        <w:rPr>
          <w:kern w:val="0"/>
        </w:rPr>
        <w:t>Science</w:t>
      </w:r>
    </w:p>
    <w:p w:rsidR="00E614B1" w:rsidRDefault="00E614B1" w:rsidP="00E614B1">
      <w:pPr>
        <w:pStyle w:val="a3"/>
        <w:rPr>
          <w:kern w:val="0"/>
        </w:rPr>
      </w:pPr>
      <w:r>
        <w:rPr>
          <w:rFonts w:hint="eastAsia"/>
          <w:kern w:val="0"/>
        </w:rPr>
        <w:t xml:space="preserve">? </w:t>
      </w:r>
      <w:r>
        <w:rPr>
          <w:kern w:val="0"/>
        </w:rPr>
        <w:t>Kramer, M.R., Hogue, C.J., Dunlop, A.L.</w:t>
      </w:r>
      <w:r w:rsidR="005853A9">
        <w:rPr>
          <w:kern w:val="0"/>
        </w:rPr>
        <w:t xml:space="preserve"> and </w:t>
      </w:r>
      <w:r>
        <w:rPr>
          <w:kern w:val="0"/>
        </w:rPr>
        <w:t>Menon, R. (2011), Preconceptional stress</w:t>
      </w:r>
      <w:r w:rsidR="005853A9">
        <w:rPr>
          <w:kern w:val="0"/>
        </w:rPr>
        <w:t xml:space="preserve"> and </w:t>
      </w:r>
      <w:r>
        <w:rPr>
          <w:kern w:val="0"/>
        </w:rPr>
        <w:t xml:space="preserve">racial disparities in preterm birth: An overview. </w:t>
      </w:r>
      <w:r>
        <w:rPr>
          <w:i/>
          <w:iCs/>
          <w:kern w:val="0"/>
        </w:rPr>
        <w:t>Acta Obstetricia et Gynecologica Scandinavica</w:t>
      </w:r>
      <w:r>
        <w:rPr>
          <w:kern w:val="0"/>
        </w:rPr>
        <w:t xml:space="preserve">, </w:t>
      </w:r>
      <w:r>
        <w:rPr>
          <w:b/>
          <w:bCs/>
          <w:kern w:val="0"/>
        </w:rPr>
        <w:t>90</w:t>
      </w:r>
      <w:r>
        <w:rPr>
          <w:kern w:val="0"/>
        </w:rPr>
        <w:t xml:space="preserve"> (12), 1307-1316.</w:t>
      </w:r>
    </w:p>
    <w:p w:rsidR="00E614B1" w:rsidRDefault="00E614B1" w:rsidP="00E614B1">
      <w:pPr>
        <w:pStyle w:val="a3"/>
        <w:rPr>
          <w:kern w:val="0"/>
        </w:rPr>
      </w:pPr>
      <w:r>
        <w:rPr>
          <w:rFonts w:hint="eastAsia"/>
          <w:kern w:val="0"/>
        </w:rPr>
        <w:t xml:space="preserve">Full Text: </w:t>
      </w:r>
      <w:hyperlink r:id="rId151" w:history="1">
        <w:r w:rsidRPr="007F11D3">
          <w:rPr>
            <w:rStyle w:val="a5"/>
            <w:kern w:val="0"/>
          </w:rPr>
          <w:t>2011\Act Obs Gyn Sca90, 1307.pdf</w:t>
        </w:r>
      </w:hyperlink>
    </w:p>
    <w:p w:rsidR="00E614B1" w:rsidRDefault="00E614B1" w:rsidP="00E614B1">
      <w:pPr>
        <w:pStyle w:val="a3"/>
        <w:rPr>
          <w:kern w:val="0"/>
        </w:rPr>
      </w:pPr>
      <w:r>
        <w:rPr>
          <w:kern w:val="0"/>
        </w:rPr>
        <w:t>Abstract: Objective. We reviewed</w:t>
      </w:r>
      <w:r w:rsidR="003A1917">
        <w:rPr>
          <w:kern w:val="0"/>
        </w:rPr>
        <w:t xml:space="preserve"> the </w:t>
      </w:r>
      <w:r>
        <w:rPr>
          <w:kern w:val="0"/>
        </w:rPr>
        <w:t>evidence for three theories</w:t>
      </w:r>
      <w:r w:rsidR="00427468">
        <w:rPr>
          <w:kern w:val="0"/>
        </w:rPr>
        <w:t xml:space="preserve"> of </w:t>
      </w:r>
      <w:r>
        <w:rPr>
          <w:kern w:val="0"/>
        </w:rPr>
        <w:t>how preconceptional psychosocial stress could act as a contributing determinant</w:t>
      </w:r>
      <w:r w:rsidR="00427468">
        <w:rPr>
          <w:kern w:val="0"/>
        </w:rPr>
        <w:t xml:space="preserve"> of </w:t>
      </w:r>
      <w:r>
        <w:rPr>
          <w:kern w:val="0"/>
        </w:rPr>
        <w:t>excess preterm birth risk among African American women: early life developmental plasticity</w:t>
      </w:r>
      <w:r w:rsidR="005853A9">
        <w:rPr>
          <w:kern w:val="0"/>
        </w:rPr>
        <w:t xml:space="preserve"> and </w:t>
      </w:r>
      <w:r>
        <w:rPr>
          <w:kern w:val="0"/>
        </w:rPr>
        <w:t>epigenetic programming</w:t>
      </w:r>
      <w:r w:rsidR="00427468">
        <w:rPr>
          <w:kern w:val="0"/>
        </w:rPr>
        <w:t xml:space="preserve"> of </w:t>
      </w:r>
      <w:r>
        <w:rPr>
          <w:kern w:val="0"/>
        </w:rPr>
        <w:t>adult neuroendocrine systems; blunting, weathering, or dysfunction</w:t>
      </w:r>
      <w:r w:rsidR="00427468">
        <w:rPr>
          <w:kern w:val="0"/>
        </w:rPr>
        <w:t xml:space="preserve"> of </w:t>
      </w:r>
      <w:r>
        <w:rPr>
          <w:kern w:val="0"/>
        </w:rPr>
        <w:t>neuroendocrine</w:t>
      </w:r>
      <w:r w:rsidR="005853A9">
        <w:rPr>
          <w:kern w:val="0"/>
        </w:rPr>
        <w:t xml:space="preserve"> and </w:t>
      </w:r>
      <w:r>
        <w:rPr>
          <w:kern w:val="0"/>
        </w:rPr>
        <w:t>immune function in response to chronic stress activation through</w:t>
      </w:r>
      <w:r w:rsidR="003A1917">
        <w:rPr>
          <w:kern w:val="0"/>
        </w:rPr>
        <w:t xml:space="preserve"> the </w:t>
      </w:r>
      <w:r>
        <w:rPr>
          <w:kern w:val="0"/>
        </w:rPr>
        <w:t>life course; individuals adoption</w:t>
      </w:r>
      <w:r w:rsidR="00427468">
        <w:rPr>
          <w:kern w:val="0"/>
        </w:rPr>
        <w:t xml:space="preserve"> of </w:t>
      </w:r>
      <w:r>
        <w:rPr>
          <w:kern w:val="0"/>
        </w:rPr>
        <w:t>risky behaviors such as smoking as a response to stressful stimuli. Methods. Basic science, clinical,</w:t>
      </w:r>
      <w:r w:rsidR="005853A9">
        <w:rPr>
          <w:kern w:val="0"/>
        </w:rPr>
        <w:t xml:space="preserve"> and </w:t>
      </w:r>
      <w:r>
        <w:rPr>
          <w:kern w:val="0"/>
        </w:rPr>
        <w:t xml:space="preserve">epidemiologic studies indexed in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on preconceptional psychosocial stress, preterm birth</w:t>
      </w:r>
      <w:r w:rsidR="005853A9">
        <w:rPr>
          <w:kern w:val="0"/>
        </w:rPr>
        <w:t xml:space="preserve"> and </w:t>
      </w:r>
      <w:r>
        <w:rPr>
          <w:kern w:val="0"/>
        </w:rPr>
        <w:t>race were reviewed. Results. Mixed evidence leans towards modest associations between preconceptional chronic stress</w:t>
      </w:r>
      <w:r w:rsidR="005853A9">
        <w:rPr>
          <w:kern w:val="0"/>
        </w:rPr>
        <w:t xml:space="preserve"> and </w:t>
      </w:r>
      <w:r>
        <w:rPr>
          <w:kern w:val="0"/>
        </w:rPr>
        <w:t>preterm birth (for example common odds ratios</w:t>
      </w:r>
      <w:r w:rsidR="00427468">
        <w:rPr>
          <w:kern w:val="0"/>
        </w:rPr>
        <w:t xml:space="preserve"> of </w:t>
      </w:r>
      <w:r>
        <w:rPr>
          <w:kern w:val="0"/>
        </w:rPr>
        <w:t>1.21.4), particularly in African American women, but it is unclear whether this association is ca</w:t>
      </w:r>
      <w:r w:rsidR="00D5664A">
        <w:rPr>
          <w:kern w:val="0"/>
        </w:rPr>
        <w:t>USA</w:t>
      </w:r>
      <w:r>
        <w:rPr>
          <w:kern w:val="0"/>
        </w:rPr>
        <w:t>l or explains a substantial portion</w:t>
      </w:r>
      <w:r w:rsidR="00427468">
        <w:rPr>
          <w:kern w:val="0"/>
        </w:rPr>
        <w:t xml:space="preserve"> of </w:t>
      </w:r>
      <w:r w:rsidR="003A1917">
        <w:rPr>
          <w:kern w:val="0"/>
        </w:rPr>
        <w:t xml:space="preserve">the </w:t>
      </w:r>
      <w:r>
        <w:rPr>
          <w:kern w:val="0"/>
        </w:rPr>
        <w:t>BlackWhite racial disparity in preterm birth</w:t>
      </w:r>
      <w:r w:rsidR="00A37C1D">
        <w:rPr>
          <w:kern w:val="0"/>
        </w:rPr>
        <w:t>. The</w:t>
      </w:r>
      <w:r w:rsidR="003A1917">
        <w:rPr>
          <w:kern w:val="0"/>
        </w:rPr>
        <w:t xml:space="preserve"> </w:t>
      </w:r>
      <w:r>
        <w:rPr>
          <w:kern w:val="0"/>
        </w:rPr>
        <w:t>stress-preterm birth association may be mediated by hypothalamic-pituitary-adrenal axis dysfunction</w:t>
      </w:r>
      <w:r w:rsidR="005853A9">
        <w:rPr>
          <w:kern w:val="0"/>
        </w:rPr>
        <w:t xml:space="preserve"> and </w:t>
      </w:r>
      <w:r>
        <w:rPr>
          <w:kern w:val="0"/>
        </w:rPr>
        <w:t>susceptibility to bacterial vaginosis, although these mechanisms are incompletely understood. Evidence for</w:t>
      </w:r>
      <w:r w:rsidR="003A1917">
        <w:rPr>
          <w:kern w:val="0"/>
        </w:rPr>
        <w:t xml:space="preserve"> the </w:t>
      </w:r>
      <w:r>
        <w:rPr>
          <w:kern w:val="0"/>
        </w:rPr>
        <w:t>role</w:t>
      </w:r>
      <w:r w:rsidR="00427468">
        <w:rPr>
          <w:kern w:val="0"/>
        </w:rPr>
        <w:t xml:space="preserve"> of </w:t>
      </w:r>
      <w:r>
        <w:rPr>
          <w:kern w:val="0"/>
        </w:rPr>
        <w:t>epigenetic or early life programming as a determinant</w:t>
      </w:r>
      <w:r w:rsidR="00427468">
        <w:rPr>
          <w:kern w:val="0"/>
        </w:rPr>
        <w:t xml:space="preserve"> of </w:t>
      </w:r>
      <w:r>
        <w:rPr>
          <w:kern w:val="0"/>
        </w:rPr>
        <w:t>racial disparities in preterm birth risk is more circumstantial. Conclusions. Preconceptional stress, directly or in interaction with host genetic susceptibility or infection, remains an important hypothesized risk factor for understanding</w:t>
      </w:r>
      <w:r w:rsidR="005853A9">
        <w:rPr>
          <w:kern w:val="0"/>
        </w:rPr>
        <w:t xml:space="preserve"> and </w:t>
      </w:r>
      <w:r>
        <w:rPr>
          <w:kern w:val="0"/>
        </w:rPr>
        <w:t xml:space="preserve">reducing racial disparities </w:t>
      </w:r>
      <w:r>
        <w:rPr>
          <w:kern w:val="0"/>
        </w:rPr>
        <w:lastRenderedPageBreak/>
        <w:t>in preterm birth. Future studies that integrate adequately sized epidemiologic samples with measures</w:t>
      </w:r>
      <w:r w:rsidR="00427468">
        <w:rPr>
          <w:kern w:val="0"/>
        </w:rPr>
        <w:t xml:space="preserve"> of </w:t>
      </w:r>
      <w:r>
        <w:rPr>
          <w:kern w:val="0"/>
        </w:rPr>
        <w:t>stress, infection,</w:t>
      </w:r>
      <w:r w:rsidR="005853A9">
        <w:rPr>
          <w:kern w:val="0"/>
        </w:rPr>
        <w:t xml:space="preserve"> and </w:t>
      </w:r>
      <w:r>
        <w:rPr>
          <w:kern w:val="0"/>
        </w:rPr>
        <w:t>gene expression, will advance our knowledge</w:t>
      </w:r>
      <w:r w:rsidR="005853A9">
        <w:rPr>
          <w:kern w:val="0"/>
        </w:rPr>
        <w:t xml:space="preserve"> and </w:t>
      </w:r>
      <w:r>
        <w:rPr>
          <w:kern w:val="0"/>
        </w:rPr>
        <w:t>allow development</w:t>
      </w:r>
      <w:r w:rsidR="00427468">
        <w:rPr>
          <w:kern w:val="0"/>
        </w:rPr>
        <w:t xml:space="preserve"> of </w:t>
      </w:r>
      <w:r>
        <w:rPr>
          <w:kern w:val="0"/>
        </w:rPr>
        <w:t>targeted interventions.</w:t>
      </w:r>
    </w:p>
    <w:p w:rsidR="00E614B1" w:rsidRDefault="00E614B1" w:rsidP="00E614B1">
      <w:pPr>
        <w:pStyle w:val="a3"/>
        <w:rPr>
          <w:kern w:val="0"/>
        </w:rPr>
      </w:pPr>
      <w:r>
        <w:rPr>
          <w:kern w:val="0"/>
        </w:rPr>
        <w:t xml:space="preserve">Keywords: Activation, Adult, African American, African-American Women, Association, Bacterial, Bacterial Vaginosis, Behavioral Risk-Factors, Black-Women, Corticotropin-Releasing Hormone, Databases, Delivery, Development, Discrimination, Disparities, Disparity, Epidemiologic Studies, Fetal-Growth, Gene Expression, Genetic, Genetic Susceptibility, Health Disparities, Immune, Infant Health, Infection, Interventions, Knowledge, Maternal Age, Mechanisms, </w:t>
      </w:r>
      <w:r w:rsidR="00D5664A">
        <w:rPr>
          <w:kern w:val="0"/>
        </w:rPr>
        <w:t>MEDLINE</w:t>
      </w:r>
      <w:r>
        <w:rPr>
          <w:kern w:val="0"/>
        </w:rPr>
        <w:t xml:space="preserve">, Methods, Overview, Preterm, Preterm Birth, Psychosocial, Psychosocial Stress, Race, Racial Disparities, Risk, Risk Factor, Science, Severe Life Events, Smoking, Stress, Susceptibility, Theories, </w:t>
      </w:r>
      <w:r w:rsidR="00D5664A">
        <w:rPr>
          <w:kern w:val="0"/>
        </w:rPr>
        <w:t>Web</w:t>
      </w:r>
      <w:r w:rsidR="00427468">
        <w:rPr>
          <w:kern w:val="0"/>
        </w:rPr>
        <w:t xml:space="preserve"> of </w:t>
      </w:r>
      <w:r w:rsidR="00D5664A">
        <w:rPr>
          <w:kern w:val="0"/>
        </w:rPr>
        <w:t>Science</w:t>
      </w:r>
      <w:r>
        <w:rPr>
          <w:kern w:val="0"/>
        </w:rPr>
        <w:t>, White Women, Women</w:t>
      </w:r>
    </w:p>
    <w:p w:rsidR="00433C71" w:rsidRDefault="00433C71" w:rsidP="00433C71">
      <w:pPr>
        <w:pStyle w:val="a3"/>
        <w:rPr>
          <w:kern w:val="0"/>
        </w:rPr>
      </w:pPr>
      <w:r>
        <w:rPr>
          <w:rFonts w:hint="eastAsia"/>
          <w:kern w:val="0"/>
        </w:rPr>
        <w:t xml:space="preserve">? </w:t>
      </w:r>
      <w:r>
        <w:rPr>
          <w:kern w:val="0"/>
        </w:rPr>
        <w:t>Cavallaro, F.L.</w:t>
      </w:r>
      <w:r w:rsidR="005853A9">
        <w:rPr>
          <w:kern w:val="0"/>
        </w:rPr>
        <w:t xml:space="preserve"> and </w:t>
      </w:r>
      <w:r>
        <w:rPr>
          <w:kern w:val="0"/>
        </w:rPr>
        <w:t>Marchant, T.J. (2013), Responsiveness</w:t>
      </w:r>
      <w:r w:rsidR="00427468">
        <w:rPr>
          <w:kern w:val="0"/>
        </w:rPr>
        <w:t xml:space="preserve"> of </w:t>
      </w:r>
      <w:r>
        <w:rPr>
          <w:kern w:val="0"/>
        </w:rPr>
        <w:t>emergency obstetric care systems in low-</w:t>
      </w:r>
      <w:r w:rsidR="005853A9">
        <w:rPr>
          <w:kern w:val="0"/>
        </w:rPr>
        <w:t xml:space="preserve"> and </w:t>
      </w:r>
      <w:r>
        <w:rPr>
          <w:kern w:val="0"/>
        </w:rPr>
        <w:t>middle-income countries: A critical review</w:t>
      </w:r>
      <w:r w:rsidR="00427468">
        <w:rPr>
          <w:kern w:val="0"/>
        </w:rPr>
        <w:t xml:space="preserve"> of </w:t>
      </w:r>
      <w:r>
        <w:rPr>
          <w:kern w:val="0"/>
        </w:rPr>
        <w:t xml:space="preserve">the “third delay”. </w:t>
      </w:r>
      <w:r>
        <w:rPr>
          <w:i/>
          <w:iCs/>
          <w:kern w:val="0"/>
        </w:rPr>
        <w:t>Acta Obstetricia et Gynecologica Scandinavica</w:t>
      </w:r>
      <w:r>
        <w:rPr>
          <w:kern w:val="0"/>
        </w:rPr>
        <w:t xml:space="preserve">, </w:t>
      </w:r>
      <w:r>
        <w:rPr>
          <w:b/>
          <w:bCs/>
          <w:kern w:val="0"/>
        </w:rPr>
        <w:t>92</w:t>
      </w:r>
      <w:r>
        <w:rPr>
          <w:kern w:val="0"/>
        </w:rPr>
        <w:t xml:space="preserve"> (5), 496-507.</w:t>
      </w:r>
    </w:p>
    <w:p w:rsidR="00433C71" w:rsidRDefault="00433C71" w:rsidP="00433C71">
      <w:pPr>
        <w:pStyle w:val="a3"/>
        <w:rPr>
          <w:kern w:val="0"/>
        </w:rPr>
      </w:pPr>
      <w:r>
        <w:rPr>
          <w:rFonts w:hint="eastAsia"/>
          <w:kern w:val="0"/>
        </w:rPr>
        <w:t xml:space="preserve">Full Text: </w:t>
      </w:r>
      <w:hyperlink r:id="rId152" w:history="1">
        <w:r w:rsidRPr="00806464">
          <w:rPr>
            <w:rStyle w:val="a5"/>
            <w:kern w:val="0"/>
          </w:rPr>
          <w:t>2013\Act Obs Gyn Sca92, 496.pdf</w:t>
        </w:r>
      </w:hyperlink>
    </w:p>
    <w:p w:rsidR="00433C71" w:rsidRDefault="00433C71" w:rsidP="00433C71">
      <w:pPr>
        <w:pStyle w:val="a3"/>
        <w:rPr>
          <w:kern w:val="0"/>
        </w:rPr>
      </w:pPr>
      <w:r>
        <w:rPr>
          <w:kern w:val="0"/>
        </w:rPr>
        <w:t>Abstract: We reviewed the evidence on the duration, causes</w:t>
      </w:r>
      <w:r w:rsidR="005853A9">
        <w:rPr>
          <w:kern w:val="0"/>
        </w:rPr>
        <w:t xml:space="preserve"> and </w:t>
      </w:r>
      <w:r>
        <w:rPr>
          <w:kern w:val="0"/>
        </w:rPr>
        <w:t>effects</w:t>
      </w:r>
      <w:r w:rsidR="00427468">
        <w:rPr>
          <w:kern w:val="0"/>
        </w:rPr>
        <w:t xml:space="preserve"> of </w:t>
      </w:r>
      <w:r>
        <w:rPr>
          <w:kern w:val="0"/>
        </w:rPr>
        <w:t>delays in providing emergency obstetric care to women attending health facilities (the third delay) in low-and middle-income countries. We performed a critical literature review using terms related to obstetric care, birth outcome, delays</w:t>
      </w:r>
      <w:r w:rsidR="005853A9">
        <w:rPr>
          <w:kern w:val="0"/>
        </w:rPr>
        <w:t xml:space="preserve"> and </w:t>
      </w:r>
      <w:r>
        <w:rPr>
          <w:kern w:val="0"/>
        </w:rPr>
        <w:t>developing countries. A manual search</w:t>
      </w:r>
      <w:r w:rsidR="00427468">
        <w:rPr>
          <w:kern w:val="0"/>
        </w:rPr>
        <w:t xml:space="preserve"> of </w:t>
      </w:r>
      <w:r>
        <w:rPr>
          <w:kern w:val="0"/>
        </w:rPr>
        <w:t>reference lists</w:t>
      </w:r>
      <w:r w:rsidR="00427468">
        <w:rPr>
          <w:kern w:val="0"/>
        </w:rPr>
        <w:t xml:space="preserve"> of </w:t>
      </w:r>
      <w:r>
        <w:rPr>
          <w:kern w:val="0"/>
        </w:rPr>
        <w:t>key articles was also performed. 69 studies met the inclusion criteria. Most studies reported long delays in providing care,</w:t>
      </w:r>
      <w:r w:rsidR="005853A9">
        <w:rPr>
          <w:kern w:val="0"/>
        </w:rPr>
        <w:t xml:space="preserve"> and </w:t>
      </w:r>
      <w:r>
        <w:rPr>
          <w:kern w:val="0"/>
        </w:rPr>
        <w:t>the mean waiting time for women admitted with complications was as much as 24 h before treatment</w:t>
      </w:r>
      <w:r w:rsidR="00A37C1D">
        <w:rPr>
          <w:kern w:val="0"/>
        </w:rPr>
        <w:t>. The</w:t>
      </w:r>
      <w:r>
        <w:rPr>
          <w:kern w:val="0"/>
        </w:rPr>
        <w:t xml:space="preserve"> three most cited barriers to providing timely care were shortage</w:t>
      </w:r>
      <w:r w:rsidR="00427468">
        <w:rPr>
          <w:kern w:val="0"/>
        </w:rPr>
        <w:t xml:space="preserve"> of </w:t>
      </w:r>
      <w:r>
        <w:rPr>
          <w:kern w:val="0"/>
        </w:rPr>
        <w:t>treatment materials, surgery facilities</w:t>
      </w:r>
      <w:r w:rsidR="005853A9">
        <w:rPr>
          <w:kern w:val="0"/>
        </w:rPr>
        <w:t xml:space="preserve"> and </w:t>
      </w:r>
      <w:r>
        <w:rPr>
          <w:kern w:val="0"/>
        </w:rPr>
        <w:t>qualified staff. Existing evidence is insufficient to estimate the effect</w:t>
      </w:r>
      <w:r w:rsidR="00427468">
        <w:rPr>
          <w:kern w:val="0"/>
        </w:rPr>
        <w:t xml:space="preserve"> of </w:t>
      </w:r>
      <w:r>
        <w:rPr>
          <w:kern w:val="0"/>
        </w:rPr>
        <w:t>delays on birth outcomes. Delays in providing emergency obstetric care seem common in resource-constrained settings but further research is necessary to determine the effect</w:t>
      </w:r>
      <w:r w:rsidR="00427468">
        <w:rPr>
          <w:kern w:val="0"/>
        </w:rPr>
        <w:t xml:space="preserve"> of </w:t>
      </w:r>
      <w:r>
        <w:rPr>
          <w:kern w:val="0"/>
        </w:rPr>
        <w:t>the third delay on birth outcomes.</w:t>
      </w:r>
    </w:p>
    <w:p w:rsidR="00433C71" w:rsidRDefault="00433C71" w:rsidP="00433C71">
      <w:pPr>
        <w:pStyle w:val="a3"/>
        <w:rPr>
          <w:kern w:val="0"/>
        </w:rPr>
      </w:pPr>
      <w:r>
        <w:rPr>
          <w:kern w:val="0"/>
        </w:rPr>
        <w:t>Keywords: Argentina, Barriers, Birth, Birth Outcomes, Care, Complications, Criteria, Developing, Developing Countries, Duration, Effects, Emergency, Emergency Obstetric Care, Evidence, Facilities, Health, Health Services Research, Hospitals, Literature, Literature Review, Low-And Middle-Income Countries, Maternal Mortality, Neonatal Deaths, Nigeria, Obstetric, Obstetric Care, Outcome, Outcomes, Reference, Reference Lists, Research, Responsiveness, Review, Stillbirths, Surgery, Survival 1, Systems, Third Delay, To-Delivery Interval, Treatment, Women</w:t>
      </w:r>
    </w:p>
    <w:p w:rsidR="00A323E8" w:rsidRDefault="00A323E8" w:rsidP="00A323E8">
      <w:pPr>
        <w:pStyle w:val="a3"/>
        <w:rPr>
          <w:kern w:val="0"/>
        </w:rPr>
      </w:pPr>
      <w:r>
        <w:rPr>
          <w:rFonts w:hint="eastAsia"/>
          <w:kern w:val="0"/>
        </w:rPr>
        <w:t xml:space="preserve">? </w:t>
      </w:r>
      <w:r>
        <w:rPr>
          <w:kern w:val="0"/>
        </w:rPr>
        <w:t>Balsells, M., Garcia-Patterson, A., Gich, I.</w:t>
      </w:r>
      <w:r w:rsidR="005853A9">
        <w:rPr>
          <w:kern w:val="0"/>
        </w:rPr>
        <w:t xml:space="preserve"> and </w:t>
      </w:r>
      <w:r>
        <w:rPr>
          <w:kern w:val="0"/>
        </w:rPr>
        <w:t>Corcoy, R. (2014), Ultrasound-guided compared to conventional treatment in gestational diabetes leads to improved birthweight but more insulin treatment: Systematic review</w:t>
      </w:r>
      <w:r w:rsidR="005853A9">
        <w:rPr>
          <w:kern w:val="0"/>
        </w:rPr>
        <w:t xml:space="preserve"> and </w:t>
      </w:r>
      <w:r>
        <w:rPr>
          <w:kern w:val="0"/>
        </w:rPr>
        <w:t xml:space="preserve">meta-analysis. </w:t>
      </w:r>
      <w:r>
        <w:rPr>
          <w:i/>
          <w:iCs/>
          <w:kern w:val="0"/>
        </w:rPr>
        <w:t xml:space="preserve">Acta </w:t>
      </w:r>
      <w:r>
        <w:rPr>
          <w:i/>
          <w:iCs/>
          <w:kern w:val="0"/>
        </w:rPr>
        <w:lastRenderedPageBreak/>
        <w:t>Obstetricia et Gynecologica Scandinavica</w:t>
      </w:r>
      <w:r>
        <w:rPr>
          <w:kern w:val="0"/>
        </w:rPr>
        <w:t xml:space="preserve">, </w:t>
      </w:r>
      <w:r>
        <w:rPr>
          <w:b/>
          <w:bCs/>
          <w:kern w:val="0"/>
        </w:rPr>
        <w:t>93</w:t>
      </w:r>
      <w:r>
        <w:rPr>
          <w:kern w:val="0"/>
        </w:rPr>
        <w:t xml:space="preserve"> (2), 144-151.</w:t>
      </w:r>
    </w:p>
    <w:p w:rsidR="00A323E8" w:rsidRDefault="00A323E8" w:rsidP="00A323E8">
      <w:pPr>
        <w:pStyle w:val="a3"/>
        <w:rPr>
          <w:kern w:val="0"/>
        </w:rPr>
      </w:pPr>
      <w:r>
        <w:rPr>
          <w:rFonts w:hint="eastAsia"/>
          <w:kern w:val="0"/>
        </w:rPr>
        <w:t xml:space="preserve">Full Text: </w:t>
      </w:r>
      <w:hyperlink r:id="rId153" w:history="1">
        <w:r w:rsidRPr="00386AA4">
          <w:rPr>
            <w:rStyle w:val="a5"/>
            <w:kern w:val="0"/>
          </w:rPr>
          <w:t>2014\Act Obs Gyn Sca93, 144.pdf</w:t>
        </w:r>
      </w:hyperlink>
    </w:p>
    <w:p w:rsidR="00A323E8" w:rsidRDefault="00A323E8" w:rsidP="00A323E8">
      <w:pPr>
        <w:pStyle w:val="a3"/>
        <w:rPr>
          <w:kern w:val="0"/>
        </w:rPr>
      </w:pPr>
      <w:r>
        <w:rPr>
          <w:kern w:val="0"/>
        </w:rPr>
        <w:t>Abstract: ObjectiveTo perform a systematic review</w:t>
      </w:r>
      <w:r w:rsidR="005853A9">
        <w:rPr>
          <w:kern w:val="0"/>
        </w:rPr>
        <w:t xml:space="preserve"> and </w:t>
      </w:r>
      <w:r>
        <w:rPr>
          <w:kern w:val="0"/>
        </w:rPr>
        <w:t>meta-analysis</w:t>
      </w:r>
      <w:r w:rsidR="00427468">
        <w:rPr>
          <w:kern w:val="0"/>
        </w:rPr>
        <w:t xml:space="preserve"> of </w:t>
      </w:r>
      <w:r>
        <w:rPr>
          <w:kern w:val="0"/>
        </w:rPr>
        <w:t>randomized controlled trials assessing ultrasound-guided versus conventional management in women with a broad severity-spectrum</w:t>
      </w:r>
      <w:r w:rsidR="00427468">
        <w:rPr>
          <w:kern w:val="0"/>
        </w:rPr>
        <w:t xml:space="preserve"> of </w:t>
      </w:r>
      <w:r>
        <w:rPr>
          <w:kern w:val="0"/>
        </w:rPr>
        <w:t>gestational diabetes mellitus. DesignSystematic review</w:t>
      </w:r>
      <w:r w:rsidR="005853A9">
        <w:rPr>
          <w:kern w:val="0"/>
        </w:rPr>
        <w:t xml:space="preserve"> and </w:t>
      </w:r>
      <w:r>
        <w:rPr>
          <w:kern w:val="0"/>
        </w:rPr>
        <w:t>meta-analysis</w:t>
      </w:r>
      <w:r w:rsidR="00427468">
        <w:rPr>
          <w:kern w:val="0"/>
        </w:rPr>
        <w:t xml:space="preserve"> of </w:t>
      </w:r>
      <w:r>
        <w:rPr>
          <w:kern w:val="0"/>
        </w:rPr>
        <w:t>trials published until August 2012. SettingPubMed</w:t>
      </w:r>
      <w:r w:rsidR="005853A9">
        <w:rPr>
          <w:kern w:val="0"/>
        </w:rPr>
        <w:t xml:space="preserve"> and </w:t>
      </w:r>
      <w:r>
        <w:rPr>
          <w:kern w:val="0"/>
        </w:rPr>
        <w:t>Web</w:t>
      </w:r>
      <w:r w:rsidR="00427468">
        <w:rPr>
          <w:kern w:val="0"/>
        </w:rPr>
        <w:t xml:space="preserve"> of </w:t>
      </w:r>
      <w:r>
        <w:rPr>
          <w:kern w:val="0"/>
        </w:rPr>
        <w:t>Science databases. Study selection</w:t>
      </w:r>
      <w:r w:rsidR="005853A9">
        <w:rPr>
          <w:kern w:val="0"/>
        </w:rPr>
        <w:t xml:space="preserve"> and </w:t>
      </w:r>
      <w:r>
        <w:rPr>
          <w:kern w:val="0"/>
        </w:rPr>
        <w:t>methodsEighteen studies were reviewed in full text. Eligibility criteria were (i) randomized controlled trials comparing metabolic management in women with gestational diabetes mellitus</w:t>
      </w:r>
      <w:r w:rsidR="005853A9">
        <w:rPr>
          <w:kern w:val="0"/>
        </w:rPr>
        <w:t xml:space="preserve"> and </w:t>
      </w:r>
      <w:r>
        <w:rPr>
          <w:kern w:val="0"/>
        </w:rPr>
        <w:t>ultrasound-based vs</w:t>
      </w:r>
      <w:r w:rsidR="00A37C1D">
        <w:rPr>
          <w:kern w:val="0"/>
        </w:rPr>
        <w:t>. The</w:t>
      </w:r>
      <w:r>
        <w:rPr>
          <w:kern w:val="0"/>
        </w:rPr>
        <w:t xml:space="preserve"> conventional management to assess fetal growth, (ii) representative</w:t>
      </w:r>
      <w:r w:rsidR="00427468">
        <w:rPr>
          <w:kern w:val="0"/>
        </w:rPr>
        <w:t xml:space="preserve"> of </w:t>
      </w:r>
      <w:r>
        <w:rPr>
          <w:kern w:val="0"/>
        </w:rPr>
        <w:t>the whole spectrum</w:t>
      </w:r>
      <w:r w:rsidR="00427468">
        <w:rPr>
          <w:kern w:val="0"/>
        </w:rPr>
        <w:t xml:space="preserve"> of </w:t>
      </w:r>
      <w:r>
        <w:rPr>
          <w:kern w:val="0"/>
        </w:rPr>
        <w:t>hyperglycemia</w:t>
      </w:r>
      <w:r w:rsidR="005853A9">
        <w:rPr>
          <w:kern w:val="0"/>
        </w:rPr>
        <w:t xml:space="preserve"> and </w:t>
      </w:r>
      <w:r>
        <w:rPr>
          <w:kern w:val="0"/>
        </w:rPr>
        <w:t>fetal growth, (iii) data on perinatal outcomes. Review Manager 5.0 was used to summarize the results. ResultsTwo studies fulfilled inclusion criteria</w:t>
      </w:r>
      <w:r w:rsidR="00A37C1D">
        <w:rPr>
          <w:kern w:val="0"/>
        </w:rPr>
        <w:t>. The</w:t>
      </w:r>
      <w:r>
        <w:rPr>
          <w:kern w:val="0"/>
        </w:rPr>
        <w:t xml:space="preserve"> ultrasound-guided group had a lower rate</w:t>
      </w:r>
      <w:r w:rsidR="00427468">
        <w:rPr>
          <w:kern w:val="0"/>
        </w:rPr>
        <w:t xml:space="preserve"> of </w:t>
      </w:r>
      <w:r>
        <w:rPr>
          <w:kern w:val="0"/>
        </w:rPr>
        <w:t>large-for-gestational age newborns (relative risk 0.58, 95% confidence interval 0.34-0.99), macrosomia (relative risk 0.32, 95% confidence interval 0.11-0.95)</w:t>
      </w:r>
      <w:r w:rsidR="005853A9">
        <w:rPr>
          <w:kern w:val="0"/>
        </w:rPr>
        <w:t xml:space="preserve"> and </w:t>
      </w:r>
      <w:r>
        <w:rPr>
          <w:kern w:val="0"/>
        </w:rPr>
        <w:t>abnormal birthweight (small/large-for-gestational age, relative risk 0.64, 95% confidence interval 0.45-0.93)</w:t>
      </w:r>
      <w:r w:rsidR="005853A9">
        <w:rPr>
          <w:kern w:val="0"/>
        </w:rPr>
        <w:t xml:space="preserve"> and </w:t>
      </w:r>
      <w:r>
        <w:rPr>
          <w:kern w:val="0"/>
        </w:rPr>
        <w:t>a higher rate</w:t>
      </w:r>
      <w:r w:rsidR="00427468">
        <w:rPr>
          <w:kern w:val="0"/>
        </w:rPr>
        <w:t xml:space="preserve"> of </w:t>
      </w:r>
      <w:r>
        <w:rPr>
          <w:kern w:val="0"/>
        </w:rPr>
        <w:t>insulin treatment (relative risk 1.58, 95% confidence interval 1.14-2.20)</w:t>
      </w:r>
      <w:r w:rsidR="00A37C1D">
        <w:rPr>
          <w:kern w:val="0"/>
        </w:rPr>
        <w:t>. The</w:t>
      </w:r>
      <w:r>
        <w:rPr>
          <w:kern w:val="0"/>
        </w:rPr>
        <w:t xml:space="preserve"> number</w:t>
      </w:r>
      <w:r w:rsidR="00427468">
        <w:rPr>
          <w:kern w:val="0"/>
        </w:rPr>
        <w:t xml:space="preserve"> of </w:t>
      </w:r>
      <w:r>
        <w:rPr>
          <w:kern w:val="0"/>
        </w:rPr>
        <w:t>women with gestational diabetes with a need to treat to prevent an additional newborn with abnormal birthweight was 10. ConclusionsIn women with a broad severity-spectrum</w:t>
      </w:r>
      <w:r w:rsidR="00427468">
        <w:rPr>
          <w:kern w:val="0"/>
        </w:rPr>
        <w:t xml:space="preserve"> of </w:t>
      </w:r>
      <w:r>
        <w:rPr>
          <w:kern w:val="0"/>
        </w:rPr>
        <w:t>gestational diabetes mellitus, ultrasound-guided management improves birthweight distribution, but increases the need for insulin treatment. More research is needed in this area because results are derived from a limited number</w:t>
      </w:r>
      <w:r w:rsidR="00427468">
        <w:rPr>
          <w:kern w:val="0"/>
        </w:rPr>
        <w:t xml:space="preserve"> of </w:t>
      </w:r>
      <w:r>
        <w:rPr>
          <w:kern w:val="0"/>
        </w:rPr>
        <w:t>patients.</w:t>
      </w:r>
    </w:p>
    <w:p w:rsidR="00A323E8" w:rsidRDefault="00A323E8" w:rsidP="00A323E8">
      <w:pPr>
        <w:pStyle w:val="a3"/>
        <w:rPr>
          <w:kern w:val="0"/>
        </w:rPr>
      </w:pPr>
      <w:r>
        <w:rPr>
          <w:kern w:val="0"/>
        </w:rPr>
        <w:t>Keywords: Age, Assessing, Birthweight, Confidence, Conventional, Criteria, Data, Databases, Diabetes, Diabetes Mellitus, Distribution, Fetal, Fetal Growth, Fetal Ultrasound, Gestational, Gestational Diabetes, Gestational Diabetes Mellitus, Growth, Hyperglycemia, Insulin, Insulin Therapy, Interval, Macrosomia, Management, Mellitus, Meta Analysis, Meta-Analysis, Metaanalysis, Metabolic Therapy, Newborn, Newborns, Outcomes, Patients, Perinatal, Perinatal Outcomes, Pregnancies, Prevent, Randomized, Randomized Control Trial, Randomized Controlled Trials, Randomized-Trial, Relative Risk, Research, Review, Risk, Science, Selection, Systematic Review, Treatment, Ultrasound, Web</w:t>
      </w:r>
      <w:r w:rsidR="00427468">
        <w:rPr>
          <w:kern w:val="0"/>
        </w:rPr>
        <w:t xml:space="preserve"> of </w:t>
      </w:r>
      <w:r>
        <w:rPr>
          <w:kern w:val="0"/>
        </w:rPr>
        <w:t>Science, Web</w:t>
      </w:r>
      <w:r w:rsidR="00427468">
        <w:rPr>
          <w:kern w:val="0"/>
        </w:rPr>
        <w:t xml:space="preserve"> of </w:t>
      </w:r>
      <w:r>
        <w:rPr>
          <w:kern w:val="0"/>
        </w:rPr>
        <w:t>Science Databases, Women</w:t>
      </w:r>
    </w:p>
    <w:p w:rsidR="00C25446" w:rsidRDefault="00C25446" w:rsidP="00C25446">
      <w:pPr>
        <w:pStyle w:val="a3"/>
        <w:rPr>
          <w:kern w:val="0"/>
        </w:rPr>
      </w:pPr>
      <w:r>
        <w:rPr>
          <w:rFonts w:hint="eastAsia"/>
          <w:kern w:val="0"/>
        </w:rPr>
        <w:t xml:space="preserve">? </w:t>
      </w:r>
      <w:r>
        <w:rPr>
          <w:kern w:val="0"/>
        </w:rPr>
        <w:t xml:space="preserve">Du, Y.M., Ye, M. and Zheng, F.Y. (2014), Active management of the third stage of labor with and without controlled cord traction: A systematic review and meta-analysis of randomized controlled trials. </w:t>
      </w:r>
      <w:r>
        <w:rPr>
          <w:i/>
          <w:iCs/>
          <w:kern w:val="0"/>
        </w:rPr>
        <w:t>Acta Obstetricia et Gynecologica Scandinavica</w:t>
      </w:r>
      <w:r>
        <w:rPr>
          <w:kern w:val="0"/>
        </w:rPr>
        <w:t xml:space="preserve">, </w:t>
      </w:r>
      <w:r>
        <w:rPr>
          <w:b/>
          <w:bCs/>
          <w:kern w:val="0"/>
        </w:rPr>
        <w:t>93</w:t>
      </w:r>
      <w:r>
        <w:rPr>
          <w:kern w:val="0"/>
        </w:rPr>
        <w:t xml:space="preserve"> (7), 626-633.</w:t>
      </w:r>
    </w:p>
    <w:p w:rsidR="00C25446" w:rsidRDefault="00C25446" w:rsidP="00C25446">
      <w:pPr>
        <w:pStyle w:val="a3"/>
        <w:rPr>
          <w:kern w:val="0"/>
        </w:rPr>
      </w:pPr>
      <w:r>
        <w:rPr>
          <w:rFonts w:hint="eastAsia"/>
          <w:kern w:val="0"/>
        </w:rPr>
        <w:t xml:space="preserve">Full Text: </w:t>
      </w:r>
      <w:hyperlink r:id="rId154" w:history="1">
        <w:r w:rsidRPr="00C25446">
          <w:rPr>
            <w:rStyle w:val="a5"/>
            <w:kern w:val="0"/>
          </w:rPr>
          <w:t>2014\Act Obs Gyn Sca93, 626.pdf</w:t>
        </w:r>
      </w:hyperlink>
    </w:p>
    <w:p w:rsidR="00C25446" w:rsidRDefault="00C25446" w:rsidP="00C25446">
      <w:pPr>
        <w:pStyle w:val="a3"/>
        <w:rPr>
          <w:kern w:val="0"/>
        </w:rPr>
      </w:pPr>
      <w:r>
        <w:rPr>
          <w:kern w:val="0"/>
        </w:rPr>
        <w:t xml:space="preserve">Abstract: Objective. To determine the specific effect of controlled cord traction in the </w:t>
      </w:r>
      <w:r>
        <w:rPr>
          <w:kern w:val="0"/>
        </w:rPr>
        <w:lastRenderedPageBreak/>
        <w:t>third stage of labor in the prevention of postpartum hemorrhage. Data sources. We searched PubMed, Scopus and Web of Science (inception to 30 October 2013). Study selection. Randomized controlled trials comparing controlled cord traction with hands-off management in the third stage of labor were included. Results. Five randomized controlled trials involving a total of 30 532 participants were eligible. No significant difference was found between controlled cord traction and hands-off management groups with respect to the incidence of severe postpartum hemorrhage (relative risk 0.91, 95% confidence interval 0.77-1.08), need for blood transfusion (relative risk 0.96, 95% confidence interval 0.69-1.33) or therapeutic uterotonics (relative risk 0.94, 95% confidence interval 0.88-1.01). However, controlled cord traction reduced the incidence of postpartum hemorrhage in general (relative risk 0.93, 95% confidence interval 0.87-0.99; number-needed-to-treat 111, 95% confidence interval 61-666), as well manual removal of the placenta (relative risk 0.70, 95% confidence interval 0.58-0.84) and duration of the third stage of labor (mean difference -3.20, 95% confidence interval -3.21 to -3.19). Conclusions. Controlled cord traction appears to reduce the risk of any postpartum hemorrhage in a general sense, as well as manual removal of the placenta and the duration of the third stage of labor. However, the reduction in the occurrence of severe postpartum hemorrhage, need for additional uterotonics and blood transfusion is not statistically significant.</w:t>
      </w:r>
    </w:p>
    <w:p w:rsidR="00C25446" w:rsidRDefault="00C25446" w:rsidP="00C25446">
      <w:pPr>
        <w:pStyle w:val="a3"/>
        <w:rPr>
          <w:kern w:val="0"/>
        </w:rPr>
      </w:pPr>
      <w:r>
        <w:rPr>
          <w:kern w:val="0"/>
        </w:rPr>
        <w:t>Keywords: Active Management Of The Third Stage Of Labor, Blood, Blood Transfusion, Confidence, Controlled Cord Traction, Data, Duration, General, Groups, Hemorrhage, Incidence, Interval, Labor, Labor Stage Third, Management, Manual Removal, Maternal Morbidity, Meta Analysis, Meta-Analysis, Metaanalysis, Number Needed To Treat, Obstetric, Placenta, Postpartum, Postpartum Hemorrhage, Postpartum Hemorrhage, Prevention, Prevention Of Postpartum Hemorrhage, Pubmed, Randomized, Randomized Controlled Trials, Reduction, Relative Risk, Removal, Results, Review, Risk, Science, Scopus, Selection, Sources, Systematic, Systematic Review, Therapeutic, Third Stage, Third Stage Of Labor, Transfusion, Web Of Science</w:t>
      </w:r>
    </w:p>
    <w:p w:rsidR="00067D36" w:rsidRDefault="00067D36" w:rsidP="00067D36">
      <w:pPr>
        <w:pStyle w:val="a3"/>
        <w:rPr>
          <w:kern w:val="0"/>
        </w:rPr>
      </w:pPr>
      <w:r>
        <w:rPr>
          <w:kern w:val="0"/>
        </w:rPr>
        <w:t xml:space="preserve">? Vos, A.A., Posthumus, A.G., Bonsel, G.J., Steegers, E.A.P. and Denktas, S. (2014), Deprived neighborhoods and adverse perinatal outcome: A systematic review and meta-analysis. </w:t>
      </w:r>
      <w:r>
        <w:rPr>
          <w:i/>
          <w:iCs/>
          <w:kern w:val="0"/>
        </w:rPr>
        <w:t>Acta Obstetricia et Gynecologica Scandinavica</w:t>
      </w:r>
      <w:r>
        <w:rPr>
          <w:kern w:val="0"/>
        </w:rPr>
        <w:t xml:space="preserve">, </w:t>
      </w:r>
      <w:r>
        <w:rPr>
          <w:b/>
          <w:bCs/>
          <w:kern w:val="0"/>
        </w:rPr>
        <w:t>93</w:t>
      </w:r>
      <w:r>
        <w:rPr>
          <w:kern w:val="0"/>
        </w:rPr>
        <w:t xml:space="preserve"> (8), 727-740.</w:t>
      </w:r>
    </w:p>
    <w:p w:rsidR="00067D36" w:rsidRDefault="00067D36" w:rsidP="00067D36">
      <w:pPr>
        <w:pStyle w:val="a3"/>
        <w:rPr>
          <w:kern w:val="0"/>
        </w:rPr>
      </w:pPr>
      <w:r>
        <w:rPr>
          <w:rFonts w:hint="eastAsia"/>
          <w:kern w:val="0"/>
        </w:rPr>
        <w:t xml:space="preserve">Full Text: </w:t>
      </w:r>
      <w:hyperlink r:id="rId155" w:history="1">
        <w:r w:rsidRPr="00067D36">
          <w:rPr>
            <w:rStyle w:val="a5"/>
            <w:kern w:val="0"/>
          </w:rPr>
          <w:t>2014\Act Obs Gyn Sca93, 727.pdf</w:t>
        </w:r>
      </w:hyperlink>
    </w:p>
    <w:p w:rsidR="00067D36" w:rsidRDefault="00067D36" w:rsidP="00067D36">
      <w:pPr>
        <w:pStyle w:val="a3"/>
        <w:rPr>
          <w:kern w:val="0"/>
        </w:rPr>
      </w:pPr>
      <w:r>
        <w:rPr>
          <w:kern w:val="0"/>
        </w:rPr>
        <w:t xml:space="preserve">Abstract: Objectives. This study aims to summarize evidence on the relation between neighborhood deprivation and the risks for preterm birth, small-for-gestational age, and stillbirth. Design. The design was a systematic review and meta-analysis. Main outcome measures. The main outcome measures included studies that directly compared the risk of living in the most deprived neighborhood quintile with least </w:t>
      </w:r>
      <w:r>
        <w:rPr>
          <w:kern w:val="0"/>
        </w:rPr>
        <w:lastRenderedPageBreak/>
        <w:t>deprived quintile for at least one perinatal outcome of interest (preterm delivery, small-for-gestational age and stillbirth). Methods. Study selection was based on a search of Medline, Embase and Web of Science for articles published up to April 2012, reference list screening, and email contact with authors. Data on study characteristics, outcome measures, and quality were extracted by two independent investigators. Random-effects meta-analysis was performed to estimate unadjusted and adjusted summary odds ratios with the associated 95% confidence intervals. Results. We identified 2863 articles, of which 24 were included in a systematic review. A meta-analysis (n = 7 studies, including 2 579 032 pregnancies) assessed the risk of adverse perinatal outcomes by comparing the most deprived neighborhood quintile with the least deprived quintile. Compared with the least deprived quintile, odds ratios for adverse perinatal outcomes in the most deprived neighborhood quintile were significantly increased for preterm delivery (odds ratio 1.23, 95% confidence interval 1.18-1.28), small-for-gestational age (odds ratio 1.31, 95% confidence interval 1.28-1.34), and stillbirth (odds ratio 1.33, 95% confidence interval 1.21-1.45). Conclusions. Living in a deprived neighborhood is associated with preterm birth, small-for-gestational age and stillbirth.</w:t>
      </w:r>
    </w:p>
    <w:p w:rsidR="00067D36" w:rsidRDefault="00067D36" w:rsidP="00067D36">
      <w:pPr>
        <w:pStyle w:val="a3"/>
        <w:rPr>
          <w:kern w:val="0"/>
        </w:rPr>
      </w:pPr>
      <w:r>
        <w:rPr>
          <w:kern w:val="0"/>
        </w:rPr>
        <w:t>Keywords: Age, Area-Based Measure, Articles, Authors, Birth, Characteristics, Confidence, Confidence Intervals, Data, Delivery, Deprivation, Design, Determinants, Evidence, Health Inequalities, Income, Interval, Intervals, Living, Low-Birth-Weight, Maternal Education, Measures, Medline, Meta Analysis, Meta-Analysis, Metaanalysis, Methods, Neighborhood Deprivation, Neonatal Care, Odds Ratio, Outcome, Outcome Measures, Outcomes, Perinatal, Perinatal Mortality, Perinatal Outcome, Perinatal Outcomes, Preterm, Preterm Birth, Preterm Birth, Preterm Delivery, Quality, Reference, Results, Review, Risk, Risks, Science, Screening, Selection, Small For Gestational Age, Small-For-Gestational Age, Social Deprivation, Socioeconomic Inequalities, Stillbirth, Systematic, Systematic Review, Urban Perinatal Health, Web Of Science</w:t>
      </w:r>
    </w:p>
    <w:p w:rsidR="003474F2" w:rsidRPr="001A3D2B" w:rsidRDefault="003474F2" w:rsidP="003474F2">
      <w:pPr>
        <w:pStyle w:val="1"/>
      </w:pPr>
      <w:r w:rsidRPr="001A3D2B">
        <w:br w:type="page"/>
      </w:r>
      <w:bookmarkStart w:id="73" w:name="_Toc420814270"/>
      <w:r w:rsidRPr="001A3D2B">
        <w:lastRenderedPageBreak/>
        <w:t>Title: Acta Odontologica Scandinavica</w:t>
      </w:r>
      <w:bookmarkEnd w:id="73"/>
    </w:p>
    <w:p w:rsidR="003474F2" w:rsidRPr="001A3D2B" w:rsidRDefault="003474F2" w:rsidP="003474F2">
      <w:pPr>
        <w:pStyle w:val="12"/>
      </w:pPr>
      <w:r w:rsidRPr="001A3D2B">
        <w:t>Full Journal Title: Acta Odontologica Scandinavica</w:t>
      </w:r>
    </w:p>
    <w:p w:rsidR="003474F2" w:rsidRPr="001A3D2B" w:rsidRDefault="003474F2" w:rsidP="003474F2">
      <w:pPr>
        <w:pStyle w:val="12"/>
      </w:pPr>
      <w:r w:rsidRPr="001A3D2B">
        <w:t>ISO Abbreviated Title: Acta Odontol. Scand.</w:t>
      </w:r>
    </w:p>
    <w:p w:rsidR="003474F2" w:rsidRPr="001A3D2B" w:rsidRDefault="003474F2" w:rsidP="003474F2">
      <w:pPr>
        <w:pStyle w:val="12"/>
      </w:pPr>
      <w:r w:rsidRPr="001A3D2B">
        <w:t>JCR Abbreviated Title: Acta Odontol Scand</w:t>
      </w:r>
    </w:p>
    <w:p w:rsidR="003474F2" w:rsidRPr="001A3D2B" w:rsidRDefault="003474F2" w:rsidP="003474F2">
      <w:pPr>
        <w:pStyle w:val="12"/>
      </w:pPr>
      <w:r w:rsidRPr="001A3D2B">
        <w:t>ISSN: 0001-6357</w:t>
      </w:r>
    </w:p>
    <w:p w:rsidR="003474F2" w:rsidRPr="001A3D2B" w:rsidRDefault="003474F2" w:rsidP="003474F2">
      <w:pPr>
        <w:pStyle w:val="12"/>
      </w:pPr>
      <w:r w:rsidRPr="001A3D2B">
        <w:t>ISSUES, Year: 6</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Journal Country, Territory: </w:t>
      </w:r>
      <w:smartTag w:uri="urn:schemas-microsoft-com:office:smarttags" w:element="place">
        <w:smartTag w:uri="urn:schemas-microsoft-com:office:smarttags" w:element="country-region">
          <w:r w:rsidRPr="001A3D2B">
            <w:t>Norway</w:t>
          </w:r>
        </w:smartTag>
      </w:smartTag>
    </w:p>
    <w:p w:rsidR="003474F2" w:rsidRPr="001A3D2B" w:rsidRDefault="003474F2" w:rsidP="003474F2">
      <w:pPr>
        <w:pStyle w:val="12"/>
      </w:pPr>
      <w:r w:rsidRPr="001A3D2B">
        <w:t>Publisher: Taylor &amp; Francis As</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12</w:t>
        </w:r>
      </w:smartTag>
      <w:r w:rsidRPr="001A3D2B">
        <w:t xml:space="preserve"> Posthuset, No-0051 Oslo, Norway</w:t>
      </w:r>
    </w:p>
    <w:p w:rsidR="003474F2" w:rsidRPr="001A3D2B" w:rsidRDefault="003474F2" w:rsidP="003474F2">
      <w:pPr>
        <w:pStyle w:val="12"/>
      </w:pPr>
      <w:r w:rsidRPr="001A3D2B">
        <w:t>Subject Categories: Dentistry, Oral Surgery &amp; Medicine</w:t>
      </w:r>
    </w:p>
    <w:p w:rsidR="003474F2" w:rsidRPr="001A3D2B" w:rsidRDefault="003474F2" w:rsidP="003474F2">
      <w:pPr>
        <w:pStyle w:val="12"/>
      </w:pPr>
      <w:r w:rsidRPr="001A3D2B">
        <w:t>Impact Factor: 0.783 (2005)</w:t>
      </w:r>
    </w:p>
    <w:p w:rsidR="003474F2" w:rsidRPr="001A3D2B" w:rsidRDefault="003474F2" w:rsidP="003474F2">
      <w:pPr>
        <w:pStyle w:val="a3"/>
      </w:pPr>
      <w:r w:rsidRPr="001A3D2B">
        <w:t>? Bondemark, L.</w:t>
      </w:r>
      <w:r w:rsidR="005853A9">
        <w:t xml:space="preserve"> and </w:t>
      </w:r>
      <w:r w:rsidRPr="001A3D2B">
        <w:t>Lilja-Karlander, L. (2004), A systematic review</w:t>
      </w:r>
      <w:r w:rsidR="00427468">
        <w:t xml:space="preserve"> of </w:t>
      </w:r>
      <w:r w:rsidRPr="001A3D2B">
        <w:t>Swedish research in orthodontics during</w:t>
      </w:r>
      <w:r w:rsidR="003A1917">
        <w:t xml:space="preserve"> the </w:t>
      </w:r>
      <w:r w:rsidRPr="001A3D2B">
        <w:t xml:space="preserve">past decade. </w:t>
      </w:r>
      <w:r w:rsidRPr="001A3D2B">
        <w:rPr>
          <w:i/>
          <w:iCs/>
        </w:rPr>
        <w:t>Acta Odontologica Scandinavica</w:t>
      </w:r>
      <w:r w:rsidRPr="001A3D2B">
        <w:t xml:space="preserve">, </w:t>
      </w:r>
      <w:r w:rsidRPr="001A3D2B">
        <w:rPr>
          <w:b/>
          <w:bCs/>
        </w:rPr>
        <w:t>62</w:t>
      </w:r>
      <w:r w:rsidRPr="001A3D2B">
        <w:t xml:space="preserve"> (1), 46-50.</w:t>
      </w:r>
    </w:p>
    <w:p w:rsidR="001B0703" w:rsidRPr="00F219CA" w:rsidRDefault="001B0703" w:rsidP="001B0703">
      <w:pPr>
        <w:pStyle w:val="a3"/>
      </w:pPr>
      <w:r w:rsidRPr="00F219CA">
        <w:t xml:space="preserve">Full Text: </w:t>
      </w:r>
      <w:hyperlink r:id="rId156" w:history="1">
        <w:r w:rsidRPr="002A3006">
          <w:rPr>
            <w:rStyle w:val="a5"/>
          </w:rPr>
          <w:t>2004\Act Odo Sca62, 46.pdf</w:t>
        </w:r>
      </w:hyperlink>
    </w:p>
    <w:p w:rsidR="003474F2" w:rsidRPr="001A3D2B" w:rsidRDefault="003474F2" w:rsidP="003474F2">
      <w:pPr>
        <w:pStyle w:val="a3"/>
      </w:pPr>
      <w:r w:rsidRPr="001A3D2B">
        <w:t>Abstract:</w:t>
      </w:r>
      <w:r w:rsidR="003A1917">
        <w:t xml:space="preserve"> the </w:t>
      </w:r>
      <w:r w:rsidRPr="001A3D2B">
        <w:t>aims</w:t>
      </w:r>
      <w:r w:rsidR="00427468">
        <w:t xml:space="preserve"> of </w:t>
      </w:r>
      <w:r w:rsidRPr="001A3D2B">
        <w:t>this systematic review were to identify</w:t>
      </w:r>
      <w:r w:rsidR="003A1917">
        <w:t xml:space="preserve"> the </w:t>
      </w:r>
      <w:r w:rsidRPr="001A3D2B">
        <w:t>study designs</w:t>
      </w:r>
      <w:r w:rsidR="005853A9">
        <w:t xml:space="preserve"> and </w:t>
      </w:r>
      <w:r w:rsidRPr="001A3D2B">
        <w:t>topics</w:t>
      </w:r>
      <w:r w:rsidR="00427468">
        <w:t xml:space="preserve"> of </w:t>
      </w:r>
      <w:r w:rsidRPr="001A3D2B">
        <w:t>Swedish orthodontic articles, to elucidate their international position,</w:t>
      </w:r>
      <w:r w:rsidR="005853A9">
        <w:t xml:space="preserve"> and </w:t>
      </w:r>
      <w:r w:rsidRPr="001A3D2B">
        <w:t>to verify in which scientific journals</w:t>
      </w:r>
      <w:r w:rsidR="003A1917">
        <w:t xml:space="preserve"> the </w:t>
      </w:r>
      <w:r w:rsidRPr="001A3D2B">
        <w:t>articles had been published in</w:t>
      </w:r>
      <w:r w:rsidR="003A1917">
        <w:t xml:space="preserve"> the </w:t>
      </w:r>
      <w:r w:rsidRPr="001A3D2B">
        <w:t>past decade. A search</w:t>
      </w:r>
      <w:r w:rsidR="00427468">
        <w:t xml:space="preserve"> of </w:t>
      </w:r>
      <w:r w:rsidR="003A1917">
        <w:t xml:space="preserve">the </w:t>
      </w:r>
      <w:r w:rsidR="00D5664A">
        <w:t>MEDLINE</w:t>
      </w:r>
      <w:r w:rsidRPr="001A3D2B">
        <w:t xml:space="preserve"> database for papers published between 1992</w:t>
      </w:r>
      <w:r w:rsidR="005853A9">
        <w:t xml:space="preserve"> and </w:t>
      </w:r>
      <w:r w:rsidRPr="001A3D2B">
        <w:t>2002 was made using</w:t>
      </w:r>
      <w:r w:rsidR="003A1917">
        <w:t xml:space="preserve"> the </w:t>
      </w:r>
      <w:r w:rsidRPr="001A3D2B">
        <w:t xml:space="preserve">Medical Search Heading terms </w:t>
      </w:r>
      <w:r w:rsidR="00700038">
        <w:t>‘</w:t>
      </w:r>
      <w:r w:rsidRPr="001A3D2B">
        <w:t>orthodontics</w:t>
      </w:r>
      <w:r w:rsidR="00700038">
        <w:t>’</w:t>
      </w:r>
      <w:r w:rsidRPr="001A3D2B">
        <w:t xml:space="preserve">, </w:t>
      </w:r>
      <w:r w:rsidR="00700038">
        <w:t>‘</w:t>
      </w:r>
      <w:r w:rsidRPr="001A3D2B">
        <w:t>malocclusion</w:t>
      </w:r>
      <w:r w:rsidR="00700038">
        <w:t>’</w:t>
      </w:r>
      <w:r w:rsidRPr="001A3D2B">
        <w:t xml:space="preserve">, </w:t>
      </w:r>
      <w:r w:rsidR="00700038">
        <w:t>‘</w:t>
      </w:r>
      <w:r w:rsidRPr="001A3D2B">
        <w:t>cephalometry</w:t>
      </w:r>
      <w:r w:rsidR="00700038">
        <w:t>’</w:t>
      </w:r>
      <w:r w:rsidRPr="001A3D2B">
        <w:t>,</w:t>
      </w:r>
      <w:r w:rsidR="005853A9">
        <w:t xml:space="preserve"> and </w:t>
      </w:r>
      <w:r w:rsidR="00700038">
        <w:t>‘</w:t>
      </w:r>
      <w:r w:rsidRPr="001A3D2B">
        <w:t>facial bones</w:t>
      </w:r>
      <w:r w:rsidR="005853A9">
        <w:t xml:space="preserve"> and </w:t>
      </w:r>
      <w:r w:rsidRPr="001A3D2B">
        <w:t>growth</w:t>
      </w:r>
      <w:r w:rsidR="00700038">
        <w:t>’</w:t>
      </w:r>
      <w:r w:rsidRPr="001A3D2B">
        <w:t>. Two independent reviewers selected</w:t>
      </w:r>
      <w:r w:rsidR="003A1917">
        <w:t xml:space="preserve"> the </w:t>
      </w:r>
      <w:r w:rsidRPr="001A3D2B">
        <w:t>articles</w:t>
      </w:r>
      <w:r w:rsidR="00427468">
        <w:t xml:space="preserve"> of </w:t>
      </w:r>
      <w:r w:rsidRPr="001A3D2B">
        <w:t>Swedish origin</w:t>
      </w:r>
      <w:r w:rsidR="005853A9">
        <w:t xml:space="preserve"> and </w:t>
      </w:r>
      <w:r w:rsidRPr="001A3D2B">
        <w:t>categorized each article according to research design</w:t>
      </w:r>
      <w:r w:rsidR="005853A9">
        <w:t xml:space="preserve"> and </w:t>
      </w:r>
      <w:r w:rsidRPr="001A3D2B">
        <w:t>principal topic. Overall, 15,571 articles in orthodontic research were found,</w:t>
      </w:r>
      <w:r w:rsidR="005853A9">
        <w:t xml:space="preserve"> and </w:t>
      </w:r>
      <w:r w:rsidR="003A1917">
        <w:t xml:space="preserve">the </w:t>
      </w:r>
      <w:r w:rsidRPr="001A3D2B">
        <w:t>Swedish contribution was 1.9% with</w:t>
      </w:r>
      <w:r w:rsidR="003A1917">
        <w:t xml:space="preserve"> the </w:t>
      </w:r>
      <w:r w:rsidRPr="001A3D2B">
        <w:t>majority</w:t>
      </w:r>
      <w:r w:rsidR="00427468">
        <w:t xml:space="preserve"> of </w:t>
      </w:r>
      <w:r w:rsidRPr="001A3D2B">
        <w:t>these (71.5%) being submitted by universities. Most</w:t>
      </w:r>
      <w:r w:rsidR="00427468">
        <w:t xml:space="preserve"> of </w:t>
      </w:r>
      <w:r w:rsidR="003A1917">
        <w:t xml:space="preserve">the </w:t>
      </w:r>
      <w:r w:rsidRPr="001A3D2B">
        <w:t>Swedish articles (84.5%) had been published in 10 journals</w:t>
      </w:r>
      <w:r w:rsidR="005853A9">
        <w:t xml:space="preserve"> and </w:t>
      </w:r>
      <w:r w:rsidRPr="001A3D2B">
        <w:t>many high-quality studies with orthodontic interest were published in nonorthodontic journals with higher impact factor scores than</w:t>
      </w:r>
      <w:r w:rsidR="003A1917">
        <w:t xml:space="preserve"> the </w:t>
      </w:r>
      <w:r w:rsidRPr="001A3D2B">
        <w:t>orthodontic journals. Every second study was prospective,</w:t>
      </w:r>
      <w:r w:rsidR="005853A9">
        <w:t xml:space="preserve"> and</w:t>
      </w:r>
      <w:r w:rsidR="00427468">
        <w:t xml:space="preserve"> of </w:t>
      </w:r>
      <w:r w:rsidRPr="001A3D2B">
        <w:t>these, 15 (5.2%</w:t>
      </w:r>
      <w:r w:rsidR="00427468">
        <w:t xml:space="preserve"> of </w:t>
      </w:r>
      <w:r w:rsidRPr="001A3D2B">
        <w:t>all Swedish articles) were randomized clinical trials (RCTs). It was found that nearly every third study, prospective as well as retrospective, was uncontrolled</w:t>
      </w:r>
      <w:r w:rsidR="00A37C1D">
        <w:t>. The</w:t>
      </w:r>
      <w:r w:rsidR="003A1917">
        <w:t xml:space="preserve"> </w:t>
      </w:r>
      <w:r w:rsidRPr="001A3D2B">
        <w:t>main classification was treatment studies (51.9%), followed by development (18.6%)</w:t>
      </w:r>
      <w:r w:rsidR="005853A9">
        <w:t xml:space="preserve"> and </w:t>
      </w:r>
      <w:r w:rsidRPr="001A3D2B">
        <w:t>diagnostic information (10.7%) studies. Thus,</w:t>
      </w:r>
      <w:r w:rsidR="003A1917">
        <w:t xml:space="preserve"> the </w:t>
      </w:r>
      <w:r w:rsidRPr="001A3D2B">
        <w:t>majority</w:t>
      </w:r>
      <w:r w:rsidR="00427468">
        <w:t xml:space="preserve"> of </w:t>
      </w:r>
      <w:r w:rsidR="003A1917">
        <w:t xml:space="preserve">the </w:t>
      </w:r>
      <w:r w:rsidRPr="001A3D2B">
        <w:t>articles evaluated therapeutic interventions; however, although</w:t>
      </w:r>
      <w:r w:rsidR="003A1917">
        <w:t xml:space="preserve"> the </w:t>
      </w:r>
      <w:r w:rsidRPr="001A3D2B">
        <w:t>RCT is</w:t>
      </w:r>
      <w:r w:rsidR="003A1917">
        <w:t xml:space="preserve"> the </w:t>
      </w:r>
      <w:r w:rsidRPr="001A3D2B">
        <w:t>preferred study design in evaluation studies, few used this method. In an era focused on evidence-based medicine, studies with an RCT design will be</w:t>
      </w:r>
      <w:r w:rsidR="003A1917">
        <w:t xml:space="preserve"> the </w:t>
      </w:r>
      <w:r w:rsidRPr="001A3D2B">
        <w:t>future challenge for research in</w:t>
      </w:r>
      <w:r w:rsidR="003A1917">
        <w:t xml:space="preserve"> the </w:t>
      </w:r>
      <w:r w:rsidRPr="001A3D2B">
        <w:t>field</w:t>
      </w:r>
      <w:r w:rsidR="00427468">
        <w:t xml:space="preserve"> of </w:t>
      </w:r>
      <w:r w:rsidRPr="001A3D2B">
        <w:t>orthodontics.</w:t>
      </w:r>
    </w:p>
    <w:p w:rsidR="003474F2" w:rsidRPr="001A3D2B" w:rsidRDefault="003474F2" w:rsidP="003474F2">
      <w:pPr>
        <w:pStyle w:val="a3"/>
      </w:pPr>
      <w:r w:rsidRPr="001A3D2B">
        <w:lastRenderedPageBreak/>
        <w:t>Keywords: Challenge, Classification, Clinical, Clinical Trials, Database, Design, Development, Evaluation, Evaluation Studies, Evidence Based, Evidence Based Medicine, Evidence-Based, Evidence-Based Medicine, Factor Scores, Field, Growth, Impact, Impact Factor, Impact Factor Scores, Information, International, Interventions, Journals, Medicine, Origin, Papers, Prospective, Randomized, RCT, Research, Research Design, Review, Scientific Journals, Study Design, Systematic Review, Therapeutic, Treatment, Universities</w:t>
      </w:r>
    </w:p>
    <w:p w:rsidR="00B46A11" w:rsidRDefault="00B46A11" w:rsidP="00B46A11">
      <w:pPr>
        <w:pStyle w:val="a3"/>
        <w:rPr>
          <w:kern w:val="0"/>
        </w:rPr>
      </w:pPr>
      <w:r>
        <w:rPr>
          <w:rFonts w:hint="eastAsia"/>
          <w:kern w:val="0"/>
        </w:rPr>
        <w:t xml:space="preserve">? </w:t>
      </w:r>
      <w:r>
        <w:rPr>
          <w:kern w:val="0"/>
        </w:rPr>
        <w:t>Poulsen, S., Gjorup, H., Haubek, D., Haukali, G., Hintze, H., Lovschall, H.</w:t>
      </w:r>
      <w:r w:rsidR="005853A9">
        <w:rPr>
          <w:kern w:val="0"/>
        </w:rPr>
        <w:t xml:space="preserve"> and </w:t>
      </w:r>
      <w:r>
        <w:rPr>
          <w:kern w:val="0"/>
        </w:rPr>
        <w:t>Errboe, M. (2008), Amelogenesis imperfecta - A systematic literature review</w:t>
      </w:r>
      <w:r w:rsidR="00427468">
        <w:rPr>
          <w:kern w:val="0"/>
        </w:rPr>
        <w:t xml:space="preserve"> of </w:t>
      </w:r>
      <w:r>
        <w:rPr>
          <w:kern w:val="0"/>
        </w:rPr>
        <w:t>associated dental</w:t>
      </w:r>
      <w:r w:rsidR="005853A9">
        <w:rPr>
          <w:kern w:val="0"/>
        </w:rPr>
        <w:t xml:space="preserve"> and </w:t>
      </w:r>
      <w:r>
        <w:rPr>
          <w:kern w:val="0"/>
        </w:rPr>
        <w:t>oro-facial abnormalities</w:t>
      </w:r>
      <w:r w:rsidR="005853A9">
        <w:rPr>
          <w:kern w:val="0"/>
        </w:rPr>
        <w:t xml:space="preserve"> and </w:t>
      </w:r>
      <w:r>
        <w:rPr>
          <w:kern w:val="0"/>
        </w:rPr>
        <w:t xml:space="preserve">their impact on patients. </w:t>
      </w:r>
      <w:r>
        <w:rPr>
          <w:i/>
          <w:iCs/>
          <w:kern w:val="0"/>
        </w:rPr>
        <w:t>Acta Odontologica Scandinavica</w:t>
      </w:r>
      <w:r>
        <w:rPr>
          <w:kern w:val="0"/>
        </w:rPr>
        <w:t xml:space="preserve">, </w:t>
      </w:r>
      <w:r>
        <w:rPr>
          <w:b/>
          <w:bCs/>
          <w:kern w:val="0"/>
        </w:rPr>
        <w:t>66</w:t>
      </w:r>
      <w:r>
        <w:rPr>
          <w:kern w:val="0"/>
        </w:rPr>
        <w:t xml:space="preserve"> (4), 193-199.</w:t>
      </w:r>
    </w:p>
    <w:p w:rsidR="00B46A11" w:rsidRPr="00F219CA" w:rsidRDefault="00B46A11" w:rsidP="00B46A11">
      <w:pPr>
        <w:pStyle w:val="a3"/>
      </w:pPr>
      <w:r w:rsidRPr="00F219CA">
        <w:t xml:space="preserve">Full Text: </w:t>
      </w:r>
      <w:hyperlink r:id="rId157" w:history="1">
        <w:r w:rsidR="00C73085" w:rsidRPr="00C73085">
          <w:rPr>
            <w:rStyle w:val="a5"/>
          </w:rPr>
          <w:t>2008\Act Odo Sca66, 193.pdf</w:t>
        </w:r>
      </w:hyperlink>
    </w:p>
    <w:p w:rsidR="00B46A11" w:rsidRDefault="00B46A11" w:rsidP="00B46A11">
      <w:pPr>
        <w:pStyle w:val="a3"/>
        <w:rPr>
          <w:kern w:val="0"/>
        </w:rPr>
      </w:pPr>
      <w:r>
        <w:rPr>
          <w:kern w:val="0"/>
        </w:rPr>
        <w:t>Abstract: Objective. Amelogenesis imperfecta (AI) is a disease primarily affecting amelogenesis, but other aberrations have been reported</w:t>
      </w:r>
      <w:r w:rsidR="00A37C1D">
        <w:rPr>
          <w:kern w:val="0"/>
        </w:rPr>
        <w:t>. The</w:t>
      </w:r>
      <w:r w:rsidR="003A1917">
        <w:rPr>
          <w:kern w:val="0"/>
        </w:rPr>
        <w:t xml:space="preserve"> </w:t>
      </w:r>
      <w:r>
        <w:rPr>
          <w:kern w:val="0"/>
        </w:rPr>
        <w:t>purposes</w:t>
      </w:r>
      <w:r w:rsidR="00427468">
        <w:rPr>
          <w:kern w:val="0"/>
        </w:rPr>
        <w:t xml:space="preserve"> of </w:t>
      </w:r>
      <w:r>
        <w:rPr>
          <w:kern w:val="0"/>
        </w:rPr>
        <w:t>this review were: (1) to identify other anomalies associated with AI,</w:t>
      </w:r>
      <w:r w:rsidR="005853A9">
        <w:rPr>
          <w:kern w:val="0"/>
        </w:rPr>
        <w:t xml:space="preserve"> and </w:t>
      </w:r>
      <w:r>
        <w:rPr>
          <w:kern w:val="0"/>
        </w:rPr>
        <w:t>(2) to describe</w:t>
      </w:r>
      <w:r w:rsidR="003A1917">
        <w:rPr>
          <w:kern w:val="0"/>
        </w:rPr>
        <w:t xml:space="preserve"> the </w:t>
      </w:r>
      <w:r>
        <w:rPr>
          <w:kern w:val="0"/>
        </w:rPr>
        <w:t>impact</w:t>
      </w:r>
      <w:r w:rsidR="00427468">
        <w:rPr>
          <w:kern w:val="0"/>
        </w:rPr>
        <w:t xml:space="preserve"> of </w:t>
      </w:r>
      <w:r w:rsidR="003A1917">
        <w:rPr>
          <w:kern w:val="0"/>
        </w:rPr>
        <w:t xml:space="preserve">the </w:t>
      </w:r>
      <w:r>
        <w:rPr>
          <w:kern w:val="0"/>
        </w:rPr>
        <w:t>disease</w:t>
      </w:r>
      <w:r w:rsidR="005853A9">
        <w:rPr>
          <w:kern w:val="0"/>
        </w:rPr>
        <w:t xml:space="preserve"> and </w:t>
      </w:r>
      <w:r>
        <w:rPr>
          <w:kern w:val="0"/>
        </w:rPr>
        <w:t>its associated conditions on</w:t>
      </w:r>
      <w:r w:rsidR="003A1917">
        <w:rPr>
          <w:kern w:val="0"/>
        </w:rPr>
        <w:t xml:space="preserve"> the </w:t>
      </w:r>
      <w:r>
        <w:rPr>
          <w:kern w:val="0"/>
        </w:rPr>
        <w:t>oral health-related quality</w:t>
      </w:r>
      <w:r w:rsidR="00427468">
        <w:rPr>
          <w:kern w:val="0"/>
        </w:rPr>
        <w:t xml:space="preserve"> of </w:t>
      </w:r>
      <w:r>
        <w:rPr>
          <w:kern w:val="0"/>
        </w:rPr>
        <w:t>life</w:t>
      </w:r>
      <w:r w:rsidR="00427468">
        <w:rPr>
          <w:kern w:val="0"/>
        </w:rPr>
        <w:t xml:space="preserve"> of </w:t>
      </w:r>
      <w:r>
        <w:rPr>
          <w:kern w:val="0"/>
        </w:rPr>
        <w:t>patients,</w:t>
      </w:r>
      <w:r w:rsidR="005853A9">
        <w:rPr>
          <w:kern w:val="0"/>
        </w:rPr>
        <w:t xml:space="preserve"> and </w:t>
      </w:r>
      <w:r w:rsidR="003A1917">
        <w:rPr>
          <w:kern w:val="0"/>
        </w:rPr>
        <w:t xml:space="preserve">the </w:t>
      </w:r>
      <w:r>
        <w:rPr>
          <w:kern w:val="0"/>
        </w:rPr>
        <w:t>economic consequences. Material</w:t>
      </w:r>
      <w:r w:rsidR="005853A9">
        <w:rPr>
          <w:kern w:val="0"/>
        </w:rPr>
        <w:t xml:space="preserve"> and </w:t>
      </w:r>
      <w:r>
        <w:rPr>
          <w:kern w:val="0"/>
        </w:rPr>
        <w:t>methods. A literature search was conducted in</w:t>
      </w:r>
      <w:r w:rsidR="003A1917">
        <w:rPr>
          <w:kern w:val="0"/>
        </w:rPr>
        <w:t xml:space="preserve"> the </w:t>
      </w:r>
      <w:r>
        <w:rPr>
          <w:kern w:val="0"/>
        </w:rPr>
        <w:t xml:space="preserve">following databases: </w:t>
      </w:r>
      <w:r w:rsidR="002C12F0">
        <w:rPr>
          <w:kern w:val="0"/>
        </w:rPr>
        <w:t>PUBMED</w:t>
      </w:r>
      <w:r>
        <w:rPr>
          <w:kern w:val="0"/>
        </w:rPr>
        <w:t>, EMBASE, Bibliotek.dk,</w:t>
      </w:r>
      <w:r w:rsidR="003A1917">
        <w:rPr>
          <w:kern w:val="0"/>
        </w:rPr>
        <w:t xml:space="preserve"> the </w:t>
      </w:r>
      <w:r>
        <w:rPr>
          <w:kern w:val="0"/>
        </w:rPr>
        <w:t xml:space="preserve">Cochrane Library,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OMIM, supplemented by a search for selected authors. Based on titles</w:t>
      </w:r>
      <w:r w:rsidR="005853A9">
        <w:rPr>
          <w:kern w:val="0"/>
        </w:rPr>
        <w:t xml:space="preserve"> and </w:t>
      </w:r>
      <w:r>
        <w:rPr>
          <w:kern w:val="0"/>
        </w:rPr>
        <w:t>abstracts, 137 papers were identified. Results. Most articles were case reports or case series with few cases. Aberrations were reported in</w:t>
      </w:r>
      <w:r w:rsidR="003A1917">
        <w:rPr>
          <w:kern w:val="0"/>
        </w:rPr>
        <w:t xml:space="preserve"> the </w:t>
      </w:r>
      <w:r>
        <w:rPr>
          <w:kern w:val="0"/>
        </w:rPr>
        <w:t>eruption process, in</w:t>
      </w:r>
      <w:r w:rsidR="003A1917">
        <w:rPr>
          <w:kern w:val="0"/>
        </w:rPr>
        <w:t xml:space="preserve"> the </w:t>
      </w:r>
      <w:r>
        <w:rPr>
          <w:kern w:val="0"/>
        </w:rPr>
        <w:t>morphology</w:t>
      </w:r>
      <w:r w:rsidR="00427468">
        <w:rPr>
          <w:kern w:val="0"/>
        </w:rPr>
        <w:t xml:space="preserve"> of </w:t>
      </w:r>
      <w:r w:rsidR="003A1917">
        <w:rPr>
          <w:kern w:val="0"/>
        </w:rPr>
        <w:t xml:space="preserve">the </w:t>
      </w:r>
      <w:r>
        <w:rPr>
          <w:kern w:val="0"/>
        </w:rPr>
        <w:t>crown, in</w:t>
      </w:r>
      <w:r w:rsidR="003A1917">
        <w:rPr>
          <w:kern w:val="0"/>
        </w:rPr>
        <w:t xml:space="preserve"> the </w:t>
      </w:r>
      <w:r>
        <w:rPr>
          <w:kern w:val="0"/>
        </w:rPr>
        <w:t>pulp-dentine organ,</w:t>
      </w:r>
      <w:r w:rsidR="005853A9">
        <w:rPr>
          <w:kern w:val="0"/>
        </w:rPr>
        <w:t xml:space="preserve"> and </w:t>
      </w:r>
      <w:r>
        <w:rPr>
          <w:kern w:val="0"/>
        </w:rPr>
        <w:t>in</w:t>
      </w:r>
      <w:r w:rsidR="003A1917">
        <w:rPr>
          <w:kern w:val="0"/>
        </w:rPr>
        <w:t xml:space="preserve"> the </w:t>
      </w:r>
      <w:r>
        <w:rPr>
          <w:kern w:val="0"/>
        </w:rPr>
        <w:t>number</w:t>
      </w:r>
      <w:r w:rsidR="00427468">
        <w:rPr>
          <w:kern w:val="0"/>
        </w:rPr>
        <w:t xml:space="preserve"> of </w:t>
      </w:r>
      <w:r>
        <w:rPr>
          <w:kern w:val="0"/>
        </w:rPr>
        <w:t>teeth. Gingival conditions</w:t>
      </w:r>
      <w:r w:rsidR="005853A9">
        <w:rPr>
          <w:kern w:val="0"/>
        </w:rPr>
        <w:t xml:space="preserve"> and </w:t>
      </w:r>
      <w:r>
        <w:rPr>
          <w:kern w:val="0"/>
        </w:rPr>
        <w:t>oral hygiene were usually reported to be poor,</w:t>
      </w:r>
      <w:r w:rsidR="005853A9">
        <w:rPr>
          <w:kern w:val="0"/>
        </w:rPr>
        <w:t xml:space="preserve"> and </w:t>
      </w:r>
      <w:r>
        <w:rPr>
          <w:kern w:val="0"/>
        </w:rPr>
        <w:t>calculus was a common finding. Open bite was</w:t>
      </w:r>
      <w:r w:rsidR="003A1917">
        <w:rPr>
          <w:kern w:val="0"/>
        </w:rPr>
        <w:t xml:space="preserve"> the </w:t>
      </w:r>
      <w:r>
        <w:rPr>
          <w:kern w:val="0"/>
        </w:rPr>
        <w:t>most commonly reported malocclusion. A negative impact on patients</w:t>
      </w:r>
      <w:r w:rsidR="00700038">
        <w:rPr>
          <w:kern w:val="0"/>
        </w:rPr>
        <w:t>’</w:t>
      </w:r>
      <w:r>
        <w:rPr>
          <w:kern w:val="0"/>
        </w:rPr>
        <w:t xml:space="preserve"> oral health-related quality</w:t>
      </w:r>
      <w:r w:rsidR="00427468">
        <w:rPr>
          <w:kern w:val="0"/>
        </w:rPr>
        <w:t xml:space="preserve"> of </w:t>
      </w:r>
      <w:r>
        <w:rPr>
          <w:kern w:val="0"/>
        </w:rPr>
        <w:t>life was described, but information was scarce. No information was found on</w:t>
      </w:r>
      <w:r w:rsidR="003A1917">
        <w:rPr>
          <w:kern w:val="0"/>
        </w:rPr>
        <w:t xml:space="preserve"> the </w:t>
      </w:r>
      <w:r>
        <w:rPr>
          <w:kern w:val="0"/>
        </w:rPr>
        <w:t>economic impact. Conclusions. A number</w:t>
      </w:r>
      <w:r w:rsidR="00427468">
        <w:rPr>
          <w:kern w:val="0"/>
        </w:rPr>
        <w:t xml:space="preserve"> of </w:t>
      </w:r>
      <w:r>
        <w:rPr>
          <w:kern w:val="0"/>
        </w:rPr>
        <w:t>aberrations associated with AI have been reported, but not sufficiently systematic to allow for a secondary analysis</w:t>
      </w:r>
      <w:r w:rsidR="005853A9">
        <w:rPr>
          <w:kern w:val="0"/>
        </w:rPr>
        <w:t xml:space="preserve"> and </w:t>
      </w:r>
      <w:r>
        <w:rPr>
          <w:kern w:val="0"/>
        </w:rPr>
        <w:t>synthesis</w:t>
      </w:r>
      <w:r w:rsidR="00427468">
        <w:rPr>
          <w:kern w:val="0"/>
        </w:rPr>
        <w:t xml:space="preserve"> of </w:t>
      </w:r>
      <w:r w:rsidR="003A1917">
        <w:rPr>
          <w:kern w:val="0"/>
        </w:rPr>
        <w:t xml:space="preserve">the </w:t>
      </w:r>
      <w:r>
        <w:rPr>
          <w:kern w:val="0"/>
        </w:rPr>
        <w:t>findings</w:t>
      </w:r>
      <w:r w:rsidR="00A37C1D">
        <w:rPr>
          <w:kern w:val="0"/>
        </w:rPr>
        <w:t>. The</w:t>
      </w:r>
      <w:r w:rsidR="003A1917">
        <w:rPr>
          <w:kern w:val="0"/>
        </w:rPr>
        <w:t xml:space="preserve"> </w:t>
      </w:r>
      <w:r>
        <w:rPr>
          <w:kern w:val="0"/>
        </w:rPr>
        <w:t>impact on patients in terms</w:t>
      </w:r>
      <w:r w:rsidR="00427468">
        <w:rPr>
          <w:kern w:val="0"/>
        </w:rPr>
        <w:t xml:space="preserve"> of </w:t>
      </w:r>
      <w:r>
        <w:rPr>
          <w:kern w:val="0"/>
        </w:rPr>
        <w:t>reduced quality</w:t>
      </w:r>
      <w:r w:rsidR="00427468">
        <w:rPr>
          <w:kern w:val="0"/>
        </w:rPr>
        <w:t xml:space="preserve"> of </w:t>
      </w:r>
      <w:r>
        <w:rPr>
          <w:kern w:val="0"/>
        </w:rPr>
        <w:t>life</w:t>
      </w:r>
      <w:r w:rsidR="005853A9">
        <w:rPr>
          <w:kern w:val="0"/>
        </w:rPr>
        <w:t xml:space="preserve"> and </w:t>
      </w:r>
      <w:r>
        <w:rPr>
          <w:kern w:val="0"/>
        </w:rPr>
        <w:t>economic burden needs to be studied.</w:t>
      </w:r>
    </w:p>
    <w:p w:rsidR="00B46A11" w:rsidRDefault="00B46A11" w:rsidP="00B46A11">
      <w:pPr>
        <w:pStyle w:val="a3"/>
        <w:rPr>
          <w:kern w:val="0"/>
        </w:rPr>
      </w:pPr>
      <w:r>
        <w:rPr>
          <w:kern w:val="0"/>
        </w:rPr>
        <w:t>Keywords: Amelogenesis Imperfecta, Analysis, Associated Anomalies, Authors, Burden, Case Reports, Case Series, Ceramic Restorations, Clinical Report, Cochrane, Databases, Disease, Economic Burden, Embase, Health-Related Quality</w:t>
      </w:r>
      <w:r w:rsidR="00427468">
        <w:rPr>
          <w:kern w:val="0"/>
        </w:rPr>
        <w:t xml:space="preserve"> of </w:t>
      </w:r>
      <w:r>
        <w:rPr>
          <w:kern w:val="0"/>
        </w:rPr>
        <w:t xml:space="preserve">Life, Hereditary, Hypomaturation Type, Impact, Information, Literature, Literature Review, Northern Swedish County, Open Bite Deformity, Oral Rehabilitation, Papers, </w:t>
      </w:r>
      <w:r w:rsidR="002C12F0">
        <w:rPr>
          <w:kern w:val="0"/>
        </w:rPr>
        <w:t>PUBMED</w:t>
      </w:r>
      <w:r>
        <w:rPr>
          <w:kern w:val="0"/>
        </w:rPr>
        <w:t>, Quality</w:t>
      </w:r>
      <w:r w:rsidR="00427468">
        <w:rPr>
          <w:kern w:val="0"/>
        </w:rPr>
        <w:t xml:space="preserve"> of </w:t>
      </w:r>
      <w:r>
        <w:rPr>
          <w:kern w:val="0"/>
        </w:rPr>
        <w:t xml:space="preserve">Life, Restoring Function, Review, Science, Skeletal Open Bite, Systematic, Systematic Literature Review, Systematic Review, Taurodontism, </w:t>
      </w:r>
      <w:r w:rsidR="00D5664A">
        <w:rPr>
          <w:kern w:val="0"/>
        </w:rPr>
        <w:t>Web</w:t>
      </w:r>
      <w:r w:rsidR="00427468">
        <w:rPr>
          <w:kern w:val="0"/>
        </w:rPr>
        <w:t xml:space="preserve"> of </w:t>
      </w:r>
      <w:r w:rsidR="00D5664A">
        <w:rPr>
          <w:kern w:val="0"/>
        </w:rPr>
        <w:t>Science</w:t>
      </w:r>
    </w:p>
    <w:p w:rsidR="00B46A11" w:rsidRDefault="00B46A11" w:rsidP="00B46A11">
      <w:pPr>
        <w:pStyle w:val="a3"/>
        <w:rPr>
          <w:kern w:val="0"/>
        </w:rPr>
      </w:pPr>
      <w:r>
        <w:rPr>
          <w:rFonts w:hint="eastAsia"/>
          <w:kern w:val="0"/>
        </w:rPr>
        <w:t xml:space="preserve">? </w:t>
      </w:r>
      <w:r>
        <w:rPr>
          <w:kern w:val="0"/>
        </w:rPr>
        <w:t>Alanko, O.M.E., Svedstrom-Oristo, A.L.</w:t>
      </w:r>
      <w:r w:rsidR="005853A9">
        <w:rPr>
          <w:kern w:val="0"/>
        </w:rPr>
        <w:t xml:space="preserve"> and </w:t>
      </w:r>
      <w:r>
        <w:rPr>
          <w:kern w:val="0"/>
        </w:rPr>
        <w:t>Tuomisto, M.T. (2010), Patients</w:t>
      </w:r>
      <w:r w:rsidR="00700038">
        <w:rPr>
          <w:kern w:val="0"/>
        </w:rPr>
        <w:t>’</w:t>
      </w:r>
      <w:r>
        <w:rPr>
          <w:kern w:val="0"/>
        </w:rPr>
        <w:t xml:space="preserve"> </w:t>
      </w:r>
      <w:r>
        <w:rPr>
          <w:kern w:val="0"/>
        </w:rPr>
        <w:lastRenderedPageBreak/>
        <w:t>perceptions</w:t>
      </w:r>
      <w:r w:rsidR="00427468">
        <w:rPr>
          <w:kern w:val="0"/>
        </w:rPr>
        <w:t xml:space="preserve"> of </w:t>
      </w:r>
      <w:r>
        <w:rPr>
          <w:kern w:val="0"/>
        </w:rPr>
        <w:t>orthognathic treatment, well-being,</w:t>
      </w:r>
      <w:r w:rsidR="005853A9">
        <w:rPr>
          <w:kern w:val="0"/>
        </w:rPr>
        <w:t xml:space="preserve"> and </w:t>
      </w:r>
      <w:r>
        <w:rPr>
          <w:kern w:val="0"/>
        </w:rPr>
        <w:t xml:space="preserve">psychological or psychiatric status: A systematic review. </w:t>
      </w:r>
      <w:r>
        <w:rPr>
          <w:i/>
          <w:iCs/>
          <w:kern w:val="0"/>
        </w:rPr>
        <w:t>Acta Odontologica Scandinavica</w:t>
      </w:r>
      <w:r>
        <w:rPr>
          <w:kern w:val="0"/>
        </w:rPr>
        <w:t xml:space="preserve">, </w:t>
      </w:r>
      <w:r>
        <w:rPr>
          <w:b/>
          <w:bCs/>
          <w:kern w:val="0"/>
        </w:rPr>
        <w:t>68</w:t>
      </w:r>
      <w:r>
        <w:rPr>
          <w:kern w:val="0"/>
        </w:rPr>
        <w:t xml:space="preserve"> (5), 249-260.</w:t>
      </w:r>
    </w:p>
    <w:p w:rsidR="00B46A11" w:rsidRPr="00F219CA" w:rsidRDefault="00B46A11" w:rsidP="00B46A11">
      <w:pPr>
        <w:pStyle w:val="a3"/>
      </w:pPr>
      <w:r w:rsidRPr="00F219CA">
        <w:t xml:space="preserve">Full Text: </w:t>
      </w:r>
      <w:hyperlink r:id="rId158" w:history="1">
        <w:r w:rsidR="00405A85" w:rsidRPr="00405A85">
          <w:rPr>
            <w:rStyle w:val="a5"/>
          </w:rPr>
          <w:t>2010\Act Odo Sca68, 249.pdf</w:t>
        </w:r>
      </w:hyperlink>
    </w:p>
    <w:p w:rsidR="00B46A11" w:rsidRDefault="00B46A11" w:rsidP="00B46A11">
      <w:pPr>
        <w:pStyle w:val="a3"/>
        <w:rPr>
          <w:kern w:val="0"/>
        </w:rPr>
      </w:pPr>
      <w:r>
        <w:rPr>
          <w:kern w:val="0"/>
        </w:rPr>
        <w:t>Abstract: Objective. To conduct a systematic review</w:t>
      </w:r>
      <w:r w:rsidR="00427468">
        <w:rPr>
          <w:kern w:val="0"/>
        </w:rPr>
        <w:t xml:space="preserve"> of </w:t>
      </w:r>
      <w:r>
        <w:rPr>
          <w:kern w:val="0"/>
        </w:rPr>
        <w:t>studies concerning</w:t>
      </w:r>
      <w:r w:rsidR="003A1917">
        <w:rPr>
          <w:kern w:val="0"/>
        </w:rPr>
        <w:t xml:space="preserve"> the </w:t>
      </w:r>
      <w:r>
        <w:rPr>
          <w:kern w:val="0"/>
        </w:rPr>
        <w:t>psychosocial well-being</w:t>
      </w:r>
      <w:r w:rsidR="00427468">
        <w:rPr>
          <w:kern w:val="0"/>
        </w:rPr>
        <w:t xml:space="preserve"> of </w:t>
      </w:r>
      <w:r>
        <w:rPr>
          <w:kern w:val="0"/>
        </w:rPr>
        <w:t>surgical orthodontic patients. Material</w:t>
      </w:r>
      <w:r w:rsidR="005853A9">
        <w:rPr>
          <w:kern w:val="0"/>
        </w:rPr>
        <w:t xml:space="preserve"> and </w:t>
      </w:r>
      <w:r>
        <w:rPr>
          <w:kern w:val="0"/>
        </w:rPr>
        <w:t>methods. Articles published between 2001</w:t>
      </w:r>
      <w:r w:rsidR="005853A9">
        <w:rPr>
          <w:kern w:val="0"/>
        </w:rPr>
        <w:t xml:space="preserve"> and </w:t>
      </w:r>
      <w:r>
        <w:rPr>
          <w:kern w:val="0"/>
        </w:rPr>
        <w:t xml:space="preserve">2009 were searched using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PsycInfo. Only articles written in English were included. Articles on methodological issues or on patients with clefts or syndromes or studies in which treatment had included surgically assisted maxillary expansion or intermaxillary fixation were excluded</w:t>
      </w:r>
      <w:r w:rsidR="00A37C1D">
        <w:rPr>
          <w:kern w:val="0"/>
        </w:rPr>
        <w:t>. The</w:t>
      </w:r>
      <w:r w:rsidR="003A1917">
        <w:rPr>
          <w:kern w:val="0"/>
        </w:rPr>
        <w:t xml:space="preserve"> </w:t>
      </w:r>
      <w:r>
        <w:rPr>
          <w:kern w:val="0"/>
        </w:rPr>
        <w:t>exclusion</w:t>
      </w:r>
      <w:r w:rsidR="00427468">
        <w:rPr>
          <w:kern w:val="0"/>
        </w:rPr>
        <w:t xml:space="preserve"> of </w:t>
      </w:r>
      <w:r>
        <w:rPr>
          <w:kern w:val="0"/>
        </w:rPr>
        <w:t>articles was carried out in collaboration with two reviewers. To find new relevant articles, references from all</w:t>
      </w:r>
      <w:r w:rsidR="003A1917">
        <w:rPr>
          <w:kern w:val="0"/>
        </w:rPr>
        <w:t xml:space="preserve"> the </w:t>
      </w:r>
      <w:r>
        <w:rPr>
          <w:kern w:val="0"/>
        </w:rPr>
        <w:t>obtained review articles were hand-searched. Thirty-five articles fulfilled</w:t>
      </w:r>
      <w:r w:rsidR="003A1917">
        <w:rPr>
          <w:kern w:val="0"/>
        </w:rPr>
        <w:t xml:space="preserve"> the </w:t>
      </w:r>
      <w:r>
        <w:rPr>
          <w:kern w:val="0"/>
        </w:rPr>
        <w:t>selection criteria</w:t>
      </w:r>
      <w:r w:rsidR="005853A9">
        <w:rPr>
          <w:kern w:val="0"/>
        </w:rPr>
        <w:t xml:space="preserve"> and </w:t>
      </w:r>
      <w:r>
        <w:rPr>
          <w:kern w:val="0"/>
        </w:rPr>
        <w:t>were included in this review. Results</w:t>
      </w:r>
      <w:r w:rsidR="00A37C1D">
        <w:rPr>
          <w:kern w:val="0"/>
        </w:rPr>
        <w:t>. The</w:t>
      </w:r>
      <w:r w:rsidR="003A1917">
        <w:rPr>
          <w:kern w:val="0"/>
        </w:rPr>
        <w:t xml:space="preserve"> </w:t>
      </w:r>
      <w:r>
        <w:rPr>
          <w:kern w:val="0"/>
        </w:rPr>
        <w:t>main motives for seeking treatment were improvements in self-confidence, appearance,</w:t>
      </w:r>
      <w:r w:rsidR="005853A9">
        <w:rPr>
          <w:kern w:val="0"/>
        </w:rPr>
        <w:t xml:space="preserve"> and </w:t>
      </w:r>
      <w:r>
        <w:rPr>
          <w:kern w:val="0"/>
        </w:rPr>
        <w:t>oral function. Patients were not found to suffer from psychiatric problems. Treatment resulted in self-reported improvements in well-being, even though these improvements were not found with current assessment methods. Changes in well-being were most often registered using measures designed for evaluation</w:t>
      </w:r>
      <w:r w:rsidR="00427468">
        <w:rPr>
          <w:kern w:val="0"/>
        </w:rPr>
        <w:t xml:space="preserve"> of </w:t>
      </w:r>
      <w:r w:rsidR="003A1917">
        <w:rPr>
          <w:kern w:val="0"/>
        </w:rPr>
        <w:t xml:space="preserve">the </w:t>
      </w:r>
      <w:r>
        <w:rPr>
          <w:kern w:val="0"/>
        </w:rPr>
        <w:t>impact</w:t>
      </w:r>
      <w:r w:rsidR="00427468">
        <w:rPr>
          <w:kern w:val="0"/>
        </w:rPr>
        <w:t xml:space="preserve"> of </w:t>
      </w:r>
      <w:r>
        <w:rPr>
          <w:kern w:val="0"/>
        </w:rPr>
        <w:t>oral health on quality</w:t>
      </w:r>
      <w:r w:rsidR="00427468">
        <w:rPr>
          <w:kern w:val="0"/>
        </w:rPr>
        <w:t xml:space="preserve"> of </w:t>
      </w:r>
      <w:r>
        <w:rPr>
          <w:kern w:val="0"/>
        </w:rPr>
        <w:t>life (e.g</w:t>
      </w:r>
      <w:r w:rsidR="00A37C1D">
        <w:rPr>
          <w:kern w:val="0"/>
        </w:rPr>
        <w:t>. The</w:t>
      </w:r>
      <w:r w:rsidR="003A1917">
        <w:rPr>
          <w:kern w:val="0"/>
        </w:rPr>
        <w:t xml:space="preserve"> </w:t>
      </w:r>
      <w:r>
        <w:rPr>
          <w:kern w:val="0"/>
        </w:rPr>
        <w:t>Orthognathic Quality</w:t>
      </w:r>
      <w:r w:rsidR="00427468">
        <w:rPr>
          <w:kern w:val="0"/>
        </w:rPr>
        <w:t xml:space="preserve"> of </w:t>
      </w:r>
      <w:r>
        <w:rPr>
          <w:kern w:val="0"/>
        </w:rPr>
        <w:t>Life Questionnaire</w:t>
      </w:r>
      <w:r w:rsidR="005853A9">
        <w:rPr>
          <w:kern w:val="0"/>
        </w:rPr>
        <w:t xml:space="preserve"> and </w:t>
      </w:r>
      <w:r w:rsidR="003A1917">
        <w:rPr>
          <w:kern w:val="0"/>
        </w:rPr>
        <w:t xml:space="preserve">the </w:t>
      </w:r>
      <w:r>
        <w:rPr>
          <w:kern w:val="0"/>
        </w:rPr>
        <w:t>Oral Health Impact Profile). Conclusions. Surgical orthodontic patients do not experience psychiatric problems related to their dentofacial disharmony in general. However, subgroups</w:t>
      </w:r>
      <w:r w:rsidR="00427468">
        <w:rPr>
          <w:kern w:val="0"/>
        </w:rPr>
        <w:t xml:space="preserve"> of </w:t>
      </w:r>
      <w:r>
        <w:rPr>
          <w:kern w:val="0"/>
        </w:rPr>
        <w:t>patients may still experience problems, such as anxiety or depression, as many studies only report patients</w:t>
      </w:r>
      <w:r w:rsidR="00700038">
        <w:rPr>
          <w:kern w:val="0"/>
        </w:rPr>
        <w:t>’</w:t>
      </w:r>
      <w:r>
        <w:rPr>
          <w:kern w:val="0"/>
        </w:rPr>
        <w:t xml:space="preserve"> mean problem scores</w:t>
      </w:r>
      <w:r w:rsidR="005853A9">
        <w:rPr>
          <w:kern w:val="0"/>
        </w:rPr>
        <w:t xml:space="preserve"> and </w:t>
      </w:r>
      <w:r>
        <w:rPr>
          <w:kern w:val="0"/>
        </w:rPr>
        <w:t>compare them to controls</w:t>
      </w:r>
      <w:r w:rsidR="00700038">
        <w:rPr>
          <w:kern w:val="0"/>
        </w:rPr>
        <w:t>’</w:t>
      </w:r>
      <w:r>
        <w:rPr>
          <w:kern w:val="0"/>
        </w:rPr>
        <w:t xml:space="preserve"> scores or population norms. New assessment methods focusing on day-to-day changes in mood</w:t>
      </w:r>
      <w:r w:rsidR="005853A9">
        <w:rPr>
          <w:kern w:val="0"/>
        </w:rPr>
        <w:t xml:space="preserve"> and </w:t>
      </w:r>
      <w:r>
        <w:rPr>
          <w:kern w:val="0"/>
        </w:rPr>
        <w:t>well-being, as well as prospective studies with controls, are needed.</w:t>
      </w:r>
    </w:p>
    <w:p w:rsidR="00B46A11" w:rsidRDefault="00B46A11" w:rsidP="00B46A11">
      <w:pPr>
        <w:pStyle w:val="a3"/>
        <w:rPr>
          <w:kern w:val="0"/>
        </w:rPr>
      </w:pPr>
      <w:r>
        <w:rPr>
          <w:kern w:val="0"/>
        </w:rPr>
        <w:t>Keywords: Anxiety, Articles, Assessment, Body-Image, Collaboration, Dentofacial Deformity, Depression, Depression Scale, Disorder, Evaluation, Facial Appearance, Follow</w:t>
      </w:r>
      <w:r w:rsidR="0062028A">
        <w:rPr>
          <w:kern w:val="0"/>
        </w:rPr>
        <w:t>-up,</w:t>
      </w:r>
      <w:r>
        <w:rPr>
          <w:kern w:val="0"/>
        </w:rPr>
        <w:t xml:space="preserve"> Health, Impact, Mood, Perceptions, Profile, Prospective Studies, Psychological, Psychosocial, </w:t>
      </w:r>
      <w:r w:rsidR="002C12F0">
        <w:rPr>
          <w:kern w:val="0"/>
        </w:rPr>
        <w:t>PUBMED</w:t>
      </w:r>
      <w:r>
        <w:rPr>
          <w:kern w:val="0"/>
        </w:rPr>
        <w:t>, Quality, Quality</w:t>
      </w:r>
      <w:r w:rsidR="00427468">
        <w:rPr>
          <w:kern w:val="0"/>
        </w:rPr>
        <w:t xml:space="preserve"> of </w:t>
      </w:r>
      <w:r>
        <w:rPr>
          <w:kern w:val="0"/>
        </w:rPr>
        <w:t>Life, Quality</w:t>
      </w:r>
      <w:r w:rsidR="00434900">
        <w:rPr>
          <w:kern w:val="0"/>
        </w:rPr>
        <w:t>-of-</w:t>
      </w:r>
      <w:r>
        <w:rPr>
          <w:kern w:val="0"/>
        </w:rPr>
        <w:t xml:space="preserve">Life, Review, Satisfaction, Science, Social, Surgery, Surgical, Systematic, Systematic Review, Treatment,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74" w:name="_Toc420814271"/>
      <w:r w:rsidRPr="001A3D2B">
        <w:lastRenderedPageBreak/>
        <w:t xml:space="preserve">Title: </w:t>
      </w:r>
      <w:r w:rsidRPr="001A3D2B">
        <w:rPr>
          <w:szCs w:val="24"/>
        </w:rPr>
        <w:t>Acta Oecologica-International Journal</w:t>
      </w:r>
      <w:r w:rsidR="00427468">
        <w:rPr>
          <w:szCs w:val="24"/>
        </w:rPr>
        <w:t xml:space="preserve"> of </w:t>
      </w:r>
      <w:r w:rsidRPr="001A3D2B">
        <w:rPr>
          <w:szCs w:val="24"/>
        </w:rPr>
        <w:t>Ecology</w:t>
      </w:r>
      <w:bookmarkEnd w:id="74"/>
    </w:p>
    <w:p w:rsidR="003474F2" w:rsidRPr="001A3D2B" w:rsidRDefault="003474F2" w:rsidP="003474F2">
      <w:pPr>
        <w:pStyle w:val="12"/>
      </w:pPr>
      <w:r w:rsidRPr="001A3D2B">
        <w:t>Full Journal Title: Acta Oecologica-International Journal</w:t>
      </w:r>
      <w:r w:rsidR="00427468">
        <w:t xml:space="preserve"> of </w:t>
      </w:r>
      <w:r w:rsidRPr="001A3D2B">
        <w:t>Ecology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1146-609X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Schnitzler, A. (1995), Community Ecology</w:t>
      </w:r>
      <w:r w:rsidR="00427468">
        <w:t xml:space="preserve"> of </w:t>
      </w:r>
      <w:r w:rsidRPr="001A3D2B">
        <w:t>Arboreal Lianas in Gallery Forests</w:t>
      </w:r>
      <w:r w:rsidR="00427468">
        <w:t xml:space="preserve"> of </w:t>
      </w:r>
      <w:r w:rsidR="003A1917">
        <w:t xml:space="preserve">the </w:t>
      </w:r>
      <w:r w:rsidRPr="001A3D2B">
        <w:t xml:space="preserve">Rhine Valley, France. </w:t>
      </w:r>
      <w:r w:rsidRPr="001A3D2B">
        <w:rPr>
          <w:i/>
          <w:iCs/>
        </w:rPr>
        <w:t>Acta Oecologica-International Journal</w:t>
      </w:r>
      <w:r w:rsidR="00427468">
        <w:rPr>
          <w:i/>
          <w:iCs/>
        </w:rPr>
        <w:t xml:space="preserve"> of </w:t>
      </w:r>
      <w:r w:rsidRPr="001A3D2B">
        <w:rPr>
          <w:i/>
          <w:iCs/>
        </w:rPr>
        <w:t>Ecology</w:t>
      </w:r>
      <w:r w:rsidRPr="001A3D2B">
        <w:t xml:space="preserve">, </w:t>
      </w:r>
      <w:r w:rsidRPr="001A3D2B">
        <w:rPr>
          <w:b/>
          <w:bCs/>
        </w:rPr>
        <w:t>16</w:t>
      </w:r>
      <w:r w:rsidRPr="001A3D2B">
        <w:t xml:space="preserve"> (2), 219-236.</w:t>
      </w:r>
    </w:p>
    <w:p w:rsidR="003474F2" w:rsidRPr="001A3D2B" w:rsidRDefault="003474F2" w:rsidP="003474F2">
      <w:pPr>
        <w:pStyle w:val="a3"/>
      </w:pPr>
      <w:r w:rsidRPr="001A3D2B">
        <w:t>Abstract:</w:t>
      </w:r>
      <w:r w:rsidR="003A1917">
        <w:t xml:space="preserve"> the </w:t>
      </w:r>
      <w:r w:rsidRPr="001A3D2B">
        <w:t>phanerophyte liana population</w:t>
      </w:r>
      <w:r w:rsidR="00427468">
        <w:t xml:space="preserve"> of </w:t>
      </w:r>
      <w:r w:rsidRPr="001A3D2B">
        <w:t>Clematis vitalba</w:t>
      </w:r>
      <w:r w:rsidR="005853A9">
        <w:t xml:space="preserve"> and </w:t>
      </w:r>
      <w:r w:rsidRPr="001A3D2B">
        <w:t>Hedera helix is described in different successional stands</w:t>
      </w:r>
      <w:r w:rsidR="00427468">
        <w:t xml:space="preserve"> of </w:t>
      </w:r>
      <w:r w:rsidR="003A1917">
        <w:t xml:space="preserve">the </w:t>
      </w:r>
      <w:r w:rsidRPr="001A3D2B">
        <w:t>gallery forests</w:t>
      </w:r>
      <w:r w:rsidR="00427468">
        <w:t xml:space="preserve"> of </w:t>
      </w:r>
      <w:r w:rsidR="003A1917">
        <w:t xml:space="preserve">the </w:t>
      </w:r>
      <w:r w:rsidRPr="001A3D2B">
        <w:t>Rhine valley, Alsace, France</w:t>
      </w:r>
      <w:r w:rsidR="00A37C1D">
        <w:t>. The</w:t>
      </w:r>
      <w:r w:rsidR="003A1917">
        <w:t xml:space="preserve"> </w:t>
      </w:r>
      <w:r w:rsidRPr="001A3D2B">
        <w:t>liana population presents a wide variety</w:t>
      </w:r>
      <w:r w:rsidR="00427468">
        <w:t xml:space="preserve"> of </w:t>
      </w:r>
      <w:r w:rsidRPr="001A3D2B">
        <w:t>abundance along</w:t>
      </w:r>
      <w:r w:rsidR="003A1917">
        <w:t xml:space="preserve"> the </w:t>
      </w:r>
      <w:r w:rsidRPr="001A3D2B">
        <w:t>Rhine</w:t>
      </w:r>
      <w:r w:rsidR="005853A9">
        <w:t xml:space="preserve"> and </w:t>
      </w:r>
      <w:r w:rsidRPr="001A3D2B">
        <w:t>its tributary,</w:t>
      </w:r>
      <w:r w:rsidR="003A1917">
        <w:t xml:space="preserve"> the </w:t>
      </w:r>
      <w:r w:rsidRPr="001A3D2B">
        <w:t>Ill, according to gradients</w:t>
      </w:r>
      <w:r w:rsidR="00427468">
        <w:t xml:space="preserve"> of </w:t>
      </w:r>
      <w:r w:rsidRPr="001A3D2B">
        <w:t>light, flooding severity, hydromorphy or presence</w:t>
      </w:r>
      <w:r w:rsidR="00427468">
        <w:t xml:space="preserve"> of </w:t>
      </w:r>
      <w:r w:rsidRPr="001A3D2B">
        <w:t>shade tree species. In</w:t>
      </w:r>
      <w:r w:rsidR="003A1917">
        <w:t xml:space="preserve"> the </w:t>
      </w:r>
      <w:r w:rsidRPr="001A3D2B">
        <w:t>Rhine forests, young (30 years)</w:t>
      </w:r>
      <w:r w:rsidR="005853A9">
        <w:t xml:space="preserve"> and </w:t>
      </w:r>
      <w:r w:rsidRPr="001A3D2B">
        <w:t>old (150 years) stands were chosen</w:t>
      </w:r>
      <w:r w:rsidR="00427468">
        <w:t xml:space="preserve"> of </w:t>
      </w:r>
      <w:r w:rsidRPr="001A3D2B">
        <w:t>Salici-Populetum (including two sub-associations), Fraxino-Populetum albae</w:t>
      </w:r>
      <w:r w:rsidR="005853A9">
        <w:t xml:space="preserve"> and </w:t>
      </w:r>
      <w:r w:rsidRPr="001A3D2B">
        <w:t>Ligustro-Populetum nigrae. Four stands were selected in end-successional Querco-Ulmetum: 2 in</w:t>
      </w:r>
      <w:r w:rsidR="003A1917">
        <w:t xml:space="preserve"> the </w:t>
      </w:r>
      <w:r w:rsidRPr="001A3D2B">
        <w:t>sub-association populetosum (one prone to flooding,</w:t>
      </w:r>
      <w:r w:rsidR="003A1917">
        <w:t xml:space="preserve"> the </w:t>
      </w:r>
      <w:r w:rsidRPr="001A3D2B">
        <w:t>other deprived</w:t>
      </w:r>
      <w:r w:rsidR="00427468">
        <w:t xml:space="preserve"> of </w:t>
      </w:r>
      <w:r w:rsidRPr="001A3D2B">
        <w:t>flooding since</w:t>
      </w:r>
      <w:r w:rsidR="003A1917">
        <w:t xml:space="preserve"> the </w:t>
      </w:r>
      <w:r w:rsidRPr="001A3D2B">
        <w:t>Rhine canalization in 1960), one in</w:t>
      </w:r>
      <w:r w:rsidR="003A1917">
        <w:t xml:space="preserve"> the </w:t>
      </w:r>
      <w:r w:rsidRPr="001A3D2B">
        <w:t>sub-association carpinetosum (deprived</w:t>
      </w:r>
      <w:r w:rsidR="00427468">
        <w:t xml:space="preserve"> of </w:t>
      </w:r>
      <w:r w:rsidRPr="001A3D2B">
        <w:t>flooding since</w:t>
      </w:r>
      <w:r w:rsidR="003A1917">
        <w:t xml:space="preserve"> the </w:t>
      </w:r>
      <w:r w:rsidRPr="001A3D2B">
        <w:t>building</w:t>
      </w:r>
      <w:r w:rsidR="00427468">
        <w:t xml:space="preserve"> of </w:t>
      </w:r>
      <w:r w:rsidRPr="001A3D2B">
        <w:t>dykes in 1850)</w:t>
      </w:r>
      <w:r w:rsidR="005853A9">
        <w:t xml:space="preserve"> and </w:t>
      </w:r>
      <w:r w:rsidRPr="001A3D2B">
        <w:t>one in</w:t>
      </w:r>
      <w:r w:rsidR="003A1917">
        <w:t xml:space="preserve"> the </w:t>
      </w:r>
      <w:r w:rsidRPr="001A3D2B">
        <w:t>sub-association tilietosum, on high, sandy high terraces. In</w:t>
      </w:r>
      <w:r w:rsidR="003A1917">
        <w:t xml:space="preserve"> the </w:t>
      </w:r>
      <w:r w:rsidRPr="001A3D2B">
        <w:t>Ill forests,</w:t>
      </w:r>
      <w:r w:rsidR="003A1917">
        <w:t xml:space="preserve"> the </w:t>
      </w:r>
      <w:r w:rsidRPr="001A3D2B">
        <w:t>liana population was studied in 4 associations which segregate along a moisture gradient: Alnetum glutinosae, Pruno-Fraxinetum, Alno-Carpinetum</w:t>
      </w:r>
      <w:r w:rsidR="005853A9">
        <w:t xml:space="preserve"> and </w:t>
      </w:r>
      <w:r w:rsidRPr="001A3D2B">
        <w:t>Stellario-Carpinetum In each stand,</w:t>
      </w:r>
      <w:r w:rsidR="003A1917">
        <w:t xml:space="preserve"> the </w:t>
      </w:r>
      <w:r w:rsidRPr="001A3D2B">
        <w:t>structure in</w:t>
      </w:r>
      <w:r w:rsidR="003A1917">
        <w:t xml:space="preserve"> the </w:t>
      </w:r>
      <w:r w:rsidRPr="001A3D2B">
        <w:t>woody layers (density in stems.ha</w:t>
      </w:r>
      <w:r w:rsidRPr="001A3D2B">
        <w:rPr>
          <w:vertAlign w:val="superscript"/>
        </w:rPr>
        <w:t>-1</w:t>
      </w:r>
      <w:r w:rsidRPr="001A3D2B">
        <w:t>; basal area in m</w:t>
      </w:r>
      <w:r w:rsidRPr="001A3D2B">
        <w:rPr>
          <w:vertAlign w:val="superscript"/>
        </w:rPr>
        <w:t>(2)</w:t>
      </w:r>
      <w:r w:rsidRPr="001A3D2B">
        <w:t>.ha</w:t>
      </w:r>
      <w:r w:rsidRPr="001A3D2B">
        <w:rPr>
          <w:vertAlign w:val="superscript"/>
        </w:rPr>
        <w:t>-1</w:t>
      </w:r>
      <w:r w:rsidRPr="001A3D2B">
        <w:t>) was studied during</w:t>
      </w:r>
      <w:r w:rsidR="003A1917">
        <w:t xml:space="preserve"> the </w:t>
      </w:r>
      <w:r w:rsidRPr="001A3D2B">
        <w:t>summers</w:t>
      </w:r>
      <w:r w:rsidR="00427468">
        <w:t xml:space="preserve"> of </w:t>
      </w:r>
      <w:r w:rsidRPr="001A3D2B">
        <w:t>1990</w:t>
      </w:r>
      <w:r w:rsidR="005853A9">
        <w:t xml:space="preserve"> and </w:t>
      </w:r>
      <w:r w:rsidRPr="001A3D2B">
        <w:t>1992. Species diversity was calculated with</w:t>
      </w:r>
      <w:r w:rsidR="003A1917">
        <w:t xml:space="preserve"> the </w:t>
      </w:r>
      <w:r w:rsidRPr="001A3D2B">
        <w:t>Shannon H</w:t>
      </w:r>
      <w:r w:rsidR="00700038">
        <w:t>’</w:t>
      </w:r>
      <w:r w:rsidRPr="001A3D2B">
        <w:t xml:space="preserve"> index</w:t>
      </w:r>
      <w:r w:rsidR="00A37C1D">
        <w:t>. The</w:t>
      </w:r>
      <w:r w:rsidR="003A1917">
        <w:t xml:space="preserve"> </w:t>
      </w:r>
      <w:r w:rsidRPr="001A3D2B">
        <w:t>study focuses on</w:t>
      </w:r>
      <w:r w:rsidR="003A1917">
        <w:t xml:space="preserve"> the </w:t>
      </w:r>
      <w:r w:rsidRPr="001A3D2B">
        <w:t>liana population, with calculation</w:t>
      </w:r>
      <w:r w:rsidR="00427468">
        <w:t xml:space="preserve"> of </w:t>
      </w:r>
      <w:r w:rsidRPr="001A3D2B">
        <w:t>total liana density, basal area</w:t>
      </w:r>
      <w:r w:rsidR="00427468">
        <w:t xml:space="preserve"> of </w:t>
      </w:r>
      <w:r w:rsidRPr="001A3D2B">
        <w:t>giant lianas, percentage</w:t>
      </w:r>
      <w:r w:rsidR="00427468">
        <w:t xml:space="preserve"> of </w:t>
      </w:r>
      <w:r w:rsidRPr="001A3D2B">
        <w:t>giant lianas in</w:t>
      </w:r>
      <w:r w:rsidR="003A1917">
        <w:t xml:space="preserve"> the </w:t>
      </w:r>
      <w:r w:rsidRPr="001A3D2B">
        <w:t>total woody population, in</w:t>
      </w:r>
      <w:r w:rsidR="003A1917">
        <w:t xml:space="preserve"> the </w:t>
      </w:r>
      <w:r w:rsidRPr="001A3D2B">
        <w:t>canopy</w:t>
      </w:r>
      <w:r w:rsidR="005853A9">
        <w:t xml:space="preserve"> and </w:t>
      </w:r>
      <w:r w:rsidR="003A1917">
        <w:t xml:space="preserve">the </w:t>
      </w:r>
      <w:r w:rsidRPr="001A3D2B">
        <w:t>underlayers. Linear regression between structure</w:t>
      </w:r>
      <w:r w:rsidR="00427468">
        <w:t xml:space="preserve"> of </w:t>
      </w:r>
      <w:r w:rsidR="003A1917">
        <w:t xml:space="preserve">the </w:t>
      </w:r>
      <w:r w:rsidRPr="001A3D2B">
        <w:t>stands</w:t>
      </w:r>
      <w:r w:rsidR="005853A9">
        <w:t xml:space="preserve"> and </w:t>
      </w:r>
      <w:r w:rsidRPr="001A3D2B">
        <w:t>structure</w:t>
      </w:r>
      <w:r w:rsidR="00427468">
        <w:t xml:space="preserve"> of </w:t>
      </w:r>
      <w:r w:rsidR="003A1917">
        <w:t xml:space="preserve">the </w:t>
      </w:r>
      <w:r w:rsidRPr="001A3D2B">
        <w:t>liana population was used. Results show that liana density</w:t>
      </w:r>
      <w:r w:rsidR="005853A9">
        <w:t xml:space="preserve"> and </w:t>
      </w:r>
      <w:r w:rsidRPr="001A3D2B">
        <w:t>basal area peak when total density</w:t>
      </w:r>
      <w:r w:rsidR="005853A9">
        <w:t xml:space="preserve"> and </w:t>
      </w:r>
      <w:r w:rsidRPr="001A3D2B">
        <w:t>basal area</w:t>
      </w:r>
      <w:r w:rsidR="00427468">
        <w:t xml:space="preserve"> of </w:t>
      </w:r>
      <w:r w:rsidR="003A1917">
        <w:t xml:space="preserve">the </w:t>
      </w:r>
      <w:r w:rsidRPr="001A3D2B">
        <w:t>stands are highest. Liana density is highest in</w:t>
      </w:r>
      <w:r w:rsidR="003A1917">
        <w:t xml:space="preserve"> the </w:t>
      </w:r>
      <w:r w:rsidRPr="001A3D2B">
        <w:t>Rhine forests, due to</w:t>
      </w:r>
      <w:r w:rsidR="003A1917">
        <w:t xml:space="preserve"> the </w:t>
      </w:r>
      <w:r w:rsidRPr="001A3D2B">
        <w:t>absence</w:t>
      </w:r>
      <w:r w:rsidR="00427468">
        <w:t xml:space="preserve"> of </w:t>
      </w:r>
      <w:r w:rsidRPr="001A3D2B">
        <w:lastRenderedPageBreak/>
        <w:t>below-hydromorphic horizons</w:t>
      </w:r>
      <w:r w:rsidR="005853A9">
        <w:t xml:space="preserve"> and</w:t>
      </w:r>
      <w:r w:rsidR="00427468">
        <w:t xml:space="preserve"> of </w:t>
      </w:r>
      <w:r w:rsidRPr="001A3D2B">
        <w:t>shade trees in</w:t>
      </w:r>
      <w:r w:rsidR="003A1917">
        <w:t xml:space="preserve"> the </w:t>
      </w:r>
      <w:r w:rsidRPr="001A3D2B">
        <w:t>canopy</w:t>
      </w:r>
      <w:r w:rsidR="00A37C1D">
        <w:t>. The</w:t>
      </w:r>
      <w:r w:rsidR="003A1917">
        <w:t xml:space="preserve"> </w:t>
      </w:r>
      <w:r w:rsidRPr="001A3D2B">
        <w:t>liana population peaks in most</w:t>
      </w:r>
      <w:r w:rsidR="00427468">
        <w:t xml:space="preserve"> of </w:t>
      </w:r>
      <w:r w:rsidR="003A1917">
        <w:t xml:space="preserve">the </w:t>
      </w:r>
      <w:r w:rsidRPr="001A3D2B">
        <w:t>young stands except</w:t>
      </w:r>
      <w:r w:rsidR="003A1917">
        <w:t xml:space="preserve"> the </w:t>
      </w:r>
      <w:r w:rsidRPr="001A3D2B">
        <w:t>densest (Fraxino-Populetum albae)</w:t>
      </w:r>
      <w:r w:rsidR="005853A9">
        <w:t xml:space="preserve"> and </w:t>
      </w:r>
      <w:r w:rsidR="003A1917">
        <w:t xml:space="preserve">the </w:t>
      </w:r>
      <w:r w:rsidRPr="001A3D2B">
        <w:t>driest ones (Hippophae-Betuletum). Giant lianas (30-15 m high, 6-8 cm DBH) are characteristics</w:t>
      </w:r>
      <w:r w:rsidR="00427468">
        <w:t xml:space="preserve"> of </w:t>
      </w:r>
      <w:r w:rsidRPr="001A3D2B">
        <w:t>old stands. Most</w:t>
      </w:r>
      <w:r w:rsidR="00427468">
        <w:t xml:space="preserve"> of </w:t>
      </w:r>
      <w:r w:rsidRPr="001A3D2B">
        <w:t>them are Hedera helix</w:t>
      </w:r>
      <w:r w:rsidR="00A37C1D">
        <w:t>. The</w:t>
      </w:r>
      <w:r w:rsidR="003A1917">
        <w:t xml:space="preserve"> </w:t>
      </w:r>
      <w:r w:rsidRPr="001A3D2B">
        <w:t>number</w:t>
      </w:r>
      <w:r w:rsidR="00427468">
        <w:t xml:space="preserve"> of </w:t>
      </w:r>
      <w:r w:rsidRPr="001A3D2B">
        <w:t>giant lianas.ha</w:t>
      </w:r>
      <w:r w:rsidRPr="001A3D2B">
        <w:rPr>
          <w:vertAlign w:val="superscript"/>
        </w:rPr>
        <w:t>-1</w:t>
      </w:r>
      <w:r w:rsidRPr="001A3D2B">
        <w:t xml:space="preserve"> is significantly correlated to total stand density, but not to canopy density</w:t>
      </w:r>
      <w:r w:rsidR="00A37C1D">
        <w:t>. The</w:t>
      </w:r>
      <w:r w:rsidR="003A1917">
        <w:t xml:space="preserve"> </w:t>
      </w:r>
      <w:r w:rsidRPr="001A3D2B">
        <w:t>number</w:t>
      </w:r>
      <w:r w:rsidR="00427468">
        <w:t xml:space="preserve"> of </w:t>
      </w:r>
      <w:r w:rsidRPr="001A3D2B">
        <w:t>giant lianas in</w:t>
      </w:r>
      <w:r w:rsidR="003A1917">
        <w:t xml:space="preserve"> the </w:t>
      </w:r>
      <w:r w:rsidRPr="001A3D2B">
        <w:t>canopy is high in Querco-Ulmetum populetosum (30%; 42.7%). In Querco-Ulmetum carpinetosum,</w:t>
      </w:r>
      <w:r w:rsidR="003A1917">
        <w:t xml:space="preserve"> the </w:t>
      </w:r>
      <w:r w:rsidRPr="001A3D2B">
        <w:t>number</w:t>
      </w:r>
      <w:r w:rsidR="00427468">
        <w:t xml:space="preserve"> of </w:t>
      </w:r>
      <w:r w:rsidRPr="001A3D2B">
        <w:t>giant lianas decreases to 7.3%, due to decrease in nutrient supply, but probably also following</w:t>
      </w:r>
      <w:r w:rsidR="003A1917">
        <w:t xml:space="preserve"> the </w:t>
      </w:r>
      <w:r w:rsidRPr="001A3D2B">
        <w:t>more intense</w:t>
      </w:r>
      <w:r w:rsidR="005853A9">
        <w:t xml:space="preserve"> and </w:t>
      </w:r>
      <w:r w:rsidRPr="001A3D2B">
        <w:t>long-term influence</w:t>
      </w:r>
      <w:r w:rsidR="00427468">
        <w:t xml:space="preserve"> of </w:t>
      </w:r>
      <w:r w:rsidRPr="001A3D2B">
        <w:t>man</w:t>
      </w:r>
      <w:r w:rsidR="00A37C1D">
        <w:t>. The</w:t>
      </w:r>
      <w:r w:rsidRPr="001A3D2B">
        <w:t>se results indicate</w:t>
      </w:r>
      <w:r w:rsidR="003A1917">
        <w:t xml:space="preserve"> the </w:t>
      </w:r>
      <w:r w:rsidRPr="001A3D2B">
        <w:t>favourable influence</w:t>
      </w:r>
      <w:r w:rsidR="00427468">
        <w:t xml:space="preserve"> of </w:t>
      </w:r>
      <w:r w:rsidRPr="001A3D2B">
        <w:t>flooding on</w:t>
      </w:r>
      <w:r w:rsidR="003A1917">
        <w:t xml:space="preserve"> the </w:t>
      </w:r>
      <w:r w:rsidRPr="001A3D2B">
        <w:t>ecology</w:t>
      </w:r>
      <w:r w:rsidR="00427468">
        <w:t xml:space="preserve"> of </w:t>
      </w:r>
      <w:r w:rsidRPr="001A3D2B">
        <w:t>lianas by regular supplies</w:t>
      </w:r>
      <w:r w:rsidR="00427468">
        <w:t xml:space="preserve"> of </w:t>
      </w:r>
      <w:r w:rsidRPr="001A3D2B">
        <w:t>nutrients</w:t>
      </w:r>
      <w:r w:rsidR="005853A9">
        <w:t xml:space="preserve"> and </w:t>
      </w:r>
      <w:r w:rsidRPr="001A3D2B">
        <w:t>water, if</w:t>
      </w:r>
      <w:r w:rsidR="003A1917">
        <w:t xml:space="preserve"> the </w:t>
      </w:r>
      <w:r w:rsidRPr="001A3D2B">
        <w:t>soils are not hydromorphic. Flooding plays an indirect role on</w:t>
      </w:r>
      <w:r w:rsidR="003A1917">
        <w:t xml:space="preserve"> the </w:t>
      </w:r>
      <w:r w:rsidRPr="001A3D2B">
        <w:t>integration</w:t>
      </w:r>
      <w:r w:rsidR="00427468">
        <w:t xml:space="preserve"> of </w:t>
      </w:r>
      <w:r w:rsidRPr="001A3D2B">
        <w:t>lianas in</w:t>
      </w:r>
      <w:r w:rsidR="003A1917">
        <w:t xml:space="preserve"> the </w:t>
      </w:r>
      <w:r w:rsidRPr="001A3D2B">
        <w:t>forest ecosystem through its influence on</w:t>
      </w:r>
      <w:r w:rsidR="003A1917">
        <w:t xml:space="preserve"> the </w:t>
      </w:r>
      <w:r w:rsidRPr="001A3D2B">
        <w:t>woody density</w:t>
      </w:r>
      <w:r w:rsidR="00427468">
        <w:t xml:space="preserve"> of </w:t>
      </w:r>
      <w:r w:rsidR="003A1917">
        <w:t xml:space="preserve">the </w:t>
      </w:r>
      <w:r w:rsidRPr="001A3D2B">
        <w:t>underlayers</w:t>
      </w:r>
      <w:r w:rsidR="005853A9">
        <w:t xml:space="preserve"> and </w:t>
      </w:r>
      <w:r w:rsidRPr="001A3D2B">
        <w:t>its internal organization. This explains</w:t>
      </w:r>
      <w:r w:rsidR="003A1917">
        <w:t xml:space="preserve"> the </w:t>
      </w:r>
      <w:r w:rsidRPr="001A3D2B">
        <w:t>peaks</w:t>
      </w:r>
      <w:r w:rsidR="00427468">
        <w:t xml:space="preserve"> of </w:t>
      </w:r>
      <w:r w:rsidRPr="001A3D2B">
        <w:t>giant lianas in some flooded highly-levelled ecosystems such as Qeurco-Ulmetum (H</w:t>
      </w:r>
      <w:r w:rsidR="00700038">
        <w:t>’</w:t>
      </w:r>
      <w:r w:rsidRPr="001A3D2B">
        <w:t xml:space="preserve"> = 3.4), Alno-Carpinetum (H</w:t>
      </w:r>
      <w:r w:rsidR="00700038">
        <w:t>’</w:t>
      </w:r>
      <w:r w:rsidRPr="001A3D2B">
        <w:t xml:space="preserve"> = 2.8) or Salici-Populetum populetosum (H</w:t>
      </w:r>
      <w:r w:rsidR="00700038">
        <w:t>’</w:t>
      </w:r>
      <w:r w:rsidRPr="001A3D2B">
        <w:t xml:space="preserve"> = 2.8). Extreme moisture is</w:t>
      </w:r>
      <w:r w:rsidR="003A1917">
        <w:t xml:space="preserve"> the </w:t>
      </w:r>
      <w:r w:rsidRPr="001A3D2B">
        <w:t>main unfavourable factor preventing liana growth in</w:t>
      </w:r>
      <w:r w:rsidR="003A1917">
        <w:t xml:space="preserve"> the </w:t>
      </w:r>
      <w:r w:rsidRPr="001A3D2B">
        <w:t>Ill swamps</w:t>
      </w:r>
      <w:r w:rsidR="005853A9">
        <w:t xml:space="preserve"> and </w:t>
      </w:r>
      <w:r w:rsidRPr="001A3D2B">
        <w:t>old channels, colonized by Alnetum glutinosae</w:t>
      </w:r>
      <w:r w:rsidR="005853A9">
        <w:t xml:space="preserve"> and </w:t>
      </w:r>
      <w:r w:rsidRPr="001A3D2B">
        <w:t>Pruno-Flaxinetum. In mesophilic sites, dominance</w:t>
      </w:r>
      <w:r w:rsidR="00427468">
        <w:t xml:space="preserve"> of </w:t>
      </w:r>
      <w:r w:rsidRPr="001A3D2B">
        <w:t>shade species (Carpinus betulus) in</w:t>
      </w:r>
      <w:r w:rsidR="003A1917">
        <w:t xml:space="preserve"> the </w:t>
      </w:r>
      <w:r w:rsidRPr="001A3D2B">
        <w:t>canopy is a very unfavourable factor for</w:t>
      </w:r>
      <w:r w:rsidR="003A1917">
        <w:t xml:space="preserve"> the </w:t>
      </w:r>
      <w:r w:rsidRPr="001A3D2B">
        <w:t>growth</w:t>
      </w:r>
      <w:r w:rsidR="00427468">
        <w:t xml:space="preserve"> of </w:t>
      </w:r>
      <w:r w:rsidRPr="001A3D2B">
        <w:t>woody lianas. This factor limits</w:t>
      </w:r>
      <w:r w:rsidR="003A1917">
        <w:t xml:space="preserve"> the </w:t>
      </w:r>
      <w:r w:rsidRPr="001A3D2B">
        <w:t>liana population in Alno-Carpinetum</w:t>
      </w:r>
      <w:r w:rsidR="005853A9">
        <w:t xml:space="preserve"> and </w:t>
      </w:r>
      <w:r w:rsidRPr="001A3D2B">
        <w:t>totally eliminates it in Stellario-Carpinetum.</w:t>
      </w:r>
    </w:p>
    <w:p w:rsidR="003474F2" w:rsidRPr="001A3D2B" w:rsidRDefault="003474F2" w:rsidP="003474F2">
      <w:pPr>
        <w:pStyle w:val="a3"/>
      </w:pPr>
      <w:r w:rsidRPr="001A3D2B">
        <w:t>Keywords: Canopy Arboreal Liana, Characteristics, Ecosystem, Flooding Stress, France, Gallery Forests, Gap, Growth, Integration, Liana Population, Linear Regression, Long Term, Long-Term, Moisture, Organization, Population, Regression, Rhine Valley, Soils, Structure, Succession, Water</w:t>
      </w:r>
    </w:p>
    <w:p w:rsidR="00067D36" w:rsidRPr="001A3D2B" w:rsidRDefault="00067D36" w:rsidP="00067D36">
      <w:pPr>
        <w:pStyle w:val="1"/>
      </w:pPr>
      <w:r w:rsidRPr="001A3D2B">
        <w:br w:type="page"/>
      </w:r>
      <w:bookmarkStart w:id="75" w:name="_Toc420814272"/>
      <w:r w:rsidRPr="001A3D2B">
        <w:lastRenderedPageBreak/>
        <w:t xml:space="preserve">Title: </w:t>
      </w:r>
      <w:r w:rsidRPr="00E72621">
        <w:t>Acta Oeconomica</w:t>
      </w:r>
      <w:bookmarkEnd w:id="75"/>
    </w:p>
    <w:p w:rsidR="00067D36" w:rsidRPr="001A3D2B" w:rsidRDefault="00067D36" w:rsidP="00067D36">
      <w:pPr>
        <w:pStyle w:val="12"/>
      </w:pPr>
      <w:r w:rsidRPr="001A3D2B">
        <w:t xml:space="preserve">Full Journal Title: </w:t>
      </w:r>
      <w:r w:rsidRPr="00E72621">
        <w:rPr>
          <w:iCs/>
          <w:kern w:val="0"/>
        </w:rPr>
        <w:t>Acta Oeconomica</w:t>
      </w:r>
    </w:p>
    <w:p w:rsidR="00067D36" w:rsidRPr="001A3D2B" w:rsidRDefault="00067D36" w:rsidP="00067D36">
      <w:pPr>
        <w:pStyle w:val="12"/>
      </w:pPr>
      <w:r w:rsidRPr="001A3D2B">
        <w:t xml:space="preserve">ISO Abbreviated Title: </w:t>
      </w:r>
    </w:p>
    <w:p w:rsidR="00067D36" w:rsidRPr="001A3D2B" w:rsidRDefault="00067D36" w:rsidP="00067D36">
      <w:pPr>
        <w:pStyle w:val="12"/>
      </w:pPr>
      <w:r w:rsidRPr="001A3D2B">
        <w:t xml:space="preserve">JCR Abbreviated Title: </w:t>
      </w:r>
    </w:p>
    <w:p w:rsidR="00067D36" w:rsidRPr="001A3D2B" w:rsidRDefault="00067D36" w:rsidP="00067D36">
      <w:pPr>
        <w:pStyle w:val="12"/>
      </w:pPr>
      <w:r w:rsidRPr="001A3D2B">
        <w:t xml:space="preserve">ISSN: </w:t>
      </w:r>
    </w:p>
    <w:p w:rsidR="00067D36" w:rsidRPr="001A3D2B" w:rsidRDefault="00067D36" w:rsidP="00067D36">
      <w:pPr>
        <w:pStyle w:val="12"/>
      </w:pPr>
      <w:r w:rsidRPr="001A3D2B">
        <w:t xml:space="preserve">Issues/Year: </w:t>
      </w:r>
    </w:p>
    <w:p w:rsidR="00067D36" w:rsidRPr="001A3D2B" w:rsidRDefault="00067D36" w:rsidP="00067D36">
      <w:pPr>
        <w:pStyle w:val="12"/>
      </w:pPr>
      <w:r w:rsidRPr="001A3D2B">
        <w:t xml:space="preserve">Journal Country/Territory: </w:t>
      </w:r>
    </w:p>
    <w:p w:rsidR="00067D36" w:rsidRPr="001A3D2B" w:rsidRDefault="00067D36" w:rsidP="00067D36">
      <w:pPr>
        <w:pStyle w:val="12"/>
      </w:pPr>
      <w:r w:rsidRPr="001A3D2B">
        <w:t xml:space="preserve">Language: </w:t>
      </w:r>
    </w:p>
    <w:p w:rsidR="00067D36" w:rsidRPr="001A3D2B" w:rsidRDefault="00067D36" w:rsidP="00067D36">
      <w:pPr>
        <w:pStyle w:val="12"/>
      </w:pPr>
      <w:r w:rsidRPr="001A3D2B">
        <w:t xml:space="preserve">Publisher: </w:t>
      </w:r>
    </w:p>
    <w:p w:rsidR="00067D36" w:rsidRPr="001A3D2B" w:rsidRDefault="00067D36" w:rsidP="00067D36">
      <w:pPr>
        <w:pStyle w:val="12"/>
      </w:pPr>
      <w:r w:rsidRPr="001A3D2B">
        <w:t xml:space="preserve">Publisher Address: </w:t>
      </w:r>
    </w:p>
    <w:p w:rsidR="00067D36" w:rsidRPr="001A3D2B" w:rsidRDefault="00067D36" w:rsidP="00067D36">
      <w:pPr>
        <w:pStyle w:val="12"/>
      </w:pPr>
      <w:r w:rsidRPr="001A3D2B">
        <w:t>Subject Categories:</w:t>
      </w:r>
    </w:p>
    <w:p w:rsidR="00067D36" w:rsidRPr="001A3D2B" w:rsidRDefault="00067D36" w:rsidP="00067D36">
      <w:pPr>
        <w:pStyle w:val="12"/>
      </w:pPr>
      <w:r w:rsidRPr="001A3D2B">
        <w:t xml:space="preserve">: Impact Factor </w:t>
      </w:r>
    </w:p>
    <w:p w:rsidR="00067D36" w:rsidRDefault="00067D36" w:rsidP="00067D36">
      <w:pPr>
        <w:pStyle w:val="a3"/>
        <w:rPr>
          <w:kern w:val="0"/>
        </w:rPr>
      </w:pPr>
      <w:r>
        <w:rPr>
          <w:rFonts w:hint="eastAsia"/>
          <w:kern w:val="0"/>
        </w:rPr>
        <w:t xml:space="preserve">? </w:t>
      </w:r>
      <w:r>
        <w:rPr>
          <w:kern w:val="0"/>
        </w:rPr>
        <w:t xml:space="preserve">Inzelt, A. and Schubert, A. (2011), Collaboration between researchers from academic and non-academic organisations a case study of co-authorship in 12 Hungarian Universities. </w:t>
      </w:r>
      <w:r w:rsidRPr="00E72621">
        <w:rPr>
          <w:i/>
          <w:iCs/>
          <w:kern w:val="0"/>
        </w:rPr>
        <w:t>Acta Oeconomica</w:t>
      </w:r>
      <w:r>
        <w:rPr>
          <w:kern w:val="0"/>
        </w:rPr>
        <w:t xml:space="preserve">, </w:t>
      </w:r>
      <w:r>
        <w:rPr>
          <w:b/>
          <w:bCs/>
          <w:kern w:val="0"/>
        </w:rPr>
        <w:t>61</w:t>
      </w:r>
      <w:r>
        <w:rPr>
          <w:kern w:val="0"/>
        </w:rPr>
        <w:t xml:space="preserve"> (4), 441-463.</w:t>
      </w:r>
    </w:p>
    <w:p w:rsidR="00067D36" w:rsidRDefault="00067D36" w:rsidP="00067D36">
      <w:pPr>
        <w:pStyle w:val="a3"/>
        <w:rPr>
          <w:kern w:val="0"/>
        </w:rPr>
      </w:pPr>
      <w:r>
        <w:rPr>
          <w:rFonts w:hint="eastAsia"/>
          <w:kern w:val="0"/>
        </w:rPr>
        <w:t xml:space="preserve">Full Text: </w:t>
      </w:r>
      <w:hyperlink r:id="rId159" w:history="1">
        <w:r w:rsidRPr="00533FBC">
          <w:rPr>
            <w:rStyle w:val="a5"/>
            <w:kern w:val="0"/>
          </w:rPr>
          <w:t>2011\Act Oec61, 441.pdf</w:t>
        </w:r>
      </w:hyperlink>
    </w:p>
    <w:p w:rsidR="00067D36" w:rsidRDefault="00067D36" w:rsidP="00067D36">
      <w:pPr>
        <w:pStyle w:val="a3"/>
        <w:rPr>
          <w:kern w:val="0"/>
        </w:rPr>
      </w:pPr>
      <w:r>
        <w:rPr>
          <w:kern w:val="0"/>
        </w:rPr>
        <w:t xml:space="preserve">Abstract: Throughout the reform process of the European university system, the importance of collaboration between actors at the academy and other areas of the economy and society are ever increasing, as evidenced by a growing number of co-authored articles and the number of citations to such works. This article analyses the characteristics of publications co-authored by Hungarian university researchers with non-academic partners. Scientometric indicators are used as primary methodological tools. Our sample was the publication output of 12 universities, which covers 90% of the university sphere’s publications, between 2001 and 2005 and was taken from the publications of Hungarian institutions of higher education appearing in the Web of Science database. The authors employed a new, important aspect in the cooperation activity of Hungarian universities: their connection with the non-academic partners. The selection and the institutional location of the co-authors resulted in an important database for further analysis. Based on the empirical analysis of the publication and citation performance data of 12 such universities the authors concluded that the proportion of citations to publications co-authored with either academic or non-academic partners is significantly higher for international partners than it is for Hungarian ones. For one publication, the proportion of citations to articles co-authored with foreign non-academic partners, such as firms or health care institutions, was five times higher than the number relating to papers co-authored with Hungarian firms or health care institutions. Higher citedness of the joint articles with the foreign country institutes than domestic partners are in harmony with </w:t>
      </w:r>
      <w:r>
        <w:rPr>
          <w:kern w:val="0"/>
        </w:rPr>
        <w:lastRenderedPageBreak/>
        <w:t>observation in other countries. Generally the rate of the co-authored articles with non-academic partners is rather low. However it scatters to a great extent concerning the different universities. The presence or absence of medicine in the profile of the universities seems an important factor of that difference.</w:t>
      </w:r>
    </w:p>
    <w:p w:rsidR="00067D36" w:rsidRDefault="00067D36" w:rsidP="00067D36">
      <w:pPr>
        <w:pStyle w:val="a3"/>
        <w:rPr>
          <w:kern w:val="0"/>
        </w:rPr>
      </w:pPr>
      <w:r>
        <w:rPr>
          <w:kern w:val="0"/>
        </w:rPr>
        <w:t>Keywords: Analysis, Authors, Bibliometrics, Care, Citation, Citations, Collaboration, Cooperation, Education, Health Care, Higher Education, Hungary, Indicators, Joint, Low, Medicine, Methodological Tools, Observation, Papers, Performance, Primary, Process, Profile, Publication, Publication Output, Publications, Research Collaboration, Researchers, Science, Scientometrics, Third Mission, Universities, University, Web of Science, Web-of-Science</w:t>
      </w:r>
    </w:p>
    <w:p w:rsidR="00B46A11" w:rsidRPr="00F219CA" w:rsidRDefault="00B46A11" w:rsidP="00B46A11">
      <w:pPr>
        <w:pStyle w:val="1"/>
      </w:pPr>
      <w:r w:rsidRPr="00F219CA">
        <w:br w:type="page"/>
      </w:r>
      <w:bookmarkStart w:id="76" w:name="_Toc302201052"/>
      <w:bookmarkStart w:id="77" w:name="_Toc420814273"/>
      <w:r w:rsidRPr="00F219CA">
        <w:lastRenderedPageBreak/>
        <w:t>Title: Acta Oncologica</w:t>
      </w:r>
      <w:bookmarkEnd w:id="76"/>
      <w:bookmarkEnd w:id="77"/>
    </w:p>
    <w:p w:rsidR="00B46A11" w:rsidRPr="00F219CA" w:rsidRDefault="00B46A11" w:rsidP="00B46A11">
      <w:pPr>
        <w:pStyle w:val="12"/>
      </w:pPr>
      <w:r w:rsidRPr="00F219CA">
        <w:t xml:space="preserve">Full Journal Title: </w:t>
      </w:r>
      <w:hyperlink r:id="rId160" w:history="1">
        <w:r w:rsidRPr="00F219CA">
          <w:t>Acta Oncologica</w:t>
        </w:r>
      </w:hyperlink>
    </w:p>
    <w:p w:rsidR="00B46A11" w:rsidRPr="00F219CA" w:rsidRDefault="00B46A11" w:rsidP="00B46A11">
      <w:pPr>
        <w:pStyle w:val="12"/>
      </w:pPr>
      <w:r w:rsidRPr="00F219CA">
        <w:t>ISO Abbreviated Title: Acta Oncol.</w:t>
      </w:r>
    </w:p>
    <w:p w:rsidR="00B46A11" w:rsidRPr="00F219CA" w:rsidRDefault="00B46A11" w:rsidP="00B46A11">
      <w:pPr>
        <w:pStyle w:val="12"/>
      </w:pPr>
      <w:r w:rsidRPr="00F219CA">
        <w:t>JCR Abbreviated Title: Acta Onco</w:t>
      </w:r>
    </w:p>
    <w:p w:rsidR="00B46A11" w:rsidRPr="00F219CA" w:rsidRDefault="00B46A11" w:rsidP="00B46A11">
      <w:pPr>
        <w:pStyle w:val="12"/>
      </w:pPr>
      <w:r w:rsidRPr="00F219CA">
        <w:t>ISSN: 0284-186X</w:t>
      </w:r>
    </w:p>
    <w:p w:rsidR="00B46A11" w:rsidRPr="00F219CA" w:rsidRDefault="00B46A11" w:rsidP="00B46A11">
      <w:pPr>
        <w:pStyle w:val="12"/>
      </w:pPr>
      <w:r w:rsidRPr="00F219CA">
        <w:t>Issues/Year: 8</w:t>
      </w:r>
    </w:p>
    <w:p w:rsidR="00B46A11" w:rsidRPr="00F219CA" w:rsidRDefault="00B46A11" w:rsidP="00B46A11">
      <w:pPr>
        <w:pStyle w:val="12"/>
      </w:pPr>
      <w:r w:rsidRPr="00F219CA">
        <w:t>Journal Country/Territory: Sweden</w:t>
      </w:r>
    </w:p>
    <w:p w:rsidR="00B46A11" w:rsidRPr="00F219CA" w:rsidRDefault="00B46A11" w:rsidP="00B46A11">
      <w:pPr>
        <w:pStyle w:val="12"/>
      </w:pPr>
      <w:r w:rsidRPr="00F219CA">
        <w:t>Language: English</w:t>
      </w:r>
    </w:p>
    <w:p w:rsidR="00B46A11" w:rsidRPr="00F219CA" w:rsidRDefault="00B46A11" w:rsidP="00B46A11">
      <w:pPr>
        <w:pStyle w:val="12"/>
      </w:pPr>
      <w:r w:rsidRPr="00F219CA">
        <w:t>Publisher: Scandinavian University Press</w:t>
      </w:r>
    </w:p>
    <w:p w:rsidR="00B46A11" w:rsidRPr="00F219CA" w:rsidRDefault="00B46A11" w:rsidP="00B46A11">
      <w:pPr>
        <w:pStyle w:val="12"/>
      </w:pPr>
      <w:r w:rsidRPr="00F219CA">
        <w:t>Publisher Address: PO Box 2959 Toyen, Journal Division Customer Service, N-0608 Oslo, Norway</w:t>
      </w:r>
    </w:p>
    <w:p w:rsidR="00B46A11" w:rsidRPr="00F219CA" w:rsidRDefault="00B46A11" w:rsidP="00B46A11">
      <w:pPr>
        <w:pStyle w:val="12"/>
      </w:pPr>
      <w:r w:rsidRPr="00F219CA">
        <w:t xml:space="preserve">Subject Categories: </w:t>
      </w:r>
    </w:p>
    <w:p w:rsidR="00B46A11" w:rsidRPr="00F219CA" w:rsidRDefault="00B46A11" w:rsidP="00B46A11">
      <w:pPr>
        <w:pStyle w:val="12"/>
      </w:pPr>
      <w:r w:rsidRPr="00F219CA">
        <w:t>Oncology: Impact Factor 1.909, 60/114 (2002)</w:t>
      </w:r>
    </w:p>
    <w:p w:rsidR="00B46A11" w:rsidRDefault="00B46A11" w:rsidP="00B46A11">
      <w:pPr>
        <w:pStyle w:val="a3"/>
        <w:rPr>
          <w:kern w:val="0"/>
        </w:rPr>
      </w:pPr>
      <w:r>
        <w:rPr>
          <w:rFonts w:hint="eastAsia"/>
          <w:kern w:val="0"/>
        </w:rPr>
        <w:t xml:space="preserve">? </w:t>
      </w:r>
      <w:r>
        <w:rPr>
          <w:kern w:val="0"/>
        </w:rPr>
        <w:t>Chu, D., Lacouture, M.E., Fillos, T.</w:t>
      </w:r>
      <w:r w:rsidR="005853A9">
        <w:rPr>
          <w:kern w:val="0"/>
        </w:rPr>
        <w:t xml:space="preserve"> and </w:t>
      </w:r>
      <w:r>
        <w:rPr>
          <w:kern w:val="0"/>
        </w:rPr>
        <w:t>Wu, S.H. (2008), Risk</w:t>
      </w:r>
      <w:r w:rsidR="00427468">
        <w:rPr>
          <w:kern w:val="0"/>
        </w:rPr>
        <w:t xml:space="preserve"> of </w:t>
      </w:r>
      <w:r>
        <w:rPr>
          <w:kern w:val="0"/>
        </w:rPr>
        <w:t>hand-foot skin reaction with sorafenibo: A systematic review</w:t>
      </w:r>
      <w:r w:rsidR="005853A9">
        <w:rPr>
          <w:kern w:val="0"/>
        </w:rPr>
        <w:t xml:space="preserve"> and </w:t>
      </w:r>
      <w:r>
        <w:rPr>
          <w:kern w:val="0"/>
        </w:rPr>
        <w:t xml:space="preserve">metes-analysis. </w:t>
      </w:r>
      <w:r>
        <w:rPr>
          <w:i/>
          <w:iCs/>
          <w:kern w:val="0"/>
        </w:rPr>
        <w:t>Acta Oncologica</w:t>
      </w:r>
      <w:r>
        <w:rPr>
          <w:kern w:val="0"/>
        </w:rPr>
        <w:t xml:space="preserve">, </w:t>
      </w:r>
      <w:r>
        <w:rPr>
          <w:b/>
          <w:bCs/>
          <w:kern w:val="0"/>
        </w:rPr>
        <w:t>47</w:t>
      </w:r>
      <w:r>
        <w:rPr>
          <w:kern w:val="0"/>
        </w:rPr>
        <w:t xml:space="preserve"> (2), 176-186.</w:t>
      </w:r>
    </w:p>
    <w:p w:rsidR="00B46A11" w:rsidRDefault="00B46A11" w:rsidP="00B46A11">
      <w:pPr>
        <w:pStyle w:val="a3"/>
        <w:rPr>
          <w:kern w:val="0"/>
        </w:rPr>
      </w:pPr>
      <w:r>
        <w:rPr>
          <w:rFonts w:hint="eastAsia"/>
          <w:kern w:val="0"/>
        </w:rPr>
        <w:t xml:space="preserve">Full Text: </w:t>
      </w:r>
      <w:hyperlink r:id="rId161" w:history="1">
        <w:r w:rsidR="00FF4250" w:rsidRPr="00FF4250">
          <w:rPr>
            <w:rStyle w:val="a5"/>
            <w:kern w:val="0"/>
          </w:rPr>
          <w:t>2008\Act Onc47, 176.pdf</w:t>
        </w:r>
      </w:hyperlink>
    </w:p>
    <w:p w:rsidR="00B46A11" w:rsidRDefault="00B46A11" w:rsidP="00B46A11">
      <w:pPr>
        <w:pStyle w:val="a3"/>
        <w:rPr>
          <w:kern w:val="0"/>
        </w:rPr>
      </w:pPr>
      <w:r>
        <w:rPr>
          <w:kern w:val="0"/>
        </w:rPr>
        <w:t>Abstract: Background. Hand-foot skin reaction (HFSR) is a dose-limiting toxicity associated with sorafenib, an oral multi-kinase inhibitor with clinical activity against solid tumors. This study was conducted to determine</w:t>
      </w:r>
      <w:r w:rsidR="003A1917">
        <w:rPr>
          <w:kern w:val="0"/>
        </w:rPr>
        <w:t xml:space="preserve"> the </w:t>
      </w:r>
      <w:r>
        <w:rPr>
          <w:kern w:val="0"/>
        </w:rPr>
        <w:t>risk</w:t>
      </w:r>
      <w:r w:rsidR="00427468">
        <w:rPr>
          <w:kern w:val="0"/>
        </w:rPr>
        <w:t xml:space="preserve"> of </w:t>
      </w:r>
      <w:r>
        <w:rPr>
          <w:kern w:val="0"/>
        </w:rPr>
        <w:t>developing HFSR among patients receiving sorafenib. Patients</w:t>
      </w:r>
      <w:r w:rsidR="005853A9">
        <w:rPr>
          <w:kern w:val="0"/>
        </w:rPr>
        <w:t xml:space="preserve"> and </w:t>
      </w:r>
      <w:r>
        <w:rPr>
          <w:kern w:val="0"/>
        </w:rPr>
        <w:t xml:space="preserve">Methods. Databases from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abstracts presented at</w:t>
      </w:r>
      <w:r w:rsidR="003A1917">
        <w:rPr>
          <w:kern w:val="0"/>
        </w:rPr>
        <w:t xml:space="preserve"> the </w:t>
      </w:r>
      <w:r>
        <w:rPr>
          <w:kern w:val="0"/>
        </w:rPr>
        <w:t>American Society</w:t>
      </w:r>
      <w:r w:rsidR="00427468">
        <w:rPr>
          <w:kern w:val="0"/>
        </w:rPr>
        <w:t xml:space="preserve"> of </w:t>
      </w:r>
      <w:r>
        <w:rPr>
          <w:kern w:val="0"/>
        </w:rPr>
        <w:t>Clinical Oncology annual meetings from 2004 through July, 2007 were searched to identify relevant studies. Eligible studies were prospective clinical trials using single agent sorafenib</w:t>
      </w:r>
      <w:r w:rsidR="00A37C1D">
        <w:rPr>
          <w:kern w:val="0"/>
        </w:rPr>
        <w:t>. The</w:t>
      </w:r>
      <w:r w:rsidR="003A1917">
        <w:rPr>
          <w:kern w:val="0"/>
        </w:rPr>
        <w:t xml:space="preserve"> </w:t>
      </w:r>
      <w:r>
        <w:rPr>
          <w:kern w:val="0"/>
        </w:rPr>
        <w:t>summary incidence rate</w:t>
      </w:r>
      <w:r w:rsidR="005853A9">
        <w:rPr>
          <w:kern w:val="0"/>
        </w:rPr>
        <w:t xml:space="preserve"> and </w:t>
      </w:r>
      <w:r w:rsidR="003A1917">
        <w:rPr>
          <w:kern w:val="0"/>
        </w:rPr>
        <w:t xml:space="preserve">the </w:t>
      </w:r>
      <w:r>
        <w:rPr>
          <w:kern w:val="0"/>
        </w:rPr>
        <w:t>relative risk (RR) were calculated using random-effects model. Results. A total</w:t>
      </w:r>
      <w:r w:rsidR="00427468">
        <w:rPr>
          <w:kern w:val="0"/>
        </w:rPr>
        <w:t xml:space="preserve"> of </w:t>
      </w:r>
      <w:r>
        <w:rPr>
          <w:kern w:val="0"/>
        </w:rPr>
        <w:t>4 883 patients in 11 trials with metastatic tumors were included for analysis. Among patients receiving sorafenib,</w:t>
      </w:r>
      <w:r w:rsidR="003A1917">
        <w:rPr>
          <w:kern w:val="0"/>
        </w:rPr>
        <w:t xml:space="preserve"> the </w:t>
      </w:r>
      <w:r>
        <w:rPr>
          <w:kern w:val="0"/>
        </w:rPr>
        <w:t>summary incidence</w:t>
      </w:r>
      <w:r w:rsidR="00427468">
        <w:rPr>
          <w:kern w:val="0"/>
        </w:rPr>
        <w:t xml:space="preserve"> of </w:t>
      </w:r>
      <w:r>
        <w:rPr>
          <w:kern w:val="0"/>
        </w:rPr>
        <w:t>all-grade HFSR was 33.8% (95% CI: 24.5-44.7%) with significant difference between patients with RCC</w:t>
      </w:r>
      <w:r w:rsidR="005853A9">
        <w:rPr>
          <w:kern w:val="0"/>
        </w:rPr>
        <w:t xml:space="preserve"> and </w:t>
      </w:r>
      <w:r>
        <w:rPr>
          <w:kern w:val="0"/>
        </w:rPr>
        <w:t>non-RCC malignancy (RR 1.52, 95% CI: 1.32-1.75%, p &lt;0.001)</w:t>
      </w:r>
      <w:r w:rsidR="00A37C1D">
        <w:rPr>
          <w:kern w:val="0"/>
        </w:rPr>
        <w:t>. The</w:t>
      </w:r>
      <w:r w:rsidR="003A1917">
        <w:rPr>
          <w:kern w:val="0"/>
        </w:rPr>
        <w:t xml:space="preserve"> </w:t>
      </w:r>
      <w:r>
        <w:rPr>
          <w:kern w:val="0"/>
        </w:rPr>
        <w:t>incidence</w:t>
      </w:r>
      <w:r w:rsidR="00427468">
        <w:rPr>
          <w:kern w:val="0"/>
        </w:rPr>
        <w:t xml:space="preserve"> of </w:t>
      </w:r>
      <w:r>
        <w:rPr>
          <w:kern w:val="0"/>
        </w:rPr>
        <w:t>high-grade HFSR was 8.9% (95% CI: 7.3-10.7%). In addition, sorafenib was associated with a significant increased risk</w:t>
      </w:r>
      <w:r w:rsidR="00427468">
        <w:rPr>
          <w:kern w:val="0"/>
        </w:rPr>
        <w:t xml:space="preserve"> of </w:t>
      </w:r>
      <w:r>
        <w:rPr>
          <w:kern w:val="0"/>
        </w:rPr>
        <w:t>HFSR with RR</w:t>
      </w:r>
      <w:r w:rsidR="00427468">
        <w:rPr>
          <w:kern w:val="0"/>
        </w:rPr>
        <w:t xml:space="preserve"> of </w:t>
      </w:r>
      <w:r>
        <w:rPr>
          <w:kern w:val="0"/>
        </w:rPr>
        <w:t>6.6 (95% CI: 3.7 to 11.7, p &lt;0.001) in comparison with controls. Conclusion</w:t>
      </w:r>
      <w:r w:rsidR="00A37C1D">
        <w:rPr>
          <w:kern w:val="0"/>
        </w:rPr>
        <w:t>. The</w:t>
      </w:r>
      <w:r>
        <w:rPr>
          <w:kern w:val="0"/>
        </w:rPr>
        <w:t>re is a significant risk</w:t>
      </w:r>
      <w:r w:rsidR="00427468">
        <w:rPr>
          <w:kern w:val="0"/>
        </w:rPr>
        <w:t xml:space="preserve"> of </w:t>
      </w:r>
      <w:r>
        <w:rPr>
          <w:kern w:val="0"/>
        </w:rPr>
        <w:t>HFSR associated with sorafenib. Proper management</w:t>
      </w:r>
      <w:r w:rsidR="005853A9">
        <w:rPr>
          <w:kern w:val="0"/>
        </w:rPr>
        <w:t xml:space="preserve"> and </w:t>
      </w:r>
      <w:r>
        <w:rPr>
          <w:kern w:val="0"/>
        </w:rPr>
        <w:t>further study are recommended to reduce</w:t>
      </w:r>
      <w:r w:rsidR="003A1917">
        <w:rPr>
          <w:kern w:val="0"/>
        </w:rPr>
        <w:t xml:space="preserve"> the </w:t>
      </w:r>
      <w:r>
        <w:rPr>
          <w:kern w:val="0"/>
        </w:rPr>
        <w:t>risk.</w:t>
      </w:r>
    </w:p>
    <w:p w:rsidR="00B46A11" w:rsidRDefault="00B46A11" w:rsidP="00B46A11">
      <w:pPr>
        <w:pStyle w:val="a3"/>
        <w:rPr>
          <w:kern w:val="0"/>
        </w:rPr>
      </w:pPr>
      <w:r>
        <w:rPr>
          <w:kern w:val="0"/>
        </w:rPr>
        <w:t xml:space="preserve">Keywords: Advanced Solid Tumors, Analysis, Bay-43-9006, C-Kit, Clinical Trials, Clinical-Trials, Databases, Kinase Inhibitors, Kit-Ligand, Malignancy, Management, </w:t>
      </w:r>
      <w:r>
        <w:rPr>
          <w:kern w:val="0"/>
        </w:rPr>
        <w:lastRenderedPageBreak/>
        <w:t xml:space="preserve">Methods, Model, Oncology, Phase-I, Pyridoxine Therapy, Relative Risk, Renal-Cell Carcinoma, Review, Risk, Science, Sunitinib, Systematic, Systematic Review, Toxicity, </w:t>
      </w:r>
      <w:r w:rsidR="00D5664A">
        <w:rPr>
          <w:kern w:val="0"/>
        </w:rPr>
        <w:t>Web</w:t>
      </w:r>
      <w:r w:rsidR="00427468">
        <w:rPr>
          <w:kern w:val="0"/>
        </w:rPr>
        <w:t xml:space="preserve"> of </w:t>
      </w:r>
      <w:r w:rsidR="00D5664A">
        <w:rPr>
          <w:kern w:val="0"/>
        </w:rPr>
        <w:t>Science</w:t>
      </w:r>
    </w:p>
    <w:p w:rsidR="00B46A11" w:rsidRDefault="00B46A11" w:rsidP="00B46A11">
      <w:pPr>
        <w:pStyle w:val="a3"/>
        <w:rPr>
          <w:kern w:val="0"/>
        </w:rPr>
      </w:pPr>
      <w:r>
        <w:rPr>
          <w:rFonts w:hint="eastAsia"/>
          <w:kern w:val="0"/>
        </w:rPr>
        <w:t xml:space="preserve">? </w:t>
      </w:r>
      <w:r>
        <w:rPr>
          <w:kern w:val="0"/>
        </w:rPr>
        <w:t>Zhu, X.L., Stergiopoulos, K.</w:t>
      </w:r>
      <w:r w:rsidR="005853A9">
        <w:rPr>
          <w:kern w:val="0"/>
        </w:rPr>
        <w:t xml:space="preserve"> and </w:t>
      </w:r>
      <w:r>
        <w:rPr>
          <w:kern w:val="0"/>
        </w:rPr>
        <w:t>Wu, S. (2009), Risk</w:t>
      </w:r>
      <w:r w:rsidR="00427468">
        <w:rPr>
          <w:kern w:val="0"/>
        </w:rPr>
        <w:t xml:space="preserve"> of </w:t>
      </w:r>
      <w:r>
        <w:rPr>
          <w:kern w:val="0"/>
        </w:rPr>
        <w:t>hypertension</w:t>
      </w:r>
      <w:r w:rsidR="005853A9">
        <w:rPr>
          <w:kern w:val="0"/>
        </w:rPr>
        <w:t xml:space="preserve"> and </w:t>
      </w:r>
      <w:r>
        <w:rPr>
          <w:kern w:val="0"/>
        </w:rPr>
        <w:t>renal dysfunction with an angiogenesis inhibitor sunitinib: Systematic review</w:t>
      </w:r>
      <w:r w:rsidR="005853A9">
        <w:rPr>
          <w:kern w:val="0"/>
        </w:rPr>
        <w:t xml:space="preserve"> and </w:t>
      </w:r>
      <w:r>
        <w:rPr>
          <w:kern w:val="0"/>
        </w:rPr>
        <w:t xml:space="preserve">meta-analysis. </w:t>
      </w:r>
      <w:r>
        <w:rPr>
          <w:i/>
          <w:iCs/>
          <w:kern w:val="0"/>
        </w:rPr>
        <w:t>Acta Oncologica</w:t>
      </w:r>
      <w:r>
        <w:rPr>
          <w:kern w:val="0"/>
        </w:rPr>
        <w:t xml:space="preserve">, </w:t>
      </w:r>
      <w:r>
        <w:rPr>
          <w:b/>
          <w:bCs/>
          <w:kern w:val="0"/>
        </w:rPr>
        <w:t>48</w:t>
      </w:r>
      <w:r>
        <w:rPr>
          <w:kern w:val="0"/>
        </w:rPr>
        <w:t xml:space="preserve"> (1), 9-17.</w:t>
      </w:r>
    </w:p>
    <w:p w:rsidR="00B46A11" w:rsidRDefault="00B46A11" w:rsidP="00B46A11">
      <w:pPr>
        <w:pStyle w:val="a3"/>
        <w:rPr>
          <w:kern w:val="0"/>
        </w:rPr>
      </w:pPr>
      <w:r>
        <w:rPr>
          <w:rFonts w:hint="eastAsia"/>
          <w:kern w:val="0"/>
        </w:rPr>
        <w:t xml:space="preserve">Full Text: </w:t>
      </w:r>
      <w:hyperlink r:id="rId162" w:history="1">
        <w:r w:rsidRPr="00B46A11">
          <w:rPr>
            <w:rStyle w:val="a5"/>
            <w:kern w:val="0"/>
          </w:rPr>
          <w:t>2009\Act Onc48, 9.pdf</w:t>
        </w:r>
      </w:hyperlink>
    </w:p>
    <w:p w:rsidR="00B46A11" w:rsidRDefault="00B46A11" w:rsidP="00B46A11">
      <w:pPr>
        <w:pStyle w:val="a3"/>
        <w:rPr>
          <w:kern w:val="0"/>
        </w:rPr>
      </w:pPr>
      <w:r>
        <w:rPr>
          <w:kern w:val="0"/>
        </w:rPr>
        <w:t>Abstract: Background. Sunitinib is a multitargeted tyrosine kinase inhibitor used in</w:t>
      </w:r>
      <w:r w:rsidR="003A1917">
        <w:rPr>
          <w:kern w:val="0"/>
        </w:rPr>
        <w:t xml:space="preserve"> the </w:t>
      </w:r>
      <w:r>
        <w:rPr>
          <w:kern w:val="0"/>
        </w:rPr>
        <w:t>treatment</w:t>
      </w:r>
      <w:r w:rsidR="00427468">
        <w:rPr>
          <w:kern w:val="0"/>
        </w:rPr>
        <w:t xml:space="preserve"> of </w:t>
      </w:r>
      <w:r>
        <w:rPr>
          <w:kern w:val="0"/>
        </w:rPr>
        <w:t>metastatic renal cell carcinoma (RCC)</w:t>
      </w:r>
      <w:r w:rsidR="005853A9">
        <w:rPr>
          <w:kern w:val="0"/>
        </w:rPr>
        <w:t xml:space="preserve"> and </w:t>
      </w:r>
      <w:r>
        <w:rPr>
          <w:kern w:val="0"/>
        </w:rPr>
        <w:t>gastrointestinal stromal tumor (GIST),</w:t>
      </w:r>
      <w:r w:rsidR="005853A9">
        <w:rPr>
          <w:kern w:val="0"/>
        </w:rPr>
        <w:t xml:space="preserve"> and </w:t>
      </w:r>
      <w:r>
        <w:rPr>
          <w:kern w:val="0"/>
        </w:rPr>
        <w:t>undergoing evaluation for other malignancy. Hypertension is one</w:t>
      </w:r>
      <w:r w:rsidR="00427468">
        <w:rPr>
          <w:kern w:val="0"/>
        </w:rPr>
        <w:t xml:space="preserve"> of </w:t>
      </w:r>
      <w:r>
        <w:rPr>
          <w:kern w:val="0"/>
        </w:rPr>
        <w:t>its major side effects with a substantial variation in</w:t>
      </w:r>
      <w:r w:rsidR="003A1917">
        <w:rPr>
          <w:kern w:val="0"/>
        </w:rPr>
        <w:t xml:space="preserve"> the </w:t>
      </w:r>
      <w:r>
        <w:rPr>
          <w:kern w:val="0"/>
        </w:rPr>
        <w:t>reported incidences among clinical studies. We here performed a systematic review</w:t>
      </w:r>
      <w:r w:rsidR="005853A9">
        <w:rPr>
          <w:kern w:val="0"/>
        </w:rPr>
        <w:t xml:space="preserve"> and </w:t>
      </w:r>
      <w:r>
        <w:rPr>
          <w:kern w:val="0"/>
        </w:rPr>
        <w:t>meta-analysis</w:t>
      </w:r>
      <w:r w:rsidR="00427468">
        <w:rPr>
          <w:kern w:val="0"/>
        </w:rPr>
        <w:t xml:space="preserve"> of </w:t>
      </w:r>
      <w:r>
        <w:rPr>
          <w:kern w:val="0"/>
        </w:rPr>
        <w:t>published clinical trials to determine its overall risk. Methods. Relevant studies were searched</w:t>
      </w:r>
      <w:r w:rsidR="005853A9">
        <w:rPr>
          <w:kern w:val="0"/>
        </w:rPr>
        <w:t xml:space="preserve"> and </w:t>
      </w:r>
      <w:r>
        <w:rPr>
          <w:kern w:val="0"/>
        </w:rPr>
        <w:t xml:space="preserve">identified in </w:t>
      </w:r>
      <w:r w:rsidR="00D5664A">
        <w:rPr>
          <w:kern w:val="0"/>
        </w:rPr>
        <w:t>MEDLINE</w:t>
      </w:r>
      <w:r>
        <w:rPr>
          <w:kern w:val="0"/>
        </w:rPr>
        <w:t xml:space="preserve"> (OVID 1966 to July, 2007),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abstracts presented at</w:t>
      </w:r>
      <w:r w:rsidR="003A1917">
        <w:rPr>
          <w:kern w:val="0"/>
        </w:rPr>
        <w:t xml:space="preserve"> the </w:t>
      </w:r>
      <w:r>
        <w:rPr>
          <w:kern w:val="0"/>
        </w:rPr>
        <w:t>American Society</w:t>
      </w:r>
      <w:r w:rsidR="00427468">
        <w:rPr>
          <w:kern w:val="0"/>
        </w:rPr>
        <w:t xml:space="preserve"> of </w:t>
      </w:r>
      <w:r>
        <w:rPr>
          <w:kern w:val="0"/>
        </w:rPr>
        <w:t>Clinical Oncology annual meetings from 2004 through 2007. Eligible studies were prospective clinical trials that had described events</w:t>
      </w:r>
      <w:r w:rsidR="00427468">
        <w:rPr>
          <w:kern w:val="0"/>
        </w:rPr>
        <w:t xml:space="preserve"> of </w:t>
      </w:r>
      <w:r>
        <w:rPr>
          <w:kern w:val="0"/>
        </w:rPr>
        <w:t>hypertension for patients who received single agent sunitinib</w:t>
      </w:r>
      <w:r w:rsidR="00A37C1D">
        <w:rPr>
          <w:kern w:val="0"/>
        </w:rPr>
        <w:t>. The</w:t>
      </w:r>
      <w:r w:rsidR="003A1917">
        <w:rPr>
          <w:kern w:val="0"/>
        </w:rPr>
        <w:t xml:space="preserve"> </w:t>
      </w:r>
      <w:r>
        <w:rPr>
          <w:kern w:val="0"/>
        </w:rPr>
        <w:t>incidence</w:t>
      </w:r>
      <w:r w:rsidR="00427468">
        <w:rPr>
          <w:kern w:val="0"/>
        </w:rPr>
        <w:t xml:space="preserve"> of </w:t>
      </w:r>
      <w:r>
        <w:rPr>
          <w:kern w:val="0"/>
        </w:rPr>
        <w:t>hypertension</w:t>
      </w:r>
      <w:r w:rsidR="005853A9">
        <w:rPr>
          <w:kern w:val="0"/>
        </w:rPr>
        <w:t xml:space="preserve"> and </w:t>
      </w:r>
      <w:r>
        <w:rPr>
          <w:kern w:val="0"/>
        </w:rPr>
        <w:t>relative risk (RR) were calculated using</w:t>
      </w:r>
      <w:r w:rsidR="003A1917">
        <w:rPr>
          <w:kern w:val="0"/>
        </w:rPr>
        <w:t xml:space="preserve"> the </w:t>
      </w:r>
      <w:r>
        <w:rPr>
          <w:kern w:val="0"/>
        </w:rPr>
        <w:t>random-effects or</w:t>
      </w:r>
      <w:r w:rsidR="003A1917">
        <w:rPr>
          <w:kern w:val="0"/>
        </w:rPr>
        <w:t xml:space="preserve"> the </w:t>
      </w:r>
      <w:r>
        <w:rPr>
          <w:kern w:val="0"/>
        </w:rPr>
        <w:t>fixed-effects model. Results. A total</w:t>
      </w:r>
      <w:r w:rsidR="00427468">
        <w:rPr>
          <w:kern w:val="0"/>
        </w:rPr>
        <w:t xml:space="preserve"> of </w:t>
      </w:r>
      <w:r>
        <w:rPr>
          <w:kern w:val="0"/>
        </w:rPr>
        <w:t>4, 999 patients with RCC</w:t>
      </w:r>
      <w:r w:rsidR="005853A9">
        <w:rPr>
          <w:kern w:val="0"/>
        </w:rPr>
        <w:t xml:space="preserve"> and </w:t>
      </w:r>
      <w:r>
        <w:rPr>
          <w:kern w:val="0"/>
        </w:rPr>
        <w:t>other malignancies from 13 clinical trials were included for analysis. Among patients receiving sunitinib,</w:t>
      </w:r>
      <w:r w:rsidR="003A1917">
        <w:rPr>
          <w:kern w:val="0"/>
        </w:rPr>
        <w:t xml:space="preserve"> the </w:t>
      </w:r>
      <w:r>
        <w:rPr>
          <w:kern w:val="0"/>
        </w:rPr>
        <w:t>incidence</w:t>
      </w:r>
      <w:r w:rsidR="00427468">
        <w:rPr>
          <w:kern w:val="0"/>
        </w:rPr>
        <w:t xml:space="preserve"> of </w:t>
      </w:r>
      <w:r>
        <w:rPr>
          <w:kern w:val="0"/>
        </w:rPr>
        <w:t>all-grade</w:t>
      </w:r>
      <w:r w:rsidR="005853A9">
        <w:rPr>
          <w:kern w:val="0"/>
        </w:rPr>
        <w:t xml:space="preserve"> and </w:t>
      </w:r>
      <w:r>
        <w:rPr>
          <w:kern w:val="0"/>
        </w:rPr>
        <w:t>high-grade hypertensions were 21.6% (95% CI: 18.7-24.8%)</w:t>
      </w:r>
      <w:r w:rsidR="005853A9">
        <w:rPr>
          <w:kern w:val="0"/>
        </w:rPr>
        <w:t xml:space="preserve"> and </w:t>
      </w:r>
      <w:r>
        <w:rPr>
          <w:kern w:val="0"/>
        </w:rPr>
        <w:t>6.8% (95% CI: 5.3-8.8%) respectively</w:t>
      </w:r>
      <w:r w:rsidR="00A37C1D">
        <w:rPr>
          <w:kern w:val="0"/>
        </w:rPr>
        <w:t>. The</w:t>
      </w:r>
      <w:r w:rsidR="003A1917">
        <w:rPr>
          <w:kern w:val="0"/>
        </w:rPr>
        <w:t xml:space="preserve"> </w:t>
      </w:r>
      <w:r>
        <w:rPr>
          <w:kern w:val="0"/>
        </w:rPr>
        <w:t>risk may vary with tumor type</w:t>
      </w:r>
      <w:r w:rsidR="005853A9">
        <w:rPr>
          <w:kern w:val="0"/>
        </w:rPr>
        <w:t xml:space="preserve"> and </w:t>
      </w:r>
      <w:r w:rsidR="003A1917">
        <w:rPr>
          <w:kern w:val="0"/>
        </w:rPr>
        <w:t xml:space="preserve">the </w:t>
      </w:r>
      <w:r>
        <w:rPr>
          <w:kern w:val="0"/>
        </w:rPr>
        <w:t>dosing schedule</w:t>
      </w:r>
      <w:r w:rsidR="00427468">
        <w:rPr>
          <w:kern w:val="0"/>
        </w:rPr>
        <w:t xml:space="preserve"> of </w:t>
      </w:r>
      <w:r>
        <w:rPr>
          <w:kern w:val="0"/>
        </w:rPr>
        <w:t>sunitinib. Sunitinib was associated with a significantly increased risk</w:t>
      </w:r>
      <w:r w:rsidR="00427468">
        <w:rPr>
          <w:kern w:val="0"/>
        </w:rPr>
        <w:t xml:space="preserve"> of </w:t>
      </w:r>
      <w:r>
        <w:rPr>
          <w:kern w:val="0"/>
        </w:rPr>
        <w:t>high-grade hypertension (RR = 22.72, 95% CI: 4.48 to 115.29, p &lt; 0.001)</w:t>
      </w:r>
      <w:r w:rsidR="005853A9">
        <w:rPr>
          <w:kern w:val="0"/>
        </w:rPr>
        <w:t xml:space="preserve"> and </w:t>
      </w:r>
      <w:r>
        <w:rPr>
          <w:kern w:val="0"/>
        </w:rPr>
        <w:t>renal dysfunction (RR: 1.36, 95% CI: 1.20 to 1.54, p &lt; 0.001) in comparison with controls. Conclusions</w:t>
      </w:r>
      <w:r w:rsidR="00A37C1D">
        <w:rPr>
          <w:kern w:val="0"/>
        </w:rPr>
        <w:t>. The</w:t>
      </w:r>
      <w:r>
        <w:rPr>
          <w:kern w:val="0"/>
        </w:rPr>
        <w:t>re is a significant risk</w:t>
      </w:r>
      <w:r w:rsidR="00427468">
        <w:rPr>
          <w:kern w:val="0"/>
        </w:rPr>
        <w:t xml:space="preserve"> of </w:t>
      </w:r>
      <w:r>
        <w:rPr>
          <w:kern w:val="0"/>
        </w:rPr>
        <w:t>developing hypertension</w:t>
      </w:r>
      <w:r w:rsidR="005853A9">
        <w:rPr>
          <w:kern w:val="0"/>
        </w:rPr>
        <w:t xml:space="preserve"> and </w:t>
      </w:r>
      <w:r>
        <w:rPr>
          <w:kern w:val="0"/>
        </w:rPr>
        <w:t>renal dysfunction among patients receiving sunitinib. Adequate monitoring</w:t>
      </w:r>
      <w:r w:rsidR="005853A9">
        <w:rPr>
          <w:kern w:val="0"/>
        </w:rPr>
        <w:t xml:space="preserve"> and </w:t>
      </w:r>
      <w:r>
        <w:rPr>
          <w:kern w:val="0"/>
        </w:rPr>
        <w:t>treatment</w:t>
      </w:r>
      <w:r w:rsidR="00427468">
        <w:rPr>
          <w:kern w:val="0"/>
        </w:rPr>
        <w:t xml:space="preserve"> of </w:t>
      </w:r>
      <w:r>
        <w:rPr>
          <w:kern w:val="0"/>
        </w:rPr>
        <w:t>hypertension is recommended.</w:t>
      </w:r>
    </w:p>
    <w:p w:rsidR="00B46A11" w:rsidRDefault="00B46A11" w:rsidP="00B46A11">
      <w:pPr>
        <w:pStyle w:val="a3"/>
        <w:rPr>
          <w:kern w:val="0"/>
        </w:rPr>
      </w:pPr>
      <w:r>
        <w:rPr>
          <w:kern w:val="0"/>
        </w:rPr>
        <w:t xml:space="preserve">Keywords: Analysis, Angiogenesis, Cancer, Carcinoma, Cell Carcinoma, Clinical Trials, Endothelial Growth-Factor, Evaluation, Factor Receptor, Gastrointestinal, Hypertension, Malignancy, </w:t>
      </w:r>
      <w:r w:rsidR="00D5664A">
        <w:rPr>
          <w:kern w:val="0"/>
        </w:rPr>
        <w:t>MEDLINE</w:t>
      </w:r>
      <w:r>
        <w:rPr>
          <w:kern w:val="0"/>
        </w:rPr>
        <w:t xml:space="preserve">, Meta-Analysis, Methods, Model, Models, Monitoring, Oncology, Proteinuria, Relative Risk, Review, Risk, Science, Su11248, Systematic, Systematic Review, Therapy, Treatment, Tyrosine Kinase Inhibitor, </w:t>
      </w:r>
      <w:r w:rsidR="00D5664A">
        <w:rPr>
          <w:kern w:val="0"/>
        </w:rPr>
        <w:t>Web</w:t>
      </w:r>
      <w:r w:rsidR="00427468">
        <w:rPr>
          <w:kern w:val="0"/>
        </w:rPr>
        <w:t xml:space="preserve"> of </w:t>
      </w:r>
      <w:r w:rsidR="00D5664A">
        <w:rPr>
          <w:kern w:val="0"/>
        </w:rPr>
        <w:t>Science</w:t>
      </w:r>
    </w:p>
    <w:p w:rsidR="00B46A11" w:rsidRDefault="00B46A11" w:rsidP="00B46A11">
      <w:pPr>
        <w:pStyle w:val="a3"/>
        <w:rPr>
          <w:kern w:val="0"/>
        </w:rPr>
      </w:pPr>
      <w:r>
        <w:rPr>
          <w:rFonts w:hint="eastAsia"/>
          <w:kern w:val="0"/>
        </w:rPr>
        <w:t xml:space="preserve">? </w:t>
      </w:r>
      <w:r>
        <w:rPr>
          <w:kern w:val="0"/>
        </w:rPr>
        <w:t>Ranpura, V., Hapani, S., Chuang, J.</w:t>
      </w:r>
      <w:r w:rsidR="005853A9">
        <w:rPr>
          <w:kern w:val="0"/>
        </w:rPr>
        <w:t xml:space="preserve"> and </w:t>
      </w:r>
      <w:r>
        <w:rPr>
          <w:kern w:val="0"/>
        </w:rPr>
        <w:t>Wu, S.H. (2010), Risk</w:t>
      </w:r>
      <w:r w:rsidR="00427468">
        <w:rPr>
          <w:kern w:val="0"/>
        </w:rPr>
        <w:t xml:space="preserve"> of </w:t>
      </w:r>
      <w:r>
        <w:rPr>
          <w:kern w:val="0"/>
        </w:rPr>
        <w:t>cardiac ischemia</w:t>
      </w:r>
      <w:r w:rsidR="005853A9">
        <w:rPr>
          <w:kern w:val="0"/>
        </w:rPr>
        <w:t xml:space="preserve"> and </w:t>
      </w:r>
      <w:r>
        <w:rPr>
          <w:kern w:val="0"/>
        </w:rPr>
        <w:t>arterial thromboembolic events with</w:t>
      </w:r>
      <w:r w:rsidR="003A1917">
        <w:rPr>
          <w:kern w:val="0"/>
        </w:rPr>
        <w:t xml:space="preserve"> the </w:t>
      </w:r>
      <w:r>
        <w:rPr>
          <w:kern w:val="0"/>
        </w:rPr>
        <w:t>angiogenesis inhibitor bevacizumab in cancer patients: A meta-analysis</w:t>
      </w:r>
      <w:r w:rsidR="00427468">
        <w:rPr>
          <w:kern w:val="0"/>
        </w:rPr>
        <w:t xml:space="preserve"> of </w:t>
      </w:r>
      <w:r>
        <w:rPr>
          <w:kern w:val="0"/>
        </w:rPr>
        <w:t xml:space="preserve">randomized controlled trials. </w:t>
      </w:r>
      <w:r>
        <w:rPr>
          <w:i/>
          <w:iCs/>
          <w:kern w:val="0"/>
        </w:rPr>
        <w:t>Acta Oncologica</w:t>
      </w:r>
      <w:r>
        <w:rPr>
          <w:kern w:val="0"/>
        </w:rPr>
        <w:t xml:space="preserve">, </w:t>
      </w:r>
      <w:r>
        <w:rPr>
          <w:b/>
          <w:bCs/>
          <w:kern w:val="0"/>
        </w:rPr>
        <w:t>49</w:t>
      </w:r>
      <w:r>
        <w:rPr>
          <w:kern w:val="0"/>
        </w:rPr>
        <w:t xml:space="preserve"> (3), 287-297.</w:t>
      </w:r>
    </w:p>
    <w:p w:rsidR="00B46A11" w:rsidRDefault="00B46A11" w:rsidP="00B46A11">
      <w:pPr>
        <w:pStyle w:val="a3"/>
        <w:rPr>
          <w:kern w:val="0"/>
        </w:rPr>
      </w:pPr>
      <w:r>
        <w:rPr>
          <w:rFonts w:hint="eastAsia"/>
          <w:kern w:val="0"/>
        </w:rPr>
        <w:lastRenderedPageBreak/>
        <w:t xml:space="preserve">Full Text: </w:t>
      </w:r>
      <w:hyperlink r:id="rId163" w:history="1">
        <w:r w:rsidRPr="00B46A11">
          <w:rPr>
            <w:rStyle w:val="a5"/>
            <w:kern w:val="0"/>
          </w:rPr>
          <w:t>2010\Act Onc49, 287.pdf</w:t>
        </w:r>
      </w:hyperlink>
    </w:p>
    <w:p w:rsidR="00B46A11" w:rsidRDefault="00B46A11" w:rsidP="00B46A11">
      <w:pPr>
        <w:pStyle w:val="a3"/>
        <w:rPr>
          <w:kern w:val="0"/>
        </w:rPr>
      </w:pPr>
      <w:r>
        <w:rPr>
          <w:kern w:val="0"/>
        </w:rPr>
        <w:t>Abstract: Background</w:t>
      </w:r>
      <w:r w:rsidR="00A37C1D">
        <w:rPr>
          <w:kern w:val="0"/>
        </w:rPr>
        <w:t>. The</w:t>
      </w:r>
      <w:r w:rsidR="003A1917">
        <w:rPr>
          <w:kern w:val="0"/>
        </w:rPr>
        <w:t xml:space="preserve"> </w:t>
      </w:r>
      <w:r>
        <w:rPr>
          <w:kern w:val="0"/>
        </w:rPr>
        <w:t>risk</w:t>
      </w:r>
      <w:r w:rsidR="00427468">
        <w:rPr>
          <w:kern w:val="0"/>
        </w:rPr>
        <w:t xml:space="preserve"> of </w:t>
      </w:r>
      <w:r>
        <w:rPr>
          <w:kern w:val="0"/>
        </w:rPr>
        <w:t>cardiovascular toxicities is a serious concern with</w:t>
      </w:r>
      <w:r w:rsidR="003A1917">
        <w:rPr>
          <w:kern w:val="0"/>
        </w:rPr>
        <w:t xml:space="preserve"> the </w:t>
      </w:r>
      <w:r>
        <w:rPr>
          <w:kern w:val="0"/>
        </w:rPr>
        <w:t>increased application</w:t>
      </w:r>
      <w:r w:rsidR="00427468">
        <w:rPr>
          <w:kern w:val="0"/>
        </w:rPr>
        <w:t xml:space="preserve"> of </w:t>
      </w:r>
      <w:r>
        <w:rPr>
          <w:kern w:val="0"/>
        </w:rPr>
        <w:t>angiogenesis inhibitors in current cancer therapy. Arterial thromboembolic events (ATE) were associated with bevacizumab, an antibody against vascular endothelial growth factor. To determine</w:t>
      </w:r>
      <w:r w:rsidR="003A1917">
        <w:rPr>
          <w:kern w:val="0"/>
        </w:rPr>
        <w:t xml:space="preserve"> the </w:t>
      </w:r>
      <w:r>
        <w:rPr>
          <w:kern w:val="0"/>
        </w:rPr>
        <w:t>risk</w:t>
      </w:r>
      <w:r w:rsidR="00427468">
        <w:rPr>
          <w:kern w:val="0"/>
        </w:rPr>
        <w:t xml:space="preserve"> of </w:t>
      </w:r>
      <w:r>
        <w:rPr>
          <w:kern w:val="0"/>
        </w:rPr>
        <w:t>ATE including cardiac ischemia</w:t>
      </w:r>
      <w:r w:rsidR="005853A9">
        <w:rPr>
          <w:kern w:val="0"/>
        </w:rPr>
        <w:t xml:space="preserve"> and </w:t>
      </w:r>
      <w:r>
        <w:rPr>
          <w:kern w:val="0"/>
        </w:rPr>
        <w:t>stroke, a systematic review</w:t>
      </w:r>
      <w:r w:rsidR="005853A9">
        <w:rPr>
          <w:kern w:val="0"/>
        </w:rPr>
        <w:t xml:space="preserve"> and </w:t>
      </w:r>
      <w:r>
        <w:rPr>
          <w:kern w:val="0"/>
        </w:rPr>
        <w:t>meta-analysis</w:t>
      </w:r>
      <w:r w:rsidR="00427468">
        <w:rPr>
          <w:kern w:val="0"/>
        </w:rPr>
        <w:t xml:space="preserve"> of </w:t>
      </w:r>
      <w:r>
        <w:rPr>
          <w:kern w:val="0"/>
        </w:rPr>
        <w:t>published randomized controlled trials (RCTs) was performed. Methods. We searched</w:t>
      </w:r>
      <w:r w:rsidR="003A1917">
        <w:rPr>
          <w:kern w:val="0"/>
        </w:rPr>
        <w:t xml:space="preserve"> the </w:t>
      </w:r>
      <w:r>
        <w:rPr>
          <w:kern w:val="0"/>
        </w:rPr>
        <w:t>databases</w:t>
      </w:r>
      <w:r w:rsidR="00427468">
        <w:rPr>
          <w:kern w:val="0"/>
        </w:rPr>
        <w:t xml:space="preserve"> of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American Society</w:t>
      </w:r>
      <w:r w:rsidR="00427468">
        <w:rPr>
          <w:kern w:val="0"/>
        </w:rPr>
        <w:t xml:space="preserve"> of </w:t>
      </w:r>
      <w:r>
        <w:rPr>
          <w:kern w:val="0"/>
        </w:rPr>
        <w:t>Clinical Oncology conferences to identify relevant clinical trials up to May, 2009. Eligible studies included prospective RCTs in which bevacizumab was compared to a control concurrently in combination with standard anti-neoplastic therapy. Summary incidence rates, relative risks (RRs),</w:t>
      </w:r>
      <w:r w:rsidR="005853A9">
        <w:rPr>
          <w:kern w:val="0"/>
        </w:rPr>
        <w:t xml:space="preserve"> and </w:t>
      </w:r>
      <w:r>
        <w:rPr>
          <w:kern w:val="0"/>
        </w:rPr>
        <w:t>95% confidence intervals (CIs) were calculated using random-effects or fixed-effects models. Results. A total</w:t>
      </w:r>
      <w:r w:rsidR="00427468">
        <w:rPr>
          <w:kern w:val="0"/>
        </w:rPr>
        <w:t xml:space="preserve"> of </w:t>
      </w:r>
      <w:r>
        <w:rPr>
          <w:kern w:val="0"/>
        </w:rPr>
        <w:t>12 617 patients with a variety</w:t>
      </w:r>
      <w:r w:rsidR="00427468">
        <w:rPr>
          <w:kern w:val="0"/>
        </w:rPr>
        <w:t xml:space="preserve"> of </w:t>
      </w:r>
      <w:r>
        <w:rPr>
          <w:kern w:val="0"/>
        </w:rPr>
        <w:t>advanced solid tumors from 20 RCTs were included for analysis</w:t>
      </w:r>
      <w:r w:rsidR="00A37C1D">
        <w:rPr>
          <w:kern w:val="0"/>
        </w:rPr>
        <w:t>. The</w:t>
      </w:r>
      <w:r w:rsidR="003A1917">
        <w:rPr>
          <w:kern w:val="0"/>
        </w:rPr>
        <w:t xml:space="preserve"> </w:t>
      </w:r>
      <w:r>
        <w:rPr>
          <w:kern w:val="0"/>
        </w:rPr>
        <w:t>incidences</w:t>
      </w:r>
      <w:r w:rsidR="00427468">
        <w:rPr>
          <w:kern w:val="0"/>
        </w:rPr>
        <w:t xml:space="preserve"> of </w:t>
      </w:r>
      <w:r>
        <w:rPr>
          <w:kern w:val="0"/>
        </w:rPr>
        <w:t>all-grade</w:t>
      </w:r>
      <w:r w:rsidR="005853A9">
        <w:rPr>
          <w:kern w:val="0"/>
        </w:rPr>
        <w:t xml:space="preserve"> and </w:t>
      </w:r>
      <w:r>
        <w:rPr>
          <w:kern w:val="0"/>
        </w:rPr>
        <w:t>high-grade ATE in patients receiving bevacizumab were 3.3% (95% CI, 2.0-5.6%)</w:t>
      </w:r>
      <w:r w:rsidR="005853A9">
        <w:rPr>
          <w:kern w:val="0"/>
        </w:rPr>
        <w:t xml:space="preserve"> and </w:t>
      </w:r>
      <w:r>
        <w:rPr>
          <w:kern w:val="0"/>
        </w:rPr>
        <w:t>2.0% (95% CI, 1.7-2.5) respectively. Patients treated with bevacizumab had a significantly increased risk</w:t>
      </w:r>
      <w:r w:rsidR="00427468">
        <w:rPr>
          <w:kern w:val="0"/>
        </w:rPr>
        <w:t xml:space="preserve"> of </w:t>
      </w:r>
      <w:r>
        <w:rPr>
          <w:kern w:val="0"/>
        </w:rPr>
        <w:t>ATE with an RR</w:t>
      </w:r>
      <w:r w:rsidR="00427468">
        <w:rPr>
          <w:kern w:val="0"/>
        </w:rPr>
        <w:t xml:space="preserve"> of </w:t>
      </w:r>
      <w:r>
        <w:rPr>
          <w:kern w:val="0"/>
        </w:rPr>
        <w:t>1.44 (95% CI, 1.08-1.91; p=0.013) compared with controls</w:t>
      </w:r>
      <w:r w:rsidR="00A37C1D">
        <w:rPr>
          <w:kern w:val="0"/>
        </w:rPr>
        <w:t>. The</w:t>
      </w:r>
      <w:r w:rsidR="003A1917">
        <w:rPr>
          <w:kern w:val="0"/>
        </w:rPr>
        <w:t xml:space="preserve"> </w:t>
      </w:r>
      <w:r>
        <w:rPr>
          <w:kern w:val="0"/>
        </w:rPr>
        <w:t>risk similarly increased for bevacizumab at 2.5</w:t>
      </w:r>
      <w:r w:rsidR="005853A9">
        <w:rPr>
          <w:kern w:val="0"/>
        </w:rPr>
        <w:t xml:space="preserve"> and </w:t>
      </w:r>
      <w:r>
        <w:rPr>
          <w:kern w:val="0"/>
        </w:rPr>
        <w:t>5 mg/kg/week; in addition, significantly increased risks were observed in patients with renal cell cancer (RR, 3.72, 95% CI, 1.15-12.04; p=0.029)</w:t>
      </w:r>
      <w:r w:rsidR="005853A9">
        <w:rPr>
          <w:kern w:val="0"/>
        </w:rPr>
        <w:t xml:space="preserve"> and </w:t>
      </w:r>
      <w:r>
        <w:rPr>
          <w:kern w:val="0"/>
        </w:rPr>
        <w:t>colorectal cancer (RR, 1.89, 95% CI, 1.28-2.80, p=0.001). Notably,</w:t>
      </w:r>
      <w:r w:rsidR="003A1917">
        <w:rPr>
          <w:kern w:val="0"/>
        </w:rPr>
        <w:t xml:space="preserve"> the </w:t>
      </w:r>
      <w:r>
        <w:rPr>
          <w:kern w:val="0"/>
        </w:rPr>
        <w:t>risk</w:t>
      </w:r>
      <w:r w:rsidR="00427468">
        <w:rPr>
          <w:kern w:val="0"/>
        </w:rPr>
        <w:t xml:space="preserve"> of </w:t>
      </w:r>
      <w:r>
        <w:rPr>
          <w:kern w:val="0"/>
        </w:rPr>
        <w:t>high-grade cardiac ischemia with bevacizumab was significantly higher than controls with an RR</w:t>
      </w:r>
      <w:r w:rsidR="00427468">
        <w:rPr>
          <w:kern w:val="0"/>
        </w:rPr>
        <w:t xml:space="preserve"> of </w:t>
      </w:r>
      <w:r>
        <w:rPr>
          <w:kern w:val="0"/>
        </w:rPr>
        <w:t>2.14 (95% CI, 1.12-4.08, p=0.021); however,</w:t>
      </w:r>
      <w:r w:rsidR="003A1917">
        <w:rPr>
          <w:kern w:val="0"/>
        </w:rPr>
        <w:t xml:space="preserve"> the </w:t>
      </w:r>
      <w:r>
        <w:rPr>
          <w:kern w:val="0"/>
        </w:rPr>
        <w:t>risk</w:t>
      </w:r>
      <w:r w:rsidR="00427468">
        <w:rPr>
          <w:kern w:val="0"/>
        </w:rPr>
        <w:t xml:space="preserve"> of </w:t>
      </w:r>
      <w:r>
        <w:rPr>
          <w:kern w:val="0"/>
        </w:rPr>
        <w:t>ischemic stroke with bevacizumab was not significantly different from controls (RR, 1.37, 95% Cl, 0.67-2.79, p=0.39). Discussion. Treatment with bevacizumab may significantly increase</w:t>
      </w:r>
      <w:r w:rsidR="003A1917">
        <w:rPr>
          <w:kern w:val="0"/>
        </w:rPr>
        <w:t xml:space="preserve"> the </w:t>
      </w:r>
      <w:r>
        <w:rPr>
          <w:kern w:val="0"/>
        </w:rPr>
        <w:t>risk</w:t>
      </w:r>
      <w:r w:rsidR="00427468">
        <w:rPr>
          <w:kern w:val="0"/>
        </w:rPr>
        <w:t xml:space="preserve"> of </w:t>
      </w:r>
      <w:r>
        <w:rPr>
          <w:kern w:val="0"/>
        </w:rPr>
        <w:t>cardiac ischemic events in cancer patients.</w:t>
      </w:r>
    </w:p>
    <w:p w:rsidR="00B46A11" w:rsidRDefault="00B46A11" w:rsidP="00B46A11">
      <w:pPr>
        <w:pStyle w:val="a3"/>
        <w:rPr>
          <w:kern w:val="0"/>
        </w:rPr>
      </w:pPr>
      <w:r>
        <w:rPr>
          <w:kern w:val="0"/>
        </w:rPr>
        <w:t xml:space="preserve">Keywords: 1st-Line Therapy, Analysis, Angiogenesis, Bevacizumab, Breast-Cancer, Cancer, Cardiovascular, Clinical Trials, Colorectal Cancer, Combination, Confidence Intervals, Control, Databases, Endothelial Growth-Factor, Fluorouracil, Ischemia, Lung-Cancer, Meta-Analysis, Metastatic Colorectal-Cancer, Methods, Oncology, Phase-III Trial, </w:t>
      </w:r>
      <w:r w:rsidR="002C12F0">
        <w:rPr>
          <w:kern w:val="0"/>
        </w:rPr>
        <w:t>PUBMED</w:t>
      </w:r>
      <w:r>
        <w:rPr>
          <w:kern w:val="0"/>
        </w:rPr>
        <w:t xml:space="preserve">, Randomized Controlled Trials, Renal-Cell Carcinoma, Review, Risk, Science, Stroke, Systematic, Systematic Review, Therapy, Tumor-Growth, Vascular Endothelial Growth Factor, </w:t>
      </w:r>
      <w:r w:rsidR="00D5664A">
        <w:rPr>
          <w:kern w:val="0"/>
        </w:rPr>
        <w:t>Web</w:t>
      </w:r>
      <w:r w:rsidR="00427468">
        <w:rPr>
          <w:kern w:val="0"/>
        </w:rPr>
        <w:t xml:space="preserve"> of </w:t>
      </w:r>
      <w:r w:rsidR="00D5664A">
        <w:rPr>
          <w:kern w:val="0"/>
        </w:rPr>
        <w:t>Science</w:t>
      </w:r>
    </w:p>
    <w:p w:rsidR="00307C2D" w:rsidRDefault="00307C2D" w:rsidP="00307C2D">
      <w:pPr>
        <w:pStyle w:val="a3"/>
        <w:rPr>
          <w:kern w:val="0"/>
        </w:rPr>
      </w:pPr>
      <w:r>
        <w:rPr>
          <w:rFonts w:hint="eastAsia"/>
          <w:kern w:val="0"/>
        </w:rPr>
        <w:t xml:space="preserve">? </w:t>
      </w:r>
      <w:r>
        <w:rPr>
          <w:kern w:val="0"/>
        </w:rPr>
        <w:t>Sher, A.</w:t>
      </w:r>
      <w:r w:rsidR="005853A9">
        <w:rPr>
          <w:kern w:val="0"/>
        </w:rPr>
        <w:t xml:space="preserve"> and </w:t>
      </w:r>
      <w:r>
        <w:rPr>
          <w:kern w:val="0"/>
        </w:rPr>
        <w:t>Wu, S.H. (2011), Anti-vascular endothelial growth factor antibody bevacizumab reduced</w:t>
      </w:r>
      <w:r w:rsidR="003A1917">
        <w:rPr>
          <w:kern w:val="0"/>
        </w:rPr>
        <w:t xml:space="preserve"> the </w:t>
      </w:r>
      <w:r>
        <w:rPr>
          <w:kern w:val="0"/>
        </w:rPr>
        <w:t>risk</w:t>
      </w:r>
      <w:r w:rsidR="00427468">
        <w:rPr>
          <w:kern w:val="0"/>
        </w:rPr>
        <w:t xml:space="preserve"> of </w:t>
      </w:r>
      <w:r>
        <w:rPr>
          <w:kern w:val="0"/>
        </w:rPr>
        <w:t>anemia associated with chemotherapy</w:t>
      </w:r>
      <w:r>
        <w:rPr>
          <w:rFonts w:hint="eastAsia"/>
          <w:kern w:val="0"/>
        </w:rPr>
        <w:t xml:space="preserve">: </w:t>
      </w:r>
      <w:r>
        <w:rPr>
          <w:kern w:val="0"/>
        </w:rPr>
        <w:t xml:space="preserve">A meta-analysis. </w:t>
      </w:r>
      <w:r>
        <w:rPr>
          <w:i/>
          <w:iCs/>
          <w:kern w:val="0"/>
        </w:rPr>
        <w:t>Acta Oncologica</w:t>
      </w:r>
      <w:r>
        <w:rPr>
          <w:kern w:val="0"/>
        </w:rPr>
        <w:t xml:space="preserve">, </w:t>
      </w:r>
      <w:r>
        <w:rPr>
          <w:b/>
          <w:bCs/>
          <w:kern w:val="0"/>
        </w:rPr>
        <w:t>50</w:t>
      </w:r>
      <w:r>
        <w:rPr>
          <w:kern w:val="0"/>
        </w:rPr>
        <w:t xml:space="preserve"> (7), 997-1005.</w:t>
      </w:r>
    </w:p>
    <w:p w:rsidR="00307C2D" w:rsidRDefault="00307C2D" w:rsidP="00307C2D">
      <w:pPr>
        <w:pStyle w:val="a3"/>
        <w:rPr>
          <w:kern w:val="0"/>
        </w:rPr>
      </w:pPr>
      <w:r>
        <w:rPr>
          <w:rFonts w:hint="eastAsia"/>
          <w:kern w:val="0"/>
        </w:rPr>
        <w:t xml:space="preserve">Full Text: </w:t>
      </w:r>
      <w:hyperlink r:id="rId164" w:history="1">
        <w:r w:rsidRPr="003527B4">
          <w:rPr>
            <w:rStyle w:val="a5"/>
            <w:kern w:val="0"/>
          </w:rPr>
          <w:t>2011\Act Onc50, 997.pdf</w:t>
        </w:r>
      </w:hyperlink>
    </w:p>
    <w:p w:rsidR="00307C2D" w:rsidRDefault="00307C2D" w:rsidP="00307C2D">
      <w:pPr>
        <w:pStyle w:val="a3"/>
        <w:rPr>
          <w:kern w:val="0"/>
        </w:rPr>
      </w:pPr>
      <w:r>
        <w:rPr>
          <w:kern w:val="0"/>
        </w:rPr>
        <w:t xml:space="preserve">Abstract: Introduction. Vascular endothelial growth factor (VEGF) may play a role in </w:t>
      </w:r>
      <w:r>
        <w:rPr>
          <w:kern w:val="0"/>
        </w:rPr>
        <w:lastRenderedPageBreak/>
        <w:t>erythropoiesis. We performed a meta-analysis</w:t>
      </w:r>
      <w:r w:rsidR="00427468">
        <w:rPr>
          <w:kern w:val="0"/>
        </w:rPr>
        <w:t xml:space="preserve"> of </w:t>
      </w:r>
      <w:r>
        <w:rPr>
          <w:kern w:val="0"/>
        </w:rPr>
        <w:t>randomized controlled trials (RCT) to determine</w:t>
      </w:r>
      <w:r w:rsidR="003A1917">
        <w:rPr>
          <w:kern w:val="0"/>
        </w:rPr>
        <w:t xml:space="preserve"> the </w:t>
      </w:r>
      <w:r>
        <w:rPr>
          <w:kern w:val="0"/>
        </w:rPr>
        <w:t>effect</w:t>
      </w:r>
      <w:r w:rsidR="00427468">
        <w:rPr>
          <w:kern w:val="0"/>
        </w:rPr>
        <w:t xml:space="preserve"> of </w:t>
      </w:r>
      <w:r w:rsidR="003A1917">
        <w:rPr>
          <w:kern w:val="0"/>
        </w:rPr>
        <w:t xml:space="preserve">the </w:t>
      </w:r>
      <w:r>
        <w:rPr>
          <w:kern w:val="0"/>
        </w:rPr>
        <w:t>anti-VEGF antibody bevacizumab on anemia in cancer patients treated with chemotherapy. Methods. Databases from PUBMED,</w:t>
      </w:r>
      <w:r w:rsidR="003A1917">
        <w:rPr>
          <w:kern w:val="0"/>
        </w:rPr>
        <w:t xml:space="preserve"> the </w:t>
      </w:r>
      <w:r w:rsidR="00D5664A">
        <w:rPr>
          <w:kern w:val="0"/>
        </w:rPr>
        <w:t>Web</w:t>
      </w:r>
      <w:r w:rsidR="00427468">
        <w:rPr>
          <w:kern w:val="0"/>
        </w:rPr>
        <w:t xml:space="preserve"> of </w:t>
      </w:r>
      <w:r w:rsidR="00D5664A">
        <w:rPr>
          <w:kern w:val="0"/>
        </w:rPr>
        <w:t>Science</w:t>
      </w:r>
      <w:r>
        <w:rPr>
          <w:kern w:val="0"/>
        </w:rPr>
        <w:t>, Embase,</w:t>
      </w:r>
      <w:r w:rsidR="003A1917">
        <w:rPr>
          <w:kern w:val="0"/>
        </w:rPr>
        <w:t xml:space="preserve"> the </w:t>
      </w:r>
      <w:r>
        <w:rPr>
          <w:kern w:val="0"/>
        </w:rPr>
        <w:t>Cochrane Library,</w:t>
      </w:r>
      <w:r w:rsidR="005853A9">
        <w:rPr>
          <w:kern w:val="0"/>
        </w:rPr>
        <w:t xml:space="preserve"> and </w:t>
      </w:r>
      <w:r>
        <w:rPr>
          <w:kern w:val="0"/>
        </w:rPr>
        <w:t>abstracts presented at</w:t>
      </w:r>
      <w:r w:rsidR="003A1917">
        <w:rPr>
          <w:kern w:val="0"/>
        </w:rPr>
        <w:t xml:space="preserve"> the </w:t>
      </w:r>
      <w:r>
        <w:rPr>
          <w:kern w:val="0"/>
        </w:rPr>
        <w:t>American Society</w:t>
      </w:r>
      <w:r w:rsidR="00427468">
        <w:rPr>
          <w:kern w:val="0"/>
        </w:rPr>
        <w:t xml:space="preserve"> of </w:t>
      </w:r>
      <w:r>
        <w:rPr>
          <w:kern w:val="0"/>
        </w:rPr>
        <w:t>Clinical Oncology (ASCO) conferences until May 2010 were searched to identify relevant studies. Eligible studies included prospective RCTs in which</w:t>
      </w:r>
      <w:r w:rsidR="003A1917">
        <w:rPr>
          <w:kern w:val="0"/>
        </w:rPr>
        <w:t xml:space="preserve"> the </w:t>
      </w:r>
      <w:r>
        <w:rPr>
          <w:kern w:val="0"/>
        </w:rPr>
        <w:t>combination</w:t>
      </w:r>
      <w:r w:rsidR="00427468">
        <w:rPr>
          <w:kern w:val="0"/>
        </w:rPr>
        <w:t xml:space="preserve"> of </w:t>
      </w:r>
      <w:r>
        <w:rPr>
          <w:kern w:val="0"/>
        </w:rPr>
        <w:t>bevacizumab</w:t>
      </w:r>
      <w:r w:rsidR="005853A9">
        <w:rPr>
          <w:kern w:val="0"/>
        </w:rPr>
        <w:t xml:space="preserve"> and </w:t>
      </w:r>
      <w:r>
        <w:rPr>
          <w:kern w:val="0"/>
        </w:rPr>
        <w:t>chemotherapy was compared with chemotherapy alone. Summary incidence rate, relative risk (RR),</w:t>
      </w:r>
      <w:r w:rsidR="005853A9">
        <w:rPr>
          <w:kern w:val="0"/>
        </w:rPr>
        <w:t xml:space="preserve"> and </w:t>
      </w:r>
      <w:r>
        <w:rPr>
          <w:kern w:val="0"/>
        </w:rPr>
        <w:t>95% confidence interval (CI) were calculated. Results. A total</w:t>
      </w:r>
      <w:r w:rsidR="00427468">
        <w:rPr>
          <w:kern w:val="0"/>
        </w:rPr>
        <w:t xml:space="preserve"> of </w:t>
      </w:r>
      <w:r>
        <w:rPr>
          <w:kern w:val="0"/>
        </w:rPr>
        <w:t>6439 patients with a variety</w:t>
      </w:r>
      <w:r w:rsidR="00427468">
        <w:rPr>
          <w:kern w:val="0"/>
        </w:rPr>
        <w:t xml:space="preserve"> of </w:t>
      </w:r>
      <w:r>
        <w:rPr>
          <w:kern w:val="0"/>
        </w:rPr>
        <w:t>solid tumors were included for analysis from 11 RCTs. Among those patients receiving bevacizumab</w:t>
      </w:r>
      <w:r w:rsidR="005853A9">
        <w:rPr>
          <w:kern w:val="0"/>
        </w:rPr>
        <w:t xml:space="preserve"> and </w:t>
      </w:r>
      <w:r>
        <w:rPr>
          <w:kern w:val="0"/>
        </w:rPr>
        <w:t>chemotherapy,</w:t>
      </w:r>
      <w:r w:rsidR="003A1917">
        <w:rPr>
          <w:kern w:val="0"/>
        </w:rPr>
        <w:t xml:space="preserve"> the </w:t>
      </w:r>
      <w:r>
        <w:rPr>
          <w:kern w:val="0"/>
        </w:rPr>
        <w:t>incidences</w:t>
      </w:r>
      <w:r w:rsidR="00427468">
        <w:rPr>
          <w:kern w:val="0"/>
        </w:rPr>
        <w:t xml:space="preserve"> of </w:t>
      </w:r>
      <w:r>
        <w:rPr>
          <w:kern w:val="0"/>
        </w:rPr>
        <w:t>all-grade</w:t>
      </w:r>
      <w:r w:rsidR="005853A9">
        <w:rPr>
          <w:kern w:val="0"/>
        </w:rPr>
        <w:t xml:space="preserve"> and </w:t>
      </w:r>
      <w:r>
        <w:rPr>
          <w:kern w:val="0"/>
        </w:rPr>
        <w:t>high-grade (grade 3</w:t>
      </w:r>
      <w:r w:rsidR="005853A9">
        <w:rPr>
          <w:kern w:val="0"/>
        </w:rPr>
        <w:t xml:space="preserve"> and </w:t>
      </w:r>
      <w:r>
        <w:rPr>
          <w:kern w:val="0"/>
        </w:rPr>
        <w:t>above) anemia were 17.8% (95% CI: 11.1-27.1%)</w:t>
      </w:r>
      <w:r w:rsidR="005853A9">
        <w:rPr>
          <w:kern w:val="0"/>
        </w:rPr>
        <w:t xml:space="preserve"> and </w:t>
      </w:r>
      <w:r>
        <w:rPr>
          <w:kern w:val="0"/>
        </w:rPr>
        <w:t>2.8% (95% CI: 1.6-5.0%) respectively. In comparison with chemotherapy alone, bevacizumab significantly reduced all-grade (RR, 0.79; 95% CI: 0.66-1.0, p = 0.007)</w:t>
      </w:r>
      <w:r w:rsidR="005853A9">
        <w:rPr>
          <w:kern w:val="0"/>
        </w:rPr>
        <w:t xml:space="preserve"> and </w:t>
      </w:r>
      <w:r>
        <w:rPr>
          <w:kern w:val="0"/>
        </w:rPr>
        <w:t>high-grade anemia (RR, 0.72; 95% CI: 0.57-0.90, p = 0.005)</w:t>
      </w:r>
      <w:r w:rsidR="00A37C1D">
        <w:rPr>
          <w:kern w:val="0"/>
        </w:rPr>
        <w:t>. The</w:t>
      </w:r>
      <w:r w:rsidR="003A1917">
        <w:rPr>
          <w:kern w:val="0"/>
        </w:rPr>
        <w:t xml:space="preserve"> </w:t>
      </w:r>
      <w:r>
        <w:rPr>
          <w:kern w:val="0"/>
        </w:rPr>
        <w:t>effect did not vary significantly among bevacizumab doses (p = 0.88), tumor types (p = 0.75) or chemotherapy regimens (p = 0.98). Discussion. Bevacizumab may significantly reduce</w:t>
      </w:r>
      <w:r w:rsidR="003A1917">
        <w:rPr>
          <w:kern w:val="0"/>
        </w:rPr>
        <w:t xml:space="preserve"> the </w:t>
      </w:r>
      <w:r>
        <w:rPr>
          <w:kern w:val="0"/>
        </w:rPr>
        <w:t>risk</w:t>
      </w:r>
      <w:r w:rsidR="00427468">
        <w:rPr>
          <w:kern w:val="0"/>
        </w:rPr>
        <w:t xml:space="preserve"> of </w:t>
      </w:r>
      <w:r>
        <w:rPr>
          <w:kern w:val="0"/>
        </w:rPr>
        <w:t>anemia with chemotherapy in cancer patients.</w:t>
      </w:r>
    </w:p>
    <w:p w:rsidR="00307C2D" w:rsidRDefault="00307C2D" w:rsidP="00307C2D">
      <w:pPr>
        <w:pStyle w:val="a3"/>
        <w:rPr>
          <w:kern w:val="0"/>
        </w:rPr>
      </w:pPr>
      <w:r>
        <w:rPr>
          <w:kern w:val="0"/>
        </w:rPr>
        <w:t xml:space="preserve">Keywords: Analysis, Anti-Vegf Antibody, Bevacizumab, Cancer, Chemotherapy, Cochrane, Combination, Databases, Erythropoiesis, Gemcitabine, Growth, Incidence, Lung-Cancer, Meta Analysis, Meta-Analysis, Metastatic Breast-Cancer, Methods, Oncology, Paclitaxel, Patients, Phase-III Trial, Randomized Controlled Trials, Relative Risk, Renal-Cell Carcinoma, Risk, Science, VEGF, Venous Thromboembolism, </w:t>
      </w:r>
      <w:r w:rsidR="00D5664A">
        <w:rPr>
          <w:kern w:val="0"/>
        </w:rPr>
        <w:t>Web</w:t>
      </w:r>
      <w:r w:rsidR="00427468">
        <w:rPr>
          <w:kern w:val="0"/>
        </w:rPr>
        <w:t xml:space="preserve"> of </w:t>
      </w:r>
      <w:r w:rsidR="00D5664A">
        <w:rPr>
          <w:kern w:val="0"/>
        </w:rPr>
        <w:t>Science</w:t>
      </w:r>
    </w:p>
    <w:p w:rsidR="004639FF" w:rsidRDefault="004639FF" w:rsidP="004639FF">
      <w:pPr>
        <w:pStyle w:val="a3"/>
        <w:rPr>
          <w:kern w:val="0"/>
        </w:rPr>
      </w:pPr>
      <w:r>
        <w:rPr>
          <w:rFonts w:hint="eastAsia"/>
          <w:kern w:val="0"/>
        </w:rPr>
        <w:t xml:space="preserve">? </w:t>
      </w:r>
      <w:r w:rsidRPr="00304F25">
        <w:rPr>
          <w:kern w:val="0"/>
        </w:rPr>
        <w:t>Kapadia, S</w:t>
      </w:r>
      <w:r>
        <w:rPr>
          <w:rFonts w:hint="eastAsia"/>
          <w:kern w:val="0"/>
        </w:rPr>
        <w:t>.,</w:t>
      </w:r>
      <w:r w:rsidRPr="00304F25">
        <w:rPr>
          <w:kern w:val="0"/>
        </w:rPr>
        <w:t xml:space="preserve"> Hapani, S</w:t>
      </w:r>
      <w:r>
        <w:rPr>
          <w:rFonts w:hint="eastAsia"/>
          <w:kern w:val="0"/>
        </w:rPr>
        <w:t>.,</w:t>
      </w:r>
      <w:r w:rsidRPr="00304F25">
        <w:rPr>
          <w:kern w:val="0"/>
        </w:rPr>
        <w:t xml:space="preserve"> Choueiri, T</w:t>
      </w:r>
      <w:r>
        <w:rPr>
          <w:rFonts w:hint="eastAsia"/>
          <w:kern w:val="0"/>
        </w:rPr>
        <w:t>.</w:t>
      </w:r>
      <w:r w:rsidRPr="00304F25">
        <w:rPr>
          <w:kern w:val="0"/>
        </w:rPr>
        <w:t>K</w:t>
      </w:r>
      <w:r>
        <w:rPr>
          <w:rFonts w:hint="eastAsia"/>
          <w:kern w:val="0"/>
        </w:rPr>
        <w:t>. and</w:t>
      </w:r>
      <w:r w:rsidRPr="00304F25">
        <w:rPr>
          <w:kern w:val="0"/>
        </w:rPr>
        <w:t xml:space="preserve"> Wu, S</w:t>
      </w:r>
      <w:r>
        <w:rPr>
          <w:rFonts w:hint="eastAsia"/>
          <w:kern w:val="0"/>
        </w:rPr>
        <w:t>.</w:t>
      </w:r>
      <w:r w:rsidRPr="00304F25">
        <w:rPr>
          <w:kern w:val="0"/>
        </w:rPr>
        <w:t>H</w:t>
      </w:r>
      <w:r>
        <w:rPr>
          <w:rFonts w:hint="eastAsia"/>
          <w:kern w:val="0"/>
        </w:rPr>
        <w:t>.</w:t>
      </w:r>
      <w:r>
        <w:rPr>
          <w:kern w:val="0"/>
        </w:rPr>
        <w:t xml:space="preserve"> (201</w:t>
      </w:r>
      <w:r>
        <w:rPr>
          <w:rFonts w:hint="eastAsia"/>
          <w:kern w:val="0"/>
        </w:rPr>
        <w:t>3</w:t>
      </w:r>
      <w:r>
        <w:rPr>
          <w:kern w:val="0"/>
        </w:rPr>
        <w:t xml:space="preserve">), </w:t>
      </w:r>
      <w:r w:rsidRPr="00304F25">
        <w:rPr>
          <w:kern w:val="0"/>
        </w:rPr>
        <w:t>Risk of liver toxicity with the angiogenesis inhibitor pazopanib in cancer patients</w:t>
      </w:r>
      <w:r>
        <w:rPr>
          <w:kern w:val="0"/>
        </w:rPr>
        <w:t xml:space="preserve">. </w:t>
      </w:r>
      <w:r>
        <w:rPr>
          <w:i/>
          <w:iCs/>
          <w:kern w:val="0"/>
        </w:rPr>
        <w:t>Acta Oncologica</w:t>
      </w:r>
      <w:r>
        <w:rPr>
          <w:kern w:val="0"/>
        </w:rPr>
        <w:t xml:space="preserve">, </w:t>
      </w:r>
      <w:r>
        <w:rPr>
          <w:b/>
          <w:bCs/>
          <w:kern w:val="0"/>
        </w:rPr>
        <w:t>5</w:t>
      </w:r>
      <w:r>
        <w:rPr>
          <w:rFonts w:hint="eastAsia"/>
          <w:b/>
          <w:bCs/>
          <w:kern w:val="0"/>
        </w:rPr>
        <w:t>2</w:t>
      </w:r>
      <w:r>
        <w:rPr>
          <w:kern w:val="0"/>
        </w:rPr>
        <w:t xml:space="preserve"> (</w:t>
      </w:r>
      <w:r>
        <w:rPr>
          <w:rFonts w:hint="eastAsia"/>
          <w:kern w:val="0"/>
        </w:rPr>
        <w:t>6</w:t>
      </w:r>
      <w:r>
        <w:rPr>
          <w:kern w:val="0"/>
        </w:rPr>
        <w:t xml:space="preserve">), </w:t>
      </w:r>
      <w:r w:rsidRPr="00304F25">
        <w:rPr>
          <w:kern w:val="0"/>
        </w:rPr>
        <w:t>1202-1212</w:t>
      </w:r>
      <w:r>
        <w:rPr>
          <w:kern w:val="0"/>
        </w:rPr>
        <w:t>.</w:t>
      </w:r>
    </w:p>
    <w:p w:rsidR="004639FF" w:rsidRDefault="004639FF" w:rsidP="004639FF">
      <w:pPr>
        <w:pStyle w:val="a3"/>
        <w:rPr>
          <w:kern w:val="0"/>
        </w:rPr>
      </w:pPr>
      <w:r>
        <w:rPr>
          <w:rFonts w:hint="eastAsia"/>
          <w:kern w:val="0"/>
        </w:rPr>
        <w:t xml:space="preserve">Full Text: </w:t>
      </w:r>
      <w:hyperlink r:id="rId165" w:history="1">
        <w:r w:rsidRPr="00304F25">
          <w:rPr>
            <w:rStyle w:val="a5"/>
            <w:kern w:val="0"/>
          </w:rPr>
          <w:t>2013\Act Onc52, 1202.pdf</w:t>
        </w:r>
      </w:hyperlink>
    </w:p>
    <w:p w:rsidR="004639FF" w:rsidRPr="00304F25" w:rsidRDefault="004639FF" w:rsidP="004639FF">
      <w:pPr>
        <w:pStyle w:val="a3"/>
        <w:rPr>
          <w:kern w:val="0"/>
        </w:rPr>
      </w:pPr>
      <w:r w:rsidRPr="00304F25">
        <w:rPr>
          <w:kern w:val="0"/>
        </w:rPr>
        <w:t>Abstract</w:t>
      </w:r>
      <w:r>
        <w:rPr>
          <w:rFonts w:hint="eastAsia"/>
          <w:kern w:val="0"/>
        </w:rPr>
        <w:t xml:space="preserve">: </w:t>
      </w:r>
      <w:r w:rsidRPr="00304F25">
        <w:rPr>
          <w:kern w:val="0"/>
        </w:rPr>
        <w:t>Purpose</w:t>
      </w:r>
      <w:r w:rsidR="00A37C1D">
        <w:rPr>
          <w:kern w:val="0"/>
        </w:rPr>
        <w:t>. The</w:t>
      </w:r>
      <w:r w:rsidRPr="00304F25">
        <w:rPr>
          <w:kern w:val="0"/>
        </w:rPr>
        <w:t xml:space="preserve"> angiogenesis inhibitor pazopanib has been approved for the treatment of advanced renal cell cancer (RCC) and soft tissue sarcoma. Severe and fatal hepatotoxicity has been observed in its clinical studies. This analysis was conducted to determine the risk of liver toxicity by a systematic review and meta-analysis of clinical trials. Patients and methods. Databases from PubMed, Web of Science and abstracts presented at ASCO meetings up to January, 2012 were searched to identify relevant studies. Eligible studies included prospective trials of cancer patients treated with pazopanib starting at 800 mg daily. Summary incidence rates, relative risks, and 95% confidence intervals (CIs) were calculated using a fixed- or random-effects model. Results. A total of 1478 patients from 10 clinical trials were included</w:t>
      </w:r>
      <w:r w:rsidR="00A37C1D">
        <w:rPr>
          <w:kern w:val="0"/>
        </w:rPr>
        <w:t>. The</w:t>
      </w:r>
      <w:r w:rsidRPr="00304F25">
        <w:rPr>
          <w:kern w:val="0"/>
        </w:rPr>
        <w:t xml:space="preserve"> incidences of all-grade aspartate aminotransferase (AST), </w:t>
      </w:r>
      <w:r w:rsidRPr="00304F25">
        <w:rPr>
          <w:kern w:val="0"/>
        </w:rPr>
        <w:lastRenderedPageBreak/>
        <w:t>alanine transaminase (ALT), and bilirubin elevation were 39.6% (95% CI 31.2-48.6%), 41.4% (95% CI 34.1-49.0%), and 24.8% (95% CI 16.3-35.3%), respectively</w:t>
      </w:r>
      <w:r w:rsidR="00A37C1D">
        <w:rPr>
          <w:kern w:val="0"/>
        </w:rPr>
        <w:t>. The</w:t>
      </w:r>
      <w:r w:rsidRPr="00304F25">
        <w:rPr>
          <w:kern w:val="0"/>
        </w:rPr>
        <w:t xml:space="preserve"> incidences of high-grade (Grade 3 and 4) AST, ALT and bilirubin elevation were 6.9% (95% CI 5.5-8.6%), 9.4% (95% CI 7.8-11.4%), and 3.4% (2.4-5.0%), respectively. In comparison with placebo, pazopanib significantly increased the risk of high-grade AST elevation (RR 6.56, 95% CI 2.04-21.07, p = 0.002) and ALT elevation (RR 4.33, 95% CI 1.88-10.0, p = 0.001). However, the risks of high-grade bilirubin elevation (RR 1.31, 95% CI 0.47-3.64) and fatal hepatotoxicity (RR 2.51, 95% CI 0.12-51.91, p = 0.55) were not significantly elevated. Conclusion</w:t>
      </w:r>
      <w:r w:rsidR="00A37C1D">
        <w:rPr>
          <w:kern w:val="0"/>
        </w:rPr>
        <w:t>. The</w:t>
      </w:r>
      <w:r w:rsidRPr="00304F25">
        <w:rPr>
          <w:kern w:val="0"/>
        </w:rPr>
        <w:t xml:space="preserve"> use of pazopanib was associated with a significantly increased risk of severe non-fatal hepatotoxicity in cancer patients.</w:t>
      </w:r>
    </w:p>
    <w:p w:rsidR="004639FF" w:rsidRDefault="004639FF" w:rsidP="004639FF">
      <w:pPr>
        <w:pStyle w:val="a3"/>
        <w:rPr>
          <w:kern w:val="0"/>
        </w:rPr>
      </w:pPr>
      <w:r w:rsidRPr="00304F25">
        <w:rPr>
          <w:kern w:val="0"/>
        </w:rPr>
        <w:t>Keywords</w:t>
      </w:r>
      <w:r>
        <w:rPr>
          <w:kern w:val="0"/>
        </w:rPr>
        <w:t xml:space="preserve">: </w:t>
      </w:r>
      <w:r w:rsidRPr="00304F25">
        <w:rPr>
          <w:kern w:val="0"/>
        </w:rPr>
        <w:t>Endothelial Growth-Factor</w:t>
      </w:r>
      <w:r>
        <w:rPr>
          <w:kern w:val="0"/>
        </w:rPr>
        <w:t>,</w:t>
      </w:r>
      <w:r w:rsidRPr="00304F25">
        <w:rPr>
          <w:kern w:val="0"/>
        </w:rPr>
        <w:t xml:space="preserve"> Renal-Cell Carcinoma</w:t>
      </w:r>
      <w:r>
        <w:rPr>
          <w:kern w:val="0"/>
        </w:rPr>
        <w:t>,</w:t>
      </w:r>
      <w:r w:rsidRPr="00304F25">
        <w:rPr>
          <w:kern w:val="0"/>
        </w:rPr>
        <w:t xml:space="preserve"> Soft-Tissue Sarcoma</w:t>
      </w:r>
      <w:r>
        <w:rPr>
          <w:kern w:val="0"/>
        </w:rPr>
        <w:t>,</w:t>
      </w:r>
      <w:r w:rsidRPr="00304F25">
        <w:rPr>
          <w:kern w:val="0"/>
        </w:rPr>
        <w:t xml:space="preserve"> Phase-II</w:t>
      </w:r>
      <w:r>
        <w:rPr>
          <w:kern w:val="0"/>
        </w:rPr>
        <w:t>,</w:t>
      </w:r>
      <w:r w:rsidRPr="00304F25">
        <w:rPr>
          <w:kern w:val="0"/>
        </w:rPr>
        <w:t xml:space="preserve"> Induced Hepatotoxicity</w:t>
      </w:r>
      <w:r>
        <w:rPr>
          <w:kern w:val="0"/>
        </w:rPr>
        <w:t>,</w:t>
      </w:r>
      <w:r w:rsidRPr="00304F25">
        <w:rPr>
          <w:kern w:val="0"/>
        </w:rPr>
        <w:t xml:space="preserve"> Ovarian-Cancer</w:t>
      </w:r>
      <w:r>
        <w:rPr>
          <w:kern w:val="0"/>
        </w:rPr>
        <w:t>,</w:t>
      </w:r>
      <w:r w:rsidRPr="00304F25">
        <w:rPr>
          <w:kern w:val="0"/>
        </w:rPr>
        <w:t xml:space="preserve"> Tumor-Growth</w:t>
      </w:r>
      <w:r>
        <w:rPr>
          <w:kern w:val="0"/>
        </w:rPr>
        <w:t>,</w:t>
      </w:r>
      <w:r w:rsidRPr="00304F25">
        <w:rPr>
          <w:kern w:val="0"/>
        </w:rPr>
        <w:t xml:space="preserve"> Open-Label</w:t>
      </w:r>
      <w:r>
        <w:rPr>
          <w:kern w:val="0"/>
        </w:rPr>
        <w:t>,</w:t>
      </w:r>
      <w:r w:rsidRPr="00304F25">
        <w:rPr>
          <w:kern w:val="0"/>
        </w:rPr>
        <w:t xml:space="preserve"> Recurrent</w:t>
      </w:r>
      <w:r>
        <w:rPr>
          <w:kern w:val="0"/>
        </w:rPr>
        <w:t>,</w:t>
      </w:r>
      <w:r w:rsidRPr="00304F25">
        <w:rPr>
          <w:kern w:val="0"/>
        </w:rPr>
        <w:t xml:space="preserve"> Trial</w:t>
      </w:r>
    </w:p>
    <w:p w:rsidR="00A97ED6" w:rsidRPr="001A3D2B" w:rsidRDefault="00A97ED6" w:rsidP="00A97ED6">
      <w:pPr>
        <w:pStyle w:val="1"/>
      </w:pPr>
      <w:r w:rsidRPr="001A3D2B">
        <w:br w:type="page"/>
      </w:r>
      <w:bookmarkStart w:id="78" w:name="_Toc420814274"/>
      <w:r w:rsidRPr="001A3D2B">
        <w:lastRenderedPageBreak/>
        <w:t xml:space="preserve">Title: </w:t>
      </w:r>
      <w:r w:rsidRPr="00A97ED6">
        <w:rPr>
          <w:iCs w:val="0"/>
        </w:rPr>
        <w:t>Acta Ophthalmologica</w:t>
      </w:r>
      <w:bookmarkEnd w:id="78"/>
    </w:p>
    <w:p w:rsidR="00A97ED6" w:rsidRPr="001A3D2B" w:rsidRDefault="00A97ED6" w:rsidP="00A97ED6">
      <w:pPr>
        <w:pStyle w:val="12"/>
      </w:pPr>
      <w:r w:rsidRPr="001A3D2B">
        <w:t xml:space="preserve">Full Journal Title: </w:t>
      </w:r>
      <w:r w:rsidRPr="00A97ED6">
        <w:rPr>
          <w:iCs/>
          <w:kern w:val="0"/>
        </w:rPr>
        <w:t>Acta Ophthalmologica</w:t>
      </w:r>
    </w:p>
    <w:p w:rsidR="00A97ED6" w:rsidRPr="001A3D2B" w:rsidRDefault="00A97ED6" w:rsidP="00A97ED6">
      <w:pPr>
        <w:pStyle w:val="12"/>
      </w:pPr>
      <w:r w:rsidRPr="001A3D2B">
        <w:t xml:space="preserve">ISO Abbreviated Title: </w:t>
      </w:r>
    </w:p>
    <w:p w:rsidR="00A97ED6" w:rsidRPr="001A3D2B" w:rsidRDefault="00A97ED6" w:rsidP="00A97ED6">
      <w:pPr>
        <w:pStyle w:val="12"/>
      </w:pPr>
      <w:r w:rsidRPr="001A3D2B">
        <w:t xml:space="preserve">JCR Abbreviated Title: </w:t>
      </w:r>
    </w:p>
    <w:p w:rsidR="00A97ED6" w:rsidRPr="001A3D2B" w:rsidRDefault="00A97ED6" w:rsidP="00A97ED6">
      <w:pPr>
        <w:pStyle w:val="12"/>
      </w:pPr>
      <w:r w:rsidRPr="001A3D2B">
        <w:t xml:space="preserve">ISSN: </w:t>
      </w:r>
    </w:p>
    <w:p w:rsidR="00A97ED6" w:rsidRPr="001A3D2B" w:rsidRDefault="00A97ED6" w:rsidP="00A97ED6">
      <w:pPr>
        <w:pStyle w:val="12"/>
      </w:pPr>
      <w:r w:rsidRPr="001A3D2B">
        <w:t xml:space="preserve">Issues/Year: </w:t>
      </w:r>
    </w:p>
    <w:p w:rsidR="00A97ED6" w:rsidRPr="001A3D2B" w:rsidRDefault="00A97ED6" w:rsidP="00A97ED6">
      <w:pPr>
        <w:pStyle w:val="12"/>
      </w:pPr>
      <w:r w:rsidRPr="001A3D2B">
        <w:t xml:space="preserve">Journal Country/Territory: </w:t>
      </w:r>
    </w:p>
    <w:p w:rsidR="00A97ED6" w:rsidRPr="001A3D2B" w:rsidRDefault="00A97ED6" w:rsidP="00A97ED6">
      <w:pPr>
        <w:pStyle w:val="12"/>
      </w:pPr>
      <w:r w:rsidRPr="001A3D2B">
        <w:t xml:space="preserve">Language: </w:t>
      </w:r>
    </w:p>
    <w:p w:rsidR="00A97ED6" w:rsidRPr="001A3D2B" w:rsidRDefault="00A97ED6" w:rsidP="00A97ED6">
      <w:pPr>
        <w:pStyle w:val="12"/>
      </w:pPr>
      <w:r w:rsidRPr="001A3D2B">
        <w:t xml:space="preserve">Publisher: </w:t>
      </w:r>
    </w:p>
    <w:p w:rsidR="00A97ED6" w:rsidRPr="001A3D2B" w:rsidRDefault="00A97ED6" w:rsidP="00A97ED6">
      <w:pPr>
        <w:pStyle w:val="12"/>
      </w:pPr>
      <w:r w:rsidRPr="001A3D2B">
        <w:t xml:space="preserve">Publisher Address: </w:t>
      </w:r>
    </w:p>
    <w:p w:rsidR="00A97ED6" w:rsidRPr="001A3D2B" w:rsidRDefault="00A97ED6" w:rsidP="00A97ED6">
      <w:pPr>
        <w:pStyle w:val="12"/>
      </w:pPr>
      <w:r w:rsidRPr="001A3D2B">
        <w:t>Subject Categories:</w:t>
      </w:r>
    </w:p>
    <w:p w:rsidR="00A97ED6" w:rsidRPr="001A3D2B" w:rsidRDefault="00A97ED6" w:rsidP="00A97ED6">
      <w:pPr>
        <w:pStyle w:val="12"/>
      </w:pPr>
      <w:r w:rsidRPr="001A3D2B">
        <w:t xml:space="preserve">: Impact Factor </w:t>
      </w:r>
    </w:p>
    <w:p w:rsidR="00A97ED6" w:rsidRDefault="00A97ED6" w:rsidP="00A97ED6">
      <w:pPr>
        <w:pStyle w:val="a3"/>
        <w:rPr>
          <w:kern w:val="0"/>
        </w:rPr>
      </w:pPr>
      <w:r>
        <w:rPr>
          <w:kern w:val="0"/>
        </w:rPr>
        <w:t xml:space="preserve">? Stefansson, E. (2014), The state of your journal. A bibliometric analysis. </w:t>
      </w:r>
      <w:r w:rsidRPr="00A97ED6">
        <w:rPr>
          <w:i/>
          <w:iCs/>
          <w:kern w:val="0"/>
        </w:rPr>
        <w:t>Acta Ophthalmologica</w:t>
      </w:r>
      <w:r>
        <w:rPr>
          <w:kern w:val="0"/>
        </w:rPr>
        <w:t xml:space="preserve">, </w:t>
      </w:r>
      <w:r>
        <w:rPr>
          <w:b/>
          <w:bCs/>
          <w:kern w:val="0"/>
        </w:rPr>
        <w:t>92</w:t>
      </w:r>
      <w:r>
        <w:rPr>
          <w:kern w:val="0"/>
        </w:rPr>
        <w:t xml:space="preserve"> (5), 403</w:t>
      </w:r>
      <w:r>
        <w:rPr>
          <w:rFonts w:hint="eastAsia"/>
          <w:kern w:val="0"/>
        </w:rPr>
        <w:t>.</w:t>
      </w:r>
    </w:p>
    <w:p w:rsidR="00A97ED6" w:rsidRDefault="00A97ED6" w:rsidP="00A97ED6">
      <w:pPr>
        <w:pStyle w:val="a3"/>
        <w:rPr>
          <w:kern w:val="0"/>
        </w:rPr>
      </w:pPr>
      <w:r>
        <w:rPr>
          <w:rFonts w:hint="eastAsia"/>
          <w:kern w:val="0"/>
        </w:rPr>
        <w:t xml:space="preserve">Full Text: </w:t>
      </w:r>
      <w:hyperlink r:id="rId166" w:history="1">
        <w:r w:rsidRPr="00A97ED6">
          <w:rPr>
            <w:rStyle w:val="a5"/>
            <w:kern w:val="0"/>
          </w:rPr>
          <w:t>2014\Act Oph92, 403.pdf</w:t>
        </w:r>
      </w:hyperlink>
    </w:p>
    <w:p w:rsidR="00A97ED6" w:rsidRDefault="00A97ED6" w:rsidP="00A97ED6">
      <w:pPr>
        <w:pStyle w:val="a3"/>
        <w:rPr>
          <w:kern w:val="0"/>
        </w:rPr>
      </w:pPr>
      <w:r>
        <w:rPr>
          <w:kern w:val="0"/>
        </w:rPr>
        <w:t>Keywords: Analysis, Bibliometric, Bibliometric Analysis, Journal, State</w:t>
      </w:r>
    </w:p>
    <w:p w:rsidR="003474F2" w:rsidRPr="001A3D2B" w:rsidRDefault="003474F2" w:rsidP="003009D0">
      <w:pPr>
        <w:pStyle w:val="1"/>
      </w:pPr>
      <w:r w:rsidRPr="001A3D2B">
        <w:br w:type="page"/>
      </w:r>
      <w:bookmarkStart w:id="79" w:name="_Toc81215574"/>
      <w:bookmarkStart w:id="80" w:name="_Toc420814275"/>
      <w:r w:rsidRPr="001A3D2B">
        <w:lastRenderedPageBreak/>
        <w:t>Title: Acta Orthopaedica</w:t>
      </w:r>
      <w:bookmarkEnd w:id="79"/>
      <w:bookmarkEnd w:id="80"/>
    </w:p>
    <w:p w:rsidR="003474F2" w:rsidRPr="001A3D2B" w:rsidRDefault="003474F2" w:rsidP="003009D0">
      <w:pPr>
        <w:pStyle w:val="12"/>
      </w:pPr>
      <w:r w:rsidRPr="001A3D2B">
        <w:t xml:space="preserve">Full Journal Title: </w:t>
      </w:r>
      <w:hyperlink r:id="rId167" w:history="1">
        <w:r w:rsidRPr="001A3D2B">
          <w:rPr>
            <w:rStyle w:val="a5"/>
          </w:rPr>
          <w:t>Acta Orthopaedica</w:t>
        </w:r>
      </w:hyperlink>
      <w:r w:rsidRPr="001A3D2B">
        <w:t xml:space="preserve">; </w:t>
      </w:r>
      <w:hyperlink r:id="rId168" w:history="1">
        <w:r w:rsidRPr="001A3D2B">
          <w:rPr>
            <w:rStyle w:val="a5"/>
          </w:rPr>
          <w:t>Acta Orthopaedica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0001-6470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009D0">
      <w:pPr>
        <w:pStyle w:val="a3"/>
      </w:pPr>
      <w:r w:rsidRPr="001A3D2B">
        <w:t>? Seglen, P.O. (1998), Citation rates</w:t>
      </w:r>
      <w:r w:rsidR="005853A9">
        <w:t xml:space="preserve"> and </w:t>
      </w:r>
      <w:r w:rsidRPr="001A3D2B">
        <w:t>journal impact factors are not suitable for evaluation</w:t>
      </w:r>
      <w:r w:rsidR="00427468">
        <w:t xml:space="preserve"> of </w:t>
      </w:r>
      <w:r w:rsidRPr="001A3D2B">
        <w:t xml:space="preserve">research. </w:t>
      </w:r>
      <w:r w:rsidRPr="001A3D2B">
        <w:rPr>
          <w:i/>
          <w:iCs/>
        </w:rPr>
        <w:t>Acta Orthopaedica</w:t>
      </w:r>
      <w:r w:rsidRPr="001A3D2B">
        <w:t xml:space="preserve">, </w:t>
      </w:r>
      <w:r w:rsidRPr="001A3D2B">
        <w:rPr>
          <w:b/>
          <w:bCs/>
        </w:rPr>
        <w:t>69</w:t>
      </w:r>
      <w:r w:rsidRPr="001A3D2B">
        <w:t xml:space="preserve"> (3), 224-229.</w:t>
      </w:r>
    </w:p>
    <w:p w:rsidR="003009D0" w:rsidRPr="001A3D2B" w:rsidRDefault="003009D0" w:rsidP="00C90F24">
      <w:pPr>
        <w:pStyle w:val="a3"/>
        <w:rPr>
          <w:kern w:val="0"/>
          <w:szCs w:val="24"/>
        </w:rPr>
      </w:pPr>
      <w:r w:rsidRPr="001A3D2B">
        <w:rPr>
          <w:kern w:val="0"/>
          <w:szCs w:val="24"/>
        </w:rPr>
        <w:t xml:space="preserve">Full Text: </w:t>
      </w:r>
      <w:hyperlink r:id="rId169" w:history="1">
        <w:r w:rsidR="00C90F24" w:rsidRPr="001A3D2B">
          <w:rPr>
            <w:rStyle w:val="a5"/>
            <w:kern w:val="0"/>
            <w:szCs w:val="24"/>
          </w:rPr>
          <w:t>1998\Act Ort69, 224.pdf</w:t>
        </w:r>
      </w:hyperlink>
    </w:p>
    <w:p w:rsidR="003474F2" w:rsidRPr="001A3D2B" w:rsidRDefault="003474F2" w:rsidP="003474F2">
      <w:pPr>
        <w:pStyle w:val="a3"/>
      </w:pPr>
      <w:r w:rsidRPr="001A3D2B">
        <w:t>Keywords: Bibliometric Indicators, Chance, Citedness, Evaluation, Field, Impact, Journal Impact, Model, Publications, Research, Science, Tool</w:t>
      </w:r>
    </w:p>
    <w:p w:rsidR="009C57A2" w:rsidRDefault="009C57A2" w:rsidP="009C57A2">
      <w:pPr>
        <w:pStyle w:val="a3"/>
        <w:rPr>
          <w:kern w:val="0"/>
        </w:rPr>
      </w:pPr>
      <w:r>
        <w:rPr>
          <w:rFonts w:hint="eastAsia"/>
          <w:kern w:val="0"/>
        </w:rPr>
        <w:t xml:space="preserve">? </w:t>
      </w:r>
      <w:r>
        <w:rPr>
          <w:kern w:val="0"/>
        </w:rPr>
        <w:t>Cheng, T., Zhu, C., Wang, J.X., Cheng, M.Q., Peng, X.C., Wang, Q. and Zhang, X.L. (2014), No clinical benefit of gender-specific total knee arthroplasty</w:t>
      </w:r>
      <w:r>
        <w:rPr>
          <w:rFonts w:hint="eastAsia"/>
          <w:kern w:val="0"/>
        </w:rPr>
        <w:t xml:space="preserve">: </w:t>
      </w:r>
      <w:r w:rsidRPr="009C57A2">
        <w:t>A systematic review and meta-analysis of 6 randomized controlled trials</w:t>
      </w:r>
      <w:r>
        <w:rPr>
          <w:kern w:val="0"/>
        </w:rPr>
        <w:t xml:space="preserve">. </w:t>
      </w:r>
      <w:r>
        <w:rPr>
          <w:i/>
          <w:iCs/>
          <w:kern w:val="0"/>
        </w:rPr>
        <w:t>Acta Orthopaedica</w:t>
      </w:r>
      <w:r>
        <w:rPr>
          <w:kern w:val="0"/>
        </w:rPr>
        <w:t xml:space="preserve">, </w:t>
      </w:r>
      <w:r>
        <w:rPr>
          <w:b/>
          <w:bCs/>
          <w:kern w:val="0"/>
        </w:rPr>
        <w:t>85</w:t>
      </w:r>
      <w:r>
        <w:rPr>
          <w:kern w:val="0"/>
        </w:rPr>
        <w:t xml:space="preserve"> (4), 415-421.</w:t>
      </w:r>
    </w:p>
    <w:p w:rsidR="009C57A2" w:rsidRPr="001A3D2B" w:rsidRDefault="009C57A2" w:rsidP="009C57A2">
      <w:pPr>
        <w:pStyle w:val="a3"/>
        <w:rPr>
          <w:kern w:val="0"/>
        </w:rPr>
      </w:pPr>
      <w:r w:rsidRPr="001A3D2B">
        <w:rPr>
          <w:kern w:val="0"/>
        </w:rPr>
        <w:t xml:space="preserve">Full Text: </w:t>
      </w:r>
      <w:hyperlink r:id="rId170" w:history="1">
        <w:r w:rsidRPr="009C57A2">
          <w:rPr>
            <w:rStyle w:val="a5"/>
            <w:kern w:val="0"/>
          </w:rPr>
          <w:t>2014\Act Ort85, 415.pdf</w:t>
        </w:r>
      </w:hyperlink>
    </w:p>
    <w:p w:rsidR="009C57A2" w:rsidRDefault="009C57A2" w:rsidP="009C57A2">
      <w:pPr>
        <w:pStyle w:val="a3"/>
        <w:rPr>
          <w:kern w:val="0"/>
        </w:rPr>
      </w:pPr>
      <w:r>
        <w:rPr>
          <w:kern w:val="0"/>
        </w:rPr>
        <w:t xml:space="preserve">Abstract: Background and purpose - There is no consensus regarding the clinical relevance of gender-specific prostheses in total knee arthroplasty (TKA). We summarize the current best evidence in a comparison of clinical and radiographic outcomes between gender-specific prostheses and standard unisex prostheses in female patients. Methods - We used the PubMed, Embase, Cochrane, Science Citation Index, and Scopus databases. We included randomized controlled trials published up to January 2013 that compared gender-specific prostheses with standard unisex prostheses in female patients who underwent primary TKAs. Results - 6 trials involving 423 patients with 846 knee joints met the inclusion criteria. No statistically significant differences were observed between the 2 designs regarding pain, range of motion (ROM), knee scores, satisfaction, preference, complications, and radiographic results. The gender-specific design (Gender Solutions; Zimmer Inc, Warsaw, Indiana) reduced the prevalence of overhang. However, it had less overall coverage of the femoral condyles compared to the unisex group. In fact, the femoral prosthesis in the standard unisex group matched better than that in the </w:t>
      </w:r>
      <w:r>
        <w:rPr>
          <w:kern w:val="0"/>
        </w:rPr>
        <w:lastRenderedPageBreak/>
        <w:t>gender-specific group. Interpretation - Gender-specific prostheses do not appear to confer any benefit in terms of clinician-and patient-reported outcomes for the female knee.</w:t>
      </w:r>
    </w:p>
    <w:p w:rsidR="009C57A2" w:rsidRDefault="009C57A2" w:rsidP="009C57A2">
      <w:pPr>
        <w:pStyle w:val="a3"/>
        <w:rPr>
          <w:kern w:val="0"/>
        </w:rPr>
      </w:pPr>
      <w:r>
        <w:rPr>
          <w:kern w:val="0"/>
        </w:rPr>
        <w:t>Keywords: Anatomic Variations, Anthropometric Measurements, Arthroplasty, Chinese Population, Citation, Clinical, Comparison, Complications, Consensus, Coverage, Criteria, Databases, Design, Evidence, Female, Female Knee, Femoral Component, Flexion, Follow-Up, Gender, Gender-Specific, Interpretation, Knee Arthroplasty, Lower-Extremity, Methods, Outcomes, Pain, Patients, Population Correlation, Preference, Prevalence, Primary, Pubmed, Purpose, Randomized, Randomized Controlled Trials, Relevance, Results, Satisfaction, Science, Science Citation Index, Scopus, Standard, TKA</w:t>
      </w:r>
    </w:p>
    <w:p w:rsidR="00BB4FB5" w:rsidRPr="001A3D2B" w:rsidRDefault="00BB4FB5" w:rsidP="00BB4FB5">
      <w:pPr>
        <w:pStyle w:val="1"/>
      </w:pPr>
      <w:r w:rsidRPr="001A3D2B">
        <w:br w:type="page"/>
      </w:r>
      <w:bookmarkStart w:id="81" w:name="_Toc420814276"/>
      <w:r w:rsidRPr="001A3D2B">
        <w:lastRenderedPageBreak/>
        <w:t xml:space="preserve">Title: </w:t>
      </w:r>
      <w:r w:rsidRPr="003C7D01">
        <w:rPr>
          <w:iCs w:val="0"/>
        </w:rPr>
        <w:t>Acta Orthopaedica Belgica</w:t>
      </w:r>
      <w:bookmarkEnd w:id="81"/>
    </w:p>
    <w:p w:rsidR="00BB4FB5" w:rsidRPr="001A3D2B" w:rsidRDefault="00BB4FB5" w:rsidP="00BB4FB5">
      <w:pPr>
        <w:pStyle w:val="12"/>
      </w:pPr>
      <w:r w:rsidRPr="001A3D2B">
        <w:t xml:space="preserve">Full Journal Title: </w:t>
      </w:r>
      <w:r w:rsidRPr="003C7D01">
        <w:rPr>
          <w:iCs/>
          <w:kern w:val="0"/>
        </w:rPr>
        <w:t>Acta Orthopaedica Belgica</w:t>
      </w:r>
    </w:p>
    <w:p w:rsidR="00BB4FB5" w:rsidRPr="001A3D2B" w:rsidRDefault="00BB4FB5" w:rsidP="00BB4FB5">
      <w:pPr>
        <w:pStyle w:val="12"/>
      </w:pPr>
      <w:r w:rsidRPr="001A3D2B">
        <w:t xml:space="preserve">ISO Abbreviated Title: </w:t>
      </w:r>
    </w:p>
    <w:p w:rsidR="00BB4FB5" w:rsidRPr="001A3D2B" w:rsidRDefault="00BB4FB5" w:rsidP="00BB4FB5">
      <w:pPr>
        <w:pStyle w:val="12"/>
      </w:pPr>
      <w:r w:rsidRPr="001A3D2B">
        <w:t xml:space="preserve">JCR Abbreviated Title: </w:t>
      </w:r>
    </w:p>
    <w:p w:rsidR="00BB4FB5" w:rsidRPr="001A3D2B" w:rsidRDefault="00BB4FB5" w:rsidP="00BB4FB5">
      <w:pPr>
        <w:pStyle w:val="12"/>
      </w:pPr>
      <w:r>
        <w:t xml:space="preserve">ISSN: </w:t>
      </w:r>
    </w:p>
    <w:p w:rsidR="00BB4FB5" w:rsidRPr="001A3D2B" w:rsidRDefault="00BB4FB5" w:rsidP="00BB4FB5">
      <w:pPr>
        <w:pStyle w:val="12"/>
      </w:pPr>
      <w:r w:rsidRPr="001A3D2B">
        <w:t xml:space="preserve">Issues/Year: </w:t>
      </w:r>
    </w:p>
    <w:p w:rsidR="00BB4FB5" w:rsidRPr="001A3D2B" w:rsidRDefault="00BB4FB5" w:rsidP="00BB4FB5">
      <w:pPr>
        <w:pStyle w:val="12"/>
      </w:pPr>
      <w:r w:rsidRPr="001A3D2B">
        <w:t xml:space="preserve">Journal Country/Territory: </w:t>
      </w:r>
    </w:p>
    <w:p w:rsidR="00BB4FB5" w:rsidRPr="001A3D2B" w:rsidRDefault="00BB4FB5" w:rsidP="00BB4FB5">
      <w:pPr>
        <w:pStyle w:val="12"/>
      </w:pPr>
      <w:r w:rsidRPr="001A3D2B">
        <w:t xml:space="preserve">Language: </w:t>
      </w:r>
    </w:p>
    <w:p w:rsidR="00BB4FB5" w:rsidRPr="001A3D2B" w:rsidRDefault="00BB4FB5" w:rsidP="00BB4FB5">
      <w:pPr>
        <w:pStyle w:val="12"/>
      </w:pPr>
      <w:r w:rsidRPr="001A3D2B">
        <w:t xml:space="preserve">Publisher: </w:t>
      </w:r>
    </w:p>
    <w:p w:rsidR="00BB4FB5" w:rsidRPr="001A3D2B" w:rsidRDefault="00BB4FB5" w:rsidP="00BB4FB5">
      <w:pPr>
        <w:pStyle w:val="12"/>
      </w:pPr>
      <w:r w:rsidRPr="001A3D2B">
        <w:t xml:space="preserve">Publisher Address: </w:t>
      </w:r>
    </w:p>
    <w:p w:rsidR="00BB4FB5" w:rsidRPr="001A3D2B" w:rsidRDefault="00BB4FB5" w:rsidP="00BB4FB5">
      <w:pPr>
        <w:pStyle w:val="12"/>
      </w:pPr>
      <w:r w:rsidRPr="001A3D2B">
        <w:t>Subject Categories:</w:t>
      </w:r>
    </w:p>
    <w:p w:rsidR="00BB4FB5" w:rsidRPr="001A3D2B" w:rsidRDefault="00BB4FB5" w:rsidP="00BB4FB5">
      <w:pPr>
        <w:pStyle w:val="12"/>
      </w:pPr>
      <w:r w:rsidRPr="001A3D2B">
        <w:t xml:space="preserve">: Impact Factor </w:t>
      </w:r>
    </w:p>
    <w:p w:rsidR="00BB4FB5" w:rsidRDefault="00BB4FB5" w:rsidP="00BB4FB5">
      <w:pPr>
        <w:pStyle w:val="a3"/>
        <w:rPr>
          <w:kern w:val="0"/>
        </w:rPr>
      </w:pPr>
      <w:r>
        <w:rPr>
          <w:rFonts w:hint="eastAsia"/>
          <w:kern w:val="0"/>
        </w:rPr>
        <w:t xml:space="preserve">? </w:t>
      </w:r>
      <w:r>
        <w:rPr>
          <w:kern w:val="0"/>
        </w:rPr>
        <w:t xml:space="preserve">Koutras, C., Antoniou, S.A. and Heep, H. (2014), Geographic origin of publications in major spine journals. </w:t>
      </w:r>
      <w:r w:rsidRPr="003C7D01">
        <w:rPr>
          <w:i/>
          <w:iCs/>
          <w:kern w:val="0"/>
        </w:rPr>
        <w:t>Acta Orthopaedica Belgica</w:t>
      </w:r>
      <w:r>
        <w:rPr>
          <w:kern w:val="0"/>
        </w:rPr>
        <w:t xml:space="preserve">, </w:t>
      </w:r>
      <w:r>
        <w:rPr>
          <w:b/>
          <w:bCs/>
          <w:kern w:val="0"/>
        </w:rPr>
        <w:t>80</w:t>
      </w:r>
      <w:r>
        <w:rPr>
          <w:kern w:val="0"/>
        </w:rPr>
        <w:t xml:space="preserve"> (4), 508-514.</w:t>
      </w:r>
    </w:p>
    <w:p w:rsidR="00BB4FB5" w:rsidRDefault="00BB4FB5" w:rsidP="00BB4FB5">
      <w:pPr>
        <w:pStyle w:val="a3"/>
        <w:rPr>
          <w:kern w:val="0"/>
        </w:rPr>
      </w:pPr>
      <w:r>
        <w:rPr>
          <w:rFonts w:hint="eastAsia"/>
          <w:kern w:val="0"/>
        </w:rPr>
        <w:t xml:space="preserve">Full Text: </w:t>
      </w:r>
      <w:hyperlink r:id="rId171" w:history="1">
        <w:r w:rsidRPr="003C7D01">
          <w:rPr>
            <w:rStyle w:val="a5"/>
            <w:kern w:val="0"/>
          </w:rPr>
          <w:t>2014\Act Ort Bel80, 508.pdf</w:t>
        </w:r>
      </w:hyperlink>
    </w:p>
    <w:p w:rsidR="00BB4FB5" w:rsidRDefault="00BB4FB5" w:rsidP="00BB4FB5">
      <w:pPr>
        <w:pStyle w:val="a3"/>
        <w:rPr>
          <w:kern w:val="0"/>
        </w:rPr>
      </w:pPr>
      <w:r>
        <w:rPr>
          <w:kern w:val="0"/>
        </w:rPr>
        <w:t>Abstract: Aim of the present study was to assess the contribution of each country in the field of spine surgery. Three major spine journals were included in our study and the search conducted in PubMed for a 5-year period (2007-2012). Publications on spine surgery were assessed according to the country. A total of 6312 articles were identified and 5842 were included. Fifteen countries generated 86.9% of publications, with 31.7% by the United States, followed by Japan (9.6%), China (8.1%) and Canada (5.2%). After correction for population size Switzerland (19 studies per 106 inhabitants), the Netherlands (10), Sweden (9), Canada (9) and Australia (6) ranked the top. The USA was placed 7th after correction for population size. Small European countries with modest research funding and non-native English speaking population are more productive in relation to their population size, despite the fact that the contribution of USA is the greatest in the field of the major peer-reviewed indexed spine surgery journals.</w:t>
      </w:r>
    </w:p>
    <w:p w:rsidR="00BB4FB5" w:rsidRDefault="00BB4FB5" w:rsidP="00BB4FB5">
      <w:pPr>
        <w:pStyle w:val="a3"/>
        <w:rPr>
          <w:kern w:val="0"/>
        </w:rPr>
      </w:pPr>
      <w:r>
        <w:rPr>
          <w:kern w:val="0"/>
        </w:rPr>
        <w:t>Keywords: Articles, Australia, Bibliometrics, Canada, China, Contribution, Country, English, Field, Funding, Japan, Journals, Peer-Reviewed, Population, Population Size, Publications, Publications By Country, Pubmed, Research, Research Funding, Research Productivity, Research Productivity, Size, Spine, Spine Research, Surgery, Sweden, Switzerland, The Netherlands, United States, USA</w:t>
      </w:r>
    </w:p>
    <w:p w:rsidR="00C22C48" w:rsidRPr="001A3D2B" w:rsidRDefault="00C22C48" w:rsidP="00C22C48">
      <w:pPr>
        <w:pStyle w:val="1"/>
      </w:pPr>
      <w:r w:rsidRPr="001A3D2B">
        <w:br w:type="page"/>
      </w:r>
      <w:bookmarkStart w:id="82" w:name="_Toc420814277"/>
      <w:r w:rsidRPr="001A3D2B">
        <w:lastRenderedPageBreak/>
        <w:t xml:space="preserve">Title: </w:t>
      </w:r>
      <w:r w:rsidRPr="00C22C48">
        <w:rPr>
          <w:szCs w:val="24"/>
        </w:rPr>
        <w:t>Acta Orthopaedica et Traumatologica Turcica</w:t>
      </w:r>
      <w:bookmarkEnd w:id="82"/>
    </w:p>
    <w:p w:rsidR="00C22C48" w:rsidRPr="001A3D2B" w:rsidRDefault="00C22C48" w:rsidP="00C22C48">
      <w:pPr>
        <w:pStyle w:val="12"/>
      </w:pPr>
      <w:r w:rsidRPr="001A3D2B">
        <w:t xml:space="preserve">Full Journal Title: </w:t>
      </w:r>
      <w:r w:rsidRPr="00C22C48">
        <w:rPr>
          <w:iCs/>
          <w:kern w:val="0"/>
        </w:rPr>
        <w:t>Acta Orthopaedica et Traumatologica Turcica</w:t>
      </w:r>
    </w:p>
    <w:p w:rsidR="00C22C48" w:rsidRPr="001A3D2B" w:rsidRDefault="00C22C48" w:rsidP="00C22C48">
      <w:pPr>
        <w:pStyle w:val="12"/>
      </w:pPr>
      <w:r w:rsidRPr="001A3D2B">
        <w:t xml:space="preserve">ISO Abbreviated Title: </w:t>
      </w:r>
    </w:p>
    <w:p w:rsidR="00C22C48" w:rsidRPr="001A3D2B" w:rsidRDefault="00C22C48" w:rsidP="00C22C48">
      <w:pPr>
        <w:pStyle w:val="12"/>
      </w:pPr>
      <w:r w:rsidRPr="001A3D2B">
        <w:t xml:space="preserve">JCR Abbreviated Title: </w:t>
      </w:r>
    </w:p>
    <w:p w:rsidR="00C22C48" w:rsidRPr="001A3D2B" w:rsidRDefault="00C22C48" w:rsidP="00C22C48">
      <w:pPr>
        <w:pStyle w:val="12"/>
      </w:pPr>
      <w:r>
        <w:t xml:space="preserve">ISSN: </w:t>
      </w:r>
    </w:p>
    <w:p w:rsidR="00C22C48" w:rsidRPr="001A3D2B" w:rsidRDefault="00C22C48" w:rsidP="00C22C48">
      <w:pPr>
        <w:pStyle w:val="12"/>
      </w:pPr>
      <w:r w:rsidRPr="001A3D2B">
        <w:t xml:space="preserve">Issues/Year: </w:t>
      </w:r>
    </w:p>
    <w:p w:rsidR="00C22C48" w:rsidRPr="001A3D2B" w:rsidRDefault="00C22C48" w:rsidP="00C22C48">
      <w:pPr>
        <w:pStyle w:val="12"/>
      </w:pPr>
      <w:r w:rsidRPr="001A3D2B">
        <w:t xml:space="preserve">Journal Country/Territory: </w:t>
      </w:r>
    </w:p>
    <w:p w:rsidR="00C22C48" w:rsidRPr="001A3D2B" w:rsidRDefault="00C22C48" w:rsidP="00C22C48">
      <w:pPr>
        <w:pStyle w:val="12"/>
      </w:pPr>
      <w:r w:rsidRPr="001A3D2B">
        <w:t xml:space="preserve">Language: </w:t>
      </w:r>
    </w:p>
    <w:p w:rsidR="00C22C48" w:rsidRPr="001A3D2B" w:rsidRDefault="00C22C48" w:rsidP="00C22C48">
      <w:pPr>
        <w:pStyle w:val="12"/>
      </w:pPr>
      <w:r w:rsidRPr="001A3D2B">
        <w:t xml:space="preserve">Publisher: </w:t>
      </w:r>
    </w:p>
    <w:p w:rsidR="00C22C48" w:rsidRPr="001A3D2B" w:rsidRDefault="00C22C48" w:rsidP="00C22C48">
      <w:pPr>
        <w:pStyle w:val="12"/>
      </w:pPr>
      <w:r w:rsidRPr="001A3D2B">
        <w:t xml:space="preserve">Publisher Address: </w:t>
      </w:r>
    </w:p>
    <w:p w:rsidR="00C22C48" w:rsidRPr="001A3D2B" w:rsidRDefault="00C22C48" w:rsidP="00C22C48">
      <w:pPr>
        <w:pStyle w:val="12"/>
      </w:pPr>
      <w:r w:rsidRPr="001A3D2B">
        <w:t>Subject Categories:</w:t>
      </w:r>
    </w:p>
    <w:p w:rsidR="00C22C48" w:rsidRPr="001A3D2B" w:rsidRDefault="00C22C48" w:rsidP="00C22C48">
      <w:pPr>
        <w:pStyle w:val="12"/>
      </w:pPr>
      <w:r w:rsidRPr="001A3D2B">
        <w:t xml:space="preserve">: Impact Factor </w:t>
      </w:r>
    </w:p>
    <w:p w:rsidR="00C22C48" w:rsidRDefault="00C22C48" w:rsidP="00C22C48">
      <w:pPr>
        <w:pStyle w:val="a3"/>
        <w:rPr>
          <w:kern w:val="0"/>
          <w:szCs w:val="24"/>
        </w:rPr>
      </w:pPr>
      <w:r>
        <w:rPr>
          <w:rFonts w:hint="eastAsia"/>
          <w:kern w:val="0"/>
          <w:szCs w:val="24"/>
        </w:rPr>
        <w:t xml:space="preserve">? </w:t>
      </w:r>
      <w:r>
        <w:rPr>
          <w:kern w:val="0"/>
          <w:szCs w:val="24"/>
        </w:rPr>
        <w:t xml:space="preserve">Yalcinkaya, M. and Bagatur, A.E. (2014), Articles published in </w:t>
      </w:r>
      <w:r w:rsidRPr="008B4A7B">
        <w:rPr>
          <w:i/>
          <w:kern w:val="0"/>
          <w:szCs w:val="24"/>
        </w:rPr>
        <w:t>Acta Orthopaedica et Traumatologica Turcica</w:t>
      </w:r>
      <w:r>
        <w:rPr>
          <w:kern w:val="0"/>
          <w:szCs w:val="24"/>
        </w:rPr>
        <w:t xml:space="preserve"> between 2003-2012: Content, characteristics and publication trends. </w:t>
      </w:r>
      <w:r w:rsidRPr="00C22C48">
        <w:rPr>
          <w:i/>
          <w:iCs/>
          <w:kern w:val="0"/>
          <w:szCs w:val="24"/>
        </w:rPr>
        <w:t>Acta Orthopaedica et Traumatologica Turcica</w:t>
      </w:r>
      <w:r>
        <w:rPr>
          <w:kern w:val="0"/>
          <w:szCs w:val="24"/>
        </w:rPr>
        <w:t xml:space="preserve">, </w:t>
      </w:r>
      <w:r>
        <w:rPr>
          <w:b/>
          <w:bCs/>
          <w:kern w:val="0"/>
          <w:szCs w:val="24"/>
        </w:rPr>
        <w:t>48</w:t>
      </w:r>
      <w:r>
        <w:rPr>
          <w:kern w:val="0"/>
          <w:szCs w:val="24"/>
        </w:rPr>
        <w:t xml:space="preserve"> (5), 576-583.</w:t>
      </w:r>
    </w:p>
    <w:p w:rsidR="00C22C48" w:rsidRDefault="00C22C48" w:rsidP="00C22C48">
      <w:pPr>
        <w:pStyle w:val="a3"/>
        <w:rPr>
          <w:kern w:val="0"/>
          <w:szCs w:val="24"/>
        </w:rPr>
      </w:pPr>
      <w:r>
        <w:rPr>
          <w:rFonts w:hint="eastAsia"/>
          <w:kern w:val="0"/>
          <w:szCs w:val="24"/>
        </w:rPr>
        <w:t xml:space="preserve">Full Text: </w:t>
      </w:r>
      <w:hyperlink r:id="rId172" w:history="1">
        <w:r w:rsidRPr="00C22C48">
          <w:rPr>
            <w:rStyle w:val="a5"/>
            <w:kern w:val="0"/>
            <w:szCs w:val="24"/>
          </w:rPr>
          <w:t>2014\Act Ort Tra Tur48, 576.pdf</w:t>
        </w:r>
      </w:hyperlink>
    </w:p>
    <w:p w:rsidR="00C22C48" w:rsidRDefault="00C22C48" w:rsidP="00C22C48">
      <w:pPr>
        <w:pStyle w:val="a3"/>
        <w:rPr>
          <w:kern w:val="0"/>
          <w:szCs w:val="24"/>
        </w:rPr>
      </w:pPr>
      <w:r>
        <w:rPr>
          <w:kern w:val="0"/>
          <w:szCs w:val="24"/>
        </w:rPr>
        <w:t>Abstract: Objective: The aim of this study was to examine publications in Acta Orthopaedica et Traumatologica Turcica (AOTT) between 2003 and 2012 using bibliometric methods and to describe publication trends, characteristics and patterns of orthopedic publications in Turkey. Methods: All articles published in AOTT between 2003 and 2012 were identified and classified according to their study design and subspecialty of orthopedics. The following parameters from each manuscript were also identified: (1) the number of authors, (2) the number of institutions of the authors, (3) institutional affiliation of the first author, (4) origin of country of the first author, (5) sample size, (6) study outcome, (7) presence or absence of statistical methods, (8) presence of funding, and (9) time from submission to acceptance. Results: A total of 699 eligible articles were identified. The most common study designs were retrospective observational studies and case reports. The most common subspecialties of orthopedics were orthopedic trauma and hand and microsurgery. Institutional affiliation of the first author was a university hospital in 56.4% of the studies and origin of country of the first author was Turkey in 93.4%. Time from submission to acceptance was a mean of 7.11 months. Conclusion: This study revealed the current status and trends of orthopedic publications in Turkey in the leading Turkish orthopedic journal AOTT over a 10-year period. The impact factor of AOTT shows a slow but stable increasing trend indicating a growing attention towards the journal.</w:t>
      </w:r>
    </w:p>
    <w:p w:rsidR="00C22C48" w:rsidRDefault="00C22C48" w:rsidP="00C22C48">
      <w:pPr>
        <w:pStyle w:val="a3"/>
        <w:rPr>
          <w:kern w:val="0"/>
          <w:szCs w:val="24"/>
        </w:rPr>
      </w:pPr>
      <w:r>
        <w:rPr>
          <w:kern w:val="0"/>
          <w:szCs w:val="24"/>
        </w:rPr>
        <w:t xml:space="preserve">Keywords: Acceptance, Affiliation, Articles, Attention, Authors, Bibliometric, </w:t>
      </w:r>
      <w:r>
        <w:rPr>
          <w:kern w:val="0"/>
          <w:szCs w:val="24"/>
        </w:rPr>
        <w:lastRenderedPageBreak/>
        <w:t>Bibliometric Analysis, Bibliometric Methods, Case Reports, Characteristics, Content, Country, Design, First, From, Funding, Hospital, Impact, Impact Factor, Institutions, Journal, Journals, Methods, Microsurgery, Observational, Observational Studies, Origin, Orthopedics, Outcome, Publication, Publication Trend, Publication Trends, Publications, Rates, Results, Sample Size, Size, Study Design, Time, Trauma, Trend, Trends, Turkey, University, University Hospital</w:t>
      </w:r>
    </w:p>
    <w:p w:rsidR="00897828" w:rsidRDefault="00897828" w:rsidP="00897828">
      <w:pPr>
        <w:pStyle w:val="a3"/>
        <w:rPr>
          <w:kern w:val="0"/>
        </w:rPr>
      </w:pPr>
      <w:r>
        <w:rPr>
          <w:rFonts w:hint="eastAsia"/>
          <w:kern w:val="0"/>
        </w:rPr>
        <w:t xml:space="preserve">? </w:t>
      </w:r>
      <w:r w:rsidRPr="00EC5E49">
        <w:rPr>
          <w:kern w:val="0"/>
          <w:szCs w:val="24"/>
        </w:rPr>
        <w:t>Gürbüz</w:t>
      </w:r>
      <w:r>
        <w:rPr>
          <w:kern w:val="0"/>
        </w:rPr>
        <w:t xml:space="preserve">, Y., </w:t>
      </w:r>
      <w:r w:rsidRPr="00EC5E49">
        <w:rPr>
          <w:kern w:val="0"/>
          <w:szCs w:val="24"/>
        </w:rPr>
        <w:t>Süğün</w:t>
      </w:r>
      <w:r>
        <w:rPr>
          <w:kern w:val="0"/>
        </w:rPr>
        <w:t xml:space="preserve">, T.S. and </w:t>
      </w:r>
      <w:r w:rsidRPr="00EC5E49">
        <w:rPr>
          <w:kern w:val="0"/>
          <w:szCs w:val="24"/>
        </w:rPr>
        <w:t>Özaksar</w:t>
      </w:r>
      <w:r>
        <w:rPr>
          <w:kern w:val="0"/>
        </w:rPr>
        <w:t xml:space="preserve">, K. (2015), A bibliometric analysis of orthopedic publications originating from Turkey. </w:t>
      </w:r>
      <w:r>
        <w:rPr>
          <w:i/>
          <w:iCs/>
          <w:kern w:val="0"/>
        </w:rPr>
        <w:t>Acta Orthopaedica et Traumatologica Turcica</w:t>
      </w:r>
      <w:r>
        <w:rPr>
          <w:kern w:val="0"/>
        </w:rPr>
        <w:t xml:space="preserve">, </w:t>
      </w:r>
      <w:r>
        <w:rPr>
          <w:b/>
          <w:bCs/>
          <w:kern w:val="0"/>
        </w:rPr>
        <w:t>49</w:t>
      </w:r>
      <w:r>
        <w:rPr>
          <w:kern w:val="0"/>
        </w:rPr>
        <w:t xml:space="preserve"> (1), 57-66.</w:t>
      </w:r>
    </w:p>
    <w:p w:rsidR="00897828" w:rsidRDefault="00897828" w:rsidP="00897828">
      <w:pPr>
        <w:pStyle w:val="a3"/>
        <w:rPr>
          <w:kern w:val="0"/>
          <w:szCs w:val="24"/>
        </w:rPr>
      </w:pPr>
      <w:r>
        <w:rPr>
          <w:rFonts w:hint="eastAsia"/>
          <w:kern w:val="0"/>
          <w:szCs w:val="24"/>
        </w:rPr>
        <w:t xml:space="preserve">Full Text: </w:t>
      </w:r>
      <w:r w:rsidRPr="00AC1DC3">
        <w:rPr>
          <w:kern w:val="0"/>
          <w:szCs w:val="24"/>
        </w:rPr>
        <w:t>201</w:t>
      </w:r>
      <w:r>
        <w:rPr>
          <w:rFonts w:hint="eastAsia"/>
          <w:kern w:val="0"/>
          <w:szCs w:val="24"/>
        </w:rPr>
        <w:t>5</w:t>
      </w:r>
      <w:r w:rsidRPr="00AC1DC3">
        <w:rPr>
          <w:kern w:val="0"/>
          <w:szCs w:val="24"/>
        </w:rPr>
        <w:t>\Act Ort Tra Tur4</w:t>
      </w:r>
      <w:r>
        <w:rPr>
          <w:rFonts w:hint="eastAsia"/>
          <w:kern w:val="0"/>
          <w:szCs w:val="24"/>
        </w:rPr>
        <w:t>9</w:t>
      </w:r>
      <w:r w:rsidRPr="00AC1DC3">
        <w:rPr>
          <w:kern w:val="0"/>
          <w:szCs w:val="24"/>
        </w:rPr>
        <w:t>, 57.pdf</w:t>
      </w:r>
    </w:p>
    <w:p w:rsidR="00897828" w:rsidRDefault="00897828" w:rsidP="00897828">
      <w:pPr>
        <w:pStyle w:val="a3"/>
        <w:rPr>
          <w:kern w:val="0"/>
        </w:rPr>
      </w:pPr>
      <w:r>
        <w:rPr>
          <w:kern w:val="0"/>
        </w:rPr>
        <w:t>Abstract: Objective: The objective of this study was to analyze the research productivity originating in Turkey using articles published in the top 40 orthopedic journals according to the Journal Citation Reports for 2013. Methods: All scientific papers published in English and included in the Science Citation Index Expanded between 1980 and 2013 were analyzed using the “Web of Science”. The number of publications per million (PmP) was calculated. All selected journals were analyzed for the numbers of articles, authorships, institutions and 100 most frequently cited papers. Results: From a total of 130,494 articles published worldwide, the United States ranked first according to output. Turkey ranked 14th in the number of orthopedic publications and 26th out of 30 countries in the PmP index. 2012 produced the greatest number of publications worldwide and 2008 for Turkey. Gunal I., Yazici M. and Ozturk C. were the most frequent contributors. Hacettepe University, Istanbul University and Ankara University were the most frequent intuitions among all Turkish publications. The Archives of Orthopaedic and Trauma Surgery was the most frequently published journal in this period with a rate of 16.3%. There was a total of 9,085 (8,765; excluding self-citations) citations of the 1,398 publications published in Turkey until December 2013, with a citation-to-work ratio of 7.47 and an h-index of 34. Conclusion: With the newly established universities, as well as training and research clinics, the approach of increasing number of orthopedics and traumatology clinics and specialists to scientific activities would be more fruitful in the light of these data.</w:t>
      </w:r>
    </w:p>
    <w:p w:rsidR="00897828" w:rsidRDefault="00897828" w:rsidP="00897828">
      <w:pPr>
        <w:pStyle w:val="a3"/>
        <w:rPr>
          <w:kern w:val="0"/>
        </w:rPr>
      </w:pPr>
      <w:r>
        <w:rPr>
          <w:kern w:val="0"/>
        </w:rPr>
        <w:t>Keywords: Analysis, Approach, Archives, Articles, Bibliometric, Bibliometric Analysis, Citation, Citations, Data, English, First, Fixation, Fractures, From, H Index, H-Index, Impact, Impact Factor, Index, Injury, Institutions, Instrumentation, Journal, Journal Citation Reports, Journals, Lesions, Methods, Most Frequently Cited Papers, Orthopedics, Papers, Productivity, Publications, Research, Research Productivity, Results, Science, Science Citation Index, Science Citation Index Expanded, Scientific Activities, Self-Citations, Spinal Tuberculosis, Surgery, Training, Trauma, Turkey, United States, Universities, University, Web Of Science</w:t>
      </w:r>
    </w:p>
    <w:p w:rsidR="003474F2" w:rsidRPr="001A3D2B" w:rsidRDefault="003474F2" w:rsidP="003474F2">
      <w:pPr>
        <w:pStyle w:val="1"/>
      </w:pPr>
      <w:r w:rsidRPr="001A3D2B">
        <w:lastRenderedPageBreak/>
        <w:br w:type="page"/>
      </w:r>
      <w:bookmarkStart w:id="83" w:name="_Toc420814278"/>
      <w:r w:rsidRPr="001A3D2B">
        <w:lastRenderedPageBreak/>
        <w:t>Title: Acta Otorrinolaringológica Española</w:t>
      </w:r>
      <w:bookmarkEnd w:id="83"/>
    </w:p>
    <w:p w:rsidR="003474F2" w:rsidRPr="001A3D2B" w:rsidRDefault="003474F2" w:rsidP="003474F2">
      <w:pPr>
        <w:pStyle w:val="12"/>
      </w:pPr>
      <w:r w:rsidRPr="001A3D2B">
        <w:t>Full Journal Title: Acta Otorrinolaringológica Española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Abbr0001-6519eviated Title: Acta Otorrinolaringol Esp</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r w:rsidR="003474F2" w:rsidRPr="001A3D2B">
        <w:t>Spain</w:t>
      </w:r>
    </w:p>
    <w:p w:rsidR="003474F2" w:rsidRPr="001A3D2B" w:rsidRDefault="003474F2" w:rsidP="003474F2">
      <w:pPr>
        <w:pStyle w:val="12"/>
      </w:pPr>
      <w:r w:rsidRPr="001A3D2B">
        <w:t>Language: Spanish</w:t>
      </w:r>
    </w:p>
    <w:p w:rsidR="003474F2" w:rsidRPr="001A3D2B" w:rsidRDefault="003474F2" w:rsidP="003474F2">
      <w:pPr>
        <w:pStyle w:val="12"/>
      </w:pPr>
      <w:r w:rsidRPr="001A3D2B">
        <w:t>Publisher: Editorial Garsi</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Suarez Nieto, C. (1993</w:t>
      </w:r>
      <w:r w:rsidR="00F42EAC">
        <w:t>), The</w:t>
      </w:r>
      <w:r w:rsidR="003A1917">
        <w:t xml:space="preserve"> </w:t>
      </w:r>
      <w:r w:rsidRPr="001A3D2B">
        <w:t>impact</w:t>
      </w:r>
      <w:r w:rsidR="00427468">
        <w:t xml:space="preserve"> of </w:t>
      </w:r>
      <w:r w:rsidRPr="001A3D2B">
        <w:t>Spanish otolaryngology on</w:t>
      </w:r>
      <w:r w:rsidR="003A1917">
        <w:t xml:space="preserve"> the </w:t>
      </w:r>
      <w:r w:rsidRPr="001A3D2B">
        <w:t xml:space="preserve">international scientific community in 1981-1990. </w:t>
      </w:r>
      <w:r w:rsidRPr="001A3D2B">
        <w:rPr>
          <w:i/>
        </w:rPr>
        <w:t>Acta Otorrinolaringológica Española</w:t>
      </w:r>
      <w:r w:rsidRPr="001A3D2B">
        <w:t xml:space="preserve">, </w:t>
      </w:r>
      <w:r w:rsidRPr="001A3D2B">
        <w:rPr>
          <w:b/>
          <w:bCs/>
        </w:rPr>
        <w:t>44</w:t>
      </w:r>
      <w:r w:rsidRPr="001A3D2B">
        <w:t xml:space="preserve"> (4), 273-276.</w:t>
      </w:r>
    </w:p>
    <w:p w:rsidR="003474F2" w:rsidRPr="001A3D2B" w:rsidRDefault="003474F2" w:rsidP="003474F2">
      <w:pPr>
        <w:pStyle w:val="a3"/>
      </w:pPr>
      <w:r w:rsidRPr="001A3D2B">
        <w:t>Abstract:</w:t>
      </w:r>
      <w:r w:rsidR="003A1917">
        <w:t xml:space="preserve"> the </w:t>
      </w:r>
      <w:r w:rsidRPr="001A3D2B">
        <w:t>number</w:t>
      </w:r>
      <w:r w:rsidR="00427468">
        <w:t xml:space="preserve"> of </w:t>
      </w:r>
      <w:r w:rsidRPr="001A3D2B">
        <w:t xml:space="preserve">papers published by </w:t>
      </w:r>
      <w:r w:rsidR="00EE6196" w:rsidRPr="001A3D2B">
        <w:t xml:space="preserve">Spanish </w:t>
      </w:r>
      <w:r w:rsidRPr="001A3D2B">
        <w:t>otolaryngologists, as well as</w:t>
      </w:r>
      <w:r w:rsidR="003A1917">
        <w:t xml:space="preserve"> the </w:t>
      </w:r>
      <w:r w:rsidRPr="001A3D2B">
        <w:t>number</w:t>
      </w:r>
      <w:r w:rsidR="00427468">
        <w:t xml:space="preserve"> of </w:t>
      </w:r>
      <w:r w:rsidRPr="001A3D2B">
        <w:t>citations received in journals indexed in</w:t>
      </w:r>
      <w:r w:rsidR="003A1917">
        <w:t xml:space="preserve"> the </w:t>
      </w:r>
      <w:r w:rsidRPr="001A3D2B">
        <w:t>Science Citation Index CD-ROM during 1981-1990, were studied</w:t>
      </w:r>
      <w:r w:rsidR="00A37C1D">
        <w:t>. The</w:t>
      </w:r>
      <w:r w:rsidR="003A1917">
        <w:t xml:space="preserve"> </w:t>
      </w:r>
      <w:r w:rsidRPr="001A3D2B">
        <w:t>survey revealed a total</w:t>
      </w:r>
      <w:r w:rsidR="00427468">
        <w:t xml:space="preserve"> of </w:t>
      </w:r>
      <w:r w:rsidRPr="001A3D2B">
        <w:t>87 papers published, with 40</w:t>
      </w:r>
      <w:r w:rsidR="00427468">
        <w:t xml:space="preserve"> of </w:t>
      </w:r>
      <w:r w:rsidRPr="001A3D2B">
        <w:t>them on basic research,</w:t>
      </w:r>
      <w:r w:rsidR="005853A9">
        <w:t xml:space="preserve"> and </w:t>
      </w:r>
      <w:r w:rsidRPr="001A3D2B">
        <w:t>195 citations. Finally,</w:t>
      </w:r>
      <w:r w:rsidR="003A1917">
        <w:t xml:space="preserve"> the </w:t>
      </w:r>
      <w:r w:rsidRPr="001A3D2B">
        <w:t>need</w:t>
      </w:r>
      <w:r w:rsidR="00427468">
        <w:t xml:space="preserve"> of </w:t>
      </w:r>
      <w:r w:rsidRPr="001A3D2B">
        <w:t>a research development in this field is stressed.</w:t>
      </w:r>
    </w:p>
    <w:p w:rsidR="003474F2" w:rsidRPr="001A3D2B" w:rsidRDefault="003474F2" w:rsidP="003474F2">
      <w:pPr>
        <w:pStyle w:val="a3"/>
      </w:pPr>
      <w:r w:rsidRPr="001A3D2B">
        <w:t>Keywords: CD-ROM, Citations, Community, Development, Field, Impact, International, Journals, Papers, Research, Science Citation Index, Survey</w:t>
      </w:r>
    </w:p>
    <w:p w:rsidR="003474F2" w:rsidRPr="001A3D2B" w:rsidRDefault="003474F2" w:rsidP="003474F2">
      <w:pPr>
        <w:pStyle w:val="1"/>
      </w:pPr>
      <w:r w:rsidRPr="001A3D2B">
        <w:br w:type="page"/>
      </w:r>
      <w:bookmarkStart w:id="84" w:name="_Toc43634517"/>
      <w:bookmarkStart w:id="85" w:name="_Toc81215575"/>
      <w:bookmarkStart w:id="86" w:name="_Toc420814279"/>
      <w:r w:rsidRPr="001A3D2B">
        <w:lastRenderedPageBreak/>
        <w:t>Title: Acta Paediatrica</w:t>
      </w:r>
      <w:bookmarkEnd w:id="5"/>
      <w:bookmarkEnd w:id="6"/>
      <w:bookmarkEnd w:id="7"/>
      <w:bookmarkEnd w:id="84"/>
      <w:bookmarkEnd w:id="85"/>
      <w:bookmarkEnd w:id="86"/>
    </w:p>
    <w:p w:rsidR="003474F2" w:rsidRPr="001A3D2B" w:rsidRDefault="003474F2" w:rsidP="003474F2">
      <w:pPr>
        <w:pStyle w:val="12"/>
      </w:pPr>
      <w:r w:rsidRPr="001A3D2B">
        <w:t xml:space="preserve">Full Journal Title: </w:t>
      </w:r>
      <w:hyperlink r:id="rId173" w:history="1">
        <w:r w:rsidRPr="001A3D2B">
          <w:rPr>
            <w:rStyle w:val="a5"/>
          </w:rPr>
          <w:t>Acta Paediatrica</w:t>
        </w:r>
      </w:hyperlink>
    </w:p>
    <w:p w:rsidR="003474F2" w:rsidRPr="001A3D2B" w:rsidRDefault="003474F2" w:rsidP="003474F2">
      <w:pPr>
        <w:pStyle w:val="12"/>
      </w:pPr>
      <w:r w:rsidRPr="001A3D2B">
        <w:t>ISO Abbreviated Title: Acta Paediatr.</w:t>
      </w:r>
    </w:p>
    <w:p w:rsidR="003474F2" w:rsidRPr="001A3D2B" w:rsidRDefault="003474F2" w:rsidP="003474F2">
      <w:pPr>
        <w:pStyle w:val="12"/>
      </w:pPr>
      <w:r w:rsidRPr="001A3D2B">
        <w:t>JCR Abbreviated Title: Acta Paediatr</w:t>
      </w:r>
    </w:p>
    <w:p w:rsidR="003474F2" w:rsidRPr="001A3D2B" w:rsidRDefault="003474F2" w:rsidP="003474F2">
      <w:pPr>
        <w:pStyle w:val="12"/>
      </w:pPr>
      <w:r w:rsidRPr="001A3D2B">
        <w:t>ISSN: 0803-5253</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Sweden</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PlaceName">
          <w:r w:rsidRPr="001A3D2B">
            <w:t>Scandinavian</w:t>
          </w:r>
        </w:smartTag>
        <w:r w:rsidRPr="001A3D2B">
          <w:t xml:space="preserve"> </w:t>
        </w:r>
        <w:smartTag w:uri="urn:schemas-microsoft-com:office:smarttags" w:element="PlaceType">
          <w:r w:rsidRPr="001A3D2B">
            <w:t>University</w:t>
          </w:r>
        </w:smartTag>
      </w:smartTag>
      <w:r w:rsidRPr="001A3D2B">
        <w:t xml:space="preserve"> Press</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2959</w:t>
        </w:r>
      </w:smartTag>
      <w:r w:rsidRPr="001A3D2B">
        <w:t xml:space="preserve"> Toyen, Journal Division Customer Service, N-0608 </w:t>
      </w:r>
      <w:smartTag w:uri="urn:schemas-microsoft-com:office:smarttags" w:element="place">
        <w:smartTag w:uri="urn:schemas-microsoft-com:office:smarttags" w:element="City">
          <w:r w:rsidRPr="001A3D2B">
            <w:t>Oslo</w:t>
          </w:r>
        </w:smartTag>
        <w:r w:rsidRPr="001A3D2B">
          <w:t xml:space="preserve">, </w:t>
        </w:r>
        <w:smartTag w:uri="urn:schemas-microsoft-com:office:smarttags" w:element="country-region">
          <w:r w:rsidRPr="001A3D2B">
            <w:t>Norway</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Pediatrics: Impact Factor 1.582, 16/69 (2001)</w:t>
      </w:r>
    </w:p>
    <w:p w:rsidR="003474F2" w:rsidRPr="001A3D2B" w:rsidRDefault="003474F2" w:rsidP="003474F2">
      <w:pPr>
        <w:pStyle w:val="a3"/>
      </w:pPr>
      <w:r w:rsidRPr="001A3D2B">
        <w:t>Notes: JJournal</w:t>
      </w:r>
    </w:p>
    <w:p w:rsidR="003474F2" w:rsidRPr="001A3D2B" w:rsidRDefault="003474F2" w:rsidP="003474F2">
      <w:pPr>
        <w:pStyle w:val="a3"/>
      </w:pPr>
      <w:r w:rsidRPr="001A3D2B">
        <w:t>? Zetterström, R. (1999), Impact factor</w:t>
      </w:r>
      <w:r w:rsidR="005853A9">
        <w:t xml:space="preserve"> and </w:t>
      </w:r>
      <w:r w:rsidR="003A1917">
        <w:t xml:space="preserve">the </w:t>
      </w:r>
      <w:r w:rsidRPr="001A3D2B">
        <w:t>future</w:t>
      </w:r>
      <w:r w:rsidR="00427468">
        <w:t xml:space="preserve"> of </w:t>
      </w:r>
      <w:r w:rsidRPr="001A3D2B">
        <w:rPr>
          <w:i/>
        </w:rPr>
        <w:t>Acta Paediatrica</w:t>
      </w:r>
      <w:r w:rsidR="005853A9">
        <w:t xml:space="preserve"> and </w:t>
      </w:r>
      <w:r w:rsidRPr="001A3D2B">
        <w:t xml:space="preserve">other European medical journals. </w:t>
      </w:r>
      <w:r w:rsidRPr="001A3D2B">
        <w:rPr>
          <w:i/>
          <w:iCs/>
        </w:rPr>
        <w:t>Acta Paediatrica</w:t>
      </w:r>
      <w:r w:rsidRPr="001A3D2B">
        <w:t xml:space="preserve">, </w:t>
      </w:r>
      <w:r w:rsidRPr="001A3D2B">
        <w:rPr>
          <w:b/>
          <w:bCs/>
        </w:rPr>
        <w:t>88</w:t>
      </w:r>
      <w:r w:rsidRPr="001A3D2B">
        <w:t xml:space="preserve"> (8), 793-796.</w:t>
      </w:r>
    </w:p>
    <w:p w:rsidR="003474F2" w:rsidRPr="001A3D2B" w:rsidRDefault="003474F2" w:rsidP="003474F2">
      <w:pPr>
        <w:pStyle w:val="11"/>
      </w:pPr>
      <w:r w:rsidRPr="001A3D2B">
        <w:t xml:space="preserve">Full Text: </w:t>
      </w:r>
      <w:hyperlink r:id="rId174" w:history="1">
        <w:r w:rsidRPr="001A3D2B">
          <w:rPr>
            <w:rStyle w:val="a5"/>
          </w:rPr>
          <w:t>1999\Act Pae96, 793.pdf</w:t>
        </w:r>
      </w:hyperlink>
    </w:p>
    <w:p w:rsidR="003474F2" w:rsidRPr="001A3D2B" w:rsidRDefault="003474F2" w:rsidP="003474F2">
      <w:pPr>
        <w:pStyle w:val="a3"/>
      </w:pPr>
      <w:r w:rsidRPr="001A3D2B">
        <w:t>Abstract: Most European medical journals attain very low impact factors, as reported in Journal Citation Reports,</w:t>
      </w:r>
      <w:r w:rsidR="005853A9">
        <w:t xml:space="preserve"> and </w:t>
      </w:r>
      <w:r w:rsidRPr="001A3D2B">
        <w:t>from</w:t>
      </w:r>
      <w:r w:rsidR="003A1917">
        <w:t xml:space="preserve"> the </w:t>
      </w:r>
      <w:r w:rsidRPr="001A3D2B">
        <w:t>European point</w:t>
      </w:r>
      <w:r w:rsidR="00427468">
        <w:t xml:space="preserve"> of </w:t>
      </w:r>
      <w:r w:rsidRPr="001A3D2B">
        <w:t>view</w:t>
      </w:r>
      <w:r w:rsidR="003A1917">
        <w:t xml:space="preserve"> the </w:t>
      </w:r>
      <w:r w:rsidRPr="001A3D2B">
        <w:t>depressing outlook is continually falling values. Among many reasons behind</w:t>
      </w:r>
      <w:r w:rsidR="003A1917">
        <w:t xml:space="preserve"> the </w:t>
      </w:r>
      <w:r w:rsidRPr="001A3D2B">
        <w:t>low impact factor</w:t>
      </w:r>
      <w:r w:rsidR="00427468">
        <w:t xml:space="preserve"> of </w:t>
      </w:r>
      <w:r w:rsidRPr="001A3D2B">
        <w:t>European journals is citation bias as a consequence</w:t>
      </w:r>
      <w:r w:rsidR="00427468">
        <w:t xml:space="preserve"> of </w:t>
      </w:r>
      <w:r w:rsidR="003A1917">
        <w:t xml:space="preserve">the </w:t>
      </w:r>
      <w:r w:rsidRPr="001A3D2B">
        <w:t>low prestige</w:t>
      </w:r>
      <w:r w:rsidR="00427468">
        <w:t xml:space="preserve"> of </w:t>
      </w:r>
      <w:r w:rsidRPr="001A3D2B">
        <w:t>European journals. In</w:t>
      </w:r>
      <w:r w:rsidR="003A1917">
        <w:t xml:space="preserve"> the </w:t>
      </w:r>
      <w:r w:rsidRPr="001A3D2B">
        <w:t>case</w:t>
      </w:r>
      <w:r w:rsidR="00427468">
        <w:t xml:space="preserve"> of </w:t>
      </w:r>
      <w:r w:rsidRPr="001A3D2B">
        <w:t>Acta Paediatrica, which has published between 4</w:t>
      </w:r>
      <w:r w:rsidR="005853A9">
        <w:t xml:space="preserve"> and </w:t>
      </w:r>
      <w:r w:rsidRPr="001A3D2B">
        <w:t>15 supplements annually during</w:t>
      </w:r>
      <w:r w:rsidR="003A1917">
        <w:t xml:space="preserve"> the </w:t>
      </w:r>
      <w:r w:rsidRPr="001A3D2B">
        <w:t>period 1994-98,</w:t>
      </w:r>
      <w:r w:rsidR="003A1917">
        <w:t xml:space="preserve"> the </w:t>
      </w:r>
      <w:r w:rsidRPr="001A3D2B">
        <w:t>low impact factor</w:t>
      </w:r>
      <w:r w:rsidR="00427468">
        <w:t xml:space="preserve"> of </w:t>
      </w:r>
      <w:r w:rsidR="003A1917">
        <w:t xml:space="preserve">the </w:t>
      </w:r>
      <w:r w:rsidRPr="001A3D2B">
        <w:t>articles included in these supplements reduces</w:t>
      </w:r>
      <w:r w:rsidR="003A1917">
        <w:t xml:space="preserve"> the </w:t>
      </w:r>
      <w:r w:rsidRPr="001A3D2B">
        <w:t>overall impact factor to less than half</w:t>
      </w:r>
      <w:r w:rsidR="00427468">
        <w:t xml:space="preserve"> of </w:t>
      </w:r>
      <w:r w:rsidRPr="001A3D2B">
        <w:t>what it would be had no supplements been published, i.e. from 1.88 to 0.81. It is obvious that by refusing to publish supplements</w:t>
      </w:r>
      <w:r w:rsidR="003A1917">
        <w:t xml:space="preserve"> the </w:t>
      </w:r>
      <w:r w:rsidRPr="001A3D2B">
        <w:t>impact factor</w:t>
      </w:r>
      <w:r w:rsidR="00427468">
        <w:t xml:space="preserve"> of </w:t>
      </w:r>
      <w:r w:rsidRPr="001A3D2B">
        <w:t>Acta Paediatrica would be dramatically elevated. Some</w:t>
      </w:r>
      <w:r w:rsidR="00427468">
        <w:t xml:space="preserve"> of </w:t>
      </w:r>
      <w:r w:rsidR="003A1917">
        <w:t xml:space="preserve">the </w:t>
      </w:r>
      <w:r w:rsidRPr="001A3D2B">
        <w:t>supplements, such as</w:t>
      </w:r>
      <w:r w:rsidR="003A1917">
        <w:t xml:space="preserve"> the </w:t>
      </w:r>
      <w:r w:rsidRPr="001A3D2B">
        <w:t>one on persistent diarrhoeal disease which had to be reprinted as</w:t>
      </w:r>
      <w:r w:rsidR="003A1917">
        <w:t xml:space="preserve"> the </w:t>
      </w:r>
      <w:r w:rsidRPr="001A3D2B">
        <w:t>original edition was sold out (1), are undoubtedly</w:t>
      </w:r>
      <w:r w:rsidR="00427468">
        <w:t xml:space="preserve"> of </w:t>
      </w:r>
      <w:r w:rsidRPr="001A3D2B">
        <w:t>great educational value</w:t>
      </w:r>
      <w:r w:rsidR="005853A9">
        <w:t xml:space="preserve"> and </w:t>
      </w:r>
      <w:r w:rsidRPr="001A3D2B">
        <w:t>have an important role as sources</w:t>
      </w:r>
      <w:r w:rsidR="00427468">
        <w:t xml:space="preserve"> of </w:t>
      </w:r>
      <w:r w:rsidRPr="001A3D2B">
        <w:t>references. However, it is difficult for Acta Paediatrica to continue to publish supplements because</w:t>
      </w:r>
      <w:r w:rsidR="00427468">
        <w:t xml:space="preserve"> of </w:t>
      </w:r>
      <w:r w:rsidR="003A1917">
        <w:t xml:space="preserve">the </w:t>
      </w:r>
      <w:r w:rsidRPr="001A3D2B">
        <w:t>load imposed on</w:t>
      </w:r>
      <w:r w:rsidR="003A1917">
        <w:t xml:space="preserve"> the </w:t>
      </w:r>
      <w:r w:rsidRPr="001A3D2B">
        <w:t>impact factor</w:t>
      </w:r>
      <w:r w:rsidR="00427468">
        <w:t xml:space="preserve"> of </w:t>
      </w:r>
      <w:r w:rsidR="003A1917">
        <w:t xml:space="preserve">the </w:t>
      </w:r>
      <w:r w:rsidRPr="001A3D2B">
        <w:t>journal. It is suggested that a scientific committee within</w:t>
      </w:r>
      <w:r w:rsidR="003A1917">
        <w:t xml:space="preserve"> the </w:t>
      </w:r>
      <w:r w:rsidRPr="001A3D2B">
        <w:t>European Union seriously considers</w:t>
      </w:r>
      <w:r w:rsidR="003A1917">
        <w:t xml:space="preserve"> the </w:t>
      </w:r>
      <w:r w:rsidRPr="001A3D2B">
        <w:t>importance</w:t>
      </w:r>
      <w:r w:rsidR="00427468">
        <w:t xml:space="preserve"> of </w:t>
      </w:r>
      <w:r w:rsidRPr="001A3D2B">
        <w:t>supporting European Biomedical Science,</w:t>
      </w:r>
      <w:r w:rsidR="005853A9">
        <w:t xml:space="preserve"> and </w:t>
      </w:r>
      <w:r w:rsidRPr="001A3D2B">
        <w:t>that one way</w:t>
      </w:r>
      <w:r w:rsidR="00427468">
        <w:t xml:space="preserve"> of </w:t>
      </w:r>
      <w:r w:rsidRPr="001A3D2B">
        <w:t>doing so is to improve</w:t>
      </w:r>
      <w:r w:rsidR="003A1917">
        <w:t xml:space="preserve"> the </w:t>
      </w:r>
      <w:r w:rsidRPr="001A3D2B">
        <w:t>prestige</w:t>
      </w:r>
      <w:r w:rsidR="005853A9">
        <w:t xml:space="preserve"> and </w:t>
      </w:r>
      <w:r w:rsidRPr="001A3D2B">
        <w:t>quality</w:t>
      </w:r>
      <w:r w:rsidR="00427468">
        <w:t xml:space="preserve"> of </w:t>
      </w:r>
      <w:r w:rsidRPr="001A3D2B">
        <w:t>European journals.</w:t>
      </w:r>
    </w:p>
    <w:p w:rsidR="003474F2" w:rsidRPr="001A3D2B" w:rsidRDefault="003474F2" w:rsidP="003474F2">
      <w:pPr>
        <w:pStyle w:val="a3"/>
      </w:pPr>
      <w:r w:rsidRPr="001A3D2B">
        <w:t>Keywords: Bias, Citation, Citation Bias, European Union, Impact, Impact Factor, Impact Factors, Journal, Journal Citation Reports, Journals, Load, Medical, Medical Journals, Quality, Quality Of, Role, Sources, Value</w:t>
      </w:r>
    </w:p>
    <w:p w:rsidR="003474F2" w:rsidRPr="001A3D2B" w:rsidRDefault="003474F2" w:rsidP="003474F2">
      <w:pPr>
        <w:pStyle w:val="a3"/>
      </w:pPr>
      <w:r w:rsidRPr="001A3D2B">
        <w:lastRenderedPageBreak/>
        <w:t>Notes: JJournal</w:t>
      </w:r>
    </w:p>
    <w:p w:rsidR="003474F2" w:rsidRPr="001A3D2B" w:rsidRDefault="003474F2" w:rsidP="003474F2">
      <w:pPr>
        <w:pStyle w:val="a3"/>
      </w:pPr>
      <w:r w:rsidRPr="001A3D2B">
        <w:t xml:space="preserve">Zetterström, R. (2002), Bibliometric data: A disaster for many non-American biomedical journals. </w:t>
      </w:r>
      <w:r w:rsidRPr="001A3D2B">
        <w:rPr>
          <w:i/>
        </w:rPr>
        <w:t>Acta Paediatrica</w:t>
      </w:r>
      <w:r w:rsidRPr="001A3D2B">
        <w:t xml:space="preserve">, </w:t>
      </w:r>
      <w:r w:rsidRPr="001A3D2B">
        <w:rPr>
          <w:b/>
        </w:rPr>
        <w:t>91</w:t>
      </w:r>
      <w:r w:rsidRPr="001A3D2B">
        <w:t xml:space="preserve"> (10), 1020-1024.</w:t>
      </w:r>
    </w:p>
    <w:p w:rsidR="003474F2" w:rsidRPr="001A3D2B" w:rsidRDefault="003474F2" w:rsidP="003474F2">
      <w:pPr>
        <w:pStyle w:val="a3"/>
      </w:pPr>
      <w:r w:rsidRPr="001A3D2B">
        <w:t xml:space="preserve">Full Text: </w:t>
      </w:r>
      <w:hyperlink r:id="rId175" w:history="1">
        <w:r w:rsidRPr="001A3D2B">
          <w:rPr>
            <w:rStyle w:val="a5"/>
          </w:rPr>
          <w:t>2002\Act Pae91, 1020.pdf</w:t>
        </w:r>
      </w:hyperlink>
    </w:p>
    <w:p w:rsidR="003474F2" w:rsidRPr="001A3D2B" w:rsidRDefault="003474F2" w:rsidP="003474F2">
      <w:pPr>
        <w:pStyle w:val="a3"/>
      </w:pPr>
      <w:r w:rsidRPr="001A3D2B">
        <w:t>Abstract: Bibliometric data published by</w:t>
      </w:r>
      <w:r w:rsidR="003A1917">
        <w:t xml:space="preserve"> the </w:t>
      </w:r>
      <w:r w:rsidRPr="001A3D2B">
        <w:t>Institute</w:t>
      </w:r>
      <w:r w:rsidR="00427468">
        <w:t xml:space="preserve"> of </w:t>
      </w:r>
      <w:r w:rsidRPr="001A3D2B">
        <w:t>Scientific Information in Philadelphia (ISI),</w:t>
      </w:r>
      <w:r w:rsidR="005853A9">
        <w:t xml:space="preserve"> and </w:t>
      </w:r>
      <w:r w:rsidRPr="001A3D2B">
        <w:t>which was previously discussed in Acta Paediatrica, has increasingly been used despite all</w:t>
      </w:r>
      <w:r w:rsidR="003A1917">
        <w:t xml:space="preserve"> the </w:t>
      </w:r>
      <w:r w:rsidRPr="001A3D2B">
        <w:t>relevant</w:t>
      </w:r>
      <w:r w:rsidR="005853A9">
        <w:t xml:space="preserve"> and </w:t>
      </w:r>
      <w:r w:rsidRPr="001A3D2B">
        <w:t>severe criticism that has been raised against this method</w:t>
      </w:r>
      <w:r w:rsidR="00427468">
        <w:t xml:space="preserve"> of </w:t>
      </w:r>
      <w:r w:rsidRPr="001A3D2B">
        <w:t>evaluating individual research results</w:t>
      </w:r>
      <w:r w:rsidR="005853A9">
        <w:t xml:space="preserve"> and </w:t>
      </w:r>
      <w:r w:rsidRPr="001A3D2B">
        <w:t>grading scientific journals. It is obvious that</w:t>
      </w:r>
      <w:r w:rsidR="003A1917">
        <w:t xml:space="preserve"> the </w:t>
      </w:r>
      <w:r w:rsidRPr="001A3D2B">
        <w:t>present trend regarding</w:t>
      </w:r>
      <w:r w:rsidR="003A1917">
        <w:t xml:space="preserve"> the </w:t>
      </w:r>
      <w:r w:rsidRPr="001A3D2B">
        <w:t>use</w:t>
      </w:r>
      <w:r w:rsidR="00427468">
        <w:t xml:space="preserve"> of </w:t>
      </w:r>
      <w:r w:rsidRPr="001A3D2B">
        <w:t>bibliometric data as a basis for priorities</w:t>
      </w:r>
      <w:r w:rsidR="005853A9">
        <w:t xml:space="preserve"> and </w:t>
      </w:r>
      <w:r w:rsidRPr="001A3D2B">
        <w:t>funding</w:t>
      </w:r>
      <w:r w:rsidR="00427468">
        <w:t xml:space="preserve"> of </w:t>
      </w:r>
      <w:r w:rsidRPr="001A3D2B">
        <w:t>research</w:t>
      </w:r>
      <w:r w:rsidR="005853A9">
        <w:t xml:space="preserve"> and </w:t>
      </w:r>
      <w:r w:rsidRPr="001A3D2B">
        <w:t>for</w:t>
      </w:r>
      <w:r w:rsidR="003A1917">
        <w:t xml:space="preserve"> the </w:t>
      </w:r>
      <w:r w:rsidRPr="001A3D2B">
        <w:t>promotion</w:t>
      </w:r>
      <w:r w:rsidR="00427468">
        <w:t xml:space="preserve"> of </w:t>
      </w:r>
      <w:r w:rsidRPr="001A3D2B">
        <w:t>individual scientists favours American-oriented research projects at</w:t>
      </w:r>
      <w:r w:rsidR="003A1917">
        <w:t xml:space="preserve"> the </w:t>
      </w:r>
      <w:r w:rsidRPr="001A3D2B">
        <w:t>expense</w:t>
      </w:r>
      <w:r w:rsidR="00427468">
        <w:t xml:space="preserve"> of </w:t>
      </w:r>
      <w:r w:rsidRPr="001A3D2B">
        <w:t>those that are based on concepts</w:t>
      </w:r>
      <w:r w:rsidR="00427468">
        <w:t xml:space="preserve"> of </w:t>
      </w:r>
      <w:r w:rsidRPr="001A3D2B">
        <w:t>predominantly European relevance. Conclusion: For</w:t>
      </w:r>
      <w:r w:rsidR="003A1917">
        <w:t xml:space="preserve"> the </w:t>
      </w:r>
      <w:r w:rsidRPr="001A3D2B">
        <w:t>future</w:t>
      </w:r>
      <w:r w:rsidR="00427468">
        <w:t xml:space="preserve"> of </w:t>
      </w:r>
      <w:r w:rsidRPr="001A3D2B">
        <w:t>non-American research, it is important that no single super-power, i.e</w:t>
      </w:r>
      <w:r w:rsidR="00A37C1D">
        <w:t>. The</w:t>
      </w:r>
      <w:r w:rsidR="003A1917">
        <w:t xml:space="preserve"> </w:t>
      </w:r>
      <w:r w:rsidR="00D5664A">
        <w:t>USA</w:t>
      </w:r>
      <w:r w:rsidRPr="001A3D2B">
        <w:t>, should dominate scientific priorities</w:t>
      </w:r>
      <w:r w:rsidR="00A37C1D">
        <w:t>. The</w:t>
      </w:r>
      <w:r w:rsidR="003A1917">
        <w:t xml:space="preserve"> </w:t>
      </w:r>
      <w:r w:rsidRPr="001A3D2B">
        <w:t>condition for efficient European competition is that European Centres with high levels</w:t>
      </w:r>
      <w:r w:rsidR="00427468">
        <w:t xml:space="preserve"> of </w:t>
      </w:r>
      <w:r w:rsidRPr="001A3D2B">
        <w:t>competence for creative research</w:t>
      </w:r>
      <w:r w:rsidR="005853A9">
        <w:t xml:space="preserve"> and </w:t>
      </w:r>
      <w:r w:rsidRPr="001A3D2B">
        <w:t>training</w:t>
      </w:r>
      <w:r w:rsidR="00427468">
        <w:t xml:space="preserve"> of </w:t>
      </w:r>
      <w:r w:rsidRPr="001A3D2B">
        <w:t>scientists from all over</w:t>
      </w:r>
      <w:r w:rsidR="003A1917">
        <w:t xml:space="preserve"> the </w:t>
      </w:r>
      <w:r w:rsidRPr="001A3D2B">
        <w:t>world are established. In addition, it is important that</w:t>
      </w:r>
      <w:r w:rsidR="003A1917">
        <w:t xml:space="preserve"> the </w:t>
      </w:r>
      <w:r w:rsidRPr="001A3D2B">
        <w:t>results</w:t>
      </w:r>
      <w:r w:rsidR="00427468">
        <w:t xml:space="preserve"> of </w:t>
      </w:r>
      <w:r w:rsidRPr="001A3D2B">
        <w:t>European research are published in prestigious European journals, as was</w:t>
      </w:r>
      <w:r w:rsidR="003A1917">
        <w:t xml:space="preserve"> the </w:t>
      </w:r>
      <w:r w:rsidRPr="001A3D2B">
        <w:t>situation before World War II.</w:t>
      </w:r>
    </w:p>
    <w:p w:rsidR="003474F2" w:rsidRPr="001A3D2B" w:rsidRDefault="003474F2" w:rsidP="003474F2">
      <w:pPr>
        <w:pStyle w:val="a3"/>
      </w:pPr>
      <w:r w:rsidRPr="001A3D2B">
        <w:t>Keywords: Bibliometric, Biomedical, Biomedical Journals, Competence, Competition, Data, Funding</w:t>
      </w:r>
      <w:r w:rsidR="00D5664A">
        <w:t>, ISI,</w:t>
      </w:r>
      <w:r w:rsidRPr="001A3D2B">
        <w:t xml:space="preserve"> Journals, Promotion, Relevance, Research, Research</w:t>
      </w:r>
      <w:r w:rsidR="005853A9">
        <w:t xml:space="preserve"> and </w:t>
      </w:r>
      <w:r w:rsidRPr="001A3D2B">
        <w:t xml:space="preserve">Training, Research Results, Scientific Journals, Training, Trend, </w:t>
      </w:r>
      <w:r w:rsidR="00D5664A">
        <w:t>USA</w:t>
      </w:r>
      <w:r w:rsidRPr="001A3D2B">
        <w:t>, World</w:t>
      </w:r>
    </w:p>
    <w:p w:rsidR="003474F2" w:rsidRPr="001A3D2B" w:rsidRDefault="003474F2" w:rsidP="003474F2">
      <w:pPr>
        <w:pStyle w:val="a3"/>
      </w:pPr>
      <w:r w:rsidRPr="001A3D2B">
        <w:t>Notes: TTopic</w:t>
      </w:r>
    </w:p>
    <w:p w:rsidR="003474F2" w:rsidRPr="001A3D2B" w:rsidRDefault="003474F2" w:rsidP="003474F2">
      <w:pPr>
        <w:pStyle w:val="a3"/>
        <w:rPr>
          <w:rStyle w:val="a4"/>
        </w:rPr>
      </w:pPr>
      <w:r w:rsidRPr="001A3D2B">
        <w:t>? Tov, A.B., Lubetzky, R., Mimouni, F.B., Alper, A.</w:t>
      </w:r>
      <w:r w:rsidR="005853A9">
        <w:t xml:space="preserve"> and </w:t>
      </w:r>
      <w:r w:rsidRPr="001A3D2B">
        <w:t>Mandel, D. (2007), Trends in neonatology</w:t>
      </w:r>
      <w:r w:rsidR="005853A9">
        <w:t xml:space="preserve"> and </w:t>
      </w:r>
      <w:r w:rsidRPr="001A3D2B">
        <w:t>pediatrics publications over</w:t>
      </w:r>
      <w:r w:rsidR="003A1917">
        <w:t xml:space="preserve"> the </w:t>
      </w:r>
      <w:r w:rsidRPr="001A3D2B">
        <w:t xml:space="preserve">past 12 years. </w:t>
      </w:r>
      <w:r w:rsidRPr="001A3D2B">
        <w:rPr>
          <w:i/>
        </w:rPr>
        <w:t>Acta Paediatrica</w:t>
      </w:r>
      <w:r w:rsidRPr="001A3D2B">
        <w:rPr>
          <w:rStyle w:val="a4"/>
        </w:rPr>
        <w:t xml:space="preserve">, </w:t>
      </w:r>
      <w:r w:rsidRPr="001A3D2B">
        <w:rPr>
          <w:b/>
          <w:bCs/>
        </w:rPr>
        <w:t>96</w:t>
      </w:r>
      <w:r w:rsidRPr="001A3D2B">
        <w:rPr>
          <w:rStyle w:val="a4"/>
        </w:rPr>
        <w:t xml:space="preserve"> (7), 1080-1082.</w:t>
      </w:r>
    </w:p>
    <w:p w:rsidR="003474F2" w:rsidRPr="001A3D2B" w:rsidRDefault="003474F2" w:rsidP="003474F2">
      <w:pPr>
        <w:pStyle w:val="a3"/>
      </w:pPr>
      <w:r w:rsidRPr="001A3D2B">
        <w:t xml:space="preserve">Full Text: </w:t>
      </w:r>
      <w:hyperlink r:id="rId176" w:history="1">
        <w:r w:rsidRPr="001A3D2B">
          <w:rPr>
            <w:rStyle w:val="a5"/>
          </w:rPr>
          <w:t>2007\Act Pae96, 1080.pdf</w:t>
        </w:r>
      </w:hyperlink>
    </w:p>
    <w:p w:rsidR="003474F2" w:rsidRPr="001A3D2B" w:rsidRDefault="003474F2" w:rsidP="003474F2">
      <w:pPr>
        <w:pStyle w:val="a3"/>
      </w:pPr>
      <w:r w:rsidRPr="001A3D2B">
        <w:t>Abstract: OBJECTIVE: To test</w:t>
      </w:r>
      <w:r w:rsidR="003A1917">
        <w:t xml:space="preserve"> the </w:t>
      </w:r>
      <w:r w:rsidRPr="001A3D2B">
        <w:t>hypothesis that</w:t>
      </w:r>
      <w:r w:rsidR="003A1917">
        <w:t xml:space="preserve"> the </w:t>
      </w:r>
      <w:r w:rsidRPr="001A3D2B">
        <w:t>number</w:t>
      </w:r>
      <w:r w:rsidR="00427468">
        <w:t xml:space="preserve"> of </w:t>
      </w:r>
      <w:r w:rsidRPr="001A3D2B">
        <w:t>publications in Neonatology</w:t>
      </w:r>
      <w:r w:rsidR="005853A9">
        <w:t xml:space="preserve"> and </w:t>
      </w:r>
      <w:r w:rsidRPr="001A3D2B">
        <w:t>Pediatrics increases over time,</w:t>
      </w:r>
      <w:r w:rsidR="005853A9">
        <w:t xml:space="preserve"> and </w:t>
      </w:r>
      <w:r w:rsidRPr="001A3D2B">
        <w:t>to verify whether</w:t>
      </w:r>
      <w:r w:rsidR="003A1917">
        <w:t xml:space="preserve"> the </w:t>
      </w:r>
      <w:r w:rsidRPr="001A3D2B">
        <w:t>categories</w:t>
      </w:r>
      <w:r w:rsidR="00427468">
        <w:t xml:space="preserve"> of </w:t>
      </w:r>
      <w:r w:rsidRPr="001A3D2B">
        <w:t>publications all follow</w:t>
      </w:r>
      <w:r w:rsidR="003A1917">
        <w:t xml:space="preserve"> the </w:t>
      </w:r>
      <w:r w:rsidRPr="001A3D2B">
        <w:t>same pattern over time. DESIGN</w:t>
      </w:r>
      <w:r w:rsidR="005853A9">
        <w:t xml:space="preserve"> and </w:t>
      </w:r>
      <w:r w:rsidRPr="001A3D2B">
        <w:t xml:space="preserve">SETTING: We evaluated all </w:t>
      </w:r>
      <w:r w:rsidR="00D5664A">
        <w:t>MEDLINE</w:t>
      </w:r>
      <w:r w:rsidRPr="001A3D2B">
        <w:t xml:space="preserve"> articles during 1994-2005. Search was limited to humans, English</w:t>
      </w:r>
      <w:r w:rsidR="005853A9">
        <w:t xml:space="preserve"> and </w:t>
      </w:r>
      <w:r w:rsidRPr="001A3D2B">
        <w:t xml:space="preserve">to </w:t>
      </w:r>
      <w:r w:rsidR="00700038">
        <w:t>‘</w:t>
      </w:r>
      <w:r w:rsidRPr="001A3D2B">
        <w:t>newborn</w:t>
      </w:r>
      <w:r w:rsidR="00700038">
        <w:t>’</w:t>
      </w:r>
      <w:r w:rsidRPr="001A3D2B">
        <w:t xml:space="preserve"> or </w:t>
      </w:r>
      <w:r w:rsidR="00700038">
        <w:t>‘</w:t>
      </w:r>
      <w:r w:rsidRPr="001A3D2B">
        <w:t>all-child</w:t>
      </w:r>
      <w:r w:rsidR="00700038">
        <w:t>’</w:t>
      </w:r>
      <w:r w:rsidRPr="001A3D2B">
        <w:t>. We used regression analysis to determine</w:t>
      </w:r>
      <w:r w:rsidR="003A1917">
        <w:t xml:space="preserve"> the </w:t>
      </w:r>
      <w:r w:rsidRPr="001A3D2B">
        <w:t>effect</w:t>
      </w:r>
      <w:r w:rsidR="00427468">
        <w:t xml:space="preserve"> of </w:t>
      </w:r>
      <w:r w:rsidRPr="001A3D2B">
        <w:t>year</w:t>
      </w:r>
      <w:r w:rsidR="00434900">
        <w:t>-of-</w:t>
      </w:r>
      <w:r w:rsidRPr="001A3D2B">
        <w:t>publication upon</w:t>
      </w:r>
      <w:r w:rsidR="003A1917">
        <w:t xml:space="preserve"> the </w:t>
      </w:r>
      <w:r w:rsidRPr="001A3D2B">
        <w:t>number</w:t>
      </w:r>
      <w:r w:rsidR="00434900">
        <w:t>-of-</w:t>
      </w:r>
      <w:r w:rsidRPr="001A3D2B">
        <w:t>publications</w:t>
      </w:r>
      <w:r w:rsidR="00427468">
        <w:t xml:space="preserve"> of </w:t>
      </w:r>
      <w:r w:rsidRPr="001A3D2B">
        <w:t xml:space="preserve">each type. RESULTS: </w:t>
      </w:r>
      <w:r w:rsidR="00D5664A">
        <w:t>MEDLINE</w:t>
      </w:r>
      <w:r w:rsidRPr="001A3D2B">
        <w:t xml:space="preserve"> reported 36,141 publications in Neonatology</w:t>
      </w:r>
      <w:r w:rsidR="005853A9">
        <w:t xml:space="preserve"> and </w:t>
      </w:r>
      <w:r w:rsidRPr="001A3D2B">
        <w:t>169,823 in Pediatrics during</w:t>
      </w:r>
      <w:r w:rsidR="003A1917">
        <w:t xml:space="preserve"> the </w:t>
      </w:r>
      <w:r w:rsidRPr="001A3D2B">
        <w:t>evaluation period</w:t>
      </w:r>
      <w:r w:rsidR="00A37C1D">
        <w:t>. The</w:t>
      </w:r>
      <w:r w:rsidRPr="001A3D2B">
        <w:t>re was a significant linear increase in</w:t>
      </w:r>
      <w:r w:rsidR="003A1917">
        <w:t xml:space="preserve"> the </w:t>
      </w:r>
      <w:r w:rsidRPr="001A3D2B">
        <w:t>number</w:t>
      </w:r>
      <w:r w:rsidR="00427468">
        <w:t xml:space="preserve"> of </w:t>
      </w:r>
      <w:r w:rsidRPr="001A3D2B">
        <w:t>publications in Neonatology</w:t>
      </w:r>
      <w:r w:rsidR="005853A9">
        <w:t xml:space="preserve"> and </w:t>
      </w:r>
      <w:r w:rsidRPr="001A3D2B">
        <w:t>Pediatrics</w:t>
      </w:r>
      <w:r w:rsidR="00A37C1D">
        <w:t>. The</w:t>
      </w:r>
      <w:r w:rsidRPr="001A3D2B">
        <w:t>re was a steady increase over time in Neonatology</w:t>
      </w:r>
      <w:r w:rsidR="005853A9">
        <w:t xml:space="preserve"> and </w:t>
      </w:r>
      <w:r w:rsidRPr="001A3D2B">
        <w:t>in Pediatrics in meta-analyses, reviews</w:t>
      </w:r>
      <w:r w:rsidR="005853A9">
        <w:t xml:space="preserve"> and </w:t>
      </w:r>
      <w:r w:rsidRPr="001A3D2B">
        <w:t>editorials</w:t>
      </w:r>
      <w:r w:rsidR="00A37C1D">
        <w:t>. The</w:t>
      </w:r>
      <w:r w:rsidRPr="001A3D2B">
        <w:t xml:space="preserve">re was a steady decrease over time in letters in Neonatology, but no significant change in letters in Pediatrics. While there was no significant change in clinical trials (CTs), randomized control trials (RCTs) in Neonatology, there was a significant </w:t>
      </w:r>
      <w:r w:rsidRPr="001A3D2B">
        <w:lastRenderedPageBreak/>
        <w:t>increase in CTs</w:t>
      </w:r>
      <w:r w:rsidR="005853A9">
        <w:t xml:space="preserve"> and </w:t>
      </w:r>
      <w:r w:rsidRPr="001A3D2B">
        <w:t>RCTs in Pediatrics. CONCLUSIONS:</w:t>
      </w:r>
      <w:r w:rsidR="003A1917">
        <w:t xml:space="preserve"> the </w:t>
      </w:r>
      <w:r w:rsidRPr="001A3D2B">
        <w:t>field</w:t>
      </w:r>
      <w:r w:rsidR="00427468">
        <w:t xml:space="preserve"> of </w:t>
      </w:r>
      <w:r w:rsidRPr="001A3D2B">
        <w:t>neonatology has not had a significant yearly increase</w:t>
      </w:r>
      <w:r w:rsidR="00427468">
        <w:t xml:space="preserve"> of </w:t>
      </w:r>
      <w:r w:rsidRPr="001A3D2B">
        <w:t>original studies, but has seen an increase</w:t>
      </w:r>
      <w:r w:rsidR="00427468">
        <w:t xml:space="preserve"> of </w:t>
      </w:r>
      <w:r w:rsidRPr="001A3D2B">
        <w:t>reviews, meta-analyses</w:t>
      </w:r>
      <w:r w:rsidR="005853A9">
        <w:t xml:space="preserve"> and </w:t>
      </w:r>
      <w:r w:rsidRPr="001A3D2B">
        <w:t>editorials. This contrasts with Pediatrics, which shows a similar increase in reviews, meta-analyses</w:t>
      </w:r>
      <w:r w:rsidR="005853A9">
        <w:t xml:space="preserve"> and </w:t>
      </w:r>
      <w:r w:rsidRPr="001A3D2B">
        <w:t>editorials, but also an increase in</w:t>
      </w:r>
      <w:r w:rsidR="003A1917">
        <w:t xml:space="preserve"> the </w:t>
      </w:r>
      <w:r w:rsidRPr="001A3D2B">
        <w:t>number</w:t>
      </w:r>
      <w:r w:rsidR="00427468">
        <w:t xml:space="preserve"> of </w:t>
      </w:r>
      <w:r w:rsidRPr="001A3D2B">
        <w:t>CTs</w:t>
      </w:r>
      <w:r w:rsidR="005853A9">
        <w:t xml:space="preserve"> and </w:t>
      </w:r>
      <w:r w:rsidRPr="001A3D2B">
        <w:t>RCTs</w:t>
      </w:r>
      <w:r w:rsidR="005853A9">
        <w:t xml:space="preserve"> and </w:t>
      </w:r>
      <w:r w:rsidRPr="001A3D2B">
        <w:t>guidelines.</w:t>
      </w:r>
    </w:p>
    <w:p w:rsidR="003474F2" w:rsidRPr="001A3D2B" w:rsidRDefault="003474F2" w:rsidP="003474F2">
      <w:pPr>
        <w:pStyle w:val="a3"/>
      </w:pPr>
      <w:r w:rsidRPr="001A3D2B">
        <w:t>Keywords: Analysis, Clinical, Clinical Trials, Control, Design, Evaluation, Field, Guidelines, Humans, Newborn, Pattern, Pediatrics, Publications, Randomized, Regression, Regression Analysis, Reviews</w:t>
      </w:r>
    </w:p>
    <w:p w:rsidR="005E3496" w:rsidRPr="00217FB1" w:rsidRDefault="005E3496" w:rsidP="005E3496">
      <w:pPr>
        <w:pStyle w:val="1"/>
      </w:pPr>
      <w:r>
        <w:br w:type="page"/>
      </w:r>
      <w:bookmarkStart w:id="87" w:name="_Toc420814280"/>
      <w:r>
        <w:lastRenderedPageBreak/>
        <w:t xml:space="preserve">Title: </w:t>
      </w:r>
      <w:r w:rsidRPr="005E3496">
        <w:rPr>
          <w:iCs w:val="0"/>
        </w:rPr>
        <w:t>Acta Paulista de Enfermagem</w:t>
      </w:r>
      <w:bookmarkEnd w:id="87"/>
    </w:p>
    <w:p w:rsidR="005E3496" w:rsidRPr="00217FB1" w:rsidRDefault="005E3496" w:rsidP="005E3496">
      <w:pPr>
        <w:pStyle w:val="12"/>
      </w:pPr>
      <w:r w:rsidRPr="00217FB1">
        <w:t xml:space="preserve">Full Journal Title: </w:t>
      </w:r>
      <w:hyperlink r:id="rId177" w:history="1">
        <w:r w:rsidRPr="00E11B22">
          <w:rPr>
            <w:rStyle w:val="a5"/>
            <w:iCs/>
            <w:kern w:val="0"/>
          </w:rPr>
          <w:t>Acta Paulista de Enfermagem</w:t>
        </w:r>
      </w:hyperlink>
    </w:p>
    <w:p w:rsidR="005E3496" w:rsidRPr="00217FB1" w:rsidRDefault="005E3496" w:rsidP="005E3496">
      <w:pPr>
        <w:pStyle w:val="12"/>
      </w:pPr>
      <w:r w:rsidRPr="00217FB1">
        <w:t xml:space="preserve">ISO Abbreviated Title: </w:t>
      </w:r>
    </w:p>
    <w:p w:rsidR="005E3496" w:rsidRPr="00217FB1" w:rsidRDefault="005E3496" w:rsidP="005E3496">
      <w:pPr>
        <w:pStyle w:val="12"/>
      </w:pPr>
      <w:r w:rsidRPr="00217FB1">
        <w:t>JCR Abbreviated Title</w:t>
      </w:r>
      <w:r>
        <w:t>:</w:t>
      </w:r>
      <w:r w:rsidRPr="00217FB1">
        <w:t xml:space="preserve"> </w:t>
      </w:r>
    </w:p>
    <w:p w:rsidR="005E3496" w:rsidRPr="00217FB1" w:rsidRDefault="005E3496" w:rsidP="005E3496">
      <w:pPr>
        <w:pStyle w:val="12"/>
      </w:pPr>
      <w:r>
        <w:t xml:space="preserve">ISSN: </w:t>
      </w:r>
    </w:p>
    <w:p w:rsidR="005E3496" w:rsidRPr="00217FB1" w:rsidRDefault="005E3496" w:rsidP="005E3496">
      <w:pPr>
        <w:pStyle w:val="12"/>
      </w:pPr>
      <w:r w:rsidRPr="00217FB1">
        <w:t xml:space="preserve">Issues/Year: </w:t>
      </w:r>
    </w:p>
    <w:p w:rsidR="005E3496" w:rsidRPr="00217FB1" w:rsidRDefault="005E3496" w:rsidP="005E3496">
      <w:pPr>
        <w:pStyle w:val="12"/>
      </w:pPr>
      <w:r>
        <w:t xml:space="preserve">Journal Country/Territory: </w:t>
      </w:r>
    </w:p>
    <w:p w:rsidR="005E3496" w:rsidRPr="00217FB1" w:rsidRDefault="005E3496" w:rsidP="005E3496">
      <w:pPr>
        <w:pStyle w:val="12"/>
      </w:pPr>
      <w:r w:rsidRPr="00217FB1">
        <w:t xml:space="preserve">Language: </w:t>
      </w:r>
    </w:p>
    <w:p w:rsidR="005E3496" w:rsidRPr="00217FB1" w:rsidRDefault="005E3496" w:rsidP="005E3496">
      <w:pPr>
        <w:pStyle w:val="12"/>
      </w:pPr>
      <w:r w:rsidRPr="00217FB1">
        <w:t xml:space="preserve">Publisher: </w:t>
      </w:r>
    </w:p>
    <w:p w:rsidR="005E3496" w:rsidRPr="00217FB1" w:rsidRDefault="005E3496" w:rsidP="005E3496">
      <w:pPr>
        <w:pStyle w:val="12"/>
      </w:pPr>
      <w:r w:rsidRPr="00217FB1">
        <w:t xml:space="preserve">Publisher Address: </w:t>
      </w:r>
    </w:p>
    <w:p w:rsidR="005E3496" w:rsidRPr="00217FB1" w:rsidRDefault="005E3496" w:rsidP="005E3496">
      <w:pPr>
        <w:pStyle w:val="12"/>
      </w:pPr>
      <w:r w:rsidRPr="00217FB1">
        <w:t>Subject Categories:</w:t>
      </w:r>
    </w:p>
    <w:p w:rsidR="005E3496" w:rsidRPr="00217FB1" w:rsidRDefault="005E3496" w:rsidP="005E3496">
      <w:pPr>
        <w:pStyle w:val="12"/>
      </w:pPr>
      <w:r w:rsidRPr="00217FB1">
        <w:t xml:space="preserve">: Impact Factor </w:t>
      </w:r>
    </w:p>
    <w:p w:rsidR="00B87940" w:rsidRDefault="00B87940" w:rsidP="00B87940">
      <w:pPr>
        <w:pStyle w:val="a3"/>
        <w:rPr>
          <w:kern w:val="0"/>
        </w:rPr>
      </w:pPr>
      <w:r>
        <w:rPr>
          <w:rFonts w:hint="eastAsia"/>
          <w:kern w:val="0"/>
        </w:rPr>
        <w:t xml:space="preserve">? </w:t>
      </w:r>
      <w:r w:rsidRPr="00A706E0">
        <w:rPr>
          <w:kern w:val="0"/>
        </w:rPr>
        <w:t>das Merc</w:t>
      </w:r>
      <w:r>
        <w:rPr>
          <w:kern w:val="0"/>
        </w:rPr>
        <w:t>ê</w:t>
      </w:r>
      <w:r w:rsidRPr="00A706E0">
        <w:rPr>
          <w:kern w:val="0"/>
        </w:rPr>
        <w:t>s, N</w:t>
      </w:r>
      <w:r>
        <w:rPr>
          <w:rFonts w:hint="eastAsia"/>
          <w:kern w:val="0"/>
        </w:rPr>
        <w:t>.</w:t>
      </w:r>
      <w:r w:rsidRPr="00A706E0">
        <w:rPr>
          <w:kern w:val="0"/>
        </w:rPr>
        <w:t>N</w:t>
      </w:r>
      <w:r>
        <w:rPr>
          <w:rFonts w:hint="eastAsia"/>
          <w:kern w:val="0"/>
        </w:rPr>
        <w:t>.</w:t>
      </w:r>
      <w:r w:rsidRPr="00A706E0">
        <w:rPr>
          <w:kern w:val="0"/>
        </w:rPr>
        <w:t>A</w:t>
      </w:r>
      <w:r>
        <w:rPr>
          <w:rFonts w:hint="eastAsia"/>
          <w:kern w:val="0"/>
        </w:rPr>
        <w:t>.</w:t>
      </w:r>
      <w:r w:rsidR="005853A9">
        <w:rPr>
          <w:rFonts w:hint="eastAsia"/>
          <w:kern w:val="0"/>
        </w:rPr>
        <w:t xml:space="preserve"> and </w:t>
      </w:r>
      <w:r w:rsidRPr="00A706E0">
        <w:rPr>
          <w:kern w:val="0"/>
        </w:rPr>
        <w:t>Erdman, A</w:t>
      </w:r>
      <w:r>
        <w:rPr>
          <w:rFonts w:hint="eastAsia"/>
          <w:kern w:val="0"/>
        </w:rPr>
        <w:t>.</w:t>
      </w:r>
      <w:r w:rsidRPr="00A706E0">
        <w:rPr>
          <w:kern w:val="0"/>
        </w:rPr>
        <w:t>L</w:t>
      </w:r>
      <w:r>
        <w:rPr>
          <w:rFonts w:hint="eastAsia"/>
          <w:kern w:val="0"/>
        </w:rPr>
        <w:t>.</w:t>
      </w:r>
      <w:r>
        <w:rPr>
          <w:kern w:val="0"/>
        </w:rPr>
        <w:t xml:space="preserve"> (201</w:t>
      </w:r>
      <w:r>
        <w:rPr>
          <w:rFonts w:hint="eastAsia"/>
          <w:kern w:val="0"/>
        </w:rPr>
        <w:t>0</w:t>
      </w:r>
      <w:r>
        <w:rPr>
          <w:kern w:val="0"/>
        </w:rPr>
        <w:t xml:space="preserve">), </w:t>
      </w:r>
      <w:r w:rsidRPr="00A706E0">
        <w:rPr>
          <w:kern w:val="0"/>
        </w:rPr>
        <w:t>Nursing</w:t>
      </w:r>
      <w:r w:rsidR="005853A9">
        <w:rPr>
          <w:kern w:val="0"/>
        </w:rPr>
        <w:t xml:space="preserve"> and </w:t>
      </w:r>
      <w:r w:rsidRPr="00A706E0">
        <w:rPr>
          <w:kern w:val="0"/>
        </w:rPr>
        <w:t>hematopoietic stem cell transplantation: Scientific production from 1997 to 2007</w:t>
      </w:r>
      <w:r>
        <w:rPr>
          <w:kern w:val="0"/>
        </w:rPr>
        <w:t xml:space="preserve">. </w:t>
      </w:r>
      <w:r w:rsidRPr="005E3496">
        <w:rPr>
          <w:i/>
          <w:iCs/>
          <w:kern w:val="0"/>
        </w:rPr>
        <w:t>Acta Paulista de Enfermagem</w:t>
      </w:r>
      <w:r>
        <w:rPr>
          <w:kern w:val="0"/>
        </w:rPr>
        <w:t xml:space="preserve">, </w:t>
      </w:r>
      <w:r>
        <w:rPr>
          <w:b/>
          <w:bCs/>
          <w:kern w:val="0"/>
        </w:rPr>
        <w:t>2</w:t>
      </w:r>
      <w:r>
        <w:rPr>
          <w:rFonts w:hint="eastAsia"/>
          <w:b/>
          <w:bCs/>
          <w:kern w:val="0"/>
        </w:rPr>
        <w:t>3</w:t>
      </w:r>
      <w:r>
        <w:rPr>
          <w:kern w:val="0"/>
        </w:rPr>
        <w:t xml:space="preserve"> (</w:t>
      </w:r>
      <w:r>
        <w:rPr>
          <w:rFonts w:hint="eastAsia"/>
          <w:kern w:val="0"/>
        </w:rPr>
        <w:t>2</w:t>
      </w:r>
      <w:r>
        <w:rPr>
          <w:kern w:val="0"/>
        </w:rPr>
        <w:t xml:space="preserve">), </w:t>
      </w:r>
      <w:r w:rsidRPr="00A706E0">
        <w:rPr>
          <w:kern w:val="0"/>
        </w:rPr>
        <w:t>271-277</w:t>
      </w:r>
      <w:r>
        <w:rPr>
          <w:kern w:val="0"/>
        </w:rPr>
        <w:t>.</w:t>
      </w:r>
    </w:p>
    <w:p w:rsidR="00B87940" w:rsidRDefault="00B87940" w:rsidP="00B87940">
      <w:pPr>
        <w:pStyle w:val="a3"/>
        <w:rPr>
          <w:kern w:val="0"/>
        </w:rPr>
      </w:pPr>
      <w:r>
        <w:rPr>
          <w:rFonts w:hint="eastAsia"/>
          <w:kern w:val="0"/>
        </w:rPr>
        <w:t xml:space="preserve">Full Text: </w:t>
      </w:r>
      <w:hyperlink r:id="rId178" w:history="1">
        <w:r w:rsidRPr="00A706E0">
          <w:rPr>
            <w:rStyle w:val="a5"/>
            <w:kern w:val="0"/>
          </w:rPr>
          <w:t>2010\Act Pau Enf23, 271.pdf</w:t>
        </w:r>
      </w:hyperlink>
    </w:p>
    <w:p w:rsidR="00B87940" w:rsidRPr="00A706E0" w:rsidRDefault="00B87940" w:rsidP="00B87940">
      <w:pPr>
        <w:pStyle w:val="a3"/>
        <w:rPr>
          <w:kern w:val="0"/>
        </w:rPr>
      </w:pPr>
      <w:r w:rsidRPr="00A706E0">
        <w:rPr>
          <w:kern w:val="0"/>
        </w:rPr>
        <w:t>Abstract: Objective: To identify the existing nursing publications in the period 1997 to 2007 relating to the topic</w:t>
      </w:r>
      <w:r w:rsidR="00427468">
        <w:rPr>
          <w:kern w:val="0"/>
        </w:rPr>
        <w:t xml:space="preserve"> of </w:t>
      </w:r>
      <w:r w:rsidRPr="00A706E0">
        <w:rPr>
          <w:kern w:val="0"/>
        </w:rPr>
        <w:t>bone marrow transplantation</w:t>
      </w:r>
      <w:r w:rsidR="005853A9">
        <w:rPr>
          <w:kern w:val="0"/>
        </w:rPr>
        <w:t xml:space="preserve"> and </w:t>
      </w:r>
      <w:r w:rsidRPr="00A706E0">
        <w:rPr>
          <w:kern w:val="0"/>
        </w:rPr>
        <w:t>its main characteristics. Methods: Bibliometric study</w:t>
      </w:r>
      <w:r w:rsidR="00427468">
        <w:rPr>
          <w:kern w:val="0"/>
        </w:rPr>
        <w:t xml:space="preserve"> of </w:t>
      </w:r>
      <w:r w:rsidRPr="00A706E0">
        <w:rPr>
          <w:kern w:val="0"/>
        </w:rPr>
        <w:t>scientific productions indexed on the following data bases: BDENE LILACS, SciElo, CEPEn</w:t>
      </w:r>
      <w:r w:rsidR="005853A9">
        <w:rPr>
          <w:kern w:val="0"/>
        </w:rPr>
        <w:t xml:space="preserve"> and </w:t>
      </w:r>
      <w:r w:rsidRPr="00A706E0">
        <w:rPr>
          <w:kern w:val="0"/>
        </w:rPr>
        <w:t>CAPES</w:t>
      </w:r>
      <w:r w:rsidR="00700038">
        <w:rPr>
          <w:kern w:val="0"/>
        </w:rPr>
        <w:t>’</w:t>
      </w:r>
      <w:r w:rsidRPr="00A706E0">
        <w:rPr>
          <w:kern w:val="0"/>
        </w:rPr>
        <w:t>s theses</w:t>
      </w:r>
      <w:r w:rsidR="005853A9">
        <w:rPr>
          <w:kern w:val="0"/>
        </w:rPr>
        <w:t xml:space="preserve"> and </w:t>
      </w:r>
      <w:r w:rsidRPr="00A706E0">
        <w:rPr>
          <w:kern w:val="0"/>
        </w:rPr>
        <w:t>dissertations data bank, using the key words: nursing</w:t>
      </w:r>
      <w:r w:rsidR="005853A9">
        <w:rPr>
          <w:kern w:val="0"/>
        </w:rPr>
        <w:t xml:space="preserve"> and </w:t>
      </w:r>
      <w:r w:rsidRPr="00A706E0">
        <w:rPr>
          <w:kern w:val="0"/>
        </w:rPr>
        <w:t>bone marrow transplantation, in the period from 1997 to 2007. Results: Were included 37 papers nationwide, including 17 dissertations, 2 theses</w:t>
      </w:r>
      <w:r w:rsidR="005853A9">
        <w:rPr>
          <w:kern w:val="0"/>
        </w:rPr>
        <w:t xml:space="preserve"> and </w:t>
      </w:r>
      <w:r w:rsidRPr="00A706E0">
        <w:rPr>
          <w:kern w:val="0"/>
        </w:rPr>
        <w:t>18 articles, published in Brazilian magazines, related to nursing care, organization</w:t>
      </w:r>
      <w:r w:rsidR="005853A9">
        <w:rPr>
          <w:kern w:val="0"/>
        </w:rPr>
        <w:t xml:space="preserve"> and </w:t>
      </w:r>
      <w:r w:rsidRPr="00A706E0">
        <w:rPr>
          <w:kern w:val="0"/>
        </w:rPr>
        <w:t>administration</w:t>
      </w:r>
      <w:r w:rsidR="00427468">
        <w:rPr>
          <w:kern w:val="0"/>
        </w:rPr>
        <w:t xml:space="preserve"> of </w:t>
      </w:r>
      <w:r w:rsidRPr="00A706E0">
        <w:rPr>
          <w:kern w:val="0"/>
        </w:rPr>
        <w:t>bone marrow transplantation services, quality</w:t>
      </w:r>
      <w:r w:rsidR="00427468">
        <w:rPr>
          <w:kern w:val="0"/>
        </w:rPr>
        <w:t xml:space="preserve"> of </w:t>
      </w:r>
      <w:r w:rsidRPr="00A706E0">
        <w:rPr>
          <w:kern w:val="0"/>
        </w:rPr>
        <w:t>life, psychological suffering</w:t>
      </w:r>
      <w:r w:rsidR="005853A9">
        <w:rPr>
          <w:kern w:val="0"/>
        </w:rPr>
        <w:t xml:space="preserve"> and </w:t>
      </w:r>
      <w:r w:rsidRPr="00A706E0">
        <w:rPr>
          <w:kern w:val="0"/>
        </w:rPr>
        <w:t>knowledge production. Conclusions: The scientific production, even if quantitatively small, is increasing</w:t>
      </w:r>
      <w:r w:rsidR="005853A9">
        <w:rPr>
          <w:kern w:val="0"/>
        </w:rPr>
        <w:t xml:space="preserve"> and </w:t>
      </w:r>
      <w:r w:rsidRPr="00A706E0">
        <w:rPr>
          <w:kern w:val="0"/>
        </w:rPr>
        <w:t>it is based on theories, concepts</w:t>
      </w:r>
      <w:r w:rsidR="005853A9">
        <w:rPr>
          <w:kern w:val="0"/>
        </w:rPr>
        <w:t xml:space="preserve"> and </w:t>
      </w:r>
      <w:r w:rsidRPr="00A706E0">
        <w:rPr>
          <w:kern w:val="0"/>
        </w:rPr>
        <w:t>methods, pri</w:t>
      </w:r>
      <w:r>
        <w:rPr>
          <w:kern w:val="0"/>
        </w:rPr>
        <w:t>marily qualitatively oriented.</w:t>
      </w:r>
    </w:p>
    <w:p w:rsidR="00B87940" w:rsidRDefault="00B87940" w:rsidP="00B87940">
      <w:pPr>
        <w:pStyle w:val="a3"/>
        <w:rPr>
          <w:kern w:val="0"/>
        </w:rPr>
      </w:pPr>
      <w:r w:rsidRPr="00A706E0">
        <w:rPr>
          <w:kern w:val="0"/>
        </w:rPr>
        <w:t>Keywords: Bone Marrow Transplantation</w:t>
      </w:r>
      <w:r>
        <w:rPr>
          <w:kern w:val="0"/>
        </w:rPr>
        <w:t>,</w:t>
      </w:r>
      <w:r w:rsidRPr="00A706E0">
        <w:rPr>
          <w:kern w:val="0"/>
        </w:rPr>
        <w:t xml:space="preserve"> Nursing Research</w:t>
      </w:r>
      <w:r>
        <w:rPr>
          <w:kern w:val="0"/>
        </w:rPr>
        <w:t>,</w:t>
      </w:r>
      <w:r w:rsidRPr="00A706E0">
        <w:rPr>
          <w:kern w:val="0"/>
        </w:rPr>
        <w:t xml:space="preserve"> Scientifi</w:t>
      </w:r>
      <w:r>
        <w:rPr>
          <w:kern w:val="0"/>
        </w:rPr>
        <w:t>c</w:t>
      </w:r>
      <w:r w:rsidR="005853A9">
        <w:rPr>
          <w:kern w:val="0"/>
        </w:rPr>
        <w:t xml:space="preserve"> and </w:t>
      </w:r>
      <w:r>
        <w:rPr>
          <w:kern w:val="0"/>
        </w:rPr>
        <w:t>Technical Publications</w:t>
      </w:r>
    </w:p>
    <w:p w:rsidR="005E3496" w:rsidRDefault="005E3496" w:rsidP="005E3496">
      <w:pPr>
        <w:pStyle w:val="a3"/>
        <w:rPr>
          <w:kern w:val="0"/>
        </w:rPr>
      </w:pPr>
      <w:r>
        <w:rPr>
          <w:rFonts w:hint="eastAsia"/>
          <w:kern w:val="0"/>
        </w:rPr>
        <w:t xml:space="preserve">? </w:t>
      </w:r>
      <w:r>
        <w:rPr>
          <w:kern w:val="0"/>
        </w:rPr>
        <w:t>Fumincelli, L.F., Mazzo, A., da Silva, A.D.T., Pereira, B.J.D.</w:t>
      </w:r>
      <w:r w:rsidR="005853A9">
        <w:rPr>
          <w:kern w:val="0"/>
        </w:rPr>
        <w:t xml:space="preserve"> and </w:t>
      </w:r>
      <w:r>
        <w:rPr>
          <w:kern w:val="0"/>
        </w:rPr>
        <w:t xml:space="preserve">Mendes, I.A.C. (2011), Scientific literature on urinary elimination in Brazilian nursing journals. </w:t>
      </w:r>
      <w:r w:rsidRPr="005E3496">
        <w:rPr>
          <w:i/>
          <w:iCs/>
          <w:kern w:val="0"/>
        </w:rPr>
        <w:t>Acta Paulista de Enfermagem</w:t>
      </w:r>
      <w:r>
        <w:rPr>
          <w:kern w:val="0"/>
        </w:rPr>
        <w:t xml:space="preserve">, </w:t>
      </w:r>
      <w:r>
        <w:rPr>
          <w:b/>
          <w:bCs/>
          <w:kern w:val="0"/>
        </w:rPr>
        <w:t>24</w:t>
      </w:r>
      <w:r>
        <w:rPr>
          <w:kern w:val="0"/>
        </w:rPr>
        <w:t xml:space="preserve"> (1), 127-131.</w:t>
      </w:r>
    </w:p>
    <w:p w:rsidR="005E3496" w:rsidRDefault="005E3496" w:rsidP="005E3496">
      <w:pPr>
        <w:pStyle w:val="a3"/>
        <w:rPr>
          <w:kern w:val="0"/>
        </w:rPr>
      </w:pPr>
      <w:r>
        <w:rPr>
          <w:rFonts w:hint="eastAsia"/>
          <w:kern w:val="0"/>
        </w:rPr>
        <w:t xml:space="preserve">Full Text: </w:t>
      </w:r>
      <w:hyperlink r:id="rId179" w:history="1">
        <w:r w:rsidRPr="005E3496">
          <w:rPr>
            <w:rStyle w:val="a5"/>
            <w:kern w:val="0"/>
          </w:rPr>
          <w:t>2011\Act Pau Enf24, 127.pdf</w:t>
        </w:r>
      </w:hyperlink>
    </w:p>
    <w:p w:rsidR="005E3496" w:rsidRDefault="005E3496" w:rsidP="005E3496">
      <w:pPr>
        <w:pStyle w:val="a3"/>
        <w:rPr>
          <w:kern w:val="0"/>
        </w:rPr>
      </w:pPr>
      <w:r>
        <w:rPr>
          <w:kern w:val="0"/>
        </w:rPr>
        <w:t>Abstract: Objective: To assess</w:t>
      </w:r>
      <w:r w:rsidR="003A1917">
        <w:rPr>
          <w:kern w:val="0"/>
        </w:rPr>
        <w:t xml:space="preserve"> the </w:t>
      </w:r>
      <w:r>
        <w:rPr>
          <w:kern w:val="0"/>
        </w:rPr>
        <w:t>scientific literature on urinary elimination in nursing journals published in Brazil. Methods: An integrative literature review was used to review</w:t>
      </w:r>
      <w:r w:rsidR="003A1917">
        <w:rPr>
          <w:kern w:val="0"/>
        </w:rPr>
        <w:t xml:space="preserve"> the </w:t>
      </w:r>
      <w:r>
        <w:rPr>
          <w:kern w:val="0"/>
        </w:rPr>
        <w:t xml:space="preserve">databases </w:t>
      </w:r>
      <w:r w:rsidR="00D5664A">
        <w:rPr>
          <w:kern w:val="0"/>
        </w:rPr>
        <w:t>MEDLINE</w:t>
      </w:r>
      <w:r>
        <w:rPr>
          <w:kern w:val="0"/>
        </w:rPr>
        <w:t>, LILACS</w:t>
      </w:r>
      <w:r w:rsidR="005853A9">
        <w:rPr>
          <w:kern w:val="0"/>
        </w:rPr>
        <w:t xml:space="preserve"> and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authors used 30 descriptors to search for articles published between</w:t>
      </w:r>
      <w:r w:rsidR="003A1917">
        <w:rPr>
          <w:kern w:val="0"/>
        </w:rPr>
        <w:t xml:space="preserve"> the </w:t>
      </w:r>
      <w:r>
        <w:rPr>
          <w:kern w:val="0"/>
        </w:rPr>
        <w:t xml:space="preserve">years 1999 to 2009, resulting </w:t>
      </w:r>
      <w:r>
        <w:rPr>
          <w:kern w:val="0"/>
        </w:rPr>
        <w:lastRenderedPageBreak/>
        <w:t>in a total</w:t>
      </w:r>
      <w:r w:rsidR="00427468">
        <w:rPr>
          <w:kern w:val="0"/>
        </w:rPr>
        <w:t xml:space="preserve"> of </w:t>
      </w:r>
      <w:r>
        <w:rPr>
          <w:kern w:val="0"/>
        </w:rPr>
        <w:t>18 articles that met criteria</w:t>
      </w:r>
      <w:r w:rsidR="005853A9">
        <w:rPr>
          <w:kern w:val="0"/>
        </w:rPr>
        <w:t xml:space="preserve"> and </w:t>
      </w:r>
      <w:r>
        <w:rPr>
          <w:kern w:val="0"/>
        </w:rPr>
        <w:t>which were published by nurses</w:t>
      </w:r>
      <w:r w:rsidR="00A37C1D">
        <w:rPr>
          <w:kern w:val="0"/>
        </w:rPr>
        <w:t>. The</w:t>
      </w:r>
      <w:r w:rsidR="003A1917">
        <w:rPr>
          <w:kern w:val="0"/>
        </w:rPr>
        <w:t xml:space="preserve"> </w:t>
      </w:r>
      <w:r>
        <w:rPr>
          <w:kern w:val="0"/>
        </w:rPr>
        <w:t>papers were analyzed using a data collection instrument to identify journal name, year</w:t>
      </w:r>
      <w:r w:rsidR="00427468">
        <w:rPr>
          <w:kern w:val="0"/>
        </w:rPr>
        <w:t xml:space="preserve"> of </w:t>
      </w:r>
      <w:r>
        <w:rPr>
          <w:kern w:val="0"/>
        </w:rPr>
        <w:t>publication, type</w:t>
      </w:r>
      <w:r w:rsidR="00427468">
        <w:rPr>
          <w:kern w:val="0"/>
        </w:rPr>
        <w:t xml:space="preserve"> of </w:t>
      </w:r>
      <w:r>
        <w:rPr>
          <w:kern w:val="0"/>
        </w:rPr>
        <w:t>study, subject matter,</w:t>
      </w:r>
      <w:r w:rsidR="005853A9">
        <w:rPr>
          <w:kern w:val="0"/>
        </w:rPr>
        <w:t xml:space="preserve"> and </w:t>
      </w:r>
      <w:r>
        <w:rPr>
          <w:kern w:val="0"/>
        </w:rPr>
        <w:t>level</w:t>
      </w:r>
      <w:r w:rsidR="00427468">
        <w:rPr>
          <w:kern w:val="0"/>
        </w:rPr>
        <w:t xml:space="preserve"> of </w:t>
      </w:r>
      <w:r>
        <w:rPr>
          <w:kern w:val="0"/>
        </w:rPr>
        <w:t>evidence. Results: Eighteen studies were classified as Level</w:t>
      </w:r>
      <w:r w:rsidR="00427468">
        <w:rPr>
          <w:kern w:val="0"/>
        </w:rPr>
        <w:t xml:space="preserve"> of </w:t>
      </w:r>
      <w:r>
        <w:rPr>
          <w:kern w:val="0"/>
        </w:rPr>
        <w:t>Evidence IV; urinary incontinence was</w:t>
      </w:r>
      <w:r w:rsidR="003A1917">
        <w:rPr>
          <w:kern w:val="0"/>
        </w:rPr>
        <w:t xml:space="preserve"> the </w:t>
      </w:r>
      <w:r>
        <w:rPr>
          <w:kern w:val="0"/>
        </w:rPr>
        <w:t>most frequent theme in</w:t>
      </w:r>
      <w:r w:rsidR="003A1917">
        <w:rPr>
          <w:kern w:val="0"/>
        </w:rPr>
        <w:t xml:space="preserve"> the </w:t>
      </w:r>
      <w:r>
        <w:rPr>
          <w:kern w:val="0"/>
        </w:rPr>
        <w:t>articles analyzed. Conclusion: While</w:t>
      </w:r>
      <w:r w:rsidR="003A1917">
        <w:rPr>
          <w:kern w:val="0"/>
        </w:rPr>
        <w:t xml:space="preserve"> the </w:t>
      </w:r>
      <w:r>
        <w:rPr>
          <w:kern w:val="0"/>
        </w:rPr>
        <w:t>clinical practice</w:t>
      </w:r>
      <w:r w:rsidR="00427468">
        <w:rPr>
          <w:kern w:val="0"/>
        </w:rPr>
        <w:t xml:space="preserve"> of </w:t>
      </w:r>
      <w:r>
        <w:rPr>
          <w:kern w:val="0"/>
        </w:rPr>
        <w:t>nurses was integrated into articles addressing changes in urinary elimination, we found that this topic was narrowly defined, studies used lower level research designs,</w:t>
      </w:r>
      <w:r w:rsidR="005853A9">
        <w:rPr>
          <w:kern w:val="0"/>
        </w:rPr>
        <w:t xml:space="preserve"> and </w:t>
      </w:r>
      <w:r>
        <w:rPr>
          <w:kern w:val="0"/>
        </w:rPr>
        <w:t>it was noted that few authors published on</w:t>
      </w:r>
      <w:r w:rsidR="003A1917">
        <w:rPr>
          <w:kern w:val="0"/>
        </w:rPr>
        <w:t xml:space="preserve"> the </w:t>
      </w:r>
      <w:r>
        <w:rPr>
          <w:kern w:val="0"/>
        </w:rPr>
        <w:t>topic. All</w:t>
      </w:r>
      <w:r w:rsidR="00427468">
        <w:rPr>
          <w:kern w:val="0"/>
        </w:rPr>
        <w:t xml:space="preserve"> of </w:t>
      </w:r>
      <w:r>
        <w:rPr>
          <w:kern w:val="0"/>
        </w:rPr>
        <w:t>these findings indicate</w:t>
      </w:r>
      <w:r w:rsidR="003A1917">
        <w:rPr>
          <w:kern w:val="0"/>
        </w:rPr>
        <w:t xml:space="preserve"> the </w:t>
      </w:r>
      <w:r>
        <w:rPr>
          <w:kern w:val="0"/>
        </w:rPr>
        <w:t>importance</w:t>
      </w:r>
      <w:r w:rsidR="00427468">
        <w:rPr>
          <w:kern w:val="0"/>
        </w:rPr>
        <w:t xml:space="preserve"> of </w:t>
      </w:r>
      <w:r>
        <w:rPr>
          <w:kern w:val="0"/>
        </w:rPr>
        <w:t>greater investment in nursing research in this area</w:t>
      </w:r>
      <w:r w:rsidR="00427468">
        <w:rPr>
          <w:kern w:val="0"/>
        </w:rPr>
        <w:t xml:space="preserve"> of </w:t>
      </w:r>
      <w:r>
        <w:rPr>
          <w:kern w:val="0"/>
        </w:rPr>
        <w:t>nursing knowledge</w:t>
      </w:r>
      <w:r w:rsidR="005853A9">
        <w:rPr>
          <w:kern w:val="0"/>
        </w:rPr>
        <w:t xml:space="preserve"> and </w:t>
      </w:r>
      <w:r>
        <w:rPr>
          <w:kern w:val="0"/>
        </w:rPr>
        <w:t>practice.</w:t>
      </w:r>
    </w:p>
    <w:p w:rsidR="005E3496" w:rsidRDefault="005E3496" w:rsidP="005E3496">
      <w:pPr>
        <w:pStyle w:val="a3"/>
        <w:rPr>
          <w:kern w:val="0"/>
        </w:rPr>
      </w:pPr>
      <w:r>
        <w:rPr>
          <w:kern w:val="0"/>
        </w:rPr>
        <w:t xml:space="preserve">Keywords: Authors, Brazil, Data Collection, Databases, Incontinence, Journal, Journals, Knowledge, Literature, Literature Review, </w:t>
      </w:r>
      <w:r w:rsidR="00D5664A">
        <w:rPr>
          <w:kern w:val="0"/>
        </w:rPr>
        <w:t>MEDLINE</w:t>
      </w:r>
      <w:r>
        <w:rPr>
          <w:kern w:val="0"/>
        </w:rPr>
        <w:t>, Methods, Nurses, Nursing, Nursing Journals, Papers, Practice, Publication, Quality</w:t>
      </w:r>
      <w:r w:rsidR="00434900">
        <w:rPr>
          <w:kern w:val="0"/>
        </w:rPr>
        <w:t>-of-</w:t>
      </w:r>
      <w:r>
        <w:rPr>
          <w:kern w:val="0"/>
        </w:rPr>
        <w:t>Life, Research, Review, Review Literature, Science, Scientific</w:t>
      </w:r>
      <w:r w:rsidR="005853A9">
        <w:rPr>
          <w:kern w:val="0"/>
        </w:rPr>
        <w:t xml:space="preserve"> and </w:t>
      </w:r>
      <w:r>
        <w:rPr>
          <w:kern w:val="0"/>
        </w:rPr>
        <w:t xml:space="preserve">Technical Publications, Urinary Tract Physiological Phenomena, </w:t>
      </w:r>
      <w:r w:rsidR="00D5664A">
        <w:rPr>
          <w:kern w:val="0"/>
        </w:rPr>
        <w:t>Web</w:t>
      </w:r>
      <w:r w:rsidR="00427468">
        <w:rPr>
          <w:kern w:val="0"/>
        </w:rPr>
        <w:t xml:space="preserve"> of </w:t>
      </w:r>
      <w:r w:rsidR="00D5664A">
        <w:rPr>
          <w:kern w:val="0"/>
        </w:rPr>
        <w:t>Science</w:t>
      </w:r>
      <w:r>
        <w:rPr>
          <w:kern w:val="0"/>
        </w:rPr>
        <w:t>, Women</w:t>
      </w:r>
    </w:p>
    <w:p w:rsidR="00E11B22" w:rsidRDefault="00E11B22" w:rsidP="00E11B22">
      <w:pPr>
        <w:pStyle w:val="a3"/>
        <w:rPr>
          <w:kern w:val="0"/>
        </w:rPr>
      </w:pPr>
      <w:r>
        <w:rPr>
          <w:rFonts w:hint="eastAsia"/>
          <w:kern w:val="0"/>
        </w:rPr>
        <w:t xml:space="preserve">? </w:t>
      </w:r>
      <w:r>
        <w:rPr>
          <w:kern w:val="0"/>
        </w:rPr>
        <w:t>Ribeiro, R.P., Ribeiro, P.H.V., Marziale, M.H.P., Martins, M.B.</w:t>
      </w:r>
      <w:r w:rsidR="005853A9">
        <w:rPr>
          <w:kern w:val="0"/>
        </w:rPr>
        <w:t xml:space="preserve"> and </w:t>
      </w:r>
      <w:r>
        <w:rPr>
          <w:kern w:val="0"/>
        </w:rPr>
        <w:t>dos Santos, M.R. (2011), Obesity</w:t>
      </w:r>
      <w:r w:rsidR="005853A9">
        <w:rPr>
          <w:kern w:val="0"/>
        </w:rPr>
        <w:t xml:space="preserve"> and </w:t>
      </w:r>
      <w:r>
        <w:rPr>
          <w:kern w:val="0"/>
        </w:rPr>
        <w:t>stress among workers from different sectors</w:t>
      </w:r>
      <w:r w:rsidR="00427468">
        <w:rPr>
          <w:kern w:val="0"/>
        </w:rPr>
        <w:t xml:space="preserve"> of </w:t>
      </w:r>
      <w:r>
        <w:rPr>
          <w:kern w:val="0"/>
        </w:rPr>
        <w:t xml:space="preserve">production: An integrative review. </w:t>
      </w:r>
      <w:r>
        <w:rPr>
          <w:i/>
          <w:iCs/>
          <w:kern w:val="0"/>
        </w:rPr>
        <w:t>Acta Paulista de Enfermagem</w:t>
      </w:r>
      <w:r>
        <w:rPr>
          <w:kern w:val="0"/>
        </w:rPr>
        <w:t xml:space="preserve">, </w:t>
      </w:r>
      <w:r>
        <w:rPr>
          <w:b/>
          <w:bCs/>
          <w:kern w:val="0"/>
        </w:rPr>
        <w:t>24</w:t>
      </w:r>
      <w:r>
        <w:rPr>
          <w:kern w:val="0"/>
        </w:rPr>
        <w:t xml:space="preserve"> (4), 577-581.</w:t>
      </w:r>
    </w:p>
    <w:p w:rsidR="00E11B22" w:rsidRDefault="00E11B22" w:rsidP="00E11B22">
      <w:pPr>
        <w:pStyle w:val="a3"/>
        <w:rPr>
          <w:kern w:val="0"/>
        </w:rPr>
      </w:pPr>
      <w:r>
        <w:rPr>
          <w:rFonts w:hint="eastAsia"/>
          <w:kern w:val="0"/>
        </w:rPr>
        <w:t xml:space="preserve">Full Text: </w:t>
      </w:r>
      <w:hyperlink r:id="rId180" w:history="1">
        <w:r w:rsidRPr="00CD67EB">
          <w:rPr>
            <w:rStyle w:val="a5"/>
            <w:kern w:val="0"/>
          </w:rPr>
          <w:t>2011\Act Pau Enf24, 577.pdf</w:t>
        </w:r>
      </w:hyperlink>
    </w:p>
    <w:p w:rsidR="00E11B22" w:rsidRDefault="00E11B22" w:rsidP="00E11B22">
      <w:pPr>
        <w:pStyle w:val="a3"/>
        <w:rPr>
          <w:kern w:val="0"/>
        </w:rPr>
      </w:pPr>
      <w:r>
        <w:rPr>
          <w:kern w:val="0"/>
        </w:rPr>
        <w:t>Abstract: Objective: To identify</w:t>
      </w:r>
      <w:r w:rsidR="003A1917">
        <w:rPr>
          <w:kern w:val="0"/>
        </w:rPr>
        <w:t xml:space="preserve"> the </w:t>
      </w:r>
      <w:r>
        <w:rPr>
          <w:kern w:val="0"/>
        </w:rPr>
        <w:t>relationship between obesity</w:t>
      </w:r>
      <w:r w:rsidR="005853A9">
        <w:rPr>
          <w:kern w:val="0"/>
        </w:rPr>
        <w:t xml:space="preserve"> and </w:t>
      </w:r>
      <w:r>
        <w:rPr>
          <w:kern w:val="0"/>
        </w:rPr>
        <w:t>stress among workers in various sectors</w:t>
      </w:r>
      <w:r w:rsidR="00427468">
        <w:rPr>
          <w:kern w:val="0"/>
        </w:rPr>
        <w:t xml:space="preserve"> of </w:t>
      </w:r>
      <w:r>
        <w:rPr>
          <w:kern w:val="0"/>
        </w:rPr>
        <w:t>production. Methods: This is a study conducted using</w:t>
      </w:r>
      <w:r w:rsidR="003A1917">
        <w:rPr>
          <w:kern w:val="0"/>
        </w:rPr>
        <w:t xml:space="preserve"> the </w:t>
      </w:r>
      <w:r>
        <w:rPr>
          <w:kern w:val="0"/>
        </w:rPr>
        <w:t>method</w:t>
      </w:r>
      <w:r w:rsidR="00427468">
        <w:rPr>
          <w:kern w:val="0"/>
        </w:rPr>
        <w:t xml:space="preserve"> of </w:t>
      </w:r>
      <w:r>
        <w:rPr>
          <w:kern w:val="0"/>
        </w:rPr>
        <w:t>integrative literature review. To search for articles, we used</w:t>
      </w:r>
      <w:r w:rsidR="003A1917">
        <w:rPr>
          <w:kern w:val="0"/>
        </w:rPr>
        <w:t xml:space="preserve"> the </w:t>
      </w:r>
      <w:r>
        <w:rPr>
          <w:kern w:val="0"/>
        </w:rPr>
        <w:t>following databases: Medical Literature Analysis</w:t>
      </w:r>
      <w:r w:rsidR="005853A9">
        <w:rPr>
          <w:kern w:val="0"/>
        </w:rPr>
        <w:t xml:space="preserve"> and </w:t>
      </w:r>
      <w:r>
        <w:rPr>
          <w:kern w:val="0"/>
        </w:rPr>
        <w:t>Retrieval System Online (</w:t>
      </w:r>
      <w:r w:rsidR="00D5664A">
        <w:rPr>
          <w:kern w:val="0"/>
        </w:rPr>
        <w:t>MEDLINE</w:t>
      </w:r>
      <w:r w:rsidR="00F42EAC">
        <w:rPr>
          <w:kern w:val="0"/>
        </w:rPr>
        <w:t>), The</w:t>
      </w:r>
      <w:r w:rsidR="003A1917">
        <w:rPr>
          <w:kern w:val="0"/>
        </w:rPr>
        <w:t xml:space="preserve"> </w:t>
      </w:r>
      <w:r>
        <w:rPr>
          <w:kern w:val="0"/>
        </w:rPr>
        <w:t>Latin American</w:t>
      </w:r>
      <w:r w:rsidR="005853A9">
        <w:rPr>
          <w:kern w:val="0"/>
        </w:rPr>
        <w:t xml:space="preserve"> and </w:t>
      </w:r>
      <w:r>
        <w:rPr>
          <w:kern w:val="0"/>
        </w:rPr>
        <w:t xml:space="preserve">Caribbean Health Sciences (LILACS); Scientific Electronic Library Online (SciELO), Scopus; </w:t>
      </w:r>
      <w:r w:rsidR="00D5664A">
        <w:rPr>
          <w:kern w:val="0"/>
        </w:rPr>
        <w:t>Web</w:t>
      </w:r>
      <w:r w:rsidR="00427468">
        <w:rPr>
          <w:kern w:val="0"/>
        </w:rPr>
        <w:t xml:space="preserve"> of </w:t>
      </w:r>
      <w:r w:rsidR="00D5664A">
        <w:rPr>
          <w:kern w:val="0"/>
        </w:rPr>
        <w:t>Science</w:t>
      </w:r>
      <w:r>
        <w:rPr>
          <w:kern w:val="0"/>
        </w:rPr>
        <w:t xml:space="preserve"> (ISI). Descriptors used for this search were: obesity, occupational stress</w:t>
      </w:r>
      <w:r w:rsidR="005853A9">
        <w:rPr>
          <w:kern w:val="0"/>
        </w:rPr>
        <w:t xml:space="preserve"> and </w:t>
      </w:r>
      <w:r>
        <w:rPr>
          <w:kern w:val="0"/>
        </w:rPr>
        <w:t>workers. Results: Seven articles were included. Regarding</w:t>
      </w:r>
      <w:r w:rsidR="003A1917">
        <w:rPr>
          <w:kern w:val="0"/>
        </w:rPr>
        <w:t xml:space="preserve"> the </w:t>
      </w:r>
      <w:r>
        <w:rPr>
          <w:kern w:val="0"/>
        </w:rPr>
        <w:t>purpose</w:t>
      </w:r>
      <w:r w:rsidR="00427468">
        <w:rPr>
          <w:kern w:val="0"/>
        </w:rPr>
        <w:t xml:space="preserve"> of </w:t>
      </w:r>
      <w:r w:rsidR="003A1917">
        <w:rPr>
          <w:kern w:val="0"/>
        </w:rPr>
        <w:t xml:space="preserve">the </w:t>
      </w:r>
      <w:r>
        <w:rPr>
          <w:kern w:val="0"/>
        </w:rPr>
        <w:t>study,</w:t>
      </w:r>
      <w:r w:rsidR="003A1917">
        <w:rPr>
          <w:kern w:val="0"/>
        </w:rPr>
        <w:t xml:space="preserve"> the </w:t>
      </w:r>
      <w:r>
        <w:rPr>
          <w:kern w:val="0"/>
        </w:rPr>
        <w:t>selected articles showed no significant relationship between obesity</w:t>
      </w:r>
      <w:r w:rsidR="005853A9">
        <w:rPr>
          <w:kern w:val="0"/>
        </w:rPr>
        <w:t xml:space="preserve"> and </w:t>
      </w:r>
      <w:r>
        <w:rPr>
          <w:kern w:val="0"/>
        </w:rPr>
        <w:t>stress. Conclusion: We reiterate</w:t>
      </w:r>
      <w:r w:rsidR="003A1917">
        <w:rPr>
          <w:kern w:val="0"/>
        </w:rPr>
        <w:t xml:space="preserve"> the </w:t>
      </w:r>
      <w:r>
        <w:rPr>
          <w:kern w:val="0"/>
        </w:rPr>
        <w:t>need for studies with more precise designs to show</w:t>
      </w:r>
      <w:r w:rsidR="003A1917">
        <w:rPr>
          <w:kern w:val="0"/>
        </w:rPr>
        <w:t xml:space="preserve"> the </w:t>
      </w:r>
      <w:r>
        <w:rPr>
          <w:kern w:val="0"/>
        </w:rPr>
        <w:t>relationship between obesity</w:t>
      </w:r>
      <w:r w:rsidR="005853A9">
        <w:rPr>
          <w:kern w:val="0"/>
        </w:rPr>
        <w:t xml:space="preserve"> and </w:t>
      </w:r>
      <w:r>
        <w:rPr>
          <w:kern w:val="0"/>
        </w:rPr>
        <w:t>stress</w:t>
      </w:r>
      <w:r w:rsidR="00427468">
        <w:rPr>
          <w:kern w:val="0"/>
        </w:rPr>
        <w:t xml:space="preserve"> of </w:t>
      </w:r>
      <w:r w:rsidR="003A1917">
        <w:rPr>
          <w:kern w:val="0"/>
        </w:rPr>
        <w:t xml:space="preserve">the </w:t>
      </w:r>
      <w:r>
        <w:rPr>
          <w:kern w:val="0"/>
        </w:rPr>
        <w:t>worker.</w:t>
      </w:r>
    </w:p>
    <w:p w:rsidR="00E11B22" w:rsidRDefault="00E11B22" w:rsidP="00E11B22">
      <w:pPr>
        <w:pStyle w:val="a3"/>
        <w:rPr>
          <w:kern w:val="0"/>
        </w:rPr>
      </w:pPr>
      <w:r>
        <w:rPr>
          <w:kern w:val="0"/>
        </w:rPr>
        <w:t>Keywords: Body-Mass Index, Databases, Eating Behavior, Health, Integrative Review</w:t>
      </w:r>
      <w:r w:rsidR="00D5664A">
        <w:rPr>
          <w:kern w:val="0"/>
        </w:rPr>
        <w:t>, ISI,</w:t>
      </w:r>
      <w:r>
        <w:rPr>
          <w:kern w:val="0"/>
        </w:rPr>
        <w:t xml:space="preserve"> Job Stress, Latin American, Literature, Literature Review, Male Japanese Workers, </w:t>
      </w:r>
      <w:r w:rsidR="00D5664A">
        <w:rPr>
          <w:kern w:val="0"/>
        </w:rPr>
        <w:t>MEDLINE</w:t>
      </w:r>
      <w:r>
        <w:rPr>
          <w:kern w:val="0"/>
        </w:rPr>
        <w:t xml:space="preserve">, Methods, Obesity, Occupational, Occupational Health, Review, Scielo, Science, Scopus, Stress, Stress Occupacional, </w:t>
      </w:r>
      <w:r w:rsidR="00D5664A">
        <w:rPr>
          <w:kern w:val="0"/>
        </w:rPr>
        <w:t>Web</w:t>
      </w:r>
      <w:r w:rsidR="00427468">
        <w:rPr>
          <w:kern w:val="0"/>
        </w:rPr>
        <w:t xml:space="preserve"> of </w:t>
      </w:r>
      <w:r w:rsidR="00D5664A">
        <w:rPr>
          <w:kern w:val="0"/>
        </w:rPr>
        <w:t>Science</w:t>
      </w:r>
      <w:r>
        <w:rPr>
          <w:kern w:val="0"/>
        </w:rPr>
        <w:t>, Women, Workers</w:t>
      </w:r>
    </w:p>
    <w:p w:rsidR="00A729D3" w:rsidRDefault="00A729D3" w:rsidP="00A729D3">
      <w:pPr>
        <w:pStyle w:val="a3"/>
        <w:rPr>
          <w:kern w:val="0"/>
        </w:rPr>
      </w:pPr>
      <w:r>
        <w:rPr>
          <w:kern w:val="0"/>
        </w:rPr>
        <w:t>? Cabral, D.B.</w:t>
      </w:r>
      <w:r w:rsidR="005853A9">
        <w:rPr>
          <w:kern w:val="0"/>
        </w:rPr>
        <w:t xml:space="preserve"> and </w:t>
      </w:r>
      <w:r>
        <w:rPr>
          <w:kern w:val="0"/>
        </w:rPr>
        <w:t xml:space="preserve">de Andrade, D. (2011), Nontuberculous mycobacteria in surgery: Challenges likely to be faced in Brazil? </w:t>
      </w:r>
      <w:r>
        <w:rPr>
          <w:i/>
          <w:iCs/>
          <w:kern w:val="0"/>
        </w:rPr>
        <w:t>Acta Paulista de Enfermagem</w:t>
      </w:r>
      <w:r>
        <w:rPr>
          <w:kern w:val="0"/>
        </w:rPr>
        <w:t xml:space="preserve">, </w:t>
      </w:r>
      <w:r>
        <w:rPr>
          <w:b/>
          <w:bCs/>
          <w:kern w:val="0"/>
        </w:rPr>
        <w:t>24</w:t>
      </w:r>
      <w:r>
        <w:rPr>
          <w:kern w:val="0"/>
        </w:rPr>
        <w:t xml:space="preserve"> (5), 715-720.</w:t>
      </w:r>
    </w:p>
    <w:p w:rsidR="00A729D3" w:rsidRDefault="00A729D3" w:rsidP="00A729D3">
      <w:pPr>
        <w:pStyle w:val="a3"/>
        <w:rPr>
          <w:kern w:val="0"/>
        </w:rPr>
      </w:pPr>
      <w:r>
        <w:rPr>
          <w:rFonts w:hint="eastAsia"/>
          <w:kern w:val="0"/>
        </w:rPr>
        <w:t xml:space="preserve">Full Text: </w:t>
      </w:r>
      <w:hyperlink r:id="rId181" w:history="1">
        <w:r w:rsidRPr="00FC1417">
          <w:rPr>
            <w:rStyle w:val="a5"/>
            <w:kern w:val="0"/>
          </w:rPr>
          <w:t>2011\Act Pau Enf24, 715.pdf</w:t>
        </w:r>
      </w:hyperlink>
    </w:p>
    <w:p w:rsidR="00A729D3" w:rsidRDefault="00A729D3" w:rsidP="00A729D3">
      <w:pPr>
        <w:pStyle w:val="a3"/>
        <w:rPr>
          <w:kern w:val="0"/>
        </w:rPr>
      </w:pPr>
      <w:r>
        <w:rPr>
          <w:kern w:val="0"/>
        </w:rPr>
        <w:lastRenderedPageBreak/>
        <w:t>Abstract: Infections caused by nontuberculous mycobacteria (MNT) represent an epidemiological</w:t>
      </w:r>
      <w:r w:rsidR="005853A9">
        <w:rPr>
          <w:kern w:val="0"/>
        </w:rPr>
        <w:t xml:space="preserve"> and </w:t>
      </w:r>
      <w:r>
        <w:rPr>
          <w:kern w:val="0"/>
        </w:rPr>
        <w:t>health emergency, especially in patients undergoing invasive procedures. Based on these, we aimed to analyze</w:t>
      </w:r>
      <w:r w:rsidR="003A1917">
        <w:rPr>
          <w:kern w:val="0"/>
        </w:rPr>
        <w:t xml:space="preserve"> the </w:t>
      </w:r>
      <w:r>
        <w:rPr>
          <w:kern w:val="0"/>
        </w:rPr>
        <w:t>scientific evidence,</w:t>
      </w:r>
      <w:r w:rsidR="003A1917">
        <w:rPr>
          <w:kern w:val="0"/>
        </w:rPr>
        <w:t xml:space="preserve"> the </w:t>
      </w:r>
      <w:r>
        <w:rPr>
          <w:kern w:val="0"/>
        </w:rPr>
        <w:t>scientific literature, on</w:t>
      </w:r>
      <w:r w:rsidR="003A1917">
        <w:rPr>
          <w:kern w:val="0"/>
        </w:rPr>
        <w:t xml:space="preserve"> the </w:t>
      </w:r>
      <w:r>
        <w:rPr>
          <w:kern w:val="0"/>
        </w:rPr>
        <w:t>occurrence in Brazil</w:t>
      </w:r>
      <w:r w:rsidR="00427468">
        <w:rPr>
          <w:kern w:val="0"/>
        </w:rPr>
        <w:t xml:space="preserve"> of </w:t>
      </w:r>
      <w:r>
        <w:rPr>
          <w:kern w:val="0"/>
        </w:rPr>
        <w:t>MNT infections in surgical patients. We used as a research method integrative review</w:t>
      </w:r>
      <w:r w:rsidR="00427468">
        <w:rPr>
          <w:kern w:val="0"/>
        </w:rPr>
        <w:t xml:space="preserve"> of </w:t>
      </w:r>
      <w:r w:rsidR="003A1917">
        <w:rPr>
          <w:kern w:val="0"/>
        </w:rPr>
        <w:t xml:space="preserve">the </w:t>
      </w:r>
      <w:r>
        <w:rPr>
          <w:kern w:val="0"/>
        </w:rPr>
        <w:t>literature using</w:t>
      </w:r>
      <w:r w:rsidR="003A1917">
        <w:rPr>
          <w:kern w:val="0"/>
        </w:rPr>
        <w:t xml:space="preserve"> the </w:t>
      </w:r>
      <w:r>
        <w:rPr>
          <w:kern w:val="0"/>
        </w:rPr>
        <w:t xml:space="preserve">databases Lilacs, </w:t>
      </w:r>
      <w:r w:rsidR="00D5664A">
        <w:rPr>
          <w:kern w:val="0"/>
        </w:rPr>
        <w:t>MEDLINE</w:t>
      </w:r>
      <w:r>
        <w:rPr>
          <w:kern w:val="0"/>
        </w:rPr>
        <w:t xml:space="preserve">/Pubmed,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Cochrane Library. We selected 15 publications on this theme from</w:t>
      </w:r>
      <w:r w:rsidR="003A1917">
        <w:rPr>
          <w:kern w:val="0"/>
        </w:rPr>
        <w:t xml:space="preserve"> the </w:t>
      </w:r>
      <w:r>
        <w:rPr>
          <w:kern w:val="0"/>
        </w:rPr>
        <w:t>last 30 years that were directed at methods</w:t>
      </w:r>
      <w:r w:rsidR="00427468">
        <w:rPr>
          <w:kern w:val="0"/>
        </w:rPr>
        <w:t xml:space="preserve"> of </w:t>
      </w:r>
      <w:r>
        <w:rPr>
          <w:kern w:val="0"/>
        </w:rPr>
        <w:t>prevention</w:t>
      </w:r>
      <w:r w:rsidR="005853A9">
        <w:rPr>
          <w:kern w:val="0"/>
        </w:rPr>
        <w:t xml:space="preserve"> and </w:t>
      </w:r>
      <w:r>
        <w:rPr>
          <w:kern w:val="0"/>
        </w:rPr>
        <w:t>control, with a focus on post-discharge surveillance,</w:t>
      </w:r>
      <w:r w:rsidR="003A1917">
        <w:rPr>
          <w:kern w:val="0"/>
        </w:rPr>
        <w:t xml:space="preserve"> the </w:t>
      </w:r>
      <w:r>
        <w:rPr>
          <w:kern w:val="0"/>
        </w:rPr>
        <w:t>use</w:t>
      </w:r>
      <w:r w:rsidR="00427468">
        <w:rPr>
          <w:kern w:val="0"/>
        </w:rPr>
        <w:t xml:space="preserve"> of </w:t>
      </w:r>
      <w:r>
        <w:rPr>
          <w:kern w:val="0"/>
        </w:rPr>
        <w:t>antibiotics</w:t>
      </w:r>
      <w:r w:rsidR="005853A9">
        <w:rPr>
          <w:kern w:val="0"/>
        </w:rPr>
        <w:t xml:space="preserve"> and </w:t>
      </w:r>
      <w:r>
        <w:rPr>
          <w:kern w:val="0"/>
        </w:rPr>
        <w:t>glutaraldehyde. Eye surgery, cosmetic, heart, laparoscopic</w:t>
      </w:r>
      <w:r w:rsidR="005853A9">
        <w:rPr>
          <w:kern w:val="0"/>
        </w:rPr>
        <w:t xml:space="preserve"> and </w:t>
      </w:r>
      <w:r>
        <w:rPr>
          <w:kern w:val="0"/>
        </w:rPr>
        <w:t>arthroscopic procedures were</w:t>
      </w:r>
      <w:r w:rsidR="003A1917">
        <w:rPr>
          <w:kern w:val="0"/>
        </w:rPr>
        <w:t xml:space="preserve"> the </w:t>
      </w:r>
      <w:r>
        <w:rPr>
          <w:kern w:val="0"/>
        </w:rPr>
        <w:t>most commonly investigated</w:t>
      </w:r>
      <w:r w:rsidR="00A37C1D">
        <w:rPr>
          <w:kern w:val="0"/>
        </w:rPr>
        <w:t>. The</w:t>
      </w:r>
      <w:r w:rsidR="003A1917">
        <w:rPr>
          <w:kern w:val="0"/>
        </w:rPr>
        <w:t xml:space="preserve"> </w:t>
      </w:r>
      <w:r>
        <w:rPr>
          <w:kern w:val="0"/>
        </w:rPr>
        <w:t>national situation</w:t>
      </w:r>
      <w:r w:rsidR="00427468">
        <w:rPr>
          <w:kern w:val="0"/>
        </w:rPr>
        <w:t xml:space="preserve"> of </w:t>
      </w:r>
      <w:r>
        <w:rPr>
          <w:kern w:val="0"/>
        </w:rPr>
        <w:t>MNTs is concerning, especially when one recognizes</w:t>
      </w:r>
      <w:r w:rsidR="003A1917">
        <w:rPr>
          <w:kern w:val="0"/>
        </w:rPr>
        <w:t xml:space="preserve"> the </w:t>
      </w:r>
      <w:r>
        <w:rPr>
          <w:kern w:val="0"/>
        </w:rPr>
        <w:t>possibility</w:t>
      </w:r>
      <w:r w:rsidR="00427468">
        <w:rPr>
          <w:kern w:val="0"/>
        </w:rPr>
        <w:t xml:space="preserve"> of </w:t>
      </w:r>
      <w:r>
        <w:rPr>
          <w:kern w:val="0"/>
        </w:rPr>
        <w:t>underreporting.</w:t>
      </w:r>
    </w:p>
    <w:p w:rsidR="00A729D3" w:rsidRDefault="00A729D3" w:rsidP="00A729D3">
      <w:pPr>
        <w:pStyle w:val="a3"/>
        <w:rPr>
          <w:kern w:val="0"/>
        </w:rPr>
      </w:pPr>
      <w:r>
        <w:rPr>
          <w:kern w:val="0"/>
        </w:rPr>
        <w:t>Keywords: Antibiotics, Brazil, Cochrane, Control, Databases, Emergency, Health, Integrative Review</w:t>
      </w:r>
      <w:r w:rsidR="00D5664A">
        <w:rPr>
          <w:kern w:val="0"/>
        </w:rPr>
        <w:t>, ISI,</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Keratitis, Lasik, Literature, Mycobacteria, Atypical, Mycobacterium Infections Atypical, Outbreak, Patients, Prevention, Prevention</w:t>
      </w:r>
      <w:r w:rsidR="005853A9">
        <w:rPr>
          <w:kern w:val="0"/>
        </w:rPr>
        <w:t xml:space="preserve"> and </w:t>
      </w:r>
      <w:r>
        <w:rPr>
          <w:kern w:val="0"/>
        </w:rPr>
        <w:t xml:space="preserve">Control, Publications, Research, Research Method, Review, Science, Scientific Literature, Surgery, Surgical, Surgical Procedures Operative, Surveillance,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r>
        <w:rPr>
          <w:kern w:val="0"/>
        </w:rPr>
        <w:t>, Wound-Infection</w:t>
      </w:r>
    </w:p>
    <w:p w:rsidR="003474F2" w:rsidRPr="001A3D2B" w:rsidRDefault="003474F2" w:rsidP="003474F2">
      <w:pPr>
        <w:pStyle w:val="1"/>
      </w:pPr>
      <w:r w:rsidRPr="001A3D2B">
        <w:br w:type="page"/>
      </w:r>
      <w:bookmarkStart w:id="88" w:name="_Toc420814281"/>
      <w:r w:rsidRPr="001A3D2B">
        <w:lastRenderedPageBreak/>
        <w:t xml:space="preserve">Title: </w:t>
      </w:r>
      <w:r w:rsidRPr="001A3D2B">
        <w:rPr>
          <w:iCs w:val="0"/>
          <w:szCs w:val="24"/>
        </w:rPr>
        <w:t>Acta Physica et Chemica</w:t>
      </w:r>
      <w:bookmarkEnd w:id="88"/>
    </w:p>
    <w:p w:rsidR="003474F2" w:rsidRPr="001A3D2B" w:rsidRDefault="003474F2" w:rsidP="003474F2">
      <w:pPr>
        <w:pStyle w:val="12"/>
      </w:pPr>
      <w:r w:rsidRPr="001A3D2B">
        <w:t>Full Journal Title: Acta Physica et Chemica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0001-6721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rPr>
          <w:szCs w:val="24"/>
        </w:rPr>
      </w:pPr>
      <w:r w:rsidRPr="001A3D2B">
        <w:t xml:space="preserve">? Gyulai, J. (1967), Anon - Science Citation Index 1965. </w:t>
      </w:r>
      <w:r w:rsidRPr="001A3D2B">
        <w:rPr>
          <w:i/>
          <w:iCs/>
        </w:rPr>
        <w:t>Acta Physica et Chemica</w:t>
      </w:r>
      <w:r w:rsidRPr="001A3D2B">
        <w:t xml:space="preserve">, </w:t>
      </w:r>
      <w:r w:rsidRPr="001A3D2B">
        <w:rPr>
          <w:b/>
          <w:bCs/>
        </w:rPr>
        <w:t>13</w:t>
      </w:r>
      <w:r w:rsidR="00BF48C2">
        <w:rPr>
          <w:szCs w:val="24"/>
        </w:rPr>
        <w:t xml:space="preserve"> (1-2), 93-</w:t>
      </w:r>
      <w:r w:rsidR="00BF48C2">
        <w:rPr>
          <w:rFonts w:hint="eastAsia"/>
          <w:szCs w:val="24"/>
        </w:rPr>
        <w:t>??.</w:t>
      </w:r>
    </w:p>
    <w:p w:rsidR="003474F2" w:rsidRPr="001A3D2B" w:rsidRDefault="003474F2" w:rsidP="003474F2">
      <w:pPr>
        <w:pStyle w:val="a3"/>
        <w:rPr>
          <w:szCs w:val="24"/>
        </w:rPr>
      </w:pPr>
      <w:r w:rsidRPr="001A3D2B">
        <w:rPr>
          <w:szCs w:val="24"/>
        </w:rPr>
        <w:t>Keywords: Citation, Science Citation Index</w:t>
      </w:r>
    </w:p>
    <w:p w:rsidR="005B0549" w:rsidRPr="00F219CA" w:rsidRDefault="005B0549" w:rsidP="005B0549">
      <w:pPr>
        <w:pStyle w:val="1"/>
      </w:pPr>
      <w:r w:rsidRPr="00F219CA">
        <w:br w:type="page"/>
      </w:r>
      <w:bookmarkStart w:id="89" w:name="_Toc420814282"/>
      <w:r w:rsidRPr="00F219CA">
        <w:lastRenderedPageBreak/>
        <w:t xml:space="preserve">Title: </w:t>
      </w:r>
      <w:r w:rsidRPr="005B0549">
        <w:t>Acta Physica Polonica A</w:t>
      </w:r>
      <w:bookmarkEnd w:id="89"/>
    </w:p>
    <w:p w:rsidR="005B0549" w:rsidRPr="00F219CA" w:rsidRDefault="005B0549" w:rsidP="005B0549">
      <w:pPr>
        <w:pStyle w:val="12"/>
      </w:pPr>
      <w:r w:rsidRPr="00F219CA">
        <w:t xml:space="preserve">Full Journal Title: </w:t>
      </w:r>
      <w:r w:rsidRPr="005B0549">
        <w:rPr>
          <w:iCs/>
          <w:kern w:val="0"/>
        </w:rPr>
        <w:t>Acta Physica Polonica A</w:t>
      </w:r>
    </w:p>
    <w:p w:rsidR="005B0549" w:rsidRPr="00F219CA" w:rsidRDefault="005B0549" w:rsidP="005B0549">
      <w:pPr>
        <w:pStyle w:val="12"/>
      </w:pPr>
      <w:r w:rsidRPr="00F219CA">
        <w:t xml:space="preserve">ISO Abbreviated Title: </w:t>
      </w:r>
    </w:p>
    <w:p w:rsidR="005B0549" w:rsidRPr="00F219CA" w:rsidRDefault="005B0549" w:rsidP="005B0549">
      <w:pPr>
        <w:pStyle w:val="12"/>
      </w:pPr>
      <w:r w:rsidRPr="00F219CA">
        <w:t xml:space="preserve">JCR Abbreviated Title: </w:t>
      </w:r>
    </w:p>
    <w:p w:rsidR="005B0549" w:rsidRPr="00F219CA" w:rsidRDefault="005B0549" w:rsidP="005B0549">
      <w:pPr>
        <w:pStyle w:val="12"/>
      </w:pPr>
      <w:r>
        <w:t xml:space="preserve">ISSN: </w:t>
      </w:r>
    </w:p>
    <w:p w:rsidR="005B0549" w:rsidRPr="00F219CA" w:rsidRDefault="005B0549" w:rsidP="005B0549">
      <w:pPr>
        <w:pStyle w:val="12"/>
      </w:pPr>
      <w:r w:rsidRPr="00F219CA">
        <w:t xml:space="preserve">Issues/Year: </w:t>
      </w:r>
    </w:p>
    <w:p w:rsidR="005B0549" w:rsidRPr="00F219CA" w:rsidRDefault="005B0549" w:rsidP="005B0549">
      <w:pPr>
        <w:pStyle w:val="12"/>
      </w:pPr>
      <w:r w:rsidRPr="00F219CA">
        <w:t xml:space="preserve">Journal Country/Territory: </w:t>
      </w:r>
    </w:p>
    <w:p w:rsidR="005B0549" w:rsidRPr="00F219CA" w:rsidRDefault="005B0549" w:rsidP="005B0549">
      <w:pPr>
        <w:pStyle w:val="12"/>
      </w:pPr>
      <w:r w:rsidRPr="00F219CA">
        <w:t xml:space="preserve">Language: </w:t>
      </w:r>
    </w:p>
    <w:p w:rsidR="005B0549" w:rsidRPr="00F219CA" w:rsidRDefault="005B0549" w:rsidP="005B0549">
      <w:pPr>
        <w:pStyle w:val="12"/>
      </w:pPr>
      <w:r w:rsidRPr="00F219CA">
        <w:t xml:space="preserve">Publisher: </w:t>
      </w:r>
    </w:p>
    <w:p w:rsidR="005B0549" w:rsidRPr="00F219CA" w:rsidRDefault="005B0549" w:rsidP="005B0549">
      <w:pPr>
        <w:pStyle w:val="12"/>
      </w:pPr>
      <w:r w:rsidRPr="00F219CA">
        <w:t xml:space="preserve">Publisher Address: </w:t>
      </w:r>
    </w:p>
    <w:p w:rsidR="005B0549" w:rsidRPr="00F219CA" w:rsidRDefault="005B0549" w:rsidP="005B0549">
      <w:pPr>
        <w:pStyle w:val="12"/>
      </w:pPr>
      <w:r w:rsidRPr="00F219CA">
        <w:t>Subject Categories:</w:t>
      </w:r>
    </w:p>
    <w:p w:rsidR="005B0549" w:rsidRPr="00F219CA" w:rsidRDefault="005B0549" w:rsidP="005B0549">
      <w:pPr>
        <w:pStyle w:val="12"/>
      </w:pPr>
      <w:r w:rsidRPr="00F219CA">
        <w:t>: Impact Factor</w:t>
      </w:r>
    </w:p>
    <w:p w:rsidR="005B0549" w:rsidRDefault="005B0549" w:rsidP="005B0549">
      <w:pPr>
        <w:pStyle w:val="a3"/>
        <w:rPr>
          <w:kern w:val="0"/>
        </w:rPr>
      </w:pPr>
      <w:r>
        <w:rPr>
          <w:rFonts w:hint="eastAsia"/>
          <w:kern w:val="0"/>
        </w:rPr>
        <w:t xml:space="preserve">? </w:t>
      </w:r>
      <w:r>
        <w:rPr>
          <w:kern w:val="0"/>
        </w:rPr>
        <w:t>Sangwal, K. (2013), Czochralski method</w:t>
      </w:r>
      <w:r w:rsidR="00427468">
        <w:rPr>
          <w:kern w:val="0"/>
        </w:rPr>
        <w:t xml:space="preserve"> of </w:t>
      </w:r>
      <w:r>
        <w:rPr>
          <w:kern w:val="0"/>
        </w:rPr>
        <w:t xml:space="preserve">crystal growth in the scientific literature: An informetric study. </w:t>
      </w:r>
      <w:r w:rsidRPr="005B0549">
        <w:rPr>
          <w:i/>
          <w:iCs/>
          <w:kern w:val="0"/>
        </w:rPr>
        <w:t>Acta Physica Polonica A</w:t>
      </w:r>
      <w:r>
        <w:rPr>
          <w:kern w:val="0"/>
        </w:rPr>
        <w:t xml:space="preserve">, </w:t>
      </w:r>
      <w:r>
        <w:rPr>
          <w:b/>
          <w:bCs/>
          <w:kern w:val="0"/>
        </w:rPr>
        <w:t>124</w:t>
      </w:r>
      <w:r>
        <w:rPr>
          <w:kern w:val="0"/>
        </w:rPr>
        <w:t xml:space="preserve"> (2), 173-180.</w:t>
      </w:r>
    </w:p>
    <w:p w:rsidR="005B0549" w:rsidRDefault="005B0549" w:rsidP="005B0549">
      <w:pPr>
        <w:pStyle w:val="a3"/>
        <w:rPr>
          <w:kern w:val="0"/>
        </w:rPr>
      </w:pPr>
      <w:r>
        <w:rPr>
          <w:rFonts w:hint="eastAsia"/>
          <w:kern w:val="0"/>
        </w:rPr>
        <w:t xml:space="preserve">Full Text: </w:t>
      </w:r>
      <w:hyperlink r:id="rId182" w:history="1">
        <w:r w:rsidRPr="005B0549">
          <w:rPr>
            <w:rStyle w:val="a5"/>
            <w:kern w:val="0"/>
          </w:rPr>
          <w:t>2013\Act Phy Pol A124, 173.pdf</w:t>
        </w:r>
      </w:hyperlink>
    </w:p>
    <w:p w:rsidR="005B0549" w:rsidRDefault="005B0549" w:rsidP="005B0549">
      <w:pPr>
        <w:pStyle w:val="a3"/>
        <w:rPr>
          <w:kern w:val="0"/>
        </w:rPr>
      </w:pPr>
      <w:r>
        <w:rPr>
          <w:kern w:val="0"/>
        </w:rPr>
        <w:t>Abstract: Bibliometric data on the growth dynamics</w:t>
      </w:r>
      <w:r w:rsidR="00427468">
        <w:rPr>
          <w:kern w:val="0"/>
        </w:rPr>
        <w:t xml:space="preserve"> of </w:t>
      </w:r>
      <w:r>
        <w:rPr>
          <w:kern w:val="0"/>
        </w:rPr>
        <w:t>papers devoted to the Czochralski method</w:t>
      </w:r>
      <w:r w:rsidR="00427468">
        <w:rPr>
          <w:kern w:val="0"/>
        </w:rPr>
        <w:t xml:space="preserve"> of </w:t>
      </w:r>
      <w:r>
        <w:rPr>
          <w:kern w:val="0"/>
        </w:rPr>
        <w:t>crystal growth</w:t>
      </w:r>
      <w:r w:rsidR="005853A9">
        <w:rPr>
          <w:kern w:val="0"/>
        </w:rPr>
        <w:t xml:space="preserve"> and </w:t>
      </w:r>
      <w:r>
        <w:rPr>
          <w:kern w:val="0"/>
        </w:rPr>
        <w:t>citations to these papers published in the scientific literature are analyzed using mathematical functions based on progressive nucleation mechanism</w:t>
      </w:r>
      <w:r w:rsidR="005853A9">
        <w:rPr>
          <w:kern w:val="0"/>
        </w:rPr>
        <w:t xml:space="preserve"> and </w:t>
      </w:r>
      <w:r>
        <w:rPr>
          <w:kern w:val="0"/>
        </w:rPr>
        <w:t>power-law approaches. It is shown that the basic concepts</w:t>
      </w:r>
      <w:r w:rsidR="00427468">
        <w:rPr>
          <w:kern w:val="0"/>
        </w:rPr>
        <w:t xml:space="preserve"> of </w:t>
      </w:r>
      <w:r>
        <w:rPr>
          <w:kern w:val="0"/>
        </w:rPr>
        <w:t>progressive nucleation mechanism originally developed for crystal growth can satisfactorily be applied to explain the citation behavior</w:t>
      </w:r>
      <w:r w:rsidR="00427468">
        <w:rPr>
          <w:kern w:val="0"/>
        </w:rPr>
        <w:t xml:space="preserve"> of </w:t>
      </w:r>
      <w:r>
        <w:rPr>
          <w:kern w:val="0"/>
        </w:rPr>
        <w:t>papers published on the Czochralski method</w:t>
      </w:r>
      <w:r w:rsidR="00427468">
        <w:rPr>
          <w:kern w:val="0"/>
        </w:rPr>
        <w:t xml:space="preserve"> of </w:t>
      </w:r>
      <w:r>
        <w:rPr>
          <w:kern w:val="0"/>
        </w:rPr>
        <w:t>crystal growth. It is also found that: (1) cumulative number N(t)</w:t>
      </w:r>
      <w:r w:rsidR="00427468">
        <w:rPr>
          <w:kern w:val="0"/>
        </w:rPr>
        <w:t xml:space="preserve"> of </w:t>
      </w:r>
      <w:r>
        <w:rPr>
          <w:kern w:val="0"/>
        </w:rPr>
        <w:t>papers</w:t>
      </w:r>
      <w:r w:rsidR="005853A9">
        <w:rPr>
          <w:kern w:val="0"/>
        </w:rPr>
        <w:t xml:space="preserve"> and </w:t>
      </w:r>
      <w:r>
        <w:rPr>
          <w:kern w:val="0"/>
        </w:rPr>
        <w:t>cumulative number L(t)</w:t>
      </w:r>
      <w:r w:rsidR="00427468">
        <w:rPr>
          <w:kern w:val="0"/>
        </w:rPr>
        <w:t xml:space="preserve"> of </w:t>
      </w:r>
      <w:r>
        <w:rPr>
          <w:kern w:val="0"/>
        </w:rPr>
        <w:t>citations to them at time t are mutually related,</w:t>
      </w:r>
      <w:r w:rsidR="005853A9">
        <w:rPr>
          <w:kern w:val="0"/>
        </w:rPr>
        <w:t xml:space="preserve"> and </w:t>
      </w:r>
      <w:r>
        <w:rPr>
          <w:kern w:val="0"/>
        </w:rPr>
        <w:t>(2) as determined by the plot</w:t>
      </w:r>
      <w:r w:rsidR="00427468">
        <w:rPr>
          <w:kern w:val="0"/>
        </w:rPr>
        <w:t xml:space="preserve"> of </w:t>
      </w:r>
      <w:r>
        <w:rPr>
          <w:kern w:val="0"/>
        </w:rPr>
        <w:t>the parameter L(t)/t(2) against the number Delta N(t)</w:t>
      </w:r>
      <w:r w:rsidR="00427468">
        <w:rPr>
          <w:kern w:val="0"/>
        </w:rPr>
        <w:t xml:space="preserve"> of </w:t>
      </w:r>
      <w:r>
        <w:rPr>
          <w:kern w:val="0"/>
        </w:rPr>
        <w:t>papers published per year, the citation behavior</w:t>
      </w:r>
      <w:r w:rsidR="00427468">
        <w:rPr>
          <w:kern w:val="0"/>
        </w:rPr>
        <w:t xml:space="preserve"> of </w:t>
      </w:r>
      <w:r>
        <w:rPr>
          <w:kern w:val="0"/>
        </w:rPr>
        <w:t>papers published on the Czochralski method follows three distinct periods: 1954-1988, 1988-2001</w:t>
      </w:r>
      <w:r w:rsidR="005853A9">
        <w:rPr>
          <w:kern w:val="0"/>
        </w:rPr>
        <w:t xml:space="preserve"> and </w:t>
      </w:r>
      <w:r>
        <w:rPr>
          <w:kern w:val="0"/>
        </w:rPr>
        <w:t>2001-2012, which are related to the dependence</w:t>
      </w:r>
      <w:r w:rsidR="00427468">
        <w:rPr>
          <w:kern w:val="0"/>
        </w:rPr>
        <w:t xml:space="preserve"> of </w:t>
      </w:r>
      <w:r>
        <w:rPr>
          <w:kern w:val="0"/>
        </w:rPr>
        <w:t>the number Delta N(t)</w:t>
      </w:r>
      <w:r w:rsidR="00427468">
        <w:rPr>
          <w:kern w:val="0"/>
        </w:rPr>
        <w:t xml:space="preserve"> of </w:t>
      </w:r>
      <w:r>
        <w:rPr>
          <w:kern w:val="0"/>
        </w:rPr>
        <w:t>papers published per year on publication time t.</w:t>
      </w:r>
    </w:p>
    <w:p w:rsidR="005B0549" w:rsidRDefault="005B0549" w:rsidP="005B0549">
      <w:pPr>
        <w:pStyle w:val="a3"/>
        <w:rPr>
          <w:kern w:val="0"/>
        </w:rPr>
      </w:pPr>
      <w:r>
        <w:rPr>
          <w:kern w:val="0"/>
        </w:rPr>
        <w:t>Keywords: Behavior, Bibliometric, Bibliometric Data, Citation, Citations, Crystal Growth, Cumulative, Data, Dynamics, Functions, Growth, Literature, Mechanism, Nucleation, Papers, Power Law, Publication, Scientific Literature, SI, T</w:t>
      </w:r>
    </w:p>
    <w:p w:rsidR="00BF48C2" w:rsidRPr="00F219CA" w:rsidRDefault="00BF48C2" w:rsidP="00BF48C2">
      <w:pPr>
        <w:pStyle w:val="1"/>
      </w:pPr>
      <w:r w:rsidRPr="00F219CA">
        <w:br w:type="page"/>
      </w:r>
      <w:bookmarkStart w:id="90" w:name="_Toc420814283"/>
      <w:r w:rsidRPr="00F219CA">
        <w:lastRenderedPageBreak/>
        <w:t xml:space="preserve">Title: </w:t>
      </w:r>
      <w:r w:rsidRPr="00596A22">
        <w:t>Acta Physica Sinica</w:t>
      </w:r>
      <w:bookmarkEnd w:id="90"/>
    </w:p>
    <w:p w:rsidR="00BF48C2" w:rsidRPr="00F219CA" w:rsidRDefault="00BF48C2" w:rsidP="00BF48C2">
      <w:pPr>
        <w:pStyle w:val="12"/>
      </w:pPr>
      <w:r w:rsidRPr="00F219CA">
        <w:t xml:space="preserve">Full Journal Title: </w:t>
      </w:r>
      <w:r w:rsidRPr="00596A22">
        <w:rPr>
          <w:iCs/>
          <w:kern w:val="0"/>
        </w:rPr>
        <w:t>Acta Physica Sinica</w:t>
      </w:r>
    </w:p>
    <w:p w:rsidR="00BF48C2" w:rsidRPr="00F219CA" w:rsidRDefault="00BF48C2" w:rsidP="00BF48C2">
      <w:pPr>
        <w:pStyle w:val="12"/>
      </w:pPr>
      <w:r w:rsidRPr="00F219CA">
        <w:t xml:space="preserve">ISO Abbreviated Title: </w:t>
      </w:r>
    </w:p>
    <w:p w:rsidR="00BF48C2" w:rsidRPr="00F219CA" w:rsidRDefault="00BF48C2" w:rsidP="00BF48C2">
      <w:pPr>
        <w:pStyle w:val="12"/>
      </w:pPr>
      <w:r w:rsidRPr="00F219CA">
        <w:t xml:space="preserve">JCR Abbreviated Title: </w:t>
      </w:r>
    </w:p>
    <w:p w:rsidR="00BF48C2" w:rsidRPr="00F219CA" w:rsidRDefault="00BF48C2" w:rsidP="00BF48C2">
      <w:pPr>
        <w:pStyle w:val="12"/>
      </w:pPr>
      <w:r>
        <w:t xml:space="preserve">ISSN: </w:t>
      </w:r>
    </w:p>
    <w:p w:rsidR="00BF48C2" w:rsidRPr="00F219CA" w:rsidRDefault="00BF48C2" w:rsidP="00BF48C2">
      <w:pPr>
        <w:pStyle w:val="12"/>
      </w:pPr>
      <w:r w:rsidRPr="00F219CA">
        <w:t xml:space="preserve">Issues/Year: </w:t>
      </w:r>
    </w:p>
    <w:p w:rsidR="00BF48C2" w:rsidRPr="00F219CA" w:rsidRDefault="00BF48C2" w:rsidP="00BF48C2">
      <w:pPr>
        <w:pStyle w:val="12"/>
      </w:pPr>
      <w:r w:rsidRPr="00F219CA">
        <w:t xml:space="preserve">Journal Country/Territory: </w:t>
      </w:r>
    </w:p>
    <w:p w:rsidR="00BF48C2" w:rsidRPr="00F219CA" w:rsidRDefault="00BF48C2" w:rsidP="00BF48C2">
      <w:pPr>
        <w:pStyle w:val="12"/>
      </w:pPr>
      <w:r w:rsidRPr="00F219CA">
        <w:t xml:space="preserve">Language: </w:t>
      </w:r>
    </w:p>
    <w:p w:rsidR="00BF48C2" w:rsidRPr="00F219CA" w:rsidRDefault="00BF48C2" w:rsidP="00BF48C2">
      <w:pPr>
        <w:pStyle w:val="12"/>
      </w:pPr>
      <w:r w:rsidRPr="00F219CA">
        <w:t xml:space="preserve">Publisher: </w:t>
      </w:r>
    </w:p>
    <w:p w:rsidR="00BF48C2" w:rsidRPr="00F219CA" w:rsidRDefault="00BF48C2" w:rsidP="00BF48C2">
      <w:pPr>
        <w:pStyle w:val="12"/>
      </w:pPr>
      <w:r w:rsidRPr="00F219CA">
        <w:t xml:space="preserve">Publisher Address: </w:t>
      </w:r>
    </w:p>
    <w:p w:rsidR="00BF48C2" w:rsidRPr="00F219CA" w:rsidRDefault="00BF48C2" w:rsidP="00BF48C2">
      <w:pPr>
        <w:pStyle w:val="12"/>
      </w:pPr>
      <w:r w:rsidRPr="00F219CA">
        <w:t>Subject Categories:</w:t>
      </w:r>
    </w:p>
    <w:p w:rsidR="00BF48C2" w:rsidRPr="00F219CA" w:rsidRDefault="00BF48C2" w:rsidP="00BF48C2">
      <w:pPr>
        <w:pStyle w:val="12"/>
      </w:pPr>
      <w:r w:rsidRPr="00F219CA">
        <w:t>: Impact Factor</w:t>
      </w:r>
    </w:p>
    <w:p w:rsidR="00BF48C2" w:rsidRDefault="00BF48C2" w:rsidP="00BF48C2">
      <w:pPr>
        <w:pStyle w:val="a3"/>
        <w:rPr>
          <w:kern w:val="0"/>
        </w:rPr>
      </w:pPr>
      <w:r>
        <w:rPr>
          <w:rFonts w:hint="eastAsia"/>
          <w:kern w:val="0"/>
        </w:rPr>
        <w:t xml:space="preserve">? </w:t>
      </w:r>
      <w:r>
        <w:rPr>
          <w:kern w:val="0"/>
        </w:rPr>
        <w:t>Guang, C. (2002), Complete gravitational solution</w:t>
      </w:r>
      <w:r w:rsidR="00427468">
        <w:rPr>
          <w:kern w:val="0"/>
        </w:rPr>
        <w:t xml:space="preserve"> of </w:t>
      </w:r>
      <w:r>
        <w:rPr>
          <w:kern w:val="0"/>
        </w:rPr>
        <w:t>a star with uniform density</w:t>
      </w:r>
      <w:r w:rsidR="005853A9">
        <w:rPr>
          <w:kern w:val="0"/>
        </w:rPr>
        <w:t xml:space="preserve"> and </w:t>
      </w:r>
      <w:r>
        <w:rPr>
          <w:kern w:val="0"/>
        </w:rPr>
        <w:t xml:space="preserve">zero pressure. </w:t>
      </w:r>
      <w:r w:rsidRPr="00596A22">
        <w:rPr>
          <w:i/>
          <w:iCs/>
          <w:kern w:val="0"/>
        </w:rPr>
        <w:t>Acta Physica Sinica</w:t>
      </w:r>
      <w:r>
        <w:rPr>
          <w:kern w:val="0"/>
        </w:rPr>
        <w:t xml:space="preserve">, </w:t>
      </w:r>
      <w:r>
        <w:rPr>
          <w:b/>
          <w:bCs/>
          <w:kern w:val="0"/>
        </w:rPr>
        <w:t>51</w:t>
      </w:r>
      <w:r>
        <w:rPr>
          <w:kern w:val="0"/>
        </w:rPr>
        <w:t xml:space="preserve"> (1), 197-200.</w:t>
      </w:r>
    </w:p>
    <w:p w:rsidR="00BF48C2" w:rsidRDefault="00BF48C2" w:rsidP="00BF48C2">
      <w:pPr>
        <w:pStyle w:val="a3"/>
        <w:rPr>
          <w:kern w:val="0"/>
        </w:rPr>
      </w:pPr>
      <w:r>
        <w:rPr>
          <w:rFonts w:hint="eastAsia"/>
          <w:kern w:val="0"/>
        </w:rPr>
        <w:t xml:space="preserve">Full Text: </w:t>
      </w:r>
      <w:hyperlink r:id="rId183" w:history="1">
        <w:r w:rsidR="00A43944" w:rsidRPr="00A43944">
          <w:rPr>
            <w:rStyle w:val="a5"/>
            <w:kern w:val="0"/>
          </w:rPr>
          <w:t>2002\Act Phy Sin51, 197.pdf</w:t>
        </w:r>
      </w:hyperlink>
    </w:p>
    <w:p w:rsidR="00BF48C2" w:rsidRDefault="00BF48C2" w:rsidP="00BF48C2">
      <w:pPr>
        <w:pStyle w:val="a3"/>
        <w:rPr>
          <w:kern w:val="0"/>
        </w:rPr>
      </w:pPr>
      <w:r>
        <w:rPr>
          <w:kern w:val="0"/>
        </w:rPr>
        <w:t>Abstract:</w:t>
      </w:r>
      <w:r w:rsidR="003A1917">
        <w:rPr>
          <w:kern w:val="0"/>
        </w:rPr>
        <w:t xml:space="preserve"> the </w:t>
      </w:r>
      <w:r>
        <w:rPr>
          <w:kern w:val="0"/>
        </w:rPr>
        <w:t>collapse solution</w:t>
      </w:r>
      <w:r w:rsidR="00427468">
        <w:rPr>
          <w:kern w:val="0"/>
        </w:rPr>
        <w:t xml:space="preserve"> of </w:t>
      </w:r>
      <w:r>
        <w:rPr>
          <w:kern w:val="0"/>
        </w:rPr>
        <w:t>a star with uniform density</w:t>
      </w:r>
      <w:r w:rsidR="005853A9">
        <w:rPr>
          <w:kern w:val="0"/>
        </w:rPr>
        <w:t xml:space="preserve"> and </w:t>
      </w:r>
      <w:r>
        <w:rPr>
          <w:kern w:val="0"/>
        </w:rPr>
        <w:t>zero pressure given in</w:t>
      </w:r>
      <w:r w:rsidR="003A1917">
        <w:rPr>
          <w:kern w:val="0"/>
        </w:rPr>
        <w:t xml:space="preserve"> the </w:t>
      </w:r>
      <w:r>
        <w:rPr>
          <w:kern w:val="0"/>
        </w:rPr>
        <w:t>classic paper</w:t>
      </w:r>
      <w:r w:rsidR="00427468">
        <w:rPr>
          <w:kern w:val="0"/>
        </w:rPr>
        <w:t xml:space="preserve"> of </w:t>
      </w:r>
      <w:r>
        <w:rPr>
          <w:kern w:val="0"/>
        </w:rPr>
        <w:t>Oppenheimer</w:t>
      </w:r>
      <w:r w:rsidR="005853A9">
        <w:rPr>
          <w:kern w:val="0"/>
        </w:rPr>
        <w:t xml:space="preserve"> and </w:t>
      </w:r>
      <w:r>
        <w:rPr>
          <w:kern w:val="0"/>
        </w:rPr>
        <w:t>Snyder is proved to be incomplete; it cannot correctly connect</w:t>
      </w:r>
      <w:r w:rsidR="003A1917">
        <w:rPr>
          <w:kern w:val="0"/>
        </w:rPr>
        <w:t xml:space="preserve"> the </w:t>
      </w:r>
      <w:r>
        <w:rPr>
          <w:kern w:val="0"/>
        </w:rPr>
        <w:t>Friedmann</w:t>
      </w:r>
      <w:r w:rsidR="005853A9">
        <w:rPr>
          <w:kern w:val="0"/>
        </w:rPr>
        <w:t xml:space="preserve"> and </w:t>
      </w:r>
      <w:r>
        <w:rPr>
          <w:kern w:val="0"/>
        </w:rPr>
        <w:t>Schwarzschild metrics as</w:t>
      </w:r>
      <w:r w:rsidR="003A1917">
        <w:rPr>
          <w:kern w:val="0"/>
        </w:rPr>
        <w:t xml:space="preserve"> the </w:t>
      </w:r>
      <w:r>
        <w:rPr>
          <w:kern w:val="0"/>
        </w:rPr>
        <w:t>interior</w:t>
      </w:r>
      <w:r w:rsidR="005853A9">
        <w:rPr>
          <w:kern w:val="0"/>
        </w:rPr>
        <w:t xml:space="preserve"> and </w:t>
      </w:r>
      <w:r>
        <w:rPr>
          <w:kern w:val="0"/>
        </w:rPr>
        <w:t>exterior solutions. By</w:t>
      </w:r>
      <w:r w:rsidR="003A1917">
        <w:rPr>
          <w:kern w:val="0"/>
        </w:rPr>
        <w:t xml:space="preserve"> the </w:t>
      </w:r>
      <w:r>
        <w:rPr>
          <w:kern w:val="0"/>
        </w:rPr>
        <w:t>extension</w:t>
      </w:r>
      <w:r w:rsidR="00427468">
        <w:rPr>
          <w:kern w:val="0"/>
        </w:rPr>
        <w:t xml:space="preserve"> of </w:t>
      </w:r>
      <w:r>
        <w:rPr>
          <w:kern w:val="0"/>
        </w:rPr>
        <w:t>solution parameter in</w:t>
      </w:r>
      <w:r w:rsidR="003A1917">
        <w:rPr>
          <w:kern w:val="0"/>
        </w:rPr>
        <w:t xml:space="preserve"> the </w:t>
      </w:r>
      <w:r>
        <w:rPr>
          <w:kern w:val="0"/>
        </w:rPr>
        <w:t>discrete spacetime, we construct a complete gravitational solution, which could make an equivalence connection between</w:t>
      </w:r>
      <w:r w:rsidR="003A1917">
        <w:rPr>
          <w:kern w:val="0"/>
        </w:rPr>
        <w:t xml:space="preserve"> the </w:t>
      </w:r>
      <w:r>
        <w:rPr>
          <w:kern w:val="0"/>
        </w:rPr>
        <w:t>Friedmann</w:t>
      </w:r>
      <w:r w:rsidR="005853A9">
        <w:rPr>
          <w:kern w:val="0"/>
        </w:rPr>
        <w:t xml:space="preserve"> and </w:t>
      </w:r>
      <w:r>
        <w:rPr>
          <w:kern w:val="0"/>
        </w:rPr>
        <w:t>Schwarzschild metrics</w:t>
      </w:r>
      <w:r w:rsidR="005853A9">
        <w:rPr>
          <w:kern w:val="0"/>
        </w:rPr>
        <w:t xml:space="preserve"> and </w:t>
      </w:r>
      <w:r>
        <w:rPr>
          <w:kern w:val="0"/>
        </w:rPr>
        <w:t>is proves to be singularity-free</w:t>
      </w:r>
      <w:r w:rsidR="00A37C1D">
        <w:rPr>
          <w:kern w:val="0"/>
        </w:rPr>
        <w:t>. The</w:t>
      </w:r>
      <w:r w:rsidR="003A1917">
        <w:rPr>
          <w:kern w:val="0"/>
        </w:rPr>
        <w:t xml:space="preserve"> </w:t>
      </w:r>
      <w:r>
        <w:rPr>
          <w:kern w:val="0"/>
        </w:rPr>
        <w:t>solution shows that there exists a relationship among matter, gravitation</w:t>
      </w:r>
      <w:r w:rsidR="005853A9">
        <w:rPr>
          <w:kern w:val="0"/>
        </w:rPr>
        <w:t xml:space="preserve"> and </w:t>
      </w:r>
      <w:r>
        <w:rPr>
          <w:kern w:val="0"/>
        </w:rPr>
        <w:t>discrete spacetime configuration.</w:t>
      </w:r>
    </w:p>
    <w:p w:rsidR="00BF48C2" w:rsidRDefault="00BF48C2" w:rsidP="00BF48C2">
      <w:pPr>
        <w:pStyle w:val="a3"/>
        <w:rPr>
          <w:kern w:val="0"/>
        </w:rPr>
      </w:pPr>
      <w:r>
        <w:rPr>
          <w:kern w:val="0"/>
        </w:rPr>
        <w:t>Keywords: Discrete Spacetime, Friedmann Metric, Metrics, Pressure, Schwarzschild Metric, Solution, Solutions, Uniform Density</w:t>
      </w:r>
      <w:r w:rsidR="005853A9">
        <w:rPr>
          <w:kern w:val="0"/>
        </w:rPr>
        <w:t xml:space="preserve"> and </w:t>
      </w:r>
      <w:r>
        <w:rPr>
          <w:kern w:val="0"/>
        </w:rPr>
        <w:t>Zero Pressure Star</w:t>
      </w:r>
    </w:p>
    <w:p w:rsidR="00211EB4" w:rsidRPr="001A3D2B" w:rsidRDefault="00211EB4" w:rsidP="00211EB4">
      <w:pPr>
        <w:pStyle w:val="1"/>
      </w:pPr>
      <w:r w:rsidRPr="001A3D2B">
        <w:br w:type="page"/>
      </w:r>
      <w:bookmarkStart w:id="91" w:name="_Toc420814284"/>
      <w:r w:rsidRPr="001A3D2B">
        <w:lastRenderedPageBreak/>
        <w:t xml:space="preserve">Title: </w:t>
      </w:r>
      <w:r w:rsidRPr="00211EB4">
        <w:t>Acta Physiologica</w:t>
      </w:r>
      <w:bookmarkEnd w:id="91"/>
    </w:p>
    <w:p w:rsidR="00211EB4" w:rsidRDefault="00211EB4" w:rsidP="00211EB4">
      <w:pPr>
        <w:pStyle w:val="12"/>
      </w:pPr>
      <w:r w:rsidRPr="001A3D2B">
        <w:t xml:space="preserve">Full Journal Title: </w:t>
      </w:r>
      <w:r w:rsidRPr="00211EB4">
        <w:rPr>
          <w:iCs/>
          <w:kern w:val="0"/>
        </w:rPr>
        <w:t>Acta Physiologica</w:t>
      </w:r>
    </w:p>
    <w:p w:rsidR="00211EB4" w:rsidRPr="001A3D2B" w:rsidRDefault="00211EB4" w:rsidP="00211EB4">
      <w:pPr>
        <w:pStyle w:val="12"/>
      </w:pPr>
      <w:r w:rsidRPr="001A3D2B">
        <w:t xml:space="preserve">ISO Abbreviated Title: </w:t>
      </w:r>
    </w:p>
    <w:p w:rsidR="00211EB4" w:rsidRPr="001A3D2B" w:rsidRDefault="00211EB4" w:rsidP="00211EB4">
      <w:pPr>
        <w:pStyle w:val="12"/>
      </w:pPr>
      <w:r w:rsidRPr="001A3D2B">
        <w:t xml:space="preserve">JCR Abbreviated Title: </w:t>
      </w:r>
    </w:p>
    <w:p w:rsidR="00211EB4" w:rsidRPr="001A3D2B" w:rsidRDefault="00211EB4" w:rsidP="00211EB4">
      <w:pPr>
        <w:pStyle w:val="12"/>
      </w:pPr>
      <w:r w:rsidRPr="001A3D2B">
        <w:t xml:space="preserve">ISSN: </w:t>
      </w:r>
    </w:p>
    <w:p w:rsidR="00211EB4" w:rsidRPr="001A3D2B" w:rsidRDefault="00211EB4" w:rsidP="00211EB4">
      <w:pPr>
        <w:pStyle w:val="12"/>
      </w:pPr>
      <w:r w:rsidRPr="001A3D2B">
        <w:t xml:space="preserve">Issues/Year: </w:t>
      </w:r>
    </w:p>
    <w:p w:rsidR="00211EB4" w:rsidRPr="001A3D2B" w:rsidRDefault="00211EB4" w:rsidP="00211EB4">
      <w:pPr>
        <w:pStyle w:val="12"/>
      </w:pPr>
      <w:r w:rsidRPr="001A3D2B">
        <w:t xml:space="preserve">Journal Country/Territory: </w:t>
      </w:r>
    </w:p>
    <w:p w:rsidR="00211EB4" w:rsidRPr="001A3D2B" w:rsidRDefault="00211EB4" w:rsidP="00211EB4">
      <w:pPr>
        <w:pStyle w:val="12"/>
      </w:pPr>
      <w:r w:rsidRPr="001A3D2B">
        <w:t xml:space="preserve">Language: </w:t>
      </w:r>
    </w:p>
    <w:p w:rsidR="00211EB4" w:rsidRPr="001A3D2B" w:rsidRDefault="00211EB4" w:rsidP="00211EB4">
      <w:pPr>
        <w:pStyle w:val="12"/>
      </w:pPr>
      <w:r w:rsidRPr="001A3D2B">
        <w:t xml:space="preserve">Publisher: </w:t>
      </w:r>
    </w:p>
    <w:p w:rsidR="00211EB4" w:rsidRPr="001A3D2B" w:rsidRDefault="00211EB4" w:rsidP="00211EB4">
      <w:pPr>
        <w:pStyle w:val="12"/>
      </w:pPr>
      <w:r w:rsidRPr="001A3D2B">
        <w:t xml:space="preserve">Publisher Address: </w:t>
      </w:r>
    </w:p>
    <w:p w:rsidR="00211EB4" w:rsidRPr="001A3D2B" w:rsidRDefault="00211EB4" w:rsidP="00211EB4">
      <w:pPr>
        <w:pStyle w:val="12"/>
      </w:pPr>
      <w:r w:rsidRPr="001A3D2B">
        <w:t>Subject Categories:</w:t>
      </w:r>
    </w:p>
    <w:p w:rsidR="00211EB4" w:rsidRPr="001A3D2B" w:rsidRDefault="00211EB4" w:rsidP="00211EB4">
      <w:pPr>
        <w:pStyle w:val="12"/>
      </w:pPr>
      <w:r w:rsidRPr="001A3D2B">
        <w:t>: Impact Factor</w:t>
      </w:r>
    </w:p>
    <w:p w:rsidR="00211EB4" w:rsidRDefault="00211EB4" w:rsidP="00211EB4">
      <w:pPr>
        <w:pStyle w:val="a3"/>
        <w:rPr>
          <w:kern w:val="0"/>
        </w:rPr>
      </w:pPr>
      <w:r>
        <w:rPr>
          <w:rFonts w:hint="eastAsia"/>
          <w:kern w:val="0"/>
        </w:rPr>
        <w:t xml:space="preserve">? </w:t>
      </w:r>
      <w:r>
        <w:rPr>
          <w:kern w:val="0"/>
        </w:rPr>
        <w:t>Musa, M.G., Torrens, C.</w:t>
      </w:r>
      <w:r w:rsidR="005853A9">
        <w:rPr>
          <w:kern w:val="0"/>
        </w:rPr>
        <w:t xml:space="preserve"> and </w:t>
      </w:r>
      <w:r>
        <w:rPr>
          <w:kern w:val="0"/>
        </w:rPr>
        <w:t>Clough, G.F. (2014), The microvasculature: A target for nutritional programming</w:t>
      </w:r>
      <w:r w:rsidR="005853A9">
        <w:rPr>
          <w:kern w:val="0"/>
        </w:rPr>
        <w:t xml:space="preserve"> and </w:t>
      </w:r>
      <w:r>
        <w:rPr>
          <w:kern w:val="0"/>
        </w:rPr>
        <w:t>later risk</w:t>
      </w:r>
      <w:r w:rsidR="00427468">
        <w:rPr>
          <w:kern w:val="0"/>
        </w:rPr>
        <w:t xml:space="preserve"> of </w:t>
      </w:r>
      <w:r>
        <w:rPr>
          <w:kern w:val="0"/>
        </w:rPr>
        <w:t xml:space="preserve">cardio-metabolic disease. </w:t>
      </w:r>
      <w:r w:rsidRPr="00211EB4">
        <w:rPr>
          <w:i/>
          <w:iCs/>
          <w:kern w:val="0"/>
        </w:rPr>
        <w:t>Acta Physiologica</w:t>
      </w:r>
      <w:r>
        <w:rPr>
          <w:kern w:val="0"/>
        </w:rPr>
        <w:t xml:space="preserve">, </w:t>
      </w:r>
      <w:r>
        <w:rPr>
          <w:b/>
          <w:bCs/>
          <w:kern w:val="0"/>
        </w:rPr>
        <w:t>210</w:t>
      </w:r>
      <w:r>
        <w:rPr>
          <w:kern w:val="0"/>
        </w:rPr>
        <w:t xml:space="preserve"> (1), 31-45.</w:t>
      </w:r>
    </w:p>
    <w:p w:rsidR="00211EB4" w:rsidRDefault="00211EB4" w:rsidP="00211EB4">
      <w:pPr>
        <w:pStyle w:val="a3"/>
        <w:rPr>
          <w:kern w:val="0"/>
        </w:rPr>
      </w:pPr>
      <w:r>
        <w:rPr>
          <w:rFonts w:hint="eastAsia"/>
          <w:kern w:val="0"/>
        </w:rPr>
        <w:t xml:space="preserve">Full Text: </w:t>
      </w:r>
      <w:hyperlink r:id="rId184" w:history="1">
        <w:r w:rsidRPr="00211EB4">
          <w:rPr>
            <w:rStyle w:val="a5"/>
            <w:kern w:val="0"/>
          </w:rPr>
          <w:t>2014\Act Phy210, 31.pdf</w:t>
        </w:r>
      </w:hyperlink>
    </w:p>
    <w:p w:rsidR="00211EB4" w:rsidRDefault="00211EB4" w:rsidP="00211EB4">
      <w:pPr>
        <w:pStyle w:val="a3"/>
        <w:rPr>
          <w:kern w:val="0"/>
        </w:rPr>
      </w:pPr>
      <w:r>
        <w:rPr>
          <w:kern w:val="0"/>
        </w:rPr>
        <w:t>Abstract: There is compelling evidence that microvascular deficits affecting multiple tissues</w:t>
      </w:r>
      <w:r w:rsidR="005853A9">
        <w:rPr>
          <w:kern w:val="0"/>
        </w:rPr>
        <w:t xml:space="preserve"> and </w:t>
      </w:r>
      <w:r>
        <w:rPr>
          <w:kern w:val="0"/>
        </w:rPr>
        <w:t>organs play an important role in the aetiopathogenesis</w:t>
      </w:r>
      <w:r w:rsidR="00427468">
        <w:rPr>
          <w:kern w:val="0"/>
        </w:rPr>
        <w:t xml:space="preserve"> of </w:t>
      </w:r>
      <w:r>
        <w:rPr>
          <w:kern w:val="0"/>
        </w:rPr>
        <w:t>cardio-metabolic disease. Furthermore, both in humans</w:t>
      </w:r>
      <w:r w:rsidR="005853A9">
        <w:rPr>
          <w:kern w:val="0"/>
        </w:rPr>
        <w:t xml:space="preserve"> and </w:t>
      </w:r>
      <w:r>
        <w:rPr>
          <w:kern w:val="0"/>
        </w:rPr>
        <w:t>animal models, deficits in small vessel structure</w:t>
      </w:r>
      <w:r w:rsidR="005853A9">
        <w:rPr>
          <w:kern w:val="0"/>
        </w:rPr>
        <w:t xml:space="preserve"> and </w:t>
      </w:r>
      <w:r>
        <w:rPr>
          <w:kern w:val="0"/>
        </w:rPr>
        <w:t>function can be detected early, often before the onset</w:t>
      </w:r>
      <w:r w:rsidR="00427468">
        <w:rPr>
          <w:kern w:val="0"/>
        </w:rPr>
        <w:t xml:space="preserve"> of </w:t>
      </w:r>
      <w:r>
        <w:rPr>
          <w:kern w:val="0"/>
        </w:rPr>
        <w:t>macrovascular disease</w:t>
      </w:r>
      <w:r w:rsidR="005853A9">
        <w:rPr>
          <w:kern w:val="0"/>
        </w:rPr>
        <w:t xml:space="preserve"> and </w:t>
      </w:r>
      <w:r>
        <w:rPr>
          <w:kern w:val="0"/>
        </w:rPr>
        <w:t>the development</w:t>
      </w:r>
      <w:r w:rsidR="00427468">
        <w:rPr>
          <w:kern w:val="0"/>
        </w:rPr>
        <w:t xml:space="preserve"> of </w:t>
      </w:r>
      <w:r>
        <w:rPr>
          <w:kern w:val="0"/>
        </w:rPr>
        <w:t>end-organ damage that is common to hypertension</w:t>
      </w:r>
      <w:r w:rsidR="005853A9">
        <w:rPr>
          <w:kern w:val="0"/>
        </w:rPr>
        <w:t xml:space="preserve"> and </w:t>
      </w:r>
      <w:r>
        <w:rPr>
          <w:kern w:val="0"/>
        </w:rPr>
        <w:t>obesity-associated clinical disorders. This article considers the growing evidence for the negative impact</w:t>
      </w:r>
      <w:r w:rsidR="00427468">
        <w:rPr>
          <w:kern w:val="0"/>
        </w:rPr>
        <w:t xml:space="preserve"> of </w:t>
      </w:r>
      <w:r>
        <w:rPr>
          <w:kern w:val="0"/>
        </w:rPr>
        <w:t>an adverse maternal diet on the long-term health</w:t>
      </w:r>
      <w:r w:rsidR="00427468">
        <w:rPr>
          <w:kern w:val="0"/>
        </w:rPr>
        <w:t xml:space="preserve"> of </w:t>
      </w:r>
      <w:r>
        <w:rPr>
          <w:kern w:val="0"/>
        </w:rPr>
        <w:t>her child,</w:t>
      </w:r>
      <w:r w:rsidR="005853A9">
        <w:rPr>
          <w:kern w:val="0"/>
        </w:rPr>
        <w:t xml:space="preserve"> and </w:t>
      </w:r>
      <w:r>
        <w:rPr>
          <w:kern w:val="0"/>
        </w:rPr>
        <w:t>how this can result in a disadvantageous vascular phenotype that extends to the microvascular bed. We describe how structural</w:t>
      </w:r>
      <w:r w:rsidR="005853A9">
        <w:rPr>
          <w:kern w:val="0"/>
        </w:rPr>
        <w:t xml:space="preserve"> and </w:t>
      </w:r>
      <w:r>
        <w:rPr>
          <w:kern w:val="0"/>
        </w:rPr>
        <w:t>functional modifications in the offspring microcirculation during development may represent an important</w:t>
      </w:r>
      <w:r w:rsidR="005853A9">
        <w:rPr>
          <w:kern w:val="0"/>
        </w:rPr>
        <w:t xml:space="preserve"> and </w:t>
      </w:r>
      <w:r>
        <w:rPr>
          <w:kern w:val="0"/>
        </w:rPr>
        <w:t>additional risk determinant to increase susceptibility to the development</w:t>
      </w:r>
      <w:r w:rsidR="00427468">
        <w:rPr>
          <w:kern w:val="0"/>
        </w:rPr>
        <w:t xml:space="preserve"> of </w:t>
      </w:r>
      <w:r>
        <w:rPr>
          <w:kern w:val="0"/>
        </w:rPr>
        <w:t>cardio-metabolic disease in adult life</w:t>
      </w:r>
      <w:r w:rsidR="005853A9">
        <w:rPr>
          <w:kern w:val="0"/>
        </w:rPr>
        <w:t xml:space="preserve"> and </w:t>
      </w:r>
      <w:r>
        <w:rPr>
          <w:kern w:val="0"/>
        </w:rPr>
        <w:t>consider the cell-signalling pathways associated with endothelial dysfunction that may be primed</w:t>
      </w:r>
      <w:r w:rsidR="00700038">
        <w:rPr>
          <w:kern w:val="0"/>
        </w:rPr>
        <w:t>’</w:t>
      </w:r>
      <w:r>
        <w:rPr>
          <w:kern w:val="0"/>
        </w:rPr>
        <w:t xml:space="preserve"> by the maternal environment. Published studies were identified that reported outcomes related to the microcirculation, endothelium, maternal diet</w:t>
      </w:r>
      <w:r w:rsidR="005853A9">
        <w:rPr>
          <w:kern w:val="0"/>
        </w:rPr>
        <w:t xml:space="preserve"> and </w:t>
      </w:r>
      <w:r>
        <w:rPr>
          <w:kern w:val="0"/>
        </w:rPr>
        <w:t>vascular programming using NCBI PubMed.gov, MEDLINE</w:t>
      </w:r>
      <w:r w:rsidR="005853A9">
        <w:rPr>
          <w:kern w:val="0"/>
        </w:rPr>
        <w:t xml:space="preserve"> and </w:t>
      </w:r>
      <w:r>
        <w:rPr>
          <w:kern w:val="0"/>
        </w:rPr>
        <w:t>ISI Web</w:t>
      </w:r>
      <w:r w:rsidR="00427468">
        <w:rPr>
          <w:kern w:val="0"/>
        </w:rPr>
        <w:t xml:space="preserve"> of </w:t>
      </w:r>
      <w:r>
        <w:rPr>
          <w:kern w:val="0"/>
        </w:rPr>
        <w:t>Science databases from 1980 until April 2013 using pre-specified search terms. Information extracted from over 230 original reports</w:t>
      </w:r>
      <w:r w:rsidR="005853A9">
        <w:rPr>
          <w:kern w:val="0"/>
        </w:rPr>
        <w:t xml:space="preserve"> and </w:t>
      </w:r>
      <w:r>
        <w:rPr>
          <w:kern w:val="0"/>
        </w:rPr>
        <w:t>review articles was critically evaluated by the authors for inclusion in this review.</w:t>
      </w:r>
    </w:p>
    <w:p w:rsidR="00211EB4" w:rsidRDefault="00211EB4" w:rsidP="00211EB4">
      <w:pPr>
        <w:pStyle w:val="a3"/>
        <w:rPr>
          <w:kern w:val="0"/>
        </w:rPr>
      </w:pPr>
      <w:r>
        <w:rPr>
          <w:kern w:val="0"/>
        </w:rPr>
        <w:t xml:space="preserve">Keywords: Adult, Authors, Child, Clinical, Damage, Databases, Development, Developmental Programming, Diet, Disease, Endothelial Dysfunction, Endothelium, </w:t>
      </w:r>
      <w:r>
        <w:rPr>
          <w:kern w:val="0"/>
        </w:rPr>
        <w:lastRenderedPageBreak/>
        <w:t>England, Environment, Evidence, Function, Health, High-Fat Diet, Higher Blood-Pressure, Humans, Hypertension, Impact, Information, Intrauterine Undernourished Rats, ISI, ISI Web</w:t>
      </w:r>
      <w:r w:rsidR="00427468">
        <w:rPr>
          <w:kern w:val="0"/>
        </w:rPr>
        <w:t xml:space="preserve"> of </w:t>
      </w:r>
      <w:r>
        <w:rPr>
          <w:kern w:val="0"/>
        </w:rPr>
        <w:t>Science, Life, Long Term, Long-Term, Low-Birth-Weight, Maternal, Maternal Protein Restriction, Medline, Microvasculature, Models, Nutrition, Obese Zucker Rats, Onset, Outcomes, Pathways, Programming, Review, Risk, River, Role, Science, Si, Skeletal-Muscle Development, Small, Small Mesenteric-Arteries, Structure, Thrifty Phenotype Hypothesis, USA, Visceral Organ Mass, Web</w:t>
      </w:r>
      <w:r w:rsidR="00427468">
        <w:rPr>
          <w:kern w:val="0"/>
        </w:rPr>
        <w:t xml:space="preserve"> of </w:t>
      </w:r>
      <w:r>
        <w:rPr>
          <w:kern w:val="0"/>
        </w:rPr>
        <w:t>Science, Web</w:t>
      </w:r>
      <w:r w:rsidR="00427468">
        <w:rPr>
          <w:kern w:val="0"/>
        </w:rPr>
        <w:t xml:space="preserve"> of </w:t>
      </w:r>
      <w:r>
        <w:rPr>
          <w:kern w:val="0"/>
        </w:rPr>
        <w:t>Science Databases</w:t>
      </w:r>
    </w:p>
    <w:p w:rsidR="003B6C33" w:rsidRDefault="003B6C33" w:rsidP="003B6C33">
      <w:pPr>
        <w:pStyle w:val="a3"/>
        <w:rPr>
          <w:kern w:val="0"/>
        </w:rPr>
      </w:pPr>
      <w:r>
        <w:rPr>
          <w:rFonts w:hint="eastAsia"/>
          <w:kern w:val="0"/>
        </w:rPr>
        <w:t xml:space="preserve">? </w:t>
      </w:r>
      <w:r>
        <w:rPr>
          <w:kern w:val="0"/>
        </w:rPr>
        <w:t xml:space="preserve">Persson, P.B. (2014), Bibliometric performance of </w:t>
      </w:r>
      <w:r w:rsidRPr="00545593">
        <w:rPr>
          <w:i/>
          <w:kern w:val="0"/>
        </w:rPr>
        <w:t>Acta Physiologica</w:t>
      </w:r>
      <w:r>
        <w:rPr>
          <w:kern w:val="0"/>
        </w:rPr>
        <w:t xml:space="preserve">. </w:t>
      </w:r>
      <w:r>
        <w:rPr>
          <w:i/>
          <w:iCs/>
          <w:kern w:val="0"/>
        </w:rPr>
        <w:t>Acta Physiologica</w:t>
      </w:r>
      <w:r>
        <w:rPr>
          <w:kern w:val="0"/>
        </w:rPr>
        <w:t xml:space="preserve">, </w:t>
      </w:r>
      <w:r>
        <w:rPr>
          <w:b/>
          <w:bCs/>
          <w:kern w:val="0"/>
        </w:rPr>
        <w:t>212</w:t>
      </w:r>
      <w:r>
        <w:rPr>
          <w:kern w:val="0"/>
        </w:rPr>
        <w:t xml:space="preserve"> (2), 119</w:t>
      </w:r>
      <w:r>
        <w:rPr>
          <w:rFonts w:hint="eastAsia"/>
          <w:kern w:val="0"/>
        </w:rPr>
        <w:t>.</w:t>
      </w:r>
    </w:p>
    <w:p w:rsidR="003B6C33" w:rsidRDefault="003B6C33" w:rsidP="003B6C33">
      <w:pPr>
        <w:pStyle w:val="a3"/>
        <w:rPr>
          <w:kern w:val="0"/>
        </w:rPr>
      </w:pPr>
      <w:r>
        <w:rPr>
          <w:rFonts w:hint="eastAsia"/>
          <w:kern w:val="0"/>
        </w:rPr>
        <w:t xml:space="preserve">Full Text: </w:t>
      </w:r>
      <w:hyperlink r:id="rId185" w:history="1">
        <w:r w:rsidRPr="003B6C33">
          <w:rPr>
            <w:rStyle w:val="a5"/>
            <w:kern w:val="0"/>
          </w:rPr>
          <w:t>2014\Act Phy212, 119.pdf</w:t>
        </w:r>
      </w:hyperlink>
    </w:p>
    <w:p w:rsidR="003B6C33" w:rsidRDefault="003B6C33" w:rsidP="003B6C33">
      <w:pPr>
        <w:pStyle w:val="a3"/>
        <w:rPr>
          <w:kern w:val="0"/>
        </w:rPr>
      </w:pPr>
      <w:r>
        <w:rPr>
          <w:kern w:val="0"/>
        </w:rPr>
        <w:t>Keywords: Bibliometric</w:t>
      </w:r>
      <w:r>
        <w:rPr>
          <w:rFonts w:hint="eastAsia"/>
          <w:kern w:val="0"/>
        </w:rPr>
        <w:t xml:space="preserve">, </w:t>
      </w:r>
      <w:r>
        <w:rPr>
          <w:kern w:val="0"/>
        </w:rPr>
        <w:t>Performance</w:t>
      </w:r>
    </w:p>
    <w:p w:rsidR="003474F2" w:rsidRPr="001A3D2B" w:rsidRDefault="003474F2" w:rsidP="003474F2">
      <w:pPr>
        <w:pStyle w:val="1"/>
      </w:pPr>
      <w:r w:rsidRPr="001A3D2B">
        <w:br w:type="page"/>
      </w:r>
      <w:bookmarkStart w:id="92" w:name="_Toc420814285"/>
      <w:r w:rsidRPr="001A3D2B">
        <w:lastRenderedPageBreak/>
        <w:t>Title: Acta Physiologica Scandinavica</w:t>
      </w:r>
      <w:bookmarkEnd w:id="92"/>
    </w:p>
    <w:p w:rsidR="003474F2" w:rsidRPr="001A3D2B" w:rsidRDefault="003474F2" w:rsidP="003474F2">
      <w:pPr>
        <w:pStyle w:val="12"/>
      </w:pPr>
      <w:r w:rsidRPr="001A3D2B">
        <w:t xml:space="preserve">Full Journal Title: </w:t>
      </w:r>
      <w:hyperlink r:id="rId186" w:history="1">
        <w:r w:rsidRPr="001A3D2B">
          <w:rPr>
            <w:rStyle w:val="a5"/>
          </w:rPr>
          <w:t>Acta Physiologica Scandinavica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xml:space="preserve">(2001), Instructions to authors. </w:t>
      </w:r>
      <w:r w:rsidRPr="001A3D2B">
        <w:rPr>
          <w:i/>
          <w:iCs/>
        </w:rPr>
        <w:t>Acta Physiologica Scandinavica</w:t>
      </w:r>
      <w:r w:rsidRPr="001A3D2B">
        <w:t xml:space="preserve">, </w:t>
      </w:r>
      <w:r w:rsidRPr="001A3D2B">
        <w:rPr>
          <w:b/>
        </w:rPr>
        <w:t>171</w:t>
      </w:r>
      <w:r w:rsidRPr="001A3D2B">
        <w:t xml:space="preserve"> (1), 113-116.</w:t>
      </w:r>
    </w:p>
    <w:p w:rsidR="003474F2" w:rsidRPr="001A3D2B" w:rsidRDefault="003474F2" w:rsidP="003474F2">
      <w:pPr>
        <w:pStyle w:val="a3"/>
      </w:pPr>
      <w:r w:rsidRPr="001A3D2B">
        <w:t xml:space="preserve">Full Text: </w:t>
      </w:r>
      <w:hyperlink r:id="rId187" w:history="1">
        <w:r w:rsidRPr="001A3D2B">
          <w:rPr>
            <w:rStyle w:val="a5"/>
          </w:rPr>
          <w:t>2001\Act Phy Sca171, 113.pdf</w:t>
        </w:r>
      </w:hyperlink>
    </w:p>
    <w:p w:rsidR="003474F2" w:rsidRPr="001A3D2B" w:rsidRDefault="003474F2" w:rsidP="003474F2">
      <w:pPr>
        <w:pStyle w:val="a3"/>
      </w:pPr>
      <w:r w:rsidRPr="001A3D2B">
        <w:t xml:space="preserve">(2002), Instructions to authors. </w:t>
      </w:r>
      <w:r w:rsidRPr="001A3D2B">
        <w:rPr>
          <w:i/>
          <w:iCs/>
        </w:rPr>
        <w:t>Acta Physiologica Scandinavica</w:t>
      </w:r>
      <w:r w:rsidRPr="001A3D2B">
        <w:t xml:space="preserve">, </w:t>
      </w:r>
      <w:r w:rsidRPr="001A3D2B">
        <w:rPr>
          <w:b/>
        </w:rPr>
        <w:t>174</w:t>
      </w:r>
      <w:r w:rsidRPr="001A3D2B">
        <w:t xml:space="preserve"> (1), 87-90.</w:t>
      </w:r>
    </w:p>
    <w:p w:rsidR="003474F2" w:rsidRPr="001A3D2B" w:rsidRDefault="003474F2" w:rsidP="003474F2">
      <w:pPr>
        <w:pStyle w:val="a3"/>
      </w:pPr>
      <w:r w:rsidRPr="001A3D2B">
        <w:t xml:space="preserve">Full Text: </w:t>
      </w:r>
      <w:hyperlink r:id="rId188" w:history="1">
        <w:r w:rsidRPr="001A3D2B">
          <w:rPr>
            <w:rStyle w:val="a5"/>
          </w:rPr>
          <w:t>2002\Act Phy Sca174, 87.pdf</w:t>
        </w:r>
      </w:hyperlink>
    </w:p>
    <w:p w:rsidR="003474F2" w:rsidRPr="001A3D2B" w:rsidRDefault="003474F2" w:rsidP="003474F2">
      <w:pPr>
        <w:pStyle w:val="a3"/>
      </w:pPr>
      <w:r w:rsidRPr="001A3D2B">
        <w:t xml:space="preserve">(2003), Instructions to authors. </w:t>
      </w:r>
      <w:r w:rsidRPr="001A3D2B">
        <w:rPr>
          <w:i/>
          <w:iCs/>
        </w:rPr>
        <w:t>Acta Physiologica Scandinavica</w:t>
      </w:r>
      <w:r w:rsidRPr="001A3D2B">
        <w:t xml:space="preserve">, </w:t>
      </w:r>
      <w:r w:rsidRPr="001A3D2B">
        <w:rPr>
          <w:b/>
        </w:rPr>
        <w:t>177</w:t>
      </w:r>
      <w:r w:rsidRPr="001A3D2B">
        <w:t xml:space="preserve"> (1), 101-104.</w:t>
      </w:r>
    </w:p>
    <w:p w:rsidR="003474F2" w:rsidRPr="001A3D2B" w:rsidRDefault="003474F2" w:rsidP="003474F2">
      <w:pPr>
        <w:pStyle w:val="a3"/>
      </w:pPr>
      <w:r w:rsidRPr="001A3D2B">
        <w:t xml:space="preserve">Full Text: </w:t>
      </w:r>
      <w:hyperlink r:id="rId189" w:history="1">
        <w:r w:rsidRPr="001A3D2B">
          <w:rPr>
            <w:rStyle w:val="a5"/>
          </w:rPr>
          <w:t>2003\Act Phy Sca177, 104.pdf</w:t>
        </w:r>
      </w:hyperlink>
    </w:p>
    <w:p w:rsidR="003474F2" w:rsidRPr="001A3D2B" w:rsidRDefault="003474F2" w:rsidP="003474F2">
      <w:pPr>
        <w:pStyle w:val="1"/>
      </w:pPr>
      <w:r w:rsidRPr="001A3D2B">
        <w:br w:type="page"/>
      </w:r>
      <w:bookmarkStart w:id="93" w:name="_Toc54840417"/>
      <w:bookmarkStart w:id="94" w:name="_Toc81215576"/>
      <w:bookmarkStart w:id="95" w:name="_Toc420814286"/>
      <w:r w:rsidRPr="001A3D2B">
        <w:lastRenderedPageBreak/>
        <w:t>Title: Acta Psychiatrica Scandinavica</w:t>
      </w:r>
      <w:bookmarkEnd w:id="93"/>
      <w:bookmarkEnd w:id="94"/>
      <w:bookmarkEnd w:id="95"/>
    </w:p>
    <w:p w:rsidR="003474F2" w:rsidRPr="001A3D2B" w:rsidRDefault="003474F2" w:rsidP="003474F2">
      <w:pPr>
        <w:pStyle w:val="12"/>
      </w:pPr>
      <w:r w:rsidRPr="001A3D2B">
        <w:t xml:space="preserve">Full Journal Title: </w:t>
      </w:r>
      <w:hyperlink r:id="rId190" w:history="1">
        <w:r w:rsidRPr="001A3D2B">
          <w:rPr>
            <w:rStyle w:val="a5"/>
          </w:rPr>
          <w:t>Acta Psychiatrica Scandinavica</w:t>
        </w:r>
      </w:hyperlink>
    </w:p>
    <w:p w:rsidR="003474F2" w:rsidRPr="001A3D2B" w:rsidRDefault="003474F2" w:rsidP="003474F2">
      <w:pPr>
        <w:pStyle w:val="12"/>
      </w:pPr>
      <w:r w:rsidRPr="001A3D2B">
        <w:t>ISO Abbreviated Title: Acta psychiatr. Scand.</w:t>
      </w:r>
    </w:p>
    <w:p w:rsidR="003474F2" w:rsidRPr="001A3D2B" w:rsidRDefault="003474F2" w:rsidP="003474F2">
      <w:pPr>
        <w:pStyle w:val="12"/>
      </w:pPr>
      <w:r w:rsidRPr="001A3D2B">
        <w:t>JCR Abbreviated Title: Acta Psychiat Scand</w:t>
      </w:r>
    </w:p>
    <w:p w:rsidR="003474F2" w:rsidRPr="001A3D2B" w:rsidRDefault="003474F2" w:rsidP="003474F2">
      <w:pPr>
        <w:pStyle w:val="12"/>
      </w:pPr>
      <w:r w:rsidRPr="001A3D2B">
        <w:t>ISSN: 0001-690x</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Denmark</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Munksgaard</w:t>
      </w:r>
    </w:p>
    <w:p w:rsidR="003474F2" w:rsidRPr="001A3D2B" w:rsidRDefault="003474F2" w:rsidP="003474F2">
      <w:pPr>
        <w:pStyle w:val="12"/>
      </w:pPr>
      <w:r w:rsidRPr="001A3D2B">
        <w:t xml:space="preserve">Publisher Address: 35 Norre Sogade, </w:t>
      </w:r>
      <w:smartTag w:uri="urn:schemas-microsoft-com:office:smarttags" w:element="address">
        <w:smartTag w:uri="urn:schemas-microsoft-com:office:smarttags" w:element="Street">
          <w:r w:rsidRPr="001A3D2B">
            <w:t>PO Box</w:t>
          </w:r>
        </w:smartTag>
        <w:r w:rsidRPr="001A3D2B">
          <w:t xml:space="preserve"> 2148</w:t>
        </w:r>
      </w:smartTag>
      <w:r w:rsidRPr="001A3D2B">
        <w:t xml:space="preserve">, DK-1016 </w:t>
      </w:r>
      <w:smartTag w:uri="urn:schemas-microsoft-com:office:smarttags" w:element="place">
        <w:smartTag w:uri="urn:schemas-microsoft-com:office:smarttags" w:element="City">
          <w:r w:rsidRPr="001A3D2B">
            <w:t>Copenhagen</w:t>
          </w:r>
        </w:smartTag>
        <w:r w:rsidRPr="001A3D2B">
          <w:t xml:space="preserve">, </w:t>
        </w:r>
        <w:smartTag w:uri="urn:schemas-microsoft-com:office:smarttags" w:element="country-region">
          <w:r w:rsidRPr="001A3D2B">
            <w:t>Denmark</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Psychiatry: Impact Factor 2.259/(2002)</w:t>
      </w:r>
    </w:p>
    <w:p w:rsidR="0081530A" w:rsidRDefault="0081530A" w:rsidP="0081530A">
      <w:pPr>
        <w:pStyle w:val="a3"/>
        <w:rPr>
          <w:kern w:val="0"/>
        </w:rPr>
      </w:pPr>
      <w:r>
        <w:rPr>
          <w:rFonts w:hint="eastAsia"/>
          <w:kern w:val="0"/>
        </w:rPr>
        <w:t xml:space="preserve">? </w:t>
      </w:r>
      <w:r>
        <w:rPr>
          <w:kern w:val="0"/>
        </w:rPr>
        <w:t>Eberhard-Gran, M., Eskild, A., Tambs, K., Opjordsmoen, S.</w:t>
      </w:r>
      <w:r w:rsidR="005853A9">
        <w:rPr>
          <w:kern w:val="0"/>
        </w:rPr>
        <w:t xml:space="preserve"> and </w:t>
      </w:r>
      <w:r>
        <w:rPr>
          <w:kern w:val="0"/>
        </w:rPr>
        <w:t>Samuelsen, S.O. (2001), Review</w:t>
      </w:r>
      <w:r w:rsidR="00427468">
        <w:rPr>
          <w:kern w:val="0"/>
        </w:rPr>
        <w:t xml:space="preserve"> of </w:t>
      </w:r>
      <w:r>
        <w:rPr>
          <w:kern w:val="0"/>
        </w:rPr>
        <w:t>validation studies</w:t>
      </w:r>
      <w:r w:rsidR="00427468">
        <w:rPr>
          <w:kern w:val="0"/>
        </w:rPr>
        <w:t xml:space="preserve"> of </w:t>
      </w:r>
      <w:r w:rsidR="003A1917">
        <w:rPr>
          <w:kern w:val="0"/>
        </w:rPr>
        <w:t xml:space="preserve">the </w:t>
      </w:r>
      <w:r>
        <w:rPr>
          <w:kern w:val="0"/>
        </w:rPr>
        <w:t xml:space="preserve">Edinburgh postnatal depression scale. </w:t>
      </w:r>
      <w:r>
        <w:rPr>
          <w:i/>
          <w:iCs/>
          <w:kern w:val="0"/>
        </w:rPr>
        <w:t>Acta Psychiatrica Scandinavica</w:t>
      </w:r>
      <w:r>
        <w:rPr>
          <w:kern w:val="0"/>
        </w:rPr>
        <w:t xml:space="preserve">, </w:t>
      </w:r>
      <w:r>
        <w:rPr>
          <w:b/>
          <w:bCs/>
          <w:kern w:val="0"/>
        </w:rPr>
        <w:t>104</w:t>
      </w:r>
      <w:r>
        <w:rPr>
          <w:kern w:val="0"/>
        </w:rPr>
        <w:t xml:space="preserve"> (4), 243-249.</w:t>
      </w:r>
    </w:p>
    <w:p w:rsidR="0081530A" w:rsidRPr="001A3D2B" w:rsidRDefault="0081530A" w:rsidP="0081530A">
      <w:pPr>
        <w:pStyle w:val="a3"/>
      </w:pPr>
      <w:r w:rsidRPr="001A3D2B">
        <w:t xml:space="preserve">Full Text: </w:t>
      </w:r>
      <w:hyperlink r:id="rId191" w:history="1">
        <w:r w:rsidRPr="00621BF9">
          <w:rPr>
            <w:rStyle w:val="a5"/>
          </w:rPr>
          <w:t>2001\Act Psy Sca104, 243.pdf</w:t>
        </w:r>
      </w:hyperlink>
    </w:p>
    <w:p w:rsidR="0081530A" w:rsidRDefault="0081530A" w:rsidP="0081530A">
      <w:pPr>
        <w:pStyle w:val="a3"/>
        <w:rPr>
          <w:kern w:val="0"/>
        </w:rPr>
      </w:pPr>
      <w:r>
        <w:rPr>
          <w:kern w:val="0"/>
        </w:rPr>
        <w:t>Abstract: Objective: To review validation studies</w:t>
      </w:r>
      <w:r w:rsidR="00427468">
        <w:rPr>
          <w:kern w:val="0"/>
        </w:rPr>
        <w:t xml:space="preserve"> of </w:t>
      </w:r>
      <w:r w:rsidR="003A1917">
        <w:rPr>
          <w:kern w:val="0"/>
        </w:rPr>
        <w:t xml:space="preserve">the </w:t>
      </w:r>
      <w:r>
        <w:rPr>
          <w:kern w:val="0"/>
        </w:rPr>
        <w:t xml:space="preserve">Edinburgh Postnatal Depression Scale (EPDS). Method: A systematic search was performed in </w:t>
      </w:r>
      <w:r w:rsidR="00D5664A">
        <w:rPr>
          <w:kern w:val="0"/>
        </w:rPr>
        <w:t>MEDLINE</w:t>
      </w:r>
      <w:r w:rsidR="005853A9">
        <w:rPr>
          <w:kern w:val="0"/>
        </w:rPr>
        <w:t xml:space="preserve"> and </w:t>
      </w:r>
      <w:r w:rsidR="003A1917">
        <w:rPr>
          <w:kern w:val="0"/>
        </w:rPr>
        <w:t xml:space="preserve">the </w:t>
      </w:r>
      <w:r>
        <w:rPr>
          <w:kern w:val="0"/>
        </w:rPr>
        <w:t>Science Citation Index Expanded (ISI) from</w:t>
      </w:r>
      <w:r w:rsidR="003A1917">
        <w:rPr>
          <w:kern w:val="0"/>
        </w:rPr>
        <w:t xml:space="preserve"> the </w:t>
      </w:r>
      <w:r>
        <w:rPr>
          <w:kern w:val="0"/>
        </w:rPr>
        <w:t>period 1987-2000. For sensitivity</w:t>
      </w:r>
      <w:r w:rsidR="005853A9">
        <w:rPr>
          <w:kern w:val="0"/>
        </w:rPr>
        <w:t xml:space="preserve"> and </w:t>
      </w:r>
      <w:r>
        <w:rPr>
          <w:kern w:val="0"/>
        </w:rPr>
        <w:t>specificity</w:t>
      </w:r>
      <w:r w:rsidR="00427468">
        <w:rPr>
          <w:kern w:val="0"/>
        </w:rPr>
        <w:t xml:space="preserve"> of </w:t>
      </w:r>
      <w:r w:rsidR="003A1917">
        <w:rPr>
          <w:kern w:val="0"/>
        </w:rPr>
        <w:t xml:space="preserve">the </w:t>
      </w:r>
      <w:r>
        <w:rPr>
          <w:kern w:val="0"/>
        </w:rPr>
        <w:t>EPDS presented in each study, 95% confidence intervals were estimated. Positive</w:t>
      </w:r>
      <w:r w:rsidR="005853A9">
        <w:rPr>
          <w:kern w:val="0"/>
        </w:rPr>
        <w:t xml:space="preserve"> and </w:t>
      </w:r>
      <w:r>
        <w:rPr>
          <w:kern w:val="0"/>
        </w:rPr>
        <w:t>negative predictive values were estimated assuming prevalences</w:t>
      </w:r>
      <w:r w:rsidR="00427468">
        <w:rPr>
          <w:kern w:val="0"/>
        </w:rPr>
        <w:t xml:space="preserve"> of </w:t>
      </w:r>
      <w:r>
        <w:rPr>
          <w:kern w:val="0"/>
        </w:rPr>
        <w:t>postpartum depression ranging from 5% to 20%. Results: Eighteen validation studies were identified</w:t>
      </w:r>
      <w:r w:rsidR="00A37C1D">
        <w:rPr>
          <w:kern w:val="0"/>
        </w:rPr>
        <w:t>. The</w:t>
      </w:r>
      <w:r w:rsidR="003A1917">
        <w:rPr>
          <w:kern w:val="0"/>
        </w:rPr>
        <w:t xml:space="preserve"> </w:t>
      </w:r>
      <w:r>
        <w:rPr>
          <w:kern w:val="0"/>
        </w:rPr>
        <w:t>study design varied between studies</w:t>
      </w:r>
      <w:r w:rsidR="00A37C1D">
        <w:rPr>
          <w:kern w:val="0"/>
        </w:rPr>
        <w:t>. The</w:t>
      </w:r>
      <w:r w:rsidR="003A1917">
        <w:rPr>
          <w:kern w:val="0"/>
        </w:rPr>
        <w:t xml:space="preserve"> </w:t>
      </w:r>
      <w:r>
        <w:rPr>
          <w:kern w:val="0"/>
        </w:rPr>
        <w:t>sensitivity</w:t>
      </w:r>
      <w:r w:rsidR="005853A9">
        <w:rPr>
          <w:kern w:val="0"/>
        </w:rPr>
        <w:t xml:space="preserve"> and </w:t>
      </w:r>
      <w:r>
        <w:rPr>
          <w:kern w:val="0"/>
        </w:rPr>
        <w:t>specificity estimates also varied: 65-100%</w:t>
      </w:r>
      <w:r w:rsidR="005853A9">
        <w:rPr>
          <w:kern w:val="0"/>
        </w:rPr>
        <w:t xml:space="preserve"> and </w:t>
      </w:r>
      <w:r>
        <w:rPr>
          <w:kern w:val="0"/>
        </w:rPr>
        <w:t>49-100%, respectively</w:t>
      </w:r>
      <w:r w:rsidR="00A37C1D">
        <w:rPr>
          <w:kern w:val="0"/>
        </w:rPr>
        <w:t>. The</w:t>
      </w:r>
      <w:r w:rsidR="003A1917">
        <w:rPr>
          <w:kern w:val="0"/>
        </w:rPr>
        <w:t xml:space="preserve"> </w:t>
      </w:r>
      <w:r>
        <w:rPr>
          <w:kern w:val="0"/>
        </w:rPr>
        <w:t>confidence intervals were estimated to be wide. Our estimates suggest a lower positive predictive value in a normal population than in</w:t>
      </w:r>
      <w:r w:rsidR="003A1917">
        <w:rPr>
          <w:kern w:val="0"/>
        </w:rPr>
        <w:t xml:space="preserve"> the </w:t>
      </w:r>
      <w:r>
        <w:rPr>
          <w:kern w:val="0"/>
        </w:rPr>
        <w:t>validation study samples. Conclusion: Most studies show a high sensitivity</w:t>
      </w:r>
      <w:r w:rsidR="00427468">
        <w:rPr>
          <w:kern w:val="0"/>
        </w:rPr>
        <w:t xml:space="preserve"> of </w:t>
      </w:r>
      <w:r w:rsidR="003A1917">
        <w:rPr>
          <w:kern w:val="0"/>
        </w:rPr>
        <w:t xml:space="preserve">the </w:t>
      </w:r>
      <w:r>
        <w:rPr>
          <w:kern w:val="0"/>
        </w:rPr>
        <w:t>EPDS. Because</w:t>
      </w:r>
      <w:r w:rsidR="00427468">
        <w:rPr>
          <w:kern w:val="0"/>
        </w:rPr>
        <w:t xml:space="preserve"> of </w:t>
      </w:r>
      <w:r w:rsidR="003A1917">
        <w:rPr>
          <w:kern w:val="0"/>
        </w:rPr>
        <w:t xml:space="preserve">the </w:t>
      </w:r>
      <w:r>
        <w:rPr>
          <w:kern w:val="0"/>
        </w:rPr>
        <w:t>differences in study design</w:t>
      </w:r>
      <w:r w:rsidR="005853A9">
        <w:rPr>
          <w:kern w:val="0"/>
        </w:rPr>
        <w:t xml:space="preserve"> and </w:t>
      </w:r>
      <w:r>
        <w:rPr>
          <w:kern w:val="0"/>
        </w:rPr>
        <w:t>large confidence intervals, uncertainty remains regarding</w:t>
      </w:r>
      <w:r w:rsidR="003A1917">
        <w:rPr>
          <w:kern w:val="0"/>
        </w:rPr>
        <w:t xml:space="preserve"> the </w:t>
      </w:r>
      <w:r>
        <w:rPr>
          <w:kern w:val="0"/>
        </w:rPr>
        <w:t>comparability between</w:t>
      </w:r>
      <w:r w:rsidR="003A1917">
        <w:rPr>
          <w:kern w:val="0"/>
        </w:rPr>
        <w:t xml:space="preserve"> the </w:t>
      </w:r>
      <w:r>
        <w:rPr>
          <w:kern w:val="0"/>
        </w:rPr>
        <w:t>sensitivity</w:t>
      </w:r>
      <w:r w:rsidR="005853A9">
        <w:rPr>
          <w:kern w:val="0"/>
        </w:rPr>
        <w:t xml:space="preserve"> and </w:t>
      </w:r>
      <w:r>
        <w:rPr>
          <w:kern w:val="0"/>
        </w:rPr>
        <w:t>specificity estimates</w:t>
      </w:r>
      <w:r w:rsidR="00427468">
        <w:rPr>
          <w:kern w:val="0"/>
        </w:rPr>
        <w:t xml:space="preserve"> of </w:t>
      </w:r>
      <w:r w:rsidR="003A1917">
        <w:rPr>
          <w:kern w:val="0"/>
        </w:rPr>
        <w:t xml:space="preserve">the </w:t>
      </w:r>
      <w:r>
        <w:rPr>
          <w:kern w:val="0"/>
        </w:rPr>
        <w:t>different EPDS versions.</w:t>
      </w:r>
    </w:p>
    <w:p w:rsidR="0081530A" w:rsidRDefault="0081530A" w:rsidP="0081530A">
      <w:pPr>
        <w:pStyle w:val="a3"/>
        <w:rPr>
          <w:kern w:val="0"/>
        </w:rPr>
      </w:pPr>
      <w:r>
        <w:rPr>
          <w:kern w:val="0"/>
        </w:rPr>
        <w:t>Keywords: Citation, Community Sample, Confidence Interval, Confidence Intervals, Depression, Disorders, EPDS</w:t>
      </w:r>
      <w:r w:rsidR="00D5664A">
        <w:rPr>
          <w:kern w:val="0"/>
        </w:rPr>
        <w:t>, ISI,</w:t>
      </w:r>
      <w:r>
        <w:rPr>
          <w:kern w:val="0"/>
        </w:rPr>
        <w:t xml:space="preserve"> Mass Screening, </w:t>
      </w:r>
      <w:r w:rsidR="00D5664A">
        <w:rPr>
          <w:kern w:val="0"/>
        </w:rPr>
        <w:t>MEDLINE</w:t>
      </w:r>
      <w:r>
        <w:rPr>
          <w:kern w:val="0"/>
        </w:rPr>
        <w:t>, Population, Post-Natal Depression, Postpartum Depression, Postpartum Depression, Predictive Value</w:t>
      </w:r>
      <w:r w:rsidR="00427468">
        <w:rPr>
          <w:kern w:val="0"/>
        </w:rPr>
        <w:t xml:space="preserve"> of </w:t>
      </w:r>
      <w:r>
        <w:rPr>
          <w:kern w:val="0"/>
        </w:rPr>
        <w:t>Tests, Rationale, Science, Science Citation Index, Science Citation Index Expanded, Sensitivity</w:t>
      </w:r>
      <w:r w:rsidR="005853A9">
        <w:rPr>
          <w:kern w:val="0"/>
        </w:rPr>
        <w:t xml:space="preserve"> and </w:t>
      </w:r>
      <w:r>
        <w:rPr>
          <w:kern w:val="0"/>
        </w:rPr>
        <w:t>Specificity, Version, Women</w:t>
      </w:r>
    </w:p>
    <w:p w:rsidR="003474F2" w:rsidRPr="001A3D2B" w:rsidRDefault="003474F2" w:rsidP="003474F2">
      <w:pPr>
        <w:pStyle w:val="a3"/>
      </w:pPr>
      <w:r w:rsidRPr="001A3D2B">
        <w:t>Bilsbury, C.D.</w:t>
      </w:r>
      <w:r w:rsidR="005853A9">
        <w:t xml:space="preserve"> and </w:t>
      </w:r>
      <w:r w:rsidRPr="001A3D2B">
        <w:t xml:space="preserve">Richman, A. (2002), A staging approach to measuring patient-centred subjective outcomes. </w:t>
      </w:r>
      <w:r w:rsidRPr="001A3D2B">
        <w:rPr>
          <w:i/>
          <w:iCs/>
        </w:rPr>
        <w:t>Acta Psychiatrica Scandinavica</w:t>
      </w:r>
      <w:r w:rsidRPr="001A3D2B">
        <w:t xml:space="preserve">, </w:t>
      </w:r>
      <w:r w:rsidRPr="001A3D2B">
        <w:rPr>
          <w:b/>
          <w:bCs/>
        </w:rPr>
        <w:t>106</w:t>
      </w:r>
      <w:r w:rsidRPr="001A3D2B">
        <w:t xml:space="preserve"> (S414), </w:t>
      </w:r>
      <w:r w:rsidRPr="001A3D2B">
        <w:lastRenderedPageBreak/>
        <w:t>5-40.</w:t>
      </w:r>
    </w:p>
    <w:p w:rsidR="003474F2" w:rsidRPr="001A3D2B" w:rsidRDefault="003474F2" w:rsidP="003474F2">
      <w:pPr>
        <w:pStyle w:val="a3"/>
      </w:pPr>
      <w:r w:rsidRPr="001A3D2B">
        <w:t xml:space="preserve">Full Text: </w:t>
      </w:r>
      <w:hyperlink r:id="rId192" w:history="1">
        <w:r w:rsidRPr="001A3D2B">
          <w:rPr>
            <w:rStyle w:val="a5"/>
          </w:rPr>
          <w:t>2002\Act Psy Sca106, 5.pdf</w:t>
        </w:r>
      </w:hyperlink>
    </w:p>
    <w:p w:rsidR="003474F2" w:rsidRPr="001A3D2B" w:rsidRDefault="003474F2" w:rsidP="003474F2">
      <w:pPr>
        <w:pStyle w:val="a3"/>
      </w:pPr>
      <w:r w:rsidRPr="001A3D2B">
        <w:t>Abstract: Introduction: In assessing clinical change, measurement is often based on psychometric scales. However, change is best revealed within</w:t>
      </w:r>
      <w:r w:rsidR="003A1917">
        <w:t xml:space="preserve"> the </w:t>
      </w:r>
      <w:r w:rsidRPr="001A3D2B">
        <w:t>constellation</w:t>
      </w:r>
      <w:r w:rsidR="00427468">
        <w:t xml:space="preserve"> of </w:t>
      </w:r>
      <w:r w:rsidRPr="001A3D2B">
        <w:t>problems salient to</w:t>
      </w:r>
      <w:r w:rsidR="003A1917">
        <w:t xml:space="preserve"> the </w:t>
      </w:r>
      <w:r w:rsidRPr="001A3D2B">
        <w:t>patient, rather than in alterations in</w:t>
      </w:r>
      <w:r w:rsidR="003A1917">
        <w:t xml:space="preserve"> the </w:t>
      </w:r>
      <w:r w:rsidRPr="001A3D2B">
        <w:t>abstract constructs, psychometrically measured</w:t>
      </w:r>
      <w:r w:rsidR="00A37C1D">
        <w:t>. The</w:t>
      </w:r>
      <w:r w:rsidRPr="001A3D2B">
        <w:t>se patients</w:t>
      </w:r>
      <w:r w:rsidR="00700038">
        <w:t>’</w:t>
      </w:r>
      <w:r w:rsidRPr="001A3D2B">
        <w:t xml:space="preserve"> problems often serially unfold in qualitative stages, even before</w:t>
      </w:r>
      <w:r w:rsidR="003A1917">
        <w:t xml:space="preserve"> the </w:t>
      </w:r>
      <w:r w:rsidRPr="001A3D2B">
        <w:t>full-blown disorder emerges</w:t>
      </w:r>
      <w:r w:rsidR="00A37C1D">
        <w:t>. The</w:t>
      </w:r>
      <w:r w:rsidRPr="001A3D2B">
        <w:t>se qualitative stages constitute</w:t>
      </w:r>
      <w:r w:rsidR="003A1917">
        <w:t xml:space="preserve"> the </w:t>
      </w:r>
      <w:r w:rsidRPr="001A3D2B">
        <w:t>natural history extending from early to late, fluctuating from mild to severe,</w:t>
      </w:r>
      <w:r w:rsidR="005853A9">
        <w:t xml:space="preserve"> and </w:t>
      </w:r>
      <w:r w:rsidRPr="001A3D2B">
        <w:t>progressing from full-blown disorder to recovery.</w:t>
      </w:r>
    </w:p>
    <w:p w:rsidR="003474F2" w:rsidRPr="001A3D2B" w:rsidRDefault="003474F2" w:rsidP="003474F2">
      <w:pPr>
        <w:pStyle w:val="a3"/>
      </w:pPr>
      <w:r w:rsidRPr="001A3D2B">
        <w:t>Method: We reviewed</w:t>
      </w:r>
      <w:r w:rsidR="003A1917">
        <w:t xml:space="preserve"> the </w:t>
      </w:r>
      <w:r w:rsidRPr="001A3D2B">
        <w:t>literature on clinimetrics</w:t>
      </w:r>
      <w:r w:rsidR="005853A9">
        <w:t xml:space="preserve"> and </w:t>
      </w:r>
      <w:r w:rsidRPr="001A3D2B">
        <w:t>patient-centred subjective measures,</w:t>
      </w:r>
      <w:r w:rsidR="005853A9">
        <w:t xml:space="preserve"> and </w:t>
      </w:r>
      <w:r w:rsidRPr="001A3D2B">
        <w:t>related these findings to</w:t>
      </w:r>
      <w:r w:rsidR="003A1917">
        <w:t xml:space="preserve"> the </w:t>
      </w:r>
      <w:r w:rsidRPr="001A3D2B">
        <w:t>use</w:t>
      </w:r>
      <w:r w:rsidR="00427468">
        <w:t xml:space="preserve"> of </w:t>
      </w:r>
      <w:r w:rsidR="003A1917">
        <w:t xml:space="preserve">the </w:t>
      </w:r>
      <w:r w:rsidRPr="001A3D2B">
        <w:t>discretized-analogue scaling method.</w:t>
      </w:r>
    </w:p>
    <w:p w:rsidR="003474F2" w:rsidRPr="001A3D2B" w:rsidRDefault="003474F2" w:rsidP="003474F2">
      <w:pPr>
        <w:pStyle w:val="a3"/>
      </w:pPr>
      <w:r w:rsidRPr="001A3D2B">
        <w:t>Results: There is increasing recognition</w:t>
      </w:r>
      <w:r w:rsidR="00427468">
        <w:t xml:space="preserve"> of </w:t>
      </w:r>
      <w:r w:rsidRPr="001A3D2B">
        <w:t>clinimetric approaches that structure</w:t>
      </w:r>
      <w:r w:rsidR="003A1917">
        <w:t xml:space="preserve"> the </w:t>
      </w:r>
      <w:r w:rsidRPr="001A3D2B">
        <w:t>pre-clinical</w:t>
      </w:r>
      <w:r w:rsidR="005853A9">
        <w:t xml:space="preserve"> and </w:t>
      </w:r>
      <w:r w:rsidRPr="001A3D2B">
        <w:t>clinical material into a scale that reflects</w:t>
      </w:r>
      <w:r w:rsidR="003A1917">
        <w:t xml:space="preserve"> the </w:t>
      </w:r>
      <w:r w:rsidRPr="001A3D2B">
        <w:t>symptoms, consequences</w:t>
      </w:r>
      <w:r w:rsidR="005853A9">
        <w:t xml:space="preserve"> and </w:t>
      </w:r>
      <w:r w:rsidRPr="001A3D2B">
        <w:t>complications in a manner understandable to</w:t>
      </w:r>
      <w:r w:rsidR="003A1917">
        <w:t xml:space="preserve"> the </w:t>
      </w:r>
      <w:r w:rsidRPr="001A3D2B">
        <w:t>patient,</w:t>
      </w:r>
      <w:r w:rsidR="005853A9">
        <w:t xml:space="preserve"> and </w:t>
      </w:r>
      <w:r w:rsidRPr="001A3D2B">
        <w:t>enabling</w:t>
      </w:r>
      <w:r w:rsidR="003A1917">
        <w:t xml:space="preserve"> the </w:t>
      </w:r>
      <w:r w:rsidRPr="001A3D2B">
        <w:t>quantification</w:t>
      </w:r>
      <w:r w:rsidR="00427468">
        <w:t xml:space="preserve"> of </w:t>
      </w:r>
      <w:r w:rsidRPr="001A3D2B">
        <w:t>severity or change. This monograph provides criteria</w:t>
      </w:r>
      <w:r w:rsidR="005853A9">
        <w:t xml:space="preserve"> and </w:t>
      </w:r>
      <w:r w:rsidRPr="001A3D2B">
        <w:t>methods for developing these building blocks that enable</w:t>
      </w:r>
      <w:r w:rsidR="003A1917">
        <w:t xml:space="preserve"> the </w:t>
      </w:r>
      <w:r w:rsidRPr="001A3D2B">
        <w:t>assessment</w:t>
      </w:r>
      <w:r w:rsidR="00427468">
        <w:t xml:space="preserve"> of </w:t>
      </w:r>
      <w:r w:rsidRPr="001A3D2B">
        <w:t>severity, stage or change. We show examples</w:t>
      </w:r>
      <w:r w:rsidR="00427468">
        <w:t xml:space="preserve"> of </w:t>
      </w:r>
      <w:r w:rsidRPr="001A3D2B">
        <w:t>their use in quantitative clinical outcome measurement.</w:t>
      </w:r>
    </w:p>
    <w:p w:rsidR="003474F2" w:rsidRPr="001A3D2B" w:rsidRDefault="003474F2" w:rsidP="003474F2">
      <w:pPr>
        <w:pStyle w:val="a3"/>
      </w:pPr>
      <w:r w:rsidRPr="001A3D2B">
        <w:t>Conclusion: We encourage further studies in</w:t>
      </w:r>
      <w:r w:rsidR="003A1917">
        <w:t xml:space="preserve"> the </w:t>
      </w:r>
      <w:r w:rsidRPr="001A3D2B">
        <w:t>ideology</w:t>
      </w:r>
      <w:r w:rsidR="005853A9">
        <w:t xml:space="preserve"> and </w:t>
      </w:r>
      <w:r w:rsidRPr="001A3D2B">
        <w:t>procedures for measuring clinical change in terms</w:t>
      </w:r>
      <w:r w:rsidR="00427468">
        <w:t xml:space="preserve"> of </w:t>
      </w:r>
      <w:r w:rsidRPr="001A3D2B">
        <w:t>personally subjective experiences.</w:t>
      </w:r>
    </w:p>
    <w:p w:rsidR="003474F2" w:rsidRPr="001A3D2B" w:rsidRDefault="003474F2" w:rsidP="003474F2">
      <w:pPr>
        <w:pStyle w:val="a3"/>
      </w:pPr>
      <w:r w:rsidRPr="001A3D2B">
        <w:t>? Soldani, F., Ghaemi, S.N.</w:t>
      </w:r>
      <w:r w:rsidR="005853A9">
        <w:t xml:space="preserve"> and </w:t>
      </w:r>
      <w:r w:rsidRPr="001A3D2B">
        <w:t>Baldessarini, R.J. (2005), Research reports on treatments for bipolar disorder: Preliminary assessment</w:t>
      </w:r>
      <w:r w:rsidR="00427468">
        <w:t xml:space="preserve"> of </w:t>
      </w:r>
      <w:r w:rsidRPr="001A3D2B">
        <w:t xml:space="preserve">methodological quality. </w:t>
      </w:r>
      <w:r w:rsidRPr="001A3D2B">
        <w:rPr>
          <w:i/>
          <w:iCs/>
        </w:rPr>
        <w:t>Acta Psychiatrica Scandinavica</w:t>
      </w:r>
      <w:r w:rsidRPr="001A3D2B">
        <w:t xml:space="preserve">, </w:t>
      </w:r>
      <w:r w:rsidRPr="001A3D2B">
        <w:rPr>
          <w:b/>
          <w:bCs/>
        </w:rPr>
        <w:t>112</w:t>
      </w:r>
      <w:r w:rsidRPr="001A3D2B">
        <w:t xml:space="preserve"> (1), 72-74.</w:t>
      </w:r>
    </w:p>
    <w:p w:rsidR="003474F2" w:rsidRPr="001A3D2B" w:rsidRDefault="003474F2" w:rsidP="003474F2">
      <w:pPr>
        <w:pStyle w:val="a3"/>
      </w:pPr>
      <w:r w:rsidRPr="001A3D2B">
        <w:t xml:space="preserve">Full Text: </w:t>
      </w:r>
      <w:hyperlink r:id="rId193" w:history="1">
        <w:r w:rsidRPr="001A3D2B">
          <w:rPr>
            <w:rStyle w:val="a5"/>
          </w:rPr>
          <w:t>2005\Act Psy Sca112, 72.pdf</w:t>
        </w:r>
      </w:hyperlink>
    </w:p>
    <w:p w:rsidR="003474F2" w:rsidRPr="001A3D2B" w:rsidRDefault="003474F2" w:rsidP="003474F2">
      <w:pPr>
        <w:pStyle w:val="a3"/>
      </w:pPr>
      <w:r w:rsidRPr="001A3D2B">
        <w:t>Abstract: Objective: To assess frequencies</w:t>
      </w:r>
      <w:r w:rsidR="00427468">
        <w:t xml:space="preserve"> of </w:t>
      </w:r>
      <w:r w:rsidRPr="001A3D2B">
        <w:t>types</w:t>
      </w:r>
      <w:r w:rsidR="00427468">
        <w:t xml:space="preserve"> of </w:t>
      </w:r>
      <w:r w:rsidRPr="001A3D2B">
        <w:t>publications about bipolar disorder (BD)</w:t>
      </w:r>
      <w:r w:rsidR="005853A9">
        <w:t xml:space="preserve"> and </w:t>
      </w:r>
      <w:r w:rsidRPr="001A3D2B">
        <w:t>evaluate methodological quality</w:t>
      </w:r>
      <w:r w:rsidR="00427468">
        <w:t xml:space="preserve"> of </w:t>
      </w:r>
      <w:r w:rsidRPr="001A3D2B">
        <w:t>treatment studies. Method: We classified 100 randomly selected articles (1998-2002) from five psychiatric journals with highest impact ratings, by topic areas,</w:t>
      </w:r>
      <w:r w:rsidR="005853A9">
        <w:t xml:space="preserve"> and </w:t>
      </w:r>
      <w:r w:rsidRPr="001A3D2B">
        <w:t>assessed methods employed in treatment studies. Results: Topics ranked: treatment (41%; 37% on pharmacotherapy) &gt; biology (31%) &gt; psychopathology (14%) = miscellaneous (14%).</w:t>
      </w:r>
      <w:r w:rsidR="00427468">
        <w:t xml:space="preserve"> of </w:t>
      </w:r>
      <w:r w:rsidRPr="001A3D2B">
        <w:t>treatment studies, only 19%</w:t>
      </w:r>
      <w:r w:rsidR="00427468">
        <w:t xml:space="preserve"> of </w:t>
      </w:r>
      <w:r w:rsidRPr="001A3D2B">
        <w:t>original articles were randomized, 15% were relatively large (n &gt;= 50) but non-randomized, 65% were small non-randomized, case-series or -reports,</w:t>
      </w:r>
      <w:r w:rsidR="005853A9">
        <w:t xml:space="preserve"> and </w:t>
      </w:r>
      <w:r w:rsidRPr="001A3D2B">
        <w:t>53% relied on baseline-to-endpoint contrasts without a control group. Patient dropout rates were &gt;= 40% in 43%</w:t>
      </w:r>
      <w:r w:rsidR="00427468">
        <w:t xml:space="preserve"> of </w:t>
      </w:r>
      <w:r w:rsidRPr="001A3D2B">
        <w:t>prospective studies. Only two reports provided confidence intervals; one included a power analysis,</w:t>
      </w:r>
      <w:r w:rsidR="005853A9">
        <w:t xml:space="preserve"> and </w:t>
      </w:r>
      <w:r w:rsidRPr="001A3D2B">
        <w:t>53% included no references on study design or statistical methods. Conclusion: Even in highly respected journals,</w:t>
      </w:r>
      <w:r w:rsidR="003A1917">
        <w:t xml:space="preserve"> the </w:t>
      </w:r>
      <w:r w:rsidRPr="001A3D2B">
        <w:t>typical methodological quality</w:t>
      </w:r>
      <w:r w:rsidR="00427468">
        <w:t xml:space="preserve"> of </w:t>
      </w:r>
      <w:r w:rsidRPr="001A3D2B">
        <w:t>recent reports on therapeutics for BD was unexpectedly limited,</w:t>
      </w:r>
      <w:r w:rsidR="005853A9">
        <w:t xml:space="preserve"> and </w:t>
      </w:r>
      <w:r w:rsidRPr="001A3D2B">
        <w:t>psychopathology</w:t>
      </w:r>
      <w:r w:rsidR="005853A9">
        <w:t xml:space="preserve"> and </w:t>
      </w:r>
      <w:r w:rsidRPr="001A3D2B">
        <w:t>psychotherapies were little studied.</w:t>
      </w:r>
    </w:p>
    <w:p w:rsidR="00D23E09" w:rsidRDefault="00D23E09" w:rsidP="00D23E09">
      <w:pPr>
        <w:pStyle w:val="a3"/>
        <w:rPr>
          <w:kern w:val="0"/>
        </w:rPr>
      </w:pPr>
      <w:r>
        <w:rPr>
          <w:kern w:val="0"/>
        </w:rPr>
        <w:lastRenderedPageBreak/>
        <w:t>Keywords: Assessment, Bibliometrics, Biology, Bipolar Disorder, Case Series, Confidence Intervals, Control, Control Groups, Epidemiologic Research Design, Impact, Journal Article, Journals, Publications, Randomized Controlled Trials, Reproducibility</w:t>
      </w:r>
      <w:r w:rsidR="00427468">
        <w:rPr>
          <w:kern w:val="0"/>
        </w:rPr>
        <w:t xml:space="preserve"> of </w:t>
      </w:r>
      <w:r>
        <w:rPr>
          <w:kern w:val="0"/>
        </w:rPr>
        <w:t>Results, Research, Statistical, Statistical Methods</w:t>
      </w:r>
    </w:p>
    <w:p w:rsidR="003474F2" w:rsidRPr="001A3D2B" w:rsidRDefault="003474F2" w:rsidP="003474F2">
      <w:pPr>
        <w:pStyle w:val="a3"/>
      </w:pPr>
      <w:r w:rsidRPr="001A3D2B">
        <w:t xml:space="preserve">? Sher, L. (2006), </w:t>
      </w:r>
      <w:r w:rsidRPr="001A3D2B">
        <w:rPr>
          <w:szCs w:val="19"/>
        </w:rPr>
        <w:t>Alcoholism</w:t>
      </w:r>
      <w:r w:rsidR="005853A9">
        <w:rPr>
          <w:szCs w:val="19"/>
        </w:rPr>
        <w:t xml:space="preserve"> and </w:t>
      </w:r>
      <w:r w:rsidRPr="001A3D2B">
        <w:rPr>
          <w:szCs w:val="19"/>
        </w:rPr>
        <w:t>suicidal behavior: A clinical overview</w:t>
      </w:r>
      <w:r w:rsidRPr="001A3D2B">
        <w:t xml:space="preserve">. </w:t>
      </w:r>
      <w:r w:rsidRPr="001A3D2B">
        <w:rPr>
          <w:i/>
          <w:iCs/>
        </w:rPr>
        <w:t>Acta Psychiatrica Scandinavica</w:t>
      </w:r>
      <w:r w:rsidRPr="001A3D2B">
        <w:t xml:space="preserve">, </w:t>
      </w:r>
      <w:r w:rsidRPr="001A3D2B">
        <w:rPr>
          <w:b/>
          <w:bCs/>
        </w:rPr>
        <w:t>113</w:t>
      </w:r>
      <w:r w:rsidRPr="001A3D2B">
        <w:t xml:space="preserve"> (1), 13-22.</w:t>
      </w:r>
    </w:p>
    <w:p w:rsidR="003474F2" w:rsidRPr="001A3D2B" w:rsidRDefault="003474F2" w:rsidP="003474F2">
      <w:pPr>
        <w:pStyle w:val="a3"/>
      </w:pPr>
      <w:r w:rsidRPr="001A3D2B">
        <w:t xml:space="preserve">Full Text: </w:t>
      </w:r>
      <w:hyperlink r:id="rId194" w:history="1">
        <w:r w:rsidRPr="001A3D2B">
          <w:rPr>
            <w:rStyle w:val="a5"/>
          </w:rPr>
          <w:t>2006\Act Psy Sca113, 13.pdf</w:t>
        </w:r>
      </w:hyperlink>
    </w:p>
    <w:p w:rsidR="003474F2" w:rsidRPr="001A3D2B" w:rsidRDefault="003474F2" w:rsidP="003474F2">
      <w:pPr>
        <w:pStyle w:val="a3"/>
      </w:pPr>
      <w:r w:rsidRPr="001A3D2B">
        <w:t>Abstract: Objective:</w:t>
      </w:r>
      <w:r w:rsidR="003A1917">
        <w:t xml:space="preserve"> the </w:t>
      </w:r>
      <w:r w:rsidRPr="001A3D2B">
        <w:t>purpose</w:t>
      </w:r>
      <w:r w:rsidR="00427468">
        <w:t xml:space="preserve"> of </w:t>
      </w:r>
      <w:r w:rsidRPr="001A3D2B">
        <w:t>this paper was to provide a clinical review</w:t>
      </w:r>
      <w:r w:rsidR="00427468">
        <w:t xml:space="preserve"> of </w:t>
      </w:r>
      <w:r w:rsidR="003A1917">
        <w:t xml:space="preserve">the </w:t>
      </w:r>
      <w:r w:rsidRPr="001A3D2B">
        <w:t>literature on</w:t>
      </w:r>
      <w:r w:rsidR="003A1917">
        <w:t xml:space="preserve"> the </w:t>
      </w:r>
      <w:r w:rsidRPr="001A3D2B">
        <w:t>relation</w:t>
      </w:r>
      <w:r w:rsidR="00427468">
        <w:t xml:space="preserve"> of </w:t>
      </w:r>
      <w:r w:rsidRPr="001A3D2B">
        <w:t>alcoholism to suicidal behavior. Method: Studies</w:t>
      </w:r>
      <w:r w:rsidR="00427468">
        <w:t xml:space="preserve"> of </w:t>
      </w:r>
      <w:r w:rsidRPr="001A3D2B">
        <w:t>alcoholism</w:t>
      </w:r>
      <w:r w:rsidR="005853A9">
        <w:t xml:space="preserve"> and </w:t>
      </w:r>
      <w:r w:rsidRPr="001A3D2B">
        <w:t xml:space="preserve">suicidal behavior available in </w:t>
      </w:r>
      <w:r w:rsidR="00D5664A">
        <w:t>MEDLINE</w:t>
      </w:r>
      <w:r w:rsidRPr="001A3D2B">
        <w:t>. Institute for Scientific Information Databases (Science Citation Index Expanded., Social Sciences Citation Index,</w:t>
      </w:r>
      <w:r w:rsidR="005853A9">
        <w:t xml:space="preserve"> and </w:t>
      </w:r>
      <w:r w:rsidRPr="001A3D2B">
        <w:t>Arts &amp; Humanities Citation Index), EMBASE,</w:t>
      </w:r>
      <w:r w:rsidR="005853A9">
        <w:t xml:space="preserve"> and </w:t>
      </w:r>
      <w:r w:rsidRPr="001A3D2B">
        <w:t>Cochrane Library were identified</w:t>
      </w:r>
      <w:r w:rsidR="005853A9">
        <w:t xml:space="preserve"> and </w:t>
      </w:r>
      <w:r w:rsidRPr="001A3D2B">
        <w:t>reviewed. Results: Alcoholism is associated with a considerable risk</w:t>
      </w:r>
      <w:r w:rsidR="00427468">
        <w:t xml:space="preserve"> of </w:t>
      </w:r>
      <w:r w:rsidRPr="001A3D2B">
        <w:t>suicidal behavior. Individuals with alcoholism who attempt or complete suicide are characterized by major depressive episodes, stressful life events, particularly interpersonal difficulties, poor social support, living alone, high aggression/impulsivity, negative affect, hopelessness, severe alcoholism. comorbid substance, especially cocaine abuse, serious medical illness, suicidal communication,</w:t>
      </w:r>
      <w:r w:rsidR="005853A9">
        <w:t xml:space="preserve"> and </w:t>
      </w:r>
      <w:r w:rsidRPr="001A3D2B">
        <w:t>prior suicidal behavior. Partner-relationship disruptions are strongly associated with suicidal behavior in individuals with alcoholism. Conclusion: All individuals with alcoholism should receive a suicide risk assessment based on known risk factors.</w:t>
      </w:r>
    </w:p>
    <w:p w:rsidR="003474F2" w:rsidRPr="001A3D2B" w:rsidRDefault="003474F2" w:rsidP="003474F2">
      <w:pPr>
        <w:pStyle w:val="a3"/>
      </w:pPr>
      <w:r w:rsidRPr="001A3D2B">
        <w:t xml:space="preserve">Keywords: Abuse, Affect, Alcoholism, Assessment, Behavior, Citation, Clinical, Cocaine, Cocaine Abuse, Communication, Completed Suicide, Depressed-Patients, Events, Hopelessness, Illness, Institute for Scientific Information, Life, Life Events, Literature, Living, Major Depression, Medical, </w:t>
      </w:r>
      <w:r w:rsidR="00D5664A">
        <w:t>MEDLINE</w:t>
      </w:r>
      <w:r w:rsidRPr="001A3D2B">
        <w:t>, Mental-Disorders, National Comorbidity Survey, Negative Affect, Placebo-Controlled Trial, Psychiatric-Disorders, Purpose, Randomized Controlled-Trial, Review, Risk, Risk Assessment, Risk Factors, Science Citation Index, Social, Social Networks, Social Support, Stressful Life Events, Substance, Suicidal Behavior, Suicide, Support, United-States</w:t>
      </w:r>
    </w:p>
    <w:p w:rsidR="005E3496" w:rsidRDefault="005E3496" w:rsidP="005E3496">
      <w:pPr>
        <w:pStyle w:val="a3"/>
        <w:rPr>
          <w:kern w:val="0"/>
        </w:rPr>
      </w:pPr>
      <w:r>
        <w:rPr>
          <w:rFonts w:hint="eastAsia"/>
          <w:kern w:val="0"/>
        </w:rPr>
        <w:t xml:space="preserve">? </w:t>
      </w:r>
      <w:r>
        <w:rPr>
          <w:kern w:val="0"/>
        </w:rPr>
        <w:t>Hageman, I., Andersen, H.S.</w:t>
      </w:r>
      <w:r w:rsidR="005853A9">
        <w:rPr>
          <w:kern w:val="0"/>
        </w:rPr>
        <w:t xml:space="preserve"> and </w:t>
      </w:r>
      <w:r>
        <w:rPr>
          <w:kern w:val="0"/>
        </w:rPr>
        <w:t>Jorgensen, M.B. (2001), Post-traumatic stress disorder: A review,</w:t>
      </w:r>
      <w:r w:rsidR="00427468">
        <w:rPr>
          <w:kern w:val="0"/>
        </w:rPr>
        <w:t xml:space="preserve"> of </w:t>
      </w:r>
      <w:r>
        <w:rPr>
          <w:kern w:val="0"/>
        </w:rPr>
        <w:t>psychobiology</w:t>
      </w:r>
      <w:r w:rsidR="005853A9">
        <w:rPr>
          <w:kern w:val="0"/>
        </w:rPr>
        <w:t xml:space="preserve"> and </w:t>
      </w:r>
      <w:r>
        <w:rPr>
          <w:kern w:val="0"/>
        </w:rPr>
        <w:t xml:space="preserve">pharmacotherapy. </w:t>
      </w:r>
      <w:r>
        <w:rPr>
          <w:i/>
          <w:iCs/>
          <w:kern w:val="0"/>
        </w:rPr>
        <w:t>Acta Psychiatrica Scandinavica</w:t>
      </w:r>
      <w:r>
        <w:rPr>
          <w:kern w:val="0"/>
        </w:rPr>
        <w:t xml:space="preserve">, </w:t>
      </w:r>
      <w:r>
        <w:rPr>
          <w:b/>
          <w:bCs/>
          <w:kern w:val="0"/>
        </w:rPr>
        <w:t>104</w:t>
      </w:r>
      <w:r>
        <w:rPr>
          <w:kern w:val="0"/>
        </w:rPr>
        <w:t xml:space="preserve"> (6), 411-422.</w:t>
      </w:r>
    </w:p>
    <w:p w:rsidR="005E3496" w:rsidRPr="001A3D2B" w:rsidRDefault="005E3496" w:rsidP="005E3496">
      <w:pPr>
        <w:pStyle w:val="a3"/>
      </w:pPr>
      <w:r w:rsidRPr="001A3D2B">
        <w:t xml:space="preserve">Full Text: </w:t>
      </w:r>
      <w:hyperlink r:id="rId195" w:history="1">
        <w:r w:rsidR="00F30984" w:rsidRPr="00F30984">
          <w:rPr>
            <w:rStyle w:val="a5"/>
          </w:rPr>
          <w:t>2005\Act Psy Sca104, 411.pdf</w:t>
        </w:r>
      </w:hyperlink>
    </w:p>
    <w:p w:rsidR="005E3496" w:rsidRDefault="005E3496" w:rsidP="005E3496">
      <w:pPr>
        <w:pStyle w:val="a3"/>
        <w:rPr>
          <w:kern w:val="0"/>
        </w:rPr>
      </w:pPr>
      <w:r>
        <w:rPr>
          <w:kern w:val="0"/>
        </w:rPr>
        <w:t>Abstract: Objective: To review</w:t>
      </w:r>
      <w:r w:rsidR="003A1917">
        <w:rPr>
          <w:kern w:val="0"/>
        </w:rPr>
        <w:t xml:space="preserve"> the </w:t>
      </w:r>
      <w:r>
        <w:rPr>
          <w:kern w:val="0"/>
        </w:rPr>
        <w:t>literature on</w:t>
      </w:r>
      <w:r w:rsidR="003A1917">
        <w:rPr>
          <w:kern w:val="0"/>
        </w:rPr>
        <w:t xml:space="preserve"> the </w:t>
      </w:r>
      <w:r>
        <w:rPr>
          <w:kern w:val="0"/>
        </w:rPr>
        <w:t>psychobiology</w:t>
      </w:r>
      <w:r w:rsidR="005853A9">
        <w:rPr>
          <w:kern w:val="0"/>
        </w:rPr>
        <w:t xml:space="preserve"> and </w:t>
      </w:r>
      <w:r>
        <w:rPr>
          <w:kern w:val="0"/>
        </w:rPr>
        <w:t>pharmacotherapy</w:t>
      </w:r>
      <w:r w:rsidR="00427468">
        <w:rPr>
          <w:kern w:val="0"/>
        </w:rPr>
        <w:t xml:space="preserve"> of </w:t>
      </w:r>
      <w:r>
        <w:rPr>
          <w:kern w:val="0"/>
        </w:rPr>
        <w:t>PTSD. Method: Relevant studies were identified by literature searches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through reference lists</w:t>
      </w:r>
      <w:r w:rsidR="00A37C1D">
        <w:rPr>
          <w:kern w:val="0"/>
        </w:rPr>
        <w:t>. The</w:t>
      </w:r>
      <w:r w:rsidR="003A1917">
        <w:rPr>
          <w:kern w:val="0"/>
        </w:rPr>
        <w:t xml:space="preserve"> </w:t>
      </w:r>
      <w:r>
        <w:rPr>
          <w:kern w:val="0"/>
        </w:rPr>
        <w:t>search was ended by May 2001. Results: There is evidence</w:t>
      </w:r>
      <w:r w:rsidR="00427468">
        <w:rPr>
          <w:kern w:val="0"/>
        </w:rPr>
        <w:t xml:space="preserve"> of </w:t>
      </w:r>
      <w:r>
        <w:rPr>
          <w:kern w:val="0"/>
        </w:rPr>
        <w:t>involvement</w:t>
      </w:r>
      <w:r w:rsidR="00427468">
        <w:rPr>
          <w:kern w:val="0"/>
        </w:rPr>
        <w:t xml:space="preserve"> of </w:t>
      </w:r>
      <w:r>
        <w:rPr>
          <w:kern w:val="0"/>
        </w:rPr>
        <w:t xml:space="preserve">opioid, </w:t>
      </w:r>
      <w:r>
        <w:rPr>
          <w:kern w:val="0"/>
        </w:rPr>
        <w:lastRenderedPageBreak/>
        <w:t>glutamatergic, GABAergic, noradrenergic, serotonergic</w:t>
      </w:r>
      <w:r w:rsidR="005853A9">
        <w:rPr>
          <w:kern w:val="0"/>
        </w:rPr>
        <w:t xml:space="preserve"> and </w:t>
      </w:r>
      <w:r>
        <w:rPr>
          <w:kern w:val="0"/>
        </w:rPr>
        <w:t>neuroendocrine pathways in</w:t>
      </w:r>
      <w:r w:rsidR="003A1917">
        <w:rPr>
          <w:kern w:val="0"/>
        </w:rPr>
        <w:t xml:space="preserve"> the </w:t>
      </w:r>
      <w:r>
        <w:rPr>
          <w:kern w:val="0"/>
        </w:rPr>
        <w:t>pathophysiology</w:t>
      </w:r>
      <w:r w:rsidR="00427468">
        <w:rPr>
          <w:kern w:val="0"/>
        </w:rPr>
        <w:t xml:space="preserve"> of </w:t>
      </w:r>
      <w:r>
        <w:rPr>
          <w:kern w:val="0"/>
        </w:rPr>
        <w:t>PTSD. Medications shown to be effective in double-blind placebo-controlled trials includes selective serotonin reuptake inhibitors, reversible</w:t>
      </w:r>
      <w:r w:rsidR="005853A9">
        <w:rPr>
          <w:kern w:val="0"/>
        </w:rPr>
        <w:t xml:space="preserve"> and </w:t>
      </w:r>
      <w:r>
        <w:rPr>
          <w:kern w:val="0"/>
        </w:rPr>
        <w:t>irreversible MAO-inhibitors, tricyclic antidepressants</w:t>
      </w:r>
      <w:r w:rsidR="005853A9">
        <w:rPr>
          <w:kern w:val="0"/>
        </w:rPr>
        <w:t xml:space="preserve"> and </w:t>
      </w:r>
      <w:r w:rsidR="003A1917">
        <w:rPr>
          <w:kern w:val="0"/>
        </w:rPr>
        <w:t xml:space="preserve">the </w:t>
      </w:r>
      <w:r>
        <w:rPr>
          <w:kern w:val="0"/>
        </w:rPr>
        <w:t>anticonvulsant lamotrigine. Still more agents appear promising in open-label trials. Conclusion:</w:t>
      </w:r>
      <w:r w:rsidR="003A1917">
        <w:rPr>
          <w:kern w:val="0"/>
        </w:rPr>
        <w:t xml:space="preserve"> the </w:t>
      </w:r>
      <w:r>
        <w:rPr>
          <w:kern w:val="0"/>
        </w:rPr>
        <w:t>complexity</w:t>
      </w:r>
      <w:r w:rsidR="00427468">
        <w:rPr>
          <w:kern w:val="0"/>
        </w:rPr>
        <w:t xml:space="preserve"> of </w:t>
      </w:r>
      <w:r w:rsidR="003A1917">
        <w:rPr>
          <w:kern w:val="0"/>
        </w:rPr>
        <w:t xml:space="preserve">the </w:t>
      </w:r>
      <w:r>
        <w:rPr>
          <w:kern w:val="0"/>
        </w:rPr>
        <w:t>psychobiology is reflected by</w:t>
      </w:r>
      <w:r w:rsidR="003A1917">
        <w:rPr>
          <w:kern w:val="0"/>
        </w:rPr>
        <w:t xml:space="preserve"> the </w:t>
      </w:r>
      <w:r>
        <w:rPr>
          <w:kern w:val="0"/>
        </w:rPr>
        <w:t>difficulties in treating</w:t>
      </w:r>
      <w:r w:rsidR="003A1917">
        <w:rPr>
          <w:kern w:val="0"/>
        </w:rPr>
        <w:t xml:space="preserve"> the </w:t>
      </w:r>
      <w:r>
        <w:rPr>
          <w:kern w:val="0"/>
        </w:rPr>
        <w:t>disorder. According to</w:t>
      </w:r>
      <w:r w:rsidR="003A1917">
        <w:rPr>
          <w:kern w:val="0"/>
        </w:rPr>
        <w:t xml:space="preserve"> the </w:t>
      </w:r>
      <w:r>
        <w:rPr>
          <w:kern w:val="0"/>
        </w:rPr>
        <w:t>present knowledge, suggestions for drug treatment</w:t>
      </w:r>
      <w:r w:rsidR="00427468">
        <w:rPr>
          <w:kern w:val="0"/>
        </w:rPr>
        <w:t xml:space="preserve"> of </w:t>
      </w:r>
      <w:r>
        <w:rPr>
          <w:kern w:val="0"/>
        </w:rPr>
        <w:t>PTSD are made.</w:t>
      </w:r>
    </w:p>
    <w:p w:rsidR="005E3496" w:rsidRDefault="005E3496" w:rsidP="005E3496">
      <w:pPr>
        <w:pStyle w:val="a3"/>
        <w:rPr>
          <w:kern w:val="0"/>
        </w:rPr>
      </w:pPr>
      <w:r>
        <w:rPr>
          <w:kern w:val="0"/>
        </w:rPr>
        <w:t>Keywords: Antidepressants, Combat Veterans, Cortisol, Disorder, Double-Blind, Drug, Hippocampal Volume, Inescapable Shock, Involvement, Knowledge, Literature, Noradrenaline, Open Trial, Opiate-Withdrawal, Opioid, Pharmacotherapy, PTSD, Pyramidal Neurons, Review, Science, Selective Serotonin Reuptake Inhibitors, Serotonin, Stress, Term Follow</w:t>
      </w:r>
      <w:r w:rsidR="0062028A">
        <w:rPr>
          <w:kern w:val="0"/>
        </w:rPr>
        <w:t>-up,</w:t>
      </w:r>
      <w:r>
        <w:rPr>
          <w:kern w:val="0"/>
        </w:rPr>
        <w:t xml:space="preserve"> Treatment, Vietnam Veterans, </w:t>
      </w:r>
      <w:r w:rsidR="00D5664A">
        <w:rPr>
          <w:kern w:val="0"/>
        </w:rPr>
        <w:t>Web</w:t>
      </w:r>
      <w:r w:rsidR="00427468">
        <w:rPr>
          <w:kern w:val="0"/>
        </w:rPr>
        <w:t xml:space="preserve"> of </w:t>
      </w:r>
      <w:r w:rsidR="00D5664A">
        <w:rPr>
          <w:kern w:val="0"/>
        </w:rPr>
        <w:t>Science</w:t>
      </w:r>
      <w:r>
        <w:rPr>
          <w:kern w:val="0"/>
        </w:rPr>
        <w:t>, Withdrawal Symptoms</w:t>
      </w:r>
    </w:p>
    <w:p w:rsidR="00B41855" w:rsidRDefault="00B41855" w:rsidP="00B41855">
      <w:pPr>
        <w:pStyle w:val="a3"/>
        <w:rPr>
          <w:kern w:val="0"/>
        </w:rPr>
      </w:pPr>
      <w:r>
        <w:rPr>
          <w:rFonts w:hint="eastAsia"/>
          <w:kern w:val="0"/>
        </w:rPr>
        <w:t xml:space="preserve">? </w:t>
      </w:r>
      <w:r>
        <w:rPr>
          <w:kern w:val="0"/>
        </w:rPr>
        <w:t>Nilsson, F.M. (2007), Mini Mental State Examination (MMSE) - probably one</w:t>
      </w:r>
      <w:r w:rsidR="00427468">
        <w:rPr>
          <w:kern w:val="0"/>
        </w:rPr>
        <w:t xml:space="preserve"> of </w:t>
      </w:r>
      <w:r w:rsidR="003A1917">
        <w:rPr>
          <w:kern w:val="0"/>
        </w:rPr>
        <w:t xml:space="preserve">the </w:t>
      </w:r>
      <w:r>
        <w:rPr>
          <w:kern w:val="0"/>
        </w:rPr>
        <w:t xml:space="preserve">most cited papers in health science. </w:t>
      </w:r>
      <w:r>
        <w:rPr>
          <w:i/>
          <w:iCs/>
          <w:kern w:val="0"/>
        </w:rPr>
        <w:t>Acta Psychiatrica Scandinavica</w:t>
      </w:r>
      <w:r>
        <w:rPr>
          <w:kern w:val="0"/>
        </w:rPr>
        <w:t xml:space="preserve">, </w:t>
      </w:r>
      <w:r>
        <w:rPr>
          <w:b/>
          <w:bCs/>
          <w:kern w:val="0"/>
        </w:rPr>
        <w:t>116</w:t>
      </w:r>
      <w:r>
        <w:rPr>
          <w:kern w:val="0"/>
        </w:rPr>
        <w:t xml:space="preserve"> (2), 156-157</w:t>
      </w:r>
      <w:r>
        <w:rPr>
          <w:rFonts w:hint="eastAsia"/>
          <w:kern w:val="0"/>
        </w:rPr>
        <w:t>.</w:t>
      </w:r>
    </w:p>
    <w:p w:rsidR="00B41855" w:rsidRPr="001A3D2B" w:rsidRDefault="00B41855" w:rsidP="00B41855">
      <w:pPr>
        <w:pStyle w:val="a3"/>
      </w:pPr>
      <w:r w:rsidRPr="001A3D2B">
        <w:t xml:space="preserve">Full Text: </w:t>
      </w:r>
      <w:hyperlink r:id="rId196" w:history="1">
        <w:r w:rsidRPr="00B41855">
          <w:rPr>
            <w:rStyle w:val="a5"/>
          </w:rPr>
          <w:t>2007\Act Psy Sca116, 156.pdf</w:t>
        </w:r>
      </w:hyperlink>
    </w:p>
    <w:p w:rsidR="00B41855" w:rsidRDefault="00B41855" w:rsidP="00B41855">
      <w:pPr>
        <w:pStyle w:val="a3"/>
        <w:rPr>
          <w:kern w:val="0"/>
        </w:rPr>
      </w:pPr>
      <w:r>
        <w:rPr>
          <w:kern w:val="0"/>
        </w:rPr>
        <w:t>Keywords: Papers, Science</w:t>
      </w:r>
    </w:p>
    <w:p w:rsidR="00B41855" w:rsidRDefault="00B41855" w:rsidP="00B41855">
      <w:pPr>
        <w:pStyle w:val="a3"/>
        <w:rPr>
          <w:kern w:val="0"/>
        </w:rPr>
      </w:pPr>
      <w:r>
        <w:rPr>
          <w:rFonts w:hint="eastAsia"/>
          <w:kern w:val="0"/>
        </w:rPr>
        <w:t xml:space="preserve">? </w:t>
      </w:r>
      <w:r>
        <w:rPr>
          <w:kern w:val="0"/>
        </w:rPr>
        <w:t>Folstein, M.F., Folstein, S.E.</w:t>
      </w:r>
      <w:r w:rsidR="005853A9">
        <w:rPr>
          <w:kern w:val="0"/>
        </w:rPr>
        <w:t xml:space="preserve"> and </w:t>
      </w:r>
      <w:r>
        <w:rPr>
          <w:kern w:val="0"/>
        </w:rPr>
        <w:t>Mchugh, P.R. (2007), Mini Mental State Examination (MMSE) - probably one</w:t>
      </w:r>
      <w:r w:rsidR="00427468">
        <w:rPr>
          <w:kern w:val="0"/>
        </w:rPr>
        <w:t xml:space="preserve"> of </w:t>
      </w:r>
      <w:r w:rsidR="003A1917">
        <w:rPr>
          <w:kern w:val="0"/>
        </w:rPr>
        <w:t xml:space="preserve">the </w:t>
      </w:r>
      <w:r>
        <w:rPr>
          <w:kern w:val="0"/>
        </w:rPr>
        <w:t xml:space="preserve">most cited papers in health science - Reply. </w:t>
      </w:r>
      <w:r>
        <w:rPr>
          <w:i/>
          <w:iCs/>
          <w:kern w:val="0"/>
        </w:rPr>
        <w:t>Acta Psychiatrica Scandinavica</w:t>
      </w:r>
      <w:r>
        <w:rPr>
          <w:kern w:val="0"/>
        </w:rPr>
        <w:t xml:space="preserve">, </w:t>
      </w:r>
      <w:r>
        <w:rPr>
          <w:b/>
          <w:bCs/>
          <w:kern w:val="0"/>
        </w:rPr>
        <w:t>116</w:t>
      </w:r>
      <w:r>
        <w:rPr>
          <w:kern w:val="0"/>
        </w:rPr>
        <w:t xml:space="preserve"> (2), 157</w:t>
      </w:r>
      <w:r>
        <w:rPr>
          <w:rFonts w:hint="eastAsia"/>
          <w:kern w:val="0"/>
        </w:rPr>
        <w:t>.</w:t>
      </w:r>
    </w:p>
    <w:p w:rsidR="00B41855" w:rsidRPr="001A3D2B" w:rsidRDefault="00B41855" w:rsidP="00B41855">
      <w:pPr>
        <w:pStyle w:val="a3"/>
      </w:pPr>
      <w:r w:rsidRPr="001A3D2B">
        <w:t xml:space="preserve">Full Text: </w:t>
      </w:r>
      <w:hyperlink r:id="rId197" w:history="1">
        <w:r w:rsidRPr="00B41855">
          <w:rPr>
            <w:rStyle w:val="a5"/>
          </w:rPr>
          <w:t>2007\Act Psy Sca116, 157.pdf</w:t>
        </w:r>
      </w:hyperlink>
    </w:p>
    <w:p w:rsidR="00B41855" w:rsidRDefault="00B41855" w:rsidP="00B41855">
      <w:pPr>
        <w:pStyle w:val="a3"/>
        <w:rPr>
          <w:kern w:val="0"/>
        </w:rPr>
      </w:pPr>
      <w:r>
        <w:rPr>
          <w:kern w:val="0"/>
        </w:rPr>
        <w:t>Keywords: Papers, Science</w:t>
      </w:r>
    </w:p>
    <w:p w:rsidR="005E3496" w:rsidRDefault="005E3496" w:rsidP="005E3496">
      <w:pPr>
        <w:pStyle w:val="a3"/>
        <w:rPr>
          <w:kern w:val="0"/>
        </w:rPr>
      </w:pPr>
      <w:r>
        <w:rPr>
          <w:rFonts w:hint="eastAsia"/>
          <w:kern w:val="0"/>
        </w:rPr>
        <w:t xml:space="preserve">? </w:t>
      </w:r>
      <w:r>
        <w:rPr>
          <w:kern w:val="0"/>
        </w:rPr>
        <w:t>Van den Eynde, F., Guillaume, S., Broadbent, H., Stahl, D., Campbell, I.C., Schmidt, U.</w:t>
      </w:r>
      <w:r w:rsidR="005853A9">
        <w:rPr>
          <w:kern w:val="0"/>
        </w:rPr>
        <w:t xml:space="preserve"> and </w:t>
      </w:r>
      <w:r>
        <w:rPr>
          <w:kern w:val="0"/>
        </w:rPr>
        <w:t xml:space="preserve">Tchanturia, K. (2011), Neurocognition in bulimic eating disorders: A systematic review. </w:t>
      </w:r>
      <w:r>
        <w:rPr>
          <w:i/>
          <w:iCs/>
          <w:kern w:val="0"/>
        </w:rPr>
        <w:t>Acta Psychiatrica Scandinavica</w:t>
      </w:r>
      <w:r>
        <w:rPr>
          <w:kern w:val="0"/>
        </w:rPr>
        <w:t xml:space="preserve">, </w:t>
      </w:r>
      <w:r>
        <w:rPr>
          <w:b/>
          <w:bCs/>
          <w:kern w:val="0"/>
        </w:rPr>
        <w:t>124</w:t>
      </w:r>
      <w:r>
        <w:rPr>
          <w:kern w:val="0"/>
        </w:rPr>
        <w:t xml:space="preserve"> (2), 120-140.</w:t>
      </w:r>
    </w:p>
    <w:p w:rsidR="005E3496" w:rsidRPr="001A3D2B" w:rsidRDefault="005E3496" w:rsidP="005E3496">
      <w:pPr>
        <w:pStyle w:val="a3"/>
      </w:pPr>
      <w:r w:rsidRPr="001A3D2B">
        <w:t xml:space="preserve">Full Text: </w:t>
      </w:r>
      <w:hyperlink r:id="rId198" w:history="1">
        <w:r w:rsidRPr="005E3496">
          <w:rPr>
            <w:rStyle w:val="a5"/>
          </w:rPr>
          <w:t>2011\Act Psy Sca124, 120.pdf</w:t>
        </w:r>
      </w:hyperlink>
    </w:p>
    <w:p w:rsidR="005E3496" w:rsidRDefault="005E3496" w:rsidP="005E3496">
      <w:pPr>
        <w:pStyle w:val="a3"/>
        <w:rPr>
          <w:kern w:val="0"/>
        </w:rPr>
      </w:pPr>
      <w:r>
        <w:rPr>
          <w:kern w:val="0"/>
        </w:rPr>
        <w:t>Abstract: Objective:</w:t>
      </w:r>
      <w:r w:rsidR="003A1917">
        <w:rPr>
          <w:kern w:val="0"/>
        </w:rPr>
        <w:t xml:space="preserve"> the </w:t>
      </w:r>
      <w:r>
        <w:rPr>
          <w:kern w:val="0"/>
        </w:rPr>
        <w:t>aim</w:t>
      </w:r>
      <w:r w:rsidR="00427468">
        <w:rPr>
          <w:kern w:val="0"/>
        </w:rPr>
        <w:t xml:space="preserve"> of </w:t>
      </w:r>
      <w:r>
        <w:rPr>
          <w:kern w:val="0"/>
        </w:rPr>
        <w:t>this study was to review</w:t>
      </w:r>
      <w:r w:rsidR="003A1917">
        <w:rPr>
          <w:kern w:val="0"/>
        </w:rPr>
        <w:t xml:space="preserve"> the </w:t>
      </w:r>
      <w:r>
        <w:rPr>
          <w:kern w:val="0"/>
        </w:rPr>
        <w:t>literature on neurocognition comparing people with a bulimic eating disorder in</w:t>
      </w:r>
      <w:r w:rsidR="003A1917">
        <w:rPr>
          <w:kern w:val="0"/>
        </w:rPr>
        <w:t xml:space="preserve"> the </w:t>
      </w:r>
      <w:r>
        <w:rPr>
          <w:kern w:val="0"/>
        </w:rPr>
        <w:t>acute phase</w:t>
      </w:r>
      <w:r w:rsidR="00427468">
        <w:rPr>
          <w:kern w:val="0"/>
        </w:rPr>
        <w:t xml:space="preserve"> of </w:t>
      </w:r>
      <w:r w:rsidR="003A1917">
        <w:rPr>
          <w:kern w:val="0"/>
        </w:rPr>
        <w:t xml:space="preserve">the </w:t>
      </w:r>
      <w:r>
        <w:rPr>
          <w:kern w:val="0"/>
        </w:rPr>
        <w:t>illness with healthy controls (HC). Method:</w:t>
      </w:r>
      <w:r w:rsidR="003A1917">
        <w:rPr>
          <w:kern w:val="0"/>
        </w:rPr>
        <w:t xml:space="preserve"> the </w:t>
      </w:r>
      <w:r>
        <w:rPr>
          <w:kern w:val="0"/>
        </w:rPr>
        <w:t>review follows</w:t>
      </w:r>
      <w:r w:rsidR="003A1917">
        <w:rPr>
          <w:kern w:val="0"/>
        </w:rPr>
        <w:t xml:space="preserve"> the </w:t>
      </w:r>
      <w:r>
        <w:rPr>
          <w:kern w:val="0"/>
        </w:rPr>
        <w:t>PRISMA (preferred reporting items for systematic reviews</w:t>
      </w:r>
      <w:r w:rsidR="005853A9">
        <w:rPr>
          <w:kern w:val="0"/>
        </w:rPr>
        <w:t xml:space="preserve"> and </w:t>
      </w:r>
      <w:r>
        <w:rPr>
          <w:kern w:val="0"/>
        </w:rPr>
        <w:t>meta-analysis) statement guidelines. Three databases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Scopus) were searched combining</w:t>
      </w:r>
      <w:r w:rsidR="003A1917">
        <w:rPr>
          <w:kern w:val="0"/>
        </w:rPr>
        <w:t xml:space="preserve"> the </w:t>
      </w:r>
      <w:r>
        <w:rPr>
          <w:kern w:val="0"/>
        </w:rPr>
        <w:t xml:space="preserve">search terms </w:t>
      </w:r>
      <w:r w:rsidR="00700038">
        <w:rPr>
          <w:kern w:val="0"/>
        </w:rPr>
        <w:t>‘</w:t>
      </w:r>
      <w:r>
        <w:rPr>
          <w:kern w:val="0"/>
        </w:rPr>
        <w:t>bulimic disorder</w:t>
      </w:r>
      <w:r w:rsidR="00700038">
        <w:rPr>
          <w:kern w:val="0"/>
        </w:rPr>
        <w:t>’</w:t>
      </w:r>
      <w:r>
        <w:rPr>
          <w:kern w:val="0"/>
        </w:rPr>
        <w:t xml:space="preserve">, </w:t>
      </w:r>
      <w:r w:rsidR="00700038">
        <w:rPr>
          <w:kern w:val="0"/>
        </w:rPr>
        <w:t>‘</w:t>
      </w:r>
      <w:r>
        <w:rPr>
          <w:kern w:val="0"/>
        </w:rPr>
        <w:t>bulimia nervosa (BN)</w:t>
      </w:r>
      <w:r w:rsidR="00700038">
        <w:rPr>
          <w:kern w:val="0"/>
        </w:rPr>
        <w:t>’</w:t>
      </w:r>
      <w:r>
        <w:rPr>
          <w:kern w:val="0"/>
        </w:rPr>
        <w:t xml:space="preserve">, </w:t>
      </w:r>
      <w:r w:rsidR="00700038">
        <w:rPr>
          <w:kern w:val="0"/>
        </w:rPr>
        <w:t>‘</w:t>
      </w:r>
      <w:r>
        <w:rPr>
          <w:kern w:val="0"/>
        </w:rPr>
        <w:t>binge-eating disorder (BED)</w:t>
      </w:r>
      <w:r w:rsidR="00700038">
        <w:rPr>
          <w:kern w:val="0"/>
        </w:rPr>
        <w:t>’</w:t>
      </w:r>
      <w:r>
        <w:rPr>
          <w:kern w:val="0"/>
        </w:rPr>
        <w:t xml:space="preserve"> with terms referring to cognitive domains (e. g. </w:t>
      </w:r>
      <w:r w:rsidR="00700038">
        <w:rPr>
          <w:kern w:val="0"/>
        </w:rPr>
        <w:t>‘</w:t>
      </w:r>
      <w:r>
        <w:rPr>
          <w:kern w:val="0"/>
        </w:rPr>
        <w:t>executive functions</w:t>
      </w:r>
      <w:r w:rsidR="00700038">
        <w:rPr>
          <w:kern w:val="0"/>
        </w:rPr>
        <w:t>’</w:t>
      </w:r>
      <w:r>
        <w:rPr>
          <w:kern w:val="0"/>
        </w:rPr>
        <w:t>). Results: Thirty-seven studies on people with BN</w:t>
      </w:r>
      <w:r w:rsidR="005853A9">
        <w:rPr>
          <w:kern w:val="0"/>
        </w:rPr>
        <w:t xml:space="preserve"> and </w:t>
      </w:r>
      <w:r>
        <w:rPr>
          <w:kern w:val="0"/>
        </w:rPr>
        <w:t>four on people with BED were selected for review. Overall, sample sizes were relatively small [bulimic disorders: median</w:t>
      </w:r>
      <w:r w:rsidR="005853A9">
        <w:rPr>
          <w:kern w:val="0"/>
        </w:rPr>
        <w:t xml:space="preserve"> and </w:t>
      </w:r>
      <w:r>
        <w:rPr>
          <w:kern w:val="0"/>
        </w:rPr>
        <w:t>range 22 (12-83); HC: 27 (13-172)]</w:t>
      </w:r>
      <w:r w:rsidR="00A37C1D">
        <w:rPr>
          <w:kern w:val="0"/>
        </w:rPr>
        <w:t>. The</w:t>
      </w:r>
      <w:r w:rsidR="003A1917">
        <w:rPr>
          <w:kern w:val="0"/>
        </w:rPr>
        <w:t xml:space="preserve"> </w:t>
      </w:r>
      <w:r>
        <w:rPr>
          <w:kern w:val="0"/>
        </w:rPr>
        <w:t xml:space="preserve">diversity in methodology precluded a meta-analytical approach. People with a bulimic disorder did not present </w:t>
      </w:r>
      <w:r>
        <w:rPr>
          <w:kern w:val="0"/>
        </w:rPr>
        <w:lastRenderedPageBreak/>
        <w:t>with a clear neurocognitive profile. Inclusion</w:t>
      </w:r>
      <w:r w:rsidR="00427468">
        <w:rPr>
          <w:kern w:val="0"/>
        </w:rPr>
        <w:t xml:space="preserve"> of </w:t>
      </w:r>
      <w:r>
        <w:rPr>
          <w:kern w:val="0"/>
        </w:rPr>
        <w:t>salient, disorder-related stimuli (e. g. body weight/shape words) in</w:t>
      </w:r>
      <w:r w:rsidR="003A1917">
        <w:rPr>
          <w:kern w:val="0"/>
        </w:rPr>
        <w:t xml:space="preserve"> the </w:t>
      </w:r>
      <w:r>
        <w:rPr>
          <w:kern w:val="0"/>
        </w:rPr>
        <w:t>neurocognitive paradigms tended to generate differences between people with a bulimic disorder</w:t>
      </w:r>
      <w:r w:rsidR="005853A9">
        <w:rPr>
          <w:kern w:val="0"/>
        </w:rPr>
        <w:t xml:space="preserve"> and </w:t>
      </w:r>
      <w:r>
        <w:rPr>
          <w:kern w:val="0"/>
        </w:rPr>
        <w:t>HC. Conclusion: Neurocognition in bulimic eating disorders is under researched,</w:t>
      </w:r>
      <w:r w:rsidR="005853A9">
        <w:rPr>
          <w:kern w:val="0"/>
        </w:rPr>
        <w:t xml:space="preserve"> and </w:t>
      </w:r>
      <w:r w:rsidR="003A1917">
        <w:rPr>
          <w:kern w:val="0"/>
        </w:rPr>
        <w:t xml:space="preserve">the </w:t>
      </w:r>
      <w:r>
        <w:rPr>
          <w:kern w:val="0"/>
        </w:rPr>
        <w:t>available evidence is inconclusive. This review outlines strategies for further research in this area.</w:t>
      </w:r>
    </w:p>
    <w:p w:rsidR="005E3496" w:rsidRDefault="005E3496" w:rsidP="005E3496">
      <w:pPr>
        <w:pStyle w:val="a3"/>
        <w:rPr>
          <w:kern w:val="0"/>
        </w:rPr>
      </w:pPr>
      <w:r>
        <w:rPr>
          <w:kern w:val="0"/>
        </w:rPr>
        <w:t xml:space="preserve">Keywords: Anorexia-Nervosa, Binge-Eating Disorder, Bulimia Nervosa, Central Coherence, Cognition, Databases, Decision-Making, Disorder, Effect Sizes, Guidelines, Literature, Memory Bias, Meta-Analysis, Methodology, Neuropsychology, Performance, Profile, Quantitative Measure, Research, Review, Science, Scopus, Stroop Test, Systematic, Systematic Review, Systematic Reviews, Task, </w:t>
      </w:r>
      <w:r w:rsidR="00D5664A">
        <w:rPr>
          <w:kern w:val="0"/>
        </w:rPr>
        <w:t>Web</w:t>
      </w:r>
      <w:r w:rsidR="00427468">
        <w:rPr>
          <w:kern w:val="0"/>
        </w:rPr>
        <w:t xml:space="preserve"> of </w:t>
      </w:r>
      <w:r w:rsidR="00D5664A">
        <w:rPr>
          <w:kern w:val="0"/>
        </w:rPr>
        <w:t>Science</w:t>
      </w:r>
      <w:r>
        <w:rPr>
          <w:kern w:val="0"/>
        </w:rPr>
        <w:t>, Women</w:t>
      </w:r>
    </w:p>
    <w:p w:rsidR="0005697A" w:rsidRDefault="0005697A" w:rsidP="0005697A">
      <w:pPr>
        <w:pStyle w:val="a3"/>
        <w:rPr>
          <w:kern w:val="0"/>
          <w:szCs w:val="24"/>
        </w:rPr>
      </w:pPr>
      <w:r>
        <w:rPr>
          <w:rFonts w:hint="eastAsia"/>
          <w:kern w:val="0"/>
          <w:szCs w:val="24"/>
        </w:rPr>
        <w:t xml:space="preserve">? </w:t>
      </w:r>
      <w:r>
        <w:rPr>
          <w:kern w:val="0"/>
          <w:szCs w:val="24"/>
        </w:rPr>
        <w:t xml:space="preserve">Kolshus, E., Dalton, V.S., Ryan, K.M. and McLoughlin, D.M. (2014), When less is more - microRNAs and psychiatric disorders. </w:t>
      </w:r>
      <w:r>
        <w:rPr>
          <w:i/>
          <w:iCs/>
          <w:kern w:val="0"/>
          <w:szCs w:val="24"/>
        </w:rPr>
        <w:t>Acta Psychiatrica Scandinavica</w:t>
      </w:r>
      <w:r>
        <w:rPr>
          <w:kern w:val="0"/>
          <w:szCs w:val="24"/>
        </w:rPr>
        <w:t xml:space="preserve">, </w:t>
      </w:r>
      <w:r>
        <w:rPr>
          <w:b/>
          <w:bCs/>
          <w:kern w:val="0"/>
          <w:szCs w:val="24"/>
        </w:rPr>
        <w:t>129</w:t>
      </w:r>
      <w:r>
        <w:rPr>
          <w:kern w:val="0"/>
          <w:szCs w:val="24"/>
        </w:rPr>
        <w:t xml:space="preserve"> (4), 241-256.</w:t>
      </w:r>
    </w:p>
    <w:p w:rsidR="0005697A" w:rsidRPr="001A3D2B" w:rsidRDefault="0005697A" w:rsidP="0005697A">
      <w:pPr>
        <w:pStyle w:val="a3"/>
      </w:pPr>
      <w:r w:rsidRPr="001A3D2B">
        <w:t xml:space="preserve">Full Text: </w:t>
      </w:r>
      <w:hyperlink r:id="rId199" w:history="1">
        <w:r w:rsidRPr="0005697A">
          <w:rPr>
            <w:rStyle w:val="a5"/>
          </w:rPr>
          <w:t>2014\Act Psy Sca129, 241.pdf</w:t>
        </w:r>
      </w:hyperlink>
    </w:p>
    <w:p w:rsidR="0005697A" w:rsidRDefault="0005697A" w:rsidP="0005697A">
      <w:pPr>
        <w:pStyle w:val="a3"/>
        <w:rPr>
          <w:kern w:val="0"/>
          <w:szCs w:val="24"/>
        </w:rPr>
      </w:pPr>
      <w:r>
        <w:rPr>
          <w:kern w:val="0"/>
          <w:szCs w:val="24"/>
        </w:rPr>
        <w:t>Abstract: Objective MicroRNAs are small non-coding RNA molecules that regulate gene expression, including genes involved in neuronal function and plasticity that have relevance for brain function and mental health. We therefore performed a systematic review</w:t>
      </w:r>
      <w:r w:rsidR="00427468">
        <w:rPr>
          <w:kern w:val="0"/>
          <w:szCs w:val="24"/>
        </w:rPr>
        <w:t xml:space="preserve"> of </w:t>
      </w:r>
      <w:r>
        <w:rPr>
          <w:kern w:val="0"/>
          <w:szCs w:val="24"/>
        </w:rPr>
        <w:t>miRNAs in general adult psychiatric disorders. Method Systematic searches in PubMed/MEDLINE and Web</w:t>
      </w:r>
      <w:r w:rsidR="00427468">
        <w:rPr>
          <w:kern w:val="0"/>
          <w:szCs w:val="24"/>
        </w:rPr>
        <w:t xml:space="preserve"> of </w:t>
      </w:r>
      <w:r>
        <w:rPr>
          <w:kern w:val="0"/>
          <w:szCs w:val="24"/>
        </w:rPr>
        <w:t>Science were conducted to identify published clinical articles on microRNAs in general adult psychiatric disorders. We also reviewed references from included articles. Results There is mounting evidence</w:t>
      </w:r>
      <w:r w:rsidR="00427468">
        <w:rPr>
          <w:kern w:val="0"/>
          <w:szCs w:val="24"/>
        </w:rPr>
        <w:t xml:space="preserve"> of </w:t>
      </w:r>
      <w:r>
        <w:rPr>
          <w:kern w:val="0"/>
          <w:szCs w:val="24"/>
        </w:rPr>
        <w:t>microRNAs</w:t>
      </w:r>
      <w:r w:rsidR="00700038">
        <w:rPr>
          <w:kern w:val="0"/>
          <w:szCs w:val="24"/>
        </w:rPr>
        <w:t>’</w:t>
      </w:r>
      <w:r>
        <w:rPr>
          <w:kern w:val="0"/>
          <w:szCs w:val="24"/>
        </w:rPr>
        <w:t xml:space="preserve"> regulatory roles in a number</w:t>
      </w:r>
      <w:r w:rsidR="00427468">
        <w:rPr>
          <w:kern w:val="0"/>
          <w:szCs w:val="24"/>
        </w:rPr>
        <w:t xml:space="preserve"> of </w:t>
      </w:r>
      <w:r>
        <w:rPr>
          <w:kern w:val="0"/>
          <w:szCs w:val="24"/>
        </w:rPr>
        <w:t>central nervous system processes, including neurogenesis and synaptic plasticity</w:t>
      </w:r>
      <w:r w:rsidR="00A37C1D">
        <w:rPr>
          <w:kern w:val="0"/>
          <w:szCs w:val="24"/>
        </w:rPr>
        <w:t>. The</w:t>
      </w:r>
      <w:r>
        <w:rPr>
          <w:kern w:val="0"/>
          <w:szCs w:val="24"/>
        </w:rPr>
        <w:t xml:space="preserve"> majority</w:t>
      </w:r>
      <w:r w:rsidR="00427468">
        <w:rPr>
          <w:kern w:val="0"/>
          <w:szCs w:val="24"/>
        </w:rPr>
        <w:t xml:space="preserve"> of </w:t>
      </w:r>
      <w:r>
        <w:rPr>
          <w:kern w:val="0"/>
          <w:szCs w:val="24"/>
        </w:rPr>
        <w:t>clinical studies</w:t>
      </w:r>
      <w:r w:rsidR="00427468">
        <w:rPr>
          <w:kern w:val="0"/>
          <w:szCs w:val="24"/>
        </w:rPr>
        <w:t xml:space="preserve"> of </w:t>
      </w:r>
      <w:r>
        <w:rPr>
          <w:kern w:val="0"/>
          <w:szCs w:val="24"/>
        </w:rPr>
        <w:t>microRNAs in psychiatric disorders are in schizophrenia, where a number</w:t>
      </w:r>
      <w:r w:rsidR="00427468">
        <w:rPr>
          <w:kern w:val="0"/>
          <w:szCs w:val="24"/>
        </w:rPr>
        <w:t xml:space="preserve"> of </w:t>
      </w:r>
      <w:r>
        <w:rPr>
          <w:kern w:val="0"/>
          <w:szCs w:val="24"/>
        </w:rPr>
        <w:t>specific microRNAs have been identified in separate studies</w:t>
      </w:r>
      <w:r w:rsidR="00A37C1D">
        <w:rPr>
          <w:kern w:val="0"/>
          <w:szCs w:val="24"/>
        </w:rPr>
        <w:t>. The</w:t>
      </w:r>
      <w:r>
        <w:rPr>
          <w:kern w:val="0"/>
          <w:szCs w:val="24"/>
        </w:rPr>
        <w:t>re is some evidence</w:t>
      </w:r>
      <w:r w:rsidR="00427468">
        <w:rPr>
          <w:kern w:val="0"/>
          <w:szCs w:val="24"/>
        </w:rPr>
        <w:t xml:space="preserve"> of </w:t>
      </w:r>
      <w:r>
        <w:rPr>
          <w:kern w:val="0"/>
          <w:szCs w:val="24"/>
        </w:rPr>
        <w:t>marked downregulation</w:t>
      </w:r>
      <w:r w:rsidR="00427468">
        <w:rPr>
          <w:kern w:val="0"/>
          <w:szCs w:val="24"/>
        </w:rPr>
        <w:t xml:space="preserve"> of </w:t>
      </w:r>
      <w:r>
        <w:rPr>
          <w:kern w:val="0"/>
          <w:szCs w:val="24"/>
        </w:rPr>
        <w:t>some microRNAs in affective disorders. Treatment with antidepressants appears to upregulate microRNA levels</w:t>
      </w:r>
      <w:r w:rsidR="00A37C1D">
        <w:rPr>
          <w:kern w:val="0"/>
          <w:szCs w:val="24"/>
        </w:rPr>
        <w:t>. The</w:t>
      </w:r>
      <w:r>
        <w:rPr>
          <w:kern w:val="0"/>
          <w:szCs w:val="24"/>
        </w:rPr>
        <w:t>re is currently little evidence from human studies in anxiety, addiction or other psychiatric disorders. Conclusion MicroRNA research in psychiatry is currently in a nascent period, but represents an emerging and exciting area, with the potential to clarify molecular mechanisms</w:t>
      </w:r>
      <w:r w:rsidR="00427468">
        <w:rPr>
          <w:kern w:val="0"/>
          <w:szCs w:val="24"/>
        </w:rPr>
        <w:t xml:space="preserve"> of </w:t>
      </w:r>
      <w:r>
        <w:rPr>
          <w:kern w:val="0"/>
          <w:szCs w:val="24"/>
        </w:rPr>
        <w:t>disease and identify novel biomarkers and therapeutic agents.</w:t>
      </w:r>
    </w:p>
    <w:p w:rsidR="0005697A" w:rsidRDefault="0005697A" w:rsidP="0005697A">
      <w:pPr>
        <w:pStyle w:val="a3"/>
        <w:rPr>
          <w:kern w:val="0"/>
          <w:szCs w:val="24"/>
        </w:rPr>
      </w:pPr>
      <w:r>
        <w:rPr>
          <w:kern w:val="0"/>
          <w:szCs w:val="24"/>
        </w:rPr>
        <w:t xml:space="preserve">Keywords: Addiction, Adult, Anxiety, Biomarkers, Bipolar Disorder, Brain, Brain-Expressed Micrornas, Central Nervous System, Clinical, Clinical Studies, Cocaine Intake, Depression, Disease, Evidence, Expression, Function, Gene, Gene Expression, General, Genes, Genome-Wide Association, Health, Human, Human-Disease, Lithium Treatment, Lymphoblastoid Cell-Lines, Mechanisms, </w:t>
      </w:r>
      <w:r>
        <w:rPr>
          <w:kern w:val="0"/>
          <w:szCs w:val="24"/>
        </w:rPr>
        <w:lastRenderedPageBreak/>
        <w:t>Mental Health, Microrna, Neurogenesis, Neuropsychiatric Disorders, Potential, Prefrontal Cortex, Psychiatric Disorders, Psychiatry, References, Relevance, Research, Results, Review, RNA, Schizophrenia, Science, Small, Susceptibility Gene, Systematic Review, Therapeutic, Treatment, Web</w:t>
      </w:r>
      <w:r w:rsidR="00427468">
        <w:rPr>
          <w:kern w:val="0"/>
          <w:szCs w:val="24"/>
        </w:rPr>
        <w:t xml:space="preserve"> of </w:t>
      </w:r>
      <w:r>
        <w:rPr>
          <w:kern w:val="0"/>
          <w:szCs w:val="24"/>
        </w:rPr>
        <w:t>Science</w:t>
      </w:r>
    </w:p>
    <w:p w:rsidR="0087245C" w:rsidRDefault="0087245C" w:rsidP="0087245C">
      <w:pPr>
        <w:pStyle w:val="a3"/>
        <w:rPr>
          <w:kern w:val="0"/>
        </w:rPr>
      </w:pPr>
      <w:r>
        <w:rPr>
          <w:kern w:val="0"/>
        </w:rPr>
        <w:t xml:space="preserve">? Prieto, M.L., Cuellar-Barboza, A.B., Bobo, W.V., Roger, V.L., Bellivier, F., Leboyer, M., West, C.P. and Frye, M.A. (2014), Risk of myocardial infarction and stroke in bipolar disorder: A systematic review and exploratory meta-analysis. </w:t>
      </w:r>
      <w:r>
        <w:rPr>
          <w:i/>
          <w:iCs/>
          <w:kern w:val="0"/>
        </w:rPr>
        <w:t>Acta Psychiatrica Scandinavica</w:t>
      </w:r>
      <w:r>
        <w:rPr>
          <w:kern w:val="0"/>
        </w:rPr>
        <w:t xml:space="preserve">, </w:t>
      </w:r>
      <w:r>
        <w:rPr>
          <w:b/>
          <w:bCs/>
          <w:kern w:val="0"/>
        </w:rPr>
        <w:t>130</w:t>
      </w:r>
      <w:r>
        <w:rPr>
          <w:kern w:val="0"/>
        </w:rPr>
        <w:t xml:space="preserve"> (5), 342-353.</w:t>
      </w:r>
    </w:p>
    <w:p w:rsidR="0087245C" w:rsidRPr="001A3D2B" w:rsidRDefault="0087245C" w:rsidP="0087245C">
      <w:pPr>
        <w:pStyle w:val="a3"/>
      </w:pPr>
      <w:r w:rsidRPr="001A3D2B">
        <w:t xml:space="preserve">Full Text: </w:t>
      </w:r>
      <w:hyperlink r:id="rId200" w:history="1">
        <w:r w:rsidRPr="002E5861">
          <w:rPr>
            <w:rStyle w:val="a5"/>
          </w:rPr>
          <w:t>2014\Act Psy Sca130, 342.pdf</w:t>
        </w:r>
      </w:hyperlink>
    </w:p>
    <w:p w:rsidR="0087245C" w:rsidRDefault="0087245C" w:rsidP="0087245C">
      <w:pPr>
        <w:pStyle w:val="a3"/>
        <w:rPr>
          <w:kern w:val="0"/>
        </w:rPr>
      </w:pPr>
      <w:r>
        <w:rPr>
          <w:kern w:val="0"/>
        </w:rPr>
        <w:t>Abstract: ObjectiveTo review the evidence on and estimate the risk of myocardial infarction and stroke in bipolar disorder. MethodA systematic search using MEDLINE, EMBASE, PsycINFO, Web of Science, Scopus, Cochrane Database of Systematic Reviews, and bibliographies (1946 - May, 2013) was conducted. Case-control and cohort studies of bipolar disorder patients age 15 or older with myocardial infarction or stroke as outcomes were included. Two independent reviewers extracted data and assessed quality. Estimates of effect were summarized using random-effects meta-analysis. ResultsFive cohort studies including 13115911 participants (27092 bipolar) were included. Due to the use of registers, different statistical methods, and inconsistent adjustment for confounders, there was significant methodological heterogeneity among studies. The exploratory meta-analysis yielded no evidence for a significant increase in the risk of myocardial infarction: [relative risk (RR): 1.09, 95% CI 0.96-1.24, P=0.20; I-2=6%]. While there was evidence of significant study heterogeneity, the risk of stroke in bipolar disorder was significantly increased (RR 1.74, 95% CI 1.29-2.35; P=0.0003; I-2=83%). ConclusionThere may be a differential risk of myocardial infarction and stroke in patients with bipolar disorder. Confidence in these pooled estimates was limited by the small number of studies, significant heterogeneity and dissimilar methodological features.</w:t>
      </w:r>
    </w:p>
    <w:p w:rsidR="0087245C" w:rsidRDefault="0087245C" w:rsidP="0087245C">
      <w:pPr>
        <w:pStyle w:val="a3"/>
        <w:rPr>
          <w:kern w:val="0"/>
        </w:rPr>
      </w:pPr>
      <w:r>
        <w:rPr>
          <w:kern w:val="0"/>
        </w:rPr>
        <w:t>Keywords: 6-Year Follow-Up, Age, Bibliographies, Bipolar, Bipolar Disorder, Cardiovascular Diseases, Cardiovascular-Disease, Cohort, Data, Database, Diabetes-Mellitus, Embase, Estimates, Evidence, Excess Mortality, Heart-Disease, Heterogeneity, Infarction, Ischemic-Stroke, Medical Conditions, Medline, Meta Analysis, Meta-Analysis, Metaanalysis, Methods, Myocardial Infarction, Nov, Outcomes, Patients, Psychiatric Research, Psycinfo, Quality, Register, Review, Reviewers, Risk, Schizophrenia, Science, Scopus, Small, Stroke, Systematic, Systematic Review, Systematic Reviews, Web Of Science</w:t>
      </w:r>
    </w:p>
    <w:p w:rsidR="007B04B2" w:rsidRPr="00F219CA" w:rsidRDefault="007B04B2" w:rsidP="007B04B2">
      <w:pPr>
        <w:pStyle w:val="1"/>
      </w:pPr>
      <w:r w:rsidRPr="00F219CA">
        <w:br w:type="page"/>
      </w:r>
      <w:bookmarkStart w:id="96" w:name="_Toc302201068"/>
      <w:bookmarkStart w:id="97" w:name="_Toc420814287"/>
      <w:r w:rsidRPr="00F219CA">
        <w:lastRenderedPageBreak/>
        <w:t>Title: Acta Radiologica</w:t>
      </w:r>
      <w:bookmarkEnd w:id="96"/>
      <w:bookmarkEnd w:id="97"/>
    </w:p>
    <w:p w:rsidR="007B04B2" w:rsidRPr="00F219CA" w:rsidRDefault="007B04B2" w:rsidP="007B04B2">
      <w:pPr>
        <w:pStyle w:val="12"/>
      </w:pPr>
      <w:r w:rsidRPr="00F219CA">
        <w:t>Full Journal Title: Acta Radiologica</w:t>
      </w:r>
    </w:p>
    <w:p w:rsidR="007B04B2" w:rsidRPr="00F219CA" w:rsidRDefault="007B04B2" w:rsidP="007B04B2">
      <w:pPr>
        <w:pStyle w:val="12"/>
      </w:pPr>
      <w:r w:rsidRPr="00F219CA">
        <w:t>ISO Abbreviated Title: Acta Radiol.</w:t>
      </w:r>
    </w:p>
    <w:p w:rsidR="007B04B2" w:rsidRPr="00F219CA" w:rsidRDefault="007B04B2" w:rsidP="007B04B2">
      <w:pPr>
        <w:pStyle w:val="12"/>
      </w:pPr>
      <w:r w:rsidRPr="00F219CA">
        <w:t>JCR Abbreviated Title: Acta Radiol</w:t>
      </w:r>
    </w:p>
    <w:p w:rsidR="007B04B2" w:rsidRPr="00F219CA" w:rsidRDefault="007B04B2" w:rsidP="007B04B2">
      <w:pPr>
        <w:pStyle w:val="12"/>
      </w:pPr>
      <w:r w:rsidRPr="00F219CA">
        <w:t>ISSN: 0284-1851</w:t>
      </w:r>
    </w:p>
    <w:p w:rsidR="007B04B2" w:rsidRPr="00F219CA" w:rsidRDefault="007B04B2" w:rsidP="007B04B2">
      <w:pPr>
        <w:pStyle w:val="12"/>
      </w:pPr>
      <w:r w:rsidRPr="00F219CA">
        <w:t>Issues/Year: 6</w:t>
      </w:r>
    </w:p>
    <w:p w:rsidR="007B04B2" w:rsidRPr="00F219CA" w:rsidRDefault="007B04B2" w:rsidP="007B04B2">
      <w:pPr>
        <w:pStyle w:val="12"/>
      </w:pPr>
      <w:r w:rsidRPr="00F219CA">
        <w:t xml:space="preserve">Journal Country/Territory: </w:t>
      </w:r>
      <w:smartTag w:uri="urn:schemas-microsoft-com:office:smarttags" w:element="place">
        <w:smartTag w:uri="urn:schemas-microsoft-com:office:smarttags" w:element="country-region">
          <w:r w:rsidRPr="00F219CA">
            <w:t>Sweden</w:t>
          </w:r>
        </w:smartTag>
      </w:smartTag>
    </w:p>
    <w:p w:rsidR="007B04B2" w:rsidRPr="00F219CA" w:rsidRDefault="007B04B2" w:rsidP="007B04B2">
      <w:pPr>
        <w:pStyle w:val="12"/>
      </w:pPr>
      <w:r w:rsidRPr="00F219CA">
        <w:t>Language: English</w:t>
      </w:r>
    </w:p>
    <w:p w:rsidR="007B04B2" w:rsidRPr="00F219CA" w:rsidRDefault="007B04B2" w:rsidP="007B04B2">
      <w:pPr>
        <w:pStyle w:val="12"/>
      </w:pPr>
      <w:r w:rsidRPr="00F219CA">
        <w:t>Publisher: Munksgaard Int Publ Ltd</w:t>
      </w:r>
    </w:p>
    <w:p w:rsidR="007B04B2" w:rsidRPr="00F219CA" w:rsidRDefault="007B04B2" w:rsidP="007B04B2">
      <w:pPr>
        <w:pStyle w:val="12"/>
      </w:pPr>
      <w:r w:rsidRPr="00F219CA">
        <w:t>Publisher Address: 35 Norre Sogade, PO Box 2148, DK-1016 Copenhagen, Denmark</w:t>
      </w:r>
    </w:p>
    <w:p w:rsidR="007B04B2" w:rsidRPr="00F219CA" w:rsidRDefault="007B04B2" w:rsidP="007B04B2">
      <w:pPr>
        <w:pStyle w:val="12"/>
      </w:pPr>
      <w:r w:rsidRPr="00F219CA">
        <w:t xml:space="preserve">Subject Categories: </w:t>
      </w:r>
    </w:p>
    <w:p w:rsidR="007B04B2" w:rsidRPr="00F219CA" w:rsidRDefault="007B04B2" w:rsidP="007B04B2">
      <w:pPr>
        <w:pStyle w:val="12"/>
      </w:pPr>
      <w:r w:rsidRPr="00F219CA">
        <w:t xml:space="preserve">Radiology, Nuclear Medicine &amp; Medical Imaging: Impact Factor </w:t>
      </w:r>
    </w:p>
    <w:p w:rsidR="007B04B2" w:rsidRDefault="007B04B2" w:rsidP="007B04B2">
      <w:pPr>
        <w:pStyle w:val="a3"/>
        <w:rPr>
          <w:kern w:val="0"/>
        </w:rPr>
      </w:pPr>
      <w:r>
        <w:rPr>
          <w:rFonts w:hint="eastAsia"/>
          <w:kern w:val="0"/>
        </w:rPr>
        <w:t xml:space="preserve">? </w:t>
      </w:r>
      <w:r>
        <w:rPr>
          <w:kern w:val="0"/>
        </w:rPr>
        <w:t>Hansen, J.</w:t>
      </w:r>
      <w:r w:rsidR="005853A9">
        <w:rPr>
          <w:kern w:val="0"/>
        </w:rPr>
        <w:t xml:space="preserve"> and </w:t>
      </w:r>
      <w:r>
        <w:rPr>
          <w:kern w:val="0"/>
        </w:rPr>
        <w:t>Jurik, A.G. (2009), Diagnostic Value</w:t>
      </w:r>
      <w:r w:rsidR="00427468">
        <w:rPr>
          <w:kern w:val="0"/>
        </w:rPr>
        <w:t xml:space="preserve"> of </w:t>
      </w:r>
      <w:r>
        <w:rPr>
          <w:kern w:val="0"/>
        </w:rPr>
        <w:t>Multislice Computed tomography</w:t>
      </w:r>
      <w:r w:rsidR="005853A9">
        <w:rPr>
          <w:kern w:val="0"/>
        </w:rPr>
        <w:t xml:space="preserve"> and </w:t>
      </w:r>
      <w:r>
        <w:rPr>
          <w:kern w:val="0"/>
        </w:rPr>
        <w:t>magnetic resonance imaging in</w:t>
      </w:r>
      <w:r w:rsidR="003A1917">
        <w:rPr>
          <w:kern w:val="0"/>
        </w:rPr>
        <w:t xml:space="preserve"> the </w:t>
      </w:r>
      <w:r>
        <w:rPr>
          <w:kern w:val="0"/>
        </w:rPr>
        <w:t>diagnosis</w:t>
      </w:r>
      <w:r w:rsidR="00427468">
        <w:rPr>
          <w:kern w:val="0"/>
        </w:rPr>
        <w:t xml:space="preserve"> of </w:t>
      </w:r>
      <w:r>
        <w:rPr>
          <w:kern w:val="0"/>
        </w:rPr>
        <w:t>retroperitoneal spread</w:t>
      </w:r>
      <w:r w:rsidR="00427468">
        <w:rPr>
          <w:kern w:val="0"/>
        </w:rPr>
        <w:t xml:space="preserve"> of </w:t>
      </w:r>
      <w:r>
        <w:rPr>
          <w:kern w:val="0"/>
        </w:rPr>
        <w:t xml:space="preserve">testicular cancer: A literature review. </w:t>
      </w:r>
      <w:r>
        <w:rPr>
          <w:i/>
          <w:iCs/>
          <w:kern w:val="0"/>
        </w:rPr>
        <w:t>Acta Radiologica</w:t>
      </w:r>
      <w:r>
        <w:rPr>
          <w:kern w:val="0"/>
        </w:rPr>
        <w:t xml:space="preserve">, </w:t>
      </w:r>
      <w:r>
        <w:rPr>
          <w:b/>
          <w:bCs/>
          <w:kern w:val="0"/>
        </w:rPr>
        <w:t>50</w:t>
      </w:r>
      <w:r>
        <w:rPr>
          <w:kern w:val="0"/>
        </w:rPr>
        <w:t xml:space="preserve"> (9), 1064-1070.</w:t>
      </w:r>
    </w:p>
    <w:p w:rsidR="007B04B2" w:rsidRDefault="007B04B2" w:rsidP="007B04B2">
      <w:pPr>
        <w:pStyle w:val="a3"/>
        <w:rPr>
          <w:kern w:val="0"/>
        </w:rPr>
      </w:pPr>
      <w:r>
        <w:rPr>
          <w:rFonts w:hint="eastAsia"/>
          <w:kern w:val="0"/>
        </w:rPr>
        <w:t xml:space="preserve">Full Text: </w:t>
      </w:r>
      <w:hyperlink r:id="rId201" w:history="1">
        <w:r w:rsidRPr="007B04B2">
          <w:rPr>
            <w:rStyle w:val="a5"/>
            <w:kern w:val="0"/>
          </w:rPr>
          <w:t>2009\Act Rad50, 1064.pdf</w:t>
        </w:r>
      </w:hyperlink>
    </w:p>
    <w:p w:rsidR="007B04B2" w:rsidRDefault="007B04B2" w:rsidP="007B04B2">
      <w:pPr>
        <w:pStyle w:val="a3"/>
        <w:rPr>
          <w:kern w:val="0"/>
        </w:rPr>
      </w:pPr>
      <w:r>
        <w:rPr>
          <w:kern w:val="0"/>
        </w:rPr>
        <w:t>Abstract: Testicular cancer is</w:t>
      </w:r>
      <w:r w:rsidR="003A1917">
        <w:rPr>
          <w:kern w:val="0"/>
        </w:rPr>
        <w:t xml:space="preserve"> the </w:t>
      </w:r>
      <w:r>
        <w:rPr>
          <w:kern w:val="0"/>
        </w:rPr>
        <w:t>most frequent malignant disorder in men aged 15-35 years. Generally, diagnosing</w:t>
      </w:r>
      <w:r w:rsidR="005853A9">
        <w:rPr>
          <w:kern w:val="0"/>
        </w:rPr>
        <w:t xml:space="preserve"> and </w:t>
      </w:r>
      <w:r>
        <w:rPr>
          <w:kern w:val="0"/>
        </w:rPr>
        <w:t>follow-up include computer tomography (CT) examinations to detect possible retroperitoneal spread (abdomen</w:t>
      </w:r>
      <w:r w:rsidR="005853A9">
        <w:rPr>
          <w:kern w:val="0"/>
        </w:rPr>
        <w:t xml:space="preserve"> and </w:t>
      </w:r>
      <w:r>
        <w:rPr>
          <w:kern w:val="0"/>
        </w:rPr>
        <w:t>pelvis), resulting in at least eight CT examinations. This patient group is thereby exposed to a non-neglectable radiation dose, increasing</w:t>
      </w:r>
      <w:r w:rsidR="003A1917">
        <w:rPr>
          <w:kern w:val="0"/>
        </w:rPr>
        <w:t xml:space="preserve"> the </w:t>
      </w:r>
      <w:r>
        <w:rPr>
          <w:kern w:val="0"/>
        </w:rPr>
        <w:t>risk</w:t>
      </w:r>
      <w:r w:rsidR="00427468">
        <w:rPr>
          <w:kern w:val="0"/>
        </w:rPr>
        <w:t xml:space="preserve"> of </w:t>
      </w:r>
      <w:r>
        <w:rPr>
          <w:kern w:val="0"/>
        </w:rPr>
        <w:t>future radiation-induced secondary cancer. This is especially problematic in potentially surgically cured patients with stage I testicular cancer. Thus, it can be beneficial to substitute CT with magnetic resonance imaging (MRI), provided there is valid evidence that</w:t>
      </w:r>
      <w:r w:rsidR="003A1917">
        <w:rPr>
          <w:kern w:val="0"/>
        </w:rPr>
        <w:t xml:space="preserve"> the </w:t>
      </w:r>
      <w:r>
        <w:rPr>
          <w:kern w:val="0"/>
        </w:rPr>
        <w:t>diagnostic value</w:t>
      </w:r>
      <w:r w:rsidR="00427468">
        <w:rPr>
          <w:kern w:val="0"/>
        </w:rPr>
        <w:t xml:space="preserve"> of </w:t>
      </w:r>
      <w:r>
        <w:rPr>
          <w:kern w:val="0"/>
        </w:rPr>
        <w:t>MRI is at least comparable to current multislice CT (MSCT)</w:t>
      </w:r>
      <w:r w:rsidR="00A37C1D">
        <w:rPr>
          <w:kern w:val="0"/>
        </w:rPr>
        <w:t>. The</w:t>
      </w:r>
      <w:r w:rsidR="003A1917">
        <w:rPr>
          <w:kern w:val="0"/>
        </w:rPr>
        <w:t xml:space="preserve"> </w:t>
      </w:r>
      <w:r>
        <w:rPr>
          <w:kern w:val="0"/>
        </w:rPr>
        <w:t>purpose</w:t>
      </w:r>
      <w:r w:rsidR="00427468">
        <w:rPr>
          <w:kern w:val="0"/>
        </w:rPr>
        <w:t xml:space="preserve"> of </w:t>
      </w:r>
      <w:r>
        <w:rPr>
          <w:kern w:val="0"/>
        </w:rPr>
        <w:t>this study was to analyze whether there is evidence to recommend a substitution</w:t>
      </w:r>
      <w:r w:rsidR="00427468">
        <w:rPr>
          <w:kern w:val="0"/>
        </w:rPr>
        <w:t xml:space="preserve"> of </w:t>
      </w:r>
      <w:r>
        <w:rPr>
          <w:kern w:val="0"/>
        </w:rPr>
        <w:t>MSCT with MRI in</w:t>
      </w:r>
      <w:r w:rsidR="003A1917">
        <w:rPr>
          <w:kern w:val="0"/>
        </w:rPr>
        <w:t xml:space="preserve"> the </w:t>
      </w:r>
      <w:r>
        <w:rPr>
          <w:kern w:val="0"/>
        </w:rPr>
        <w:t>diagnosis</w:t>
      </w:r>
      <w:r w:rsidR="00427468">
        <w:rPr>
          <w:kern w:val="0"/>
        </w:rPr>
        <w:t xml:space="preserve"> of </w:t>
      </w:r>
      <w:r>
        <w:rPr>
          <w:kern w:val="0"/>
        </w:rPr>
        <w:t>retroperitoneal spread</w:t>
      </w:r>
      <w:r w:rsidR="00427468">
        <w:rPr>
          <w:kern w:val="0"/>
        </w:rPr>
        <w:t xml:space="preserve"> of </w:t>
      </w:r>
      <w:r>
        <w:rPr>
          <w:kern w:val="0"/>
        </w:rPr>
        <w:t>testicular cancer. A literature search on</w:t>
      </w:r>
      <w:r w:rsidR="003A1917">
        <w:rPr>
          <w:kern w:val="0"/>
        </w:rPr>
        <w:t xml:space="preserve"> the </w:t>
      </w:r>
      <w:r>
        <w:rPr>
          <w:kern w:val="0"/>
        </w:rPr>
        <w:t>diagnostic accuracy, specificity,</w:t>
      </w:r>
      <w:r w:rsidR="005853A9">
        <w:rPr>
          <w:kern w:val="0"/>
        </w:rPr>
        <w:t xml:space="preserve"> and </w:t>
      </w:r>
      <w:r>
        <w:rPr>
          <w:kern w:val="0"/>
        </w:rPr>
        <w:t>sensitivity</w:t>
      </w:r>
      <w:r w:rsidR="00427468">
        <w:rPr>
          <w:kern w:val="0"/>
        </w:rPr>
        <w:t xml:space="preserve"> of </w:t>
      </w:r>
      <w:r>
        <w:rPr>
          <w:kern w:val="0"/>
        </w:rPr>
        <w:t>MSCT</w:t>
      </w:r>
      <w:r w:rsidR="005853A9">
        <w:rPr>
          <w:kern w:val="0"/>
        </w:rPr>
        <w:t xml:space="preserve"> and </w:t>
      </w:r>
      <w:r>
        <w:rPr>
          <w:kern w:val="0"/>
        </w:rPr>
        <w:t>MRI in</w:t>
      </w:r>
      <w:r w:rsidR="003A1917">
        <w:rPr>
          <w:kern w:val="0"/>
        </w:rPr>
        <w:t xml:space="preserve"> the </w:t>
      </w:r>
      <w:r>
        <w:rPr>
          <w:kern w:val="0"/>
        </w:rPr>
        <w:t>diagnosis</w:t>
      </w:r>
      <w:r w:rsidR="00427468">
        <w:rPr>
          <w:kern w:val="0"/>
        </w:rPr>
        <w:t xml:space="preserve"> of </w:t>
      </w:r>
      <w:r>
        <w:rPr>
          <w:kern w:val="0"/>
        </w:rPr>
        <w:t>retroperitoneal spread</w:t>
      </w:r>
      <w:r w:rsidR="00427468">
        <w:rPr>
          <w:kern w:val="0"/>
        </w:rPr>
        <w:t xml:space="preserve"> of </w:t>
      </w:r>
      <w:r>
        <w:rPr>
          <w:kern w:val="0"/>
        </w:rPr>
        <w:t>testicular cancer was performed in</w:t>
      </w:r>
      <w:r w:rsidR="003A1917">
        <w:rPr>
          <w:kern w:val="0"/>
        </w:rPr>
        <w:t xml:space="preserve"> the </w:t>
      </w:r>
      <w:r>
        <w:rPr>
          <w:kern w:val="0"/>
        </w:rPr>
        <w:t xml:space="preserve">following databases: </w:t>
      </w:r>
      <w:r w:rsidR="002C12F0">
        <w:rPr>
          <w:kern w:val="0"/>
        </w:rPr>
        <w:t>PUBMED</w:t>
      </w:r>
      <w:r>
        <w:rPr>
          <w:kern w:val="0"/>
        </w:rPr>
        <w:t>, EmBase,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search was limited to include</w:t>
      </w:r>
      <w:r w:rsidR="003A1917">
        <w:rPr>
          <w:kern w:val="0"/>
        </w:rPr>
        <w:t xml:space="preserve"> the </w:t>
      </w:r>
      <w:r>
        <w:rPr>
          <w:kern w:val="0"/>
        </w:rPr>
        <w:t>period from 2000 to September 2008,</w:t>
      </w:r>
      <w:r w:rsidR="005853A9">
        <w:rPr>
          <w:kern w:val="0"/>
        </w:rPr>
        <w:t xml:space="preserve"> and </w:t>
      </w:r>
      <w:r>
        <w:rPr>
          <w:kern w:val="0"/>
        </w:rPr>
        <w:t>to human</w:t>
      </w:r>
      <w:r w:rsidR="005853A9">
        <w:rPr>
          <w:kern w:val="0"/>
        </w:rPr>
        <w:t xml:space="preserve"> and </w:t>
      </w:r>
      <w:r>
        <w:rPr>
          <w:kern w:val="0"/>
        </w:rPr>
        <w:t xml:space="preserve">English-language publications. Forty-four publications were obtained for formal review (27 from </w:t>
      </w:r>
      <w:r w:rsidR="002C12F0">
        <w:rPr>
          <w:kern w:val="0"/>
        </w:rPr>
        <w:t>PUBMED</w:t>
      </w:r>
      <w:r>
        <w:rPr>
          <w:kern w:val="0"/>
        </w:rPr>
        <w:t xml:space="preserve">, 15 from EmBase, two from </w:t>
      </w:r>
      <w:r w:rsidR="00730B6D">
        <w:rPr>
          <w:kern w:val="0"/>
        </w:rPr>
        <w:t xml:space="preserve">ISI </w:t>
      </w:r>
      <w:r w:rsidR="00D5664A">
        <w:rPr>
          <w:kern w:val="0"/>
        </w:rPr>
        <w:t>Web</w:t>
      </w:r>
      <w:r w:rsidR="00427468">
        <w:rPr>
          <w:kern w:val="0"/>
        </w:rPr>
        <w:t xml:space="preserve"> of </w:t>
      </w:r>
      <w:r w:rsidR="00D5664A">
        <w:rPr>
          <w:kern w:val="0"/>
        </w:rPr>
        <w:t>Science</w:t>
      </w:r>
      <w:r>
        <w:rPr>
          <w:kern w:val="0"/>
        </w:rPr>
        <w:t>). None</w:t>
      </w:r>
      <w:r w:rsidR="00427468">
        <w:rPr>
          <w:kern w:val="0"/>
        </w:rPr>
        <w:t xml:space="preserve"> of </w:t>
      </w:r>
      <w:r w:rsidR="003A1917">
        <w:rPr>
          <w:kern w:val="0"/>
        </w:rPr>
        <w:t xml:space="preserve">the </w:t>
      </w:r>
      <w:r>
        <w:rPr>
          <w:kern w:val="0"/>
        </w:rPr>
        <w:t>publications reviewed encompassed diagnostic specificity</w:t>
      </w:r>
      <w:r w:rsidR="005853A9">
        <w:rPr>
          <w:kern w:val="0"/>
        </w:rPr>
        <w:t xml:space="preserve"> and </w:t>
      </w:r>
      <w:r>
        <w:rPr>
          <w:kern w:val="0"/>
        </w:rPr>
        <w:t>sensitivity</w:t>
      </w:r>
      <w:r w:rsidR="00427468">
        <w:rPr>
          <w:kern w:val="0"/>
        </w:rPr>
        <w:t xml:space="preserve"> of </w:t>
      </w:r>
      <w:r>
        <w:rPr>
          <w:kern w:val="0"/>
        </w:rPr>
        <w:t>MSCT,</w:t>
      </w:r>
      <w:r w:rsidR="005853A9">
        <w:rPr>
          <w:kern w:val="0"/>
        </w:rPr>
        <w:t xml:space="preserve"> and </w:t>
      </w:r>
      <w:r>
        <w:rPr>
          <w:kern w:val="0"/>
        </w:rPr>
        <w:t>they lacked systematic comparison</w:t>
      </w:r>
      <w:r w:rsidR="00427468">
        <w:rPr>
          <w:kern w:val="0"/>
        </w:rPr>
        <w:t xml:space="preserve"> of </w:t>
      </w:r>
      <w:r>
        <w:rPr>
          <w:kern w:val="0"/>
        </w:rPr>
        <w:t>MSCT</w:t>
      </w:r>
      <w:r w:rsidR="005853A9">
        <w:rPr>
          <w:kern w:val="0"/>
        </w:rPr>
        <w:t xml:space="preserve"> and </w:t>
      </w:r>
      <w:r>
        <w:rPr>
          <w:kern w:val="0"/>
        </w:rPr>
        <w:t>MRI. Only one study included sensitivity</w:t>
      </w:r>
      <w:r w:rsidR="005853A9">
        <w:rPr>
          <w:kern w:val="0"/>
        </w:rPr>
        <w:t xml:space="preserve"> and </w:t>
      </w:r>
      <w:r>
        <w:rPr>
          <w:kern w:val="0"/>
        </w:rPr>
        <w:t>specificity</w:t>
      </w:r>
      <w:r w:rsidR="00427468">
        <w:rPr>
          <w:kern w:val="0"/>
        </w:rPr>
        <w:t xml:space="preserve"> of </w:t>
      </w:r>
      <w:r>
        <w:rPr>
          <w:kern w:val="0"/>
        </w:rPr>
        <w:t>MRI compared to single-slice CT. Both methods had a sensitivity</w:t>
      </w:r>
      <w:r w:rsidR="005853A9">
        <w:rPr>
          <w:kern w:val="0"/>
        </w:rPr>
        <w:t xml:space="preserve"> and </w:t>
      </w:r>
      <w:r>
        <w:rPr>
          <w:kern w:val="0"/>
        </w:rPr>
        <w:t>a specificity</w:t>
      </w:r>
      <w:r w:rsidR="00427468">
        <w:rPr>
          <w:kern w:val="0"/>
        </w:rPr>
        <w:t xml:space="preserve"> of </w:t>
      </w:r>
      <w:r>
        <w:rPr>
          <w:kern w:val="0"/>
        </w:rPr>
        <w:t>approximately 70%</w:t>
      </w:r>
      <w:r w:rsidR="00A37C1D">
        <w:rPr>
          <w:kern w:val="0"/>
        </w:rPr>
        <w:t>. The</w:t>
      </w:r>
      <w:r w:rsidR="003A1917">
        <w:rPr>
          <w:kern w:val="0"/>
        </w:rPr>
        <w:t xml:space="preserve"> </w:t>
      </w:r>
      <w:r>
        <w:rPr>
          <w:kern w:val="0"/>
        </w:rPr>
        <w:lastRenderedPageBreak/>
        <w:t>literature review did not reveal valid data regarding diagnostic accuracy</w:t>
      </w:r>
      <w:r w:rsidR="00427468">
        <w:rPr>
          <w:kern w:val="0"/>
        </w:rPr>
        <w:t xml:space="preserve"> of </w:t>
      </w:r>
      <w:r>
        <w:rPr>
          <w:kern w:val="0"/>
        </w:rPr>
        <w:t>MRI compared with MSCT for diagnosing retroperitoneal spread</w:t>
      </w:r>
      <w:r w:rsidR="00427468">
        <w:rPr>
          <w:kern w:val="0"/>
        </w:rPr>
        <w:t xml:space="preserve"> of </w:t>
      </w:r>
      <w:r>
        <w:rPr>
          <w:kern w:val="0"/>
        </w:rPr>
        <w:t>testicular cancer. A prospective blinded comparative study is needed to provide valid evidence.</w:t>
      </w:r>
    </w:p>
    <w:p w:rsidR="007B04B2" w:rsidRDefault="007B04B2" w:rsidP="007B04B2">
      <w:pPr>
        <w:pStyle w:val="a3"/>
        <w:rPr>
          <w:kern w:val="0"/>
        </w:rPr>
      </w:pPr>
      <w:r>
        <w:rPr>
          <w:kern w:val="0"/>
        </w:rPr>
        <w:t>Keywords: Accuracy, Aged, Cancer, Chemotherapy, Comparative Study, CT, Databases, Diagnosis, Disorder, FDG-PET, Fine-Needle-Aspiration, Follow</w:t>
      </w:r>
      <w:r w:rsidR="0062028A">
        <w:rPr>
          <w:kern w:val="0"/>
        </w:rPr>
        <w:t>-up,</w:t>
      </w:r>
      <w:r>
        <w:rPr>
          <w:kern w:val="0"/>
        </w:rPr>
        <w:t xml:space="preserve"> Germ-Cell Tumors, Human, Imaging</w:t>
      </w:r>
      <w:r w:rsidR="00D5664A">
        <w:rPr>
          <w:kern w:val="0"/>
        </w:rPr>
        <w:t>, ISI,</w:t>
      </w:r>
      <w:r>
        <w:rPr>
          <w:kern w:val="0"/>
        </w:rPr>
        <w:t xml:space="preserve"> Literature, Literature Review, Lymph-Node, Magnetic Resonance Imaging, Magnetic Resonance Imaging (MRI), MRI, Multislice Computed Tomography (MSCT), Positron-Emission-Tomography, Publications, </w:t>
      </w:r>
      <w:r w:rsidR="002C12F0">
        <w:rPr>
          <w:kern w:val="0"/>
        </w:rPr>
        <w:t>PUBMED</w:t>
      </w:r>
      <w:r>
        <w:rPr>
          <w:kern w:val="0"/>
        </w:rPr>
        <w:t>, Residual Masses, Review, Risk, Science, Seminoma, Sensitivity</w:t>
      </w:r>
      <w:r w:rsidR="005853A9">
        <w:rPr>
          <w:kern w:val="0"/>
        </w:rPr>
        <w:t xml:space="preserve"> and </w:t>
      </w:r>
      <w:r>
        <w:rPr>
          <w:kern w:val="0"/>
        </w:rPr>
        <w:t xml:space="preserve">Specificity, Systematic, Testicular Cancer, Urological Tumors,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98" w:name="_Toc420814288"/>
      <w:r w:rsidRPr="001A3D2B">
        <w:lastRenderedPageBreak/>
        <w:t>Title: Acta Scientiarum Biological Sciences</w:t>
      </w:r>
      <w:bookmarkEnd w:id="98"/>
    </w:p>
    <w:p w:rsidR="003474F2" w:rsidRPr="001A3D2B" w:rsidRDefault="003474F2" w:rsidP="003474F2">
      <w:pPr>
        <w:pStyle w:val="12"/>
      </w:pPr>
      <w:r w:rsidRPr="001A3D2B">
        <w:t xml:space="preserve">Full Journal Title: </w:t>
      </w:r>
      <w:hyperlink r:id="rId202" w:history="1">
        <w:r w:rsidRPr="001A3D2B">
          <w:rPr>
            <w:rStyle w:val="a5"/>
          </w:rPr>
          <w:t>Acta Scientiarum Biological Sciences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1679-9283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Default="003474F2" w:rsidP="003474F2">
      <w:pPr>
        <w:pStyle w:val="a3"/>
      </w:pPr>
      <w:r w:rsidRPr="001A3D2B">
        <w:t>? Lima-Ribeiro, M.d.S., Nabout, J.C., Pinto, M.P., de Moura, I.O., de Melo, T.L., Costa, S.S.</w:t>
      </w:r>
      <w:r w:rsidR="005853A9">
        <w:t xml:space="preserve"> and </w:t>
      </w:r>
      <w:r w:rsidRPr="001A3D2B">
        <w:t>Valle de Britto Rangel, T.F.L. (2007), Scientometric analysis in population ecology: Importance</w:t>
      </w:r>
      <w:r w:rsidR="005853A9">
        <w:t xml:space="preserve"> and </w:t>
      </w:r>
      <w:r w:rsidRPr="001A3D2B">
        <w:t>trends over</w:t>
      </w:r>
      <w:r w:rsidR="003A1917">
        <w:t xml:space="preserve"> the </w:t>
      </w:r>
      <w:r w:rsidRPr="001A3D2B">
        <w:t xml:space="preserve">last 60 years. </w:t>
      </w:r>
      <w:r w:rsidRPr="001A3D2B">
        <w:rPr>
          <w:i/>
          <w:iCs/>
        </w:rPr>
        <w:t>Acta Scientiarum Biological Sciences</w:t>
      </w:r>
      <w:r w:rsidRPr="001A3D2B">
        <w:t xml:space="preserve">, </w:t>
      </w:r>
      <w:r w:rsidRPr="001A3D2B">
        <w:rPr>
          <w:b/>
          <w:bCs/>
        </w:rPr>
        <w:t>29</w:t>
      </w:r>
      <w:r w:rsidRPr="001A3D2B">
        <w:t xml:space="preserve"> (1), 39-47.</w:t>
      </w:r>
    </w:p>
    <w:p w:rsidR="00990401" w:rsidRPr="001A3D2B" w:rsidRDefault="00990401" w:rsidP="003474F2">
      <w:pPr>
        <w:pStyle w:val="a3"/>
      </w:pPr>
      <w:r>
        <w:rPr>
          <w:rFonts w:hint="eastAsia"/>
        </w:rPr>
        <w:t xml:space="preserve">Full Text: </w:t>
      </w:r>
      <w:hyperlink r:id="rId203" w:history="1">
        <w:r w:rsidRPr="00990401">
          <w:rPr>
            <w:rStyle w:val="a5"/>
          </w:rPr>
          <w:t>2007\Act Sci Bio Sci29, 39.pdf</w:t>
        </w:r>
      </w:hyperlink>
    </w:p>
    <w:p w:rsidR="003474F2" w:rsidRPr="001A3D2B" w:rsidRDefault="003474F2" w:rsidP="003474F2">
      <w:pPr>
        <w:pStyle w:val="a3"/>
      </w:pPr>
      <w:r w:rsidRPr="001A3D2B">
        <w:t>Abstract:</w:t>
      </w:r>
      <w:r w:rsidR="003A1917">
        <w:t xml:space="preserve"> the </w:t>
      </w:r>
      <w:r w:rsidRPr="001A3D2B">
        <w:t>aim</w:t>
      </w:r>
      <w:r w:rsidR="00427468">
        <w:t xml:space="preserve"> of </w:t>
      </w:r>
      <w:r w:rsidRPr="001A3D2B">
        <w:t>this paper was to carry out a scientometric analysis in population ecology. We seek to understand</w:t>
      </w:r>
      <w:r w:rsidR="003A1917">
        <w:t xml:space="preserve"> the </w:t>
      </w:r>
      <w:r w:rsidRPr="001A3D2B">
        <w:t>importance</w:t>
      </w:r>
      <w:r w:rsidR="005853A9">
        <w:t xml:space="preserve"> and </w:t>
      </w:r>
      <w:r w:rsidRPr="001A3D2B">
        <w:t>trends</w:t>
      </w:r>
      <w:r w:rsidR="00427468">
        <w:t xml:space="preserve"> of </w:t>
      </w:r>
      <w:r w:rsidRPr="001A3D2B">
        <w:t>that Population ecology field throughout years, connecting them with</w:t>
      </w:r>
      <w:r w:rsidR="003A1917">
        <w:t xml:space="preserve"> the </w:t>
      </w:r>
      <w:r w:rsidRPr="001A3D2B">
        <w:t>principal geopolitical regions around</w:t>
      </w:r>
      <w:r w:rsidR="003A1917">
        <w:t xml:space="preserve"> the </w:t>
      </w:r>
      <w:r w:rsidRPr="001A3D2B">
        <w:t>world. To that end, a bibliographic Survey at Thomson ISI web site was carried out, at</w:t>
      </w:r>
      <w:r w:rsidR="003A1917">
        <w:t xml:space="preserve"> the </w:t>
      </w:r>
      <w:r w:rsidRPr="001A3D2B">
        <w:t>period between 1942</w:t>
      </w:r>
      <w:r w:rsidR="005853A9">
        <w:t xml:space="preserve"> and </w:t>
      </w:r>
      <w:r w:rsidRPr="001A3D2B">
        <w:t>2005, using</w:t>
      </w:r>
      <w:r w:rsidR="003A1917">
        <w:t xml:space="preserve"> the </w:t>
      </w:r>
      <w:r w:rsidRPr="001A3D2B">
        <w:t xml:space="preserve">key-word </w:t>
      </w:r>
      <w:r w:rsidR="00B5188C">
        <w:t>“</w:t>
      </w:r>
      <w:r w:rsidRPr="001A3D2B">
        <w:t>population ecology</w:t>
      </w:r>
      <w:r w:rsidR="00B5188C">
        <w:t>”</w:t>
      </w:r>
      <w:r w:rsidRPr="001A3D2B">
        <w:t>. Data showed an exponential growth in</w:t>
      </w:r>
      <w:r w:rsidR="003A1917">
        <w:t xml:space="preserve"> the </w:t>
      </w:r>
      <w:r w:rsidRPr="001A3D2B">
        <w:t>number</w:t>
      </w:r>
      <w:r w:rsidR="00427468">
        <w:t xml:space="preserve"> of </w:t>
      </w:r>
      <w:r w:rsidRPr="001A3D2B">
        <w:t>publications on population ecology, most</w:t>
      </w:r>
      <w:r w:rsidR="00427468">
        <w:t xml:space="preserve"> of </w:t>
      </w:r>
      <w:r w:rsidRPr="001A3D2B">
        <w:t xml:space="preserve">them developed in </w:t>
      </w:r>
      <w:r w:rsidR="00D5664A">
        <w:t>USA</w:t>
      </w:r>
      <w:r w:rsidR="005853A9">
        <w:t xml:space="preserve"> and </w:t>
      </w:r>
      <w:r w:rsidRPr="001A3D2B">
        <w:t>Europe</w:t>
      </w:r>
      <w:r w:rsidR="005853A9">
        <w:t xml:space="preserve"> and </w:t>
      </w:r>
      <w:r w:rsidRPr="001A3D2B">
        <w:t>publicized in ecological journals</w:t>
      </w:r>
      <w:r w:rsidR="00427468">
        <w:t xml:space="preserve"> of </w:t>
      </w:r>
      <w:r w:rsidRPr="001A3D2B">
        <w:t>wide international distribution</w:t>
      </w:r>
      <w:r w:rsidR="005853A9">
        <w:t xml:space="preserve"> and </w:t>
      </w:r>
      <w:r w:rsidRPr="001A3D2B">
        <w:t>high Citation Index. A Principal Component Analysis (PCA) showed distinct temporal trends in population ecology researche, leading to more recent decades (1990</w:t>
      </w:r>
      <w:r w:rsidR="005853A9">
        <w:t xml:space="preserve"> and </w:t>
      </w:r>
      <w:r w:rsidRPr="001A3D2B">
        <w:t>2000, until 2005) a great variety</w:t>
      </w:r>
      <w:r w:rsidR="00427468">
        <w:t xml:space="preserve"> of </w:t>
      </w:r>
      <w:r w:rsidRPr="001A3D2B">
        <w:t>organisms studied</w:t>
      </w:r>
      <w:r w:rsidR="005853A9">
        <w:t xml:space="preserve"> and </w:t>
      </w:r>
      <w:r w:rsidRPr="001A3D2B">
        <w:t>related with other ecology fields (conservation biology</w:t>
      </w:r>
      <w:r w:rsidR="005853A9">
        <w:t xml:space="preserve"> and </w:t>
      </w:r>
      <w:r w:rsidRPr="001A3D2B">
        <w:t>community ecology)</w:t>
      </w:r>
      <w:r w:rsidR="005853A9">
        <w:t xml:space="preserve"> and </w:t>
      </w:r>
      <w:r w:rsidRPr="001A3D2B">
        <w:t>natural sciences (biogeography, genetics, evolution, epidermiology</w:t>
      </w:r>
      <w:r w:rsidR="005853A9">
        <w:t xml:space="preserve"> and </w:t>
      </w:r>
      <w:r w:rsidRPr="001A3D2B">
        <w:t>demography)</w:t>
      </w:r>
      <w:r w:rsidR="00A37C1D">
        <w:t>. The</w:t>
      </w:r>
      <w:r w:rsidRPr="001A3D2B">
        <w:t>se results contrast with</w:t>
      </w:r>
      <w:r w:rsidR="003A1917">
        <w:t xml:space="preserve"> the </w:t>
      </w:r>
      <w:r w:rsidRPr="001A3D2B">
        <w:t>scientific stagnation widely criticized in ecology</w:t>
      </w:r>
      <w:r w:rsidR="005853A9">
        <w:t xml:space="preserve"> and </w:t>
      </w:r>
      <w:r w:rsidRPr="001A3D2B">
        <w:t>indicate</w:t>
      </w:r>
      <w:r w:rsidR="003A1917">
        <w:t xml:space="preserve"> the </w:t>
      </w:r>
      <w:r w:rsidRPr="001A3D2B">
        <w:t>progress</w:t>
      </w:r>
      <w:r w:rsidR="00427468">
        <w:t xml:space="preserve"> of </w:t>
      </w:r>
      <w:r w:rsidR="003A1917">
        <w:t xml:space="preserve">the </w:t>
      </w:r>
      <w:r w:rsidRPr="001A3D2B">
        <w:t>Population ecology as science, persuing new horizons as well as new paradigms, laws, theories</w:t>
      </w:r>
      <w:r w:rsidR="005853A9">
        <w:t xml:space="preserve"> and </w:t>
      </w:r>
      <w:r w:rsidRPr="001A3D2B">
        <w:t>principles that might be useful to</w:t>
      </w:r>
      <w:r w:rsidR="003A1917">
        <w:t xml:space="preserve"> the </w:t>
      </w:r>
      <w:r w:rsidRPr="001A3D2B">
        <w:t>society.</w:t>
      </w:r>
    </w:p>
    <w:p w:rsidR="003474F2" w:rsidRPr="001A3D2B" w:rsidRDefault="003474F2" w:rsidP="003474F2">
      <w:pPr>
        <w:pStyle w:val="a3"/>
      </w:pPr>
      <w:r w:rsidRPr="001A3D2B">
        <w:t>Keywords: Analysis, Biogeography, Biology, Community, Conservation, Conservation Biology, Demography, Distribution, Ecology, Europe, Evolution, Field, Genetics, Growth, International</w:t>
      </w:r>
      <w:r w:rsidR="00D5664A">
        <w:t>, ISI,</w:t>
      </w:r>
      <w:r w:rsidRPr="001A3D2B">
        <w:t xml:space="preserve"> Journals, Laws, PCA, Population, Population Ecology, Principles, Publications, Science, Sciences, Scientometric, Site, Society, Temporal, </w:t>
      </w:r>
      <w:r w:rsidRPr="001A3D2B">
        <w:lastRenderedPageBreak/>
        <w:t xml:space="preserve">Trends, </w:t>
      </w:r>
      <w:r w:rsidR="00D5664A">
        <w:t>USA</w:t>
      </w:r>
      <w:r w:rsidRPr="001A3D2B">
        <w:t>, Web, World</w:t>
      </w:r>
    </w:p>
    <w:p w:rsidR="00205FB6" w:rsidRPr="00F219CA" w:rsidRDefault="00205FB6" w:rsidP="00205FB6">
      <w:pPr>
        <w:pStyle w:val="1"/>
      </w:pPr>
      <w:r w:rsidRPr="00F219CA">
        <w:br w:type="page"/>
      </w:r>
      <w:bookmarkStart w:id="99" w:name="_Toc420814289"/>
      <w:r w:rsidRPr="00F219CA">
        <w:lastRenderedPageBreak/>
        <w:t xml:space="preserve">Title: </w:t>
      </w:r>
      <w:r w:rsidRPr="00EB7C97">
        <w:t>Acta Scientiarum Naturalium Universitatis Pekinensis</w:t>
      </w:r>
      <w:bookmarkEnd w:id="99"/>
    </w:p>
    <w:p w:rsidR="00205FB6" w:rsidRPr="00F219CA" w:rsidRDefault="00205FB6" w:rsidP="00205FB6">
      <w:pPr>
        <w:pStyle w:val="12"/>
      </w:pPr>
      <w:r w:rsidRPr="00F219CA">
        <w:t xml:space="preserve">Full Journal Title: </w:t>
      </w:r>
      <w:r w:rsidRPr="00EB7C97">
        <w:t>Acta Scientiarum Naturalium Universitatis Pekinensis</w:t>
      </w:r>
    </w:p>
    <w:p w:rsidR="00205FB6" w:rsidRPr="00F219CA" w:rsidRDefault="00205FB6" w:rsidP="00205FB6">
      <w:pPr>
        <w:pStyle w:val="12"/>
      </w:pPr>
      <w:r w:rsidRPr="00F219CA">
        <w:t xml:space="preserve">ISO Abbreviated Title: </w:t>
      </w:r>
    </w:p>
    <w:p w:rsidR="00205FB6" w:rsidRPr="00F219CA" w:rsidRDefault="00205FB6" w:rsidP="00205FB6">
      <w:pPr>
        <w:pStyle w:val="12"/>
      </w:pPr>
      <w:r w:rsidRPr="00F219CA">
        <w:t xml:space="preserve">JCR Abbreviated Title: </w:t>
      </w:r>
    </w:p>
    <w:p w:rsidR="00205FB6" w:rsidRPr="00F219CA" w:rsidRDefault="00205FB6" w:rsidP="00205FB6">
      <w:pPr>
        <w:pStyle w:val="12"/>
      </w:pPr>
      <w:r w:rsidRPr="00F219CA">
        <w:t xml:space="preserve">ISSN: </w:t>
      </w:r>
    </w:p>
    <w:p w:rsidR="00205FB6" w:rsidRPr="00F219CA" w:rsidRDefault="00205FB6" w:rsidP="00205FB6">
      <w:pPr>
        <w:pStyle w:val="12"/>
      </w:pPr>
      <w:r w:rsidRPr="00F219CA">
        <w:t xml:space="preserve">Issues/Year: </w:t>
      </w:r>
    </w:p>
    <w:p w:rsidR="00205FB6" w:rsidRPr="00F219CA" w:rsidRDefault="00205FB6" w:rsidP="00205FB6">
      <w:pPr>
        <w:pStyle w:val="12"/>
      </w:pPr>
      <w:r w:rsidRPr="00F219CA">
        <w:t xml:space="preserve">Journal Country/Territory: </w:t>
      </w:r>
    </w:p>
    <w:p w:rsidR="00205FB6" w:rsidRPr="00F219CA" w:rsidRDefault="00205FB6" w:rsidP="00205FB6">
      <w:pPr>
        <w:pStyle w:val="12"/>
      </w:pPr>
      <w:r w:rsidRPr="00F219CA">
        <w:t xml:space="preserve">Language: </w:t>
      </w:r>
    </w:p>
    <w:p w:rsidR="00205FB6" w:rsidRPr="00F219CA" w:rsidRDefault="00205FB6" w:rsidP="00205FB6">
      <w:pPr>
        <w:pStyle w:val="12"/>
      </w:pPr>
      <w:r w:rsidRPr="00F219CA">
        <w:t xml:space="preserve">Publisher: </w:t>
      </w:r>
    </w:p>
    <w:p w:rsidR="00205FB6" w:rsidRPr="00F219CA" w:rsidRDefault="00205FB6" w:rsidP="00205FB6">
      <w:pPr>
        <w:pStyle w:val="12"/>
      </w:pPr>
      <w:r w:rsidRPr="00F219CA">
        <w:t xml:space="preserve">Publisher Address: </w:t>
      </w:r>
    </w:p>
    <w:p w:rsidR="00205FB6" w:rsidRPr="00F219CA" w:rsidRDefault="00205FB6" w:rsidP="00205FB6">
      <w:pPr>
        <w:pStyle w:val="12"/>
      </w:pPr>
      <w:r w:rsidRPr="00F219CA">
        <w:t xml:space="preserve">Subject Categories: </w:t>
      </w:r>
    </w:p>
    <w:p w:rsidR="00205FB6" w:rsidRPr="00F219CA" w:rsidRDefault="00205FB6" w:rsidP="00205FB6">
      <w:pPr>
        <w:pStyle w:val="12"/>
      </w:pPr>
      <w:r w:rsidRPr="00F219CA">
        <w:t xml:space="preserve">: Impact Factor </w:t>
      </w:r>
    </w:p>
    <w:p w:rsidR="00205FB6" w:rsidRPr="00F219CA" w:rsidRDefault="00205FB6" w:rsidP="00205FB6">
      <w:pPr>
        <w:pStyle w:val="a3"/>
      </w:pPr>
      <w:r w:rsidRPr="00F219CA">
        <w:t xml:space="preserve">? </w:t>
      </w:r>
      <w:r>
        <w:t>Liu</w:t>
      </w:r>
      <w:r>
        <w:rPr>
          <w:rFonts w:hint="eastAsia"/>
        </w:rPr>
        <w:t>,</w:t>
      </w:r>
      <w:r>
        <w:t xml:space="preserve"> </w:t>
      </w:r>
      <w:r>
        <w:rPr>
          <w:rFonts w:hint="eastAsia"/>
        </w:rPr>
        <w:t>X.P.</w:t>
      </w:r>
      <w:r w:rsidR="005853A9">
        <w:rPr>
          <w:rFonts w:hint="eastAsia"/>
        </w:rPr>
        <w:t xml:space="preserve"> and </w:t>
      </w:r>
      <w:r>
        <w:t>Zhou</w:t>
      </w:r>
      <w:r>
        <w:rPr>
          <w:rFonts w:hint="eastAsia"/>
        </w:rPr>
        <w:t>,</w:t>
      </w:r>
      <w:r>
        <w:t xml:space="preserve"> </w:t>
      </w:r>
      <w:r>
        <w:rPr>
          <w:rFonts w:hint="eastAsia"/>
        </w:rPr>
        <w:t>H.</w:t>
      </w:r>
      <w:r w:rsidRPr="00F219CA">
        <w:t xml:space="preserve"> (200</w:t>
      </w:r>
      <w:r>
        <w:rPr>
          <w:rFonts w:hint="eastAsia"/>
        </w:rPr>
        <w:t>7</w:t>
      </w:r>
      <w:r w:rsidRPr="00F219CA">
        <w:t xml:space="preserve">), </w:t>
      </w:r>
      <w:r>
        <w:t>Statistical analysis on</w:t>
      </w:r>
      <w:r w:rsidR="003A1917">
        <w:t xml:space="preserve"> the </w:t>
      </w:r>
      <w:r>
        <w:t>SCI papers</w:t>
      </w:r>
      <w:r w:rsidR="00427468">
        <w:t xml:space="preserve"> of </w:t>
      </w:r>
      <w:r>
        <w:t>Peking University in 2005</w:t>
      </w:r>
      <w:r w:rsidRPr="00F219CA">
        <w:t xml:space="preserve">. </w:t>
      </w:r>
      <w:r w:rsidRPr="00EB7C97">
        <w:rPr>
          <w:i/>
        </w:rPr>
        <w:t>Acta Scientiarum Naturalium Universitatis Pekinensis</w:t>
      </w:r>
      <w:r w:rsidRPr="00F219CA">
        <w:t xml:space="preserve">, </w:t>
      </w:r>
      <w:r w:rsidRPr="00F219CA">
        <w:rPr>
          <w:b/>
        </w:rPr>
        <w:t>4</w:t>
      </w:r>
      <w:r>
        <w:rPr>
          <w:rFonts w:hint="eastAsia"/>
          <w:b/>
        </w:rPr>
        <w:t>3</w:t>
      </w:r>
      <w:r w:rsidRPr="00F219CA">
        <w:t xml:space="preserve"> (</w:t>
      </w:r>
      <w:r>
        <w:rPr>
          <w:rFonts w:hint="eastAsia"/>
        </w:rPr>
        <w:t>5</w:t>
      </w:r>
      <w:r w:rsidRPr="00F219CA">
        <w:t xml:space="preserve">), </w:t>
      </w:r>
      <w:r>
        <w:rPr>
          <w:rFonts w:hint="eastAsia"/>
          <w:szCs w:val="24"/>
        </w:rPr>
        <w:t>723</w:t>
      </w:r>
      <w:r w:rsidRPr="00F219CA">
        <w:rPr>
          <w:szCs w:val="24"/>
        </w:rPr>
        <w:t>-</w:t>
      </w:r>
      <w:r>
        <w:rPr>
          <w:rFonts w:hint="eastAsia"/>
          <w:szCs w:val="24"/>
        </w:rPr>
        <w:t>727</w:t>
      </w:r>
      <w:r w:rsidRPr="00F219CA">
        <w:t>.</w:t>
      </w:r>
    </w:p>
    <w:p w:rsidR="00205FB6" w:rsidRDefault="00205FB6" w:rsidP="00205FB6">
      <w:pPr>
        <w:pStyle w:val="a3"/>
      </w:pPr>
      <w:r w:rsidRPr="00F219CA">
        <w:t xml:space="preserve">Full Text: </w:t>
      </w:r>
      <w:hyperlink r:id="rId204" w:history="1">
        <w:r w:rsidRPr="00EB7C97">
          <w:rPr>
            <w:rStyle w:val="a5"/>
          </w:rPr>
          <w:t>2007\Act Sci Nat Uni Pek43, 723.pdf</w:t>
        </w:r>
      </w:hyperlink>
    </w:p>
    <w:p w:rsidR="00205FB6" w:rsidRDefault="00205FB6" w:rsidP="00205FB6">
      <w:pPr>
        <w:pStyle w:val="a3"/>
      </w:pPr>
      <w:r>
        <w:rPr>
          <w:rFonts w:hint="eastAsia"/>
        </w:rPr>
        <w:t>Abstract: In 2005, scientists</w:t>
      </w:r>
      <w:r w:rsidR="00427468">
        <w:rPr>
          <w:rFonts w:hint="eastAsia"/>
        </w:rPr>
        <w:t xml:space="preserve"> of </w:t>
      </w:r>
      <w:r>
        <w:rPr>
          <w:rFonts w:hint="eastAsia"/>
        </w:rPr>
        <w:t>Peking University, as primary authors, published 2009 SCI papers in 772 kinds</w:t>
      </w:r>
      <w:r w:rsidR="00427468">
        <w:rPr>
          <w:rFonts w:hint="eastAsia"/>
        </w:rPr>
        <w:t xml:space="preserve"> of </w:t>
      </w:r>
      <w:r>
        <w:rPr>
          <w:rFonts w:hint="eastAsia"/>
        </w:rPr>
        <w:t xml:space="preserve">journals, </w:t>
      </w:r>
      <w:r>
        <w:t>including lots</w:t>
      </w:r>
      <w:r w:rsidR="00427468">
        <w:t xml:space="preserve"> of </w:t>
      </w:r>
      <w:r>
        <w:t>top journals in different fields. Average impact factor</w:t>
      </w:r>
      <w:r w:rsidR="00427468">
        <w:t xml:space="preserve"> of </w:t>
      </w:r>
      <w:r>
        <w:t>these papers is 2</w:t>
      </w:r>
      <w:r w:rsidR="00643D89">
        <w:rPr>
          <w:rFonts w:hint="eastAsia"/>
        </w:rPr>
        <w:t>.</w:t>
      </w:r>
      <w:r>
        <w:t>103, which is obviously higher than that</w:t>
      </w:r>
      <w:r>
        <w:rPr>
          <w:rFonts w:hint="eastAsia"/>
        </w:rPr>
        <w:t xml:space="preserve"> </w:t>
      </w:r>
      <w:r>
        <w:t>in 2004. SCI papers</w:t>
      </w:r>
      <w:r w:rsidR="00427468">
        <w:t xml:space="preserve"> of </w:t>
      </w:r>
      <w:r>
        <w:t>Peking University in 2005 are analyzed,</w:t>
      </w:r>
      <w:r w:rsidR="005853A9">
        <w:t xml:space="preserve"> and </w:t>
      </w:r>
      <w:r>
        <w:t>suggestions are given on current problems</w:t>
      </w:r>
      <w:r w:rsidR="005853A9">
        <w:t xml:space="preserve"> and </w:t>
      </w:r>
      <w:r>
        <w:t>improvement in</w:t>
      </w:r>
      <w:r w:rsidR="003A1917">
        <w:rPr>
          <w:rFonts w:hint="eastAsia"/>
        </w:rPr>
        <w:t xml:space="preserve"> the </w:t>
      </w:r>
      <w:r>
        <w:t>future.</w:t>
      </w:r>
    </w:p>
    <w:p w:rsidR="00205FB6" w:rsidRPr="00F219CA" w:rsidRDefault="00205FB6" w:rsidP="00205FB6">
      <w:pPr>
        <w:pStyle w:val="a3"/>
      </w:pPr>
      <w:r>
        <w:rPr>
          <w:rFonts w:hint="eastAsia"/>
        </w:rPr>
        <w:t xml:space="preserve">Keywords: SCI </w:t>
      </w:r>
      <w:r>
        <w:t>Papers, Statistical Analysis, Impact Factor, Cited Ti</w:t>
      </w:r>
      <w:r>
        <w:rPr>
          <w:rFonts w:hint="eastAsia"/>
        </w:rPr>
        <w:t>mes</w:t>
      </w:r>
    </w:p>
    <w:p w:rsidR="003474F2" w:rsidRPr="001A3D2B" w:rsidRDefault="003474F2" w:rsidP="003474F2">
      <w:pPr>
        <w:pStyle w:val="1"/>
      </w:pPr>
      <w:r w:rsidRPr="001A3D2B">
        <w:br w:type="page"/>
      </w:r>
      <w:bookmarkStart w:id="100" w:name="_Toc196139046"/>
      <w:bookmarkStart w:id="101" w:name="_Toc420814290"/>
      <w:r w:rsidRPr="001A3D2B">
        <w:lastRenderedPageBreak/>
        <w:t>Title: Acta Societatis Ophthalmologicae Sinicae</w:t>
      </w:r>
      <w:bookmarkEnd w:id="100"/>
      <w:bookmarkEnd w:id="101"/>
    </w:p>
    <w:p w:rsidR="003474F2" w:rsidRPr="001A3D2B" w:rsidRDefault="003474F2" w:rsidP="003474F2">
      <w:pPr>
        <w:pStyle w:val="12"/>
      </w:pPr>
      <w:r w:rsidRPr="001A3D2B">
        <w:t xml:space="preserve">Full Journal Title: </w:t>
      </w:r>
      <w:hyperlink r:id="rId205" w:history="1">
        <w:r w:rsidRPr="001A3D2B">
          <w:rPr>
            <w:rStyle w:val="a5"/>
          </w:rPr>
          <w:t>Acta Societatis Ophthalmologicae Sinicae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1021-3120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w:t>
      </w:r>
    </w:p>
    <w:p w:rsidR="003474F2" w:rsidRPr="001A3D2B" w:rsidRDefault="003474F2" w:rsidP="003474F2">
      <w:pPr>
        <w:pStyle w:val="a3"/>
      </w:pPr>
      <w:r w:rsidRPr="001A3D2B">
        <w:t>? Tsai, C.L., Wang, M.H.</w:t>
      </w:r>
      <w:r w:rsidR="005853A9">
        <w:t xml:space="preserve"> and </w:t>
      </w:r>
      <w:r w:rsidRPr="001A3D2B">
        <w:t>Ho, Y.S. (2008), Bibliometric analysis</w:t>
      </w:r>
      <w:r w:rsidR="00427468">
        <w:t xml:space="preserve"> of </w:t>
      </w:r>
      <w:r w:rsidRPr="001A3D2B">
        <w:t>cataract research from 1991 through 2006, analyzed with</w:t>
      </w:r>
      <w:r w:rsidR="003A1917">
        <w:t xml:space="preserve"> the </w:t>
      </w:r>
      <w:r w:rsidRPr="001A3D2B">
        <w:t xml:space="preserve">Science Citation Index. </w:t>
      </w:r>
      <w:r w:rsidRPr="001A3D2B">
        <w:rPr>
          <w:i/>
        </w:rPr>
        <w:t>Acta Societatis Ophthalmologicae Sinicae</w:t>
      </w:r>
      <w:r w:rsidRPr="001A3D2B">
        <w:t xml:space="preserve">, </w:t>
      </w:r>
      <w:r w:rsidRPr="001A3D2B">
        <w:rPr>
          <w:b/>
        </w:rPr>
        <w:t>47</w:t>
      </w:r>
      <w:r w:rsidRPr="001A3D2B">
        <w:t xml:space="preserve"> (2), </w:t>
      </w:r>
      <w:r w:rsidRPr="001A3D2B">
        <w:rPr>
          <w:szCs w:val="24"/>
        </w:rPr>
        <w:t>101-111</w:t>
      </w:r>
      <w:r w:rsidRPr="001A3D2B">
        <w:t>.</w:t>
      </w:r>
    </w:p>
    <w:p w:rsidR="003474F2" w:rsidRPr="001A3D2B" w:rsidRDefault="003474F2" w:rsidP="003474F2">
      <w:pPr>
        <w:pStyle w:val="a3"/>
      </w:pPr>
      <w:r w:rsidRPr="001A3D2B">
        <w:t xml:space="preserve">Full Text: </w:t>
      </w:r>
      <w:hyperlink r:id="rId206" w:history="1">
        <w:r w:rsidRPr="001A3D2B">
          <w:rPr>
            <w:rStyle w:val="a5"/>
          </w:rPr>
          <w:t>2008\Act Soc Oph Sin47, 101.pdf</w:t>
        </w:r>
      </w:hyperlink>
    </w:p>
    <w:p w:rsidR="003474F2" w:rsidRPr="001A3D2B" w:rsidRDefault="003474F2" w:rsidP="003474F2">
      <w:pPr>
        <w:pStyle w:val="a3"/>
      </w:pPr>
      <w:r w:rsidRPr="001A3D2B">
        <w:t>Abstract: Objective:</w:t>
      </w:r>
      <w:r w:rsidR="003A1917">
        <w:t xml:space="preserve"> the </w:t>
      </w:r>
      <w:r w:rsidRPr="001A3D2B">
        <w:t>purpose</w:t>
      </w:r>
      <w:r w:rsidR="00427468">
        <w:t xml:space="preserve"> of </w:t>
      </w:r>
      <w:r w:rsidR="003A1917">
        <w:t xml:space="preserve">the </w:t>
      </w:r>
      <w:r w:rsidRPr="001A3D2B">
        <w:t>study is to investigate</w:t>
      </w:r>
      <w:r w:rsidR="003A1917">
        <w:t xml:space="preserve"> the </w:t>
      </w:r>
      <w:r w:rsidRPr="001A3D2B">
        <w:t>quantity</w:t>
      </w:r>
      <w:r w:rsidR="005853A9">
        <w:t xml:space="preserve"> and </w:t>
      </w:r>
      <w:r w:rsidRPr="001A3D2B">
        <w:t>quality</w:t>
      </w:r>
      <w:r w:rsidR="00427468">
        <w:t xml:space="preserve"> of </w:t>
      </w:r>
      <w:r w:rsidRPr="001A3D2B">
        <w:t>studies on cataract in</w:t>
      </w:r>
      <w:r w:rsidR="003A1917">
        <w:t xml:space="preserve"> the </w:t>
      </w:r>
      <w:r w:rsidRPr="001A3D2B">
        <w:t>category</w:t>
      </w:r>
      <w:r w:rsidR="00427468">
        <w:t xml:space="preserve"> of </w:t>
      </w:r>
      <w:r w:rsidRPr="001A3D2B">
        <w:t>ophthalmology to provide valuable information for future cataract-related research</w:t>
      </w:r>
      <w:r w:rsidR="005853A9">
        <w:t xml:space="preserve"> and </w:t>
      </w:r>
      <w:r w:rsidRPr="001A3D2B">
        <w:t>aid researchers to focus their research findings on a specific subject.</w:t>
      </w:r>
    </w:p>
    <w:p w:rsidR="003474F2" w:rsidRPr="001A3D2B" w:rsidRDefault="003474F2" w:rsidP="003474F2">
      <w:pPr>
        <w:pStyle w:val="a3"/>
      </w:pPr>
      <w:r w:rsidRPr="001A3D2B">
        <w:t>Methods: A bibliometric analysis based on</w:t>
      </w:r>
      <w:r w:rsidR="003A1917">
        <w:t xml:space="preserve"> the </w:t>
      </w:r>
      <w:r w:rsidRPr="001A3D2B">
        <w:rPr>
          <w:i/>
        </w:rPr>
        <w:t xml:space="preserve">Science Citation Index </w:t>
      </w:r>
      <w:r w:rsidRPr="001A3D2B">
        <w:t>(SCI) distributed by</w:t>
      </w:r>
      <w:r w:rsidR="003A1917">
        <w:t xml:space="preserve"> the </w:t>
      </w:r>
      <w:r w:rsidRPr="001A3D2B">
        <w:t>Institute</w:t>
      </w:r>
      <w:r w:rsidR="00427468">
        <w:t xml:space="preserve"> of </w:t>
      </w:r>
      <w:r w:rsidRPr="001A3D2B">
        <w:t>Scientific Information (</w:t>
      </w:r>
      <w:r w:rsidRPr="001A3D2B">
        <w:rPr>
          <w:i/>
        </w:rPr>
        <w:t>ISI</w:t>
      </w:r>
      <w:r w:rsidRPr="001A3D2B">
        <w:t>) was conducted on cataract-related studies published between 1991</w:t>
      </w:r>
      <w:r w:rsidR="005853A9">
        <w:t xml:space="preserve"> and </w:t>
      </w:r>
      <w:r w:rsidRPr="001A3D2B">
        <w:t>2005 in ophthalmology field based on year</w:t>
      </w:r>
      <w:r w:rsidR="00427468">
        <w:t xml:space="preserve"> of </w:t>
      </w:r>
      <w:r w:rsidRPr="001A3D2B">
        <w:t>publication, authorship, international collaborations,</w:t>
      </w:r>
      <w:r w:rsidR="005853A9">
        <w:t xml:space="preserve"> and </w:t>
      </w:r>
      <w:r w:rsidRPr="001A3D2B">
        <w:t>keyword trends. 8,186 articles</w:t>
      </w:r>
      <w:r w:rsidR="00427468">
        <w:t xml:space="preserve"> of </w:t>
      </w:r>
      <w:r w:rsidRPr="001A3D2B">
        <w:t>41 journals were analyzed totally.</w:t>
      </w:r>
    </w:p>
    <w:p w:rsidR="003474F2" w:rsidRPr="001A3D2B" w:rsidRDefault="003474F2" w:rsidP="003474F2">
      <w:pPr>
        <w:pStyle w:val="a3"/>
      </w:pPr>
      <w:r w:rsidRPr="001A3D2B">
        <w:t>Results: Among</w:t>
      </w:r>
      <w:r w:rsidR="003A1917">
        <w:t xml:space="preserve"> the </w:t>
      </w:r>
      <w:r w:rsidRPr="001A3D2B">
        <w:t>8,186 articles, Journal articles were</w:t>
      </w:r>
      <w:r w:rsidR="003A1917">
        <w:t xml:space="preserve"> the </w:t>
      </w:r>
      <w:r w:rsidRPr="001A3D2B">
        <w:t>most frequent document type. English was</w:t>
      </w:r>
      <w:r w:rsidR="003A1917">
        <w:t xml:space="preserve"> the </w:t>
      </w:r>
      <w:r w:rsidRPr="001A3D2B">
        <w:t>dominant language</w:t>
      </w:r>
      <w:r w:rsidR="00427468">
        <w:t xml:space="preserve"> of </w:t>
      </w:r>
      <w:r w:rsidRPr="001A3D2B">
        <w:t>most publication in</w:t>
      </w:r>
      <w:r w:rsidR="003A1917">
        <w:t xml:space="preserve"> the </w:t>
      </w:r>
      <w:r w:rsidRPr="001A3D2B">
        <w:t>subject category</w:t>
      </w:r>
      <w:r w:rsidR="00427468">
        <w:t xml:space="preserve"> of </w:t>
      </w:r>
      <w:r w:rsidRPr="001A3D2B">
        <w:t xml:space="preserve">ophthalmology. </w:t>
      </w:r>
      <w:r w:rsidRPr="001A3D2B">
        <w:rPr>
          <w:i/>
        </w:rPr>
        <w:t>Journal</w:t>
      </w:r>
      <w:r w:rsidR="00427468">
        <w:rPr>
          <w:i/>
        </w:rPr>
        <w:t xml:space="preserve"> of </w:t>
      </w:r>
      <w:r w:rsidRPr="001A3D2B">
        <w:rPr>
          <w:i/>
        </w:rPr>
        <w:t>Cataract</w:t>
      </w:r>
      <w:r w:rsidR="005853A9">
        <w:rPr>
          <w:i/>
        </w:rPr>
        <w:t xml:space="preserve"> and </w:t>
      </w:r>
      <w:r w:rsidRPr="001A3D2B">
        <w:rPr>
          <w:i/>
        </w:rPr>
        <w:t>Refractive Surgery</w:t>
      </w:r>
      <w:r w:rsidRPr="001A3D2B">
        <w:t xml:space="preserve"> accounts for mostly published papers on cataract. </w:t>
      </w:r>
      <w:r w:rsidR="00D5664A">
        <w:t>USA</w:t>
      </w:r>
      <w:r w:rsidRPr="001A3D2B">
        <w:t xml:space="preserve"> is</w:t>
      </w:r>
      <w:r w:rsidR="003A1917">
        <w:t xml:space="preserve"> the </w:t>
      </w:r>
      <w:r w:rsidRPr="001A3D2B">
        <w:t>most popular international collaborator</w:t>
      </w:r>
      <w:r w:rsidR="005853A9">
        <w:t xml:space="preserve"> and </w:t>
      </w:r>
      <w:r w:rsidRPr="001A3D2B">
        <w:t>single country publication in various research fields. Dr. R. Menapace at</w:t>
      </w:r>
      <w:r w:rsidR="003A1917">
        <w:t xml:space="preserve"> the </w:t>
      </w:r>
      <w:r w:rsidRPr="001A3D2B">
        <w:t>University</w:t>
      </w:r>
      <w:r w:rsidR="00427468">
        <w:t xml:space="preserve"> of </w:t>
      </w:r>
      <w:r w:rsidRPr="001A3D2B">
        <w:t>Vienna in Austria was</w:t>
      </w:r>
      <w:r w:rsidR="003A1917">
        <w:t xml:space="preserve"> the </w:t>
      </w:r>
      <w:r w:rsidRPr="001A3D2B">
        <w:t>highest contributing author</w:t>
      </w:r>
      <w:r w:rsidR="00A37C1D">
        <w:t>. The</w:t>
      </w:r>
      <w:r w:rsidR="003A1917">
        <w:t xml:space="preserve"> </w:t>
      </w:r>
      <w:r w:rsidRPr="001A3D2B">
        <w:t>average number</w:t>
      </w:r>
      <w:r w:rsidR="00427468">
        <w:t xml:space="preserve"> of </w:t>
      </w:r>
      <w:r w:rsidRPr="001A3D2B">
        <w:t>authors per article, from 1991 to 2005, was 4.5. Additionally,</w:t>
      </w:r>
      <w:r w:rsidR="003A1917">
        <w:t xml:space="preserve"> the </w:t>
      </w:r>
      <w:r w:rsidRPr="001A3D2B">
        <w:t xml:space="preserve">most frequently used keyword was </w:t>
      </w:r>
      <w:r w:rsidR="00700038">
        <w:t>‘</w:t>
      </w:r>
      <w:r w:rsidRPr="001A3D2B">
        <w:t>cataract</w:t>
      </w:r>
      <w:r w:rsidR="00700038">
        <w:t>’</w:t>
      </w:r>
      <w:r w:rsidRPr="001A3D2B">
        <w:t xml:space="preserve"> which was used in 729 articles followed by </w:t>
      </w:r>
      <w:r w:rsidR="00700038">
        <w:t>‘</w:t>
      </w:r>
      <w:r w:rsidRPr="001A3D2B">
        <w:t>cataract surgery</w:t>
      </w:r>
      <w:r w:rsidR="00700038">
        <w:t>’</w:t>
      </w:r>
      <w:r w:rsidRPr="001A3D2B">
        <w:t>.</w:t>
      </w:r>
    </w:p>
    <w:p w:rsidR="003474F2" w:rsidRPr="001A3D2B" w:rsidRDefault="003474F2" w:rsidP="003474F2">
      <w:pPr>
        <w:pStyle w:val="a3"/>
      </w:pPr>
      <w:r w:rsidRPr="001A3D2B">
        <w:t>Conclusion: Cataract studies in</w:t>
      </w:r>
      <w:r w:rsidR="003A1917">
        <w:t xml:space="preserve"> the </w:t>
      </w:r>
      <w:r w:rsidRPr="001A3D2B">
        <w:rPr>
          <w:i/>
        </w:rPr>
        <w:t>ISI</w:t>
      </w:r>
      <w:r w:rsidRPr="001A3D2B">
        <w:t xml:space="preserve"> subject categories</w:t>
      </w:r>
      <w:r w:rsidR="00427468">
        <w:t xml:space="preserve"> of </w:t>
      </w:r>
      <w:r w:rsidRPr="001A3D2B">
        <w:t>ophthalmology have tripled</w:t>
      </w:r>
      <w:r w:rsidR="005853A9">
        <w:t xml:space="preserve"> and </w:t>
      </w:r>
      <w:r w:rsidRPr="001A3D2B">
        <w:t>steadily increasing trend was noticed during</w:t>
      </w:r>
      <w:r w:rsidR="003A1917">
        <w:t xml:space="preserve"> the </w:t>
      </w:r>
      <w:r w:rsidRPr="001A3D2B">
        <w:t>last 15 years</w:t>
      </w:r>
      <w:r w:rsidR="00A37C1D">
        <w:t>. The</w:t>
      </w:r>
      <w:r w:rsidR="003A1917">
        <w:t xml:space="preserve"> </w:t>
      </w:r>
      <w:r w:rsidRPr="001A3D2B">
        <w:t xml:space="preserve">top-ranking </w:t>
      </w:r>
      <w:r w:rsidRPr="001A3D2B">
        <w:lastRenderedPageBreak/>
        <w:t>countries in terms</w:t>
      </w:r>
      <w:r w:rsidR="00427468">
        <w:t xml:space="preserve"> of </w:t>
      </w:r>
      <w:r w:rsidRPr="001A3D2B">
        <w:t>number</w:t>
      </w:r>
      <w:r w:rsidR="00427468">
        <w:t xml:space="preserve"> of </w:t>
      </w:r>
      <w:r w:rsidRPr="001A3D2B">
        <w:t>articles published were</w:t>
      </w:r>
      <w:r w:rsidR="003A1917">
        <w:t xml:space="preserve"> the </w:t>
      </w:r>
      <w:r w:rsidRPr="001A3D2B">
        <w:t>United States. Scientists from Japan were ranked as</w:t>
      </w:r>
      <w:r w:rsidR="003A1917">
        <w:t xml:space="preserve"> the </w:t>
      </w:r>
      <w:r w:rsidRPr="001A3D2B">
        <w:t>most prolific first author</w:t>
      </w:r>
      <w:r w:rsidR="005853A9">
        <w:t xml:space="preserve"> and </w:t>
      </w:r>
      <w:r w:rsidRPr="001A3D2B">
        <w:t>corresponding author</w:t>
      </w:r>
      <w:r w:rsidR="003A1917">
        <w:t xml:space="preserve"> the </w:t>
      </w:r>
      <w:r w:rsidRPr="001A3D2B">
        <w:t xml:space="preserve">top three most frequently used author keyword were </w:t>
      </w:r>
      <w:r w:rsidR="00700038">
        <w:t>‘</w:t>
      </w:r>
      <w:r w:rsidRPr="001A3D2B">
        <w:t>cataract</w:t>
      </w:r>
      <w:r w:rsidR="00700038">
        <w:t>’</w:t>
      </w:r>
      <w:r w:rsidRPr="001A3D2B">
        <w:t xml:space="preserve">, </w:t>
      </w:r>
      <w:r w:rsidR="00700038">
        <w:t>‘</w:t>
      </w:r>
      <w:r w:rsidRPr="001A3D2B">
        <w:t>cataract surgery</w:t>
      </w:r>
      <w:r w:rsidR="00700038">
        <w:t>’</w:t>
      </w:r>
      <w:r w:rsidRPr="001A3D2B">
        <w:t>,</w:t>
      </w:r>
      <w:r w:rsidR="005853A9">
        <w:t xml:space="preserve"> and </w:t>
      </w:r>
      <w:r w:rsidR="00700038">
        <w:t>‘</w:t>
      </w:r>
      <w:r w:rsidRPr="001A3D2B">
        <w:t>phacoemulsification</w:t>
      </w:r>
      <w:r w:rsidR="00700038">
        <w:t>’</w:t>
      </w:r>
      <w:r w:rsidRPr="001A3D2B">
        <w:t>. In non-cataract related keywords, glaucoma was</w:t>
      </w:r>
      <w:r w:rsidR="003A1917">
        <w:t xml:space="preserve"> the </w:t>
      </w:r>
      <w:r w:rsidRPr="001A3D2B">
        <w:t>most frequently used one.The top journal with</w:t>
      </w:r>
      <w:r w:rsidR="003A1917">
        <w:t xml:space="preserve"> the </w:t>
      </w:r>
      <w:r w:rsidRPr="001A3D2B">
        <w:t xml:space="preserve">most articles addressing cataract research was </w:t>
      </w:r>
      <w:r w:rsidRPr="001A3D2B">
        <w:rPr>
          <w:i/>
        </w:rPr>
        <w:t>Journal</w:t>
      </w:r>
      <w:r w:rsidR="00427468">
        <w:rPr>
          <w:i/>
        </w:rPr>
        <w:t xml:space="preserve"> of </w:t>
      </w:r>
      <w:r w:rsidRPr="001A3D2B">
        <w:rPr>
          <w:i/>
        </w:rPr>
        <w:t>Cataract</w:t>
      </w:r>
      <w:r w:rsidR="005853A9">
        <w:rPr>
          <w:i/>
        </w:rPr>
        <w:t xml:space="preserve"> and </w:t>
      </w:r>
      <w:r w:rsidRPr="001A3D2B">
        <w:rPr>
          <w:i/>
        </w:rPr>
        <w:t>Refractive Surgery</w:t>
      </w:r>
      <w:r w:rsidRPr="001A3D2B">
        <w:t>.</w:t>
      </w:r>
    </w:p>
    <w:p w:rsidR="003474F2" w:rsidRPr="001A3D2B" w:rsidRDefault="003474F2" w:rsidP="003474F2">
      <w:pPr>
        <w:pStyle w:val="a3"/>
      </w:pPr>
      <w:r w:rsidRPr="001A3D2B">
        <w:t>Keywords: Cataract, Scientometrics</w:t>
      </w:r>
      <w:r w:rsidR="00D5664A">
        <w:t>, SCI,</w:t>
      </w:r>
      <w:r w:rsidRPr="001A3D2B">
        <w:t xml:space="preserve"> Cataract Surgery, Phacoemulsification</w:t>
      </w:r>
    </w:p>
    <w:p w:rsidR="003474F2" w:rsidRPr="001A3D2B" w:rsidRDefault="003474F2" w:rsidP="003474F2">
      <w:pPr>
        <w:pStyle w:val="1"/>
      </w:pPr>
      <w:r w:rsidRPr="001A3D2B">
        <w:br w:type="page"/>
      </w:r>
      <w:bookmarkStart w:id="102" w:name="_Toc420814291"/>
      <w:r w:rsidRPr="001A3D2B">
        <w:lastRenderedPageBreak/>
        <w:t>Title: Acta Sociologica</w:t>
      </w:r>
      <w:bookmarkEnd w:id="102"/>
    </w:p>
    <w:p w:rsidR="003474F2" w:rsidRPr="001A3D2B" w:rsidRDefault="003474F2" w:rsidP="003474F2">
      <w:pPr>
        <w:pStyle w:val="12"/>
      </w:pPr>
      <w:r w:rsidRPr="001A3D2B">
        <w:t xml:space="preserve">Full Journal Title: </w:t>
      </w:r>
      <w:hyperlink r:id="rId207" w:history="1">
        <w:r w:rsidRPr="001A3D2B">
          <w:rPr>
            <w:rStyle w:val="a5"/>
          </w:rPr>
          <w:t>Acta Sociologica</w:t>
        </w:r>
      </w:hyperlink>
      <w:r w:rsidRPr="001A3D2B">
        <w:t xml:space="preserve">; </w:t>
      </w:r>
      <w:hyperlink r:id="rId208" w:history="1">
        <w:r w:rsidRPr="001A3D2B">
          <w:rPr>
            <w:rStyle w:val="a5"/>
          </w:rPr>
          <w:t>Acta Sociologica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Bjarnason, T.</w:t>
      </w:r>
      <w:r w:rsidR="005853A9">
        <w:t xml:space="preserve"> and </w:t>
      </w:r>
      <w:r w:rsidRPr="001A3D2B">
        <w:t>Sigfusdottir, I.D. (2002), Nordic impact: Article productivity</w:t>
      </w:r>
      <w:r w:rsidR="005853A9">
        <w:t xml:space="preserve"> and </w:t>
      </w:r>
      <w:r w:rsidRPr="001A3D2B">
        <w:t xml:space="preserve">citation patterns in sixteen Nordic sociology departments. </w:t>
      </w:r>
      <w:r w:rsidRPr="001A3D2B">
        <w:rPr>
          <w:i/>
          <w:iCs/>
        </w:rPr>
        <w:t>Acta Sociologica</w:t>
      </w:r>
      <w:r w:rsidRPr="001A3D2B">
        <w:t xml:space="preserve">, </w:t>
      </w:r>
      <w:r w:rsidRPr="001A3D2B">
        <w:rPr>
          <w:b/>
        </w:rPr>
        <w:t>45</w:t>
      </w:r>
      <w:r w:rsidRPr="001A3D2B">
        <w:t xml:space="preserve"> (4), 253-267.</w:t>
      </w:r>
    </w:p>
    <w:p w:rsidR="003474F2" w:rsidRPr="001A3D2B" w:rsidRDefault="003474F2" w:rsidP="003474F2">
      <w:pPr>
        <w:pStyle w:val="a3"/>
      </w:pPr>
      <w:r w:rsidRPr="001A3D2B">
        <w:t xml:space="preserve">Full Text: </w:t>
      </w:r>
      <w:hyperlink r:id="rId209" w:history="1">
        <w:r w:rsidRPr="001A3D2B">
          <w:rPr>
            <w:rStyle w:val="a5"/>
          </w:rPr>
          <w:t>2002\Act Soc45, 253.pdf</w:t>
        </w:r>
      </w:hyperlink>
    </w:p>
    <w:p w:rsidR="003474F2" w:rsidRPr="001A3D2B" w:rsidRDefault="003474F2" w:rsidP="003474F2">
      <w:pPr>
        <w:pStyle w:val="a3"/>
      </w:pPr>
      <w:r w:rsidRPr="001A3D2B">
        <w:t>Abstract:</w:t>
      </w:r>
      <w:r w:rsidR="003A1917">
        <w:t xml:space="preserve"> the </w:t>
      </w:r>
      <w:r w:rsidRPr="001A3D2B">
        <w:t>sociology departments in</w:t>
      </w:r>
      <w:r w:rsidR="003A1917">
        <w:t xml:space="preserve"> the </w:t>
      </w:r>
      <w:r w:rsidRPr="001A3D2B">
        <w:t>Nordic countries provide</w:t>
      </w:r>
      <w:r w:rsidR="003A1917">
        <w:t xml:space="preserve"> the </w:t>
      </w:r>
      <w:r w:rsidRPr="001A3D2B">
        <w:t xml:space="preserve">institutional platform for </w:t>
      </w:r>
      <w:r w:rsidRPr="001A3D2B">
        <w:rPr>
          <w:i/>
          <w:iCs/>
        </w:rPr>
        <w:t>Nordic Sociology</w:t>
      </w:r>
      <w:r w:rsidR="005853A9">
        <w:t xml:space="preserve"> and </w:t>
      </w:r>
      <w:r w:rsidRPr="001A3D2B">
        <w:t>for</w:t>
      </w:r>
      <w:r w:rsidR="003A1917">
        <w:t xml:space="preserve"> the </w:t>
      </w:r>
      <w:r w:rsidRPr="001A3D2B">
        <w:t>Nordic national sociological associations that form</w:t>
      </w:r>
      <w:r w:rsidR="003A1917">
        <w:t xml:space="preserve"> the </w:t>
      </w:r>
      <w:r w:rsidRPr="001A3D2B">
        <w:t>Scandinavian Sociological Association. This paper focuses on journal articles produced by current (as</w:t>
      </w:r>
      <w:r w:rsidR="00427468">
        <w:t xml:space="preserve"> of </w:t>
      </w:r>
      <w:r w:rsidRPr="001A3D2B">
        <w:t>1 January 2001) faculty</w:t>
      </w:r>
      <w:r w:rsidR="00427468">
        <w:t xml:space="preserve"> of </w:t>
      </w:r>
      <w:r w:rsidRPr="001A3D2B">
        <w:t>16</w:t>
      </w:r>
      <w:r w:rsidR="00427468">
        <w:t xml:space="preserve"> of </w:t>
      </w:r>
      <w:r w:rsidRPr="001A3D2B">
        <w:t>these Nordic Sociology departments in</w:t>
      </w:r>
      <w:r w:rsidR="003A1917">
        <w:t xml:space="preserve"> the </w:t>
      </w:r>
      <w:r w:rsidRPr="001A3D2B">
        <w:t>period 1981-2000. First, we provide a brief overview</w:t>
      </w:r>
      <w:r w:rsidR="00427468">
        <w:t xml:space="preserve"> of </w:t>
      </w:r>
      <w:r w:rsidRPr="001A3D2B">
        <w:t>article productivity</w:t>
      </w:r>
      <w:r w:rsidR="005853A9">
        <w:t xml:space="preserve"> and </w:t>
      </w:r>
      <w:r w:rsidRPr="001A3D2B">
        <w:t>citations to articles produced in this period by country</w:t>
      </w:r>
      <w:r w:rsidR="005853A9">
        <w:t xml:space="preserve"> and </w:t>
      </w:r>
      <w:r w:rsidRPr="001A3D2B">
        <w:t>department. Second, we estimate a multilevel model</w:t>
      </w:r>
      <w:r w:rsidR="00427468">
        <w:t xml:space="preserve"> of </w:t>
      </w:r>
      <w:r w:rsidRPr="001A3D2B">
        <w:t>citation patterns by articles published,</w:t>
      </w:r>
      <w:r w:rsidR="003A1917">
        <w:t xml:space="preserve"> the </w:t>
      </w:r>
      <w:r w:rsidRPr="001A3D2B">
        <w:t>academic position</w:t>
      </w:r>
      <w:r w:rsidR="005853A9">
        <w:t xml:space="preserve"> and </w:t>
      </w:r>
      <w:r w:rsidRPr="001A3D2B">
        <w:t>productivity</w:t>
      </w:r>
      <w:r w:rsidR="00427468">
        <w:t xml:space="preserve"> of </w:t>
      </w:r>
      <w:r w:rsidRPr="001A3D2B">
        <w:t>each author,</w:t>
      </w:r>
      <w:r w:rsidR="005853A9">
        <w:t xml:space="preserve"> and </w:t>
      </w:r>
      <w:r w:rsidR="003A1917">
        <w:t xml:space="preserve">the </w:t>
      </w:r>
      <w:r w:rsidRPr="001A3D2B">
        <w:t>structure</w:t>
      </w:r>
      <w:r w:rsidR="005853A9">
        <w:t xml:space="preserve"> and </w:t>
      </w:r>
      <w:r w:rsidRPr="001A3D2B">
        <w:t>productivity</w:t>
      </w:r>
      <w:r w:rsidR="00427468">
        <w:t xml:space="preserve"> of </w:t>
      </w:r>
      <w:r w:rsidRPr="001A3D2B">
        <w:t>each department as a whole. Third, we test</w:t>
      </w:r>
      <w:r w:rsidR="003A1917">
        <w:t xml:space="preserve"> the </w:t>
      </w:r>
      <w:r w:rsidRPr="001A3D2B">
        <w:t>extent to which</w:t>
      </w:r>
      <w:r w:rsidR="003A1917">
        <w:t xml:space="preserve"> the </w:t>
      </w:r>
      <w:r w:rsidRPr="001A3D2B">
        <w:t>effects</w:t>
      </w:r>
      <w:r w:rsidR="00427468">
        <w:t xml:space="preserve"> of </w:t>
      </w:r>
      <w:r w:rsidRPr="001A3D2B">
        <w:t>such factors differ between departments</w:t>
      </w:r>
      <w:r w:rsidR="005853A9">
        <w:t xml:space="preserve"> and </w:t>
      </w:r>
      <w:r w:rsidRPr="001A3D2B">
        <w:t>individuals. In all departments, publications in high-impact journals increase</w:t>
      </w:r>
      <w:r w:rsidR="003A1917">
        <w:t xml:space="preserve"> the </w:t>
      </w:r>
      <w:r w:rsidRPr="001A3D2B">
        <w:t>number</w:t>
      </w:r>
      <w:r w:rsidR="00427468">
        <w:t xml:space="preserve"> of </w:t>
      </w:r>
      <w:r w:rsidRPr="001A3D2B">
        <w:t>citations to any given article, to other work</w:t>
      </w:r>
      <w:r w:rsidR="00427468">
        <w:t xml:space="preserve"> of </w:t>
      </w:r>
      <w:r w:rsidR="003A1917">
        <w:t xml:space="preserve">the </w:t>
      </w:r>
      <w:r w:rsidRPr="001A3D2B">
        <w:t>same author,</w:t>
      </w:r>
      <w:r w:rsidR="005853A9">
        <w:t xml:space="preserve"> and </w:t>
      </w:r>
      <w:r w:rsidRPr="001A3D2B">
        <w:t>to</w:t>
      </w:r>
      <w:r w:rsidR="003A1917">
        <w:t xml:space="preserve"> the </w:t>
      </w:r>
      <w:r w:rsidRPr="001A3D2B">
        <w:t>work</w:t>
      </w:r>
      <w:r w:rsidR="00427468">
        <w:t xml:space="preserve"> of </w:t>
      </w:r>
      <w:r w:rsidRPr="001A3D2B">
        <w:t>other faculty in</w:t>
      </w:r>
      <w:r w:rsidR="003A1917">
        <w:t xml:space="preserve"> the </w:t>
      </w:r>
      <w:r w:rsidRPr="001A3D2B">
        <w:t>department</w:t>
      </w:r>
      <w:r w:rsidR="00A37C1D">
        <w:t>. The</w:t>
      </w:r>
      <w:r w:rsidR="003A1917">
        <w:t xml:space="preserve"> </w:t>
      </w:r>
      <w:r w:rsidRPr="001A3D2B">
        <w:t>effect</w:t>
      </w:r>
      <w:r w:rsidR="00427468">
        <w:t xml:space="preserve"> of </w:t>
      </w:r>
      <w:r w:rsidRPr="001A3D2B">
        <w:t>publishing in high-impact journals differs significantly between individual authors,</w:t>
      </w:r>
      <w:r w:rsidR="005853A9">
        <w:t xml:space="preserve"> and </w:t>
      </w:r>
      <w:r w:rsidRPr="001A3D2B">
        <w:t>work in certain types</w:t>
      </w:r>
      <w:r w:rsidR="00427468">
        <w:t xml:space="preserve"> of </w:t>
      </w:r>
      <w:r w:rsidRPr="001A3D2B">
        <w:t>journals yields more citations than</w:t>
      </w:r>
      <w:r w:rsidR="003A1917">
        <w:t xml:space="preserve"> the </w:t>
      </w:r>
      <w:r w:rsidRPr="001A3D2B">
        <w:t>journal impact factor would predict. We argue that departmental affiliations with outside faculty</w:t>
      </w:r>
      <w:r w:rsidR="005853A9">
        <w:t xml:space="preserve"> and </w:t>
      </w:r>
      <w:r w:rsidRPr="001A3D2B">
        <w:t>departmental productivity can be seen as a form</w:t>
      </w:r>
      <w:r w:rsidR="00427468">
        <w:t xml:space="preserve"> of </w:t>
      </w:r>
      <w:r w:rsidRPr="001A3D2B">
        <w:t>social capital that benefits both individuals</w:t>
      </w:r>
      <w:r w:rsidR="005853A9">
        <w:t xml:space="preserve"> and </w:t>
      </w:r>
      <w:r w:rsidRPr="001A3D2B">
        <w:t>departments as a whole</w:t>
      </w:r>
      <w:r w:rsidR="00A37C1D">
        <w:t>. The</w:t>
      </w:r>
      <w:r w:rsidRPr="001A3D2B">
        <w:t>se findings strongly suggest that diversity is a defining characteristic</w:t>
      </w:r>
      <w:r w:rsidR="00427468">
        <w:t xml:space="preserve"> of </w:t>
      </w:r>
      <w:r w:rsidRPr="001A3D2B">
        <w:t>this sociological community, precluding monolithic definitions</w:t>
      </w:r>
      <w:r w:rsidR="00427468">
        <w:t xml:space="preserve"> of </w:t>
      </w:r>
      <w:r w:rsidRPr="001A3D2B">
        <w:t>Nordic sociology.</w:t>
      </w:r>
    </w:p>
    <w:p w:rsidR="003474F2" w:rsidRPr="001A3D2B" w:rsidRDefault="003474F2" w:rsidP="003474F2">
      <w:pPr>
        <w:pStyle w:val="1"/>
      </w:pPr>
      <w:r w:rsidRPr="001A3D2B">
        <w:br w:type="page"/>
      </w:r>
      <w:bookmarkStart w:id="103" w:name="_Toc420814292"/>
      <w:r w:rsidRPr="001A3D2B">
        <w:lastRenderedPageBreak/>
        <w:t>Title: Acta Stomatologica Croatica</w:t>
      </w:r>
      <w:bookmarkEnd w:id="103"/>
    </w:p>
    <w:p w:rsidR="003474F2" w:rsidRPr="001A3D2B" w:rsidRDefault="003474F2" w:rsidP="003474F2">
      <w:pPr>
        <w:pStyle w:val="12"/>
      </w:pPr>
      <w:r w:rsidRPr="001A3D2B">
        <w:t xml:space="preserve">Full Journal Title: </w:t>
      </w:r>
      <w:hyperlink r:id="rId210" w:history="1">
        <w:r w:rsidRPr="001A3D2B">
          <w:rPr>
            <w:rStyle w:val="a5"/>
          </w:rPr>
          <w:t>Acta Stomatologica Croatica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1E55D5">
      <w:pPr>
        <w:pStyle w:val="a3"/>
      </w:pPr>
      <w:r w:rsidRPr="001A3D2B">
        <w:t>? Bacic, M., Kaic, Z.</w:t>
      </w:r>
      <w:r w:rsidR="005853A9">
        <w:t xml:space="preserve"> and </w:t>
      </w:r>
      <w:r w:rsidRPr="001A3D2B">
        <w:t>Keros, J. (1996), Bibliometric quantitative</w:t>
      </w:r>
      <w:r w:rsidR="005853A9">
        <w:t xml:space="preserve"> and </w:t>
      </w:r>
      <w:r w:rsidRPr="001A3D2B">
        <w:t>qualitative analysis</w:t>
      </w:r>
      <w:r w:rsidR="00427468">
        <w:t xml:space="preserve"> of </w:t>
      </w:r>
      <w:r w:rsidR="003A1917">
        <w:t xml:space="preserve">the </w:t>
      </w:r>
      <w:r w:rsidR="001E55D5" w:rsidRPr="001A3D2B">
        <w:t xml:space="preserve">journal </w:t>
      </w:r>
      <w:r w:rsidR="001E55D5" w:rsidRPr="001A3D2B">
        <w:rPr>
          <w:i/>
          <w:iCs/>
        </w:rPr>
        <w:t>Acta Stomatologica Croatica</w:t>
      </w:r>
      <w:r w:rsidRPr="001A3D2B">
        <w:t xml:space="preserve"> in</w:t>
      </w:r>
      <w:r w:rsidR="003A1917">
        <w:t xml:space="preserve"> the </w:t>
      </w:r>
      <w:r w:rsidR="001E55D5" w:rsidRPr="001A3D2B">
        <w:t xml:space="preserve">period </w:t>
      </w:r>
      <w:r w:rsidRPr="001A3D2B">
        <w:t xml:space="preserve">1985-1991. </w:t>
      </w:r>
      <w:r w:rsidRPr="001A3D2B">
        <w:rPr>
          <w:i/>
          <w:iCs/>
        </w:rPr>
        <w:t>Acta Stomatologica Croatica</w:t>
      </w:r>
      <w:r w:rsidRPr="001A3D2B">
        <w:t xml:space="preserve">, </w:t>
      </w:r>
      <w:r w:rsidRPr="001A3D2B">
        <w:rPr>
          <w:b/>
          <w:bCs/>
        </w:rPr>
        <w:t>30</w:t>
      </w:r>
      <w:r w:rsidRPr="001A3D2B">
        <w:t xml:space="preserve"> (4), 239-247.</w:t>
      </w:r>
    </w:p>
    <w:p w:rsidR="00A00523" w:rsidRPr="001A3D2B" w:rsidRDefault="00A00523" w:rsidP="00A00523">
      <w:pPr>
        <w:pStyle w:val="a3"/>
      </w:pPr>
      <w:r w:rsidRPr="001A3D2B">
        <w:t>Full Text: Act Sto Cro30, 239.pdf</w:t>
      </w:r>
    </w:p>
    <w:p w:rsidR="003474F2" w:rsidRPr="001A3D2B" w:rsidRDefault="003474F2" w:rsidP="003474F2">
      <w:pPr>
        <w:pStyle w:val="a3"/>
      </w:pPr>
      <w:r w:rsidRPr="001A3D2B">
        <w:t>Abstract:</w:t>
      </w:r>
      <w:r w:rsidR="003A1917">
        <w:t xml:space="preserve"> the </w:t>
      </w:r>
      <w:r w:rsidRPr="001A3D2B">
        <w:t>study contains a bibliometric quantitative</w:t>
      </w:r>
      <w:r w:rsidR="005853A9">
        <w:t xml:space="preserve"> and </w:t>
      </w:r>
      <w:r w:rsidRPr="001A3D2B">
        <w:t>qualitative analysis</w:t>
      </w:r>
      <w:r w:rsidR="00427468">
        <w:t xml:space="preserve"> of </w:t>
      </w:r>
      <w:r w:rsidR="003A1917">
        <w:t xml:space="preserve">the </w:t>
      </w:r>
      <w:r w:rsidRPr="001A3D2B">
        <w:t>journal Acta Stomatologica Croatica, based on twenty-five parameters, over a period</w:t>
      </w:r>
      <w:r w:rsidR="00427468">
        <w:t xml:space="preserve"> of </w:t>
      </w:r>
      <w:r w:rsidRPr="001A3D2B">
        <w:t>seven years</w:t>
      </w:r>
      <w:r w:rsidR="00A37C1D">
        <w:t>. The</w:t>
      </w:r>
      <w:r w:rsidR="003A1917">
        <w:t xml:space="preserve"> </w:t>
      </w:r>
      <w:r w:rsidRPr="001A3D2B">
        <w:t>analysis resulted in a large number</w:t>
      </w:r>
      <w:r w:rsidR="00427468">
        <w:t xml:space="preserve"> of </w:t>
      </w:r>
      <w:r w:rsidRPr="001A3D2B">
        <w:t>data, which is an indicator</w:t>
      </w:r>
      <w:r w:rsidR="00427468">
        <w:t xml:space="preserve"> of </w:t>
      </w:r>
      <w:r w:rsidRPr="001A3D2B">
        <w:t>scientific, professional</w:t>
      </w:r>
      <w:r w:rsidR="005853A9">
        <w:t xml:space="preserve"> and </w:t>
      </w:r>
      <w:r w:rsidRPr="001A3D2B">
        <w:t>educational work in</w:t>
      </w:r>
      <w:r w:rsidR="003A1917">
        <w:t xml:space="preserve"> the </w:t>
      </w:r>
      <w:r w:rsidRPr="001A3D2B">
        <w:t>field</w:t>
      </w:r>
      <w:r w:rsidR="00427468">
        <w:t xml:space="preserve"> of </w:t>
      </w:r>
      <w:r w:rsidRPr="001A3D2B">
        <w:t>dental medicine in Croatia</w:t>
      </w:r>
      <w:r w:rsidR="00A37C1D">
        <w:t>. The</w:t>
      </w:r>
      <w:r w:rsidR="003A1917">
        <w:t xml:space="preserve"> </w:t>
      </w:r>
      <w:r w:rsidRPr="001A3D2B">
        <w:t>authors consider that</w:t>
      </w:r>
      <w:r w:rsidR="003A1917">
        <w:t xml:space="preserve"> the </w:t>
      </w:r>
      <w:r w:rsidRPr="001A3D2B">
        <w:t>obtained data will contribute to</w:t>
      </w:r>
      <w:r w:rsidR="003A1917">
        <w:t xml:space="preserve"> the </w:t>
      </w:r>
      <w:r w:rsidRPr="001A3D2B">
        <w:t>quality</w:t>
      </w:r>
      <w:r w:rsidR="00427468">
        <w:t xml:space="preserve"> of </w:t>
      </w:r>
      <w:r w:rsidRPr="001A3D2B">
        <w:t>Croatian scientific publications, including</w:t>
      </w:r>
      <w:r w:rsidR="003A1917">
        <w:t xml:space="preserve"> the </w:t>
      </w:r>
      <w:r w:rsidRPr="001A3D2B">
        <w:t>journal Acta Stomatologica Croatica.</w:t>
      </w:r>
    </w:p>
    <w:p w:rsidR="001E55D5" w:rsidRPr="001A3D2B" w:rsidRDefault="001E55D5" w:rsidP="00A00523">
      <w:pPr>
        <w:pStyle w:val="a3"/>
      </w:pPr>
      <w:r w:rsidRPr="001A3D2B">
        <w:t>? Borić, V. (2006), Bibliometric analysis</w:t>
      </w:r>
      <w:r w:rsidR="00427468">
        <w:t xml:space="preserve"> of </w:t>
      </w:r>
      <w:r w:rsidR="003A1917">
        <w:t xml:space="preserve">the </w:t>
      </w:r>
      <w:r w:rsidRPr="001A3D2B">
        <w:t>articles from</w:t>
      </w:r>
      <w:r w:rsidR="003A1917">
        <w:t xml:space="preserve"> the </w:t>
      </w:r>
      <w:r w:rsidRPr="001A3D2B">
        <w:t>School</w:t>
      </w:r>
      <w:r w:rsidR="00427468">
        <w:t xml:space="preserve"> of </w:t>
      </w:r>
      <w:r w:rsidRPr="001A3D2B">
        <w:t>Dental Medicine, University</w:t>
      </w:r>
      <w:r w:rsidR="00427468">
        <w:t xml:space="preserve"> of </w:t>
      </w:r>
      <w:r w:rsidRPr="001A3D2B">
        <w:t xml:space="preserve">Zagreb, indexed in </w:t>
      </w:r>
      <w:r w:rsidR="00D5664A">
        <w:t>Web</w:t>
      </w:r>
      <w:r w:rsidR="00427468">
        <w:t xml:space="preserve"> of </w:t>
      </w:r>
      <w:r w:rsidR="00D5664A">
        <w:t>Science</w:t>
      </w:r>
      <w:r w:rsidRPr="001A3D2B">
        <w:t xml:space="preserve"> database (1976-2005). </w:t>
      </w:r>
      <w:r w:rsidRPr="001A3D2B">
        <w:rPr>
          <w:i/>
          <w:iCs/>
        </w:rPr>
        <w:t>Acta Stomatologica Croatica</w:t>
      </w:r>
      <w:r w:rsidRPr="001A3D2B">
        <w:t xml:space="preserve">, </w:t>
      </w:r>
      <w:r w:rsidRPr="001A3D2B">
        <w:rPr>
          <w:b/>
          <w:bCs/>
        </w:rPr>
        <w:t>40</w:t>
      </w:r>
      <w:r w:rsidRPr="001A3D2B">
        <w:t xml:space="preserve"> (3), 2</w:t>
      </w:r>
      <w:r w:rsidR="00A00523" w:rsidRPr="001A3D2B">
        <w:t>18</w:t>
      </w:r>
      <w:r w:rsidRPr="001A3D2B">
        <w:t>-2</w:t>
      </w:r>
      <w:r w:rsidR="00A00523" w:rsidRPr="001A3D2B">
        <w:t>35</w:t>
      </w:r>
      <w:r w:rsidRPr="001A3D2B">
        <w:t>.</w:t>
      </w:r>
    </w:p>
    <w:p w:rsidR="001E55D5" w:rsidRPr="001A3D2B" w:rsidRDefault="001E55D5" w:rsidP="00A00523">
      <w:pPr>
        <w:pStyle w:val="a3"/>
      </w:pPr>
      <w:r w:rsidRPr="001A3D2B">
        <w:t xml:space="preserve">Full Text: </w:t>
      </w:r>
      <w:hyperlink r:id="rId211" w:history="1">
        <w:r w:rsidR="00A00523" w:rsidRPr="001A3D2B">
          <w:rPr>
            <w:rStyle w:val="a5"/>
          </w:rPr>
          <w:t>2006\Act Sto Cro40, 218.pdf</w:t>
        </w:r>
      </w:hyperlink>
    </w:p>
    <w:p w:rsidR="001E55D5" w:rsidRPr="001A3D2B" w:rsidRDefault="001E55D5" w:rsidP="001E55D5">
      <w:pPr>
        <w:pStyle w:val="a3"/>
      </w:pPr>
      <w:r w:rsidRPr="001A3D2B">
        <w:t>Abstracts: This article represents bibliometric analysis</w:t>
      </w:r>
      <w:r w:rsidR="00427468">
        <w:t xml:space="preserve"> of </w:t>
      </w:r>
      <w:r w:rsidRPr="001A3D2B">
        <w:t>published articles with</w:t>
      </w:r>
      <w:r w:rsidR="003A1917">
        <w:t xml:space="preserve"> the </w:t>
      </w:r>
      <w:r w:rsidRPr="001A3D2B">
        <w:t>address</w:t>
      </w:r>
      <w:r w:rsidR="00427468">
        <w:t xml:space="preserve"> of </w:t>
      </w:r>
      <w:r w:rsidR="003A1917">
        <w:t xml:space="preserve">the </w:t>
      </w:r>
      <w:r w:rsidRPr="001A3D2B">
        <w:t>School</w:t>
      </w:r>
      <w:r w:rsidR="00427468">
        <w:t xml:space="preserve"> of </w:t>
      </w:r>
      <w:r w:rsidRPr="001A3D2B">
        <w:t>Dental Medicine, University</w:t>
      </w:r>
      <w:r w:rsidR="00427468">
        <w:t xml:space="preserve"> of </w:t>
      </w:r>
      <w:r w:rsidRPr="001A3D2B">
        <w:t xml:space="preserve">Zagreb, indexed in </w:t>
      </w:r>
      <w:r w:rsidR="00D5664A">
        <w:t>Web</w:t>
      </w:r>
      <w:r w:rsidR="00427468">
        <w:t xml:space="preserve"> of </w:t>
      </w:r>
      <w:r w:rsidR="00D5664A">
        <w:t>Science</w:t>
      </w:r>
      <w:r w:rsidRPr="001A3D2B">
        <w:t xml:space="preserve"> database in</w:t>
      </w:r>
      <w:r w:rsidR="003A1917">
        <w:t xml:space="preserve"> the </w:t>
      </w:r>
      <w:r w:rsidRPr="001A3D2B">
        <w:t>period 1976-2005</w:t>
      </w:r>
      <w:r w:rsidR="00A37C1D">
        <w:t>. The</w:t>
      </w:r>
      <w:r w:rsidR="003A1917">
        <w:t xml:space="preserve"> </w:t>
      </w:r>
      <w:r w:rsidRPr="001A3D2B">
        <w:t>sample consisted</w:t>
      </w:r>
      <w:r w:rsidR="00427468">
        <w:t xml:space="preserve"> of </w:t>
      </w:r>
      <w:r w:rsidRPr="001A3D2B">
        <w:t>428 articles that were analyzed according to</w:t>
      </w:r>
      <w:r w:rsidR="003A1917">
        <w:t xml:space="preserve"> the </w:t>
      </w:r>
      <w:r w:rsidRPr="001A3D2B">
        <w:t>authors</w:t>
      </w:r>
      <w:r w:rsidR="00700038">
        <w:t>’</w:t>
      </w:r>
      <w:r w:rsidRPr="001A3D2B">
        <w:t xml:space="preserve"> address, productivity markers (authors, institutions, year</w:t>
      </w:r>
      <w:r w:rsidR="00427468">
        <w:t xml:space="preserve"> of </w:t>
      </w:r>
      <w:r w:rsidRPr="001A3D2B">
        <w:t>publication, article type, language, journal)</w:t>
      </w:r>
      <w:r w:rsidR="005853A9">
        <w:t xml:space="preserve"> and </w:t>
      </w:r>
      <w:r w:rsidRPr="001A3D2B">
        <w:t>citation</w:t>
      </w:r>
      <w:r w:rsidR="00A37C1D">
        <w:t>. The</w:t>
      </w:r>
      <w:r w:rsidR="003A1917">
        <w:t xml:space="preserve"> </w:t>
      </w:r>
      <w:r w:rsidRPr="001A3D2B">
        <w:t>analysis</w:t>
      </w:r>
      <w:r w:rsidR="00427468">
        <w:t xml:space="preserve"> of </w:t>
      </w:r>
      <w:r w:rsidR="003A1917">
        <w:t xml:space="preserve">the </w:t>
      </w:r>
      <w:r w:rsidRPr="001A3D2B">
        <w:t>structure showed that</w:t>
      </w:r>
      <w:r w:rsidR="003A1917">
        <w:t xml:space="preserve"> the </w:t>
      </w:r>
      <w:r w:rsidRPr="001A3D2B">
        <w:t>University</w:t>
      </w:r>
      <w:r w:rsidR="00427468">
        <w:t xml:space="preserve"> of </w:t>
      </w:r>
      <w:r w:rsidRPr="001A3D2B">
        <w:t>Zagreb affi liation was mentioned in 87.7%</w:t>
      </w:r>
      <w:r w:rsidR="00427468">
        <w:t xml:space="preserve"> of </w:t>
      </w:r>
      <w:r w:rsidR="003A1917">
        <w:t xml:space="preserve">the </w:t>
      </w:r>
      <w:r w:rsidRPr="001A3D2B">
        <w:t>addresses,</w:t>
      </w:r>
      <w:r w:rsidR="005853A9">
        <w:t xml:space="preserve"> and </w:t>
      </w:r>
      <w:r w:rsidRPr="001A3D2B">
        <w:t>School</w:t>
      </w:r>
      <w:r w:rsidR="00427468">
        <w:t xml:space="preserve"> of </w:t>
      </w:r>
      <w:r w:rsidRPr="001A3D2B">
        <w:t>Dental Medicine affi liation in 98.8%</w:t>
      </w:r>
      <w:r w:rsidR="00427468">
        <w:t xml:space="preserve"> of </w:t>
      </w:r>
      <w:r w:rsidR="003A1917">
        <w:t xml:space="preserve">the </w:t>
      </w:r>
      <w:r w:rsidRPr="001A3D2B">
        <w:t>addresses, in 13 different ways. Most publications (82.5%) are scientifi c articles, 15.2% are congress abstracts, while reviews, short communications, letters,</w:t>
      </w:r>
      <w:r w:rsidR="005853A9">
        <w:t xml:space="preserve"> and </w:t>
      </w:r>
      <w:r w:rsidRPr="001A3D2B">
        <w:t>book reviews</w:t>
      </w:r>
      <w:r w:rsidR="005853A9">
        <w:t xml:space="preserve"> and </w:t>
      </w:r>
      <w:r w:rsidRPr="001A3D2B">
        <w:t>personal articles are present in less that 1%</w:t>
      </w:r>
      <w:r w:rsidR="00A37C1D">
        <w:t>. The</w:t>
      </w:r>
      <w:r w:rsidR="003A1917">
        <w:t xml:space="preserve"> </w:t>
      </w:r>
      <w:r w:rsidRPr="001A3D2B">
        <w:t>articles were published in 88 different journals, mostly in Coll Antropol (39.9%). According to</w:t>
      </w:r>
      <w:r w:rsidR="003A1917">
        <w:t xml:space="preserve"> the </w:t>
      </w:r>
      <w:r w:rsidRPr="001A3D2B">
        <w:lastRenderedPageBreak/>
        <w:t>JCR database,</w:t>
      </w:r>
      <w:r w:rsidR="003A1917">
        <w:t xml:space="preserve"> the </w:t>
      </w:r>
      <w:r w:rsidRPr="001A3D2B">
        <w:t>journals are from 31 different scientifi c areas. Although most</w:t>
      </w:r>
      <w:r w:rsidR="00427468">
        <w:t xml:space="preserve"> of </w:t>
      </w:r>
      <w:r w:rsidR="003A1917">
        <w:t xml:space="preserve">the </w:t>
      </w:r>
      <w:r w:rsidRPr="001A3D2B">
        <w:t>publications (24) are from</w:t>
      </w:r>
      <w:r w:rsidR="003A1917">
        <w:t xml:space="preserve"> the </w:t>
      </w:r>
      <w:r w:rsidRPr="001A3D2B">
        <w:t>fi eld</w:t>
      </w:r>
      <w:r w:rsidR="00427468">
        <w:t xml:space="preserve"> of </w:t>
      </w:r>
      <w:r w:rsidRPr="001A3D2B">
        <w:t>Dentistry, Oral Surgery &amp; Medicine,</w:t>
      </w:r>
      <w:r w:rsidR="003A1917">
        <w:t xml:space="preserve"> the </w:t>
      </w:r>
      <w:r w:rsidRPr="001A3D2B">
        <w:t>greatest number</w:t>
      </w:r>
      <w:r w:rsidR="00427468">
        <w:t xml:space="preserve"> of </w:t>
      </w:r>
      <w:r w:rsidRPr="001A3D2B">
        <w:t>articles is published in two journals from</w:t>
      </w:r>
      <w:r w:rsidR="003A1917">
        <w:t xml:space="preserve"> the </w:t>
      </w:r>
      <w:r w:rsidRPr="001A3D2B">
        <w:t>fi eld</w:t>
      </w:r>
      <w:r w:rsidR="00427468">
        <w:t xml:space="preserve"> of </w:t>
      </w:r>
      <w:r w:rsidRPr="001A3D2B">
        <w:t>Anthropology</w:t>
      </w:r>
      <w:r w:rsidR="00A37C1D">
        <w:t>. The</w:t>
      </w:r>
      <w:r w:rsidRPr="001A3D2B">
        <w:t>re are 1866 authors</w:t>
      </w:r>
      <w:r w:rsidR="00427468">
        <w:t xml:space="preserve"> of </w:t>
      </w:r>
      <w:r w:rsidRPr="001A3D2B">
        <w:t>428 articles, mostly with four authors (23.8%); greatest number</w:t>
      </w:r>
      <w:r w:rsidR="00427468">
        <w:t xml:space="preserve"> of </w:t>
      </w:r>
      <w:r w:rsidRPr="001A3D2B">
        <w:t>authors being eleven. Mean number</w:t>
      </w:r>
      <w:r w:rsidR="00427468">
        <w:t xml:space="preserve"> of </w:t>
      </w:r>
      <w:r w:rsidRPr="001A3D2B">
        <w:t>authors per article is 4.4. Collaboration inside</w:t>
      </w:r>
      <w:r w:rsidR="003A1917">
        <w:t xml:space="preserve"> the </w:t>
      </w:r>
      <w:r w:rsidRPr="001A3D2B">
        <w:t>School yielded 45.1%</w:t>
      </w:r>
      <w:r w:rsidR="00427468">
        <w:t xml:space="preserve"> of </w:t>
      </w:r>
      <w:r w:rsidR="003A1917">
        <w:t xml:space="preserve">the </w:t>
      </w:r>
      <w:r w:rsidRPr="001A3D2B">
        <w:t>articles; slightly more in collaboration with</w:t>
      </w:r>
      <w:r w:rsidR="003A1917">
        <w:t xml:space="preserve"> the </w:t>
      </w:r>
      <w:r w:rsidRPr="001A3D2B">
        <w:t>authors form other Croatian institution (47.4%),</w:t>
      </w:r>
      <w:r w:rsidR="005853A9">
        <w:t xml:space="preserve"> and </w:t>
      </w:r>
      <w:r w:rsidRPr="001A3D2B">
        <w:t>6.1% in collaboration with foreign authors</w:t>
      </w:r>
      <w:r w:rsidR="00A37C1D">
        <w:t>. The</w:t>
      </w:r>
      <w:r w:rsidR="003A1917">
        <w:t xml:space="preserve"> </w:t>
      </w:r>
      <w:r w:rsidRPr="001A3D2B">
        <w:t>analysis showed that 41.1%</w:t>
      </w:r>
      <w:r w:rsidR="00427468">
        <w:t xml:space="preserve"> of </w:t>
      </w:r>
      <w:r w:rsidR="003A1917">
        <w:t xml:space="preserve">the </w:t>
      </w:r>
      <w:r w:rsidRPr="001A3D2B">
        <w:t>articles has no citation;</w:t>
      </w:r>
      <w:r w:rsidR="003A1917">
        <w:t xml:space="preserve"> the </w:t>
      </w:r>
      <w:r w:rsidRPr="001A3D2B">
        <w:t>most cited article has 54 citations, mean citation being 2.68 per article. Out</w:t>
      </w:r>
      <w:r w:rsidR="00427468">
        <w:t xml:space="preserve"> of </w:t>
      </w:r>
      <w:r w:rsidR="003A1917">
        <w:t xml:space="preserve">the </w:t>
      </w:r>
      <w:r w:rsidRPr="001A3D2B">
        <w:t>ten most cited articles, two are published in collaboration with foreign authors, one is a result</w:t>
      </w:r>
      <w:r w:rsidR="00427468">
        <w:t xml:space="preserve"> of </w:t>
      </w:r>
      <w:r w:rsidRPr="001A3D2B">
        <w:t>collaboration inside</w:t>
      </w:r>
      <w:r w:rsidR="003A1917">
        <w:t xml:space="preserve"> the </w:t>
      </w:r>
      <w:r w:rsidRPr="001A3D2B">
        <w:t>School,</w:t>
      </w:r>
      <w:r w:rsidR="005853A9">
        <w:t xml:space="preserve"> and </w:t>
      </w:r>
      <w:r w:rsidRPr="001A3D2B">
        <w:t>six are result</w:t>
      </w:r>
      <w:r w:rsidR="00427468">
        <w:t xml:space="preserve"> of </w:t>
      </w:r>
      <w:r w:rsidRPr="001A3D2B">
        <w:t>collaboration with</w:t>
      </w:r>
      <w:r w:rsidR="003A1917">
        <w:t xml:space="preserve"> the </w:t>
      </w:r>
      <w:r w:rsidRPr="001A3D2B">
        <w:t>scientists from</w:t>
      </w:r>
      <w:r w:rsidR="003A1917">
        <w:t xml:space="preserve"> the </w:t>
      </w:r>
      <w:r w:rsidRPr="001A3D2B">
        <w:t>Institute Ruđer Bošković.</w:t>
      </w:r>
    </w:p>
    <w:p w:rsidR="001E55D5" w:rsidRPr="001A3D2B" w:rsidRDefault="001E55D5" w:rsidP="001E55D5">
      <w:pPr>
        <w:pStyle w:val="a3"/>
      </w:pPr>
      <w:r w:rsidRPr="001A3D2B">
        <w:t>Keywords: Bibliometrics, Authorship, Productivity, School</w:t>
      </w:r>
      <w:r w:rsidR="00427468">
        <w:t xml:space="preserve"> of </w:t>
      </w:r>
      <w:r w:rsidRPr="001A3D2B">
        <w:t>Dental Medicine University</w:t>
      </w:r>
      <w:r w:rsidR="00427468">
        <w:t xml:space="preserve"> of </w:t>
      </w:r>
      <w:r w:rsidRPr="001A3D2B">
        <w:t>Zagreb</w:t>
      </w:r>
    </w:p>
    <w:p w:rsidR="002C66BA" w:rsidRPr="001A3D2B" w:rsidRDefault="002C66BA" w:rsidP="002C66BA">
      <w:pPr>
        <w:pStyle w:val="a3"/>
      </w:pPr>
      <w:r w:rsidRPr="001A3D2B">
        <w:t>? Borić, V.</w:t>
      </w:r>
      <w:r w:rsidR="005853A9">
        <w:t xml:space="preserve"> and </w:t>
      </w:r>
      <w:r w:rsidRPr="001A3D2B">
        <w:t>Strujić, M. (2006), Bibliometric analysis</w:t>
      </w:r>
      <w:r w:rsidR="00427468">
        <w:t xml:space="preserve"> of </w:t>
      </w:r>
      <w:r w:rsidRPr="001A3D2B">
        <w:rPr>
          <w:i/>
        </w:rPr>
        <w:t>Acta Stomatologica Croatica</w:t>
      </w:r>
      <w:r w:rsidRPr="001A3D2B">
        <w:t xml:space="preserve">: 1987-2006. </w:t>
      </w:r>
      <w:r w:rsidRPr="001A3D2B">
        <w:rPr>
          <w:i/>
          <w:iCs/>
        </w:rPr>
        <w:t>Acta Stomatologica Croatica</w:t>
      </w:r>
      <w:r w:rsidRPr="001A3D2B">
        <w:t xml:space="preserve">, </w:t>
      </w:r>
      <w:r w:rsidRPr="001A3D2B">
        <w:rPr>
          <w:b/>
          <w:bCs/>
        </w:rPr>
        <w:t>40</w:t>
      </w:r>
      <w:r w:rsidRPr="001A3D2B">
        <w:t xml:space="preserve"> (4), 336-346.</w:t>
      </w:r>
    </w:p>
    <w:p w:rsidR="002C66BA" w:rsidRPr="001A3D2B" w:rsidRDefault="002C66BA" w:rsidP="002C66BA">
      <w:pPr>
        <w:pStyle w:val="a3"/>
      </w:pPr>
      <w:r w:rsidRPr="001A3D2B">
        <w:t xml:space="preserve">Full Text: </w:t>
      </w:r>
      <w:hyperlink r:id="rId212" w:history="1">
        <w:r w:rsidR="00DA69BB" w:rsidRPr="00DA69BB">
          <w:rPr>
            <w:rStyle w:val="a5"/>
          </w:rPr>
          <w:t>2006\Act Sto Cro40, 336.pdf</w:t>
        </w:r>
      </w:hyperlink>
    </w:p>
    <w:p w:rsidR="002C66BA" w:rsidRPr="001A3D2B" w:rsidRDefault="002C66BA" w:rsidP="002C66BA">
      <w:pPr>
        <w:pStyle w:val="a3"/>
      </w:pPr>
      <w:r w:rsidRPr="001A3D2B">
        <w:t>Abstracts: This article presents a bibliometrical analysis</w:t>
      </w:r>
      <w:r w:rsidR="00427468">
        <w:t xml:space="preserve"> of </w:t>
      </w:r>
      <w:r w:rsidR="003A1917">
        <w:t xml:space="preserve">the </w:t>
      </w:r>
      <w:r w:rsidRPr="001A3D2B">
        <w:t>journal Acta Stomatologica Croatica from 1987 until 2006</w:t>
      </w:r>
      <w:r w:rsidR="00A37C1D">
        <w:t>. The</w:t>
      </w:r>
      <w:r w:rsidR="003A1917">
        <w:t xml:space="preserve"> </w:t>
      </w:r>
      <w:r w:rsidRPr="001A3D2B">
        <w:t>sample consists</w:t>
      </w:r>
      <w:r w:rsidR="00427468">
        <w:t xml:space="preserve"> of </w:t>
      </w:r>
      <w:r w:rsidRPr="001A3D2B">
        <w:t>711 articles, categorized as original scientific articles, preliminary publications, reviews, professional papers, editorials, congress presentations, case reports,</w:t>
      </w:r>
      <w:r w:rsidR="005853A9">
        <w:t xml:space="preserve"> and </w:t>
      </w:r>
      <w:r w:rsidRPr="001A3D2B">
        <w:t>one bibliography</w:t>
      </w:r>
      <w:r w:rsidR="00A37C1D">
        <w:t>. The</w:t>
      </w:r>
      <w:r w:rsidR="003A1917">
        <w:t xml:space="preserve"> </w:t>
      </w:r>
      <w:r w:rsidRPr="001A3D2B">
        <w:t>analysis included publications (according to number, type, language</w:t>
      </w:r>
      <w:r w:rsidR="005853A9">
        <w:t xml:space="preserve"> and </w:t>
      </w:r>
      <w:r w:rsidRPr="001A3D2B">
        <w:t>number</w:t>
      </w:r>
      <w:r w:rsidR="00427468">
        <w:t xml:space="preserve"> of </w:t>
      </w:r>
      <w:r w:rsidRPr="001A3D2B">
        <w:t>pages), authors (institutional affiliation</w:t>
      </w:r>
      <w:r w:rsidR="005853A9">
        <w:t xml:space="preserve"> and </w:t>
      </w:r>
      <w:r w:rsidRPr="001A3D2B">
        <w:t>country</w:t>
      </w:r>
      <w:r w:rsidR="00427468">
        <w:t xml:space="preserve"> of </w:t>
      </w:r>
      <w:r w:rsidRPr="001A3D2B">
        <w:t>origin), used bibliographical citations (references, according to type</w:t>
      </w:r>
      <w:r w:rsidR="005853A9">
        <w:t xml:space="preserve"> and </w:t>
      </w:r>
      <w:r w:rsidRPr="001A3D2B">
        <w:t>date</w:t>
      </w:r>
      <w:r w:rsidR="00427468">
        <w:t xml:space="preserve"> of </w:t>
      </w:r>
      <w:r w:rsidRPr="001A3D2B">
        <w:t>used data)</w:t>
      </w:r>
      <w:r w:rsidR="005853A9">
        <w:t xml:space="preserve"> and </w:t>
      </w:r>
      <w:r w:rsidRPr="001A3D2B">
        <w:t>independent citations</w:t>
      </w:r>
      <w:r w:rsidR="005853A9">
        <w:t xml:space="preserve"> and </w:t>
      </w:r>
      <w:r w:rsidRPr="001A3D2B">
        <w:t>self-citations</w:t>
      </w:r>
      <w:r w:rsidR="00A37C1D">
        <w:t>. The</w:t>
      </w:r>
      <w:r w:rsidR="003A1917">
        <w:t xml:space="preserve"> </w:t>
      </w:r>
      <w:r w:rsidRPr="001A3D2B">
        <w:t>analyis</w:t>
      </w:r>
      <w:r w:rsidR="00427468">
        <w:t xml:space="preserve"> of </w:t>
      </w:r>
      <w:r w:rsidR="003A1917">
        <w:t xml:space="preserve">the </w:t>
      </w:r>
      <w:r w:rsidRPr="001A3D2B">
        <w:t>number</w:t>
      </w:r>
      <w:r w:rsidR="00427468">
        <w:t xml:space="preserve"> of </w:t>
      </w:r>
      <w:r w:rsidRPr="001A3D2B">
        <w:t>articles shows that most articles are original scientific works (62.2%). Out</w:t>
      </w:r>
      <w:r w:rsidR="00427468">
        <w:t xml:space="preserve"> of </w:t>
      </w:r>
      <w:r w:rsidR="003A1917">
        <w:t xml:space="preserve">the </w:t>
      </w:r>
      <w:r w:rsidRPr="001A3D2B">
        <w:t>total number</w:t>
      </w:r>
      <w:r w:rsidR="00427468">
        <w:t xml:space="preserve"> of </w:t>
      </w:r>
      <w:r w:rsidR="003A1917">
        <w:t xml:space="preserve">the </w:t>
      </w:r>
      <w:r w:rsidRPr="001A3D2B">
        <w:t>articles between 1987</w:t>
      </w:r>
      <w:r w:rsidR="005853A9">
        <w:t xml:space="preserve"> and </w:t>
      </w:r>
      <w:r w:rsidRPr="001A3D2B">
        <w:t>1997, 46.7% was published in Croatian, 8.6% in English. Since 1998 all articles were published bilingually (44.7%). Analyzed articles cite a total</w:t>
      </w:r>
      <w:r w:rsidR="00427468">
        <w:t xml:space="preserve"> of </w:t>
      </w:r>
      <w:r w:rsidRPr="001A3D2B">
        <w:t>16597 articles, giving a mean</w:t>
      </w:r>
      <w:r w:rsidR="00427468">
        <w:t xml:space="preserve"> of </w:t>
      </w:r>
      <w:r w:rsidRPr="001A3D2B">
        <w:t>23.3 references per article. Most references are from foreign journals (76.9%</w:t>
      </w:r>
      <w:r w:rsidR="00F42EAC">
        <w:t>), The</w:t>
      </w:r>
      <w:r w:rsidRPr="001A3D2B">
        <w:t>n from foreign books (10.8%), articles from Croatian journals (6.1%), Croatian books (5.8%), electronic data (0.3%),</w:t>
      </w:r>
      <w:r w:rsidR="005853A9">
        <w:t xml:space="preserve"> and </w:t>
      </w:r>
      <w:r w:rsidRPr="001A3D2B">
        <w:t>other sources (0.1%). 30%</w:t>
      </w:r>
      <w:r w:rsidR="00427468">
        <w:t xml:space="preserve"> of </w:t>
      </w:r>
      <w:r w:rsidRPr="001A3D2B">
        <w:t>references were published in</w:t>
      </w:r>
      <w:r w:rsidR="003A1917">
        <w:t xml:space="preserve"> the </w:t>
      </w:r>
      <w:r w:rsidRPr="001A3D2B">
        <w:t>last five years</w:t>
      </w:r>
      <w:r w:rsidR="00A37C1D">
        <w:t>. The</w:t>
      </w:r>
      <w:r w:rsidR="003A1917">
        <w:t xml:space="preserve"> </w:t>
      </w:r>
      <w:r w:rsidRPr="001A3D2B">
        <w:t>share</w:t>
      </w:r>
      <w:r w:rsidR="00427468">
        <w:t xml:space="preserve"> of </w:t>
      </w:r>
      <w:r w:rsidRPr="001A3D2B">
        <w:t>independent citations is 94.1%, giving a mean 22 independent references per article. Mean number</w:t>
      </w:r>
      <w:r w:rsidR="00427468">
        <w:t xml:space="preserve"> of </w:t>
      </w:r>
      <w:r w:rsidRPr="001A3D2B">
        <w:t>authors is 3.3, maximum being 9;</w:t>
      </w:r>
      <w:r w:rsidR="003A1917">
        <w:t xml:space="preserve"> the </w:t>
      </w:r>
      <w:r w:rsidRPr="001A3D2B">
        <w:t>articles with three authors have</w:t>
      </w:r>
      <w:r w:rsidR="003A1917">
        <w:t xml:space="preserve"> the </w:t>
      </w:r>
      <w:r w:rsidRPr="001A3D2B">
        <w:t>highest percentage (23.1%)</w:t>
      </w:r>
      <w:r w:rsidR="00A37C1D">
        <w:t>. The</w:t>
      </w:r>
      <w:r w:rsidR="003A1917">
        <w:t xml:space="preserve"> </w:t>
      </w:r>
      <w:r w:rsidRPr="001A3D2B">
        <w:t>addresses</w:t>
      </w:r>
      <w:r w:rsidR="00427468">
        <w:t xml:space="preserve"> of </w:t>
      </w:r>
      <w:r w:rsidRPr="001A3D2B">
        <w:t>clinical institutions are most frequent (84), followed by scientific</w:t>
      </w:r>
      <w:r w:rsidR="005853A9">
        <w:t xml:space="preserve"> and </w:t>
      </w:r>
      <w:r w:rsidRPr="001A3D2B">
        <w:t>educational</w:t>
      </w:r>
      <w:r w:rsidR="005853A9">
        <w:t xml:space="preserve"> and </w:t>
      </w:r>
      <w:r w:rsidRPr="001A3D2B">
        <w:t>other (20),</w:t>
      </w:r>
      <w:r w:rsidR="005853A9">
        <w:t xml:space="preserve"> and </w:t>
      </w:r>
      <w:r w:rsidRPr="001A3D2B">
        <w:t>scientific ones (9). Authors from 35 countries have published their work in</w:t>
      </w:r>
      <w:r w:rsidR="003A1917">
        <w:t xml:space="preserve"> the </w:t>
      </w:r>
      <w:r w:rsidRPr="001A3D2B">
        <w:t>analyzed journal during</w:t>
      </w:r>
      <w:r w:rsidR="003A1917">
        <w:t xml:space="preserve"> the </w:t>
      </w:r>
      <w:r w:rsidRPr="001A3D2B">
        <w:t>observed period.</w:t>
      </w:r>
    </w:p>
    <w:p w:rsidR="002C66BA" w:rsidRPr="001A3D2B" w:rsidRDefault="002C66BA" w:rsidP="002C66BA">
      <w:pPr>
        <w:pStyle w:val="a3"/>
      </w:pPr>
      <w:r w:rsidRPr="001A3D2B">
        <w:t>Keywords: Bibliometrics, Journals, Publishing</w:t>
      </w:r>
    </w:p>
    <w:p w:rsidR="00AC039B" w:rsidRPr="001A3D2B" w:rsidRDefault="00AC039B" w:rsidP="00AC039B">
      <w:pPr>
        <w:pStyle w:val="a3"/>
      </w:pPr>
      <w:r w:rsidRPr="001A3D2B">
        <w:lastRenderedPageBreak/>
        <w:t>? Borić, V. (2008), Citation analysis</w:t>
      </w:r>
      <w:r w:rsidR="00427468">
        <w:t xml:space="preserve"> of </w:t>
      </w:r>
      <w:r w:rsidR="003A1917">
        <w:t xml:space="preserve">the </w:t>
      </w:r>
      <w:r w:rsidRPr="001A3D2B">
        <w:t>papers</w:t>
      </w:r>
      <w:r w:rsidR="00700038">
        <w:t>’</w:t>
      </w:r>
      <w:r w:rsidRPr="001A3D2B">
        <w:t xml:space="preserve"> published in </w:t>
      </w:r>
      <w:r w:rsidRPr="001A3D2B">
        <w:rPr>
          <w:i/>
          <w:iCs/>
        </w:rPr>
        <w:t>Acta Stomatologica Croatica</w:t>
      </w:r>
      <w:r w:rsidRPr="001A3D2B">
        <w:t xml:space="preserve"> using </w:t>
      </w:r>
      <w:r w:rsidR="00D5664A">
        <w:t>Web</w:t>
      </w:r>
      <w:r w:rsidR="00427468">
        <w:t xml:space="preserve"> of </w:t>
      </w:r>
      <w:r w:rsidR="00D5664A">
        <w:t>Science</w:t>
      </w:r>
      <w:r w:rsidRPr="001A3D2B">
        <w:t xml:space="preserve"> database. </w:t>
      </w:r>
      <w:r w:rsidRPr="001A3D2B">
        <w:rPr>
          <w:i/>
          <w:iCs/>
        </w:rPr>
        <w:t>Acta Stomatologica Croatica</w:t>
      </w:r>
      <w:r w:rsidRPr="001A3D2B">
        <w:t xml:space="preserve">, </w:t>
      </w:r>
      <w:r w:rsidRPr="001A3D2B">
        <w:rPr>
          <w:b/>
          <w:bCs/>
        </w:rPr>
        <w:t>42</w:t>
      </w:r>
      <w:r w:rsidRPr="001A3D2B">
        <w:t xml:space="preserve"> (2), 123-139.</w:t>
      </w:r>
    </w:p>
    <w:p w:rsidR="00AC039B" w:rsidRPr="001A3D2B" w:rsidRDefault="00AC039B" w:rsidP="00AC039B">
      <w:pPr>
        <w:pStyle w:val="a3"/>
      </w:pPr>
      <w:r w:rsidRPr="001A3D2B">
        <w:t xml:space="preserve">Full Text: </w:t>
      </w:r>
      <w:hyperlink r:id="rId213" w:history="1">
        <w:r w:rsidRPr="001A3D2B">
          <w:rPr>
            <w:rStyle w:val="a5"/>
          </w:rPr>
          <w:t>2008\Act Sto Cro42, 123.pdf</w:t>
        </w:r>
      </w:hyperlink>
    </w:p>
    <w:p w:rsidR="00AC039B" w:rsidRPr="001A3D2B" w:rsidRDefault="00AC039B" w:rsidP="00AC039B">
      <w:pPr>
        <w:pStyle w:val="a3"/>
      </w:pPr>
      <w:r w:rsidRPr="001A3D2B">
        <w:t>Abstracts: Bibliometric analysis</w:t>
      </w:r>
      <w:r w:rsidR="00427468">
        <w:t xml:space="preserve"> of </w:t>
      </w:r>
      <w:r w:rsidR="003A1917">
        <w:t xml:space="preserve">the </w:t>
      </w:r>
      <w:r w:rsidRPr="001A3D2B">
        <w:t>journal Acta stomatologica Croatica (ASCRO) was made for</w:t>
      </w:r>
      <w:r w:rsidR="003A1917">
        <w:t xml:space="preserve"> the </w:t>
      </w:r>
      <w:r w:rsidRPr="001A3D2B">
        <w:t>period</w:t>
      </w:r>
      <w:r w:rsidR="00427468">
        <w:t xml:space="preserve"> of </w:t>
      </w:r>
      <w:r w:rsidRPr="001A3D2B">
        <w:t>1966-2006. Purpose:</w:t>
      </w:r>
      <w:r w:rsidR="003A1917">
        <w:t xml:space="preserve"> the </w:t>
      </w:r>
      <w:r w:rsidRPr="001A3D2B">
        <w:t>research was to determine a degree</w:t>
      </w:r>
      <w:r w:rsidR="00427468">
        <w:t xml:space="preserve"> of </w:t>
      </w:r>
      <w:r w:rsidRPr="001A3D2B">
        <w:t>communicability</w:t>
      </w:r>
      <w:r w:rsidR="00427468">
        <w:t xml:space="preserve"> of </w:t>
      </w:r>
      <w:r w:rsidR="003A1917">
        <w:t xml:space="preserve">the </w:t>
      </w:r>
      <w:r w:rsidRPr="001A3D2B">
        <w:t>journal, i.e</w:t>
      </w:r>
      <w:r w:rsidR="00A37C1D">
        <w:t>. The</w:t>
      </w:r>
      <w:r w:rsidR="003A1917">
        <w:t xml:space="preserve"> </w:t>
      </w:r>
      <w:r w:rsidRPr="001A3D2B">
        <w:t>influence</w:t>
      </w:r>
      <w:r w:rsidR="00427468">
        <w:t xml:space="preserve"> of </w:t>
      </w:r>
      <w:r w:rsidR="003A1917">
        <w:t xml:space="preserve">the </w:t>
      </w:r>
      <w:r w:rsidRPr="001A3D2B">
        <w:t>papers published in</w:t>
      </w:r>
      <w:r w:rsidR="003A1917">
        <w:t xml:space="preserve"> the </w:t>
      </w:r>
      <w:r w:rsidRPr="001A3D2B">
        <w:t>journal on</w:t>
      </w:r>
      <w:r w:rsidR="003A1917">
        <w:t xml:space="preserve"> the </w:t>
      </w:r>
      <w:r w:rsidRPr="001A3D2B">
        <w:t>other papers</w:t>
      </w:r>
      <w:r w:rsidR="005853A9">
        <w:t xml:space="preserve"> and </w:t>
      </w:r>
      <w:r w:rsidRPr="001A3D2B">
        <w:t>scientists. Materials</w:t>
      </w:r>
      <w:r w:rsidR="005853A9">
        <w:t xml:space="preserve"> and </w:t>
      </w:r>
      <w:r w:rsidRPr="001A3D2B">
        <w:t>Methods: Citation analysis was conducted on a specimen acquired by browsing</w:t>
      </w:r>
      <w:r w:rsidR="003A1917">
        <w:t xml:space="preserve"> the </w:t>
      </w:r>
      <w:r w:rsidR="00D5664A">
        <w:t>Web</w:t>
      </w:r>
      <w:r w:rsidR="00427468">
        <w:t xml:space="preserve"> of </w:t>
      </w:r>
      <w:r w:rsidR="00D5664A">
        <w:t>Science</w:t>
      </w:r>
      <w:r w:rsidRPr="001A3D2B">
        <w:t xml:space="preserve"> (WoS) databases</w:t>
      </w:r>
      <w:r w:rsidR="005853A9">
        <w:t xml:space="preserve"> and </w:t>
      </w:r>
      <w:r w:rsidR="003A1917">
        <w:t xml:space="preserve">the </w:t>
      </w:r>
      <w:r w:rsidRPr="001A3D2B">
        <w:t>data were processed by descriptive statistics. Results:</w:t>
      </w:r>
      <w:r w:rsidR="003A1917">
        <w:t xml:space="preserve"> the </w:t>
      </w:r>
      <w:r w:rsidRPr="001A3D2B">
        <w:t>185 papers with a total</w:t>
      </w:r>
      <w:r w:rsidR="00427468">
        <w:t xml:space="preserve"> of </w:t>
      </w:r>
      <w:r w:rsidRPr="001A3D2B">
        <w:t>257 citations were singled out by a search. Each</w:t>
      </w:r>
      <w:r w:rsidR="00427468">
        <w:t xml:space="preserve"> of </w:t>
      </w:r>
      <w:r w:rsidR="003A1917">
        <w:t xml:space="preserve">the </w:t>
      </w:r>
      <w:r w:rsidRPr="001A3D2B">
        <w:t>cited papers has an average</w:t>
      </w:r>
      <w:r w:rsidR="00427468">
        <w:t xml:space="preserve"> of </w:t>
      </w:r>
      <w:r w:rsidRPr="001A3D2B">
        <w:t>1,4 citations. If we know that a total</w:t>
      </w:r>
      <w:r w:rsidR="00427468">
        <w:t xml:space="preserve"> of </w:t>
      </w:r>
      <w:r w:rsidRPr="001A3D2B">
        <w:t>1.273 papers have been published in</w:t>
      </w:r>
      <w:r w:rsidR="003A1917">
        <w:t xml:space="preserve"> the </w:t>
      </w:r>
      <w:r w:rsidRPr="001A3D2B">
        <w:t>journal, each paper has been cited 0,2 times on average. An analysis</w:t>
      </w:r>
      <w:r w:rsidR="00427468">
        <w:t xml:space="preserve"> of </w:t>
      </w:r>
      <w:r w:rsidR="003A1917">
        <w:t xml:space="preserve">the </w:t>
      </w:r>
      <w:r w:rsidRPr="001A3D2B">
        <w:t>errors has shown that in 50,2%</w:t>
      </w:r>
      <w:r w:rsidR="00427468">
        <w:t xml:space="preserve"> of </w:t>
      </w:r>
      <w:r w:rsidRPr="001A3D2B">
        <w:t>papers all</w:t>
      </w:r>
      <w:r w:rsidR="003A1917">
        <w:t xml:space="preserve"> the </w:t>
      </w:r>
      <w:r w:rsidRPr="001A3D2B">
        <w:t>elements</w:t>
      </w:r>
      <w:r w:rsidR="00427468">
        <w:t xml:space="preserve"> of </w:t>
      </w:r>
      <w:r w:rsidR="003A1917">
        <w:t xml:space="preserve">the </w:t>
      </w:r>
      <w:r w:rsidRPr="001A3D2B">
        <w:t>bibliographic record have been cited correctly</w:t>
      </w:r>
      <w:r w:rsidR="005853A9">
        <w:t xml:space="preserve"> and </w:t>
      </w:r>
      <w:r w:rsidRPr="001A3D2B">
        <w:t>a total</w:t>
      </w:r>
      <w:r w:rsidR="00427468">
        <w:t xml:space="preserve"> of </w:t>
      </w:r>
      <w:r w:rsidRPr="001A3D2B">
        <w:t>163 citation errors have been made. Most</w:t>
      </w:r>
      <w:r w:rsidR="00427468">
        <w:t xml:space="preserve"> of </w:t>
      </w:r>
      <w:r w:rsidR="003A1917">
        <w:t xml:space="preserve">the </w:t>
      </w:r>
      <w:r w:rsidRPr="001A3D2B">
        <w:t>errors (65%) are present in</w:t>
      </w:r>
      <w:r w:rsidR="003A1917">
        <w:t xml:space="preserve"> the </w:t>
      </w:r>
      <w:r w:rsidRPr="001A3D2B">
        <w:t>title</w:t>
      </w:r>
      <w:r w:rsidR="00427468">
        <w:t xml:space="preserve"> of </w:t>
      </w:r>
      <w:r w:rsidR="003A1917">
        <w:t xml:space="preserve">the </w:t>
      </w:r>
      <w:r w:rsidRPr="001A3D2B">
        <w:t>journal</w:t>
      </w:r>
      <w:r w:rsidR="00A37C1D">
        <w:t>. The</w:t>
      </w:r>
      <w:r w:rsidR="003A1917">
        <w:t xml:space="preserve"> </w:t>
      </w:r>
      <w:r w:rsidRPr="001A3D2B">
        <w:t>highest number</w:t>
      </w:r>
      <w:r w:rsidR="00427468">
        <w:t xml:space="preserve"> of </w:t>
      </w:r>
      <w:r w:rsidRPr="001A3D2B">
        <w:t>citations per paper is 5</w:t>
      </w:r>
      <w:r w:rsidR="00A37C1D">
        <w:t>. The</w:t>
      </w:r>
      <w:r w:rsidR="003A1917">
        <w:t xml:space="preserve"> </w:t>
      </w:r>
      <w:r w:rsidRPr="001A3D2B">
        <w:t>highest number</w:t>
      </w:r>
      <w:r w:rsidR="00427468">
        <w:t xml:space="preserve"> of </w:t>
      </w:r>
      <w:r w:rsidRPr="001A3D2B">
        <w:t>citations per year is 28, in</w:t>
      </w:r>
      <w:r w:rsidR="003A1917">
        <w:t xml:space="preserve"> the </w:t>
      </w:r>
      <w:r w:rsidRPr="001A3D2B">
        <w:t>year 1991</w:t>
      </w:r>
      <w:r w:rsidR="00A37C1D">
        <w:t>. The</w:t>
      </w:r>
      <w:r w:rsidR="003A1917">
        <w:t xml:space="preserve"> </w:t>
      </w:r>
      <w:r w:rsidRPr="001A3D2B">
        <w:t>division</w:t>
      </w:r>
      <w:r w:rsidR="00427468">
        <w:t xml:space="preserve"> of </w:t>
      </w:r>
      <w:r w:rsidR="003A1917">
        <w:t xml:space="preserve">the </w:t>
      </w:r>
      <w:r w:rsidRPr="001A3D2B">
        <w:t>citations by age</w:t>
      </w:r>
      <w:r w:rsidR="00427468">
        <w:t xml:space="preserve"> of </w:t>
      </w:r>
      <w:r w:rsidR="003A1917">
        <w:t xml:space="preserve">the </w:t>
      </w:r>
      <w:r w:rsidRPr="001A3D2B">
        <w:t>paper shows that a maximum</w:t>
      </w:r>
      <w:r w:rsidR="00427468">
        <w:t xml:space="preserve"> of </w:t>
      </w:r>
      <w:r w:rsidRPr="001A3D2B">
        <w:t>9,3% citations has been accomplished in</w:t>
      </w:r>
      <w:r w:rsidR="003A1917">
        <w:t xml:space="preserve"> the </w:t>
      </w:r>
      <w:r w:rsidRPr="001A3D2B">
        <w:t>3rd year</w:t>
      </w:r>
      <w:r w:rsidR="00427468">
        <w:t xml:space="preserve"> of </w:t>
      </w:r>
      <w:r w:rsidRPr="001A3D2B">
        <w:t>publishing</w:t>
      </w:r>
      <w:r w:rsidR="003A1917">
        <w:t xml:space="preserve"> the </w:t>
      </w:r>
      <w:r w:rsidRPr="001A3D2B">
        <w:t>paper, after which</w:t>
      </w:r>
      <w:r w:rsidR="003A1917">
        <w:t xml:space="preserve"> the </w:t>
      </w:r>
      <w:r w:rsidRPr="001A3D2B">
        <w:t>number</w:t>
      </w:r>
      <w:r w:rsidR="00427468">
        <w:t xml:space="preserve"> of </w:t>
      </w:r>
      <w:r w:rsidRPr="001A3D2B">
        <w:t>citations has decreased. ASCRO has been cited in 65 journals, mostly (44,7%) in Coll. Antropol. A total</w:t>
      </w:r>
      <w:r w:rsidR="00427468">
        <w:t xml:space="preserve"> of </w:t>
      </w:r>
      <w:r w:rsidRPr="001A3D2B">
        <w:t>60,7% self-citations has been registered</w:t>
      </w:r>
      <w:r w:rsidR="005853A9">
        <w:t xml:space="preserve"> and </w:t>
      </w:r>
      <w:r w:rsidRPr="001A3D2B">
        <w:t>21%</w:t>
      </w:r>
      <w:r w:rsidR="00427468">
        <w:t xml:space="preserve"> of </w:t>
      </w:r>
      <w:r w:rsidR="003A1917">
        <w:t xml:space="preserve">the </w:t>
      </w:r>
      <w:r w:rsidRPr="001A3D2B">
        <w:t>citations have been quoted by foreign authors only. Conclusions: It is fi nally possible to determine that we should not be content with</w:t>
      </w:r>
      <w:r w:rsidR="003A1917">
        <w:t xml:space="preserve"> the </w:t>
      </w:r>
      <w:r w:rsidRPr="001A3D2B">
        <w:t>present level</w:t>
      </w:r>
      <w:r w:rsidR="00427468">
        <w:t xml:space="preserve"> of </w:t>
      </w:r>
      <w:r w:rsidRPr="001A3D2B">
        <w:t>infl uence</w:t>
      </w:r>
      <w:r w:rsidR="00427468">
        <w:t xml:space="preserve"> of </w:t>
      </w:r>
      <w:r w:rsidRPr="001A3D2B">
        <w:t>ASCRO to</w:t>
      </w:r>
      <w:r w:rsidR="003A1917">
        <w:t xml:space="preserve"> the </w:t>
      </w:r>
      <w:r w:rsidRPr="001A3D2B">
        <w:t>domestic</w:t>
      </w:r>
      <w:r w:rsidR="005853A9">
        <w:t xml:space="preserve"> and </w:t>
      </w:r>
      <w:r w:rsidRPr="001A3D2B">
        <w:t>foreign scientifi c community</w:t>
      </w:r>
      <w:r w:rsidR="00A37C1D">
        <w:t>. The</w:t>
      </w:r>
      <w:r w:rsidR="003A1917">
        <w:t xml:space="preserve"> </w:t>
      </w:r>
      <w:r w:rsidRPr="001A3D2B">
        <w:t>analysis shows a relatively modest total number</w:t>
      </w:r>
      <w:r w:rsidR="00427468">
        <w:t xml:space="preserve"> of </w:t>
      </w:r>
      <w:r w:rsidRPr="001A3D2B">
        <w:t>citations, a large number</w:t>
      </w:r>
      <w:r w:rsidR="00427468">
        <w:t xml:space="preserve"> of </w:t>
      </w:r>
      <w:r w:rsidRPr="001A3D2B">
        <w:t>self-citation</w:t>
      </w:r>
      <w:r w:rsidR="005853A9">
        <w:t xml:space="preserve"> and </w:t>
      </w:r>
      <w:r w:rsidRPr="001A3D2B">
        <w:t>a small share</w:t>
      </w:r>
      <w:r w:rsidR="00427468">
        <w:t xml:space="preserve"> of </w:t>
      </w:r>
      <w:r w:rsidR="003A1917">
        <w:t xml:space="preserve">the </w:t>
      </w:r>
      <w:r w:rsidRPr="001A3D2B">
        <w:t>foreign authors</w:t>
      </w:r>
      <w:r w:rsidR="00700038">
        <w:t>’</w:t>
      </w:r>
      <w:r w:rsidRPr="001A3D2B">
        <w:t xml:space="preserve"> citations which doesn</w:t>
      </w:r>
      <w:r w:rsidR="00700038">
        <w:t>’</w:t>
      </w:r>
      <w:r w:rsidRPr="001A3D2B">
        <w:t>t contribute to</w:t>
      </w:r>
      <w:r w:rsidR="003A1917">
        <w:t xml:space="preserve"> the </w:t>
      </w:r>
      <w:r w:rsidRPr="001A3D2B">
        <w:t>communicability</w:t>
      </w:r>
      <w:r w:rsidR="00427468">
        <w:t xml:space="preserve"> of </w:t>
      </w:r>
      <w:r w:rsidR="003A1917">
        <w:t xml:space="preserve">the </w:t>
      </w:r>
      <w:r w:rsidRPr="001A3D2B">
        <w:t>journal on</w:t>
      </w:r>
      <w:r w:rsidR="003A1917">
        <w:t xml:space="preserve"> the </w:t>
      </w:r>
      <w:r w:rsidRPr="001A3D2B">
        <w:t>worldwide level. Excellence needs to be set as a general goal. In order to achieve that,</w:t>
      </w:r>
      <w:r w:rsidR="003A1917">
        <w:t xml:space="preserve"> the </w:t>
      </w:r>
      <w:r w:rsidRPr="001A3D2B">
        <w:t>level</w:t>
      </w:r>
      <w:r w:rsidR="00427468">
        <w:t xml:space="preserve"> of </w:t>
      </w:r>
      <w:r w:rsidRPr="001A3D2B">
        <w:t>quality</w:t>
      </w:r>
      <w:r w:rsidR="00427468">
        <w:t xml:space="preserve"> of </w:t>
      </w:r>
      <w:r w:rsidRPr="001A3D2B">
        <w:t>all</w:t>
      </w:r>
      <w:r w:rsidR="00427468">
        <w:t xml:space="preserve"> of </w:t>
      </w:r>
      <w:r w:rsidRPr="001A3D2B">
        <w:t>its segments needs to be elevated in a complex process</w:t>
      </w:r>
      <w:r w:rsidR="00427468">
        <w:t xml:space="preserve"> of </w:t>
      </w:r>
      <w:r w:rsidRPr="001A3D2B">
        <w:t>publishing a scientific journal, especially excellence</w:t>
      </w:r>
      <w:r w:rsidR="00427468">
        <w:t xml:space="preserve"> of </w:t>
      </w:r>
      <w:r w:rsidRPr="001A3D2B">
        <w:t>published papers.</w:t>
      </w:r>
    </w:p>
    <w:p w:rsidR="00AC039B" w:rsidRPr="001A3D2B" w:rsidRDefault="00AC039B" w:rsidP="00AC039B">
      <w:pPr>
        <w:pStyle w:val="a3"/>
      </w:pPr>
      <w:r w:rsidRPr="001A3D2B">
        <w:t>Keywords: Periodicals as Topic, Bibliometrics, Citation Analysis, Self-Citations</w:t>
      </w:r>
    </w:p>
    <w:p w:rsidR="003474F2" w:rsidRPr="001A3D2B" w:rsidRDefault="003474F2" w:rsidP="003474F2">
      <w:pPr>
        <w:pStyle w:val="1"/>
      </w:pPr>
      <w:r w:rsidRPr="001A3D2B">
        <w:br w:type="page"/>
      </w:r>
      <w:bookmarkStart w:id="104" w:name="_Toc490687563"/>
      <w:bookmarkStart w:id="105" w:name="_Toc492777807"/>
      <w:bookmarkStart w:id="106" w:name="_Toc159551192"/>
      <w:bookmarkStart w:id="107" w:name="_Toc420814293"/>
      <w:r w:rsidRPr="001A3D2B">
        <w:lastRenderedPageBreak/>
        <w:t>Title: Acta Tropica</w:t>
      </w:r>
      <w:bookmarkEnd w:id="104"/>
      <w:bookmarkEnd w:id="105"/>
      <w:bookmarkEnd w:id="106"/>
      <w:bookmarkEnd w:id="107"/>
    </w:p>
    <w:p w:rsidR="003474F2" w:rsidRPr="001A3D2B" w:rsidRDefault="003474F2" w:rsidP="003474F2">
      <w:pPr>
        <w:pStyle w:val="12"/>
      </w:pPr>
      <w:r w:rsidRPr="001A3D2B">
        <w:t xml:space="preserve">Full Journal Title: </w:t>
      </w:r>
      <w:hyperlink r:id="rId214" w:history="1">
        <w:r w:rsidRPr="001A3D2B">
          <w:rPr>
            <w:rStyle w:val="a5"/>
          </w:rPr>
          <w:t>Acta Tropica</w:t>
        </w:r>
      </w:hyperlink>
    </w:p>
    <w:p w:rsidR="003474F2" w:rsidRPr="001A3D2B" w:rsidRDefault="003474F2" w:rsidP="003474F2">
      <w:pPr>
        <w:pStyle w:val="12"/>
      </w:pPr>
      <w:r w:rsidRPr="001A3D2B">
        <w:t>ISO Abbreviated Title: Acta Trop.</w:t>
      </w:r>
    </w:p>
    <w:p w:rsidR="003474F2" w:rsidRPr="001A3D2B" w:rsidRDefault="003474F2" w:rsidP="003474F2">
      <w:pPr>
        <w:pStyle w:val="12"/>
      </w:pPr>
      <w:r w:rsidRPr="001A3D2B">
        <w:t>JCR Abbreviated Title: Acta Trop</w:t>
      </w:r>
    </w:p>
    <w:p w:rsidR="003474F2" w:rsidRPr="001A3D2B" w:rsidRDefault="003474F2" w:rsidP="003474F2">
      <w:pPr>
        <w:pStyle w:val="12"/>
      </w:pPr>
      <w:r w:rsidRPr="001A3D2B">
        <w:t>ISSN: 0001-706X</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Switzerland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Street">
        <w:smartTag w:uri="urn:schemas-microsoft-com:office:smarttags" w:element="address">
          <w:r w:rsidRPr="001A3D2B">
            <w:t>Elsevier Science BV</w:t>
          </w:r>
        </w:smartTag>
      </w:smartTag>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211</w:t>
        </w:r>
      </w:smartTag>
      <w:r w:rsidRPr="001A3D2B">
        <w:t xml:space="preserve">, 1000 AE </w:t>
      </w:r>
      <w:smartTag w:uri="urn:schemas-microsoft-com:office:smarttags" w:element="place">
        <w:smartTag w:uri="urn:schemas-microsoft-com:office:smarttags" w:element="City">
          <w:r w:rsidRPr="001A3D2B">
            <w:t>Amsterdam</w:t>
          </w:r>
        </w:smartTag>
        <w:r w:rsidRPr="001A3D2B">
          <w:t xml:space="preserve">, </w:t>
        </w:r>
        <w:smartTag w:uri="urn:schemas-microsoft-com:office:smarttags" w:element="country-region">
          <w:r w:rsidRPr="001A3D2B">
            <w:t>Netherlands</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Parasitology Tropical Medicine: Impact Factor </w:t>
      </w:r>
    </w:p>
    <w:p w:rsidR="003474F2" w:rsidRPr="001A3D2B" w:rsidRDefault="003474F2" w:rsidP="003474F2">
      <w:pPr>
        <w:pStyle w:val="a3"/>
      </w:pPr>
      <w:r w:rsidRPr="001A3D2B">
        <w:t xml:space="preserve">Notes: </w:t>
      </w:r>
      <w:r w:rsidR="003139B3">
        <w:rPr>
          <w:rFonts w:hint="eastAsia"/>
        </w:rPr>
        <w:t>FField</w:t>
      </w:r>
      <w:r w:rsidRPr="001A3D2B">
        <w:t>, TTrend</w:t>
      </w:r>
    </w:p>
    <w:p w:rsidR="003474F2" w:rsidRPr="001A3D2B" w:rsidRDefault="003474F2" w:rsidP="003474F2">
      <w:pPr>
        <w:pStyle w:val="a3"/>
      </w:pPr>
      <w:r w:rsidRPr="001A3D2B">
        <w:t>? Falagas, M.E., Karavasiou, A.I.</w:t>
      </w:r>
      <w:r w:rsidR="005853A9">
        <w:t xml:space="preserve"> and </w:t>
      </w:r>
      <w:r w:rsidRPr="001A3D2B">
        <w:t>Bliziotis, I.A. (2006), A bibliometric analysis</w:t>
      </w:r>
      <w:r w:rsidR="00427468">
        <w:t xml:space="preserve"> of </w:t>
      </w:r>
      <w:r w:rsidRPr="001A3D2B">
        <w:t>global trends</w:t>
      </w:r>
      <w:r w:rsidR="00427468">
        <w:t xml:space="preserve"> of </w:t>
      </w:r>
      <w:r w:rsidRPr="001A3D2B">
        <w:t xml:space="preserve">research productivity in tropical medicine. </w:t>
      </w:r>
      <w:r w:rsidRPr="001A3D2B">
        <w:rPr>
          <w:i/>
        </w:rPr>
        <w:t>Acta Tropica</w:t>
      </w:r>
      <w:r w:rsidRPr="001A3D2B">
        <w:t xml:space="preserve">, </w:t>
      </w:r>
      <w:r w:rsidRPr="001A3D2B">
        <w:rPr>
          <w:b/>
        </w:rPr>
        <w:t>99</w:t>
      </w:r>
      <w:r w:rsidRPr="001A3D2B">
        <w:t xml:space="preserve"> (2-3), 155-159.</w:t>
      </w:r>
    </w:p>
    <w:p w:rsidR="003474F2" w:rsidRPr="001A3D2B" w:rsidRDefault="003474F2" w:rsidP="003474F2">
      <w:pPr>
        <w:pStyle w:val="a3"/>
      </w:pPr>
      <w:r w:rsidRPr="001A3D2B">
        <w:t xml:space="preserve">Full Text: </w:t>
      </w:r>
      <w:hyperlink r:id="rId215" w:history="1">
        <w:r w:rsidRPr="001A3D2B">
          <w:rPr>
            <w:rStyle w:val="a5"/>
          </w:rPr>
          <w:t>2006\Act Tro99, 155.pdf</w:t>
        </w:r>
      </w:hyperlink>
    </w:p>
    <w:p w:rsidR="003474F2" w:rsidRPr="001A3D2B" w:rsidRDefault="003474F2" w:rsidP="003474F2">
      <w:pPr>
        <w:pStyle w:val="a3"/>
      </w:pPr>
      <w:r w:rsidRPr="001A3D2B">
        <w:t>Abstract:</w:t>
      </w:r>
      <w:r w:rsidR="003A1917">
        <w:t xml:space="preserve"> the </w:t>
      </w:r>
      <w:r w:rsidRPr="001A3D2B">
        <w:t>field</w:t>
      </w:r>
      <w:r w:rsidR="00427468">
        <w:t xml:space="preserve"> of </w:t>
      </w:r>
      <w:r w:rsidRPr="001A3D2B">
        <w:t>tropical medicine has a long history due to</w:t>
      </w:r>
      <w:r w:rsidR="003A1917">
        <w:t xml:space="preserve"> the </w:t>
      </w:r>
      <w:r w:rsidRPr="001A3D2B">
        <w:t>significance</w:t>
      </w:r>
      <w:r w:rsidR="00427468">
        <w:t xml:space="preserve"> of </w:t>
      </w:r>
      <w:r w:rsidR="003A1917">
        <w:t xml:space="preserve">the </w:t>
      </w:r>
      <w:r w:rsidRPr="001A3D2B">
        <w:t>relevant diseases for</w:t>
      </w:r>
      <w:r w:rsidR="003A1917">
        <w:t xml:space="preserve"> the </w:t>
      </w:r>
      <w:r w:rsidRPr="001A3D2B">
        <w:t>humanity. We estimated</w:t>
      </w:r>
      <w:r w:rsidR="003A1917">
        <w:t xml:space="preserve"> the </w:t>
      </w:r>
      <w:r w:rsidRPr="001A3D2B">
        <w:t>contribution</w:t>
      </w:r>
      <w:r w:rsidR="00427468">
        <w:t xml:space="preserve"> of </w:t>
      </w:r>
      <w:r w:rsidRPr="001A3D2B">
        <w:t>different world regions to research published in</w:t>
      </w:r>
      <w:r w:rsidR="003A1917">
        <w:t xml:space="preserve"> the </w:t>
      </w:r>
      <w:r w:rsidRPr="001A3D2B">
        <w:t>main journals</w:t>
      </w:r>
      <w:r w:rsidR="00427468">
        <w:t xml:space="preserve"> of </w:t>
      </w:r>
      <w:r w:rsidRPr="001A3D2B">
        <w:t>tropical medicine. Using</w:t>
      </w:r>
      <w:r w:rsidR="003A1917">
        <w:t xml:space="preserve"> the </w:t>
      </w:r>
      <w:r w:rsidR="002C12F0">
        <w:t>PUBMED</w:t>
      </w:r>
      <w:r w:rsidR="005853A9">
        <w:t xml:space="preserve"> and </w:t>
      </w:r>
      <w:r w:rsidR="003A1917">
        <w:t xml:space="preserve">the </w:t>
      </w:r>
      <w:r w:rsidRPr="001A3D2B">
        <w:t xml:space="preserve">Institute for Scientific Information (ISI) </w:t>
      </w:r>
      <w:r w:rsidR="00700038">
        <w:t>‘</w:t>
      </w:r>
      <w:r w:rsidR="00D5664A">
        <w:t>Web</w:t>
      </w:r>
      <w:r w:rsidR="00427468">
        <w:t xml:space="preserve"> of </w:t>
      </w:r>
      <w:r w:rsidR="00D5664A">
        <w:t>Science</w:t>
      </w:r>
      <w:r w:rsidR="00700038">
        <w:t>’</w:t>
      </w:r>
      <w:r w:rsidRPr="001A3D2B">
        <w:t xml:space="preserve"> databases, we retrieved articles from 12 journals included in</w:t>
      </w:r>
      <w:r w:rsidR="003A1917">
        <w:t xml:space="preserve"> the </w:t>
      </w:r>
      <w:r w:rsidR="00700038">
        <w:t>‘</w:t>
      </w:r>
      <w:r w:rsidRPr="001A3D2B">
        <w:t>Tropical Medicine</w:t>
      </w:r>
      <w:r w:rsidR="00700038">
        <w:t>’</w:t>
      </w:r>
      <w:r w:rsidRPr="001A3D2B">
        <w:t xml:space="preserve"> category</w:t>
      </w:r>
      <w:r w:rsidR="00427468">
        <w:t xml:space="preserve"> of </w:t>
      </w:r>
      <w:r w:rsidR="003A1917">
        <w:t xml:space="preserve">the </w:t>
      </w:r>
      <w:r w:rsidR="00700038">
        <w:t>‘</w:t>
      </w:r>
      <w:r w:rsidRPr="001A3D2B">
        <w:t>Journal Citation Reports</w:t>
      </w:r>
      <w:r w:rsidR="00700038">
        <w:t>’</w:t>
      </w:r>
      <w:r w:rsidRPr="001A3D2B">
        <w:t xml:space="preserve"> database</w:t>
      </w:r>
      <w:r w:rsidR="00427468">
        <w:t xml:space="preserve"> of </w:t>
      </w:r>
      <w:r w:rsidRPr="001A3D2B">
        <w:t>ISI for</w:t>
      </w:r>
      <w:r w:rsidR="003A1917">
        <w:t xml:space="preserve"> the </w:t>
      </w:r>
      <w:r w:rsidRPr="001A3D2B">
        <w:t>period 1995–2003. Data on</w:t>
      </w:r>
      <w:r w:rsidR="003A1917">
        <w:t xml:space="preserve"> the </w:t>
      </w:r>
      <w:r w:rsidRPr="001A3D2B">
        <w:t>country</w:t>
      </w:r>
      <w:r w:rsidR="00427468">
        <w:t xml:space="preserve"> of </w:t>
      </w:r>
      <w:r w:rsidRPr="001A3D2B">
        <w:t>origin</w:t>
      </w:r>
      <w:r w:rsidR="00427468">
        <w:t xml:space="preserve"> of </w:t>
      </w:r>
      <w:r w:rsidR="003A1917">
        <w:t xml:space="preserve">the </w:t>
      </w:r>
      <w:r w:rsidRPr="001A3D2B">
        <w:t xml:space="preserve">research were available for 11,860 articles in </w:t>
      </w:r>
      <w:r w:rsidR="002C12F0">
        <w:t>PUBMED</w:t>
      </w:r>
      <w:r w:rsidRPr="001A3D2B">
        <w:t xml:space="preserve"> (98.1%</w:t>
      </w:r>
      <w:r w:rsidR="00427468">
        <w:t xml:space="preserve"> of </w:t>
      </w:r>
      <w:r w:rsidRPr="001A3D2B">
        <w:t>all articles from</w:t>
      </w:r>
      <w:r w:rsidR="003A1917">
        <w:t xml:space="preserve"> the </w:t>
      </w:r>
      <w:r w:rsidRPr="001A3D2B">
        <w:t>tropical medicine category)</w:t>
      </w:r>
      <w:r w:rsidR="00A37C1D">
        <w:t>. The</w:t>
      </w:r>
      <w:r w:rsidR="003A1917">
        <w:t xml:space="preserve"> </w:t>
      </w:r>
      <w:r w:rsidRPr="001A3D2B">
        <w:t>contribution</w:t>
      </w:r>
      <w:r w:rsidR="00427468">
        <w:t xml:space="preserve"> of </w:t>
      </w:r>
      <w:r w:rsidRPr="001A3D2B">
        <w:t>different world regions during</w:t>
      </w:r>
      <w:r w:rsidR="003A1917">
        <w:t xml:space="preserve"> the </w:t>
      </w:r>
      <w:r w:rsidRPr="001A3D2B">
        <w:t>studied period, as estimated by</w:t>
      </w:r>
      <w:r w:rsidR="003A1917">
        <w:t xml:space="preserve"> the </w:t>
      </w:r>
      <w:r w:rsidRPr="001A3D2B">
        <w:t>location</w:t>
      </w:r>
      <w:r w:rsidR="00427468">
        <w:t xml:space="preserve"> of </w:t>
      </w:r>
      <w:r w:rsidR="003A1917">
        <w:t xml:space="preserve">the </w:t>
      </w:r>
      <w:r w:rsidRPr="001A3D2B">
        <w:t>affiliation</w:t>
      </w:r>
      <w:r w:rsidR="00427468">
        <w:t xml:space="preserve"> of </w:t>
      </w:r>
      <w:r w:rsidR="003A1917">
        <w:t xml:space="preserve">the </w:t>
      </w:r>
      <w:r w:rsidRPr="001A3D2B">
        <w:t>first author, was: Western Europe 22.7%, Africa 20.9%, Latin America</w:t>
      </w:r>
      <w:r w:rsidR="005853A9">
        <w:t xml:space="preserve"> and </w:t>
      </w:r>
      <w:r w:rsidR="003A1917">
        <w:t xml:space="preserve">the </w:t>
      </w:r>
      <w:r w:rsidRPr="001A3D2B">
        <w:t xml:space="preserve">Caribbean 20.7%, Asia (excluding </w:t>
      </w:r>
      <w:smartTag w:uri="urn:schemas-microsoft-com:office:smarttags" w:element="country-region">
        <w:r w:rsidRPr="001A3D2B">
          <w:t>Japan</w:t>
        </w:r>
      </w:smartTag>
      <w:r w:rsidRPr="001A3D2B">
        <w:t xml:space="preserve">) 19.8%, </w:t>
      </w:r>
      <w:r w:rsidR="00D5664A">
        <w:t>USA</w:t>
      </w:r>
      <w:r w:rsidRPr="001A3D2B">
        <w:t xml:space="preserve"> 10.6%, Oceania 2.1%, </w:t>
      </w:r>
      <w:smartTag w:uri="urn:schemas-microsoft-com:office:smarttags" w:element="country-region">
        <w:r w:rsidRPr="001A3D2B">
          <w:t>Japan</w:t>
        </w:r>
      </w:smartTag>
      <w:r w:rsidRPr="001A3D2B">
        <w:t xml:space="preserve"> 1.5%, Eastern Europe 1.3%,</w:t>
      </w:r>
      <w:r w:rsidR="005853A9">
        <w:t xml:space="preserve"> and </w:t>
      </w:r>
      <w:r w:rsidRPr="001A3D2B">
        <w:t>Canada 0.6%</w:t>
      </w:r>
      <w:r w:rsidR="00A37C1D">
        <w:t>. The</w:t>
      </w:r>
      <w:r w:rsidR="003A1917">
        <w:t xml:space="preserve"> </w:t>
      </w:r>
      <w:r w:rsidRPr="001A3D2B">
        <w:t>contribution</w:t>
      </w:r>
      <w:r w:rsidR="00427468">
        <w:t xml:space="preserve"> of </w:t>
      </w:r>
      <w:r w:rsidRPr="001A3D2B">
        <w:t>regions, estimated by</w:t>
      </w:r>
      <w:r w:rsidR="003A1917">
        <w:t xml:space="preserve"> the </w:t>
      </w:r>
      <w:r w:rsidRPr="001A3D2B">
        <w:t>location</w:t>
      </w:r>
      <w:r w:rsidR="00427468">
        <w:t xml:space="preserve"> of </w:t>
      </w:r>
      <w:r w:rsidR="003A1917">
        <w:t xml:space="preserve">the </w:t>
      </w:r>
      <w:r w:rsidRPr="001A3D2B">
        <w:t>affiliation</w:t>
      </w:r>
      <w:r w:rsidR="00427468">
        <w:t xml:space="preserve"> of </w:t>
      </w:r>
      <w:r w:rsidRPr="001A3D2B">
        <w:t>at least one author</w:t>
      </w:r>
      <w:r w:rsidR="00427468">
        <w:t xml:space="preserve"> of </w:t>
      </w:r>
      <w:r w:rsidR="003A1917">
        <w:t xml:space="preserve">the </w:t>
      </w:r>
      <w:r w:rsidRPr="001A3D2B">
        <w:t>published papers (retrieved from</w:t>
      </w:r>
      <w:r w:rsidR="003A1917">
        <w:t xml:space="preserve"> the </w:t>
      </w:r>
      <w:r w:rsidRPr="001A3D2B">
        <w:t>ISI database), was similar: Western Europe 36.6%, Africa 27.7%, Latin America</w:t>
      </w:r>
      <w:r w:rsidR="005853A9">
        <w:t xml:space="preserve"> and </w:t>
      </w:r>
      <w:r w:rsidR="003A1917">
        <w:t xml:space="preserve">the </w:t>
      </w:r>
      <w:r w:rsidRPr="001A3D2B">
        <w:t>Caribbean 24.4%,</w:t>
      </w:r>
      <w:r w:rsidR="005853A9">
        <w:t xml:space="preserve"> and </w:t>
      </w:r>
      <w:r w:rsidRPr="001A3D2B">
        <w:t>Asia 23.3%</w:t>
      </w:r>
      <w:r w:rsidR="00A37C1D">
        <w:t>. The</w:t>
      </w:r>
      <w:r w:rsidR="003A1917">
        <w:t xml:space="preserve"> </w:t>
      </w:r>
      <w:r w:rsidRPr="001A3D2B">
        <w:t>mean impact factor</w:t>
      </w:r>
      <w:r w:rsidR="00427468">
        <w:t xml:space="preserve"> of </w:t>
      </w:r>
      <w:r w:rsidRPr="001A3D2B">
        <w:t>articles published in tropical medicine journals was highest for</w:t>
      </w:r>
      <w:r w:rsidR="003A1917">
        <w:t xml:space="preserve"> the </w:t>
      </w:r>
      <w:r w:rsidR="00D5664A">
        <w:t>USA</w:t>
      </w:r>
      <w:r w:rsidRPr="001A3D2B">
        <w:t xml:space="preserve"> (1.65). Our analysis suggests that</w:t>
      </w:r>
      <w:r w:rsidR="003A1917">
        <w:t xml:space="preserve"> the </w:t>
      </w:r>
      <w:r w:rsidRPr="001A3D2B">
        <w:t>developing areas</w:t>
      </w:r>
      <w:r w:rsidR="00427468">
        <w:t xml:space="preserve"> of </w:t>
      </w:r>
      <w:r w:rsidR="003A1917">
        <w:t xml:space="preserve">the </w:t>
      </w:r>
      <w:r w:rsidRPr="001A3D2B">
        <w:t>world produce a considerable amount</w:t>
      </w:r>
      <w:r w:rsidR="00427468">
        <w:t xml:space="preserve"> of </w:t>
      </w:r>
      <w:r w:rsidRPr="001A3D2B">
        <w:t>research in tropical medicine; however, given</w:t>
      </w:r>
      <w:r w:rsidR="003A1917">
        <w:t xml:space="preserve"> the </w:t>
      </w:r>
      <w:r w:rsidRPr="001A3D2B">
        <w:t>specific geographic distribution</w:t>
      </w:r>
      <w:r w:rsidR="00427468">
        <w:t xml:space="preserve"> of </w:t>
      </w:r>
      <w:r w:rsidRPr="001A3D2B">
        <w:t>tropical diseases they probably still need help by</w:t>
      </w:r>
      <w:r w:rsidR="003A1917">
        <w:t xml:space="preserve"> the </w:t>
      </w:r>
      <w:r w:rsidRPr="001A3D2B">
        <w:t>developed nations to produce more research in this field.</w:t>
      </w:r>
    </w:p>
    <w:p w:rsidR="003474F2" w:rsidRPr="001A3D2B" w:rsidRDefault="003474F2" w:rsidP="003474F2">
      <w:pPr>
        <w:pStyle w:val="a3"/>
      </w:pPr>
      <w:r w:rsidRPr="001A3D2B">
        <w:lastRenderedPageBreak/>
        <w:t>Keywords: 10 : 90 GAP, Africa, Analysis, Articles, Asia, Bibliometric, Bibliometric Analysis, Bibliometrics, Canada, Caribbean, Countries, Databases, Diseases, Distribution, Eastern Europe, Europe, Global, History, Impact, Impact Factor, Indexes, Institute for Scientific Information, International Representation</w:t>
      </w:r>
      <w:r w:rsidR="00D5664A">
        <w:t>, ISI,</w:t>
      </w:r>
      <w:r w:rsidRPr="001A3D2B">
        <w:t xml:space="preserve"> Japan, Journals, Latin America, Location, Medicine, Productivity, Publication, Research, Research</w:t>
      </w:r>
      <w:r w:rsidR="005853A9">
        <w:t xml:space="preserve"> and </w:t>
      </w:r>
      <w:r w:rsidRPr="001A3D2B">
        <w:t xml:space="preserve">Development, Research Collaboration, Research Productivity, Science, Trends, Tropical Medicine Literature, </w:t>
      </w:r>
      <w:r w:rsidR="00D5664A">
        <w:t>USA</w:t>
      </w:r>
      <w:r w:rsidRPr="001A3D2B">
        <w:t>, World</w:t>
      </w:r>
    </w:p>
    <w:p w:rsidR="003474F2" w:rsidRPr="001A3D2B" w:rsidRDefault="003474F2" w:rsidP="003474F2">
      <w:pPr>
        <w:pStyle w:val="a3"/>
      </w:pPr>
      <w:r w:rsidRPr="001A3D2B">
        <w:t>Notes: TTopic</w:t>
      </w:r>
    </w:p>
    <w:p w:rsidR="003474F2" w:rsidRPr="001A3D2B" w:rsidRDefault="003474F2" w:rsidP="003474F2">
      <w:pPr>
        <w:pStyle w:val="a3"/>
        <w:rPr>
          <w:rStyle w:val="a4"/>
        </w:rPr>
      </w:pPr>
      <w:r w:rsidRPr="001A3D2B">
        <w:t>? Lewison, G.</w:t>
      </w:r>
      <w:r w:rsidR="005853A9">
        <w:t xml:space="preserve"> and </w:t>
      </w:r>
      <w:r w:rsidRPr="001A3D2B">
        <w:t>Srivastava, D. (2008), Malaria research, 1980-2004,</w:t>
      </w:r>
      <w:r w:rsidR="005853A9">
        <w:t xml:space="preserve"> and </w:t>
      </w:r>
      <w:r w:rsidR="003A1917">
        <w:t xml:space="preserve">the </w:t>
      </w:r>
      <w:r w:rsidRPr="001A3D2B">
        <w:t>burden</w:t>
      </w:r>
      <w:r w:rsidR="00427468">
        <w:t xml:space="preserve"> of </w:t>
      </w:r>
      <w:r w:rsidRPr="001A3D2B">
        <w:t xml:space="preserve">disease. </w:t>
      </w:r>
      <w:r w:rsidRPr="001A3D2B">
        <w:rPr>
          <w:i/>
          <w:iCs/>
        </w:rPr>
        <w:t>Acta Tropica</w:t>
      </w:r>
      <w:r w:rsidRPr="001A3D2B">
        <w:rPr>
          <w:rStyle w:val="a4"/>
        </w:rPr>
        <w:t xml:space="preserve">, </w:t>
      </w:r>
      <w:r w:rsidRPr="001A3D2B">
        <w:rPr>
          <w:b/>
          <w:bCs/>
        </w:rPr>
        <w:t>106</w:t>
      </w:r>
      <w:r w:rsidRPr="001A3D2B">
        <w:rPr>
          <w:rStyle w:val="a4"/>
        </w:rPr>
        <w:t xml:space="preserve"> (2), 96-103.</w:t>
      </w:r>
    </w:p>
    <w:p w:rsidR="003474F2" w:rsidRPr="001A3D2B" w:rsidRDefault="003474F2" w:rsidP="003474F2">
      <w:pPr>
        <w:pStyle w:val="a3"/>
      </w:pPr>
      <w:r w:rsidRPr="001A3D2B">
        <w:t xml:space="preserve">Full Text: </w:t>
      </w:r>
      <w:hyperlink r:id="rId216" w:history="1">
        <w:r w:rsidRPr="001A3D2B">
          <w:rPr>
            <w:rStyle w:val="a5"/>
          </w:rPr>
          <w:t>2008\Act Tro106, 96.pdf</w:t>
        </w:r>
      </w:hyperlink>
    </w:p>
    <w:p w:rsidR="003474F2" w:rsidRPr="001A3D2B" w:rsidRDefault="003474F2" w:rsidP="003474F2">
      <w:pPr>
        <w:pStyle w:val="a3"/>
      </w:pPr>
      <w:r w:rsidRPr="001A3D2B">
        <w:t>Abstract: Malaria is estimated to cause about 1.6%</w:t>
      </w:r>
      <w:r w:rsidR="00427468">
        <w:t xml:space="preserve"> of </w:t>
      </w:r>
      <w:r w:rsidR="003A1917">
        <w:t xml:space="preserve">the </w:t>
      </w:r>
      <w:r w:rsidRPr="001A3D2B">
        <w:t>57 million deaths occurring annually</w:t>
      </w:r>
      <w:r w:rsidR="005853A9">
        <w:t xml:space="preserve"> and </w:t>
      </w:r>
      <w:r w:rsidRPr="001A3D2B">
        <w:t>2.3%</w:t>
      </w:r>
      <w:r w:rsidR="00427468">
        <w:t xml:space="preserve"> of </w:t>
      </w:r>
      <w:r w:rsidR="003A1917">
        <w:t xml:space="preserve">the </w:t>
      </w:r>
      <w:r w:rsidRPr="001A3D2B">
        <w:t>disease burden. However, it accounts for only about 0.4%</w:t>
      </w:r>
      <w:r w:rsidR="00427468">
        <w:t xml:space="preserve"> of </w:t>
      </w:r>
      <w:r w:rsidRPr="001A3D2B">
        <w:t>world biomedical research,</w:t>
      </w:r>
      <w:r w:rsidR="005853A9">
        <w:t xml:space="preserve"> and </w:t>
      </w:r>
      <w:r w:rsidRPr="001A3D2B">
        <w:t>this percentage is barely changing. Most</w:t>
      </w:r>
      <w:r w:rsidR="00427468">
        <w:t xml:space="preserve"> of </w:t>
      </w:r>
      <w:r w:rsidR="003A1917">
        <w:t xml:space="preserve">the </w:t>
      </w:r>
      <w:r w:rsidRPr="001A3D2B">
        <w:t>research takes place in Europe</w:t>
      </w:r>
      <w:r w:rsidR="005853A9">
        <w:t xml:space="preserve"> and </w:t>
      </w:r>
      <w:r w:rsidRPr="001A3D2B">
        <w:t>North America, which are little affected directly by</w:t>
      </w:r>
      <w:r w:rsidR="003A1917">
        <w:t xml:space="preserve"> the </w:t>
      </w:r>
      <w:r w:rsidRPr="001A3D2B">
        <w:t>disease, 90%</w:t>
      </w:r>
      <w:r w:rsidR="00427468">
        <w:t xml:space="preserve"> of </w:t>
      </w:r>
      <w:r w:rsidRPr="001A3D2B">
        <w:t>whose burden occurs in sub-Saharan Africa. Research includes both pharmaceutical</w:t>
      </w:r>
      <w:r w:rsidR="005853A9">
        <w:t xml:space="preserve"> and </w:t>
      </w:r>
      <w:r w:rsidRPr="001A3D2B">
        <w:t>non-pharmaceutical approaches;</w:t>
      </w:r>
      <w:r w:rsidR="003A1917">
        <w:t xml:space="preserve"> the </w:t>
      </w:r>
      <w:r w:rsidRPr="001A3D2B">
        <w:t>fastest growing ones involve</w:t>
      </w:r>
      <w:r w:rsidR="003A1917">
        <w:t xml:space="preserve"> the </w:t>
      </w:r>
      <w:r w:rsidRPr="001A3D2B">
        <w:t>artemisinins</w:t>
      </w:r>
      <w:r w:rsidR="005853A9">
        <w:t xml:space="preserve"> and </w:t>
      </w:r>
      <w:r w:rsidRPr="001A3D2B">
        <w:t>genetics. Leading countries in malaria research (including India, Thailand, Kenya</w:t>
      </w:r>
      <w:r w:rsidR="005853A9">
        <w:t xml:space="preserve"> and </w:t>
      </w:r>
      <w:r w:rsidRPr="001A3D2B">
        <w:t>Nigeria) differ greatly in</w:t>
      </w:r>
      <w:r w:rsidR="003A1917">
        <w:t xml:space="preserve"> the </w:t>
      </w:r>
      <w:r w:rsidRPr="001A3D2B">
        <w:t>subjects that they favour. (C) 2008 Elsevier B.V. All rights reserved.</w:t>
      </w:r>
    </w:p>
    <w:p w:rsidR="003474F2" w:rsidRPr="001A3D2B" w:rsidRDefault="003474F2" w:rsidP="003474F2">
      <w:pPr>
        <w:pStyle w:val="a3"/>
      </w:pPr>
      <w:r w:rsidRPr="001A3D2B">
        <w:t>Keywords: Africa, Biomedical, Biomedical Research, Burden, Europe, Genetics, India, Kenya, Malaria, Nigeria, North, Research, Rights, Sub-Saharan Africa, Thailand, World</w:t>
      </w:r>
    </w:p>
    <w:p w:rsidR="00431942" w:rsidRPr="00F219CA" w:rsidRDefault="00431942" w:rsidP="00431942">
      <w:pPr>
        <w:pStyle w:val="1"/>
        <w:rPr>
          <w:lang w:val="fr-FR"/>
        </w:rPr>
      </w:pPr>
      <w:r w:rsidRPr="00F219CA">
        <w:rPr>
          <w:lang w:val="fr-FR"/>
        </w:rPr>
        <w:br w:type="page"/>
      </w:r>
      <w:bookmarkStart w:id="108" w:name="_Toc293605642"/>
      <w:bookmarkStart w:id="109" w:name="_Toc420814294"/>
      <w:r w:rsidRPr="00F219CA">
        <w:rPr>
          <w:lang w:val="fr-FR"/>
        </w:rPr>
        <w:lastRenderedPageBreak/>
        <w:t>Title: Actas Espanolas de Psiquiatria</w:t>
      </w:r>
      <w:bookmarkEnd w:id="108"/>
      <w:bookmarkEnd w:id="109"/>
    </w:p>
    <w:p w:rsidR="00431942" w:rsidRPr="00F219CA" w:rsidRDefault="00431942" w:rsidP="00431942">
      <w:pPr>
        <w:pStyle w:val="12"/>
        <w:rPr>
          <w:lang w:val="fr-FR"/>
        </w:rPr>
      </w:pPr>
      <w:r w:rsidRPr="00F219CA">
        <w:rPr>
          <w:lang w:val="fr-FR"/>
        </w:rPr>
        <w:t xml:space="preserve">Full Journal Title: </w:t>
      </w:r>
      <w:r w:rsidRPr="00F219CA">
        <w:t>Actas Espanolas de Psiquiatria</w:t>
      </w:r>
    </w:p>
    <w:p w:rsidR="00431942" w:rsidRPr="00F219CA" w:rsidRDefault="00431942" w:rsidP="00431942">
      <w:pPr>
        <w:pStyle w:val="12"/>
      </w:pPr>
      <w:r w:rsidRPr="00F219CA">
        <w:t xml:space="preserve">ISO Abbreviated Title: </w:t>
      </w:r>
    </w:p>
    <w:p w:rsidR="00431942" w:rsidRPr="00F219CA" w:rsidRDefault="00431942" w:rsidP="00431942">
      <w:pPr>
        <w:pStyle w:val="12"/>
      </w:pPr>
      <w:r w:rsidRPr="00F219CA">
        <w:t xml:space="preserve">JCR Abbreviated Title: </w:t>
      </w:r>
    </w:p>
    <w:p w:rsidR="00431942" w:rsidRPr="00F219CA" w:rsidRDefault="00431942" w:rsidP="00431942">
      <w:pPr>
        <w:pStyle w:val="12"/>
      </w:pPr>
      <w:r w:rsidRPr="00F219CA">
        <w:t xml:space="preserve">ISSN: </w:t>
      </w:r>
    </w:p>
    <w:p w:rsidR="00431942" w:rsidRPr="00F219CA" w:rsidRDefault="00431942" w:rsidP="00431942">
      <w:pPr>
        <w:pStyle w:val="12"/>
      </w:pPr>
      <w:r w:rsidRPr="00F219CA">
        <w:t xml:space="preserve">Issues/Year: </w:t>
      </w:r>
    </w:p>
    <w:p w:rsidR="00431942" w:rsidRPr="00F219CA" w:rsidRDefault="00431942" w:rsidP="00431942">
      <w:pPr>
        <w:pStyle w:val="12"/>
      </w:pPr>
      <w:r w:rsidRPr="00F219CA">
        <w:t xml:space="preserve">Journal Country/Territory: </w:t>
      </w:r>
    </w:p>
    <w:p w:rsidR="00431942" w:rsidRPr="00F219CA" w:rsidRDefault="00431942" w:rsidP="00431942">
      <w:pPr>
        <w:pStyle w:val="12"/>
      </w:pPr>
      <w:r w:rsidRPr="00F219CA">
        <w:t xml:space="preserve">Language: </w:t>
      </w:r>
    </w:p>
    <w:p w:rsidR="00431942" w:rsidRPr="00F219CA" w:rsidRDefault="00431942" w:rsidP="00431942">
      <w:pPr>
        <w:pStyle w:val="12"/>
      </w:pPr>
      <w:r w:rsidRPr="00F219CA">
        <w:t xml:space="preserve">Publisher: </w:t>
      </w:r>
    </w:p>
    <w:p w:rsidR="00431942" w:rsidRPr="00F219CA" w:rsidRDefault="00431942" w:rsidP="00431942">
      <w:pPr>
        <w:pStyle w:val="12"/>
      </w:pPr>
      <w:r w:rsidRPr="00F219CA">
        <w:t>Publisher Address:</w:t>
      </w:r>
    </w:p>
    <w:p w:rsidR="00431942" w:rsidRPr="00F219CA" w:rsidRDefault="00431942" w:rsidP="00431942">
      <w:pPr>
        <w:pStyle w:val="12"/>
      </w:pPr>
      <w:r w:rsidRPr="00F219CA">
        <w:t xml:space="preserve">Subject Categories: </w:t>
      </w:r>
    </w:p>
    <w:p w:rsidR="00431942" w:rsidRPr="00F219CA" w:rsidRDefault="00431942" w:rsidP="00431942">
      <w:pPr>
        <w:pStyle w:val="12"/>
      </w:pPr>
      <w:r w:rsidRPr="00F219CA">
        <w:t xml:space="preserve">: Impact Factor </w:t>
      </w:r>
    </w:p>
    <w:p w:rsidR="00431942" w:rsidRPr="00F219CA" w:rsidRDefault="00431942" w:rsidP="00431942">
      <w:pPr>
        <w:pStyle w:val="a3"/>
        <w:rPr>
          <w:kern w:val="0"/>
          <w:szCs w:val="24"/>
        </w:rPr>
      </w:pPr>
      <w:r w:rsidRPr="00F219CA">
        <w:rPr>
          <w:kern w:val="0"/>
          <w:szCs w:val="24"/>
        </w:rPr>
        <w:t xml:space="preserve">? </w:t>
      </w:r>
      <w:r>
        <w:rPr>
          <w:rFonts w:hint="eastAsia"/>
          <w:kern w:val="0"/>
          <w:szCs w:val="24"/>
        </w:rPr>
        <w:t>Al</w:t>
      </w:r>
      <w:r w:rsidRPr="00F219CA">
        <w:rPr>
          <w:kern w:val="0"/>
          <w:szCs w:val="24"/>
        </w:rPr>
        <w:t>onso-Arroyo, A., Gonzalez-Alcaide, G., Pizarro, M.B., Cogollos, L.C., Valderrama-Zurian, J.C.</w:t>
      </w:r>
      <w:r w:rsidR="005853A9">
        <w:rPr>
          <w:kern w:val="0"/>
          <w:szCs w:val="24"/>
        </w:rPr>
        <w:t xml:space="preserve"> and </w:t>
      </w:r>
      <w:r w:rsidRPr="00F219CA">
        <w:rPr>
          <w:kern w:val="0"/>
          <w:szCs w:val="24"/>
        </w:rPr>
        <w:t>eixandre-Benavent, R. (2008), Gender analysis</w:t>
      </w:r>
      <w:r w:rsidR="00427468">
        <w:rPr>
          <w:kern w:val="0"/>
          <w:szCs w:val="24"/>
        </w:rPr>
        <w:t xml:space="preserve"> of </w:t>
      </w:r>
      <w:r w:rsidRPr="00F219CA">
        <w:rPr>
          <w:kern w:val="0"/>
          <w:szCs w:val="24"/>
        </w:rPr>
        <w:t xml:space="preserve">papers published in </w:t>
      </w:r>
      <w:r w:rsidRPr="00F219CA">
        <w:rPr>
          <w:i/>
          <w:iCs/>
          <w:kern w:val="0"/>
          <w:szCs w:val="24"/>
        </w:rPr>
        <w:t>Actas Espanolas de Psiquiatria</w:t>
      </w:r>
      <w:r w:rsidRPr="00F219CA">
        <w:rPr>
          <w:kern w:val="0"/>
          <w:szCs w:val="24"/>
        </w:rPr>
        <w:t xml:space="preserve"> (1999-2006). </w:t>
      </w:r>
      <w:r w:rsidRPr="00F219CA">
        <w:rPr>
          <w:i/>
          <w:iCs/>
          <w:kern w:val="0"/>
          <w:szCs w:val="24"/>
        </w:rPr>
        <w:t>Actas Espanolas de Psiquiatria</w:t>
      </w:r>
      <w:r w:rsidRPr="00F219CA">
        <w:rPr>
          <w:kern w:val="0"/>
          <w:szCs w:val="24"/>
        </w:rPr>
        <w:t xml:space="preserve">, </w:t>
      </w:r>
      <w:r w:rsidRPr="00F219CA">
        <w:rPr>
          <w:b/>
          <w:bCs/>
          <w:kern w:val="0"/>
          <w:szCs w:val="24"/>
        </w:rPr>
        <w:t>36</w:t>
      </w:r>
      <w:r w:rsidRPr="00F219CA">
        <w:rPr>
          <w:kern w:val="0"/>
          <w:szCs w:val="24"/>
        </w:rPr>
        <w:t xml:space="preserve"> (6), 314-322.</w:t>
      </w:r>
    </w:p>
    <w:p w:rsidR="007103C8" w:rsidRPr="00F219CA" w:rsidRDefault="007103C8" w:rsidP="007103C8">
      <w:pPr>
        <w:pStyle w:val="a3"/>
        <w:rPr>
          <w:kern w:val="0"/>
          <w:szCs w:val="24"/>
        </w:rPr>
      </w:pPr>
      <w:r>
        <w:rPr>
          <w:rFonts w:hint="eastAsia"/>
          <w:kern w:val="0"/>
          <w:szCs w:val="24"/>
        </w:rPr>
        <w:t>Full Text: 2008\</w:t>
      </w:r>
      <w:r>
        <w:rPr>
          <w:iCs/>
          <w:kern w:val="0"/>
          <w:szCs w:val="24"/>
        </w:rPr>
        <w:t>Act Esp Psi</w:t>
      </w:r>
      <w:r w:rsidRPr="00C81F2C">
        <w:rPr>
          <w:bCs/>
          <w:kern w:val="0"/>
          <w:szCs w:val="24"/>
        </w:rPr>
        <w:t>36</w:t>
      </w:r>
      <w:r w:rsidRPr="00F219CA">
        <w:rPr>
          <w:kern w:val="0"/>
          <w:szCs w:val="24"/>
        </w:rPr>
        <w:t>, 314</w:t>
      </w:r>
      <w:r>
        <w:rPr>
          <w:rFonts w:hint="eastAsia"/>
          <w:kern w:val="0"/>
          <w:szCs w:val="24"/>
        </w:rPr>
        <w:t>.pdf</w:t>
      </w:r>
    </w:p>
    <w:p w:rsidR="00431942" w:rsidRPr="00F219CA" w:rsidRDefault="00431942" w:rsidP="00431942">
      <w:pPr>
        <w:pStyle w:val="a3"/>
        <w:rPr>
          <w:kern w:val="0"/>
          <w:szCs w:val="24"/>
        </w:rPr>
      </w:pPr>
      <w:r w:rsidRPr="00F219CA">
        <w:rPr>
          <w:kern w:val="0"/>
          <w:szCs w:val="24"/>
        </w:rPr>
        <w:t>Abstract: Introduction</w:t>
      </w:r>
      <w:r w:rsidR="00A37C1D">
        <w:rPr>
          <w:kern w:val="0"/>
          <w:szCs w:val="24"/>
        </w:rPr>
        <w:t>. The</w:t>
      </w:r>
      <w:r w:rsidR="003A1917">
        <w:rPr>
          <w:kern w:val="0"/>
          <w:szCs w:val="24"/>
        </w:rPr>
        <w:t xml:space="preserve"> </w:t>
      </w:r>
      <w:r w:rsidRPr="00F219CA">
        <w:rPr>
          <w:kern w:val="0"/>
          <w:szCs w:val="24"/>
        </w:rPr>
        <w:t>governments</w:t>
      </w:r>
      <w:r w:rsidR="005853A9">
        <w:rPr>
          <w:kern w:val="0"/>
          <w:szCs w:val="24"/>
        </w:rPr>
        <w:t xml:space="preserve"> and </w:t>
      </w:r>
      <w:r w:rsidRPr="00F219CA">
        <w:rPr>
          <w:kern w:val="0"/>
          <w:szCs w:val="24"/>
        </w:rPr>
        <w:t>organizations responsible for scientific policies try to encourage equality</w:t>
      </w:r>
      <w:r w:rsidR="00427468">
        <w:rPr>
          <w:kern w:val="0"/>
          <w:szCs w:val="24"/>
        </w:rPr>
        <w:t xml:space="preserve"> of </w:t>
      </w:r>
      <w:r w:rsidRPr="00F219CA">
        <w:rPr>
          <w:kern w:val="0"/>
          <w:szCs w:val="24"/>
        </w:rPr>
        <w:t>gender, among their priorities that</w:t>
      </w:r>
      <w:r w:rsidR="00427468">
        <w:rPr>
          <w:kern w:val="0"/>
          <w:szCs w:val="24"/>
        </w:rPr>
        <w:t xml:space="preserve"> of </w:t>
      </w:r>
      <w:r w:rsidRPr="00F219CA">
        <w:rPr>
          <w:kern w:val="0"/>
          <w:szCs w:val="24"/>
        </w:rPr>
        <w:t>obtaining equal participation</w:t>
      </w:r>
      <w:r w:rsidR="005853A9">
        <w:rPr>
          <w:kern w:val="0"/>
          <w:szCs w:val="24"/>
        </w:rPr>
        <w:t xml:space="preserve"> and </w:t>
      </w:r>
      <w:r w:rsidRPr="00F219CA">
        <w:rPr>
          <w:kern w:val="0"/>
          <w:szCs w:val="24"/>
        </w:rPr>
        <w:t>full integration</w:t>
      </w:r>
      <w:r w:rsidR="00427468">
        <w:rPr>
          <w:kern w:val="0"/>
          <w:szCs w:val="24"/>
        </w:rPr>
        <w:t xml:space="preserve"> of </w:t>
      </w:r>
      <w:r w:rsidRPr="00F219CA">
        <w:rPr>
          <w:kern w:val="0"/>
          <w:szCs w:val="24"/>
        </w:rPr>
        <w:t>women in all aspects</w:t>
      </w:r>
      <w:r w:rsidR="00427468">
        <w:rPr>
          <w:kern w:val="0"/>
          <w:szCs w:val="24"/>
        </w:rPr>
        <w:t xml:space="preserve"> of </w:t>
      </w:r>
      <w:r w:rsidR="003A1917">
        <w:rPr>
          <w:kern w:val="0"/>
          <w:szCs w:val="24"/>
        </w:rPr>
        <w:t xml:space="preserve">the </w:t>
      </w:r>
      <w:r w:rsidRPr="00F219CA">
        <w:rPr>
          <w:kern w:val="0"/>
          <w:szCs w:val="24"/>
        </w:rPr>
        <w:t>scientific profession</w:t>
      </w:r>
      <w:r w:rsidR="00A37C1D">
        <w:rPr>
          <w:kern w:val="0"/>
          <w:szCs w:val="24"/>
        </w:rPr>
        <w:t>. The</w:t>
      </w:r>
      <w:r w:rsidR="003A1917">
        <w:rPr>
          <w:kern w:val="0"/>
          <w:szCs w:val="24"/>
        </w:rPr>
        <w:t xml:space="preserve"> </w:t>
      </w:r>
      <w:r w:rsidRPr="00F219CA">
        <w:rPr>
          <w:kern w:val="0"/>
          <w:szCs w:val="24"/>
        </w:rPr>
        <w:t>study analyzes</w:t>
      </w:r>
      <w:r w:rsidR="003A1917">
        <w:rPr>
          <w:kern w:val="0"/>
          <w:szCs w:val="24"/>
        </w:rPr>
        <w:t xml:space="preserve"> the </w:t>
      </w:r>
      <w:r w:rsidRPr="00F219CA">
        <w:rPr>
          <w:kern w:val="0"/>
          <w:szCs w:val="24"/>
        </w:rPr>
        <w:t>scientific production</w:t>
      </w:r>
      <w:r w:rsidR="00427468">
        <w:rPr>
          <w:kern w:val="0"/>
          <w:szCs w:val="24"/>
        </w:rPr>
        <w:t xml:space="preserve"> of </w:t>
      </w:r>
      <w:r w:rsidRPr="00F219CA">
        <w:rPr>
          <w:kern w:val="0"/>
          <w:szCs w:val="24"/>
        </w:rPr>
        <w:t>women in</w:t>
      </w:r>
      <w:r w:rsidR="003A1917">
        <w:rPr>
          <w:kern w:val="0"/>
          <w:szCs w:val="24"/>
        </w:rPr>
        <w:t xml:space="preserve"> the </w:t>
      </w:r>
      <w:r w:rsidRPr="00F219CA">
        <w:rPr>
          <w:kern w:val="0"/>
          <w:szCs w:val="24"/>
        </w:rPr>
        <w:t>areas</w:t>
      </w:r>
      <w:r w:rsidR="00427468">
        <w:rPr>
          <w:kern w:val="0"/>
          <w:szCs w:val="24"/>
        </w:rPr>
        <w:t xml:space="preserve"> of </w:t>
      </w:r>
      <w:r w:rsidRPr="00F219CA">
        <w:rPr>
          <w:kern w:val="0"/>
          <w:szCs w:val="24"/>
        </w:rPr>
        <w:t>psychiatry by means</w:t>
      </w:r>
      <w:r w:rsidR="00427468">
        <w:rPr>
          <w:kern w:val="0"/>
          <w:szCs w:val="24"/>
        </w:rPr>
        <w:t xml:space="preserve"> of </w:t>
      </w:r>
      <w:r w:rsidR="003A1917">
        <w:rPr>
          <w:kern w:val="0"/>
          <w:szCs w:val="24"/>
        </w:rPr>
        <w:t xml:space="preserve">the </w:t>
      </w:r>
      <w:r w:rsidRPr="00F219CA">
        <w:rPr>
          <w:kern w:val="0"/>
          <w:szCs w:val="24"/>
        </w:rPr>
        <w:t>bibliometric study</w:t>
      </w:r>
      <w:r w:rsidR="00427468">
        <w:rPr>
          <w:kern w:val="0"/>
          <w:szCs w:val="24"/>
        </w:rPr>
        <w:t xml:space="preserve"> of </w:t>
      </w:r>
      <w:r w:rsidR="003A1917">
        <w:rPr>
          <w:kern w:val="0"/>
          <w:szCs w:val="24"/>
        </w:rPr>
        <w:t xml:space="preserve">the </w:t>
      </w:r>
      <w:r w:rsidRPr="00F219CA">
        <w:rPr>
          <w:kern w:val="0"/>
          <w:szCs w:val="24"/>
        </w:rPr>
        <w:t xml:space="preserve">papers published in </w:t>
      </w:r>
      <w:r w:rsidRPr="00F219CA">
        <w:rPr>
          <w:i/>
          <w:iCs/>
          <w:kern w:val="0"/>
          <w:szCs w:val="24"/>
        </w:rPr>
        <w:t>Actas Espanolas de Psiquiatria</w:t>
      </w:r>
      <w:r w:rsidRPr="00F219CA">
        <w:rPr>
          <w:kern w:val="0"/>
          <w:szCs w:val="24"/>
        </w:rPr>
        <w:t>. Method. A total</w:t>
      </w:r>
      <w:r w:rsidR="00427468">
        <w:rPr>
          <w:kern w:val="0"/>
          <w:szCs w:val="24"/>
        </w:rPr>
        <w:t xml:space="preserve"> of </w:t>
      </w:r>
      <w:r w:rsidRPr="00F219CA">
        <w:rPr>
          <w:kern w:val="0"/>
          <w:szCs w:val="24"/>
        </w:rPr>
        <w:t>458 papers published from 1999 2006 period were downloaded from</w:t>
      </w:r>
      <w:r w:rsidR="003A1917">
        <w:rPr>
          <w:kern w:val="0"/>
          <w:szCs w:val="24"/>
        </w:rPr>
        <w:t xml:space="preserve"> the </w:t>
      </w:r>
      <w:r w:rsidRPr="00F219CA">
        <w:rPr>
          <w:kern w:val="0"/>
          <w:szCs w:val="24"/>
        </w:rPr>
        <w:t>Science Citation Index-Expanded database, these including original research papers, review articles</w:t>
      </w:r>
      <w:r w:rsidR="005853A9">
        <w:rPr>
          <w:kern w:val="0"/>
          <w:szCs w:val="24"/>
        </w:rPr>
        <w:t xml:space="preserve"> and </w:t>
      </w:r>
      <w:r w:rsidRPr="00F219CA">
        <w:rPr>
          <w:kern w:val="0"/>
          <w:szCs w:val="24"/>
        </w:rPr>
        <w:t>clinical cases. A bibliometric study broken down by gender was carried out to determine</w:t>
      </w:r>
      <w:r w:rsidR="003A1917">
        <w:rPr>
          <w:kern w:val="0"/>
          <w:szCs w:val="24"/>
        </w:rPr>
        <w:t xml:space="preserve"> the </w:t>
      </w:r>
      <w:r w:rsidRPr="00F219CA">
        <w:rPr>
          <w:kern w:val="0"/>
          <w:szCs w:val="24"/>
        </w:rPr>
        <w:t>existence or inequalities between men</w:t>
      </w:r>
      <w:r w:rsidR="005853A9">
        <w:rPr>
          <w:kern w:val="0"/>
          <w:szCs w:val="24"/>
        </w:rPr>
        <w:t xml:space="preserve"> and </w:t>
      </w:r>
      <w:r w:rsidRPr="00F219CA">
        <w:rPr>
          <w:kern w:val="0"/>
          <w:szCs w:val="24"/>
        </w:rPr>
        <w:t>women regarding scientific productivity, type</w:t>
      </w:r>
      <w:r w:rsidR="00427468">
        <w:rPr>
          <w:kern w:val="0"/>
          <w:szCs w:val="24"/>
        </w:rPr>
        <w:t xml:space="preserve"> of </w:t>
      </w:r>
      <w:r w:rsidRPr="00F219CA">
        <w:rPr>
          <w:kern w:val="0"/>
          <w:szCs w:val="24"/>
        </w:rPr>
        <w:t>document, order</w:t>
      </w:r>
      <w:r w:rsidR="00427468">
        <w:rPr>
          <w:kern w:val="0"/>
          <w:szCs w:val="24"/>
        </w:rPr>
        <w:t xml:space="preserve"> of </w:t>
      </w:r>
      <w:r w:rsidRPr="00F219CA">
        <w:rPr>
          <w:kern w:val="0"/>
          <w:szCs w:val="24"/>
        </w:rPr>
        <w:t>author signatures, on</w:t>
      </w:r>
      <w:r w:rsidR="003A1917">
        <w:rPr>
          <w:kern w:val="0"/>
          <w:szCs w:val="24"/>
        </w:rPr>
        <w:t xml:space="preserve"> the </w:t>
      </w:r>
      <w:r w:rsidRPr="00F219CA">
        <w:rPr>
          <w:kern w:val="0"/>
          <w:szCs w:val="24"/>
        </w:rPr>
        <w:t>institutional</w:t>
      </w:r>
      <w:r w:rsidR="005853A9">
        <w:rPr>
          <w:kern w:val="0"/>
          <w:szCs w:val="24"/>
        </w:rPr>
        <w:t xml:space="preserve"> and </w:t>
      </w:r>
      <w:r w:rsidRPr="00F219CA">
        <w:rPr>
          <w:kern w:val="0"/>
          <w:szCs w:val="24"/>
        </w:rPr>
        <w:t>geographical level. Results</w:t>
      </w:r>
      <w:r w:rsidR="00A37C1D">
        <w:rPr>
          <w:kern w:val="0"/>
          <w:szCs w:val="24"/>
        </w:rPr>
        <w:t>. The</w:t>
      </w:r>
      <w:r w:rsidR="003A1917">
        <w:rPr>
          <w:kern w:val="0"/>
          <w:szCs w:val="24"/>
        </w:rPr>
        <w:t xml:space="preserve"> </w:t>
      </w:r>
      <w:r w:rsidRPr="00F219CA">
        <w:rPr>
          <w:kern w:val="0"/>
          <w:szCs w:val="24"/>
        </w:rPr>
        <w:t>papers were published by 1,194 different authors</w:t>
      </w:r>
      <w:r w:rsidR="00A37C1D">
        <w:rPr>
          <w:kern w:val="0"/>
          <w:szCs w:val="24"/>
        </w:rPr>
        <w:t>. The</w:t>
      </w:r>
      <w:r w:rsidR="003A1917">
        <w:rPr>
          <w:kern w:val="0"/>
          <w:szCs w:val="24"/>
        </w:rPr>
        <w:t xml:space="preserve"> </w:t>
      </w:r>
      <w:r w:rsidRPr="00F219CA">
        <w:rPr>
          <w:kern w:val="0"/>
          <w:szCs w:val="24"/>
        </w:rPr>
        <w:t>gender</w:t>
      </w:r>
      <w:r w:rsidR="00427468">
        <w:rPr>
          <w:kern w:val="0"/>
          <w:szCs w:val="24"/>
        </w:rPr>
        <w:t xml:space="preserve"> of </w:t>
      </w:r>
      <w:r w:rsidRPr="00F219CA">
        <w:rPr>
          <w:kern w:val="0"/>
          <w:szCs w:val="24"/>
        </w:rPr>
        <w:t>977 authors was identified, 587 (60.08%) men</w:t>
      </w:r>
      <w:r w:rsidR="005853A9">
        <w:rPr>
          <w:kern w:val="0"/>
          <w:szCs w:val="24"/>
        </w:rPr>
        <w:t xml:space="preserve"> and </w:t>
      </w:r>
      <w:r w:rsidRPr="00F219CA">
        <w:rPr>
          <w:kern w:val="0"/>
          <w:szCs w:val="24"/>
        </w:rPr>
        <w:t>390 (39.92%) women</w:t>
      </w:r>
      <w:r w:rsidR="00A37C1D">
        <w:rPr>
          <w:kern w:val="0"/>
          <w:szCs w:val="24"/>
        </w:rPr>
        <w:t>. The</w:t>
      </w:r>
      <w:r w:rsidR="003A1917">
        <w:rPr>
          <w:kern w:val="0"/>
          <w:szCs w:val="24"/>
        </w:rPr>
        <w:t xml:space="preserve"> </w:t>
      </w:r>
      <w:r w:rsidRPr="00F219CA">
        <w:rPr>
          <w:kern w:val="0"/>
          <w:szCs w:val="24"/>
        </w:rPr>
        <w:t>percentage</w:t>
      </w:r>
      <w:r w:rsidR="00427468">
        <w:rPr>
          <w:kern w:val="0"/>
          <w:szCs w:val="24"/>
        </w:rPr>
        <w:t xml:space="preserve"> of </w:t>
      </w:r>
      <w:r w:rsidRPr="00F219CA">
        <w:rPr>
          <w:kern w:val="0"/>
          <w:szCs w:val="24"/>
        </w:rPr>
        <w:t>women authorship has risen from 29.92% in 1999 to 38.86% in 2006. A total</w:t>
      </w:r>
      <w:r w:rsidR="00427468">
        <w:rPr>
          <w:kern w:val="0"/>
          <w:szCs w:val="24"/>
        </w:rPr>
        <w:t xml:space="preserve"> of </w:t>
      </w:r>
      <w:r w:rsidRPr="00F219CA">
        <w:rPr>
          <w:kern w:val="0"/>
          <w:szCs w:val="24"/>
        </w:rPr>
        <w:t>42.92%</w:t>
      </w:r>
      <w:r w:rsidR="00427468">
        <w:rPr>
          <w:kern w:val="0"/>
          <w:szCs w:val="24"/>
        </w:rPr>
        <w:t xml:space="preserve"> of </w:t>
      </w:r>
      <w:r w:rsidRPr="00F219CA">
        <w:rPr>
          <w:kern w:val="0"/>
          <w:szCs w:val="24"/>
        </w:rPr>
        <w:t xml:space="preserve">authors having one published article were women, while </w:t>
      </w:r>
      <w:r w:rsidR="00B5188C">
        <w:rPr>
          <w:kern w:val="0"/>
          <w:szCs w:val="24"/>
        </w:rPr>
        <w:t>“</w:t>
      </w:r>
      <w:r w:rsidRPr="00F219CA">
        <w:rPr>
          <w:kern w:val="0"/>
          <w:szCs w:val="24"/>
        </w:rPr>
        <w:t>the multiple article producing women</w:t>
      </w:r>
      <w:r w:rsidR="00B5188C">
        <w:rPr>
          <w:kern w:val="0"/>
          <w:szCs w:val="24"/>
        </w:rPr>
        <w:t>”</w:t>
      </w:r>
      <w:r w:rsidRPr="00F219CA">
        <w:rPr>
          <w:kern w:val="0"/>
          <w:szCs w:val="24"/>
        </w:rPr>
        <w:t xml:space="preserve"> (those with more than 9 articles) only accounted for 33%. Conclusion. Bibliometric studies on scientific activity provide essential information to promote gender equality. An annual increase over 1% in</w:t>
      </w:r>
      <w:r w:rsidR="003A1917">
        <w:rPr>
          <w:kern w:val="0"/>
          <w:szCs w:val="24"/>
        </w:rPr>
        <w:t xml:space="preserve"> the </w:t>
      </w:r>
      <w:r w:rsidRPr="00F219CA">
        <w:rPr>
          <w:kern w:val="0"/>
          <w:szCs w:val="24"/>
        </w:rPr>
        <w:t>number</w:t>
      </w:r>
      <w:r w:rsidR="00427468">
        <w:rPr>
          <w:kern w:val="0"/>
          <w:szCs w:val="24"/>
        </w:rPr>
        <w:t xml:space="preserve"> of </w:t>
      </w:r>
      <w:r w:rsidRPr="00F219CA">
        <w:rPr>
          <w:kern w:val="0"/>
          <w:szCs w:val="24"/>
        </w:rPr>
        <w:t>female authors in</w:t>
      </w:r>
      <w:r w:rsidR="003A1917">
        <w:rPr>
          <w:kern w:val="0"/>
          <w:szCs w:val="24"/>
        </w:rPr>
        <w:t xml:space="preserve"> the </w:t>
      </w:r>
      <w:r w:rsidRPr="00F219CA">
        <w:rPr>
          <w:kern w:val="0"/>
          <w:szCs w:val="24"/>
        </w:rPr>
        <w:t>journal has been observed, which if it continues, will lead to a parity in coming years.</w:t>
      </w:r>
    </w:p>
    <w:p w:rsidR="00431942" w:rsidRPr="00F219CA" w:rsidRDefault="00431942" w:rsidP="00431942">
      <w:pPr>
        <w:pStyle w:val="a3"/>
        <w:rPr>
          <w:kern w:val="0"/>
          <w:szCs w:val="24"/>
        </w:rPr>
      </w:pPr>
      <w:r w:rsidRPr="00F219CA">
        <w:rPr>
          <w:kern w:val="0"/>
          <w:szCs w:val="24"/>
        </w:rPr>
        <w:lastRenderedPageBreak/>
        <w:t xml:space="preserve">Keywords: </w:t>
      </w:r>
      <w:r w:rsidRPr="00F219CA">
        <w:rPr>
          <w:i/>
          <w:iCs/>
          <w:kern w:val="0"/>
          <w:szCs w:val="24"/>
        </w:rPr>
        <w:t>Actas Espanolas de Psiquiatria</w:t>
      </w:r>
      <w:r w:rsidRPr="00F219CA">
        <w:rPr>
          <w:kern w:val="0"/>
          <w:szCs w:val="24"/>
        </w:rPr>
        <w:t>, Authors, Authorship, Bibliometric, Bibliometric Analysis, Bibliometric Study, Citation, Database, Gender Analysis, Papers, Productivity, Psychiatry, Research, Science, Scientific Journals, Scientific Production, Scientific Productivity, Women</w:t>
      </w:r>
    </w:p>
    <w:p w:rsidR="00431942" w:rsidRPr="00F219CA" w:rsidRDefault="00431942" w:rsidP="00431942">
      <w:pPr>
        <w:pStyle w:val="a3"/>
        <w:rPr>
          <w:kern w:val="0"/>
        </w:rPr>
      </w:pPr>
      <w:r w:rsidRPr="00F219CA">
        <w:rPr>
          <w:kern w:val="0"/>
        </w:rPr>
        <w:t>? Benavent, R.A., Zurian, J.C.V., Gomez, M.C., Melende, R.S.</w:t>
      </w:r>
      <w:r w:rsidR="005853A9">
        <w:rPr>
          <w:kern w:val="0"/>
        </w:rPr>
        <w:t xml:space="preserve"> and </w:t>
      </w:r>
      <w:r w:rsidRPr="00F219CA">
        <w:rPr>
          <w:kern w:val="0"/>
        </w:rPr>
        <w:t>Molina, C.N. (2004), National</w:t>
      </w:r>
      <w:r w:rsidR="005853A9">
        <w:rPr>
          <w:kern w:val="0"/>
        </w:rPr>
        <w:t xml:space="preserve"> and </w:t>
      </w:r>
      <w:r w:rsidRPr="00F219CA">
        <w:rPr>
          <w:kern w:val="0"/>
        </w:rPr>
        <w:t>international impact factor</w:t>
      </w:r>
      <w:r w:rsidR="00427468">
        <w:rPr>
          <w:kern w:val="0"/>
        </w:rPr>
        <w:t xml:space="preserve"> of </w:t>
      </w:r>
      <w:r w:rsidRPr="00F219CA">
        <w:rPr>
          <w:i/>
          <w:iCs/>
          <w:kern w:val="0"/>
          <w:szCs w:val="24"/>
        </w:rPr>
        <w:t>Actas Espanolas de Psiquiatria</w:t>
      </w:r>
      <w:r w:rsidRPr="00F219CA">
        <w:rPr>
          <w:kern w:val="0"/>
        </w:rPr>
        <w:t xml:space="preserve">. </w:t>
      </w:r>
      <w:r w:rsidRPr="00F219CA">
        <w:rPr>
          <w:i/>
          <w:iCs/>
          <w:kern w:val="0"/>
        </w:rPr>
        <w:t>Actas Espanolas de Psiquiatria</w:t>
      </w:r>
      <w:r w:rsidRPr="00F219CA">
        <w:rPr>
          <w:kern w:val="0"/>
        </w:rPr>
        <w:t xml:space="preserve">, </w:t>
      </w:r>
      <w:r w:rsidRPr="00F219CA">
        <w:rPr>
          <w:b/>
          <w:bCs/>
          <w:kern w:val="0"/>
        </w:rPr>
        <w:t>32</w:t>
      </w:r>
      <w:r w:rsidRPr="00F219CA">
        <w:rPr>
          <w:kern w:val="0"/>
        </w:rPr>
        <w:t xml:space="preserve"> (6), 329-332.</w:t>
      </w:r>
    </w:p>
    <w:p w:rsidR="007103C8" w:rsidRPr="00F219CA" w:rsidRDefault="007103C8" w:rsidP="007103C8">
      <w:pPr>
        <w:pStyle w:val="a3"/>
        <w:rPr>
          <w:kern w:val="0"/>
          <w:szCs w:val="24"/>
        </w:rPr>
      </w:pPr>
      <w:r>
        <w:rPr>
          <w:rFonts w:hint="eastAsia"/>
          <w:kern w:val="0"/>
          <w:szCs w:val="24"/>
        </w:rPr>
        <w:t>Full Text: 2004\</w:t>
      </w:r>
      <w:r>
        <w:rPr>
          <w:iCs/>
          <w:kern w:val="0"/>
          <w:szCs w:val="24"/>
        </w:rPr>
        <w:t>Act Esp Psi</w:t>
      </w:r>
      <w:r w:rsidRPr="00C81F2C">
        <w:rPr>
          <w:bCs/>
          <w:kern w:val="0"/>
          <w:szCs w:val="24"/>
        </w:rPr>
        <w:t>3</w:t>
      </w:r>
      <w:r>
        <w:rPr>
          <w:rFonts w:hint="eastAsia"/>
          <w:bCs/>
          <w:kern w:val="0"/>
          <w:szCs w:val="24"/>
        </w:rPr>
        <w:t>2</w:t>
      </w:r>
      <w:r w:rsidRPr="00F219CA">
        <w:rPr>
          <w:kern w:val="0"/>
          <w:szCs w:val="24"/>
        </w:rPr>
        <w:t>, 3</w:t>
      </w:r>
      <w:r>
        <w:rPr>
          <w:rFonts w:hint="eastAsia"/>
          <w:kern w:val="0"/>
          <w:szCs w:val="24"/>
        </w:rPr>
        <w:t>29.pdf</w:t>
      </w:r>
    </w:p>
    <w:p w:rsidR="00431942" w:rsidRPr="00F219CA" w:rsidRDefault="00431942" w:rsidP="00431942">
      <w:pPr>
        <w:pStyle w:val="a3"/>
        <w:rPr>
          <w:kern w:val="0"/>
        </w:rPr>
      </w:pPr>
      <w:r w:rsidRPr="00F219CA">
        <w:rPr>
          <w:kern w:val="0"/>
        </w:rPr>
        <w:t>Abstract:</w:t>
      </w:r>
      <w:r w:rsidR="003A1917">
        <w:rPr>
          <w:kern w:val="0"/>
        </w:rPr>
        <w:t xml:space="preserve"> the </w:t>
      </w:r>
      <w:r w:rsidRPr="00F219CA">
        <w:rPr>
          <w:kern w:val="0"/>
        </w:rPr>
        <w:t>aim</w:t>
      </w:r>
      <w:r w:rsidR="00427468">
        <w:rPr>
          <w:kern w:val="0"/>
        </w:rPr>
        <w:t xml:space="preserve"> of </w:t>
      </w:r>
      <w:r w:rsidRPr="00F219CA">
        <w:rPr>
          <w:kern w:val="0"/>
        </w:rPr>
        <w:t>this paper is to present</w:t>
      </w:r>
      <w:r w:rsidR="003A1917">
        <w:rPr>
          <w:kern w:val="0"/>
        </w:rPr>
        <w:t xml:space="preserve"> the </w:t>
      </w:r>
      <w:r w:rsidRPr="00F219CA">
        <w:rPr>
          <w:kern w:val="0"/>
        </w:rPr>
        <w:t>bibliometric indicators</w:t>
      </w:r>
      <w:r w:rsidR="00427468">
        <w:rPr>
          <w:kern w:val="0"/>
        </w:rPr>
        <w:t xml:space="preserve"> of </w:t>
      </w:r>
      <w:r w:rsidRPr="00F219CA">
        <w:rPr>
          <w:i/>
          <w:iCs/>
          <w:kern w:val="0"/>
          <w:szCs w:val="24"/>
        </w:rPr>
        <w:t>Actas Espanolas de Psiquiatria</w:t>
      </w:r>
      <w:r w:rsidRPr="00F219CA">
        <w:rPr>
          <w:kern w:val="0"/>
        </w:rPr>
        <w:t xml:space="preserve"> that were obtained from</w:t>
      </w:r>
      <w:r w:rsidR="003A1917">
        <w:rPr>
          <w:kern w:val="0"/>
        </w:rPr>
        <w:t xml:space="preserve"> the </w:t>
      </w:r>
      <w:r w:rsidRPr="00F219CA">
        <w:rPr>
          <w:kern w:val="0"/>
        </w:rPr>
        <w:t>study &lt;&lt;Potential impact factor</w:t>
      </w:r>
      <w:r w:rsidR="00427468">
        <w:rPr>
          <w:kern w:val="0"/>
        </w:rPr>
        <w:t xml:space="preserve"> of </w:t>
      </w:r>
      <w:r w:rsidR="003A1917">
        <w:rPr>
          <w:kern w:val="0"/>
        </w:rPr>
        <w:t xml:space="preserve">the </w:t>
      </w:r>
      <w:r w:rsidRPr="00F219CA">
        <w:rPr>
          <w:kern w:val="0"/>
        </w:rPr>
        <w:t>Spanish medical journals in 2001&gt;&gt;, financed by</w:t>
      </w:r>
      <w:r w:rsidR="003A1917">
        <w:rPr>
          <w:kern w:val="0"/>
        </w:rPr>
        <w:t xml:space="preserve"> the </w:t>
      </w:r>
      <w:r w:rsidRPr="00F219CA">
        <w:rPr>
          <w:kern w:val="0"/>
        </w:rPr>
        <w:t>Spanish Ministerio, de Educacion, Cultura y Deporte</w:t>
      </w:r>
      <w:r w:rsidR="00A37C1D">
        <w:rPr>
          <w:kern w:val="0"/>
        </w:rPr>
        <w:t>. The</w:t>
      </w:r>
      <w:r w:rsidR="003A1917">
        <w:rPr>
          <w:kern w:val="0"/>
        </w:rPr>
        <w:t xml:space="preserve"> </w:t>
      </w:r>
      <w:r w:rsidRPr="00F219CA">
        <w:rPr>
          <w:kern w:val="0"/>
        </w:rPr>
        <w:t xml:space="preserve">citations made in </w:t>
      </w:r>
      <w:r w:rsidRPr="00F219CA">
        <w:rPr>
          <w:i/>
          <w:iCs/>
          <w:kern w:val="0"/>
          <w:szCs w:val="24"/>
        </w:rPr>
        <w:t>Actas Espanolas de Psiquiatria</w:t>
      </w:r>
      <w:r w:rsidR="005853A9">
        <w:rPr>
          <w:kern w:val="0"/>
        </w:rPr>
        <w:t xml:space="preserve"> and </w:t>
      </w:r>
      <w:r w:rsidRPr="00F219CA">
        <w:rPr>
          <w:kern w:val="0"/>
        </w:rPr>
        <w:t>its national</w:t>
      </w:r>
      <w:r w:rsidR="005853A9">
        <w:rPr>
          <w:kern w:val="0"/>
        </w:rPr>
        <w:t xml:space="preserve"> and </w:t>
      </w:r>
      <w:r w:rsidRPr="00F219CA">
        <w:rPr>
          <w:kern w:val="0"/>
        </w:rPr>
        <w:t>international impact factor</w:t>
      </w:r>
      <w:r w:rsidR="005853A9">
        <w:rPr>
          <w:kern w:val="0"/>
        </w:rPr>
        <w:t xml:space="preserve"> and </w:t>
      </w:r>
      <w:r w:rsidRPr="00F219CA">
        <w:rPr>
          <w:kern w:val="0"/>
        </w:rPr>
        <w:t>immediacy index have been obtained by</w:t>
      </w:r>
      <w:r w:rsidR="003A1917">
        <w:rPr>
          <w:kern w:val="0"/>
        </w:rPr>
        <w:t xml:space="preserve"> the </w:t>
      </w:r>
      <w:r w:rsidRPr="00F219CA">
        <w:rPr>
          <w:kern w:val="0"/>
        </w:rPr>
        <w:t>use</w:t>
      </w:r>
      <w:r w:rsidR="00427468">
        <w:rPr>
          <w:kern w:val="0"/>
        </w:rPr>
        <w:t xml:space="preserve"> of </w:t>
      </w:r>
      <w:r w:rsidRPr="00F219CA">
        <w:rPr>
          <w:kern w:val="0"/>
        </w:rPr>
        <w:t>a methodology similar to</w:t>
      </w:r>
      <w:r w:rsidR="003A1917">
        <w:rPr>
          <w:kern w:val="0"/>
        </w:rPr>
        <w:t xml:space="preserve"> the </w:t>
      </w:r>
      <w:r w:rsidRPr="00F219CA">
        <w:rPr>
          <w:kern w:val="0"/>
        </w:rPr>
        <w:t>one used by</w:t>
      </w:r>
      <w:r w:rsidR="003A1917">
        <w:rPr>
          <w:kern w:val="0"/>
        </w:rPr>
        <w:t xml:space="preserve"> the </w:t>
      </w:r>
      <w:r w:rsidRPr="00F219CA">
        <w:rPr>
          <w:kern w:val="0"/>
        </w:rPr>
        <w:t>Institute for Scientific Information</w:t>
      </w:r>
      <w:r w:rsidR="00A37C1D">
        <w:rPr>
          <w:kern w:val="0"/>
        </w:rPr>
        <w:t>. The</w:t>
      </w:r>
      <w:r w:rsidR="003A1917">
        <w:rPr>
          <w:kern w:val="0"/>
        </w:rPr>
        <w:t xml:space="preserve"> </w:t>
      </w:r>
      <w:r w:rsidRPr="00F219CA">
        <w:rPr>
          <w:kern w:val="0"/>
        </w:rPr>
        <w:t>national indicators only take into account</w:t>
      </w:r>
      <w:r w:rsidR="003A1917">
        <w:rPr>
          <w:kern w:val="0"/>
        </w:rPr>
        <w:t xml:space="preserve"> the </w:t>
      </w:r>
      <w:r w:rsidRPr="00F219CA">
        <w:rPr>
          <w:kern w:val="0"/>
        </w:rPr>
        <w:t>citations made in 87 Spanish journals considered as sources, while those from</w:t>
      </w:r>
      <w:r w:rsidR="003A1917">
        <w:rPr>
          <w:kern w:val="0"/>
        </w:rPr>
        <w:t xml:space="preserve"> the </w:t>
      </w:r>
      <w:r w:rsidRPr="00F219CA">
        <w:rPr>
          <w:kern w:val="0"/>
        </w:rPr>
        <w:t>foreign source journals</w:t>
      </w:r>
      <w:r w:rsidR="00427468">
        <w:rPr>
          <w:kern w:val="0"/>
        </w:rPr>
        <w:t xml:space="preserve"> of </w:t>
      </w:r>
      <w:r w:rsidRPr="00F219CA">
        <w:rPr>
          <w:kern w:val="0"/>
        </w:rPr>
        <w:t>Science Citation Index have been added to</w:t>
      </w:r>
      <w:r w:rsidR="003A1917">
        <w:rPr>
          <w:kern w:val="0"/>
        </w:rPr>
        <w:t xml:space="preserve"> the </w:t>
      </w:r>
      <w:r w:rsidRPr="00F219CA">
        <w:rPr>
          <w:kern w:val="0"/>
        </w:rPr>
        <w:t xml:space="preserve">previously cited ones. </w:t>
      </w:r>
      <w:r w:rsidRPr="00F219CA">
        <w:rPr>
          <w:i/>
          <w:iCs/>
          <w:kern w:val="0"/>
          <w:szCs w:val="24"/>
        </w:rPr>
        <w:t>Actas Espanolas de Psiquiatria</w:t>
      </w:r>
      <w:r w:rsidRPr="00F219CA">
        <w:rPr>
          <w:kern w:val="0"/>
        </w:rPr>
        <w:t xml:space="preserve"> has obtained a national impact factor</w:t>
      </w:r>
      <w:r w:rsidR="00427468">
        <w:rPr>
          <w:kern w:val="0"/>
        </w:rPr>
        <w:t xml:space="preserve"> of </w:t>
      </w:r>
      <w:r w:rsidRPr="00F219CA">
        <w:rPr>
          <w:kern w:val="0"/>
        </w:rPr>
        <w:t>0.315</w:t>
      </w:r>
      <w:r w:rsidR="005853A9">
        <w:rPr>
          <w:kern w:val="0"/>
        </w:rPr>
        <w:t xml:space="preserve"> and </w:t>
      </w:r>
      <w:r w:rsidRPr="00F219CA">
        <w:rPr>
          <w:kern w:val="0"/>
        </w:rPr>
        <w:t>an international impact factor</w:t>
      </w:r>
      <w:r w:rsidR="00427468">
        <w:rPr>
          <w:kern w:val="0"/>
        </w:rPr>
        <w:t xml:space="preserve"> of </w:t>
      </w:r>
      <w:r w:rsidRPr="00F219CA">
        <w:rPr>
          <w:kern w:val="0"/>
        </w:rPr>
        <w:t>0.395, which places it as a leader in</w:t>
      </w:r>
      <w:r w:rsidR="003A1917">
        <w:rPr>
          <w:kern w:val="0"/>
        </w:rPr>
        <w:t xml:space="preserve"> the </w:t>
      </w:r>
      <w:r w:rsidRPr="00F219CA">
        <w:rPr>
          <w:kern w:val="0"/>
        </w:rPr>
        <w:t>Spanish psychiatric journals.</w:t>
      </w:r>
    </w:p>
    <w:p w:rsidR="00431942" w:rsidRPr="00F219CA" w:rsidRDefault="00431942" w:rsidP="00431942">
      <w:pPr>
        <w:pStyle w:val="a3"/>
        <w:rPr>
          <w:kern w:val="0"/>
          <w:szCs w:val="24"/>
        </w:rPr>
      </w:pPr>
      <w:r w:rsidRPr="00F219CA">
        <w:rPr>
          <w:kern w:val="0"/>
          <w:szCs w:val="24"/>
        </w:rPr>
        <w:t xml:space="preserve">Keywords: </w:t>
      </w:r>
      <w:r w:rsidRPr="00F219CA">
        <w:rPr>
          <w:i/>
          <w:iCs/>
          <w:kern w:val="0"/>
          <w:szCs w:val="24"/>
        </w:rPr>
        <w:t>Actas Espanolas de Psiquiatria</w:t>
      </w:r>
      <w:r w:rsidRPr="00F219CA">
        <w:rPr>
          <w:kern w:val="0"/>
          <w:szCs w:val="24"/>
        </w:rPr>
        <w:t>, Bibliometric, Bibliometric Indicators, Bibliometric Indicators, Citation, Citation Index, Citations, Immediacy Index, Impact, Impact Factor, Indicators, Information, Journals, Medical, Medical Journals, Science, Science Citation Index, Scientific Activity, Spanish Psychiatric Journals</w:t>
      </w:r>
    </w:p>
    <w:p w:rsidR="00431942" w:rsidRPr="00F219CA" w:rsidRDefault="00431942" w:rsidP="00431942">
      <w:pPr>
        <w:pStyle w:val="a3"/>
        <w:rPr>
          <w:kern w:val="0"/>
        </w:rPr>
      </w:pPr>
      <w:r w:rsidRPr="00F219CA">
        <w:rPr>
          <w:kern w:val="0"/>
        </w:rPr>
        <w:t>? Blanco, R.O.</w:t>
      </w:r>
      <w:r w:rsidR="005853A9">
        <w:rPr>
          <w:kern w:val="0"/>
        </w:rPr>
        <w:t xml:space="preserve"> and </w:t>
      </w:r>
      <w:r w:rsidRPr="00F219CA">
        <w:rPr>
          <w:kern w:val="0"/>
        </w:rPr>
        <w:t>Iglesias, S.S. (2005), Comparative bibliometric study</w:t>
      </w:r>
      <w:r w:rsidR="00427468">
        <w:rPr>
          <w:kern w:val="0"/>
        </w:rPr>
        <w:t xml:space="preserve"> of </w:t>
      </w:r>
      <w:r w:rsidR="003A1917">
        <w:rPr>
          <w:kern w:val="0"/>
        </w:rPr>
        <w:t xml:space="preserve">the </w:t>
      </w:r>
      <w:r w:rsidRPr="00F219CA">
        <w:rPr>
          <w:kern w:val="0"/>
        </w:rPr>
        <w:t>publications in Spanish</w:t>
      </w:r>
      <w:r w:rsidR="005853A9">
        <w:rPr>
          <w:kern w:val="0"/>
        </w:rPr>
        <w:t xml:space="preserve"> and </w:t>
      </w:r>
      <w:r w:rsidRPr="00F219CA">
        <w:rPr>
          <w:kern w:val="0"/>
        </w:rPr>
        <w:t xml:space="preserve">other European publications. </w:t>
      </w:r>
      <w:r w:rsidRPr="00F219CA">
        <w:rPr>
          <w:i/>
          <w:iCs/>
          <w:kern w:val="0"/>
          <w:szCs w:val="24"/>
        </w:rPr>
        <w:t>Actas Espanolas de Psiquiatria</w:t>
      </w:r>
      <w:r w:rsidRPr="00F219CA">
        <w:rPr>
          <w:kern w:val="0"/>
        </w:rPr>
        <w:t xml:space="preserve">, </w:t>
      </w:r>
      <w:r w:rsidRPr="00F219CA">
        <w:rPr>
          <w:b/>
          <w:bCs/>
          <w:kern w:val="0"/>
        </w:rPr>
        <w:t>33</w:t>
      </w:r>
      <w:r w:rsidRPr="00F219CA">
        <w:rPr>
          <w:kern w:val="0"/>
        </w:rPr>
        <w:t xml:space="preserve"> (3), 154-159.</w:t>
      </w:r>
    </w:p>
    <w:p w:rsidR="007103C8" w:rsidRPr="00F219CA" w:rsidRDefault="007103C8" w:rsidP="007103C8">
      <w:pPr>
        <w:pStyle w:val="a3"/>
        <w:rPr>
          <w:kern w:val="0"/>
          <w:szCs w:val="24"/>
        </w:rPr>
      </w:pPr>
      <w:r>
        <w:rPr>
          <w:rFonts w:hint="eastAsia"/>
          <w:kern w:val="0"/>
          <w:szCs w:val="24"/>
        </w:rPr>
        <w:t>Full Text: 2005\</w:t>
      </w:r>
      <w:r>
        <w:rPr>
          <w:iCs/>
          <w:kern w:val="0"/>
          <w:szCs w:val="24"/>
        </w:rPr>
        <w:t>Act Esp Psi</w:t>
      </w:r>
      <w:r w:rsidRPr="00C81F2C">
        <w:rPr>
          <w:bCs/>
          <w:kern w:val="0"/>
          <w:szCs w:val="24"/>
        </w:rPr>
        <w:t>3</w:t>
      </w:r>
      <w:r>
        <w:rPr>
          <w:rFonts w:hint="eastAsia"/>
          <w:bCs/>
          <w:kern w:val="0"/>
          <w:szCs w:val="24"/>
        </w:rPr>
        <w:t>3</w:t>
      </w:r>
      <w:r w:rsidRPr="00F219CA">
        <w:rPr>
          <w:kern w:val="0"/>
          <w:szCs w:val="24"/>
        </w:rPr>
        <w:t xml:space="preserve">, </w:t>
      </w:r>
      <w:r>
        <w:rPr>
          <w:rFonts w:hint="eastAsia"/>
          <w:kern w:val="0"/>
          <w:szCs w:val="24"/>
        </w:rPr>
        <w:t>154.pdf</w:t>
      </w:r>
    </w:p>
    <w:p w:rsidR="00431942" w:rsidRPr="00F219CA" w:rsidRDefault="00431942" w:rsidP="00431942">
      <w:pPr>
        <w:pStyle w:val="a3"/>
        <w:rPr>
          <w:kern w:val="0"/>
        </w:rPr>
      </w:pPr>
      <w:r w:rsidRPr="00F219CA">
        <w:rPr>
          <w:kern w:val="0"/>
        </w:rPr>
        <w:t xml:space="preserve">Abstract: Introduction. Investigation in biomedicine carried out in </w:t>
      </w:r>
      <w:smartTag w:uri="urn:schemas-microsoft-com:office:smarttags" w:element="place">
        <w:smartTag w:uri="urn:schemas-microsoft-com:office:smarttags" w:element="country-region">
          <w:r w:rsidRPr="00F219CA">
            <w:rPr>
              <w:kern w:val="0"/>
            </w:rPr>
            <w:t>Spain</w:t>
          </w:r>
        </w:smartTag>
      </w:smartTag>
      <w:r w:rsidRPr="00F219CA">
        <w:rPr>
          <w:kern w:val="0"/>
        </w:rPr>
        <w:t xml:space="preserve"> presently has a good level</w:t>
      </w:r>
      <w:r w:rsidR="005853A9">
        <w:rPr>
          <w:kern w:val="0"/>
        </w:rPr>
        <w:t xml:space="preserve"> and </w:t>
      </w:r>
      <w:r w:rsidRPr="00F219CA">
        <w:rPr>
          <w:kern w:val="0"/>
        </w:rPr>
        <w:t>has evolved positively in</w:t>
      </w:r>
      <w:r w:rsidR="003A1917">
        <w:rPr>
          <w:kern w:val="0"/>
        </w:rPr>
        <w:t xml:space="preserve"> the </w:t>
      </w:r>
      <w:r w:rsidRPr="00F219CA">
        <w:rPr>
          <w:kern w:val="0"/>
        </w:rPr>
        <w:t>last two decades. In order to know</w:t>
      </w:r>
      <w:r w:rsidR="003A1917">
        <w:rPr>
          <w:kern w:val="0"/>
        </w:rPr>
        <w:t xml:space="preserve"> the </w:t>
      </w:r>
      <w:r w:rsidRPr="00F219CA">
        <w:rPr>
          <w:kern w:val="0"/>
        </w:rPr>
        <w:t>research situation in psychiatry,</w:t>
      </w:r>
      <w:r w:rsidR="003A1917">
        <w:rPr>
          <w:kern w:val="0"/>
        </w:rPr>
        <w:t xml:space="preserve"> the </w:t>
      </w:r>
      <w:r w:rsidRPr="00F219CA">
        <w:rPr>
          <w:kern w:val="0"/>
        </w:rPr>
        <w:t>bibliometric study was used as a method</w:t>
      </w:r>
      <w:r w:rsidR="00427468">
        <w:rPr>
          <w:kern w:val="0"/>
        </w:rPr>
        <w:t xml:space="preserve"> of </w:t>
      </w:r>
      <w:r w:rsidRPr="00F219CA">
        <w:rPr>
          <w:kern w:val="0"/>
        </w:rPr>
        <w:t>approach to</w:t>
      </w:r>
      <w:r w:rsidR="003A1917">
        <w:rPr>
          <w:kern w:val="0"/>
        </w:rPr>
        <w:t xml:space="preserve"> the </w:t>
      </w:r>
      <w:r w:rsidRPr="00F219CA">
        <w:rPr>
          <w:kern w:val="0"/>
        </w:rPr>
        <w:t>mentioned analysis. Objectives. To identify</w:t>
      </w:r>
      <w:r w:rsidR="003A1917">
        <w:rPr>
          <w:kern w:val="0"/>
        </w:rPr>
        <w:t xml:space="preserve"> the </w:t>
      </w:r>
      <w:r w:rsidRPr="00F219CA">
        <w:rPr>
          <w:kern w:val="0"/>
        </w:rPr>
        <w:t>Spanish scientific production in psychiatry during</w:t>
      </w:r>
      <w:r w:rsidR="003A1917">
        <w:rPr>
          <w:kern w:val="0"/>
        </w:rPr>
        <w:t xml:space="preserve"> the </w:t>
      </w:r>
      <w:r w:rsidRPr="00F219CA">
        <w:rPr>
          <w:kern w:val="0"/>
        </w:rPr>
        <w:t>last decade, its repercussion worldwide</w:t>
      </w:r>
      <w:r w:rsidR="005853A9">
        <w:rPr>
          <w:kern w:val="0"/>
        </w:rPr>
        <w:t xml:space="preserve"> and </w:t>
      </w:r>
      <w:r w:rsidRPr="00F219CA">
        <w:rPr>
          <w:kern w:val="0"/>
        </w:rPr>
        <w:t>to compare it to other countries</w:t>
      </w:r>
      <w:r w:rsidR="00427468">
        <w:rPr>
          <w:kern w:val="0"/>
        </w:rPr>
        <w:t xml:space="preserve"> of </w:t>
      </w:r>
      <w:r w:rsidRPr="00F219CA">
        <w:rPr>
          <w:kern w:val="0"/>
        </w:rPr>
        <w:t>our surroundings. Method. Bibliographical revision</w:t>
      </w:r>
      <w:r w:rsidR="00427468">
        <w:rPr>
          <w:kern w:val="0"/>
        </w:rPr>
        <w:t xml:space="preserve"> of </w:t>
      </w:r>
      <w:r w:rsidR="003A1917">
        <w:rPr>
          <w:kern w:val="0"/>
        </w:rPr>
        <w:t xml:space="preserve">the </w:t>
      </w:r>
      <w:r w:rsidRPr="00F219CA">
        <w:rPr>
          <w:kern w:val="0"/>
        </w:rPr>
        <w:t>psychiatric magazines with greater impact factor at present</w:t>
      </w:r>
      <w:r w:rsidR="00A37C1D">
        <w:rPr>
          <w:kern w:val="0"/>
        </w:rPr>
        <w:t>. The</w:t>
      </w:r>
      <w:r w:rsidRPr="00F219CA">
        <w:rPr>
          <w:kern w:val="0"/>
        </w:rPr>
        <w:t>matic magazines</w:t>
      </w:r>
      <w:r w:rsidR="00427468">
        <w:rPr>
          <w:kern w:val="0"/>
        </w:rPr>
        <w:t xml:space="preserve"> of </w:t>
      </w:r>
      <w:r w:rsidRPr="00F219CA">
        <w:rPr>
          <w:kern w:val="0"/>
        </w:rPr>
        <w:t>psychiatry</w:t>
      </w:r>
      <w:r w:rsidR="005853A9">
        <w:rPr>
          <w:kern w:val="0"/>
        </w:rPr>
        <w:t xml:space="preserve"> and </w:t>
      </w:r>
      <w:r w:rsidRPr="00F219CA">
        <w:rPr>
          <w:kern w:val="0"/>
        </w:rPr>
        <w:t>other areas (child</w:t>
      </w:r>
      <w:r w:rsidR="005853A9">
        <w:rPr>
          <w:kern w:val="0"/>
        </w:rPr>
        <w:t xml:space="preserve"> and </w:t>
      </w:r>
      <w:r w:rsidRPr="00F219CA">
        <w:rPr>
          <w:kern w:val="0"/>
        </w:rPr>
        <w:t>adolescent psychiatry</w:t>
      </w:r>
      <w:r w:rsidR="005853A9">
        <w:rPr>
          <w:kern w:val="0"/>
        </w:rPr>
        <w:t xml:space="preserve"> and </w:t>
      </w:r>
      <w:r w:rsidR="003A1917">
        <w:rPr>
          <w:kern w:val="0"/>
        </w:rPr>
        <w:t xml:space="preserve">the </w:t>
      </w:r>
      <w:r w:rsidRPr="00F219CA">
        <w:rPr>
          <w:kern w:val="0"/>
        </w:rPr>
        <w:t>addictions) are reviewed</w:t>
      </w:r>
      <w:r w:rsidR="00A37C1D">
        <w:rPr>
          <w:kern w:val="0"/>
        </w:rPr>
        <w:t>. The</w:t>
      </w:r>
      <w:r w:rsidR="003A1917">
        <w:rPr>
          <w:kern w:val="0"/>
        </w:rPr>
        <w:t xml:space="preserve"> </w:t>
      </w:r>
      <w:r w:rsidRPr="00F219CA">
        <w:rPr>
          <w:kern w:val="0"/>
        </w:rPr>
        <w:t>articles</w:t>
      </w:r>
      <w:r w:rsidR="00427468">
        <w:rPr>
          <w:kern w:val="0"/>
        </w:rPr>
        <w:t xml:space="preserve"> of </w:t>
      </w:r>
      <w:r w:rsidRPr="00F219CA">
        <w:rPr>
          <w:kern w:val="0"/>
        </w:rPr>
        <w:t>Spanish authors were analyzed</w:t>
      </w:r>
      <w:r w:rsidR="005853A9">
        <w:rPr>
          <w:kern w:val="0"/>
        </w:rPr>
        <w:t xml:space="preserve"> and </w:t>
      </w:r>
      <w:r w:rsidRPr="00F219CA">
        <w:rPr>
          <w:kern w:val="0"/>
        </w:rPr>
        <w:t>compared with other countries</w:t>
      </w:r>
      <w:r w:rsidR="00427468">
        <w:rPr>
          <w:kern w:val="0"/>
        </w:rPr>
        <w:t xml:space="preserve"> of </w:t>
      </w:r>
      <w:r w:rsidR="003A1917">
        <w:rPr>
          <w:kern w:val="0"/>
        </w:rPr>
        <w:t xml:space="preserve">the </w:t>
      </w:r>
      <w:r w:rsidRPr="00F219CA">
        <w:rPr>
          <w:kern w:val="0"/>
        </w:rPr>
        <w:t>surroundings (Germany, France, Holland, Italy</w:t>
      </w:r>
      <w:r w:rsidR="005853A9">
        <w:rPr>
          <w:kern w:val="0"/>
        </w:rPr>
        <w:t xml:space="preserve"> and </w:t>
      </w:r>
      <w:r w:rsidRPr="00F219CA">
        <w:rPr>
          <w:kern w:val="0"/>
        </w:rPr>
        <w:t>Sweden)</w:t>
      </w:r>
      <w:r w:rsidR="00A37C1D">
        <w:rPr>
          <w:kern w:val="0"/>
        </w:rPr>
        <w:t>. The</w:t>
      </w:r>
      <w:r w:rsidR="003A1917">
        <w:rPr>
          <w:kern w:val="0"/>
        </w:rPr>
        <w:t xml:space="preserve"> </w:t>
      </w:r>
      <w:r w:rsidRPr="00F219CA">
        <w:rPr>
          <w:kern w:val="0"/>
        </w:rPr>
        <w:t>data obtained are linked with</w:t>
      </w:r>
      <w:r w:rsidR="003A1917">
        <w:rPr>
          <w:kern w:val="0"/>
        </w:rPr>
        <w:t xml:space="preserve"> the </w:t>
      </w:r>
      <w:r w:rsidRPr="00F219CA">
        <w:rPr>
          <w:kern w:val="0"/>
        </w:rPr>
        <w:t>economic data</w:t>
      </w:r>
      <w:r w:rsidR="00427468">
        <w:rPr>
          <w:kern w:val="0"/>
        </w:rPr>
        <w:t xml:space="preserve"> of </w:t>
      </w:r>
      <w:r w:rsidR="003A1917">
        <w:rPr>
          <w:kern w:val="0"/>
        </w:rPr>
        <w:t xml:space="preserve">the </w:t>
      </w:r>
      <w:r w:rsidRPr="00F219CA">
        <w:rPr>
          <w:kern w:val="0"/>
        </w:rPr>
        <w:t xml:space="preserve">countries in </w:t>
      </w:r>
      <w:r w:rsidRPr="00F219CA">
        <w:rPr>
          <w:kern w:val="0"/>
        </w:rPr>
        <w:lastRenderedPageBreak/>
        <w:t>question, it being possible to obtain how much each one</w:t>
      </w:r>
      <w:r w:rsidR="00427468">
        <w:rPr>
          <w:kern w:val="0"/>
        </w:rPr>
        <w:t xml:space="preserve"> of </w:t>
      </w:r>
      <w:r w:rsidR="003A1917">
        <w:rPr>
          <w:kern w:val="0"/>
        </w:rPr>
        <w:t xml:space="preserve">the </w:t>
      </w:r>
      <w:r w:rsidRPr="00F219CA">
        <w:rPr>
          <w:kern w:val="0"/>
        </w:rPr>
        <w:t>investigations in</w:t>
      </w:r>
      <w:r w:rsidR="003A1917">
        <w:rPr>
          <w:kern w:val="0"/>
        </w:rPr>
        <w:t xml:space="preserve"> the </w:t>
      </w:r>
      <w:r w:rsidRPr="00F219CA">
        <w:rPr>
          <w:kern w:val="0"/>
        </w:rPr>
        <w:t>diverse countries cost per citizen. Results. Globally,</w:t>
      </w:r>
      <w:r w:rsidR="003A1917">
        <w:rPr>
          <w:kern w:val="0"/>
        </w:rPr>
        <w:t xml:space="preserve"> the </w:t>
      </w:r>
      <w:r w:rsidRPr="00F219CA">
        <w:rPr>
          <w:kern w:val="0"/>
        </w:rPr>
        <w:t xml:space="preserve">countries analyzed have increased their international scientific production and, specifically, Spain has doubled its scientific activity in psychiatry. Conclusions. Investigation in psychiatry in </w:t>
      </w:r>
      <w:smartTag w:uri="urn:schemas-microsoft-com:office:smarttags" w:element="place">
        <w:smartTag w:uri="urn:schemas-microsoft-com:office:smarttags" w:element="country-region">
          <w:r w:rsidRPr="00F219CA">
            <w:rPr>
              <w:kern w:val="0"/>
            </w:rPr>
            <w:t>Spain</w:t>
          </w:r>
        </w:smartTag>
      </w:smartTag>
      <w:r w:rsidRPr="00F219CA">
        <w:rPr>
          <w:kern w:val="0"/>
        </w:rPr>
        <w:t xml:space="preserve"> is represented in publications</w:t>
      </w:r>
      <w:r w:rsidR="00427468">
        <w:rPr>
          <w:kern w:val="0"/>
        </w:rPr>
        <w:t xml:space="preserve"> of </w:t>
      </w:r>
      <w:r w:rsidRPr="00F219CA">
        <w:rPr>
          <w:kern w:val="0"/>
        </w:rPr>
        <w:t>greater impact factor</w:t>
      </w:r>
      <w:r w:rsidR="00427468">
        <w:rPr>
          <w:kern w:val="0"/>
        </w:rPr>
        <w:t xml:space="preserve"> of </w:t>
      </w:r>
      <w:r w:rsidR="003A1917">
        <w:rPr>
          <w:kern w:val="0"/>
        </w:rPr>
        <w:t xml:space="preserve">the </w:t>
      </w:r>
      <w:r w:rsidRPr="00F219CA">
        <w:rPr>
          <w:kern w:val="0"/>
        </w:rPr>
        <w:t>speciality</w:t>
      </w:r>
      <w:r w:rsidR="005853A9">
        <w:rPr>
          <w:kern w:val="0"/>
        </w:rPr>
        <w:t xml:space="preserve"> and </w:t>
      </w:r>
      <w:r w:rsidRPr="00F219CA">
        <w:rPr>
          <w:kern w:val="0"/>
        </w:rPr>
        <w:t>is comparable in volume to</w:t>
      </w:r>
      <w:r w:rsidR="003A1917">
        <w:rPr>
          <w:kern w:val="0"/>
        </w:rPr>
        <w:t xml:space="preserve"> the </w:t>
      </w:r>
      <w:r w:rsidRPr="00F219CA">
        <w:rPr>
          <w:kern w:val="0"/>
        </w:rPr>
        <w:t>other countries</w:t>
      </w:r>
      <w:r w:rsidR="00427468">
        <w:rPr>
          <w:kern w:val="0"/>
        </w:rPr>
        <w:t xml:space="preserve"> of </w:t>
      </w:r>
      <w:r w:rsidRPr="00F219CA">
        <w:rPr>
          <w:kern w:val="0"/>
        </w:rPr>
        <w:t>our surroundings.</w:t>
      </w:r>
    </w:p>
    <w:p w:rsidR="00431942" w:rsidRPr="00F219CA" w:rsidRDefault="00431942" w:rsidP="00431942">
      <w:pPr>
        <w:pStyle w:val="a3"/>
        <w:rPr>
          <w:kern w:val="0"/>
          <w:szCs w:val="24"/>
        </w:rPr>
      </w:pPr>
      <w:r w:rsidRPr="00F219CA">
        <w:rPr>
          <w:kern w:val="0"/>
          <w:szCs w:val="24"/>
        </w:rPr>
        <w:t>Keywords: Articles, Authors, Barcelona, Bibliographical Revision, Bibliometric, Bibliometric Study, Countries, Germany, Impact, Impact Factor, International Projection, Italy, Psychiatry</w:t>
      </w:r>
      <w:r w:rsidR="00427468">
        <w:rPr>
          <w:kern w:val="0"/>
          <w:szCs w:val="24"/>
        </w:rPr>
        <w:t xml:space="preserve"> of </w:t>
      </w:r>
      <w:r w:rsidRPr="00F219CA">
        <w:rPr>
          <w:kern w:val="0"/>
          <w:szCs w:val="24"/>
        </w:rPr>
        <w:t>Impact, Publications, Publications</w:t>
      </w:r>
      <w:r w:rsidR="00427468">
        <w:rPr>
          <w:kern w:val="0"/>
          <w:szCs w:val="24"/>
        </w:rPr>
        <w:t xml:space="preserve"> of </w:t>
      </w:r>
      <w:r w:rsidRPr="00F219CA">
        <w:rPr>
          <w:kern w:val="0"/>
          <w:szCs w:val="24"/>
        </w:rPr>
        <w:t>Impact, Research, Scientific Production, Spain</w:t>
      </w:r>
    </w:p>
    <w:p w:rsidR="00B173EF" w:rsidRDefault="00B173EF" w:rsidP="00B173EF">
      <w:pPr>
        <w:pStyle w:val="a3"/>
        <w:rPr>
          <w:kern w:val="0"/>
        </w:rPr>
      </w:pPr>
      <w:r>
        <w:rPr>
          <w:rFonts w:hint="eastAsia"/>
          <w:kern w:val="0"/>
        </w:rPr>
        <w:t>? Di</w:t>
      </w:r>
      <w:r>
        <w:rPr>
          <w:kern w:val="0"/>
        </w:rPr>
        <w:t>áz-Mora</w:t>
      </w:r>
      <w:r>
        <w:rPr>
          <w:rFonts w:hint="eastAsia"/>
          <w:kern w:val="0"/>
        </w:rPr>
        <w:t>n</w:t>
      </w:r>
      <w:r>
        <w:rPr>
          <w:kern w:val="0"/>
        </w:rPr>
        <w:t>, S.</w:t>
      </w:r>
      <w:r w:rsidR="005853A9">
        <w:rPr>
          <w:kern w:val="0"/>
        </w:rPr>
        <w:t xml:space="preserve"> and </w:t>
      </w:r>
      <w:r>
        <w:rPr>
          <w:kern w:val="0"/>
        </w:rPr>
        <w:t>Tobeña, A. (2011), Research contributions</w:t>
      </w:r>
      <w:r w:rsidR="00427468">
        <w:rPr>
          <w:kern w:val="0"/>
        </w:rPr>
        <w:t xml:space="preserve"> of </w:t>
      </w:r>
      <w:r>
        <w:rPr>
          <w:kern w:val="0"/>
        </w:rPr>
        <w:t>Spanish Psychiatry (2004-2009): A bibliometric analysis</w:t>
      </w:r>
      <w:r w:rsidR="00427468">
        <w:rPr>
          <w:kern w:val="0"/>
        </w:rPr>
        <w:t xml:space="preserve"> of </w:t>
      </w:r>
      <w:r>
        <w:rPr>
          <w:kern w:val="0"/>
        </w:rPr>
        <w:t xml:space="preserve">a University department. </w:t>
      </w:r>
      <w:r>
        <w:rPr>
          <w:i/>
          <w:iCs/>
          <w:kern w:val="0"/>
        </w:rPr>
        <w:t>Actas Espanolas de Psiquiatria</w:t>
      </w:r>
      <w:r>
        <w:rPr>
          <w:kern w:val="0"/>
        </w:rPr>
        <w:t xml:space="preserve">, </w:t>
      </w:r>
      <w:r>
        <w:rPr>
          <w:b/>
          <w:bCs/>
          <w:kern w:val="0"/>
        </w:rPr>
        <w:t>39</w:t>
      </w:r>
      <w:r>
        <w:rPr>
          <w:kern w:val="0"/>
        </w:rPr>
        <w:t xml:space="preserve"> (5), 294-301.</w:t>
      </w:r>
    </w:p>
    <w:p w:rsidR="00EF7768" w:rsidRDefault="00EF7768" w:rsidP="00EF7768">
      <w:pPr>
        <w:pStyle w:val="a3"/>
        <w:rPr>
          <w:kern w:val="0"/>
        </w:rPr>
      </w:pPr>
      <w:r>
        <w:rPr>
          <w:rFonts w:hint="eastAsia"/>
          <w:kern w:val="0"/>
        </w:rPr>
        <w:t xml:space="preserve">Full Text: </w:t>
      </w:r>
      <w:hyperlink r:id="rId217" w:history="1">
        <w:r w:rsidR="00B173EF" w:rsidRPr="00B173EF">
          <w:rPr>
            <w:rStyle w:val="a5"/>
            <w:kern w:val="0"/>
          </w:rPr>
          <w:t>2011\Act Esp Psi39, 294.pdf</w:t>
        </w:r>
      </w:hyperlink>
    </w:p>
    <w:p w:rsidR="00EF7768" w:rsidRDefault="00EF7768" w:rsidP="00EF7768">
      <w:pPr>
        <w:pStyle w:val="a3"/>
        <w:rPr>
          <w:kern w:val="0"/>
        </w:rPr>
      </w:pPr>
      <w:r>
        <w:rPr>
          <w:kern w:val="0"/>
        </w:rPr>
        <w:t>Abstract: Psychiatric research in Spain went through a notorious increase in quality</w:t>
      </w:r>
      <w:r w:rsidR="005853A9">
        <w:rPr>
          <w:kern w:val="0"/>
        </w:rPr>
        <w:t xml:space="preserve"> and </w:t>
      </w:r>
      <w:r>
        <w:rPr>
          <w:kern w:val="0"/>
        </w:rPr>
        <w:t>quantity</w:t>
      </w:r>
      <w:r w:rsidR="00427468">
        <w:rPr>
          <w:kern w:val="0"/>
        </w:rPr>
        <w:t xml:space="preserve"> of </w:t>
      </w:r>
      <w:r>
        <w:rPr>
          <w:kern w:val="0"/>
        </w:rPr>
        <w:t>peer-reviewed papers during</w:t>
      </w:r>
      <w:r w:rsidR="003A1917">
        <w:rPr>
          <w:kern w:val="0"/>
        </w:rPr>
        <w:t xml:space="preserve"> the </w:t>
      </w:r>
      <w:r>
        <w:rPr>
          <w:kern w:val="0"/>
        </w:rPr>
        <w:t>last decade</w:t>
      </w:r>
      <w:r w:rsidR="00427468">
        <w:rPr>
          <w:kern w:val="0"/>
        </w:rPr>
        <w:t xml:space="preserve"> of </w:t>
      </w:r>
      <w:r w:rsidR="003A1917">
        <w:rPr>
          <w:kern w:val="0"/>
        </w:rPr>
        <w:t xml:space="preserve">the </w:t>
      </w:r>
      <w:r>
        <w:rPr>
          <w:kern w:val="0"/>
        </w:rPr>
        <w:t>previous century, in parallel with other medical disciplines. Although there have been systematic studies</w:t>
      </w:r>
      <w:r w:rsidR="00427468">
        <w:rPr>
          <w:kern w:val="0"/>
        </w:rPr>
        <w:t xml:space="preserve"> of </w:t>
      </w:r>
      <w:r>
        <w:rPr>
          <w:kern w:val="0"/>
        </w:rPr>
        <w:t>scientific production, they are inadequate from</w:t>
      </w:r>
      <w:r w:rsidR="003A1917">
        <w:rPr>
          <w:kern w:val="0"/>
        </w:rPr>
        <w:t xml:space="preserve"> the </w:t>
      </w:r>
      <w:r>
        <w:rPr>
          <w:kern w:val="0"/>
        </w:rPr>
        <w:t>perspective</w:t>
      </w:r>
      <w:r w:rsidR="00427468">
        <w:rPr>
          <w:kern w:val="0"/>
        </w:rPr>
        <w:t xml:space="preserve"> of </w:t>
      </w:r>
      <w:r w:rsidR="003A1917">
        <w:rPr>
          <w:kern w:val="0"/>
        </w:rPr>
        <w:t xml:space="preserve">the </w:t>
      </w:r>
      <w:r>
        <w:rPr>
          <w:kern w:val="0"/>
        </w:rPr>
        <w:t>research groups</w:t>
      </w:r>
      <w:r w:rsidR="005853A9">
        <w:rPr>
          <w:kern w:val="0"/>
        </w:rPr>
        <w:t xml:space="preserve"> and </w:t>
      </w:r>
      <w:r>
        <w:rPr>
          <w:kern w:val="0"/>
        </w:rPr>
        <w:t>particularly from university departments. We considered this bibliometric study, in order to analyze</w:t>
      </w:r>
      <w:r w:rsidR="003A1917">
        <w:rPr>
          <w:kern w:val="0"/>
        </w:rPr>
        <w:t xml:space="preserve"> the </w:t>
      </w:r>
      <w:r>
        <w:rPr>
          <w:kern w:val="0"/>
        </w:rPr>
        <w:t>scientific production</w:t>
      </w:r>
      <w:r w:rsidR="00427468">
        <w:rPr>
          <w:kern w:val="0"/>
        </w:rPr>
        <w:t xml:space="preserve"> of </w:t>
      </w:r>
      <w:r w:rsidR="003A1917">
        <w:rPr>
          <w:kern w:val="0"/>
        </w:rPr>
        <w:t xml:space="preserve">the </w:t>
      </w:r>
      <w:r>
        <w:rPr>
          <w:kern w:val="0"/>
        </w:rPr>
        <w:t>Department</w:t>
      </w:r>
      <w:r w:rsidR="00427468">
        <w:rPr>
          <w:kern w:val="0"/>
        </w:rPr>
        <w:t xml:space="preserve"> of </w:t>
      </w:r>
      <w:r>
        <w:rPr>
          <w:kern w:val="0"/>
        </w:rPr>
        <w:t>Psychiatry</w:t>
      </w:r>
      <w:r w:rsidR="005853A9">
        <w:rPr>
          <w:kern w:val="0"/>
        </w:rPr>
        <w:t xml:space="preserve"> and </w:t>
      </w:r>
      <w:r>
        <w:rPr>
          <w:kern w:val="0"/>
        </w:rPr>
        <w:t>Forensic Medicine, at</w:t>
      </w:r>
      <w:r w:rsidR="003A1917">
        <w:rPr>
          <w:kern w:val="0"/>
        </w:rPr>
        <w:t xml:space="preserve"> the </w:t>
      </w:r>
      <w:r>
        <w:rPr>
          <w:kern w:val="0"/>
        </w:rPr>
        <w:t>Autonomous University</w:t>
      </w:r>
      <w:r w:rsidR="00427468">
        <w:rPr>
          <w:kern w:val="0"/>
        </w:rPr>
        <w:t xml:space="preserve"> of </w:t>
      </w:r>
      <w:r>
        <w:rPr>
          <w:kern w:val="0"/>
        </w:rPr>
        <w:t>Barcelona, UAB [DPsML]. Methodology. In a cross-sectional survey</w:t>
      </w:r>
      <w:r w:rsidR="00427468">
        <w:rPr>
          <w:kern w:val="0"/>
        </w:rPr>
        <w:t xml:space="preserve"> of </w:t>
      </w:r>
      <w:r>
        <w:rPr>
          <w:kern w:val="0"/>
        </w:rPr>
        <w:t>independent groups (n = 57, 54% men), indicators were applied to production, quality, visibility/distribution</w:t>
      </w:r>
      <w:r w:rsidR="005853A9">
        <w:rPr>
          <w:kern w:val="0"/>
        </w:rPr>
        <w:t xml:space="preserve"> and </w:t>
      </w:r>
      <w:r>
        <w:rPr>
          <w:kern w:val="0"/>
        </w:rPr>
        <w:t>sustained popularity. Results. DPsML research groups, published 314 articles and/or reviews (216 international) between 2004 2009, reaching a total</w:t>
      </w:r>
      <w:r w:rsidR="00427468">
        <w:rPr>
          <w:kern w:val="0"/>
        </w:rPr>
        <w:t xml:space="preserve"> of </w:t>
      </w:r>
      <w:r>
        <w:rPr>
          <w:kern w:val="0"/>
        </w:rPr>
        <w:t>974 quotations in</w:t>
      </w:r>
      <w:r w:rsidR="003A1917">
        <w:rPr>
          <w:kern w:val="0"/>
        </w:rPr>
        <w:t xml:space="preserve"> the </w:t>
      </w:r>
      <w:r>
        <w:rPr>
          <w:kern w:val="0"/>
        </w:rPr>
        <w:t>period (16 quots./basic researcher</w:t>
      </w:r>
      <w:r w:rsidR="005853A9">
        <w:rPr>
          <w:kern w:val="0"/>
        </w:rPr>
        <w:t xml:space="preserve"> and </w:t>
      </w:r>
      <w:r>
        <w:rPr>
          <w:kern w:val="0"/>
        </w:rPr>
        <w:t>11.3 quots./clinical researcher). Contributions at</w:t>
      </w:r>
      <w:r w:rsidR="003A1917">
        <w:rPr>
          <w:kern w:val="0"/>
        </w:rPr>
        <w:t xml:space="preserve"> the </w:t>
      </w:r>
      <w:r>
        <w:rPr>
          <w:kern w:val="0"/>
        </w:rPr>
        <w:t>Thomson Scientific Index [TSI], come from clinical groups (56.48%),</w:t>
      </w:r>
      <w:r w:rsidR="005853A9">
        <w:rPr>
          <w:kern w:val="0"/>
        </w:rPr>
        <w:t xml:space="preserve"> and </w:t>
      </w:r>
      <w:r>
        <w:rPr>
          <w:kern w:val="0"/>
        </w:rPr>
        <w:t>basic groups: 43.52%</w:t>
      </w:r>
      <w:r w:rsidR="00A37C1D">
        <w:rPr>
          <w:kern w:val="0"/>
        </w:rPr>
        <w:t>. The</w:t>
      </w:r>
      <w:r w:rsidR="003A1917">
        <w:rPr>
          <w:kern w:val="0"/>
        </w:rPr>
        <w:t xml:space="preserve"> </w:t>
      </w:r>
      <w:r>
        <w:rPr>
          <w:kern w:val="0"/>
        </w:rPr>
        <w:t>basic groups showed on average impact factor</w:t>
      </w:r>
      <w:r w:rsidR="00427468">
        <w:rPr>
          <w:kern w:val="0"/>
        </w:rPr>
        <w:t xml:space="preserve"> of </w:t>
      </w:r>
      <w:r>
        <w:rPr>
          <w:kern w:val="0"/>
        </w:rPr>
        <w:t>5.12</w:t>
      </w:r>
      <w:r w:rsidR="005853A9">
        <w:rPr>
          <w:kern w:val="0"/>
        </w:rPr>
        <w:t xml:space="preserve"> and </w:t>
      </w:r>
      <w:r>
        <w:rPr>
          <w:kern w:val="0"/>
        </w:rPr>
        <w:t>clinical groups</w:t>
      </w:r>
      <w:r w:rsidR="00427468">
        <w:rPr>
          <w:kern w:val="0"/>
        </w:rPr>
        <w:t xml:space="preserve"> of </w:t>
      </w:r>
      <w:r>
        <w:rPr>
          <w:kern w:val="0"/>
        </w:rPr>
        <w:t>2. Conclusions. DPsML published 11.84%</w:t>
      </w:r>
      <w:r w:rsidR="00427468">
        <w:rPr>
          <w:kern w:val="0"/>
        </w:rPr>
        <w:t xml:space="preserve"> of </w:t>
      </w:r>
      <w:r>
        <w:rPr>
          <w:kern w:val="0"/>
        </w:rPr>
        <w:t>most cited papers in Spanish psychiatry, 20% in</w:t>
      </w:r>
      <w:r w:rsidR="003A1917">
        <w:rPr>
          <w:kern w:val="0"/>
        </w:rPr>
        <w:t xml:space="preserve"> the </w:t>
      </w:r>
      <w:r>
        <w:rPr>
          <w:kern w:val="0"/>
        </w:rPr>
        <w:t>field</w:t>
      </w:r>
      <w:r w:rsidR="00427468">
        <w:rPr>
          <w:kern w:val="0"/>
        </w:rPr>
        <w:t xml:space="preserve"> of </w:t>
      </w:r>
      <w:r>
        <w:rPr>
          <w:kern w:val="0"/>
        </w:rPr>
        <w:t>drug addiction</w:t>
      </w:r>
      <w:r w:rsidR="005853A9">
        <w:rPr>
          <w:kern w:val="0"/>
        </w:rPr>
        <w:t xml:space="preserve"> and </w:t>
      </w:r>
      <w:r>
        <w:rPr>
          <w:kern w:val="0"/>
        </w:rPr>
        <w:t>20.84% in</w:t>
      </w:r>
      <w:r w:rsidR="003A1917">
        <w:rPr>
          <w:kern w:val="0"/>
        </w:rPr>
        <w:t xml:space="preserve"> the </w:t>
      </w:r>
      <w:r>
        <w:rPr>
          <w:kern w:val="0"/>
        </w:rPr>
        <w:t>field</w:t>
      </w:r>
      <w:r w:rsidR="00427468">
        <w:rPr>
          <w:kern w:val="0"/>
        </w:rPr>
        <w:t xml:space="preserve"> of </w:t>
      </w:r>
      <w:r>
        <w:rPr>
          <w:kern w:val="0"/>
        </w:rPr>
        <w:t>behavioral science,1</w:t>
      </w:r>
      <w:r w:rsidR="003A1917">
        <w:rPr>
          <w:kern w:val="0"/>
        </w:rPr>
        <w:t xml:space="preserve"> the </w:t>
      </w:r>
      <w:r>
        <w:rPr>
          <w:kern w:val="0"/>
        </w:rPr>
        <w:t>inconsistent results with other bibliometric studies2 on</w:t>
      </w:r>
      <w:r w:rsidR="003A1917">
        <w:rPr>
          <w:kern w:val="0"/>
        </w:rPr>
        <w:t xml:space="preserve"> the </w:t>
      </w:r>
      <w:r>
        <w:rPr>
          <w:kern w:val="0"/>
        </w:rPr>
        <w:t>same researchers, shows</w:t>
      </w:r>
      <w:r w:rsidR="003A1917">
        <w:rPr>
          <w:kern w:val="0"/>
        </w:rPr>
        <w:t xml:space="preserve"> the </w:t>
      </w:r>
      <w:r>
        <w:rPr>
          <w:kern w:val="0"/>
        </w:rPr>
        <w:t>need for more tight</w:t>
      </w:r>
      <w:r w:rsidR="005853A9">
        <w:rPr>
          <w:kern w:val="0"/>
        </w:rPr>
        <w:t xml:space="preserve"> and </w:t>
      </w:r>
      <w:r>
        <w:rPr>
          <w:kern w:val="0"/>
        </w:rPr>
        <w:t>demanding indicators</w:t>
      </w:r>
      <w:r w:rsidR="005853A9">
        <w:rPr>
          <w:kern w:val="0"/>
        </w:rPr>
        <w:t xml:space="preserve"> and </w:t>
      </w:r>
      <w:r>
        <w:rPr>
          <w:kern w:val="0"/>
        </w:rPr>
        <w:t>mapping</w:t>
      </w:r>
      <w:r w:rsidR="00427468">
        <w:rPr>
          <w:kern w:val="0"/>
        </w:rPr>
        <w:t xml:space="preserve"> of </w:t>
      </w:r>
      <w:r>
        <w:rPr>
          <w:kern w:val="0"/>
        </w:rPr>
        <w:t>production encompassing, both research groups as molar units (university departments).</w:t>
      </w:r>
    </w:p>
    <w:p w:rsidR="005C4A33" w:rsidRDefault="005C4A33" w:rsidP="005C4A33">
      <w:pPr>
        <w:pStyle w:val="a3"/>
        <w:rPr>
          <w:kern w:val="0"/>
        </w:rPr>
      </w:pPr>
      <w:r>
        <w:rPr>
          <w:kern w:val="0"/>
        </w:rPr>
        <w:t xml:space="preserve">Keywords: Addiction, Analysis, Articles, Barcelona, Bibliometric, Bibliometric Analysis, Bibliometric Study, Bibliometrics, Citation Analysis, Clinical, Cross Sectional Survey, Drug, Drug Addiction, Field, Impact, Impact Factor, Impact Index, Index, Indicators, International, Mapping, Medical, Medicine, Men, Methodology, Output, Papers, Peer-Reviewed, Psychiatry, Quality, Research, Reviews, Science, </w:t>
      </w:r>
      <w:r>
        <w:rPr>
          <w:kern w:val="0"/>
        </w:rPr>
        <w:lastRenderedPageBreak/>
        <w:t>Scientific Output, Scientific Production, Spain, Survey, University</w:t>
      </w:r>
    </w:p>
    <w:p w:rsidR="00CA4EED" w:rsidRDefault="00CA4EED" w:rsidP="00901971">
      <w:pPr>
        <w:pStyle w:val="a3"/>
        <w:rPr>
          <w:kern w:val="0"/>
        </w:rPr>
      </w:pPr>
      <w:r>
        <w:rPr>
          <w:rFonts w:hint="eastAsia"/>
          <w:kern w:val="0"/>
        </w:rPr>
        <w:t>Notes: CCountry</w:t>
      </w:r>
    </w:p>
    <w:p w:rsidR="00901971" w:rsidRDefault="00901971" w:rsidP="00901971">
      <w:pPr>
        <w:pStyle w:val="a3"/>
        <w:rPr>
          <w:kern w:val="0"/>
        </w:rPr>
      </w:pPr>
      <w:r>
        <w:rPr>
          <w:rFonts w:hint="eastAsia"/>
          <w:kern w:val="0"/>
        </w:rPr>
        <w:t xml:space="preserve">? </w:t>
      </w:r>
      <w:r>
        <w:rPr>
          <w:kern w:val="0"/>
        </w:rPr>
        <w:t>Lopez-Munoz, F., Rubio, G., Molina, J.D., Shen, W.W., Perez-Nieto, M.A., Moreno, R., Huelves, L., Noriega, C., Garcia-Garcia, P.</w:t>
      </w:r>
      <w:r w:rsidR="005853A9">
        <w:rPr>
          <w:kern w:val="0"/>
        </w:rPr>
        <w:t xml:space="preserve"> and </w:t>
      </w:r>
      <w:r>
        <w:rPr>
          <w:kern w:val="0"/>
        </w:rPr>
        <w:t xml:space="preserve">Alamo, C. (2013), Mapping the scientific research on atypical antipsychotic drugs in Spain: A bibliometric assessment. </w:t>
      </w:r>
      <w:r>
        <w:rPr>
          <w:i/>
          <w:iCs/>
          <w:kern w:val="0"/>
        </w:rPr>
        <w:t>Actas Espanolas de Psiquiatria</w:t>
      </w:r>
      <w:r>
        <w:rPr>
          <w:kern w:val="0"/>
        </w:rPr>
        <w:t xml:space="preserve">, </w:t>
      </w:r>
      <w:r>
        <w:rPr>
          <w:b/>
          <w:bCs/>
          <w:kern w:val="0"/>
        </w:rPr>
        <w:t>41</w:t>
      </w:r>
      <w:r>
        <w:rPr>
          <w:kern w:val="0"/>
        </w:rPr>
        <w:t xml:space="preserve"> (6), 349-360.</w:t>
      </w:r>
    </w:p>
    <w:p w:rsidR="00901971" w:rsidRDefault="00901971" w:rsidP="00901971">
      <w:pPr>
        <w:pStyle w:val="a3"/>
        <w:rPr>
          <w:kern w:val="0"/>
        </w:rPr>
      </w:pPr>
      <w:r>
        <w:rPr>
          <w:rFonts w:hint="eastAsia"/>
          <w:kern w:val="0"/>
        </w:rPr>
        <w:t xml:space="preserve">Full Text: </w:t>
      </w:r>
      <w:hyperlink r:id="rId218" w:history="1">
        <w:r w:rsidRPr="00F2307D">
          <w:rPr>
            <w:rStyle w:val="a5"/>
            <w:kern w:val="0"/>
          </w:rPr>
          <w:t>2013\Act Esp Psi41, 349.pdf</w:t>
        </w:r>
      </w:hyperlink>
    </w:p>
    <w:p w:rsidR="00901971" w:rsidRDefault="00901971" w:rsidP="00901971">
      <w:pPr>
        <w:pStyle w:val="a3"/>
        <w:rPr>
          <w:kern w:val="0"/>
        </w:rPr>
      </w:pPr>
      <w:r>
        <w:rPr>
          <w:kern w:val="0"/>
        </w:rPr>
        <w:t>Abstract: Objectives: We carried out a bibliometric study on the scientific publications in relation to atypical antipsychotic drugs (AADs) in Spain. Methods: We used the EMBASE</w:t>
      </w:r>
      <w:r w:rsidR="005853A9">
        <w:rPr>
          <w:kern w:val="0"/>
        </w:rPr>
        <w:t xml:space="preserve"> and </w:t>
      </w:r>
      <w:r>
        <w:rPr>
          <w:kern w:val="0"/>
        </w:rPr>
        <w:t>MEDLINE databases</w:t>
      </w:r>
      <w:r w:rsidR="005853A9">
        <w:rPr>
          <w:kern w:val="0"/>
        </w:rPr>
        <w:t xml:space="preserve"> and </w:t>
      </w:r>
      <w:r>
        <w:rPr>
          <w:kern w:val="0"/>
        </w:rPr>
        <w:t>we applied some bibliometric indicators</w:t>
      </w:r>
      <w:r w:rsidR="00427468">
        <w:rPr>
          <w:kern w:val="0"/>
        </w:rPr>
        <w:t xml:space="preserve"> of </w:t>
      </w:r>
      <w:r>
        <w:rPr>
          <w:kern w:val="0"/>
        </w:rPr>
        <w:t>paper production</w:t>
      </w:r>
      <w:r w:rsidR="005853A9">
        <w:rPr>
          <w:kern w:val="0"/>
        </w:rPr>
        <w:t xml:space="preserve"> and </w:t>
      </w:r>
      <w:r>
        <w:rPr>
          <w:kern w:val="0"/>
        </w:rPr>
        <w:t>dispersion (Price</w:t>
      </w:r>
      <w:r w:rsidR="00700038">
        <w:rPr>
          <w:kern w:val="0"/>
        </w:rPr>
        <w:t>’</w:t>
      </w:r>
      <w:r>
        <w:rPr>
          <w:kern w:val="0"/>
        </w:rPr>
        <w:t>s law</w:t>
      </w:r>
      <w:r w:rsidR="005853A9">
        <w:rPr>
          <w:kern w:val="0"/>
        </w:rPr>
        <w:t xml:space="preserve"> and </w:t>
      </w:r>
      <w:r>
        <w:rPr>
          <w:kern w:val="0"/>
        </w:rPr>
        <w:t>Bradford</w:t>
      </w:r>
      <w:r w:rsidR="00700038">
        <w:rPr>
          <w:kern w:val="0"/>
        </w:rPr>
        <w:t>’</w:t>
      </w:r>
      <w:r>
        <w:rPr>
          <w:kern w:val="0"/>
        </w:rPr>
        <w:t>s law, respectively). We also calculated the participation index</w:t>
      </w:r>
      <w:r w:rsidR="00427468">
        <w:rPr>
          <w:kern w:val="0"/>
        </w:rPr>
        <w:t xml:space="preserve"> of </w:t>
      </w:r>
      <w:r>
        <w:rPr>
          <w:kern w:val="0"/>
        </w:rPr>
        <w:t>the different countries</w:t>
      </w:r>
      <w:r w:rsidR="005853A9">
        <w:rPr>
          <w:kern w:val="0"/>
        </w:rPr>
        <w:t xml:space="preserve"> and </w:t>
      </w:r>
      <w:r>
        <w:rPr>
          <w:kern w:val="0"/>
        </w:rPr>
        <w:t>correlated the bibliometric data with some social</w:t>
      </w:r>
      <w:r w:rsidR="005853A9">
        <w:rPr>
          <w:kern w:val="0"/>
        </w:rPr>
        <w:t xml:space="preserve"> and </w:t>
      </w:r>
      <w:r>
        <w:rPr>
          <w:kern w:val="0"/>
        </w:rPr>
        <w:t>health data (total per capita expenditure on health</w:t>
      </w:r>
      <w:r w:rsidR="005853A9">
        <w:rPr>
          <w:kern w:val="0"/>
        </w:rPr>
        <w:t xml:space="preserve"> and </w:t>
      </w:r>
      <w:r>
        <w:rPr>
          <w:kern w:val="0"/>
        </w:rPr>
        <w:t>gross domestic expenditure on research</w:t>
      </w:r>
      <w:r w:rsidR="005853A9">
        <w:rPr>
          <w:kern w:val="0"/>
        </w:rPr>
        <w:t xml:space="preserve"> and </w:t>
      </w:r>
      <w:r>
        <w:rPr>
          <w:kern w:val="0"/>
        </w:rPr>
        <w:t>development). Results: We collected 656 original papers published between 1988</w:t>
      </w:r>
      <w:r w:rsidR="005853A9">
        <w:rPr>
          <w:kern w:val="0"/>
        </w:rPr>
        <w:t xml:space="preserve"> and </w:t>
      </w:r>
      <w:r>
        <w:rPr>
          <w:kern w:val="0"/>
        </w:rPr>
        <w:t>2011. Our study results fulfilled Price</w:t>
      </w:r>
      <w:r w:rsidR="00700038">
        <w:rPr>
          <w:kern w:val="0"/>
        </w:rPr>
        <w:t>’</w:t>
      </w:r>
      <w:r>
        <w:rPr>
          <w:kern w:val="0"/>
        </w:rPr>
        <w:t>s law with scientific production on AADs showing exponential growth (correlation coefficient r = 0.9693, vs. r = 0.9177 after linear adjustment)</w:t>
      </w:r>
      <w:r w:rsidR="00A37C1D">
        <w:rPr>
          <w:kern w:val="0"/>
        </w:rPr>
        <w:t>. The</w:t>
      </w:r>
      <w:r>
        <w:rPr>
          <w:kern w:val="0"/>
        </w:rPr>
        <w:t xml:space="preserve"> most widely studied drugs were risperidone (181 papers), olanzapine (143), clozapine (94),</w:t>
      </w:r>
      <w:r w:rsidR="005853A9">
        <w:rPr>
          <w:kern w:val="0"/>
        </w:rPr>
        <w:t xml:space="preserve"> and </w:t>
      </w:r>
      <w:r>
        <w:rPr>
          <w:kern w:val="0"/>
        </w:rPr>
        <w:t>quetiapine (74). Division into Bradford zones yielded a nucleus occupied by the European Psychiatry</w:t>
      </w:r>
      <w:r w:rsidR="005853A9">
        <w:rPr>
          <w:kern w:val="0"/>
        </w:rPr>
        <w:t xml:space="preserve"> and </w:t>
      </w:r>
      <w:r>
        <w:rPr>
          <w:kern w:val="0"/>
        </w:rPr>
        <w:t>European Neuropsychopharmacology (70 articles). Totally 194 different journals were published, with 5</w:t>
      </w:r>
      <w:r w:rsidR="00427468">
        <w:rPr>
          <w:kern w:val="0"/>
        </w:rPr>
        <w:t xml:space="preserve"> of </w:t>
      </w:r>
      <w:r>
        <w:rPr>
          <w:kern w:val="0"/>
        </w:rPr>
        <w:t>the first 10 used journals having an impact factor being greater than 4. Conclusion: The publications on AADs in Spain have undergone exponential growth over the studied period, without evidence</w:t>
      </w:r>
      <w:r w:rsidR="00427468">
        <w:rPr>
          <w:kern w:val="0"/>
        </w:rPr>
        <w:t xml:space="preserve"> of </w:t>
      </w:r>
      <w:r>
        <w:rPr>
          <w:kern w:val="0"/>
        </w:rPr>
        <w:t>reaching a saturation point.</w:t>
      </w:r>
    </w:p>
    <w:p w:rsidR="00901971" w:rsidRDefault="00901971" w:rsidP="00901971">
      <w:pPr>
        <w:pStyle w:val="a3"/>
        <w:rPr>
          <w:kern w:val="0"/>
        </w:rPr>
      </w:pPr>
      <w:r>
        <w:rPr>
          <w:kern w:val="0"/>
        </w:rPr>
        <w:t>Keywords: Assessment, Atypical Antipsychotic, Atypical Antipsychotics, Bibliometric, Bibliometric Assessment, Bibliometric Data, Bibliometric Indicators, Bibliometric Study, Bibliometry, Bipolar Disorder, Bipolar Disorder, Bradford</w:t>
      </w:r>
      <w:r w:rsidR="00700038">
        <w:rPr>
          <w:kern w:val="0"/>
        </w:rPr>
        <w:t>’</w:t>
      </w:r>
      <w:r>
        <w:rPr>
          <w:rFonts w:hint="eastAsia"/>
          <w:kern w:val="0"/>
        </w:rPr>
        <w:t>s</w:t>
      </w:r>
      <w:r>
        <w:rPr>
          <w:kern w:val="0"/>
        </w:rPr>
        <w:t xml:space="preserve"> Law, Care, Clozapine, Correlation, Correlation Coefficient, Data, Databases, Development, Dispersion, Drugs, Embase, Evidence, First, Growth, Health, Impact, Impact Factor, Index, Indicators, Journals, Law, Mapping, Medline, Methods, Olanzapine, Papers, Participation, Psychiatry, Publications, Quetiapine, Research, Research</w:t>
      </w:r>
      <w:r w:rsidR="005853A9">
        <w:rPr>
          <w:kern w:val="0"/>
        </w:rPr>
        <w:t xml:space="preserve"> and </w:t>
      </w:r>
      <w:r>
        <w:rPr>
          <w:kern w:val="0"/>
        </w:rPr>
        <w:t>Development, Results, Risperidone, Saturation, Schizophrenia, Schizophrenia, Scientific Production, Scientific Publications, Scientific Research, Social, Spain</w:t>
      </w:r>
    </w:p>
    <w:p w:rsidR="003D2E7C" w:rsidRDefault="003D2E7C" w:rsidP="003D2E7C">
      <w:pPr>
        <w:pStyle w:val="a3"/>
        <w:rPr>
          <w:kern w:val="0"/>
        </w:rPr>
      </w:pPr>
      <w:r>
        <w:rPr>
          <w:kern w:val="0"/>
        </w:rPr>
        <w:t xml:space="preserve">? Rabito-Alcon, M.F. and Correas-Lauffer, J. (2014), Treatment guidelines for Attention Deficit and Hyperactivity Disorder: A critical review. </w:t>
      </w:r>
      <w:r>
        <w:rPr>
          <w:i/>
          <w:iCs/>
          <w:kern w:val="0"/>
        </w:rPr>
        <w:t>Actas Espanolas de Psiquiatria</w:t>
      </w:r>
      <w:r>
        <w:rPr>
          <w:kern w:val="0"/>
        </w:rPr>
        <w:t xml:space="preserve">, </w:t>
      </w:r>
      <w:r>
        <w:rPr>
          <w:b/>
          <w:bCs/>
          <w:kern w:val="0"/>
        </w:rPr>
        <w:t>42</w:t>
      </w:r>
      <w:r>
        <w:rPr>
          <w:kern w:val="0"/>
        </w:rPr>
        <w:t xml:space="preserve"> (6), 315-324.</w:t>
      </w:r>
    </w:p>
    <w:p w:rsidR="003D2E7C" w:rsidRPr="00F219CA" w:rsidRDefault="003D2E7C" w:rsidP="003D2E7C">
      <w:pPr>
        <w:pStyle w:val="a3"/>
        <w:rPr>
          <w:kern w:val="0"/>
        </w:rPr>
      </w:pPr>
      <w:r>
        <w:rPr>
          <w:kern w:val="0"/>
        </w:rPr>
        <w:t>Full Text: 2014\</w:t>
      </w:r>
      <w:r>
        <w:rPr>
          <w:iCs/>
          <w:kern w:val="0"/>
        </w:rPr>
        <w:t>Act Esp Psi</w:t>
      </w:r>
      <w:r>
        <w:rPr>
          <w:bCs/>
          <w:kern w:val="0"/>
        </w:rPr>
        <w:t>42</w:t>
      </w:r>
      <w:r w:rsidRPr="00F219CA">
        <w:rPr>
          <w:kern w:val="0"/>
        </w:rPr>
        <w:t xml:space="preserve">, </w:t>
      </w:r>
      <w:r>
        <w:rPr>
          <w:kern w:val="0"/>
        </w:rPr>
        <w:t>315.pdf</w:t>
      </w:r>
    </w:p>
    <w:p w:rsidR="003D2E7C" w:rsidRDefault="003D2E7C" w:rsidP="003D2E7C">
      <w:pPr>
        <w:pStyle w:val="a3"/>
        <w:rPr>
          <w:kern w:val="0"/>
        </w:rPr>
      </w:pPr>
      <w:r>
        <w:rPr>
          <w:kern w:val="0"/>
        </w:rPr>
        <w:t xml:space="preserve">Abstract: A series of clinical guidelines for Attention Deficit and Hyperactivity Disorder throughout life have been published in recent years. The aim is to provide a </w:t>
      </w:r>
      <w:r>
        <w:rPr>
          <w:kern w:val="0"/>
        </w:rPr>
        <w:lastRenderedPageBreak/>
        <w:t>synthesis of the best available scientific knowledge and facilitate clinical work as well as to make a critical review of the latest clinical guidelines based on treatment and recommendations. Searches of the following databases were performed: MEDLINE/ PubMed/ Index Medicus, PsycINFO/ PsyLIT and the Science Citation Index at Web of Science (ISI). The indexed MeSH terms “ADHD,” “guideline,” “therapeutics” were used for the search, and a total of 10 articles and 9 guides were selected. The guidelines indicate that the diagnosis of ADHD is made by clinical assessment and must be performed by a health professional with training and experience in the disorder. Multimodal treatment is ideal for the integral management of ADHD. Pharmacotherapy remains the first choice treatment for ADHD throughout life, particularly stimulant medication and among them, highlighting treatment with methylphenidate and all guidelines agree that psychological therapy increases the effectiveness of treatment as co-adjuncts to pharmacotherapy.</w:t>
      </w:r>
    </w:p>
    <w:p w:rsidR="003D2E7C" w:rsidRDefault="003D2E7C" w:rsidP="003D2E7C">
      <w:pPr>
        <w:pStyle w:val="a3"/>
        <w:rPr>
          <w:kern w:val="0"/>
        </w:rPr>
      </w:pPr>
      <w:r>
        <w:rPr>
          <w:kern w:val="0"/>
        </w:rPr>
        <w:t>Keywords: Adhd, Adolescents, Adult Adhd, Articles, Assessment, Attention, Choice, Citation, Clinical, Clinical Assessment, Clinical Guidelines, Critical Review, Databases, Deficit, Hyperactivity Disorder, Diagnosis, Effectiveness, Experience, First, Guidelines, Health, Health Professional, ISI, Knowledge, Life, Management, Methylphenidate, Pharmacotherapy, Prevalence, Psychological, Psychostimulants, Recent, Recommendations, Review, Science, Science Citation Index, Synthesis, Therapy, Training, Treatment, Treatment Guidelines, Web, Web Of Science, Work</w:t>
      </w:r>
    </w:p>
    <w:p w:rsidR="000B5CD6" w:rsidRPr="001A3D2B" w:rsidRDefault="003474F2" w:rsidP="000B5CD6">
      <w:pPr>
        <w:pStyle w:val="1"/>
        <w:rPr>
          <w:lang w:val="fr-FR"/>
        </w:rPr>
      </w:pPr>
      <w:r w:rsidRPr="001A3D2B">
        <w:rPr>
          <w:lang w:val="fr-FR"/>
        </w:rPr>
        <w:br w:type="page"/>
      </w:r>
      <w:bookmarkStart w:id="110" w:name="_Toc293609393"/>
      <w:bookmarkStart w:id="111" w:name="_Toc293641597"/>
      <w:bookmarkStart w:id="112" w:name="_Toc420814295"/>
      <w:r w:rsidR="000B5CD6" w:rsidRPr="001A3D2B">
        <w:rPr>
          <w:lang w:val="fr-FR"/>
        </w:rPr>
        <w:lastRenderedPageBreak/>
        <w:t xml:space="preserve">Title: </w:t>
      </w:r>
      <w:bookmarkEnd w:id="110"/>
      <w:r w:rsidR="00185D9A" w:rsidRPr="00185D9A">
        <w:t>Actas Urol</w:t>
      </w:r>
      <w:r w:rsidR="00185D9A" w:rsidRPr="00185D9A">
        <w:rPr>
          <w:rFonts w:hint="eastAsia"/>
        </w:rPr>
        <w:t>o</w:t>
      </w:r>
      <w:r w:rsidR="00185D9A" w:rsidRPr="00185D9A">
        <w:t>gicas Espa</w:t>
      </w:r>
      <w:r w:rsidR="00185D9A" w:rsidRPr="00185D9A">
        <w:rPr>
          <w:rFonts w:hint="eastAsia"/>
        </w:rPr>
        <w:t>n</w:t>
      </w:r>
      <w:r w:rsidR="00185D9A" w:rsidRPr="00185D9A">
        <w:t>olas</w:t>
      </w:r>
      <w:bookmarkEnd w:id="111"/>
      <w:bookmarkEnd w:id="112"/>
    </w:p>
    <w:p w:rsidR="000B5CD6" w:rsidRPr="001A3D2B" w:rsidRDefault="000B5CD6" w:rsidP="000B5CD6">
      <w:pPr>
        <w:pStyle w:val="12"/>
        <w:rPr>
          <w:lang w:val="fr-FR"/>
        </w:rPr>
      </w:pPr>
      <w:r w:rsidRPr="001A3D2B">
        <w:rPr>
          <w:lang w:val="fr-FR"/>
        </w:rPr>
        <w:t xml:space="preserve">Full Journal Title: </w:t>
      </w:r>
      <w:hyperlink r:id="rId219" w:history="1">
        <w:r w:rsidRPr="008A40EE">
          <w:rPr>
            <w:rStyle w:val="a5"/>
            <w:iCs/>
            <w:kern w:val="0"/>
          </w:rPr>
          <w:t>Actas Urol</w:t>
        </w:r>
        <w:r w:rsidR="00185D9A">
          <w:rPr>
            <w:rStyle w:val="a5"/>
            <w:iCs/>
            <w:kern w:val="0"/>
          </w:rPr>
          <w:t>ó</w:t>
        </w:r>
        <w:r w:rsidRPr="008A40EE">
          <w:rPr>
            <w:rStyle w:val="a5"/>
            <w:iCs/>
            <w:kern w:val="0"/>
          </w:rPr>
          <w:t>gicas Espa</w:t>
        </w:r>
        <w:r w:rsidR="00185D9A">
          <w:rPr>
            <w:rStyle w:val="a5"/>
            <w:iCs/>
            <w:kern w:val="0"/>
          </w:rPr>
          <w:t>ñ</w:t>
        </w:r>
        <w:r w:rsidRPr="008A40EE">
          <w:rPr>
            <w:rStyle w:val="a5"/>
            <w:iCs/>
            <w:kern w:val="0"/>
          </w:rPr>
          <w:t>olas</w:t>
        </w:r>
      </w:hyperlink>
    </w:p>
    <w:p w:rsidR="000B5CD6" w:rsidRPr="001A3D2B" w:rsidRDefault="000B5CD6" w:rsidP="000B5CD6">
      <w:pPr>
        <w:pStyle w:val="12"/>
      </w:pPr>
      <w:r w:rsidRPr="001A3D2B">
        <w:t xml:space="preserve">ISO Abbreviated Title: </w:t>
      </w:r>
    </w:p>
    <w:p w:rsidR="000B5CD6" w:rsidRPr="001A3D2B" w:rsidRDefault="000B5CD6" w:rsidP="000B5CD6">
      <w:pPr>
        <w:pStyle w:val="12"/>
      </w:pPr>
      <w:r w:rsidRPr="001A3D2B">
        <w:t xml:space="preserve">JCR Abbreviated Title: </w:t>
      </w:r>
    </w:p>
    <w:p w:rsidR="000B5CD6" w:rsidRPr="001A3D2B" w:rsidRDefault="000B5CD6" w:rsidP="000B5CD6">
      <w:pPr>
        <w:pStyle w:val="12"/>
      </w:pPr>
      <w:r w:rsidRPr="001A3D2B">
        <w:t xml:space="preserve">ISSN: </w:t>
      </w:r>
    </w:p>
    <w:p w:rsidR="000B5CD6" w:rsidRPr="001A3D2B" w:rsidRDefault="000B5CD6" w:rsidP="000B5CD6">
      <w:pPr>
        <w:pStyle w:val="12"/>
      </w:pPr>
      <w:r w:rsidRPr="001A3D2B">
        <w:t xml:space="preserve">Issues/Year: </w:t>
      </w:r>
    </w:p>
    <w:p w:rsidR="000B5CD6" w:rsidRPr="001A3D2B" w:rsidRDefault="000B5CD6" w:rsidP="000B5CD6">
      <w:pPr>
        <w:pStyle w:val="12"/>
      </w:pPr>
      <w:r w:rsidRPr="001A3D2B">
        <w:t xml:space="preserve">Journal Country/Territory: </w:t>
      </w:r>
    </w:p>
    <w:p w:rsidR="000B5CD6" w:rsidRPr="001A3D2B" w:rsidRDefault="000B5CD6" w:rsidP="000B5CD6">
      <w:pPr>
        <w:pStyle w:val="12"/>
      </w:pPr>
      <w:r w:rsidRPr="001A3D2B">
        <w:t xml:space="preserve">Language: </w:t>
      </w:r>
    </w:p>
    <w:p w:rsidR="000B5CD6" w:rsidRPr="001A3D2B" w:rsidRDefault="000B5CD6" w:rsidP="000B5CD6">
      <w:pPr>
        <w:pStyle w:val="12"/>
      </w:pPr>
      <w:r w:rsidRPr="001A3D2B">
        <w:t xml:space="preserve">Publisher: </w:t>
      </w:r>
    </w:p>
    <w:p w:rsidR="000B5CD6" w:rsidRPr="001A3D2B" w:rsidRDefault="000B5CD6" w:rsidP="000B5CD6">
      <w:pPr>
        <w:pStyle w:val="12"/>
      </w:pPr>
      <w:r w:rsidRPr="001A3D2B">
        <w:t>Publisher Address:</w:t>
      </w:r>
    </w:p>
    <w:p w:rsidR="000B5CD6" w:rsidRPr="001A3D2B" w:rsidRDefault="000B5CD6" w:rsidP="000B5CD6">
      <w:pPr>
        <w:pStyle w:val="12"/>
      </w:pPr>
      <w:r w:rsidRPr="001A3D2B">
        <w:t xml:space="preserve">Subject Categories: </w:t>
      </w:r>
    </w:p>
    <w:p w:rsidR="000B5CD6" w:rsidRPr="001A3D2B" w:rsidRDefault="000B5CD6" w:rsidP="000B5CD6">
      <w:pPr>
        <w:pStyle w:val="12"/>
      </w:pPr>
      <w:r w:rsidRPr="001A3D2B">
        <w:t xml:space="preserve">: Impact Factor </w:t>
      </w:r>
    </w:p>
    <w:p w:rsidR="000B5CD6" w:rsidRDefault="000B5CD6" w:rsidP="000B5CD6">
      <w:pPr>
        <w:pStyle w:val="a3"/>
        <w:rPr>
          <w:kern w:val="0"/>
          <w:szCs w:val="24"/>
        </w:rPr>
      </w:pPr>
      <w:r>
        <w:rPr>
          <w:rFonts w:hint="eastAsia"/>
          <w:kern w:val="0"/>
          <w:szCs w:val="24"/>
        </w:rPr>
        <w:t xml:space="preserve">? </w:t>
      </w:r>
      <w:r>
        <w:rPr>
          <w:kern w:val="0"/>
          <w:szCs w:val="24"/>
        </w:rPr>
        <w:t>Martínez-Salamanca, J.I., Martínez-Ballesteros, C., Portillo, L., Moncada, I.</w:t>
      </w:r>
      <w:r w:rsidR="005853A9">
        <w:rPr>
          <w:kern w:val="0"/>
          <w:szCs w:val="24"/>
        </w:rPr>
        <w:t xml:space="preserve"> and </w:t>
      </w:r>
      <w:r>
        <w:rPr>
          <w:kern w:val="0"/>
          <w:szCs w:val="24"/>
        </w:rPr>
        <w:t xml:space="preserve">Carballido, J. (2010), Penile morphometric changes after radical prostatectomy: Evidence-based. </w:t>
      </w:r>
      <w:r w:rsidRPr="00431942">
        <w:rPr>
          <w:i/>
          <w:iCs/>
          <w:kern w:val="0"/>
          <w:szCs w:val="24"/>
        </w:rPr>
        <w:t>Actas Urológicas Españolas</w:t>
      </w:r>
      <w:r>
        <w:rPr>
          <w:kern w:val="0"/>
          <w:szCs w:val="24"/>
        </w:rPr>
        <w:t xml:space="preserve">, </w:t>
      </w:r>
      <w:r>
        <w:rPr>
          <w:b/>
          <w:bCs/>
          <w:kern w:val="0"/>
          <w:szCs w:val="24"/>
        </w:rPr>
        <w:t>34</w:t>
      </w:r>
      <w:r>
        <w:rPr>
          <w:kern w:val="0"/>
          <w:szCs w:val="24"/>
        </w:rPr>
        <w:t xml:space="preserve"> (7), 579-585.</w:t>
      </w:r>
    </w:p>
    <w:p w:rsidR="000B5CD6" w:rsidRDefault="000B5CD6" w:rsidP="000B5CD6">
      <w:pPr>
        <w:pStyle w:val="a3"/>
        <w:rPr>
          <w:kern w:val="0"/>
          <w:szCs w:val="24"/>
        </w:rPr>
      </w:pPr>
      <w:r>
        <w:rPr>
          <w:rFonts w:hint="eastAsia"/>
          <w:kern w:val="0"/>
          <w:szCs w:val="24"/>
        </w:rPr>
        <w:t xml:space="preserve">Full Text: </w:t>
      </w:r>
      <w:hyperlink r:id="rId220" w:history="1">
        <w:r w:rsidRPr="00702EBF">
          <w:rPr>
            <w:rStyle w:val="a5"/>
            <w:kern w:val="0"/>
            <w:szCs w:val="24"/>
          </w:rPr>
          <w:t>2010\Act Uro Esp34, 579.pdf</w:t>
        </w:r>
      </w:hyperlink>
    </w:p>
    <w:p w:rsidR="000B5CD6" w:rsidRDefault="000B5CD6" w:rsidP="000B5CD6">
      <w:pPr>
        <w:pStyle w:val="a3"/>
        <w:rPr>
          <w:kern w:val="0"/>
          <w:szCs w:val="24"/>
        </w:rPr>
      </w:pPr>
      <w:r>
        <w:rPr>
          <w:kern w:val="0"/>
          <w:szCs w:val="24"/>
        </w:rPr>
        <w:t>Abstract: Introduction: Radical prostatectomy in all its approaches is</w:t>
      </w:r>
      <w:r w:rsidR="003A1917">
        <w:rPr>
          <w:kern w:val="0"/>
          <w:szCs w:val="24"/>
        </w:rPr>
        <w:t xml:space="preserve"> the </w:t>
      </w:r>
      <w:r>
        <w:rPr>
          <w:kern w:val="0"/>
          <w:szCs w:val="24"/>
        </w:rPr>
        <w:t>treatment</w:t>
      </w:r>
      <w:r w:rsidR="00427468">
        <w:rPr>
          <w:kern w:val="0"/>
          <w:szCs w:val="24"/>
        </w:rPr>
        <w:t xml:space="preserve"> of </w:t>
      </w:r>
      <w:r>
        <w:rPr>
          <w:kern w:val="0"/>
          <w:szCs w:val="24"/>
        </w:rPr>
        <w:t>choice for localized prostate cancer</w:t>
      </w:r>
      <w:r w:rsidR="005853A9">
        <w:rPr>
          <w:kern w:val="0"/>
          <w:szCs w:val="24"/>
        </w:rPr>
        <w:t xml:space="preserve"> and </w:t>
      </w:r>
      <w:r>
        <w:rPr>
          <w:kern w:val="0"/>
          <w:szCs w:val="24"/>
        </w:rPr>
        <w:t>especially in young, sexually active patients with a desire to keep their sex life. In addition to</w:t>
      </w:r>
      <w:r w:rsidR="003A1917">
        <w:rPr>
          <w:kern w:val="0"/>
          <w:szCs w:val="24"/>
        </w:rPr>
        <w:t xml:space="preserve"> the </w:t>
      </w:r>
      <w:r>
        <w:rPr>
          <w:kern w:val="0"/>
          <w:szCs w:val="24"/>
        </w:rPr>
        <w:t>well-known</w:t>
      </w:r>
      <w:r w:rsidR="005853A9">
        <w:rPr>
          <w:kern w:val="0"/>
          <w:szCs w:val="24"/>
        </w:rPr>
        <w:t xml:space="preserve"> and </w:t>
      </w:r>
      <w:r>
        <w:rPr>
          <w:kern w:val="0"/>
          <w:szCs w:val="24"/>
        </w:rPr>
        <w:t>defined postoperative erectile dysfunction, erectile silent period causes, in many patients (9-1%), structural changes, in</w:t>
      </w:r>
      <w:r w:rsidR="003A1917">
        <w:rPr>
          <w:kern w:val="0"/>
          <w:szCs w:val="24"/>
        </w:rPr>
        <w:t xml:space="preserve"> the </w:t>
      </w:r>
      <w:r>
        <w:rPr>
          <w:kern w:val="0"/>
          <w:szCs w:val="24"/>
        </w:rPr>
        <w:t>penile structure, sometimes irreversible</w:t>
      </w:r>
      <w:r w:rsidR="00A37C1D">
        <w:rPr>
          <w:kern w:val="0"/>
          <w:szCs w:val="24"/>
        </w:rPr>
        <w:t>. The</w:t>
      </w:r>
      <w:r>
        <w:rPr>
          <w:kern w:val="0"/>
          <w:szCs w:val="24"/>
        </w:rPr>
        <w:t>se tissue changes, resulting in a loss</w:t>
      </w:r>
      <w:r w:rsidR="00427468">
        <w:rPr>
          <w:kern w:val="0"/>
          <w:szCs w:val="24"/>
        </w:rPr>
        <w:t xml:space="preserve"> of </w:t>
      </w:r>
      <w:r>
        <w:rPr>
          <w:kern w:val="0"/>
          <w:szCs w:val="24"/>
        </w:rPr>
        <w:t>length</w:t>
      </w:r>
      <w:r w:rsidR="005853A9">
        <w:rPr>
          <w:kern w:val="0"/>
          <w:szCs w:val="24"/>
        </w:rPr>
        <w:t xml:space="preserve"> and </w:t>
      </w:r>
      <w:r>
        <w:rPr>
          <w:kern w:val="0"/>
          <w:szCs w:val="24"/>
        </w:rPr>
        <w:t>girth, that concern patients. Objective: To systematically review to date published data in</w:t>
      </w:r>
      <w:r w:rsidR="003A1917">
        <w:rPr>
          <w:kern w:val="0"/>
          <w:szCs w:val="24"/>
        </w:rPr>
        <w:t xml:space="preserve"> the </w:t>
      </w:r>
      <w:r>
        <w:rPr>
          <w:kern w:val="0"/>
          <w:szCs w:val="24"/>
        </w:rPr>
        <w:t>literature regarding penile changes after radical prostatectomy. Material</w:t>
      </w:r>
      <w:r w:rsidR="005853A9">
        <w:rPr>
          <w:kern w:val="0"/>
          <w:szCs w:val="24"/>
        </w:rPr>
        <w:t xml:space="preserve"> and </w:t>
      </w:r>
      <w:r>
        <w:rPr>
          <w:kern w:val="0"/>
          <w:szCs w:val="24"/>
        </w:rPr>
        <w:t xml:space="preserve">methods: We performed a systematic search in: </w:t>
      </w:r>
      <w:r w:rsidR="002C12F0">
        <w:rPr>
          <w:kern w:val="0"/>
          <w:szCs w:val="24"/>
        </w:rPr>
        <w:t>PUBMED</w:t>
      </w:r>
      <w:r>
        <w:rPr>
          <w:kern w:val="0"/>
          <w:szCs w:val="24"/>
        </w:rPr>
        <w:t>, EMBASE, Cochrane, SCOPUS, Science Citation Index period January 1990 to September 2009 for</w:t>
      </w:r>
      <w:r w:rsidR="003A1917">
        <w:rPr>
          <w:kern w:val="0"/>
          <w:szCs w:val="24"/>
        </w:rPr>
        <w:t xml:space="preserve"> the </w:t>
      </w:r>
      <w:r>
        <w:rPr>
          <w:kern w:val="0"/>
          <w:szCs w:val="24"/>
        </w:rPr>
        <w:t xml:space="preserve">terms </w:t>
      </w:r>
      <w:r w:rsidR="00B5188C">
        <w:rPr>
          <w:kern w:val="0"/>
          <w:szCs w:val="24"/>
        </w:rPr>
        <w:t>“</w:t>
      </w:r>
      <w:r>
        <w:rPr>
          <w:kern w:val="0"/>
          <w:szCs w:val="24"/>
        </w:rPr>
        <w:t>prostatectomy</w:t>
      </w:r>
      <w:r w:rsidR="00B5188C">
        <w:rPr>
          <w:kern w:val="0"/>
          <w:szCs w:val="24"/>
        </w:rPr>
        <w:t>”</w:t>
      </w:r>
      <w:r>
        <w:rPr>
          <w:kern w:val="0"/>
          <w:szCs w:val="24"/>
        </w:rPr>
        <w:t xml:space="preserve">, </w:t>
      </w:r>
      <w:r w:rsidR="00B5188C">
        <w:rPr>
          <w:kern w:val="0"/>
          <w:szCs w:val="24"/>
        </w:rPr>
        <w:t>“</w:t>
      </w:r>
      <w:r>
        <w:rPr>
          <w:kern w:val="0"/>
          <w:szCs w:val="24"/>
        </w:rPr>
        <w:t>organ size</w:t>
      </w:r>
      <w:r w:rsidR="00B5188C">
        <w:rPr>
          <w:kern w:val="0"/>
          <w:szCs w:val="24"/>
        </w:rPr>
        <w:t>”</w:t>
      </w:r>
      <w:r>
        <w:rPr>
          <w:kern w:val="0"/>
          <w:szCs w:val="24"/>
        </w:rPr>
        <w:t xml:space="preserve">, </w:t>
      </w:r>
      <w:r w:rsidR="00B5188C">
        <w:rPr>
          <w:kern w:val="0"/>
          <w:szCs w:val="24"/>
        </w:rPr>
        <w:t>“</w:t>
      </w:r>
      <w:r>
        <w:rPr>
          <w:kern w:val="0"/>
          <w:szCs w:val="24"/>
        </w:rPr>
        <w:t>fibrosis</w:t>
      </w:r>
      <w:r w:rsidR="00B5188C">
        <w:rPr>
          <w:kern w:val="0"/>
          <w:szCs w:val="24"/>
        </w:rPr>
        <w:t>”</w:t>
      </w:r>
      <w:r>
        <w:rPr>
          <w:kern w:val="0"/>
          <w:szCs w:val="24"/>
        </w:rPr>
        <w:t xml:space="preserve">, </w:t>
      </w:r>
      <w:r w:rsidR="00B5188C">
        <w:rPr>
          <w:kern w:val="0"/>
          <w:szCs w:val="24"/>
        </w:rPr>
        <w:t>“</w:t>
      </w:r>
      <w:r>
        <w:rPr>
          <w:kern w:val="0"/>
          <w:szCs w:val="24"/>
        </w:rPr>
        <w:t>sexual activity</w:t>
      </w:r>
      <w:r w:rsidR="00B5188C">
        <w:rPr>
          <w:kern w:val="0"/>
          <w:szCs w:val="24"/>
        </w:rPr>
        <w:t>”</w:t>
      </w:r>
      <w:r>
        <w:rPr>
          <w:kern w:val="0"/>
          <w:szCs w:val="24"/>
        </w:rPr>
        <w:t xml:space="preserve">, </w:t>
      </w:r>
      <w:r w:rsidR="00B5188C">
        <w:rPr>
          <w:kern w:val="0"/>
          <w:szCs w:val="24"/>
        </w:rPr>
        <w:t>“</w:t>
      </w:r>
      <w:r>
        <w:rPr>
          <w:kern w:val="0"/>
          <w:szCs w:val="24"/>
        </w:rPr>
        <w:t>erectile dysfunction</w:t>
      </w:r>
      <w:r w:rsidR="00B5188C">
        <w:rPr>
          <w:kern w:val="0"/>
          <w:szCs w:val="24"/>
        </w:rPr>
        <w:t>”</w:t>
      </w:r>
      <w:r>
        <w:rPr>
          <w:kern w:val="0"/>
          <w:szCs w:val="24"/>
        </w:rPr>
        <w:t xml:space="preserve">, </w:t>
      </w:r>
      <w:r w:rsidR="00B5188C">
        <w:rPr>
          <w:kern w:val="0"/>
          <w:szCs w:val="24"/>
        </w:rPr>
        <w:t>“</w:t>
      </w:r>
      <w:r>
        <w:rPr>
          <w:kern w:val="0"/>
          <w:szCs w:val="24"/>
        </w:rPr>
        <w:t>penile size</w:t>
      </w:r>
      <w:r w:rsidR="00B5188C">
        <w:rPr>
          <w:kern w:val="0"/>
          <w:szCs w:val="24"/>
        </w:rPr>
        <w:t>”</w:t>
      </w:r>
      <w:r>
        <w:rPr>
          <w:kern w:val="0"/>
          <w:szCs w:val="24"/>
        </w:rPr>
        <w:t xml:space="preserve">, </w:t>
      </w:r>
      <w:r w:rsidR="00B5188C">
        <w:rPr>
          <w:kern w:val="0"/>
          <w:szCs w:val="24"/>
        </w:rPr>
        <w:t>“</w:t>
      </w:r>
      <w:r>
        <w:rPr>
          <w:kern w:val="0"/>
          <w:szCs w:val="24"/>
        </w:rPr>
        <w:t>radical prostatectomy</w:t>
      </w:r>
      <w:r w:rsidR="00B5188C">
        <w:rPr>
          <w:kern w:val="0"/>
          <w:szCs w:val="24"/>
        </w:rPr>
        <w:t>”</w:t>
      </w:r>
      <w:r>
        <w:rPr>
          <w:kern w:val="0"/>
          <w:szCs w:val="24"/>
        </w:rPr>
        <w:t xml:space="preserve">, </w:t>
      </w:r>
      <w:r w:rsidR="00B5188C">
        <w:rPr>
          <w:kern w:val="0"/>
          <w:szCs w:val="24"/>
        </w:rPr>
        <w:t>“</w:t>
      </w:r>
      <w:r>
        <w:rPr>
          <w:kern w:val="0"/>
          <w:szCs w:val="24"/>
        </w:rPr>
        <w:t>prostatic neoplasms</w:t>
      </w:r>
      <w:r w:rsidR="00B5188C">
        <w:rPr>
          <w:kern w:val="0"/>
          <w:szCs w:val="24"/>
        </w:rPr>
        <w:t>”</w:t>
      </w:r>
      <w:r>
        <w:rPr>
          <w:kern w:val="0"/>
          <w:szCs w:val="24"/>
        </w:rPr>
        <w:t xml:space="preserve">, </w:t>
      </w:r>
      <w:r w:rsidR="00B5188C">
        <w:rPr>
          <w:kern w:val="0"/>
          <w:szCs w:val="24"/>
        </w:rPr>
        <w:t>“</w:t>
      </w:r>
      <w:r>
        <w:rPr>
          <w:kern w:val="0"/>
          <w:szCs w:val="24"/>
        </w:rPr>
        <w:t>body weights</w:t>
      </w:r>
      <w:r w:rsidR="00B5188C">
        <w:rPr>
          <w:kern w:val="0"/>
          <w:szCs w:val="24"/>
        </w:rPr>
        <w:t>”</w:t>
      </w:r>
      <w:r w:rsidR="005853A9">
        <w:rPr>
          <w:kern w:val="0"/>
          <w:szCs w:val="24"/>
        </w:rPr>
        <w:t xml:space="preserve"> and </w:t>
      </w:r>
      <w:r w:rsidR="00B5188C">
        <w:rPr>
          <w:kern w:val="0"/>
          <w:szCs w:val="24"/>
        </w:rPr>
        <w:t>“</w:t>
      </w:r>
      <w:r>
        <w:rPr>
          <w:kern w:val="0"/>
          <w:szCs w:val="24"/>
        </w:rPr>
        <w:t>penis measures</w:t>
      </w:r>
      <w:r w:rsidR="00B5188C">
        <w:rPr>
          <w:kern w:val="0"/>
          <w:szCs w:val="24"/>
        </w:rPr>
        <w:t>”</w:t>
      </w:r>
      <w:r>
        <w:rPr>
          <w:kern w:val="0"/>
          <w:szCs w:val="24"/>
        </w:rPr>
        <w:t>. Seven series</w:t>
      </w:r>
      <w:r w:rsidR="00427468">
        <w:rPr>
          <w:kern w:val="0"/>
          <w:szCs w:val="24"/>
        </w:rPr>
        <w:t xml:space="preserve"> of </w:t>
      </w:r>
      <w:r>
        <w:rPr>
          <w:kern w:val="0"/>
          <w:szCs w:val="24"/>
        </w:rPr>
        <w:t>patients were selected for analysis. Results: We described</w:t>
      </w:r>
      <w:r w:rsidR="003A1917">
        <w:rPr>
          <w:kern w:val="0"/>
          <w:szCs w:val="24"/>
        </w:rPr>
        <w:t xml:space="preserve"> the </w:t>
      </w:r>
      <w:r>
        <w:rPr>
          <w:kern w:val="0"/>
          <w:szCs w:val="24"/>
        </w:rPr>
        <w:t>different measurement methods</w:t>
      </w:r>
      <w:r w:rsidR="005853A9">
        <w:rPr>
          <w:kern w:val="0"/>
          <w:szCs w:val="24"/>
        </w:rPr>
        <w:t xml:space="preserve"> and </w:t>
      </w:r>
      <w:r>
        <w:rPr>
          <w:kern w:val="0"/>
          <w:szCs w:val="24"/>
        </w:rPr>
        <w:t>their potential biases</w:t>
      </w:r>
      <w:r w:rsidR="005853A9">
        <w:rPr>
          <w:kern w:val="0"/>
          <w:szCs w:val="24"/>
        </w:rPr>
        <w:t xml:space="preserve"> and </w:t>
      </w:r>
      <w:r>
        <w:rPr>
          <w:kern w:val="0"/>
          <w:szCs w:val="24"/>
        </w:rPr>
        <w:t>differences. Also, we reviewed main physiopathogenic theories to explain this phenomenon. Finally, we detail</w:t>
      </w:r>
      <w:r w:rsidR="003A1917">
        <w:rPr>
          <w:kern w:val="0"/>
          <w:szCs w:val="24"/>
        </w:rPr>
        <w:t xml:space="preserve"> the </w:t>
      </w:r>
      <w:r>
        <w:rPr>
          <w:kern w:val="0"/>
          <w:szCs w:val="24"/>
        </w:rPr>
        <w:t>results</w:t>
      </w:r>
      <w:r w:rsidR="00427468">
        <w:rPr>
          <w:kern w:val="0"/>
          <w:szCs w:val="24"/>
        </w:rPr>
        <w:t xml:space="preserve"> of </w:t>
      </w:r>
      <w:r>
        <w:rPr>
          <w:kern w:val="0"/>
          <w:szCs w:val="24"/>
        </w:rPr>
        <w:t>different series</w:t>
      </w:r>
      <w:r w:rsidR="00427468">
        <w:rPr>
          <w:kern w:val="0"/>
          <w:szCs w:val="24"/>
        </w:rPr>
        <w:t xml:space="preserve"> of </w:t>
      </w:r>
      <w:r>
        <w:rPr>
          <w:kern w:val="0"/>
          <w:szCs w:val="24"/>
        </w:rPr>
        <w:t>patients reported. Conclusions: It seems to be a proven fact that</w:t>
      </w:r>
      <w:r w:rsidR="003A1917">
        <w:rPr>
          <w:kern w:val="0"/>
          <w:szCs w:val="24"/>
        </w:rPr>
        <w:t xml:space="preserve"> the </w:t>
      </w:r>
      <w:r>
        <w:rPr>
          <w:kern w:val="0"/>
          <w:szCs w:val="24"/>
        </w:rPr>
        <w:t>penis undergoes major changes in its length</w:t>
      </w:r>
      <w:r w:rsidR="005853A9">
        <w:rPr>
          <w:kern w:val="0"/>
          <w:szCs w:val="24"/>
        </w:rPr>
        <w:t xml:space="preserve"> and </w:t>
      </w:r>
      <w:r>
        <w:rPr>
          <w:kern w:val="0"/>
          <w:szCs w:val="24"/>
        </w:rPr>
        <w:t>girth after radical prostatectomy. Several authors have communicated</w:t>
      </w:r>
      <w:r w:rsidR="003A1917">
        <w:rPr>
          <w:kern w:val="0"/>
          <w:szCs w:val="24"/>
        </w:rPr>
        <w:t xml:space="preserve"> the </w:t>
      </w:r>
      <w:r>
        <w:rPr>
          <w:kern w:val="0"/>
          <w:szCs w:val="24"/>
        </w:rPr>
        <w:t>data</w:t>
      </w:r>
      <w:r w:rsidR="00427468">
        <w:rPr>
          <w:kern w:val="0"/>
          <w:szCs w:val="24"/>
        </w:rPr>
        <w:t xml:space="preserve"> of </w:t>
      </w:r>
      <w:r>
        <w:rPr>
          <w:kern w:val="0"/>
          <w:szCs w:val="24"/>
        </w:rPr>
        <w:t>their series</w:t>
      </w:r>
      <w:r w:rsidR="005853A9">
        <w:rPr>
          <w:kern w:val="0"/>
          <w:szCs w:val="24"/>
        </w:rPr>
        <w:t xml:space="preserve"> and </w:t>
      </w:r>
      <w:r w:rsidR="003A1917">
        <w:rPr>
          <w:kern w:val="0"/>
          <w:szCs w:val="24"/>
        </w:rPr>
        <w:t xml:space="preserve">the </w:t>
      </w:r>
      <w:r>
        <w:rPr>
          <w:kern w:val="0"/>
          <w:szCs w:val="24"/>
        </w:rPr>
        <w:t>different treatment options (5PDE inhibitors, vacuum devices, penile extenders, etc.). Strategies addressed to preserve</w:t>
      </w:r>
      <w:r w:rsidR="005853A9">
        <w:rPr>
          <w:kern w:val="0"/>
          <w:szCs w:val="24"/>
        </w:rPr>
        <w:t xml:space="preserve"> and </w:t>
      </w:r>
      <w:r>
        <w:rPr>
          <w:kern w:val="0"/>
          <w:szCs w:val="24"/>
        </w:rPr>
        <w:t>protect cavernous tissue</w:t>
      </w:r>
      <w:r w:rsidR="005853A9">
        <w:rPr>
          <w:kern w:val="0"/>
          <w:szCs w:val="24"/>
        </w:rPr>
        <w:t xml:space="preserve"> and </w:t>
      </w:r>
      <w:r>
        <w:rPr>
          <w:kern w:val="0"/>
          <w:szCs w:val="24"/>
        </w:rPr>
        <w:t>tunica albuginea after</w:t>
      </w:r>
      <w:r w:rsidR="003A1917">
        <w:rPr>
          <w:kern w:val="0"/>
          <w:szCs w:val="24"/>
        </w:rPr>
        <w:t xml:space="preserve"> the </w:t>
      </w:r>
      <w:r>
        <w:rPr>
          <w:kern w:val="0"/>
          <w:szCs w:val="24"/>
        </w:rPr>
        <w:t>procedure, as well as to increase oxygenation</w:t>
      </w:r>
      <w:r w:rsidR="005853A9">
        <w:rPr>
          <w:kern w:val="0"/>
          <w:szCs w:val="24"/>
        </w:rPr>
        <w:t xml:space="preserve"> and </w:t>
      </w:r>
      <w:r>
        <w:rPr>
          <w:kern w:val="0"/>
          <w:szCs w:val="24"/>
        </w:rPr>
        <w:t xml:space="preserve">allow erection to be </w:t>
      </w:r>
      <w:r>
        <w:rPr>
          <w:kern w:val="0"/>
          <w:szCs w:val="24"/>
        </w:rPr>
        <w:lastRenderedPageBreak/>
        <w:t>recovered in</w:t>
      </w:r>
      <w:r w:rsidR="003A1917">
        <w:rPr>
          <w:kern w:val="0"/>
          <w:szCs w:val="24"/>
        </w:rPr>
        <w:t xml:space="preserve"> the </w:t>
      </w:r>
      <w:r>
        <w:rPr>
          <w:kern w:val="0"/>
          <w:szCs w:val="24"/>
        </w:rPr>
        <w:t>shortest posible time positive will impact on</w:t>
      </w:r>
      <w:r w:rsidR="003A1917">
        <w:rPr>
          <w:kern w:val="0"/>
          <w:szCs w:val="24"/>
        </w:rPr>
        <w:t xml:space="preserve"> the </w:t>
      </w:r>
      <w:r>
        <w:rPr>
          <w:kern w:val="0"/>
          <w:szCs w:val="24"/>
        </w:rPr>
        <w:t>quality</w:t>
      </w:r>
      <w:r w:rsidR="00427468">
        <w:rPr>
          <w:kern w:val="0"/>
          <w:szCs w:val="24"/>
        </w:rPr>
        <w:t xml:space="preserve"> of </w:t>
      </w:r>
      <w:r>
        <w:rPr>
          <w:kern w:val="0"/>
          <w:szCs w:val="24"/>
        </w:rPr>
        <w:t>life</w:t>
      </w:r>
      <w:r w:rsidR="00427468">
        <w:rPr>
          <w:kern w:val="0"/>
          <w:szCs w:val="24"/>
        </w:rPr>
        <w:t xml:space="preserve"> of </w:t>
      </w:r>
      <w:r>
        <w:rPr>
          <w:kern w:val="0"/>
          <w:szCs w:val="24"/>
        </w:rPr>
        <w:t>our patients. (C) 2009 AEU. Published by Elsevier Espana, S.L. All rights reserved.</w:t>
      </w:r>
    </w:p>
    <w:p w:rsidR="000B5CD6" w:rsidRDefault="000B5CD6" w:rsidP="000B5CD6">
      <w:pPr>
        <w:pStyle w:val="a3"/>
        <w:rPr>
          <w:kern w:val="0"/>
          <w:szCs w:val="24"/>
        </w:rPr>
      </w:pPr>
      <w:r>
        <w:rPr>
          <w:kern w:val="0"/>
          <w:szCs w:val="24"/>
        </w:rPr>
        <w:t xml:space="preserve">Keywords: Authors, Cancer, Citation, Corpus Cavernosum, Embase, Erectile Dysfunction, Erectile Dysfunction, Guidelines, Length, Literature, Measurement, Penile Changes, Penile Girth, Penile Lenght, Prostate Cancer, </w:t>
      </w:r>
      <w:r w:rsidR="002C12F0">
        <w:rPr>
          <w:kern w:val="0"/>
          <w:szCs w:val="24"/>
        </w:rPr>
        <w:t>PUBMED</w:t>
      </w:r>
      <w:r>
        <w:rPr>
          <w:kern w:val="0"/>
          <w:szCs w:val="24"/>
        </w:rPr>
        <w:t>, Quality</w:t>
      </w:r>
      <w:r w:rsidR="00427468">
        <w:rPr>
          <w:kern w:val="0"/>
          <w:szCs w:val="24"/>
        </w:rPr>
        <w:t xml:space="preserve"> of </w:t>
      </w:r>
      <w:r>
        <w:rPr>
          <w:kern w:val="0"/>
          <w:szCs w:val="24"/>
        </w:rPr>
        <w:t>Life, Radical Prostatectomy, Rat, Retropubic Prostatectomy, Review, Science Citation Index, Scopus, Self-Injection, Sexual Function, Smooth-Muscle, Vacuum Constriction Device</w:t>
      </w:r>
    </w:p>
    <w:p w:rsidR="000B5CD6" w:rsidRDefault="000B5CD6" w:rsidP="000B5CD6">
      <w:pPr>
        <w:pStyle w:val="a3"/>
        <w:rPr>
          <w:kern w:val="0"/>
        </w:rPr>
      </w:pPr>
      <w:r>
        <w:rPr>
          <w:rFonts w:hint="eastAsia"/>
          <w:kern w:val="0"/>
        </w:rPr>
        <w:t xml:space="preserve">? </w:t>
      </w:r>
      <w:r>
        <w:rPr>
          <w:kern w:val="0"/>
        </w:rPr>
        <w:t>Tortajada, J., Castell, J., Berbel-Tornero, O.</w:t>
      </w:r>
      <w:r w:rsidR="005853A9">
        <w:rPr>
          <w:kern w:val="0"/>
        </w:rPr>
        <w:t xml:space="preserve"> and </w:t>
      </w:r>
      <w:r>
        <w:rPr>
          <w:kern w:val="0"/>
        </w:rPr>
        <w:t xml:space="preserve">Ortega-Garcia, J.A. (2011), Constitutional risk factors in prostate cancer. </w:t>
      </w:r>
      <w:r w:rsidRPr="00431942">
        <w:rPr>
          <w:i/>
          <w:iCs/>
          <w:kern w:val="0"/>
          <w:szCs w:val="24"/>
        </w:rPr>
        <w:t>Actas Urológicas Españolas</w:t>
      </w:r>
      <w:r>
        <w:rPr>
          <w:kern w:val="0"/>
        </w:rPr>
        <w:t xml:space="preserve">, </w:t>
      </w:r>
      <w:r>
        <w:rPr>
          <w:b/>
          <w:bCs/>
          <w:kern w:val="0"/>
        </w:rPr>
        <w:t>35</w:t>
      </w:r>
      <w:r>
        <w:rPr>
          <w:kern w:val="0"/>
        </w:rPr>
        <w:t xml:space="preserve"> (5), 282-288.</w:t>
      </w:r>
    </w:p>
    <w:p w:rsidR="000B5CD6" w:rsidRDefault="000B5CD6" w:rsidP="000B5CD6">
      <w:pPr>
        <w:pStyle w:val="a3"/>
        <w:rPr>
          <w:kern w:val="0"/>
        </w:rPr>
      </w:pPr>
      <w:r>
        <w:rPr>
          <w:rFonts w:hint="eastAsia"/>
          <w:kern w:val="0"/>
        </w:rPr>
        <w:t xml:space="preserve">Full Text: </w:t>
      </w:r>
      <w:hyperlink r:id="rId221" w:history="1">
        <w:r w:rsidRPr="008A40EE">
          <w:rPr>
            <w:rStyle w:val="a5"/>
            <w:kern w:val="0"/>
          </w:rPr>
          <w:t>2011\Act Uro Esp35, 282.pdf</w:t>
        </w:r>
      </w:hyperlink>
    </w:p>
    <w:p w:rsidR="000B5CD6" w:rsidRDefault="000B5CD6" w:rsidP="000B5CD6">
      <w:pPr>
        <w:pStyle w:val="a3"/>
        <w:rPr>
          <w:kern w:val="0"/>
        </w:rPr>
      </w:pPr>
      <w:r>
        <w:rPr>
          <w:kern w:val="0"/>
        </w:rPr>
        <w:t>Abstract: Introduction:</w:t>
      </w:r>
      <w:r w:rsidR="003A1917">
        <w:rPr>
          <w:kern w:val="0"/>
        </w:rPr>
        <w:t xml:space="preserve"> the </w:t>
      </w:r>
      <w:r>
        <w:rPr>
          <w:kern w:val="0"/>
        </w:rPr>
        <w:t>aim</w:t>
      </w:r>
      <w:r w:rsidR="00427468">
        <w:rPr>
          <w:kern w:val="0"/>
        </w:rPr>
        <w:t xml:space="preserve"> of </w:t>
      </w:r>
      <w:r>
        <w:rPr>
          <w:kern w:val="0"/>
        </w:rPr>
        <w:t>this review is to update</w:t>
      </w:r>
      <w:r w:rsidR="005853A9">
        <w:rPr>
          <w:kern w:val="0"/>
        </w:rPr>
        <w:t xml:space="preserve"> and </w:t>
      </w:r>
      <w:r>
        <w:rPr>
          <w:kern w:val="0"/>
        </w:rPr>
        <w:t>divulge</w:t>
      </w:r>
      <w:r w:rsidR="003A1917">
        <w:rPr>
          <w:kern w:val="0"/>
        </w:rPr>
        <w:t xml:space="preserve"> the </w:t>
      </w:r>
      <w:r>
        <w:rPr>
          <w:kern w:val="0"/>
        </w:rPr>
        <w:t>main constitutional risk factors involved in</w:t>
      </w:r>
      <w:r w:rsidR="003A1917">
        <w:rPr>
          <w:kern w:val="0"/>
        </w:rPr>
        <w:t xml:space="preserve"> the </w:t>
      </w:r>
      <w:r>
        <w:rPr>
          <w:kern w:val="0"/>
        </w:rPr>
        <w:t>etiopathology</w:t>
      </w:r>
      <w:r w:rsidR="00427468">
        <w:rPr>
          <w:kern w:val="0"/>
        </w:rPr>
        <w:t xml:space="preserve"> of </w:t>
      </w:r>
      <w:r>
        <w:rPr>
          <w:kern w:val="0"/>
        </w:rPr>
        <w:t>prostate cancer. Materials</w:t>
      </w:r>
      <w:r w:rsidR="005853A9">
        <w:rPr>
          <w:kern w:val="0"/>
        </w:rPr>
        <w:t xml:space="preserve"> and </w:t>
      </w:r>
      <w:r>
        <w:rPr>
          <w:kern w:val="0"/>
        </w:rPr>
        <w:t>methods: Bibliographic review</w:t>
      </w:r>
      <w:r w:rsidR="00427468">
        <w:rPr>
          <w:kern w:val="0"/>
        </w:rPr>
        <w:t xml:space="preserve"> of </w:t>
      </w:r>
      <w:r w:rsidR="003A1917">
        <w:rPr>
          <w:kern w:val="0"/>
        </w:rPr>
        <w:t xml:space="preserve">the </w:t>
      </w:r>
      <w:r>
        <w:rPr>
          <w:kern w:val="0"/>
        </w:rPr>
        <w:t>scientific literature on</w:t>
      </w:r>
      <w:r w:rsidR="003A1917">
        <w:rPr>
          <w:kern w:val="0"/>
        </w:rPr>
        <w:t xml:space="preserve"> the </w:t>
      </w:r>
      <w:r>
        <w:rPr>
          <w:kern w:val="0"/>
        </w:rPr>
        <w:t>constitutional risk factors associated with prostate cancer between 1985</w:t>
      </w:r>
      <w:r w:rsidR="005853A9">
        <w:rPr>
          <w:kern w:val="0"/>
        </w:rPr>
        <w:t xml:space="preserve"> and </w:t>
      </w:r>
      <w:r>
        <w:rPr>
          <w:kern w:val="0"/>
        </w:rPr>
        <w:t xml:space="preserve">2010, obtained from </w:t>
      </w:r>
      <w:r w:rsidR="00D5664A">
        <w:rPr>
          <w:kern w:val="0"/>
        </w:rPr>
        <w:t>MEDLINE</w:t>
      </w:r>
      <w:r>
        <w:rPr>
          <w:kern w:val="0"/>
        </w:rPr>
        <w:t>, CancerLit, Science Citation Index</w:t>
      </w:r>
      <w:r w:rsidR="005853A9">
        <w:rPr>
          <w:kern w:val="0"/>
        </w:rPr>
        <w:t xml:space="preserve"> and </w:t>
      </w:r>
      <w:r>
        <w:rPr>
          <w:kern w:val="0"/>
        </w:rPr>
        <w:t>Embase</w:t>
      </w:r>
      <w:r w:rsidR="00A37C1D">
        <w:rPr>
          <w:kern w:val="0"/>
        </w:rPr>
        <w:t>. The</w:t>
      </w:r>
      <w:r w:rsidR="003A1917">
        <w:rPr>
          <w:kern w:val="0"/>
        </w:rPr>
        <w:t xml:space="preserve"> </w:t>
      </w:r>
      <w:r>
        <w:rPr>
          <w:kern w:val="0"/>
        </w:rPr>
        <w:t>search profiles were Risk Factors, Genetic Factors, Genetic Polymorphisms, Genomics, Etiology, Epidemiology, Hormonal Factors, Endocrinology, Primary Prevention</w:t>
      </w:r>
      <w:r w:rsidR="005853A9">
        <w:rPr>
          <w:kern w:val="0"/>
        </w:rPr>
        <w:t xml:space="preserve"> and </w:t>
      </w:r>
      <w:r>
        <w:rPr>
          <w:kern w:val="0"/>
        </w:rPr>
        <w:t>Prostate Cancer. Results:</w:t>
      </w:r>
      <w:r w:rsidR="003A1917">
        <w:rPr>
          <w:kern w:val="0"/>
        </w:rPr>
        <w:t xml:space="preserve"> the </w:t>
      </w:r>
      <w:r>
        <w:rPr>
          <w:kern w:val="0"/>
        </w:rPr>
        <w:t>principal constitutional risk factors are: age (before</w:t>
      </w:r>
      <w:r w:rsidR="003A1917">
        <w:rPr>
          <w:kern w:val="0"/>
        </w:rPr>
        <w:t xml:space="preserve"> the </w:t>
      </w:r>
      <w:r>
        <w:rPr>
          <w:kern w:val="0"/>
        </w:rPr>
        <w:t>age</w:t>
      </w:r>
      <w:r w:rsidR="00427468">
        <w:rPr>
          <w:kern w:val="0"/>
        </w:rPr>
        <w:t xml:space="preserve"> of </w:t>
      </w:r>
      <w:r>
        <w:rPr>
          <w:kern w:val="0"/>
        </w:rPr>
        <w:t>50 years at least 0.7%</w:t>
      </w:r>
      <w:r w:rsidR="00427468">
        <w:rPr>
          <w:kern w:val="0"/>
        </w:rPr>
        <w:t xml:space="preserve"> of </w:t>
      </w:r>
      <w:r>
        <w:rPr>
          <w:kern w:val="0"/>
        </w:rPr>
        <w:t>these neoplasms are diagnosed</w:t>
      </w:r>
      <w:r w:rsidR="005853A9">
        <w:rPr>
          <w:kern w:val="0"/>
        </w:rPr>
        <w:t xml:space="preserve"> and </w:t>
      </w:r>
      <w:r>
        <w:rPr>
          <w:kern w:val="0"/>
        </w:rPr>
        <w:t>between 75-85% are diagnosed after</w:t>
      </w:r>
      <w:r w:rsidR="003A1917">
        <w:rPr>
          <w:kern w:val="0"/>
        </w:rPr>
        <w:t xml:space="preserve"> the </w:t>
      </w:r>
      <w:r>
        <w:rPr>
          <w:kern w:val="0"/>
        </w:rPr>
        <w:t>age</w:t>
      </w:r>
      <w:r w:rsidR="00427468">
        <w:rPr>
          <w:kern w:val="0"/>
        </w:rPr>
        <w:t xml:space="preserve"> of </w:t>
      </w:r>
      <w:r>
        <w:rPr>
          <w:kern w:val="0"/>
        </w:rPr>
        <w:t>65 years), ethnic-racial</w:t>
      </w:r>
      <w:r w:rsidR="005853A9">
        <w:rPr>
          <w:kern w:val="0"/>
        </w:rPr>
        <w:t xml:space="preserve"> and </w:t>
      </w:r>
      <w:r>
        <w:rPr>
          <w:kern w:val="0"/>
        </w:rPr>
        <w:t>geographic (African Americans present</w:t>
      </w:r>
      <w:r w:rsidR="003A1917">
        <w:rPr>
          <w:kern w:val="0"/>
        </w:rPr>
        <w:t xml:space="preserve"> the </w:t>
      </w:r>
      <w:r>
        <w:rPr>
          <w:kern w:val="0"/>
        </w:rPr>
        <w:t>highest incidence rates,</w:t>
      </w:r>
      <w:r w:rsidR="005853A9">
        <w:rPr>
          <w:kern w:val="0"/>
        </w:rPr>
        <w:t xml:space="preserve"> and </w:t>
      </w:r>
      <w:r w:rsidR="003A1917">
        <w:rPr>
          <w:kern w:val="0"/>
        </w:rPr>
        <w:t xml:space="preserve">the </w:t>
      </w:r>
      <w:r>
        <w:rPr>
          <w:kern w:val="0"/>
        </w:rPr>
        <w:t>lowest are found in South East Asia), genetic, family</w:t>
      </w:r>
      <w:r w:rsidR="005853A9">
        <w:rPr>
          <w:kern w:val="0"/>
        </w:rPr>
        <w:t xml:space="preserve"> and </w:t>
      </w:r>
      <w:r>
        <w:rPr>
          <w:kern w:val="0"/>
        </w:rPr>
        <w:t>hereditary (family syndromes cover 13-26%</w:t>
      </w:r>
      <w:r w:rsidR="00427468">
        <w:rPr>
          <w:kern w:val="0"/>
        </w:rPr>
        <w:t xml:space="preserve"> of </w:t>
      </w:r>
      <w:r>
        <w:rPr>
          <w:kern w:val="0"/>
        </w:rPr>
        <w:t>all prostate cancers,</w:t>
      </w:r>
      <w:r w:rsidR="00427468">
        <w:rPr>
          <w:kern w:val="0"/>
        </w:rPr>
        <w:t xml:space="preserve"> of </w:t>
      </w:r>
      <w:r>
        <w:rPr>
          <w:kern w:val="0"/>
        </w:rPr>
        <w:t>which 5% are</w:t>
      </w:r>
      <w:r w:rsidR="00427468">
        <w:rPr>
          <w:kern w:val="0"/>
        </w:rPr>
        <w:t xml:space="preserve"> of </w:t>
      </w:r>
      <w:r>
        <w:rPr>
          <w:kern w:val="0"/>
        </w:rPr>
        <w:t>autosomal dominant inheritance), hormonal (it is a hormone-dependent tumour), anthropometric (obesity increases</w:t>
      </w:r>
      <w:r w:rsidR="003A1917">
        <w:rPr>
          <w:kern w:val="0"/>
        </w:rPr>
        <w:t xml:space="preserve"> the </w:t>
      </w:r>
      <w:r>
        <w:rPr>
          <w:kern w:val="0"/>
        </w:rPr>
        <w:t>risk), perinatal, arterial hypertension</w:t>
      </w:r>
      <w:r w:rsidR="005853A9">
        <w:rPr>
          <w:kern w:val="0"/>
        </w:rPr>
        <w:t xml:space="preserve"> and </w:t>
      </w:r>
      <w:r>
        <w:rPr>
          <w:kern w:val="0"/>
        </w:rPr>
        <w:t>type 2 diabetes. Conclusions: Constitutional risk factors play a very important role in</w:t>
      </w:r>
      <w:r w:rsidR="003A1917">
        <w:rPr>
          <w:kern w:val="0"/>
        </w:rPr>
        <w:t xml:space="preserve"> the </w:t>
      </w:r>
      <w:r>
        <w:rPr>
          <w:kern w:val="0"/>
        </w:rPr>
        <w:t>etiopathology</w:t>
      </w:r>
      <w:r w:rsidR="00427468">
        <w:rPr>
          <w:kern w:val="0"/>
        </w:rPr>
        <w:t xml:space="preserve"> of </w:t>
      </w:r>
      <w:r>
        <w:rPr>
          <w:kern w:val="0"/>
        </w:rPr>
        <w:t>prostate cancer, especially age, ethnic-racial-geographic factors</w:t>
      </w:r>
      <w:r w:rsidR="005853A9">
        <w:rPr>
          <w:kern w:val="0"/>
        </w:rPr>
        <w:t xml:space="preserve"> and </w:t>
      </w:r>
      <w:r>
        <w:rPr>
          <w:kern w:val="0"/>
        </w:rPr>
        <w:t>genetic-family factors. We cannot know what percentage</w:t>
      </w:r>
      <w:r w:rsidR="00427468">
        <w:rPr>
          <w:kern w:val="0"/>
        </w:rPr>
        <w:t xml:space="preserve"> of </w:t>
      </w:r>
      <w:r>
        <w:rPr>
          <w:kern w:val="0"/>
        </w:rPr>
        <w:t>these neoplasms are a result</w:t>
      </w:r>
      <w:r w:rsidR="00427468">
        <w:rPr>
          <w:kern w:val="0"/>
        </w:rPr>
        <w:t xml:space="preserve"> of </w:t>
      </w:r>
      <w:r>
        <w:rPr>
          <w:kern w:val="0"/>
        </w:rPr>
        <w:t>constitutional factors, because our knowledge</w:t>
      </w:r>
      <w:r w:rsidR="00427468">
        <w:rPr>
          <w:kern w:val="0"/>
        </w:rPr>
        <w:t xml:space="preserve"> of </w:t>
      </w:r>
      <w:r>
        <w:rPr>
          <w:kern w:val="0"/>
        </w:rPr>
        <w:t>these factors is currently lacking. (C) 2010 AEU. Published by Elsevier Espana, S.L. All rights reserved.</w:t>
      </w:r>
    </w:p>
    <w:p w:rsidR="000B5CD6" w:rsidRDefault="000B5CD6" w:rsidP="000B5CD6">
      <w:pPr>
        <w:pStyle w:val="a3"/>
        <w:rPr>
          <w:kern w:val="0"/>
        </w:rPr>
      </w:pPr>
      <w:r>
        <w:rPr>
          <w:kern w:val="0"/>
        </w:rPr>
        <w:t>Keywords: Bibliographic, Birth-Weight, Blood-Pressure, Body-Mass, Cancer, Carcinogenesis, Citation, Cohort, Constitutional Risk Factors, Epidemiology, Epidemiology, Insulin, Literature, Mortality, Obesity, Polymorphisms, Prostate Cancer, Retrospective Analysis, Review, Science Citation Index, United-States</w:t>
      </w:r>
    </w:p>
    <w:p w:rsidR="000B5CD6" w:rsidRDefault="000B5CD6" w:rsidP="000B5CD6">
      <w:pPr>
        <w:pStyle w:val="a3"/>
        <w:rPr>
          <w:kern w:val="0"/>
        </w:rPr>
      </w:pPr>
      <w:r>
        <w:rPr>
          <w:rFonts w:hint="eastAsia"/>
          <w:kern w:val="0"/>
        </w:rPr>
        <w:t xml:space="preserve">? </w:t>
      </w:r>
      <w:r>
        <w:rPr>
          <w:kern w:val="0"/>
        </w:rPr>
        <w:t>Tortajada, J., Berbel-Tornero, O., Castell, J., López-Andreu, J.A., Sobrino-Najul, E.</w:t>
      </w:r>
      <w:r w:rsidR="005853A9">
        <w:rPr>
          <w:kern w:val="0"/>
        </w:rPr>
        <w:t xml:space="preserve"> and </w:t>
      </w:r>
      <w:r>
        <w:rPr>
          <w:kern w:val="0"/>
        </w:rPr>
        <w:t xml:space="preserve">Ortega-García, J.A. (2011), Constitutional risk factors in prostate cancer. </w:t>
      </w:r>
      <w:r w:rsidRPr="00431942">
        <w:rPr>
          <w:i/>
          <w:iCs/>
          <w:kern w:val="0"/>
          <w:szCs w:val="24"/>
        </w:rPr>
        <w:t>Actas Urológicas Españolas</w:t>
      </w:r>
      <w:r>
        <w:rPr>
          <w:kern w:val="0"/>
        </w:rPr>
        <w:t xml:space="preserve">, </w:t>
      </w:r>
      <w:r>
        <w:rPr>
          <w:b/>
          <w:bCs/>
          <w:kern w:val="0"/>
        </w:rPr>
        <w:t>35</w:t>
      </w:r>
      <w:r>
        <w:rPr>
          <w:kern w:val="0"/>
        </w:rPr>
        <w:t xml:space="preserve"> (5), 289-295.</w:t>
      </w:r>
    </w:p>
    <w:p w:rsidR="000B5CD6" w:rsidRDefault="000B5CD6" w:rsidP="000B5CD6">
      <w:pPr>
        <w:pStyle w:val="a3"/>
        <w:rPr>
          <w:kern w:val="0"/>
        </w:rPr>
      </w:pPr>
      <w:r>
        <w:rPr>
          <w:rFonts w:hint="eastAsia"/>
          <w:kern w:val="0"/>
        </w:rPr>
        <w:lastRenderedPageBreak/>
        <w:t xml:space="preserve">Full Text: </w:t>
      </w:r>
      <w:hyperlink r:id="rId222" w:history="1">
        <w:r w:rsidRPr="008A40EE">
          <w:rPr>
            <w:rStyle w:val="a5"/>
            <w:kern w:val="0"/>
          </w:rPr>
          <w:t>2011\Act Uro Esp35, 289.pdf</w:t>
        </w:r>
      </w:hyperlink>
    </w:p>
    <w:p w:rsidR="000B5CD6" w:rsidRDefault="000B5CD6" w:rsidP="000B5CD6">
      <w:pPr>
        <w:pStyle w:val="a3"/>
        <w:rPr>
          <w:kern w:val="0"/>
        </w:rPr>
      </w:pPr>
      <w:r>
        <w:rPr>
          <w:kern w:val="0"/>
        </w:rPr>
        <w:t>Abstract: Introduction:</w:t>
      </w:r>
      <w:r w:rsidR="003A1917">
        <w:rPr>
          <w:kern w:val="0"/>
        </w:rPr>
        <w:t xml:space="preserve"> the </w:t>
      </w:r>
      <w:r>
        <w:rPr>
          <w:kern w:val="0"/>
        </w:rPr>
        <w:t>aim is to update</w:t>
      </w:r>
      <w:r w:rsidR="005853A9">
        <w:rPr>
          <w:kern w:val="0"/>
        </w:rPr>
        <w:t xml:space="preserve"> and </w:t>
      </w:r>
      <w:r>
        <w:rPr>
          <w:kern w:val="0"/>
        </w:rPr>
        <w:t>disclose</w:t>
      </w:r>
      <w:r w:rsidR="003A1917">
        <w:rPr>
          <w:kern w:val="0"/>
        </w:rPr>
        <w:t xml:space="preserve"> the </w:t>
      </w:r>
      <w:r>
        <w:rPr>
          <w:kern w:val="0"/>
        </w:rPr>
        <w:t>main environmental risk factors, excluding dietary factors, involved in</w:t>
      </w:r>
      <w:r w:rsidR="003A1917">
        <w:rPr>
          <w:kern w:val="0"/>
        </w:rPr>
        <w:t xml:space="preserve"> the </w:t>
      </w:r>
      <w:r>
        <w:rPr>
          <w:kern w:val="0"/>
        </w:rPr>
        <w:t>etiopathology</w:t>
      </w:r>
      <w:r w:rsidR="00427468">
        <w:rPr>
          <w:kern w:val="0"/>
        </w:rPr>
        <w:t xml:space="preserve"> of </w:t>
      </w:r>
      <w:r>
        <w:rPr>
          <w:kern w:val="0"/>
        </w:rPr>
        <w:t>prostate cancer. Materials</w:t>
      </w:r>
      <w:r w:rsidR="005853A9">
        <w:rPr>
          <w:kern w:val="0"/>
        </w:rPr>
        <w:t xml:space="preserve"> and </w:t>
      </w:r>
      <w:r>
        <w:rPr>
          <w:kern w:val="0"/>
        </w:rPr>
        <w:t>method: Bibliographic review</w:t>
      </w:r>
      <w:r w:rsidR="00427468">
        <w:rPr>
          <w:kern w:val="0"/>
        </w:rPr>
        <w:t xml:space="preserve"> of </w:t>
      </w:r>
      <w:r w:rsidR="003A1917">
        <w:rPr>
          <w:kern w:val="0"/>
        </w:rPr>
        <w:t xml:space="preserve">the </w:t>
      </w:r>
      <w:r>
        <w:rPr>
          <w:kern w:val="0"/>
        </w:rPr>
        <w:t>last 25 years</w:t>
      </w:r>
      <w:r w:rsidR="00427468">
        <w:rPr>
          <w:kern w:val="0"/>
        </w:rPr>
        <w:t xml:space="preserve"> of </w:t>
      </w:r>
      <w:r>
        <w:rPr>
          <w:kern w:val="0"/>
        </w:rPr>
        <w:t>non-dietary environmental risk factors associated with prostate cancer between 1985</w:t>
      </w:r>
      <w:r w:rsidR="005853A9">
        <w:rPr>
          <w:kern w:val="0"/>
        </w:rPr>
        <w:t xml:space="preserve"> and </w:t>
      </w:r>
      <w:r>
        <w:rPr>
          <w:kern w:val="0"/>
        </w:rPr>
        <w:t xml:space="preserve">2010, obtained from </w:t>
      </w:r>
      <w:r w:rsidR="00D5664A">
        <w:rPr>
          <w:kern w:val="0"/>
        </w:rPr>
        <w:t>MEDLINE</w:t>
      </w:r>
      <w:r>
        <w:rPr>
          <w:kern w:val="0"/>
        </w:rPr>
        <w:t>, CancerLit, Science Citation Index</w:t>
      </w:r>
      <w:r w:rsidR="005853A9">
        <w:rPr>
          <w:kern w:val="0"/>
        </w:rPr>
        <w:t xml:space="preserve"> and </w:t>
      </w:r>
      <w:r>
        <w:rPr>
          <w:kern w:val="0"/>
        </w:rPr>
        <w:t>Embase</w:t>
      </w:r>
      <w:r w:rsidR="00A37C1D">
        <w:rPr>
          <w:kern w:val="0"/>
        </w:rPr>
        <w:t>. The</w:t>
      </w:r>
      <w:r w:rsidR="003A1917">
        <w:rPr>
          <w:kern w:val="0"/>
        </w:rPr>
        <w:t xml:space="preserve"> </w:t>
      </w:r>
      <w:r>
        <w:rPr>
          <w:kern w:val="0"/>
        </w:rPr>
        <w:t>search profiles were Environmental Risk Factors/Tobacco/Infectious-Inflammatory Factors/Pesticides/Vasectomy/Occupational Exposures/Chemoprevention Agents/Radiation</w:t>
      </w:r>
      <w:r w:rsidR="005853A9">
        <w:rPr>
          <w:kern w:val="0"/>
        </w:rPr>
        <w:t xml:space="preserve"> and </w:t>
      </w:r>
      <w:r>
        <w:rPr>
          <w:kern w:val="0"/>
        </w:rPr>
        <w:t>Prostate Cancer. Results: While some non-dietary environmental risk factors increase</w:t>
      </w:r>
      <w:r w:rsidR="003A1917">
        <w:rPr>
          <w:kern w:val="0"/>
        </w:rPr>
        <w:t xml:space="preserve"> the </w:t>
      </w:r>
      <w:r>
        <w:rPr>
          <w:kern w:val="0"/>
        </w:rPr>
        <w:t>risk</w:t>
      </w:r>
      <w:r w:rsidR="00427468">
        <w:rPr>
          <w:kern w:val="0"/>
        </w:rPr>
        <w:t xml:space="preserve"> of </w:t>
      </w:r>
      <w:r>
        <w:rPr>
          <w:kern w:val="0"/>
        </w:rPr>
        <w:t>acquiring</w:t>
      </w:r>
      <w:r w:rsidR="003A1917">
        <w:rPr>
          <w:kern w:val="0"/>
        </w:rPr>
        <w:t xml:space="preserve"> the </w:t>
      </w:r>
      <w:r>
        <w:rPr>
          <w:kern w:val="0"/>
        </w:rPr>
        <w:t>disease, others decrease it.</w:t>
      </w:r>
      <w:r w:rsidR="00427468">
        <w:rPr>
          <w:kern w:val="0"/>
        </w:rPr>
        <w:t xml:space="preserve"> of </w:t>
      </w:r>
      <w:r w:rsidR="003A1917">
        <w:rPr>
          <w:kern w:val="0"/>
        </w:rPr>
        <w:t xml:space="preserve">the </w:t>
      </w:r>
      <w:r>
        <w:rPr>
          <w:kern w:val="0"/>
        </w:rPr>
        <w:t>former, it is worth mentioning exposal to tobacco smoke, chronic infectious-inflammatory prostatic processes</w:t>
      </w:r>
      <w:r w:rsidR="005853A9">
        <w:rPr>
          <w:kern w:val="0"/>
        </w:rPr>
        <w:t xml:space="preserve"> and </w:t>
      </w:r>
      <w:r>
        <w:rPr>
          <w:kern w:val="0"/>
        </w:rPr>
        <w:t>occupational exposure to cadmium, herbicides</w:t>
      </w:r>
      <w:r w:rsidR="005853A9">
        <w:rPr>
          <w:kern w:val="0"/>
        </w:rPr>
        <w:t xml:space="preserve"> and </w:t>
      </w:r>
      <w:r>
        <w:rPr>
          <w:kern w:val="0"/>
        </w:rPr>
        <w:t>pesticides</w:t>
      </w:r>
      <w:r w:rsidR="00A37C1D">
        <w:rPr>
          <w:kern w:val="0"/>
        </w:rPr>
        <w:t>. The</w:t>
      </w:r>
      <w:r w:rsidR="003A1917">
        <w:rPr>
          <w:kern w:val="0"/>
        </w:rPr>
        <w:t xml:space="preserve"> </w:t>
      </w:r>
      <w:r>
        <w:rPr>
          <w:kern w:val="0"/>
        </w:rPr>
        <w:t>first factors that reduce</w:t>
      </w:r>
      <w:r w:rsidR="003A1917">
        <w:rPr>
          <w:kern w:val="0"/>
        </w:rPr>
        <w:t xml:space="preserve"> the </w:t>
      </w:r>
      <w:r>
        <w:rPr>
          <w:kern w:val="0"/>
        </w:rPr>
        <w:t>risk are</w:t>
      </w:r>
      <w:r w:rsidR="003A1917">
        <w:rPr>
          <w:kern w:val="0"/>
        </w:rPr>
        <w:t xml:space="preserve"> the </w:t>
      </w:r>
      <w:r>
        <w:rPr>
          <w:kern w:val="0"/>
        </w:rPr>
        <w:t>use</w:t>
      </w:r>
      <w:r w:rsidR="00427468">
        <w:rPr>
          <w:kern w:val="0"/>
        </w:rPr>
        <w:t xml:space="preserve"> of </w:t>
      </w:r>
      <w:r>
        <w:rPr>
          <w:kern w:val="0"/>
        </w:rPr>
        <w:t>chemopreventive drugs (Finasterida, Dutasteride)</w:t>
      </w:r>
      <w:r w:rsidR="005853A9">
        <w:rPr>
          <w:kern w:val="0"/>
        </w:rPr>
        <w:t xml:space="preserve"> and </w:t>
      </w:r>
      <w:r>
        <w:rPr>
          <w:kern w:val="0"/>
        </w:rPr>
        <w:t>exposure to ultraviolet solar radiation. With</w:t>
      </w:r>
      <w:r w:rsidR="003A1917">
        <w:rPr>
          <w:kern w:val="0"/>
        </w:rPr>
        <w:t xml:space="preserve"> the </w:t>
      </w:r>
      <w:r>
        <w:rPr>
          <w:kern w:val="0"/>
        </w:rPr>
        <w:t>current data, a vasectomy does not influence</w:t>
      </w:r>
      <w:r w:rsidR="003A1917">
        <w:rPr>
          <w:kern w:val="0"/>
        </w:rPr>
        <w:t xml:space="preserve"> the </w:t>
      </w:r>
      <w:r>
        <w:rPr>
          <w:kern w:val="0"/>
        </w:rPr>
        <w:t>risk</w:t>
      </w:r>
      <w:r w:rsidR="00427468">
        <w:rPr>
          <w:kern w:val="0"/>
        </w:rPr>
        <w:t xml:space="preserve"> of </w:t>
      </w:r>
      <w:r>
        <w:rPr>
          <w:kern w:val="0"/>
        </w:rPr>
        <w:t>developing</w:t>
      </w:r>
      <w:r w:rsidR="003A1917">
        <w:rPr>
          <w:kern w:val="0"/>
        </w:rPr>
        <w:t xml:space="preserve"> the </w:t>
      </w:r>
      <w:r>
        <w:rPr>
          <w:kern w:val="0"/>
        </w:rPr>
        <w:t>disease. Conclusions:</w:t>
      </w:r>
      <w:r w:rsidR="003A1917">
        <w:rPr>
          <w:kern w:val="0"/>
        </w:rPr>
        <w:t xml:space="preserve"> the </w:t>
      </w:r>
      <w:r>
        <w:rPr>
          <w:kern w:val="0"/>
        </w:rPr>
        <w:t>slow process</w:t>
      </w:r>
      <w:r w:rsidR="00427468">
        <w:rPr>
          <w:kern w:val="0"/>
        </w:rPr>
        <w:t xml:space="preserve"> of </w:t>
      </w:r>
      <w:r>
        <w:rPr>
          <w:kern w:val="0"/>
        </w:rPr>
        <w:t>prostate carcinogenesis is</w:t>
      </w:r>
      <w:r w:rsidR="003A1917">
        <w:rPr>
          <w:kern w:val="0"/>
        </w:rPr>
        <w:t xml:space="preserve"> the </w:t>
      </w:r>
      <w:r>
        <w:rPr>
          <w:kern w:val="0"/>
        </w:rPr>
        <w:t>final result</w:t>
      </w:r>
      <w:r w:rsidR="00427468">
        <w:rPr>
          <w:kern w:val="0"/>
        </w:rPr>
        <w:t xml:space="preserve"> of </w:t>
      </w:r>
      <w:r w:rsidR="003A1917">
        <w:rPr>
          <w:kern w:val="0"/>
        </w:rPr>
        <w:t xml:space="preserve">the </w:t>
      </w:r>
      <w:r>
        <w:rPr>
          <w:kern w:val="0"/>
        </w:rPr>
        <w:t>interaction</w:t>
      </w:r>
      <w:r w:rsidR="00427468">
        <w:rPr>
          <w:kern w:val="0"/>
        </w:rPr>
        <w:t xml:space="preserve"> of </w:t>
      </w:r>
      <w:r>
        <w:rPr>
          <w:kern w:val="0"/>
        </w:rPr>
        <w:t>constitutional risk</w:t>
      </w:r>
      <w:r w:rsidR="005853A9">
        <w:rPr>
          <w:kern w:val="0"/>
        </w:rPr>
        <w:t xml:space="preserve"> and </w:t>
      </w:r>
      <w:r>
        <w:rPr>
          <w:kern w:val="0"/>
        </w:rPr>
        <w:t>environmental factors. Non-dietary environmental factors play an important role in</w:t>
      </w:r>
      <w:r w:rsidR="003A1917">
        <w:rPr>
          <w:kern w:val="0"/>
        </w:rPr>
        <w:t xml:space="preserve"> the </w:t>
      </w:r>
      <w:r>
        <w:rPr>
          <w:kern w:val="0"/>
        </w:rPr>
        <w:t>etiopathology</w:t>
      </w:r>
      <w:r w:rsidR="00427468">
        <w:rPr>
          <w:kern w:val="0"/>
        </w:rPr>
        <w:t xml:space="preserve"> of </w:t>
      </w:r>
      <w:r>
        <w:rPr>
          <w:kern w:val="0"/>
        </w:rPr>
        <w:t>this disease. To appropriately assess</w:t>
      </w:r>
      <w:r w:rsidR="003A1917">
        <w:rPr>
          <w:kern w:val="0"/>
        </w:rPr>
        <w:t xml:space="preserve"> the </w:t>
      </w:r>
      <w:r>
        <w:rPr>
          <w:kern w:val="0"/>
        </w:rPr>
        <w:t>risk factors, extensive case studies that include all</w:t>
      </w:r>
      <w:r w:rsidR="003A1917">
        <w:rPr>
          <w:kern w:val="0"/>
        </w:rPr>
        <w:t xml:space="preserve"> the </w:t>
      </w:r>
      <w:r>
        <w:rPr>
          <w:kern w:val="0"/>
        </w:rPr>
        <w:t>possible variables must be analysed. (C) 2010 AEU. Published by Elsevier Espana, S.L. All rights reserved.</w:t>
      </w:r>
    </w:p>
    <w:p w:rsidR="000B5CD6" w:rsidRDefault="000B5CD6" w:rsidP="000B5CD6">
      <w:pPr>
        <w:pStyle w:val="a3"/>
        <w:rPr>
          <w:kern w:val="0"/>
        </w:rPr>
      </w:pPr>
      <w:r>
        <w:rPr>
          <w:kern w:val="0"/>
        </w:rPr>
        <w:t>Keywords: Agent-Orange, Bibliographic, Cancer, Citation, Constitutional Risk Factors, Environmental Risk Factors, Epidemiology, Health, Manufacturing Workers, Metaanalysis, Occupational Exposure, Occupational-Exposure, Pesticides, Polycyclic Aromatic-Hydrocarbons, Primary Prevention, Prospective Cohort, Prostate Cancer, Review, Science Citation Index, Smoking, Smoking, Tobacco, United-States, Vasectomy</w:t>
      </w:r>
    </w:p>
    <w:p w:rsidR="00185D9A" w:rsidRDefault="00185D9A" w:rsidP="00185D9A">
      <w:pPr>
        <w:pStyle w:val="a3"/>
        <w:rPr>
          <w:kern w:val="0"/>
        </w:rPr>
      </w:pPr>
      <w:r>
        <w:rPr>
          <w:rFonts w:hint="eastAsia"/>
          <w:kern w:val="0"/>
        </w:rPr>
        <w:t xml:space="preserve">? </w:t>
      </w:r>
      <w:r>
        <w:rPr>
          <w:kern w:val="0"/>
        </w:rPr>
        <w:t>Ferris-Tortajada, J., Berbel-Tornero, O., Garcia-Castell, J., Ortega-Garcia, J.A.</w:t>
      </w:r>
      <w:r w:rsidR="005853A9">
        <w:rPr>
          <w:kern w:val="0"/>
        </w:rPr>
        <w:t xml:space="preserve"> and </w:t>
      </w:r>
      <w:r>
        <w:rPr>
          <w:kern w:val="0"/>
        </w:rPr>
        <w:t>Lopez-Andreu, J.A. (2012), Dietetic factors associated with prostate cancer. Protective effects</w:t>
      </w:r>
      <w:r w:rsidR="00427468">
        <w:rPr>
          <w:kern w:val="0"/>
        </w:rPr>
        <w:t xml:space="preserve"> of </w:t>
      </w:r>
      <w:r>
        <w:rPr>
          <w:kern w:val="0"/>
        </w:rPr>
        <w:t xml:space="preserve">mediterranean diet. </w:t>
      </w:r>
      <w:r w:rsidR="00BF62EA" w:rsidRPr="00184D4C">
        <w:rPr>
          <w:i/>
        </w:rPr>
        <w:t>Actas Urológicas Españolas</w:t>
      </w:r>
      <w:r>
        <w:rPr>
          <w:kern w:val="0"/>
        </w:rPr>
        <w:t xml:space="preserve">, </w:t>
      </w:r>
      <w:r>
        <w:rPr>
          <w:b/>
          <w:bCs/>
          <w:kern w:val="0"/>
        </w:rPr>
        <w:t>36</w:t>
      </w:r>
      <w:r>
        <w:rPr>
          <w:kern w:val="0"/>
        </w:rPr>
        <w:t xml:space="preserve"> (4), 239-245.</w:t>
      </w:r>
    </w:p>
    <w:p w:rsidR="00185D9A" w:rsidRDefault="00185D9A" w:rsidP="00185D9A">
      <w:pPr>
        <w:pStyle w:val="a3"/>
        <w:rPr>
          <w:kern w:val="0"/>
        </w:rPr>
      </w:pPr>
      <w:r>
        <w:rPr>
          <w:rFonts w:hint="eastAsia"/>
          <w:kern w:val="0"/>
        </w:rPr>
        <w:t xml:space="preserve">Full Text: </w:t>
      </w:r>
      <w:r w:rsidRPr="00433EB0">
        <w:rPr>
          <w:kern w:val="0"/>
        </w:rPr>
        <w:t>2012\Act Uro Esp36, 239.pdf</w:t>
      </w:r>
    </w:p>
    <w:p w:rsidR="00185D9A" w:rsidRDefault="00185D9A" w:rsidP="00185D9A">
      <w:pPr>
        <w:pStyle w:val="a3"/>
        <w:rPr>
          <w:kern w:val="0"/>
        </w:rPr>
      </w:pPr>
      <w:r>
        <w:rPr>
          <w:kern w:val="0"/>
        </w:rPr>
        <w:t>Abstract: Objective: To review diet risk factors (RF) implied, more or less evidence-based, in</w:t>
      </w:r>
      <w:r w:rsidR="003A1917">
        <w:rPr>
          <w:kern w:val="0"/>
        </w:rPr>
        <w:t xml:space="preserve"> the </w:t>
      </w:r>
      <w:r>
        <w:rPr>
          <w:kern w:val="0"/>
        </w:rPr>
        <w:t>etiopathology</w:t>
      </w:r>
      <w:r w:rsidR="00427468">
        <w:rPr>
          <w:kern w:val="0"/>
        </w:rPr>
        <w:t xml:space="preserve"> of </w:t>
      </w:r>
      <w:r>
        <w:rPr>
          <w:kern w:val="0"/>
        </w:rPr>
        <w:t>prostate carcinoma (PC), especially those that characterize</w:t>
      </w:r>
      <w:r w:rsidR="003A1917">
        <w:rPr>
          <w:kern w:val="0"/>
        </w:rPr>
        <w:t xml:space="preserve"> the </w:t>
      </w:r>
      <w:r>
        <w:rPr>
          <w:kern w:val="0"/>
        </w:rPr>
        <w:t>traditional mediterranean diet (MD). Material</w:t>
      </w:r>
      <w:r w:rsidR="005853A9">
        <w:rPr>
          <w:kern w:val="0"/>
        </w:rPr>
        <w:t xml:space="preserve"> and </w:t>
      </w:r>
      <w:r>
        <w:rPr>
          <w:kern w:val="0"/>
        </w:rPr>
        <w:t>methods: Literature review</w:t>
      </w:r>
      <w:r w:rsidR="00427468">
        <w:rPr>
          <w:kern w:val="0"/>
        </w:rPr>
        <w:t xml:space="preserve"> of </w:t>
      </w:r>
      <w:r>
        <w:rPr>
          <w:kern w:val="0"/>
        </w:rPr>
        <w:t xml:space="preserve">PC related diet RF in </w:t>
      </w:r>
      <w:r w:rsidR="00D5664A">
        <w:rPr>
          <w:kern w:val="0"/>
        </w:rPr>
        <w:t>MEDLINE</w:t>
      </w:r>
      <w:r>
        <w:rPr>
          <w:kern w:val="0"/>
        </w:rPr>
        <w:t xml:space="preserve">, CancerLit, Science Citation Index y Embase. Search profiles were </w:t>
      </w:r>
      <w:r w:rsidR="00B5188C">
        <w:rPr>
          <w:kern w:val="0"/>
        </w:rPr>
        <w:t>“</w:t>
      </w:r>
      <w:r>
        <w:rPr>
          <w:kern w:val="0"/>
        </w:rPr>
        <w:t>Dietetic Factors/Nutritional Factors/Mediterranean Diet/Primary Prevention</w:t>
      </w:r>
      <w:r w:rsidR="00B5188C">
        <w:rPr>
          <w:kern w:val="0"/>
        </w:rPr>
        <w:t>”</w:t>
      </w:r>
      <w:r>
        <w:rPr>
          <w:kern w:val="0"/>
        </w:rPr>
        <w:t>,</w:t>
      </w:r>
      <w:r w:rsidR="005853A9">
        <w:rPr>
          <w:kern w:val="0"/>
        </w:rPr>
        <w:t xml:space="preserve"> and </w:t>
      </w:r>
      <w:r w:rsidR="00B5188C">
        <w:rPr>
          <w:kern w:val="0"/>
        </w:rPr>
        <w:t>“</w:t>
      </w:r>
      <w:r>
        <w:rPr>
          <w:kern w:val="0"/>
        </w:rPr>
        <w:t>Prostate Cancer</w:t>
      </w:r>
      <w:r w:rsidR="00B5188C">
        <w:rPr>
          <w:kern w:val="0"/>
        </w:rPr>
        <w:t>”</w:t>
      </w:r>
      <w:r>
        <w:rPr>
          <w:kern w:val="0"/>
        </w:rPr>
        <w:t>. Results: Diet RF are associated with 35%</w:t>
      </w:r>
      <w:r w:rsidR="00427468">
        <w:rPr>
          <w:kern w:val="0"/>
        </w:rPr>
        <w:t xml:space="preserve"> of </w:t>
      </w:r>
      <w:r>
        <w:rPr>
          <w:kern w:val="0"/>
        </w:rPr>
        <w:t>cancer mortality</w:t>
      </w:r>
      <w:r w:rsidR="005853A9">
        <w:rPr>
          <w:kern w:val="0"/>
        </w:rPr>
        <w:t xml:space="preserve"> and </w:t>
      </w:r>
      <w:r>
        <w:rPr>
          <w:kern w:val="0"/>
        </w:rPr>
        <w:t>10-12%</w:t>
      </w:r>
      <w:r w:rsidR="00427468">
        <w:rPr>
          <w:kern w:val="0"/>
        </w:rPr>
        <w:t xml:space="preserve"> of </w:t>
      </w:r>
      <w:r>
        <w:rPr>
          <w:kern w:val="0"/>
        </w:rPr>
        <w:t>PC mortality</w:t>
      </w:r>
      <w:r w:rsidR="00A37C1D">
        <w:rPr>
          <w:kern w:val="0"/>
        </w:rPr>
        <w:t xml:space="preserve">. </w:t>
      </w:r>
      <w:r w:rsidR="00A37C1D">
        <w:rPr>
          <w:kern w:val="0"/>
        </w:rPr>
        <w:lastRenderedPageBreak/>
        <w:t>The</w:t>
      </w:r>
      <w:r w:rsidR="003A1917">
        <w:rPr>
          <w:kern w:val="0"/>
        </w:rPr>
        <w:t xml:space="preserve"> </w:t>
      </w:r>
      <w:r>
        <w:rPr>
          <w:kern w:val="0"/>
        </w:rPr>
        <w:t>main diet RF, implied in</w:t>
      </w:r>
      <w:r w:rsidR="003A1917">
        <w:rPr>
          <w:kern w:val="0"/>
        </w:rPr>
        <w:t xml:space="preserve"> the </w:t>
      </w:r>
      <w:r>
        <w:rPr>
          <w:kern w:val="0"/>
        </w:rPr>
        <w:t>development</w:t>
      </w:r>
      <w:r w:rsidR="00427468">
        <w:rPr>
          <w:kern w:val="0"/>
        </w:rPr>
        <w:t xml:space="preserve"> of </w:t>
      </w:r>
      <w:r>
        <w:rPr>
          <w:kern w:val="0"/>
        </w:rPr>
        <w:t>PC but with a protective effect, which are considered characteristic</w:t>
      </w:r>
      <w:r w:rsidR="00427468">
        <w:rPr>
          <w:kern w:val="0"/>
        </w:rPr>
        <w:t xml:space="preserve"> of </w:t>
      </w:r>
      <w:r>
        <w:rPr>
          <w:kern w:val="0"/>
        </w:rPr>
        <w:t>MD are: high daily ingestion</w:t>
      </w:r>
      <w:r w:rsidR="00427468">
        <w:rPr>
          <w:kern w:val="0"/>
        </w:rPr>
        <w:t xml:space="preserve"> of </w:t>
      </w:r>
      <w:r>
        <w:rPr>
          <w:kern w:val="0"/>
        </w:rPr>
        <w:t>vegetarian products (cereals, legums, dried</w:t>
      </w:r>
      <w:r w:rsidR="005853A9">
        <w:rPr>
          <w:kern w:val="0"/>
        </w:rPr>
        <w:t xml:space="preserve"> and </w:t>
      </w:r>
      <w:r>
        <w:rPr>
          <w:kern w:val="0"/>
        </w:rPr>
        <w:t>fresh fruits, tubercles, vegetables..); olive oil as main lipid source; low intake</w:t>
      </w:r>
      <w:r w:rsidR="00427468">
        <w:rPr>
          <w:kern w:val="0"/>
        </w:rPr>
        <w:t xml:space="preserve"> of </w:t>
      </w:r>
      <w:r>
        <w:rPr>
          <w:kern w:val="0"/>
        </w:rPr>
        <w:t>animal saturated fat, processed red meat, milk</w:t>
      </w:r>
      <w:r w:rsidR="005853A9">
        <w:rPr>
          <w:kern w:val="0"/>
        </w:rPr>
        <w:t xml:space="preserve"> and </w:t>
      </w:r>
      <w:r>
        <w:rPr>
          <w:kern w:val="0"/>
        </w:rPr>
        <w:t>dairy products; regular consumption</w:t>
      </w:r>
      <w:r w:rsidR="00427468">
        <w:rPr>
          <w:kern w:val="0"/>
        </w:rPr>
        <w:t xml:space="preserve"> of </w:t>
      </w:r>
      <w:r>
        <w:rPr>
          <w:kern w:val="0"/>
        </w:rPr>
        <w:t>small fish;</w:t>
      </w:r>
      <w:r w:rsidR="005853A9">
        <w:rPr>
          <w:kern w:val="0"/>
        </w:rPr>
        <w:t xml:space="preserve"> and </w:t>
      </w:r>
      <w:r>
        <w:rPr>
          <w:kern w:val="0"/>
        </w:rPr>
        <w:t>low alcohol intake (wine with meals)</w:t>
      </w:r>
      <w:r w:rsidR="00A37C1D">
        <w:rPr>
          <w:kern w:val="0"/>
        </w:rPr>
        <w:t>. The</w:t>
      </w:r>
      <w:r w:rsidR="003A1917">
        <w:rPr>
          <w:kern w:val="0"/>
        </w:rPr>
        <w:t xml:space="preserve"> </w:t>
      </w:r>
      <w:r>
        <w:rPr>
          <w:kern w:val="0"/>
        </w:rPr>
        <w:t>MD contains many phytoactive compounds (lycopene, lupeol, quercetin, genistein, carnosol, resveratrol, catechins, vitamins..) with PC protective effects. Conclusions: Diet RF have a role on prostatic carcinogenesis. Further epidemiologic studies with better designs are needed to clarify PC related diet RE PC risk is reduced in persons on MD compared with those on western diet</w:t>
      </w:r>
      <w:r w:rsidR="00A37C1D">
        <w:rPr>
          <w:kern w:val="0"/>
        </w:rPr>
        <w:t>. The</w:t>
      </w:r>
      <w:r w:rsidR="003A1917">
        <w:rPr>
          <w:kern w:val="0"/>
        </w:rPr>
        <w:t xml:space="preserve"> </w:t>
      </w:r>
      <w:r>
        <w:rPr>
          <w:kern w:val="0"/>
        </w:rPr>
        <w:t>preventive effect</w:t>
      </w:r>
      <w:r w:rsidR="00427468">
        <w:rPr>
          <w:kern w:val="0"/>
        </w:rPr>
        <w:t xml:space="preserve"> of </w:t>
      </w:r>
      <w:r>
        <w:rPr>
          <w:kern w:val="0"/>
        </w:rPr>
        <w:t>MD is due to</w:t>
      </w:r>
      <w:r w:rsidR="003A1917">
        <w:rPr>
          <w:kern w:val="0"/>
        </w:rPr>
        <w:t xml:space="preserve"> the </w:t>
      </w:r>
      <w:r>
        <w:rPr>
          <w:kern w:val="0"/>
        </w:rPr>
        <w:t>great number</w:t>
      </w:r>
      <w:r w:rsidR="005853A9">
        <w:rPr>
          <w:kern w:val="0"/>
        </w:rPr>
        <w:t xml:space="preserve"> and </w:t>
      </w:r>
      <w:r>
        <w:rPr>
          <w:kern w:val="0"/>
        </w:rPr>
        <w:t>quality</w:t>
      </w:r>
      <w:r w:rsidR="00427468">
        <w:rPr>
          <w:kern w:val="0"/>
        </w:rPr>
        <w:t xml:space="preserve"> of </w:t>
      </w:r>
      <w:r>
        <w:rPr>
          <w:kern w:val="0"/>
        </w:rPr>
        <w:t>phytochemicals with antioxidant</w:t>
      </w:r>
      <w:r w:rsidR="005853A9">
        <w:rPr>
          <w:kern w:val="0"/>
        </w:rPr>
        <w:t xml:space="preserve"> and </w:t>
      </w:r>
      <w:r>
        <w:rPr>
          <w:kern w:val="0"/>
        </w:rPr>
        <w:t>antinflammatory properties that contains. (C) 2011 AEU. Published by Elsevier Espana, S.L. All rights reserved.</w:t>
      </w:r>
    </w:p>
    <w:p w:rsidR="00185D9A" w:rsidRDefault="00185D9A" w:rsidP="00185D9A">
      <w:pPr>
        <w:pStyle w:val="a3"/>
        <w:rPr>
          <w:kern w:val="0"/>
        </w:rPr>
      </w:pPr>
      <w:r>
        <w:rPr>
          <w:kern w:val="0"/>
        </w:rPr>
        <w:t>Keywords: Alcohol, Alcohol Intake, Antioxidant, Cancer, Citation, Consumption, Dairy, Development, Diet, Dietetic Risk Factors, Effects, Evidence Based, Evidence-Based, Fatty-Acids, Fish, Focus, Fruits, Health, Lipid, Literature, Low, Lycopene, Mediterranean, Mediterranean Diet, Metaanalysis, Methods, Milk, Mortality, Phytochernicals Antioxidants, Prevention, Profiles, Prostate Cancer, Quality, Quality Of, Review, Rights, Risk, Risk Factors, Role, Science, Science Citation Index, Search, Small, Source, Vegetables</w:t>
      </w:r>
    </w:p>
    <w:p w:rsidR="00BF62EA" w:rsidRDefault="00BF62EA" w:rsidP="00BF62EA">
      <w:pPr>
        <w:pStyle w:val="a3"/>
        <w:rPr>
          <w:kern w:val="0"/>
        </w:rPr>
      </w:pPr>
      <w:r>
        <w:rPr>
          <w:kern w:val="0"/>
        </w:rPr>
        <w:t>?</w:t>
      </w:r>
      <w:r>
        <w:rPr>
          <w:rFonts w:hint="eastAsia"/>
          <w:kern w:val="0"/>
        </w:rPr>
        <w:t xml:space="preserve"> </w:t>
      </w:r>
      <w:r>
        <w:rPr>
          <w:kern w:val="0"/>
        </w:rPr>
        <w:t>Ferris, J., Garcia, J., Berbel, O.</w:t>
      </w:r>
      <w:r w:rsidR="005853A9">
        <w:rPr>
          <w:kern w:val="0"/>
        </w:rPr>
        <w:t xml:space="preserve"> and </w:t>
      </w:r>
      <w:r>
        <w:rPr>
          <w:kern w:val="0"/>
        </w:rPr>
        <w:t>Ortega, J.A. (2013), Constitutional</w:t>
      </w:r>
      <w:r w:rsidR="005853A9">
        <w:rPr>
          <w:kern w:val="0"/>
        </w:rPr>
        <w:t xml:space="preserve"> and </w:t>
      </w:r>
      <w:r>
        <w:rPr>
          <w:kern w:val="0"/>
        </w:rPr>
        <w:t xml:space="preserve">occupational risk factors associated with bladder cancer. </w:t>
      </w:r>
      <w:r w:rsidRPr="00184D4C">
        <w:rPr>
          <w:i/>
        </w:rPr>
        <w:t>Actas Urológicas Españolas</w:t>
      </w:r>
      <w:r>
        <w:rPr>
          <w:kern w:val="0"/>
        </w:rPr>
        <w:t xml:space="preserve">, </w:t>
      </w:r>
      <w:r>
        <w:rPr>
          <w:b/>
          <w:bCs/>
          <w:kern w:val="0"/>
        </w:rPr>
        <w:t>37</w:t>
      </w:r>
      <w:r>
        <w:rPr>
          <w:kern w:val="0"/>
        </w:rPr>
        <w:t xml:space="preserve"> (8), 513-522.</w:t>
      </w:r>
    </w:p>
    <w:p w:rsidR="00BF62EA" w:rsidRDefault="00BF62EA" w:rsidP="00BF62EA">
      <w:pPr>
        <w:pStyle w:val="a3"/>
        <w:rPr>
          <w:kern w:val="0"/>
        </w:rPr>
      </w:pPr>
      <w:r>
        <w:rPr>
          <w:rFonts w:hint="eastAsia"/>
          <w:kern w:val="0"/>
        </w:rPr>
        <w:t xml:space="preserve">Full Text: </w:t>
      </w:r>
      <w:r w:rsidRPr="00433EB0">
        <w:rPr>
          <w:kern w:val="0"/>
        </w:rPr>
        <w:t>201</w:t>
      </w:r>
      <w:r>
        <w:rPr>
          <w:rFonts w:hint="eastAsia"/>
          <w:kern w:val="0"/>
        </w:rPr>
        <w:t>3</w:t>
      </w:r>
      <w:r w:rsidRPr="00433EB0">
        <w:rPr>
          <w:kern w:val="0"/>
        </w:rPr>
        <w:t>\Act Uro Esp3</w:t>
      </w:r>
      <w:r>
        <w:rPr>
          <w:rFonts w:hint="eastAsia"/>
          <w:kern w:val="0"/>
        </w:rPr>
        <w:t>7</w:t>
      </w:r>
      <w:r w:rsidRPr="00433EB0">
        <w:rPr>
          <w:kern w:val="0"/>
        </w:rPr>
        <w:t xml:space="preserve">, </w:t>
      </w:r>
      <w:r>
        <w:rPr>
          <w:kern w:val="0"/>
        </w:rPr>
        <w:t>513</w:t>
      </w:r>
      <w:r w:rsidRPr="00433EB0">
        <w:rPr>
          <w:kern w:val="0"/>
        </w:rPr>
        <w:t>.pdf</w:t>
      </w:r>
    </w:p>
    <w:p w:rsidR="00BF62EA" w:rsidRDefault="00BF62EA" w:rsidP="00BF62EA">
      <w:pPr>
        <w:pStyle w:val="a3"/>
        <w:rPr>
          <w:kern w:val="0"/>
        </w:rPr>
      </w:pPr>
      <w:r>
        <w:rPr>
          <w:kern w:val="0"/>
        </w:rPr>
        <w:t>Abstract: Objective: Bladder carcinoma (BC) is the fourth most common type</w:t>
      </w:r>
      <w:r w:rsidR="00427468">
        <w:rPr>
          <w:kern w:val="0"/>
        </w:rPr>
        <w:t xml:space="preserve"> of </w:t>
      </w:r>
      <w:r>
        <w:rPr>
          <w:kern w:val="0"/>
        </w:rPr>
        <w:t>cancer in males from Western countries, with primary prevention an important healthcare challenge. We review the associated constitutional</w:t>
      </w:r>
      <w:r w:rsidR="005853A9">
        <w:rPr>
          <w:kern w:val="0"/>
        </w:rPr>
        <w:t xml:space="preserve"> and </w:t>
      </w:r>
      <w:r>
        <w:rPr>
          <w:kern w:val="0"/>
        </w:rPr>
        <w:t>occupational risk factors (RF), with greater or lesser scientific evidence, in the aetiology</w:t>
      </w:r>
      <w:r w:rsidR="00427468">
        <w:rPr>
          <w:kern w:val="0"/>
        </w:rPr>
        <w:t xml:space="preserve"> of </w:t>
      </w:r>
      <w:r>
        <w:rPr>
          <w:kern w:val="0"/>
        </w:rPr>
        <w:t>BC. Material</w:t>
      </w:r>
      <w:r w:rsidR="005853A9">
        <w:rPr>
          <w:kern w:val="0"/>
        </w:rPr>
        <w:t xml:space="preserve"> and </w:t>
      </w:r>
      <w:r>
        <w:rPr>
          <w:kern w:val="0"/>
        </w:rPr>
        <w:t>methods: Literature review</w:t>
      </w:r>
      <w:r w:rsidR="00427468">
        <w:rPr>
          <w:kern w:val="0"/>
        </w:rPr>
        <w:t xml:space="preserve"> of </w:t>
      </w:r>
      <w:r>
        <w:rPr>
          <w:kern w:val="0"/>
        </w:rPr>
        <w:t>the last 25 years</w:t>
      </w:r>
      <w:r w:rsidR="00427468">
        <w:rPr>
          <w:kern w:val="0"/>
        </w:rPr>
        <w:t xml:space="preserve"> of </w:t>
      </w:r>
      <w:r>
        <w:rPr>
          <w:kern w:val="0"/>
        </w:rPr>
        <w:t>the constitutional</w:t>
      </w:r>
      <w:r w:rsidR="005853A9">
        <w:rPr>
          <w:kern w:val="0"/>
        </w:rPr>
        <w:t xml:space="preserve"> and </w:t>
      </w:r>
      <w:r>
        <w:rPr>
          <w:kern w:val="0"/>
        </w:rPr>
        <w:t xml:space="preserve">occupational RF associated with BC, conducted on </w:t>
      </w:r>
      <w:r w:rsidR="00D5664A">
        <w:rPr>
          <w:kern w:val="0"/>
        </w:rPr>
        <w:t>MEDLINE</w:t>
      </w:r>
      <w:r>
        <w:rPr>
          <w:kern w:val="0"/>
        </w:rPr>
        <w:t>, CancerLit, Science Citation Index</w:t>
      </w:r>
      <w:r w:rsidR="005853A9">
        <w:rPr>
          <w:kern w:val="0"/>
        </w:rPr>
        <w:t xml:space="preserve"> and </w:t>
      </w:r>
      <w:r>
        <w:rPr>
          <w:kern w:val="0"/>
        </w:rPr>
        <w:t>Embase</w:t>
      </w:r>
      <w:r w:rsidR="00A37C1D">
        <w:rPr>
          <w:kern w:val="0"/>
        </w:rPr>
        <w:t>. The</w:t>
      </w:r>
      <w:r>
        <w:rPr>
          <w:kern w:val="0"/>
        </w:rPr>
        <w:t xml:space="preserve"> search profiles were Risk factors/Genetic factors/Genetic polymorphisms/Epidemiology/Occupational factors</w:t>
      </w:r>
      <w:r w:rsidR="005853A9">
        <w:rPr>
          <w:kern w:val="0"/>
        </w:rPr>
        <w:t xml:space="preserve"> and </w:t>
      </w:r>
      <w:r>
        <w:rPr>
          <w:kern w:val="0"/>
        </w:rPr>
        <w:t>Bladder cancer. Results: The main RF were a) age</w:t>
      </w:r>
      <w:r w:rsidR="005853A9">
        <w:rPr>
          <w:kern w:val="0"/>
        </w:rPr>
        <w:t xml:space="preserve"> and </w:t>
      </w:r>
      <w:r>
        <w:rPr>
          <w:kern w:val="0"/>
        </w:rPr>
        <w:t>gender (diagnosed at age 65</w:t>
      </w:r>
      <w:r w:rsidR="005853A9">
        <w:rPr>
          <w:kern w:val="0"/>
        </w:rPr>
        <w:t xml:space="preserve"> and </w:t>
      </w:r>
      <w:r>
        <w:rPr>
          <w:kern w:val="0"/>
        </w:rPr>
        <w:t>over, with a 4:1 ratio</w:t>
      </w:r>
      <w:r w:rsidR="00427468">
        <w:rPr>
          <w:kern w:val="0"/>
        </w:rPr>
        <w:t xml:space="preserve"> of </w:t>
      </w:r>
      <w:r>
        <w:rPr>
          <w:kern w:val="0"/>
        </w:rPr>
        <w:t>males to females); b) race, ethnicity</w:t>
      </w:r>
      <w:r w:rsidR="005853A9">
        <w:rPr>
          <w:kern w:val="0"/>
        </w:rPr>
        <w:t xml:space="preserve"> and </w:t>
      </w:r>
      <w:r>
        <w:rPr>
          <w:kern w:val="0"/>
        </w:rPr>
        <w:t>geographic location (predominantly in Caucasians</w:t>
      </w:r>
      <w:r w:rsidR="005853A9">
        <w:rPr>
          <w:kern w:val="0"/>
        </w:rPr>
        <w:t xml:space="preserve"> and </w:t>
      </w:r>
      <w:r>
        <w:rPr>
          <w:kern w:val="0"/>
        </w:rPr>
        <w:t>in Southern European countries); c) genetic (N-acetyltransferase-2</w:t>
      </w:r>
      <w:r w:rsidR="005853A9">
        <w:rPr>
          <w:kern w:val="0"/>
        </w:rPr>
        <w:t xml:space="preserve"> and </w:t>
      </w:r>
      <w:r>
        <w:rPr>
          <w:kern w:val="0"/>
        </w:rPr>
        <w:t>glutathione s-transferase M1 gene mutations, which significantly increase the risk for BC); d) occupational, which represent 5%-10%</w:t>
      </w:r>
      <w:r w:rsidR="00427468">
        <w:rPr>
          <w:kern w:val="0"/>
        </w:rPr>
        <w:t xml:space="preserve"> of </w:t>
      </w:r>
      <w:r>
        <w:rPr>
          <w:kern w:val="0"/>
        </w:rPr>
        <w:t>BC RF;</w:t>
      </w:r>
      <w:r w:rsidR="005853A9">
        <w:rPr>
          <w:kern w:val="0"/>
        </w:rPr>
        <w:t xml:space="preserve"> and </w:t>
      </w:r>
      <w:r>
        <w:rPr>
          <w:kern w:val="0"/>
        </w:rPr>
        <w:t>f) occupations with high BC risk, such as aluminium production, the manufacture</w:t>
      </w:r>
      <w:r w:rsidR="00427468">
        <w:rPr>
          <w:kern w:val="0"/>
        </w:rPr>
        <w:t xml:space="preserve"> of </w:t>
      </w:r>
      <w:r>
        <w:rPr>
          <w:kern w:val="0"/>
        </w:rPr>
        <w:t>dyes, paints</w:t>
      </w:r>
      <w:r w:rsidR="005853A9">
        <w:rPr>
          <w:kern w:val="0"/>
        </w:rPr>
        <w:t xml:space="preserve"> and </w:t>
      </w:r>
      <w:r>
        <w:rPr>
          <w:kern w:val="0"/>
        </w:rPr>
        <w:t>colourings, the rubber industry</w:t>
      </w:r>
      <w:r w:rsidR="005853A9">
        <w:rPr>
          <w:kern w:val="0"/>
        </w:rPr>
        <w:t xml:space="preserve"> and </w:t>
      </w:r>
      <w:r>
        <w:rPr>
          <w:kern w:val="0"/>
        </w:rPr>
        <w:t>the extraction</w:t>
      </w:r>
      <w:r w:rsidR="005853A9">
        <w:rPr>
          <w:kern w:val="0"/>
        </w:rPr>
        <w:t xml:space="preserve"> and </w:t>
      </w:r>
      <w:r>
        <w:rPr>
          <w:kern w:val="0"/>
        </w:rPr>
        <w:t>industrial use</w:t>
      </w:r>
      <w:r w:rsidR="00427468">
        <w:rPr>
          <w:kern w:val="0"/>
        </w:rPr>
        <w:t xml:space="preserve"> of </w:t>
      </w:r>
      <w:r>
        <w:rPr>
          <w:kern w:val="0"/>
        </w:rPr>
        <w:t xml:space="preserve">fossil </w:t>
      </w:r>
      <w:r>
        <w:rPr>
          <w:kern w:val="0"/>
        </w:rPr>
        <w:lastRenderedPageBreak/>
        <w:t>fuels. Conclusions: BC is the end result</w:t>
      </w:r>
      <w:r w:rsidR="00427468">
        <w:rPr>
          <w:kern w:val="0"/>
        </w:rPr>
        <w:t xml:space="preserve"> of </w:t>
      </w:r>
      <w:r>
        <w:rPr>
          <w:kern w:val="0"/>
        </w:rPr>
        <w:t>the variable combination</w:t>
      </w:r>
      <w:r w:rsidR="00427468">
        <w:rPr>
          <w:kern w:val="0"/>
        </w:rPr>
        <w:t xml:space="preserve"> of </w:t>
      </w:r>
      <w:r>
        <w:rPr>
          <w:kern w:val="0"/>
        </w:rPr>
        <w:t>constitutional</w:t>
      </w:r>
      <w:r w:rsidR="005853A9">
        <w:rPr>
          <w:kern w:val="0"/>
        </w:rPr>
        <w:t xml:space="preserve"> and </w:t>
      </w:r>
      <w:r>
        <w:rPr>
          <w:kern w:val="0"/>
        </w:rPr>
        <w:t>environmental RF, the majority</w:t>
      </w:r>
      <w:r w:rsidR="00427468">
        <w:rPr>
          <w:kern w:val="0"/>
        </w:rPr>
        <w:t xml:space="preserve"> of </w:t>
      </w:r>
      <w:r>
        <w:rPr>
          <w:kern w:val="0"/>
        </w:rPr>
        <w:t>which are unknown</w:t>
      </w:r>
      <w:r w:rsidR="00A37C1D">
        <w:rPr>
          <w:kern w:val="0"/>
        </w:rPr>
        <w:t>. The</w:t>
      </w:r>
      <w:r>
        <w:rPr>
          <w:kern w:val="0"/>
        </w:rPr>
        <w:t xml:space="preserve"> most significant constitutional RF are related to age, gender, race, ethnicity geographic location</w:t>
      </w:r>
      <w:r w:rsidR="005853A9">
        <w:rPr>
          <w:kern w:val="0"/>
        </w:rPr>
        <w:t xml:space="preserve"> and </w:t>
      </w:r>
      <w:r>
        <w:rPr>
          <w:kern w:val="0"/>
        </w:rPr>
        <w:t>genetic polymorphisms</w:t>
      </w:r>
      <w:r w:rsidR="00A37C1D">
        <w:rPr>
          <w:kern w:val="0"/>
        </w:rPr>
        <w:t>. The</w:t>
      </w:r>
      <w:r>
        <w:rPr>
          <w:kern w:val="0"/>
        </w:rPr>
        <w:t xml:space="preserve"> main occupational RF are those related to aromatic amines</w:t>
      </w:r>
      <w:r w:rsidR="005853A9">
        <w:rPr>
          <w:kern w:val="0"/>
        </w:rPr>
        <w:t xml:space="preserve"> and </w:t>
      </w:r>
      <w:r>
        <w:rPr>
          <w:kern w:val="0"/>
        </w:rPr>
        <w:t>polycyclic aromatic hydrocarbons. (C) 2013 AEU. Published by Elsevier Espana, S.L. All rights reserved.</w:t>
      </w:r>
    </w:p>
    <w:p w:rsidR="00BF62EA" w:rsidRDefault="00BF62EA" w:rsidP="00BF62EA">
      <w:pPr>
        <w:pStyle w:val="a3"/>
        <w:rPr>
          <w:kern w:val="0"/>
        </w:rPr>
      </w:pPr>
      <w:r>
        <w:rPr>
          <w:kern w:val="0"/>
        </w:rPr>
        <w:t>Keywords: Aetiology, Age, Aluminium, Aromatic Amines, Bc, Bladder, Bladder Cancer, Cancer, Challenge, Citation, Dyes, Environmental, Epidemiology, Epidemiology, Ethnicity, Evidence, Exposures, Extraction, Fossil, Fossil Fuels, Gender, Gene, Genetic, Genetic Polymorphisms, Genetic Risk Factors, Glutathione, Industry, Literature, Location, Metaanalysis, Methods, Occupational, Occupational Exposure, Occupational Risk, Polycyclic Aromatic Hydrocarbons, Polymorphisms, Prevention, Primary, Primary Prevention, Profiles, Prostate-Cancer, Race, Results, Review, Rights, Risk, Risk Factors, Science, Science Citation Index, Scientific Evidence, Urinary-Tract</w:t>
      </w:r>
    </w:p>
    <w:p w:rsidR="00674097" w:rsidRDefault="00674097" w:rsidP="00674097">
      <w:pPr>
        <w:pStyle w:val="a3"/>
        <w:rPr>
          <w:kern w:val="0"/>
        </w:rPr>
      </w:pPr>
      <w:r>
        <w:rPr>
          <w:rFonts w:hint="eastAsia"/>
          <w:kern w:val="0"/>
        </w:rPr>
        <w:t xml:space="preserve">? </w:t>
      </w:r>
      <w:r>
        <w:rPr>
          <w:kern w:val="0"/>
        </w:rPr>
        <w:t>Ferris, J., Berbel, O., Alonso-Lopez, J., Garcia, J.</w:t>
      </w:r>
      <w:r w:rsidR="005853A9">
        <w:rPr>
          <w:kern w:val="0"/>
        </w:rPr>
        <w:t xml:space="preserve"> and </w:t>
      </w:r>
      <w:r>
        <w:rPr>
          <w:kern w:val="0"/>
        </w:rPr>
        <w:t xml:space="preserve">Ortega, J.A. (2013), Environmental non-occupational risk factors associated with bladder cancer. </w:t>
      </w:r>
      <w:r>
        <w:rPr>
          <w:i/>
          <w:iCs/>
          <w:kern w:val="0"/>
        </w:rPr>
        <w:t>Actas Urologicas Espanolas</w:t>
      </w:r>
      <w:r>
        <w:rPr>
          <w:kern w:val="0"/>
        </w:rPr>
        <w:t xml:space="preserve">, </w:t>
      </w:r>
      <w:r>
        <w:rPr>
          <w:b/>
          <w:bCs/>
          <w:kern w:val="0"/>
        </w:rPr>
        <w:t>37</w:t>
      </w:r>
      <w:r>
        <w:rPr>
          <w:kern w:val="0"/>
        </w:rPr>
        <w:t xml:space="preserve"> (9), 579-586.</w:t>
      </w:r>
    </w:p>
    <w:p w:rsidR="00674097" w:rsidRDefault="00674097" w:rsidP="00674097">
      <w:pPr>
        <w:pStyle w:val="a3"/>
        <w:rPr>
          <w:kern w:val="0"/>
        </w:rPr>
      </w:pPr>
      <w:r>
        <w:rPr>
          <w:rFonts w:hint="eastAsia"/>
          <w:kern w:val="0"/>
        </w:rPr>
        <w:t xml:space="preserve">Full Text: </w:t>
      </w:r>
      <w:r w:rsidRPr="00433EB0">
        <w:rPr>
          <w:kern w:val="0"/>
        </w:rPr>
        <w:t>201</w:t>
      </w:r>
      <w:r>
        <w:rPr>
          <w:rFonts w:hint="eastAsia"/>
          <w:kern w:val="0"/>
        </w:rPr>
        <w:t>3</w:t>
      </w:r>
      <w:r w:rsidRPr="00433EB0">
        <w:rPr>
          <w:kern w:val="0"/>
        </w:rPr>
        <w:t>\Act Uro Esp3</w:t>
      </w:r>
      <w:r>
        <w:rPr>
          <w:rFonts w:hint="eastAsia"/>
          <w:kern w:val="0"/>
        </w:rPr>
        <w:t>7</w:t>
      </w:r>
      <w:r w:rsidRPr="00433EB0">
        <w:rPr>
          <w:kern w:val="0"/>
        </w:rPr>
        <w:t xml:space="preserve">, </w:t>
      </w:r>
      <w:r>
        <w:rPr>
          <w:kern w:val="0"/>
        </w:rPr>
        <w:t>5</w:t>
      </w:r>
      <w:r>
        <w:rPr>
          <w:rFonts w:hint="eastAsia"/>
          <w:kern w:val="0"/>
        </w:rPr>
        <w:t>79</w:t>
      </w:r>
      <w:r w:rsidRPr="00433EB0">
        <w:rPr>
          <w:kern w:val="0"/>
        </w:rPr>
        <w:t>.pdf</w:t>
      </w:r>
    </w:p>
    <w:p w:rsidR="00674097" w:rsidRDefault="00674097" w:rsidP="00674097">
      <w:pPr>
        <w:pStyle w:val="a3"/>
        <w:rPr>
          <w:kern w:val="0"/>
        </w:rPr>
      </w:pPr>
      <w:r>
        <w:rPr>
          <w:kern w:val="0"/>
        </w:rPr>
        <w:t>Abstract: Context: Bladder carcinoma (BC), due its high morbidity</w:t>
      </w:r>
      <w:r w:rsidR="005853A9">
        <w:rPr>
          <w:kern w:val="0"/>
        </w:rPr>
        <w:t xml:space="preserve"> and </w:t>
      </w:r>
      <w:r>
        <w:rPr>
          <w:kern w:val="0"/>
        </w:rPr>
        <w:t>relapsing course, generates significant economic</w:t>
      </w:r>
      <w:r w:rsidR="005853A9">
        <w:rPr>
          <w:kern w:val="0"/>
        </w:rPr>
        <w:t xml:space="preserve"> and </w:t>
      </w:r>
      <w:r>
        <w:rPr>
          <w:kern w:val="0"/>
        </w:rPr>
        <w:t>health care costs. Accordingly, review the environmental nonoccupational risk factors (RF), more or less evidence-based, in the etiology</w:t>
      </w:r>
      <w:r w:rsidR="005853A9">
        <w:rPr>
          <w:kern w:val="0"/>
        </w:rPr>
        <w:t xml:space="preserve"> and </w:t>
      </w:r>
      <w:r>
        <w:rPr>
          <w:kern w:val="0"/>
        </w:rPr>
        <w:t>pathogenesis</w:t>
      </w:r>
      <w:r w:rsidR="00427468">
        <w:rPr>
          <w:kern w:val="0"/>
        </w:rPr>
        <w:t xml:space="preserve"> of </w:t>
      </w:r>
      <w:r>
        <w:rPr>
          <w:kern w:val="0"/>
        </w:rPr>
        <w:t>BC, because the involvement</w:t>
      </w:r>
      <w:r w:rsidR="00427468">
        <w:rPr>
          <w:kern w:val="0"/>
        </w:rPr>
        <w:t xml:space="preserve"> of </w:t>
      </w:r>
      <w:r>
        <w:rPr>
          <w:kern w:val="0"/>
        </w:rPr>
        <w:t>urologists is essential for prevention. Acquisition</w:t>
      </w:r>
      <w:r w:rsidR="00427468">
        <w:rPr>
          <w:kern w:val="0"/>
        </w:rPr>
        <w:t xml:space="preserve"> of </w:t>
      </w:r>
      <w:r>
        <w:rPr>
          <w:kern w:val="0"/>
        </w:rPr>
        <w:t>evidence: Review</w:t>
      </w:r>
      <w:r w:rsidR="00427468">
        <w:rPr>
          <w:kern w:val="0"/>
        </w:rPr>
        <w:t xml:space="preserve"> of </w:t>
      </w:r>
      <w:r>
        <w:rPr>
          <w:kern w:val="0"/>
        </w:rPr>
        <w:t xml:space="preserve">the peer-reviewed literature (1987-2012) on nonoccupational environmental RE associated with BC retrieved from </w:t>
      </w:r>
      <w:r w:rsidR="00D5664A">
        <w:rPr>
          <w:kern w:val="0"/>
        </w:rPr>
        <w:t>MEDLINE</w:t>
      </w:r>
      <w:r>
        <w:rPr>
          <w:kern w:val="0"/>
        </w:rPr>
        <w:t>, Embase</w:t>
      </w:r>
      <w:r w:rsidR="005853A9">
        <w:rPr>
          <w:kern w:val="0"/>
        </w:rPr>
        <w:t xml:space="preserve"> and </w:t>
      </w:r>
      <w:r>
        <w:rPr>
          <w:kern w:val="0"/>
        </w:rPr>
        <w:t>Science Citation Index</w:t>
      </w:r>
      <w:r w:rsidR="00A37C1D">
        <w:rPr>
          <w:kern w:val="0"/>
        </w:rPr>
        <w:t>. The</w:t>
      </w:r>
      <w:r>
        <w:rPr>
          <w:kern w:val="0"/>
        </w:rPr>
        <w:t xml:space="preserve"> search profiles have been “Risk factors/Epidemiology/Tobacco-smoking/Diet-nutrition-water-liquids/Radiation/Infectious/Farmacological drugs”</w:t>
      </w:r>
      <w:r w:rsidR="005853A9">
        <w:rPr>
          <w:kern w:val="0"/>
        </w:rPr>
        <w:t xml:space="preserve"> and </w:t>
      </w:r>
      <w:r>
        <w:rPr>
          <w:kern w:val="0"/>
        </w:rPr>
        <w:t>“Bladder cancer”. Synthesis</w:t>
      </w:r>
      <w:r w:rsidR="00427468">
        <w:rPr>
          <w:kern w:val="0"/>
        </w:rPr>
        <w:t xml:space="preserve"> of </w:t>
      </w:r>
      <w:r>
        <w:rPr>
          <w:kern w:val="0"/>
        </w:rPr>
        <w:t>evidence: Smoking was associated with 50%</w:t>
      </w:r>
      <w:r w:rsidR="00427468">
        <w:rPr>
          <w:kern w:val="0"/>
        </w:rPr>
        <w:t xml:space="preserve"> of </w:t>
      </w:r>
      <w:r>
        <w:rPr>
          <w:kern w:val="0"/>
        </w:rPr>
        <w:t>BC in both sexes. Smokers have a 2-5 times higher risk than nonsmokers, directly proportional to the amount</w:t>
      </w:r>
      <w:r w:rsidR="005853A9">
        <w:rPr>
          <w:kern w:val="0"/>
        </w:rPr>
        <w:t xml:space="preserve"> and </w:t>
      </w:r>
      <w:r>
        <w:rPr>
          <w:kern w:val="0"/>
        </w:rPr>
        <w:t>duration</w:t>
      </w:r>
      <w:r w:rsidR="00427468">
        <w:rPr>
          <w:kern w:val="0"/>
        </w:rPr>
        <w:t xml:space="preserve"> of </w:t>
      </w:r>
      <w:r>
        <w:rPr>
          <w:kern w:val="0"/>
        </w:rPr>
        <w:t>addiction. Drinking water contaminated with arsenic</w:t>
      </w:r>
      <w:r w:rsidR="005853A9">
        <w:rPr>
          <w:kern w:val="0"/>
        </w:rPr>
        <w:t xml:space="preserve"> and </w:t>
      </w:r>
      <w:r>
        <w:rPr>
          <w:kern w:val="0"/>
        </w:rPr>
        <w:t>chromium chlorination byproducts increases the risk</w:t>
      </w:r>
      <w:r w:rsidR="00427468">
        <w:rPr>
          <w:kern w:val="0"/>
        </w:rPr>
        <w:t xml:space="preserve"> of </w:t>
      </w:r>
      <w:r>
        <w:rPr>
          <w:kern w:val="0"/>
        </w:rPr>
        <w:t>BC. High consumption</w:t>
      </w:r>
      <w:r w:rsidR="00427468">
        <w:rPr>
          <w:kern w:val="0"/>
        </w:rPr>
        <w:t xml:space="preserve"> of </w:t>
      </w:r>
      <w:r>
        <w:rPr>
          <w:kern w:val="0"/>
        </w:rPr>
        <w:t>red meat</w:t>
      </w:r>
      <w:r w:rsidR="005853A9">
        <w:rPr>
          <w:kern w:val="0"/>
        </w:rPr>
        <w:t xml:space="preserve"> and </w:t>
      </w:r>
      <w:r>
        <w:rPr>
          <w:kern w:val="0"/>
        </w:rPr>
        <w:t>saturated fat may increase the risk, while high intake</w:t>
      </w:r>
      <w:r w:rsidR="00427468">
        <w:rPr>
          <w:kern w:val="0"/>
        </w:rPr>
        <w:t xml:space="preserve"> of </w:t>
      </w:r>
      <w:r>
        <w:rPr>
          <w:kern w:val="0"/>
        </w:rPr>
        <w:t>fruits</w:t>
      </w:r>
      <w:r w:rsidR="005853A9">
        <w:rPr>
          <w:kern w:val="0"/>
        </w:rPr>
        <w:t xml:space="preserve"> and </w:t>
      </w:r>
      <w:r>
        <w:rPr>
          <w:kern w:val="0"/>
        </w:rPr>
        <w:t>vegetables decreases it. Patients treated with cyclophosphamide, ifosfamide</w:t>
      </w:r>
      <w:r w:rsidR="005853A9">
        <w:rPr>
          <w:kern w:val="0"/>
        </w:rPr>
        <w:t xml:space="preserve"> and </w:t>
      </w:r>
      <w:r>
        <w:rPr>
          <w:kern w:val="0"/>
        </w:rPr>
        <w:t>ionizing radiation have an increased risk</w:t>
      </w:r>
      <w:r w:rsidR="00427468">
        <w:rPr>
          <w:kern w:val="0"/>
        </w:rPr>
        <w:t xml:space="preserve"> of </w:t>
      </w:r>
      <w:r>
        <w:rPr>
          <w:kern w:val="0"/>
        </w:rPr>
        <w:t>BC. Frequent</w:t>
      </w:r>
      <w:r w:rsidR="005853A9">
        <w:rPr>
          <w:kern w:val="0"/>
        </w:rPr>
        <w:t xml:space="preserve"> and </w:t>
      </w:r>
      <w:r>
        <w:rPr>
          <w:kern w:val="0"/>
        </w:rPr>
        <w:t>prolonged use</w:t>
      </w:r>
      <w:r w:rsidR="00427468">
        <w:rPr>
          <w:kern w:val="0"/>
        </w:rPr>
        <w:t xml:space="preserve"> of </w:t>
      </w:r>
      <w:r>
        <w:rPr>
          <w:kern w:val="0"/>
        </w:rPr>
        <w:t>hair dyes</w:t>
      </w:r>
      <w:r w:rsidR="005853A9">
        <w:rPr>
          <w:kern w:val="0"/>
        </w:rPr>
        <w:t xml:space="preserve"> and </w:t>
      </w:r>
      <w:r>
        <w:rPr>
          <w:kern w:val="0"/>
        </w:rPr>
        <w:t>Schistosoma haematobium infestation increases the risk</w:t>
      </w:r>
      <w:r w:rsidR="00427468">
        <w:rPr>
          <w:kern w:val="0"/>
        </w:rPr>
        <w:t xml:space="preserve"> of </w:t>
      </w:r>
      <w:r>
        <w:rPr>
          <w:kern w:val="0"/>
        </w:rPr>
        <w:t>BC. Conclusions: The reduction or the cessation</w:t>
      </w:r>
      <w:r w:rsidR="00427468">
        <w:rPr>
          <w:kern w:val="0"/>
        </w:rPr>
        <w:t xml:space="preserve"> of </w:t>
      </w:r>
      <w:r>
        <w:rPr>
          <w:kern w:val="0"/>
        </w:rPr>
        <w:t>smoking decrease BC</w:t>
      </w:r>
      <w:r w:rsidR="00A37C1D">
        <w:rPr>
          <w:kern w:val="0"/>
        </w:rPr>
        <w:t>. The</w:t>
      </w:r>
      <w:r>
        <w:rPr>
          <w:kern w:val="0"/>
        </w:rPr>
        <w:t xml:space="preserve"> contaminant-free water consumption with the increase</w:t>
      </w:r>
      <w:r w:rsidR="00427468">
        <w:rPr>
          <w:kern w:val="0"/>
        </w:rPr>
        <w:t xml:space="preserve"> of </w:t>
      </w:r>
      <w:r>
        <w:rPr>
          <w:kern w:val="0"/>
        </w:rPr>
        <w:t xml:space="preserve">vegetal foods favour BC prevention. Cancer survivors treated with </w:t>
      </w:r>
      <w:r>
        <w:rPr>
          <w:kern w:val="0"/>
        </w:rPr>
        <w:lastRenderedPageBreak/>
        <w:t>cyclophosphamide, ifosfamide</w:t>
      </w:r>
      <w:r w:rsidR="005853A9">
        <w:rPr>
          <w:kern w:val="0"/>
        </w:rPr>
        <w:t xml:space="preserve"> and </w:t>
      </w:r>
      <w:r>
        <w:rPr>
          <w:kern w:val="0"/>
        </w:rPr>
        <w:t>radiation therapy should be monitored for early diagnosis</w:t>
      </w:r>
      <w:r w:rsidR="00427468">
        <w:rPr>
          <w:kern w:val="0"/>
        </w:rPr>
        <w:t xml:space="preserve"> of </w:t>
      </w:r>
      <w:r>
        <w:rPr>
          <w:kern w:val="0"/>
        </w:rPr>
        <w:t>BC. (c) 2013 AEU. Published by Elsevier Espana, S.L. All rights reserved.</w:t>
      </w:r>
    </w:p>
    <w:p w:rsidR="00674097" w:rsidRDefault="00674097" w:rsidP="00674097">
      <w:pPr>
        <w:pStyle w:val="a3"/>
        <w:rPr>
          <w:kern w:val="0"/>
        </w:rPr>
      </w:pPr>
      <w:r>
        <w:rPr>
          <w:kern w:val="0"/>
        </w:rPr>
        <w:t xml:space="preserve">Keywords: Addiction, Arsenic, Bc, Bladder, Bladder Cancer, Cancer, Care, Cessation, Chlorination By-Products, Chromium, Cigarette-Smoking, Citation, Consumption, Costs, Course, Cyclophosphamide, Diagnosis, Drinking, Drinking Water, Duration, Dyes, Early Diagnosis, Economic, Environmental, Epidemiology, Etiology, Evidence, Evidence Based, Evidence-Based, Fat, Fluid Intake, Fruits, Hair-Dyes, Health, Health Care, Health Care Costs, Ifosfamide, Literature, </w:t>
      </w:r>
      <w:r w:rsidR="00D5664A">
        <w:rPr>
          <w:kern w:val="0"/>
        </w:rPr>
        <w:t>MEDLINE</w:t>
      </w:r>
      <w:r>
        <w:rPr>
          <w:kern w:val="0"/>
        </w:rPr>
        <w:t>, Metaanalysis, Morbidity, Pathogenesis, Peer-Reviewed, Prevention, Profiles, Prolonged, Prostate, Radiation, Radiation Therapy, Re, Reduction, Review, Rights, Risk, Risk Factors, Schistosoma Haematobium, Science, Science Citation Index, Smoking, Synthesis, Tea Consumption, Therapy, Vegetables, Water</w:t>
      </w:r>
    </w:p>
    <w:p w:rsidR="003474F2" w:rsidRPr="001A3D2B" w:rsidRDefault="003474F2" w:rsidP="000B5CD6">
      <w:pPr>
        <w:pStyle w:val="1"/>
      </w:pPr>
      <w:r w:rsidRPr="001A3D2B">
        <w:br w:type="page"/>
      </w:r>
      <w:bookmarkStart w:id="113" w:name="_Toc420814296"/>
      <w:r w:rsidRPr="001A3D2B">
        <w:lastRenderedPageBreak/>
        <w:t>Title: Actes de la Recherche en Sciences Sociales</w:t>
      </w:r>
      <w:bookmarkEnd w:id="113"/>
    </w:p>
    <w:p w:rsidR="003474F2" w:rsidRPr="001A3D2B" w:rsidRDefault="003474F2" w:rsidP="003474F2">
      <w:pPr>
        <w:pStyle w:val="12"/>
      </w:pPr>
      <w:r w:rsidRPr="001A3D2B">
        <w:t>Full Journal Title: Actes de la Recherche en Sciences Sociales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0335-5322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1845AD" w:rsidRPr="00F219CA" w:rsidRDefault="001845AD" w:rsidP="001845AD">
      <w:pPr>
        <w:pStyle w:val="a3"/>
        <w:rPr>
          <w:kern w:val="0"/>
        </w:rPr>
      </w:pPr>
      <w:r w:rsidRPr="00F219CA">
        <w:rPr>
          <w:kern w:val="0"/>
        </w:rPr>
        <w:t>? Wouters, P. (2006), Towards</w:t>
      </w:r>
      <w:r w:rsidR="003A1917">
        <w:rPr>
          <w:kern w:val="0"/>
        </w:rPr>
        <w:t xml:space="preserve"> the </w:t>
      </w:r>
      <w:r w:rsidRPr="00F219CA">
        <w:rPr>
          <w:kern w:val="0"/>
        </w:rPr>
        <w:t>origins</w:t>
      </w:r>
      <w:r w:rsidR="00427468">
        <w:rPr>
          <w:kern w:val="0"/>
        </w:rPr>
        <w:t xml:space="preserve"> of </w:t>
      </w:r>
      <w:r w:rsidRPr="00F219CA">
        <w:rPr>
          <w:kern w:val="0"/>
        </w:rPr>
        <w:t>scientometrics</w:t>
      </w:r>
      <w:r w:rsidR="003A1917">
        <w:rPr>
          <w:kern w:val="0"/>
        </w:rPr>
        <w:t xml:space="preserve"> the </w:t>
      </w:r>
      <w:r w:rsidRPr="00F219CA">
        <w:rPr>
          <w:kern w:val="0"/>
        </w:rPr>
        <w:t>emergence</w:t>
      </w:r>
      <w:r w:rsidR="00427468">
        <w:rPr>
          <w:kern w:val="0"/>
        </w:rPr>
        <w:t xml:space="preserve"> of </w:t>
      </w:r>
      <w:r w:rsidR="003A1917">
        <w:rPr>
          <w:kern w:val="0"/>
        </w:rPr>
        <w:t xml:space="preserve">the </w:t>
      </w:r>
      <w:r w:rsidRPr="00F219CA">
        <w:rPr>
          <w:kern w:val="0"/>
        </w:rPr>
        <w:t xml:space="preserve">Science Citation Index. </w:t>
      </w:r>
      <w:r w:rsidRPr="00F219CA">
        <w:rPr>
          <w:i/>
          <w:iCs/>
          <w:kern w:val="0"/>
        </w:rPr>
        <w:t>Actes de la Recherche en Sciences Sociales</w:t>
      </w:r>
      <w:r>
        <w:rPr>
          <w:kern w:val="0"/>
        </w:rPr>
        <w:t xml:space="preserve">, </w:t>
      </w:r>
      <w:r w:rsidRPr="00AC2D64">
        <w:rPr>
          <w:b/>
          <w:kern w:val="0"/>
        </w:rPr>
        <w:t>164</w:t>
      </w:r>
      <w:r w:rsidRPr="00F219CA">
        <w:rPr>
          <w:kern w:val="0"/>
        </w:rPr>
        <w:t>, 10-</w:t>
      </w:r>
      <w:r>
        <w:rPr>
          <w:rFonts w:hint="eastAsia"/>
          <w:kern w:val="0"/>
        </w:rPr>
        <w:t>21</w:t>
      </w:r>
      <w:r w:rsidRPr="00F219CA">
        <w:rPr>
          <w:kern w:val="0"/>
        </w:rPr>
        <w:t>.</w:t>
      </w:r>
    </w:p>
    <w:p w:rsidR="003474F2" w:rsidRPr="001A3D2B" w:rsidRDefault="003474F2" w:rsidP="003474F2">
      <w:pPr>
        <w:pStyle w:val="a3"/>
      </w:pPr>
      <w:r w:rsidRPr="001A3D2B">
        <w:t>Abstract:</w:t>
      </w:r>
      <w:r w:rsidR="003A1917">
        <w:t xml:space="preserve"> the </w:t>
      </w:r>
      <w:r w:rsidRPr="001A3D2B">
        <w:t>article analyzes</w:t>
      </w:r>
      <w:r w:rsidR="003A1917">
        <w:t xml:space="preserve"> the </w:t>
      </w:r>
      <w:r w:rsidRPr="001A3D2B">
        <w:t>emergence</w:t>
      </w:r>
      <w:r w:rsidR="00427468">
        <w:t xml:space="preserve"> of </w:t>
      </w:r>
      <w:r w:rsidR="003A1917">
        <w:t xml:space="preserve">the </w:t>
      </w:r>
      <w:r w:rsidRPr="001A3D2B">
        <w:t>Science Citation Index (SCI)</w:t>
      </w:r>
      <w:r w:rsidR="005853A9">
        <w:t xml:space="preserve"> and </w:t>
      </w:r>
      <w:r w:rsidRPr="001A3D2B">
        <w:t>argues that</w:t>
      </w:r>
      <w:r w:rsidR="003A1917">
        <w:t xml:space="preserve"> the </w:t>
      </w:r>
      <w:r w:rsidRPr="001A3D2B">
        <w:t>concept</w:t>
      </w:r>
      <w:r w:rsidR="00427468">
        <w:t xml:space="preserve"> of </w:t>
      </w:r>
      <w:r w:rsidRPr="001A3D2B">
        <w:t xml:space="preserve">citation indexing was not a </w:t>
      </w:r>
      <w:r w:rsidR="00700038">
        <w:t>‘</w:t>
      </w:r>
      <w:r w:rsidRPr="001A3D2B">
        <w:t>natural</w:t>
      </w:r>
      <w:r w:rsidR="00700038">
        <w:t>’</w:t>
      </w:r>
      <w:r w:rsidRPr="001A3D2B">
        <w:t xml:space="preserve"> outgrowth</w:t>
      </w:r>
      <w:r w:rsidR="00427468">
        <w:t xml:space="preserve"> of </w:t>
      </w:r>
      <w:r w:rsidR="003A1917">
        <w:t xml:space="preserve">the </w:t>
      </w:r>
      <w:r w:rsidRPr="001A3D2B">
        <w:t>scientific field. It originated in</w:t>
      </w:r>
      <w:r w:rsidR="003A1917">
        <w:t xml:space="preserve"> the </w:t>
      </w:r>
      <w:r w:rsidRPr="001A3D2B">
        <w:t>area</w:t>
      </w:r>
      <w:r w:rsidR="00427468">
        <w:t xml:space="preserve"> of </w:t>
      </w:r>
      <w:r w:rsidRPr="001A3D2B">
        <w:t>US legal publishing</w:t>
      </w:r>
      <w:r w:rsidR="005853A9">
        <w:t xml:space="preserve"> and </w:t>
      </w:r>
      <w:r w:rsidRPr="001A3D2B">
        <w:t>information services,</w:t>
      </w:r>
      <w:r w:rsidR="005853A9">
        <w:t xml:space="preserve"> and </w:t>
      </w:r>
      <w:r w:rsidRPr="001A3D2B">
        <w:t>was translated into a scientific reference service by an information entrepreneur, Eugene Garfield</w:t>
      </w:r>
      <w:r w:rsidR="00A37C1D">
        <w:t>. The</w:t>
      </w:r>
      <w:r w:rsidR="003A1917">
        <w:t xml:space="preserve"> </w:t>
      </w:r>
      <w:r w:rsidRPr="001A3D2B">
        <w:t>actual creation</w:t>
      </w:r>
      <w:r w:rsidR="00427468">
        <w:t xml:space="preserve"> of </w:t>
      </w:r>
      <w:r w:rsidR="003A1917">
        <w:t xml:space="preserve">the </w:t>
      </w:r>
      <w:r w:rsidRPr="001A3D2B">
        <w:t>Science Citation Index</w:t>
      </w:r>
      <w:r w:rsidR="005853A9">
        <w:t xml:space="preserve"> and </w:t>
      </w:r>
      <w:r w:rsidR="003A1917">
        <w:t xml:space="preserve">the </w:t>
      </w:r>
      <w:r w:rsidRPr="001A3D2B">
        <w:t>subsequent development</w:t>
      </w:r>
      <w:r w:rsidR="00427468">
        <w:t xml:space="preserve"> of </w:t>
      </w:r>
      <w:r w:rsidR="003A1917">
        <w:t xml:space="preserve">the </w:t>
      </w:r>
      <w:r w:rsidRPr="001A3D2B">
        <w:t>field</w:t>
      </w:r>
      <w:r w:rsidR="00427468">
        <w:t xml:space="preserve"> of </w:t>
      </w:r>
      <w:r w:rsidRPr="001A3D2B">
        <w:t>scientometrics were strongly shaped by</w:t>
      </w:r>
      <w:r w:rsidR="003A1917">
        <w:t xml:space="preserve"> the </w:t>
      </w:r>
      <w:r w:rsidRPr="001A3D2B">
        <w:t>political</w:t>
      </w:r>
      <w:r w:rsidR="005853A9">
        <w:t xml:space="preserve"> and </w:t>
      </w:r>
      <w:r w:rsidRPr="001A3D2B">
        <w:t>technological context</w:t>
      </w:r>
      <w:r w:rsidR="00427468">
        <w:t xml:space="preserve"> of </w:t>
      </w:r>
      <w:r w:rsidR="003A1917">
        <w:t xml:space="preserve">the </w:t>
      </w:r>
      <w:r w:rsidRPr="001A3D2B">
        <w:t>late 1950s -early 1960s</w:t>
      </w:r>
      <w:r w:rsidR="00A37C1D">
        <w:t>. The</w:t>
      </w:r>
      <w:r w:rsidR="003A1917">
        <w:t xml:space="preserve"> </w:t>
      </w:r>
      <w:r w:rsidRPr="001A3D2B">
        <w:t>way</w:t>
      </w:r>
      <w:r w:rsidR="003A1917">
        <w:t xml:space="preserve"> the </w:t>
      </w:r>
      <w:r w:rsidRPr="001A3D2B">
        <w:t>US responded to</w:t>
      </w:r>
      <w:r w:rsidR="003A1917">
        <w:t xml:space="preserve"> the </w:t>
      </w:r>
      <w:r w:rsidRPr="001A3D2B">
        <w:t>Sputnik crisis</w:t>
      </w:r>
      <w:r w:rsidR="005853A9">
        <w:t xml:space="preserve"> and </w:t>
      </w:r>
      <w:r w:rsidR="003A1917">
        <w:t xml:space="preserve">the </w:t>
      </w:r>
      <w:r w:rsidRPr="001A3D2B">
        <w:t>Soviet challenge provided</w:t>
      </w:r>
      <w:r w:rsidR="003A1917">
        <w:t xml:space="preserve"> the </w:t>
      </w:r>
      <w:r w:rsidRPr="001A3D2B">
        <w:t>opportunity for Garfield to build</w:t>
      </w:r>
      <w:r w:rsidR="003A1917">
        <w:t xml:space="preserve"> the </w:t>
      </w:r>
      <w:r w:rsidRPr="001A3D2B">
        <w:t>Science Citation Index in close cooperation with</w:t>
      </w:r>
      <w:r w:rsidR="003A1917">
        <w:t xml:space="preserve"> the </w:t>
      </w:r>
      <w:r w:rsidRPr="001A3D2B">
        <w:t>Nobel laureate Joshua Lederberg</w:t>
      </w:r>
      <w:r w:rsidR="005853A9">
        <w:t xml:space="preserve"> and </w:t>
      </w:r>
      <w:r w:rsidRPr="001A3D2B">
        <w:t>to gain</w:t>
      </w:r>
      <w:r w:rsidR="003A1917">
        <w:t xml:space="preserve"> the </w:t>
      </w:r>
      <w:r w:rsidRPr="001A3D2B">
        <w:t>legitimacy that his project previously lacked.</w:t>
      </w:r>
    </w:p>
    <w:p w:rsidR="003474F2" w:rsidRPr="001A3D2B" w:rsidRDefault="003474F2" w:rsidP="003474F2">
      <w:pPr>
        <w:pStyle w:val="a3"/>
        <w:rPr>
          <w:szCs w:val="24"/>
        </w:rPr>
      </w:pPr>
      <w:r w:rsidRPr="001A3D2B">
        <w:rPr>
          <w:szCs w:val="24"/>
        </w:rPr>
        <w:t>Keywords: Challenge, Citation, Citation Indexing, Context, Cooperation, Development, Emergence, Field, Indexing, Information, Information Services, Legal, Publishing, Reference</w:t>
      </w:r>
      <w:r w:rsidR="00D5664A">
        <w:rPr>
          <w:szCs w:val="24"/>
        </w:rPr>
        <w:t>, SCI,</w:t>
      </w:r>
      <w:r w:rsidRPr="001A3D2B">
        <w:rPr>
          <w:szCs w:val="24"/>
        </w:rPr>
        <w:t xml:space="preserve"> Science Citation Index, Scientometrics, Service, Services, Soviet, US</w:t>
      </w:r>
    </w:p>
    <w:p w:rsidR="004819A3" w:rsidRPr="001A3D2B" w:rsidRDefault="004819A3" w:rsidP="004819A3">
      <w:pPr>
        <w:pStyle w:val="1"/>
      </w:pPr>
      <w:r w:rsidRPr="001A3D2B">
        <w:br w:type="page"/>
      </w:r>
      <w:bookmarkStart w:id="114" w:name="_Toc420814297"/>
      <w:r w:rsidRPr="001A3D2B">
        <w:lastRenderedPageBreak/>
        <w:t xml:space="preserve">Title: </w:t>
      </w:r>
      <w:r w:rsidRPr="004819A3">
        <w:rPr>
          <w:szCs w:val="24"/>
        </w:rPr>
        <w:t>Action Research</w:t>
      </w:r>
      <w:bookmarkEnd w:id="114"/>
    </w:p>
    <w:p w:rsidR="004819A3" w:rsidRPr="001A3D2B" w:rsidRDefault="004819A3" w:rsidP="004819A3">
      <w:pPr>
        <w:pStyle w:val="12"/>
      </w:pPr>
      <w:r w:rsidRPr="001A3D2B">
        <w:t xml:space="preserve">Full Journal Title: </w:t>
      </w:r>
      <w:r w:rsidRPr="004819A3">
        <w:rPr>
          <w:iCs/>
          <w:kern w:val="0"/>
        </w:rPr>
        <w:t>Action Research</w:t>
      </w:r>
    </w:p>
    <w:p w:rsidR="004819A3" w:rsidRPr="001A3D2B" w:rsidRDefault="004819A3" w:rsidP="004819A3">
      <w:pPr>
        <w:pStyle w:val="12"/>
      </w:pPr>
      <w:r w:rsidRPr="001A3D2B">
        <w:t xml:space="preserve">ISO Abbreviated Title: </w:t>
      </w:r>
    </w:p>
    <w:p w:rsidR="004819A3" w:rsidRPr="001A3D2B" w:rsidRDefault="004819A3" w:rsidP="004819A3">
      <w:pPr>
        <w:pStyle w:val="12"/>
      </w:pPr>
      <w:r w:rsidRPr="001A3D2B">
        <w:t xml:space="preserve">JCR Abbreviated Title: </w:t>
      </w:r>
    </w:p>
    <w:p w:rsidR="004819A3" w:rsidRPr="001A3D2B" w:rsidRDefault="004819A3" w:rsidP="004819A3">
      <w:pPr>
        <w:pStyle w:val="12"/>
      </w:pPr>
      <w:r w:rsidRPr="001A3D2B">
        <w:t xml:space="preserve">ISSN: </w:t>
      </w:r>
    </w:p>
    <w:p w:rsidR="004819A3" w:rsidRPr="001A3D2B" w:rsidRDefault="004819A3" w:rsidP="004819A3">
      <w:pPr>
        <w:pStyle w:val="12"/>
      </w:pPr>
      <w:r w:rsidRPr="001A3D2B">
        <w:t xml:space="preserve">Issues/Year: </w:t>
      </w:r>
    </w:p>
    <w:p w:rsidR="004819A3" w:rsidRPr="001A3D2B" w:rsidRDefault="004819A3" w:rsidP="004819A3">
      <w:pPr>
        <w:pStyle w:val="12"/>
      </w:pPr>
      <w:r w:rsidRPr="001A3D2B">
        <w:t xml:space="preserve">Journal Country/Territory: </w:t>
      </w:r>
    </w:p>
    <w:p w:rsidR="004819A3" w:rsidRPr="001A3D2B" w:rsidRDefault="004819A3" w:rsidP="004819A3">
      <w:pPr>
        <w:pStyle w:val="12"/>
      </w:pPr>
      <w:r w:rsidRPr="001A3D2B">
        <w:t xml:space="preserve">Language: </w:t>
      </w:r>
    </w:p>
    <w:p w:rsidR="004819A3" w:rsidRPr="001A3D2B" w:rsidRDefault="004819A3" w:rsidP="004819A3">
      <w:pPr>
        <w:pStyle w:val="12"/>
      </w:pPr>
      <w:r w:rsidRPr="001A3D2B">
        <w:t xml:space="preserve">Publisher: </w:t>
      </w:r>
    </w:p>
    <w:p w:rsidR="004819A3" w:rsidRPr="001A3D2B" w:rsidRDefault="004819A3" w:rsidP="004819A3">
      <w:pPr>
        <w:pStyle w:val="12"/>
      </w:pPr>
      <w:r w:rsidRPr="001A3D2B">
        <w:t xml:space="preserve">Publisher Address: </w:t>
      </w:r>
    </w:p>
    <w:p w:rsidR="004819A3" w:rsidRPr="001A3D2B" w:rsidRDefault="004819A3" w:rsidP="004819A3">
      <w:pPr>
        <w:pStyle w:val="12"/>
      </w:pPr>
      <w:r w:rsidRPr="001A3D2B">
        <w:t>Subject Categories:</w:t>
      </w:r>
    </w:p>
    <w:p w:rsidR="004819A3" w:rsidRPr="001A3D2B" w:rsidRDefault="004819A3" w:rsidP="004819A3">
      <w:pPr>
        <w:pStyle w:val="12"/>
      </w:pPr>
      <w:r w:rsidRPr="001A3D2B">
        <w:t xml:space="preserve">: Impact Factor </w:t>
      </w:r>
    </w:p>
    <w:p w:rsidR="00CA4EED" w:rsidRDefault="00CA4EED" w:rsidP="004819A3">
      <w:pPr>
        <w:pStyle w:val="a3"/>
        <w:rPr>
          <w:kern w:val="0"/>
          <w:szCs w:val="24"/>
        </w:rPr>
      </w:pPr>
      <w:r>
        <w:rPr>
          <w:rFonts w:hint="eastAsia"/>
          <w:kern w:val="0"/>
          <w:szCs w:val="24"/>
        </w:rPr>
        <w:t>Notes: CCountry</w:t>
      </w:r>
    </w:p>
    <w:p w:rsidR="004819A3" w:rsidRDefault="004819A3" w:rsidP="004819A3">
      <w:pPr>
        <w:pStyle w:val="a3"/>
        <w:rPr>
          <w:kern w:val="0"/>
          <w:szCs w:val="24"/>
        </w:rPr>
      </w:pPr>
      <w:r>
        <w:rPr>
          <w:rFonts w:hint="eastAsia"/>
          <w:kern w:val="0"/>
          <w:szCs w:val="24"/>
        </w:rPr>
        <w:t xml:space="preserve">? </w:t>
      </w:r>
      <w:r>
        <w:rPr>
          <w:kern w:val="0"/>
          <w:szCs w:val="24"/>
        </w:rPr>
        <w:t>McVicar, A., Munn-Giddings, C.</w:t>
      </w:r>
      <w:r w:rsidR="005853A9">
        <w:rPr>
          <w:kern w:val="0"/>
          <w:szCs w:val="24"/>
        </w:rPr>
        <w:t xml:space="preserve"> and </w:t>
      </w:r>
      <w:r>
        <w:rPr>
          <w:rFonts w:hint="eastAsia"/>
          <w:kern w:val="0"/>
          <w:szCs w:val="24"/>
        </w:rPr>
        <w:t>A</w:t>
      </w:r>
      <w:r>
        <w:rPr>
          <w:kern w:val="0"/>
          <w:szCs w:val="24"/>
        </w:rPr>
        <w:t>bu-Helil, C. (2012), Exploring</w:t>
      </w:r>
      <w:r w:rsidR="003A1917">
        <w:rPr>
          <w:kern w:val="0"/>
          <w:szCs w:val="24"/>
        </w:rPr>
        <w:t xml:space="preserve"> the </w:t>
      </w:r>
      <w:r>
        <w:rPr>
          <w:kern w:val="0"/>
          <w:szCs w:val="24"/>
        </w:rPr>
        <w:t>development</w:t>
      </w:r>
      <w:r w:rsidR="00427468">
        <w:rPr>
          <w:kern w:val="0"/>
          <w:szCs w:val="24"/>
        </w:rPr>
        <w:t xml:space="preserve"> of </w:t>
      </w:r>
      <w:r>
        <w:rPr>
          <w:kern w:val="0"/>
          <w:szCs w:val="24"/>
        </w:rPr>
        <w:t>action research in nursing</w:t>
      </w:r>
      <w:r w:rsidR="005853A9">
        <w:rPr>
          <w:kern w:val="0"/>
          <w:szCs w:val="24"/>
        </w:rPr>
        <w:t xml:space="preserve"> and </w:t>
      </w:r>
      <w:r>
        <w:rPr>
          <w:kern w:val="0"/>
          <w:szCs w:val="24"/>
        </w:rPr>
        <w:t>social care in</w:t>
      </w:r>
      <w:r w:rsidR="003A1917">
        <w:rPr>
          <w:kern w:val="0"/>
          <w:szCs w:val="24"/>
        </w:rPr>
        <w:t xml:space="preserve"> the </w:t>
      </w:r>
      <w:r>
        <w:rPr>
          <w:kern w:val="0"/>
          <w:szCs w:val="24"/>
        </w:rPr>
        <w:t>UK: A comparative bibliometric review</w:t>
      </w:r>
      <w:r w:rsidR="00427468">
        <w:rPr>
          <w:kern w:val="0"/>
          <w:szCs w:val="24"/>
        </w:rPr>
        <w:t xml:space="preserve"> of </w:t>
      </w:r>
      <w:r>
        <w:rPr>
          <w:kern w:val="0"/>
          <w:szCs w:val="24"/>
        </w:rPr>
        <w:t xml:space="preserve">action research designs in social work (2000-2010). </w:t>
      </w:r>
      <w:r w:rsidRPr="004819A3">
        <w:rPr>
          <w:i/>
          <w:iCs/>
          <w:kern w:val="0"/>
          <w:szCs w:val="24"/>
        </w:rPr>
        <w:t>Action Research</w:t>
      </w:r>
      <w:r>
        <w:rPr>
          <w:kern w:val="0"/>
          <w:szCs w:val="24"/>
        </w:rPr>
        <w:t xml:space="preserve">, </w:t>
      </w:r>
      <w:r>
        <w:rPr>
          <w:b/>
          <w:bCs/>
          <w:kern w:val="0"/>
          <w:szCs w:val="24"/>
        </w:rPr>
        <w:t>10</w:t>
      </w:r>
      <w:r>
        <w:rPr>
          <w:kern w:val="0"/>
          <w:szCs w:val="24"/>
        </w:rPr>
        <w:t xml:space="preserve"> (1), 79-101.</w:t>
      </w:r>
    </w:p>
    <w:p w:rsidR="004819A3" w:rsidRDefault="004819A3" w:rsidP="004819A3">
      <w:pPr>
        <w:pStyle w:val="a3"/>
        <w:rPr>
          <w:kern w:val="0"/>
          <w:szCs w:val="24"/>
        </w:rPr>
      </w:pPr>
      <w:r>
        <w:rPr>
          <w:rFonts w:hint="eastAsia"/>
          <w:kern w:val="0"/>
          <w:szCs w:val="24"/>
        </w:rPr>
        <w:t xml:space="preserve">Full Text: </w:t>
      </w:r>
      <w:hyperlink r:id="rId223" w:history="1">
        <w:r w:rsidRPr="004819A3">
          <w:rPr>
            <w:rStyle w:val="a5"/>
            <w:kern w:val="0"/>
            <w:szCs w:val="24"/>
          </w:rPr>
          <w:t>2012\Act Res10, 79.pdf</w:t>
        </w:r>
      </w:hyperlink>
    </w:p>
    <w:p w:rsidR="004819A3" w:rsidRDefault="004819A3" w:rsidP="004819A3">
      <w:pPr>
        <w:pStyle w:val="a3"/>
        <w:rPr>
          <w:kern w:val="0"/>
          <w:szCs w:val="24"/>
        </w:rPr>
      </w:pPr>
      <w:r>
        <w:rPr>
          <w:kern w:val="0"/>
          <w:szCs w:val="24"/>
        </w:rPr>
        <w:t>Abstract: Action research is promoted in</w:t>
      </w:r>
      <w:r w:rsidR="003A1917">
        <w:rPr>
          <w:kern w:val="0"/>
          <w:szCs w:val="24"/>
        </w:rPr>
        <w:t xml:space="preserve"> the </w:t>
      </w:r>
      <w:r>
        <w:rPr>
          <w:kern w:val="0"/>
          <w:szCs w:val="24"/>
        </w:rPr>
        <w:t>UK as a vehicle for practice development in health</w:t>
      </w:r>
      <w:r w:rsidR="005853A9">
        <w:rPr>
          <w:kern w:val="0"/>
          <w:szCs w:val="24"/>
        </w:rPr>
        <w:t xml:space="preserve"> and </w:t>
      </w:r>
      <w:r>
        <w:rPr>
          <w:kern w:val="0"/>
          <w:szCs w:val="24"/>
        </w:rPr>
        <w:t>social care, but its application has not been evaluated. This study reviews research designs in published social work studies, 2000-2010. Applying</w:t>
      </w:r>
      <w:r w:rsidR="003A1917">
        <w:rPr>
          <w:kern w:val="0"/>
          <w:szCs w:val="24"/>
        </w:rPr>
        <w:t xml:space="preserve"> the </w:t>
      </w:r>
      <w:r>
        <w:rPr>
          <w:kern w:val="0"/>
          <w:szCs w:val="24"/>
        </w:rPr>
        <w:t>analytic strategy</w:t>
      </w:r>
      <w:r w:rsidR="00427468">
        <w:rPr>
          <w:kern w:val="0"/>
          <w:szCs w:val="24"/>
        </w:rPr>
        <w:t xml:space="preserve"> of </w:t>
      </w:r>
      <w:r>
        <w:rPr>
          <w:kern w:val="0"/>
          <w:szCs w:val="24"/>
        </w:rPr>
        <w:t>Munn-Giddings et al. (2008) also enabled comparison to be made with nursing action research. Action research has a strong presence in social work. Studies were highly collaborative, mainly qualitative</w:t>
      </w:r>
      <w:r w:rsidR="005853A9">
        <w:rPr>
          <w:kern w:val="0"/>
          <w:szCs w:val="24"/>
        </w:rPr>
        <w:t xml:space="preserve"> and </w:t>
      </w:r>
      <w:r>
        <w:rPr>
          <w:kern w:val="0"/>
          <w:szCs w:val="24"/>
        </w:rPr>
        <w:t xml:space="preserve">largely focused on practice or educational development, though user-focused change had a presence. Participant groups generally were </w:t>
      </w:r>
      <w:r w:rsidR="00700038">
        <w:rPr>
          <w:kern w:val="0"/>
          <w:szCs w:val="24"/>
        </w:rPr>
        <w:t>‘</w:t>
      </w:r>
      <w:r>
        <w:rPr>
          <w:kern w:val="0"/>
          <w:szCs w:val="24"/>
        </w:rPr>
        <w:t>active</w:t>
      </w:r>
      <w:r w:rsidR="00700038">
        <w:rPr>
          <w:kern w:val="0"/>
          <w:szCs w:val="24"/>
        </w:rPr>
        <w:t>’</w:t>
      </w:r>
      <w:r>
        <w:rPr>
          <w:kern w:val="0"/>
          <w:szCs w:val="24"/>
        </w:rPr>
        <w:t xml:space="preserve"> in</w:t>
      </w:r>
      <w:r w:rsidR="003A1917">
        <w:rPr>
          <w:kern w:val="0"/>
          <w:szCs w:val="24"/>
        </w:rPr>
        <w:t xml:space="preserve"> the </w:t>
      </w:r>
      <w:r>
        <w:rPr>
          <w:kern w:val="0"/>
          <w:szCs w:val="24"/>
        </w:rPr>
        <w:t>research process, but participation by academics was low. In contrast, authorship was dominated by academics. External funding suggested an attractiveness</w:t>
      </w:r>
      <w:r w:rsidR="00427468">
        <w:rPr>
          <w:kern w:val="0"/>
          <w:szCs w:val="24"/>
        </w:rPr>
        <w:t xml:space="preserve"> of </w:t>
      </w:r>
      <w:r>
        <w:rPr>
          <w:kern w:val="0"/>
          <w:szCs w:val="24"/>
        </w:rPr>
        <w:t>action research to funders. Action research in social work shared similarities with nursing. Main differences were involvement</w:t>
      </w:r>
      <w:r w:rsidR="00427468">
        <w:rPr>
          <w:kern w:val="0"/>
          <w:szCs w:val="24"/>
        </w:rPr>
        <w:t xml:space="preserve"> of </w:t>
      </w:r>
      <w:r w:rsidR="003A1917">
        <w:rPr>
          <w:kern w:val="0"/>
          <w:szCs w:val="24"/>
        </w:rPr>
        <w:t xml:space="preserve">the </w:t>
      </w:r>
      <w:r>
        <w:rPr>
          <w:kern w:val="0"/>
          <w:szCs w:val="24"/>
        </w:rPr>
        <w:t>voluntary sector,</w:t>
      </w:r>
      <w:r w:rsidR="003A1917">
        <w:rPr>
          <w:kern w:val="0"/>
          <w:szCs w:val="24"/>
        </w:rPr>
        <w:t xml:space="preserve"> the </w:t>
      </w:r>
      <w:r>
        <w:rPr>
          <w:kern w:val="0"/>
          <w:szCs w:val="24"/>
        </w:rPr>
        <w:t>favouring</w:t>
      </w:r>
      <w:r w:rsidR="00427468">
        <w:rPr>
          <w:kern w:val="0"/>
          <w:szCs w:val="24"/>
        </w:rPr>
        <w:t xml:space="preserve"> of </w:t>
      </w:r>
      <w:r>
        <w:rPr>
          <w:kern w:val="0"/>
          <w:szCs w:val="24"/>
        </w:rPr>
        <w:t>interactive group working,</w:t>
      </w:r>
      <w:r w:rsidR="005853A9">
        <w:rPr>
          <w:kern w:val="0"/>
          <w:szCs w:val="24"/>
        </w:rPr>
        <w:t xml:space="preserve"> and </w:t>
      </w:r>
      <w:r>
        <w:rPr>
          <w:kern w:val="0"/>
          <w:szCs w:val="24"/>
        </w:rPr>
        <w:t>a greater likelihood</w:t>
      </w:r>
      <w:r w:rsidR="00427468">
        <w:rPr>
          <w:kern w:val="0"/>
          <w:szCs w:val="24"/>
        </w:rPr>
        <w:t xml:space="preserve"> of </w:t>
      </w:r>
      <w:r>
        <w:rPr>
          <w:kern w:val="0"/>
          <w:szCs w:val="24"/>
        </w:rPr>
        <w:t>service users being co-researchers.</w:t>
      </w:r>
      <w:r w:rsidR="00427468">
        <w:rPr>
          <w:kern w:val="0"/>
          <w:szCs w:val="24"/>
        </w:rPr>
        <w:t xml:space="preserve"> of </w:t>
      </w:r>
      <w:r>
        <w:rPr>
          <w:kern w:val="0"/>
          <w:szCs w:val="24"/>
        </w:rPr>
        <w:t>most concern is</w:t>
      </w:r>
      <w:r w:rsidR="003A1917">
        <w:rPr>
          <w:kern w:val="0"/>
          <w:szCs w:val="24"/>
        </w:rPr>
        <w:t xml:space="preserve"> the </w:t>
      </w:r>
      <w:r>
        <w:rPr>
          <w:kern w:val="0"/>
          <w:szCs w:val="24"/>
        </w:rPr>
        <w:t>lack</w:t>
      </w:r>
      <w:r w:rsidR="00427468">
        <w:rPr>
          <w:kern w:val="0"/>
          <w:szCs w:val="24"/>
        </w:rPr>
        <w:t xml:space="preserve"> of </w:t>
      </w:r>
      <w:r>
        <w:rPr>
          <w:kern w:val="0"/>
          <w:szCs w:val="24"/>
        </w:rPr>
        <w:t>authorship (and by implication, ownership) by practitioners or service users. This is contrary to</w:t>
      </w:r>
      <w:r w:rsidR="003A1917">
        <w:rPr>
          <w:kern w:val="0"/>
          <w:szCs w:val="24"/>
        </w:rPr>
        <w:t xml:space="preserve"> the </w:t>
      </w:r>
      <w:r>
        <w:rPr>
          <w:kern w:val="0"/>
          <w:szCs w:val="24"/>
        </w:rPr>
        <w:t>underpinning inclusive philosophy,</w:t>
      </w:r>
      <w:r w:rsidR="005853A9">
        <w:rPr>
          <w:kern w:val="0"/>
          <w:szCs w:val="24"/>
        </w:rPr>
        <w:t xml:space="preserve"> and </w:t>
      </w:r>
      <w:r>
        <w:rPr>
          <w:kern w:val="0"/>
          <w:szCs w:val="24"/>
        </w:rPr>
        <w:t>researchers should be more proactive in acknowledging</w:t>
      </w:r>
      <w:r w:rsidR="003A1917">
        <w:rPr>
          <w:kern w:val="0"/>
          <w:szCs w:val="24"/>
        </w:rPr>
        <w:t xml:space="preserve"> the </w:t>
      </w:r>
      <w:r>
        <w:rPr>
          <w:kern w:val="0"/>
          <w:szCs w:val="24"/>
        </w:rPr>
        <w:t>contribution</w:t>
      </w:r>
      <w:r w:rsidR="00427468">
        <w:rPr>
          <w:kern w:val="0"/>
          <w:szCs w:val="24"/>
        </w:rPr>
        <w:t xml:space="preserve"> of </w:t>
      </w:r>
      <w:r>
        <w:rPr>
          <w:kern w:val="0"/>
          <w:szCs w:val="24"/>
        </w:rPr>
        <w:t>individuals, groups or organizations, as appropriate,</w:t>
      </w:r>
      <w:r w:rsidR="005853A9">
        <w:rPr>
          <w:kern w:val="0"/>
          <w:szCs w:val="24"/>
        </w:rPr>
        <w:t xml:space="preserve"> and </w:t>
      </w:r>
      <w:r>
        <w:rPr>
          <w:kern w:val="0"/>
          <w:szCs w:val="24"/>
        </w:rPr>
        <w:t>so evidence their growth in research capability</w:t>
      </w:r>
      <w:r w:rsidR="005853A9">
        <w:rPr>
          <w:kern w:val="0"/>
          <w:szCs w:val="24"/>
        </w:rPr>
        <w:t xml:space="preserve"> and </w:t>
      </w:r>
      <w:r>
        <w:rPr>
          <w:kern w:val="0"/>
          <w:szCs w:val="24"/>
        </w:rPr>
        <w:t>capacity.</w:t>
      </w:r>
    </w:p>
    <w:p w:rsidR="004819A3" w:rsidRDefault="004819A3" w:rsidP="004819A3">
      <w:pPr>
        <w:pStyle w:val="a3"/>
        <w:rPr>
          <w:kern w:val="0"/>
          <w:szCs w:val="24"/>
        </w:rPr>
      </w:pPr>
      <w:r>
        <w:rPr>
          <w:kern w:val="0"/>
          <w:szCs w:val="24"/>
        </w:rPr>
        <w:t xml:space="preserve">Keywords: Academics, Action Research, Application, Authorship, Bibliometric, Capacity, Care, Challenges, Comparison, Development, Evidence, Funding, Growth, </w:t>
      </w:r>
      <w:r>
        <w:rPr>
          <w:kern w:val="0"/>
          <w:szCs w:val="24"/>
        </w:rPr>
        <w:lastRenderedPageBreak/>
        <w:t>Health, Health</w:t>
      </w:r>
      <w:r w:rsidR="005853A9">
        <w:rPr>
          <w:kern w:val="0"/>
          <w:szCs w:val="24"/>
        </w:rPr>
        <w:t xml:space="preserve"> and </w:t>
      </w:r>
      <w:r>
        <w:rPr>
          <w:kern w:val="0"/>
          <w:szCs w:val="24"/>
        </w:rPr>
        <w:t>Social Care, Intervention Research, Low, Mar, Nursing, Participation, Philosophy, Practice, Qualitative, Research, Research Capacity, Review, Reviews, Sector, Service, Social, Social Work, Strategy</w:t>
      </w:r>
      <w:r w:rsidR="00D5664A">
        <w:rPr>
          <w:kern w:val="0"/>
          <w:szCs w:val="24"/>
        </w:rPr>
        <w:t>, UK,</w:t>
      </w:r>
      <w:r>
        <w:rPr>
          <w:kern w:val="0"/>
          <w:szCs w:val="24"/>
        </w:rPr>
        <w:t xml:space="preserve"> Vehicle, Work</w:t>
      </w:r>
    </w:p>
    <w:p w:rsidR="003474F2" w:rsidRPr="001A3D2B" w:rsidRDefault="003474F2" w:rsidP="003474F2">
      <w:pPr>
        <w:pStyle w:val="1"/>
      </w:pPr>
      <w:r w:rsidRPr="001A3D2B">
        <w:br w:type="page"/>
      </w:r>
      <w:bookmarkStart w:id="115" w:name="_Toc420814298"/>
      <w:r w:rsidRPr="001A3D2B">
        <w:lastRenderedPageBreak/>
        <w:t xml:space="preserve">Title: </w:t>
      </w:r>
      <w:r w:rsidRPr="001A3D2B">
        <w:rPr>
          <w:iCs w:val="0"/>
          <w:szCs w:val="24"/>
        </w:rPr>
        <w:t>Activitas Nervosa Superior</w:t>
      </w:r>
      <w:bookmarkEnd w:id="115"/>
    </w:p>
    <w:p w:rsidR="003474F2" w:rsidRPr="001A3D2B" w:rsidRDefault="003474F2" w:rsidP="003474F2">
      <w:pPr>
        <w:pStyle w:val="12"/>
      </w:pPr>
      <w:r w:rsidRPr="001A3D2B">
        <w:t>Full Journal Title: Activitas Nervosa Superior</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0001-7604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rPr>
          <w:szCs w:val="24"/>
        </w:rPr>
      </w:pPr>
      <w:r w:rsidRPr="001A3D2B">
        <w:t xml:space="preserve">? Ruttkayn, I. (1966), Anon - Science Citation Index. </w:t>
      </w:r>
      <w:r w:rsidRPr="001A3D2B">
        <w:rPr>
          <w:i/>
          <w:iCs/>
        </w:rPr>
        <w:t>Activitas Nervosa Superior</w:t>
      </w:r>
      <w:r w:rsidRPr="001A3D2B">
        <w:t xml:space="preserve">, </w:t>
      </w:r>
      <w:r w:rsidRPr="001A3D2B">
        <w:rPr>
          <w:b/>
          <w:bCs/>
        </w:rPr>
        <w:t>8</w:t>
      </w:r>
      <w:r w:rsidRPr="001A3D2B">
        <w:rPr>
          <w:szCs w:val="24"/>
        </w:rPr>
        <w:t xml:space="preserve"> (4), 467-??.</w:t>
      </w:r>
    </w:p>
    <w:p w:rsidR="003474F2" w:rsidRPr="001A3D2B" w:rsidRDefault="003474F2" w:rsidP="003474F2">
      <w:pPr>
        <w:pStyle w:val="a3"/>
        <w:rPr>
          <w:szCs w:val="24"/>
        </w:rPr>
      </w:pPr>
      <w:r w:rsidRPr="001A3D2B">
        <w:rPr>
          <w:szCs w:val="24"/>
        </w:rPr>
        <w:t>Keywords: Citation, Science Citation Index</w:t>
      </w:r>
    </w:p>
    <w:p w:rsidR="00614094" w:rsidRPr="00F219CA" w:rsidRDefault="00614094" w:rsidP="00614094">
      <w:pPr>
        <w:pStyle w:val="1"/>
      </w:pPr>
      <w:r w:rsidRPr="00F219CA">
        <w:br w:type="page"/>
      </w:r>
      <w:bookmarkStart w:id="116" w:name="_Toc417641951"/>
      <w:bookmarkStart w:id="117" w:name="_Toc420814299"/>
      <w:r w:rsidRPr="00F219CA">
        <w:lastRenderedPageBreak/>
        <w:t>Title: Actualite Chimique</w:t>
      </w:r>
      <w:bookmarkEnd w:id="116"/>
      <w:bookmarkEnd w:id="117"/>
    </w:p>
    <w:p w:rsidR="00614094" w:rsidRPr="00F219CA" w:rsidRDefault="00614094" w:rsidP="00614094">
      <w:pPr>
        <w:pStyle w:val="12"/>
      </w:pPr>
      <w:r w:rsidRPr="00F219CA">
        <w:t>Full Journal Title: Actualite Chimique</w:t>
      </w:r>
    </w:p>
    <w:p w:rsidR="00614094" w:rsidRPr="00F219CA" w:rsidRDefault="00614094" w:rsidP="00614094">
      <w:pPr>
        <w:pStyle w:val="12"/>
      </w:pPr>
      <w:r w:rsidRPr="00F219CA">
        <w:t>ISO Abbreviated Title: Actual Chim.</w:t>
      </w:r>
    </w:p>
    <w:p w:rsidR="00614094" w:rsidRPr="00F219CA" w:rsidRDefault="00614094" w:rsidP="00614094">
      <w:pPr>
        <w:pStyle w:val="12"/>
      </w:pPr>
      <w:r w:rsidRPr="00F219CA">
        <w:t>JCR Abbreviated Title: Actual Chimique</w:t>
      </w:r>
    </w:p>
    <w:p w:rsidR="00614094" w:rsidRPr="00F219CA" w:rsidRDefault="00614094" w:rsidP="00614094">
      <w:pPr>
        <w:pStyle w:val="12"/>
      </w:pPr>
      <w:r w:rsidRPr="00F219CA">
        <w:t>ISSN: 0151-9093</w:t>
      </w:r>
    </w:p>
    <w:p w:rsidR="00614094" w:rsidRPr="00F219CA" w:rsidRDefault="00614094" w:rsidP="00614094">
      <w:pPr>
        <w:pStyle w:val="12"/>
      </w:pPr>
      <w:r w:rsidRPr="00F219CA">
        <w:t>Issues/Year: 11</w:t>
      </w:r>
    </w:p>
    <w:p w:rsidR="00614094" w:rsidRPr="00F219CA" w:rsidRDefault="00614094" w:rsidP="00614094">
      <w:pPr>
        <w:pStyle w:val="12"/>
      </w:pPr>
      <w:r w:rsidRPr="00F219CA">
        <w:t>Journal Country/Territory: France</w:t>
      </w:r>
    </w:p>
    <w:p w:rsidR="00614094" w:rsidRPr="00F219CA" w:rsidRDefault="00614094" w:rsidP="00614094">
      <w:pPr>
        <w:pStyle w:val="12"/>
      </w:pPr>
      <w:r w:rsidRPr="00F219CA">
        <w:t>Language: English</w:t>
      </w:r>
    </w:p>
    <w:p w:rsidR="00614094" w:rsidRPr="00F219CA" w:rsidRDefault="00614094" w:rsidP="00614094">
      <w:pPr>
        <w:pStyle w:val="12"/>
      </w:pPr>
      <w:r w:rsidRPr="00F219CA">
        <w:t>Publisher: Soc Francaise Chimie</w:t>
      </w:r>
    </w:p>
    <w:p w:rsidR="00614094" w:rsidRPr="00F219CA" w:rsidRDefault="00614094" w:rsidP="00614094">
      <w:pPr>
        <w:pStyle w:val="12"/>
      </w:pPr>
      <w:r w:rsidRPr="00F219CA">
        <w:t>Publisher Address: 250 Rue Saint-Jacques, 75005 Paris, France</w:t>
      </w:r>
    </w:p>
    <w:p w:rsidR="00614094" w:rsidRPr="00F219CA" w:rsidRDefault="00614094" w:rsidP="00614094">
      <w:pPr>
        <w:pStyle w:val="12"/>
      </w:pPr>
      <w:r w:rsidRPr="00F219CA">
        <w:t xml:space="preserve">Subject Categories: </w:t>
      </w:r>
    </w:p>
    <w:p w:rsidR="00614094" w:rsidRPr="00F219CA" w:rsidRDefault="00614094" w:rsidP="00614094">
      <w:pPr>
        <w:pStyle w:val="12"/>
      </w:pPr>
      <w:r w:rsidRPr="00F219CA">
        <w:t xml:space="preserve">Chemistry, Multidisciplinary: Impact Factor 0.096, / </w:t>
      </w:r>
    </w:p>
    <w:p w:rsidR="00614094" w:rsidRDefault="00614094" w:rsidP="00614094">
      <w:pPr>
        <w:pStyle w:val="a3"/>
        <w:rPr>
          <w:kern w:val="0"/>
        </w:rPr>
      </w:pPr>
      <w:r>
        <w:rPr>
          <w:rFonts w:hint="eastAsia"/>
          <w:kern w:val="0"/>
        </w:rPr>
        <w:t xml:space="preserve">? </w:t>
      </w:r>
      <w:r>
        <w:rPr>
          <w:kern w:val="0"/>
        </w:rPr>
        <w:t xml:space="preserve">Russell, C. (2000), Europe’s favourite chemists? Choosing Europe’s top 100 chemists was never going to be easy, in Colin Russell’s view. </w:t>
      </w:r>
      <w:r>
        <w:rPr>
          <w:i/>
          <w:iCs/>
          <w:kern w:val="0"/>
        </w:rPr>
        <w:t>Actualite Chimique</w:t>
      </w:r>
      <w:r>
        <w:rPr>
          <w:kern w:val="0"/>
        </w:rPr>
        <w:t xml:space="preserve">, </w:t>
      </w:r>
      <w:r w:rsidRPr="00CF0EA9">
        <w:rPr>
          <w:b/>
          <w:kern w:val="0"/>
        </w:rPr>
        <w:t>2</w:t>
      </w:r>
      <w:r>
        <w:rPr>
          <w:kern w:val="0"/>
        </w:rPr>
        <w:t>, 41-44</w:t>
      </w:r>
      <w:r>
        <w:rPr>
          <w:rFonts w:hint="eastAsia"/>
          <w:kern w:val="0"/>
        </w:rPr>
        <w:t>.</w:t>
      </w:r>
    </w:p>
    <w:p w:rsidR="00614094" w:rsidRDefault="00614094" w:rsidP="00614094">
      <w:pPr>
        <w:pStyle w:val="a3"/>
        <w:rPr>
          <w:kern w:val="0"/>
        </w:rPr>
      </w:pPr>
      <w:r>
        <w:rPr>
          <w:rFonts w:hint="eastAsia"/>
          <w:kern w:val="0"/>
        </w:rPr>
        <w:t>Full Text: 2000\</w:t>
      </w:r>
      <w:r>
        <w:rPr>
          <w:iCs/>
          <w:kern w:val="0"/>
        </w:rPr>
        <w:t>Act Chi</w:t>
      </w:r>
      <w:r w:rsidRPr="00CF0EA9">
        <w:rPr>
          <w:kern w:val="0"/>
        </w:rPr>
        <w:t>2</w:t>
      </w:r>
      <w:r>
        <w:rPr>
          <w:kern w:val="0"/>
        </w:rPr>
        <w:t>, 41</w:t>
      </w:r>
      <w:r>
        <w:rPr>
          <w:rFonts w:hint="eastAsia"/>
          <w:kern w:val="0"/>
        </w:rPr>
        <w:t>.pdf</w:t>
      </w:r>
    </w:p>
    <w:p w:rsidR="006E03FB" w:rsidRPr="00F219CA" w:rsidRDefault="006E03FB" w:rsidP="006E03FB">
      <w:pPr>
        <w:pStyle w:val="1"/>
      </w:pPr>
      <w:r w:rsidRPr="00F219CA">
        <w:br w:type="page"/>
      </w:r>
      <w:bookmarkStart w:id="118" w:name="_Toc387030507"/>
      <w:bookmarkStart w:id="119" w:name="_Toc420814300"/>
      <w:r w:rsidRPr="00F219CA">
        <w:lastRenderedPageBreak/>
        <w:t xml:space="preserve">Title: </w:t>
      </w:r>
      <w:r w:rsidRPr="000F4962">
        <w:rPr>
          <w:szCs w:val="24"/>
        </w:rPr>
        <w:t>Acupuncture</w:t>
      </w:r>
      <w:r>
        <w:rPr>
          <w:szCs w:val="24"/>
        </w:rPr>
        <w:t xml:space="preserve"> in </w:t>
      </w:r>
      <w:r w:rsidRPr="000F4962">
        <w:rPr>
          <w:szCs w:val="24"/>
        </w:rPr>
        <w:t>Medicine</w:t>
      </w:r>
      <w:bookmarkEnd w:id="118"/>
      <w:bookmarkEnd w:id="119"/>
    </w:p>
    <w:p w:rsidR="006E03FB" w:rsidRPr="00F219CA" w:rsidRDefault="006E03FB" w:rsidP="006E03FB">
      <w:pPr>
        <w:pStyle w:val="12"/>
      </w:pPr>
      <w:r w:rsidRPr="00F219CA">
        <w:t xml:space="preserve">Full Journal Title: </w:t>
      </w:r>
      <w:r w:rsidRPr="000F4962">
        <w:t>Acupuncture</w:t>
      </w:r>
      <w:r>
        <w:t xml:space="preserve"> in </w:t>
      </w:r>
      <w:r w:rsidRPr="000F4962">
        <w:t>Medicine</w:t>
      </w:r>
    </w:p>
    <w:p w:rsidR="006E03FB" w:rsidRPr="00F219CA" w:rsidRDefault="006E03FB" w:rsidP="006E03FB">
      <w:pPr>
        <w:pStyle w:val="12"/>
      </w:pPr>
      <w:r w:rsidRPr="00F219CA">
        <w:t xml:space="preserve">ISO Abbreviated Title: </w:t>
      </w:r>
    </w:p>
    <w:p w:rsidR="006E03FB" w:rsidRPr="00F219CA" w:rsidRDefault="006E03FB" w:rsidP="006E03FB">
      <w:pPr>
        <w:pStyle w:val="12"/>
      </w:pPr>
      <w:r w:rsidRPr="00F219CA">
        <w:t xml:space="preserve">JCR Abbreviated Title: </w:t>
      </w:r>
    </w:p>
    <w:p w:rsidR="006E03FB" w:rsidRPr="00F219CA" w:rsidRDefault="006E03FB" w:rsidP="006E03FB">
      <w:pPr>
        <w:pStyle w:val="12"/>
      </w:pPr>
      <w:r w:rsidRPr="00F219CA">
        <w:t xml:space="preserve">ISSN: </w:t>
      </w:r>
    </w:p>
    <w:p w:rsidR="006E03FB" w:rsidRPr="00F219CA" w:rsidRDefault="006E03FB" w:rsidP="006E03FB">
      <w:pPr>
        <w:pStyle w:val="12"/>
      </w:pPr>
      <w:r w:rsidRPr="00F219CA">
        <w:t xml:space="preserve">Issues/Year: </w:t>
      </w:r>
    </w:p>
    <w:p w:rsidR="006E03FB" w:rsidRPr="00F219CA" w:rsidRDefault="006E03FB" w:rsidP="006E03FB">
      <w:pPr>
        <w:pStyle w:val="12"/>
      </w:pPr>
      <w:r w:rsidRPr="00F219CA">
        <w:t xml:space="preserve">Journal Country/Territory: </w:t>
      </w:r>
    </w:p>
    <w:p w:rsidR="006E03FB" w:rsidRPr="00F219CA" w:rsidRDefault="006E03FB" w:rsidP="006E03FB">
      <w:pPr>
        <w:pStyle w:val="12"/>
      </w:pPr>
      <w:r w:rsidRPr="00F219CA">
        <w:t xml:space="preserve">Language: </w:t>
      </w:r>
    </w:p>
    <w:p w:rsidR="006E03FB" w:rsidRPr="00F219CA" w:rsidRDefault="006E03FB" w:rsidP="006E03FB">
      <w:pPr>
        <w:pStyle w:val="12"/>
      </w:pPr>
      <w:r w:rsidRPr="00F219CA">
        <w:t xml:space="preserve">Publisher: </w:t>
      </w:r>
    </w:p>
    <w:p w:rsidR="006E03FB" w:rsidRPr="00F219CA" w:rsidRDefault="006E03FB" w:rsidP="006E03FB">
      <w:pPr>
        <w:pStyle w:val="12"/>
      </w:pPr>
      <w:r w:rsidRPr="00F219CA">
        <w:t xml:space="preserve">Publisher Address: </w:t>
      </w:r>
    </w:p>
    <w:p w:rsidR="006E03FB" w:rsidRPr="00F219CA" w:rsidRDefault="006E03FB" w:rsidP="006E03FB">
      <w:pPr>
        <w:pStyle w:val="12"/>
      </w:pPr>
      <w:r w:rsidRPr="00F219CA">
        <w:t>Subject Categories:</w:t>
      </w:r>
    </w:p>
    <w:p w:rsidR="006E03FB" w:rsidRPr="00F219CA" w:rsidRDefault="006E03FB" w:rsidP="006E03FB">
      <w:pPr>
        <w:pStyle w:val="12"/>
      </w:pPr>
      <w:r w:rsidRPr="00F219CA">
        <w:t xml:space="preserve">: Impact Factor </w:t>
      </w:r>
    </w:p>
    <w:p w:rsidR="006E03FB" w:rsidRDefault="006E03FB" w:rsidP="006E03FB">
      <w:pPr>
        <w:pStyle w:val="a3"/>
        <w:rPr>
          <w:kern w:val="0"/>
        </w:rPr>
      </w:pPr>
      <w:r>
        <w:rPr>
          <w:rFonts w:hint="eastAsia"/>
          <w:kern w:val="0"/>
        </w:rPr>
        <w:t xml:space="preserve">? </w:t>
      </w:r>
      <w:r>
        <w:rPr>
          <w:kern w:val="0"/>
        </w:rPr>
        <w:t xml:space="preserve">Kim, S., Sagong, H.S., Kong, J.C., Choi, J.Y., Lee, M.S., Wieland, L.S., Manheimer, E. and Shin, B.C. (2014), Randomised clinical trials on acupuncture in the Korean literature: Bibliometric analysis and methodological quality. </w:t>
      </w:r>
      <w:r>
        <w:rPr>
          <w:i/>
          <w:iCs/>
          <w:kern w:val="0"/>
        </w:rPr>
        <w:t>Acupuncture in Medicine</w:t>
      </w:r>
      <w:r>
        <w:rPr>
          <w:kern w:val="0"/>
        </w:rPr>
        <w:t xml:space="preserve">, </w:t>
      </w:r>
      <w:r>
        <w:rPr>
          <w:b/>
          <w:bCs/>
          <w:kern w:val="0"/>
        </w:rPr>
        <w:t>32</w:t>
      </w:r>
      <w:r>
        <w:rPr>
          <w:kern w:val="0"/>
        </w:rPr>
        <w:t xml:space="preserve"> (2), 160-166.</w:t>
      </w:r>
    </w:p>
    <w:p w:rsidR="006E03FB" w:rsidRDefault="006E03FB" w:rsidP="006E03FB">
      <w:pPr>
        <w:pStyle w:val="a3"/>
      </w:pPr>
      <w:r>
        <w:rPr>
          <w:rFonts w:hint="eastAsia"/>
        </w:rPr>
        <w:t xml:space="preserve">Full Text: </w:t>
      </w:r>
      <w:hyperlink r:id="rId224" w:history="1">
        <w:r w:rsidRPr="006E03FB">
          <w:rPr>
            <w:rStyle w:val="a5"/>
          </w:rPr>
          <w:t>2014\Acu Med32, 160.pdf</w:t>
        </w:r>
      </w:hyperlink>
    </w:p>
    <w:p w:rsidR="006E03FB" w:rsidRDefault="006E03FB" w:rsidP="006E03FB">
      <w:pPr>
        <w:pStyle w:val="a3"/>
        <w:rPr>
          <w:kern w:val="0"/>
        </w:rPr>
      </w:pPr>
      <w:r>
        <w:rPr>
          <w:kern w:val="0"/>
        </w:rPr>
        <w:t>Abstract: Objective Acupuncture systematic reviewers have increasingly searched Chinese databases and journals to identify eligible randomised clinical trials (RCTs). However, reviewers have infrequently searched for eligible RCTs in Korean databases and journals. This study aimed to identify difficult to locate acupuncture RCTs in Korean databases and journals and to assess the characteristics and quality of the identified RCTs. Methods Eleven electronic databases and seven journals were searched up to December 2012. All RCTs using needle acupuncture were considered for inclusion. Key study characteristics were extracted and risk of bias was assessed using the Cochrane Collaboration tool. Results One hundred and forty-three publications met our inclusion criteria. Acupuncture RCTs in the Korean literature emerged in the mid-1990s and increased in the mid-2000s. Diverse methods of acupuncture were used, including some methods unique to Korea (eg, Saam acupuncture)</w:t>
      </w:r>
      <w:r w:rsidR="00A37C1D">
        <w:rPr>
          <w:kern w:val="0"/>
        </w:rPr>
        <w:t>. The</w:t>
      </w:r>
      <w:r>
        <w:rPr>
          <w:kern w:val="0"/>
        </w:rPr>
        <w:t xml:space="preserve"> largest proportion of trials evaluated acupuncture for musculoskeletal conditions (27.3%)</w:t>
      </w:r>
      <w:r w:rsidR="00A37C1D">
        <w:rPr>
          <w:kern w:val="0"/>
        </w:rPr>
        <w:t>. The</w:t>
      </w:r>
      <w:r>
        <w:rPr>
          <w:kern w:val="0"/>
        </w:rPr>
        <w:t xml:space="preserve"> mean sample size was 44.3 +/- 25.3 per trial. Random sequence generation methods were reported in 44.8% of the RCTs, whereas only 11.9% reported methods of allocation concealment. A low proportion of trials reported participant blinding (32.9%) and outcome assessment blinding (18.9%). Conclusions Korean acupuncture trials, many of which evaluate acupuncture styles unique to Korea, are typically omitted from systematic reviews of acupuncture, resulting in the potential for language bias</w:t>
      </w:r>
      <w:r w:rsidR="00A37C1D">
        <w:rPr>
          <w:kern w:val="0"/>
        </w:rPr>
        <w:t>. The</w:t>
      </w:r>
      <w:r>
        <w:rPr>
          <w:kern w:val="0"/>
        </w:rPr>
        <w:t xml:space="preserve"> development of this </w:t>
      </w:r>
      <w:r>
        <w:rPr>
          <w:kern w:val="0"/>
        </w:rPr>
        <w:lastRenderedPageBreak/>
        <w:t>database of difficult to locate Korean trials, which includes English language translations of abstracts, will enable these trials of varying quality to be assessed for inclusion in future acupuncture systematic reviews.</w:t>
      </w:r>
    </w:p>
    <w:p w:rsidR="006E03FB" w:rsidRDefault="006E03FB" w:rsidP="006E03FB">
      <w:pPr>
        <w:pStyle w:val="a3"/>
        <w:rPr>
          <w:kern w:val="0"/>
        </w:rPr>
      </w:pPr>
      <w:r>
        <w:rPr>
          <w:kern w:val="0"/>
        </w:rPr>
        <w:t>Keywords: Acupuncture, Allocation, Analysis, Assessment, Bias, Bibliometric, Bibliometric Analysis, Characteristics, Chinese, Clinical, Clinical Trials, Cochrane Collaboration, Collaboration, Criteria, Database, Databases, Development, English, Generation, Journals, Korea, Language, Literature, Methods, Musculoskeletal, Outcome, Outcome Assessment, Potential, Publications, Quality, Quality Of, Randomised, Results, Reviews, Risk, Sample Size, Size, Systematic Reviews, Traditional Chinese Medicine, Trial</w:t>
      </w:r>
    </w:p>
    <w:p w:rsidR="003474F2" w:rsidRPr="001A3D2B" w:rsidRDefault="003474F2" w:rsidP="003474F2">
      <w:pPr>
        <w:pStyle w:val="1"/>
      </w:pPr>
      <w:r w:rsidRPr="001A3D2B">
        <w:br w:type="page"/>
      </w:r>
      <w:bookmarkStart w:id="120" w:name="_Toc43634518"/>
      <w:bookmarkStart w:id="121" w:name="_Toc81215577"/>
      <w:bookmarkStart w:id="122" w:name="_Toc420814301"/>
      <w:r w:rsidRPr="001A3D2B">
        <w:lastRenderedPageBreak/>
        <w:t>Title: Adapted Physical Activity Quarterly</w:t>
      </w:r>
      <w:bookmarkEnd w:id="120"/>
      <w:bookmarkEnd w:id="121"/>
      <w:bookmarkEnd w:id="122"/>
    </w:p>
    <w:p w:rsidR="003474F2" w:rsidRPr="001A3D2B" w:rsidRDefault="003474F2" w:rsidP="003474F2">
      <w:pPr>
        <w:pStyle w:val="12"/>
      </w:pPr>
      <w:r w:rsidRPr="001A3D2B">
        <w:t xml:space="preserve">Full Journal Title: </w:t>
      </w:r>
      <w:hyperlink r:id="rId225" w:history="1">
        <w:r w:rsidRPr="001A3D2B">
          <w:rPr>
            <w:rStyle w:val="a5"/>
          </w:rPr>
          <w:t>Adapted Physical Activity Quarterly</w:t>
        </w:r>
      </w:hyperlink>
    </w:p>
    <w:p w:rsidR="003474F2" w:rsidRPr="001A3D2B" w:rsidRDefault="003474F2" w:rsidP="003474F2">
      <w:pPr>
        <w:pStyle w:val="12"/>
      </w:pPr>
      <w:r w:rsidRPr="001A3D2B">
        <w:t>ISO Abbreviated Title: Adapt. Phys. Act. Q.</w:t>
      </w:r>
    </w:p>
    <w:p w:rsidR="003474F2" w:rsidRPr="001A3D2B" w:rsidRDefault="003474F2" w:rsidP="003474F2">
      <w:pPr>
        <w:pStyle w:val="12"/>
      </w:pPr>
      <w:r w:rsidRPr="001A3D2B">
        <w:t>JCR Abbreviated Title: Adapt Phys Act Q</w:t>
      </w:r>
    </w:p>
    <w:p w:rsidR="003474F2" w:rsidRPr="001A3D2B" w:rsidRDefault="003474F2" w:rsidP="003474F2">
      <w:pPr>
        <w:pStyle w:val="12"/>
      </w:pPr>
      <w:r w:rsidRPr="001A3D2B">
        <w:t>ISSN: 0965-2140</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Human Kinetics Publ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1607 N Market St</w:t>
          </w:r>
        </w:smartTag>
        <w:r w:rsidRPr="001A3D2B">
          <w:t xml:space="preserve">, </w:t>
        </w:r>
        <w:smartTag w:uri="urn:schemas-microsoft-com:office:smarttags" w:element="City">
          <w:r w:rsidRPr="001A3D2B">
            <w:t>Champaign</w:t>
          </w:r>
        </w:smartTag>
        <w:r w:rsidRPr="001A3D2B">
          <w:t xml:space="preserve">, </w:t>
        </w:r>
        <w:smartTag w:uri="urn:schemas-microsoft-com:office:smarttags" w:element="State">
          <w:r w:rsidRPr="001A3D2B">
            <w:t>IL</w:t>
          </w:r>
        </w:smartTag>
        <w:r w:rsidRPr="001A3D2B">
          <w:t xml:space="preserve"> </w:t>
        </w:r>
        <w:smartTag w:uri="urn:schemas-microsoft-com:office:smarttags" w:element="PostalCode">
          <w:r w:rsidRPr="001A3D2B">
            <w:t>61820-2200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Rehabilitation: Impact Factor 1.000,/(2001)</w:t>
      </w:r>
    </w:p>
    <w:p w:rsidR="003474F2" w:rsidRPr="001A3D2B" w:rsidRDefault="003474F2" w:rsidP="003474F2">
      <w:pPr>
        <w:pStyle w:val="12"/>
      </w:pPr>
      <w:r w:rsidRPr="001A3D2B">
        <w:t>Sport Sciences: Impact Factor 1.000,/(2001)</w:t>
      </w:r>
    </w:p>
    <w:p w:rsidR="003474F2" w:rsidRPr="001A3D2B" w:rsidRDefault="003474F2" w:rsidP="003474F2">
      <w:pPr>
        <w:pStyle w:val="a3"/>
      </w:pPr>
      <w:r w:rsidRPr="001A3D2B">
        <w:t>Notes: MModel</w:t>
      </w:r>
    </w:p>
    <w:p w:rsidR="003474F2" w:rsidRPr="001A3D2B" w:rsidRDefault="003474F2" w:rsidP="003474F2">
      <w:pPr>
        <w:pStyle w:val="a3"/>
      </w:pPr>
      <w:r w:rsidRPr="001A3D2B">
        <w:t>O</w:t>
      </w:r>
      <w:r w:rsidR="00700038">
        <w:t>’</w:t>
      </w:r>
      <w:r w:rsidRPr="001A3D2B">
        <w:t>Connor, J., French, R.</w:t>
      </w:r>
      <w:r w:rsidR="005853A9">
        <w:t xml:space="preserve"> and </w:t>
      </w:r>
      <w:r w:rsidRPr="001A3D2B">
        <w:t xml:space="preserve">Sherrill, C. (2001), Scholarly productivity in adapted physical activity pedagogy: A bibliometric analysis. </w:t>
      </w:r>
      <w:r w:rsidRPr="001A3D2B">
        <w:rPr>
          <w:i/>
          <w:iCs/>
        </w:rPr>
        <w:t>Adapted Physical Activity Quarterly</w:t>
      </w:r>
      <w:r w:rsidRPr="001A3D2B">
        <w:t xml:space="preserve">, </w:t>
      </w:r>
      <w:r w:rsidRPr="001A3D2B">
        <w:rPr>
          <w:b/>
          <w:bCs/>
        </w:rPr>
        <w:t>18</w:t>
      </w:r>
      <w:r w:rsidRPr="001A3D2B">
        <w:t xml:space="preserve"> (4), 434-450.</w:t>
      </w:r>
    </w:p>
    <w:p w:rsidR="003474F2" w:rsidRPr="001A3D2B" w:rsidRDefault="003474F2" w:rsidP="003474F2">
      <w:pPr>
        <w:pStyle w:val="a3"/>
      </w:pPr>
      <w:r w:rsidRPr="001A3D2B">
        <w:t xml:space="preserve">Full Text: </w:t>
      </w:r>
      <w:hyperlink r:id="rId226" w:history="1">
        <w:r w:rsidRPr="001A3D2B">
          <w:rPr>
            <w:rStyle w:val="a5"/>
          </w:rPr>
          <w:t>2001\Ada Phy Act Qua18, 434.pdf</w:t>
        </w:r>
      </w:hyperlink>
    </w:p>
    <w:p w:rsidR="003474F2" w:rsidRPr="001A3D2B" w:rsidRDefault="003474F2" w:rsidP="003474F2">
      <w:pPr>
        <w:pStyle w:val="a3"/>
      </w:pPr>
      <w:r w:rsidRPr="001A3D2B">
        <w:t>Abstract:</w:t>
      </w:r>
      <w:r w:rsidR="003A1917">
        <w:t xml:space="preserve"> the </w:t>
      </w:r>
      <w:r w:rsidRPr="001A3D2B">
        <w:t>purpose was to determine whether publications pertaining to adapted physical activity (APA) pedagogy in</w:t>
      </w:r>
      <w:r w:rsidR="003A1917">
        <w:t xml:space="preserve"> the </w:t>
      </w:r>
      <w:r w:rsidRPr="001A3D2B">
        <w:t xml:space="preserve">core serials from 1988 to 1998 adhere to library science laws. A bibliometric analysis was conducted on 770 articles in 259 serials selected from 4,130 serials initially identified in four databases (Article First, ERIC, </w:t>
      </w:r>
      <w:r w:rsidR="00D5664A">
        <w:t>MEDLINE</w:t>
      </w:r>
      <w:r w:rsidRPr="001A3D2B">
        <w:t>, Sport Discus). Results indicated that 1,720 authors have constructed</w:t>
      </w:r>
      <w:r w:rsidR="003A1917">
        <w:t xml:space="preserve"> the </w:t>
      </w:r>
      <w:r w:rsidRPr="001A3D2B">
        <w:t>early APA pedagogy literature.</w:t>
      </w:r>
      <w:r w:rsidR="00427468">
        <w:t xml:space="preserve"> of </w:t>
      </w:r>
      <w:r w:rsidRPr="001A3D2B">
        <w:t>these, only 11 contributed four or more articles</w:t>
      </w:r>
      <w:r w:rsidR="00A37C1D">
        <w:t>. The</w:t>
      </w:r>
      <w:r w:rsidR="003A1917">
        <w:t xml:space="preserve"> </w:t>
      </w:r>
      <w:r w:rsidRPr="001A3D2B">
        <w:t>scatter</w:t>
      </w:r>
      <w:r w:rsidR="00427468">
        <w:t xml:space="preserve"> of </w:t>
      </w:r>
      <w:r w:rsidRPr="001A3D2B">
        <w:t>APA pedagogy literature over four zones, with 4, 15, 64,</w:t>
      </w:r>
      <w:r w:rsidR="005853A9">
        <w:t xml:space="preserve"> and </w:t>
      </w:r>
      <w:r w:rsidRPr="001A3D2B">
        <w:t>176 journals in</w:t>
      </w:r>
      <w:r w:rsidR="003A1917">
        <w:t xml:space="preserve"> the </w:t>
      </w:r>
      <w:r w:rsidRPr="001A3D2B">
        <w:t>zones, respectively, supports Bradford</w:t>
      </w:r>
      <w:r w:rsidR="00700038">
        <w:t>’</w:t>
      </w:r>
      <w:r w:rsidR="00C13DDC">
        <w:t>s</w:t>
      </w:r>
      <w:r w:rsidRPr="001A3D2B">
        <w:t xml:space="preserve"> law</w:t>
      </w:r>
      <w:r w:rsidR="00427468">
        <w:t xml:space="preserve"> of </w:t>
      </w:r>
      <w:r w:rsidRPr="001A3D2B">
        <w:t>scattering. Price</w:t>
      </w:r>
      <w:r w:rsidR="00700038">
        <w:t>’</w:t>
      </w:r>
      <w:r w:rsidR="00C13DDC">
        <w:t>s</w:t>
      </w:r>
      <w:r w:rsidRPr="001A3D2B">
        <w:t xml:space="preserve"> law was not supported because most authors contributed only one article. Most pedagogy articles (n = 184) were published in Adapted Physical Activity Quarterly, Medicine</w:t>
      </w:r>
      <w:r w:rsidR="005853A9">
        <w:t xml:space="preserve"> and </w:t>
      </w:r>
      <w:r w:rsidRPr="001A3D2B">
        <w:t>Science in Sport</w:t>
      </w:r>
      <w:r w:rsidR="005853A9">
        <w:t xml:space="preserve"> and </w:t>
      </w:r>
      <w:r w:rsidRPr="001A3D2B">
        <w:t>Exercise, Physician</w:t>
      </w:r>
      <w:r w:rsidR="005853A9">
        <w:t xml:space="preserve"> and </w:t>
      </w:r>
      <w:r w:rsidRPr="001A3D2B">
        <w:t>Sports Medicine,</w:t>
      </w:r>
      <w:r w:rsidR="005853A9">
        <w:t xml:space="preserve"> and </w:t>
      </w:r>
      <w:r w:rsidRPr="001A3D2B">
        <w:t>Palaestra. Graduate education should include exposure to bibliometrics</w:t>
      </w:r>
      <w:r w:rsidR="005853A9">
        <w:t xml:space="preserve"> and </w:t>
      </w:r>
      <w:r w:rsidRPr="001A3D2B">
        <w:t>collaboration with library</w:t>
      </w:r>
      <w:r w:rsidR="005853A9">
        <w:t xml:space="preserve"> and </w:t>
      </w:r>
      <w:r w:rsidRPr="001A3D2B">
        <w:t>information science specialists.</w:t>
      </w:r>
    </w:p>
    <w:p w:rsidR="005E7956" w:rsidRPr="001A3D2B" w:rsidRDefault="005E7956" w:rsidP="005E7956">
      <w:pPr>
        <w:pStyle w:val="a3"/>
        <w:rPr>
          <w:kern w:val="0"/>
          <w:szCs w:val="24"/>
        </w:rPr>
      </w:pPr>
      <w:r w:rsidRPr="001A3D2B">
        <w:rPr>
          <w:kern w:val="0"/>
          <w:szCs w:val="24"/>
        </w:rPr>
        <w:t xml:space="preserve">Keywords: Authors, Bibliometric, Bibliometric Analysis, Bibliometrics, Bradford Law, Collaboration, Core, Databases, Documentary Analysis, Education, Guidelines, Information Science, Journals, Library Science, Literature, </w:t>
      </w:r>
      <w:r w:rsidR="00D5664A">
        <w:rPr>
          <w:kern w:val="0"/>
          <w:szCs w:val="24"/>
        </w:rPr>
        <w:t>MEDLINE</w:t>
      </w:r>
      <w:r w:rsidRPr="001A3D2B">
        <w:rPr>
          <w:kern w:val="0"/>
          <w:szCs w:val="24"/>
        </w:rPr>
        <w:t>, Productivity, Publications, Science, Serials, United-States</w:t>
      </w:r>
    </w:p>
    <w:p w:rsidR="003474F2" w:rsidRPr="001A3D2B" w:rsidRDefault="003474F2" w:rsidP="003474F2">
      <w:pPr>
        <w:pStyle w:val="a3"/>
      </w:pPr>
      <w:r w:rsidRPr="001A3D2B">
        <w:t>? Hodge, S.R., Kozub, F.M., Robinson, L.E.</w:t>
      </w:r>
      <w:r w:rsidR="005853A9">
        <w:t xml:space="preserve"> and </w:t>
      </w:r>
      <w:r w:rsidRPr="001A3D2B">
        <w:t>Hersman, B.L. (2007), Reporting gender, race, ethnicity,</w:t>
      </w:r>
      <w:r w:rsidR="005853A9">
        <w:t xml:space="preserve"> and </w:t>
      </w:r>
      <w:r w:rsidRPr="001A3D2B">
        <w:t>sociometric status: Guidelines for research</w:t>
      </w:r>
      <w:r w:rsidR="005853A9">
        <w:t xml:space="preserve"> and </w:t>
      </w:r>
      <w:r w:rsidRPr="001A3D2B">
        <w:lastRenderedPageBreak/>
        <w:t xml:space="preserve">professional practice. </w:t>
      </w:r>
      <w:r w:rsidRPr="001A3D2B">
        <w:rPr>
          <w:i/>
          <w:iCs/>
        </w:rPr>
        <w:t>Adapted Physical Activity Quarterly</w:t>
      </w:r>
      <w:r w:rsidRPr="001A3D2B">
        <w:t xml:space="preserve">, </w:t>
      </w:r>
      <w:r w:rsidRPr="001A3D2B">
        <w:rPr>
          <w:b/>
          <w:bCs/>
        </w:rPr>
        <w:t>24</w:t>
      </w:r>
      <w:r w:rsidRPr="001A3D2B">
        <w:t xml:space="preserve"> (1), 21-37.</w:t>
      </w:r>
    </w:p>
    <w:p w:rsidR="003474F2" w:rsidRPr="001A3D2B" w:rsidRDefault="003474F2" w:rsidP="003474F2">
      <w:pPr>
        <w:pStyle w:val="11"/>
      </w:pPr>
      <w:r w:rsidRPr="001A3D2B">
        <w:t xml:space="preserve">Full Text: </w:t>
      </w:r>
      <w:r w:rsidRPr="001A3D2B">
        <w:rPr>
          <w:rStyle w:val="a4"/>
        </w:rPr>
        <w:t>Ada Phy Act Qua24, 21.pdf</w:t>
      </w:r>
    </w:p>
    <w:p w:rsidR="003474F2" w:rsidRPr="001A3D2B" w:rsidRDefault="003474F2" w:rsidP="003474F2">
      <w:pPr>
        <w:pStyle w:val="a3"/>
      </w:pPr>
      <w:r w:rsidRPr="001A3D2B">
        <w:t>Keywords: Ethnicity, Gender, Practice, Professional Practice, Race, Research</w:t>
      </w:r>
    </w:p>
    <w:p w:rsidR="003474F2" w:rsidRPr="001A3D2B" w:rsidRDefault="003474F2" w:rsidP="003474F2">
      <w:pPr>
        <w:pStyle w:val="1"/>
      </w:pPr>
      <w:r w:rsidRPr="001A3D2B">
        <w:br w:type="page"/>
      </w:r>
      <w:bookmarkStart w:id="123" w:name="_Toc38335171"/>
      <w:bookmarkStart w:id="124" w:name="_Toc43634519"/>
      <w:bookmarkStart w:id="125" w:name="_Toc81215578"/>
      <w:bookmarkStart w:id="126" w:name="_Toc420814302"/>
      <w:r w:rsidRPr="001A3D2B">
        <w:lastRenderedPageBreak/>
        <w:t>Title: Addiction</w:t>
      </w:r>
      <w:bookmarkEnd w:id="123"/>
      <w:bookmarkEnd w:id="124"/>
      <w:bookmarkEnd w:id="125"/>
      <w:bookmarkEnd w:id="126"/>
    </w:p>
    <w:p w:rsidR="003474F2" w:rsidRPr="001A3D2B" w:rsidRDefault="003474F2" w:rsidP="003474F2">
      <w:pPr>
        <w:pStyle w:val="12"/>
      </w:pPr>
      <w:r w:rsidRPr="001A3D2B">
        <w:t xml:space="preserve">Full Journal Title: </w:t>
      </w:r>
      <w:hyperlink r:id="rId227" w:history="1">
        <w:r w:rsidRPr="001A3D2B">
          <w:rPr>
            <w:rStyle w:val="a5"/>
          </w:rPr>
          <w:t>Addiction</w:t>
        </w:r>
      </w:hyperlink>
    </w:p>
    <w:p w:rsidR="00CD6FEF" w:rsidRPr="00F219CA" w:rsidRDefault="00CD6FEF" w:rsidP="00CD6FEF">
      <w:pPr>
        <w:pStyle w:val="12"/>
      </w:pPr>
      <w:r w:rsidRPr="00F219CA">
        <w:t>ISO Abbreviated Title: Addiction</w:t>
      </w:r>
    </w:p>
    <w:p w:rsidR="00CD6FEF" w:rsidRPr="00F219CA" w:rsidRDefault="00CD6FEF" w:rsidP="00CD6FEF">
      <w:pPr>
        <w:pStyle w:val="12"/>
      </w:pPr>
      <w:r w:rsidRPr="00F219CA">
        <w:t>JCR Abbreviated Title: Addiction</w:t>
      </w:r>
    </w:p>
    <w:p w:rsidR="00CD6FEF" w:rsidRPr="00F219CA" w:rsidRDefault="00CD6FEF" w:rsidP="00CD6FEF">
      <w:pPr>
        <w:pStyle w:val="12"/>
      </w:pPr>
      <w:r w:rsidRPr="00F219CA">
        <w:t>ISSN: 0965-2140</w:t>
      </w:r>
    </w:p>
    <w:p w:rsidR="00CD6FEF" w:rsidRPr="00F219CA" w:rsidRDefault="00CD6FEF" w:rsidP="00CD6FEF">
      <w:pPr>
        <w:pStyle w:val="12"/>
      </w:pPr>
      <w:r w:rsidRPr="00F219CA">
        <w:t>Issues/Year: 12</w:t>
      </w:r>
    </w:p>
    <w:p w:rsidR="00CD6FEF" w:rsidRPr="00F219CA" w:rsidRDefault="00CD6FEF" w:rsidP="00CD6FEF">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CD6FEF" w:rsidRPr="00F219CA" w:rsidRDefault="00CD6FEF" w:rsidP="00CD6FEF">
      <w:pPr>
        <w:pStyle w:val="12"/>
      </w:pPr>
      <w:r w:rsidRPr="00F219CA">
        <w:t>Language: English</w:t>
      </w:r>
    </w:p>
    <w:p w:rsidR="00CD6FEF" w:rsidRPr="00F219CA" w:rsidRDefault="00CD6FEF" w:rsidP="00CD6FEF">
      <w:pPr>
        <w:pStyle w:val="12"/>
      </w:pPr>
      <w:r w:rsidRPr="00F219CA">
        <w:t>Publisher: Carfax Publishing</w:t>
      </w:r>
    </w:p>
    <w:p w:rsidR="00CD6FEF" w:rsidRPr="00F219CA" w:rsidRDefault="00CD6FEF" w:rsidP="00CD6FEF">
      <w:pPr>
        <w:pStyle w:val="12"/>
      </w:pPr>
      <w:r w:rsidRPr="00F219CA">
        <w:t>Publisher Address: Rankine Rd, Basingstoke RG24 8PR, Hants, England</w:t>
      </w:r>
    </w:p>
    <w:p w:rsidR="00CD6FEF" w:rsidRPr="00F219CA" w:rsidRDefault="00CD6FEF" w:rsidP="00CD6FEF">
      <w:pPr>
        <w:pStyle w:val="12"/>
      </w:pPr>
      <w:r w:rsidRPr="00F219CA">
        <w:t xml:space="preserve">Subject Categories: </w:t>
      </w:r>
    </w:p>
    <w:p w:rsidR="00CD6FEF" w:rsidRPr="00F219CA" w:rsidRDefault="00CD6FEF" w:rsidP="00CD6FEF">
      <w:pPr>
        <w:pStyle w:val="12"/>
      </w:pPr>
      <w:r w:rsidRPr="00F219CA">
        <w:t>Substance Abuse: Impact Factor 2.399, / (2001)</w:t>
      </w:r>
    </w:p>
    <w:p w:rsidR="00CD6FEF" w:rsidRPr="00F219CA" w:rsidRDefault="00CD6FEF" w:rsidP="00CD6FEF">
      <w:pPr>
        <w:pStyle w:val="12"/>
      </w:pPr>
      <w:r w:rsidRPr="00F219CA">
        <w:t>Psychiatry: Impact Factor 2.399, / (2001)</w:t>
      </w:r>
    </w:p>
    <w:p w:rsidR="003474F2" w:rsidRPr="001A3D2B" w:rsidRDefault="003474F2" w:rsidP="003474F2">
      <w:pPr>
        <w:pStyle w:val="a3"/>
      </w:pPr>
      <w:r w:rsidRPr="001A3D2B">
        <w:t>West, R.</w:t>
      </w:r>
      <w:r w:rsidR="005853A9">
        <w:t xml:space="preserve"> and </w:t>
      </w:r>
      <w:r w:rsidRPr="001A3D2B">
        <w:t>McIlwaine, A. (2002), What do citation counts count for in</w:t>
      </w:r>
      <w:r w:rsidR="003A1917">
        <w:t xml:space="preserve"> the </w:t>
      </w:r>
      <w:r w:rsidRPr="001A3D2B">
        <w:t>field</w:t>
      </w:r>
      <w:r w:rsidR="00427468">
        <w:t xml:space="preserve"> of </w:t>
      </w:r>
      <w:r w:rsidRPr="001A3D2B">
        <w:t>addiction? An empirical evaluation</w:t>
      </w:r>
      <w:r w:rsidR="00427468">
        <w:t xml:space="preserve"> of </w:t>
      </w:r>
      <w:r w:rsidRPr="001A3D2B">
        <w:t>citation counts</w:t>
      </w:r>
      <w:r w:rsidR="005853A9">
        <w:t xml:space="preserve"> and </w:t>
      </w:r>
      <w:r w:rsidRPr="001A3D2B">
        <w:t>their link with peer ratings</w:t>
      </w:r>
      <w:r w:rsidR="00427468">
        <w:t xml:space="preserve"> of </w:t>
      </w:r>
      <w:r w:rsidRPr="001A3D2B">
        <w:t xml:space="preserve">quality. </w:t>
      </w:r>
      <w:r w:rsidRPr="001A3D2B">
        <w:rPr>
          <w:i/>
          <w:iCs/>
        </w:rPr>
        <w:t>Addiction</w:t>
      </w:r>
      <w:r w:rsidRPr="001A3D2B">
        <w:t xml:space="preserve">, </w:t>
      </w:r>
      <w:r w:rsidRPr="001A3D2B">
        <w:rPr>
          <w:b/>
          <w:bCs/>
        </w:rPr>
        <w:t>97</w:t>
      </w:r>
      <w:r w:rsidRPr="001A3D2B">
        <w:t xml:space="preserve"> (5), 501-504.</w:t>
      </w:r>
    </w:p>
    <w:p w:rsidR="003474F2" w:rsidRPr="001A3D2B" w:rsidRDefault="003474F2" w:rsidP="003474F2">
      <w:pPr>
        <w:pStyle w:val="a3"/>
      </w:pPr>
      <w:r w:rsidRPr="001A3D2B">
        <w:t xml:space="preserve">Full Text: </w:t>
      </w:r>
      <w:hyperlink r:id="rId228" w:history="1">
        <w:r w:rsidRPr="001A3D2B">
          <w:rPr>
            <w:rStyle w:val="a5"/>
          </w:rPr>
          <w:t>2002\Addiction97, 501.pdf</w:t>
        </w:r>
      </w:hyperlink>
    </w:p>
    <w:p w:rsidR="003474F2" w:rsidRPr="001A3D2B" w:rsidRDefault="003474F2" w:rsidP="003474F2">
      <w:pPr>
        <w:pStyle w:val="a3"/>
      </w:pPr>
      <w:r w:rsidRPr="001A3D2B">
        <w:t>Abstract: Aims This study investigated</w:t>
      </w:r>
      <w:r w:rsidR="003A1917">
        <w:t xml:space="preserve"> the </w:t>
      </w:r>
      <w:r w:rsidRPr="001A3D2B">
        <w:t>value</w:t>
      </w:r>
      <w:r w:rsidR="00427468">
        <w:t xml:space="preserve"> of </w:t>
      </w:r>
      <w:r w:rsidRPr="001A3D2B">
        <w:t>citation counts as an index</w:t>
      </w:r>
      <w:r w:rsidR="00427468">
        <w:t xml:space="preserve"> of </w:t>
      </w:r>
      <w:r w:rsidRPr="001A3D2B">
        <w:t>quality in</w:t>
      </w:r>
      <w:r w:rsidR="003A1917">
        <w:t xml:space="preserve"> the </w:t>
      </w:r>
      <w:r w:rsidRPr="001A3D2B">
        <w:t>field</w:t>
      </w:r>
      <w:r w:rsidR="00427468">
        <w:t xml:space="preserve"> of </w:t>
      </w:r>
      <w:r w:rsidRPr="001A3D2B">
        <w:t>addiction</w:t>
      </w:r>
      <w:r w:rsidR="005853A9">
        <w:t xml:space="preserve"> and </w:t>
      </w:r>
      <w:r w:rsidRPr="001A3D2B">
        <w:t>examined factors that contribute to papers being cited more or less frequently.</w:t>
      </w:r>
    </w:p>
    <w:p w:rsidR="003474F2" w:rsidRPr="001A3D2B" w:rsidRDefault="003474F2" w:rsidP="003474F2">
      <w:pPr>
        <w:pStyle w:val="a3"/>
      </w:pPr>
      <w:r w:rsidRPr="001A3D2B">
        <w:t>Design</w:t>
      </w:r>
      <w:r w:rsidR="003A1917">
        <w:t xml:space="preserve"> the </w:t>
      </w:r>
      <w:r w:rsidRPr="001A3D2B">
        <w:t>number</w:t>
      </w:r>
      <w:r w:rsidR="00427468">
        <w:t xml:space="preserve"> of </w:t>
      </w:r>
      <w:r w:rsidRPr="001A3D2B">
        <w:t>times papers published by</w:t>
      </w:r>
      <w:r w:rsidR="003A1917">
        <w:t xml:space="preserve"> the </w:t>
      </w:r>
      <w:r w:rsidRPr="001A3D2B">
        <w:t>journal Addiction in 1995-98 that had been cited up to May 2000 were counted using</w:t>
      </w:r>
      <w:r w:rsidR="003A1917">
        <w:t xml:space="preserve"> the </w:t>
      </w:r>
      <w:r w:rsidRPr="001A3D2B">
        <w:t>Science</w:t>
      </w:r>
      <w:r w:rsidR="005853A9">
        <w:t xml:space="preserve"> and </w:t>
      </w:r>
      <w:r w:rsidR="003A1917">
        <w:t xml:space="preserve">the </w:t>
      </w:r>
      <w:r w:rsidRPr="001A3D2B">
        <w:t>Social Science Citation Indexes. Articles in nine</w:t>
      </w:r>
      <w:r w:rsidR="00427468">
        <w:t xml:space="preserve"> of </w:t>
      </w:r>
      <w:r w:rsidR="003A1917">
        <w:t xml:space="preserve">the </w:t>
      </w:r>
      <w:r w:rsidRPr="001A3D2B">
        <w:t>monthly issues from 1997 were rated by two independent expert raters for quality. Factors related to citation counts were also examined including: country</w:t>
      </w:r>
      <w:r w:rsidR="00427468">
        <w:t xml:space="preserve"> of </w:t>
      </w:r>
      <w:r w:rsidRPr="001A3D2B">
        <w:t>origin</w:t>
      </w:r>
      <w:r w:rsidR="00427468">
        <w:t xml:space="preserve"> of </w:t>
      </w:r>
      <w:r w:rsidR="003A1917">
        <w:t xml:space="preserve">the </w:t>
      </w:r>
      <w:r w:rsidRPr="001A3D2B">
        <w:t>paper, substance type, solicited versus unsolicited papers</w:t>
      </w:r>
      <w:r w:rsidR="005853A9">
        <w:t xml:space="preserve"> and </w:t>
      </w:r>
      <w:r w:rsidRPr="001A3D2B">
        <w:t>methodology used.</w:t>
      </w:r>
    </w:p>
    <w:p w:rsidR="003474F2" w:rsidRPr="001A3D2B" w:rsidRDefault="003474F2" w:rsidP="003474F2">
      <w:pPr>
        <w:pStyle w:val="a3"/>
      </w:pPr>
      <w:r w:rsidRPr="001A3D2B">
        <w:t>Findings A total</w:t>
      </w:r>
      <w:r w:rsidR="00427468">
        <w:t xml:space="preserve"> of </w:t>
      </w:r>
      <w:r w:rsidRPr="001A3D2B">
        <w:t>417 unsolicited research reports were included in</w:t>
      </w:r>
      <w:r w:rsidR="003A1917">
        <w:t xml:space="preserve"> the </w:t>
      </w:r>
      <w:r w:rsidRPr="001A3D2B">
        <w:t>citation analysis,</w:t>
      </w:r>
      <w:r w:rsidR="00427468">
        <w:t xml:space="preserve"> of </w:t>
      </w:r>
      <w:r w:rsidRPr="001A3D2B">
        <w:t>which 79 were also subjected to quality ratings</w:t>
      </w:r>
      <w:r w:rsidR="00A37C1D">
        <w:t>. The</w:t>
      </w:r>
      <w:r w:rsidR="003A1917">
        <w:t xml:space="preserve"> </w:t>
      </w:r>
      <w:r w:rsidRPr="001A3D2B">
        <w:t>experts showed a moderate level</w:t>
      </w:r>
      <w:r w:rsidR="00427468">
        <w:t xml:space="preserve"> of </w:t>
      </w:r>
      <w:r w:rsidRPr="001A3D2B">
        <w:t>agreement in their ratings (intraclass correlation = 0.39, p &lt; 0.001). However, there was no correlation between number</w:t>
      </w:r>
      <w:r w:rsidR="00427468">
        <w:t xml:space="preserve"> of </w:t>
      </w:r>
      <w:r w:rsidRPr="001A3D2B">
        <w:t>citations</w:t>
      </w:r>
      <w:r w:rsidR="005853A9">
        <w:t xml:space="preserve"> and </w:t>
      </w:r>
      <w:r w:rsidRPr="001A3D2B">
        <w:t>expert ratings</w:t>
      </w:r>
      <w:r w:rsidR="00427468">
        <w:t xml:space="preserve"> of </w:t>
      </w:r>
      <w:r w:rsidRPr="001A3D2B">
        <w:t>article quality (R &lt; 0.1). papers from developing countries received significantly fewer citations than papers from other countries but substance type (e.g. nicotine. opiate. alcohol)</w:t>
      </w:r>
      <w:r w:rsidR="005853A9">
        <w:t xml:space="preserve"> and </w:t>
      </w:r>
      <w:r w:rsidRPr="001A3D2B">
        <w:t>methodology (e.g. survey, treatment trial) were not related to number</w:t>
      </w:r>
      <w:r w:rsidR="00427468">
        <w:t xml:space="preserve"> of </w:t>
      </w:r>
      <w:r w:rsidRPr="001A3D2B">
        <w:t>citations.</w:t>
      </w:r>
    </w:p>
    <w:p w:rsidR="003474F2" w:rsidRPr="001A3D2B" w:rsidRDefault="003474F2" w:rsidP="003474F2">
      <w:pPr>
        <w:pStyle w:val="a3"/>
      </w:pPr>
      <w:r w:rsidRPr="001A3D2B">
        <w:t>Conclusions This study involved just one journal but raised an important issue:</w:t>
      </w:r>
      <w:r w:rsidR="003A1917">
        <w:t xml:space="preserve"> the </w:t>
      </w:r>
      <w:r w:rsidRPr="001A3D2B">
        <w:t>number</w:t>
      </w:r>
      <w:r w:rsidR="00427468">
        <w:t xml:space="preserve"> of </w:t>
      </w:r>
      <w:r w:rsidRPr="001A3D2B">
        <w:t>citations received by papers on addiction appears to reflect</w:t>
      </w:r>
      <w:r w:rsidR="003A1917">
        <w:t xml:space="preserve"> the </w:t>
      </w:r>
      <w:r w:rsidRPr="001A3D2B">
        <w:t>geographical region</w:t>
      </w:r>
      <w:r w:rsidR="00427468">
        <w:t xml:space="preserve"> of </w:t>
      </w:r>
      <w:r w:rsidRPr="001A3D2B">
        <w:t xml:space="preserve">study rather than what experts would consider as </w:t>
      </w:r>
      <w:r w:rsidR="00700038">
        <w:t>‘</w:t>
      </w:r>
      <w:r w:rsidRPr="001A3D2B">
        <w:t>quality</w:t>
      </w:r>
      <w:r w:rsidR="00700038">
        <w:t>’</w:t>
      </w:r>
      <w:r w:rsidRPr="001A3D2B">
        <w:t xml:space="preserve">. If </w:t>
      </w:r>
      <w:r w:rsidRPr="001A3D2B">
        <w:lastRenderedPageBreak/>
        <w:t>these findings are found to generalize they call into question</w:t>
      </w:r>
      <w:r w:rsidR="003A1917">
        <w:t xml:space="preserve"> the </w:t>
      </w:r>
      <w:r w:rsidRPr="001A3D2B">
        <w:t>use</w:t>
      </w:r>
      <w:r w:rsidR="00427468">
        <w:t xml:space="preserve"> of </w:t>
      </w:r>
      <w:r w:rsidRPr="001A3D2B">
        <w:t>citation-related indices as measures</w:t>
      </w:r>
      <w:r w:rsidR="00427468">
        <w:t xml:space="preserve"> of </w:t>
      </w:r>
      <w:r w:rsidRPr="001A3D2B">
        <w:t>quality in this field</w:t>
      </w:r>
      <w:r w:rsidR="005853A9">
        <w:t xml:space="preserve"> and </w:t>
      </w:r>
      <w:r w:rsidRPr="001A3D2B">
        <w:t>perhaps in others as well. To our knowledge our methodology has not been used before</w:t>
      </w:r>
      <w:r w:rsidR="005853A9">
        <w:t xml:space="preserve"> and </w:t>
      </w:r>
      <w:r w:rsidRPr="001A3D2B">
        <w:t>could be adapted to study</w:t>
      </w:r>
      <w:r w:rsidR="003A1917">
        <w:t xml:space="preserve"> the </w:t>
      </w:r>
      <w:r w:rsidRPr="001A3D2B">
        <w:t>value</w:t>
      </w:r>
      <w:r w:rsidR="00427468">
        <w:t xml:space="preserve"> of </w:t>
      </w:r>
      <w:r w:rsidRPr="001A3D2B">
        <w:t>citations more widely.</w:t>
      </w:r>
    </w:p>
    <w:p w:rsidR="003474F2" w:rsidRPr="001A3D2B" w:rsidRDefault="003474F2" w:rsidP="003474F2">
      <w:pPr>
        <w:pStyle w:val="a3"/>
      </w:pPr>
      <w:r w:rsidRPr="001A3D2B">
        <w:t>Keywords: Addiction, Bias, Bibliometric Analysis, Citation, Citations, Evaluation, Index Impact Factor, Medical Journals, Psychiatric Journals, Publications, Research</w:t>
      </w:r>
    </w:p>
    <w:p w:rsidR="00A021F3" w:rsidRDefault="00A021F3" w:rsidP="00A021F3">
      <w:pPr>
        <w:pStyle w:val="a3"/>
        <w:rPr>
          <w:kern w:val="0"/>
        </w:rPr>
      </w:pPr>
      <w:r>
        <w:rPr>
          <w:rFonts w:hint="eastAsia"/>
          <w:kern w:val="0"/>
        </w:rPr>
        <w:t xml:space="preserve">? </w:t>
      </w:r>
      <w:r>
        <w:rPr>
          <w:kern w:val="0"/>
        </w:rPr>
        <w:t>Pennings, E.J.M., Leccese, A.P.</w:t>
      </w:r>
      <w:r w:rsidR="005853A9">
        <w:rPr>
          <w:kern w:val="0"/>
        </w:rPr>
        <w:t xml:space="preserve"> and </w:t>
      </w:r>
      <w:r>
        <w:rPr>
          <w:kern w:val="0"/>
        </w:rPr>
        <w:t>de Wolff, F.A. (2002), Effects</w:t>
      </w:r>
      <w:r w:rsidR="00427468">
        <w:rPr>
          <w:kern w:val="0"/>
        </w:rPr>
        <w:t xml:space="preserve"> of </w:t>
      </w:r>
      <w:r>
        <w:rPr>
          <w:kern w:val="0"/>
        </w:rPr>
        <w:t>concurrent use</w:t>
      </w:r>
      <w:r w:rsidR="00427468">
        <w:rPr>
          <w:kern w:val="0"/>
        </w:rPr>
        <w:t xml:space="preserve"> of </w:t>
      </w:r>
      <w:r>
        <w:rPr>
          <w:kern w:val="0"/>
        </w:rPr>
        <w:t>alcohol</w:t>
      </w:r>
      <w:r w:rsidR="005853A9">
        <w:rPr>
          <w:kern w:val="0"/>
        </w:rPr>
        <w:t xml:space="preserve"> and </w:t>
      </w:r>
      <w:r>
        <w:rPr>
          <w:kern w:val="0"/>
        </w:rPr>
        <w:t xml:space="preserve">cocaine. </w:t>
      </w:r>
      <w:r>
        <w:rPr>
          <w:i/>
          <w:iCs/>
          <w:kern w:val="0"/>
        </w:rPr>
        <w:t>Addiction</w:t>
      </w:r>
      <w:r>
        <w:rPr>
          <w:kern w:val="0"/>
        </w:rPr>
        <w:t xml:space="preserve">, </w:t>
      </w:r>
      <w:r>
        <w:rPr>
          <w:b/>
          <w:bCs/>
          <w:kern w:val="0"/>
        </w:rPr>
        <w:t>97</w:t>
      </w:r>
      <w:r>
        <w:rPr>
          <w:kern w:val="0"/>
        </w:rPr>
        <w:t xml:space="preserve"> (7), 773-783.</w:t>
      </w:r>
    </w:p>
    <w:p w:rsidR="00A021F3" w:rsidRPr="001A3D2B" w:rsidRDefault="00A021F3" w:rsidP="00A021F3">
      <w:pPr>
        <w:pStyle w:val="a3"/>
      </w:pPr>
      <w:r w:rsidRPr="001A3D2B">
        <w:t xml:space="preserve">Full Text: </w:t>
      </w:r>
      <w:hyperlink r:id="rId229" w:history="1">
        <w:r w:rsidRPr="007210D7">
          <w:rPr>
            <w:rStyle w:val="a5"/>
          </w:rPr>
          <w:t>2002\Addiction97, 773.pdf</w:t>
        </w:r>
      </w:hyperlink>
    </w:p>
    <w:p w:rsidR="00A021F3" w:rsidRDefault="00A021F3" w:rsidP="00A021F3">
      <w:pPr>
        <w:pStyle w:val="a3"/>
        <w:rPr>
          <w:kern w:val="0"/>
        </w:rPr>
      </w:pPr>
      <w:r>
        <w:rPr>
          <w:kern w:val="0"/>
        </w:rPr>
        <w:t>Abstract:</w:t>
      </w:r>
      <w:r w:rsidR="003A1917">
        <w:rPr>
          <w:kern w:val="0"/>
        </w:rPr>
        <w:t xml:space="preserve"> the </w:t>
      </w:r>
      <w:r>
        <w:rPr>
          <w:kern w:val="0"/>
        </w:rPr>
        <w:t>combination</w:t>
      </w:r>
      <w:r w:rsidR="00427468">
        <w:rPr>
          <w:kern w:val="0"/>
        </w:rPr>
        <w:t xml:space="preserve"> of </w:t>
      </w:r>
      <w:r>
        <w:rPr>
          <w:kern w:val="0"/>
        </w:rPr>
        <w:t>alcohol</w:t>
      </w:r>
      <w:r w:rsidR="005853A9">
        <w:rPr>
          <w:kern w:val="0"/>
        </w:rPr>
        <w:t xml:space="preserve"> and </w:t>
      </w:r>
      <w:r>
        <w:rPr>
          <w:kern w:val="0"/>
        </w:rPr>
        <w:t>cocaine is popular among drug users, perhaps because</w:t>
      </w:r>
      <w:r w:rsidR="00427468">
        <w:rPr>
          <w:kern w:val="0"/>
        </w:rPr>
        <w:t xml:space="preserve"> of </w:t>
      </w:r>
      <w:r>
        <w:rPr>
          <w:kern w:val="0"/>
        </w:rPr>
        <w:t>more intense feelings</w:t>
      </w:r>
      <w:r w:rsidR="00427468">
        <w:rPr>
          <w:kern w:val="0"/>
        </w:rPr>
        <w:t xml:space="preserve"> of </w:t>
      </w:r>
      <w:r w:rsidR="00700038">
        <w:rPr>
          <w:kern w:val="0"/>
        </w:rPr>
        <w:t>‘</w:t>
      </w:r>
      <w:r>
        <w:rPr>
          <w:kern w:val="0"/>
        </w:rPr>
        <w:t>high</w:t>
      </w:r>
      <w:r w:rsidR="00700038">
        <w:rPr>
          <w:kern w:val="0"/>
        </w:rPr>
        <w:t>’</w:t>
      </w:r>
      <w:r>
        <w:rPr>
          <w:kern w:val="0"/>
        </w:rPr>
        <w:t xml:space="preserve"> beyond that perceived with either drug alone, less intense feelings</w:t>
      </w:r>
      <w:r w:rsidR="00427468">
        <w:rPr>
          <w:kern w:val="0"/>
        </w:rPr>
        <w:t xml:space="preserve"> of </w:t>
      </w:r>
      <w:r>
        <w:rPr>
          <w:kern w:val="0"/>
        </w:rPr>
        <w:t>alcohol-induced inebriation</w:t>
      </w:r>
      <w:r w:rsidR="005853A9">
        <w:rPr>
          <w:kern w:val="0"/>
        </w:rPr>
        <w:t xml:space="preserve"> and </w:t>
      </w:r>
      <w:r>
        <w:rPr>
          <w:kern w:val="0"/>
        </w:rPr>
        <w:t>tempering</w:t>
      </w:r>
      <w:r w:rsidR="00427468">
        <w:rPr>
          <w:kern w:val="0"/>
        </w:rPr>
        <w:t xml:space="preserve"> of </w:t>
      </w:r>
      <w:r>
        <w:rPr>
          <w:kern w:val="0"/>
        </w:rPr>
        <w:t xml:space="preserve">discomfort when coming down from a cocaine </w:t>
      </w:r>
      <w:r w:rsidR="00700038">
        <w:rPr>
          <w:kern w:val="0"/>
        </w:rPr>
        <w:t>‘</w:t>
      </w:r>
      <w:r>
        <w:rPr>
          <w:kern w:val="0"/>
        </w:rPr>
        <w:t>high</w:t>
      </w:r>
      <w:r w:rsidR="00700038">
        <w:rPr>
          <w:kern w:val="0"/>
        </w:rPr>
        <w:t>’</w:t>
      </w:r>
      <w:r>
        <w:rPr>
          <w:kern w:val="0"/>
        </w:rPr>
        <w:t>. A review is presented</w:t>
      </w:r>
      <w:r w:rsidR="00427468">
        <w:rPr>
          <w:kern w:val="0"/>
        </w:rPr>
        <w:t xml:space="preserve"> of </w:t>
      </w:r>
      <w:r w:rsidR="003A1917">
        <w:rPr>
          <w:kern w:val="0"/>
        </w:rPr>
        <w:t xml:space="preserve">the </w:t>
      </w:r>
      <w:r>
        <w:rPr>
          <w:kern w:val="0"/>
        </w:rPr>
        <w:t>medical literature on psychological</w:t>
      </w:r>
      <w:r w:rsidR="005853A9">
        <w:rPr>
          <w:kern w:val="0"/>
        </w:rPr>
        <w:t xml:space="preserve"> and </w:t>
      </w:r>
      <w:r>
        <w:rPr>
          <w:kern w:val="0"/>
        </w:rPr>
        <w:t>somatic effects</w:t>
      </w:r>
      <w:r w:rsidR="005853A9">
        <w:rPr>
          <w:kern w:val="0"/>
        </w:rPr>
        <w:t xml:space="preserve"> and </w:t>
      </w:r>
      <w:r>
        <w:rPr>
          <w:kern w:val="0"/>
        </w:rPr>
        <w:t>consequences</w:t>
      </w:r>
      <w:r w:rsidR="00427468">
        <w:rPr>
          <w:kern w:val="0"/>
        </w:rPr>
        <w:t xml:space="preserve"> of </w:t>
      </w:r>
      <w:r>
        <w:rPr>
          <w:kern w:val="0"/>
        </w:rPr>
        <w:t>combined use</w:t>
      </w:r>
      <w:r w:rsidR="00427468">
        <w:rPr>
          <w:kern w:val="0"/>
        </w:rPr>
        <w:t xml:space="preserve"> of </w:t>
      </w:r>
      <w:r>
        <w:rPr>
          <w:kern w:val="0"/>
        </w:rPr>
        <w:t>alcohol</w:t>
      </w:r>
      <w:r w:rsidR="005853A9">
        <w:rPr>
          <w:kern w:val="0"/>
        </w:rPr>
        <w:t xml:space="preserve"> and </w:t>
      </w:r>
      <w:r>
        <w:rPr>
          <w:kern w:val="0"/>
        </w:rPr>
        <w:t>cocaine in man</w:t>
      </w:r>
      <w:r w:rsidR="00A37C1D">
        <w:rPr>
          <w:kern w:val="0"/>
        </w:rPr>
        <w:t>. The</w:t>
      </w:r>
      <w:r w:rsidR="003A1917">
        <w:rPr>
          <w:kern w:val="0"/>
        </w:rPr>
        <w:t xml:space="preserve"> </w:t>
      </w:r>
      <w:r>
        <w:rPr>
          <w:kern w:val="0"/>
        </w:rPr>
        <w:t xml:space="preserve">search was carried out with </w:t>
      </w:r>
      <w:r w:rsidR="00D5664A">
        <w:rPr>
          <w:kern w:val="0"/>
        </w:rPr>
        <w:t>MEDLINE</w:t>
      </w:r>
      <w:r w:rsidR="00A37C1D">
        <w:rPr>
          <w:kern w:val="0"/>
        </w:rPr>
        <w:t>. The</w:t>
      </w:r>
      <w:r w:rsidR="003A1917">
        <w:rPr>
          <w:kern w:val="0"/>
        </w:rPr>
        <w:t xml:space="preserve"> </w:t>
      </w:r>
      <w:r>
        <w:rPr>
          <w:kern w:val="0"/>
        </w:rPr>
        <w:t>Science Citation Index/</w:t>
      </w:r>
      <w:r w:rsidR="00D5664A">
        <w:rPr>
          <w:kern w:val="0"/>
        </w:rPr>
        <w:t>Web</w:t>
      </w:r>
      <w:r w:rsidR="00427468">
        <w:rPr>
          <w:kern w:val="0"/>
        </w:rPr>
        <w:t xml:space="preserve"> of </w:t>
      </w:r>
      <w:r w:rsidR="00D5664A">
        <w:rPr>
          <w:kern w:val="0"/>
        </w:rPr>
        <w:t>Science</w:t>
      </w:r>
      <w:r w:rsidR="005853A9">
        <w:rPr>
          <w:kern w:val="0"/>
        </w:rPr>
        <w:t xml:space="preserve"> and </w:t>
      </w:r>
      <w:r>
        <w:rPr>
          <w:kern w:val="0"/>
        </w:rPr>
        <w:t>Toxline. Exclusion</w:t>
      </w:r>
      <w:r w:rsidR="005853A9">
        <w:rPr>
          <w:kern w:val="0"/>
        </w:rPr>
        <w:t xml:space="preserve"> and </w:t>
      </w:r>
      <w:r>
        <w:rPr>
          <w:kern w:val="0"/>
        </w:rPr>
        <w:t>inclusion criteria for this search are identified</w:t>
      </w:r>
      <w:r w:rsidR="00A37C1D">
        <w:rPr>
          <w:kern w:val="0"/>
        </w:rPr>
        <w:t>. The</w:t>
      </w:r>
      <w:r>
        <w:rPr>
          <w:kern w:val="0"/>
        </w:rPr>
        <w:t>re is generally no evidence that</w:t>
      </w:r>
      <w:r w:rsidR="003A1917">
        <w:rPr>
          <w:kern w:val="0"/>
        </w:rPr>
        <w:t xml:space="preserve"> the </w:t>
      </w:r>
      <w:r>
        <w:rPr>
          <w:kern w:val="0"/>
        </w:rPr>
        <w:t>combination</w:t>
      </w:r>
      <w:r w:rsidR="00427468">
        <w:rPr>
          <w:kern w:val="0"/>
        </w:rPr>
        <w:t xml:space="preserve"> of </w:t>
      </w:r>
      <w:r w:rsidR="003A1917">
        <w:rPr>
          <w:kern w:val="0"/>
        </w:rPr>
        <w:t xml:space="preserve">the </w:t>
      </w:r>
      <w:r>
        <w:rPr>
          <w:kern w:val="0"/>
        </w:rPr>
        <w:t>two drugs does more than enhance additively</w:t>
      </w:r>
      <w:r w:rsidR="003A1917">
        <w:rPr>
          <w:kern w:val="0"/>
        </w:rPr>
        <w:t xml:space="preserve"> the </w:t>
      </w:r>
      <w:r>
        <w:rPr>
          <w:kern w:val="0"/>
        </w:rPr>
        <w:t>already strong tendency</w:t>
      </w:r>
      <w:r w:rsidR="00427468">
        <w:rPr>
          <w:kern w:val="0"/>
        </w:rPr>
        <w:t xml:space="preserve"> of </w:t>
      </w:r>
      <w:r>
        <w:rPr>
          <w:kern w:val="0"/>
        </w:rPr>
        <w:t>each drug to induce a variety</w:t>
      </w:r>
      <w:r w:rsidR="00427468">
        <w:rPr>
          <w:kern w:val="0"/>
        </w:rPr>
        <w:t xml:space="preserve"> of </w:t>
      </w:r>
      <w:r>
        <w:rPr>
          <w:kern w:val="0"/>
        </w:rPr>
        <w:t>physical</w:t>
      </w:r>
      <w:r w:rsidR="005853A9">
        <w:rPr>
          <w:kern w:val="0"/>
        </w:rPr>
        <w:t xml:space="preserve"> and </w:t>
      </w:r>
      <w:r>
        <w:rPr>
          <w:kern w:val="0"/>
        </w:rPr>
        <w:t>psychological disorders. A few exceptions must be noted. Cocaine consistently antagonizes</w:t>
      </w:r>
      <w:r w:rsidR="003A1917">
        <w:rPr>
          <w:kern w:val="0"/>
        </w:rPr>
        <w:t xml:space="preserve"> the </w:t>
      </w:r>
      <w:r>
        <w:rPr>
          <w:kern w:val="0"/>
        </w:rPr>
        <w:t>learning deficits, psychomotor performance deficits</w:t>
      </w:r>
      <w:r w:rsidR="005853A9">
        <w:rPr>
          <w:kern w:val="0"/>
        </w:rPr>
        <w:t xml:space="preserve"> and </w:t>
      </w:r>
      <w:r>
        <w:rPr>
          <w:kern w:val="0"/>
        </w:rPr>
        <w:t>driving deficits induced by alcohol</w:t>
      </w:r>
      <w:r w:rsidR="00A37C1D">
        <w:rPr>
          <w:kern w:val="0"/>
        </w:rPr>
        <w:t>. The</w:t>
      </w:r>
      <w:r w:rsidR="003A1917">
        <w:rPr>
          <w:kern w:val="0"/>
        </w:rPr>
        <w:t xml:space="preserve"> </w:t>
      </w:r>
      <w:r>
        <w:rPr>
          <w:kern w:val="0"/>
        </w:rPr>
        <w:t>combination</w:t>
      </w:r>
      <w:r w:rsidR="00427468">
        <w:rPr>
          <w:kern w:val="0"/>
        </w:rPr>
        <w:t xml:space="preserve"> of </w:t>
      </w:r>
      <w:r>
        <w:rPr>
          <w:kern w:val="0"/>
        </w:rPr>
        <w:t>alcohol</w:t>
      </w:r>
      <w:r w:rsidR="005853A9">
        <w:rPr>
          <w:kern w:val="0"/>
        </w:rPr>
        <w:t xml:space="preserve"> and </w:t>
      </w:r>
      <w:r>
        <w:rPr>
          <w:kern w:val="0"/>
        </w:rPr>
        <w:t>cocaine tends to have greater-than-additive effects on heart rate, concomitant with up to 30% increased blood cocaine levels. Both prospective</w:t>
      </w:r>
      <w:r w:rsidR="005853A9">
        <w:rPr>
          <w:kern w:val="0"/>
        </w:rPr>
        <w:t xml:space="preserve"> and </w:t>
      </w:r>
      <w:r>
        <w:rPr>
          <w:kern w:val="0"/>
        </w:rPr>
        <w:t>retrospective data further reveal that co-use leads to</w:t>
      </w:r>
      <w:r w:rsidR="003A1917">
        <w:rPr>
          <w:kern w:val="0"/>
        </w:rPr>
        <w:t xml:space="preserve"> the </w:t>
      </w:r>
      <w:r>
        <w:rPr>
          <w:kern w:val="0"/>
        </w:rPr>
        <w:t>formation</w:t>
      </w:r>
      <w:r w:rsidR="00427468">
        <w:rPr>
          <w:kern w:val="0"/>
        </w:rPr>
        <w:t xml:space="preserve"> of </w:t>
      </w:r>
      <w:r>
        <w:rPr>
          <w:kern w:val="0"/>
        </w:rPr>
        <w:t>cocaethylene, which may potentiate</w:t>
      </w:r>
      <w:r w:rsidR="003A1917">
        <w:rPr>
          <w:kern w:val="0"/>
        </w:rPr>
        <w:t xml:space="preserve"> the </w:t>
      </w:r>
      <w:r>
        <w:rPr>
          <w:kern w:val="0"/>
        </w:rPr>
        <w:t>cardiotoxic effects</w:t>
      </w:r>
      <w:r w:rsidR="00427468">
        <w:rPr>
          <w:kern w:val="0"/>
        </w:rPr>
        <w:t xml:space="preserve"> of </w:t>
      </w:r>
      <w:r>
        <w:rPr>
          <w:kern w:val="0"/>
        </w:rPr>
        <w:t>cocaine or alcohol alone. More importantly, retrospective data suggest that</w:t>
      </w:r>
      <w:r w:rsidR="003A1917">
        <w:rPr>
          <w:kern w:val="0"/>
        </w:rPr>
        <w:t xml:space="preserve"> the </w:t>
      </w:r>
      <w:r>
        <w:rPr>
          <w:kern w:val="0"/>
        </w:rPr>
        <w:t>combination can potentiate</w:t>
      </w:r>
      <w:r w:rsidR="003A1917">
        <w:rPr>
          <w:kern w:val="0"/>
        </w:rPr>
        <w:t xml:space="preserve"> the </w:t>
      </w:r>
      <w:r>
        <w:rPr>
          <w:kern w:val="0"/>
        </w:rPr>
        <w:t>tendency towards violent thoughts</w:t>
      </w:r>
      <w:r w:rsidR="005853A9">
        <w:rPr>
          <w:kern w:val="0"/>
        </w:rPr>
        <w:t xml:space="preserve"> and </w:t>
      </w:r>
      <w:r>
        <w:rPr>
          <w:kern w:val="0"/>
        </w:rPr>
        <w:t>threats, which may lead to an increase</w:t>
      </w:r>
      <w:r w:rsidR="00427468">
        <w:rPr>
          <w:kern w:val="0"/>
        </w:rPr>
        <w:t xml:space="preserve"> of </w:t>
      </w:r>
      <w:r>
        <w:rPr>
          <w:kern w:val="0"/>
        </w:rPr>
        <w:t>violent behaviours.</w:t>
      </w:r>
    </w:p>
    <w:p w:rsidR="00A021F3" w:rsidRDefault="00A021F3" w:rsidP="00A021F3">
      <w:pPr>
        <w:pStyle w:val="a3"/>
        <w:rPr>
          <w:kern w:val="0"/>
        </w:rPr>
      </w:pPr>
      <w:r>
        <w:rPr>
          <w:kern w:val="0"/>
        </w:rPr>
        <w:t>Keywords: Abuse, Alcohol, Alcohol-Related Disorders, Behavior, Blood, Citation, Cocaethylene, Cocaine, Cocaine-Related Disorders, Combination, Dependent Patients, Driving, Drug, Drug Interactions, Drug-Use, Ethanol, Ethanol Ingestion, Fatally Injured Drivers, Heart Rate, Human, Humans, Induced, Lead, Learning, Literature, Medical, New-York, Psychomotor, Review, Science</w:t>
      </w:r>
    </w:p>
    <w:p w:rsidR="0081530A" w:rsidRDefault="0081530A" w:rsidP="0081530A">
      <w:pPr>
        <w:pStyle w:val="a3"/>
        <w:rPr>
          <w:kern w:val="0"/>
        </w:rPr>
      </w:pPr>
      <w:r>
        <w:rPr>
          <w:rFonts w:hint="eastAsia"/>
          <w:kern w:val="0"/>
        </w:rPr>
        <w:t xml:space="preserve">? </w:t>
      </w:r>
      <w:r>
        <w:rPr>
          <w:kern w:val="0"/>
        </w:rPr>
        <w:t>Gable, R.S. (2004), Comparison</w:t>
      </w:r>
      <w:r w:rsidR="00427468">
        <w:rPr>
          <w:kern w:val="0"/>
        </w:rPr>
        <w:t xml:space="preserve"> of </w:t>
      </w:r>
      <w:r>
        <w:rPr>
          <w:kern w:val="0"/>
        </w:rPr>
        <w:t>acute lethal toxicity</w:t>
      </w:r>
      <w:r w:rsidR="00427468">
        <w:rPr>
          <w:kern w:val="0"/>
        </w:rPr>
        <w:t xml:space="preserve"> of </w:t>
      </w:r>
      <w:r>
        <w:rPr>
          <w:kern w:val="0"/>
        </w:rPr>
        <w:t xml:space="preserve">commonly abused psychoactive substances. </w:t>
      </w:r>
      <w:r>
        <w:rPr>
          <w:i/>
          <w:iCs/>
          <w:kern w:val="0"/>
        </w:rPr>
        <w:t>Addiction</w:t>
      </w:r>
      <w:r>
        <w:rPr>
          <w:kern w:val="0"/>
        </w:rPr>
        <w:t xml:space="preserve">, </w:t>
      </w:r>
      <w:r>
        <w:rPr>
          <w:b/>
          <w:bCs/>
          <w:kern w:val="0"/>
        </w:rPr>
        <w:t>99</w:t>
      </w:r>
      <w:r>
        <w:rPr>
          <w:kern w:val="0"/>
        </w:rPr>
        <w:t xml:space="preserve"> (6), 686-696.</w:t>
      </w:r>
    </w:p>
    <w:p w:rsidR="0081530A" w:rsidRPr="00F219CA" w:rsidRDefault="0081530A" w:rsidP="0081530A">
      <w:pPr>
        <w:pStyle w:val="a3"/>
      </w:pPr>
      <w:r w:rsidRPr="00F219CA">
        <w:t xml:space="preserve">Full Text: </w:t>
      </w:r>
      <w:hyperlink r:id="rId230" w:history="1">
        <w:r w:rsidRPr="00621BF9">
          <w:rPr>
            <w:rStyle w:val="a5"/>
          </w:rPr>
          <w:t>2004\Addiction99, 686.pdf</w:t>
        </w:r>
      </w:hyperlink>
    </w:p>
    <w:p w:rsidR="0081530A" w:rsidRDefault="0081530A" w:rsidP="0081530A">
      <w:pPr>
        <w:pStyle w:val="a3"/>
        <w:rPr>
          <w:kern w:val="0"/>
        </w:rPr>
      </w:pPr>
      <w:r>
        <w:rPr>
          <w:kern w:val="0"/>
        </w:rPr>
        <w:t>Abstract: Aims To determine</w:t>
      </w:r>
      <w:r w:rsidR="003A1917">
        <w:rPr>
          <w:kern w:val="0"/>
        </w:rPr>
        <w:t xml:space="preserve"> the </w:t>
      </w:r>
      <w:r>
        <w:rPr>
          <w:kern w:val="0"/>
        </w:rPr>
        <w:t>acute lethal toxicity</w:t>
      </w:r>
      <w:r w:rsidR="00427468">
        <w:rPr>
          <w:kern w:val="0"/>
        </w:rPr>
        <w:t xml:space="preserve"> of </w:t>
      </w:r>
      <w:r>
        <w:rPr>
          <w:kern w:val="0"/>
        </w:rPr>
        <w:t>a range</w:t>
      </w:r>
      <w:r w:rsidR="00427468">
        <w:rPr>
          <w:kern w:val="0"/>
        </w:rPr>
        <w:t xml:space="preserve"> of </w:t>
      </w:r>
      <w:r>
        <w:rPr>
          <w:kern w:val="0"/>
        </w:rPr>
        <w:t>psychoactive substances in terms</w:t>
      </w:r>
      <w:r w:rsidR="00427468">
        <w:rPr>
          <w:kern w:val="0"/>
        </w:rPr>
        <w:t xml:space="preserve"> of </w:t>
      </w:r>
      <w:r w:rsidR="003A1917">
        <w:rPr>
          <w:kern w:val="0"/>
        </w:rPr>
        <w:t xml:space="preserve">the </w:t>
      </w:r>
      <w:r>
        <w:rPr>
          <w:kern w:val="0"/>
        </w:rPr>
        <w:t>dose customarily used as a single substance for non-medical purposes. Design</w:t>
      </w:r>
      <w:r w:rsidR="005853A9">
        <w:rPr>
          <w:kern w:val="0"/>
        </w:rPr>
        <w:t xml:space="preserve"> and </w:t>
      </w:r>
      <w:r>
        <w:rPr>
          <w:kern w:val="0"/>
        </w:rPr>
        <w:t xml:space="preserve">method A structured English-language literature </w:t>
      </w:r>
      <w:r>
        <w:rPr>
          <w:kern w:val="0"/>
        </w:rPr>
        <w:lastRenderedPageBreak/>
        <w:t>search was conducted to identify experimental studies</w:t>
      </w:r>
      <w:r w:rsidR="005853A9">
        <w:rPr>
          <w:kern w:val="0"/>
        </w:rPr>
        <w:t xml:space="preserve"> and </w:t>
      </w:r>
      <w:r>
        <w:rPr>
          <w:kern w:val="0"/>
        </w:rPr>
        <w:t>clinical reports that documented human</w:t>
      </w:r>
      <w:r w:rsidR="005853A9">
        <w:rPr>
          <w:kern w:val="0"/>
        </w:rPr>
        <w:t xml:space="preserve"> and </w:t>
      </w:r>
      <w:r>
        <w:rPr>
          <w:kern w:val="0"/>
        </w:rPr>
        <w:t>non-human lethal doses</w:t>
      </w:r>
      <w:r w:rsidR="00427468">
        <w:rPr>
          <w:kern w:val="0"/>
        </w:rPr>
        <w:t xml:space="preserve"> of </w:t>
      </w:r>
      <w:r>
        <w:rPr>
          <w:kern w:val="0"/>
        </w:rPr>
        <w:t>20 abused substances that are distributed widely in Europe</w:t>
      </w:r>
      <w:r w:rsidR="005853A9">
        <w:rPr>
          <w:kern w:val="0"/>
        </w:rPr>
        <w:t xml:space="preserve"> and </w:t>
      </w:r>
      <w:r>
        <w:rPr>
          <w:kern w:val="0"/>
        </w:rPr>
        <w:t>North America. Four inclusion criteria were specified for</w:t>
      </w:r>
      <w:r w:rsidR="003A1917">
        <w:rPr>
          <w:kern w:val="0"/>
        </w:rPr>
        <w:t xml:space="preserve"> the </w:t>
      </w:r>
      <w:r>
        <w:rPr>
          <w:kern w:val="0"/>
        </w:rPr>
        <w:t>reports,</w:t>
      </w:r>
      <w:r w:rsidR="005853A9">
        <w:rPr>
          <w:kern w:val="0"/>
        </w:rPr>
        <w:t xml:space="preserve"> and </w:t>
      </w:r>
      <w:r>
        <w:rPr>
          <w:kern w:val="0"/>
        </w:rPr>
        <w:t>approximately 3000 relevant records were retrieved from search engines at Biosis, Science Citation Index, Google</w:t>
      </w:r>
      <w:r w:rsidR="005853A9">
        <w:rPr>
          <w:kern w:val="0"/>
        </w:rPr>
        <w:t xml:space="preserve"> and </w:t>
      </w:r>
      <w:r w:rsidR="003A1917">
        <w:rPr>
          <w:kern w:val="0"/>
        </w:rPr>
        <w:t xml:space="preserve">the </w:t>
      </w:r>
      <w:r>
        <w:rPr>
          <w:kern w:val="0"/>
        </w:rPr>
        <w:t>National Library</w:t>
      </w:r>
      <w:r w:rsidR="00427468">
        <w:rPr>
          <w:kern w:val="0"/>
        </w:rPr>
        <w:t xml:space="preserve"> of </w:t>
      </w:r>
      <w:r>
        <w:rPr>
          <w:kern w:val="0"/>
        </w:rPr>
        <w:t>Medicine</w:t>
      </w:r>
      <w:r w:rsidR="00700038">
        <w:rPr>
          <w:kern w:val="0"/>
        </w:rPr>
        <w:t>’</w:t>
      </w:r>
      <w:r w:rsidR="00C13DDC">
        <w:rPr>
          <w:kern w:val="0"/>
        </w:rPr>
        <w:t>s</w:t>
      </w:r>
      <w:r>
        <w:rPr>
          <w:kern w:val="0"/>
        </w:rPr>
        <w:t xml:space="preserve"> Gateway. In order to account for different drug potencies, a </w:t>
      </w:r>
      <w:r w:rsidR="00700038">
        <w:rPr>
          <w:kern w:val="0"/>
        </w:rPr>
        <w:t>‘</w:t>
      </w:r>
      <w:r w:rsidR="00C13DDC">
        <w:rPr>
          <w:kern w:val="0"/>
        </w:rPr>
        <w:t>s</w:t>
      </w:r>
      <w:r>
        <w:rPr>
          <w:kern w:val="0"/>
        </w:rPr>
        <w:t>afety ratio</w:t>
      </w:r>
      <w:r w:rsidR="00700038">
        <w:rPr>
          <w:kern w:val="0"/>
        </w:rPr>
        <w:t>’</w:t>
      </w:r>
      <w:r>
        <w:rPr>
          <w:kern w:val="0"/>
        </w:rPr>
        <w:t xml:space="preserve"> was computed for each substance by comparing its reported acute lethal dose with</w:t>
      </w:r>
      <w:r w:rsidR="003A1917">
        <w:rPr>
          <w:kern w:val="0"/>
        </w:rPr>
        <w:t xml:space="preserve"> the </w:t>
      </w:r>
      <w:r>
        <w:rPr>
          <w:kern w:val="0"/>
        </w:rPr>
        <w:t>dose most commonly used for non-medical purposes. Findings</w:t>
      </w:r>
      <w:r w:rsidR="003A1917">
        <w:rPr>
          <w:kern w:val="0"/>
        </w:rPr>
        <w:t xml:space="preserve"> the </w:t>
      </w:r>
      <w:r>
        <w:rPr>
          <w:kern w:val="0"/>
        </w:rPr>
        <w:t>majority</w:t>
      </w:r>
      <w:r w:rsidR="00427468">
        <w:rPr>
          <w:kern w:val="0"/>
        </w:rPr>
        <w:t xml:space="preserve"> of </w:t>
      </w:r>
      <w:r>
        <w:rPr>
          <w:kern w:val="0"/>
        </w:rPr>
        <w:t>published reports</w:t>
      </w:r>
      <w:r w:rsidR="00427468">
        <w:rPr>
          <w:kern w:val="0"/>
        </w:rPr>
        <w:t xml:space="preserve"> of </w:t>
      </w:r>
      <w:r>
        <w:rPr>
          <w:kern w:val="0"/>
        </w:rPr>
        <w:t>acute lethal toxicity indicate that</w:t>
      </w:r>
      <w:r w:rsidR="003A1917">
        <w:rPr>
          <w:kern w:val="0"/>
        </w:rPr>
        <w:t xml:space="preserve"> the </w:t>
      </w:r>
      <w:r>
        <w:rPr>
          <w:kern w:val="0"/>
        </w:rPr>
        <w:t>decedent used a co-intoxicant (most often alcohol)</w:t>
      </w:r>
      <w:r w:rsidR="00A37C1D">
        <w:rPr>
          <w:kern w:val="0"/>
        </w:rPr>
        <w:t>. The</w:t>
      </w:r>
      <w:r w:rsidR="003A1917">
        <w:rPr>
          <w:kern w:val="0"/>
        </w:rPr>
        <w:t xml:space="preserve"> </w:t>
      </w:r>
      <w:r>
        <w:rPr>
          <w:kern w:val="0"/>
        </w:rPr>
        <w:t>calculated safety ratios varied between substances by more than a factor</w:t>
      </w:r>
      <w:r w:rsidR="00427468">
        <w:rPr>
          <w:kern w:val="0"/>
        </w:rPr>
        <w:t xml:space="preserve"> of </w:t>
      </w:r>
      <w:r>
        <w:rPr>
          <w:kern w:val="0"/>
        </w:rPr>
        <w:t>100. Intravenous heroin appeared to have</w:t>
      </w:r>
      <w:r w:rsidR="003A1917">
        <w:rPr>
          <w:kern w:val="0"/>
        </w:rPr>
        <w:t xml:space="preserve"> the </w:t>
      </w:r>
      <w:r>
        <w:rPr>
          <w:kern w:val="0"/>
        </w:rPr>
        <w:t>greatest direct physiological toxicity; several hallucinogens appeared to have</w:t>
      </w:r>
      <w:r w:rsidR="003A1917">
        <w:rPr>
          <w:kern w:val="0"/>
        </w:rPr>
        <w:t xml:space="preserve"> the </w:t>
      </w:r>
      <w:r>
        <w:rPr>
          <w:kern w:val="0"/>
        </w:rPr>
        <w:t>least direct physiological toxicity. Conclusions Despite residual uncertainties,</w:t>
      </w:r>
      <w:r w:rsidR="003A1917">
        <w:rPr>
          <w:kern w:val="0"/>
        </w:rPr>
        <w:t xml:space="preserve"> the </w:t>
      </w:r>
      <w:r>
        <w:rPr>
          <w:kern w:val="0"/>
        </w:rPr>
        <w:t>substantial difference in safety ratios suggests that abused substances can be rank-ordered on</w:t>
      </w:r>
      <w:r w:rsidR="003A1917">
        <w:rPr>
          <w:kern w:val="0"/>
        </w:rPr>
        <w:t xml:space="preserve"> the </w:t>
      </w:r>
      <w:r>
        <w:rPr>
          <w:kern w:val="0"/>
        </w:rPr>
        <w:t>basis</w:t>
      </w:r>
      <w:r w:rsidR="00427468">
        <w:rPr>
          <w:kern w:val="0"/>
        </w:rPr>
        <w:t xml:space="preserve"> of </w:t>
      </w:r>
      <w:r>
        <w:rPr>
          <w:kern w:val="0"/>
        </w:rPr>
        <w:t>their potential acute lethality.</w:t>
      </w:r>
    </w:p>
    <w:p w:rsidR="0081530A" w:rsidRDefault="0081530A" w:rsidP="0081530A">
      <w:pPr>
        <w:pStyle w:val="a3"/>
        <w:rPr>
          <w:kern w:val="0"/>
        </w:rPr>
      </w:pPr>
      <w:r>
        <w:rPr>
          <w:kern w:val="0"/>
        </w:rPr>
        <w:t>Keywords: Acute Toxicity, Blood, Citation, Death, Europe, Heroin Overdose, Humans, Intranasal Cocaine, Lethality, Literature, Methadone, Morphine Concentrations, Pharmacokinetics, Positive Subjective Effects, Relative Toxicity, Safety, Safety Ratio, Science, Science Citation Index, Serotonin Reuptake Inhibitors, Therapeutic Index, Toxicity</w:t>
      </w:r>
    </w:p>
    <w:p w:rsidR="003474F2" w:rsidRPr="001A3D2B" w:rsidRDefault="003474F2" w:rsidP="003474F2">
      <w:pPr>
        <w:pStyle w:val="a3"/>
      </w:pPr>
      <w:r w:rsidRPr="001A3D2B">
        <w:t>? Sanchez-Carbonell, X., Guardiola, E., Belles, A.</w:t>
      </w:r>
      <w:r w:rsidR="005853A9">
        <w:t xml:space="preserve"> and </w:t>
      </w:r>
      <w:r w:rsidRPr="001A3D2B">
        <w:t>Beranuy, M. (2005), European Union scientific production on alcohol</w:t>
      </w:r>
      <w:r w:rsidR="005853A9">
        <w:t xml:space="preserve"> and </w:t>
      </w:r>
      <w:r w:rsidRPr="001A3D2B">
        <w:t xml:space="preserve">drug misuse (1976-2000). </w:t>
      </w:r>
      <w:r w:rsidRPr="001A3D2B">
        <w:rPr>
          <w:i/>
          <w:iCs/>
        </w:rPr>
        <w:t>Addiction</w:t>
      </w:r>
      <w:r w:rsidRPr="001A3D2B">
        <w:t xml:space="preserve">, </w:t>
      </w:r>
      <w:r w:rsidRPr="001A3D2B">
        <w:rPr>
          <w:b/>
          <w:bCs/>
        </w:rPr>
        <w:t>100</w:t>
      </w:r>
      <w:r w:rsidRPr="001A3D2B">
        <w:t xml:space="preserve"> (8), 1166-1174.</w:t>
      </w:r>
    </w:p>
    <w:p w:rsidR="003474F2" w:rsidRPr="001A3D2B" w:rsidRDefault="003474F2" w:rsidP="003474F2">
      <w:pPr>
        <w:pStyle w:val="a3"/>
      </w:pPr>
      <w:r w:rsidRPr="001A3D2B">
        <w:t xml:space="preserve">Full Text: </w:t>
      </w:r>
      <w:hyperlink r:id="rId231" w:history="1">
        <w:r w:rsidRPr="001A3D2B">
          <w:rPr>
            <w:rStyle w:val="a5"/>
          </w:rPr>
          <w:t>2005\Addiction100, 1166.pdf</w:t>
        </w:r>
      </w:hyperlink>
    </w:p>
    <w:p w:rsidR="003474F2" w:rsidRPr="001A3D2B" w:rsidRDefault="003474F2" w:rsidP="003474F2">
      <w:pPr>
        <w:pStyle w:val="a3"/>
      </w:pPr>
      <w:r w:rsidRPr="001A3D2B">
        <w:t>Abstract: Backgrounds Alcohol</w:t>
      </w:r>
      <w:r w:rsidR="005853A9">
        <w:t xml:space="preserve"> and </w:t>
      </w:r>
      <w:r w:rsidRPr="001A3D2B">
        <w:t>drug misuse is a social</w:t>
      </w:r>
      <w:r w:rsidR="005853A9">
        <w:t xml:space="preserve"> and </w:t>
      </w:r>
      <w:r w:rsidRPr="001A3D2B">
        <w:t>health phenomenon</w:t>
      </w:r>
      <w:r w:rsidR="00427468">
        <w:t xml:space="preserve"> of </w:t>
      </w:r>
      <w:r w:rsidRPr="001A3D2B">
        <w:t>great relevance in</w:t>
      </w:r>
      <w:r w:rsidR="003A1917">
        <w:t xml:space="preserve"> the </w:t>
      </w:r>
      <w:r w:rsidRPr="001A3D2B">
        <w:t>European Union (EU). One indicator</w:t>
      </w:r>
      <w:r w:rsidR="00427468">
        <w:t xml:space="preserve"> of </w:t>
      </w:r>
      <w:r w:rsidRPr="001A3D2B">
        <w:t>scientific production in a given area is</w:t>
      </w:r>
      <w:r w:rsidR="003A1917">
        <w:t xml:space="preserve"> the </w:t>
      </w:r>
      <w:r w:rsidRPr="001A3D2B">
        <w:t>analysis</w:t>
      </w:r>
      <w:r w:rsidR="00427468">
        <w:t xml:space="preserve"> of </w:t>
      </w:r>
      <w:r w:rsidRPr="001A3D2B">
        <w:t>publications included in bibliographic databases. Scientific production on alcohol</w:t>
      </w:r>
      <w:r w:rsidR="005853A9">
        <w:t xml:space="preserve"> and </w:t>
      </w:r>
      <w:r w:rsidRPr="001A3D2B">
        <w:t>drug misuse was analysed in EU member countries,</w:t>
      </w:r>
      <w:r w:rsidR="005853A9">
        <w:t xml:space="preserve"> and </w:t>
      </w:r>
      <w:r w:rsidRPr="001A3D2B">
        <w:t>comparisons were made between countries. Methods Analysis</w:t>
      </w:r>
      <w:r w:rsidR="00427468">
        <w:t xml:space="preserve"> of </w:t>
      </w:r>
      <w:r w:rsidRPr="001A3D2B">
        <w:t>articles on alcohol</w:t>
      </w:r>
      <w:r w:rsidR="005853A9">
        <w:t xml:space="preserve"> and </w:t>
      </w:r>
      <w:r w:rsidRPr="001A3D2B">
        <w:t>drug misuse published during</w:t>
      </w:r>
      <w:r w:rsidR="003A1917">
        <w:t xml:space="preserve"> the </w:t>
      </w:r>
      <w:r w:rsidRPr="001A3D2B">
        <w:t>period 1976-2000 by institutions based in a country</w:t>
      </w:r>
      <w:r w:rsidR="00427468">
        <w:t xml:space="preserve"> of </w:t>
      </w:r>
      <w:r w:rsidR="003A1917">
        <w:t xml:space="preserve">the </w:t>
      </w:r>
      <w:r w:rsidRPr="001A3D2B">
        <w:t>EU, indexed by PsycINFO. Results A total</w:t>
      </w:r>
      <w:r w:rsidR="00427468">
        <w:t xml:space="preserve"> of </w:t>
      </w:r>
      <w:r w:rsidRPr="001A3D2B">
        <w:t xml:space="preserve">4825 citations was retrieved. </w:t>
      </w:r>
      <w:smartTag w:uri="urn:schemas-microsoft-com:office:smarttags" w:element="country-region">
        <w:r w:rsidRPr="001A3D2B">
          <w:t>Great Britain</w:t>
        </w:r>
      </w:smartTag>
      <w:r w:rsidRPr="001A3D2B">
        <w:t xml:space="preserve"> published 38.6%, while </w:t>
      </w:r>
      <w:smartTag w:uri="urn:schemas-microsoft-com:office:smarttags" w:element="country-region">
        <w:r w:rsidRPr="001A3D2B">
          <w:t>Sweden</w:t>
        </w:r>
      </w:smartTag>
      <w:r w:rsidRPr="001A3D2B">
        <w:t>, Germany</w:t>
      </w:r>
      <w:r w:rsidR="005853A9">
        <w:t xml:space="preserve"> and </w:t>
      </w:r>
      <w:r w:rsidRPr="001A3D2B">
        <w:t>Spain accounted for a further 30%</w:t>
      </w:r>
      <w:r w:rsidR="00A37C1D">
        <w:t>. The</w:t>
      </w:r>
      <w:r w:rsidR="003A1917">
        <w:t xml:space="preserve"> </w:t>
      </w:r>
      <w:r w:rsidRPr="001A3D2B">
        <w:t>articles dealt with drug</w:t>
      </w:r>
      <w:r w:rsidR="005853A9">
        <w:t xml:space="preserve"> and </w:t>
      </w:r>
      <w:r w:rsidRPr="001A3D2B">
        <w:t xml:space="preserve">alcohol </w:t>
      </w:r>
      <w:r w:rsidR="00D5664A">
        <w:t>USA</w:t>
      </w:r>
      <w:r w:rsidRPr="001A3D2B">
        <w:t>ge (12.8%), substance abuse (53.5%)</w:t>
      </w:r>
      <w:r w:rsidR="005853A9">
        <w:t xml:space="preserve"> and </w:t>
      </w:r>
      <w:r w:rsidRPr="001A3D2B">
        <w:t>drug</w:t>
      </w:r>
      <w:r w:rsidR="005853A9">
        <w:t xml:space="preserve"> and </w:t>
      </w:r>
      <w:r w:rsidRPr="001A3D2B">
        <w:t>alcohol rehabilitation (34.5%)</w:t>
      </w:r>
      <w:r w:rsidR="00A37C1D">
        <w:t>. The</w:t>
      </w:r>
      <w:r w:rsidR="003A1917">
        <w:t xml:space="preserve"> </w:t>
      </w:r>
      <w:r w:rsidRPr="001A3D2B">
        <w:t>articles were published in 13 different languages, more than three-quarters being in English. Spanish was</w:t>
      </w:r>
      <w:r w:rsidR="003A1917">
        <w:t xml:space="preserve"> the </w:t>
      </w:r>
      <w:r w:rsidRPr="001A3D2B">
        <w:t>second language,</w:t>
      </w:r>
      <w:r w:rsidR="005853A9">
        <w:t xml:space="preserve"> and </w:t>
      </w:r>
      <w:r w:rsidRPr="001A3D2B">
        <w:t>was followed by French, German, Dutch</w:t>
      </w:r>
      <w:r w:rsidR="005853A9">
        <w:t xml:space="preserve"> and </w:t>
      </w:r>
      <w:r w:rsidRPr="001A3D2B">
        <w:t>Italian</w:t>
      </w:r>
      <w:r w:rsidR="00A37C1D">
        <w:t>. The</w:t>
      </w:r>
      <w:r w:rsidR="003A1917">
        <w:t xml:space="preserve"> </w:t>
      </w:r>
      <w:r w:rsidRPr="001A3D2B">
        <w:t>articles were published in 521 different journals,</w:t>
      </w:r>
      <w:r w:rsidR="005853A9">
        <w:t xml:space="preserve"> and </w:t>
      </w:r>
      <w:r w:rsidRPr="001A3D2B">
        <w:t>62</w:t>
      </w:r>
      <w:r w:rsidR="00427468">
        <w:t xml:space="preserve"> of </w:t>
      </w:r>
      <w:r w:rsidRPr="001A3D2B">
        <w:t>these published more than 10 articles</w:t>
      </w:r>
      <w:r w:rsidR="00A37C1D">
        <w:t>. The</w:t>
      </w:r>
      <w:r w:rsidR="003A1917">
        <w:t xml:space="preserve"> </w:t>
      </w:r>
      <w:r w:rsidRPr="001A3D2B">
        <w:t>journals publishing most were Addiction, Alcohol</w:t>
      </w:r>
      <w:r w:rsidR="005853A9">
        <w:t xml:space="preserve"> and </w:t>
      </w:r>
      <w:r w:rsidRPr="001A3D2B">
        <w:t>Alcoholism</w:t>
      </w:r>
      <w:r w:rsidR="005853A9">
        <w:t xml:space="preserve"> and </w:t>
      </w:r>
      <w:r w:rsidRPr="001A3D2B">
        <w:t>Drug</w:t>
      </w:r>
      <w:r w:rsidR="005853A9">
        <w:t xml:space="preserve"> and </w:t>
      </w:r>
      <w:r w:rsidRPr="001A3D2B">
        <w:t xml:space="preserve">Alcohol </w:t>
      </w:r>
      <w:r w:rsidRPr="001A3D2B">
        <w:lastRenderedPageBreak/>
        <w:t>Dependence. Sixty-eight per cent</w:t>
      </w:r>
      <w:r w:rsidR="00427468">
        <w:t xml:space="preserve"> of </w:t>
      </w:r>
      <w:r w:rsidR="003A1917">
        <w:t xml:space="preserve">the </w:t>
      </w:r>
      <w:r w:rsidRPr="001A3D2B">
        <w:t>articles were signed by more than one author,</w:t>
      </w:r>
      <w:r w:rsidR="005853A9">
        <w:t xml:space="preserve"> and </w:t>
      </w:r>
      <w:r w:rsidR="003A1917">
        <w:t xml:space="preserve">the </w:t>
      </w:r>
      <w:r w:rsidRPr="001A3D2B">
        <w:t>index</w:t>
      </w:r>
      <w:r w:rsidR="00427468">
        <w:t xml:space="preserve"> of </w:t>
      </w:r>
      <w:r w:rsidRPr="001A3D2B">
        <w:t>collaboration, between 1996</w:t>
      </w:r>
      <w:r w:rsidR="005853A9">
        <w:t xml:space="preserve"> and </w:t>
      </w:r>
      <w:r w:rsidRPr="001A3D2B">
        <w:t>2000, was 3.24. Discussions</w:t>
      </w:r>
      <w:r w:rsidR="005853A9">
        <w:t xml:space="preserve"> and </w:t>
      </w:r>
      <w:r w:rsidRPr="001A3D2B">
        <w:t>conclusions PsycINFO is useful for making comparisons between countries, because it includes</w:t>
      </w:r>
      <w:r w:rsidR="003A1917">
        <w:t xml:space="preserve"> the </w:t>
      </w:r>
      <w:r w:rsidRPr="001A3D2B">
        <w:t>name</w:t>
      </w:r>
      <w:r w:rsidR="005853A9">
        <w:t xml:space="preserve"> and </w:t>
      </w:r>
      <w:r w:rsidRPr="001A3D2B">
        <w:t>country</w:t>
      </w:r>
      <w:r w:rsidR="00427468">
        <w:t xml:space="preserve"> of </w:t>
      </w:r>
      <w:r w:rsidR="003A1917">
        <w:t xml:space="preserve">the </w:t>
      </w:r>
      <w:r w:rsidRPr="001A3D2B">
        <w:t>institution</w:t>
      </w:r>
      <w:r w:rsidR="00A37C1D">
        <w:t>. The</w:t>
      </w:r>
      <w:r w:rsidR="003A1917">
        <w:t xml:space="preserve"> </w:t>
      </w:r>
      <w:r w:rsidRPr="001A3D2B">
        <w:t>number</w:t>
      </w:r>
      <w:r w:rsidR="00427468">
        <w:t xml:space="preserve"> of </w:t>
      </w:r>
      <w:r w:rsidRPr="001A3D2B">
        <w:t>publications in</w:t>
      </w:r>
      <w:r w:rsidR="003A1917">
        <w:t xml:space="preserve"> the </w:t>
      </w:r>
      <w:r w:rsidRPr="001A3D2B">
        <w:t>EU on alcohol</w:t>
      </w:r>
      <w:r w:rsidR="005853A9">
        <w:t xml:space="preserve"> and </w:t>
      </w:r>
      <w:r w:rsidRPr="001A3D2B">
        <w:t>drug misuse increased over</w:t>
      </w:r>
      <w:r w:rsidR="003A1917">
        <w:t xml:space="preserve"> the </w:t>
      </w:r>
      <w:r w:rsidRPr="001A3D2B">
        <w:t>quarter-century analysed</w:t>
      </w:r>
      <w:r w:rsidR="00A37C1D">
        <w:t>. The</w:t>
      </w:r>
      <w:r w:rsidR="003A1917">
        <w:t xml:space="preserve"> </w:t>
      </w:r>
      <w:r w:rsidRPr="001A3D2B">
        <w:t>most used language was English, as it also is for PsycINFO as a whole,</w:t>
      </w:r>
      <w:r w:rsidR="005853A9">
        <w:t xml:space="preserve"> and </w:t>
      </w:r>
      <w:r w:rsidRPr="001A3D2B">
        <w:t>a tendency towards its increased use was observed. Classification</w:t>
      </w:r>
      <w:r w:rsidR="00427468">
        <w:t xml:space="preserve"> of </w:t>
      </w:r>
      <w:r w:rsidR="003A1917">
        <w:t xml:space="preserve">the </w:t>
      </w:r>
      <w:r w:rsidRPr="001A3D2B">
        <w:t>articles by subject by</w:t>
      </w:r>
      <w:r w:rsidR="003A1917">
        <w:t xml:space="preserve"> the </w:t>
      </w:r>
      <w:r w:rsidRPr="001A3D2B">
        <w:t>Classification Code is too general,</w:t>
      </w:r>
      <w:r w:rsidR="005853A9">
        <w:t xml:space="preserve"> and </w:t>
      </w:r>
      <w:r w:rsidRPr="001A3D2B">
        <w:t>makes it difficult to distinguish between</w:t>
      </w:r>
      <w:r w:rsidR="003A1917">
        <w:t xml:space="preserve"> the </w:t>
      </w:r>
      <w:r w:rsidRPr="001A3D2B">
        <w:t>areas it proposes. Production tends to be concentrated in journals dealing specifically with drug dependence</w:t>
      </w:r>
      <w:r w:rsidR="005853A9">
        <w:t xml:space="preserve"> and </w:t>
      </w:r>
      <w:r w:rsidRPr="001A3D2B">
        <w:t>psychiatry</w:t>
      </w:r>
      <w:r w:rsidR="00A37C1D">
        <w:t>. The</w:t>
      </w:r>
      <w:r w:rsidR="003A1917">
        <w:t xml:space="preserve"> </w:t>
      </w:r>
      <w:r w:rsidRPr="001A3D2B">
        <w:t>index</w:t>
      </w:r>
      <w:r w:rsidR="00427468">
        <w:t xml:space="preserve"> of </w:t>
      </w:r>
      <w:r w:rsidRPr="001A3D2B">
        <w:t>collaboration is similar to that found in other scientific areas.</w:t>
      </w:r>
    </w:p>
    <w:p w:rsidR="00A021F3" w:rsidRPr="00F219CA" w:rsidRDefault="00A021F3" w:rsidP="00A021F3">
      <w:pPr>
        <w:pStyle w:val="a3"/>
        <w:rPr>
          <w:kern w:val="0"/>
          <w:szCs w:val="24"/>
        </w:rPr>
      </w:pPr>
      <w:r w:rsidRPr="00F219CA">
        <w:rPr>
          <w:kern w:val="0"/>
          <w:szCs w:val="24"/>
        </w:rPr>
        <w:t>Keywords: Addiction, Alcohol</w:t>
      </w:r>
      <w:r w:rsidR="005853A9">
        <w:rPr>
          <w:kern w:val="0"/>
          <w:szCs w:val="24"/>
        </w:rPr>
        <w:t xml:space="preserve"> and </w:t>
      </w:r>
      <w:r w:rsidRPr="00F219CA">
        <w:rPr>
          <w:kern w:val="0"/>
          <w:szCs w:val="24"/>
        </w:rPr>
        <w:t>Drug Misuse, Bibliographic Databases, Bibliometrics, Citation Analysis, Citations, Cocaine, Collaboration, Countries, Databases, Dependence, English, European Union, Germany, Impact, Journal Articles, Journals, Language, Psycinfo, Publication Trends, Publications, Publishing, Rehabilitation, Scientific Production, Spain, Substance Dependence, Tobacco</w:t>
      </w:r>
    </w:p>
    <w:p w:rsidR="00A021F3" w:rsidRDefault="00A021F3" w:rsidP="00A021F3">
      <w:pPr>
        <w:pStyle w:val="a3"/>
        <w:rPr>
          <w:kern w:val="0"/>
        </w:rPr>
      </w:pPr>
      <w:r>
        <w:rPr>
          <w:rFonts w:hint="eastAsia"/>
          <w:kern w:val="0"/>
        </w:rPr>
        <w:t xml:space="preserve">? </w:t>
      </w:r>
      <w:r>
        <w:rPr>
          <w:kern w:val="0"/>
        </w:rPr>
        <w:t>Webb, G., Shakeshaft, A., Sanson-Fisher, R.</w:t>
      </w:r>
      <w:r w:rsidR="005853A9">
        <w:rPr>
          <w:kern w:val="0"/>
        </w:rPr>
        <w:t xml:space="preserve"> and </w:t>
      </w:r>
      <w:r>
        <w:rPr>
          <w:kern w:val="0"/>
        </w:rPr>
        <w:t>Havard, A. (2009), A systematic review</w:t>
      </w:r>
      <w:r w:rsidR="00427468">
        <w:rPr>
          <w:kern w:val="0"/>
        </w:rPr>
        <w:t xml:space="preserve"> of </w:t>
      </w:r>
      <w:r>
        <w:rPr>
          <w:kern w:val="0"/>
        </w:rPr>
        <w:t xml:space="preserve">work-place interventions for alcohol-related problems. </w:t>
      </w:r>
      <w:r>
        <w:rPr>
          <w:i/>
          <w:iCs/>
          <w:kern w:val="0"/>
        </w:rPr>
        <w:t>Addiction</w:t>
      </w:r>
      <w:r>
        <w:rPr>
          <w:kern w:val="0"/>
        </w:rPr>
        <w:t xml:space="preserve">, </w:t>
      </w:r>
      <w:r>
        <w:rPr>
          <w:b/>
          <w:bCs/>
          <w:kern w:val="0"/>
        </w:rPr>
        <w:t>104</w:t>
      </w:r>
      <w:r>
        <w:rPr>
          <w:kern w:val="0"/>
        </w:rPr>
        <w:t xml:space="preserve"> (3), 365-377.</w:t>
      </w:r>
    </w:p>
    <w:p w:rsidR="00A021F3" w:rsidRPr="001A3D2B" w:rsidRDefault="00A021F3" w:rsidP="00A021F3">
      <w:pPr>
        <w:pStyle w:val="a3"/>
      </w:pPr>
      <w:r w:rsidRPr="001A3D2B">
        <w:t xml:space="preserve">Full Text: </w:t>
      </w:r>
      <w:hyperlink r:id="rId232" w:history="1">
        <w:r w:rsidRPr="00FB71F5">
          <w:rPr>
            <w:rStyle w:val="a5"/>
          </w:rPr>
          <w:t>2009\Addiction104, 365.pdf</w:t>
        </w:r>
      </w:hyperlink>
    </w:p>
    <w:p w:rsidR="00A021F3" w:rsidRDefault="00A021F3" w:rsidP="00A021F3">
      <w:pPr>
        <w:pStyle w:val="a3"/>
        <w:rPr>
          <w:kern w:val="0"/>
        </w:rPr>
      </w:pPr>
      <w:r>
        <w:rPr>
          <w:kern w:val="0"/>
        </w:rPr>
        <w:t>Abstract:</w:t>
      </w:r>
      <w:r w:rsidR="003A1917">
        <w:rPr>
          <w:kern w:val="0"/>
        </w:rPr>
        <w:t xml:space="preserve"> the </w:t>
      </w:r>
      <w:r>
        <w:rPr>
          <w:kern w:val="0"/>
        </w:rPr>
        <w:t>aims</w:t>
      </w:r>
      <w:r w:rsidR="00427468">
        <w:rPr>
          <w:kern w:val="0"/>
        </w:rPr>
        <w:t xml:space="preserve"> of </w:t>
      </w:r>
      <w:r>
        <w:rPr>
          <w:kern w:val="0"/>
        </w:rPr>
        <w:t>this study were to (1) gauge any improvement in methodological quality</w:t>
      </w:r>
      <w:r w:rsidR="00427468">
        <w:rPr>
          <w:kern w:val="0"/>
        </w:rPr>
        <w:t xml:space="preserve"> of </w:t>
      </w:r>
      <w:r>
        <w:rPr>
          <w:kern w:val="0"/>
        </w:rPr>
        <w:t>work-place interventions addressing alcohol problems;</w:t>
      </w:r>
      <w:r w:rsidR="005853A9">
        <w:rPr>
          <w:kern w:val="0"/>
        </w:rPr>
        <w:t xml:space="preserve"> and </w:t>
      </w:r>
      <w:r>
        <w:rPr>
          <w:kern w:val="0"/>
        </w:rPr>
        <w:t>(2) to determine which interventions most effectively reduce work-place-related alcohol problems. A literature search was undertaken</w:t>
      </w:r>
      <w:r w:rsidR="00427468">
        <w:rPr>
          <w:kern w:val="0"/>
        </w:rPr>
        <w:t xml:space="preserve"> of </w:t>
      </w:r>
      <w:r w:rsidR="003A1917">
        <w:rPr>
          <w:kern w:val="0"/>
        </w:rPr>
        <w:t xml:space="preserve">the </w:t>
      </w:r>
      <w:r>
        <w:rPr>
          <w:kern w:val="0"/>
        </w:rPr>
        <w:t xml:space="preserve">data bases, Ovid </w:t>
      </w:r>
      <w:r w:rsidR="00D5664A">
        <w:rPr>
          <w:kern w:val="0"/>
        </w:rPr>
        <w:t>MEDLINE</w:t>
      </w:r>
      <w:r>
        <w:rPr>
          <w:kern w:val="0"/>
        </w:rPr>
        <w:t xml:space="preserve">, PsychINFO, </w:t>
      </w:r>
      <w:r w:rsidR="00D5664A">
        <w:rPr>
          <w:kern w:val="0"/>
        </w:rPr>
        <w:t>Web</w:t>
      </w:r>
      <w:r w:rsidR="00427468">
        <w:rPr>
          <w:kern w:val="0"/>
        </w:rPr>
        <w:t xml:space="preserve"> of </w:t>
      </w:r>
      <w:r w:rsidR="00D5664A">
        <w:rPr>
          <w:kern w:val="0"/>
        </w:rPr>
        <w:t>Science</w:t>
      </w:r>
      <w:r>
        <w:rPr>
          <w:kern w:val="0"/>
        </w:rPr>
        <w:t>, Scopus, HSELINE, OSHLINE</w:t>
      </w:r>
      <w:r w:rsidR="005853A9">
        <w:rPr>
          <w:kern w:val="0"/>
        </w:rPr>
        <w:t xml:space="preserve"> and </w:t>
      </w:r>
      <w:r>
        <w:rPr>
          <w:kern w:val="0"/>
        </w:rPr>
        <w:t>NIOSHTIC-2 for papers published between January 1995</w:t>
      </w:r>
      <w:r w:rsidR="005853A9">
        <w:rPr>
          <w:kern w:val="0"/>
        </w:rPr>
        <w:t xml:space="preserve"> and </w:t>
      </w:r>
      <w:r>
        <w:rPr>
          <w:kern w:val="0"/>
        </w:rPr>
        <w:t>September 2007 (inclusive). Search terms varied, depending on</w:t>
      </w:r>
      <w:r w:rsidR="003A1917">
        <w:rPr>
          <w:kern w:val="0"/>
        </w:rPr>
        <w:t xml:space="preserve"> the </w:t>
      </w:r>
      <w:r>
        <w:rPr>
          <w:kern w:val="0"/>
        </w:rPr>
        <w:t>database. Papers were included for analysis if they reported on interventions conducted at work-places with</w:t>
      </w:r>
      <w:r w:rsidR="003A1917">
        <w:rPr>
          <w:kern w:val="0"/>
        </w:rPr>
        <w:t xml:space="preserve"> the </w:t>
      </w:r>
      <w:r>
        <w:rPr>
          <w:kern w:val="0"/>
        </w:rPr>
        <w:t>aim</w:t>
      </w:r>
      <w:r w:rsidR="00427468">
        <w:rPr>
          <w:kern w:val="0"/>
        </w:rPr>
        <w:t xml:space="preserve"> of </w:t>
      </w:r>
      <w:r>
        <w:rPr>
          <w:kern w:val="0"/>
        </w:rPr>
        <w:t>reducing alcohol problems. Methodological adequacy</w:t>
      </w:r>
      <w:r w:rsidR="00427468">
        <w:rPr>
          <w:kern w:val="0"/>
        </w:rPr>
        <w:t xml:space="preserve"> of </w:t>
      </w:r>
      <w:r w:rsidR="003A1917">
        <w:rPr>
          <w:kern w:val="0"/>
        </w:rPr>
        <w:t xml:space="preserve">the </w:t>
      </w:r>
      <w:r>
        <w:rPr>
          <w:kern w:val="0"/>
        </w:rPr>
        <w:t>studies was assessed using a method derived from</w:t>
      </w:r>
      <w:r w:rsidR="003A1917">
        <w:rPr>
          <w:kern w:val="0"/>
        </w:rPr>
        <w:t xml:space="preserve"> the </w:t>
      </w:r>
      <w:r>
        <w:rPr>
          <w:kern w:val="0"/>
        </w:rPr>
        <w:t>Cochrane Collaboration guidelines. Ten papers reporting on work-place alcohol interventions were located. Only four studies employed randomized controlled trials (RCT), but all these had methodological problems. Weaknesses in all studies related to representativeness</w:t>
      </w:r>
      <w:r w:rsidR="00427468">
        <w:rPr>
          <w:kern w:val="0"/>
        </w:rPr>
        <w:t xml:space="preserve"> of </w:t>
      </w:r>
      <w:r>
        <w:rPr>
          <w:kern w:val="0"/>
        </w:rPr>
        <w:t>samples, consent</w:t>
      </w:r>
      <w:r w:rsidR="005853A9">
        <w:rPr>
          <w:kern w:val="0"/>
        </w:rPr>
        <w:t xml:space="preserve"> and </w:t>
      </w:r>
      <w:r>
        <w:rPr>
          <w:kern w:val="0"/>
        </w:rPr>
        <w:t>participation rates, blinding, post-test time-frames, contamination</w:t>
      </w:r>
      <w:r w:rsidR="005853A9">
        <w:rPr>
          <w:kern w:val="0"/>
        </w:rPr>
        <w:t xml:space="preserve"> and </w:t>
      </w:r>
      <w:r>
        <w:rPr>
          <w:kern w:val="0"/>
        </w:rPr>
        <w:t>reliability,</w:t>
      </w:r>
      <w:r w:rsidR="005853A9">
        <w:rPr>
          <w:kern w:val="0"/>
        </w:rPr>
        <w:t xml:space="preserve"> and </w:t>
      </w:r>
      <w:r>
        <w:rPr>
          <w:kern w:val="0"/>
        </w:rPr>
        <w:t>validity</w:t>
      </w:r>
      <w:r w:rsidR="00427468">
        <w:rPr>
          <w:kern w:val="0"/>
        </w:rPr>
        <w:t xml:space="preserve"> of </w:t>
      </w:r>
      <w:r>
        <w:rPr>
          <w:kern w:val="0"/>
        </w:rPr>
        <w:t>measures used. All except one study reported statistically significant differences in measures such as reduced alcohol consumption, binge drinking</w:t>
      </w:r>
      <w:r w:rsidR="005853A9">
        <w:rPr>
          <w:kern w:val="0"/>
        </w:rPr>
        <w:t xml:space="preserve"> and </w:t>
      </w:r>
      <w:r>
        <w:rPr>
          <w:kern w:val="0"/>
        </w:rPr>
        <w:t>alcohol problems</w:t>
      </w:r>
      <w:r w:rsidR="00A37C1D">
        <w:rPr>
          <w:kern w:val="0"/>
        </w:rPr>
        <w:t>. The</w:t>
      </w:r>
      <w:r w:rsidR="003A1917">
        <w:rPr>
          <w:kern w:val="0"/>
        </w:rPr>
        <w:t xml:space="preserve"> </w:t>
      </w:r>
      <w:r>
        <w:rPr>
          <w:kern w:val="0"/>
        </w:rPr>
        <w:t>literature review revealed few methodologically adequate studies</w:t>
      </w:r>
      <w:r w:rsidR="00427468">
        <w:rPr>
          <w:kern w:val="0"/>
        </w:rPr>
        <w:t xml:space="preserve"> of </w:t>
      </w:r>
      <w:r>
        <w:rPr>
          <w:kern w:val="0"/>
        </w:rPr>
        <w:t>work-place alcohol interventions. Study designs, types</w:t>
      </w:r>
      <w:r w:rsidR="00427468">
        <w:rPr>
          <w:kern w:val="0"/>
        </w:rPr>
        <w:t xml:space="preserve"> of </w:t>
      </w:r>
      <w:r>
        <w:rPr>
          <w:kern w:val="0"/>
        </w:rPr>
        <w:t>interventions, measures employed</w:t>
      </w:r>
      <w:r w:rsidR="005853A9">
        <w:rPr>
          <w:kern w:val="0"/>
        </w:rPr>
        <w:t xml:space="preserve"> and </w:t>
      </w:r>
      <w:r>
        <w:rPr>
          <w:kern w:val="0"/>
        </w:rPr>
        <w:t>types</w:t>
      </w:r>
      <w:r w:rsidR="00427468">
        <w:rPr>
          <w:kern w:val="0"/>
        </w:rPr>
        <w:t xml:space="preserve"> of </w:t>
      </w:r>
      <w:r>
        <w:rPr>
          <w:kern w:val="0"/>
        </w:rPr>
        <w:t xml:space="preserve">work-places varied considerably, making </w:t>
      </w:r>
      <w:r>
        <w:rPr>
          <w:kern w:val="0"/>
        </w:rPr>
        <w:lastRenderedPageBreak/>
        <w:t>comparison</w:t>
      </w:r>
      <w:r w:rsidR="00427468">
        <w:rPr>
          <w:kern w:val="0"/>
        </w:rPr>
        <w:t xml:space="preserve"> of </w:t>
      </w:r>
      <w:r>
        <w:rPr>
          <w:kern w:val="0"/>
        </w:rPr>
        <w:t>results difficult. However, it appears from</w:t>
      </w:r>
      <w:r w:rsidR="003A1917">
        <w:rPr>
          <w:kern w:val="0"/>
        </w:rPr>
        <w:t xml:space="preserve"> the </w:t>
      </w:r>
      <w:r>
        <w:rPr>
          <w:kern w:val="0"/>
        </w:rPr>
        <w:t>evidence that brief interventions, interventions contained within health</w:t>
      </w:r>
      <w:r w:rsidR="005853A9">
        <w:rPr>
          <w:kern w:val="0"/>
        </w:rPr>
        <w:t xml:space="preserve"> and </w:t>
      </w:r>
      <w:r>
        <w:rPr>
          <w:kern w:val="0"/>
        </w:rPr>
        <w:t>life-style checks, psychosocial skills training</w:t>
      </w:r>
      <w:r w:rsidR="005853A9">
        <w:rPr>
          <w:kern w:val="0"/>
        </w:rPr>
        <w:t xml:space="preserve"> and </w:t>
      </w:r>
      <w:r>
        <w:rPr>
          <w:kern w:val="0"/>
        </w:rPr>
        <w:t>peer referral have potential to produce beneficial results.</w:t>
      </w:r>
    </w:p>
    <w:p w:rsidR="00A021F3" w:rsidRDefault="00A021F3" w:rsidP="00A021F3">
      <w:pPr>
        <w:pStyle w:val="a3"/>
        <w:rPr>
          <w:kern w:val="0"/>
        </w:rPr>
      </w:pPr>
      <w:r>
        <w:rPr>
          <w:kern w:val="0"/>
        </w:rPr>
        <w:t xml:space="preserve">Keywords: Alcohol, Alcohol Abuse, Alcohol Consumption, Analysis, Cochrane, Collaboration, Consumption, Guidelines, Health-Promotion, Impact, Intervention Studies, Interventions, Literature, Literature Review, Papers, Problem Drinking, Program, Psychosocial, Randomized Controlled Trials, Reliability, Review, Science, Scopus, Substance-Abuse Prevention, Systematic, Systematic Review, Training, Validity, </w:t>
      </w:r>
      <w:r w:rsidR="00D5664A">
        <w:rPr>
          <w:kern w:val="0"/>
        </w:rPr>
        <w:t>Web</w:t>
      </w:r>
      <w:r w:rsidR="00427468">
        <w:rPr>
          <w:kern w:val="0"/>
        </w:rPr>
        <w:t xml:space="preserve"> of </w:t>
      </w:r>
      <w:r w:rsidR="00D5664A">
        <w:rPr>
          <w:kern w:val="0"/>
        </w:rPr>
        <w:t>Science</w:t>
      </w:r>
      <w:r>
        <w:rPr>
          <w:kern w:val="0"/>
        </w:rPr>
        <w:t>, Work-Place, Work-Site, Workers</w:t>
      </w:r>
    </w:p>
    <w:p w:rsidR="00A021F3" w:rsidRDefault="00A021F3" w:rsidP="00A021F3">
      <w:pPr>
        <w:pStyle w:val="a3"/>
        <w:rPr>
          <w:kern w:val="0"/>
        </w:rPr>
      </w:pPr>
      <w:r>
        <w:rPr>
          <w:rFonts w:hint="eastAsia"/>
          <w:kern w:val="0"/>
        </w:rPr>
        <w:t xml:space="preserve">? </w:t>
      </w:r>
      <w:r>
        <w:rPr>
          <w:kern w:val="0"/>
        </w:rPr>
        <w:t>Saraceno, L., Munafó, M., Heron, J., Craddock, N.</w:t>
      </w:r>
      <w:r w:rsidR="005853A9">
        <w:rPr>
          <w:kern w:val="0"/>
        </w:rPr>
        <w:t xml:space="preserve"> and </w:t>
      </w:r>
      <w:r>
        <w:rPr>
          <w:kern w:val="0"/>
        </w:rPr>
        <w:t>van den Bree, M.B.M. (2009), Genetic</w:t>
      </w:r>
      <w:r w:rsidR="005853A9">
        <w:rPr>
          <w:kern w:val="0"/>
        </w:rPr>
        <w:t xml:space="preserve"> and </w:t>
      </w:r>
      <w:r>
        <w:rPr>
          <w:kern w:val="0"/>
        </w:rPr>
        <w:t>non-genetic influences on</w:t>
      </w:r>
      <w:r w:rsidR="003A1917">
        <w:rPr>
          <w:kern w:val="0"/>
        </w:rPr>
        <w:t xml:space="preserve"> the </w:t>
      </w:r>
      <w:r>
        <w:rPr>
          <w:kern w:val="0"/>
        </w:rPr>
        <w:t>development</w:t>
      </w:r>
      <w:r w:rsidR="00427468">
        <w:rPr>
          <w:kern w:val="0"/>
        </w:rPr>
        <w:t xml:space="preserve"> of </w:t>
      </w:r>
      <w:r>
        <w:rPr>
          <w:kern w:val="0"/>
        </w:rPr>
        <w:t>co-occurring alcohol problem use</w:t>
      </w:r>
      <w:r w:rsidR="005853A9">
        <w:rPr>
          <w:kern w:val="0"/>
        </w:rPr>
        <w:t xml:space="preserve"> and </w:t>
      </w:r>
      <w:r>
        <w:rPr>
          <w:kern w:val="0"/>
        </w:rPr>
        <w:t xml:space="preserve">internalizing symptomatology in adolescence: A review. </w:t>
      </w:r>
      <w:r>
        <w:rPr>
          <w:i/>
          <w:iCs/>
          <w:kern w:val="0"/>
        </w:rPr>
        <w:t>Addiction</w:t>
      </w:r>
      <w:r>
        <w:rPr>
          <w:kern w:val="0"/>
        </w:rPr>
        <w:t xml:space="preserve">, </w:t>
      </w:r>
      <w:r>
        <w:rPr>
          <w:b/>
          <w:bCs/>
          <w:kern w:val="0"/>
        </w:rPr>
        <w:t>104</w:t>
      </w:r>
      <w:r>
        <w:rPr>
          <w:kern w:val="0"/>
        </w:rPr>
        <w:t xml:space="preserve"> (7), 1100-1121.</w:t>
      </w:r>
    </w:p>
    <w:p w:rsidR="00A021F3" w:rsidRPr="001A3D2B" w:rsidRDefault="00A021F3" w:rsidP="00A021F3">
      <w:pPr>
        <w:pStyle w:val="a3"/>
      </w:pPr>
      <w:r w:rsidRPr="001A3D2B">
        <w:t xml:space="preserve">Full Text: </w:t>
      </w:r>
      <w:hyperlink r:id="rId233" w:history="1">
        <w:r w:rsidRPr="00FB71F5">
          <w:rPr>
            <w:rStyle w:val="a5"/>
          </w:rPr>
          <w:t>2009\Addiction104, 1100.pdf</w:t>
        </w:r>
      </w:hyperlink>
    </w:p>
    <w:p w:rsidR="00A021F3" w:rsidRDefault="00A021F3" w:rsidP="00A021F3">
      <w:pPr>
        <w:pStyle w:val="a3"/>
        <w:rPr>
          <w:kern w:val="0"/>
        </w:rPr>
      </w:pPr>
      <w:r>
        <w:rPr>
          <w:kern w:val="0"/>
        </w:rPr>
        <w:t>Abstract: Alcohol problem use during adolescence has been linked to a variety</w:t>
      </w:r>
      <w:r w:rsidR="00427468">
        <w:rPr>
          <w:kern w:val="0"/>
        </w:rPr>
        <w:t xml:space="preserve"> of </w:t>
      </w:r>
      <w:r>
        <w:rPr>
          <w:kern w:val="0"/>
        </w:rPr>
        <w:t>adverse consequences, including cigarette</w:t>
      </w:r>
      <w:r w:rsidR="005853A9">
        <w:rPr>
          <w:kern w:val="0"/>
        </w:rPr>
        <w:t xml:space="preserve"> and </w:t>
      </w:r>
      <w:r>
        <w:rPr>
          <w:kern w:val="0"/>
        </w:rPr>
        <w:t>illicit drug use, delinquency, adverse effects on pubertal brain development</w:t>
      </w:r>
      <w:r w:rsidR="005853A9">
        <w:rPr>
          <w:kern w:val="0"/>
        </w:rPr>
        <w:t xml:space="preserve"> and </w:t>
      </w:r>
      <w:r>
        <w:rPr>
          <w:kern w:val="0"/>
        </w:rPr>
        <w:t>increased risk</w:t>
      </w:r>
      <w:r w:rsidR="00427468">
        <w:rPr>
          <w:kern w:val="0"/>
        </w:rPr>
        <w:t xml:space="preserve"> of </w:t>
      </w:r>
      <w:r>
        <w:rPr>
          <w:kern w:val="0"/>
        </w:rPr>
        <w:t>morbidity</w:t>
      </w:r>
      <w:r w:rsidR="005853A9">
        <w:rPr>
          <w:kern w:val="0"/>
        </w:rPr>
        <w:t xml:space="preserve"> and </w:t>
      </w:r>
      <w:r>
        <w:rPr>
          <w:kern w:val="0"/>
        </w:rPr>
        <w:t>mortality. In addition, heavy alcohol-drinking adolescents are at increased risk</w:t>
      </w:r>
      <w:r w:rsidR="00427468">
        <w:rPr>
          <w:kern w:val="0"/>
        </w:rPr>
        <w:t xml:space="preserve"> of </w:t>
      </w:r>
      <w:r>
        <w:rPr>
          <w:kern w:val="0"/>
        </w:rPr>
        <w:t>comorbid psychopathology, including internalizing symptomatology (especially depression</w:t>
      </w:r>
      <w:r w:rsidR="005853A9">
        <w:rPr>
          <w:kern w:val="0"/>
        </w:rPr>
        <w:t xml:space="preserve"> and </w:t>
      </w:r>
      <w:r>
        <w:rPr>
          <w:kern w:val="0"/>
        </w:rPr>
        <w:t>anxiety). A range</w:t>
      </w:r>
      <w:r w:rsidR="00427468">
        <w:rPr>
          <w:kern w:val="0"/>
        </w:rPr>
        <w:t xml:space="preserve"> of </w:t>
      </w:r>
      <w:r>
        <w:rPr>
          <w:kern w:val="0"/>
        </w:rPr>
        <w:t>genetic</w:t>
      </w:r>
      <w:r w:rsidR="005853A9">
        <w:rPr>
          <w:kern w:val="0"/>
        </w:rPr>
        <w:t xml:space="preserve"> and </w:t>
      </w:r>
      <w:r>
        <w:rPr>
          <w:kern w:val="0"/>
        </w:rPr>
        <w:t xml:space="preserve">non-genetic factors have been implicated in both alcohol problem use as well as internalizing symptomatology. However, to what extent shared risk factors contribute to their comorbidity in adolescence is poorly understood. We conducted a systematic review on </w:t>
      </w:r>
      <w:r w:rsidR="00D5664A">
        <w:rPr>
          <w:kern w:val="0"/>
        </w:rPr>
        <w:t>MEDLINE</w:t>
      </w:r>
      <w:r>
        <w:rPr>
          <w:kern w:val="0"/>
        </w:rPr>
        <w:t>, PsycINFO,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to identify epidemiological</w:t>
      </w:r>
      <w:r w:rsidR="005853A9">
        <w:rPr>
          <w:kern w:val="0"/>
        </w:rPr>
        <w:t xml:space="preserve"> and </w:t>
      </w:r>
      <w:r>
        <w:rPr>
          <w:kern w:val="0"/>
        </w:rPr>
        <w:t>molecular genetic studies published between November 1997</w:t>
      </w:r>
      <w:r w:rsidR="005853A9">
        <w:rPr>
          <w:kern w:val="0"/>
        </w:rPr>
        <w:t xml:space="preserve"> and </w:t>
      </w:r>
      <w:r>
        <w:rPr>
          <w:kern w:val="0"/>
        </w:rPr>
        <w:t>November 2007 that examined risk factors that may be shared in common between alcohol problem use</w:t>
      </w:r>
      <w:r w:rsidR="005853A9">
        <w:rPr>
          <w:kern w:val="0"/>
        </w:rPr>
        <w:t xml:space="preserve"> and </w:t>
      </w:r>
      <w:r>
        <w:rPr>
          <w:kern w:val="0"/>
        </w:rPr>
        <w:t>internalizing symptomatology in adolescence. Externalizing disorders, family alcohol problems</w:t>
      </w:r>
      <w:r w:rsidR="005853A9">
        <w:rPr>
          <w:kern w:val="0"/>
        </w:rPr>
        <w:t xml:space="preserve"> and </w:t>
      </w:r>
      <w:r>
        <w:rPr>
          <w:kern w:val="0"/>
        </w:rPr>
        <w:t>stress, as well as</w:t>
      </w:r>
      <w:r w:rsidR="003A1917">
        <w:rPr>
          <w:kern w:val="0"/>
        </w:rPr>
        <w:t xml:space="preserve"> the </w:t>
      </w:r>
      <w:r>
        <w:rPr>
          <w:kern w:val="0"/>
        </w:rPr>
        <w:t>serotonin transporter (5-HTT) S-allele,</w:t>
      </w:r>
      <w:r w:rsidR="003A1917">
        <w:rPr>
          <w:kern w:val="0"/>
        </w:rPr>
        <w:t xml:space="preserve"> the </w:t>
      </w:r>
      <w:r>
        <w:rPr>
          <w:kern w:val="0"/>
        </w:rPr>
        <w:t>monoamine oxidase A (MAOA) low-activity alleles</w:t>
      </w:r>
      <w:r w:rsidR="005853A9">
        <w:rPr>
          <w:kern w:val="0"/>
        </w:rPr>
        <w:t xml:space="preserve"> and </w:t>
      </w:r>
      <w:r w:rsidR="003A1917">
        <w:rPr>
          <w:kern w:val="0"/>
        </w:rPr>
        <w:t xml:space="preserve">the </w:t>
      </w:r>
      <w:r>
        <w:rPr>
          <w:kern w:val="0"/>
        </w:rPr>
        <w:t>dopamine D2 receptor (DDR2) Taq A1 allele have been associated most frequently with both traits. An increasing number</w:t>
      </w:r>
      <w:r w:rsidR="00427468">
        <w:rPr>
          <w:kern w:val="0"/>
        </w:rPr>
        <w:t xml:space="preserve"> of </w:t>
      </w:r>
      <w:r>
        <w:rPr>
          <w:kern w:val="0"/>
        </w:rPr>
        <w:t>papers are focusing upon</w:t>
      </w:r>
      <w:r w:rsidR="003A1917">
        <w:rPr>
          <w:kern w:val="0"/>
        </w:rPr>
        <w:t xml:space="preserve"> the </w:t>
      </w:r>
      <w:r>
        <w:rPr>
          <w:kern w:val="0"/>
        </w:rPr>
        <w:t>role</w:t>
      </w:r>
      <w:r w:rsidR="00427468">
        <w:rPr>
          <w:kern w:val="0"/>
        </w:rPr>
        <w:t xml:space="preserve"> of </w:t>
      </w:r>
      <w:r>
        <w:rPr>
          <w:kern w:val="0"/>
        </w:rPr>
        <w:t>gene-gene (epistasis)</w:t>
      </w:r>
      <w:r w:rsidR="005853A9">
        <w:rPr>
          <w:kern w:val="0"/>
        </w:rPr>
        <w:t xml:space="preserve"> and </w:t>
      </w:r>
      <w:r>
        <w:rPr>
          <w:kern w:val="0"/>
        </w:rPr>
        <w:t>gene-environment interactions in</w:t>
      </w:r>
      <w:r w:rsidR="003A1917">
        <w:rPr>
          <w:kern w:val="0"/>
        </w:rPr>
        <w:t xml:space="preserve"> the </w:t>
      </w:r>
      <w:r>
        <w:rPr>
          <w:kern w:val="0"/>
        </w:rPr>
        <w:t>development</w:t>
      </w:r>
      <w:r w:rsidR="00427468">
        <w:rPr>
          <w:kern w:val="0"/>
        </w:rPr>
        <w:t xml:space="preserve"> of </w:t>
      </w:r>
      <w:r>
        <w:rPr>
          <w:kern w:val="0"/>
        </w:rPr>
        <w:t>comorbid alcohol problem use</w:t>
      </w:r>
      <w:r w:rsidR="005853A9">
        <w:rPr>
          <w:kern w:val="0"/>
        </w:rPr>
        <w:t xml:space="preserve"> and </w:t>
      </w:r>
      <w:r>
        <w:rPr>
          <w:kern w:val="0"/>
        </w:rPr>
        <w:t>internalizing symptomatology. Further research in adolescents is warranted;</w:t>
      </w:r>
      <w:r w:rsidR="003A1917">
        <w:rPr>
          <w:kern w:val="0"/>
        </w:rPr>
        <w:t xml:space="preserve"> the </w:t>
      </w:r>
      <w:r>
        <w:rPr>
          <w:kern w:val="0"/>
        </w:rPr>
        <w:t>increasing availability</w:t>
      </w:r>
      <w:r w:rsidR="00427468">
        <w:rPr>
          <w:kern w:val="0"/>
        </w:rPr>
        <w:t xml:space="preserve"> of </w:t>
      </w:r>
      <w:r>
        <w:rPr>
          <w:kern w:val="0"/>
        </w:rPr>
        <w:t>large longitudinal genetically informative studies will provide</w:t>
      </w:r>
      <w:r w:rsidR="003A1917">
        <w:rPr>
          <w:kern w:val="0"/>
        </w:rPr>
        <w:t xml:space="preserve"> the </w:t>
      </w:r>
      <w:r>
        <w:rPr>
          <w:kern w:val="0"/>
        </w:rPr>
        <w:t>evidence base from which effective prevention</w:t>
      </w:r>
      <w:r w:rsidR="005853A9">
        <w:rPr>
          <w:kern w:val="0"/>
        </w:rPr>
        <w:t xml:space="preserve"> and </w:t>
      </w:r>
      <w:r>
        <w:rPr>
          <w:kern w:val="0"/>
        </w:rPr>
        <w:t>intervention strategies for comorbid alcohol problems</w:t>
      </w:r>
      <w:r w:rsidR="005853A9">
        <w:rPr>
          <w:kern w:val="0"/>
        </w:rPr>
        <w:t xml:space="preserve"> and </w:t>
      </w:r>
      <w:r>
        <w:rPr>
          <w:kern w:val="0"/>
        </w:rPr>
        <w:t>internalizing symptomatology can be developed.</w:t>
      </w:r>
    </w:p>
    <w:p w:rsidR="00A021F3" w:rsidRDefault="00A021F3" w:rsidP="00A021F3">
      <w:pPr>
        <w:pStyle w:val="a3"/>
        <w:rPr>
          <w:kern w:val="0"/>
        </w:rPr>
      </w:pPr>
      <w:r>
        <w:rPr>
          <w:kern w:val="0"/>
        </w:rPr>
        <w:t xml:space="preserve">Keywords: Activity-Dependent Secretion, Adolescents, Adverse Effects, Alcohol, </w:t>
      </w:r>
      <w:r>
        <w:rPr>
          <w:kern w:val="0"/>
        </w:rPr>
        <w:lastRenderedPageBreak/>
        <w:t>Alcohol Drinking, Alcohol Problem Use, Anxiety, Brain, Brain Development, Catechol-O-Methyltransferase, Comorbidity, Deficit Hyperactivity Disorder, Depression, Depression</w:t>
      </w:r>
      <w:r w:rsidR="005853A9">
        <w:rPr>
          <w:kern w:val="0"/>
        </w:rPr>
        <w:t xml:space="preserve"> and </w:t>
      </w:r>
      <w:r>
        <w:rPr>
          <w:kern w:val="0"/>
        </w:rPr>
        <w:t xml:space="preserve">Anxiety, Development, Dopamine-Receptor Gene, Drug, Drug Use, Genetic, Illicit Drug-Use, Intervention, Molecular, Morbidity, Mortality, Muscarinic Acetylcholine-Receptor, Neurotrophic Factor BDNF, Oxidase-A Gene, Papers, Prevention, Research, Review, Risk, Risk Factors, Science, Serotonin, Serotonin Transporter Gene, Stress, Substance Use Disorders, Systematic, Systematic Review, </w:t>
      </w:r>
      <w:r w:rsidR="00D5664A">
        <w:rPr>
          <w:kern w:val="0"/>
        </w:rPr>
        <w:t>Web</w:t>
      </w:r>
      <w:r w:rsidR="00427468">
        <w:rPr>
          <w:kern w:val="0"/>
        </w:rPr>
        <w:t xml:space="preserve"> of </w:t>
      </w:r>
      <w:r w:rsidR="00D5664A">
        <w:rPr>
          <w:kern w:val="0"/>
        </w:rPr>
        <w:t>Science</w:t>
      </w:r>
    </w:p>
    <w:p w:rsidR="00A021F3" w:rsidRDefault="00A021F3" w:rsidP="00A021F3">
      <w:pPr>
        <w:pStyle w:val="a3"/>
        <w:rPr>
          <w:kern w:val="0"/>
        </w:rPr>
      </w:pPr>
      <w:r>
        <w:rPr>
          <w:rFonts w:hint="eastAsia"/>
          <w:kern w:val="0"/>
        </w:rPr>
        <w:t xml:space="preserve">? </w:t>
      </w:r>
      <w:r>
        <w:rPr>
          <w:kern w:val="0"/>
        </w:rPr>
        <w:t>Boden, J.M.</w:t>
      </w:r>
      <w:r w:rsidR="005853A9">
        <w:rPr>
          <w:kern w:val="0"/>
        </w:rPr>
        <w:t xml:space="preserve"> and </w:t>
      </w:r>
      <w:r>
        <w:rPr>
          <w:kern w:val="0"/>
        </w:rPr>
        <w:t>Fergusson, D.M. (2011), Alcohol</w:t>
      </w:r>
      <w:r w:rsidR="005853A9">
        <w:rPr>
          <w:kern w:val="0"/>
        </w:rPr>
        <w:t xml:space="preserve"> and </w:t>
      </w:r>
      <w:r>
        <w:rPr>
          <w:kern w:val="0"/>
        </w:rPr>
        <w:t xml:space="preserve">depression. </w:t>
      </w:r>
      <w:r>
        <w:rPr>
          <w:i/>
          <w:iCs/>
          <w:kern w:val="0"/>
        </w:rPr>
        <w:t>Addiction</w:t>
      </w:r>
      <w:r>
        <w:rPr>
          <w:kern w:val="0"/>
        </w:rPr>
        <w:t xml:space="preserve">, </w:t>
      </w:r>
      <w:r>
        <w:rPr>
          <w:b/>
          <w:bCs/>
          <w:kern w:val="0"/>
        </w:rPr>
        <w:t>106</w:t>
      </w:r>
      <w:r>
        <w:rPr>
          <w:kern w:val="0"/>
        </w:rPr>
        <w:t xml:space="preserve"> (5), 906-914.</w:t>
      </w:r>
    </w:p>
    <w:p w:rsidR="00A021F3" w:rsidRPr="001A3D2B" w:rsidRDefault="00A021F3" w:rsidP="00A021F3">
      <w:pPr>
        <w:pStyle w:val="a3"/>
      </w:pPr>
      <w:r w:rsidRPr="001A3D2B">
        <w:t xml:space="preserve">Full Text: </w:t>
      </w:r>
      <w:hyperlink r:id="rId234" w:history="1">
        <w:r w:rsidRPr="00FB71F5">
          <w:rPr>
            <w:rStyle w:val="a5"/>
          </w:rPr>
          <w:t>2011\Addiction104, 906.pdf</w:t>
        </w:r>
      </w:hyperlink>
    </w:p>
    <w:p w:rsidR="00A021F3" w:rsidRDefault="00A021F3" w:rsidP="00A021F3">
      <w:pPr>
        <w:pStyle w:val="a3"/>
        <w:rPr>
          <w:kern w:val="0"/>
        </w:rPr>
      </w:pPr>
      <w:r>
        <w:rPr>
          <w:kern w:val="0"/>
        </w:rPr>
        <w:t>Abstract: Aims To examine</w:t>
      </w:r>
      <w:r w:rsidR="003A1917">
        <w:rPr>
          <w:kern w:val="0"/>
        </w:rPr>
        <w:t xml:space="preserve"> the </w:t>
      </w:r>
      <w:r>
        <w:rPr>
          <w:kern w:val="0"/>
        </w:rPr>
        <w:t>literature on</w:t>
      </w:r>
      <w:r w:rsidR="003A1917">
        <w:rPr>
          <w:kern w:val="0"/>
        </w:rPr>
        <w:t xml:space="preserve"> the </w:t>
      </w:r>
      <w:r>
        <w:rPr>
          <w:kern w:val="0"/>
        </w:rPr>
        <w:t>associations between alcohol use disorders (AUD)</w:t>
      </w:r>
      <w:r w:rsidR="005853A9">
        <w:rPr>
          <w:kern w:val="0"/>
        </w:rPr>
        <w:t xml:space="preserve"> and </w:t>
      </w:r>
      <w:r>
        <w:rPr>
          <w:kern w:val="0"/>
        </w:rPr>
        <w:t>major depression (MD),</w:t>
      </w:r>
      <w:r w:rsidR="005853A9">
        <w:rPr>
          <w:kern w:val="0"/>
        </w:rPr>
        <w:t xml:space="preserve"> and </w:t>
      </w:r>
      <w:r>
        <w:rPr>
          <w:kern w:val="0"/>
        </w:rPr>
        <w:t>to evaluate</w:t>
      </w:r>
      <w:r w:rsidR="003A1917">
        <w:rPr>
          <w:kern w:val="0"/>
        </w:rPr>
        <w:t xml:space="preserve"> the </w:t>
      </w:r>
      <w:r>
        <w:rPr>
          <w:kern w:val="0"/>
        </w:rPr>
        <w:t>evidence for</w:t>
      </w:r>
      <w:r w:rsidR="003A1917">
        <w:rPr>
          <w:kern w:val="0"/>
        </w:rPr>
        <w:t xml:space="preserve"> the </w:t>
      </w:r>
      <w:r>
        <w:rPr>
          <w:kern w:val="0"/>
        </w:rPr>
        <w:t>existence</w:t>
      </w:r>
      <w:r w:rsidR="00427468">
        <w:rPr>
          <w:kern w:val="0"/>
        </w:rPr>
        <w:t xml:space="preserve"> of </w:t>
      </w:r>
      <w:r>
        <w:rPr>
          <w:kern w:val="0"/>
        </w:rPr>
        <w:t>a ca</w:t>
      </w:r>
      <w:r w:rsidR="00D5664A">
        <w:rPr>
          <w:kern w:val="0"/>
        </w:rPr>
        <w:t>USA</w:t>
      </w:r>
      <w:r>
        <w:rPr>
          <w:kern w:val="0"/>
        </w:rPr>
        <w:t>l relationship between</w:t>
      </w:r>
      <w:r w:rsidR="003A1917">
        <w:rPr>
          <w:kern w:val="0"/>
        </w:rPr>
        <w:t xml:space="preserve"> the </w:t>
      </w:r>
      <w:r>
        <w:rPr>
          <w:kern w:val="0"/>
        </w:rPr>
        <w:t xml:space="preserve">disorders. Methods PsycInfo; </w:t>
      </w:r>
      <w:r w:rsidR="002C12F0">
        <w:rPr>
          <w:kern w:val="0"/>
        </w:rPr>
        <w:t>PUBMED</w:t>
      </w:r>
      <w:r>
        <w:rPr>
          <w:kern w:val="0"/>
        </w:rPr>
        <w:t xml:space="preserve">; Embase; Scopus;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 searches for studies pertaining to AUD</w:t>
      </w:r>
      <w:r w:rsidR="005853A9">
        <w:rPr>
          <w:kern w:val="0"/>
        </w:rPr>
        <w:t xml:space="preserve"> and </w:t>
      </w:r>
      <w:r>
        <w:rPr>
          <w:kern w:val="0"/>
        </w:rPr>
        <w:t>MD from</w:t>
      </w:r>
      <w:r w:rsidR="003A1917">
        <w:rPr>
          <w:kern w:val="0"/>
        </w:rPr>
        <w:t xml:space="preserve"> the </w:t>
      </w:r>
      <w:r>
        <w:rPr>
          <w:kern w:val="0"/>
        </w:rPr>
        <w:t>1980 to</w:t>
      </w:r>
      <w:r w:rsidR="003A1917">
        <w:rPr>
          <w:kern w:val="0"/>
        </w:rPr>
        <w:t xml:space="preserve"> the </w:t>
      </w:r>
      <w:r>
        <w:rPr>
          <w:kern w:val="0"/>
        </w:rPr>
        <w:t>present. Random-effects models were used to derive estimates</w:t>
      </w:r>
      <w:r w:rsidR="00427468">
        <w:rPr>
          <w:kern w:val="0"/>
        </w:rPr>
        <w:t xml:space="preserve"> of </w:t>
      </w:r>
      <w:r w:rsidR="003A1917">
        <w:rPr>
          <w:kern w:val="0"/>
        </w:rPr>
        <w:t xml:space="preserve">the </w:t>
      </w:r>
      <w:r>
        <w:rPr>
          <w:kern w:val="0"/>
        </w:rPr>
        <w:t>pooled adjusted odds ratios (AOR) for</w:t>
      </w:r>
      <w:r w:rsidR="003A1917">
        <w:rPr>
          <w:kern w:val="0"/>
        </w:rPr>
        <w:t xml:space="preserve"> the </w:t>
      </w:r>
      <w:r>
        <w:rPr>
          <w:kern w:val="0"/>
        </w:rPr>
        <w:t>links between AUD</w:t>
      </w:r>
      <w:r w:rsidR="005853A9">
        <w:rPr>
          <w:kern w:val="0"/>
        </w:rPr>
        <w:t xml:space="preserve"> and </w:t>
      </w:r>
      <w:r>
        <w:rPr>
          <w:kern w:val="0"/>
        </w:rPr>
        <w:t>MD among studies reporting an AOR. Results</w:t>
      </w:r>
      <w:r w:rsidR="003A1917">
        <w:rPr>
          <w:kern w:val="0"/>
        </w:rPr>
        <w:t xml:space="preserve"> the </w:t>
      </w:r>
      <w:r>
        <w:rPr>
          <w:kern w:val="0"/>
        </w:rPr>
        <w:t>analysis revealed that</w:t>
      </w:r>
      <w:r w:rsidR="003A1917">
        <w:rPr>
          <w:kern w:val="0"/>
        </w:rPr>
        <w:t xml:space="preserve"> the </w:t>
      </w:r>
      <w:r>
        <w:rPr>
          <w:kern w:val="0"/>
        </w:rPr>
        <w:t>presence</w:t>
      </w:r>
      <w:r w:rsidR="00427468">
        <w:rPr>
          <w:kern w:val="0"/>
        </w:rPr>
        <w:t xml:space="preserve"> of </w:t>
      </w:r>
      <w:r>
        <w:rPr>
          <w:kern w:val="0"/>
        </w:rPr>
        <w:t>either disorder doubled</w:t>
      </w:r>
      <w:r w:rsidR="003A1917">
        <w:rPr>
          <w:kern w:val="0"/>
        </w:rPr>
        <w:t xml:space="preserve"> the </w:t>
      </w:r>
      <w:r>
        <w:rPr>
          <w:kern w:val="0"/>
        </w:rPr>
        <w:t>risks</w:t>
      </w:r>
      <w:r w:rsidR="00427468">
        <w:rPr>
          <w:kern w:val="0"/>
        </w:rPr>
        <w:t xml:space="preserve"> of </w:t>
      </w:r>
      <w:r w:rsidR="003A1917">
        <w:rPr>
          <w:kern w:val="0"/>
        </w:rPr>
        <w:t xml:space="preserve">the </w:t>
      </w:r>
      <w:r>
        <w:rPr>
          <w:kern w:val="0"/>
        </w:rPr>
        <w:t>second disorder, with pooled AORs ranging from 2.00 to 2.09. Epidemiological data suggest that</w:t>
      </w:r>
      <w:r w:rsidR="003A1917">
        <w:rPr>
          <w:kern w:val="0"/>
        </w:rPr>
        <w:t xml:space="preserve"> the </w:t>
      </w:r>
      <w:r>
        <w:rPr>
          <w:kern w:val="0"/>
        </w:rPr>
        <w:t>linkages between</w:t>
      </w:r>
      <w:r w:rsidR="003A1917">
        <w:rPr>
          <w:kern w:val="0"/>
        </w:rPr>
        <w:t xml:space="preserve"> the </w:t>
      </w:r>
      <w:r>
        <w:rPr>
          <w:kern w:val="0"/>
        </w:rPr>
        <w:t>disorders cannot be accounted for fully by common factors that influence both AUD</w:t>
      </w:r>
      <w:r w:rsidR="005853A9">
        <w:rPr>
          <w:kern w:val="0"/>
        </w:rPr>
        <w:t xml:space="preserve"> and </w:t>
      </w:r>
      <w:r>
        <w:rPr>
          <w:kern w:val="0"/>
        </w:rPr>
        <w:t>MD,</w:t>
      </w:r>
      <w:r w:rsidR="005853A9">
        <w:rPr>
          <w:kern w:val="0"/>
        </w:rPr>
        <w:t xml:space="preserve"> and </w:t>
      </w:r>
      <w:r>
        <w:rPr>
          <w:kern w:val="0"/>
        </w:rPr>
        <w:t>that</w:t>
      </w:r>
      <w:r w:rsidR="003A1917">
        <w:rPr>
          <w:kern w:val="0"/>
        </w:rPr>
        <w:t xml:space="preserve"> the </w:t>
      </w:r>
      <w:r>
        <w:rPr>
          <w:kern w:val="0"/>
        </w:rPr>
        <w:t>disorders appear to be linked in a ca</w:t>
      </w:r>
      <w:r w:rsidR="00D5664A">
        <w:rPr>
          <w:kern w:val="0"/>
        </w:rPr>
        <w:t>USA</w:t>
      </w:r>
      <w:r>
        <w:rPr>
          <w:kern w:val="0"/>
        </w:rPr>
        <w:t>l manner. Further evidence suggests that</w:t>
      </w:r>
      <w:r w:rsidR="003A1917">
        <w:rPr>
          <w:kern w:val="0"/>
        </w:rPr>
        <w:t xml:space="preserve"> the </w:t>
      </w:r>
      <w:r>
        <w:rPr>
          <w:kern w:val="0"/>
        </w:rPr>
        <w:t>most plausible ca</w:t>
      </w:r>
      <w:r w:rsidR="00D5664A">
        <w:rPr>
          <w:kern w:val="0"/>
        </w:rPr>
        <w:t>USA</w:t>
      </w:r>
      <w:r>
        <w:rPr>
          <w:kern w:val="0"/>
        </w:rPr>
        <w:t>l association between AUD</w:t>
      </w:r>
      <w:r w:rsidR="005853A9">
        <w:rPr>
          <w:kern w:val="0"/>
        </w:rPr>
        <w:t xml:space="preserve"> and </w:t>
      </w:r>
      <w:r>
        <w:rPr>
          <w:kern w:val="0"/>
        </w:rPr>
        <w:t>MD is one in which AUD increases</w:t>
      </w:r>
      <w:r w:rsidR="003A1917">
        <w:rPr>
          <w:kern w:val="0"/>
        </w:rPr>
        <w:t xml:space="preserve"> the </w:t>
      </w:r>
      <w:r>
        <w:rPr>
          <w:kern w:val="0"/>
        </w:rPr>
        <w:t>risk</w:t>
      </w:r>
      <w:r w:rsidR="00427468">
        <w:rPr>
          <w:kern w:val="0"/>
        </w:rPr>
        <w:t xml:space="preserve"> of </w:t>
      </w:r>
      <w:r>
        <w:rPr>
          <w:kern w:val="0"/>
        </w:rPr>
        <w:t>MD, rather than vice versa. Potential mechanisms underlying these ca</w:t>
      </w:r>
      <w:r w:rsidR="00D5664A">
        <w:rPr>
          <w:kern w:val="0"/>
        </w:rPr>
        <w:t>USA</w:t>
      </w:r>
      <w:r>
        <w:rPr>
          <w:kern w:val="0"/>
        </w:rPr>
        <w:t>l linkages include neurophysiological</w:t>
      </w:r>
      <w:r w:rsidR="005853A9">
        <w:rPr>
          <w:kern w:val="0"/>
        </w:rPr>
        <w:t xml:space="preserve"> and </w:t>
      </w:r>
      <w:r>
        <w:rPr>
          <w:kern w:val="0"/>
        </w:rPr>
        <w:t>metabolic changes resulting from exposure to alcohol</w:t>
      </w:r>
      <w:r w:rsidR="00A37C1D">
        <w:rPr>
          <w:kern w:val="0"/>
        </w:rPr>
        <w:t>. The</w:t>
      </w:r>
      <w:r w:rsidR="003A1917">
        <w:rPr>
          <w:kern w:val="0"/>
        </w:rPr>
        <w:t xml:space="preserve"> </w:t>
      </w:r>
      <w:r>
        <w:rPr>
          <w:kern w:val="0"/>
        </w:rPr>
        <w:t>need for further research examining mechanisms</w:t>
      </w:r>
      <w:r w:rsidR="00427468">
        <w:rPr>
          <w:kern w:val="0"/>
        </w:rPr>
        <w:t xml:space="preserve"> of </w:t>
      </w:r>
      <w:r>
        <w:rPr>
          <w:kern w:val="0"/>
        </w:rPr>
        <w:t>linkage, gender differences in associations between AUD</w:t>
      </w:r>
      <w:r w:rsidR="005853A9">
        <w:rPr>
          <w:kern w:val="0"/>
        </w:rPr>
        <w:t xml:space="preserve"> and </w:t>
      </w:r>
      <w:r>
        <w:rPr>
          <w:kern w:val="0"/>
        </w:rPr>
        <w:t>MD</w:t>
      </w:r>
      <w:r w:rsidR="005853A9">
        <w:rPr>
          <w:kern w:val="0"/>
        </w:rPr>
        <w:t xml:space="preserve"> and </w:t>
      </w:r>
      <w:r>
        <w:rPr>
          <w:kern w:val="0"/>
        </w:rPr>
        <w:t>classification issues was identified. Conclusions</w:t>
      </w:r>
      <w:r w:rsidR="003A1917">
        <w:rPr>
          <w:kern w:val="0"/>
        </w:rPr>
        <w:t xml:space="preserve"> the </w:t>
      </w:r>
      <w:r>
        <w:rPr>
          <w:kern w:val="0"/>
        </w:rPr>
        <w:t>current state</w:t>
      </w:r>
      <w:r w:rsidR="00427468">
        <w:rPr>
          <w:kern w:val="0"/>
        </w:rPr>
        <w:t xml:space="preserve"> of </w:t>
      </w:r>
      <w:r w:rsidR="003A1917">
        <w:rPr>
          <w:kern w:val="0"/>
        </w:rPr>
        <w:t xml:space="preserve">the </w:t>
      </w:r>
      <w:r>
        <w:rPr>
          <w:kern w:val="0"/>
        </w:rPr>
        <w:t>literature suggests a ca</w:t>
      </w:r>
      <w:r w:rsidR="00D5664A">
        <w:rPr>
          <w:kern w:val="0"/>
        </w:rPr>
        <w:t>USA</w:t>
      </w:r>
      <w:r>
        <w:rPr>
          <w:kern w:val="0"/>
        </w:rPr>
        <w:t>l linkage between alcohol use disorders</w:t>
      </w:r>
      <w:r w:rsidR="005853A9">
        <w:rPr>
          <w:kern w:val="0"/>
        </w:rPr>
        <w:t xml:space="preserve"> and </w:t>
      </w:r>
      <w:r>
        <w:rPr>
          <w:kern w:val="0"/>
        </w:rPr>
        <w:t>major depression, such that increasing involvement with alcohol increases risk</w:t>
      </w:r>
      <w:r w:rsidR="00427468">
        <w:rPr>
          <w:kern w:val="0"/>
        </w:rPr>
        <w:t xml:space="preserve"> of </w:t>
      </w:r>
      <w:r>
        <w:rPr>
          <w:kern w:val="0"/>
        </w:rPr>
        <w:t>depression. Further research is needed in order to clarify</w:t>
      </w:r>
      <w:r w:rsidR="003A1917">
        <w:rPr>
          <w:kern w:val="0"/>
        </w:rPr>
        <w:t xml:space="preserve"> the </w:t>
      </w:r>
      <w:r>
        <w:rPr>
          <w:kern w:val="0"/>
        </w:rPr>
        <w:t>nature</w:t>
      </w:r>
      <w:r w:rsidR="00427468">
        <w:rPr>
          <w:kern w:val="0"/>
        </w:rPr>
        <w:t xml:space="preserve"> of </w:t>
      </w:r>
      <w:r>
        <w:rPr>
          <w:kern w:val="0"/>
        </w:rPr>
        <w:t>this ca</w:t>
      </w:r>
      <w:r w:rsidR="00D5664A">
        <w:rPr>
          <w:kern w:val="0"/>
        </w:rPr>
        <w:t>USA</w:t>
      </w:r>
      <w:r>
        <w:rPr>
          <w:kern w:val="0"/>
        </w:rPr>
        <w:t>l link, in order to develop effective intervention</w:t>
      </w:r>
      <w:r w:rsidR="005853A9">
        <w:rPr>
          <w:kern w:val="0"/>
        </w:rPr>
        <w:t xml:space="preserve"> and </w:t>
      </w:r>
      <w:r>
        <w:rPr>
          <w:kern w:val="0"/>
        </w:rPr>
        <w:t>treatment approaches.</w:t>
      </w:r>
    </w:p>
    <w:p w:rsidR="00A021F3" w:rsidRDefault="00A021F3" w:rsidP="00A021F3">
      <w:pPr>
        <w:pStyle w:val="a3"/>
        <w:rPr>
          <w:kern w:val="0"/>
        </w:rPr>
      </w:pPr>
      <w:r>
        <w:rPr>
          <w:kern w:val="0"/>
        </w:rPr>
        <w:t>Keywords: Alcohol, Alcohol Use Disorder, Analysis, Antisocial Personality, Binge Drinking, Ca</w:t>
      </w:r>
      <w:r w:rsidR="00D5664A">
        <w:rPr>
          <w:kern w:val="0"/>
        </w:rPr>
        <w:t>USA</w:t>
      </w:r>
      <w:r>
        <w:rPr>
          <w:kern w:val="0"/>
        </w:rPr>
        <w:t>lity, Chrm2 Gene, Controlled-Trial, Depression, Disorder, DSM-IV, Epidemiology, Gender, Intervention, Involvement</w:t>
      </w:r>
      <w:r w:rsidR="00D5664A">
        <w:rPr>
          <w:kern w:val="0"/>
        </w:rPr>
        <w:t>, ISI,</w:t>
      </w:r>
      <w:r>
        <w:rPr>
          <w:kern w:val="0"/>
        </w:rPr>
        <w:t xml:space="preserve"> Literature, Literature Review, Major Depression, Major Depression, Mental-Health, Methods, Mood Disorders, National Epidemiologic Survey, </w:t>
      </w:r>
      <w:r w:rsidR="002C12F0">
        <w:rPr>
          <w:kern w:val="0"/>
        </w:rPr>
        <w:t>PUBMED</w:t>
      </w:r>
      <w:r>
        <w:rPr>
          <w:kern w:val="0"/>
        </w:rPr>
        <w:t xml:space="preserve">, Research, Risk, Science, Scopus, Substance Use Disorders, Treatment, </w:t>
      </w:r>
      <w:r w:rsidR="00D5664A">
        <w:rPr>
          <w:kern w:val="0"/>
        </w:rPr>
        <w:t>Web</w:t>
      </w:r>
      <w:r w:rsidR="00427468">
        <w:rPr>
          <w:kern w:val="0"/>
        </w:rPr>
        <w:t xml:space="preserve"> of </w:t>
      </w:r>
      <w:r w:rsidR="00D5664A">
        <w:rPr>
          <w:kern w:val="0"/>
        </w:rPr>
        <w:t>Science</w:t>
      </w:r>
    </w:p>
    <w:p w:rsidR="00463600" w:rsidRDefault="00463600" w:rsidP="00463600">
      <w:pPr>
        <w:pStyle w:val="a3"/>
        <w:rPr>
          <w:kern w:val="0"/>
        </w:rPr>
      </w:pPr>
      <w:r>
        <w:rPr>
          <w:rFonts w:hint="eastAsia"/>
          <w:kern w:val="0"/>
        </w:rPr>
        <w:lastRenderedPageBreak/>
        <w:t xml:space="preserve">? </w:t>
      </w:r>
      <w:r>
        <w:rPr>
          <w:kern w:val="0"/>
        </w:rPr>
        <w:t>Vangeli, E., Stapleton, J., Smit, E.S., Borland, R.</w:t>
      </w:r>
      <w:r w:rsidR="005853A9">
        <w:rPr>
          <w:kern w:val="0"/>
        </w:rPr>
        <w:t xml:space="preserve"> and </w:t>
      </w:r>
      <w:r>
        <w:rPr>
          <w:kern w:val="0"/>
        </w:rPr>
        <w:t>West, R. (2011), Predictors</w:t>
      </w:r>
      <w:r w:rsidR="00427468">
        <w:rPr>
          <w:kern w:val="0"/>
        </w:rPr>
        <w:t xml:space="preserve"> of </w:t>
      </w:r>
      <w:r>
        <w:rPr>
          <w:kern w:val="0"/>
        </w:rPr>
        <w:t>attempts to stop smoking</w:t>
      </w:r>
      <w:r w:rsidR="005853A9">
        <w:rPr>
          <w:kern w:val="0"/>
        </w:rPr>
        <w:t xml:space="preserve"> and </w:t>
      </w:r>
      <w:r>
        <w:rPr>
          <w:kern w:val="0"/>
        </w:rPr>
        <w:t xml:space="preserve">their success in adult general population samples: A systematic review. </w:t>
      </w:r>
      <w:r>
        <w:rPr>
          <w:i/>
          <w:iCs/>
          <w:kern w:val="0"/>
        </w:rPr>
        <w:t>Addiction</w:t>
      </w:r>
      <w:r>
        <w:rPr>
          <w:kern w:val="0"/>
        </w:rPr>
        <w:t xml:space="preserve">, </w:t>
      </w:r>
      <w:r>
        <w:rPr>
          <w:b/>
          <w:bCs/>
          <w:kern w:val="0"/>
        </w:rPr>
        <w:t>106</w:t>
      </w:r>
      <w:r>
        <w:rPr>
          <w:kern w:val="0"/>
        </w:rPr>
        <w:t xml:space="preserve"> (12), 2110-2121.</w:t>
      </w:r>
    </w:p>
    <w:p w:rsidR="00463600" w:rsidRPr="001A3D2B" w:rsidRDefault="00463600" w:rsidP="00463600">
      <w:pPr>
        <w:pStyle w:val="a3"/>
      </w:pPr>
      <w:r w:rsidRPr="001A3D2B">
        <w:t xml:space="preserve">Full Text: </w:t>
      </w:r>
      <w:hyperlink r:id="rId235" w:history="1">
        <w:r w:rsidRPr="00463600">
          <w:rPr>
            <w:rStyle w:val="a5"/>
          </w:rPr>
          <w:t>2011\Addiction106, 2110.pdf</w:t>
        </w:r>
      </w:hyperlink>
    </w:p>
    <w:p w:rsidR="00463600" w:rsidRDefault="00463600" w:rsidP="00463600">
      <w:pPr>
        <w:pStyle w:val="a3"/>
        <w:rPr>
          <w:kern w:val="0"/>
        </w:rPr>
      </w:pPr>
      <w:r>
        <w:rPr>
          <w:kern w:val="0"/>
        </w:rPr>
        <w:t>Abstract: Aims To identify</w:t>
      </w:r>
      <w:r w:rsidR="003A1917">
        <w:rPr>
          <w:kern w:val="0"/>
        </w:rPr>
        <w:t xml:space="preserve"> the </w:t>
      </w:r>
      <w:r>
        <w:rPr>
          <w:kern w:val="0"/>
        </w:rPr>
        <w:t>predictors</w:t>
      </w:r>
      <w:r w:rsidR="00427468">
        <w:rPr>
          <w:kern w:val="0"/>
        </w:rPr>
        <w:t xml:space="preserve"> of </w:t>
      </w:r>
      <w:r>
        <w:rPr>
          <w:kern w:val="0"/>
        </w:rPr>
        <w:t>attempts to stop smoking</w:t>
      </w:r>
      <w:r w:rsidR="005853A9">
        <w:rPr>
          <w:kern w:val="0"/>
        </w:rPr>
        <w:t xml:space="preserve"> and </w:t>
      </w:r>
      <w:r w:rsidR="003A1917">
        <w:rPr>
          <w:kern w:val="0"/>
        </w:rPr>
        <w:t xml:space="preserve">the </w:t>
      </w:r>
      <w:r>
        <w:rPr>
          <w:kern w:val="0"/>
        </w:rPr>
        <w:t>predictors</w:t>
      </w:r>
      <w:r w:rsidR="00427468">
        <w:rPr>
          <w:kern w:val="0"/>
        </w:rPr>
        <w:t xml:space="preserve"> of </w:t>
      </w:r>
      <w:r>
        <w:rPr>
          <w:kern w:val="0"/>
        </w:rPr>
        <w:t>quit attempt success in adult general population samples. Methods We performed an electronic search</w:t>
      </w:r>
      <w:r w:rsidR="00427468">
        <w:rPr>
          <w:kern w:val="0"/>
        </w:rPr>
        <w:t xml:space="preserve"> of </w:t>
      </w:r>
      <w:r>
        <w:rPr>
          <w:kern w:val="0"/>
        </w:rPr>
        <w:t xml:space="preserve">EMBASE, Pubmed, </w:t>
      </w:r>
      <w:r w:rsidR="00D5664A">
        <w:rPr>
          <w:kern w:val="0"/>
        </w:rPr>
        <w:t>Web</w:t>
      </w:r>
      <w:r w:rsidR="00427468">
        <w:rPr>
          <w:kern w:val="0"/>
        </w:rPr>
        <w:t xml:space="preserve"> of </w:t>
      </w:r>
      <w:r w:rsidR="00D5664A">
        <w:rPr>
          <w:kern w:val="0"/>
        </w:rPr>
        <w:t>Science</w:t>
      </w:r>
      <w:r>
        <w:rPr>
          <w:kern w:val="0"/>
        </w:rPr>
        <w:t>, PsychINFO</w:t>
      </w:r>
      <w:r w:rsidR="005853A9">
        <w:rPr>
          <w:kern w:val="0"/>
        </w:rPr>
        <w:t xml:space="preserve"> and </w:t>
      </w:r>
      <w:r w:rsidR="003A1917">
        <w:rPr>
          <w:kern w:val="0"/>
        </w:rPr>
        <w:t xml:space="preserve">the </w:t>
      </w:r>
      <w:r>
        <w:rPr>
          <w:kern w:val="0"/>
        </w:rPr>
        <w:t>Cochrane Tobacco Addiction Group specialized register for articles that examined, in prospective adult general population samples, predictors</w:t>
      </w:r>
      <w:r w:rsidR="00427468">
        <w:rPr>
          <w:kern w:val="0"/>
        </w:rPr>
        <w:t xml:space="preserve"> of </w:t>
      </w:r>
      <w:r>
        <w:rPr>
          <w:kern w:val="0"/>
        </w:rPr>
        <w:t>quit attempts</w:t>
      </w:r>
      <w:r w:rsidR="005853A9">
        <w:rPr>
          <w:kern w:val="0"/>
        </w:rPr>
        <w:t xml:space="preserve"> and </w:t>
      </w:r>
      <w:r w:rsidR="003A1917">
        <w:rPr>
          <w:kern w:val="0"/>
        </w:rPr>
        <w:t xml:space="preserve">the </w:t>
      </w:r>
      <w:r>
        <w:rPr>
          <w:kern w:val="0"/>
        </w:rPr>
        <w:t>success</w:t>
      </w:r>
      <w:r w:rsidR="00427468">
        <w:rPr>
          <w:kern w:val="0"/>
        </w:rPr>
        <w:t xml:space="preserve"> of </w:t>
      </w:r>
      <w:r>
        <w:rPr>
          <w:kern w:val="0"/>
        </w:rPr>
        <w:t>quit attempts. Experts were contacted for knowledge</w:t>
      </w:r>
      <w:r w:rsidR="00427468">
        <w:rPr>
          <w:kern w:val="0"/>
        </w:rPr>
        <w:t xml:space="preserve"> of </w:t>
      </w:r>
      <w:r>
        <w:rPr>
          <w:kern w:val="0"/>
        </w:rPr>
        <w:t>other relevant studies. Eight studies met</w:t>
      </w:r>
      <w:r w:rsidR="003A1917">
        <w:rPr>
          <w:kern w:val="0"/>
        </w:rPr>
        <w:t xml:space="preserve"> the </w:t>
      </w:r>
      <w:r>
        <w:rPr>
          <w:kern w:val="0"/>
        </w:rPr>
        <w:t>inclusion criteria</w:t>
      </w:r>
      <w:r w:rsidR="005853A9">
        <w:rPr>
          <w:kern w:val="0"/>
        </w:rPr>
        <w:t xml:space="preserve"> and </w:t>
      </w:r>
      <w:r>
        <w:rPr>
          <w:kern w:val="0"/>
        </w:rPr>
        <w:t>results were extracted independently by two researchers. Results There was considerable methodological heterogeneity between studies. Motivational factors dominated</w:t>
      </w:r>
      <w:r w:rsidR="003A1917">
        <w:rPr>
          <w:kern w:val="0"/>
        </w:rPr>
        <w:t xml:space="preserve"> the </w:t>
      </w:r>
      <w:r>
        <w:rPr>
          <w:kern w:val="0"/>
        </w:rPr>
        <w:t>prediction</w:t>
      </w:r>
      <w:r w:rsidR="00427468">
        <w:rPr>
          <w:kern w:val="0"/>
        </w:rPr>
        <w:t xml:space="preserve"> of </w:t>
      </w:r>
      <w:r>
        <w:rPr>
          <w:kern w:val="0"/>
        </w:rPr>
        <w:t>quit attempts, whereas only cigarette dependence consistently predicted success after an attempt had been made. Social grade also appeared to predict success but was only examined in two studies. None</w:t>
      </w:r>
      <w:r w:rsidR="00427468">
        <w:rPr>
          <w:kern w:val="0"/>
        </w:rPr>
        <w:t xml:space="preserve"> of </w:t>
      </w:r>
      <w:r w:rsidR="003A1917">
        <w:rPr>
          <w:kern w:val="0"/>
        </w:rPr>
        <w:t xml:space="preserve">the </w:t>
      </w:r>
      <w:r>
        <w:rPr>
          <w:kern w:val="0"/>
        </w:rPr>
        <w:t>other socio-demographic factors consistently predicted making a quit attempt or success. Conclusions Population-level studies from a number</w:t>
      </w:r>
      <w:r w:rsidR="00427468">
        <w:rPr>
          <w:kern w:val="0"/>
        </w:rPr>
        <w:t xml:space="preserve"> of </w:t>
      </w:r>
      <w:r>
        <w:rPr>
          <w:kern w:val="0"/>
        </w:rPr>
        <w:t>countries show that past quit attempts</w:t>
      </w:r>
      <w:r w:rsidR="005853A9">
        <w:rPr>
          <w:kern w:val="0"/>
        </w:rPr>
        <w:t xml:space="preserve"> and </w:t>
      </w:r>
      <w:r>
        <w:rPr>
          <w:kern w:val="0"/>
        </w:rPr>
        <w:t>measures</w:t>
      </w:r>
      <w:r w:rsidR="00427468">
        <w:rPr>
          <w:kern w:val="0"/>
        </w:rPr>
        <w:t xml:space="preserve"> of </w:t>
      </w:r>
      <w:r>
        <w:rPr>
          <w:kern w:val="0"/>
        </w:rPr>
        <w:t>motivation to stop are highly predictive</w:t>
      </w:r>
      <w:r w:rsidR="00427468">
        <w:rPr>
          <w:kern w:val="0"/>
        </w:rPr>
        <w:t xml:space="preserve"> of </w:t>
      </w:r>
      <w:r>
        <w:rPr>
          <w:kern w:val="0"/>
        </w:rPr>
        <w:t>quit attempts, whereas only measures</w:t>
      </w:r>
      <w:r w:rsidR="00427468">
        <w:rPr>
          <w:kern w:val="0"/>
        </w:rPr>
        <w:t xml:space="preserve"> of </w:t>
      </w:r>
      <w:r>
        <w:rPr>
          <w:kern w:val="0"/>
        </w:rPr>
        <w:t>dependence are consistently predictive</w:t>
      </w:r>
      <w:r w:rsidR="00427468">
        <w:rPr>
          <w:kern w:val="0"/>
        </w:rPr>
        <w:t xml:space="preserve"> of </w:t>
      </w:r>
      <w:r>
        <w:rPr>
          <w:kern w:val="0"/>
        </w:rPr>
        <w:t>success</w:t>
      </w:r>
      <w:r w:rsidR="00427468">
        <w:rPr>
          <w:kern w:val="0"/>
        </w:rPr>
        <w:t xml:space="preserve"> of </w:t>
      </w:r>
      <w:r>
        <w:rPr>
          <w:kern w:val="0"/>
        </w:rPr>
        <w:t>those attempts. Gender, age</w:t>
      </w:r>
      <w:r w:rsidR="005853A9">
        <w:rPr>
          <w:kern w:val="0"/>
        </w:rPr>
        <w:t xml:space="preserve"> and </w:t>
      </w:r>
      <w:r>
        <w:rPr>
          <w:kern w:val="0"/>
        </w:rPr>
        <w:t>marital status</w:t>
      </w:r>
      <w:r w:rsidR="005853A9">
        <w:rPr>
          <w:kern w:val="0"/>
        </w:rPr>
        <w:t xml:space="preserve"> and </w:t>
      </w:r>
      <w:r>
        <w:rPr>
          <w:kern w:val="0"/>
        </w:rPr>
        <w:t>educational level are not related consistently to quit attempts or quit success across countries.</w:t>
      </w:r>
    </w:p>
    <w:p w:rsidR="00463600" w:rsidRDefault="00463600" w:rsidP="00463600">
      <w:pPr>
        <w:pStyle w:val="a3"/>
        <w:rPr>
          <w:kern w:val="0"/>
        </w:rPr>
      </w:pPr>
      <w:r>
        <w:rPr>
          <w:kern w:val="0"/>
        </w:rPr>
        <w:t>Keywords: 4 Country Survey, Abstinence, Addiction, Adult, Behaviors, Beliefs, Cessation, Cochrane, Embase, Gender, General Population, Itc 4-Country Survey, Knowledge, Methods, Motivation, Predictors, Quit Attempt Success, Quit Attempts, Quitting Findings, Relapse, Researchers, Review, Review</w:t>
      </w:r>
      <w:r w:rsidR="00427468">
        <w:rPr>
          <w:kern w:val="0"/>
        </w:rPr>
        <w:t xml:space="preserve"> of </w:t>
      </w:r>
      <w:r>
        <w:rPr>
          <w:kern w:val="0"/>
        </w:rPr>
        <w:t xml:space="preserve">Observational Studies, Science, Smokers, Smoking, Success, Systematic, Systematic Review, Tobacco, </w:t>
      </w:r>
      <w:r w:rsidR="00D5664A">
        <w:rPr>
          <w:kern w:val="0"/>
        </w:rPr>
        <w:t>Web</w:t>
      </w:r>
      <w:r w:rsidR="00427468">
        <w:rPr>
          <w:kern w:val="0"/>
        </w:rPr>
        <w:t xml:space="preserve"> of </w:t>
      </w:r>
      <w:r w:rsidR="00D5664A">
        <w:rPr>
          <w:kern w:val="0"/>
        </w:rPr>
        <w:t>Science</w:t>
      </w:r>
    </w:p>
    <w:p w:rsidR="00CD7B0F" w:rsidRDefault="00CD7B0F" w:rsidP="00CD7B0F">
      <w:pPr>
        <w:pStyle w:val="a3"/>
        <w:rPr>
          <w:kern w:val="0"/>
        </w:rPr>
      </w:pPr>
      <w:r>
        <w:rPr>
          <w:rFonts w:hint="eastAsia"/>
          <w:kern w:val="0"/>
        </w:rPr>
        <w:t xml:space="preserve">? </w:t>
      </w:r>
      <w:r>
        <w:rPr>
          <w:kern w:val="0"/>
        </w:rPr>
        <w:t xml:space="preserve">Zhou, X.Y., Qin, B., Del Giovane, C., Pan, J.X., Gentile, S., Liu, Y.Y., Lan, X.H., Yu, J. and Xie, P. (2015), Efficacy and tolerability of antidepressants in the treatment of adolescents and young adults with depression and substance use disorders: A systematic review and meta-analysis. </w:t>
      </w:r>
      <w:r>
        <w:rPr>
          <w:i/>
          <w:iCs/>
          <w:kern w:val="0"/>
        </w:rPr>
        <w:t>Addiction</w:t>
      </w:r>
      <w:r>
        <w:rPr>
          <w:kern w:val="0"/>
        </w:rPr>
        <w:t xml:space="preserve">, </w:t>
      </w:r>
      <w:r>
        <w:rPr>
          <w:b/>
          <w:bCs/>
          <w:kern w:val="0"/>
        </w:rPr>
        <w:t>110</w:t>
      </w:r>
      <w:r>
        <w:rPr>
          <w:kern w:val="0"/>
        </w:rPr>
        <w:t xml:space="preserve"> (1), 38-48.</w:t>
      </w:r>
    </w:p>
    <w:p w:rsidR="00CD7B0F" w:rsidRPr="001A3D2B" w:rsidRDefault="00CD7B0F" w:rsidP="00CD7B0F">
      <w:pPr>
        <w:pStyle w:val="a3"/>
      </w:pPr>
      <w:r w:rsidRPr="001A3D2B">
        <w:t xml:space="preserve">Full Text: </w:t>
      </w:r>
      <w:hyperlink r:id="rId236" w:history="1">
        <w:r w:rsidRPr="00EA7E9B">
          <w:rPr>
            <w:rStyle w:val="a5"/>
          </w:rPr>
          <w:t>2015\Addiction110, 38.pdf</w:t>
        </w:r>
      </w:hyperlink>
    </w:p>
    <w:p w:rsidR="00CD7B0F" w:rsidRDefault="00CD7B0F" w:rsidP="00CD7B0F">
      <w:pPr>
        <w:pStyle w:val="a3"/>
        <w:rPr>
          <w:kern w:val="0"/>
        </w:rPr>
      </w:pPr>
      <w:r>
        <w:rPr>
          <w:kern w:val="0"/>
        </w:rPr>
        <w:t xml:space="preserve">Abstract: AimsTo measure the effectiveness of antidepressants for adolescents and young adults with co-occurring depression and substance use disorder. Design, Setting and ParticipantsMeta-analysis of randomized controlled clinical trials. A comprehensive literature search of PubMed, Cochrane, Embase, Web of Science and PsychINFO was conducted (from 1970 to 2013). Prospective, parallel groups, double-blind, controlled trials with random assignment to an antidepressant or </w:t>
      </w:r>
      <w:r>
        <w:rPr>
          <w:kern w:val="0"/>
        </w:rPr>
        <w:lastRenderedPageBreak/>
        <w:t>placebo on young patients (age25 years) who met diagnostic criteria of both substance use and unipolar depressive disorder were included. Five trials were selected for this analysis and included 290 patients. MeasurementsOur efficacy outcome measures were depression outcomes (dichotomous and continuous measures) and substance-use outcomes (change of frequency or quantity of substance-use). Secondary analysis was conducted to access the tolerability of antidepressant treatment. FindingsFor dichotomous depression outcome, antidepressants group was significantly more effective than placebo group [risk ratio (RR)=1.21; 95% confidence interval (CI) 1.01-1.45], with low heterogeneity (I-2=0%). Although no statistically significant effects for continuous depression outcome [standardized mean differences (SMD)=-0.13; 95% CI, -0.55 to 0.30] were found with moderate heterogeneity (I-2=63%), subgroup analysis showed that the medicine group with a sample size of more than 50 showed statistically significant efficacy compared with the placebo group (SMD -0.53, 95% CI -0.82 to -0.25). Moreover, there was no significant difference for substance-use outcomes and tolerability outcomes between the medication and placebo groups. ConclusionsAntidepressant medication has a small overall effect in reducing depression in young patients with combined depressive and substance-use disorders, but does not appear to improve substance use outcomes.</w:t>
      </w:r>
    </w:p>
    <w:p w:rsidR="00CD7B0F" w:rsidRDefault="00CD7B0F" w:rsidP="00CD7B0F">
      <w:pPr>
        <w:pStyle w:val="a3"/>
        <w:rPr>
          <w:kern w:val="0"/>
        </w:rPr>
      </w:pPr>
      <w:r>
        <w:rPr>
          <w:kern w:val="0"/>
        </w:rPr>
        <w:t>Keywords: Access, Adolescents, Alcohol-Use, Analysis, Antidepressant, Antidepressants, Clinical, Clinical Trials, Cognitive-Behavioral Therapy, Comorbid Depression, Confidence, Criteria, Dependence, Depression, Design, Diagnostic, Diagnostic Criteria, Double-Blind, Effectiveness, Effects, Efficacy, Fluoxetine, From, Groups, Heterogeneity, Interval, Literature, Literature Search, Major Depression, Major Depressive Disorder, Measure, Measures, Medicine, Meta Analysis, Meta-Analysis, Metaanalysis, Outcome, Outcome Measures, Outcomes, Patients, Placebo, Placebo-Controlled Trial, Prospective, Pubmed, Randomized, Randomized Controlled-Trial, Review, Sample Size, Science, Size, Small, Small Sample-Size, Substance Use, Substance Use Disorders, Systematic, Systematic Review, Treatment, Web, Web Of Science, Young, Young Adults</w:t>
      </w:r>
    </w:p>
    <w:p w:rsidR="00E933C8" w:rsidRPr="00185FC5" w:rsidRDefault="00E933C8" w:rsidP="00E933C8">
      <w:pPr>
        <w:pStyle w:val="a3"/>
      </w:pPr>
      <w:r>
        <w:rPr>
          <w:rFonts w:hint="eastAsia"/>
        </w:rPr>
        <w:t xml:space="preserve">? </w:t>
      </w:r>
      <w:r w:rsidRPr="00185FC5">
        <w:t xml:space="preserve">Cheng, H.G., Deng, F., Xiong, W. and Phillips, M.R. (2015), Prevalence of alcohol use disorders in mainland China: A systematic review. </w:t>
      </w:r>
      <w:r w:rsidRPr="00185FC5">
        <w:rPr>
          <w:i/>
          <w:iCs/>
        </w:rPr>
        <w:t>Addiction</w:t>
      </w:r>
      <w:r w:rsidRPr="00185FC5">
        <w:t xml:space="preserve">, </w:t>
      </w:r>
      <w:r w:rsidRPr="00185FC5">
        <w:rPr>
          <w:b/>
          <w:bCs/>
        </w:rPr>
        <w:t>110</w:t>
      </w:r>
      <w:r w:rsidRPr="00185FC5">
        <w:t xml:space="preserve"> (5), 761-774.</w:t>
      </w:r>
    </w:p>
    <w:p w:rsidR="00E933C8" w:rsidRPr="001A3D2B" w:rsidRDefault="00E933C8" w:rsidP="00E933C8">
      <w:pPr>
        <w:pStyle w:val="a3"/>
      </w:pPr>
      <w:r w:rsidRPr="001A3D2B">
        <w:t xml:space="preserve">Full Text: </w:t>
      </w:r>
      <w:hyperlink r:id="rId237" w:history="1">
        <w:r w:rsidRPr="008F5B02">
          <w:rPr>
            <w:rStyle w:val="a5"/>
          </w:rPr>
          <w:t>2015\Addiction110, 761.pdf</w:t>
        </w:r>
      </w:hyperlink>
    </w:p>
    <w:p w:rsidR="00E933C8" w:rsidRPr="00185FC5" w:rsidRDefault="00E933C8" w:rsidP="00E933C8">
      <w:pPr>
        <w:pStyle w:val="a3"/>
      </w:pPr>
      <w:r w:rsidRPr="00185FC5">
        <w:t>Abstract: AimsTo identify studies about the prevalence of alcohol use disorder (AUD) in mainland China, evaluate the quality of these studies and conduct a meta-analysis of the prevalence of AUD in China</w:t>
      </w:r>
      <w:r>
        <w:t>’</w:t>
      </w:r>
      <w:r w:rsidRPr="00185FC5">
        <w:t xml:space="preserve">s adult population and in population subgroups defined by sex, age and urban versus rural residency. MethodsRelevant studies published prior to January 2014 were identified from the following databases: China Knowledge Resource Integrated (CNKI), Wanfang, Pubmed, EmBase and Web of </w:t>
      </w:r>
      <w:r w:rsidRPr="00185FC5">
        <w:lastRenderedPageBreak/>
        <w:t>Science. A 16-item quality assessment inventory for epidemiological studies in mainland China was constructed to evaluate the methodological rigor of the studies. A total of 38 studies including 1304354 individuals were identified. Outcomes included current and life-time prevalence of AUD, alcohol dependence and alcohol abuse. ResultsThe pooled life-time and current prevalence of alcohol dependence were 1.4% [95% confidence interval (CI)=1.3, 1.5] and 1.5% (95% CI=1.2, 1.9). For males, pooled estimates of the current prevalence of alcohol dependence, alcohol abuse and AUD were 4.4 (95% CI=3.1, 5.7), 4.0 (95% CI=2.2, 5.7) and 10.1% (95% CI=4.7, 15.4), respectively; the corresponding values for females were all below 0.2, 0.1, and 0.1%. There was large between-study heterogeneity in the prevalence measures that was associated with sample size, the use of key informants and the use of substitute respondents. The quality of included studies was generally low. Higher-quality studies reported higher prevalence. ConclusionsAlcohol use disorder is an urgent public health problem in China, especially among males. When using high-quality studies, current and life-time prevalence estimates of alcohol dependence in China measure 2.2% and 3.7%, respectively, approaching those of the Netherlands, United States and other western countries.</w:t>
      </w:r>
    </w:p>
    <w:p w:rsidR="00E933C8" w:rsidRPr="00185FC5" w:rsidRDefault="00E933C8" w:rsidP="00E933C8">
      <w:pPr>
        <w:pStyle w:val="a3"/>
      </w:pPr>
      <w:r w:rsidRPr="00185FC5">
        <w:t>Keywords: Abuse</w:t>
      </w:r>
      <w:r>
        <w:t xml:space="preserve">, </w:t>
      </w:r>
      <w:r w:rsidRPr="00185FC5">
        <w:t>Adult</w:t>
      </w:r>
      <w:r>
        <w:t xml:space="preserve">, </w:t>
      </w:r>
      <w:r w:rsidRPr="00185FC5">
        <w:t>Age</w:t>
      </w:r>
      <w:r>
        <w:t xml:space="preserve">, </w:t>
      </w:r>
      <w:r w:rsidRPr="00185FC5">
        <w:t>Alcohol</w:t>
      </w:r>
      <w:r>
        <w:t xml:space="preserve">, </w:t>
      </w:r>
      <w:r w:rsidRPr="00185FC5">
        <w:t>Alcohol Use</w:t>
      </w:r>
      <w:r>
        <w:t xml:space="preserve">, </w:t>
      </w:r>
      <w:r w:rsidRPr="00185FC5">
        <w:t>Alcohol Use Disorder</w:t>
      </w:r>
      <w:r>
        <w:t xml:space="preserve">, </w:t>
      </w:r>
      <w:r w:rsidRPr="00185FC5">
        <w:t>Aldehyde Dehydrogenase Genotypes</w:t>
      </w:r>
      <w:r>
        <w:t xml:space="preserve">, </w:t>
      </w:r>
      <w:r w:rsidRPr="00185FC5">
        <w:t>Assessment</w:t>
      </w:r>
      <w:r>
        <w:t xml:space="preserve">, </w:t>
      </w:r>
      <w:r w:rsidRPr="00185FC5">
        <w:t>China</w:t>
      </w:r>
      <w:r>
        <w:t xml:space="preserve">, </w:t>
      </w:r>
      <w:r w:rsidRPr="00185FC5">
        <w:t>Confidence</w:t>
      </w:r>
      <w:r>
        <w:t xml:space="preserve">, </w:t>
      </w:r>
      <w:r w:rsidRPr="00185FC5">
        <w:t>Constructed</w:t>
      </w:r>
      <w:r>
        <w:t xml:space="preserve">, </w:t>
      </w:r>
      <w:r w:rsidRPr="00185FC5">
        <w:t>Databases</w:t>
      </w:r>
      <w:r>
        <w:t xml:space="preserve">, </w:t>
      </w:r>
      <w:r w:rsidRPr="00185FC5">
        <w:t>Dependence</w:t>
      </w:r>
      <w:r>
        <w:t xml:space="preserve">, </w:t>
      </w:r>
      <w:r w:rsidRPr="00185FC5">
        <w:t>Disability</w:t>
      </w:r>
      <w:r>
        <w:t xml:space="preserve">, </w:t>
      </w:r>
      <w:r w:rsidRPr="00185FC5">
        <w:t>Drinking Behavior</w:t>
      </w:r>
      <w:r>
        <w:t xml:space="preserve">, </w:t>
      </w:r>
      <w:r w:rsidRPr="00185FC5">
        <w:t>Epidemiologic Survey</w:t>
      </w:r>
      <w:r>
        <w:t xml:space="preserve">, </w:t>
      </w:r>
      <w:r w:rsidRPr="00185FC5">
        <w:t>Estimates</w:t>
      </w:r>
      <w:r>
        <w:t xml:space="preserve">, </w:t>
      </w:r>
      <w:r w:rsidRPr="00185FC5">
        <w:t>Health</w:t>
      </w:r>
      <w:r>
        <w:t xml:space="preserve">, </w:t>
      </w:r>
      <w:r w:rsidRPr="00185FC5">
        <w:t>Health Problem</w:t>
      </w:r>
      <w:r>
        <w:t xml:space="preserve">, </w:t>
      </w:r>
      <w:r w:rsidRPr="00185FC5">
        <w:t>Heterogeneity</w:t>
      </w:r>
      <w:r>
        <w:t xml:space="preserve">, </w:t>
      </w:r>
      <w:r w:rsidRPr="00185FC5">
        <w:t>Informants</w:t>
      </w:r>
      <w:r>
        <w:t xml:space="preserve">, </w:t>
      </w:r>
      <w:r w:rsidRPr="00185FC5">
        <w:t>Interval</w:t>
      </w:r>
      <w:r>
        <w:t xml:space="preserve">, </w:t>
      </w:r>
      <w:r w:rsidRPr="00185FC5">
        <w:t>Inventory</w:t>
      </w:r>
      <w:r>
        <w:t xml:space="preserve">, </w:t>
      </w:r>
      <w:r w:rsidRPr="00185FC5">
        <w:t>Measure</w:t>
      </w:r>
      <w:r>
        <w:t xml:space="preserve">, </w:t>
      </w:r>
      <w:r w:rsidRPr="00185FC5">
        <w:t>Mental-Health</w:t>
      </w:r>
      <w:r>
        <w:t xml:space="preserve">, </w:t>
      </w:r>
      <w:r w:rsidRPr="00185FC5">
        <w:t>Meta-Analysis</w:t>
      </w:r>
      <w:r>
        <w:t xml:space="preserve">, </w:t>
      </w:r>
      <w:r w:rsidRPr="00185FC5">
        <w:t>Metaanalysis</w:t>
      </w:r>
      <w:r>
        <w:t xml:space="preserve">, </w:t>
      </w:r>
      <w:r w:rsidRPr="00185FC5">
        <w:t>Population</w:t>
      </w:r>
      <w:r>
        <w:t xml:space="preserve">, </w:t>
      </w:r>
      <w:r w:rsidRPr="00185FC5">
        <w:t>Prevalence</w:t>
      </w:r>
      <w:r>
        <w:t xml:space="preserve">, </w:t>
      </w:r>
      <w:r w:rsidRPr="00185FC5">
        <w:t>Public</w:t>
      </w:r>
      <w:r>
        <w:t xml:space="preserve">, </w:t>
      </w:r>
      <w:r w:rsidRPr="00185FC5">
        <w:t>Public Health</w:t>
      </w:r>
      <w:r>
        <w:t xml:space="preserve">, </w:t>
      </w:r>
      <w:r w:rsidRPr="00185FC5">
        <w:t>Public Health Problem</w:t>
      </w:r>
      <w:r>
        <w:t xml:space="preserve">, </w:t>
      </w:r>
      <w:r w:rsidRPr="00185FC5">
        <w:t>Quality</w:t>
      </w:r>
      <w:r>
        <w:t xml:space="preserve">, </w:t>
      </w:r>
      <w:r w:rsidRPr="00185FC5">
        <w:t>Quality Assessment</w:t>
      </w:r>
      <w:r>
        <w:t xml:space="preserve">, </w:t>
      </w:r>
      <w:r w:rsidRPr="00185FC5">
        <w:t>Quality Of</w:t>
      </w:r>
      <w:r>
        <w:t xml:space="preserve">, </w:t>
      </w:r>
      <w:r w:rsidRPr="00185FC5">
        <w:t>Residency</w:t>
      </w:r>
      <w:r>
        <w:t xml:space="preserve">, </w:t>
      </w:r>
      <w:r w:rsidRPr="00185FC5">
        <w:t>Review</w:t>
      </w:r>
      <w:r>
        <w:t xml:space="preserve">, </w:t>
      </w:r>
      <w:r w:rsidRPr="00185FC5">
        <w:t>Rural</w:t>
      </w:r>
      <w:r>
        <w:t xml:space="preserve">, </w:t>
      </w:r>
      <w:r w:rsidRPr="00185FC5">
        <w:t>Sample Size</w:t>
      </w:r>
      <w:r>
        <w:t xml:space="preserve">, </w:t>
      </w:r>
      <w:r w:rsidRPr="00185FC5">
        <w:t>Science</w:t>
      </w:r>
      <w:r>
        <w:t xml:space="preserve">, </w:t>
      </w:r>
      <w:r w:rsidRPr="00185FC5">
        <w:t>Sex</w:t>
      </w:r>
      <w:r>
        <w:t xml:space="preserve">, </w:t>
      </w:r>
      <w:r w:rsidRPr="00185FC5">
        <w:t>Size</w:t>
      </w:r>
      <w:r>
        <w:t xml:space="preserve">, </w:t>
      </w:r>
      <w:r w:rsidRPr="00185FC5">
        <w:t>Systematic Review</w:t>
      </w:r>
      <w:r>
        <w:t xml:space="preserve">, </w:t>
      </w:r>
      <w:r w:rsidRPr="00185FC5">
        <w:t>The Netherlands</w:t>
      </w:r>
      <w:r>
        <w:t xml:space="preserve">, </w:t>
      </w:r>
      <w:r w:rsidRPr="00185FC5">
        <w:t>Trials</w:t>
      </w:r>
      <w:r>
        <w:t xml:space="preserve">, </w:t>
      </w:r>
      <w:r w:rsidRPr="00185FC5">
        <w:t>United States</w:t>
      </w:r>
      <w:r>
        <w:t xml:space="preserve">, </w:t>
      </w:r>
      <w:r w:rsidRPr="00185FC5">
        <w:t>Urban</w:t>
      </w:r>
      <w:r>
        <w:t xml:space="preserve">, </w:t>
      </w:r>
      <w:r w:rsidRPr="00185FC5">
        <w:t>Web Of Science</w:t>
      </w:r>
    </w:p>
    <w:p w:rsidR="00317598" w:rsidRPr="00F219CA" w:rsidRDefault="00317598" w:rsidP="00317598">
      <w:pPr>
        <w:pStyle w:val="1"/>
      </w:pPr>
      <w:r w:rsidRPr="00F219CA">
        <w:br w:type="page"/>
      </w:r>
      <w:bookmarkStart w:id="127" w:name="_Toc420814303"/>
      <w:r w:rsidRPr="00F219CA">
        <w:lastRenderedPageBreak/>
        <w:t xml:space="preserve">Title: </w:t>
      </w:r>
      <w:r w:rsidRPr="00317598">
        <w:t>Addictive Behaviors</w:t>
      </w:r>
      <w:bookmarkEnd w:id="127"/>
    </w:p>
    <w:p w:rsidR="00317598" w:rsidRPr="00F219CA" w:rsidRDefault="00317598" w:rsidP="00317598">
      <w:pPr>
        <w:pStyle w:val="12"/>
      </w:pPr>
      <w:r w:rsidRPr="00F219CA">
        <w:t xml:space="preserve">Full Journal Title: </w:t>
      </w:r>
      <w:r w:rsidRPr="00317598">
        <w:rPr>
          <w:iCs/>
          <w:kern w:val="0"/>
        </w:rPr>
        <w:t>Addictive Behaviors</w:t>
      </w:r>
    </w:p>
    <w:p w:rsidR="00317598" w:rsidRPr="00F219CA" w:rsidRDefault="00317598" w:rsidP="00317598">
      <w:pPr>
        <w:pStyle w:val="12"/>
      </w:pPr>
      <w:r w:rsidRPr="00F219CA">
        <w:t xml:space="preserve">ISO Abbreviated Title: </w:t>
      </w:r>
    </w:p>
    <w:p w:rsidR="00317598" w:rsidRPr="00F219CA" w:rsidRDefault="00317598" w:rsidP="00317598">
      <w:pPr>
        <w:pStyle w:val="12"/>
      </w:pPr>
      <w:r w:rsidRPr="00F219CA">
        <w:t xml:space="preserve">JCR Abbreviated Title: </w:t>
      </w:r>
    </w:p>
    <w:p w:rsidR="00317598" w:rsidRPr="00F219CA" w:rsidRDefault="00317598" w:rsidP="00317598">
      <w:pPr>
        <w:pStyle w:val="12"/>
      </w:pPr>
      <w:r w:rsidRPr="00F219CA">
        <w:t xml:space="preserve">ISSN: </w:t>
      </w:r>
    </w:p>
    <w:p w:rsidR="00317598" w:rsidRPr="00F219CA" w:rsidRDefault="00317598" w:rsidP="00317598">
      <w:pPr>
        <w:pStyle w:val="12"/>
      </w:pPr>
      <w:r w:rsidRPr="00F219CA">
        <w:t xml:space="preserve">Issues/Year: </w:t>
      </w:r>
    </w:p>
    <w:p w:rsidR="00317598" w:rsidRPr="00F219CA" w:rsidRDefault="00317598" w:rsidP="00317598">
      <w:pPr>
        <w:pStyle w:val="12"/>
      </w:pPr>
      <w:r w:rsidRPr="00F219CA">
        <w:t xml:space="preserve">Journal Country/Territory: </w:t>
      </w:r>
    </w:p>
    <w:p w:rsidR="00317598" w:rsidRPr="00F219CA" w:rsidRDefault="00317598" w:rsidP="00317598">
      <w:pPr>
        <w:pStyle w:val="12"/>
      </w:pPr>
      <w:r w:rsidRPr="00F219CA">
        <w:t xml:space="preserve">Language: </w:t>
      </w:r>
    </w:p>
    <w:p w:rsidR="00317598" w:rsidRPr="00F219CA" w:rsidRDefault="00317598" w:rsidP="00317598">
      <w:pPr>
        <w:pStyle w:val="12"/>
      </w:pPr>
      <w:r w:rsidRPr="00F219CA">
        <w:t xml:space="preserve">Publisher: </w:t>
      </w:r>
    </w:p>
    <w:p w:rsidR="00317598" w:rsidRPr="00F219CA" w:rsidRDefault="00317598" w:rsidP="00317598">
      <w:pPr>
        <w:pStyle w:val="12"/>
      </w:pPr>
      <w:r w:rsidRPr="00F219CA">
        <w:t xml:space="preserve">Publisher Address: </w:t>
      </w:r>
    </w:p>
    <w:p w:rsidR="00317598" w:rsidRPr="00F219CA" w:rsidRDefault="00317598" w:rsidP="00317598">
      <w:pPr>
        <w:pStyle w:val="12"/>
      </w:pPr>
      <w:r w:rsidRPr="00F219CA">
        <w:t xml:space="preserve">Subject Categories: </w:t>
      </w:r>
    </w:p>
    <w:p w:rsidR="00317598" w:rsidRPr="00F219CA" w:rsidRDefault="00317598" w:rsidP="00317598">
      <w:pPr>
        <w:pStyle w:val="12"/>
      </w:pPr>
      <w:r w:rsidRPr="00F219CA">
        <w:t>: Impact Factor</w:t>
      </w:r>
    </w:p>
    <w:p w:rsidR="00317598" w:rsidRDefault="00317598" w:rsidP="00317598">
      <w:pPr>
        <w:pStyle w:val="a3"/>
        <w:rPr>
          <w:kern w:val="0"/>
        </w:rPr>
      </w:pPr>
      <w:r>
        <w:rPr>
          <w:rFonts w:hint="eastAsia"/>
          <w:kern w:val="0"/>
        </w:rPr>
        <w:t xml:space="preserve">? </w:t>
      </w:r>
      <w:r>
        <w:rPr>
          <w:kern w:val="0"/>
        </w:rPr>
        <w:t>Edwards, S.A., Bondy, S.J., Callaghan, R.C. and Mann, R.E. (2014), Prevalence</w:t>
      </w:r>
      <w:r w:rsidR="00427468">
        <w:rPr>
          <w:kern w:val="0"/>
        </w:rPr>
        <w:t xml:space="preserve"> of </w:t>
      </w:r>
      <w:r>
        <w:rPr>
          <w:kern w:val="0"/>
        </w:rPr>
        <w:t>unassisted quit attempts in population-based studies: A systematic review</w:t>
      </w:r>
      <w:r w:rsidR="00427468">
        <w:rPr>
          <w:kern w:val="0"/>
        </w:rPr>
        <w:t xml:space="preserve"> of </w:t>
      </w:r>
      <w:r>
        <w:rPr>
          <w:kern w:val="0"/>
        </w:rPr>
        <w:t xml:space="preserve">the literature. </w:t>
      </w:r>
      <w:r w:rsidRPr="00317598">
        <w:rPr>
          <w:i/>
          <w:iCs/>
          <w:kern w:val="0"/>
        </w:rPr>
        <w:t>Addictive Behaviors</w:t>
      </w:r>
      <w:r>
        <w:rPr>
          <w:kern w:val="0"/>
        </w:rPr>
        <w:t xml:space="preserve">, </w:t>
      </w:r>
      <w:r>
        <w:rPr>
          <w:b/>
          <w:bCs/>
          <w:kern w:val="0"/>
        </w:rPr>
        <w:t>39</w:t>
      </w:r>
      <w:r>
        <w:rPr>
          <w:kern w:val="0"/>
        </w:rPr>
        <w:t xml:space="preserve"> (3), 512-519.</w:t>
      </w:r>
    </w:p>
    <w:p w:rsidR="00317598" w:rsidRDefault="00317598" w:rsidP="00317598">
      <w:pPr>
        <w:pStyle w:val="a3"/>
        <w:rPr>
          <w:kern w:val="0"/>
        </w:rPr>
      </w:pPr>
      <w:r>
        <w:rPr>
          <w:rFonts w:hint="eastAsia"/>
          <w:kern w:val="0"/>
        </w:rPr>
        <w:t xml:space="preserve">Full Text: </w:t>
      </w:r>
      <w:hyperlink r:id="rId238" w:history="1">
        <w:r w:rsidRPr="00F25334">
          <w:rPr>
            <w:rStyle w:val="a5"/>
            <w:kern w:val="0"/>
          </w:rPr>
          <w:t>2014\Add Beh39, 512.pdf</w:t>
        </w:r>
      </w:hyperlink>
    </w:p>
    <w:p w:rsidR="00317598" w:rsidRDefault="00317598" w:rsidP="00317598">
      <w:pPr>
        <w:pStyle w:val="a3"/>
        <w:rPr>
          <w:kern w:val="0"/>
        </w:rPr>
      </w:pPr>
      <w:r>
        <w:rPr>
          <w:kern w:val="0"/>
        </w:rPr>
        <w:t>Abstract: Aims: The idea that most smokers quit without formal assistance is widely accepted, however, few studies have been referenced as evidence</w:t>
      </w:r>
      <w:r w:rsidR="00A37C1D">
        <w:rPr>
          <w:kern w:val="0"/>
        </w:rPr>
        <w:t>. The</w:t>
      </w:r>
      <w:r>
        <w:rPr>
          <w:kern w:val="0"/>
        </w:rPr>
        <w:t xml:space="preserve"> purpose</w:t>
      </w:r>
      <w:r w:rsidR="00427468">
        <w:rPr>
          <w:kern w:val="0"/>
        </w:rPr>
        <w:t xml:space="preserve"> of </w:t>
      </w:r>
      <w:r>
        <w:rPr>
          <w:kern w:val="0"/>
        </w:rPr>
        <w:t>this study is to systematically review the literature to determine what proportion</w:t>
      </w:r>
      <w:r w:rsidR="00427468">
        <w:rPr>
          <w:kern w:val="0"/>
        </w:rPr>
        <w:t xml:space="preserve"> of </w:t>
      </w:r>
      <w:r>
        <w:rPr>
          <w:kern w:val="0"/>
        </w:rPr>
        <w:t>adult smokers report attempting to quit unassisted in population-based studies. Methods: A four stage strategy was used to conduct a search</w:t>
      </w:r>
      <w:r w:rsidR="00427468">
        <w:rPr>
          <w:kern w:val="0"/>
        </w:rPr>
        <w:t xml:space="preserve"> of </w:t>
      </w:r>
      <w:r>
        <w:rPr>
          <w:kern w:val="0"/>
        </w:rPr>
        <w:t>the literature including searching 9 electronic databases (PUBMED, MEDLINE (OVID) (1948-), EMBASE (1947-), CINAHL, ISI Web</w:t>
      </w:r>
      <w:r w:rsidR="00427468">
        <w:rPr>
          <w:kern w:val="0"/>
        </w:rPr>
        <w:t xml:space="preserve"> of </w:t>
      </w:r>
      <w:r>
        <w:rPr>
          <w:kern w:val="0"/>
        </w:rPr>
        <w:t>Science with conference proceedings, PsycINFO (1806-), Scopus, Conference Papers Index, and Digital Dissertations), the gray literature, online forums and hand searches. Results: A total</w:t>
      </w:r>
      <w:r w:rsidR="00427468">
        <w:rPr>
          <w:kern w:val="0"/>
        </w:rPr>
        <w:t xml:space="preserve"> of </w:t>
      </w:r>
      <w:r>
        <w:rPr>
          <w:kern w:val="0"/>
        </w:rPr>
        <w:t>26 population-based prevalence studies</w:t>
      </w:r>
      <w:r w:rsidR="00427468">
        <w:rPr>
          <w:kern w:val="0"/>
        </w:rPr>
        <w:t xml:space="preserve"> of </w:t>
      </w:r>
      <w:r>
        <w:rPr>
          <w:kern w:val="0"/>
        </w:rPr>
        <w:t>unassisted quitting were identified, which presented data collected from 1986 through 2010, in 9 countries. Unassisted quit attempts ranged from a high</w:t>
      </w:r>
      <w:r w:rsidR="00427468">
        <w:rPr>
          <w:kern w:val="0"/>
        </w:rPr>
        <w:t xml:space="preserve"> of </w:t>
      </w:r>
      <w:r>
        <w:rPr>
          <w:kern w:val="0"/>
        </w:rPr>
        <w:t>95.3% in a study in Christchurch, New Zealand, between 1998 and 1999, to a low</w:t>
      </w:r>
      <w:r w:rsidR="00427468">
        <w:rPr>
          <w:kern w:val="0"/>
        </w:rPr>
        <w:t xml:space="preserve"> of </w:t>
      </w:r>
      <w:r>
        <w:rPr>
          <w:kern w:val="0"/>
        </w:rPr>
        <w:t>40.6% in a national Australian study conducted between 2008 and 2009. In 24</w:t>
      </w:r>
      <w:r w:rsidR="00427468">
        <w:rPr>
          <w:kern w:val="0"/>
        </w:rPr>
        <w:t xml:space="preserve"> of </w:t>
      </w:r>
      <w:r>
        <w:rPr>
          <w:kern w:val="0"/>
        </w:rPr>
        <w:t>the 26 studies reviewed, a majority</w:t>
      </w:r>
      <w:r w:rsidR="00427468">
        <w:rPr>
          <w:kern w:val="0"/>
        </w:rPr>
        <w:t xml:space="preserve"> of </w:t>
      </w:r>
      <w:r>
        <w:rPr>
          <w:kern w:val="0"/>
        </w:rPr>
        <w:t>quit attempts were unassisted. Conclusions: This systematic review demonstrates that a majority</w:t>
      </w:r>
      <w:r w:rsidR="00427468">
        <w:rPr>
          <w:kern w:val="0"/>
        </w:rPr>
        <w:t xml:space="preserve"> of </w:t>
      </w:r>
      <w:r>
        <w:rPr>
          <w:kern w:val="0"/>
        </w:rPr>
        <w:t>quit attempts in population-based studies to date are unassisted. However, across and within countries overtime, it appears that there is a trend toward lower prevalence</w:t>
      </w:r>
      <w:r w:rsidR="00427468">
        <w:rPr>
          <w:kern w:val="0"/>
        </w:rPr>
        <w:t xml:space="preserve"> of </w:t>
      </w:r>
      <w:r>
        <w:rPr>
          <w:kern w:val="0"/>
        </w:rPr>
        <w:t>making quit attempts without reported assistance or intervention. (C) 2013 Elsevier Ltd. All rights reserved.</w:t>
      </w:r>
    </w:p>
    <w:p w:rsidR="00317598" w:rsidRDefault="00317598" w:rsidP="00317598">
      <w:pPr>
        <w:pStyle w:val="a3"/>
        <w:rPr>
          <w:kern w:val="0"/>
        </w:rPr>
      </w:pPr>
      <w:r>
        <w:rPr>
          <w:kern w:val="0"/>
        </w:rPr>
        <w:t xml:space="preserve">Keywords: Adult, Assistance, Attitudes, Australian, Conference, Conference Proceedings, Data, Databases, Digital, Dissertations, Embase, Evidence, Gray </w:t>
      </w:r>
      <w:r>
        <w:rPr>
          <w:kern w:val="0"/>
        </w:rPr>
        <w:lastRenderedPageBreak/>
        <w:t>Literature, International Tobacco Control, Intervention, Isi, Isi Web</w:t>
      </w:r>
      <w:r w:rsidR="00427468">
        <w:rPr>
          <w:kern w:val="0"/>
        </w:rPr>
        <w:t xml:space="preserve"> of </w:t>
      </w:r>
      <w:r>
        <w:rPr>
          <w:kern w:val="0"/>
        </w:rPr>
        <w:t>Science, Knowledge, Literature, Mar, Medline, Methods, New Zealand, Nicotine Replacement, Online, Population Based, Population-Based, Population-Based Studies, Predictors, Prevalence, Prevalence Studies, Psycinfo, Purpose, Quitting, Results, Review, Rights, Science, Scopus, Smokers, Smoking, Smoking-Cessation Treatments, Strategy, Systematic Review, Therapy, Trend, Unassisted Quit Attempts, United-States, Web</w:t>
      </w:r>
      <w:r w:rsidR="00427468">
        <w:rPr>
          <w:kern w:val="0"/>
        </w:rPr>
        <w:t xml:space="preserve"> of </w:t>
      </w:r>
      <w:r>
        <w:rPr>
          <w:kern w:val="0"/>
        </w:rPr>
        <w:t>Science</w:t>
      </w:r>
    </w:p>
    <w:p w:rsidR="00AC58DA" w:rsidRPr="00F219CA" w:rsidRDefault="00AC58DA" w:rsidP="00AC58DA">
      <w:pPr>
        <w:pStyle w:val="1"/>
      </w:pPr>
      <w:r w:rsidRPr="00F219CA">
        <w:br w:type="page"/>
      </w:r>
      <w:bookmarkStart w:id="128" w:name="_Toc420814304"/>
      <w:r w:rsidRPr="00F219CA">
        <w:lastRenderedPageBreak/>
        <w:t xml:space="preserve">Title: </w:t>
      </w:r>
      <w:r w:rsidRPr="00AC58DA">
        <w:rPr>
          <w:iCs w:val="0"/>
        </w:rPr>
        <w:t>Adicciones</w:t>
      </w:r>
      <w:bookmarkEnd w:id="128"/>
    </w:p>
    <w:p w:rsidR="00B600BA" w:rsidRPr="00F219CA" w:rsidRDefault="00B600BA" w:rsidP="00B600BA">
      <w:pPr>
        <w:pStyle w:val="12"/>
      </w:pPr>
      <w:r w:rsidRPr="00F219CA">
        <w:t xml:space="preserve">Full Journal Title: </w:t>
      </w:r>
      <w:hyperlink r:id="rId239" w:history="1">
        <w:r w:rsidRPr="001A1B38">
          <w:rPr>
            <w:rStyle w:val="a5"/>
            <w:iCs/>
            <w:kern w:val="0"/>
          </w:rPr>
          <w:t>Adicciones</w:t>
        </w:r>
      </w:hyperlink>
    </w:p>
    <w:p w:rsidR="00AC58DA" w:rsidRPr="00F219CA" w:rsidRDefault="00AC58DA" w:rsidP="00AC58DA">
      <w:pPr>
        <w:pStyle w:val="12"/>
      </w:pPr>
      <w:r w:rsidRPr="00F219CA">
        <w:t xml:space="preserve">ISO Abbreviated Title: </w:t>
      </w:r>
      <w:r w:rsidRPr="00AC58DA">
        <w:rPr>
          <w:iCs/>
          <w:kern w:val="0"/>
        </w:rPr>
        <w:t>Adicciones</w:t>
      </w:r>
    </w:p>
    <w:p w:rsidR="00AC58DA" w:rsidRPr="00F219CA" w:rsidRDefault="00AC58DA" w:rsidP="00AC58DA">
      <w:pPr>
        <w:pStyle w:val="12"/>
      </w:pPr>
      <w:r w:rsidRPr="00F219CA">
        <w:t xml:space="preserve">JCR Abbreviated Title: </w:t>
      </w:r>
      <w:r w:rsidRPr="00AC58DA">
        <w:rPr>
          <w:iCs/>
          <w:kern w:val="0"/>
        </w:rPr>
        <w:t>Adicciones</w:t>
      </w:r>
    </w:p>
    <w:p w:rsidR="00AC58DA" w:rsidRPr="00F219CA" w:rsidRDefault="00AC58DA" w:rsidP="00AC58DA">
      <w:pPr>
        <w:pStyle w:val="12"/>
      </w:pPr>
      <w:r w:rsidRPr="00F219CA">
        <w:t xml:space="preserve">ISSN: </w:t>
      </w:r>
    </w:p>
    <w:p w:rsidR="00AC58DA" w:rsidRPr="00F219CA" w:rsidRDefault="00AC58DA" w:rsidP="00AC58DA">
      <w:pPr>
        <w:pStyle w:val="12"/>
      </w:pPr>
      <w:r w:rsidRPr="00F219CA">
        <w:t xml:space="preserve">Issues/Year: </w:t>
      </w:r>
    </w:p>
    <w:p w:rsidR="00AC58DA" w:rsidRPr="00F219CA" w:rsidRDefault="00AC58DA" w:rsidP="00AC58DA">
      <w:pPr>
        <w:pStyle w:val="12"/>
      </w:pPr>
      <w:r w:rsidRPr="00F219CA">
        <w:t xml:space="preserve">Journal Country/Territory: </w:t>
      </w:r>
    </w:p>
    <w:p w:rsidR="00AC58DA" w:rsidRPr="00F219CA" w:rsidRDefault="00AC58DA" w:rsidP="00AC58DA">
      <w:pPr>
        <w:pStyle w:val="12"/>
      </w:pPr>
      <w:r w:rsidRPr="00F219CA">
        <w:t xml:space="preserve">Language: </w:t>
      </w:r>
    </w:p>
    <w:p w:rsidR="00AC58DA" w:rsidRPr="00F219CA" w:rsidRDefault="00AC58DA" w:rsidP="00AC58DA">
      <w:pPr>
        <w:pStyle w:val="12"/>
      </w:pPr>
      <w:r w:rsidRPr="00F219CA">
        <w:t xml:space="preserve">Publisher: </w:t>
      </w:r>
    </w:p>
    <w:p w:rsidR="00AC58DA" w:rsidRPr="00F219CA" w:rsidRDefault="00AC58DA" w:rsidP="00AC58DA">
      <w:pPr>
        <w:pStyle w:val="12"/>
      </w:pPr>
      <w:r w:rsidRPr="00F219CA">
        <w:t xml:space="preserve">Publisher Address: </w:t>
      </w:r>
    </w:p>
    <w:p w:rsidR="00AC58DA" w:rsidRPr="00F219CA" w:rsidRDefault="00AC58DA" w:rsidP="00AC58DA">
      <w:pPr>
        <w:pStyle w:val="12"/>
      </w:pPr>
      <w:r w:rsidRPr="00F219CA">
        <w:t xml:space="preserve">Subject Categories: </w:t>
      </w:r>
    </w:p>
    <w:p w:rsidR="00AC58DA" w:rsidRPr="00F219CA" w:rsidRDefault="00AC58DA" w:rsidP="00AC58DA">
      <w:pPr>
        <w:pStyle w:val="12"/>
      </w:pPr>
      <w:r w:rsidRPr="00F219CA">
        <w:t>: Impact Factor</w:t>
      </w:r>
    </w:p>
    <w:p w:rsidR="00AC58DA" w:rsidRDefault="00AC58DA" w:rsidP="00AC58DA">
      <w:pPr>
        <w:pStyle w:val="a3"/>
        <w:rPr>
          <w:kern w:val="0"/>
        </w:rPr>
      </w:pPr>
      <w:r>
        <w:rPr>
          <w:rFonts w:hint="eastAsia"/>
          <w:kern w:val="0"/>
        </w:rPr>
        <w:t xml:space="preserve">? </w:t>
      </w:r>
      <w:r>
        <w:rPr>
          <w:kern w:val="0"/>
        </w:rPr>
        <w:t>Miquel, L., Roncero, C., Lopez-Ortiz, C.</w:t>
      </w:r>
      <w:r w:rsidR="005853A9">
        <w:rPr>
          <w:kern w:val="0"/>
        </w:rPr>
        <w:t xml:space="preserve"> and </w:t>
      </w:r>
      <w:r>
        <w:rPr>
          <w:kern w:val="0"/>
        </w:rPr>
        <w:t>Casas, M. (2011), Epidemiological</w:t>
      </w:r>
      <w:r w:rsidR="005853A9">
        <w:rPr>
          <w:kern w:val="0"/>
        </w:rPr>
        <w:t xml:space="preserve"> and </w:t>
      </w:r>
      <w:r>
        <w:rPr>
          <w:kern w:val="0"/>
        </w:rPr>
        <w:t xml:space="preserve">diagnostic axis I gender differences in Dual Diagnosis patients. </w:t>
      </w:r>
      <w:r w:rsidRPr="00AC58DA">
        <w:rPr>
          <w:i/>
          <w:iCs/>
          <w:kern w:val="0"/>
        </w:rPr>
        <w:t>Adicciones</w:t>
      </w:r>
      <w:r>
        <w:rPr>
          <w:kern w:val="0"/>
        </w:rPr>
        <w:t xml:space="preserve">, </w:t>
      </w:r>
      <w:r>
        <w:rPr>
          <w:b/>
          <w:bCs/>
          <w:kern w:val="0"/>
        </w:rPr>
        <w:t>23</w:t>
      </w:r>
      <w:r>
        <w:rPr>
          <w:kern w:val="0"/>
        </w:rPr>
        <w:t xml:space="preserve"> (2), 165-172.</w:t>
      </w:r>
    </w:p>
    <w:p w:rsidR="00AC58DA" w:rsidRPr="001A3D2B" w:rsidRDefault="00AC58DA" w:rsidP="00AC58DA">
      <w:pPr>
        <w:pStyle w:val="a3"/>
      </w:pPr>
      <w:r w:rsidRPr="001A3D2B">
        <w:t xml:space="preserve">Full Text: </w:t>
      </w:r>
      <w:hyperlink r:id="rId240" w:history="1">
        <w:r w:rsidRPr="00AC58DA">
          <w:rPr>
            <w:rStyle w:val="a5"/>
          </w:rPr>
          <w:t>2011\Adicciones23, 165.pdf</w:t>
        </w:r>
      </w:hyperlink>
    </w:p>
    <w:p w:rsidR="00AC58DA" w:rsidRDefault="00AC58DA" w:rsidP="00AC58DA">
      <w:pPr>
        <w:pStyle w:val="a3"/>
        <w:rPr>
          <w:kern w:val="0"/>
        </w:rPr>
      </w:pPr>
      <w:r>
        <w:rPr>
          <w:kern w:val="0"/>
        </w:rPr>
        <w:t>Abstract: Introduction: Dual diagnosis is</w:t>
      </w:r>
      <w:r w:rsidR="003A1917">
        <w:rPr>
          <w:kern w:val="0"/>
        </w:rPr>
        <w:t xml:space="preserve"> the </w:t>
      </w:r>
      <w:r>
        <w:rPr>
          <w:kern w:val="0"/>
        </w:rPr>
        <w:t>co-occurrence</w:t>
      </w:r>
      <w:r w:rsidR="00427468">
        <w:rPr>
          <w:kern w:val="0"/>
        </w:rPr>
        <w:t xml:space="preserve"> of </w:t>
      </w:r>
      <w:r>
        <w:rPr>
          <w:kern w:val="0"/>
        </w:rPr>
        <w:t>a substance abuse disorder</w:t>
      </w:r>
      <w:r w:rsidR="005853A9">
        <w:rPr>
          <w:kern w:val="0"/>
        </w:rPr>
        <w:t xml:space="preserve"> and </w:t>
      </w:r>
      <w:r>
        <w:rPr>
          <w:kern w:val="0"/>
        </w:rPr>
        <w:t>a psychiatric condition. Gender has been found to be associated with differences in prevalence</w:t>
      </w:r>
      <w:r w:rsidR="00427468">
        <w:rPr>
          <w:kern w:val="0"/>
        </w:rPr>
        <w:t xml:space="preserve"> of </w:t>
      </w:r>
      <w:r>
        <w:rPr>
          <w:kern w:val="0"/>
        </w:rPr>
        <w:t>mental disorders as well as outcome, prognosis</w:t>
      </w:r>
      <w:r w:rsidR="005853A9">
        <w:rPr>
          <w:kern w:val="0"/>
        </w:rPr>
        <w:t xml:space="preserve"> and </w:t>
      </w:r>
      <w:r>
        <w:rPr>
          <w:kern w:val="0"/>
        </w:rPr>
        <w:t>treatment-seeking. Material</w:t>
      </w:r>
      <w:r w:rsidR="005853A9">
        <w:rPr>
          <w:kern w:val="0"/>
        </w:rPr>
        <w:t xml:space="preserve"> and </w:t>
      </w:r>
      <w:r>
        <w:rPr>
          <w:kern w:val="0"/>
        </w:rPr>
        <w:t xml:space="preserve">Methods: Articles published in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Journal Citation Reports up to December 2009 that examined gender, prevalence</w:t>
      </w:r>
      <w:r w:rsidR="005853A9">
        <w:rPr>
          <w:kern w:val="0"/>
        </w:rPr>
        <w:t xml:space="preserve"> and </w:t>
      </w:r>
      <w:r>
        <w:rPr>
          <w:kern w:val="0"/>
        </w:rPr>
        <w:t>clinical characteristics</w:t>
      </w:r>
      <w:r w:rsidR="00427468">
        <w:rPr>
          <w:kern w:val="0"/>
        </w:rPr>
        <w:t xml:space="preserve"> of </w:t>
      </w:r>
      <w:r>
        <w:rPr>
          <w:kern w:val="0"/>
        </w:rPr>
        <w:t>dual-diagnosis patients aged over 18 were reviewed. Conclusions:</w:t>
      </w:r>
      <w:r w:rsidR="003A1917">
        <w:rPr>
          <w:kern w:val="0"/>
        </w:rPr>
        <w:t xml:space="preserve"> the </w:t>
      </w:r>
      <w:r>
        <w:rPr>
          <w:kern w:val="0"/>
        </w:rPr>
        <w:t>distribution</w:t>
      </w:r>
      <w:r w:rsidR="00427468">
        <w:rPr>
          <w:kern w:val="0"/>
        </w:rPr>
        <w:t xml:space="preserve"> of </w:t>
      </w:r>
      <w:r>
        <w:rPr>
          <w:kern w:val="0"/>
        </w:rPr>
        <w:t>Axis I disorders by gender is similar for dually diagnosed patients</w:t>
      </w:r>
      <w:r w:rsidR="005853A9">
        <w:rPr>
          <w:kern w:val="0"/>
        </w:rPr>
        <w:t xml:space="preserve"> and </w:t>
      </w:r>
      <w:r>
        <w:rPr>
          <w:kern w:val="0"/>
        </w:rPr>
        <w:t>single-disorder patients</w:t>
      </w:r>
      <w:r w:rsidR="00A37C1D">
        <w:rPr>
          <w:kern w:val="0"/>
        </w:rPr>
        <w:t>. The</w:t>
      </w:r>
      <w:r w:rsidR="003A1917">
        <w:rPr>
          <w:kern w:val="0"/>
        </w:rPr>
        <w:t xml:space="preserve"> </w:t>
      </w:r>
      <w:r>
        <w:rPr>
          <w:kern w:val="0"/>
        </w:rPr>
        <w:t>prevalence</w:t>
      </w:r>
      <w:r w:rsidR="00427468">
        <w:rPr>
          <w:kern w:val="0"/>
        </w:rPr>
        <w:t xml:space="preserve"> of </w:t>
      </w:r>
      <w:r>
        <w:rPr>
          <w:kern w:val="0"/>
        </w:rPr>
        <w:t>psychotic</w:t>
      </w:r>
      <w:r w:rsidR="005853A9">
        <w:rPr>
          <w:kern w:val="0"/>
        </w:rPr>
        <w:t xml:space="preserve"> and </w:t>
      </w:r>
      <w:r>
        <w:rPr>
          <w:kern w:val="0"/>
        </w:rPr>
        <w:t>bipolar disorders is higher in men, whereas anxiety</w:t>
      </w:r>
      <w:r w:rsidR="005853A9">
        <w:rPr>
          <w:kern w:val="0"/>
        </w:rPr>
        <w:t xml:space="preserve"> and </w:t>
      </w:r>
      <w:r>
        <w:rPr>
          <w:kern w:val="0"/>
        </w:rPr>
        <w:t>affective disorders are more prevalent in women. Dually diagnosed females with psychotic disorders do not show better prognosis than men. Finally, polydrug use among dual-diagnosis individuals is more prevalent in males.</w:t>
      </w:r>
    </w:p>
    <w:p w:rsidR="00AC58DA" w:rsidRDefault="00AC58DA" w:rsidP="00AC58DA">
      <w:pPr>
        <w:pStyle w:val="a3"/>
        <w:rPr>
          <w:kern w:val="0"/>
        </w:rPr>
      </w:pPr>
      <w:r>
        <w:rPr>
          <w:kern w:val="0"/>
        </w:rPr>
        <w:t xml:space="preserve">Keywords: Addiction, Aged, Alcohol-Use Disorders, Anxiety, Articles, Bipolar Disorder, Citation, Comorbid Anxiety Disorder, Diagnosis, Disorder, Dual Diagnosis, Gender, Initial Evaluation, Journal, Journal Citation Reports, Mental Disorders, Mental-Disorders, Methods, Outcome, Prevalence, Prognosis, Psychiatric Comorbidity, Risk-Factors, Science, Sex-Differences, Stress-Disorder, Substance Use Disorder, Substance Use Disorders, </w:t>
      </w:r>
      <w:r w:rsidR="00D5664A">
        <w:rPr>
          <w:kern w:val="0"/>
        </w:rPr>
        <w:t>Web</w:t>
      </w:r>
      <w:r w:rsidR="00427468">
        <w:rPr>
          <w:kern w:val="0"/>
        </w:rPr>
        <w:t xml:space="preserve"> of </w:t>
      </w:r>
      <w:r w:rsidR="00D5664A">
        <w:rPr>
          <w:kern w:val="0"/>
        </w:rPr>
        <w:t>Science</w:t>
      </w:r>
      <w:r>
        <w:rPr>
          <w:kern w:val="0"/>
        </w:rPr>
        <w:t>, Women</w:t>
      </w:r>
    </w:p>
    <w:p w:rsidR="00B600BA" w:rsidRDefault="00B600BA" w:rsidP="00B600BA">
      <w:pPr>
        <w:pStyle w:val="a3"/>
        <w:rPr>
          <w:kern w:val="0"/>
        </w:rPr>
      </w:pPr>
      <w:r>
        <w:rPr>
          <w:rFonts w:hint="eastAsia"/>
          <w:kern w:val="0"/>
        </w:rPr>
        <w:t xml:space="preserve">? </w:t>
      </w:r>
      <w:r>
        <w:rPr>
          <w:kern w:val="0"/>
        </w:rPr>
        <w:t xml:space="preserve">Gonzalez-Alcaide, G., Calafat, A. and Becona, E. (2014), Core research areas on addiction in Spain through the Web of Science bibliographic coupling analysis (2000-2013). </w:t>
      </w:r>
      <w:r>
        <w:rPr>
          <w:i/>
          <w:iCs/>
          <w:kern w:val="0"/>
        </w:rPr>
        <w:t>Adicciones</w:t>
      </w:r>
      <w:r>
        <w:rPr>
          <w:kern w:val="0"/>
        </w:rPr>
        <w:t xml:space="preserve">, </w:t>
      </w:r>
      <w:r>
        <w:rPr>
          <w:b/>
          <w:bCs/>
          <w:kern w:val="0"/>
        </w:rPr>
        <w:t>26</w:t>
      </w:r>
      <w:r>
        <w:rPr>
          <w:kern w:val="0"/>
        </w:rPr>
        <w:t xml:space="preserve"> (2), 168-183.</w:t>
      </w:r>
    </w:p>
    <w:p w:rsidR="00B600BA" w:rsidRPr="001A3D2B" w:rsidRDefault="00B600BA" w:rsidP="00B600BA">
      <w:pPr>
        <w:pStyle w:val="a3"/>
      </w:pPr>
      <w:r w:rsidRPr="001A3D2B">
        <w:lastRenderedPageBreak/>
        <w:t xml:space="preserve">Full Text: </w:t>
      </w:r>
      <w:r w:rsidRPr="001A1B38">
        <w:t>2014\Adicciones26, 168.pdf</w:t>
      </w:r>
    </w:p>
    <w:p w:rsidR="00B600BA" w:rsidRDefault="00B600BA" w:rsidP="00B600BA">
      <w:pPr>
        <w:pStyle w:val="a3"/>
        <w:rPr>
          <w:kern w:val="0"/>
        </w:rPr>
      </w:pPr>
      <w:r>
        <w:rPr>
          <w:kern w:val="0"/>
        </w:rPr>
        <w:t>Abstract: The present study identifies the main Spanish core research areas in the area of addictions through the bibliographic coupling analysis of the publications at the Web of Science under the substance abuse heading</w:t>
      </w:r>
      <w:r w:rsidR="00A37C1D">
        <w:rPr>
          <w:kern w:val="0"/>
        </w:rPr>
        <w:t>. The</w:t>
      </w:r>
      <w:r>
        <w:rPr>
          <w:kern w:val="0"/>
        </w:rPr>
        <w:t xml:space="preserve"> bibliographic coupling methodology is the analytical procedure that determines the thematic-intellectual proximity of the documents under consideration through the identification of the shared or simultaneously cited bibliography by those documents. A factor analysis and network analysis have been carried out to cluster documents, graphically represent the existing core research areas, and analyse the interrelations between them. We have identified 30 core research areas. Alcohol is the topic of attention of 17 areas and cocaine has a strong presence in 6. Heroin and opiates are only present as prominent substances in 4 areas and cannabis and tobacco in other two for each substance. It has been found that there is a significant degree of fragmentation in the area, with the existence of numerous research foci but with few connections with each other and few documents showing shared common knowledge. Also noteworthy is the large number of emerging research areas, reflecting an incipient stage in many of the research topics. Consideration must be placed in promoting scientific consensus and cohesion of the discipline as well as to encouraging the consolidation of main lines that respond to the social problems and research challenges.</w:t>
      </w:r>
    </w:p>
    <w:p w:rsidR="00B600BA" w:rsidRDefault="00B600BA" w:rsidP="00B600BA">
      <w:pPr>
        <w:pStyle w:val="a3"/>
        <w:rPr>
          <w:kern w:val="0"/>
        </w:rPr>
      </w:pPr>
      <w:r>
        <w:rPr>
          <w:kern w:val="0"/>
        </w:rPr>
        <w:t>Keywords: Abuse, Addiction, Alcohol, Analysis, Attention, Bibliographic, Bibliographic Coupling, Bibliography, Bibliometrics, Cannabis, Citation, Cluster, Cocaine, Cocitation, Consensus, Documents, Factor Analysis, Field, Fragmentation, Identification, Intellectual Structure, Knowledge, Methodology, Network, Network Analysis, Procedure, Publications, Research, Research Areas, Research-Front, Science, Social, Spain, Substance Abuse, Tobacco, Topic, Web Of Science</w:t>
      </w:r>
    </w:p>
    <w:p w:rsidR="003443BC" w:rsidRPr="00F219CA" w:rsidRDefault="003443BC" w:rsidP="003443BC">
      <w:pPr>
        <w:pStyle w:val="1"/>
      </w:pPr>
      <w:r w:rsidRPr="00F219CA">
        <w:br w:type="page"/>
      </w:r>
      <w:bookmarkStart w:id="129" w:name="_Toc420814305"/>
      <w:r w:rsidRPr="00F219CA">
        <w:lastRenderedPageBreak/>
        <w:t xml:space="preserve">Title: </w:t>
      </w:r>
      <w:r w:rsidRPr="0056524B">
        <w:rPr>
          <w:szCs w:val="24"/>
        </w:rPr>
        <w:t>Adult Education Quarterly</w:t>
      </w:r>
      <w:bookmarkEnd w:id="129"/>
    </w:p>
    <w:p w:rsidR="003443BC" w:rsidRPr="00F219CA" w:rsidRDefault="003443BC" w:rsidP="003443BC">
      <w:pPr>
        <w:pStyle w:val="12"/>
      </w:pPr>
      <w:r w:rsidRPr="00F219CA">
        <w:t xml:space="preserve">Full Journal Title: </w:t>
      </w:r>
      <w:r w:rsidRPr="0056524B">
        <w:rPr>
          <w:iCs/>
          <w:kern w:val="0"/>
        </w:rPr>
        <w:t>Adult Education Quarterly</w:t>
      </w:r>
    </w:p>
    <w:p w:rsidR="003443BC" w:rsidRPr="00F219CA" w:rsidRDefault="003443BC" w:rsidP="003443BC">
      <w:pPr>
        <w:pStyle w:val="12"/>
      </w:pPr>
      <w:r w:rsidRPr="00F219CA">
        <w:t xml:space="preserve">ISO Abbreviated Title: </w:t>
      </w:r>
    </w:p>
    <w:p w:rsidR="003443BC" w:rsidRPr="00F219CA" w:rsidRDefault="003443BC" w:rsidP="003443BC">
      <w:pPr>
        <w:pStyle w:val="12"/>
      </w:pPr>
      <w:r w:rsidRPr="00F219CA">
        <w:t xml:space="preserve">JCR Abbreviated Title: </w:t>
      </w:r>
    </w:p>
    <w:p w:rsidR="003443BC" w:rsidRPr="00F219CA" w:rsidRDefault="003443BC" w:rsidP="003443BC">
      <w:pPr>
        <w:pStyle w:val="12"/>
      </w:pPr>
      <w:r w:rsidRPr="00F219CA">
        <w:t xml:space="preserve">ISSN: </w:t>
      </w:r>
    </w:p>
    <w:p w:rsidR="003443BC" w:rsidRPr="00F219CA" w:rsidRDefault="003443BC" w:rsidP="003443BC">
      <w:pPr>
        <w:pStyle w:val="12"/>
      </w:pPr>
      <w:r w:rsidRPr="00F219CA">
        <w:t xml:space="preserve">Issues/Year: </w:t>
      </w:r>
    </w:p>
    <w:p w:rsidR="003443BC" w:rsidRPr="00F219CA" w:rsidRDefault="003443BC" w:rsidP="003443BC">
      <w:pPr>
        <w:pStyle w:val="12"/>
      </w:pPr>
      <w:r w:rsidRPr="00F219CA">
        <w:t xml:space="preserve">Journal Country/Territory: </w:t>
      </w:r>
    </w:p>
    <w:p w:rsidR="003443BC" w:rsidRPr="00F219CA" w:rsidRDefault="003443BC" w:rsidP="003443BC">
      <w:pPr>
        <w:pStyle w:val="12"/>
      </w:pPr>
      <w:r w:rsidRPr="00F219CA">
        <w:t xml:space="preserve">Language: </w:t>
      </w:r>
    </w:p>
    <w:p w:rsidR="003443BC" w:rsidRPr="00F219CA" w:rsidRDefault="003443BC" w:rsidP="003443BC">
      <w:pPr>
        <w:pStyle w:val="12"/>
      </w:pPr>
      <w:r w:rsidRPr="00F219CA">
        <w:t xml:space="preserve">Publisher: </w:t>
      </w:r>
    </w:p>
    <w:p w:rsidR="003443BC" w:rsidRPr="00F219CA" w:rsidRDefault="003443BC" w:rsidP="003443BC">
      <w:pPr>
        <w:pStyle w:val="12"/>
      </w:pPr>
      <w:r w:rsidRPr="00F219CA">
        <w:t xml:space="preserve">Publisher Address: </w:t>
      </w:r>
    </w:p>
    <w:p w:rsidR="003443BC" w:rsidRPr="00F219CA" w:rsidRDefault="003443BC" w:rsidP="003443BC">
      <w:pPr>
        <w:pStyle w:val="12"/>
      </w:pPr>
      <w:r w:rsidRPr="00F219CA">
        <w:t xml:space="preserve">Subject Categories: </w:t>
      </w:r>
    </w:p>
    <w:p w:rsidR="003443BC" w:rsidRPr="00F219CA" w:rsidRDefault="003443BC" w:rsidP="003443BC">
      <w:pPr>
        <w:pStyle w:val="12"/>
      </w:pPr>
      <w:r w:rsidRPr="00F219CA">
        <w:t>: Impact Factor</w:t>
      </w:r>
    </w:p>
    <w:p w:rsidR="00021E6B" w:rsidRDefault="00021E6B" w:rsidP="00021E6B">
      <w:pPr>
        <w:pStyle w:val="a3"/>
        <w:rPr>
          <w:kern w:val="0"/>
        </w:rPr>
      </w:pPr>
      <w:r>
        <w:rPr>
          <w:rFonts w:hint="eastAsia"/>
          <w:kern w:val="0"/>
        </w:rPr>
        <w:t xml:space="preserve">? </w:t>
      </w:r>
      <w:r>
        <w:rPr>
          <w:kern w:val="0"/>
        </w:rPr>
        <w:t>Rachal, J.R.</w:t>
      </w:r>
      <w:r w:rsidR="005853A9">
        <w:rPr>
          <w:kern w:val="0"/>
        </w:rPr>
        <w:t xml:space="preserve"> and </w:t>
      </w:r>
      <w:r>
        <w:rPr>
          <w:kern w:val="0"/>
        </w:rPr>
        <w:t>Sargent, S.F. (1995), Publication productivity</w:t>
      </w:r>
      <w:r w:rsidR="00427468">
        <w:rPr>
          <w:kern w:val="0"/>
        </w:rPr>
        <w:t xml:space="preserve"> of </w:t>
      </w:r>
      <w:r>
        <w:rPr>
          <w:kern w:val="0"/>
        </w:rPr>
        <w:t xml:space="preserve">North-American institutions in selected adult-education journals, 1983-1992. </w:t>
      </w:r>
      <w:r>
        <w:rPr>
          <w:i/>
          <w:iCs/>
          <w:kern w:val="0"/>
        </w:rPr>
        <w:t>Adult Education Quarterly</w:t>
      </w:r>
      <w:r>
        <w:rPr>
          <w:kern w:val="0"/>
        </w:rPr>
        <w:t xml:space="preserve">, </w:t>
      </w:r>
      <w:r>
        <w:rPr>
          <w:b/>
          <w:bCs/>
          <w:kern w:val="0"/>
        </w:rPr>
        <w:t>45</w:t>
      </w:r>
      <w:r>
        <w:rPr>
          <w:kern w:val="0"/>
        </w:rPr>
        <w:t xml:space="preserve"> (2), 63-78.</w:t>
      </w:r>
    </w:p>
    <w:p w:rsidR="00021E6B" w:rsidRDefault="00021E6B" w:rsidP="00021E6B">
      <w:pPr>
        <w:pStyle w:val="a3"/>
        <w:rPr>
          <w:kern w:val="0"/>
          <w:szCs w:val="24"/>
        </w:rPr>
      </w:pPr>
      <w:r>
        <w:rPr>
          <w:rFonts w:hint="eastAsia"/>
          <w:kern w:val="0"/>
          <w:szCs w:val="24"/>
        </w:rPr>
        <w:t xml:space="preserve">Full Text: </w:t>
      </w:r>
      <w:hyperlink r:id="rId241" w:history="1">
        <w:r w:rsidRPr="00E10399">
          <w:rPr>
            <w:rStyle w:val="a5"/>
            <w:kern w:val="0"/>
            <w:szCs w:val="24"/>
          </w:rPr>
          <w:t>1995\Adu Edu Qua45, 63.pdf</w:t>
        </w:r>
      </w:hyperlink>
    </w:p>
    <w:p w:rsidR="00021E6B" w:rsidRDefault="00021E6B" w:rsidP="00021E6B">
      <w:pPr>
        <w:pStyle w:val="a3"/>
        <w:rPr>
          <w:kern w:val="0"/>
        </w:rPr>
      </w:pPr>
      <w:r>
        <w:rPr>
          <w:kern w:val="0"/>
        </w:rPr>
        <w:t>Abstract: Although publication productivity studies have been conducted in several other disciplines, no previous research has specifically examined institutional productivity in</w:t>
      </w:r>
      <w:r w:rsidR="003A1917">
        <w:rPr>
          <w:kern w:val="0"/>
        </w:rPr>
        <w:t xml:space="preserve"> the </w:t>
      </w:r>
      <w:r>
        <w:rPr>
          <w:kern w:val="0"/>
        </w:rPr>
        <w:t>field</w:t>
      </w:r>
      <w:r w:rsidR="00427468">
        <w:rPr>
          <w:kern w:val="0"/>
        </w:rPr>
        <w:t xml:space="preserve"> of </w:t>
      </w:r>
      <w:r>
        <w:rPr>
          <w:kern w:val="0"/>
        </w:rPr>
        <w:t>adult education</w:t>
      </w:r>
      <w:r w:rsidR="00A37C1D">
        <w:rPr>
          <w:kern w:val="0"/>
        </w:rPr>
        <w:t>. The</w:t>
      </w:r>
      <w:r w:rsidR="003A1917">
        <w:rPr>
          <w:kern w:val="0"/>
        </w:rPr>
        <w:t xml:space="preserve"> </w:t>
      </w:r>
      <w:r>
        <w:rPr>
          <w:kern w:val="0"/>
        </w:rPr>
        <w:t>Commission</w:t>
      </w:r>
      <w:r w:rsidR="00427468">
        <w:rPr>
          <w:kern w:val="0"/>
        </w:rPr>
        <w:t xml:space="preserve"> of </w:t>
      </w:r>
      <w:r>
        <w:rPr>
          <w:kern w:val="0"/>
        </w:rPr>
        <w:t>Professors</w:t>
      </w:r>
      <w:r w:rsidR="00427468">
        <w:rPr>
          <w:kern w:val="0"/>
        </w:rPr>
        <w:t xml:space="preserve"> of </w:t>
      </w:r>
      <w:r>
        <w:rPr>
          <w:kern w:val="0"/>
        </w:rPr>
        <w:t>Adult Education was surveyed to determine</w:t>
      </w:r>
      <w:r w:rsidR="003A1917">
        <w:rPr>
          <w:kern w:val="0"/>
        </w:rPr>
        <w:t xml:space="preserve"> the </w:t>
      </w:r>
      <w:r>
        <w:rPr>
          <w:kern w:val="0"/>
        </w:rPr>
        <w:t>top journals in</w:t>
      </w:r>
      <w:r w:rsidR="003A1917">
        <w:rPr>
          <w:kern w:val="0"/>
        </w:rPr>
        <w:t xml:space="preserve"> the </w:t>
      </w:r>
      <w:r>
        <w:rPr>
          <w:kern w:val="0"/>
        </w:rPr>
        <w:t>field</w:t>
      </w:r>
      <w:r w:rsidR="00A37C1D">
        <w:rPr>
          <w:kern w:val="0"/>
        </w:rPr>
        <w:t>. The</w:t>
      </w:r>
      <w:r w:rsidR="003A1917">
        <w:rPr>
          <w:kern w:val="0"/>
        </w:rPr>
        <w:t xml:space="preserve"> </w:t>
      </w:r>
      <w:r>
        <w:rPr>
          <w:kern w:val="0"/>
        </w:rPr>
        <w:t>five journals emerging from</w:t>
      </w:r>
      <w:r w:rsidR="003A1917">
        <w:rPr>
          <w:kern w:val="0"/>
        </w:rPr>
        <w:t xml:space="preserve"> the </w:t>
      </w:r>
      <w:r>
        <w:rPr>
          <w:kern w:val="0"/>
        </w:rPr>
        <w:t>survey were each examined issue by issue for</w:t>
      </w:r>
      <w:r w:rsidR="003A1917">
        <w:rPr>
          <w:kern w:val="0"/>
        </w:rPr>
        <w:t xml:space="preserve"> the </w:t>
      </w:r>
      <w:r>
        <w:rPr>
          <w:kern w:val="0"/>
        </w:rPr>
        <w:t>ten-year period 1983-1992 to determine institutional affiliation</w:t>
      </w:r>
      <w:r w:rsidR="00427468">
        <w:rPr>
          <w:kern w:val="0"/>
        </w:rPr>
        <w:t xml:space="preserve"> of </w:t>
      </w:r>
      <w:r>
        <w:rPr>
          <w:kern w:val="0"/>
        </w:rPr>
        <w:t>contributing authors. Institutional rankings for</w:t>
      </w:r>
      <w:r w:rsidR="003A1917">
        <w:rPr>
          <w:kern w:val="0"/>
        </w:rPr>
        <w:t xml:space="preserve"> the </w:t>
      </w:r>
      <w:r>
        <w:rPr>
          <w:kern w:val="0"/>
        </w:rPr>
        <w:t>composite five journals for</w:t>
      </w:r>
      <w:r w:rsidR="003A1917">
        <w:rPr>
          <w:kern w:val="0"/>
        </w:rPr>
        <w:t xml:space="preserve"> the </w:t>
      </w:r>
      <w:r>
        <w:rPr>
          <w:kern w:val="0"/>
        </w:rPr>
        <w:t>total period</w:t>
      </w:r>
      <w:r w:rsidR="005853A9">
        <w:rPr>
          <w:kern w:val="0"/>
        </w:rPr>
        <w:t xml:space="preserve"> and </w:t>
      </w:r>
      <w:r>
        <w:rPr>
          <w:kern w:val="0"/>
        </w:rPr>
        <w:t>each</w:t>
      </w:r>
      <w:r w:rsidR="00427468">
        <w:rPr>
          <w:kern w:val="0"/>
        </w:rPr>
        <w:t xml:space="preserve"> of </w:t>
      </w:r>
      <w:r w:rsidR="003A1917">
        <w:rPr>
          <w:kern w:val="0"/>
        </w:rPr>
        <w:t xml:space="preserve">the </w:t>
      </w:r>
      <w:r>
        <w:rPr>
          <w:kern w:val="0"/>
        </w:rPr>
        <w:t>two five-year periods were determined by awarding credit to</w:t>
      </w:r>
      <w:r w:rsidR="003A1917">
        <w:rPr>
          <w:kern w:val="0"/>
        </w:rPr>
        <w:t xml:space="preserve"> the </w:t>
      </w:r>
      <w:r>
        <w:rPr>
          <w:kern w:val="0"/>
        </w:rPr>
        <w:t>authors</w:t>
      </w:r>
      <w:r w:rsidR="00700038">
        <w:rPr>
          <w:kern w:val="0"/>
        </w:rPr>
        <w:t>’</w:t>
      </w:r>
      <w:r>
        <w:rPr>
          <w:kern w:val="0"/>
        </w:rPr>
        <w:t xml:space="preserve"> institutions based on authorship order. Separate productivity rankings were determined for Adult Education Quarterly alone. In</w:t>
      </w:r>
      <w:r w:rsidR="003A1917">
        <w:rPr>
          <w:kern w:val="0"/>
        </w:rPr>
        <w:t xml:space="preserve"> the </w:t>
      </w:r>
      <w:r>
        <w:rPr>
          <w:kern w:val="0"/>
        </w:rPr>
        <w:t>composite</w:t>
      </w:r>
      <w:r w:rsidR="00427468">
        <w:rPr>
          <w:kern w:val="0"/>
        </w:rPr>
        <w:t xml:space="preserve"> of </w:t>
      </w:r>
      <w:r w:rsidR="003A1917">
        <w:rPr>
          <w:kern w:val="0"/>
        </w:rPr>
        <w:t xml:space="preserve">the </w:t>
      </w:r>
      <w:r>
        <w:rPr>
          <w:kern w:val="0"/>
        </w:rPr>
        <w:t>five journals, Northern Illinois, British Columbia</w:t>
      </w:r>
      <w:r w:rsidR="005853A9">
        <w:rPr>
          <w:kern w:val="0"/>
        </w:rPr>
        <w:t xml:space="preserve"> and </w:t>
      </w:r>
      <w:r>
        <w:rPr>
          <w:kern w:val="0"/>
        </w:rPr>
        <w:t>Georgia (tie), Pennsylvania State,</w:t>
      </w:r>
      <w:r w:rsidR="005853A9">
        <w:rPr>
          <w:kern w:val="0"/>
        </w:rPr>
        <w:t xml:space="preserve"> and </w:t>
      </w:r>
      <w:r>
        <w:rPr>
          <w:kern w:val="0"/>
        </w:rPr>
        <w:t>Rutgers were</w:t>
      </w:r>
      <w:r w:rsidR="003A1917">
        <w:rPr>
          <w:kern w:val="0"/>
        </w:rPr>
        <w:t xml:space="preserve"> the </w:t>
      </w:r>
      <w:r>
        <w:rPr>
          <w:kern w:val="0"/>
        </w:rPr>
        <w:t>top five most productive institutions for</w:t>
      </w:r>
      <w:r w:rsidR="003A1917">
        <w:rPr>
          <w:kern w:val="0"/>
        </w:rPr>
        <w:t xml:space="preserve"> the </w:t>
      </w:r>
      <w:r>
        <w:rPr>
          <w:kern w:val="0"/>
        </w:rPr>
        <w:t>overall ten-year period on this one measure</w:t>
      </w:r>
      <w:r w:rsidR="00427468">
        <w:rPr>
          <w:kern w:val="0"/>
        </w:rPr>
        <w:t xml:space="preserve"> of </w:t>
      </w:r>
      <w:r>
        <w:rPr>
          <w:kern w:val="0"/>
        </w:rPr>
        <w:t>program quality.</w:t>
      </w:r>
    </w:p>
    <w:p w:rsidR="00021E6B" w:rsidRDefault="00021E6B" w:rsidP="00021E6B">
      <w:pPr>
        <w:pStyle w:val="a3"/>
        <w:rPr>
          <w:kern w:val="0"/>
        </w:rPr>
      </w:pPr>
      <w:r>
        <w:rPr>
          <w:kern w:val="0"/>
        </w:rPr>
        <w:t>Keywords: Adult, Affiliation, Authors, Authorship, Education, Institutions, Journals, Productivity, Professors, Psychological-Association, Publication, Publication Productivity, Quality, Rankings, Research, Survey</w:t>
      </w:r>
    </w:p>
    <w:p w:rsidR="003443BC" w:rsidRDefault="003443BC" w:rsidP="003443BC">
      <w:pPr>
        <w:pStyle w:val="a3"/>
        <w:rPr>
          <w:kern w:val="0"/>
          <w:szCs w:val="24"/>
        </w:rPr>
      </w:pPr>
      <w:r>
        <w:rPr>
          <w:rFonts w:hint="eastAsia"/>
          <w:kern w:val="0"/>
          <w:szCs w:val="24"/>
        </w:rPr>
        <w:t xml:space="preserve">? </w:t>
      </w:r>
      <w:r>
        <w:rPr>
          <w:kern w:val="0"/>
          <w:szCs w:val="24"/>
        </w:rPr>
        <w:t>Mott, V.W. (2011), My word! Plagiarism</w:t>
      </w:r>
      <w:r w:rsidR="005853A9">
        <w:rPr>
          <w:kern w:val="0"/>
          <w:szCs w:val="24"/>
        </w:rPr>
        <w:t xml:space="preserve"> and </w:t>
      </w:r>
      <w:r>
        <w:rPr>
          <w:kern w:val="0"/>
          <w:szCs w:val="24"/>
        </w:rPr>
        <w:t xml:space="preserve">college culture. </w:t>
      </w:r>
      <w:r w:rsidRPr="0056524B">
        <w:rPr>
          <w:i/>
          <w:iCs/>
          <w:kern w:val="0"/>
          <w:szCs w:val="24"/>
        </w:rPr>
        <w:t>Adult Education Quarterly</w:t>
      </w:r>
      <w:r>
        <w:rPr>
          <w:kern w:val="0"/>
          <w:szCs w:val="24"/>
        </w:rPr>
        <w:t xml:space="preserve">, </w:t>
      </w:r>
      <w:r>
        <w:rPr>
          <w:b/>
          <w:bCs/>
          <w:kern w:val="0"/>
          <w:szCs w:val="24"/>
        </w:rPr>
        <w:t>61</w:t>
      </w:r>
      <w:r>
        <w:rPr>
          <w:kern w:val="0"/>
          <w:szCs w:val="24"/>
        </w:rPr>
        <w:t xml:space="preserve"> (2), 201-</w:t>
      </w:r>
      <w:r>
        <w:rPr>
          <w:rFonts w:hint="eastAsia"/>
          <w:kern w:val="0"/>
          <w:szCs w:val="24"/>
        </w:rPr>
        <w:t>203.</w:t>
      </w:r>
    </w:p>
    <w:p w:rsidR="003443BC" w:rsidRDefault="003443BC" w:rsidP="003443BC">
      <w:pPr>
        <w:pStyle w:val="a3"/>
        <w:rPr>
          <w:kern w:val="0"/>
          <w:szCs w:val="24"/>
        </w:rPr>
      </w:pPr>
      <w:r>
        <w:rPr>
          <w:rFonts w:hint="eastAsia"/>
          <w:kern w:val="0"/>
          <w:szCs w:val="24"/>
        </w:rPr>
        <w:t xml:space="preserve">Full Text: </w:t>
      </w:r>
      <w:hyperlink r:id="rId242" w:history="1">
        <w:r w:rsidRPr="0056524B">
          <w:rPr>
            <w:rStyle w:val="a5"/>
            <w:kern w:val="0"/>
            <w:szCs w:val="24"/>
          </w:rPr>
          <w:t>2011\Adu Edu Qua61, 201.pdf</w:t>
        </w:r>
      </w:hyperlink>
    </w:p>
    <w:p w:rsidR="003443BC" w:rsidRDefault="003443BC" w:rsidP="003443BC">
      <w:pPr>
        <w:pStyle w:val="a3"/>
        <w:rPr>
          <w:kern w:val="0"/>
          <w:szCs w:val="24"/>
        </w:rPr>
      </w:pPr>
      <w:r>
        <w:rPr>
          <w:kern w:val="0"/>
          <w:szCs w:val="24"/>
        </w:rPr>
        <w:t>Keywords: Plagiarism</w:t>
      </w:r>
    </w:p>
    <w:p w:rsidR="00A02D19" w:rsidRDefault="00A02D19" w:rsidP="00A02D19">
      <w:pPr>
        <w:pStyle w:val="a3"/>
        <w:rPr>
          <w:kern w:val="0"/>
        </w:rPr>
      </w:pPr>
      <w:r>
        <w:rPr>
          <w:rFonts w:hint="eastAsia"/>
          <w:kern w:val="0"/>
        </w:rPr>
        <w:t xml:space="preserve">? </w:t>
      </w:r>
      <w:r>
        <w:rPr>
          <w:kern w:val="0"/>
        </w:rPr>
        <w:t xml:space="preserve">Fejes, A. and Nylander, E. (2014), The anglophone international(e): A bibliometric </w:t>
      </w:r>
      <w:r>
        <w:rPr>
          <w:kern w:val="0"/>
        </w:rPr>
        <w:lastRenderedPageBreak/>
        <w:t xml:space="preserve">analysis of three </w:t>
      </w:r>
      <w:r w:rsidRPr="00046603">
        <w:rPr>
          <w:i/>
          <w:kern w:val="0"/>
        </w:rPr>
        <w:t>Adult Education Journals</w:t>
      </w:r>
      <w:r>
        <w:rPr>
          <w:kern w:val="0"/>
        </w:rPr>
        <w:t xml:space="preserve">, 2005-2012. </w:t>
      </w:r>
      <w:r>
        <w:rPr>
          <w:i/>
          <w:iCs/>
          <w:kern w:val="0"/>
        </w:rPr>
        <w:t>Adult Education Quarterly</w:t>
      </w:r>
      <w:r>
        <w:rPr>
          <w:kern w:val="0"/>
        </w:rPr>
        <w:t xml:space="preserve">, </w:t>
      </w:r>
      <w:r>
        <w:rPr>
          <w:b/>
          <w:bCs/>
          <w:kern w:val="0"/>
        </w:rPr>
        <w:t>64</w:t>
      </w:r>
      <w:r>
        <w:rPr>
          <w:kern w:val="0"/>
        </w:rPr>
        <w:t xml:space="preserve"> (3), 222-239.</w:t>
      </w:r>
    </w:p>
    <w:p w:rsidR="00A02D19" w:rsidRDefault="00A02D19" w:rsidP="00A02D19">
      <w:pPr>
        <w:pStyle w:val="a3"/>
        <w:rPr>
          <w:kern w:val="0"/>
        </w:rPr>
      </w:pPr>
      <w:r>
        <w:rPr>
          <w:rFonts w:hint="eastAsia"/>
          <w:kern w:val="0"/>
        </w:rPr>
        <w:t xml:space="preserve">Full Text: </w:t>
      </w:r>
      <w:hyperlink r:id="rId243" w:history="1">
        <w:r w:rsidRPr="00C82379">
          <w:rPr>
            <w:rStyle w:val="a5"/>
            <w:kern w:val="0"/>
          </w:rPr>
          <w:t>2014\Adu Edu Qua64, 222.pdf</w:t>
        </w:r>
      </w:hyperlink>
    </w:p>
    <w:p w:rsidR="00A02D19" w:rsidRDefault="00A02D19" w:rsidP="00A02D19">
      <w:pPr>
        <w:pStyle w:val="a3"/>
        <w:rPr>
          <w:kern w:val="0"/>
        </w:rPr>
      </w:pPr>
      <w:r>
        <w:rPr>
          <w:kern w:val="0"/>
        </w:rPr>
        <w:t>Abstract: Research funding, promotions, and career trajectories are currently increasingly dependent on the emerging economy of publications and citations across the globe. Such an economy encourages scholars to publish in international journals that are indexed in databases such as Scopus and Web of Science. These developments place an increased emphasis on the question of who is allowed to publish in the journals listed there and whose research counts as valuable. Based on bibliographic data from articles submitted to three main journals in the field of adult education research between 2005 and 2012, we scrutinize the extent to which the emerging economy of publications and citations is dependent on national and regional boundaries. Our results show how four Anglophone countries dominate the field in relation to both published articles and the share of most cited articles and where the publication pattern of these authors are national and regional rather than international.</w:t>
      </w:r>
    </w:p>
    <w:p w:rsidR="00A02D19" w:rsidRDefault="00A02D19" w:rsidP="00A02D19">
      <w:pPr>
        <w:pStyle w:val="a3"/>
        <w:rPr>
          <w:kern w:val="0"/>
        </w:rPr>
      </w:pPr>
      <w:r>
        <w:rPr>
          <w:kern w:val="0"/>
        </w:rPr>
        <w:t>Keywords: Adult, Adult Education Research, Analysis, Articles, Authors, Bibliographic, Bibliometric, Bibliometric Analysis, Bibliometrics, Boundaries, Citations, Data, Databases, Economy, Economy Of Publications And Citations, Education, Field, From, Funding, International, Journals, Main Journals, Most Cited Articles, Pattern, Publication, Publications, Published Articles, Regional, Research, Research Funding, Science, Scopus, Web Of Science</w:t>
      </w:r>
    </w:p>
    <w:p w:rsidR="00920620" w:rsidRPr="00F219CA" w:rsidRDefault="00920620" w:rsidP="00920620">
      <w:pPr>
        <w:pStyle w:val="1"/>
      </w:pPr>
      <w:r w:rsidRPr="00F219CA">
        <w:br w:type="page"/>
      </w:r>
      <w:bookmarkStart w:id="130" w:name="_Toc347124453"/>
      <w:bookmarkStart w:id="131" w:name="_Toc420814306"/>
      <w:r w:rsidRPr="00F219CA">
        <w:lastRenderedPageBreak/>
        <w:t>Title: Advanced Drug Delivery Reviews</w:t>
      </w:r>
      <w:bookmarkEnd w:id="130"/>
      <w:bookmarkEnd w:id="131"/>
    </w:p>
    <w:p w:rsidR="00920620" w:rsidRPr="00F219CA" w:rsidRDefault="00920620" w:rsidP="00920620">
      <w:pPr>
        <w:pStyle w:val="12"/>
      </w:pPr>
      <w:r w:rsidRPr="00F219CA">
        <w:t xml:space="preserve">Full Journal Title: </w:t>
      </w:r>
      <w:hyperlink r:id="rId244" w:history="1">
        <w:r w:rsidRPr="00F219CA">
          <w:rPr>
            <w:rStyle w:val="a5"/>
          </w:rPr>
          <w:t>Advanced Drug Delivery Reviews</w:t>
        </w:r>
      </w:hyperlink>
    </w:p>
    <w:p w:rsidR="00920620" w:rsidRPr="00F219CA" w:rsidRDefault="00920620" w:rsidP="00920620">
      <w:pPr>
        <w:pStyle w:val="12"/>
      </w:pPr>
      <w:r w:rsidRPr="00F219CA">
        <w:t xml:space="preserve">ISO Abbreviated Title: </w:t>
      </w:r>
    </w:p>
    <w:p w:rsidR="00920620" w:rsidRPr="00F219CA" w:rsidRDefault="00920620" w:rsidP="00920620">
      <w:pPr>
        <w:pStyle w:val="12"/>
      </w:pPr>
      <w:r w:rsidRPr="00F219CA">
        <w:t xml:space="preserve">JCR Abbreviated Title: </w:t>
      </w:r>
    </w:p>
    <w:p w:rsidR="00920620" w:rsidRPr="00F219CA" w:rsidRDefault="00920620" w:rsidP="00920620">
      <w:pPr>
        <w:pStyle w:val="12"/>
      </w:pPr>
      <w:r w:rsidRPr="00F219CA">
        <w:t xml:space="preserve">ISSN: </w:t>
      </w:r>
    </w:p>
    <w:p w:rsidR="00920620" w:rsidRPr="00F219CA" w:rsidRDefault="00920620" w:rsidP="00920620">
      <w:pPr>
        <w:pStyle w:val="12"/>
      </w:pPr>
      <w:r w:rsidRPr="00F219CA">
        <w:t xml:space="preserve">Issues/Year: </w:t>
      </w:r>
    </w:p>
    <w:p w:rsidR="00920620" w:rsidRPr="00F219CA" w:rsidRDefault="00920620" w:rsidP="00920620">
      <w:pPr>
        <w:pStyle w:val="12"/>
      </w:pPr>
      <w:r w:rsidRPr="00F219CA">
        <w:t xml:space="preserve">Journal Country/Territory: </w:t>
      </w:r>
    </w:p>
    <w:p w:rsidR="00920620" w:rsidRPr="00F219CA" w:rsidRDefault="00920620" w:rsidP="00920620">
      <w:pPr>
        <w:pStyle w:val="12"/>
      </w:pPr>
      <w:r w:rsidRPr="00F219CA">
        <w:t xml:space="preserve">Language: </w:t>
      </w:r>
    </w:p>
    <w:p w:rsidR="00920620" w:rsidRPr="00F219CA" w:rsidRDefault="00920620" w:rsidP="00920620">
      <w:pPr>
        <w:pStyle w:val="12"/>
      </w:pPr>
      <w:r w:rsidRPr="00F219CA">
        <w:t xml:space="preserve">Publisher: </w:t>
      </w:r>
    </w:p>
    <w:p w:rsidR="00920620" w:rsidRPr="00F219CA" w:rsidRDefault="00920620" w:rsidP="00920620">
      <w:pPr>
        <w:pStyle w:val="12"/>
      </w:pPr>
      <w:r w:rsidRPr="00F219CA">
        <w:t xml:space="preserve">Publisher Address: </w:t>
      </w:r>
    </w:p>
    <w:p w:rsidR="00920620" w:rsidRPr="00F219CA" w:rsidRDefault="00920620" w:rsidP="00920620">
      <w:pPr>
        <w:pStyle w:val="12"/>
      </w:pPr>
      <w:r w:rsidRPr="00F219CA">
        <w:t xml:space="preserve">Subject Categories: </w:t>
      </w:r>
    </w:p>
    <w:p w:rsidR="00920620" w:rsidRPr="00F219CA" w:rsidRDefault="00920620" w:rsidP="00920620">
      <w:pPr>
        <w:pStyle w:val="12"/>
      </w:pPr>
      <w:r w:rsidRPr="00F219CA">
        <w:t xml:space="preserve">: Impact Factor </w:t>
      </w:r>
    </w:p>
    <w:p w:rsidR="00D47627" w:rsidRDefault="00D47627" w:rsidP="00D47627">
      <w:pPr>
        <w:pStyle w:val="a3"/>
        <w:rPr>
          <w:kern w:val="0"/>
        </w:rPr>
      </w:pPr>
      <w:r>
        <w:rPr>
          <w:rFonts w:hint="eastAsia"/>
          <w:kern w:val="0"/>
        </w:rPr>
        <w:t xml:space="preserve">? </w:t>
      </w:r>
      <w:r>
        <w:rPr>
          <w:kern w:val="0"/>
        </w:rPr>
        <w:t>Peppas, N.A. (2012), An introduction to the most cited papers in the history</w:t>
      </w:r>
      <w:r w:rsidR="00427468">
        <w:rPr>
          <w:kern w:val="0"/>
        </w:rPr>
        <w:t xml:space="preserve"> of </w:t>
      </w:r>
      <w:r w:rsidRPr="002B5565">
        <w:rPr>
          <w:i/>
          <w:kern w:val="0"/>
        </w:rPr>
        <w:t>Advanced Drug Delivery Reviews</w:t>
      </w:r>
      <w:r>
        <w:rPr>
          <w:kern w:val="0"/>
        </w:rPr>
        <w:t xml:space="preserve"> (1987-2012). </w:t>
      </w:r>
      <w:r>
        <w:rPr>
          <w:i/>
          <w:iCs/>
          <w:kern w:val="0"/>
        </w:rPr>
        <w:t>Advanced Drug Delivery Reviews</w:t>
      </w:r>
      <w:r>
        <w:rPr>
          <w:kern w:val="0"/>
        </w:rPr>
        <w:t xml:space="preserve">, </w:t>
      </w:r>
      <w:r>
        <w:rPr>
          <w:b/>
          <w:bCs/>
          <w:kern w:val="0"/>
        </w:rPr>
        <w:t>64</w:t>
      </w:r>
      <w:r>
        <w:rPr>
          <w:kern w:val="0"/>
        </w:rPr>
        <w:t>, 1-3</w:t>
      </w:r>
      <w:r>
        <w:rPr>
          <w:rFonts w:hint="eastAsia"/>
          <w:kern w:val="0"/>
        </w:rPr>
        <w:t>.</w:t>
      </w:r>
    </w:p>
    <w:p w:rsidR="00D47627" w:rsidRPr="00F219CA" w:rsidRDefault="00D47627" w:rsidP="00D47627">
      <w:pPr>
        <w:pStyle w:val="a3"/>
      </w:pPr>
      <w:r w:rsidRPr="00F219CA">
        <w:t xml:space="preserve">Full Text: </w:t>
      </w:r>
      <w:hyperlink r:id="rId245" w:history="1">
        <w:r w:rsidRPr="00282448">
          <w:rPr>
            <w:rStyle w:val="a5"/>
          </w:rPr>
          <w:t>2012\Adv Dru Del Rev64, 1.pdf</w:t>
        </w:r>
      </w:hyperlink>
    </w:p>
    <w:p w:rsidR="00D47627" w:rsidRDefault="00D47627" w:rsidP="00D47627">
      <w:pPr>
        <w:pStyle w:val="a3"/>
        <w:rPr>
          <w:kern w:val="0"/>
        </w:rPr>
      </w:pPr>
      <w:r>
        <w:rPr>
          <w:kern w:val="0"/>
        </w:rPr>
        <w:t>Keywords: Biomedical Applications, Block-Copolymer Micelles, Cancer-Therapy, Design, Drug, History, Hydrogels, Nanoparticles, Papers, Release, Systems</w:t>
      </w:r>
    </w:p>
    <w:p w:rsidR="006D734D" w:rsidRPr="001A3D2B" w:rsidRDefault="006D734D" w:rsidP="006D734D">
      <w:pPr>
        <w:pStyle w:val="1"/>
      </w:pPr>
      <w:r w:rsidRPr="001A3D2B">
        <w:br w:type="page"/>
      </w:r>
      <w:bookmarkStart w:id="132" w:name="_Toc420814307"/>
      <w:r w:rsidRPr="001A3D2B">
        <w:lastRenderedPageBreak/>
        <w:t xml:space="preserve">Title: </w:t>
      </w:r>
      <w:r w:rsidRPr="006D734D">
        <w:t>Advanced Engineering Materials</w:t>
      </w:r>
      <w:bookmarkEnd w:id="132"/>
    </w:p>
    <w:p w:rsidR="006D734D" w:rsidRPr="001A3D2B" w:rsidRDefault="006D734D" w:rsidP="006D734D">
      <w:pPr>
        <w:pStyle w:val="12"/>
      </w:pPr>
      <w:r w:rsidRPr="001A3D2B">
        <w:t xml:space="preserve">Full Journal Title: </w:t>
      </w:r>
      <w:hyperlink r:id="rId246" w:history="1">
        <w:r w:rsidRPr="006D734D">
          <w:rPr>
            <w:rStyle w:val="a5"/>
            <w:iCs/>
            <w:kern w:val="0"/>
          </w:rPr>
          <w:t>Advanced Engineering Materials</w:t>
        </w:r>
      </w:hyperlink>
    </w:p>
    <w:p w:rsidR="006D734D" w:rsidRDefault="006D734D" w:rsidP="006D734D">
      <w:pPr>
        <w:pStyle w:val="12"/>
      </w:pPr>
      <w:r>
        <w:t>ISO Abbrev. Title: Adv. Eng. Mater.</w:t>
      </w:r>
    </w:p>
    <w:p w:rsidR="006D734D" w:rsidRDefault="006D734D" w:rsidP="006D734D">
      <w:pPr>
        <w:pStyle w:val="12"/>
      </w:pPr>
      <w:r>
        <w:t>JCR Abbrev. Title: Adv Eng Mater</w:t>
      </w:r>
    </w:p>
    <w:p w:rsidR="006D734D" w:rsidRDefault="006D734D" w:rsidP="006D734D">
      <w:pPr>
        <w:pStyle w:val="12"/>
      </w:pPr>
      <w:r>
        <w:t>ISSN: 1438-1656</w:t>
      </w:r>
    </w:p>
    <w:p w:rsidR="006D734D" w:rsidRDefault="006D734D" w:rsidP="006D734D">
      <w:pPr>
        <w:pStyle w:val="12"/>
      </w:pPr>
      <w:r>
        <w:t>Issues/Year: 12</w:t>
      </w:r>
    </w:p>
    <w:p w:rsidR="006D734D" w:rsidRDefault="006D734D" w:rsidP="006D734D">
      <w:pPr>
        <w:pStyle w:val="12"/>
      </w:pPr>
      <w:r>
        <w:t>Language: English</w:t>
      </w:r>
    </w:p>
    <w:p w:rsidR="006D734D" w:rsidRDefault="006D734D" w:rsidP="006D734D">
      <w:pPr>
        <w:pStyle w:val="12"/>
      </w:pPr>
      <w:r>
        <w:t>Journal Country/Territory: Germany</w:t>
      </w:r>
    </w:p>
    <w:p w:rsidR="006D734D" w:rsidRDefault="006D734D" w:rsidP="006D734D">
      <w:pPr>
        <w:pStyle w:val="12"/>
      </w:pPr>
      <w:r>
        <w:t>Publisher: Wiley-V C H Verlag Gmbh</w:t>
      </w:r>
    </w:p>
    <w:p w:rsidR="006D734D" w:rsidRDefault="006D734D" w:rsidP="006D734D">
      <w:pPr>
        <w:pStyle w:val="12"/>
      </w:pPr>
      <w:r>
        <w:t>Publisher Address: Po Box 10 11 61, D-69451 Weinheim, Germany</w:t>
      </w:r>
    </w:p>
    <w:p w:rsidR="006D734D" w:rsidRDefault="006D734D" w:rsidP="006D734D">
      <w:pPr>
        <w:pStyle w:val="12"/>
      </w:pPr>
      <w:r>
        <w:t>Subject Categories:</w:t>
      </w:r>
    </w:p>
    <w:p w:rsidR="006D734D" w:rsidRPr="001A3D2B" w:rsidRDefault="006D734D" w:rsidP="006D734D">
      <w:pPr>
        <w:pStyle w:val="12"/>
      </w:pPr>
      <w:r>
        <w:t>Materials Science, Multidisciplinary: Impact Factor</w:t>
      </w:r>
      <w:r>
        <w:rPr>
          <w:rFonts w:hint="eastAsia"/>
        </w:rPr>
        <w:t xml:space="preserve"> 1.761, 61/212 (2009)</w:t>
      </w:r>
    </w:p>
    <w:p w:rsidR="00BF48C2" w:rsidRDefault="00BF48C2" w:rsidP="00BF48C2">
      <w:pPr>
        <w:pStyle w:val="a3"/>
        <w:rPr>
          <w:kern w:val="0"/>
        </w:rPr>
      </w:pPr>
      <w:r>
        <w:rPr>
          <w:rFonts w:hint="eastAsia"/>
          <w:kern w:val="0"/>
        </w:rPr>
        <w:t>? (</w:t>
      </w:r>
      <w:r>
        <w:rPr>
          <w:kern w:val="0"/>
        </w:rPr>
        <w:t xml:space="preserve">2001), AEM top-articles. </w:t>
      </w:r>
      <w:r>
        <w:rPr>
          <w:i/>
          <w:iCs/>
          <w:kern w:val="0"/>
        </w:rPr>
        <w:t>Advanced Engineering Materials</w:t>
      </w:r>
      <w:r>
        <w:rPr>
          <w:kern w:val="0"/>
        </w:rPr>
        <w:t xml:space="preserve">, </w:t>
      </w:r>
      <w:r>
        <w:rPr>
          <w:b/>
          <w:bCs/>
          <w:kern w:val="0"/>
        </w:rPr>
        <w:t>3</w:t>
      </w:r>
      <w:r>
        <w:rPr>
          <w:kern w:val="0"/>
        </w:rPr>
        <w:t xml:space="preserve"> (12), 944</w:t>
      </w:r>
      <w:r>
        <w:rPr>
          <w:rFonts w:hint="eastAsia"/>
          <w:kern w:val="0"/>
        </w:rPr>
        <w:t>.</w:t>
      </w:r>
    </w:p>
    <w:p w:rsidR="00BF48C2" w:rsidRPr="001A3D2B" w:rsidRDefault="00BF48C2" w:rsidP="00BF48C2">
      <w:pPr>
        <w:pStyle w:val="a3"/>
      </w:pPr>
      <w:r w:rsidRPr="001A3D2B">
        <w:t xml:space="preserve">Full Text: </w:t>
      </w:r>
      <w:r w:rsidRPr="00482FFA">
        <w:t>Adv Eng Mat</w:t>
      </w:r>
      <w:r>
        <w:rPr>
          <w:rFonts w:hint="eastAsia"/>
        </w:rPr>
        <w:t xml:space="preserve">3, </w:t>
      </w:r>
      <w:r>
        <w:rPr>
          <w:kern w:val="0"/>
        </w:rPr>
        <w:t>944</w:t>
      </w:r>
      <w:r w:rsidRPr="00482FFA">
        <w:t>.pdf</w:t>
      </w:r>
    </w:p>
    <w:p w:rsidR="00BF48C2" w:rsidRDefault="00BF48C2" w:rsidP="00BF48C2">
      <w:pPr>
        <w:pStyle w:val="a3"/>
        <w:rPr>
          <w:kern w:val="0"/>
        </w:rPr>
      </w:pPr>
      <w:r>
        <w:rPr>
          <w:rFonts w:hint="eastAsia"/>
          <w:kern w:val="0"/>
        </w:rPr>
        <w:t>? (</w:t>
      </w:r>
      <w:r>
        <w:rPr>
          <w:kern w:val="0"/>
        </w:rPr>
        <w:t xml:space="preserve">2002), AEM top-articles 2002. </w:t>
      </w:r>
      <w:r>
        <w:rPr>
          <w:i/>
          <w:iCs/>
          <w:kern w:val="0"/>
        </w:rPr>
        <w:t>Advanced Engineering Materials</w:t>
      </w:r>
      <w:r>
        <w:rPr>
          <w:kern w:val="0"/>
        </w:rPr>
        <w:t xml:space="preserve">, </w:t>
      </w:r>
      <w:r>
        <w:rPr>
          <w:b/>
          <w:bCs/>
          <w:kern w:val="0"/>
        </w:rPr>
        <w:t>4</w:t>
      </w:r>
      <w:r>
        <w:rPr>
          <w:kern w:val="0"/>
        </w:rPr>
        <w:t xml:space="preserve"> (9), 650</w:t>
      </w:r>
      <w:r>
        <w:rPr>
          <w:rFonts w:hint="eastAsia"/>
          <w:kern w:val="0"/>
        </w:rPr>
        <w:t>.</w:t>
      </w:r>
    </w:p>
    <w:p w:rsidR="00BF48C2" w:rsidRPr="001A3D2B" w:rsidRDefault="00BF48C2" w:rsidP="00BF48C2">
      <w:pPr>
        <w:pStyle w:val="a3"/>
      </w:pPr>
      <w:r w:rsidRPr="001A3D2B">
        <w:t xml:space="preserve">Full Text: </w:t>
      </w:r>
      <w:r w:rsidRPr="00482FFA">
        <w:t>Adv Eng Mat</w:t>
      </w:r>
      <w:r>
        <w:rPr>
          <w:rFonts w:hint="eastAsia"/>
        </w:rPr>
        <w:t xml:space="preserve">4, </w:t>
      </w:r>
      <w:r>
        <w:rPr>
          <w:kern w:val="0"/>
        </w:rPr>
        <w:t>650</w:t>
      </w:r>
      <w:r w:rsidRPr="00482FFA">
        <w:t>.pdf</w:t>
      </w:r>
    </w:p>
    <w:p w:rsidR="00BF48C2" w:rsidRDefault="00BF48C2" w:rsidP="00BF48C2">
      <w:pPr>
        <w:pStyle w:val="a3"/>
        <w:rPr>
          <w:kern w:val="0"/>
        </w:rPr>
      </w:pPr>
      <w:r>
        <w:rPr>
          <w:rFonts w:hint="eastAsia"/>
          <w:kern w:val="0"/>
        </w:rPr>
        <w:t>? (</w:t>
      </w:r>
      <w:r>
        <w:rPr>
          <w:kern w:val="0"/>
        </w:rPr>
        <w:t xml:space="preserve">2003), Top articles 2003. </w:t>
      </w:r>
      <w:r>
        <w:rPr>
          <w:i/>
          <w:iCs/>
          <w:kern w:val="0"/>
        </w:rPr>
        <w:t>Advanced Engineering Materials</w:t>
      </w:r>
      <w:r>
        <w:rPr>
          <w:kern w:val="0"/>
        </w:rPr>
        <w:t xml:space="preserve">, </w:t>
      </w:r>
      <w:r>
        <w:rPr>
          <w:b/>
          <w:bCs/>
          <w:kern w:val="0"/>
        </w:rPr>
        <w:t>5</w:t>
      </w:r>
      <w:r>
        <w:rPr>
          <w:kern w:val="0"/>
        </w:rPr>
        <w:t xml:space="preserve"> (8), 537</w:t>
      </w:r>
      <w:r>
        <w:rPr>
          <w:rFonts w:hint="eastAsia"/>
          <w:kern w:val="0"/>
        </w:rPr>
        <w:t>.</w:t>
      </w:r>
    </w:p>
    <w:p w:rsidR="00BF48C2" w:rsidRDefault="00BF48C2" w:rsidP="00BF48C2">
      <w:pPr>
        <w:pStyle w:val="a3"/>
        <w:rPr>
          <w:kern w:val="0"/>
        </w:rPr>
      </w:pPr>
      <w:r>
        <w:rPr>
          <w:kern w:val="0"/>
        </w:rPr>
        <w:t>Keywords: Articles</w:t>
      </w:r>
    </w:p>
    <w:p w:rsidR="00BF48C2" w:rsidRPr="001A3D2B" w:rsidRDefault="00BF48C2" w:rsidP="00BF48C2">
      <w:pPr>
        <w:pStyle w:val="a3"/>
      </w:pPr>
      <w:r w:rsidRPr="001A3D2B">
        <w:t xml:space="preserve">Full Text: </w:t>
      </w:r>
      <w:r w:rsidRPr="00482FFA">
        <w:t>Adv Eng Mat</w:t>
      </w:r>
      <w:r>
        <w:rPr>
          <w:rFonts w:hint="eastAsia"/>
        </w:rPr>
        <w:t xml:space="preserve">5, </w:t>
      </w:r>
      <w:r>
        <w:rPr>
          <w:kern w:val="0"/>
        </w:rPr>
        <w:t>537</w:t>
      </w:r>
      <w:r w:rsidRPr="00482FFA">
        <w:t>.pdf</w:t>
      </w:r>
    </w:p>
    <w:p w:rsidR="00BF48C2" w:rsidRDefault="00BF48C2" w:rsidP="00BF48C2">
      <w:pPr>
        <w:pStyle w:val="a3"/>
        <w:rPr>
          <w:kern w:val="0"/>
        </w:rPr>
      </w:pPr>
      <w:r>
        <w:rPr>
          <w:rFonts w:hint="eastAsia"/>
          <w:kern w:val="0"/>
        </w:rPr>
        <w:t>? (</w:t>
      </w:r>
      <w:r>
        <w:rPr>
          <w:kern w:val="0"/>
        </w:rPr>
        <w:t xml:space="preserve">2005), Top articles 2005. </w:t>
      </w:r>
      <w:r>
        <w:rPr>
          <w:i/>
          <w:iCs/>
          <w:kern w:val="0"/>
        </w:rPr>
        <w:t>Advanced Engineering Materials</w:t>
      </w:r>
      <w:r>
        <w:rPr>
          <w:kern w:val="0"/>
        </w:rPr>
        <w:t xml:space="preserve">, </w:t>
      </w:r>
      <w:r>
        <w:rPr>
          <w:b/>
          <w:bCs/>
          <w:kern w:val="0"/>
        </w:rPr>
        <w:t>7</w:t>
      </w:r>
      <w:r>
        <w:rPr>
          <w:kern w:val="0"/>
        </w:rPr>
        <w:t xml:space="preserve"> (10), 874</w:t>
      </w:r>
      <w:r>
        <w:rPr>
          <w:rFonts w:hint="eastAsia"/>
          <w:kern w:val="0"/>
        </w:rPr>
        <w:t>.</w:t>
      </w:r>
    </w:p>
    <w:p w:rsidR="00BF48C2" w:rsidRDefault="00BF48C2" w:rsidP="00BF48C2">
      <w:pPr>
        <w:pStyle w:val="a3"/>
        <w:rPr>
          <w:kern w:val="0"/>
        </w:rPr>
      </w:pPr>
      <w:r>
        <w:rPr>
          <w:kern w:val="0"/>
        </w:rPr>
        <w:t>Keywords: Articles</w:t>
      </w:r>
    </w:p>
    <w:p w:rsidR="00BF48C2" w:rsidRPr="001A3D2B" w:rsidRDefault="00BF48C2" w:rsidP="00BF48C2">
      <w:pPr>
        <w:pStyle w:val="a3"/>
      </w:pPr>
      <w:r w:rsidRPr="001A3D2B">
        <w:t xml:space="preserve">Full Text: </w:t>
      </w:r>
      <w:r w:rsidRPr="00482FFA">
        <w:t>Adv Eng Mat7, 874.pdf</w:t>
      </w:r>
    </w:p>
    <w:p w:rsidR="003474F2" w:rsidRPr="001A3D2B" w:rsidRDefault="003474F2" w:rsidP="003474F2">
      <w:pPr>
        <w:pStyle w:val="1"/>
      </w:pPr>
      <w:r w:rsidRPr="001A3D2B">
        <w:br w:type="page"/>
      </w:r>
      <w:bookmarkStart w:id="133" w:name="_Toc110132634"/>
      <w:bookmarkStart w:id="134" w:name="_Toc420814308"/>
      <w:r w:rsidRPr="001A3D2B">
        <w:lastRenderedPageBreak/>
        <w:t>Title: Advanced Materials</w:t>
      </w:r>
      <w:bookmarkEnd w:id="133"/>
      <w:bookmarkEnd w:id="134"/>
    </w:p>
    <w:p w:rsidR="003474F2" w:rsidRPr="001A3D2B" w:rsidRDefault="003474F2" w:rsidP="003474F2">
      <w:pPr>
        <w:pStyle w:val="12"/>
      </w:pPr>
      <w:r w:rsidRPr="001A3D2B">
        <w:t xml:space="preserve">Full Journal Title: </w:t>
      </w:r>
      <w:hyperlink r:id="rId247" w:history="1">
        <w:r w:rsidRPr="001A3D2B">
          <w:rPr>
            <w:rStyle w:val="a5"/>
          </w:rPr>
          <w:t>Advanced Materials</w:t>
        </w:r>
      </w:hyperlink>
    </w:p>
    <w:p w:rsidR="003474F2" w:rsidRPr="001A3D2B" w:rsidRDefault="003474F2" w:rsidP="003474F2">
      <w:pPr>
        <w:pStyle w:val="12"/>
      </w:pPr>
      <w:r w:rsidRPr="001A3D2B">
        <w:t>ISO Abbreviated Title: Adv. Mater.</w:t>
      </w:r>
    </w:p>
    <w:p w:rsidR="003474F2" w:rsidRPr="001A3D2B" w:rsidRDefault="003474F2" w:rsidP="003474F2">
      <w:pPr>
        <w:pStyle w:val="12"/>
      </w:pPr>
      <w:r w:rsidRPr="001A3D2B">
        <w:t>JCR Abbreviated Title: Adv Mater</w:t>
      </w:r>
    </w:p>
    <w:p w:rsidR="003474F2" w:rsidRPr="001A3D2B" w:rsidRDefault="003474F2" w:rsidP="003474F2">
      <w:pPr>
        <w:pStyle w:val="12"/>
      </w:pPr>
      <w:r w:rsidRPr="001A3D2B">
        <w:t>ISSN: 0935-9648</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Wiley-V C H Verlag Gmbh</w:t>
      </w:r>
    </w:p>
    <w:p w:rsidR="003474F2" w:rsidRPr="001A3D2B" w:rsidRDefault="003474F2" w:rsidP="003474F2">
      <w:pPr>
        <w:pStyle w:val="12"/>
      </w:pPr>
      <w:r w:rsidRPr="001A3D2B">
        <w:t xml:space="preserve">Publisher Address: PO </w:t>
      </w:r>
      <w:smartTag w:uri="urn:schemas-microsoft-com:office:smarttags" w:element="address">
        <w:smartTag w:uri="urn:schemas-microsoft-com:office:smarttags" w:element="Street">
          <w:r w:rsidRPr="001A3D2B">
            <w:t>BOX</w:t>
          </w:r>
        </w:smartTag>
        <w:r w:rsidRPr="001A3D2B">
          <w:t xml:space="preserve"> 10 11 61</w:t>
        </w:r>
      </w:smartTag>
      <w:r w:rsidRPr="001A3D2B">
        <w:t xml:space="preserve">, D-69451 </w:t>
      </w:r>
      <w:smartTag w:uri="urn:schemas-microsoft-com:office:smarttags" w:element="place">
        <w:smartTag w:uri="urn:schemas-microsoft-com:office:smarttags" w:element="City">
          <w:r w:rsidRPr="001A3D2B">
            <w:t>Berlin</w:t>
          </w:r>
        </w:smartTag>
        <w:r w:rsidRPr="001A3D2B">
          <w:t xml:space="preserve">, </w:t>
        </w:r>
        <w:smartTag w:uri="urn:schemas-microsoft-com:office:smarttags" w:element="country-region">
          <w:r w:rsidRPr="001A3D2B">
            <w:t>Germany</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Materials Science, Multidisciplinary: Impact Factor</w:t>
      </w:r>
    </w:p>
    <w:p w:rsidR="003474F2" w:rsidRPr="001A3D2B" w:rsidRDefault="003474F2" w:rsidP="003474F2">
      <w:pPr>
        <w:pStyle w:val="a3"/>
      </w:pPr>
      <w:r w:rsidRPr="001A3D2B">
        <w:t>Notes: TTopic</w:t>
      </w:r>
    </w:p>
    <w:p w:rsidR="003474F2" w:rsidRPr="001A3D2B" w:rsidRDefault="003474F2" w:rsidP="003474F2">
      <w:pPr>
        <w:pStyle w:val="a3"/>
      </w:pPr>
      <w:r w:rsidRPr="001A3D2B">
        <w:t>? Gregory, P. (1996</w:t>
      </w:r>
      <w:r w:rsidR="00F42EAC">
        <w:t>), The</w:t>
      </w:r>
      <w:r w:rsidR="003A1917">
        <w:t xml:space="preserve"> </w:t>
      </w:r>
      <w:r w:rsidRPr="001A3D2B">
        <w:t>impact</w:t>
      </w:r>
      <w:r w:rsidR="00427468">
        <w:t xml:space="preserve"> of </w:t>
      </w:r>
      <w:r w:rsidRPr="001A3D2B">
        <w:t xml:space="preserve">interdisciplinary materials science. </w:t>
      </w:r>
      <w:r w:rsidRPr="001A3D2B">
        <w:rPr>
          <w:i/>
          <w:iCs/>
        </w:rPr>
        <w:t>Advanced Materials</w:t>
      </w:r>
      <w:r w:rsidRPr="001A3D2B">
        <w:t xml:space="preserve">, </w:t>
      </w:r>
      <w:r w:rsidRPr="001A3D2B">
        <w:rPr>
          <w:b/>
          <w:bCs/>
        </w:rPr>
        <w:t>8</w:t>
      </w:r>
      <w:r w:rsidRPr="001A3D2B">
        <w:t xml:space="preserve"> (3), 201-202.</w:t>
      </w:r>
    </w:p>
    <w:p w:rsidR="003474F2" w:rsidRPr="001A3D2B" w:rsidRDefault="003474F2" w:rsidP="003474F2">
      <w:pPr>
        <w:pStyle w:val="a3"/>
      </w:pPr>
      <w:r w:rsidRPr="001A3D2B">
        <w:t xml:space="preserve">Full Text: </w:t>
      </w:r>
      <w:hyperlink r:id="rId248" w:history="1">
        <w:r w:rsidRPr="001A3D2B">
          <w:rPr>
            <w:rStyle w:val="a5"/>
          </w:rPr>
          <w:t>1996\Adv Mat8, 201.pdf</w:t>
        </w:r>
      </w:hyperlink>
    </w:p>
    <w:p w:rsidR="003474F2" w:rsidRDefault="001E1D98" w:rsidP="003474F2">
      <w:pPr>
        <w:pStyle w:val="a3"/>
      </w:pPr>
      <w:r>
        <w:t>Abstract:</w:t>
      </w:r>
      <w:r w:rsidR="003474F2" w:rsidRPr="001A3D2B">
        <w:t xml:space="preserve"> Essay: How </w:t>
      </w:r>
      <w:r w:rsidR="00700038">
        <w:t>‘</w:t>
      </w:r>
      <w:r w:rsidR="003474F2" w:rsidRPr="001A3D2B">
        <w:t>hot</w:t>
      </w:r>
      <w:r w:rsidR="00700038">
        <w:t>’</w:t>
      </w:r>
      <w:r w:rsidR="003474F2" w:rsidRPr="001A3D2B">
        <w:t xml:space="preserve"> is published research?</w:t>
      </w:r>
      <w:r w:rsidR="003A1917">
        <w:t xml:space="preserve"> the </w:t>
      </w:r>
      <w:r w:rsidR="003474F2" w:rsidRPr="001A3D2B">
        <w:t>Institute</w:t>
      </w:r>
      <w:r w:rsidR="00427468">
        <w:t xml:space="preserve"> of </w:t>
      </w:r>
      <w:r w:rsidR="003474F2" w:rsidRPr="001A3D2B">
        <w:t>Scientific Information (ISI), an independent organization from</w:t>
      </w:r>
      <w:r w:rsidR="003A1917">
        <w:t xml:space="preserve"> the </w:t>
      </w:r>
      <w:r w:rsidR="00D5664A">
        <w:t>USA</w:t>
      </w:r>
      <w:r w:rsidR="003474F2" w:rsidRPr="001A3D2B">
        <w:t>, follows</w:t>
      </w:r>
      <w:r w:rsidR="003A1917">
        <w:t xml:space="preserve"> the </w:t>
      </w:r>
      <w:r w:rsidR="003474F2" w:rsidRPr="001A3D2B">
        <w:t>citation behavior</w:t>
      </w:r>
      <w:r w:rsidR="00427468">
        <w:t xml:space="preserve"> of </w:t>
      </w:r>
      <w:r w:rsidR="003474F2" w:rsidRPr="001A3D2B">
        <w:t>scientists on a regular basis. Which journals do they cite? How often? Which journals are cited</w:t>
      </w:r>
      <w:r w:rsidR="003A1917">
        <w:t xml:space="preserve"> the </w:t>
      </w:r>
      <w:r w:rsidR="003474F2" w:rsidRPr="001A3D2B">
        <w:t>most? Which papers in which journals are cited immediately on publication?</w:t>
      </w:r>
      <w:r w:rsidR="003A1917">
        <w:t xml:space="preserve"> the </w:t>
      </w:r>
      <w:r w:rsidR="003474F2" w:rsidRPr="001A3D2B">
        <w:t>ISI has recently published its evaluation for 1994</w:t>
      </w:r>
      <w:r w:rsidR="00A37C1D">
        <w:t>. The</w:t>
      </w:r>
      <w:r w:rsidR="003A1917">
        <w:t xml:space="preserve"> </w:t>
      </w:r>
      <w:r w:rsidR="003474F2" w:rsidRPr="001A3D2B">
        <w:t>performance</w:t>
      </w:r>
      <w:r w:rsidR="00427468">
        <w:t xml:space="preserve"> of </w:t>
      </w:r>
      <w:r w:rsidR="003474F2" w:rsidRPr="001A3D2B">
        <w:t>Advanced Materials is discussed.</w:t>
      </w:r>
    </w:p>
    <w:p w:rsidR="00AE1725" w:rsidRPr="00D92C79" w:rsidRDefault="00AE1725" w:rsidP="00AE1725">
      <w:pPr>
        <w:pStyle w:val="a3"/>
      </w:pPr>
      <w:r>
        <w:rPr>
          <w:rFonts w:hint="eastAsia"/>
        </w:rPr>
        <w:t xml:space="preserve">? </w:t>
      </w:r>
      <w:r>
        <w:t>Gao, S</w:t>
      </w:r>
      <w:r>
        <w:rPr>
          <w:rFonts w:hint="eastAsia"/>
        </w:rPr>
        <w:t>.,</w:t>
      </w:r>
      <w:r>
        <w:t xml:space="preserve"> Wu, K</w:t>
      </w:r>
      <w:r>
        <w:rPr>
          <w:rFonts w:hint="eastAsia"/>
        </w:rPr>
        <w:t>.</w:t>
      </w:r>
      <w:r w:rsidR="005853A9">
        <w:rPr>
          <w:rFonts w:hint="eastAsia"/>
        </w:rPr>
        <w:t xml:space="preserve"> and </w:t>
      </w:r>
      <w:r>
        <w:t>Liu, Z</w:t>
      </w:r>
      <w:r>
        <w:rPr>
          <w:rFonts w:hint="eastAsia"/>
        </w:rPr>
        <w:t>.</w:t>
      </w:r>
      <w:r>
        <w:t>F</w:t>
      </w:r>
      <w:r>
        <w:rPr>
          <w:rFonts w:hint="eastAsia"/>
        </w:rPr>
        <w:t>.</w:t>
      </w:r>
      <w:r>
        <w:t xml:space="preserve"> (20</w:t>
      </w:r>
      <w:r>
        <w:rPr>
          <w:rFonts w:hint="eastAsia"/>
        </w:rPr>
        <w:t>10</w:t>
      </w:r>
      <w:r w:rsidRPr="00D92C79">
        <w:t xml:space="preserve">), </w:t>
      </w:r>
      <w:r>
        <w:t>Chemistry at play in materials science:</w:t>
      </w:r>
      <w:r w:rsidR="003A1917">
        <w:t xml:space="preserve"> the </w:t>
      </w:r>
      <w:r>
        <w:t>centennial celebration</w:t>
      </w:r>
      <w:r w:rsidR="00427468">
        <w:t xml:space="preserve"> of </w:t>
      </w:r>
      <w:r>
        <w:t>chemistry at Peking University</w:t>
      </w:r>
      <w:r w:rsidRPr="00D92C79">
        <w:t xml:space="preserve">. </w:t>
      </w:r>
      <w:r w:rsidRPr="001B3BB2">
        <w:rPr>
          <w:i/>
        </w:rPr>
        <w:t>Advanced Materials</w:t>
      </w:r>
      <w:r w:rsidRPr="00D92C79">
        <w:t xml:space="preserve">, </w:t>
      </w:r>
      <w:r>
        <w:rPr>
          <w:rFonts w:hint="eastAsia"/>
          <w:b/>
        </w:rPr>
        <w:t>22</w:t>
      </w:r>
      <w:r w:rsidRPr="00D92C79">
        <w:t xml:space="preserve"> (</w:t>
      </w:r>
      <w:r>
        <w:rPr>
          <w:rFonts w:hint="eastAsia"/>
        </w:rPr>
        <w:t>13</w:t>
      </w:r>
      <w:r w:rsidRPr="00D92C79">
        <w:t xml:space="preserve">), </w:t>
      </w:r>
      <w:r>
        <w:t>1428-1429</w:t>
      </w:r>
      <w:r w:rsidRPr="00D92C79">
        <w:t>.</w:t>
      </w:r>
    </w:p>
    <w:p w:rsidR="00AE1725" w:rsidRPr="00D92C79" w:rsidRDefault="00AE1725" w:rsidP="00AE1725">
      <w:pPr>
        <w:pStyle w:val="a3"/>
      </w:pPr>
      <w:r w:rsidRPr="00D92C79">
        <w:t xml:space="preserve">Full Text: </w:t>
      </w:r>
      <w:hyperlink r:id="rId249" w:history="1">
        <w:r w:rsidRPr="00D62F1B">
          <w:rPr>
            <w:rStyle w:val="a5"/>
          </w:rPr>
          <w:t>2010\Adv Mat22, 1428.pdf</w:t>
        </w:r>
      </w:hyperlink>
    </w:p>
    <w:p w:rsidR="00AE1725" w:rsidRPr="00D92C79" w:rsidRDefault="00AE1725" w:rsidP="00AE1725">
      <w:pPr>
        <w:pStyle w:val="a3"/>
      </w:pPr>
      <w:r>
        <w:rPr>
          <w:rFonts w:hint="eastAsia"/>
        </w:rPr>
        <w:t xml:space="preserve">? </w:t>
      </w:r>
      <w:r>
        <w:t>Zhang, X</w:t>
      </w:r>
      <w:r>
        <w:rPr>
          <w:rFonts w:hint="eastAsia"/>
        </w:rPr>
        <w:t>.</w:t>
      </w:r>
      <w:r>
        <w:t xml:space="preserve"> (20</w:t>
      </w:r>
      <w:r>
        <w:rPr>
          <w:rFonts w:hint="eastAsia"/>
        </w:rPr>
        <w:t>11</w:t>
      </w:r>
      <w:r w:rsidRPr="00D92C79">
        <w:t xml:space="preserve">), </w:t>
      </w:r>
      <w:r>
        <w:t>Chemistry</w:t>
      </w:r>
      <w:r w:rsidR="005853A9">
        <w:t xml:space="preserve"> and </w:t>
      </w:r>
      <w:r>
        <w:t>physics at play in materials science:</w:t>
      </w:r>
      <w:r w:rsidR="003A1917">
        <w:t xml:space="preserve"> the </w:t>
      </w:r>
      <w:r>
        <w:t>centennial celebration</w:t>
      </w:r>
      <w:r w:rsidR="00427468">
        <w:t xml:space="preserve"> of </w:t>
      </w:r>
      <w:r>
        <w:t>Tsinghua University</w:t>
      </w:r>
      <w:r w:rsidRPr="00D92C79">
        <w:t xml:space="preserve">. </w:t>
      </w:r>
      <w:r w:rsidRPr="001B3BB2">
        <w:rPr>
          <w:i/>
        </w:rPr>
        <w:t>Advanced Materials</w:t>
      </w:r>
      <w:r w:rsidRPr="00D92C79">
        <w:t xml:space="preserve">, </w:t>
      </w:r>
      <w:r w:rsidRPr="000034EF">
        <w:rPr>
          <w:b/>
        </w:rPr>
        <w:t>23</w:t>
      </w:r>
      <w:r w:rsidRPr="00D92C79">
        <w:t xml:space="preserve"> (</w:t>
      </w:r>
      <w:r>
        <w:t>9</w:t>
      </w:r>
      <w:r w:rsidRPr="00D92C79">
        <w:t xml:space="preserve">), </w:t>
      </w:r>
      <w:r>
        <w:t>1042-1043</w:t>
      </w:r>
      <w:r w:rsidRPr="00D92C79">
        <w:t>.</w:t>
      </w:r>
    </w:p>
    <w:p w:rsidR="00AE1725" w:rsidRPr="00D92C79" w:rsidRDefault="00AE1725" w:rsidP="00AE1725">
      <w:pPr>
        <w:pStyle w:val="a3"/>
      </w:pPr>
      <w:r w:rsidRPr="00D92C79">
        <w:t xml:space="preserve">Full Text: </w:t>
      </w:r>
      <w:hyperlink r:id="rId250" w:history="1">
        <w:r w:rsidRPr="000034EF">
          <w:rPr>
            <w:rStyle w:val="a5"/>
          </w:rPr>
          <w:t>2011\Adv Mat23, 1042.pdf</w:t>
        </w:r>
      </w:hyperlink>
    </w:p>
    <w:p w:rsidR="00BF48C2" w:rsidRPr="001A3D2B" w:rsidRDefault="00BF48C2" w:rsidP="00BF48C2">
      <w:pPr>
        <w:pStyle w:val="1"/>
      </w:pPr>
      <w:r w:rsidRPr="001A3D2B">
        <w:br w:type="page"/>
      </w:r>
      <w:bookmarkStart w:id="135" w:name="_Toc420814309"/>
      <w:r w:rsidRPr="001A3D2B">
        <w:lastRenderedPageBreak/>
        <w:t xml:space="preserve">Title: </w:t>
      </w:r>
      <w:r w:rsidRPr="00BF48C2">
        <w:rPr>
          <w:iCs w:val="0"/>
        </w:rPr>
        <w:t>Advances in Anatomic Pathology</w:t>
      </w:r>
      <w:bookmarkEnd w:id="135"/>
    </w:p>
    <w:p w:rsidR="00BF48C2" w:rsidRPr="001A3D2B" w:rsidRDefault="00BF48C2" w:rsidP="00BF48C2">
      <w:pPr>
        <w:pStyle w:val="12"/>
      </w:pPr>
      <w:r w:rsidRPr="001A3D2B">
        <w:t xml:space="preserve">Full Journal Title: </w:t>
      </w:r>
      <w:r w:rsidRPr="00BF48C2">
        <w:rPr>
          <w:iCs/>
          <w:kern w:val="0"/>
        </w:rPr>
        <w:t>Advances in Anatomic Pathology</w:t>
      </w:r>
    </w:p>
    <w:p w:rsidR="00BF48C2" w:rsidRPr="001A3D2B" w:rsidRDefault="00BF48C2" w:rsidP="00BF48C2">
      <w:pPr>
        <w:pStyle w:val="12"/>
      </w:pPr>
      <w:r w:rsidRPr="001A3D2B">
        <w:t xml:space="preserve">ISO Abbreviated Title: </w:t>
      </w:r>
    </w:p>
    <w:p w:rsidR="00BF48C2" w:rsidRPr="001A3D2B" w:rsidRDefault="00BF48C2" w:rsidP="00BF48C2">
      <w:pPr>
        <w:pStyle w:val="12"/>
      </w:pPr>
      <w:r w:rsidRPr="001A3D2B">
        <w:t xml:space="preserve">JCR Abbreviated Title: </w:t>
      </w:r>
    </w:p>
    <w:p w:rsidR="00BF48C2" w:rsidRPr="001A3D2B" w:rsidRDefault="00BF48C2" w:rsidP="00BF48C2">
      <w:pPr>
        <w:pStyle w:val="12"/>
      </w:pPr>
      <w:r w:rsidRPr="001A3D2B">
        <w:t xml:space="preserve">ISSN: </w:t>
      </w:r>
    </w:p>
    <w:p w:rsidR="00BF48C2" w:rsidRPr="001A3D2B" w:rsidRDefault="00BF48C2" w:rsidP="00BF48C2">
      <w:pPr>
        <w:pStyle w:val="12"/>
      </w:pPr>
      <w:r w:rsidRPr="001A3D2B">
        <w:t xml:space="preserve">Issues/Year: </w:t>
      </w:r>
    </w:p>
    <w:p w:rsidR="00BF48C2" w:rsidRPr="001A3D2B" w:rsidRDefault="00BF48C2" w:rsidP="00BF48C2">
      <w:pPr>
        <w:pStyle w:val="12"/>
      </w:pPr>
      <w:r w:rsidRPr="001A3D2B">
        <w:t xml:space="preserve">Journal Country/Territory: </w:t>
      </w:r>
    </w:p>
    <w:p w:rsidR="00BF48C2" w:rsidRPr="001A3D2B" w:rsidRDefault="00BF48C2" w:rsidP="00BF48C2">
      <w:pPr>
        <w:pStyle w:val="12"/>
      </w:pPr>
      <w:r w:rsidRPr="001A3D2B">
        <w:t xml:space="preserve">Language: </w:t>
      </w:r>
    </w:p>
    <w:p w:rsidR="00BF48C2" w:rsidRPr="001A3D2B" w:rsidRDefault="00BF48C2" w:rsidP="00BF48C2">
      <w:pPr>
        <w:pStyle w:val="12"/>
      </w:pPr>
      <w:r w:rsidRPr="001A3D2B">
        <w:t xml:space="preserve">Publisher: </w:t>
      </w:r>
    </w:p>
    <w:p w:rsidR="00BF48C2" w:rsidRPr="001A3D2B" w:rsidRDefault="00BF48C2" w:rsidP="00BF48C2">
      <w:pPr>
        <w:pStyle w:val="12"/>
      </w:pPr>
      <w:r w:rsidRPr="001A3D2B">
        <w:t xml:space="preserve">Publisher Address: </w:t>
      </w:r>
    </w:p>
    <w:p w:rsidR="00BF48C2" w:rsidRPr="001A3D2B" w:rsidRDefault="00BF48C2" w:rsidP="00BF48C2">
      <w:pPr>
        <w:pStyle w:val="12"/>
      </w:pPr>
      <w:r w:rsidRPr="001A3D2B">
        <w:t>Subject Categories:</w:t>
      </w:r>
    </w:p>
    <w:p w:rsidR="00BF48C2" w:rsidRPr="001A3D2B" w:rsidRDefault="00BF48C2" w:rsidP="00BF48C2">
      <w:pPr>
        <w:pStyle w:val="12"/>
      </w:pPr>
      <w:r w:rsidRPr="001A3D2B">
        <w:t xml:space="preserve">: Impact Factor </w:t>
      </w:r>
    </w:p>
    <w:p w:rsidR="00BF48C2" w:rsidRDefault="00BF48C2" w:rsidP="00BF48C2">
      <w:pPr>
        <w:pStyle w:val="a3"/>
        <w:rPr>
          <w:kern w:val="0"/>
        </w:rPr>
      </w:pPr>
      <w:r>
        <w:rPr>
          <w:rFonts w:hint="eastAsia"/>
          <w:kern w:val="0"/>
        </w:rPr>
        <w:t xml:space="preserve">? </w:t>
      </w:r>
      <w:r>
        <w:rPr>
          <w:kern w:val="0"/>
        </w:rPr>
        <w:t>Fisher, C. (2006), Epithelioid sarcoma</w:t>
      </w:r>
      <w:r w:rsidR="00427468">
        <w:rPr>
          <w:kern w:val="0"/>
        </w:rPr>
        <w:t xml:space="preserve"> of </w:t>
      </w:r>
      <w:r>
        <w:rPr>
          <w:kern w:val="0"/>
        </w:rPr>
        <w:t xml:space="preserve">Enzinger. </w:t>
      </w:r>
      <w:r w:rsidRPr="00BF48C2">
        <w:rPr>
          <w:i/>
          <w:iCs/>
          <w:kern w:val="0"/>
        </w:rPr>
        <w:t>Advances in Anatomic Pathology</w:t>
      </w:r>
      <w:r>
        <w:rPr>
          <w:kern w:val="0"/>
        </w:rPr>
        <w:t xml:space="preserve">, </w:t>
      </w:r>
      <w:r>
        <w:rPr>
          <w:b/>
          <w:bCs/>
          <w:kern w:val="0"/>
        </w:rPr>
        <w:t>13</w:t>
      </w:r>
      <w:r>
        <w:rPr>
          <w:kern w:val="0"/>
        </w:rPr>
        <w:t xml:space="preserve"> (3), 114-121.</w:t>
      </w:r>
    </w:p>
    <w:p w:rsidR="00BF48C2" w:rsidRDefault="00BF48C2" w:rsidP="00BF48C2">
      <w:pPr>
        <w:pStyle w:val="a3"/>
        <w:rPr>
          <w:kern w:val="0"/>
        </w:rPr>
      </w:pPr>
      <w:r>
        <w:rPr>
          <w:rFonts w:hint="eastAsia"/>
          <w:kern w:val="0"/>
        </w:rPr>
        <w:t xml:space="preserve">Full Text: </w:t>
      </w:r>
      <w:hyperlink r:id="rId251" w:history="1">
        <w:r w:rsidR="00864AAE" w:rsidRPr="00864AAE">
          <w:rPr>
            <w:rStyle w:val="a5"/>
            <w:kern w:val="0"/>
          </w:rPr>
          <w:t>2006\Adv Ana Pat13, 114.pdf</w:t>
        </w:r>
      </w:hyperlink>
    </w:p>
    <w:p w:rsidR="00BF48C2" w:rsidRDefault="00BF48C2" w:rsidP="00BF48C2">
      <w:pPr>
        <w:pStyle w:val="a3"/>
        <w:rPr>
          <w:kern w:val="0"/>
        </w:rPr>
      </w:pPr>
      <w:r>
        <w:rPr>
          <w:kern w:val="0"/>
        </w:rPr>
        <w:t>Abstract: Epithelioid sarcoma was named in 1970 in a classic paper by Enzinger, who expanded</w:t>
      </w:r>
      <w:r w:rsidR="003A1917">
        <w:rPr>
          <w:kern w:val="0"/>
        </w:rPr>
        <w:t xml:space="preserve"> the </w:t>
      </w:r>
      <w:r>
        <w:rPr>
          <w:kern w:val="0"/>
        </w:rPr>
        <w:t>observations in a larger series in 1985. He defined a sarcoma with a peak incidence in young adult males</w:t>
      </w:r>
      <w:r w:rsidR="005853A9">
        <w:rPr>
          <w:kern w:val="0"/>
        </w:rPr>
        <w:t xml:space="preserve"> and </w:t>
      </w:r>
      <w:r>
        <w:rPr>
          <w:kern w:val="0"/>
        </w:rPr>
        <w:t>a predilection for extremities, involving subcutis or deeper tissue</w:t>
      </w:r>
      <w:r w:rsidR="005853A9">
        <w:rPr>
          <w:kern w:val="0"/>
        </w:rPr>
        <w:t xml:space="preserve"> and </w:t>
      </w:r>
      <w:r>
        <w:rPr>
          <w:kern w:val="0"/>
        </w:rPr>
        <w:t>extending along tendon sheaths or aponeuroses</w:t>
      </w:r>
      <w:r w:rsidR="00A37C1D">
        <w:rPr>
          <w:kern w:val="0"/>
        </w:rPr>
        <w:t>. The</w:t>
      </w:r>
      <w:r w:rsidR="003A1917">
        <w:rPr>
          <w:kern w:val="0"/>
        </w:rPr>
        <w:t xml:space="preserve"> </w:t>
      </w:r>
      <w:r>
        <w:rPr>
          <w:kern w:val="0"/>
        </w:rPr>
        <w:t>tumor forms nodules with central necrosis surrounded by bland polygonal cells with eosinophilic cytoplasm</w:t>
      </w:r>
      <w:r w:rsidR="005853A9">
        <w:rPr>
          <w:kern w:val="0"/>
        </w:rPr>
        <w:t xml:space="preserve"> and </w:t>
      </w:r>
      <w:r>
        <w:rPr>
          <w:kern w:val="0"/>
        </w:rPr>
        <w:t>peripheral spindling. Fibromalike, angiomatoid,</w:t>
      </w:r>
      <w:r w:rsidR="005853A9">
        <w:rPr>
          <w:kern w:val="0"/>
        </w:rPr>
        <w:t xml:space="preserve"> and </w:t>
      </w:r>
      <w:r>
        <w:rPr>
          <w:kern w:val="0"/>
        </w:rPr>
        <w:t>proximal aggressive variants (with larger cells, prominent nuceloi,</w:t>
      </w:r>
      <w:r w:rsidR="005853A9">
        <w:rPr>
          <w:kern w:val="0"/>
        </w:rPr>
        <w:t xml:space="preserve"> and </w:t>
      </w:r>
      <w:r>
        <w:rPr>
          <w:kern w:val="0"/>
        </w:rPr>
        <w:t>rhabdoid change) have since been described. Epithelioid sarcomas regularly express vimentin, cytokeratins,</w:t>
      </w:r>
      <w:r w:rsidR="005853A9">
        <w:rPr>
          <w:kern w:val="0"/>
        </w:rPr>
        <w:t xml:space="preserve"> and </w:t>
      </w:r>
      <w:r>
        <w:rPr>
          <w:kern w:val="0"/>
        </w:rPr>
        <w:t>epithelial membrane antigen,</w:t>
      </w:r>
      <w:r w:rsidR="005853A9">
        <w:rPr>
          <w:kern w:val="0"/>
        </w:rPr>
        <w:t xml:space="preserve"> and </w:t>
      </w:r>
      <w:r>
        <w:rPr>
          <w:kern w:val="0"/>
        </w:rPr>
        <w:t>about half are positive for CD34, but a wide range</w:t>
      </w:r>
      <w:r w:rsidR="00427468">
        <w:rPr>
          <w:kern w:val="0"/>
        </w:rPr>
        <w:t xml:space="preserve"> of </w:t>
      </w:r>
      <w:r>
        <w:rPr>
          <w:kern w:val="0"/>
        </w:rPr>
        <w:t>other antigens can be expressed. S 100 protein, desmin,</w:t>
      </w:r>
      <w:r w:rsidR="005853A9">
        <w:rPr>
          <w:kern w:val="0"/>
        </w:rPr>
        <w:t xml:space="preserve"> and </w:t>
      </w:r>
      <w:r>
        <w:rPr>
          <w:kern w:val="0"/>
        </w:rPr>
        <w:t>FLI-1 are usually negative</w:t>
      </w:r>
      <w:r w:rsidR="00A37C1D">
        <w:rPr>
          <w:kern w:val="0"/>
        </w:rPr>
        <w:t>. The</w:t>
      </w:r>
      <w:r w:rsidR="003A1917">
        <w:rPr>
          <w:kern w:val="0"/>
        </w:rPr>
        <w:t xml:space="preserve"> </w:t>
      </w:r>
      <w:r>
        <w:rPr>
          <w:kern w:val="0"/>
        </w:rPr>
        <w:t>ultrastructure displays epithelial</w:t>
      </w:r>
      <w:r w:rsidR="005853A9">
        <w:rPr>
          <w:kern w:val="0"/>
        </w:rPr>
        <w:t xml:space="preserve"> and </w:t>
      </w:r>
      <w:r>
        <w:rPr>
          <w:kern w:val="0"/>
        </w:rPr>
        <w:t>mesenchymal features including myofibroblastic differentiation</w:t>
      </w:r>
      <w:r w:rsidR="00A37C1D">
        <w:rPr>
          <w:kern w:val="0"/>
        </w:rPr>
        <w:t>. The</w:t>
      </w:r>
      <w:r>
        <w:rPr>
          <w:kern w:val="0"/>
        </w:rPr>
        <w:t>re are no specific genetic findings but several cases display chromosomal abnormalities in</w:t>
      </w:r>
      <w:r w:rsidR="003A1917">
        <w:rPr>
          <w:kern w:val="0"/>
        </w:rPr>
        <w:t xml:space="preserve"> the </w:t>
      </w:r>
      <w:r>
        <w:rPr>
          <w:kern w:val="0"/>
        </w:rPr>
        <w:t>22q region</w:t>
      </w:r>
      <w:r w:rsidR="00A37C1D">
        <w:rPr>
          <w:kern w:val="0"/>
        </w:rPr>
        <w:t>. The</w:t>
      </w:r>
      <w:r w:rsidR="003A1917">
        <w:rPr>
          <w:kern w:val="0"/>
        </w:rPr>
        <w:t xml:space="preserve"> </w:t>
      </w:r>
      <w:r>
        <w:rPr>
          <w:kern w:val="0"/>
        </w:rPr>
        <w:t>tumor has no normal cellular counterpart</w:t>
      </w:r>
      <w:r w:rsidR="005853A9">
        <w:rPr>
          <w:kern w:val="0"/>
        </w:rPr>
        <w:t xml:space="preserve"> and </w:t>
      </w:r>
      <w:r>
        <w:rPr>
          <w:kern w:val="0"/>
        </w:rPr>
        <w:t>differs from both synovial sarcoma</w:t>
      </w:r>
      <w:r w:rsidR="005853A9">
        <w:rPr>
          <w:kern w:val="0"/>
        </w:rPr>
        <w:t xml:space="preserve"> and </w:t>
      </w:r>
      <w:r>
        <w:rPr>
          <w:kern w:val="0"/>
        </w:rPr>
        <w:t>carcinoma</w:t>
      </w:r>
      <w:r w:rsidR="00A37C1D">
        <w:rPr>
          <w:kern w:val="0"/>
        </w:rPr>
        <w:t>. The</w:t>
      </w:r>
      <w:r>
        <w:rPr>
          <w:kern w:val="0"/>
        </w:rPr>
        <w:t>re is a wide differential diagnosis from numerous benign</w:t>
      </w:r>
      <w:r w:rsidR="005853A9">
        <w:rPr>
          <w:kern w:val="0"/>
        </w:rPr>
        <w:t xml:space="preserve"> and </w:t>
      </w:r>
      <w:r>
        <w:rPr>
          <w:kern w:val="0"/>
        </w:rPr>
        <w:t>malignant conditions, including granuloma annulare, melanoma,</w:t>
      </w:r>
      <w:r w:rsidR="005853A9">
        <w:rPr>
          <w:kern w:val="0"/>
        </w:rPr>
        <w:t xml:space="preserve"> and </w:t>
      </w:r>
      <w:r>
        <w:rPr>
          <w:kern w:val="0"/>
        </w:rPr>
        <w:t>epithelioid vascular neoplasms. Epithelioid sarcoma has a high recurrence rate, which can be reduced by adequate surgery,</w:t>
      </w:r>
      <w:r w:rsidR="005853A9">
        <w:rPr>
          <w:kern w:val="0"/>
        </w:rPr>
        <w:t xml:space="preserve"> and </w:t>
      </w:r>
      <w:r>
        <w:rPr>
          <w:kern w:val="0"/>
        </w:rPr>
        <w:t>up to 40% metastasize, to regional lymph nodes, to lung,</w:t>
      </w:r>
      <w:r w:rsidR="005853A9">
        <w:rPr>
          <w:kern w:val="0"/>
        </w:rPr>
        <w:t xml:space="preserve"> and </w:t>
      </w:r>
      <w:r>
        <w:rPr>
          <w:kern w:val="0"/>
        </w:rPr>
        <w:t>other locations including scalp. Adverse prognostic factors include large size, male sex, older age, necrosis, vascular invasion, rhabdoid cytomorphology,</w:t>
      </w:r>
      <w:r w:rsidR="005853A9">
        <w:rPr>
          <w:kern w:val="0"/>
        </w:rPr>
        <w:t xml:space="preserve"> and </w:t>
      </w:r>
      <w:r>
        <w:rPr>
          <w:kern w:val="0"/>
        </w:rPr>
        <w:t>inadequate excision. Thirty-six years after Enzinger</w:t>
      </w:r>
      <w:r w:rsidR="00700038">
        <w:rPr>
          <w:kern w:val="0"/>
        </w:rPr>
        <w:t>’</w:t>
      </w:r>
      <w:r>
        <w:rPr>
          <w:kern w:val="0"/>
        </w:rPr>
        <w:t>s original account, epithelioid sarcoma remains a clinically</w:t>
      </w:r>
      <w:r w:rsidR="005853A9">
        <w:rPr>
          <w:kern w:val="0"/>
        </w:rPr>
        <w:t xml:space="preserve"> and </w:t>
      </w:r>
      <w:r>
        <w:rPr>
          <w:kern w:val="0"/>
        </w:rPr>
        <w:t xml:space="preserve">pathologically distinct, indolent but aggressive </w:t>
      </w:r>
      <w:r>
        <w:rPr>
          <w:kern w:val="0"/>
        </w:rPr>
        <w:lastRenderedPageBreak/>
        <w:t>sarcoma</w:t>
      </w:r>
      <w:r w:rsidR="00427468">
        <w:rPr>
          <w:kern w:val="0"/>
        </w:rPr>
        <w:t xml:space="preserve"> of </w:t>
      </w:r>
      <w:r>
        <w:rPr>
          <w:kern w:val="0"/>
        </w:rPr>
        <w:t>indeterminate lineage.</w:t>
      </w:r>
    </w:p>
    <w:p w:rsidR="00BF48C2" w:rsidRDefault="00BF48C2" w:rsidP="00BF48C2">
      <w:pPr>
        <w:pStyle w:val="a3"/>
        <w:rPr>
          <w:kern w:val="0"/>
        </w:rPr>
      </w:pPr>
      <w:r>
        <w:rPr>
          <w:kern w:val="0"/>
        </w:rPr>
        <w:t>Keywords: Adult, Age, CD34, Cytogenetic Characterization, Diagnosis, Differential Diagnosis, Differential-Diagnosis, Differentiation, Epithelioid, Expression, Features, Forms, Genetic, Immunohistochemical Analysis, Incidence, Keratin, Lung, Male, Malignant Rhabdoid Tumor, Melanoma, Membrane, Necrosis, Neoplasms, Normal, Prognostic, Prognostic Factors, Protein, Recurrence, Region, Regional, S-100, Sarcoma, Scalp, Sex, Size, Soft Tissue Sarcoma, Soft-Tissue Sarcoma, Surgery, Synovial Sarcoma, Tumor, Ultrastructure, Young Adult</w:t>
      </w:r>
    </w:p>
    <w:p w:rsidR="0008349C" w:rsidRPr="001A3D2B" w:rsidRDefault="0008349C" w:rsidP="0008349C">
      <w:pPr>
        <w:pStyle w:val="1"/>
      </w:pPr>
      <w:r w:rsidRPr="001A3D2B">
        <w:br w:type="page"/>
      </w:r>
      <w:bookmarkStart w:id="136" w:name="_Toc420814310"/>
      <w:r w:rsidRPr="001A3D2B">
        <w:lastRenderedPageBreak/>
        <w:t>Title: Advances in Atmospheric Sciences</w:t>
      </w:r>
      <w:bookmarkEnd w:id="136"/>
    </w:p>
    <w:p w:rsidR="0008349C" w:rsidRPr="001A3D2B" w:rsidRDefault="0008349C" w:rsidP="0008349C">
      <w:pPr>
        <w:pStyle w:val="12"/>
      </w:pPr>
      <w:r w:rsidRPr="001A3D2B">
        <w:t xml:space="preserve">Full Journal Title: </w:t>
      </w:r>
      <w:hyperlink r:id="rId252" w:history="1">
        <w:r w:rsidRPr="001A3D2B">
          <w:rPr>
            <w:rStyle w:val="a5"/>
            <w:kern w:val="0"/>
          </w:rPr>
          <w:t>Advances in Atmospheric Sciences</w:t>
        </w:r>
      </w:hyperlink>
    </w:p>
    <w:p w:rsidR="0008349C" w:rsidRPr="001A3D2B" w:rsidRDefault="0008349C" w:rsidP="0008349C">
      <w:pPr>
        <w:pStyle w:val="12"/>
      </w:pPr>
      <w:r w:rsidRPr="001A3D2B">
        <w:t xml:space="preserve">ISO Abbreviated Title: </w:t>
      </w:r>
    </w:p>
    <w:p w:rsidR="0008349C" w:rsidRPr="001A3D2B" w:rsidRDefault="0008349C" w:rsidP="0008349C">
      <w:pPr>
        <w:pStyle w:val="12"/>
      </w:pPr>
      <w:r w:rsidRPr="001A3D2B">
        <w:t xml:space="preserve">JCR Abbreviated Title: </w:t>
      </w:r>
    </w:p>
    <w:p w:rsidR="0008349C" w:rsidRPr="001A3D2B" w:rsidRDefault="0008349C" w:rsidP="0008349C">
      <w:pPr>
        <w:pStyle w:val="12"/>
      </w:pPr>
      <w:r w:rsidRPr="001A3D2B">
        <w:t xml:space="preserve">ISSN: </w:t>
      </w:r>
    </w:p>
    <w:p w:rsidR="0008349C" w:rsidRPr="001A3D2B" w:rsidRDefault="0008349C" w:rsidP="0008349C">
      <w:pPr>
        <w:pStyle w:val="12"/>
      </w:pPr>
      <w:r w:rsidRPr="001A3D2B">
        <w:t xml:space="preserve">Issues/Year: </w:t>
      </w:r>
    </w:p>
    <w:p w:rsidR="0008349C" w:rsidRPr="001A3D2B" w:rsidRDefault="00AA25A4" w:rsidP="0008349C">
      <w:pPr>
        <w:pStyle w:val="12"/>
      </w:pPr>
      <w:r w:rsidRPr="001A3D2B">
        <w:t>Journal Country/Territory:</w:t>
      </w:r>
      <w:r w:rsidR="0008349C" w:rsidRPr="001A3D2B">
        <w:t xml:space="preserve"> </w:t>
      </w:r>
    </w:p>
    <w:p w:rsidR="0008349C" w:rsidRPr="001A3D2B" w:rsidRDefault="0008349C" w:rsidP="0008349C">
      <w:pPr>
        <w:pStyle w:val="12"/>
      </w:pPr>
      <w:r w:rsidRPr="001A3D2B">
        <w:t xml:space="preserve">Language: </w:t>
      </w:r>
    </w:p>
    <w:p w:rsidR="0008349C" w:rsidRPr="001A3D2B" w:rsidRDefault="0008349C" w:rsidP="0008349C">
      <w:pPr>
        <w:pStyle w:val="12"/>
      </w:pPr>
      <w:r w:rsidRPr="001A3D2B">
        <w:t xml:space="preserve">Publisher: </w:t>
      </w:r>
    </w:p>
    <w:p w:rsidR="0008349C" w:rsidRPr="001A3D2B" w:rsidRDefault="0008349C" w:rsidP="0008349C">
      <w:pPr>
        <w:pStyle w:val="12"/>
      </w:pPr>
      <w:r w:rsidRPr="001A3D2B">
        <w:t xml:space="preserve">Publisher Address: </w:t>
      </w:r>
    </w:p>
    <w:p w:rsidR="0008349C" w:rsidRPr="001A3D2B" w:rsidRDefault="0008349C" w:rsidP="0008349C">
      <w:pPr>
        <w:pStyle w:val="12"/>
      </w:pPr>
      <w:r w:rsidRPr="001A3D2B">
        <w:t>Subject Categories:</w:t>
      </w:r>
    </w:p>
    <w:p w:rsidR="0008349C" w:rsidRPr="001A3D2B" w:rsidRDefault="0008349C" w:rsidP="0008349C">
      <w:pPr>
        <w:pStyle w:val="12"/>
      </w:pPr>
      <w:r w:rsidRPr="001A3D2B">
        <w:t xml:space="preserve">: Impact Factor </w:t>
      </w:r>
    </w:p>
    <w:p w:rsidR="0008349C" w:rsidRPr="001A3D2B" w:rsidRDefault="0008349C" w:rsidP="0008349C">
      <w:pPr>
        <w:pStyle w:val="a3"/>
        <w:rPr>
          <w:kern w:val="0"/>
        </w:rPr>
      </w:pPr>
      <w:r w:rsidRPr="001A3D2B">
        <w:rPr>
          <w:kern w:val="0"/>
        </w:rPr>
        <w:t>? Wu, G.X., Wang, H.J.</w:t>
      </w:r>
      <w:r w:rsidR="005853A9">
        <w:rPr>
          <w:kern w:val="0"/>
        </w:rPr>
        <w:t xml:space="preserve"> and </w:t>
      </w:r>
      <w:r w:rsidRPr="001A3D2B">
        <w:rPr>
          <w:kern w:val="0"/>
        </w:rPr>
        <w:t xml:space="preserve">Zhang, D.L. (2008), Advances in atmospheric sciences: A featured journal from Essential Science Indicators (reprinted from ScienceWatch.com). </w:t>
      </w:r>
      <w:r w:rsidRPr="001A3D2B">
        <w:rPr>
          <w:i/>
          <w:iCs/>
          <w:kern w:val="0"/>
        </w:rPr>
        <w:t>Advances in Atmospheric Sciences</w:t>
      </w:r>
      <w:r w:rsidRPr="001A3D2B">
        <w:rPr>
          <w:kern w:val="0"/>
        </w:rPr>
        <w:t xml:space="preserve">, </w:t>
      </w:r>
      <w:r w:rsidRPr="001A3D2B">
        <w:rPr>
          <w:b/>
          <w:bCs/>
          <w:kern w:val="0"/>
        </w:rPr>
        <w:t>25</w:t>
      </w:r>
      <w:r w:rsidRPr="001A3D2B">
        <w:rPr>
          <w:kern w:val="0"/>
        </w:rPr>
        <w:t xml:space="preserve"> (5), 705-708.</w:t>
      </w:r>
    </w:p>
    <w:p w:rsidR="0008349C" w:rsidRPr="001A3D2B" w:rsidRDefault="0008349C" w:rsidP="0008349C">
      <w:pPr>
        <w:pStyle w:val="a3"/>
        <w:rPr>
          <w:kern w:val="0"/>
        </w:rPr>
      </w:pPr>
      <w:r w:rsidRPr="001A3D2B">
        <w:rPr>
          <w:kern w:val="0"/>
        </w:rPr>
        <w:t xml:space="preserve">Full Text: </w:t>
      </w:r>
      <w:hyperlink r:id="rId253" w:history="1">
        <w:r w:rsidRPr="001A3D2B">
          <w:rPr>
            <w:rStyle w:val="a5"/>
            <w:kern w:val="0"/>
          </w:rPr>
          <w:t>2008\Adv Atm Sci25, 705.pdf</w:t>
        </w:r>
      </w:hyperlink>
    </w:p>
    <w:p w:rsidR="00513B53" w:rsidRDefault="00513B53" w:rsidP="00513B53">
      <w:pPr>
        <w:pStyle w:val="a3"/>
        <w:rPr>
          <w:kern w:val="0"/>
        </w:rPr>
      </w:pPr>
      <w:r>
        <w:rPr>
          <w:kern w:val="0"/>
        </w:rPr>
        <w:t>Keywords: Air Chemistry, Article Downloads, Atmospheric Sciences, Chinese Journals, Climate Dynamics, Indicators, Journal, Marine Meteorology, Meteorology-Associated Geophysics, Publisher Collaborations, Remote Sensing, Satellite Meteorology, Science, Weather Systems</w:t>
      </w:r>
    </w:p>
    <w:p w:rsidR="005B2904" w:rsidRDefault="005B2904" w:rsidP="005B2904">
      <w:pPr>
        <w:pStyle w:val="a3"/>
        <w:rPr>
          <w:kern w:val="0"/>
        </w:rPr>
      </w:pPr>
      <w:r>
        <w:rPr>
          <w:rFonts w:hint="eastAsia"/>
          <w:kern w:val="0"/>
        </w:rPr>
        <w:t xml:space="preserve">? </w:t>
      </w:r>
      <w:r>
        <w:rPr>
          <w:kern w:val="0"/>
        </w:rPr>
        <w:t>Shi, A.L.</w:t>
      </w:r>
      <w:r w:rsidR="005853A9">
        <w:rPr>
          <w:kern w:val="0"/>
        </w:rPr>
        <w:t xml:space="preserve"> and </w:t>
      </w:r>
      <w:r>
        <w:rPr>
          <w:kern w:val="0"/>
        </w:rPr>
        <w:t>Leydesdorff, L. (2011), What do</w:t>
      </w:r>
      <w:r w:rsidR="003A1917">
        <w:rPr>
          <w:kern w:val="0"/>
        </w:rPr>
        <w:t xml:space="preserve"> the </w:t>
      </w:r>
      <w:r>
        <w:rPr>
          <w:kern w:val="0"/>
        </w:rPr>
        <w:t>cited</w:t>
      </w:r>
      <w:r w:rsidR="005853A9">
        <w:rPr>
          <w:kern w:val="0"/>
        </w:rPr>
        <w:t xml:space="preserve"> and </w:t>
      </w:r>
      <w:r>
        <w:rPr>
          <w:kern w:val="0"/>
        </w:rPr>
        <w:t xml:space="preserve">citing environments reveal about advances in atmospheric physics? </w:t>
      </w:r>
      <w:r>
        <w:rPr>
          <w:i/>
          <w:iCs/>
          <w:kern w:val="0"/>
        </w:rPr>
        <w:t>Advances in Atmospheric Sciences</w:t>
      </w:r>
      <w:r>
        <w:rPr>
          <w:kern w:val="0"/>
        </w:rPr>
        <w:t xml:space="preserve">, </w:t>
      </w:r>
      <w:r>
        <w:rPr>
          <w:b/>
          <w:bCs/>
          <w:kern w:val="0"/>
        </w:rPr>
        <w:t>28</w:t>
      </w:r>
      <w:r>
        <w:rPr>
          <w:kern w:val="0"/>
        </w:rPr>
        <w:t xml:space="preserve"> (1), 238-244.</w:t>
      </w:r>
    </w:p>
    <w:p w:rsidR="005B2904" w:rsidRPr="00F219CA" w:rsidRDefault="005B2904" w:rsidP="005B2904">
      <w:pPr>
        <w:pStyle w:val="a3"/>
        <w:rPr>
          <w:kern w:val="0"/>
        </w:rPr>
      </w:pPr>
      <w:r w:rsidRPr="00F219CA">
        <w:rPr>
          <w:kern w:val="0"/>
        </w:rPr>
        <w:t xml:space="preserve">Full Text: </w:t>
      </w:r>
      <w:hyperlink r:id="rId254" w:history="1">
        <w:r w:rsidRPr="005B2904">
          <w:rPr>
            <w:rStyle w:val="a5"/>
            <w:kern w:val="0"/>
          </w:rPr>
          <w:t>2011\Adv Atm Sci28, 238.pdf</w:t>
        </w:r>
      </w:hyperlink>
    </w:p>
    <w:p w:rsidR="005B2904" w:rsidRDefault="005B2904" w:rsidP="005B2904">
      <w:pPr>
        <w:pStyle w:val="a3"/>
        <w:rPr>
          <w:kern w:val="0"/>
        </w:rPr>
      </w:pPr>
      <w:r>
        <w:rPr>
          <w:kern w:val="0"/>
        </w:rPr>
        <w:t>Abstract:</w:t>
      </w:r>
      <w:r w:rsidR="003A1917">
        <w:rPr>
          <w:kern w:val="0"/>
        </w:rPr>
        <w:t xml:space="preserve"> the </w:t>
      </w:r>
      <w:r>
        <w:rPr>
          <w:kern w:val="0"/>
        </w:rPr>
        <w:t>networking status</w:t>
      </w:r>
      <w:r w:rsidR="00427468">
        <w:rPr>
          <w:kern w:val="0"/>
        </w:rPr>
        <w:t xml:space="preserve"> of </w:t>
      </w:r>
      <w:r>
        <w:rPr>
          <w:kern w:val="0"/>
        </w:rPr>
        <w:t>journals reflects their academic influence among peer journals. This paper analyzes</w:t>
      </w:r>
      <w:r w:rsidR="003A1917">
        <w:rPr>
          <w:kern w:val="0"/>
        </w:rPr>
        <w:t xml:space="preserve"> the </w:t>
      </w:r>
      <w:r>
        <w:rPr>
          <w:kern w:val="0"/>
        </w:rPr>
        <w:t>cited</w:t>
      </w:r>
      <w:r w:rsidR="005853A9">
        <w:rPr>
          <w:kern w:val="0"/>
        </w:rPr>
        <w:t xml:space="preserve"> and </w:t>
      </w:r>
      <w:r>
        <w:rPr>
          <w:kern w:val="0"/>
        </w:rPr>
        <w:t>citing environments</w:t>
      </w:r>
      <w:r w:rsidR="00427468">
        <w:rPr>
          <w:kern w:val="0"/>
        </w:rPr>
        <w:t xml:space="preserve"> of </w:t>
      </w:r>
      <w:r>
        <w:rPr>
          <w:kern w:val="0"/>
        </w:rPr>
        <w:t>this journal, Advances in Atmospheric Sciences (Adv. Atmos. Sci.), using methods from social network analysis. Since its initial publication, Adv. Atmos. Sci. has been actively participating in</w:t>
      </w:r>
      <w:r w:rsidR="003A1917">
        <w:rPr>
          <w:kern w:val="0"/>
        </w:rPr>
        <w:t xml:space="preserve"> the </w:t>
      </w:r>
      <w:r>
        <w:rPr>
          <w:kern w:val="0"/>
        </w:rPr>
        <w:t>international journal environment</w:t>
      </w:r>
      <w:r w:rsidR="005853A9">
        <w:rPr>
          <w:kern w:val="0"/>
        </w:rPr>
        <w:t xml:space="preserve"> and </w:t>
      </w:r>
      <w:r>
        <w:rPr>
          <w:kern w:val="0"/>
        </w:rPr>
        <w:t>international journals are frequently cited in Adv. Atmos. Sci. Particularly, this journal is intensely interrelated with its international peer journals in terms</w:t>
      </w:r>
      <w:r w:rsidR="00427468">
        <w:rPr>
          <w:kern w:val="0"/>
        </w:rPr>
        <w:t xml:space="preserve"> of </w:t>
      </w:r>
      <w:r>
        <w:rPr>
          <w:kern w:val="0"/>
        </w:rPr>
        <w:t>their similar citing patterns</w:t>
      </w:r>
      <w:r w:rsidR="00A37C1D">
        <w:rPr>
          <w:kern w:val="0"/>
        </w:rPr>
        <w:t>. The</w:t>
      </w:r>
      <w:r w:rsidR="003A1917">
        <w:rPr>
          <w:kern w:val="0"/>
        </w:rPr>
        <w:t xml:space="preserve"> </w:t>
      </w:r>
      <w:r>
        <w:rPr>
          <w:kern w:val="0"/>
        </w:rPr>
        <w:t>international influence</w:t>
      </w:r>
      <w:r w:rsidR="00427468">
        <w:rPr>
          <w:kern w:val="0"/>
        </w:rPr>
        <w:t xml:space="preserve"> of </w:t>
      </w:r>
      <w:r>
        <w:rPr>
          <w:kern w:val="0"/>
        </w:rPr>
        <w:t>Adv. Atmos. Sci. is comparatively bigger than other Chinese SCI journals in atmospheric sciences as reflected by total cites to Adv. Atmos. Sci.</w:t>
      </w:r>
      <w:r w:rsidR="005853A9">
        <w:rPr>
          <w:kern w:val="0"/>
        </w:rPr>
        <w:t xml:space="preserve"> and </w:t>
      </w:r>
      <w:r w:rsidR="003A1917">
        <w:rPr>
          <w:kern w:val="0"/>
        </w:rPr>
        <w:t xml:space="preserve">the </w:t>
      </w:r>
      <w:r>
        <w:rPr>
          <w:kern w:val="0"/>
        </w:rPr>
        <w:t>total number</w:t>
      </w:r>
      <w:r w:rsidR="00427468">
        <w:rPr>
          <w:kern w:val="0"/>
        </w:rPr>
        <w:t xml:space="preserve"> of </w:t>
      </w:r>
      <w:r>
        <w:rPr>
          <w:kern w:val="0"/>
        </w:rPr>
        <w:t>international journals citing it</w:t>
      </w:r>
      <w:r w:rsidR="00A37C1D">
        <w:rPr>
          <w:kern w:val="0"/>
        </w:rPr>
        <w:t>. The</w:t>
      </w:r>
      <w:r w:rsidR="003A1917">
        <w:rPr>
          <w:kern w:val="0"/>
        </w:rPr>
        <w:t xml:space="preserve"> </w:t>
      </w:r>
      <w:r>
        <w:rPr>
          <w:kern w:val="0"/>
        </w:rPr>
        <w:t>academic visibility</w:t>
      </w:r>
      <w:r w:rsidR="00427468">
        <w:rPr>
          <w:kern w:val="0"/>
        </w:rPr>
        <w:t xml:space="preserve"> of </w:t>
      </w:r>
      <w:r>
        <w:rPr>
          <w:kern w:val="0"/>
        </w:rPr>
        <w:t>Adv. Atmos. Sci. is continuing to improve in</w:t>
      </w:r>
      <w:r w:rsidR="003A1917">
        <w:rPr>
          <w:kern w:val="0"/>
        </w:rPr>
        <w:t xml:space="preserve"> the </w:t>
      </w:r>
      <w:r>
        <w:rPr>
          <w:kern w:val="0"/>
        </w:rPr>
        <w:t>international research community as</w:t>
      </w:r>
      <w:r w:rsidR="003A1917">
        <w:rPr>
          <w:kern w:val="0"/>
        </w:rPr>
        <w:t xml:space="preserve"> the </w:t>
      </w:r>
      <w:r>
        <w:rPr>
          <w:kern w:val="0"/>
        </w:rPr>
        <w:t>number</w:t>
      </w:r>
      <w:r w:rsidR="00427468">
        <w:rPr>
          <w:kern w:val="0"/>
        </w:rPr>
        <w:t xml:space="preserve"> of </w:t>
      </w:r>
      <w:r>
        <w:rPr>
          <w:kern w:val="0"/>
        </w:rPr>
        <w:t>reference citation it receives in its peer journals internationally increases over time.</w:t>
      </w:r>
    </w:p>
    <w:p w:rsidR="005B2904" w:rsidRDefault="005B2904" w:rsidP="005B2904">
      <w:pPr>
        <w:pStyle w:val="a3"/>
        <w:rPr>
          <w:kern w:val="0"/>
        </w:rPr>
      </w:pPr>
      <w:r>
        <w:rPr>
          <w:kern w:val="0"/>
        </w:rPr>
        <w:lastRenderedPageBreak/>
        <w:t>Keywords: Advances in Atmospheric Sciences, Chinese Journal, Citation, Cited Environment, Citing Environment, Environment, Exercise, Journal, Journal Networking, Journals, Publication, Research</w:t>
      </w:r>
      <w:r w:rsidR="00D5664A">
        <w:rPr>
          <w:kern w:val="0"/>
        </w:rPr>
        <w:t>, SCI,</w:t>
      </w:r>
      <w:r>
        <w:rPr>
          <w:kern w:val="0"/>
        </w:rPr>
        <w:t xml:space="preserve"> Scientific Journals, Social Network Analysis, Visibility</w:t>
      </w:r>
    </w:p>
    <w:p w:rsidR="00D14D0A" w:rsidRPr="00F219CA" w:rsidRDefault="00D14D0A" w:rsidP="00D14D0A">
      <w:pPr>
        <w:pStyle w:val="1"/>
      </w:pPr>
      <w:r w:rsidRPr="00F219CA">
        <w:br w:type="page"/>
      </w:r>
      <w:bookmarkStart w:id="137" w:name="_Toc420814311"/>
      <w:r w:rsidRPr="00F219CA">
        <w:lastRenderedPageBreak/>
        <w:t xml:space="preserve">Title: </w:t>
      </w:r>
      <w:r w:rsidRPr="00E545C5">
        <w:rPr>
          <w:szCs w:val="24"/>
        </w:rPr>
        <w:t>Advances in Classification Research</w:t>
      </w:r>
      <w:bookmarkEnd w:id="137"/>
    </w:p>
    <w:p w:rsidR="00D14D0A" w:rsidRPr="00F219CA" w:rsidRDefault="00D14D0A" w:rsidP="00D14D0A">
      <w:pPr>
        <w:pStyle w:val="12"/>
      </w:pPr>
      <w:r w:rsidRPr="00F219CA">
        <w:t xml:space="preserve">Full Journal Title: </w:t>
      </w:r>
      <w:r w:rsidRPr="00E545C5">
        <w:rPr>
          <w:iCs/>
          <w:kern w:val="0"/>
        </w:rPr>
        <w:t>Advances in Classification Research</w:t>
      </w:r>
    </w:p>
    <w:p w:rsidR="00D14D0A" w:rsidRPr="00F219CA" w:rsidRDefault="00D14D0A" w:rsidP="00D14D0A">
      <w:pPr>
        <w:pStyle w:val="12"/>
      </w:pPr>
      <w:r w:rsidRPr="00F219CA">
        <w:t xml:space="preserve">ISO Abbreviated Title: </w:t>
      </w:r>
    </w:p>
    <w:p w:rsidR="00D14D0A" w:rsidRPr="00F219CA" w:rsidRDefault="00D14D0A" w:rsidP="00D14D0A">
      <w:pPr>
        <w:pStyle w:val="12"/>
      </w:pPr>
      <w:r w:rsidRPr="00F219CA">
        <w:t xml:space="preserve">JCR Abbreviated Title: </w:t>
      </w:r>
    </w:p>
    <w:p w:rsidR="00D14D0A" w:rsidRPr="00F219CA" w:rsidRDefault="00D14D0A" w:rsidP="00D14D0A">
      <w:pPr>
        <w:pStyle w:val="12"/>
      </w:pPr>
      <w:r w:rsidRPr="00F219CA">
        <w:t xml:space="preserve">ISSN: </w:t>
      </w:r>
    </w:p>
    <w:p w:rsidR="00D14D0A" w:rsidRPr="00F219CA" w:rsidRDefault="00D14D0A" w:rsidP="00D14D0A">
      <w:pPr>
        <w:pStyle w:val="12"/>
      </w:pPr>
      <w:r w:rsidRPr="00F219CA">
        <w:t xml:space="preserve">Issues/Year: </w:t>
      </w:r>
    </w:p>
    <w:p w:rsidR="00D14D0A" w:rsidRPr="00F219CA" w:rsidRDefault="00D14D0A" w:rsidP="00D14D0A">
      <w:pPr>
        <w:pStyle w:val="12"/>
      </w:pPr>
      <w:r w:rsidRPr="00F219CA">
        <w:t xml:space="preserve">Journal Country/Territory: </w:t>
      </w:r>
    </w:p>
    <w:p w:rsidR="00D14D0A" w:rsidRPr="00F219CA" w:rsidRDefault="00D14D0A" w:rsidP="00D14D0A">
      <w:pPr>
        <w:pStyle w:val="12"/>
      </w:pPr>
      <w:r w:rsidRPr="00F219CA">
        <w:t xml:space="preserve">Language: </w:t>
      </w:r>
    </w:p>
    <w:p w:rsidR="00D14D0A" w:rsidRPr="00F219CA" w:rsidRDefault="00D14D0A" w:rsidP="00D14D0A">
      <w:pPr>
        <w:pStyle w:val="12"/>
      </w:pPr>
      <w:r w:rsidRPr="00F219CA">
        <w:t xml:space="preserve">Publisher: </w:t>
      </w:r>
    </w:p>
    <w:p w:rsidR="00D14D0A" w:rsidRPr="00F219CA" w:rsidRDefault="00D14D0A" w:rsidP="00D14D0A">
      <w:pPr>
        <w:pStyle w:val="12"/>
      </w:pPr>
      <w:r w:rsidRPr="00F219CA">
        <w:t xml:space="preserve">Publisher Address: </w:t>
      </w:r>
    </w:p>
    <w:p w:rsidR="00D14D0A" w:rsidRPr="00F219CA" w:rsidRDefault="00D14D0A" w:rsidP="00D14D0A">
      <w:pPr>
        <w:pStyle w:val="12"/>
      </w:pPr>
      <w:r w:rsidRPr="00F219CA">
        <w:t xml:space="preserve">Subject Categories: </w:t>
      </w:r>
    </w:p>
    <w:p w:rsidR="00D14D0A" w:rsidRPr="00F219CA" w:rsidRDefault="00D14D0A" w:rsidP="00D14D0A">
      <w:pPr>
        <w:pStyle w:val="12"/>
      </w:pPr>
      <w:r w:rsidRPr="00F219CA">
        <w:t xml:space="preserve">: Impact Factor </w:t>
      </w:r>
    </w:p>
    <w:p w:rsidR="00D14D0A" w:rsidRDefault="00D14D0A" w:rsidP="00D14D0A">
      <w:pPr>
        <w:pStyle w:val="a3"/>
        <w:rPr>
          <w:kern w:val="0"/>
          <w:szCs w:val="24"/>
        </w:rPr>
      </w:pPr>
      <w:r>
        <w:rPr>
          <w:rFonts w:hint="eastAsia"/>
          <w:kern w:val="0"/>
          <w:szCs w:val="24"/>
        </w:rPr>
        <w:t xml:space="preserve">? </w:t>
      </w:r>
      <w:r>
        <w:rPr>
          <w:kern w:val="0"/>
          <w:szCs w:val="24"/>
        </w:rPr>
        <w:t>Ruiz, M.E.</w:t>
      </w:r>
      <w:r w:rsidR="005853A9">
        <w:rPr>
          <w:kern w:val="0"/>
          <w:szCs w:val="24"/>
        </w:rPr>
        <w:t xml:space="preserve"> and </w:t>
      </w:r>
      <w:r>
        <w:rPr>
          <w:kern w:val="0"/>
          <w:szCs w:val="24"/>
        </w:rPr>
        <w:t xml:space="preserve">Srinivasan, P. (1998), Automatic text categorization using neural networks. </w:t>
      </w:r>
      <w:r w:rsidRPr="00E545C5">
        <w:rPr>
          <w:i/>
          <w:iCs/>
          <w:kern w:val="0"/>
          <w:szCs w:val="24"/>
        </w:rPr>
        <w:t>Advances in Classification Research</w:t>
      </w:r>
      <w:r w:rsidRPr="00147ED8">
        <w:rPr>
          <w:iCs/>
          <w:kern w:val="0"/>
          <w:szCs w:val="24"/>
        </w:rPr>
        <w:t>,</w:t>
      </w:r>
      <w:r w:rsidRPr="00147ED8">
        <w:rPr>
          <w:rFonts w:hint="eastAsia"/>
          <w:iCs/>
          <w:kern w:val="0"/>
          <w:szCs w:val="24"/>
        </w:rPr>
        <w:t xml:space="preserve"> </w:t>
      </w:r>
      <w:r w:rsidRPr="00147ED8">
        <w:rPr>
          <w:b/>
          <w:iCs/>
          <w:kern w:val="0"/>
          <w:szCs w:val="24"/>
        </w:rPr>
        <w:t>8</w:t>
      </w:r>
      <w:r>
        <w:rPr>
          <w:kern w:val="0"/>
          <w:szCs w:val="24"/>
        </w:rPr>
        <w:t>, 59-72.</w:t>
      </w:r>
    </w:p>
    <w:p w:rsidR="00D14D0A" w:rsidRDefault="00D14D0A" w:rsidP="00D14D0A">
      <w:pPr>
        <w:pStyle w:val="a3"/>
        <w:rPr>
          <w:kern w:val="0"/>
          <w:szCs w:val="24"/>
        </w:rPr>
      </w:pPr>
      <w:r>
        <w:rPr>
          <w:rFonts w:hint="eastAsia"/>
          <w:kern w:val="0"/>
          <w:szCs w:val="24"/>
        </w:rPr>
        <w:t xml:space="preserve">Full Text: </w:t>
      </w:r>
      <w:hyperlink r:id="rId255" w:history="1">
        <w:r w:rsidRPr="00E545C5">
          <w:rPr>
            <w:rStyle w:val="a5"/>
            <w:kern w:val="0"/>
            <w:szCs w:val="24"/>
          </w:rPr>
          <w:t>1998\Adv Cla Res8, 59.pdf</w:t>
        </w:r>
      </w:hyperlink>
    </w:p>
    <w:p w:rsidR="00D14D0A" w:rsidRDefault="00D14D0A" w:rsidP="00D14D0A">
      <w:pPr>
        <w:pStyle w:val="a3"/>
        <w:rPr>
          <w:kern w:val="0"/>
          <w:szCs w:val="24"/>
        </w:rPr>
      </w:pPr>
      <w:r>
        <w:rPr>
          <w:kern w:val="0"/>
          <w:szCs w:val="24"/>
        </w:rPr>
        <w:t>Abstract: This paper presents</w:t>
      </w:r>
      <w:r w:rsidR="003A1917">
        <w:rPr>
          <w:kern w:val="0"/>
          <w:szCs w:val="24"/>
        </w:rPr>
        <w:t xml:space="preserve"> the </w:t>
      </w:r>
      <w:r>
        <w:rPr>
          <w:kern w:val="0"/>
          <w:szCs w:val="24"/>
        </w:rPr>
        <w:t>results obtained from a series</w:t>
      </w:r>
      <w:r w:rsidR="00427468">
        <w:rPr>
          <w:kern w:val="0"/>
          <w:szCs w:val="24"/>
        </w:rPr>
        <w:t xml:space="preserve"> of </w:t>
      </w:r>
      <w:r>
        <w:rPr>
          <w:kern w:val="0"/>
          <w:szCs w:val="24"/>
        </w:rPr>
        <w:t>experiments in automatic text categorization</w:t>
      </w:r>
      <w:r w:rsidR="00427468">
        <w:rPr>
          <w:kern w:val="0"/>
          <w:szCs w:val="24"/>
        </w:rPr>
        <w:t xml:space="preserve"> of </w:t>
      </w:r>
      <w:r w:rsidR="00D5664A">
        <w:rPr>
          <w:kern w:val="0"/>
          <w:szCs w:val="24"/>
        </w:rPr>
        <w:t>MEDLINE</w:t>
      </w:r>
      <w:r>
        <w:rPr>
          <w:kern w:val="0"/>
          <w:szCs w:val="24"/>
        </w:rPr>
        <w:t xml:space="preserve"> articles</w:t>
      </w:r>
      <w:r w:rsidR="00A37C1D">
        <w:rPr>
          <w:kern w:val="0"/>
          <w:szCs w:val="24"/>
        </w:rPr>
        <w:t>. The</w:t>
      </w:r>
      <w:r w:rsidR="003A1917">
        <w:rPr>
          <w:kern w:val="0"/>
          <w:szCs w:val="24"/>
        </w:rPr>
        <w:t xml:space="preserve"> </w:t>
      </w:r>
      <w:r>
        <w:rPr>
          <w:kern w:val="0"/>
          <w:szCs w:val="24"/>
        </w:rPr>
        <w:t>main goal</w:t>
      </w:r>
      <w:r w:rsidR="00427468">
        <w:rPr>
          <w:kern w:val="0"/>
          <w:szCs w:val="24"/>
        </w:rPr>
        <w:t xml:space="preserve"> of </w:t>
      </w:r>
      <w:r>
        <w:rPr>
          <w:kern w:val="0"/>
          <w:szCs w:val="24"/>
        </w:rPr>
        <w:t>this research is to build neural networks</w:t>
      </w:r>
      <w:r w:rsidR="005853A9">
        <w:rPr>
          <w:kern w:val="0"/>
          <w:szCs w:val="24"/>
        </w:rPr>
        <w:t xml:space="preserve"> and </w:t>
      </w:r>
      <w:r>
        <w:rPr>
          <w:kern w:val="0"/>
          <w:szCs w:val="24"/>
        </w:rPr>
        <w:t>to train them in assigning MeSH phrases based on term frequency</w:t>
      </w:r>
      <w:r w:rsidR="00427468">
        <w:rPr>
          <w:kern w:val="0"/>
          <w:szCs w:val="24"/>
        </w:rPr>
        <w:t xml:space="preserve"> of </w:t>
      </w:r>
      <w:r>
        <w:rPr>
          <w:kern w:val="0"/>
          <w:szCs w:val="24"/>
        </w:rPr>
        <w:t>single words from title</w:t>
      </w:r>
      <w:r w:rsidR="005853A9">
        <w:rPr>
          <w:kern w:val="0"/>
          <w:szCs w:val="24"/>
        </w:rPr>
        <w:t xml:space="preserve"> and </w:t>
      </w:r>
      <w:r>
        <w:rPr>
          <w:kern w:val="0"/>
          <w:szCs w:val="24"/>
        </w:rPr>
        <w:t>abstract</w:t>
      </w:r>
      <w:r w:rsidR="00A37C1D">
        <w:rPr>
          <w:kern w:val="0"/>
          <w:szCs w:val="24"/>
        </w:rPr>
        <w:t>. The</w:t>
      </w:r>
      <w:r w:rsidR="003A1917">
        <w:rPr>
          <w:kern w:val="0"/>
          <w:szCs w:val="24"/>
        </w:rPr>
        <w:t xml:space="preserve"> </w:t>
      </w:r>
      <w:r>
        <w:rPr>
          <w:kern w:val="0"/>
          <w:szCs w:val="24"/>
        </w:rPr>
        <w:t>experiments compare</w:t>
      </w:r>
      <w:r w:rsidR="003A1917">
        <w:rPr>
          <w:kern w:val="0"/>
          <w:szCs w:val="24"/>
        </w:rPr>
        <w:t xml:space="preserve"> the </w:t>
      </w:r>
      <w:r>
        <w:rPr>
          <w:kern w:val="0"/>
          <w:szCs w:val="24"/>
        </w:rPr>
        <w:t>performance</w:t>
      </w:r>
      <w:r w:rsidR="00427468">
        <w:rPr>
          <w:kern w:val="0"/>
          <w:szCs w:val="24"/>
        </w:rPr>
        <w:t xml:space="preserve"> of </w:t>
      </w:r>
      <w:r>
        <w:rPr>
          <w:kern w:val="0"/>
          <w:szCs w:val="24"/>
        </w:rPr>
        <w:t>a counterpropagation network against a backpropagation neural network. Results obtained by using a set</w:t>
      </w:r>
      <w:r w:rsidR="00427468">
        <w:rPr>
          <w:kern w:val="0"/>
          <w:szCs w:val="24"/>
        </w:rPr>
        <w:t xml:space="preserve"> of </w:t>
      </w:r>
      <w:r>
        <w:rPr>
          <w:kern w:val="0"/>
          <w:szCs w:val="24"/>
        </w:rPr>
        <w:t xml:space="preserve">2,344 </w:t>
      </w:r>
      <w:r w:rsidR="00D5664A">
        <w:rPr>
          <w:kern w:val="0"/>
          <w:szCs w:val="24"/>
        </w:rPr>
        <w:t>MEDLINE</w:t>
      </w:r>
      <w:r>
        <w:rPr>
          <w:kern w:val="0"/>
          <w:szCs w:val="24"/>
        </w:rPr>
        <w:t xml:space="preserve"> documents are presented</w:t>
      </w:r>
      <w:r w:rsidR="005853A9">
        <w:rPr>
          <w:kern w:val="0"/>
          <w:szCs w:val="24"/>
        </w:rPr>
        <w:t xml:space="preserve"> and </w:t>
      </w:r>
      <w:r>
        <w:rPr>
          <w:kern w:val="0"/>
          <w:szCs w:val="24"/>
        </w:rPr>
        <w:t>discussed.</w:t>
      </w:r>
    </w:p>
    <w:p w:rsidR="00D14D0A" w:rsidRDefault="00D14D0A" w:rsidP="00D14D0A">
      <w:pPr>
        <w:pStyle w:val="a3"/>
        <w:rPr>
          <w:kern w:val="0"/>
          <w:szCs w:val="24"/>
        </w:rPr>
      </w:pPr>
      <w:r>
        <w:rPr>
          <w:kern w:val="0"/>
          <w:szCs w:val="24"/>
        </w:rPr>
        <w:t xml:space="preserve">Keywords: Classification, </w:t>
      </w:r>
      <w:r w:rsidR="00D5664A">
        <w:rPr>
          <w:kern w:val="0"/>
          <w:szCs w:val="24"/>
        </w:rPr>
        <w:t>MEDLINE</w:t>
      </w:r>
      <w:r>
        <w:rPr>
          <w:kern w:val="0"/>
          <w:szCs w:val="24"/>
        </w:rPr>
        <w:t>, Research, Retrieval</w:t>
      </w:r>
    </w:p>
    <w:p w:rsidR="0009540D" w:rsidRPr="00F219CA" w:rsidRDefault="0009540D" w:rsidP="0009540D">
      <w:pPr>
        <w:pStyle w:val="1"/>
      </w:pPr>
      <w:r w:rsidRPr="00F219CA">
        <w:br w:type="page"/>
      </w:r>
      <w:bookmarkStart w:id="138" w:name="_Toc420814312"/>
      <w:r w:rsidRPr="00F219CA">
        <w:lastRenderedPageBreak/>
        <w:t xml:space="preserve">Title: </w:t>
      </w:r>
      <w:r w:rsidRPr="00D67A33">
        <w:t>Advances in Climate Change Research</w:t>
      </w:r>
      <w:bookmarkEnd w:id="138"/>
    </w:p>
    <w:p w:rsidR="0009540D" w:rsidRPr="00F219CA" w:rsidRDefault="0009540D" w:rsidP="0009540D">
      <w:pPr>
        <w:pStyle w:val="12"/>
      </w:pPr>
      <w:r w:rsidRPr="00F219CA">
        <w:t xml:space="preserve">Full Journal Title: </w:t>
      </w:r>
      <w:hyperlink r:id="rId256" w:history="1">
        <w:r w:rsidRPr="00D67A33">
          <w:rPr>
            <w:rStyle w:val="a5"/>
          </w:rPr>
          <w:t>Advances in Climate Change Research</w:t>
        </w:r>
      </w:hyperlink>
    </w:p>
    <w:p w:rsidR="0009540D" w:rsidRPr="00F219CA" w:rsidRDefault="0009540D" w:rsidP="0009540D">
      <w:pPr>
        <w:pStyle w:val="12"/>
      </w:pPr>
      <w:r w:rsidRPr="00F219CA">
        <w:t xml:space="preserve">ISO Abbreviated Title: </w:t>
      </w:r>
    </w:p>
    <w:p w:rsidR="0009540D" w:rsidRPr="00F219CA" w:rsidRDefault="0009540D" w:rsidP="0009540D">
      <w:pPr>
        <w:pStyle w:val="12"/>
      </w:pPr>
      <w:r w:rsidRPr="00F219CA">
        <w:t xml:space="preserve">JCR Abbreviated Title: </w:t>
      </w:r>
    </w:p>
    <w:p w:rsidR="0009540D" w:rsidRPr="00F219CA" w:rsidRDefault="0009540D" w:rsidP="0009540D">
      <w:pPr>
        <w:pStyle w:val="12"/>
      </w:pPr>
      <w:r w:rsidRPr="00F219CA">
        <w:t xml:space="preserve">ISSN: </w:t>
      </w:r>
    </w:p>
    <w:p w:rsidR="0009540D" w:rsidRPr="00F219CA" w:rsidRDefault="0009540D" w:rsidP="0009540D">
      <w:pPr>
        <w:pStyle w:val="12"/>
      </w:pPr>
      <w:r w:rsidRPr="00F219CA">
        <w:t xml:space="preserve">Issues/Year: </w:t>
      </w:r>
    </w:p>
    <w:p w:rsidR="0009540D" w:rsidRPr="00F219CA" w:rsidRDefault="0009540D" w:rsidP="0009540D">
      <w:pPr>
        <w:pStyle w:val="12"/>
      </w:pPr>
      <w:r w:rsidRPr="00F219CA">
        <w:t xml:space="preserve">Journal Country/Territory: </w:t>
      </w:r>
    </w:p>
    <w:p w:rsidR="0009540D" w:rsidRPr="00F219CA" w:rsidRDefault="0009540D" w:rsidP="0009540D">
      <w:pPr>
        <w:pStyle w:val="12"/>
      </w:pPr>
      <w:r w:rsidRPr="00F219CA">
        <w:t xml:space="preserve">Language: </w:t>
      </w:r>
    </w:p>
    <w:p w:rsidR="0009540D" w:rsidRPr="00F219CA" w:rsidRDefault="0009540D" w:rsidP="0009540D">
      <w:pPr>
        <w:pStyle w:val="12"/>
      </w:pPr>
      <w:r w:rsidRPr="00F219CA">
        <w:t xml:space="preserve">Publisher: </w:t>
      </w:r>
    </w:p>
    <w:p w:rsidR="0009540D" w:rsidRPr="00F219CA" w:rsidRDefault="0009540D" w:rsidP="0009540D">
      <w:pPr>
        <w:pStyle w:val="12"/>
      </w:pPr>
      <w:r w:rsidRPr="00F219CA">
        <w:t xml:space="preserve">Publisher Address: </w:t>
      </w:r>
    </w:p>
    <w:p w:rsidR="0009540D" w:rsidRPr="00F219CA" w:rsidRDefault="0009540D" w:rsidP="0009540D">
      <w:pPr>
        <w:pStyle w:val="12"/>
      </w:pPr>
      <w:r w:rsidRPr="00F219CA">
        <w:t xml:space="preserve">Subject Categories: </w:t>
      </w:r>
    </w:p>
    <w:p w:rsidR="0009540D" w:rsidRPr="00F219CA" w:rsidRDefault="0009540D" w:rsidP="0009540D">
      <w:pPr>
        <w:pStyle w:val="12"/>
      </w:pPr>
      <w:r w:rsidRPr="00F219CA">
        <w:t xml:space="preserve">: Impact Factor </w:t>
      </w:r>
    </w:p>
    <w:p w:rsidR="0009540D" w:rsidRDefault="0009540D" w:rsidP="0009540D">
      <w:pPr>
        <w:pStyle w:val="a3"/>
        <w:rPr>
          <w:kern w:val="0"/>
        </w:rPr>
      </w:pPr>
      <w:r>
        <w:rPr>
          <w:rFonts w:hint="eastAsia"/>
          <w:kern w:val="0"/>
        </w:rPr>
        <w:t xml:space="preserve">? </w:t>
      </w:r>
      <w:r w:rsidRPr="007E046E">
        <w:t>Li</w:t>
      </w:r>
      <w:r>
        <w:rPr>
          <w:rFonts w:hint="eastAsia"/>
        </w:rPr>
        <w:t xml:space="preserve">, S.S., </w:t>
      </w:r>
      <w:r w:rsidRPr="007E046E">
        <w:t>Hong</w:t>
      </w:r>
      <w:r>
        <w:rPr>
          <w:rFonts w:hint="eastAsia"/>
        </w:rPr>
        <w:t>, S.</w:t>
      </w:r>
      <w:r w:rsidR="005853A9">
        <w:rPr>
          <w:rFonts w:hint="eastAsia"/>
        </w:rPr>
        <w:t xml:space="preserve"> and </w:t>
      </w:r>
      <w:r w:rsidRPr="007E046E">
        <w:t>Liu</w:t>
      </w:r>
      <w:r>
        <w:rPr>
          <w:rFonts w:hint="eastAsia"/>
        </w:rPr>
        <w:t>, X.J.</w:t>
      </w:r>
      <w:r>
        <w:rPr>
          <w:kern w:val="0"/>
        </w:rPr>
        <w:t xml:space="preserve"> (201</w:t>
      </w:r>
      <w:r>
        <w:rPr>
          <w:rFonts w:hint="eastAsia"/>
          <w:kern w:val="0"/>
        </w:rPr>
        <w:t>1</w:t>
      </w:r>
      <w:r>
        <w:rPr>
          <w:kern w:val="0"/>
        </w:rPr>
        <w:t xml:space="preserve">), </w:t>
      </w:r>
      <w:r w:rsidRPr="00D67A33">
        <w:t>World climate change research trends</w:t>
      </w:r>
      <w:r>
        <w:rPr>
          <w:kern w:val="0"/>
        </w:rPr>
        <w:t xml:space="preserve">. </w:t>
      </w:r>
      <w:r w:rsidRPr="00D67A33">
        <w:rPr>
          <w:i/>
        </w:rPr>
        <w:t>Advances in Climate Change Research</w:t>
      </w:r>
      <w:r>
        <w:rPr>
          <w:kern w:val="0"/>
        </w:rPr>
        <w:t xml:space="preserve">, </w:t>
      </w:r>
      <w:r>
        <w:rPr>
          <w:rFonts w:hint="eastAsia"/>
          <w:b/>
          <w:bCs/>
          <w:kern w:val="0"/>
        </w:rPr>
        <w:t>7</w:t>
      </w:r>
      <w:r>
        <w:rPr>
          <w:kern w:val="0"/>
        </w:rPr>
        <w:t xml:space="preserve"> (1), </w:t>
      </w:r>
      <w:r>
        <w:rPr>
          <w:rFonts w:hint="eastAsia"/>
          <w:kern w:val="0"/>
        </w:rPr>
        <w:t>73-76</w:t>
      </w:r>
      <w:r>
        <w:rPr>
          <w:kern w:val="0"/>
        </w:rPr>
        <w:t>.</w:t>
      </w:r>
    </w:p>
    <w:p w:rsidR="0009540D" w:rsidRPr="00F219CA" w:rsidRDefault="0009540D" w:rsidP="0009540D">
      <w:pPr>
        <w:pStyle w:val="a3"/>
        <w:rPr>
          <w:kern w:val="0"/>
        </w:rPr>
      </w:pPr>
      <w:r w:rsidRPr="00F219CA">
        <w:rPr>
          <w:kern w:val="0"/>
        </w:rPr>
        <w:t xml:space="preserve">Full Text: </w:t>
      </w:r>
      <w:hyperlink r:id="rId257" w:history="1">
        <w:r w:rsidRPr="00D67A33">
          <w:rPr>
            <w:rStyle w:val="a5"/>
            <w:kern w:val="0"/>
          </w:rPr>
          <w:t>2011\Adv Cli Cha Res7, 73.pdf</w:t>
        </w:r>
      </w:hyperlink>
    </w:p>
    <w:p w:rsidR="002552B8" w:rsidRPr="00F219CA" w:rsidRDefault="002552B8" w:rsidP="002552B8">
      <w:pPr>
        <w:pStyle w:val="1"/>
      </w:pPr>
      <w:r w:rsidRPr="00F219CA">
        <w:br w:type="page"/>
      </w:r>
      <w:bookmarkStart w:id="139" w:name="_Toc420814313"/>
      <w:r w:rsidRPr="00F219CA">
        <w:lastRenderedPageBreak/>
        <w:t xml:space="preserve">Title: </w:t>
      </w:r>
      <w:r w:rsidRPr="00F3583E">
        <w:t>Advances in Complex Systems</w:t>
      </w:r>
      <w:bookmarkEnd w:id="139"/>
    </w:p>
    <w:p w:rsidR="002552B8" w:rsidRPr="00F219CA" w:rsidRDefault="002552B8" w:rsidP="002552B8">
      <w:pPr>
        <w:pStyle w:val="12"/>
      </w:pPr>
      <w:r w:rsidRPr="00F219CA">
        <w:t xml:space="preserve">Full Journal Title: </w:t>
      </w:r>
      <w:r w:rsidRPr="00F3583E">
        <w:rPr>
          <w:iCs/>
          <w:kern w:val="0"/>
        </w:rPr>
        <w:t>Advances in Complex Systems</w:t>
      </w:r>
    </w:p>
    <w:p w:rsidR="002552B8" w:rsidRPr="00F219CA" w:rsidRDefault="002552B8" w:rsidP="002552B8">
      <w:pPr>
        <w:pStyle w:val="12"/>
      </w:pPr>
      <w:r w:rsidRPr="00F219CA">
        <w:t xml:space="preserve">ISO Abbreviated Title: </w:t>
      </w:r>
    </w:p>
    <w:p w:rsidR="002552B8" w:rsidRPr="00F219CA" w:rsidRDefault="002552B8" w:rsidP="002552B8">
      <w:pPr>
        <w:pStyle w:val="12"/>
      </w:pPr>
      <w:r w:rsidRPr="00F219CA">
        <w:t xml:space="preserve">JCR Abbreviated Title: </w:t>
      </w:r>
    </w:p>
    <w:p w:rsidR="002552B8" w:rsidRPr="00F219CA" w:rsidRDefault="002552B8" w:rsidP="002552B8">
      <w:pPr>
        <w:pStyle w:val="12"/>
      </w:pPr>
      <w:r w:rsidRPr="00F219CA">
        <w:t xml:space="preserve">ISSN: </w:t>
      </w:r>
    </w:p>
    <w:p w:rsidR="002552B8" w:rsidRPr="00F219CA" w:rsidRDefault="002552B8" w:rsidP="002552B8">
      <w:pPr>
        <w:pStyle w:val="12"/>
      </w:pPr>
      <w:r w:rsidRPr="00F219CA">
        <w:t xml:space="preserve">Issues/Year: </w:t>
      </w:r>
    </w:p>
    <w:p w:rsidR="002552B8" w:rsidRPr="00F219CA" w:rsidRDefault="002552B8" w:rsidP="002552B8">
      <w:pPr>
        <w:pStyle w:val="12"/>
      </w:pPr>
      <w:r w:rsidRPr="00F219CA">
        <w:t xml:space="preserve">Journal Country/Territory: </w:t>
      </w:r>
    </w:p>
    <w:p w:rsidR="002552B8" w:rsidRPr="00F219CA" w:rsidRDefault="002552B8" w:rsidP="002552B8">
      <w:pPr>
        <w:pStyle w:val="12"/>
      </w:pPr>
      <w:r w:rsidRPr="00F219CA">
        <w:t xml:space="preserve">Language: </w:t>
      </w:r>
    </w:p>
    <w:p w:rsidR="002552B8" w:rsidRPr="00F219CA" w:rsidRDefault="002552B8" w:rsidP="002552B8">
      <w:pPr>
        <w:pStyle w:val="12"/>
      </w:pPr>
      <w:r w:rsidRPr="00F219CA">
        <w:t xml:space="preserve">Publisher: </w:t>
      </w:r>
    </w:p>
    <w:p w:rsidR="002552B8" w:rsidRPr="00F219CA" w:rsidRDefault="002552B8" w:rsidP="002552B8">
      <w:pPr>
        <w:pStyle w:val="12"/>
      </w:pPr>
      <w:r w:rsidRPr="00F219CA">
        <w:t xml:space="preserve">Publisher Address: </w:t>
      </w:r>
    </w:p>
    <w:p w:rsidR="002552B8" w:rsidRPr="00F219CA" w:rsidRDefault="002552B8" w:rsidP="002552B8">
      <w:pPr>
        <w:pStyle w:val="12"/>
      </w:pPr>
      <w:r w:rsidRPr="00F219CA">
        <w:t xml:space="preserve">Subject Categories: </w:t>
      </w:r>
    </w:p>
    <w:p w:rsidR="002552B8" w:rsidRPr="00F219CA" w:rsidRDefault="002552B8" w:rsidP="002552B8">
      <w:pPr>
        <w:pStyle w:val="12"/>
      </w:pPr>
      <w:r w:rsidRPr="00F219CA">
        <w:t xml:space="preserve">: Impact Factor </w:t>
      </w:r>
    </w:p>
    <w:p w:rsidR="002552B8" w:rsidRDefault="002552B8" w:rsidP="002552B8">
      <w:pPr>
        <w:pStyle w:val="a3"/>
        <w:rPr>
          <w:kern w:val="0"/>
        </w:rPr>
      </w:pPr>
      <w:r>
        <w:rPr>
          <w:rFonts w:hint="eastAsia"/>
          <w:kern w:val="0"/>
        </w:rPr>
        <w:t xml:space="preserve">? </w:t>
      </w:r>
      <w:r>
        <w:rPr>
          <w:kern w:val="0"/>
        </w:rPr>
        <w:t>Krapivin, M., Marchese, M.</w:t>
      </w:r>
      <w:r w:rsidR="005853A9">
        <w:rPr>
          <w:kern w:val="0"/>
        </w:rPr>
        <w:t xml:space="preserve"> and </w:t>
      </w:r>
      <w:r>
        <w:rPr>
          <w:kern w:val="0"/>
        </w:rPr>
        <w:t>Casati, F. (2010), Exploring</w:t>
      </w:r>
      <w:r w:rsidR="005853A9">
        <w:rPr>
          <w:kern w:val="0"/>
        </w:rPr>
        <w:t xml:space="preserve"> and </w:t>
      </w:r>
      <w:r>
        <w:rPr>
          <w:kern w:val="0"/>
        </w:rPr>
        <w:t xml:space="preserve">understanding citation-based scientific metrics. </w:t>
      </w:r>
      <w:r w:rsidRPr="00F3583E">
        <w:rPr>
          <w:i/>
          <w:iCs/>
          <w:kern w:val="0"/>
        </w:rPr>
        <w:t>Advances in Complex Systems</w:t>
      </w:r>
      <w:r>
        <w:rPr>
          <w:kern w:val="0"/>
        </w:rPr>
        <w:t xml:space="preserve">, </w:t>
      </w:r>
      <w:r>
        <w:rPr>
          <w:b/>
          <w:bCs/>
          <w:kern w:val="0"/>
        </w:rPr>
        <w:t>13</w:t>
      </w:r>
      <w:r>
        <w:rPr>
          <w:kern w:val="0"/>
        </w:rPr>
        <w:t xml:space="preserve"> (1), 59-81.</w:t>
      </w:r>
    </w:p>
    <w:p w:rsidR="0091276C" w:rsidRPr="00F219CA" w:rsidRDefault="0091276C" w:rsidP="0091276C">
      <w:pPr>
        <w:pStyle w:val="a3"/>
        <w:rPr>
          <w:kern w:val="0"/>
        </w:rPr>
      </w:pPr>
      <w:r w:rsidRPr="00F219CA">
        <w:rPr>
          <w:kern w:val="0"/>
        </w:rPr>
        <w:t xml:space="preserve">Full Text: </w:t>
      </w:r>
      <w:hyperlink r:id="rId258" w:history="1">
        <w:r w:rsidRPr="00890DAC">
          <w:rPr>
            <w:rStyle w:val="a5"/>
            <w:kern w:val="0"/>
          </w:rPr>
          <w:t>2010\Adv Com Sys13, 59.pdf</w:t>
        </w:r>
      </w:hyperlink>
    </w:p>
    <w:p w:rsidR="002552B8" w:rsidRDefault="002552B8" w:rsidP="002552B8">
      <w:pPr>
        <w:pStyle w:val="a3"/>
        <w:rPr>
          <w:kern w:val="0"/>
        </w:rPr>
      </w:pPr>
      <w:r>
        <w:rPr>
          <w:kern w:val="0"/>
        </w:rPr>
        <w:t>Abstract: This paper explores citation-based metrics, how they differ in ranking papers</w:t>
      </w:r>
      <w:r w:rsidR="005853A9">
        <w:rPr>
          <w:kern w:val="0"/>
        </w:rPr>
        <w:t xml:space="preserve"> and </w:t>
      </w:r>
      <w:r>
        <w:rPr>
          <w:kern w:val="0"/>
        </w:rPr>
        <w:t>authors,</w:t>
      </w:r>
      <w:r w:rsidR="005853A9">
        <w:rPr>
          <w:kern w:val="0"/>
        </w:rPr>
        <w:t xml:space="preserve"> and </w:t>
      </w:r>
      <w:r>
        <w:rPr>
          <w:kern w:val="0"/>
        </w:rPr>
        <w:t>why. We initially take as example three main metrics that we believe significant;</w:t>
      </w:r>
      <w:r w:rsidR="003A1917">
        <w:rPr>
          <w:kern w:val="0"/>
        </w:rPr>
        <w:t xml:space="preserve"> the </w:t>
      </w:r>
      <w:r>
        <w:rPr>
          <w:kern w:val="0"/>
        </w:rPr>
        <w:t>standard citation count,</w:t>
      </w:r>
      <w:r w:rsidR="003A1917">
        <w:rPr>
          <w:kern w:val="0"/>
        </w:rPr>
        <w:t xml:space="preserve"> the </w:t>
      </w:r>
      <w:r>
        <w:rPr>
          <w:kern w:val="0"/>
        </w:rPr>
        <w:t>more</w:t>
      </w:r>
      <w:r w:rsidR="005853A9">
        <w:rPr>
          <w:kern w:val="0"/>
        </w:rPr>
        <w:t xml:space="preserve"> and </w:t>
      </w:r>
      <w:r>
        <w:rPr>
          <w:kern w:val="0"/>
        </w:rPr>
        <w:t xml:space="preserve">more popular </w:t>
      </w:r>
      <w:r w:rsidR="00D5664A">
        <w:rPr>
          <w:kern w:val="0"/>
        </w:rPr>
        <w:t>h-Index</w:t>
      </w:r>
      <w:r>
        <w:rPr>
          <w:kern w:val="0"/>
        </w:rPr>
        <w:t>,</w:t>
      </w:r>
      <w:r w:rsidR="005853A9">
        <w:rPr>
          <w:kern w:val="0"/>
        </w:rPr>
        <w:t xml:space="preserve"> and </w:t>
      </w:r>
      <w:r>
        <w:rPr>
          <w:kern w:val="0"/>
        </w:rPr>
        <w:t>a variation we propose</w:t>
      </w:r>
      <w:r w:rsidR="00427468">
        <w:rPr>
          <w:kern w:val="0"/>
        </w:rPr>
        <w:t xml:space="preserve"> of </w:t>
      </w:r>
      <w:r>
        <w:rPr>
          <w:kern w:val="0"/>
        </w:rPr>
        <w:t>PageRank applied to papers (called PaperRank), that is appealing as it mirrors proven</w:t>
      </w:r>
      <w:r w:rsidR="005853A9">
        <w:rPr>
          <w:kern w:val="0"/>
        </w:rPr>
        <w:t xml:space="preserve"> and </w:t>
      </w:r>
      <w:r>
        <w:rPr>
          <w:kern w:val="0"/>
        </w:rPr>
        <w:t>successful algorithms for ranking web pages. As part</w:t>
      </w:r>
      <w:r w:rsidR="00427468">
        <w:rPr>
          <w:kern w:val="0"/>
        </w:rPr>
        <w:t xml:space="preserve"> of </w:t>
      </w:r>
      <w:r>
        <w:rPr>
          <w:kern w:val="0"/>
        </w:rPr>
        <w:t>analyzing them, we develop generally applicable techniques</w:t>
      </w:r>
      <w:r w:rsidR="005853A9">
        <w:rPr>
          <w:kern w:val="0"/>
        </w:rPr>
        <w:t xml:space="preserve"> and </w:t>
      </w:r>
      <w:r>
        <w:rPr>
          <w:kern w:val="0"/>
        </w:rPr>
        <w:t>metrics for qualitatively</w:t>
      </w:r>
      <w:r w:rsidR="005853A9">
        <w:rPr>
          <w:kern w:val="0"/>
        </w:rPr>
        <w:t xml:space="preserve"> and </w:t>
      </w:r>
      <w:r>
        <w:rPr>
          <w:kern w:val="0"/>
        </w:rPr>
        <w:t>quantitatively analyzing indexes that evaluate content</w:t>
      </w:r>
      <w:r w:rsidR="005853A9">
        <w:rPr>
          <w:kern w:val="0"/>
        </w:rPr>
        <w:t xml:space="preserve"> and </w:t>
      </w:r>
      <w:r>
        <w:rPr>
          <w:kern w:val="0"/>
        </w:rPr>
        <w:t>people, as well as for understanding</w:t>
      </w:r>
      <w:r w:rsidR="003A1917">
        <w:rPr>
          <w:kern w:val="0"/>
        </w:rPr>
        <w:t xml:space="preserve"> the </w:t>
      </w:r>
      <w:r>
        <w:rPr>
          <w:kern w:val="0"/>
        </w:rPr>
        <w:t>causes</w:t>
      </w:r>
      <w:r w:rsidR="00427468">
        <w:rPr>
          <w:kern w:val="0"/>
        </w:rPr>
        <w:t xml:space="preserve"> of </w:t>
      </w:r>
      <w:r>
        <w:rPr>
          <w:kern w:val="0"/>
        </w:rPr>
        <w:t>their different behaviors. Finally, we extend</w:t>
      </w:r>
      <w:r w:rsidR="003A1917">
        <w:rPr>
          <w:kern w:val="0"/>
        </w:rPr>
        <w:t xml:space="preserve"> the </w:t>
      </w:r>
      <w:r>
        <w:rPr>
          <w:kern w:val="0"/>
        </w:rPr>
        <w:t>analysis to other popular indexes, to show whether</w:t>
      </w:r>
      <w:r w:rsidR="003A1917">
        <w:rPr>
          <w:kern w:val="0"/>
        </w:rPr>
        <w:t xml:space="preserve"> the </w:t>
      </w:r>
      <w:r>
        <w:rPr>
          <w:kern w:val="0"/>
        </w:rPr>
        <w:t>choice</w:t>
      </w:r>
      <w:r w:rsidR="00427468">
        <w:rPr>
          <w:kern w:val="0"/>
        </w:rPr>
        <w:t xml:space="preserve"> of </w:t>
      </w:r>
      <w:r w:rsidR="003A1917">
        <w:rPr>
          <w:kern w:val="0"/>
        </w:rPr>
        <w:t xml:space="preserve">the </w:t>
      </w:r>
      <w:r>
        <w:rPr>
          <w:kern w:val="0"/>
        </w:rPr>
        <w:t>index has a significant effect in how papers</w:t>
      </w:r>
      <w:r w:rsidR="005853A9">
        <w:rPr>
          <w:kern w:val="0"/>
        </w:rPr>
        <w:t xml:space="preserve"> and </w:t>
      </w:r>
      <w:r>
        <w:rPr>
          <w:kern w:val="0"/>
        </w:rPr>
        <w:t>authors are ranked. We put</w:t>
      </w:r>
      <w:r w:rsidR="003A1917">
        <w:rPr>
          <w:kern w:val="0"/>
        </w:rPr>
        <w:t xml:space="preserve"> the </w:t>
      </w:r>
      <w:r>
        <w:rPr>
          <w:kern w:val="0"/>
        </w:rPr>
        <w:t>techniques at work on a dataset</w:t>
      </w:r>
      <w:r w:rsidR="00427468">
        <w:rPr>
          <w:kern w:val="0"/>
        </w:rPr>
        <w:t xml:space="preserve"> of </w:t>
      </w:r>
      <w:r>
        <w:rPr>
          <w:kern w:val="0"/>
        </w:rPr>
        <w:t>over 260 K ACM papers,</w:t>
      </w:r>
      <w:r w:rsidR="005853A9">
        <w:rPr>
          <w:kern w:val="0"/>
        </w:rPr>
        <w:t xml:space="preserve"> and </w:t>
      </w:r>
      <w:r>
        <w:rPr>
          <w:kern w:val="0"/>
        </w:rPr>
        <w:t>discovered that</w:t>
      </w:r>
      <w:r w:rsidR="003A1917">
        <w:rPr>
          <w:kern w:val="0"/>
        </w:rPr>
        <w:t xml:space="preserve"> the </w:t>
      </w:r>
      <w:r>
        <w:rPr>
          <w:kern w:val="0"/>
        </w:rPr>
        <w:t>difference in ranking results is indeed very significant (even when restricting to citation-based indexes), with half</w:t>
      </w:r>
      <w:r w:rsidR="00427468">
        <w:rPr>
          <w:kern w:val="0"/>
        </w:rPr>
        <w:t xml:space="preserve"> of </w:t>
      </w:r>
      <w:r w:rsidR="003A1917">
        <w:rPr>
          <w:kern w:val="0"/>
        </w:rPr>
        <w:t xml:space="preserve">the </w:t>
      </w:r>
      <w:r>
        <w:rPr>
          <w:kern w:val="0"/>
        </w:rPr>
        <w:t>top-ranked papers differing in a typical 20-element long search result page for papers on a given topic,</w:t>
      </w:r>
      <w:r w:rsidR="005853A9">
        <w:rPr>
          <w:kern w:val="0"/>
        </w:rPr>
        <w:t xml:space="preserve"> and </w:t>
      </w:r>
      <w:r>
        <w:rPr>
          <w:kern w:val="0"/>
        </w:rPr>
        <w:t>with</w:t>
      </w:r>
      <w:r w:rsidR="003A1917">
        <w:rPr>
          <w:kern w:val="0"/>
        </w:rPr>
        <w:t xml:space="preserve"> the </w:t>
      </w:r>
      <w:r>
        <w:rPr>
          <w:kern w:val="0"/>
        </w:rPr>
        <w:t>top researcher being ranked differently over half</w:t>
      </w:r>
      <w:r w:rsidR="00427468">
        <w:rPr>
          <w:kern w:val="0"/>
        </w:rPr>
        <w:t xml:space="preserve"> of </w:t>
      </w:r>
      <w:r w:rsidR="003A1917">
        <w:rPr>
          <w:kern w:val="0"/>
        </w:rPr>
        <w:t xml:space="preserve">the </w:t>
      </w:r>
      <w:r>
        <w:rPr>
          <w:kern w:val="0"/>
        </w:rPr>
        <w:t>times in an average job posting with 100 applicants.</w:t>
      </w:r>
    </w:p>
    <w:p w:rsidR="002552B8" w:rsidRDefault="002552B8" w:rsidP="002552B8">
      <w:pPr>
        <w:pStyle w:val="a3"/>
        <w:rPr>
          <w:kern w:val="0"/>
        </w:rPr>
      </w:pPr>
      <w:r>
        <w:rPr>
          <w:kern w:val="0"/>
        </w:rPr>
        <w:t xml:space="preserve">Keywords: Citation, Citation Analyses, Citation Count, </w:t>
      </w:r>
      <w:r w:rsidR="00D5664A">
        <w:rPr>
          <w:rFonts w:hint="eastAsia"/>
          <w:kern w:val="0"/>
        </w:rPr>
        <w:t>h Index</w:t>
      </w:r>
      <w:r>
        <w:rPr>
          <w:kern w:val="0"/>
        </w:rPr>
        <w:t xml:space="preserve">, </w:t>
      </w:r>
      <w:r w:rsidR="00D5664A">
        <w:rPr>
          <w:rFonts w:hint="eastAsia"/>
          <w:kern w:val="0"/>
        </w:rPr>
        <w:t>h-Index</w:t>
      </w:r>
      <w:r>
        <w:rPr>
          <w:kern w:val="0"/>
        </w:rPr>
        <w:t>, Metrics, Pagerank, Scientometrics, Techniques, Topic, Web Pages</w:t>
      </w:r>
    </w:p>
    <w:p w:rsidR="003474F2" w:rsidRPr="001A3D2B" w:rsidRDefault="003474F2" w:rsidP="003474F2">
      <w:pPr>
        <w:pStyle w:val="1"/>
      </w:pPr>
      <w:r w:rsidRPr="001A3D2B">
        <w:br w:type="page"/>
      </w:r>
      <w:bookmarkStart w:id="140" w:name="_Toc81215579"/>
      <w:bookmarkStart w:id="141" w:name="_Toc420814314"/>
      <w:r w:rsidRPr="001A3D2B">
        <w:lastRenderedPageBreak/>
        <w:t>Title: Advances in Consumer Research</w:t>
      </w:r>
      <w:bookmarkEnd w:id="140"/>
      <w:bookmarkEnd w:id="141"/>
    </w:p>
    <w:p w:rsidR="003474F2" w:rsidRPr="001A3D2B" w:rsidRDefault="003474F2" w:rsidP="003474F2">
      <w:pPr>
        <w:pStyle w:val="12"/>
      </w:pPr>
      <w:r w:rsidRPr="001A3D2B">
        <w:t xml:space="preserve">Full Journal Title: </w:t>
      </w:r>
      <w:hyperlink r:id="rId259" w:history="1">
        <w:r w:rsidRPr="001A3D2B">
          <w:rPr>
            <w:rStyle w:val="a5"/>
          </w:rPr>
          <w:t>Advances in Consumer Research</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624926" w:rsidRDefault="00624926" w:rsidP="003474F2">
      <w:pPr>
        <w:pStyle w:val="a3"/>
      </w:pPr>
      <w:r>
        <w:rPr>
          <w:rFonts w:hint="eastAsia"/>
        </w:rPr>
        <w:t>Notes: JJournal</w:t>
      </w:r>
    </w:p>
    <w:p w:rsidR="003474F2" w:rsidRPr="001A3D2B" w:rsidRDefault="003474F2" w:rsidP="003474F2">
      <w:pPr>
        <w:pStyle w:val="a3"/>
      </w:pPr>
      <w:r w:rsidRPr="001A3D2B">
        <w:t>Phillips, D.M., Baumgartner, H.</w:t>
      </w:r>
      <w:r w:rsidR="005853A9">
        <w:t xml:space="preserve"> and </w:t>
      </w:r>
      <w:r w:rsidRPr="001A3D2B">
        <w:t>Pieters, R. (1999), Influence in</w:t>
      </w:r>
      <w:r w:rsidR="003A1917">
        <w:t xml:space="preserve"> the </w:t>
      </w:r>
      <w:r w:rsidRPr="001A3D2B">
        <w:t>evolving citation network</w:t>
      </w:r>
      <w:r w:rsidR="00427468">
        <w:t xml:space="preserve"> of </w:t>
      </w:r>
      <w:r w:rsidR="003A1917">
        <w:t xml:space="preserve">the </w:t>
      </w:r>
      <w:r w:rsidRPr="00624926">
        <w:rPr>
          <w:i/>
        </w:rPr>
        <w:t>Journal</w:t>
      </w:r>
      <w:r w:rsidR="00427468">
        <w:rPr>
          <w:i/>
        </w:rPr>
        <w:t xml:space="preserve"> of </w:t>
      </w:r>
      <w:r w:rsidRPr="00624926">
        <w:rPr>
          <w:i/>
        </w:rPr>
        <w:t>Consumer Research</w:t>
      </w:r>
      <w:r w:rsidRPr="001A3D2B">
        <w:t xml:space="preserve">. </w:t>
      </w:r>
      <w:r w:rsidRPr="001A3D2B">
        <w:rPr>
          <w:i/>
          <w:iCs/>
        </w:rPr>
        <w:t>Advances in Consumer Research</w:t>
      </w:r>
      <w:r w:rsidRPr="001A3D2B">
        <w:t xml:space="preserve">, </w:t>
      </w:r>
      <w:r w:rsidRPr="001A3D2B">
        <w:rPr>
          <w:b/>
          <w:bCs/>
        </w:rPr>
        <w:t>26</w:t>
      </w:r>
      <w:r w:rsidRPr="001A3D2B">
        <w:t>, 203-210.</w:t>
      </w:r>
    </w:p>
    <w:p w:rsidR="003474F2" w:rsidRPr="001A3D2B" w:rsidRDefault="003474F2" w:rsidP="003474F2">
      <w:pPr>
        <w:pStyle w:val="a3"/>
      </w:pPr>
      <w:r w:rsidRPr="001A3D2B">
        <w:t xml:space="preserve">Full Text: </w:t>
      </w:r>
      <w:hyperlink r:id="rId260" w:history="1">
        <w:r w:rsidRPr="001A3D2B">
          <w:rPr>
            <w:rStyle w:val="a5"/>
          </w:rPr>
          <w:t>1999\Adv Con Res26, 203.pdf</w:t>
        </w:r>
      </w:hyperlink>
    </w:p>
    <w:p w:rsidR="003474F2" w:rsidRPr="001A3D2B" w:rsidRDefault="003474F2" w:rsidP="003474F2">
      <w:pPr>
        <w:pStyle w:val="a3"/>
      </w:pPr>
      <w:r w:rsidRPr="001A3D2B">
        <w:t>Abstract: We report a bibliometric study</w:t>
      </w:r>
      <w:r w:rsidR="00427468">
        <w:t xml:space="preserve"> of </w:t>
      </w:r>
      <w:r w:rsidRPr="001A3D2B">
        <w:t>27 journals with which</w:t>
      </w:r>
      <w:r w:rsidR="003A1917">
        <w:t xml:space="preserve"> the </w:t>
      </w:r>
      <w:r w:rsidRPr="001A3D2B">
        <w:t>Journal</w:t>
      </w:r>
      <w:r w:rsidR="00427468">
        <w:t xml:space="preserve"> of </w:t>
      </w:r>
      <w:r w:rsidRPr="001A3D2B">
        <w:t>Consumer Research (JCR) has had significant communication links over</w:t>
      </w:r>
      <w:r w:rsidR="003A1917">
        <w:t xml:space="preserve"> the </w:t>
      </w:r>
      <w:r w:rsidRPr="001A3D2B">
        <w:t>12-year period 1982 to 1993. Two issues that have not been considered in previous citation studies in marketing are addressed: how influential are journals,</w:t>
      </w:r>
      <w:r w:rsidR="005853A9">
        <w:t xml:space="preserve"> and </w:t>
      </w:r>
      <w:r w:rsidRPr="001A3D2B">
        <w:t>how does influence evolve over time?</w:t>
      </w:r>
      <w:r w:rsidR="003A1917">
        <w:t xml:space="preserve"> the </w:t>
      </w:r>
      <w:r w:rsidRPr="001A3D2B">
        <w:t>analyses indicate that a small set</w:t>
      </w:r>
      <w:r w:rsidR="00427468">
        <w:t xml:space="preserve"> of </w:t>
      </w:r>
      <w:r w:rsidRPr="001A3D2B">
        <w:t>marketing</w:t>
      </w:r>
      <w:r w:rsidR="005853A9">
        <w:t xml:space="preserve"> and </w:t>
      </w:r>
      <w:r w:rsidRPr="001A3D2B">
        <w:t>psychology journals wields a disproportionate amount</w:t>
      </w:r>
      <w:r w:rsidR="00427468">
        <w:t xml:space="preserve"> of </w:t>
      </w:r>
      <w:r w:rsidRPr="001A3D2B">
        <w:t>influence</w:t>
      </w:r>
      <w:r w:rsidR="005853A9">
        <w:t xml:space="preserve"> and </w:t>
      </w:r>
      <w:r w:rsidRPr="001A3D2B">
        <w:t>that</w:t>
      </w:r>
      <w:r w:rsidR="003A1917">
        <w:t xml:space="preserve"> the </w:t>
      </w:r>
      <w:r w:rsidRPr="001A3D2B">
        <w:t>influence</w:t>
      </w:r>
      <w:r w:rsidR="00427468">
        <w:t xml:space="preserve"> of </w:t>
      </w:r>
      <w:r w:rsidRPr="001A3D2B">
        <w:t>marketing journals is almost entirely confined to</w:t>
      </w:r>
      <w:r w:rsidR="003A1917">
        <w:t xml:space="preserve"> the </w:t>
      </w:r>
      <w:r w:rsidRPr="001A3D2B">
        <w:t>marketing field. Longitudinal analyses show substantial stability in</w:t>
      </w:r>
      <w:r w:rsidR="003A1917">
        <w:t xml:space="preserve"> the </w:t>
      </w:r>
      <w:r w:rsidRPr="001A3D2B">
        <w:t>network over</w:t>
      </w:r>
      <w:r w:rsidR="003A1917">
        <w:t xml:space="preserve"> the </w:t>
      </w:r>
      <w:r w:rsidRPr="001A3D2B">
        <w:t>12-year period, although JCR has clearly increased in influence</w:t>
      </w:r>
    </w:p>
    <w:p w:rsidR="003474F2" w:rsidRPr="001A3D2B" w:rsidRDefault="003474F2" w:rsidP="003474F2">
      <w:pPr>
        <w:pStyle w:val="a3"/>
      </w:pPr>
      <w:r w:rsidRPr="001A3D2B">
        <w:t>Keywords: Bibliometric, Citation, Index, Journals, Research</w:t>
      </w:r>
    </w:p>
    <w:p w:rsidR="00F85614" w:rsidRPr="00F219CA" w:rsidRDefault="00F85614" w:rsidP="00F85614">
      <w:pPr>
        <w:pStyle w:val="1"/>
      </w:pPr>
      <w:r w:rsidRPr="00F219CA">
        <w:br w:type="page"/>
      </w:r>
      <w:bookmarkStart w:id="142" w:name="_Toc420814315"/>
      <w:r w:rsidRPr="00F219CA">
        <w:lastRenderedPageBreak/>
        <w:t xml:space="preserve">Title: </w:t>
      </w:r>
      <w:r w:rsidRPr="00540931">
        <w:t>Advances in Data Analysis and Classification</w:t>
      </w:r>
      <w:bookmarkEnd w:id="142"/>
    </w:p>
    <w:p w:rsidR="00F85614" w:rsidRPr="00F219CA" w:rsidRDefault="00F85614" w:rsidP="00F85614">
      <w:pPr>
        <w:pStyle w:val="12"/>
      </w:pPr>
      <w:r w:rsidRPr="00F219CA">
        <w:t xml:space="preserve">Full Journal Title: </w:t>
      </w:r>
      <w:r w:rsidRPr="00540931">
        <w:rPr>
          <w:iCs/>
          <w:kern w:val="0"/>
        </w:rPr>
        <w:t>Advances in Data Analysis and Classification</w:t>
      </w:r>
    </w:p>
    <w:p w:rsidR="00F85614" w:rsidRPr="00F219CA" w:rsidRDefault="00F85614" w:rsidP="00F85614">
      <w:pPr>
        <w:pStyle w:val="12"/>
      </w:pPr>
      <w:r w:rsidRPr="00F219CA">
        <w:t xml:space="preserve">ISO Abbreviated Title: </w:t>
      </w:r>
    </w:p>
    <w:p w:rsidR="00F85614" w:rsidRPr="00F219CA" w:rsidRDefault="00F85614" w:rsidP="00F85614">
      <w:pPr>
        <w:pStyle w:val="12"/>
      </w:pPr>
      <w:r w:rsidRPr="00F219CA">
        <w:t xml:space="preserve">JCR Abbreviated Title: </w:t>
      </w:r>
    </w:p>
    <w:p w:rsidR="00F85614" w:rsidRPr="00F219CA" w:rsidRDefault="00F85614" w:rsidP="00F85614">
      <w:pPr>
        <w:pStyle w:val="12"/>
      </w:pPr>
      <w:r w:rsidRPr="00F219CA">
        <w:t xml:space="preserve">ISSN: </w:t>
      </w:r>
    </w:p>
    <w:p w:rsidR="00F85614" w:rsidRPr="00F219CA" w:rsidRDefault="00F85614" w:rsidP="00F85614">
      <w:pPr>
        <w:pStyle w:val="12"/>
      </w:pPr>
      <w:r w:rsidRPr="00F219CA">
        <w:t xml:space="preserve">Issues/Year: </w:t>
      </w:r>
    </w:p>
    <w:p w:rsidR="00F85614" w:rsidRPr="00F219CA" w:rsidRDefault="00F85614" w:rsidP="00F85614">
      <w:pPr>
        <w:pStyle w:val="12"/>
      </w:pPr>
      <w:r w:rsidRPr="00F219CA">
        <w:t xml:space="preserve">Journal Country/Territory: </w:t>
      </w:r>
    </w:p>
    <w:p w:rsidR="00F85614" w:rsidRPr="00F219CA" w:rsidRDefault="00F85614" w:rsidP="00F85614">
      <w:pPr>
        <w:pStyle w:val="12"/>
      </w:pPr>
      <w:r w:rsidRPr="00F219CA">
        <w:t xml:space="preserve">Language: </w:t>
      </w:r>
    </w:p>
    <w:p w:rsidR="00F85614" w:rsidRPr="00F219CA" w:rsidRDefault="00F85614" w:rsidP="00F85614">
      <w:pPr>
        <w:pStyle w:val="12"/>
      </w:pPr>
      <w:r w:rsidRPr="00F219CA">
        <w:t xml:space="preserve">Publisher: </w:t>
      </w:r>
    </w:p>
    <w:p w:rsidR="00F85614" w:rsidRPr="00F219CA" w:rsidRDefault="00F85614" w:rsidP="00F85614">
      <w:pPr>
        <w:pStyle w:val="12"/>
      </w:pPr>
      <w:r w:rsidRPr="00F219CA">
        <w:t xml:space="preserve">Publisher Address: </w:t>
      </w:r>
    </w:p>
    <w:p w:rsidR="00F85614" w:rsidRPr="00F219CA" w:rsidRDefault="00F85614" w:rsidP="00F85614">
      <w:pPr>
        <w:pStyle w:val="12"/>
      </w:pPr>
      <w:r w:rsidRPr="00F219CA">
        <w:t xml:space="preserve">Subject Categories: </w:t>
      </w:r>
    </w:p>
    <w:p w:rsidR="00F85614" w:rsidRPr="00F219CA" w:rsidRDefault="00F85614" w:rsidP="00F85614">
      <w:pPr>
        <w:pStyle w:val="12"/>
      </w:pPr>
      <w:r w:rsidRPr="00F219CA">
        <w:t xml:space="preserve">: Impact Factor </w:t>
      </w:r>
    </w:p>
    <w:p w:rsidR="00F85614" w:rsidRDefault="00F85614" w:rsidP="00F85614">
      <w:pPr>
        <w:pStyle w:val="a3"/>
        <w:rPr>
          <w:kern w:val="0"/>
        </w:rPr>
      </w:pPr>
      <w:r>
        <w:rPr>
          <w:rFonts w:hint="eastAsia"/>
          <w:kern w:val="0"/>
        </w:rPr>
        <w:t xml:space="preserve">? </w:t>
      </w:r>
      <w:r>
        <w:rPr>
          <w:kern w:val="0"/>
        </w:rPr>
        <w:t xml:space="preserve">Chen, M.L., Wang, H.W. and Qin, Z.F. (2015), Principal component analysis for probabilistic symbolic data: A more generic and accurate algorithm. </w:t>
      </w:r>
      <w:r w:rsidRPr="00540931">
        <w:rPr>
          <w:i/>
          <w:iCs/>
          <w:kern w:val="0"/>
        </w:rPr>
        <w:t>Advances in Data Analysis and Classification</w:t>
      </w:r>
      <w:r>
        <w:rPr>
          <w:kern w:val="0"/>
        </w:rPr>
        <w:t xml:space="preserve">, </w:t>
      </w:r>
      <w:r>
        <w:rPr>
          <w:b/>
          <w:bCs/>
          <w:kern w:val="0"/>
        </w:rPr>
        <w:t>9</w:t>
      </w:r>
      <w:r>
        <w:rPr>
          <w:kern w:val="0"/>
        </w:rPr>
        <w:t xml:space="preserve"> (1), 59-79.</w:t>
      </w:r>
    </w:p>
    <w:p w:rsidR="00F85614" w:rsidRPr="00F219CA" w:rsidRDefault="00F85614" w:rsidP="00F85614">
      <w:pPr>
        <w:pStyle w:val="a3"/>
      </w:pPr>
      <w:r w:rsidRPr="00F219CA">
        <w:t xml:space="preserve">Full Text: </w:t>
      </w:r>
      <w:hyperlink r:id="rId261" w:history="1">
        <w:r w:rsidRPr="00540931">
          <w:rPr>
            <w:rStyle w:val="a5"/>
          </w:rPr>
          <w:t>2015\Adv Dat Ana Cla9, 59.pdf</w:t>
        </w:r>
      </w:hyperlink>
    </w:p>
    <w:p w:rsidR="00F85614" w:rsidRDefault="00F85614" w:rsidP="00F85614">
      <w:pPr>
        <w:pStyle w:val="a3"/>
        <w:rPr>
          <w:kern w:val="0"/>
        </w:rPr>
      </w:pPr>
      <w:r>
        <w:rPr>
          <w:kern w:val="0"/>
        </w:rPr>
        <w:t>Abstract: In the symbolic data framework, probabilistic symbolic data are considered as those whose components are random variables with general probability distributions. Intervals (or uniform distributions), histograms (or empirical distributions), Gaussian distribution and Chi-squared distribution are all the special cases of them. The existing approaches devoted to the subject have a common shortcoming since they can not obtain the distributions of linear combinations (i.e., principal components) of random variables especially for not identically distributed ones. This paper will overcome the shortcoming by providing an exact probability density function for each principal component by using the inversion theorem. Further, the paper defines a covariance matrix for probabilistic symbolic data and presents a new principal component analysis based on this variance-covariance structure. The effectiveness of the proposed method is illustrated by a simulated numerical experiment, and two real-life cases including clustering of oils and fats data, and evaluation of indexed journals of Science Citation Index.</w:t>
      </w:r>
    </w:p>
    <w:p w:rsidR="00F85614" w:rsidRDefault="00F85614" w:rsidP="00F85614">
      <w:pPr>
        <w:pStyle w:val="a3"/>
        <w:rPr>
          <w:kern w:val="0"/>
        </w:rPr>
      </w:pPr>
      <w:r>
        <w:rPr>
          <w:kern w:val="0"/>
        </w:rPr>
        <w:t>Keywords: Algorithm, Analysis, Characteristic Function, Citation, Clustering, Data, Density, Distributed, Distribution, Effectiveness, Evaluation, Experiment, Framework, Function, General, Interval-Valued Data, Inversion, Journals, Mar, Matrix, Principal Component Analysis, Probabilistic Symbolic Data, Probability, Science, Science Citation Index, Si, Structure, Symbolic Data</w:t>
      </w:r>
    </w:p>
    <w:p w:rsidR="003474F2" w:rsidRPr="001A3D2B" w:rsidRDefault="003474F2" w:rsidP="003474F2">
      <w:pPr>
        <w:pStyle w:val="1"/>
      </w:pPr>
      <w:r w:rsidRPr="001A3D2B">
        <w:br w:type="page"/>
      </w:r>
      <w:bookmarkStart w:id="143" w:name="_Toc420814316"/>
      <w:r w:rsidRPr="001A3D2B">
        <w:lastRenderedPageBreak/>
        <w:t>Title: Advances in Earth Science</w:t>
      </w:r>
      <w:bookmarkEnd w:id="143"/>
    </w:p>
    <w:p w:rsidR="003474F2" w:rsidRPr="001A3D2B" w:rsidRDefault="003474F2" w:rsidP="003474F2">
      <w:pPr>
        <w:pStyle w:val="12"/>
      </w:pPr>
      <w:r w:rsidRPr="001A3D2B">
        <w:t xml:space="preserve">Full Journal Title: </w:t>
      </w:r>
      <w:hyperlink r:id="rId262" w:history="1">
        <w:r w:rsidRPr="001A3D2B">
          <w:rPr>
            <w:rStyle w:val="a5"/>
          </w:rPr>
          <w:t>Advances in Earth 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1001-8166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rPr>
          <w:szCs w:val="24"/>
        </w:rPr>
        <w:t>? Zhang, Z., Xu, X.F., Wang, W.D., Wang, X.C., Zhang, H.G., Leng, C.X.</w:t>
      </w:r>
      <w:r w:rsidR="005853A9">
        <w:rPr>
          <w:szCs w:val="24"/>
        </w:rPr>
        <w:t xml:space="preserve"> and </w:t>
      </w:r>
      <w:r w:rsidRPr="001A3D2B">
        <w:rPr>
          <w:szCs w:val="24"/>
        </w:rPr>
        <w:t>Hu, X.</w:t>
      </w:r>
      <w:r w:rsidRPr="001A3D2B">
        <w:t xml:space="preserve"> (2006), </w:t>
      </w:r>
      <w:r w:rsidRPr="001A3D2B">
        <w:rPr>
          <w:szCs w:val="24"/>
        </w:rPr>
        <w:t>A bibliometric analysis on</w:t>
      </w:r>
      <w:r w:rsidR="003A1917">
        <w:rPr>
          <w:szCs w:val="24"/>
        </w:rPr>
        <w:t xml:space="preserve"> the </w:t>
      </w:r>
      <w:r w:rsidRPr="001A3D2B">
        <w:rPr>
          <w:szCs w:val="24"/>
        </w:rPr>
        <w:t>priority areas in atmospheric sciences</w:t>
      </w:r>
      <w:r w:rsidRPr="001A3D2B">
        <w:t xml:space="preserve">. </w:t>
      </w:r>
      <w:r w:rsidRPr="001A3D2B">
        <w:rPr>
          <w:i/>
          <w:iCs/>
        </w:rPr>
        <w:t>Advances in Earth Science</w:t>
      </w:r>
      <w:r w:rsidRPr="001A3D2B">
        <w:t xml:space="preserve">, </w:t>
      </w:r>
      <w:r w:rsidRPr="001A3D2B">
        <w:rPr>
          <w:b/>
          <w:bCs/>
        </w:rPr>
        <w:t>21</w:t>
      </w:r>
      <w:r w:rsidRPr="001A3D2B">
        <w:t xml:space="preserve"> (7), 757-762.</w:t>
      </w:r>
    </w:p>
    <w:p w:rsidR="003474F2" w:rsidRPr="001A3D2B" w:rsidRDefault="003474F2" w:rsidP="003474F2">
      <w:pPr>
        <w:pStyle w:val="a3"/>
      </w:pPr>
      <w:r w:rsidRPr="001A3D2B">
        <w:t xml:space="preserve">Full Text: </w:t>
      </w:r>
      <w:hyperlink r:id="rId263" w:history="1">
        <w:r w:rsidRPr="001A3D2B">
          <w:rPr>
            <w:rStyle w:val="a5"/>
            <w:szCs w:val="24"/>
          </w:rPr>
          <w:t>2006\Adv Ear Sci21, 757.pdf</w:t>
        </w:r>
      </w:hyperlink>
    </w:p>
    <w:p w:rsidR="003474F2" w:rsidRPr="001A3D2B" w:rsidRDefault="003474F2" w:rsidP="003474F2">
      <w:pPr>
        <w:pStyle w:val="a3"/>
      </w:pPr>
      <w:r w:rsidRPr="001A3D2B">
        <w:t>Abstract:</w:t>
      </w:r>
      <w:r w:rsidRPr="001A3D2B">
        <w:rPr>
          <w:bCs/>
        </w:rPr>
        <w:t xml:space="preserve"> </w:t>
      </w:r>
      <w:r w:rsidRPr="001A3D2B">
        <w:t>Based on</w:t>
      </w:r>
      <w:r w:rsidR="003A1917">
        <w:t xml:space="preserve"> the </w:t>
      </w:r>
      <w:r w:rsidRPr="001A3D2B">
        <w:t>survey</w:t>
      </w:r>
      <w:r w:rsidR="00427468">
        <w:t xml:space="preserve"> of </w:t>
      </w:r>
      <w:r w:rsidR="003A1917">
        <w:t xml:space="preserve">the </w:t>
      </w:r>
      <w:r w:rsidRPr="001A3D2B">
        <w:t>domestic organizations in atmospheric sciences</w:t>
      </w:r>
      <w:r w:rsidR="005853A9">
        <w:t xml:space="preserve"> and </w:t>
      </w:r>
      <w:r w:rsidR="003A1917">
        <w:t xml:space="preserve">the </w:t>
      </w:r>
      <w:r w:rsidRPr="001A3D2B">
        <w:t>related areas, as well as</w:t>
      </w:r>
      <w:r w:rsidR="003A1917">
        <w:t xml:space="preserve"> the </w:t>
      </w:r>
      <w:r w:rsidRPr="001A3D2B">
        <w:t>recent papers</w:t>
      </w:r>
      <w:r w:rsidR="00427468">
        <w:t xml:space="preserve"> of </w:t>
      </w:r>
      <w:r w:rsidRPr="001A3D2B">
        <w:t>international</w:t>
      </w:r>
      <w:r w:rsidR="005853A9">
        <w:t xml:space="preserve"> and </w:t>
      </w:r>
      <w:r w:rsidRPr="001A3D2B">
        <w:t>Chinese journals</w:t>
      </w:r>
      <w:r w:rsidR="00427468">
        <w:t xml:space="preserve"> of </w:t>
      </w:r>
      <w:r w:rsidRPr="001A3D2B">
        <w:t>atmospheric sciences, a bibliometric analysis on priority areas in atmospheric sciences ismade</w:t>
      </w:r>
      <w:r w:rsidR="00A37C1D">
        <w:t>. The</w:t>
      </w:r>
      <w:r w:rsidR="003A1917">
        <w:t xml:space="preserve"> </w:t>
      </w:r>
      <w:r w:rsidRPr="001A3D2B">
        <w:t>study is conducted from 4 different aspects: domestic basis, national research hot issues, international hot issues</w:t>
      </w:r>
      <w:r w:rsidR="005853A9">
        <w:t xml:space="preserve"> and </w:t>
      </w:r>
      <w:r w:rsidRPr="001A3D2B">
        <w:t>domestic demand</w:t>
      </w:r>
      <w:r w:rsidR="00A37C1D">
        <w:t>. The</w:t>
      </w:r>
      <w:r w:rsidR="003A1917">
        <w:t xml:space="preserve"> </w:t>
      </w:r>
      <w:r w:rsidRPr="001A3D2B">
        <w:t>sequence</w:t>
      </w:r>
      <w:r w:rsidR="00427468">
        <w:t xml:space="preserve"> of </w:t>
      </w:r>
      <w:r w:rsidR="003A1917">
        <w:t xml:space="preserve">the </w:t>
      </w:r>
      <w:r w:rsidRPr="001A3D2B">
        <w:t>distinct atmospheric fields is collated by assigningweight based on various policy preferences</w:t>
      </w:r>
      <w:r w:rsidR="00A37C1D">
        <w:t>. The</w:t>
      </w:r>
      <w:r w:rsidR="003A1917">
        <w:t xml:space="preserve"> </w:t>
      </w:r>
      <w:r w:rsidRPr="001A3D2B">
        <w:t>analysis shows thatwhether</w:t>
      </w:r>
      <w:r w:rsidR="003A1917">
        <w:t xml:space="preserve"> the </w:t>
      </w:r>
      <w:r w:rsidRPr="001A3D2B">
        <w:t>basic research or</w:t>
      </w:r>
      <w:r w:rsidR="003A1917">
        <w:t xml:space="preserve"> the </w:t>
      </w:r>
      <w:r w:rsidRPr="001A3D2B">
        <w:t>applied research is emphasized, more returnsmay be obtained by giving priorities to weathermodification</w:t>
      </w:r>
      <w:r w:rsidR="005853A9">
        <w:t xml:space="preserve"> and </w:t>
      </w:r>
      <w:r w:rsidR="003A1917">
        <w:t xml:space="preserve">the </w:t>
      </w:r>
      <w:r w:rsidRPr="001A3D2B">
        <w:t>atmospheric physics. When scientific hot topics</w:t>
      </w:r>
      <w:r w:rsidR="005853A9">
        <w:t xml:space="preserve"> and </w:t>
      </w:r>
      <w:r w:rsidR="003A1917">
        <w:t xml:space="preserve">the </w:t>
      </w:r>
      <w:r w:rsidRPr="001A3D2B">
        <w:t>scientific frontiers are focused, we may acquire greater research achievements as climate system</w:t>
      </w:r>
      <w:r w:rsidR="005853A9">
        <w:t xml:space="preserve"> and </w:t>
      </w:r>
      <w:r w:rsidRPr="001A3D2B">
        <w:t>global change, weather dynamics</w:t>
      </w:r>
      <w:r w:rsidR="005853A9">
        <w:t xml:space="preserve"> and </w:t>
      </w:r>
      <w:r w:rsidRPr="001A3D2B">
        <w:t>weather forecast being given priorities. Giving priorities to comp rehensive sounding system</w:t>
      </w:r>
      <w:r w:rsidR="005853A9">
        <w:t xml:space="preserve"> and </w:t>
      </w:r>
      <w:r w:rsidRPr="001A3D2B">
        <w:t>atmospheric chemistry may bring more benefitswhen development demand</w:t>
      </w:r>
      <w:r w:rsidR="005853A9">
        <w:t xml:space="preserve"> and </w:t>
      </w:r>
      <w:r w:rsidR="003A1917">
        <w:t xml:space="preserve">the </w:t>
      </w:r>
      <w:r w:rsidRPr="001A3D2B">
        <w:t>scientific frontiers are stressed</w:t>
      </w:r>
      <w:r w:rsidR="00A37C1D">
        <w:t>. The</w:t>
      </w:r>
      <w:r w:rsidR="003A1917">
        <w:t xml:space="preserve"> </w:t>
      </w:r>
      <w:r w:rsidRPr="001A3D2B">
        <w:t>results provide abasis for better understanding</w:t>
      </w:r>
      <w:r w:rsidR="003A1917">
        <w:t xml:space="preserve"> the </w:t>
      </w:r>
      <w:r w:rsidRPr="001A3D2B">
        <w:t>development situation</w:t>
      </w:r>
      <w:r w:rsidR="00427468">
        <w:t xml:space="preserve"> of </w:t>
      </w:r>
      <w:r w:rsidRPr="001A3D2B">
        <w:t xml:space="preserve">atmospheric sciences in </w:t>
      </w:r>
      <w:r w:rsidR="00CC4A3D" w:rsidRPr="001A3D2B">
        <w:t>China</w:t>
      </w:r>
      <w:r w:rsidRPr="001A3D2B">
        <w:t>, establishing medium</w:t>
      </w:r>
      <w:r w:rsidR="005853A9">
        <w:t xml:space="preserve"> and </w:t>
      </w:r>
      <w:r w:rsidRPr="001A3D2B">
        <w:t>long term strategies</w:t>
      </w:r>
      <w:r w:rsidR="00427468">
        <w:t xml:space="preserve"> of </w:t>
      </w:r>
      <w:r w:rsidRPr="001A3D2B">
        <w:t>atmospheric sciences, as well as develop ing p riority strategies for 11th five year plan.</w:t>
      </w:r>
    </w:p>
    <w:p w:rsidR="003474F2" w:rsidRPr="001A3D2B" w:rsidRDefault="003474F2" w:rsidP="003474F2">
      <w:pPr>
        <w:pStyle w:val="a3"/>
      </w:pPr>
      <w:r w:rsidRPr="001A3D2B">
        <w:t xml:space="preserve">Keywords: </w:t>
      </w:r>
      <w:r w:rsidRPr="001A3D2B">
        <w:rPr>
          <w:szCs w:val="24"/>
        </w:rPr>
        <w:t>Atmospheric Sciences, Priority Areas, Bibliometric Analysis</w:t>
      </w:r>
    </w:p>
    <w:p w:rsidR="003474F2" w:rsidRPr="001A3D2B" w:rsidRDefault="003474F2" w:rsidP="003474F2">
      <w:pPr>
        <w:pStyle w:val="1"/>
      </w:pPr>
      <w:r w:rsidRPr="001A3D2B">
        <w:br w:type="page"/>
      </w:r>
      <w:bookmarkStart w:id="144" w:name="_Toc420814317"/>
      <w:r w:rsidRPr="001A3D2B">
        <w:lastRenderedPageBreak/>
        <w:t>Title: Advances in Gerontology</w:t>
      </w:r>
      <w:bookmarkEnd w:id="144"/>
    </w:p>
    <w:p w:rsidR="003474F2" w:rsidRPr="001A3D2B" w:rsidRDefault="003474F2" w:rsidP="003474F2">
      <w:pPr>
        <w:pStyle w:val="12"/>
      </w:pPr>
      <w:r w:rsidRPr="001A3D2B">
        <w:t>Full Journal Title: Advances in Gerontology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Anisimov, V.N. (2007), [Ten year jubilee</w:t>
      </w:r>
      <w:r w:rsidR="00427468">
        <w:t xml:space="preserve"> of </w:t>
      </w:r>
      <w:r w:rsidR="003A1917">
        <w:t xml:space="preserve">the </w:t>
      </w:r>
      <w:r w:rsidRPr="001A3D2B">
        <w:t xml:space="preserve">journal </w:t>
      </w:r>
      <w:r w:rsidR="00B5188C">
        <w:t>“</w:t>
      </w:r>
      <w:r w:rsidRPr="001A3D2B">
        <w:t>Advances in Gerontology</w:t>
      </w:r>
      <w:r w:rsidR="00B5188C">
        <w:t>”</w:t>
      </w:r>
      <w:r w:rsidRPr="001A3D2B">
        <w:t xml:space="preserve">]. </w:t>
      </w:r>
      <w:r w:rsidRPr="001A3D2B">
        <w:rPr>
          <w:i/>
          <w:iCs/>
        </w:rPr>
        <w:t>Advances in Gerontology</w:t>
      </w:r>
      <w:r w:rsidRPr="001A3D2B">
        <w:t xml:space="preserve">, </w:t>
      </w:r>
      <w:r w:rsidRPr="001A3D2B">
        <w:rPr>
          <w:b/>
          <w:bCs/>
        </w:rPr>
        <w:t>20</w:t>
      </w:r>
      <w:r w:rsidRPr="001A3D2B">
        <w:t xml:space="preserve"> (4), 9-15.</w:t>
      </w:r>
    </w:p>
    <w:p w:rsidR="003474F2" w:rsidRPr="001A3D2B" w:rsidRDefault="003474F2" w:rsidP="003474F2">
      <w:pPr>
        <w:pStyle w:val="a3"/>
      </w:pPr>
      <w:r w:rsidRPr="001A3D2B">
        <w:t>Abstract:</w:t>
      </w:r>
      <w:r w:rsidR="003A1917">
        <w:t xml:space="preserve"> the </w:t>
      </w:r>
      <w:r w:rsidRPr="001A3D2B">
        <w:t>article presents</w:t>
      </w:r>
      <w:r w:rsidR="003A1917">
        <w:t xml:space="preserve"> the </w:t>
      </w:r>
      <w:r w:rsidRPr="001A3D2B">
        <w:t>report</w:t>
      </w:r>
      <w:r w:rsidR="00427468">
        <w:t xml:space="preserve"> of </w:t>
      </w:r>
      <w:r w:rsidR="003A1917">
        <w:t xml:space="preserve">the </w:t>
      </w:r>
      <w:r w:rsidRPr="001A3D2B">
        <w:t>editorial board</w:t>
      </w:r>
      <w:r w:rsidR="00427468">
        <w:t xml:space="preserve"> of </w:t>
      </w:r>
      <w:r w:rsidR="003A1917">
        <w:t xml:space="preserve">the </w:t>
      </w:r>
      <w:r w:rsidRPr="001A3D2B">
        <w:t xml:space="preserve">journal </w:t>
      </w:r>
      <w:r w:rsidR="00B5188C">
        <w:t>“</w:t>
      </w:r>
      <w:r w:rsidRPr="001A3D2B">
        <w:t>Advances in Gerontology</w:t>
      </w:r>
      <w:r w:rsidR="00B5188C">
        <w:t>”</w:t>
      </w:r>
      <w:r w:rsidRPr="001A3D2B">
        <w:t xml:space="preserve"> devoted to 10th anniversary since</w:t>
      </w:r>
      <w:r w:rsidR="003A1917">
        <w:t xml:space="preserve"> the </w:t>
      </w:r>
      <w:r w:rsidRPr="001A3D2B">
        <w:t>first publication. Analysis</w:t>
      </w:r>
      <w:r w:rsidR="00427468">
        <w:t xml:space="preserve"> of </w:t>
      </w:r>
      <w:r w:rsidRPr="001A3D2B">
        <w:t>character</w:t>
      </w:r>
      <w:r w:rsidR="00427468">
        <w:t xml:space="preserve"> of </w:t>
      </w:r>
      <w:r w:rsidR="003A1917">
        <w:t xml:space="preserve">the </w:t>
      </w:r>
      <w:r w:rsidRPr="001A3D2B">
        <w:t>articles printed during last 5 years has been given, including their distribution by geography, departmental membership,</w:t>
      </w:r>
      <w:r w:rsidR="005853A9">
        <w:t xml:space="preserve"> and </w:t>
      </w:r>
      <w:r w:rsidRPr="001A3D2B">
        <w:t>science themes. Geographic widening</w:t>
      </w:r>
      <w:r w:rsidR="00427468">
        <w:t xml:space="preserve"> of </w:t>
      </w:r>
      <w:r w:rsidR="003A1917">
        <w:t xml:space="preserve">the </w:t>
      </w:r>
      <w:r w:rsidRPr="001A3D2B">
        <w:t>publications, increasing</w:t>
      </w:r>
      <w:r w:rsidR="00427468">
        <w:t xml:space="preserve"> of </w:t>
      </w:r>
      <w:r w:rsidRPr="001A3D2B">
        <w:t>number</w:t>
      </w:r>
      <w:r w:rsidR="00427468">
        <w:t xml:space="preserve"> of </w:t>
      </w:r>
      <w:r w:rsidRPr="001A3D2B">
        <w:t>institutions delivering</w:t>
      </w:r>
      <w:r w:rsidR="003A1917">
        <w:t xml:space="preserve"> the </w:t>
      </w:r>
      <w:r w:rsidRPr="001A3D2B">
        <w:t>articles</w:t>
      </w:r>
      <w:r w:rsidR="005853A9">
        <w:t xml:space="preserve"> and</w:t>
      </w:r>
      <w:r w:rsidR="00427468">
        <w:t xml:space="preserve"> of </w:t>
      </w:r>
      <w:r w:rsidRPr="001A3D2B">
        <w:t>number</w:t>
      </w:r>
      <w:r w:rsidR="00427468">
        <w:t xml:space="preserve"> of </w:t>
      </w:r>
      <w:r w:rsidRPr="001A3D2B">
        <w:t>articles as well as number</w:t>
      </w:r>
      <w:r w:rsidR="00427468">
        <w:t xml:space="preserve"> of </w:t>
      </w:r>
      <w:r w:rsidR="003A1917">
        <w:t xml:space="preserve">the </w:t>
      </w:r>
      <w:r w:rsidRPr="001A3D2B">
        <w:t>authors has been shown</w:t>
      </w:r>
      <w:r w:rsidR="00A37C1D">
        <w:t>. The</w:t>
      </w:r>
      <w:r w:rsidRPr="001A3D2B">
        <w:t>se showings are</w:t>
      </w:r>
      <w:r w:rsidR="003A1917">
        <w:t xml:space="preserve"> the </w:t>
      </w:r>
      <w:r w:rsidRPr="001A3D2B">
        <w:t>evidence</w:t>
      </w:r>
      <w:r w:rsidR="00427468">
        <w:t xml:space="preserve"> of </w:t>
      </w:r>
      <w:r w:rsidR="003A1917">
        <w:t xml:space="preserve">the </w:t>
      </w:r>
      <w:r w:rsidRPr="001A3D2B">
        <w:t>fact that gerontology attracts more</w:t>
      </w:r>
      <w:r w:rsidR="005853A9">
        <w:t xml:space="preserve"> and </w:t>
      </w:r>
      <w:r w:rsidRPr="001A3D2B">
        <w:t>more attention</w:t>
      </w:r>
      <w:r w:rsidR="00427468">
        <w:t xml:space="preserve"> of </w:t>
      </w:r>
      <w:r w:rsidR="003A1917">
        <w:t xml:space="preserve">the </w:t>
      </w:r>
      <w:r w:rsidRPr="001A3D2B">
        <w:t>specialists.</w:t>
      </w:r>
    </w:p>
    <w:p w:rsidR="003474F2" w:rsidRPr="001A3D2B" w:rsidRDefault="003474F2" w:rsidP="003474F2">
      <w:pPr>
        <w:pStyle w:val="a3"/>
      </w:pPr>
      <w:r w:rsidRPr="001A3D2B">
        <w:t>Keywords: Evidence, First, Gerontology, Institutions, Journal, Publication, Publications, Science</w:t>
      </w:r>
    </w:p>
    <w:p w:rsidR="006C2543" w:rsidRPr="001A3D2B" w:rsidRDefault="006C2543" w:rsidP="006C2543">
      <w:pPr>
        <w:pStyle w:val="1"/>
      </w:pPr>
      <w:r w:rsidRPr="001A3D2B">
        <w:br w:type="page"/>
      </w:r>
      <w:bookmarkStart w:id="145" w:name="_Toc420814318"/>
      <w:r w:rsidRPr="001A3D2B">
        <w:lastRenderedPageBreak/>
        <w:t>Title: Advances in Knowledge Discovery</w:t>
      </w:r>
      <w:r w:rsidR="005853A9">
        <w:t xml:space="preserve"> and </w:t>
      </w:r>
      <w:r w:rsidRPr="001A3D2B">
        <w:t>Data Mining, Proceedings</w:t>
      </w:r>
      <w:bookmarkEnd w:id="145"/>
    </w:p>
    <w:p w:rsidR="006C2543" w:rsidRPr="001A3D2B" w:rsidRDefault="006C2543" w:rsidP="006C2543">
      <w:pPr>
        <w:pStyle w:val="12"/>
      </w:pPr>
      <w:r w:rsidRPr="001A3D2B">
        <w:t xml:space="preserve">Full Journal Title: </w:t>
      </w:r>
      <w:r w:rsidRPr="001A3D2B">
        <w:rPr>
          <w:kern w:val="0"/>
        </w:rPr>
        <w:t>Advances in Knowledge Discovery</w:t>
      </w:r>
      <w:r w:rsidR="005853A9">
        <w:rPr>
          <w:kern w:val="0"/>
        </w:rPr>
        <w:t xml:space="preserve"> and </w:t>
      </w:r>
      <w:r w:rsidRPr="001A3D2B">
        <w:rPr>
          <w:kern w:val="0"/>
        </w:rPr>
        <w:t>Data Mining, Proceedings</w:t>
      </w:r>
    </w:p>
    <w:p w:rsidR="006C2543" w:rsidRPr="001A3D2B" w:rsidRDefault="006C2543" w:rsidP="006C2543">
      <w:pPr>
        <w:pStyle w:val="12"/>
      </w:pPr>
      <w:r w:rsidRPr="001A3D2B">
        <w:t xml:space="preserve">ISO Abbreviated Title: </w:t>
      </w:r>
    </w:p>
    <w:p w:rsidR="006C2543" w:rsidRPr="001A3D2B" w:rsidRDefault="006C2543" w:rsidP="006C2543">
      <w:pPr>
        <w:pStyle w:val="12"/>
      </w:pPr>
      <w:r w:rsidRPr="001A3D2B">
        <w:t xml:space="preserve">JCR Abbreviated Title: </w:t>
      </w:r>
    </w:p>
    <w:p w:rsidR="006C2543" w:rsidRPr="001A3D2B" w:rsidRDefault="006C2543" w:rsidP="006C2543">
      <w:pPr>
        <w:pStyle w:val="12"/>
      </w:pPr>
      <w:r w:rsidRPr="001A3D2B">
        <w:t xml:space="preserve">ISSN: </w:t>
      </w:r>
    </w:p>
    <w:p w:rsidR="006C2543" w:rsidRPr="001A3D2B" w:rsidRDefault="006C2543" w:rsidP="006C2543">
      <w:pPr>
        <w:pStyle w:val="12"/>
      </w:pPr>
      <w:r w:rsidRPr="001A3D2B">
        <w:t xml:space="preserve">Issues/Year: </w:t>
      </w:r>
    </w:p>
    <w:p w:rsidR="006C2543" w:rsidRPr="001A3D2B" w:rsidRDefault="00AA25A4" w:rsidP="006C2543">
      <w:pPr>
        <w:pStyle w:val="12"/>
      </w:pPr>
      <w:r w:rsidRPr="001A3D2B">
        <w:t>Journal Country/Territory:</w:t>
      </w:r>
      <w:r w:rsidR="006C2543" w:rsidRPr="001A3D2B">
        <w:t xml:space="preserve"> </w:t>
      </w:r>
    </w:p>
    <w:p w:rsidR="006C2543" w:rsidRPr="001A3D2B" w:rsidRDefault="006C2543" w:rsidP="006C2543">
      <w:pPr>
        <w:pStyle w:val="12"/>
      </w:pPr>
      <w:r w:rsidRPr="001A3D2B">
        <w:t xml:space="preserve">Language: </w:t>
      </w:r>
    </w:p>
    <w:p w:rsidR="006C2543" w:rsidRPr="001A3D2B" w:rsidRDefault="006C2543" w:rsidP="006C2543">
      <w:pPr>
        <w:pStyle w:val="12"/>
      </w:pPr>
      <w:r w:rsidRPr="001A3D2B">
        <w:t xml:space="preserve">Publisher: </w:t>
      </w:r>
    </w:p>
    <w:p w:rsidR="006C2543" w:rsidRPr="001A3D2B" w:rsidRDefault="006C2543" w:rsidP="006C2543">
      <w:pPr>
        <w:pStyle w:val="12"/>
      </w:pPr>
      <w:r w:rsidRPr="001A3D2B">
        <w:t xml:space="preserve">Publisher Address: </w:t>
      </w:r>
    </w:p>
    <w:p w:rsidR="006C2543" w:rsidRPr="001A3D2B" w:rsidRDefault="006C2543" w:rsidP="006C2543">
      <w:pPr>
        <w:pStyle w:val="12"/>
      </w:pPr>
      <w:r w:rsidRPr="001A3D2B">
        <w:t xml:space="preserve">Subject Categories: </w:t>
      </w:r>
    </w:p>
    <w:p w:rsidR="006C2543" w:rsidRPr="001A3D2B" w:rsidRDefault="006C2543" w:rsidP="006C2543">
      <w:pPr>
        <w:pStyle w:val="12"/>
      </w:pPr>
      <w:r w:rsidRPr="001A3D2B">
        <w:t xml:space="preserve">: Impact Factor </w:t>
      </w:r>
    </w:p>
    <w:p w:rsidR="006C2543" w:rsidRPr="001A3D2B" w:rsidRDefault="006C2543" w:rsidP="006C2543">
      <w:pPr>
        <w:pStyle w:val="a3"/>
        <w:rPr>
          <w:kern w:val="0"/>
        </w:rPr>
      </w:pPr>
      <w:r w:rsidRPr="001A3D2B">
        <w:rPr>
          <w:kern w:val="0"/>
        </w:rPr>
        <w:t>? Qian, T.Y., Srivastava, J., Peng, Z.Y.</w:t>
      </w:r>
      <w:r w:rsidR="005853A9">
        <w:rPr>
          <w:kern w:val="0"/>
        </w:rPr>
        <w:t xml:space="preserve"> and </w:t>
      </w:r>
      <w:r w:rsidRPr="001A3D2B">
        <w:rPr>
          <w:kern w:val="0"/>
        </w:rPr>
        <w:t>Sheu, P.C.Y. (2009), Simultaneously finding fundamental articles</w:t>
      </w:r>
      <w:r w:rsidR="005853A9">
        <w:rPr>
          <w:kern w:val="0"/>
        </w:rPr>
        <w:t xml:space="preserve"> and </w:t>
      </w:r>
      <w:r w:rsidRPr="001A3D2B">
        <w:rPr>
          <w:kern w:val="0"/>
        </w:rPr>
        <w:t xml:space="preserve">new topics using a community tracking method. </w:t>
      </w:r>
      <w:r w:rsidRPr="001A3D2B">
        <w:rPr>
          <w:i/>
          <w:iCs/>
          <w:kern w:val="0"/>
        </w:rPr>
        <w:t>Advances in Knowledge Discovery</w:t>
      </w:r>
      <w:r w:rsidR="005853A9">
        <w:rPr>
          <w:i/>
          <w:iCs/>
          <w:kern w:val="0"/>
        </w:rPr>
        <w:t xml:space="preserve"> and </w:t>
      </w:r>
      <w:r w:rsidRPr="001A3D2B">
        <w:rPr>
          <w:i/>
          <w:iCs/>
          <w:kern w:val="0"/>
        </w:rPr>
        <w:t>Data Mining, Proceedings</w:t>
      </w:r>
      <w:r w:rsidRPr="001A3D2B">
        <w:rPr>
          <w:kern w:val="0"/>
        </w:rPr>
        <w:t xml:space="preserve">, </w:t>
      </w:r>
      <w:r w:rsidRPr="001A3D2B">
        <w:rPr>
          <w:b/>
          <w:bCs/>
          <w:kern w:val="0"/>
        </w:rPr>
        <w:t>5476</w:t>
      </w:r>
      <w:r w:rsidRPr="001A3D2B">
        <w:rPr>
          <w:kern w:val="0"/>
        </w:rPr>
        <w:t>, 796-803.</w:t>
      </w:r>
    </w:p>
    <w:p w:rsidR="006C2543" w:rsidRPr="001A3D2B" w:rsidRDefault="006C2543" w:rsidP="006C2543">
      <w:pPr>
        <w:pStyle w:val="a3"/>
        <w:rPr>
          <w:kern w:val="0"/>
        </w:rPr>
      </w:pPr>
      <w:r w:rsidRPr="001A3D2B">
        <w:rPr>
          <w:kern w:val="0"/>
        </w:rPr>
        <w:t>Abstract: In this paper, we study</w:t>
      </w:r>
      <w:r w:rsidR="003A1917">
        <w:rPr>
          <w:kern w:val="0"/>
        </w:rPr>
        <w:t xml:space="preserve"> the </w:t>
      </w:r>
      <w:r w:rsidRPr="001A3D2B">
        <w:rPr>
          <w:kern w:val="0"/>
        </w:rPr>
        <w:t>relationship between fundamental articles</w:t>
      </w:r>
      <w:r w:rsidR="005853A9">
        <w:rPr>
          <w:kern w:val="0"/>
        </w:rPr>
        <w:t xml:space="preserve"> and </w:t>
      </w:r>
      <w:r w:rsidRPr="001A3D2B">
        <w:rPr>
          <w:kern w:val="0"/>
        </w:rPr>
        <w:t>new topics</w:t>
      </w:r>
      <w:r w:rsidR="005853A9">
        <w:rPr>
          <w:kern w:val="0"/>
        </w:rPr>
        <w:t xml:space="preserve"> and </w:t>
      </w:r>
      <w:r w:rsidRPr="001A3D2B">
        <w:rPr>
          <w:kern w:val="0"/>
        </w:rPr>
        <w:t>present a new method to detect recently formed topics</w:t>
      </w:r>
      <w:r w:rsidR="005853A9">
        <w:rPr>
          <w:kern w:val="0"/>
        </w:rPr>
        <w:t xml:space="preserve"> and </w:t>
      </w:r>
      <w:r w:rsidRPr="001A3D2B">
        <w:rPr>
          <w:kern w:val="0"/>
        </w:rPr>
        <w:t>its typical articles simultaneously. Based on community partition,</w:t>
      </w:r>
      <w:r w:rsidR="003A1917">
        <w:rPr>
          <w:kern w:val="0"/>
        </w:rPr>
        <w:t xml:space="preserve"> the </w:t>
      </w:r>
      <w:r w:rsidRPr="001A3D2B">
        <w:rPr>
          <w:kern w:val="0"/>
        </w:rPr>
        <w:t>proposed method first identifies</w:t>
      </w:r>
      <w:r w:rsidR="003A1917">
        <w:rPr>
          <w:kern w:val="0"/>
        </w:rPr>
        <w:t xml:space="preserve"> the </w:t>
      </w:r>
      <w:r w:rsidRPr="001A3D2B">
        <w:rPr>
          <w:kern w:val="0"/>
        </w:rPr>
        <w:t>emergence</w:t>
      </w:r>
      <w:r w:rsidR="00427468">
        <w:rPr>
          <w:kern w:val="0"/>
        </w:rPr>
        <w:t xml:space="preserve"> of </w:t>
      </w:r>
      <w:r w:rsidRPr="001A3D2B">
        <w:rPr>
          <w:kern w:val="0"/>
        </w:rPr>
        <w:t>a new theme by tracking</w:t>
      </w:r>
      <w:r w:rsidR="003A1917">
        <w:rPr>
          <w:kern w:val="0"/>
        </w:rPr>
        <w:t xml:space="preserve"> the </w:t>
      </w:r>
      <w:r w:rsidRPr="001A3D2B">
        <w:rPr>
          <w:kern w:val="0"/>
        </w:rPr>
        <w:t>change</w:t>
      </w:r>
      <w:r w:rsidR="00427468">
        <w:rPr>
          <w:kern w:val="0"/>
        </w:rPr>
        <w:t xml:space="preserve"> of </w:t>
      </w:r>
      <w:r w:rsidR="003A1917">
        <w:rPr>
          <w:kern w:val="0"/>
        </w:rPr>
        <w:t xml:space="preserve">the </w:t>
      </w:r>
      <w:r w:rsidRPr="001A3D2B">
        <w:rPr>
          <w:kern w:val="0"/>
        </w:rPr>
        <w:t>community where</w:t>
      </w:r>
      <w:r w:rsidR="003A1917">
        <w:rPr>
          <w:kern w:val="0"/>
        </w:rPr>
        <w:t xml:space="preserve"> the </w:t>
      </w:r>
      <w:r w:rsidRPr="001A3D2B">
        <w:rPr>
          <w:kern w:val="0"/>
        </w:rPr>
        <w:t>top cited nodes lie. Next,</w:t>
      </w:r>
      <w:r w:rsidR="003A1917">
        <w:rPr>
          <w:kern w:val="0"/>
        </w:rPr>
        <w:t xml:space="preserve"> the </w:t>
      </w:r>
      <w:r w:rsidRPr="001A3D2B">
        <w:rPr>
          <w:kern w:val="0"/>
        </w:rPr>
        <w:t>paper with a high citation number belonging to this new topic is recognized as a fundamental article. Experimental results on real dataset show that our method can detect new topics with only a subset</w:t>
      </w:r>
      <w:r w:rsidR="00427468">
        <w:rPr>
          <w:kern w:val="0"/>
        </w:rPr>
        <w:t xml:space="preserve"> of </w:t>
      </w:r>
      <w:r w:rsidRPr="001A3D2B">
        <w:rPr>
          <w:kern w:val="0"/>
        </w:rPr>
        <w:t>data in a timely manner,</w:t>
      </w:r>
      <w:r w:rsidR="005853A9">
        <w:rPr>
          <w:kern w:val="0"/>
        </w:rPr>
        <w:t xml:space="preserve"> and </w:t>
      </w:r>
      <w:r w:rsidR="003A1917">
        <w:rPr>
          <w:kern w:val="0"/>
        </w:rPr>
        <w:t xml:space="preserve">the </w:t>
      </w:r>
      <w:r w:rsidRPr="001A3D2B">
        <w:rPr>
          <w:kern w:val="0"/>
        </w:rPr>
        <w:t>identified papers for these topics are found to have a long lifespan</w:t>
      </w:r>
      <w:r w:rsidR="005853A9">
        <w:rPr>
          <w:kern w:val="0"/>
        </w:rPr>
        <w:t xml:space="preserve"> and </w:t>
      </w:r>
      <w:r w:rsidRPr="001A3D2B">
        <w:rPr>
          <w:kern w:val="0"/>
        </w:rPr>
        <w:t>keep receiving citations in</w:t>
      </w:r>
      <w:r w:rsidR="003A1917">
        <w:rPr>
          <w:kern w:val="0"/>
        </w:rPr>
        <w:t xml:space="preserve"> the </w:t>
      </w:r>
      <w:r w:rsidRPr="001A3D2B">
        <w:rPr>
          <w:kern w:val="0"/>
        </w:rPr>
        <w:t>future.</w:t>
      </w:r>
    </w:p>
    <w:p w:rsidR="006C2543" w:rsidRPr="001A3D2B" w:rsidRDefault="006C2543" w:rsidP="006C2543">
      <w:pPr>
        <w:pStyle w:val="a3"/>
        <w:rPr>
          <w:kern w:val="0"/>
        </w:rPr>
      </w:pPr>
      <w:r w:rsidRPr="001A3D2B">
        <w:rPr>
          <w:kern w:val="0"/>
        </w:rPr>
        <w:t>Keywords: Citation, Citations, Community Tracking, Fundamental Article Finding, New Topic Identification</w:t>
      </w:r>
    </w:p>
    <w:p w:rsidR="008A3731" w:rsidRPr="00F219CA" w:rsidRDefault="008A3731" w:rsidP="008A3731">
      <w:pPr>
        <w:pStyle w:val="1"/>
      </w:pPr>
      <w:r w:rsidRPr="00F219CA">
        <w:br w:type="page"/>
      </w:r>
      <w:bookmarkStart w:id="146" w:name="_Toc293313732"/>
      <w:bookmarkStart w:id="147" w:name="_Toc420814319"/>
      <w:r w:rsidRPr="00F219CA">
        <w:lastRenderedPageBreak/>
        <w:t>Title: Advances in Management</w:t>
      </w:r>
      <w:r w:rsidR="00427468">
        <w:t xml:space="preserve"> of </w:t>
      </w:r>
      <w:r w:rsidRPr="00F219CA">
        <w:t>Technology</w:t>
      </w:r>
      <w:bookmarkEnd w:id="146"/>
      <w:bookmarkEnd w:id="147"/>
    </w:p>
    <w:p w:rsidR="008A3731" w:rsidRPr="00F219CA" w:rsidRDefault="008A3731" w:rsidP="008A3731">
      <w:pPr>
        <w:pStyle w:val="12"/>
      </w:pPr>
      <w:r w:rsidRPr="00F219CA">
        <w:t>Full Journal Title: Advances in Management</w:t>
      </w:r>
      <w:r w:rsidR="00427468">
        <w:t xml:space="preserve"> of </w:t>
      </w:r>
      <w:r w:rsidRPr="00F219CA">
        <w:t>Technology</w:t>
      </w:r>
    </w:p>
    <w:p w:rsidR="008A3731" w:rsidRPr="00F219CA" w:rsidRDefault="008A3731" w:rsidP="008A3731">
      <w:pPr>
        <w:pStyle w:val="12"/>
      </w:pPr>
      <w:r w:rsidRPr="00F219CA">
        <w:t xml:space="preserve">ISO Abbreviated Title: </w:t>
      </w:r>
    </w:p>
    <w:p w:rsidR="008A3731" w:rsidRPr="00F219CA" w:rsidRDefault="008A3731" w:rsidP="008A3731">
      <w:pPr>
        <w:pStyle w:val="12"/>
      </w:pPr>
      <w:r w:rsidRPr="00F219CA">
        <w:t xml:space="preserve">JCR Abbreviated Title: </w:t>
      </w:r>
    </w:p>
    <w:p w:rsidR="008A3731" w:rsidRPr="00F219CA" w:rsidRDefault="008A3731" w:rsidP="008A3731">
      <w:pPr>
        <w:pStyle w:val="12"/>
      </w:pPr>
      <w:r w:rsidRPr="00F219CA">
        <w:t xml:space="preserve">ISSN: </w:t>
      </w:r>
    </w:p>
    <w:p w:rsidR="008A3731" w:rsidRPr="00F219CA" w:rsidRDefault="008A3731" w:rsidP="008A3731">
      <w:pPr>
        <w:pStyle w:val="12"/>
      </w:pPr>
      <w:r w:rsidRPr="00F219CA">
        <w:t xml:space="preserve">Issues/Year: </w:t>
      </w:r>
    </w:p>
    <w:p w:rsidR="008A3731" w:rsidRPr="00F219CA" w:rsidRDefault="008A3731" w:rsidP="008A3731">
      <w:pPr>
        <w:pStyle w:val="12"/>
      </w:pPr>
      <w:r w:rsidRPr="00F219CA">
        <w:t xml:space="preserve">Journal Country/Territory: </w:t>
      </w:r>
    </w:p>
    <w:p w:rsidR="008A3731" w:rsidRPr="00F219CA" w:rsidRDefault="008A3731" w:rsidP="008A3731">
      <w:pPr>
        <w:pStyle w:val="12"/>
      </w:pPr>
      <w:r w:rsidRPr="00F219CA">
        <w:t xml:space="preserve">Language: </w:t>
      </w:r>
    </w:p>
    <w:p w:rsidR="008A3731" w:rsidRPr="00F219CA" w:rsidRDefault="008A3731" w:rsidP="008A3731">
      <w:pPr>
        <w:pStyle w:val="12"/>
      </w:pPr>
      <w:r w:rsidRPr="00F219CA">
        <w:t xml:space="preserve">Publisher: </w:t>
      </w:r>
    </w:p>
    <w:p w:rsidR="008A3731" w:rsidRPr="00F219CA" w:rsidRDefault="008A3731" w:rsidP="008A3731">
      <w:pPr>
        <w:pStyle w:val="12"/>
      </w:pPr>
      <w:r w:rsidRPr="00F219CA">
        <w:t xml:space="preserve">Publisher Address: </w:t>
      </w:r>
    </w:p>
    <w:p w:rsidR="008A3731" w:rsidRPr="00F219CA" w:rsidRDefault="008A3731" w:rsidP="008A3731">
      <w:pPr>
        <w:pStyle w:val="12"/>
      </w:pPr>
      <w:r w:rsidRPr="00F219CA">
        <w:t xml:space="preserve">Subject Categories: </w:t>
      </w:r>
    </w:p>
    <w:p w:rsidR="008A3731" w:rsidRPr="00F219CA" w:rsidRDefault="008A3731" w:rsidP="008A3731">
      <w:pPr>
        <w:pStyle w:val="12"/>
      </w:pPr>
      <w:r w:rsidRPr="00F219CA">
        <w:t xml:space="preserve">: Impact Factor </w:t>
      </w:r>
    </w:p>
    <w:p w:rsidR="008A3731" w:rsidRPr="00F219CA" w:rsidRDefault="008A3731" w:rsidP="008A3731">
      <w:pPr>
        <w:pStyle w:val="a3"/>
        <w:rPr>
          <w:kern w:val="0"/>
          <w:szCs w:val="24"/>
        </w:rPr>
      </w:pPr>
      <w:r w:rsidRPr="00F219CA">
        <w:t xml:space="preserve">? </w:t>
      </w:r>
      <w:r w:rsidRPr="00F219CA">
        <w:rPr>
          <w:kern w:val="0"/>
          <w:szCs w:val="24"/>
        </w:rPr>
        <w:t>Wang, J.</w:t>
      </w:r>
      <w:r w:rsidR="005853A9">
        <w:rPr>
          <w:kern w:val="0"/>
          <w:szCs w:val="24"/>
        </w:rPr>
        <w:t xml:space="preserve"> and </w:t>
      </w:r>
      <w:r w:rsidRPr="00F219CA">
        <w:rPr>
          <w:kern w:val="0"/>
          <w:szCs w:val="24"/>
        </w:rPr>
        <w:t>Huang, L.C. (2008</w:t>
      </w:r>
      <w:r w:rsidR="00F42EAC">
        <w:rPr>
          <w:kern w:val="0"/>
          <w:szCs w:val="24"/>
        </w:rPr>
        <w:t>), The</w:t>
      </w:r>
      <w:r w:rsidR="003A1917">
        <w:rPr>
          <w:kern w:val="0"/>
          <w:szCs w:val="24"/>
        </w:rPr>
        <w:t xml:space="preserve"> </w:t>
      </w:r>
      <w:r w:rsidRPr="00F219CA">
        <w:rPr>
          <w:kern w:val="0"/>
          <w:szCs w:val="24"/>
        </w:rPr>
        <w:t>future</w:t>
      </w:r>
      <w:r w:rsidR="00427468">
        <w:rPr>
          <w:kern w:val="0"/>
          <w:szCs w:val="24"/>
        </w:rPr>
        <w:t xml:space="preserve"> of </w:t>
      </w:r>
      <w:r w:rsidR="003A1917">
        <w:rPr>
          <w:kern w:val="0"/>
          <w:szCs w:val="24"/>
        </w:rPr>
        <w:t xml:space="preserve">the </w:t>
      </w:r>
      <w:r w:rsidRPr="00F219CA">
        <w:rPr>
          <w:kern w:val="0"/>
          <w:szCs w:val="24"/>
        </w:rPr>
        <w:t xml:space="preserve">technology management: Intelligent management. </w:t>
      </w:r>
      <w:r w:rsidRPr="00F219CA">
        <w:rPr>
          <w:i/>
          <w:iCs/>
          <w:kern w:val="0"/>
          <w:szCs w:val="24"/>
        </w:rPr>
        <w:t>Advances in Management</w:t>
      </w:r>
      <w:r w:rsidR="00427468">
        <w:rPr>
          <w:i/>
          <w:iCs/>
          <w:kern w:val="0"/>
          <w:szCs w:val="24"/>
        </w:rPr>
        <w:t xml:space="preserve"> of </w:t>
      </w:r>
      <w:r w:rsidRPr="00F219CA">
        <w:rPr>
          <w:i/>
          <w:iCs/>
          <w:kern w:val="0"/>
          <w:szCs w:val="24"/>
        </w:rPr>
        <w:t>Technology, Pt 1</w:t>
      </w:r>
      <w:r w:rsidRPr="00F219CA">
        <w:rPr>
          <w:kern w:val="0"/>
          <w:szCs w:val="24"/>
        </w:rPr>
        <w:t>, 318-322.</w:t>
      </w:r>
    </w:p>
    <w:p w:rsidR="008A3731" w:rsidRPr="00F219CA" w:rsidRDefault="008A3731" w:rsidP="008A3731">
      <w:pPr>
        <w:pStyle w:val="a3"/>
        <w:rPr>
          <w:kern w:val="0"/>
          <w:szCs w:val="24"/>
        </w:rPr>
      </w:pPr>
      <w:r w:rsidRPr="00F219CA">
        <w:rPr>
          <w:kern w:val="0"/>
          <w:szCs w:val="24"/>
        </w:rPr>
        <w:t>Abstract: Technology is very important for both enterprises</w:t>
      </w:r>
      <w:r w:rsidR="005853A9">
        <w:rPr>
          <w:kern w:val="0"/>
          <w:szCs w:val="24"/>
        </w:rPr>
        <w:t xml:space="preserve"> and </w:t>
      </w:r>
      <w:r w:rsidRPr="00F219CA">
        <w:rPr>
          <w:kern w:val="0"/>
          <w:szCs w:val="24"/>
        </w:rPr>
        <w:t>organizations. Products</w:t>
      </w:r>
      <w:r w:rsidR="005853A9">
        <w:rPr>
          <w:kern w:val="0"/>
          <w:szCs w:val="24"/>
        </w:rPr>
        <w:t xml:space="preserve"> and </w:t>
      </w:r>
      <w:r w:rsidRPr="00F219CA">
        <w:rPr>
          <w:kern w:val="0"/>
          <w:szCs w:val="24"/>
        </w:rPr>
        <w:t>services are often on</w:t>
      </w:r>
      <w:r w:rsidR="003A1917">
        <w:rPr>
          <w:kern w:val="0"/>
          <w:szCs w:val="24"/>
        </w:rPr>
        <w:t xml:space="preserve"> the </w:t>
      </w:r>
      <w:r w:rsidRPr="00F219CA">
        <w:rPr>
          <w:kern w:val="0"/>
          <w:szCs w:val="24"/>
        </w:rPr>
        <w:t>base</w:t>
      </w:r>
      <w:r w:rsidR="00427468">
        <w:rPr>
          <w:kern w:val="0"/>
          <w:szCs w:val="24"/>
        </w:rPr>
        <w:t xml:space="preserve"> of </w:t>
      </w:r>
      <w:r w:rsidR="003A1917">
        <w:rPr>
          <w:kern w:val="0"/>
          <w:szCs w:val="24"/>
        </w:rPr>
        <w:t xml:space="preserve">the </w:t>
      </w:r>
      <w:r w:rsidRPr="00F219CA">
        <w:rPr>
          <w:kern w:val="0"/>
          <w:szCs w:val="24"/>
        </w:rPr>
        <w:t>technology</w:t>
      </w:r>
      <w:r w:rsidR="005853A9">
        <w:rPr>
          <w:kern w:val="0"/>
          <w:szCs w:val="24"/>
        </w:rPr>
        <w:t xml:space="preserve"> and </w:t>
      </w:r>
      <w:r w:rsidRPr="00F219CA">
        <w:rPr>
          <w:kern w:val="0"/>
          <w:szCs w:val="24"/>
        </w:rPr>
        <w:t>technology is used in manufacturing, administration, sales, distribution etc. Research has shown a clear correlation between investment in technological development</w:t>
      </w:r>
      <w:r w:rsidR="005853A9">
        <w:rPr>
          <w:kern w:val="0"/>
          <w:szCs w:val="24"/>
        </w:rPr>
        <w:t xml:space="preserve"> and </w:t>
      </w:r>
      <w:r w:rsidRPr="00F219CA">
        <w:rPr>
          <w:kern w:val="0"/>
          <w:szCs w:val="24"/>
        </w:rPr>
        <w:t>competitive performance. Enterprises</w:t>
      </w:r>
      <w:r w:rsidR="005853A9">
        <w:rPr>
          <w:kern w:val="0"/>
          <w:szCs w:val="24"/>
        </w:rPr>
        <w:t xml:space="preserve"> and </w:t>
      </w:r>
      <w:r w:rsidRPr="00F219CA">
        <w:rPr>
          <w:kern w:val="0"/>
          <w:szCs w:val="24"/>
        </w:rPr>
        <w:t>organizations are putting more money into</w:t>
      </w:r>
      <w:r w:rsidR="003A1917">
        <w:rPr>
          <w:kern w:val="0"/>
          <w:szCs w:val="24"/>
        </w:rPr>
        <w:t xml:space="preserve"> the </w:t>
      </w:r>
      <w:r w:rsidRPr="00F219CA">
        <w:rPr>
          <w:kern w:val="0"/>
          <w:szCs w:val="24"/>
        </w:rPr>
        <w:t>technology, how to use a set</w:t>
      </w:r>
      <w:r w:rsidR="00427468">
        <w:rPr>
          <w:kern w:val="0"/>
          <w:szCs w:val="24"/>
        </w:rPr>
        <w:t xml:space="preserve"> of </w:t>
      </w:r>
      <w:r w:rsidRPr="00F219CA">
        <w:rPr>
          <w:kern w:val="0"/>
          <w:szCs w:val="24"/>
        </w:rPr>
        <w:t>methods</w:t>
      </w:r>
      <w:r w:rsidR="005853A9">
        <w:rPr>
          <w:kern w:val="0"/>
          <w:szCs w:val="24"/>
        </w:rPr>
        <w:t xml:space="preserve"> and </w:t>
      </w:r>
      <w:r w:rsidRPr="00F219CA">
        <w:rPr>
          <w:kern w:val="0"/>
          <w:szCs w:val="24"/>
        </w:rPr>
        <w:t>tools to manage</w:t>
      </w:r>
      <w:r w:rsidR="003A1917">
        <w:rPr>
          <w:kern w:val="0"/>
          <w:szCs w:val="24"/>
        </w:rPr>
        <w:t xml:space="preserve"> the </w:t>
      </w:r>
      <w:r w:rsidRPr="00F219CA">
        <w:rPr>
          <w:kern w:val="0"/>
          <w:szCs w:val="24"/>
        </w:rPr>
        <w:t>technology is becoming more important. This paper presents some definitions</w:t>
      </w:r>
      <w:r w:rsidR="00427468">
        <w:rPr>
          <w:kern w:val="0"/>
          <w:szCs w:val="24"/>
        </w:rPr>
        <w:t xml:space="preserve"> of </w:t>
      </w:r>
      <w:r w:rsidRPr="00F219CA">
        <w:rPr>
          <w:kern w:val="0"/>
          <w:szCs w:val="24"/>
        </w:rPr>
        <w:t>technology management, defines</w:t>
      </w:r>
      <w:r w:rsidR="003A1917">
        <w:rPr>
          <w:kern w:val="0"/>
          <w:szCs w:val="24"/>
        </w:rPr>
        <w:t xml:space="preserve"> the </w:t>
      </w:r>
      <w:r w:rsidRPr="00F219CA">
        <w:rPr>
          <w:kern w:val="0"/>
          <w:szCs w:val="24"/>
        </w:rPr>
        <w:t>technology management tool, lists some technology management tools</w:t>
      </w:r>
      <w:r w:rsidR="005853A9">
        <w:rPr>
          <w:kern w:val="0"/>
          <w:szCs w:val="24"/>
        </w:rPr>
        <w:t xml:space="preserve"> and </w:t>
      </w:r>
      <w:r w:rsidRPr="00F219CA">
        <w:rPr>
          <w:kern w:val="0"/>
          <w:szCs w:val="24"/>
        </w:rPr>
        <w:t>distinguishes between</w:t>
      </w:r>
      <w:r w:rsidR="003A1917">
        <w:rPr>
          <w:kern w:val="0"/>
          <w:szCs w:val="24"/>
        </w:rPr>
        <w:t xml:space="preserve"> the </w:t>
      </w:r>
      <w:r w:rsidRPr="00F219CA">
        <w:rPr>
          <w:kern w:val="0"/>
          <w:szCs w:val="24"/>
        </w:rPr>
        <w:t>technology management method</w:t>
      </w:r>
      <w:r w:rsidR="005853A9">
        <w:rPr>
          <w:kern w:val="0"/>
          <w:szCs w:val="24"/>
        </w:rPr>
        <w:t xml:space="preserve"> and </w:t>
      </w:r>
      <w:r w:rsidRPr="00F219CA">
        <w:rPr>
          <w:kern w:val="0"/>
          <w:szCs w:val="24"/>
        </w:rPr>
        <w:t>technology management tool. Technology management methods, which are based on data, are programs, rules</w:t>
      </w:r>
      <w:r w:rsidR="005853A9">
        <w:rPr>
          <w:kern w:val="0"/>
          <w:szCs w:val="24"/>
        </w:rPr>
        <w:t xml:space="preserve"> and </w:t>
      </w:r>
      <w:r w:rsidRPr="00F219CA">
        <w:rPr>
          <w:kern w:val="0"/>
          <w:szCs w:val="24"/>
        </w:rPr>
        <w:t>projects; together with technology management tools, it can solve</w:t>
      </w:r>
      <w:r w:rsidR="003A1917">
        <w:rPr>
          <w:kern w:val="0"/>
          <w:szCs w:val="24"/>
        </w:rPr>
        <w:t xml:space="preserve"> the </w:t>
      </w:r>
      <w:r w:rsidRPr="00F219CA">
        <w:rPr>
          <w:kern w:val="0"/>
          <w:szCs w:val="24"/>
        </w:rPr>
        <w:t>problem</w:t>
      </w:r>
      <w:r w:rsidR="00427468">
        <w:rPr>
          <w:kern w:val="0"/>
          <w:szCs w:val="24"/>
        </w:rPr>
        <w:t xml:space="preserve"> of </w:t>
      </w:r>
      <w:r w:rsidR="003A1917">
        <w:rPr>
          <w:kern w:val="0"/>
          <w:szCs w:val="24"/>
        </w:rPr>
        <w:t xml:space="preserve">the </w:t>
      </w:r>
      <w:r w:rsidRPr="00F219CA">
        <w:rPr>
          <w:kern w:val="0"/>
          <w:szCs w:val="24"/>
        </w:rPr>
        <w:t>technology development</w:t>
      </w:r>
      <w:r w:rsidR="005853A9">
        <w:rPr>
          <w:kern w:val="0"/>
          <w:szCs w:val="24"/>
        </w:rPr>
        <w:t xml:space="preserve"> and </w:t>
      </w:r>
      <w:r w:rsidRPr="00F219CA">
        <w:rPr>
          <w:kern w:val="0"/>
          <w:szCs w:val="24"/>
        </w:rPr>
        <w:t>technology application. From bibliometrics to computer, this article also summarily describes</w:t>
      </w:r>
      <w:r w:rsidR="003A1917">
        <w:rPr>
          <w:kern w:val="0"/>
          <w:szCs w:val="24"/>
        </w:rPr>
        <w:t xml:space="preserve"> the </w:t>
      </w:r>
      <w:r w:rsidRPr="00F219CA">
        <w:rPr>
          <w:kern w:val="0"/>
          <w:szCs w:val="24"/>
        </w:rPr>
        <w:t>evolution</w:t>
      </w:r>
      <w:r w:rsidR="00427468">
        <w:rPr>
          <w:kern w:val="0"/>
          <w:szCs w:val="24"/>
        </w:rPr>
        <w:t xml:space="preserve"> of </w:t>
      </w:r>
      <w:r w:rsidRPr="00F219CA">
        <w:rPr>
          <w:kern w:val="0"/>
          <w:szCs w:val="24"/>
        </w:rPr>
        <w:t>technology management method. Technology management is a complex process, which includes a lot</w:t>
      </w:r>
      <w:r w:rsidR="00427468">
        <w:rPr>
          <w:kern w:val="0"/>
          <w:szCs w:val="24"/>
        </w:rPr>
        <w:t xml:space="preserve"> of </w:t>
      </w:r>
      <w:r w:rsidRPr="00F219CA">
        <w:rPr>
          <w:kern w:val="0"/>
          <w:szCs w:val="24"/>
        </w:rPr>
        <w:t>different qualitative</w:t>
      </w:r>
      <w:r w:rsidR="005853A9">
        <w:rPr>
          <w:kern w:val="0"/>
          <w:szCs w:val="24"/>
        </w:rPr>
        <w:t xml:space="preserve"> and </w:t>
      </w:r>
      <w:r w:rsidRPr="00F219CA">
        <w:rPr>
          <w:kern w:val="0"/>
          <w:szCs w:val="24"/>
        </w:rPr>
        <w:t>quantitative analysis. An effective technology management system contains a set</w:t>
      </w:r>
      <w:r w:rsidR="00427468">
        <w:rPr>
          <w:kern w:val="0"/>
          <w:szCs w:val="24"/>
        </w:rPr>
        <w:t xml:space="preserve"> of </w:t>
      </w:r>
      <w:r w:rsidRPr="00F219CA">
        <w:rPr>
          <w:kern w:val="0"/>
          <w:szCs w:val="24"/>
        </w:rPr>
        <w:t>methods</w:t>
      </w:r>
      <w:r w:rsidR="005853A9">
        <w:rPr>
          <w:kern w:val="0"/>
          <w:szCs w:val="24"/>
        </w:rPr>
        <w:t xml:space="preserve"> and </w:t>
      </w:r>
      <w:r w:rsidRPr="00F219CA">
        <w:rPr>
          <w:kern w:val="0"/>
          <w:szCs w:val="24"/>
        </w:rPr>
        <w:t>tools; it must solve two key questions. At last,</w:t>
      </w:r>
      <w:r w:rsidR="003A1917">
        <w:rPr>
          <w:kern w:val="0"/>
          <w:szCs w:val="24"/>
        </w:rPr>
        <w:t xml:space="preserve"> the </w:t>
      </w:r>
      <w:r w:rsidRPr="00F219CA">
        <w:rPr>
          <w:kern w:val="0"/>
          <w:szCs w:val="24"/>
        </w:rPr>
        <w:t>paper has discussed</w:t>
      </w:r>
      <w:r w:rsidR="003A1917">
        <w:rPr>
          <w:kern w:val="0"/>
          <w:szCs w:val="24"/>
        </w:rPr>
        <w:t xml:space="preserve"> the </w:t>
      </w:r>
      <w:r w:rsidRPr="00F219CA">
        <w:rPr>
          <w:kern w:val="0"/>
          <w:szCs w:val="24"/>
        </w:rPr>
        <w:t>future</w:t>
      </w:r>
      <w:r w:rsidR="00427468">
        <w:rPr>
          <w:kern w:val="0"/>
          <w:szCs w:val="24"/>
        </w:rPr>
        <w:t xml:space="preserve"> of </w:t>
      </w:r>
      <w:r w:rsidR="003A1917">
        <w:rPr>
          <w:kern w:val="0"/>
          <w:szCs w:val="24"/>
        </w:rPr>
        <w:t xml:space="preserve">the </w:t>
      </w:r>
      <w:r w:rsidRPr="00F219CA">
        <w:rPr>
          <w:kern w:val="0"/>
          <w:szCs w:val="24"/>
        </w:rPr>
        <w:t>technology management, focusing specifically on two technical problems: intelligence</w:t>
      </w:r>
      <w:r w:rsidR="005853A9">
        <w:rPr>
          <w:kern w:val="0"/>
          <w:szCs w:val="24"/>
        </w:rPr>
        <w:t xml:space="preserve"> and </w:t>
      </w:r>
      <w:r w:rsidRPr="00F219CA">
        <w:rPr>
          <w:kern w:val="0"/>
          <w:szCs w:val="24"/>
        </w:rPr>
        <w:t>integration.</w:t>
      </w:r>
    </w:p>
    <w:p w:rsidR="008A3731" w:rsidRPr="00F219CA" w:rsidRDefault="008A3731" w:rsidP="008A3731">
      <w:pPr>
        <w:pStyle w:val="a3"/>
        <w:rPr>
          <w:kern w:val="0"/>
          <w:szCs w:val="24"/>
        </w:rPr>
      </w:pPr>
      <w:r w:rsidRPr="00F219CA">
        <w:rPr>
          <w:kern w:val="0"/>
          <w:szCs w:val="24"/>
        </w:rPr>
        <w:t>Keywords: Bibliometrics, Development, Integration, Intelligence, Management, Quantitative Analysis, Research, System, Technology, Technology Management Method, Technology Management Tool, Tools</w:t>
      </w:r>
    </w:p>
    <w:p w:rsidR="008A3731" w:rsidRPr="00F219CA" w:rsidRDefault="008A3731" w:rsidP="008A3731">
      <w:pPr>
        <w:pStyle w:val="a3"/>
        <w:rPr>
          <w:kern w:val="0"/>
          <w:szCs w:val="24"/>
        </w:rPr>
      </w:pPr>
      <w:r w:rsidRPr="00F219CA">
        <w:rPr>
          <w:kern w:val="0"/>
          <w:szCs w:val="24"/>
        </w:rPr>
        <w:t>? Deng, B., Shao, P.J.</w:t>
      </w:r>
      <w:r w:rsidR="005853A9">
        <w:rPr>
          <w:kern w:val="0"/>
          <w:szCs w:val="24"/>
        </w:rPr>
        <w:t xml:space="preserve"> and </w:t>
      </w:r>
      <w:r w:rsidRPr="00F219CA">
        <w:rPr>
          <w:kern w:val="0"/>
          <w:szCs w:val="24"/>
        </w:rPr>
        <w:t>Zhao, D. (2008), Analysis on</w:t>
      </w:r>
      <w:r w:rsidR="003A1917">
        <w:rPr>
          <w:kern w:val="0"/>
          <w:szCs w:val="24"/>
        </w:rPr>
        <w:t xml:space="preserve"> the </w:t>
      </w:r>
      <w:r w:rsidRPr="00F219CA">
        <w:rPr>
          <w:kern w:val="0"/>
          <w:szCs w:val="24"/>
        </w:rPr>
        <w:t>current situations</w:t>
      </w:r>
      <w:r w:rsidR="00427468">
        <w:rPr>
          <w:kern w:val="0"/>
          <w:szCs w:val="24"/>
        </w:rPr>
        <w:t xml:space="preserve"> of </w:t>
      </w:r>
      <w:r w:rsidRPr="00F219CA">
        <w:rPr>
          <w:kern w:val="0"/>
          <w:szCs w:val="24"/>
        </w:rPr>
        <w:t xml:space="preserve">data </w:t>
      </w:r>
      <w:r w:rsidRPr="00F219CA">
        <w:rPr>
          <w:kern w:val="0"/>
          <w:szCs w:val="24"/>
        </w:rPr>
        <w:lastRenderedPageBreak/>
        <w:t>mining pplications in</w:t>
      </w:r>
      <w:r w:rsidR="003A1917">
        <w:rPr>
          <w:kern w:val="0"/>
          <w:szCs w:val="24"/>
        </w:rPr>
        <w:t xml:space="preserve"> the </w:t>
      </w:r>
      <w:r w:rsidRPr="00F219CA">
        <w:rPr>
          <w:kern w:val="0"/>
          <w:szCs w:val="24"/>
        </w:rPr>
        <w:t xml:space="preserve">telecommunications industry in China (2000-2007). </w:t>
      </w:r>
      <w:r w:rsidRPr="00F219CA">
        <w:rPr>
          <w:i/>
          <w:iCs/>
          <w:kern w:val="0"/>
          <w:szCs w:val="24"/>
        </w:rPr>
        <w:t>Advances in Management</w:t>
      </w:r>
      <w:r w:rsidR="00427468">
        <w:rPr>
          <w:i/>
          <w:iCs/>
          <w:kern w:val="0"/>
          <w:szCs w:val="24"/>
        </w:rPr>
        <w:t xml:space="preserve"> of </w:t>
      </w:r>
      <w:r w:rsidRPr="00F219CA">
        <w:rPr>
          <w:i/>
          <w:iCs/>
          <w:kern w:val="0"/>
          <w:szCs w:val="24"/>
        </w:rPr>
        <w:t>Technology, Pt 2</w:t>
      </w:r>
      <w:r w:rsidRPr="00F219CA">
        <w:rPr>
          <w:kern w:val="0"/>
          <w:szCs w:val="24"/>
        </w:rPr>
        <w:t>, 728-732.</w:t>
      </w:r>
    </w:p>
    <w:p w:rsidR="008A3731" w:rsidRPr="00F219CA" w:rsidRDefault="008A3731" w:rsidP="008A3731">
      <w:pPr>
        <w:pStyle w:val="a3"/>
        <w:rPr>
          <w:kern w:val="0"/>
          <w:szCs w:val="24"/>
        </w:rPr>
      </w:pPr>
      <w:r w:rsidRPr="00F219CA">
        <w:rPr>
          <w:kern w:val="0"/>
          <w:szCs w:val="24"/>
        </w:rPr>
        <w:t>Abstract: Data mining is increasingly popular because</w:t>
      </w:r>
      <w:r w:rsidR="00427468">
        <w:rPr>
          <w:kern w:val="0"/>
          <w:szCs w:val="24"/>
        </w:rPr>
        <w:t xml:space="preserve"> of </w:t>
      </w:r>
      <w:r w:rsidR="003A1917">
        <w:rPr>
          <w:kern w:val="0"/>
          <w:szCs w:val="24"/>
        </w:rPr>
        <w:t xml:space="preserve">the </w:t>
      </w:r>
      <w:r w:rsidRPr="00F219CA">
        <w:rPr>
          <w:kern w:val="0"/>
          <w:szCs w:val="24"/>
        </w:rPr>
        <w:t>substantial contribution it can make. In China, many scholars pay more attention to</w:t>
      </w:r>
      <w:r w:rsidR="003A1917">
        <w:rPr>
          <w:kern w:val="0"/>
          <w:szCs w:val="24"/>
        </w:rPr>
        <w:t xml:space="preserve"> the </w:t>
      </w:r>
      <w:r w:rsidRPr="00F219CA">
        <w:rPr>
          <w:kern w:val="0"/>
          <w:szCs w:val="24"/>
        </w:rPr>
        <w:t>effective application-oriented data mining research. This study reviews</w:t>
      </w:r>
      <w:r w:rsidR="003A1917">
        <w:rPr>
          <w:kern w:val="0"/>
          <w:szCs w:val="24"/>
        </w:rPr>
        <w:t xml:space="preserve"> the </w:t>
      </w:r>
      <w:r w:rsidRPr="00F219CA">
        <w:rPr>
          <w:kern w:val="0"/>
          <w:szCs w:val="24"/>
        </w:rPr>
        <w:t>relevant literatures on data mining applications in</w:t>
      </w:r>
      <w:r w:rsidR="003A1917">
        <w:rPr>
          <w:kern w:val="0"/>
          <w:szCs w:val="24"/>
        </w:rPr>
        <w:t xml:space="preserve"> the </w:t>
      </w:r>
      <w:r w:rsidRPr="00F219CA">
        <w:rPr>
          <w:kern w:val="0"/>
          <w:szCs w:val="24"/>
        </w:rPr>
        <w:t>telecommunications industry from 2000 to 2007 in China. With</w:t>
      </w:r>
      <w:r w:rsidR="003A1917">
        <w:rPr>
          <w:kern w:val="0"/>
          <w:szCs w:val="24"/>
        </w:rPr>
        <w:t xml:space="preserve"> the </w:t>
      </w:r>
      <w:r w:rsidRPr="00F219CA">
        <w:rPr>
          <w:kern w:val="0"/>
          <w:szCs w:val="24"/>
        </w:rPr>
        <w:t>method</w:t>
      </w:r>
      <w:r w:rsidR="00427468">
        <w:rPr>
          <w:kern w:val="0"/>
          <w:szCs w:val="24"/>
        </w:rPr>
        <w:t xml:space="preserve"> of </w:t>
      </w:r>
      <w:r w:rsidRPr="00F219CA">
        <w:rPr>
          <w:kern w:val="0"/>
          <w:szCs w:val="24"/>
        </w:rPr>
        <w:t>bibliometric analysis makes a statistical analysis on literatures from</w:t>
      </w:r>
      <w:r w:rsidR="003A1917">
        <w:rPr>
          <w:kern w:val="0"/>
          <w:szCs w:val="24"/>
        </w:rPr>
        <w:t xml:space="preserve"> the </w:t>
      </w:r>
      <w:r w:rsidRPr="00F219CA">
        <w:rPr>
          <w:kern w:val="0"/>
          <w:szCs w:val="24"/>
        </w:rPr>
        <w:t>perspectives</w:t>
      </w:r>
      <w:r w:rsidR="00427468">
        <w:rPr>
          <w:kern w:val="0"/>
          <w:szCs w:val="24"/>
        </w:rPr>
        <w:t xml:space="preserve"> of </w:t>
      </w:r>
      <w:r w:rsidRPr="00F219CA">
        <w:rPr>
          <w:kern w:val="0"/>
          <w:szCs w:val="24"/>
        </w:rPr>
        <w:t>time distribution, research methods, research topics,</w:t>
      </w:r>
      <w:r w:rsidR="005853A9">
        <w:rPr>
          <w:kern w:val="0"/>
          <w:szCs w:val="24"/>
        </w:rPr>
        <w:t xml:space="preserve"> and </w:t>
      </w:r>
      <w:r w:rsidRPr="00F219CA">
        <w:rPr>
          <w:kern w:val="0"/>
          <w:szCs w:val="24"/>
        </w:rPr>
        <w:t>research techniques. This paper concludes data mining in</w:t>
      </w:r>
      <w:r w:rsidR="003A1917">
        <w:rPr>
          <w:kern w:val="0"/>
          <w:szCs w:val="24"/>
        </w:rPr>
        <w:t xml:space="preserve"> the </w:t>
      </w:r>
      <w:r w:rsidRPr="00F219CA">
        <w:rPr>
          <w:kern w:val="0"/>
          <w:szCs w:val="24"/>
        </w:rPr>
        <w:t>telecommunications industry research topics</w:t>
      </w:r>
      <w:r w:rsidR="005853A9">
        <w:rPr>
          <w:kern w:val="0"/>
          <w:szCs w:val="24"/>
        </w:rPr>
        <w:t xml:space="preserve"> and </w:t>
      </w:r>
      <w:r w:rsidRPr="00F219CA">
        <w:rPr>
          <w:kern w:val="0"/>
          <w:szCs w:val="24"/>
        </w:rPr>
        <w:t>applies research characteristic in China. With</w:t>
      </w:r>
      <w:r w:rsidR="003A1917">
        <w:rPr>
          <w:kern w:val="0"/>
          <w:szCs w:val="24"/>
        </w:rPr>
        <w:t xml:space="preserve"> the </w:t>
      </w:r>
      <w:r w:rsidRPr="00F219CA">
        <w:rPr>
          <w:kern w:val="0"/>
          <w:szCs w:val="24"/>
        </w:rPr>
        <w:t>overseas research situation contrast, this paper makes some suggestions on</w:t>
      </w:r>
      <w:r w:rsidR="003A1917">
        <w:rPr>
          <w:kern w:val="0"/>
          <w:szCs w:val="24"/>
        </w:rPr>
        <w:t xml:space="preserve"> the </w:t>
      </w:r>
      <w:r w:rsidRPr="00F219CA">
        <w:rPr>
          <w:kern w:val="0"/>
          <w:szCs w:val="24"/>
        </w:rPr>
        <w:t>improvement</w:t>
      </w:r>
      <w:r w:rsidR="00427468">
        <w:rPr>
          <w:kern w:val="0"/>
          <w:szCs w:val="24"/>
        </w:rPr>
        <w:t xml:space="preserve"> of </w:t>
      </w:r>
      <w:r w:rsidRPr="00F219CA">
        <w:rPr>
          <w:kern w:val="0"/>
          <w:szCs w:val="24"/>
        </w:rPr>
        <w:t>data mining applications in China.</w:t>
      </w:r>
    </w:p>
    <w:p w:rsidR="008A3731" w:rsidRPr="00F219CA" w:rsidRDefault="008A3731" w:rsidP="008A3731">
      <w:pPr>
        <w:pStyle w:val="a3"/>
        <w:rPr>
          <w:kern w:val="0"/>
          <w:szCs w:val="24"/>
        </w:rPr>
      </w:pPr>
      <w:r w:rsidRPr="00F219CA">
        <w:rPr>
          <w:kern w:val="0"/>
          <w:szCs w:val="24"/>
        </w:rPr>
        <w:t>Keywords: Bibliometric, Bibliometric Analysis, Data Mining, Research, Research Topics, Retention, Telecommunications Industry</w:t>
      </w:r>
    </w:p>
    <w:p w:rsidR="005B0549" w:rsidRPr="001A3D2B" w:rsidRDefault="005B0549" w:rsidP="005B0549">
      <w:pPr>
        <w:pStyle w:val="1"/>
      </w:pPr>
      <w:r w:rsidRPr="001A3D2B">
        <w:br w:type="page"/>
      </w:r>
      <w:bookmarkStart w:id="148" w:name="_Toc420814320"/>
      <w:r w:rsidRPr="001A3D2B">
        <w:lastRenderedPageBreak/>
        <w:t xml:space="preserve">Title: </w:t>
      </w:r>
      <w:r w:rsidRPr="005B0549">
        <w:t>Advances in Meditation Research: Neuroscience</w:t>
      </w:r>
      <w:r w:rsidR="005853A9">
        <w:t xml:space="preserve"> and </w:t>
      </w:r>
      <w:r w:rsidRPr="005B0549">
        <w:t>Clinical Applications</w:t>
      </w:r>
      <w:bookmarkEnd w:id="148"/>
    </w:p>
    <w:p w:rsidR="005B0549" w:rsidRPr="001A3D2B" w:rsidRDefault="005B0549" w:rsidP="005B0549">
      <w:pPr>
        <w:pStyle w:val="12"/>
      </w:pPr>
      <w:r w:rsidRPr="001A3D2B">
        <w:t xml:space="preserve">Full Journal Title: </w:t>
      </w:r>
      <w:r w:rsidRPr="005B0549">
        <w:rPr>
          <w:iCs/>
          <w:kern w:val="0"/>
        </w:rPr>
        <w:t>Advances in Meditation Research: Neuroscience</w:t>
      </w:r>
      <w:r w:rsidR="005853A9">
        <w:rPr>
          <w:iCs/>
          <w:kern w:val="0"/>
        </w:rPr>
        <w:t xml:space="preserve"> and </w:t>
      </w:r>
      <w:r w:rsidRPr="005B0549">
        <w:rPr>
          <w:iCs/>
          <w:kern w:val="0"/>
        </w:rPr>
        <w:t>Clinical Applications</w:t>
      </w:r>
    </w:p>
    <w:p w:rsidR="005B0549" w:rsidRPr="001A3D2B" w:rsidRDefault="005B0549" w:rsidP="005B0549">
      <w:pPr>
        <w:pStyle w:val="12"/>
      </w:pPr>
      <w:r w:rsidRPr="001A3D2B">
        <w:t xml:space="preserve">ISO Abbreviated Title: </w:t>
      </w:r>
    </w:p>
    <w:p w:rsidR="005B0549" w:rsidRPr="001A3D2B" w:rsidRDefault="005B0549" w:rsidP="005B0549">
      <w:pPr>
        <w:pStyle w:val="12"/>
      </w:pPr>
      <w:r w:rsidRPr="001A3D2B">
        <w:t xml:space="preserve">JCR Abbreviated Title: </w:t>
      </w:r>
    </w:p>
    <w:p w:rsidR="005B0549" w:rsidRPr="001A3D2B" w:rsidRDefault="005B0549" w:rsidP="005B0549">
      <w:pPr>
        <w:pStyle w:val="12"/>
      </w:pPr>
      <w:r w:rsidRPr="001A3D2B">
        <w:t xml:space="preserve">ISSN: </w:t>
      </w:r>
    </w:p>
    <w:p w:rsidR="005B0549" w:rsidRPr="001A3D2B" w:rsidRDefault="005B0549" w:rsidP="005B0549">
      <w:pPr>
        <w:pStyle w:val="12"/>
      </w:pPr>
      <w:r w:rsidRPr="001A3D2B">
        <w:t xml:space="preserve">Issues/Year: </w:t>
      </w:r>
    </w:p>
    <w:p w:rsidR="005B0549" w:rsidRPr="001A3D2B" w:rsidRDefault="005B0549" w:rsidP="005B0549">
      <w:pPr>
        <w:pStyle w:val="12"/>
      </w:pPr>
      <w:r w:rsidRPr="001A3D2B">
        <w:t xml:space="preserve">Journal Country/Territory: </w:t>
      </w:r>
    </w:p>
    <w:p w:rsidR="005B0549" w:rsidRPr="001A3D2B" w:rsidRDefault="005B0549" w:rsidP="005B0549">
      <w:pPr>
        <w:pStyle w:val="12"/>
      </w:pPr>
      <w:r w:rsidRPr="001A3D2B">
        <w:t xml:space="preserve">Language: </w:t>
      </w:r>
    </w:p>
    <w:p w:rsidR="005B0549" w:rsidRPr="001A3D2B" w:rsidRDefault="005B0549" w:rsidP="005B0549">
      <w:pPr>
        <w:pStyle w:val="12"/>
      </w:pPr>
      <w:r w:rsidRPr="001A3D2B">
        <w:t xml:space="preserve">Publisher: </w:t>
      </w:r>
    </w:p>
    <w:p w:rsidR="005B0549" w:rsidRPr="001A3D2B" w:rsidRDefault="005B0549" w:rsidP="005B0549">
      <w:pPr>
        <w:pStyle w:val="12"/>
      </w:pPr>
      <w:r w:rsidRPr="001A3D2B">
        <w:t xml:space="preserve">Publisher Address: </w:t>
      </w:r>
    </w:p>
    <w:p w:rsidR="005B0549" w:rsidRPr="001A3D2B" w:rsidRDefault="005B0549" w:rsidP="005B0549">
      <w:pPr>
        <w:pStyle w:val="12"/>
      </w:pPr>
      <w:r w:rsidRPr="001A3D2B">
        <w:t xml:space="preserve">Subject Categories: </w:t>
      </w:r>
    </w:p>
    <w:p w:rsidR="005B0549" w:rsidRPr="001A3D2B" w:rsidRDefault="005B0549" w:rsidP="005B0549">
      <w:pPr>
        <w:pStyle w:val="12"/>
      </w:pPr>
      <w:r w:rsidRPr="001A3D2B">
        <w:t xml:space="preserve">: Impact Factor </w:t>
      </w:r>
    </w:p>
    <w:p w:rsidR="005B0549" w:rsidRDefault="005B0549" w:rsidP="005B0549">
      <w:pPr>
        <w:pStyle w:val="a3"/>
        <w:rPr>
          <w:kern w:val="0"/>
        </w:rPr>
      </w:pPr>
      <w:r>
        <w:rPr>
          <w:rFonts w:hint="eastAsia"/>
          <w:kern w:val="0"/>
        </w:rPr>
        <w:t xml:space="preserve">? </w:t>
      </w:r>
      <w:r>
        <w:rPr>
          <w:kern w:val="0"/>
        </w:rPr>
        <w:t>Gard, T., Holzel, B.K.</w:t>
      </w:r>
      <w:r w:rsidR="005853A9">
        <w:rPr>
          <w:kern w:val="0"/>
        </w:rPr>
        <w:t xml:space="preserve"> and </w:t>
      </w:r>
      <w:r>
        <w:rPr>
          <w:kern w:val="0"/>
        </w:rPr>
        <w:t>Lazar, S.W. (2014), The potential effects</w:t>
      </w:r>
      <w:r w:rsidR="00427468">
        <w:rPr>
          <w:kern w:val="0"/>
        </w:rPr>
        <w:t xml:space="preserve"> of </w:t>
      </w:r>
      <w:r>
        <w:rPr>
          <w:kern w:val="0"/>
        </w:rPr>
        <w:t xml:space="preserve">meditation on age-related cognitive decline: A systematic review. </w:t>
      </w:r>
      <w:r w:rsidRPr="005B0549">
        <w:rPr>
          <w:i/>
          <w:iCs/>
          <w:kern w:val="0"/>
        </w:rPr>
        <w:t>Advances in Meditation Research: Neuroscience</w:t>
      </w:r>
      <w:r w:rsidR="005853A9">
        <w:rPr>
          <w:i/>
          <w:iCs/>
          <w:kern w:val="0"/>
        </w:rPr>
        <w:t xml:space="preserve"> and </w:t>
      </w:r>
      <w:r w:rsidRPr="005B0549">
        <w:rPr>
          <w:i/>
          <w:iCs/>
          <w:kern w:val="0"/>
        </w:rPr>
        <w:t>Clinical Applications</w:t>
      </w:r>
      <w:r>
        <w:rPr>
          <w:kern w:val="0"/>
        </w:rPr>
        <w:t xml:space="preserve">, </w:t>
      </w:r>
      <w:r>
        <w:rPr>
          <w:b/>
          <w:bCs/>
          <w:kern w:val="0"/>
        </w:rPr>
        <w:t>1307</w:t>
      </w:r>
      <w:r>
        <w:rPr>
          <w:kern w:val="0"/>
        </w:rPr>
        <w:t>, 89-103.</w:t>
      </w:r>
    </w:p>
    <w:p w:rsidR="005B0549" w:rsidRDefault="005B0549" w:rsidP="005B0549">
      <w:pPr>
        <w:pStyle w:val="a3"/>
        <w:rPr>
          <w:kern w:val="0"/>
        </w:rPr>
      </w:pPr>
      <w:r>
        <w:rPr>
          <w:rFonts w:hint="eastAsia"/>
          <w:kern w:val="0"/>
        </w:rPr>
        <w:t xml:space="preserve">Full Text: </w:t>
      </w:r>
      <w:hyperlink r:id="rId264" w:history="1">
        <w:r w:rsidRPr="005B0549">
          <w:rPr>
            <w:rStyle w:val="a5"/>
            <w:kern w:val="0"/>
          </w:rPr>
          <w:t>2014\Adv Med Res Neu Cli App1307, 89.pdf</w:t>
        </w:r>
      </w:hyperlink>
    </w:p>
    <w:p w:rsidR="005B0549" w:rsidRDefault="005B0549" w:rsidP="005B0549">
      <w:pPr>
        <w:pStyle w:val="a3"/>
        <w:rPr>
          <w:kern w:val="0"/>
        </w:rPr>
      </w:pPr>
      <w:r>
        <w:rPr>
          <w:kern w:val="0"/>
        </w:rPr>
        <w:t>Abstract: With a rapidly aging society it becomes increasingly important to counter normal age-related decline in cognitive functioning. Growing evidence suggests that cognitive training programs may have the potential to counteract this decline. On the basis</w:t>
      </w:r>
      <w:r w:rsidR="00427468">
        <w:rPr>
          <w:kern w:val="0"/>
        </w:rPr>
        <w:t xml:space="preserve"> of </w:t>
      </w:r>
      <w:r>
        <w:rPr>
          <w:kern w:val="0"/>
        </w:rPr>
        <w:t>a growing body</w:t>
      </w:r>
      <w:r w:rsidR="00427468">
        <w:rPr>
          <w:kern w:val="0"/>
        </w:rPr>
        <w:t xml:space="preserve"> of </w:t>
      </w:r>
      <w:r>
        <w:rPr>
          <w:kern w:val="0"/>
        </w:rPr>
        <w:t>research that shows that meditation has positive effects on cognition in younger</w:t>
      </w:r>
      <w:r w:rsidR="005853A9">
        <w:rPr>
          <w:kern w:val="0"/>
        </w:rPr>
        <w:t xml:space="preserve"> and </w:t>
      </w:r>
      <w:r>
        <w:rPr>
          <w:kern w:val="0"/>
        </w:rPr>
        <w:t>middle-aged adults, meditation may be able to offset normal age-related cognitive decline or even enhance cognitive function in older adults. In this paper, we review studies investigating the effects</w:t>
      </w:r>
      <w:r w:rsidR="00427468">
        <w:rPr>
          <w:kern w:val="0"/>
        </w:rPr>
        <w:t xml:space="preserve"> of </w:t>
      </w:r>
      <w:r>
        <w:rPr>
          <w:kern w:val="0"/>
        </w:rPr>
        <w:t>meditation on age-related cognitive decline. We searched the Web</w:t>
      </w:r>
      <w:r w:rsidR="00427468">
        <w:rPr>
          <w:kern w:val="0"/>
        </w:rPr>
        <w:t xml:space="preserve"> of </w:t>
      </w:r>
      <w:r>
        <w:rPr>
          <w:kern w:val="0"/>
        </w:rPr>
        <w:t>Science (1900 to present), PsycINFO (1597 to present), MEDLINE (1950 to present),</w:t>
      </w:r>
      <w:r w:rsidR="005853A9">
        <w:rPr>
          <w:kern w:val="0"/>
        </w:rPr>
        <w:t xml:space="preserve"> and </w:t>
      </w:r>
      <w:r>
        <w:rPr>
          <w:kern w:val="0"/>
        </w:rPr>
        <w:t>CABI (1910 to present) to identify original studies investigating the effects</w:t>
      </w:r>
      <w:r w:rsidR="00427468">
        <w:rPr>
          <w:kern w:val="0"/>
        </w:rPr>
        <w:t xml:space="preserve"> of </w:t>
      </w:r>
      <w:r>
        <w:rPr>
          <w:kern w:val="0"/>
        </w:rPr>
        <w:t>meditation on cognition</w:t>
      </w:r>
      <w:r w:rsidR="005853A9">
        <w:rPr>
          <w:kern w:val="0"/>
        </w:rPr>
        <w:t xml:space="preserve"> and </w:t>
      </w:r>
      <w:r>
        <w:rPr>
          <w:kern w:val="0"/>
        </w:rPr>
        <w:t>cognitive decline in the context</w:t>
      </w:r>
      <w:r w:rsidR="00427468">
        <w:rPr>
          <w:kern w:val="0"/>
        </w:rPr>
        <w:t xml:space="preserve"> of </w:t>
      </w:r>
      <w:r>
        <w:rPr>
          <w:kern w:val="0"/>
        </w:rPr>
        <w:t>aging. Twelve studies were included in the review, six</w:t>
      </w:r>
      <w:r w:rsidR="00427468">
        <w:rPr>
          <w:kern w:val="0"/>
        </w:rPr>
        <w:t xml:space="preserve"> of </w:t>
      </w:r>
      <w:r>
        <w:rPr>
          <w:kern w:val="0"/>
        </w:rPr>
        <w:t>which were randomized controlled trials. Studies involved a wide variety</w:t>
      </w:r>
      <w:r w:rsidR="00427468">
        <w:rPr>
          <w:kern w:val="0"/>
        </w:rPr>
        <w:t xml:space="preserve"> of </w:t>
      </w:r>
      <w:r>
        <w:rPr>
          <w:kern w:val="0"/>
        </w:rPr>
        <w:t>meditation techniques</w:t>
      </w:r>
      <w:r w:rsidR="005853A9">
        <w:rPr>
          <w:kern w:val="0"/>
        </w:rPr>
        <w:t xml:space="preserve"> and </w:t>
      </w:r>
      <w:r>
        <w:rPr>
          <w:kern w:val="0"/>
        </w:rPr>
        <w:t>reported preliminary positive effects on attention, memory, executive function, processing speed,</w:t>
      </w:r>
      <w:r w:rsidR="005853A9">
        <w:rPr>
          <w:kern w:val="0"/>
        </w:rPr>
        <w:t xml:space="preserve"> and </w:t>
      </w:r>
      <w:r>
        <w:rPr>
          <w:kern w:val="0"/>
        </w:rPr>
        <w:t>general cognition. However, most studies had a high risk</w:t>
      </w:r>
      <w:r w:rsidR="00427468">
        <w:rPr>
          <w:kern w:val="0"/>
        </w:rPr>
        <w:t xml:space="preserve"> of </w:t>
      </w:r>
      <w:r>
        <w:rPr>
          <w:kern w:val="0"/>
        </w:rPr>
        <w:t>bias</w:t>
      </w:r>
      <w:r w:rsidR="005853A9">
        <w:rPr>
          <w:kern w:val="0"/>
        </w:rPr>
        <w:t xml:space="preserve"> and </w:t>
      </w:r>
      <w:r>
        <w:rPr>
          <w:kern w:val="0"/>
        </w:rPr>
        <w:t>small sample sizes. Reported dropout rates were low</w:t>
      </w:r>
      <w:r w:rsidR="005853A9">
        <w:rPr>
          <w:kern w:val="0"/>
        </w:rPr>
        <w:t xml:space="preserve"> and </w:t>
      </w:r>
      <w:r>
        <w:rPr>
          <w:kern w:val="0"/>
        </w:rPr>
        <w:t>compliance rates high. We conclude that meditation interventions for older adults are feasible,</w:t>
      </w:r>
      <w:r w:rsidR="005853A9">
        <w:rPr>
          <w:kern w:val="0"/>
        </w:rPr>
        <w:t xml:space="preserve"> and </w:t>
      </w:r>
      <w:r>
        <w:rPr>
          <w:kern w:val="0"/>
        </w:rPr>
        <w:t>preliminary evidence suggests that meditation can offset age-related cognitive decline.</w:t>
      </w:r>
    </w:p>
    <w:p w:rsidR="005B0549" w:rsidRDefault="005B0549" w:rsidP="005B0549">
      <w:pPr>
        <w:pStyle w:val="a3"/>
        <w:rPr>
          <w:kern w:val="0"/>
        </w:rPr>
      </w:pPr>
      <w:r>
        <w:rPr>
          <w:kern w:val="0"/>
        </w:rPr>
        <w:t xml:space="preserve">Keywords: Age-Related, Aging, Attention, Bias, Cognition, Cognitive Function, </w:t>
      </w:r>
      <w:r>
        <w:rPr>
          <w:kern w:val="0"/>
        </w:rPr>
        <w:lastRenderedPageBreak/>
        <w:t>Compliance, Context, Dropout, Effects, Evidence, Function, General, Interventions, Medline, Memory, Normal, Potential, Psycinfo, Randomized, Randomized Controlled Trials, Rates, Research, Review, Risk, Science, Small, Society, Systematic Review, Techniques, Training, Web</w:t>
      </w:r>
      <w:r w:rsidR="00427468">
        <w:rPr>
          <w:kern w:val="0"/>
        </w:rPr>
        <w:t xml:space="preserve"> of </w:t>
      </w:r>
      <w:r>
        <w:rPr>
          <w:kern w:val="0"/>
        </w:rPr>
        <w:t>Science</w:t>
      </w:r>
    </w:p>
    <w:p w:rsidR="00EA0E81" w:rsidRPr="001A3D2B" w:rsidRDefault="00EA0E81" w:rsidP="00EA0E81">
      <w:pPr>
        <w:pStyle w:val="1"/>
      </w:pPr>
      <w:r w:rsidRPr="001A3D2B">
        <w:br w:type="page"/>
      </w:r>
      <w:bookmarkStart w:id="149" w:name="_Toc420814321"/>
      <w:r w:rsidRPr="001A3D2B">
        <w:lastRenderedPageBreak/>
        <w:t xml:space="preserve">Title: </w:t>
      </w:r>
      <w:r w:rsidRPr="00EA0E81">
        <w:t>Advances in Meteorology</w:t>
      </w:r>
      <w:bookmarkEnd w:id="149"/>
    </w:p>
    <w:p w:rsidR="00EA0E81" w:rsidRPr="001A3D2B" w:rsidRDefault="00EA0E81" w:rsidP="00EA0E81">
      <w:pPr>
        <w:pStyle w:val="12"/>
      </w:pPr>
      <w:r w:rsidRPr="001A3D2B">
        <w:t xml:space="preserve">Full Journal Title: </w:t>
      </w:r>
      <w:r w:rsidRPr="00EA0E81">
        <w:rPr>
          <w:iCs/>
          <w:kern w:val="0"/>
        </w:rPr>
        <w:t>Advances in Meteorology</w:t>
      </w:r>
    </w:p>
    <w:p w:rsidR="00EA0E81" w:rsidRPr="001A3D2B" w:rsidRDefault="00EA0E81" w:rsidP="00EA0E81">
      <w:pPr>
        <w:pStyle w:val="12"/>
      </w:pPr>
      <w:r w:rsidRPr="001A3D2B">
        <w:t xml:space="preserve">ISO Abbreviated Title: </w:t>
      </w:r>
    </w:p>
    <w:p w:rsidR="00EA0E81" w:rsidRPr="001A3D2B" w:rsidRDefault="00EA0E81" w:rsidP="00EA0E81">
      <w:pPr>
        <w:pStyle w:val="12"/>
      </w:pPr>
      <w:r w:rsidRPr="001A3D2B">
        <w:t xml:space="preserve">JCR Abbreviated Title: </w:t>
      </w:r>
    </w:p>
    <w:p w:rsidR="00EA0E81" w:rsidRPr="001A3D2B" w:rsidRDefault="00EA0E81" w:rsidP="00EA0E81">
      <w:pPr>
        <w:pStyle w:val="12"/>
      </w:pPr>
      <w:r w:rsidRPr="001A3D2B">
        <w:t xml:space="preserve">ISSN: </w:t>
      </w:r>
    </w:p>
    <w:p w:rsidR="00EA0E81" w:rsidRPr="001A3D2B" w:rsidRDefault="00EA0E81" w:rsidP="00EA0E81">
      <w:pPr>
        <w:pStyle w:val="12"/>
      </w:pPr>
      <w:r w:rsidRPr="001A3D2B">
        <w:t xml:space="preserve">Issues/Year: </w:t>
      </w:r>
    </w:p>
    <w:p w:rsidR="00EA0E81" w:rsidRPr="001A3D2B" w:rsidRDefault="00EA0E81" w:rsidP="00EA0E81">
      <w:pPr>
        <w:pStyle w:val="12"/>
      </w:pPr>
      <w:r w:rsidRPr="001A3D2B">
        <w:t xml:space="preserve">Journal Country/Territory: </w:t>
      </w:r>
    </w:p>
    <w:p w:rsidR="00EA0E81" w:rsidRPr="001A3D2B" w:rsidRDefault="00EA0E81" w:rsidP="00EA0E81">
      <w:pPr>
        <w:pStyle w:val="12"/>
      </w:pPr>
      <w:r w:rsidRPr="001A3D2B">
        <w:t xml:space="preserve">Language: </w:t>
      </w:r>
    </w:p>
    <w:p w:rsidR="00EA0E81" w:rsidRPr="001A3D2B" w:rsidRDefault="00EA0E81" w:rsidP="00EA0E81">
      <w:pPr>
        <w:pStyle w:val="12"/>
      </w:pPr>
      <w:r w:rsidRPr="001A3D2B">
        <w:t xml:space="preserve">Publisher: </w:t>
      </w:r>
    </w:p>
    <w:p w:rsidR="00EA0E81" w:rsidRPr="001A3D2B" w:rsidRDefault="00EA0E81" w:rsidP="00EA0E81">
      <w:pPr>
        <w:pStyle w:val="12"/>
      </w:pPr>
      <w:r w:rsidRPr="001A3D2B">
        <w:t xml:space="preserve">Publisher Address: </w:t>
      </w:r>
    </w:p>
    <w:p w:rsidR="00EA0E81" w:rsidRPr="001A3D2B" w:rsidRDefault="00EA0E81" w:rsidP="00EA0E81">
      <w:pPr>
        <w:pStyle w:val="12"/>
      </w:pPr>
      <w:r w:rsidRPr="001A3D2B">
        <w:t xml:space="preserve">Subject Categories: </w:t>
      </w:r>
    </w:p>
    <w:p w:rsidR="00EA0E81" w:rsidRPr="001A3D2B" w:rsidRDefault="00EA0E81" w:rsidP="00EA0E81">
      <w:pPr>
        <w:pStyle w:val="12"/>
      </w:pPr>
      <w:r w:rsidRPr="001A3D2B">
        <w:t xml:space="preserve">: Impact Factor </w:t>
      </w:r>
    </w:p>
    <w:p w:rsidR="00EA0E81" w:rsidRDefault="00EA0E81" w:rsidP="00EA0E81">
      <w:pPr>
        <w:pStyle w:val="a3"/>
        <w:rPr>
          <w:kern w:val="0"/>
        </w:rPr>
      </w:pPr>
      <w:r>
        <w:rPr>
          <w:rFonts w:hint="eastAsia"/>
          <w:kern w:val="0"/>
        </w:rPr>
        <w:t xml:space="preserve">? </w:t>
      </w:r>
      <w:r>
        <w:rPr>
          <w:kern w:val="0"/>
        </w:rPr>
        <w:t>Che, T., Xiao, L. and Liou, Y.A. (2014), Changes in glaciers and glacial lakes and the identification</w:t>
      </w:r>
      <w:r w:rsidR="00427468">
        <w:rPr>
          <w:kern w:val="0"/>
        </w:rPr>
        <w:t xml:space="preserve"> of </w:t>
      </w:r>
      <w:r>
        <w:rPr>
          <w:kern w:val="0"/>
        </w:rPr>
        <w:t xml:space="preserve">dangerous glacial lakes in the Pumqu River Basin, Xizang (Tibet). </w:t>
      </w:r>
      <w:r w:rsidRPr="00EA0E81">
        <w:rPr>
          <w:i/>
          <w:iCs/>
          <w:kern w:val="0"/>
        </w:rPr>
        <w:t>Advances in Meteorology</w:t>
      </w:r>
      <w:r>
        <w:rPr>
          <w:rFonts w:hint="eastAsia"/>
          <w:kern w:val="0"/>
        </w:rPr>
        <w:t xml:space="preserve">, </w:t>
      </w:r>
      <w:r w:rsidRPr="00E97BE1">
        <w:rPr>
          <w:kern w:val="0"/>
        </w:rPr>
        <w:t>Article Number: 903709</w:t>
      </w:r>
      <w:r>
        <w:rPr>
          <w:rFonts w:hint="eastAsia"/>
          <w:kern w:val="0"/>
        </w:rPr>
        <w:t>.</w:t>
      </w:r>
    </w:p>
    <w:p w:rsidR="00EA0E81" w:rsidRDefault="00EA0E81" w:rsidP="00EA0E81">
      <w:pPr>
        <w:pStyle w:val="a3"/>
        <w:rPr>
          <w:kern w:val="0"/>
        </w:rPr>
      </w:pPr>
      <w:r>
        <w:rPr>
          <w:rFonts w:hint="eastAsia"/>
          <w:kern w:val="0"/>
        </w:rPr>
        <w:t xml:space="preserve">Full Text: </w:t>
      </w:r>
      <w:hyperlink r:id="rId265" w:history="1">
        <w:r w:rsidR="00C46AD8" w:rsidRPr="00C46AD8">
          <w:rPr>
            <w:rStyle w:val="a5"/>
            <w:kern w:val="0"/>
          </w:rPr>
          <w:t>2014\Adv Met903709.pdf</w:t>
        </w:r>
      </w:hyperlink>
    </w:p>
    <w:p w:rsidR="00EA0E81" w:rsidRDefault="00EA0E81" w:rsidP="00EA0E81">
      <w:pPr>
        <w:pStyle w:val="a3"/>
        <w:rPr>
          <w:kern w:val="0"/>
        </w:rPr>
      </w:pPr>
      <w:r>
        <w:rPr>
          <w:kern w:val="0"/>
        </w:rPr>
        <w:t>Abstract: Latest satellite images have been utilized to update the inventories</w:t>
      </w:r>
      <w:r w:rsidR="00427468">
        <w:rPr>
          <w:kern w:val="0"/>
        </w:rPr>
        <w:t xml:space="preserve"> of </w:t>
      </w:r>
      <w:r>
        <w:rPr>
          <w:kern w:val="0"/>
        </w:rPr>
        <w:t>glaciers and glacial lakes in the Pumqu river basin, Xizang (Tibet), in the study. Compared to the inventories in 1970s, the areas</w:t>
      </w:r>
      <w:r w:rsidR="00427468">
        <w:rPr>
          <w:kern w:val="0"/>
        </w:rPr>
        <w:t xml:space="preserve"> of </w:t>
      </w:r>
      <w:r>
        <w:rPr>
          <w:kern w:val="0"/>
        </w:rPr>
        <w:t>glaciers are reduced by 19.05% while the areas</w:t>
      </w:r>
      <w:r w:rsidR="00427468">
        <w:rPr>
          <w:kern w:val="0"/>
        </w:rPr>
        <w:t xml:space="preserve"> of </w:t>
      </w:r>
      <w:r>
        <w:rPr>
          <w:kern w:val="0"/>
        </w:rPr>
        <w:t>glacial lakes are increased by 26.76%</w:t>
      </w:r>
      <w:r w:rsidR="00A37C1D">
        <w:rPr>
          <w:kern w:val="0"/>
        </w:rPr>
        <w:t>. The</w:t>
      </w:r>
      <w:r>
        <w:rPr>
          <w:kern w:val="0"/>
        </w:rPr>
        <w:t xml:space="preserve"> magnitudes</w:t>
      </w:r>
      <w:r w:rsidR="00427468">
        <w:rPr>
          <w:kern w:val="0"/>
        </w:rPr>
        <w:t xml:space="preserve"> of </w:t>
      </w:r>
      <w:r>
        <w:rPr>
          <w:kern w:val="0"/>
        </w:rPr>
        <w:t>glacier retreat rate and glacial lake increase rate during the period</w:t>
      </w:r>
      <w:r w:rsidR="00427468">
        <w:rPr>
          <w:kern w:val="0"/>
        </w:rPr>
        <w:t xml:space="preserve"> of </w:t>
      </w:r>
      <w:r>
        <w:rPr>
          <w:kern w:val="0"/>
        </w:rPr>
        <w:t>2001-2013 are more significant than those for the period</w:t>
      </w:r>
      <w:r w:rsidR="00427468">
        <w:rPr>
          <w:kern w:val="0"/>
        </w:rPr>
        <w:t xml:space="preserve"> of </w:t>
      </w:r>
      <w:r>
        <w:rPr>
          <w:kern w:val="0"/>
        </w:rPr>
        <w:t>the 1970s-2001</w:t>
      </w:r>
      <w:r w:rsidR="00A37C1D">
        <w:rPr>
          <w:kern w:val="0"/>
        </w:rPr>
        <w:t>. The</w:t>
      </w:r>
      <w:r>
        <w:rPr>
          <w:kern w:val="0"/>
        </w:rPr>
        <w:t xml:space="preserve"> accelerated changes in areas</w:t>
      </w:r>
      <w:r w:rsidR="00427468">
        <w:rPr>
          <w:kern w:val="0"/>
        </w:rPr>
        <w:t xml:space="preserve"> of </w:t>
      </w:r>
      <w:r>
        <w:rPr>
          <w:kern w:val="0"/>
        </w:rPr>
        <w:t>the glaciers and glacial lakes, as well as the increasing temperature and rising variability</w:t>
      </w:r>
      <w:r w:rsidR="00427468">
        <w:rPr>
          <w:kern w:val="0"/>
        </w:rPr>
        <w:t xml:space="preserve"> of </w:t>
      </w:r>
      <w:r>
        <w:rPr>
          <w:kern w:val="0"/>
        </w:rPr>
        <w:t>precipitation, have resulted in an increased risk</w:t>
      </w:r>
      <w:r w:rsidR="00427468">
        <w:rPr>
          <w:kern w:val="0"/>
        </w:rPr>
        <w:t xml:space="preserve"> of </w:t>
      </w:r>
      <w:r>
        <w:rPr>
          <w:kern w:val="0"/>
        </w:rPr>
        <w:t>glacial lake outburst floods (GLOFs) in the Pumqu river basin. Integrated criteria were established to identify potentially dangerous glacial lakes based on a bibliometric analysis method. It is found, in total, 19 glacial lakes were identified as dangerous. Such finding suggests that there is an immediate need to conduct field surveys not only to validate the findings, but also to acquire information for further use in order to assure the welfare</w:t>
      </w:r>
      <w:r w:rsidR="00427468">
        <w:rPr>
          <w:kern w:val="0"/>
        </w:rPr>
        <w:t xml:space="preserve"> of </w:t>
      </w:r>
      <w:r>
        <w:rPr>
          <w:kern w:val="0"/>
        </w:rPr>
        <w:t>the humans.</w:t>
      </w:r>
    </w:p>
    <w:p w:rsidR="00EA0E81" w:rsidRDefault="00EA0E81" w:rsidP="00EA0E81">
      <w:pPr>
        <w:pStyle w:val="a3"/>
        <w:rPr>
          <w:kern w:val="0"/>
        </w:rPr>
      </w:pPr>
      <w:r>
        <w:rPr>
          <w:kern w:val="0"/>
        </w:rPr>
        <w:t>Keywords: Alps, Analysis, Basin, Bibliometric, Bibliometric Analysis, Changes, Criteria, Field, Floods, Glaciers, Hazards, Humans, Information, Lake, Lakes, Nepal, Outburst Floods, Precipitation, Risk, River, River Basin, River-Basin, Surveys, Temperature, Variability, Welfare</w:t>
      </w:r>
    </w:p>
    <w:p w:rsidR="00733C0A" w:rsidRPr="001A3D2B" w:rsidRDefault="00733C0A" w:rsidP="00733C0A">
      <w:pPr>
        <w:pStyle w:val="1"/>
      </w:pPr>
      <w:r w:rsidRPr="001A3D2B">
        <w:br w:type="page"/>
      </w:r>
      <w:bookmarkStart w:id="150" w:name="_Toc420814322"/>
      <w:r w:rsidRPr="001A3D2B">
        <w:lastRenderedPageBreak/>
        <w:t>Title: Advances in Physiology Education</w:t>
      </w:r>
      <w:bookmarkEnd w:id="150"/>
    </w:p>
    <w:p w:rsidR="00733C0A" w:rsidRPr="001A3D2B" w:rsidRDefault="00733C0A" w:rsidP="00733C0A">
      <w:pPr>
        <w:pStyle w:val="12"/>
      </w:pPr>
      <w:r w:rsidRPr="001A3D2B">
        <w:t xml:space="preserve">Full Journal Title: </w:t>
      </w:r>
      <w:hyperlink r:id="rId266" w:history="1">
        <w:r w:rsidRPr="001A3D2B">
          <w:rPr>
            <w:rStyle w:val="a5"/>
          </w:rPr>
          <w:t>Advances in Physiology Education</w:t>
        </w:r>
      </w:hyperlink>
    </w:p>
    <w:p w:rsidR="00733C0A" w:rsidRPr="001A3D2B" w:rsidRDefault="00733C0A" w:rsidP="00733C0A">
      <w:pPr>
        <w:pStyle w:val="12"/>
      </w:pPr>
      <w:r w:rsidRPr="001A3D2B">
        <w:t xml:space="preserve">ISO Abbreviated Title: </w:t>
      </w:r>
    </w:p>
    <w:p w:rsidR="00733C0A" w:rsidRPr="001A3D2B" w:rsidRDefault="00733C0A" w:rsidP="00733C0A">
      <w:pPr>
        <w:pStyle w:val="12"/>
      </w:pPr>
      <w:r w:rsidRPr="001A3D2B">
        <w:t xml:space="preserve">JCR Abbreviated Title: </w:t>
      </w:r>
    </w:p>
    <w:p w:rsidR="00733C0A" w:rsidRPr="001A3D2B" w:rsidRDefault="00733C0A" w:rsidP="00733C0A">
      <w:pPr>
        <w:pStyle w:val="12"/>
      </w:pPr>
      <w:r w:rsidRPr="001A3D2B">
        <w:t xml:space="preserve">ISSN: </w:t>
      </w:r>
    </w:p>
    <w:p w:rsidR="00733C0A" w:rsidRPr="001A3D2B" w:rsidRDefault="00733C0A" w:rsidP="00733C0A">
      <w:pPr>
        <w:pStyle w:val="12"/>
      </w:pPr>
      <w:r w:rsidRPr="001A3D2B">
        <w:t xml:space="preserve">Issues/Year: </w:t>
      </w:r>
    </w:p>
    <w:p w:rsidR="00733C0A" w:rsidRPr="001A3D2B" w:rsidRDefault="00733C0A" w:rsidP="00733C0A">
      <w:pPr>
        <w:pStyle w:val="12"/>
      </w:pPr>
      <w:r w:rsidRPr="001A3D2B">
        <w:t xml:space="preserve">Journal Country/Territory: </w:t>
      </w:r>
    </w:p>
    <w:p w:rsidR="00733C0A" w:rsidRPr="001A3D2B" w:rsidRDefault="00733C0A" w:rsidP="00733C0A">
      <w:pPr>
        <w:pStyle w:val="12"/>
      </w:pPr>
      <w:r w:rsidRPr="001A3D2B">
        <w:t xml:space="preserve">Language: </w:t>
      </w:r>
    </w:p>
    <w:p w:rsidR="00733C0A" w:rsidRPr="001A3D2B" w:rsidRDefault="00733C0A" w:rsidP="00733C0A">
      <w:pPr>
        <w:pStyle w:val="12"/>
      </w:pPr>
      <w:r w:rsidRPr="001A3D2B">
        <w:t xml:space="preserve">Publisher: </w:t>
      </w:r>
    </w:p>
    <w:p w:rsidR="00733C0A" w:rsidRPr="001A3D2B" w:rsidRDefault="00733C0A" w:rsidP="00733C0A">
      <w:pPr>
        <w:pStyle w:val="12"/>
      </w:pPr>
      <w:r w:rsidRPr="001A3D2B">
        <w:t xml:space="preserve">Publisher Address: </w:t>
      </w:r>
    </w:p>
    <w:p w:rsidR="00733C0A" w:rsidRPr="001A3D2B" w:rsidRDefault="00733C0A" w:rsidP="00733C0A">
      <w:pPr>
        <w:pStyle w:val="12"/>
      </w:pPr>
      <w:r w:rsidRPr="001A3D2B">
        <w:t xml:space="preserve">Subject Categories: </w:t>
      </w:r>
    </w:p>
    <w:p w:rsidR="00733C0A" w:rsidRPr="001A3D2B" w:rsidRDefault="00733C0A" w:rsidP="00733C0A">
      <w:pPr>
        <w:pStyle w:val="12"/>
      </w:pPr>
      <w:r w:rsidRPr="001A3D2B">
        <w:t xml:space="preserve">: Impact Factor </w:t>
      </w:r>
    </w:p>
    <w:p w:rsidR="00733C0A" w:rsidRPr="001A3D2B" w:rsidRDefault="00733C0A" w:rsidP="00733C0A">
      <w:pPr>
        <w:pStyle w:val="a3"/>
      </w:pPr>
      <w:r w:rsidRPr="001A3D2B">
        <w:t>? Benos, D.J., Fabres, J., Farmer, J., Gutierrez, J.P., Hennessy, K., Kosek, D., Lee, J.H., Olteanu, D., Russell, T., Shaikh, F.</w:t>
      </w:r>
      <w:r w:rsidR="005853A9">
        <w:t xml:space="preserve"> and </w:t>
      </w:r>
      <w:r w:rsidRPr="001A3D2B">
        <w:t>Wang, K. (2005), Ethics</w:t>
      </w:r>
      <w:r w:rsidR="005853A9">
        <w:t xml:space="preserve"> and </w:t>
      </w:r>
      <w:r w:rsidRPr="001A3D2B">
        <w:t xml:space="preserve">scientific publication. </w:t>
      </w:r>
      <w:r w:rsidRPr="001A3D2B">
        <w:rPr>
          <w:i/>
        </w:rPr>
        <w:t>Advances in Physiology Education</w:t>
      </w:r>
      <w:r w:rsidRPr="001A3D2B">
        <w:t xml:space="preserve">, </w:t>
      </w:r>
      <w:r w:rsidRPr="001A3D2B">
        <w:rPr>
          <w:b/>
        </w:rPr>
        <w:t>29</w:t>
      </w:r>
      <w:r w:rsidRPr="001A3D2B">
        <w:t xml:space="preserve"> (2), 59-74.</w:t>
      </w:r>
    </w:p>
    <w:p w:rsidR="00733C0A" w:rsidRPr="001A3D2B" w:rsidRDefault="00733C0A" w:rsidP="00733C0A">
      <w:pPr>
        <w:pStyle w:val="a3"/>
      </w:pPr>
      <w:r w:rsidRPr="001A3D2B">
        <w:t xml:space="preserve">Full Text: </w:t>
      </w:r>
      <w:hyperlink r:id="rId267" w:history="1">
        <w:r w:rsidRPr="001A3D2B">
          <w:rPr>
            <w:rStyle w:val="a5"/>
          </w:rPr>
          <w:t>2005\Adv Phy Edu29, 59.pdf</w:t>
        </w:r>
      </w:hyperlink>
    </w:p>
    <w:p w:rsidR="00733C0A" w:rsidRPr="001A3D2B" w:rsidRDefault="00733C0A" w:rsidP="00733C0A">
      <w:pPr>
        <w:pStyle w:val="a3"/>
      </w:pPr>
      <w:r w:rsidRPr="001A3D2B">
        <w:t>Abstract: This article summarizes</w:t>
      </w:r>
      <w:r w:rsidR="003A1917">
        <w:t xml:space="preserve"> the </w:t>
      </w:r>
      <w:r w:rsidRPr="001A3D2B">
        <w:t>major categories</w:t>
      </w:r>
      <w:r w:rsidR="00427468">
        <w:t xml:space="preserve"> of </w:t>
      </w:r>
      <w:r w:rsidRPr="001A3D2B">
        <w:t>ethical violations encountered during submission, review,</w:t>
      </w:r>
      <w:r w:rsidR="005853A9">
        <w:t xml:space="preserve"> and </w:t>
      </w:r>
      <w:r w:rsidRPr="001A3D2B">
        <w:t>publication</w:t>
      </w:r>
      <w:r w:rsidR="00427468">
        <w:t xml:space="preserve"> of </w:t>
      </w:r>
      <w:r w:rsidRPr="001A3D2B">
        <w:t>scientific articles. We discuss data fabrication</w:t>
      </w:r>
      <w:r w:rsidR="005853A9">
        <w:t xml:space="preserve"> and </w:t>
      </w:r>
      <w:r w:rsidRPr="001A3D2B">
        <w:t>falsification, plagiarism, redundant</w:t>
      </w:r>
      <w:r w:rsidR="005853A9">
        <w:t xml:space="preserve"> and </w:t>
      </w:r>
      <w:r w:rsidRPr="001A3D2B">
        <w:t>duplicate publication, conflict</w:t>
      </w:r>
      <w:r w:rsidR="00427468">
        <w:t xml:space="preserve"> of </w:t>
      </w:r>
      <w:r w:rsidRPr="001A3D2B">
        <w:t>interest, authorship, animal</w:t>
      </w:r>
      <w:r w:rsidR="005853A9">
        <w:t xml:space="preserve"> and </w:t>
      </w:r>
      <w:r w:rsidRPr="001A3D2B">
        <w:t>human welfare,</w:t>
      </w:r>
      <w:r w:rsidR="005853A9">
        <w:t xml:space="preserve"> and </w:t>
      </w:r>
      <w:r w:rsidRPr="001A3D2B">
        <w:t>reviewer responsibility. In each section, pertinent historical background</w:t>
      </w:r>
      <w:r w:rsidR="005853A9">
        <w:t xml:space="preserve"> and </w:t>
      </w:r>
      <w:r w:rsidRPr="001A3D2B">
        <w:t>citation</w:t>
      </w:r>
      <w:r w:rsidR="00427468">
        <w:t xml:space="preserve"> of </w:t>
      </w:r>
      <w:r w:rsidRPr="001A3D2B">
        <w:t>relevant regulations</w:t>
      </w:r>
      <w:r w:rsidR="005853A9">
        <w:t xml:space="preserve"> and </w:t>
      </w:r>
      <w:r w:rsidRPr="001A3D2B">
        <w:t>statutes are provided. Furthermore, a specific case(s) derived from actual situations is (are) presented</w:t>
      </w:r>
      <w:r w:rsidR="00A37C1D">
        <w:t>. The</w:t>
      </w:r>
      <w:r w:rsidRPr="001A3D2B">
        <w:t>se cases were chosen to highlight</w:t>
      </w:r>
      <w:r w:rsidR="003A1917">
        <w:t xml:space="preserve"> the </w:t>
      </w:r>
      <w:r w:rsidRPr="001A3D2B">
        <w:t>complexities that investigators</w:t>
      </w:r>
      <w:r w:rsidR="005853A9">
        <w:t xml:space="preserve"> and </w:t>
      </w:r>
      <w:r w:rsidRPr="001A3D2B">
        <w:t>journals must face when dealing with ethical issues. A series</w:t>
      </w:r>
      <w:r w:rsidR="00427468">
        <w:t xml:space="preserve"> of </w:t>
      </w:r>
      <w:r w:rsidRPr="001A3D2B">
        <w:t>discussion questions follow each case. It is our hope that by increasing education</w:t>
      </w:r>
      <w:r w:rsidR="005853A9">
        <w:t xml:space="preserve"> and </w:t>
      </w:r>
      <w:r w:rsidRPr="001A3D2B">
        <w:t>awareness</w:t>
      </w:r>
      <w:r w:rsidR="00427468">
        <w:t xml:space="preserve"> of </w:t>
      </w:r>
      <w:r w:rsidRPr="001A3D2B">
        <w:t>ethical matters relevant to scientific investigation</w:t>
      </w:r>
      <w:r w:rsidR="005853A9">
        <w:t xml:space="preserve"> and </w:t>
      </w:r>
      <w:r w:rsidRPr="001A3D2B">
        <w:t>publication, deviations from appropriate conduct will be reduced.</w:t>
      </w:r>
    </w:p>
    <w:p w:rsidR="00733C0A" w:rsidRPr="001A3D2B" w:rsidRDefault="00733C0A" w:rsidP="00733C0A">
      <w:pPr>
        <w:pStyle w:val="a3"/>
      </w:pPr>
      <w:r w:rsidRPr="001A3D2B">
        <w:t>Keywords: Plagiarism, Redundant, Falsification, Conflict</w:t>
      </w:r>
      <w:r w:rsidR="00427468">
        <w:t xml:space="preserve"> of </w:t>
      </w:r>
      <w:r w:rsidRPr="001A3D2B">
        <w:t>Interest, Fabrication, Conflicts</w:t>
      </w:r>
      <w:r w:rsidR="00434900">
        <w:t>-of-</w:t>
      </w:r>
      <w:r w:rsidRPr="001A3D2B">
        <w:t>Interest, Duplicate Publication, Authorship, Impact</w:t>
      </w:r>
    </w:p>
    <w:p w:rsidR="00475D6B" w:rsidRDefault="00475D6B" w:rsidP="00475D6B">
      <w:pPr>
        <w:pStyle w:val="a3"/>
      </w:pPr>
      <w:r>
        <w:t xml:space="preserve">? Raff, H. (2005), Using classic papers to teach physiology. </w:t>
      </w:r>
      <w:r>
        <w:rPr>
          <w:i/>
        </w:rPr>
        <w:t>Advances in Physiology Education</w:t>
      </w:r>
      <w:r>
        <w:t xml:space="preserve">, </w:t>
      </w:r>
      <w:r>
        <w:rPr>
          <w:b/>
        </w:rPr>
        <w:t>29</w:t>
      </w:r>
      <w:r>
        <w:t xml:space="preserve"> (3), 138.</w:t>
      </w:r>
    </w:p>
    <w:p w:rsidR="00475D6B" w:rsidRDefault="00475D6B" w:rsidP="00475D6B">
      <w:pPr>
        <w:pStyle w:val="a3"/>
      </w:pPr>
      <w:r>
        <w:t xml:space="preserve">Full Text: </w:t>
      </w:r>
      <w:hyperlink r:id="rId268" w:history="1">
        <w:r w:rsidRPr="00475D6B">
          <w:rPr>
            <w:rStyle w:val="a5"/>
          </w:rPr>
          <w:t>2005\Adv Phy Edu29, 138.pdf</w:t>
        </w:r>
      </w:hyperlink>
    </w:p>
    <w:p w:rsidR="00623D75" w:rsidRPr="00F219CA" w:rsidRDefault="00623D75" w:rsidP="00623D75">
      <w:pPr>
        <w:pStyle w:val="a3"/>
      </w:pPr>
      <w:r w:rsidRPr="00F219CA">
        <w:t xml:space="preserve">? </w:t>
      </w:r>
      <w:r>
        <w:t>McGeown, J</w:t>
      </w:r>
      <w:r>
        <w:rPr>
          <w:rFonts w:hint="eastAsia"/>
        </w:rPr>
        <w:t>.</w:t>
      </w:r>
      <w:r>
        <w:t>G</w:t>
      </w:r>
      <w:r>
        <w:rPr>
          <w:rFonts w:hint="eastAsia"/>
        </w:rPr>
        <w:t>.</w:t>
      </w:r>
      <w:r w:rsidRPr="00F219CA">
        <w:t xml:space="preserve"> (200</w:t>
      </w:r>
      <w:r>
        <w:rPr>
          <w:rFonts w:hint="eastAsia"/>
        </w:rPr>
        <w:t>6</w:t>
      </w:r>
      <w:r w:rsidRPr="00F219CA">
        <w:t xml:space="preserve">), </w:t>
      </w:r>
      <w:r>
        <w:t>Passing on</w:t>
      </w:r>
      <w:r w:rsidR="003A1917">
        <w:t xml:space="preserve"> the </w:t>
      </w:r>
      <w:r>
        <w:t>legacy: Teaching capillary filtration</w:t>
      </w:r>
      <w:r w:rsidR="005853A9">
        <w:t xml:space="preserve"> and </w:t>
      </w:r>
      <w:r>
        <w:t>developing presentation skills using classic papers</w:t>
      </w:r>
      <w:r w:rsidRPr="00F219CA">
        <w:t xml:space="preserve">. </w:t>
      </w:r>
      <w:r w:rsidRPr="00F219CA">
        <w:rPr>
          <w:i/>
        </w:rPr>
        <w:t>Advances in Physiology Education</w:t>
      </w:r>
      <w:r w:rsidRPr="00F219CA">
        <w:t xml:space="preserve">, </w:t>
      </w:r>
      <w:r>
        <w:rPr>
          <w:rFonts w:hint="eastAsia"/>
          <w:b/>
        </w:rPr>
        <w:t>30</w:t>
      </w:r>
      <w:r w:rsidRPr="00F219CA">
        <w:t xml:space="preserve"> (</w:t>
      </w:r>
      <w:r>
        <w:rPr>
          <w:rFonts w:hint="eastAsia"/>
        </w:rPr>
        <w:t>3</w:t>
      </w:r>
      <w:r w:rsidRPr="00F219CA">
        <w:t xml:space="preserve">), </w:t>
      </w:r>
      <w:r>
        <w:t>108-112</w:t>
      </w:r>
      <w:r w:rsidRPr="00F219CA">
        <w:t>.</w:t>
      </w:r>
    </w:p>
    <w:p w:rsidR="00623D75" w:rsidRDefault="00623D75" w:rsidP="00623D75">
      <w:pPr>
        <w:pStyle w:val="a3"/>
      </w:pPr>
      <w:r>
        <w:t xml:space="preserve">Full Text: </w:t>
      </w:r>
      <w:hyperlink r:id="rId269" w:history="1">
        <w:r w:rsidRPr="006D5DCC">
          <w:rPr>
            <w:rStyle w:val="a5"/>
          </w:rPr>
          <w:t>2006\Adv Phy Edu30, 108.pdf</w:t>
        </w:r>
      </w:hyperlink>
    </w:p>
    <w:p w:rsidR="00623D75" w:rsidRDefault="00623D75" w:rsidP="00623D75">
      <w:pPr>
        <w:pStyle w:val="a3"/>
      </w:pPr>
      <w:r>
        <w:t>Abstract: Capillary filtration is a key area in</w:t>
      </w:r>
      <w:r w:rsidR="003A1917">
        <w:t xml:space="preserve"> the </w:t>
      </w:r>
      <w:r>
        <w:t>understanding</w:t>
      </w:r>
      <w:r w:rsidR="00427468">
        <w:t xml:space="preserve"> of </w:t>
      </w:r>
      <w:r>
        <w:t xml:space="preserve">cardiovascular </w:t>
      </w:r>
      <w:r>
        <w:lastRenderedPageBreak/>
        <w:t>function</w:t>
      </w:r>
      <w:r w:rsidR="005853A9">
        <w:t xml:space="preserve"> and </w:t>
      </w:r>
      <w:r>
        <w:t>has both physiological</w:t>
      </w:r>
      <w:r w:rsidR="005853A9">
        <w:t xml:space="preserve"> and </w:t>
      </w:r>
      <w:r>
        <w:t>pathophysiological relevance in nearly every organ system. This article describes how classic papers in</w:t>
      </w:r>
      <w:r w:rsidR="003A1917">
        <w:t xml:space="preserve"> the </w:t>
      </w:r>
      <w:r>
        <w:t>Legacy collection</w:t>
      </w:r>
      <w:r w:rsidR="00427468">
        <w:t xml:space="preserve"> of </w:t>
      </w:r>
      <w:r>
        <w:t>American Physiological Society publications can be used in a teaching symposium exploring</w:t>
      </w:r>
      <w:r w:rsidR="003A1917">
        <w:t xml:space="preserve"> the </w:t>
      </w:r>
      <w:r>
        <w:t>evidence supporting current concepts</w:t>
      </w:r>
      <w:r w:rsidR="00427468">
        <w:t xml:space="preserve"> of </w:t>
      </w:r>
      <w:r>
        <w:t>capillary fluid exchange. Individual students are given papers to read, edit,</w:t>
      </w:r>
      <w:r w:rsidR="005853A9">
        <w:t xml:space="preserve"> and </w:t>
      </w:r>
      <w:r>
        <w:t>present to</w:t>
      </w:r>
      <w:r w:rsidR="003A1917">
        <w:t xml:space="preserve"> the </w:t>
      </w:r>
      <w:r>
        <w:t>class</w:t>
      </w:r>
      <w:r w:rsidR="00A37C1D">
        <w:t>. The</w:t>
      </w:r>
      <w:r w:rsidR="003A1917">
        <w:t xml:space="preserve"> </w:t>
      </w:r>
      <w:r>
        <w:t>appropriate selection</w:t>
      </w:r>
      <w:r w:rsidR="005853A9">
        <w:t xml:space="preserve"> and </w:t>
      </w:r>
      <w:r>
        <w:t>sequencing</w:t>
      </w:r>
      <w:r w:rsidR="00427468">
        <w:t xml:space="preserve"> of </w:t>
      </w:r>
      <w:r>
        <w:t>these papers allows</w:t>
      </w:r>
      <w:r w:rsidR="003A1917">
        <w:t xml:space="preserve"> the </w:t>
      </w:r>
      <w:r>
        <w:t>development</w:t>
      </w:r>
      <w:r w:rsidR="00427468">
        <w:t xml:space="preserve"> of </w:t>
      </w:r>
      <w:r>
        <w:t>important physiological concepts to be tracked. A series</w:t>
      </w:r>
      <w:r w:rsidR="00427468">
        <w:t xml:space="preserve"> of </w:t>
      </w:r>
      <w:r>
        <w:t>papers concerned with capillary filtration is suggested,</w:t>
      </w:r>
      <w:r w:rsidR="005853A9">
        <w:t xml:space="preserve"> and </w:t>
      </w:r>
      <w:r w:rsidR="003A1917">
        <w:t xml:space="preserve">the </w:t>
      </w:r>
      <w:r>
        <w:t>contribution</w:t>
      </w:r>
      <w:r w:rsidR="00427468">
        <w:t xml:space="preserve"> of </w:t>
      </w:r>
      <w:r>
        <w:t>each to</w:t>
      </w:r>
      <w:r w:rsidR="003A1917">
        <w:t xml:space="preserve"> the </w:t>
      </w:r>
      <w:r>
        <w:t>developing story is outlined. This approach allows students to develop critical</w:t>
      </w:r>
      <w:r w:rsidR="005853A9">
        <w:t xml:space="preserve"> and </w:t>
      </w:r>
      <w:r>
        <w:t>presentation skills</w:t>
      </w:r>
      <w:r w:rsidR="005853A9">
        <w:t xml:space="preserve"> and </w:t>
      </w:r>
      <w:r>
        <w:t>provides them with a case study</w:t>
      </w:r>
      <w:r w:rsidR="00427468">
        <w:t xml:space="preserve"> of </w:t>
      </w:r>
      <w:r w:rsidR="003A1917">
        <w:t xml:space="preserve">the </w:t>
      </w:r>
      <w:r>
        <w:t>scientific method as it is applied to physiology as well as establishing an appropriate knowledge base concerning</w:t>
      </w:r>
      <w:r w:rsidR="003A1917">
        <w:t xml:space="preserve"> the </w:t>
      </w:r>
      <w:r>
        <w:t>role</w:t>
      </w:r>
      <w:r w:rsidR="00427468">
        <w:t xml:space="preserve"> of </w:t>
      </w:r>
      <w:r>
        <w:t>hydrostatic</w:t>
      </w:r>
      <w:r w:rsidR="005853A9">
        <w:t xml:space="preserve"> and </w:t>
      </w:r>
      <w:r>
        <w:t>oncotic forces in capillary fluid exchange. Relevant teaching points are explored further using questions based on a figure from one</w:t>
      </w:r>
      <w:r w:rsidR="00427468">
        <w:t xml:space="preserve"> of </w:t>
      </w:r>
      <w:r w:rsidR="003A1917">
        <w:t xml:space="preserve">the </w:t>
      </w:r>
      <w:r>
        <w:t xml:space="preserve">three classic papers used: </w:t>
      </w:r>
      <w:r w:rsidR="00B5188C">
        <w:t>“</w:t>
      </w:r>
      <w:r>
        <w:t>Microinjection studies</w:t>
      </w:r>
      <w:r w:rsidR="00427468">
        <w:t xml:space="preserve"> of </w:t>
      </w:r>
      <w:r>
        <w:t>capillary permeability: II</w:t>
      </w:r>
      <w:r w:rsidR="00A37C1D">
        <w:t>. The</w:t>
      </w:r>
      <w:r w:rsidR="003A1917">
        <w:t xml:space="preserve"> </w:t>
      </w:r>
      <w:r>
        <w:t>relationship between capillary pressure</w:t>
      </w:r>
      <w:r w:rsidR="005853A9">
        <w:t xml:space="preserve"> and </w:t>
      </w:r>
      <w:r w:rsidR="003A1917">
        <w:t xml:space="preserve">the </w:t>
      </w:r>
      <w:r>
        <w:t>rate at which fluid passes through</w:t>
      </w:r>
      <w:r w:rsidR="003A1917">
        <w:t xml:space="preserve"> the </w:t>
      </w:r>
      <w:r>
        <w:t>walls</w:t>
      </w:r>
      <w:r w:rsidR="00427468">
        <w:t xml:space="preserve"> of </w:t>
      </w:r>
      <w:r>
        <w:t>single capillaries,</w:t>
      </w:r>
      <w:r w:rsidR="00B5188C">
        <w:t>”</w:t>
      </w:r>
      <w:r>
        <w:t xml:space="preserve"> by E. M. Landis (Am J Physiol 82: 217 - 238, 1927).</w:t>
      </w:r>
    </w:p>
    <w:p w:rsidR="00623D75" w:rsidRDefault="00623D75" w:rsidP="00623D75">
      <w:pPr>
        <w:pStyle w:val="a3"/>
      </w:pPr>
      <w:r>
        <w:t>Keywords: Teaching Methods, Oncotic Pressures, Frog Mesentery, Microinjection</w:t>
      </w:r>
    </w:p>
    <w:p w:rsidR="003474F2" w:rsidRPr="001A3D2B" w:rsidRDefault="003474F2" w:rsidP="003474F2">
      <w:pPr>
        <w:pStyle w:val="1"/>
      </w:pPr>
      <w:r w:rsidRPr="001A3D2B">
        <w:br w:type="page"/>
      </w:r>
      <w:bookmarkStart w:id="151" w:name="_Toc420814323"/>
      <w:r w:rsidRPr="001A3D2B">
        <w:lastRenderedPageBreak/>
        <w:t>Title: Advances in Psychological Science</w:t>
      </w:r>
      <w:bookmarkEnd w:id="151"/>
    </w:p>
    <w:p w:rsidR="003474F2" w:rsidRPr="001A3D2B" w:rsidRDefault="003474F2" w:rsidP="003474F2">
      <w:pPr>
        <w:pStyle w:val="12"/>
      </w:pPr>
      <w:r w:rsidRPr="001A3D2B">
        <w:t xml:space="preserve">Full Journal Title: </w:t>
      </w:r>
      <w:hyperlink r:id="rId270" w:history="1">
        <w:r w:rsidRPr="001A3D2B">
          <w:rPr>
            <w:rStyle w:val="a5"/>
          </w:rPr>
          <w:t>Advances in Psychological 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Liu, Z.Y.</w:t>
      </w:r>
      <w:r w:rsidR="005853A9">
        <w:t xml:space="preserve"> and </w:t>
      </w:r>
      <w:r w:rsidRPr="001A3D2B">
        <w:t>Li, L.Y. (2007), Quantitative analysis on literatures</w:t>
      </w:r>
      <w:r w:rsidR="00427468">
        <w:t xml:space="preserve"> of </w:t>
      </w:r>
      <w:r w:rsidRPr="001A3D2B">
        <w:t xml:space="preserve">self-disclosure in </w:t>
      </w:r>
      <w:r w:rsidR="00D5664A">
        <w:t>SSCI</w:t>
      </w:r>
      <w:r w:rsidRPr="001A3D2B">
        <w:t xml:space="preserve">. </w:t>
      </w:r>
      <w:r w:rsidRPr="001A3D2B">
        <w:rPr>
          <w:i/>
        </w:rPr>
        <w:t>Advances in Psychological Science</w:t>
      </w:r>
      <w:r w:rsidRPr="001A3D2B">
        <w:t xml:space="preserve">, </w:t>
      </w:r>
      <w:r w:rsidRPr="001A3D2B">
        <w:rPr>
          <w:b/>
        </w:rPr>
        <w:t>15</w:t>
      </w:r>
      <w:r w:rsidRPr="001A3D2B">
        <w:t xml:space="preserve"> (3), 476-481.</w:t>
      </w:r>
    </w:p>
    <w:p w:rsidR="003474F2" w:rsidRPr="001A3D2B" w:rsidRDefault="003474F2" w:rsidP="003474F2">
      <w:pPr>
        <w:pStyle w:val="a3"/>
      </w:pPr>
      <w:r w:rsidRPr="001A3D2B">
        <w:t xml:space="preserve">Full Text: </w:t>
      </w:r>
      <w:hyperlink r:id="rId271" w:history="1">
        <w:r w:rsidRPr="001A3D2B">
          <w:rPr>
            <w:rStyle w:val="a5"/>
          </w:rPr>
          <w:t>2007\Adv Psy Sci15, 476.pdf</w:t>
        </w:r>
      </w:hyperlink>
    </w:p>
    <w:p w:rsidR="003474F2" w:rsidRPr="001A3D2B" w:rsidRDefault="003474F2" w:rsidP="003474F2">
      <w:pPr>
        <w:pStyle w:val="a3"/>
      </w:pPr>
      <w:r w:rsidRPr="001A3D2B">
        <w:t>Abstract: Based on bibliometric approach,</w:t>
      </w:r>
      <w:r w:rsidR="003A1917">
        <w:t xml:space="preserve"> the </w:t>
      </w:r>
      <w:r w:rsidRPr="001A3D2B">
        <w:t>authors make a statistical analysis</w:t>
      </w:r>
      <w:r w:rsidR="00427468">
        <w:t xml:space="preserve"> of </w:t>
      </w:r>
      <w:r w:rsidR="003A1917">
        <w:t xml:space="preserve">the </w:t>
      </w:r>
      <w:r w:rsidRPr="001A3D2B">
        <w:t xml:space="preserve">literatures on self-disclosure from 1975 to </w:t>
      </w:r>
      <w:smartTag w:uri="urn:schemas-microsoft-com:office:smarttags" w:element="chmetcnv">
        <w:smartTagPr>
          <w:attr w:name="TCSC" w:val="0"/>
          <w:attr w:name="NumberType" w:val="1"/>
          <w:attr w:name="Negative" w:val="False"/>
          <w:attr w:name="HasSpace" w:val="True"/>
          <w:attr w:name="SourceValue" w:val="2005"/>
          <w:attr w:name="UnitName" w:val="in"/>
        </w:smartTagPr>
        <w:r w:rsidRPr="001A3D2B">
          <w:t>2005 in</w:t>
        </w:r>
      </w:smartTag>
      <w:r w:rsidR="008E3069">
        <w:t xml:space="preserve"> </w:t>
      </w:r>
      <w:r w:rsidR="00D5664A">
        <w:t>SSCI</w:t>
      </w:r>
      <w:r w:rsidR="008E3069">
        <w:t>,</w:t>
      </w:r>
      <w:r w:rsidR="005853A9">
        <w:t xml:space="preserve"> and </w:t>
      </w:r>
      <w:r w:rsidRPr="001A3D2B">
        <w:t>reveal</w:t>
      </w:r>
      <w:r w:rsidR="003A1917">
        <w:t xml:space="preserve"> the </w:t>
      </w:r>
      <w:r w:rsidRPr="001A3D2B">
        <w:t>main subject areas, sources, researchers</w:t>
      </w:r>
      <w:r w:rsidR="005853A9">
        <w:t xml:space="preserve"> and </w:t>
      </w:r>
      <w:r w:rsidRPr="001A3D2B">
        <w:t>development trends in this specific research area, especially those</w:t>
      </w:r>
      <w:r w:rsidR="00427468">
        <w:t xml:space="preserve"> of </w:t>
      </w:r>
      <w:r w:rsidR="003A1917">
        <w:t xml:space="preserve">the </w:t>
      </w:r>
      <w:r w:rsidRPr="001A3D2B">
        <w:t>38 domestic academic papers by experts from Hongkong, Taiwan</w:t>
      </w:r>
      <w:r w:rsidR="005853A9">
        <w:t xml:space="preserve"> and </w:t>
      </w:r>
      <w:r w:rsidRPr="001A3D2B">
        <w:t>China mainland, which focus on</w:t>
      </w:r>
      <w:r w:rsidR="003A1917">
        <w:t xml:space="preserve"> the </w:t>
      </w:r>
      <w:r w:rsidRPr="001A3D2B">
        <w:t>influence</w:t>
      </w:r>
      <w:r w:rsidR="00427468">
        <w:t xml:space="preserve"> of </w:t>
      </w:r>
      <w:r w:rsidRPr="001A3D2B">
        <w:t>Chinese culture</w:t>
      </w:r>
      <w:r w:rsidR="005853A9">
        <w:t xml:space="preserve"> and </w:t>
      </w:r>
      <w:r w:rsidRPr="001A3D2B">
        <w:t>on some similar hot issues, research subjects,</w:t>
      </w:r>
      <w:r w:rsidR="005853A9">
        <w:t xml:space="preserve"> and </w:t>
      </w:r>
      <w:r w:rsidRPr="001A3D2B">
        <w:t>methods compared with</w:t>
      </w:r>
      <w:r w:rsidR="003A1917">
        <w:t xml:space="preserve"> the </w:t>
      </w:r>
      <w:r w:rsidRPr="001A3D2B">
        <w:t>foreign studies. From</w:t>
      </w:r>
      <w:r w:rsidR="003A1917">
        <w:t xml:space="preserve"> the </w:t>
      </w:r>
      <w:r w:rsidRPr="001A3D2B">
        <w:t>perspec...</w:t>
      </w:r>
    </w:p>
    <w:p w:rsidR="003474F2" w:rsidRPr="001A3D2B" w:rsidRDefault="003474F2" w:rsidP="003474F2">
      <w:pPr>
        <w:pStyle w:val="a3"/>
      </w:pPr>
      <w:r w:rsidRPr="001A3D2B">
        <w:t>Keywords: Self-Disclosure,</w:t>
      </w:r>
      <w:r w:rsidR="008E3069">
        <w:t xml:space="preserve"> </w:t>
      </w:r>
      <w:r w:rsidR="00D5664A">
        <w:t>SSCI</w:t>
      </w:r>
      <w:r w:rsidR="008E3069">
        <w:t>,</w:t>
      </w:r>
      <w:r w:rsidRPr="001A3D2B">
        <w:t xml:space="preserve"> Bibliometric Analysis</w:t>
      </w:r>
    </w:p>
    <w:p w:rsidR="00AC58DA" w:rsidRPr="001A3D2B" w:rsidRDefault="00AC58DA" w:rsidP="00AC58DA">
      <w:pPr>
        <w:pStyle w:val="1"/>
      </w:pPr>
      <w:r w:rsidRPr="001A3D2B">
        <w:br w:type="page"/>
      </w:r>
      <w:bookmarkStart w:id="152" w:name="_Toc420814324"/>
      <w:r w:rsidRPr="001A3D2B">
        <w:lastRenderedPageBreak/>
        <w:t xml:space="preserve">Title: </w:t>
      </w:r>
      <w:r w:rsidRPr="00AC58DA">
        <w:rPr>
          <w:iCs w:val="0"/>
        </w:rPr>
        <w:t>Aesthetic Plastic Surgery</w:t>
      </w:r>
      <w:bookmarkEnd w:id="152"/>
    </w:p>
    <w:p w:rsidR="00AC58DA" w:rsidRPr="001A3D2B" w:rsidRDefault="00AC58DA" w:rsidP="00AC58DA">
      <w:pPr>
        <w:pStyle w:val="12"/>
      </w:pPr>
      <w:r w:rsidRPr="001A3D2B">
        <w:t xml:space="preserve">Full Journal Title: </w:t>
      </w:r>
      <w:r w:rsidRPr="00AC58DA">
        <w:rPr>
          <w:iCs/>
          <w:kern w:val="0"/>
        </w:rPr>
        <w:t>Aesthetic Plastic Surgery</w:t>
      </w:r>
    </w:p>
    <w:p w:rsidR="00AC58DA" w:rsidRPr="001A3D2B" w:rsidRDefault="00AC58DA" w:rsidP="00AC58DA">
      <w:pPr>
        <w:pStyle w:val="12"/>
      </w:pPr>
      <w:r w:rsidRPr="001A3D2B">
        <w:t xml:space="preserve">ISO Abbreviated Title: </w:t>
      </w:r>
    </w:p>
    <w:p w:rsidR="00AC58DA" w:rsidRPr="001A3D2B" w:rsidRDefault="00AC58DA" w:rsidP="00AC58DA">
      <w:pPr>
        <w:pStyle w:val="12"/>
      </w:pPr>
      <w:r w:rsidRPr="001A3D2B">
        <w:t xml:space="preserve">JCR Abbreviated Title: </w:t>
      </w:r>
    </w:p>
    <w:p w:rsidR="00AC58DA" w:rsidRPr="001A3D2B" w:rsidRDefault="00AC58DA" w:rsidP="00AC58DA">
      <w:pPr>
        <w:pStyle w:val="12"/>
      </w:pPr>
      <w:r w:rsidRPr="001A3D2B">
        <w:t xml:space="preserve">ISSN: </w:t>
      </w:r>
    </w:p>
    <w:p w:rsidR="00AC58DA" w:rsidRPr="001A3D2B" w:rsidRDefault="00AC58DA" w:rsidP="00AC58DA">
      <w:pPr>
        <w:pStyle w:val="12"/>
      </w:pPr>
      <w:r w:rsidRPr="001A3D2B">
        <w:t xml:space="preserve">Issues/Year: </w:t>
      </w:r>
    </w:p>
    <w:p w:rsidR="00AC58DA" w:rsidRPr="001A3D2B" w:rsidRDefault="00AC58DA" w:rsidP="00AC58DA">
      <w:pPr>
        <w:pStyle w:val="12"/>
      </w:pPr>
      <w:r w:rsidRPr="001A3D2B">
        <w:t xml:space="preserve">Journal Country/Territory: </w:t>
      </w:r>
    </w:p>
    <w:p w:rsidR="00AC58DA" w:rsidRPr="001A3D2B" w:rsidRDefault="00AC58DA" w:rsidP="00AC58DA">
      <w:pPr>
        <w:pStyle w:val="12"/>
      </w:pPr>
      <w:r w:rsidRPr="001A3D2B">
        <w:t xml:space="preserve">Language: </w:t>
      </w:r>
    </w:p>
    <w:p w:rsidR="00AC58DA" w:rsidRPr="001A3D2B" w:rsidRDefault="00AC58DA" w:rsidP="00AC58DA">
      <w:pPr>
        <w:pStyle w:val="12"/>
      </w:pPr>
      <w:r w:rsidRPr="001A3D2B">
        <w:t xml:space="preserve">Publisher: </w:t>
      </w:r>
    </w:p>
    <w:p w:rsidR="00AC58DA" w:rsidRPr="001A3D2B" w:rsidRDefault="00AC58DA" w:rsidP="00AC58DA">
      <w:pPr>
        <w:pStyle w:val="12"/>
      </w:pPr>
      <w:r w:rsidRPr="001A3D2B">
        <w:t xml:space="preserve">Publisher Address: </w:t>
      </w:r>
    </w:p>
    <w:p w:rsidR="00AC58DA" w:rsidRPr="001A3D2B" w:rsidRDefault="00AC58DA" w:rsidP="00AC58DA">
      <w:pPr>
        <w:pStyle w:val="12"/>
      </w:pPr>
      <w:r w:rsidRPr="001A3D2B">
        <w:t xml:space="preserve">Subject Categories: </w:t>
      </w:r>
    </w:p>
    <w:p w:rsidR="00AC58DA" w:rsidRPr="001A3D2B" w:rsidRDefault="00AC58DA" w:rsidP="00AC58DA">
      <w:pPr>
        <w:pStyle w:val="12"/>
      </w:pPr>
      <w:r w:rsidRPr="001A3D2B">
        <w:t xml:space="preserve">: Impact Factor </w:t>
      </w:r>
    </w:p>
    <w:p w:rsidR="00AC58DA" w:rsidRDefault="00AC58DA" w:rsidP="00AC58DA">
      <w:pPr>
        <w:pStyle w:val="a3"/>
        <w:rPr>
          <w:kern w:val="0"/>
        </w:rPr>
      </w:pPr>
      <w:r>
        <w:rPr>
          <w:rFonts w:hint="eastAsia"/>
          <w:kern w:val="0"/>
        </w:rPr>
        <w:t xml:space="preserve">? </w:t>
      </w:r>
      <w:r>
        <w:rPr>
          <w:kern w:val="0"/>
        </w:rPr>
        <w:t>Ferreira, L.M., Hochman, B., Locali, R.F.</w:t>
      </w:r>
      <w:r w:rsidR="005853A9">
        <w:rPr>
          <w:kern w:val="0"/>
        </w:rPr>
        <w:t xml:space="preserve"> and </w:t>
      </w:r>
      <w:r>
        <w:rPr>
          <w:kern w:val="0"/>
        </w:rPr>
        <w:t>Rosa-Oliveira, L.M.Q. (2006), A stratigraphic approach to</w:t>
      </w:r>
      <w:r w:rsidR="003A1917">
        <w:rPr>
          <w:kern w:val="0"/>
        </w:rPr>
        <w:t xml:space="preserve"> the </w:t>
      </w:r>
      <w:r>
        <w:rPr>
          <w:kern w:val="0"/>
        </w:rPr>
        <w:t>superficial musculoaponeurotic system</w:t>
      </w:r>
      <w:r w:rsidR="005853A9">
        <w:rPr>
          <w:kern w:val="0"/>
        </w:rPr>
        <w:t xml:space="preserve"> and </w:t>
      </w:r>
      <w:r>
        <w:rPr>
          <w:kern w:val="0"/>
        </w:rPr>
        <w:t>its anatomic correlation with</w:t>
      </w:r>
      <w:r w:rsidR="003A1917">
        <w:rPr>
          <w:kern w:val="0"/>
        </w:rPr>
        <w:t xml:space="preserve"> the </w:t>
      </w:r>
      <w:r>
        <w:rPr>
          <w:kern w:val="0"/>
        </w:rPr>
        <w:t xml:space="preserve">superficial fascia. </w:t>
      </w:r>
      <w:r w:rsidRPr="00AC58DA">
        <w:rPr>
          <w:i/>
          <w:iCs/>
          <w:kern w:val="0"/>
        </w:rPr>
        <w:t>Aesthetic Plastic Surgery</w:t>
      </w:r>
      <w:r>
        <w:rPr>
          <w:kern w:val="0"/>
        </w:rPr>
        <w:t xml:space="preserve">, </w:t>
      </w:r>
      <w:r>
        <w:rPr>
          <w:b/>
          <w:bCs/>
          <w:kern w:val="0"/>
        </w:rPr>
        <w:t>30</w:t>
      </w:r>
      <w:r>
        <w:rPr>
          <w:kern w:val="0"/>
        </w:rPr>
        <w:t xml:space="preserve"> (5), 549-552.</w:t>
      </w:r>
    </w:p>
    <w:p w:rsidR="00AC58DA" w:rsidRDefault="00AC58DA" w:rsidP="00AC58DA">
      <w:pPr>
        <w:pStyle w:val="a3"/>
        <w:rPr>
          <w:kern w:val="0"/>
        </w:rPr>
      </w:pPr>
      <w:r>
        <w:rPr>
          <w:rFonts w:hint="eastAsia"/>
          <w:kern w:val="0"/>
        </w:rPr>
        <w:t xml:space="preserve">Full Text: </w:t>
      </w:r>
      <w:hyperlink r:id="rId272" w:history="1">
        <w:r w:rsidRPr="00AC58DA">
          <w:rPr>
            <w:rStyle w:val="a5"/>
            <w:kern w:val="0"/>
          </w:rPr>
          <w:t>2006\Aes Pla Sur30, 549.pdf</w:t>
        </w:r>
      </w:hyperlink>
    </w:p>
    <w:p w:rsidR="00AC58DA" w:rsidRDefault="00AC58DA" w:rsidP="00AC58DA">
      <w:pPr>
        <w:pStyle w:val="a3"/>
        <w:rPr>
          <w:kern w:val="0"/>
        </w:rPr>
      </w:pPr>
      <w:r>
        <w:rPr>
          <w:kern w:val="0"/>
        </w:rPr>
        <w:t>Abstract:</w:t>
      </w:r>
      <w:r w:rsidR="003A1917">
        <w:rPr>
          <w:kern w:val="0"/>
        </w:rPr>
        <w:t xml:space="preserve"> the </w:t>
      </w:r>
      <w:r>
        <w:rPr>
          <w:kern w:val="0"/>
        </w:rPr>
        <w:t>superficial musculoaponeurotic system (SMAS) is not included in</w:t>
      </w:r>
      <w:r w:rsidR="003A1917">
        <w:rPr>
          <w:kern w:val="0"/>
        </w:rPr>
        <w:t xml:space="preserve"> the </w:t>
      </w:r>
      <w:r>
        <w:rPr>
          <w:kern w:val="0"/>
        </w:rPr>
        <w:t>International Anatomic Terminology, although it is a fundamental anatomical structure in plastic surgeons. In</w:t>
      </w:r>
      <w:r w:rsidR="003A1917">
        <w:rPr>
          <w:kern w:val="0"/>
        </w:rPr>
        <w:t xml:space="preserve"> the </w:t>
      </w:r>
      <w:r>
        <w:rPr>
          <w:kern w:val="0"/>
        </w:rPr>
        <w:t>literature,</w:t>
      </w:r>
      <w:r w:rsidR="003A1917">
        <w:rPr>
          <w:kern w:val="0"/>
        </w:rPr>
        <w:t xml:space="preserve"> the </w:t>
      </w:r>
      <w:r>
        <w:rPr>
          <w:kern w:val="0"/>
        </w:rPr>
        <w:t>concept</w:t>
      </w:r>
      <w:r w:rsidR="00427468">
        <w:rPr>
          <w:kern w:val="0"/>
        </w:rPr>
        <w:t xml:space="preserve"> of </w:t>
      </w:r>
      <w:r w:rsidR="003A1917">
        <w:rPr>
          <w:kern w:val="0"/>
        </w:rPr>
        <w:t xml:space="preserve">the </w:t>
      </w:r>
      <w:r>
        <w:rPr>
          <w:kern w:val="0"/>
        </w:rPr>
        <w:t>SMAS is not clear, leading to repercussions in</w:t>
      </w:r>
      <w:r w:rsidR="003A1917">
        <w:rPr>
          <w:kern w:val="0"/>
        </w:rPr>
        <w:t xml:space="preserve"> the </w:t>
      </w:r>
      <w:r>
        <w:rPr>
          <w:kern w:val="0"/>
        </w:rPr>
        <w:t>treatment</w:t>
      </w:r>
      <w:r w:rsidR="00427468">
        <w:rPr>
          <w:kern w:val="0"/>
        </w:rPr>
        <w:t xml:space="preserve"> of </w:t>
      </w:r>
      <w:r w:rsidR="003A1917">
        <w:rPr>
          <w:kern w:val="0"/>
        </w:rPr>
        <w:t xml:space="preserve">the </w:t>
      </w:r>
      <w:r>
        <w:rPr>
          <w:kern w:val="0"/>
        </w:rPr>
        <w:t>SMAS via</w:t>
      </w:r>
      <w:r w:rsidR="003A1917">
        <w:rPr>
          <w:kern w:val="0"/>
        </w:rPr>
        <w:t xml:space="preserve"> the </w:t>
      </w:r>
      <w:r>
        <w:rPr>
          <w:kern w:val="0"/>
        </w:rPr>
        <w:t>various techniques for rhytidoplasty. This review article, in its aim to conceptualize</w:t>
      </w:r>
      <w:r w:rsidR="003A1917">
        <w:rPr>
          <w:kern w:val="0"/>
        </w:rPr>
        <w:t xml:space="preserve"> the </w:t>
      </w:r>
      <w:r>
        <w:rPr>
          <w:kern w:val="0"/>
        </w:rPr>
        <w:t>SMAS, has as a referential parameter</w:t>
      </w:r>
      <w:r w:rsidR="003A1917">
        <w:rPr>
          <w:kern w:val="0"/>
        </w:rPr>
        <w:t xml:space="preserve"> the </w:t>
      </w:r>
      <w:r>
        <w:rPr>
          <w:kern w:val="0"/>
        </w:rPr>
        <w:t>basic stratigraphic pattern</w:t>
      </w:r>
      <w:r w:rsidR="00427468">
        <w:rPr>
          <w:kern w:val="0"/>
        </w:rPr>
        <w:t xml:space="preserve"> of </w:t>
      </w:r>
      <w:r w:rsidR="003A1917">
        <w:rPr>
          <w:kern w:val="0"/>
        </w:rPr>
        <w:t xml:space="preserve">the </w:t>
      </w:r>
      <w:r>
        <w:rPr>
          <w:kern w:val="0"/>
        </w:rPr>
        <w:t>human body construction. A systematic review</w:t>
      </w:r>
      <w:r w:rsidR="00427468">
        <w:rPr>
          <w:kern w:val="0"/>
        </w:rPr>
        <w:t xml:space="preserve"> of </w:t>
      </w:r>
      <w:r w:rsidR="003A1917">
        <w:rPr>
          <w:kern w:val="0"/>
        </w:rPr>
        <w:t xml:space="preserve">the </w:t>
      </w:r>
      <w:r>
        <w:rPr>
          <w:kern w:val="0"/>
        </w:rPr>
        <w:t xml:space="preserve">literature was performed through </w:t>
      </w:r>
      <w:r w:rsidR="00D5664A">
        <w:rPr>
          <w:kern w:val="0"/>
        </w:rPr>
        <w:t>MEDLINE</w:t>
      </w:r>
      <w:r>
        <w:rPr>
          <w:kern w:val="0"/>
        </w:rPr>
        <w:t>, ISI-</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Lilacs databases as well as through classical treatises</w:t>
      </w:r>
      <w:r w:rsidR="00427468">
        <w:rPr>
          <w:kern w:val="0"/>
        </w:rPr>
        <w:t xml:space="preserve"> of </w:t>
      </w:r>
      <w:r>
        <w:rPr>
          <w:kern w:val="0"/>
        </w:rPr>
        <w:t>anatomy for analyses</w:t>
      </w:r>
      <w:r w:rsidR="00427468">
        <w:rPr>
          <w:kern w:val="0"/>
        </w:rPr>
        <w:t xml:space="preserve"> of </w:t>
      </w:r>
      <w:r w:rsidR="003A1917">
        <w:rPr>
          <w:kern w:val="0"/>
        </w:rPr>
        <w:t xml:space="preserve">the </w:t>
      </w:r>
      <w:r>
        <w:rPr>
          <w:kern w:val="0"/>
        </w:rPr>
        <w:t>stratigraphic principle</w:t>
      </w:r>
      <w:r w:rsidR="00427468">
        <w:rPr>
          <w:kern w:val="0"/>
        </w:rPr>
        <w:t xml:space="preserve"> of </w:t>
      </w:r>
      <w:r>
        <w:rPr>
          <w:kern w:val="0"/>
        </w:rPr>
        <w:t>SMAS</w:t>
      </w:r>
      <w:r w:rsidR="005853A9">
        <w:rPr>
          <w:kern w:val="0"/>
        </w:rPr>
        <w:t xml:space="preserve"> and </w:t>
      </w:r>
      <w:r>
        <w:rPr>
          <w:kern w:val="0"/>
        </w:rPr>
        <w:t>its relationship to</w:t>
      </w:r>
      <w:r w:rsidR="003A1917">
        <w:rPr>
          <w:kern w:val="0"/>
        </w:rPr>
        <w:t xml:space="preserve"> the </w:t>
      </w:r>
      <w:r>
        <w:rPr>
          <w:kern w:val="0"/>
        </w:rPr>
        <w:t>fascia. In fact, SMAS, an anatomic entity, is part</w:t>
      </w:r>
      <w:r w:rsidR="00427468">
        <w:rPr>
          <w:kern w:val="0"/>
        </w:rPr>
        <w:t xml:space="preserve"> of </w:t>
      </w:r>
      <w:r>
        <w:rPr>
          <w:kern w:val="0"/>
        </w:rPr>
        <w:t>this construction model</w:t>
      </w:r>
      <w:r w:rsidR="00A37C1D">
        <w:rPr>
          <w:kern w:val="0"/>
        </w:rPr>
        <w:t>. The</w:t>
      </w:r>
      <w:r w:rsidR="003A1917">
        <w:rPr>
          <w:kern w:val="0"/>
        </w:rPr>
        <w:t xml:space="preserve"> </w:t>
      </w:r>
      <w:r>
        <w:rPr>
          <w:kern w:val="0"/>
        </w:rPr>
        <w:t>stratigraphic approach followed in this article to describe</w:t>
      </w:r>
      <w:r w:rsidR="003A1917">
        <w:rPr>
          <w:kern w:val="0"/>
        </w:rPr>
        <w:t xml:space="preserve"> the </w:t>
      </w:r>
      <w:r>
        <w:rPr>
          <w:kern w:val="0"/>
        </w:rPr>
        <w:t>SMAS is novel in</w:t>
      </w:r>
      <w:r w:rsidR="003A1917">
        <w:rPr>
          <w:kern w:val="0"/>
        </w:rPr>
        <w:t xml:space="preserve"> the </w:t>
      </w:r>
      <w:r>
        <w:rPr>
          <w:kern w:val="0"/>
        </w:rPr>
        <w:t>literature</w:t>
      </w:r>
      <w:r w:rsidR="005853A9">
        <w:rPr>
          <w:kern w:val="0"/>
        </w:rPr>
        <w:t xml:space="preserve"> and </w:t>
      </w:r>
      <w:r>
        <w:rPr>
          <w:kern w:val="0"/>
        </w:rPr>
        <w:t>allows for a unified anatomic understanding</w:t>
      </w:r>
      <w:r w:rsidR="00427468">
        <w:rPr>
          <w:kern w:val="0"/>
        </w:rPr>
        <w:t xml:space="preserve"> of </w:t>
      </w:r>
      <w:r>
        <w:rPr>
          <w:kern w:val="0"/>
        </w:rPr>
        <w:t>SMAS for</w:t>
      </w:r>
      <w:r w:rsidR="003A1917">
        <w:rPr>
          <w:kern w:val="0"/>
        </w:rPr>
        <w:t xml:space="preserve"> the </w:t>
      </w:r>
      <w:r>
        <w:rPr>
          <w:kern w:val="0"/>
        </w:rPr>
        <w:t>scientific community.</w:t>
      </w:r>
    </w:p>
    <w:p w:rsidR="00AC58DA" w:rsidRDefault="00AC58DA" w:rsidP="00AC58DA">
      <w:pPr>
        <w:pStyle w:val="a3"/>
        <w:rPr>
          <w:kern w:val="0"/>
        </w:rPr>
      </w:pPr>
      <w:r>
        <w:rPr>
          <w:kern w:val="0"/>
        </w:rPr>
        <w:t>Keywords: Anatomy, Databases, Face, Face, Human, Literature, Model, Nose, Review, Science, Smas, Subcutaneous Tissue, Superficial Musculo-Aponeurotic System, Surgery, Surgical Anatomy, Systematic, Systematic Review, Treatment, Vectors, Viscoelastic Properties</w:t>
      </w:r>
    </w:p>
    <w:p w:rsidR="00AC58DA" w:rsidRDefault="00AC58DA" w:rsidP="00AC58DA">
      <w:pPr>
        <w:pStyle w:val="a3"/>
        <w:rPr>
          <w:kern w:val="0"/>
        </w:rPr>
      </w:pPr>
      <w:r>
        <w:rPr>
          <w:rFonts w:hint="eastAsia"/>
          <w:kern w:val="0"/>
        </w:rPr>
        <w:t xml:space="preserve">? </w:t>
      </w:r>
      <w:r>
        <w:rPr>
          <w:kern w:val="0"/>
        </w:rPr>
        <w:t>Momeni, A., Becker, A., Torio-Padron, N., Iblher, N., Stark, G.B.</w:t>
      </w:r>
      <w:r w:rsidR="005853A9">
        <w:rPr>
          <w:kern w:val="0"/>
        </w:rPr>
        <w:t xml:space="preserve"> and </w:t>
      </w:r>
      <w:r>
        <w:rPr>
          <w:kern w:val="0"/>
        </w:rPr>
        <w:t>Bannasch, H. (2008), Nipple reconstruction: Evidence-based trials in</w:t>
      </w:r>
      <w:r w:rsidR="003A1917">
        <w:rPr>
          <w:kern w:val="0"/>
        </w:rPr>
        <w:t xml:space="preserve"> the </w:t>
      </w:r>
      <w:r>
        <w:rPr>
          <w:kern w:val="0"/>
        </w:rPr>
        <w:t xml:space="preserve">plastic surgical literature. </w:t>
      </w:r>
      <w:r>
        <w:rPr>
          <w:i/>
          <w:iCs/>
          <w:kern w:val="0"/>
        </w:rPr>
        <w:t>Aesthetic Plastic Surgery</w:t>
      </w:r>
      <w:r>
        <w:rPr>
          <w:kern w:val="0"/>
        </w:rPr>
        <w:t xml:space="preserve">, </w:t>
      </w:r>
      <w:r>
        <w:rPr>
          <w:b/>
          <w:bCs/>
          <w:kern w:val="0"/>
        </w:rPr>
        <w:t>32</w:t>
      </w:r>
      <w:r>
        <w:rPr>
          <w:kern w:val="0"/>
        </w:rPr>
        <w:t xml:space="preserve"> (1), 18-20.</w:t>
      </w:r>
    </w:p>
    <w:p w:rsidR="00AC58DA" w:rsidRDefault="00AC58DA" w:rsidP="00AC58DA">
      <w:pPr>
        <w:pStyle w:val="a3"/>
        <w:rPr>
          <w:kern w:val="0"/>
        </w:rPr>
      </w:pPr>
      <w:r>
        <w:rPr>
          <w:rFonts w:hint="eastAsia"/>
          <w:kern w:val="0"/>
        </w:rPr>
        <w:t xml:space="preserve">Full Text: </w:t>
      </w:r>
      <w:hyperlink r:id="rId273" w:history="1">
        <w:r w:rsidRPr="00AC58DA">
          <w:rPr>
            <w:rStyle w:val="a5"/>
            <w:kern w:val="0"/>
          </w:rPr>
          <w:t>2008\Aes Pla Sur32, 18.pdf</w:t>
        </w:r>
      </w:hyperlink>
    </w:p>
    <w:p w:rsidR="00AC58DA" w:rsidRDefault="00AC58DA" w:rsidP="00AC58DA">
      <w:pPr>
        <w:pStyle w:val="a3"/>
        <w:rPr>
          <w:kern w:val="0"/>
        </w:rPr>
      </w:pPr>
      <w:r>
        <w:rPr>
          <w:kern w:val="0"/>
        </w:rPr>
        <w:t>Abstract: Although many technical descriptions</w:t>
      </w:r>
      <w:r w:rsidR="00427468">
        <w:rPr>
          <w:kern w:val="0"/>
        </w:rPr>
        <w:t xml:space="preserve"> of </w:t>
      </w:r>
      <w:r>
        <w:rPr>
          <w:kern w:val="0"/>
        </w:rPr>
        <w:t>nipple reconstruction exist in</w:t>
      </w:r>
      <w:r w:rsidR="003A1917">
        <w:rPr>
          <w:kern w:val="0"/>
        </w:rPr>
        <w:t xml:space="preserve"> the </w:t>
      </w:r>
      <w:r>
        <w:rPr>
          <w:kern w:val="0"/>
        </w:rPr>
        <w:lastRenderedPageBreak/>
        <w:t>medical literature, insufficient evidence-based data are present about</w:t>
      </w:r>
      <w:r w:rsidR="003A1917">
        <w:rPr>
          <w:kern w:val="0"/>
        </w:rPr>
        <w:t xml:space="preserve"> the </w:t>
      </w:r>
      <w:r>
        <w:rPr>
          <w:kern w:val="0"/>
        </w:rPr>
        <w:t>outcome. This study aimed to identify randomized controlled trials (RCTs)</w:t>
      </w:r>
      <w:r w:rsidR="005853A9">
        <w:rPr>
          <w:kern w:val="0"/>
        </w:rPr>
        <w:t xml:space="preserve"> and </w:t>
      </w:r>
      <w:r>
        <w:rPr>
          <w:kern w:val="0"/>
        </w:rPr>
        <w:t>controlled clinical trials (CCTs) in</w:t>
      </w:r>
      <w:r w:rsidR="003A1917">
        <w:rPr>
          <w:kern w:val="0"/>
        </w:rPr>
        <w:t xml:space="preserve"> the </w:t>
      </w:r>
      <w:r>
        <w:rPr>
          <w:kern w:val="0"/>
        </w:rPr>
        <w:t>plastic surgical literature addressing nipple reconstruction,</w:t>
      </w:r>
      <w:r w:rsidR="005853A9">
        <w:rPr>
          <w:kern w:val="0"/>
        </w:rPr>
        <w:t xml:space="preserve"> and </w:t>
      </w:r>
      <w:r>
        <w:rPr>
          <w:kern w:val="0"/>
        </w:rPr>
        <w:t>to elucidate whether a hand search was superior to an extensive database search in retrieving all pertinent studies</w:t>
      </w:r>
      <w:r w:rsidR="00A37C1D">
        <w:rPr>
          <w:kern w:val="0"/>
        </w:rPr>
        <w:t>. The</w:t>
      </w:r>
      <w:r w:rsidR="003A1917">
        <w:rPr>
          <w:kern w:val="0"/>
        </w:rPr>
        <w:t xml:space="preserve"> </w:t>
      </w:r>
      <w:r>
        <w:rPr>
          <w:kern w:val="0"/>
        </w:rPr>
        <w:t>hand search included analysis</w:t>
      </w:r>
      <w:r w:rsidR="00427468">
        <w:rPr>
          <w:kern w:val="0"/>
        </w:rPr>
        <w:t xml:space="preserve"> of </w:t>
      </w:r>
      <w:r>
        <w:rPr>
          <w:kern w:val="0"/>
        </w:rPr>
        <w:t xml:space="preserve">all </w:t>
      </w:r>
      <w:r w:rsidR="00B5188C">
        <w:rPr>
          <w:kern w:val="0"/>
        </w:rPr>
        <w:t>“</w:t>
      </w:r>
      <w:r>
        <w:rPr>
          <w:kern w:val="0"/>
        </w:rPr>
        <w:t>original articles</w:t>
      </w:r>
      <w:r w:rsidR="00B5188C">
        <w:rPr>
          <w:kern w:val="0"/>
        </w:rPr>
        <w:t>”</w:t>
      </w:r>
      <w:r>
        <w:rPr>
          <w:kern w:val="0"/>
        </w:rPr>
        <w:t xml:space="preserve"> published in four</w:t>
      </w:r>
      <w:r w:rsidR="00427468">
        <w:rPr>
          <w:kern w:val="0"/>
        </w:rPr>
        <w:t xml:space="preserve"> of </w:t>
      </w:r>
      <w:r w:rsidR="003A1917">
        <w:rPr>
          <w:kern w:val="0"/>
        </w:rPr>
        <w:t xml:space="preserve">the </w:t>
      </w:r>
      <w:r>
        <w:rPr>
          <w:kern w:val="0"/>
        </w:rPr>
        <w:t>leading plastic surgery journals from January 1990 to December 2005, with subsequent identification</w:t>
      </w:r>
      <w:r w:rsidR="00427468">
        <w:rPr>
          <w:kern w:val="0"/>
        </w:rPr>
        <w:t xml:space="preserve"> of </w:t>
      </w:r>
      <w:r>
        <w:rPr>
          <w:kern w:val="0"/>
        </w:rPr>
        <w:t>RCTs</w:t>
      </w:r>
      <w:r w:rsidR="005853A9">
        <w:rPr>
          <w:kern w:val="0"/>
        </w:rPr>
        <w:t xml:space="preserve"> and </w:t>
      </w:r>
      <w:r>
        <w:rPr>
          <w:kern w:val="0"/>
        </w:rPr>
        <w:t>CCTs. Additionally, a computerized search was conducted including</w:t>
      </w:r>
      <w:r w:rsidR="003A1917">
        <w:rPr>
          <w:kern w:val="0"/>
        </w:rPr>
        <w:t xml:space="preserve"> the </w:t>
      </w:r>
      <w:r>
        <w:rPr>
          <w:kern w:val="0"/>
        </w:rPr>
        <w:t xml:space="preserve">following databases: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Evidence-Based Medicine Reviews. From a total</w:t>
      </w:r>
      <w:r w:rsidR="00427468">
        <w:rPr>
          <w:kern w:val="0"/>
        </w:rPr>
        <w:t xml:space="preserve"> of </w:t>
      </w:r>
      <w:r>
        <w:rPr>
          <w:kern w:val="0"/>
        </w:rPr>
        <w:t>10,476 published original articles in four plastic surgery journals over a 16-year period, only one RCT was identified that addressed nipple reconstruction</w:t>
      </w:r>
      <w:r w:rsidR="00A37C1D">
        <w:rPr>
          <w:kern w:val="0"/>
        </w:rPr>
        <w:t>. The</w:t>
      </w:r>
      <w:r w:rsidR="003A1917">
        <w:rPr>
          <w:kern w:val="0"/>
        </w:rPr>
        <w:t xml:space="preserve"> </w:t>
      </w:r>
      <w:r>
        <w:rPr>
          <w:kern w:val="0"/>
        </w:rPr>
        <w:t>database search, however, retrieved two trials:</w:t>
      </w:r>
      <w:r w:rsidR="003A1917">
        <w:rPr>
          <w:kern w:val="0"/>
        </w:rPr>
        <w:t xml:space="preserve"> the </w:t>
      </w:r>
      <w:r>
        <w:rPr>
          <w:kern w:val="0"/>
        </w:rPr>
        <w:t>RCT identified by hand search</w:t>
      </w:r>
      <w:r w:rsidR="005853A9">
        <w:rPr>
          <w:kern w:val="0"/>
        </w:rPr>
        <w:t xml:space="preserve"> and </w:t>
      </w:r>
      <w:r>
        <w:rPr>
          <w:kern w:val="0"/>
        </w:rPr>
        <w:t>one CCT</w:t>
      </w:r>
      <w:r w:rsidR="00A37C1D">
        <w:rPr>
          <w:kern w:val="0"/>
        </w:rPr>
        <w:t>. The</w:t>
      </w:r>
      <w:r w:rsidR="003A1917">
        <w:rPr>
          <w:kern w:val="0"/>
        </w:rPr>
        <w:t xml:space="preserve"> </w:t>
      </w:r>
      <w:r>
        <w:rPr>
          <w:kern w:val="0"/>
        </w:rPr>
        <w:t>impact</w:t>
      </w:r>
      <w:r w:rsidR="00427468">
        <w:rPr>
          <w:kern w:val="0"/>
        </w:rPr>
        <w:t xml:space="preserve"> of </w:t>
      </w:r>
      <w:r>
        <w:rPr>
          <w:kern w:val="0"/>
        </w:rPr>
        <w:t>nipple reconstruction is well described in</w:t>
      </w:r>
      <w:r w:rsidR="003A1917">
        <w:rPr>
          <w:kern w:val="0"/>
        </w:rPr>
        <w:t xml:space="preserve"> the </w:t>
      </w:r>
      <w:r>
        <w:rPr>
          <w:kern w:val="0"/>
        </w:rPr>
        <w:t>literature. However, it is astonishing that</w:t>
      </w:r>
      <w:r w:rsidR="003A1917">
        <w:rPr>
          <w:kern w:val="0"/>
        </w:rPr>
        <w:t xml:space="preserve"> the </w:t>
      </w:r>
      <w:r>
        <w:rPr>
          <w:kern w:val="0"/>
        </w:rPr>
        <w:t>plastic surgical literature lacks evidence-based trials addressing this issue. Clearly, more evidence-based trials are necessary to ensure that recommendations for a particular technique are based on solid scientific data.</w:t>
      </w:r>
    </w:p>
    <w:p w:rsidR="00AC58DA" w:rsidRDefault="00AC58DA" w:rsidP="00AC58DA">
      <w:pPr>
        <w:pStyle w:val="a3"/>
        <w:rPr>
          <w:kern w:val="0"/>
        </w:rPr>
      </w:pPr>
      <w:r>
        <w:rPr>
          <w:kern w:val="0"/>
        </w:rPr>
        <w:t xml:space="preserve">Keywords: Analysis, Areola Complex, Clinical Trials, Controlled Clinical Trials, Databases, Evidence-Based Medicine, Flap, Impact, Journals, Literature, Medical, Nipple Reconstruction, Outcome, Projection, </w:t>
      </w:r>
      <w:r w:rsidR="002C12F0">
        <w:rPr>
          <w:kern w:val="0"/>
        </w:rPr>
        <w:t>PUBMED</w:t>
      </w:r>
      <w:r>
        <w:rPr>
          <w:kern w:val="0"/>
        </w:rPr>
        <w:t xml:space="preserve">, Randomized Controlled Trials, Science, Surgery, Surgical, </w:t>
      </w:r>
      <w:r w:rsidR="00D5664A">
        <w:rPr>
          <w:kern w:val="0"/>
        </w:rPr>
        <w:t>Web</w:t>
      </w:r>
      <w:r w:rsidR="00427468">
        <w:rPr>
          <w:kern w:val="0"/>
        </w:rPr>
        <w:t xml:space="preserve"> of </w:t>
      </w:r>
      <w:r w:rsidR="00D5664A">
        <w:rPr>
          <w:kern w:val="0"/>
        </w:rPr>
        <w:t>Science</w:t>
      </w:r>
    </w:p>
    <w:p w:rsidR="00036F25" w:rsidRDefault="00036F25" w:rsidP="00036F25">
      <w:pPr>
        <w:pStyle w:val="a3"/>
        <w:rPr>
          <w:kern w:val="0"/>
        </w:rPr>
      </w:pPr>
      <w:r>
        <w:rPr>
          <w:rFonts w:hint="eastAsia"/>
          <w:kern w:val="0"/>
        </w:rPr>
        <w:t xml:space="preserve">? </w:t>
      </w:r>
      <w:r>
        <w:rPr>
          <w:kern w:val="0"/>
        </w:rPr>
        <w:t xml:space="preserve">Joyce, C.W., Joyce, K.M., Kelly, J.C., Kelly, J.L., Carroll, S.M. and Sugrue, C. (2015), An analysis of the “classic” papers in aesthetic surgery. </w:t>
      </w:r>
      <w:r>
        <w:rPr>
          <w:i/>
          <w:iCs/>
          <w:kern w:val="0"/>
        </w:rPr>
        <w:t>Aesthetic Plastic Surgery</w:t>
      </w:r>
      <w:r>
        <w:rPr>
          <w:kern w:val="0"/>
        </w:rPr>
        <w:t xml:space="preserve">, </w:t>
      </w:r>
      <w:r>
        <w:rPr>
          <w:b/>
          <w:bCs/>
          <w:kern w:val="0"/>
        </w:rPr>
        <w:t>39</w:t>
      </w:r>
      <w:r>
        <w:rPr>
          <w:kern w:val="0"/>
        </w:rPr>
        <w:t xml:space="preserve"> (1), 8-16.</w:t>
      </w:r>
    </w:p>
    <w:p w:rsidR="00036F25" w:rsidRDefault="00036F25" w:rsidP="00036F25">
      <w:pPr>
        <w:pStyle w:val="a3"/>
        <w:rPr>
          <w:kern w:val="0"/>
        </w:rPr>
      </w:pPr>
      <w:r>
        <w:rPr>
          <w:rFonts w:hint="eastAsia"/>
          <w:kern w:val="0"/>
        </w:rPr>
        <w:t xml:space="preserve">Full Text: </w:t>
      </w:r>
      <w:hyperlink r:id="rId274" w:history="1">
        <w:r w:rsidRPr="00036F25">
          <w:rPr>
            <w:rStyle w:val="a5"/>
            <w:kern w:val="0"/>
          </w:rPr>
          <w:t>2015\Aes Pla Sur39, 8.pdf</w:t>
        </w:r>
      </w:hyperlink>
    </w:p>
    <w:p w:rsidR="00036F25" w:rsidRDefault="00036F25" w:rsidP="00036F25">
      <w:pPr>
        <w:pStyle w:val="a3"/>
        <w:rPr>
          <w:kern w:val="0"/>
        </w:rPr>
      </w:pPr>
      <w:r>
        <w:rPr>
          <w:kern w:val="0"/>
        </w:rPr>
        <w:t xml:space="preserve">Abstract: Over the past 50 years, there has been a significant increase in published articles in the medical literature. The aesthetic surgery literature is vast, consisting of a plethora of diverse articles written by a myriad of illustrious authors. Despite this considerable archive of published material, it remains nebulous as to which precise papers have had the greatest impact on our specialty. The aim of our study was to identify and analyse the characteristics of the top 50 papers in the field of aesthetic surgery in the published literature. The 50 most cited papers were identified in several surgical journals through the Web of Science. The articles were ranked in order of the number of citations received. These classic 50 papers were analysed for article type, their journal distribution, level of evidence as well as geographic and institutional origin. Six journals contributed to the top 50 papers in aesthetic surgery with Plastic and Reconstructive Surgery contributing the most with 31 papers. This journal requires that authors assign a level of evidence to each submission to which Evidence-Based Medicine rankings are applicable. This excludes Review Articles, </w:t>
      </w:r>
      <w:r>
        <w:rPr>
          <w:kern w:val="0"/>
        </w:rPr>
        <w:lastRenderedPageBreak/>
        <w:t>Book Reviews and manuscripts that concern Basic Science, Animal Studies, Cadaver Studies and Experimental Studies. For a full description of these Evidence-Based Medicine ratings, please refer to the Table of Contents or the online Instructions to Authors http://www.springer.com/00266.</w:t>
      </w:r>
    </w:p>
    <w:p w:rsidR="00036F25" w:rsidRDefault="00036F25" w:rsidP="00036F25">
      <w:pPr>
        <w:pStyle w:val="a3"/>
        <w:rPr>
          <w:kern w:val="0"/>
        </w:rPr>
      </w:pPr>
      <w:r>
        <w:rPr>
          <w:kern w:val="0"/>
        </w:rPr>
        <w:t>Keywords: 100 Citation-Classics, Aesthetic, Aesthetic Surgery, Analysis, Article, Articles, Augmentation Mammaplasty, Authors, Bibliometric, Characteristics, Citation Analysis, Citations, Complications, Connective-Tissue Diseases, Distribution, Evidence, Fat Grafts, Field, Impact, Impact Factor, Journal, Journals, Literature, Medical, Medical Literature, Medicine, Most Cited, Online, Origin, Papers, Plastic-Surgery, Published Articles, Rankings, Reduction Mammaplasty, Review, Science, Silicone Breast Implants, Specialty, Surgery, Top 50, Web, Web Of Science</w:t>
      </w:r>
    </w:p>
    <w:p w:rsidR="00BB6DEA" w:rsidRPr="001A3D2B" w:rsidRDefault="00BB6DEA" w:rsidP="00BB6DEA">
      <w:pPr>
        <w:pStyle w:val="1"/>
      </w:pPr>
      <w:r w:rsidRPr="001A3D2B">
        <w:br w:type="page"/>
      </w:r>
      <w:bookmarkStart w:id="153" w:name="_Toc420814325"/>
      <w:r w:rsidRPr="001A3D2B">
        <w:lastRenderedPageBreak/>
        <w:t xml:space="preserve">Title: </w:t>
      </w:r>
      <w:r w:rsidRPr="00BB6DEA">
        <w:rPr>
          <w:szCs w:val="24"/>
        </w:rPr>
        <w:t>Aesthetic Surgery Journal</w:t>
      </w:r>
      <w:bookmarkEnd w:id="153"/>
    </w:p>
    <w:p w:rsidR="00BB6DEA" w:rsidRPr="001A3D2B" w:rsidRDefault="00BB6DEA" w:rsidP="00BB6DEA">
      <w:pPr>
        <w:pStyle w:val="12"/>
      </w:pPr>
      <w:r w:rsidRPr="001A3D2B">
        <w:t xml:space="preserve">Full Journal Title: </w:t>
      </w:r>
      <w:r w:rsidRPr="00BB6DEA">
        <w:rPr>
          <w:iCs/>
          <w:kern w:val="0"/>
        </w:rPr>
        <w:t>Aesthetic Surgery Journal</w:t>
      </w:r>
    </w:p>
    <w:p w:rsidR="00BB6DEA" w:rsidRPr="001A3D2B" w:rsidRDefault="00BB6DEA" w:rsidP="00BB6DEA">
      <w:pPr>
        <w:pStyle w:val="12"/>
      </w:pPr>
      <w:r w:rsidRPr="001A3D2B">
        <w:t xml:space="preserve">ISO Abbreviated Title: </w:t>
      </w:r>
    </w:p>
    <w:p w:rsidR="00BB6DEA" w:rsidRPr="001A3D2B" w:rsidRDefault="00BB6DEA" w:rsidP="00BB6DEA">
      <w:pPr>
        <w:pStyle w:val="12"/>
      </w:pPr>
      <w:r w:rsidRPr="001A3D2B">
        <w:t xml:space="preserve">JCR Abbreviated Title: </w:t>
      </w:r>
    </w:p>
    <w:p w:rsidR="00BB6DEA" w:rsidRPr="001A3D2B" w:rsidRDefault="00BB6DEA" w:rsidP="00BB6DEA">
      <w:pPr>
        <w:pStyle w:val="12"/>
      </w:pPr>
      <w:r w:rsidRPr="001A3D2B">
        <w:t xml:space="preserve">ISSN: </w:t>
      </w:r>
    </w:p>
    <w:p w:rsidR="00BB6DEA" w:rsidRPr="001A3D2B" w:rsidRDefault="00BB6DEA" w:rsidP="00BB6DEA">
      <w:pPr>
        <w:pStyle w:val="12"/>
      </w:pPr>
      <w:r w:rsidRPr="001A3D2B">
        <w:t xml:space="preserve">Issues/Year: </w:t>
      </w:r>
    </w:p>
    <w:p w:rsidR="00BB6DEA" w:rsidRPr="001A3D2B" w:rsidRDefault="00BB6DEA" w:rsidP="00BB6DEA">
      <w:pPr>
        <w:pStyle w:val="12"/>
      </w:pPr>
      <w:r w:rsidRPr="001A3D2B">
        <w:t xml:space="preserve">Journal Country/Territory: </w:t>
      </w:r>
    </w:p>
    <w:p w:rsidR="00BB6DEA" w:rsidRPr="001A3D2B" w:rsidRDefault="00BB6DEA" w:rsidP="00BB6DEA">
      <w:pPr>
        <w:pStyle w:val="12"/>
      </w:pPr>
      <w:r w:rsidRPr="001A3D2B">
        <w:t xml:space="preserve">Language: </w:t>
      </w:r>
    </w:p>
    <w:p w:rsidR="00BB6DEA" w:rsidRPr="001A3D2B" w:rsidRDefault="00BB6DEA" w:rsidP="00BB6DEA">
      <w:pPr>
        <w:pStyle w:val="12"/>
      </w:pPr>
      <w:r w:rsidRPr="001A3D2B">
        <w:t xml:space="preserve">Publisher: </w:t>
      </w:r>
    </w:p>
    <w:p w:rsidR="00BB6DEA" w:rsidRPr="001A3D2B" w:rsidRDefault="00BB6DEA" w:rsidP="00BB6DEA">
      <w:pPr>
        <w:pStyle w:val="12"/>
      </w:pPr>
      <w:r w:rsidRPr="001A3D2B">
        <w:t xml:space="preserve">Publisher Address: </w:t>
      </w:r>
    </w:p>
    <w:p w:rsidR="00BB6DEA" w:rsidRPr="001A3D2B" w:rsidRDefault="00BB6DEA" w:rsidP="00BB6DEA">
      <w:pPr>
        <w:pStyle w:val="12"/>
      </w:pPr>
      <w:r w:rsidRPr="001A3D2B">
        <w:t xml:space="preserve">Subject Categories: </w:t>
      </w:r>
    </w:p>
    <w:p w:rsidR="00BB6DEA" w:rsidRPr="001A3D2B" w:rsidRDefault="00BB6DEA" w:rsidP="00BB6DEA">
      <w:pPr>
        <w:pStyle w:val="12"/>
      </w:pPr>
      <w:r w:rsidRPr="001A3D2B">
        <w:t xml:space="preserve">: Impact Factor </w:t>
      </w:r>
    </w:p>
    <w:p w:rsidR="00BB6DEA" w:rsidRDefault="00BB6DEA" w:rsidP="00BB6DEA">
      <w:pPr>
        <w:pStyle w:val="a3"/>
        <w:rPr>
          <w:kern w:val="0"/>
          <w:szCs w:val="24"/>
        </w:rPr>
      </w:pPr>
      <w:r>
        <w:rPr>
          <w:rFonts w:hint="eastAsia"/>
          <w:kern w:val="0"/>
          <w:szCs w:val="24"/>
        </w:rPr>
        <w:t xml:space="preserve">? </w:t>
      </w:r>
      <w:r>
        <w:rPr>
          <w:kern w:val="0"/>
          <w:szCs w:val="24"/>
        </w:rPr>
        <w:t>Reavey, P.L., Klassen, A.F., Cano, S.J., McCarthy, C., Scott, A., Rubin, J.P., Shermak, M.</w:t>
      </w:r>
      <w:r w:rsidR="005853A9">
        <w:rPr>
          <w:kern w:val="0"/>
          <w:szCs w:val="24"/>
        </w:rPr>
        <w:t xml:space="preserve"> and </w:t>
      </w:r>
      <w:r>
        <w:rPr>
          <w:kern w:val="0"/>
          <w:szCs w:val="24"/>
        </w:rPr>
        <w:t>Pusic, A.L. (2011), Measuring quality</w:t>
      </w:r>
      <w:r w:rsidR="00427468">
        <w:rPr>
          <w:kern w:val="0"/>
          <w:szCs w:val="24"/>
        </w:rPr>
        <w:t xml:space="preserve"> of </w:t>
      </w:r>
      <w:r>
        <w:rPr>
          <w:kern w:val="0"/>
          <w:szCs w:val="24"/>
        </w:rPr>
        <w:t>life</w:t>
      </w:r>
      <w:r w:rsidR="005853A9">
        <w:rPr>
          <w:kern w:val="0"/>
          <w:szCs w:val="24"/>
        </w:rPr>
        <w:t xml:space="preserve"> and </w:t>
      </w:r>
      <w:r>
        <w:rPr>
          <w:kern w:val="0"/>
          <w:szCs w:val="24"/>
        </w:rPr>
        <w:t>patient satisfaction after body contouring: A systematic review</w:t>
      </w:r>
      <w:r w:rsidR="00427468">
        <w:rPr>
          <w:kern w:val="0"/>
          <w:szCs w:val="24"/>
        </w:rPr>
        <w:t xml:space="preserve"> of </w:t>
      </w:r>
      <w:r>
        <w:rPr>
          <w:kern w:val="0"/>
          <w:szCs w:val="24"/>
        </w:rPr>
        <w:t xml:space="preserve">patient-reported outcome measures. </w:t>
      </w:r>
      <w:r w:rsidRPr="00BB6DEA">
        <w:rPr>
          <w:i/>
          <w:iCs/>
          <w:kern w:val="0"/>
          <w:szCs w:val="24"/>
        </w:rPr>
        <w:t>Aesthetic Surgery Journal</w:t>
      </w:r>
      <w:r>
        <w:rPr>
          <w:kern w:val="0"/>
          <w:szCs w:val="24"/>
        </w:rPr>
        <w:t xml:space="preserve">, </w:t>
      </w:r>
      <w:r>
        <w:rPr>
          <w:b/>
          <w:bCs/>
          <w:kern w:val="0"/>
          <w:szCs w:val="24"/>
        </w:rPr>
        <w:t>31</w:t>
      </w:r>
      <w:r>
        <w:rPr>
          <w:kern w:val="0"/>
          <w:szCs w:val="24"/>
        </w:rPr>
        <w:t xml:space="preserve"> (7), 807-813.</w:t>
      </w:r>
    </w:p>
    <w:p w:rsidR="00BB6DEA" w:rsidRDefault="00BB6DEA" w:rsidP="00BB6DEA">
      <w:pPr>
        <w:pStyle w:val="a3"/>
        <w:rPr>
          <w:kern w:val="0"/>
          <w:szCs w:val="24"/>
        </w:rPr>
      </w:pPr>
      <w:r>
        <w:rPr>
          <w:rFonts w:hint="eastAsia"/>
          <w:kern w:val="0"/>
          <w:szCs w:val="24"/>
        </w:rPr>
        <w:t xml:space="preserve">Full Text: </w:t>
      </w:r>
      <w:hyperlink r:id="rId275" w:history="1">
        <w:r w:rsidRPr="00BB6DEA">
          <w:rPr>
            <w:rStyle w:val="a5"/>
            <w:kern w:val="0"/>
            <w:szCs w:val="24"/>
          </w:rPr>
          <w:t>2011\Aes Sur J31, 807.pdf</w:t>
        </w:r>
      </w:hyperlink>
    </w:p>
    <w:p w:rsidR="00BB6DEA" w:rsidRDefault="00BB6DEA" w:rsidP="00BB6DEA">
      <w:pPr>
        <w:pStyle w:val="a3"/>
        <w:rPr>
          <w:kern w:val="0"/>
          <w:szCs w:val="24"/>
        </w:rPr>
      </w:pPr>
      <w:r>
        <w:rPr>
          <w:kern w:val="0"/>
          <w:szCs w:val="24"/>
        </w:rPr>
        <w:t>Abstract: Evidence-Based Background: In both cosmetic</w:t>
      </w:r>
      <w:r w:rsidR="005853A9">
        <w:rPr>
          <w:kern w:val="0"/>
          <w:szCs w:val="24"/>
        </w:rPr>
        <w:t xml:space="preserve"> and </w:t>
      </w:r>
      <w:r>
        <w:rPr>
          <w:kern w:val="0"/>
          <w:szCs w:val="24"/>
        </w:rPr>
        <w:t>postbariatric body contouring populations,</w:t>
      </w:r>
      <w:r w:rsidR="003A1917">
        <w:rPr>
          <w:kern w:val="0"/>
          <w:szCs w:val="24"/>
        </w:rPr>
        <w:t xml:space="preserve"> the </w:t>
      </w:r>
      <w:r>
        <w:rPr>
          <w:kern w:val="0"/>
          <w:szCs w:val="24"/>
        </w:rPr>
        <w:t>primary determinants</w:t>
      </w:r>
      <w:r w:rsidR="00427468">
        <w:rPr>
          <w:kern w:val="0"/>
          <w:szCs w:val="24"/>
        </w:rPr>
        <w:t xml:space="preserve"> of </w:t>
      </w:r>
      <w:r>
        <w:rPr>
          <w:kern w:val="0"/>
          <w:szCs w:val="24"/>
        </w:rPr>
        <w:t>success are patient satisfaction</w:t>
      </w:r>
      <w:r w:rsidR="005853A9">
        <w:rPr>
          <w:kern w:val="0"/>
          <w:szCs w:val="24"/>
        </w:rPr>
        <w:t xml:space="preserve"> and </w:t>
      </w:r>
      <w:r>
        <w:rPr>
          <w:kern w:val="0"/>
          <w:szCs w:val="24"/>
        </w:rPr>
        <w:t>quality</w:t>
      </w:r>
      <w:r w:rsidR="00427468">
        <w:rPr>
          <w:kern w:val="0"/>
          <w:szCs w:val="24"/>
        </w:rPr>
        <w:t xml:space="preserve"> of </w:t>
      </w:r>
      <w:r>
        <w:rPr>
          <w:kern w:val="0"/>
          <w:szCs w:val="24"/>
        </w:rPr>
        <w:t>life (QOL)</w:t>
      </w:r>
      <w:r w:rsidR="00A37C1D">
        <w:rPr>
          <w:kern w:val="0"/>
          <w:szCs w:val="24"/>
        </w:rPr>
        <w:t>. The</w:t>
      </w:r>
      <w:r>
        <w:rPr>
          <w:kern w:val="0"/>
          <w:szCs w:val="24"/>
        </w:rPr>
        <w:t>se patient-reported outcomes (PRO) are ideally measured with specially-designed, procedure-or condition-specific questionnaires.. Objective:</w:t>
      </w:r>
      <w:r w:rsidR="003A1917">
        <w:rPr>
          <w:kern w:val="0"/>
          <w:szCs w:val="24"/>
        </w:rPr>
        <w:t xml:space="preserve"> the </w:t>
      </w:r>
      <w:r>
        <w:rPr>
          <w:kern w:val="0"/>
          <w:szCs w:val="24"/>
        </w:rPr>
        <w:t>authors identify</w:t>
      </w:r>
      <w:r w:rsidR="005853A9">
        <w:rPr>
          <w:kern w:val="0"/>
          <w:szCs w:val="24"/>
        </w:rPr>
        <w:t xml:space="preserve"> and </w:t>
      </w:r>
      <w:r>
        <w:rPr>
          <w:kern w:val="0"/>
          <w:szCs w:val="24"/>
        </w:rPr>
        <w:t xml:space="preserve">appraise all patient-reported outcome (PRO) measures (questionnaires) developed for patients undergoing body contouring surgery. Methods: </w:t>
      </w:r>
      <w:r w:rsidR="00D5664A">
        <w:rPr>
          <w:kern w:val="0"/>
          <w:szCs w:val="24"/>
        </w:rPr>
        <w:t>MEDLINE</w:t>
      </w:r>
      <w:r>
        <w:rPr>
          <w:kern w:val="0"/>
          <w:szCs w:val="24"/>
        </w:rPr>
        <w:t>, EMBASE, PsychINFO, Ebase, CINAHL, HAPI, Science Citation Index/Social Sciences Citation Index, Ovid Evidence Based Medicine databases were searched from</w:t>
      </w:r>
      <w:r w:rsidR="003A1917">
        <w:rPr>
          <w:kern w:val="0"/>
          <w:szCs w:val="24"/>
        </w:rPr>
        <w:t xml:space="preserve"> the </w:t>
      </w:r>
      <w:r>
        <w:rPr>
          <w:kern w:val="0"/>
          <w:szCs w:val="24"/>
        </w:rPr>
        <w:t>inception</w:t>
      </w:r>
      <w:r w:rsidR="00427468">
        <w:rPr>
          <w:kern w:val="0"/>
          <w:szCs w:val="24"/>
        </w:rPr>
        <w:t xml:space="preserve"> of </w:t>
      </w:r>
      <w:r>
        <w:rPr>
          <w:kern w:val="0"/>
          <w:szCs w:val="24"/>
        </w:rPr>
        <w:t>each database through August 2010. Articles included in</w:t>
      </w:r>
      <w:r w:rsidR="003A1917">
        <w:rPr>
          <w:kern w:val="0"/>
          <w:szCs w:val="24"/>
        </w:rPr>
        <w:t xml:space="preserve"> the </w:t>
      </w:r>
      <w:r>
        <w:rPr>
          <w:kern w:val="0"/>
          <w:szCs w:val="24"/>
        </w:rPr>
        <w:t>study described</w:t>
      </w:r>
      <w:r w:rsidR="003A1917">
        <w:rPr>
          <w:kern w:val="0"/>
          <w:szCs w:val="24"/>
        </w:rPr>
        <w:t xml:space="preserve"> the </w:t>
      </w:r>
      <w:r>
        <w:rPr>
          <w:kern w:val="0"/>
          <w:szCs w:val="24"/>
        </w:rPr>
        <w:t>development and/or psychometric evaluation</w:t>
      </w:r>
      <w:r w:rsidR="00427468">
        <w:rPr>
          <w:kern w:val="0"/>
          <w:szCs w:val="24"/>
        </w:rPr>
        <w:t xml:space="preserve"> of </w:t>
      </w:r>
      <w:r>
        <w:rPr>
          <w:kern w:val="0"/>
          <w:szCs w:val="24"/>
        </w:rPr>
        <w:t>a PRO measure developed for body contouring patients. Each measure was then appraised for adherence to internationally-recommended guidelines for item generation, item reduction,</w:t>
      </w:r>
      <w:r w:rsidR="005853A9">
        <w:rPr>
          <w:kern w:val="0"/>
          <w:szCs w:val="24"/>
        </w:rPr>
        <w:t xml:space="preserve"> and </w:t>
      </w:r>
      <w:r>
        <w:rPr>
          <w:kern w:val="0"/>
          <w:szCs w:val="24"/>
        </w:rPr>
        <w:t>psychometric evaluation. Results:</w:t>
      </w:r>
      <w:r w:rsidR="003A1917">
        <w:rPr>
          <w:kern w:val="0"/>
          <w:szCs w:val="24"/>
        </w:rPr>
        <w:t xml:space="preserve"> the </w:t>
      </w:r>
      <w:r>
        <w:rPr>
          <w:kern w:val="0"/>
          <w:szCs w:val="24"/>
        </w:rPr>
        <w:t>following five PRO questionnaires were identified by our search: one liposuction (the Freiburg Questionnaire on Aesthetic Dermatology</w:t>
      </w:r>
      <w:r w:rsidR="005853A9">
        <w:rPr>
          <w:kern w:val="0"/>
          <w:szCs w:val="24"/>
        </w:rPr>
        <w:t xml:space="preserve"> and </w:t>
      </w:r>
      <w:r>
        <w:rPr>
          <w:kern w:val="0"/>
          <w:szCs w:val="24"/>
        </w:rPr>
        <w:t>Cosmetic Surgery, FQAD), one general plastic surgery (Derriford Appearance Scale, DAS-59/24),</w:t>
      </w:r>
      <w:r w:rsidR="005853A9">
        <w:rPr>
          <w:kern w:val="0"/>
          <w:szCs w:val="24"/>
        </w:rPr>
        <w:t xml:space="preserve"> and </w:t>
      </w:r>
      <w:r>
        <w:rPr>
          <w:kern w:val="0"/>
          <w:szCs w:val="24"/>
        </w:rPr>
        <w:t>three breast reduction measures (the Breast Reduction Assessed Severity Scale Questionnaire, BRASSQ; Breast Related Symptoms questionnaire, BRS;</w:t>
      </w:r>
      <w:r w:rsidR="005853A9">
        <w:rPr>
          <w:kern w:val="0"/>
          <w:szCs w:val="24"/>
        </w:rPr>
        <w:t xml:space="preserve"> and </w:t>
      </w:r>
      <w:r w:rsidR="003A1917">
        <w:rPr>
          <w:kern w:val="0"/>
          <w:szCs w:val="24"/>
        </w:rPr>
        <w:t xml:space="preserve">the </w:t>
      </w:r>
      <w:r>
        <w:rPr>
          <w:kern w:val="0"/>
          <w:szCs w:val="24"/>
        </w:rPr>
        <w:t>BREAST-Q reduction module. Detailed examination</w:t>
      </w:r>
      <w:r w:rsidR="00427468">
        <w:rPr>
          <w:kern w:val="0"/>
          <w:szCs w:val="24"/>
        </w:rPr>
        <w:t xml:space="preserve"> of </w:t>
      </w:r>
      <w:r>
        <w:rPr>
          <w:kern w:val="0"/>
          <w:szCs w:val="24"/>
        </w:rPr>
        <w:t>these measures revealed that</w:t>
      </w:r>
      <w:r w:rsidR="003A1917">
        <w:rPr>
          <w:kern w:val="0"/>
          <w:szCs w:val="24"/>
        </w:rPr>
        <w:t xml:space="preserve"> the </w:t>
      </w:r>
      <w:r>
        <w:rPr>
          <w:kern w:val="0"/>
          <w:szCs w:val="24"/>
        </w:rPr>
        <w:t>FQAD, DAS-59,</w:t>
      </w:r>
      <w:r w:rsidR="005853A9">
        <w:rPr>
          <w:kern w:val="0"/>
          <w:szCs w:val="24"/>
        </w:rPr>
        <w:t xml:space="preserve"> and </w:t>
      </w:r>
      <w:r>
        <w:rPr>
          <w:kern w:val="0"/>
          <w:szCs w:val="24"/>
        </w:rPr>
        <w:t>BRS are limited by both their content range</w:t>
      </w:r>
      <w:r w:rsidR="005853A9">
        <w:rPr>
          <w:kern w:val="0"/>
          <w:szCs w:val="24"/>
        </w:rPr>
        <w:t xml:space="preserve"> and </w:t>
      </w:r>
      <w:r>
        <w:rPr>
          <w:kern w:val="0"/>
          <w:szCs w:val="24"/>
        </w:rPr>
        <w:lastRenderedPageBreak/>
        <w:t>psychometric properties</w:t>
      </w:r>
      <w:r w:rsidR="00A37C1D">
        <w:rPr>
          <w:kern w:val="0"/>
          <w:szCs w:val="24"/>
        </w:rPr>
        <w:t>. The</w:t>
      </w:r>
      <w:r w:rsidR="003A1917">
        <w:rPr>
          <w:kern w:val="0"/>
          <w:szCs w:val="24"/>
        </w:rPr>
        <w:t xml:space="preserve"> </w:t>
      </w:r>
      <w:r>
        <w:rPr>
          <w:kern w:val="0"/>
          <w:szCs w:val="24"/>
        </w:rPr>
        <w:t>BRASSQ</w:t>
      </w:r>
      <w:r w:rsidR="005853A9">
        <w:rPr>
          <w:kern w:val="0"/>
          <w:szCs w:val="24"/>
        </w:rPr>
        <w:t xml:space="preserve"> and </w:t>
      </w:r>
      <w:r>
        <w:rPr>
          <w:kern w:val="0"/>
          <w:szCs w:val="24"/>
        </w:rPr>
        <w:t>BREAST-Q both have strong psychometric properties,</w:t>
      </w:r>
      <w:r w:rsidR="005853A9">
        <w:rPr>
          <w:kern w:val="0"/>
          <w:szCs w:val="24"/>
        </w:rPr>
        <w:t xml:space="preserve"> and </w:t>
      </w:r>
      <w:r w:rsidR="003A1917">
        <w:rPr>
          <w:kern w:val="0"/>
          <w:szCs w:val="24"/>
        </w:rPr>
        <w:t xml:space="preserve">the </w:t>
      </w:r>
      <w:r>
        <w:rPr>
          <w:kern w:val="0"/>
          <w:szCs w:val="24"/>
        </w:rPr>
        <w:t>BREAST-Q is unique in its inclusion</w:t>
      </w:r>
      <w:r w:rsidR="00427468">
        <w:rPr>
          <w:kern w:val="0"/>
          <w:szCs w:val="24"/>
        </w:rPr>
        <w:t xml:space="preserve"> of </w:t>
      </w:r>
      <w:r>
        <w:rPr>
          <w:kern w:val="0"/>
          <w:szCs w:val="24"/>
        </w:rPr>
        <w:t>items covering specific postoperative issues such as scarring. Conclusions: While instruments are available for measuring outcomes in breast reduction patients, reliable, valid,</w:t>
      </w:r>
      <w:r w:rsidR="005853A9">
        <w:rPr>
          <w:kern w:val="0"/>
          <w:szCs w:val="24"/>
        </w:rPr>
        <w:t xml:space="preserve"> and </w:t>
      </w:r>
      <w:r>
        <w:rPr>
          <w:kern w:val="0"/>
          <w:szCs w:val="24"/>
        </w:rPr>
        <w:t>responsive PRO measures are lacking for</w:t>
      </w:r>
      <w:r w:rsidR="003A1917">
        <w:rPr>
          <w:kern w:val="0"/>
          <w:szCs w:val="24"/>
        </w:rPr>
        <w:t xml:space="preserve"> the </w:t>
      </w:r>
      <w:r>
        <w:rPr>
          <w:kern w:val="0"/>
          <w:szCs w:val="24"/>
        </w:rPr>
        <w:t>majority</w:t>
      </w:r>
      <w:r w:rsidR="00427468">
        <w:rPr>
          <w:kern w:val="0"/>
          <w:szCs w:val="24"/>
        </w:rPr>
        <w:t xml:space="preserve"> of </w:t>
      </w:r>
      <w:r>
        <w:rPr>
          <w:kern w:val="0"/>
          <w:szCs w:val="24"/>
        </w:rPr>
        <w:t>body contouring procedures. To demonstrate</w:t>
      </w:r>
      <w:r w:rsidR="003A1917">
        <w:rPr>
          <w:kern w:val="0"/>
          <w:szCs w:val="24"/>
        </w:rPr>
        <w:t xml:space="preserve"> the </w:t>
      </w:r>
      <w:r>
        <w:rPr>
          <w:kern w:val="0"/>
          <w:szCs w:val="24"/>
        </w:rPr>
        <w:t>unique outcomes</w:t>
      </w:r>
      <w:r w:rsidR="00427468">
        <w:rPr>
          <w:kern w:val="0"/>
          <w:szCs w:val="24"/>
        </w:rPr>
        <w:t xml:space="preserve"> of </w:t>
      </w:r>
      <w:r>
        <w:rPr>
          <w:kern w:val="0"/>
          <w:szCs w:val="24"/>
        </w:rPr>
        <w:t>body contouring surgery, future research to rigorously develop</w:t>
      </w:r>
      <w:r w:rsidR="005853A9">
        <w:rPr>
          <w:kern w:val="0"/>
          <w:szCs w:val="24"/>
        </w:rPr>
        <w:t xml:space="preserve"> and </w:t>
      </w:r>
      <w:r>
        <w:rPr>
          <w:kern w:val="0"/>
          <w:szCs w:val="24"/>
        </w:rPr>
        <w:t>validate new PRO measures in this population is necessary.</w:t>
      </w:r>
    </w:p>
    <w:p w:rsidR="00BB6DEA" w:rsidRDefault="00BB6DEA" w:rsidP="00BB6DEA">
      <w:pPr>
        <w:pStyle w:val="a3"/>
        <w:rPr>
          <w:kern w:val="0"/>
          <w:szCs w:val="24"/>
        </w:rPr>
      </w:pPr>
      <w:r>
        <w:rPr>
          <w:kern w:val="0"/>
          <w:szCs w:val="24"/>
        </w:rPr>
        <w:t xml:space="preserve">Keywords: Abdominoplasty, Adherence, Articles, Authors, Bariatric Surgery, Body Contouring, Brachioplasty, Breast Hypertrophy, Breast Reduction, Citation, Cosmetic Surgery, Databases, Dermatolipectomy, Derriford Appearance, Determinants, Development, Embase, Evaluation, Guidelines, Image, Liposuction, Massive Weight Loss, Measure Individual-Responses, </w:t>
      </w:r>
      <w:r w:rsidR="00D5664A">
        <w:rPr>
          <w:kern w:val="0"/>
          <w:szCs w:val="24"/>
        </w:rPr>
        <w:t>MEDLINE</w:t>
      </w:r>
      <w:r>
        <w:rPr>
          <w:kern w:val="0"/>
          <w:szCs w:val="24"/>
        </w:rPr>
        <w:t>, Methods, Obesity, Outcome, Outcomes, Patient Satisfaction, Patients, Primary, Quality, Quality</w:t>
      </w:r>
      <w:r w:rsidR="00427468">
        <w:rPr>
          <w:kern w:val="0"/>
          <w:szCs w:val="24"/>
        </w:rPr>
        <w:t xml:space="preserve"> of </w:t>
      </w:r>
      <w:r>
        <w:rPr>
          <w:kern w:val="0"/>
          <w:szCs w:val="24"/>
        </w:rPr>
        <w:t>Life, Questionnaire, Questionnaires, Reduction, Research, Review, Scale, Scale DAS59, Science, Sciences, Short-Form, Success, Surgery, Systematic, Systematic Review, Thighplasty, Weight-Loss</w:t>
      </w:r>
    </w:p>
    <w:p w:rsidR="00624F6C" w:rsidRDefault="00624F6C" w:rsidP="00624F6C">
      <w:pPr>
        <w:pStyle w:val="a3"/>
        <w:rPr>
          <w:kern w:val="0"/>
          <w:szCs w:val="24"/>
        </w:rPr>
      </w:pPr>
      <w:r>
        <w:rPr>
          <w:rFonts w:hint="eastAsia"/>
          <w:kern w:val="0"/>
          <w:szCs w:val="24"/>
        </w:rPr>
        <w:t xml:space="preserve">? </w:t>
      </w:r>
      <w:r>
        <w:rPr>
          <w:kern w:val="0"/>
          <w:szCs w:val="24"/>
        </w:rPr>
        <w:t>Galanis, C., Sanchez, I.S., Roostaeian, J.</w:t>
      </w:r>
      <w:r w:rsidR="005853A9">
        <w:rPr>
          <w:kern w:val="0"/>
          <w:szCs w:val="24"/>
        </w:rPr>
        <w:t xml:space="preserve"> and </w:t>
      </w:r>
      <w:r>
        <w:rPr>
          <w:kern w:val="0"/>
          <w:szCs w:val="24"/>
        </w:rPr>
        <w:t>Crisera, C. (2013), Factors influencing patient interest in plastic surgery</w:t>
      </w:r>
      <w:r w:rsidR="005853A9">
        <w:rPr>
          <w:kern w:val="0"/>
          <w:szCs w:val="24"/>
        </w:rPr>
        <w:t xml:space="preserve"> and </w:t>
      </w:r>
      <w:r>
        <w:rPr>
          <w:kern w:val="0"/>
          <w:szCs w:val="24"/>
        </w:rPr>
        <w:t>the process</w:t>
      </w:r>
      <w:r w:rsidR="00427468">
        <w:rPr>
          <w:kern w:val="0"/>
          <w:szCs w:val="24"/>
        </w:rPr>
        <w:t xml:space="preserve"> of </w:t>
      </w:r>
      <w:r>
        <w:rPr>
          <w:kern w:val="0"/>
          <w:szCs w:val="24"/>
        </w:rPr>
        <w:t xml:space="preserve">selecting a surgeon. </w:t>
      </w:r>
      <w:r>
        <w:rPr>
          <w:i/>
          <w:iCs/>
          <w:kern w:val="0"/>
          <w:szCs w:val="24"/>
        </w:rPr>
        <w:t>Aesthetic Surgery Journal</w:t>
      </w:r>
      <w:r>
        <w:rPr>
          <w:kern w:val="0"/>
          <w:szCs w:val="24"/>
        </w:rPr>
        <w:t xml:space="preserve">, </w:t>
      </w:r>
      <w:r>
        <w:rPr>
          <w:b/>
          <w:bCs/>
          <w:kern w:val="0"/>
          <w:szCs w:val="24"/>
        </w:rPr>
        <w:t>33</w:t>
      </w:r>
      <w:r>
        <w:rPr>
          <w:kern w:val="0"/>
          <w:szCs w:val="24"/>
        </w:rPr>
        <w:t xml:space="preserve"> (4), 585-590.</w:t>
      </w:r>
    </w:p>
    <w:p w:rsidR="00624F6C" w:rsidRDefault="00624F6C" w:rsidP="00624F6C">
      <w:pPr>
        <w:pStyle w:val="a3"/>
        <w:rPr>
          <w:kern w:val="0"/>
          <w:szCs w:val="24"/>
        </w:rPr>
      </w:pPr>
      <w:r>
        <w:rPr>
          <w:rFonts w:hint="eastAsia"/>
          <w:kern w:val="0"/>
          <w:szCs w:val="24"/>
        </w:rPr>
        <w:t xml:space="preserve">Full Text: </w:t>
      </w:r>
      <w:hyperlink r:id="rId276" w:history="1">
        <w:r w:rsidRPr="00D36EFD">
          <w:rPr>
            <w:rStyle w:val="a5"/>
            <w:kern w:val="0"/>
            <w:szCs w:val="24"/>
          </w:rPr>
          <w:t>2013\Aes Sur J33, 585.pdf</w:t>
        </w:r>
      </w:hyperlink>
    </w:p>
    <w:p w:rsidR="00624F6C" w:rsidRDefault="00624F6C" w:rsidP="00624F6C">
      <w:pPr>
        <w:pStyle w:val="a3"/>
        <w:rPr>
          <w:kern w:val="0"/>
          <w:szCs w:val="24"/>
        </w:rPr>
      </w:pPr>
      <w:r>
        <w:rPr>
          <w:kern w:val="0"/>
          <w:szCs w:val="24"/>
        </w:rPr>
        <w:t>Abstract: Background: Understanding patient interest in cosmetic surgery is an important tool in delineating the current market for aesthetic surgeons. Similarly, defining those factors that most influence surgeon selection is vital for optimizing marketing strategies. Objective: The authors evaluate a general population sample</w:t>
      </w:r>
      <w:r w:rsidR="00700038">
        <w:rPr>
          <w:kern w:val="0"/>
          <w:szCs w:val="24"/>
        </w:rPr>
        <w:t>’</w:t>
      </w:r>
      <w:r>
        <w:rPr>
          <w:kern w:val="0"/>
          <w:szCs w:val="24"/>
        </w:rPr>
        <w:t>s interest in cosmetic surgery</w:t>
      </w:r>
      <w:r w:rsidR="005853A9">
        <w:rPr>
          <w:kern w:val="0"/>
          <w:szCs w:val="24"/>
        </w:rPr>
        <w:t xml:space="preserve"> and </w:t>
      </w:r>
      <w:r>
        <w:rPr>
          <w:kern w:val="0"/>
          <w:szCs w:val="24"/>
        </w:rPr>
        <w:t>investigate which factors patients value when selecting their surgeon. Methods: An anonymous questionnaire was distributed to 96 individuals in waiting rooms in nonsurgical clinics. Respondents were questioned on their ability to differentiate between a “plastic” surgeon</w:t>
      </w:r>
      <w:r w:rsidR="005853A9">
        <w:rPr>
          <w:kern w:val="0"/>
          <w:szCs w:val="24"/>
        </w:rPr>
        <w:t xml:space="preserve"> and </w:t>
      </w:r>
      <w:r>
        <w:rPr>
          <w:kern w:val="0"/>
          <w:szCs w:val="24"/>
        </w:rPr>
        <w:t>a “cosmetic” surgeon, their interest in having plastic surgery,</w:t>
      </w:r>
      <w:r w:rsidR="005853A9">
        <w:rPr>
          <w:kern w:val="0"/>
          <w:szCs w:val="24"/>
        </w:rPr>
        <w:t xml:space="preserve"> and </w:t>
      </w:r>
      <w:r>
        <w:rPr>
          <w:kern w:val="0"/>
          <w:szCs w:val="24"/>
        </w:rPr>
        <w:t>factors affecting surgeon</w:t>
      </w:r>
      <w:r w:rsidR="005853A9">
        <w:rPr>
          <w:kern w:val="0"/>
          <w:szCs w:val="24"/>
        </w:rPr>
        <w:t xml:space="preserve"> and </w:t>
      </w:r>
      <w:r>
        <w:rPr>
          <w:kern w:val="0"/>
          <w:szCs w:val="24"/>
        </w:rPr>
        <w:t>practice selection. Univariate</w:t>
      </w:r>
      <w:r w:rsidR="005853A9">
        <w:rPr>
          <w:kern w:val="0"/>
          <w:szCs w:val="24"/>
        </w:rPr>
        <w:t xml:space="preserve"> and </w:t>
      </w:r>
      <w:r>
        <w:rPr>
          <w:kern w:val="0"/>
          <w:szCs w:val="24"/>
        </w:rPr>
        <w:t>multivariate analyses were conducted to define any significant correlative relationships. Results: Respondents consisted</w:t>
      </w:r>
      <w:r w:rsidR="00427468">
        <w:rPr>
          <w:kern w:val="0"/>
          <w:szCs w:val="24"/>
        </w:rPr>
        <w:t xml:space="preserve"> of </w:t>
      </w:r>
      <w:r>
        <w:rPr>
          <w:kern w:val="0"/>
          <w:szCs w:val="24"/>
        </w:rPr>
        <w:t>15 men</w:t>
      </w:r>
      <w:r w:rsidR="005853A9">
        <w:rPr>
          <w:kern w:val="0"/>
          <w:szCs w:val="24"/>
        </w:rPr>
        <w:t xml:space="preserve"> and </w:t>
      </w:r>
      <w:r>
        <w:rPr>
          <w:kern w:val="0"/>
          <w:szCs w:val="24"/>
        </w:rPr>
        <w:t>81 women. Median age was 34.5 (range, 18-67) years. Overall, 20% were currently considering plastic surgery</w:t>
      </w:r>
      <w:r w:rsidR="005853A9">
        <w:rPr>
          <w:kern w:val="0"/>
          <w:szCs w:val="24"/>
        </w:rPr>
        <w:t xml:space="preserve"> and </w:t>
      </w:r>
      <w:r>
        <w:rPr>
          <w:kern w:val="0"/>
          <w:szCs w:val="24"/>
        </w:rPr>
        <w:t>78% stated they would consider it in the future</w:t>
      </w:r>
      <w:r w:rsidR="00A37C1D">
        <w:rPr>
          <w:kern w:val="0"/>
          <w:szCs w:val="24"/>
        </w:rPr>
        <w:t>. The</w:t>
      </w:r>
      <w:r>
        <w:rPr>
          <w:kern w:val="0"/>
          <w:szCs w:val="24"/>
        </w:rPr>
        <w:t xml:space="preserve"> most common area</w:t>
      </w:r>
      <w:r w:rsidR="00427468">
        <w:rPr>
          <w:kern w:val="0"/>
          <w:szCs w:val="24"/>
        </w:rPr>
        <w:t xml:space="preserve"> of </w:t>
      </w:r>
      <w:r>
        <w:rPr>
          <w:kern w:val="0"/>
          <w:szCs w:val="24"/>
        </w:rPr>
        <w:t>interest was a procedure for the face</w:t>
      </w:r>
      <w:r w:rsidR="00A37C1D">
        <w:rPr>
          <w:kern w:val="0"/>
          <w:szCs w:val="24"/>
        </w:rPr>
        <w:t>. The</w:t>
      </w:r>
      <w:r>
        <w:rPr>
          <w:kern w:val="0"/>
          <w:szCs w:val="24"/>
        </w:rPr>
        <w:t xml:space="preserve"> most important factors in selecting a surgeon were surgeon reputation</w:t>
      </w:r>
      <w:r w:rsidR="005853A9">
        <w:rPr>
          <w:kern w:val="0"/>
          <w:szCs w:val="24"/>
        </w:rPr>
        <w:t xml:space="preserve"> and </w:t>
      </w:r>
      <w:r>
        <w:rPr>
          <w:kern w:val="0"/>
          <w:szCs w:val="24"/>
        </w:rPr>
        <w:t>board certification</w:t>
      </w:r>
      <w:r w:rsidR="00A37C1D">
        <w:rPr>
          <w:kern w:val="0"/>
          <w:szCs w:val="24"/>
        </w:rPr>
        <w:t>. The</w:t>
      </w:r>
      <w:r>
        <w:rPr>
          <w:kern w:val="0"/>
          <w:szCs w:val="24"/>
        </w:rPr>
        <w:t xml:space="preserve"> least important were quality</w:t>
      </w:r>
      <w:r w:rsidR="00427468">
        <w:rPr>
          <w:kern w:val="0"/>
          <w:szCs w:val="24"/>
        </w:rPr>
        <w:t xml:space="preserve"> of </w:t>
      </w:r>
      <w:r>
        <w:rPr>
          <w:kern w:val="0"/>
          <w:szCs w:val="24"/>
        </w:rPr>
        <w:t>advertising</w:t>
      </w:r>
      <w:r w:rsidR="005853A9">
        <w:rPr>
          <w:kern w:val="0"/>
          <w:szCs w:val="24"/>
        </w:rPr>
        <w:t xml:space="preserve"> and </w:t>
      </w:r>
      <w:r>
        <w:rPr>
          <w:kern w:val="0"/>
          <w:szCs w:val="24"/>
        </w:rPr>
        <w:t>surgeon age</w:t>
      </w:r>
      <w:r w:rsidR="00A37C1D">
        <w:rPr>
          <w:kern w:val="0"/>
          <w:szCs w:val="24"/>
        </w:rPr>
        <w:t>. The</w:t>
      </w:r>
      <w:r>
        <w:rPr>
          <w:kern w:val="0"/>
          <w:szCs w:val="24"/>
        </w:rPr>
        <w:t xml:space="preserve"> most cited factor preventing individuals from pursuing plastic surgery was fear</w:t>
      </w:r>
      <w:r w:rsidR="00427468">
        <w:rPr>
          <w:kern w:val="0"/>
          <w:szCs w:val="24"/>
        </w:rPr>
        <w:t xml:space="preserve"> of </w:t>
      </w:r>
      <w:r>
        <w:rPr>
          <w:kern w:val="0"/>
          <w:szCs w:val="24"/>
        </w:rPr>
        <w:t xml:space="preserve">a poor result. Most (60%) patients would choose a private surgicenter-based practice. Conclusions: The </w:t>
      </w:r>
      <w:r>
        <w:rPr>
          <w:kern w:val="0"/>
          <w:szCs w:val="24"/>
        </w:rPr>
        <w:lastRenderedPageBreak/>
        <w:t>level</w:t>
      </w:r>
      <w:r w:rsidR="00427468">
        <w:rPr>
          <w:kern w:val="0"/>
          <w:szCs w:val="24"/>
        </w:rPr>
        <w:t xml:space="preserve"> of </w:t>
      </w:r>
      <w:r>
        <w:rPr>
          <w:kern w:val="0"/>
          <w:szCs w:val="24"/>
        </w:rPr>
        <w:t>importance for each studied attribute can help plastic surgeons understand the market for cosmetic surgery as well as what patients look for when selecting their surgeon. This study helps to define those attributes in a sample population.</w:t>
      </w:r>
    </w:p>
    <w:p w:rsidR="00624F6C" w:rsidRDefault="00624F6C" w:rsidP="00624F6C">
      <w:pPr>
        <w:pStyle w:val="a3"/>
        <w:rPr>
          <w:kern w:val="0"/>
          <w:szCs w:val="24"/>
        </w:rPr>
      </w:pPr>
      <w:r>
        <w:rPr>
          <w:kern w:val="0"/>
          <w:szCs w:val="24"/>
        </w:rPr>
        <w:t>Keywords: Advertising, Aesthetic Surgery, Aesthetic Surgery, Age, Analyses, Anonymous, Authors, Certification, Cosmetic Surgery, Decision-Making, Distributed, Fear, General, Influence, Market, Marketing, Median, Men, Methods, Multivariate, Multivariate Analyses, Patient Interest, Patients, Perceptions, Plastic Surgery, Population, Practice, Procedure, Quality, Quality Of, Questionnaire, Reputation, Results, Selection, Surgeon Selection, Surgery, Value, Women</w:t>
      </w:r>
    </w:p>
    <w:p w:rsidR="007C7316" w:rsidRDefault="007C7316" w:rsidP="007C7316">
      <w:pPr>
        <w:pStyle w:val="a3"/>
        <w:rPr>
          <w:kern w:val="0"/>
        </w:rPr>
      </w:pPr>
      <w:r>
        <w:rPr>
          <w:rFonts w:hint="eastAsia"/>
          <w:kern w:val="0"/>
        </w:rPr>
        <w:t xml:space="preserve">? </w:t>
      </w:r>
      <w:r>
        <w:rPr>
          <w:kern w:val="0"/>
        </w:rPr>
        <w:t xml:space="preserve">Van Borsel, J., De Vos, M.C., Bastiaansen, K., Welvaert, J. and Lambert, J. (2014), The effectiveness of facial exercises for facial rejuvenation: A systematic review. </w:t>
      </w:r>
      <w:r>
        <w:rPr>
          <w:i/>
          <w:iCs/>
          <w:kern w:val="0"/>
        </w:rPr>
        <w:t>Aesthetic Surgery Journal</w:t>
      </w:r>
      <w:r>
        <w:rPr>
          <w:kern w:val="0"/>
        </w:rPr>
        <w:t xml:space="preserve">, </w:t>
      </w:r>
      <w:r>
        <w:rPr>
          <w:b/>
          <w:bCs/>
          <w:kern w:val="0"/>
        </w:rPr>
        <w:t>34</w:t>
      </w:r>
      <w:r>
        <w:rPr>
          <w:kern w:val="0"/>
        </w:rPr>
        <w:t xml:space="preserve"> (1), 22-27.</w:t>
      </w:r>
    </w:p>
    <w:p w:rsidR="007C7316" w:rsidRDefault="007C7316" w:rsidP="007C7316">
      <w:pPr>
        <w:pStyle w:val="a3"/>
        <w:rPr>
          <w:kern w:val="0"/>
        </w:rPr>
      </w:pPr>
      <w:r>
        <w:rPr>
          <w:kern w:val="0"/>
        </w:rPr>
        <w:t xml:space="preserve">Full Text: </w:t>
      </w:r>
      <w:hyperlink r:id="rId277" w:history="1">
        <w:r w:rsidRPr="007C7316">
          <w:rPr>
            <w:rStyle w:val="a5"/>
            <w:kern w:val="0"/>
          </w:rPr>
          <w:t>2014\Aes Sur J34, 22.pdf</w:t>
        </w:r>
      </w:hyperlink>
    </w:p>
    <w:p w:rsidR="007C7316" w:rsidRDefault="007C7316" w:rsidP="007C7316">
      <w:pPr>
        <w:pStyle w:val="a3"/>
        <w:rPr>
          <w:kern w:val="0"/>
        </w:rPr>
      </w:pPr>
      <w:r>
        <w:rPr>
          <w:kern w:val="0"/>
        </w:rPr>
        <w:t>Abstract: Background: Although aesthetic correction of facial aging had long been the exclusive domain of plastic surgeons and dermatologists, alternative nonmedical approaches to facial rejuvenation are becoming more popular, such as facial acupuncture, facial acupressure, and facial exercises. However, the effectiveness of these alternative approaches is still a topic of debate. Objectives: The authors review the evidence of the effectiveness of facial exercises for facial rejuvenation. Methods: A literature search was performed in Medline, Web of Science, Science Direct, SciELO, and LILACS databases for the terms facial rejuvenation, facial exercises, facial massage, face building, face yoga, (oro)facial (a)esthetics, (a)esthetic logopedics, and (a)esthetic speech therapy. Nine reports were identified from the search and were subject to further assessment. Results: Although positive outcomes were achieved in all 9 studies, none of the studies used a control group and randomization process</w:t>
      </w:r>
      <w:r w:rsidR="00A37C1D">
        <w:rPr>
          <w:kern w:val="0"/>
        </w:rPr>
        <w:t>. The</w:t>
      </w:r>
      <w:r>
        <w:rPr>
          <w:kern w:val="0"/>
        </w:rPr>
        <w:t>y were single case reports, small case series, or studies with a single-group pretest-posttest design. Moreover, the effectiveness assessments in most of the studies were purely subjective, carried out by the authors and/or the patients themselves, without blinding. Conclusions: The evidence to date is insufficient to determine whether facial exercises are effective for facial rejuvenation. Evidence from large randomized controlled trials will be needed before conclusions can be drawn.</w:t>
      </w:r>
    </w:p>
    <w:p w:rsidR="007C7316" w:rsidRDefault="007C7316" w:rsidP="007C7316">
      <w:pPr>
        <w:pStyle w:val="a3"/>
        <w:rPr>
          <w:kern w:val="0"/>
        </w:rPr>
      </w:pPr>
      <w:r>
        <w:rPr>
          <w:kern w:val="0"/>
        </w:rPr>
        <w:t>Keywords: Acupuncture, Aging, Alternative, Assessment, Assessments, Authors, Building, Case Reports, Control, Databases, Design, Effectiveness, Esthetic Logopedics, Evidence, Exercises, Facial Aging, Facial Exercises, Facial Rejuvenation, Literature, Literature Search, Massage, Medline, Methods, Outcomes, Patients, Positive Outcomes, Randomization, Randomized, Randomized Controlled Trials, Results, Review, Scielo, Science, Small, Systematic Review, Therapy, Topic, Web Of Science</w:t>
      </w:r>
    </w:p>
    <w:p w:rsidR="00606091" w:rsidRDefault="00606091" w:rsidP="00606091">
      <w:pPr>
        <w:pStyle w:val="a3"/>
        <w:rPr>
          <w:kern w:val="0"/>
        </w:rPr>
      </w:pPr>
      <w:r>
        <w:rPr>
          <w:kern w:val="0"/>
        </w:rPr>
        <w:lastRenderedPageBreak/>
        <w:t xml:space="preserve">? Gruber, R.P., Kwon, E., Berger, A. and Belek, K.A. (2014), </w:t>
      </w:r>
      <w:r w:rsidRPr="00606091">
        <w:t>Supratip-plasty: A completely cartilaginous tip complex to maintain nasal tip width</w:t>
      </w:r>
      <w:r>
        <w:rPr>
          <w:kern w:val="0"/>
        </w:rPr>
        <w:t xml:space="preserve">. </w:t>
      </w:r>
      <w:r>
        <w:rPr>
          <w:i/>
          <w:iCs/>
          <w:kern w:val="0"/>
        </w:rPr>
        <w:t>Aesthetic Surgery Journal</w:t>
      </w:r>
      <w:r>
        <w:rPr>
          <w:kern w:val="0"/>
        </w:rPr>
        <w:t xml:space="preserve">, </w:t>
      </w:r>
      <w:r>
        <w:rPr>
          <w:b/>
          <w:bCs/>
          <w:kern w:val="0"/>
        </w:rPr>
        <w:t>34</w:t>
      </w:r>
      <w:r>
        <w:rPr>
          <w:kern w:val="0"/>
        </w:rPr>
        <w:t xml:space="preserve"> (1), 34-44.</w:t>
      </w:r>
    </w:p>
    <w:p w:rsidR="007C7316" w:rsidRDefault="007C7316" w:rsidP="007C7316">
      <w:pPr>
        <w:pStyle w:val="a3"/>
        <w:rPr>
          <w:kern w:val="0"/>
        </w:rPr>
      </w:pPr>
      <w:r>
        <w:rPr>
          <w:kern w:val="0"/>
        </w:rPr>
        <w:t xml:space="preserve">Full Text: </w:t>
      </w:r>
      <w:hyperlink r:id="rId278" w:history="1">
        <w:r w:rsidR="00606091" w:rsidRPr="00606091">
          <w:rPr>
            <w:rStyle w:val="a5"/>
            <w:kern w:val="0"/>
          </w:rPr>
          <w:t>2014\Aes Sur J34, 34.pdf</w:t>
        </w:r>
      </w:hyperlink>
    </w:p>
    <w:p w:rsidR="00606091" w:rsidRDefault="00606091" w:rsidP="00606091">
      <w:pPr>
        <w:pStyle w:val="a3"/>
        <w:rPr>
          <w:kern w:val="0"/>
        </w:rPr>
      </w:pPr>
      <w:r>
        <w:rPr>
          <w:kern w:val="0"/>
        </w:rPr>
        <w:t>Abstract: Background: Although aesthetic correction of facial aging had long been the exclusive domain of plastic surgeons and dermatologists, alternative nonmedical approaches to facial rejuvenation are becoming more popular, such as facial acupuncture, facial acupressure, and facial exercises. However, the effectiveness of these alternative approaches is still a topic of debate. Objectives: The authors review the evidence of the effectiveness of facial exercises for facial rejuvenation. Methods: A literature search was performed in Medline, Web of Science, Science Direct, SciELO, and LILACS databases for the terms facial rejuvenation, facial exercises, facial massage, face building, face yoga, (oro)facial (a)esthetics, (a)esthetic logopedics, and (a)esthetic speech therapy. Nine reports were identified from the search and were subject to further assessment. Results: Although positive outcomes were achieved in all 9 studies, none of the studies used a control group and randomization process</w:t>
      </w:r>
      <w:r w:rsidR="00A37C1D">
        <w:rPr>
          <w:kern w:val="0"/>
        </w:rPr>
        <w:t>. The</w:t>
      </w:r>
      <w:r>
        <w:rPr>
          <w:kern w:val="0"/>
        </w:rPr>
        <w:t>y were single case reports, small case series, or studies with a single-group pretest-posttest design. Moreover, the effectiveness assessments in most of the studies were purely subjective, carried out by the authors and/or the patients themselves, without blinding. Conclusions: The evidence to date is insufficient to determine whether facial exercises are effective for facial rejuvenation. Evidence from large randomized controlled trials will be needed before conclusions can be drawn.</w:t>
      </w:r>
    </w:p>
    <w:p w:rsidR="00606091" w:rsidRDefault="00606091" w:rsidP="00606091">
      <w:pPr>
        <w:pStyle w:val="a3"/>
        <w:rPr>
          <w:kern w:val="0"/>
        </w:rPr>
      </w:pPr>
      <w:r>
        <w:rPr>
          <w:kern w:val="0"/>
        </w:rPr>
        <w:t>Keywords: Acupuncture, Aesthetics, Aging, Alar Retraction, Alternative, Anatomy, Assessment, Assessments, Authors, Building, Case Reports, Control, Databases, Design, Effectiveness, Esthetic Logopedics, Evidence, Exercises, Facial Aging, Facial Exercises, Facial Rejuvenation, Literature, Literature Search, Massage, Medline, Methods, Nasal-Tip, Nose, Outcomes, Patients, Positive Outcomes, Preservation, Randomization, Randomized, Randomized Controlled Trials, Refinement, Results, Review, Rhinoplasty, Scielo, Science, Small, Supratip Deformity, Systematic Review, Therapy, Topic, Web Of Science</w:t>
      </w:r>
    </w:p>
    <w:p w:rsidR="003474F2" w:rsidRPr="001A3D2B" w:rsidRDefault="003474F2" w:rsidP="003474F2">
      <w:pPr>
        <w:pStyle w:val="1"/>
      </w:pPr>
      <w:r w:rsidRPr="001A3D2B">
        <w:br w:type="page"/>
      </w:r>
      <w:bookmarkStart w:id="154" w:name="_Toc420814326"/>
      <w:r w:rsidRPr="001A3D2B">
        <w:lastRenderedPageBreak/>
        <w:t xml:space="preserve">Title: </w:t>
      </w:r>
      <w:r w:rsidRPr="001A3D2B">
        <w:rPr>
          <w:iCs w:val="0"/>
        </w:rPr>
        <w:t>AJAR-African Journal</w:t>
      </w:r>
      <w:r w:rsidR="00427468">
        <w:rPr>
          <w:iCs w:val="0"/>
        </w:rPr>
        <w:t xml:space="preserve"> of </w:t>
      </w:r>
      <w:r w:rsidRPr="001A3D2B">
        <w:rPr>
          <w:iCs w:val="0"/>
        </w:rPr>
        <w:t>AIDS Research</w:t>
      </w:r>
      <w:bookmarkEnd w:id="154"/>
    </w:p>
    <w:p w:rsidR="003474F2" w:rsidRPr="001A3D2B" w:rsidRDefault="003474F2" w:rsidP="003474F2">
      <w:pPr>
        <w:pStyle w:val="12"/>
      </w:pPr>
      <w:r w:rsidRPr="001A3D2B">
        <w:t>Full Journal Title: AJAR-African Journal</w:t>
      </w:r>
      <w:r w:rsidR="00427468">
        <w:t xml:space="preserve"> of </w:t>
      </w:r>
      <w:r w:rsidRPr="001A3D2B">
        <w:t>AIDS Research</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Default="003474F2" w:rsidP="003474F2">
      <w:pPr>
        <w:pStyle w:val="a3"/>
      </w:pPr>
      <w:r w:rsidRPr="001A3D2B">
        <w:t>? Onyancha, O.B. (2008), Growth, productivity,</w:t>
      </w:r>
      <w:r w:rsidR="005853A9">
        <w:t xml:space="preserve"> and </w:t>
      </w:r>
      <w:r w:rsidRPr="001A3D2B">
        <w:t>scientific impact</w:t>
      </w:r>
      <w:r w:rsidR="00427468">
        <w:t xml:space="preserve"> of </w:t>
      </w:r>
      <w:r w:rsidRPr="001A3D2B">
        <w:t>sources</w:t>
      </w:r>
      <w:r w:rsidR="00427468">
        <w:t xml:space="preserve"> of </w:t>
      </w:r>
      <w:r w:rsidRPr="001A3D2B">
        <w:t>HIV/AIDS research information, with a focus on eastern</w:t>
      </w:r>
      <w:r w:rsidR="005853A9">
        <w:t xml:space="preserve"> and </w:t>
      </w:r>
      <w:r w:rsidRPr="001A3D2B">
        <w:t xml:space="preserve">southern Africa. </w:t>
      </w:r>
      <w:r w:rsidRPr="001A3D2B">
        <w:rPr>
          <w:i/>
          <w:iCs/>
        </w:rPr>
        <w:t>AJAR-African Journal</w:t>
      </w:r>
      <w:r w:rsidR="00427468">
        <w:rPr>
          <w:i/>
          <w:iCs/>
        </w:rPr>
        <w:t xml:space="preserve"> of </w:t>
      </w:r>
      <w:r w:rsidRPr="001A3D2B">
        <w:rPr>
          <w:i/>
          <w:iCs/>
        </w:rPr>
        <w:t>AIDS Research</w:t>
      </w:r>
      <w:r w:rsidRPr="001A3D2B">
        <w:t xml:space="preserve">, </w:t>
      </w:r>
      <w:r w:rsidRPr="001A3D2B">
        <w:rPr>
          <w:b/>
          <w:bCs/>
        </w:rPr>
        <w:t>7</w:t>
      </w:r>
      <w:r w:rsidRPr="001A3D2B">
        <w:t xml:space="preserve"> (1), 55-70.</w:t>
      </w:r>
    </w:p>
    <w:p w:rsidR="008A3731" w:rsidRPr="001A3D2B" w:rsidRDefault="008A3731" w:rsidP="003474F2">
      <w:pPr>
        <w:pStyle w:val="a3"/>
      </w:pPr>
      <w:r>
        <w:rPr>
          <w:rFonts w:hint="eastAsia"/>
        </w:rPr>
        <w:t xml:space="preserve">Full Text: </w:t>
      </w:r>
      <w:hyperlink r:id="rId279" w:history="1">
        <w:r w:rsidRPr="008A3731">
          <w:rPr>
            <w:rStyle w:val="a5"/>
          </w:rPr>
          <w:t>2008\AJAR7, 55.pdf</w:t>
        </w:r>
      </w:hyperlink>
    </w:p>
    <w:p w:rsidR="003474F2" w:rsidRPr="001A3D2B" w:rsidRDefault="003474F2" w:rsidP="003474F2">
      <w:pPr>
        <w:pStyle w:val="a3"/>
      </w:pPr>
      <w:r w:rsidRPr="001A3D2B">
        <w:t>Abstract: As channels</w:t>
      </w:r>
      <w:r w:rsidR="00427468">
        <w:t xml:space="preserve"> of </w:t>
      </w:r>
      <w:r w:rsidRPr="001A3D2B">
        <w:t>communicating HIV/AIDS research information, serial publications</w:t>
      </w:r>
      <w:r w:rsidR="005853A9">
        <w:t xml:space="preserve"> and </w:t>
      </w:r>
      <w:r w:rsidRPr="001A3D2B">
        <w:t>particularly journals are increasingly used in response to</w:t>
      </w:r>
      <w:r w:rsidR="003A1917">
        <w:t xml:space="preserve"> the </w:t>
      </w:r>
      <w:r w:rsidRPr="001A3D2B">
        <w:t>pandemic</w:t>
      </w:r>
      <w:r w:rsidR="00A37C1D">
        <w:t>. The</w:t>
      </w:r>
      <w:r w:rsidR="003A1917">
        <w:t xml:space="preserve"> </w:t>
      </w:r>
      <w:r w:rsidRPr="001A3D2B">
        <w:t>last few decades have witnessed a proliferation</w:t>
      </w:r>
      <w:r w:rsidR="00427468">
        <w:t xml:space="preserve"> of </w:t>
      </w:r>
      <w:r w:rsidRPr="001A3D2B">
        <w:t>sources</w:t>
      </w:r>
      <w:r w:rsidR="00427468">
        <w:t xml:space="preserve"> of </w:t>
      </w:r>
      <w:r w:rsidRPr="001A3D2B">
        <w:t>HIV/AIDS-related information, bringing many challenges to collection-development librarians as well as to researchers. This study uses an informetric approach to examine</w:t>
      </w:r>
      <w:r w:rsidR="003A1917">
        <w:t xml:space="preserve"> the </w:t>
      </w:r>
      <w:r w:rsidRPr="001A3D2B">
        <w:t>growth, productivity</w:t>
      </w:r>
      <w:r w:rsidR="005853A9">
        <w:t xml:space="preserve"> and </w:t>
      </w:r>
      <w:r w:rsidRPr="001A3D2B">
        <w:t>scientific impact</w:t>
      </w:r>
      <w:r w:rsidR="00427468">
        <w:t xml:space="preserve"> of </w:t>
      </w:r>
      <w:r w:rsidRPr="001A3D2B">
        <w:t>these sources, during</w:t>
      </w:r>
      <w:r w:rsidR="003A1917">
        <w:t xml:space="preserve"> the </w:t>
      </w:r>
      <w:r w:rsidRPr="001A3D2B">
        <w:t>period 1980 to 2005,</w:t>
      </w:r>
      <w:r w:rsidR="005853A9">
        <w:t xml:space="preserve"> and </w:t>
      </w:r>
      <w:r w:rsidRPr="001A3D2B">
        <w:t>especially to measure performance in</w:t>
      </w:r>
      <w:r w:rsidR="003A1917">
        <w:t xml:space="preserve"> the </w:t>
      </w:r>
      <w:r w:rsidRPr="001A3D2B">
        <w:t>publication</w:t>
      </w:r>
      <w:r w:rsidR="005853A9">
        <w:t xml:space="preserve"> and </w:t>
      </w:r>
      <w:r w:rsidRPr="001A3D2B">
        <w:t>dissemination</w:t>
      </w:r>
      <w:r w:rsidR="00427468">
        <w:t xml:space="preserve"> of </w:t>
      </w:r>
      <w:r w:rsidRPr="001A3D2B">
        <w:t xml:space="preserve">HIV/AIDS research about or from eastern or southern Africa. Data were collected from </w:t>
      </w:r>
      <w:r w:rsidR="00D5664A">
        <w:t>MEDLINE</w:t>
      </w:r>
      <w:r w:rsidRPr="001A3D2B">
        <w:t>, Science Citation Index (SCI), Social Sciences Citation Index (</w:t>
      </w:r>
      <w:r w:rsidR="00D5664A">
        <w:t>SSCI</w:t>
      </w:r>
      <w:r w:rsidRPr="001A3D2B">
        <w:t>),</w:t>
      </w:r>
      <w:r w:rsidR="005853A9">
        <w:t xml:space="preserve"> and </w:t>
      </w:r>
      <w:r w:rsidRPr="001A3D2B">
        <w:t>Ulrich</w:t>
      </w:r>
      <w:r w:rsidR="00700038">
        <w:t>’</w:t>
      </w:r>
      <w:r w:rsidR="00C13DDC">
        <w:t>s</w:t>
      </w:r>
      <w:r w:rsidRPr="001A3D2B">
        <w:t xml:space="preserve"> Periodical Directory</w:t>
      </w:r>
      <w:r w:rsidR="00A37C1D">
        <w:t>. The</w:t>
      </w:r>
      <w:r w:rsidR="003A1917">
        <w:t xml:space="preserve"> </w:t>
      </w:r>
      <w:r w:rsidRPr="001A3D2B">
        <w:t>analysis used Sitkis version 1.5, Microsoft Office Access, Microsoft Office Excel, Bibexcel,</w:t>
      </w:r>
      <w:r w:rsidR="005853A9">
        <w:t xml:space="preserve"> and </w:t>
      </w:r>
      <w:r w:rsidRPr="001A3D2B">
        <w:t>Citespace version 2.0.1</w:t>
      </w:r>
      <w:r w:rsidR="00A37C1D">
        <w:t>. The</w:t>
      </w:r>
      <w:r w:rsidR="003A1917">
        <w:t xml:space="preserve"> </w:t>
      </w:r>
      <w:r w:rsidRPr="001A3D2B">
        <w:t>specific objectives were to identify</w:t>
      </w:r>
      <w:r w:rsidR="003A1917">
        <w:t xml:space="preserve"> the </w:t>
      </w:r>
      <w:r w:rsidRPr="001A3D2B">
        <w:t>number</w:t>
      </w:r>
      <w:r w:rsidR="00427468">
        <w:t xml:space="preserve"> of </w:t>
      </w:r>
      <w:r w:rsidRPr="001A3D2B">
        <w:t>sources</w:t>
      </w:r>
      <w:r w:rsidR="00427468">
        <w:t xml:space="preserve"> of </w:t>
      </w:r>
      <w:r w:rsidRPr="001A3D2B">
        <w:t>HIV/AIDS-related information that have been published in</w:t>
      </w:r>
      <w:r w:rsidR="003A1917">
        <w:t xml:space="preserve"> the </w:t>
      </w:r>
      <w:r w:rsidRPr="001A3D2B">
        <w:t>region,</w:t>
      </w:r>
      <w:r w:rsidR="003A1917">
        <w:t xml:space="preserve"> the </w:t>
      </w:r>
      <w:r w:rsidRPr="001A3D2B">
        <w:t>coverage</w:t>
      </w:r>
      <w:r w:rsidR="00427468">
        <w:t xml:space="preserve"> of </w:t>
      </w:r>
      <w:r w:rsidRPr="001A3D2B">
        <w:t>these in key bibliographic databases,</w:t>
      </w:r>
      <w:r w:rsidR="003A1917">
        <w:t xml:space="preserve"> the </w:t>
      </w:r>
      <w:r w:rsidRPr="001A3D2B">
        <w:t>most commonly used publication type for HIV/AIDS research,</w:t>
      </w:r>
      <w:r w:rsidR="003A1917">
        <w:t xml:space="preserve"> the </w:t>
      </w:r>
      <w:r w:rsidRPr="001A3D2B">
        <w:t>countries in which</w:t>
      </w:r>
      <w:r w:rsidR="003A1917">
        <w:t xml:space="preserve"> the </w:t>
      </w:r>
      <w:r w:rsidRPr="001A3D2B">
        <w:t>sources are published,</w:t>
      </w:r>
      <w:r w:rsidR="003A1917">
        <w:t xml:space="preserve"> the </w:t>
      </w:r>
      <w:r w:rsidRPr="001A3D2B">
        <w:t>sources</w:t>
      </w:r>
      <w:r w:rsidR="00700038">
        <w:t>’</w:t>
      </w:r>
      <w:r w:rsidRPr="001A3D2B">
        <w:t xml:space="preserve"> productivity in terms</w:t>
      </w:r>
      <w:r w:rsidR="00427468">
        <w:t xml:space="preserve"> of </w:t>
      </w:r>
      <w:r w:rsidRPr="001A3D2B">
        <w:t>numbers</w:t>
      </w:r>
      <w:r w:rsidR="00427468">
        <w:t xml:space="preserve"> of </w:t>
      </w:r>
      <w:r w:rsidRPr="001A3D2B">
        <w:t>papers</w:t>
      </w:r>
      <w:r w:rsidR="005853A9">
        <w:t xml:space="preserve"> and </w:t>
      </w:r>
      <w:r w:rsidRPr="001A3D2B">
        <w:t>citations,</w:t>
      </w:r>
      <w:r w:rsidR="003A1917">
        <w:t xml:space="preserve"> the </w:t>
      </w:r>
      <w:r w:rsidRPr="001A3D2B">
        <w:t>most influential sources,</w:t>
      </w:r>
      <w:r w:rsidR="003A1917">
        <w:t xml:space="preserve"> the </w:t>
      </w:r>
      <w:r w:rsidRPr="001A3D2B">
        <w:t>subject coverage</w:t>
      </w:r>
      <w:r w:rsidR="00427468">
        <w:t xml:space="preserve"> of </w:t>
      </w:r>
      <w:r w:rsidR="003A1917">
        <w:t xml:space="preserve">the </w:t>
      </w:r>
      <w:r w:rsidRPr="001A3D2B">
        <w:t>sources,</w:t>
      </w:r>
      <w:r w:rsidR="005853A9">
        <w:t xml:space="preserve"> and </w:t>
      </w:r>
      <w:r w:rsidR="003A1917">
        <w:t xml:space="preserve">the </w:t>
      </w:r>
      <w:r w:rsidRPr="001A3D2B">
        <w:t>core sources</w:t>
      </w:r>
      <w:r w:rsidR="00427468">
        <w:t xml:space="preserve"> of </w:t>
      </w:r>
      <w:r w:rsidRPr="001A3D2B">
        <w:t>HIV/AIDS-information.</w:t>
      </w:r>
    </w:p>
    <w:p w:rsidR="003474F2" w:rsidRPr="001A3D2B" w:rsidRDefault="003474F2" w:rsidP="003474F2">
      <w:pPr>
        <w:pStyle w:val="a3"/>
      </w:pPr>
      <w:r w:rsidRPr="001A3D2B">
        <w:t xml:space="preserve">Keywords: Africa, Analysis, Approach, Bibliographic Databases, Citations, Coverage, Databases, Growth, HIV, AIDS, Impact, Information, Journals, Measure, </w:t>
      </w:r>
      <w:r w:rsidR="00D5664A">
        <w:t>MEDLINE</w:t>
      </w:r>
      <w:r w:rsidRPr="001A3D2B">
        <w:t>, Papers, Performance, Productivity, Proliferation, Publication, Publications, Research</w:t>
      </w:r>
      <w:r w:rsidR="00D5664A">
        <w:t xml:space="preserve">, </w:t>
      </w:r>
      <w:r w:rsidR="00D5664A">
        <w:lastRenderedPageBreak/>
        <w:t>SCI,</w:t>
      </w:r>
      <w:r w:rsidRPr="001A3D2B">
        <w:t xml:space="preserve"> Science Citation Index, Sources,</w:t>
      </w:r>
      <w:r w:rsidR="008E3069">
        <w:t xml:space="preserve"> </w:t>
      </w:r>
      <w:r w:rsidR="00D5664A">
        <w:t>SSCI</w:t>
      </w:r>
      <w:r w:rsidR="008E3069">
        <w:t>,</w:t>
      </w:r>
      <w:r w:rsidRPr="001A3D2B">
        <w:t xml:space="preserve"> Version</w:t>
      </w:r>
    </w:p>
    <w:p w:rsidR="002A68BF" w:rsidRDefault="002A68BF" w:rsidP="002A68BF">
      <w:pPr>
        <w:pStyle w:val="a3"/>
        <w:rPr>
          <w:kern w:val="0"/>
        </w:rPr>
      </w:pPr>
      <w:r>
        <w:rPr>
          <w:rFonts w:hint="eastAsia"/>
          <w:kern w:val="0"/>
        </w:rPr>
        <w:t xml:space="preserve">? </w:t>
      </w:r>
      <w:r>
        <w:rPr>
          <w:kern w:val="0"/>
        </w:rPr>
        <w:t>Breuer, E., Myer, L., Struthers, H.</w:t>
      </w:r>
      <w:r w:rsidR="005853A9">
        <w:rPr>
          <w:kern w:val="0"/>
        </w:rPr>
        <w:t xml:space="preserve"> and </w:t>
      </w:r>
      <w:r>
        <w:rPr>
          <w:kern w:val="0"/>
        </w:rPr>
        <w:t>Joska, J.A. (2011), HIV/AIDS</w:t>
      </w:r>
      <w:r w:rsidR="005853A9">
        <w:rPr>
          <w:kern w:val="0"/>
        </w:rPr>
        <w:t xml:space="preserve"> and </w:t>
      </w:r>
      <w:r>
        <w:rPr>
          <w:kern w:val="0"/>
        </w:rPr>
        <w:t xml:space="preserve">mental health research in sub-Saharan Africa: A systematic review. </w:t>
      </w:r>
      <w:r>
        <w:rPr>
          <w:i/>
          <w:iCs/>
          <w:kern w:val="0"/>
        </w:rPr>
        <w:t>AJAR-African Journal</w:t>
      </w:r>
      <w:r w:rsidR="00427468">
        <w:rPr>
          <w:i/>
          <w:iCs/>
          <w:kern w:val="0"/>
        </w:rPr>
        <w:t xml:space="preserve"> of </w:t>
      </w:r>
      <w:r>
        <w:rPr>
          <w:i/>
          <w:iCs/>
          <w:kern w:val="0"/>
        </w:rPr>
        <w:t>AIDS Research</w:t>
      </w:r>
      <w:r>
        <w:rPr>
          <w:kern w:val="0"/>
        </w:rPr>
        <w:t xml:space="preserve">, </w:t>
      </w:r>
      <w:r>
        <w:rPr>
          <w:b/>
          <w:bCs/>
          <w:kern w:val="0"/>
        </w:rPr>
        <w:t>10</w:t>
      </w:r>
      <w:r>
        <w:rPr>
          <w:kern w:val="0"/>
        </w:rPr>
        <w:t xml:space="preserve"> (2), 101-122.</w:t>
      </w:r>
    </w:p>
    <w:p w:rsidR="002A68BF" w:rsidRPr="001A3D2B" w:rsidRDefault="002A68BF" w:rsidP="002A68BF">
      <w:pPr>
        <w:pStyle w:val="a3"/>
      </w:pPr>
      <w:r>
        <w:rPr>
          <w:rFonts w:hint="eastAsia"/>
        </w:rPr>
        <w:t xml:space="preserve">Full Text: </w:t>
      </w:r>
      <w:hyperlink r:id="rId280" w:history="1">
        <w:r w:rsidRPr="002A68BF">
          <w:rPr>
            <w:rStyle w:val="a5"/>
          </w:rPr>
          <w:t>2011\AJAR10, 101.pdf</w:t>
        </w:r>
      </w:hyperlink>
    </w:p>
    <w:p w:rsidR="002A68BF" w:rsidRDefault="002A68BF" w:rsidP="002A68BF">
      <w:pPr>
        <w:pStyle w:val="a3"/>
        <w:rPr>
          <w:kern w:val="0"/>
        </w:rPr>
      </w:pPr>
      <w:r>
        <w:rPr>
          <w:kern w:val="0"/>
        </w:rPr>
        <w:t>Abstract:</w:t>
      </w:r>
      <w:r w:rsidR="003A1917">
        <w:rPr>
          <w:kern w:val="0"/>
        </w:rPr>
        <w:t xml:space="preserve"> the </w:t>
      </w:r>
      <w:r>
        <w:rPr>
          <w:kern w:val="0"/>
        </w:rPr>
        <w:t>relationship between mental illness</w:t>
      </w:r>
      <w:r w:rsidR="005853A9">
        <w:rPr>
          <w:kern w:val="0"/>
        </w:rPr>
        <w:t xml:space="preserve"> and </w:t>
      </w:r>
      <w:r>
        <w:rPr>
          <w:kern w:val="0"/>
        </w:rPr>
        <w:t>HIV/AIDS is complex</w:t>
      </w:r>
      <w:r w:rsidR="005853A9">
        <w:rPr>
          <w:kern w:val="0"/>
        </w:rPr>
        <w:t xml:space="preserve"> and </w:t>
      </w:r>
      <w:r>
        <w:rPr>
          <w:kern w:val="0"/>
        </w:rPr>
        <w:t>bidirectional. A significant amount</w:t>
      </w:r>
      <w:r w:rsidR="00427468">
        <w:rPr>
          <w:kern w:val="0"/>
        </w:rPr>
        <w:t xml:space="preserve"> of </w:t>
      </w:r>
      <w:r>
        <w:rPr>
          <w:kern w:val="0"/>
        </w:rPr>
        <w:t>research has been performed in high-income countries but less is known about HIV</w:t>
      </w:r>
      <w:r w:rsidR="005853A9">
        <w:rPr>
          <w:kern w:val="0"/>
        </w:rPr>
        <w:t xml:space="preserve"> and </w:t>
      </w:r>
      <w:r>
        <w:rPr>
          <w:kern w:val="0"/>
        </w:rPr>
        <w:t>mental health in sub-Saharan Africa</w:t>
      </w:r>
      <w:r w:rsidR="00A37C1D">
        <w:rPr>
          <w:kern w:val="0"/>
        </w:rPr>
        <w:t>. The</w:t>
      </w:r>
      <w:r w:rsidR="003A1917">
        <w:rPr>
          <w:kern w:val="0"/>
        </w:rPr>
        <w:t xml:space="preserve"> </w:t>
      </w:r>
      <w:r>
        <w:rPr>
          <w:kern w:val="0"/>
        </w:rPr>
        <w:t>objectives</w:t>
      </w:r>
      <w:r w:rsidR="00427468">
        <w:rPr>
          <w:kern w:val="0"/>
        </w:rPr>
        <w:t xml:space="preserve"> of </w:t>
      </w:r>
      <w:r w:rsidR="003A1917">
        <w:rPr>
          <w:kern w:val="0"/>
        </w:rPr>
        <w:t xml:space="preserve">the </w:t>
      </w:r>
      <w:r>
        <w:rPr>
          <w:kern w:val="0"/>
        </w:rPr>
        <w:t>review were to search</w:t>
      </w:r>
      <w:r w:rsidR="003A1917">
        <w:rPr>
          <w:kern w:val="0"/>
        </w:rPr>
        <w:t xml:space="preserve"> the </w:t>
      </w:r>
      <w:r>
        <w:rPr>
          <w:kern w:val="0"/>
        </w:rPr>
        <w:t>literature for quantitative studies conducted in sub-Saharan Africa on mental health</w:t>
      </w:r>
      <w:r w:rsidR="005853A9">
        <w:rPr>
          <w:kern w:val="0"/>
        </w:rPr>
        <w:t xml:space="preserve"> and </w:t>
      </w:r>
      <w:r>
        <w:rPr>
          <w:kern w:val="0"/>
        </w:rPr>
        <w:t>HIV</w:t>
      </w:r>
      <w:r w:rsidR="005853A9">
        <w:rPr>
          <w:kern w:val="0"/>
        </w:rPr>
        <w:t xml:space="preserve"> and </w:t>
      </w:r>
      <w:r>
        <w:rPr>
          <w:kern w:val="0"/>
        </w:rPr>
        <w:t>to critically evaluate</w:t>
      </w:r>
      <w:r w:rsidR="005853A9">
        <w:rPr>
          <w:kern w:val="0"/>
        </w:rPr>
        <w:t xml:space="preserve"> and </w:t>
      </w:r>
      <w:r>
        <w:rPr>
          <w:kern w:val="0"/>
        </w:rPr>
        <w:t>collate</w:t>
      </w:r>
      <w:r w:rsidR="003A1917">
        <w:rPr>
          <w:kern w:val="0"/>
        </w:rPr>
        <w:t xml:space="preserve"> the </w:t>
      </w:r>
      <w:r>
        <w:rPr>
          <w:kern w:val="0"/>
        </w:rPr>
        <w:t>studies in order to identify research needs</w:t>
      </w:r>
      <w:r w:rsidR="005853A9">
        <w:rPr>
          <w:kern w:val="0"/>
        </w:rPr>
        <w:t xml:space="preserve"> and </w:t>
      </w:r>
      <w:r>
        <w:rPr>
          <w:kern w:val="0"/>
        </w:rPr>
        <w:t>priorities</w:t>
      </w:r>
      <w:r w:rsidR="00A37C1D">
        <w:rPr>
          <w:kern w:val="0"/>
        </w:rPr>
        <w:t>. The</w:t>
      </w:r>
      <w:r w:rsidR="003A1917">
        <w:rPr>
          <w:kern w:val="0"/>
        </w:rPr>
        <w:t xml:space="preserve"> </w:t>
      </w:r>
      <w:r>
        <w:rPr>
          <w:kern w:val="0"/>
        </w:rPr>
        <w:t xml:space="preserve">databases Ovid, </w:t>
      </w:r>
      <w:r w:rsidR="00D5664A">
        <w:rPr>
          <w:kern w:val="0"/>
        </w:rPr>
        <w:t>MEDLINE</w:t>
      </w:r>
      <w:r>
        <w:rPr>
          <w:kern w:val="0"/>
        </w:rPr>
        <w:t>, PsycINFO</w:t>
      </w:r>
      <w:r w:rsidR="005853A9">
        <w:rPr>
          <w:kern w:val="0"/>
        </w:rPr>
        <w:t xml:space="preserve"> and </w:t>
      </w:r>
      <w:r w:rsidR="003A1917">
        <w:rPr>
          <w:kern w:val="0"/>
        </w:rPr>
        <w:t xml:space="preserve">the </w:t>
      </w:r>
      <w:r>
        <w:rPr>
          <w:kern w:val="0"/>
        </w:rPr>
        <w:t>Social Sciences Citation Index (</w:t>
      </w:r>
      <w:r w:rsidR="00D5664A">
        <w:rPr>
          <w:kern w:val="0"/>
        </w:rPr>
        <w:t>SSCI</w:t>
      </w:r>
      <w:r>
        <w:rPr>
          <w:kern w:val="0"/>
        </w:rPr>
        <w:t>) were searched for variations</w:t>
      </w:r>
      <w:r w:rsidR="00427468">
        <w:rPr>
          <w:kern w:val="0"/>
        </w:rPr>
        <w:t xml:space="preserve"> of </w:t>
      </w:r>
      <w:r>
        <w:rPr>
          <w:kern w:val="0"/>
        </w:rPr>
        <w:t>search terms related to HIV/AIDS</w:t>
      </w:r>
      <w:r w:rsidR="005853A9">
        <w:rPr>
          <w:kern w:val="0"/>
        </w:rPr>
        <w:t xml:space="preserve"> and </w:t>
      </w:r>
      <w:r>
        <w:rPr>
          <w:kern w:val="0"/>
        </w:rPr>
        <w:t>mental health</w:t>
      </w:r>
      <w:r w:rsidR="005853A9">
        <w:rPr>
          <w:kern w:val="0"/>
        </w:rPr>
        <w:t xml:space="preserve"> and </w:t>
      </w:r>
      <w:r>
        <w:rPr>
          <w:kern w:val="0"/>
        </w:rPr>
        <w:t>studies limited to</w:t>
      </w:r>
      <w:r w:rsidR="003A1917">
        <w:rPr>
          <w:kern w:val="0"/>
        </w:rPr>
        <w:t xml:space="preserve"> the </w:t>
      </w:r>
      <w:r>
        <w:rPr>
          <w:kern w:val="0"/>
        </w:rPr>
        <w:t>populations</w:t>
      </w:r>
      <w:r w:rsidR="00427468">
        <w:rPr>
          <w:kern w:val="0"/>
        </w:rPr>
        <w:t xml:space="preserve"> of </w:t>
      </w:r>
      <w:r>
        <w:rPr>
          <w:kern w:val="0"/>
        </w:rPr>
        <w:t>African countries. In addition, we hand-searched indexes</w:t>
      </w:r>
      <w:r w:rsidR="00427468">
        <w:rPr>
          <w:kern w:val="0"/>
        </w:rPr>
        <w:t xml:space="preserve"> of </w:t>
      </w:r>
      <w:r>
        <w:rPr>
          <w:kern w:val="0"/>
        </w:rPr>
        <w:t>key journals</w:t>
      </w:r>
      <w:r w:rsidR="005853A9">
        <w:rPr>
          <w:kern w:val="0"/>
        </w:rPr>
        <w:t xml:space="preserve"> and </w:t>
      </w:r>
      <w:r w:rsidR="003A1917">
        <w:rPr>
          <w:kern w:val="0"/>
        </w:rPr>
        <w:t xml:space="preserve">the </w:t>
      </w:r>
      <w:r>
        <w:rPr>
          <w:kern w:val="0"/>
        </w:rPr>
        <w:t>databases</w:t>
      </w:r>
      <w:r w:rsidR="00427468">
        <w:rPr>
          <w:kern w:val="0"/>
        </w:rPr>
        <w:t xml:space="preserve"> of </w:t>
      </w:r>
      <w:r>
        <w:rPr>
          <w:kern w:val="0"/>
        </w:rPr>
        <w:t>academic theses. We included 104 papers or research publications</w:t>
      </w:r>
      <w:r w:rsidR="00A37C1D">
        <w:rPr>
          <w:kern w:val="0"/>
        </w:rPr>
        <w:t>. The</w:t>
      </w:r>
      <w:r w:rsidR="003A1917">
        <w:rPr>
          <w:kern w:val="0"/>
        </w:rPr>
        <w:t xml:space="preserve"> </w:t>
      </w:r>
      <w:r>
        <w:rPr>
          <w:kern w:val="0"/>
        </w:rPr>
        <w:t>majority</w:t>
      </w:r>
      <w:r w:rsidR="00427468">
        <w:rPr>
          <w:kern w:val="0"/>
        </w:rPr>
        <w:t xml:space="preserve"> of </w:t>
      </w:r>
      <w:r>
        <w:rPr>
          <w:kern w:val="0"/>
        </w:rPr>
        <w:t>these were published after 2005</w:t>
      </w:r>
      <w:r w:rsidR="00A37C1D">
        <w:rPr>
          <w:kern w:val="0"/>
        </w:rPr>
        <w:t>. The</w:t>
      </w:r>
      <w:r w:rsidR="003A1917">
        <w:rPr>
          <w:kern w:val="0"/>
        </w:rPr>
        <w:t xml:space="preserve"> </w:t>
      </w:r>
      <w:r>
        <w:rPr>
          <w:kern w:val="0"/>
        </w:rPr>
        <w:t>major topics covered were: mental-health-related HIV-risk behaviour, HIV in psychiatric populations,</w:t>
      </w:r>
      <w:r w:rsidR="005853A9">
        <w:rPr>
          <w:kern w:val="0"/>
        </w:rPr>
        <w:t xml:space="preserve"> and </w:t>
      </w:r>
      <w:r>
        <w:rPr>
          <w:kern w:val="0"/>
        </w:rPr>
        <w:t>mental illness in HIV-positive populations</w:t>
      </w:r>
      <w:r w:rsidR="00A37C1D">
        <w:rPr>
          <w:kern w:val="0"/>
        </w:rPr>
        <w:t>. The</w:t>
      </w:r>
      <w:r w:rsidR="003A1917">
        <w:rPr>
          <w:kern w:val="0"/>
        </w:rPr>
        <w:t xml:space="preserve"> </w:t>
      </w:r>
      <w:r>
        <w:rPr>
          <w:kern w:val="0"/>
        </w:rPr>
        <w:t>reported prevalence levels</w:t>
      </w:r>
      <w:r w:rsidR="00427468">
        <w:rPr>
          <w:kern w:val="0"/>
        </w:rPr>
        <w:t xml:space="preserve"> of </w:t>
      </w:r>
      <w:r>
        <w:rPr>
          <w:kern w:val="0"/>
        </w:rPr>
        <w:t>mental illness among people living with HIV or AIDS (PLHIV) was high, with all but one study noting a prevalence</w:t>
      </w:r>
      <w:r w:rsidR="00427468">
        <w:rPr>
          <w:kern w:val="0"/>
        </w:rPr>
        <w:t xml:space="preserve"> of </w:t>
      </w:r>
      <w:r>
        <w:rPr>
          <w:kern w:val="0"/>
        </w:rPr>
        <w:t>19% or higher. Neurocognitive changes in adults with HIV were also prevalent, with reported deficits</w:t>
      </w:r>
      <w:r w:rsidR="00427468">
        <w:rPr>
          <w:kern w:val="0"/>
        </w:rPr>
        <w:t xml:space="preserve"> of </w:t>
      </w:r>
      <w:r>
        <w:rPr>
          <w:kern w:val="0"/>
        </w:rPr>
        <w:t>up to 99% in symptomatic PLHIV</w:t>
      </w:r>
      <w:r w:rsidR="005853A9">
        <w:rPr>
          <w:kern w:val="0"/>
        </w:rPr>
        <w:t xml:space="preserve"> and </w:t>
      </w:r>
      <w:r>
        <w:rPr>
          <w:kern w:val="0"/>
        </w:rPr>
        <w:t>33% in non-symptomatic PLHIV. Research on HIV in relation to mental health is increasing; however, there is a need for good-quality prospective studies to investigate</w:t>
      </w:r>
      <w:r w:rsidR="003A1917">
        <w:rPr>
          <w:kern w:val="0"/>
        </w:rPr>
        <w:t xml:space="preserve"> the </w:t>
      </w:r>
      <w:r>
        <w:rPr>
          <w:kern w:val="0"/>
        </w:rPr>
        <w:t>bidirectional effects</w:t>
      </w:r>
      <w:r w:rsidR="00427468">
        <w:rPr>
          <w:kern w:val="0"/>
        </w:rPr>
        <w:t xml:space="preserve"> of </w:t>
      </w:r>
      <w:r>
        <w:rPr>
          <w:kern w:val="0"/>
        </w:rPr>
        <w:t>mental illness</w:t>
      </w:r>
      <w:r w:rsidR="005853A9">
        <w:rPr>
          <w:kern w:val="0"/>
        </w:rPr>
        <w:t xml:space="preserve"> and </w:t>
      </w:r>
      <w:r>
        <w:rPr>
          <w:kern w:val="0"/>
        </w:rPr>
        <w:t>HIV on each other.</w:t>
      </w:r>
    </w:p>
    <w:p w:rsidR="002A68BF" w:rsidRDefault="002A68BF" w:rsidP="002A68BF">
      <w:pPr>
        <w:pStyle w:val="a3"/>
        <w:rPr>
          <w:kern w:val="0"/>
        </w:rPr>
      </w:pPr>
      <w:r>
        <w:rPr>
          <w:kern w:val="0"/>
        </w:rPr>
        <w:t xml:space="preserve">Keywords: Active Antiretroviral Therapy, Adults, Africa, African Countries, AID, AIDS, CD4 Cell Count, Citation, Databases, HIV, HIV-Infected Individuals, HIV, AIDS, Human-Immunodeficiency-Virus, Indexes, Journals, Literature, Literature Reviews, </w:t>
      </w:r>
      <w:r w:rsidR="00D5664A">
        <w:rPr>
          <w:kern w:val="0"/>
        </w:rPr>
        <w:t>MEDLINE</w:t>
      </w:r>
      <w:r>
        <w:rPr>
          <w:kern w:val="0"/>
        </w:rPr>
        <w:t>, Mental Health, Mental Illness, Neurocognitive Deficits, Papers, Positive Pregnant-Women, Posttraumatic-Stress-Disorder, Prevalence, Priorities, Prospective Studies, Psychiatric Disorders, Psychological Distress Symptoms, Publications, Quality</w:t>
      </w:r>
      <w:r w:rsidR="00434900">
        <w:rPr>
          <w:kern w:val="0"/>
        </w:rPr>
        <w:t>-of-</w:t>
      </w:r>
      <w:r>
        <w:rPr>
          <w:kern w:val="0"/>
        </w:rPr>
        <w:t>Life, Quantitative, Quantitative Research, Randomized Controlled-Trial, Recently Diagnosed Patients, Research, Review, Social Sciences, Social Sciences Citation Index,</w:t>
      </w:r>
      <w:r w:rsidR="008E3069">
        <w:rPr>
          <w:kern w:val="0"/>
        </w:rPr>
        <w:t xml:space="preserve"> </w:t>
      </w:r>
      <w:r w:rsidR="00D5664A">
        <w:rPr>
          <w:kern w:val="0"/>
        </w:rPr>
        <w:t>SSCI</w:t>
      </w:r>
      <w:r w:rsidR="008E3069">
        <w:rPr>
          <w:kern w:val="0"/>
        </w:rPr>
        <w:t>,</w:t>
      </w:r>
      <w:r>
        <w:rPr>
          <w:kern w:val="0"/>
        </w:rPr>
        <w:t xml:space="preserve"> Sub-Saharan Africa, Systematic, Systematic Review, Topics</w:t>
      </w:r>
    </w:p>
    <w:p w:rsidR="00036F25" w:rsidRPr="001A3D2B" w:rsidRDefault="00036F25" w:rsidP="00036F25">
      <w:pPr>
        <w:pStyle w:val="1"/>
      </w:pPr>
      <w:r w:rsidRPr="001A3D2B">
        <w:br w:type="page"/>
      </w:r>
      <w:bookmarkStart w:id="155" w:name="_Toc420814327"/>
      <w:r w:rsidRPr="001A3D2B">
        <w:lastRenderedPageBreak/>
        <w:t xml:space="preserve">Title: </w:t>
      </w:r>
      <w:r w:rsidRPr="00036F25">
        <w:t>African Health Sciences</w:t>
      </w:r>
      <w:bookmarkEnd w:id="155"/>
    </w:p>
    <w:p w:rsidR="00036F25" w:rsidRPr="001A3D2B" w:rsidRDefault="00036F25" w:rsidP="00036F25">
      <w:pPr>
        <w:pStyle w:val="12"/>
      </w:pPr>
      <w:r w:rsidRPr="001A3D2B">
        <w:t xml:space="preserve">Full Journal Title: </w:t>
      </w:r>
      <w:r w:rsidRPr="00036F25">
        <w:rPr>
          <w:iCs/>
          <w:kern w:val="0"/>
        </w:rPr>
        <w:t>African Health Sciences</w:t>
      </w:r>
    </w:p>
    <w:p w:rsidR="00036F25" w:rsidRPr="001A3D2B" w:rsidRDefault="00036F25" w:rsidP="00036F25">
      <w:pPr>
        <w:pStyle w:val="12"/>
      </w:pPr>
      <w:r w:rsidRPr="001A3D2B">
        <w:t xml:space="preserve">ISO Abbreviated Title: </w:t>
      </w:r>
    </w:p>
    <w:p w:rsidR="00036F25" w:rsidRPr="001A3D2B" w:rsidRDefault="00036F25" w:rsidP="00036F25">
      <w:pPr>
        <w:pStyle w:val="12"/>
      </w:pPr>
      <w:r w:rsidRPr="001A3D2B">
        <w:t xml:space="preserve">JCR Abbreviated Title: </w:t>
      </w:r>
    </w:p>
    <w:p w:rsidR="00036F25" w:rsidRPr="001A3D2B" w:rsidRDefault="00036F25" w:rsidP="00036F25">
      <w:pPr>
        <w:pStyle w:val="12"/>
      </w:pPr>
      <w:r w:rsidRPr="001A3D2B">
        <w:t xml:space="preserve">ISSN: </w:t>
      </w:r>
    </w:p>
    <w:p w:rsidR="00036F25" w:rsidRPr="001A3D2B" w:rsidRDefault="00036F25" w:rsidP="00036F25">
      <w:pPr>
        <w:pStyle w:val="12"/>
      </w:pPr>
      <w:r w:rsidRPr="001A3D2B">
        <w:t xml:space="preserve">Issues/Year: </w:t>
      </w:r>
    </w:p>
    <w:p w:rsidR="00036F25" w:rsidRPr="001A3D2B" w:rsidRDefault="00036F25" w:rsidP="00036F25">
      <w:pPr>
        <w:pStyle w:val="12"/>
      </w:pPr>
      <w:r w:rsidRPr="001A3D2B">
        <w:t xml:space="preserve">Journal Country/Territory: </w:t>
      </w:r>
    </w:p>
    <w:p w:rsidR="00036F25" w:rsidRPr="001A3D2B" w:rsidRDefault="00036F25" w:rsidP="00036F25">
      <w:pPr>
        <w:pStyle w:val="12"/>
      </w:pPr>
      <w:r w:rsidRPr="001A3D2B">
        <w:t xml:space="preserve">Language: </w:t>
      </w:r>
    </w:p>
    <w:p w:rsidR="00036F25" w:rsidRPr="001A3D2B" w:rsidRDefault="00036F25" w:rsidP="00036F25">
      <w:pPr>
        <w:pStyle w:val="12"/>
      </w:pPr>
      <w:r w:rsidRPr="001A3D2B">
        <w:t xml:space="preserve">Publisher: </w:t>
      </w:r>
    </w:p>
    <w:p w:rsidR="00036F25" w:rsidRPr="001A3D2B" w:rsidRDefault="00036F25" w:rsidP="00036F25">
      <w:pPr>
        <w:pStyle w:val="12"/>
      </w:pPr>
      <w:r w:rsidRPr="001A3D2B">
        <w:t xml:space="preserve">Publisher Address: </w:t>
      </w:r>
    </w:p>
    <w:p w:rsidR="00036F25" w:rsidRPr="001A3D2B" w:rsidRDefault="00036F25" w:rsidP="00036F25">
      <w:pPr>
        <w:pStyle w:val="12"/>
      </w:pPr>
      <w:r w:rsidRPr="001A3D2B">
        <w:t xml:space="preserve">Subject Categories: </w:t>
      </w:r>
    </w:p>
    <w:p w:rsidR="00036F25" w:rsidRPr="001A3D2B" w:rsidRDefault="00036F25" w:rsidP="00036F25">
      <w:pPr>
        <w:pStyle w:val="12"/>
      </w:pPr>
      <w:r w:rsidRPr="001A3D2B">
        <w:t xml:space="preserve">: Impact Factor </w:t>
      </w:r>
    </w:p>
    <w:p w:rsidR="00036F25" w:rsidRDefault="00036F25" w:rsidP="00036F25">
      <w:pPr>
        <w:pStyle w:val="a3"/>
        <w:rPr>
          <w:kern w:val="0"/>
        </w:rPr>
      </w:pPr>
      <w:r>
        <w:rPr>
          <w:rFonts w:hint="eastAsia"/>
          <w:kern w:val="0"/>
        </w:rPr>
        <w:t xml:space="preserve">? </w:t>
      </w:r>
      <w:r>
        <w:rPr>
          <w:kern w:val="0"/>
        </w:rPr>
        <w:t>Poreau, B. (2014), Mapping Rwanda public health research</w:t>
      </w:r>
      <w:r>
        <w:rPr>
          <w:rFonts w:hint="eastAsia"/>
          <w:kern w:val="0"/>
        </w:rPr>
        <w:t xml:space="preserve"> </w:t>
      </w:r>
      <w:r>
        <w:rPr>
          <w:kern w:val="0"/>
        </w:rPr>
        <w:t xml:space="preserve">(1975-2014). </w:t>
      </w:r>
      <w:r w:rsidRPr="00036F25">
        <w:rPr>
          <w:i/>
          <w:iCs/>
          <w:kern w:val="0"/>
        </w:rPr>
        <w:t>African Health Sciences</w:t>
      </w:r>
      <w:r>
        <w:rPr>
          <w:kern w:val="0"/>
        </w:rPr>
        <w:t xml:space="preserve">, </w:t>
      </w:r>
      <w:r>
        <w:rPr>
          <w:b/>
          <w:bCs/>
          <w:kern w:val="0"/>
        </w:rPr>
        <w:t>14</w:t>
      </w:r>
      <w:r>
        <w:rPr>
          <w:kern w:val="0"/>
        </w:rPr>
        <w:t xml:space="preserve"> (4</w:t>
      </w:r>
      <w:r>
        <w:rPr>
          <w:rFonts w:hint="eastAsia"/>
          <w:kern w:val="0"/>
        </w:rPr>
        <w:t xml:space="preserve">), </w:t>
      </w:r>
      <w:r w:rsidRPr="00F72C72">
        <w:rPr>
          <w:kern w:val="0"/>
        </w:rPr>
        <w:t>1078-1084</w:t>
      </w:r>
      <w:r>
        <w:rPr>
          <w:kern w:val="0"/>
        </w:rPr>
        <w:t>.</w:t>
      </w:r>
    </w:p>
    <w:p w:rsidR="00036F25" w:rsidRDefault="00036F25" w:rsidP="00036F25">
      <w:pPr>
        <w:pStyle w:val="a3"/>
        <w:rPr>
          <w:kern w:val="0"/>
        </w:rPr>
      </w:pPr>
      <w:r>
        <w:rPr>
          <w:rFonts w:hint="eastAsia"/>
          <w:kern w:val="0"/>
        </w:rPr>
        <w:t xml:space="preserve">Full Text: </w:t>
      </w:r>
      <w:hyperlink r:id="rId281" w:history="1">
        <w:r w:rsidRPr="00036F25">
          <w:rPr>
            <w:rStyle w:val="a5"/>
            <w:kern w:val="0"/>
          </w:rPr>
          <w:t>2014\Afr Hea Sci14, 1078.pdf</w:t>
        </w:r>
      </w:hyperlink>
    </w:p>
    <w:p w:rsidR="00036F25" w:rsidRDefault="00036F25" w:rsidP="00036F25">
      <w:pPr>
        <w:pStyle w:val="a3"/>
        <w:rPr>
          <w:kern w:val="0"/>
        </w:rPr>
      </w:pPr>
      <w:r>
        <w:rPr>
          <w:kern w:val="0"/>
        </w:rPr>
        <w:t>Abstract: Background: Since the genocide occurred in 1994, Rwanda has faced up to the challenge of rebuilding. Public health is a main field to understand this rebuilding. Objectives: In this paper, the aim was to map the scientific research on public health in Rwanda after the genocide and to present the links between different financing systems. Methods: We used bibliographic analyses with Web of Science of papers published during the period 1975-2014. We performed analyses on journals, most cited articles, authors, publication years, organizations, funding companies, countries, and keywords. Results: We obtained 86 articles between 1975 and 2014. Most articles were published after 2007. The main countries of research laboratories were the United States of America, Rwanda, England and Belgium and represented the main network collaboration. The relevant keywords were: HIV, woman, child, program, rural and violence. Conclusions: Public health research on Rwanda appeared 14 years after the genocide. A main field was emerging: the spread of HIV with mother-child transmission, and the policies to take this subject into account in rural zones. The network of institutions developing these studies was USA-Rwanda.</w:t>
      </w:r>
    </w:p>
    <w:p w:rsidR="00036F25" w:rsidRDefault="00036F25" w:rsidP="00036F25">
      <w:pPr>
        <w:pStyle w:val="a3"/>
        <w:rPr>
          <w:kern w:val="0"/>
        </w:rPr>
      </w:pPr>
      <w:r>
        <w:rPr>
          <w:kern w:val="0"/>
        </w:rPr>
        <w:t>Keywords: Analyses, Articles, Authors, Belgium, Bibliographic, Bibliometrics, Challenge, Child, Collaboration, Developing, England, Field, Financing, Funding, Health, Health Research, Hiv, Institutions, Journals, Mapping, Methods, Most Cited, Most Cited Articles, Mother-Child Transmission, Network, Papers, Policies, Public, Public Health, Public Health Research, Publication, Research, Results, Rural, Rwanda, Science, Scientific Research, Social Network Analysis, Systems, Transmission, United States, Violence, Web, Web Of Science, Woman</w:t>
      </w:r>
    </w:p>
    <w:p w:rsidR="003474F2" w:rsidRPr="001A3D2B" w:rsidRDefault="003474F2" w:rsidP="003474F2">
      <w:pPr>
        <w:pStyle w:val="1"/>
      </w:pPr>
      <w:r w:rsidRPr="001A3D2B">
        <w:br w:type="page"/>
      </w:r>
      <w:bookmarkStart w:id="156" w:name="_Toc420814328"/>
      <w:r w:rsidRPr="001A3D2B">
        <w:lastRenderedPageBreak/>
        <w:t>Title: African Journal</w:t>
      </w:r>
      <w:r w:rsidR="00427468">
        <w:t xml:space="preserve"> of </w:t>
      </w:r>
      <w:r w:rsidRPr="001A3D2B">
        <w:t>Biotechnology</w:t>
      </w:r>
      <w:bookmarkEnd w:id="156"/>
    </w:p>
    <w:p w:rsidR="0080184B" w:rsidRPr="00F219CA" w:rsidRDefault="0080184B" w:rsidP="0080184B">
      <w:pPr>
        <w:pStyle w:val="12"/>
      </w:pPr>
      <w:r w:rsidRPr="00F219CA">
        <w:t xml:space="preserve">Full Journal Title: </w:t>
      </w:r>
      <w:hyperlink r:id="rId282" w:history="1">
        <w:r w:rsidRPr="00F219CA">
          <w:rPr>
            <w:rStyle w:val="a5"/>
            <w:kern w:val="0"/>
            <w:szCs w:val="18"/>
          </w:rPr>
          <w:t>African Journal</w:t>
        </w:r>
        <w:r w:rsidR="00427468">
          <w:rPr>
            <w:rStyle w:val="a5"/>
            <w:kern w:val="0"/>
            <w:szCs w:val="18"/>
          </w:rPr>
          <w:t xml:space="preserve"> of </w:t>
        </w:r>
        <w:r w:rsidRPr="00F219CA">
          <w:rPr>
            <w:rStyle w:val="a5"/>
            <w:kern w:val="0"/>
            <w:szCs w:val="18"/>
          </w:rPr>
          <w:t>Biotechnology</w:t>
        </w:r>
      </w:hyperlink>
      <w:r w:rsidRPr="00F219CA">
        <w:t xml:space="preserve">; </w:t>
      </w:r>
      <w:hyperlink r:id="rId283" w:history="1">
        <w:r w:rsidRPr="00F219CA">
          <w:rPr>
            <w:rStyle w:val="a5"/>
          </w:rPr>
          <w:t>African Journal</w:t>
        </w:r>
        <w:r w:rsidR="00427468">
          <w:rPr>
            <w:rStyle w:val="a5"/>
          </w:rPr>
          <w:t xml:space="preserve"> of </w:t>
        </w:r>
        <w:r w:rsidRPr="00F219CA">
          <w:rPr>
            <w:rStyle w:val="a5"/>
          </w:rPr>
          <w:t>Biotechnology</w:t>
        </w:r>
      </w:hyperlink>
    </w:p>
    <w:p w:rsidR="007C2DC4" w:rsidRDefault="007C2DC4" w:rsidP="007C2DC4">
      <w:pPr>
        <w:pStyle w:val="12"/>
      </w:pPr>
      <w:r>
        <w:t>ISO Abbrev. Title: Afr. J. Biotechnol.</w:t>
      </w:r>
    </w:p>
    <w:p w:rsidR="007C2DC4" w:rsidRDefault="007C2DC4" w:rsidP="007C2DC4">
      <w:pPr>
        <w:pStyle w:val="12"/>
      </w:pPr>
      <w:r>
        <w:t>JCR Abbrev. Title: Afr J Biotechnol</w:t>
      </w:r>
    </w:p>
    <w:p w:rsidR="007C2DC4" w:rsidRDefault="007C2DC4" w:rsidP="007C2DC4">
      <w:pPr>
        <w:pStyle w:val="12"/>
      </w:pPr>
      <w:r>
        <w:t>ISSN: 1684-5315</w:t>
      </w:r>
    </w:p>
    <w:p w:rsidR="007C2DC4" w:rsidRDefault="007C2DC4" w:rsidP="007C2DC4">
      <w:pPr>
        <w:pStyle w:val="12"/>
      </w:pPr>
      <w:r>
        <w:t>Issues/Year: 12</w:t>
      </w:r>
    </w:p>
    <w:p w:rsidR="007C2DC4" w:rsidRDefault="007C2DC4" w:rsidP="007C2DC4">
      <w:pPr>
        <w:pStyle w:val="12"/>
      </w:pPr>
      <w:r>
        <w:t>Language: English</w:t>
      </w:r>
    </w:p>
    <w:p w:rsidR="007C2DC4" w:rsidRDefault="007C2DC4" w:rsidP="007C2DC4">
      <w:pPr>
        <w:pStyle w:val="12"/>
      </w:pPr>
      <w:r>
        <w:t>Journal Country/Territory: Kenya</w:t>
      </w:r>
    </w:p>
    <w:p w:rsidR="007C2DC4" w:rsidRDefault="007C2DC4" w:rsidP="007C2DC4">
      <w:pPr>
        <w:pStyle w:val="12"/>
      </w:pPr>
      <w:r>
        <w:t>Publisher: Academic Journals</w:t>
      </w:r>
    </w:p>
    <w:p w:rsidR="007C2DC4" w:rsidRDefault="007C2DC4" w:rsidP="007C2DC4">
      <w:pPr>
        <w:pStyle w:val="12"/>
      </w:pPr>
      <w:r>
        <w:t>Publisher Address: P O Box 5170-00200 Nairobi, Victoria Island, Lagos 73023, Nigeria</w:t>
      </w:r>
    </w:p>
    <w:p w:rsidR="007C2DC4" w:rsidRDefault="007C2DC4" w:rsidP="007C2DC4">
      <w:pPr>
        <w:pStyle w:val="12"/>
      </w:pPr>
      <w:r>
        <w:t>Subject Categories:</w:t>
      </w:r>
    </w:p>
    <w:p w:rsidR="00A4062A" w:rsidRPr="001A3D2B" w:rsidRDefault="00A4062A" w:rsidP="00A4062A">
      <w:pPr>
        <w:pStyle w:val="12"/>
      </w:pPr>
      <w:r>
        <w:t>Biotechnology &amp; Applied Microbiology</w:t>
      </w:r>
      <w:r w:rsidRPr="001A3D2B">
        <w:t xml:space="preserve">: Impact Factor </w:t>
      </w:r>
      <w:r>
        <w:rPr>
          <w:rFonts w:hint="eastAsia"/>
        </w:rPr>
        <w:t>0.565, 131/150 (2009);</w:t>
      </w:r>
      <w:r w:rsidRPr="00323A16">
        <w:t xml:space="preserve"> </w:t>
      </w:r>
      <w:r w:rsidRPr="001A3D2B">
        <w:t xml:space="preserve">Impact Factor </w:t>
      </w:r>
      <w:r>
        <w:rPr>
          <w:rFonts w:hint="eastAsia"/>
        </w:rPr>
        <w:t>0.573, 137/160 (2010)</w:t>
      </w:r>
    </w:p>
    <w:p w:rsidR="003474F2" w:rsidRPr="001A3D2B" w:rsidRDefault="003474F2" w:rsidP="003474F2">
      <w:pPr>
        <w:pStyle w:val="a3"/>
      </w:pPr>
      <w:r w:rsidRPr="001A3D2B">
        <w:t>? Gastrow, M. (2008), Great expectations:</w:t>
      </w:r>
      <w:r w:rsidR="003A1917">
        <w:t xml:space="preserve"> the </w:t>
      </w:r>
      <w:r w:rsidRPr="001A3D2B">
        <w:t>state</w:t>
      </w:r>
      <w:r w:rsidR="00427468">
        <w:t xml:space="preserve"> of </w:t>
      </w:r>
      <w:r w:rsidRPr="001A3D2B">
        <w:t>biotechnology research</w:t>
      </w:r>
      <w:r w:rsidR="005853A9">
        <w:t xml:space="preserve"> and </w:t>
      </w:r>
      <w:r w:rsidRPr="001A3D2B">
        <w:t xml:space="preserve">development in South Africa. </w:t>
      </w:r>
      <w:r w:rsidRPr="001A3D2B">
        <w:rPr>
          <w:i/>
          <w:iCs/>
        </w:rPr>
        <w:t>African Journal</w:t>
      </w:r>
      <w:r w:rsidR="00427468">
        <w:rPr>
          <w:i/>
          <w:iCs/>
        </w:rPr>
        <w:t xml:space="preserve"> of </w:t>
      </w:r>
      <w:r w:rsidRPr="001A3D2B">
        <w:rPr>
          <w:i/>
          <w:iCs/>
        </w:rPr>
        <w:t>Biotechnology</w:t>
      </w:r>
      <w:r w:rsidRPr="001A3D2B">
        <w:t xml:space="preserve">, </w:t>
      </w:r>
      <w:r w:rsidRPr="001A3D2B">
        <w:rPr>
          <w:b/>
          <w:bCs/>
        </w:rPr>
        <w:t>7</w:t>
      </w:r>
      <w:r w:rsidRPr="001A3D2B">
        <w:t xml:space="preserve"> (4), 342-348.</w:t>
      </w:r>
    </w:p>
    <w:p w:rsidR="003474F2" w:rsidRPr="001A3D2B" w:rsidRDefault="003474F2" w:rsidP="003474F2">
      <w:pPr>
        <w:pStyle w:val="a3"/>
        <w:rPr>
          <w:szCs w:val="19"/>
        </w:rPr>
      </w:pPr>
      <w:r w:rsidRPr="001A3D2B">
        <w:t xml:space="preserve">Full Text: </w:t>
      </w:r>
      <w:hyperlink r:id="rId284" w:history="1">
        <w:r w:rsidRPr="001A3D2B">
          <w:rPr>
            <w:rStyle w:val="a5"/>
          </w:rPr>
          <w:t>2008\Afr J Bio7, 342.pdf</w:t>
        </w:r>
      </w:hyperlink>
    </w:p>
    <w:p w:rsidR="003474F2" w:rsidRPr="001A3D2B" w:rsidRDefault="003474F2" w:rsidP="003474F2">
      <w:pPr>
        <w:pStyle w:val="a3"/>
      </w:pPr>
      <w:r w:rsidRPr="001A3D2B">
        <w:t>Abstract: As biotechnology industries are knowledge-intensive, Research</w:t>
      </w:r>
      <w:r w:rsidR="005853A9">
        <w:t xml:space="preserve"> and </w:t>
      </w:r>
      <w:r w:rsidRPr="001A3D2B">
        <w:t>Experimental Development (R</w:t>
      </w:r>
      <w:r w:rsidR="005853A9">
        <w:t xml:space="preserve"> and </w:t>
      </w:r>
      <w:r w:rsidRPr="001A3D2B">
        <w:t>D) are key drivers</w:t>
      </w:r>
      <w:r w:rsidR="00427468">
        <w:t xml:space="preserve"> of </w:t>
      </w:r>
      <w:r w:rsidRPr="001A3D2B">
        <w:t>growth. Governments</w:t>
      </w:r>
      <w:r w:rsidR="005853A9">
        <w:t xml:space="preserve"> and </w:t>
      </w:r>
      <w:r w:rsidRPr="001A3D2B">
        <w:t>businesses have an interest in creating an environment that stimulates R</w:t>
      </w:r>
      <w:r w:rsidR="005853A9">
        <w:t xml:space="preserve"> and </w:t>
      </w:r>
      <w:r w:rsidRPr="001A3D2B">
        <w:t>D</w:t>
      </w:r>
      <w:r w:rsidR="005853A9">
        <w:t xml:space="preserve"> and </w:t>
      </w:r>
      <w:r w:rsidR="003A1917">
        <w:t xml:space="preserve">the </w:t>
      </w:r>
      <w:r w:rsidRPr="001A3D2B">
        <w:t>commercialisation thereof. Discourse relating to</w:t>
      </w:r>
      <w:r w:rsidR="003A1917">
        <w:t xml:space="preserve"> the </w:t>
      </w:r>
      <w:r w:rsidRPr="001A3D2B">
        <w:t>best means to support biotechnology R</w:t>
      </w:r>
      <w:r w:rsidR="005853A9">
        <w:t xml:space="preserve"> and </w:t>
      </w:r>
      <w:r w:rsidRPr="001A3D2B">
        <w:t>D is extensive. However, there has to date a paucity</w:t>
      </w:r>
      <w:r w:rsidR="00427468">
        <w:t xml:space="preserve"> of </w:t>
      </w:r>
      <w:r w:rsidRPr="001A3D2B">
        <w:t>quantitative data describing biotechnology R</w:t>
      </w:r>
      <w:r w:rsidR="005853A9">
        <w:t xml:space="preserve"> and </w:t>
      </w:r>
      <w:r w:rsidRPr="001A3D2B">
        <w:t>D in South Africa. This paper therefore offers a brief quantitative profile</w:t>
      </w:r>
      <w:r w:rsidR="00427468">
        <w:t xml:space="preserve"> of </w:t>
      </w:r>
      <w:r w:rsidRPr="001A3D2B">
        <w:t>South Africa</w:t>
      </w:r>
      <w:r w:rsidR="00700038">
        <w:t>’</w:t>
      </w:r>
      <w:r w:rsidR="00C13DDC">
        <w:t>s</w:t>
      </w:r>
      <w:r w:rsidRPr="001A3D2B">
        <w:t xml:space="preserve"> biotechnology R</w:t>
      </w:r>
      <w:r w:rsidR="005853A9">
        <w:t xml:space="preserve"> and </w:t>
      </w:r>
      <w:r w:rsidRPr="001A3D2B">
        <w:t>D</w:t>
      </w:r>
      <w:r w:rsidR="00A37C1D">
        <w:t>. The</w:t>
      </w:r>
      <w:r w:rsidRPr="001A3D2B">
        <w:t>se findings provide key indicators</w:t>
      </w:r>
      <w:r w:rsidR="00427468">
        <w:t xml:space="preserve"> of </w:t>
      </w:r>
      <w:r w:rsidRPr="001A3D2B">
        <w:t>scale, scope, ownership, sectorial division, geographical distribution</w:t>
      </w:r>
      <w:r w:rsidR="005853A9">
        <w:t xml:space="preserve"> and </w:t>
      </w:r>
      <w:r w:rsidRPr="001A3D2B">
        <w:t>collaborative structure. Bibliometric</w:t>
      </w:r>
      <w:r w:rsidR="005853A9">
        <w:t xml:space="preserve"> and </w:t>
      </w:r>
      <w:r w:rsidRPr="001A3D2B">
        <w:t>patent data are used, as well as data sourced from</w:t>
      </w:r>
      <w:r w:rsidR="003A1917">
        <w:t xml:space="preserve"> the </w:t>
      </w:r>
      <w:r w:rsidRPr="001A3D2B">
        <w:t>National Survey</w:t>
      </w:r>
      <w:r w:rsidR="00427468">
        <w:t xml:space="preserve"> of </w:t>
      </w:r>
      <w:r w:rsidRPr="001A3D2B">
        <w:t>Research</w:t>
      </w:r>
      <w:r w:rsidR="005853A9">
        <w:t xml:space="preserve"> and </w:t>
      </w:r>
      <w:r w:rsidRPr="001A3D2B">
        <w:t>Experimental Development Inputs. It is found that South Africa</w:t>
      </w:r>
      <w:r w:rsidR="00700038">
        <w:t>’</w:t>
      </w:r>
      <w:r w:rsidR="00C13DDC">
        <w:t>s</w:t>
      </w:r>
      <w:r w:rsidRPr="001A3D2B">
        <w:t xml:space="preserve"> biotechnology R</w:t>
      </w:r>
      <w:r w:rsidR="005853A9">
        <w:t xml:space="preserve"> and </w:t>
      </w:r>
      <w:r w:rsidRPr="001A3D2B">
        <w:t>D investment is small by international standards, but a leader in</w:t>
      </w:r>
      <w:r w:rsidR="003A1917">
        <w:t xml:space="preserve"> the </w:t>
      </w:r>
      <w:r w:rsidRPr="001A3D2B">
        <w:t>African context</w:t>
      </w:r>
      <w:r w:rsidR="00A37C1D">
        <w:t>. The</w:t>
      </w:r>
      <w:r w:rsidRPr="001A3D2B">
        <w:t>re are moreover certain collaborative networks, geographical clusters,</w:t>
      </w:r>
      <w:r w:rsidR="005853A9">
        <w:t xml:space="preserve"> and </w:t>
      </w:r>
      <w:r w:rsidRPr="001A3D2B">
        <w:t>industry applications that demonstrate a high concentration</w:t>
      </w:r>
      <w:r w:rsidR="00427468">
        <w:t xml:space="preserve"> of </w:t>
      </w:r>
      <w:r w:rsidRPr="001A3D2B">
        <w:t>R</w:t>
      </w:r>
      <w:r w:rsidR="005853A9">
        <w:t xml:space="preserve"> and </w:t>
      </w:r>
      <w:r w:rsidRPr="001A3D2B">
        <w:t>D, which may indicate a path towards achieving critical mass in these areas. Finally,</w:t>
      </w:r>
      <w:r w:rsidR="003A1917">
        <w:t xml:space="preserve"> the </w:t>
      </w:r>
      <w:r w:rsidRPr="001A3D2B">
        <w:t>2005/6 data used here may be used as baseline data to monitor</w:t>
      </w:r>
      <w:r w:rsidR="005853A9">
        <w:t xml:space="preserve"> and </w:t>
      </w:r>
      <w:r w:rsidRPr="001A3D2B">
        <w:t>evaluate</w:t>
      </w:r>
      <w:r w:rsidR="003A1917">
        <w:t xml:space="preserve"> the </w:t>
      </w:r>
      <w:r w:rsidRPr="001A3D2B">
        <w:t>national 2008 National Biotechnology strategy.</w:t>
      </w:r>
    </w:p>
    <w:p w:rsidR="003474F2" w:rsidRPr="001A3D2B" w:rsidRDefault="003474F2" w:rsidP="003474F2">
      <w:pPr>
        <w:pStyle w:val="a3"/>
      </w:pPr>
      <w:r w:rsidRPr="001A3D2B">
        <w:t>Keywords: Africa, Baseline Data, Biotechnology, Concentration, Context, Data, Development, Distribution, Environment, Growth, Indicators, International, Networks, Patent, Research, Research</w:t>
      </w:r>
      <w:r w:rsidR="005853A9">
        <w:t xml:space="preserve"> and </w:t>
      </w:r>
      <w:r w:rsidRPr="001A3D2B">
        <w:t>Development, Scale, Scope, Small, South Africa, Standards, State, Structure, Support</w:t>
      </w:r>
    </w:p>
    <w:p w:rsidR="00163318" w:rsidRPr="001A3D2B" w:rsidRDefault="00163318" w:rsidP="00163318">
      <w:pPr>
        <w:pStyle w:val="a3"/>
      </w:pPr>
      <w:r w:rsidRPr="001A3D2B">
        <w:lastRenderedPageBreak/>
        <w:t xml:space="preserve">? </w:t>
      </w:r>
      <w:r w:rsidRPr="00163318">
        <w:rPr>
          <w:szCs w:val="24"/>
        </w:rPr>
        <w:t xml:space="preserve">Hao, </w:t>
      </w:r>
      <w:r w:rsidRPr="00163318">
        <w:rPr>
          <w:rFonts w:hint="eastAsia"/>
          <w:szCs w:val="24"/>
        </w:rPr>
        <w:t xml:space="preserve">D.C., </w:t>
      </w:r>
      <w:r w:rsidRPr="00163318">
        <w:rPr>
          <w:szCs w:val="24"/>
        </w:rPr>
        <w:t>Xiao</w:t>
      </w:r>
      <w:r w:rsidRPr="00163318">
        <w:rPr>
          <w:rFonts w:hint="eastAsia"/>
          <w:szCs w:val="24"/>
        </w:rPr>
        <w:t>, P.G.</w:t>
      </w:r>
      <w:r w:rsidR="005853A9">
        <w:rPr>
          <w:rFonts w:hint="eastAsia"/>
          <w:szCs w:val="24"/>
        </w:rPr>
        <w:t xml:space="preserve"> and </w:t>
      </w:r>
      <w:r w:rsidRPr="00163318">
        <w:rPr>
          <w:szCs w:val="24"/>
        </w:rPr>
        <w:t>Ho</w:t>
      </w:r>
      <w:r w:rsidRPr="00163318">
        <w:rPr>
          <w:rFonts w:hint="eastAsia"/>
          <w:szCs w:val="24"/>
        </w:rPr>
        <w:t>, Y.S.</w:t>
      </w:r>
      <w:r w:rsidRPr="001A3D2B">
        <w:t xml:space="preserve"> (20</w:t>
      </w:r>
      <w:r>
        <w:rPr>
          <w:rFonts w:hint="eastAsia"/>
        </w:rPr>
        <w:t>13</w:t>
      </w:r>
      <w:r w:rsidRPr="001A3D2B">
        <w:t xml:space="preserve">), </w:t>
      </w:r>
      <w:r>
        <w:t xml:space="preserve">Global </w:t>
      </w:r>
      <w:r>
        <w:rPr>
          <w:i/>
          <w:iCs/>
        </w:rPr>
        <w:t xml:space="preserve">Taxus </w:t>
      </w:r>
      <w:r>
        <w:t>research trend</w:t>
      </w:r>
      <w:r w:rsidR="005853A9">
        <w:t xml:space="preserve"> and </w:t>
      </w:r>
      <w:r>
        <w:t>performance in science citation index from 1991 to 2010</w:t>
      </w:r>
      <w:r w:rsidRPr="001A3D2B">
        <w:t xml:space="preserve">. </w:t>
      </w:r>
      <w:r w:rsidRPr="001A3D2B">
        <w:rPr>
          <w:i/>
          <w:iCs/>
        </w:rPr>
        <w:t>African Journal</w:t>
      </w:r>
      <w:r w:rsidR="00427468">
        <w:rPr>
          <w:i/>
          <w:iCs/>
        </w:rPr>
        <w:t xml:space="preserve"> of </w:t>
      </w:r>
      <w:r w:rsidRPr="001A3D2B">
        <w:rPr>
          <w:i/>
          <w:iCs/>
        </w:rPr>
        <w:t>Biotechnology</w:t>
      </w:r>
      <w:r w:rsidRPr="001A3D2B">
        <w:t xml:space="preserve">, </w:t>
      </w:r>
      <w:r>
        <w:rPr>
          <w:rFonts w:hint="eastAsia"/>
          <w:b/>
          <w:bCs/>
        </w:rPr>
        <w:t>??</w:t>
      </w:r>
      <w:r w:rsidRPr="001A3D2B">
        <w:t xml:space="preserve"> (</w:t>
      </w:r>
      <w:r>
        <w:rPr>
          <w:rFonts w:hint="eastAsia"/>
        </w:rPr>
        <w:t>??</w:t>
      </w:r>
      <w:r w:rsidRPr="001A3D2B">
        <w:t xml:space="preserve">), </w:t>
      </w:r>
      <w:r>
        <w:rPr>
          <w:rFonts w:hint="eastAsia"/>
        </w:rPr>
        <w:t>??</w:t>
      </w:r>
      <w:r w:rsidRPr="001A3D2B">
        <w:t>-</w:t>
      </w:r>
      <w:r>
        <w:rPr>
          <w:rFonts w:hint="eastAsia"/>
        </w:rPr>
        <w:t>??</w:t>
      </w:r>
      <w:r w:rsidRPr="001A3D2B">
        <w:t>.</w:t>
      </w:r>
    </w:p>
    <w:p w:rsidR="00163318" w:rsidRDefault="00163318" w:rsidP="00163318">
      <w:pPr>
        <w:pStyle w:val="a3"/>
        <w:rPr>
          <w:szCs w:val="19"/>
        </w:rPr>
      </w:pPr>
      <w:r w:rsidRPr="001A3D2B">
        <w:t xml:space="preserve">Full Text: </w:t>
      </w:r>
      <w:hyperlink r:id="rId285" w:history="1">
        <w:r w:rsidRPr="00163318">
          <w:rPr>
            <w:rStyle w:val="a5"/>
          </w:rPr>
          <w:t>2013\Afr J Bio-Hao.pdf</w:t>
        </w:r>
      </w:hyperlink>
    </w:p>
    <w:p w:rsidR="00163318" w:rsidRPr="00163318" w:rsidRDefault="00163318" w:rsidP="00163318">
      <w:pPr>
        <w:pStyle w:val="a3"/>
        <w:rPr>
          <w:szCs w:val="24"/>
        </w:rPr>
      </w:pPr>
      <w:r w:rsidRPr="00163318">
        <w:rPr>
          <w:rFonts w:hint="eastAsia"/>
          <w:szCs w:val="24"/>
        </w:rPr>
        <w:t xml:space="preserve">Abstract: </w:t>
      </w:r>
      <w:r w:rsidRPr="00163318">
        <w:rPr>
          <w:bCs/>
          <w:szCs w:val="24"/>
        </w:rPr>
        <w:t>In this study, we aimed to evaluate the global scientific production</w:t>
      </w:r>
      <w:r w:rsidR="00427468">
        <w:rPr>
          <w:bCs/>
          <w:szCs w:val="24"/>
        </w:rPr>
        <w:t xml:space="preserve"> of </w:t>
      </w:r>
      <w:r w:rsidRPr="00163318">
        <w:rPr>
          <w:bCs/>
          <w:i/>
          <w:iCs/>
          <w:szCs w:val="24"/>
        </w:rPr>
        <w:t xml:space="preserve">Taxus </w:t>
      </w:r>
      <w:r w:rsidRPr="00163318">
        <w:rPr>
          <w:bCs/>
          <w:szCs w:val="24"/>
        </w:rPr>
        <w:t>(yew) research, study the characteristics</w:t>
      </w:r>
      <w:r w:rsidR="00427468">
        <w:rPr>
          <w:bCs/>
          <w:szCs w:val="24"/>
        </w:rPr>
        <w:t xml:space="preserve"> of </w:t>
      </w:r>
      <w:r w:rsidRPr="00163318">
        <w:rPr>
          <w:bCs/>
          <w:i/>
          <w:iCs/>
          <w:szCs w:val="24"/>
        </w:rPr>
        <w:t xml:space="preserve">Taxus </w:t>
      </w:r>
      <w:r w:rsidRPr="00163318">
        <w:rPr>
          <w:bCs/>
          <w:szCs w:val="24"/>
        </w:rPr>
        <w:t>research activities,</w:t>
      </w:r>
      <w:r w:rsidR="005853A9">
        <w:rPr>
          <w:bCs/>
          <w:szCs w:val="24"/>
        </w:rPr>
        <w:t xml:space="preserve"> and </w:t>
      </w:r>
      <w:r w:rsidRPr="00163318">
        <w:rPr>
          <w:bCs/>
          <w:szCs w:val="24"/>
        </w:rPr>
        <w:t>identify patterns, tendencies,</w:t>
      </w:r>
      <w:r w:rsidR="005853A9">
        <w:rPr>
          <w:bCs/>
          <w:szCs w:val="24"/>
        </w:rPr>
        <w:t xml:space="preserve"> and </w:t>
      </w:r>
      <w:r w:rsidRPr="00163318">
        <w:rPr>
          <w:bCs/>
          <w:szCs w:val="24"/>
        </w:rPr>
        <w:t>regularities</w:t>
      </w:r>
      <w:r w:rsidR="00427468">
        <w:rPr>
          <w:bCs/>
          <w:szCs w:val="24"/>
        </w:rPr>
        <w:t xml:space="preserve"> of </w:t>
      </w:r>
      <w:r w:rsidRPr="00163318">
        <w:rPr>
          <w:bCs/>
          <w:i/>
          <w:iCs/>
          <w:szCs w:val="24"/>
        </w:rPr>
        <w:t>Taxus</w:t>
      </w:r>
      <w:r w:rsidRPr="00163318">
        <w:rPr>
          <w:bCs/>
          <w:szCs w:val="24"/>
        </w:rPr>
        <w:t>-related articles. Data were based on the online version</w:t>
      </w:r>
      <w:r w:rsidR="00427468">
        <w:rPr>
          <w:bCs/>
          <w:szCs w:val="24"/>
        </w:rPr>
        <w:t xml:space="preserve"> of </w:t>
      </w:r>
      <w:r w:rsidRPr="00163318">
        <w:rPr>
          <w:bCs/>
          <w:szCs w:val="24"/>
        </w:rPr>
        <w:t xml:space="preserve">Science Citation Index Expanded (SCI-Expanded), from the </w:t>
      </w:r>
      <w:r w:rsidR="00D5664A">
        <w:rPr>
          <w:bCs/>
          <w:szCs w:val="24"/>
        </w:rPr>
        <w:t>Web</w:t>
      </w:r>
      <w:r w:rsidR="00427468">
        <w:rPr>
          <w:bCs/>
          <w:szCs w:val="24"/>
        </w:rPr>
        <w:t xml:space="preserve"> of </w:t>
      </w:r>
      <w:r w:rsidR="00D5664A">
        <w:rPr>
          <w:bCs/>
          <w:szCs w:val="24"/>
        </w:rPr>
        <w:t>Science</w:t>
      </w:r>
      <w:r w:rsidRPr="00163318">
        <w:rPr>
          <w:bCs/>
          <w:szCs w:val="24"/>
        </w:rPr>
        <w:t xml:space="preserve"> database. Articles referring to </w:t>
      </w:r>
      <w:r w:rsidRPr="00163318">
        <w:rPr>
          <w:bCs/>
          <w:i/>
          <w:iCs/>
          <w:szCs w:val="24"/>
        </w:rPr>
        <w:t xml:space="preserve">Taxus </w:t>
      </w:r>
      <w:r w:rsidRPr="00163318">
        <w:rPr>
          <w:bCs/>
          <w:szCs w:val="24"/>
        </w:rPr>
        <w:t>were assessed by the trend</w:t>
      </w:r>
      <w:r w:rsidR="00427468">
        <w:rPr>
          <w:bCs/>
          <w:szCs w:val="24"/>
        </w:rPr>
        <w:t xml:space="preserve"> of </w:t>
      </w:r>
      <w:r w:rsidRPr="00163318">
        <w:rPr>
          <w:bCs/>
          <w:szCs w:val="24"/>
        </w:rPr>
        <w:t>publication output during 1991 to 2010. Globally, 2,916 papers were published during the 20-year study period</w:t>
      </w:r>
      <w:r w:rsidR="00A37C1D">
        <w:rPr>
          <w:bCs/>
          <w:szCs w:val="24"/>
        </w:rPr>
        <w:t>. The</w:t>
      </w:r>
      <w:r w:rsidRPr="00163318">
        <w:rPr>
          <w:bCs/>
          <w:szCs w:val="24"/>
        </w:rPr>
        <w:t xml:space="preserve"> most productive countries, institutions, </w:t>
      </w:r>
      <w:r w:rsidR="00D5664A">
        <w:rPr>
          <w:bCs/>
          <w:szCs w:val="24"/>
        </w:rPr>
        <w:t>Web</w:t>
      </w:r>
      <w:r w:rsidR="00427468">
        <w:rPr>
          <w:bCs/>
          <w:szCs w:val="24"/>
        </w:rPr>
        <w:t xml:space="preserve"> of </w:t>
      </w:r>
      <w:r w:rsidR="00D5664A">
        <w:rPr>
          <w:bCs/>
          <w:szCs w:val="24"/>
        </w:rPr>
        <w:t>Science</w:t>
      </w:r>
      <w:r w:rsidRPr="00163318">
        <w:rPr>
          <w:bCs/>
          <w:szCs w:val="24"/>
        </w:rPr>
        <w:t xml:space="preserve"> subject categories,</w:t>
      </w:r>
      <w:r w:rsidR="005853A9">
        <w:rPr>
          <w:bCs/>
          <w:szCs w:val="24"/>
        </w:rPr>
        <w:t xml:space="preserve"> and </w:t>
      </w:r>
      <w:r w:rsidRPr="00163318">
        <w:rPr>
          <w:bCs/>
          <w:szCs w:val="24"/>
        </w:rPr>
        <w:t>journals, as well as the most cited articles, were identified</w:t>
      </w:r>
      <w:r w:rsidR="00A37C1D">
        <w:rPr>
          <w:bCs/>
          <w:szCs w:val="24"/>
        </w:rPr>
        <w:t>. The</w:t>
      </w:r>
      <w:r w:rsidRPr="00163318">
        <w:rPr>
          <w:bCs/>
          <w:szCs w:val="24"/>
        </w:rPr>
        <w:t xml:space="preserve"> mainstream research on </w:t>
      </w:r>
      <w:r w:rsidRPr="00163318">
        <w:rPr>
          <w:bCs/>
          <w:i/>
          <w:iCs/>
          <w:szCs w:val="24"/>
        </w:rPr>
        <w:t xml:space="preserve">Taxus </w:t>
      </w:r>
      <w:r w:rsidRPr="00163318">
        <w:rPr>
          <w:bCs/>
          <w:szCs w:val="24"/>
        </w:rPr>
        <w:t>was in the plant sciences, biochemistry</w:t>
      </w:r>
      <w:r w:rsidR="005853A9">
        <w:rPr>
          <w:bCs/>
          <w:szCs w:val="24"/>
        </w:rPr>
        <w:t xml:space="preserve"> and </w:t>
      </w:r>
      <w:r w:rsidRPr="00163318">
        <w:rPr>
          <w:bCs/>
          <w:szCs w:val="24"/>
        </w:rPr>
        <w:t>molecular biology, cardiac</w:t>
      </w:r>
      <w:r w:rsidR="005853A9">
        <w:rPr>
          <w:bCs/>
          <w:szCs w:val="24"/>
        </w:rPr>
        <w:t xml:space="preserve"> and </w:t>
      </w:r>
      <w:r w:rsidRPr="00163318">
        <w:rPr>
          <w:bCs/>
          <w:szCs w:val="24"/>
        </w:rPr>
        <w:t>cardiovascular systems, biotechnology</w:t>
      </w:r>
      <w:r w:rsidR="005853A9">
        <w:rPr>
          <w:bCs/>
          <w:szCs w:val="24"/>
        </w:rPr>
        <w:t xml:space="preserve"> and </w:t>
      </w:r>
      <w:r w:rsidRPr="00163318">
        <w:rPr>
          <w:bCs/>
          <w:szCs w:val="24"/>
        </w:rPr>
        <w:t>applied microbiology</w:t>
      </w:r>
      <w:r w:rsidR="00A37C1D">
        <w:rPr>
          <w:bCs/>
          <w:szCs w:val="24"/>
        </w:rPr>
        <w:t>. The</w:t>
      </w:r>
      <w:r w:rsidRPr="00163318">
        <w:rPr>
          <w:bCs/>
          <w:szCs w:val="24"/>
        </w:rPr>
        <w:t xml:space="preserve"> G7 industrial countries, as well as China</w:t>
      </w:r>
      <w:r w:rsidR="005853A9">
        <w:rPr>
          <w:bCs/>
          <w:szCs w:val="24"/>
        </w:rPr>
        <w:t xml:space="preserve"> and </w:t>
      </w:r>
      <w:r w:rsidRPr="00163318">
        <w:rPr>
          <w:bCs/>
          <w:szCs w:val="24"/>
        </w:rPr>
        <w:t>India held the majority</w:t>
      </w:r>
      <w:r w:rsidR="00427468">
        <w:rPr>
          <w:bCs/>
          <w:szCs w:val="24"/>
        </w:rPr>
        <w:t xml:space="preserve"> of </w:t>
      </w:r>
      <w:r w:rsidRPr="00163318">
        <w:rPr>
          <w:bCs/>
          <w:szCs w:val="24"/>
        </w:rPr>
        <w:t xml:space="preserve">total world production. Research on the various economically important </w:t>
      </w:r>
      <w:r w:rsidRPr="00163318">
        <w:rPr>
          <w:bCs/>
          <w:i/>
          <w:iCs/>
          <w:szCs w:val="24"/>
        </w:rPr>
        <w:t xml:space="preserve">Taxus </w:t>
      </w:r>
      <w:r w:rsidRPr="00163318">
        <w:rPr>
          <w:bCs/>
          <w:szCs w:val="24"/>
        </w:rPr>
        <w:t>species remained the hotspot during the 20-year study period, whereas that on the related topic “paclitaxel eluting stents” increased dramatically since 2002. With synthetic analysis</w:t>
      </w:r>
      <w:r w:rsidR="00427468">
        <w:rPr>
          <w:bCs/>
          <w:szCs w:val="24"/>
        </w:rPr>
        <w:t xml:space="preserve"> of </w:t>
      </w:r>
      <w:r w:rsidRPr="00163318">
        <w:rPr>
          <w:bCs/>
          <w:szCs w:val="24"/>
        </w:rPr>
        <w:t>word in article title, author keyword, abstract,</w:t>
      </w:r>
      <w:r w:rsidR="005853A9">
        <w:rPr>
          <w:bCs/>
          <w:szCs w:val="24"/>
        </w:rPr>
        <w:t xml:space="preserve"> and </w:t>
      </w:r>
      <w:r w:rsidRPr="00163318">
        <w:rPr>
          <w:bCs/>
          <w:szCs w:val="24"/>
        </w:rPr>
        <w:t>key words Plus, it can be concluded that application</w:t>
      </w:r>
      <w:r w:rsidR="00427468">
        <w:rPr>
          <w:bCs/>
          <w:szCs w:val="24"/>
        </w:rPr>
        <w:t xml:space="preserve"> of </w:t>
      </w:r>
      <w:r w:rsidRPr="00163318">
        <w:rPr>
          <w:bCs/>
          <w:szCs w:val="24"/>
        </w:rPr>
        <w:t xml:space="preserve">compounds derived from </w:t>
      </w:r>
      <w:r w:rsidRPr="00163318">
        <w:rPr>
          <w:bCs/>
          <w:i/>
          <w:iCs/>
          <w:szCs w:val="24"/>
        </w:rPr>
        <w:t xml:space="preserve">Taxus </w:t>
      </w:r>
      <w:r w:rsidRPr="00163318">
        <w:rPr>
          <w:bCs/>
          <w:szCs w:val="24"/>
        </w:rPr>
        <w:t>in clinical cardiology, pharmacology</w:t>
      </w:r>
      <w:r w:rsidR="005853A9">
        <w:rPr>
          <w:bCs/>
          <w:szCs w:val="24"/>
        </w:rPr>
        <w:t xml:space="preserve"> and </w:t>
      </w:r>
      <w:r w:rsidRPr="00163318">
        <w:rPr>
          <w:bCs/>
          <w:szCs w:val="24"/>
        </w:rPr>
        <w:t>oncology,</w:t>
      </w:r>
      <w:r w:rsidR="005853A9">
        <w:rPr>
          <w:bCs/>
          <w:szCs w:val="24"/>
        </w:rPr>
        <w:t xml:space="preserve"> and </w:t>
      </w:r>
      <w:r w:rsidRPr="00163318">
        <w:rPr>
          <w:bCs/>
          <w:szCs w:val="24"/>
        </w:rPr>
        <w:t xml:space="preserve">research related to </w:t>
      </w:r>
      <w:r w:rsidRPr="00163318">
        <w:rPr>
          <w:bCs/>
          <w:i/>
          <w:iCs/>
          <w:szCs w:val="24"/>
        </w:rPr>
        <w:t xml:space="preserve">Taxus </w:t>
      </w:r>
      <w:r w:rsidRPr="00163318">
        <w:rPr>
          <w:bCs/>
          <w:szCs w:val="24"/>
        </w:rPr>
        <w:t>chemistry, metabolism, cytology</w:t>
      </w:r>
      <w:r w:rsidR="005853A9">
        <w:rPr>
          <w:bCs/>
          <w:szCs w:val="24"/>
        </w:rPr>
        <w:t xml:space="preserve"> and </w:t>
      </w:r>
      <w:r w:rsidRPr="00163318">
        <w:rPr>
          <w:bCs/>
          <w:szCs w:val="24"/>
        </w:rPr>
        <w:t xml:space="preserve">microbiology is the ongoing </w:t>
      </w:r>
      <w:r w:rsidRPr="00163318">
        <w:rPr>
          <w:bCs/>
          <w:i/>
          <w:iCs/>
          <w:szCs w:val="24"/>
        </w:rPr>
        <w:t>Taxus</w:t>
      </w:r>
      <w:r w:rsidRPr="00163318">
        <w:rPr>
          <w:bCs/>
          <w:szCs w:val="24"/>
        </w:rPr>
        <w:t>-related research in the 21st century. Gaps are present in knowledge about the genomics, epigenomics, transcriptomics, proteomics, metabolomics</w:t>
      </w:r>
      <w:r w:rsidR="005853A9">
        <w:rPr>
          <w:bCs/>
          <w:szCs w:val="24"/>
        </w:rPr>
        <w:t xml:space="preserve"> and </w:t>
      </w:r>
      <w:r w:rsidRPr="00163318">
        <w:rPr>
          <w:bCs/>
          <w:szCs w:val="24"/>
        </w:rPr>
        <w:t>bioinformatics</w:t>
      </w:r>
      <w:r w:rsidR="00427468">
        <w:rPr>
          <w:bCs/>
          <w:szCs w:val="24"/>
        </w:rPr>
        <w:t xml:space="preserve"> of </w:t>
      </w:r>
      <w:r w:rsidRPr="00163318">
        <w:rPr>
          <w:bCs/>
          <w:i/>
          <w:iCs/>
          <w:szCs w:val="24"/>
        </w:rPr>
        <w:t>Taxus</w:t>
      </w:r>
      <w:r w:rsidR="005853A9">
        <w:rPr>
          <w:bCs/>
          <w:i/>
          <w:iCs/>
          <w:szCs w:val="24"/>
        </w:rPr>
        <w:t xml:space="preserve"> and </w:t>
      </w:r>
      <w:r>
        <w:rPr>
          <w:bCs/>
          <w:szCs w:val="24"/>
        </w:rPr>
        <w:t>their endophytic fungi.</w:t>
      </w:r>
    </w:p>
    <w:p w:rsidR="00163318" w:rsidRPr="00163318" w:rsidRDefault="00163318" w:rsidP="00163318">
      <w:pPr>
        <w:pStyle w:val="a3"/>
        <w:rPr>
          <w:szCs w:val="24"/>
        </w:rPr>
      </w:pPr>
      <w:r>
        <w:rPr>
          <w:bCs/>
          <w:szCs w:val="24"/>
        </w:rPr>
        <w:t>Key</w:t>
      </w:r>
      <w:r w:rsidRPr="00163318">
        <w:rPr>
          <w:bCs/>
          <w:szCs w:val="24"/>
        </w:rPr>
        <w:t xml:space="preserve">words: </w:t>
      </w:r>
      <w:r w:rsidRPr="00163318">
        <w:rPr>
          <w:szCs w:val="24"/>
        </w:rPr>
        <w:t xml:space="preserve">Science citation index (SCI), bibliometric, research trend, </w:t>
      </w:r>
      <w:r>
        <w:rPr>
          <w:i/>
          <w:iCs/>
          <w:szCs w:val="24"/>
        </w:rPr>
        <w:t>Taxus</w:t>
      </w:r>
    </w:p>
    <w:p w:rsidR="00F1512D" w:rsidRPr="001A3D2B" w:rsidRDefault="00F1512D" w:rsidP="00F1512D">
      <w:pPr>
        <w:pStyle w:val="a3"/>
      </w:pPr>
      <w:r w:rsidRPr="001A3D2B">
        <w:t xml:space="preserve">? </w:t>
      </w:r>
      <w:r w:rsidRPr="004E2114">
        <w:t>Sun</w:t>
      </w:r>
      <w:r>
        <w:rPr>
          <w:rFonts w:hint="eastAsia"/>
        </w:rPr>
        <w:t>, Y.D.,</w:t>
      </w:r>
      <w:r w:rsidRPr="004E2114">
        <w:t xml:space="preserve"> Fu</w:t>
      </w:r>
      <w:r>
        <w:rPr>
          <w:rFonts w:hint="eastAsia"/>
        </w:rPr>
        <w:t>, H.Z.</w:t>
      </w:r>
      <w:r w:rsidR="005853A9">
        <w:rPr>
          <w:rFonts w:hint="eastAsia"/>
          <w:szCs w:val="24"/>
        </w:rPr>
        <w:t xml:space="preserve"> and </w:t>
      </w:r>
      <w:r w:rsidRPr="00163318">
        <w:rPr>
          <w:szCs w:val="24"/>
        </w:rPr>
        <w:t>Ho</w:t>
      </w:r>
      <w:r w:rsidRPr="00163318">
        <w:rPr>
          <w:rFonts w:hint="eastAsia"/>
          <w:szCs w:val="24"/>
        </w:rPr>
        <w:t>, Y.S.</w:t>
      </w:r>
      <w:r w:rsidRPr="001A3D2B">
        <w:t xml:space="preserve"> (20</w:t>
      </w:r>
      <w:r>
        <w:rPr>
          <w:rFonts w:hint="eastAsia"/>
        </w:rPr>
        <w:t>13</w:t>
      </w:r>
      <w:r w:rsidRPr="001A3D2B">
        <w:t xml:space="preserve">), </w:t>
      </w:r>
      <w:r>
        <w:t>A bibliometric analysis</w:t>
      </w:r>
      <w:r w:rsidR="00427468">
        <w:t xml:space="preserve"> of </w:t>
      </w:r>
      <w:r>
        <w:t>global research on genome</w:t>
      </w:r>
      <w:r>
        <w:rPr>
          <w:rFonts w:hint="eastAsia"/>
        </w:rPr>
        <w:t xml:space="preserve"> </w:t>
      </w:r>
      <w:r>
        <w:t>sequencing from 1991 to 2010</w:t>
      </w:r>
      <w:r w:rsidRPr="001A3D2B">
        <w:t xml:space="preserve">. </w:t>
      </w:r>
      <w:r w:rsidRPr="001A3D2B">
        <w:rPr>
          <w:i/>
          <w:iCs/>
        </w:rPr>
        <w:t>African Journal</w:t>
      </w:r>
      <w:r w:rsidR="00427468">
        <w:rPr>
          <w:i/>
          <w:iCs/>
        </w:rPr>
        <w:t xml:space="preserve"> of </w:t>
      </w:r>
      <w:r w:rsidRPr="001A3D2B">
        <w:rPr>
          <w:i/>
          <w:iCs/>
        </w:rPr>
        <w:t>Biotechnology</w:t>
      </w:r>
      <w:r w:rsidRPr="001A3D2B">
        <w:t xml:space="preserve">, </w:t>
      </w:r>
      <w:r>
        <w:rPr>
          <w:rFonts w:hint="eastAsia"/>
          <w:b/>
          <w:bCs/>
        </w:rPr>
        <w:t>12</w:t>
      </w:r>
      <w:r w:rsidRPr="001A3D2B">
        <w:t xml:space="preserve"> (</w:t>
      </w:r>
      <w:r>
        <w:rPr>
          <w:rFonts w:hint="eastAsia"/>
        </w:rPr>
        <w:t>51</w:t>
      </w:r>
      <w:r w:rsidRPr="001A3D2B">
        <w:t xml:space="preserve">), </w:t>
      </w:r>
      <w:r>
        <w:rPr>
          <w:rFonts w:hint="eastAsia"/>
        </w:rPr>
        <w:t>7043</w:t>
      </w:r>
      <w:r w:rsidRPr="001A3D2B">
        <w:t>-</w:t>
      </w:r>
      <w:r>
        <w:rPr>
          <w:rFonts w:hint="eastAsia"/>
        </w:rPr>
        <w:t>7053</w:t>
      </w:r>
      <w:r w:rsidRPr="001A3D2B">
        <w:t>.</w:t>
      </w:r>
    </w:p>
    <w:p w:rsidR="00F1512D" w:rsidRDefault="00F1512D" w:rsidP="00F1512D">
      <w:pPr>
        <w:pStyle w:val="a3"/>
      </w:pPr>
      <w:r w:rsidRPr="001A3D2B">
        <w:t>Full Text:</w:t>
      </w:r>
      <w:r>
        <w:rPr>
          <w:rFonts w:hint="eastAsia"/>
        </w:rPr>
        <w:t xml:space="preserve"> </w:t>
      </w:r>
      <w:hyperlink r:id="rId286" w:history="1">
        <w:r w:rsidRPr="00735153">
          <w:rPr>
            <w:rStyle w:val="a5"/>
          </w:rPr>
          <w:t>2013\Afr J Bio12, 7043.pdf</w:t>
        </w:r>
      </w:hyperlink>
      <w:r>
        <w:rPr>
          <w:rFonts w:hint="eastAsia"/>
        </w:rPr>
        <w:t>;</w:t>
      </w:r>
      <w:r w:rsidRPr="001A3D2B">
        <w:t xml:space="preserve"> </w:t>
      </w:r>
      <w:hyperlink r:id="rId287" w:history="1">
        <w:r w:rsidRPr="004A1259">
          <w:rPr>
            <w:rStyle w:val="a5"/>
          </w:rPr>
          <w:t>2013\Afr J Bio-Sun.pdf</w:t>
        </w:r>
      </w:hyperlink>
    </w:p>
    <w:p w:rsidR="00815F90" w:rsidRPr="004A1259" w:rsidRDefault="00815F90" w:rsidP="00815F90">
      <w:pPr>
        <w:pStyle w:val="a3"/>
        <w:rPr>
          <w:szCs w:val="19"/>
        </w:rPr>
      </w:pPr>
      <w:r>
        <w:rPr>
          <w:rFonts w:hint="eastAsia"/>
          <w:szCs w:val="19"/>
        </w:rPr>
        <w:t xml:space="preserve">Abstract: </w:t>
      </w:r>
      <w:r w:rsidRPr="004A1259">
        <w:rPr>
          <w:szCs w:val="19"/>
        </w:rPr>
        <w:t>This study was carried out to evaluate the global scientific production</w:t>
      </w:r>
      <w:r w:rsidR="00427468">
        <w:rPr>
          <w:szCs w:val="19"/>
        </w:rPr>
        <w:t xml:space="preserve"> of </w:t>
      </w:r>
      <w:r w:rsidRPr="004A1259">
        <w:rPr>
          <w:szCs w:val="19"/>
        </w:rPr>
        <w:t>genome sequencing research</w:t>
      </w:r>
      <w:r>
        <w:rPr>
          <w:rFonts w:hint="eastAsia"/>
          <w:szCs w:val="19"/>
        </w:rPr>
        <w:t xml:space="preserve"> </w:t>
      </w:r>
      <w:r w:rsidRPr="004A1259">
        <w:rPr>
          <w:szCs w:val="19"/>
        </w:rPr>
        <w:t>to assess the characteristics</w:t>
      </w:r>
      <w:r w:rsidR="00427468">
        <w:rPr>
          <w:szCs w:val="19"/>
        </w:rPr>
        <w:t xml:space="preserve"> of </w:t>
      </w:r>
      <w:r w:rsidRPr="004A1259">
        <w:rPr>
          <w:szCs w:val="19"/>
        </w:rPr>
        <w:t>the research performances</w:t>
      </w:r>
      <w:r w:rsidR="005853A9">
        <w:rPr>
          <w:szCs w:val="19"/>
        </w:rPr>
        <w:t xml:space="preserve"> and </w:t>
      </w:r>
      <w:r w:rsidRPr="004A1259">
        <w:rPr>
          <w:szCs w:val="19"/>
        </w:rPr>
        <w:t>the research tendencies. Data were</w:t>
      </w:r>
      <w:r>
        <w:rPr>
          <w:rFonts w:hint="eastAsia"/>
          <w:szCs w:val="19"/>
        </w:rPr>
        <w:t xml:space="preserve"> </w:t>
      </w:r>
      <w:r w:rsidRPr="004A1259">
        <w:rPr>
          <w:szCs w:val="19"/>
        </w:rPr>
        <w:t>obtained from Science Citation Index Expanded database during 1991-2010. Conventional methods</w:t>
      </w:r>
      <w:r>
        <w:rPr>
          <w:rFonts w:hint="eastAsia"/>
          <w:szCs w:val="19"/>
        </w:rPr>
        <w:t xml:space="preserve"> </w:t>
      </w:r>
      <w:r w:rsidRPr="004A1259">
        <w:rPr>
          <w:szCs w:val="19"/>
        </w:rPr>
        <w:t>including document types, journals, categories, countries</w:t>
      </w:r>
      <w:r w:rsidR="005853A9">
        <w:rPr>
          <w:szCs w:val="19"/>
        </w:rPr>
        <w:t xml:space="preserve"> and </w:t>
      </w:r>
      <w:r w:rsidRPr="004A1259">
        <w:rPr>
          <w:szCs w:val="19"/>
        </w:rPr>
        <w:t>institutions were used to analyze</w:t>
      </w:r>
      <w:r>
        <w:rPr>
          <w:rFonts w:hint="eastAsia"/>
          <w:szCs w:val="19"/>
        </w:rPr>
        <w:t xml:space="preserve"> </w:t>
      </w:r>
      <w:r w:rsidRPr="004A1259">
        <w:rPr>
          <w:szCs w:val="19"/>
        </w:rPr>
        <w:t>publication output to reveal the global performance</w:t>
      </w:r>
      <w:r w:rsidR="00A37C1D">
        <w:rPr>
          <w:szCs w:val="19"/>
        </w:rPr>
        <w:t>. The</w:t>
      </w:r>
      <w:r w:rsidRPr="004A1259">
        <w:rPr>
          <w:szCs w:val="19"/>
        </w:rPr>
        <w:t xml:space="preserve"> development</w:t>
      </w:r>
      <w:r w:rsidR="00427468">
        <w:rPr>
          <w:szCs w:val="19"/>
        </w:rPr>
        <w:t xml:space="preserve"> of </w:t>
      </w:r>
      <w:r w:rsidRPr="004A1259">
        <w:rPr>
          <w:szCs w:val="19"/>
        </w:rPr>
        <w:t>genome sequencing research</w:t>
      </w:r>
      <w:r>
        <w:rPr>
          <w:rFonts w:hint="eastAsia"/>
          <w:szCs w:val="19"/>
        </w:rPr>
        <w:t xml:space="preserve"> </w:t>
      </w:r>
      <w:r w:rsidRPr="004A1259">
        <w:rPr>
          <w:szCs w:val="19"/>
        </w:rPr>
        <w:t>during last 20 years was described by synthetically analyzing the distribution</w:t>
      </w:r>
      <w:r w:rsidR="00427468">
        <w:rPr>
          <w:szCs w:val="19"/>
        </w:rPr>
        <w:t xml:space="preserve"> of </w:t>
      </w:r>
      <w:r w:rsidRPr="004A1259">
        <w:rPr>
          <w:szCs w:val="19"/>
        </w:rPr>
        <w:t>words in article title,</w:t>
      </w:r>
      <w:r>
        <w:rPr>
          <w:rFonts w:hint="eastAsia"/>
          <w:szCs w:val="19"/>
        </w:rPr>
        <w:t xml:space="preserve"> </w:t>
      </w:r>
      <w:r w:rsidRPr="004A1259">
        <w:rPr>
          <w:szCs w:val="19"/>
        </w:rPr>
        <w:t>author keywords,</w:t>
      </w:r>
      <w:r w:rsidR="005853A9">
        <w:rPr>
          <w:szCs w:val="19"/>
        </w:rPr>
        <w:t xml:space="preserve"> and </w:t>
      </w:r>
      <w:r w:rsidRPr="004A1259">
        <w:rPr>
          <w:szCs w:val="19"/>
        </w:rPr>
        <w:t>KeyWords Plus in different periods</w:t>
      </w:r>
      <w:r w:rsidR="00A37C1D">
        <w:rPr>
          <w:szCs w:val="19"/>
        </w:rPr>
        <w:t>. The</w:t>
      </w:r>
      <w:r w:rsidRPr="004A1259">
        <w:rPr>
          <w:szCs w:val="19"/>
        </w:rPr>
        <w:t xml:space="preserve"> results show that disease</w:t>
      </w:r>
      <w:r w:rsidR="005853A9">
        <w:rPr>
          <w:szCs w:val="19"/>
        </w:rPr>
        <w:t xml:space="preserve"> and </w:t>
      </w:r>
      <w:r w:rsidRPr="004A1259">
        <w:rPr>
          <w:szCs w:val="19"/>
        </w:rPr>
        <w:t>protein</w:t>
      </w:r>
      <w:r>
        <w:rPr>
          <w:rFonts w:hint="eastAsia"/>
          <w:szCs w:val="19"/>
        </w:rPr>
        <w:t xml:space="preserve"> </w:t>
      </w:r>
      <w:r w:rsidRPr="004A1259">
        <w:rPr>
          <w:szCs w:val="19"/>
        </w:rPr>
        <w:t xml:space="preserve">related researches were </w:t>
      </w:r>
      <w:r w:rsidRPr="004A1259">
        <w:rPr>
          <w:szCs w:val="19"/>
        </w:rPr>
        <w:lastRenderedPageBreak/>
        <w:t>the leading research focuses,</w:t>
      </w:r>
      <w:r w:rsidR="005853A9">
        <w:rPr>
          <w:szCs w:val="19"/>
        </w:rPr>
        <w:t xml:space="preserve"> and </w:t>
      </w:r>
      <w:r w:rsidRPr="004A1259">
        <w:rPr>
          <w:szCs w:val="19"/>
        </w:rPr>
        <w:t>comparative genomics</w:t>
      </w:r>
      <w:r w:rsidR="005853A9">
        <w:rPr>
          <w:szCs w:val="19"/>
        </w:rPr>
        <w:t xml:space="preserve"> and </w:t>
      </w:r>
      <w:r w:rsidRPr="004A1259">
        <w:rPr>
          <w:szCs w:val="19"/>
        </w:rPr>
        <w:t>evolution related</w:t>
      </w:r>
      <w:r>
        <w:rPr>
          <w:rFonts w:hint="eastAsia"/>
          <w:szCs w:val="19"/>
        </w:rPr>
        <w:t xml:space="preserve"> </w:t>
      </w:r>
      <w:r w:rsidRPr="004A1259">
        <w:rPr>
          <w:szCs w:val="19"/>
        </w:rPr>
        <w:t>research had strong potential in the near future.</w:t>
      </w:r>
    </w:p>
    <w:p w:rsidR="00815F90" w:rsidRDefault="00815F90" w:rsidP="00815F90">
      <w:pPr>
        <w:pStyle w:val="a3"/>
        <w:rPr>
          <w:szCs w:val="19"/>
        </w:rPr>
      </w:pPr>
      <w:r>
        <w:rPr>
          <w:szCs w:val="19"/>
        </w:rPr>
        <w:t>Key</w:t>
      </w:r>
      <w:r w:rsidRPr="004A1259">
        <w:rPr>
          <w:szCs w:val="19"/>
        </w:rPr>
        <w:t>words: Genome Sequencing, Research Trend, Scientometrics, Science Citation Index Expanded</w:t>
      </w:r>
      <w:r>
        <w:rPr>
          <w:szCs w:val="19"/>
        </w:rPr>
        <w:t xml:space="preserve"> </w:t>
      </w:r>
      <w:r w:rsidRPr="004A1259">
        <w:rPr>
          <w:szCs w:val="19"/>
        </w:rPr>
        <w:t xml:space="preserve">(SCI-Expanded), </w:t>
      </w:r>
      <w:r>
        <w:rPr>
          <w:szCs w:val="19"/>
        </w:rPr>
        <w:t>Word Cluster Analysis, Keywords</w:t>
      </w:r>
    </w:p>
    <w:p w:rsidR="00136BA7" w:rsidRPr="00F219CA" w:rsidRDefault="00136BA7" w:rsidP="000D33F7">
      <w:pPr>
        <w:pStyle w:val="1"/>
      </w:pPr>
      <w:r w:rsidRPr="00F219CA">
        <w:br w:type="page"/>
      </w:r>
      <w:bookmarkStart w:id="157" w:name="_Toc420814329"/>
      <w:r w:rsidRPr="00F219CA">
        <w:lastRenderedPageBreak/>
        <w:t xml:space="preserve">Title: </w:t>
      </w:r>
      <w:r w:rsidRPr="002C0E4C">
        <w:t>African Journal</w:t>
      </w:r>
      <w:r w:rsidR="00427468">
        <w:t xml:space="preserve"> of </w:t>
      </w:r>
      <w:r w:rsidRPr="002C0E4C">
        <w:t>Business Management</w:t>
      </w:r>
      <w:bookmarkEnd w:id="157"/>
    </w:p>
    <w:p w:rsidR="00A41F67" w:rsidRDefault="00A41F67" w:rsidP="00A41F67">
      <w:pPr>
        <w:pStyle w:val="12"/>
      </w:pPr>
      <w:r w:rsidRPr="001A3D2B">
        <w:t xml:space="preserve">Full Journal Title: </w:t>
      </w:r>
      <w:hyperlink r:id="rId288" w:history="1">
        <w:r w:rsidRPr="00F70E4C">
          <w:rPr>
            <w:rStyle w:val="a5"/>
          </w:rPr>
          <w:t>African Journal</w:t>
        </w:r>
        <w:r w:rsidR="00427468">
          <w:rPr>
            <w:rStyle w:val="a5"/>
          </w:rPr>
          <w:t xml:space="preserve"> of </w:t>
        </w:r>
        <w:r w:rsidRPr="00F70E4C">
          <w:rPr>
            <w:rStyle w:val="a5"/>
          </w:rPr>
          <w:t>Business Management</w:t>
        </w:r>
      </w:hyperlink>
    </w:p>
    <w:p w:rsidR="008D4C2B" w:rsidRPr="002C0E4C" w:rsidRDefault="008D4C2B" w:rsidP="008D4C2B">
      <w:pPr>
        <w:pStyle w:val="12"/>
      </w:pPr>
      <w:r w:rsidRPr="002C0E4C">
        <w:t>ISO Abbr</w:t>
      </w:r>
      <w:r>
        <w:t>ev. Title: Afr. J. Bus. Manag.</w:t>
      </w:r>
    </w:p>
    <w:p w:rsidR="008D4C2B" w:rsidRPr="002C0E4C" w:rsidRDefault="008D4C2B" w:rsidP="008D4C2B">
      <w:pPr>
        <w:pStyle w:val="12"/>
      </w:pPr>
      <w:r w:rsidRPr="002C0E4C">
        <w:t>JCR Abbrev. Title: Afr J Bus Manage</w:t>
      </w:r>
    </w:p>
    <w:p w:rsidR="008D4C2B" w:rsidRPr="002C0E4C" w:rsidRDefault="008D4C2B" w:rsidP="008D4C2B">
      <w:pPr>
        <w:pStyle w:val="12"/>
      </w:pPr>
      <w:r>
        <w:t>ISSN: 1993-8233</w:t>
      </w:r>
    </w:p>
    <w:p w:rsidR="008D4C2B" w:rsidRPr="002C0E4C" w:rsidRDefault="008D4C2B" w:rsidP="008D4C2B">
      <w:pPr>
        <w:pStyle w:val="12"/>
      </w:pPr>
      <w:r>
        <w:t>Issues/Year: 12</w:t>
      </w:r>
    </w:p>
    <w:p w:rsidR="008D4C2B" w:rsidRPr="002C0E4C" w:rsidRDefault="008D4C2B" w:rsidP="008D4C2B">
      <w:pPr>
        <w:pStyle w:val="12"/>
      </w:pPr>
      <w:r w:rsidRPr="002C0E4C">
        <w:t>Language: English</w:t>
      </w:r>
    </w:p>
    <w:p w:rsidR="008D4C2B" w:rsidRPr="002C0E4C" w:rsidRDefault="008D4C2B" w:rsidP="008D4C2B">
      <w:pPr>
        <w:pStyle w:val="12"/>
      </w:pPr>
      <w:r w:rsidRPr="002C0E4C">
        <w:t>Jour</w:t>
      </w:r>
      <w:r>
        <w:t>nal Country/Territory: Nigeria</w:t>
      </w:r>
    </w:p>
    <w:p w:rsidR="008D4C2B" w:rsidRPr="002C0E4C" w:rsidRDefault="008D4C2B" w:rsidP="008D4C2B">
      <w:pPr>
        <w:pStyle w:val="12"/>
      </w:pPr>
      <w:r>
        <w:t>Publisher: Academic Journals</w:t>
      </w:r>
    </w:p>
    <w:p w:rsidR="008D4C2B" w:rsidRPr="002C0E4C" w:rsidRDefault="008D4C2B" w:rsidP="008D4C2B">
      <w:pPr>
        <w:pStyle w:val="12"/>
      </w:pPr>
      <w:r w:rsidRPr="002C0E4C">
        <w:t xml:space="preserve">Publisher Address: P O Box 5170-00200 Nairobi, Victoria Island, Lagos 73023, </w:t>
      </w:r>
      <w:r>
        <w:t>Nigeria</w:t>
      </w:r>
    </w:p>
    <w:p w:rsidR="008D4C2B" w:rsidRDefault="008D4C2B" w:rsidP="008D4C2B">
      <w:pPr>
        <w:pStyle w:val="12"/>
      </w:pPr>
      <w:r w:rsidRPr="002C0E4C">
        <w:t>Subject Categories:</w:t>
      </w:r>
    </w:p>
    <w:p w:rsidR="008D4C2B" w:rsidRDefault="008D4C2B" w:rsidP="008D4C2B">
      <w:pPr>
        <w:pStyle w:val="12"/>
      </w:pPr>
      <w:r w:rsidRPr="002C0E4C">
        <w:t>Business</w:t>
      </w:r>
      <w:r>
        <w:rPr>
          <w:rFonts w:hint="eastAsia"/>
        </w:rPr>
        <w:t xml:space="preserve">: </w:t>
      </w:r>
      <w:r w:rsidRPr="00F219CA">
        <w:t>Impact Factor</w:t>
      </w:r>
      <w:r>
        <w:rPr>
          <w:rFonts w:hint="eastAsia"/>
        </w:rPr>
        <w:t xml:space="preserve"> 0.107, 77/77 (2008) </w:t>
      </w:r>
      <w:r w:rsidR="00D5664A">
        <w:rPr>
          <w:rFonts w:hint="eastAsia"/>
        </w:rPr>
        <w:t>SSCI</w:t>
      </w:r>
      <w:r>
        <w:rPr>
          <w:rFonts w:hint="eastAsia"/>
        </w:rPr>
        <w:t xml:space="preserve">; </w:t>
      </w:r>
      <w:r w:rsidRPr="00F219CA">
        <w:t>Impact Factor</w:t>
      </w:r>
      <w:r>
        <w:rPr>
          <w:rFonts w:hint="eastAsia"/>
        </w:rPr>
        <w:t xml:space="preserve"> 1.105, 54/87 (2009) </w:t>
      </w:r>
      <w:r w:rsidR="00D5664A">
        <w:rPr>
          <w:rFonts w:hint="eastAsia"/>
        </w:rPr>
        <w:t>SSCI</w:t>
      </w:r>
    </w:p>
    <w:p w:rsidR="008D4C2B" w:rsidRDefault="008D4C2B" w:rsidP="008D4C2B">
      <w:pPr>
        <w:pStyle w:val="12"/>
      </w:pPr>
      <w:r w:rsidRPr="002C0E4C">
        <w:t>Management</w:t>
      </w:r>
      <w:r>
        <w:rPr>
          <w:rFonts w:hint="eastAsia"/>
        </w:rPr>
        <w:t xml:space="preserve">: </w:t>
      </w:r>
      <w:r w:rsidRPr="00F219CA">
        <w:t>Impact Factor</w:t>
      </w:r>
      <w:r>
        <w:rPr>
          <w:rFonts w:hint="eastAsia"/>
        </w:rPr>
        <w:t xml:space="preserve"> 0.107, 88/89 (2008) </w:t>
      </w:r>
      <w:r w:rsidR="00D5664A">
        <w:rPr>
          <w:rFonts w:hint="eastAsia"/>
        </w:rPr>
        <w:t>SSCI</w:t>
      </w:r>
      <w:r>
        <w:rPr>
          <w:rFonts w:hint="eastAsia"/>
        </w:rPr>
        <w:t xml:space="preserve">; </w:t>
      </w:r>
      <w:r w:rsidRPr="00F219CA">
        <w:t>Impact Factor</w:t>
      </w:r>
      <w:r>
        <w:rPr>
          <w:rFonts w:hint="eastAsia"/>
        </w:rPr>
        <w:t xml:space="preserve"> 1.105, 58/112 (2009) </w:t>
      </w:r>
      <w:r w:rsidR="00D5664A">
        <w:rPr>
          <w:rFonts w:hint="eastAsia"/>
        </w:rPr>
        <w:t>SSCI</w:t>
      </w:r>
    </w:p>
    <w:p w:rsidR="00625E95" w:rsidRDefault="00625E95" w:rsidP="00625E95">
      <w:pPr>
        <w:pStyle w:val="a3"/>
        <w:rPr>
          <w:kern w:val="0"/>
          <w:szCs w:val="24"/>
        </w:rPr>
      </w:pPr>
      <w:r>
        <w:rPr>
          <w:rFonts w:hint="eastAsia"/>
          <w:kern w:val="0"/>
          <w:szCs w:val="24"/>
        </w:rPr>
        <w:t xml:space="preserve">? </w:t>
      </w:r>
      <w:r>
        <w:rPr>
          <w:kern w:val="0"/>
          <w:szCs w:val="24"/>
        </w:rPr>
        <w:t>Chen, Y.H., Chen, C.Y.</w:t>
      </w:r>
      <w:r w:rsidR="005853A9">
        <w:rPr>
          <w:kern w:val="0"/>
          <w:szCs w:val="24"/>
        </w:rPr>
        <w:t xml:space="preserve"> and </w:t>
      </w:r>
      <w:r>
        <w:rPr>
          <w:kern w:val="0"/>
          <w:szCs w:val="24"/>
        </w:rPr>
        <w:t>Lee, S.C. (2010), Technology forecasting</w:t>
      </w:r>
      <w:r w:rsidR="00427468">
        <w:rPr>
          <w:kern w:val="0"/>
          <w:szCs w:val="24"/>
        </w:rPr>
        <w:t xml:space="preserve"> of </w:t>
      </w:r>
      <w:r>
        <w:rPr>
          <w:kern w:val="0"/>
          <w:szCs w:val="24"/>
        </w:rPr>
        <w:t>new clean energy:</w:t>
      </w:r>
      <w:r w:rsidR="003A1917">
        <w:rPr>
          <w:kern w:val="0"/>
          <w:szCs w:val="24"/>
        </w:rPr>
        <w:t xml:space="preserve"> </w:t>
      </w:r>
      <w:r w:rsidR="000D33F7">
        <w:rPr>
          <w:kern w:val="0"/>
          <w:szCs w:val="24"/>
        </w:rPr>
        <w:t xml:space="preserve">The </w:t>
      </w:r>
      <w:r>
        <w:rPr>
          <w:kern w:val="0"/>
          <w:szCs w:val="24"/>
        </w:rPr>
        <w:t>example</w:t>
      </w:r>
      <w:r w:rsidR="00427468">
        <w:rPr>
          <w:kern w:val="0"/>
          <w:szCs w:val="24"/>
        </w:rPr>
        <w:t xml:space="preserve"> of </w:t>
      </w:r>
      <w:r>
        <w:rPr>
          <w:kern w:val="0"/>
          <w:szCs w:val="24"/>
        </w:rPr>
        <w:t>hydrogen energy</w:t>
      </w:r>
      <w:r w:rsidR="005853A9">
        <w:rPr>
          <w:kern w:val="0"/>
          <w:szCs w:val="24"/>
        </w:rPr>
        <w:t xml:space="preserve"> and </w:t>
      </w:r>
      <w:r>
        <w:rPr>
          <w:kern w:val="0"/>
          <w:szCs w:val="24"/>
        </w:rPr>
        <w:t xml:space="preserve">fuel cell. </w:t>
      </w:r>
      <w:r>
        <w:rPr>
          <w:i/>
          <w:iCs/>
          <w:kern w:val="0"/>
          <w:szCs w:val="24"/>
        </w:rPr>
        <w:t>African Journal</w:t>
      </w:r>
      <w:r w:rsidR="00427468">
        <w:rPr>
          <w:i/>
          <w:iCs/>
          <w:kern w:val="0"/>
          <w:szCs w:val="24"/>
        </w:rPr>
        <w:t xml:space="preserve"> of </w:t>
      </w:r>
      <w:r>
        <w:rPr>
          <w:i/>
          <w:iCs/>
          <w:kern w:val="0"/>
          <w:szCs w:val="24"/>
        </w:rPr>
        <w:t>Business Management</w:t>
      </w:r>
      <w:r>
        <w:rPr>
          <w:kern w:val="0"/>
          <w:szCs w:val="24"/>
        </w:rPr>
        <w:t xml:space="preserve">, </w:t>
      </w:r>
      <w:r>
        <w:rPr>
          <w:b/>
          <w:bCs/>
          <w:kern w:val="0"/>
          <w:szCs w:val="24"/>
        </w:rPr>
        <w:t>4</w:t>
      </w:r>
      <w:r>
        <w:rPr>
          <w:kern w:val="0"/>
          <w:szCs w:val="24"/>
        </w:rPr>
        <w:t xml:space="preserve"> (7), 1372-1380.</w:t>
      </w:r>
    </w:p>
    <w:p w:rsidR="00E54630" w:rsidRDefault="00E54630" w:rsidP="00E54630">
      <w:pPr>
        <w:pStyle w:val="a3"/>
        <w:rPr>
          <w:kern w:val="0"/>
          <w:szCs w:val="24"/>
        </w:rPr>
      </w:pPr>
      <w:r>
        <w:rPr>
          <w:rFonts w:hint="eastAsia"/>
          <w:kern w:val="0"/>
          <w:szCs w:val="24"/>
        </w:rPr>
        <w:t xml:space="preserve">Full Text: </w:t>
      </w:r>
      <w:hyperlink r:id="rId289" w:history="1">
        <w:r w:rsidRPr="009E665E">
          <w:rPr>
            <w:rStyle w:val="a5"/>
            <w:kern w:val="0"/>
            <w:szCs w:val="24"/>
          </w:rPr>
          <w:t>2010\Afr J Bus Man4, 1372.pdf</w:t>
        </w:r>
      </w:hyperlink>
    </w:p>
    <w:p w:rsidR="00625E95" w:rsidRDefault="00625E95" w:rsidP="00625E95">
      <w:pPr>
        <w:pStyle w:val="a3"/>
        <w:rPr>
          <w:kern w:val="0"/>
          <w:szCs w:val="24"/>
        </w:rPr>
      </w:pPr>
      <w:r>
        <w:rPr>
          <w:kern w:val="0"/>
          <w:szCs w:val="24"/>
        </w:rPr>
        <w:t>Abstract: Due to energy shortage, global warming</w:t>
      </w:r>
      <w:r w:rsidR="005853A9">
        <w:rPr>
          <w:kern w:val="0"/>
          <w:szCs w:val="24"/>
        </w:rPr>
        <w:t xml:space="preserve"> and </w:t>
      </w:r>
      <w:r>
        <w:rPr>
          <w:kern w:val="0"/>
          <w:szCs w:val="24"/>
        </w:rPr>
        <w:t>climate change, balanced development</w:t>
      </w:r>
      <w:r w:rsidR="00427468">
        <w:rPr>
          <w:kern w:val="0"/>
          <w:szCs w:val="24"/>
        </w:rPr>
        <w:t xml:space="preserve"> of </w:t>
      </w:r>
      <w:r>
        <w:rPr>
          <w:kern w:val="0"/>
          <w:szCs w:val="24"/>
        </w:rPr>
        <w:t>energy security, economic growth,</w:t>
      </w:r>
      <w:r w:rsidR="005853A9">
        <w:rPr>
          <w:kern w:val="0"/>
          <w:szCs w:val="24"/>
        </w:rPr>
        <w:t xml:space="preserve"> and </w:t>
      </w:r>
      <w:r>
        <w:rPr>
          <w:kern w:val="0"/>
          <w:szCs w:val="24"/>
        </w:rPr>
        <w:t>environmental protection (3Es) has become a major energy policy issue</w:t>
      </w:r>
      <w:r w:rsidR="005853A9">
        <w:rPr>
          <w:kern w:val="0"/>
          <w:szCs w:val="24"/>
        </w:rPr>
        <w:t xml:space="preserve"> and </w:t>
      </w:r>
      <w:r>
        <w:rPr>
          <w:kern w:val="0"/>
          <w:szCs w:val="24"/>
        </w:rPr>
        <w:t>prompted</w:t>
      </w:r>
      <w:r w:rsidR="003A1917">
        <w:rPr>
          <w:kern w:val="0"/>
          <w:szCs w:val="24"/>
        </w:rPr>
        <w:t xml:space="preserve"> the </w:t>
      </w:r>
      <w:r>
        <w:rPr>
          <w:kern w:val="0"/>
          <w:szCs w:val="24"/>
        </w:rPr>
        <w:t>development</w:t>
      </w:r>
      <w:r w:rsidR="00427468">
        <w:rPr>
          <w:kern w:val="0"/>
          <w:szCs w:val="24"/>
        </w:rPr>
        <w:t xml:space="preserve"> of </w:t>
      </w:r>
      <w:r>
        <w:rPr>
          <w:kern w:val="0"/>
          <w:szCs w:val="24"/>
        </w:rPr>
        <w:t>low-carbon economies</w:t>
      </w:r>
      <w:r w:rsidR="00A37C1D">
        <w:rPr>
          <w:kern w:val="0"/>
          <w:szCs w:val="24"/>
        </w:rPr>
        <w:t>. The</w:t>
      </w:r>
      <w:r w:rsidR="003A1917">
        <w:rPr>
          <w:kern w:val="0"/>
          <w:szCs w:val="24"/>
        </w:rPr>
        <w:t xml:space="preserve"> </w:t>
      </w:r>
      <w:r>
        <w:rPr>
          <w:kern w:val="0"/>
          <w:szCs w:val="24"/>
        </w:rPr>
        <w:t>goals</w:t>
      </w:r>
      <w:r w:rsidR="00427468">
        <w:rPr>
          <w:kern w:val="0"/>
          <w:szCs w:val="24"/>
        </w:rPr>
        <w:t xml:space="preserve"> of </w:t>
      </w:r>
      <w:r>
        <w:rPr>
          <w:kern w:val="0"/>
          <w:szCs w:val="24"/>
        </w:rPr>
        <w:t>exploiting new clean energies, improving</w:t>
      </w:r>
      <w:r w:rsidR="003A1917">
        <w:rPr>
          <w:kern w:val="0"/>
          <w:szCs w:val="24"/>
        </w:rPr>
        <w:t xml:space="preserve"> the </w:t>
      </w:r>
      <w:r>
        <w:rPr>
          <w:kern w:val="0"/>
          <w:szCs w:val="24"/>
        </w:rPr>
        <w:t>efficiency</w:t>
      </w:r>
      <w:r w:rsidR="00427468">
        <w:rPr>
          <w:kern w:val="0"/>
          <w:szCs w:val="24"/>
        </w:rPr>
        <w:t xml:space="preserve"> of </w:t>
      </w:r>
      <w:r>
        <w:rPr>
          <w:kern w:val="0"/>
          <w:szCs w:val="24"/>
        </w:rPr>
        <w:t>conventional energy sources,</w:t>
      </w:r>
      <w:r w:rsidR="005853A9">
        <w:rPr>
          <w:kern w:val="0"/>
          <w:szCs w:val="24"/>
        </w:rPr>
        <w:t xml:space="preserve"> and </w:t>
      </w:r>
      <w:r>
        <w:rPr>
          <w:kern w:val="0"/>
          <w:szCs w:val="24"/>
        </w:rPr>
        <w:t>improving renewable energy technologies have gathered considerable attention</w:t>
      </w:r>
      <w:r w:rsidR="00427468">
        <w:rPr>
          <w:kern w:val="0"/>
          <w:szCs w:val="24"/>
        </w:rPr>
        <w:t xml:space="preserve"> of </w:t>
      </w:r>
      <w:r>
        <w:rPr>
          <w:kern w:val="0"/>
          <w:szCs w:val="24"/>
        </w:rPr>
        <w:t>governments worldwide. Among</w:t>
      </w:r>
      <w:r w:rsidR="003A1917">
        <w:rPr>
          <w:kern w:val="0"/>
          <w:szCs w:val="24"/>
        </w:rPr>
        <w:t xml:space="preserve"> the </w:t>
      </w:r>
      <w:r>
        <w:rPr>
          <w:kern w:val="0"/>
          <w:szCs w:val="24"/>
        </w:rPr>
        <w:t>many clean energies, hydrogen energy plays an important part in new clean energy fields nowadays. However, little has been done in discussing</w:t>
      </w:r>
      <w:r w:rsidR="003A1917">
        <w:rPr>
          <w:kern w:val="0"/>
          <w:szCs w:val="24"/>
        </w:rPr>
        <w:t xml:space="preserve"> the </w:t>
      </w:r>
      <w:r>
        <w:rPr>
          <w:kern w:val="0"/>
          <w:szCs w:val="24"/>
        </w:rPr>
        <w:t>technology forecasting for</w:t>
      </w:r>
      <w:r w:rsidR="003A1917">
        <w:rPr>
          <w:kern w:val="0"/>
          <w:szCs w:val="24"/>
        </w:rPr>
        <w:t xml:space="preserve"> the </w:t>
      </w:r>
      <w:r>
        <w:rPr>
          <w:kern w:val="0"/>
          <w:szCs w:val="24"/>
        </w:rPr>
        <w:t>hydrogen energy development</w:t>
      </w:r>
      <w:r w:rsidR="00A37C1D">
        <w:rPr>
          <w:kern w:val="0"/>
          <w:szCs w:val="24"/>
        </w:rPr>
        <w:t>. The</w:t>
      </w:r>
      <w:r>
        <w:rPr>
          <w:kern w:val="0"/>
          <w:szCs w:val="24"/>
        </w:rPr>
        <w:t>refore, this study predicts</w:t>
      </w:r>
      <w:r w:rsidR="003A1917">
        <w:rPr>
          <w:kern w:val="0"/>
          <w:szCs w:val="24"/>
        </w:rPr>
        <w:t xml:space="preserve"> the </w:t>
      </w:r>
      <w:r>
        <w:rPr>
          <w:kern w:val="0"/>
          <w:szCs w:val="24"/>
        </w:rPr>
        <w:t>technological S-curves for hydrogen energy</w:t>
      </w:r>
      <w:r w:rsidR="005853A9">
        <w:rPr>
          <w:kern w:val="0"/>
          <w:szCs w:val="24"/>
        </w:rPr>
        <w:t xml:space="preserve"> and </w:t>
      </w:r>
      <w:r>
        <w:rPr>
          <w:kern w:val="0"/>
          <w:szCs w:val="24"/>
        </w:rPr>
        <w:t>fuel cell technologies by integrating bibliometric</w:t>
      </w:r>
      <w:r w:rsidR="005853A9">
        <w:rPr>
          <w:kern w:val="0"/>
          <w:szCs w:val="24"/>
        </w:rPr>
        <w:t xml:space="preserve"> and </w:t>
      </w:r>
      <w:r>
        <w:rPr>
          <w:kern w:val="0"/>
          <w:szCs w:val="24"/>
        </w:rPr>
        <w:t>patent analysis into</w:t>
      </w:r>
      <w:r w:rsidR="003A1917">
        <w:rPr>
          <w:kern w:val="0"/>
          <w:szCs w:val="24"/>
        </w:rPr>
        <w:t xml:space="preserve"> the </w:t>
      </w:r>
      <w:r>
        <w:rPr>
          <w:kern w:val="0"/>
          <w:szCs w:val="24"/>
        </w:rPr>
        <w:t>logistic growth curve model, which includes generation, storage, proton exchange membrane fuel cell (PEMFC), solid oxide fuel cell (SOFC)</w:t>
      </w:r>
      <w:r w:rsidR="005853A9">
        <w:rPr>
          <w:kern w:val="0"/>
          <w:szCs w:val="24"/>
        </w:rPr>
        <w:t xml:space="preserve"> and </w:t>
      </w:r>
      <w:r>
        <w:rPr>
          <w:kern w:val="0"/>
          <w:szCs w:val="24"/>
        </w:rPr>
        <w:t>direct methanol fuel cell/direct alcohol fuel cell (DMFC/DAFC). Empirical analysis is via an expert survey</w:t>
      </w:r>
      <w:r w:rsidR="005853A9">
        <w:rPr>
          <w:kern w:val="0"/>
          <w:szCs w:val="24"/>
        </w:rPr>
        <w:t xml:space="preserve"> and </w:t>
      </w:r>
      <w:r>
        <w:rPr>
          <w:kern w:val="0"/>
          <w:szCs w:val="24"/>
        </w:rPr>
        <w:t>co-word analysis using</w:t>
      </w:r>
      <w:r w:rsidR="003A1917">
        <w:rPr>
          <w:kern w:val="0"/>
          <w:szCs w:val="24"/>
        </w:rPr>
        <w:t xml:space="preserve"> the </w:t>
      </w:r>
      <w:r>
        <w:rPr>
          <w:kern w:val="0"/>
          <w:szCs w:val="24"/>
        </w:rPr>
        <w:t>USPTO database to obtain useful data</w:t>
      </w:r>
      <w:r w:rsidR="00A37C1D">
        <w:rPr>
          <w:kern w:val="0"/>
          <w:szCs w:val="24"/>
        </w:rPr>
        <w:t>. The</w:t>
      </w:r>
      <w:r w:rsidR="003A1917">
        <w:rPr>
          <w:kern w:val="0"/>
          <w:szCs w:val="24"/>
        </w:rPr>
        <w:t xml:space="preserve"> </w:t>
      </w:r>
      <w:r>
        <w:rPr>
          <w:kern w:val="0"/>
          <w:szCs w:val="24"/>
        </w:rPr>
        <w:t>results demonstrate that technologies for generating</w:t>
      </w:r>
      <w:r w:rsidR="005853A9">
        <w:rPr>
          <w:kern w:val="0"/>
          <w:szCs w:val="24"/>
        </w:rPr>
        <w:t xml:space="preserve"> and </w:t>
      </w:r>
      <w:r>
        <w:rPr>
          <w:kern w:val="0"/>
          <w:szCs w:val="24"/>
        </w:rPr>
        <w:t>storing hydrogen have not yet reached technological maturity,</w:t>
      </w:r>
      <w:r w:rsidR="005853A9">
        <w:rPr>
          <w:kern w:val="0"/>
          <w:szCs w:val="24"/>
        </w:rPr>
        <w:t xml:space="preserve"> and </w:t>
      </w:r>
      <w:r w:rsidR="003A1917">
        <w:rPr>
          <w:kern w:val="0"/>
          <w:szCs w:val="24"/>
        </w:rPr>
        <w:t xml:space="preserve">the </w:t>
      </w:r>
      <w:r>
        <w:rPr>
          <w:kern w:val="0"/>
          <w:szCs w:val="24"/>
        </w:rPr>
        <w:t>fuel cell technology is either in</w:t>
      </w:r>
      <w:r w:rsidR="003A1917">
        <w:rPr>
          <w:kern w:val="0"/>
          <w:szCs w:val="24"/>
        </w:rPr>
        <w:t xml:space="preserve"> the </w:t>
      </w:r>
      <w:r>
        <w:rPr>
          <w:kern w:val="0"/>
          <w:szCs w:val="24"/>
        </w:rPr>
        <w:t>mature stage or approaching maturity.</w:t>
      </w:r>
    </w:p>
    <w:p w:rsidR="007F5088" w:rsidRDefault="007F5088" w:rsidP="007F5088">
      <w:pPr>
        <w:pStyle w:val="a3"/>
        <w:rPr>
          <w:kern w:val="0"/>
        </w:rPr>
      </w:pPr>
      <w:r>
        <w:rPr>
          <w:kern w:val="0"/>
        </w:rPr>
        <w:lastRenderedPageBreak/>
        <w:t>Keywords: Bibliometric Analysis, Databases, Diffusion, Fuel Cell, Hydrogen Energy, Industry, S-Curves, Technology Forecasting</w:t>
      </w:r>
    </w:p>
    <w:p w:rsidR="00201AF7" w:rsidRDefault="00201AF7" w:rsidP="00201AF7">
      <w:pPr>
        <w:pStyle w:val="a3"/>
        <w:rPr>
          <w:kern w:val="0"/>
        </w:rPr>
      </w:pPr>
      <w:r>
        <w:rPr>
          <w:rFonts w:hint="eastAsia"/>
          <w:kern w:val="0"/>
        </w:rPr>
        <w:t xml:space="preserve">? </w:t>
      </w:r>
      <w:r>
        <w:rPr>
          <w:kern w:val="0"/>
        </w:rPr>
        <w:t>Chang, C.C.</w:t>
      </w:r>
      <w:r w:rsidR="005853A9">
        <w:rPr>
          <w:kern w:val="0"/>
        </w:rPr>
        <w:t xml:space="preserve"> and </w:t>
      </w:r>
      <w:r>
        <w:rPr>
          <w:kern w:val="0"/>
        </w:rPr>
        <w:t>Ho, Y.S. (2010), Bibliometric analysis</w:t>
      </w:r>
      <w:r w:rsidR="00427468">
        <w:rPr>
          <w:kern w:val="0"/>
        </w:rPr>
        <w:t xml:space="preserve"> of </w:t>
      </w:r>
      <w:r>
        <w:rPr>
          <w:kern w:val="0"/>
        </w:rPr>
        <w:t xml:space="preserve">financial crisis research. </w:t>
      </w:r>
      <w:r>
        <w:rPr>
          <w:i/>
          <w:iCs/>
          <w:kern w:val="0"/>
        </w:rPr>
        <w:t>African Journal</w:t>
      </w:r>
      <w:r w:rsidR="00427468">
        <w:rPr>
          <w:i/>
          <w:iCs/>
          <w:kern w:val="0"/>
        </w:rPr>
        <w:t xml:space="preserve"> of </w:t>
      </w:r>
      <w:r>
        <w:rPr>
          <w:i/>
          <w:iCs/>
          <w:kern w:val="0"/>
        </w:rPr>
        <w:t>Business Management</w:t>
      </w:r>
      <w:r>
        <w:rPr>
          <w:kern w:val="0"/>
        </w:rPr>
        <w:t xml:space="preserve">, </w:t>
      </w:r>
      <w:r>
        <w:rPr>
          <w:b/>
          <w:bCs/>
          <w:kern w:val="0"/>
        </w:rPr>
        <w:t>4</w:t>
      </w:r>
      <w:r>
        <w:rPr>
          <w:kern w:val="0"/>
        </w:rPr>
        <w:t xml:space="preserve"> (18), 3898-3910.</w:t>
      </w:r>
    </w:p>
    <w:p w:rsidR="00201AF7" w:rsidRDefault="00201AF7" w:rsidP="00201AF7">
      <w:pPr>
        <w:pStyle w:val="a3"/>
        <w:rPr>
          <w:kern w:val="0"/>
        </w:rPr>
      </w:pPr>
      <w:r>
        <w:rPr>
          <w:rFonts w:hint="eastAsia"/>
          <w:kern w:val="0"/>
        </w:rPr>
        <w:t xml:space="preserve">Full Text: </w:t>
      </w:r>
      <w:hyperlink r:id="rId290" w:history="1">
        <w:r w:rsidRPr="003B2030">
          <w:rPr>
            <w:rStyle w:val="a5"/>
            <w:kern w:val="0"/>
            <w:szCs w:val="24"/>
          </w:rPr>
          <w:t>2010\Afr J Bus Man4, 3898.pdf</w:t>
        </w:r>
      </w:hyperlink>
      <w:r>
        <w:rPr>
          <w:rFonts w:hint="eastAsia"/>
          <w:kern w:val="0"/>
        </w:rPr>
        <w:t xml:space="preserve">; </w:t>
      </w:r>
      <w:hyperlink r:id="rId291" w:history="1">
        <w:r w:rsidRPr="003B2030">
          <w:rPr>
            <w:rStyle w:val="a5"/>
            <w:kern w:val="0"/>
            <w:szCs w:val="24"/>
          </w:rPr>
          <w:t>2010\Afr J Bus Man-Chang.pdf</w:t>
        </w:r>
      </w:hyperlink>
    </w:p>
    <w:p w:rsidR="00201AF7" w:rsidRDefault="00201AF7" w:rsidP="00201AF7">
      <w:pPr>
        <w:pStyle w:val="a3"/>
        <w:rPr>
          <w:kern w:val="0"/>
        </w:rPr>
      </w:pPr>
      <w:r>
        <w:rPr>
          <w:kern w:val="0"/>
        </w:rPr>
        <w:t>Abstract:</w:t>
      </w:r>
      <w:r w:rsidR="003A1917">
        <w:rPr>
          <w:kern w:val="0"/>
        </w:rPr>
        <w:t xml:space="preserve"> the </w:t>
      </w:r>
      <w:r>
        <w:rPr>
          <w:kern w:val="0"/>
        </w:rPr>
        <w:t>bibliometric analytical approach has not yet been applied in financial crisis research</w:t>
      </w:r>
      <w:r w:rsidR="00A37C1D">
        <w:rPr>
          <w:kern w:val="0"/>
        </w:rPr>
        <w:t>. The</w:t>
      </w:r>
      <w:r w:rsidR="003A1917">
        <w:rPr>
          <w:kern w:val="0"/>
        </w:rPr>
        <w:t xml:space="preserve"> </w:t>
      </w:r>
      <w:r>
        <w:rPr>
          <w:kern w:val="0"/>
        </w:rPr>
        <w:t>aim</w:t>
      </w:r>
      <w:r w:rsidR="00427468">
        <w:rPr>
          <w:kern w:val="0"/>
        </w:rPr>
        <w:t xml:space="preserve"> of </w:t>
      </w:r>
      <w:r w:rsidR="003A1917">
        <w:rPr>
          <w:kern w:val="0"/>
        </w:rPr>
        <w:t xml:space="preserve">the </w:t>
      </w:r>
      <w:r>
        <w:rPr>
          <w:kern w:val="0"/>
        </w:rPr>
        <w:t>study was to apply bibliometric analysis to financial crisis publications in 362 journals listed in</w:t>
      </w:r>
      <w:r w:rsidR="003A1917">
        <w:rPr>
          <w:kern w:val="0"/>
        </w:rPr>
        <w:t xml:space="preserve"> the </w:t>
      </w:r>
      <w:r>
        <w:rPr>
          <w:kern w:val="0"/>
        </w:rPr>
        <w:t>four ISI subject categories</w:t>
      </w:r>
      <w:r w:rsidR="00427468">
        <w:rPr>
          <w:kern w:val="0"/>
        </w:rPr>
        <w:t xml:space="preserve"> of </w:t>
      </w:r>
      <w:r>
        <w:rPr>
          <w:kern w:val="0"/>
        </w:rPr>
        <w:t>economics, finance business, business,</w:t>
      </w:r>
      <w:r w:rsidR="005853A9">
        <w:rPr>
          <w:kern w:val="0"/>
        </w:rPr>
        <w:t xml:space="preserve"> and </w:t>
      </w:r>
      <w:r>
        <w:rPr>
          <w:kern w:val="0"/>
        </w:rPr>
        <w:t>management in</w:t>
      </w:r>
      <w:r w:rsidR="003A1917">
        <w:rPr>
          <w:kern w:val="0"/>
        </w:rPr>
        <w:t xml:space="preserve"> the </w:t>
      </w:r>
      <w:r>
        <w:rPr>
          <w:kern w:val="0"/>
        </w:rPr>
        <w:t>Social Science Citation Index (</w:t>
      </w:r>
      <w:r w:rsidR="00D5664A">
        <w:rPr>
          <w:kern w:val="0"/>
        </w:rPr>
        <w:t>SSCI</w:t>
      </w:r>
      <w:r>
        <w:rPr>
          <w:kern w:val="0"/>
        </w:rPr>
        <w:t>). Analyzed parameters were publication language, document type, publication output, authorship, publication patterns, subject category distribution, region, country, publication institute, most frequently cited articles,</w:t>
      </w:r>
      <w:r w:rsidR="005853A9">
        <w:rPr>
          <w:kern w:val="0"/>
        </w:rPr>
        <w:t xml:space="preserve"> and </w:t>
      </w:r>
      <w:r>
        <w:rPr>
          <w:kern w:val="0"/>
        </w:rPr>
        <w:t>hot issues. This study demonstrates that</w:t>
      </w:r>
      <w:r w:rsidR="003A1917">
        <w:rPr>
          <w:kern w:val="0"/>
        </w:rPr>
        <w:t xml:space="preserve"> the </w:t>
      </w:r>
      <w:r>
        <w:rPr>
          <w:kern w:val="0"/>
        </w:rPr>
        <w:t>amount</w:t>
      </w:r>
      <w:r w:rsidR="00427468">
        <w:rPr>
          <w:kern w:val="0"/>
        </w:rPr>
        <w:t xml:space="preserve"> of </w:t>
      </w:r>
      <w:r>
        <w:rPr>
          <w:kern w:val="0"/>
        </w:rPr>
        <w:t>research increased markedly during financial crises, especially during</w:t>
      </w:r>
      <w:r w:rsidR="003A1917">
        <w:rPr>
          <w:kern w:val="0"/>
        </w:rPr>
        <w:t xml:space="preserve"> the </w:t>
      </w:r>
      <w:r>
        <w:rPr>
          <w:kern w:val="0"/>
        </w:rPr>
        <w:t>Asian financial crisis</w:t>
      </w:r>
      <w:r w:rsidR="005853A9">
        <w:rPr>
          <w:kern w:val="0"/>
        </w:rPr>
        <w:t xml:space="preserve"> and </w:t>
      </w:r>
      <w:r>
        <w:rPr>
          <w:kern w:val="0"/>
        </w:rPr>
        <w:t>global financial crisis. Furthermore,</w:t>
      </w:r>
      <w:r w:rsidR="003A1917">
        <w:rPr>
          <w:kern w:val="0"/>
        </w:rPr>
        <w:t xml:space="preserve"> the </w:t>
      </w:r>
      <w:r>
        <w:rPr>
          <w:kern w:val="0"/>
        </w:rPr>
        <w:t>most frequently cited articles</w:t>
      </w:r>
      <w:r w:rsidR="005853A9">
        <w:rPr>
          <w:kern w:val="0"/>
        </w:rPr>
        <w:t xml:space="preserve"> and </w:t>
      </w:r>
      <w:r>
        <w:rPr>
          <w:kern w:val="0"/>
        </w:rPr>
        <w:t>topics associated with</w:t>
      </w:r>
      <w:r w:rsidR="003A1917">
        <w:rPr>
          <w:kern w:val="0"/>
        </w:rPr>
        <w:t xml:space="preserve"> the </w:t>
      </w:r>
      <w:r>
        <w:rPr>
          <w:kern w:val="0"/>
        </w:rPr>
        <w:t>currency crisis, policy,</w:t>
      </w:r>
      <w:r w:rsidR="005853A9">
        <w:rPr>
          <w:kern w:val="0"/>
        </w:rPr>
        <w:t xml:space="preserve"> and </w:t>
      </w:r>
      <w:r>
        <w:rPr>
          <w:kern w:val="0"/>
        </w:rPr>
        <w:t>banking crisis were popular during</w:t>
      </w:r>
      <w:r w:rsidR="003A1917">
        <w:rPr>
          <w:kern w:val="0"/>
        </w:rPr>
        <w:t xml:space="preserve"> the </w:t>
      </w:r>
      <w:r>
        <w:rPr>
          <w:kern w:val="0"/>
        </w:rPr>
        <w:t>Asian financial crisis</w:t>
      </w:r>
      <w:r w:rsidR="005853A9">
        <w:rPr>
          <w:kern w:val="0"/>
        </w:rPr>
        <w:t xml:space="preserve"> and </w:t>
      </w:r>
      <w:r>
        <w:rPr>
          <w:kern w:val="0"/>
        </w:rPr>
        <w:t>global financial crisis.</w:t>
      </w:r>
    </w:p>
    <w:p w:rsidR="00201AF7" w:rsidRDefault="00201AF7" w:rsidP="00201AF7">
      <w:pPr>
        <w:pStyle w:val="a3"/>
        <w:rPr>
          <w:kern w:val="0"/>
        </w:rPr>
      </w:pPr>
      <w:r>
        <w:rPr>
          <w:kern w:val="0"/>
        </w:rPr>
        <w:t>Keywords: Analysis, Approach, Asian, Authorship, Bibliometric, Bibliometric Analysis, Business, Citation, Country, Crisis, Currency Crises, Distribution, Distributions, Economics</w:t>
      </w:r>
      <w:r w:rsidR="00D5664A">
        <w:rPr>
          <w:kern w:val="0"/>
        </w:rPr>
        <w:t>, ISI,</w:t>
      </w:r>
      <w:r>
        <w:rPr>
          <w:kern w:val="0"/>
        </w:rPr>
        <w:t xml:space="preserve"> Journals, Management, Policy, Publication, Publications, Research, Research Trend, Science, Science Citation Index, Scientometrics, Social Science Citation Index,</w:t>
      </w:r>
      <w:r w:rsidR="008E3069">
        <w:rPr>
          <w:kern w:val="0"/>
        </w:rPr>
        <w:t xml:space="preserve"> </w:t>
      </w:r>
      <w:r w:rsidR="00D5664A">
        <w:rPr>
          <w:kern w:val="0"/>
        </w:rPr>
        <w:t>SSCI</w:t>
      </w:r>
      <w:r w:rsidR="008E3069">
        <w:rPr>
          <w:kern w:val="0"/>
        </w:rPr>
        <w:t>,</w:t>
      </w:r>
      <w:r>
        <w:rPr>
          <w:kern w:val="0"/>
        </w:rPr>
        <w:t xml:space="preserve"> </w:t>
      </w:r>
      <w:r w:rsidR="00D5664A">
        <w:rPr>
          <w:kern w:val="0"/>
        </w:rPr>
        <w:t>Web</w:t>
      </w:r>
      <w:r w:rsidR="00427468">
        <w:rPr>
          <w:kern w:val="0"/>
        </w:rPr>
        <w:t xml:space="preserve"> of </w:t>
      </w:r>
      <w:r w:rsidR="00D5664A">
        <w:rPr>
          <w:kern w:val="0"/>
        </w:rPr>
        <w:t>Science</w:t>
      </w:r>
    </w:p>
    <w:p w:rsidR="00096CEB" w:rsidRDefault="00096CEB" w:rsidP="00096CEB">
      <w:pPr>
        <w:pStyle w:val="a3"/>
        <w:rPr>
          <w:kern w:val="0"/>
        </w:rPr>
      </w:pPr>
      <w:r>
        <w:rPr>
          <w:rFonts w:hint="eastAsia"/>
          <w:kern w:val="0"/>
        </w:rPr>
        <w:t xml:space="preserve">? </w:t>
      </w:r>
      <w:r>
        <w:rPr>
          <w:kern w:val="0"/>
        </w:rPr>
        <w:t>Alam, G.M. (2011), A further editorial guideline for writing manuscript in</w:t>
      </w:r>
      <w:r w:rsidR="003A1917">
        <w:rPr>
          <w:kern w:val="0"/>
        </w:rPr>
        <w:t xml:space="preserve"> the </w:t>
      </w:r>
      <w:r>
        <w:rPr>
          <w:kern w:val="0"/>
        </w:rPr>
        <w:t>field</w:t>
      </w:r>
      <w:r w:rsidR="00427468">
        <w:rPr>
          <w:kern w:val="0"/>
        </w:rPr>
        <w:t xml:space="preserve"> of </w:t>
      </w:r>
      <w:r>
        <w:rPr>
          <w:kern w:val="0"/>
        </w:rPr>
        <w:t xml:space="preserve">social science: A special perspective for </w:t>
      </w:r>
      <w:r w:rsidRPr="00096CEB">
        <w:rPr>
          <w:i/>
          <w:kern w:val="0"/>
        </w:rPr>
        <w:t>African Journal</w:t>
      </w:r>
      <w:r w:rsidR="00427468">
        <w:rPr>
          <w:i/>
          <w:kern w:val="0"/>
        </w:rPr>
        <w:t xml:space="preserve"> of </w:t>
      </w:r>
      <w:r w:rsidRPr="00096CEB">
        <w:rPr>
          <w:i/>
          <w:kern w:val="0"/>
        </w:rPr>
        <w:t>Business Management</w:t>
      </w:r>
      <w:r>
        <w:rPr>
          <w:kern w:val="0"/>
        </w:rPr>
        <w:t xml:space="preserve"> (AJBM). </w:t>
      </w:r>
      <w:r>
        <w:rPr>
          <w:i/>
          <w:iCs/>
          <w:kern w:val="0"/>
        </w:rPr>
        <w:t>African Journal</w:t>
      </w:r>
      <w:r w:rsidR="00427468">
        <w:rPr>
          <w:i/>
          <w:iCs/>
          <w:kern w:val="0"/>
        </w:rPr>
        <w:t xml:space="preserve"> of </w:t>
      </w:r>
      <w:r>
        <w:rPr>
          <w:i/>
          <w:iCs/>
          <w:kern w:val="0"/>
        </w:rPr>
        <w:t>Business Management</w:t>
      </w:r>
      <w:r>
        <w:rPr>
          <w:kern w:val="0"/>
        </w:rPr>
        <w:t xml:space="preserve">, </w:t>
      </w:r>
      <w:r>
        <w:rPr>
          <w:b/>
          <w:bCs/>
          <w:kern w:val="0"/>
        </w:rPr>
        <w:t>5</w:t>
      </w:r>
      <w:r>
        <w:rPr>
          <w:kern w:val="0"/>
        </w:rPr>
        <w:t xml:space="preserve"> (1</w:t>
      </w:r>
      <w:r>
        <w:rPr>
          <w:rFonts w:hint="eastAsia"/>
          <w:kern w:val="0"/>
        </w:rPr>
        <w:t>)</w:t>
      </w:r>
      <w:r>
        <w:rPr>
          <w:kern w:val="0"/>
        </w:rPr>
        <w:t>.</w:t>
      </w:r>
    </w:p>
    <w:p w:rsidR="00096CEB" w:rsidRDefault="00096CEB" w:rsidP="00096CEB">
      <w:pPr>
        <w:pStyle w:val="a3"/>
        <w:rPr>
          <w:kern w:val="0"/>
          <w:szCs w:val="24"/>
        </w:rPr>
      </w:pPr>
      <w:r>
        <w:rPr>
          <w:rFonts w:hint="eastAsia"/>
          <w:kern w:val="0"/>
          <w:szCs w:val="24"/>
        </w:rPr>
        <w:t xml:space="preserve">Full Text: </w:t>
      </w:r>
      <w:hyperlink r:id="rId292" w:history="1">
        <w:r w:rsidRPr="00096CEB">
          <w:rPr>
            <w:rStyle w:val="a5"/>
            <w:kern w:val="0"/>
            <w:szCs w:val="24"/>
          </w:rPr>
          <w:t>2011\Afr J Bus Man5.pdf</w:t>
        </w:r>
      </w:hyperlink>
    </w:p>
    <w:p w:rsidR="00096CEB" w:rsidRDefault="00096CEB" w:rsidP="00096CEB">
      <w:pPr>
        <w:pStyle w:val="a3"/>
        <w:rPr>
          <w:kern w:val="0"/>
        </w:rPr>
      </w:pPr>
      <w:r>
        <w:rPr>
          <w:kern w:val="0"/>
        </w:rPr>
        <w:t>Abstract: With</w:t>
      </w:r>
      <w:r w:rsidR="003A1917">
        <w:rPr>
          <w:kern w:val="0"/>
        </w:rPr>
        <w:t xml:space="preserve"> the </w:t>
      </w:r>
      <w:r>
        <w:rPr>
          <w:kern w:val="0"/>
        </w:rPr>
        <w:t>breathtaking success</w:t>
      </w:r>
      <w:r w:rsidR="00427468">
        <w:rPr>
          <w:kern w:val="0"/>
        </w:rPr>
        <w:t xml:space="preserve"> of </w:t>
      </w:r>
      <w:r>
        <w:rPr>
          <w:kern w:val="0"/>
        </w:rPr>
        <w:t>African Journal</w:t>
      </w:r>
      <w:r w:rsidR="00427468">
        <w:rPr>
          <w:kern w:val="0"/>
        </w:rPr>
        <w:t xml:space="preserve"> of </w:t>
      </w:r>
      <w:r>
        <w:rPr>
          <w:kern w:val="0"/>
        </w:rPr>
        <w:t>Business Management-AJBM in</w:t>
      </w:r>
      <w:r w:rsidR="003A1917">
        <w:rPr>
          <w:kern w:val="0"/>
        </w:rPr>
        <w:t xml:space="preserve"> the </w:t>
      </w:r>
      <w:r>
        <w:rPr>
          <w:kern w:val="0"/>
        </w:rPr>
        <w:t>recent years, has become one</w:t>
      </w:r>
      <w:r w:rsidR="00427468">
        <w:rPr>
          <w:kern w:val="0"/>
        </w:rPr>
        <w:t xml:space="preserve"> of </w:t>
      </w:r>
      <w:r>
        <w:rPr>
          <w:kern w:val="0"/>
        </w:rPr>
        <w:t>most commanding podiums for</w:t>
      </w:r>
      <w:r w:rsidR="003A1917">
        <w:rPr>
          <w:kern w:val="0"/>
        </w:rPr>
        <w:t xml:space="preserve"> the </w:t>
      </w:r>
      <w:r>
        <w:rPr>
          <w:kern w:val="0"/>
        </w:rPr>
        <w:t>scholar especially from</w:t>
      </w:r>
      <w:r w:rsidR="003A1917">
        <w:rPr>
          <w:kern w:val="0"/>
        </w:rPr>
        <w:t xml:space="preserve"> the </w:t>
      </w:r>
      <w:r>
        <w:rPr>
          <w:kern w:val="0"/>
        </w:rPr>
        <w:t>developing world. In 2009, not only its impact factor has increased substantially, but also one</w:t>
      </w:r>
      <w:r w:rsidR="00427468">
        <w:rPr>
          <w:kern w:val="0"/>
        </w:rPr>
        <w:t xml:space="preserve"> of </w:t>
      </w:r>
      <w:r>
        <w:rPr>
          <w:kern w:val="0"/>
        </w:rPr>
        <w:t xml:space="preserve">its published papers </w:t>
      </w:r>
      <w:r w:rsidR="00B5188C">
        <w:rPr>
          <w:kern w:val="0"/>
        </w:rPr>
        <w:t>“</w:t>
      </w:r>
      <w:r>
        <w:rPr>
          <w:kern w:val="0"/>
        </w:rPr>
        <w:t>has been selected by Essential Science Indicators(SM) from Thomson Reuters as</w:t>
      </w:r>
      <w:r w:rsidR="003A1917">
        <w:rPr>
          <w:kern w:val="0"/>
        </w:rPr>
        <w:t xml:space="preserve"> the </w:t>
      </w:r>
      <w:r>
        <w:rPr>
          <w:kern w:val="0"/>
        </w:rPr>
        <w:t>most-cited paper in</w:t>
      </w:r>
      <w:r w:rsidR="003A1917">
        <w:rPr>
          <w:kern w:val="0"/>
        </w:rPr>
        <w:t xml:space="preserve"> the </w:t>
      </w:r>
      <w:r>
        <w:rPr>
          <w:kern w:val="0"/>
        </w:rPr>
        <w:t>research area</w:t>
      </w:r>
      <w:r w:rsidR="00427468">
        <w:rPr>
          <w:kern w:val="0"/>
        </w:rPr>
        <w:t xml:space="preserve"> of </w:t>
      </w:r>
      <w:r>
        <w:rPr>
          <w:kern w:val="0"/>
        </w:rPr>
        <w:t>Economics</w:t>
      </w:r>
      <w:r w:rsidR="005853A9">
        <w:rPr>
          <w:kern w:val="0"/>
        </w:rPr>
        <w:t xml:space="preserve"> and </w:t>
      </w:r>
      <w:r>
        <w:rPr>
          <w:kern w:val="0"/>
        </w:rPr>
        <w:t>Business</w:t>
      </w:r>
      <w:r w:rsidR="00B5188C">
        <w:rPr>
          <w:kern w:val="0"/>
        </w:rPr>
        <w:t>”</w:t>
      </w:r>
      <w:r>
        <w:rPr>
          <w:kern w:val="0"/>
        </w:rPr>
        <w:t>. With its success, submissions have increased dramatically with an equal increased figure</w:t>
      </w:r>
      <w:r w:rsidR="00427468">
        <w:rPr>
          <w:kern w:val="0"/>
        </w:rPr>
        <w:t xml:space="preserve"> of </w:t>
      </w:r>
      <w:r>
        <w:rPr>
          <w:kern w:val="0"/>
        </w:rPr>
        <w:t>rejection. Huge rejection is not good news for any party. It is now thus important to provide a better editorial guideline for research community to prepare their works making it more suitable</w:t>
      </w:r>
      <w:r w:rsidR="005853A9">
        <w:rPr>
          <w:kern w:val="0"/>
        </w:rPr>
        <w:t xml:space="preserve"> and </w:t>
      </w:r>
      <w:r>
        <w:rPr>
          <w:kern w:val="0"/>
        </w:rPr>
        <w:t>also to help them in targeting</w:t>
      </w:r>
      <w:r w:rsidR="003A1917">
        <w:rPr>
          <w:kern w:val="0"/>
        </w:rPr>
        <w:t xml:space="preserve"> the </w:t>
      </w:r>
      <w:r>
        <w:rPr>
          <w:kern w:val="0"/>
        </w:rPr>
        <w:t>right journal for appropriate readership</w:t>
      </w:r>
      <w:r w:rsidR="005853A9">
        <w:rPr>
          <w:kern w:val="0"/>
        </w:rPr>
        <w:t xml:space="preserve"> and </w:t>
      </w:r>
      <w:r>
        <w:rPr>
          <w:kern w:val="0"/>
        </w:rPr>
        <w:t>audience. This editorial is prepared with</w:t>
      </w:r>
      <w:r w:rsidR="003A1917">
        <w:rPr>
          <w:kern w:val="0"/>
        </w:rPr>
        <w:t xml:space="preserve"> the </w:t>
      </w:r>
      <w:r>
        <w:rPr>
          <w:kern w:val="0"/>
        </w:rPr>
        <w:t>consultation</w:t>
      </w:r>
      <w:r w:rsidR="00427468">
        <w:rPr>
          <w:kern w:val="0"/>
        </w:rPr>
        <w:t xml:space="preserve"> of </w:t>
      </w:r>
      <w:r>
        <w:rPr>
          <w:kern w:val="0"/>
        </w:rPr>
        <w:t>more than 800 papers submitted from around</w:t>
      </w:r>
      <w:r w:rsidR="003A1917">
        <w:rPr>
          <w:kern w:val="0"/>
        </w:rPr>
        <w:t xml:space="preserve"> the </w:t>
      </w:r>
      <w:r>
        <w:rPr>
          <w:kern w:val="0"/>
        </w:rPr>
        <w:t>globe for</w:t>
      </w:r>
      <w:r w:rsidR="003A1917">
        <w:rPr>
          <w:kern w:val="0"/>
        </w:rPr>
        <w:t xml:space="preserve"> the </w:t>
      </w:r>
      <w:r>
        <w:rPr>
          <w:kern w:val="0"/>
        </w:rPr>
        <w:t>publication in AJBM. A portion</w:t>
      </w:r>
      <w:r w:rsidR="00427468">
        <w:rPr>
          <w:kern w:val="0"/>
        </w:rPr>
        <w:t xml:space="preserve"> of </w:t>
      </w:r>
      <w:r>
        <w:rPr>
          <w:kern w:val="0"/>
        </w:rPr>
        <w:t xml:space="preserve">them are published, while a significant numbers are also rejected. Since, research </w:t>
      </w:r>
      <w:r>
        <w:rPr>
          <w:kern w:val="0"/>
        </w:rPr>
        <w:lastRenderedPageBreak/>
        <w:t>community from Africa, Fareast, Middle-East</w:t>
      </w:r>
      <w:r w:rsidR="005853A9">
        <w:rPr>
          <w:kern w:val="0"/>
        </w:rPr>
        <w:t xml:space="preserve"> and </w:t>
      </w:r>
      <w:r w:rsidR="003A1917">
        <w:rPr>
          <w:kern w:val="0"/>
        </w:rPr>
        <w:t xml:space="preserve">the </w:t>
      </w:r>
      <w:r>
        <w:rPr>
          <w:kern w:val="0"/>
        </w:rPr>
        <w:t>Western world are contributing for AJBM. Every community has some strengths</w:t>
      </w:r>
      <w:r w:rsidR="005853A9">
        <w:rPr>
          <w:kern w:val="0"/>
        </w:rPr>
        <w:t xml:space="preserve"> and </w:t>
      </w:r>
      <w:r>
        <w:rPr>
          <w:kern w:val="0"/>
        </w:rPr>
        <w:t>weaknesses to offer lessons for others. Keeping this in mind, it is thus also important to have a common understanding about</w:t>
      </w:r>
      <w:r w:rsidR="003A1917">
        <w:rPr>
          <w:kern w:val="0"/>
        </w:rPr>
        <w:t xml:space="preserve"> the </w:t>
      </w:r>
      <w:r>
        <w:rPr>
          <w:kern w:val="0"/>
        </w:rPr>
        <w:t>research in business management</w:t>
      </w:r>
      <w:r w:rsidR="005853A9">
        <w:rPr>
          <w:kern w:val="0"/>
        </w:rPr>
        <w:t xml:space="preserve"> and </w:t>
      </w:r>
      <w:r>
        <w:rPr>
          <w:kern w:val="0"/>
        </w:rPr>
        <w:t>writing manuscripts. With an optimistic attitude, this editorial aims to provide a guideline for writing manuscript in</w:t>
      </w:r>
      <w:r w:rsidR="003A1917">
        <w:rPr>
          <w:kern w:val="0"/>
        </w:rPr>
        <w:t xml:space="preserve"> the </w:t>
      </w:r>
      <w:r>
        <w:rPr>
          <w:kern w:val="0"/>
        </w:rPr>
        <w:t>field</w:t>
      </w:r>
      <w:r w:rsidR="00427468">
        <w:rPr>
          <w:kern w:val="0"/>
        </w:rPr>
        <w:t xml:space="preserve"> of </w:t>
      </w:r>
      <w:r>
        <w:rPr>
          <w:kern w:val="0"/>
        </w:rPr>
        <w:t>Social Science with a special focus on AJBM.</w:t>
      </w:r>
    </w:p>
    <w:p w:rsidR="00096CEB" w:rsidRDefault="00096CEB" w:rsidP="00096CEB">
      <w:pPr>
        <w:pStyle w:val="a3"/>
        <w:rPr>
          <w:kern w:val="0"/>
        </w:rPr>
      </w:pPr>
      <w:r>
        <w:rPr>
          <w:kern w:val="0"/>
        </w:rPr>
        <w:t>Keywords: Africa, Ajbm, Attitude, Buffalo City Municipality, Consultation, Disabilities Travel Behaviors, Economics, Epistemological Foundation for Research, High-Technology Industry, Hypothesis, Research Questions, Impact, Impact Factor, Journal, Management, Methodology, Methods, Organizational Commitment, Papers, Private Higher-Education, Publication, Research, Research In Business Management, Research-And-Development, Results, Findings, Scholars, Academics, Science, Service Quality, Small Manufacturing Firms, Social, Social Science, South-Africa, Success, Supply Chain Management, Thomson Reuters, Writing</w:t>
      </w:r>
    </w:p>
    <w:p w:rsidR="00202BDD" w:rsidRDefault="00202BDD" w:rsidP="00202BDD">
      <w:pPr>
        <w:pStyle w:val="a3"/>
        <w:rPr>
          <w:kern w:val="0"/>
        </w:rPr>
      </w:pPr>
      <w:r>
        <w:rPr>
          <w:rFonts w:hint="eastAsia"/>
          <w:kern w:val="0"/>
        </w:rPr>
        <w:t xml:space="preserve">? </w:t>
      </w:r>
      <w:r>
        <w:rPr>
          <w:kern w:val="0"/>
        </w:rPr>
        <w:t>Huang, C.Y.</w:t>
      </w:r>
      <w:r w:rsidR="005853A9">
        <w:rPr>
          <w:kern w:val="0"/>
        </w:rPr>
        <w:t xml:space="preserve"> and </w:t>
      </w:r>
      <w:r>
        <w:rPr>
          <w:kern w:val="0"/>
        </w:rPr>
        <w:t xml:space="preserve">Ho, Y.S. (2011), Historical research on corporate governance: A bibliometric analysis. </w:t>
      </w:r>
      <w:r>
        <w:rPr>
          <w:i/>
          <w:iCs/>
          <w:kern w:val="0"/>
        </w:rPr>
        <w:t>African Journal</w:t>
      </w:r>
      <w:r w:rsidR="00427468">
        <w:rPr>
          <w:i/>
          <w:iCs/>
          <w:kern w:val="0"/>
        </w:rPr>
        <w:t xml:space="preserve"> of </w:t>
      </w:r>
      <w:r>
        <w:rPr>
          <w:i/>
          <w:iCs/>
          <w:kern w:val="0"/>
        </w:rPr>
        <w:t>Business Management</w:t>
      </w:r>
      <w:r>
        <w:rPr>
          <w:kern w:val="0"/>
        </w:rPr>
        <w:t xml:space="preserve">, </w:t>
      </w:r>
      <w:r>
        <w:rPr>
          <w:b/>
          <w:bCs/>
          <w:kern w:val="0"/>
        </w:rPr>
        <w:t>5</w:t>
      </w:r>
      <w:r>
        <w:rPr>
          <w:kern w:val="0"/>
        </w:rPr>
        <w:t xml:space="preserve"> (2), 276-284.</w:t>
      </w:r>
    </w:p>
    <w:p w:rsidR="008D4C2B" w:rsidRDefault="008D4C2B" w:rsidP="008D4C2B">
      <w:pPr>
        <w:pStyle w:val="a3"/>
        <w:rPr>
          <w:kern w:val="0"/>
          <w:szCs w:val="24"/>
        </w:rPr>
      </w:pPr>
      <w:r>
        <w:rPr>
          <w:rFonts w:hint="eastAsia"/>
          <w:kern w:val="0"/>
          <w:szCs w:val="24"/>
        </w:rPr>
        <w:t>Full Text:</w:t>
      </w:r>
      <w:r w:rsidR="009D6DD0">
        <w:rPr>
          <w:rFonts w:hint="eastAsia"/>
          <w:kern w:val="0"/>
          <w:szCs w:val="24"/>
        </w:rPr>
        <w:t xml:space="preserve"> </w:t>
      </w:r>
      <w:hyperlink r:id="rId293" w:history="1">
        <w:r w:rsidR="009D6DD0" w:rsidRPr="009D6DD0">
          <w:rPr>
            <w:rStyle w:val="a5"/>
            <w:kern w:val="0"/>
            <w:szCs w:val="24"/>
          </w:rPr>
          <w:t>2011\Afr J Bus Man5, 276.pdf</w:t>
        </w:r>
      </w:hyperlink>
      <w:r w:rsidR="009D6DD0">
        <w:rPr>
          <w:rFonts w:hint="eastAsia"/>
          <w:kern w:val="0"/>
          <w:szCs w:val="24"/>
        </w:rPr>
        <w:t>;</w:t>
      </w:r>
      <w:r w:rsidR="005F124A">
        <w:rPr>
          <w:rFonts w:hint="eastAsia"/>
          <w:kern w:val="0"/>
          <w:szCs w:val="24"/>
        </w:rPr>
        <w:t xml:space="preserve"> </w:t>
      </w:r>
      <w:hyperlink r:id="rId294" w:history="1">
        <w:r w:rsidR="005F124A" w:rsidRPr="005F124A">
          <w:rPr>
            <w:rStyle w:val="a5"/>
            <w:kern w:val="0"/>
            <w:szCs w:val="24"/>
          </w:rPr>
          <w:t>2010\Afr J Bus Man-Huang1.pdf</w:t>
        </w:r>
      </w:hyperlink>
      <w:r w:rsidR="005F124A">
        <w:rPr>
          <w:rFonts w:hint="eastAsia"/>
        </w:rPr>
        <w:t>;</w:t>
      </w:r>
      <w:r>
        <w:rPr>
          <w:rFonts w:hint="eastAsia"/>
          <w:kern w:val="0"/>
          <w:szCs w:val="24"/>
        </w:rPr>
        <w:t xml:space="preserve"> </w:t>
      </w:r>
      <w:hyperlink r:id="rId295" w:history="1">
        <w:r w:rsidR="00F363BE" w:rsidRPr="00F363BE">
          <w:rPr>
            <w:rStyle w:val="a5"/>
            <w:kern w:val="0"/>
            <w:szCs w:val="24"/>
          </w:rPr>
          <w:t>2010\Afr J Bus Man-Huang.pdf</w:t>
        </w:r>
      </w:hyperlink>
    </w:p>
    <w:p w:rsidR="00202BDD" w:rsidRDefault="00202BDD" w:rsidP="00202BDD">
      <w:pPr>
        <w:pStyle w:val="a3"/>
        <w:rPr>
          <w:kern w:val="0"/>
        </w:rPr>
      </w:pPr>
      <w:r>
        <w:rPr>
          <w:kern w:val="0"/>
        </w:rPr>
        <w:t>Abstract: Bibliometric analysis provides historical information on research</w:t>
      </w:r>
      <w:r w:rsidR="00427468">
        <w:rPr>
          <w:kern w:val="0"/>
        </w:rPr>
        <w:t xml:space="preserve"> of </w:t>
      </w:r>
      <w:r>
        <w:rPr>
          <w:kern w:val="0"/>
        </w:rPr>
        <w:t>trend</w:t>
      </w:r>
      <w:r w:rsidR="005853A9">
        <w:rPr>
          <w:kern w:val="0"/>
        </w:rPr>
        <w:t xml:space="preserve"> and </w:t>
      </w:r>
      <w:r>
        <w:rPr>
          <w:kern w:val="0"/>
        </w:rPr>
        <w:t>performance. A publication analysis was carried out using</w:t>
      </w:r>
      <w:r w:rsidR="003A1917">
        <w:rPr>
          <w:kern w:val="0"/>
        </w:rPr>
        <w:t xml:space="preserve"> the </w:t>
      </w:r>
      <w:r>
        <w:rPr>
          <w:kern w:val="0"/>
        </w:rPr>
        <w:t>related literature in</w:t>
      </w:r>
      <w:r w:rsidR="003A1917">
        <w:rPr>
          <w:kern w:val="0"/>
        </w:rPr>
        <w:t xml:space="preserve"> the </w:t>
      </w:r>
      <w:r>
        <w:rPr>
          <w:kern w:val="0"/>
        </w:rPr>
        <w:t>Social Science Citation Index (</w:t>
      </w:r>
      <w:r w:rsidR="00D5664A">
        <w:rPr>
          <w:kern w:val="0"/>
        </w:rPr>
        <w:t>SSCI</w:t>
      </w:r>
      <w:r>
        <w:rPr>
          <w:kern w:val="0"/>
        </w:rPr>
        <w:t>) from 1992 - 2008, collected from</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databases</w:t>
      </w:r>
      <w:r w:rsidR="00427468">
        <w:rPr>
          <w:kern w:val="0"/>
        </w:rPr>
        <w:t xml:space="preserve"> of </w:t>
      </w:r>
      <w:r w:rsidR="003A1917">
        <w:rPr>
          <w:kern w:val="0"/>
        </w:rPr>
        <w:t xml:space="preserve">the </w:t>
      </w:r>
      <w:r>
        <w:rPr>
          <w:kern w:val="0"/>
        </w:rPr>
        <w:t>Institute for Scientific Information (ISI). Articles</w:t>
      </w:r>
      <w:r w:rsidR="00427468">
        <w:rPr>
          <w:kern w:val="0"/>
        </w:rPr>
        <w:t xml:space="preserve"> of </w:t>
      </w:r>
      <w:r>
        <w:rPr>
          <w:kern w:val="0"/>
        </w:rPr>
        <w:t>such literature were concentrated on</w:t>
      </w:r>
      <w:r w:rsidR="003A1917">
        <w:rPr>
          <w:kern w:val="0"/>
        </w:rPr>
        <w:t xml:space="preserve"> the </w:t>
      </w:r>
      <w:r>
        <w:rPr>
          <w:kern w:val="0"/>
        </w:rPr>
        <w:t>analysis by</w:t>
      </w:r>
      <w:r w:rsidR="003A1917">
        <w:rPr>
          <w:kern w:val="0"/>
        </w:rPr>
        <w:t xml:space="preserve"> the </w:t>
      </w:r>
      <w:r>
        <w:rPr>
          <w:kern w:val="0"/>
        </w:rPr>
        <w:t>scientific output</w:t>
      </w:r>
      <w:r w:rsidR="005853A9">
        <w:rPr>
          <w:kern w:val="0"/>
        </w:rPr>
        <w:t xml:space="preserve"> and </w:t>
      </w:r>
      <w:r>
        <w:rPr>
          <w:kern w:val="0"/>
        </w:rPr>
        <w:t>distribution</w:t>
      </w:r>
      <w:r w:rsidR="00427468">
        <w:rPr>
          <w:kern w:val="0"/>
        </w:rPr>
        <w:t xml:space="preserve"> of </w:t>
      </w:r>
      <w:r>
        <w:rPr>
          <w:kern w:val="0"/>
        </w:rPr>
        <w:t>subject categories</w:t>
      </w:r>
      <w:r w:rsidR="005853A9">
        <w:rPr>
          <w:kern w:val="0"/>
        </w:rPr>
        <w:t xml:space="preserve"> and </w:t>
      </w:r>
      <w:r>
        <w:rPr>
          <w:kern w:val="0"/>
        </w:rPr>
        <w:t>journals</w:t>
      </w:r>
      <w:r w:rsidR="00A37C1D">
        <w:rPr>
          <w:kern w:val="0"/>
        </w:rPr>
        <w:t>. The</w:t>
      </w:r>
      <w:r w:rsidR="003A1917">
        <w:rPr>
          <w:kern w:val="0"/>
        </w:rPr>
        <w:t xml:space="preserve"> </w:t>
      </w:r>
      <w:r>
        <w:rPr>
          <w:kern w:val="0"/>
        </w:rPr>
        <w:t>author</w:t>
      </w:r>
      <w:r w:rsidR="00700038">
        <w:rPr>
          <w:kern w:val="0"/>
        </w:rPr>
        <w:t>’</w:t>
      </w:r>
      <w:r w:rsidR="00C13DDC">
        <w:rPr>
          <w:kern w:val="0"/>
        </w:rPr>
        <w:t>s</w:t>
      </w:r>
      <w:r>
        <w:rPr>
          <w:kern w:val="0"/>
        </w:rPr>
        <w:t xml:space="preserve"> keywords were also analyzed to evaluate</w:t>
      </w:r>
      <w:r w:rsidR="003A1917">
        <w:rPr>
          <w:kern w:val="0"/>
        </w:rPr>
        <w:t xml:space="preserve"> the </w:t>
      </w:r>
      <w:r>
        <w:rPr>
          <w:kern w:val="0"/>
        </w:rPr>
        <w:t>research hotspots</w:t>
      </w:r>
      <w:r w:rsidR="00A37C1D">
        <w:rPr>
          <w:kern w:val="0"/>
        </w:rPr>
        <w:t>. The</w:t>
      </w:r>
      <w:r w:rsidR="003A1917">
        <w:rPr>
          <w:kern w:val="0"/>
        </w:rPr>
        <w:t xml:space="preserve"> </w:t>
      </w:r>
      <w:r>
        <w:rPr>
          <w:kern w:val="0"/>
        </w:rPr>
        <w:t>results from this analysis indicate that, yearly, production</w:t>
      </w:r>
      <w:r w:rsidR="00427468">
        <w:rPr>
          <w:kern w:val="0"/>
        </w:rPr>
        <w:t xml:space="preserve"> of </w:t>
      </w:r>
      <w:r w:rsidR="003A1917">
        <w:rPr>
          <w:kern w:val="0"/>
        </w:rPr>
        <w:t xml:space="preserve">the </w:t>
      </w:r>
      <w:r>
        <w:rPr>
          <w:kern w:val="0"/>
        </w:rPr>
        <w:t>related scientific articles increased steadily over</w:t>
      </w:r>
      <w:r w:rsidR="003A1917">
        <w:rPr>
          <w:kern w:val="0"/>
        </w:rPr>
        <w:t xml:space="preserve"> the </w:t>
      </w:r>
      <w:r>
        <w:rPr>
          <w:kern w:val="0"/>
        </w:rPr>
        <w:t>investigation period</w:t>
      </w:r>
      <w:r w:rsidR="005853A9">
        <w:rPr>
          <w:kern w:val="0"/>
        </w:rPr>
        <w:t xml:space="preserve"> and </w:t>
      </w:r>
      <w:r>
        <w:rPr>
          <w:kern w:val="0"/>
        </w:rPr>
        <w:t>that in</w:t>
      </w:r>
      <w:r w:rsidR="003A1917">
        <w:rPr>
          <w:kern w:val="0"/>
        </w:rPr>
        <w:t xml:space="preserve"> the </w:t>
      </w:r>
      <w:r>
        <w:rPr>
          <w:kern w:val="0"/>
        </w:rPr>
        <w:t xml:space="preserve">year 2008, there was a peak. </w:t>
      </w:r>
      <w:r w:rsidR="00B5188C">
        <w:rPr>
          <w:kern w:val="0"/>
        </w:rPr>
        <w:t>“</w:t>
      </w:r>
      <w:r>
        <w:rPr>
          <w:kern w:val="0"/>
        </w:rPr>
        <w:t>Ownership structure</w:t>
      </w:r>
      <w:r w:rsidR="00B5188C">
        <w:rPr>
          <w:kern w:val="0"/>
        </w:rPr>
        <w:t>”</w:t>
      </w:r>
      <w:r>
        <w:rPr>
          <w:kern w:val="0"/>
        </w:rPr>
        <w:t xml:space="preserve">, </w:t>
      </w:r>
      <w:r w:rsidR="00B5188C">
        <w:rPr>
          <w:kern w:val="0"/>
        </w:rPr>
        <w:t>“</w:t>
      </w:r>
      <w:r>
        <w:rPr>
          <w:kern w:val="0"/>
        </w:rPr>
        <w:t>board</w:t>
      </w:r>
      <w:r w:rsidR="00427468">
        <w:rPr>
          <w:kern w:val="0"/>
        </w:rPr>
        <w:t xml:space="preserve"> of </w:t>
      </w:r>
      <w:r>
        <w:rPr>
          <w:kern w:val="0"/>
        </w:rPr>
        <w:t>directors</w:t>
      </w:r>
      <w:r w:rsidR="00B5188C">
        <w:rPr>
          <w:kern w:val="0"/>
        </w:rPr>
        <w:t>”</w:t>
      </w:r>
      <w:r w:rsidR="005853A9">
        <w:rPr>
          <w:kern w:val="0"/>
        </w:rPr>
        <w:t xml:space="preserve"> and </w:t>
      </w:r>
      <w:r w:rsidR="00B5188C">
        <w:rPr>
          <w:kern w:val="0"/>
        </w:rPr>
        <w:t>“</w:t>
      </w:r>
      <w:r>
        <w:rPr>
          <w:kern w:val="0"/>
        </w:rPr>
        <w:t>executive compensation</w:t>
      </w:r>
      <w:r w:rsidR="00B5188C">
        <w:rPr>
          <w:kern w:val="0"/>
        </w:rPr>
        <w:t>”</w:t>
      </w:r>
      <w:r>
        <w:rPr>
          <w:kern w:val="0"/>
        </w:rPr>
        <w:t xml:space="preserve"> were</w:t>
      </w:r>
      <w:r w:rsidR="003A1917">
        <w:rPr>
          <w:kern w:val="0"/>
        </w:rPr>
        <w:t xml:space="preserve"> the </w:t>
      </w:r>
      <w:r>
        <w:rPr>
          <w:kern w:val="0"/>
        </w:rPr>
        <w:t>three most used author</w:t>
      </w:r>
      <w:r w:rsidR="00700038">
        <w:rPr>
          <w:kern w:val="0"/>
        </w:rPr>
        <w:t>’</w:t>
      </w:r>
      <w:r w:rsidR="00C13DDC">
        <w:rPr>
          <w:kern w:val="0"/>
        </w:rPr>
        <w:t>s</w:t>
      </w:r>
      <w:r>
        <w:rPr>
          <w:kern w:val="0"/>
        </w:rPr>
        <w:t xml:space="preserve"> keywords. In addition,</w:t>
      </w:r>
      <w:r w:rsidR="003A1917">
        <w:rPr>
          <w:kern w:val="0"/>
        </w:rPr>
        <w:t xml:space="preserve"> the </w:t>
      </w:r>
      <w:r>
        <w:rPr>
          <w:kern w:val="0"/>
        </w:rPr>
        <w:t>agency theory in historical corporate governance research was also discussed.</w:t>
      </w:r>
    </w:p>
    <w:p w:rsidR="00202BDD" w:rsidRDefault="00202BDD" w:rsidP="00202BDD">
      <w:pPr>
        <w:pStyle w:val="a3"/>
        <w:rPr>
          <w:kern w:val="0"/>
        </w:rPr>
      </w:pPr>
      <w:r>
        <w:rPr>
          <w:kern w:val="0"/>
        </w:rPr>
        <w:t>Keywords: Agency Theory, Asian Financial Crisis, Bibliometric, Bibliometric Analysis, Board</w:t>
      </w:r>
      <w:r w:rsidR="00434900">
        <w:rPr>
          <w:kern w:val="0"/>
        </w:rPr>
        <w:t>-of-</w:t>
      </w:r>
      <w:r>
        <w:rPr>
          <w:kern w:val="0"/>
        </w:rPr>
        <w:t>Directors, Citation, Corporate Governance, Databases, Economics, Finance Business, Firm, Impact, Information, Journals, Literature, Market, Ownership, Publication, Research, Research Hotspots, Rules, Sarbanes-Oxley Act, Science Citation Index, Scientometrics, Trend</w:t>
      </w:r>
    </w:p>
    <w:p w:rsidR="00202BDD" w:rsidRPr="00F219CA" w:rsidRDefault="00202BDD" w:rsidP="00202BDD">
      <w:pPr>
        <w:pStyle w:val="a3"/>
      </w:pPr>
      <w:r w:rsidRPr="00F219CA">
        <w:rPr>
          <w:szCs w:val="24"/>
        </w:rPr>
        <w:t xml:space="preserve">? </w:t>
      </w:r>
      <w:r w:rsidRPr="00DE5750">
        <w:rPr>
          <w:kern w:val="0"/>
          <w:szCs w:val="24"/>
        </w:rPr>
        <w:t>Kraus</w:t>
      </w:r>
      <w:r>
        <w:rPr>
          <w:rFonts w:hint="eastAsia"/>
          <w:kern w:val="0"/>
          <w:szCs w:val="24"/>
        </w:rPr>
        <w:t>,</w:t>
      </w:r>
      <w:r w:rsidRPr="00DE5750">
        <w:rPr>
          <w:kern w:val="0"/>
          <w:szCs w:val="24"/>
        </w:rPr>
        <w:t xml:space="preserve"> S</w:t>
      </w:r>
      <w:r>
        <w:rPr>
          <w:rFonts w:hint="eastAsia"/>
          <w:kern w:val="0"/>
          <w:szCs w:val="24"/>
        </w:rPr>
        <w:t>.</w:t>
      </w:r>
      <w:r w:rsidRPr="0025572F">
        <w:t xml:space="preserve"> (20</w:t>
      </w:r>
      <w:r>
        <w:rPr>
          <w:rFonts w:hint="eastAsia"/>
        </w:rPr>
        <w:t>11</w:t>
      </w:r>
      <w:r w:rsidRPr="0025572F">
        <w:t xml:space="preserve">), </w:t>
      </w:r>
      <w:r w:rsidRPr="00DE5750">
        <w:rPr>
          <w:kern w:val="0"/>
          <w:szCs w:val="24"/>
        </w:rPr>
        <w:t>State</w:t>
      </w:r>
      <w:r w:rsidR="00434900">
        <w:rPr>
          <w:kern w:val="0"/>
          <w:szCs w:val="24"/>
        </w:rPr>
        <w:t>-of-</w:t>
      </w:r>
      <w:r w:rsidRPr="00DE5750">
        <w:rPr>
          <w:kern w:val="0"/>
          <w:szCs w:val="24"/>
        </w:rPr>
        <w:t>the-art current research in international entrepreneurship: A citation analysis</w:t>
      </w:r>
      <w:r w:rsidRPr="00F219CA">
        <w:rPr>
          <w:szCs w:val="24"/>
        </w:rPr>
        <w:t xml:space="preserve">. </w:t>
      </w:r>
      <w:r w:rsidRPr="002C0E4C">
        <w:rPr>
          <w:i/>
          <w:iCs/>
        </w:rPr>
        <w:t>African Journal</w:t>
      </w:r>
      <w:r w:rsidR="00427468">
        <w:rPr>
          <w:i/>
          <w:iCs/>
        </w:rPr>
        <w:t xml:space="preserve"> of </w:t>
      </w:r>
      <w:r w:rsidRPr="002C0E4C">
        <w:rPr>
          <w:i/>
          <w:iCs/>
        </w:rPr>
        <w:t>Business Management</w:t>
      </w:r>
      <w:r w:rsidRPr="00F219CA">
        <w:t xml:space="preserve">, </w:t>
      </w:r>
      <w:r>
        <w:rPr>
          <w:rFonts w:hint="eastAsia"/>
          <w:b/>
        </w:rPr>
        <w:t>5</w:t>
      </w:r>
      <w:r>
        <w:rPr>
          <w:rFonts w:hint="eastAsia"/>
        </w:rPr>
        <w:t xml:space="preserve"> (3), </w:t>
      </w:r>
      <w:r w:rsidRPr="00DE5750">
        <w:rPr>
          <w:kern w:val="0"/>
          <w:szCs w:val="24"/>
        </w:rPr>
        <w:t>1020-1038</w:t>
      </w:r>
      <w:r w:rsidRPr="00F219CA">
        <w:t>.</w:t>
      </w:r>
    </w:p>
    <w:p w:rsidR="00202BDD" w:rsidRDefault="00202BDD" w:rsidP="00202BDD">
      <w:pPr>
        <w:pStyle w:val="a3"/>
        <w:rPr>
          <w:kern w:val="0"/>
          <w:szCs w:val="24"/>
        </w:rPr>
      </w:pPr>
      <w:r>
        <w:rPr>
          <w:rFonts w:hint="eastAsia"/>
          <w:kern w:val="0"/>
          <w:szCs w:val="24"/>
        </w:rPr>
        <w:t xml:space="preserve">Full Text: </w:t>
      </w:r>
      <w:hyperlink r:id="rId296" w:history="1">
        <w:r w:rsidRPr="00DE5750">
          <w:rPr>
            <w:rStyle w:val="a5"/>
            <w:kern w:val="0"/>
            <w:szCs w:val="24"/>
          </w:rPr>
          <w:t>2011\Afr J Bus Man5, 1020.pdf</w:t>
        </w:r>
      </w:hyperlink>
    </w:p>
    <w:p w:rsidR="00202BDD" w:rsidRPr="00DE5750" w:rsidRDefault="00202BDD" w:rsidP="00202BDD">
      <w:pPr>
        <w:pStyle w:val="a3"/>
        <w:rPr>
          <w:kern w:val="0"/>
          <w:szCs w:val="24"/>
        </w:rPr>
      </w:pPr>
      <w:r w:rsidRPr="00DE5750">
        <w:rPr>
          <w:kern w:val="0"/>
          <w:szCs w:val="24"/>
        </w:rPr>
        <w:t>Abstract: This article applies a literature-based analysis in its discussion</w:t>
      </w:r>
      <w:r w:rsidR="00427468">
        <w:rPr>
          <w:kern w:val="0"/>
          <w:szCs w:val="24"/>
        </w:rPr>
        <w:t xml:space="preserve"> of </w:t>
      </w:r>
      <w:r w:rsidR="003A1917">
        <w:rPr>
          <w:kern w:val="0"/>
          <w:szCs w:val="24"/>
        </w:rPr>
        <w:t xml:space="preserve">the </w:t>
      </w:r>
      <w:r w:rsidRPr="00DE5750">
        <w:rPr>
          <w:kern w:val="0"/>
          <w:szCs w:val="24"/>
        </w:rPr>
        <w:t xml:space="preserve">research </w:t>
      </w:r>
      <w:r w:rsidRPr="00DE5750">
        <w:rPr>
          <w:kern w:val="0"/>
          <w:szCs w:val="24"/>
        </w:rPr>
        <w:lastRenderedPageBreak/>
        <w:t>field</w:t>
      </w:r>
      <w:r w:rsidR="00427468">
        <w:rPr>
          <w:kern w:val="0"/>
          <w:szCs w:val="24"/>
        </w:rPr>
        <w:t xml:space="preserve"> of </w:t>
      </w:r>
      <w:r w:rsidRPr="00DE5750">
        <w:rPr>
          <w:kern w:val="0"/>
          <w:szCs w:val="24"/>
        </w:rPr>
        <w:t>international entrepreneurship. It uses bibliometric citation analysis as its primary investigative method</w:t>
      </w:r>
      <w:r w:rsidR="00A37C1D">
        <w:rPr>
          <w:kern w:val="0"/>
          <w:szCs w:val="24"/>
        </w:rPr>
        <w:t>. The</w:t>
      </w:r>
      <w:r w:rsidR="003A1917">
        <w:rPr>
          <w:kern w:val="0"/>
          <w:szCs w:val="24"/>
        </w:rPr>
        <w:t xml:space="preserve"> </w:t>
      </w:r>
      <w:r w:rsidRPr="00DE5750">
        <w:rPr>
          <w:kern w:val="0"/>
          <w:szCs w:val="24"/>
        </w:rPr>
        <w:t>basis</w:t>
      </w:r>
      <w:r w:rsidR="00427468">
        <w:rPr>
          <w:kern w:val="0"/>
          <w:szCs w:val="24"/>
        </w:rPr>
        <w:t xml:space="preserve"> of </w:t>
      </w:r>
      <w:r w:rsidR="003A1917">
        <w:rPr>
          <w:kern w:val="0"/>
          <w:szCs w:val="24"/>
        </w:rPr>
        <w:t xml:space="preserve">the </w:t>
      </w:r>
      <w:r w:rsidRPr="00DE5750">
        <w:rPr>
          <w:kern w:val="0"/>
          <w:szCs w:val="24"/>
        </w:rPr>
        <w:t>citation analysis was formed by articles coming from a number</w:t>
      </w:r>
      <w:r w:rsidR="00427468">
        <w:rPr>
          <w:kern w:val="0"/>
          <w:szCs w:val="24"/>
        </w:rPr>
        <w:t xml:space="preserve"> of </w:t>
      </w:r>
      <w:r w:rsidRPr="00DE5750">
        <w:rPr>
          <w:kern w:val="0"/>
          <w:szCs w:val="24"/>
        </w:rPr>
        <w:t>electronic publication databases that contained</w:t>
      </w:r>
      <w:r w:rsidR="003A1917">
        <w:rPr>
          <w:kern w:val="0"/>
          <w:szCs w:val="24"/>
        </w:rPr>
        <w:t xml:space="preserve"> the </w:t>
      </w:r>
      <w:r w:rsidRPr="00DE5750">
        <w:rPr>
          <w:kern w:val="0"/>
          <w:szCs w:val="24"/>
        </w:rPr>
        <w:t xml:space="preserve">term </w:t>
      </w:r>
      <w:r w:rsidR="00B5188C">
        <w:rPr>
          <w:kern w:val="0"/>
          <w:szCs w:val="24"/>
        </w:rPr>
        <w:t>“</w:t>
      </w:r>
      <w:r w:rsidRPr="00DE5750">
        <w:rPr>
          <w:kern w:val="0"/>
          <w:szCs w:val="24"/>
        </w:rPr>
        <w:t>international entrepreneurship</w:t>
      </w:r>
      <w:r w:rsidR="00B5188C">
        <w:rPr>
          <w:kern w:val="0"/>
          <w:szCs w:val="24"/>
        </w:rPr>
        <w:t>”</w:t>
      </w:r>
      <w:r w:rsidRPr="00DE5750">
        <w:rPr>
          <w:kern w:val="0"/>
          <w:szCs w:val="24"/>
        </w:rPr>
        <w:t xml:space="preserve"> in their titles,</w:t>
      </w:r>
      <w:r w:rsidR="005853A9">
        <w:rPr>
          <w:kern w:val="0"/>
          <w:szCs w:val="24"/>
        </w:rPr>
        <w:t xml:space="preserve"> and </w:t>
      </w:r>
      <w:r w:rsidRPr="00DE5750">
        <w:rPr>
          <w:kern w:val="0"/>
          <w:szCs w:val="24"/>
        </w:rPr>
        <w:t>which could thus be clearly categorized into this research field</w:t>
      </w:r>
      <w:r w:rsidR="00A37C1D">
        <w:rPr>
          <w:kern w:val="0"/>
          <w:szCs w:val="24"/>
        </w:rPr>
        <w:t>. The</w:t>
      </w:r>
      <w:r w:rsidR="003A1917">
        <w:rPr>
          <w:kern w:val="0"/>
          <w:szCs w:val="24"/>
        </w:rPr>
        <w:t xml:space="preserve"> </w:t>
      </w:r>
      <w:r w:rsidRPr="00DE5750">
        <w:rPr>
          <w:kern w:val="0"/>
          <w:szCs w:val="24"/>
        </w:rPr>
        <w:t>40 publications identified in this manner resulted in a database</w:t>
      </w:r>
      <w:r w:rsidR="00427468">
        <w:rPr>
          <w:kern w:val="0"/>
          <w:szCs w:val="24"/>
        </w:rPr>
        <w:t xml:space="preserve"> of </w:t>
      </w:r>
      <w:r w:rsidRPr="00DE5750">
        <w:rPr>
          <w:kern w:val="0"/>
          <w:szCs w:val="24"/>
        </w:rPr>
        <w:t>2,659 citations. Upon observing</w:t>
      </w:r>
      <w:r w:rsidR="003A1917">
        <w:rPr>
          <w:kern w:val="0"/>
          <w:szCs w:val="24"/>
        </w:rPr>
        <w:t xml:space="preserve"> the </w:t>
      </w:r>
      <w:r w:rsidRPr="00DE5750">
        <w:rPr>
          <w:kern w:val="0"/>
          <w:szCs w:val="24"/>
        </w:rPr>
        <w:t>citation analysis</w:t>
      </w:r>
      <w:r w:rsidR="005853A9">
        <w:rPr>
          <w:kern w:val="0"/>
          <w:szCs w:val="24"/>
        </w:rPr>
        <w:t xml:space="preserve"> and </w:t>
      </w:r>
      <w:r w:rsidR="003A1917">
        <w:rPr>
          <w:kern w:val="0"/>
          <w:szCs w:val="24"/>
        </w:rPr>
        <w:t xml:space="preserve">the </w:t>
      </w:r>
      <w:r w:rsidRPr="00DE5750">
        <w:rPr>
          <w:kern w:val="0"/>
          <w:szCs w:val="24"/>
        </w:rPr>
        <w:t>clusters</w:t>
      </w:r>
      <w:r w:rsidR="00427468">
        <w:rPr>
          <w:kern w:val="0"/>
          <w:szCs w:val="24"/>
        </w:rPr>
        <w:t xml:space="preserve"> of </w:t>
      </w:r>
      <w:r w:rsidRPr="00DE5750">
        <w:rPr>
          <w:kern w:val="0"/>
          <w:szCs w:val="24"/>
        </w:rPr>
        <w:t>topics that result, it becomes clear that</w:t>
      </w:r>
      <w:r w:rsidR="003A1917">
        <w:rPr>
          <w:kern w:val="0"/>
          <w:szCs w:val="24"/>
        </w:rPr>
        <w:t xml:space="preserve"> the </w:t>
      </w:r>
      <w:r w:rsidRPr="00DE5750">
        <w:rPr>
          <w:kern w:val="0"/>
          <w:szCs w:val="24"/>
        </w:rPr>
        <w:t>research on international entrepreneurship is influenced by</w:t>
      </w:r>
      <w:r w:rsidR="003A1917">
        <w:rPr>
          <w:kern w:val="0"/>
          <w:szCs w:val="24"/>
        </w:rPr>
        <w:t xml:space="preserve"> the </w:t>
      </w:r>
      <w:r w:rsidRPr="00DE5750">
        <w:rPr>
          <w:kern w:val="0"/>
          <w:szCs w:val="24"/>
        </w:rPr>
        <w:t>scientific fields</w:t>
      </w:r>
      <w:r w:rsidR="00427468">
        <w:rPr>
          <w:kern w:val="0"/>
          <w:szCs w:val="24"/>
        </w:rPr>
        <w:t xml:space="preserve"> of </w:t>
      </w:r>
      <w:r w:rsidRPr="00DE5750">
        <w:rPr>
          <w:kern w:val="0"/>
          <w:szCs w:val="24"/>
        </w:rPr>
        <w:t>international business, entrepreneurship theory, SME internationalization,</w:t>
      </w:r>
      <w:r w:rsidR="005853A9">
        <w:rPr>
          <w:kern w:val="0"/>
          <w:szCs w:val="24"/>
        </w:rPr>
        <w:t xml:space="preserve"> and </w:t>
      </w:r>
      <w:r w:rsidRPr="00DE5750">
        <w:rPr>
          <w:kern w:val="0"/>
          <w:szCs w:val="24"/>
        </w:rPr>
        <w:t>born global/internat</w:t>
      </w:r>
      <w:r>
        <w:rPr>
          <w:kern w:val="0"/>
          <w:szCs w:val="24"/>
        </w:rPr>
        <w:t>ional new venture theory.</w:t>
      </w:r>
    </w:p>
    <w:p w:rsidR="00202BDD" w:rsidRDefault="00202BDD" w:rsidP="00202BDD">
      <w:pPr>
        <w:pStyle w:val="a3"/>
        <w:rPr>
          <w:kern w:val="0"/>
          <w:szCs w:val="24"/>
        </w:rPr>
      </w:pPr>
      <w:r w:rsidRPr="00DE5750">
        <w:rPr>
          <w:kern w:val="0"/>
          <w:szCs w:val="24"/>
        </w:rPr>
        <w:t>Keywords: International Entrepreneurship</w:t>
      </w:r>
      <w:r>
        <w:rPr>
          <w:kern w:val="0"/>
          <w:szCs w:val="24"/>
        </w:rPr>
        <w:t>,</w:t>
      </w:r>
      <w:r w:rsidRPr="00DE5750">
        <w:rPr>
          <w:kern w:val="0"/>
          <w:szCs w:val="24"/>
        </w:rPr>
        <w:t xml:space="preserve"> State</w:t>
      </w:r>
      <w:r w:rsidR="00427468">
        <w:rPr>
          <w:kern w:val="0"/>
          <w:szCs w:val="24"/>
        </w:rPr>
        <w:t xml:space="preserve"> of </w:t>
      </w:r>
      <w:r w:rsidR="003A1917">
        <w:rPr>
          <w:kern w:val="0"/>
          <w:szCs w:val="24"/>
        </w:rPr>
        <w:t xml:space="preserve">the </w:t>
      </w:r>
      <w:r w:rsidRPr="00DE5750">
        <w:rPr>
          <w:kern w:val="0"/>
          <w:szCs w:val="24"/>
        </w:rPr>
        <w:t>Art</w:t>
      </w:r>
      <w:r>
        <w:rPr>
          <w:kern w:val="0"/>
          <w:szCs w:val="24"/>
        </w:rPr>
        <w:t>,</w:t>
      </w:r>
      <w:r w:rsidRPr="00DE5750">
        <w:rPr>
          <w:kern w:val="0"/>
          <w:szCs w:val="24"/>
        </w:rPr>
        <w:t xml:space="preserve"> Bibliometrics</w:t>
      </w:r>
      <w:r>
        <w:rPr>
          <w:kern w:val="0"/>
          <w:szCs w:val="24"/>
        </w:rPr>
        <w:t>,</w:t>
      </w:r>
      <w:r w:rsidRPr="00DE5750">
        <w:rPr>
          <w:kern w:val="0"/>
          <w:szCs w:val="24"/>
        </w:rPr>
        <w:t xml:space="preserve"> Citation Analysis</w:t>
      </w:r>
      <w:r>
        <w:rPr>
          <w:kern w:val="0"/>
          <w:szCs w:val="24"/>
        </w:rPr>
        <w:t>,</w:t>
      </w:r>
      <w:r w:rsidRPr="00DE5750">
        <w:rPr>
          <w:kern w:val="0"/>
          <w:szCs w:val="24"/>
        </w:rPr>
        <w:t xml:space="preserve"> Venture Internationalization</w:t>
      </w:r>
      <w:r>
        <w:rPr>
          <w:kern w:val="0"/>
          <w:szCs w:val="24"/>
        </w:rPr>
        <w:t>,</w:t>
      </w:r>
      <w:r w:rsidRPr="00DE5750">
        <w:rPr>
          <w:kern w:val="0"/>
          <w:szCs w:val="24"/>
        </w:rPr>
        <w:t xml:space="preserve"> Future-Directions</w:t>
      </w:r>
      <w:r>
        <w:rPr>
          <w:kern w:val="0"/>
          <w:szCs w:val="24"/>
        </w:rPr>
        <w:t>,</w:t>
      </w:r>
      <w:r w:rsidRPr="00DE5750">
        <w:rPr>
          <w:kern w:val="0"/>
          <w:szCs w:val="24"/>
        </w:rPr>
        <w:t xml:space="preserve"> Business Research</w:t>
      </w:r>
      <w:r>
        <w:rPr>
          <w:kern w:val="0"/>
          <w:szCs w:val="24"/>
        </w:rPr>
        <w:t>,</w:t>
      </w:r>
      <w:r w:rsidRPr="00DE5750">
        <w:rPr>
          <w:kern w:val="0"/>
          <w:szCs w:val="24"/>
        </w:rPr>
        <w:t xml:space="preserve"> Market Entry</w:t>
      </w:r>
      <w:r>
        <w:rPr>
          <w:kern w:val="0"/>
          <w:szCs w:val="24"/>
        </w:rPr>
        <w:t>,</w:t>
      </w:r>
      <w:r w:rsidRPr="00DE5750">
        <w:rPr>
          <w:kern w:val="0"/>
          <w:szCs w:val="24"/>
        </w:rPr>
        <w:t xml:space="preserve"> Firms</w:t>
      </w:r>
      <w:r>
        <w:rPr>
          <w:kern w:val="0"/>
          <w:szCs w:val="24"/>
        </w:rPr>
        <w:t>,</w:t>
      </w:r>
      <w:r w:rsidRPr="00DE5750">
        <w:rPr>
          <w:kern w:val="0"/>
          <w:szCs w:val="24"/>
        </w:rPr>
        <w:t xml:space="preserve"> Performance</w:t>
      </w:r>
      <w:r>
        <w:rPr>
          <w:kern w:val="0"/>
          <w:szCs w:val="24"/>
        </w:rPr>
        <w:t>,</w:t>
      </w:r>
      <w:r w:rsidRPr="00DE5750">
        <w:rPr>
          <w:kern w:val="0"/>
          <w:szCs w:val="24"/>
        </w:rPr>
        <w:t xml:space="preserve"> Behavior</w:t>
      </w:r>
      <w:r>
        <w:rPr>
          <w:kern w:val="0"/>
          <w:szCs w:val="24"/>
        </w:rPr>
        <w:t>,</w:t>
      </w:r>
      <w:r w:rsidRPr="00DE5750">
        <w:rPr>
          <w:kern w:val="0"/>
          <w:szCs w:val="24"/>
        </w:rPr>
        <w:t xml:space="preserve"> Bibliometrics</w:t>
      </w:r>
      <w:r>
        <w:rPr>
          <w:kern w:val="0"/>
          <w:szCs w:val="24"/>
        </w:rPr>
        <w:t>,</w:t>
      </w:r>
      <w:r w:rsidRPr="00DE5750">
        <w:rPr>
          <w:kern w:val="0"/>
          <w:szCs w:val="24"/>
        </w:rPr>
        <w:t xml:space="preserve"> Dynamics</w:t>
      </w:r>
      <w:r>
        <w:rPr>
          <w:kern w:val="0"/>
          <w:szCs w:val="24"/>
        </w:rPr>
        <w:t>,</w:t>
      </w:r>
      <w:r w:rsidRPr="00DE5750">
        <w:rPr>
          <w:kern w:val="0"/>
          <w:szCs w:val="24"/>
        </w:rPr>
        <w:t xml:space="preserve"> Trends</w:t>
      </w:r>
    </w:p>
    <w:p w:rsidR="00202BDD" w:rsidRPr="00F219CA" w:rsidRDefault="00202BDD" w:rsidP="00202BDD">
      <w:pPr>
        <w:pStyle w:val="a3"/>
      </w:pPr>
      <w:r w:rsidRPr="00F219CA">
        <w:rPr>
          <w:szCs w:val="24"/>
        </w:rPr>
        <w:t xml:space="preserve">? </w:t>
      </w:r>
      <w:r w:rsidRPr="00DE5750">
        <w:rPr>
          <w:kern w:val="0"/>
          <w:szCs w:val="24"/>
        </w:rPr>
        <w:t>Kraus</w:t>
      </w:r>
      <w:r>
        <w:rPr>
          <w:rFonts w:hint="eastAsia"/>
          <w:kern w:val="0"/>
          <w:szCs w:val="24"/>
        </w:rPr>
        <w:t>,</w:t>
      </w:r>
      <w:r w:rsidRPr="00DE5750">
        <w:rPr>
          <w:kern w:val="0"/>
          <w:szCs w:val="24"/>
        </w:rPr>
        <w:t xml:space="preserve"> S</w:t>
      </w:r>
      <w:r>
        <w:rPr>
          <w:rFonts w:hint="eastAsia"/>
          <w:kern w:val="0"/>
          <w:szCs w:val="24"/>
        </w:rPr>
        <w:t>.</w:t>
      </w:r>
      <w:r w:rsidRPr="0025572F">
        <w:t xml:space="preserve"> (20</w:t>
      </w:r>
      <w:r>
        <w:rPr>
          <w:rFonts w:hint="eastAsia"/>
        </w:rPr>
        <w:t>11</w:t>
      </w:r>
      <w:r w:rsidRPr="0025572F">
        <w:t xml:space="preserve">), </w:t>
      </w:r>
      <w:r w:rsidRPr="00DE5750">
        <w:rPr>
          <w:kern w:val="0"/>
          <w:szCs w:val="24"/>
        </w:rPr>
        <w:t>State</w:t>
      </w:r>
      <w:r w:rsidR="00434900">
        <w:rPr>
          <w:kern w:val="0"/>
          <w:szCs w:val="24"/>
        </w:rPr>
        <w:t>-of-</w:t>
      </w:r>
      <w:r w:rsidRPr="00DE5750">
        <w:rPr>
          <w:kern w:val="0"/>
          <w:szCs w:val="24"/>
        </w:rPr>
        <w:t>the-art current research in international entrepreneurship: A citation analysis</w:t>
      </w:r>
      <w:r w:rsidRPr="00F219CA">
        <w:rPr>
          <w:szCs w:val="24"/>
        </w:rPr>
        <w:t xml:space="preserve">. </w:t>
      </w:r>
      <w:r w:rsidRPr="002C0E4C">
        <w:rPr>
          <w:i/>
          <w:iCs/>
        </w:rPr>
        <w:t>African Journal</w:t>
      </w:r>
      <w:r w:rsidR="00427468">
        <w:rPr>
          <w:i/>
          <w:iCs/>
        </w:rPr>
        <w:t xml:space="preserve"> of </w:t>
      </w:r>
      <w:r w:rsidRPr="002C0E4C">
        <w:rPr>
          <w:i/>
          <w:iCs/>
        </w:rPr>
        <w:t>Business Management</w:t>
      </w:r>
      <w:r w:rsidRPr="00F219CA">
        <w:t xml:space="preserve">, </w:t>
      </w:r>
      <w:r>
        <w:rPr>
          <w:rFonts w:hint="eastAsia"/>
          <w:b/>
        </w:rPr>
        <w:t>5</w:t>
      </w:r>
      <w:r>
        <w:rPr>
          <w:rFonts w:hint="eastAsia"/>
        </w:rPr>
        <w:t xml:space="preserve"> (3), </w:t>
      </w:r>
      <w:r w:rsidRPr="00DE5750">
        <w:rPr>
          <w:kern w:val="0"/>
          <w:szCs w:val="24"/>
        </w:rPr>
        <w:t>1020-1038</w:t>
      </w:r>
      <w:r w:rsidRPr="00F219CA">
        <w:t>.</w:t>
      </w:r>
    </w:p>
    <w:p w:rsidR="00202BDD" w:rsidRDefault="00202BDD" w:rsidP="00202BDD">
      <w:pPr>
        <w:pStyle w:val="a3"/>
        <w:rPr>
          <w:kern w:val="0"/>
          <w:szCs w:val="24"/>
        </w:rPr>
      </w:pPr>
      <w:r>
        <w:rPr>
          <w:rFonts w:hint="eastAsia"/>
          <w:kern w:val="0"/>
          <w:szCs w:val="24"/>
        </w:rPr>
        <w:t xml:space="preserve">Full Text: </w:t>
      </w:r>
      <w:hyperlink r:id="rId297" w:history="1">
        <w:r w:rsidRPr="00DE5750">
          <w:rPr>
            <w:rStyle w:val="a5"/>
            <w:kern w:val="0"/>
            <w:szCs w:val="24"/>
          </w:rPr>
          <w:t>2011\Afr J Bus Man5, 1020.pdf</w:t>
        </w:r>
      </w:hyperlink>
    </w:p>
    <w:p w:rsidR="00202BDD" w:rsidRPr="00DE5750" w:rsidRDefault="00202BDD" w:rsidP="00202BDD">
      <w:pPr>
        <w:pStyle w:val="a3"/>
        <w:rPr>
          <w:kern w:val="0"/>
          <w:szCs w:val="24"/>
        </w:rPr>
      </w:pPr>
      <w:r w:rsidRPr="00DE5750">
        <w:rPr>
          <w:kern w:val="0"/>
          <w:szCs w:val="24"/>
        </w:rPr>
        <w:t>Abstract: This article applies a literature-based analysis in its discussion</w:t>
      </w:r>
      <w:r w:rsidR="00427468">
        <w:rPr>
          <w:kern w:val="0"/>
          <w:szCs w:val="24"/>
        </w:rPr>
        <w:t xml:space="preserve"> of </w:t>
      </w:r>
      <w:r w:rsidR="003A1917">
        <w:rPr>
          <w:kern w:val="0"/>
          <w:szCs w:val="24"/>
        </w:rPr>
        <w:t xml:space="preserve">the </w:t>
      </w:r>
      <w:r w:rsidRPr="00DE5750">
        <w:rPr>
          <w:kern w:val="0"/>
          <w:szCs w:val="24"/>
        </w:rPr>
        <w:t>research field</w:t>
      </w:r>
      <w:r w:rsidR="00427468">
        <w:rPr>
          <w:kern w:val="0"/>
          <w:szCs w:val="24"/>
        </w:rPr>
        <w:t xml:space="preserve"> of </w:t>
      </w:r>
      <w:r w:rsidRPr="00DE5750">
        <w:rPr>
          <w:kern w:val="0"/>
          <w:szCs w:val="24"/>
        </w:rPr>
        <w:t>international entrepreneurship. It uses bibliometric citation analysis as its primary investigative method</w:t>
      </w:r>
      <w:r w:rsidR="00A37C1D">
        <w:rPr>
          <w:kern w:val="0"/>
          <w:szCs w:val="24"/>
        </w:rPr>
        <w:t>. The</w:t>
      </w:r>
      <w:r w:rsidR="003A1917">
        <w:rPr>
          <w:kern w:val="0"/>
          <w:szCs w:val="24"/>
        </w:rPr>
        <w:t xml:space="preserve"> </w:t>
      </w:r>
      <w:r w:rsidRPr="00DE5750">
        <w:rPr>
          <w:kern w:val="0"/>
          <w:szCs w:val="24"/>
        </w:rPr>
        <w:t>basis</w:t>
      </w:r>
      <w:r w:rsidR="00427468">
        <w:rPr>
          <w:kern w:val="0"/>
          <w:szCs w:val="24"/>
        </w:rPr>
        <w:t xml:space="preserve"> of </w:t>
      </w:r>
      <w:r w:rsidR="003A1917">
        <w:rPr>
          <w:kern w:val="0"/>
          <w:szCs w:val="24"/>
        </w:rPr>
        <w:t xml:space="preserve">the </w:t>
      </w:r>
      <w:r w:rsidRPr="00DE5750">
        <w:rPr>
          <w:kern w:val="0"/>
          <w:szCs w:val="24"/>
        </w:rPr>
        <w:t>citation analysis was formed by articles coming from a number</w:t>
      </w:r>
      <w:r w:rsidR="00427468">
        <w:rPr>
          <w:kern w:val="0"/>
          <w:szCs w:val="24"/>
        </w:rPr>
        <w:t xml:space="preserve"> of </w:t>
      </w:r>
      <w:r w:rsidRPr="00DE5750">
        <w:rPr>
          <w:kern w:val="0"/>
          <w:szCs w:val="24"/>
        </w:rPr>
        <w:t>electronic publication databases that contained</w:t>
      </w:r>
      <w:r w:rsidR="003A1917">
        <w:rPr>
          <w:kern w:val="0"/>
          <w:szCs w:val="24"/>
        </w:rPr>
        <w:t xml:space="preserve"> the </w:t>
      </w:r>
      <w:r w:rsidRPr="00DE5750">
        <w:rPr>
          <w:kern w:val="0"/>
          <w:szCs w:val="24"/>
        </w:rPr>
        <w:t xml:space="preserve">term </w:t>
      </w:r>
      <w:r w:rsidR="00B5188C">
        <w:rPr>
          <w:kern w:val="0"/>
          <w:szCs w:val="24"/>
        </w:rPr>
        <w:t>“</w:t>
      </w:r>
      <w:r w:rsidRPr="00DE5750">
        <w:rPr>
          <w:kern w:val="0"/>
          <w:szCs w:val="24"/>
        </w:rPr>
        <w:t>international entrepreneurship</w:t>
      </w:r>
      <w:r w:rsidR="00B5188C">
        <w:rPr>
          <w:kern w:val="0"/>
          <w:szCs w:val="24"/>
        </w:rPr>
        <w:t>”</w:t>
      </w:r>
      <w:r w:rsidRPr="00DE5750">
        <w:rPr>
          <w:kern w:val="0"/>
          <w:szCs w:val="24"/>
        </w:rPr>
        <w:t xml:space="preserve"> in their titles,</w:t>
      </w:r>
      <w:r w:rsidR="005853A9">
        <w:rPr>
          <w:kern w:val="0"/>
          <w:szCs w:val="24"/>
        </w:rPr>
        <w:t xml:space="preserve"> and </w:t>
      </w:r>
      <w:r w:rsidRPr="00DE5750">
        <w:rPr>
          <w:kern w:val="0"/>
          <w:szCs w:val="24"/>
        </w:rPr>
        <w:t>which could thus be clearly categorized into this research field</w:t>
      </w:r>
      <w:r w:rsidR="00A37C1D">
        <w:rPr>
          <w:kern w:val="0"/>
          <w:szCs w:val="24"/>
        </w:rPr>
        <w:t>. The</w:t>
      </w:r>
      <w:r w:rsidR="003A1917">
        <w:rPr>
          <w:kern w:val="0"/>
          <w:szCs w:val="24"/>
        </w:rPr>
        <w:t xml:space="preserve"> </w:t>
      </w:r>
      <w:r w:rsidRPr="00DE5750">
        <w:rPr>
          <w:kern w:val="0"/>
          <w:szCs w:val="24"/>
        </w:rPr>
        <w:t>40 publications identified in this manner resulted in a database</w:t>
      </w:r>
      <w:r w:rsidR="00427468">
        <w:rPr>
          <w:kern w:val="0"/>
          <w:szCs w:val="24"/>
        </w:rPr>
        <w:t xml:space="preserve"> of </w:t>
      </w:r>
      <w:r w:rsidRPr="00DE5750">
        <w:rPr>
          <w:kern w:val="0"/>
          <w:szCs w:val="24"/>
        </w:rPr>
        <w:t>2,659 citations. Upon observing</w:t>
      </w:r>
      <w:r w:rsidR="003A1917">
        <w:rPr>
          <w:kern w:val="0"/>
          <w:szCs w:val="24"/>
        </w:rPr>
        <w:t xml:space="preserve"> the </w:t>
      </w:r>
      <w:r w:rsidRPr="00DE5750">
        <w:rPr>
          <w:kern w:val="0"/>
          <w:szCs w:val="24"/>
        </w:rPr>
        <w:t>citation analysis</w:t>
      </w:r>
      <w:r w:rsidR="005853A9">
        <w:rPr>
          <w:kern w:val="0"/>
          <w:szCs w:val="24"/>
        </w:rPr>
        <w:t xml:space="preserve"> and </w:t>
      </w:r>
      <w:r w:rsidR="003A1917">
        <w:rPr>
          <w:kern w:val="0"/>
          <w:szCs w:val="24"/>
        </w:rPr>
        <w:t xml:space="preserve">the </w:t>
      </w:r>
      <w:r w:rsidRPr="00DE5750">
        <w:rPr>
          <w:kern w:val="0"/>
          <w:szCs w:val="24"/>
        </w:rPr>
        <w:t>clusters</w:t>
      </w:r>
      <w:r w:rsidR="00427468">
        <w:rPr>
          <w:kern w:val="0"/>
          <w:szCs w:val="24"/>
        </w:rPr>
        <w:t xml:space="preserve"> of </w:t>
      </w:r>
      <w:r w:rsidRPr="00DE5750">
        <w:rPr>
          <w:kern w:val="0"/>
          <w:szCs w:val="24"/>
        </w:rPr>
        <w:t>topics that result, it becomes clear that</w:t>
      </w:r>
      <w:r w:rsidR="003A1917">
        <w:rPr>
          <w:kern w:val="0"/>
          <w:szCs w:val="24"/>
        </w:rPr>
        <w:t xml:space="preserve"> the </w:t>
      </w:r>
      <w:r w:rsidRPr="00DE5750">
        <w:rPr>
          <w:kern w:val="0"/>
          <w:szCs w:val="24"/>
        </w:rPr>
        <w:t>research on international entrepreneurship is influenced by</w:t>
      </w:r>
      <w:r w:rsidR="003A1917">
        <w:rPr>
          <w:kern w:val="0"/>
          <w:szCs w:val="24"/>
        </w:rPr>
        <w:t xml:space="preserve"> the </w:t>
      </w:r>
      <w:r w:rsidRPr="00DE5750">
        <w:rPr>
          <w:kern w:val="0"/>
          <w:szCs w:val="24"/>
        </w:rPr>
        <w:t>scientific fields</w:t>
      </w:r>
      <w:r w:rsidR="00427468">
        <w:rPr>
          <w:kern w:val="0"/>
          <w:szCs w:val="24"/>
        </w:rPr>
        <w:t xml:space="preserve"> of </w:t>
      </w:r>
      <w:r w:rsidRPr="00DE5750">
        <w:rPr>
          <w:kern w:val="0"/>
          <w:szCs w:val="24"/>
        </w:rPr>
        <w:t>international business, entrepreneurship theory, SME internationalization,</w:t>
      </w:r>
      <w:r w:rsidR="005853A9">
        <w:rPr>
          <w:kern w:val="0"/>
          <w:szCs w:val="24"/>
        </w:rPr>
        <w:t xml:space="preserve"> and </w:t>
      </w:r>
      <w:r w:rsidRPr="00DE5750">
        <w:rPr>
          <w:kern w:val="0"/>
          <w:szCs w:val="24"/>
        </w:rPr>
        <w:t>born global/internat</w:t>
      </w:r>
      <w:r>
        <w:rPr>
          <w:kern w:val="0"/>
          <w:szCs w:val="24"/>
        </w:rPr>
        <w:t>ional new venture theory.</w:t>
      </w:r>
    </w:p>
    <w:p w:rsidR="00202BDD" w:rsidRDefault="00202BDD" w:rsidP="00202BDD">
      <w:pPr>
        <w:pStyle w:val="a3"/>
        <w:rPr>
          <w:kern w:val="0"/>
          <w:szCs w:val="24"/>
        </w:rPr>
      </w:pPr>
      <w:r w:rsidRPr="00DE5750">
        <w:rPr>
          <w:kern w:val="0"/>
          <w:szCs w:val="24"/>
        </w:rPr>
        <w:t>Keywords: International Entrepreneurship</w:t>
      </w:r>
      <w:r>
        <w:rPr>
          <w:kern w:val="0"/>
          <w:szCs w:val="24"/>
        </w:rPr>
        <w:t>,</w:t>
      </w:r>
      <w:r w:rsidRPr="00DE5750">
        <w:rPr>
          <w:kern w:val="0"/>
          <w:szCs w:val="24"/>
        </w:rPr>
        <w:t xml:space="preserve"> State</w:t>
      </w:r>
      <w:r w:rsidR="00427468">
        <w:rPr>
          <w:kern w:val="0"/>
          <w:szCs w:val="24"/>
        </w:rPr>
        <w:t xml:space="preserve"> of </w:t>
      </w:r>
      <w:r w:rsidR="003A1917">
        <w:rPr>
          <w:kern w:val="0"/>
          <w:szCs w:val="24"/>
        </w:rPr>
        <w:t xml:space="preserve">the </w:t>
      </w:r>
      <w:r w:rsidRPr="00DE5750">
        <w:rPr>
          <w:kern w:val="0"/>
          <w:szCs w:val="24"/>
        </w:rPr>
        <w:t>Art</w:t>
      </w:r>
      <w:r>
        <w:rPr>
          <w:kern w:val="0"/>
          <w:szCs w:val="24"/>
        </w:rPr>
        <w:t>,</w:t>
      </w:r>
      <w:r w:rsidRPr="00DE5750">
        <w:rPr>
          <w:kern w:val="0"/>
          <w:szCs w:val="24"/>
        </w:rPr>
        <w:t xml:space="preserve"> Bibliometrics</w:t>
      </w:r>
      <w:r>
        <w:rPr>
          <w:kern w:val="0"/>
          <w:szCs w:val="24"/>
        </w:rPr>
        <w:t>,</w:t>
      </w:r>
      <w:r w:rsidRPr="00DE5750">
        <w:rPr>
          <w:kern w:val="0"/>
          <w:szCs w:val="24"/>
        </w:rPr>
        <w:t xml:space="preserve"> Citation Analysis</w:t>
      </w:r>
      <w:r>
        <w:rPr>
          <w:kern w:val="0"/>
          <w:szCs w:val="24"/>
        </w:rPr>
        <w:t>,</w:t>
      </w:r>
      <w:r w:rsidRPr="00DE5750">
        <w:rPr>
          <w:kern w:val="0"/>
          <w:szCs w:val="24"/>
        </w:rPr>
        <w:t xml:space="preserve"> Venture Internationalization</w:t>
      </w:r>
      <w:r>
        <w:rPr>
          <w:kern w:val="0"/>
          <w:szCs w:val="24"/>
        </w:rPr>
        <w:t>,</w:t>
      </w:r>
      <w:r w:rsidRPr="00DE5750">
        <w:rPr>
          <w:kern w:val="0"/>
          <w:szCs w:val="24"/>
        </w:rPr>
        <w:t xml:space="preserve"> Future-Directions</w:t>
      </w:r>
      <w:r>
        <w:rPr>
          <w:kern w:val="0"/>
          <w:szCs w:val="24"/>
        </w:rPr>
        <w:t>,</w:t>
      </w:r>
      <w:r w:rsidRPr="00DE5750">
        <w:rPr>
          <w:kern w:val="0"/>
          <w:szCs w:val="24"/>
        </w:rPr>
        <w:t xml:space="preserve"> Business Research</w:t>
      </w:r>
      <w:r>
        <w:rPr>
          <w:kern w:val="0"/>
          <w:szCs w:val="24"/>
        </w:rPr>
        <w:t>,</w:t>
      </w:r>
      <w:r w:rsidRPr="00DE5750">
        <w:rPr>
          <w:kern w:val="0"/>
          <w:szCs w:val="24"/>
        </w:rPr>
        <w:t xml:space="preserve"> Market Entry</w:t>
      </w:r>
      <w:r>
        <w:rPr>
          <w:kern w:val="0"/>
          <w:szCs w:val="24"/>
        </w:rPr>
        <w:t>,</w:t>
      </w:r>
      <w:r w:rsidRPr="00DE5750">
        <w:rPr>
          <w:kern w:val="0"/>
          <w:szCs w:val="24"/>
        </w:rPr>
        <w:t xml:space="preserve"> Firms</w:t>
      </w:r>
      <w:r>
        <w:rPr>
          <w:kern w:val="0"/>
          <w:szCs w:val="24"/>
        </w:rPr>
        <w:t>,</w:t>
      </w:r>
      <w:r w:rsidRPr="00DE5750">
        <w:rPr>
          <w:kern w:val="0"/>
          <w:szCs w:val="24"/>
        </w:rPr>
        <w:t xml:space="preserve"> Performance</w:t>
      </w:r>
      <w:r>
        <w:rPr>
          <w:kern w:val="0"/>
          <w:szCs w:val="24"/>
        </w:rPr>
        <w:t>,</w:t>
      </w:r>
      <w:r w:rsidRPr="00DE5750">
        <w:rPr>
          <w:kern w:val="0"/>
          <w:szCs w:val="24"/>
        </w:rPr>
        <w:t xml:space="preserve"> Behavior</w:t>
      </w:r>
      <w:r>
        <w:rPr>
          <w:kern w:val="0"/>
          <w:szCs w:val="24"/>
        </w:rPr>
        <w:t>,</w:t>
      </w:r>
      <w:r w:rsidRPr="00DE5750">
        <w:rPr>
          <w:kern w:val="0"/>
          <w:szCs w:val="24"/>
        </w:rPr>
        <w:t xml:space="preserve"> Bibliometrics</w:t>
      </w:r>
      <w:r>
        <w:rPr>
          <w:kern w:val="0"/>
          <w:szCs w:val="24"/>
        </w:rPr>
        <w:t>,</w:t>
      </w:r>
      <w:r w:rsidRPr="00DE5750">
        <w:rPr>
          <w:kern w:val="0"/>
          <w:szCs w:val="24"/>
        </w:rPr>
        <w:t xml:space="preserve"> Dynamics</w:t>
      </w:r>
      <w:r>
        <w:rPr>
          <w:kern w:val="0"/>
          <w:szCs w:val="24"/>
        </w:rPr>
        <w:t>,</w:t>
      </w:r>
      <w:r w:rsidRPr="00DE5750">
        <w:rPr>
          <w:kern w:val="0"/>
          <w:szCs w:val="24"/>
        </w:rPr>
        <w:t xml:space="preserve"> Trends</w:t>
      </w:r>
    </w:p>
    <w:p w:rsidR="006854B5" w:rsidRDefault="006854B5" w:rsidP="006854B5">
      <w:pPr>
        <w:pStyle w:val="a3"/>
        <w:rPr>
          <w:kern w:val="0"/>
        </w:rPr>
      </w:pPr>
      <w:r>
        <w:rPr>
          <w:rFonts w:hint="eastAsia"/>
          <w:kern w:val="0"/>
        </w:rPr>
        <w:t xml:space="preserve">? </w:t>
      </w:r>
      <w:r>
        <w:rPr>
          <w:kern w:val="0"/>
        </w:rPr>
        <w:t>Tu, P.P.N. (2011), A study</w:t>
      </w:r>
      <w:r w:rsidR="00427468">
        <w:rPr>
          <w:kern w:val="0"/>
        </w:rPr>
        <w:t xml:space="preserve"> of </w:t>
      </w:r>
      <w:r>
        <w:rPr>
          <w:kern w:val="0"/>
        </w:rPr>
        <w:t>influential authors, works</w:t>
      </w:r>
      <w:r w:rsidR="005853A9">
        <w:rPr>
          <w:kern w:val="0"/>
        </w:rPr>
        <w:t xml:space="preserve"> and </w:t>
      </w:r>
      <w:r>
        <w:rPr>
          <w:kern w:val="0"/>
        </w:rPr>
        <w:t>research network</w:t>
      </w:r>
      <w:r w:rsidR="00427468">
        <w:rPr>
          <w:kern w:val="0"/>
        </w:rPr>
        <w:t xml:space="preserve"> of </w:t>
      </w:r>
      <w:r>
        <w:rPr>
          <w:kern w:val="0"/>
        </w:rPr>
        <w:t xml:space="preserve">consumer behavior research. </w:t>
      </w:r>
      <w:r>
        <w:rPr>
          <w:i/>
          <w:iCs/>
          <w:kern w:val="0"/>
        </w:rPr>
        <w:t>African Journal</w:t>
      </w:r>
      <w:r w:rsidR="00427468">
        <w:rPr>
          <w:i/>
          <w:iCs/>
          <w:kern w:val="0"/>
        </w:rPr>
        <w:t xml:space="preserve"> of </w:t>
      </w:r>
      <w:r>
        <w:rPr>
          <w:i/>
          <w:iCs/>
          <w:kern w:val="0"/>
        </w:rPr>
        <w:t>Business Management</w:t>
      </w:r>
      <w:r>
        <w:rPr>
          <w:kern w:val="0"/>
        </w:rPr>
        <w:t xml:space="preserve">, </w:t>
      </w:r>
      <w:r>
        <w:rPr>
          <w:b/>
          <w:bCs/>
          <w:kern w:val="0"/>
        </w:rPr>
        <w:t>5</w:t>
      </w:r>
      <w:r>
        <w:rPr>
          <w:kern w:val="0"/>
        </w:rPr>
        <w:t xml:space="preserve"> (23), 9838-9854.</w:t>
      </w:r>
    </w:p>
    <w:p w:rsidR="006854B5" w:rsidRDefault="006854B5" w:rsidP="006854B5">
      <w:pPr>
        <w:pStyle w:val="a3"/>
        <w:rPr>
          <w:kern w:val="0"/>
        </w:rPr>
      </w:pPr>
      <w:r>
        <w:rPr>
          <w:rFonts w:hint="eastAsia"/>
          <w:kern w:val="0"/>
        </w:rPr>
        <w:t xml:space="preserve">Full Text: </w:t>
      </w:r>
      <w:hyperlink r:id="rId298" w:history="1">
        <w:r w:rsidRPr="005874EE">
          <w:rPr>
            <w:rStyle w:val="a5"/>
            <w:kern w:val="0"/>
          </w:rPr>
          <w:t>2011\Afr J Bus Man5, 9838.pdf</w:t>
        </w:r>
      </w:hyperlink>
    </w:p>
    <w:p w:rsidR="006854B5" w:rsidRDefault="006854B5" w:rsidP="006854B5">
      <w:pPr>
        <w:pStyle w:val="a3"/>
        <w:rPr>
          <w:kern w:val="0"/>
        </w:rPr>
      </w:pPr>
      <w:r>
        <w:rPr>
          <w:kern w:val="0"/>
        </w:rPr>
        <w:t>Abstract: With</w:t>
      </w:r>
      <w:r w:rsidR="003A1917">
        <w:rPr>
          <w:kern w:val="0"/>
        </w:rPr>
        <w:t xml:space="preserve"> the </w:t>
      </w:r>
      <w:r>
        <w:rPr>
          <w:kern w:val="0"/>
        </w:rPr>
        <w:t>proliferation</w:t>
      </w:r>
      <w:r w:rsidR="00427468">
        <w:rPr>
          <w:kern w:val="0"/>
        </w:rPr>
        <w:t xml:space="preserve"> of </w:t>
      </w:r>
      <w:r>
        <w:rPr>
          <w:kern w:val="0"/>
        </w:rPr>
        <w:t>consumer behavior research in recent decades,</w:t>
      </w:r>
      <w:r w:rsidR="003A1917">
        <w:rPr>
          <w:kern w:val="0"/>
        </w:rPr>
        <w:t xml:space="preserve"> the </w:t>
      </w:r>
      <w:r>
        <w:rPr>
          <w:kern w:val="0"/>
        </w:rPr>
        <w:t>ability to effectively identify</w:t>
      </w:r>
      <w:r w:rsidR="003A1917">
        <w:rPr>
          <w:kern w:val="0"/>
        </w:rPr>
        <w:t xml:space="preserve"> the </w:t>
      </w:r>
      <w:r>
        <w:rPr>
          <w:kern w:val="0"/>
        </w:rPr>
        <w:t>most influential</w:t>
      </w:r>
      <w:r w:rsidR="005853A9">
        <w:rPr>
          <w:kern w:val="0"/>
        </w:rPr>
        <w:t xml:space="preserve"> and </w:t>
      </w:r>
      <w:r>
        <w:rPr>
          <w:kern w:val="0"/>
        </w:rPr>
        <w:t>representative collection</w:t>
      </w:r>
      <w:r w:rsidR="00427468">
        <w:rPr>
          <w:kern w:val="0"/>
        </w:rPr>
        <w:t xml:space="preserve"> of </w:t>
      </w:r>
      <w:r>
        <w:rPr>
          <w:kern w:val="0"/>
        </w:rPr>
        <w:t>research articles had become significantly important. Research in</w:t>
      </w:r>
      <w:r w:rsidR="003A1917">
        <w:rPr>
          <w:kern w:val="0"/>
        </w:rPr>
        <w:t xml:space="preserve"> the </w:t>
      </w:r>
      <w:r>
        <w:rPr>
          <w:kern w:val="0"/>
        </w:rPr>
        <w:t xml:space="preserve">consumer behavior area had developed rapidly, but no recent studies had examined contemporary consumer behavior research. This paper employed author co-citation </w:t>
      </w:r>
      <w:r>
        <w:rPr>
          <w:kern w:val="0"/>
        </w:rPr>
        <w:lastRenderedPageBreak/>
        <w:t>analysis, a bibliometric methodology</w:t>
      </w:r>
      <w:r w:rsidR="005853A9">
        <w:rPr>
          <w:kern w:val="0"/>
        </w:rPr>
        <w:t xml:space="preserve"> and </w:t>
      </w:r>
      <w:r>
        <w:rPr>
          <w:kern w:val="0"/>
        </w:rPr>
        <w:t>social network analysis methodology to highlight</w:t>
      </w:r>
      <w:r w:rsidR="003A1917">
        <w:rPr>
          <w:kern w:val="0"/>
        </w:rPr>
        <w:t xml:space="preserve"> the </w:t>
      </w:r>
      <w:r>
        <w:rPr>
          <w:kern w:val="0"/>
        </w:rPr>
        <w:t>most influential authors, to analyze citation relationships, to exploit changes in</w:t>
      </w:r>
      <w:r w:rsidR="003A1917">
        <w:rPr>
          <w:kern w:val="0"/>
        </w:rPr>
        <w:t xml:space="preserve"> the </w:t>
      </w:r>
      <w:r>
        <w:rPr>
          <w:kern w:val="0"/>
        </w:rPr>
        <w:t>intellectual base</w:t>
      </w:r>
      <w:r w:rsidR="005853A9">
        <w:rPr>
          <w:kern w:val="0"/>
        </w:rPr>
        <w:t xml:space="preserve"> and </w:t>
      </w:r>
      <w:r>
        <w:rPr>
          <w:kern w:val="0"/>
        </w:rPr>
        <w:t>to show trends</w:t>
      </w:r>
      <w:r w:rsidR="005853A9">
        <w:rPr>
          <w:kern w:val="0"/>
        </w:rPr>
        <w:t xml:space="preserve"> and </w:t>
      </w:r>
      <w:r>
        <w:rPr>
          <w:kern w:val="0"/>
        </w:rPr>
        <w:t>patterns in</w:t>
      </w:r>
      <w:r w:rsidR="003A1917">
        <w:rPr>
          <w:kern w:val="0"/>
        </w:rPr>
        <w:t xml:space="preserve"> the </w:t>
      </w:r>
      <w:r>
        <w:rPr>
          <w:kern w:val="0"/>
        </w:rPr>
        <w:t>consumer behavior field over two consecutive time periods, 1989 to 1998</w:t>
      </w:r>
      <w:r w:rsidR="005853A9">
        <w:rPr>
          <w:kern w:val="0"/>
        </w:rPr>
        <w:t xml:space="preserve"> and </w:t>
      </w:r>
      <w:r>
        <w:rPr>
          <w:kern w:val="0"/>
        </w:rPr>
        <w:t>1999 to 2008. In order to analyze</w:t>
      </w:r>
      <w:r w:rsidR="003A1917">
        <w:rPr>
          <w:kern w:val="0"/>
        </w:rPr>
        <w:t xml:space="preserve"> the </w:t>
      </w:r>
      <w:r>
        <w:rPr>
          <w:kern w:val="0"/>
        </w:rPr>
        <w:t>dynamic intellectual structure</w:t>
      </w:r>
      <w:r w:rsidR="00427468">
        <w:rPr>
          <w:kern w:val="0"/>
        </w:rPr>
        <w:t xml:space="preserve"> of </w:t>
      </w:r>
      <w:r>
        <w:rPr>
          <w:kern w:val="0"/>
        </w:rPr>
        <w:t>consumer behavior research, author co-citation analysis was conducted</w:t>
      </w:r>
      <w:r w:rsidR="00427468">
        <w:rPr>
          <w:kern w:val="0"/>
        </w:rPr>
        <w:t xml:space="preserve"> of </w:t>
      </w:r>
      <w:r>
        <w:rPr>
          <w:kern w:val="0"/>
        </w:rPr>
        <w:t>16,536 references from 606 articles found in</w:t>
      </w:r>
      <w:r w:rsidR="003A1917">
        <w:rPr>
          <w:kern w:val="0"/>
        </w:rPr>
        <w:t xml:space="preserve"> the </w:t>
      </w:r>
      <w:r w:rsidR="00D5664A">
        <w:rPr>
          <w:kern w:val="0"/>
        </w:rPr>
        <w:t>SSCI</w:t>
      </w:r>
      <w:r w:rsidR="005853A9">
        <w:rPr>
          <w:kern w:val="0"/>
        </w:rPr>
        <w:t xml:space="preserve"> and </w:t>
      </w:r>
      <w:r>
        <w:rPr>
          <w:kern w:val="0"/>
        </w:rPr>
        <w:t>SCI databases from 1989 to 2008. In addition, factor analysis was used to examine</w:t>
      </w:r>
      <w:r w:rsidR="003A1917">
        <w:rPr>
          <w:kern w:val="0"/>
        </w:rPr>
        <w:t xml:space="preserve"> the </w:t>
      </w:r>
      <w:r>
        <w:rPr>
          <w:kern w:val="0"/>
        </w:rPr>
        <w:t>breadth</w:t>
      </w:r>
      <w:r w:rsidR="00427468">
        <w:rPr>
          <w:kern w:val="0"/>
        </w:rPr>
        <w:t xml:space="preserve"> of </w:t>
      </w:r>
      <w:r w:rsidR="003A1917">
        <w:rPr>
          <w:kern w:val="0"/>
        </w:rPr>
        <w:t xml:space="preserve">the </w:t>
      </w:r>
      <w:r>
        <w:rPr>
          <w:kern w:val="0"/>
        </w:rPr>
        <w:t>authors</w:t>
      </w:r>
      <w:r w:rsidR="00700038">
        <w:rPr>
          <w:kern w:val="0"/>
        </w:rPr>
        <w:t>’</w:t>
      </w:r>
      <w:r>
        <w:rPr>
          <w:kern w:val="0"/>
        </w:rPr>
        <w:t xml:space="preserve"> research areas</w:t>
      </w:r>
      <w:r w:rsidR="00A37C1D">
        <w:rPr>
          <w:kern w:val="0"/>
        </w:rPr>
        <w:t>. The</w:t>
      </w:r>
      <w:r w:rsidR="003A1917">
        <w:rPr>
          <w:kern w:val="0"/>
        </w:rPr>
        <w:t xml:space="preserve"> </w:t>
      </w:r>
      <w:r>
        <w:rPr>
          <w:kern w:val="0"/>
        </w:rPr>
        <w:t>aims</w:t>
      </w:r>
      <w:r w:rsidR="00427468">
        <w:rPr>
          <w:kern w:val="0"/>
        </w:rPr>
        <w:t xml:space="preserve"> of </w:t>
      </w:r>
      <w:r>
        <w:rPr>
          <w:kern w:val="0"/>
        </w:rPr>
        <w:t>this paper were twofold: to provide a valuable direction for future consumer behavior research,</w:t>
      </w:r>
      <w:r w:rsidR="005853A9">
        <w:rPr>
          <w:kern w:val="0"/>
        </w:rPr>
        <w:t xml:space="preserve"> and </w:t>
      </w:r>
      <w:r>
        <w:rPr>
          <w:kern w:val="0"/>
        </w:rPr>
        <w:t>to propose an objective means</w:t>
      </w:r>
      <w:r w:rsidR="00427468">
        <w:rPr>
          <w:kern w:val="0"/>
        </w:rPr>
        <w:t xml:space="preserve"> of </w:t>
      </w:r>
      <w:r>
        <w:rPr>
          <w:kern w:val="0"/>
        </w:rPr>
        <w:t>establishing</w:t>
      </w:r>
      <w:r w:rsidR="003A1917">
        <w:rPr>
          <w:kern w:val="0"/>
        </w:rPr>
        <w:t xml:space="preserve"> the </w:t>
      </w:r>
      <w:r>
        <w:rPr>
          <w:kern w:val="0"/>
        </w:rPr>
        <w:t>relative importance</w:t>
      </w:r>
      <w:r w:rsidR="00427468">
        <w:rPr>
          <w:kern w:val="0"/>
        </w:rPr>
        <w:t xml:space="preserve"> of </w:t>
      </w:r>
      <w:r>
        <w:rPr>
          <w:kern w:val="0"/>
        </w:rPr>
        <w:t>different knowledge nodes in</w:t>
      </w:r>
      <w:r w:rsidR="003A1917">
        <w:rPr>
          <w:kern w:val="0"/>
        </w:rPr>
        <w:t xml:space="preserve"> the </w:t>
      </w:r>
      <w:r>
        <w:rPr>
          <w:kern w:val="0"/>
        </w:rPr>
        <w:t>recent development</w:t>
      </w:r>
      <w:r w:rsidR="00427468">
        <w:rPr>
          <w:kern w:val="0"/>
        </w:rPr>
        <w:t xml:space="preserve"> of </w:t>
      </w:r>
      <w:r w:rsidR="003A1917">
        <w:rPr>
          <w:kern w:val="0"/>
        </w:rPr>
        <w:t xml:space="preserve">the </w:t>
      </w:r>
      <w:r>
        <w:rPr>
          <w:kern w:val="0"/>
        </w:rPr>
        <w:t>consumer behavior field.</w:t>
      </w:r>
    </w:p>
    <w:p w:rsidR="006854B5" w:rsidRDefault="006854B5" w:rsidP="006854B5">
      <w:pPr>
        <w:pStyle w:val="a3"/>
        <w:rPr>
          <w:kern w:val="0"/>
        </w:rPr>
      </w:pPr>
      <w:r>
        <w:rPr>
          <w:kern w:val="0"/>
        </w:rPr>
        <w:t>Keywords: Analysis, Author, Author Co-Citation Analysis, Authors, Behavior, Bibliometric, Bibliometric Analysis, Citation, Co-Citation Analysis, Cocitation, Cocitation Analysis, Consciousness, Consumer, Consumer Behavior, Consumption, Databases, Development, Electronic Marketplaces, Factor-Analysis, Intellectual Structure, Knowledge, Knowledge</w:t>
      </w:r>
      <w:r w:rsidR="00427468">
        <w:rPr>
          <w:kern w:val="0"/>
        </w:rPr>
        <w:t xml:space="preserve"> of </w:t>
      </w:r>
      <w:r>
        <w:rPr>
          <w:kern w:val="0"/>
        </w:rPr>
        <w:t>Network, Methodology, Modeling Approach, Network, Operations Management, Planned Behavior, Research</w:t>
      </w:r>
      <w:r w:rsidR="00D5664A">
        <w:rPr>
          <w:kern w:val="0"/>
        </w:rPr>
        <w:t>, SCI,</w:t>
      </w:r>
      <w:r>
        <w:rPr>
          <w:kern w:val="0"/>
        </w:rPr>
        <w:t xml:space="preserve"> Self, Social, Social Network, Social Network Analysis,</w:t>
      </w:r>
      <w:r w:rsidR="008E3069">
        <w:rPr>
          <w:kern w:val="0"/>
        </w:rPr>
        <w:t xml:space="preserve"> </w:t>
      </w:r>
      <w:r w:rsidR="00D5664A">
        <w:rPr>
          <w:kern w:val="0"/>
        </w:rPr>
        <w:t>SSCI</w:t>
      </w:r>
      <w:r w:rsidR="008E3069">
        <w:rPr>
          <w:kern w:val="0"/>
        </w:rPr>
        <w:t>,</w:t>
      </w:r>
      <w:r>
        <w:rPr>
          <w:kern w:val="0"/>
        </w:rPr>
        <w:t xml:space="preserve"> Themes, Trends</w:t>
      </w:r>
    </w:p>
    <w:p w:rsidR="00E72621" w:rsidRDefault="00E72621" w:rsidP="00E72621">
      <w:pPr>
        <w:pStyle w:val="a3"/>
        <w:rPr>
          <w:kern w:val="0"/>
        </w:rPr>
      </w:pPr>
      <w:r>
        <w:rPr>
          <w:rFonts w:hint="eastAsia"/>
          <w:kern w:val="0"/>
        </w:rPr>
        <w:t xml:space="preserve">? </w:t>
      </w:r>
      <w:r>
        <w:rPr>
          <w:kern w:val="0"/>
        </w:rPr>
        <w:t>Curado, C., Oliveira, M.</w:t>
      </w:r>
      <w:r w:rsidR="005853A9">
        <w:rPr>
          <w:kern w:val="0"/>
        </w:rPr>
        <w:t xml:space="preserve"> and </w:t>
      </w:r>
      <w:r>
        <w:rPr>
          <w:kern w:val="0"/>
        </w:rPr>
        <w:t>Maçada, A.C.G. (2011), Mapping knowledge management authoring patterns</w:t>
      </w:r>
      <w:r w:rsidR="005853A9">
        <w:rPr>
          <w:kern w:val="0"/>
        </w:rPr>
        <w:t xml:space="preserve"> and </w:t>
      </w:r>
      <w:r>
        <w:rPr>
          <w:kern w:val="0"/>
        </w:rPr>
        <w:t xml:space="preserve">practices. </w:t>
      </w:r>
      <w:r>
        <w:rPr>
          <w:i/>
          <w:iCs/>
          <w:kern w:val="0"/>
        </w:rPr>
        <w:t>African Journal</w:t>
      </w:r>
      <w:r w:rsidR="00427468">
        <w:rPr>
          <w:i/>
          <w:iCs/>
          <w:kern w:val="0"/>
        </w:rPr>
        <w:t xml:space="preserve"> of </w:t>
      </w:r>
      <w:r>
        <w:rPr>
          <w:i/>
          <w:iCs/>
          <w:kern w:val="0"/>
        </w:rPr>
        <w:t>Business Management</w:t>
      </w:r>
      <w:r>
        <w:rPr>
          <w:kern w:val="0"/>
        </w:rPr>
        <w:t xml:space="preserve">, </w:t>
      </w:r>
      <w:r>
        <w:rPr>
          <w:b/>
          <w:bCs/>
          <w:kern w:val="0"/>
        </w:rPr>
        <w:t>5</w:t>
      </w:r>
      <w:r>
        <w:rPr>
          <w:kern w:val="0"/>
        </w:rPr>
        <w:t xml:space="preserve"> (22), 9137-9153.</w:t>
      </w:r>
    </w:p>
    <w:p w:rsidR="00E72621" w:rsidRDefault="00E72621" w:rsidP="00E72621">
      <w:pPr>
        <w:pStyle w:val="a3"/>
        <w:rPr>
          <w:kern w:val="0"/>
          <w:szCs w:val="24"/>
        </w:rPr>
      </w:pPr>
      <w:r>
        <w:rPr>
          <w:rFonts w:hint="eastAsia"/>
          <w:kern w:val="0"/>
          <w:szCs w:val="24"/>
        </w:rPr>
        <w:t xml:space="preserve">Full Text: </w:t>
      </w:r>
      <w:hyperlink r:id="rId299" w:history="1">
        <w:r w:rsidR="00B06E10" w:rsidRPr="00B06E10">
          <w:rPr>
            <w:rStyle w:val="a5"/>
            <w:kern w:val="0"/>
            <w:szCs w:val="24"/>
          </w:rPr>
          <w:t>2011\Afr J Bus Man5, 9137.pdf</w:t>
        </w:r>
      </w:hyperlink>
    </w:p>
    <w:p w:rsidR="00E72621" w:rsidRDefault="00E72621" w:rsidP="00E72621">
      <w:pPr>
        <w:pStyle w:val="a3"/>
        <w:rPr>
          <w:kern w:val="0"/>
        </w:rPr>
      </w:pPr>
      <w:r>
        <w:rPr>
          <w:kern w:val="0"/>
        </w:rPr>
        <w:t>Abstract: This paper examines</w:t>
      </w:r>
      <w:r w:rsidR="003A1917">
        <w:rPr>
          <w:kern w:val="0"/>
        </w:rPr>
        <w:t xml:space="preserve"> the </w:t>
      </w:r>
      <w:r>
        <w:rPr>
          <w:kern w:val="0"/>
        </w:rPr>
        <w:t>literature on knowledge management (KM) in order to identify</w:t>
      </w:r>
      <w:r w:rsidR="003A1917">
        <w:rPr>
          <w:kern w:val="0"/>
        </w:rPr>
        <w:t xml:space="preserve"> the </w:t>
      </w:r>
      <w:r>
        <w:rPr>
          <w:kern w:val="0"/>
        </w:rPr>
        <w:t>typical authoring patterns</w:t>
      </w:r>
      <w:r w:rsidR="005853A9">
        <w:rPr>
          <w:kern w:val="0"/>
        </w:rPr>
        <w:t xml:space="preserve"> and </w:t>
      </w:r>
      <w:r w:rsidR="003A1917">
        <w:rPr>
          <w:kern w:val="0"/>
        </w:rPr>
        <w:t xml:space="preserve">the </w:t>
      </w:r>
      <w:r>
        <w:rPr>
          <w:kern w:val="0"/>
        </w:rPr>
        <w:t>focus</w:t>
      </w:r>
      <w:r w:rsidR="00427468">
        <w:rPr>
          <w:kern w:val="0"/>
        </w:rPr>
        <w:t xml:space="preserve"> of </w:t>
      </w:r>
      <w:r w:rsidR="003A1917">
        <w:rPr>
          <w:kern w:val="0"/>
        </w:rPr>
        <w:t xml:space="preserve">the </w:t>
      </w:r>
      <w:r>
        <w:rPr>
          <w:kern w:val="0"/>
        </w:rPr>
        <w:t>content</w:t>
      </w:r>
      <w:r w:rsidR="00427468">
        <w:rPr>
          <w:kern w:val="0"/>
        </w:rPr>
        <w:t xml:space="preserve"> of </w:t>
      </w:r>
      <w:r>
        <w:rPr>
          <w:kern w:val="0"/>
        </w:rPr>
        <w:t>published research</w:t>
      </w:r>
      <w:r w:rsidR="00A37C1D">
        <w:rPr>
          <w:kern w:val="0"/>
        </w:rPr>
        <w:t>. The</w:t>
      </w:r>
      <w:r w:rsidR="003A1917">
        <w:rPr>
          <w:kern w:val="0"/>
        </w:rPr>
        <w:t xml:space="preserve"> </w:t>
      </w:r>
      <w:r>
        <w:rPr>
          <w:kern w:val="0"/>
        </w:rPr>
        <w:t>study explores</w:t>
      </w:r>
      <w:r w:rsidR="003A1917">
        <w:rPr>
          <w:kern w:val="0"/>
        </w:rPr>
        <w:t xml:space="preserve"> the </w:t>
      </w:r>
      <w:r>
        <w:rPr>
          <w:kern w:val="0"/>
        </w:rPr>
        <w:t>argument that</w:t>
      </w:r>
      <w:r w:rsidR="003A1917">
        <w:rPr>
          <w:kern w:val="0"/>
        </w:rPr>
        <w:t xml:space="preserve"> the </w:t>
      </w:r>
      <w:r>
        <w:rPr>
          <w:kern w:val="0"/>
        </w:rPr>
        <w:t>inter-organizational level</w:t>
      </w:r>
      <w:r w:rsidR="00427468">
        <w:rPr>
          <w:kern w:val="0"/>
        </w:rPr>
        <w:t xml:space="preserve"> of </w:t>
      </w:r>
      <w:r>
        <w:rPr>
          <w:kern w:val="0"/>
        </w:rPr>
        <w:t>analysis is explored less frequently than</w:t>
      </w:r>
      <w:r w:rsidR="003A1917">
        <w:rPr>
          <w:kern w:val="0"/>
        </w:rPr>
        <w:t xml:space="preserve"> the </w:t>
      </w:r>
      <w:r>
        <w:rPr>
          <w:kern w:val="0"/>
        </w:rPr>
        <w:t>intra-organizational level</w:t>
      </w:r>
      <w:r w:rsidR="00A37C1D">
        <w:rPr>
          <w:kern w:val="0"/>
        </w:rPr>
        <w:t>. The</w:t>
      </w:r>
      <w:r w:rsidR="003A1917">
        <w:rPr>
          <w:kern w:val="0"/>
        </w:rPr>
        <w:t xml:space="preserve"> </w:t>
      </w:r>
      <w:r>
        <w:rPr>
          <w:kern w:val="0"/>
        </w:rPr>
        <w:t>article reports on KM researchers</w:t>
      </w:r>
      <w:r w:rsidR="005853A9">
        <w:rPr>
          <w:kern w:val="0"/>
        </w:rPr>
        <w:t xml:space="preserve"> and </w:t>
      </w:r>
      <w:r>
        <w:rPr>
          <w:kern w:val="0"/>
        </w:rPr>
        <w:t>practices based on evidence from six journals ranked in</w:t>
      </w:r>
      <w:r w:rsidR="003A1917">
        <w:rPr>
          <w:kern w:val="0"/>
        </w:rPr>
        <w:t xml:space="preserve"> the </w:t>
      </w:r>
      <w:r>
        <w:rPr>
          <w:kern w:val="0"/>
        </w:rPr>
        <w:t>journal citation report covering several decades</w:t>
      </w:r>
      <w:r w:rsidR="00427468">
        <w:rPr>
          <w:kern w:val="0"/>
        </w:rPr>
        <w:t xml:space="preserve"> of </w:t>
      </w:r>
      <w:r>
        <w:rPr>
          <w:kern w:val="0"/>
        </w:rPr>
        <w:t>publications. Based on this review, articles can generally be seen to have two co-authors from two different universities within</w:t>
      </w:r>
      <w:r w:rsidR="003A1917">
        <w:rPr>
          <w:kern w:val="0"/>
        </w:rPr>
        <w:t xml:space="preserve"> the </w:t>
      </w:r>
      <w:r>
        <w:rPr>
          <w:kern w:val="0"/>
        </w:rPr>
        <w:t>same country</w:t>
      </w:r>
      <w:r w:rsidR="00A37C1D">
        <w:rPr>
          <w:kern w:val="0"/>
        </w:rPr>
        <w:t>. The</w:t>
      </w:r>
      <w:r w:rsidR="003A1917">
        <w:rPr>
          <w:kern w:val="0"/>
        </w:rPr>
        <w:t xml:space="preserve"> </w:t>
      </w:r>
      <w:r>
        <w:rPr>
          <w:kern w:val="0"/>
        </w:rPr>
        <w:t>study confirms that published research is mainly empirical; largely adopting</w:t>
      </w:r>
      <w:r w:rsidR="003A1917">
        <w:rPr>
          <w:kern w:val="0"/>
        </w:rPr>
        <w:t xml:space="preserve"> the </w:t>
      </w:r>
      <w:r>
        <w:rPr>
          <w:kern w:val="0"/>
        </w:rPr>
        <w:t>intra-organizational level</w:t>
      </w:r>
      <w:r w:rsidR="00427468">
        <w:rPr>
          <w:kern w:val="0"/>
        </w:rPr>
        <w:t xml:space="preserve"> of </w:t>
      </w:r>
      <w:r>
        <w:rPr>
          <w:kern w:val="0"/>
        </w:rPr>
        <w:t>analysis, with</w:t>
      </w:r>
      <w:r w:rsidR="003A1917">
        <w:rPr>
          <w:kern w:val="0"/>
        </w:rPr>
        <w:t xml:space="preserve"> the </w:t>
      </w:r>
      <w:r>
        <w:rPr>
          <w:kern w:val="0"/>
        </w:rPr>
        <w:t>people element being</w:t>
      </w:r>
      <w:r w:rsidR="003A1917">
        <w:rPr>
          <w:kern w:val="0"/>
        </w:rPr>
        <w:t xml:space="preserve"> the </w:t>
      </w:r>
      <w:r>
        <w:rPr>
          <w:kern w:val="0"/>
        </w:rPr>
        <w:t>least explored comparing to technology</w:t>
      </w:r>
      <w:r w:rsidR="005853A9">
        <w:rPr>
          <w:kern w:val="0"/>
        </w:rPr>
        <w:t xml:space="preserve"> and </w:t>
      </w:r>
      <w:r>
        <w:rPr>
          <w:kern w:val="0"/>
        </w:rPr>
        <w:t>process elements. This research gap represents an opportunity for authors to contribute with studies focusing on</w:t>
      </w:r>
      <w:r w:rsidR="003A1917">
        <w:rPr>
          <w:kern w:val="0"/>
        </w:rPr>
        <w:t xml:space="preserve"> the </w:t>
      </w:r>
      <w:r>
        <w:rPr>
          <w:kern w:val="0"/>
        </w:rPr>
        <w:t>inter-organizational level.</w:t>
      </w:r>
    </w:p>
    <w:p w:rsidR="00E72621" w:rsidRDefault="00E72621" w:rsidP="00E72621">
      <w:pPr>
        <w:pStyle w:val="a3"/>
        <w:rPr>
          <w:kern w:val="0"/>
        </w:rPr>
      </w:pPr>
      <w:r>
        <w:rPr>
          <w:kern w:val="0"/>
        </w:rPr>
        <w:t xml:space="preserve">Keywords: Analysis, Authors, Citation, Competitive Advantage, Document Collection, Empirical-Examination, Indigenous Knowledge, Information-Systems Research, Inter-Organizational, Intra-Organizational, Journal, Journals, Knowledge, Knowledge Management, Literature, Management, Organizational Knowledge, </w:t>
      </w:r>
      <w:r>
        <w:rPr>
          <w:kern w:val="0"/>
        </w:rPr>
        <w:lastRenderedPageBreak/>
        <w:t>People, Process, Processes, Product Development, Publications, Published Research, Reference Discipline, Research, Research Mapping, Researchers, Review, Scientometric Analysis, Software-Development, Technology, Universities</w:t>
      </w:r>
    </w:p>
    <w:p w:rsidR="003474F2" w:rsidRPr="001A3D2B" w:rsidRDefault="003474F2" w:rsidP="003474F2">
      <w:pPr>
        <w:pStyle w:val="1"/>
      </w:pPr>
      <w:r w:rsidRPr="001A3D2B">
        <w:br w:type="page"/>
      </w:r>
      <w:bookmarkStart w:id="158" w:name="_Toc420814330"/>
      <w:r w:rsidRPr="001A3D2B">
        <w:lastRenderedPageBreak/>
        <w:t>Title: African Journal</w:t>
      </w:r>
      <w:r w:rsidR="00427468">
        <w:t xml:space="preserve"> of </w:t>
      </w:r>
      <w:r w:rsidRPr="001A3D2B">
        <w:t>Library Archives</w:t>
      </w:r>
      <w:r w:rsidR="005853A9">
        <w:t xml:space="preserve"> and </w:t>
      </w:r>
      <w:r w:rsidRPr="001A3D2B">
        <w:t>Information Science</w:t>
      </w:r>
      <w:bookmarkEnd w:id="158"/>
    </w:p>
    <w:p w:rsidR="003474F2" w:rsidRPr="001A3D2B" w:rsidRDefault="003474F2" w:rsidP="003474F2">
      <w:pPr>
        <w:pStyle w:val="12"/>
      </w:pPr>
      <w:r w:rsidRPr="001A3D2B">
        <w:t xml:space="preserve">Full Journal Title: </w:t>
      </w:r>
      <w:hyperlink r:id="rId300" w:history="1">
        <w:r w:rsidRPr="001A3D2B">
          <w:rPr>
            <w:rStyle w:val="a5"/>
          </w:rPr>
          <w:t>African Journal</w:t>
        </w:r>
        <w:r w:rsidR="00427468">
          <w:rPr>
            <w:rStyle w:val="a5"/>
          </w:rPr>
          <w:t xml:space="preserve"> of </w:t>
        </w:r>
        <w:r w:rsidRPr="001A3D2B">
          <w:rPr>
            <w:rStyle w:val="a5"/>
          </w:rPr>
          <w:t>Library Archives</w:t>
        </w:r>
        <w:r w:rsidR="005853A9">
          <w:rPr>
            <w:rStyle w:val="a5"/>
          </w:rPr>
          <w:t xml:space="preserve"> and </w:t>
        </w:r>
        <w:r w:rsidRPr="001A3D2B">
          <w:rPr>
            <w:rStyle w:val="a5"/>
          </w:rPr>
          <w:t>Information Science</w:t>
        </w:r>
      </w:hyperlink>
    </w:p>
    <w:p w:rsidR="007C2DC4" w:rsidRDefault="007C2DC4" w:rsidP="007C2DC4">
      <w:pPr>
        <w:pStyle w:val="12"/>
      </w:pPr>
      <w:r>
        <w:t>ISO Abbrev. Title: Afr. J. Libr. Archiv. Inf. Sci.</w:t>
      </w:r>
    </w:p>
    <w:p w:rsidR="007C2DC4" w:rsidRDefault="007C2DC4" w:rsidP="007C2DC4">
      <w:pPr>
        <w:pStyle w:val="12"/>
      </w:pPr>
      <w:r>
        <w:t>JCR Abbrev. Title: Afr J Libr Arch Info</w:t>
      </w:r>
    </w:p>
    <w:p w:rsidR="007C2DC4" w:rsidRDefault="007C2DC4" w:rsidP="007C2DC4">
      <w:pPr>
        <w:pStyle w:val="12"/>
      </w:pPr>
      <w:r>
        <w:t>ISSN: 0795-4778</w:t>
      </w:r>
    </w:p>
    <w:p w:rsidR="007C2DC4" w:rsidRDefault="007C2DC4" w:rsidP="007C2DC4">
      <w:pPr>
        <w:pStyle w:val="12"/>
      </w:pPr>
      <w:r>
        <w:t>Issues/Year: 2</w:t>
      </w:r>
    </w:p>
    <w:p w:rsidR="007C2DC4" w:rsidRDefault="007C2DC4" w:rsidP="007C2DC4">
      <w:pPr>
        <w:pStyle w:val="12"/>
      </w:pPr>
      <w:r>
        <w:t>Language: English</w:t>
      </w:r>
    </w:p>
    <w:p w:rsidR="007C2DC4" w:rsidRDefault="007C2DC4" w:rsidP="007C2DC4">
      <w:pPr>
        <w:pStyle w:val="12"/>
      </w:pPr>
      <w:r>
        <w:t>Journal Country/Territory: Nigeria</w:t>
      </w:r>
    </w:p>
    <w:p w:rsidR="007C2DC4" w:rsidRDefault="007C2DC4" w:rsidP="007C2DC4">
      <w:pPr>
        <w:pStyle w:val="12"/>
      </w:pPr>
      <w:r>
        <w:t>Publisher: Archlib &amp; Information Services Ltd</w:t>
      </w:r>
    </w:p>
    <w:p w:rsidR="007C2DC4" w:rsidRDefault="007C2DC4" w:rsidP="007C2DC4">
      <w:pPr>
        <w:pStyle w:val="12"/>
      </w:pPr>
      <w:r>
        <w:t>Publisher Address: Po Box 20492, Ibadan 00000, Nigeria</w:t>
      </w:r>
    </w:p>
    <w:p w:rsidR="007C2DC4" w:rsidRDefault="007C2DC4" w:rsidP="007C2DC4">
      <w:pPr>
        <w:pStyle w:val="12"/>
      </w:pPr>
      <w:r>
        <w:t>Subject Categories:</w:t>
      </w:r>
    </w:p>
    <w:p w:rsidR="007C2DC4" w:rsidRPr="00F219CA" w:rsidRDefault="007C2DC4" w:rsidP="007C2DC4">
      <w:pPr>
        <w:pStyle w:val="12"/>
      </w:pPr>
      <w:r>
        <w:t>Information Science &amp; Library Science</w:t>
      </w:r>
      <w:r w:rsidRPr="00F219CA">
        <w:t xml:space="preserve">: Impact Factor </w:t>
      </w:r>
      <w:r>
        <w:rPr>
          <w:rFonts w:hint="eastAsia"/>
        </w:rPr>
        <w:t>0.129, 60/65 (2009)</w:t>
      </w:r>
    </w:p>
    <w:p w:rsidR="003474F2" w:rsidRPr="001A3D2B" w:rsidRDefault="003474F2" w:rsidP="003474F2">
      <w:pPr>
        <w:pStyle w:val="a3"/>
        <w:rPr>
          <w:szCs w:val="24"/>
        </w:rPr>
      </w:pPr>
      <w:r w:rsidRPr="001A3D2B">
        <w:rPr>
          <w:szCs w:val="24"/>
        </w:rPr>
        <w:t>Notes: TTopic, CCountry</w:t>
      </w:r>
    </w:p>
    <w:p w:rsidR="003474F2" w:rsidRPr="001A3D2B" w:rsidRDefault="003474F2" w:rsidP="003474F2">
      <w:pPr>
        <w:pStyle w:val="a3"/>
      </w:pPr>
      <w:r w:rsidRPr="001A3D2B">
        <w:rPr>
          <w:szCs w:val="24"/>
        </w:rPr>
        <w:t>? Nwagwu, W.E. (2007), A comparative study</w:t>
      </w:r>
      <w:r w:rsidR="00427468">
        <w:rPr>
          <w:szCs w:val="24"/>
        </w:rPr>
        <w:t xml:space="preserve"> of </w:t>
      </w:r>
      <w:r w:rsidR="003A1917">
        <w:rPr>
          <w:szCs w:val="24"/>
        </w:rPr>
        <w:t xml:space="preserve">the </w:t>
      </w:r>
      <w:r w:rsidRPr="001A3D2B">
        <w:rPr>
          <w:szCs w:val="24"/>
        </w:rPr>
        <w:t>productivity</w:t>
      </w:r>
      <w:r w:rsidR="00427468">
        <w:rPr>
          <w:szCs w:val="24"/>
        </w:rPr>
        <w:t xml:space="preserve"> of </w:t>
      </w:r>
      <w:r w:rsidRPr="001A3D2B">
        <w:rPr>
          <w:szCs w:val="24"/>
        </w:rPr>
        <w:t>HIV/AIDS literature on Nigeria</w:t>
      </w:r>
      <w:r w:rsidR="005853A9">
        <w:rPr>
          <w:szCs w:val="24"/>
        </w:rPr>
        <w:t xml:space="preserve"> and </w:t>
      </w:r>
      <w:r w:rsidRPr="001A3D2B">
        <w:rPr>
          <w:szCs w:val="24"/>
        </w:rPr>
        <w:t xml:space="preserve">South Africa in </w:t>
      </w:r>
      <w:r w:rsidR="00D5664A">
        <w:rPr>
          <w:szCs w:val="24"/>
        </w:rPr>
        <w:t>MEDLINE</w:t>
      </w:r>
      <w:r w:rsidR="005853A9">
        <w:rPr>
          <w:szCs w:val="24"/>
        </w:rPr>
        <w:t xml:space="preserve"> and </w:t>
      </w:r>
      <w:r w:rsidRPr="001A3D2B">
        <w:rPr>
          <w:szCs w:val="24"/>
        </w:rPr>
        <w:t xml:space="preserve">Science Citation Index. </w:t>
      </w:r>
      <w:r w:rsidRPr="001A3D2B">
        <w:rPr>
          <w:i/>
          <w:iCs/>
        </w:rPr>
        <w:t>African Journal</w:t>
      </w:r>
      <w:r w:rsidR="00427468">
        <w:rPr>
          <w:i/>
          <w:iCs/>
        </w:rPr>
        <w:t xml:space="preserve"> of </w:t>
      </w:r>
      <w:r w:rsidRPr="001A3D2B">
        <w:rPr>
          <w:i/>
          <w:iCs/>
        </w:rPr>
        <w:t>Library Archives</w:t>
      </w:r>
      <w:r w:rsidR="005853A9">
        <w:rPr>
          <w:i/>
          <w:iCs/>
        </w:rPr>
        <w:t xml:space="preserve"> and </w:t>
      </w:r>
      <w:r w:rsidRPr="001A3D2B">
        <w:rPr>
          <w:i/>
          <w:iCs/>
        </w:rPr>
        <w:t>Information Science</w:t>
      </w:r>
      <w:r w:rsidRPr="001A3D2B">
        <w:t xml:space="preserve">, </w:t>
      </w:r>
      <w:r w:rsidRPr="001A3D2B">
        <w:rPr>
          <w:b/>
          <w:bCs/>
        </w:rPr>
        <w:t>17</w:t>
      </w:r>
      <w:r w:rsidRPr="001A3D2B">
        <w:t xml:space="preserve"> (1), 1-13.</w:t>
      </w:r>
    </w:p>
    <w:p w:rsidR="003474F2" w:rsidRPr="001A3D2B" w:rsidRDefault="003474F2" w:rsidP="003474F2">
      <w:pPr>
        <w:pStyle w:val="a3"/>
        <w:rPr>
          <w:b/>
        </w:rPr>
      </w:pPr>
      <w:r w:rsidRPr="001A3D2B">
        <w:t xml:space="preserve">Full Text: </w:t>
      </w:r>
      <w:hyperlink r:id="rId301" w:history="1">
        <w:r w:rsidRPr="001A3D2B">
          <w:rPr>
            <w:rStyle w:val="a5"/>
          </w:rPr>
          <w:t>2007\Afr J Lib Arc Inf Sci17, 1.pdf</w:t>
        </w:r>
      </w:hyperlink>
    </w:p>
    <w:p w:rsidR="003474F2" w:rsidRPr="001A3D2B" w:rsidRDefault="003474F2" w:rsidP="003474F2">
      <w:pPr>
        <w:pStyle w:val="a3"/>
        <w:rPr>
          <w:szCs w:val="24"/>
        </w:rPr>
      </w:pPr>
      <w:r w:rsidRPr="001A3D2B">
        <w:rPr>
          <w:szCs w:val="24"/>
        </w:rPr>
        <w:t>Abstract: Bibliographic data on HIV/AIDS literature on Nigeria</w:t>
      </w:r>
      <w:r w:rsidR="005853A9">
        <w:rPr>
          <w:szCs w:val="24"/>
        </w:rPr>
        <w:t xml:space="preserve"> and </w:t>
      </w:r>
      <w:r w:rsidRPr="001A3D2B">
        <w:rPr>
          <w:szCs w:val="24"/>
        </w:rPr>
        <w:t xml:space="preserve">South Africa were drawn from </w:t>
      </w:r>
      <w:r w:rsidR="00D5664A">
        <w:rPr>
          <w:szCs w:val="24"/>
        </w:rPr>
        <w:t>MEDLINE</w:t>
      </w:r>
      <w:r w:rsidR="005853A9">
        <w:rPr>
          <w:szCs w:val="24"/>
        </w:rPr>
        <w:t xml:space="preserve"> and </w:t>
      </w:r>
      <w:r w:rsidRPr="001A3D2B">
        <w:rPr>
          <w:szCs w:val="24"/>
        </w:rPr>
        <w:t>Science Citation Index (SCI) respectively, covering</w:t>
      </w:r>
      <w:r w:rsidR="003A1917">
        <w:rPr>
          <w:szCs w:val="24"/>
        </w:rPr>
        <w:t xml:space="preserve"> the </w:t>
      </w:r>
      <w:r w:rsidRPr="001A3D2B">
        <w:rPr>
          <w:szCs w:val="24"/>
        </w:rPr>
        <w:t>period 2000-2004, to study</w:t>
      </w:r>
      <w:r w:rsidR="003A1917">
        <w:rPr>
          <w:szCs w:val="24"/>
        </w:rPr>
        <w:t xml:space="preserve"> the </w:t>
      </w:r>
      <w:r w:rsidRPr="001A3D2B">
        <w:rPr>
          <w:szCs w:val="24"/>
        </w:rPr>
        <w:t>productivity</w:t>
      </w:r>
      <w:r w:rsidR="00427468">
        <w:rPr>
          <w:szCs w:val="24"/>
        </w:rPr>
        <w:t xml:space="preserve"> of </w:t>
      </w:r>
      <w:r w:rsidRPr="001A3D2B">
        <w:rPr>
          <w:szCs w:val="24"/>
        </w:rPr>
        <w:t xml:space="preserve">literature produced by </w:t>
      </w:r>
      <w:r w:rsidR="00700038">
        <w:rPr>
          <w:szCs w:val="24"/>
        </w:rPr>
        <w:t>‘</w:t>
      </w:r>
      <w:r w:rsidRPr="001A3D2B">
        <w:rPr>
          <w:szCs w:val="24"/>
        </w:rPr>
        <w:t>all authors</w:t>
      </w:r>
      <w:r w:rsidR="00700038">
        <w:rPr>
          <w:szCs w:val="24"/>
        </w:rPr>
        <w:t>’</w:t>
      </w:r>
      <w:r w:rsidRPr="001A3D2B">
        <w:rPr>
          <w:szCs w:val="24"/>
        </w:rPr>
        <w:t xml:space="preserve">, first authors, </w:t>
      </w:r>
      <w:r w:rsidR="00700038">
        <w:rPr>
          <w:szCs w:val="24"/>
        </w:rPr>
        <w:t>‘</w:t>
      </w:r>
      <w:r w:rsidRPr="001A3D2B">
        <w:rPr>
          <w:szCs w:val="24"/>
        </w:rPr>
        <w:t>non-collaborative authors</w:t>
      </w:r>
      <w:r w:rsidR="00700038">
        <w:rPr>
          <w:szCs w:val="24"/>
        </w:rPr>
        <w:t>’</w:t>
      </w:r>
      <w:r w:rsidR="005853A9">
        <w:rPr>
          <w:szCs w:val="24"/>
        </w:rPr>
        <w:t xml:space="preserve"> and </w:t>
      </w:r>
      <w:r w:rsidR="00700038">
        <w:rPr>
          <w:szCs w:val="24"/>
        </w:rPr>
        <w:t>‘</w:t>
      </w:r>
      <w:r w:rsidRPr="001A3D2B">
        <w:rPr>
          <w:szCs w:val="24"/>
        </w:rPr>
        <w:t>co-authors</w:t>
      </w:r>
      <w:r w:rsidR="00700038">
        <w:rPr>
          <w:szCs w:val="24"/>
        </w:rPr>
        <w:t>’</w:t>
      </w:r>
      <w:r w:rsidRPr="001A3D2B">
        <w:rPr>
          <w:szCs w:val="24"/>
        </w:rPr>
        <w:t xml:space="preserve"> using Lotka Law</w:t>
      </w:r>
      <w:r w:rsidR="00A37C1D">
        <w:rPr>
          <w:szCs w:val="24"/>
        </w:rPr>
        <w:t>. The</w:t>
      </w:r>
      <w:r w:rsidR="003A1917">
        <w:rPr>
          <w:szCs w:val="24"/>
        </w:rPr>
        <w:t xml:space="preserve"> </w:t>
      </w:r>
      <w:r w:rsidRPr="001A3D2B">
        <w:rPr>
          <w:szCs w:val="24"/>
        </w:rPr>
        <w:t xml:space="preserve">first authors in </w:t>
      </w:r>
      <w:r w:rsidR="00D5664A">
        <w:rPr>
          <w:szCs w:val="24"/>
        </w:rPr>
        <w:t>MEDLINE</w:t>
      </w:r>
      <w:r w:rsidRPr="001A3D2B">
        <w:rPr>
          <w:szCs w:val="24"/>
        </w:rPr>
        <w:t xml:space="preserve"> did not yield </w:t>
      </w:r>
      <w:r w:rsidR="00D5664A">
        <w:rPr>
          <w:szCs w:val="24"/>
        </w:rPr>
        <w:t>USA</w:t>
      </w:r>
      <w:r w:rsidRPr="001A3D2B">
        <w:rPr>
          <w:szCs w:val="24"/>
        </w:rPr>
        <w:t>ble result for Nigeria, but</w:t>
      </w:r>
      <w:r w:rsidR="003A1917">
        <w:rPr>
          <w:szCs w:val="24"/>
        </w:rPr>
        <w:t xml:space="preserve"> the </w:t>
      </w:r>
      <w:r w:rsidRPr="001A3D2B">
        <w:rPr>
          <w:szCs w:val="24"/>
        </w:rPr>
        <w:t>characteristic exponents for</w:t>
      </w:r>
      <w:r w:rsidR="003A1917">
        <w:rPr>
          <w:szCs w:val="24"/>
        </w:rPr>
        <w:t xml:space="preserve"> the </w:t>
      </w:r>
      <w:r w:rsidRPr="001A3D2B">
        <w:rPr>
          <w:szCs w:val="24"/>
        </w:rPr>
        <w:t>other categories</w:t>
      </w:r>
      <w:r w:rsidR="00427468">
        <w:rPr>
          <w:szCs w:val="24"/>
        </w:rPr>
        <w:t xml:space="preserve"> of </w:t>
      </w:r>
      <w:r w:rsidRPr="001A3D2B">
        <w:rPr>
          <w:szCs w:val="24"/>
        </w:rPr>
        <w:t>authors are higher for Nigeria (6 ranging between 2</w:t>
      </w:r>
      <w:r w:rsidR="005853A9">
        <w:rPr>
          <w:szCs w:val="24"/>
        </w:rPr>
        <w:t xml:space="preserve"> and </w:t>
      </w:r>
      <w:r w:rsidRPr="001A3D2B">
        <w:rPr>
          <w:szCs w:val="24"/>
        </w:rPr>
        <w:t>4) than South Africa (6 ranging between 2</w:t>
      </w:r>
      <w:r w:rsidR="005853A9">
        <w:rPr>
          <w:szCs w:val="24"/>
        </w:rPr>
        <w:t xml:space="preserve"> and </w:t>
      </w:r>
      <w:r w:rsidRPr="001A3D2B">
        <w:rPr>
          <w:szCs w:val="24"/>
        </w:rPr>
        <w:t>3). Based on</w:t>
      </w:r>
      <w:r w:rsidR="008E3069">
        <w:rPr>
          <w:szCs w:val="24"/>
        </w:rPr>
        <w:t xml:space="preserve"> SCI,</w:t>
      </w:r>
      <w:r w:rsidR="003A1917">
        <w:rPr>
          <w:szCs w:val="24"/>
        </w:rPr>
        <w:t xml:space="preserve"> the </w:t>
      </w:r>
      <w:r w:rsidRPr="001A3D2B">
        <w:rPr>
          <w:szCs w:val="24"/>
        </w:rPr>
        <w:t>model yielded only useful result for</w:t>
      </w:r>
      <w:r w:rsidR="003A1917">
        <w:rPr>
          <w:szCs w:val="24"/>
        </w:rPr>
        <w:t xml:space="preserve"> the </w:t>
      </w:r>
      <w:r w:rsidRPr="001A3D2B">
        <w:rPr>
          <w:szCs w:val="24"/>
        </w:rPr>
        <w:t>Nigerian co-authors, whereas all other categories</w:t>
      </w:r>
      <w:r w:rsidR="00427468">
        <w:rPr>
          <w:szCs w:val="24"/>
        </w:rPr>
        <w:t xml:space="preserve"> of </w:t>
      </w:r>
      <w:r w:rsidRPr="001A3D2B">
        <w:rPr>
          <w:szCs w:val="24"/>
        </w:rPr>
        <w:t>authors yielded exponents that ranged between 1</w:t>
      </w:r>
      <w:r w:rsidR="005853A9">
        <w:rPr>
          <w:szCs w:val="24"/>
        </w:rPr>
        <w:t xml:space="preserve"> and </w:t>
      </w:r>
      <w:r w:rsidRPr="001A3D2B">
        <w:rPr>
          <w:szCs w:val="24"/>
        </w:rPr>
        <w:t xml:space="preserve">3 for South Africa. We deduce that </w:t>
      </w:r>
      <w:r w:rsidR="00D5664A">
        <w:rPr>
          <w:szCs w:val="24"/>
        </w:rPr>
        <w:t>MEDLINE</w:t>
      </w:r>
      <w:r w:rsidRPr="001A3D2B">
        <w:rPr>
          <w:szCs w:val="24"/>
        </w:rPr>
        <w:t xml:space="preserve"> appears to accommodate HIV/AIDS literature emanating from Nigeria more than it does those coming-from South Africa, while</w:t>
      </w:r>
      <w:r w:rsidR="003A1917">
        <w:rPr>
          <w:szCs w:val="24"/>
        </w:rPr>
        <w:t xml:space="preserve"> the </w:t>
      </w:r>
      <w:r w:rsidRPr="001A3D2B">
        <w:rPr>
          <w:szCs w:val="24"/>
        </w:rPr>
        <w:t>opposite is</w:t>
      </w:r>
      <w:r w:rsidR="003A1917">
        <w:rPr>
          <w:szCs w:val="24"/>
        </w:rPr>
        <w:t xml:space="preserve"> the </w:t>
      </w:r>
      <w:r w:rsidRPr="001A3D2B">
        <w:rPr>
          <w:szCs w:val="24"/>
        </w:rPr>
        <w:t xml:space="preserve">case with SCI Finally, scientific productivity in Nigeria is more significant when assessed based on </w:t>
      </w:r>
      <w:r w:rsidR="00D5664A">
        <w:rPr>
          <w:szCs w:val="24"/>
        </w:rPr>
        <w:t>MEDLINE</w:t>
      </w:r>
      <w:r w:rsidRPr="001A3D2B">
        <w:rPr>
          <w:szCs w:val="24"/>
        </w:rPr>
        <w:t xml:space="preserve"> than SCI</w:t>
      </w:r>
      <w:r w:rsidR="00A37C1D">
        <w:rPr>
          <w:szCs w:val="24"/>
        </w:rPr>
        <w:t>. The</w:t>
      </w:r>
      <w:r w:rsidR="003A1917">
        <w:rPr>
          <w:szCs w:val="24"/>
        </w:rPr>
        <w:t xml:space="preserve"> </w:t>
      </w:r>
      <w:r w:rsidRPr="001A3D2B">
        <w:rPr>
          <w:szCs w:val="24"/>
        </w:rPr>
        <w:t>reverse is</w:t>
      </w:r>
      <w:r w:rsidR="003A1917">
        <w:rPr>
          <w:szCs w:val="24"/>
        </w:rPr>
        <w:t xml:space="preserve"> the </w:t>
      </w:r>
      <w:r w:rsidRPr="001A3D2B">
        <w:rPr>
          <w:szCs w:val="24"/>
        </w:rPr>
        <w:t>case for South Africa.</w:t>
      </w:r>
    </w:p>
    <w:p w:rsidR="003474F2" w:rsidRPr="001A3D2B" w:rsidRDefault="003474F2" w:rsidP="003474F2">
      <w:pPr>
        <w:pStyle w:val="a3"/>
        <w:rPr>
          <w:szCs w:val="24"/>
        </w:rPr>
      </w:pPr>
      <w:r w:rsidRPr="001A3D2B">
        <w:rPr>
          <w:szCs w:val="24"/>
        </w:rPr>
        <w:t>Keywords: Africa, Authors, Citation, Co-Authors, Communication, Comparative Study, Data, First, HIV, AIDS, Literature, Lotka, Model, Nigeria, Patterns, Productivity</w:t>
      </w:r>
      <w:r w:rsidR="00D5664A">
        <w:rPr>
          <w:szCs w:val="24"/>
        </w:rPr>
        <w:t>, SCI,</w:t>
      </w:r>
      <w:r w:rsidRPr="001A3D2B">
        <w:rPr>
          <w:szCs w:val="24"/>
        </w:rPr>
        <w:t xml:space="preserve"> Science Citation Index, Scientific Productivity, South Africa</w:t>
      </w:r>
    </w:p>
    <w:p w:rsidR="006C060E" w:rsidRDefault="006C060E" w:rsidP="003474F2">
      <w:pPr>
        <w:pStyle w:val="a3"/>
      </w:pPr>
      <w:r>
        <w:rPr>
          <w:rFonts w:hint="eastAsia"/>
        </w:rPr>
        <w:t>Notes: CCountry</w:t>
      </w:r>
    </w:p>
    <w:p w:rsidR="003474F2" w:rsidRPr="001A3D2B" w:rsidRDefault="003474F2" w:rsidP="003474F2">
      <w:pPr>
        <w:pStyle w:val="a3"/>
      </w:pPr>
      <w:r w:rsidRPr="001A3D2B">
        <w:t>? Sam, J. (2008), An analysis</w:t>
      </w:r>
      <w:r w:rsidR="00427468">
        <w:t xml:space="preserve"> of </w:t>
      </w:r>
      <w:r w:rsidRPr="001A3D2B">
        <w:t xml:space="preserve">Ghana library journal: A bibliometric study. </w:t>
      </w:r>
      <w:r w:rsidRPr="001A3D2B">
        <w:rPr>
          <w:i/>
          <w:iCs/>
        </w:rPr>
        <w:t xml:space="preserve">African </w:t>
      </w:r>
      <w:r w:rsidRPr="001A3D2B">
        <w:rPr>
          <w:i/>
          <w:iCs/>
        </w:rPr>
        <w:lastRenderedPageBreak/>
        <w:t>Journal</w:t>
      </w:r>
      <w:r w:rsidR="00427468">
        <w:rPr>
          <w:i/>
          <w:iCs/>
        </w:rPr>
        <w:t xml:space="preserve"> of </w:t>
      </w:r>
      <w:r w:rsidRPr="001A3D2B">
        <w:rPr>
          <w:i/>
          <w:iCs/>
        </w:rPr>
        <w:t>Library Archives</w:t>
      </w:r>
      <w:r w:rsidR="005853A9">
        <w:rPr>
          <w:i/>
          <w:iCs/>
        </w:rPr>
        <w:t xml:space="preserve"> and </w:t>
      </w:r>
      <w:r w:rsidRPr="001A3D2B">
        <w:rPr>
          <w:i/>
          <w:iCs/>
        </w:rPr>
        <w:t>Information Science</w:t>
      </w:r>
      <w:r w:rsidRPr="001A3D2B">
        <w:t xml:space="preserve">, </w:t>
      </w:r>
      <w:r w:rsidRPr="001A3D2B">
        <w:rPr>
          <w:b/>
          <w:bCs/>
        </w:rPr>
        <w:t>18</w:t>
      </w:r>
      <w:r w:rsidRPr="001A3D2B">
        <w:t xml:space="preserve"> (1), 55-62.</w:t>
      </w:r>
    </w:p>
    <w:p w:rsidR="003474F2" w:rsidRPr="001A3D2B" w:rsidRDefault="003474F2" w:rsidP="003474F2">
      <w:pPr>
        <w:pStyle w:val="a3"/>
        <w:rPr>
          <w:b/>
        </w:rPr>
      </w:pPr>
      <w:r w:rsidRPr="001A3D2B">
        <w:t xml:space="preserve">Full text: </w:t>
      </w:r>
      <w:hyperlink r:id="rId302" w:history="1">
        <w:r w:rsidRPr="001A3D2B">
          <w:rPr>
            <w:rStyle w:val="a5"/>
          </w:rPr>
          <w:t>2008\Afr J Lib Arc Inf Sci18, 55.pdf</w:t>
        </w:r>
      </w:hyperlink>
    </w:p>
    <w:p w:rsidR="003474F2" w:rsidRPr="001A3D2B" w:rsidRDefault="003474F2" w:rsidP="003474F2">
      <w:pPr>
        <w:pStyle w:val="a3"/>
      </w:pPr>
      <w:r w:rsidRPr="001A3D2B">
        <w:t>Abstract: This paper presents</w:t>
      </w:r>
      <w:r w:rsidR="003A1917">
        <w:t xml:space="preserve"> the </w:t>
      </w:r>
      <w:r w:rsidRPr="001A3D2B">
        <w:t>results</w:t>
      </w:r>
      <w:r w:rsidR="00427468">
        <w:t xml:space="preserve"> of </w:t>
      </w:r>
      <w:r w:rsidRPr="001A3D2B">
        <w:t>an analysis</w:t>
      </w:r>
      <w:r w:rsidR="00427468">
        <w:t xml:space="preserve"> of </w:t>
      </w:r>
      <w:r w:rsidRPr="001A3D2B">
        <w:t>articles published in</w:t>
      </w:r>
      <w:r w:rsidR="003A1917">
        <w:t xml:space="preserve"> the </w:t>
      </w:r>
      <w:r w:rsidRPr="001A3D2B">
        <w:t>Ghana Library Journal over a seven-year period from 2000 to 2006</w:t>
      </w:r>
      <w:r w:rsidR="00A37C1D">
        <w:t>. The</w:t>
      </w:r>
      <w:r w:rsidR="003A1917">
        <w:t xml:space="preserve"> </w:t>
      </w:r>
      <w:r w:rsidRPr="001A3D2B">
        <w:t>majority</w:t>
      </w:r>
      <w:r w:rsidR="00427468">
        <w:t xml:space="preserve"> of </w:t>
      </w:r>
      <w:r w:rsidR="003A1917">
        <w:t xml:space="preserve">the </w:t>
      </w:r>
      <w:r w:rsidRPr="001A3D2B">
        <w:t>items cited were journals (44.5%), followed by books (32.5%),</w:t>
      </w:r>
      <w:r w:rsidR="005853A9">
        <w:t xml:space="preserve"> and </w:t>
      </w:r>
      <w:r w:rsidRPr="001A3D2B">
        <w:t>reports (9.4%). Current sources</w:t>
      </w:r>
      <w:r w:rsidR="00427468">
        <w:t xml:space="preserve"> of </w:t>
      </w:r>
      <w:r w:rsidRPr="001A3D2B">
        <w:t>information were about 62.9%</w:t>
      </w:r>
      <w:r w:rsidR="00427468">
        <w:t xml:space="preserve"> of </w:t>
      </w:r>
      <w:r w:rsidR="003A1917">
        <w:t xml:space="preserve">the </w:t>
      </w:r>
      <w:r w:rsidRPr="001A3D2B">
        <w:t>journals</w:t>
      </w:r>
      <w:r w:rsidR="005853A9">
        <w:t xml:space="preserve"> and </w:t>
      </w:r>
      <w:r w:rsidRPr="001A3D2B">
        <w:t>48.8%</w:t>
      </w:r>
      <w:r w:rsidR="00427468">
        <w:t xml:space="preserve"> of </w:t>
      </w:r>
      <w:r w:rsidR="003A1917">
        <w:t xml:space="preserve">the </w:t>
      </w:r>
      <w:r w:rsidRPr="001A3D2B">
        <w:t>books appearing in</w:t>
      </w:r>
      <w:r w:rsidR="003A1917">
        <w:t xml:space="preserve"> the </w:t>
      </w:r>
      <w:r w:rsidRPr="001A3D2B">
        <w:t>reference lists were published in 1990 or later Only four</w:t>
      </w:r>
      <w:r w:rsidR="00427468">
        <w:t xml:space="preserve"> of </w:t>
      </w:r>
      <w:r w:rsidR="003A1917">
        <w:t xml:space="preserve">the </w:t>
      </w:r>
      <w:r w:rsidRPr="001A3D2B">
        <w:t>top twenty-two journals cited frequently were</w:t>
      </w:r>
      <w:r w:rsidR="00427468">
        <w:t xml:space="preserve"> of </w:t>
      </w:r>
      <w:r w:rsidRPr="001A3D2B">
        <w:t>African origin,</w:t>
      </w:r>
      <w:r w:rsidR="003A1917">
        <w:t xml:space="preserve"> the </w:t>
      </w:r>
      <w:r w:rsidRPr="001A3D2B">
        <w:t>rest were European or US-based</w:t>
      </w:r>
      <w:r w:rsidR="00A37C1D">
        <w:t>. The</w:t>
      </w:r>
      <w:r w:rsidR="003A1917">
        <w:t xml:space="preserve"> </w:t>
      </w:r>
      <w:r w:rsidRPr="001A3D2B">
        <w:t>subject area most researched was academic libraries. Majority</w:t>
      </w:r>
      <w:r w:rsidR="00427468">
        <w:t xml:space="preserve"> of </w:t>
      </w:r>
      <w:r w:rsidR="003A1917">
        <w:t xml:space="preserve">the </w:t>
      </w:r>
      <w:r w:rsidRPr="001A3D2B">
        <w:t>authors were from universities</w:t>
      </w:r>
      <w:r w:rsidR="00A37C1D">
        <w:t>. The</w:t>
      </w:r>
      <w:r w:rsidR="003A1917">
        <w:t xml:space="preserve"> </w:t>
      </w:r>
      <w:r w:rsidRPr="001A3D2B">
        <w:t>journal did not attract many authors from outside Ghana. Recommendations are made on how to</w:t>
      </w:r>
      <w:r w:rsidR="003A1917">
        <w:t xml:space="preserve"> the </w:t>
      </w:r>
      <w:r w:rsidRPr="001A3D2B">
        <w:t>journal could attract authors from outside Ghana.</w:t>
      </w:r>
    </w:p>
    <w:p w:rsidR="003474F2" w:rsidRPr="001A3D2B" w:rsidRDefault="003474F2" w:rsidP="003474F2">
      <w:pPr>
        <w:pStyle w:val="a3"/>
      </w:pPr>
      <w:r w:rsidRPr="001A3D2B">
        <w:t>Keywords: Academic, Africa, African, Analysis, Authors, Bibliometric, Bibliometric Study, Collection Development, Ghana, Information, Journal, Journals, Majority, Origin, Reference, Reference Lists, Sources, Sources</w:t>
      </w:r>
      <w:r w:rsidR="00427468">
        <w:t xml:space="preserve"> of </w:t>
      </w:r>
      <w:r w:rsidRPr="001A3D2B">
        <w:t>Information, Trends, Universities</w:t>
      </w:r>
    </w:p>
    <w:p w:rsidR="00375225" w:rsidRPr="001A3D2B" w:rsidRDefault="00375225" w:rsidP="00375225">
      <w:pPr>
        <w:pStyle w:val="a3"/>
      </w:pPr>
      <w:r w:rsidRPr="001A3D2B">
        <w:t xml:space="preserve">? </w:t>
      </w:r>
      <w:r w:rsidRPr="00375225">
        <w:t>Onyancha</w:t>
      </w:r>
      <w:r>
        <w:rPr>
          <w:rFonts w:hint="eastAsia"/>
        </w:rPr>
        <w:t>,</w:t>
      </w:r>
      <w:r w:rsidRPr="00375225">
        <w:t xml:space="preserve"> O</w:t>
      </w:r>
      <w:r>
        <w:rPr>
          <w:rFonts w:hint="eastAsia"/>
        </w:rPr>
        <w:t>.</w:t>
      </w:r>
      <w:r w:rsidRPr="00375225">
        <w:t>B</w:t>
      </w:r>
      <w:r>
        <w:rPr>
          <w:rFonts w:hint="eastAsia"/>
        </w:rPr>
        <w:t>.</w:t>
      </w:r>
      <w:r w:rsidRPr="001A3D2B">
        <w:t xml:space="preserve"> (200</w:t>
      </w:r>
      <w:r w:rsidR="00925872">
        <w:rPr>
          <w:rFonts w:hint="eastAsia"/>
        </w:rPr>
        <w:t>9</w:t>
      </w:r>
      <w:r w:rsidRPr="001A3D2B">
        <w:t xml:space="preserve">), </w:t>
      </w:r>
      <w:r w:rsidRPr="00375225">
        <w:t>A citation analysis</w:t>
      </w:r>
      <w:r w:rsidR="00427468">
        <w:t xml:space="preserve"> of </w:t>
      </w:r>
      <w:r w:rsidRPr="00375225">
        <w:t>sub-saharan African library</w:t>
      </w:r>
      <w:r w:rsidR="005853A9">
        <w:t xml:space="preserve"> and </w:t>
      </w:r>
      <w:r w:rsidRPr="00375225">
        <w:t>information science journals using Google Scholar</w:t>
      </w:r>
      <w:r w:rsidRPr="001A3D2B">
        <w:t xml:space="preserve">. </w:t>
      </w:r>
      <w:r w:rsidRPr="001A3D2B">
        <w:rPr>
          <w:i/>
          <w:iCs/>
        </w:rPr>
        <w:t>African Journal</w:t>
      </w:r>
      <w:r w:rsidR="00427468">
        <w:rPr>
          <w:i/>
          <w:iCs/>
        </w:rPr>
        <w:t xml:space="preserve"> of </w:t>
      </w:r>
      <w:r w:rsidRPr="001A3D2B">
        <w:rPr>
          <w:i/>
          <w:iCs/>
        </w:rPr>
        <w:t>Library Archives</w:t>
      </w:r>
      <w:r w:rsidR="005853A9">
        <w:rPr>
          <w:i/>
          <w:iCs/>
        </w:rPr>
        <w:t xml:space="preserve"> and </w:t>
      </w:r>
      <w:r w:rsidRPr="001A3D2B">
        <w:rPr>
          <w:i/>
          <w:iCs/>
        </w:rPr>
        <w:t>Information Science</w:t>
      </w:r>
      <w:r w:rsidRPr="001A3D2B">
        <w:t xml:space="preserve">, </w:t>
      </w:r>
      <w:r w:rsidRPr="001A3D2B">
        <w:rPr>
          <w:b/>
          <w:bCs/>
        </w:rPr>
        <w:t>1</w:t>
      </w:r>
      <w:r>
        <w:rPr>
          <w:rFonts w:hint="eastAsia"/>
          <w:b/>
          <w:bCs/>
        </w:rPr>
        <w:t>9</w:t>
      </w:r>
      <w:r w:rsidRPr="001A3D2B">
        <w:t xml:space="preserve"> (</w:t>
      </w:r>
      <w:r>
        <w:rPr>
          <w:rFonts w:hint="eastAsia"/>
        </w:rPr>
        <w:t>2</w:t>
      </w:r>
      <w:r w:rsidRPr="001A3D2B">
        <w:t xml:space="preserve">), </w:t>
      </w:r>
      <w:r w:rsidR="00925872" w:rsidRPr="00375225">
        <w:t>101-116</w:t>
      </w:r>
      <w:r w:rsidRPr="001A3D2B">
        <w:t>.</w:t>
      </w:r>
    </w:p>
    <w:p w:rsidR="00375225" w:rsidRDefault="00375225" w:rsidP="00375225">
      <w:pPr>
        <w:pStyle w:val="a3"/>
        <w:rPr>
          <w:b/>
        </w:rPr>
      </w:pPr>
      <w:r w:rsidRPr="001A3D2B">
        <w:t xml:space="preserve">Full text: </w:t>
      </w:r>
      <w:hyperlink r:id="rId303" w:history="1">
        <w:r w:rsidR="00925872" w:rsidRPr="00925872">
          <w:rPr>
            <w:rStyle w:val="a5"/>
          </w:rPr>
          <w:t>2009\Afr J Lib Arc Inf Sci19, 101.pdf</w:t>
        </w:r>
      </w:hyperlink>
    </w:p>
    <w:p w:rsidR="00375225" w:rsidRPr="00375225" w:rsidRDefault="00375225" w:rsidP="00375225">
      <w:pPr>
        <w:pStyle w:val="a3"/>
      </w:pPr>
      <w:r w:rsidRPr="00375225">
        <w:t>Abstract: In bibliometrics,</w:t>
      </w:r>
      <w:r w:rsidR="003A1917">
        <w:t xml:space="preserve"> the </w:t>
      </w:r>
      <w:r w:rsidRPr="00375225">
        <w:t>numbers</w:t>
      </w:r>
      <w:r w:rsidR="00427468">
        <w:t xml:space="preserve"> of </w:t>
      </w:r>
      <w:r w:rsidRPr="00375225">
        <w:t>research articles</w:t>
      </w:r>
      <w:r w:rsidR="005853A9">
        <w:t xml:space="preserve"> and </w:t>
      </w:r>
      <w:r w:rsidRPr="00375225">
        <w:t>citations constitute</w:t>
      </w:r>
      <w:r w:rsidR="003A1917">
        <w:t xml:space="preserve"> the </w:t>
      </w:r>
      <w:r w:rsidRPr="00375225">
        <w:t>main measurement indicators</w:t>
      </w:r>
      <w:r w:rsidR="00427468">
        <w:t xml:space="preserve"> of </w:t>
      </w:r>
      <w:r w:rsidRPr="00375225">
        <w:t>research output</w:t>
      </w:r>
      <w:r w:rsidR="005853A9">
        <w:t xml:space="preserve"> and </w:t>
      </w:r>
      <w:r w:rsidRPr="00375225">
        <w:t>impact respectively This study evaluates</w:t>
      </w:r>
      <w:r w:rsidR="003A1917">
        <w:t xml:space="preserve"> the </w:t>
      </w:r>
      <w:r w:rsidRPr="00375225">
        <w:t>library</w:t>
      </w:r>
      <w:r w:rsidR="005853A9">
        <w:t xml:space="preserve"> and </w:t>
      </w:r>
      <w:r w:rsidRPr="00375225">
        <w:t>information science/studies (LIS) Journals published in sub-Saharan African countries in order to assess their performance. Drawing its data from Google Scholar,</w:t>
      </w:r>
      <w:r w:rsidR="003A1917">
        <w:t xml:space="preserve"> the </w:t>
      </w:r>
      <w:r w:rsidRPr="00375225">
        <w:t>paper compares</w:t>
      </w:r>
      <w:r w:rsidR="003A1917">
        <w:t xml:space="preserve"> the </w:t>
      </w:r>
      <w:r w:rsidRPr="00375225">
        <w:t>performance</w:t>
      </w:r>
      <w:r w:rsidR="00427468">
        <w:t xml:space="preserve"> of </w:t>
      </w:r>
      <w:r w:rsidRPr="00375225">
        <w:t>13 LIS,</w:t>
      </w:r>
      <w:r w:rsidR="004613AF">
        <w:rPr>
          <w:rFonts w:hint="eastAsia"/>
        </w:rPr>
        <w:t xml:space="preserve"> </w:t>
      </w:r>
      <w:r w:rsidRPr="00375225">
        <w:t>journals using</w:t>
      </w:r>
      <w:r w:rsidR="003A1917">
        <w:t xml:space="preserve"> the </w:t>
      </w:r>
      <w:r w:rsidRPr="00375225">
        <w:t>following indicators: number</w:t>
      </w:r>
      <w:r w:rsidR="00427468">
        <w:t xml:space="preserve"> of </w:t>
      </w:r>
      <w:r w:rsidRPr="00375225">
        <w:t>publications: average number</w:t>
      </w:r>
      <w:r w:rsidR="00427468">
        <w:t xml:space="preserve"> of </w:t>
      </w:r>
      <w:r w:rsidRPr="00375225">
        <w:t>records; number</w:t>
      </w:r>
      <w:r w:rsidR="00427468">
        <w:t xml:space="preserve"> of </w:t>
      </w:r>
      <w:r w:rsidRPr="00375225">
        <w:t>citations; citations per year; citations per article; citedness</w:t>
      </w:r>
      <w:r w:rsidR="005853A9">
        <w:t xml:space="preserve"> and </w:t>
      </w:r>
      <w:r w:rsidRPr="00375225">
        <w:t>uncitedness</w:t>
      </w:r>
      <w:r w:rsidR="00427468">
        <w:t xml:space="preserve"> of </w:t>
      </w:r>
      <w:r w:rsidR="003A1917">
        <w:t xml:space="preserve">the </w:t>
      </w:r>
      <w:r w:rsidRPr="00375225">
        <w:t xml:space="preserve">records published in each journal: </w:t>
      </w:r>
      <w:r w:rsidR="00D5664A">
        <w:t>h-Index</w:t>
      </w:r>
      <w:r w:rsidR="005853A9">
        <w:t xml:space="preserve"> and </w:t>
      </w:r>
      <w:r w:rsidRPr="00375225">
        <w:t>g-index:</w:t>
      </w:r>
      <w:r w:rsidR="005853A9">
        <w:t xml:space="preserve"> and </w:t>
      </w:r>
      <w:r w:rsidRPr="00375225">
        <w:t>citation impact factor</w:t>
      </w:r>
      <w:r w:rsidR="003A1917">
        <w:t xml:space="preserve"> the </w:t>
      </w:r>
      <w:r w:rsidRPr="00375225">
        <w:t>paper also identifies journals with</w:t>
      </w:r>
      <w:r w:rsidR="003A1917">
        <w:t xml:space="preserve"> the </w:t>
      </w:r>
      <w:r w:rsidRPr="00375225">
        <w:t>most cited works</w:t>
      </w:r>
      <w:r w:rsidR="005853A9">
        <w:t xml:space="preserve"> and </w:t>
      </w:r>
      <w:r w:rsidRPr="00375225">
        <w:t>ranks</w:t>
      </w:r>
      <w:r w:rsidR="003A1917">
        <w:t xml:space="preserve"> the </w:t>
      </w:r>
      <w:r w:rsidRPr="00375225">
        <w:t>journals according to</w:t>
      </w:r>
      <w:r w:rsidR="003A1917">
        <w:t xml:space="preserve"> the </w:t>
      </w:r>
      <w:r w:rsidRPr="00375225">
        <w:t>above measurement indicators. Results indicate that publication</w:t>
      </w:r>
      <w:r w:rsidR="00427468">
        <w:t xml:space="preserve"> of </w:t>
      </w:r>
      <w:r w:rsidRPr="00375225">
        <w:t>LIS journals in Sub-Saharan Africa is a relatively recent practice; a number</w:t>
      </w:r>
      <w:r w:rsidR="00427468">
        <w:t xml:space="preserve"> of </w:t>
      </w:r>
      <w:r w:rsidRPr="00375225">
        <w:t>journals have not published any issues for close to 5 years; some Journals have ceased publication: there is irregular publication</w:t>
      </w:r>
      <w:r w:rsidR="00427468">
        <w:t xml:space="preserve"> of </w:t>
      </w:r>
      <w:r w:rsidRPr="00375225">
        <w:t>journals; there are about five core LIS journals in</w:t>
      </w:r>
      <w:r w:rsidR="003A1917">
        <w:t xml:space="preserve"> the </w:t>
      </w:r>
      <w:r w:rsidRPr="00375225">
        <w:t>region: AJLAIS was</w:t>
      </w:r>
      <w:r w:rsidR="003A1917">
        <w:t xml:space="preserve"> the </w:t>
      </w:r>
      <w:r w:rsidRPr="00375225">
        <w:t>most highly cited journal, but</w:t>
      </w:r>
      <w:r w:rsidR="003A1917">
        <w:t xml:space="preserve"> the </w:t>
      </w:r>
      <w:r w:rsidRPr="00375225">
        <w:t>most influential journals in terms</w:t>
      </w:r>
      <w:r w:rsidR="00427468">
        <w:t xml:space="preserve"> of </w:t>
      </w:r>
      <w:r w:rsidR="003A1917">
        <w:t xml:space="preserve">the </w:t>
      </w:r>
      <w:r w:rsidRPr="00375225">
        <w:t>IF include SAJLIS. Innovation</w:t>
      </w:r>
      <w:r w:rsidR="005853A9">
        <w:t xml:space="preserve"> and </w:t>
      </w:r>
      <w:r w:rsidRPr="00375225">
        <w:t>Mo</w:t>
      </w:r>
      <w:r w:rsidR="00D5664A">
        <w:t>USA</w:t>
      </w:r>
      <w:r w:rsidRPr="00375225">
        <w:t>ion</w:t>
      </w:r>
      <w:r w:rsidR="00A37C1D">
        <w:t>. The</w:t>
      </w:r>
      <w:r w:rsidR="003A1917">
        <w:t xml:space="preserve"> </w:t>
      </w:r>
      <w:r w:rsidRPr="00375225">
        <w:t>challenges faced by journal publishers</w:t>
      </w:r>
      <w:r w:rsidR="005853A9">
        <w:t xml:space="preserve"> and </w:t>
      </w:r>
      <w:r w:rsidRPr="00375225">
        <w:t>researchers in sub-Saharan Africa, as well as recommendations on improving</w:t>
      </w:r>
      <w:r w:rsidR="003A1917">
        <w:t xml:space="preserve"> the </w:t>
      </w:r>
      <w:r w:rsidRPr="00375225">
        <w:t>visibility</w:t>
      </w:r>
      <w:r w:rsidR="005853A9">
        <w:t xml:space="preserve"> and </w:t>
      </w:r>
      <w:r w:rsidRPr="00375225">
        <w:t>impact</w:t>
      </w:r>
      <w:r w:rsidR="00427468">
        <w:t xml:space="preserve"> of </w:t>
      </w:r>
      <w:r w:rsidRPr="00375225">
        <w:t>journals in</w:t>
      </w:r>
      <w:r w:rsidR="003A1917">
        <w:t xml:space="preserve"> the </w:t>
      </w:r>
      <w:r w:rsidRPr="00375225">
        <w:t>region</w:t>
      </w:r>
      <w:r w:rsidR="005853A9">
        <w:t xml:space="preserve"> and </w:t>
      </w:r>
      <w:r w:rsidRPr="00375225">
        <w:t>internationally, are outlined.</w:t>
      </w:r>
    </w:p>
    <w:p w:rsidR="00375225" w:rsidRPr="00375225" w:rsidRDefault="00375225" w:rsidP="00375225">
      <w:pPr>
        <w:pStyle w:val="a3"/>
      </w:pPr>
      <w:r w:rsidRPr="00375225">
        <w:t>Keywords: Informetrics, Citation Analysis, Library</w:t>
      </w:r>
      <w:r w:rsidR="005853A9">
        <w:t xml:space="preserve"> and </w:t>
      </w:r>
      <w:r w:rsidRPr="00375225">
        <w:t xml:space="preserve">Information Science Journals, </w:t>
      </w:r>
      <w:r w:rsidRPr="00375225">
        <w:lastRenderedPageBreak/>
        <w:t>Journal Productivity, Impact Analysis, Impact Factor, Index, Databases</w:t>
      </w:r>
    </w:p>
    <w:p w:rsidR="006B0869" w:rsidRDefault="006B0869" w:rsidP="006B0869">
      <w:pPr>
        <w:pStyle w:val="a3"/>
        <w:rPr>
          <w:kern w:val="0"/>
        </w:rPr>
      </w:pPr>
      <w:r>
        <w:rPr>
          <w:rFonts w:hint="eastAsia"/>
          <w:kern w:val="0"/>
        </w:rPr>
        <w:t xml:space="preserve">? </w:t>
      </w:r>
      <w:r>
        <w:rPr>
          <w:kern w:val="0"/>
        </w:rPr>
        <w:t>Okafor, V.N.</w:t>
      </w:r>
      <w:r w:rsidR="005853A9">
        <w:rPr>
          <w:kern w:val="0"/>
        </w:rPr>
        <w:t xml:space="preserve"> and </w:t>
      </w:r>
      <w:r>
        <w:rPr>
          <w:kern w:val="0"/>
        </w:rPr>
        <w:t>Dike, V.W. (2010), Research output</w:t>
      </w:r>
      <w:r w:rsidR="00427468">
        <w:rPr>
          <w:kern w:val="0"/>
        </w:rPr>
        <w:t xml:space="preserve"> of </w:t>
      </w:r>
      <w:r>
        <w:rPr>
          <w:kern w:val="0"/>
        </w:rPr>
        <w:t>academics in</w:t>
      </w:r>
      <w:r w:rsidR="003A1917">
        <w:rPr>
          <w:kern w:val="0"/>
        </w:rPr>
        <w:t xml:space="preserve"> the </w:t>
      </w:r>
      <w:r>
        <w:rPr>
          <w:kern w:val="0"/>
        </w:rPr>
        <w:t>science</w:t>
      </w:r>
      <w:r w:rsidR="005853A9">
        <w:rPr>
          <w:kern w:val="0"/>
        </w:rPr>
        <w:t xml:space="preserve"> and </w:t>
      </w:r>
      <w:r>
        <w:rPr>
          <w:kern w:val="0"/>
        </w:rPr>
        <w:t>engineering faculties</w:t>
      </w:r>
      <w:r w:rsidR="00427468">
        <w:rPr>
          <w:kern w:val="0"/>
        </w:rPr>
        <w:t xml:space="preserve"> of </w:t>
      </w:r>
      <w:r>
        <w:rPr>
          <w:kern w:val="0"/>
        </w:rPr>
        <w:t xml:space="preserve">federal universities in Southern Nigeria. </w:t>
      </w:r>
      <w:r>
        <w:rPr>
          <w:i/>
          <w:iCs/>
          <w:kern w:val="0"/>
        </w:rPr>
        <w:t>African Journal</w:t>
      </w:r>
      <w:r w:rsidR="00427468">
        <w:rPr>
          <w:i/>
          <w:iCs/>
          <w:kern w:val="0"/>
        </w:rPr>
        <w:t xml:space="preserve"> of </w:t>
      </w:r>
      <w:r>
        <w:rPr>
          <w:i/>
          <w:iCs/>
          <w:kern w:val="0"/>
        </w:rPr>
        <w:t>Library Archives</w:t>
      </w:r>
      <w:r w:rsidR="005853A9">
        <w:rPr>
          <w:i/>
          <w:iCs/>
          <w:kern w:val="0"/>
        </w:rPr>
        <w:t xml:space="preserve"> and </w:t>
      </w:r>
      <w:r>
        <w:rPr>
          <w:i/>
          <w:iCs/>
          <w:kern w:val="0"/>
        </w:rPr>
        <w:t>Information Science</w:t>
      </w:r>
      <w:r>
        <w:rPr>
          <w:kern w:val="0"/>
        </w:rPr>
        <w:t xml:space="preserve">, </w:t>
      </w:r>
      <w:r>
        <w:rPr>
          <w:b/>
          <w:bCs/>
          <w:kern w:val="0"/>
        </w:rPr>
        <w:t>20</w:t>
      </w:r>
      <w:r>
        <w:rPr>
          <w:kern w:val="0"/>
        </w:rPr>
        <w:t xml:space="preserve"> (1), 41-51.</w:t>
      </w:r>
    </w:p>
    <w:p w:rsidR="00D96C19" w:rsidRDefault="00D96C19" w:rsidP="00D96C19">
      <w:pPr>
        <w:pStyle w:val="a3"/>
        <w:rPr>
          <w:b/>
        </w:rPr>
      </w:pPr>
      <w:r w:rsidRPr="001A3D2B">
        <w:t xml:space="preserve">Full text: </w:t>
      </w:r>
      <w:hyperlink r:id="rId304" w:history="1">
        <w:r w:rsidR="00570755" w:rsidRPr="00570755">
          <w:rPr>
            <w:rStyle w:val="a5"/>
          </w:rPr>
          <w:t>2010\Afr J Lib Arc Inf Sci20, 41.pdf</w:t>
        </w:r>
      </w:hyperlink>
    </w:p>
    <w:p w:rsidR="006B0869" w:rsidRDefault="006B0869" w:rsidP="006B0869">
      <w:pPr>
        <w:pStyle w:val="a3"/>
        <w:rPr>
          <w:kern w:val="0"/>
        </w:rPr>
      </w:pPr>
      <w:r>
        <w:rPr>
          <w:kern w:val="0"/>
        </w:rPr>
        <w:t>Abstract: This paper analysed</w:t>
      </w:r>
      <w:r w:rsidR="003A1917">
        <w:rPr>
          <w:kern w:val="0"/>
        </w:rPr>
        <w:t xml:space="preserve"> the </w:t>
      </w:r>
      <w:r>
        <w:rPr>
          <w:kern w:val="0"/>
        </w:rPr>
        <w:t>research output</w:t>
      </w:r>
      <w:r w:rsidR="00427468">
        <w:rPr>
          <w:kern w:val="0"/>
        </w:rPr>
        <w:t xml:space="preserve"> of </w:t>
      </w:r>
      <w:r>
        <w:rPr>
          <w:kern w:val="0"/>
        </w:rPr>
        <w:t>Introduction academics in</w:t>
      </w:r>
      <w:r w:rsidR="003A1917">
        <w:rPr>
          <w:kern w:val="0"/>
        </w:rPr>
        <w:t xml:space="preserve"> the </w:t>
      </w:r>
      <w:r>
        <w:rPr>
          <w:kern w:val="0"/>
        </w:rPr>
        <w:t>science</w:t>
      </w:r>
      <w:r w:rsidR="005853A9">
        <w:rPr>
          <w:kern w:val="0"/>
        </w:rPr>
        <w:t xml:space="preserve"> and </w:t>
      </w:r>
      <w:r>
        <w:rPr>
          <w:kern w:val="0"/>
        </w:rPr>
        <w:t>engineering faculties</w:t>
      </w:r>
      <w:r w:rsidR="00427468">
        <w:rPr>
          <w:kern w:val="0"/>
        </w:rPr>
        <w:t xml:space="preserve"> of </w:t>
      </w:r>
      <w:r>
        <w:rPr>
          <w:kern w:val="0"/>
        </w:rPr>
        <w:t>Federal Government-owned universities in Nigeria. It explored their level</w:t>
      </w:r>
      <w:r w:rsidR="00427468">
        <w:rPr>
          <w:kern w:val="0"/>
        </w:rPr>
        <w:t xml:space="preserve"> of </w:t>
      </w:r>
      <w:r>
        <w:rPr>
          <w:kern w:val="0"/>
        </w:rPr>
        <w:t>research output during 1997-2006 in terms</w:t>
      </w:r>
      <w:r w:rsidR="00427468">
        <w:rPr>
          <w:kern w:val="0"/>
        </w:rPr>
        <w:t xml:space="preserve"> of </w:t>
      </w:r>
      <w:r w:rsidR="003A1917">
        <w:rPr>
          <w:kern w:val="0"/>
        </w:rPr>
        <w:t xml:space="preserve">the </w:t>
      </w:r>
      <w:r>
        <w:rPr>
          <w:kern w:val="0"/>
        </w:rPr>
        <w:t>publication</w:t>
      </w:r>
      <w:r w:rsidR="00427468">
        <w:rPr>
          <w:kern w:val="0"/>
        </w:rPr>
        <w:t xml:space="preserve"> of </w:t>
      </w:r>
      <w:r>
        <w:rPr>
          <w:kern w:val="0"/>
        </w:rPr>
        <w:t>journal articles</w:t>
      </w:r>
      <w:r w:rsidR="005853A9">
        <w:rPr>
          <w:kern w:val="0"/>
        </w:rPr>
        <w:t xml:space="preserve"> and </w:t>
      </w:r>
      <w:r>
        <w:rPr>
          <w:kern w:val="0"/>
        </w:rPr>
        <w:t>linked research</w:t>
      </w:r>
      <w:r w:rsidR="005853A9">
        <w:rPr>
          <w:kern w:val="0"/>
        </w:rPr>
        <w:t xml:space="preserve"> and </w:t>
      </w:r>
      <w:r>
        <w:rPr>
          <w:kern w:val="0"/>
        </w:rPr>
        <w:t>publication trends with place</w:t>
      </w:r>
      <w:r w:rsidR="00427468">
        <w:rPr>
          <w:kern w:val="0"/>
        </w:rPr>
        <w:t xml:space="preserve"> of </w:t>
      </w:r>
      <w:r>
        <w:rPr>
          <w:kern w:val="0"/>
        </w:rPr>
        <w:t>publication</w:t>
      </w:r>
      <w:r w:rsidR="005853A9">
        <w:rPr>
          <w:kern w:val="0"/>
        </w:rPr>
        <w:t xml:space="preserve"> and </w:t>
      </w:r>
      <w:r>
        <w:rPr>
          <w:kern w:val="0"/>
        </w:rPr>
        <w:t>journal title</w:t>
      </w:r>
      <w:r w:rsidR="00A37C1D">
        <w:rPr>
          <w:kern w:val="0"/>
        </w:rPr>
        <w:t>. The</w:t>
      </w:r>
      <w:r w:rsidR="003A1917">
        <w:rPr>
          <w:kern w:val="0"/>
        </w:rPr>
        <w:t xml:space="preserve"> </w:t>
      </w:r>
      <w:r>
        <w:rPr>
          <w:kern w:val="0"/>
        </w:rPr>
        <w:t>stratified random sampling technique was used to select six out</w:t>
      </w:r>
      <w:r w:rsidR="00427468">
        <w:rPr>
          <w:kern w:val="0"/>
        </w:rPr>
        <w:t xml:space="preserve"> of </w:t>
      </w:r>
      <w:r w:rsidR="003A1917">
        <w:rPr>
          <w:kern w:val="0"/>
        </w:rPr>
        <w:t xml:space="preserve">the </w:t>
      </w:r>
      <w:r>
        <w:rPr>
          <w:kern w:val="0"/>
        </w:rPr>
        <w:t>13 Federal universities in southern Nigeria. Data on research output were collected through a questionnaire survey</w:t>
      </w:r>
      <w:r w:rsidR="00427468">
        <w:rPr>
          <w:kern w:val="0"/>
        </w:rPr>
        <w:t xml:space="preserve"> of </w:t>
      </w:r>
      <w:r w:rsidR="003A1917">
        <w:rPr>
          <w:kern w:val="0"/>
        </w:rPr>
        <w:t xml:space="preserve">the </w:t>
      </w:r>
      <w:r>
        <w:rPr>
          <w:kern w:val="0"/>
        </w:rPr>
        <w:t>academics. In all, 435 copies</w:t>
      </w:r>
      <w:r w:rsidR="00427468">
        <w:rPr>
          <w:kern w:val="0"/>
        </w:rPr>
        <w:t xml:space="preserve"> of </w:t>
      </w:r>
      <w:r>
        <w:rPr>
          <w:kern w:val="0"/>
        </w:rPr>
        <w:t>questionnaire were distributed to</w:t>
      </w:r>
      <w:r w:rsidR="003A1917">
        <w:rPr>
          <w:kern w:val="0"/>
        </w:rPr>
        <w:t xml:space="preserve"> the </w:t>
      </w:r>
      <w:r>
        <w:rPr>
          <w:kern w:val="0"/>
        </w:rPr>
        <w:t>academics, out which 353 copies were returned</w:t>
      </w:r>
      <w:r w:rsidR="005853A9">
        <w:rPr>
          <w:kern w:val="0"/>
        </w:rPr>
        <w:t xml:space="preserve"> and </w:t>
      </w:r>
      <w:r>
        <w:rPr>
          <w:kern w:val="0"/>
        </w:rPr>
        <w:t xml:space="preserve">only 291 were found </w:t>
      </w:r>
      <w:r w:rsidR="00D5664A">
        <w:rPr>
          <w:kern w:val="0"/>
        </w:rPr>
        <w:t>USA</w:t>
      </w:r>
      <w:r>
        <w:rPr>
          <w:kern w:val="0"/>
        </w:rPr>
        <w:t>ble for</w:t>
      </w:r>
      <w:r w:rsidR="003A1917">
        <w:rPr>
          <w:kern w:val="0"/>
        </w:rPr>
        <w:t xml:space="preserve"> the </w:t>
      </w:r>
      <w:r>
        <w:rPr>
          <w:kern w:val="0"/>
        </w:rPr>
        <w:t>analyses</w:t>
      </w:r>
      <w:r w:rsidR="00A37C1D">
        <w:rPr>
          <w:kern w:val="0"/>
        </w:rPr>
        <w:t>. The</w:t>
      </w:r>
      <w:r w:rsidR="003A1917">
        <w:rPr>
          <w:kern w:val="0"/>
        </w:rPr>
        <w:t xml:space="preserve"> </w:t>
      </w:r>
      <w:r>
        <w:rPr>
          <w:kern w:val="0"/>
        </w:rPr>
        <w:t>study revealed that 30.6%</w:t>
      </w:r>
      <w:r w:rsidR="00427468">
        <w:rPr>
          <w:kern w:val="0"/>
        </w:rPr>
        <w:t xml:space="preserve"> of </w:t>
      </w:r>
      <w:r w:rsidR="003A1917">
        <w:rPr>
          <w:kern w:val="0"/>
        </w:rPr>
        <w:t xml:space="preserve">the </w:t>
      </w:r>
      <w:r>
        <w:rPr>
          <w:kern w:val="0"/>
        </w:rPr>
        <w:t>academics published between 0-4 journal articles; that only 2.7%</w:t>
      </w:r>
      <w:r w:rsidR="00427468">
        <w:rPr>
          <w:kern w:val="0"/>
        </w:rPr>
        <w:t xml:space="preserve"> of </w:t>
      </w:r>
      <w:r>
        <w:rPr>
          <w:kern w:val="0"/>
        </w:rPr>
        <w:t>them published 30 or more journal articles during</w:t>
      </w:r>
      <w:r w:rsidR="003A1917">
        <w:rPr>
          <w:kern w:val="0"/>
        </w:rPr>
        <w:t xml:space="preserve"> the </w:t>
      </w:r>
      <w:r>
        <w:rPr>
          <w:kern w:val="0"/>
        </w:rPr>
        <w:t>period;</w:t>
      </w:r>
      <w:r w:rsidR="005853A9">
        <w:rPr>
          <w:kern w:val="0"/>
        </w:rPr>
        <w:t xml:space="preserve"> and </w:t>
      </w:r>
      <w:r>
        <w:rPr>
          <w:kern w:val="0"/>
        </w:rPr>
        <w:t>that as many as 42.1% did not have any article in overseas journals</w:t>
      </w:r>
      <w:r w:rsidR="00A37C1D">
        <w:rPr>
          <w:kern w:val="0"/>
        </w:rPr>
        <w:t>. The</w:t>
      </w:r>
      <w:r w:rsidR="003A1917">
        <w:rPr>
          <w:kern w:val="0"/>
        </w:rPr>
        <w:t xml:space="preserve"> </w:t>
      </w:r>
      <w:r>
        <w:rPr>
          <w:kern w:val="0"/>
        </w:rPr>
        <w:t>study recommends that Nigerian governments, university administrators</w:t>
      </w:r>
      <w:r w:rsidR="005853A9">
        <w:rPr>
          <w:kern w:val="0"/>
        </w:rPr>
        <w:t xml:space="preserve"> and </w:t>
      </w:r>
      <w:r>
        <w:rPr>
          <w:kern w:val="0"/>
        </w:rPr>
        <w:t>other stakeholders in scientific</w:t>
      </w:r>
      <w:r w:rsidR="005853A9">
        <w:rPr>
          <w:kern w:val="0"/>
        </w:rPr>
        <w:t xml:space="preserve"> and </w:t>
      </w:r>
      <w:r>
        <w:rPr>
          <w:kern w:val="0"/>
        </w:rPr>
        <w:t>technological research should improve</w:t>
      </w:r>
      <w:r w:rsidR="003A1917">
        <w:rPr>
          <w:kern w:val="0"/>
        </w:rPr>
        <w:t xml:space="preserve"> the </w:t>
      </w:r>
      <w:r>
        <w:rPr>
          <w:kern w:val="0"/>
        </w:rPr>
        <w:t>research environment in</w:t>
      </w:r>
      <w:r w:rsidR="003A1917">
        <w:rPr>
          <w:kern w:val="0"/>
        </w:rPr>
        <w:t xml:space="preserve"> the </w:t>
      </w:r>
      <w:r>
        <w:rPr>
          <w:kern w:val="0"/>
        </w:rPr>
        <w:t>universities by providing essential research resources</w:t>
      </w:r>
      <w:r w:rsidR="00A37C1D">
        <w:rPr>
          <w:kern w:val="0"/>
        </w:rPr>
        <w:t>. The</w:t>
      </w:r>
      <w:r w:rsidR="003A1917">
        <w:rPr>
          <w:kern w:val="0"/>
        </w:rPr>
        <w:t xml:space="preserve"> </w:t>
      </w:r>
      <w:r>
        <w:rPr>
          <w:kern w:val="0"/>
        </w:rPr>
        <w:t>National University Commission should establish a database</w:t>
      </w:r>
      <w:r w:rsidR="00427468">
        <w:rPr>
          <w:kern w:val="0"/>
        </w:rPr>
        <w:t xml:space="preserve"> of </w:t>
      </w:r>
      <w:r>
        <w:rPr>
          <w:kern w:val="0"/>
        </w:rPr>
        <w:t>research publications by Nigerian academics to facilitate access to</w:t>
      </w:r>
      <w:r w:rsidR="005853A9">
        <w:rPr>
          <w:kern w:val="0"/>
        </w:rPr>
        <w:t xml:space="preserve"> and </w:t>
      </w:r>
      <w:r>
        <w:rPr>
          <w:kern w:val="0"/>
        </w:rPr>
        <w:t>analysis</w:t>
      </w:r>
      <w:r w:rsidR="00427468">
        <w:rPr>
          <w:kern w:val="0"/>
        </w:rPr>
        <w:t xml:space="preserve"> of </w:t>
      </w:r>
      <w:r>
        <w:rPr>
          <w:kern w:val="0"/>
        </w:rPr>
        <w:t>data on research productivity.</w:t>
      </w:r>
    </w:p>
    <w:p w:rsidR="006B0869" w:rsidRDefault="006B0869" w:rsidP="006B0869">
      <w:pPr>
        <w:pStyle w:val="a3"/>
        <w:rPr>
          <w:kern w:val="0"/>
        </w:rPr>
      </w:pPr>
      <w:r>
        <w:rPr>
          <w:kern w:val="0"/>
        </w:rPr>
        <w:t>Keywords: Academics, Articles, Bibliometrics, Database, Engineering, Environment, Journal, Journals, Lotka</w:t>
      </w:r>
      <w:r w:rsidR="00700038">
        <w:rPr>
          <w:kern w:val="0"/>
        </w:rPr>
        <w:t>’</w:t>
      </w:r>
      <w:r w:rsidR="00C13DDC">
        <w:rPr>
          <w:kern w:val="0"/>
        </w:rPr>
        <w:t>s</w:t>
      </w:r>
      <w:r>
        <w:rPr>
          <w:kern w:val="0"/>
        </w:rPr>
        <w:t xml:space="preserve"> Law, Productivity, Publication, Publications, Questionnaire, Research, Research Output, Research Productivity, Sampling, Science, Trends, Universities, University</w:t>
      </w:r>
    </w:p>
    <w:p w:rsidR="00F72919" w:rsidRDefault="00F72919" w:rsidP="00F72919">
      <w:pPr>
        <w:pStyle w:val="a3"/>
        <w:rPr>
          <w:kern w:val="0"/>
        </w:rPr>
      </w:pPr>
      <w:r>
        <w:rPr>
          <w:rFonts w:hint="eastAsia"/>
          <w:kern w:val="0"/>
        </w:rPr>
        <w:t xml:space="preserve">? </w:t>
      </w:r>
      <w:r>
        <w:rPr>
          <w:kern w:val="0"/>
        </w:rPr>
        <w:t>Onyancha, O.B. (2011), Research collaborations between South Africa</w:t>
      </w:r>
      <w:r w:rsidR="005853A9">
        <w:rPr>
          <w:kern w:val="0"/>
        </w:rPr>
        <w:t xml:space="preserve"> and </w:t>
      </w:r>
      <w:r>
        <w:rPr>
          <w:kern w:val="0"/>
        </w:rPr>
        <w:t xml:space="preserve">other countries, 1986-2005: An informetric analysis. </w:t>
      </w:r>
      <w:r>
        <w:rPr>
          <w:i/>
          <w:iCs/>
          <w:kern w:val="0"/>
        </w:rPr>
        <w:t>African Journal</w:t>
      </w:r>
      <w:r w:rsidR="00427468">
        <w:rPr>
          <w:i/>
          <w:iCs/>
          <w:kern w:val="0"/>
        </w:rPr>
        <w:t xml:space="preserve"> of </w:t>
      </w:r>
      <w:r>
        <w:rPr>
          <w:i/>
          <w:iCs/>
          <w:kern w:val="0"/>
        </w:rPr>
        <w:t>Library Archives</w:t>
      </w:r>
      <w:r w:rsidR="005853A9">
        <w:rPr>
          <w:i/>
          <w:iCs/>
          <w:kern w:val="0"/>
        </w:rPr>
        <w:t xml:space="preserve"> and </w:t>
      </w:r>
      <w:r>
        <w:rPr>
          <w:i/>
          <w:iCs/>
          <w:kern w:val="0"/>
        </w:rPr>
        <w:t>Information Science</w:t>
      </w:r>
      <w:r>
        <w:rPr>
          <w:kern w:val="0"/>
        </w:rPr>
        <w:t xml:space="preserve">, </w:t>
      </w:r>
      <w:r>
        <w:rPr>
          <w:b/>
          <w:bCs/>
          <w:kern w:val="0"/>
        </w:rPr>
        <w:t>21</w:t>
      </w:r>
      <w:r>
        <w:rPr>
          <w:kern w:val="0"/>
        </w:rPr>
        <w:t xml:space="preserve"> (2), 99-112.</w:t>
      </w:r>
    </w:p>
    <w:p w:rsidR="00CC4D06" w:rsidRDefault="00CC4D06" w:rsidP="00CC4D06">
      <w:pPr>
        <w:pStyle w:val="a3"/>
        <w:rPr>
          <w:b/>
        </w:rPr>
      </w:pPr>
      <w:r w:rsidRPr="001A3D2B">
        <w:t xml:space="preserve">Full </w:t>
      </w:r>
      <w:r w:rsidR="00754DAB" w:rsidRPr="001A3D2B">
        <w:t>Text</w:t>
      </w:r>
      <w:r w:rsidRPr="001A3D2B">
        <w:t xml:space="preserve">: </w:t>
      </w:r>
      <w:hyperlink r:id="rId305" w:history="1">
        <w:r w:rsidRPr="00EE55F1">
          <w:rPr>
            <w:rStyle w:val="a5"/>
          </w:rPr>
          <w:t>2011\Afr J Lib Arc Inf Sci21, 99.pdf</w:t>
        </w:r>
      </w:hyperlink>
    </w:p>
    <w:p w:rsidR="00F72919" w:rsidRDefault="00F72919" w:rsidP="00F72919">
      <w:pPr>
        <w:pStyle w:val="a3"/>
        <w:rPr>
          <w:kern w:val="0"/>
        </w:rPr>
      </w:pPr>
      <w:r>
        <w:rPr>
          <w:kern w:val="0"/>
        </w:rPr>
        <w:t>Abstract:</w:t>
      </w:r>
      <w:r w:rsidR="003A1917">
        <w:rPr>
          <w:kern w:val="0"/>
        </w:rPr>
        <w:t xml:space="preserve"> the </w:t>
      </w:r>
      <w:r>
        <w:rPr>
          <w:kern w:val="0"/>
        </w:rPr>
        <w:t>paper reports</w:t>
      </w:r>
      <w:r w:rsidR="003A1917">
        <w:rPr>
          <w:kern w:val="0"/>
        </w:rPr>
        <w:t xml:space="preserve"> the </w:t>
      </w:r>
      <w:r>
        <w:rPr>
          <w:kern w:val="0"/>
        </w:rPr>
        <w:t>findings</w:t>
      </w:r>
      <w:r w:rsidR="00427468">
        <w:rPr>
          <w:kern w:val="0"/>
        </w:rPr>
        <w:t xml:space="preserve"> of </w:t>
      </w:r>
      <w:r>
        <w:rPr>
          <w:kern w:val="0"/>
        </w:rPr>
        <w:t>an informetric study</w:t>
      </w:r>
      <w:r w:rsidR="00427468">
        <w:rPr>
          <w:kern w:val="0"/>
        </w:rPr>
        <w:t xml:space="preserve"> of </w:t>
      </w:r>
      <w:r w:rsidR="003A1917">
        <w:rPr>
          <w:kern w:val="0"/>
        </w:rPr>
        <w:t xml:space="preserve">the </w:t>
      </w:r>
      <w:r>
        <w:rPr>
          <w:kern w:val="0"/>
        </w:rPr>
        <w:t>countries with which South Africa collaborates in research</w:t>
      </w:r>
      <w:r w:rsidR="00A37C1D">
        <w:rPr>
          <w:kern w:val="0"/>
        </w:rPr>
        <w:t>. The</w:t>
      </w:r>
      <w:r w:rsidR="003A1917">
        <w:rPr>
          <w:kern w:val="0"/>
        </w:rPr>
        <w:t xml:space="preserve"> </w:t>
      </w:r>
      <w:r>
        <w:rPr>
          <w:kern w:val="0"/>
        </w:rPr>
        <w:t>study period spans 20 years (10 years each during</w:t>
      </w:r>
      <w:r w:rsidR="005853A9">
        <w:rPr>
          <w:kern w:val="0"/>
        </w:rPr>
        <w:t xml:space="preserve"> and </w:t>
      </w:r>
      <w:r>
        <w:rPr>
          <w:kern w:val="0"/>
        </w:rPr>
        <w:t>after</w:t>
      </w:r>
      <w:r w:rsidR="003A1917">
        <w:rPr>
          <w:kern w:val="0"/>
        </w:rPr>
        <w:t xml:space="preserve"> the </w:t>
      </w:r>
      <w:r>
        <w:rPr>
          <w:kern w:val="0"/>
        </w:rPr>
        <w:t>apartheid era). Data were extracted from</w:t>
      </w:r>
      <w:r w:rsidR="003A1917">
        <w:rPr>
          <w:kern w:val="0"/>
        </w:rPr>
        <w:t xml:space="preserve"> the </w:t>
      </w:r>
      <w:r>
        <w:rPr>
          <w:kern w:val="0"/>
        </w:rPr>
        <w:t>Thomson Reuters citation indexes, namely: Science Citation Index (SCI), Social Sciences Citation Index (</w:t>
      </w:r>
      <w:r w:rsidR="00D5664A">
        <w:rPr>
          <w:kern w:val="0"/>
        </w:rPr>
        <w:t>SSCI</w:t>
      </w:r>
      <w:r>
        <w:rPr>
          <w:kern w:val="0"/>
        </w:rPr>
        <w:t>)</w:t>
      </w:r>
      <w:r w:rsidR="005853A9">
        <w:rPr>
          <w:kern w:val="0"/>
        </w:rPr>
        <w:t xml:space="preserve"> and </w:t>
      </w:r>
      <w:r>
        <w:rPr>
          <w:kern w:val="0"/>
        </w:rPr>
        <w:t>Arts</w:t>
      </w:r>
      <w:r w:rsidR="005853A9">
        <w:rPr>
          <w:kern w:val="0"/>
        </w:rPr>
        <w:t xml:space="preserve"> and </w:t>
      </w:r>
      <w:r>
        <w:rPr>
          <w:kern w:val="0"/>
        </w:rPr>
        <w:t>Humanities Citation Index (ANCI). Among</w:t>
      </w:r>
      <w:r w:rsidR="003A1917">
        <w:rPr>
          <w:kern w:val="0"/>
        </w:rPr>
        <w:t xml:space="preserve"> the </w:t>
      </w:r>
      <w:r>
        <w:rPr>
          <w:kern w:val="0"/>
        </w:rPr>
        <w:t>findings, it was observed that multiple-country-author papers, as well as</w:t>
      </w:r>
      <w:r w:rsidR="003A1917">
        <w:rPr>
          <w:kern w:val="0"/>
        </w:rPr>
        <w:t xml:space="preserve"> the </w:t>
      </w:r>
      <w:r>
        <w:rPr>
          <w:kern w:val="0"/>
        </w:rPr>
        <w:t>number</w:t>
      </w:r>
      <w:r w:rsidR="00427468">
        <w:rPr>
          <w:kern w:val="0"/>
        </w:rPr>
        <w:t xml:space="preserve"> of </w:t>
      </w:r>
      <w:r>
        <w:rPr>
          <w:kern w:val="0"/>
        </w:rPr>
        <w:t>collaborating countries are 077</w:t>
      </w:r>
      <w:r w:rsidR="003A1917">
        <w:rPr>
          <w:kern w:val="0"/>
        </w:rPr>
        <w:t xml:space="preserve"> the </w:t>
      </w:r>
      <w:r>
        <w:rPr>
          <w:kern w:val="0"/>
        </w:rPr>
        <w:t>rise since 1986</w:t>
      </w:r>
      <w:r w:rsidR="00A37C1D">
        <w:rPr>
          <w:kern w:val="0"/>
        </w:rPr>
        <w:t>. The</w:t>
      </w:r>
      <w:r w:rsidR="003A1917">
        <w:rPr>
          <w:kern w:val="0"/>
        </w:rPr>
        <w:t xml:space="preserve"> </w:t>
      </w:r>
      <w:r w:rsidR="00D5664A">
        <w:rPr>
          <w:kern w:val="0"/>
        </w:rPr>
        <w:t>USA</w:t>
      </w:r>
      <w:r>
        <w:rPr>
          <w:kern w:val="0"/>
        </w:rPr>
        <w:t xml:space="preserve"> topped</w:t>
      </w:r>
      <w:r w:rsidR="003A1917">
        <w:rPr>
          <w:kern w:val="0"/>
        </w:rPr>
        <w:t xml:space="preserve"> the </w:t>
      </w:r>
      <w:r>
        <w:rPr>
          <w:kern w:val="0"/>
        </w:rPr>
        <w:t>list</w:t>
      </w:r>
      <w:r w:rsidR="00427468">
        <w:rPr>
          <w:kern w:val="0"/>
        </w:rPr>
        <w:t xml:space="preserve"> of </w:t>
      </w:r>
      <w:r w:rsidR="003A1917">
        <w:rPr>
          <w:kern w:val="0"/>
        </w:rPr>
        <w:t xml:space="preserve">the </w:t>
      </w:r>
      <w:r>
        <w:rPr>
          <w:kern w:val="0"/>
        </w:rPr>
        <w:t>countries outside Africa collaborating with South Africa while Zimbabwe topped</w:t>
      </w:r>
      <w:r w:rsidR="003A1917">
        <w:rPr>
          <w:kern w:val="0"/>
        </w:rPr>
        <w:t xml:space="preserve"> the </w:t>
      </w:r>
      <w:r>
        <w:rPr>
          <w:kern w:val="0"/>
        </w:rPr>
        <w:t>list</w:t>
      </w:r>
      <w:r w:rsidR="00427468">
        <w:rPr>
          <w:kern w:val="0"/>
        </w:rPr>
        <w:t xml:space="preserve"> of </w:t>
      </w:r>
      <w:r>
        <w:rPr>
          <w:kern w:val="0"/>
        </w:rPr>
        <w:t>African countries. However,</w:t>
      </w:r>
      <w:r w:rsidR="003A1917">
        <w:rPr>
          <w:kern w:val="0"/>
        </w:rPr>
        <w:t xml:space="preserve"> the </w:t>
      </w:r>
      <w:r>
        <w:rPr>
          <w:kern w:val="0"/>
        </w:rPr>
        <w:t>strength</w:t>
      </w:r>
      <w:r w:rsidR="00427468">
        <w:rPr>
          <w:kern w:val="0"/>
        </w:rPr>
        <w:t xml:space="preserve"> of </w:t>
      </w:r>
      <w:r>
        <w:rPr>
          <w:kern w:val="0"/>
        </w:rPr>
        <w:t xml:space="preserve">research </w:t>
      </w:r>
      <w:r>
        <w:rPr>
          <w:kern w:val="0"/>
        </w:rPr>
        <w:lastRenderedPageBreak/>
        <w:t>collaboration was low for both categories</w:t>
      </w:r>
      <w:r w:rsidR="00427468">
        <w:rPr>
          <w:kern w:val="0"/>
        </w:rPr>
        <w:t xml:space="preserve"> of </w:t>
      </w:r>
      <w:r>
        <w:rPr>
          <w:kern w:val="0"/>
        </w:rPr>
        <w:t>countries. Regarding impact, international collaboration yielded higher average citations per paper than continental collaboration</w:t>
      </w:r>
      <w:r w:rsidR="00A37C1D">
        <w:rPr>
          <w:kern w:val="0"/>
        </w:rPr>
        <w:t>. The</w:t>
      </w:r>
      <w:r w:rsidR="003A1917">
        <w:rPr>
          <w:kern w:val="0"/>
        </w:rPr>
        <w:t xml:space="preserve"> </w:t>
      </w:r>
      <w:r>
        <w:rPr>
          <w:kern w:val="0"/>
        </w:rPr>
        <w:t>study concludes that there are many Unique research areas in which African countries can collaborate,</w:t>
      </w:r>
      <w:r w:rsidR="005853A9">
        <w:rPr>
          <w:kern w:val="0"/>
        </w:rPr>
        <w:t xml:space="preserve"> and </w:t>
      </w:r>
      <w:r>
        <w:rPr>
          <w:kern w:val="0"/>
        </w:rPr>
        <w:t>recommends that these areas should form themes along which scholars in Africa could conduct collaborative research.</w:t>
      </w:r>
    </w:p>
    <w:p w:rsidR="00F72919" w:rsidRDefault="00F72919" w:rsidP="00F72919">
      <w:pPr>
        <w:pStyle w:val="a3"/>
        <w:rPr>
          <w:kern w:val="0"/>
        </w:rPr>
      </w:pPr>
      <w:r>
        <w:rPr>
          <w:kern w:val="0"/>
        </w:rPr>
        <w:t>Keywords: Africa, African Countries, AIDS, Arts, Citation, Citation Indexes, Citations, Collaboration, Geographical Proximity, Humanities, Impact, Indexes, International Collaboration, Low, Papers, Research, Research Collaboration, Research Impact</w:t>
      </w:r>
      <w:r w:rsidR="00D5664A">
        <w:rPr>
          <w:kern w:val="0"/>
        </w:rPr>
        <w:t>, SCI,</w:t>
      </w:r>
      <w:r>
        <w:rPr>
          <w:kern w:val="0"/>
        </w:rPr>
        <w:t xml:space="preserve"> Science, Science Citation Index, Sciences, Social Sciences, Social Sciences Citation Index, South Africa,</w:t>
      </w:r>
      <w:r w:rsidR="008E3069">
        <w:rPr>
          <w:kern w:val="0"/>
        </w:rPr>
        <w:t xml:space="preserve"> </w:t>
      </w:r>
      <w:r w:rsidR="00D5664A">
        <w:rPr>
          <w:kern w:val="0"/>
        </w:rPr>
        <w:t>SSCI</w:t>
      </w:r>
      <w:r w:rsidR="008E3069">
        <w:rPr>
          <w:kern w:val="0"/>
        </w:rPr>
        <w:t>,</w:t>
      </w:r>
      <w:r>
        <w:rPr>
          <w:kern w:val="0"/>
        </w:rPr>
        <w:t xml:space="preserve"> Strength, Thomson Reuters, </w:t>
      </w:r>
      <w:r w:rsidR="00D5664A">
        <w:rPr>
          <w:kern w:val="0"/>
        </w:rPr>
        <w:t>USA</w:t>
      </w:r>
    </w:p>
    <w:p w:rsidR="00754DAB" w:rsidRDefault="00754DAB" w:rsidP="00754DAB">
      <w:pPr>
        <w:pStyle w:val="a3"/>
        <w:rPr>
          <w:kern w:val="0"/>
          <w:szCs w:val="24"/>
        </w:rPr>
      </w:pPr>
      <w:r>
        <w:rPr>
          <w:rFonts w:hint="eastAsia"/>
          <w:kern w:val="0"/>
          <w:szCs w:val="24"/>
        </w:rPr>
        <w:t xml:space="preserve">? </w:t>
      </w:r>
      <w:r>
        <w:rPr>
          <w:kern w:val="0"/>
          <w:szCs w:val="24"/>
        </w:rPr>
        <w:t>Onyancha, O.B. (2013), Adjusted count, complete count,</w:t>
      </w:r>
      <w:r w:rsidR="005853A9">
        <w:rPr>
          <w:kern w:val="0"/>
          <w:szCs w:val="24"/>
        </w:rPr>
        <w:t xml:space="preserve"> and </w:t>
      </w:r>
      <w:r>
        <w:rPr>
          <w:kern w:val="0"/>
          <w:szCs w:val="24"/>
        </w:rPr>
        <w:t>straight count: Does it matter when appraising research performance? A case study</w:t>
      </w:r>
      <w:r w:rsidR="00427468">
        <w:rPr>
          <w:kern w:val="0"/>
          <w:szCs w:val="24"/>
        </w:rPr>
        <w:t xml:space="preserve"> of </w:t>
      </w:r>
      <w:r>
        <w:rPr>
          <w:kern w:val="0"/>
          <w:szCs w:val="24"/>
        </w:rPr>
        <w:t xml:space="preserve">LIS research in post-apartheid South Africa. </w:t>
      </w:r>
      <w:r>
        <w:rPr>
          <w:i/>
          <w:iCs/>
          <w:kern w:val="0"/>
          <w:szCs w:val="24"/>
        </w:rPr>
        <w:t>African Journal</w:t>
      </w:r>
      <w:r w:rsidR="00427468">
        <w:rPr>
          <w:i/>
          <w:iCs/>
          <w:kern w:val="0"/>
          <w:szCs w:val="24"/>
        </w:rPr>
        <w:t xml:space="preserve"> of </w:t>
      </w:r>
      <w:r>
        <w:rPr>
          <w:i/>
          <w:iCs/>
          <w:kern w:val="0"/>
          <w:szCs w:val="24"/>
        </w:rPr>
        <w:t>Library Archives</w:t>
      </w:r>
      <w:r w:rsidR="005853A9">
        <w:rPr>
          <w:i/>
          <w:iCs/>
          <w:kern w:val="0"/>
          <w:szCs w:val="24"/>
        </w:rPr>
        <w:t xml:space="preserve"> and </w:t>
      </w:r>
      <w:r>
        <w:rPr>
          <w:i/>
          <w:iCs/>
          <w:kern w:val="0"/>
          <w:szCs w:val="24"/>
        </w:rPr>
        <w:t>Information Science</w:t>
      </w:r>
      <w:r>
        <w:rPr>
          <w:kern w:val="0"/>
          <w:szCs w:val="24"/>
        </w:rPr>
        <w:t xml:space="preserve">, </w:t>
      </w:r>
      <w:r>
        <w:rPr>
          <w:b/>
          <w:bCs/>
          <w:kern w:val="0"/>
          <w:szCs w:val="24"/>
        </w:rPr>
        <w:t>23</w:t>
      </w:r>
      <w:r>
        <w:rPr>
          <w:kern w:val="0"/>
          <w:szCs w:val="24"/>
        </w:rPr>
        <w:t xml:space="preserve"> (2), 93-103.</w:t>
      </w:r>
    </w:p>
    <w:p w:rsidR="00754DAB" w:rsidRDefault="00754DAB" w:rsidP="00754DAB">
      <w:pPr>
        <w:pStyle w:val="a3"/>
        <w:rPr>
          <w:b/>
        </w:rPr>
      </w:pPr>
      <w:r w:rsidRPr="001A3D2B">
        <w:t xml:space="preserve">Full Text: </w:t>
      </w:r>
      <w:hyperlink r:id="rId306" w:history="1">
        <w:r w:rsidR="00D950BF" w:rsidRPr="00D950BF">
          <w:rPr>
            <w:rStyle w:val="a5"/>
          </w:rPr>
          <w:t>2013\Afr J Lib Arc Inf Sci23, 93.pdf</w:t>
        </w:r>
      </w:hyperlink>
    </w:p>
    <w:p w:rsidR="00754DAB" w:rsidRDefault="00754DAB" w:rsidP="00754DAB">
      <w:pPr>
        <w:pStyle w:val="a3"/>
        <w:rPr>
          <w:kern w:val="0"/>
          <w:szCs w:val="24"/>
        </w:rPr>
      </w:pPr>
      <w:r>
        <w:rPr>
          <w:kern w:val="0"/>
          <w:szCs w:val="24"/>
        </w:rPr>
        <w:t>Abstract: Counting</w:t>
      </w:r>
      <w:r w:rsidR="00427468">
        <w:rPr>
          <w:kern w:val="0"/>
          <w:szCs w:val="24"/>
        </w:rPr>
        <w:t xml:space="preserve"> of </w:t>
      </w:r>
      <w:r>
        <w:rPr>
          <w:kern w:val="0"/>
          <w:szCs w:val="24"/>
        </w:rPr>
        <w:t>publications</w:t>
      </w:r>
      <w:r w:rsidR="005853A9">
        <w:rPr>
          <w:kern w:val="0"/>
          <w:szCs w:val="24"/>
        </w:rPr>
        <w:t xml:space="preserve"> and </w:t>
      </w:r>
      <w:r>
        <w:rPr>
          <w:kern w:val="0"/>
          <w:szCs w:val="24"/>
        </w:rPr>
        <w:t>citations is the fundamental yet important technique used in bibliometric/informetric measurements</w:t>
      </w:r>
      <w:r w:rsidR="00427468">
        <w:rPr>
          <w:kern w:val="0"/>
          <w:szCs w:val="24"/>
        </w:rPr>
        <w:t xml:space="preserve"> of </w:t>
      </w:r>
      <w:r>
        <w:rPr>
          <w:kern w:val="0"/>
          <w:szCs w:val="24"/>
        </w:rPr>
        <w:t>research performance. Informetricians are however divided on the most appropriate method</w:t>
      </w:r>
      <w:r w:rsidR="00427468">
        <w:rPr>
          <w:kern w:val="0"/>
          <w:szCs w:val="24"/>
        </w:rPr>
        <w:t xml:space="preserve"> of </w:t>
      </w:r>
      <w:r>
        <w:rPr>
          <w:kern w:val="0"/>
          <w:szCs w:val="24"/>
        </w:rPr>
        <w:t>counting publications</w:t>
      </w:r>
      <w:r w:rsidR="005853A9">
        <w:rPr>
          <w:kern w:val="0"/>
          <w:szCs w:val="24"/>
        </w:rPr>
        <w:t xml:space="preserve"> and </w:t>
      </w:r>
      <w:r>
        <w:rPr>
          <w:kern w:val="0"/>
          <w:szCs w:val="24"/>
        </w:rPr>
        <w:t>citations as a means</w:t>
      </w:r>
      <w:r w:rsidR="00427468">
        <w:rPr>
          <w:kern w:val="0"/>
          <w:szCs w:val="24"/>
        </w:rPr>
        <w:t xml:space="preserve"> of </w:t>
      </w:r>
      <w:r>
        <w:rPr>
          <w:kern w:val="0"/>
          <w:szCs w:val="24"/>
        </w:rPr>
        <w:t>assessing the authors, institutions</w:t>
      </w:r>
      <w:r w:rsidR="005853A9">
        <w:rPr>
          <w:kern w:val="0"/>
          <w:szCs w:val="24"/>
        </w:rPr>
        <w:t xml:space="preserve"> and </w:t>
      </w:r>
      <w:r>
        <w:rPr>
          <w:kern w:val="0"/>
          <w:szCs w:val="24"/>
        </w:rPr>
        <w:t>countries</w:t>
      </w:r>
      <w:r w:rsidR="00700038">
        <w:rPr>
          <w:kern w:val="0"/>
          <w:szCs w:val="24"/>
        </w:rPr>
        <w:t>’</w:t>
      </w:r>
      <w:r>
        <w:rPr>
          <w:kern w:val="0"/>
          <w:szCs w:val="24"/>
        </w:rPr>
        <w:t xml:space="preserve"> research output</w:t>
      </w:r>
      <w:r w:rsidR="005853A9">
        <w:rPr>
          <w:kern w:val="0"/>
          <w:szCs w:val="24"/>
        </w:rPr>
        <w:t xml:space="preserve"> and </w:t>
      </w:r>
      <w:r>
        <w:rPr>
          <w:kern w:val="0"/>
          <w:szCs w:val="24"/>
        </w:rPr>
        <w:t>citation impact, respectively. This paper reports on the results generated from a case study</w:t>
      </w:r>
      <w:r w:rsidR="00427468">
        <w:rPr>
          <w:kern w:val="0"/>
          <w:szCs w:val="24"/>
        </w:rPr>
        <w:t xml:space="preserve"> of </w:t>
      </w:r>
      <w:r>
        <w:rPr>
          <w:kern w:val="0"/>
          <w:szCs w:val="24"/>
        </w:rPr>
        <w:t>the US researchers</w:t>
      </w:r>
      <w:r w:rsidR="00700038">
        <w:rPr>
          <w:kern w:val="0"/>
          <w:szCs w:val="24"/>
        </w:rPr>
        <w:t>’</w:t>
      </w:r>
      <w:r>
        <w:rPr>
          <w:kern w:val="0"/>
          <w:szCs w:val="24"/>
        </w:rPr>
        <w:t xml:space="preserve"> output using three methods</w:t>
      </w:r>
      <w:r w:rsidR="00427468">
        <w:rPr>
          <w:kern w:val="0"/>
          <w:szCs w:val="24"/>
        </w:rPr>
        <w:t xml:space="preserve"> of </w:t>
      </w:r>
      <w:r>
        <w:rPr>
          <w:kern w:val="0"/>
          <w:szCs w:val="24"/>
        </w:rPr>
        <w:t>publications count, namely, adjusted count (A(c)), complete count (C-c)</w:t>
      </w:r>
      <w:r w:rsidR="005853A9">
        <w:rPr>
          <w:kern w:val="0"/>
          <w:szCs w:val="24"/>
        </w:rPr>
        <w:t xml:space="preserve"> and </w:t>
      </w:r>
      <w:r>
        <w:rPr>
          <w:kern w:val="0"/>
          <w:szCs w:val="24"/>
        </w:rPr>
        <w:t>straight count (S-c). Using data extracted from the Library, Information Science</w:t>
      </w:r>
      <w:r w:rsidR="005853A9">
        <w:rPr>
          <w:kern w:val="0"/>
          <w:szCs w:val="24"/>
        </w:rPr>
        <w:t xml:space="preserve"> and </w:t>
      </w:r>
      <w:r>
        <w:rPr>
          <w:kern w:val="0"/>
          <w:szCs w:val="24"/>
        </w:rPr>
        <w:t>Technology Abstracts (LISTA) database, the study found that there are differences in the number</w:t>
      </w:r>
      <w:r w:rsidR="00427468">
        <w:rPr>
          <w:kern w:val="0"/>
          <w:szCs w:val="24"/>
        </w:rPr>
        <w:t xml:space="preserve"> of </w:t>
      </w:r>
      <w:r>
        <w:rPr>
          <w:kern w:val="0"/>
          <w:szCs w:val="24"/>
        </w:rPr>
        <w:t>articles generated in each counting method per author, as well as in the authors</w:t>
      </w:r>
      <w:r w:rsidR="00700038">
        <w:rPr>
          <w:kern w:val="0"/>
          <w:szCs w:val="24"/>
        </w:rPr>
        <w:t>’</w:t>
      </w:r>
      <w:r>
        <w:rPr>
          <w:kern w:val="0"/>
          <w:szCs w:val="24"/>
        </w:rPr>
        <w:t xml:space="preserve"> rankings</w:t>
      </w:r>
      <w:r w:rsidR="00A37C1D">
        <w:rPr>
          <w:kern w:val="0"/>
          <w:szCs w:val="24"/>
        </w:rPr>
        <w:t>. The</w:t>
      </w:r>
      <w:r>
        <w:rPr>
          <w:kern w:val="0"/>
          <w:szCs w:val="24"/>
        </w:rPr>
        <w:t xml:space="preserve"> study concludes that in informetric studies, the method</w:t>
      </w:r>
      <w:r w:rsidR="00427468">
        <w:rPr>
          <w:kern w:val="0"/>
          <w:szCs w:val="24"/>
        </w:rPr>
        <w:t xml:space="preserve"> of </w:t>
      </w:r>
      <w:r>
        <w:rPr>
          <w:kern w:val="0"/>
          <w:szCs w:val="24"/>
        </w:rPr>
        <w:t>counting chosen for purposes</w:t>
      </w:r>
      <w:r w:rsidR="00427468">
        <w:rPr>
          <w:kern w:val="0"/>
          <w:szCs w:val="24"/>
        </w:rPr>
        <w:t xml:space="preserve"> of </w:t>
      </w:r>
      <w:r>
        <w:rPr>
          <w:kern w:val="0"/>
          <w:szCs w:val="24"/>
        </w:rPr>
        <w:t>assessing the performance</w:t>
      </w:r>
      <w:r w:rsidR="00427468">
        <w:rPr>
          <w:kern w:val="0"/>
          <w:szCs w:val="24"/>
        </w:rPr>
        <w:t xml:space="preserve"> of </w:t>
      </w:r>
      <w:r>
        <w:rPr>
          <w:kern w:val="0"/>
          <w:szCs w:val="24"/>
        </w:rPr>
        <w:t>researchers matters as each method produces different results</w:t>
      </w:r>
      <w:r w:rsidR="00A37C1D">
        <w:rPr>
          <w:kern w:val="0"/>
          <w:szCs w:val="24"/>
        </w:rPr>
        <w:t>. The</w:t>
      </w:r>
      <w:r>
        <w:rPr>
          <w:kern w:val="0"/>
          <w:szCs w:val="24"/>
        </w:rPr>
        <w:t xml:space="preserve"> study recommends that the choice</w:t>
      </w:r>
      <w:r w:rsidR="00427468">
        <w:rPr>
          <w:kern w:val="0"/>
          <w:szCs w:val="24"/>
        </w:rPr>
        <w:t xml:space="preserve"> of </w:t>
      </w:r>
      <w:r>
        <w:rPr>
          <w:kern w:val="0"/>
          <w:szCs w:val="24"/>
        </w:rPr>
        <w:t>the counting method should largely depend on the purpose for which the informetric study is being conducted.</w:t>
      </w:r>
    </w:p>
    <w:p w:rsidR="00754DAB" w:rsidRDefault="00754DAB" w:rsidP="00754DAB">
      <w:pPr>
        <w:pStyle w:val="a3"/>
        <w:rPr>
          <w:kern w:val="0"/>
          <w:szCs w:val="24"/>
        </w:rPr>
      </w:pPr>
      <w:r>
        <w:rPr>
          <w:kern w:val="0"/>
          <w:szCs w:val="24"/>
        </w:rPr>
        <w:t>Keywords: Adjusted Count, Africa, Article, Assessing, Authors, Bibliometrics, Case Study, Choice, Citation, Citation Impact, Citations, Complete, Complete Count, Data, Database, Impact, Information, Informetrics, Institutions, LI, LIS, Methods, Nigeria, Performance, Productivity Measures, Publication, Publications, Publications Count, Purpose, Rankings, Research, Research Output, Research Performance, Science, Service, Services, South Africa, Straight Count, Technology, US</w:t>
      </w:r>
    </w:p>
    <w:p w:rsidR="00C06B5A" w:rsidRPr="001A3D2B" w:rsidRDefault="00C06B5A" w:rsidP="00C06B5A">
      <w:pPr>
        <w:pStyle w:val="1"/>
      </w:pPr>
      <w:r w:rsidRPr="001A3D2B">
        <w:br w:type="page"/>
      </w:r>
      <w:bookmarkStart w:id="159" w:name="_Toc420814331"/>
      <w:r w:rsidRPr="001A3D2B">
        <w:lastRenderedPageBreak/>
        <w:t xml:space="preserve">Title: </w:t>
      </w:r>
      <w:r w:rsidRPr="00C06B5A">
        <w:t>African Journal</w:t>
      </w:r>
      <w:r w:rsidR="00427468">
        <w:t xml:space="preserve"> of </w:t>
      </w:r>
      <w:r w:rsidRPr="00C06B5A">
        <w:t>Traditional Complementary</w:t>
      </w:r>
      <w:r w:rsidR="005853A9">
        <w:t xml:space="preserve"> and </w:t>
      </w:r>
      <w:r w:rsidRPr="00C06B5A">
        <w:t>Alternative Medicines</w:t>
      </w:r>
      <w:bookmarkEnd w:id="159"/>
    </w:p>
    <w:p w:rsidR="00C06B5A" w:rsidRPr="001A3D2B" w:rsidRDefault="00C06B5A" w:rsidP="00C06B5A">
      <w:pPr>
        <w:pStyle w:val="12"/>
      </w:pPr>
      <w:r w:rsidRPr="001A3D2B">
        <w:t xml:space="preserve">Full Journal Title: </w:t>
      </w:r>
      <w:r w:rsidRPr="00C06B5A">
        <w:rPr>
          <w:iCs/>
          <w:kern w:val="0"/>
        </w:rPr>
        <w:t>African Journal</w:t>
      </w:r>
      <w:r w:rsidR="00427468">
        <w:rPr>
          <w:iCs/>
          <w:kern w:val="0"/>
        </w:rPr>
        <w:t xml:space="preserve"> of </w:t>
      </w:r>
      <w:r w:rsidRPr="00C06B5A">
        <w:rPr>
          <w:iCs/>
          <w:kern w:val="0"/>
        </w:rPr>
        <w:t>Traditional Complementary</w:t>
      </w:r>
      <w:r w:rsidR="005853A9">
        <w:rPr>
          <w:iCs/>
          <w:kern w:val="0"/>
        </w:rPr>
        <w:t xml:space="preserve"> and </w:t>
      </w:r>
      <w:r w:rsidRPr="00C06B5A">
        <w:rPr>
          <w:iCs/>
          <w:kern w:val="0"/>
        </w:rPr>
        <w:t>Alternative Medicines</w:t>
      </w:r>
    </w:p>
    <w:p w:rsidR="00C06B5A" w:rsidRPr="001A3D2B" w:rsidRDefault="00C06B5A" w:rsidP="00C06B5A">
      <w:pPr>
        <w:pStyle w:val="12"/>
      </w:pPr>
      <w:r w:rsidRPr="001A3D2B">
        <w:t xml:space="preserve">ISO Abbreviated Title: </w:t>
      </w:r>
    </w:p>
    <w:p w:rsidR="00C06B5A" w:rsidRPr="001A3D2B" w:rsidRDefault="00C06B5A" w:rsidP="00C06B5A">
      <w:pPr>
        <w:pStyle w:val="12"/>
      </w:pPr>
      <w:r w:rsidRPr="001A3D2B">
        <w:t xml:space="preserve">JCR Abbreviated Title: </w:t>
      </w:r>
    </w:p>
    <w:p w:rsidR="00C06B5A" w:rsidRPr="001A3D2B" w:rsidRDefault="00C06B5A" w:rsidP="00C06B5A">
      <w:pPr>
        <w:pStyle w:val="12"/>
      </w:pPr>
      <w:r w:rsidRPr="001A3D2B">
        <w:t xml:space="preserve">ISSN: </w:t>
      </w:r>
    </w:p>
    <w:p w:rsidR="00C06B5A" w:rsidRPr="001A3D2B" w:rsidRDefault="00C06B5A" w:rsidP="00C06B5A">
      <w:pPr>
        <w:pStyle w:val="12"/>
      </w:pPr>
      <w:r w:rsidRPr="001A3D2B">
        <w:t xml:space="preserve">Issues/Year: </w:t>
      </w:r>
    </w:p>
    <w:p w:rsidR="00C06B5A" w:rsidRPr="001A3D2B" w:rsidRDefault="00C06B5A" w:rsidP="00C06B5A">
      <w:pPr>
        <w:pStyle w:val="12"/>
      </w:pPr>
      <w:r w:rsidRPr="001A3D2B">
        <w:t xml:space="preserve">Journal Country/Territory: </w:t>
      </w:r>
    </w:p>
    <w:p w:rsidR="00C06B5A" w:rsidRPr="001A3D2B" w:rsidRDefault="00C06B5A" w:rsidP="00C06B5A">
      <w:pPr>
        <w:pStyle w:val="12"/>
      </w:pPr>
      <w:r w:rsidRPr="001A3D2B">
        <w:t xml:space="preserve">Language: </w:t>
      </w:r>
    </w:p>
    <w:p w:rsidR="00C06B5A" w:rsidRPr="001A3D2B" w:rsidRDefault="00C06B5A" w:rsidP="00C06B5A">
      <w:pPr>
        <w:pStyle w:val="12"/>
      </w:pPr>
      <w:r w:rsidRPr="001A3D2B">
        <w:t xml:space="preserve">Publisher: </w:t>
      </w:r>
    </w:p>
    <w:p w:rsidR="00C06B5A" w:rsidRPr="001A3D2B" w:rsidRDefault="00C06B5A" w:rsidP="00C06B5A">
      <w:pPr>
        <w:pStyle w:val="12"/>
      </w:pPr>
      <w:r w:rsidRPr="001A3D2B">
        <w:t xml:space="preserve">Publisher Address: </w:t>
      </w:r>
    </w:p>
    <w:p w:rsidR="00C06B5A" w:rsidRPr="001A3D2B" w:rsidRDefault="00C06B5A" w:rsidP="00C06B5A">
      <w:pPr>
        <w:pStyle w:val="12"/>
      </w:pPr>
      <w:r w:rsidRPr="001A3D2B">
        <w:t xml:space="preserve">Subject Categories: </w:t>
      </w:r>
    </w:p>
    <w:p w:rsidR="00C06B5A" w:rsidRPr="001A3D2B" w:rsidRDefault="00C06B5A" w:rsidP="00C06B5A">
      <w:pPr>
        <w:pStyle w:val="12"/>
      </w:pPr>
      <w:r w:rsidRPr="001A3D2B">
        <w:t xml:space="preserve">: Impact Factor </w:t>
      </w:r>
    </w:p>
    <w:p w:rsidR="00C06B5A" w:rsidRDefault="00C06B5A" w:rsidP="00C06B5A">
      <w:pPr>
        <w:pStyle w:val="a3"/>
        <w:rPr>
          <w:kern w:val="0"/>
        </w:rPr>
      </w:pPr>
      <w:r>
        <w:rPr>
          <w:rFonts w:hint="eastAsia"/>
          <w:kern w:val="0"/>
        </w:rPr>
        <w:t xml:space="preserve">? </w:t>
      </w:r>
      <w:r>
        <w:rPr>
          <w:kern w:val="0"/>
        </w:rPr>
        <w:t>Zhong, Y.Q., Wang, X.F., Xu, G.L., Mao, B., Zhou, W., Min, J., Jiang, H.L., Diao, X.</w:t>
      </w:r>
      <w:r w:rsidR="005853A9">
        <w:rPr>
          <w:kern w:val="0"/>
        </w:rPr>
        <w:t xml:space="preserve"> and </w:t>
      </w:r>
      <w:r>
        <w:rPr>
          <w:kern w:val="0"/>
        </w:rPr>
        <w:t>Fu, J.J. (2014), Modified Yupingfeng formula for the treatment</w:t>
      </w:r>
      <w:r w:rsidR="00427468">
        <w:rPr>
          <w:kern w:val="0"/>
        </w:rPr>
        <w:t xml:space="preserve"> of </w:t>
      </w:r>
      <w:r>
        <w:rPr>
          <w:kern w:val="0"/>
        </w:rPr>
        <w:t>stable chronic obstructive pulmonary disease: A systematic review</w:t>
      </w:r>
      <w:r w:rsidR="00427468">
        <w:rPr>
          <w:kern w:val="0"/>
        </w:rPr>
        <w:t xml:space="preserve"> of </w:t>
      </w:r>
      <w:r>
        <w:rPr>
          <w:kern w:val="0"/>
        </w:rPr>
        <w:t xml:space="preserve">randomized controlled trials. </w:t>
      </w:r>
      <w:r w:rsidRPr="00C06B5A">
        <w:rPr>
          <w:i/>
          <w:iCs/>
          <w:kern w:val="0"/>
        </w:rPr>
        <w:t>African Journal</w:t>
      </w:r>
      <w:r w:rsidR="00427468">
        <w:rPr>
          <w:i/>
          <w:iCs/>
          <w:kern w:val="0"/>
        </w:rPr>
        <w:t xml:space="preserve"> of </w:t>
      </w:r>
      <w:r w:rsidRPr="00C06B5A">
        <w:rPr>
          <w:i/>
          <w:iCs/>
          <w:kern w:val="0"/>
        </w:rPr>
        <w:t>Traditional Complementary</w:t>
      </w:r>
      <w:r w:rsidR="005853A9">
        <w:rPr>
          <w:i/>
          <w:iCs/>
          <w:kern w:val="0"/>
        </w:rPr>
        <w:t xml:space="preserve"> and </w:t>
      </w:r>
      <w:r w:rsidRPr="00C06B5A">
        <w:rPr>
          <w:i/>
          <w:iCs/>
          <w:kern w:val="0"/>
        </w:rPr>
        <w:t>Alternative Medicines</w:t>
      </w:r>
      <w:r>
        <w:rPr>
          <w:kern w:val="0"/>
        </w:rPr>
        <w:t xml:space="preserve">, </w:t>
      </w:r>
      <w:r>
        <w:rPr>
          <w:b/>
          <w:bCs/>
          <w:kern w:val="0"/>
        </w:rPr>
        <w:t>11</w:t>
      </w:r>
      <w:r>
        <w:rPr>
          <w:kern w:val="0"/>
        </w:rPr>
        <w:t xml:space="preserve"> (1), 1-14.</w:t>
      </w:r>
    </w:p>
    <w:p w:rsidR="00C06B5A" w:rsidRDefault="00C06B5A" w:rsidP="00C06B5A">
      <w:pPr>
        <w:pStyle w:val="a3"/>
        <w:rPr>
          <w:kern w:val="0"/>
        </w:rPr>
      </w:pPr>
      <w:r>
        <w:rPr>
          <w:rFonts w:hint="eastAsia"/>
          <w:kern w:val="0"/>
        </w:rPr>
        <w:t xml:space="preserve">Full Text: </w:t>
      </w:r>
      <w:r w:rsidRPr="006D714A">
        <w:rPr>
          <w:kern w:val="0"/>
        </w:rPr>
        <w:t>201</w:t>
      </w:r>
      <w:r>
        <w:rPr>
          <w:rFonts w:hint="eastAsia"/>
          <w:kern w:val="0"/>
        </w:rPr>
        <w:t>4</w:t>
      </w:r>
      <w:r w:rsidRPr="006D714A">
        <w:rPr>
          <w:kern w:val="0"/>
        </w:rPr>
        <w:t>\</w:t>
      </w:r>
      <w:r>
        <w:rPr>
          <w:rFonts w:hint="eastAsia"/>
          <w:kern w:val="0"/>
        </w:rPr>
        <w:t>Afr J Tra Com Alt Med11</w:t>
      </w:r>
      <w:r w:rsidRPr="006D714A">
        <w:rPr>
          <w:kern w:val="0"/>
        </w:rPr>
        <w:t xml:space="preserve">, </w:t>
      </w:r>
      <w:r>
        <w:rPr>
          <w:rFonts w:hint="eastAsia"/>
          <w:kern w:val="0"/>
        </w:rPr>
        <w:t>1</w:t>
      </w:r>
      <w:r w:rsidRPr="006D714A">
        <w:rPr>
          <w:kern w:val="0"/>
        </w:rPr>
        <w:t>.pdf</w:t>
      </w:r>
    </w:p>
    <w:p w:rsidR="00C06B5A" w:rsidRDefault="00C06B5A" w:rsidP="00C06B5A">
      <w:pPr>
        <w:pStyle w:val="a3"/>
        <w:rPr>
          <w:kern w:val="0"/>
        </w:rPr>
      </w:pPr>
      <w:r>
        <w:rPr>
          <w:kern w:val="0"/>
        </w:rPr>
        <w:t>Abstract: Background: Chronic obstructive pulmonary disease (COPD), is a very common disease</w:t>
      </w:r>
      <w:r w:rsidR="00427468">
        <w:rPr>
          <w:kern w:val="0"/>
        </w:rPr>
        <w:t xml:space="preserve"> of </w:t>
      </w:r>
      <w:r>
        <w:rPr>
          <w:kern w:val="0"/>
        </w:rPr>
        <w:t>respiratory system. An increasing number</w:t>
      </w:r>
      <w:r w:rsidR="00427468">
        <w:rPr>
          <w:kern w:val="0"/>
        </w:rPr>
        <w:t xml:space="preserve"> of </w:t>
      </w:r>
      <w:r>
        <w:rPr>
          <w:kern w:val="0"/>
        </w:rPr>
        <w:t>clinical trials on Yupingfeng formula in the management</w:t>
      </w:r>
      <w:r w:rsidR="00427468">
        <w:rPr>
          <w:kern w:val="0"/>
        </w:rPr>
        <w:t xml:space="preserve"> of </w:t>
      </w:r>
      <w:r>
        <w:rPr>
          <w:kern w:val="0"/>
        </w:rPr>
        <w:t>stable COPD have been performed. However, the evidence base for it remains unknown. This review aims at assessing the efficacy,</w:t>
      </w:r>
      <w:r w:rsidR="005853A9">
        <w:rPr>
          <w:kern w:val="0"/>
        </w:rPr>
        <w:t xml:space="preserve"> and </w:t>
      </w:r>
      <w:r>
        <w:rPr>
          <w:kern w:val="0"/>
        </w:rPr>
        <w:t>safety</w:t>
      </w:r>
      <w:r w:rsidR="00427468">
        <w:rPr>
          <w:kern w:val="0"/>
        </w:rPr>
        <w:t xml:space="preserve"> of </w:t>
      </w:r>
      <w:r>
        <w:rPr>
          <w:kern w:val="0"/>
        </w:rPr>
        <w:t>modified Yupingfeng formula in the treatment</w:t>
      </w:r>
      <w:r w:rsidR="00427468">
        <w:rPr>
          <w:kern w:val="0"/>
        </w:rPr>
        <w:t xml:space="preserve"> of </w:t>
      </w:r>
      <w:r>
        <w:rPr>
          <w:kern w:val="0"/>
        </w:rPr>
        <w:t>stable COPD through a systematic review</w:t>
      </w:r>
      <w:r w:rsidR="00427468">
        <w:rPr>
          <w:kern w:val="0"/>
        </w:rPr>
        <w:t xml:space="preserve"> of </w:t>
      </w:r>
      <w:r>
        <w:rPr>
          <w:kern w:val="0"/>
        </w:rPr>
        <w:t>all available randomized controlled trials. Materials</w:t>
      </w:r>
      <w:r w:rsidR="005853A9">
        <w:rPr>
          <w:kern w:val="0"/>
        </w:rPr>
        <w:t xml:space="preserve"> and </w:t>
      </w:r>
      <w:r>
        <w:rPr>
          <w:kern w:val="0"/>
        </w:rPr>
        <w:t>Methods: Literature retrieval was conducted using four English databases (CENTRAL, PubMed, EMBASE,</w:t>
      </w:r>
      <w:r w:rsidR="005853A9">
        <w:rPr>
          <w:kern w:val="0"/>
        </w:rPr>
        <w:t xml:space="preserve"> and </w:t>
      </w:r>
      <w:r>
        <w:rPr>
          <w:kern w:val="0"/>
        </w:rPr>
        <w:t xml:space="preserve">ISI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four Chinese databases (CBM, CNKI, VIP,</w:t>
      </w:r>
      <w:r w:rsidR="005853A9">
        <w:rPr>
          <w:kern w:val="0"/>
        </w:rPr>
        <w:t xml:space="preserve"> and </w:t>
      </w:r>
      <w:r>
        <w:rPr>
          <w:kern w:val="0"/>
        </w:rPr>
        <w:t>WANFANG), from respective inception to January 2013,</w:t>
      </w:r>
      <w:r w:rsidR="005853A9">
        <w:rPr>
          <w:kern w:val="0"/>
        </w:rPr>
        <w:t xml:space="preserve"> and </w:t>
      </w:r>
      <w:r>
        <w:rPr>
          <w:kern w:val="0"/>
        </w:rPr>
        <w:t>supplemented with a manual search. Review authors independently extracted the trial data,</w:t>
      </w:r>
      <w:r w:rsidR="005853A9">
        <w:rPr>
          <w:kern w:val="0"/>
        </w:rPr>
        <w:t xml:space="preserve"> and </w:t>
      </w:r>
      <w:r>
        <w:rPr>
          <w:kern w:val="0"/>
        </w:rPr>
        <w:t>assessed the quality</w:t>
      </w:r>
      <w:r w:rsidR="00427468">
        <w:rPr>
          <w:kern w:val="0"/>
        </w:rPr>
        <w:t xml:space="preserve"> of </w:t>
      </w:r>
      <w:r>
        <w:rPr>
          <w:kern w:val="0"/>
        </w:rPr>
        <w:t>each trial. Methodological quality was assessed by Cochrane risk</w:t>
      </w:r>
      <w:r w:rsidR="00427468">
        <w:rPr>
          <w:kern w:val="0"/>
        </w:rPr>
        <w:t xml:space="preserve"> of </w:t>
      </w:r>
      <w:r>
        <w:rPr>
          <w:kern w:val="0"/>
        </w:rPr>
        <w:t>bias</w:t>
      </w:r>
      <w:r w:rsidR="005853A9">
        <w:rPr>
          <w:kern w:val="0"/>
        </w:rPr>
        <w:t xml:space="preserve"> and </w:t>
      </w:r>
      <w:r>
        <w:rPr>
          <w:kern w:val="0"/>
        </w:rPr>
        <w:t>Jadad</w:t>
      </w:r>
      <w:r w:rsidR="00700038">
        <w:rPr>
          <w:kern w:val="0"/>
        </w:rPr>
        <w:t>’</w:t>
      </w:r>
      <w:r>
        <w:rPr>
          <w:kern w:val="0"/>
        </w:rPr>
        <w:t>s scale</w:t>
      </w:r>
      <w:r w:rsidR="00A37C1D">
        <w:rPr>
          <w:kern w:val="0"/>
        </w:rPr>
        <w:t>. The</w:t>
      </w:r>
      <w:r>
        <w:rPr>
          <w:kern w:val="0"/>
        </w:rPr>
        <w:t xml:space="preserve"> following outcomes were evaluated: (1) lung function; (2) 6-minute walk distance (6MWD); (3) effective rate; (4) serum levels</w:t>
      </w:r>
      <w:r w:rsidR="00427468">
        <w:rPr>
          <w:kern w:val="0"/>
        </w:rPr>
        <w:t xml:space="preserve"> of </w:t>
      </w:r>
      <w:r>
        <w:rPr>
          <w:kern w:val="0"/>
        </w:rPr>
        <w:t>IgA, IgG</w:t>
      </w:r>
      <w:r w:rsidR="005853A9">
        <w:rPr>
          <w:kern w:val="0"/>
        </w:rPr>
        <w:t xml:space="preserve"> and </w:t>
      </w:r>
      <w:r>
        <w:rPr>
          <w:kern w:val="0"/>
        </w:rPr>
        <w:t>IgE;</w:t>
      </w:r>
      <w:r w:rsidR="005853A9">
        <w:rPr>
          <w:kern w:val="0"/>
        </w:rPr>
        <w:t xml:space="preserve"> and </w:t>
      </w:r>
      <w:r>
        <w:rPr>
          <w:kern w:val="0"/>
        </w:rPr>
        <w:t>(5) adverse events. Data were analyzed using STATA 12.0 software. Results: A total</w:t>
      </w:r>
      <w:r w:rsidR="00427468">
        <w:rPr>
          <w:kern w:val="0"/>
        </w:rPr>
        <w:t xml:space="preserve"> of </w:t>
      </w:r>
      <w:r>
        <w:rPr>
          <w:kern w:val="0"/>
        </w:rPr>
        <w:t xml:space="preserve">nine studies involving 660, stable COPD patients were identified. Patients from all studies included in this review were randomized to receive Yupingfeng formula combined </w:t>
      </w:r>
      <w:r>
        <w:rPr>
          <w:kern w:val="0"/>
        </w:rPr>
        <w:lastRenderedPageBreak/>
        <w:t>with Western medications in comparison with Western medications. In general, the methodological quality</w:t>
      </w:r>
      <w:r w:rsidR="00427468">
        <w:rPr>
          <w:kern w:val="0"/>
        </w:rPr>
        <w:t xml:space="preserve"> of </w:t>
      </w:r>
      <w:r>
        <w:rPr>
          <w:kern w:val="0"/>
        </w:rPr>
        <w:t>the included trials was poor</w:t>
      </w:r>
      <w:r w:rsidR="00A37C1D">
        <w:rPr>
          <w:kern w:val="0"/>
        </w:rPr>
        <w:t>. The</w:t>
      </w:r>
      <w:r>
        <w:rPr>
          <w:kern w:val="0"/>
        </w:rPr>
        <w:t xml:space="preserve"> results</w:t>
      </w:r>
      <w:r w:rsidR="00427468">
        <w:rPr>
          <w:kern w:val="0"/>
        </w:rPr>
        <w:t xml:space="preserve"> of </w:t>
      </w:r>
      <w:r>
        <w:rPr>
          <w:kern w:val="0"/>
        </w:rPr>
        <w:t>this systematic review indicates that, compared with Western medications alone, the use</w:t>
      </w:r>
      <w:r w:rsidR="00427468">
        <w:rPr>
          <w:kern w:val="0"/>
        </w:rPr>
        <w:t xml:space="preserve"> of </w:t>
      </w:r>
      <w:r>
        <w:rPr>
          <w:kern w:val="0"/>
        </w:rPr>
        <w:t>Yupingfeng formula, if combined with Western medications could significantly improve FEV1 (WMD = 0.30L; 95% CI: 0.19, 0.42), FEV1/FVC ratio (SMD = 0.69; 95% CI: 0.48, 0.91), 6MWD (WMD = 31.73m; 95% CI: 19.29, 44.17),</w:t>
      </w:r>
      <w:r w:rsidR="005853A9">
        <w:rPr>
          <w:kern w:val="0"/>
        </w:rPr>
        <w:t xml:space="preserve"> and </w:t>
      </w:r>
      <w:r>
        <w:rPr>
          <w:kern w:val="0"/>
        </w:rPr>
        <w:t>effective rate (RR = 1.24; 95% CI: 1.10, 1.41),</w:t>
      </w:r>
      <w:r w:rsidR="005853A9">
        <w:rPr>
          <w:kern w:val="0"/>
        </w:rPr>
        <w:t xml:space="preserve"> and </w:t>
      </w:r>
      <w:r>
        <w:rPr>
          <w:kern w:val="0"/>
        </w:rPr>
        <w:t>increase the serum levels</w:t>
      </w:r>
      <w:r w:rsidR="00427468">
        <w:rPr>
          <w:kern w:val="0"/>
        </w:rPr>
        <w:t xml:space="preserve"> of </w:t>
      </w:r>
      <w:r>
        <w:rPr>
          <w:kern w:val="0"/>
        </w:rPr>
        <w:t>IgA (WMD = 0.25; 95% CI: 0.16, 0.34)</w:t>
      </w:r>
      <w:r w:rsidR="005853A9">
        <w:rPr>
          <w:kern w:val="0"/>
        </w:rPr>
        <w:t xml:space="preserve"> and </w:t>
      </w:r>
      <w:r>
        <w:rPr>
          <w:kern w:val="0"/>
        </w:rPr>
        <w:t>IgG (WMD = 1.10; 95% CI: 0.53, 1.68), but no difference was found in the serum IgE levels (WMD = 0.47; 95% CI: -0.32, 1.27) between the two groups. No serious adverse events were reported. Conclusions: Within the limitations</w:t>
      </w:r>
      <w:r w:rsidR="00427468">
        <w:rPr>
          <w:kern w:val="0"/>
        </w:rPr>
        <w:t xml:space="preserve"> of </w:t>
      </w:r>
      <w:r>
        <w:rPr>
          <w:kern w:val="0"/>
        </w:rPr>
        <w:t>this systematic review, we may conclude that compared with Western medications alone, Yupingfeng formula, when combined with Western medications can provide more benefits for patients with stable COPD, without any serious adverse reactions being identified. However, these benefits need to be further confirmed through high-quality prospective placebo-controlled trials that should be strictly conducted in accordance with methodological principles</w:t>
      </w:r>
      <w:r w:rsidR="005853A9">
        <w:rPr>
          <w:kern w:val="0"/>
        </w:rPr>
        <w:t xml:space="preserve"> and </w:t>
      </w:r>
      <w:r>
        <w:rPr>
          <w:kern w:val="0"/>
        </w:rPr>
        <w:t>procedures.</w:t>
      </w:r>
    </w:p>
    <w:p w:rsidR="00C06B5A" w:rsidRDefault="00C06B5A" w:rsidP="00C06B5A">
      <w:pPr>
        <w:pStyle w:val="a3"/>
        <w:rPr>
          <w:kern w:val="0"/>
        </w:rPr>
      </w:pPr>
      <w:r>
        <w:rPr>
          <w:kern w:val="0"/>
        </w:rPr>
        <w:t>Keywords: Assessing, Authors, Benefits, Bias, Chinese, Chronic Obstructive Pulmonary Disease, Clinical, Clinical Trials, Clinical-Trials, Comparison, Data, Databases, Disease, Efficacy, Embase, Events, Evidence, Function, General, Groups, Gyokuheif</w:t>
      </w:r>
      <w:r w:rsidR="00D5664A">
        <w:rPr>
          <w:kern w:val="0"/>
        </w:rPr>
        <w:t>USA</w:t>
      </w:r>
      <w:r>
        <w:rPr>
          <w:kern w:val="0"/>
        </w:rPr>
        <w:t>n, IGG</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Literature, Lung, Lung Function, Management, Materials, Medicine, Methodological Quality, Methods, Modified, Outcomes, Patients, Pharmacological-Properties, Principles, Procedures, Prospective, Pubmed, Quality, Quality Of, Randomized, Randomized Controlled Trials, Respiratory System, Results, Review, Risk, Safety, Sample-Size, San, Scale, Science, Serum, Software, Systematic Review, Treatment, Trial, </w:t>
      </w:r>
      <w:r w:rsidR="00D5664A">
        <w:rPr>
          <w:kern w:val="0"/>
        </w:rPr>
        <w:t>Web</w:t>
      </w:r>
      <w:r w:rsidR="00427468">
        <w:rPr>
          <w:kern w:val="0"/>
        </w:rPr>
        <w:t xml:space="preserve"> of </w:t>
      </w:r>
      <w:r w:rsidR="00D5664A">
        <w:rPr>
          <w:kern w:val="0"/>
        </w:rPr>
        <w:t>Science</w:t>
      </w:r>
      <w:r>
        <w:rPr>
          <w:kern w:val="0"/>
        </w:rPr>
        <w:t>, Yupingfeng Formula</w:t>
      </w:r>
    </w:p>
    <w:p w:rsidR="00F64F85" w:rsidRDefault="00F64F85" w:rsidP="00F64F85">
      <w:pPr>
        <w:pStyle w:val="a3"/>
        <w:rPr>
          <w:kern w:val="0"/>
        </w:rPr>
      </w:pPr>
      <w:r>
        <w:rPr>
          <w:rFonts w:hint="eastAsia"/>
          <w:kern w:val="0"/>
        </w:rPr>
        <w:t xml:space="preserve">? </w:t>
      </w:r>
      <w:r>
        <w:rPr>
          <w:kern w:val="0"/>
        </w:rPr>
        <w:t xml:space="preserve">Feng, R. and Zhang, F. (2014), The neuroprotective effect of electro-acupuncture against ischemic stroke in animal model: A review. </w:t>
      </w:r>
      <w:r>
        <w:rPr>
          <w:i/>
          <w:iCs/>
          <w:kern w:val="0"/>
        </w:rPr>
        <w:t>African Journal of Traditional Complementary and Alternative Medicines</w:t>
      </w:r>
      <w:r>
        <w:rPr>
          <w:kern w:val="0"/>
        </w:rPr>
        <w:t xml:space="preserve">, </w:t>
      </w:r>
      <w:r>
        <w:rPr>
          <w:b/>
          <w:bCs/>
          <w:kern w:val="0"/>
        </w:rPr>
        <w:t>11</w:t>
      </w:r>
      <w:r>
        <w:rPr>
          <w:kern w:val="0"/>
        </w:rPr>
        <w:t xml:space="preserve"> (3), 25-29.</w:t>
      </w:r>
    </w:p>
    <w:p w:rsidR="00F64F85" w:rsidRDefault="00F64F85" w:rsidP="00F64F85">
      <w:pPr>
        <w:pStyle w:val="a3"/>
        <w:rPr>
          <w:kern w:val="0"/>
        </w:rPr>
      </w:pPr>
      <w:r>
        <w:rPr>
          <w:rFonts w:hint="eastAsia"/>
          <w:kern w:val="0"/>
        </w:rPr>
        <w:t xml:space="preserve">Full Text: </w:t>
      </w:r>
      <w:r w:rsidRPr="006D714A">
        <w:rPr>
          <w:kern w:val="0"/>
        </w:rPr>
        <w:t>201</w:t>
      </w:r>
      <w:r>
        <w:rPr>
          <w:rFonts w:hint="eastAsia"/>
          <w:kern w:val="0"/>
        </w:rPr>
        <w:t>4</w:t>
      </w:r>
      <w:r w:rsidRPr="006D714A">
        <w:rPr>
          <w:kern w:val="0"/>
        </w:rPr>
        <w:t>\</w:t>
      </w:r>
      <w:r>
        <w:rPr>
          <w:rFonts w:hint="eastAsia"/>
          <w:kern w:val="0"/>
        </w:rPr>
        <w:t>Afr J Tra Com Alt Med11</w:t>
      </w:r>
      <w:r w:rsidRPr="006D714A">
        <w:rPr>
          <w:kern w:val="0"/>
        </w:rPr>
        <w:t xml:space="preserve">, </w:t>
      </w:r>
      <w:r>
        <w:rPr>
          <w:rFonts w:hint="eastAsia"/>
          <w:kern w:val="0"/>
        </w:rPr>
        <w:t>25</w:t>
      </w:r>
      <w:r w:rsidRPr="006D714A">
        <w:rPr>
          <w:kern w:val="0"/>
        </w:rPr>
        <w:t>.pdf</w:t>
      </w:r>
    </w:p>
    <w:p w:rsidR="00F64F85" w:rsidRDefault="00F64F85" w:rsidP="00F64F85">
      <w:pPr>
        <w:pStyle w:val="a3"/>
        <w:rPr>
          <w:kern w:val="0"/>
        </w:rPr>
      </w:pPr>
      <w:r>
        <w:rPr>
          <w:kern w:val="0"/>
        </w:rPr>
        <w:t xml:space="preserve">Abstract: Background: It is well established that electro-acupuncture can exert neuroprotection in animal experiments. However, the exact mechanism of electro-acupuncture against ischemic stroke is not very clear. Materials and methods: Literature retrieval was performed in four databases (OVID, PUBMED, EMBASE, and ISI Web of Science), from respective inception to July 2013. Results: Series of studies have demonstrated that electro-acupuncture might be a promising method in reducing brain damage after stroke and induce brain ischemic tolerance before stroke through the promotion of angiogenesis, alleviation of the inflammatory response, regulation of the blood brain barrier (BBB), inhibition of apoptosis, and so on. </w:t>
      </w:r>
      <w:r>
        <w:rPr>
          <w:kern w:val="0"/>
        </w:rPr>
        <w:lastRenderedPageBreak/>
        <w:t>Through these mechanisms, electro-acupuncture may reduce the neural damages associated with stroke. Conclusion: An awareness of the benefits of acupuncture might lead more patients into accepting acupuncture therapy for the management of patients with ischemic stroke and patients with high risk of ischemic stroke.</w:t>
      </w:r>
    </w:p>
    <w:p w:rsidR="00F64F85" w:rsidRDefault="00F64F85" w:rsidP="00F64F85">
      <w:pPr>
        <w:pStyle w:val="a3"/>
        <w:rPr>
          <w:kern w:val="0"/>
        </w:rPr>
      </w:pPr>
      <w:r>
        <w:rPr>
          <w:kern w:val="0"/>
        </w:rPr>
        <w:t>Keywords: Activation, Acupuncture, Acupuncture, Angiogenesis, Animal Experiments, Apoptosis, Artery-Occlusion, Barrier, Benefits, Blood, Blood-Flow, Brain, Brain Damage, Brain Ischemic Tolerance, Cerebral Ischemia, Damage, Databases, Effect, Embase, Experiments, Expression, Focal Cerebral-Ischemia, Inflammatory Response, Inhibition, Ischemic Stroke, ISI, ISI Web Of Science, Lead, Literature, Management, Materials, Mechanism, Mechanisms, Methods, Model, Patients, Pretreatment, Promotion, Rapid Tolerance, Rat Brains, Receptor, Regulation, Response, Results, Review, Risk, Science, Stroke, Therapy, Tolerance, Web Of Science</w:t>
      </w:r>
    </w:p>
    <w:p w:rsidR="007A24DB" w:rsidRPr="001A3D2B" w:rsidRDefault="007A24DB" w:rsidP="007A24DB">
      <w:pPr>
        <w:pStyle w:val="1"/>
      </w:pPr>
      <w:r w:rsidRPr="001A3D2B">
        <w:br w:type="page"/>
      </w:r>
      <w:bookmarkStart w:id="160" w:name="_Toc420814332"/>
      <w:r w:rsidRPr="001A3D2B">
        <w:lastRenderedPageBreak/>
        <w:t>Title: Age</w:t>
      </w:r>
      <w:bookmarkEnd w:id="160"/>
    </w:p>
    <w:p w:rsidR="007A24DB" w:rsidRPr="001A3D2B" w:rsidRDefault="007A24DB" w:rsidP="007A24DB">
      <w:pPr>
        <w:pStyle w:val="12"/>
      </w:pPr>
      <w:r w:rsidRPr="001A3D2B">
        <w:t xml:space="preserve">Full Journal Title: </w:t>
      </w:r>
      <w:r w:rsidRPr="007A24DB">
        <w:rPr>
          <w:iCs/>
          <w:kern w:val="0"/>
        </w:rPr>
        <w:t>Age</w:t>
      </w:r>
    </w:p>
    <w:p w:rsidR="007A24DB" w:rsidRPr="001A3D2B" w:rsidRDefault="007A24DB" w:rsidP="007A24DB">
      <w:pPr>
        <w:pStyle w:val="12"/>
      </w:pPr>
      <w:r w:rsidRPr="001A3D2B">
        <w:t xml:space="preserve">ISO Abbreviated Title: </w:t>
      </w:r>
      <w:r w:rsidRPr="007A24DB">
        <w:rPr>
          <w:iCs/>
          <w:kern w:val="0"/>
        </w:rPr>
        <w:t>Age</w:t>
      </w:r>
    </w:p>
    <w:p w:rsidR="007A24DB" w:rsidRPr="001A3D2B" w:rsidRDefault="007A24DB" w:rsidP="007A24DB">
      <w:pPr>
        <w:pStyle w:val="12"/>
      </w:pPr>
      <w:r w:rsidRPr="001A3D2B">
        <w:t xml:space="preserve">JCR Abbreviated Title: </w:t>
      </w:r>
      <w:r w:rsidRPr="007A24DB">
        <w:rPr>
          <w:iCs/>
          <w:kern w:val="0"/>
        </w:rPr>
        <w:t>Age</w:t>
      </w:r>
    </w:p>
    <w:p w:rsidR="007A24DB" w:rsidRPr="001A3D2B" w:rsidRDefault="007A24DB" w:rsidP="007A24DB">
      <w:pPr>
        <w:pStyle w:val="12"/>
      </w:pPr>
      <w:r w:rsidRPr="001A3D2B">
        <w:t xml:space="preserve">ISSN: </w:t>
      </w:r>
    </w:p>
    <w:p w:rsidR="007A24DB" w:rsidRPr="001A3D2B" w:rsidRDefault="007A24DB" w:rsidP="007A24DB">
      <w:pPr>
        <w:pStyle w:val="12"/>
      </w:pPr>
      <w:r w:rsidRPr="001A3D2B">
        <w:t xml:space="preserve">Issues/Year: </w:t>
      </w:r>
    </w:p>
    <w:p w:rsidR="007A24DB" w:rsidRPr="001A3D2B" w:rsidRDefault="007A24DB" w:rsidP="007A24DB">
      <w:pPr>
        <w:pStyle w:val="12"/>
      </w:pPr>
      <w:r w:rsidRPr="001A3D2B">
        <w:t xml:space="preserve">Journal Country/Territory: </w:t>
      </w:r>
    </w:p>
    <w:p w:rsidR="007A24DB" w:rsidRPr="001A3D2B" w:rsidRDefault="007A24DB" w:rsidP="007A24DB">
      <w:pPr>
        <w:pStyle w:val="12"/>
      </w:pPr>
      <w:r w:rsidRPr="001A3D2B">
        <w:t xml:space="preserve">Language: </w:t>
      </w:r>
    </w:p>
    <w:p w:rsidR="007A24DB" w:rsidRPr="001A3D2B" w:rsidRDefault="007A24DB" w:rsidP="007A24DB">
      <w:pPr>
        <w:pStyle w:val="12"/>
      </w:pPr>
      <w:r w:rsidRPr="001A3D2B">
        <w:t xml:space="preserve">Publisher: </w:t>
      </w:r>
    </w:p>
    <w:p w:rsidR="007A24DB" w:rsidRPr="001A3D2B" w:rsidRDefault="007A24DB" w:rsidP="007A24DB">
      <w:pPr>
        <w:pStyle w:val="12"/>
      </w:pPr>
      <w:r w:rsidRPr="001A3D2B">
        <w:t xml:space="preserve">Publisher Address: </w:t>
      </w:r>
    </w:p>
    <w:p w:rsidR="007A24DB" w:rsidRPr="001A3D2B" w:rsidRDefault="007A24DB" w:rsidP="007A24DB">
      <w:pPr>
        <w:pStyle w:val="12"/>
      </w:pPr>
      <w:r w:rsidRPr="001A3D2B">
        <w:t xml:space="preserve">Subject Categories: </w:t>
      </w:r>
    </w:p>
    <w:p w:rsidR="007A24DB" w:rsidRPr="001A3D2B" w:rsidRDefault="007A24DB" w:rsidP="007A24DB">
      <w:pPr>
        <w:pStyle w:val="12"/>
      </w:pPr>
      <w:r w:rsidRPr="001A3D2B">
        <w:t xml:space="preserve">: Impact Factor </w:t>
      </w:r>
    </w:p>
    <w:p w:rsidR="007A24DB" w:rsidRDefault="007A24DB" w:rsidP="007A24DB">
      <w:pPr>
        <w:pStyle w:val="a3"/>
        <w:rPr>
          <w:kern w:val="0"/>
        </w:rPr>
      </w:pPr>
      <w:r>
        <w:rPr>
          <w:rFonts w:hint="eastAsia"/>
          <w:kern w:val="0"/>
        </w:rPr>
        <w:t xml:space="preserve">? </w:t>
      </w:r>
      <w:r>
        <w:rPr>
          <w:kern w:val="0"/>
        </w:rPr>
        <w:t>Cadore, E.L.</w:t>
      </w:r>
      <w:r w:rsidR="005853A9">
        <w:rPr>
          <w:kern w:val="0"/>
        </w:rPr>
        <w:t xml:space="preserve"> and </w:t>
      </w:r>
      <w:r>
        <w:rPr>
          <w:kern w:val="0"/>
        </w:rPr>
        <w:t>Izquierdo, M. (2013), How to simultaneously optimize muscle strength, power, functional capacity,</w:t>
      </w:r>
      <w:r w:rsidR="005853A9">
        <w:rPr>
          <w:kern w:val="0"/>
        </w:rPr>
        <w:t xml:space="preserve"> and </w:t>
      </w:r>
      <w:r>
        <w:rPr>
          <w:kern w:val="0"/>
        </w:rPr>
        <w:t xml:space="preserve">cardiovascular gains in the elderly: An update. </w:t>
      </w:r>
      <w:r w:rsidRPr="007A24DB">
        <w:rPr>
          <w:i/>
          <w:iCs/>
          <w:kern w:val="0"/>
        </w:rPr>
        <w:t>Age</w:t>
      </w:r>
      <w:r>
        <w:rPr>
          <w:kern w:val="0"/>
        </w:rPr>
        <w:t xml:space="preserve">, </w:t>
      </w:r>
      <w:r>
        <w:rPr>
          <w:b/>
          <w:bCs/>
          <w:kern w:val="0"/>
        </w:rPr>
        <w:t>35</w:t>
      </w:r>
      <w:r>
        <w:rPr>
          <w:kern w:val="0"/>
        </w:rPr>
        <w:t xml:space="preserve"> (6), 2329-2344.</w:t>
      </w:r>
    </w:p>
    <w:p w:rsidR="007A24DB" w:rsidRDefault="007A24DB" w:rsidP="007A24DB">
      <w:pPr>
        <w:pStyle w:val="a3"/>
        <w:rPr>
          <w:kern w:val="0"/>
        </w:rPr>
      </w:pPr>
      <w:r>
        <w:rPr>
          <w:rFonts w:hint="eastAsia"/>
          <w:kern w:val="0"/>
        </w:rPr>
        <w:t xml:space="preserve">Full Text: </w:t>
      </w:r>
      <w:hyperlink r:id="rId307" w:history="1">
        <w:r w:rsidRPr="007A24DB">
          <w:rPr>
            <w:rStyle w:val="a5"/>
            <w:kern w:val="0"/>
          </w:rPr>
          <w:t>2013\Age35, 2329.pdf</w:t>
        </w:r>
      </w:hyperlink>
    </w:p>
    <w:p w:rsidR="007A24DB" w:rsidRDefault="007A24DB" w:rsidP="007A24DB">
      <w:pPr>
        <w:pStyle w:val="a3"/>
        <w:rPr>
          <w:kern w:val="0"/>
        </w:rPr>
      </w:pPr>
      <w:r>
        <w:rPr>
          <w:kern w:val="0"/>
        </w:rPr>
        <w:t>Abstract: The purpose</w:t>
      </w:r>
      <w:r w:rsidR="00427468">
        <w:rPr>
          <w:kern w:val="0"/>
        </w:rPr>
        <w:t xml:space="preserve"> of </w:t>
      </w:r>
      <w:r>
        <w:rPr>
          <w:kern w:val="0"/>
        </w:rPr>
        <w:t>the present study was to review the scientific literature that investigated concurrent training adaptations in elderly populations, with the aim</w:t>
      </w:r>
      <w:r w:rsidR="00427468">
        <w:rPr>
          <w:kern w:val="0"/>
        </w:rPr>
        <w:t xml:space="preserve"> of </w:t>
      </w:r>
      <w:r>
        <w:rPr>
          <w:kern w:val="0"/>
        </w:rPr>
        <w:t>identifying the optimal combination</w:t>
      </w:r>
      <w:r w:rsidR="00427468">
        <w:rPr>
          <w:kern w:val="0"/>
        </w:rPr>
        <w:t xml:space="preserve"> of </w:t>
      </w:r>
      <w:r>
        <w:rPr>
          <w:kern w:val="0"/>
        </w:rPr>
        <w:t>both training program variables (i.e., strength</w:t>
      </w:r>
      <w:r w:rsidR="005853A9">
        <w:rPr>
          <w:kern w:val="0"/>
        </w:rPr>
        <w:t xml:space="preserve"> and </w:t>
      </w:r>
      <w:r>
        <w:rPr>
          <w:kern w:val="0"/>
        </w:rPr>
        <w:t xml:space="preserve">endurance) to avoid or minimize the interference effect in the elderly. Scielo, Science Citation Index, </w:t>
      </w:r>
      <w:r w:rsidR="00D5664A">
        <w:rPr>
          <w:kern w:val="0"/>
        </w:rPr>
        <w:t>MEDLINE</w:t>
      </w:r>
      <w:r>
        <w:rPr>
          <w:kern w:val="0"/>
        </w:rPr>
        <w:t>, Scopus, SPORTDiscus,</w:t>
      </w:r>
      <w:r w:rsidR="005853A9">
        <w:rPr>
          <w:kern w:val="0"/>
        </w:rPr>
        <w:t xml:space="preserve"> and </w:t>
      </w:r>
      <w:r>
        <w:rPr>
          <w:kern w:val="0"/>
        </w:rPr>
        <w:t>ScienceDirect databases were searched. Concurrent training is the most effective strategy by which to improve neuromuscular</w:t>
      </w:r>
      <w:r w:rsidR="005853A9">
        <w:rPr>
          <w:kern w:val="0"/>
        </w:rPr>
        <w:t xml:space="preserve"> and </w:t>
      </w:r>
      <w:r>
        <w:rPr>
          <w:kern w:val="0"/>
        </w:rPr>
        <w:t>cardiorespiratory functions as well as functional capacity in the elderly</w:t>
      </w:r>
      <w:r w:rsidR="00A37C1D">
        <w:rPr>
          <w:kern w:val="0"/>
        </w:rPr>
        <w:t>. The</w:t>
      </w:r>
      <w:r>
        <w:rPr>
          <w:kern w:val="0"/>
        </w:rPr>
        <w:t xml:space="preserve"> volume</w:t>
      </w:r>
      <w:r w:rsidR="005853A9">
        <w:rPr>
          <w:kern w:val="0"/>
        </w:rPr>
        <w:t xml:space="preserve"> and </w:t>
      </w:r>
      <w:r>
        <w:rPr>
          <w:kern w:val="0"/>
        </w:rPr>
        <w:t>frequency</w:t>
      </w:r>
      <w:r w:rsidR="00427468">
        <w:rPr>
          <w:kern w:val="0"/>
        </w:rPr>
        <w:t xml:space="preserve"> of </w:t>
      </w:r>
      <w:r>
        <w:rPr>
          <w:kern w:val="0"/>
        </w:rPr>
        <w:t>training appears to play a critical role in concurrent training-induced adaptations in elderly subjects. Furthermore, new evidence indicates that the intra-session exercise order may influence the magnitude</w:t>
      </w:r>
      <w:r w:rsidR="00427468">
        <w:rPr>
          <w:kern w:val="0"/>
        </w:rPr>
        <w:t xml:space="preserve"> of </w:t>
      </w:r>
      <w:r>
        <w:rPr>
          <w:kern w:val="0"/>
        </w:rPr>
        <w:t>physiological adaptations. Despite the interference effect on strength gains that is caused by concurrent training, this type</w:t>
      </w:r>
      <w:r w:rsidR="00427468">
        <w:rPr>
          <w:kern w:val="0"/>
        </w:rPr>
        <w:t xml:space="preserve"> of </w:t>
      </w:r>
      <w:r>
        <w:rPr>
          <w:kern w:val="0"/>
        </w:rPr>
        <w:t>training is advantageous in that the combination</w:t>
      </w:r>
      <w:r w:rsidR="00427468">
        <w:rPr>
          <w:kern w:val="0"/>
        </w:rPr>
        <w:t xml:space="preserve"> of </w:t>
      </w:r>
      <w:r>
        <w:rPr>
          <w:kern w:val="0"/>
        </w:rPr>
        <w:t>strength</w:t>
      </w:r>
      <w:r w:rsidR="005853A9">
        <w:rPr>
          <w:kern w:val="0"/>
        </w:rPr>
        <w:t xml:space="preserve"> and </w:t>
      </w:r>
      <w:r>
        <w:rPr>
          <w:kern w:val="0"/>
        </w:rPr>
        <w:t>endurance training produces both neuromuscular</w:t>
      </w:r>
      <w:r w:rsidR="005853A9">
        <w:rPr>
          <w:kern w:val="0"/>
        </w:rPr>
        <w:t xml:space="preserve"> and </w:t>
      </w:r>
      <w:r>
        <w:rPr>
          <w:kern w:val="0"/>
        </w:rPr>
        <w:t>cardiovascular adaptations in the elderly</w:t>
      </w:r>
      <w:r w:rsidR="00A37C1D">
        <w:rPr>
          <w:kern w:val="0"/>
        </w:rPr>
        <w:t>. The</w:t>
      </w:r>
      <w:r>
        <w:rPr>
          <w:kern w:val="0"/>
        </w:rPr>
        <w:t xml:space="preserve"> interference phenomenon may be observed in elderly subjects when a moderate weekly volume</w:t>
      </w:r>
      <w:r w:rsidR="00427468">
        <w:rPr>
          <w:kern w:val="0"/>
        </w:rPr>
        <w:t xml:space="preserve"> of </w:t>
      </w:r>
      <w:r>
        <w:rPr>
          <w:kern w:val="0"/>
        </w:rPr>
        <w:t>concurrent training (i.e., three times per week) is performed. However, even with the occurrence</w:t>
      </w:r>
      <w:r w:rsidR="00427468">
        <w:rPr>
          <w:kern w:val="0"/>
        </w:rPr>
        <w:t xml:space="preserve"> of </w:t>
      </w:r>
      <w:r>
        <w:rPr>
          <w:kern w:val="0"/>
        </w:rPr>
        <w:t>this phenomenon, the performance</w:t>
      </w:r>
      <w:r w:rsidR="00427468">
        <w:rPr>
          <w:kern w:val="0"/>
        </w:rPr>
        <w:t xml:space="preserve"> of </w:t>
      </w:r>
      <w:r>
        <w:rPr>
          <w:kern w:val="0"/>
        </w:rPr>
        <w:t>three concurrent training sessions per week appears to optimize the strength gains in relative brief periods</w:t>
      </w:r>
      <w:r w:rsidR="00427468">
        <w:rPr>
          <w:kern w:val="0"/>
        </w:rPr>
        <w:t xml:space="preserve"> of </w:t>
      </w:r>
      <w:r>
        <w:rPr>
          <w:kern w:val="0"/>
        </w:rPr>
        <w:t>training (12 weeks). Moreover, performing strength prior to endurance exercise may optimize both neuromuscular</w:t>
      </w:r>
      <w:r w:rsidR="005853A9">
        <w:rPr>
          <w:kern w:val="0"/>
        </w:rPr>
        <w:t xml:space="preserve"> and </w:t>
      </w:r>
      <w:r>
        <w:rPr>
          <w:kern w:val="0"/>
        </w:rPr>
        <w:t>cardiovascular gains.</w:t>
      </w:r>
    </w:p>
    <w:p w:rsidR="007A24DB" w:rsidRDefault="007A24DB" w:rsidP="007A24DB">
      <w:pPr>
        <w:pStyle w:val="a3"/>
        <w:rPr>
          <w:kern w:val="0"/>
        </w:rPr>
      </w:pPr>
      <w:r>
        <w:rPr>
          <w:kern w:val="0"/>
        </w:rPr>
        <w:t xml:space="preserve">Keywords: Age, Aging, Article, Capacity, Cardiovascular, Citation, Combined </w:t>
      </w:r>
      <w:r>
        <w:rPr>
          <w:kern w:val="0"/>
        </w:rPr>
        <w:lastRenderedPageBreak/>
        <w:t xml:space="preserve">Endurance, Combined Resistance, Combined Training, Concurrent Strength, Databases, Dwelling Older-Adults, Elderly, Evidence, Exercise, Force Production, Functions, Influence, Life-Style Interventions, Literature, Magnitude, Maximal Strength, </w:t>
      </w:r>
      <w:r w:rsidR="00D5664A">
        <w:rPr>
          <w:kern w:val="0"/>
        </w:rPr>
        <w:t>MEDLINE</w:t>
      </w:r>
      <w:r>
        <w:rPr>
          <w:kern w:val="0"/>
        </w:rPr>
        <w:t>, Muscle, Muscle Mass, Netherlands, Neural Adaptations, Neuromuscular Adaptations, Performance, Physical Training, Populations, Postmenopa</w:t>
      </w:r>
      <w:r w:rsidR="00D5664A">
        <w:rPr>
          <w:kern w:val="0"/>
        </w:rPr>
        <w:t>USA</w:t>
      </w:r>
      <w:r>
        <w:rPr>
          <w:kern w:val="0"/>
        </w:rPr>
        <w:t>l Women, Power, Purpose, Randomized Controlled-Trial, Review, Role, Science, Science Citation Index, Scientific Literature, Scopus, Spain, Strategy, Strength, The Elderly, Training, Van, Volume</w:t>
      </w:r>
    </w:p>
    <w:p w:rsidR="005B560D" w:rsidRPr="001A3D2B" w:rsidRDefault="005B560D" w:rsidP="005B560D">
      <w:pPr>
        <w:pStyle w:val="1"/>
      </w:pPr>
      <w:r w:rsidRPr="001A3D2B">
        <w:br w:type="page"/>
      </w:r>
      <w:bookmarkStart w:id="161" w:name="_Toc420814333"/>
      <w:r w:rsidRPr="001A3D2B">
        <w:lastRenderedPageBreak/>
        <w:t>Title: Age</w:t>
      </w:r>
      <w:r w:rsidR="005853A9">
        <w:t xml:space="preserve"> and </w:t>
      </w:r>
      <w:r w:rsidRPr="001A3D2B">
        <w:t>Ageing</w:t>
      </w:r>
      <w:bookmarkEnd w:id="161"/>
    </w:p>
    <w:p w:rsidR="005B560D" w:rsidRPr="001A3D2B" w:rsidRDefault="005B560D" w:rsidP="005B560D">
      <w:pPr>
        <w:pStyle w:val="12"/>
      </w:pPr>
      <w:r w:rsidRPr="001A3D2B">
        <w:t xml:space="preserve">Full Journal Title: </w:t>
      </w:r>
      <w:hyperlink r:id="rId308" w:history="1">
        <w:r w:rsidRPr="001A3D2B">
          <w:rPr>
            <w:rStyle w:val="a5"/>
            <w:iCs/>
            <w:kern w:val="0"/>
          </w:rPr>
          <w:t>Age</w:t>
        </w:r>
        <w:r w:rsidR="005853A9">
          <w:rPr>
            <w:rStyle w:val="a5"/>
            <w:iCs/>
            <w:kern w:val="0"/>
          </w:rPr>
          <w:t xml:space="preserve"> and </w:t>
        </w:r>
        <w:r w:rsidRPr="001A3D2B">
          <w:rPr>
            <w:rStyle w:val="a5"/>
            <w:iCs/>
            <w:kern w:val="0"/>
          </w:rPr>
          <w:t>Ageing</w:t>
        </w:r>
      </w:hyperlink>
    </w:p>
    <w:p w:rsidR="005B560D" w:rsidRPr="001A3D2B" w:rsidRDefault="005B560D" w:rsidP="005B560D">
      <w:pPr>
        <w:pStyle w:val="12"/>
      </w:pPr>
      <w:r w:rsidRPr="001A3D2B">
        <w:t xml:space="preserve">ISO Abbreviated Title: </w:t>
      </w:r>
    </w:p>
    <w:p w:rsidR="005B560D" w:rsidRPr="001A3D2B" w:rsidRDefault="005B560D" w:rsidP="005B560D">
      <w:pPr>
        <w:pStyle w:val="12"/>
      </w:pPr>
      <w:r w:rsidRPr="001A3D2B">
        <w:t xml:space="preserve">JCR Abbreviated Title: </w:t>
      </w:r>
    </w:p>
    <w:p w:rsidR="005B560D" w:rsidRPr="001A3D2B" w:rsidRDefault="005B560D" w:rsidP="005B560D">
      <w:pPr>
        <w:pStyle w:val="12"/>
      </w:pPr>
      <w:r w:rsidRPr="001A3D2B">
        <w:t xml:space="preserve">ISSN: </w:t>
      </w:r>
    </w:p>
    <w:p w:rsidR="005B560D" w:rsidRPr="001A3D2B" w:rsidRDefault="005B560D" w:rsidP="005B560D">
      <w:pPr>
        <w:pStyle w:val="12"/>
      </w:pPr>
      <w:r w:rsidRPr="001A3D2B">
        <w:t xml:space="preserve">Issues/Year: </w:t>
      </w:r>
    </w:p>
    <w:p w:rsidR="005B560D" w:rsidRPr="001A3D2B" w:rsidRDefault="005B560D" w:rsidP="005B560D">
      <w:pPr>
        <w:pStyle w:val="12"/>
      </w:pPr>
      <w:r w:rsidRPr="001A3D2B">
        <w:t xml:space="preserve">Journal Country/Territory: </w:t>
      </w:r>
    </w:p>
    <w:p w:rsidR="005B560D" w:rsidRPr="001A3D2B" w:rsidRDefault="005B560D" w:rsidP="005B560D">
      <w:pPr>
        <w:pStyle w:val="12"/>
      </w:pPr>
      <w:r w:rsidRPr="001A3D2B">
        <w:t xml:space="preserve">Language: </w:t>
      </w:r>
    </w:p>
    <w:p w:rsidR="005B560D" w:rsidRPr="001A3D2B" w:rsidRDefault="005B560D" w:rsidP="005B560D">
      <w:pPr>
        <w:pStyle w:val="12"/>
      </w:pPr>
      <w:r w:rsidRPr="001A3D2B">
        <w:t xml:space="preserve">Publisher: </w:t>
      </w:r>
    </w:p>
    <w:p w:rsidR="005B560D" w:rsidRPr="001A3D2B" w:rsidRDefault="005B560D" w:rsidP="005B560D">
      <w:pPr>
        <w:pStyle w:val="12"/>
      </w:pPr>
      <w:r w:rsidRPr="001A3D2B">
        <w:t xml:space="preserve">Publisher Address: </w:t>
      </w:r>
    </w:p>
    <w:p w:rsidR="005B560D" w:rsidRPr="001A3D2B" w:rsidRDefault="005B560D" w:rsidP="005B560D">
      <w:pPr>
        <w:pStyle w:val="12"/>
      </w:pPr>
      <w:r w:rsidRPr="001A3D2B">
        <w:t xml:space="preserve">Subject Categories: </w:t>
      </w:r>
    </w:p>
    <w:p w:rsidR="005B560D" w:rsidRPr="001A3D2B" w:rsidRDefault="005B560D" w:rsidP="005B560D">
      <w:pPr>
        <w:pStyle w:val="12"/>
      </w:pPr>
      <w:r w:rsidRPr="001A3D2B">
        <w:t xml:space="preserve">: Impact Factor </w:t>
      </w:r>
    </w:p>
    <w:p w:rsidR="00AA56FA" w:rsidRDefault="00AA56FA" w:rsidP="00AA56FA">
      <w:pPr>
        <w:pStyle w:val="a3"/>
        <w:rPr>
          <w:kern w:val="0"/>
        </w:rPr>
      </w:pPr>
      <w:r>
        <w:rPr>
          <w:rFonts w:hint="eastAsia"/>
          <w:kern w:val="0"/>
        </w:rPr>
        <w:t xml:space="preserve">? </w:t>
      </w:r>
      <w:r>
        <w:rPr>
          <w:kern w:val="0"/>
        </w:rPr>
        <w:t>Campbell, S.E., Seymour, D.G.</w:t>
      </w:r>
      <w:r w:rsidR="005853A9">
        <w:rPr>
          <w:kern w:val="0"/>
        </w:rPr>
        <w:t xml:space="preserve"> and </w:t>
      </w:r>
      <w:r>
        <w:rPr>
          <w:kern w:val="0"/>
        </w:rPr>
        <w:t>Primrose, W.R. (2004), A systematic literature review</w:t>
      </w:r>
      <w:r w:rsidR="00427468">
        <w:rPr>
          <w:kern w:val="0"/>
        </w:rPr>
        <w:t xml:space="preserve"> of </w:t>
      </w:r>
      <w:r>
        <w:rPr>
          <w:kern w:val="0"/>
        </w:rPr>
        <w:t xml:space="preserve">factors affecting outcome in older medical patients admitted to hospital. </w:t>
      </w:r>
      <w:r>
        <w:rPr>
          <w:i/>
          <w:iCs/>
          <w:kern w:val="0"/>
        </w:rPr>
        <w:t>Age</w:t>
      </w:r>
      <w:r w:rsidR="005853A9">
        <w:rPr>
          <w:i/>
          <w:iCs/>
          <w:kern w:val="0"/>
        </w:rPr>
        <w:t xml:space="preserve"> and </w:t>
      </w:r>
      <w:r>
        <w:rPr>
          <w:i/>
          <w:iCs/>
          <w:kern w:val="0"/>
        </w:rPr>
        <w:t>Ageing</w:t>
      </w:r>
      <w:r>
        <w:rPr>
          <w:kern w:val="0"/>
        </w:rPr>
        <w:t xml:space="preserve">, </w:t>
      </w:r>
      <w:r>
        <w:rPr>
          <w:b/>
          <w:bCs/>
          <w:kern w:val="0"/>
        </w:rPr>
        <w:t>33</w:t>
      </w:r>
      <w:r>
        <w:rPr>
          <w:kern w:val="0"/>
        </w:rPr>
        <w:t xml:space="preserve"> (2), 110-115.</w:t>
      </w:r>
    </w:p>
    <w:p w:rsidR="00AA56FA" w:rsidRPr="001A3D2B" w:rsidRDefault="00AA56FA" w:rsidP="00AA56FA">
      <w:pPr>
        <w:pStyle w:val="a3"/>
        <w:rPr>
          <w:kern w:val="0"/>
        </w:rPr>
      </w:pPr>
      <w:r w:rsidRPr="001A3D2B">
        <w:rPr>
          <w:kern w:val="0"/>
        </w:rPr>
        <w:t xml:space="preserve">Full Text: </w:t>
      </w:r>
      <w:hyperlink r:id="rId309" w:history="1">
        <w:r w:rsidR="00DB1C71" w:rsidRPr="00DB1C71">
          <w:rPr>
            <w:rStyle w:val="a5"/>
            <w:kern w:val="0"/>
          </w:rPr>
          <w:t>2004\Age Age33, 110.pdf</w:t>
        </w:r>
      </w:hyperlink>
    </w:p>
    <w:p w:rsidR="00AA56FA" w:rsidRDefault="00AA56FA" w:rsidP="00AA56FA">
      <w:pPr>
        <w:pStyle w:val="a3"/>
        <w:rPr>
          <w:kern w:val="0"/>
        </w:rPr>
      </w:pPr>
      <w:r>
        <w:rPr>
          <w:kern w:val="0"/>
        </w:rPr>
        <w:t>Abstract: Introduction:</w:t>
      </w:r>
      <w:r w:rsidR="003A1917">
        <w:rPr>
          <w:kern w:val="0"/>
        </w:rPr>
        <w:t xml:space="preserve"> the </w:t>
      </w:r>
      <w:r>
        <w:rPr>
          <w:kern w:val="0"/>
        </w:rPr>
        <w:t>ACMEplus project aims to devise a standardised system for measuring case-mix</w:t>
      </w:r>
      <w:r w:rsidR="005853A9">
        <w:rPr>
          <w:kern w:val="0"/>
        </w:rPr>
        <w:t xml:space="preserve"> and </w:t>
      </w:r>
      <w:r>
        <w:rPr>
          <w:kern w:val="0"/>
        </w:rPr>
        <w:t>outcome in older patients admitted to hospitals in different parts</w:t>
      </w:r>
      <w:r w:rsidR="00427468">
        <w:rPr>
          <w:kern w:val="0"/>
        </w:rPr>
        <w:t xml:space="preserve"> of </w:t>
      </w:r>
      <w:r>
        <w:rPr>
          <w:kern w:val="0"/>
        </w:rPr>
        <w:t xml:space="preserve">Europe for primarily </w:t>
      </w:r>
      <w:r w:rsidR="00700038">
        <w:rPr>
          <w:kern w:val="0"/>
        </w:rPr>
        <w:t>‘</w:t>
      </w:r>
      <w:r>
        <w:rPr>
          <w:kern w:val="0"/>
        </w:rPr>
        <w:t>medical</w:t>
      </w:r>
      <w:r w:rsidR="00700038">
        <w:rPr>
          <w:kern w:val="0"/>
        </w:rPr>
        <w:t>’</w:t>
      </w:r>
      <w:r>
        <w:rPr>
          <w:kern w:val="0"/>
        </w:rPr>
        <w:t xml:space="preserve"> (i.e. not surgical or psychiatric) reasons. As a first step in this project, a systematic review was carried out to identify, factors which had a significant influence on outcome in such patients. Methods:</w:t>
      </w:r>
      <w:r w:rsidR="003A1917">
        <w:rPr>
          <w:kern w:val="0"/>
        </w:rPr>
        <w:t xml:space="preserve"> the </w:t>
      </w:r>
      <w:r>
        <w:rPr>
          <w:kern w:val="0"/>
        </w:rPr>
        <w:t xml:space="preserve">systematic search used </w:t>
      </w:r>
      <w:r w:rsidR="00D5664A">
        <w:rPr>
          <w:kern w:val="0"/>
        </w:rPr>
        <w:t>MEDLINE</w:t>
      </w:r>
      <w:r>
        <w:rPr>
          <w:kern w:val="0"/>
        </w:rPr>
        <w:t xml:space="preserve"> 1966-2000, Cinahl 1982-2000, </w:t>
      </w:r>
      <w:r w:rsidR="00D5664A">
        <w:rPr>
          <w:kern w:val="0"/>
        </w:rPr>
        <w:t>Web</w:t>
      </w:r>
      <w:r w:rsidR="00427468">
        <w:rPr>
          <w:kern w:val="0"/>
        </w:rPr>
        <w:t xml:space="preserve"> of </w:t>
      </w:r>
      <w:r w:rsidR="00D5664A">
        <w:rPr>
          <w:kern w:val="0"/>
        </w:rPr>
        <w:t>Science</w:t>
      </w:r>
      <w:r>
        <w:rPr>
          <w:kern w:val="0"/>
        </w:rPr>
        <w:t xml:space="preserve"> 1981-2000, reference lists</w:t>
      </w:r>
      <w:r w:rsidR="00427468">
        <w:rPr>
          <w:kern w:val="0"/>
        </w:rPr>
        <w:t xml:space="preserve"> of </w:t>
      </w:r>
      <w:r>
        <w:rPr>
          <w:kern w:val="0"/>
        </w:rPr>
        <w:t>relevant papers</w:t>
      </w:r>
      <w:r w:rsidR="005853A9">
        <w:rPr>
          <w:kern w:val="0"/>
        </w:rPr>
        <w:t xml:space="preserve"> and </w:t>
      </w:r>
      <w:r>
        <w:rPr>
          <w:kern w:val="0"/>
        </w:rPr>
        <w:t>a hand search</w:t>
      </w:r>
      <w:r w:rsidR="00427468">
        <w:rPr>
          <w:kern w:val="0"/>
        </w:rPr>
        <w:t xml:space="preserve"> of </w:t>
      </w:r>
      <w:r>
        <w:rPr>
          <w:kern w:val="0"/>
        </w:rPr>
        <w:t>Age</w:t>
      </w:r>
      <w:r w:rsidR="005853A9">
        <w:rPr>
          <w:kern w:val="0"/>
        </w:rPr>
        <w:t xml:space="preserve"> and </w:t>
      </w:r>
      <w:r>
        <w:rPr>
          <w:kern w:val="0"/>
        </w:rPr>
        <w:t>Ageing 1974-2000. A six-category grading system was devised to classify</w:t>
      </w:r>
      <w:r w:rsidR="003A1917">
        <w:rPr>
          <w:kern w:val="0"/>
        </w:rPr>
        <w:t xml:space="preserve"> the </w:t>
      </w:r>
      <w:r>
        <w:rPr>
          <w:kern w:val="0"/>
        </w:rPr>
        <w:t>313 identified papers with regard to their relevance to</w:t>
      </w:r>
      <w:r w:rsidR="003A1917">
        <w:rPr>
          <w:kern w:val="0"/>
        </w:rPr>
        <w:t xml:space="preserve"> the </w:t>
      </w:r>
      <w:r>
        <w:rPr>
          <w:kern w:val="0"/>
        </w:rPr>
        <w:t>ACMEplus project, study design</w:t>
      </w:r>
      <w:r w:rsidR="005853A9">
        <w:rPr>
          <w:kern w:val="0"/>
        </w:rPr>
        <w:t xml:space="preserve"> and </w:t>
      </w:r>
      <w:r>
        <w:rPr>
          <w:kern w:val="0"/>
        </w:rPr>
        <w:t>power</w:t>
      </w:r>
      <w:r w:rsidR="00A37C1D">
        <w:rPr>
          <w:kern w:val="0"/>
        </w:rPr>
        <w:t>. The</w:t>
      </w:r>
      <w:r w:rsidR="003A1917">
        <w:rPr>
          <w:kern w:val="0"/>
        </w:rPr>
        <w:t xml:space="preserve"> </w:t>
      </w:r>
      <w:r>
        <w:rPr>
          <w:kern w:val="0"/>
        </w:rPr>
        <w:t>analysis</w:t>
      </w:r>
      <w:r w:rsidR="00427468">
        <w:rPr>
          <w:kern w:val="0"/>
        </w:rPr>
        <w:t xml:space="preserve"> of </w:t>
      </w:r>
      <w:r w:rsidR="003A1917">
        <w:rPr>
          <w:kern w:val="0"/>
        </w:rPr>
        <w:t xml:space="preserve">the </w:t>
      </w:r>
      <w:r>
        <w:rPr>
          <w:kern w:val="0"/>
        </w:rPr>
        <w:t xml:space="preserve">14 </w:t>
      </w:r>
      <w:r w:rsidR="00700038">
        <w:rPr>
          <w:kern w:val="0"/>
        </w:rPr>
        <w:t>‘</w:t>
      </w:r>
      <w:r>
        <w:rPr>
          <w:kern w:val="0"/>
        </w:rPr>
        <w:t>category 1</w:t>
      </w:r>
      <w:r w:rsidR="00700038">
        <w:rPr>
          <w:kern w:val="0"/>
        </w:rPr>
        <w:t>’</w:t>
      </w:r>
      <w:r>
        <w:rPr>
          <w:kern w:val="0"/>
        </w:rPr>
        <w:t xml:space="preserve"> papers is presented. Results:</w:t>
      </w:r>
      <w:r w:rsidR="003A1917">
        <w:rPr>
          <w:kern w:val="0"/>
        </w:rPr>
        <w:t xml:space="preserve"> the </w:t>
      </w:r>
      <w:r>
        <w:rPr>
          <w:kern w:val="0"/>
        </w:rPr>
        <w:t>main areas</w:t>
      </w:r>
      <w:r w:rsidR="00427468">
        <w:rPr>
          <w:kern w:val="0"/>
        </w:rPr>
        <w:t xml:space="preserve"> of </w:t>
      </w:r>
      <w:r>
        <w:rPr>
          <w:kern w:val="0"/>
        </w:rPr>
        <w:t>assessment</w:t>
      </w:r>
      <w:r w:rsidR="00427468">
        <w:rPr>
          <w:kern w:val="0"/>
        </w:rPr>
        <w:t xml:space="preserve"> of </w:t>
      </w:r>
      <w:r>
        <w:rPr>
          <w:kern w:val="0"/>
        </w:rPr>
        <w:t>case-mix were function, cognition, depression, illness severity, nutrition, social elements, aspects</w:t>
      </w:r>
      <w:r w:rsidR="00427468">
        <w:rPr>
          <w:kern w:val="0"/>
        </w:rPr>
        <w:t xml:space="preserve"> of </w:t>
      </w:r>
      <w:r>
        <w:rPr>
          <w:kern w:val="0"/>
        </w:rPr>
        <w:t>diagnosis</w:t>
      </w:r>
      <w:r w:rsidR="005853A9">
        <w:rPr>
          <w:kern w:val="0"/>
        </w:rPr>
        <w:t xml:space="preserve"> and </w:t>
      </w:r>
      <w:r>
        <w:rPr>
          <w:kern w:val="0"/>
        </w:rPr>
        <w:t>demographic details. Statistically significant predictors, for</w:t>
      </w:r>
      <w:r w:rsidR="003A1917">
        <w:rPr>
          <w:kern w:val="0"/>
        </w:rPr>
        <w:t xml:space="preserve"> the </w:t>
      </w:r>
      <w:r>
        <w:rPr>
          <w:kern w:val="0"/>
        </w:rPr>
        <w:t>four outcome measures, listed below were: i. For length</w:t>
      </w:r>
      <w:r w:rsidR="00427468">
        <w:rPr>
          <w:kern w:val="0"/>
        </w:rPr>
        <w:t xml:space="preserve"> of </w:t>
      </w:r>
      <w:r>
        <w:rPr>
          <w:kern w:val="0"/>
        </w:rPr>
        <w:t>stay: functional status score, illness severity, cognitive Score, poor nutrition, comorbidity score, diagnosis or presenting illness, polypharmacy, age</w:t>
      </w:r>
      <w:r w:rsidR="005853A9">
        <w:rPr>
          <w:kern w:val="0"/>
        </w:rPr>
        <w:t xml:space="preserve"> and </w:t>
      </w:r>
      <w:r>
        <w:rPr>
          <w:kern w:val="0"/>
        </w:rPr>
        <w:t>gender. ii. For mortality: functional status score, illness severity, cognitive score, comorbidity score, diagnosis or presenting illness, polypharmacy, age</w:t>
      </w:r>
      <w:r w:rsidR="005853A9">
        <w:rPr>
          <w:kern w:val="0"/>
        </w:rPr>
        <w:t xml:space="preserve"> and </w:t>
      </w:r>
      <w:r>
        <w:rPr>
          <w:kern w:val="0"/>
        </w:rPr>
        <w:t>gender. iii. For discharge destination: functional status score, cognitive score, diagnosis or presenting illness</w:t>
      </w:r>
      <w:r w:rsidR="005853A9">
        <w:rPr>
          <w:kern w:val="0"/>
        </w:rPr>
        <w:t xml:space="preserve"> and </w:t>
      </w:r>
      <w:r>
        <w:rPr>
          <w:kern w:val="0"/>
        </w:rPr>
        <w:t>age. iv. For readmission rate: functional status score, illness severity, co-morbidity, polypharmacy diagnosis or presenting illness</w:t>
      </w:r>
      <w:r w:rsidR="005853A9">
        <w:rPr>
          <w:kern w:val="0"/>
        </w:rPr>
        <w:t xml:space="preserve"> and </w:t>
      </w:r>
      <w:r>
        <w:rPr>
          <w:kern w:val="0"/>
        </w:rPr>
        <w:t xml:space="preserve">age. Conclusions: factors affecting outcome in older medical patients are complex. When </w:t>
      </w:r>
      <w:r>
        <w:rPr>
          <w:kern w:val="0"/>
        </w:rPr>
        <w:lastRenderedPageBreak/>
        <w:t>looking at outcomes</w:t>
      </w:r>
      <w:r w:rsidR="00427468">
        <w:rPr>
          <w:kern w:val="0"/>
        </w:rPr>
        <w:t xml:space="preserve"> of </w:t>
      </w:r>
      <w:r>
        <w:rPr>
          <w:kern w:val="0"/>
        </w:rPr>
        <w:t>hospital admission in older people it is important not just to look at routinely available statistics such as age, gender</w:t>
      </w:r>
      <w:r w:rsidR="005853A9">
        <w:rPr>
          <w:kern w:val="0"/>
        </w:rPr>
        <w:t xml:space="preserve"> and </w:t>
      </w:r>
      <w:r>
        <w:rPr>
          <w:kern w:val="0"/>
        </w:rPr>
        <w:t>diagnosis but also to take into account multifaceted aspects such as functional status</w:t>
      </w:r>
      <w:r w:rsidR="005853A9">
        <w:rPr>
          <w:kern w:val="0"/>
        </w:rPr>
        <w:t xml:space="preserve"> and </w:t>
      </w:r>
      <w:r>
        <w:rPr>
          <w:kern w:val="0"/>
        </w:rPr>
        <w:t>cognitive function.</w:t>
      </w:r>
    </w:p>
    <w:p w:rsidR="00AA56FA" w:rsidRDefault="00AA56FA" w:rsidP="00AA56FA">
      <w:pPr>
        <w:pStyle w:val="a3"/>
        <w:rPr>
          <w:kern w:val="0"/>
        </w:rPr>
      </w:pPr>
      <w:r>
        <w:rPr>
          <w:kern w:val="0"/>
        </w:rPr>
        <w:t>Keywords: Acme, Admission, Age, Aged (80 Years</w:t>
      </w:r>
      <w:r w:rsidR="005853A9">
        <w:rPr>
          <w:kern w:val="0"/>
        </w:rPr>
        <w:t xml:space="preserve"> and </w:t>
      </w:r>
      <w:r>
        <w:rPr>
          <w:kern w:val="0"/>
        </w:rPr>
        <w:t>Over), Analysis, Assessment, Care, Case-Mix System, Cognition, Comorbidity, Depression, Diagnosis, Elderly, Elderly Patients, Europe, Functional, Functional Status, Gender, Geriatric-Patients, Hospital, Hospital Admission, Hospitals, Length, Length</w:t>
      </w:r>
      <w:r w:rsidR="00427468">
        <w:rPr>
          <w:kern w:val="0"/>
        </w:rPr>
        <w:t xml:space="preserve"> of </w:t>
      </w:r>
      <w:r>
        <w:rPr>
          <w:kern w:val="0"/>
        </w:rPr>
        <w:t xml:space="preserve">Stay, Literature, Literature Review, Medical, Methods, Mortality, Nutrition, Older Patients, Older People, Outcome, Outcome Assessment (Health Care), Outcomes, Papers, Prognosis, Prospective Studies, Review, Science, Social, Statistics, Stay, Surgical, Systematic, Systematic Literature Review, Systematic Review, </w:t>
      </w:r>
      <w:r w:rsidR="00D5664A">
        <w:rPr>
          <w:kern w:val="0"/>
        </w:rPr>
        <w:t>Web</w:t>
      </w:r>
      <w:r w:rsidR="00427468">
        <w:rPr>
          <w:kern w:val="0"/>
        </w:rPr>
        <w:t xml:space="preserve"> of </w:t>
      </w:r>
      <w:r w:rsidR="00D5664A">
        <w:rPr>
          <w:kern w:val="0"/>
        </w:rPr>
        <w:t>Science</w:t>
      </w:r>
    </w:p>
    <w:p w:rsidR="00AA56FA" w:rsidRDefault="00AA56FA" w:rsidP="00AA56FA">
      <w:pPr>
        <w:pStyle w:val="a3"/>
        <w:rPr>
          <w:kern w:val="0"/>
        </w:rPr>
      </w:pPr>
      <w:r>
        <w:rPr>
          <w:rFonts w:hint="eastAsia"/>
          <w:kern w:val="0"/>
        </w:rPr>
        <w:t xml:space="preserve">? </w:t>
      </w:r>
      <w:r>
        <w:rPr>
          <w:kern w:val="0"/>
        </w:rPr>
        <w:t>Borst, S.E. (2004), Interventions for sarcopenia</w:t>
      </w:r>
      <w:r w:rsidR="005853A9">
        <w:rPr>
          <w:kern w:val="0"/>
        </w:rPr>
        <w:t xml:space="preserve"> and </w:t>
      </w:r>
      <w:r>
        <w:rPr>
          <w:kern w:val="0"/>
        </w:rPr>
        <w:t xml:space="preserve">muscle weakness in older people. </w:t>
      </w:r>
      <w:r>
        <w:rPr>
          <w:i/>
          <w:iCs/>
          <w:kern w:val="0"/>
        </w:rPr>
        <w:t>Age</w:t>
      </w:r>
      <w:r w:rsidR="005853A9">
        <w:rPr>
          <w:i/>
          <w:iCs/>
          <w:kern w:val="0"/>
        </w:rPr>
        <w:t xml:space="preserve"> and </w:t>
      </w:r>
      <w:r>
        <w:rPr>
          <w:i/>
          <w:iCs/>
          <w:kern w:val="0"/>
        </w:rPr>
        <w:t>Ageing</w:t>
      </w:r>
      <w:r>
        <w:rPr>
          <w:kern w:val="0"/>
        </w:rPr>
        <w:t xml:space="preserve">, </w:t>
      </w:r>
      <w:r>
        <w:rPr>
          <w:b/>
          <w:bCs/>
          <w:kern w:val="0"/>
        </w:rPr>
        <w:t>33</w:t>
      </w:r>
      <w:r>
        <w:rPr>
          <w:kern w:val="0"/>
        </w:rPr>
        <w:t xml:space="preserve"> (6), 548-555.</w:t>
      </w:r>
    </w:p>
    <w:p w:rsidR="00AA56FA" w:rsidRPr="001A3D2B" w:rsidRDefault="00AA56FA" w:rsidP="00AA56FA">
      <w:pPr>
        <w:pStyle w:val="a3"/>
        <w:rPr>
          <w:kern w:val="0"/>
        </w:rPr>
      </w:pPr>
      <w:r w:rsidRPr="001A3D2B">
        <w:rPr>
          <w:kern w:val="0"/>
        </w:rPr>
        <w:t xml:space="preserve">Full Text: </w:t>
      </w:r>
      <w:hyperlink r:id="rId310" w:history="1">
        <w:r w:rsidR="00DB1C71" w:rsidRPr="00DB1C71">
          <w:rPr>
            <w:rStyle w:val="a5"/>
            <w:kern w:val="0"/>
          </w:rPr>
          <w:t>2004\Age Age33, 548.pdf</w:t>
        </w:r>
      </w:hyperlink>
    </w:p>
    <w:p w:rsidR="00AA56FA" w:rsidRDefault="00AA56FA" w:rsidP="00AA56FA">
      <w:pPr>
        <w:pStyle w:val="a3"/>
        <w:rPr>
          <w:kern w:val="0"/>
        </w:rPr>
      </w:pPr>
      <w:r>
        <w:rPr>
          <w:kern w:val="0"/>
        </w:rPr>
        <w:t>Abstract: Objective: three major strategies have been tested for combating</w:t>
      </w:r>
      <w:r w:rsidR="003A1917">
        <w:rPr>
          <w:kern w:val="0"/>
        </w:rPr>
        <w:t xml:space="preserve"> the </w:t>
      </w:r>
      <w:r>
        <w:rPr>
          <w:kern w:val="0"/>
        </w:rPr>
        <w:t>losses in muscle mass</w:t>
      </w:r>
      <w:r w:rsidR="005853A9">
        <w:rPr>
          <w:kern w:val="0"/>
        </w:rPr>
        <w:t xml:space="preserve"> and </w:t>
      </w:r>
      <w:r>
        <w:rPr>
          <w:kern w:val="0"/>
        </w:rPr>
        <w:t>strength that accompany ageing. Those strategies are testosterone replacement for men, growth hormone replacement</w:t>
      </w:r>
      <w:r w:rsidR="005853A9">
        <w:rPr>
          <w:kern w:val="0"/>
        </w:rPr>
        <w:t xml:space="preserve"> and </w:t>
      </w:r>
      <w:r>
        <w:rPr>
          <w:kern w:val="0"/>
        </w:rPr>
        <w:t>resistance exercise training. This review will cover</w:t>
      </w:r>
      <w:r w:rsidR="003A1917">
        <w:rPr>
          <w:kern w:val="0"/>
        </w:rPr>
        <w:t xml:space="preserve"> the </w:t>
      </w:r>
      <w:r>
        <w:rPr>
          <w:kern w:val="0"/>
        </w:rPr>
        <w:t>risks</w:t>
      </w:r>
      <w:r w:rsidR="005853A9">
        <w:rPr>
          <w:kern w:val="0"/>
        </w:rPr>
        <w:t xml:space="preserve"> and </w:t>
      </w:r>
      <w:r>
        <w:rPr>
          <w:kern w:val="0"/>
        </w:rPr>
        <w:t>benefits associated with each</w:t>
      </w:r>
      <w:r w:rsidR="00427468">
        <w:rPr>
          <w:kern w:val="0"/>
        </w:rPr>
        <w:t xml:space="preserve"> of </w:t>
      </w:r>
      <w:r>
        <w:rPr>
          <w:kern w:val="0"/>
        </w:rPr>
        <w:t>these interventions. Methods: searches</w:t>
      </w:r>
      <w:r w:rsidR="00427468">
        <w:rPr>
          <w:kern w:val="0"/>
        </w:rPr>
        <w:t xml:space="preserve"> of </w:t>
      </w:r>
      <w:r w:rsidR="002C12F0">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through May 2004 yielded 85 relevant citations for</w:t>
      </w:r>
      <w:r w:rsidR="003A1917">
        <w:rPr>
          <w:kern w:val="0"/>
        </w:rPr>
        <w:t xml:space="preserve"> the </w:t>
      </w:r>
      <w:r>
        <w:rPr>
          <w:kern w:val="0"/>
        </w:rPr>
        <w:t>following descriptors: sarcopenia, aging/ageing, elderly, testosterone, hormone replacement, growth hormone, resistance training, exercise, muscle mass, nutrition</w:t>
      </w:r>
      <w:r w:rsidR="005853A9">
        <w:rPr>
          <w:kern w:val="0"/>
        </w:rPr>
        <w:t xml:space="preserve"> and </w:t>
      </w:r>
      <w:r>
        <w:rPr>
          <w:kern w:val="0"/>
        </w:rPr>
        <w:t>strength. Results</w:t>
      </w:r>
      <w:r w:rsidR="005853A9">
        <w:rPr>
          <w:kern w:val="0"/>
        </w:rPr>
        <w:t xml:space="preserve"> and </w:t>
      </w:r>
      <w:r>
        <w:rPr>
          <w:kern w:val="0"/>
        </w:rPr>
        <w:t>conclusions: testosterone replacement in elderly hypogonadal men produces only modest increases in muscle mass</w:t>
      </w:r>
      <w:r w:rsidR="005853A9">
        <w:rPr>
          <w:kern w:val="0"/>
        </w:rPr>
        <w:t xml:space="preserve"> and </w:t>
      </w:r>
      <w:r>
        <w:rPr>
          <w:kern w:val="0"/>
        </w:rPr>
        <w:t>strength, which are observed in some studies</w:t>
      </w:r>
      <w:r w:rsidR="005853A9">
        <w:rPr>
          <w:kern w:val="0"/>
        </w:rPr>
        <w:t xml:space="preserve"> and </w:t>
      </w:r>
      <w:r>
        <w:rPr>
          <w:kern w:val="0"/>
        </w:rPr>
        <w:t>not in others. Higher doses have not been given for fear</w:t>
      </w:r>
      <w:r w:rsidR="00427468">
        <w:rPr>
          <w:kern w:val="0"/>
        </w:rPr>
        <w:t xml:space="preserve"> of </w:t>
      </w:r>
      <w:r>
        <w:rPr>
          <w:kern w:val="0"/>
        </w:rPr>
        <w:t>accelerating prostate cancer. Growth hormone replacement in elderly subjects produces a high incidence</w:t>
      </w:r>
      <w:r w:rsidR="00427468">
        <w:rPr>
          <w:kern w:val="0"/>
        </w:rPr>
        <w:t xml:space="preserve"> of </w:t>
      </w:r>
      <w:r>
        <w:rPr>
          <w:kern w:val="0"/>
        </w:rPr>
        <w:t>side-effects, does not increase strength</w:t>
      </w:r>
      <w:r w:rsidR="005853A9">
        <w:rPr>
          <w:kern w:val="0"/>
        </w:rPr>
        <w:t xml:space="preserve"> and </w:t>
      </w:r>
      <w:r>
        <w:rPr>
          <w:kern w:val="0"/>
        </w:rPr>
        <w:t>does not augment strength gains resulting from resistance training. Some alternate strategies for stimulating</w:t>
      </w:r>
      <w:r w:rsidR="003A1917">
        <w:rPr>
          <w:kern w:val="0"/>
        </w:rPr>
        <w:t xml:space="preserve"> the </w:t>
      </w:r>
      <w:r>
        <w:rPr>
          <w:kern w:val="0"/>
        </w:rPr>
        <w:t>growth hormone/insulin-like growth factor (IGF) pathway continue to hold promise</w:t>
      </w:r>
      <w:r w:rsidR="00A37C1D">
        <w:rPr>
          <w:kern w:val="0"/>
        </w:rPr>
        <w:t>. The</w:t>
      </w:r>
      <w:r w:rsidR="003A1917">
        <w:rPr>
          <w:kern w:val="0"/>
        </w:rPr>
        <w:t xml:space="preserve"> </w:t>
      </w:r>
      <w:r>
        <w:rPr>
          <w:kern w:val="0"/>
        </w:rPr>
        <w:t>latter include growth hormone releasing hormone (GHRH)</w:t>
      </w:r>
      <w:r w:rsidR="005853A9">
        <w:rPr>
          <w:kern w:val="0"/>
        </w:rPr>
        <w:t xml:space="preserve"> and </w:t>
      </w:r>
      <w:r w:rsidR="003A1917">
        <w:rPr>
          <w:kern w:val="0"/>
        </w:rPr>
        <w:t xml:space="preserve">the </w:t>
      </w:r>
      <w:r>
        <w:rPr>
          <w:kern w:val="0"/>
        </w:rPr>
        <w:t>complex</w:t>
      </w:r>
      <w:r w:rsidR="00427468">
        <w:rPr>
          <w:kern w:val="0"/>
        </w:rPr>
        <w:t xml:space="preserve"> of </w:t>
      </w:r>
      <w:r>
        <w:rPr>
          <w:kern w:val="0"/>
        </w:rPr>
        <w:t>IGF-I with its major circulating binding protein (IGF-I/IGFBP-3). Resistance training remains</w:t>
      </w:r>
      <w:r w:rsidR="003A1917">
        <w:rPr>
          <w:kern w:val="0"/>
        </w:rPr>
        <w:t xml:space="preserve"> the </w:t>
      </w:r>
      <w:r>
        <w:rPr>
          <w:kern w:val="0"/>
        </w:rPr>
        <w:t>most effective intervention for increasing muscle mass</w:t>
      </w:r>
      <w:r w:rsidR="005853A9">
        <w:rPr>
          <w:kern w:val="0"/>
        </w:rPr>
        <w:t xml:space="preserve"> and </w:t>
      </w:r>
      <w:r>
        <w:rPr>
          <w:kern w:val="0"/>
        </w:rPr>
        <w:t>strength in older people. Elderly people have reduced food intake</w:t>
      </w:r>
      <w:r w:rsidR="005853A9">
        <w:rPr>
          <w:kern w:val="0"/>
        </w:rPr>
        <w:t xml:space="preserve"> and </w:t>
      </w:r>
      <w:r>
        <w:rPr>
          <w:kern w:val="0"/>
        </w:rPr>
        <w:t>increased protein requirements. As a result, adequate nutrition is sometimes a barrier to obtaining full benefits from resistance training in this population.</w:t>
      </w:r>
    </w:p>
    <w:p w:rsidR="00AA56FA" w:rsidRDefault="00AA56FA" w:rsidP="00AA56FA">
      <w:pPr>
        <w:pStyle w:val="a3"/>
        <w:rPr>
          <w:kern w:val="0"/>
        </w:rPr>
      </w:pPr>
      <w:r>
        <w:rPr>
          <w:kern w:val="0"/>
        </w:rPr>
        <w:t xml:space="preserve">Keywords: Ageing, Body-Composition, Cancer, Citations, Elderly, Elderly-Men, Exercise, Gene-Expression, Growth Hormone, Human Growth-Hormone, Hypogonadal Men, Intervention, Interventions, Methods, Muscle Atrophy, Nutrition, Older People, Physical Performance, Prostate Cancer, </w:t>
      </w:r>
      <w:r w:rsidR="002C12F0">
        <w:rPr>
          <w:kern w:val="0"/>
        </w:rPr>
        <w:t>PUBMED</w:t>
      </w:r>
      <w:r>
        <w:rPr>
          <w:kern w:val="0"/>
        </w:rPr>
        <w:t xml:space="preserve">, Resistance, </w:t>
      </w:r>
      <w:r>
        <w:rPr>
          <w:kern w:val="0"/>
        </w:rPr>
        <w:lastRenderedPageBreak/>
        <w:t xml:space="preserve">Resistance Exercise, Resistance Training, Review, Sarcopenia, Science, Skeletal-Muscle, Strength, Testosterone, Testosterone Replacement, Training, </w:t>
      </w:r>
      <w:r w:rsidR="00D5664A">
        <w:rPr>
          <w:kern w:val="0"/>
        </w:rPr>
        <w:t>Web</w:t>
      </w:r>
      <w:r w:rsidR="00427468">
        <w:rPr>
          <w:kern w:val="0"/>
        </w:rPr>
        <w:t xml:space="preserve"> of </w:t>
      </w:r>
      <w:r w:rsidR="00D5664A">
        <w:rPr>
          <w:kern w:val="0"/>
        </w:rPr>
        <w:t>Science</w:t>
      </w:r>
    </w:p>
    <w:p w:rsidR="00AA56FA" w:rsidRDefault="00AA56FA" w:rsidP="00AA56FA">
      <w:pPr>
        <w:pStyle w:val="a3"/>
        <w:rPr>
          <w:kern w:val="0"/>
        </w:rPr>
      </w:pPr>
      <w:r>
        <w:rPr>
          <w:rFonts w:hint="eastAsia"/>
          <w:kern w:val="0"/>
        </w:rPr>
        <w:t xml:space="preserve">? </w:t>
      </w:r>
      <w:r>
        <w:rPr>
          <w:kern w:val="0"/>
        </w:rPr>
        <w:t>Mold, F., Fitzpatrick, J.M.</w:t>
      </w:r>
      <w:r w:rsidR="005853A9">
        <w:rPr>
          <w:kern w:val="0"/>
        </w:rPr>
        <w:t xml:space="preserve"> and </w:t>
      </w:r>
      <w:r>
        <w:rPr>
          <w:kern w:val="0"/>
        </w:rPr>
        <w:t>Roberts, J.D. (2005), Minority ethnic elders in care homes: A review</w:t>
      </w:r>
      <w:r w:rsidR="00427468">
        <w:rPr>
          <w:kern w:val="0"/>
        </w:rPr>
        <w:t xml:space="preserve"> of </w:t>
      </w:r>
      <w:r w:rsidR="003A1917">
        <w:rPr>
          <w:kern w:val="0"/>
        </w:rPr>
        <w:t xml:space="preserve">the </w:t>
      </w:r>
      <w:r>
        <w:rPr>
          <w:kern w:val="0"/>
        </w:rPr>
        <w:t xml:space="preserve">literature. </w:t>
      </w:r>
      <w:r>
        <w:rPr>
          <w:i/>
          <w:iCs/>
          <w:kern w:val="0"/>
        </w:rPr>
        <w:t>Age</w:t>
      </w:r>
      <w:r w:rsidR="005853A9">
        <w:rPr>
          <w:i/>
          <w:iCs/>
          <w:kern w:val="0"/>
        </w:rPr>
        <w:t xml:space="preserve"> and </w:t>
      </w:r>
      <w:r>
        <w:rPr>
          <w:i/>
          <w:iCs/>
          <w:kern w:val="0"/>
        </w:rPr>
        <w:t>Ageing</w:t>
      </w:r>
      <w:r>
        <w:rPr>
          <w:kern w:val="0"/>
        </w:rPr>
        <w:t xml:space="preserve">, </w:t>
      </w:r>
      <w:r>
        <w:rPr>
          <w:b/>
          <w:bCs/>
          <w:kern w:val="0"/>
        </w:rPr>
        <w:t>34</w:t>
      </w:r>
      <w:r>
        <w:rPr>
          <w:kern w:val="0"/>
        </w:rPr>
        <w:t xml:space="preserve"> (2), 107-113.</w:t>
      </w:r>
    </w:p>
    <w:p w:rsidR="00AA56FA" w:rsidRPr="001A3D2B" w:rsidRDefault="00AA56FA" w:rsidP="00AA56FA">
      <w:pPr>
        <w:pStyle w:val="a3"/>
        <w:rPr>
          <w:kern w:val="0"/>
        </w:rPr>
      </w:pPr>
      <w:r w:rsidRPr="001A3D2B">
        <w:rPr>
          <w:kern w:val="0"/>
        </w:rPr>
        <w:t xml:space="preserve">Full Text: </w:t>
      </w:r>
      <w:hyperlink r:id="rId311" w:history="1">
        <w:r w:rsidR="00DB1C71" w:rsidRPr="00DB1C71">
          <w:rPr>
            <w:rStyle w:val="a5"/>
            <w:kern w:val="0"/>
          </w:rPr>
          <w:t>2005\Age Age34, 107.pdf</w:t>
        </w:r>
      </w:hyperlink>
    </w:p>
    <w:p w:rsidR="00AA56FA" w:rsidRDefault="00AA56FA" w:rsidP="00AA56FA">
      <w:pPr>
        <w:pStyle w:val="a3"/>
        <w:rPr>
          <w:kern w:val="0"/>
        </w:rPr>
      </w:pPr>
      <w:r>
        <w:rPr>
          <w:kern w:val="0"/>
        </w:rPr>
        <w:t>Abstract: Background: health</w:t>
      </w:r>
      <w:r w:rsidR="005853A9">
        <w:rPr>
          <w:kern w:val="0"/>
        </w:rPr>
        <w:t xml:space="preserve"> and </w:t>
      </w:r>
      <w:r>
        <w:rPr>
          <w:kern w:val="0"/>
        </w:rPr>
        <w:t>social care services are required to provide quality service provision to meet all older people</w:t>
      </w:r>
      <w:r w:rsidR="00700038">
        <w:rPr>
          <w:kern w:val="0"/>
        </w:rPr>
        <w:t>’</w:t>
      </w:r>
      <w:r w:rsidR="00C13DDC">
        <w:rPr>
          <w:kern w:val="0"/>
        </w:rPr>
        <w:t>s</w:t>
      </w:r>
      <w:r>
        <w:rPr>
          <w:kern w:val="0"/>
        </w:rPr>
        <w:t xml:space="preserve"> needs, including any needs specific to minority ethnic groups</w:t>
      </w:r>
      <w:r w:rsidR="00A37C1D">
        <w:rPr>
          <w:kern w:val="0"/>
        </w:rPr>
        <w:t>. The</w:t>
      </w:r>
      <w:r w:rsidR="003A1917">
        <w:rPr>
          <w:kern w:val="0"/>
        </w:rPr>
        <w:t xml:space="preserve"> </w:t>
      </w:r>
      <w:r>
        <w:rPr>
          <w:kern w:val="0"/>
        </w:rPr>
        <w:t>heterogeneity</w:t>
      </w:r>
      <w:r w:rsidR="00427468">
        <w:rPr>
          <w:kern w:val="0"/>
        </w:rPr>
        <w:t xml:space="preserve"> of </w:t>
      </w:r>
      <w:r w:rsidR="003A1917">
        <w:rPr>
          <w:kern w:val="0"/>
        </w:rPr>
        <w:t xml:space="preserve">the </w:t>
      </w:r>
      <w:r>
        <w:rPr>
          <w:kern w:val="0"/>
        </w:rPr>
        <w:t>population, however, highlights</w:t>
      </w:r>
      <w:r w:rsidR="003A1917">
        <w:rPr>
          <w:kern w:val="0"/>
        </w:rPr>
        <w:t xml:space="preserve"> the </w:t>
      </w:r>
      <w:r>
        <w:rPr>
          <w:kern w:val="0"/>
        </w:rPr>
        <w:t>need to offer a range</w:t>
      </w:r>
      <w:r w:rsidR="00427468">
        <w:rPr>
          <w:kern w:val="0"/>
        </w:rPr>
        <w:t xml:space="preserve"> of </w:t>
      </w:r>
      <w:r>
        <w:rPr>
          <w:kern w:val="0"/>
        </w:rPr>
        <w:t>services that reflect people</w:t>
      </w:r>
      <w:r w:rsidR="00700038">
        <w:rPr>
          <w:kern w:val="0"/>
        </w:rPr>
        <w:t>’</w:t>
      </w:r>
      <w:r w:rsidR="00C13DDC">
        <w:rPr>
          <w:kern w:val="0"/>
        </w:rPr>
        <w:t>s</w:t>
      </w:r>
      <w:r>
        <w:rPr>
          <w:kern w:val="0"/>
        </w:rPr>
        <w:t xml:space="preserve"> language, cultural</w:t>
      </w:r>
      <w:r w:rsidR="005853A9">
        <w:rPr>
          <w:kern w:val="0"/>
        </w:rPr>
        <w:t xml:space="preserve"> and </w:t>
      </w:r>
      <w:r>
        <w:rPr>
          <w:kern w:val="0"/>
        </w:rPr>
        <w:t>religious differences. Objectives: this paper reviews</w:t>
      </w:r>
      <w:r w:rsidR="003A1917">
        <w:rPr>
          <w:kern w:val="0"/>
        </w:rPr>
        <w:t xml:space="preserve"> the </w:t>
      </w:r>
      <w:r>
        <w:rPr>
          <w:kern w:val="0"/>
        </w:rPr>
        <w:t>literature concerned with minority ethnic elders in care homes. Methods: systematic searches were conducted using</w:t>
      </w:r>
      <w:r w:rsidR="003A1917">
        <w:rPr>
          <w:kern w:val="0"/>
        </w:rPr>
        <w:t xml:space="preserve"> the </w:t>
      </w:r>
      <w:r>
        <w:rPr>
          <w:kern w:val="0"/>
        </w:rPr>
        <w:t xml:space="preserve">following online databases: </w:t>
      </w:r>
      <w:r w:rsidR="00D5664A">
        <w:rPr>
          <w:kern w:val="0"/>
        </w:rPr>
        <w:t>Web</w:t>
      </w:r>
      <w:r w:rsidR="00427468">
        <w:rPr>
          <w:kern w:val="0"/>
        </w:rPr>
        <w:t xml:space="preserve"> of </w:t>
      </w:r>
      <w:r w:rsidR="00D5664A">
        <w:rPr>
          <w:kern w:val="0"/>
        </w:rPr>
        <w:t>Science</w:t>
      </w:r>
      <w:r>
        <w:rPr>
          <w:kern w:val="0"/>
        </w:rPr>
        <w:t xml:space="preserve">, Pub Med, Sociological Abstracts, Social Sciences Index, AMED, British Nursing Index, </w:t>
      </w:r>
      <w:r w:rsidR="00D5664A">
        <w:rPr>
          <w:kern w:val="0"/>
        </w:rPr>
        <w:t>MEDLINE</w:t>
      </w:r>
      <w:r>
        <w:rPr>
          <w:kern w:val="0"/>
        </w:rPr>
        <w:t>, PsycInfo</w:t>
      </w:r>
      <w:r w:rsidR="005853A9">
        <w:rPr>
          <w:kern w:val="0"/>
        </w:rPr>
        <w:t xml:space="preserve"> and </w:t>
      </w:r>
      <w:r>
        <w:rPr>
          <w:kern w:val="0"/>
        </w:rPr>
        <w:t>CINAHL. Independent reviewers undertook a structured assessment</w:t>
      </w:r>
      <w:r w:rsidR="00427468">
        <w:rPr>
          <w:kern w:val="0"/>
        </w:rPr>
        <w:t xml:space="preserve"> of </w:t>
      </w:r>
      <w:r>
        <w:rPr>
          <w:kern w:val="0"/>
        </w:rPr>
        <w:t>each piece</w:t>
      </w:r>
      <w:r w:rsidR="00427468">
        <w:rPr>
          <w:kern w:val="0"/>
        </w:rPr>
        <w:t xml:space="preserve"> of </w:t>
      </w:r>
      <w:r>
        <w:rPr>
          <w:kern w:val="0"/>
        </w:rPr>
        <w:t>literature. Data extraction</w:t>
      </w:r>
      <w:r w:rsidR="005853A9">
        <w:rPr>
          <w:kern w:val="0"/>
        </w:rPr>
        <w:t xml:space="preserve"> and </w:t>
      </w:r>
      <w:r>
        <w:rPr>
          <w:kern w:val="0"/>
        </w:rPr>
        <w:t>analysis were in accordance with established methods. Findings:</w:t>
      </w:r>
      <w:r w:rsidR="003A1917">
        <w:rPr>
          <w:kern w:val="0"/>
        </w:rPr>
        <w:t xml:space="preserve"> the </w:t>
      </w:r>
      <w:r>
        <w:rPr>
          <w:kern w:val="0"/>
        </w:rPr>
        <w:t>literature has been classified into two key areas. First, issues arising from international literature, including factors relating to access, equality</w:t>
      </w:r>
      <w:r w:rsidR="005853A9">
        <w:rPr>
          <w:kern w:val="0"/>
        </w:rPr>
        <w:t xml:space="preserve"> and </w:t>
      </w:r>
      <w:r>
        <w:rPr>
          <w:kern w:val="0"/>
        </w:rPr>
        <w:t>workforce issues, care satisfaction</w:t>
      </w:r>
      <w:r w:rsidR="005853A9">
        <w:rPr>
          <w:kern w:val="0"/>
        </w:rPr>
        <w:t xml:space="preserve"> and </w:t>
      </w:r>
      <w:r>
        <w:rPr>
          <w:kern w:val="0"/>
        </w:rPr>
        <w:t>placement decision-making</w:t>
      </w:r>
      <w:r w:rsidR="00A37C1D">
        <w:rPr>
          <w:kern w:val="0"/>
        </w:rPr>
        <w:t>. The</w:t>
      </w:r>
      <w:r w:rsidR="003A1917">
        <w:rPr>
          <w:kern w:val="0"/>
        </w:rPr>
        <w:t xml:space="preserve"> </w:t>
      </w:r>
      <w:r>
        <w:rPr>
          <w:kern w:val="0"/>
        </w:rPr>
        <w:t>second area focuses on</w:t>
      </w:r>
      <w:r w:rsidR="003A1917">
        <w:rPr>
          <w:kern w:val="0"/>
        </w:rPr>
        <w:t xml:space="preserve"> the </w:t>
      </w:r>
      <w:r>
        <w:rPr>
          <w:kern w:val="0"/>
        </w:rPr>
        <w:t>issues emerging from</w:t>
      </w:r>
      <w:r w:rsidR="003A1917">
        <w:rPr>
          <w:kern w:val="0"/>
        </w:rPr>
        <w:t xml:space="preserve"> the </w:t>
      </w:r>
      <w:r>
        <w:rPr>
          <w:kern w:val="0"/>
        </w:rPr>
        <w:t>UK literature. Issues</w:t>
      </w:r>
      <w:r w:rsidR="00427468">
        <w:rPr>
          <w:kern w:val="0"/>
        </w:rPr>
        <w:t xml:space="preserve"> of </w:t>
      </w:r>
      <w:r>
        <w:rPr>
          <w:kern w:val="0"/>
        </w:rPr>
        <w:t>particular concern include barriers to care provision for minority ethnic older people, loss</w:t>
      </w:r>
      <w:r w:rsidR="00427468">
        <w:rPr>
          <w:kern w:val="0"/>
        </w:rPr>
        <w:t xml:space="preserve"> of </w:t>
      </w:r>
      <w:r>
        <w:rPr>
          <w:kern w:val="0"/>
        </w:rPr>
        <w:t>independence</w:t>
      </w:r>
      <w:r w:rsidR="005853A9">
        <w:rPr>
          <w:kern w:val="0"/>
        </w:rPr>
        <w:t xml:space="preserve"> and </w:t>
      </w:r>
      <w:r w:rsidR="003A1917">
        <w:rPr>
          <w:kern w:val="0"/>
        </w:rPr>
        <w:t xml:space="preserve">the </w:t>
      </w:r>
      <w:r>
        <w:rPr>
          <w:kern w:val="0"/>
        </w:rPr>
        <w:t>recognition</w:t>
      </w:r>
      <w:r w:rsidR="00427468">
        <w:rPr>
          <w:kern w:val="0"/>
        </w:rPr>
        <w:t xml:space="preserve"> of </w:t>
      </w:r>
      <w:r>
        <w:rPr>
          <w:kern w:val="0"/>
        </w:rPr>
        <w:t>cultural needs. Conclusion:</w:t>
      </w:r>
      <w:r w:rsidR="003A1917">
        <w:rPr>
          <w:kern w:val="0"/>
        </w:rPr>
        <w:t xml:space="preserve"> the </w:t>
      </w:r>
      <w:r>
        <w:rPr>
          <w:kern w:val="0"/>
        </w:rPr>
        <w:t>review indicates how problems remain in ensuring</w:t>
      </w:r>
      <w:r w:rsidR="003A1917">
        <w:rPr>
          <w:kern w:val="0"/>
        </w:rPr>
        <w:t xml:space="preserve"> the </w:t>
      </w:r>
      <w:r>
        <w:rPr>
          <w:kern w:val="0"/>
        </w:rPr>
        <w:t>delivery</w:t>
      </w:r>
      <w:r w:rsidR="00427468">
        <w:rPr>
          <w:kern w:val="0"/>
        </w:rPr>
        <w:t xml:space="preserve"> of </w:t>
      </w:r>
      <w:r>
        <w:rPr>
          <w:kern w:val="0"/>
        </w:rPr>
        <w:t>best-quality long-term care to ethnic elders in care homes</w:t>
      </w:r>
      <w:r w:rsidR="00A37C1D">
        <w:rPr>
          <w:kern w:val="0"/>
        </w:rPr>
        <w:t>. The</w:t>
      </w:r>
      <w:r w:rsidR="003A1917">
        <w:rPr>
          <w:kern w:val="0"/>
        </w:rPr>
        <w:t xml:space="preserve"> </w:t>
      </w:r>
      <w:r>
        <w:rPr>
          <w:kern w:val="0"/>
        </w:rPr>
        <w:t>review also highlights</w:t>
      </w:r>
      <w:r w:rsidR="003A1917">
        <w:rPr>
          <w:kern w:val="0"/>
        </w:rPr>
        <w:t xml:space="preserve"> the </w:t>
      </w:r>
      <w:r>
        <w:rPr>
          <w:kern w:val="0"/>
        </w:rPr>
        <w:t>absence</w:t>
      </w:r>
      <w:r w:rsidR="00427468">
        <w:rPr>
          <w:kern w:val="0"/>
        </w:rPr>
        <w:t xml:space="preserve"> of </w:t>
      </w:r>
      <w:r>
        <w:rPr>
          <w:kern w:val="0"/>
        </w:rPr>
        <w:t>studies focusing on</w:t>
      </w:r>
      <w:r w:rsidR="003A1917">
        <w:rPr>
          <w:kern w:val="0"/>
        </w:rPr>
        <w:t xml:space="preserve"> the </w:t>
      </w:r>
      <w:r>
        <w:rPr>
          <w:kern w:val="0"/>
        </w:rPr>
        <w:t>perception</w:t>
      </w:r>
      <w:r w:rsidR="00427468">
        <w:rPr>
          <w:kern w:val="0"/>
        </w:rPr>
        <w:t xml:space="preserve"> of </w:t>
      </w:r>
      <w:r>
        <w:rPr>
          <w:kern w:val="0"/>
        </w:rPr>
        <w:t>care from residents</w:t>
      </w:r>
      <w:r w:rsidR="00700038">
        <w:rPr>
          <w:kern w:val="0"/>
        </w:rPr>
        <w:t>’</w:t>
      </w:r>
      <w:r>
        <w:rPr>
          <w:kern w:val="0"/>
        </w:rPr>
        <w:t xml:space="preserve"> perspectives</w:t>
      </w:r>
      <w:r w:rsidR="005853A9">
        <w:rPr>
          <w:kern w:val="0"/>
        </w:rPr>
        <w:t xml:space="preserve"> and </w:t>
      </w:r>
      <w:r>
        <w:rPr>
          <w:kern w:val="0"/>
        </w:rPr>
        <w:t>their involvement in making placement</w:t>
      </w:r>
      <w:r w:rsidR="005853A9">
        <w:rPr>
          <w:kern w:val="0"/>
        </w:rPr>
        <w:t xml:space="preserve"> and </w:t>
      </w:r>
      <w:r>
        <w:rPr>
          <w:kern w:val="0"/>
        </w:rPr>
        <w:t>care decisions.</w:t>
      </w:r>
    </w:p>
    <w:p w:rsidR="00AA56FA" w:rsidRDefault="00AA56FA" w:rsidP="00AA56FA">
      <w:pPr>
        <w:pStyle w:val="a3"/>
        <w:rPr>
          <w:kern w:val="0"/>
        </w:rPr>
      </w:pPr>
      <w:r>
        <w:rPr>
          <w:kern w:val="0"/>
        </w:rPr>
        <w:t>Keywords: Analysis, Assessment, Barriers, Care Homes, Databases, Decision Making, Decision-Making, Health</w:t>
      </w:r>
      <w:r w:rsidR="005853A9">
        <w:rPr>
          <w:kern w:val="0"/>
        </w:rPr>
        <w:t xml:space="preserve"> and </w:t>
      </w:r>
      <w:r>
        <w:rPr>
          <w:kern w:val="0"/>
        </w:rPr>
        <w:t>Social Care, Homes, Involvement, Literature, Long-Term Care, Methods, Minority Ethnic Elders, Nursing, Older People, People, Perception, Pub Med, Residents, Review, Science, Social, Social Sciences, Systematic</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AA56FA" w:rsidRDefault="00AA56FA" w:rsidP="00AA56FA">
      <w:pPr>
        <w:pStyle w:val="a3"/>
        <w:rPr>
          <w:kern w:val="0"/>
        </w:rPr>
      </w:pPr>
      <w:r>
        <w:rPr>
          <w:rFonts w:hint="eastAsia"/>
          <w:kern w:val="0"/>
        </w:rPr>
        <w:t xml:space="preserve">? </w:t>
      </w:r>
      <w:r>
        <w:rPr>
          <w:kern w:val="0"/>
        </w:rPr>
        <w:t>Burt, J.</w:t>
      </w:r>
      <w:r w:rsidR="005853A9">
        <w:rPr>
          <w:kern w:val="0"/>
        </w:rPr>
        <w:t xml:space="preserve"> and </w:t>
      </w:r>
      <w:r>
        <w:rPr>
          <w:kern w:val="0"/>
        </w:rPr>
        <w:t>Raine, R. (2006</w:t>
      </w:r>
      <w:r w:rsidR="00F42EAC">
        <w:rPr>
          <w:kern w:val="0"/>
        </w:rPr>
        <w:t>), The</w:t>
      </w:r>
      <w:r w:rsidR="003A1917">
        <w:rPr>
          <w:kern w:val="0"/>
        </w:rPr>
        <w:t xml:space="preserve"> </w:t>
      </w:r>
      <w:r>
        <w:rPr>
          <w:kern w:val="0"/>
        </w:rPr>
        <w:t>effect</w:t>
      </w:r>
      <w:r w:rsidR="00427468">
        <w:rPr>
          <w:kern w:val="0"/>
        </w:rPr>
        <w:t xml:space="preserve"> of </w:t>
      </w:r>
      <w:r>
        <w:rPr>
          <w:kern w:val="0"/>
        </w:rPr>
        <w:t>age on referral to</w:t>
      </w:r>
      <w:r w:rsidR="005853A9">
        <w:rPr>
          <w:kern w:val="0"/>
        </w:rPr>
        <w:t xml:space="preserve"> and </w:t>
      </w:r>
      <w:r>
        <w:rPr>
          <w:kern w:val="0"/>
        </w:rPr>
        <w:t>use</w:t>
      </w:r>
      <w:r w:rsidR="00427468">
        <w:rPr>
          <w:kern w:val="0"/>
        </w:rPr>
        <w:t xml:space="preserve"> of </w:t>
      </w:r>
      <w:r>
        <w:rPr>
          <w:kern w:val="0"/>
        </w:rPr>
        <w:t xml:space="preserve">specialist palliative care services in adult cancer patients: </w:t>
      </w:r>
      <w:r w:rsidR="00045A48">
        <w:rPr>
          <w:kern w:val="0"/>
        </w:rPr>
        <w:t xml:space="preserve">A </w:t>
      </w:r>
      <w:r>
        <w:rPr>
          <w:kern w:val="0"/>
        </w:rPr>
        <w:t xml:space="preserve">systematic review. </w:t>
      </w:r>
      <w:r>
        <w:rPr>
          <w:i/>
          <w:iCs/>
          <w:kern w:val="0"/>
        </w:rPr>
        <w:t>Age</w:t>
      </w:r>
      <w:r w:rsidR="005853A9">
        <w:rPr>
          <w:i/>
          <w:iCs/>
          <w:kern w:val="0"/>
        </w:rPr>
        <w:t xml:space="preserve"> and </w:t>
      </w:r>
      <w:r>
        <w:rPr>
          <w:i/>
          <w:iCs/>
          <w:kern w:val="0"/>
        </w:rPr>
        <w:t>Ageing</w:t>
      </w:r>
      <w:r>
        <w:rPr>
          <w:kern w:val="0"/>
        </w:rPr>
        <w:t xml:space="preserve">, </w:t>
      </w:r>
      <w:r>
        <w:rPr>
          <w:b/>
          <w:bCs/>
          <w:kern w:val="0"/>
        </w:rPr>
        <w:t>35</w:t>
      </w:r>
      <w:r>
        <w:rPr>
          <w:kern w:val="0"/>
        </w:rPr>
        <w:t xml:space="preserve"> (5), 469-476.</w:t>
      </w:r>
    </w:p>
    <w:p w:rsidR="00AA56FA" w:rsidRPr="001A3D2B" w:rsidRDefault="00AA56FA" w:rsidP="00AA56FA">
      <w:pPr>
        <w:pStyle w:val="a3"/>
        <w:rPr>
          <w:kern w:val="0"/>
        </w:rPr>
      </w:pPr>
      <w:r w:rsidRPr="001A3D2B">
        <w:rPr>
          <w:kern w:val="0"/>
        </w:rPr>
        <w:t xml:space="preserve">Full Text: </w:t>
      </w:r>
      <w:hyperlink r:id="rId312" w:history="1">
        <w:r w:rsidR="00045A48" w:rsidRPr="00045A48">
          <w:rPr>
            <w:rStyle w:val="a5"/>
            <w:kern w:val="0"/>
          </w:rPr>
          <w:t>2006\Age Age35, 469.pdf</w:t>
        </w:r>
      </w:hyperlink>
    </w:p>
    <w:p w:rsidR="00AA56FA" w:rsidRDefault="00AA56FA" w:rsidP="00AA56FA">
      <w:pPr>
        <w:pStyle w:val="a3"/>
        <w:rPr>
          <w:kern w:val="0"/>
        </w:rPr>
      </w:pPr>
      <w:r>
        <w:rPr>
          <w:kern w:val="0"/>
        </w:rPr>
        <w:t>Abstract: Objective: to investigate variations in</w:t>
      </w:r>
      <w:r w:rsidR="003A1917">
        <w:rPr>
          <w:kern w:val="0"/>
        </w:rPr>
        <w:t xml:space="preserve"> the </w:t>
      </w:r>
      <w:r>
        <w:rPr>
          <w:kern w:val="0"/>
        </w:rPr>
        <w:t>use</w:t>
      </w:r>
      <w:r w:rsidR="00427468">
        <w:rPr>
          <w:kern w:val="0"/>
        </w:rPr>
        <w:t xml:space="preserve"> of </w:t>
      </w:r>
      <w:r>
        <w:rPr>
          <w:kern w:val="0"/>
        </w:rPr>
        <w:t>specialist palliative care (SPC) services for adult cancer patients, in relation to age. Design: systematic review</w:t>
      </w:r>
      <w:r w:rsidR="00427468">
        <w:rPr>
          <w:kern w:val="0"/>
        </w:rPr>
        <w:t xml:space="preserve"> of </w:t>
      </w:r>
      <w:r>
        <w:rPr>
          <w:kern w:val="0"/>
        </w:rPr>
        <w:t>studies examining use</w:t>
      </w:r>
      <w:r w:rsidR="00427468">
        <w:rPr>
          <w:kern w:val="0"/>
        </w:rPr>
        <w:t xml:space="preserve"> of </w:t>
      </w:r>
      <w:r>
        <w:rPr>
          <w:kern w:val="0"/>
        </w:rPr>
        <w:t>or referral to SPC services in adult cancer patients. Search strategy</w:t>
      </w:r>
      <w:r w:rsidR="005853A9">
        <w:rPr>
          <w:kern w:val="0"/>
        </w:rPr>
        <w:t xml:space="preserve"> and </w:t>
      </w:r>
      <w:r>
        <w:rPr>
          <w:kern w:val="0"/>
        </w:rPr>
        <w:t>selection criteria: six electronic databases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lastRenderedPageBreak/>
        <w:t>Science</w:t>
      </w:r>
      <w:r>
        <w:rPr>
          <w:kern w:val="0"/>
        </w:rPr>
        <w:t>, HMIC, SIGLE</w:t>
      </w:r>
      <w:r w:rsidR="005853A9">
        <w:rPr>
          <w:kern w:val="0"/>
        </w:rPr>
        <w:t xml:space="preserve"> and </w:t>
      </w:r>
      <w:r>
        <w:rPr>
          <w:kern w:val="0"/>
        </w:rPr>
        <w:t>AgeInfo) were searched for studies published between 1966</w:t>
      </w:r>
      <w:r w:rsidR="005853A9">
        <w:rPr>
          <w:kern w:val="0"/>
        </w:rPr>
        <w:t xml:space="preserve"> and </w:t>
      </w:r>
      <w:r>
        <w:rPr>
          <w:kern w:val="0"/>
        </w:rPr>
        <w:t>March 2005,</w:t>
      </w:r>
      <w:r w:rsidR="005853A9">
        <w:rPr>
          <w:kern w:val="0"/>
        </w:rPr>
        <w:t xml:space="preserve"> and </w:t>
      </w:r>
      <w:r>
        <w:rPr>
          <w:kern w:val="0"/>
        </w:rPr>
        <w:t>references in</w:t>
      </w:r>
      <w:r w:rsidR="003A1917">
        <w:rPr>
          <w:kern w:val="0"/>
        </w:rPr>
        <w:t xml:space="preserve"> the </w:t>
      </w:r>
      <w:r>
        <w:rPr>
          <w:kern w:val="0"/>
        </w:rPr>
        <w:t>articles identified were also examined. Inclusion criteria were all studies which provided data on age in relation to use</w:t>
      </w:r>
      <w:r w:rsidR="00427468">
        <w:rPr>
          <w:kern w:val="0"/>
        </w:rPr>
        <w:t xml:space="preserve"> of </w:t>
      </w:r>
      <w:r>
        <w:rPr>
          <w:kern w:val="0"/>
        </w:rPr>
        <w:t>or referral to SPC. Two reviewers independently selected studies, extracted data</w:t>
      </w:r>
      <w:r w:rsidR="005853A9">
        <w:rPr>
          <w:kern w:val="0"/>
        </w:rPr>
        <w:t xml:space="preserve"> and </w:t>
      </w:r>
      <w:r>
        <w:rPr>
          <w:kern w:val="0"/>
        </w:rPr>
        <w:t>assessed methodological quality according to defined criteria. Main outcome measures: use</w:t>
      </w:r>
      <w:r w:rsidR="00427468">
        <w:rPr>
          <w:kern w:val="0"/>
        </w:rPr>
        <w:t xml:space="preserve"> of </w:t>
      </w:r>
      <w:r>
        <w:rPr>
          <w:kern w:val="0"/>
        </w:rPr>
        <w:t>or referral to SPC services, determined from all sources</w:t>
      </w:r>
      <w:r w:rsidR="00427468">
        <w:rPr>
          <w:kern w:val="0"/>
        </w:rPr>
        <w:t xml:space="preserve"> of </w:t>
      </w:r>
      <w:r>
        <w:rPr>
          <w:kern w:val="0"/>
        </w:rPr>
        <w:t>report (patient, informal carer, health care professional, health care records). Results: 14 studies were identified. All reported a statistically significant lower use</w:t>
      </w:r>
      <w:r w:rsidR="00427468">
        <w:rPr>
          <w:kern w:val="0"/>
        </w:rPr>
        <w:t xml:space="preserve"> of </w:t>
      </w:r>
      <w:r>
        <w:rPr>
          <w:kern w:val="0"/>
        </w:rPr>
        <w:t>SPC among older cancer patients (65</w:t>
      </w:r>
      <w:r w:rsidR="005853A9">
        <w:rPr>
          <w:kern w:val="0"/>
        </w:rPr>
        <w:t xml:space="preserve"> and </w:t>
      </w:r>
      <w:r>
        <w:rPr>
          <w:kern w:val="0"/>
        </w:rPr>
        <w:t>above or older) at a univariate level [crude odds ratios ranged from 0.33 (0.15-0.72) to 0.82 (0.80-0.82)]. However, there were important methodological weaknesses in all</w:t>
      </w:r>
      <w:r w:rsidR="00427468">
        <w:rPr>
          <w:kern w:val="0"/>
        </w:rPr>
        <w:t xml:space="preserve"> of </w:t>
      </w:r>
      <w:r w:rsidR="003A1917">
        <w:rPr>
          <w:kern w:val="0"/>
        </w:rPr>
        <w:t xml:space="preserve">the </w:t>
      </w:r>
      <w:r>
        <w:rPr>
          <w:kern w:val="0"/>
        </w:rPr>
        <w:t>studies identified; most crucially, studies failed to consider variations in use in relation to need for SPC. Conclusions: there is some evidence that older people are less likely to be referred to, or to use, SPC</w:t>
      </w:r>
      <w:r w:rsidR="00A37C1D">
        <w:rPr>
          <w:kern w:val="0"/>
        </w:rPr>
        <w:t>. The</w:t>
      </w:r>
      <w:r>
        <w:rPr>
          <w:kern w:val="0"/>
        </w:rPr>
        <w:t>se findings require confirmation in studies using prospectively collected data which control for patient</w:t>
      </w:r>
      <w:r w:rsidR="00700038">
        <w:rPr>
          <w:kern w:val="0"/>
        </w:rPr>
        <w:t>’</w:t>
      </w:r>
      <w:r w:rsidR="00C13DDC">
        <w:rPr>
          <w:kern w:val="0"/>
        </w:rPr>
        <w:t>s</w:t>
      </w:r>
      <w:r>
        <w:rPr>
          <w:kern w:val="0"/>
        </w:rPr>
        <w:t xml:space="preserve"> need for SPC.</w:t>
      </w:r>
    </w:p>
    <w:p w:rsidR="00AA56FA" w:rsidRDefault="00AA56FA" w:rsidP="00AA56FA">
      <w:pPr>
        <w:pStyle w:val="a3"/>
        <w:rPr>
          <w:kern w:val="0"/>
        </w:rPr>
      </w:pPr>
      <w:r>
        <w:rPr>
          <w:kern w:val="0"/>
        </w:rPr>
        <w:t xml:space="preserve">Keywords: Adult, Age Factors, Breast, Cancer, Control, Coverage, Databases, Death, Elderly, Equity, Health, Health Care, Home, Hospice Use, Life, Need, Older People, Oncology, Outcome, Palliative Care, Professional, Review, Science, Search Strategy, Specialist Palliative Care, Strategy, Symptoms, Systematic, Systematic Review, Utilisation, </w:t>
      </w:r>
      <w:r w:rsidR="00D5664A">
        <w:rPr>
          <w:kern w:val="0"/>
        </w:rPr>
        <w:t>Web</w:t>
      </w:r>
      <w:r w:rsidR="00427468">
        <w:rPr>
          <w:kern w:val="0"/>
        </w:rPr>
        <w:t xml:space="preserve"> of </w:t>
      </w:r>
      <w:r w:rsidR="00D5664A">
        <w:rPr>
          <w:kern w:val="0"/>
        </w:rPr>
        <w:t>Science</w:t>
      </w:r>
    </w:p>
    <w:p w:rsidR="005B560D" w:rsidRPr="001A3D2B" w:rsidRDefault="005B560D" w:rsidP="005B560D">
      <w:pPr>
        <w:pStyle w:val="a3"/>
        <w:rPr>
          <w:kern w:val="0"/>
        </w:rPr>
      </w:pPr>
      <w:r w:rsidRPr="001A3D2B">
        <w:rPr>
          <w:kern w:val="0"/>
        </w:rPr>
        <w:t>? Fudge, N., Wolfe, C.D.A.</w:t>
      </w:r>
      <w:r w:rsidR="005853A9">
        <w:rPr>
          <w:kern w:val="0"/>
        </w:rPr>
        <w:t xml:space="preserve"> and </w:t>
      </w:r>
      <w:r w:rsidRPr="001A3D2B">
        <w:rPr>
          <w:kern w:val="0"/>
        </w:rPr>
        <w:t xml:space="preserve">Mckevitt, C. (2007), Involving older people in health research. </w:t>
      </w:r>
      <w:r w:rsidRPr="001A3D2B">
        <w:rPr>
          <w:i/>
          <w:iCs/>
          <w:kern w:val="0"/>
        </w:rPr>
        <w:t>Age</w:t>
      </w:r>
      <w:r w:rsidR="005853A9">
        <w:rPr>
          <w:i/>
          <w:iCs/>
          <w:kern w:val="0"/>
        </w:rPr>
        <w:t xml:space="preserve"> and </w:t>
      </w:r>
      <w:r w:rsidRPr="001A3D2B">
        <w:rPr>
          <w:i/>
          <w:iCs/>
          <w:kern w:val="0"/>
        </w:rPr>
        <w:t>Ageing</w:t>
      </w:r>
      <w:r w:rsidRPr="001A3D2B">
        <w:rPr>
          <w:kern w:val="0"/>
        </w:rPr>
        <w:t xml:space="preserve">, </w:t>
      </w:r>
      <w:r w:rsidRPr="001A3D2B">
        <w:rPr>
          <w:b/>
          <w:bCs/>
          <w:kern w:val="0"/>
        </w:rPr>
        <w:t>36</w:t>
      </w:r>
      <w:r w:rsidRPr="001A3D2B">
        <w:rPr>
          <w:kern w:val="0"/>
        </w:rPr>
        <w:t xml:space="preserve"> (5), 492-500.</w:t>
      </w:r>
    </w:p>
    <w:p w:rsidR="005B560D" w:rsidRPr="001A3D2B" w:rsidRDefault="005B560D" w:rsidP="005B560D">
      <w:pPr>
        <w:pStyle w:val="a3"/>
        <w:rPr>
          <w:kern w:val="0"/>
        </w:rPr>
      </w:pPr>
      <w:r w:rsidRPr="001A3D2B">
        <w:rPr>
          <w:kern w:val="0"/>
        </w:rPr>
        <w:t xml:space="preserve">Full Text: </w:t>
      </w:r>
      <w:hyperlink r:id="rId313" w:history="1">
        <w:r w:rsidRPr="001A3D2B">
          <w:rPr>
            <w:rStyle w:val="a5"/>
            <w:kern w:val="0"/>
          </w:rPr>
          <w:t>2007\Age Age36, 492.pdf</w:t>
        </w:r>
      </w:hyperlink>
    </w:p>
    <w:p w:rsidR="005B560D" w:rsidRPr="001A3D2B" w:rsidRDefault="005B560D" w:rsidP="005B560D">
      <w:pPr>
        <w:pStyle w:val="a3"/>
        <w:rPr>
          <w:kern w:val="0"/>
        </w:rPr>
      </w:pPr>
      <w:r w:rsidRPr="001A3D2B">
        <w:rPr>
          <w:kern w:val="0"/>
        </w:rPr>
        <w:t>Abstract: Background it is a UK policy requirement to involve patients</w:t>
      </w:r>
      <w:r w:rsidR="005853A9">
        <w:rPr>
          <w:kern w:val="0"/>
        </w:rPr>
        <w:t xml:space="preserve"> and </w:t>
      </w:r>
      <w:r w:rsidR="003A1917">
        <w:rPr>
          <w:kern w:val="0"/>
        </w:rPr>
        <w:t xml:space="preserve">the </w:t>
      </w:r>
      <w:r w:rsidRPr="001A3D2B">
        <w:rPr>
          <w:kern w:val="0"/>
        </w:rPr>
        <w:t>public in health research as active partners. Objective we reviewed published reports</w:t>
      </w:r>
      <w:r w:rsidR="00427468">
        <w:rPr>
          <w:kern w:val="0"/>
        </w:rPr>
        <w:t xml:space="preserve"> of </w:t>
      </w:r>
      <w:r w:rsidRPr="001A3D2B">
        <w:rPr>
          <w:kern w:val="0"/>
        </w:rPr>
        <w:t>studies which involved older people in commissioning, prioritising, designing, conducting or disseminating research. Search strategy</w:t>
      </w:r>
      <w:r w:rsidR="005853A9">
        <w:rPr>
          <w:kern w:val="0"/>
        </w:rPr>
        <w:t xml:space="preserve"> and </w:t>
      </w:r>
      <w:r w:rsidRPr="001A3D2B">
        <w:rPr>
          <w:kern w:val="0"/>
        </w:rPr>
        <w:t>selection criteria systematic searches</w:t>
      </w:r>
      <w:r w:rsidR="00427468">
        <w:rPr>
          <w:kern w:val="0"/>
        </w:rPr>
        <w:t xml:space="preserve"> of </w:t>
      </w:r>
      <w:r w:rsidRPr="001A3D2B">
        <w:rPr>
          <w:kern w:val="0"/>
        </w:rPr>
        <w:t>databases (</w:t>
      </w:r>
      <w:r w:rsidR="002C12F0">
        <w:rPr>
          <w:kern w:val="0"/>
        </w:rPr>
        <w:t>PUBMED</w:t>
      </w:r>
      <w:r w:rsidRPr="001A3D2B">
        <w:rPr>
          <w:kern w:val="0"/>
        </w:rPr>
        <w:t>, SCI-EXPANDED,</w:t>
      </w:r>
      <w:r w:rsidR="008E3069">
        <w:rPr>
          <w:kern w:val="0"/>
        </w:rPr>
        <w:t xml:space="preserve"> </w:t>
      </w:r>
      <w:r w:rsidR="00D5664A">
        <w:rPr>
          <w:kern w:val="0"/>
        </w:rPr>
        <w:t>SSCI</w:t>
      </w:r>
      <w:r w:rsidR="008E3069">
        <w:rPr>
          <w:kern w:val="0"/>
        </w:rPr>
        <w:t>,</w:t>
      </w:r>
      <w:r w:rsidRPr="001A3D2B">
        <w:rPr>
          <w:kern w:val="0"/>
        </w:rPr>
        <w:t xml:space="preserve"> AHCI, ASSIA, Embase, CINAHL</w:t>
      </w:r>
      <w:r w:rsidR="005853A9">
        <w:rPr>
          <w:kern w:val="0"/>
        </w:rPr>
        <w:t xml:space="preserve"> and </w:t>
      </w:r>
      <w:r w:rsidR="00D5664A">
        <w:rPr>
          <w:kern w:val="0"/>
        </w:rPr>
        <w:t>MEDLINE</w:t>
      </w:r>
      <w:r w:rsidRPr="001A3D2B">
        <w:rPr>
          <w:kern w:val="0"/>
        </w:rPr>
        <w:t>) for English language studies published between 1995</w:t>
      </w:r>
      <w:r w:rsidR="005853A9">
        <w:rPr>
          <w:kern w:val="0"/>
        </w:rPr>
        <w:t xml:space="preserve"> and </w:t>
      </w:r>
      <w:r w:rsidRPr="001A3D2B">
        <w:rPr>
          <w:kern w:val="0"/>
        </w:rPr>
        <w:t>2005 which had involved older people as partners in</w:t>
      </w:r>
      <w:r w:rsidR="003A1917">
        <w:rPr>
          <w:kern w:val="0"/>
        </w:rPr>
        <w:t xml:space="preserve"> the </w:t>
      </w:r>
      <w:r w:rsidRPr="001A3D2B">
        <w:rPr>
          <w:kern w:val="0"/>
        </w:rPr>
        <w:t>reserch process as opposed to research subjects. Articles were reviewed by two authors using a standardised matrix for data extraction. Results thirty studies were included</w:t>
      </w:r>
      <w:r w:rsidR="005853A9">
        <w:rPr>
          <w:kern w:val="0"/>
        </w:rPr>
        <w:t xml:space="preserve"> and </w:t>
      </w:r>
      <w:r w:rsidRPr="001A3D2B">
        <w:rPr>
          <w:kern w:val="0"/>
        </w:rPr>
        <w:t>classified according to</w:t>
      </w:r>
      <w:r w:rsidR="003A1917">
        <w:rPr>
          <w:kern w:val="0"/>
        </w:rPr>
        <w:t xml:space="preserve"> the </w:t>
      </w:r>
      <w:r w:rsidRPr="001A3D2B">
        <w:rPr>
          <w:kern w:val="0"/>
        </w:rPr>
        <w:t>stage in</w:t>
      </w:r>
      <w:r w:rsidR="003A1917">
        <w:rPr>
          <w:kern w:val="0"/>
        </w:rPr>
        <w:t xml:space="preserve"> the </w:t>
      </w:r>
      <w:r w:rsidRPr="001A3D2B">
        <w:rPr>
          <w:kern w:val="0"/>
        </w:rPr>
        <w:t>research process in which older people were involved. Barriers to involving older people were: cultural divisions, language barriers, research skills capacity, ill health, time</w:t>
      </w:r>
      <w:r w:rsidR="005853A9">
        <w:rPr>
          <w:kern w:val="0"/>
        </w:rPr>
        <w:t xml:space="preserve"> and </w:t>
      </w:r>
      <w:r w:rsidRPr="001A3D2B">
        <w:rPr>
          <w:kern w:val="0"/>
        </w:rPr>
        <w:t>resources. Four</w:t>
      </w:r>
      <w:r w:rsidR="00427468">
        <w:rPr>
          <w:kern w:val="0"/>
        </w:rPr>
        <w:t xml:space="preserve"> of </w:t>
      </w:r>
      <w:r w:rsidR="003A1917">
        <w:rPr>
          <w:kern w:val="0"/>
        </w:rPr>
        <w:t xml:space="preserve">the </w:t>
      </w:r>
      <w:r w:rsidRPr="001A3D2B">
        <w:rPr>
          <w:kern w:val="0"/>
        </w:rPr>
        <w:t>studies had been formally evaluated to identify</w:t>
      </w:r>
      <w:r w:rsidR="003A1917">
        <w:rPr>
          <w:kern w:val="0"/>
        </w:rPr>
        <w:t xml:space="preserve"> the </w:t>
      </w:r>
      <w:r w:rsidRPr="001A3D2B">
        <w:rPr>
          <w:kern w:val="0"/>
        </w:rPr>
        <w:t>impact</w:t>
      </w:r>
      <w:r w:rsidR="00427468">
        <w:rPr>
          <w:kern w:val="0"/>
        </w:rPr>
        <w:t xml:space="preserve"> of </w:t>
      </w:r>
      <w:r w:rsidRPr="001A3D2B">
        <w:rPr>
          <w:kern w:val="0"/>
        </w:rPr>
        <w:t>involvement. Evaluation focussed on</w:t>
      </w:r>
      <w:r w:rsidR="003A1917">
        <w:rPr>
          <w:kern w:val="0"/>
        </w:rPr>
        <w:t xml:space="preserve"> the </w:t>
      </w:r>
      <w:r w:rsidRPr="001A3D2B">
        <w:rPr>
          <w:kern w:val="0"/>
        </w:rPr>
        <w:t>impact on participants rather than on impact on research processes</w:t>
      </w:r>
      <w:r w:rsidR="005853A9">
        <w:rPr>
          <w:kern w:val="0"/>
        </w:rPr>
        <w:t xml:space="preserve"> and </w:t>
      </w:r>
      <w:r w:rsidRPr="001A3D2B">
        <w:rPr>
          <w:kern w:val="0"/>
        </w:rPr>
        <w:t>outcomes. Benefits to participants included: increased knowledge, awareness</w:t>
      </w:r>
      <w:r w:rsidR="005853A9">
        <w:rPr>
          <w:kern w:val="0"/>
        </w:rPr>
        <w:t xml:space="preserve"> and </w:t>
      </w:r>
      <w:r w:rsidRPr="001A3D2B">
        <w:rPr>
          <w:kern w:val="0"/>
        </w:rPr>
        <w:t xml:space="preserve">confidence, meeting others in similar situations, empowering older people to become active in their </w:t>
      </w:r>
      <w:r w:rsidRPr="001A3D2B">
        <w:rPr>
          <w:kern w:val="0"/>
        </w:rPr>
        <w:lastRenderedPageBreak/>
        <w:t>community regarding decisions/policies which affect them. Conclusions factors hindering</w:t>
      </w:r>
      <w:r w:rsidR="003A1917">
        <w:rPr>
          <w:kern w:val="0"/>
        </w:rPr>
        <w:t xml:space="preserve"> the </w:t>
      </w:r>
      <w:r w:rsidRPr="001A3D2B">
        <w:rPr>
          <w:kern w:val="0"/>
        </w:rPr>
        <w:t>involvement</w:t>
      </w:r>
      <w:r w:rsidR="00427468">
        <w:rPr>
          <w:kern w:val="0"/>
        </w:rPr>
        <w:t xml:space="preserve"> of </w:t>
      </w:r>
      <w:r w:rsidRPr="001A3D2B">
        <w:rPr>
          <w:kern w:val="0"/>
        </w:rPr>
        <w:t>older people in research were</w:t>
      </w:r>
      <w:r w:rsidR="003A1917">
        <w:rPr>
          <w:kern w:val="0"/>
        </w:rPr>
        <w:t xml:space="preserve"> the </w:t>
      </w:r>
      <w:r w:rsidRPr="001A3D2B">
        <w:rPr>
          <w:kern w:val="0"/>
        </w:rPr>
        <w:t>same as reported factors hindering involvement</w:t>
      </w:r>
      <w:r w:rsidR="00427468">
        <w:rPr>
          <w:kern w:val="0"/>
        </w:rPr>
        <w:t xml:space="preserve"> of </w:t>
      </w:r>
      <w:r w:rsidRPr="001A3D2B">
        <w:rPr>
          <w:kern w:val="0"/>
        </w:rPr>
        <w:t>younger people, suggesting that age, per se, is not a barrier. To demonstrate</w:t>
      </w:r>
      <w:r w:rsidR="003A1917">
        <w:rPr>
          <w:kern w:val="0"/>
        </w:rPr>
        <w:t xml:space="preserve"> the </w:t>
      </w:r>
      <w:r w:rsidRPr="001A3D2B">
        <w:rPr>
          <w:kern w:val="0"/>
        </w:rPr>
        <w:t>impact</w:t>
      </w:r>
      <w:r w:rsidR="00427468">
        <w:rPr>
          <w:kern w:val="0"/>
        </w:rPr>
        <w:t xml:space="preserve"> of </w:t>
      </w:r>
      <w:r w:rsidRPr="001A3D2B">
        <w:rPr>
          <w:kern w:val="0"/>
        </w:rPr>
        <w:t>user involvement on research quality,</w:t>
      </w:r>
      <w:r w:rsidR="003A1917">
        <w:rPr>
          <w:kern w:val="0"/>
        </w:rPr>
        <w:t xml:space="preserve"> the </w:t>
      </w:r>
      <w:r w:rsidRPr="001A3D2B">
        <w:rPr>
          <w:kern w:val="0"/>
        </w:rPr>
        <w:t>definition</w:t>
      </w:r>
      <w:r w:rsidR="00427468">
        <w:rPr>
          <w:kern w:val="0"/>
        </w:rPr>
        <w:t xml:space="preserve"> of </w:t>
      </w:r>
      <w:r w:rsidRPr="001A3D2B">
        <w:rPr>
          <w:kern w:val="0"/>
        </w:rPr>
        <w:t>user involvement requires clarification,</w:t>
      </w:r>
      <w:r w:rsidR="005853A9">
        <w:rPr>
          <w:kern w:val="0"/>
        </w:rPr>
        <w:t xml:space="preserve"> and </w:t>
      </w:r>
      <w:r w:rsidRPr="001A3D2B">
        <w:rPr>
          <w:kern w:val="0"/>
        </w:rPr>
        <w:t>systematic evaluation</w:t>
      </w:r>
      <w:r w:rsidR="00427468">
        <w:rPr>
          <w:kern w:val="0"/>
        </w:rPr>
        <w:t xml:space="preserve"> of </w:t>
      </w:r>
      <w:r w:rsidRPr="001A3D2B">
        <w:rPr>
          <w:kern w:val="0"/>
        </w:rPr>
        <w:t>research involving older people needs to be developed.</w:t>
      </w:r>
    </w:p>
    <w:p w:rsidR="005B560D" w:rsidRPr="001A3D2B" w:rsidRDefault="005B560D" w:rsidP="005B560D">
      <w:pPr>
        <w:pStyle w:val="a3"/>
        <w:rPr>
          <w:kern w:val="0"/>
        </w:rPr>
      </w:pPr>
      <w:r w:rsidRPr="001A3D2B">
        <w:rPr>
          <w:kern w:val="0"/>
        </w:rPr>
        <w:t>Keywords: Agenda, Capacity, Community, Consumer Involvement, Consumer Participation, Design, Elderly, Older People, Research, Systematic Review, User Involvement</w:t>
      </w:r>
    </w:p>
    <w:p w:rsidR="00AA56FA" w:rsidRDefault="00AA56FA" w:rsidP="00AA56FA">
      <w:pPr>
        <w:pStyle w:val="a3"/>
        <w:rPr>
          <w:kern w:val="0"/>
        </w:rPr>
      </w:pPr>
      <w:r>
        <w:rPr>
          <w:rFonts w:hint="eastAsia"/>
          <w:kern w:val="0"/>
        </w:rPr>
        <w:t xml:space="preserve">? </w:t>
      </w:r>
      <w:r>
        <w:rPr>
          <w:kern w:val="0"/>
        </w:rPr>
        <w:t>Luppa, M., Luck, T., Weyerer, S., Konig, H.H., Brahler, E.</w:t>
      </w:r>
      <w:r w:rsidR="005853A9">
        <w:rPr>
          <w:kern w:val="0"/>
        </w:rPr>
        <w:t xml:space="preserve"> and </w:t>
      </w:r>
      <w:r>
        <w:rPr>
          <w:kern w:val="0"/>
        </w:rPr>
        <w:t>Riedel-Heller, S.G. (2010), Prediction</w:t>
      </w:r>
      <w:r w:rsidR="00427468">
        <w:rPr>
          <w:kern w:val="0"/>
        </w:rPr>
        <w:t xml:space="preserve"> of </w:t>
      </w:r>
      <w:r>
        <w:rPr>
          <w:kern w:val="0"/>
        </w:rPr>
        <w:t>institutionalization in</w:t>
      </w:r>
      <w:r w:rsidR="003A1917">
        <w:rPr>
          <w:kern w:val="0"/>
        </w:rPr>
        <w:t xml:space="preserve"> the </w:t>
      </w:r>
      <w:r>
        <w:rPr>
          <w:kern w:val="0"/>
        </w:rPr>
        <w:t xml:space="preserve">elderly. A systematic review. </w:t>
      </w:r>
      <w:r>
        <w:rPr>
          <w:i/>
          <w:iCs/>
          <w:kern w:val="0"/>
        </w:rPr>
        <w:t>Age</w:t>
      </w:r>
      <w:r w:rsidR="005853A9">
        <w:rPr>
          <w:i/>
          <w:iCs/>
          <w:kern w:val="0"/>
        </w:rPr>
        <w:t xml:space="preserve"> and </w:t>
      </w:r>
      <w:r>
        <w:rPr>
          <w:i/>
          <w:iCs/>
          <w:kern w:val="0"/>
        </w:rPr>
        <w:t>Ageing</w:t>
      </w:r>
      <w:r>
        <w:rPr>
          <w:kern w:val="0"/>
        </w:rPr>
        <w:t xml:space="preserve">, </w:t>
      </w:r>
      <w:r>
        <w:rPr>
          <w:b/>
          <w:bCs/>
          <w:kern w:val="0"/>
        </w:rPr>
        <w:t>39</w:t>
      </w:r>
      <w:r>
        <w:rPr>
          <w:kern w:val="0"/>
        </w:rPr>
        <w:t xml:space="preserve"> (1), 31-38.</w:t>
      </w:r>
    </w:p>
    <w:p w:rsidR="00AA56FA" w:rsidRPr="001A3D2B" w:rsidRDefault="00AA56FA" w:rsidP="00AA56FA">
      <w:pPr>
        <w:pStyle w:val="a3"/>
        <w:rPr>
          <w:kern w:val="0"/>
        </w:rPr>
      </w:pPr>
      <w:r w:rsidRPr="001A3D2B">
        <w:rPr>
          <w:kern w:val="0"/>
        </w:rPr>
        <w:t xml:space="preserve">Full Text: </w:t>
      </w:r>
      <w:hyperlink r:id="rId314" w:history="1">
        <w:r w:rsidR="00DB1C71" w:rsidRPr="00DB1C71">
          <w:rPr>
            <w:rStyle w:val="a5"/>
            <w:kern w:val="0"/>
          </w:rPr>
          <w:t>2010\Age Age39, 31.pdf</w:t>
        </w:r>
      </w:hyperlink>
    </w:p>
    <w:p w:rsidR="00AA56FA" w:rsidRDefault="00AA56FA" w:rsidP="00AA56FA">
      <w:pPr>
        <w:pStyle w:val="a3"/>
        <w:rPr>
          <w:kern w:val="0"/>
        </w:rPr>
      </w:pPr>
      <w:r>
        <w:rPr>
          <w:kern w:val="0"/>
        </w:rPr>
        <w:t>Abstract: Design: relevant articles were identified by searching</w:t>
      </w:r>
      <w:r w:rsidR="003A1917">
        <w:rPr>
          <w:kern w:val="0"/>
        </w:rPr>
        <w:t xml:space="preserve"> the </w:t>
      </w:r>
      <w:r>
        <w:rPr>
          <w:kern w:val="0"/>
        </w:rPr>
        <w:t xml:space="preserve">databases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Cochrane Library</w:t>
      </w:r>
      <w:r w:rsidR="005853A9">
        <w:rPr>
          <w:kern w:val="0"/>
        </w:rPr>
        <w:t xml:space="preserve"> and </w:t>
      </w:r>
      <w:r>
        <w:rPr>
          <w:kern w:val="0"/>
        </w:rPr>
        <w:t>PSYNDEXplus. Studies based on population-based samples with prospective study design</w:t>
      </w:r>
      <w:r w:rsidR="005853A9">
        <w:rPr>
          <w:kern w:val="0"/>
        </w:rPr>
        <w:t xml:space="preserve"> and </w:t>
      </w:r>
      <w:r>
        <w:rPr>
          <w:kern w:val="0"/>
        </w:rPr>
        <w:t>identification</w:t>
      </w:r>
      <w:r w:rsidR="00427468">
        <w:rPr>
          <w:kern w:val="0"/>
        </w:rPr>
        <w:t xml:space="preserve"> of </w:t>
      </w:r>
      <w:r>
        <w:rPr>
          <w:kern w:val="0"/>
        </w:rPr>
        <w:t>predictors by multivariate analyses were included. Quality</w:t>
      </w:r>
      <w:r w:rsidR="00427468">
        <w:rPr>
          <w:kern w:val="0"/>
        </w:rPr>
        <w:t xml:space="preserve"> of </w:t>
      </w:r>
      <w:r>
        <w:rPr>
          <w:kern w:val="0"/>
        </w:rPr>
        <w:t>studies</w:t>
      </w:r>
      <w:r w:rsidR="005853A9">
        <w:rPr>
          <w:kern w:val="0"/>
        </w:rPr>
        <w:t xml:space="preserve"> and </w:t>
      </w:r>
      <w:r>
        <w:rPr>
          <w:kern w:val="0"/>
        </w:rPr>
        <w:t>evidence</w:t>
      </w:r>
      <w:r w:rsidR="00427468">
        <w:rPr>
          <w:kern w:val="0"/>
        </w:rPr>
        <w:t xml:space="preserve"> of </w:t>
      </w:r>
      <w:r>
        <w:rPr>
          <w:kern w:val="0"/>
        </w:rPr>
        <w:t>predictors were determined. Results: thirty-six studies were identified; one-third</w:t>
      </w:r>
      <w:r w:rsidR="00427468">
        <w:rPr>
          <w:kern w:val="0"/>
        </w:rPr>
        <w:t xml:space="preserve"> of </w:t>
      </w:r>
      <w:r w:rsidR="003A1917">
        <w:rPr>
          <w:kern w:val="0"/>
        </w:rPr>
        <w:t xml:space="preserve">the </w:t>
      </w:r>
      <w:r>
        <w:rPr>
          <w:kern w:val="0"/>
        </w:rPr>
        <w:t>studies were</w:t>
      </w:r>
      <w:r w:rsidR="00427468">
        <w:rPr>
          <w:kern w:val="0"/>
        </w:rPr>
        <w:t xml:space="preserve"> of </w:t>
      </w:r>
      <w:r>
        <w:rPr>
          <w:kern w:val="0"/>
        </w:rPr>
        <w:t>high quality. Predictors with strong evidence were increased age, low self-rated health status, functional</w:t>
      </w:r>
      <w:r w:rsidR="005853A9">
        <w:rPr>
          <w:kern w:val="0"/>
        </w:rPr>
        <w:t xml:space="preserve"> and </w:t>
      </w:r>
      <w:r>
        <w:rPr>
          <w:kern w:val="0"/>
        </w:rPr>
        <w:t>cognitive impairment, dementia, prior NHP</w:t>
      </w:r>
      <w:r w:rsidR="005853A9">
        <w:rPr>
          <w:kern w:val="0"/>
        </w:rPr>
        <w:t xml:space="preserve"> and </w:t>
      </w:r>
      <w:r>
        <w:rPr>
          <w:kern w:val="0"/>
        </w:rPr>
        <w:t>a high number</w:t>
      </w:r>
      <w:r w:rsidR="00427468">
        <w:rPr>
          <w:kern w:val="0"/>
        </w:rPr>
        <w:t xml:space="preserve"> of </w:t>
      </w:r>
      <w:r>
        <w:rPr>
          <w:kern w:val="0"/>
        </w:rPr>
        <w:t>prescriptions. Predictors with inconsistent results were male gender, low education status, low income, stroke, hypertension, incontinence, depression</w:t>
      </w:r>
      <w:r w:rsidR="005853A9">
        <w:rPr>
          <w:kern w:val="0"/>
        </w:rPr>
        <w:t xml:space="preserve"> and </w:t>
      </w:r>
      <w:r>
        <w:rPr>
          <w:kern w:val="0"/>
        </w:rPr>
        <w:t>prior hospital use. Conclusions: findings suggested that predictors</w:t>
      </w:r>
      <w:r w:rsidR="00427468">
        <w:rPr>
          <w:kern w:val="0"/>
        </w:rPr>
        <w:t xml:space="preserve"> of </w:t>
      </w:r>
      <w:r>
        <w:rPr>
          <w:kern w:val="0"/>
        </w:rPr>
        <w:t>NHP are mainly based on underlying cognitive and/or functional impairment,</w:t>
      </w:r>
      <w:r w:rsidR="005853A9">
        <w:rPr>
          <w:kern w:val="0"/>
        </w:rPr>
        <w:t xml:space="preserve"> and </w:t>
      </w:r>
      <w:r>
        <w:rPr>
          <w:kern w:val="0"/>
        </w:rPr>
        <w:t>associated lack</w:t>
      </w:r>
      <w:r w:rsidR="00427468">
        <w:rPr>
          <w:kern w:val="0"/>
        </w:rPr>
        <w:t xml:space="preserve"> of </w:t>
      </w:r>
      <w:r>
        <w:rPr>
          <w:kern w:val="0"/>
        </w:rPr>
        <w:t>support</w:t>
      </w:r>
      <w:r w:rsidR="005853A9">
        <w:rPr>
          <w:kern w:val="0"/>
        </w:rPr>
        <w:t xml:space="preserve"> and </w:t>
      </w:r>
      <w:r>
        <w:rPr>
          <w:kern w:val="0"/>
        </w:rPr>
        <w:t>assistance in daily living. However,</w:t>
      </w:r>
      <w:r w:rsidR="003A1917">
        <w:rPr>
          <w:kern w:val="0"/>
        </w:rPr>
        <w:t xml:space="preserve"> the </w:t>
      </w:r>
      <w:r>
        <w:rPr>
          <w:kern w:val="0"/>
        </w:rPr>
        <w:t>methodical quality</w:t>
      </w:r>
      <w:r w:rsidR="00427468">
        <w:rPr>
          <w:kern w:val="0"/>
        </w:rPr>
        <w:t xml:space="preserve"> of </w:t>
      </w:r>
      <w:r>
        <w:rPr>
          <w:kern w:val="0"/>
        </w:rPr>
        <w:t>studies needs improvement. More theoretical embedding</w:t>
      </w:r>
      <w:r w:rsidR="00427468">
        <w:rPr>
          <w:kern w:val="0"/>
        </w:rPr>
        <w:t xml:space="preserve"> of </w:t>
      </w:r>
      <w:r>
        <w:rPr>
          <w:kern w:val="0"/>
        </w:rPr>
        <w:t>risk models</w:t>
      </w:r>
      <w:r w:rsidR="00427468">
        <w:rPr>
          <w:kern w:val="0"/>
        </w:rPr>
        <w:t xml:space="preserve"> of </w:t>
      </w:r>
      <w:r>
        <w:rPr>
          <w:kern w:val="0"/>
        </w:rPr>
        <w:t>NHP would help to establish more clarity in complex relationships in using nursing homes.</w:t>
      </w:r>
    </w:p>
    <w:p w:rsidR="00AA56FA" w:rsidRDefault="00AA56FA" w:rsidP="00AA56FA">
      <w:pPr>
        <w:pStyle w:val="a3"/>
        <w:rPr>
          <w:kern w:val="0"/>
        </w:rPr>
      </w:pPr>
      <w:r>
        <w:rPr>
          <w:kern w:val="0"/>
        </w:rPr>
        <w:t>Keywords: Admission, Cochrane, Community, Databases, Death, Dementia, Depression, Education, Elderly, Follow</w:t>
      </w:r>
      <w:r w:rsidR="0062028A">
        <w:rPr>
          <w:kern w:val="0"/>
        </w:rPr>
        <w:t>-up,</w:t>
      </w:r>
      <w:r>
        <w:rPr>
          <w:kern w:val="0"/>
        </w:rPr>
        <w:t xml:space="preserve"> Functional, Gender, Health Status, Homes, Hospital, Hypertension, Income, Incontinence, Institutionalization, Long-Term-Care, </w:t>
      </w:r>
      <w:r w:rsidR="00D5664A">
        <w:rPr>
          <w:kern w:val="0"/>
        </w:rPr>
        <w:t>MEDLINE</w:t>
      </w:r>
      <w:r>
        <w:rPr>
          <w:kern w:val="0"/>
        </w:rPr>
        <w:t xml:space="preserve">, NHA, Nursing, Nursing Home Admission, Nursing Home Placement, Nursing Homes, Nursing-Home Placement, Old Age, Older-Adults, Prediction, Quality, Representative Sample, Review, Risk, Risk-Factors, Science, Stroke, Systematic, Systematic Review, </w:t>
      </w:r>
      <w:r w:rsidR="00D5664A">
        <w:rPr>
          <w:kern w:val="0"/>
        </w:rPr>
        <w:t>Web</w:t>
      </w:r>
      <w:r w:rsidR="00427468">
        <w:rPr>
          <w:kern w:val="0"/>
        </w:rPr>
        <w:t xml:space="preserve"> of </w:t>
      </w:r>
      <w:r w:rsidR="00D5664A">
        <w:rPr>
          <w:kern w:val="0"/>
        </w:rPr>
        <w:t>Science</w:t>
      </w:r>
    </w:p>
    <w:p w:rsidR="00AA56FA" w:rsidRDefault="00AA56FA" w:rsidP="00AA56FA">
      <w:pPr>
        <w:pStyle w:val="a3"/>
        <w:rPr>
          <w:kern w:val="0"/>
        </w:rPr>
      </w:pPr>
      <w:r>
        <w:rPr>
          <w:rFonts w:hint="eastAsia"/>
          <w:kern w:val="0"/>
        </w:rPr>
        <w:t xml:space="preserve">? </w:t>
      </w:r>
      <w:r>
        <w:rPr>
          <w:kern w:val="0"/>
        </w:rPr>
        <w:t>Forster, A., Lambley, R.</w:t>
      </w:r>
      <w:r w:rsidR="005853A9">
        <w:rPr>
          <w:kern w:val="0"/>
        </w:rPr>
        <w:t xml:space="preserve"> and </w:t>
      </w:r>
      <w:r>
        <w:rPr>
          <w:kern w:val="0"/>
        </w:rPr>
        <w:t xml:space="preserve">Young, J.B. (2010), Is physical rehabilitation for older people in long-term care effective? Findings from a systematic review. </w:t>
      </w:r>
      <w:r>
        <w:rPr>
          <w:i/>
          <w:iCs/>
          <w:kern w:val="0"/>
        </w:rPr>
        <w:t>Age</w:t>
      </w:r>
      <w:r w:rsidR="005853A9">
        <w:rPr>
          <w:i/>
          <w:iCs/>
          <w:kern w:val="0"/>
        </w:rPr>
        <w:t xml:space="preserve"> and </w:t>
      </w:r>
      <w:r>
        <w:rPr>
          <w:i/>
          <w:iCs/>
          <w:kern w:val="0"/>
        </w:rPr>
        <w:t>Ageing</w:t>
      </w:r>
      <w:r>
        <w:rPr>
          <w:kern w:val="0"/>
        </w:rPr>
        <w:t xml:space="preserve">, </w:t>
      </w:r>
      <w:r>
        <w:rPr>
          <w:b/>
          <w:bCs/>
          <w:kern w:val="0"/>
        </w:rPr>
        <w:t>39</w:t>
      </w:r>
      <w:r>
        <w:rPr>
          <w:kern w:val="0"/>
        </w:rPr>
        <w:t xml:space="preserve"> (2), 169-175.</w:t>
      </w:r>
    </w:p>
    <w:p w:rsidR="00AA56FA" w:rsidRPr="001A3D2B" w:rsidRDefault="00AA56FA" w:rsidP="00AA56FA">
      <w:pPr>
        <w:pStyle w:val="a3"/>
        <w:rPr>
          <w:kern w:val="0"/>
        </w:rPr>
      </w:pPr>
      <w:r w:rsidRPr="001A3D2B">
        <w:rPr>
          <w:kern w:val="0"/>
        </w:rPr>
        <w:t xml:space="preserve">Full Text: </w:t>
      </w:r>
      <w:hyperlink r:id="rId315" w:history="1">
        <w:r w:rsidR="00DB1C71" w:rsidRPr="00DB1C71">
          <w:rPr>
            <w:rStyle w:val="a5"/>
            <w:kern w:val="0"/>
          </w:rPr>
          <w:t>2010\Age Age39, 169.pdf</w:t>
        </w:r>
      </w:hyperlink>
    </w:p>
    <w:p w:rsidR="00AA56FA" w:rsidRDefault="00AA56FA" w:rsidP="00AA56FA">
      <w:pPr>
        <w:pStyle w:val="a3"/>
        <w:rPr>
          <w:kern w:val="0"/>
        </w:rPr>
      </w:pPr>
      <w:r>
        <w:rPr>
          <w:kern w:val="0"/>
        </w:rPr>
        <w:lastRenderedPageBreak/>
        <w:t>Abstract: Design: systematic review</w:t>
      </w:r>
      <w:r w:rsidR="00427468">
        <w:rPr>
          <w:kern w:val="0"/>
        </w:rPr>
        <w:t xml:space="preserve"> of </w:t>
      </w:r>
      <w:r>
        <w:rPr>
          <w:kern w:val="0"/>
        </w:rPr>
        <w:t>randomised controlled trials. Data sources:</w:t>
      </w:r>
      <w:r w:rsidR="003A1917">
        <w:rPr>
          <w:kern w:val="0"/>
        </w:rPr>
        <w:t xml:space="preserve"> the </w:t>
      </w:r>
      <w:r>
        <w:rPr>
          <w:kern w:val="0"/>
        </w:rPr>
        <w:t>Cochrane Central Register</w:t>
      </w:r>
      <w:r w:rsidR="00427468">
        <w:rPr>
          <w:kern w:val="0"/>
        </w:rPr>
        <w:t xml:space="preserve"> of </w:t>
      </w:r>
      <w:r>
        <w:rPr>
          <w:kern w:val="0"/>
        </w:rPr>
        <w:t xml:space="preserve">Controlled Trials, </w:t>
      </w:r>
      <w:r w:rsidR="00D5664A">
        <w:rPr>
          <w:kern w:val="0"/>
        </w:rPr>
        <w:t>MEDLINE</w:t>
      </w:r>
      <w:r>
        <w:rPr>
          <w:kern w:val="0"/>
        </w:rPr>
        <w:t xml:space="preserve">, EMBASE, AMED, CINAHL, PEDro, British Nursing Index, ASSIA, IBSS, PsychINFO, DARE, HMIC, NHS EED, HTA, </w:t>
      </w:r>
      <w:r w:rsidR="00D5664A">
        <w:rPr>
          <w:kern w:val="0"/>
        </w:rPr>
        <w:t>Web</w:t>
      </w:r>
      <w:r w:rsidR="00427468">
        <w:rPr>
          <w:kern w:val="0"/>
        </w:rPr>
        <w:t xml:space="preserve"> of </w:t>
      </w:r>
      <w:r w:rsidR="00D5664A">
        <w:rPr>
          <w:kern w:val="0"/>
        </w:rPr>
        <w:t>Science</w:t>
      </w:r>
      <w:r>
        <w:rPr>
          <w:kern w:val="0"/>
        </w:rPr>
        <w:t>, AsLib Index to UK Theses</w:t>
      </w:r>
      <w:r w:rsidR="005853A9">
        <w:rPr>
          <w:kern w:val="0"/>
        </w:rPr>
        <w:t xml:space="preserve"> and </w:t>
      </w:r>
      <w:r>
        <w:rPr>
          <w:kern w:val="0"/>
        </w:rPr>
        <w:t>Dissertation Abstracts,</w:t>
      </w:r>
      <w:r w:rsidR="003A1917">
        <w:rPr>
          <w:kern w:val="0"/>
        </w:rPr>
        <w:t xml:space="preserve"> the </w:t>
      </w:r>
      <w:r>
        <w:rPr>
          <w:kern w:val="0"/>
        </w:rPr>
        <w:t>National Research Register, Medical Research Council Register, CRIB, Current Controlled Trials</w:t>
      </w:r>
      <w:r w:rsidR="005853A9">
        <w:rPr>
          <w:kern w:val="0"/>
        </w:rPr>
        <w:t xml:space="preserve"> and </w:t>
      </w:r>
      <w:r>
        <w:rPr>
          <w:kern w:val="0"/>
        </w:rPr>
        <w:t>HSRPRoj. Trials: all randomised trials investigating physical rehabilitation for people permanently resident in long-term care aged &gt;= 60 years</w:t>
      </w:r>
      <w:r w:rsidR="00A37C1D">
        <w:rPr>
          <w:kern w:val="0"/>
        </w:rPr>
        <w:t>. The</w:t>
      </w:r>
      <w:r w:rsidR="003A1917">
        <w:rPr>
          <w:kern w:val="0"/>
        </w:rPr>
        <w:t xml:space="preserve"> </w:t>
      </w:r>
      <w:r>
        <w:rPr>
          <w:kern w:val="0"/>
        </w:rPr>
        <w:t>primary outcome was measures</w:t>
      </w:r>
      <w:r w:rsidR="00427468">
        <w:rPr>
          <w:kern w:val="0"/>
        </w:rPr>
        <w:t xml:space="preserve"> of </w:t>
      </w:r>
      <w:r>
        <w:rPr>
          <w:kern w:val="0"/>
        </w:rPr>
        <w:t>activity restriction. Results: 49 trials were identified involving 3,611 subjects with an average age</w:t>
      </w:r>
      <w:r w:rsidR="00427468">
        <w:rPr>
          <w:kern w:val="0"/>
        </w:rPr>
        <w:t xml:space="preserve"> of </w:t>
      </w:r>
      <w:r>
        <w:rPr>
          <w:kern w:val="0"/>
        </w:rPr>
        <w:t>82 years. Intervention duration was typically 12 weeks with a treatment intensity</w:t>
      </w:r>
      <w:r w:rsidR="00427468">
        <w:rPr>
          <w:kern w:val="0"/>
        </w:rPr>
        <w:t xml:space="preserve"> of </w:t>
      </w:r>
      <w:r>
        <w:rPr>
          <w:kern w:val="0"/>
        </w:rPr>
        <w:t>three 30-min sessions per week. Exercise was</w:t>
      </w:r>
      <w:r w:rsidR="003A1917">
        <w:rPr>
          <w:kern w:val="0"/>
        </w:rPr>
        <w:t xml:space="preserve"> the </w:t>
      </w:r>
      <w:r>
        <w:rPr>
          <w:kern w:val="0"/>
        </w:rPr>
        <w:t>main component</w:t>
      </w:r>
      <w:r w:rsidR="00427468">
        <w:rPr>
          <w:kern w:val="0"/>
        </w:rPr>
        <w:t xml:space="preserve"> of </w:t>
      </w:r>
      <w:r w:rsidR="003A1917">
        <w:rPr>
          <w:kern w:val="0"/>
        </w:rPr>
        <w:t xml:space="preserve">the </w:t>
      </w:r>
      <w:r>
        <w:rPr>
          <w:kern w:val="0"/>
        </w:rPr>
        <w:t>interventions</w:t>
      </w:r>
      <w:r w:rsidR="00A37C1D">
        <w:rPr>
          <w:kern w:val="0"/>
        </w:rPr>
        <w:t>. The</w:t>
      </w:r>
      <w:r w:rsidR="003A1917">
        <w:rPr>
          <w:kern w:val="0"/>
        </w:rPr>
        <w:t xml:space="preserve"> </w:t>
      </w:r>
      <w:r>
        <w:rPr>
          <w:kern w:val="0"/>
        </w:rPr>
        <w:t>mean attendance rate for 17 studies was 84% (range 71-97%). Thirty-three trials, including</w:t>
      </w:r>
      <w:r w:rsidR="003A1917">
        <w:rPr>
          <w:kern w:val="0"/>
        </w:rPr>
        <w:t xml:space="preserve"> the </w:t>
      </w:r>
      <w:r>
        <w:rPr>
          <w:kern w:val="0"/>
        </w:rPr>
        <w:t>nine trials recruiting over 100 subjects, reported positive findings, mostly improvement in mobility but also strength, flexibility</w:t>
      </w:r>
      <w:r w:rsidR="005853A9">
        <w:rPr>
          <w:kern w:val="0"/>
        </w:rPr>
        <w:t xml:space="preserve"> and </w:t>
      </w:r>
      <w:r>
        <w:rPr>
          <w:kern w:val="0"/>
        </w:rPr>
        <w:t>balance. Conclusion: physical rehabilitation for older people in long-term care is acceptable</w:t>
      </w:r>
      <w:r w:rsidR="005853A9">
        <w:rPr>
          <w:kern w:val="0"/>
        </w:rPr>
        <w:t xml:space="preserve"> and </w:t>
      </w:r>
      <w:r>
        <w:rPr>
          <w:kern w:val="0"/>
        </w:rPr>
        <w:t>potentially effective. Larger scale studies are needed to confirm</w:t>
      </w:r>
      <w:r w:rsidR="003A1917">
        <w:rPr>
          <w:kern w:val="0"/>
        </w:rPr>
        <w:t xml:space="preserve"> the </w:t>
      </w:r>
      <w:r>
        <w:rPr>
          <w:kern w:val="0"/>
        </w:rPr>
        <w:t>findings</w:t>
      </w:r>
      <w:r w:rsidR="005853A9">
        <w:rPr>
          <w:kern w:val="0"/>
        </w:rPr>
        <w:t xml:space="preserve"> and </w:t>
      </w:r>
      <w:r>
        <w:rPr>
          <w:kern w:val="0"/>
        </w:rPr>
        <w:t>should include longer term follow-up</w:t>
      </w:r>
      <w:r w:rsidR="005853A9">
        <w:rPr>
          <w:kern w:val="0"/>
        </w:rPr>
        <w:t xml:space="preserve"> and </w:t>
      </w:r>
      <w:r>
        <w:rPr>
          <w:kern w:val="0"/>
        </w:rPr>
        <w:t>assessment for possible harms.</w:t>
      </w:r>
    </w:p>
    <w:p w:rsidR="00AA56FA" w:rsidRDefault="00AA56FA" w:rsidP="00AA56FA">
      <w:pPr>
        <w:pStyle w:val="a3"/>
        <w:rPr>
          <w:kern w:val="0"/>
        </w:rPr>
      </w:pPr>
      <w:r>
        <w:rPr>
          <w:kern w:val="0"/>
        </w:rPr>
        <w:t>Keywords: Aged, Assessment, Balance, Cochrane, Elderly, Embase, Exercise, Follow</w:t>
      </w:r>
      <w:r w:rsidR="0062028A">
        <w:rPr>
          <w:kern w:val="0"/>
        </w:rPr>
        <w:t>-up,</w:t>
      </w:r>
      <w:r>
        <w:rPr>
          <w:kern w:val="0"/>
        </w:rPr>
        <w:t xml:space="preserve"> Intervention, Interventions, Long-Term Care, Medical Research, Nursing, Older People, Outcome, Primary, Rehabilitation, Research, Review, Science, Systematic, Systematic Review, Treatment</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AA56FA" w:rsidRDefault="00AA56FA" w:rsidP="00AA56FA">
      <w:pPr>
        <w:pStyle w:val="a3"/>
        <w:rPr>
          <w:kern w:val="0"/>
        </w:rPr>
      </w:pPr>
      <w:r>
        <w:rPr>
          <w:rFonts w:hint="eastAsia"/>
          <w:kern w:val="0"/>
        </w:rPr>
        <w:t xml:space="preserve">? </w:t>
      </w:r>
      <w:r>
        <w:rPr>
          <w:kern w:val="0"/>
        </w:rPr>
        <w:t>Horsman, M., Suto, M., Dudgeon, B.</w:t>
      </w:r>
      <w:r w:rsidR="005853A9">
        <w:rPr>
          <w:kern w:val="0"/>
        </w:rPr>
        <w:t xml:space="preserve"> and </w:t>
      </w:r>
      <w:r>
        <w:rPr>
          <w:kern w:val="0"/>
        </w:rPr>
        <w:t xml:space="preserve">Harris, S.R. (2010), Ageing with cerebral palsy: Psychosocial issues. </w:t>
      </w:r>
      <w:r>
        <w:rPr>
          <w:i/>
          <w:iCs/>
          <w:kern w:val="0"/>
        </w:rPr>
        <w:t>Age</w:t>
      </w:r>
      <w:r w:rsidR="005853A9">
        <w:rPr>
          <w:i/>
          <w:iCs/>
          <w:kern w:val="0"/>
        </w:rPr>
        <w:t xml:space="preserve"> and </w:t>
      </w:r>
      <w:r>
        <w:rPr>
          <w:i/>
          <w:iCs/>
          <w:kern w:val="0"/>
        </w:rPr>
        <w:t>Ageing</w:t>
      </w:r>
      <w:r>
        <w:rPr>
          <w:kern w:val="0"/>
        </w:rPr>
        <w:t xml:space="preserve">, </w:t>
      </w:r>
      <w:r>
        <w:rPr>
          <w:b/>
          <w:bCs/>
          <w:kern w:val="0"/>
        </w:rPr>
        <w:t>39</w:t>
      </w:r>
      <w:r>
        <w:rPr>
          <w:kern w:val="0"/>
        </w:rPr>
        <w:t xml:space="preserve"> (3), 294-299.</w:t>
      </w:r>
    </w:p>
    <w:p w:rsidR="00AA56FA" w:rsidRPr="001A3D2B" w:rsidRDefault="00AA56FA" w:rsidP="00AA56FA">
      <w:pPr>
        <w:pStyle w:val="a3"/>
        <w:rPr>
          <w:kern w:val="0"/>
        </w:rPr>
      </w:pPr>
      <w:r w:rsidRPr="001A3D2B">
        <w:rPr>
          <w:kern w:val="0"/>
        </w:rPr>
        <w:t xml:space="preserve">Full Text: </w:t>
      </w:r>
      <w:hyperlink r:id="rId316" w:history="1">
        <w:r w:rsidR="00DB1C71" w:rsidRPr="00DB1C71">
          <w:rPr>
            <w:rStyle w:val="a5"/>
            <w:kern w:val="0"/>
          </w:rPr>
          <w:t>2010\Age Age39, 294.pdf</w:t>
        </w:r>
      </w:hyperlink>
    </w:p>
    <w:p w:rsidR="00AA56FA" w:rsidRDefault="00AA56FA" w:rsidP="00AA56FA">
      <w:pPr>
        <w:pStyle w:val="a3"/>
        <w:rPr>
          <w:kern w:val="0"/>
        </w:rPr>
      </w:pPr>
      <w:r>
        <w:rPr>
          <w:kern w:val="0"/>
        </w:rPr>
        <w:t>Abstract: Objective:</w:t>
      </w:r>
      <w:r w:rsidR="003A1917">
        <w:rPr>
          <w:kern w:val="0"/>
        </w:rPr>
        <w:t xml:space="preserve"> the </w:t>
      </w:r>
      <w:r>
        <w:rPr>
          <w:kern w:val="0"/>
        </w:rPr>
        <w:t>purpose</w:t>
      </w:r>
      <w:r w:rsidR="00427468">
        <w:rPr>
          <w:kern w:val="0"/>
        </w:rPr>
        <w:t xml:space="preserve"> of </w:t>
      </w:r>
      <w:r>
        <w:rPr>
          <w:kern w:val="0"/>
        </w:rPr>
        <w:t>this narrative review is to critically examine studies that have addressed needs for social support, as well as issues affecting morale, self-efficacy, health attitudes, employment</w:t>
      </w:r>
      <w:r w:rsidR="005853A9">
        <w:rPr>
          <w:kern w:val="0"/>
        </w:rPr>
        <w:t xml:space="preserve"> and </w:t>
      </w:r>
      <w:r>
        <w:rPr>
          <w:kern w:val="0"/>
        </w:rPr>
        <w:t>sense</w:t>
      </w:r>
      <w:r w:rsidR="00427468">
        <w:rPr>
          <w:kern w:val="0"/>
        </w:rPr>
        <w:t xml:space="preserve"> of </w:t>
      </w:r>
      <w:r>
        <w:rPr>
          <w:kern w:val="0"/>
        </w:rPr>
        <w:t>coherence (SOC) in adults ageing with CP. Design: a systematic</w:t>
      </w:r>
      <w:r w:rsidR="005853A9">
        <w:rPr>
          <w:kern w:val="0"/>
        </w:rPr>
        <w:t xml:space="preserve"> and </w:t>
      </w:r>
      <w:r>
        <w:rPr>
          <w:kern w:val="0"/>
        </w:rPr>
        <w:t>detailed search</w:t>
      </w:r>
      <w:r w:rsidR="00427468">
        <w:rPr>
          <w:kern w:val="0"/>
        </w:rPr>
        <w:t xml:space="preserve"> of </w:t>
      </w:r>
      <w:r w:rsidR="003A1917">
        <w:rPr>
          <w:kern w:val="0"/>
        </w:rPr>
        <w:t xml:space="preserve">the </w:t>
      </w:r>
      <w:r>
        <w:rPr>
          <w:kern w:val="0"/>
        </w:rPr>
        <w:t>literature was conducted. Methods: searches</w:t>
      </w:r>
      <w:r w:rsidR="00427468">
        <w:rPr>
          <w:kern w:val="0"/>
        </w:rPr>
        <w:t xml:space="preserve"> of </w:t>
      </w:r>
      <w:r>
        <w:rPr>
          <w:kern w:val="0"/>
        </w:rPr>
        <w:t xml:space="preserve">CINAHL (1982-present), ERIC, </w:t>
      </w:r>
      <w:r w:rsidR="002C12F0">
        <w:rPr>
          <w:kern w:val="0"/>
        </w:rPr>
        <w:t>PUBMED</w:t>
      </w:r>
      <w:r>
        <w:rPr>
          <w:kern w:val="0"/>
        </w:rPr>
        <w:t xml:space="preserve"> (1950-present), </w:t>
      </w:r>
      <w:r w:rsidR="00D5664A">
        <w:rPr>
          <w:kern w:val="0"/>
        </w:rPr>
        <w:t>MEDLINE</w:t>
      </w:r>
      <w:r>
        <w:rPr>
          <w:kern w:val="0"/>
        </w:rPr>
        <w:t xml:space="preserve"> (Ovid)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as well as</w:t>
      </w:r>
      <w:r w:rsidR="003A1917">
        <w:rPr>
          <w:kern w:val="0"/>
        </w:rPr>
        <w:t xml:space="preserve"> the </w:t>
      </w:r>
      <w:r>
        <w:rPr>
          <w:kern w:val="0"/>
        </w:rPr>
        <w:t>American Academy</w:t>
      </w:r>
      <w:r w:rsidR="00427468">
        <w:rPr>
          <w:kern w:val="0"/>
        </w:rPr>
        <w:t xml:space="preserve"> of </w:t>
      </w:r>
      <w:r>
        <w:rPr>
          <w:kern w:val="0"/>
        </w:rPr>
        <w:t>Cerebral Palsy</w:t>
      </w:r>
      <w:r w:rsidR="005853A9">
        <w:rPr>
          <w:kern w:val="0"/>
        </w:rPr>
        <w:t xml:space="preserve"> and </w:t>
      </w:r>
      <w:r>
        <w:rPr>
          <w:kern w:val="0"/>
        </w:rPr>
        <w:t xml:space="preserve">Developmental Medicine website, were conducted. Key search terms included </w:t>
      </w:r>
      <w:r w:rsidR="00700038">
        <w:rPr>
          <w:kern w:val="0"/>
        </w:rPr>
        <w:t>‘</w:t>
      </w:r>
      <w:r>
        <w:rPr>
          <w:kern w:val="0"/>
        </w:rPr>
        <w:t>cerebral palsy</w:t>
      </w:r>
      <w:r w:rsidR="005853A9">
        <w:rPr>
          <w:kern w:val="0"/>
        </w:rPr>
        <w:t xml:space="preserve"> and </w:t>
      </w:r>
      <w:r>
        <w:rPr>
          <w:kern w:val="0"/>
        </w:rPr>
        <w:t>ageing</w:t>
      </w:r>
      <w:r w:rsidR="00700038">
        <w:rPr>
          <w:kern w:val="0"/>
        </w:rPr>
        <w:t>’</w:t>
      </w:r>
      <w:r>
        <w:rPr>
          <w:kern w:val="0"/>
        </w:rPr>
        <w:t xml:space="preserve">, </w:t>
      </w:r>
      <w:r w:rsidR="00700038">
        <w:rPr>
          <w:kern w:val="0"/>
        </w:rPr>
        <w:t>‘</w:t>
      </w:r>
      <w:r>
        <w:rPr>
          <w:kern w:val="0"/>
        </w:rPr>
        <w:t>adults with cerebral palsy</w:t>
      </w:r>
      <w:r w:rsidR="00700038">
        <w:rPr>
          <w:kern w:val="0"/>
        </w:rPr>
        <w:t>’</w:t>
      </w:r>
      <w:r>
        <w:rPr>
          <w:kern w:val="0"/>
        </w:rPr>
        <w:t xml:space="preserve">, </w:t>
      </w:r>
      <w:r w:rsidR="00700038">
        <w:rPr>
          <w:kern w:val="0"/>
        </w:rPr>
        <w:t>‘</w:t>
      </w:r>
      <w:r w:rsidR="00C13DDC">
        <w:rPr>
          <w:kern w:val="0"/>
        </w:rPr>
        <w:t>s</w:t>
      </w:r>
      <w:r>
        <w:rPr>
          <w:kern w:val="0"/>
        </w:rPr>
        <w:t>econdary conditions</w:t>
      </w:r>
      <w:r w:rsidR="00700038">
        <w:rPr>
          <w:kern w:val="0"/>
        </w:rPr>
        <w:t>’</w:t>
      </w:r>
      <w:r>
        <w:rPr>
          <w:kern w:val="0"/>
        </w:rPr>
        <w:t xml:space="preserve">, </w:t>
      </w:r>
      <w:r w:rsidR="00700038">
        <w:rPr>
          <w:kern w:val="0"/>
        </w:rPr>
        <w:t>‘</w:t>
      </w:r>
      <w:r>
        <w:rPr>
          <w:kern w:val="0"/>
        </w:rPr>
        <w:t>functional loss</w:t>
      </w:r>
      <w:r w:rsidR="00700038">
        <w:rPr>
          <w:kern w:val="0"/>
        </w:rPr>
        <w:t>’</w:t>
      </w:r>
      <w:r>
        <w:rPr>
          <w:kern w:val="0"/>
        </w:rPr>
        <w:t xml:space="preserve">, </w:t>
      </w:r>
      <w:r w:rsidR="00700038">
        <w:rPr>
          <w:kern w:val="0"/>
        </w:rPr>
        <w:t>‘</w:t>
      </w:r>
      <w:r>
        <w:rPr>
          <w:kern w:val="0"/>
        </w:rPr>
        <w:t>health</w:t>
      </w:r>
      <w:r w:rsidR="00700038">
        <w:rPr>
          <w:kern w:val="0"/>
        </w:rPr>
        <w:t>’</w:t>
      </w:r>
      <w:r w:rsidR="005853A9">
        <w:rPr>
          <w:kern w:val="0"/>
        </w:rPr>
        <w:t xml:space="preserve"> and </w:t>
      </w:r>
      <w:r w:rsidR="00700038">
        <w:rPr>
          <w:kern w:val="0"/>
        </w:rPr>
        <w:t>‘</w:t>
      </w:r>
      <w:r>
        <w:rPr>
          <w:kern w:val="0"/>
        </w:rPr>
        <w:t>psychosocial</w:t>
      </w:r>
      <w:r w:rsidR="00700038">
        <w:rPr>
          <w:kern w:val="0"/>
        </w:rPr>
        <w:t>’</w:t>
      </w:r>
      <w:r>
        <w:rPr>
          <w:kern w:val="0"/>
        </w:rPr>
        <w:t>. Nine studies were recovered that described psychosocial consequences</w:t>
      </w:r>
      <w:r w:rsidR="00427468">
        <w:rPr>
          <w:kern w:val="0"/>
        </w:rPr>
        <w:t xml:space="preserve"> of </w:t>
      </w:r>
      <w:r>
        <w:rPr>
          <w:kern w:val="0"/>
        </w:rPr>
        <w:t>living with a lifespan disability. We used McMaster University</w:t>
      </w:r>
      <w:r w:rsidR="00700038">
        <w:rPr>
          <w:kern w:val="0"/>
        </w:rPr>
        <w:t>’</w:t>
      </w:r>
      <w:r w:rsidR="00C13DDC">
        <w:rPr>
          <w:kern w:val="0"/>
        </w:rPr>
        <w:t>s</w:t>
      </w:r>
      <w:r>
        <w:rPr>
          <w:kern w:val="0"/>
        </w:rPr>
        <w:t xml:space="preserve"> Guidelines for Critical Review Form - Quantitative</w:t>
      </w:r>
      <w:r w:rsidR="005853A9">
        <w:rPr>
          <w:kern w:val="0"/>
        </w:rPr>
        <w:t xml:space="preserve"> and </w:t>
      </w:r>
      <w:r>
        <w:rPr>
          <w:kern w:val="0"/>
        </w:rPr>
        <w:t>Qualitative Studies to evaluate</w:t>
      </w:r>
      <w:r w:rsidR="003A1917">
        <w:rPr>
          <w:kern w:val="0"/>
        </w:rPr>
        <w:t xml:space="preserve"> the </w:t>
      </w:r>
      <w:r>
        <w:rPr>
          <w:kern w:val="0"/>
        </w:rPr>
        <w:t>studies. Results: psychosocial issues</w:t>
      </w:r>
      <w:r w:rsidR="00427468">
        <w:rPr>
          <w:kern w:val="0"/>
        </w:rPr>
        <w:t xml:space="preserve"> of </w:t>
      </w:r>
      <w:r>
        <w:rPr>
          <w:kern w:val="0"/>
        </w:rPr>
        <w:t>concern to adults ageing with CP include</w:t>
      </w:r>
      <w:r w:rsidR="003A1917">
        <w:rPr>
          <w:kern w:val="0"/>
        </w:rPr>
        <w:t xml:space="preserve"> the </w:t>
      </w:r>
      <w:r>
        <w:rPr>
          <w:kern w:val="0"/>
        </w:rPr>
        <w:t>need for social support, self-acceptance</w:t>
      </w:r>
      <w:r w:rsidR="005853A9">
        <w:rPr>
          <w:kern w:val="0"/>
        </w:rPr>
        <w:t xml:space="preserve"> and </w:t>
      </w:r>
      <w:r>
        <w:rPr>
          <w:kern w:val="0"/>
        </w:rPr>
        <w:t>acceptance by others;</w:t>
      </w:r>
      <w:r w:rsidR="003A1917">
        <w:rPr>
          <w:kern w:val="0"/>
        </w:rPr>
        <w:t xml:space="preserve"> the </w:t>
      </w:r>
      <w:r>
        <w:rPr>
          <w:kern w:val="0"/>
        </w:rPr>
        <w:t>need for accommodations in</w:t>
      </w:r>
      <w:r w:rsidR="003A1917">
        <w:rPr>
          <w:kern w:val="0"/>
        </w:rPr>
        <w:t xml:space="preserve"> the </w:t>
      </w:r>
      <w:r>
        <w:rPr>
          <w:kern w:val="0"/>
        </w:rPr>
        <w:t>workplace</w:t>
      </w:r>
      <w:r w:rsidR="005853A9">
        <w:rPr>
          <w:kern w:val="0"/>
        </w:rPr>
        <w:t xml:space="preserve"> and </w:t>
      </w:r>
      <w:r w:rsidR="003A1917">
        <w:rPr>
          <w:kern w:val="0"/>
        </w:rPr>
        <w:t xml:space="preserve">the </w:t>
      </w:r>
      <w:r>
        <w:rPr>
          <w:kern w:val="0"/>
        </w:rPr>
        <w:t>environment;</w:t>
      </w:r>
      <w:r w:rsidR="005853A9">
        <w:rPr>
          <w:kern w:val="0"/>
        </w:rPr>
        <w:t xml:space="preserve"> and </w:t>
      </w:r>
      <w:r>
        <w:rPr>
          <w:kern w:val="0"/>
        </w:rPr>
        <w:t>SOC</w:t>
      </w:r>
      <w:r w:rsidR="00427468">
        <w:rPr>
          <w:kern w:val="0"/>
        </w:rPr>
        <w:t xml:space="preserve"> of </w:t>
      </w:r>
      <w:r>
        <w:rPr>
          <w:kern w:val="0"/>
        </w:rPr>
        <w:t xml:space="preserve">adults ageing with CP. Conclusions: </w:t>
      </w:r>
      <w:r>
        <w:rPr>
          <w:kern w:val="0"/>
        </w:rPr>
        <w:lastRenderedPageBreak/>
        <w:t>several studies concluded that adults with CP need greater knowledge</w:t>
      </w:r>
      <w:r w:rsidR="005853A9">
        <w:rPr>
          <w:kern w:val="0"/>
        </w:rPr>
        <w:t xml:space="preserve"> and </w:t>
      </w:r>
      <w:r>
        <w:rPr>
          <w:kern w:val="0"/>
        </w:rPr>
        <w:t>understanding to enhance decision-making processes about their health</w:t>
      </w:r>
      <w:r w:rsidR="00A37C1D">
        <w:rPr>
          <w:kern w:val="0"/>
        </w:rPr>
        <w:t>. The</w:t>
      </w:r>
      <w:r w:rsidR="003A1917">
        <w:rPr>
          <w:kern w:val="0"/>
        </w:rPr>
        <w:t xml:space="preserve"> </w:t>
      </w:r>
      <w:r>
        <w:rPr>
          <w:kern w:val="0"/>
        </w:rPr>
        <w:t>studies reviewed also provide knowledge for healthcare</w:t>
      </w:r>
      <w:r w:rsidR="005853A9">
        <w:rPr>
          <w:kern w:val="0"/>
        </w:rPr>
        <w:t xml:space="preserve"> and </w:t>
      </w:r>
      <w:r>
        <w:rPr>
          <w:kern w:val="0"/>
        </w:rPr>
        <w:t>social service providers who care for adults with CP to better understand how psychosocial health can be preserved during</w:t>
      </w:r>
      <w:r w:rsidR="003A1917">
        <w:rPr>
          <w:kern w:val="0"/>
        </w:rPr>
        <w:t xml:space="preserve"> the </w:t>
      </w:r>
      <w:r>
        <w:rPr>
          <w:kern w:val="0"/>
        </w:rPr>
        <w:t>ageing process.</w:t>
      </w:r>
    </w:p>
    <w:p w:rsidR="00AA56FA" w:rsidRDefault="00AA56FA" w:rsidP="00AA56FA">
      <w:pPr>
        <w:pStyle w:val="a3"/>
        <w:rPr>
          <w:kern w:val="0"/>
        </w:rPr>
      </w:pPr>
      <w:r>
        <w:rPr>
          <w:kern w:val="0"/>
        </w:rPr>
        <w:t xml:space="preserve">Keywords: Adults, Ageing, Cerebral Palsy, Critical, Databases, Decision Making, Decision-Making, Disabilities, Elderly, Employment, Environment, Experiences, Functional, General-Population, Health, Health Attitudes, Knowledge, Literature, Locomotion, </w:t>
      </w:r>
      <w:r w:rsidR="00D5664A">
        <w:rPr>
          <w:kern w:val="0"/>
        </w:rPr>
        <w:t>MEDLINE</w:t>
      </w:r>
      <w:r>
        <w:rPr>
          <w:kern w:val="0"/>
        </w:rPr>
        <w:t xml:space="preserve">, Methods, Psychosocial, </w:t>
      </w:r>
      <w:r w:rsidR="002C12F0">
        <w:rPr>
          <w:kern w:val="0"/>
        </w:rPr>
        <w:t>PUBMED</w:t>
      </w:r>
      <w:r>
        <w:rPr>
          <w:kern w:val="0"/>
        </w:rPr>
        <w:t xml:space="preserve">, Review, Science, Self-Efficacy, Social, Systematic, </w:t>
      </w:r>
      <w:r w:rsidR="00D5664A">
        <w:rPr>
          <w:kern w:val="0"/>
        </w:rPr>
        <w:t>Web</w:t>
      </w:r>
      <w:r w:rsidR="00427468">
        <w:rPr>
          <w:kern w:val="0"/>
        </w:rPr>
        <w:t xml:space="preserve"> of </w:t>
      </w:r>
      <w:r w:rsidR="00D5664A">
        <w:rPr>
          <w:kern w:val="0"/>
        </w:rPr>
        <w:t>Science</w:t>
      </w:r>
      <w:r>
        <w:rPr>
          <w:kern w:val="0"/>
        </w:rPr>
        <w:t>, Women</w:t>
      </w:r>
    </w:p>
    <w:p w:rsidR="00AA56FA" w:rsidRDefault="00AA56FA" w:rsidP="00AA56FA">
      <w:pPr>
        <w:pStyle w:val="a3"/>
        <w:rPr>
          <w:kern w:val="0"/>
        </w:rPr>
      </w:pPr>
      <w:r>
        <w:rPr>
          <w:rFonts w:hint="eastAsia"/>
          <w:kern w:val="0"/>
        </w:rPr>
        <w:t xml:space="preserve">? </w:t>
      </w:r>
      <w:r>
        <w:rPr>
          <w:kern w:val="0"/>
        </w:rPr>
        <w:t>Roberts, H.C., Denison, H.J., Martin, H.J., Patel, H.P., Syddall, H., Cooper, C.</w:t>
      </w:r>
      <w:r w:rsidR="005853A9">
        <w:rPr>
          <w:kern w:val="0"/>
        </w:rPr>
        <w:t xml:space="preserve"> and </w:t>
      </w:r>
      <w:r>
        <w:rPr>
          <w:kern w:val="0"/>
        </w:rPr>
        <w:t>Sayer, A.A. (2011), A review</w:t>
      </w:r>
      <w:r w:rsidR="00427468">
        <w:rPr>
          <w:kern w:val="0"/>
        </w:rPr>
        <w:t xml:space="preserve"> of </w:t>
      </w:r>
      <w:r w:rsidR="003A1917">
        <w:rPr>
          <w:kern w:val="0"/>
        </w:rPr>
        <w:t xml:space="preserve">the </w:t>
      </w:r>
      <w:r>
        <w:rPr>
          <w:kern w:val="0"/>
        </w:rPr>
        <w:t>measurement</w:t>
      </w:r>
      <w:r w:rsidR="00427468">
        <w:rPr>
          <w:kern w:val="0"/>
        </w:rPr>
        <w:t xml:space="preserve"> of </w:t>
      </w:r>
      <w:r>
        <w:rPr>
          <w:kern w:val="0"/>
        </w:rPr>
        <w:t>grip strength in clinical</w:t>
      </w:r>
      <w:r w:rsidR="005853A9">
        <w:rPr>
          <w:kern w:val="0"/>
        </w:rPr>
        <w:t xml:space="preserve"> and </w:t>
      </w:r>
      <w:r>
        <w:rPr>
          <w:kern w:val="0"/>
        </w:rPr>
        <w:t xml:space="preserve">epidemiological studies: Towards a standardised approach. </w:t>
      </w:r>
      <w:r>
        <w:rPr>
          <w:i/>
          <w:iCs/>
          <w:kern w:val="0"/>
        </w:rPr>
        <w:t>Age</w:t>
      </w:r>
      <w:r w:rsidR="005853A9">
        <w:rPr>
          <w:i/>
          <w:iCs/>
          <w:kern w:val="0"/>
        </w:rPr>
        <w:t xml:space="preserve"> and </w:t>
      </w:r>
      <w:r>
        <w:rPr>
          <w:i/>
          <w:iCs/>
          <w:kern w:val="0"/>
        </w:rPr>
        <w:t>Ageing</w:t>
      </w:r>
      <w:r>
        <w:rPr>
          <w:kern w:val="0"/>
        </w:rPr>
        <w:t xml:space="preserve">, </w:t>
      </w:r>
      <w:r>
        <w:rPr>
          <w:b/>
          <w:bCs/>
          <w:kern w:val="0"/>
        </w:rPr>
        <w:t>40</w:t>
      </w:r>
      <w:r>
        <w:rPr>
          <w:kern w:val="0"/>
        </w:rPr>
        <w:t xml:space="preserve"> (4), 423-429.</w:t>
      </w:r>
    </w:p>
    <w:p w:rsidR="00AA56FA" w:rsidRPr="001A3D2B" w:rsidRDefault="00AA56FA" w:rsidP="00AA56FA">
      <w:pPr>
        <w:pStyle w:val="a3"/>
        <w:rPr>
          <w:kern w:val="0"/>
        </w:rPr>
      </w:pPr>
      <w:r w:rsidRPr="001A3D2B">
        <w:rPr>
          <w:kern w:val="0"/>
        </w:rPr>
        <w:t xml:space="preserve">Full Text: </w:t>
      </w:r>
      <w:hyperlink r:id="rId317" w:history="1">
        <w:r w:rsidR="00DB1C71" w:rsidRPr="00DB1C71">
          <w:rPr>
            <w:rStyle w:val="a5"/>
            <w:kern w:val="0"/>
          </w:rPr>
          <w:t>2011\Age Age40, 423.pdf</w:t>
        </w:r>
      </w:hyperlink>
    </w:p>
    <w:p w:rsidR="00AA56FA" w:rsidRDefault="00AA56FA" w:rsidP="00AA56FA">
      <w:pPr>
        <w:pStyle w:val="a3"/>
        <w:rPr>
          <w:kern w:val="0"/>
        </w:rPr>
      </w:pPr>
      <w:r>
        <w:rPr>
          <w:kern w:val="0"/>
        </w:rPr>
        <w:t>Abstract: Methods: a literature search was conducted to review articles describing</w:t>
      </w:r>
      <w:r w:rsidR="003A1917">
        <w:rPr>
          <w:kern w:val="0"/>
        </w:rPr>
        <w:t xml:space="preserve"> the </w:t>
      </w:r>
      <w:r>
        <w:rPr>
          <w:kern w:val="0"/>
        </w:rPr>
        <w:t>measurement</w:t>
      </w:r>
      <w:r w:rsidR="00427468">
        <w:rPr>
          <w:kern w:val="0"/>
        </w:rPr>
        <w:t xml:space="preserve"> of </w:t>
      </w:r>
      <w:r>
        <w:rPr>
          <w:kern w:val="0"/>
        </w:rPr>
        <w:t xml:space="preserve">grip strength listed in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Cochrane Library databases up to 31 December 2009. Results: there is wide variability in</w:t>
      </w:r>
      <w:r w:rsidR="003A1917">
        <w:rPr>
          <w:kern w:val="0"/>
        </w:rPr>
        <w:t xml:space="preserve"> the </w:t>
      </w:r>
      <w:r>
        <w:rPr>
          <w:kern w:val="0"/>
        </w:rPr>
        <w:t>choice</w:t>
      </w:r>
      <w:r w:rsidR="00427468">
        <w:rPr>
          <w:kern w:val="0"/>
        </w:rPr>
        <w:t xml:space="preserve"> of </w:t>
      </w:r>
      <w:r>
        <w:rPr>
          <w:kern w:val="0"/>
        </w:rPr>
        <w:t>equipment</w:t>
      </w:r>
      <w:r w:rsidR="005853A9">
        <w:rPr>
          <w:kern w:val="0"/>
        </w:rPr>
        <w:t xml:space="preserve"> and </w:t>
      </w:r>
      <w:r>
        <w:rPr>
          <w:kern w:val="0"/>
        </w:rPr>
        <w:t>protocol for measuring grip strength</w:t>
      </w:r>
      <w:r w:rsidR="00A37C1D">
        <w:rPr>
          <w:kern w:val="0"/>
        </w:rPr>
        <w:t>. The</w:t>
      </w:r>
      <w:r w:rsidR="003A1917">
        <w:rPr>
          <w:kern w:val="0"/>
        </w:rPr>
        <w:t xml:space="preserve"> </w:t>
      </w:r>
      <w:r>
        <w:rPr>
          <w:kern w:val="0"/>
        </w:rPr>
        <w:t>Jamar hand dynamometer is</w:t>
      </w:r>
      <w:r w:rsidR="003A1917">
        <w:rPr>
          <w:kern w:val="0"/>
        </w:rPr>
        <w:t xml:space="preserve"> the </w:t>
      </w:r>
      <w:r>
        <w:rPr>
          <w:kern w:val="0"/>
        </w:rPr>
        <w:t>most widely used instrument with established test-retest, inter-rater</w:t>
      </w:r>
      <w:r w:rsidR="005853A9">
        <w:rPr>
          <w:kern w:val="0"/>
        </w:rPr>
        <w:t xml:space="preserve"> and </w:t>
      </w:r>
      <w:r>
        <w:rPr>
          <w:kern w:val="0"/>
        </w:rPr>
        <w:t>intra-rater reliability. However, there is considerable variation in how it is used</w:t>
      </w:r>
      <w:r w:rsidR="005853A9">
        <w:rPr>
          <w:kern w:val="0"/>
        </w:rPr>
        <w:t xml:space="preserve"> and </w:t>
      </w:r>
      <w:r>
        <w:rPr>
          <w:kern w:val="0"/>
        </w:rPr>
        <w:t>studies often provide insufficient information on</w:t>
      </w:r>
      <w:r w:rsidR="003A1917">
        <w:rPr>
          <w:kern w:val="0"/>
        </w:rPr>
        <w:t xml:space="preserve"> the </w:t>
      </w:r>
      <w:r>
        <w:rPr>
          <w:kern w:val="0"/>
        </w:rPr>
        <w:t>protocol followed making comparisons difficult</w:t>
      </w:r>
      <w:r w:rsidR="00A37C1D">
        <w:rPr>
          <w:kern w:val="0"/>
        </w:rPr>
        <w:t>. The</w:t>
      </w:r>
      <w:r>
        <w:rPr>
          <w:kern w:val="0"/>
        </w:rPr>
        <w:t>re is evidence that variation in approach can affect</w:t>
      </w:r>
      <w:r w:rsidR="003A1917">
        <w:rPr>
          <w:kern w:val="0"/>
        </w:rPr>
        <w:t xml:space="preserve"> the </w:t>
      </w:r>
      <w:r>
        <w:rPr>
          <w:kern w:val="0"/>
        </w:rPr>
        <w:t>values recorded. Furthermore, reported summary measures</w:t>
      </w:r>
      <w:r w:rsidR="00427468">
        <w:rPr>
          <w:kern w:val="0"/>
        </w:rPr>
        <w:t xml:space="preserve"> of </w:t>
      </w:r>
      <w:r>
        <w:rPr>
          <w:kern w:val="0"/>
        </w:rPr>
        <w:t>grip strength vary widely including maximum or mean value, from one, two or three attempts, with either hand or</w:t>
      </w:r>
      <w:r w:rsidR="003A1917">
        <w:rPr>
          <w:kern w:val="0"/>
        </w:rPr>
        <w:t xml:space="preserve"> the </w:t>
      </w:r>
      <w:r>
        <w:rPr>
          <w:kern w:val="0"/>
        </w:rPr>
        <w:t>dominant hand alone. Conclusions: there is considerable variation in current methods</w:t>
      </w:r>
      <w:r w:rsidR="00427468">
        <w:rPr>
          <w:kern w:val="0"/>
        </w:rPr>
        <w:t xml:space="preserve"> of </w:t>
      </w:r>
      <w:r>
        <w:rPr>
          <w:kern w:val="0"/>
        </w:rPr>
        <w:t>assessing grip strength which makes comparison between studies difficult. A standardised method would enable more consistent measurement</w:t>
      </w:r>
      <w:r w:rsidR="00427468">
        <w:rPr>
          <w:kern w:val="0"/>
        </w:rPr>
        <w:t xml:space="preserve"> of </w:t>
      </w:r>
      <w:r>
        <w:rPr>
          <w:kern w:val="0"/>
        </w:rPr>
        <w:t>grip strength</w:t>
      </w:r>
      <w:r w:rsidR="005853A9">
        <w:rPr>
          <w:kern w:val="0"/>
        </w:rPr>
        <w:t xml:space="preserve"> and </w:t>
      </w:r>
      <w:r>
        <w:rPr>
          <w:kern w:val="0"/>
        </w:rPr>
        <w:t>better assessment</w:t>
      </w:r>
      <w:r w:rsidR="00427468">
        <w:rPr>
          <w:kern w:val="0"/>
        </w:rPr>
        <w:t xml:space="preserve"> of </w:t>
      </w:r>
      <w:r>
        <w:rPr>
          <w:kern w:val="0"/>
        </w:rPr>
        <w:t>sarcopenia. Our approach is described.</w:t>
      </w:r>
    </w:p>
    <w:p w:rsidR="00AA56FA" w:rsidRDefault="00AA56FA" w:rsidP="00AA56FA">
      <w:pPr>
        <w:pStyle w:val="a3"/>
        <w:rPr>
          <w:kern w:val="0"/>
        </w:rPr>
      </w:pPr>
      <w:r>
        <w:rPr>
          <w:kern w:val="0"/>
        </w:rPr>
        <w:t xml:space="preserve">Keywords: Assessment, Cochrane, Databases, Elbow, Elderly, Grip Strength, Hand Strength, Information, Literature, Measurement, Metaanalysis, Methods, Mortality, Physical Capability, Pinch Strength, Position, Protocol, Reference Values, Reliability, Review, Sarcopenia, Sarcopenia, Science, Variability, </w:t>
      </w:r>
      <w:r w:rsidR="00D5664A">
        <w:rPr>
          <w:kern w:val="0"/>
        </w:rPr>
        <w:t>Web</w:t>
      </w:r>
      <w:r w:rsidR="00427468">
        <w:rPr>
          <w:kern w:val="0"/>
        </w:rPr>
        <w:t xml:space="preserve"> of </w:t>
      </w:r>
      <w:r w:rsidR="00D5664A">
        <w:rPr>
          <w:kern w:val="0"/>
        </w:rPr>
        <w:t>Science</w:t>
      </w:r>
    </w:p>
    <w:p w:rsidR="00FB61C2" w:rsidRDefault="00FB61C2" w:rsidP="00FB61C2">
      <w:pPr>
        <w:pStyle w:val="a3"/>
        <w:rPr>
          <w:kern w:val="0"/>
        </w:rPr>
      </w:pPr>
      <w:r>
        <w:rPr>
          <w:kern w:val="0"/>
        </w:rPr>
        <w:t xml:space="preserve">? Ahmed, S., Leurent, B. and Sampson, E.L. (2014), Risk factors for incident delirium among older people in acute hospital medical units: A systematic review and meta-analysis. </w:t>
      </w:r>
      <w:r>
        <w:rPr>
          <w:i/>
          <w:iCs/>
          <w:kern w:val="0"/>
        </w:rPr>
        <w:t>Age and Ageing</w:t>
      </w:r>
      <w:r>
        <w:rPr>
          <w:kern w:val="0"/>
        </w:rPr>
        <w:t xml:space="preserve">, </w:t>
      </w:r>
      <w:r>
        <w:rPr>
          <w:b/>
          <w:bCs/>
          <w:kern w:val="0"/>
        </w:rPr>
        <w:t>43</w:t>
      </w:r>
      <w:r>
        <w:rPr>
          <w:kern w:val="0"/>
        </w:rPr>
        <w:t xml:space="preserve"> (3), 326-333.</w:t>
      </w:r>
    </w:p>
    <w:p w:rsidR="00FB61C2" w:rsidRPr="001A3D2B" w:rsidRDefault="00FB61C2" w:rsidP="00FB61C2">
      <w:pPr>
        <w:pStyle w:val="a3"/>
        <w:rPr>
          <w:kern w:val="0"/>
        </w:rPr>
      </w:pPr>
      <w:r w:rsidRPr="001A3D2B">
        <w:rPr>
          <w:kern w:val="0"/>
        </w:rPr>
        <w:t xml:space="preserve">Full Text: </w:t>
      </w:r>
      <w:hyperlink r:id="rId318" w:history="1">
        <w:r w:rsidRPr="00F42CDD">
          <w:rPr>
            <w:rStyle w:val="a5"/>
            <w:kern w:val="0"/>
          </w:rPr>
          <w:t>2014\Age Age43, 326.pdf</w:t>
        </w:r>
      </w:hyperlink>
    </w:p>
    <w:p w:rsidR="00FB61C2" w:rsidRDefault="00FB61C2" w:rsidP="00FB61C2">
      <w:pPr>
        <w:pStyle w:val="a3"/>
        <w:rPr>
          <w:kern w:val="0"/>
        </w:rPr>
      </w:pPr>
      <w:r>
        <w:rPr>
          <w:kern w:val="0"/>
        </w:rPr>
        <w:t xml:space="preserve">Abstract: Background: delirium affects up to 40% of older hospitalised patients, but there has been no systematic review focussing on risk factors for incident delirium in </w:t>
      </w:r>
      <w:r>
        <w:rPr>
          <w:kern w:val="0"/>
        </w:rPr>
        <w:lastRenderedPageBreak/>
        <w:t>older medical inpatients. We aimed to synthesise data on risk factors for incident delirium and where possible conduct meta-analysis of these. Methods: PubMed and Web of Science databases were searched (January 1987-August 2013). Studies were quality rated using the Newcastle-Ottawa Scale. We used the Mantel-Haenszel and inverse variance method to estimate the pooled odds ratio (OR) or mean difference for individual risk factors. Results: eleven articles met inclusion criteria and were included for review. Total study population 2338 (411 patients with delirium/1927 controls)</w:t>
      </w:r>
      <w:r w:rsidR="00A37C1D">
        <w:rPr>
          <w:kern w:val="0"/>
        </w:rPr>
        <w:t>. The</w:t>
      </w:r>
      <w:r>
        <w:rPr>
          <w:kern w:val="0"/>
        </w:rPr>
        <w:t xml:space="preserve"> commonest factors significantly associated with delirium were dementia, older age, co-morbid illness, severity of medical illness, infection, </w:t>
      </w:r>
      <w:r w:rsidR="00700038">
        <w:rPr>
          <w:kern w:val="0"/>
        </w:rPr>
        <w:t>‘</w:t>
      </w:r>
      <w:r>
        <w:rPr>
          <w:kern w:val="0"/>
        </w:rPr>
        <w:t>high-risk</w:t>
      </w:r>
      <w:r w:rsidR="00700038">
        <w:rPr>
          <w:kern w:val="0"/>
        </w:rPr>
        <w:t>’</w:t>
      </w:r>
      <w:r>
        <w:rPr>
          <w:kern w:val="0"/>
        </w:rPr>
        <w:t xml:space="preserve"> medication use, diminished activities of daily living, immobility, sensory impairment, urinary catheterisation, urea and electrolyte imbalance and malnutrition. In pooled analyses, dementia (OR 6.62; 95% CI (confidence interval) 4.30, 10.19), illness severity (APACHE II) (MD (mean difference) 3.91; 95% CI 2.22, 5.59), visual impairment (OR 1.89; 95% CI 1.03, 3.47), urinary catheterisation (OR 3.16; 95% CI 1.26, 7.92), low albumin level (MD -3.14; 95% CI -5.99, -0.29) and length of hospital stay (OR 4.85; 95% CI 2.20, 7.50) were statistically significantly associated with delirium. Conclusion: we identified risk factors consistently associated with incident delirium following admission</w:t>
      </w:r>
      <w:r w:rsidR="00A37C1D">
        <w:rPr>
          <w:kern w:val="0"/>
        </w:rPr>
        <w:t>. The</w:t>
      </w:r>
      <w:r>
        <w:rPr>
          <w:kern w:val="0"/>
        </w:rPr>
        <w:t>se factors help to highlight older acute medical inpatients at risk of developing delirium during their hospital stay.</w:t>
      </w:r>
    </w:p>
    <w:p w:rsidR="00FB61C2" w:rsidRDefault="00FB61C2" w:rsidP="00FB61C2">
      <w:pPr>
        <w:pStyle w:val="a3"/>
        <w:rPr>
          <w:kern w:val="0"/>
        </w:rPr>
      </w:pPr>
      <w:r>
        <w:rPr>
          <w:kern w:val="0"/>
        </w:rPr>
        <w:t>Keywords: Admission, Age, Albumin, Analyses, Apache-Ii, Articles, Care, Confidence, Confusion, Criteria, Data, Databases, Delirium, Dementia, Developing, Hospital, Hospital Stay, Hospitalised, Illness Severity, Infection, Inpatients, Interval, Length, Living, Malnutrition, Medical, Medical Unit, Meta Analysis, Meta-Analysis, Metaanalysis, Methods, Odds Ratio, Older People, Patients, Population, Predictive Model, Pubmed, Quality, Results, Review, Risk, Risk Factors, Scale, Science, Sensory Impairment, Systematic, Systematic Review, Urinary, Validation, Web Of Science, Web Of Science Databases</w:t>
      </w:r>
    </w:p>
    <w:p w:rsidR="00062B2E" w:rsidRDefault="00062B2E" w:rsidP="00062B2E">
      <w:pPr>
        <w:pStyle w:val="a3"/>
        <w:rPr>
          <w:kern w:val="0"/>
        </w:rPr>
      </w:pPr>
      <w:r>
        <w:rPr>
          <w:rFonts w:hint="eastAsia"/>
          <w:kern w:val="0"/>
        </w:rPr>
        <w:t xml:space="preserve">? </w:t>
      </w:r>
      <w:r>
        <w:rPr>
          <w:kern w:val="0"/>
        </w:rPr>
        <w:t xml:space="preserve">Wang, X.Q., Pi, Y.L., Chen, P.J., Liu, Y., Wang, R. and Chan, C. (2015), Cognitive motor interference for preventing falls in older adults: A systematic review and meta-analysis of randomised controlled trials. </w:t>
      </w:r>
      <w:r>
        <w:rPr>
          <w:i/>
          <w:iCs/>
          <w:kern w:val="0"/>
        </w:rPr>
        <w:t>Age and Ageing</w:t>
      </w:r>
      <w:r>
        <w:rPr>
          <w:kern w:val="0"/>
        </w:rPr>
        <w:t xml:space="preserve">, </w:t>
      </w:r>
      <w:r>
        <w:rPr>
          <w:b/>
          <w:bCs/>
          <w:kern w:val="0"/>
        </w:rPr>
        <w:t>44</w:t>
      </w:r>
      <w:r>
        <w:rPr>
          <w:kern w:val="0"/>
        </w:rPr>
        <w:t xml:space="preserve"> (2), 205-212.</w:t>
      </w:r>
    </w:p>
    <w:p w:rsidR="00062B2E" w:rsidRPr="001A3D2B" w:rsidRDefault="00062B2E" w:rsidP="00062B2E">
      <w:pPr>
        <w:pStyle w:val="a3"/>
        <w:rPr>
          <w:kern w:val="0"/>
        </w:rPr>
      </w:pPr>
      <w:r w:rsidRPr="001A3D2B">
        <w:rPr>
          <w:kern w:val="0"/>
        </w:rPr>
        <w:t xml:space="preserve">Full Text: </w:t>
      </w:r>
      <w:hyperlink r:id="rId319" w:history="1">
        <w:r w:rsidRPr="004855ED">
          <w:rPr>
            <w:rStyle w:val="a5"/>
            <w:kern w:val="0"/>
          </w:rPr>
          <w:t>2015\Age Age44, 205.pdf</w:t>
        </w:r>
      </w:hyperlink>
    </w:p>
    <w:p w:rsidR="00062B2E" w:rsidRDefault="00062B2E" w:rsidP="00062B2E">
      <w:pPr>
        <w:pStyle w:val="a3"/>
        <w:rPr>
          <w:kern w:val="0"/>
        </w:rPr>
      </w:pPr>
      <w:r>
        <w:rPr>
          <w:kern w:val="0"/>
        </w:rPr>
        <w:t xml:space="preserve">Abstract: Objective: we conducted a systematic review to determine the effect of cognitive motor interference (CMI) for the prevention of falls in older adults. Methods: we searched studies through Medline, Embase, the Cochrane Library, Web of Science, CINAHL, PEDro and the China Biology Medicine disc. Only randomised controlled trials examining the effects of CMI for older people were included. The primary outcome measure was falls; the secondary outcome measures included gait, balance function and reaction time. Results: a total of 30 studies of </w:t>
      </w:r>
      <w:r>
        <w:rPr>
          <w:kern w:val="0"/>
        </w:rPr>
        <w:lastRenderedPageBreak/>
        <w:t>1,206 participants met the inclusion criteria, and 27 studies of 1,165 participants were used as data sources for the meta-analyses. The pooling revealed that CMI was superior to control group for fall rate [standard mean difference (SMD) (95% CI) = -3.03 (-4.33, -1.73), P &lt; 0.0001], gait speed [SMD (95% CI) = 0.36 (0.07, 0.66), P = 0.01], step length [SMD (95% CI) = 0.48 (0.16, 0.80), P = 0.003], cadence [SMD (95% CI) = 0.19 (0.01, 0.36), P = 0.03], timed up and go test [SMD (95% CI) = -0.22 (-0.38, -0.06), P = 0.007], centre of pressure displacement [SMD (95% CI) = -0.32 (-1.06, 0.43), P = 0.04] and reaction time [SMD (95% CI) = -0.47 (-0.86, -0.08), P = 0.02]. Conclusion: the systematic review demonstrates that CMI is effective for preventing falls in older adults in the short term. However, there is, as yet, little evidence to support claims regarding long-term benefits. Hence, future studies should investigate the long-term effectiveness of CMI in terms of fall prevention in older adults.</w:t>
      </w:r>
    </w:p>
    <w:p w:rsidR="00062B2E" w:rsidRDefault="00062B2E" w:rsidP="00062B2E">
      <w:pPr>
        <w:pStyle w:val="a3"/>
        <w:rPr>
          <w:kern w:val="0"/>
        </w:rPr>
      </w:pPr>
      <w:r>
        <w:rPr>
          <w:kern w:val="0"/>
        </w:rPr>
        <w:t>Keywords: Adults, Balance, Balance, Benefits, Biology, China, Cognitive, Cognitive Motor Interference, Control, Criteria, Data, Displacement, Dual-Task Conditions, Dynamics, Effectiveness, Effects, Elderly-People, Evidence, Exercise, Fall Prevention, Falls, Function, Gait, Gait, Injuries, Interventions, Length, Library, Long Term, Long-Term, Mar, Measure, Measures, Medicine, Medline, Meta Analysis, Meta-Analyses, Meta-Analysis, Metaanalysis, Methods, Older, Older Adults, Older People, Outcome, Outcome Measure, Outcome Measures, P, Performance, Pressure, Prevention, Primary, Randomised, Randomised Controlled Trials, Results, Review, Science, Single-Task, Sources, Support, Systematic, Systematic Review, Term, Web, Web Of Science</w:t>
      </w:r>
    </w:p>
    <w:p w:rsidR="003474F2" w:rsidRPr="001A3D2B" w:rsidRDefault="003474F2" w:rsidP="003474F2">
      <w:pPr>
        <w:pStyle w:val="1"/>
      </w:pPr>
      <w:r w:rsidRPr="001A3D2B">
        <w:br w:type="page"/>
      </w:r>
      <w:bookmarkStart w:id="162" w:name="_Toc81215580"/>
      <w:bookmarkStart w:id="163" w:name="_Toc420814334"/>
      <w:r w:rsidRPr="001A3D2B">
        <w:lastRenderedPageBreak/>
        <w:t>Title: Ageing</w:t>
      </w:r>
      <w:r w:rsidR="005853A9">
        <w:t xml:space="preserve"> and </w:t>
      </w:r>
      <w:r w:rsidRPr="001A3D2B">
        <w:t>Society</w:t>
      </w:r>
      <w:bookmarkEnd w:id="162"/>
      <w:bookmarkEnd w:id="163"/>
    </w:p>
    <w:p w:rsidR="003474F2" w:rsidRPr="001A3D2B" w:rsidRDefault="003474F2" w:rsidP="003474F2">
      <w:pPr>
        <w:pStyle w:val="12"/>
      </w:pPr>
      <w:r w:rsidRPr="001A3D2B">
        <w:t xml:space="preserve">Full Journal Title: </w:t>
      </w:r>
      <w:hyperlink r:id="rId320" w:history="1">
        <w:r w:rsidRPr="001A3D2B">
          <w:rPr>
            <w:rStyle w:val="a5"/>
          </w:rPr>
          <w:t>Ageing</w:t>
        </w:r>
        <w:r w:rsidR="005853A9">
          <w:rPr>
            <w:rStyle w:val="a5"/>
          </w:rPr>
          <w:t xml:space="preserve"> and </w:t>
        </w:r>
        <w:r w:rsidRPr="001A3D2B">
          <w:rPr>
            <w:rStyle w:val="a5"/>
          </w:rPr>
          <w:t>Society</w:t>
        </w:r>
      </w:hyperlink>
    </w:p>
    <w:p w:rsidR="003474F2" w:rsidRPr="001A3D2B" w:rsidRDefault="003474F2" w:rsidP="003474F2">
      <w:pPr>
        <w:pStyle w:val="12"/>
      </w:pPr>
      <w:r w:rsidRPr="001A3D2B">
        <w:t>ISO Abbreviated Title: Ageing Soc.</w:t>
      </w:r>
    </w:p>
    <w:p w:rsidR="003474F2" w:rsidRPr="001A3D2B" w:rsidRDefault="003474F2" w:rsidP="003474F2">
      <w:pPr>
        <w:pStyle w:val="12"/>
      </w:pPr>
      <w:r w:rsidRPr="001A3D2B">
        <w:t>JCR Abbreviated Title: Ageing Soc</w:t>
      </w:r>
    </w:p>
    <w:p w:rsidR="003474F2" w:rsidRPr="001A3D2B" w:rsidRDefault="003474F2" w:rsidP="003474F2">
      <w:pPr>
        <w:pStyle w:val="12"/>
      </w:pPr>
      <w:r w:rsidRPr="001A3D2B">
        <w:t>ISSN: 0144-686x</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City">
          <w:r w:rsidRPr="001A3D2B">
            <w:t>Cambridge</w:t>
          </w:r>
        </w:smartTag>
      </w:smartTag>
      <w:r w:rsidRPr="001A3D2B">
        <w:t xml:space="preserve"> Univ Press</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40 West 20th St</w:t>
          </w:r>
        </w:smartTag>
        <w:r w:rsidRPr="001A3D2B">
          <w:t xml:space="preserve">, </w:t>
        </w:r>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10011-4221</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Gerontology: Impact Factor 0.542/(2002)</w:t>
      </w:r>
    </w:p>
    <w:p w:rsidR="003474F2" w:rsidRPr="001A3D2B" w:rsidRDefault="003474F2" w:rsidP="003474F2">
      <w:pPr>
        <w:pStyle w:val="a3"/>
      </w:pPr>
      <w:r w:rsidRPr="001A3D2B">
        <w:t>? Warnes, A.M. (1993), Being old, old-people</w:t>
      </w:r>
      <w:r w:rsidR="005853A9">
        <w:t xml:space="preserve"> and </w:t>
      </w:r>
      <w:r w:rsidR="003A1917">
        <w:t xml:space="preserve">the </w:t>
      </w:r>
      <w:r w:rsidRPr="001A3D2B">
        <w:t>burdens</w:t>
      </w:r>
      <w:r w:rsidR="00427468">
        <w:t xml:space="preserve"> of </w:t>
      </w:r>
      <w:r w:rsidRPr="001A3D2B">
        <w:t xml:space="preserve">burden. </w:t>
      </w:r>
      <w:r w:rsidRPr="001A3D2B">
        <w:rPr>
          <w:i/>
          <w:iCs/>
        </w:rPr>
        <w:t>Ageing</w:t>
      </w:r>
      <w:r w:rsidR="005853A9">
        <w:rPr>
          <w:i/>
          <w:iCs/>
        </w:rPr>
        <w:t xml:space="preserve"> and </w:t>
      </w:r>
      <w:r w:rsidRPr="001A3D2B">
        <w:rPr>
          <w:i/>
          <w:iCs/>
        </w:rPr>
        <w:t>Society</w:t>
      </w:r>
      <w:r w:rsidRPr="001A3D2B">
        <w:t xml:space="preserve">, </w:t>
      </w:r>
      <w:r w:rsidRPr="001A3D2B">
        <w:rPr>
          <w:b/>
          <w:bCs/>
        </w:rPr>
        <w:t>13</w:t>
      </w:r>
      <w:r w:rsidRPr="001A3D2B">
        <w:t>, 297-338.</w:t>
      </w:r>
    </w:p>
    <w:p w:rsidR="003474F2" w:rsidRPr="001A3D2B" w:rsidRDefault="003474F2" w:rsidP="003474F2">
      <w:pPr>
        <w:pStyle w:val="a3"/>
      </w:pPr>
      <w:r w:rsidRPr="001A3D2B">
        <w:t>Abstract: Burden is today often applied to elderly people in two senses, for</w:t>
      </w:r>
      <w:r w:rsidR="003A1917">
        <w:t xml:space="preserve"> the </w:t>
      </w:r>
      <w:r w:rsidRPr="001A3D2B">
        <w:t>fiscal load</w:t>
      </w:r>
      <w:r w:rsidR="00427468">
        <w:t xml:space="preserve"> of </w:t>
      </w:r>
      <w:r w:rsidRPr="001A3D2B">
        <w:t>income support</w:t>
      </w:r>
      <w:r w:rsidR="005853A9">
        <w:t xml:space="preserve"> and </w:t>
      </w:r>
      <w:r w:rsidRPr="001A3D2B">
        <w:t>health</w:t>
      </w:r>
      <w:r w:rsidR="005853A9">
        <w:t xml:space="preserve"> and </w:t>
      </w:r>
      <w:r w:rsidRPr="001A3D2B">
        <w:t>social care costs,</w:t>
      </w:r>
      <w:r w:rsidR="005853A9">
        <w:t xml:space="preserve"> and </w:t>
      </w:r>
      <w:r w:rsidRPr="001A3D2B">
        <w:t>for notions</w:t>
      </w:r>
      <w:r w:rsidR="005853A9">
        <w:t xml:space="preserve"> and </w:t>
      </w:r>
      <w:r w:rsidRPr="001A3D2B">
        <w:t>scales</w:t>
      </w:r>
      <w:r w:rsidR="00427468">
        <w:t xml:space="preserve"> of </w:t>
      </w:r>
      <w:r w:rsidRPr="001A3D2B">
        <w:t>care-giving effort</w:t>
      </w:r>
      <w:r w:rsidR="005853A9">
        <w:t xml:space="preserve"> and </w:t>
      </w:r>
      <w:r w:rsidRPr="001A3D2B">
        <w:t>stress. It does not however convey straightforward meanings for its understanding is affected by two millenia</w:t>
      </w:r>
      <w:r w:rsidR="00427468">
        <w:t xml:space="preserve"> of </w:t>
      </w:r>
      <w:r w:rsidRPr="001A3D2B">
        <w:t>metaphorical</w:t>
      </w:r>
      <w:r w:rsidR="005853A9">
        <w:t xml:space="preserve"> and </w:t>
      </w:r>
      <w:r w:rsidRPr="001A3D2B">
        <w:t xml:space="preserve">rhetorical </w:t>
      </w:r>
      <w:r w:rsidR="00D5664A">
        <w:t>USA</w:t>
      </w:r>
      <w:r w:rsidRPr="001A3D2B">
        <w:t>ge</w:t>
      </w:r>
      <w:r w:rsidR="00A37C1D">
        <w:t>. The</w:t>
      </w:r>
      <w:r w:rsidR="003A1917">
        <w:t xml:space="preserve"> </w:t>
      </w:r>
      <w:r w:rsidRPr="001A3D2B">
        <w:t>use</w:t>
      </w:r>
      <w:r w:rsidR="00427468">
        <w:t xml:space="preserve"> of </w:t>
      </w:r>
      <w:r w:rsidRPr="001A3D2B">
        <w:t>burden tends to simplify relationships, whether between age-groups</w:t>
      </w:r>
      <w:r w:rsidR="00427468">
        <w:t xml:space="preserve"> of </w:t>
      </w:r>
      <w:r w:rsidRPr="001A3D2B">
        <w:t>a population or between a carer</w:t>
      </w:r>
      <w:r w:rsidR="005853A9">
        <w:t xml:space="preserve"> and </w:t>
      </w:r>
      <w:r w:rsidRPr="001A3D2B">
        <w:t>an elderly person,</w:t>
      </w:r>
      <w:r w:rsidR="005853A9">
        <w:t xml:space="preserve"> and </w:t>
      </w:r>
      <w:r w:rsidRPr="001A3D2B">
        <w:t>it communicates senses</w:t>
      </w:r>
      <w:r w:rsidR="00427468">
        <w:t xml:space="preserve"> of </w:t>
      </w:r>
      <w:r w:rsidRPr="001A3D2B">
        <w:t>a nuisance</w:t>
      </w:r>
      <w:r w:rsidR="005853A9">
        <w:t xml:space="preserve"> and </w:t>
      </w:r>
      <w:r w:rsidRPr="001A3D2B">
        <w:t>an excessive charge. Portentous implications are invoked from biblical senses</w:t>
      </w:r>
      <w:r w:rsidR="005853A9">
        <w:t xml:space="preserve"> and </w:t>
      </w:r>
      <w:r w:rsidRPr="001A3D2B">
        <w:t>derogatory overtones are strengthened by association, earlier this century, with racial stereotyping. An etymological survey reveals many sources</w:t>
      </w:r>
      <w:r w:rsidR="00427468">
        <w:t xml:space="preserve"> of </w:t>
      </w:r>
      <w:r w:rsidR="003A1917">
        <w:t xml:space="preserve">the </w:t>
      </w:r>
      <w:r w:rsidRPr="001A3D2B">
        <w:t>word</w:t>
      </w:r>
      <w:r w:rsidR="00700038">
        <w:t>’</w:t>
      </w:r>
      <w:r w:rsidR="00C13DDC">
        <w:t>s</w:t>
      </w:r>
      <w:r w:rsidRPr="001A3D2B">
        <w:t xml:space="preserve"> versatility</w:t>
      </w:r>
      <w:r w:rsidR="005853A9">
        <w:t xml:space="preserve"> and </w:t>
      </w:r>
      <w:r w:rsidRPr="001A3D2B">
        <w:t>rhetorical power. Important extensions</w:t>
      </w:r>
      <w:r w:rsidR="00427468">
        <w:t xml:space="preserve"> of </w:t>
      </w:r>
      <w:r w:rsidR="00D5664A">
        <w:t>USA</w:t>
      </w:r>
      <w:r w:rsidRPr="001A3D2B">
        <w:t>ge towards</w:t>
      </w:r>
      <w:r w:rsidR="003A1917">
        <w:t xml:space="preserve"> the </w:t>
      </w:r>
      <w:r w:rsidRPr="001A3D2B">
        <w:t>two contemporary gerontological applications are then studied. A bibliometric examination</w:t>
      </w:r>
      <w:r w:rsidR="00427468">
        <w:t xml:space="preserve"> of </w:t>
      </w:r>
      <w:r w:rsidR="003A1917">
        <w:t xml:space="preserve">the </w:t>
      </w:r>
      <w:r w:rsidRPr="001A3D2B">
        <w:t>surge in</w:t>
      </w:r>
      <w:r w:rsidR="003A1917">
        <w:t xml:space="preserve"> the </w:t>
      </w:r>
      <w:r w:rsidRPr="001A3D2B">
        <w:t>word</w:t>
      </w:r>
      <w:r w:rsidR="00700038">
        <w:t>’</w:t>
      </w:r>
      <w:r w:rsidR="00C13DDC">
        <w:t>s</w:t>
      </w:r>
      <w:r w:rsidRPr="001A3D2B">
        <w:t xml:space="preserve"> social science use since</w:t>
      </w:r>
      <w:r w:rsidR="003A1917">
        <w:t xml:space="preserve"> the </w:t>
      </w:r>
      <w:r w:rsidRPr="001A3D2B">
        <w:t>early 1980s is undertaken,</w:t>
      </w:r>
      <w:r w:rsidR="005853A9">
        <w:t xml:space="preserve"> and </w:t>
      </w:r>
      <w:r w:rsidR="003A1917">
        <w:t xml:space="preserve">the </w:t>
      </w:r>
      <w:r w:rsidRPr="001A3D2B">
        <w:t>paper concludes with a discussion</w:t>
      </w:r>
      <w:r w:rsidR="00427468">
        <w:t xml:space="preserve"> of </w:t>
      </w:r>
      <w:r w:rsidRPr="001A3D2B">
        <w:t xml:space="preserve">current </w:t>
      </w:r>
      <w:r w:rsidR="00D5664A">
        <w:t>USA</w:t>
      </w:r>
      <w:r w:rsidRPr="001A3D2B">
        <w:t>ge as evidence</w:t>
      </w:r>
      <w:r w:rsidR="00427468">
        <w:t xml:space="preserve"> of </w:t>
      </w:r>
      <w:r w:rsidRPr="001A3D2B">
        <w:t>current attitudes towards,</w:t>
      </w:r>
      <w:r w:rsidR="005853A9">
        <w:t xml:space="preserve"> and </w:t>
      </w:r>
      <w:r w:rsidRPr="001A3D2B">
        <w:t>constructions of, old age on</w:t>
      </w:r>
      <w:r w:rsidR="003A1917">
        <w:t xml:space="preserve"> the </w:t>
      </w:r>
      <w:r w:rsidRPr="001A3D2B">
        <w:t>part</w:t>
      </w:r>
      <w:r w:rsidR="00427468">
        <w:t xml:space="preserve"> of </w:t>
      </w:r>
      <w:r w:rsidRPr="001A3D2B">
        <w:t>politicians</w:t>
      </w:r>
      <w:r w:rsidR="005853A9">
        <w:t xml:space="preserve"> and </w:t>
      </w:r>
      <w:r w:rsidRPr="001A3D2B">
        <w:t>policy analysts.</w:t>
      </w:r>
    </w:p>
    <w:p w:rsidR="003474F2" w:rsidRPr="001A3D2B" w:rsidRDefault="003474F2" w:rsidP="003474F2">
      <w:pPr>
        <w:pStyle w:val="a3"/>
      </w:pPr>
      <w:r w:rsidRPr="001A3D2B">
        <w:t>Keywords: Age, Bibliometric, Caregivers, Dementia</w:t>
      </w:r>
    </w:p>
    <w:p w:rsidR="0003168E" w:rsidRPr="00217FB1" w:rsidRDefault="0003168E" w:rsidP="0003168E">
      <w:pPr>
        <w:pStyle w:val="1"/>
      </w:pPr>
      <w:r>
        <w:br w:type="page"/>
      </w:r>
      <w:bookmarkStart w:id="164" w:name="_Toc307893906"/>
      <w:bookmarkStart w:id="165" w:name="_Toc420814335"/>
      <w:r>
        <w:lastRenderedPageBreak/>
        <w:t xml:space="preserve">Title: </w:t>
      </w:r>
      <w:bookmarkEnd w:id="164"/>
      <w:r w:rsidRPr="0003168E">
        <w:t>Ageing Research Reviews</w:t>
      </w:r>
      <w:bookmarkEnd w:id="165"/>
    </w:p>
    <w:p w:rsidR="0003168E" w:rsidRPr="00217FB1" w:rsidRDefault="0003168E" w:rsidP="0003168E">
      <w:pPr>
        <w:pStyle w:val="12"/>
      </w:pPr>
      <w:r w:rsidRPr="00217FB1">
        <w:t xml:space="preserve">Full Journal Title: </w:t>
      </w:r>
      <w:r w:rsidRPr="0003168E">
        <w:rPr>
          <w:iCs/>
          <w:kern w:val="0"/>
        </w:rPr>
        <w:t>Ageing Research Reviews</w:t>
      </w:r>
    </w:p>
    <w:p w:rsidR="0003168E" w:rsidRPr="00217FB1" w:rsidRDefault="0003168E" w:rsidP="0003168E">
      <w:pPr>
        <w:pStyle w:val="12"/>
      </w:pPr>
      <w:r w:rsidRPr="00217FB1">
        <w:t xml:space="preserve">ISO Abbreviated Title: </w:t>
      </w:r>
    </w:p>
    <w:p w:rsidR="0003168E" w:rsidRPr="00217FB1" w:rsidRDefault="0003168E" w:rsidP="0003168E">
      <w:pPr>
        <w:pStyle w:val="12"/>
      </w:pPr>
      <w:r w:rsidRPr="00217FB1">
        <w:t>JCR Abbreviated Title</w:t>
      </w:r>
      <w:r>
        <w:t>:</w:t>
      </w:r>
      <w:r w:rsidRPr="00217FB1">
        <w:t xml:space="preserve"> </w:t>
      </w:r>
    </w:p>
    <w:p w:rsidR="0003168E" w:rsidRPr="00217FB1" w:rsidRDefault="0003168E" w:rsidP="0003168E">
      <w:pPr>
        <w:pStyle w:val="12"/>
      </w:pPr>
      <w:r>
        <w:t xml:space="preserve">ISSN: </w:t>
      </w:r>
    </w:p>
    <w:p w:rsidR="0003168E" w:rsidRPr="00217FB1" w:rsidRDefault="0003168E" w:rsidP="0003168E">
      <w:pPr>
        <w:pStyle w:val="12"/>
      </w:pPr>
      <w:r w:rsidRPr="00217FB1">
        <w:t xml:space="preserve">Issues/Year: </w:t>
      </w:r>
    </w:p>
    <w:p w:rsidR="0003168E" w:rsidRPr="00217FB1" w:rsidRDefault="0003168E" w:rsidP="0003168E">
      <w:pPr>
        <w:pStyle w:val="12"/>
      </w:pPr>
      <w:r>
        <w:t xml:space="preserve">Journal Country/Territory: </w:t>
      </w:r>
    </w:p>
    <w:p w:rsidR="0003168E" w:rsidRPr="00217FB1" w:rsidRDefault="0003168E" w:rsidP="0003168E">
      <w:pPr>
        <w:pStyle w:val="12"/>
      </w:pPr>
      <w:r w:rsidRPr="00217FB1">
        <w:t xml:space="preserve">Language: </w:t>
      </w:r>
    </w:p>
    <w:p w:rsidR="0003168E" w:rsidRPr="00217FB1" w:rsidRDefault="0003168E" w:rsidP="0003168E">
      <w:pPr>
        <w:pStyle w:val="12"/>
      </w:pPr>
      <w:r w:rsidRPr="00217FB1">
        <w:t xml:space="preserve">Publisher: </w:t>
      </w:r>
    </w:p>
    <w:p w:rsidR="0003168E" w:rsidRPr="00217FB1" w:rsidRDefault="0003168E" w:rsidP="0003168E">
      <w:pPr>
        <w:pStyle w:val="12"/>
      </w:pPr>
      <w:r w:rsidRPr="00217FB1">
        <w:t xml:space="preserve">Publisher Address: </w:t>
      </w:r>
    </w:p>
    <w:p w:rsidR="0003168E" w:rsidRPr="00217FB1" w:rsidRDefault="0003168E" w:rsidP="0003168E">
      <w:pPr>
        <w:pStyle w:val="12"/>
      </w:pPr>
      <w:r w:rsidRPr="00217FB1">
        <w:t>Subject Categories:</w:t>
      </w:r>
    </w:p>
    <w:p w:rsidR="0003168E" w:rsidRPr="00217FB1" w:rsidRDefault="0003168E" w:rsidP="0003168E">
      <w:pPr>
        <w:pStyle w:val="12"/>
      </w:pPr>
      <w:r w:rsidRPr="00217FB1">
        <w:t xml:space="preserve">: Impact Factor </w:t>
      </w:r>
    </w:p>
    <w:p w:rsidR="0003168E" w:rsidRDefault="0003168E" w:rsidP="0003168E">
      <w:pPr>
        <w:pStyle w:val="a3"/>
        <w:rPr>
          <w:kern w:val="0"/>
        </w:rPr>
      </w:pPr>
      <w:r>
        <w:rPr>
          <w:rFonts w:hint="eastAsia"/>
          <w:kern w:val="0"/>
        </w:rPr>
        <w:t xml:space="preserve">? </w:t>
      </w:r>
      <w:r>
        <w:rPr>
          <w:kern w:val="0"/>
        </w:rPr>
        <w:t>Baert, V., Gorus, E., Mets, T., Geerts, C.</w:t>
      </w:r>
      <w:r w:rsidR="005853A9">
        <w:rPr>
          <w:kern w:val="0"/>
        </w:rPr>
        <w:t xml:space="preserve"> and </w:t>
      </w:r>
      <w:r>
        <w:rPr>
          <w:kern w:val="0"/>
        </w:rPr>
        <w:t>Bautmans, I. (2011), Motivators</w:t>
      </w:r>
      <w:r w:rsidR="005853A9">
        <w:rPr>
          <w:kern w:val="0"/>
        </w:rPr>
        <w:t xml:space="preserve"> and </w:t>
      </w:r>
      <w:r>
        <w:rPr>
          <w:kern w:val="0"/>
        </w:rPr>
        <w:t>barriers for physical activity in</w:t>
      </w:r>
      <w:r w:rsidR="003A1917">
        <w:rPr>
          <w:kern w:val="0"/>
        </w:rPr>
        <w:t xml:space="preserve"> the </w:t>
      </w:r>
      <w:r>
        <w:rPr>
          <w:kern w:val="0"/>
        </w:rPr>
        <w:t xml:space="preserve">oldest old: A systematic review. </w:t>
      </w:r>
      <w:r w:rsidRPr="0003168E">
        <w:rPr>
          <w:i/>
          <w:iCs/>
          <w:kern w:val="0"/>
        </w:rPr>
        <w:t>Ageing Research Reviews</w:t>
      </w:r>
      <w:r>
        <w:rPr>
          <w:kern w:val="0"/>
        </w:rPr>
        <w:t xml:space="preserve">, </w:t>
      </w:r>
      <w:r>
        <w:rPr>
          <w:b/>
          <w:bCs/>
          <w:kern w:val="0"/>
        </w:rPr>
        <w:t>10</w:t>
      </w:r>
      <w:r>
        <w:rPr>
          <w:kern w:val="0"/>
        </w:rPr>
        <w:t xml:space="preserve"> (4), 464-474.</w:t>
      </w:r>
    </w:p>
    <w:p w:rsidR="002A68BF" w:rsidRDefault="002A68BF" w:rsidP="0003168E">
      <w:pPr>
        <w:pStyle w:val="a3"/>
        <w:rPr>
          <w:kern w:val="0"/>
        </w:rPr>
      </w:pPr>
      <w:r>
        <w:rPr>
          <w:rFonts w:hint="eastAsia"/>
          <w:kern w:val="0"/>
        </w:rPr>
        <w:t xml:space="preserve">Full Text: </w:t>
      </w:r>
      <w:hyperlink r:id="rId321" w:history="1">
        <w:r w:rsidRPr="002A68BF">
          <w:rPr>
            <w:rStyle w:val="a5"/>
            <w:kern w:val="0"/>
          </w:rPr>
          <w:t>2011\Age Res Rev10, 464.pdf</w:t>
        </w:r>
      </w:hyperlink>
    </w:p>
    <w:p w:rsidR="0003168E" w:rsidRDefault="0003168E" w:rsidP="0003168E">
      <w:pPr>
        <w:pStyle w:val="a3"/>
        <w:rPr>
          <w:kern w:val="0"/>
        </w:rPr>
      </w:pPr>
      <w:r>
        <w:rPr>
          <w:kern w:val="0"/>
        </w:rPr>
        <w:t>Abstract: Worldwide, people engage insufficiently in physical activity, particularly subjects aged 80 years</w:t>
      </w:r>
      <w:r w:rsidR="005853A9">
        <w:rPr>
          <w:kern w:val="0"/>
        </w:rPr>
        <w:t xml:space="preserve"> and </w:t>
      </w:r>
      <w:r>
        <w:rPr>
          <w:kern w:val="0"/>
        </w:rPr>
        <w:t>over. For optimal life-style campaigns, knowledge</w:t>
      </w:r>
      <w:r w:rsidR="00427468">
        <w:rPr>
          <w:kern w:val="0"/>
        </w:rPr>
        <w:t xml:space="preserve"> of </w:t>
      </w:r>
      <w:r>
        <w:rPr>
          <w:kern w:val="0"/>
        </w:rPr>
        <w:t>motivators</w:t>
      </w:r>
      <w:r w:rsidR="005853A9">
        <w:rPr>
          <w:kern w:val="0"/>
        </w:rPr>
        <w:t xml:space="preserve"> and </w:t>
      </w:r>
      <w:r>
        <w:rPr>
          <w:kern w:val="0"/>
        </w:rPr>
        <w:t>barriers for physical activity is mandatory. Given their specific needs, it is conceivable that these would be different for</w:t>
      </w:r>
      <w:r w:rsidR="003A1917">
        <w:rPr>
          <w:kern w:val="0"/>
        </w:rPr>
        <w:t xml:space="preserve"> the </w:t>
      </w:r>
      <w:r>
        <w:rPr>
          <w:kern w:val="0"/>
        </w:rPr>
        <w:t xml:space="preserve">oldest old compared to younger subjects. Pubmed,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Psychinfo were systematically screened for articles reporting motivators</w:t>
      </w:r>
      <w:r w:rsidR="005853A9">
        <w:rPr>
          <w:kern w:val="0"/>
        </w:rPr>
        <w:t xml:space="preserve"> and </w:t>
      </w:r>
      <w:r>
        <w:rPr>
          <w:kern w:val="0"/>
        </w:rPr>
        <w:t>barriers for physical activity. Papers were excluded if data regarding elderly aged &gt;79 years were absent. Forty-four relevant articles were included, involving a total</w:t>
      </w:r>
      <w:r w:rsidR="00427468">
        <w:rPr>
          <w:kern w:val="0"/>
        </w:rPr>
        <w:t xml:space="preserve"> of </w:t>
      </w:r>
      <w:r>
        <w:rPr>
          <w:kern w:val="0"/>
        </w:rPr>
        <w:t>28,583 subjects. Sixty one motivators</w:t>
      </w:r>
      <w:r w:rsidR="005853A9">
        <w:rPr>
          <w:kern w:val="0"/>
        </w:rPr>
        <w:t xml:space="preserve"> and </w:t>
      </w:r>
      <w:r>
        <w:rPr>
          <w:kern w:val="0"/>
        </w:rPr>
        <w:t>59 barriers for physical activity in</w:t>
      </w:r>
      <w:r w:rsidR="003A1917">
        <w:rPr>
          <w:kern w:val="0"/>
        </w:rPr>
        <w:t xml:space="preserve"> the </w:t>
      </w:r>
      <w:r>
        <w:rPr>
          <w:kern w:val="0"/>
        </w:rPr>
        <w:t>elderly were identified, including those who are relevant for persons aged 80 years</w:t>
      </w:r>
      <w:r w:rsidR="005853A9">
        <w:rPr>
          <w:kern w:val="0"/>
        </w:rPr>
        <w:t xml:space="preserve"> and </w:t>
      </w:r>
      <w:r>
        <w:rPr>
          <w:kern w:val="0"/>
        </w:rPr>
        <w:t>over. Based on</w:t>
      </w:r>
      <w:r w:rsidR="003A1917">
        <w:rPr>
          <w:kern w:val="0"/>
        </w:rPr>
        <w:t xml:space="preserve"> the </w:t>
      </w:r>
      <w:r>
        <w:rPr>
          <w:kern w:val="0"/>
        </w:rPr>
        <w:t>results</w:t>
      </w:r>
      <w:r w:rsidR="00427468">
        <w:rPr>
          <w:kern w:val="0"/>
        </w:rPr>
        <w:t xml:space="preserve"> of </w:t>
      </w:r>
      <w:r>
        <w:rPr>
          <w:kern w:val="0"/>
        </w:rPr>
        <w:t>our literature review, we recommend that when promoting physical activity in</w:t>
      </w:r>
      <w:r w:rsidR="003A1917">
        <w:rPr>
          <w:kern w:val="0"/>
        </w:rPr>
        <w:t xml:space="preserve"> the </w:t>
      </w:r>
      <w:r>
        <w:rPr>
          <w:kern w:val="0"/>
        </w:rPr>
        <w:t>oldest old, special attention is paid to</w:t>
      </w:r>
      <w:r w:rsidR="003A1917">
        <w:rPr>
          <w:kern w:val="0"/>
        </w:rPr>
        <w:t xml:space="preserve"> the </w:t>
      </w:r>
      <w:r>
        <w:rPr>
          <w:kern w:val="0"/>
        </w:rPr>
        <w:t>health benefits</w:t>
      </w:r>
      <w:r w:rsidR="00427468">
        <w:rPr>
          <w:kern w:val="0"/>
        </w:rPr>
        <w:t xml:space="preserve"> of </w:t>
      </w:r>
      <w:r>
        <w:rPr>
          <w:kern w:val="0"/>
        </w:rPr>
        <w:t>physical activity, to</w:t>
      </w:r>
      <w:r w:rsidR="003A1917">
        <w:rPr>
          <w:kern w:val="0"/>
        </w:rPr>
        <w:t xml:space="preserve"> the </w:t>
      </w:r>
      <w:r>
        <w:rPr>
          <w:kern w:val="0"/>
        </w:rPr>
        <w:t>subject</w:t>
      </w:r>
      <w:r w:rsidR="00700038">
        <w:rPr>
          <w:kern w:val="0"/>
        </w:rPr>
        <w:t>’</w:t>
      </w:r>
      <w:r>
        <w:rPr>
          <w:kern w:val="0"/>
        </w:rPr>
        <w:t>s fears, individual preferences</w:t>
      </w:r>
      <w:r w:rsidR="005853A9">
        <w:rPr>
          <w:kern w:val="0"/>
        </w:rPr>
        <w:t xml:space="preserve"> and </w:t>
      </w:r>
      <w:r>
        <w:rPr>
          <w:kern w:val="0"/>
        </w:rPr>
        <w:t>social support,</w:t>
      </w:r>
      <w:r w:rsidR="005853A9">
        <w:rPr>
          <w:kern w:val="0"/>
        </w:rPr>
        <w:t xml:space="preserve"> and </w:t>
      </w:r>
      <w:r>
        <w:rPr>
          <w:kern w:val="0"/>
        </w:rPr>
        <w:t>to constraints related to</w:t>
      </w:r>
      <w:r w:rsidR="003A1917">
        <w:rPr>
          <w:kern w:val="0"/>
        </w:rPr>
        <w:t xml:space="preserve"> the </w:t>
      </w:r>
      <w:r>
        <w:rPr>
          <w:kern w:val="0"/>
        </w:rPr>
        <w:t>physical environment. However, no studies were found exclusively describing people aged 80 years</w:t>
      </w:r>
      <w:r w:rsidR="005853A9">
        <w:rPr>
          <w:kern w:val="0"/>
        </w:rPr>
        <w:t xml:space="preserve"> and </w:t>
      </w:r>
      <w:r>
        <w:rPr>
          <w:kern w:val="0"/>
        </w:rPr>
        <w:t>over,</w:t>
      </w:r>
      <w:r w:rsidR="005853A9">
        <w:rPr>
          <w:kern w:val="0"/>
        </w:rPr>
        <w:t xml:space="preserve"> and </w:t>
      </w:r>
      <w:r>
        <w:rPr>
          <w:kern w:val="0"/>
        </w:rPr>
        <w:t>future research is necessary to differentiate</w:t>
      </w:r>
      <w:r w:rsidR="003A1917">
        <w:rPr>
          <w:kern w:val="0"/>
        </w:rPr>
        <w:t xml:space="preserve"> the </w:t>
      </w:r>
      <w:r>
        <w:rPr>
          <w:kern w:val="0"/>
        </w:rPr>
        <w:t>barriers or motivators that are specific for</w:t>
      </w:r>
      <w:r w:rsidR="003A1917">
        <w:rPr>
          <w:kern w:val="0"/>
        </w:rPr>
        <w:t xml:space="preserve"> the </w:t>
      </w:r>
      <w:r>
        <w:rPr>
          <w:kern w:val="0"/>
        </w:rPr>
        <w:t>oldest old from those</w:t>
      </w:r>
      <w:r w:rsidR="00427468">
        <w:rPr>
          <w:kern w:val="0"/>
        </w:rPr>
        <w:t xml:space="preserve"> of </w:t>
      </w:r>
      <w:r>
        <w:rPr>
          <w:kern w:val="0"/>
        </w:rPr>
        <w:t>younger elderly. (C) 2011 Elsevier B.V. All rights reserved.</w:t>
      </w:r>
    </w:p>
    <w:p w:rsidR="0003168E" w:rsidRDefault="0003168E" w:rsidP="0003168E">
      <w:pPr>
        <w:pStyle w:val="a3"/>
        <w:rPr>
          <w:kern w:val="0"/>
        </w:rPr>
      </w:pPr>
      <w:r>
        <w:rPr>
          <w:kern w:val="0"/>
        </w:rPr>
        <w:t xml:space="preserve">Keywords: Adults, Aged, Attention, Barrier, Barriers, Behavior, Elderly, Environment, Exercise Program, Health Benefits, Hip Fracture, Knowledge, Literature, Literature Review, Mandatory, Motivational Factors, Motivator, Oldest Old, Participation, Perceived Barriers, Perceptions, Physical Activity, Preferences, Research, Review, </w:t>
      </w:r>
      <w:r>
        <w:rPr>
          <w:kern w:val="0"/>
        </w:rPr>
        <w:lastRenderedPageBreak/>
        <w:t xml:space="preserve">Science, Social, Social Support, Systematic, Systematic Review, </w:t>
      </w:r>
      <w:r w:rsidR="00D5664A">
        <w:rPr>
          <w:kern w:val="0"/>
        </w:rPr>
        <w:t>Web</w:t>
      </w:r>
      <w:r w:rsidR="00427468">
        <w:rPr>
          <w:kern w:val="0"/>
        </w:rPr>
        <w:t xml:space="preserve"> of </w:t>
      </w:r>
      <w:r w:rsidR="00D5664A">
        <w:rPr>
          <w:kern w:val="0"/>
        </w:rPr>
        <w:t>Science</w:t>
      </w:r>
      <w:r>
        <w:rPr>
          <w:kern w:val="0"/>
        </w:rPr>
        <w:t>, Women</w:t>
      </w:r>
    </w:p>
    <w:p w:rsidR="00700038" w:rsidRDefault="00700038" w:rsidP="00700038">
      <w:pPr>
        <w:pStyle w:val="a3"/>
        <w:rPr>
          <w:kern w:val="0"/>
        </w:rPr>
      </w:pPr>
      <w:r>
        <w:rPr>
          <w:rFonts w:hint="eastAsia"/>
          <w:kern w:val="0"/>
        </w:rPr>
        <w:t xml:space="preserve">? </w:t>
      </w:r>
      <w:r w:rsidRPr="00FB510F">
        <w:rPr>
          <w:kern w:val="0"/>
        </w:rPr>
        <w:t>Sabayan, B</w:t>
      </w:r>
      <w:r>
        <w:rPr>
          <w:rFonts w:hint="eastAsia"/>
          <w:kern w:val="0"/>
        </w:rPr>
        <w:t>.,</w:t>
      </w:r>
      <w:r w:rsidRPr="00FB510F">
        <w:rPr>
          <w:kern w:val="0"/>
        </w:rPr>
        <w:t xml:space="preserve"> Jansen, S</w:t>
      </w:r>
      <w:r>
        <w:rPr>
          <w:rFonts w:hint="eastAsia"/>
          <w:kern w:val="0"/>
        </w:rPr>
        <w:t>.,</w:t>
      </w:r>
      <w:r w:rsidRPr="00FB510F">
        <w:rPr>
          <w:kern w:val="0"/>
        </w:rPr>
        <w:t xml:space="preserve"> Oleksik, A</w:t>
      </w:r>
      <w:r>
        <w:rPr>
          <w:rFonts w:hint="eastAsia"/>
          <w:kern w:val="0"/>
        </w:rPr>
        <w:t>.</w:t>
      </w:r>
      <w:r w:rsidRPr="00FB510F">
        <w:rPr>
          <w:kern w:val="0"/>
        </w:rPr>
        <w:t>M</w:t>
      </w:r>
      <w:r>
        <w:rPr>
          <w:rFonts w:hint="eastAsia"/>
          <w:kern w:val="0"/>
        </w:rPr>
        <w:t>.,</w:t>
      </w:r>
      <w:r w:rsidRPr="00FB510F">
        <w:rPr>
          <w:kern w:val="0"/>
        </w:rPr>
        <w:t xml:space="preserve"> van Osch, M</w:t>
      </w:r>
      <w:r>
        <w:rPr>
          <w:rFonts w:hint="eastAsia"/>
          <w:kern w:val="0"/>
        </w:rPr>
        <w:t>.</w:t>
      </w:r>
      <w:r w:rsidRPr="00FB510F">
        <w:rPr>
          <w:kern w:val="0"/>
        </w:rPr>
        <w:t>J</w:t>
      </w:r>
      <w:r>
        <w:rPr>
          <w:rFonts w:hint="eastAsia"/>
          <w:kern w:val="0"/>
        </w:rPr>
        <w:t>.</w:t>
      </w:r>
      <w:r w:rsidRPr="00FB510F">
        <w:rPr>
          <w:kern w:val="0"/>
        </w:rPr>
        <w:t>P</w:t>
      </w:r>
      <w:r>
        <w:rPr>
          <w:rFonts w:hint="eastAsia"/>
          <w:kern w:val="0"/>
        </w:rPr>
        <w:t>.,</w:t>
      </w:r>
      <w:r w:rsidRPr="00FB510F">
        <w:rPr>
          <w:kern w:val="0"/>
        </w:rPr>
        <w:t xml:space="preserve"> van Buchem, M</w:t>
      </w:r>
      <w:r>
        <w:rPr>
          <w:rFonts w:hint="eastAsia"/>
          <w:kern w:val="0"/>
        </w:rPr>
        <w:t>.</w:t>
      </w:r>
      <w:r w:rsidRPr="00FB510F">
        <w:rPr>
          <w:kern w:val="0"/>
        </w:rPr>
        <w:t>A</w:t>
      </w:r>
      <w:r>
        <w:rPr>
          <w:rFonts w:hint="eastAsia"/>
          <w:kern w:val="0"/>
        </w:rPr>
        <w:t>.,</w:t>
      </w:r>
      <w:r w:rsidRPr="00FB510F">
        <w:rPr>
          <w:kern w:val="0"/>
        </w:rPr>
        <w:t xml:space="preserve"> van Vliet, P</w:t>
      </w:r>
      <w:r>
        <w:rPr>
          <w:rFonts w:hint="eastAsia"/>
          <w:kern w:val="0"/>
        </w:rPr>
        <w:t>.,</w:t>
      </w:r>
      <w:r w:rsidRPr="00FB510F">
        <w:rPr>
          <w:kern w:val="0"/>
        </w:rPr>
        <w:t xml:space="preserve"> de Craen, A</w:t>
      </w:r>
      <w:r>
        <w:rPr>
          <w:rFonts w:hint="eastAsia"/>
          <w:kern w:val="0"/>
        </w:rPr>
        <w:t>.</w:t>
      </w:r>
      <w:r w:rsidRPr="00FB510F">
        <w:rPr>
          <w:kern w:val="0"/>
        </w:rPr>
        <w:t>J</w:t>
      </w:r>
      <w:r>
        <w:rPr>
          <w:rFonts w:hint="eastAsia"/>
          <w:kern w:val="0"/>
        </w:rPr>
        <w:t>.</w:t>
      </w:r>
      <w:r w:rsidRPr="00FB510F">
        <w:rPr>
          <w:kern w:val="0"/>
        </w:rPr>
        <w:t>M</w:t>
      </w:r>
      <w:r>
        <w:rPr>
          <w:rFonts w:hint="eastAsia"/>
          <w:kern w:val="0"/>
        </w:rPr>
        <w:t>. and</w:t>
      </w:r>
      <w:r w:rsidRPr="00FB510F">
        <w:rPr>
          <w:kern w:val="0"/>
        </w:rPr>
        <w:t xml:space="preserve"> Westendorp, R</w:t>
      </w:r>
      <w:r>
        <w:rPr>
          <w:rFonts w:hint="eastAsia"/>
          <w:kern w:val="0"/>
        </w:rPr>
        <w:t>.</w:t>
      </w:r>
      <w:r w:rsidRPr="00FB510F">
        <w:rPr>
          <w:kern w:val="0"/>
        </w:rPr>
        <w:t>G</w:t>
      </w:r>
      <w:r>
        <w:rPr>
          <w:rFonts w:hint="eastAsia"/>
          <w:kern w:val="0"/>
        </w:rPr>
        <w:t>.</w:t>
      </w:r>
      <w:r w:rsidRPr="00FB510F">
        <w:rPr>
          <w:kern w:val="0"/>
        </w:rPr>
        <w:t>J</w:t>
      </w:r>
      <w:r>
        <w:rPr>
          <w:rFonts w:hint="eastAsia"/>
          <w:kern w:val="0"/>
        </w:rPr>
        <w:t>.</w:t>
      </w:r>
      <w:r>
        <w:rPr>
          <w:kern w:val="0"/>
        </w:rPr>
        <w:t xml:space="preserve"> (201</w:t>
      </w:r>
      <w:r>
        <w:rPr>
          <w:rFonts w:hint="eastAsia"/>
          <w:kern w:val="0"/>
        </w:rPr>
        <w:t>2</w:t>
      </w:r>
      <w:r>
        <w:rPr>
          <w:kern w:val="0"/>
        </w:rPr>
        <w:t xml:space="preserve">), </w:t>
      </w:r>
      <w:r w:rsidRPr="00FB510F">
        <w:rPr>
          <w:kern w:val="0"/>
        </w:rPr>
        <w:t>Cerebrovascular hemodynamics in Alzheimer</w:t>
      </w:r>
      <w:r>
        <w:rPr>
          <w:kern w:val="0"/>
        </w:rPr>
        <w:t>’</w:t>
      </w:r>
      <w:r w:rsidRPr="00FB510F">
        <w:rPr>
          <w:kern w:val="0"/>
        </w:rPr>
        <w:t>s disease and vascular dementia: A meta-analysis of transcranial Doppler studies</w:t>
      </w:r>
      <w:r>
        <w:rPr>
          <w:kern w:val="0"/>
        </w:rPr>
        <w:t xml:space="preserve">. </w:t>
      </w:r>
      <w:r>
        <w:rPr>
          <w:i/>
          <w:iCs/>
          <w:kern w:val="0"/>
        </w:rPr>
        <w:t>Ageing Research Reviews</w:t>
      </w:r>
      <w:r>
        <w:rPr>
          <w:kern w:val="0"/>
        </w:rPr>
        <w:t xml:space="preserve">, </w:t>
      </w:r>
      <w:r>
        <w:rPr>
          <w:b/>
          <w:bCs/>
          <w:kern w:val="0"/>
        </w:rPr>
        <w:t>1</w:t>
      </w:r>
      <w:r>
        <w:rPr>
          <w:rFonts w:hint="eastAsia"/>
          <w:b/>
          <w:bCs/>
          <w:kern w:val="0"/>
        </w:rPr>
        <w:t>1</w:t>
      </w:r>
      <w:r>
        <w:rPr>
          <w:kern w:val="0"/>
        </w:rPr>
        <w:t xml:space="preserve"> (</w:t>
      </w:r>
      <w:r>
        <w:rPr>
          <w:rFonts w:hint="eastAsia"/>
          <w:kern w:val="0"/>
        </w:rPr>
        <w:t>2</w:t>
      </w:r>
      <w:r>
        <w:rPr>
          <w:kern w:val="0"/>
        </w:rPr>
        <w:t xml:space="preserve">), </w:t>
      </w:r>
      <w:r w:rsidRPr="00FB510F">
        <w:rPr>
          <w:kern w:val="0"/>
        </w:rPr>
        <w:t>271-277</w:t>
      </w:r>
      <w:r>
        <w:rPr>
          <w:kern w:val="0"/>
        </w:rPr>
        <w:t>.</w:t>
      </w:r>
    </w:p>
    <w:p w:rsidR="00700038" w:rsidRDefault="00700038" w:rsidP="00700038">
      <w:pPr>
        <w:pStyle w:val="a3"/>
        <w:rPr>
          <w:kern w:val="0"/>
        </w:rPr>
      </w:pPr>
      <w:r>
        <w:rPr>
          <w:rFonts w:hint="eastAsia"/>
          <w:kern w:val="0"/>
        </w:rPr>
        <w:t xml:space="preserve">Full Text: </w:t>
      </w:r>
      <w:hyperlink r:id="rId322" w:history="1">
        <w:r w:rsidRPr="00FB510F">
          <w:rPr>
            <w:rStyle w:val="a5"/>
            <w:kern w:val="0"/>
          </w:rPr>
          <w:t>2012\Age Res Rev11, 271.pdf</w:t>
        </w:r>
      </w:hyperlink>
    </w:p>
    <w:p w:rsidR="00700038" w:rsidRPr="00FB510F" w:rsidRDefault="00700038" w:rsidP="00700038">
      <w:pPr>
        <w:pStyle w:val="a3"/>
        <w:rPr>
          <w:kern w:val="0"/>
        </w:rPr>
      </w:pPr>
      <w:r w:rsidRPr="00FB510F">
        <w:rPr>
          <w:kern w:val="0"/>
        </w:rPr>
        <w:t>Abstract</w:t>
      </w:r>
      <w:r>
        <w:rPr>
          <w:rFonts w:hint="eastAsia"/>
          <w:kern w:val="0"/>
        </w:rPr>
        <w:t xml:space="preserve">: </w:t>
      </w:r>
      <w:r w:rsidRPr="00FB510F">
        <w:rPr>
          <w:kern w:val="0"/>
        </w:rPr>
        <w:t>Background and purpose: Alteration in cerebrovascular hemodynamics has reported in both ageing and dementia. However, it is still unclear whether this alteration follows similar pattern in ageing and in different dementia pathologies. The aim of this meta-analysis was to investigate changes in cerebral blood flow velocity and pulsatility index in two most common forms of dementia; Alzheimer</w:t>
      </w:r>
      <w:r>
        <w:rPr>
          <w:kern w:val="0"/>
        </w:rPr>
        <w:t>’</w:t>
      </w:r>
      <w:r w:rsidRPr="00FB510F">
        <w:rPr>
          <w:kern w:val="0"/>
        </w:rPr>
        <w:t>s disease and vascular dementia, usin</w:t>
      </w:r>
      <w:r>
        <w:rPr>
          <w:kern w:val="0"/>
        </w:rPr>
        <w:t>g transcranial Doppler studies.</w:t>
      </w:r>
    </w:p>
    <w:p w:rsidR="00700038" w:rsidRDefault="00700038" w:rsidP="00700038">
      <w:pPr>
        <w:pStyle w:val="a3"/>
        <w:rPr>
          <w:kern w:val="0"/>
        </w:rPr>
      </w:pPr>
      <w:r w:rsidRPr="00FB510F">
        <w:rPr>
          <w:kern w:val="0"/>
        </w:rPr>
        <w:t>Methods: A literature search was conducted in Pubmed, EMBASE and Web of Science. After initial screening of 304 articles and removing duplicates, a total of 53 articles, published between 1980 and 2010, were reviewed. Finally 12 articles were included in the meta-analysis. For each study, effect sizes (ES) indicating the standardized mean differences of the hemodynamic measures between two groups were calculated. Using random effect models, pooled</w:t>
      </w:r>
      <w:r>
        <w:rPr>
          <w:kern w:val="0"/>
        </w:rPr>
        <w:t xml:space="preserve"> estimates of ES were measured.</w:t>
      </w:r>
    </w:p>
    <w:p w:rsidR="00700038" w:rsidRPr="00FB510F" w:rsidRDefault="00700038" w:rsidP="00700038">
      <w:pPr>
        <w:pStyle w:val="a3"/>
        <w:rPr>
          <w:kern w:val="0"/>
        </w:rPr>
      </w:pPr>
      <w:r w:rsidRPr="00FB510F">
        <w:rPr>
          <w:kern w:val="0"/>
        </w:rPr>
        <w:t>Results: Patients with Alzheimer</w:t>
      </w:r>
      <w:r>
        <w:rPr>
          <w:kern w:val="0"/>
        </w:rPr>
        <w:t>’</w:t>
      </w:r>
      <w:r w:rsidRPr="00FB510F">
        <w:rPr>
          <w:kern w:val="0"/>
        </w:rPr>
        <w:t>s disease (ES = -1.09, 95% CI -1.77 to -0.44, p = 0.004) and vascular dementia (ES = -1.62, 95% CI -2.26 to -0.98, p &lt; 0.001) had significantly lower cerebral blood flow velocity compared with healthy aged-matched controls. In addition, pulsatility index was significantly higher in both Alzheimer</w:t>
      </w:r>
      <w:r>
        <w:rPr>
          <w:kern w:val="0"/>
        </w:rPr>
        <w:t>’</w:t>
      </w:r>
      <w:r w:rsidRPr="00FB510F">
        <w:rPr>
          <w:kern w:val="0"/>
        </w:rPr>
        <w:t>s disease (ES = 0.5, 95% CI 0.28-0.72, p &lt; 0.001) and vascular dementia patients (ES = 2.34, 95% CI 1.39-3.29, p &lt; 0.001). Patients with Alzheimer</w:t>
      </w:r>
      <w:r>
        <w:rPr>
          <w:kern w:val="0"/>
        </w:rPr>
        <w:t>’</w:t>
      </w:r>
      <w:r w:rsidRPr="00FB510F">
        <w:rPr>
          <w:kern w:val="0"/>
        </w:rPr>
        <w:t xml:space="preserve">s disease had lower pulsatility index (ES = -1.22, 95% CI -1.98 to -0.46, p = 0.002) compared to subjects </w:t>
      </w:r>
      <w:r>
        <w:rPr>
          <w:kern w:val="0"/>
        </w:rPr>
        <w:t>with vascular type of dementia.</w:t>
      </w:r>
    </w:p>
    <w:p w:rsidR="00700038" w:rsidRPr="00FB510F" w:rsidRDefault="00700038" w:rsidP="00700038">
      <w:pPr>
        <w:pStyle w:val="a3"/>
        <w:rPr>
          <w:kern w:val="0"/>
        </w:rPr>
      </w:pPr>
      <w:r w:rsidRPr="00FB510F">
        <w:rPr>
          <w:kern w:val="0"/>
        </w:rPr>
        <w:t>Conclusions: Patients with Alzheimer</w:t>
      </w:r>
      <w:r>
        <w:rPr>
          <w:kern w:val="0"/>
        </w:rPr>
        <w:t>’</w:t>
      </w:r>
      <w:r w:rsidRPr="00FB510F">
        <w:rPr>
          <w:kern w:val="0"/>
        </w:rPr>
        <w:t>s disease and vascular dementia have a pronounced disturbance in their cerebrovascular hemodynamics. The severity of disturbances in cerebral hemodynamics is significantly lower in Alzheimer</w:t>
      </w:r>
      <w:r>
        <w:rPr>
          <w:kern w:val="0"/>
        </w:rPr>
        <w:t>’</w:t>
      </w:r>
      <w:r w:rsidRPr="00FB510F">
        <w:rPr>
          <w:kern w:val="0"/>
        </w:rPr>
        <w:t>s disease compared to vascular dementia. (C) 2011 Elsevier B.V. All rights reserved.</w:t>
      </w:r>
    </w:p>
    <w:p w:rsidR="00700038" w:rsidRDefault="00700038" w:rsidP="00700038">
      <w:pPr>
        <w:pStyle w:val="a3"/>
        <w:rPr>
          <w:kern w:val="0"/>
        </w:rPr>
      </w:pPr>
      <w:r w:rsidRPr="00FB510F">
        <w:rPr>
          <w:kern w:val="0"/>
        </w:rPr>
        <w:t>Keywords:</w:t>
      </w:r>
      <w:r>
        <w:rPr>
          <w:kern w:val="0"/>
        </w:rPr>
        <w:t xml:space="preserve"> </w:t>
      </w:r>
      <w:r w:rsidRPr="00FB510F">
        <w:rPr>
          <w:kern w:val="0"/>
        </w:rPr>
        <w:t>Cerebrovascular Hemodynamics</w:t>
      </w:r>
      <w:r>
        <w:rPr>
          <w:kern w:val="0"/>
        </w:rPr>
        <w:t>,</w:t>
      </w:r>
      <w:r w:rsidRPr="00FB510F">
        <w:rPr>
          <w:kern w:val="0"/>
        </w:rPr>
        <w:t xml:space="preserve"> Alzheimer</w:t>
      </w:r>
      <w:r>
        <w:rPr>
          <w:kern w:val="0"/>
        </w:rPr>
        <w:t>’</w:t>
      </w:r>
      <w:r w:rsidRPr="00FB510F">
        <w:rPr>
          <w:kern w:val="0"/>
        </w:rPr>
        <w:t>s Disease</w:t>
      </w:r>
      <w:r>
        <w:rPr>
          <w:kern w:val="0"/>
        </w:rPr>
        <w:t>,</w:t>
      </w:r>
      <w:r w:rsidRPr="00FB510F">
        <w:rPr>
          <w:kern w:val="0"/>
        </w:rPr>
        <w:t xml:space="preserve"> Vascular Dementia</w:t>
      </w:r>
      <w:r>
        <w:rPr>
          <w:kern w:val="0"/>
        </w:rPr>
        <w:t>,</w:t>
      </w:r>
      <w:r w:rsidRPr="00FB510F">
        <w:rPr>
          <w:kern w:val="0"/>
        </w:rPr>
        <w:t xml:space="preserve"> Transcranial Doppler</w:t>
      </w:r>
      <w:r>
        <w:rPr>
          <w:kern w:val="0"/>
        </w:rPr>
        <w:t>,</w:t>
      </w:r>
      <w:r w:rsidRPr="00FB510F">
        <w:rPr>
          <w:kern w:val="0"/>
        </w:rPr>
        <w:t xml:space="preserve"> Meta-Analysis</w:t>
      </w:r>
      <w:r>
        <w:rPr>
          <w:kern w:val="0"/>
        </w:rPr>
        <w:t xml:space="preserve">, </w:t>
      </w:r>
      <w:r w:rsidRPr="00FB510F">
        <w:rPr>
          <w:kern w:val="0"/>
        </w:rPr>
        <w:t>Blood-Flow-Velocity</w:t>
      </w:r>
      <w:r>
        <w:rPr>
          <w:kern w:val="0"/>
        </w:rPr>
        <w:t>,</w:t>
      </w:r>
      <w:r w:rsidRPr="00FB510F">
        <w:rPr>
          <w:kern w:val="0"/>
        </w:rPr>
        <w:t xml:space="preserve"> Differential-Diagnosis</w:t>
      </w:r>
      <w:r>
        <w:rPr>
          <w:kern w:val="0"/>
        </w:rPr>
        <w:t>,</w:t>
      </w:r>
      <w:r w:rsidRPr="00FB510F">
        <w:rPr>
          <w:kern w:val="0"/>
        </w:rPr>
        <w:t xml:space="preserve"> Cerebral Hemodynamics</w:t>
      </w:r>
      <w:r>
        <w:rPr>
          <w:kern w:val="0"/>
        </w:rPr>
        <w:t>,</w:t>
      </w:r>
      <w:r w:rsidRPr="00FB510F">
        <w:rPr>
          <w:kern w:val="0"/>
        </w:rPr>
        <w:t xml:space="preserve"> Multiinfarct Dementia</w:t>
      </w:r>
      <w:r>
        <w:rPr>
          <w:kern w:val="0"/>
        </w:rPr>
        <w:t>,</w:t>
      </w:r>
      <w:r w:rsidRPr="00FB510F">
        <w:rPr>
          <w:kern w:val="0"/>
        </w:rPr>
        <w:t xml:space="preserve"> Risk-Factors</w:t>
      </w:r>
      <w:r>
        <w:rPr>
          <w:kern w:val="0"/>
        </w:rPr>
        <w:t>,</w:t>
      </w:r>
      <w:r w:rsidRPr="00FB510F">
        <w:rPr>
          <w:kern w:val="0"/>
        </w:rPr>
        <w:t xml:space="preserve"> Sonography</w:t>
      </w:r>
      <w:r>
        <w:rPr>
          <w:kern w:val="0"/>
        </w:rPr>
        <w:t>,</w:t>
      </w:r>
      <w:r w:rsidRPr="00FB510F">
        <w:rPr>
          <w:kern w:val="0"/>
        </w:rPr>
        <w:t xml:space="preserve"> Hypoperfusion</w:t>
      </w:r>
      <w:r>
        <w:rPr>
          <w:kern w:val="0"/>
        </w:rPr>
        <w:t>,</w:t>
      </w:r>
      <w:r w:rsidRPr="00FB510F">
        <w:rPr>
          <w:kern w:val="0"/>
        </w:rPr>
        <w:t xml:space="preserve"> Criteria</w:t>
      </w:r>
      <w:r>
        <w:rPr>
          <w:kern w:val="0"/>
        </w:rPr>
        <w:t>,</w:t>
      </w:r>
      <w:r w:rsidRPr="00FB510F">
        <w:rPr>
          <w:kern w:val="0"/>
        </w:rPr>
        <w:t xml:space="preserve"> Autoregulation</w:t>
      </w:r>
      <w:r>
        <w:rPr>
          <w:kern w:val="0"/>
        </w:rPr>
        <w:t>,</w:t>
      </w:r>
      <w:r w:rsidRPr="00FB510F">
        <w:rPr>
          <w:kern w:val="0"/>
        </w:rPr>
        <w:t xml:space="preserve"> Pathogenesis</w:t>
      </w:r>
    </w:p>
    <w:p w:rsidR="00901971" w:rsidRDefault="00901971" w:rsidP="00901971">
      <w:pPr>
        <w:pStyle w:val="a3"/>
        <w:rPr>
          <w:kern w:val="0"/>
        </w:rPr>
      </w:pPr>
      <w:r>
        <w:rPr>
          <w:rFonts w:hint="eastAsia"/>
          <w:kern w:val="0"/>
        </w:rPr>
        <w:t xml:space="preserve">? </w:t>
      </w:r>
      <w:r>
        <w:rPr>
          <w:kern w:val="0"/>
        </w:rPr>
        <w:t>Pieper, M.J.C., van Dalen-Kok, A.H., Francke, A.L., van der Steen, J.T., Scherder, E.J.A., Husebo, B.S.</w:t>
      </w:r>
      <w:r w:rsidR="005853A9">
        <w:rPr>
          <w:kern w:val="0"/>
        </w:rPr>
        <w:t xml:space="preserve"> and </w:t>
      </w:r>
      <w:r>
        <w:rPr>
          <w:kern w:val="0"/>
        </w:rPr>
        <w:t xml:space="preserve">Achterberg, W.P. (2013), Interventions targeting pain or behaviour in dementia: A systematic review. </w:t>
      </w:r>
      <w:r>
        <w:rPr>
          <w:i/>
          <w:iCs/>
          <w:kern w:val="0"/>
        </w:rPr>
        <w:t>Ageing Research Reviews</w:t>
      </w:r>
      <w:r>
        <w:rPr>
          <w:kern w:val="0"/>
        </w:rPr>
        <w:t xml:space="preserve">, </w:t>
      </w:r>
      <w:r>
        <w:rPr>
          <w:b/>
          <w:bCs/>
          <w:kern w:val="0"/>
        </w:rPr>
        <w:t>12</w:t>
      </w:r>
      <w:r>
        <w:rPr>
          <w:kern w:val="0"/>
        </w:rPr>
        <w:t xml:space="preserve"> (4), 1042-1055.</w:t>
      </w:r>
    </w:p>
    <w:p w:rsidR="00901971" w:rsidRDefault="00901971" w:rsidP="00901971">
      <w:pPr>
        <w:pStyle w:val="a3"/>
        <w:rPr>
          <w:kern w:val="0"/>
        </w:rPr>
      </w:pPr>
      <w:r>
        <w:rPr>
          <w:rFonts w:hint="eastAsia"/>
          <w:kern w:val="0"/>
        </w:rPr>
        <w:lastRenderedPageBreak/>
        <w:t xml:space="preserve">Full Text: </w:t>
      </w:r>
      <w:hyperlink r:id="rId323" w:history="1">
        <w:r w:rsidRPr="00F2307D">
          <w:rPr>
            <w:rStyle w:val="a5"/>
            <w:kern w:val="0"/>
          </w:rPr>
          <w:t>2013\Age Res Rev12, 1042.pdf</w:t>
        </w:r>
      </w:hyperlink>
    </w:p>
    <w:p w:rsidR="00901971" w:rsidRDefault="00901971" w:rsidP="00901971">
      <w:pPr>
        <w:pStyle w:val="a3"/>
        <w:rPr>
          <w:kern w:val="0"/>
        </w:rPr>
      </w:pPr>
      <w:r>
        <w:rPr>
          <w:kern w:val="0"/>
        </w:rPr>
        <w:t>Abstract: Background: Both pain</w:t>
      </w:r>
      <w:r w:rsidR="005853A9">
        <w:rPr>
          <w:kern w:val="0"/>
        </w:rPr>
        <w:t xml:space="preserve"> and </w:t>
      </w:r>
      <w:r>
        <w:rPr>
          <w:kern w:val="0"/>
        </w:rPr>
        <w:t>challenging behaviour are highly prevalent in dementia,</w:t>
      </w:r>
      <w:r w:rsidR="005853A9">
        <w:rPr>
          <w:kern w:val="0"/>
        </w:rPr>
        <w:t xml:space="preserve"> and </w:t>
      </w:r>
      <w:r>
        <w:rPr>
          <w:kern w:val="0"/>
        </w:rPr>
        <w:t>multiple studies show that some</w:t>
      </w:r>
      <w:r w:rsidR="00427468">
        <w:rPr>
          <w:kern w:val="0"/>
        </w:rPr>
        <w:t xml:space="preserve"> of </w:t>
      </w:r>
      <w:r>
        <w:rPr>
          <w:kern w:val="0"/>
        </w:rPr>
        <w:t>these behaviours may be correlated. Pain, especially in non-communicative patients, can cause challenging behaviour,</w:t>
      </w:r>
      <w:r w:rsidR="005853A9">
        <w:rPr>
          <w:kern w:val="0"/>
        </w:rPr>
        <w:t xml:space="preserve"> and </w:t>
      </w:r>
      <w:r>
        <w:rPr>
          <w:kern w:val="0"/>
        </w:rPr>
        <w:t>treatment</w:t>
      </w:r>
      <w:r w:rsidR="00427468">
        <w:rPr>
          <w:kern w:val="0"/>
        </w:rPr>
        <w:t xml:space="preserve"> of </w:t>
      </w:r>
      <w:r>
        <w:rPr>
          <w:kern w:val="0"/>
        </w:rPr>
        <w:t>pain therefore may have an effect on behaviour. This review aims to provide a comprehensive overview</w:t>
      </w:r>
      <w:r w:rsidR="00427468">
        <w:rPr>
          <w:kern w:val="0"/>
        </w:rPr>
        <w:t xml:space="preserve"> of </w:t>
      </w:r>
      <w:r>
        <w:rPr>
          <w:kern w:val="0"/>
        </w:rPr>
        <w:t>the current state</w:t>
      </w:r>
      <w:r w:rsidR="00427468">
        <w:rPr>
          <w:kern w:val="0"/>
        </w:rPr>
        <w:t xml:space="preserve"> of </w:t>
      </w:r>
      <w:r>
        <w:rPr>
          <w:kern w:val="0"/>
        </w:rPr>
        <w:t>evidence regarding the effectiveness</w:t>
      </w:r>
      <w:r w:rsidR="00427468">
        <w:rPr>
          <w:kern w:val="0"/>
        </w:rPr>
        <w:t xml:space="preserve"> of </w:t>
      </w:r>
      <w:r>
        <w:rPr>
          <w:kern w:val="0"/>
        </w:rPr>
        <w:t>interventions targeting pain on the outcome behaviour,</w:t>
      </w:r>
      <w:r w:rsidR="005853A9">
        <w:rPr>
          <w:kern w:val="0"/>
        </w:rPr>
        <w:t xml:space="preserve"> and </w:t>
      </w:r>
      <w:r>
        <w:rPr>
          <w:kern w:val="0"/>
        </w:rPr>
        <w:t>interventions targeting behaviour on pain, in dementia. Method: PubMed (MEDLINE), EMBASE, COCHRANE, CINAHL, PsychINFO</w:t>
      </w:r>
      <w:r w:rsidR="005853A9">
        <w:rPr>
          <w:kern w:val="0"/>
        </w:rPr>
        <w:t xml:space="preserve"> and </w:t>
      </w:r>
      <w:r>
        <w:rPr>
          <w:kern w:val="0"/>
        </w:rPr>
        <w:t>Web</w:t>
      </w:r>
      <w:r w:rsidR="00427468">
        <w:rPr>
          <w:kern w:val="0"/>
        </w:rPr>
        <w:t xml:space="preserve"> of </w:t>
      </w:r>
      <w:r>
        <w:rPr>
          <w:kern w:val="0"/>
        </w:rPr>
        <w:t>Science were searched systematically. Studies were included if they focused on an intervention targeting a reduction in the person</w:t>
      </w:r>
      <w:r w:rsidR="00700038">
        <w:rPr>
          <w:kern w:val="0"/>
        </w:rPr>
        <w:t>’</w:t>
      </w:r>
      <w:r>
        <w:rPr>
          <w:kern w:val="0"/>
        </w:rPr>
        <w:t>s distress, pain, and/or behaviour,</w:t>
      </w:r>
      <w:r w:rsidR="005853A9">
        <w:rPr>
          <w:kern w:val="0"/>
        </w:rPr>
        <w:t xml:space="preserve"> and </w:t>
      </w:r>
      <w:r>
        <w:rPr>
          <w:kern w:val="0"/>
        </w:rPr>
        <w:t>included adults with a main diagnosis</w:t>
      </w:r>
      <w:r w:rsidR="00427468">
        <w:rPr>
          <w:kern w:val="0"/>
        </w:rPr>
        <w:t xml:space="preserve"> of </w:t>
      </w:r>
      <w:r>
        <w:rPr>
          <w:kern w:val="0"/>
        </w:rPr>
        <w:t>dementia. Results:</w:t>
      </w:r>
      <w:r w:rsidR="00427468">
        <w:rPr>
          <w:kern w:val="0"/>
        </w:rPr>
        <w:t xml:space="preserve"> of </w:t>
      </w:r>
      <w:r>
        <w:rPr>
          <w:kern w:val="0"/>
        </w:rPr>
        <w:t>a total</w:t>
      </w:r>
      <w:r w:rsidR="00427468">
        <w:rPr>
          <w:kern w:val="0"/>
        </w:rPr>
        <w:t xml:space="preserve"> of </w:t>
      </w:r>
      <w:r>
        <w:rPr>
          <w:kern w:val="0"/>
        </w:rPr>
        <w:t>893 potentially relevant publications that were identified, 16 publications met the inclusion criteria</w:t>
      </w:r>
      <w:r w:rsidR="005853A9">
        <w:rPr>
          <w:kern w:val="0"/>
        </w:rPr>
        <w:t xml:space="preserve"> and </w:t>
      </w:r>
      <w:r>
        <w:rPr>
          <w:kern w:val="0"/>
        </w:rPr>
        <w:t>were eligible for further analysis; 6 studies focused on a pain intervention targeting behaviour, 1 study focused on a behavioural intervention targeting pain,</w:t>
      </w:r>
      <w:r w:rsidR="005853A9">
        <w:rPr>
          <w:kern w:val="0"/>
        </w:rPr>
        <w:t xml:space="preserve"> and </w:t>
      </w:r>
      <w:r>
        <w:rPr>
          <w:kern w:val="0"/>
        </w:rPr>
        <w:t>9 studies focused on an intervention targeting both pain</w:t>
      </w:r>
      <w:r w:rsidR="005853A9">
        <w:rPr>
          <w:kern w:val="0"/>
        </w:rPr>
        <w:t xml:space="preserve"> and </w:t>
      </w:r>
      <w:r>
        <w:rPr>
          <w:kern w:val="0"/>
        </w:rPr>
        <w:t>behaviour. Conclusion: Available evidence suggests that (pain) interventions targeting behaviour,</w:t>
      </w:r>
      <w:r w:rsidR="005853A9">
        <w:rPr>
          <w:kern w:val="0"/>
        </w:rPr>
        <w:t xml:space="preserve"> and </w:t>
      </w:r>
      <w:r>
        <w:rPr>
          <w:kern w:val="0"/>
        </w:rPr>
        <w:t>(behavioural) interventions targeting pain are effective in reducing pain</w:t>
      </w:r>
      <w:r w:rsidR="005853A9">
        <w:rPr>
          <w:kern w:val="0"/>
        </w:rPr>
        <w:t xml:space="preserve"> and </w:t>
      </w:r>
      <w:r>
        <w:rPr>
          <w:kern w:val="0"/>
        </w:rPr>
        <w:t>behavioural symptoms in dementia. (C) 2013 Elsevier B.V. All rights reserved.</w:t>
      </w:r>
    </w:p>
    <w:p w:rsidR="00901971" w:rsidRDefault="00901971" w:rsidP="00901971">
      <w:pPr>
        <w:pStyle w:val="a3"/>
        <w:rPr>
          <w:kern w:val="0"/>
        </w:rPr>
      </w:pPr>
      <w:r>
        <w:rPr>
          <w:kern w:val="0"/>
        </w:rPr>
        <w:t>Keywords: Agitation, Analysis, Behavior, Behaviour, Clinical-Trial, Controlled-Trial, Criteria, Dementia, Diagnosis, Discomfort, Distress, Effectiveness, Embase, Evidence, Intervention, Interventions, Long-Term-Care, Medline, Neuropsychiatric Symptoms, Neuropsychiatric Symptoms, Non-Pharmacological</w:t>
      </w:r>
      <w:r w:rsidR="005853A9">
        <w:rPr>
          <w:kern w:val="0"/>
        </w:rPr>
        <w:t xml:space="preserve"> and </w:t>
      </w:r>
      <w:r>
        <w:rPr>
          <w:kern w:val="0"/>
        </w:rPr>
        <w:t>Pharmacological Interventions, Nonpharmacological Interventions, Nursing-Home Residents, Older-Adults, Outcome, Pain, Patients, Publications, Pubmed, Quality-Of-Life, Reduction, Results, Review, Rights, Science, State, Symptoms, Systematic Review, Targeting, Treatment, Treatment</w:t>
      </w:r>
      <w:r w:rsidR="00427468">
        <w:rPr>
          <w:kern w:val="0"/>
        </w:rPr>
        <w:t xml:space="preserve"> of </w:t>
      </w:r>
      <w:r>
        <w:rPr>
          <w:kern w:val="0"/>
        </w:rPr>
        <w:t>Pain, Web</w:t>
      </w:r>
      <w:r w:rsidR="00427468">
        <w:rPr>
          <w:kern w:val="0"/>
        </w:rPr>
        <w:t xml:space="preserve"> of </w:t>
      </w:r>
      <w:r>
        <w:rPr>
          <w:kern w:val="0"/>
        </w:rPr>
        <w:t>Science</w:t>
      </w:r>
    </w:p>
    <w:p w:rsidR="003474F2" w:rsidRPr="001A3D2B" w:rsidRDefault="003474F2" w:rsidP="003474F2">
      <w:pPr>
        <w:pStyle w:val="1"/>
      </w:pPr>
      <w:r w:rsidRPr="001A3D2B">
        <w:br w:type="page"/>
      </w:r>
      <w:bookmarkStart w:id="166" w:name="_Toc47758545"/>
      <w:bookmarkStart w:id="167" w:name="_Toc81215581"/>
      <w:bookmarkStart w:id="168" w:name="_Toc420814336"/>
      <w:r w:rsidRPr="001A3D2B">
        <w:lastRenderedPageBreak/>
        <w:t>Title: Aging Clinical</w:t>
      </w:r>
      <w:r w:rsidR="005853A9">
        <w:t xml:space="preserve"> and </w:t>
      </w:r>
      <w:r w:rsidRPr="001A3D2B">
        <w:t>Experimental Research</w:t>
      </w:r>
      <w:bookmarkEnd w:id="166"/>
      <w:bookmarkEnd w:id="167"/>
      <w:bookmarkEnd w:id="168"/>
    </w:p>
    <w:p w:rsidR="003474F2" w:rsidRPr="001A3D2B" w:rsidRDefault="003474F2" w:rsidP="003474F2">
      <w:pPr>
        <w:pStyle w:val="12"/>
      </w:pPr>
      <w:r w:rsidRPr="001A3D2B">
        <w:t>Full Journal Title: Aging Clinical</w:t>
      </w:r>
      <w:r w:rsidR="005853A9">
        <w:t xml:space="preserve"> and </w:t>
      </w:r>
      <w:r w:rsidRPr="001A3D2B">
        <w:t>Experimental Research</w:t>
      </w:r>
    </w:p>
    <w:p w:rsidR="003474F2" w:rsidRPr="001A3D2B" w:rsidRDefault="003474F2" w:rsidP="003474F2">
      <w:pPr>
        <w:pStyle w:val="12"/>
      </w:pPr>
      <w:r w:rsidRPr="001A3D2B">
        <w:t>ISO Abbreviated Title: Aging Clin. Exp. Res.</w:t>
      </w:r>
    </w:p>
    <w:p w:rsidR="003474F2" w:rsidRPr="001A3D2B" w:rsidRDefault="003474F2" w:rsidP="003474F2">
      <w:pPr>
        <w:pStyle w:val="12"/>
      </w:pPr>
      <w:r w:rsidRPr="001A3D2B">
        <w:t>JCR Abbreviated Title: Aging Clin Exp Res</w:t>
      </w:r>
    </w:p>
    <w:p w:rsidR="003474F2" w:rsidRPr="001A3D2B" w:rsidRDefault="003474F2" w:rsidP="003474F2">
      <w:pPr>
        <w:pStyle w:val="12"/>
      </w:pPr>
      <w:r w:rsidRPr="001A3D2B">
        <w:t>ISSN: 1594-0667</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Italy</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Editrice Kurtis S R L</w:t>
      </w:r>
    </w:p>
    <w:p w:rsidR="003474F2" w:rsidRPr="001A3D2B" w:rsidRDefault="003474F2" w:rsidP="003474F2">
      <w:pPr>
        <w:pStyle w:val="12"/>
      </w:pPr>
      <w:r w:rsidRPr="001A3D2B">
        <w:t xml:space="preserve">Publisher Address: Via Luigi Zoja 30, 20153 </w:t>
      </w:r>
      <w:smartTag w:uri="urn:schemas-microsoft-com:office:smarttags" w:element="place">
        <w:smartTag w:uri="urn:schemas-microsoft-com:office:smarttags" w:element="City">
          <w:r w:rsidRPr="001A3D2B">
            <w:t>Milan</w:t>
          </w:r>
        </w:smartTag>
        <w:r w:rsidRPr="001A3D2B">
          <w:t xml:space="preserve">, </w:t>
        </w:r>
        <w:smartTag w:uri="urn:schemas-microsoft-com:office:smarttags" w:element="country-region">
          <w:r w:rsidRPr="001A3D2B">
            <w:t>Italy</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Geriatrics &amp; Gerontology: Impact Factor</w:t>
      </w:r>
    </w:p>
    <w:p w:rsidR="003474F2" w:rsidRPr="001A3D2B" w:rsidRDefault="003474F2" w:rsidP="003474F2">
      <w:pPr>
        <w:pStyle w:val="a3"/>
      </w:pPr>
      <w:r w:rsidRPr="001A3D2B">
        <w:t>Mussi, C., Palazzi, C., Pasqualini, R.</w:t>
      </w:r>
      <w:r w:rsidR="005853A9">
        <w:t xml:space="preserve"> and </w:t>
      </w:r>
      <w:r w:rsidRPr="001A3D2B">
        <w:t>Salvioli, G. (2002), Impact factor</w:t>
      </w:r>
      <w:r w:rsidR="00427468">
        <w:t xml:space="preserve"> of </w:t>
      </w:r>
      <w:r w:rsidRPr="001A3D2B">
        <w:t xml:space="preserve">medical journals: Problems in geriatrics. </w:t>
      </w:r>
      <w:r w:rsidRPr="001A3D2B">
        <w:rPr>
          <w:i/>
          <w:iCs/>
        </w:rPr>
        <w:t>Aging Clinical</w:t>
      </w:r>
      <w:r w:rsidR="005853A9">
        <w:rPr>
          <w:i/>
          <w:iCs/>
        </w:rPr>
        <w:t xml:space="preserve"> and </w:t>
      </w:r>
      <w:r w:rsidRPr="001A3D2B">
        <w:rPr>
          <w:i/>
          <w:iCs/>
        </w:rPr>
        <w:t>Experimental Research</w:t>
      </w:r>
      <w:r w:rsidRPr="001A3D2B">
        <w:t xml:space="preserve">, </w:t>
      </w:r>
      <w:r w:rsidRPr="001A3D2B">
        <w:rPr>
          <w:b/>
        </w:rPr>
        <w:t>14</w:t>
      </w:r>
      <w:r w:rsidRPr="001A3D2B">
        <w:t xml:space="preserve"> (1), 64-68.</w:t>
      </w:r>
    </w:p>
    <w:p w:rsidR="003474F2" w:rsidRPr="001A3D2B" w:rsidRDefault="003474F2" w:rsidP="003474F2">
      <w:pPr>
        <w:pStyle w:val="a3"/>
      </w:pPr>
      <w:r w:rsidRPr="001A3D2B">
        <w:t>Abstract:</w:t>
      </w:r>
      <w:r w:rsidR="003A1917">
        <w:t xml:space="preserve"> the </w:t>
      </w:r>
      <w:r w:rsidRPr="001A3D2B">
        <w:t>Impact Factor (IF) is one</w:t>
      </w:r>
      <w:r w:rsidR="00427468">
        <w:t xml:space="preserve"> of </w:t>
      </w:r>
      <w:r w:rsidR="003A1917">
        <w:t xml:space="preserve">the </w:t>
      </w:r>
      <w:r w:rsidRPr="001A3D2B">
        <w:t>most reliable methods for evaluating</w:t>
      </w:r>
      <w:r w:rsidR="003A1917">
        <w:t xml:space="preserve"> the </w:t>
      </w:r>
      <w:r w:rsidRPr="001A3D2B">
        <w:t>quality</w:t>
      </w:r>
      <w:r w:rsidR="00427468">
        <w:t xml:space="preserve"> of </w:t>
      </w:r>
      <w:r w:rsidRPr="001A3D2B">
        <w:t>scientific journals. To date, no one has studied</w:t>
      </w:r>
      <w:r w:rsidR="003A1917">
        <w:t xml:space="preserve"> the </w:t>
      </w:r>
      <w:r w:rsidRPr="001A3D2B">
        <w:t>IF</w:t>
      </w:r>
      <w:r w:rsidR="00427468">
        <w:t xml:space="preserve"> of </w:t>
      </w:r>
      <w:r w:rsidRPr="001A3D2B">
        <w:t>geriatric journals over time. Our aims were 1) to evaluate</w:t>
      </w:r>
      <w:r w:rsidR="003A1917">
        <w:t xml:space="preserve"> the </w:t>
      </w:r>
      <w:r w:rsidRPr="001A3D2B">
        <w:t>IF trend</w:t>
      </w:r>
      <w:r w:rsidR="00427468">
        <w:t xml:space="preserve"> of </w:t>
      </w:r>
      <w:r w:rsidRPr="001A3D2B">
        <w:t>geriatric journals in general,</w:t>
      </w:r>
      <w:r w:rsidR="005853A9">
        <w:t xml:space="preserve"> and </w:t>
      </w:r>
      <w:r w:rsidRPr="001A3D2B">
        <w:t>with respect to internal medicine, which is</w:t>
      </w:r>
      <w:r w:rsidR="003A1917">
        <w:t xml:space="preserve"> the </w:t>
      </w:r>
      <w:r w:rsidRPr="001A3D2B">
        <w:t>nearest discipline,</w:t>
      </w:r>
      <w:r w:rsidR="005853A9">
        <w:t xml:space="preserve"> and </w:t>
      </w:r>
      <w:r w:rsidRPr="001A3D2B">
        <w:t>2) to assess</w:t>
      </w:r>
      <w:r w:rsidR="003A1917">
        <w:t xml:space="preserve"> the </w:t>
      </w:r>
      <w:r w:rsidRPr="001A3D2B">
        <w:t>proportion</w:t>
      </w:r>
      <w:r w:rsidR="00427468">
        <w:t xml:space="preserve"> of </w:t>
      </w:r>
      <w:r w:rsidRPr="001A3D2B">
        <w:t>papers on common geriatric topics published in geriatric journals, with respect to other general periodicals</w:t>
      </w:r>
      <w:r w:rsidR="00A37C1D">
        <w:t>. The</w:t>
      </w:r>
      <w:r w:rsidR="003A1917">
        <w:t xml:space="preserve"> </w:t>
      </w:r>
      <w:r w:rsidRPr="001A3D2B">
        <w:t>current literature was studied to define what IF is</w:t>
      </w:r>
      <w:r w:rsidR="005853A9">
        <w:t xml:space="preserve"> and </w:t>
      </w:r>
      <w:r w:rsidRPr="001A3D2B">
        <w:t>describe its good points</w:t>
      </w:r>
      <w:r w:rsidR="005853A9">
        <w:t xml:space="preserve"> and </w:t>
      </w:r>
      <w:r w:rsidRPr="001A3D2B">
        <w:t>deficiencies. We then analyzed</w:t>
      </w:r>
      <w:r w:rsidR="003A1917">
        <w:t xml:space="preserve"> the </w:t>
      </w:r>
      <w:r w:rsidRPr="001A3D2B">
        <w:t>situation regarding geriatric journals. A bibliometric analysis addressed</w:t>
      </w:r>
      <w:r w:rsidR="003A1917">
        <w:t xml:space="preserve"> the </w:t>
      </w:r>
      <w:r w:rsidRPr="001A3D2B">
        <w:t>kind</w:t>
      </w:r>
      <w:r w:rsidR="00427468">
        <w:t xml:space="preserve"> of </w:t>
      </w:r>
      <w:r w:rsidRPr="001A3D2B">
        <w:t>journal interested in important geriatric themes (syncope, falls, hip fractures, delirium). Geriatric journals have a low IF, but their importance has been growing over</w:t>
      </w:r>
      <w:r w:rsidR="003A1917">
        <w:t xml:space="preserve"> the </w:t>
      </w:r>
      <w:r w:rsidRPr="001A3D2B">
        <w:t>years. Despite this, papers regarding geriatric themes are published mainly in non-specific journals,</w:t>
      </w:r>
      <w:r w:rsidR="005853A9">
        <w:t xml:space="preserve"> and </w:t>
      </w:r>
      <w:r w:rsidR="003A1917">
        <w:t xml:space="preserve">the </w:t>
      </w:r>
      <w:r w:rsidRPr="001A3D2B">
        <w:t>number</w:t>
      </w:r>
      <w:r w:rsidR="00427468">
        <w:t xml:space="preserve"> of </w:t>
      </w:r>
      <w:r w:rsidRPr="001A3D2B">
        <w:t>publications regarding syncope, falls, hip fractures,</w:t>
      </w:r>
      <w:r w:rsidR="005853A9">
        <w:t xml:space="preserve"> and </w:t>
      </w:r>
      <w:r w:rsidRPr="001A3D2B">
        <w:t>delirium has not increased during</w:t>
      </w:r>
      <w:r w:rsidR="003A1917">
        <w:t xml:space="preserve"> the </w:t>
      </w:r>
      <w:r w:rsidRPr="001A3D2B">
        <w:t>period in question. In conclusion, it is difficult to use</w:t>
      </w:r>
      <w:r w:rsidR="003A1917">
        <w:t xml:space="preserve"> the </w:t>
      </w:r>
      <w:r w:rsidRPr="001A3D2B">
        <w:t>IF for comparisons between different disciplines, in particular when</w:t>
      </w:r>
      <w:r w:rsidR="003A1917">
        <w:t xml:space="preserve"> the </w:t>
      </w:r>
      <w:r w:rsidRPr="001A3D2B">
        <w:t>one under consideration (geriatrics</w:t>
      </w:r>
      <w:r w:rsidR="005853A9">
        <w:t xml:space="preserve"> and </w:t>
      </w:r>
      <w:r w:rsidRPr="001A3D2B">
        <w:t>gerontology) is spread over a wide range</w:t>
      </w:r>
      <w:r w:rsidR="00427468">
        <w:t xml:space="preserve"> of </w:t>
      </w:r>
      <w:r w:rsidRPr="001A3D2B">
        <w:t>medical fields</w:t>
      </w:r>
      <w:r w:rsidR="00A37C1D">
        <w:t>. The</w:t>
      </w:r>
      <w:r w:rsidR="003A1917">
        <w:t xml:space="preserve"> </w:t>
      </w:r>
      <w:r w:rsidRPr="001A3D2B">
        <w:t>increase in IF</w:t>
      </w:r>
      <w:r w:rsidR="00427468">
        <w:t xml:space="preserve"> of </w:t>
      </w:r>
      <w:r w:rsidRPr="001A3D2B">
        <w:t>geriatric journals over time is</w:t>
      </w:r>
      <w:r w:rsidR="003A1917">
        <w:t xml:space="preserve"> the </w:t>
      </w:r>
      <w:r w:rsidRPr="001A3D2B">
        <w:t>most important result</w:t>
      </w:r>
      <w:r w:rsidR="00427468">
        <w:t xml:space="preserve"> of </w:t>
      </w:r>
      <w:r w:rsidRPr="001A3D2B">
        <w:t>our analysis; this finding will encourage geriatric scientists to submit their papers to geriatric periodicals</w:t>
      </w:r>
      <w:r w:rsidR="005853A9">
        <w:t xml:space="preserve"> and </w:t>
      </w:r>
      <w:r w:rsidRPr="001A3D2B">
        <w:t>will increase</w:t>
      </w:r>
      <w:r w:rsidR="003A1917">
        <w:t xml:space="preserve"> the </w:t>
      </w:r>
      <w:r w:rsidRPr="001A3D2B">
        <w:t>specificity</w:t>
      </w:r>
      <w:r w:rsidR="00427468">
        <w:t xml:space="preserve"> of </w:t>
      </w:r>
      <w:r w:rsidR="003A1917">
        <w:t xml:space="preserve">the </w:t>
      </w:r>
      <w:r w:rsidRPr="001A3D2B">
        <w:t>gerontological discipline.</w:t>
      </w:r>
    </w:p>
    <w:p w:rsidR="003474F2" w:rsidRPr="001A3D2B" w:rsidRDefault="003474F2" w:rsidP="003474F2">
      <w:pPr>
        <w:pStyle w:val="a3"/>
      </w:pPr>
      <w:r w:rsidRPr="001A3D2B">
        <w:t xml:space="preserve">Keywords: Analysis, Bibliometric, Bibliometric Analysis, Delirium, General, Geriatrics, Gerontology, Hip Fractures, Journal, Journals, Literature, Medical, Medical Journals, Medicine, Methods, Papers, Periodicals, Publications, Quality, Quality of, Scientific </w:t>
      </w:r>
      <w:r w:rsidRPr="001A3D2B">
        <w:lastRenderedPageBreak/>
        <w:t>Journals, Specificity, Syncope, Trend</w:t>
      </w:r>
    </w:p>
    <w:p w:rsidR="009A1B0E" w:rsidRPr="00F219CA" w:rsidRDefault="009A1B0E" w:rsidP="009A1B0E">
      <w:pPr>
        <w:pStyle w:val="1"/>
      </w:pPr>
      <w:bookmarkStart w:id="169" w:name="_Toc233627222"/>
      <w:r w:rsidRPr="00F219CA">
        <w:br w:type="page"/>
      </w:r>
      <w:bookmarkStart w:id="170" w:name="_Toc420814337"/>
      <w:r w:rsidRPr="00F219CA">
        <w:lastRenderedPageBreak/>
        <w:t xml:space="preserve">Title: </w:t>
      </w:r>
      <w:r w:rsidR="00376E15" w:rsidRPr="00376E15">
        <w:rPr>
          <w:iCs w:val="0"/>
        </w:rPr>
        <w:t>Aging Male</w:t>
      </w:r>
      <w:bookmarkEnd w:id="170"/>
    </w:p>
    <w:p w:rsidR="009A1B0E" w:rsidRPr="00F219CA" w:rsidRDefault="009A1B0E" w:rsidP="009A1B0E">
      <w:pPr>
        <w:pStyle w:val="12"/>
      </w:pPr>
      <w:r w:rsidRPr="00F219CA">
        <w:t xml:space="preserve">Full Journal Title: </w:t>
      </w:r>
      <w:r w:rsidR="00376E15" w:rsidRPr="00376E15">
        <w:rPr>
          <w:iCs/>
          <w:kern w:val="0"/>
        </w:rPr>
        <w:t>Aging Male</w:t>
      </w:r>
    </w:p>
    <w:p w:rsidR="009A1B0E" w:rsidRPr="00F219CA" w:rsidRDefault="009A1B0E" w:rsidP="009A1B0E">
      <w:pPr>
        <w:pStyle w:val="12"/>
      </w:pPr>
      <w:r w:rsidRPr="00F219CA">
        <w:t xml:space="preserve">ISO Abbreviated Title: </w:t>
      </w:r>
    </w:p>
    <w:p w:rsidR="009A1B0E" w:rsidRPr="00F219CA" w:rsidRDefault="009A1B0E" w:rsidP="009A1B0E">
      <w:pPr>
        <w:pStyle w:val="12"/>
      </w:pPr>
      <w:r w:rsidRPr="00F219CA">
        <w:t xml:space="preserve">JCR Abbreviated Title: </w:t>
      </w:r>
    </w:p>
    <w:p w:rsidR="009A1B0E" w:rsidRPr="00F219CA" w:rsidRDefault="009A1B0E" w:rsidP="009A1B0E">
      <w:pPr>
        <w:pStyle w:val="12"/>
      </w:pPr>
      <w:r w:rsidRPr="00F219CA">
        <w:t xml:space="preserve">ISSN: </w:t>
      </w:r>
    </w:p>
    <w:p w:rsidR="009A1B0E" w:rsidRPr="00F219CA" w:rsidRDefault="009A1B0E" w:rsidP="009A1B0E">
      <w:pPr>
        <w:pStyle w:val="12"/>
      </w:pPr>
      <w:r w:rsidRPr="00F219CA">
        <w:t xml:space="preserve">Issues/Year: </w:t>
      </w:r>
    </w:p>
    <w:p w:rsidR="009A1B0E" w:rsidRPr="00F219CA" w:rsidRDefault="009A1B0E" w:rsidP="009A1B0E">
      <w:pPr>
        <w:pStyle w:val="12"/>
      </w:pPr>
      <w:r w:rsidRPr="00F219CA">
        <w:t xml:space="preserve">Journal Country/Territory: </w:t>
      </w:r>
    </w:p>
    <w:p w:rsidR="009A1B0E" w:rsidRPr="00F219CA" w:rsidRDefault="009A1B0E" w:rsidP="009A1B0E">
      <w:pPr>
        <w:pStyle w:val="12"/>
      </w:pPr>
      <w:r w:rsidRPr="00F219CA">
        <w:t xml:space="preserve">Language: </w:t>
      </w:r>
    </w:p>
    <w:p w:rsidR="009A1B0E" w:rsidRPr="00F219CA" w:rsidRDefault="009A1B0E" w:rsidP="009A1B0E">
      <w:pPr>
        <w:pStyle w:val="12"/>
      </w:pPr>
      <w:r w:rsidRPr="00F219CA">
        <w:t xml:space="preserve">Publisher: </w:t>
      </w:r>
    </w:p>
    <w:p w:rsidR="009A1B0E" w:rsidRPr="00F219CA" w:rsidRDefault="009A1B0E" w:rsidP="009A1B0E">
      <w:pPr>
        <w:pStyle w:val="12"/>
      </w:pPr>
      <w:r w:rsidRPr="00F219CA">
        <w:t xml:space="preserve">Publisher Address: </w:t>
      </w:r>
    </w:p>
    <w:p w:rsidR="009A1B0E" w:rsidRPr="00F219CA" w:rsidRDefault="009A1B0E" w:rsidP="009A1B0E">
      <w:pPr>
        <w:pStyle w:val="12"/>
      </w:pPr>
      <w:r w:rsidRPr="00F219CA">
        <w:t xml:space="preserve">Subject Categories: </w:t>
      </w:r>
    </w:p>
    <w:p w:rsidR="009A1B0E" w:rsidRPr="00F219CA" w:rsidRDefault="009A1B0E" w:rsidP="009A1B0E">
      <w:pPr>
        <w:pStyle w:val="12"/>
      </w:pPr>
      <w:r w:rsidRPr="00F219CA">
        <w:t>: Impact Factor</w:t>
      </w:r>
    </w:p>
    <w:p w:rsidR="00376E15" w:rsidRDefault="00376E15" w:rsidP="00376E15">
      <w:pPr>
        <w:pStyle w:val="a3"/>
        <w:rPr>
          <w:kern w:val="0"/>
        </w:rPr>
      </w:pPr>
      <w:r>
        <w:rPr>
          <w:rFonts w:hint="eastAsia"/>
          <w:kern w:val="0"/>
        </w:rPr>
        <w:t xml:space="preserve">? </w:t>
      </w:r>
      <w:r>
        <w:rPr>
          <w:kern w:val="0"/>
        </w:rPr>
        <w:t xml:space="preserve">He, Q.Q., Wang, H.Z., Yue, Z.J., Yang, L., Tian, J.Q., Liu, G.M., Gupta, S., Daneshgari, F. and Wang, Z.P. (2014), Waist circumference and risk of lower urinary tract symptoms: A meta-analysis. </w:t>
      </w:r>
      <w:r w:rsidRPr="00376E15">
        <w:rPr>
          <w:i/>
          <w:iCs/>
          <w:kern w:val="0"/>
        </w:rPr>
        <w:t>Aging Male</w:t>
      </w:r>
      <w:r>
        <w:rPr>
          <w:kern w:val="0"/>
        </w:rPr>
        <w:t xml:space="preserve">, </w:t>
      </w:r>
      <w:r>
        <w:rPr>
          <w:b/>
          <w:bCs/>
          <w:kern w:val="0"/>
        </w:rPr>
        <w:t>17</w:t>
      </w:r>
      <w:r>
        <w:rPr>
          <w:kern w:val="0"/>
        </w:rPr>
        <w:t xml:space="preserve"> (4), 223-229.</w:t>
      </w:r>
    </w:p>
    <w:p w:rsidR="00376E15" w:rsidRDefault="00376E15" w:rsidP="00376E15">
      <w:pPr>
        <w:pStyle w:val="a3"/>
        <w:rPr>
          <w:kern w:val="0"/>
        </w:rPr>
      </w:pPr>
      <w:r>
        <w:rPr>
          <w:rFonts w:hint="eastAsia"/>
          <w:kern w:val="0"/>
        </w:rPr>
        <w:t xml:space="preserve">Full Text: </w:t>
      </w:r>
      <w:hyperlink r:id="rId324" w:history="1">
        <w:r w:rsidRPr="00376E15">
          <w:rPr>
            <w:rStyle w:val="a5"/>
            <w:kern w:val="0"/>
          </w:rPr>
          <w:t>2014\Agi Mal17, 223.pdf</w:t>
        </w:r>
      </w:hyperlink>
    </w:p>
    <w:p w:rsidR="00376E15" w:rsidRDefault="00376E15" w:rsidP="00376E15">
      <w:pPr>
        <w:pStyle w:val="a3"/>
        <w:rPr>
          <w:kern w:val="0"/>
        </w:rPr>
      </w:pPr>
      <w:r>
        <w:rPr>
          <w:kern w:val="0"/>
        </w:rPr>
        <w:t>Abstract: Background and objective: Epidemiological studies have reported conflicting results concerning the role of central obesity in lower urinary tract symptoms. We performed a meta-analysis to determine whether larger waist circumference (WC) is a predicted signal for Lower Urinary Tract Symptoms (LUT). Data resource: Eligible studies were retrieved by searching PubMed, Web of science, and the Cochrane Library database up to January 2014. Study eligibility criteria: Prospective and retrospective cohort, case-controlled trials and observational studies. Data extraction: Data were extracted and analyzed using random effect models to reveal an array of risk factors. Dose-response meta-analysis was performed for studies reporting categorical risk estimates at multiple exposure levels. Study heterogeneity and publication biases were assessed. Data synthesis: A total of 12 studies met the inclusion criteria of the meta-analysis. A positive association with waist circumference (WC) was observed between WC and LUTS at an odds ratio of 1.49, (95% confidence intervals 1.34-1.64). In subgroup analysis, WC exhibited a positive dose-dependent relationship with LUTS in mostly study design, region and primary outcomes. Limitation: Potential biases from preferential publication and selective reporting. Conclusion: Large WC is associated with increased risk of LUTS. Further studies are needed to confirm this finding and to define related biological mechanisms.</w:t>
      </w:r>
    </w:p>
    <w:p w:rsidR="00376E15" w:rsidRDefault="00376E15" w:rsidP="00376E15">
      <w:pPr>
        <w:pStyle w:val="a3"/>
        <w:rPr>
          <w:kern w:val="0"/>
        </w:rPr>
      </w:pPr>
      <w:r>
        <w:rPr>
          <w:kern w:val="0"/>
        </w:rPr>
        <w:t xml:space="preserve">Keywords: Analysis, Association, Benign Prostatic Hyperplasia, Biological, Body-Mass Index, Central Obesity, Cohort, Confidence, Confidence Intervals, Criteria, Data, </w:t>
      </w:r>
      <w:r>
        <w:rPr>
          <w:kern w:val="0"/>
        </w:rPr>
        <w:lastRenderedPageBreak/>
        <w:t>Database, Design, Dose Response, Estimates, Exposure, Extraction, Factors, From, Health, Heterogeneity, Impact, Incontinence, Insulin-Resistance, Intervals, Lower Urinary Tract Symptoms, Luts, Mechanisms, Meta Analysis, Meta-Analysis, Metaanalysis, Metabolic Syndrome, Models, Obesity, Observational, Observational Studies, Odds Ratio, Outcomes, Primary, Prospective, Publication, Pubmed, Quality-Of-Life, Region, Reporting, Risk, Risk Factors, Role, Science, Study Design, Symptoms, Synthesis, Urinary, Waist Circumference, Web, Web Of Science, Women</w:t>
      </w:r>
    </w:p>
    <w:p w:rsidR="009862B3" w:rsidRPr="00F219CA" w:rsidRDefault="009862B3" w:rsidP="009862B3">
      <w:pPr>
        <w:pStyle w:val="1"/>
      </w:pPr>
      <w:r w:rsidRPr="00F219CA">
        <w:br w:type="page"/>
      </w:r>
      <w:bookmarkStart w:id="171" w:name="_Toc420814338"/>
      <w:r w:rsidRPr="00F219CA">
        <w:lastRenderedPageBreak/>
        <w:t xml:space="preserve">Title: </w:t>
      </w:r>
      <w:r w:rsidRPr="009862B3">
        <w:t>Aging &amp; Mental Health</w:t>
      </w:r>
      <w:bookmarkEnd w:id="171"/>
    </w:p>
    <w:p w:rsidR="009862B3" w:rsidRPr="00F219CA" w:rsidRDefault="009862B3" w:rsidP="009862B3">
      <w:pPr>
        <w:pStyle w:val="12"/>
      </w:pPr>
      <w:r w:rsidRPr="00F219CA">
        <w:t xml:space="preserve">Full Journal Title: </w:t>
      </w:r>
      <w:r w:rsidRPr="009862B3">
        <w:rPr>
          <w:iCs/>
          <w:kern w:val="0"/>
        </w:rPr>
        <w:t>Aging &amp; Mental Health</w:t>
      </w:r>
    </w:p>
    <w:p w:rsidR="009862B3" w:rsidRPr="00F219CA" w:rsidRDefault="009862B3" w:rsidP="009862B3">
      <w:pPr>
        <w:pStyle w:val="12"/>
      </w:pPr>
      <w:r w:rsidRPr="00F219CA">
        <w:t xml:space="preserve">ISO Abbreviated Title: </w:t>
      </w:r>
    </w:p>
    <w:p w:rsidR="009862B3" w:rsidRPr="00F219CA" w:rsidRDefault="009862B3" w:rsidP="009862B3">
      <w:pPr>
        <w:pStyle w:val="12"/>
      </w:pPr>
      <w:r w:rsidRPr="00F219CA">
        <w:t xml:space="preserve">JCR Abbreviated Title: </w:t>
      </w:r>
    </w:p>
    <w:p w:rsidR="009862B3" w:rsidRPr="00F219CA" w:rsidRDefault="009862B3" w:rsidP="009862B3">
      <w:pPr>
        <w:pStyle w:val="12"/>
      </w:pPr>
      <w:r w:rsidRPr="00F219CA">
        <w:t xml:space="preserve">ISSN: </w:t>
      </w:r>
    </w:p>
    <w:p w:rsidR="009862B3" w:rsidRPr="00F219CA" w:rsidRDefault="009862B3" w:rsidP="009862B3">
      <w:pPr>
        <w:pStyle w:val="12"/>
      </w:pPr>
      <w:r w:rsidRPr="00F219CA">
        <w:t xml:space="preserve">Issues/Year: </w:t>
      </w:r>
    </w:p>
    <w:p w:rsidR="009862B3" w:rsidRPr="00F219CA" w:rsidRDefault="009862B3" w:rsidP="009862B3">
      <w:pPr>
        <w:pStyle w:val="12"/>
      </w:pPr>
      <w:r w:rsidRPr="00F219CA">
        <w:t xml:space="preserve">Journal Country/Territory: </w:t>
      </w:r>
    </w:p>
    <w:p w:rsidR="009862B3" w:rsidRPr="00F219CA" w:rsidRDefault="009862B3" w:rsidP="009862B3">
      <w:pPr>
        <w:pStyle w:val="12"/>
      </w:pPr>
      <w:r w:rsidRPr="00F219CA">
        <w:t xml:space="preserve">Language: </w:t>
      </w:r>
    </w:p>
    <w:p w:rsidR="009862B3" w:rsidRPr="00F219CA" w:rsidRDefault="009862B3" w:rsidP="009862B3">
      <w:pPr>
        <w:pStyle w:val="12"/>
      </w:pPr>
      <w:r w:rsidRPr="00F219CA">
        <w:t xml:space="preserve">Publisher: </w:t>
      </w:r>
    </w:p>
    <w:p w:rsidR="009862B3" w:rsidRPr="00F219CA" w:rsidRDefault="009862B3" w:rsidP="009862B3">
      <w:pPr>
        <w:pStyle w:val="12"/>
      </w:pPr>
      <w:r w:rsidRPr="00F219CA">
        <w:t xml:space="preserve">Publisher Address: </w:t>
      </w:r>
    </w:p>
    <w:p w:rsidR="009862B3" w:rsidRPr="00F219CA" w:rsidRDefault="009862B3" w:rsidP="009862B3">
      <w:pPr>
        <w:pStyle w:val="12"/>
      </w:pPr>
      <w:r w:rsidRPr="00F219CA">
        <w:t xml:space="preserve">Subject Categories: </w:t>
      </w:r>
    </w:p>
    <w:p w:rsidR="009862B3" w:rsidRPr="00F219CA" w:rsidRDefault="009862B3" w:rsidP="009862B3">
      <w:pPr>
        <w:pStyle w:val="12"/>
      </w:pPr>
      <w:r w:rsidRPr="00F219CA">
        <w:t>: Impact Factor</w:t>
      </w:r>
    </w:p>
    <w:p w:rsidR="009862B3" w:rsidRDefault="009862B3" w:rsidP="009862B3">
      <w:pPr>
        <w:pStyle w:val="a3"/>
        <w:rPr>
          <w:kern w:val="0"/>
        </w:rPr>
      </w:pPr>
      <w:r>
        <w:rPr>
          <w:rFonts w:hint="eastAsia"/>
          <w:kern w:val="0"/>
        </w:rPr>
        <w:t xml:space="preserve">? </w:t>
      </w:r>
      <w:r>
        <w:rPr>
          <w:kern w:val="0"/>
        </w:rPr>
        <w:t xml:space="preserve">Bowling, A., Rowe, G., Adams, S., Sands, P., Samsi, K., Crane, M., Joly, L. and Manthorpe, J. (2015), Quality of life in dementia: A systematically conducted narrative review of dementia-specific measurement scales. </w:t>
      </w:r>
      <w:r w:rsidRPr="009862B3">
        <w:rPr>
          <w:i/>
          <w:iCs/>
          <w:kern w:val="0"/>
        </w:rPr>
        <w:t>Aging &amp; Mental Health</w:t>
      </w:r>
      <w:r>
        <w:rPr>
          <w:kern w:val="0"/>
        </w:rPr>
        <w:t xml:space="preserve">, </w:t>
      </w:r>
      <w:r>
        <w:rPr>
          <w:b/>
          <w:bCs/>
          <w:kern w:val="0"/>
        </w:rPr>
        <w:t>19</w:t>
      </w:r>
      <w:r>
        <w:rPr>
          <w:kern w:val="0"/>
        </w:rPr>
        <w:t xml:space="preserve"> (1), 13-31.</w:t>
      </w:r>
    </w:p>
    <w:p w:rsidR="009862B3" w:rsidRDefault="009862B3" w:rsidP="009862B3">
      <w:pPr>
        <w:pStyle w:val="a3"/>
        <w:rPr>
          <w:kern w:val="0"/>
        </w:rPr>
      </w:pPr>
      <w:r>
        <w:rPr>
          <w:rFonts w:hint="eastAsia"/>
          <w:kern w:val="0"/>
        </w:rPr>
        <w:t xml:space="preserve">Full Text: </w:t>
      </w:r>
      <w:hyperlink r:id="rId325" w:history="1">
        <w:r w:rsidR="00120FEE" w:rsidRPr="00120FEE">
          <w:rPr>
            <w:rStyle w:val="a5"/>
            <w:kern w:val="0"/>
          </w:rPr>
          <w:t>2015\Agi Men Hea19, 13.pdf</w:t>
        </w:r>
      </w:hyperlink>
    </w:p>
    <w:p w:rsidR="009862B3" w:rsidRDefault="009862B3" w:rsidP="009862B3">
      <w:pPr>
        <w:pStyle w:val="a3"/>
        <w:rPr>
          <w:kern w:val="0"/>
        </w:rPr>
      </w:pPr>
      <w:r>
        <w:rPr>
          <w:kern w:val="0"/>
        </w:rPr>
        <w:t xml:space="preserve">Abstract: Objectives: Ascertaining the quality of life (QoL) in people with dementia is important for evaluating service outcomes and cost-effectiveness. This paper identifies QoL measures for people with dementia and assesses their properties. Method: A systematic narrative review identified articles using dementia QoL measures. Electronic databases searched were AMED, CINAHL, EMBASE, Index to Theses, IBSS, MEDLINE, PsycINFO, Sociological Abstracts, and Web of Science. All available years and languages (if with an English language abstract) were included. Results: Searches yielded 6806 citations; 3043 were multiple duplicates (759 being true duplicates). Abstracts were read; 182 full papers were selected/obtained, of which 126 were included as relevant. Few measures were based on rigorous conceptual frameworks. Some referenced Lawton’s model (Dementia Quality of Life [DQOL] and Quality of Life in Alzheimer’s Disease [QOL-AD]), though these tapped part of this only; others claimed relationship to a health-related QoL concept (e.g. DEMQOL), though had less social relevance; others were based on limited domains (e.g. activity, affect) or clinical opinions (Quality of Life in Late-Stage Dementia [QUALID]). Many measures were based on proxy assessments or observations of people with dementia’s QoL, rather than their own ratings. The Bath Assessment of Subjective Quality of Life in Dementia (BASQID) was developed involving people with dementia and caregivers, but excluded some of their main themes. All measures were tested on selective samples only (ranging from </w:t>
      </w:r>
      <w:r>
        <w:rPr>
          <w:kern w:val="0"/>
        </w:rPr>
        <w:lastRenderedPageBreak/>
        <w:t>community to hospital clinics, or subsamples/waves of existing population surveys), in a few sites. Their general applicability remains unknown, and predictive validity remains largely untested. Conclusion: The lack of consensus on measuring QoL in dementia suggests a need for a broader, more rigorously tested QoL measure.</w:t>
      </w:r>
    </w:p>
    <w:p w:rsidR="009862B3" w:rsidRDefault="009862B3" w:rsidP="009862B3">
      <w:pPr>
        <w:pStyle w:val="a3"/>
        <w:rPr>
          <w:kern w:val="0"/>
        </w:rPr>
      </w:pPr>
      <w:r>
        <w:rPr>
          <w:kern w:val="0"/>
        </w:rPr>
        <w:t>Keywords: Activity, Affect, Alzheimer’</w:t>
      </w:r>
      <w:r w:rsidR="00923C4A">
        <w:rPr>
          <w:rFonts w:hint="eastAsia"/>
          <w:kern w:val="0"/>
        </w:rPr>
        <w:t>s</w:t>
      </w:r>
      <w:r>
        <w:rPr>
          <w:kern w:val="0"/>
        </w:rPr>
        <w:t>, Alzheimers-Disease Patients, Articles, Assessment, Assessments, Care, Caregivers, Citations, Clinical, Cognitive Impairment, Community, Concept, Consensus, Cost Effectiveness, Cost-Effectiveness, Databases, Dementia, Disease, Embase, English, Events Schedule-Ad, From, General, Hospital, Instrument, Language, Languages, Life, Measure, Measurement, Measurement Scale, Measures, Medline, Model, Observations, Opinions, Outcomes, Papers, People, Performance, Population, Predictive, Properties, Psychometrics, Psycinfo, Quality, Quality Of, Quality Of Life, Questionnaire, Relevance, Reliability, Results, Review, Scales, Science, Service, Social, Surveys, Symptoms, Systematic, Theses, To-Moderate Dementia, Validity, Web, Web Of Science</w:t>
      </w:r>
    </w:p>
    <w:p w:rsidR="00C64B5A" w:rsidRPr="00F219CA" w:rsidRDefault="00C64B5A" w:rsidP="00C64B5A">
      <w:pPr>
        <w:pStyle w:val="1"/>
      </w:pPr>
      <w:r w:rsidRPr="00F219CA">
        <w:br w:type="page"/>
      </w:r>
      <w:bookmarkStart w:id="172" w:name="_Toc420814339"/>
      <w:r w:rsidRPr="00F219CA">
        <w:lastRenderedPageBreak/>
        <w:t xml:space="preserve">Title: </w:t>
      </w:r>
      <w:r w:rsidRPr="00DD02E5">
        <w:rPr>
          <w:szCs w:val="24"/>
        </w:rPr>
        <w:t>Aging Neuropsychology</w:t>
      </w:r>
      <w:r w:rsidR="005853A9">
        <w:rPr>
          <w:szCs w:val="24"/>
        </w:rPr>
        <w:t xml:space="preserve"> and </w:t>
      </w:r>
      <w:r w:rsidRPr="00DD02E5">
        <w:rPr>
          <w:szCs w:val="24"/>
        </w:rPr>
        <w:t>Cognition</w:t>
      </w:r>
      <w:bookmarkEnd w:id="172"/>
    </w:p>
    <w:p w:rsidR="00C64B5A" w:rsidRPr="00F219CA" w:rsidRDefault="00C64B5A" w:rsidP="00C64B5A">
      <w:pPr>
        <w:pStyle w:val="12"/>
      </w:pPr>
      <w:r w:rsidRPr="00F219CA">
        <w:t xml:space="preserve">Full Journal Title: </w:t>
      </w:r>
      <w:r w:rsidRPr="00DD02E5">
        <w:rPr>
          <w:iCs/>
          <w:kern w:val="0"/>
        </w:rPr>
        <w:t>Aging Neuropsychology</w:t>
      </w:r>
      <w:r w:rsidR="005853A9">
        <w:rPr>
          <w:iCs/>
          <w:kern w:val="0"/>
        </w:rPr>
        <w:t xml:space="preserve"> and </w:t>
      </w:r>
      <w:r w:rsidRPr="00DD02E5">
        <w:rPr>
          <w:iCs/>
          <w:kern w:val="0"/>
        </w:rPr>
        <w:t>Cognition</w:t>
      </w:r>
    </w:p>
    <w:p w:rsidR="00C64B5A" w:rsidRPr="00F219CA" w:rsidRDefault="00C64B5A" w:rsidP="00C64B5A">
      <w:pPr>
        <w:pStyle w:val="12"/>
      </w:pPr>
      <w:r w:rsidRPr="00F219CA">
        <w:t xml:space="preserve">ISO Abbreviated Title: </w:t>
      </w:r>
    </w:p>
    <w:p w:rsidR="00C64B5A" w:rsidRPr="00F219CA" w:rsidRDefault="00C64B5A" w:rsidP="00C64B5A">
      <w:pPr>
        <w:pStyle w:val="12"/>
      </w:pPr>
      <w:r w:rsidRPr="00F219CA">
        <w:t xml:space="preserve">JCR Abbreviated Title: </w:t>
      </w:r>
    </w:p>
    <w:p w:rsidR="00C64B5A" w:rsidRPr="00F219CA" w:rsidRDefault="00C64B5A" w:rsidP="00C64B5A">
      <w:pPr>
        <w:pStyle w:val="12"/>
      </w:pPr>
      <w:r w:rsidRPr="00F219CA">
        <w:t xml:space="preserve">ISSN: </w:t>
      </w:r>
    </w:p>
    <w:p w:rsidR="00C64B5A" w:rsidRPr="00F219CA" w:rsidRDefault="00C64B5A" w:rsidP="00C64B5A">
      <w:pPr>
        <w:pStyle w:val="12"/>
      </w:pPr>
      <w:r w:rsidRPr="00F219CA">
        <w:t xml:space="preserve">Issues/Year: </w:t>
      </w:r>
    </w:p>
    <w:p w:rsidR="00C64B5A" w:rsidRPr="00F219CA" w:rsidRDefault="00C64B5A" w:rsidP="00C64B5A">
      <w:pPr>
        <w:pStyle w:val="12"/>
      </w:pPr>
      <w:r w:rsidRPr="00F219CA">
        <w:t xml:space="preserve">Journal Country/Territory: </w:t>
      </w:r>
    </w:p>
    <w:p w:rsidR="00C64B5A" w:rsidRPr="00F219CA" w:rsidRDefault="00C64B5A" w:rsidP="00C64B5A">
      <w:pPr>
        <w:pStyle w:val="12"/>
      </w:pPr>
      <w:r w:rsidRPr="00F219CA">
        <w:t xml:space="preserve">Language: </w:t>
      </w:r>
    </w:p>
    <w:p w:rsidR="00C64B5A" w:rsidRPr="00F219CA" w:rsidRDefault="00C64B5A" w:rsidP="00C64B5A">
      <w:pPr>
        <w:pStyle w:val="12"/>
      </w:pPr>
      <w:r w:rsidRPr="00F219CA">
        <w:t xml:space="preserve">Publisher: </w:t>
      </w:r>
    </w:p>
    <w:p w:rsidR="00C64B5A" w:rsidRPr="00F219CA" w:rsidRDefault="00C64B5A" w:rsidP="00C64B5A">
      <w:pPr>
        <w:pStyle w:val="12"/>
      </w:pPr>
      <w:r w:rsidRPr="00F219CA">
        <w:t xml:space="preserve">Publisher Address: </w:t>
      </w:r>
    </w:p>
    <w:p w:rsidR="00C64B5A" w:rsidRPr="00F219CA" w:rsidRDefault="00C64B5A" w:rsidP="00C64B5A">
      <w:pPr>
        <w:pStyle w:val="12"/>
      </w:pPr>
      <w:r w:rsidRPr="00F219CA">
        <w:t xml:space="preserve">Subject Categories: </w:t>
      </w:r>
    </w:p>
    <w:p w:rsidR="00C64B5A" w:rsidRPr="00F219CA" w:rsidRDefault="00C64B5A" w:rsidP="00C64B5A">
      <w:pPr>
        <w:pStyle w:val="12"/>
      </w:pPr>
      <w:r w:rsidRPr="00F219CA">
        <w:t>: Impact Factor</w:t>
      </w:r>
    </w:p>
    <w:p w:rsidR="00C64B5A" w:rsidRDefault="00C64B5A" w:rsidP="00C64B5A">
      <w:pPr>
        <w:pStyle w:val="a3"/>
        <w:rPr>
          <w:kern w:val="0"/>
          <w:szCs w:val="24"/>
        </w:rPr>
      </w:pPr>
      <w:r>
        <w:rPr>
          <w:rFonts w:hint="eastAsia"/>
          <w:kern w:val="0"/>
          <w:szCs w:val="24"/>
        </w:rPr>
        <w:t xml:space="preserve">? </w:t>
      </w:r>
      <w:r>
        <w:rPr>
          <w:kern w:val="0"/>
          <w:szCs w:val="24"/>
        </w:rPr>
        <w:t>Morra, L., Zade, D., McGlinchey, R.E.</w:t>
      </w:r>
      <w:r w:rsidR="005853A9">
        <w:rPr>
          <w:kern w:val="0"/>
          <w:szCs w:val="24"/>
        </w:rPr>
        <w:t xml:space="preserve"> and </w:t>
      </w:r>
      <w:r>
        <w:rPr>
          <w:kern w:val="0"/>
          <w:szCs w:val="24"/>
        </w:rPr>
        <w:t>Milberg, W.P. (2013), Normal aging</w:t>
      </w:r>
      <w:r w:rsidR="005853A9">
        <w:rPr>
          <w:kern w:val="0"/>
          <w:szCs w:val="24"/>
        </w:rPr>
        <w:t xml:space="preserve"> and </w:t>
      </w:r>
      <w:r>
        <w:rPr>
          <w:kern w:val="0"/>
          <w:szCs w:val="24"/>
        </w:rPr>
        <w:t>cognition: The unacknowledged contribution</w:t>
      </w:r>
      <w:r w:rsidR="00427468">
        <w:rPr>
          <w:kern w:val="0"/>
          <w:szCs w:val="24"/>
        </w:rPr>
        <w:t xml:space="preserve"> of </w:t>
      </w:r>
      <w:r>
        <w:rPr>
          <w:kern w:val="0"/>
          <w:szCs w:val="24"/>
        </w:rPr>
        <w:t xml:space="preserve">cerebrovascular risk factors. </w:t>
      </w:r>
      <w:r w:rsidRPr="00DD02E5">
        <w:rPr>
          <w:i/>
          <w:iCs/>
          <w:kern w:val="0"/>
          <w:szCs w:val="24"/>
        </w:rPr>
        <w:t>Aging Neuropsychology</w:t>
      </w:r>
      <w:r w:rsidR="005853A9">
        <w:rPr>
          <w:i/>
          <w:iCs/>
          <w:kern w:val="0"/>
          <w:szCs w:val="24"/>
        </w:rPr>
        <w:t xml:space="preserve"> and </w:t>
      </w:r>
      <w:r w:rsidRPr="00DD02E5">
        <w:rPr>
          <w:i/>
          <w:iCs/>
          <w:kern w:val="0"/>
          <w:szCs w:val="24"/>
        </w:rPr>
        <w:t>Cognition</w:t>
      </w:r>
      <w:r>
        <w:rPr>
          <w:kern w:val="0"/>
          <w:szCs w:val="24"/>
        </w:rPr>
        <w:t xml:space="preserve">, </w:t>
      </w:r>
      <w:r>
        <w:rPr>
          <w:b/>
          <w:bCs/>
          <w:kern w:val="0"/>
          <w:szCs w:val="24"/>
        </w:rPr>
        <w:t>20</w:t>
      </w:r>
      <w:r>
        <w:rPr>
          <w:kern w:val="0"/>
          <w:szCs w:val="24"/>
        </w:rPr>
        <w:t xml:space="preserve"> (3), 271-297.</w:t>
      </w:r>
    </w:p>
    <w:p w:rsidR="00C64B5A" w:rsidRDefault="00C64B5A" w:rsidP="00C64B5A">
      <w:pPr>
        <w:pStyle w:val="a3"/>
        <w:rPr>
          <w:kern w:val="0"/>
          <w:szCs w:val="24"/>
        </w:rPr>
      </w:pPr>
      <w:r>
        <w:rPr>
          <w:rFonts w:hint="eastAsia"/>
          <w:kern w:val="0"/>
          <w:szCs w:val="24"/>
        </w:rPr>
        <w:t xml:space="preserve">Full Text: </w:t>
      </w:r>
      <w:hyperlink r:id="rId326" w:history="1">
        <w:r w:rsidRPr="00DD02E5">
          <w:rPr>
            <w:rStyle w:val="a5"/>
            <w:kern w:val="0"/>
            <w:szCs w:val="24"/>
          </w:rPr>
          <w:t>2013\Agi Neu Cog20, 271.pdf</w:t>
        </w:r>
      </w:hyperlink>
    </w:p>
    <w:p w:rsidR="00C64B5A" w:rsidRDefault="00C64B5A" w:rsidP="00C64B5A">
      <w:pPr>
        <w:pStyle w:val="a3"/>
        <w:rPr>
          <w:kern w:val="0"/>
          <w:szCs w:val="24"/>
        </w:rPr>
      </w:pPr>
      <w:r>
        <w:rPr>
          <w:kern w:val="0"/>
          <w:szCs w:val="24"/>
        </w:rPr>
        <w:t>Abstract: Despite the widespread assumption that cognitive decline is an inherent part</w:t>
      </w:r>
      <w:r w:rsidR="00427468">
        <w:rPr>
          <w:kern w:val="0"/>
          <w:szCs w:val="24"/>
        </w:rPr>
        <w:t xml:space="preserve"> of </w:t>
      </w:r>
      <w:r>
        <w:rPr>
          <w:kern w:val="0"/>
          <w:szCs w:val="24"/>
        </w:rPr>
        <w:t>the normal aging process, research suggests that part</w:t>
      </w:r>
      <w:r w:rsidR="00427468">
        <w:rPr>
          <w:kern w:val="0"/>
          <w:szCs w:val="24"/>
        </w:rPr>
        <w:t xml:space="preserve"> of </w:t>
      </w:r>
      <w:r>
        <w:rPr>
          <w:kern w:val="0"/>
          <w:szCs w:val="24"/>
        </w:rPr>
        <w:t>the variance in age-related cognitive decline is attributable to modifiable factors common in geriatric populations such as cerebrovascular risk factors. We completed a literature search using Science Citation Index</w:t>
      </w:r>
      <w:r w:rsidR="005853A9">
        <w:rPr>
          <w:kern w:val="0"/>
          <w:szCs w:val="24"/>
        </w:rPr>
        <w:t xml:space="preserve"> and </w:t>
      </w:r>
      <w:r>
        <w:rPr>
          <w:kern w:val="0"/>
          <w:szCs w:val="24"/>
        </w:rPr>
        <w:t>evaluated the most cited articles from the last 10 years to determine the extent to which investigations</w:t>
      </w:r>
      <w:r w:rsidR="00427468">
        <w:rPr>
          <w:kern w:val="0"/>
          <w:szCs w:val="24"/>
        </w:rPr>
        <w:t xml:space="preserve"> of </w:t>
      </w:r>
      <w:r>
        <w:rPr>
          <w:kern w:val="0"/>
          <w:szCs w:val="24"/>
        </w:rPr>
        <w:t>normal aging</w:t>
      </w:r>
      <w:r w:rsidR="005853A9">
        <w:rPr>
          <w:kern w:val="0"/>
          <w:szCs w:val="24"/>
        </w:rPr>
        <w:t xml:space="preserve"> and </w:t>
      </w:r>
      <w:r>
        <w:rPr>
          <w:kern w:val="0"/>
          <w:szCs w:val="24"/>
        </w:rPr>
        <w:t>cognition account for the influence</w:t>
      </w:r>
      <w:r w:rsidR="00427468">
        <w:rPr>
          <w:kern w:val="0"/>
          <w:szCs w:val="24"/>
        </w:rPr>
        <w:t xml:space="preserve"> of </w:t>
      </w:r>
      <w:r>
        <w:rPr>
          <w:kern w:val="0"/>
          <w:szCs w:val="24"/>
        </w:rPr>
        <w:t>cerebrovascular risk factors. We found that the majority</w:t>
      </w:r>
      <w:r w:rsidR="00427468">
        <w:rPr>
          <w:kern w:val="0"/>
          <w:szCs w:val="24"/>
        </w:rPr>
        <w:t xml:space="preserve"> of </w:t>
      </w:r>
      <w:r>
        <w:rPr>
          <w:kern w:val="0"/>
          <w:szCs w:val="24"/>
        </w:rPr>
        <w:t>the most frequently cited literature does not adequately account for the contribution</w:t>
      </w:r>
      <w:r w:rsidR="00427468">
        <w:rPr>
          <w:kern w:val="0"/>
          <w:szCs w:val="24"/>
        </w:rPr>
        <w:t xml:space="preserve"> of </w:t>
      </w:r>
      <w:r>
        <w:rPr>
          <w:kern w:val="0"/>
          <w:szCs w:val="24"/>
        </w:rPr>
        <w:t>cerebrovascular risk factors</w:t>
      </w:r>
      <w:r w:rsidR="005853A9">
        <w:rPr>
          <w:kern w:val="0"/>
          <w:szCs w:val="24"/>
        </w:rPr>
        <w:t xml:space="preserve"> and </w:t>
      </w:r>
      <w:r>
        <w:rPr>
          <w:kern w:val="0"/>
          <w:szCs w:val="24"/>
        </w:rPr>
        <w:t>therefore, it is possible that many conclusions about normal aging</w:t>
      </w:r>
      <w:r w:rsidR="005853A9">
        <w:rPr>
          <w:kern w:val="0"/>
          <w:szCs w:val="24"/>
        </w:rPr>
        <w:t xml:space="preserve"> and </w:t>
      </w:r>
      <w:r>
        <w:rPr>
          <w:kern w:val="0"/>
          <w:szCs w:val="24"/>
        </w:rPr>
        <w:t>cognition are flawed or incomplete. Further investigation</w:t>
      </w:r>
      <w:r w:rsidR="00427468">
        <w:rPr>
          <w:kern w:val="0"/>
          <w:szCs w:val="24"/>
        </w:rPr>
        <w:t xml:space="preserve"> of </w:t>
      </w:r>
      <w:r>
        <w:rPr>
          <w:kern w:val="0"/>
          <w:szCs w:val="24"/>
        </w:rPr>
        <w:t>the role</w:t>
      </w:r>
      <w:r w:rsidR="00427468">
        <w:rPr>
          <w:kern w:val="0"/>
          <w:szCs w:val="24"/>
        </w:rPr>
        <w:t xml:space="preserve"> of </w:t>
      </w:r>
      <w:r>
        <w:rPr>
          <w:kern w:val="0"/>
          <w:szCs w:val="24"/>
        </w:rPr>
        <w:t>cerebrovascular risk factors in age-related cognitive decline is imperative to more accurately understand the effect</w:t>
      </w:r>
      <w:r w:rsidR="00427468">
        <w:rPr>
          <w:kern w:val="0"/>
          <w:szCs w:val="24"/>
        </w:rPr>
        <w:t xml:space="preserve"> of </w:t>
      </w:r>
      <w:r>
        <w:rPr>
          <w:kern w:val="0"/>
          <w:szCs w:val="24"/>
        </w:rPr>
        <w:t>aging on cognition.</w:t>
      </w:r>
    </w:p>
    <w:p w:rsidR="00C64B5A" w:rsidRDefault="00C64B5A" w:rsidP="00C64B5A">
      <w:pPr>
        <w:pStyle w:val="a3"/>
        <w:rPr>
          <w:kern w:val="0"/>
          <w:szCs w:val="24"/>
        </w:rPr>
      </w:pPr>
      <w:r>
        <w:rPr>
          <w:kern w:val="0"/>
          <w:szCs w:val="24"/>
        </w:rPr>
        <w:t>Keywords: Aging, Blood-Pressure, Cardiovascular Risk, Cerebrovascular, Citation, Cognition, Differential Vulnerability, Dopaminergic System, Geriatric, Investigation, Investigations, Literature, Neuropsychology, Normal, Older-Adults, Populations, Research, Risk, Risk Factors, Role, Science, Science Citation Index, Self-Report, United-States, Vascular Risk, White-Matter, Working-Memory</w:t>
      </w:r>
    </w:p>
    <w:p w:rsidR="00A465A1" w:rsidRPr="00F219CA" w:rsidRDefault="00A465A1" w:rsidP="00A465A1">
      <w:pPr>
        <w:pStyle w:val="1"/>
      </w:pPr>
      <w:r w:rsidRPr="00F219CA">
        <w:br w:type="page"/>
      </w:r>
      <w:bookmarkStart w:id="173" w:name="_Toc420814340"/>
      <w:r w:rsidRPr="00F219CA">
        <w:lastRenderedPageBreak/>
        <w:t xml:space="preserve">Title: </w:t>
      </w:r>
      <w:r w:rsidRPr="00A465A1">
        <w:rPr>
          <w:iCs w:val="0"/>
        </w:rPr>
        <w:t>Agrekon</w:t>
      </w:r>
      <w:bookmarkEnd w:id="173"/>
    </w:p>
    <w:p w:rsidR="00A465A1" w:rsidRPr="00F219CA" w:rsidRDefault="00A465A1" w:rsidP="00A465A1">
      <w:pPr>
        <w:pStyle w:val="12"/>
      </w:pPr>
      <w:r w:rsidRPr="00F219CA">
        <w:t xml:space="preserve">Full Journal Title: </w:t>
      </w:r>
      <w:r w:rsidRPr="00A465A1">
        <w:rPr>
          <w:iCs/>
          <w:kern w:val="0"/>
        </w:rPr>
        <w:t>Agrekon</w:t>
      </w:r>
    </w:p>
    <w:p w:rsidR="00A465A1" w:rsidRPr="00F219CA" w:rsidRDefault="00A465A1" w:rsidP="00A465A1">
      <w:pPr>
        <w:pStyle w:val="12"/>
      </w:pPr>
      <w:r w:rsidRPr="00F219CA">
        <w:t xml:space="preserve">ISO Abbreviated Title: </w:t>
      </w:r>
      <w:r w:rsidR="00C64B5A" w:rsidRPr="00A465A1">
        <w:rPr>
          <w:iCs/>
          <w:kern w:val="0"/>
        </w:rPr>
        <w:t>Agrekon</w:t>
      </w:r>
    </w:p>
    <w:p w:rsidR="00A465A1" w:rsidRPr="00F219CA" w:rsidRDefault="00A465A1" w:rsidP="00A465A1">
      <w:pPr>
        <w:pStyle w:val="12"/>
      </w:pPr>
      <w:r w:rsidRPr="00F219CA">
        <w:t xml:space="preserve">JCR Abbreviated Title: </w:t>
      </w:r>
      <w:r w:rsidR="00C64B5A" w:rsidRPr="00A465A1">
        <w:rPr>
          <w:iCs/>
          <w:kern w:val="0"/>
        </w:rPr>
        <w:t>Agrekon</w:t>
      </w:r>
    </w:p>
    <w:p w:rsidR="00A465A1" w:rsidRPr="00F219CA" w:rsidRDefault="00A465A1" w:rsidP="00A465A1">
      <w:pPr>
        <w:pStyle w:val="12"/>
      </w:pPr>
      <w:r w:rsidRPr="00F219CA">
        <w:t xml:space="preserve">ISSN: </w:t>
      </w:r>
    </w:p>
    <w:p w:rsidR="00A465A1" w:rsidRPr="00F219CA" w:rsidRDefault="00A465A1" w:rsidP="00A465A1">
      <w:pPr>
        <w:pStyle w:val="12"/>
      </w:pPr>
      <w:r w:rsidRPr="00F219CA">
        <w:t xml:space="preserve">Issues/Year: </w:t>
      </w:r>
    </w:p>
    <w:p w:rsidR="00A465A1" w:rsidRPr="00F219CA" w:rsidRDefault="00A465A1" w:rsidP="00A465A1">
      <w:pPr>
        <w:pStyle w:val="12"/>
      </w:pPr>
      <w:r w:rsidRPr="00F219CA">
        <w:t xml:space="preserve">Journal Country/Territory: </w:t>
      </w:r>
    </w:p>
    <w:p w:rsidR="00A465A1" w:rsidRPr="00F219CA" w:rsidRDefault="00A465A1" w:rsidP="00A465A1">
      <w:pPr>
        <w:pStyle w:val="12"/>
      </w:pPr>
      <w:r w:rsidRPr="00F219CA">
        <w:t xml:space="preserve">Language: </w:t>
      </w:r>
    </w:p>
    <w:p w:rsidR="00A465A1" w:rsidRPr="00F219CA" w:rsidRDefault="00A465A1" w:rsidP="00A465A1">
      <w:pPr>
        <w:pStyle w:val="12"/>
      </w:pPr>
      <w:r w:rsidRPr="00F219CA">
        <w:t xml:space="preserve">Publisher: </w:t>
      </w:r>
    </w:p>
    <w:p w:rsidR="00A465A1" w:rsidRPr="00F219CA" w:rsidRDefault="00A465A1" w:rsidP="00A465A1">
      <w:pPr>
        <w:pStyle w:val="12"/>
      </w:pPr>
      <w:r w:rsidRPr="00F219CA">
        <w:t xml:space="preserve">Publisher Address: </w:t>
      </w:r>
    </w:p>
    <w:p w:rsidR="00A465A1" w:rsidRPr="00F219CA" w:rsidRDefault="00A465A1" w:rsidP="00A465A1">
      <w:pPr>
        <w:pStyle w:val="12"/>
      </w:pPr>
      <w:r w:rsidRPr="00F219CA">
        <w:t xml:space="preserve">Subject Categories: </w:t>
      </w:r>
    </w:p>
    <w:p w:rsidR="00A465A1" w:rsidRPr="00F219CA" w:rsidRDefault="00A465A1" w:rsidP="00A465A1">
      <w:pPr>
        <w:pStyle w:val="12"/>
      </w:pPr>
      <w:r w:rsidRPr="00F219CA">
        <w:t>: Impact Factor</w:t>
      </w:r>
    </w:p>
    <w:p w:rsidR="00A465A1" w:rsidRDefault="00A465A1" w:rsidP="00A465A1">
      <w:pPr>
        <w:pStyle w:val="a3"/>
        <w:rPr>
          <w:kern w:val="0"/>
        </w:rPr>
      </w:pPr>
      <w:r>
        <w:rPr>
          <w:kern w:val="0"/>
        </w:rPr>
        <w:t>? Kirsten, J.F. (2011), Agricultural economics scholarship in South Africa at</w:t>
      </w:r>
      <w:r w:rsidR="003A1917">
        <w:rPr>
          <w:kern w:val="0"/>
        </w:rPr>
        <w:t xml:space="preserve"> the </w:t>
      </w:r>
      <w:r>
        <w:rPr>
          <w:kern w:val="0"/>
        </w:rPr>
        <w:t>crossroads: Is it time for a national institute</w:t>
      </w:r>
      <w:r w:rsidR="00427468">
        <w:rPr>
          <w:kern w:val="0"/>
        </w:rPr>
        <w:t xml:space="preserve"> of </w:t>
      </w:r>
      <w:r>
        <w:rPr>
          <w:kern w:val="0"/>
        </w:rPr>
        <w:t>food, agricultural</w:t>
      </w:r>
      <w:r w:rsidR="005853A9">
        <w:rPr>
          <w:kern w:val="0"/>
        </w:rPr>
        <w:t xml:space="preserve"> and </w:t>
      </w:r>
      <w:r>
        <w:rPr>
          <w:kern w:val="0"/>
        </w:rPr>
        <w:t xml:space="preserve">resource economics? </w:t>
      </w:r>
      <w:r w:rsidRPr="00A465A1">
        <w:rPr>
          <w:i/>
          <w:iCs/>
          <w:kern w:val="0"/>
        </w:rPr>
        <w:t>Agrekon</w:t>
      </w:r>
      <w:r>
        <w:rPr>
          <w:kern w:val="0"/>
        </w:rPr>
        <w:t xml:space="preserve">, </w:t>
      </w:r>
      <w:r>
        <w:rPr>
          <w:b/>
          <w:bCs/>
          <w:kern w:val="0"/>
        </w:rPr>
        <w:t>50</w:t>
      </w:r>
      <w:r>
        <w:rPr>
          <w:kern w:val="0"/>
        </w:rPr>
        <w:t xml:space="preserve"> (3), 124-144.</w:t>
      </w:r>
    </w:p>
    <w:p w:rsidR="00A465A1" w:rsidRDefault="00A465A1" w:rsidP="00A465A1">
      <w:pPr>
        <w:pStyle w:val="a3"/>
        <w:rPr>
          <w:kern w:val="0"/>
        </w:rPr>
      </w:pPr>
      <w:r>
        <w:rPr>
          <w:rFonts w:hint="eastAsia"/>
          <w:kern w:val="0"/>
        </w:rPr>
        <w:t xml:space="preserve">Full Text: </w:t>
      </w:r>
      <w:hyperlink r:id="rId327" w:history="1">
        <w:r w:rsidRPr="00266A19">
          <w:rPr>
            <w:rStyle w:val="a5"/>
            <w:kern w:val="0"/>
          </w:rPr>
          <w:t>2011\Agrekon50, 124.pdf</w:t>
        </w:r>
      </w:hyperlink>
    </w:p>
    <w:p w:rsidR="00A465A1" w:rsidRDefault="00A465A1" w:rsidP="00A465A1">
      <w:pPr>
        <w:pStyle w:val="a3"/>
        <w:rPr>
          <w:kern w:val="0"/>
        </w:rPr>
      </w:pPr>
      <w:r>
        <w:rPr>
          <w:kern w:val="0"/>
        </w:rPr>
        <w:t>Abstract: This paper reflects on</w:t>
      </w:r>
      <w:r w:rsidR="003A1917">
        <w:rPr>
          <w:kern w:val="0"/>
        </w:rPr>
        <w:t xml:space="preserve"> the </w:t>
      </w:r>
      <w:r>
        <w:rPr>
          <w:kern w:val="0"/>
        </w:rPr>
        <w:t>standing</w:t>
      </w:r>
      <w:r w:rsidR="005853A9">
        <w:rPr>
          <w:kern w:val="0"/>
        </w:rPr>
        <w:t xml:space="preserve"> and </w:t>
      </w:r>
      <w:r>
        <w:rPr>
          <w:kern w:val="0"/>
        </w:rPr>
        <w:t>impact</w:t>
      </w:r>
      <w:r w:rsidR="00427468">
        <w:rPr>
          <w:kern w:val="0"/>
        </w:rPr>
        <w:t xml:space="preserve"> of </w:t>
      </w:r>
      <w:r w:rsidR="003A1917">
        <w:rPr>
          <w:kern w:val="0"/>
        </w:rPr>
        <w:t xml:space="preserve">the </w:t>
      </w:r>
      <w:r>
        <w:rPr>
          <w:kern w:val="0"/>
        </w:rPr>
        <w:t>work</w:t>
      </w:r>
      <w:r w:rsidR="00427468">
        <w:rPr>
          <w:kern w:val="0"/>
        </w:rPr>
        <w:t xml:space="preserve"> of </w:t>
      </w:r>
      <w:r>
        <w:rPr>
          <w:kern w:val="0"/>
        </w:rPr>
        <w:t>agricultural economists in South Africa to illustrate</w:t>
      </w:r>
      <w:r w:rsidR="003A1917">
        <w:rPr>
          <w:kern w:val="0"/>
        </w:rPr>
        <w:t xml:space="preserve"> the </w:t>
      </w:r>
      <w:r>
        <w:rPr>
          <w:kern w:val="0"/>
        </w:rPr>
        <w:t>critical decisions faced by</w:t>
      </w:r>
      <w:r w:rsidR="003A1917">
        <w:rPr>
          <w:kern w:val="0"/>
        </w:rPr>
        <w:t xml:space="preserve"> the </w:t>
      </w:r>
      <w:r>
        <w:rPr>
          <w:kern w:val="0"/>
        </w:rPr>
        <w:t>profession as it contemplates its future</w:t>
      </w:r>
      <w:r w:rsidR="00A37C1D">
        <w:rPr>
          <w:kern w:val="0"/>
        </w:rPr>
        <w:t>. The</w:t>
      </w:r>
      <w:r w:rsidR="003A1917">
        <w:rPr>
          <w:kern w:val="0"/>
        </w:rPr>
        <w:t xml:space="preserve"> </w:t>
      </w:r>
      <w:r>
        <w:rPr>
          <w:kern w:val="0"/>
        </w:rPr>
        <w:t>focus is on</w:t>
      </w:r>
      <w:r w:rsidR="003A1917">
        <w:rPr>
          <w:kern w:val="0"/>
        </w:rPr>
        <w:t xml:space="preserve"> the </w:t>
      </w:r>
      <w:r>
        <w:rPr>
          <w:kern w:val="0"/>
        </w:rPr>
        <w:t>agricultural economic scholarship per se</w:t>
      </w:r>
      <w:r w:rsidR="005853A9">
        <w:rPr>
          <w:kern w:val="0"/>
        </w:rPr>
        <w:t xml:space="preserve"> and </w:t>
      </w:r>
      <w:r>
        <w:rPr>
          <w:kern w:val="0"/>
        </w:rPr>
        <w:t>not on</w:t>
      </w:r>
      <w:r w:rsidR="003A1917">
        <w:rPr>
          <w:kern w:val="0"/>
        </w:rPr>
        <w:t xml:space="preserve"> the </w:t>
      </w:r>
      <w:r>
        <w:rPr>
          <w:kern w:val="0"/>
        </w:rPr>
        <w:t>policy</w:t>
      </w:r>
      <w:r w:rsidR="005853A9">
        <w:rPr>
          <w:kern w:val="0"/>
        </w:rPr>
        <w:t xml:space="preserve"> and </w:t>
      </w:r>
      <w:r>
        <w:rPr>
          <w:kern w:val="0"/>
        </w:rPr>
        <w:t>practice issues</w:t>
      </w:r>
      <w:r w:rsidR="00427468">
        <w:rPr>
          <w:kern w:val="0"/>
        </w:rPr>
        <w:t xml:space="preserve"> of </w:t>
      </w:r>
      <w:r w:rsidR="003A1917">
        <w:rPr>
          <w:kern w:val="0"/>
        </w:rPr>
        <w:t xml:space="preserve">the </w:t>
      </w:r>
      <w:r>
        <w:rPr>
          <w:kern w:val="0"/>
        </w:rPr>
        <w:t>discipline. Following</w:t>
      </w:r>
      <w:r w:rsidR="003A1917">
        <w:rPr>
          <w:kern w:val="0"/>
        </w:rPr>
        <w:t xml:space="preserve"> the </w:t>
      </w:r>
      <w:r>
        <w:rPr>
          <w:kern w:val="0"/>
        </w:rPr>
        <w:t>review</w:t>
      </w:r>
      <w:r w:rsidR="00427468">
        <w:rPr>
          <w:kern w:val="0"/>
        </w:rPr>
        <w:t xml:space="preserve"> of </w:t>
      </w:r>
      <w:r>
        <w:rPr>
          <w:kern w:val="0"/>
        </w:rPr>
        <w:t>agricultural economic research output in South Africa</w:t>
      </w:r>
      <w:r w:rsidR="003A1917">
        <w:rPr>
          <w:kern w:val="0"/>
        </w:rPr>
        <w:t xml:space="preserve"> the </w:t>
      </w:r>
      <w:r>
        <w:rPr>
          <w:kern w:val="0"/>
        </w:rPr>
        <w:t>paper then also raises questions about relevance</w:t>
      </w:r>
      <w:r w:rsidR="005853A9">
        <w:rPr>
          <w:kern w:val="0"/>
        </w:rPr>
        <w:t xml:space="preserve"> and </w:t>
      </w:r>
      <w:r>
        <w:rPr>
          <w:kern w:val="0"/>
        </w:rPr>
        <w:t>impact</w:t>
      </w:r>
      <w:r w:rsidR="00427468">
        <w:rPr>
          <w:kern w:val="0"/>
        </w:rPr>
        <w:t xml:space="preserve"> of </w:t>
      </w:r>
      <w:r w:rsidR="003A1917">
        <w:rPr>
          <w:kern w:val="0"/>
        </w:rPr>
        <w:t xml:space="preserve">the </w:t>
      </w:r>
      <w:r>
        <w:rPr>
          <w:kern w:val="0"/>
        </w:rPr>
        <w:t>discipline</w:t>
      </w:r>
      <w:r w:rsidR="005853A9">
        <w:rPr>
          <w:kern w:val="0"/>
        </w:rPr>
        <w:t xml:space="preserve"> and </w:t>
      </w:r>
      <w:r w:rsidR="003A1917">
        <w:rPr>
          <w:kern w:val="0"/>
        </w:rPr>
        <w:t xml:space="preserve">the </w:t>
      </w:r>
      <w:r>
        <w:rPr>
          <w:kern w:val="0"/>
        </w:rPr>
        <w:t>quality</w:t>
      </w:r>
      <w:r w:rsidR="00427468">
        <w:rPr>
          <w:kern w:val="0"/>
        </w:rPr>
        <w:t xml:space="preserve"> of </w:t>
      </w:r>
      <w:r>
        <w:rPr>
          <w:kern w:val="0"/>
        </w:rPr>
        <w:t>training. Given these concerns</w:t>
      </w:r>
      <w:r w:rsidR="003A1917">
        <w:rPr>
          <w:kern w:val="0"/>
        </w:rPr>
        <w:t xml:space="preserve"> the </w:t>
      </w:r>
      <w:r>
        <w:rPr>
          <w:kern w:val="0"/>
        </w:rPr>
        <w:t>paper makes</w:t>
      </w:r>
      <w:r w:rsidR="003A1917">
        <w:rPr>
          <w:kern w:val="0"/>
        </w:rPr>
        <w:t xml:space="preserve"> the </w:t>
      </w:r>
      <w:r>
        <w:rPr>
          <w:kern w:val="0"/>
        </w:rPr>
        <w:t>case for improved coordination</w:t>
      </w:r>
      <w:r w:rsidR="005853A9">
        <w:rPr>
          <w:kern w:val="0"/>
        </w:rPr>
        <w:t xml:space="preserve"> and </w:t>
      </w:r>
      <w:r>
        <w:rPr>
          <w:kern w:val="0"/>
        </w:rPr>
        <w:t>perhaps consolidation</w:t>
      </w:r>
      <w:r w:rsidR="00427468">
        <w:rPr>
          <w:kern w:val="0"/>
        </w:rPr>
        <w:t xml:space="preserve"> of </w:t>
      </w:r>
      <w:r w:rsidR="003A1917">
        <w:rPr>
          <w:kern w:val="0"/>
        </w:rPr>
        <w:t xml:space="preserve">the </w:t>
      </w:r>
      <w:r>
        <w:rPr>
          <w:kern w:val="0"/>
        </w:rPr>
        <w:t>discipline</w:t>
      </w:r>
      <w:r w:rsidR="005853A9">
        <w:rPr>
          <w:kern w:val="0"/>
        </w:rPr>
        <w:t xml:space="preserve"> and </w:t>
      </w:r>
      <w:r>
        <w:rPr>
          <w:kern w:val="0"/>
        </w:rPr>
        <w:t>presents a proposal for</w:t>
      </w:r>
      <w:r w:rsidR="003A1917">
        <w:rPr>
          <w:kern w:val="0"/>
        </w:rPr>
        <w:t xml:space="preserve"> the </w:t>
      </w:r>
      <w:r>
        <w:rPr>
          <w:kern w:val="0"/>
        </w:rPr>
        <w:t>establishment</w:t>
      </w:r>
      <w:r w:rsidR="00427468">
        <w:rPr>
          <w:kern w:val="0"/>
        </w:rPr>
        <w:t xml:space="preserve"> of </w:t>
      </w:r>
      <w:r>
        <w:rPr>
          <w:kern w:val="0"/>
        </w:rPr>
        <w:t>a national institute that will consolidate</w:t>
      </w:r>
      <w:r w:rsidR="005853A9">
        <w:rPr>
          <w:kern w:val="0"/>
        </w:rPr>
        <w:t xml:space="preserve"> and </w:t>
      </w:r>
      <w:r>
        <w:rPr>
          <w:kern w:val="0"/>
        </w:rPr>
        <w:t>improve training at</w:t>
      </w:r>
      <w:r w:rsidR="003A1917">
        <w:rPr>
          <w:kern w:val="0"/>
        </w:rPr>
        <w:t xml:space="preserve"> the </w:t>
      </w:r>
      <w:r>
        <w:rPr>
          <w:kern w:val="0"/>
        </w:rPr>
        <w:t>various universities as well as adequately fund</w:t>
      </w:r>
      <w:r w:rsidR="005853A9">
        <w:rPr>
          <w:kern w:val="0"/>
        </w:rPr>
        <w:t xml:space="preserve"> and </w:t>
      </w:r>
      <w:r>
        <w:rPr>
          <w:kern w:val="0"/>
        </w:rPr>
        <w:t>direct research.</w:t>
      </w:r>
    </w:p>
    <w:p w:rsidR="00A465A1" w:rsidRDefault="00A465A1" w:rsidP="00A465A1">
      <w:pPr>
        <w:pStyle w:val="a3"/>
        <w:rPr>
          <w:kern w:val="0"/>
        </w:rPr>
      </w:pPr>
      <w:r>
        <w:rPr>
          <w:kern w:val="0"/>
        </w:rPr>
        <w:t>Keywords: Africa, Agricultural Economics Scholarship, Bibliometric Analysis, Economics, Impact, Policy, Practice, Research, Research Output, Review, Scholarship, South Africa, Time, Training</w:t>
      </w:r>
    </w:p>
    <w:p w:rsidR="00BD5052" w:rsidRPr="00F219CA" w:rsidRDefault="00BD5052" w:rsidP="00BD5052">
      <w:pPr>
        <w:pStyle w:val="1"/>
      </w:pPr>
      <w:r w:rsidRPr="00F219CA">
        <w:br w:type="page"/>
      </w:r>
      <w:bookmarkStart w:id="174" w:name="_Toc301561192"/>
      <w:bookmarkStart w:id="175" w:name="_Toc420814341"/>
      <w:r w:rsidRPr="00F219CA">
        <w:lastRenderedPageBreak/>
        <w:t xml:space="preserve">Title: </w:t>
      </w:r>
      <w:bookmarkEnd w:id="169"/>
      <w:r w:rsidRPr="00F219CA">
        <w:t>Agricultural Administration</w:t>
      </w:r>
      <w:r w:rsidR="005853A9">
        <w:t xml:space="preserve"> and </w:t>
      </w:r>
      <w:r w:rsidRPr="00F219CA">
        <w:t>Extension</w:t>
      </w:r>
      <w:bookmarkEnd w:id="174"/>
      <w:bookmarkEnd w:id="175"/>
    </w:p>
    <w:p w:rsidR="00BD5052" w:rsidRPr="00F219CA" w:rsidRDefault="00BD5052" w:rsidP="00BD5052">
      <w:pPr>
        <w:pStyle w:val="12"/>
      </w:pPr>
      <w:r w:rsidRPr="00F219CA">
        <w:t>Full Journal Title: Agricultural Administration</w:t>
      </w:r>
      <w:r w:rsidR="005853A9">
        <w:t xml:space="preserve"> and </w:t>
      </w:r>
      <w:r w:rsidRPr="00F219CA">
        <w:t>Extension</w:t>
      </w:r>
    </w:p>
    <w:p w:rsidR="00BD5052" w:rsidRPr="00F219CA" w:rsidRDefault="00BD5052" w:rsidP="00BD5052">
      <w:pPr>
        <w:pStyle w:val="12"/>
      </w:pPr>
      <w:r w:rsidRPr="00F219CA">
        <w:t xml:space="preserve">ISO Abbreviated Title: </w:t>
      </w:r>
    </w:p>
    <w:p w:rsidR="00BD5052" w:rsidRPr="00F219CA" w:rsidRDefault="00BD5052" w:rsidP="00BD5052">
      <w:pPr>
        <w:pStyle w:val="12"/>
      </w:pPr>
      <w:r w:rsidRPr="00F219CA">
        <w:t xml:space="preserve">JCR Abbreviated Title: </w:t>
      </w:r>
    </w:p>
    <w:p w:rsidR="00BD5052" w:rsidRPr="00F219CA" w:rsidRDefault="00BD5052" w:rsidP="00BD5052">
      <w:pPr>
        <w:pStyle w:val="12"/>
      </w:pPr>
      <w:r w:rsidRPr="00F219CA">
        <w:t xml:space="preserve">ISSN: </w:t>
      </w:r>
    </w:p>
    <w:p w:rsidR="00BD5052" w:rsidRPr="00F219CA" w:rsidRDefault="00BD5052" w:rsidP="00BD5052">
      <w:pPr>
        <w:pStyle w:val="12"/>
      </w:pPr>
      <w:r w:rsidRPr="00F219CA">
        <w:t xml:space="preserve">Issues/Year: </w:t>
      </w:r>
    </w:p>
    <w:p w:rsidR="00BD5052" w:rsidRPr="00F219CA" w:rsidRDefault="00BD5052" w:rsidP="00BD5052">
      <w:pPr>
        <w:pStyle w:val="12"/>
      </w:pPr>
      <w:r w:rsidRPr="00F219CA">
        <w:t xml:space="preserve">Journal Country/Territory: </w:t>
      </w:r>
    </w:p>
    <w:p w:rsidR="00BD5052" w:rsidRPr="00F219CA" w:rsidRDefault="00BD5052" w:rsidP="00BD5052">
      <w:pPr>
        <w:pStyle w:val="12"/>
      </w:pPr>
      <w:r w:rsidRPr="00F219CA">
        <w:t xml:space="preserve">Language: </w:t>
      </w:r>
    </w:p>
    <w:p w:rsidR="00BD5052" w:rsidRPr="00F219CA" w:rsidRDefault="00BD5052" w:rsidP="00BD5052">
      <w:pPr>
        <w:pStyle w:val="12"/>
      </w:pPr>
      <w:r w:rsidRPr="00F219CA">
        <w:t xml:space="preserve">Publisher: </w:t>
      </w:r>
    </w:p>
    <w:p w:rsidR="00BD5052" w:rsidRPr="00F219CA" w:rsidRDefault="00BD5052" w:rsidP="00BD5052">
      <w:pPr>
        <w:pStyle w:val="12"/>
      </w:pPr>
      <w:r w:rsidRPr="00F219CA">
        <w:t xml:space="preserve">Publisher Address: </w:t>
      </w:r>
    </w:p>
    <w:p w:rsidR="00BD5052" w:rsidRPr="00F219CA" w:rsidRDefault="00BD5052" w:rsidP="00BD5052">
      <w:pPr>
        <w:pStyle w:val="12"/>
      </w:pPr>
      <w:r w:rsidRPr="00F219CA">
        <w:t xml:space="preserve">Subject Categories: </w:t>
      </w:r>
    </w:p>
    <w:p w:rsidR="00BD5052" w:rsidRPr="00F219CA" w:rsidRDefault="00BD5052" w:rsidP="00BD5052">
      <w:pPr>
        <w:pStyle w:val="12"/>
      </w:pPr>
      <w:r w:rsidRPr="00F219CA">
        <w:t>: Impact Factor</w:t>
      </w:r>
    </w:p>
    <w:p w:rsidR="00BD5052" w:rsidRDefault="00BD5052" w:rsidP="00BD5052">
      <w:pPr>
        <w:pStyle w:val="a3"/>
        <w:rPr>
          <w:kern w:val="0"/>
          <w:szCs w:val="24"/>
        </w:rPr>
      </w:pPr>
      <w:r w:rsidRPr="00F219CA">
        <w:rPr>
          <w:kern w:val="0"/>
          <w:szCs w:val="24"/>
        </w:rPr>
        <w:t>? Bennell, P.</w:t>
      </w:r>
      <w:r w:rsidR="005853A9">
        <w:rPr>
          <w:kern w:val="0"/>
          <w:szCs w:val="24"/>
        </w:rPr>
        <w:t xml:space="preserve"> and </w:t>
      </w:r>
      <w:r w:rsidRPr="00F219CA">
        <w:rPr>
          <w:kern w:val="0"/>
          <w:szCs w:val="24"/>
        </w:rPr>
        <w:t xml:space="preserve">Thorpe, P. (1987), Crop science research in sub-Saharan Africa: A bibliometric overview. </w:t>
      </w:r>
      <w:r w:rsidRPr="00F219CA">
        <w:rPr>
          <w:i/>
          <w:iCs/>
          <w:kern w:val="0"/>
          <w:szCs w:val="24"/>
        </w:rPr>
        <w:t>Agricultural Administration</w:t>
      </w:r>
      <w:r w:rsidR="005853A9">
        <w:rPr>
          <w:i/>
          <w:iCs/>
          <w:kern w:val="0"/>
          <w:szCs w:val="24"/>
        </w:rPr>
        <w:t xml:space="preserve"> and </w:t>
      </w:r>
      <w:r w:rsidRPr="00F219CA">
        <w:rPr>
          <w:i/>
          <w:iCs/>
          <w:kern w:val="0"/>
          <w:szCs w:val="24"/>
        </w:rPr>
        <w:t>Extension</w:t>
      </w:r>
      <w:r w:rsidRPr="00F219CA">
        <w:rPr>
          <w:kern w:val="0"/>
          <w:szCs w:val="24"/>
        </w:rPr>
        <w:t xml:space="preserve">, </w:t>
      </w:r>
      <w:r w:rsidRPr="00F219CA">
        <w:rPr>
          <w:b/>
          <w:bCs/>
          <w:kern w:val="0"/>
          <w:szCs w:val="24"/>
        </w:rPr>
        <w:t>25</w:t>
      </w:r>
      <w:r w:rsidRPr="00F219CA">
        <w:rPr>
          <w:kern w:val="0"/>
          <w:szCs w:val="24"/>
        </w:rPr>
        <w:t xml:space="preserve"> (2), 99-123</w:t>
      </w:r>
      <w:r>
        <w:rPr>
          <w:rFonts w:hint="eastAsia"/>
          <w:kern w:val="0"/>
          <w:szCs w:val="24"/>
        </w:rPr>
        <w:t>.</w:t>
      </w:r>
    </w:p>
    <w:p w:rsidR="00BD5052" w:rsidRPr="00F219CA" w:rsidRDefault="00BD5052" w:rsidP="00BD5052">
      <w:pPr>
        <w:pStyle w:val="a3"/>
        <w:rPr>
          <w:kern w:val="0"/>
          <w:szCs w:val="24"/>
        </w:rPr>
      </w:pPr>
      <w:r>
        <w:rPr>
          <w:rFonts w:hint="eastAsia"/>
          <w:kern w:val="0"/>
          <w:szCs w:val="24"/>
        </w:rPr>
        <w:t xml:space="preserve">Full Text: </w:t>
      </w:r>
      <w:hyperlink r:id="rId328" w:history="1">
        <w:r w:rsidRPr="00DB2824">
          <w:rPr>
            <w:rStyle w:val="a5"/>
            <w:kern w:val="0"/>
            <w:szCs w:val="24"/>
          </w:rPr>
          <w:t>1987\Agr Adm Ext25, 99.pdf</w:t>
        </w:r>
      </w:hyperlink>
    </w:p>
    <w:p w:rsidR="00BD5052" w:rsidRPr="00F219CA" w:rsidRDefault="00BD5052" w:rsidP="00BD5052">
      <w:pPr>
        <w:pStyle w:val="a3"/>
        <w:rPr>
          <w:kern w:val="0"/>
          <w:szCs w:val="24"/>
        </w:rPr>
      </w:pPr>
      <w:r w:rsidRPr="00F219CA">
        <w:rPr>
          <w:kern w:val="0"/>
          <w:szCs w:val="24"/>
        </w:rPr>
        <w:t>Keywords: Bibliometric, Research, Science</w:t>
      </w:r>
    </w:p>
    <w:p w:rsidR="00E614B1" w:rsidRPr="001A3D2B" w:rsidRDefault="00E614B1" w:rsidP="00E614B1">
      <w:pPr>
        <w:pStyle w:val="1"/>
      </w:pPr>
      <w:r w:rsidRPr="001A3D2B">
        <w:br w:type="page"/>
      </w:r>
      <w:bookmarkStart w:id="176" w:name="_Toc420814342"/>
      <w:r w:rsidRPr="001A3D2B">
        <w:lastRenderedPageBreak/>
        <w:t xml:space="preserve">Title: </w:t>
      </w:r>
      <w:r w:rsidRPr="007F11D3">
        <w:t>Agriculture</w:t>
      </w:r>
      <w:r w:rsidR="005853A9">
        <w:t xml:space="preserve"> and </w:t>
      </w:r>
      <w:r w:rsidRPr="007F11D3">
        <w:t>Human Values</w:t>
      </w:r>
      <w:bookmarkEnd w:id="176"/>
    </w:p>
    <w:p w:rsidR="00E614B1" w:rsidRPr="001A3D2B" w:rsidRDefault="00E614B1" w:rsidP="00E614B1">
      <w:pPr>
        <w:pStyle w:val="12"/>
      </w:pPr>
      <w:r w:rsidRPr="001A3D2B">
        <w:t xml:space="preserve">Full Journal Title: </w:t>
      </w:r>
      <w:r w:rsidRPr="00DB34E1">
        <w:rPr>
          <w:iCs/>
          <w:kern w:val="0"/>
        </w:rPr>
        <w:t>A</w:t>
      </w:r>
      <w:r w:rsidRPr="007F11D3">
        <w:rPr>
          <w:iCs/>
          <w:kern w:val="0"/>
        </w:rPr>
        <w:t xml:space="preserve"> Agriculture</w:t>
      </w:r>
      <w:r w:rsidR="005853A9">
        <w:rPr>
          <w:iCs/>
          <w:kern w:val="0"/>
        </w:rPr>
        <w:t xml:space="preserve"> and </w:t>
      </w:r>
      <w:r w:rsidRPr="007F11D3">
        <w:rPr>
          <w:iCs/>
          <w:kern w:val="0"/>
        </w:rPr>
        <w:t>Human Values</w:t>
      </w:r>
    </w:p>
    <w:p w:rsidR="00E614B1" w:rsidRPr="001A3D2B" w:rsidRDefault="00E614B1" w:rsidP="00E614B1">
      <w:pPr>
        <w:pStyle w:val="12"/>
      </w:pPr>
      <w:r w:rsidRPr="001A3D2B">
        <w:t xml:space="preserve">ISO Abbreviated Title: </w:t>
      </w:r>
    </w:p>
    <w:p w:rsidR="00E614B1" w:rsidRPr="001A3D2B" w:rsidRDefault="00E614B1" w:rsidP="00E614B1">
      <w:pPr>
        <w:pStyle w:val="12"/>
      </w:pPr>
      <w:r w:rsidRPr="001A3D2B">
        <w:t xml:space="preserve">JCR Abbreviated Title: </w:t>
      </w:r>
    </w:p>
    <w:p w:rsidR="00E614B1" w:rsidRPr="001A3D2B" w:rsidRDefault="00E614B1" w:rsidP="00E614B1">
      <w:pPr>
        <w:pStyle w:val="12"/>
      </w:pPr>
      <w:r w:rsidRPr="001A3D2B">
        <w:t xml:space="preserve">ISSN: </w:t>
      </w:r>
    </w:p>
    <w:p w:rsidR="00E614B1" w:rsidRPr="001A3D2B" w:rsidRDefault="00E614B1" w:rsidP="00E614B1">
      <w:pPr>
        <w:pStyle w:val="12"/>
      </w:pPr>
      <w:r w:rsidRPr="001A3D2B">
        <w:t xml:space="preserve">Issues/Year: </w:t>
      </w:r>
    </w:p>
    <w:p w:rsidR="00E614B1" w:rsidRPr="001A3D2B" w:rsidRDefault="00E614B1" w:rsidP="00E614B1">
      <w:pPr>
        <w:pStyle w:val="12"/>
      </w:pPr>
      <w:r w:rsidRPr="001A3D2B">
        <w:t xml:space="preserve">Journal Country/Territory: </w:t>
      </w:r>
    </w:p>
    <w:p w:rsidR="00E614B1" w:rsidRPr="001A3D2B" w:rsidRDefault="00E614B1" w:rsidP="00E614B1">
      <w:pPr>
        <w:pStyle w:val="12"/>
      </w:pPr>
      <w:r w:rsidRPr="001A3D2B">
        <w:t xml:space="preserve">Language: </w:t>
      </w:r>
    </w:p>
    <w:p w:rsidR="00E614B1" w:rsidRPr="001A3D2B" w:rsidRDefault="00E614B1" w:rsidP="00E614B1">
      <w:pPr>
        <w:pStyle w:val="12"/>
      </w:pPr>
      <w:r w:rsidRPr="001A3D2B">
        <w:t xml:space="preserve">Publisher: </w:t>
      </w:r>
    </w:p>
    <w:p w:rsidR="00E614B1" w:rsidRPr="001A3D2B" w:rsidRDefault="00E614B1" w:rsidP="00E614B1">
      <w:pPr>
        <w:pStyle w:val="12"/>
      </w:pPr>
      <w:r w:rsidRPr="001A3D2B">
        <w:t xml:space="preserve">Publisher Address: </w:t>
      </w:r>
    </w:p>
    <w:p w:rsidR="00E614B1" w:rsidRPr="001A3D2B" w:rsidRDefault="00E614B1" w:rsidP="00E614B1">
      <w:pPr>
        <w:pStyle w:val="12"/>
      </w:pPr>
      <w:r w:rsidRPr="001A3D2B">
        <w:t xml:space="preserve">Subject Categories: </w:t>
      </w:r>
    </w:p>
    <w:p w:rsidR="00E614B1" w:rsidRPr="001A3D2B" w:rsidRDefault="00E614B1" w:rsidP="00E614B1">
      <w:pPr>
        <w:pStyle w:val="12"/>
      </w:pPr>
      <w:r w:rsidRPr="001A3D2B">
        <w:t>: Impact Factor</w:t>
      </w:r>
    </w:p>
    <w:p w:rsidR="00E614B1" w:rsidRDefault="00E614B1" w:rsidP="00E614B1">
      <w:pPr>
        <w:pStyle w:val="a3"/>
        <w:rPr>
          <w:kern w:val="0"/>
        </w:rPr>
      </w:pPr>
      <w:r>
        <w:rPr>
          <w:rFonts w:hint="eastAsia"/>
          <w:kern w:val="0"/>
        </w:rPr>
        <w:t xml:space="preserve">? </w:t>
      </w:r>
      <w:r>
        <w:rPr>
          <w:kern w:val="0"/>
        </w:rPr>
        <w:t>Warner, K.D., Daane, K.M., Getz, C.M., Maurano, S.P., Calderon, S.</w:t>
      </w:r>
      <w:r w:rsidR="005853A9">
        <w:rPr>
          <w:kern w:val="0"/>
        </w:rPr>
        <w:t xml:space="preserve"> and </w:t>
      </w:r>
      <w:r>
        <w:rPr>
          <w:kern w:val="0"/>
        </w:rPr>
        <w:t>Powers, K.A. (2011</w:t>
      </w:r>
      <w:r w:rsidR="00F42EAC">
        <w:rPr>
          <w:kern w:val="0"/>
        </w:rPr>
        <w:t>), The</w:t>
      </w:r>
      <w:r w:rsidR="003A1917">
        <w:rPr>
          <w:kern w:val="0"/>
        </w:rPr>
        <w:t xml:space="preserve"> </w:t>
      </w:r>
      <w:r>
        <w:rPr>
          <w:kern w:val="0"/>
        </w:rPr>
        <w:t>decline</w:t>
      </w:r>
      <w:r w:rsidR="00427468">
        <w:rPr>
          <w:kern w:val="0"/>
        </w:rPr>
        <w:t xml:space="preserve"> of </w:t>
      </w:r>
      <w:r>
        <w:rPr>
          <w:kern w:val="0"/>
        </w:rPr>
        <w:t>public interest agricultural science</w:t>
      </w:r>
      <w:r w:rsidR="005853A9">
        <w:rPr>
          <w:kern w:val="0"/>
        </w:rPr>
        <w:t xml:space="preserve"> and </w:t>
      </w:r>
      <w:r w:rsidR="003A1917">
        <w:rPr>
          <w:kern w:val="0"/>
        </w:rPr>
        <w:t xml:space="preserve">the </w:t>
      </w:r>
      <w:r>
        <w:rPr>
          <w:kern w:val="0"/>
        </w:rPr>
        <w:t>dubious future</w:t>
      </w:r>
      <w:r w:rsidR="00427468">
        <w:rPr>
          <w:kern w:val="0"/>
        </w:rPr>
        <w:t xml:space="preserve"> of </w:t>
      </w:r>
      <w:r>
        <w:rPr>
          <w:kern w:val="0"/>
        </w:rPr>
        <w:t xml:space="preserve">crop biological control in California. </w:t>
      </w:r>
      <w:r w:rsidRPr="007F11D3">
        <w:rPr>
          <w:i/>
          <w:iCs/>
          <w:kern w:val="0"/>
        </w:rPr>
        <w:t>Agriculture</w:t>
      </w:r>
      <w:r w:rsidR="005853A9">
        <w:rPr>
          <w:i/>
          <w:iCs/>
          <w:kern w:val="0"/>
        </w:rPr>
        <w:t xml:space="preserve"> and </w:t>
      </w:r>
      <w:r w:rsidRPr="007F11D3">
        <w:rPr>
          <w:i/>
          <w:iCs/>
          <w:kern w:val="0"/>
        </w:rPr>
        <w:t>Human Values</w:t>
      </w:r>
      <w:r>
        <w:rPr>
          <w:kern w:val="0"/>
        </w:rPr>
        <w:t xml:space="preserve">, </w:t>
      </w:r>
      <w:r>
        <w:rPr>
          <w:b/>
          <w:bCs/>
          <w:kern w:val="0"/>
        </w:rPr>
        <w:t>28</w:t>
      </w:r>
      <w:r>
        <w:rPr>
          <w:kern w:val="0"/>
        </w:rPr>
        <w:t xml:space="preserve"> (4), 483-496.</w:t>
      </w:r>
    </w:p>
    <w:p w:rsidR="00E614B1" w:rsidRDefault="00E614B1" w:rsidP="00E614B1">
      <w:pPr>
        <w:pStyle w:val="a3"/>
        <w:rPr>
          <w:kern w:val="0"/>
        </w:rPr>
      </w:pPr>
      <w:r>
        <w:rPr>
          <w:rFonts w:hint="eastAsia"/>
          <w:kern w:val="0"/>
        </w:rPr>
        <w:t xml:space="preserve">Full Text: </w:t>
      </w:r>
      <w:hyperlink r:id="rId329" w:history="1">
        <w:r w:rsidRPr="007F11D3">
          <w:rPr>
            <w:rStyle w:val="a5"/>
            <w:kern w:val="0"/>
          </w:rPr>
          <w:t>2011\Agr Hum Val28, 483.pdf</w:t>
        </w:r>
      </w:hyperlink>
    </w:p>
    <w:p w:rsidR="00E614B1" w:rsidRDefault="00E614B1" w:rsidP="00E614B1">
      <w:pPr>
        <w:pStyle w:val="a3"/>
        <w:rPr>
          <w:kern w:val="0"/>
        </w:rPr>
      </w:pPr>
      <w:r>
        <w:rPr>
          <w:kern w:val="0"/>
        </w:rPr>
        <w:t>Abstract: Drawing from a four-year study</w:t>
      </w:r>
      <w:r w:rsidR="00427468">
        <w:rPr>
          <w:kern w:val="0"/>
        </w:rPr>
        <w:t xml:space="preserve"> of </w:t>
      </w:r>
      <w:r>
        <w:rPr>
          <w:kern w:val="0"/>
        </w:rPr>
        <w:t>US science institutions that support biological control</w:t>
      </w:r>
      <w:r w:rsidR="00427468">
        <w:rPr>
          <w:kern w:val="0"/>
        </w:rPr>
        <w:t xml:space="preserve"> of </w:t>
      </w:r>
      <w:r>
        <w:rPr>
          <w:kern w:val="0"/>
        </w:rPr>
        <w:t>arthropods, this article examines</w:t>
      </w:r>
      <w:r w:rsidR="003A1917">
        <w:rPr>
          <w:kern w:val="0"/>
        </w:rPr>
        <w:t xml:space="preserve"> the </w:t>
      </w:r>
      <w:r>
        <w:rPr>
          <w:kern w:val="0"/>
        </w:rPr>
        <w:t>decline in biological control institutional capacity in California within</w:t>
      </w:r>
      <w:r w:rsidR="003A1917">
        <w:rPr>
          <w:kern w:val="0"/>
        </w:rPr>
        <w:t xml:space="preserve"> the </w:t>
      </w:r>
      <w:r>
        <w:rPr>
          <w:kern w:val="0"/>
        </w:rPr>
        <w:t>context</w:t>
      </w:r>
      <w:r w:rsidR="00427468">
        <w:rPr>
          <w:kern w:val="0"/>
        </w:rPr>
        <w:t xml:space="preserve"> of </w:t>
      </w:r>
      <w:r>
        <w:rPr>
          <w:kern w:val="0"/>
        </w:rPr>
        <w:t>both declining public interest science</w:t>
      </w:r>
      <w:r w:rsidR="005853A9">
        <w:rPr>
          <w:kern w:val="0"/>
        </w:rPr>
        <w:t xml:space="preserve"> and </w:t>
      </w:r>
      <w:r>
        <w:rPr>
          <w:kern w:val="0"/>
        </w:rPr>
        <w:t>declining agricultural research activism. After explaining how debates over</w:t>
      </w:r>
      <w:r w:rsidR="003A1917">
        <w:rPr>
          <w:kern w:val="0"/>
        </w:rPr>
        <w:t xml:space="preserve"> the </w:t>
      </w:r>
      <w:r>
        <w:rPr>
          <w:kern w:val="0"/>
        </w:rPr>
        <w:t>public interest character</w:t>
      </w:r>
      <w:r w:rsidR="00427468">
        <w:rPr>
          <w:kern w:val="0"/>
        </w:rPr>
        <w:t xml:space="preserve"> of </w:t>
      </w:r>
      <w:r>
        <w:rPr>
          <w:kern w:val="0"/>
        </w:rPr>
        <w:t>biological control science have shaped institutions in California, we use scientometric methods to assess</w:t>
      </w:r>
      <w:r w:rsidR="003A1917">
        <w:rPr>
          <w:kern w:val="0"/>
        </w:rPr>
        <w:t xml:space="preserve"> the </w:t>
      </w:r>
      <w:r>
        <w:rPr>
          <w:kern w:val="0"/>
        </w:rPr>
        <w:t>present status</w:t>
      </w:r>
      <w:r w:rsidR="005853A9">
        <w:rPr>
          <w:kern w:val="0"/>
        </w:rPr>
        <w:t xml:space="preserve"> and </w:t>
      </w:r>
      <w:r>
        <w:rPr>
          <w:kern w:val="0"/>
        </w:rPr>
        <w:t>trends in biological control programs within both</w:t>
      </w:r>
      <w:r w:rsidR="003A1917">
        <w:rPr>
          <w:kern w:val="0"/>
        </w:rPr>
        <w:t xml:space="preserve"> the </w:t>
      </w:r>
      <w:r>
        <w:rPr>
          <w:kern w:val="0"/>
        </w:rPr>
        <w:t>University</w:t>
      </w:r>
      <w:r w:rsidR="00427468">
        <w:rPr>
          <w:kern w:val="0"/>
        </w:rPr>
        <w:t xml:space="preserve"> of </w:t>
      </w:r>
      <w:r>
        <w:rPr>
          <w:kern w:val="0"/>
        </w:rPr>
        <w:t>California Land Grant System</w:t>
      </w:r>
      <w:r w:rsidR="005853A9">
        <w:rPr>
          <w:kern w:val="0"/>
        </w:rPr>
        <w:t xml:space="preserve"> and </w:t>
      </w:r>
      <w:r w:rsidR="003A1917">
        <w:rPr>
          <w:kern w:val="0"/>
        </w:rPr>
        <w:t xml:space="preserve">the </w:t>
      </w:r>
      <w:r>
        <w:rPr>
          <w:kern w:val="0"/>
        </w:rPr>
        <w:t>California Department</w:t>
      </w:r>
      <w:r w:rsidR="00427468">
        <w:rPr>
          <w:kern w:val="0"/>
        </w:rPr>
        <w:t xml:space="preserve"> of </w:t>
      </w:r>
      <w:r>
        <w:rPr>
          <w:kern w:val="0"/>
        </w:rPr>
        <w:t>Food</w:t>
      </w:r>
      <w:r w:rsidR="005853A9">
        <w:rPr>
          <w:kern w:val="0"/>
        </w:rPr>
        <w:t xml:space="preserve"> and </w:t>
      </w:r>
      <w:r>
        <w:rPr>
          <w:kern w:val="0"/>
        </w:rPr>
        <w:t>Agriculture. We present available data on</w:t>
      </w:r>
      <w:r w:rsidR="003A1917">
        <w:rPr>
          <w:kern w:val="0"/>
        </w:rPr>
        <w:t xml:space="preserve"> the </w:t>
      </w:r>
      <w:r>
        <w:rPr>
          <w:kern w:val="0"/>
        </w:rPr>
        <w:t>number</w:t>
      </w:r>
      <w:r w:rsidR="00427468">
        <w:rPr>
          <w:kern w:val="0"/>
        </w:rPr>
        <w:t xml:space="preserve"> of </w:t>
      </w:r>
      <w:r>
        <w:rPr>
          <w:kern w:val="0"/>
        </w:rPr>
        <w:t>scientific positions</w:t>
      </w:r>
      <w:r w:rsidR="005853A9">
        <w:rPr>
          <w:kern w:val="0"/>
        </w:rPr>
        <w:t xml:space="preserve"> and </w:t>
      </w:r>
      <w:r w:rsidR="003A1917">
        <w:rPr>
          <w:kern w:val="0"/>
        </w:rPr>
        <w:t xml:space="preserve">the </w:t>
      </w:r>
      <w:r>
        <w:rPr>
          <w:kern w:val="0"/>
        </w:rPr>
        <w:t>types</w:t>
      </w:r>
      <w:r w:rsidR="00427468">
        <w:rPr>
          <w:kern w:val="0"/>
        </w:rPr>
        <w:t xml:space="preserve"> of </w:t>
      </w:r>
      <w:r>
        <w:rPr>
          <w:kern w:val="0"/>
        </w:rPr>
        <w:t>positions to discuss</w:t>
      </w:r>
      <w:r w:rsidR="003A1917">
        <w:rPr>
          <w:kern w:val="0"/>
        </w:rPr>
        <w:t xml:space="preserve"> the </w:t>
      </w:r>
      <w:r>
        <w:rPr>
          <w:kern w:val="0"/>
        </w:rPr>
        <w:t>impact on</w:t>
      </w:r>
      <w:r w:rsidR="003A1917">
        <w:rPr>
          <w:kern w:val="0"/>
        </w:rPr>
        <w:t xml:space="preserve"> the </w:t>
      </w:r>
      <w:r>
        <w:rPr>
          <w:kern w:val="0"/>
        </w:rPr>
        <w:t>amount</w:t>
      </w:r>
      <w:r w:rsidR="00427468">
        <w:rPr>
          <w:kern w:val="0"/>
        </w:rPr>
        <w:t xml:space="preserve"> of </w:t>
      </w:r>
      <w:r>
        <w:rPr>
          <w:kern w:val="0"/>
        </w:rPr>
        <w:t>public interest research on biological control in California. We use sociograms to depict how biological control science networks have been reconfigured over time. Our quantitative</w:t>
      </w:r>
      <w:r w:rsidR="005853A9">
        <w:rPr>
          <w:kern w:val="0"/>
        </w:rPr>
        <w:t xml:space="preserve"> and </w:t>
      </w:r>
      <w:r>
        <w:rPr>
          <w:kern w:val="0"/>
        </w:rPr>
        <w:t>qualitative analyses indicate that</w:t>
      </w:r>
      <w:r w:rsidR="003A1917">
        <w:rPr>
          <w:kern w:val="0"/>
        </w:rPr>
        <w:t xml:space="preserve"> the </w:t>
      </w:r>
      <w:r>
        <w:rPr>
          <w:kern w:val="0"/>
        </w:rPr>
        <w:t>following factors contributed to</w:t>
      </w:r>
      <w:r w:rsidR="003A1917">
        <w:rPr>
          <w:kern w:val="0"/>
        </w:rPr>
        <w:t xml:space="preserve"> the </w:t>
      </w:r>
      <w:r>
        <w:rPr>
          <w:kern w:val="0"/>
        </w:rPr>
        <w:t>decline</w:t>
      </w:r>
      <w:r w:rsidR="00427468">
        <w:rPr>
          <w:kern w:val="0"/>
        </w:rPr>
        <w:t xml:space="preserve"> of </w:t>
      </w:r>
      <w:r>
        <w:rPr>
          <w:kern w:val="0"/>
        </w:rPr>
        <w:t>biological control science in California over</w:t>
      </w:r>
      <w:r w:rsidR="003A1917">
        <w:rPr>
          <w:kern w:val="0"/>
        </w:rPr>
        <w:t xml:space="preserve"> the </w:t>
      </w:r>
      <w:r>
        <w:rPr>
          <w:kern w:val="0"/>
        </w:rPr>
        <w:t>45-year period analyzed: (1)</w:t>
      </w:r>
      <w:r w:rsidR="003A1917">
        <w:rPr>
          <w:kern w:val="0"/>
        </w:rPr>
        <w:t xml:space="preserve"> the </w:t>
      </w:r>
      <w:r>
        <w:rPr>
          <w:kern w:val="0"/>
        </w:rPr>
        <w:t>institutional reconfiguration</w:t>
      </w:r>
      <w:r w:rsidR="00427468">
        <w:rPr>
          <w:kern w:val="0"/>
        </w:rPr>
        <w:t xml:space="preserve"> of </w:t>
      </w:r>
      <w:r>
        <w:rPr>
          <w:kern w:val="0"/>
        </w:rPr>
        <w:t>university research priorities; (2)</w:t>
      </w:r>
      <w:r w:rsidR="003A1917">
        <w:rPr>
          <w:kern w:val="0"/>
        </w:rPr>
        <w:t xml:space="preserve"> the </w:t>
      </w:r>
      <w:r>
        <w:rPr>
          <w:kern w:val="0"/>
        </w:rPr>
        <w:t>fraying networks within</w:t>
      </w:r>
      <w:r w:rsidR="005853A9">
        <w:rPr>
          <w:kern w:val="0"/>
        </w:rPr>
        <w:t xml:space="preserve"> and </w:t>
      </w:r>
      <w:r>
        <w:rPr>
          <w:kern w:val="0"/>
        </w:rPr>
        <w:t>increasing specialization</w:t>
      </w:r>
      <w:r w:rsidR="00427468">
        <w:rPr>
          <w:kern w:val="0"/>
        </w:rPr>
        <w:t xml:space="preserve"> of </w:t>
      </w:r>
      <w:r>
        <w:rPr>
          <w:kern w:val="0"/>
        </w:rPr>
        <w:t>biological control science; (3)</w:t>
      </w:r>
      <w:r w:rsidR="003A1917">
        <w:rPr>
          <w:kern w:val="0"/>
        </w:rPr>
        <w:t xml:space="preserve"> the </w:t>
      </w:r>
      <w:r>
        <w:rPr>
          <w:kern w:val="0"/>
        </w:rPr>
        <w:t>transformation</w:t>
      </w:r>
      <w:r w:rsidR="00427468">
        <w:rPr>
          <w:kern w:val="0"/>
        </w:rPr>
        <w:t xml:space="preserve"> of </w:t>
      </w:r>
      <w:r w:rsidR="003A1917">
        <w:rPr>
          <w:kern w:val="0"/>
        </w:rPr>
        <w:t xml:space="preserve">the </w:t>
      </w:r>
      <w:r>
        <w:rPr>
          <w:kern w:val="0"/>
        </w:rPr>
        <w:t>social organization</w:t>
      </w:r>
      <w:r w:rsidR="00427468">
        <w:rPr>
          <w:kern w:val="0"/>
        </w:rPr>
        <w:t xml:space="preserve"> of </w:t>
      </w:r>
      <w:r w:rsidR="003A1917">
        <w:rPr>
          <w:kern w:val="0"/>
        </w:rPr>
        <w:t xml:space="preserve">the </w:t>
      </w:r>
      <w:r>
        <w:rPr>
          <w:kern w:val="0"/>
        </w:rPr>
        <w:t>life science work, including privatization;</w:t>
      </w:r>
      <w:r w:rsidR="005853A9">
        <w:rPr>
          <w:kern w:val="0"/>
        </w:rPr>
        <w:t xml:space="preserve"> and </w:t>
      </w:r>
      <w:r>
        <w:rPr>
          <w:kern w:val="0"/>
        </w:rPr>
        <w:t>(4)</w:t>
      </w:r>
      <w:r w:rsidR="003A1917">
        <w:rPr>
          <w:kern w:val="0"/>
        </w:rPr>
        <w:t xml:space="preserve"> the </w:t>
      </w:r>
      <w:r>
        <w:rPr>
          <w:kern w:val="0"/>
        </w:rPr>
        <w:t>abandonment</w:t>
      </w:r>
      <w:r w:rsidR="00427468">
        <w:rPr>
          <w:kern w:val="0"/>
        </w:rPr>
        <w:t xml:space="preserve"> of </w:t>
      </w:r>
      <w:r>
        <w:rPr>
          <w:kern w:val="0"/>
        </w:rPr>
        <w:t>this thematic area by civil society activist groups. This broad array</w:t>
      </w:r>
      <w:r w:rsidR="00427468">
        <w:rPr>
          <w:kern w:val="0"/>
        </w:rPr>
        <w:t xml:space="preserve"> of </w:t>
      </w:r>
      <w:r>
        <w:rPr>
          <w:kern w:val="0"/>
        </w:rPr>
        <w:t>forces suggests that biological control, as a public interest science, will require a deliberate intervention, based on advocacy</w:t>
      </w:r>
      <w:r w:rsidR="00427468">
        <w:rPr>
          <w:kern w:val="0"/>
        </w:rPr>
        <w:t xml:space="preserve"> of </w:t>
      </w:r>
      <w:r>
        <w:rPr>
          <w:kern w:val="0"/>
        </w:rPr>
        <w:t>clear public interest criteria.</w:t>
      </w:r>
    </w:p>
    <w:p w:rsidR="00E614B1" w:rsidRDefault="00E614B1" w:rsidP="00E614B1">
      <w:pPr>
        <w:pStyle w:val="a3"/>
        <w:rPr>
          <w:kern w:val="0"/>
        </w:rPr>
      </w:pPr>
      <w:r>
        <w:rPr>
          <w:kern w:val="0"/>
        </w:rPr>
        <w:lastRenderedPageBreak/>
        <w:t>Keywords: Advocacy, Agricultural Science, Agriculture, Biological Control, Biotechnology, Capacity, Control, Ever, Hightower, Impact, Insects, Institutional Capacity, Integrated Pest-Management, Interest, Intervention, Molecular Age, Pest Control, Politics, Priorities, Public Interest Science, Qualitative, Quantitative, Research, Research Activism, Science, Social, Social Networks, Trends, University, University-Industry Relationships, US</w:t>
      </w:r>
    </w:p>
    <w:p w:rsidR="00DB34E1" w:rsidRPr="001A3D2B" w:rsidRDefault="00DB34E1" w:rsidP="00DB34E1">
      <w:pPr>
        <w:pStyle w:val="1"/>
      </w:pPr>
      <w:r w:rsidRPr="001A3D2B">
        <w:br w:type="page"/>
      </w:r>
      <w:bookmarkStart w:id="177" w:name="_Toc420814343"/>
      <w:r w:rsidRPr="001A3D2B">
        <w:lastRenderedPageBreak/>
        <w:t xml:space="preserve">Title: </w:t>
      </w:r>
      <w:r w:rsidRPr="00DB34E1">
        <w:rPr>
          <w:iCs w:val="0"/>
        </w:rPr>
        <w:t>Agro Food Industry Hi-Tech</w:t>
      </w:r>
      <w:bookmarkEnd w:id="177"/>
    </w:p>
    <w:p w:rsidR="00DB34E1" w:rsidRPr="001A3D2B" w:rsidRDefault="00DB34E1" w:rsidP="00DB34E1">
      <w:pPr>
        <w:pStyle w:val="12"/>
      </w:pPr>
      <w:r w:rsidRPr="001A3D2B">
        <w:t xml:space="preserve">Full Journal Title: </w:t>
      </w:r>
      <w:r w:rsidRPr="00DB34E1">
        <w:rPr>
          <w:iCs/>
          <w:kern w:val="0"/>
        </w:rPr>
        <w:t>Agro Food Industry Hi-Tech</w:t>
      </w:r>
    </w:p>
    <w:p w:rsidR="00DB34E1" w:rsidRPr="001A3D2B" w:rsidRDefault="00DB34E1" w:rsidP="00DB34E1">
      <w:pPr>
        <w:pStyle w:val="12"/>
      </w:pPr>
      <w:r w:rsidRPr="001A3D2B">
        <w:t xml:space="preserve">ISO Abbreviated Title: </w:t>
      </w:r>
    </w:p>
    <w:p w:rsidR="00DB34E1" w:rsidRPr="001A3D2B" w:rsidRDefault="00DB34E1" w:rsidP="00DB34E1">
      <w:pPr>
        <w:pStyle w:val="12"/>
      </w:pPr>
      <w:r w:rsidRPr="001A3D2B">
        <w:t xml:space="preserve">JCR Abbreviated Title: </w:t>
      </w:r>
    </w:p>
    <w:p w:rsidR="00DB34E1" w:rsidRPr="001A3D2B" w:rsidRDefault="00DB34E1" w:rsidP="00DB34E1">
      <w:pPr>
        <w:pStyle w:val="12"/>
      </w:pPr>
      <w:r w:rsidRPr="001A3D2B">
        <w:t xml:space="preserve">ISSN: </w:t>
      </w:r>
    </w:p>
    <w:p w:rsidR="00DB34E1" w:rsidRPr="001A3D2B" w:rsidRDefault="00DB34E1" w:rsidP="00DB34E1">
      <w:pPr>
        <w:pStyle w:val="12"/>
      </w:pPr>
      <w:r w:rsidRPr="001A3D2B">
        <w:t xml:space="preserve">Issues/Year: </w:t>
      </w:r>
    </w:p>
    <w:p w:rsidR="00DB34E1" w:rsidRPr="001A3D2B" w:rsidRDefault="00DB34E1" w:rsidP="00DB34E1">
      <w:pPr>
        <w:pStyle w:val="12"/>
      </w:pPr>
      <w:r w:rsidRPr="001A3D2B">
        <w:t xml:space="preserve">Journal Country/Territory: </w:t>
      </w:r>
    </w:p>
    <w:p w:rsidR="00DB34E1" w:rsidRPr="001A3D2B" w:rsidRDefault="00DB34E1" w:rsidP="00DB34E1">
      <w:pPr>
        <w:pStyle w:val="12"/>
      </w:pPr>
      <w:r w:rsidRPr="001A3D2B">
        <w:t xml:space="preserve">Language: </w:t>
      </w:r>
    </w:p>
    <w:p w:rsidR="00DB34E1" w:rsidRPr="001A3D2B" w:rsidRDefault="00DB34E1" w:rsidP="00DB34E1">
      <w:pPr>
        <w:pStyle w:val="12"/>
      </w:pPr>
      <w:r w:rsidRPr="001A3D2B">
        <w:t xml:space="preserve">Publisher: </w:t>
      </w:r>
    </w:p>
    <w:p w:rsidR="00DB34E1" w:rsidRPr="001A3D2B" w:rsidRDefault="00DB34E1" w:rsidP="00DB34E1">
      <w:pPr>
        <w:pStyle w:val="12"/>
      </w:pPr>
      <w:r w:rsidRPr="001A3D2B">
        <w:t xml:space="preserve">Publisher Address: </w:t>
      </w:r>
    </w:p>
    <w:p w:rsidR="00DB34E1" w:rsidRPr="001A3D2B" w:rsidRDefault="00DB34E1" w:rsidP="00DB34E1">
      <w:pPr>
        <w:pStyle w:val="12"/>
      </w:pPr>
      <w:r w:rsidRPr="001A3D2B">
        <w:t xml:space="preserve">Subject Categories: </w:t>
      </w:r>
    </w:p>
    <w:p w:rsidR="00DB34E1" w:rsidRPr="001A3D2B" w:rsidRDefault="00DB34E1" w:rsidP="00DB34E1">
      <w:pPr>
        <w:pStyle w:val="12"/>
      </w:pPr>
      <w:r w:rsidRPr="001A3D2B">
        <w:t>: Impact Factor</w:t>
      </w:r>
    </w:p>
    <w:p w:rsidR="00DB34E1" w:rsidRDefault="00DB34E1" w:rsidP="00DB34E1">
      <w:pPr>
        <w:pStyle w:val="a3"/>
        <w:rPr>
          <w:kern w:val="0"/>
        </w:rPr>
      </w:pPr>
      <w:r>
        <w:rPr>
          <w:rFonts w:hint="eastAsia"/>
          <w:kern w:val="0"/>
        </w:rPr>
        <w:t xml:space="preserve">? </w:t>
      </w:r>
      <w:r>
        <w:rPr>
          <w:kern w:val="0"/>
        </w:rPr>
        <w:t>Bartlett, H.</w:t>
      </w:r>
      <w:r w:rsidR="005853A9">
        <w:rPr>
          <w:kern w:val="0"/>
        </w:rPr>
        <w:t xml:space="preserve"> and </w:t>
      </w:r>
      <w:r>
        <w:rPr>
          <w:kern w:val="0"/>
        </w:rPr>
        <w:t>Eperjesi, F. (2004), Carotenoids</w:t>
      </w:r>
      <w:r w:rsidR="005853A9">
        <w:rPr>
          <w:kern w:val="0"/>
        </w:rPr>
        <w:t xml:space="preserve"> and </w:t>
      </w:r>
      <w:r>
        <w:rPr>
          <w:kern w:val="0"/>
        </w:rPr>
        <w:t xml:space="preserve">ocular disease: A review. </w:t>
      </w:r>
      <w:r w:rsidRPr="00DB34E1">
        <w:rPr>
          <w:i/>
          <w:iCs/>
          <w:kern w:val="0"/>
        </w:rPr>
        <w:t>Agro Food Industry Hi-Tech</w:t>
      </w:r>
      <w:r>
        <w:rPr>
          <w:kern w:val="0"/>
        </w:rPr>
        <w:t xml:space="preserve">, </w:t>
      </w:r>
      <w:r>
        <w:rPr>
          <w:b/>
          <w:bCs/>
          <w:kern w:val="0"/>
        </w:rPr>
        <w:t>15</w:t>
      </w:r>
      <w:r>
        <w:rPr>
          <w:kern w:val="0"/>
        </w:rPr>
        <w:t xml:space="preserve"> (6), 19-21.</w:t>
      </w:r>
    </w:p>
    <w:p w:rsidR="00DB34E1" w:rsidRDefault="00DB34E1" w:rsidP="00DB34E1">
      <w:pPr>
        <w:pStyle w:val="a3"/>
        <w:rPr>
          <w:kern w:val="0"/>
        </w:rPr>
      </w:pPr>
      <w:r>
        <w:rPr>
          <w:rFonts w:hint="eastAsia"/>
          <w:kern w:val="0"/>
        </w:rPr>
        <w:t>Full Text: 2004\</w:t>
      </w:r>
      <w:r>
        <w:rPr>
          <w:iCs/>
          <w:kern w:val="0"/>
        </w:rPr>
        <w:t>Agr Foo Ind Hi-Tec</w:t>
      </w:r>
      <w:r w:rsidRPr="00DB34E1">
        <w:rPr>
          <w:bCs/>
          <w:kern w:val="0"/>
        </w:rPr>
        <w:t>15</w:t>
      </w:r>
      <w:r>
        <w:rPr>
          <w:kern w:val="0"/>
        </w:rPr>
        <w:t>, 19</w:t>
      </w:r>
      <w:r>
        <w:rPr>
          <w:rFonts w:hint="eastAsia"/>
          <w:kern w:val="0"/>
        </w:rPr>
        <w:t>.pdf</w:t>
      </w:r>
    </w:p>
    <w:p w:rsidR="00DB34E1" w:rsidRDefault="00DB34E1" w:rsidP="00DB34E1">
      <w:pPr>
        <w:pStyle w:val="a3"/>
        <w:rPr>
          <w:kern w:val="0"/>
        </w:rPr>
      </w:pPr>
      <w:r>
        <w:rPr>
          <w:kern w:val="0"/>
        </w:rPr>
        <w:t>Abstract: Background Carotenoids are not considered to be essential nutrients, but their antioxidant</w:t>
      </w:r>
      <w:r w:rsidR="005853A9">
        <w:rPr>
          <w:kern w:val="0"/>
        </w:rPr>
        <w:t xml:space="preserve"> and </w:t>
      </w:r>
      <w:r>
        <w:rPr>
          <w:kern w:val="0"/>
        </w:rPr>
        <w:t>photoprotective properties have prompted interest in their potential role in disease prevention. Our aim is to review</w:t>
      </w:r>
      <w:r w:rsidR="003A1917">
        <w:rPr>
          <w:kern w:val="0"/>
        </w:rPr>
        <w:t xml:space="preserve"> the </w:t>
      </w:r>
      <w:r>
        <w:rPr>
          <w:kern w:val="0"/>
        </w:rPr>
        <w:t xml:space="preserve">evidence In relation to ocular disease. Method </w:t>
      </w:r>
      <w:r w:rsidR="00D5664A">
        <w:rPr>
          <w:kern w:val="0"/>
        </w:rPr>
        <w:t>Web</w:t>
      </w:r>
      <w:r w:rsidR="00427468">
        <w:rPr>
          <w:kern w:val="0"/>
        </w:rPr>
        <w:t xml:space="preserve"> of </w:t>
      </w:r>
      <w:r w:rsidR="00D5664A">
        <w:rPr>
          <w:kern w:val="0"/>
        </w:rPr>
        <w:t>Science</w:t>
      </w:r>
      <w:r w:rsidR="005853A9">
        <w:rPr>
          <w:kern w:val="0"/>
        </w:rPr>
        <w:t xml:space="preserve"> and </w:t>
      </w:r>
      <w:r w:rsidR="00D5664A">
        <w:rPr>
          <w:kern w:val="0"/>
        </w:rPr>
        <w:t>MEDLINE</w:t>
      </w:r>
      <w:r>
        <w:rPr>
          <w:kern w:val="0"/>
        </w:rPr>
        <w:t xml:space="preserve"> via </w:t>
      </w:r>
      <w:r w:rsidR="002C12F0">
        <w:rPr>
          <w:kern w:val="0"/>
        </w:rPr>
        <w:t>PUBMED</w:t>
      </w:r>
      <w:r>
        <w:rPr>
          <w:kern w:val="0"/>
        </w:rPr>
        <w:t xml:space="preserve"> database search. Results Lutein</w:t>
      </w:r>
      <w:r w:rsidR="005853A9">
        <w:rPr>
          <w:kern w:val="0"/>
        </w:rPr>
        <w:t xml:space="preserve"> and </w:t>
      </w:r>
      <w:r>
        <w:rPr>
          <w:kern w:val="0"/>
        </w:rPr>
        <w:t>zeaxanthin intake has been associated with a 22% reduced risk</w:t>
      </w:r>
      <w:r w:rsidR="00427468">
        <w:rPr>
          <w:kern w:val="0"/>
        </w:rPr>
        <w:t xml:space="preserve"> of </w:t>
      </w:r>
      <w:r>
        <w:rPr>
          <w:kern w:val="0"/>
        </w:rPr>
        <w:t>cataract extraction in women (RR 0.78, p = 0.04),</w:t>
      </w:r>
      <w:r w:rsidR="005853A9">
        <w:rPr>
          <w:kern w:val="0"/>
        </w:rPr>
        <w:t xml:space="preserve"> and </w:t>
      </w:r>
      <w:r>
        <w:rPr>
          <w:kern w:val="0"/>
        </w:rPr>
        <w:t>a 19% lower risk</w:t>
      </w:r>
      <w:r w:rsidR="00427468">
        <w:rPr>
          <w:kern w:val="0"/>
        </w:rPr>
        <w:t xml:space="preserve"> of </w:t>
      </w:r>
      <w:r>
        <w:rPr>
          <w:kern w:val="0"/>
        </w:rPr>
        <w:t>cataract in men (RR 0.8, p = 0, 03). A randomised controlled trial (RCT) found a significant improvement in visual acuity in cataract patients supplemented with lutein. Two RCTs investigating</w:t>
      </w:r>
      <w:r w:rsidR="003A1917">
        <w:rPr>
          <w:kern w:val="0"/>
        </w:rPr>
        <w:t xml:space="preserve"> the </w:t>
      </w:r>
      <w:r>
        <w:rPr>
          <w:kern w:val="0"/>
        </w:rPr>
        <w:t>effect</w:t>
      </w:r>
      <w:r w:rsidR="00427468">
        <w:rPr>
          <w:kern w:val="0"/>
        </w:rPr>
        <w:t xml:space="preserve"> of </w:t>
      </w:r>
      <w:r>
        <w:rPr>
          <w:kern w:val="0"/>
        </w:rPr>
        <w:t>P-carotene, in combination with other nutrients, on cataract report conflicting results. Several studies show no inverse association between cataract</w:t>
      </w:r>
      <w:r w:rsidR="005853A9">
        <w:rPr>
          <w:kern w:val="0"/>
        </w:rPr>
        <w:t xml:space="preserve"> and </w:t>
      </w:r>
      <w:r>
        <w:rPr>
          <w:kern w:val="0"/>
        </w:rPr>
        <w:t>P-carotene. Lutein</w:t>
      </w:r>
      <w:r w:rsidR="005853A9">
        <w:rPr>
          <w:kern w:val="0"/>
        </w:rPr>
        <w:t xml:space="preserve"> and </w:t>
      </w:r>
      <w:r>
        <w:rPr>
          <w:kern w:val="0"/>
        </w:rPr>
        <w:t>zeaxanthin are</w:t>
      </w:r>
      <w:r w:rsidR="003A1917">
        <w:rPr>
          <w:kern w:val="0"/>
        </w:rPr>
        <w:t xml:space="preserve"> the </w:t>
      </w:r>
      <w:r>
        <w:rPr>
          <w:kern w:val="0"/>
        </w:rPr>
        <w:t>only carotenoids found in</w:t>
      </w:r>
      <w:r w:rsidR="003A1917">
        <w:rPr>
          <w:kern w:val="0"/>
        </w:rPr>
        <w:t xml:space="preserve"> the </w:t>
      </w:r>
      <w:r>
        <w:rPr>
          <w:kern w:val="0"/>
        </w:rPr>
        <w:t>human macula. RCTs have found beneficial effects</w:t>
      </w:r>
      <w:r w:rsidR="00427468">
        <w:rPr>
          <w:kern w:val="0"/>
        </w:rPr>
        <w:t xml:space="preserve"> of </w:t>
      </w:r>
      <w:r>
        <w:rPr>
          <w:kern w:val="0"/>
        </w:rPr>
        <w:t>both lutein</w:t>
      </w:r>
      <w:r w:rsidR="005853A9">
        <w:rPr>
          <w:kern w:val="0"/>
        </w:rPr>
        <w:t xml:space="preserve"> and </w:t>
      </w:r>
      <w:r>
        <w:rPr>
          <w:kern w:val="0"/>
        </w:rPr>
        <w:t>beta-carotene supplementation, in combination with other antioxidants, on visual function age-related macular disease affected subjects. Evidence for a role</w:t>
      </w:r>
      <w:r w:rsidR="00427468">
        <w:rPr>
          <w:kern w:val="0"/>
        </w:rPr>
        <w:t xml:space="preserve"> of </w:t>
      </w:r>
      <w:r>
        <w:rPr>
          <w:kern w:val="0"/>
        </w:rPr>
        <w:t>lutein in preventing deterioration</w:t>
      </w:r>
      <w:r w:rsidR="00427468">
        <w:rPr>
          <w:kern w:val="0"/>
        </w:rPr>
        <w:t xml:space="preserve"> of </w:t>
      </w:r>
      <w:r>
        <w:rPr>
          <w:kern w:val="0"/>
        </w:rPr>
        <w:t>visual function in retinitis pigmentosa patients is conflicting. CONCLUSIONS Further research into</w:t>
      </w:r>
      <w:r w:rsidR="003A1917">
        <w:rPr>
          <w:kern w:val="0"/>
        </w:rPr>
        <w:t xml:space="preserve"> the </w:t>
      </w:r>
      <w:r>
        <w:rPr>
          <w:kern w:val="0"/>
        </w:rPr>
        <w:t>role</w:t>
      </w:r>
      <w:r w:rsidR="00427468">
        <w:rPr>
          <w:kern w:val="0"/>
        </w:rPr>
        <w:t xml:space="preserve"> of </w:t>
      </w:r>
      <w:r>
        <w:rPr>
          <w:kern w:val="0"/>
        </w:rPr>
        <w:t>lutein</w:t>
      </w:r>
      <w:r w:rsidR="005853A9">
        <w:rPr>
          <w:kern w:val="0"/>
        </w:rPr>
        <w:t xml:space="preserve"> and </w:t>
      </w:r>
      <w:r>
        <w:rPr>
          <w:kern w:val="0"/>
        </w:rPr>
        <w:t>zeaxanthin in prevention</w:t>
      </w:r>
      <w:r w:rsidR="00427468">
        <w:rPr>
          <w:kern w:val="0"/>
        </w:rPr>
        <w:t xml:space="preserve"> of </w:t>
      </w:r>
      <w:r>
        <w:rPr>
          <w:kern w:val="0"/>
        </w:rPr>
        <w:t>onset</w:t>
      </w:r>
      <w:r w:rsidR="005853A9">
        <w:rPr>
          <w:kern w:val="0"/>
        </w:rPr>
        <w:t xml:space="preserve"> and </w:t>
      </w:r>
      <w:r>
        <w:rPr>
          <w:kern w:val="0"/>
        </w:rPr>
        <w:t>progression</w:t>
      </w:r>
      <w:r w:rsidR="00427468">
        <w:rPr>
          <w:kern w:val="0"/>
        </w:rPr>
        <w:t xml:space="preserve"> of </w:t>
      </w:r>
      <w:r>
        <w:rPr>
          <w:kern w:val="0"/>
        </w:rPr>
        <w:t>ocular disease is warranted.</w:t>
      </w:r>
    </w:p>
    <w:p w:rsidR="00DB34E1" w:rsidRDefault="00DB34E1" w:rsidP="00DB34E1">
      <w:pPr>
        <w:pStyle w:val="a3"/>
        <w:rPr>
          <w:kern w:val="0"/>
        </w:rPr>
      </w:pPr>
      <w:r>
        <w:rPr>
          <w:kern w:val="0"/>
        </w:rPr>
        <w:t xml:space="preserve">Keywords: Age-Related Maculopathy, Beta-Carotene, Carotenoids, Cataract-Extraction, Disease, Disease Prevention, Human, Interest, Lung-Cancer, Lutein Supplementation, Macular Pigment Density, Nuclear Cataract, Prevention, Protective Role, </w:t>
      </w:r>
      <w:r w:rsidR="002C12F0">
        <w:rPr>
          <w:kern w:val="0"/>
        </w:rPr>
        <w:t>PUBMED</w:t>
      </w:r>
      <w:r>
        <w:rPr>
          <w:kern w:val="0"/>
        </w:rPr>
        <w:t xml:space="preserve">, Randomised Controlled Trial, Research, Resonance Raman Measurement, Retinitis-Pigmentosa, Review, Risk, Science, </w:t>
      </w:r>
      <w:r w:rsidR="00D5664A">
        <w:rPr>
          <w:kern w:val="0"/>
        </w:rPr>
        <w:t>Web</w:t>
      </w:r>
      <w:r w:rsidR="00427468">
        <w:rPr>
          <w:kern w:val="0"/>
        </w:rPr>
        <w:t xml:space="preserve"> of </w:t>
      </w:r>
      <w:r w:rsidR="00D5664A">
        <w:rPr>
          <w:kern w:val="0"/>
        </w:rPr>
        <w:t>Science</w:t>
      </w:r>
      <w:r>
        <w:rPr>
          <w:kern w:val="0"/>
        </w:rPr>
        <w:t>, Women</w:t>
      </w:r>
    </w:p>
    <w:p w:rsidR="00F64F85" w:rsidRPr="00F219CA" w:rsidRDefault="00F64F85" w:rsidP="00F64F85">
      <w:pPr>
        <w:pStyle w:val="1"/>
      </w:pPr>
      <w:r>
        <w:br w:type="page"/>
      </w:r>
      <w:bookmarkStart w:id="178" w:name="_Toc388289387"/>
      <w:bookmarkStart w:id="179" w:name="_Toc420814344"/>
      <w:r>
        <w:lastRenderedPageBreak/>
        <w:t>Title: Agronomy for Sustainable Development</w:t>
      </w:r>
      <w:bookmarkEnd w:id="178"/>
      <w:bookmarkEnd w:id="179"/>
    </w:p>
    <w:p w:rsidR="00F64F85" w:rsidRDefault="00F64F85" w:rsidP="00F64F85">
      <w:pPr>
        <w:pStyle w:val="12"/>
      </w:pPr>
      <w:r>
        <w:t>Full Journal Title: Agronomy for Sustainable Development</w:t>
      </w:r>
    </w:p>
    <w:p w:rsidR="00F64F85" w:rsidRDefault="00F64F85" w:rsidP="00F64F85">
      <w:pPr>
        <w:pStyle w:val="12"/>
      </w:pPr>
      <w:r>
        <w:t>ISO Abbrev. Title: Agron. Sustain. Dev.</w:t>
      </w:r>
    </w:p>
    <w:p w:rsidR="00F64F85" w:rsidRDefault="00F64F85" w:rsidP="00F64F85">
      <w:pPr>
        <w:pStyle w:val="12"/>
      </w:pPr>
      <w:r>
        <w:t>JCR Abbrev. Title: Agron Sustain Dev</w:t>
      </w:r>
    </w:p>
    <w:p w:rsidR="00F64F85" w:rsidRDefault="00F64F85" w:rsidP="00F64F85">
      <w:pPr>
        <w:pStyle w:val="12"/>
      </w:pPr>
      <w:r>
        <w:t>ISSN: 1774-0746</w:t>
      </w:r>
    </w:p>
    <w:p w:rsidR="00F64F85" w:rsidRDefault="00F64F85" w:rsidP="00F64F85">
      <w:pPr>
        <w:pStyle w:val="12"/>
      </w:pPr>
      <w:r>
        <w:t>Issues/Year: 4</w:t>
      </w:r>
    </w:p>
    <w:p w:rsidR="00F64F85" w:rsidRDefault="00F64F85" w:rsidP="00F64F85">
      <w:pPr>
        <w:pStyle w:val="12"/>
      </w:pPr>
      <w:r>
        <w:t>Language: Multi-Language</w:t>
      </w:r>
    </w:p>
    <w:p w:rsidR="00F64F85" w:rsidRDefault="00F64F85" w:rsidP="00F64F85">
      <w:pPr>
        <w:pStyle w:val="12"/>
      </w:pPr>
      <w:r>
        <w:t>Journal Country/Territory: France</w:t>
      </w:r>
    </w:p>
    <w:p w:rsidR="00F64F85" w:rsidRDefault="00F64F85" w:rsidP="00F64F85">
      <w:pPr>
        <w:pStyle w:val="12"/>
      </w:pPr>
      <w:r>
        <w:t>Publisher: Springer France</w:t>
      </w:r>
    </w:p>
    <w:p w:rsidR="00F64F85" w:rsidRDefault="00F64F85" w:rsidP="00F64F85">
      <w:pPr>
        <w:pStyle w:val="12"/>
      </w:pPr>
      <w:r>
        <w:t>Publisher Address: 22 Rue De Palestro, Paris 75002, France</w:t>
      </w:r>
    </w:p>
    <w:p w:rsidR="00F64F85" w:rsidRDefault="00F64F85" w:rsidP="00F64F85">
      <w:pPr>
        <w:pStyle w:val="12"/>
      </w:pPr>
      <w:r>
        <w:t>Subject Categories:</w:t>
      </w:r>
    </w:p>
    <w:p w:rsidR="00F64F85" w:rsidRDefault="00F64F85" w:rsidP="00F64F85">
      <w:pPr>
        <w:pStyle w:val="12"/>
      </w:pPr>
      <w:r>
        <w:t>Agronomy</w:t>
      </w:r>
      <w:r w:rsidRPr="00F219CA">
        <w:t>: Impact Factor</w:t>
      </w:r>
      <w:r>
        <w:rPr>
          <w:rFonts w:hint="eastAsia"/>
        </w:rPr>
        <w:t xml:space="preserve"> 3.330, 4/79 (2011)</w:t>
      </w:r>
    </w:p>
    <w:p w:rsidR="00F64F85" w:rsidRDefault="00F64F85" w:rsidP="00F64F85">
      <w:pPr>
        <w:pStyle w:val="a3"/>
        <w:rPr>
          <w:kern w:val="0"/>
        </w:rPr>
      </w:pPr>
      <w:r>
        <w:rPr>
          <w:rFonts w:hint="eastAsia"/>
          <w:kern w:val="0"/>
        </w:rPr>
        <w:t xml:space="preserve">? </w:t>
      </w:r>
      <w:r>
        <w:rPr>
          <w:kern w:val="0"/>
        </w:rPr>
        <w:t xml:space="preserve">Ferguson, R.S. and Lovell, S.T. (2014), Permaculture for agroecology: Design, movement, practice, and worldview. A review. </w:t>
      </w:r>
      <w:r>
        <w:rPr>
          <w:i/>
          <w:iCs/>
          <w:kern w:val="0"/>
        </w:rPr>
        <w:t>Agronomy for Sustainable Development</w:t>
      </w:r>
      <w:r>
        <w:rPr>
          <w:kern w:val="0"/>
        </w:rPr>
        <w:t xml:space="preserve">, </w:t>
      </w:r>
      <w:r>
        <w:rPr>
          <w:b/>
          <w:bCs/>
          <w:kern w:val="0"/>
        </w:rPr>
        <w:t>34</w:t>
      </w:r>
      <w:r>
        <w:rPr>
          <w:kern w:val="0"/>
        </w:rPr>
        <w:t xml:space="preserve"> (2), 251-274.</w:t>
      </w:r>
    </w:p>
    <w:p w:rsidR="00F64F85" w:rsidRDefault="00F64F85" w:rsidP="00F64F85">
      <w:pPr>
        <w:pStyle w:val="a3"/>
        <w:rPr>
          <w:kern w:val="0"/>
        </w:rPr>
      </w:pPr>
      <w:r>
        <w:rPr>
          <w:rFonts w:hint="eastAsia"/>
          <w:kern w:val="0"/>
        </w:rPr>
        <w:t xml:space="preserve">Full Text: </w:t>
      </w:r>
      <w:hyperlink r:id="rId330" w:history="1">
        <w:r w:rsidRPr="00826EB9">
          <w:rPr>
            <w:rStyle w:val="a5"/>
            <w:kern w:val="0"/>
          </w:rPr>
          <w:t>2014\Agr Sus Dev34, 251.pdf</w:t>
        </w:r>
      </w:hyperlink>
    </w:p>
    <w:p w:rsidR="00F64F85" w:rsidRDefault="00F64F85" w:rsidP="00F64F85">
      <w:pPr>
        <w:pStyle w:val="a3"/>
        <w:rPr>
          <w:kern w:val="0"/>
        </w:rPr>
      </w:pPr>
      <w:r>
        <w:rPr>
          <w:kern w:val="0"/>
        </w:rPr>
        <w:t>Abstract: Agroecology is a promising alternative to industrial agriculture, with the potential to avoid the negative social and ecological consequences of input-intensive production. Transitioning to agroecological production is, however, a complex project that requires diverse contributions from the outside of scientific institutions. Agroecologists therefore collaborate with traditional producers and agroecological movements. Permaculture is one such agroecological movement, with a broad international distribution and a unique approach to system design. Despite a high public profile, permaculture has remained relatively isolated from scientific research. Though the potential contribution of permaculture to agroecological transition is great, it is limited by this isolation from science, as well as from oversimplifying claims, and the lack of a clear definition. Here, we review scientific and popular permaculture literature. A systematic review discusses quantitative bibliometric data, including keyword analysis. A qualitative review identifies and assesses major themes, proposals, and claims</w:t>
      </w:r>
      <w:r w:rsidR="00A37C1D">
        <w:rPr>
          <w:kern w:val="0"/>
        </w:rPr>
        <w:t>. The</w:t>
      </w:r>
      <w:r>
        <w:rPr>
          <w:kern w:val="0"/>
        </w:rPr>
        <w:t xml:space="preserve"> manuscript follows a stratified definition of permaculture as design system, best practice framework, worldview, and movement</w:t>
      </w:r>
      <w:r w:rsidR="00A37C1D">
        <w:rPr>
          <w:kern w:val="0"/>
        </w:rPr>
        <w:t>. The</w:t>
      </w:r>
      <w:r>
        <w:rPr>
          <w:kern w:val="0"/>
        </w:rPr>
        <w:t xml:space="preserve"> major points of our analysis are as follows: (1) Principles and topics largely complement and even extend principles and topics found in the agroecological literature. (2) Distinctive approaches to perennial polyculture, water management, and the importance of agroecosystem configuration exceed what is documented in the scientific literature and thus suggest promising avenues of inquiry. (3) Discussions of practice consistently underplay the complexity, challenges, and risks </w:t>
      </w:r>
      <w:r>
        <w:rPr>
          <w:kern w:val="0"/>
        </w:rPr>
        <w:lastRenderedPageBreak/>
        <w:t>that producers face in developing diversified and integrated production systems. (4) The movement is mobilizing diverse forms of social support for sustainability, in geographically diverse locations. (5) And scholarship in permaculture has always been a diverse marginal sector, but is growing.</w:t>
      </w:r>
    </w:p>
    <w:p w:rsidR="00F64F85" w:rsidRDefault="00F64F85" w:rsidP="00F64F85">
      <w:pPr>
        <w:pStyle w:val="a3"/>
        <w:rPr>
          <w:kern w:val="0"/>
        </w:rPr>
      </w:pPr>
      <w:r>
        <w:rPr>
          <w:kern w:val="0"/>
        </w:rPr>
        <w:t>Keywords: Agriculture, Agroecological Movement, Agroecological Transition, Agroecology, Agroecosystem, Alternative, Analysis, Approach, Bibliometric, Bibliometric Data, Complexity, Contribution, Cropping Systems, Data, Design, Developing, Distribution, Diversified Farming Systems, Ecological Analysis, Farmdesign, Food Sovereignty, Forms, Framework, Google Scholar, Institutions, Integrated Farming Systems, International, Keyword Analysis, Literature, Management, Movement, Northeast Thailand, Perennial Polyculture, Perennial-Grain Crops, Permaculture, Potential, Practice, Principles, Public, Qualitative, Research, Review, Risks, Scholarship, Science, Scientific Institutions, Scientific Literature, Scientific Research, Sector, Social, Social Support, Social-Movement, Support, Sustainability, Sustainable Agriculture, Systematic, Systematic Review, Systems, United-States, Water, Water Management</w:t>
      </w:r>
    </w:p>
    <w:p w:rsidR="003474F2" w:rsidRPr="001A3D2B" w:rsidRDefault="003474F2" w:rsidP="003474F2">
      <w:pPr>
        <w:pStyle w:val="1"/>
      </w:pPr>
      <w:r w:rsidRPr="001A3D2B">
        <w:br w:type="page"/>
      </w:r>
      <w:bookmarkStart w:id="180" w:name="_Toc420814345"/>
      <w:r w:rsidRPr="001A3D2B">
        <w:lastRenderedPageBreak/>
        <w:t xml:space="preserve">Title: </w:t>
      </w:r>
      <w:r w:rsidRPr="001A3D2B">
        <w:rPr>
          <w:iCs w:val="0"/>
        </w:rPr>
        <w:t>AI Communications</w:t>
      </w:r>
      <w:bookmarkEnd w:id="180"/>
    </w:p>
    <w:p w:rsidR="003474F2" w:rsidRPr="001A3D2B" w:rsidRDefault="003474F2" w:rsidP="003474F2">
      <w:pPr>
        <w:pStyle w:val="12"/>
      </w:pPr>
      <w:r w:rsidRPr="001A3D2B">
        <w:t>Full Journal Title: AI Communications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van den Besselaar, P.</w:t>
      </w:r>
      <w:r w:rsidR="005853A9">
        <w:t xml:space="preserve"> and </w:t>
      </w:r>
      <w:r w:rsidRPr="001A3D2B">
        <w:t>Leydesdorff, L. (1993), Research performance in artificial intelligence</w:t>
      </w:r>
      <w:r w:rsidR="005853A9">
        <w:t xml:space="preserve"> and </w:t>
      </w:r>
      <w:r w:rsidRPr="001A3D2B">
        <w:t xml:space="preserve">robotics: An international comparison. </w:t>
      </w:r>
      <w:r w:rsidRPr="001A3D2B">
        <w:rPr>
          <w:i/>
          <w:iCs/>
        </w:rPr>
        <w:t>AI Communications</w:t>
      </w:r>
      <w:r w:rsidRPr="001A3D2B">
        <w:t xml:space="preserve">, </w:t>
      </w:r>
      <w:r w:rsidRPr="001A3D2B">
        <w:rPr>
          <w:b/>
          <w:bCs/>
        </w:rPr>
        <w:t>6</w:t>
      </w:r>
      <w:r w:rsidRPr="001A3D2B">
        <w:t xml:space="preserve"> (2), 83-91.</w:t>
      </w:r>
    </w:p>
    <w:p w:rsidR="00DD3BE7" w:rsidRPr="001A3D2B" w:rsidRDefault="00DD3BE7" w:rsidP="00DD3BE7">
      <w:pPr>
        <w:pStyle w:val="a3"/>
      </w:pPr>
      <w:r w:rsidRPr="001A3D2B">
        <w:t xml:space="preserve">Full Text: </w:t>
      </w:r>
      <w:r w:rsidRPr="001A3D2B">
        <w:rPr>
          <w:iCs/>
        </w:rPr>
        <w:t>AI Com</w:t>
      </w:r>
      <w:r w:rsidRPr="001A3D2B">
        <w:rPr>
          <w:bCs/>
        </w:rPr>
        <w:t>6</w:t>
      </w:r>
      <w:r w:rsidRPr="001A3D2B">
        <w:t>, 83</w:t>
      </w:r>
      <w:r w:rsidR="00701BB6" w:rsidRPr="001A3D2B">
        <w:t>.pdf</w:t>
      </w:r>
    </w:p>
    <w:p w:rsidR="003474F2" w:rsidRPr="001A3D2B" w:rsidRDefault="003474F2" w:rsidP="003474F2">
      <w:pPr>
        <w:pStyle w:val="a3"/>
      </w:pPr>
      <w:r w:rsidRPr="001A3D2B">
        <w:t>Abstract:</w:t>
      </w:r>
      <w:r w:rsidR="003A1917">
        <w:t xml:space="preserve"> the </w:t>
      </w:r>
      <w:r w:rsidRPr="001A3D2B">
        <w:t>authors give a brief overview</w:t>
      </w:r>
      <w:r w:rsidR="00427468">
        <w:t xml:space="preserve"> of </w:t>
      </w:r>
      <w:r w:rsidR="003A1917">
        <w:t xml:space="preserve">the </w:t>
      </w:r>
      <w:r w:rsidRPr="001A3D2B">
        <w:t>AI</w:t>
      </w:r>
      <w:r w:rsidR="005853A9">
        <w:t xml:space="preserve"> and </w:t>
      </w:r>
      <w:r w:rsidRPr="001A3D2B">
        <w:t>robotics research performance</w:t>
      </w:r>
      <w:r w:rsidR="00427468">
        <w:t xml:space="preserve"> of </w:t>
      </w:r>
      <w:r w:rsidRPr="001A3D2B">
        <w:t>several countries in</w:t>
      </w:r>
      <w:r w:rsidR="003A1917">
        <w:t xml:space="preserve"> the </w:t>
      </w:r>
      <w:r w:rsidRPr="001A3D2B">
        <w:t>1980s, but focus on</w:t>
      </w:r>
      <w:r w:rsidR="003A1917">
        <w:t xml:space="preserve"> the </w:t>
      </w:r>
      <w:r w:rsidRPr="001A3D2B">
        <w:t>EC</w:t>
      </w:r>
      <w:r w:rsidR="005853A9">
        <w:t xml:space="preserve"> and </w:t>
      </w:r>
      <w:r w:rsidRPr="001A3D2B">
        <w:t>some</w:t>
      </w:r>
      <w:r w:rsidR="00427468">
        <w:t xml:space="preserve"> of </w:t>
      </w:r>
      <w:r w:rsidRPr="001A3D2B">
        <w:t>its main competitors:</w:t>
      </w:r>
      <w:r w:rsidR="003A1917">
        <w:t xml:space="preserve"> the </w:t>
      </w:r>
      <w:r w:rsidRPr="001A3D2B">
        <w:t>US, Canada, Japan</w:t>
      </w:r>
      <w:r w:rsidR="005853A9">
        <w:t xml:space="preserve"> and </w:t>
      </w:r>
      <w:r w:rsidRPr="001A3D2B">
        <w:t>Sweden. Shares in research output are changing</w:t>
      </w:r>
      <w:r w:rsidR="005853A9">
        <w:t xml:space="preserve"> and </w:t>
      </w:r>
      <w:r w:rsidR="003A1917">
        <w:t xml:space="preserve">the </w:t>
      </w:r>
      <w:r w:rsidRPr="001A3D2B">
        <w:t>patterns differ between AI</w:t>
      </w:r>
      <w:r w:rsidR="005853A9">
        <w:t xml:space="preserve"> and </w:t>
      </w:r>
      <w:r w:rsidRPr="001A3D2B">
        <w:t>robotics. First, they specify what counts as AI research output</w:t>
      </w:r>
      <w:r w:rsidR="005853A9">
        <w:t xml:space="preserve"> and </w:t>
      </w:r>
      <w:r w:rsidRPr="001A3D2B">
        <w:t>robotics-research output. Although research has various types</w:t>
      </w:r>
      <w:r w:rsidR="00427468">
        <w:t xml:space="preserve"> of </w:t>
      </w:r>
      <w:r w:rsidRPr="001A3D2B">
        <w:t>output,</w:t>
      </w:r>
      <w:r w:rsidR="003A1917">
        <w:t xml:space="preserve"> the </w:t>
      </w:r>
      <w:r w:rsidRPr="001A3D2B">
        <w:t>authors focus on research output in terms</w:t>
      </w:r>
      <w:r w:rsidR="00427468">
        <w:t xml:space="preserve"> of </w:t>
      </w:r>
      <w:r w:rsidRPr="001A3D2B">
        <w:t>publications in scientific journals. By making this selection, they neglect other types</w:t>
      </w:r>
      <w:r w:rsidR="00427468">
        <w:t xml:space="preserve"> of </w:t>
      </w:r>
      <w:r w:rsidRPr="001A3D2B">
        <w:t>output like patents, artifacts, books</w:t>
      </w:r>
      <w:r w:rsidR="005853A9">
        <w:t xml:space="preserve"> and </w:t>
      </w:r>
      <w:r w:rsidRPr="001A3D2B">
        <w:t>congress papers</w:t>
      </w:r>
      <w:r w:rsidR="00A37C1D">
        <w:t>. The</w:t>
      </w:r>
      <w:r w:rsidR="003A1917">
        <w:t xml:space="preserve"> </w:t>
      </w:r>
      <w:r w:rsidRPr="001A3D2B">
        <w:t>empirical base are</w:t>
      </w:r>
      <w:r w:rsidR="003A1917">
        <w:t xml:space="preserve"> the </w:t>
      </w:r>
      <w:r w:rsidRPr="001A3D2B">
        <w:t>journals as included in</w:t>
      </w:r>
      <w:r w:rsidR="003A1917">
        <w:t xml:space="preserve"> the </w:t>
      </w:r>
      <w:r w:rsidRPr="001A3D2B">
        <w:t>Science Citation Index</w:t>
      </w:r>
      <w:r w:rsidR="005853A9">
        <w:t xml:space="preserve"> and </w:t>
      </w:r>
      <w:r w:rsidR="003A1917">
        <w:t xml:space="preserve">the </w:t>
      </w:r>
      <w:r w:rsidRPr="001A3D2B">
        <w:t>Social Sciences Citation Index</w:t>
      </w:r>
      <w:r w:rsidR="00A37C1D">
        <w:t>. The</w:t>
      </w:r>
      <w:r w:rsidRPr="001A3D2B">
        <w:t>y use</w:t>
      </w:r>
      <w:r w:rsidR="003A1917">
        <w:t xml:space="preserve"> the </w:t>
      </w:r>
      <w:r w:rsidRPr="001A3D2B">
        <w:t>results</w:t>
      </w:r>
      <w:r w:rsidR="00427468">
        <w:t xml:space="preserve"> of </w:t>
      </w:r>
      <w:r w:rsidRPr="001A3D2B">
        <w:t>searching these databases to review</w:t>
      </w:r>
      <w:r w:rsidR="003A1917">
        <w:t xml:space="preserve"> the </w:t>
      </w:r>
      <w:r w:rsidRPr="001A3D2B">
        <w:t>research.</w:t>
      </w:r>
    </w:p>
    <w:p w:rsidR="003474F2" w:rsidRPr="001A3D2B" w:rsidRDefault="003474F2" w:rsidP="003474F2">
      <w:pPr>
        <w:pStyle w:val="a3"/>
      </w:pPr>
      <w:r w:rsidRPr="001A3D2B">
        <w:t>Keywords: Canada, Comparison, Databases, EC, International, International Comparison, Japan, Journals, Neglect, Papers, Patents, Performance, Publications, Research, Research Performance, Review, Science Citation Index, Scientific Journals, Sweden, US</w:t>
      </w:r>
    </w:p>
    <w:p w:rsidR="004F3AB1" w:rsidRPr="001A3D2B" w:rsidRDefault="004F3AB1" w:rsidP="004F3AB1">
      <w:pPr>
        <w:pStyle w:val="1"/>
      </w:pPr>
      <w:r w:rsidRPr="001A3D2B">
        <w:br w:type="page"/>
      </w:r>
      <w:bookmarkStart w:id="181" w:name="_Toc420814346"/>
      <w:r w:rsidRPr="001A3D2B">
        <w:lastRenderedPageBreak/>
        <w:t xml:space="preserve">Title: </w:t>
      </w:r>
      <w:r w:rsidRPr="004F3AB1">
        <w:rPr>
          <w:iCs w:val="0"/>
        </w:rPr>
        <w:t>AIDS</w:t>
      </w:r>
      <w:bookmarkEnd w:id="181"/>
    </w:p>
    <w:p w:rsidR="00B40EE2" w:rsidRPr="001A3D2B" w:rsidRDefault="00B40EE2" w:rsidP="00B40EE2">
      <w:pPr>
        <w:pStyle w:val="12"/>
      </w:pPr>
      <w:r w:rsidRPr="001A3D2B">
        <w:t xml:space="preserve">Full Journal Title: </w:t>
      </w:r>
      <w:r w:rsidRPr="004F3AB1">
        <w:rPr>
          <w:iCs/>
          <w:kern w:val="0"/>
        </w:rPr>
        <w:t>AIDS</w:t>
      </w:r>
    </w:p>
    <w:p w:rsidR="00B40EE2" w:rsidRDefault="00B40EE2" w:rsidP="00B40EE2">
      <w:pPr>
        <w:pStyle w:val="12"/>
      </w:pPr>
      <w:r>
        <w:t>ISO Abbrev. Title: AIDS</w:t>
      </w:r>
    </w:p>
    <w:p w:rsidR="00B40EE2" w:rsidRDefault="00B40EE2" w:rsidP="00B40EE2">
      <w:pPr>
        <w:pStyle w:val="12"/>
      </w:pPr>
      <w:r>
        <w:t>JCR Abbrev. Title: AIDS</w:t>
      </w:r>
    </w:p>
    <w:p w:rsidR="00B40EE2" w:rsidRDefault="00B40EE2" w:rsidP="00B40EE2">
      <w:pPr>
        <w:pStyle w:val="12"/>
      </w:pPr>
      <w:r>
        <w:t>ISSN: 0269-9370</w:t>
      </w:r>
    </w:p>
    <w:p w:rsidR="00B40EE2" w:rsidRDefault="00B40EE2" w:rsidP="00B40EE2">
      <w:pPr>
        <w:pStyle w:val="12"/>
      </w:pPr>
      <w:r>
        <w:t>Issues/Year: 18</w:t>
      </w:r>
    </w:p>
    <w:p w:rsidR="00B40EE2" w:rsidRDefault="00B40EE2" w:rsidP="00B40EE2">
      <w:pPr>
        <w:pStyle w:val="12"/>
      </w:pPr>
      <w:r>
        <w:t>Language: English</w:t>
      </w:r>
    </w:p>
    <w:p w:rsidR="00B40EE2" w:rsidRDefault="00B40EE2" w:rsidP="00B40EE2">
      <w:pPr>
        <w:pStyle w:val="12"/>
      </w:pPr>
      <w:r>
        <w:t>Journal Country/Territory: United States</w:t>
      </w:r>
    </w:p>
    <w:p w:rsidR="00B40EE2" w:rsidRDefault="00B40EE2" w:rsidP="00B40EE2">
      <w:pPr>
        <w:pStyle w:val="12"/>
      </w:pPr>
      <w:r>
        <w:t>Publisher: Lippincott Williams &amp; Wilkins</w:t>
      </w:r>
    </w:p>
    <w:p w:rsidR="00B40EE2" w:rsidRDefault="00B40EE2" w:rsidP="00B40EE2">
      <w:pPr>
        <w:pStyle w:val="12"/>
      </w:pPr>
      <w:r>
        <w:t>Publisher Address: 530 Walnut St, Philadelphia, PA 19106-3621</w:t>
      </w:r>
    </w:p>
    <w:p w:rsidR="00B40EE2" w:rsidRDefault="00B40EE2" w:rsidP="00B40EE2">
      <w:pPr>
        <w:pStyle w:val="12"/>
      </w:pPr>
      <w:r>
        <w:t>Subject Categories:</w:t>
      </w:r>
    </w:p>
    <w:p w:rsidR="00B40EE2" w:rsidRDefault="00B40EE2" w:rsidP="00B40EE2">
      <w:pPr>
        <w:pStyle w:val="12"/>
      </w:pPr>
      <w:r>
        <w:t>Immunology</w:t>
      </w:r>
      <w:r>
        <w:rPr>
          <w:rFonts w:hint="eastAsia"/>
        </w:rPr>
        <w:t>:</w:t>
      </w:r>
      <w:r w:rsidRPr="00D47084">
        <w:t xml:space="preserve"> </w:t>
      </w:r>
      <w:r w:rsidRPr="001A3D2B">
        <w:t>Impact Factor</w:t>
      </w:r>
      <w:r>
        <w:rPr>
          <w:rFonts w:hint="eastAsia"/>
        </w:rPr>
        <w:t xml:space="preserve"> 6.245, 18/139 (2011)</w:t>
      </w:r>
    </w:p>
    <w:p w:rsidR="00B40EE2" w:rsidRDefault="00B40EE2" w:rsidP="00B40EE2">
      <w:pPr>
        <w:pStyle w:val="12"/>
      </w:pPr>
      <w:r>
        <w:t>Infectious Diseases</w:t>
      </w:r>
      <w:r>
        <w:rPr>
          <w:rFonts w:hint="eastAsia"/>
        </w:rPr>
        <w:t>:</w:t>
      </w:r>
      <w:r w:rsidRPr="00D47084">
        <w:t xml:space="preserve"> </w:t>
      </w:r>
      <w:r w:rsidRPr="001A3D2B">
        <w:t>Impact Factor</w:t>
      </w:r>
      <w:r>
        <w:rPr>
          <w:rFonts w:hint="eastAsia"/>
        </w:rPr>
        <w:t xml:space="preserve"> 6.245, 4/70 (2011)</w:t>
      </w:r>
    </w:p>
    <w:p w:rsidR="00B40EE2" w:rsidRPr="001A3D2B" w:rsidRDefault="00B40EE2" w:rsidP="00B40EE2">
      <w:pPr>
        <w:pStyle w:val="12"/>
      </w:pPr>
      <w:r>
        <w:t>Virology</w:t>
      </w:r>
      <w:r>
        <w:rPr>
          <w:rFonts w:hint="eastAsia"/>
        </w:rPr>
        <w:t>:</w:t>
      </w:r>
      <w:r w:rsidRPr="00D47084">
        <w:t xml:space="preserve"> </w:t>
      </w:r>
      <w:r w:rsidRPr="001A3D2B">
        <w:t>Impact Factor</w:t>
      </w:r>
      <w:r>
        <w:rPr>
          <w:rFonts w:hint="eastAsia"/>
        </w:rPr>
        <w:t xml:space="preserve"> 6.245, 5/32 (2011)</w:t>
      </w:r>
    </w:p>
    <w:p w:rsidR="004F3AB1" w:rsidRDefault="004F3AB1" w:rsidP="004F3AB1">
      <w:pPr>
        <w:pStyle w:val="a3"/>
        <w:rPr>
          <w:kern w:val="0"/>
        </w:rPr>
      </w:pPr>
      <w:r>
        <w:rPr>
          <w:rFonts w:hint="eastAsia"/>
          <w:kern w:val="0"/>
        </w:rPr>
        <w:t xml:space="preserve">? </w:t>
      </w:r>
      <w:r>
        <w:rPr>
          <w:kern w:val="0"/>
        </w:rPr>
        <w:t>Wyatt, C.A., Malvestutto, C., Coca, S.G., Klotman, P.E.</w:t>
      </w:r>
      <w:r w:rsidR="005853A9">
        <w:rPr>
          <w:kern w:val="0"/>
        </w:rPr>
        <w:t xml:space="preserve"> and </w:t>
      </w:r>
      <w:r>
        <w:rPr>
          <w:kern w:val="0"/>
        </w:rPr>
        <w:t>Parikh, C.R. (2008</w:t>
      </w:r>
      <w:r w:rsidR="00F42EAC">
        <w:rPr>
          <w:kern w:val="0"/>
        </w:rPr>
        <w:t>), The</w:t>
      </w:r>
      <w:r w:rsidR="003A1917">
        <w:rPr>
          <w:kern w:val="0"/>
        </w:rPr>
        <w:t xml:space="preserve"> </w:t>
      </w:r>
      <w:r>
        <w:rPr>
          <w:kern w:val="0"/>
        </w:rPr>
        <w:t>impact</w:t>
      </w:r>
      <w:r w:rsidR="00427468">
        <w:rPr>
          <w:kern w:val="0"/>
        </w:rPr>
        <w:t xml:space="preserve"> of </w:t>
      </w:r>
      <w:r>
        <w:rPr>
          <w:kern w:val="0"/>
        </w:rPr>
        <w:t>hepatitis C virus coinfection on HIV-related kidney disease: A systematic review</w:t>
      </w:r>
      <w:r w:rsidR="005853A9">
        <w:rPr>
          <w:kern w:val="0"/>
        </w:rPr>
        <w:t xml:space="preserve"> and </w:t>
      </w:r>
      <w:r>
        <w:rPr>
          <w:kern w:val="0"/>
        </w:rPr>
        <w:t xml:space="preserve">meta-analysis. </w:t>
      </w:r>
      <w:r w:rsidRPr="004F3AB1">
        <w:rPr>
          <w:i/>
          <w:iCs/>
          <w:kern w:val="0"/>
        </w:rPr>
        <w:t>AIDS</w:t>
      </w:r>
      <w:r>
        <w:rPr>
          <w:kern w:val="0"/>
        </w:rPr>
        <w:t xml:space="preserve">, </w:t>
      </w:r>
      <w:r>
        <w:rPr>
          <w:b/>
          <w:bCs/>
          <w:kern w:val="0"/>
        </w:rPr>
        <w:t>22</w:t>
      </w:r>
      <w:r>
        <w:rPr>
          <w:kern w:val="0"/>
        </w:rPr>
        <w:t xml:space="preserve"> (14), 1799-1807.</w:t>
      </w:r>
    </w:p>
    <w:p w:rsidR="004F3AB1" w:rsidRDefault="004F3AB1" w:rsidP="004F3AB1">
      <w:pPr>
        <w:pStyle w:val="a3"/>
        <w:rPr>
          <w:kern w:val="0"/>
        </w:rPr>
      </w:pPr>
      <w:r>
        <w:rPr>
          <w:rFonts w:hint="eastAsia"/>
          <w:kern w:val="0"/>
        </w:rPr>
        <w:t xml:space="preserve">Full Text: </w:t>
      </w:r>
      <w:hyperlink r:id="rId331" w:history="1">
        <w:r w:rsidRPr="004F3AB1">
          <w:rPr>
            <w:rStyle w:val="a5"/>
            <w:kern w:val="0"/>
          </w:rPr>
          <w:t>2008\AIDS22, 1799.pdf</w:t>
        </w:r>
      </w:hyperlink>
    </w:p>
    <w:p w:rsidR="004F3AB1" w:rsidRDefault="004F3AB1" w:rsidP="004F3AB1">
      <w:pPr>
        <w:pStyle w:val="a3"/>
        <w:rPr>
          <w:kern w:val="0"/>
        </w:rPr>
      </w:pPr>
      <w:r>
        <w:rPr>
          <w:kern w:val="0"/>
        </w:rPr>
        <w:t>Abstract: Background: In</w:t>
      </w:r>
      <w:r w:rsidR="003A1917">
        <w:rPr>
          <w:kern w:val="0"/>
        </w:rPr>
        <w:t xml:space="preserve"> the </w:t>
      </w:r>
      <w:r>
        <w:rPr>
          <w:kern w:val="0"/>
        </w:rPr>
        <w:t>era</w:t>
      </w:r>
      <w:r w:rsidR="00427468">
        <w:rPr>
          <w:kern w:val="0"/>
        </w:rPr>
        <w:t xml:space="preserve"> of </w:t>
      </w:r>
      <w:r>
        <w:rPr>
          <w:kern w:val="0"/>
        </w:rPr>
        <w:t>antiretroviral therapy, non-AIDS complications such as kidney disease are important contributors to morbidity</w:t>
      </w:r>
      <w:r w:rsidR="005853A9">
        <w:rPr>
          <w:kern w:val="0"/>
        </w:rPr>
        <w:t xml:space="preserve"> and </w:t>
      </w:r>
      <w:r>
        <w:rPr>
          <w:kern w:val="0"/>
        </w:rPr>
        <w:t>mortality. Objective: To estimate</w:t>
      </w:r>
      <w:r w:rsidR="003A1917">
        <w:rPr>
          <w:kern w:val="0"/>
        </w:rPr>
        <w:t xml:space="preserve"> the </w:t>
      </w:r>
      <w:r>
        <w:rPr>
          <w:kern w:val="0"/>
        </w:rPr>
        <w:t>impact</w:t>
      </w:r>
      <w:r w:rsidR="00427468">
        <w:rPr>
          <w:kern w:val="0"/>
        </w:rPr>
        <w:t xml:space="preserve"> of </w:t>
      </w:r>
      <w:r>
        <w:rPr>
          <w:kern w:val="0"/>
        </w:rPr>
        <w:t>hepatitis C coinfection on</w:t>
      </w:r>
      <w:r w:rsidR="003A1917">
        <w:rPr>
          <w:kern w:val="0"/>
        </w:rPr>
        <w:t xml:space="preserve"> the </w:t>
      </w:r>
      <w:r>
        <w:rPr>
          <w:kern w:val="0"/>
        </w:rPr>
        <w:t>risk</w:t>
      </w:r>
      <w:r w:rsidR="00427468">
        <w:rPr>
          <w:kern w:val="0"/>
        </w:rPr>
        <w:t xml:space="preserve"> of </w:t>
      </w:r>
      <w:r>
        <w:rPr>
          <w:kern w:val="0"/>
        </w:rPr>
        <w:t>kidney disease in HIV patients. Design</w:t>
      </w:r>
      <w:r w:rsidR="005853A9">
        <w:rPr>
          <w:kern w:val="0"/>
        </w:rPr>
        <w:t xml:space="preserve"> and </w:t>
      </w:r>
      <w:r>
        <w:rPr>
          <w:kern w:val="0"/>
        </w:rPr>
        <w:t xml:space="preserve">methods: Two investigators identified English-language citations in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1989 through 1 July 2007. References</w:t>
      </w:r>
      <w:r w:rsidR="00427468">
        <w:rPr>
          <w:kern w:val="0"/>
        </w:rPr>
        <w:t xml:space="preserve"> of </w:t>
      </w:r>
      <w:r>
        <w:rPr>
          <w:kern w:val="0"/>
        </w:rPr>
        <w:t>selected articles were reviewed. Observational studies</w:t>
      </w:r>
      <w:r w:rsidR="005853A9">
        <w:rPr>
          <w:kern w:val="0"/>
        </w:rPr>
        <w:t xml:space="preserve"> and </w:t>
      </w:r>
      <w:r>
        <w:rPr>
          <w:kern w:val="0"/>
        </w:rPr>
        <w:t>clinical trials</w:t>
      </w:r>
      <w:r w:rsidR="00427468">
        <w:rPr>
          <w:kern w:val="0"/>
        </w:rPr>
        <w:t xml:space="preserve"> of </w:t>
      </w:r>
      <w:r>
        <w:rPr>
          <w:kern w:val="0"/>
        </w:rPr>
        <w:t>HIV-related kidney disease</w:t>
      </w:r>
      <w:r w:rsidR="005853A9">
        <w:rPr>
          <w:kern w:val="0"/>
        </w:rPr>
        <w:t xml:space="preserve"> and </w:t>
      </w:r>
      <w:r>
        <w:rPr>
          <w:kern w:val="0"/>
        </w:rPr>
        <w:t>antiretroviral nephrotoxicity were eligible if they included at least 50 subjects</w:t>
      </w:r>
      <w:r w:rsidR="005853A9">
        <w:rPr>
          <w:kern w:val="0"/>
        </w:rPr>
        <w:t xml:space="preserve"> and </w:t>
      </w:r>
      <w:r>
        <w:rPr>
          <w:kern w:val="0"/>
        </w:rPr>
        <w:t>reported hepatitis C status. Data on study characteristics, population,</w:t>
      </w:r>
      <w:r w:rsidR="005853A9">
        <w:rPr>
          <w:kern w:val="0"/>
        </w:rPr>
        <w:t xml:space="preserve"> and </w:t>
      </w:r>
      <w:r>
        <w:rPr>
          <w:kern w:val="0"/>
        </w:rPr>
        <w:t>kidney disease Outcomes were abstracted by two independent reviewers. Results: After screening 251 6 articles, 27 studies were eligible</w:t>
      </w:r>
      <w:r w:rsidR="005853A9">
        <w:rPr>
          <w:kern w:val="0"/>
        </w:rPr>
        <w:t xml:space="preserve"> and </w:t>
      </w:r>
      <w:r>
        <w:rPr>
          <w:kern w:val="0"/>
        </w:rPr>
        <w:t>24 authors confirmed or provided data. Separate meta-analyses were performed for chronic kidney disease outcomes (n=10), proteinuria (n=4), acute renal failure (n=2),</w:t>
      </w:r>
      <w:r w:rsidR="005853A9">
        <w:rPr>
          <w:kern w:val="0"/>
        </w:rPr>
        <w:t xml:space="preserve"> and </w:t>
      </w:r>
      <w:r>
        <w:rPr>
          <w:kern w:val="0"/>
        </w:rPr>
        <w:t>indinavir toxicity (n=5)</w:t>
      </w:r>
      <w:r w:rsidR="00A37C1D">
        <w:rPr>
          <w:kern w:val="0"/>
        </w:rPr>
        <w:t>. The</w:t>
      </w:r>
      <w:r w:rsidR="003A1917">
        <w:rPr>
          <w:kern w:val="0"/>
        </w:rPr>
        <w:t xml:space="preserve"> </w:t>
      </w:r>
      <w:r>
        <w:rPr>
          <w:kern w:val="0"/>
        </w:rPr>
        <w:t>pooled incidence</w:t>
      </w:r>
      <w:r w:rsidR="00427468">
        <w:rPr>
          <w:kern w:val="0"/>
        </w:rPr>
        <w:t xml:space="preserve"> of </w:t>
      </w:r>
      <w:r>
        <w:rPr>
          <w:kern w:val="0"/>
        </w:rPr>
        <w:t>chronic kidney disease was higher in patients with hepatitis C coinfection [6.2 versus 4.01%; relative risk 1.49, 95% confidence interval (CI) 1.08-2.06]. in meta-regression, prevalence</w:t>
      </w:r>
      <w:r w:rsidR="00427468">
        <w:rPr>
          <w:kern w:val="0"/>
        </w:rPr>
        <w:t xml:space="preserve"> of </w:t>
      </w:r>
      <w:r>
        <w:rPr>
          <w:kern w:val="0"/>
        </w:rPr>
        <w:t>black race</w:t>
      </w:r>
      <w:r w:rsidR="005853A9">
        <w:rPr>
          <w:kern w:val="0"/>
        </w:rPr>
        <w:t xml:space="preserve"> and </w:t>
      </w:r>
      <w:r w:rsidR="003A1917">
        <w:rPr>
          <w:kern w:val="0"/>
        </w:rPr>
        <w:t xml:space="preserve">the </w:t>
      </w:r>
      <w:r>
        <w:rPr>
          <w:kern w:val="0"/>
        </w:rPr>
        <w:t>proportion</w:t>
      </w:r>
      <w:r w:rsidR="00427468">
        <w:rPr>
          <w:kern w:val="0"/>
        </w:rPr>
        <w:t xml:space="preserve"> of </w:t>
      </w:r>
      <w:r>
        <w:rPr>
          <w:kern w:val="0"/>
        </w:rPr>
        <w:t>patients with documented hepatitis C status were independently associated with</w:t>
      </w:r>
      <w:r w:rsidR="003A1917">
        <w:rPr>
          <w:kern w:val="0"/>
        </w:rPr>
        <w:t xml:space="preserve"> the </w:t>
      </w:r>
      <w:r>
        <w:rPr>
          <w:kern w:val="0"/>
        </w:rPr>
        <w:t>risk</w:t>
      </w:r>
      <w:r w:rsidR="00427468">
        <w:rPr>
          <w:kern w:val="0"/>
        </w:rPr>
        <w:t xml:space="preserve"> of </w:t>
      </w:r>
      <w:r>
        <w:rPr>
          <w:kern w:val="0"/>
        </w:rPr>
        <w:t>chronic kidney disease</w:t>
      </w:r>
      <w:r w:rsidR="00A37C1D">
        <w:rPr>
          <w:kern w:val="0"/>
        </w:rPr>
        <w:t>. The</w:t>
      </w:r>
      <w:r w:rsidR="003A1917">
        <w:rPr>
          <w:kern w:val="0"/>
        </w:rPr>
        <w:t xml:space="preserve"> </w:t>
      </w:r>
      <w:r>
        <w:rPr>
          <w:kern w:val="0"/>
        </w:rPr>
        <w:t>relative risk associated with hepatitis C coinfection was significantly increased for proteinuria (1.15; 95% CI 1.02-1.30)</w:t>
      </w:r>
      <w:r w:rsidR="005853A9">
        <w:rPr>
          <w:kern w:val="0"/>
        </w:rPr>
        <w:t xml:space="preserve"> and </w:t>
      </w:r>
      <w:r>
        <w:rPr>
          <w:kern w:val="0"/>
        </w:rPr>
        <w:t xml:space="preserve">acute renal failure (1.64; 95% CI 1.21-2.23), with no </w:t>
      </w:r>
      <w:r>
        <w:rPr>
          <w:kern w:val="0"/>
        </w:rPr>
        <w:lastRenderedPageBreak/>
        <w:t>significant statistical heterogeneity</w:t>
      </w:r>
      <w:r w:rsidR="00A37C1D">
        <w:rPr>
          <w:kern w:val="0"/>
        </w:rPr>
        <w:t>. The</w:t>
      </w:r>
      <w:r w:rsidR="003A1917">
        <w:rPr>
          <w:kern w:val="0"/>
        </w:rPr>
        <w:t xml:space="preserve"> </w:t>
      </w:r>
      <w:r>
        <w:rPr>
          <w:kern w:val="0"/>
        </w:rPr>
        <w:t>relative risk</w:t>
      </w:r>
      <w:r w:rsidR="00427468">
        <w:rPr>
          <w:kern w:val="0"/>
        </w:rPr>
        <w:t xml:space="preserve"> of </w:t>
      </w:r>
      <w:r>
        <w:rPr>
          <w:kern w:val="0"/>
        </w:rPr>
        <w:t>indinavir toxicity was 1.59 (95%) CI 0.99-2.54) with hepatitis C coinfection. Conclusion: Hepatitis C coinfection is associated with a significant increase in</w:t>
      </w:r>
      <w:r w:rsidR="003A1917">
        <w:rPr>
          <w:kern w:val="0"/>
        </w:rPr>
        <w:t xml:space="preserve"> the </w:t>
      </w:r>
      <w:r>
        <w:rPr>
          <w:kern w:val="0"/>
        </w:rPr>
        <w:t>risk</w:t>
      </w:r>
      <w:r w:rsidR="00427468">
        <w:rPr>
          <w:kern w:val="0"/>
        </w:rPr>
        <w:t xml:space="preserve"> of </w:t>
      </w:r>
      <w:r>
        <w:rPr>
          <w:kern w:val="0"/>
        </w:rPr>
        <w:t>HIV-related kidney disease. (C) 2008 Wolters Kluwer Health vertical bar Lippincott Williams &amp;Wilkins.</w:t>
      </w:r>
    </w:p>
    <w:p w:rsidR="004F3AB1" w:rsidRDefault="004F3AB1" w:rsidP="004F3AB1">
      <w:pPr>
        <w:pStyle w:val="a3"/>
        <w:rPr>
          <w:kern w:val="0"/>
        </w:rPr>
      </w:pPr>
      <w:r>
        <w:rPr>
          <w:kern w:val="0"/>
        </w:rPr>
        <w:t xml:space="preserve">Keywords: Active Antiretroviral Therapy, Antiretroviral, Antiretroviral Therapy, Authors, Chronic Kidney Disease, Citations, Clinical Trials, Cohort, Diabetes-Mellitus, Disease, Failure, Health, Hepatitis, Hepatitis C, Hepatitis Coinfection, HIV, HIV-1-Infected Patients, Impact, Infected Patients, Kidney Disease, </w:t>
      </w:r>
      <w:r w:rsidR="00D5664A">
        <w:rPr>
          <w:kern w:val="0"/>
        </w:rPr>
        <w:t>MEDLINE</w:t>
      </w:r>
      <w:r>
        <w:rPr>
          <w:kern w:val="0"/>
        </w:rPr>
        <w:t xml:space="preserve">, Meta-Analysis, Morbidity, Mortality, Nephrotoxicity, Outcomes, Prevalence, Proteinuria, Race, References, Relative Risk, Review, Risk, Risk-Factors, Science, Screening, Stage Renal-Disease, Statistical, Systematic, Systematic Review, Therapy, Toxicity, United-States, </w:t>
      </w:r>
      <w:r w:rsidR="00D5664A">
        <w:rPr>
          <w:kern w:val="0"/>
        </w:rPr>
        <w:t>Web</w:t>
      </w:r>
      <w:r w:rsidR="00427468">
        <w:rPr>
          <w:kern w:val="0"/>
        </w:rPr>
        <w:t xml:space="preserve"> of </w:t>
      </w:r>
      <w:r w:rsidR="00D5664A">
        <w:rPr>
          <w:kern w:val="0"/>
        </w:rPr>
        <w:t>Science</w:t>
      </w:r>
    </w:p>
    <w:p w:rsidR="000317B2" w:rsidRDefault="000317B2" w:rsidP="000317B2">
      <w:pPr>
        <w:pStyle w:val="a3"/>
        <w:rPr>
          <w:kern w:val="0"/>
        </w:rPr>
      </w:pPr>
      <w:r>
        <w:rPr>
          <w:rFonts w:hint="eastAsia"/>
          <w:kern w:val="0"/>
        </w:rPr>
        <w:t xml:space="preserve">? </w:t>
      </w:r>
      <w:r w:rsidR="00C97B16" w:rsidRPr="00C97B16">
        <w:rPr>
          <w:kern w:val="0"/>
        </w:rPr>
        <w:t>Nachega, J</w:t>
      </w:r>
      <w:r w:rsidR="00C97B16">
        <w:rPr>
          <w:rFonts w:hint="eastAsia"/>
          <w:kern w:val="0"/>
        </w:rPr>
        <w:t>.</w:t>
      </w:r>
      <w:r w:rsidR="00C97B16" w:rsidRPr="00C97B16">
        <w:rPr>
          <w:kern w:val="0"/>
        </w:rPr>
        <w:t>B</w:t>
      </w:r>
      <w:r w:rsidR="00C97B16">
        <w:rPr>
          <w:rFonts w:hint="eastAsia"/>
          <w:kern w:val="0"/>
        </w:rPr>
        <w:t>.,</w:t>
      </w:r>
      <w:r w:rsidR="00C97B16" w:rsidRPr="00C97B16">
        <w:rPr>
          <w:kern w:val="0"/>
        </w:rPr>
        <w:t xml:space="preserve"> Uthman, O</w:t>
      </w:r>
      <w:r w:rsidR="00C97B16">
        <w:rPr>
          <w:rFonts w:hint="eastAsia"/>
          <w:kern w:val="0"/>
        </w:rPr>
        <w:t>.</w:t>
      </w:r>
      <w:r w:rsidR="00C97B16" w:rsidRPr="00C97B16">
        <w:rPr>
          <w:kern w:val="0"/>
        </w:rPr>
        <w:t>A</w:t>
      </w:r>
      <w:r w:rsidR="00C97B16">
        <w:rPr>
          <w:rFonts w:hint="eastAsia"/>
          <w:kern w:val="0"/>
        </w:rPr>
        <w:t xml:space="preserve">., </w:t>
      </w:r>
      <w:r w:rsidR="00C97B16" w:rsidRPr="00C97B16">
        <w:rPr>
          <w:kern w:val="0"/>
        </w:rPr>
        <w:t>Anderson, J</w:t>
      </w:r>
      <w:r w:rsidR="00C97B16">
        <w:rPr>
          <w:rFonts w:hint="eastAsia"/>
          <w:kern w:val="0"/>
        </w:rPr>
        <w:t>.,</w:t>
      </w:r>
      <w:r w:rsidR="00C97B16" w:rsidRPr="00C97B16">
        <w:rPr>
          <w:kern w:val="0"/>
        </w:rPr>
        <w:t xml:space="preserve"> Peltzer, K</w:t>
      </w:r>
      <w:r w:rsidR="00C97B16">
        <w:rPr>
          <w:rFonts w:hint="eastAsia"/>
          <w:kern w:val="0"/>
        </w:rPr>
        <w:t>.,</w:t>
      </w:r>
      <w:r w:rsidR="00C97B16" w:rsidRPr="00C97B16">
        <w:rPr>
          <w:kern w:val="0"/>
        </w:rPr>
        <w:t xml:space="preserve"> Wampold, S</w:t>
      </w:r>
      <w:r w:rsidR="00C97B16">
        <w:rPr>
          <w:rFonts w:hint="eastAsia"/>
          <w:kern w:val="0"/>
        </w:rPr>
        <w:t>.,</w:t>
      </w:r>
      <w:r w:rsidR="00C97B16" w:rsidRPr="00C97B16">
        <w:rPr>
          <w:kern w:val="0"/>
        </w:rPr>
        <w:t xml:space="preserve"> Cotton, M</w:t>
      </w:r>
      <w:r w:rsidR="00C97B16">
        <w:rPr>
          <w:rFonts w:hint="eastAsia"/>
          <w:kern w:val="0"/>
        </w:rPr>
        <w:t>.</w:t>
      </w:r>
      <w:r w:rsidR="00C97B16" w:rsidRPr="00C97B16">
        <w:rPr>
          <w:kern w:val="0"/>
        </w:rPr>
        <w:t>F</w:t>
      </w:r>
      <w:r w:rsidR="00C97B16">
        <w:rPr>
          <w:rFonts w:hint="eastAsia"/>
          <w:kern w:val="0"/>
        </w:rPr>
        <w:t>.,</w:t>
      </w:r>
      <w:r w:rsidR="00C97B16" w:rsidRPr="00C97B16">
        <w:rPr>
          <w:kern w:val="0"/>
        </w:rPr>
        <w:t xml:space="preserve"> Mills, E</w:t>
      </w:r>
      <w:r w:rsidR="00C97B16">
        <w:rPr>
          <w:rFonts w:hint="eastAsia"/>
          <w:kern w:val="0"/>
        </w:rPr>
        <w:t>.</w:t>
      </w:r>
      <w:r w:rsidR="00C97B16" w:rsidRPr="00C97B16">
        <w:rPr>
          <w:kern w:val="0"/>
        </w:rPr>
        <w:t>J</w:t>
      </w:r>
      <w:r w:rsidR="00C97B16">
        <w:rPr>
          <w:rFonts w:hint="eastAsia"/>
          <w:kern w:val="0"/>
        </w:rPr>
        <w:t>.,</w:t>
      </w:r>
      <w:r w:rsidR="00C97B16" w:rsidRPr="00C97B16">
        <w:rPr>
          <w:kern w:val="0"/>
        </w:rPr>
        <w:t xml:space="preserve"> Ho, Y</w:t>
      </w:r>
      <w:r w:rsidR="00C97B16">
        <w:rPr>
          <w:rFonts w:hint="eastAsia"/>
          <w:kern w:val="0"/>
        </w:rPr>
        <w:t>.</w:t>
      </w:r>
      <w:r w:rsidR="00C97B16" w:rsidRPr="00C97B16">
        <w:rPr>
          <w:kern w:val="0"/>
        </w:rPr>
        <w:t>S</w:t>
      </w:r>
      <w:r w:rsidR="00C97B16">
        <w:rPr>
          <w:rFonts w:hint="eastAsia"/>
          <w:kern w:val="0"/>
        </w:rPr>
        <w:t>.,</w:t>
      </w:r>
      <w:r w:rsidR="00C97B16" w:rsidRPr="00C97B16">
        <w:rPr>
          <w:kern w:val="0"/>
        </w:rPr>
        <w:t xml:space="preserve"> Stringer, J</w:t>
      </w:r>
      <w:r w:rsidR="00C97B16">
        <w:rPr>
          <w:rFonts w:hint="eastAsia"/>
          <w:kern w:val="0"/>
        </w:rPr>
        <w:t>.</w:t>
      </w:r>
      <w:r w:rsidR="00C97B16" w:rsidRPr="00C97B16">
        <w:rPr>
          <w:kern w:val="0"/>
        </w:rPr>
        <w:t>S</w:t>
      </w:r>
      <w:r w:rsidR="00C97B16">
        <w:rPr>
          <w:rFonts w:hint="eastAsia"/>
          <w:kern w:val="0"/>
        </w:rPr>
        <w:t>.</w:t>
      </w:r>
      <w:r w:rsidR="00C97B16" w:rsidRPr="00C97B16">
        <w:rPr>
          <w:kern w:val="0"/>
        </w:rPr>
        <w:t>A</w:t>
      </w:r>
      <w:r w:rsidR="00C97B16">
        <w:rPr>
          <w:rFonts w:hint="eastAsia"/>
          <w:kern w:val="0"/>
        </w:rPr>
        <w:t>.,</w:t>
      </w:r>
      <w:r w:rsidR="00C97B16" w:rsidRPr="00C97B16">
        <w:rPr>
          <w:kern w:val="0"/>
        </w:rPr>
        <w:t xml:space="preserve"> McIntyre, J</w:t>
      </w:r>
      <w:r w:rsidR="00C97B16">
        <w:rPr>
          <w:rFonts w:hint="eastAsia"/>
          <w:kern w:val="0"/>
        </w:rPr>
        <w:t>.</w:t>
      </w:r>
      <w:r w:rsidR="00C97B16" w:rsidRPr="00C97B16">
        <w:rPr>
          <w:kern w:val="0"/>
        </w:rPr>
        <w:t>A</w:t>
      </w:r>
      <w:r w:rsidR="00C97B16">
        <w:rPr>
          <w:rFonts w:hint="eastAsia"/>
          <w:kern w:val="0"/>
        </w:rPr>
        <w:t>.</w:t>
      </w:r>
      <w:r w:rsidR="005853A9">
        <w:rPr>
          <w:rFonts w:hint="eastAsia"/>
          <w:kern w:val="0"/>
        </w:rPr>
        <w:t xml:space="preserve"> and </w:t>
      </w:r>
      <w:r w:rsidR="00C97B16" w:rsidRPr="00C97B16">
        <w:rPr>
          <w:kern w:val="0"/>
        </w:rPr>
        <w:t>Mofenson, L</w:t>
      </w:r>
      <w:r w:rsidR="00C97B16">
        <w:rPr>
          <w:rFonts w:hint="eastAsia"/>
          <w:kern w:val="0"/>
        </w:rPr>
        <w:t>.</w:t>
      </w:r>
      <w:r w:rsidR="00C97B16" w:rsidRPr="00C97B16">
        <w:rPr>
          <w:kern w:val="0"/>
        </w:rPr>
        <w:t>M</w:t>
      </w:r>
      <w:r w:rsidR="00C97B16">
        <w:rPr>
          <w:rFonts w:hint="eastAsia"/>
          <w:kern w:val="0"/>
        </w:rPr>
        <w:t>.</w:t>
      </w:r>
      <w:r>
        <w:rPr>
          <w:kern w:val="0"/>
        </w:rPr>
        <w:t xml:space="preserve"> (20</w:t>
      </w:r>
      <w:r>
        <w:rPr>
          <w:rFonts w:hint="eastAsia"/>
          <w:kern w:val="0"/>
        </w:rPr>
        <w:t>12</w:t>
      </w:r>
      <w:r>
        <w:rPr>
          <w:kern w:val="0"/>
        </w:rPr>
        <w:t xml:space="preserve">), </w:t>
      </w:r>
      <w:r w:rsidR="00C97B16" w:rsidRPr="00C97B16">
        <w:rPr>
          <w:kern w:val="0"/>
        </w:rPr>
        <w:t>Adherence to antiretroviral therapy during</w:t>
      </w:r>
      <w:r w:rsidR="005853A9">
        <w:rPr>
          <w:kern w:val="0"/>
        </w:rPr>
        <w:t xml:space="preserve"> and </w:t>
      </w:r>
      <w:r w:rsidR="00C97B16" w:rsidRPr="00C97B16">
        <w:rPr>
          <w:kern w:val="0"/>
        </w:rPr>
        <w:t>after pregnancy in low-income, middle-income,</w:t>
      </w:r>
      <w:r w:rsidR="005853A9">
        <w:rPr>
          <w:kern w:val="0"/>
        </w:rPr>
        <w:t xml:space="preserve"> and </w:t>
      </w:r>
      <w:r w:rsidR="00C97B16" w:rsidRPr="00C97B16">
        <w:rPr>
          <w:kern w:val="0"/>
        </w:rPr>
        <w:t xml:space="preserve">high-income countries: </w:t>
      </w:r>
      <w:r w:rsidR="0067625B" w:rsidRPr="00C97B16">
        <w:rPr>
          <w:kern w:val="0"/>
        </w:rPr>
        <w:t xml:space="preserve">A </w:t>
      </w:r>
      <w:r w:rsidR="00C97B16" w:rsidRPr="00C97B16">
        <w:rPr>
          <w:kern w:val="0"/>
        </w:rPr>
        <w:t>systematic review</w:t>
      </w:r>
      <w:r w:rsidR="005853A9">
        <w:rPr>
          <w:kern w:val="0"/>
        </w:rPr>
        <w:t xml:space="preserve"> and </w:t>
      </w:r>
      <w:r w:rsidR="00C97B16" w:rsidRPr="00C97B16">
        <w:rPr>
          <w:kern w:val="0"/>
        </w:rPr>
        <w:t>meta-analysis</w:t>
      </w:r>
      <w:r>
        <w:rPr>
          <w:kern w:val="0"/>
        </w:rPr>
        <w:t xml:space="preserve">. </w:t>
      </w:r>
      <w:r w:rsidRPr="004F3AB1">
        <w:rPr>
          <w:i/>
          <w:iCs/>
          <w:kern w:val="0"/>
        </w:rPr>
        <w:t>AIDS</w:t>
      </w:r>
      <w:r>
        <w:rPr>
          <w:kern w:val="0"/>
        </w:rPr>
        <w:t xml:space="preserve">, </w:t>
      </w:r>
      <w:r>
        <w:rPr>
          <w:rFonts w:hint="eastAsia"/>
          <w:b/>
          <w:bCs/>
          <w:kern w:val="0"/>
        </w:rPr>
        <w:t>26</w:t>
      </w:r>
      <w:r>
        <w:rPr>
          <w:kern w:val="0"/>
        </w:rPr>
        <w:t xml:space="preserve"> (</w:t>
      </w:r>
      <w:r>
        <w:rPr>
          <w:rFonts w:hint="eastAsia"/>
          <w:kern w:val="0"/>
        </w:rPr>
        <w:t>16</w:t>
      </w:r>
      <w:r>
        <w:rPr>
          <w:kern w:val="0"/>
        </w:rPr>
        <w:t xml:space="preserve">), </w:t>
      </w:r>
      <w:r>
        <w:rPr>
          <w:rFonts w:hint="eastAsia"/>
          <w:kern w:val="0"/>
        </w:rPr>
        <w:t>2039</w:t>
      </w:r>
      <w:r>
        <w:rPr>
          <w:kern w:val="0"/>
        </w:rPr>
        <w:t>-</w:t>
      </w:r>
      <w:r>
        <w:rPr>
          <w:rFonts w:hint="eastAsia"/>
          <w:kern w:val="0"/>
        </w:rPr>
        <w:t>2052</w:t>
      </w:r>
      <w:r>
        <w:rPr>
          <w:kern w:val="0"/>
        </w:rPr>
        <w:t>.</w:t>
      </w:r>
    </w:p>
    <w:p w:rsidR="00E365EC" w:rsidRDefault="00E365EC" w:rsidP="00E365EC">
      <w:pPr>
        <w:pStyle w:val="a3"/>
        <w:rPr>
          <w:kern w:val="0"/>
        </w:rPr>
      </w:pPr>
      <w:r>
        <w:rPr>
          <w:rFonts w:hint="eastAsia"/>
          <w:kern w:val="0"/>
        </w:rPr>
        <w:t>Full Text:</w:t>
      </w:r>
      <w:r w:rsidR="000317B2">
        <w:rPr>
          <w:rFonts w:hint="eastAsia"/>
          <w:kern w:val="0"/>
        </w:rPr>
        <w:t xml:space="preserve"> </w:t>
      </w:r>
      <w:hyperlink r:id="rId332" w:history="1">
        <w:r w:rsidR="000317B2" w:rsidRPr="000317B2">
          <w:rPr>
            <w:rStyle w:val="a5"/>
            <w:kern w:val="0"/>
          </w:rPr>
          <w:t>2012\AIDS26, 2039.pdf</w:t>
        </w:r>
      </w:hyperlink>
      <w:r w:rsidR="000317B2">
        <w:rPr>
          <w:rFonts w:hint="eastAsia"/>
        </w:rPr>
        <w:t>;</w:t>
      </w:r>
      <w:r>
        <w:rPr>
          <w:rFonts w:hint="eastAsia"/>
          <w:kern w:val="0"/>
        </w:rPr>
        <w:t xml:space="preserve"> </w:t>
      </w:r>
      <w:hyperlink r:id="rId333" w:history="1">
        <w:r w:rsidRPr="00E365EC">
          <w:rPr>
            <w:rStyle w:val="a5"/>
            <w:kern w:val="0"/>
          </w:rPr>
          <w:t>2012\AIDS-Nachegaa.pdf</w:t>
        </w:r>
      </w:hyperlink>
    </w:p>
    <w:p w:rsidR="00E365EC" w:rsidRPr="00E365EC" w:rsidRDefault="00E365EC" w:rsidP="00E365EC">
      <w:pPr>
        <w:pStyle w:val="a3"/>
        <w:rPr>
          <w:kern w:val="0"/>
        </w:rPr>
      </w:pPr>
      <w:r>
        <w:rPr>
          <w:rFonts w:hint="eastAsia"/>
          <w:kern w:val="0"/>
        </w:rPr>
        <w:t xml:space="preserve">Abstract: </w:t>
      </w:r>
      <w:r w:rsidRPr="00E365EC">
        <w:rPr>
          <w:kern w:val="0"/>
        </w:rPr>
        <w:t>Objective: To estimate antiretroviral therapy (ART) adherence rates during pregnancy</w:t>
      </w:r>
      <w:r w:rsidR="005853A9">
        <w:rPr>
          <w:rFonts w:hint="eastAsia"/>
          <w:kern w:val="0"/>
        </w:rPr>
        <w:t xml:space="preserve"> and </w:t>
      </w:r>
      <w:r w:rsidRPr="00E365EC">
        <w:rPr>
          <w:kern w:val="0"/>
        </w:rPr>
        <w:t>postpartum in high-income, middle-income,</w:t>
      </w:r>
      <w:r w:rsidR="005853A9">
        <w:rPr>
          <w:kern w:val="0"/>
        </w:rPr>
        <w:t xml:space="preserve"> and </w:t>
      </w:r>
      <w:r w:rsidRPr="00E365EC">
        <w:rPr>
          <w:kern w:val="0"/>
        </w:rPr>
        <w:t>low-income countries.</w:t>
      </w:r>
    </w:p>
    <w:p w:rsidR="00E365EC" w:rsidRPr="00E365EC" w:rsidRDefault="00E365EC" w:rsidP="00E365EC">
      <w:pPr>
        <w:pStyle w:val="a3"/>
        <w:rPr>
          <w:kern w:val="0"/>
        </w:rPr>
      </w:pPr>
      <w:r w:rsidRPr="00E365EC">
        <w:rPr>
          <w:kern w:val="0"/>
        </w:rPr>
        <w:t>Design: Systematic review</w:t>
      </w:r>
      <w:r w:rsidR="005853A9">
        <w:rPr>
          <w:kern w:val="0"/>
        </w:rPr>
        <w:t xml:space="preserve"> and </w:t>
      </w:r>
      <w:r w:rsidRPr="00E365EC">
        <w:rPr>
          <w:kern w:val="0"/>
        </w:rPr>
        <w:t>meta-analysis.</w:t>
      </w:r>
    </w:p>
    <w:p w:rsidR="00E365EC" w:rsidRPr="00E365EC" w:rsidRDefault="00E365EC" w:rsidP="00E365EC">
      <w:pPr>
        <w:pStyle w:val="a3"/>
        <w:rPr>
          <w:kern w:val="0"/>
        </w:rPr>
      </w:pPr>
      <w:r w:rsidRPr="00E365EC">
        <w:rPr>
          <w:kern w:val="0"/>
        </w:rPr>
        <w:t xml:space="preserve">Methods: </w:t>
      </w:r>
      <w:r w:rsidR="00D5664A">
        <w:rPr>
          <w:kern w:val="0"/>
        </w:rPr>
        <w:t>MEDLINE</w:t>
      </w:r>
      <w:r w:rsidRPr="00E365EC">
        <w:rPr>
          <w:kern w:val="0"/>
        </w:rPr>
        <w:t xml:space="preserve">, EMBASE, SCI </w:t>
      </w:r>
      <w:r w:rsidR="00D5664A">
        <w:rPr>
          <w:kern w:val="0"/>
        </w:rPr>
        <w:t>Web</w:t>
      </w:r>
      <w:r w:rsidR="00427468">
        <w:rPr>
          <w:kern w:val="0"/>
        </w:rPr>
        <w:t xml:space="preserve"> of </w:t>
      </w:r>
      <w:r w:rsidR="00D5664A">
        <w:rPr>
          <w:kern w:val="0"/>
        </w:rPr>
        <w:t>Science</w:t>
      </w:r>
      <w:r w:rsidRPr="00E365EC">
        <w:rPr>
          <w:kern w:val="0"/>
        </w:rPr>
        <w:t>, NLM Gateway,</w:t>
      </w:r>
      <w:r w:rsidR="005853A9">
        <w:rPr>
          <w:kern w:val="0"/>
        </w:rPr>
        <w:t xml:space="preserve"> and </w:t>
      </w:r>
      <w:r w:rsidRPr="00E365EC">
        <w:rPr>
          <w:kern w:val="0"/>
        </w:rPr>
        <w:t>Google</w:t>
      </w:r>
      <w:r>
        <w:rPr>
          <w:kern w:val="0"/>
        </w:rPr>
        <w:t xml:space="preserve"> </w:t>
      </w:r>
      <w:r w:rsidRPr="00E365EC">
        <w:rPr>
          <w:kern w:val="0"/>
        </w:rPr>
        <w:t>scholar databases were searched. We included all studies reporting adherence rates</w:t>
      </w:r>
      <w:r>
        <w:rPr>
          <w:kern w:val="0"/>
        </w:rPr>
        <w:t xml:space="preserve"> </w:t>
      </w:r>
      <w:r w:rsidRPr="00E365EC">
        <w:rPr>
          <w:kern w:val="0"/>
        </w:rPr>
        <w:t>as a primary or secondary outcome among HIV-infected pregnant women. Two</w:t>
      </w:r>
      <w:r>
        <w:rPr>
          <w:kern w:val="0"/>
        </w:rPr>
        <w:t xml:space="preserve"> </w:t>
      </w:r>
      <w:r w:rsidRPr="00E365EC">
        <w:rPr>
          <w:kern w:val="0"/>
        </w:rPr>
        <w:t>independent reviewers extracted data on adherence</w:t>
      </w:r>
      <w:r w:rsidR="005853A9">
        <w:rPr>
          <w:kern w:val="0"/>
        </w:rPr>
        <w:t xml:space="preserve"> and </w:t>
      </w:r>
      <w:r w:rsidRPr="00E365EC">
        <w:rPr>
          <w:kern w:val="0"/>
        </w:rPr>
        <w:t>study characteristics.</w:t>
      </w:r>
      <w:r>
        <w:rPr>
          <w:kern w:val="0"/>
        </w:rPr>
        <w:t xml:space="preserve"> </w:t>
      </w:r>
      <w:r w:rsidRPr="00E365EC">
        <w:rPr>
          <w:kern w:val="0"/>
        </w:rPr>
        <w:t>A random-effects model was used to pool adherence rates; sensitivity, heterogeneity,</w:t>
      </w:r>
      <w:r w:rsidR="005853A9">
        <w:rPr>
          <w:kern w:val="0"/>
        </w:rPr>
        <w:t xml:space="preserve"> and </w:t>
      </w:r>
      <w:r w:rsidRPr="00E365EC">
        <w:rPr>
          <w:kern w:val="0"/>
        </w:rPr>
        <w:t>publication bias were assessed.</w:t>
      </w:r>
    </w:p>
    <w:p w:rsidR="00E365EC" w:rsidRDefault="00E365EC" w:rsidP="00E365EC">
      <w:pPr>
        <w:pStyle w:val="a3"/>
        <w:rPr>
          <w:kern w:val="0"/>
        </w:rPr>
      </w:pPr>
      <w:r w:rsidRPr="00E365EC">
        <w:rPr>
          <w:kern w:val="0"/>
        </w:rPr>
        <w:t>Results:</w:t>
      </w:r>
      <w:r w:rsidR="00427468">
        <w:rPr>
          <w:kern w:val="0"/>
        </w:rPr>
        <w:t xml:space="preserve"> of </w:t>
      </w:r>
      <w:r w:rsidRPr="00E365EC">
        <w:rPr>
          <w:kern w:val="0"/>
        </w:rPr>
        <w:t>72 eligible articles, 51 studies involving 20 153 HIV-infected pregnant</w:t>
      </w:r>
      <w:r>
        <w:rPr>
          <w:rFonts w:hint="eastAsia"/>
          <w:kern w:val="0"/>
        </w:rPr>
        <w:t xml:space="preserve"> </w:t>
      </w:r>
      <w:r w:rsidRPr="00E365EC">
        <w:rPr>
          <w:kern w:val="0"/>
        </w:rPr>
        <w:t>women were included. Most studies were from United States (n</w:t>
      </w:r>
      <w:r>
        <w:rPr>
          <w:rFonts w:hint="eastAsia"/>
          <w:kern w:val="0"/>
        </w:rPr>
        <w:t xml:space="preserve"> = </w:t>
      </w:r>
      <w:r w:rsidRPr="00E365EC">
        <w:rPr>
          <w:kern w:val="0"/>
        </w:rPr>
        <w:t>14, 27%) followed by</w:t>
      </w:r>
      <w:r>
        <w:rPr>
          <w:rFonts w:hint="eastAsia"/>
          <w:kern w:val="0"/>
        </w:rPr>
        <w:t xml:space="preserve"> </w:t>
      </w:r>
      <w:r w:rsidRPr="00E365EC">
        <w:rPr>
          <w:kern w:val="0"/>
        </w:rPr>
        <w:t>Kenya (n</w:t>
      </w:r>
      <w:r>
        <w:rPr>
          <w:rFonts w:hint="eastAsia"/>
          <w:kern w:val="0"/>
        </w:rPr>
        <w:t xml:space="preserve"> = </w:t>
      </w:r>
      <w:r w:rsidRPr="00E365EC">
        <w:rPr>
          <w:kern w:val="0"/>
        </w:rPr>
        <w:t>6, 12%), South Africa (n</w:t>
      </w:r>
      <w:r>
        <w:rPr>
          <w:rFonts w:hint="eastAsia"/>
          <w:kern w:val="0"/>
        </w:rPr>
        <w:t xml:space="preserve"> = </w:t>
      </w:r>
      <w:r w:rsidRPr="00E365EC">
        <w:rPr>
          <w:kern w:val="0"/>
        </w:rPr>
        <w:t>5, 10%),</w:t>
      </w:r>
      <w:r w:rsidR="005853A9">
        <w:rPr>
          <w:kern w:val="0"/>
        </w:rPr>
        <w:t xml:space="preserve"> and </w:t>
      </w:r>
      <w:r w:rsidRPr="00E365EC">
        <w:rPr>
          <w:kern w:val="0"/>
        </w:rPr>
        <w:t>Zambia (n</w:t>
      </w:r>
      <w:r>
        <w:rPr>
          <w:rFonts w:hint="eastAsia"/>
          <w:kern w:val="0"/>
        </w:rPr>
        <w:t xml:space="preserve"> = </w:t>
      </w:r>
      <w:r w:rsidRPr="00E365EC">
        <w:rPr>
          <w:kern w:val="0"/>
        </w:rPr>
        <w:t>5, 10%)</w:t>
      </w:r>
      <w:r w:rsidR="00A37C1D">
        <w:rPr>
          <w:kern w:val="0"/>
        </w:rPr>
        <w:t>. The</w:t>
      </w:r>
      <w:r w:rsidR="003A1917">
        <w:rPr>
          <w:kern w:val="0"/>
        </w:rPr>
        <w:t xml:space="preserve"> </w:t>
      </w:r>
      <w:r w:rsidRPr="00E365EC">
        <w:rPr>
          <w:kern w:val="0"/>
        </w:rPr>
        <w:t>threshold</w:t>
      </w:r>
      <w:r>
        <w:rPr>
          <w:rFonts w:hint="eastAsia"/>
          <w:kern w:val="0"/>
        </w:rPr>
        <w:t xml:space="preserve"> </w:t>
      </w:r>
      <w:r w:rsidRPr="00E365EC">
        <w:rPr>
          <w:kern w:val="0"/>
        </w:rPr>
        <w:t>defining good adherence to ART varied across studies (&gt;80, &gt;90, &gt;95, 100%).</w:t>
      </w:r>
      <w:r>
        <w:rPr>
          <w:rFonts w:hint="eastAsia"/>
          <w:kern w:val="0"/>
        </w:rPr>
        <w:t xml:space="preserve"> </w:t>
      </w:r>
      <w:r w:rsidRPr="00E365EC">
        <w:rPr>
          <w:kern w:val="0"/>
        </w:rPr>
        <w:t>A pooled analysis</w:t>
      </w:r>
      <w:r w:rsidR="00427468">
        <w:rPr>
          <w:kern w:val="0"/>
        </w:rPr>
        <w:t xml:space="preserve"> of </w:t>
      </w:r>
      <w:r w:rsidRPr="00E365EC">
        <w:rPr>
          <w:kern w:val="0"/>
        </w:rPr>
        <w:t>all studies indicated a pooled estimate</w:t>
      </w:r>
      <w:r w:rsidR="00427468">
        <w:rPr>
          <w:kern w:val="0"/>
        </w:rPr>
        <w:t xml:space="preserve"> of </w:t>
      </w:r>
      <w:r w:rsidRPr="00E365EC">
        <w:rPr>
          <w:kern w:val="0"/>
        </w:rPr>
        <w:t>73.5% [95% confidence</w:t>
      </w:r>
      <w:r>
        <w:rPr>
          <w:kern w:val="0"/>
        </w:rPr>
        <w:t xml:space="preserve"> </w:t>
      </w:r>
      <w:r w:rsidRPr="00E365EC">
        <w:rPr>
          <w:kern w:val="0"/>
        </w:rPr>
        <w:t>interval (CI) 69.3–77.5%, I</w:t>
      </w:r>
      <w:r w:rsidRPr="00E365EC">
        <w:rPr>
          <w:kern w:val="0"/>
          <w:vertAlign w:val="superscript"/>
        </w:rPr>
        <w:t>2</w:t>
      </w:r>
      <w:r>
        <w:rPr>
          <w:rFonts w:hint="eastAsia"/>
          <w:kern w:val="0"/>
        </w:rPr>
        <w:t xml:space="preserve"> = </w:t>
      </w:r>
      <w:r w:rsidRPr="00E365EC">
        <w:rPr>
          <w:kern w:val="0"/>
        </w:rPr>
        <w:t>97.7%]</w:t>
      </w:r>
      <w:r w:rsidR="00427468">
        <w:rPr>
          <w:kern w:val="0"/>
        </w:rPr>
        <w:t xml:space="preserve"> of </w:t>
      </w:r>
      <w:r w:rsidRPr="00E365EC">
        <w:rPr>
          <w:kern w:val="0"/>
        </w:rPr>
        <w:t>pr</w:t>
      </w:r>
      <w:r>
        <w:rPr>
          <w:kern w:val="0"/>
        </w:rPr>
        <w:t>egnant women who had adequate (</w:t>
      </w:r>
      <w:r>
        <w:rPr>
          <w:kern w:val="0"/>
        </w:rPr>
        <w:sym w:font="Symbol" w:char="F0B3"/>
      </w:r>
      <w:r w:rsidRPr="00E365EC">
        <w:rPr>
          <w:kern w:val="0"/>
        </w:rPr>
        <w:t>80%)</w:t>
      </w:r>
      <w:r>
        <w:rPr>
          <w:kern w:val="0"/>
        </w:rPr>
        <w:t xml:space="preserve"> </w:t>
      </w:r>
      <w:r w:rsidRPr="00E365EC">
        <w:rPr>
          <w:kern w:val="0"/>
        </w:rPr>
        <w:t>ART adherence</w:t>
      </w:r>
      <w:r w:rsidR="00A37C1D">
        <w:rPr>
          <w:kern w:val="0"/>
        </w:rPr>
        <w:t>. The</w:t>
      </w:r>
      <w:r w:rsidR="003A1917">
        <w:rPr>
          <w:kern w:val="0"/>
        </w:rPr>
        <w:t xml:space="preserve"> </w:t>
      </w:r>
      <w:r w:rsidRPr="00E365EC">
        <w:rPr>
          <w:kern w:val="0"/>
        </w:rPr>
        <w:t>pooled proportion</w:t>
      </w:r>
      <w:r w:rsidR="00427468">
        <w:rPr>
          <w:kern w:val="0"/>
        </w:rPr>
        <w:t xml:space="preserve"> of </w:t>
      </w:r>
      <w:r w:rsidRPr="00E365EC">
        <w:rPr>
          <w:kern w:val="0"/>
        </w:rPr>
        <w:t>women with adequate adherence levels was</w:t>
      </w:r>
      <w:r>
        <w:rPr>
          <w:kern w:val="0"/>
        </w:rPr>
        <w:t xml:space="preserve"> </w:t>
      </w:r>
      <w:r w:rsidRPr="00E365EC">
        <w:rPr>
          <w:kern w:val="0"/>
        </w:rPr>
        <w:t>higher during</w:t>
      </w:r>
      <w:r w:rsidR="003A1917">
        <w:rPr>
          <w:kern w:val="0"/>
        </w:rPr>
        <w:t xml:space="preserve"> the </w:t>
      </w:r>
      <w:r w:rsidRPr="00E365EC">
        <w:rPr>
          <w:kern w:val="0"/>
        </w:rPr>
        <w:t>antepartum (75.7%, 95% CI 71.5–79.7%) than during postpartum</w:t>
      </w:r>
      <w:r>
        <w:rPr>
          <w:kern w:val="0"/>
        </w:rPr>
        <w:t xml:space="preserve"> </w:t>
      </w:r>
      <w:r w:rsidRPr="00E365EC">
        <w:rPr>
          <w:kern w:val="0"/>
        </w:rPr>
        <w:t>(53.0%, 95% CI 32.8–72.7%; P</w:t>
      </w:r>
      <w:r>
        <w:rPr>
          <w:rFonts w:hint="eastAsia"/>
          <w:kern w:val="0"/>
        </w:rPr>
        <w:t xml:space="preserve"> = </w:t>
      </w:r>
      <w:r w:rsidRPr="00E365EC">
        <w:rPr>
          <w:kern w:val="0"/>
        </w:rPr>
        <w:t>0.005). Selected reported barriers for nonadherence</w:t>
      </w:r>
      <w:r>
        <w:rPr>
          <w:kern w:val="0"/>
        </w:rPr>
        <w:t xml:space="preserve"> </w:t>
      </w:r>
      <w:r w:rsidRPr="00E365EC">
        <w:rPr>
          <w:kern w:val="0"/>
        </w:rPr>
        <w:t>included physical, economic</w:t>
      </w:r>
      <w:r w:rsidR="005853A9">
        <w:rPr>
          <w:kern w:val="0"/>
        </w:rPr>
        <w:t xml:space="preserve"> and </w:t>
      </w:r>
      <w:r w:rsidRPr="00E365EC">
        <w:rPr>
          <w:kern w:val="0"/>
        </w:rPr>
        <w:t>emotional stresses, depression (especially</w:t>
      </w:r>
      <w:r>
        <w:rPr>
          <w:kern w:val="0"/>
        </w:rPr>
        <w:t xml:space="preserve"> </w:t>
      </w:r>
      <w:r w:rsidRPr="00E365EC">
        <w:rPr>
          <w:kern w:val="0"/>
        </w:rPr>
        <w:t>postdelivery), alcohol or drug use,</w:t>
      </w:r>
      <w:r w:rsidR="005853A9">
        <w:rPr>
          <w:kern w:val="0"/>
        </w:rPr>
        <w:t xml:space="preserve"> and </w:t>
      </w:r>
      <w:r w:rsidRPr="00E365EC">
        <w:rPr>
          <w:kern w:val="0"/>
        </w:rPr>
        <w:t xml:space="preserve">ART dosing frequency </w:t>
      </w:r>
      <w:r w:rsidRPr="00E365EC">
        <w:rPr>
          <w:kern w:val="0"/>
        </w:rPr>
        <w:lastRenderedPageBreak/>
        <w:t>or pill burden.</w:t>
      </w:r>
      <w:r>
        <w:rPr>
          <w:kern w:val="0"/>
        </w:rPr>
        <w:t xml:space="preserve"> </w:t>
      </w:r>
      <w:r w:rsidRPr="00E365EC">
        <w:rPr>
          <w:kern w:val="0"/>
        </w:rPr>
        <w:t>Conclusion: Our findings indicate that only 73.5%</w:t>
      </w:r>
      <w:r w:rsidR="00427468">
        <w:rPr>
          <w:kern w:val="0"/>
        </w:rPr>
        <w:t xml:space="preserve"> of </w:t>
      </w:r>
      <w:r w:rsidRPr="00E365EC">
        <w:rPr>
          <w:kern w:val="0"/>
        </w:rPr>
        <w:t>pregnant women achieved</w:t>
      </w:r>
      <w:r>
        <w:rPr>
          <w:kern w:val="0"/>
        </w:rPr>
        <w:t xml:space="preserve"> </w:t>
      </w:r>
      <w:r w:rsidRPr="00E365EC">
        <w:rPr>
          <w:kern w:val="0"/>
        </w:rPr>
        <w:t>optimal ART adherence. Reaching adequate ART adherence levels was a challenge</w:t>
      </w:r>
      <w:r>
        <w:rPr>
          <w:kern w:val="0"/>
        </w:rPr>
        <w:t xml:space="preserve"> </w:t>
      </w:r>
      <w:r w:rsidRPr="00E365EC">
        <w:rPr>
          <w:kern w:val="0"/>
        </w:rPr>
        <w:t>in pregnancy, but especially during</w:t>
      </w:r>
      <w:r w:rsidR="003A1917">
        <w:rPr>
          <w:kern w:val="0"/>
        </w:rPr>
        <w:t xml:space="preserve"> the </w:t>
      </w:r>
      <w:r w:rsidRPr="00E365EC">
        <w:rPr>
          <w:kern w:val="0"/>
        </w:rPr>
        <w:t>postpartum period. Further research to</w:t>
      </w:r>
      <w:r>
        <w:rPr>
          <w:rFonts w:hint="eastAsia"/>
          <w:kern w:val="0"/>
        </w:rPr>
        <w:t xml:space="preserve"> </w:t>
      </w:r>
      <w:r w:rsidRPr="00E365EC">
        <w:rPr>
          <w:kern w:val="0"/>
        </w:rPr>
        <w:t>investigate specific barriers</w:t>
      </w:r>
      <w:r w:rsidR="005853A9">
        <w:rPr>
          <w:kern w:val="0"/>
        </w:rPr>
        <w:t xml:space="preserve"> and </w:t>
      </w:r>
      <w:r w:rsidRPr="00E365EC">
        <w:rPr>
          <w:kern w:val="0"/>
        </w:rPr>
        <w:t>interventions to address them is urgently needed</w:t>
      </w:r>
      <w:r>
        <w:rPr>
          <w:kern w:val="0"/>
        </w:rPr>
        <w:t xml:space="preserve"> </w:t>
      </w:r>
      <w:r w:rsidRPr="00E365EC">
        <w:rPr>
          <w:kern w:val="0"/>
        </w:rPr>
        <w:t>globally.</w:t>
      </w:r>
    </w:p>
    <w:p w:rsidR="00754DAB" w:rsidRDefault="00754DAB" w:rsidP="00754DAB">
      <w:pPr>
        <w:pStyle w:val="a3"/>
        <w:rPr>
          <w:kern w:val="0"/>
          <w:szCs w:val="24"/>
        </w:rPr>
      </w:pPr>
      <w:r>
        <w:rPr>
          <w:rFonts w:hint="eastAsia"/>
          <w:kern w:val="0"/>
          <w:szCs w:val="24"/>
        </w:rPr>
        <w:t xml:space="preserve">? </w:t>
      </w:r>
      <w:r>
        <w:rPr>
          <w:kern w:val="0"/>
          <w:szCs w:val="24"/>
        </w:rPr>
        <w:t>Peletz, R., Mahin, T., Elliott, M., Harris, M.S., Chan, K.S., Cohen, M.S., Bartram, J.K.</w:t>
      </w:r>
      <w:r w:rsidR="005853A9">
        <w:rPr>
          <w:kern w:val="0"/>
          <w:szCs w:val="24"/>
        </w:rPr>
        <w:t xml:space="preserve"> and </w:t>
      </w:r>
      <w:r>
        <w:rPr>
          <w:kern w:val="0"/>
          <w:szCs w:val="24"/>
        </w:rPr>
        <w:t>Clasen, T.F. (2013), Water, sanitation,</w:t>
      </w:r>
      <w:r w:rsidR="005853A9">
        <w:rPr>
          <w:kern w:val="0"/>
          <w:szCs w:val="24"/>
        </w:rPr>
        <w:t xml:space="preserve"> and </w:t>
      </w:r>
      <w:r>
        <w:rPr>
          <w:kern w:val="0"/>
          <w:szCs w:val="24"/>
        </w:rPr>
        <w:t xml:space="preserve">hygiene interventions to improve health among people living with HIV/AIDS: A systematic review. </w:t>
      </w:r>
      <w:r>
        <w:rPr>
          <w:i/>
          <w:iCs/>
          <w:kern w:val="0"/>
          <w:szCs w:val="24"/>
        </w:rPr>
        <w:t>AIDS</w:t>
      </w:r>
      <w:r>
        <w:rPr>
          <w:kern w:val="0"/>
          <w:szCs w:val="24"/>
        </w:rPr>
        <w:t xml:space="preserve">, </w:t>
      </w:r>
      <w:r>
        <w:rPr>
          <w:b/>
          <w:bCs/>
          <w:kern w:val="0"/>
          <w:szCs w:val="24"/>
        </w:rPr>
        <w:t>27</w:t>
      </w:r>
      <w:r>
        <w:rPr>
          <w:kern w:val="0"/>
          <w:szCs w:val="24"/>
        </w:rPr>
        <w:t xml:space="preserve"> (16), 2593-2601.</w:t>
      </w:r>
    </w:p>
    <w:p w:rsidR="00754DAB" w:rsidRDefault="00754DAB" w:rsidP="00754DAB">
      <w:pPr>
        <w:pStyle w:val="a3"/>
        <w:rPr>
          <w:kern w:val="0"/>
        </w:rPr>
      </w:pPr>
      <w:r>
        <w:rPr>
          <w:rFonts w:hint="eastAsia"/>
          <w:kern w:val="0"/>
        </w:rPr>
        <w:t xml:space="preserve">Full Text: </w:t>
      </w:r>
      <w:hyperlink r:id="rId334" w:history="1">
        <w:r w:rsidRPr="00754DAB">
          <w:rPr>
            <w:rStyle w:val="a5"/>
            <w:kern w:val="0"/>
          </w:rPr>
          <w:t>2013\AIDS27, 2593.pdf</w:t>
        </w:r>
      </w:hyperlink>
    </w:p>
    <w:p w:rsidR="00754DAB" w:rsidRDefault="00754DAB" w:rsidP="00754DAB">
      <w:pPr>
        <w:pStyle w:val="a3"/>
        <w:rPr>
          <w:kern w:val="0"/>
          <w:szCs w:val="24"/>
        </w:rPr>
      </w:pPr>
      <w:r>
        <w:rPr>
          <w:kern w:val="0"/>
          <w:szCs w:val="24"/>
        </w:rPr>
        <w:t>Abstract: Design:</w:t>
      </w:r>
      <w:r>
        <w:rPr>
          <w:rFonts w:hint="eastAsia"/>
          <w:kern w:val="0"/>
          <w:szCs w:val="24"/>
        </w:rPr>
        <w:t xml:space="preserve"> </w:t>
      </w:r>
      <w:r>
        <w:rPr>
          <w:kern w:val="0"/>
          <w:szCs w:val="24"/>
        </w:rPr>
        <w:t>People living with HIV/AIDS (PLHIV) are at increased risk</w:t>
      </w:r>
      <w:r w:rsidR="00427468">
        <w:rPr>
          <w:kern w:val="0"/>
          <w:szCs w:val="24"/>
        </w:rPr>
        <w:t xml:space="preserve"> of </w:t>
      </w:r>
      <w:r>
        <w:rPr>
          <w:kern w:val="0"/>
          <w:szCs w:val="24"/>
        </w:rPr>
        <w:t>diarrhoeal disease</w:t>
      </w:r>
      <w:r w:rsidR="005853A9">
        <w:rPr>
          <w:kern w:val="0"/>
          <w:szCs w:val="24"/>
        </w:rPr>
        <w:t xml:space="preserve"> and </w:t>
      </w:r>
      <w:r>
        <w:rPr>
          <w:kern w:val="0"/>
          <w:szCs w:val="24"/>
        </w:rPr>
        <w:t>enteric infection. This review assesses the effectiveness</w:t>
      </w:r>
      <w:r w:rsidR="00427468">
        <w:rPr>
          <w:kern w:val="0"/>
          <w:szCs w:val="24"/>
        </w:rPr>
        <w:t xml:space="preserve"> of </w:t>
      </w:r>
      <w:r>
        <w:rPr>
          <w:kern w:val="0"/>
          <w:szCs w:val="24"/>
        </w:rPr>
        <w:t>water, sanitation,</w:t>
      </w:r>
      <w:r w:rsidR="005853A9">
        <w:rPr>
          <w:kern w:val="0"/>
          <w:szCs w:val="24"/>
        </w:rPr>
        <w:t xml:space="preserve"> and </w:t>
      </w:r>
      <w:r>
        <w:rPr>
          <w:kern w:val="0"/>
          <w:szCs w:val="24"/>
        </w:rPr>
        <w:t>hygiene (WASH) interventions to prevent disease among PLHIV.</w:t>
      </w:r>
      <w:r w:rsidR="00C25446">
        <w:rPr>
          <w:rFonts w:hint="eastAsia"/>
          <w:kern w:val="0"/>
          <w:szCs w:val="24"/>
        </w:rPr>
        <w:t xml:space="preserve"> </w:t>
      </w:r>
      <w:r>
        <w:rPr>
          <w:kern w:val="0"/>
          <w:szCs w:val="24"/>
        </w:rPr>
        <w:t>Methods:</w:t>
      </w:r>
      <w:r w:rsidR="00C25446">
        <w:rPr>
          <w:rFonts w:hint="eastAsia"/>
          <w:kern w:val="0"/>
          <w:szCs w:val="24"/>
        </w:rPr>
        <w:t xml:space="preserve"> </w:t>
      </w:r>
      <w:r>
        <w:rPr>
          <w:kern w:val="0"/>
          <w:szCs w:val="24"/>
        </w:rPr>
        <w:t xml:space="preserve">We searched </w:t>
      </w:r>
      <w:r w:rsidR="00D5664A">
        <w:rPr>
          <w:kern w:val="0"/>
          <w:szCs w:val="24"/>
        </w:rPr>
        <w:t>MEDLINE</w:t>
      </w:r>
      <w:r>
        <w:rPr>
          <w:kern w:val="0"/>
          <w:szCs w:val="24"/>
        </w:rPr>
        <w:t xml:space="preserve">, EMBASE, Global Health, The Cochrane Library, </w:t>
      </w:r>
      <w:r w:rsidR="00D5664A">
        <w:rPr>
          <w:kern w:val="0"/>
          <w:szCs w:val="24"/>
        </w:rPr>
        <w:t>Web</w:t>
      </w:r>
      <w:r w:rsidR="00427468">
        <w:rPr>
          <w:kern w:val="0"/>
          <w:szCs w:val="24"/>
        </w:rPr>
        <w:t xml:space="preserve"> of </w:t>
      </w:r>
      <w:r w:rsidR="00D5664A">
        <w:rPr>
          <w:kern w:val="0"/>
          <w:szCs w:val="24"/>
        </w:rPr>
        <w:t>Science</w:t>
      </w:r>
      <w:r>
        <w:rPr>
          <w:kern w:val="0"/>
          <w:szCs w:val="24"/>
        </w:rPr>
        <w:t>, LILACS, Africa-wide, IMEMR, IMSEAR, WPRIM, CNKI,</w:t>
      </w:r>
      <w:r w:rsidR="005853A9">
        <w:rPr>
          <w:kern w:val="0"/>
          <w:szCs w:val="24"/>
        </w:rPr>
        <w:t xml:space="preserve"> and </w:t>
      </w:r>
      <w:r>
        <w:rPr>
          <w:kern w:val="0"/>
          <w:szCs w:val="24"/>
        </w:rPr>
        <w:t>WanFang. We also hand searched conference proceedings, contacted researchers</w:t>
      </w:r>
      <w:r w:rsidR="005853A9">
        <w:rPr>
          <w:kern w:val="0"/>
          <w:szCs w:val="24"/>
        </w:rPr>
        <w:t xml:space="preserve"> and </w:t>
      </w:r>
      <w:r>
        <w:rPr>
          <w:kern w:val="0"/>
          <w:szCs w:val="24"/>
        </w:rPr>
        <w:t>organizations,</w:t>
      </w:r>
      <w:r w:rsidR="005853A9">
        <w:rPr>
          <w:kern w:val="0"/>
          <w:szCs w:val="24"/>
        </w:rPr>
        <w:t xml:space="preserve"> and </w:t>
      </w:r>
      <w:r>
        <w:rPr>
          <w:kern w:val="0"/>
          <w:szCs w:val="24"/>
        </w:rPr>
        <w:t>checked references from identified studies. Eligible studies were those involving WASH interventions among PLHIV that reported on health outcomes</w:t>
      </w:r>
      <w:r w:rsidR="005853A9">
        <w:rPr>
          <w:kern w:val="0"/>
          <w:szCs w:val="24"/>
        </w:rPr>
        <w:t xml:space="preserve"> and </w:t>
      </w:r>
      <w:r>
        <w:rPr>
          <w:kern w:val="0"/>
          <w:szCs w:val="24"/>
        </w:rPr>
        <w:t>employed a controlled study design. We extracted data, explored heterogeneity, sub-grouped based on outcomes, calculated pooled effects on diarrhoeal disease using meta-analysis,</w:t>
      </w:r>
      <w:r w:rsidR="005853A9">
        <w:rPr>
          <w:kern w:val="0"/>
          <w:szCs w:val="24"/>
        </w:rPr>
        <w:t xml:space="preserve"> and </w:t>
      </w:r>
      <w:r>
        <w:rPr>
          <w:kern w:val="0"/>
          <w:szCs w:val="24"/>
        </w:rPr>
        <w:t>assessed studies for methodological quality.</w:t>
      </w:r>
      <w:r w:rsidR="00C25446">
        <w:rPr>
          <w:rFonts w:hint="eastAsia"/>
          <w:kern w:val="0"/>
          <w:szCs w:val="24"/>
        </w:rPr>
        <w:t xml:space="preserve"> </w:t>
      </w:r>
      <w:r>
        <w:rPr>
          <w:kern w:val="0"/>
          <w:szCs w:val="24"/>
        </w:rPr>
        <w:t>Results:</w:t>
      </w:r>
      <w:r w:rsidR="00C25446">
        <w:rPr>
          <w:rFonts w:hint="eastAsia"/>
          <w:kern w:val="0"/>
          <w:szCs w:val="24"/>
        </w:rPr>
        <w:t xml:space="preserve"> </w:t>
      </w:r>
      <w:r>
        <w:rPr>
          <w:kern w:val="0"/>
          <w:szCs w:val="24"/>
        </w:rPr>
        <w:t>Ten studies met the eligibility criteria</w:t>
      </w:r>
      <w:r w:rsidR="005853A9">
        <w:rPr>
          <w:kern w:val="0"/>
          <w:szCs w:val="24"/>
        </w:rPr>
        <w:t xml:space="preserve"> and </w:t>
      </w:r>
      <w:r>
        <w:rPr>
          <w:kern w:val="0"/>
          <w:szCs w:val="24"/>
        </w:rPr>
        <w:t>are included in the review,</w:t>
      </w:r>
      <w:r w:rsidR="00427468">
        <w:rPr>
          <w:kern w:val="0"/>
          <w:szCs w:val="24"/>
        </w:rPr>
        <w:t xml:space="preserve"> of </w:t>
      </w:r>
      <w:r>
        <w:rPr>
          <w:kern w:val="0"/>
          <w:szCs w:val="24"/>
        </w:rPr>
        <w:t>which nine involved water quality interventions</w:t>
      </w:r>
      <w:r w:rsidR="005853A9">
        <w:rPr>
          <w:kern w:val="0"/>
          <w:szCs w:val="24"/>
        </w:rPr>
        <w:t xml:space="preserve"> and </w:t>
      </w:r>
      <w:r>
        <w:rPr>
          <w:kern w:val="0"/>
          <w:szCs w:val="24"/>
        </w:rPr>
        <w:t>one involved promotion</w:t>
      </w:r>
      <w:r w:rsidR="00427468">
        <w:rPr>
          <w:kern w:val="0"/>
          <w:szCs w:val="24"/>
        </w:rPr>
        <w:t xml:space="preserve"> of </w:t>
      </w:r>
      <w:r>
        <w:rPr>
          <w:kern w:val="0"/>
          <w:szCs w:val="24"/>
        </w:rPr>
        <w:t>handwashing. Among eight studies that reported on diarrhoea, water quality interventions (seven studies, pooled RR=0.57, 95% CI: 0.38-0.86)</w:t>
      </w:r>
      <w:r w:rsidR="005853A9">
        <w:rPr>
          <w:kern w:val="0"/>
          <w:szCs w:val="24"/>
        </w:rPr>
        <w:t xml:space="preserve"> and </w:t>
      </w:r>
      <w:r>
        <w:rPr>
          <w:kern w:val="0"/>
          <w:szCs w:val="24"/>
        </w:rPr>
        <w:t>the handwashing intervention (one study, RR=0.42, 95% CI: 0.33-0.54) were protective against diarrhoea. One study reported that household water treatment combined with insecticide treated bednets slowed the progression</w:t>
      </w:r>
      <w:r w:rsidR="00427468">
        <w:rPr>
          <w:kern w:val="0"/>
          <w:szCs w:val="24"/>
        </w:rPr>
        <w:t xml:space="preserve"> of </w:t>
      </w:r>
      <w:r>
        <w:rPr>
          <w:kern w:val="0"/>
          <w:szCs w:val="24"/>
        </w:rPr>
        <w:t>HIV/AIDS</w:t>
      </w:r>
      <w:r w:rsidR="00A37C1D">
        <w:rPr>
          <w:kern w:val="0"/>
          <w:szCs w:val="24"/>
        </w:rPr>
        <w:t>. The</w:t>
      </w:r>
      <w:r>
        <w:rPr>
          <w:kern w:val="0"/>
          <w:szCs w:val="24"/>
        </w:rPr>
        <w:t xml:space="preserve"> validity</w:t>
      </w:r>
      <w:r w:rsidR="00427468">
        <w:rPr>
          <w:kern w:val="0"/>
          <w:szCs w:val="24"/>
        </w:rPr>
        <w:t xml:space="preserve"> of </w:t>
      </w:r>
      <w:r>
        <w:rPr>
          <w:kern w:val="0"/>
          <w:szCs w:val="24"/>
        </w:rPr>
        <w:t>most studies is potentially compromised by methodological shortcomings.</w:t>
      </w:r>
      <w:r w:rsidR="00C25446">
        <w:rPr>
          <w:rFonts w:hint="eastAsia"/>
          <w:kern w:val="0"/>
          <w:szCs w:val="24"/>
        </w:rPr>
        <w:t xml:space="preserve"> </w:t>
      </w:r>
      <w:r>
        <w:rPr>
          <w:kern w:val="0"/>
          <w:szCs w:val="24"/>
        </w:rPr>
        <w:t>Conclusion:</w:t>
      </w:r>
      <w:r w:rsidR="00C25446">
        <w:rPr>
          <w:rFonts w:hint="eastAsia"/>
          <w:kern w:val="0"/>
          <w:szCs w:val="24"/>
        </w:rPr>
        <w:t xml:space="preserve"> </w:t>
      </w:r>
      <w:r>
        <w:rPr>
          <w:kern w:val="0"/>
          <w:szCs w:val="24"/>
        </w:rPr>
        <w:t>No studies assessed the impact</w:t>
      </w:r>
      <w:r w:rsidR="00427468">
        <w:rPr>
          <w:kern w:val="0"/>
          <w:szCs w:val="24"/>
        </w:rPr>
        <w:t xml:space="preserve"> of </w:t>
      </w:r>
      <w:r>
        <w:rPr>
          <w:kern w:val="0"/>
          <w:szCs w:val="24"/>
        </w:rPr>
        <w:t>improved water supply or sanitation, the most fundamental</w:t>
      </w:r>
      <w:r w:rsidR="00427468">
        <w:rPr>
          <w:kern w:val="0"/>
          <w:szCs w:val="24"/>
        </w:rPr>
        <w:t xml:space="preserve"> of </w:t>
      </w:r>
      <w:r>
        <w:rPr>
          <w:kern w:val="0"/>
          <w:szCs w:val="24"/>
        </w:rPr>
        <w:t>WASH interventions. Despite some evidence that water quality interventions</w:t>
      </w:r>
      <w:r w:rsidR="005853A9">
        <w:rPr>
          <w:kern w:val="0"/>
          <w:szCs w:val="24"/>
        </w:rPr>
        <w:t xml:space="preserve"> and </w:t>
      </w:r>
      <w:r>
        <w:rPr>
          <w:kern w:val="0"/>
          <w:szCs w:val="24"/>
        </w:rPr>
        <w:t>handwashing are protective against diarrhoea, substantial heterogeneity</w:t>
      </w:r>
      <w:r w:rsidR="005853A9">
        <w:rPr>
          <w:kern w:val="0"/>
          <w:szCs w:val="24"/>
        </w:rPr>
        <w:t xml:space="preserve"> and </w:t>
      </w:r>
      <w:r>
        <w:rPr>
          <w:kern w:val="0"/>
          <w:szCs w:val="24"/>
        </w:rPr>
        <w:t>the potential for bias raise questions about the actual level</w:t>
      </w:r>
      <w:r w:rsidR="00427468">
        <w:rPr>
          <w:kern w:val="0"/>
          <w:szCs w:val="24"/>
        </w:rPr>
        <w:t xml:space="preserve"> of </w:t>
      </w:r>
      <w:r>
        <w:rPr>
          <w:kern w:val="0"/>
          <w:szCs w:val="24"/>
        </w:rPr>
        <w:t>protection. (C) 2013 Wolters Kluwer Health vertical bar Lippincott Williams &amp; Wilkins.</w:t>
      </w:r>
    </w:p>
    <w:p w:rsidR="00754DAB" w:rsidRDefault="00754DAB" w:rsidP="00754DAB">
      <w:pPr>
        <w:pStyle w:val="a3"/>
        <w:rPr>
          <w:kern w:val="0"/>
          <w:szCs w:val="24"/>
        </w:rPr>
      </w:pPr>
      <w:r>
        <w:rPr>
          <w:kern w:val="0"/>
          <w:szCs w:val="24"/>
        </w:rPr>
        <w:t xml:space="preserve">Keywords: </w:t>
      </w:r>
      <w:r w:rsidR="00C25446">
        <w:rPr>
          <w:kern w:val="0"/>
          <w:szCs w:val="24"/>
        </w:rPr>
        <w:t>AID, AID</w:t>
      </w:r>
      <w:r>
        <w:rPr>
          <w:kern w:val="0"/>
          <w:szCs w:val="24"/>
        </w:rPr>
        <w:t xml:space="preserve">s, Article, Bias, Children, Conference Proceedings, Control, Controlled-Trials, Criteria, Cryptosporidiosis, Data, Design, Diarrhoea, Disease, Drinking-Water, Effectiveness, Effects, Embase, England, Evidence, Health, Health Outcomes, Heterogeneity, </w:t>
      </w:r>
      <w:r w:rsidR="00C25446">
        <w:rPr>
          <w:kern w:val="0"/>
          <w:szCs w:val="24"/>
        </w:rPr>
        <w:t>HIV, HIV</w:t>
      </w:r>
      <w:r>
        <w:rPr>
          <w:kern w:val="0"/>
          <w:szCs w:val="24"/>
        </w:rPr>
        <w:t xml:space="preserve">-1 Infection, </w:t>
      </w:r>
      <w:r w:rsidR="00C25446">
        <w:rPr>
          <w:kern w:val="0"/>
          <w:szCs w:val="24"/>
        </w:rPr>
        <w:t>HIV, AID</w:t>
      </w:r>
      <w:r>
        <w:rPr>
          <w:kern w:val="0"/>
          <w:szCs w:val="24"/>
        </w:rPr>
        <w:t xml:space="preserve">s, </w:t>
      </w:r>
      <w:r>
        <w:rPr>
          <w:kern w:val="0"/>
          <w:szCs w:val="24"/>
        </w:rPr>
        <w:lastRenderedPageBreak/>
        <w:t xml:space="preserve">Human-Immunodeficiency-Virus, Hygiene, Impact, Infection, Insecticide, Intervention, Interventions, Living, </w:t>
      </w:r>
      <w:r w:rsidR="00D5664A">
        <w:rPr>
          <w:kern w:val="0"/>
          <w:szCs w:val="24"/>
        </w:rPr>
        <w:t>MEDLINE</w:t>
      </w:r>
      <w:r>
        <w:rPr>
          <w:kern w:val="0"/>
          <w:szCs w:val="24"/>
        </w:rPr>
        <w:t xml:space="preserve">, Meta Analysis, Meta-Analysis, Metaanalysis, Mortality, Outcomes, Persistent Diarrhea, Potential, Prevent, Progression, Promotion, Protection, Quality, References, Review, Risk, Sanitation, Science, Study Design, Systematic Review, Treatment, Tropical Enteropathy, </w:t>
      </w:r>
      <w:r w:rsidR="00D5664A">
        <w:rPr>
          <w:kern w:val="0"/>
          <w:szCs w:val="24"/>
        </w:rPr>
        <w:t>USA</w:t>
      </w:r>
      <w:r>
        <w:rPr>
          <w:kern w:val="0"/>
          <w:szCs w:val="24"/>
        </w:rPr>
        <w:t xml:space="preserve">, Validity, Vertical, Viral Load, Virology, Water, Water Quality, Water Supply, Water Treatment, Water-Quality, </w:t>
      </w:r>
      <w:r w:rsidR="00D5664A">
        <w:rPr>
          <w:kern w:val="0"/>
          <w:szCs w:val="24"/>
        </w:rPr>
        <w:t>Web</w:t>
      </w:r>
      <w:r w:rsidR="00427468">
        <w:rPr>
          <w:kern w:val="0"/>
          <w:szCs w:val="24"/>
        </w:rPr>
        <w:t xml:space="preserve"> of </w:t>
      </w:r>
      <w:r w:rsidR="00D5664A">
        <w:rPr>
          <w:kern w:val="0"/>
          <w:szCs w:val="24"/>
        </w:rPr>
        <w:t>Science</w:t>
      </w:r>
    </w:p>
    <w:p w:rsidR="00C25446" w:rsidRDefault="00C25446" w:rsidP="00C25446">
      <w:pPr>
        <w:pStyle w:val="a3"/>
        <w:rPr>
          <w:kern w:val="0"/>
          <w:szCs w:val="24"/>
        </w:rPr>
      </w:pPr>
      <w:r>
        <w:rPr>
          <w:kern w:val="0"/>
          <w:szCs w:val="24"/>
        </w:rPr>
        <w:t xml:space="preserve">? </w:t>
      </w:r>
      <w:r>
        <w:rPr>
          <w:kern w:val="0"/>
        </w:rPr>
        <w:t>Shaffer, N., Abrams, E.J. and Becquet, R.</w:t>
      </w:r>
      <w:r>
        <w:rPr>
          <w:kern w:val="0"/>
          <w:szCs w:val="24"/>
        </w:rPr>
        <w:t xml:space="preserve"> (2014), </w:t>
      </w:r>
      <w:r>
        <w:rPr>
          <w:kern w:val="0"/>
        </w:rPr>
        <w:t>Option B+ for prevention of mother-to-child transmission of HIV in resource-constrained settings: Great promise but some early caution</w:t>
      </w:r>
      <w:r>
        <w:rPr>
          <w:kern w:val="0"/>
          <w:szCs w:val="24"/>
        </w:rPr>
        <w:t xml:space="preserve">: A systematic review. </w:t>
      </w:r>
      <w:r>
        <w:rPr>
          <w:i/>
          <w:iCs/>
          <w:kern w:val="0"/>
          <w:szCs w:val="24"/>
        </w:rPr>
        <w:t>AIDS</w:t>
      </w:r>
      <w:r>
        <w:rPr>
          <w:kern w:val="0"/>
          <w:szCs w:val="24"/>
        </w:rPr>
        <w:t xml:space="preserve">, </w:t>
      </w:r>
      <w:r>
        <w:rPr>
          <w:b/>
          <w:bCs/>
          <w:kern w:val="0"/>
          <w:szCs w:val="24"/>
        </w:rPr>
        <w:t>28</w:t>
      </w:r>
      <w:r>
        <w:rPr>
          <w:kern w:val="0"/>
          <w:szCs w:val="24"/>
        </w:rPr>
        <w:t xml:space="preserve"> (4), </w:t>
      </w:r>
      <w:r>
        <w:rPr>
          <w:kern w:val="0"/>
        </w:rPr>
        <w:t>599-601</w:t>
      </w:r>
      <w:r>
        <w:rPr>
          <w:kern w:val="0"/>
          <w:szCs w:val="24"/>
        </w:rPr>
        <w:t>.</w:t>
      </w:r>
    </w:p>
    <w:p w:rsidR="00C25446" w:rsidRDefault="00C25446" w:rsidP="00C25446">
      <w:pPr>
        <w:pStyle w:val="a3"/>
        <w:rPr>
          <w:kern w:val="0"/>
        </w:rPr>
      </w:pPr>
      <w:r>
        <w:rPr>
          <w:kern w:val="0"/>
        </w:rPr>
        <w:t xml:space="preserve">Full Text: </w:t>
      </w:r>
      <w:hyperlink r:id="rId335" w:history="1">
        <w:r>
          <w:rPr>
            <w:rStyle w:val="a5"/>
          </w:rPr>
          <w:t>2014\AIDS28, 599.pdf</w:t>
        </w:r>
      </w:hyperlink>
    </w:p>
    <w:p w:rsidR="00C25446" w:rsidRDefault="00C25446" w:rsidP="00C25446">
      <w:pPr>
        <w:pStyle w:val="a3"/>
        <w:rPr>
          <w:kern w:val="0"/>
        </w:rPr>
      </w:pPr>
      <w:r>
        <w:rPr>
          <w:kern w:val="0"/>
        </w:rPr>
        <w:t>Keywords: Mother-To-Child Transmission, Loss To Follow-Up, Malawi, Retention, HIV, Kesho Bora, Countries, Metaanalysis, Pregnancy, Mortality, Women, Plus</w:t>
      </w:r>
    </w:p>
    <w:p w:rsidR="00C25446" w:rsidRDefault="00C25446" w:rsidP="00C25446">
      <w:pPr>
        <w:pStyle w:val="a3"/>
        <w:rPr>
          <w:kern w:val="0"/>
        </w:rPr>
      </w:pPr>
      <w:r>
        <w:rPr>
          <w:rFonts w:hint="eastAsia"/>
          <w:kern w:val="0"/>
        </w:rPr>
        <w:t xml:space="preserve">? </w:t>
      </w:r>
      <w:r>
        <w:rPr>
          <w:kern w:val="0"/>
        </w:rPr>
        <w:t xml:space="preserve">Suthar, A.B., Rutherford, G.W., Horvath, T., Doherty, M.C. and Negussie, E.K. (2014), Improving antiretroviral therapy scale-up and effectiveness through service integration and decentralization. </w:t>
      </w:r>
      <w:r>
        <w:rPr>
          <w:i/>
          <w:iCs/>
          <w:kern w:val="0"/>
        </w:rPr>
        <w:t>AIDS</w:t>
      </w:r>
      <w:r>
        <w:rPr>
          <w:kern w:val="0"/>
        </w:rPr>
        <w:t xml:space="preserve">, </w:t>
      </w:r>
      <w:r>
        <w:rPr>
          <w:b/>
          <w:bCs/>
          <w:kern w:val="0"/>
        </w:rPr>
        <w:t>28</w:t>
      </w:r>
      <w:r>
        <w:rPr>
          <w:kern w:val="0"/>
        </w:rPr>
        <w:t>, S175-S185.</w:t>
      </w:r>
    </w:p>
    <w:p w:rsidR="00C25446" w:rsidRDefault="00C25446" w:rsidP="00C25446">
      <w:pPr>
        <w:pStyle w:val="a3"/>
        <w:rPr>
          <w:kern w:val="0"/>
        </w:rPr>
      </w:pPr>
      <w:r>
        <w:rPr>
          <w:kern w:val="0"/>
        </w:rPr>
        <w:t xml:space="preserve">Full Text: </w:t>
      </w:r>
      <w:hyperlink r:id="rId336" w:history="1">
        <w:r w:rsidRPr="00C25446">
          <w:rPr>
            <w:rStyle w:val="a5"/>
            <w:kern w:val="0"/>
          </w:rPr>
          <w:t>2014\AIDS28, S175.pdf</w:t>
        </w:r>
      </w:hyperlink>
    </w:p>
    <w:p w:rsidR="00C25446" w:rsidRDefault="00C25446" w:rsidP="00C25446">
      <w:pPr>
        <w:pStyle w:val="a3"/>
        <w:rPr>
          <w:kern w:val="0"/>
        </w:rPr>
      </w:pPr>
      <w:r>
        <w:rPr>
          <w:kern w:val="0"/>
        </w:rPr>
        <w:t>Abstract: Background:</w:t>
      </w:r>
      <w:r>
        <w:rPr>
          <w:rFonts w:hint="eastAsia"/>
          <w:kern w:val="0"/>
        </w:rPr>
        <w:t xml:space="preserve"> </w:t>
      </w:r>
      <w:r>
        <w:rPr>
          <w:kern w:val="0"/>
        </w:rPr>
        <w:t>Current service delivery systems do not reach all people in need of antiretroviral therapy (ART). In order to inform the operational and service delivery section of the WHO 2013 consolidated antiretroviral guidelines, our objective was to summarize systematic reviews on integrating ART delivery into maternal, newborn, and child health (MNCH) care settings in countries with generalized epidemics, tuberculosis (TB) treatment settings in which the burden of HIV and TB is high, and settings providing opiate substitution therapy (OST); and decentralizing ART into primary health facilities and communities.</w:t>
      </w:r>
      <w:r>
        <w:rPr>
          <w:rFonts w:hint="eastAsia"/>
          <w:kern w:val="0"/>
        </w:rPr>
        <w:t xml:space="preserve"> </w:t>
      </w:r>
      <w:r>
        <w:rPr>
          <w:kern w:val="0"/>
        </w:rPr>
        <w:t>Design:</w:t>
      </w:r>
      <w:r>
        <w:rPr>
          <w:rFonts w:hint="eastAsia"/>
          <w:kern w:val="0"/>
        </w:rPr>
        <w:t xml:space="preserve"> </w:t>
      </w:r>
      <w:r>
        <w:rPr>
          <w:kern w:val="0"/>
        </w:rPr>
        <w:t>A summary of systematic reviews.</w:t>
      </w:r>
      <w:r>
        <w:rPr>
          <w:rFonts w:hint="eastAsia"/>
          <w:kern w:val="0"/>
        </w:rPr>
        <w:t xml:space="preserve"> </w:t>
      </w:r>
      <w:r>
        <w:rPr>
          <w:kern w:val="0"/>
        </w:rPr>
        <w:t>Methods:</w:t>
      </w:r>
      <w:r>
        <w:rPr>
          <w:rFonts w:hint="eastAsia"/>
          <w:kern w:val="0"/>
        </w:rPr>
        <w:t xml:space="preserve"> </w:t>
      </w:r>
      <w:r>
        <w:rPr>
          <w:kern w:val="0"/>
        </w:rPr>
        <w:t>The reviewers searched PubMed, Embase, PsycINFO, Web of Science, CENTRAL, and the WHO Index Medicus databases. Randomized controlled trials and observational cohort studies were included if they compared ART coverage, retention in HIV care, and/or mortality in MNCH, TB, or OST facilities providing ART with MNCH, TB, or OST facilities providing ART services separately; or primary health facilities or communities providing ART with hospitals providing ART.</w:t>
      </w:r>
      <w:r>
        <w:rPr>
          <w:rFonts w:hint="eastAsia"/>
          <w:kern w:val="0"/>
        </w:rPr>
        <w:t xml:space="preserve"> </w:t>
      </w:r>
      <w:r>
        <w:rPr>
          <w:kern w:val="0"/>
        </w:rPr>
        <w:t>Results:</w:t>
      </w:r>
      <w:r>
        <w:rPr>
          <w:rFonts w:hint="eastAsia"/>
          <w:kern w:val="0"/>
        </w:rPr>
        <w:t xml:space="preserve"> </w:t>
      </w:r>
      <w:r>
        <w:rPr>
          <w:kern w:val="0"/>
        </w:rPr>
        <w:t xml:space="preserve">The reviewers identified 28 studies on integration and decentralization. Antiretroviral therapy integration into MNCH facilities improved ART coverage (relative risk [RR] 1.37, 95% confidence interval [CI] 1.05-1.79) and led to comparable retention in care. ART integration into TB treatment settings improved ART coverage (RR 1.83, 95% CI 1.48-2.23) and led to a nonsignificant reduction in mortality (RR 0.55, 95% CI 0.29-1.05). The limited data on ART integration into OST services indicated comparable rates of ART coverage, retention, and mortality. Partial decentralization into primary health facilities </w:t>
      </w:r>
      <w:r>
        <w:rPr>
          <w:kern w:val="0"/>
        </w:rPr>
        <w:lastRenderedPageBreak/>
        <w:t>improved retention (RR 1.05, 95% CI 1.01-1.09) and reduced mortality (RR 0.34, 95% CI 0.13-0.87). Full decentralization improved retention (RR 1.12, 95% CI 1.08-1.17) and led to comparable mortality. Community-based ART led to comparable rates of retention and mortality.</w:t>
      </w:r>
      <w:r>
        <w:rPr>
          <w:rFonts w:hint="eastAsia"/>
          <w:kern w:val="0"/>
        </w:rPr>
        <w:t xml:space="preserve"> </w:t>
      </w:r>
      <w:r>
        <w:rPr>
          <w:kern w:val="0"/>
        </w:rPr>
        <w:t>Conclusion:</w:t>
      </w:r>
      <w:r>
        <w:rPr>
          <w:rFonts w:hint="eastAsia"/>
          <w:kern w:val="0"/>
        </w:rPr>
        <w:t xml:space="preserve"> </w:t>
      </w:r>
      <w:r>
        <w:rPr>
          <w:kern w:val="0"/>
        </w:rPr>
        <w:t>Integrating ART into MNCH, TB, and OST services was often associated with improvements in ART coverage, and decentralization of ART into primary health facilities and communities was often associated with improved retention. Neither integration nor decentralization was associated with adverse outcomes. These data contributed to recommendations in the WHO 2013 consolidated antiretroviral guidelines to integrate ART delivery into MNCH, TB, and OST services and to decentralize ART. (C) 2014 Wolters Kluwer Health vertical bar Lippincott Williams &amp; Wilkins.</w:t>
      </w:r>
    </w:p>
    <w:p w:rsidR="00C25446" w:rsidRDefault="00C25446" w:rsidP="00C25446">
      <w:pPr>
        <w:pStyle w:val="a3"/>
        <w:rPr>
          <w:kern w:val="0"/>
        </w:rPr>
      </w:pPr>
      <w:r>
        <w:rPr>
          <w:kern w:val="0"/>
        </w:rPr>
        <w:t>Keywords: Adverse Outcomes, Antenatal Care, Antiretroviral Therapy, Art, Burden, Care, Child, Child Health, Cohort, Collaborative TB, HIV Activities, Confidence, Coverage, Data, Databases, Decentralization, Delivery, Effectiveness, Facilities, Guidelines, Health, HIV, HIV-Positive Patients, Hospitals, Inject Drugs, Integration, Interval, Mar, Maternal, Maternal Neonatal And Child Health, Methadone Maintenance Treatment, Mortality, Newborn, Observational, Opiate Substitution Therapy, Outcomes, Primary, Primary Health, Primary-Care, Psycinfo, Pubmed, Randomized Controlled Trials, Randomized-Trial, Rates, Recommendations, Reduction, Relative Risk, Retention, Reviewers, Reviews, Risk, Rural Kenya, Science, Service, Services, South-Africa, Sub-Saharan Africa, Substitution, Substitution Therapy, Systematic, Systematic Review, Systematic Reviews, Systems, TB, Therapy, Treatment, Tuberculosis, Tuberculosis, Vertical, Web Of Science, WHO</w:t>
      </w:r>
    </w:p>
    <w:p w:rsidR="00C25446" w:rsidRDefault="00C25446" w:rsidP="00C25446">
      <w:pPr>
        <w:pStyle w:val="a3"/>
        <w:rPr>
          <w:kern w:val="0"/>
        </w:rPr>
      </w:pPr>
      <w:r>
        <w:rPr>
          <w:rFonts w:hint="eastAsia"/>
          <w:kern w:val="0"/>
        </w:rPr>
        <w:t xml:space="preserve">? </w:t>
      </w:r>
      <w:r>
        <w:rPr>
          <w:kern w:val="0"/>
        </w:rPr>
        <w:t xml:space="preserve">Chaiyachati, K.H., Ogbuoji, O., Price, M., Suthar, A.B., Negussie, E.K. and Barnighausen, T. (2014), Interventions to improve adherence to antiretroviral therapy: A rapid systematic review. </w:t>
      </w:r>
      <w:r>
        <w:rPr>
          <w:i/>
          <w:iCs/>
          <w:kern w:val="0"/>
        </w:rPr>
        <w:t>AIDS</w:t>
      </w:r>
      <w:r>
        <w:rPr>
          <w:kern w:val="0"/>
        </w:rPr>
        <w:t xml:space="preserve">, </w:t>
      </w:r>
      <w:r>
        <w:rPr>
          <w:b/>
          <w:bCs/>
          <w:kern w:val="0"/>
        </w:rPr>
        <w:t>28</w:t>
      </w:r>
      <w:r>
        <w:rPr>
          <w:kern w:val="0"/>
        </w:rPr>
        <w:t>, S187-S204.</w:t>
      </w:r>
    </w:p>
    <w:p w:rsidR="00C25446" w:rsidRDefault="00C25446" w:rsidP="00C25446">
      <w:pPr>
        <w:pStyle w:val="a3"/>
        <w:rPr>
          <w:kern w:val="0"/>
        </w:rPr>
      </w:pPr>
      <w:r>
        <w:rPr>
          <w:kern w:val="0"/>
        </w:rPr>
        <w:t xml:space="preserve">Full Text: </w:t>
      </w:r>
      <w:hyperlink r:id="rId337" w:history="1">
        <w:r w:rsidRPr="00C25446">
          <w:rPr>
            <w:rStyle w:val="a5"/>
            <w:kern w:val="0"/>
          </w:rPr>
          <w:t>2014\AIDS28, S187.pdf</w:t>
        </w:r>
      </w:hyperlink>
    </w:p>
    <w:p w:rsidR="00C25446" w:rsidRDefault="00C25446" w:rsidP="00C25446">
      <w:pPr>
        <w:pStyle w:val="a3"/>
        <w:rPr>
          <w:kern w:val="0"/>
        </w:rPr>
      </w:pPr>
      <w:r>
        <w:rPr>
          <w:kern w:val="0"/>
        </w:rPr>
        <w:t>Abstract: Introduction:</w:t>
      </w:r>
      <w:r>
        <w:rPr>
          <w:rFonts w:hint="eastAsia"/>
          <w:kern w:val="0"/>
        </w:rPr>
        <w:t xml:space="preserve"> </w:t>
      </w:r>
      <w:r>
        <w:rPr>
          <w:kern w:val="0"/>
        </w:rPr>
        <w:t>Access to antiretroviral treatment (ART) has substantially improved over the past decade. In this new era of HIV as a chronic disease, the continued success of ART will depend critically on sustained high ART adherence. The objective of this review was to systematically review interventions that can improve adherence to ART, including individual-level interventions and changes to the structure of ART delivery, to inform the evidence base for the 2013 WHO consolidated antiretroviral guidelines.</w:t>
      </w:r>
      <w:r>
        <w:rPr>
          <w:rFonts w:hint="eastAsia"/>
          <w:kern w:val="0"/>
        </w:rPr>
        <w:t xml:space="preserve"> </w:t>
      </w:r>
      <w:r>
        <w:rPr>
          <w:kern w:val="0"/>
        </w:rPr>
        <w:t>Design:</w:t>
      </w:r>
      <w:r>
        <w:rPr>
          <w:rFonts w:hint="eastAsia"/>
          <w:kern w:val="0"/>
        </w:rPr>
        <w:t xml:space="preserve"> </w:t>
      </w:r>
      <w:r>
        <w:rPr>
          <w:kern w:val="0"/>
        </w:rPr>
        <w:t>A rapid systematic review.</w:t>
      </w:r>
      <w:r>
        <w:rPr>
          <w:rFonts w:hint="eastAsia"/>
          <w:kern w:val="0"/>
        </w:rPr>
        <w:t xml:space="preserve"> </w:t>
      </w:r>
      <w:r>
        <w:rPr>
          <w:kern w:val="0"/>
        </w:rPr>
        <w:t>Methods:</w:t>
      </w:r>
      <w:r>
        <w:rPr>
          <w:rFonts w:hint="eastAsia"/>
          <w:kern w:val="0"/>
        </w:rPr>
        <w:t xml:space="preserve"> </w:t>
      </w:r>
      <w:r>
        <w:rPr>
          <w:kern w:val="0"/>
        </w:rPr>
        <w:t xml:space="preserve">We conducted a rapid systematic review of the global evidence on interventions to improve adherence to ART, utilizing pre-existing systematic reviews to identify relevant research evidence complemented by screening of databases for articles published over the past 2 years on evidence from randomized controlled trials </w:t>
      </w:r>
      <w:r>
        <w:rPr>
          <w:kern w:val="0"/>
        </w:rPr>
        <w:lastRenderedPageBreak/>
        <w:t>(RCTs). We searched five databases for both systematic reviews and primary RCT studies (Cochrane Library, EMBASE, MEDLINE, Web of Science, and WHO Global Health Library); we additionally searched ClinicalTrials.gov for RCT studies. We examined intervention effectiveness by different study characteristics, in particular, the specific populations who received the intervention.</w:t>
      </w:r>
      <w:r>
        <w:rPr>
          <w:rFonts w:hint="eastAsia"/>
          <w:kern w:val="0"/>
        </w:rPr>
        <w:t xml:space="preserve"> </w:t>
      </w:r>
      <w:r>
        <w:rPr>
          <w:kern w:val="0"/>
        </w:rPr>
        <w:t>Results:</w:t>
      </w:r>
      <w:r>
        <w:rPr>
          <w:rFonts w:hint="eastAsia"/>
          <w:kern w:val="0"/>
        </w:rPr>
        <w:t xml:space="preserve"> </w:t>
      </w:r>
      <w:r>
        <w:rPr>
          <w:kern w:val="0"/>
        </w:rPr>
        <w:t>A total of 124 studies met our selection criteria. Eighty-six studies were RCTs. More than 20 studies have tested the effectiveness of each of the following interventions, either singly or in combination with other interventions: cognitive-behavioural interventions, education, treatment supporters, directly observed therapy, and active adherence reminder devices (such as mobile phone text messages). Although there is strong evidence that all five of these interventions can significantly increase ART adherence in some settings, each intervention has also been found not to produce significant effects in several studies. Almost half (55) of the 124 studies investigated the effectiveness of combination interventions. Combination interventions tended to have effects that were similar to those of single interventions. The evidence base on interventions in key populations was weak, with the exception of interventions for people who inject drugs.</w:t>
      </w:r>
      <w:r>
        <w:rPr>
          <w:rFonts w:hint="eastAsia"/>
          <w:kern w:val="0"/>
        </w:rPr>
        <w:t xml:space="preserve"> </w:t>
      </w:r>
      <w:r>
        <w:rPr>
          <w:kern w:val="0"/>
        </w:rPr>
        <w:t>Conclusion:</w:t>
      </w:r>
      <w:r>
        <w:rPr>
          <w:rFonts w:hint="eastAsia"/>
          <w:kern w:val="0"/>
        </w:rPr>
        <w:t xml:space="preserve"> </w:t>
      </w:r>
      <w:r>
        <w:rPr>
          <w:kern w:val="0"/>
        </w:rPr>
        <w:t>Tested and effective adherence-enhancing interventions should be increasingly moved into implementation in routine programme and care settings, accompanied by rigorous evaluation of implementation impact and performance. Major evidence gaps on adherence-enhancing interventions remain, in particular, on the cost-effectiveness of interventions in different settings, long-term effectiveness, and effectiveness of interventions in specific populations, such as pregnant and breastfeeding women. (C) 2014 Wolters Kluwer Health vertical bar Lippincott Williams &amp; Wilkins.</w:t>
      </w:r>
    </w:p>
    <w:p w:rsidR="00C25446" w:rsidRDefault="00C25446" w:rsidP="00C25446">
      <w:pPr>
        <w:pStyle w:val="a3"/>
        <w:rPr>
          <w:kern w:val="0"/>
        </w:rPr>
      </w:pPr>
      <w:r>
        <w:rPr>
          <w:kern w:val="0"/>
        </w:rPr>
        <w:t>Keywords: Adherence, Antiretroviral Adherence, Antiretroviral Therapy, Art, Articles, Breastfeeding, Care, Changes, Characteristics, Chronic, Chronic Disease, Cognitive-Behavioral Intervention, Combination, Cost Effectiveness, Cost-Effectiveness, Criteria, Databases, Delivery, Disease, Education, Effectiveness, Effects, Embase, Evaluation, Evidence, Global, Health, HIV, HIV Medication Adherence, Impact, Implementation, Injection-Drug Users, Intervention, Interventions, Long Term, Long-Term, Long-Term Adherence, Mar, Medline, Mobile, Of-The-Literature, Performance, Populations, Pregnant, Primary, Randomized, Randomized Controlled Trials, Randomized Controlled-Trial, RCT, Research, Resource-Limited Settings, Review, Reviews, Risk Reduction Intervention, Science, Screening, Selection, Selection Criteria, Self-Administered Therapy, Structure, Sub-Saharan Africa, Success, Systematic, Systematic Review, Systematic Reviews, Therapy, Treatment, Vertical, Web Of Science, Who, Women</w:t>
      </w:r>
    </w:p>
    <w:p w:rsidR="005414E3" w:rsidRDefault="005414E3" w:rsidP="005414E3">
      <w:pPr>
        <w:pStyle w:val="a3"/>
        <w:rPr>
          <w:kern w:val="0"/>
        </w:rPr>
      </w:pPr>
      <w:r>
        <w:rPr>
          <w:rFonts w:hint="eastAsia"/>
          <w:kern w:val="0"/>
        </w:rPr>
        <w:t xml:space="preserve">? </w:t>
      </w:r>
      <w:r>
        <w:rPr>
          <w:kern w:val="0"/>
        </w:rPr>
        <w:t xml:space="preserve">Fox, M.P. and Rosen, S. (2015), Systematic review of retention of pediatric patients on HIV treatment in low and middle-income countries 2008-2013. </w:t>
      </w:r>
      <w:r>
        <w:rPr>
          <w:i/>
          <w:iCs/>
          <w:kern w:val="0"/>
        </w:rPr>
        <w:t>AIDS</w:t>
      </w:r>
      <w:r>
        <w:rPr>
          <w:kern w:val="0"/>
        </w:rPr>
        <w:t xml:space="preserve">, </w:t>
      </w:r>
      <w:r>
        <w:rPr>
          <w:b/>
          <w:bCs/>
          <w:kern w:val="0"/>
        </w:rPr>
        <w:t>29</w:t>
      </w:r>
      <w:r>
        <w:rPr>
          <w:kern w:val="0"/>
        </w:rPr>
        <w:t xml:space="preserve"> (4), </w:t>
      </w:r>
      <w:r>
        <w:rPr>
          <w:kern w:val="0"/>
        </w:rPr>
        <w:lastRenderedPageBreak/>
        <w:t>493-502.</w:t>
      </w:r>
    </w:p>
    <w:p w:rsidR="005414E3" w:rsidRDefault="005414E3" w:rsidP="005414E3">
      <w:pPr>
        <w:pStyle w:val="a3"/>
        <w:rPr>
          <w:kern w:val="0"/>
        </w:rPr>
      </w:pPr>
      <w:r>
        <w:rPr>
          <w:kern w:val="0"/>
        </w:rPr>
        <w:t xml:space="preserve">Full Text: </w:t>
      </w:r>
      <w:r w:rsidRPr="00FF744C">
        <w:rPr>
          <w:kern w:val="0"/>
        </w:rPr>
        <w:t>201</w:t>
      </w:r>
      <w:r>
        <w:rPr>
          <w:rFonts w:hint="eastAsia"/>
          <w:kern w:val="0"/>
        </w:rPr>
        <w:t>5</w:t>
      </w:r>
      <w:r w:rsidRPr="00FF744C">
        <w:rPr>
          <w:kern w:val="0"/>
        </w:rPr>
        <w:t>\AIDS2</w:t>
      </w:r>
      <w:r>
        <w:rPr>
          <w:rFonts w:hint="eastAsia"/>
          <w:kern w:val="0"/>
        </w:rPr>
        <w:t>9</w:t>
      </w:r>
      <w:r w:rsidRPr="00FF744C">
        <w:rPr>
          <w:kern w:val="0"/>
        </w:rPr>
        <w:t xml:space="preserve">, </w:t>
      </w:r>
      <w:r>
        <w:rPr>
          <w:rFonts w:hint="eastAsia"/>
          <w:kern w:val="0"/>
        </w:rPr>
        <w:t>493</w:t>
      </w:r>
      <w:r w:rsidRPr="00FF744C">
        <w:rPr>
          <w:kern w:val="0"/>
        </w:rPr>
        <w:t>.pdf</w:t>
      </w:r>
    </w:p>
    <w:p w:rsidR="005414E3" w:rsidRDefault="005414E3" w:rsidP="005414E3">
      <w:pPr>
        <w:pStyle w:val="a3"/>
        <w:rPr>
          <w:kern w:val="0"/>
        </w:rPr>
      </w:pPr>
      <w:r>
        <w:rPr>
          <w:kern w:val="0"/>
        </w:rPr>
        <w:t>Abstract: Objectives: There are several published systematic reviews of adult retention in care after antiretroviral therapy (ART) initiation among adults, but limited information on pediatric retention. Design: Systematic review of pediatric retention on ART in low and middle-income countries during 2008-2013. Methods: We estimated all-cause attrition (death and loss to follow-up) and retention for pediatric patients receiving first-line ART in routine settings. We searched PubMed, Embase, Cochrane Register, and ISI Web of Science (January 2008-January 2014) and abstracts from AIDS and IAS (2008-2013). We estimated mean retention across cohorts using simple averages; interpolated any time period not reported to, up to the last period reported; summarized total retention in the population using Kaplan-Meier survival curves; and compared pediatric to adult retention. Results: We found 39 reports of retention in 45 patient cohorts and 55 904 patients in 23 countries. Among them, 37% of patients not retained in care were known to have died and 63% were lost to follow-up. Unweighted averages of reported retention were 85, 81, and 81% at 12, 24, and 36 months after ART initiation. From life-table analysis, we estimated retention at 12, 24, and 36 months at 88, 72, and 67%. We estimated 36-month retention at 66% in Africa and 74% in Asia. Conclusion: Pediatric ART retention was similar to that among adults. There were limited data from Asia, only one study from Latin America and the Caribbean, and no data from Eastern Europe, Central Asia, or the Middle East. Copyright (C) 2015 Wolters Kluwer Health, Inc. All rights reserved.</w:t>
      </w:r>
    </w:p>
    <w:p w:rsidR="005414E3" w:rsidRDefault="005414E3" w:rsidP="005414E3">
      <w:pPr>
        <w:pStyle w:val="a3"/>
        <w:rPr>
          <w:kern w:val="0"/>
        </w:rPr>
      </w:pPr>
      <w:r>
        <w:rPr>
          <w:kern w:val="0"/>
        </w:rPr>
        <w:t>Keywords: Abstracts, Adult, Adults, Africa, Aid, Aids, Analysis, Antiretroviral, Antiretroviral Therapy, Antiretroviral Therapy Program, Art, Art Initiation, Asia, Attrition, Care, Central Asia, Cohort, Data, Death, Design, Eastern Europe, Europe, First Line, Follow-Up, From, Health, HIV, HIV-1-Infected Children, Immunological Outcomes, Infected Children, Information, Initiation, ISI, ISI Web Of Science, Latin America, Life Table Analysis, Loss To Follow-Up, Low And Middle-Income Countries, Massachusetts, Meta-Analysis, Methods, Middle East, Mortality, Patient, Patients, Patients Lost, Pediatric, Population, Pubmed, Results, Retention, Retention In Care, Review, Reviews, Rights, Scale-Up, Science, South-Africa, Survival, Systematic, Systematic Review, Systematic Reviews, Therapy, Time Period, Treatment, USA, Web, Web Of Science</w:t>
      </w:r>
    </w:p>
    <w:p w:rsidR="004F3AB1" w:rsidRPr="001A3D2B" w:rsidRDefault="004F3AB1" w:rsidP="004F3AB1">
      <w:pPr>
        <w:pStyle w:val="1"/>
      </w:pPr>
      <w:r w:rsidRPr="001A3D2B">
        <w:br w:type="page"/>
      </w:r>
      <w:bookmarkStart w:id="182" w:name="_Toc420814347"/>
      <w:r w:rsidRPr="001A3D2B">
        <w:lastRenderedPageBreak/>
        <w:t xml:space="preserve">Title: </w:t>
      </w:r>
      <w:r w:rsidRPr="004F3AB1">
        <w:rPr>
          <w:iCs w:val="0"/>
        </w:rPr>
        <w:t>AIDS</w:t>
      </w:r>
      <w:r w:rsidR="005853A9">
        <w:rPr>
          <w:iCs w:val="0"/>
        </w:rPr>
        <w:t xml:space="preserve"> and </w:t>
      </w:r>
      <w:r w:rsidRPr="004F3AB1">
        <w:rPr>
          <w:iCs w:val="0"/>
        </w:rPr>
        <w:t>Behavior</w:t>
      </w:r>
      <w:bookmarkEnd w:id="182"/>
    </w:p>
    <w:p w:rsidR="004F3AB1" w:rsidRPr="001A3D2B" w:rsidRDefault="004F3AB1" w:rsidP="004F3AB1">
      <w:pPr>
        <w:pStyle w:val="12"/>
      </w:pPr>
      <w:r w:rsidRPr="001A3D2B">
        <w:t xml:space="preserve">Full Journal Title: </w:t>
      </w:r>
      <w:r w:rsidRPr="004F3AB1">
        <w:rPr>
          <w:iCs/>
          <w:kern w:val="0"/>
        </w:rPr>
        <w:t>AIDS</w:t>
      </w:r>
      <w:r w:rsidR="005853A9">
        <w:rPr>
          <w:iCs/>
          <w:kern w:val="0"/>
        </w:rPr>
        <w:t xml:space="preserve"> and </w:t>
      </w:r>
      <w:r w:rsidRPr="004F3AB1">
        <w:rPr>
          <w:iCs/>
          <w:kern w:val="0"/>
        </w:rPr>
        <w:t>Behavior</w:t>
      </w:r>
    </w:p>
    <w:p w:rsidR="004F3AB1" w:rsidRPr="001A3D2B" w:rsidRDefault="004F3AB1" w:rsidP="004F3AB1">
      <w:pPr>
        <w:pStyle w:val="12"/>
      </w:pPr>
      <w:r w:rsidRPr="001A3D2B">
        <w:t xml:space="preserve">ISO Abbreviated Title: </w:t>
      </w:r>
    </w:p>
    <w:p w:rsidR="004F3AB1" w:rsidRPr="001A3D2B" w:rsidRDefault="004F3AB1" w:rsidP="004F3AB1">
      <w:pPr>
        <w:pStyle w:val="12"/>
      </w:pPr>
      <w:r w:rsidRPr="001A3D2B">
        <w:t xml:space="preserve">JCR Abbreviated Title: </w:t>
      </w:r>
    </w:p>
    <w:p w:rsidR="004F3AB1" w:rsidRPr="001A3D2B" w:rsidRDefault="004F3AB1" w:rsidP="004F3AB1">
      <w:pPr>
        <w:pStyle w:val="12"/>
      </w:pPr>
      <w:r w:rsidRPr="001A3D2B">
        <w:t xml:space="preserve">ISSN: </w:t>
      </w:r>
    </w:p>
    <w:p w:rsidR="004F3AB1" w:rsidRPr="001A3D2B" w:rsidRDefault="004F3AB1" w:rsidP="004F3AB1">
      <w:pPr>
        <w:pStyle w:val="12"/>
      </w:pPr>
      <w:r w:rsidRPr="001A3D2B">
        <w:t xml:space="preserve">Issues/Year: </w:t>
      </w:r>
    </w:p>
    <w:p w:rsidR="004F3AB1" w:rsidRPr="001A3D2B" w:rsidRDefault="004F3AB1" w:rsidP="004F3AB1">
      <w:pPr>
        <w:pStyle w:val="12"/>
      </w:pPr>
      <w:r w:rsidRPr="001A3D2B">
        <w:t xml:space="preserve">Journal Country/Territory: </w:t>
      </w:r>
    </w:p>
    <w:p w:rsidR="004F3AB1" w:rsidRPr="001A3D2B" w:rsidRDefault="004F3AB1" w:rsidP="004F3AB1">
      <w:pPr>
        <w:pStyle w:val="12"/>
      </w:pPr>
      <w:r w:rsidRPr="001A3D2B">
        <w:t xml:space="preserve">Language: </w:t>
      </w:r>
    </w:p>
    <w:p w:rsidR="004F3AB1" w:rsidRPr="001A3D2B" w:rsidRDefault="004F3AB1" w:rsidP="004F3AB1">
      <w:pPr>
        <w:pStyle w:val="12"/>
      </w:pPr>
      <w:r w:rsidRPr="001A3D2B">
        <w:t xml:space="preserve">Publisher: </w:t>
      </w:r>
    </w:p>
    <w:p w:rsidR="004F3AB1" w:rsidRPr="001A3D2B" w:rsidRDefault="004F3AB1" w:rsidP="004F3AB1">
      <w:pPr>
        <w:pStyle w:val="12"/>
      </w:pPr>
      <w:r w:rsidRPr="001A3D2B">
        <w:t xml:space="preserve">Publisher Address: </w:t>
      </w:r>
    </w:p>
    <w:p w:rsidR="004F3AB1" w:rsidRPr="001A3D2B" w:rsidRDefault="004F3AB1" w:rsidP="004F3AB1">
      <w:pPr>
        <w:pStyle w:val="12"/>
      </w:pPr>
      <w:r w:rsidRPr="001A3D2B">
        <w:t xml:space="preserve">Subject Categories: </w:t>
      </w:r>
    </w:p>
    <w:p w:rsidR="004F3AB1" w:rsidRPr="001A3D2B" w:rsidRDefault="004F3AB1" w:rsidP="004F3AB1">
      <w:pPr>
        <w:pStyle w:val="12"/>
      </w:pPr>
      <w:r w:rsidRPr="001A3D2B">
        <w:t>: Impact Factor</w:t>
      </w:r>
    </w:p>
    <w:p w:rsidR="004F3AB1" w:rsidRDefault="004F3AB1" w:rsidP="004F3AB1">
      <w:pPr>
        <w:pStyle w:val="a3"/>
        <w:rPr>
          <w:kern w:val="0"/>
        </w:rPr>
      </w:pPr>
      <w:r>
        <w:rPr>
          <w:rFonts w:hint="eastAsia"/>
          <w:kern w:val="0"/>
        </w:rPr>
        <w:t xml:space="preserve">? </w:t>
      </w:r>
      <w:r>
        <w:rPr>
          <w:kern w:val="0"/>
        </w:rPr>
        <w:t>Mccoy, S.I., Kangwende, R.A.</w:t>
      </w:r>
      <w:r w:rsidR="005853A9">
        <w:rPr>
          <w:kern w:val="0"/>
        </w:rPr>
        <w:t xml:space="preserve"> and </w:t>
      </w:r>
      <w:r>
        <w:rPr>
          <w:kern w:val="0"/>
        </w:rPr>
        <w:t>Padian, N.S. (2010), Behavior change interventions to prevent HIV infection among women living in low</w:t>
      </w:r>
      <w:r w:rsidR="005853A9">
        <w:rPr>
          <w:kern w:val="0"/>
        </w:rPr>
        <w:t xml:space="preserve"> and </w:t>
      </w:r>
      <w:r>
        <w:rPr>
          <w:kern w:val="0"/>
        </w:rPr>
        <w:t xml:space="preserve">middle income countries: A systematic review. </w:t>
      </w:r>
      <w:r w:rsidRPr="004F3AB1">
        <w:rPr>
          <w:i/>
          <w:iCs/>
          <w:kern w:val="0"/>
        </w:rPr>
        <w:t>AIDS</w:t>
      </w:r>
      <w:r w:rsidR="005853A9">
        <w:rPr>
          <w:i/>
          <w:iCs/>
          <w:kern w:val="0"/>
        </w:rPr>
        <w:t xml:space="preserve"> and </w:t>
      </w:r>
      <w:r w:rsidRPr="004F3AB1">
        <w:rPr>
          <w:i/>
          <w:iCs/>
          <w:kern w:val="0"/>
        </w:rPr>
        <w:t>Behavior</w:t>
      </w:r>
      <w:r>
        <w:rPr>
          <w:kern w:val="0"/>
        </w:rPr>
        <w:t xml:space="preserve">, </w:t>
      </w:r>
      <w:r>
        <w:rPr>
          <w:b/>
          <w:bCs/>
          <w:kern w:val="0"/>
        </w:rPr>
        <w:t>14</w:t>
      </w:r>
      <w:r>
        <w:rPr>
          <w:kern w:val="0"/>
        </w:rPr>
        <w:t xml:space="preserve"> (3), 469-482.</w:t>
      </w:r>
    </w:p>
    <w:p w:rsidR="004F3AB1" w:rsidRDefault="004F3AB1" w:rsidP="004F3AB1">
      <w:pPr>
        <w:pStyle w:val="a3"/>
        <w:rPr>
          <w:kern w:val="0"/>
        </w:rPr>
      </w:pPr>
      <w:r>
        <w:rPr>
          <w:kern w:val="0"/>
        </w:rPr>
        <w:t>Abstract: We conducted a systematic review</w:t>
      </w:r>
      <w:r w:rsidR="00427468">
        <w:rPr>
          <w:kern w:val="0"/>
        </w:rPr>
        <w:t xml:space="preserve"> of </w:t>
      </w:r>
      <w:r>
        <w:rPr>
          <w:kern w:val="0"/>
        </w:rPr>
        <w:t>behavioral change interventions to prevent</w:t>
      </w:r>
      <w:r w:rsidR="003A1917">
        <w:rPr>
          <w:kern w:val="0"/>
        </w:rPr>
        <w:t xml:space="preserve"> the </w:t>
      </w:r>
      <w:r>
        <w:rPr>
          <w:kern w:val="0"/>
        </w:rPr>
        <w:t>sexual transmission</w:t>
      </w:r>
      <w:r w:rsidR="00427468">
        <w:rPr>
          <w:kern w:val="0"/>
        </w:rPr>
        <w:t xml:space="preserve"> of </w:t>
      </w:r>
      <w:r>
        <w:rPr>
          <w:kern w:val="0"/>
        </w:rPr>
        <w:t>HIV among women</w:t>
      </w:r>
      <w:r w:rsidR="005853A9">
        <w:rPr>
          <w:kern w:val="0"/>
        </w:rPr>
        <w:t xml:space="preserve"> and </w:t>
      </w:r>
      <w:r>
        <w:rPr>
          <w:kern w:val="0"/>
        </w:rPr>
        <w:t>girls living in low-</w:t>
      </w:r>
      <w:r w:rsidR="005853A9">
        <w:rPr>
          <w:kern w:val="0"/>
        </w:rPr>
        <w:t xml:space="preserve"> and </w:t>
      </w:r>
      <w:r>
        <w:rPr>
          <w:kern w:val="0"/>
        </w:rPr>
        <w:t xml:space="preserve">middle-income countries. </w:t>
      </w:r>
      <w:r w:rsidR="002C12F0">
        <w:rPr>
          <w:kern w:val="0"/>
        </w:rPr>
        <w:t>PUBMED</w:t>
      </w:r>
      <w:r>
        <w:rPr>
          <w:kern w:val="0"/>
        </w:rPr>
        <w:t>/</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w:t>
      </w:r>
      <w:r w:rsidR="005853A9">
        <w:rPr>
          <w:kern w:val="0"/>
        </w:rPr>
        <w:t xml:space="preserve"> and </w:t>
      </w:r>
      <w:r>
        <w:rPr>
          <w:kern w:val="0"/>
        </w:rPr>
        <w:t>other databases</w:t>
      </w:r>
      <w:r w:rsidR="005853A9">
        <w:rPr>
          <w:kern w:val="0"/>
        </w:rPr>
        <w:t xml:space="preserve"> and </w:t>
      </w:r>
      <w:r>
        <w:rPr>
          <w:kern w:val="0"/>
        </w:rPr>
        <w:t>bibliographies were systematically searched for trials using randomized or quasi-experimental designs to evaluate behavioral interventions with HIV infection as an outcome. We identified 11 analyses for inclusion reporting on eight unique interventions. Interventions varied widely in intensity, duration,</w:t>
      </w:r>
      <w:r w:rsidR="005853A9">
        <w:rPr>
          <w:kern w:val="0"/>
        </w:rPr>
        <w:t xml:space="preserve"> and </w:t>
      </w:r>
      <w:r>
        <w:rPr>
          <w:kern w:val="0"/>
        </w:rPr>
        <w:t>delivery as well as by target population. Only two analyses showed a significant protective effect on HIV incidence among women</w:t>
      </w:r>
      <w:r w:rsidR="005853A9">
        <w:rPr>
          <w:kern w:val="0"/>
        </w:rPr>
        <w:t xml:space="preserve"> and </w:t>
      </w:r>
      <w:r>
        <w:rPr>
          <w:kern w:val="0"/>
        </w:rPr>
        <w:t>only three</w:t>
      </w:r>
      <w:r w:rsidR="00427468">
        <w:rPr>
          <w:kern w:val="0"/>
        </w:rPr>
        <w:t xml:space="preserve"> of </w:t>
      </w:r>
      <w:r>
        <w:rPr>
          <w:kern w:val="0"/>
        </w:rPr>
        <w:t>ten analyses that measured behavioral outcomes reduced any measure</w:t>
      </w:r>
      <w:r w:rsidR="00427468">
        <w:rPr>
          <w:kern w:val="0"/>
        </w:rPr>
        <w:t xml:space="preserve"> of </w:t>
      </w:r>
      <w:r>
        <w:rPr>
          <w:kern w:val="0"/>
        </w:rPr>
        <w:t>HIV-related risk behavior. Ongoing research is needed to determine whether behavior change interventions can be incorporated as independent efficacious components in HIV prevention packages for women or simply as complements to biomedical prevention strategies.</w:t>
      </w:r>
    </w:p>
    <w:p w:rsidR="004F3AB1" w:rsidRDefault="004F3AB1" w:rsidP="004F3AB1">
      <w:pPr>
        <w:pStyle w:val="a3"/>
        <w:rPr>
          <w:kern w:val="0"/>
        </w:rPr>
      </w:pPr>
      <w:r>
        <w:rPr>
          <w:kern w:val="0"/>
        </w:rPr>
        <w:t>Keywords: Behavioral Interventions, Biomedical, Cochrane, Condom Use, Databases, Health Intervention, HIV, HIV, AIDS Prevention, Infection, Interventions, Low-</w:t>
      </w:r>
      <w:r w:rsidR="005853A9">
        <w:rPr>
          <w:kern w:val="0"/>
        </w:rPr>
        <w:t xml:space="preserve"> and </w:t>
      </w:r>
      <w:r>
        <w:rPr>
          <w:kern w:val="0"/>
        </w:rPr>
        <w:t xml:space="preserve">Middle-Income Countries, Outcome, Outcomes, Prevention, Randomized-Controlled-Trial, Research, Review, Risk, Risk Behavior, Rural South-Africa, Science, Sex Workers, Sexually-Transmitted-Diseases, Stepping Stones, Systematic, Systematic Review, Transmission Dynamics, United-States, </w:t>
      </w:r>
      <w:r w:rsidR="00D5664A">
        <w:rPr>
          <w:kern w:val="0"/>
        </w:rPr>
        <w:t>Web</w:t>
      </w:r>
      <w:r w:rsidR="00427468">
        <w:rPr>
          <w:kern w:val="0"/>
        </w:rPr>
        <w:t xml:space="preserve"> of </w:t>
      </w:r>
      <w:r w:rsidR="00D5664A">
        <w:rPr>
          <w:kern w:val="0"/>
        </w:rPr>
        <w:t>Science</w:t>
      </w:r>
      <w:r>
        <w:rPr>
          <w:kern w:val="0"/>
        </w:rPr>
        <w:t>, Women</w:t>
      </w:r>
    </w:p>
    <w:p w:rsidR="004F3AB1" w:rsidRPr="00F219CA" w:rsidRDefault="004F3AB1" w:rsidP="004F3AB1">
      <w:pPr>
        <w:pStyle w:val="1"/>
      </w:pPr>
      <w:r w:rsidRPr="00F219CA">
        <w:br w:type="page"/>
      </w:r>
      <w:bookmarkStart w:id="183" w:name="_Toc302201158"/>
      <w:bookmarkStart w:id="184" w:name="_Toc420814348"/>
      <w:r w:rsidRPr="00F219CA">
        <w:lastRenderedPageBreak/>
        <w:t>Title: AIDS Care-Psychological</w:t>
      </w:r>
      <w:r w:rsidR="005853A9">
        <w:t xml:space="preserve"> and </w:t>
      </w:r>
      <w:r w:rsidRPr="00F219CA">
        <w:t>Socio-Medical Aspects</w:t>
      </w:r>
      <w:r w:rsidR="00427468">
        <w:t xml:space="preserve"> of </w:t>
      </w:r>
      <w:r w:rsidRPr="00F219CA">
        <w:t>AIDS/HIV</w:t>
      </w:r>
      <w:bookmarkEnd w:id="183"/>
      <w:bookmarkEnd w:id="184"/>
    </w:p>
    <w:p w:rsidR="004F3AB1" w:rsidRPr="00F219CA" w:rsidRDefault="004F3AB1" w:rsidP="004F3AB1">
      <w:pPr>
        <w:pStyle w:val="12"/>
      </w:pPr>
      <w:r w:rsidRPr="00F219CA">
        <w:t>Full Journal Title: AIDS Care-Psychological</w:t>
      </w:r>
      <w:r w:rsidR="005853A9">
        <w:t xml:space="preserve"> and </w:t>
      </w:r>
      <w:r w:rsidRPr="00F219CA">
        <w:t>Socio-Medical Aspects</w:t>
      </w:r>
      <w:r w:rsidR="00427468">
        <w:t xml:space="preserve"> of </w:t>
      </w:r>
      <w:r w:rsidRPr="00F219CA">
        <w:t>AIDS/HIV</w:t>
      </w:r>
    </w:p>
    <w:p w:rsidR="004F3AB1" w:rsidRPr="00F219CA" w:rsidRDefault="004F3AB1" w:rsidP="004F3AB1">
      <w:pPr>
        <w:pStyle w:val="12"/>
      </w:pPr>
      <w:r w:rsidRPr="00F219CA">
        <w:t>ISO Abbreviated Title: AIDS Care-Psychol. Socio-Med. Asp. AIDS/HIV</w:t>
      </w:r>
    </w:p>
    <w:p w:rsidR="004F3AB1" w:rsidRPr="00F219CA" w:rsidRDefault="004F3AB1" w:rsidP="004F3AB1">
      <w:pPr>
        <w:pStyle w:val="12"/>
      </w:pPr>
      <w:r w:rsidRPr="00F219CA">
        <w:t>JCR Abbreviated Title: AIDS Care</w:t>
      </w:r>
    </w:p>
    <w:p w:rsidR="004F3AB1" w:rsidRPr="00F219CA" w:rsidRDefault="004F3AB1" w:rsidP="004F3AB1">
      <w:pPr>
        <w:pStyle w:val="12"/>
      </w:pPr>
      <w:r w:rsidRPr="00F219CA">
        <w:t>ISSN: 0954-0121</w:t>
      </w:r>
    </w:p>
    <w:p w:rsidR="004F3AB1" w:rsidRPr="00F219CA" w:rsidRDefault="004F3AB1" w:rsidP="004F3AB1">
      <w:pPr>
        <w:pStyle w:val="12"/>
      </w:pPr>
      <w:r w:rsidRPr="00F219CA">
        <w:t>Issues/Year: 6</w:t>
      </w:r>
    </w:p>
    <w:p w:rsidR="004F3AB1" w:rsidRPr="00F219CA" w:rsidRDefault="004F3AB1" w:rsidP="004F3AB1">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4F3AB1" w:rsidRPr="00F219CA" w:rsidRDefault="004F3AB1" w:rsidP="004F3AB1">
      <w:pPr>
        <w:pStyle w:val="12"/>
      </w:pPr>
      <w:r w:rsidRPr="00F219CA">
        <w:t>Language: English</w:t>
      </w:r>
    </w:p>
    <w:p w:rsidR="004F3AB1" w:rsidRPr="00F219CA" w:rsidRDefault="004F3AB1" w:rsidP="004F3AB1">
      <w:pPr>
        <w:pStyle w:val="12"/>
      </w:pPr>
      <w:r w:rsidRPr="00F219CA">
        <w:t>Publisher: Carfax Publishing</w:t>
      </w:r>
    </w:p>
    <w:p w:rsidR="004F3AB1" w:rsidRPr="00F219CA" w:rsidRDefault="004F3AB1" w:rsidP="004F3AB1">
      <w:pPr>
        <w:pStyle w:val="12"/>
      </w:pPr>
      <w:r w:rsidRPr="00F219CA">
        <w:t>Publisher Address: Rankine Rd, Basingstoke RG24 8PR, Hants, England</w:t>
      </w:r>
    </w:p>
    <w:p w:rsidR="004F3AB1" w:rsidRPr="00F219CA" w:rsidRDefault="004F3AB1" w:rsidP="004F3AB1">
      <w:pPr>
        <w:pStyle w:val="12"/>
      </w:pPr>
      <w:r w:rsidRPr="00F219CA">
        <w:t xml:space="preserve">Subject Categories: </w:t>
      </w:r>
    </w:p>
    <w:p w:rsidR="004F3AB1" w:rsidRPr="00F219CA" w:rsidRDefault="004F3AB1" w:rsidP="004F3AB1">
      <w:pPr>
        <w:pStyle w:val="12"/>
      </w:pPr>
      <w:r w:rsidRPr="00F219CA">
        <w:t>Health Policy &amp; Services: Impact Factor 0.942, / (2000); Impact Factor 1.123, 14/68 (2001)</w:t>
      </w:r>
    </w:p>
    <w:p w:rsidR="004F3AB1" w:rsidRPr="00F219CA" w:rsidRDefault="004F3AB1" w:rsidP="004F3AB1">
      <w:pPr>
        <w:pStyle w:val="12"/>
      </w:pPr>
      <w:r w:rsidRPr="00F219CA">
        <w:t>Public, Environmental &amp; Occupational Health: Impact Factor 0.942, / (2000); Impact Factor 1.123, 13/68 (2001)</w:t>
      </w:r>
    </w:p>
    <w:p w:rsidR="004F3AB1" w:rsidRPr="00F219CA" w:rsidRDefault="004F3AB1" w:rsidP="004F3AB1">
      <w:pPr>
        <w:pStyle w:val="12"/>
      </w:pPr>
      <w:r w:rsidRPr="00F219CA">
        <w:t>Psychology, Multidisciplinary: Impact Factor 0.942, / (2000); Impact Factor 1.123, 28/68 (2001)</w:t>
      </w:r>
    </w:p>
    <w:p w:rsidR="004F3AB1" w:rsidRPr="00F219CA" w:rsidRDefault="004F3AB1" w:rsidP="004F3AB1">
      <w:pPr>
        <w:pStyle w:val="12"/>
      </w:pPr>
      <w:r w:rsidRPr="00F219CA">
        <w:t>Social Sciences, Biomedical: Impact Factor 0.942, / (2000); Impact Factor 1.123, 7/68 (2001)</w:t>
      </w:r>
    </w:p>
    <w:p w:rsidR="004F3AB1" w:rsidRDefault="004F3AB1" w:rsidP="004F3AB1">
      <w:pPr>
        <w:pStyle w:val="a3"/>
        <w:rPr>
          <w:kern w:val="0"/>
        </w:rPr>
      </w:pPr>
      <w:r>
        <w:rPr>
          <w:rFonts w:hint="eastAsia"/>
          <w:kern w:val="0"/>
        </w:rPr>
        <w:t xml:space="preserve">? </w:t>
      </w:r>
      <w:r>
        <w:rPr>
          <w:kern w:val="0"/>
        </w:rPr>
        <w:t>Frankis, J.</w:t>
      </w:r>
      <w:r w:rsidR="005853A9">
        <w:rPr>
          <w:kern w:val="0"/>
        </w:rPr>
        <w:t xml:space="preserve"> and </w:t>
      </w:r>
      <w:r>
        <w:rPr>
          <w:kern w:val="0"/>
        </w:rPr>
        <w:t>Flowers, P. (2005), Men who have sex with men (MSM) in public sex environments (PSEs): A systematic review</w:t>
      </w:r>
      <w:r w:rsidR="00427468">
        <w:rPr>
          <w:kern w:val="0"/>
        </w:rPr>
        <w:t xml:space="preserve"> of </w:t>
      </w:r>
      <w:r>
        <w:rPr>
          <w:kern w:val="0"/>
        </w:rPr>
        <w:t xml:space="preserve">quantitative literature. </w:t>
      </w:r>
      <w:r>
        <w:rPr>
          <w:i/>
          <w:iCs/>
          <w:kern w:val="0"/>
        </w:rPr>
        <w:t>AIDS Care-Psychological</w:t>
      </w:r>
      <w:r w:rsidR="005853A9">
        <w:rPr>
          <w:i/>
          <w:iCs/>
          <w:kern w:val="0"/>
        </w:rPr>
        <w:t xml:space="preserve"> and </w:t>
      </w:r>
      <w:r>
        <w:rPr>
          <w:i/>
          <w:iCs/>
          <w:kern w:val="0"/>
        </w:rPr>
        <w:t>Socio-Medical Aspects</w:t>
      </w:r>
      <w:r w:rsidR="00427468">
        <w:rPr>
          <w:i/>
          <w:iCs/>
          <w:kern w:val="0"/>
        </w:rPr>
        <w:t xml:space="preserve"> of </w:t>
      </w:r>
      <w:r>
        <w:rPr>
          <w:i/>
          <w:iCs/>
          <w:kern w:val="0"/>
        </w:rPr>
        <w:t>AIDS/HIV</w:t>
      </w:r>
      <w:r>
        <w:rPr>
          <w:kern w:val="0"/>
        </w:rPr>
        <w:t xml:space="preserve">, </w:t>
      </w:r>
      <w:r>
        <w:rPr>
          <w:b/>
          <w:bCs/>
          <w:kern w:val="0"/>
        </w:rPr>
        <w:t>17</w:t>
      </w:r>
      <w:r>
        <w:rPr>
          <w:kern w:val="0"/>
        </w:rPr>
        <w:t xml:space="preserve"> (3), 273-288.</w:t>
      </w:r>
    </w:p>
    <w:p w:rsidR="004F3AB1" w:rsidRPr="00F219CA" w:rsidRDefault="004F3AB1" w:rsidP="004F3AB1">
      <w:pPr>
        <w:pStyle w:val="a3"/>
      </w:pPr>
      <w:r w:rsidRPr="00F219CA">
        <w:t xml:space="preserve">Full Text: </w:t>
      </w:r>
      <w:hyperlink r:id="rId338" w:history="1">
        <w:r w:rsidRPr="004F3AB1">
          <w:rPr>
            <w:rStyle w:val="a5"/>
          </w:rPr>
          <w:t>2005\AIDS Care17, 273.pdf</w:t>
        </w:r>
      </w:hyperlink>
    </w:p>
    <w:p w:rsidR="004F3AB1" w:rsidRDefault="004F3AB1" w:rsidP="004F3AB1">
      <w:pPr>
        <w:pStyle w:val="a3"/>
        <w:rPr>
          <w:kern w:val="0"/>
        </w:rPr>
      </w:pPr>
      <w:r>
        <w:rPr>
          <w:kern w:val="0"/>
        </w:rPr>
        <w:t>Abstract: We systematically review quantitative research relating to</w:t>
      </w:r>
      <w:r w:rsidR="003A1917">
        <w:rPr>
          <w:kern w:val="0"/>
        </w:rPr>
        <w:t xml:space="preserve"> the </w:t>
      </w:r>
      <w:r>
        <w:rPr>
          <w:kern w:val="0"/>
        </w:rPr>
        <w:t>sexual behaviours</w:t>
      </w:r>
      <w:r w:rsidR="00427468">
        <w:rPr>
          <w:kern w:val="0"/>
        </w:rPr>
        <w:t xml:space="preserve"> of </w:t>
      </w:r>
      <w:r>
        <w:rPr>
          <w:kern w:val="0"/>
        </w:rPr>
        <w:t>MSM in PSEs. We examine</w:t>
      </w:r>
      <w:r w:rsidR="003A1917">
        <w:rPr>
          <w:kern w:val="0"/>
        </w:rPr>
        <w:t xml:space="preserve"> the </w:t>
      </w:r>
      <w:r>
        <w:rPr>
          <w:kern w:val="0"/>
        </w:rPr>
        <w:t>methodological rigour</w:t>
      </w:r>
      <w:r w:rsidR="00427468">
        <w:rPr>
          <w:kern w:val="0"/>
        </w:rPr>
        <w:t xml:space="preserve"> of </w:t>
      </w:r>
      <w:r>
        <w:rPr>
          <w:kern w:val="0"/>
        </w:rPr>
        <w:t>these studies to determine an appropriate framework for future PSE-based research</w:t>
      </w:r>
      <w:r w:rsidR="005853A9">
        <w:rPr>
          <w:kern w:val="0"/>
        </w:rPr>
        <w:t xml:space="preserve"> and </w:t>
      </w:r>
      <w:r>
        <w:rPr>
          <w:kern w:val="0"/>
        </w:rPr>
        <w:t xml:space="preserve">quantify sexual behavioural trends therein. </w:t>
      </w:r>
      <w:r w:rsidR="00D5664A">
        <w:rPr>
          <w:kern w:val="0"/>
        </w:rPr>
        <w:t>MEDLINE</w:t>
      </w:r>
      <w:r>
        <w:rPr>
          <w:kern w:val="0"/>
        </w:rPr>
        <w:t xml:space="preserve">, BIDS,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recent HIV/AIDS conferences were searched according to a systematic inclusion criteria. Nine papers were included for review. Recruitment</w:t>
      </w:r>
      <w:r w:rsidR="00427468">
        <w:rPr>
          <w:kern w:val="0"/>
        </w:rPr>
        <w:t xml:space="preserve"> of </w:t>
      </w:r>
      <w:r>
        <w:rPr>
          <w:kern w:val="0"/>
        </w:rPr>
        <w:t>participants</w:t>
      </w:r>
      <w:r w:rsidR="00700038">
        <w:rPr>
          <w:kern w:val="0"/>
        </w:rPr>
        <w:t>’</w:t>
      </w:r>
      <w:r>
        <w:rPr>
          <w:kern w:val="0"/>
        </w:rPr>
        <w:t xml:space="preserve"> outwith PSE settings,</w:t>
      </w:r>
      <w:r w:rsidR="005853A9">
        <w:rPr>
          <w:kern w:val="0"/>
        </w:rPr>
        <w:t xml:space="preserve"> and </w:t>
      </w:r>
      <w:r>
        <w:rPr>
          <w:kern w:val="0"/>
        </w:rPr>
        <w:t>low response rates (6%)</w:t>
      </w:r>
      <w:r w:rsidR="00427468">
        <w:rPr>
          <w:kern w:val="0"/>
        </w:rPr>
        <w:t xml:space="preserve"> of </w:t>
      </w:r>
      <w:r>
        <w:rPr>
          <w:kern w:val="0"/>
        </w:rPr>
        <w:t>participants contacted in situ, question</w:t>
      </w:r>
      <w:r w:rsidR="003A1917">
        <w:rPr>
          <w:kern w:val="0"/>
        </w:rPr>
        <w:t xml:space="preserve"> the </w:t>
      </w:r>
      <w:r>
        <w:rPr>
          <w:kern w:val="0"/>
        </w:rPr>
        <w:t>validity</w:t>
      </w:r>
      <w:r w:rsidR="005853A9">
        <w:rPr>
          <w:kern w:val="0"/>
        </w:rPr>
        <w:t xml:space="preserve"> and </w:t>
      </w:r>
      <w:r>
        <w:rPr>
          <w:kern w:val="0"/>
        </w:rPr>
        <w:t>generalizability</w:t>
      </w:r>
      <w:r w:rsidR="00427468">
        <w:rPr>
          <w:kern w:val="0"/>
        </w:rPr>
        <w:t xml:space="preserve"> of </w:t>
      </w:r>
      <w:r>
        <w:rPr>
          <w:kern w:val="0"/>
        </w:rPr>
        <w:t>current evidence. Most PSE users were gay or bisexually identified</w:t>
      </w:r>
      <w:r w:rsidR="005853A9">
        <w:rPr>
          <w:kern w:val="0"/>
        </w:rPr>
        <w:t xml:space="preserve"> and </w:t>
      </w:r>
      <w:r>
        <w:rPr>
          <w:kern w:val="0"/>
        </w:rPr>
        <w:t>half</w:t>
      </w:r>
      <w:r w:rsidR="00427468">
        <w:rPr>
          <w:kern w:val="0"/>
        </w:rPr>
        <w:t xml:space="preserve"> of </w:t>
      </w:r>
      <w:r>
        <w:rPr>
          <w:kern w:val="0"/>
        </w:rPr>
        <w:t>men in</w:t>
      </w:r>
      <w:r w:rsidR="003A1917">
        <w:rPr>
          <w:kern w:val="0"/>
        </w:rPr>
        <w:t xml:space="preserve"> the </w:t>
      </w:r>
      <w:r>
        <w:rPr>
          <w:kern w:val="0"/>
        </w:rPr>
        <w:t>gay community reported recent PSE use. Around 10%</w:t>
      </w:r>
      <w:r w:rsidR="00427468">
        <w:rPr>
          <w:kern w:val="0"/>
        </w:rPr>
        <w:t xml:space="preserve"> of </w:t>
      </w:r>
      <w:r>
        <w:rPr>
          <w:kern w:val="0"/>
        </w:rPr>
        <w:t>men reported casual status-unknown/serodiscordant unprotected anal intercourse (UAI) within PSEs. HIV testing rates amongst PSE users were similar to</w:t>
      </w:r>
      <w:r w:rsidR="003A1917">
        <w:rPr>
          <w:kern w:val="0"/>
        </w:rPr>
        <w:t xml:space="preserve"> the </w:t>
      </w:r>
      <w:r>
        <w:rPr>
          <w:kern w:val="0"/>
        </w:rPr>
        <w:t>wider gay community, though</w:t>
      </w:r>
      <w:r w:rsidR="003A1917">
        <w:rPr>
          <w:kern w:val="0"/>
        </w:rPr>
        <w:t xml:space="preserve"> the </w:t>
      </w:r>
      <w:r>
        <w:rPr>
          <w:kern w:val="0"/>
        </w:rPr>
        <w:t>proportion</w:t>
      </w:r>
      <w:r w:rsidR="00427468">
        <w:rPr>
          <w:kern w:val="0"/>
        </w:rPr>
        <w:t xml:space="preserve"> of </w:t>
      </w:r>
      <w:r>
        <w:rPr>
          <w:kern w:val="0"/>
        </w:rPr>
        <w:t>men who tested positive was twice as high. Rates</w:t>
      </w:r>
      <w:r w:rsidR="00427468">
        <w:rPr>
          <w:kern w:val="0"/>
        </w:rPr>
        <w:t xml:space="preserve"> of </w:t>
      </w:r>
      <w:r>
        <w:rPr>
          <w:kern w:val="0"/>
        </w:rPr>
        <w:t xml:space="preserve">casual UAI suggest that PSEs represent important sites for </w:t>
      </w:r>
      <w:r>
        <w:rPr>
          <w:kern w:val="0"/>
        </w:rPr>
        <w:lastRenderedPageBreak/>
        <w:t>HIV prevention. However, since extant evidence is scant</w:t>
      </w:r>
      <w:r w:rsidR="005853A9">
        <w:rPr>
          <w:kern w:val="0"/>
        </w:rPr>
        <w:t xml:space="preserve"> and </w:t>
      </w:r>
      <w:r>
        <w:rPr>
          <w:kern w:val="0"/>
        </w:rPr>
        <w:t>methodologically flawed, further research is urgent. Such work must recruit participants in situ,</w:t>
      </w:r>
      <w:r w:rsidR="005853A9">
        <w:rPr>
          <w:kern w:val="0"/>
        </w:rPr>
        <w:t xml:space="preserve"> and </w:t>
      </w:r>
      <w:r>
        <w:rPr>
          <w:kern w:val="0"/>
        </w:rPr>
        <w:t>obtain satisfactory response rates, to be generalizable to</w:t>
      </w:r>
      <w:r w:rsidR="003A1917">
        <w:rPr>
          <w:kern w:val="0"/>
        </w:rPr>
        <w:t xml:space="preserve"> the </w:t>
      </w:r>
      <w:r>
        <w:rPr>
          <w:kern w:val="0"/>
        </w:rPr>
        <w:t>wider population</w:t>
      </w:r>
      <w:r w:rsidR="00427468">
        <w:rPr>
          <w:kern w:val="0"/>
        </w:rPr>
        <w:t xml:space="preserve"> of </w:t>
      </w:r>
      <w:r>
        <w:rPr>
          <w:kern w:val="0"/>
        </w:rPr>
        <w:t>men who cruise.</w:t>
      </w:r>
    </w:p>
    <w:p w:rsidR="004F3AB1" w:rsidRDefault="004F3AB1" w:rsidP="004F3AB1">
      <w:pPr>
        <w:pStyle w:val="a3"/>
        <w:rPr>
          <w:kern w:val="0"/>
        </w:rPr>
      </w:pPr>
      <w:r>
        <w:rPr>
          <w:kern w:val="0"/>
        </w:rPr>
        <w:t xml:space="preserve">Keywords: Anonymous Sex, Behavior, Bisexual Men, Gay Men, Hepatitis-A, Highway Rest Area, HIV, HIV Risk, HIV, AIDS, Homosexually Active Men, Literature, Papers, Prevention, Quantitative, Quantitative Research, Research, Review, San-Francisco, Science, Syphilis, Systematic, Systematic Review, Trends, Validity, </w:t>
      </w:r>
      <w:r w:rsidR="00D5664A">
        <w:rPr>
          <w:kern w:val="0"/>
        </w:rPr>
        <w:t>Web</w:t>
      </w:r>
      <w:r w:rsidR="00427468">
        <w:rPr>
          <w:kern w:val="0"/>
        </w:rPr>
        <w:t xml:space="preserve"> of </w:t>
      </w:r>
      <w:r w:rsidR="00D5664A">
        <w:rPr>
          <w:kern w:val="0"/>
        </w:rPr>
        <w:t>Science</w:t>
      </w:r>
    </w:p>
    <w:p w:rsidR="004F3AB1" w:rsidRDefault="004F3AB1" w:rsidP="004F3AB1">
      <w:pPr>
        <w:pStyle w:val="a3"/>
        <w:rPr>
          <w:kern w:val="0"/>
        </w:rPr>
      </w:pPr>
      <w:r>
        <w:rPr>
          <w:rFonts w:hint="eastAsia"/>
          <w:kern w:val="0"/>
        </w:rPr>
        <w:t xml:space="preserve">? </w:t>
      </w:r>
      <w:r>
        <w:rPr>
          <w:kern w:val="0"/>
        </w:rPr>
        <w:t>Wright, N.M.J.</w:t>
      </w:r>
      <w:r w:rsidR="005853A9">
        <w:rPr>
          <w:kern w:val="0"/>
        </w:rPr>
        <w:t xml:space="preserve"> and </w:t>
      </w:r>
      <w:r>
        <w:rPr>
          <w:kern w:val="0"/>
        </w:rPr>
        <w:t>Walker, J. (2006), Homelessness</w:t>
      </w:r>
      <w:r w:rsidR="005853A9">
        <w:rPr>
          <w:kern w:val="0"/>
        </w:rPr>
        <w:t xml:space="preserve"> and </w:t>
      </w:r>
      <w:r>
        <w:rPr>
          <w:kern w:val="0"/>
        </w:rPr>
        <w:t>drug use - A narrative systematic review</w:t>
      </w:r>
      <w:r w:rsidR="00427468">
        <w:rPr>
          <w:kern w:val="0"/>
        </w:rPr>
        <w:t xml:space="preserve"> of </w:t>
      </w:r>
      <w:r>
        <w:rPr>
          <w:kern w:val="0"/>
        </w:rPr>
        <w:t xml:space="preserve">interventions to promote sexual health. </w:t>
      </w:r>
      <w:r>
        <w:rPr>
          <w:i/>
          <w:iCs/>
          <w:kern w:val="0"/>
        </w:rPr>
        <w:t>AIDS Care-Psychological</w:t>
      </w:r>
      <w:r w:rsidR="005853A9">
        <w:rPr>
          <w:i/>
          <w:iCs/>
          <w:kern w:val="0"/>
        </w:rPr>
        <w:t xml:space="preserve"> and </w:t>
      </w:r>
      <w:r>
        <w:rPr>
          <w:i/>
          <w:iCs/>
          <w:kern w:val="0"/>
        </w:rPr>
        <w:t>Socio-Medical Aspects</w:t>
      </w:r>
      <w:r w:rsidR="00427468">
        <w:rPr>
          <w:i/>
          <w:iCs/>
          <w:kern w:val="0"/>
        </w:rPr>
        <w:t xml:space="preserve"> of </w:t>
      </w:r>
      <w:r>
        <w:rPr>
          <w:i/>
          <w:iCs/>
          <w:kern w:val="0"/>
        </w:rPr>
        <w:t>AIDS/HIV</w:t>
      </w:r>
      <w:r>
        <w:rPr>
          <w:kern w:val="0"/>
        </w:rPr>
        <w:t xml:space="preserve">, </w:t>
      </w:r>
      <w:r>
        <w:rPr>
          <w:b/>
          <w:bCs/>
          <w:kern w:val="0"/>
        </w:rPr>
        <w:t>18</w:t>
      </w:r>
      <w:r>
        <w:rPr>
          <w:kern w:val="0"/>
        </w:rPr>
        <w:t xml:space="preserve"> (5), 467-478.</w:t>
      </w:r>
    </w:p>
    <w:p w:rsidR="004F3AB1" w:rsidRPr="00F219CA" w:rsidRDefault="004F3AB1" w:rsidP="004F3AB1">
      <w:pPr>
        <w:pStyle w:val="a3"/>
      </w:pPr>
      <w:r w:rsidRPr="00F219CA">
        <w:t xml:space="preserve">Full Text: </w:t>
      </w:r>
      <w:hyperlink r:id="rId339" w:history="1">
        <w:r w:rsidRPr="004F3AB1">
          <w:rPr>
            <w:rStyle w:val="a5"/>
          </w:rPr>
          <w:t>2006\AIDS Care18, 467.pdf</w:t>
        </w:r>
      </w:hyperlink>
    </w:p>
    <w:p w:rsidR="004F3AB1" w:rsidRDefault="004F3AB1" w:rsidP="004F3AB1">
      <w:pPr>
        <w:pStyle w:val="a3"/>
        <w:rPr>
          <w:kern w:val="0"/>
        </w:rPr>
      </w:pPr>
      <w:r>
        <w:rPr>
          <w:kern w:val="0"/>
        </w:rPr>
        <w:t>Abstract:</w:t>
      </w:r>
      <w:r w:rsidR="003A1917">
        <w:rPr>
          <w:kern w:val="0"/>
        </w:rPr>
        <w:t xml:space="preserve"> the </w:t>
      </w:r>
      <w:r>
        <w:rPr>
          <w:kern w:val="0"/>
        </w:rPr>
        <w:t>objective</w:t>
      </w:r>
      <w:r w:rsidR="00427468">
        <w:rPr>
          <w:kern w:val="0"/>
        </w:rPr>
        <w:t xml:space="preserve"> of </w:t>
      </w:r>
      <w:r>
        <w:rPr>
          <w:kern w:val="0"/>
        </w:rPr>
        <w:t>this research project was to examine</w:t>
      </w:r>
      <w:r w:rsidR="003A1917">
        <w:rPr>
          <w:kern w:val="0"/>
        </w:rPr>
        <w:t xml:space="preserve"> the </w:t>
      </w:r>
      <w:r>
        <w:rPr>
          <w:kern w:val="0"/>
        </w:rPr>
        <w:t>effectiveness</w:t>
      </w:r>
      <w:r w:rsidR="00427468">
        <w:rPr>
          <w:kern w:val="0"/>
        </w:rPr>
        <w:t xml:space="preserve"> of </w:t>
      </w:r>
      <w:r>
        <w:rPr>
          <w:kern w:val="0"/>
        </w:rPr>
        <w:t>sexual health promotion interventions in homeless drug using populations</w:t>
      </w:r>
      <w:r w:rsidR="00A37C1D">
        <w:rPr>
          <w:kern w:val="0"/>
        </w:rPr>
        <w:t>. The</w:t>
      </w:r>
      <w:r w:rsidR="003A1917">
        <w:rPr>
          <w:kern w:val="0"/>
        </w:rPr>
        <w:t xml:space="preserve"> </w:t>
      </w:r>
      <w:r>
        <w:rPr>
          <w:kern w:val="0"/>
        </w:rPr>
        <w:t xml:space="preserve">following databases were searched: </w:t>
      </w:r>
      <w:r w:rsidR="00D5664A">
        <w:rPr>
          <w:kern w:val="0"/>
        </w:rPr>
        <w:t>MEDLINE</w:t>
      </w:r>
      <w:r>
        <w:rPr>
          <w:kern w:val="0"/>
        </w:rPr>
        <w:t xml:space="preserve"> (1966 to 2003), EMBASE (1980 to 2003), psycinfo (1985 to 2003), CINAHL (1982 to 2003), </w:t>
      </w:r>
      <w:r w:rsidR="00D5664A">
        <w:rPr>
          <w:kern w:val="0"/>
        </w:rPr>
        <w:t>Web</w:t>
      </w:r>
      <w:r w:rsidR="00427468">
        <w:rPr>
          <w:kern w:val="0"/>
        </w:rPr>
        <w:t xml:space="preserve"> of </w:t>
      </w:r>
      <w:r w:rsidR="00D5664A">
        <w:rPr>
          <w:kern w:val="0"/>
        </w:rPr>
        <w:t>Science</w:t>
      </w:r>
      <w:r>
        <w:rPr>
          <w:kern w:val="0"/>
        </w:rPr>
        <w:t xml:space="preserve"> (1981 to 2003)</w:t>
      </w:r>
      <w:r w:rsidR="005853A9">
        <w:rPr>
          <w:kern w:val="0"/>
        </w:rPr>
        <w:t xml:space="preserve"> and </w:t>
      </w:r>
      <w:r w:rsidR="003A1917">
        <w:rPr>
          <w:kern w:val="0"/>
        </w:rPr>
        <w:t xml:space="preserve">the </w:t>
      </w:r>
      <w:r>
        <w:rPr>
          <w:kern w:val="0"/>
        </w:rPr>
        <w:t>Cochrane Library (Evidence Based health). Two independent researchers selected studies for inclusion. Inclusion criteria covered longitudinal studies using comparative statistics examining interventions to promote sexual health amongst homeless drug users. Studies excluding drug users from</w:t>
      </w:r>
      <w:r w:rsidR="003A1917">
        <w:rPr>
          <w:kern w:val="0"/>
        </w:rPr>
        <w:t xml:space="preserve"> the </w:t>
      </w:r>
      <w:r>
        <w:rPr>
          <w:kern w:val="0"/>
        </w:rPr>
        <w:t>study sample or where no mention was made</w:t>
      </w:r>
      <w:r w:rsidR="00427468">
        <w:rPr>
          <w:kern w:val="0"/>
        </w:rPr>
        <w:t xml:space="preserve"> of </w:t>
      </w:r>
      <w:r>
        <w:rPr>
          <w:kern w:val="0"/>
        </w:rPr>
        <w:t>housing status were excluded. A narrative analysis</w:t>
      </w:r>
      <w:r w:rsidR="00427468">
        <w:rPr>
          <w:kern w:val="0"/>
        </w:rPr>
        <w:t xml:space="preserve"> of </w:t>
      </w:r>
      <w:r w:rsidR="003A1917">
        <w:rPr>
          <w:kern w:val="0"/>
        </w:rPr>
        <w:t xml:space="preserve">the </w:t>
      </w:r>
      <w:r>
        <w:rPr>
          <w:kern w:val="0"/>
        </w:rPr>
        <w:t>papers was adopted to elicit common themes emerging from</w:t>
      </w:r>
      <w:r w:rsidR="003A1917">
        <w:rPr>
          <w:kern w:val="0"/>
        </w:rPr>
        <w:t xml:space="preserve"> the </w:t>
      </w:r>
      <w:r>
        <w:rPr>
          <w:kern w:val="0"/>
        </w:rPr>
        <w:t>studies.</w:t>
      </w:r>
      <w:r w:rsidR="00427468">
        <w:rPr>
          <w:kern w:val="0"/>
        </w:rPr>
        <w:t xml:space="preserve"> of </w:t>
      </w:r>
      <w:r>
        <w:rPr>
          <w:kern w:val="0"/>
        </w:rPr>
        <w:t>99 papers identified, only 6 fulfilled</w:t>
      </w:r>
      <w:r w:rsidR="003A1917">
        <w:rPr>
          <w:kern w:val="0"/>
        </w:rPr>
        <w:t xml:space="preserve"> the </w:t>
      </w:r>
      <w:r>
        <w:rPr>
          <w:kern w:val="0"/>
        </w:rPr>
        <w:t>inclusion criteria. Interventions which seek to effect attitudinal</w:t>
      </w:r>
      <w:r w:rsidR="005853A9">
        <w:rPr>
          <w:kern w:val="0"/>
        </w:rPr>
        <w:t xml:space="preserve"> and </w:t>
      </w:r>
      <w:r>
        <w:rPr>
          <w:kern w:val="0"/>
        </w:rPr>
        <w:t>behavioural change through interactive methods such as role-play, video games</w:t>
      </w:r>
      <w:r w:rsidR="005853A9">
        <w:rPr>
          <w:kern w:val="0"/>
        </w:rPr>
        <w:t xml:space="preserve"> and </w:t>
      </w:r>
      <w:r>
        <w:rPr>
          <w:kern w:val="0"/>
        </w:rPr>
        <w:t>group work led to a self-reported reduction in both risk from drugs</w:t>
      </w:r>
      <w:r w:rsidR="005853A9">
        <w:rPr>
          <w:kern w:val="0"/>
        </w:rPr>
        <w:t xml:space="preserve"> and </w:t>
      </w:r>
      <w:r>
        <w:rPr>
          <w:kern w:val="0"/>
        </w:rPr>
        <w:t>sexual activity</w:t>
      </w:r>
      <w:r w:rsidR="00A37C1D">
        <w:rPr>
          <w:kern w:val="0"/>
        </w:rPr>
        <w:t>. The</w:t>
      </w:r>
      <w:r w:rsidR="003A1917">
        <w:rPr>
          <w:kern w:val="0"/>
        </w:rPr>
        <w:t xml:space="preserve"> </w:t>
      </w:r>
      <w:r>
        <w:rPr>
          <w:kern w:val="0"/>
        </w:rPr>
        <w:t>evidence for maintenance</w:t>
      </w:r>
      <w:r w:rsidR="00427468">
        <w:rPr>
          <w:kern w:val="0"/>
        </w:rPr>
        <w:t xml:space="preserve"> of </w:t>
      </w:r>
      <w:r>
        <w:rPr>
          <w:kern w:val="0"/>
        </w:rPr>
        <w:t>risk reduction over one year remains unclear. Interventions do not appear to promote risky sexual activity in previously sexually inactive participants.</w:t>
      </w:r>
    </w:p>
    <w:p w:rsidR="004F3AB1" w:rsidRDefault="004F3AB1" w:rsidP="004F3AB1">
      <w:pPr>
        <w:pStyle w:val="a3"/>
        <w:rPr>
          <w:kern w:val="0"/>
        </w:rPr>
      </w:pPr>
      <w:r>
        <w:rPr>
          <w:kern w:val="0"/>
        </w:rPr>
        <w:t>Keywords: Aids, Analysis, Cochrane, Databases, Drug, Drug Use, Education, Effectiveness, Embase, Games, Group Work, Health Promotion, Human-Immunodeficiency-Virus, Interventions, Longitudinal Studies, Men, Papers, People, Program, Promotion, Provision, Reduction, Research, Researchers, Review, Risk, Risk Behaviors, Risk Reduction, Science, Statistics, Systematic, Systematic Review, Women</w:t>
      </w:r>
    </w:p>
    <w:p w:rsidR="004F3AB1" w:rsidRDefault="004F3AB1" w:rsidP="004F3AB1">
      <w:pPr>
        <w:pStyle w:val="a3"/>
        <w:rPr>
          <w:kern w:val="0"/>
        </w:rPr>
      </w:pPr>
      <w:r>
        <w:rPr>
          <w:rFonts w:hint="eastAsia"/>
          <w:kern w:val="0"/>
        </w:rPr>
        <w:t xml:space="preserve">? </w:t>
      </w:r>
      <w:r>
        <w:rPr>
          <w:kern w:val="0"/>
        </w:rPr>
        <w:t>Beard, J., Feeley, F.</w:t>
      </w:r>
      <w:r w:rsidR="005853A9">
        <w:rPr>
          <w:kern w:val="0"/>
        </w:rPr>
        <w:t xml:space="preserve"> and </w:t>
      </w:r>
      <w:r>
        <w:rPr>
          <w:kern w:val="0"/>
        </w:rPr>
        <w:t>Rosen, S. (2009), Economic</w:t>
      </w:r>
      <w:r w:rsidR="005853A9">
        <w:rPr>
          <w:kern w:val="0"/>
        </w:rPr>
        <w:t xml:space="preserve"> and </w:t>
      </w:r>
      <w:r>
        <w:rPr>
          <w:kern w:val="0"/>
        </w:rPr>
        <w:t>quality</w:t>
      </w:r>
      <w:r w:rsidR="00427468">
        <w:rPr>
          <w:kern w:val="0"/>
        </w:rPr>
        <w:t xml:space="preserve"> of </w:t>
      </w:r>
      <w:r>
        <w:rPr>
          <w:kern w:val="0"/>
        </w:rPr>
        <w:t>life outcomes</w:t>
      </w:r>
      <w:r w:rsidR="00427468">
        <w:rPr>
          <w:kern w:val="0"/>
        </w:rPr>
        <w:t xml:space="preserve"> of </w:t>
      </w:r>
      <w:r>
        <w:rPr>
          <w:kern w:val="0"/>
        </w:rPr>
        <w:t xml:space="preserve">antiretroviral therapy for HIV/AIDS in developing countries: A systematic literature review. </w:t>
      </w:r>
      <w:r>
        <w:rPr>
          <w:i/>
          <w:iCs/>
          <w:kern w:val="0"/>
        </w:rPr>
        <w:t>AIDS Care-Psychological</w:t>
      </w:r>
      <w:r w:rsidR="005853A9">
        <w:rPr>
          <w:i/>
          <w:iCs/>
          <w:kern w:val="0"/>
        </w:rPr>
        <w:t xml:space="preserve"> and </w:t>
      </w:r>
      <w:r>
        <w:rPr>
          <w:i/>
          <w:iCs/>
          <w:kern w:val="0"/>
        </w:rPr>
        <w:t>Socio-Medical Aspects</w:t>
      </w:r>
      <w:r w:rsidR="00427468">
        <w:rPr>
          <w:i/>
          <w:iCs/>
          <w:kern w:val="0"/>
        </w:rPr>
        <w:t xml:space="preserve"> of </w:t>
      </w:r>
      <w:r>
        <w:rPr>
          <w:i/>
          <w:iCs/>
          <w:kern w:val="0"/>
        </w:rPr>
        <w:t>AIDS/HIV</w:t>
      </w:r>
      <w:r>
        <w:rPr>
          <w:kern w:val="0"/>
        </w:rPr>
        <w:t xml:space="preserve">, </w:t>
      </w:r>
      <w:r>
        <w:rPr>
          <w:b/>
          <w:bCs/>
          <w:kern w:val="0"/>
        </w:rPr>
        <w:t>21</w:t>
      </w:r>
      <w:r>
        <w:rPr>
          <w:kern w:val="0"/>
        </w:rPr>
        <w:t xml:space="preserve"> (11), 1343-1356.</w:t>
      </w:r>
    </w:p>
    <w:p w:rsidR="004F3AB1" w:rsidRPr="00F219CA" w:rsidRDefault="004F3AB1" w:rsidP="004F3AB1">
      <w:pPr>
        <w:pStyle w:val="a3"/>
      </w:pPr>
      <w:r w:rsidRPr="00F219CA">
        <w:lastRenderedPageBreak/>
        <w:t xml:space="preserve">Full Text: </w:t>
      </w:r>
      <w:hyperlink r:id="rId340" w:history="1">
        <w:r w:rsidRPr="004F3AB1">
          <w:rPr>
            <w:rStyle w:val="a5"/>
          </w:rPr>
          <w:t>2009\AIDS Care21, 1343.pdf</w:t>
        </w:r>
      </w:hyperlink>
    </w:p>
    <w:p w:rsidR="004F3AB1" w:rsidRDefault="004F3AB1" w:rsidP="004F3AB1">
      <w:pPr>
        <w:pStyle w:val="a3"/>
        <w:rPr>
          <w:kern w:val="0"/>
        </w:rPr>
      </w:pPr>
      <w:r>
        <w:rPr>
          <w:kern w:val="0"/>
        </w:rPr>
        <w:t>Abstract:</w:t>
      </w:r>
      <w:r w:rsidR="003A1917">
        <w:rPr>
          <w:kern w:val="0"/>
        </w:rPr>
        <w:t xml:space="preserve"> the </w:t>
      </w:r>
      <w:r>
        <w:rPr>
          <w:kern w:val="0"/>
        </w:rPr>
        <w:t>impacts</w:t>
      </w:r>
      <w:r w:rsidR="00427468">
        <w:rPr>
          <w:kern w:val="0"/>
        </w:rPr>
        <w:t xml:space="preserve"> of </w:t>
      </w:r>
      <w:r>
        <w:rPr>
          <w:kern w:val="0"/>
        </w:rPr>
        <w:t>antiretroviral therapy (ART) on quality</w:t>
      </w:r>
      <w:r w:rsidR="00427468">
        <w:rPr>
          <w:kern w:val="0"/>
        </w:rPr>
        <w:t xml:space="preserve"> of </w:t>
      </w:r>
      <w:r>
        <w:rPr>
          <w:kern w:val="0"/>
        </w:rPr>
        <w:t>life, mental health, labor productivity,</w:t>
      </w:r>
      <w:r w:rsidR="005853A9">
        <w:rPr>
          <w:kern w:val="0"/>
        </w:rPr>
        <w:t xml:space="preserve"> and </w:t>
      </w:r>
      <w:r>
        <w:rPr>
          <w:kern w:val="0"/>
        </w:rPr>
        <w:t>economic wellbeing for people living with HIV/AIDS in developing countries are only beginning to be measured. We conducted a systematic literature review to analyze</w:t>
      </w:r>
      <w:r w:rsidR="003A1917">
        <w:rPr>
          <w:kern w:val="0"/>
        </w:rPr>
        <w:t xml:space="preserve"> the </w:t>
      </w:r>
      <w:r>
        <w:rPr>
          <w:kern w:val="0"/>
        </w:rPr>
        <w:t>effect</w:t>
      </w:r>
      <w:r w:rsidR="00427468">
        <w:rPr>
          <w:kern w:val="0"/>
        </w:rPr>
        <w:t xml:space="preserve"> of </w:t>
      </w:r>
      <w:r>
        <w:rPr>
          <w:kern w:val="0"/>
        </w:rPr>
        <w:t>ART on these economic</w:t>
      </w:r>
      <w:r w:rsidR="005853A9">
        <w:rPr>
          <w:kern w:val="0"/>
        </w:rPr>
        <w:t xml:space="preserve"> and </w:t>
      </w:r>
      <w:r>
        <w:rPr>
          <w:kern w:val="0"/>
        </w:rPr>
        <w:t>quality</w:t>
      </w:r>
      <w:r w:rsidR="00427468">
        <w:rPr>
          <w:kern w:val="0"/>
        </w:rPr>
        <w:t xml:space="preserve"> of </w:t>
      </w:r>
      <w:r>
        <w:rPr>
          <w:kern w:val="0"/>
        </w:rPr>
        <w:t>life indicators in developing countries</w:t>
      </w:r>
      <w:r w:rsidR="005853A9">
        <w:rPr>
          <w:kern w:val="0"/>
        </w:rPr>
        <w:t xml:space="preserve"> and </w:t>
      </w:r>
      <w:r>
        <w:rPr>
          <w:kern w:val="0"/>
        </w:rPr>
        <w:t>assess</w:t>
      </w:r>
      <w:r w:rsidR="003A1917">
        <w:rPr>
          <w:kern w:val="0"/>
        </w:rPr>
        <w:t xml:space="preserve"> the </w:t>
      </w:r>
      <w:r>
        <w:rPr>
          <w:kern w:val="0"/>
        </w:rPr>
        <w:t>state</w:t>
      </w:r>
      <w:r w:rsidR="00427468">
        <w:rPr>
          <w:kern w:val="0"/>
        </w:rPr>
        <w:t xml:space="preserve"> of </w:t>
      </w:r>
      <w:r>
        <w:rPr>
          <w:kern w:val="0"/>
        </w:rPr>
        <w:t>research on these topics. We searched Ovid/</w:t>
      </w:r>
      <w:r w:rsidR="00D5664A">
        <w:rPr>
          <w:kern w:val="0"/>
        </w:rPr>
        <w:t>MEDLINE</w:t>
      </w:r>
      <w:r>
        <w:rPr>
          <w:kern w:val="0"/>
        </w:rPr>
        <w:t xml:space="preserve">, </w:t>
      </w:r>
      <w:r w:rsidR="002C12F0">
        <w:rPr>
          <w:kern w:val="0"/>
        </w:rPr>
        <w:t>PUBMED</w:t>
      </w:r>
      <w:r>
        <w:rPr>
          <w:kern w:val="0"/>
        </w:rPr>
        <w:t xml:space="preserve">, Psych Info, </w:t>
      </w:r>
      <w:r w:rsidR="00D5664A">
        <w:rPr>
          <w:kern w:val="0"/>
        </w:rPr>
        <w:t>Web</w:t>
      </w:r>
      <w:r w:rsidR="00427468">
        <w:rPr>
          <w:kern w:val="0"/>
        </w:rPr>
        <w:t xml:space="preserve"> of </w:t>
      </w:r>
      <w:r w:rsidR="00D5664A">
        <w:rPr>
          <w:kern w:val="0"/>
        </w:rPr>
        <w:t>Science</w:t>
      </w:r>
      <w:r>
        <w:rPr>
          <w:kern w:val="0"/>
        </w:rPr>
        <w:t>, Google Scholar,</w:t>
      </w:r>
      <w:r w:rsidR="005853A9">
        <w:rPr>
          <w:kern w:val="0"/>
        </w:rPr>
        <w:t xml:space="preserve"> and </w:t>
      </w:r>
      <w:r w:rsidR="003A1917">
        <w:rPr>
          <w:kern w:val="0"/>
        </w:rPr>
        <w:t xml:space="preserve">the </w:t>
      </w:r>
      <w:r>
        <w:rPr>
          <w:kern w:val="0"/>
        </w:rPr>
        <w:t>abstract database</w:t>
      </w:r>
      <w:r w:rsidR="00427468">
        <w:rPr>
          <w:kern w:val="0"/>
        </w:rPr>
        <w:t xml:space="preserve"> of </w:t>
      </w:r>
      <w:r w:rsidR="003A1917">
        <w:rPr>
          <w:kern w:val="0"/>
        </w:rPr>
        <w:t xml:space="preserve">the </w:t>
      </w:r>
      <w:r>
        <w:rPr>
          <w:kern w:val="0"/>
        </w:rPr>
        <w:t>International AIDS Society Conference</w:t>
      </w:r>
      <w:r w:rsidR="005853A9">
        <w:rPr>
          <w:kern w:val="0"/>
        </w:rPr>
        <w:t xml:space="preserve"> and </w:t>
      </w:r>
      <w:r w:rsidR="003A1917">
        <w:rPr>
          <w:kern w:val="0"/>
        </w:rPr>
        <w:t xml:space="preserve">the </w:t>
      </w:r>
      <w:r>
        <w:rPr>
          <w:kern w:val="0"/>
        </w:rPr>
        <w:t>Conference on Retroviruses</w:t>
      </w:r>
      <w:r w:rsidR="005853A9">
        <w:rPr>
          <w:kern w:val="0"/>
        </w:rPr>
        <w:t xml:space="preserve"> and </w:t>
      </w:r>
      <w:r>
        <w:rPr>
          <w:kern w:val="0"/>
        </w:rPr>
        <w:t>Opportunistic Infections. Both qualitative</w:t>
      </w:r>
      <w:r w:rsidR="005853A9">
        <w:rPr>
          <w:kern w:val="0"/>
        </w:rPr>
        <w:t xml:space="preserve"> and </w:t>
      </w:r>
      <w:r>
        <w:rPr>
          <w:kern w:val="0"/>
        </w:rPr>
        <w:t>quantitative studies were included, as were peer-reviewed articles, gray literature,</w:t>
      </w:r>
      <w:r w:rsidR="005853A9">
        <w:rPr>
          <w:kern w:val="0"/>
        </w:rPr>
        <w:t xml:space="preserve"> and </w:t>
      </w:r>
      <w:r>
        <w:rPr>
          <w:kern w:val="0"/>
        </w:rPr>
        <w:t>conference abstracts</w:t>
      </w:r>
      <w:r w:rsidR="005853A9">
        <w:rPr>
          <w:kern w:val="0"/>
        </w:rPr>
        <w:t xml:space="preserve"> and </w:t>
      </w:r>
      <w:r>
        <w:rPr>
          <w:kern w:val="0"/>
        </w:rPr>
        <w:t>presentations. Findings are reported from 21 publications, including 14 full-length articles, six abstracts,</w:t>
      </w:r>
      <w:r w:rsidR="005853A9">
        <w:rPr>
          <w:kern w:val="0"/>
        </w:rPr>
        <w:t xml:space="preserve"> and </w:t>
      </w:r>
      <w:r>
        <w:rPr>
          <w:kern w:val="0"/>
        </w:rPr>
        <w:t>one presentation (representing 16 studies). Compared to HIV-positive patients not yet on treatment, patients on ART reported significant improvements in physical, emotional</w:t>
      </w:r>
      <w:r w:rsidR="005853A9">
        <w:rPr>
          <w:kern w:val="0"/>
        </w:rPr>
        <w:t xml:space="preserve"> and </w:t>
      </w:r>
      <w:r>
        <w:rPr>
          <w:kern w:val="0"/>
        </w:rPr>
        <w:t>mental health,</w:t>
      </w:r>
      <w:r w:rsidR="005853A9">
        <w:rPr>
          <w:kern w:val="0"/>
        </w:rPr>
        <w:t xml:space="preserve"> and </w:t>
      </w:r>
      <w:r>
        <w:rPr>
          <w:kern w:val="0"/>
        </w:rPr>
        <w:t>daily function. Work performance improved</w:t>
      </w:r>
      <w:r w:rsidR="005853A9">
        <w:rPr>
          <w:kern w:val="0"/>
        </w:rPr>
        <w:t xml:space="preserve"> and </w:t>
      </w:r>
      <w:r>
        <w:rPr>
          <w:kern w:val="0"/>
        </w:rPr>
        <w:t>absenteeism decreased, with</w:t>
      </w:r>
      <w:r w:rsidR="003A1917">
        <w:rPr>
          <w:kern w:val="0"/>
        </w:rPr>
        <w:t xml:space="preserve"> the </w:t>
      </w:r>
      <w:r>
        <w:rPr>
          <w:kern w:val="0"/>
        </w:rPr>
        <w:t>most dramatic changes occurring in</w:t>
      </w:r>
      <w:r w:rsidR="003A1917">
        <w:rPr>
          <w:kern w:val="0"/>
        </w:rPr>
        <w:t xml:space="preserve"> the </w:t>
      </w:r>
      <w:r>
        <w:rPr>
          <w:kern w:val="0"/>
        </w:rPr>
        <w:t>first three months</w:t>
      </w:r>
      <w:r w:rsidR="00427468">
        <w:rPr>
          <w:kern w:val="0"/>
        </w:rPr>
        <w:t xml:space="preserve"> of </w:t>
      </w:r>
      <w:r>
        <w:rPr>
          <w:kern w:val="0"/>
        </w:rPr>
        <w:t>treatment</w:t>
      </w:r>
      <w:r w:rsidR="005853A9">
        <w:rPr>
          <w:kern w:val="0"/>
        </w:rPr>
        <w:t xml:space="preserve"> and </w:t>
      </w:r>
      <w:r>
        <w:rPr>
          <w:kern w:val="0"/>
        </w:rPr>
        <w:t>then leveling off. Little research has been done on</w:t>
      </w:r>
      <w:r w:rsidR="003A1917">
        <w:rPr>
          <w:kern w:val="0"/>
        </w:rPr>
        <w:t xml:space="preserve"> the </w:t>
      </w:r>
      <w:r>
        <w:rPr>
          <w:kern w:val="0"/>
        </w:rPr>
        <w:t>impact</w:t>
      </w:r>
      <w:r w:rsidR="00427468">
        <w:rPr>
          <w:kern w:val="0"/>
        </w:rPr>
        <w:t xml:space="preserve"> of </w:t>
      </w:r>
      <w:r>
        <w:rPr>
          <w:kern w:val="0"/>
        </w:rPr>
        <w:t>ART on household wellbeing, with modest changes in child</w:t>
      </w:r>
      <w:r w:rsidR="005853A9">
        <w:rPr>
          <w:kern w:val="0"/>
        </w:rPr>
        <w:t xml:space="preserve"> and </w:t>
      </w:r>
      <w:r>
        <w:rPr>
          <w:kern w:val="0"/>
        </w:rPr>
        <w:t>family wellbeing within households where adults are receiving ART reported so far. Most studies from developing countries have not yet assessed economic</w:t>
      </w:r>
      <w:r w:rsidR="005853A9">
        <w:rPr>
          <w:kern w:val="0"/>
        </w:rPr>
        <w:t xml:space="preserve"> and </w:t>
      </w:r>
      <w:r>
        <w:rPr>
          <w:kern w:val="0"/>
        </w:rPr>
        <w:t>quality</w:t>
      </w:r>
      <w:r w:rsidR="00427468">
        <w:rPr>
          <w:kern w:val="0"/>
        </w:rPr>
        <w:t xml:space="preserve"> of </w:t>
      </w:r>
      <w:r>
        <w:rPr>
          <w:kern w:val="0"/>
        </w:rPr>
        <w:t>life outcomes</w:t>
      </w:r>
      <w:r w:rsidR="00427468">
        <w:rPr>
          <w:kern w:val="0"/>
        </w:rPr>
        <w:t xml:space="preserve"> of </w:t>
      </w:r>
      <w:r>
        <w:rPr>
          <w:kern w:val="0"/>
        </w:rPr>
        <w:t>therapy beyond</w:t>
      </w:r>
      <w:r w:rsidR="003A1917">
        <w:rPr>
          <w:kern w:val="0"/>
        </w:rPr>
        <w:t xml:space="preserve"> the </w:t>
      </w:r>
      <w:r>
        <w:rPr>
          <w:kern w:val="0"/>
        </w:rPr>
        <w:t>first year; therefore, longitudinal outcomes are still unknown. Findings were limited geographically, with an emphasis on sub-Saharan Africa</w:t>
      </w:r>
      <w:r w:rsidR="005853A9">
        <w:rPr>
          <w:kern w:val="0"/>
        </w:rPr>
        <w:t xml:space="preserve"> and </w:t>
      </w:r>
      <w:r>
        <w:rPr>
          <w:kern w:val="0"/>
        </w:rPr>
        <w:t>adult treatment. As ART roll out extends throughout high HIV prevalence, low-resource countries</w:t>
      </w:r>
      <w:r w:rsidR="005853A9">
        <w:rPr>
          <w:kern w:val="0"/>
        </w:rPr>
        <w:t xml:space="preserve"> and </w:t>
      </w:r>
      <w:r>
        <w:rPr>
          <w:kern w:val="0"/>
        </w:rPr>
        <w:t>is sustained over years</w:t>
      </w:r>
      <w:r w:rsidR="005853A9">
        <w:rPr>
          <w:kern w:val="0"/>
        </w:rPr>
        <w:t xml:space="preserve"> and </w:t>
      </w:r>
      <w:r>
        <w:rPr>
          <w:kern w:val="0"/>
        </w:rPr>
        <w:t>decades, research on pediatric</w:t>
      </w:r>
      <w:r w:rsidR="005853A9">
        <w:rPr>
          <w:kern w:val="0"/>
        </w:rPr>
        <w:t xml:space="preserve"> and </w:t>
      </w:r>
      <w:r>
        <w:rPr>
          <w:kern w:val="0"/>
        </w:rPr>
        <w:t>differential gender economic</w:t>
      </w:r>
      <w:r w:rsidR="005853A9">
        <w:rPr>
          <w:kern w:val="0"/>
        </w:rPr>
        <w:t xml:space="preserve"> and </w:t>
      </w:r>
      <w:r>
        <w:rPr>
          <w:kern w:val="0"/>
        </w:rPr>
        <w:t>quality</w:t>
      </w:r>
      <w:r w:rsidR="00427468">
        <w:rPr>
          <w:kern w:val="0"/>
        </w:rPr>
        <w:t xml:space="preserve"> of </w:t>
      </w:r>
      <w:r>
        <w:rPr>
          <w:kern w:val="0"/>
        </w:rPr>
        <w:t>life outcomes will become increasingly urgent, as will systematic evaluation</w:t>
      </w:r>
      <w:r w:rsidR="00427468">
        <w:rPr>
          <w:kern w:val="0"/>
        </w:rPr>
        <w:t xml:space="preserve"> of </w:t>
      </w:r>
      <w:r>
        <w:rPr>
          <w:kern w:val="0"/>
        </w:rPr>
        <w:t>ART programs.</w:t>
      </w:r>
    </w:p>
    <w:p w:rsidR="004F3AB1" w:rsidRDefault="004F3AB1" w:rsidP="004F3AB1">
      <w:pPr>
        <w:pStyle w:val="a3"/>
        <w:rPr>
          <w:kern w:val="0"/>
        </w:rPr>
      </w:pPr>
      <w:r>
        <w:rPr>
          <w:kern w:val="0"/>
        </w:rPr>
        <w:t xml:space="preserve">Keywords: Absenteeism, Adult, Adults, Adverse Events, Africa, AID, AIDS, Antiretroviral, Antiretroviral Therapy, Art, Child, Conference, Developing Countries, Evaluation, Gender, Google Scholar, Haart, HIV, HIV-Infected Adults, HIV, AIDS, Household Wellbeing, Impact, Individuals, Labor Productivity, Literature, Literature Review, Mental Health, Outcomes, Pediatric, Performance, Prevalence, Program, Publications, </w:t>
      </w:r>
      <w:r w:rsidR="002C12F0">
        <w:rPr>
          <w:kern w:val="0"/>
        </w:rPr>
        <w:t>PUBMED</w:t>
      </w:r>
      <w:r>
        <w:rPr>
          <w:kern w:val="0"/>
        </w:rPr>
        <w:t>, Quality</w:t>
      </w:r>
      <w:r w:rsidR="00427468">
        <w:rPr>
          <w:kern w:val="0"/>
        </w:rPr>
        <w:t xml:space="preserve"> of </w:t>
      </w:r>
      <w:r>
        <w:rPr>
          <w:kern w:val="0"/>
        </w:rPr>
        <w:t xml:space="preserve">Life, Quantitative, Research, Review, Risk Behavior, Science, South-Africa, Sub-Saharan Africa, Systematic, Systematic Literature Review, Therapy, Topics, Treatment, </w:t>
      </w:r>
      <w:r w:rsidR="00D5664A">
        <w:rPr>
          <w:kern w:val="0"/>
        </w:rPr>
        <w:t>Web</w:t>
      </w:r>
      <w:r w:rsidR="00427468">
        <w:rPr>
          <w:kern w:val="0"/>
        </w:rPr>
        <w:t xml:space="preserve"> of </w:t>
      </w:r>
      <w:r w:rsidR="00D5664A">
        <w:rPr>
          <w:kern w:val="0"/>
        </w:rPr>
        <w:t>Science</w:t>
      </w:r>
    </w:p>
    <w:p w:rsidR="00111E21" w:rsidRDefault="00111E21" w:rsidP="00111E21">
      <w:pPr>
        <w:pStyle w:val="a3"/>
        <w:rPr>
          <w:kern w:val="0"/>
          <w:szCs w:val="24"/>
        </w:rPr>
      </w:pPr>
      <w:r>
        <w:rPr>
          <w:rFonts w:hint="eastAsia"/>
          <w:kern w:val="0"/>
          <w:szCs w:val="24"/>
        </w:rPr>
        <w:t xml:space="preserve">? </w:t>
      </w:r>
      <w:r>
        <w:rPr>
          <w:kern w:val="0"/>
          <w:szCs w:val="24"/>
        </w:rPr>
        <w:t>Rungsiyanont, S., Vacharotayangul, P., Lam-ubol, A., Ananworanich, J., Phanuphak, P.</w:t>
      </w:r>
      <w:r w:rsidR="005853A9">
        <w:rPr>
          <w:kern w:val="0"/>
          <w:szCs w:val="24"/>
        </w:rPr>
        <w:t xml:space="preserve"> and </w:t>
      </w:r>
      <w:r>
        <w:rPr>
          <w:kern w:val="0"/>
          <w:szCs w:val="24"/>
        </w:rPr>
        <w:t>Phanuphak, N. (2012), Perceived dental needs</w:t>
      </w:r>
      <w:r w:rsidR="005853A9">
        <w:rPr>
          <w:kern w:val="0"/>
          <w:szCs w:val="24"/>
        </w:rPr>
        <w:t xml:space="preserve"> and </w:t>
      </w:r>
      <w:r>
        <w:rPr>
          <w:kern w:val="0"/>
          <w:szCs w:val="24"/>
        </w:rPr>
        <w:t xml:space="preserve">attitudes toward dental treatments in HIV-infected Thais. </w:t>
      </w:r>
      <w:r>
        <w:rPr>
          <w:i/>
          <w:iCs/>
          <w:kern w:val="0"/>
        </w:rPr>
        <w:t>AIDS Care-Psychological</w:t>
      </w:r>
      <w:r w:rsidR="005853A9">
        <w:rPr>
          <w:i/>
          <w:iCs/>
          <w:kern w:val="0"/>
        </w:rPr>
        <w:t xml:space="preserve"> and </w:t>
      </w:r>
      <w:r>
        <w:rPr>
          <w:i/>
          <w:iCs/>
          <w:kern w:val="0"/>
        </w:rPr>
        <w:t>Socio-Medical Aspects</w:t>
      </w:r>
      <w:r w:rsidR="00427468">
        <w:rPr>
          <w:i/>
          <w:iCs/>
          <w:kern w:val="0"/>
        </w:rPr>
        <w:t xml:space="preserve"> of </w:t>
      </w:r>
      <w:r>
        <w:rPr>
          <w:i/>
          <w:iCs/>
          <w:kern w:val="0"/>
        </w:rPr>
        <w:t>AIDS/HIV</w:t>
      </w:r>
      <w:r>
        <w:rPr>
          <w:kern w:val="0"/>
          <w:szCs w:val="24"/>
        </w:rPr>
        <w:t xml:space="preserve">, </w:t>
      </w:r>
      <w:r>
        <w:rPr>
          <w:b/>
          <w:bCs/>
          <w:kern w:val="0"/>
          <w:szCs w:val="24"/>
        </w:rPr>
        <w:t>24</w:t>
      </w:r>
      <w:r>
        <w:rPr>
          <w:kern w:val="0"/>
          <w:szCs w:val="24"/>
        </w:rPr>
        <w:t xml:space="preserve"> (12), 1584-1590.</w:t>
      </w:r>
    </w:p>
    <w:p w:rsidR="00111E21" w:rsidRPr="00F219CA" w:rsidRDefault="00111E21" w:rsidP="00111E21">
      <w:pPr>
        <w:pStyle w:val="a3"/>
      </w:pPr>
      <w:r w:rsidRPr="00F219CA">
        <w:t xml:space="preserve">Full Text: </w:t>
      </w:r>
      <w:hyperlink r:id="rId341" w:history="1">
        <w:r w:rsidRPr="00111E21">
          <w:rPr>
            <w:rStyle w:val="a5"/>
          </w:rPr>
          <w:t>2012\AIDS Care24, 1584.pdf</w:t>
        </w:r>
      </w:hyperlink>
    </w:p>
    <w:p w:rsidR="00111E21" w:rsidRDefault="00111E21" w:rsidP="00111E21">
      <w:pPr>
        <w:pStyle w:val="a3"/>
        <w:rPr>
          <w:kern w:val="0"/>
          <w:szCs w:val="24"/>
        </w:rPr>
      </w:pPr>
      <w:r>
        <w:rPr>
          <w:kern w:val="0"/>
          <w:szCs w:val="24"/>
        </w:rPr>
        <w:lastRenderedPageBreak/>
        <w:t>Abstract: Despite</w:t>
      </w:r>
      <w:r w:rsidR="003A1917">
        <w:rPr>
          <w:kern w:val="0"/>
          <w:szCs w:val="24"/>
        </w:rPr>
        <w:t xml:space="preserve"> the </w:t>
      </w:r>
      <w:r>
        <w:rPr>
          <w:kern w:val="0"/>
          <w:szCs w:val="24"/>
        </w:rPr>
        <w:t>advancement in highly active antiretroviral therapy</w:t>
      </w:r>
      <w:r w:rsidR="005853A9">
        <w:rPr>
          <w:kern w:val="0"/>
          <w:szCs w:val="24"/>
        </w:rPr>
        <w:t xml:space="preserve"> and </w:t>
      </w:r>
      <w:r>
        <w:rPr>
          <w:kern w:val="0"/>
          <w:szCs w:val="24"/>
        </w:rPr>
        <w:t>improved health status</w:t>
      </w:r>
      <w:r w:rsidR="00427468">
        <w:rPr>
          <w:kern w:val="0"/>
          <w:szCs w:val="24"/>
        </w:rPr>
        <w:t xml:space="preserve"> of </w:t>
      </w:r>
      <w:r>
        <w:rPr>
          <w:kern w:val="0"/>
          <w:szCs w:val="24"/>
        </w:rPr>
        <w:t>HIV-infected individuals, dental problems are still affecting their life</w:t>
      </w:r>
      <w:r w:rsidR="005853A9">
        <w:rPr>
          <w:kern w:val="0"/>
          <w:szCs w:val="24"/>
        </w:rPr>
        <w:t xml:space="preserve"> and </w:t>
      </w:r>
      <w:r>
        <w:rPr>
          <w:kern w:val="0"/>
          <w:szCs w:val="24"/>
        </w:rPr>
        <w:t>well-beings. We aimed to establish</w:t>
      </w:r>
      <w:r w:rsidR="003A1917">
        <w:rPr>
          <w:kern w:val="0"/>
          <w:szCs w:val="24"/>
        </w:rPr>
        <w:t xml:space="preserve"> the </w:t>
      </w:r>
      <w:r>
        <w:rPr>
          <w:kern w:val="0"/>
          <w:szCs w:val="24"/>
        </w:rPr>
        <w:t>prevalence</w:t>
      </w:r>
      <w:r w:rsidR="00427468">
        <w:rPr>
          <w:kern w:val="0"/>
          <w:szCs w:val="24"/>
        </w:rPr>
        <w:t xml:space="preserve"> of </w:t>
      </w:r>
      <w:r>
        <w:rPr>
          <w:kern w:val="0"/>
          <w:szCs w:val="24"/>
        </w:rPr>
        <w:t>oral</w:t>
      </w:r>
      <w:r w:rsidR="005853A9">
        <w:rPr>
          <w:kern w:val="0"/>
          <w:szCs w:val="24"/>
        </w:rPr>
        <w:t xml:space="preserve"> and </w:t>
      </w:r>
      <w:r>
        <w:rPr>
          <w:kern w:val="0"/>
          <w:szCs w:val="24"/>
        </w:rPr>
        <w:t>dental complaints among HIV-infected patients,</w:t>
      </w:r>
      <w:r w:rsidR="003A1917">
        <w:rPr>
          <w:kern w:val="0"/>
          <w:szCs w:val="24"/>
        </w:rPr>
        <w:t xml:space="preserve"> the </w:t>
      </w:r>
      <w:r>
        <w:rPr>
          <w:kern w:val="0"/>
          <w:szCs w:val="24"/>
        </w:rPr>
        <w:t>prevalence</w:t>
      </w:r>
      <w:r w:rsidR="00427468">
        <w:rPr>
          <w:kern w:val="0"/>
          <w:szCs w:val="24"/>
        </w:rPr>
        <w:t xml:space="preserve"> of </w:t>
      </w:r>
      <w:r>
        <w:rPr>
          <w:kern w:val="0"/>
          <w:szCs w:val="24"/>
        </w:rPr>
        <w:t>delayed access to dental service,</w:t>
      </w:r>
      <w:r w:rsidR="005853A9">
        <w:rPr>
          <w:kern w:val="0"/>
          <w:szCs w:val="24"/>
        </w:rPr>
        <w:t xml:space="preserve"> and </w:t>
      </w:r>
      <w:r>
        <w:rPr>
          <w:kern w:val="0"/>
          <w:szCs w:val="24"/>
        </w:rPr>
        <w:t>factors related with delayed access to dental service. A cross-sectional study using self-report questionnaire completed by</w:t>
      </w:r>
      <w:r w:rsidR="003A1917">
        <w:rPr>
          <w:kern w:val="0"/>
          <w:szCs w:val="24"/>
        </w:rPr>
        <w:t xml:space="preserve"> the </w:t>
      </w:r>
      <w:r>
        <w:rPr>
          <w:kern w:val="0"/>
          <w:szCs w:val="24"/>
        </w:rPr>
        <w:t>HIV-positive subjects was conducted at</w:t>
      </w:r>
      <w:r w:rsidR="003A1917">
        <w:rPr>
          <w:kern w:val="0"/>
          <w:szCs w:val="24"/>
        </w:rPr>
        <w:t xml:space="preserve"> the </w:t>
      </w:r>
      <w:r>
        <w:rPr>
          <w:kern w:val="0"/>
          <w:szCs w:val="24"/>
        </w:rPr>
        <w:t>largest HIV research clinic in Thailand during 2009-2010.</w:t>
      </w:r>
      <w:r w:rsidR="00427468">
        <w:rPr>
          <w:kern w:val="0"/>
          <w:szCs w:val="24"/>
        </w:rPr>
        <w:t xml:space="preserve"> of </w:t>
      </w:r>
      <w:r>
        <w:rPr>
          <w:kern w:val="0"/>
          <w:szCs w:val="24"/>
        </w:rPr>
        <w:t>all 299 subjects (28.6% males, 71% females,</w:t>
      </w:r>
      <w:r w:rsidR="005853A9">
        <w:rPr>
          <w:kern w:val="0"/>
          <w:szCs w:val="24"/>
        </w:rPr>
        <w:t xml:space="preserve"> and </w:t>
      </w:r>
      <w:r>
        <w:rPr>
          <w:kern w:val="0"/>
          <w:szCs w:val="24"/>
        </w:rPr>
        <w:t>0.4% sex change from male to female: ages ranged from 22 to 59 years [mean 36.7 +/- 5.53)]), 84.3% reported</w:t>
      </w:r>
      <w:r w:rsidR="00427468">
        <w:rPr>
          <w:kern w:val="0"/>
          <w:szCs w:val="24"/>
        </w:rPr>
        <w:t xml:space="preserve"> of </w:t>
      </w:r>
      <w:r>
        <w:rPr>
          <w:kern w:val="0"/>
          <w:szCs w:val="24"/>
        </w:rPr>
        <w:t>having past or present illnesses or problems related to</w:t>
      </w:r>
      <w:r w:rsidR="003A1917">
        <w:rPr>
          <w:kern w:val="0"/>
          <w:szCs w:val="24"/>
        </w:rPr>
        <w:t xml:space="preserve"> the </w:t>
      </w:r>
      <w:r>
        <w:rPr>
          <w:kern w:val="0"/>
          <w:szCs w:val="24"/>
        </w:rPr>
        <w:t>dental or oral conditions</w:t>
      </w:r>
      <w:r w:rsidR="00A37C1D">
        <w:rPr>
          <w:kern w:val="0"/>
          <w:szCs w:val="24"/>
        </w:rPr>
        <w:t>. The</w:t>
      </w:r>
      <w:r w:rsidR="003A1917">
        <w:rPr>
          <w:kern w:val="0"/>
          <w:szCs w:val="24"/>
        </w:rPr>
        <w:t xml:space="preserve"> </w:t>
      </w:r>
      <w:r>
        <w:rPr>
          <w:kern w:val="0"/>
          <w:szCs w:val="24"/>
        </w:rPr>
        <w:t>most reported problems were dental hypersensitivity (93.3%), bleeding from</w:t>
      </w:r>
      <w:r w:rsidR="003A1917">
        <w:rPr>
          <w:kern w:val="0"/>
          <w:szCs w:val="24"/>
        </w:rPr>
        <w:t xml:space="preserve"> the </w:t>
      </w:r>
      <w:r>
        <w:rPr>
          <w:kern w:val="0"/>
          <w:szCs w:val="24"/>
        </w:rPr>
        <w:t>gum (92.1%),</w:t>
      </w:r>
      <w:r w:rsidR="005853A9">
        <w:rPr>
          <w:kern w:val="0"/>
          <w:szCs w:val="24"/>
        </w:rPr>
        <w:t xml:space="preserve"> and </w:t>
      </w:r>
      <w:r>
        <w:rPr>
          <w:kern w:val="0"/>
          <w:szCs w:val="24"/>
        </w:rPr>
        <w:t>having dental caries (65.9%). Two-hundred</w:t>
      </w:r>
      <w:r w:rsidR="005853A9">
        <w:rPr>
          <w:kern w:val="0"/>
          <w:szCs w:val="24"/>
        </w:rPr>
        <w:t xml:space="preserve"> and </w:t>
      </w:r>
      <w:r>
        <w:rPr>
          <w:kern w:val="0"/>
          <w:szCs w:val="24"/>
        </w:rPr>
        <w:t>forty-two subjects (80.9%) would not disclose their HIV status when seeing a dentist</w:t>
      </w:r>
      <w:r w:rsidR="00A37C1D">
        <w:rPr>
          <w:kern w:val="0"/>
          <w:szCs w:val="24"/>
        </w:rPr>
        <w:t>. The</w:t>
      </w:r>
      <w:r w:rsidR="003A1917">
        <w:rPr>
          <w:kern w:val="0"/>
          <w:szCs w:val="24"/>
        </w:rPr>
        <w:t xml:space="preserve"> </w:t>
      </w:r>
      <w:r>
        <w:rPr>
          <w:kern w:val="0"/>
          <w:szCs w:val="24"/>
        </w:rPr>
        <w:t>most cited reasons</w:t>
      </w:r>
      <w:r w:rsidR="00427468">
        <w:rPr>
          <w:kern w:val="0"/>
          <w:szCs w:val="24"/>
        </w:rPr>
        <w:t xml:space="preserve"> of </w:t>
      </w:r>
      <w:r>
        <w:rPr>
          <w:kern w:val="0"/>
          <w:szCs w:val="24"/>
        </w:rPr>
        <w:t>such behavior were their personal right whether to reveal or not,</w:t>
      </w:r>
      <w:r w:rsidR="005853A9">
        <w:rPr>
          <w:kern w:val="0"/>
          <w:szCs w:val="24"/>
        </w:rPr>
        <w:t xml:space="preserve"> and </w:t>
      </w:r>
      <w:r>
        <w:rPr>
          <w:kern w:val="0"/>
          <w:szCs w:val="24"/>
        </w:rPr>
        <w:t>being afraid</w:t>
      </w:r>
      <w:r w:rsidR="00427468">
        <w:rPr>
          <w:kern w:val="0"/>
          <w:szCs w:val="24"/>
        </w:rPr>
        <w:t xml:space="preserve"> of </w:t>
      </w:r>
      <w:r>
        <w:rPr>
          <w:kern w:val="0"/>
          <w:szCs w:val="24"/>
        </w:rPr>
        <w:t>not receiving dental treatment from</w:t>
      </w:r>
      <w:r w:rsidR="003A1917">
        <w:rPr>
          <w:kern w:val="0"/>
          <w:szCs w:val="24"/>
        </w:rPr>
        <w:t xml:space="preserve"> the </w:t>
      </w:r>
      <w:r>
        <w:rPr>
          <w:kern w:val="0"/>
          <w:szCs w:val="24"/>
        </w:rPr>
        <w:t>dentists or staffs (51.7</w:t>
      </w:r>
      <w:r w:rsidR="005853A9">
        <w:rPr>
          <w:kern w:val="0"/>
          <w:szCs w:val="24"/>
        </w:rPr>
        <w:t xml:space="preserve"> and </w:t>
      </w:r>
      <w:r>
        <w:rPr>
          <w:kern w:val="0"/>
          <w:szCs w:val="24"/>
        </w:rPr>
        <w:t>40.9%, respectively). It is important to note that HIV-subjects admitted to having fear</w:t>
      </w:r>
      <w:r w:rsidR="00427468">
        <w:rPr>
          <w:kern w:val="0"/>
          <w:szCs w:val="24"/>
        </w:rPr>
        <w:t xml:space="preserve"> of </w:t>
      </w:r>
      <w:r>
        <w:rPr>
          <w:kern w:val="0"/>
          <w:szCs w:val="24"/>
        </w:rPr>
        <w:t>being discriminated by</w:t>
      </w:r>
      <w:r w:rsidR="003A1917">
        <w:rPr>
          <w:kern w:val="0"/>
          <w:szCs w:val="24"/>
        </w:rPr>
        <w:t xml:space="preserve"> the </w:t>
      </w:r>
      <w:r>
        <w:rPr>
          <w:kern w:val="0"/>
          <w:szCs w:val="24"/>
        </w:rPr>
        <w:t>dental staffs even if they trusted their dentists as having high morality. In conclusion, our HIV-subjects had good basic knowledge</w:t>
      </w:r>
      <w:r w:rsidR="00427468">
        <w:rPr>
          <w:kern w:val="0"/>
          <w:szCs w:val="24"/>
        </w:rPr>
        <w:t xml:space="preserve"> of </w:t>
      </w:r>
      <w:r>
        <w:rPr>
          <w:kern w:val="0"/>
          <w:szCs w:val="24"/>
        </w:rPr>
        <w:t>oral health with regard to HIV infection, experienced common dental problems,</w:t>
      </w:r>
      <w:r w:rsidR="005853A9">
        <w:rPr>
          <w:kern w:val="0"/>
          <w:szCs w:val="24"/>
        </w:rPr>
        <w:t xml:space="preserve"> and </w:t>
      </w:r>
      <w:r>
        <w:rPr>
          <w:kern w:val="0"/>
          <w:szCs w:val="24"/>
        </w:rPr>
        <w:t>wished to have accesses to HIV-dental specialist services, if possible.</w:t>
      </w:r>
    </w:p>
    <w:p w:rsidR="00111E21" w:rsidRDefault="00111E21" w:rsidP="00111E21">
      <w:pPr>
        <w:pStyle w:val="a3"/>
        <w:rPr>
          <w:kern w:val="0"/>
          <w:szCs w:val="24"/>
        </w:rPr>
      </w:pPr>
      <w:r>
        <w:rPr>
          <w:kern w:val="0"/>
          <w:szCs w:val="24"/>
        </w:rPr>
        <w:t>Keywords: Access, Aids, Antiretroviral Therapy, Attitude, Attitudes, Behavior, Bleeding, Care, Caries, Clinic, Dental Treatment, Dentists, Disease, Fear, Female, Health, Health Status, Highly Active, Highly Active Antiretroviral Therapy, HIV, HIV Infection, HIV, AIDS, Infection, Knowledge, Knowledge, Life, Male, Medical Patients, Morality, Needs, Oral, Oral-Health, Patients, Prevalence, Questionnaire, Research, Right, Self-Report Questionnaire, Service, Services, Sex, Thailand, Therapy, Treatment, Unmet Need</w:t>
      </w:r>
    </w:p>
    <w:p w:rsidR="003474F2" w:rsidRPr="001A3D2B" w:rsidRDefault="003474F2" w:rsidP="003474F2">
      <w:pPr>
        <w:pStyle w:val="1"/>
      </w:pPr>
      <w:r w:rsidRPr="001A3D2B">
        <w:br w:type="page"/>
      </w:r>
      <w:bookmarkStart w:id="185" w:name="_Toc420814349"/>
      <w:r w:rsidRPr="001A3D2B">
        <w:lastRenderedPageBreak/>
        <w:t>Title: AIDS Patient Care</w:t>
      </w:r>
      <w:r w:rsidR="005853A9">
        <w:t xml:space="preserve"> and </w:t>
      </w:r>
      <w:r w:rsidRPr="001A3D2B">
        <w:t>STDs</w:t>
      </w:r>
      <w:bookmarkEnd w:id="185"/>
    </w:p>
    <w:p w:rsidR="003474F2" w:rsidRPr="001A3D2B" w:rsidRDefault="003474F2" w:rsidP="003474F2">
      <w:pPr>
        <w:pStyle w:val="12"/>
      </w:pPr>
      <w:r w:rsidRPr="001A3D2B">
        <w:t xml:space="preserve">Full Journal Title: </w:t>
      </w:r>
      <w:hyperlink r:id="rId342" w:history="1">
        <w:r w:rsidRPr="001A3D2B">
          <w:rPr>
            <w:rStyle w:val="a5"/>
            <w:iCs/>
          </w:rPr>
          <w:t>AIDS Patient Care</w:t>
        </w:r>
        <w:r w:rsidR="005853A9">
          <w:rPr>
            <w:rStyle w:val="a5"/>
            <w:iCs/>
          </w:rPr>
          <w:t xml:space="preserve"> and </w:t>
        </w:r>
        <w:r w:rsidRPr="001A3D2B">
          <w:rPr>
            <w:rStyle w:val="a5"/>
            <w:iCs/>
          </w:rPr>
          <w:t>STDs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1087-2914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Olfson, E.</w:t>
      </w:r>
      <w:r w:rsidR="005853A9">
        <w:t xml:space="preserve"> and </w:t>
      </w:r>
      <w:r w:rsidRPr="001A3D2B">
        <w:t>Laurence, J. (2005), Accessibility</w:t>
      </w:r>
      <w:r w:rsidR="005853A9">
        <w:t xml:space="preserve"> and </w:t>
      </w:r>
      <w:r w:rsidRPr="001A3D2B">
        <w:t>longevity</w:t>
      </w:r>
      <w:r w:rsidR="00427468">
        <w:t xml:space="preserve"> of </w:t>
      </w:r>
      <w:r w:rsidRPr="001A3D2B">
        <w:t xml:space="preserve">Internet citations in a clinical AIDS journal. </w:t>
      </w:r>
      <w:r w:rsidRPr="001A3D2B">
        <w:rPr>
          <w:i/>
          <w:iCs/>
        </w:rPr>
        <w:t>AIDS Patient Care</w:t>
      </w:r>
      <w:r w:rsidR="005853A9">
        <w:rPr>
          <w:i/>
          <w:iCs/>
        </w:rPr>
        <w:t xml:space="preserve"> and </w:t>
      </w:r>
      <w:r w:rsidRPr="001A3D2B">
        <w:rPr>
          <w:i/>
          <w:iCs/>
        </w:rPr>
        <w:t>STDs</w:t>
      </w:r>
      <w:r w:rsidRPr="001A3D2B">
        <w:t xml:space="preserve">, </w:t>
      </w:r>
      <w:r w:rsidRPr="001A3D2B">
        <w:rPr>
          <w:b/>
          <w:bCs/>
        </w:rPr>
        <w:t>19</w:t>
      </w:r>
      <w:r w:rsidRPr="001A3D2B">
        <w:t xml:space="preserve"> (1), 5-8.</w:t>
      </w:r>
    </w:p>
    <w:p w:rsidR="003474F2" w:rsidRPr="001A3D2B" w:rsidRDefault="003474F2" w:rsidP="003474F2">
      <w:pPr>
        <w:pStyle w:val="a3"/>
      </w:pPr>
      <w:r w:rsidRPr="001A3D2B">
        <w:t>Abstract: Little is known about</w:t>
      </w:r>
      <w:r w:rsidR="003A1917">
        <w:t xml:space="preserve"> the </w:t>
      </w:r>
      <w:r w:rsidRPr="001A3D2B">
        <w:t>accessibility</w:t>
      </w:r>
      <w:r w:rsidR="005853A9">
        <w:t xml:space="preserve"> and </w:t>
      </w:r>
      <w:r w:rsidRPr="001A3D2B">
        <w:t>longevity</w:t>
      </w:r>
      <w:r w:rsidR="00427468">
        <w:t xml:space="preserve"> of </w:t>
      </w:r>
      <w:r w:rsidRPr="001A3D2B">
        <w:t>Internet references in medical</w:t>
      </w:r>
      <w:r w:rsidR="005853A9">
        <w:t xml:space="preserve"> and </w:t>
      </w:r>
      <w:r w:rsidRPr="001A3D2B">
        <w:t>scientific journals. This is particularly problematic in</w:t>
      </w:r>
      <w:r w:rsidR="003A1917">
        <w:t xml:space="preserve"> the </w:t>
      </w:r>
      <w:r w:rsidRPr="001A3D2B">
        <w:t>ever changing field</w:t>
      </w:r>
      <w:r w:rsidR="00427468">
        <w:t xml:space="preserve"> of </w:t>
      </w:r>
      <w:r w:rsidRPr="001A3D2B">
        <w:t>HIV/AIDS. We examined all issues</w:t>
      </w:r>
      <w:r w:rsidR="00427468">
        <w:t xml:space="preserve"> of </w:t>
      </w:r>
      <w:r w:rsidRPr="001A3D2B">
        <w:t>AIDS Patient Care</w:t>
      </w:r>
      <w:r w:rsidR="005853A9">
        <w:t xml:space="preserve"> and </w:t>
      </w:r>
      <w:r w:rsidRPr="001A3D2B">
        <w:t>STDs between 2001</w:t>
      </w:r>
      <w:r w:rsidR="005853A9">
        <w:t xml:space="preserve"> and </w:t>
      </w:r>
      <w:r w:rsidRPr="001A3D2B">
        <w:t>2004 to test</w:t>
      </w:r>
      <w:r w:rsidR="003A1917">
        <w:t xml:space="preserve"> the </w:t>
      </w:r>
      <w:r w:rsidRPr="001A3D2B">
        <w:t>use</w:t>
      </w:r>
      <w:r w:rsidR="005853A9">
        <w:t xml:space="preserve"> and </w:t>
      </w:r>
      <w:r w:rsidRPr="001A3D2B">
        <w:t>accessibility</w:t>
      </w:r>
      <w:r w:rsidR="00427468">
        <w:t xml:space="preserve"> of </w:t>
      </w:r>
      <w:r w:rsidRPr="001A3D2B">
        <w:t>Internet citations during this period</w:t>
      </w:r>
      <w:r w:rsidR="00A37C1D">
        <w:t>. The</w:t>
      </w:r>
      <w:r w:rsidR="003A1917">
        <w:t xml:space="preserve"> </w:t>
      </w:r>
      <w:r w:rsidRPr="001A3D2B">
        <w:t>results were compared to findings from a similar evaluation by Hester</w:t>
      </w:r>
      <w:r w:rsidR="005853A9">
        <w:t xml:space="preserve"> and </w:t>
      </w:r>
      <w:r w:rsidRPr="001A3D2B">
        <w:t>collagues in 2004</w:t>
      </w:r>
      <w:r w:rsidR="00427468">
        <w:t xml:space="preserve"> of </w:t>
      </w:r>
      <w:r w:rsidRPr="001A3D2B">
        <w:t>oncology journals. We found that Internet referencing increased from a mean</w:t>
      </w:r>
      <w:r w:rsidR="00427468">
        <w:t xml:space="preserve"> of </w:t>
      </w:r>
      <w:r w:rsidRPr="001A3D2B">
        <w:t>0.7% (range, 0.0% - 2.1%)</w:t>
      </w:r>
      <w:r w:rsidR="00427468">
        <w:t xml:space="preserve"> of </w:t>
      </w:r>
      <w:r w:rsidRPr="001A3D2B">
        <w:t>all citations in 2001 to a mean</w:t>
      </w:r>
      <w:r w:rsidR="00427468">
        <w:t xml:space="preserve"> of </w:t>
      </w:r>
      <w:r w:rsidRPr="001A3D2B">
        <w:t>3.5% (range, 0.0% - 11.2%) in 2004. As</w:t>
      </w:r>
      <w:r w:rsidR="003A1917">
        <w:t xml:space="preserve"> the </w:t>
      </w:r>
      <w:r w:rsidRPr="001A3D2B">
        <w:t>period</w:t>
      </w:r>
      <w:r w:rsidR="00427468">
        <w:t xml:space="preserve"> of </w:t>
      </w:r>
      <w:r w:rsidRPr="001A3D2B">
        <w:t>time increased from an article</w:t>
      </w:r>
      <w:r w:rsidR="00700038">
        <w:t>’</w:t>
      </w:r>
      <w:r w:rsidR="00C13DDC">
        <w:t>s</w:t>
      </w:r>
      <w:r w:rsidRPr="001A3D2B">
        <w:t xml:space="preserve"> publication,</w:t>
      </w:r>
      <w:r w:rsidR="003A1917">
        <w:t xml:space="preserve"> the </w:t>
      </w:r>
      <w:r w:rsidRPr="001A3D2B">
        <w:t>proportion</w:t>
      </w:r>
      <w:r w:rsidR="00427468">
        <w:t xml:space="preserve"> of </w:t>
      </w:r>
      <w:r w:rsidRPr="001A3D2B">
        <w:t>inactive Internet references increased (21.3% [1 year] to 41.7% [4 years])</w:t>
      </w:r>
      <w:r w:rsidR="00A37C1D">
        <w:t>. The</w:t>
      </w:r>
      <w:r w:rsidRPr="001A3D2B">
        <w:t>se findings demonstrate</w:t>
      </w:r>
      <w:r w:rsidR="003A1917">
        <w:t xml:space="preserve"> the </w:t>
      </w:r>
      <w:r w:rsidRPr="001A3D2B">
        <w:t>need to adapt new citation policies to facilitate</w:t>
      </w:r>
      <w:r w:rsidR="003A1917">
        <w:t xml:space="preserve"> the </w:t>
      </w:r>
      <w:r w:rsidRPr="001A3D2B">
        <w:t>accessibility</w:t>
      </w:r>
      <w:r w:rsidR="00427468">
        <w:t xml:space="preserve"> of </w:t>
      </w:r>
      <w:r w:rsidRPr="001A3D2B">
        <w:t>referenced Internet information.</w:t>
      </w:r>
    </w:p>
    <w:p w:rsidR="003474F2" w:rsidRPr="001A3D2B" w:rsidRDefault="003474F2" w:rsidP="003474F2">
      <w:pPr>
        <w:pStyle w:val="a3"/>
      </w:pPr>
      <w:r w:rsidRPr="001A3D2B">
        <w:t>Keywords: AID, AIDS, Citation, Citations, Clinical, Evaluation, Field, Information, Internet, Journal, Journals, Medical, Oncology, Policies, Publication, Referencing, Scientific Journals</w:t>
      </w:r>
    </w:p>
    <w:p w:rsidR="00606091" w:rsidRDefault="00606091" w:rsidP="00606091">
      <w:pPr>
        <w:pStyle w:val="a3"/>
      </w:pPr>
      <w:r>
        <w:t>?</w:t>
      </w:r>
      <w:r>
        <w:rPr>
          <w:kern w:val="0"/>
        </w:rPr>
        <w:t xml:space="preserve"> Phiri, K., Fischer, M.A., Mogun, H., Williams, P.L., Palmsten, K., Seage, G.R. and Hernandez-Diaz, S. (2014), Trends in antiretroviral drug use during pregnancy among HIV-infected women on medicaid: 2000-2007. </w:t>
      </w:r>
      <w:r>
        <w:rPr>
          <w:i/>
          <w:iCs/>
          <w:kern w:val="0"/>
        </w:rPr>
        <w:t>AIDS Patient Care and STDs</w:t>
      </w:r>
      <w:r>
        <w:rPr>
          <w:kern w:val="0"/>
        </w:rPr>
        <w:t xml:space="preserve">, </w:t>
      </w:r>
      <w:r>
        <w:rPr>
          <w:b/>
          <w:bCs/>
          <w:kern w:val="0"/>
        </w:rPr>
        <w:t>28</w:t>
      </w:r>
      <w:r>
        <w:rPr>
          <w:kern w:val="0"/>
        </w:rPr>
        <w:t xml:space="preserve"> (2), 56-65.</w:t>
      </w:r>
    </w:p>
    <w:p w:rsidR="00606091" w:rsidRDefault="00606091" w:rsidP="00606091">
      <w:pPr>
        <w:pStyle w:val="a3"/>
      </w:pPr>
      <w:r>
        <w:t>Full Text: 2014\</w:t>
      </w:r>
      <w:r>
        <w:rPr>
          <w:iCs/>
        </w:rPr>
        <w:t>AID Pat Car STD</w:t>
      </w:r>
      <w:r>
        <w:rPr>
          <w:bCs/>
          <w:kern w:val="0"/>
        </w:rPr>
        <w:t>28</w:t>
      </w:r>
      <w:r>
        <w:rPr>
          <w:kern w:val="0"/>
        </w:rPr>
        <w:t>, 56.pdf</w:t>
      </w:r>
    </w:p>
    <w:p w:rsidR="00606091" w:rsidRDefault="00606091" w:rsidP="00606091">
      <w:pPr>
        <w:pStyle w:val="a3"/>
        <w:rPr>
          <w:kern w:val="0"/>
        </w:rPr>
      </w:pPr>
      <w:r>
        <w:rPr>
          <w:kern w:val="0"/>
        </w:rPr>
        <w:t xml:space="preserve">Abstract: Optimal use of antiretroviral drugs by pregnant women living with human immunodeficiency virus (HIV) is crucial to treat maternal HIV infection and prevent perinatal transmission of the virus effectively. Our goal was to describe national trends of antiretroviral (ARV) use during pregnancy among HIV-infected women </w:t>
      </w:r>
      <w:r>
        <w:rPr>
          <w:kern w:val="0"/>
        </w:rPr>
        <w:lastRenderedPageBreak/>
        <w:t>living in the U.S. and enrolled in Medicaid. We used the 2000-2007 Medicaid Analytic eXtract (MAX) files to identify our study cohort. ARV use was defined as the dispensing of at least one ARV drug prescription during pregnancy based on Medicaid pharmacy claims</w:t>
      </w:r>
      <w:r w:rsidR="00A37C1D">
        <w:rPr>
          <w:kern w:val="0"/>
        </w:rPr>
        <w:t>. The</w:t>
      </w:r>
      <w:r>
        <w:rPr>
          <w:kern w:val="0"/>
        </w:rPr>
        <w:t xml:space="preserve"> prevalence of HIV was calculated, and temporal trends of ARV use during pregnancy were compared to the U.S. perinatal treatment guidelines. Predictors of ARV use during pregnancy were assessed using logistic regression models. From 1,106,757 pregnancies (955,251 women), 3083 (2856 women, 0.28%) were identified as HIV positive. We found striking regional variations in the prevalence of HIV and ARV prescription dispensing among pregnant women</w:t>
      </w:r>
      <w:r w:rsidR="00A37C1D">
        <w:rPr>
          <w:kern w:val="0"/>
        </w:rPr>
        <w:t>. The</w:t>
      </w:r>
      <w:r>
        <w:rPr>
          <w:kern w:val="0"/>
        </w:rPr>
        <w:t xml:space="preserve"> states with the highest HIV prevalence were Washington DC (5.8%), Maryland (0.90%), and New York (0.89%); all other states had a prevalence below 0.5%. A substantial fraction of women did not have any ARV dispensing throughout pregnancy (637 of 3083 (21%) pregnancies), and women with limited health care utilization were the least likely to have ARV dispensings. This finding calls for further research to better characterize HIV-positive women who are enrolled in Medicaid prior to pregnancy and yet have no ARV prescriptions so that appropriate interventions can be implemented.</w:t>
      </w:r>
    </w:p>
    <w:p w:rsidR="00606091" w:rsidRDefault="00606091" w:rsidP="00606091">
      <w:pPr>
        <w:pStyle w:val="a3"/>
        <w:rPr>
          <w:kern w:val="0"/>
        </w:rPr>
      </w:pPr>
      <w:r>
        <w:rPr>
          <w:kern w:val="0"/>
        </w:rPr>
        <w:t>Keywords: United-States, Adherence</w:t>
      </w:r>
    </w:p>
    <w:p w:rsidR="00606091" w:rsidRDefault="00606091" w:rsidP="00606091">
      <w:pPr>
        <w:pStyle w:val="a3"/>
        <w:rPr>
          <w:kern w:val="0"/>
        </w:rPr>
      </w:pPr>
      <w:r>
        <w:rPr>
          <w:rFonts w:hint="eastAsia"/>
          <w:kern w:val="0"/>
        </w:rPr>
        <w:t xml:space="preserve">? </w:t>
      </w:r>
      <w:r>
        <w:rPr>
          <w:kern w:val="0"/>
        </w:rPr>
        <w:t xml:space="preserve">Oramasionwu, C.U., Moore, H.N. and Toliver, J.C. (2014), Barriers to hepatitis C antiviral therapy in HIV/HCV co-infected patients in the United States: A review. </w:t>
      </w:r>
      <w:r>
        <w:rPr>
          <w:i/>
          <w:iCs/>
          <w:kern w:val="0"/>
        </w:rPr>
        <w:t>AIDS Patient Care and STDS</w:t>
      </w:r>
      <w:r>
        <w:rPr>
          <w:kern w:val="0"/>
        </w:rPr>
        <w:t xml:space="preserve">, </w:t>
      </w:r>
      <w:r>
        <w:rPr>
          <w:b/>
          <w:bCs/>
          <w:kern w:val="0"/>
        </w:rPr>
        <w:t>28</w:t>
      </w:r>
      <w:r>
        <w:rPr>
          <w:kern w:val="0"/>
        </w:rPr>
        <w:t xml:space="preserve"> (5), 228-239.</w:t>
      </w:r>
    </w:p>
    <w:p w:rsidR="00606091" w:rsidRDefault="00606091" w:rsidP="00606091">
      <w:pPr>
        <w:pStyle w:val="a3"/>
      </w:pPr>
      <w:r>
        <w:t>Full Text: 2014\</w:t>
      </w:r>
      <w:r>
        <w:rPr>
          <w:iCs/>
        </w:rPr>
        <w:t>AID Pat Car STD</w:t>
      </w:r>
      <w:r>
        <w:rPr>
          <w:bCs/>
          <w:kern w:val="0"/>
        </w:rPr>
        <w:t>28</w:t>
      </w:r>
      <w:r>
        <w:rPr>
          <w:kern w:val="0"/>
        </w:rPr>
        <w:t xml:space="preserve">, </w:t>
      </w:r>
      <w:r>
        <w:rPr>
          <w:rFonts w:hint="eastAsia"/>
          <w:kern w:val="0"/>
        </w:rPr>
        <w:t>228</w:t>
      </w:r>
      <w:r>
        <w:rPr>
          <w:kern w:val="0"/>
        </w:rPr>
        <w:t>.pdf</w:t>
      </w:r>
    </w:p>
    <w:p w:rsidR="00606091" w:rsidRDefault="001E1D98" w:rsidP="00606091">
      <w:pPr>
        <w:pStyle w:val="a3"/>
        <w:rPr>
          <w:kern w:val="0"/>
        </w:rPr>
      </w:pPr>
      <w:r>
        <w:rPr>
          <w:kern w:val="0"/>
        </w:rPr>
        <w:t>Abstract:</w:t>
      </w:r>
      <w:r w:rsidR="00606091">
        <w:rPr>
          <w:kern w:val="0"/>
        </w:rPr>
        <w:t xml:space="preserve"> This review synthesized the literature for barriers to HCV antiviral treatment in persons with HIV/HCV co-infection. Searches of PubMed, Embase, CINAHL, and Web of Science were conducted to identify relevant articles. Articles were excluded based on the following criteria: study conducted outside of the United States, not original research, pediatric study population, experimental study design, non-HIV or non-HCV study population, and article published in a language other than English. Sixteen studies met criteria and varied widely in terms of study setting and design. Hepatic decompensation was the most commonly documented absolute/nonmodifiable medical barrier. Substance use was widely reported as a relative/modifiable medical barrier. Patient-level barriers included nonadherence to medical care, refusal of therapy, and social circumstances. Provider-level barriers included provider inexperience with antiviral treatment and/or reluctance of providers to refer patients for treatment</w:t>
      </w:r>
      <w:r w:rsidR="00A37C1D">
        <w:rPr>
          <w:kern w:val="0"/>
        </w:rPr>
        <w:t>. The</w:t>
      </w:r>
      <w:r w:rsidR="00606091">
        <w:rPr>
          <w:kern w:val="0"/>
        </w:rPr>
        <w:t xml:space="preserve">re are many ongoing challenges that are unique to managing this patient population effectively. Documenting and evaluating these obstacles are critical steps to managing and caring for these individuals in the future. In order to improve uptake of HCV therapy in persons with HIV/HCV co-infection, it is essential that barriers, both new and ongoing, are addressed, </w:t>
      </w:r>
      <w:r w:rsidR="00606091">
        <w:rPr>
          <w:kern w:val="0"/>
        </w:rPr>
        <w:lastRenderedPageBreak/>
        <w:t>otherwise, treatment is of little benefit.</w:t>
      </w:r>
    </w:p>
    <w:p w:rsidR="00606091" w:rsidRDefault="00606091" w:rsidP="00606091">
      <w:pPr>
        <w:pStyle w:val="a3"/>
        <w:rPr>
          <w:kern w:val="0"/>
        </w:rPr>
      </w:pPr>
      <w:r>
        <w:rPr>
          <w:kern w:val="0"/>
        </w:rPr>
        <w:t>Keywords: Active Antiretroviral Therapy, Antiviral, Article, Articles, Barrier, Barriers, Care, Caring, Coinfection, Criteria, Design, English, Experimental, HCV, HCV Treatment, HIV Coinfection, Human-Immunodeficiency-Virus, Initial Treatment, Injection-Drug Users, Interferon-Alpha Therapy, Language, Literature, Medical, Medical Care, Patients, Pediatric, Plus Ribavirin, Population, Providers, Pubmed, Refusal, Research, Review, Science, Social, Study Design, Therapy, Treatment, Treatment Decision-Making, Treatment Eligibility, United States, Uptake, Web Of Science</w:t>
      </w:r>
    </w:p>
    <w:p w:rsidR="00487130" w:rsidRPr="00F219CA" w:rsidRDefault="00487130" w:rsidP="00487130">
      <w:pPr>
        <w:pStyle w:val="1"/>
      </w:pPr>
      <w:r w:rsidRPr="00F219CA">
        <w:br w:type="page"/>
      </w:r>
      <w:bookmarkStart w:id="186" w:name="_Toc420814350"/>
      <w:r w:rsidRPr="00F219CA">
        <w:lastRenderedPageBreak/>
        <w:t xml:space="preserve">Title: </w:t>
      </w:r>
      <w:r w:rsidRPr="001F19A2">
        <w:rPr>
          <w:iCs w:val="0"/>
        </w:rPr>
        <w:t>AIDS Research</w:t>
      </w:r>
      <w:r w:rsidR="005853A9">
        <w:rPr>
          <w:iCs w:val="0"/>
        </w:rPr>
        <w:t xml:space="preserve"> and </w:t>
      </w:r>
      <w:r w:rsidRPr="001F19A2">
        <w:rPr>
          <w:iCs w:val="0"/>
        </w:rPr>
        <w:t>Human Retroviruses</w:t>
      </w:r>
      <w:bookmarkEnd w:id="186"/>
    </w:p>
    <w:p w:rsidR="00487130" w:rsidRPr="00F219CA" w:rsidRDefault="00487130" w:rsidP="00487130">
      <w:pPr>
        <w:pStyle w:val="12"/>
      </w:pPr>
      <w:r>
        <w:t xml:space="preserve">Full Journal Title: </w:t>
      </w:r>
      <w:r w:rsidRPr="001F19A2">
        <w:rPr>
          <w:iCs/>
          <w:kern w:val="0"/>
        </w:rPr>
        <w:t>AIDS Research</w:t>
      </w:r>
      <w:r w:rsidR="005853A9">
        <w:rPr>
          <w:iCs/>
          <w:kern w:val="0"/>
        </w:rPr>
        <w:t xml:space="preserve"> and </w:t>
      </w:r>
      <w:r w:rsidRPr="001F19A2">
        <w:rPr>
          <w:iCs/>
          <w:kern w:val="0"/>
        </w:rPr>
        <w:t>Human Retroviruses</w:t>
      </w:r>
    </w:p>
    <w:p w:rsidR="00487130" w:rsidRPr="00F219CA" w:rsidRDefault="00487130" w:rsidP="00487130">
      <w:pPr>
        <w:pStyle w:val="12"/>
      </w:pPr>
      <w:r w:rsidRPr="00F219CA">
        <w:t xml:space="preserve">ISO Abbreviated Title: </w:t>
      </w:r>
    </w:p>
    <w:p w:rsidR="00487130" w:rsidRPr="00F219CA" w:rsidRDefault="00487130" w:rsidP="00487130">
      <w:pPr>
        <w:pStyle w:val="12"/>
      </w:pPr>
      <w:r w:rsidRPr="00F219CA">
        <w:t xml:space="preserve">JCR Abbreviated Title: </w:t>
      </w:r>
    </w:p>
    <w:p w:rsidR="00487130" w:rsidRPr="00F219CA" w:rsidRDefault="00487130" w:rsidP="00487130">
      <w:pPr>
        <w:pStyle w:val="12"/>
      </w:pPr>
      <w:r w:rsidRPr="00F219CA">
        <w:t xml:space="preserve">ISSN: </w:t>
      </w:r>
    </w:p>
    <w:p w:rsidR="00487130" w:rsidRPr="00F219CA" w:rsidRDefault="00487130" w:rsidP="00487130">
      <w:pPr>
        <w:pStyle w:val="12"/>
      </w:pPr>
      <w:r w:rsidRPr="00F219CA">
        <w:t xml:space="preserve">Issues/Year: </w:t>
      </w:r>
    </w:p>
    <w:p w:rsidR="00487130" w:rsidRPr="00F219CA" w:rsidRDefault="00487130" w:rsidP="00487130">
      <w:pPr>
        <w:pStyle w:val="12"/>
      </w:pPr>
      <w:r w:rsidRPr="00F219CA">
        <w:t xml:space="preserve">Journal Country/Territory: </w:t>
      </w:r>
    </w:p>
    <w:p w:rsidR="00487130" w:rsidRPr="00F219CA" w:rsidRDefault="00487130" w:rsidP="00487130">
      <w:pPr>
        <w:pStyle w:val="12"/>
      </w:pPr>
      <w:r w:rsidRPr="00F219CA">
        <w:t xml:space="preserve">Language: </w:t>
      </w:r>
    </w:p>
    <w:p w:rsidR="00487130" w:rsidRPr="00F219CA" w:rsidRDefault="00487130" w:rsidP="00487130">
      <w:pPr>
        <w:pStyle w:val="12"/>
      </w:pPr>
      <w:r w:rsidRPr="00F219CA">
        <w:t xml:space="preserve">Publisher: </w:t>
      </w:r>
    </w:p>
    <w:p w:rsidR="00487130" w:rsidRPr="00F219CA" w:rsidRDefault="00487130" w:rsidP="00487130">
      <w:pPr>
        <w:pStyle w:val="12"/>
      </w:pPr>
      <w:r w:rsidRPr="00F219CA">
        <w:t xml:space="preserve">Publisher Address: </w:t>
      </w:r>
    </w:p>
    <w:p w:rsidR="00487130" w:rsidRPr="00F219CA" w:rsidRDefault="00487130" w:rsidP="00487130">
      <w:pPr>
        <w:pStyle w:val="12"/>
      </w:pPr>
      <w:r w:rsidRPr="00F219CA">
        <w:t xml:space="preserve">Subject Categories: </w:t>
      </w:r>
    </w:p>
    <w:p w:rsidR="00487130" w:rsidRPr="00F219CA" w:rsidRDefault="00487130" w:rsidP="00487130">
      <w:pPr>
        <w:pStyle w:val="12"/>
      </w:pPr>
      <w:r w:rsidRPr="00F219CA">
        <w:t>: Impact Factor</w:t>
      </w:r>
    </w:p>
    <w:p w:rsidR="00487130" w:rsidRDefault="00487130" w:rsidP="00487130">
      <w:pPr>
        <w:pStyle w:val="a3"/>
        <w:rPr>
          <w:kern w:val="0"/>
        </w:rPr>
      </w:pPr>
      <w:r>
        <w:rPr>
          <w:rFonts w:hint="eastAsia"/>
          <w:kern w:val="0"/>
        </w:rPr>
        <w:t xml:space="preserve">? </w:t>
      </w:r>
      <w:r>
        <w:rPr>
          <w:kern w:val="0"/>
        </w:rPr>
        <w:t>Falagas, M.E., Bliziotis, I.A., Kondilis, B.</w:t>
      </w:r>
      <w:r w:rsidR="005853A9">
        <w:rPr>
          <w:kern w:val="0"/>
        </w:rPr>
        <w:t xml:space="preserve"> and </w:t>
      </w:r>
      <w:r>
        <w:rPr>
          <w:kern w:val="0"/>
        </w:rPr>
        <w:t>Soteriades, E.S. (2006), Eighteen years</w:t>
      </w:r>
      <w:r w:rsidR="00427468">
        <w:rPr>
          <w:kern w:val="0"/>
        </w:rPr>
        <w:t xml:space="preserve"> of </w:t>
      </w:r>
      <w:r>
        <w:rPr>
          <w:kern w:val="0"/>
        </w:rPr>
        <w:t>research on AIDS: Contribution</w:t>
      </w:r>
      <w:r w:rsidR="00427468">
        <w:rPr>
          <w:kern w:val="0"/>
        </w:rPr>
        <w:t xml:space="preserve"> of </w:t>
      </w:r>
      <w:r w:rsidR="005853A9">
        <w:rPr>
          <w:kern w:val="0"/>
        </w:rPr>
        <w:t xml:space="preserve">and </w:t>
      </w:r>
      <w:r>
        <w:rPr>
          <w:kern w:val="0"/>
        </w:rPr>
        <w:t xml:space="preserve">collaborations between different world regions. </w:t>
      </w:r>
      <w:r w:rsidRPr="001F19A2">
        <w:rPr>
          <w:i/>
          <w:iCs/>
          <w:kern w:val="0"/>
        </w:rPr>
        <w:t>AIDS Research</w:t>
      </w:r>
      <w:r w:rsidR="005853A9">
        <w:rPr>
          <w:i/>
          <w:iCs/>
          <w:kern w:val="0"/>
        </w:rPr>
        <w:t xml:space="preserve"> and </w:t>
      </w:r>
      <w:r w:rsidRPr="001F19A2">
        <w:rPr>
          <w:i/>
          <w:iCs/>
          <w:kern w:val="0"/>
        </w:rPr>
        <w:t>Human Retroviruses</w:t>
      </w:r>
      <w:r>
        <w:rPr>
          <w:kern w:val="0"/>
        </w:rPr>
        <w:t xml:space="preserve">, </w:t>
      </w:r>
      <w:r>
        <w:rPr>
          <w:b/>
          <w:bCs/>
          <w:kern w:val="0"/>
        </w:rPr>
        <w:t>22</w:t>
      </w:r>
      <w:r>
        <w:rPr>
          <w:kern w:val="0"/>
        </w:rPr>
        <w:t xml:space="preserve"> (12), 1199-1205.</w:t>
      </w:r>
    </w:p>
    <w:p w:rsidR="00487130" w:rsidRDefault="00487130" w:rsidP="00487130">
      <w:pPr>
        <w:pStyle w:val="a3"/>
        <w:rPr>
          <w:kern w:val="0"/>
        </w:rPr>
      </w:pPr>
      <w:r>
        <w:rPr>
          <w:rFonts w:hint="eastAsia"/>
          <w:kern w:val="0"/>
        </w:rPr>
        <w:t xml:space="preserve">Full Text: </w:t>
      </w:r>
      <w:hyperlink r:id="rId343" w:history="1">
        <w:r w:rsidRPr="001F19A2">
          <w:rPr>
            <w:rStyle w:val="a5"/>
            <w:kern w:val="0"/>
          </w:rPr>
          <w:t>2006\AID Res Hum Ret22, 1199.pdf</w:t>
        </w:r>
      </w:hyperlink>
    </w:p>
    <w:p w:rsidR="00487130" w:rsidRDefault="00487130" w:rsidP="00487130">
      <w:pPr>
        <w:pStyle w:val="a3"/>
        <w:rPr>
          <w:kern w:val="0"/>
        </w:rPr>
      </w:pPr>
      <w:r>
        <w:rPr>
          <w:kern w:val="0"/>
        </w:rPr>
        <w:t>Abstract:</w:t>
      </w:r>
      <w:r w:rsidR="003A1917">
        <w:rPr>
          <w:kern w:val="0"/>
        </w:rPr>
        <w:t xml:space="preserve"> the </w:t>
      </w:r>
      <w:r>
        <w:rPr>
          <w:kern w:val="0"/>
        </w:rPr>
        <w:t>scientific community invests significant resources on HIV/AIDS research to confront</w:t>
      </w:r>
      <w:r w:rsidR="003A1917">
        <w:rPr>
          <w:kern w:val="0"/>
        </w:rPr>
        <w:t xml:space="preserve"> the </w:t>
      </w:r>
      <w:r>
        <w:rPr>
          <w:kern w:val="0"/>
        </w:rPr>
        <w:t>current epidemic. We reviewed</w:t>
      </w:r>
      <w:r w:rsidR="003A1917">
        <w:rPr>
          <w:kern w:val="0"/>
        </w:rPr>
        <w:t xml:space="preserve"> the </w:t>
      </w:r>
      <w:r>
        <w:rPr>
          <w:kern w:val="0"/>
        </w:rPr>
        <w:t>medical literature in order to evaluate</w:t>
      </w:r>
      <w:r w:rsidR="003A1917">
        <w:rPr>
          <w:kern w:val="0"/>
        </w:rPr>
        <w:t xml:space="preserve"> the </w:t>
      </w:r>
      <w:r>
        <w:rPr>
          <w:kern w:val="0"/>
        </w:rPr>
        <w:t>contribution</w:t>
      </w:r>
      <w:r w:rsidR="00427468">
        <w:rPr>
          <w:kern w:val="0"/>
        </w:rPr>
        <w:t xml:space="preserve"> of </w:t>
      </w:r>
      <w:r>
        <w:rPr>
          <w:kern w:val="0"/>
        </w:rPr>
        <w:t>different world regions on HIV/AIDS research during</w:t>
      </w:r>
      <w:r w:rsidR="003A1917">
        <w:rPr>
          <w:kern w:val="0"/>
        </w:rPr>
        <w:t xml:space="preserve"> the </w:t>
      </w:r>
      <w:r>
        <w:rPr>
          <w:kern w:val="0"/>
        </w:rPr>
        <w:t>past 18 years. We retrieved articles, using an elaborate methodology, from three journals focusing on HIV/AIDS between 1986</w:t>
      </w:r>
      <w:r w:rsidR="005853A9">
        <w:rPr>
          <w:kern w:val="0"/>
        </w:rPr>
        <w:t xml:space="preserve"> and </w:t>
      </w:r>
      <w:r>
        <w:rPr>
          <w:kern w:val="0"/>
        </w:rPr>
        <w:t>2003, indexed in</w:t>
      </w:r>
      <w:r w:rsidR="003A1917">
        <w:rPr>
          <w:kern w:val="0"/>
        </w:rPr>
        <w:t xml:space="preserve"> the </w:t>
      </w:r>
      <w:r>
        <w:rPr>
          <w:kern w:val="0"/>
        </w:rPr>
        <w:t>Journal Citation Reports (JCR)</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xml:space="preserve"> databases</w:t>
      </w:r>
      <w:r w:rsidR="00427468">
        <w:rPr>
          <w:kern w:val="0"/>
        </w:rPr>
        <w:t xml:space="preserve"> of </w:t>
      </w:r>
      <w:r w:rsidR="003A1917">
        <w:rPr>
          <w:kern w:val="0"/>
        </w:rPr>
        <w:t xml:space="preserve">the </w:t>
      </w:r>
      <w:r>
        <w:rPr>
          <w:kern w:val="0"/>
        </w:rPr>
        <w:t>Institute for Scientific Information (ISI). Comparisons were made by dividing</w:t>
      </w:r>
      <w:r w:rsidR="003A1917">
        <w:rPr>
          <w:kern w:val="0"/>
        </w:rPr>
        <w:t xml:space="preserve"> the </w:t>
      </w:r>
      <w:r>
        <w:rPr>
          <w:kern w:val="0"/>
        </w:rPr>
        <w:t>world into nine geographic regions,</w:t>
      </w:r>
      <w:r w:rsidR="005853A9">
        <w:rPr>
          <w:kern w:val="0"/>
        </w:rPr>
        <w:t xml:space="preserve"> and </w:t>
      </w:r>
      <w:r>
        <w:rPr>
          <w:kern w:val="0"/>
        </w:rPr>
        <w:t>by using</w:t>
      </w:r>
      <w:r w:rsidR="003A1917">
        <w:rPr>
          <w:kern w:val="0"/>
        </w:rPr>
        <w:t xml:space="preserve"> the </w:t>
      </w:r>
      <w:r>
        <w:rPr>
          <w:kern w:val="0"/>
        </w:rPr>
        <w:t>human development index (HDI) categorization. A total</w:t>
      </w:r>
      <w:r w:rsidR="00427468">
        <w:rPr>
          <w:kern w:val="0"/>
        </w:rPr>
        <w:t xml:space="preserve"> of </w:t>
      </w:r>
      <w:r>
        <w:rPr>
          <w:kern w:val="0"/>
        </w:rPr>
        <w:t>9502 articles on HIV/AIDS were retrieved from three AIDS journals over an 18-year study period</w:t>
      </w:r>
      <w:r w:rsidR="00A37C1D">
        <w:rPr>
          <w:kern w:val="0"/>
        </w:rPr>
        <w:t>. The</w:t>
      </w:r>
      <w:r w:rsidR="003A1917">
        <w:rPr>
          <w:kern w:val="0"/>
        </w:rPr>
        <w:t xml:space="preserve"> </w:t>
      </w:r>
      <w:r>
        <w:rPr>
          <w:kern w:val="0"/>
        </w:rPr>
        <w:t>United States</w:t>
      </w:r>
      <w:r w:rsidR="005853A9">
        <w:rPr>
          <w:kern w:val="0"/>
        </w:rPr>
        <w:t xml:space="preserve"> and </w:t>
      </w:r>
      <w:r>
        <w:rPr>
          <w:kern w:val="0"/>
        </w:rPr>
        <w:t>Western Europe together</w:t>
      </w:r>
      <w:r w:rsidR="005853A9">
        <w:rPr>
          <w:kern w:val="0"/>
        </w:rPr>
        <w:t xml:space="preserve"> and </w:t>
      </w:r>
      <w:r>
        <w:rPr>
          <w:kern w:val="0"/>
        </w:rPr>
        <w:t>five developed out</w:t>
      </w:r>
      <w:r w:rsidR="00427468">
        <w:rPr>
          <w:kern w:val="0"/>
        </w:rPr>
        <w:t xml:space="preserve"> of </w:t>
      </w:r>
      <w:r>
        <w:rPr>
          <w:kern w:val="0"/>
        </w:rPr>
        <w:t>nine world regions made up a striking 83%</w:t>
      </w:r>
      <w:r w:rsidR="005853A9">
        <w:rPr>
          <w:kern w:val="0"/>
        </w:rPr>
        <w:t xml:space="preserve"> and </w:t>
      </w:r>
      <w:r>
        <w:rPr>
          <w:kern w:val="0"/>
        </w:rPr>
        <w:t>92%</w:t>
      </w:r>
      <w:r w:rsidR="00427468">
        <w:rPr>
          <w:kern w:val="0"/>
        </w:rPr>
        <w:t xml:space="preserve"> of </w:t>
      </w:r>
      <w:r w:rsidR="003A1917">
        <w:rPr>
          <w:kern w:val="0"/>
        </w:rPr>
        <w:t xml:space="preserve">the </w:t>
      </w:r>
      <w:r>
        <w:rPr>
          <w:kern w:val="0"/>
        </w:rPr>
        <w:t>world</w:t>
      </w:r>
      <w:r w:rsidR="00700038">
        <w:rPr>
          <w:kern w:val="0"/>
        </w:rPr>
        <w:t>’</w:t>
      </w:r>
      <w:r w:rsidR="00C13DDC">
        <w:rPr>
          <w:kern w:val="0"/>
        </w:rPr>
        <w:t>s</w:t>
      </w:r>
      <w:r>
        <w:rPr>
          <w:kern w:val="0"/>
        </w:rPr>
        <w:t xml:space="preserve"> research production on HIV/AIDS, respectively. Scientists from</w:t>
      </w:r>
      <w:r w:rsidR="003A1917">
        <w:rPr>
          <w:kern w:val="0"/>
        </w:rPr>
        <w:t xml:space="preserve"> the </w:t>
      </w:r>
      <w:r>
        <w:rPr>
          <w:kern w:val="0"/>
        </w:rPr>
        <w:t>developing world participated in 10.4%</w:t>
      </w:r>
      <w:r w:rsidR="00427468">
        <w:rPr>
          <w:kern w:val="0"/>
        </w:rPr>
        <w:t xml:space="preserve"> of </w:t>
      </w:r>
      <w:r w:rsidR="003A1917">
        <w:rPr>
          <w:kern w:val="0"/>
        </w:rPr>
        <w:t xml:space="preserve">the </w:t>
      </w:r>
      <w:r>
        <w:rPr>
          <w:kern w:val="0"/>
        </w:rPr>
        <w:t>articles published during 1986-1991, 14.7% during 1992-1997,</w:t>
      </w:r>
      <w:r w:rsidR="005853A9">
        <w:rPr>
          <w:kern w:val="0"/>
        </w:rPr>
        <w:t xml:space="preserve"> and </w:t>
      </w:r>
      <w:r>
        <w:rPr>
          <w:kern w:val="0"/>
        </w:rPr>
        <w:t>21.3% during 1998-2003. Researchers from countries included in</w:t>
      </w:r>
      <w:r w:rsidR="003A1917">
        <w:rPr>
          <w:kern w:val="0"/>
        </w:rPr>
        <w:t xml:space="preserve"> the </w:t>
      </w:r>
      <w:r>
        <w:rPr>
          <w:kern w:val="0"/>
        </w:rPr>
        <w:t>high, medium,</w:t>
      </w:r>
      <w:r w:rsidR="005853A9">
        <w:rPr>
          <w:kern w:val="0"/>
        </w:rPr>
        <w:t xml:space="preserve"> and </w:t>
      </w:r>
      <w:r>
        <w:rPr>
          <w:kern w:val="0"/>
        </w:rPr>
        <w:t>low HDI category produced 2240, 9,</w:t>
      </w:r>
      <w:r w:rsidR="005853A9">
        <w:rPr>
          <w:kern w:val="0"/>
        </w:rPr>
        <w:t xml:space="preserve"> and </w:t>
      </w:r>
      <w:r>
        <w:rPr>
          <w:kern w:val="0"/>
        </w:rPr>
        <w:t>15 articles per billion population, respectively. About half</w:t>
      </w:r>
      <w:r w:rsidR="00427468">
        <w:rPr>
          <w:kern w:val="0"/>
        </w:rPr>
        <w:t xml:space="preserve"> of </w:t>
      </w:r>
      <w:r>
        <w:rPr>
          <w:kern w:val="0"/>
        </w:rPr>
        <w:t>articles originating in Latin America</w:t>
      </w:r>
      <w:r w:rsidR="005853A9">
        <w:rPr>
          <w:kern w:val="0"/>
        </w:rPr>
        <w:t xml:space="preserve"> and </w:t>
      </w:r>
      <w:r w:rsidR="003A1917">
        <w:rPr>
          <w:kern w:val="0"/>
        </w:rPr>
        <w:t xml:space="preserve">the </w:t>
      </w:r>
      <w:r>
        <w:rPr>
          <w:kern w:val="0"/>
        </w:rPr>
        <w:t>Caribbean</w:t>
      </w:r>
      <w:r w:rsidR="005853A9">
        <w:rPr>
          <w:kern w:val="0"/>
        </w:rPr>
        <w:t xml:space="preserve"> and </w:t>
      </w:r>
      <w:r>
        <w:rPr>
          <w:kern w:val="0"/>
        </w:rPr>
        <w:t>half in Asia were produced in collaboration with</w:t>
      </w:r>
      <w:r w:rsidR="003A1917">
        <w:rPr>
          <w:kern w:val="0"/>
        </w:rPr>
        <w:t xml:space="preserve"> the </w:t>
      </w:r>
      <w:r>
        <w:rPr>
          <w:kern w:val="0"/>
        </w:rPr>
        <w:t>United States. However, 40%</w:t>
      </w:r>
      <w:r w:rsidR="00427468">
        <w:rPr>
          <w:kern w:val="0"/>
        </w:rPr>
        <w:t xml:space="preserve"> of </w:t>
      </w:r>
      <w:r>
        <w:rPr>
          <w:kern w:val="0"/>
        </w:rPr>
        <w:t>articles from Africa</w:t>
      </w:r>
      <w:r w:rsidR="005853A9">
        <w:rPr>
          <w:kern w:val="0"/>
        </w:rPr>
        <w:t xml:space="preserve"> and </w:t>
      </w:r>
      <w:r>
        <w:rPr>
          <w:kern w:val="0"/>
        </w:rPr>
        <w:t>58% from Eastern Europe were produced in cooperation with Western Europe. Collaboration between researchers within developing regions was negligible</w:t>
      </w:r>
      <w:r w:rsidR="00A37C1D">
        <w:rPr>
          <w:kern w:val="0"/>
        </w:rPr>
        <w:t>. The</w:t>
      </w:r>
      <w:r w:rsidR="003A1917">
        <w:rPr>
          <w:kern w:val="0"/>
        </w:rPr>
        <w:t xml:space="preserve"> </w:t>
      </w:r>
      <w:r>
        <w:rPr>
          <w:kern w:val="0"/>
        </w:rPr>
        <w:t>vast majority</w:t>
      </w:r>
      <w:r w:rsidR="00427468">
        <w:rPr>
          <w:kern w:val="0"/>
        </w:rPr>
        <w:t xml:space="preserve"> of </w:t>
      </w:r>
      <w:r w:rsidR="003A1917">
        <w:rPr>
          <w:kern w:val="0"/>
        </w:rPr>
        <w:t xml:space="preserve">the </w:t>
      </w:r>
      <w:r>
        <w:rPr>
          <w:kern w:val="0"/>
        </w:rPr>
        <w:t>world</w:t>
      </w:r>
      <w:r w:rsidR="00700038">
        <w:rPr>
          <w:kern w:val="0"/>
        </w:rPr>
        <w:t>’</w:t>
      </w:r>
      <w:r w:rsidR="00C13DDC">
        <w:rPr>
          <w:kern w:val="0"/>
        </w:rPr>
        <w:t>s</w:t>
      </w:r>
      <w:r>
        <w:rPr>
          <w:kern w:val="0"/>
        </w:rPr>
        <w:t xml:space="preserve"> research on AIDS is produced in</w:t>
      </w:r>
      <w:r w:rsidR="003A1917">
        <w:rPr>
          <w:kern w:val="0"/>
        </w:rPr>
        <w:t xml:space="preserve"> the </w:t>
      </w:r>
      <w:r>
        <w:rPr>
          <w:kern w:val="0"/>
        </w:rPr>
        <w:t xml:space="preserve">developed world. Although research </w:t>
      </w:r>
      <w:r>
        <w:rPr>
          <w:kern w:val="0"/>
        </w:rPr>
        <w:lastRenderedPageBreak/>
        <w:t>production was minimal in</w:t>
      </w:r>
      <w:r w:rsidR="003A1917">
        <w:rPr>
          <w:kern w:val="0"/>
        </w:rPr>
        <w:t xml:space="preserve"> the </w:t>
      </w:r>
      <w:r>
        <w:rPr>
          <w:kern w:val="0"/>
        </w:rPr>
        <w:t>developing world, we found that regions included in</w:t>
      </w:r>
      <w:r w:rsidR="003A1917">
        <w:rPr>
          <w:kern w:val="0"/>
        </w:rPr>
        <w:t xml:space="preserve"> the </w:t>
      </w:r>
      <w:r>
        <w:rPr>
          <w:kern w:val="0"/>
        </w:rPr>
        <w:t>low</w:t>
      </w:r>
      <w:r w:rsidR="005853A9">
        <w:rPr>
          <w:kern w:val="0"/>
        </w:rPr>
        <w:t xml:space="preserve"> and </w:t>
      </w:r>
      <w:r>
        <w:rPr>
          <w:kern w:val="0"/>
        </w:rPr>
        <w:t>medium HDI categories showed a higher proportion</w:t>
      </w:r>
      <w:r w:rsidR="00427468">
        <w:rPr>
          <w:kern w:val="0"/>
        </w:rPr>
        <w:t xml:space="preserve"> of </w:t>
      </w:r>
      <w:r>
        <w:rPr>
          <w:kern w:val="0"/>
        </w:rPr>
        <w:t>increase in research productivity than</w:t>
      </w:r>
      <w:r w:rsidR="003A1917">
        <w:rPr>
          <w:kern w:val="0"/>
        </w:rPr>
        <w:t xml:space="preserve"> the </w:t>
      </w:r>
      <w:r>
        <w:rPr>
          <w:kern w:val="0"/>
        </w:rPr>
        <w:t>developed countries. International collaborations should significantly increase</w:t>
      </w:r>
      <w:r w:rsidR="005853A9">
        <w:rPr>
          <w:kern w:val="0"/>
        </w:rPr>
        <w:t xml:space="preserve"> and </w:t>
      </w:r>
      <w:r>
        <w:rPr>
          <w:kern w:val="0"/>
        </w:rPr>
        <w:t>expand beyond</w:t>
      </w:r>
      <w:r w:rsidR="003A1917">
        <w:rPr>
          <w:kern w:val="0"/>
        </w:rPr>
        <w:t xml:space="preserve"> the </w:t>
      </w:r>
      <w:r>
        <w:rPr>
          <w:kern w:val="0"/>
        </w:rPr>
        <w:t>traditional cultural</w:t>
      </w:r>
      <w:r w:rsidR="005853A9">
        <w:rPr>
          <w:kern w:val="0"/>
        </w:rPr>
        <w:t xml:space="preserve"> and </w:t>
      </w:r>
      <w:r>
        <w:rPr>
          <w:kern w:val="0"/>
        </w:rPr>
        <w:t>political lines</w:t>
      </w:r>
      <w:r w:rsidR="00427468">
        <w:rPr>
          <w:kern w:val="0"/>
        </w:rPr>
        <w:t xml:space="preserve"> of </w:t>
      </w:r>
      <w:r>
        <w:rPr>
          <w:kern w:val="0"/>
        </w:rPr>
        <w:t>international relationships.</w:t>
      </w:r>
    </w:p>
    <w:p w:rsidR="00487130" w:rsidRDefault="00487130" w:rsidP="00487130">
      <w:pPr>
        <w:pStyle w:val="a3"/>
        <w:rPr>
          <w:kern w:val="0"/>
        </w:rPr>
      </w:pPr>
      <w:r>
        <w:rPr>
          <w:kern w:val="0"/>
        </w:rPr>
        <w:t>Keywords: Adult Mortality, Africa, Aid, Aids, Asia, Challenges, Citation, Collaboration, Contribution, Databases, Development, Epidemic, Europe, HIV, HIV, AIDS, Human, Impact</w:t>
      </w:r>
      <w:r w:rsidR="00D5664A">
        <w:rPr>
          <w:kern w:val="0"/>
        </w:rPr>
        <w:t>, ISI,</w:t>
      </w:r>
      <w:r>
        <w:rPr>
          <w:kern w:val="0"/>
        </w:rPr>
        <w:t xml:space="preserve"> Journal, Journal Citation Reports, Journals, Latin America, Literature, Medical, Methodology, Research, Research Production, Research Productivity, Researchers, Science, Scientific Information, Thailand, Traditional, </w:t>
      </w:r>
      <w:r w:rsidR="00D5664A">
        <w:rPr>
          <w:kern w:val="0"/>
        </w:rPr>
        <w:t>Web</w:t>
      </w:r>
      <w:r w:rsidR="00427468">
        <w:rPr>
          <w:kern w:val="0"/>
        </w:rPr>
        <w:t xml:space="preserve"> of </w:t>
      </w:r>
      <w:r w:rsidR="00D5664A">
        <w:rPr>
          <w:kern w:val="0"/>
        </w:rPr>
        <w:t>Science</w:t>
      </w:r>
    </w:p>
    <w:p w:rsidR="00936C62" w:rsidRPr="00F219CA" w:rsidRDefault="00936C62" w:rsidP="00936C62">
      <w:pPr>
        <w:pStyle w:val="1"/>
      </w:pPr>
      <w:r>
        <w:br w:type="page"/>
      </w:r>
      <w:bookmarkStart w:id="187" w:name="_Toc420814351"/>
      <w:r>
        <w:lastRenderedPageBreak/>
        <w:t xml:space="preserve">Title: </w:t>
      </w:r>
      <w:r w:rsidRPr="000E4081">
        <w:rPr>
          <w:iCs w:val="0"/>
        </w:rPr>
        <w:t>AIDS Reviews</w:t>
      </w:r>
      <w:bookmarkEnd w:id="187"/>
    </w:p>
    <w:p w:rsidR="00936C62" w:rsidRPr="00F219CA" w:rsidRDefault="00936C62" w:rsidP="00936C62">
      <w:pPr>
        <w:pStyle w:val="12"/>
      </w:pPr>
      <w:r w:rsidRPr="00F219CA">
        <w:t xml:space="preserve">Full Journal Title: </w:t>
      </w:r>
      <w:r w:rsidRPr="000E4081">
        <w:rPr>
          <w:iCs/>
          <w:kern w:val="0"/>
        </w:rPr>
        <w:t>AIDS Reviews</w:t>
      </w:r>
    </w:p>
    <w:p w:rsidR="00936C62" w:rsidRPr="00F219CA" w:rsidRDefault="00936C62" w:rsidP="00936C62">
      <w:pPr>
        <w:pStyle w:val="12"/>
      </w:pPr>
      <w:r w:rsidRPr="00F219CA">
        <w:t xml:space="preserve">ISO Abbreviated Title: </w:t>
      </w:r>
    </w:p>
    <w:p w:rsidR="00936C62" w:rsidRPr="00F219CA" w:rsidRDefault="00936C62" w:rsidP="00936C62">
      <w:pPr>
        <w:pStyle w:val="12"/>
      </w:pPr>
      <w:r w:rsidRPr="00F219CA">
        <w:t xml:space="preserve">JCR Abbreviated Title: </w:t>
      </w:r>
    </w:p>
    <w:p w:rsidR="00936C62" w:rsidRPr="00F219CA" w:rsidRDefault="00936C62" w:rsidP="00936C62">
      <w:pPr>
        <w:pStyle w:val="12"/>
      </w:pPr>
      <w:r w:rsidRPr="00F219CA">
        <w:t xml:space="preserve">ISSN: </w:t>
      </w:r>
    </w:p>
    <w:p w:rsidR="00936C62" w:rsidRPr="00F219CA" w:rsidRDefault="00936C62" w:rsidP="00936C62">
      <w:pPr>
        <w:pStyle w:val="12"/>
      </w:pPr>
      <w:r w:rsidRPr="00F219CA">
        <w:t xml:space="preserve">Issues/Year: </w:t>
      </w:r>
    </w:p>
    <w:p w:rsidR="00936C62" w:rsidRPr="00F219CA" w:rsidRDefault="00936C62" w:rsidP="00936C62">
      <w:pPr>
        <w:pStyle w:val="12"/>
      </w:pPr>
      <w:r w:rsidRPr="00F219CA">
        <w:t xml:space="preserve">Journal Country/Territory: </w:t>
      </w:r>
    </w:p>
    <w:p w:rsidR="00936C62" w:rsidRPr="00F219CA" w:rsidRDefault="00936C62" w:rsidP="00936C62">
      <w:pPr>
        <w:pStyle w:val="12"/>
      </w:pPr>
      <w:r w:rsidRPr="00F219CA">
        <w:t xml:space="preserve">Language: </w:t>
      </w:r>
    </w:p>
    <w:p w:rsidR="00936C62" w:rsidRPr="00F219CA" w:rsidRDefault="00936C62" w:rsidP="00936C62">
      <w:pPr>
        <w:pStyle w:val="12"/>
      </w:pPr>
      <w:r w:rsidRPr="00F219CA">
        <w:t xml:space="preserve">Publisher: </w:t>
      </w:r>
    </w:p>
    <w:p w:rsidR="00936C62" w:rsidRPr="00F219CA" w:rsidRDefault="00936C62" w:rsidP="00936C62">
      <w:pPr>
        <w:pStyle w:val="12"/>
      </w:pPr>
      <w:r w:rsidRPr="00F219CA">
        <w:t xml:space="preserve">Publisher Address: </w:t>
      </w:r>
    </w:p>
    <w:p w:rsidR="00936C62" w:rsidRPr="00F219CA" w:rsidRDefault="00936C62" w:rsidP="00936C62">
      <w:pPr>
        <w:pStyle w:val="12"/>
      </w:pPr>
      <w:r w:rsidRPr="00F219CA">
        <w:t xml:space="preserve">Subject Categories: </w:t>
      </w:r>
    </w:p>
    <w:p w:rsidR="00936C62" w:rsidRPr="00F219CA" w:rsidRDefault="00936C62" w:rsidP="00936C62">
      <w:pPr>
        <w:pStyle w:val="12"/>
      </w:pPr>
      <w:r w:rsidRPr="00F219CA">
        <w:t>: Impact Factor</w:t>
      </w:r>
    </w:p>
    <w:p w:rsidR="00936C62" w:rsidRDefault="00936C62" w:rsidP="00936C62">
      <w:pPr>
        <w:pStyle w:val="a3"/>
        <w:rPr>
          <w:kern w:val="0"/>
        </w:rPr>
      </w:pPr>
      <w:r>
        <w:rPr>
          <w:rFonts w:hint="eastAsia"/>
          <w:kern w:val="0"/>
        </w:rPr>
        <w:t xml:space="preserve">? </w:t>
      </w:r>
      <w:r>
        <w:rPr>
          <w:kern w:val="0"/>
        </w:rPr>
        <w:t>Bravo, P., Edwards, A., Rollnick, S.</w:t>
      </w:r>
      <w:r w:rsidR="005853A9">
        <w:rPr>
          <w:kern w:val="0"/>
        </w:rPr>
        <w:t xml:space="preserve"> and </w:t>
      </w:r>
      <w:r>
        <w:rPr>
          <w:kern w:val="0"/>
        </w:rPr>
        <w:t>Elwyn, G. (2010), Tough decisions faced by people living with HIV: A literature review</w:t>
      </w:r>
      <w:r w:rsidR="00427468">
        <w:rPr>
          <w:kern w:val="0"/>
        </w:rPr>
        <w:t xml:space="preserve"> of </w:t>
      </w:r>
      <w:r>
        <w:rPr>
          <w:kern w:val="0"/>
        </w:rPr>
        <w:t xml:space="preserve">psychosocial problems. </w:t>
      </w:r>
      <w:r w:rsidRPr="00B93570">
        <w:rPr>
          <w:i/>
          <w:iCs/>
          <w:kern w:val="0"/>
        </w:rPr>
        <w:t>AIDS Reviews</w:t>
      </w:r>
      <w:r>
        <w:rPr>
          <w:kern w:val="0"/>
        </w:rPr>
        <w:t xml:space="preserve">, </w:t>
      </w:r>
      <w:r>
        <w:rPr>
          <w:b/>
          <w:bCs/>
          <w:kern w:val="0"/>
        </w:rPr>
        <w:t>12</w:t>
      </w:r>
      <w:r>
        <w:rPr>
          <w:kern w:val="0"/>
        </w:rPr>
        <w:t xml:space="preserve"> (2), 76-88.</w:t>
      </w:r>
    </w:p>
    <w:p w:rsidR="00936C62" w:rsidRDefault="00936C62" w:rsidP="00936C62">
      <w:pPr>
        <w:pStyle w:val="a3"/>
        <w:rPr>
          <w:kern w:val="0"/>
        </w:rPr>
      </w:pPr>
      <w:r>
        <w:rPr>
          <w:rFonts w:hint="eastAsia"/>
          <w:kern w:val="0"/>
        </w:rPr>
        <w:t xml:space="preserve">Full Text: </w:t>
      </w:r>
      <w:hyperlink r:id="rId344" w:history="1">
        <w:r w:rsidRPr="00B93570">
          <w:rPr>
            <w:rStyle w:val="a5"/>
            <w:kern w:val="0"/>
          </w:rPr>
          <w:t>2010\AID Rev12, 76.pdf</w:t>
        </w:r>
      </w:hyperlink>
    </w:p>
    <w:p w:rsidR="00936C62" w:rsidRDefault="00936C62" w:rsidP="00936C62">
      <w:pPr>
        <w:pStyle w:val="a3"/>
        <w:rPr>
          <w:kern w:val="0"/>
        </w:rPr>
      </w:pPr>
      <w:r>
        <w:rPr>
          <w:kern w:val="0"/>
        </w:rPr>
        <w:t>Abstract: People living with HIV have faced a new situation since</w:t>
      </w:r>
      <w:r w:rsidR="003A1917">
        <w:rPr>
          <w:kern w:val="0"/>
        </w:rPr>
        <w:t xml:space="preserve"> the </w:t>
      </w:r>
      <w:r>
        <w:rPr>
          <w:kern w:val="0"/>
        </w:rPr>
        <w:t>arrival</w:t>
      </w:r>
      <w:r w:rsidR="00427468">
        <w:rPr>
          <w:kern w:val="0"/>
        </w:rPr>
        <w:t xml:space="preserve"> of </w:t>
      </w:r>
      <w:r w:rsidR="003A1917">
        <w:rPr>
          <w:kern w:val="0"/>
        </w:rPr>
        <w:t xml:space="preserve">the </w:t>
      </w:r>
      <w:r>
        <w:rPr>
          <w:kern w:val="0"/>
        </w:rPr>
        <w:t>antiretroviral treatments. HIV has become a long-term condition, which not only affects physical health, but also causes psychological</w:t>
      </w:r>
      <w:r w:rsidR="005853A9">
        <w:rPr>
          <w:kern w:val="0"/>
        </w:rPr>
        <w:t xml:space="preserve"> and </w:t>
      </w:r>
      <w:r>
        <w:rPr>
          <w:kern w:val="0"/>
        </w:rPr>
        <w:t>social problems because</w:t>
      </w:r>
      <w:r w:rsidR="00427468">
        <w:rPr>
          <w:kern w:val="0"/>
        </w:rPr>
        <w:t xml:space="preserve"> of </w:t>
      </w:r>
      <w:r>
        <w:rPr>
          <w:kern w:val="0"/>
        </w:rPr>
        <w:t>stigma</w:t>
      </w:r>
      <w:r w:rsidR="005853A9">
        <w:rPr>
          <w:kern w:val="0"/>
        </w:rPr>
        <w:t xml:space="preserve"> and </w:t>
      </w:r>
      <w:r>
        <w:rPr>
          <w:kern w:val="0"/>
        </w:rPr>
        <w:t>discrimination</w:t>
      </w:r>
      <w:r w:rsidR="00A37C1D">
        <w:rPr>
          <w:kern w:val="0"/>
        </w:rPr>
        <w:t>. The</w:t>
      </w:r>
      <w:r>
        <w:rPr>
          <w:kern w:val="0"/>
        </w:rPr>
        <w:t>se challenges present many decisions</w:t>
      </w:r>
      <w:r w:rsidR="005853A9">
        <w:rPr>
          <w:kern w:val="0"/>
        </w:rPr>
        <w:t xml:space="preserve"> and </w:t>
      </w:r>
      <w:r>
        <w:rPr>
          <w:kern w:val="0"/>
        </w:rPr>
        <w:t>dilemmas for people living with HIV, which involve complex emotional</w:t>
      </w:r>
      <w:r w:rsidR="005853A9">
        <w:rPr>
          <w:kern w:val="0"/>
        </w:rPr>
        <w:t xml:space="preserve"> and </w:t>
      </w:r>
      <w:r>
        <w:rPr>
          <w:kern w:val="0"/>
        </w:rPr>
        <w:t>psychological issues</w:t>
      </w:r>
      <w:r w:rsidR="00A37C1D">
        <w:rPr>
          <w:kern w:val="0"/>
        </w:rPr>
        <w:t>. The</w:t>
      </w:r>
      <w:r w:rsidR="003A1917">
        <w:rPr>
          <w:kern w:val="0"/>
        </w:rPr>
        <w:t xml:space="preserve"> </w:t>
      </w:r>
      <w:r>
        <w:rPr>
          <w:kern w:val="0"/>
        </w:rPr>
        <w:t>aim</w:t>
      </w:r>
      <w:r w:rsidR="00427468">
        <w:rPr>
          <w:kern w:val="0"/>
        </w:rPr>
        <w:t xml:space="preserve"> of </w:t>
      </w:r>
      <w:r>
        <w:rPr>
          <w:kern w:val="0"/>
        </w:rPr>
        <w:t>this study was to examine</w:t>
      </w:r>
      <w:r w:rsidR="003A1917">
        <w:rPr>
          <w:kern w:val="0"/>
        </w:rPr>
        <w:t xml:space="preserve"> the </w:t>
      </w:r>
      <w:r>
        <w:rPr>
          <w:kern w:val="0"/>
        </w:rPr>
        <w:t>psychosocial decision needs</w:t>
      </w:r>
      <w:r w:rsidR="00427468">
        <w:rPr>
          <w:kern w:val="0"/>
        </w:rPr>
        <w:t xml:space="preserve"> of </w:t>
      </w:r>
      <w:r>
        <w:rPr>
          <w:kern w:val="0"/>
        </w:rPr>
        <w:t>people living with HIV. To undertake</w:t>
      </w:r>
      <w:r w:rsidR="003A1917">
        <w:rPr>
          <w:kern w:val="0"/>
        </w:rPr>
        <w:t xml:space="preserve"> the </w:t>
      </w:r>
      <w:r>
        <w:rPr>
          <w:kern w:val="0"/>
        </w:rPr>
        <w:t>literature review, a search strategy was designed. Sources included databases (</w:t>
      </w:r>
      <w:r w:rsidR="00D5664A">
        <w:rPr>
          <w:kern w:val="0"/>
        </w:rPr>
        <w:t>Web</w:t>
      </w:r>
      <w:r w:rsidR="00427468">
        <w:rPr>
          <w:kern w:val="0"/>
        </w:rPr>
        <w:t xml:space="preserve"> of </w:t>
      </w:r>
      <w:r w:rsidR="00D5664A">
        <w:rPr>
          <w:kern w:val="0"/>
        </w:rPr>
        <w:t>Science</w:t>
      </w:r>
      <w:r>
        <w:rPr>
          <w:kern w:val="0"/>
        </w:rPr>
        <w:t>, Scopus, ProQuest,</w:t>
      </w:r>
      <w:r w:rsidR="005853A9">
        <w:rPr>
          <w:kern w:val="0"/>
        </w:rPr>
        <w:t xml:space="preserve"> and </w:t>
      </w:r>
      <w:r w:rsidR="002C12F0">
        <w:rPr>
          <w:kern w:val="0"/>
        </w:rPr>
        <w:t>PUBMED</w:t>
      </w:r>
      <w:r>
        <w:rPr>
          <w:kern w:val="0"/>
        </w:rPr>
        <w:t>) as well as electronic journals (AIDS</w:t>
      </w:r>
      <w:r w:rsidR="005853A9">
        <w:rPr>
          <w:kern w:val="0"/>
        </w:rPr>
        <w:t xml:space="preserve"> and </w:t>
      </w:r>
      <w:r>
        <w:rPr>
          <w:kern w:val="0"/>
        </w:rPr>
        <w:t>Behavior, AIDS Care,</w:t>
      </w:r>
      <w:r w:rsidR="005853A9">
        <w:rPr>
          <w:kern w:val="0"/>
        </w:rPr>
        <w:t xml:space="preserve"> and </w:t>
      </w:r>
      <w:r>
        <w:rPr>
          <w:kern w:val="0"/>
        </w:rPr>
        <w:t>Social Science</w:t>
      </w:r>
      <w:r w:rsidR="005853A9">
        <w:rPr>
          <w:kern w:val="0"/>
        </w:rPr>
        <w:t xml:space="preserve"> and </w:t>
      </w:r>
      <w:r>
        <w:rPr>
          <w:kern w:val="0"/>
        </w:rPr>
        <w:t>Medicine)</w:t>
      </w:r>
      <w:r w:rsidR="00A37C1D">
        <w:rPr>
          <w:kern w:val="0"/>
        </w:rPr>
        <w:t>. The</w:t>
      </w:r>
      <w:r w:rsidR="003A1917">
        <w:rPr>
          <w:kern w:val="0"/>
        </w:rPr>
        <w:t xml:space="preserve"> </w:t>
      </w:r>
      <w:r>
        <w:rPr>
          <w:kern w:val="0"/>
        </w:rPr>
        <w:t>following search terms were used: (HIV)</w:t>
      </w:r>
      <w:r w:rsidR="005853A9">
        <w:rPr>
          <w:kern w:val="0"/>
        </w:rPr>
        <w:t xml:space="preserve"> and </w:t>
      </w:r>
      <w:r>
        <w:rPr>
          <w:kern w:val="0"/>
        </w:rPr>
        <w:t>(decision making; OR decision need; OR decision)</w:t>
      </w:r>
      <w:r w:rsidR="005853A9">
        <w:rPr>
          <w:kern w:val="0"/>
        </w:rPr>
        <w:t xml:space="preserve"> and </w:t>
      </w:r>
      <w:r>
        <w:rPr>
          <w:kern w:val="0"/>
        </w:rPr>
        <w:t>(psychosocial; OR psychological; OR social). All languages were included, using articles from 1990 to 2009</w:t>
      </w:r>
      <w:r w:rsidR="00A37C1D">
        <w:rPr>
          <w:kern w:val="0"/>
        </w:rPr>
        <w:t>. The</w:t>
      </w:r>
      <w:r w:rsidR="003A1917">
        <w:rPr>
          <w:kern w:val="0"/>
        </w:rPr>
        <w:t xml:space="preserve"> </w:t>
      </w:r>
      <w:r>
        <w:rPr>
          <w:kern w:val="0"/>
        </w:rPr>
        <w:t>search was conducted from September 2008 to November 2009,</w:t>
      </w:r>
      <w:r w:rsidR="005853A9">
        <w:rPr>
          <w:kern w:val="0"/>
        </w:rPr>
        <w:t xml:space="preserve"> and </w:t>
      </w:r>
      <w:r>
        <w:rPr>
          <w:kern w:val="0"/>
        </w:rPr>
        <w:t>identified 123 articles. After analysis, 46 articles were included for detailed assessment</w:t>
      </w:r>
      <w:r w:rsidR="00A37C1D">
        <w:rPr>
          <w:kern w:val="0"/>
        </w:rPr>
        <w:t>. The</w:t>
      </w:r>
      <w:r w:rsidR="003A1917">
        <w:rPr>
          <w:kern w:val="0"/>
        </w:rPr>
        <w:t xml:space="preserve"> </w:t>
      </w:r>
      <w:r>
        <w:rPr>
          <w:kern w:val="0"/>
        </w:rPr>
        <w:t>results show that people living with HIV face three key decisions: (i) whether or not to disclose their diagnosis to others; (ii) decisions about adherence to treatments;</w:t>
      </w:r>
      <w:r w:rsidR="005853A9">
        <w:rPr>
          <w:kern w:val="0"/>
        </w:rPr>
        <w:t xml:space="preserve"> and </w:t>
      </w:r>
      <w:r>
        <w:rPr>
          <w:kern w:val="0"/>
        </w:rPr>
        <w:t>(iii) decisions about sexual activity</w:t>
      </w:r>
      <w:r w:rsidR="005853A9">
        <w:rPr>
          <w:kern w:val="0"/>
        </w:rPr>
        <w:t xml:space="preserve"> and </w:t>
      </w:r>
      <w:r>
        <w:rPr>
          <w:kern w:val="0"/>
        </w:rPr>
        <w:t>desires about parenthood. Problems associated with these decisions often result in isolation</w:t>
      </w:r>
      <w:r w:rsidR="005853A9">
        <w:rPr>
          <w:kern w:val="0"/>
        </w:rPr>
        <w:t xml:space="preserve"> and </w:t>
      </w:r>
      <w:r>
        <w:rPr>
          <w:kern w:val="0"/>
        </w:rPr>
        <w:t>mental illness such as depression</w:t>
      </w:r>
      <w:r w:rsidR="005853A9">
        <w:rPr>
          <w:kern w:val="0"/>
        </w:rPr>
        <w:t xml:space="preserve"> and </w:t>
      </w:r>
      <w:r>
        <w:rPr>
          <w:kern w:val="0"/>
        </w:rPr>
        <w:t>anxiety, lack</w:t>
      </w:r>
      <w:r w:rsidR="00427468">
        <w:rPr>
          <w:kern w:val="0"/>
        </w:rPr>
        <w:t xml:space="preserve"> of </w:t>
      </w:r>
      <w:r>
        <w:rPr>
          <w:kern w:val="0"/>
        </w:rPr>
        <w:t>access to social support,</w:t>
      </w:r>
      <w:r w:rsidR="005853A9">
        <w:rPr>
          <w:kern w:val="0"/>
        </w:rPr>
        <w:t xml:space="preserve"> and </w:t>
      </w:r>
      <w:r>
        <w:rPr>
          <w:kern w:val="0"/>
        </w:rPr>
        <w:t>ref</w:t>
      </w:r>
      <w:r w:rsidR="00D5664A">
        <w:rPr>
          <w:kern w:val="0"/>
        </w:rPr>
        <w:t>USA</w:t>
      </w:r>
      <w:r>
        <w:rPr>
          <w:kern w:val="0"/>
        </w:rPr>
        <w:t>l to seek treatment. Despite</w:t>
      </w:r>
      <w:r w:rsidR="003A1917">
        <w:rPr>
          <w:kern w:val="0"/>
        </w:rPr>
        <w:t xml:space="preserve"> the </w:t>
      </w:r>
      <w:r>
        <w:rPr>
          <w:kern w:val="0"/>
        </w:rPr>
        <w:t>importance</w:t>
      </w:r>
      <w:r w:rsidR="00427468">
        <w:rPr>
          <w:kern w:val="0"/>
        </w:rPr>
        <w:t xml:space="preserve"> of </w:t>
      </w:r>
      <w:r>
        <w:rPr>
          <w:kern w:val="0"/>
        </w:rPr>
        <w:t>HIV</w:t>
      </w:r>
      <w:r w:rsidR="005853A9">
        <w:rPr>
          <w:kern w:val="0"/>
        </w:rPr>
        <w:t xml:space="preserve"> and </w:t>
      </w:r>
      <w:r>
        <w:rPr>
          <w:kern w:val="0"/>
        </w:rPr>
        <w:t>its public health impact, few studies have considered</w:t>
      </w:r>
      <w:r w:rsidR="003A1917">
        <w:rPr>
          <w:kern w:val="0"/>
        </w:rPr>
        <w:t xml:space="preserve"> the </w:t>
      </w:r>
      <w:r>
        <w:rPr>
          <w:kern w:val="0"/>
        </w:rPr>
        <w:t>psychosocial needs</w:t>
      </w:r>
      <w:r w:rsidR="00427468">
        <w:rPr>
          <w:kern w:val="0"/>
        </w:rPr>
        <w:t xml:space="preserve"> of </w:t>
      </w:r>
      <w:r>
        <w:rPr>
          <w:kern w:val="0"/>
        </w:rPr>
        <w:t>people living with HIV, but</w:t>
      </w:r>
      <w:r w:rsidR="003A1917">
        <w:rPr>
          <w:kern w:val="0"/>
        </w:rPr>
        <w:t xml:space="preserve"> the </w:t>
      </w:r>
      <w:r>
        <w:rPr>
          <w:kern w:val="0"/>
        </w:rPr>
        <w:t xml:space="preserve">results </w:t>
      </w:r>
      <w:r>
        <w:rPr>
          <w:kern w:val="0"/>
        </w:rPr>
        <w:lastRenderedPageBreak/>
        <w:t>demonstrated</w:t>
      </w:r>
      <w:r w:rsidR="003A1917">
        <w:rPr>
          <w:kern w:val="0"/>
        </w:rPr>
        <w:t xml:space="preserve"> the </w:t>
      </w:r>
      <w:r>
        <w:rPr>
          <w:kern w:val="0"/>
        </w:rPr>
        <w:t>burden as a consequence</w:t>
      </w:r>
      <w:r w:rsidR="00427468">
        <w:rPr>
          <w:kern w:val="0"/>
        </w:rPr>
        <w:t xml:space="preserve"> of </w:t>
      </w:r>
      <w:r>
        <w:rPr>
          <w:kern w:val="0"/>
        </w:rPr>
        <w:t>those needs</w:t>
      </w:r>
      <w:r w:rsidR="005853A9">
        <w:rPr>
          <w:kern w:val="0"/>
        </w:rPr>
        <w:t xml:space="preserve"> and </w:t>
      </w:r>
      <w:r>
        <w:rPr>
          <w:kern w:val="0"/>
        </w:rPr>
        <w:t>that greater support would be</w:t>
      </w:r>
      <w:r w:rsidR="00427468">
        <w:rPr>
          <w:kern w:val="0"/>
        </w:rPr>
        <w:t xml:space="preserve"> of </w:t>
      </w:r>
      <w:r>
        <w:rPr>
          <w:kern w:val="0"/>
        </w:rPr>
        <w:t>benefit to face them in an effective way</w:t>
      </w:r>
      <w:r w:rsidR="00A37C1D">
        <w:rPr>
          <w:kern w:val="0"/>
        </w:rPr>
        <w:t>. The</w:t>
      </w:r>
      <w:r>
        <w:rPr>
          <w:kern w:val="0"/>
        </w:rPr>
        <w:t>refore,</w:t>
      </w:r>
      <w:r w:rsidR="003A1917">
        <w:rPr>
          <w:kern w:val="0"/>
        </w:rPr>
        <w:t xml:space="preserve"> the </w:t>
      </w:r>
      <w:r>
        <w:rPr>
          <w:kern w:val="0"/>
        </w:rPr>
        <w:t>results</w:t>
      </w:r>
      <w:r w:rsidR="00427468">
        <w:rPr>
          <w:kern w:val="0"/>
        </w:rPr>
        <w:t xml:space="preserve"> of </w:t>
      </w:r>
      <w:r>
        <w:rPr>
          <w:kern w:val="0"/>
        </w:rPr>
        <w:t>this review highlight</w:t>
      </w:r>
      <w:r w:rsidR="003A1917">
        <w:rPr>
          <w:kern w:val="0"/>
        </w:rPr>
        <w:t xml:space="preserve"> the </w:t>
      </w:r>
      <w:r>
        <w:rPr>
          <w:kern w:val="0"/>
        </w:rPr>
        <w:t>requirement to develop interventions to support</w:t>
      </w:r>
      <w:r w:rsidR="003A1917">
        <w:rPr>
          <w:kern w:val="0"/>
        </w:rPr>
        <w:t xml:space="preserve"> the </w:t>
      </w:r>
      <w:r>
        <w:rPr>
          <w:kern w:val="0"/>
        </w:rPr>
        <w:t>psychosocial needs</w:t>
      </w:r>
      <w:r w:rsidR="00427468">
        <w:rPr>
          <w:kern w:val="0"/>
        </w:rPr>
        <w:t xml:space="preserve"> of </w:t>
      </w:r>
      <w:r>
        <w:rPr>
          <w:kern w:val="0"/>
        </w:rPr>
        <w:t>people living with HIV, to accurately reflect</w:t>
      </w:r>
      <w:r w:rsidR="003A1917">
        <w:rPr>
          <w:kern w:val="0"/>
        </w:rPr>
        <w:t xml:space="preserve"> the </w:t>
      </w:r>
      <w:r>
        <w:rPr>
          <w:kern w:val="0"/>
        </w:rPr>
        <w:t>views</w:t>
      </w:r>
      <w:r w:rsidR="005853A9">
        <w:rPr>
          <w:kern w:val="0"/>
        </w:rPr>
        <w:t xml:space="preserve"> and </w:t>
      </w:r>
      <w:r>
        <w:rPr>
          <w:kern w:val="0"/>
        </w:rPr>
        <w:t>needs</w:t>
      </w:r>
      <w:r w:rsidR="00427468">
        <w:rPr>
          <w:kern w:val="0"/>
        </w:rPr>
        <w:t xml:space="preserve"> of </w:t>
      </w:r>
      <w:r w:rsidR="003A1917">
        <w:rPr>
          <w:kern w:val="0"/>
        </w:rPr>
        <w:t xml:space="preserve">the </w:t>
      </w:r>
      <w:r>
        <w:rPr>
          <w:kern w:val="0"/>
        </w:rPr>
        <w:t>target users. (AIDS Rev. 2010;12:76-88).</w:t>
      </w:r>
    </w:p>
    <w:p w:rsidR="00936C62" w:rsidRDefault="00936C62" w:rsidP="00936C62">
      <w:pPr>
        <w:pStyle w:val="a3"/>
        <w:rPr>
          <w:kern w:val="0"/>
        </w:rPr>
      </w:pPr>
      <w:r>
        <w:rPr>
          <w:kern w:val="0"/>
        </w:rPr>
        <w:t>Keywords: Adherence, AID, AIDS, Analysis, Antiretroviral, Anxiety, Assessment, Burden, Care, Databases, Decision Making, Decision Needs, Decision-Making, Depression, Depression</w:t>
      </w:r>
      <w:r w:rsidR="005853A9">
        <w:rPr>
          <w:kern w:val="0"/>
        </w:rPr>
        <w:t xml:space="preserve"> and </w:t>
      </w:r>
      <w:r>
        <w:rPr>
          <w:kern w:val="0"/>
        </w:rPr>
        <w:t xml:space="preserve">Anxiety, Diagnosis, Disclosure Process, Discrimination, Face, Health Impact, Health-Care Providers, HIV, HIV, AIDS, Impact, Infected Women, Interventions, Journals, Literature, Literature Review, Medication Adherence, Men, People Living </w:t>
      </w:r>
      <w:r w:rsidR="006D1EFD">
        <w:rPr>
          <w:kern w:val="0"/>
        </w:rPr>
        <w:t xml:space="preserve">with </w:t>
      </w:r>
      <w:r>
        <w:rPr>
          <w:kern w:val="0"/>
        </w:rPr>
        <w:t xml:space="preserve">HIV, Positive Women, Psychosocial, Public Health, </w:t>
      </w:r>
      <w:r w:rsidR="002C12F0">
        <w:rPr>
          <w:kern w:val="0"/>
        </w:rPr>
        <w:t>PUBMED</w:t>
      </w:r>
      <w:r>
        <w:rPr>
          <w:kern w:val="0"/>
        </w:rPr>
        <w:t xml:space="preserve">, Reproductive Health, Review, Science, Scopus, Serodiscordant Couples, Serostatus Disclosure, Sexual Behavior, Social, Sources, South-Africa, Strategy, Treatment, </w:t>
      </w:r>
      <w:r w:rsidR="00D5664A">
        <w:rPr>
          <w:kern w:val="0"/>
        </w:rPr>
        <w:t>Web</w:t>
      </w:r>
      <w:r w:rsidR="00427468">
        <w:rPr>
          <w:kern w:val="0"/>
        </w:rPr>
        <w:t xml:space="preserve"> of </w:t>
      </w:r>
      <w:r w:rsidR="00D5664A">
        <w:rPr>
          <w:kern w:val="0"/>
        </w:rPr>
        <w:t>Science</w:t>
      </w:r>
    </w:p>
    <w:p w:rsidR="00E11639" w:rsidRPr="00F219CA" w:rsidRDefault="00E11639" w:rsidP="00E11639">
      <w:pPr>
        <w:pStyle w:val="1"/>
      </w:pPr>
      <w:r w:rsidRPr="00F219CA">
        <w:br w:type="page"/>
      </w:r>
      <w:bookmarkStart w:id="188" w:name="_Toc420814352"/>
      <w:r w:rsidRPr="00F219CA">
        <w:lastRenderedPageBreak/>
        <w:t xml:space="preserve">Title: </w:t>
      </w:r>
      <w:r w:rsidRPr="00B93E84">
        <w:t>Aktuelle Neurologie</w:t>
      </w:r>
      <w:bookmarkEnd w:id="188"/>
    </w:p>
    <w:p w:rsidR="00E11639" w:rsidRPr="00F219CA" w:rsidRDefault="00E11639" w:rsidP="00E11639">
      <w:pPr>
        <w:pStyle w:val="12"/>
      </w:pPr>
      <w:r w:rsidRPr="00F219CA">
        <w:t xml:space="preserve">Full Journal Title: </w:t>
      </w:r>
      <w:r w:rsidRPr="00B93E84">
        <w:rPr>
          <w:iCs/>
          <w:kern w:val="0"/>
        </w:rPr>
        <w:t>Aktuelle Neurologie</w:t>
      </w:r>
    </w:p>
    <w:p w:rsidR="00E11639" w:rsidRPr="00F219CA" w:rsidRDefault="00E11639" w:rsidP="00E11639">
      <w:pPr>
        <w:pStyle w:val="12"/>
      </w:pPr>
      <w:r w:rsidRPr="00F219CA">
        <w:t xml:space="preserve">ISO Abbreviated Title: </w:t>
      </w:r>
    </w:p>
    <w:p w:rsidR="00E11639" w:rsidRPr="00F219CA" w:rsidRDefault="00E11639" w:rsidP="00E11639">
      <w:pPr>
        <w:pStyle w:val="12"/>
      </w:pPr>
      <w:r w:rsidRPr="00F219CA">
        <w:t xml:space="preserve">JCR Abbreviated Title: </w:t>
      </w:r>
    </w:p>
    <w:p w:rsidR="00E11639" w:rsidRPr="00F219CA" w:rsidRDefault="00E11639" w:rsidP="00E11639">
      <w:pPr>
        <w:pStyle w:val="12"/>
      </w:pPr>
      <w:r w:rsidRPr="00F219CA">
        <w:t xml:space="preserve">ISSN: </w:t>
      </w:r>
    </w:p>
    <w:p w:rsidR="00E11639" w:rsidRPr="00F219CA" w:rsidRDefault="00E11639" w:rsidP="00E11639">
      <w:pPr>
        <w:pStyle w:val="12"/>
      </w:pPr>
      <w:r w:rsidRPr="00F219CA">
        <w:t xml:space="preserve">Issues/Year: </w:t>
      </w:r>
    </w:p>
    <w:p w:rsidR="00E11639" w:rsidRPr="00F219CA" w:rsidRDefault="00E11639" w:rsidP="00E11639">
      <w:pPr>
        <w:pStyle w:val="12"/>
      </w:pPr>
      <w:r w:rsidRPr="00F219CA">
        <w:t xml:space="preserve">Journal Country/Territory: </w:t>
      </w:r>
    </w:p>
    <w:p w:rsidR="00E11639" w:rsidRPr="00F219CA" w:rsidRDefault="00E11639" w:rsidP="00E11639">
      <w:pPr>
        <w:pStyle w:val="12"/>
      </w:pPr>
      <w:r w:rsidRPr="00F219CA">
        <w:t>Language: English</w:t>
      </w:r>
    </w:p>
    <w:p w:rsidR="00E11639" w:rsidRPr="00F219CA" w:rsidRDefault="00E11639" w:rsidP="00E11639">
      <w:pPr>
        <w:pStyle w:val="12"/>
      </w:pPr>
      <w:r w:rsidRPr="00F219CA">
        <w:t xml:space="preserve">Publisher: </w:t>
      </w:r>
    </w:p>
    <w:p w:rsidR="00E11639" w:rsidRPr="00F219CA" w:rsidRDefault="00E11639" w:rsidP="00E11639">
      <w:pPr>
        <w:pStyle w:val="12"/>
      </w:pPr>
      <w:r w:rsidRPr="00F219CA">
        <w:t xml:space="preserve">Publisher Address: </w:t>
      </w:r>
    </w:p>
    <w:p w:rsidR="00E11639" w:rsidRPr="00F219CA" w:rsidRDefault="00E11639" w:rsidP="00E11639">
      <w:pPr>
        <w:pStyle w:val="12"/>
      </w:pPr>
      <w:r w:rsidRPr="00F219CA">
        <w:t xml:space="preserve">Subject Categories: </w:t>
      </w:r>
    </w:p>
    <w:p w:rsidR="00E11639" w:rsidRPr="00F219CA" w:rsidRDefault="00E11639" w:rsidP="00E11639">
      <w:pPr>
        <w:pStyle w:val="12"/>
      </w:pPr>
      <w:r w:rsidRPr="00F219CA">
        <w:t>: Impact Factor</w:t>
      </w:r>
    </w:p>
    <w:p w:rsidR="00E11639" w:rsidRDefault="00E11639" w:rsidP="00E11639">
      <w:pPr>
        <w:pStyle w:val="a3"/>
        <w:rPr>
          <w:kern w:val="0"/>
        </w:rPr>
      </w:pPr>
      <w:r>
        <w:rPr>
          <w:rFonts w:hint="eastAsia"/>
          <w:kern w:val="0"/>
        </w:rPr>
        <w:t xml:space="preserve">? </w:t>
      </w:r>
      <w:r>
        <w:rPr>
          <w:kern w:val="0"/>
        </w:rPr>
        <w:t>Mache, S., Tropp, S., Vitzthum, K., Kusma, B., Scutaru, C., Quarcoo, D., Klapp, B.F.</w:t>
      </w:r>
      <w:r w:rsidR="005853A9">
        <w:rPr>
          <w:kern w:val="0"/>
        </w:rPr>
        <w:t xml:space="preserve"> and </w:t>
      </w:r>
      <w:r>
        <w:rPr>
          <w:kern w:val="0"/>
        </w:rPr>
        <w:t>Groneberg, D.A. (2010), Alzheimer</w:t>
      </w:r>
      <w:r w:rsidR="00700038">
        <w:rPr>
          <w:kern w:val="0"/>
        </w:rPr>
        <w:t>’</w:t>
      </w:r>
      <w:r w:rsidR="00C13DDC">
        <w:rPr>
          <w:kern w:val="0"/>
        </w:rPr>
        <w:t>s</w:t>
      </w:r>
      <w:r>
        <w:rPr>
          <w:kern w:val="0"/>
        </w:rPr>
        <w:t xml:space="preserve"> disease - A scientometric analysis</w:t>
      </w:r>
      <w:r w:rsidR="005853A9">
        <w:rPr>
          <w:kern w:val="0"/>
        </w:rPr>
        <w:t xml:space="preserve"> and </w:t>
      </w:r>
      <w:r>
        <w:rPr>
          <w:kern w:val="0"/>
        </w:rPr>
        <w:t xml:space="preserve">data acquisition. </w:t>
      </w:r>
      <w:r>
        <w:rPr>
          <w:i/>
          <w:iCs/>
          <w:kern w:val="0"/>
        </w:rPr>
        <w:t>Aktuelle Neurologie</w:t>
      </w:r>
      <w:r>
        <w:rPr>
          <w:kern w:val="0"/>
        </w:rPr>
        <w:t xml:space="preserve">, </w:t>
      </w:r>
      <w:r>
        <w:rPr>
          <w:b/>
          <w:bCs/>
          <w:kern w:val="0"/>
        </w:rPr>
        <w:t>37</w:t>
      </w:r>
      <w:r>
        <w:rPr>
          <w:kern w:val="0"/>
        </w:rPr>
        <w:t xml:space="preserve"> (5), 206-212.</w:t>
      </w:r>
    </w:p>
    <w:p w:rsidR="00380655" w:rsidRDefault="00380655" w:rsidP="00E11639">
      <w:pPr>
        <w:pStyle w:val="a3"/>
        <w:rPr>
          <w:kern w:val="0"/>
        </w:rPr>
      </w:pPr>
      <w:r>
        <w:rPr>
          <w:rFonts w:hint="eastAsia"/>
          <w:kern w:val="0"/>
        </w:rPr>
        <w:t xml:space="preserve">Full Text: </w:t>
      </w:r>
      <w:hyperlink r:id="rId345" w:history="1">
        <w:r w:rsidRPr="00380655">
          <w:rPr>
            <w:rStyle w:val="a5"/>
            <w:kern w:val="0"/>
          </w:rPr>
          <w:t>2010\Akt Neu37, 206.pdf</w:t>
        </w:r>
      </w:hyperlink>
    </w:p>
    <w:p w:rsidR="00E11639" w:rsidRDefault="00E11639" w:rsidP="00E11639">
      <w:pPr>
        <w:pStyle w:val="a3"/>
        <w:rPr>
          <w:kern w:val="0"/>
        </w:rPr>
      </w:pPr>
      <w:r>
        <w:rPr>
          <w:kern w:val="0"/>
        </w:rPr>
        <w:t>Abstract: Background Research activities on Alzheimer</w:t>
      </w:r>
      <w:r w:rsidR="00700038">
        <w:rPr>
          <w:kern w:val="0"/>
        </w:rPr>
        <w:t>’</w:t>
      </w:r>
      <w:r w:rsidR="00C13DDC">
        <w:rPr>
          <w:kern w:val="0"/>
        </w:rPr>
        <w:t>s</w:t>
      </w:r>
      <w:r>
        <w:rPr>
          <w:kern w:val="0"/>
        </w:rPr>
        <w:t xml:space="preserve"> disease have increased enormously recently. A differentiation between publications</w:t>
      </w:r>
      <w:r w:rsidR="00427468">
        <w:rPr>
          <w:kern w:val="0"/>
        </w:rPr>
        <w:t xml:space="preserve"> of </w:t>
      </w:r>
      <w:r>
        <w:rPr>
          <w:kern w:val="0"/>
        </w:rPr>
        <w:t>major</w:t>
      </w:r>
      <w:r w:rsidR="005853A9">
        <w:rPr>
          <w:kern w:val="0"/>
        </w:rPr>
        <w:t xml:space="preserve"> and </w:t>
      </w:r>
      <w:r>
        <w:rPr>
          <w:kern w:val="0"/>
        </w:rPr>
        <w:t>minor importance has become difficult even for experts. Scientometric data on developments</w:t>
      </w:r>
      <w:r w:rsidR="005853A9">
        <w:rPr>
          <w:kern w:val="0"/>
        </w:rPr>
        <w:t xml:space="preserve"> and </w:t>
      </w:r>
      <w:r>
        <w:rPr>
          <w:kern w:val="0"/>
        </w:rPr>
        <w:t>tendencies in Alzheimer</w:t>
      </w:r>
      <w:r w:rsidR="00700038">
        <w:rPr>
          <w:kern w:val="0"/>
        </w:rPr>
        <w:t>’</w:t>
      </w:r>
      <w:r w:rsidR="00C13DDC">
        <w:rPr>
          <w:kern w:val="0"/>
        </w:rPr>
        <w:t>s</w:t>
      </w:r>
      <w:r>
        <w:rPr>
          <w:kern w:val="0"/>
        </w:rPr>
        <w:t xml:space="preserve"> disease research were not available to date</w:t>
      </w:r>
      <w:r w:rsidR="00A37C1D">
        <w:rPr>
          <w:kern w:val="0"/>
        </w:rPr>
        <w:t>. The</w:t>
      </w:r>
      <w:r w:rsidR="003A1917">
        <w:rPr>
          <w:kern w:val="0"/>
        </w:rPr>
        <w:t xml:space="preserve"> </w:t>
      </w:r>
      <w:r>
        <w:rPr>
          <w:kern w:val="0"/>
        </w:rPr>
        <w:t>aim</w:t>
      </w:r>
      <w:r w:rsidR="00427468">
        <w:rPr>
          <w:kern w:val="0"/>
        </w:rPr>
        <w:t xml:space="preserve"> of </w:t>
      </w:r>
      <w:r>
        <w:rPr>
          <w:kern w:val="0"/>
        </w:rPr>
        <w:t>this study was to evaluate</w:t>
      </w:r>
      <w:r w:rsidR="003A1917">
        <w:rPr>
          <w:kern w:val="0"/>
        </w:rPr>
        <w:t xml:space="preserve"> the </w:t>
      </w:r>
      <w:r>
        <w:rPr>
          <w:kern w:val="0"/>
        </w:rPr>
        <w:t>scientific efforts in Alzheimer</w:t>
      </w:r>
      <w:r w:rsidR="00700038">
        <w:rPr>
          <w:kern w:val="0"/>
        </w:rPr>
        <w:t>’</w:t>
      </w:r>
      <w:r w:rsidR="00C13DDC">
        <w:rPr>
          <w:kern w:val="0"/>
        </w:rPr>
        <w:t>s</w:t>
      </w:r>
      <w:r>
        <w:rPr>
          <w:kern w:val="0"/>
        </w:rPr>
        <w:t xml:space="preserve"> disease research. Methods Large-scale data analyses, density-equalising algorithms</w:t>
      </w:r>
      <w:r w:rsidR="005853A9">
        <w:rPr>
          <w:kern w:val="0"/>
        </w:rPr>
        <w:t xml:space="preserve"> and </w:t>
      </w:r>
      <w:r>
        <w:rPr>
          <w:kern w:val="0"/>
        </w:rPr>
        <w:t>scientometric methods were used to evaluate</w:t>
      </w:r>
      <w:r w:rsidR="003A1917">
        <w:rPr>
          <w:kern w:val="0"/>
        </w:rPr>
        <w:t xml:space="preserve"> the </w:t>
      </w:r>
      <w:r>
        <w:rPr>
          <w:kern w:val="0"/>
        </w:rPr>
        <w:t>quantity</w:t>
      </w:r>
      <w:r w:rsidR="005853A9">
        <w:rPr>
          <w:kern w:val="0"/>
        </w:rPr>
        <w:t xml:space="preserve"> and </w:t>
      </w:r>
      <w:r>
        <w:rPr>
          <w:kern w:val="0"/>
        </w:rPr>
        <w:t>quality</w:t>
      </w:r>
      <w:r w:rsidR="00427468">
        <w:rPr>
          <w:kern w:val="0"/>
        </w:rPr>
        <w:t xml:space="preserve"> of </w:t>
      </w:r>
      <w:r>
        <w:rPr>
          <w:kern w:val="0"/>
        </w:rPr>
        <w:t>research achievements</w:t>
      </w:r>
      <w:r w:rsidR="00427468">
        <w:rPr>
          <w:kern w:val="0"/>
        </w:rPr>
        <w:t xml:space="preserve"> of </w:t>
      </w:r>
      <w:r>
        <w:rPr>
          <w:kern w:val="0"/>
        </w:rPr>
        <w:t>scientists studying Alzheimer</w:t>
      </w:r>
      <w:r w:rsidR="00700038">
        <w:rPr>
          <w:kern w:val="0"/>
        </w:rPr>
        <w:t>’</w:t>
      </w:r>
      <w:r w:rsidR="00C13DDC">
        <w:rPr>
          <w:kern w:val="0"/>
        </w:rPr>
        <w:t>s</w:t>
      </w:r>
      <w:r>
        <w:rPr>
          <w:kern w:val="0"/>
        </w:rPr>
        <w:t xml:space="preserve"> disease. Density-equalising algorithms were applied to data retrieved from ISI-Web. Results From 1985 to 2008, 50030 publications on Alzheimer</w:t>
      </w:r>
      <w:r w:rsidR="00700038">
        <w:rPr>
          <w:kern w:val="0"/>
        </w:rPr>
        <w:t>’</w:t>
      </w:r>
      <w:r w:rsidR="00C13DDC">
        <w:rPr>
          <w:kern w:val="0"/>
        </w:rPr>
        <w:t>s</w:t>
      </w:r>
      <w:r>
        <w:rPr>
          <w:kern w:val="0"/>
        </w:rPr>
        <w:t xml:space="preserve"> disease were published</w:t>
      </w:r>
      <w:r w:rsidR="005853A9">
        <w:rPr>
          <w:kern w:val="0"/>
        </w:rPr>
        <w:t xml:space="preserve"> and </w:t>
      </w:r>
      <w:r>
        <w:rPr>
          <w:kern w:val="0"/>
        </w:rPr>
        <w:t>included in</w:t>
      </w:r>
      <w:r w:rsidR="003A1917">
        <w:rPr>
          <w:kern w:val="0"/>
        </w:rPr>
        <w:t xml:space="preserve"> the </w:t>
      </w:r>
      <w:r>
        <w:rPr>
          <w:kern w:val="0"/>
        </w:rPr>
        <w:t>database. Approximately 97%</w:t>
      </w:r>
      <w:r w:rsidR="00427468">
        <w:rPr>
          <w:kern w:val="0"/>
        </w:rPr>
        <w:t xml:space="preserve"> of </w:t>
      </w:r>
      <w:r w:rsidR="003A1917">
        <w:rPr>
          <w:kern w:val="0"/>
        </w:rPr>
        <w:t xml:space="preserve">the </w:t>
      </w:r>
      <w:r>
        <w:rPr>
          <w:kern w:val="0"/>
        </w:rPr>
        <w:t>articles were written in English</w:t>
      </w:r>
      <w:r w:rsidR="00A37C1D">
        <w:rPr>
          <w:kern w:val="0"/>
        </w:rPr>
        <w:t>. The</w:t>
      </w:r>
      <w:r w:rsidR="003A1917">
        <w:rPr>
          <w:kern w:val="0"/>
        </w:rPr>
        <w:t xml:space="preserve"> </w:t>
      </w:r>
      <w:r w:rsidR="00D5664A">
        <w:rPr>
          <w:kern w:val="0"/>
        </w:rPr>
        <w:t>USA</w:t>
      </w:r>
      <w:r>
        <w:rPr>
          <w:kern w:val="0"/>
        </w:rPr>
        <w:t xml:space="preserve"> was identified as</w:t>
      </w:r>
      <w:r w:rsidR="003A1917">
        <w:rPr>
          <w:kern w:val="0"/>
        </w:rPr>
        <w:t xml:space="preserve"> the </w:t>
      </w:r>
      <w:r>
        <w:rPr>
          <w:kern w:val="0"/>
        </w:rPr>
        <w:t>most prolific country during that period, Canada</w:t>
      </w:r>
      <w:r w:rsidR="005853A9">
        <w:rPr>
          <w:kern w:val="0"/>
        </w:rPr>
        <w:t xml:space="preserve"> and </w:t>
      </w:r>
      <w:r w:rsidR="003A1917">
        <w:rPr>
          <w:kern w:val="0"/>
        </w:rPr>
        <w:t xml:space="preserve">the </w:t>
      </w:r>
      <w:r>
        <w:rPr>
          <w:kern w:val="0"/>
        </w:rPr>
        <w:t>UK were</w:t>
      </w:r>
      <w:r w:rsidR="003A1917">
        <w:rPr>
          <w:kern w:val="0"/>
        </w:rPr>
        <w:t xml:space="preserve"> the </w:t>
      </w:r>
      <w:r>
        <w:rPr>
          <w:kern w:val="0"/>
        </w:rPr>
        <w:t>most important cooperation partners followed by Germany</w:t>
      </w:r>
      <w:r w:rsidR="005853A9">
        <w:rPr>
          <w:kern w:val="0"/>
        </w:rPr>
        <w:t xml:space="preserve"> and </w:t>
      </w:r>
      <w:r>
        <w:rPr>
          <w:kern w:val="0"/>
        </w:rPr>
        <w:t>France, as well as other industrialised countries such as Japan</w:t>
      </w:r>
      <w:r w:rsidR="005853A9">
        <w:rPr>
          <w:kern w:val="0"/>
        </w:rPr>
        <w:t xml:space="preserve"> and </w:t>
      </w:r>
      <w:r>
        <w:rPr>
          <w:kern w:val="0"/>
        </w:rPr>
        <w:t>Australia. Conclusion Our results indicate an increase in research activities after 1990 which can be explained by some important research results</w:t>
      </w:r>
      <w:r w:rsidR="005853A9">
        <w:rPr>
          <w:kern w:val="0"/>
        </w:rPr>
        <w:t xml:space="preserve"> and </w:t>
      </w:r>
      <w:r>
        <w:rPr>
          <w:kern w:val="0"/>
        </w:rPr>
        <w:t>an increasing importance in</w:t>
      </w:r>
      <w:r w:rsidR="003A1917">
        <w:rPr>
          <w:kern w:val="0"/>
        </w:rPr>
        <w:t xml:space="preserve"> the </w:t>
      </w:r>
      <w:r>
        <w:rPr>
          <w:kern w:val="0"/>
        </w:rPr>
        <w:t>media</w:t>
      </w:r>
      <w:r w:rsidR="00A37C1D">
        <w:rPr>
          <w:kern w:val="0"/>
        </w:rPr>
        <w:t>. The</w:t>
      </w:r>
      <w:r w:rsidR="003A1917">
        <w:rPr>
          <w:kern w:val="0"/>
        </w:rPr>
        <w:t xml:space="preserve"> </w:t>
      </w:r>
      <w:r>
        <w:rPr>
          <w:kern w:val="0"/>
        </w:rPr>
        <w:t>study results imply that currently established measures</w:t>
      </w:r>
      <w:r w:rsidR="00427468">
        <w:rPr>
          <w:kern w:val="0"/>
        </w:rPr>
        <w:t xml:space="preserve"> of </w:t>
      </w:r>
      <w:r>
        <w:rPr>
          <w:kern w:val="0"/>
        </w:rPr>
        <w:t xml:space="preserve">research output (i.e., impact factor, </w:t>
      </w:r>
      <w:r w:rsidR="00D5664A">
        <w:rPr>
          <w:kern w:val="0"/>
        </w:rPr>
        <w:t>h-Index</w:t>
      </w:r>
      <w:r>
        <w:rPr>
          <w:kern w:val="0"/>
        </w:rPr>
        <w:t>) should be evaluated critically because trends, such as self-citation</w:t>
      </w:r>
      <w:r w:rsidR="005853A9">
        <w:rPr>
          <w:kern w:val="0"/>
        </w:rPr>
        <w:t xml:space="preserve"> and </w:t>
      </w:r>
      <w:r>
        <w:rPr>
          <w:kern w:val="0"/>
        </w:rPr>
        <w:t>co-authorship, distort</w:t>
      </w:r>
      <w:r w:rsidR="003A1917">
        <w:rPr>
          <w:kern w:val="0"/>
        </w:rPr>
        <w:t xml:space="preserve"> the </w:t>
      </w:r>
      <w:r>
        <w:rPr>
          <w:kern w:val="0"/>
        </w:rPr>
        <w:t>results</w:t>
      </w:r>
      <w:r w:rsidR="005853A9">
        <w:rPr>
          <w:kern w:val="0"/>
        </w:rPr>
        <w:t xml:space="preserve"> and </w:t>
      </w:r>
      <w:r>
        <w:rPr>
          <w:kern w:val="0"/>
        </w:rPr>
        <w:t>limit their suitability as measures</w:t>
      </w:r>
      <w:r w:rsidR="00427468">
        <w:rPr>
          <w:kern w:val="0"/>
        </w:rPr>
        <w:t xml:space="preserve"> of </w:t>
      </w:r>
      <w:r>
        <w:rPr>
          <w:kern w:val="0"/>
        </w:rPr>
        <w:t>research quality.</w:t>
      </w:r>
    </w:p>
    <w:p w:rsidR="00E11639" w:rsidRDefault="00E11639" w:rsidP="00E11639">
      <w:pPr>
        <w:pStyle w:val="a3"/>
        <w:rPr>
          <w:kern w:val="0"/>
        </w:rPr>
      </w:pPr>
      <w:r>
        <w:rPr>
          <w:kern w:val="0"/>
        </w:rPr>
        <w:t>Keywords: Alzheimer</w:t>
      </w:r>
      <w:r w:rsidR="00700038">
        <w:rPr>
          <w:kern w:val="0"/>
        </w:rPr>
        <w:t>’</w:t>
      </w:r>
      <w:r w:rsidR="00C13DDC">
        <w:rPr>
          <w:kern w:val="0"/>
        </w:rPr>
        <w:t>s</w:t>
      </w:r>
      <w:r>
        <w:rPr>
          <w:kern w:val="0"/>
        </w:rPr>
        <w:t xml:space="preserve"> Disease, Data Acquisition, Dementia, Index, Prevalence, </w:t>
      </w:r>
      <w:r>
        <w:rPr>
          <w:kern w:val="0"/>
        </w:rPr>
        <w:lastRenderedPageBreak/>
        <w:t>Scientometric Analysis</w:t>
      </w:r>
    </w:p>
    <w:p w:rsidR="003474F2" w:rsidRPr="001A3D2B" w:rsidRDefault="003474F2" w:rsidP="003474F2">
      <w:pPr>
        <w:pStyle w:val="1"/>
      </w:pPr>
      <w:r w:rsidRPr="001A3D2B">
        <w:br w:type="page"/>
      </w:r>
      <w:bookmarkStart w:id="189" w:name="_Toc420814353"/>
      <w:r w:rsidRPr="001A3D2B">
        <w:lastRenderedPageBreak/>
        <w:t>Title: Alaska Medicine</w:t>
      </w:r>
      <w:bookmarkEnd w:id="189"/>
    </w:p>
    <w:p w:rsidR="003474F2" w:rsidRPr="001A3D2B" w:rsidRDefault="003474F2" w:rsidP="003474F2">
      <w:pPr>
        <w:pStyle w:val="12"/>
      </w:pPr>
      <w:r w:rsidRPr="001A3D2B">
        <w:t>Full Journal Title: Alaska Medicine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Alaska Med</w:t>
      </w:r>
    </w:p>
    <w:p w:rsidR="003474F2" w:rsidRPr="001A3D2B" w:rsidRDefault="003474F2" w:rsidP="003474F2">
      <w:pPr>
        <w:pStyle w:val="12"/>
      </w:pPr>
      <w:r w:rsidRPr="001A3D2B">
        <w:t>ISSN: 0002-4538 (Print)</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Alaska State Medical Association</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Mahoney, M.C.</w:t>
      </w:r>
      <w:r w:rsidR="005853A9">
        <w:t xml:space="preserve"> and </w:t>
      </w:r>
      <w:r w:rsidRPr="001A3D2B">
        <w:t>Michalek, A.M. (1995), A bibliometric analysis</w:t>
      </w:r>
      <w:r w:rsidR="00427468">
        <w:t xml:space="preserve"> of </w:t>
      </w:r>
      <w:r w:rsidRPr="001A3D2B">
        <w:t xml:space="preserve">cancer among American Indians &amp; Alaska Natives, 1966-1993. </w:t>
      </w:r>
      <w:r w:rsidRPr="001A3D2B">
        <w:rPr>
          <w:i/>
        </w:rPr>
        <w:t>Alaska Medicine</w:t>
      </w:r>
      <w:r w:rsidRPr="001A3D2B">
        <w:t xml:space="preserve">, </w:t>
      </w:r>
      <w:r w:rsidRPr="001A3D2B">
        <w:rPr>
          <w:b/>
          <w:bCs/>
        </w:rPr>
        <w:t>37</w:t>
      </w:r>
      <w:r w:rsidRPr="001A3D2B">
        <w:t xml:space="preserve"> (2), 59-62, 77.</w:t>
      </w:r>
    </w:p>
    <w:p w:rsidR="003474F2" w:rsidRPr="001A3D2B" w:rsidRDefault="003474F2" w:rsidP="003474F2">
      <w:pPr>
        <w:pStyle w:val="a3"/>
      </w:pPr>
      <w:r w:rsidRPr="001A3D2B">
        <w:t>Abstract: A bibliometric analysis was employed to objectively assess scientific studies published between 1966</w:t>
      </w:r>
      <w:r w:rsidR="005853A9">
        <w:t xml:space="preserve"> and </w:t>
      </w:r>
      <w:r w:rsidRPr="001A3D2B">
        <w:t>1993 which have described cancer among American Indians</w:t>
      </w:r>
      <w:r w:rsidR="005853A9">
        <w:t xml:space="preserve"> and </w:t>
      </w:r>
      <w:r w:rsidRPr="001A3D2B">
        <w:t>Alaska Natives. Searches</w:t>
      </w:r>
      <w:r w:rsidR="00427468">
        <w:t xml:space="preserve"> of </w:t>
      </w:r>
      <w:r w:rsidR="003A1917">
        <w:t xml:space="preserve">the </w:t>
      </w:r>
      <w:r w:rsidR="00D5664A">
        <w:t>MEDLINE</w:t>
      </w:r>
      <w:r w:rsidRPr="001A3D2B">
        <w:t xml:space="preserve"> (1966-1993)</w:t>
      </w:r>
      <w:r w:rsidR="005853A9">
        <w:t xml:space="preserve"> and </w:t>
      </w:r>
      <w:r w:rsidRPr="001A3D2B">
        <w:t>CANCERLIT data bases (1983-1994) were used to identify relevant publications. In addition to examining publication sources</w:t>
      </w:r>
      <w:r w:rsidR="005853A9">
        <w:t xml:space="preserve"> and </w:t>
      </w:r>
      <w:r w:rsidRPr="001A3D2B">
        <w:t>quantitative temporal trends, further bibliometric analyses were completed by considering a subset</w:t>
      </w:r>
      <w:r w:rsidR="00427468">
        <w:t xml:space="preserve"> of </w:t>
      </w:r>
      <w:r w:rsidRPr="001A3D2B">
        <w:t>papers published between 1982</w:t>
      </w:r>
      <w:r w:rsidR="005853A9">
        <w:t xml:space="preserve"> and </w:t>
      </w:r>
      <w:r w:rsidRPr="001A3D2B">
        <w:t>1992. A total</w:t>
      </w:r>
      <w:r w:rsidR="00427468">
        <w:t xml:space="preserve"> of </w:t>
      </w:r>
      <w:r w:rsidRPr="001A3D2B">
        <w:t>128 studies</w:t>
      </w:r>
      <w:r w:rsidR="00427468">
        <w:t xml:space="preserve"> of </w:t>
      </w:r>
      <w:r w:rsidRPr="001A3D2B">
        <w:t>cancer among American Indians</w:t>
      </w:r>
      <w:r w:rsidR="005853A9">
        <w:t xml:space="preserve"> and </w:t>
      </w:r>
      <w:r w:rsidRPr="001A3D2B">
        <w:t>Alaska Natives were published between 1966</w:t>
      </w:r>
      <w:r w:rsidR="005853A9">
        <w:t xml:space="preserve"> and </w:t>
      </w:r>
      <w:r w:rsidRPr="001A3D2B">
        <w:t>1993; 62</w:t>
      </w:r>
      <w:r w:rsidR="00427468">
        <w:t xml:space="preserve"> of </w:t>
      </w:r>
      <w:r w:rsidRPr="001A3D2B">
        <w:t>these articles (48%) appeared between 1988</w:t>
      </w:r>
      <w:r w:rsidR="005853A9">
        <w:t xml:space="preserve"> and </w:t>
      </w:r>
      <w:r w:rsidRPr="001A3D2B">
        <w:t>1993. Nine journals accounted for 53%</w:t>
      </w:r>
      <w:r w:rsidR="00427468">
        <w:t xml:space="preserve"> of </w:t>
      </w:r>
      <w:r w:rsidR="003A1917">
        <w:t xml:space="preserve">the </w:t>
      </w:r>
      <w:r w:rsidRPr="001A3D2B">
        <w:t>total publications</w:t>
      </w:r>
      <w:r w:rsidR="00A37C1D">
        <w:t>. The</w:t>
      </w:r>
      <w:r w:rsidR="003A1917">
        <w:t xml:space="preserve"> </w:t>
      </w:r>
      <w:r w:rsidRPr="001A3D2B">
        <w:t>subset</w:t>
      </w:r>
      <w:r w:rsidR="00427468">
        <w:t xml:space="preserve"> of </w:t>
      </w:r>
      <w:r w:rsidRPr="001A3D2B">
        <w:t>68 papers published between 1982</w:t>
      </w:r>
      <w:r w:rsidR="005853A9">
        <w:t xml:space="preserve"> and </w:t>
      </w:r>
      <w:r w:rsidRPr="001A3D2B">
        <w:t>1992 were cited a total</w:t>
      </w:r>
      <w:r w:rsidR="00427468">
        <w:t xml:space="preserve"> of </w:t>
      </w:r>
      <w:r w:rsidRPr="001A3D2B">
        <w:t>388 times in 136 different journals;</w:t>
      </w:r>
      <w:r w:rsidR="003A1917">
        <w:t xml:space="preserve"> the </w:t>
      </w:r>
      <w:r w:rsidRPr="001A3D2B">
        <w:t>median number</w:t>
      </w:r>
      <w:r w:rsidR="00427468">
        <w:t xml:space="preserve"> of </w:t>
      </w:r>
      <w:r w:rsidRPr="001A3D2B">
        <w:t>citations was 2. Results demonstrate a limited number</w:t>
      </w:r>
      <w:r w:rsidR="00427468">
        <w:t xml:space="preserve"> of </w:t>
      </w:r>
      <w:r w:rsidRPr="001A3D2B">
        <w:t>published papers on cancer among American Indians</w:t>
      </w:r>
      <w:r w:rsidR="005853A9">
        <w:t xml:space="preserve"> and </w:t>
      </w:r>
      <w:r w:rsidRPr="001A3D2B">
        <w:t>Alaska Natives. It is hoped that this paper will increase</w:t>
      </w:r>
      <w:r w:rsidR="003A1917">
        <w:t xml:space="preserve"> the </w:t>
      </w:r>
      <w:r w:rsidRPr="001A3D2B">
        <w:t>awareness</w:t>
      </w:r>
      <w:r w:rsidR="00427468">
        <w:t xml:space="preserve"> of </w:t>
      </w:r>
      <w:r w:rsidRPr="001A3D2B">
        <w:t>cancer as an important health problem among American Indian</w:t>
      </w:r>
      <w:r w:rsidR="005853A9">
        <w:t xml:space="preserve"> and </w:t>
      </w:r>
      <w:r w:rsidRPr="001A3D2B">
        <w:t>Alaska Natives</w:t>
      </w:r>
      <w:r w:rsidR="005853A9">
        <w:t xml:space="preserve"> and </w:t>
      </w:r>
      <w:r w:rsidRPr="001A3D2B">
        <w:t>thereby serve to stimulate additional cancer-related research activities involving these groups.</w:t>
      </w:r>
    </w:p>
    <w:p w:rsidR="003474F2" w:rsidRPr="001A3D2B" w:rsidRDefault="003474F2" w:rsidP="003474F2">
      <w:pPr>
        <w:pStyle w:val="a3"/>
      </w:pPr>
      <w:r w:rsidRPr="001A3D2B">
        <w:t xml:space="preserve">Keywords: Alaska, Analyses, Analysis, Bibliometric, Bibliometric Analyses, Bibliometric Analysis, Cancer, Citations, Data, Health, Journals, </w:t>
      </w:r>
      <w:r w:rsidR="00D5664A">
        <w:t>MEDLINE</w:t>
      </w:r>
      <w:r w:rsidRPr="001A3D2B">
        <w:t>, Papers, Publication, Publications, Research, Sources, Temporal, Trends</w:t>
      </w:r>
    </w:p>
    <w:p w:rsidR="0027493F" w:rsidRPr="00772E52" w:rsidRDefault="0027493F" w:rsidP="0027493F">
      <w:pPr>
        <w:pStyle w:val="1"/>
      </w:pPr>
      <w:r w:rsidRPr="00772E52">
        <w:br w:type="page"/>
      </w:r>
      <w:bookmarkStart w:id="190" w:name="_Toc276932266"/>
      <w:bookmarkStart w:id="191" w:name="_Toc420814354"/>
      <w:r w:rsidRPr="00772E52">
        <w:lastRenderedPageBreak/>
        <w:t xml:space="preserve">Title: </w:t>
      </w:r>
      <w:bookmarkEnd w:id="190"/>
      <w:r w:rsidRPr="0027493F">
        <w:t>Albion</w:t>
      </w:r>
      <w:bookmarkEnd w:id="191"/>
    </w:p>
    <w:p w:rsidR="007E68F3" w:rsidRPr="00772E52" w:rsidRDefault="007E68F3" w:rsidP="007E68F3">
      <w:pPr>
        <w:pStyle w:val="12"/>
      </w:pPr>
      <w:r w:rsidRPr="00772E52">
        <w:t xml:space="preserve">Full Journal Title: </w:t>
      </w:r>
      <w:r w:rsidRPr="0027493F">
        <w:rPr>
          <w:iCs/>
          <w:kern w:val="0"/>
        </w:rPr>
        <w:t>Albion</w:t>
      </w:r>
    </w:p>
    <w:p w:rsidR="007E68F3" w:rsidRPr="00772E52" w:rsidRDefault="007E68F3" w:rsidP="007E68F3">
      <w:pPr>
        <w:pStyle w:val="12"/>
      </w:pPr>
      <w:r w:rsidRPr="00772E52">
        <w:t xml:space="preserve">ISO Abbreviated Title: </w:t>
      </w:r>
      <w:r w:rsidRPr="0027493F">
        <w:rPr>
          <w:iCs/>
          <w:kern w:val="0"/>
        </w:rPr>
        <w:t>Albion</w:t>
      </w:r>
    </w:p>
    <w:p w:rsidR="007E68F3" w:rsidRPr="00772E52" w:rsidRDefault="007E68F3" w:rsidP="007E68F3">
      <w:pPr>
        <w:pStyle w:val="12"/>
      </w:pPr>
      <w:r w:rsidRPr="00772E52">
        <w:t xml:space="preserve">JCR Abbreviated Title: </w:t>
      </w:r>
      <w:r w:rsidRPr="0027493F">
        <w:rPr>
          <w:iCs/>
          <w:kern w:val="0"/>
        </w:rPr>
        <w:t>Albion</w:t>
      </w:r>
    </w:p>
    <w:p w:rsidR="0027493F" w:rsidRPr="00772E52" w:rsidRDefault="0027493F" w:rsidP="0027493F">
      <w:pPr>
        <w:pStyle w:val="12"/>
      </w:pPr>
      <w:r>
        <w:t xml:space="preserve">ISSN: </w:t>
      </w:r>
    </w:p>
    <w:p w:rsidR="0027493F" w:rsidRPr="00772E52" w:rsidRDefault="0027493F" w:rsidP="0027493F">
      <w:pPr>
        <w:pStyle w:val="12"/>
      </w:pPr>
      <w:r w:rsidRPr="00772E52">
        <w:t xml:space="preserve">Issues/Year: </w:t>
      </w:r>
    </w:p>
    <w:p w:rsidR="0027493F" w:rsidRPr="00772E52" w:rsidRDefault="0027493F" w:rsidP="0027493F">
      <w:pPr>
        <w:pStyle w:val="12"/>
      </w:pPr>
      <w:r w:rsidRPr="00772E52">
        <w:t xml:space="preserve">Journal Country/Territory: </w:t>
      </w:r>
    </w:p>
    <w:p w:rsidR="0027493F" w:rsidRPr="00772E52" w:rsidRDefault="0027493F" w:rsidP="0027493F">
      <w:pPr>
        <w:pStyle w:val="12"/>
      </w:pPr>
      <w:r w:rsidRPr="00772E52">
        <w:t xml:space="preserve">Language: </w:t>
      </w:r>
    </w:p>
    <w:p w:rsidR="0027493F" w:rsidRPr="00772E52" w:rsidRDefault="0027493F" w:rsidP="0027493F">
      <w:pPr>
        <w:pStyle w:val="12"/>
      </w:pPr>
      <w:r w:rsidRPr="00772E52">
        <w:t xml:space="preserve">Publisher: </w:t>
      </w:r>
    </w:p>
    <w:p w:rsidR="0027493F" w:rsidRPr="00772E52" w:rsidRDefault="0027493F" w:rsidP="0027493F">
      <w:pPr>
        <w:pStyle w:val="12"/>
      </w:pPr>
      <w:r w:rsidRPr="00772E52">
        <w:t xml:space="preserve">Publisher Address: </w:t>
      </w:r>
    </w:p>
    <w:p w:rsidR="0027493F" w:rsidRPr="00772E52" w:rsidRDefault="0027493F" w:rsidP="0027493F">
      <w:pPr>
        <w:pStyle w:val="12"/>
      </w:pPr>
      <w:r w:rsidRPr="00772E52">
        <w:t xml:space="preserve">Subject Categories: </w:t>
      </w:r>
    </w:p>
    <w:p w:rsidR="0027493F" w:rsidRPr="00772E52" w:rsidRDefault="0027493F" w:rsidP="0027493F">
      <w:pPr>
        <w:pStyle w:val="12"/>
      </w:pPr>
      <w:r w:rsidRPr="00772E52">
        <w:t>: Impact Factor</w:t>
      </w:r>
    </w:p>
    <w:p w:rsidR="0027493F" w:rsidRDefault="0027493F" w:rsidP="0027493F">
      <w:pPr>
        <w:pStyle w:val="a3"/>
        <w:rPr>
          <w:kern w:val="0"/>
        </w:rPr>
      </w:pPr>
      <w:r>
        <w:rPr>
          <w:rFonts w:hint="eastAsia"/>
          <w:kern w:val="0"/>
        </w:rPr>
        <w:t xml:space="preserve">? </w:t>
      </w:r>
      <w:r>
        <w:rPr>
          <w:kern w:val="0"/>
        </w:rPr>
        <w:t>Madison, K.G. (1977</w:t>
      </w:r>
      <w:r w:rsidR="00F42EAC">
        <w:rPr>
          <w:kern w:val="0"/>
        </w:rPr>
        <w:t>), The</w:t>
      </w:r>
      <w:r w:rsidR="003A1917">
        <w:rPr>
          <w:kern w:val="0"/>
        </w:rPr>
        <w:t xml:space="preserve"> </w:t>
      </w:r>
      <w:r>
        <w:rPr>
          <w:kern w:val="0"/>
        </w:rPr>
        <w:t>troglodyte connection</w:t>
      </w:r>
      <w:r>
        <w:rPr>
          <w:rFonts w:hint="eastAsia"/>
          <w:kern w:val="0"/>
        </w:rPr>
        <w:t>:</w:t>
      </w:r>
      <w:r>
        <w:rPr>
          <w:kern w:val="0"/>
        </w:rPr>
        <w:t xml:space="preserve"> </w:t>
      </w:r>
      <w:r>
        <w:rPr>
          <w:rFonts w:hint="eastAsia"/>
          <w:kern w:val="0"/>
        </w:rPr>
        <w:t xml:space="preserve">A </w:t>
      </w:r>
      <w:r>
        <w:rPr>
          <w:kern w:val="0"/>
        </w:rPr>
        <w:t>case</w:t>
      </w:r>
      <w:r w:rsidR="00427468">
        <w:rPr>
          <w:kern w:val="0"/>
        </w:rPr>
        <w:t xml:space="preserve"> of </w:t>
      </w:r>
      <w:r>
        <w:rPr>
          <w:kern w:val="0"/>
        </w:rPr>
        <w:t xml:space="preserve">self-plagiarism. </w:t>
      </w:r>
      <w:r w:rsidRPr="0027493F">
        <w:rPr>
          <w:i/>
          <w:iCs/>
          <w:kern w:val="0"/>
        </w:rPr>
        <w:t>Albion</w:t>
      </w:r>
      <w:r>
        <w:rPr>
          <w:kern w:val="0"/>
        </w:rPr>
        <w:t xml:space="preserve">, </w:t>
      </w:r>
      <w:r>
        <w:rPr>
          <w:b/>
          <w:bCs/>
          <w:kern w:val="0"/>
        </w:rPr>
        <w:t>9</w:t>
      </w:r>
      <w:r>
        <w:rPr>
          <w:kern w:val="0"/>
        </w:rPr>
        <w:t xml:space="preserve"> (2), 188-192.</w:t>
      </w:r>
    </w:p>
    <w:p w:rsidR="0027493F" w:rsidRDefault="0027493F" w:rsidP="0027493F">
      <w:pPr>
        <w:pStyle w:val="a3"/>
        <w:rPr>
          <w:kern w:val="0"/>
        </w:rPr>
      </w:pPr>
      <w:r>
        <w:rPr>
          <w:rFonts w:hint="eastAsia"/>
          <w:kern w:val="0"/>
        </w:rPr>
        <w:t xml:space="preserve">Full Text: </w:t>
      </w:r>
      <w:hyperlink r:id="rId346" w:history="1">
        <w:r w:rsidRPr="0027493F">
          <w:rPr>
            <w:rStyle w:val="a5"/>
            <w:kern w:val="0"/>
          </w:rPr>
          <w:t>1960-80\Albion9, 188.pdf</w:t>
        </w:r>
      </w:hyperlink>
    </w:p>
    <w:p w:rsidR="0027493F" w:rsidRDefault="0027493F" w:rsidP="0027493F">
      <w:pPr>
        <w:pStyle w:val="a3"/>
        <w:rPr>
          <w:kern w:val="0"/>
        </w:rPr>
      </w:pPr>
      <w:r>
        <w:rPr>
          <w:rFonts w:hint="eastAsia"/>
          <w:kern w:val="0"/>
        </w:rPr>
        <w:t xml:space="preserve">? </w:t>
      </w:r>
      <w:r>
        <w:rPr>
          <w:kern w:val="0"/>
        </w:rPr>
        <w:t>Lander, J.R. (1977</w:t>
      </w:r>
      <w:r w:rsidR="00F42EAC">
        <w:rPr>
          <w:kern w:val="0"/>
        </w:rPr>
        <w:t>), The</w:t>
      </w:r>
      <w:r w:rsidR="003A1917">
        <w:rPr>
          <w:kern w:val="0"/>
        </w:rPr>
        <w:t xml:space="preserve"> </w:t>
      </w:r>
      <w:r>
        <w:rPr>
          <w:kern w:val="0"/>
        </w:rPr>
        <w:t>troglodyte connection</w:t>
      </w:r>
      <w:r>
        <w:rPr>
          <w:rFonts w:hint="eastAsia"/>
          <w:kern w:val="0"/>
        </w:rPr>
        <w:t>:</w:t>
      </w:r>
      <w:r>
        <w:rPr>
          <w:kern w:val="0"/>
        </w:rPr>
        <w:t xml:space="preserve"> </w:t>
      </w:r>
      <w:r>
        <w:rPr>
          <w:rFonts w:hint="eastAsia"/>
          <w:kern w:val="0"/>
        </w:rPr>
        <w:t xml:space="preserve">A </w:t>
      </w:r>
      <w:r>
        <w:rPr>
          <w:kern w:val="0"/>
        </w:rPr>
        <w:t>case</w:t>
      </w:r>
      <w:r w:rsidR="00427468">
        <w:rPr>
          <w:kern w:val="0"/>
        </w:rPr>
        <w:t xml:space="preserve"> of </w:t>
      </w:r>
      <w:r>
        <w:rPr>
          <w:kern w:val="0"/>
        </w:rPr>
        <w:t xml:space="preserve">self-plagiarism - Reply. </w:t>
      </w:r>
      <w:r>
        <w:rPr>
          <w:i/>
          <w:iCs/>
          <w:kern w:val="0"/>
        </w:rPr>
        <w:t>Albion</w:t>
      </w:r>
      <w:r>
        <w:rPr>
          <w:kern w:val="0"/>
        </w:rPr>
        <w:t xml:space="preserve">, </w:t>
      </w:r>
      <w:r>
        <w:rPr>
          <w:b/>
          <w:bCs/>
          <w:kern w:val="0"/>
        </w:rPr>
        <w:t>9</w:t>
      </w:r>
      <w:r>
        <w:rPr>
          <w:kern w:val="0"/>
        </w:rPr>
        <w:t xml:space="preserve"> (2), 193-194.</w:t>
      </w:r>
    </w:p>
    <w:p w:rsidR="0027493F" w:rsidRDefault="0027493F" w:rsidP="0027493F">
      <w:pPr>
        <w:pStyle w:val="a3"/>
        <w:rPr>
          <w:kern w:val="0"/>
        </w:rPr>
      </w:pPr>
      <w:r>
        <w:rPr>
          <w:rFonts w:hint="eastAsia"/>
          <w:kern w:val="0"/>
        </w:rPr>
        <w:t xml:space="preserve">Full Text: </w:t>
      </w:r>
      <w:hyperlink r:id="rId347" w:history="1">
        <w:r w:rsidRPr="0027493F">
          <w:rPr>
            <w:rStyle w:val="a5"/>
            <w:kern w:val="0"/>
          </w:rPr>
          <w:t>1960-80\Albion9, 188.pdf</w:t>
        </w:r>
      </w:hyperlink>
    </w:p>
    <w:p w:rsidR="003474F2" w:rsidRPr="001A3D2B" w:rsidRDefault="003474F2" w:rsidP="003474F2">
      <w:pPr>
        <w:pStyle w:val="1"/>
      </w:pPr>
      <w:r w:rsidRPr="001A3D2B">
        <w:br w:type="page"/>
      </w:r>
      <w:bookmarkStart w:id="192" w:name="_Toc42366704"/>
      <w:bookmarkStart w:id="193" w:name="_Toc43634522"/>
      <w:bookmarkStart w:id="194" w:name="_Toc81215582"/>
      <w:bookmarkStart w:id="195" w:name="_Toc420814355"/>
      <w:r w:rsidRPr="001A3D2B">
        <w:lastRenderedPageBreak/>
        <w:t>Title: Alcohol</w:t>
      </w:r>
      <w:r w:rsidR="005853A9">
        <w:t xml:space="preserve"> and </w:t>
      </w:r>
      <w:r w:rsidRPr="001A3D2B">
        <w:t>Alcoholism</w:t>
      </w:r>
      <w:bookmarkEnd w:id="192"/>
      <w:bookmarkEnd w:id="193"/>
      <w:bookmarkEnd w:id="194"/>
      <w:bookmarkEnd w:id="195"/>
    </w:p>
    <w:p w:rsidR="003474F2" w:rsidRPr="001A3D2B" w:rsidRDefault="003474F2" w:rsidP="003474F2">
      <w:pPr>
        <w:pStyle w:val="12"/>
      </w:pPr>
      <w:r w:rsidRPr="001A3D2B">
        <w:t xml:space="preserve">Full Journal Title: </w:t>
      </w:r>
      <w:hyperlink r:id="rId348" w:history="1">
        <w:r w:rsidRPr="001A3D2B">
          <w:rPr>
            <w:rStyle w:val="a5"/>
          </w:rPr>
          <w:t>Alcohol</w:t>
        </w:r>
        <w:r w:rsidR="005853A9">
          <w:rPr>
            <w:rStyle w:val="a5"/>
          </w:rPr>
          <w:t xml:space="preserve"> and </w:t>
        </w:r>
        <w:r w:rsidRPr="001A3D2B">
          <w:rPr>
            <w:rStyle w:val="a5"/>
          </w:rPr>
          <w:t>Alcoholism</w:t>
        </w:r>
      </w:hyperlink>
    </w:p>
    <w:p w:rsidR="003474F2" w:rsidRPr="001A3D2B" w:rsidRDefault="003474F2" w:rsidP="003474F2">
      <w:pPr>
        <w:pStyle w:val="12"/>
      </w:pPr>
      <w:r w:rsidRPr="001A3D2B">
        <w:t>ISO Abbreviated Title: Alcohol Alcohol.</w:t>
      </w:r>
    </w:p>
    <w:p w:rsidR="003474F2" w:rsidRPr="001A3D2B" w:rsidRDefault="003474F2" w:rsidP="003474F2">
      <w:pPr>
        <w:pStyle w:val="12"/>
      </w:pPr>
      <w:r w:rsidRPr="001A3D2B">
        <w:t>JCR Abbreviated Title: Alcohol Alcoholism</w:t>
      </w:r>
    </w:p>
    <w:p w:rsidR="003474F2" w:rsidRPr="001A3D2B" w:rsidRDefault="003474F2" w:rsidP="003474F2">
      <w:pPr>
        <w:pStyle w:val="12"/>
      </w:pPr>
      <w:r w:rsidRPr="001A3D2B">
        <w:t>ISSN: 0735-0414</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City">
          <w:r w:rsidRPr="001A3D2B">
            <w:t>Oxford</w:t>
          </w:r>
        </w:smartTag>
      </w:smartTag>
      <w:r w:rsidRPr="001A3D2B">
        <w:t xml:space="preserve"> Univ Press</w:t>
      </w:r>
    </w:p>
    <w:p w:rsidR="003474F2" w:rsidRPr="001A3D2B" w:rsidRDefault="003474F2" w:rsidP="003474F2">
      <w:pPr>
        <w:pStyle w:val="12"/>
      </w:pPr>
      <w:r w:rsidRPr="001A3D2B">
        <w:t xml:space="preserve">Publisher Address: Great Clarendon st, </w:t>
      </w:r>
      <w:smartTag w:uri="urn:schemas-microsoft-com:office:smarttags" w:element="place">
        <w:smartTag w:uri="urn:schemas-microsoft-com:office:smarttags" w:element="City">
          <w:r w:rsidRPr="001A3D2B">
            <w:t>Oxford</w:t>
          </w:r>
        </w:smartTag>
        <w:r w:rsidRPr="001A3D2B">
          <w:t xml:space="preserve"> </w:t>
        </w:r>
        <w:smartTag w:uri="urn:schemas-microsoft-com:office:smarttags" w:element="PostalCode">
          <w:r w:rsidRPr="001A3D2B">
            <w:t>OX2 6DP</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Substance Abuse: Impact Factor 1.753, 4/9 (2001)</w:t>
      </w:r>
    </w:p>
    <w:p w:rsidR="003474F2" w:rsidRPr="001A3D2B" w:rsidRDefault="003474F2" w:rsidP="003474F2">
      <w:pPr>
        <w:pStyle w:val="a3"/>
      </w:pPr>
      <w:r w:rsidRPr="001A3D2B">
        <w:t>Notes: JJournal</w:t>
      </w:r>
    </w:p>
    <w:p w:rsidR="003474F2" w:rsidRPr="001A3D2B" w:rsidRDefault="003474F2" w:rsidP="003474F2">
      <w:pPr>
        <w:pStyle w:val="a3"/>
      </w:pPr>
      <w:r w:rsidRPr="001A3D2B">
        <w:rPr>
          <w:szCs w:val="11"/>
        </w:rPr>
        <w:t>Jones, A.</w:t>
      </w:r>
      <w:r w:rsidRPr="001A3D2B">
        <w:t xml:space="preserve"> (1999), </w:t>
      </w:r>
      <w:r w:rsidRPr="001A3D2B">
        <w:rPr>
          <w:szCs w:val="11"/>
        </w:rPr>
        <w:t>Invited special article</w:t>
      </w:r>
      <w:r w:rsidR="00A37C1D">
        <w:rPr>
          <w:szCs w:val="11"/>
        </w:rPr>
        <w:t>. The</w:t>
      </w:r>
      <w:r w:rsidR="003A1917">
        <w:rPr>
          <w:szCs w:val="11"/>
        </w:rPr>
        <w:t xml:space="preserve"> </w:t>
      </w:r>
      <w:r w:rsidRPr="001A3D2B">
        <w:rPr>
          <w:szCs w:val="11"/>
        </w:rPr>
        <w:t>impact</w:t>
      </w:r>
      <w:r w:rsidR="00427468">
        <w:rPr>
          <w:szCs w:val="11"/>
        </w:rPr>
        <w:t xml:space="preserve"> of </w:t>
      </w:r>
      <w:r w:rsidRPr="001A3D2B">
        <w:rPr>
          <w:i/>
          <w:iCs/>
          <w:szCs w:val="11"/>
        </w:rPr>
        <w:t>Alcohol</w:t>
      </w:r>
      <w:r w:rsidR="005853A9">
        <w:rPr>
          <w:i/>
          <w:iCs/>
          <w:szCs w:val="11"/>
        </w:rPr>
        <w:t xml:space="preserve"> and </w:t>
      </w:r>
      <w:r w:rsidRPr="001A3D2B">
        <w:rPr>
          <w:i/>
          <w:iCs/>
          <w:szCs w:val="11"/>
        </w:rPr>
        <w:t>Alcoholism</w:t>
      </w:r>
      <w:r w:rsidRPr="001A3D2B">
        <w:rPr>
          <w:szCs w:val="11"/>
        </w:rPr>
        <w:t xml:space="preserve"> among substance abuse journals</w:t>
      </w:r>
      <w:r w:rsidRPr="001A3D2B">
        <w:t xml:space="preserve">. </w:t>
      </w:r>
      <w:r w:rsidRPr="001A3D2B">
        <w:rPr>
          <w:i/>
          <w:iCs/>
        </w:rPr>
        <w:t>Alcohol</w:t>
      </w:r>
      <w:r w:rsidR="005853A9">
        <w:rPr>
          <w:i/>
          <w:iCs/>
        </w:rPr>
        <w:t xml:space="preserve"> and </w:t>
      </w:r>
      <w:r w:rsidRPr="001A3D2B">
        <w:rPr>
          <w:i/>
          <w:iCs/>
        </w:rPr>
        <w:t>Alcoholism</w:t>
      </w:r>
      <w:r w:rsidRPr="001A3D2B">
        <w:t xml:space="preserve">, </w:t>
      </w:r>
      <w:r w:rsidRPr="001A3D2B">
        <w:rPr>
          <w:b/>
        </w:rPr>
        <w:t>34</w:t>
      </w:r>
      <w:r w:rsidRPr="001A3D2B">
        <w:t xml:space="preserve"> (1), </w:t>
      </w:r>
      <w:r w:rsidRPr="001A3D2B">
        <w:rPr>
          <w:szCs w:val="10"/>
        </w:rPr>
        <w:t>25-34</w:t>
      </w:r>
      <w:r w:rsidRPr="001A3D2B">
        <w:t>.</w:t>
      </w:r>
    </w:p>
    <w:p w:rsidR="003474F2" w:rsidRPr="001A3D2B" w:rsidRDefault="003474F2" w:rsidP="003474F2">
      <w:pPr>
        <w:pStyle w:val="a3"/>
      </w:pPr>
      <w:r w:rsidRPr="001A3D2B">
        <w:t xml:space="preserve">Full Text: </w:t>
      </w:r>
      <w:hyperlink r:id="rId349" w:history="1">
        <w:r w:rsidRPr="001A3D2B">
          <w:rPr>
            <w:rStyle w:val="a5"/>
          </w:rPr>
          <w:t>1999\Alc Alc34, 25.pdf</w:t>
        </w:r>
      </w:hyperlink>
    </w:p>
    <w:p w:rsidR="003474F2" w:rsidRPr="001A3D2B" w:rsidRDefault="003474F2" w:rsidP="003474F2">
      <w:pPr>
        <w:pStyle w:val="a3"/>
      </w:pPr>
      <w:r w:rsidRPr="001A3D2B">
        <w:t>Abstract: This article concerns</w:t>
      </w:r>
      <w:r w:rsidR="003A1917">
        <w:t xml:space="preserve"> the </w:t>
      </w:r>
      <w:r w:rsidRPr="001A3D2B">
        <w:t>question</w:t>
      </w:r>
      <w:r w:rsidR="00427468">
        <w:t xml:space="preserve"> of </w:t>
      </w:r>
      <w:r w:rsidRPr="001A3D2B">
        <w:t>journal impact factor</w:t>
      </w:r>
      <w:r w:rsidR="005853A9">
        <w:t xml:space="preserve"> and </w:t>
      </w:r>
      <w:r w:rsidRPr="001A3D2B">
        <w:t>other bibliometric indicators made available by</w:t>
      </w:r>
      <w:r w:rsidR="003A1917">
        <w:t xml:space="preserve"> the </w:t>
      </w:r>
      <w:r w:rsidRPr="001A3D2B">
        <w:t>Institute for Scientific Information in their Journal Citation Report for 1996</w:t>
      </w:r>
      <w:r w:rsidR="00A37C1D">
        <w:t>. The</w:t>
      </w:r>
      <w:r w:rsidR="003A1917">
        <w:t xml:space="preserve"> </w:t>
      </w:r>
      <w:r w:rsidRPr="001A3D2B">
        <w:t>impact factors</w:t>
      </w:r>
      <w:r w:rsidR="00427468">
        <w:t xml:space="preserve"> of </w:t>
      </w:r>
      <w:r w:rsidRPr="001A3D2B">
        <w:t>journals within</w:t>
      </w:r>
      <w:r w:rsidR="003A1917">
        <w:t xml:space="preserve"> the </w:t>
      </w:r>
      <w:r w:rsidRPr="001A3D2B">
        <w:t xml:space="preserve">subject category </w:t>
      </w:r>
      <w:r w:rsidR="00700038">
        <w:t>‘</w:t>
      </w:r>
      <w:r w:rsidR="00C13DDC">
        <w:t>s</w:t>
      </w:r>
      <w:r w:rsidRPr="001A3D2B">
        <w:t>ubstance abuse</w:t>
      </w:r>
      <w:r w:rsidR="00700038">
        <w:t>’</w:t>
      </w:r>
      <w:r w:rsidRPr="001A3D2B">
        <w:t xml:space="preserve"> are listed along with total citations, immediacy indices,</w:t>
      </w:r>
      <w:r w:rsidR="005853A9">
        <w:t xml:space="preserve"> and </w:t>
      </w:r>
      <w:r w:rsidRPr="001A3D2B">
        <w:t>cited half-lives</w:t>
      </w:r>
      <w:r w:rsidR="00A37C1D">
        <w:t>. The</w:t>
      </w:r>
      <w:r w:rsidR="003A1917">
        <w:t xml:space="preserve"> </w:t>
      </w:r>
      <w:r w:rsidRPr="001A3D2B">
        <w:t>relationship between cited</w:t>
      </w:r>
      <w:r w:rsidR="005853A9">
        <w:t xml:space="preserve"> and </w:t>
      </w:r>
      <w:r w:rsidRPr="001A3D2B">
        <w:t>citing journals is discussed with</w:t>
      </w:r>
      <w:r w:rsidR="003A1917">
        <w:t xml:space="preserve"> the </w:t>
      </w:r>
      <w:r w:rsidRPr="001A3D2B">
        <w:t>main focus on</w:t>
      </w:r>
      <w:r w:rsidR="003A1917">
        <w:t xml:space="preserve"> the </w:t>
      </w:r>
      <w:r w:rsidRPr="001A3D2B">
        <w:t xml:space="preserve">data available for </w:t>
      </w:r>
      <w:r w:rsidRPr="001A3D2B">
        <w:rPr>
          <w:i/>
          <w:iCs/>
        </w:rPr>
        <w:t>Alcohol</w:t>
      </w:r>
      <w:r w:rsidR="005853A9">
        <w:rPr>
          <w:i/>
          <w:iCs/>
        </w:rPr>
        <w:t xml:space="preserve"> and </w:t>
      </w:r>
      <w:r w:rsidRPr="001A3D2B">
        <w:rPr>
          <w:i/>
          <w:iCs/>
        </w:rPr>
        <w:t>Alcoholism</w:t>
      </w:r>
      <w:r w:rsidRPr="001A3D2B">
        <w:t>. Some</w:t>
      </w:r>
      <w:r w:rsidR="00427468">
        <w:t xml:space="preserve"> of </w:t>
      </w:r>
      <w:r w:rsidR="003A1917">
        <w:t xml:space="preserve">the </w:t>
      </w:r>
      <w:r w:rsidRPr="001A3D2B">
        <w:t>problems</w:t>
      </w:r>
      <w:r w:rsidR="005853A9">
        <w:t xml:space="preserve"> and </w:t>
      </w:r>
      <w:r w:rsidRPr="001A3D2B">
        <w:t>limitations</w:t>
      </w:r>
      <w:r w:rsidR="00427468">
        <w:t xml:space="preserve"> of </w:t>
      </w:r>
      <w:r w:rsidRPr="001A3D2B">
        <w:t>bibliometric measures</w:t>
      </w:r>
      <w:r w:rsidR="00427468">
        <w:t xml:space="preserve"> of </w:t>
      </w:r>
      <w:r w:rsidRPr="001A3D2B">
        <w:t>productivity are dealt with, especially when these are used to evaluate</w:t>
      </w:r>
      <w:r w:rsidR="003A1917">
        <w:t xml:space="preserve"> the </w:t>
      </w:r>
      <w:r w:rsidRPr="001A3D2B">
        <w:t>work</w:t>
      </w:r>
      <w:r w:rsidR="00427468">
        <w:t xml:space="preserve"> of </w:t>
      </w:r>
      <w:r w:rsidRPr="001A3D2B">
        <w:t>individual scientists. Although bibliometric measures are easy to compute, they become difficult to interpret, such as when dealing with collaborative research</w:t>
      </w:r>
      <w:r w:rsidR="005853A9">
        <w:t xml:space="preserve"> and </w:t>
      </w:r>
      <w:r w:rsidR="003A1917">
        <w:t xml:space="preserve">the </w:t>
      </w:r>
      <w:r w:rsidRPr="001A3D2B">
        <w:t>problem posed by multiple authorship</w:t>
      </w:r>
      <w:r w:rsidR="00A37C1D">
        <w:t>. The</w:t>
      </w:r>
      <w:r w:rsidR="003A1917">
        <w:t xml:space="preserve"> </w:t>
      </w:r>
      <w:r w:rsidRPr="001A3D2B">
        <w:t>need to adjust impact factors</w:t>
      </w:r>
      <w:r w:rsidR="005853A9">
        <w:t xml:space="preserve"> and </w:t>
      </w:r>
      <w:r w:rsidRPr="001A3D2B">
        <w:t>citation counts for</w:t>
      </w:r>
      <w:r w:rsidR="003A1917">
        <w:t xml:space="preserve"> the </w:t>
      </w:r>
      <w:r w:rsidRPr="001A3D2B">
        <w:t>number</w:t>
      </w:r>
      <w:r w:rsidR="00427468">
        <w:t xml:space="preserve"> of </w:t>
      </w:r>
      <w:r w:rsidRPr="001A3D2B">
        <w:t>co-authors in a paper becomes important when credit has to be attributed to one individual from a multi-author paper. This is often necessary in connection with grant applications</w:t>
      </w:r>
      <w:r w:rsidR="005853A9">
        <w:t xml:space="preserve"> and </w:t>
      </w:r>
      <w:r w:rsidRPr="001A3D2B">
        <w:t>when making decisions about academic promotion</w:t>
      </w:r>
      <w:r w:rsidR="005853A9">
        <w:t xml:space="preserve"> and </w:t>
      </w:r>
      <w:r w:rsidRPr="001A3D2B">
        <w:t>tenure</w:t>
      </w:r>
      <w:r w:rsidR="00A37C1D">
        <w:t>. The</w:t>
      </w:r>
      <w:r w:rsidR="003A1917">
        <w:t xml:space="preserve"> </w:t>
      </w:r>
      <w:r w:rsidRPr="001A3D2B">
        <w:t>impact factor</w:t>
      </w:r>
      <w:r w:rsidR="00427468">
        <w:t xml:space="preserve"> of </w:t>
      </w:r>
      <w:r w:rsidRPr="001A3D2B">
        <w:rPr>
          <w:i/>
          <w:iCs/>
        </w:rPr>
        <w:t>Alcohol</w:t>
      </w:r>
      <w:r w:rsidR="005853A9">
        <w:rPr>
          <w:i/>
          <w:iCs/>
        </w:rPr>
        <w:t xml:space="preserve"> and </w:t>
      </w:r>
      <w:r w:rsidRPr="001A3D2B">
        <w:rPr>
          <w:i/>
          <w:iCs/>
        </w:rPr>
        <w:t>Alcoholism</w:t>
      </w:r>
      <w:r w:rsidRPr="001A3D2B">
        <w:t xml:space="preserve"> has increased steadily over</w:t>
      </w:r>
      <w:r w:rsidR="003A1917">
        <w:t xml:space="preserve"> the </w:t>
      </w:r>
      <w:r w:rsidRPr="001A3D2B">
        <w:t>past 5 years, even after adjusting for</w:t>
      </w:r>
      <w:r w:rsidR="003A1917">
        <w:t xml:space="preserve"> the </w:t>
      </w:r>
      <w:r w:rsidRPr="001A3D2B">
        <w:t>number</w:t>
      </w:r>
      <w:r w:rsidR="00427468">
        <w:t xml:space="preserve"> of </w:t>
      </w:r>
      <w:r w:rsidRPr="001A3D2B">
        <w:t>self-citations, which resulted in an even greater increase in impact. However,</w:t>
      </w:r>
      <w:r w:rsidR="003A1917">
        <w:t xml:space="preserve"> the </w:t>
      </w:r>
      <w:r w:rsidRPr="001A3D2B">
        <w:t>impact factors</w:t>
      </w:r>
      <w:r w:rsidR="00427468">
        <w:t xml:space="preserve"> of </w:t>
      </w:r>
      <w:r w:rsidRPr="001A3D2B">
        <w:t>substance abuse journals are generally low, compared with disciplines such as immunology, genetics,</w:t>
      </w:r>
      <w:r w:rsidR="005853A9">
        <w:t xml:space="preserve"> and </w:t>
      </w:r>
      <w:r w:rsidRPr="001A3D2B">
        <w:t>biochemistry. Some suggestions are made for increasing</w:t>
      </w:r>
      <w:r w:rsidR="003A1917">
        <w:t xml:space="preserve"> the </w:t>
      </w:r>
      <w:r w:rsidRPr="001A3D2B">
        <w:t>impact factors</w:t>
      </w:r>
      <w:r w:rsidR="00427468">
        <w:t xml:space="preserve"> of </w:t>
      </w:r>
      <w:r w:rsidRPr="001A3D2B">
        <w:t>substance abuse journals if this is considered necessary. But instead</w:t>
      </w:r>
      <w:r w:rsidR="00427468">
        <w:t xml:space="preserve"> of </w:t>
      </w:r>
      <w:r w:rsidRPr="001A3D2B">
        <w:t>paying attention to</w:t>
      </w:r>
      <w:r w:rsidR="003A1917">
        <w:t xml:space="preserve"> the </w:t>
      </w:r>
      <w:r w:rsidRPr="001A3D2B">
        <w:t>impact factor</w:t>
      </w:r>
      <w:r w:rsidR="00427468">
        <w:t xml:space="preserve"> of </w:t>
      </w:r>
      <w:r w:rsidRPr="001A3D2B">
        <w:t xml:space="preserve">a journal, scientists should give </w:t>
      </w:r>
      <w:r w:rsidRPr="001A3D2B">
        <w:lastRenderedPageBreak/>
        <w:t>more consideration to</w:t>
      </w:r>
      <w:r w:rsidR="003A1917">
        <w:t xml:space="preserve"> the </w:t>
      </w:r>
      <w:r w:rsidRPr="001A3D2B">
        <w:t>speed</w:t>
      </w:r>
      <w:r w:rsidR="005853A9">
        <w:t xml:space="preserve"> and </w:t>
      </w:r>
      <w:r w:rsidRPr="001A3D2B">
        <w:t>efficiency</w:t>
      </w:r>
      <w:r w:rsidR="00427468">
        <w:t xml:space="preserve"> of </w:t>
      </w:r>
      <w:r w:rsidR="003A1917">
        <w:t xml:space="preserve">the </w:t>
      </w:r>
      <w:r w:rsidRPr="001A3D2B">
        <w:t>editorial handling</w:t>
      </w:r>
      <w:r w:rsidR="00427468">
        <w:t xml:space="preserve"> of </w:t>
      </w:r>
      <w:r w:rsidRPr="001A3D2B">
        <w:t>their manuscripts</w:t>
      </w:r>
      <w:r w:rsidR="005853A9">
        <w:t xml:space="preserve"> and </w:t>
      </w:r>
      <w:r w:rsidRPr="001A3D2B">
        <w:t>particularly to</w:t>
      </w:r>
      <w:r w:rsidR="003A1917">
        <w:t xml:space="preserve"> the </w:t>
      </w:r>
      <w:r w:rsidRPr="001A3D2B">
        <w:t>quality</w:t>
      </w:r>
      <w:r w:rsidR="005853A9">
        <w:t xml:space="preserve"> and </w:t>
      </w:r>
      <w:r w:rsidRPr="001A3D2B">
        <w:t>timeliness</w:t>
      </w:r>
      <w:r w:rsidR="00427468">
        <w:t xml:space="preserve"> of </w:t>
      </w:r>
      <w:r w:rsidR="003A1917">
        <w:t xml:space="preserve">the </w:t>
      </w:r>
      <w:r w:rsidRPr="001A3D2B">
        <w:t>peer review.</w:t>
      </w:r>
    </w:p>
    <w:p w:rsidR="003474F2" w:rsidRPr="001A3D2B" w:rsidRDefault="003474F2" w:rsidP="003474F2">
      <w:pPr>
        <w:pStyle w:val="a3"/>
      </w:pPr>
      <w:r w:rsidRPr="001A3D2B">
        <w:t>Keywords: Abuse, Academic, Academic Promotion, Attention, Authorship, Bibliometric, Bibliometric Indicators, Biochemistry, Citation, Citation Analysis, Citation Counts, Citations, Co-Authors, Collaborative Research, Data, Efficiency, Genetics, Impact, Impact Factor, Impact Factors, Indicators, Indices, Institute For Scientific Information, Journal, Journal Impact, Journal Impact Factor, Journals, Peer, Peer Review, Peer-Review, Productivity, Promotion, Promotion</w:t>
      </w:r>
      <w:r w:rsidR="005853A9">
        <w:t xml:space="preserve"> and </w:t>
      </w:r>
      <w:r w:rsidRPr="001A3D2B">
        <w:t>Tenure, Quality, Research, Review, Science Policy, Self-Citations, Substance, Substance Abuse, Tenure, Tool, Work</w:t>
      </w:r>
    </w:p>
    <w:p w:rsidR="003474F2" w:rsidRPr="001A3D2B" w:rsidRDefault="003474F2" w:rsidP="003474F2">
      <w:pPr>
        <w:pStyle w:val="a3"/>
      </w:pPr>
      <w:r w:rsidRPr="001A3D2B">
        <w:t>? Rajendram, R., Lewison, G.</w:t>
      </w:r>
      <w:r w:rsidR="005853A9">
        <w:t xml:space="preserve"> and </w:t>
      </w:r>
      <w:r w:rsidRPr="001A3D2B">
        <w:t>Preedy, V. (2006), Worldwide Alcohol-related research</w:t>
      </w:r>
      <w:r w:rsidR="005853A9">
        <w:t xml:space="preserve"> and </w:t>
      </w:r>
      <w:r w:rsidR="003A1917">
        <w:t xml:space="preserve">the </w:t>
      </w:r>
      <w:r w:rsidRPr="001A3D2B">
        <w:t xml:space="preserve">disease burden. </w:t>
      </w:r>
      <w:r w:rsidRPr="001A3D2B">
        <w:rPr>
          <w:i/>
        </w:rPr>
        <w:t>Alcohol</w:t>
      </w:r>
      <w:r w:rsidR="005853A9">
        <w:rPr>
          <w:i/>
        </w:rPr>
        <w:t xml:space="preserve"> and </w:t>
      </w:r>
      <w:r w:rsidRPr="001A3D2B">
        <w:rPr>
          <w:i/>
        </w:rPr>
        <w:t>Alcoholism</w:t>
      </w:r>
      <w:r w:rsidRPr="001A3D2B">
        <w:t xml:space="preserve">, </w:t>
      </w:r>
      <w:r w:rsidRPr="001A3D2B">
        <w:rPr>
          <w:b/>
        </w:rPr>
        <w:t>41</w:t>
      </w:r>
      <w:r w:rsidRPr="001A3D2B">
        <w:t xml:space="preserve"> (1), </w:t>
      </w:r>
      <w:r w:rsidRPr="001A3D2B">
        <w:rPr>
          <w:szCs w:val="10"/>
        </w:rPr>
        <w:t>99-106</w:t>
      </w:r>
      <w:r w:rsidRPr="001A3D2B">
        <w:t>.</w:t>
      </w:r>
    </w:p>
    <w:p w:rsidR="003474F2" w:rsidRPr="001A3D2B" w:rsidRDefault="003474F2" w:rsidP="003474F2">
      <w:pPr>
        <w:pStyle w:val="a3"/>
      </w:pPr>
      <w:r w:rsidRPr="001A3D2B">
        <w:t xml:space="preserve">Full Text: </w:t>
      </w:r>
      <w:hyperlink r:id="rId350" w:history="1">
        <w:r w:rsidRPr="001A3D2B">
          <w:rPr>
            <w:rStyle w:val="a5"/>
          </w:rPr>
          <w:t>2006\Alc Alc41, 99.pdf</w:t>
        </w:r>
      </w:hyperlink>
    </w:p>
    <w:p w:rsidR="003474F2" w:rsidRPr="001A3D2B" w:rsidRDefault="003474F2" w:rsidP="003474F2">
      <w:pPr>
        <w:pStyle w:val="a3"/>
      </w:pPr>
      <w:r w:rsidRPr="001A3D2B">
        <w:t>Abstract: Aims:</w:t>
      </w:r>
      <w:r w:rsidR="003A1917">
        <w:t xml:space="preserve"> the </w:t>
      </w:r>
      <w:r w:rsidRPr="001A3D2B">
        <w:t>purpose</w:t>
      </w:r>
      <w:r w:rsidR="00427468">
        <w:t xml:space="preserve"> of </w:t>
      </w:r>
      <w:r w:rsidRPr="001A3D2B">
        <w:t>this study was to determine</w:t>
      </w:r>
      <w:r w:rsidR="003A1917">
        <w:t xml:space="preserve"> the </w:t>
      </w:r>
      <w:r w:rsidRPr="001A3D2B">
        <w:t>international commitment to alcohol-related research relative to its global burden</w:t>
      </w:r>
      <w:r w:rsidR="00427468">
        <w:t xml:space="preserve"> of </w:t>
      </w:r>
      <w:r w:rsidRPr="001A3D2B">
        <w:t>disease, which is 4%</w:t>
      </w:r>
      <w:r w:rsidR="00427468">
        <w:t xml:space="preserve"> of </w:t>
      </w:r>
      <w:r w:rsidRPr="001A3D2B">
        <w:t>disability adjusted life years (DALYs). Methods:</w:t>
      </w:r>
      <w:r w:rsidR="003A1917">
        <w:t xml:space="preserve"> the </w:t>
      </w:r>
      <w:r w:rsidRPr="001A3D2B">
        <w:t>worldwide literature indexed in</w:t>
      </w:r>
      <w:r w:rsidR="003A1917">
        <w:t xml:space="preserve"> the </w:t>
      </w:r>
      <w:r w:rsidRPr="001A3D2B">
        <w:t>Science Citation Index®</w:t>
      </w:r>
      <w:r w:rsidR="005853A9">
        <w:t xml:space="preserve"> and </w:t>
      </w:r>
      <w:r w:rsidR="003A1917">
        <w:t xml:space="preserve">the </w:t>
      </w:r>
      <w:r w:rsidRPr="001A3D2B">
        <w:t>Social Sciences Citation Index® during 1992-2003 was analysed using advanced bibliometric techniques. Results: Biomedical research</w:t>
      </w:r>
      <w:r w:rsidR="005853A9">
        <w:t xml:space="preserve"> and </w:t>
      </w:r>
      <w:r w:rsidR="003A1917">
        <w:t xml:space="preserve">the </w:t>
      </w:r>
      <w:r w:rsidRPr="001A3D2B">
        <w:t>global disease burden due to alcohol both increased during 1992-2003, whilst</w:t>
      </w:r>
      <w:r w:rsidR="003A1917">
        <w:t xml:space="preserve"> the </w:t>
      </w:r>
      <w:r w:rsidRPr="001A3D2B">
        <w:t>number</w:t>
      </w:r>
      <w:r w:rsidR="00427468">
        <w:t xml:space="preserve"> of </w:t>
      </w:r>
      <w:r w:rsidRPr="001A3D2B">
        <w:t>papers from alcohol-related research remained static</w:t>
      </w:r>
      <w:r w:rsidR="005853A9">
        <w:t xml:space="preserve"> and </w:t>
      </w:r>
      <w:r w:rsidRPr="001A3D2B">
        <w:t>declined to &lt;0.7%</w:t>
      </w:r>
      <w:r w:rsidR="00427468">
        <w:t xml:space="preserve"> of </w:t>
      </w:r>
      <w:r w:rsidRPr="001A3D2B">
        <w:t>all biomedical research literature. Nearly 58%</w:t>
      </w:r>
      <w:r w:rsidR="00427468">
        <w:t xml:space="preserve"> of </w:t>
      </w:r>
      <w:r w:rsidRPr="001A3D2B">
        <w:t>all alcohol-related research papers were from Canada</w:t>
      </w:r>
      <w:r w:rsidR="005853A9">
        <w:t xml:space="preserve"> and </w:t>
      </w:r>
      <w:r w:rsidR="003A1917">
        <w:t xml:space="preserve">the </w:t>
      </w:r>
      <w:r w:rsidRPr="001A3D2B">
        <w:t>United States, 30% from Western Europe,</w:t>
      </w:r>
      <w:r w:rsidR="005853A9">
        <w:t xml:space="preserve"> and </w:t>
      </w:r>
      <w:r w:rsidRPr="001A3D2B">
        <w:t xml:space="preserve">10% from </w:t>
      </w:r>
      <w:smartTag w:uri="urn:schemas-microsoft-com:office:smarttags" w:element="country-region">
        <w:r w:rsidRPr="001A3D2B">
          <w:t>Australia</w:t>
        </w:r>
      </w:smartTag>
      <w:r w:rsidRPr="001A3D2B">
        <w:t xml:space="preserve">, </w:t>
      </w:r>
      <w:smartTag w:uri="urn:schemas-microsoft-com:office:smarttags" w:element="country-region">
        <w:r w:rsidRPr="001A3D2B">
          <w:t>New Zealand</w:t>
        </w:r>
      </w:smartTag>
      <w:r w:rsidRPr="001A3D2B">
        <w:t xml:space="preserve">, or </w:t>
      </w:r>
      <w:smartTag w:uri="urn:schemas-microsoft-com:office:smarttags" w:element="place">
        <w:smartTag w:uri="urn:schemas-microsoft-com:office:smarttags" w:element="country-region">
          <w:r w:rsidRPr="001A3D2B">
            <w:t>Japan</w:t>
          </w:r>
        </w:smartTag>
      </w:smartTag>
      <w:r w:rsidRPr="001A3D2B">
        <w:t>. However, these regions suffer only 13%</w:t>
      </w:r>
      <w:r w:rsidR="00427468">
        <w:t xml:space="preserve"> of </w:t>
      </w:r>
      <w:r w:rsidR="003A1917">
        <w:t xml:space="preserve">the </w:t>
      </w:r>
      <w:r w:rsidRPr="001A3D2B">
        <w:t>global burden</w:t>
      </w:r>
      <w:r w:rsidR="00427468">
        <w:t xml:space="preserve"> of </w:t>
      </w:r>
      <w:r w:rsidRPr="001A3D2B">
        <w:t>disease due to alcohol; meanwhile,</w:t>
      </w:r>
      <w:r w:rsidR="003A1917">
        <w:t xml:space="preserve"> the </w:t>
      </w:r>
      <w:r w:rsidRPr="001A3D2B">
        <w:t>rest</w:t>
      </w:r>
      <w:r w:rsidR="00427468">
        <w:t xml:space="preserve"> of </w:t>
      </w:r>
      <w:r w:rsidR="003A1917">
        <w:t xml:space="preserve">the </w:t>
      </w:r>
      <w:r w:rsidRPr="001A3D2B">
        <w:t>world contributed only 8%</w:t>
      </w:r>
      <w:r w:rsidR="00427468">
        <w:t xml:space="preserve"> of </w:t>
      </w:r>
      <w:r w:rsidR="003A1917">
        <w:t xml:space="preserve">the </w:t>
      </w:r>
      <w:r w:rsidRPr="001A3D2B">
        <w:t>total research whilst suffering from 87%</w:t>
      </w:r>
      <w:r w:rsidR="00427468">
        <w:t xml:space="preserve"> of </w:t>
      </w:r>
      <w:r w:rsidR="003A1917">
        <w:t xml:space="preserve">the </w:t>
      </w:r>
      <w:r w:rsidRPr="001A3D2B">
        <w:t>disease burden</w:t>
      </w:r>
      <w:r w:rsidR="00A37C1D">
        <w:t>. The</w:t>
      </w:r>
      <w:r w:rsidR="003A1917">
        <w:t xml:space="preserve"> </w:t>
      </w:r>
      <w:r w:rsidRPr="001A3D2B">
        <w:t>estimated annual expenditure on alcohol-related research in 2001 was $730 million, or about $12 per DALY due to alcohol. Conclusions:</w:t>
      </w:r>
      <w:r w:rsidR="003A1917">
        <w:t xml:space="preserve"> the </w:t>
      </w:r>
      <w:r w:rsidRPr="001A3D2B">
        <w:t>global commitment to alcohol-related research is only one-sixth</w:t>
      </w:r>
      <w:r w:rsidR="00427468">
        <w:t xml:space="preserve"> of </w:t>
      </w:r>
      <w:r w:rsidRPr="001A3D2B">
        <w:t>that warranted by</w:t>
      </w:r>
      <w:r w:rsidR="003A1917">
        <w:t xml:space="preserve"> the </w:t>
      </w:r>
      <w:r w:rsidRPr="001A3D2B">
        <w:t>burden</w:t>
      </w:r>
      <w:r w:rsidR="00427468">
        <w:t xml:space="preserve"> of </w:t>
      </w:r>
      <w:r w:rsidRPr="001A3D2B">
        <w:t>disease due to alcohol. Most such research is conducted in</w:t>
      </w:r>
      <w:r w:rsidR="003A1917">
        <w:t xml:space="preserve"> the </w:t>
      </w:r>
      <w:r w:rsidRPr="001A3D2B">
        <w:t>developed world but is still less than that appropriate to</w:t>
      </w:r>
      <w:r w:rsidR="003A1917">
        <w:t xml:space="preserve"> the </w:t>
      </w:r>
      <w:r w:rsidRPr="001A3D2B">
        <w:t>regional burden</w:t>
      </w:r>
      <w:r w:rsidR="00427468">
        <w:t xml:space="preserve"> of </w:t>
      </w:r>
      <w:r w:rsidRPr="001A3D2B">
        <w:t>disease</w:t>
      </w:r>
      <w:r w:rsidR="00A37C1D">
        <w:t>. The</w:t>
      </w:r>
      <w:r w:rsidRPr="001A3D2B">
        <w:t>re is a need for more interest in alcohol-related research in</w:t>
      </w:r>
      <w:r w:rsidR="003A1917">
        <w:t xml:space="preserve"> the </w:t>
      </w:r>
      <w:r w:rsidRPr="001A3D2B">
        <w:t>developing world, particularly in Latin America</w:t>
      </w:r>
      <w:r w:rsidR="005853A9">
        <w:t xml:space="preserve"> and </w:t>
      </w:r>
      <w:r w:rsidRPr="001A3D2B">
        <w:t>Eastern Europe in view</w:t>
      </w:r>
      <w:r w:rsidR="00427468">
        <w:t xml:space="preserve"> of </w:t>
      </w:r>
      <w:r w:rsidRPr="001A3D2B">
        <w:t>their high burden</w:t>
      </w:r>
      <w:r w:rsidR="00427468">
        <w:t xml:space="preserve"> of </w:t>
      </w:r>
      <w:r w:rsidRPr="001A3D2B">
        <w:t>disease due to alcohol. ©</w:t>
      </w:r>
      <w:r w:rsidR="003A1917">
        <w:t xml:space="preserve"> the </w:t>
      </w:r>
      <w:r w:rsidRPr="001A3D2B">
        <w:t>Author 2005. Published by Oxford University Press on behalf</w:t>
      </w:r>
      <w:r w:rsidR="00427468">
        <w:t xml:space="preserve"> of </w:t>
      </w:r>
      <w:r w:rsidR="003A1917">
        <w:t xml:space="preserve">the </w:t>
      </w:r>
      <w:r w:rsidRPr="001A3D2B">
        <w:t>Medical Council on Alcohol. All rights reserved.</w:t>
      </w:r>
    </w:p>
    <w:p w:rsidR="003474F2" w:rsidRPr="001A3D2B" w:rsidRDefault="003474F2" w:rsidP="003474F2">
      <w:pPr>
        <w:pStyle w:val="a3"/>
      </w:pPr>
      <w:r w:rsidRPr="001A3D2B">
        <w:t xml:space="preserve">Keywords: Alcohol, Australia, Bibliometric, Bibliometric Techniques, Biomedical, Biomedical Research, Burden, Canada, Commitment, Developing, Developing World, Disability, Disease, Eastern Europe, Europe, International, Japan, Latin America, Life, Literature, New Zealand, Papers, Purpose, Regional, Research, </w:t>
      </w:r>
      <w:r w:rsidRPr="001A3D2B">
        <w:lastRenderedPageBreak/>
        <w:t>Suffering, Techniques, United States, World</w:t>
      </w:r>
    </w:p>
    <w:p w:rsidR="00415362" w:rsidRDefault="00415362" w:rsidP="00415362">
      <w:pPr>
        <w:pStyle w:val="a3"/>
        <w:rPr>
          <w:kern w:val="0"/>
        </w:rPr>
      </w:pPr>
      <w:r>
        <w:rPr>
          <w:rFonts w:hint="eastAsia"/>
          <w:kern w:val="0"/>
        </w:rPr>
        <w:t xml:space="preserve">? </w:t>
      </w:r>
      <w:r>
        <w:rPr>
          <w:kern w:val="0"/>
        </w:rPr>
        <w:t>Roberts, S.C.M. (2011), What can alcohol researchers learn from research about</w:t>
      </w:r>
      <w:r w:rsidR="003A1917">
        <w:rPr>
          <w:kern w:val="0"/>
        </w:rPr>
        <w:t xml:space="preserve"> the </w:t>
      </w:r>
      <w:r>
        <w:rPr>
          <w:kern w:val="0"/>
        </w:rPr>
        <w:t>relationship between macro-level gender equality</w:t>
      </w:r>
      <w:r w:rsidR="005853A9">
        <w:rPr>
          <w:kern w:val="0"/>
        </w:rPr>
        <w:t xml:space="preserve"> and </w:t>
      </w:r>
      <w:r>
        <w:rPr>
          <w:kern w:val="0"/>
        </w:rPr>
        <w:t xml:space="preserve">violence against women? </w:t>
      </w:r>
      <w:r>
        <w:rPr>
          <w:i/>
          <w:iCs/>
          <w:kern w:val="0"/>
        </w:rPr>
        <w:t>Alcohol</w:t>
      </w:r>
      <w:r w:rsidR="005853A9">
        <w:rPr>
          <w:i/>
          <w:iCs/>
          <w:kern w:val="0"/>
        </w:rPr>
        <w:t xml:space="preserve"> and </w:t>
      </w:r>
      <w:r>
        <w:rPr>
          <w:i/>
          <w:iCs/>
          <w:kern w:val="0"/>
        </w:rPr>
        <w:t>Alcoholism</w:t>
      </w:r>
      <w:r>
        <w:rPr>
          <w:kern w:val="0"/>
        </w:rPr>
        <w:t xml:space="preserve">, </w:t>
      </w:r>
      <w:r>
        <w:rPr>
          <w:b/>
          <w:bCs/>
          <w:kern w:val="0"/>
        </w:rPr>
        <w:t>46</w:t>
      </w:r>
      <w:r>
        <w:rPr>
          <w:kern w:val="0"/>
        </w:rPr>
        <w:t xml:space="preserve"> (2), 95-104.</w:t>
      </w:r>
    </w:p>
    <w:p w:rsidR="00415362" w:rsidRPr="00F219CA" w:rsidRDefault="00415362" w:rsidP="00415362">
      <w:pPr>
        <w:pStyle w:val="a3"/>
      </w:pPr>
      <w:r w:rsidRPr="00F219CA">
        <w:t xml:space="preserve">Full Text: </w:t>
      </w:r>
      <w:hyperlink r:id="rId351" w:history="1">
        <w:r w:rsidRPr="00415362">
          <w:rPr>
            <w:rStyle w:val="a5"/>
          </w:rPr>
          <w:t>2011\Alc Alc46, 95.pdf</w:t>
        </w:r>
      </w:hyperlink>
    </w:p>
    <w:p w:rsidR="00415362" w:rsidRDefault="00415362" w:rsidP="00415362">
      <w:pPr>
        <w:pStyle w:val="a3"/>
        <w:rPr>
          <w:kern w:val="0"/>
        </w:rPr>
      </w:pPr>
      <w:r>
        <w:rPr>
          <w:kern w:val="0"/>
        </w:rPr>
        <w:t>Abstract: Aims: This systematic review focuses on research about macro-level gender equality</w:t>
      </w:r>
      <w:r w:rsidR="005853A9">
        <w:rPr>
          <w:kern w:val="0"/>
        </w:rPr>
        <w:t xml:space="preserve"> and </w:t>
      </w:r>
      <w:r>
        <w:rPr>
          <w:kern w:val="0"/>
        </w:rPr>
        <w:t>violence against women (VAW)</w:t>
      </w:r>
      <w:r w:rsidR="005853A9">
        <w:rPr>
          <w:kern w:val="0"/>
        </w:rPr>
        <w:t xml:space="preserve"> and </w:t>
      </w:r>
      <w:r>
        <w:rPr>
          <w:kern w:val="0"/>
        </w:rPr>
        <w:t>identifies conceptually</w:t>
      </w:r>
      <w:r w:rsidR="005853A9">
        <w:rPr>
          <w:kern w:val="0"/>
        </w:rPr>
        <w:t xml:space="preserve"> and </w:t>
      </w:r>
      <w:r>
        <w:rPr>
          <w:kern w:val="0"/>
        </w:rPr>
        <w:t>theoretically driven hypotheses as well as lessons relevant for alcohol research. Hypotheses include: amelioration-increased equality decreases VAW; backlash-increased equality increases VAW;</w:t>
      </w:r>
      <w:r w:rsidR="005853A9">
        <w:rPr>
          <w:kern w:val="0"/>
        </w:rPr>
        <w:t xml:space="preserve"> and </w:t>
      </w:r>
      <w:r>
        <w:rPr>
          <w:kern w:val="0"/>
        </w:rPr>
        <w:t>convergence-increased equality reduces</w:t>
      </w:r>
      <w:r w:rsidR="003A1917">
        <w:rPr>
          <w:kern w:val="0"/>
        </w:rPr>
        <w:t xml:space="preserve"> the </w:t>
      </w:r>
      <w:r>
        <w:rPr>
          <w:kern w:val="0"/>
        </w:rPr>
        <w:t>gender gap;</w:t>
      </w:r>
      <w:r w:rsidR="005853A9">
        <w:rPr>
          <w:kern w:val="0"/>
        </w:rPr>
        <w:t xml:space="preserve"> and </w:t>
      </w:r>
      <w:r>
        <w:rPr>
          <w:kern w:val="0"/>
        </w:rPr>
        <w:t>hypotheses that distinguish between relative</w:t>
      </w:r>
      <w:r w:rsidR="005853A9">
        <w:rPr>
          <w:kern w:val="0"/>
        </w:rPr>
        <w:t xml:space="preserve"> and </w:t>
      </w:r>
      <w:r>
        <w:rPr>
          <w:kern w:val="0"/>
        </w:rPr>
        <w:t>absolute status, with relative status comparing men</w:t>
      </w:r>
      <w:r w:rsidR="00700038">
        <w:rPr>
          <w:kern w:val="0"/>
        </w:rPr>
        <w:t>’</w:t>
      </w:r>
      <w:r w:rsidR="00C13DDC">
        <w:rPr>
          <w:kern w:val="0"/>
        </w:rPr>
        <w:t>s</w:t>
      </w:r>
      <w:r w:rsidR="005853A9">
        <w:rPr>
          <w:kern w:val="0"/>
        </w:rPr>
        <w:t xml:space="preserve"> and </w:t>
      </w:r>
      <w:r>
        <w:rPr>
          <w:kern w:val="0"/>
        </w:rPr>
        <w:t>women</w:t>
      </w:r>
      <w:r w:rsidR="00700038">
        <w:rPr>
          <w:kern w:val="0"/>
        </w:rPr>
        <w:t>’</w:t>
      </w:r>
      <w:r w:rsidR="00C13DDC">
        <w:rPr>
          <w:kern w:val="0"/>
        </w:rPr>
        <w:t>s</w:t>
      </w:r>
      <w:r>
        <w:rPr>
          <w:kern w:val="0"/>
        </w:rPr>
        <w:t xml:space="preserve"> status</w:t>
      </w:r>
      <w:r w:rsidR="005853A9">
        <w:rPr>
          <w:kern w:val="0"/>
        </w:rPr>
        <w:t xml:space="preserve"> and </w:t>
      </w:r>
      <w:r>
        <w:rPr>
          <w:kern w:val="0"/>
        </w:rPr>
        <w:t>absolute status measuring women</w:t>
      </w:r>
      <w:r w:rsidR="00700038">
        <w:rPr>
          <w:kern w:val="0"/>
        </w:rPr>
        <w:t>’</w:t>
      </w:r>
      <w:r w:rsidR="00C13DDC">
        <w:rPr>
          <w:kern w:val="0"/>
        </w:rPr>
        <w:t>s</w:t>
      </w:r>
      <w:r>
        <w:rPr>
          <w:kern w:val="0"/>
        </w:rPr>
        <w:t xml:space="preserve"> status without regard to men. Methods: Systematic review</w:t>
      </w:r>
      <w:r w:rsidR="00427468">
        <w:rPr>
          <w:kern w:val="0"/>
        </w:rPr>
        <w:t xml:space="preserve"> of </w:t>
      </w:r>
      <w:r>
        <w:rPr>
          <w:kern w:val="0"/>
        </w:rPr>
        <w:t xml:space="preserve">studies published through June 2009 identified through </w:t>
      </w:r>
      <w:r w:rsidR="002C12F0">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as well as citing</w:t>
      </w:r>
      <w:r w:rsidR="005853A9">
        <w:rPr>
          <w:kern w:val="0"/>
        </w:rPr>
        <w:t xml:space="preserve"> and </w:t>
      </w:r>
      <w:r>
        <w:rPr>
          <w:kern w:val="0"/>
        </w:rPr>
        <w:t>cited articles. Results: A total</w:t>
      </w:r>
      <w:r w:rsidR="00427468">
        <w:rPr>
          <w:kern w:val="0"/>
        </w:rPr>
        <w:t xml:space="preserve"> of </w:t>
      </w:r>
      <w:r>
        <w:rPr>
          <w:kern w:val="0"/>
        </w:rPr>
        <w:t>30 studies are included.</w:t>
      </w:r>
      <w:r w:rsidR="00427468">
        <w:rPr>
          <w:kern w:val="0"/>
        </w:rPr>
        <w:t xml:space="preserve"> of </w:t>
      </w:r>
      <w:r>
        <w:rPr>
          <w:kern w:val="0"/>
        </w:rPr>
        <w:t>85 findings examining amelioration/backlash, 25% support amelioration, 22% backlash;</w:t>
      </w:r>
      <w:r w:rsidR="005853A9">
        <w:rPr>
          <w:kern w:val="0"/>
        </w:rPr>
        <w:t xml:space="preserve"> and </w:t>
      </w:r>
      <w:r>
        <w:rPr>
          <w:kern w:val="0"/>
        </w:rPr>
        <w:t>53% are null.</w:t>
      </w:r>
      <w:r w:rsidR="00427468">
        <w:rPr>
          <w:kern w:val="0"/>
        </w:rPr>
        <w:t xml:space="preserve"> of </w:t>
      </w:r>
      <w:r>
        <w:rPr>
          <w:kern w:val="0"/>
        </w:rPr>
        <w:t>13 findings examining convergence, 31% support</w:t>
      </w:r>
      <w:r w:rsidR="005853A9">
        <w:rPr>
          <w:kern w:val="0"/>
        </w:rPr>
        <w:t xml:space="preserve"> and </w:t>
      </w:r>
      <w:r>
        <w:rPr>
          <w:kern w:val="0"/>
        </w:rPr>
        <w:t>23% are inconsistent with convergence; 46% are null. Conclusion: Neither</w:t>
      </w:r>
      <w:r w:rsidR="003A1917">
        <w:rPr>
          <w:kern w:val="0"/>
        </w:rPr>
        <w:t xml:space="preserve"> the </w:t>
      </w:r>
      <w:r>
        <w:rPr>
          <w:kern w:val="0"/>
        </w:rPr>
        <w:t>existence nor</w:t>
      </w:r>
      <w:r w:rsidR="003A1917">
        <w:rPr>
          <w:kern w:val="0"/>
        </w:rPr>
        <w:t xml:space="preserve"> the </w:t>
      </w:r>
      <w:r>
        <w:rPr>
          <w:kern w:val="0"/>
        </w:rPr>
        <w:t>direction</w:t>
      </w:r>
      <w:r w:rsidR="00427468">
        <w:rPr>
          <w:kern w:val="0"/>
        </w:rPr>
        <w:t xml:space="preserve"> of </w:t>
      </w:r>
      <w:r w:rsidR="003A1917">
        <w:rPr>
          <w:kern w:val="0"/>
        </w:rPr>
        <w:t xml:space="preserve">the </w:t>
      </w:r>
      <w:r>
        <w:rPr>
          <w:kern w:val="0"/>
        </w:rPr>
        <w:t>equality</w:t>
      </w:r>
      <w:r w:rsidR="005853A9">
        <w:rPr>
          <w:kern w:val="0"/>
        </w:rPr>
        <w:t xml:space="preserve"> and </w:t>
      </w:r>
      <w:r>
        <w:rPr>
          <w:kern w:val="0"/>
        </w:rPr>
        <w:t>VAW relationship can be assumed. This suggests that</w:t>
      </w:r>
      <w:r w:rsidR="003A1917">
        <w:rPr>
          <w:kern w:val="0"/>
        </w:rPr>
        <w:t xml:space="preserve"> the </w:t>
      </w:r>
      <w:r>
        <w:rPr>
          <w:kern w:val="0"/>
        </w:rPr>
        <w:t>relationship between macro-level gender equality</w:t>
      </w:r>
      <w:r w:rsidR="005853A9">
        <w:rPr>
          <w:kern w:val="0"/>
        </w:rPr>
        <w:t xml:space="preserve"> and </w:t>
      </w:r>
      <w:r>
        <w:rPr>
          <w:kern w:val="0"/>
        </w:rPr>
        <w:t>alcohol should also not be assumed, but rather investigated through research.</w:t>
      </w:r>
    </w:p>
    <w:p w:rsidR="00415362" w:rsidRDefault="00415362" w:rsidP="00415362">
      <w:pPr>
        <w:pStyle w:val="a3"/>
        <w:rPr>
          <w:kern w:val="0"/>
        </w:rPr>
      </w:pPr>
      <w:r>
        <w:rPr>
          <w:kern w:val="0"/>
        </w:rPr>
        <w:t xml:space="preserve">Keywords: Alcohol, Domestic Violence, Drinking Behavior, Female Homicide Victimization, Gender, Inequality, Intimate Partner Violence, Methods, Multilevel Analysis, </w:t>
      </w:r>
      <w:r w:rsidR="002C12F0">
        <w:rPr>
          <w:kern w:val="0"/>
        </w:rPr>
        <w:t>PUBMED</w:t>
      </w:r>
      <w:r>
        <w:rPr>
          <w:kern w:val="0"/>
        </w:rPr>
        <w:t xml:space="preserve">, Rape, Research, Researchers, Review, Science, Suicide Rates, Systematic, Systematic Review, United-States, US Cities, Violence, </w:t>
      </w:r>
      <w:r w:rsidR="00D5664A">
        <w:rPr>
          <w:kern w:val="0"/>
        </w:rPr>
        <w:t>Web</w:t>
      </w:r>
      <w:r w:rsidR="00427468">
        <w:rPr>
          <w:kern w:val="0"/>
        </w:rPr>
        <w:t xml:space="preserve"> of </w:t>
      </w:r>
      <w:r w:rsidR="00D5664A">
        <w:rPr>
          <w:kern w:val="0"/>
        </w:rPr>
        <w:t>Science</w:t>
      </w:r>
      <w:r>
        <w:rPr>
          <w:kern w:val="0"/>
        </w:rPr>
        <w:t>, Women</w:t>
      </w:r>
    </w:p>
    <w:p w:rsidR="00B1399A" w:rsidRDefault="00B1399A" w:rsidP="00B1399A">
      <w:pPr>
        <w:pStyle w:val="a3"/>
        <w:rPr>
          <w:kern w:val="0"/>
        </w:rPr>
      </w:pPr>
      <w:r>
        <w:rPr>
          <w:rFonts w:hint="eastAsia"/>
          <w:kern w:val="0"/>
        </w:rPr>
        <w:t xml:space="preserve">? </w:t>
      </w:r>
      <w:r>
        <w:rPr>
          <w:kern w:val="0"/>
        </w:rPr>
        <w:t>Bramness, J., Henriksen, B., Persson, O.</w:t>
      </w:r>
      <w:r w:rsidR="005853A9">
        <w:rPr>
          <w:kern w:val="0"/>
        </w:rPr>
        <w:t xml:space="preserve"> and </w:t>
      </w:r>
      <w:r>
        <w:rPr>
          <w:kern w:val="0"/>
        </w:rPr>
        <w:t>Mann, K. (2013), A bibliometric analysis</w:t>
      </w:r>
      <w:r w:rsidR="00427468">
        <w:rPr>
          <w:kern w:val="0"/>
        </w:rPr>
        <w:t xml:space="preserve"> of </w:t>
      </w:r>
      <w:r>
        <w:rPr>
          <w:kern w:val="0"/>
        </w:rPr>
        <w:t xml:space="preserve">European vs. </w:t>
      </w:r>
      <w:r w:rsidR="00D5664A">
        <w:rPr>
          <w:kern w:val="0"/>
        </w:rPr>
        <w:t>USA</w:t>
      </w:r>
      <w:r>
        <w:rPr>
          <w:kern w:val="0"/>
        </w:rPr>
        <w:t xml:space="preserve"> research in the addiction field. research on alcohol, narcotics, prescription drug abuse, tobacco</w:t>
      </w:r>
      <w:r w:rsidR="005853A9">
        <w:rPr>
          <w:kern w:val="0"/>
        </w:rPr>
        <w:t xml:space="preserve"> and </w:t>
      </w:r>
      <w:r>
        <w:rPr>
          <w:kern w:val="0"/>
        </w:rPr>
        <w:t xml:space="preserve">steroids 2001-2011. </w:t>
      </w:r>
      <w:r>
        <w:rPr>
          <w:i/>
          <w:iCs/>
          <w:kern w:val="0"/>
        </w:rPr>
        <w:t>Alcohol</w:t>
      </w:r>
      <w:r w:rsidR="005853A9">
        <w:rPr>
          <w:i/>
          <w:iCs/>
          <w:kern w:val="0"/>
        </w:rPr>
        <w:t xml:space="preserve"> and </w:t>
      </w:r>
      <w:r>
        <w:rPr>
          <w:i/>
          <w:iCs/>
          <w:kern w:val="0"/>
        </w:rPr>
        <w:t>Alcoholism</w:t>
      </w:r>
      <w:r>
        <w:rPr>
          <w:kern w:val="0"/>
        </w:rPr>
        <w:t xml:space="preserve">, </w:t>
      </w:r>
      <w:r>
        <w:rPr>
          <w:b/>
          <w:bCs/>
          <w:kern w:val="0"/>
        </w:rPr>
        <w:t>48</w:t>
      </w:r>
      <w:r>
        <w:rPr>
          <w:rFonts w:hint="eastAsia"/>
          <w:b/>
          <w:bCs/>
          <w:kern w:val="0"/>
        </w:rPr>
        <w:t>B</w:t>
      </w:r>
      <w:r w:rsidRPr="0087577B">
        <w:rPr>
          <w:rFonts w:hint="eastAsia"/>
          <w:bCs/>
          <w:kern w:val="0"/>
        </w:rPr>
        <w:t xml:space="preserve"> (1S</w:t>
      </w:r>
      <w:r>
        <w:rPr>
          <w:kern w:val="0"/>
        </w:rPr>
        <w:t xml:space="preserve">), </w:t>
      </w:r>
      <w:r>
        <w:rPr>
          <w:rFonts w:hint="eastAsia"/>
          <w:kern w:val="0"/>
        </w:rPr>
        <w:t>i</w:t>
      </w:r>
      <w:r>
        <w:rPr>
          <w:kern w:val="0"/>
        </w:rPr>
        <w:t>3</w:t>
      </w:r>
      <w:r>
        <w:rPr>
          <w:rFonts w:hint="eastAsia"/>
          <w:kern w:val="0"/>
        </w:rPr>
        <w:t>.</w:t>
      </w:r>
    </w:p>
    <w:p w:rsidR="00B1399A" w:rsidRPr="00F219CA" w:rsidRDefault="00B1399A" w:rsidP="00B1399A">
      <w:pPr>
        <w:pStyle w:val="a3"/>
      </w:pPr>
      <w:r w:rsidRPr="00F219CA">
        <w:t xml:space="preserve">Full Text: </w:t>
      </w:r>
      <w:hyperlink r:id="rId352" w:history="1">
        <w:r w:rsidRPr="006D19EC">
          <w:rPr>
            <w:rStyle w:val="a5"/>
          </w:rPr>
          <w:t>2013\Alc Alc48, i3.pdf</w:t>
        </w:r>
      </w:hyperlink>
    </w:p>
    <w:p w:rsidR="00B1399A" w:rsidRDefault="00B1399A" w:rsidP="00B1399A">
      <w:pPr>
        <w:pStyle w:val="a3"/>
        <w:rPr>
          <w:kern w:val="0"/>
        </w:rPr>
      </w:pPr>
      <w:r>
        <w:rPr>
          <w:kern w:val="0"/>
        </w:rPr>
        <w:t>Keywords: Bibliometric, Bibliometric Analysis, Drug, Field, Research</w:t>
      </w:r>
    </w:p>
    <w:p w:rsidR="00BB4FB5" w:rsidRDefault="00BB4FB5" w:rsidP="00BB4FB5">
      <w:pPr>
        <w:pStyle w:val="a3"/>
        <w:rPr>
          <w:kern w:val="0"/>
        </w:rPr>
      </w:pPr>
      <w:r>
        <w:rPr>
          <w:rFonts w:hint="eastAsia"/>
          <w:kern w:val="0"/>
        </w:rPr>
        <w:t xml:space="preserve">? </w:t>
      </w:r>
      <w:r>
        <w:rPr>
          <w:kern w:val="0"/>
        </w:rPr>
        <w:t xml:space="preserve">Gell, L., Meier, P.S. and Goyder, E. (2015), Alcohol consumption among the over 50s: International comparisons. </w:t>
      </w:r>
      <w:r>
        <w:rPr>
          <w:i/>
          <w:iCs/>
          <w:kern w:val="0"/>
        </w:rPr>
        <w:t>Alcohol and Alcoholism</w:t>
      </w:r>
      <w:r>
        <w:rPr>
          <w:kern w:val="0"/>
        </w:rPr>
        <w:t xml:space="preserve">, </w:t>
      </w:r>
      <w:r>
        <w:rPr>
          <w:b/>
          <w:bCs/>
          <w:kern w:val="0"/>
        </w:rPr>
        <w:t>50</w:t>
      </w:r>
      <w:r>
        <w:rPr>
          <w:kern w:val="0"/>
        </w:rPr>
        <w:t xml:space="preserve"> (1), 1-10.</w:t>
      </w:r>
    </w:p>
    <w:p w:rsidR="00BB4FB5" w:rsidRPr="00F219CA" w:rsidRDefault="00BB4FB5" w:rsidP="00BB4FB5">
      <w:pPr>
        <w:pStyle w:val="a3"/>
      </w:pPr>
      <w:r w:rsidRPr="00F219CA">
        <w:t xml:space="preserve">Full Text: </w:t>
      </w:r>
      <w:hyperlink r:id="rId353" w:history="1">
        <w:r w:rsidRPr="003C7D01">
          <w:rPr>
            <w:rStyle w:val="a5"/>
          </w:rPr>
          <w:t>2015\Alc Alc50, 1.pdf</w:t>
        </w:r>
      </w:hyperlink>
    </w:p>
    <w:p w:rsidR="00BB4FB5" w:rsidRDefault="00BB4FB5" w:rsidP="00BB4FB5">
      <w:pPr>
        <w:pStyle w:val="a3"/>
        <w:rPr>
          <w:kern w:val="0"/>
        </w:rPr>
      </w:pPr>
      <w:r>
        <w:rPr>
          <w:kern w:val="0"/>
        </w:rPr>
        <w:t xml:space="preserve">Abstract: Aim: Research exploring alcohol consumption patterns and behaviour change among older adults is relatively scarce, often necessitating reliance on international evidence. To understand the degree to which findings may be generalizable across </w:t>
      </w:r>
      <w:r>
        <w:rPr>
          <w:kern w:val="0"/>
        </w:rPr>
        <w:lastRenderedPageBreak/>
        <w:t>countries, this review compares recent epidemiological evidence from developed countries on the prevalence of abstention and potentially problematic alcohol consumption in older adults. Methods: Medline, EMBASE, Web of Science and PsychInfo were searched for English language publications, identifying 21 peer-reviewed publications and six reports, including data from 17 national surveys and 10 general practice and community samples published since 2000. Results: Of the developed countries for which data are available on adults aged over 50 years, rates of past 12-month abstention and former drinking are lowest in England and Finland, and highest in Korea and the USA. The prevalence of binge drinking varies widely between studies, whilst rates of alcohol dependence are broadly similar. Conclusions: Older adults in developed countries report different rates of abstention and alcohol consumption. This places obvious limitations on the extrapolation of results from specific research findings and policy strategies to other countries.</w:t>
      </w:r>
    </w:p>
    <w:p w:rsidR="00BB4FB5" w:rsidRDefault="00BB4FB5" w:rsidP="00BB4FB5">
      <w:pPr>
        <w:pStyle w:val="a3"/>
        <w:rPr>
          <w:kern w:val="0"/>
        </w:rPr>
      </w:pPr>
      <w:r>
        <w:rPr>
          <w:kern w:val="0"/>
        </w:rPr>
        <w:t>Keywords: Aged, Alcohol, Behaviour, Community, Community Sample, Consumption, Data, Embase, England, English, Evidence, Extrapolation, Finland, From, General, General Practice, Health, International, Korea, Language, Late-Life, Longitudinal Analysis, Medline, Methods, Older, Older Adults, Older-Adults, Peer-Reviewed, Peer-Reviewed Publications, People, Policy, Practice, Prevalence, Primary-Care Patients, Publications, Rates, Recent, Research, Results, Review, Science, Surveys, Unhealthy Drinking, United-States, USA, Use Disorders, Web, Web Of Science</w:t>
      </w:r>
    </w:p>
    <w:p w:rsidR="00B001EA" w:rsidRPr="00F219CA" w:rsidRDefault="00B001EA" w:rsidP="00B001EA">
      <w:pPr>
        <w:pStyle w:val="1"/>
      </w:pPr>
      <w:r w:rsidRPr="00F219CA">
        <w:br w:type="page"/>
      </w:r>
      <w:bookmarkStart w:id="196" w:name="_Toc420814356"/>
      <w:r w:rsidRPr="00F219CA">
        <w:lastRenderedPageBreak/>
        <w:t xml:space="preserve">Title: </w:t>
      </w:r>
      <w:r w:rsidRPr="00970F36">
        <w:rPr>
          <w:iCs w:val="0"/>
        </w:rPr>
        <w:t>Alcoholism-Clinical</w:t>
      </w:r>
      <w:r w:rsidR="005853A9">
        <w:rPr>
          <w:iCs w:val="0"/>
        </w:rPr>
        <w:t xml:space="preserve"> and </w:t>
      </w:r>
      <w:r w:rsidRPr="00970F36">
        <w:rPr>
          <w:iCs w:val="0"/>
        </w:rPr>
        <w:t>Experimental Research</w:t>
      </w:r>
      <w:bookmarkEnd w:id="196"/>
    </w:p>
    <w:p w:rsidR="00B001EA" w:rsidRPr="00F219CA" w:rsidRDefault="00B001EA" w:rsidP="00B001EA">
      <w:pPr>
        <w:pStyle w:val="12"/>
      </w:pPr>
      <w:r w:rsidRPr="00F219CA">
        <w:t xml:space="preserve">Full Journal Title: </w:t>
      </w:r>
      <w:r w:rsidRPr="00970F36">
        <w:rPr>
          <w:iCs/>
          <w:kern w:val="0"/>
        </w:rPr>
        <w:t>Alcoholism-Clinical</w:t>
      </w:r>
      <w:r w:rsidR="005853A9">
        <w:rPr>
          <w:iCs/>
          <w:kern w:val="0"/>
        </w:rPr>
        <w:t xml:space="preserve"> and </w:t>
      </w:r>
      <w:r w:rsidRPr="00970F36">
        <w:rPr>
          <w:iCs/>
          <w:kern w:val="0"/>
        </w:rPr>
        <w:t>Experimental Research</w:t>
      </w:r>
    </w:p>
    <w:p w:rsidR="00B001EA" w:rsidRPr="00F219CA" w:rsidRDefault="00B001EA" w:rsidP="00B001EA">
      <w:pPr>
        <w:pStyle w:val="12"/>
      </w:pPr>
      <w:r w:rsidRPr="00F219CA">
        <w:t xml:space="preserve">ISO Abbreviated Title: </w:t>
      </w:r>
    </w:p>
    <w:p w:rsidR="00B001EA" w:rsidRPr="00F219CA" w:rsidRDefault="00B001EA" w:rsidP="00B001EA">
      <w:pPr>
        <w:pStyle w:val="12"/>
      </w:pPr>
      <w:r w:rsidRPr="00F219CA">
        <w:t xml:space="preserve">JCR Abbreviated Title: </w:t>
      </w:r>
    </w:p>
    <w:p w:rsidR="00B001EA" w:rsidRPr="00F219CA" w:rsidRDefault="00B001EA" w:rsidP="00B001EA">
      <w:pPr>
        <w:pStyle w:val="12"/>
      </w:pPr>
      <w:r w:rsidRPr="00F219CA">
        <w:t xml:space="preserve">ISSN: </w:t>
      </w:r>
    </w:p>
    <w:p w:rsidR="00B001EA" w:rsidRPr="00F219CA" w:rsidRDefault="00B001EA" w:rsidP="00B001EA">
      <w:pPr>
        <w:pStyle w:val="12"/>
      </w:pPr>
      <w:r w:rsidRPr="00F219CA">
        <w:t xml:space="preserve">Issues/Year: </w:t>
      </w:r>
    </w:p>
    <w:p w:rsidR="00B001EA" w:rsidRPr="00F219CA" w:rsidRDefault="00B001EA" w:rsidP="00B001EA">
      <w:pPr>
        <w:pStyle w:val="12"/>
      </w:pPr>
      <w:r w:rsidRPr="00F219CA">
        <w:t xml:space="preserve">Journal Country/Territory: </w:t>
      </w:r>
    </w:p>
    <w:p w:rsidR="00B001EA" w:rsidRPr="00F219CA" w:rsidRDefault="00B001EA" w:rsidP="00B001EA">
      <w:pPr>
        <w:pStyle w:val="12"/>
      </w:pPr>
      <w:r w:rsidRPr="00F219CA">
        <w:t xml:space="preserve">Language: </w:t>
      </w:r>
    </w:p>
    <w:p w:rsidR="00B001EA" w:rsidRPr="00F219CA" w:rsidRDefault="00B001EA" w:rsidP="00B001EA">
      <w:pPr>
        <w:pStyle w:val="12"/>
      </w:pPr>
      <w:r w:rsidRPr="00F219CA">
        <w:t xml:space="preserve">Publisher: </w:t>
      </w:r>
    </w:p>
    <w:p w:rsidR="00B001EA" w:rsidRPr="00F219CA" w:rsidRDefault="00B001EA" w:rsidP="00B001EA">
      <w:pPr>
        <w:pStyle w:val="12"/>
      </w:pPr>
      <w:r w:rsidRPr="00F219CA">
        <w:t xml:space="preserve">Publisher Address: </w:t>
      </w:r>
    </w:p>
    <w:p w:rsidR="00B001EA" w:rsidRPr="00F219CA" w:rsidRDefault="00B001EA" w:rsidP="00B001EA">
      <w:pPr>
        <w:pStyle w:val="12"/>
      </w:pPr>
      <w:r w:rsidRPr="00F219CA">
        <w:t xml:space="preserve">Subject Categories: </w:t>
      </w:r>
    </w:p>
    <w:p w:rsidR="00B001EA" w:rsidRPr="00F219CA" w:rsidRDefault="00B001EA" w:rsidP="00B001EA">
      <w:pPr>
        <w:pStyle w:val="12"/>
      </w:pPr>
      <w:r w:rsidRPr="00F219CA">
        <w:t xml:space="preserve">: Impact Factor </w:t>
      </w:r>
    </w:p>
    <w:p w:rsidR="00B001EA" w:rsidRDefault="00B001EA" w:rsidP="00B001EA">
      <w:pPr>
        <w:pStyle w:val="a3"/>
        <w:rPr>
          <w:kern w:val="0"/>
        </w:rPr>
      </w:pPr>
      <w:r>
        <w:rPr>
          <w:rFonts w:hint="eastAsia"/>
          <w:kern w:val="0"/>
        </w:rPr>
        <w:t xml:space="preserve">? </w:t>
      </w:r>
      <w:r>
        <w:rPr>
          <w:kern w:val="0"/>
        </w:rPr>
        <w:t>Schepis, T.S., Rao, U., Yadav, H.</w:t>
      </w:r>
      <w:r w:rsidR="005853A9">
        <w:rPr>
          <w:kern w:val="0"/>
        </w:rPr>
        <w:t xml:space="preserve"> and </w:t>
      </w:r>
      <w:r>
        <w:rPr>
          <w:kern w:val="0"/>
        </w:rPr>
        <w:t>Adinoff, B. (2011</w:t>
      </w:r>
      <w:r w:rsidR="00F42EAC">
        <w:rPr>
          <w:kern w:val="0"/>
        </w:rPr>
        <w:t>), The</w:t>
      </w:r>
      <w:r w:rsidR="003A1917">
        <w:rPr>
          <w:kern w:val="0"/>
        </w:rPr>
        <w:t xml:space="preserve"> </w:t>
      </w:r>
      <w:r>
        <w:rPr>
          <w:kern w:val="0"/>
        </w:rPr>
        <w:t>limbic-hypothalamic-pituitary-adrenal axis</w:t>
      </w:r>
      <w:r w:rsidR="005853A9">
        <w:rPr>
          <w:kern w:val="0"/>
        </w:rPr>
        <w:t xml:space="preserve"> and </w:t>
      </w:r>
      <w:r w:rsidR="003A1917">
        <w:rPr>
          <w:kern w:val="0"/>
        </w:rPr>
        <w:t xml:space="preserve">the </w:t>
      </w:r>
      <w:r>
        <w:rPr>
          <w:kern w:val="0"/>
        </w:rPr>
        <w:t>development</w:t>
      </w:r>
      <w:r w:rsidR="00427468">
        <w:rPr>
          <w:kern w:val="0"/>
        </w:rPr>
        <w:t xml:space="preserve"> of </w:t>
      </w:r>
      <w:r>
        <w:rPr>
          <w:kern w:val="0"/>
        </w:rPr>
        <w:t xml:space="preserve">alcohol use disorders in youth. </w:t>
      </w:r>
      <w:r w:rsidRPr="00970F36">
        <w:rPr>
          <w:i/>
          <w:iCs/>
          <w:kern w:val="0"/>
        </w:rPr>
        <w:t>Alcoholism-Clinical</w:t>
      </w:r>
      <w:r w:rsidR="005853A9">
        <w:rPr>
          <w:i/>
          <w:iCs/>
          <w:kern w:val="0"/>
        </w:rPr>
        <w:t xml:space="preserve"> and </w:t>
      </w:r>
      <w:r w:rsidRPr="00970F36">
        <w:rPr>
          <w:i/>
          <w:iCs/>
          <w:kern w:val="0"/>
        </w:rPr>
        <w:t>Experimental Research</w:t>
      </w:r>
      <w:r>
        <w:rPr>
          <w:kern w:val="0"/>
        </w:rPr>
        <w:t xml:space="preserve">, </w:t>
      </w:r>
      <w:r>
        <w:rPr>
          <w:b/>
          <w:bCs/>
          <w:kern w:val="0"/>
        </w:rPr>
        <w:t>35</w:t>
      </w:r>
      <w:r>
        <w:rPr>
          <w:kern w:val="0"/>
        </w:rPr>
        <w:t xml:space="preserve"> (4), 595-605.</w:t>
      </w:r>
    </w:p>
    <w:p w:rsidR="00B001EA" w:rsidRDefault="00B001EA" w:rsidP="00B001EA">
      <w:pPr>
        <w:pStyle w:val="a3"/>
        <w:rPr>
          <w:kern w:val="0"/>
        </w:rPr>
      </w:pPr>
      <w:r>
        <w:rPr>
          <w:rFonts w:hint="eastAsia"/>
          <w:kern w:val="0"/>
        </w:rPr>
        <w:t xml:space="preserve">Full Text: </w:t>
      </w:r>
      <w:hyperlink r:id="rId354" w:history="1">
        <w:r w:rsidRPr="00970F36">
          <w:rPr>
            <w:rStyle w:val="a5"/>
            <w:kern w:val="0"/>
          </w:rPr>
          <w:t>2011\Alc-Cli Exp Res35, 595.pdf</w:t>
        </w:r>
      </w:hyperlink>
    </w:p>
    <w:p w:rsidR="00B001EA" w:rsidRDefault="00B001EA" w:rsidP="00B001EA">
      <w:pPr>
        <w:pStyle w:val="a3"/>
        <w:rPr>
          <w:kern w:val="0"/>
        </w:rPr>
      </w:pPr>
      <w:r>
        <w:rPr>
          <w:kern w:val="0"/>
        </w:rPr>
        <w:t>Abstract: Objective: As</w:t>
      </w:r>
      <w:r w:rsidR="003A1917">
        <w:rPr>
          <w:kern w:val="0"/>
        </w:rPr>
        <w:t xml:space="preserve"> the </w:t>
      </w:r>
      <w:r>
        <w:rPr>
          <w:kern w:val="0"/>
        </w:rPr>
        <w:t>initiation</w:t>
      </w:r>
      <w:r w:rsidR="005853A9">
        <w:rPr>
          <w:kern w:val="0"/>
        </w:rPr>
        <w:t xml:space="preserve"> and </w:t>
      </w:r>
      <w:r>
        <w:rPr>
          <w:kern w:val="0"/>
        </w:rPr>
        <w:t>acceleration</w:t>
      </w:r>
      <w:r w:rsidR="00427468">
        <w:rPr>
          <w:kern w:val="0"/>
        </w:rPr>
        <w:t xml:space="preserve"> of </w:t>
      </w:r>
      <w:r>
        <w:rPr>
          <w:kern w:val="0"/>
        </w:rPr>
        <w:t>alcohol use commonly occurs during adolescence,</w:t>
      </w:r>
      <w:r w:rsidR="003A1917">
        <w:rPr>
          <w:kern w:val="0"/>
        </w:rPr>
        <w:t xml:space="preserve"> the </w:t>
      </w:r>
      <w:r>
        <w:rPr>
          <w:kern w:val="0"/>
        </w:rPr>
        <w:t>etiological basis for this phenomenon is</w:t>
      </w:r>
      <w:r w:rsidR="00427468">
        <w:rPr>
          <w:kern w:val="0"/>
        </w:rPr>
        <w:t xml:space="preserve"> of </w:t>
      </w:r>
      <w:r>
        <w:rPr>
          <w:kern w:val="0"/>
        </w:rPr>
        <w:t>critical importance. Using</w:t>
      </w:r>
      <w:r w:rsidR="003A1917">
        <w:rPr>
          <w:kern w:val="0"/>
        </w:rPr>
        <w:t xml:space="preserve"> the </w:t>
      </w:r>
      <w:r>
        <w:rPr>
          <w:kern w:val="0"/>
        </w:rPr>
        <w:t>diathesis-stress model as a framework, this review will evaluate</w:t>
      </w:r>
      <w:r w:rsidR="003A1917">
        <w:rPr>
          <w:kern w:val="0"/>
        </w:rPr>
        <w:t xml:space="preserve"> the </w:t>
      </w:r>
      <w:r>
        <w:rPr>
          <w:kern w:val="0"/>
        </w:rPr>
        <w:t>emerging evidence implicating</w:t>
      </w:r>
      <w:r w:rsidR="003A1917">
        <w:rPr>
          <w:kern w:val="0"/>
        </w:rPr>
        <w:t xml:space="preserve"> the </w:t>
      </w:r>
      <w:r>
        <w:rPr>
          <w:kern w:val="0"/>
        </w:rPr>
        <w:t>limbic-hypothalamic-pituitary-adrenal (LHPA) axis in</w:t>
      </w:r>
      <w:r w:rsidR="003A1917">
        <w:rPr>
          <w:kern w:val="0"/>
        </w:rPr>
        <w:t xml:space="preserve"> the </w:t>
      </w:r>
      <w:r>
        <w:rPr>
          <w:kern w:val="0"/>
        </w:rPr>
        <w:t>development</w:t>
      </w:r>
      <w:r w:rsidR="00427468">
        <w:rPr>
          <w:kern w:val="0"/>
        </w:rPr>
        <w:t xml:space="preserve"> of </w:t>
      </w:r>
      <w:r>
        <w:rPr>
          <w:kern w:val="0"/>
        </w:rPr>
        <w:t>alcohol use disorder (AUD). Method: Searches were conducted</w:t>
      </w:r>
      <w:r w:rsidR="00427468">
        <w:rPr>
          <w:kern w:val="0"/>
        </w:rPr>
        <w:t xml:space="preserve"> of </w:t>
      </w:r>
      <w:r w:rsidR="003A1917">
        <w:rPr>
          <w:kern w:val="0"/>
        </w:rPr>
        <w:t xml:space="preserve">the </w:t>
      </w:r>
      <w:r w:rsidR="002C12F0">
        <w:rPr>
          <w:kern w:val="0"/>
        </w:rPr>
        <w:t>PUBMED</w:t>
      </w:r>
      <w:r>
        <w:rPr>
          <w:kern w:val="0"/>
        </w:rPr>
        <w:t>/</w:t>
      </w:r>
      <w:r w:rsidR="00D5664A">
        <w:rPr>
          <w:kern w:val="0"/>
        </w:rPr>
        <w:t>MEDLINE</w:t>
      </w:r>
      <w:r>
        <w:rPr>
          <w:kern w:val="0"/>
        </w:rPr>
        <w:t>, PsycInfo, PsycBooks, Cochrane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databases, using a specified set</w:t>
      </w:r>
      <w:r w:rsidR="00427468">
        <w:rPr>
          <w:kern w:val="0"/>
        </w:rPr>
        <w:t xml:space="preserve"> of </w:t>
      </w:r>
      <w:r>
        <w:rPr>
          <w:kern w:val="0"/>
        </w:rPr>
        <w:t>search terms. Results: Genetic liabilities, antenatal stress/anxiety or exposure to addictive substances, exposure to maltreatment or other traumatic events in childhood</w:t>
      </w:r>
      <w:r w:rsidR="005853A9">
        <w:rPr>
          <w:kern w:val="0"/>
        </w:rPr>
        <w:t xml:space="preserve"> and </w:t>
      </w:r>
      <w:r>
        <w:rPr>
          <w:kern w:val="0"/>
        </w:rPr>
        <w:t>psychiatric illness in childhood/adolescence can all increase</w:t>
      </w:r>
      <w:r w:rsidR="003A1917">
        <w:rPr>
          <w:kern w:val="0"/>
        </w:rPr>
        <w:t xml:space="preserve"> the </w:t>
      </w:r>
      <w:r>
        <w:rPr>
          <w:kern w:val="0"/>
        </w:rPr>
        <w:t>risk, or diathesis, for AUD. Greater LHPA dysfunction may serve as a marker for higher diathesis levels in youth. When exposed to stressors in adolescence, high-risk youth (or those with greater LHPA dysfunction) may use alcohol and/or other substances to cope with stressors and, in turn, become more vulnerable to AUD. Conclusion: Evidence suggests that LHPA dysfunction</w:t>
      </w:r>
      <w:r w:rsidR="005853A9">
        <w:rPr>
          <w:kern w:val="0"/>
        </w:rPr>
        <w:t xml:space="preserve"> and </w:t>
      </w:r>
      <w:r>
        <w:rPr>
          <w:kern w:val="0"/>
        </w:rPr>
        <w:t>stress play an important role in</w:t>
      </w:r>
      <w:r w:rsidR="003A1917">
        <w:rPr>
          <w:kern w:val="0"/>
        </w:rPr>
        <w:t xml:space="preserve"> the </w:t>
      </w:r>
      <w:r>
        <w:rPr>
          <w:kern w:val="0"/>
        </w:rPr>
        <w:t>development</w:t>
      </w:r>
      <w:r w:rsidR="00427468">
        <w:rPr>
          <w:kern w:val="0"/>
        </w:rPr>
        <w:t xml:space="preserve"> of </w:t>
      </w:r>
      <w:r>
        <w:rPr>
          <w:kern w:val="0"/>
        </w:rPr>
        <w:t>AUD. Genetic liabilities, antenatal insults, maltreatment,</w:t>
      </w:r>
      <w:r w:rsidR="005853A9">
        <w:rPr>
          <w:kern w:val="0"/>
        </w:rPr>
        <w:t xml:space="preserve"> and </w:t>
      </w:r>
      <w:r>
        <w:rPr>
          <w:kern w:val="0"/>
        </w:rPr>
        <w:t>psychiatric illness appear to increase LHPA dysfunction, raising risk for AUD. Further research is needed to clarify</w:t>
      </w:r>
      <w:r w:rsidR="003A1917">
        <w:rPr>
          <w:kern w:val="0"/>
        </w:rPr>
        <w:t xml:space="preserve"> the </w:t>
      </w:r>
      <w:r>
        <w:rPr>
          <w:kern w:val="0"/>
        </w:rPr>
        <w:t>complex interplay among adverse developmental experiences, LHPA dysfunction,</w:t>
      </w:r>
      <w:r w:rsidR="005853A9">
        <w:rPr>
          <w:kern w:val="0"/>
        </w:rPr>
        <w:t xml:space="preserve"> and </w:t>
      </w:r>
      <w:r w:rsidR="003A1917">
        <w:rPr>
          <w:kern w:val="0"/>
        </w:rPr>
        <w:t xml:space="preserve">the </w:t>
      </w:r>
      <w:r>
        <w:rPr>
          <w:kern w:val="0"/>
        </w:rPr>
        <w:t>development</w:t>
      </w:r>
      <w:r w:rsidR="00427468">
        <w:rPr>
          <w:kern w:val="0"/>
        </w:rPr>
        <w:t xml:space="preserve"> of </w:t>
      </w:r>
      <w:r>
        <w:rPr>
          <w:kern w:val="0"/>
        </w:rPr>
        <w:t>AUD in adolescents.</w:t>
      </w:r>
    </w:p>
    <w:p w:rsidR="00B001EA" w:rsidRDefault="00B001EA" w:rsidP="00B001EA">
      <w:pPr>
        <w:pStyle w:val="a3"/>
        <w:rPr>
          <w:kern w:val="0"/>
        </w:rPr>
      </w:pPr>
      <w:r>
        <w:rPr>
          <w:kern w:val="0"/>
        </w:rPr>
        <w:t xml:space="preserve">Keywords: Addiction, Adolescent, Adolescents, Alcohol, Alcohol Use Disorder, </w:t>
      </w:r>
      <w:r>
        <w:rPr>
          <w:kern w:val="0"/>
        </w:rPr>
        <w:lastRenderedPageBreak/>
        <w:t>Antisocial-Behavior, Attention-Deficit, Hyperactivity Disorder, Child, Cochrane, Corticotropin-Releasing-Factor, Databases, Development, Disorder, Family-History, HPA-AXIS, Hypothalamic-Pituitary-Adrenal AXIS</w:t>
      </w:r>
      <w:r w:rsidR="00D5664A">
        <w:rPr>
          <w:kern w:val="0"/>
        </w:rPr>
        <w:t>, ISI,</w:t>
      </w:r>
      <w:r>
        <w:rPr>
          <w:kern w:val="0"/>
        </w:rPr>
        <w:t xml:space="preserve"> Model, Posttraumatic-Stress-Disorder, Prenatal Alcohol, Psychosocial Stress, Research, Review, Risk, Salivary Cortisol Responses, Science, Stress, Striatal Dopamine Release, Traumatic Events, </w:t>
      </w:r>
      <w:r w:rsidR="00D5664A">
        <w:rPr>
          <w:kern w:val="0"/>
        </w:rPr>
        <w:t>Web</w:t>
      </w:r>
      <w:r w:rsidR="00427468">
        <w:rPr>
          <w:kern w:val="0"/>
        </w:rPr>
        <w:t xml:space="preserve"> of </w:t>
      </w:r>
      <w:r w:rsidR="00D5664A">
        <w:rPr>
          <w:kern w:val="0"/>
        </w:rPr>
        <w:t>Science</w:t>
      </w:r>
      <w:r>
        <w:rPr>
          <w:kern w:val="0"/>
        </w:rPr>
        <w:t>, Youth</w:t>
      </w:r>
    </w:p>
    <w:p w:rsidR="008F0FE7" w:rsidRDefault="008F0FE7" w:rsidP="008F0FE7">
      <w:pPr>
        <w:pStyle w:val="a3"/>
        <w:rPr>
          <w:kern w:val="0"/>
        </w:rPr>
      </w:pPr>
      <w:r>
        <w:rPr>
          <w:rFonts w:hint="eastAsia"/>
          <w:kern w:val="0"/>
        </w:rPr>
        <w:t xml:space="preserve">? </w:t>
      </w:r>
      <w:r>
        <w:rPr>
          <w:kern w:val="0"/>
        </w:rPr>
        <w:t>González-Alcaide, G., Castelló-Cogollos, L., Castellano-Gómez, M., Agullo-Calatayud, V., Aleixandre-Benavent, R., Álvarez, F.J.</w:t>
      </w:r>
      <w:r w:rsidR="005853A9">
        <w:rPr>
          <w:kern w:val="0"/>
        </w:rPr>
        <w:t xml:space="preserve"> and </w:t>
      </w:r>
      <w:r>
        <w:rPr>
          <w:kern w:val="0"/>
        </w:rPr>
        <w:t>Valderrama-Zurián, J.C. (2013), Scientific publications</w:t>
      </w:r>
      <w:r w:rsidR="005853A9">
        <w:rPr>
          <w:kern w:val="0"/>
        </w:rPr>
        <w:t xml:space="preserve"> and </w:t>
      </w:r>
      <w:r>
        <w:rPr>
          <w:kern w:val="0"/>
        </w:rPr>
        <w:t>research groups on alcohol consumption</w:t>
      </w:r>
      <w:r w:rsidR="005853A9">
        <w:rPr>
          <w:kern w:val="0"/>
        </w:rPr>
        <w:t xml:space="preserve"> and </w:t>
      </w:r>
      <w:r>
        <w:rPr>
          <w:kern w:val="0"/>
        </w:rPr>
        <w:t>related problems worldwide: Authorship analysis</w:t>
      </w:r>
      <w:r w:rsidR="00427468">
        <w:rPr>
          <w:kern w:val="0"/>
        </w:rPr>
        <w:t xml:space="preserve"> of </w:t>
      </w:r>
      <w:r>
        <w:rPr>
          <w:kern w:val="0"/>
        </w:rPr>
        <w:t>papers indexed in Pub</w:t>
      </w:r>
      <w:r>
        <w:rPr>
          <w:rFonts w:hint="eastAsia"/>
          <w:kern w:val="0"/>
        </w:rPr>
        <w:t>M</w:t>
      </w:r>
      <w:r>
        <w:rPr>
          <w:kern w:val="0"/>
        </w:rPr>
        <w:t>ed</w:t>
      </w:r>
      <w:r w:rsidR="005853A9">
        <w:rPr>
          <w:kern w:val="0"/>
        </w:rPr>
        <w:t xml:space="preserve"> and </w:t>
      </w:r>
      <w:r>
        <w:rPr>
          <w:kern w:val="0"/>
        </w:rPr>
        <w:t xml:space="preserve">Scopus databases (2005 to 2009). </w:t>
      </w:r>
      <w:r>
        <w:rPr>
          <w:i/>
          <w:iCs/>
          <w:kern w:val="0"/>
        </w:rPr>
        <w:t>Alcoholism-Clinical</w:t>
      </w:r>
      <w:r w:rsidR="005853A9">
        <w:rPr>
          <w:i/>
          <w:iCs/>
          <w:kern w:val="0"/>
        </w:rPr>
        <w:t xml:space="preserve"> and </w:t>
      </w:r>
      <w:r>
        <w:rPr>
          <w:i/>
          <w:iCs/>
          <w:kern w:val="0"/>
        </w:rPr>
        <w:t>Experimental Research</w:t>
      </w:r>
      <w:r>
        <w:rPr>
          <w:kern w:val="0"/>
        </w:rPr>
        <w:t xml:space="preserve">, </w:t>
      </w:r>
      <w:r>
        <w:rPr>
          <w:b/>
          <w:bCs/>
          <w:kern w:val="0"/>
        </w:rPr>
        <w:t>37</w:t>
      </w:r>
      <w:r>
        <w:rPr>
          <w:kern w:val="0"/>
        </w:rPr>
        <w:t>, E381-E393.</w:t>
      </w:r>
    </w:p>
    <w:p w:rsidR="008F0FE7" w:rsidRDefault="008F0FE7" w:rsidP="008F0FE7">
      <w:pPr>
        <w:pStyle w:val="a3"/>
        <w:rPr>
          <w:kern w:val="0"/>
        </w:rPr>
      </w:pPr>
      <w:r>
        <w:rPr>
          <w:rFonts w:hint="eastAsia"/>
          <w:kern w:val="0"/>
        </w:rPr>
        <w:t xml:space="preserve">Full Text: </w:t>
      </w:r>
      <w:hyperlink r:id="rId355" w:history="1">
        <w:r w:rsidRPr="001942AC">
          <w:rPr>
            <w:rStyle w:val="a5"/>
            <w:kern w:val="0"/>
          </w:rPr>
          <w:t>2013\Alc-Cli Exp Res37, E381.pdf</w:t>
        </w:r>
      </w:hyperlink>
    </w:p>
    <w:p w:rsidR="008F0FE7" w:rsidRDefault="008F0FE7" w:rsidP="008F0FE7">
      <w:pPr>
        <w:pStyle w:val="a3"/>
        <w:rPr>
          <w:kern w:val="0"/>
        </w:rPr>
      </w:pPr>
      <w:r>
        <w:rPr>
          <w:kern w:val="0"/>
        </w:rPr>
        <w:t>Abstract: Background The research</w:t>
      </w:r>
      <w:r w:rsidR="00427468">
        <w:rPr>
          <w:kern w:val="0"/>
        </w:rPr>
        <w:t xml:space="preserve"> of </w:t>
      </w:r>
      <w:r>
        <w:rPr>
          <w:kern w:val="0"/>
        </w:rPr>
        <w:t>alcohol consumption-related problems is a multidisciplinary field</w:t>
      </w:r>
      <w:r w:rsidR="00A37C1D">
        <w:rPr>
          <w:kern w:val="0"/>
        </w:rPr>
        <w:t>. The</w:t>
      </w:r>
      <w:r>
        <w:rPr>
          <w:kern w:val="0"/>
        </w:rPr>
        <w:t xml:space="preserve"> aim</w:t>
      </w:r>
      <w:r w:rsidR="00427468">
        <w:rPr>
          <w:kern w:val="0"/>
        </w:rPr>
        <w:t xml:space="preserve"> of </w:t>
      </w:r>
      <w:r>
        <w:rPr>
          <w:kern w:val="0"/>
        </w:rPr>
        <w:t>this study is to analyze the worldwide scientific production in the area</w:t>
      </w:r>
      <w:r w:rsidR="00427468">
        <w:rPr>
          <w:kern w:val="0"/>
        </w:rPr>
        <w:t xml:space="preserve"> of </w:t>
      </w:r>
      <w:r>
        <w:rPr>
          <w:kern w:val="0"/>
        </w:rPr>
        <w:t>alcohol-drinking</w:t>
      </w:r>
      <w:r w:rsidR="005853A9">
        <w:rPr>
          <w:kern w:val="0"/>
        </w:rPr>
        <w:t xml:space="preserve"> and </w:t>
      </w:r>
      <w:r>
        <w:rPr>
          <w:kern w:val="0"/>
        </w:rPr>
        <w:t xml:space="preserve">alcohol-related problems from 2005 to 2009. Methods A </w:t>
      </w:r>
      <w:r w:rsidR="00D5664A">
        <w:rPr>
          <w:kern w:val="0"/>
        </w:rPr>
        <w:t>MEDLINE</w:t>
      </w:r>
      <w:r w:rsidR="005853A9">
        <w:rPr>
          <w:kern w:val="0"/>
        </w:rPr>
        <w:t xml:space="preserve"> and </w:t>
      </w:r>
      <w:r>
        <w:rPr>
          <w:kern w:val="0"/>
        </w:rPr>
        <w:t>Scopus search on alcohol (alcohol-drinking</w:t>
      </w:r>
      <w:r w:rsidR="005853A9">
        <w:rPr>
          <w:kern w:val="0"/>
        </w:rPr>
        <w:t xml:space="preserve"> and </w:t>
      </w:r>
      <w:r>
        <w:rPr>
          <w:kern w:val="0"/>
        </w:rPr>
        <w:t>alcohol-related problems) published from 2005 to 2009 was carried out. Using bibliometric indicators, the distribution</w:t>
      </w:r>
      <w:r w:rsidR="00427468">
        <w:rPr>
          <w:kern w:val="0"/>
        </w:rPr>
        <w:t xml:space="preserve"> of </w:t>
      </w:r>
      <w:r>
        <w:rPr>
          <w:kern w:val="0"/>
        </w:rPr>
        <w:t>the publications was determined within the journals that publish said articles, specialty</w:t>
      </w:r>
      <w:r w:rsidR="00427468">
        <w:rPr>
          <w:kern w:val="0"/>
        </w:rPr>
        <w:t xml:space="preserve"> of </w:t>
      </w:r>
      <w:r>
        <w:rPr>
          <w:kern w:val="0"/>
        </w:rPr>
        <w:t>the journal (broad subject terms), article type, language</w:t>
      </w:r>
      <w:r w:rsidR="00427468">
        <w:rPr>
          <w:kern w:val="0"/>
        </w:rPr>
        <w:t xml:space="preserve"> of </w:t>
      </w:r>
      <w:r>
        <w:rPr>
          <w:kern w:val="0"/>
        </w:rPr>
        <w:t>the publication,</w:t>
      </w:r>
      <w:r w:rsidR="005853A9">
        <w:rPr>
          <w:kern w:val="0"/>
        </w:rPr>
        <w:t xml:space="preserve"> and </w:t>
      </w:r>
      <w:r>
        <w:rPr>
          <w:kern w:val="0"/>
        </w:rPr>
        <w:t>country where the journal is published. Also, authorship characteristics were assessed (collaboration index</w:t>
      </w:r>
      <w:r w:rsidR="005853A9">
        <w:rPr>
          <w:kern w:val="0"/>
        </w:rPr>
        <w:t xml:space="preserve"> and </w:t>
      </w:r>
      <w:r>
        <w:rPr>
          <w:kern w:val="0"/>
        </w:rPr>
        <w:t>number</w:t>
      </w:r>
      <w:r w:rsidR="00427468">
        <w:rPr>
          <w:kern w:val="0"/>
        </w:rPr>
        <w:t xml:space="preserve"> of </w:t>
      </w:r>
      <w:r>
        <w:rPr>
          <w:kern w:val="0"/>
        </w:rPr>
        <w:t>authors who have published more than 9 documents)</w:t>
      </w:r>
      <w:r w:rsidR="00A37C1D">
        <w:rPr>
          <w:kern w:val="0"/>
        </w:rPr>
        <w:t>. The</w:t>
      </w:r>
      <w:r>
        <w:rPr>
          <w:kern w:val="0"/>
        </w:rPr>
        <w:t xml:space="preserve"> existing research groups were also determined. Results About 24,100 documents on alcohol, published in 3,862 journals,</w:t>
      </w:r>
      <w:r w:rsidR="005853A9">
        <w:rPr>
          <w:kern w:val="0"/>
        </w:rPr>
        <w:t xml:space="preserve"> and </w:t>
      </w:r>
      <w:r>
        <w:rPr>
          <w:kern w:val="0"/>
        </w:rPr>
        <w:t xml:space="preserve">authored by 69,640 authors were retrieved from </w:t>
      </w:r>
      <w:r w:rsidR="00D5664A">
        <w:rPr>
          <w:kern w:val="0"/>
        </w:rPr>
        <w:t>MEDLINE</w:t>
      </w:r>
      <w:r w:rsidR="005853A9">
        <w:rPr>
          <w:kern w:val="0"/>
        </w:rPr>
        <w:t xml:space="preserve"> and </w:t>
      </w:r>
      <w:r>
        <w:rPr>
          <w:kern w:val="0"/>
        </w:rPr>
        <w:t>Scopus between the years 2005</w:t>
      </w:r>
      <w:r w:rsidR="005853A9">
        <w:rPr>
          <w:kern w:val="0"/>
        </w:rPr>
        <w:t xml:space="preserve"> and </w:t>
      </w:r>
      <w:r>
        <w:rPr>
          <w:kern w:val="0"/>
        </w:rPr>
        <w:t>2009</w:t>
      </w:r>
      <w:r w:rsidR="00A37C1D">
        <w:rPr>
          <w:kern w:val="0"/>
        </w:rPr>
        <w:t>. The</w:t>
      </w:r>
      <w:r>
        <w:rPr>
          <w:kern w:val="0"/>
        </w:rPr>
        <w:t xml:space="preserve"> collaboration index</w:t>
      </w:r>
      <w:r w:rsidR="00427468">
        <w:rPr>
          <w:kern w:val="0"/>
        </w:rPr>
        <w:t xml:space="preserve"> of </w:t>
      </w:r>
      <w:r>
        <w:rPr>
          <w:kern w:val="0"/>
        </w:rPr>
        <w:t>the articles was 4.83 +/- 3.7</w:t>
      </w:r>
      <w:r w:rsidR="00A37C1D">
        <w:rPr>
          <w:kern w:val="0"/>
        </w:rPr>
        <w:t>. The</w:t>
      </w:r>
      <w:r>
        <w:rPr>
          <w:kern w:val="0"/>
        </w:rPr>
        <w:t xml:space="preserve"> number</w:t>
      </w:r>
      <w:r w:rsidR="00427468">
        <w:rPr>
          <w:kern w:val="0"/>
        </w:rPr>
        <w:t xml:space="preserve"> of </w:t>
      </w:r>
      <w:r>
        <w:rPr>
          <w:kern w:val="0"/>
        </w:rPr>
        <w:t>consolidated research groups in the field was identified as 383, with 1,933 authors. Documents on alcohol were published mainly in journals covering the field</w:t>
      </w:r>
      <w:r w:rsidR="00427468">
        <w:rPr>
          <w:kern w:val="0"/>
        </w:rPr>
        <w:t xml:space="preserve"> of </w:t>
      </w:r>
      <w:r>
        <w:rPr>
          <w:kern w:val="0"/>
        </w:rPr>
        <w:t>Substance-Related Disorders, 23.18%, followed by Medicine, 8.7%, Psychiatry, 6.17%,</w:t>
      </w:r>
      <w:r w:rsidR="005853A9">
        <w:rPr>
          <w:kern w:val="0"/>
        </w:rPr>
        <w:t xml:space="preserve"> and </w:t>
      </w:r>
      <w:r>
        <w:rPr>
          <w:kern w:val="0"/>
        </w:rPr>
        <w:t>Gastroenterology, 5.25%. Conclusions Research on alcohol is a consolidated field, with an average</w:t>
      </w:r>
      <w:r w:rsidR="00427468">
        <w:rPr>
          <w:kern w:val="0"/>
        </w:rPr>
        <w:t xml:space="preserve"> of </w:t>
      </w:r>
      <w:r>
        <w:rPr>
          <w:kern w:val="0"/>
        </w:rPr>
        <w:t>4,820 documents published each year between 2005</w:t>
      </w:r>
      <w:r w:rsidR="005853A9">
        <w:rPr>
          <w:kern w:val="0"/>
        </w:rPr>
        <w:t xml:space="preserve"> and </w:t>
      </w:r>
      <w:r>
        <w:rPr>
          <w:kern w:val="0"/>
        </w:rPr>
        <w:t xml:space="preserve">2009 in </w:t>
      </w:r>
      <w:r w:rsidR="00D5664A">
        <w:rPr>
          <w:kern w:val="0"/>
        </w:rPr>
        <w:t>MEDLINE</w:t>
      </w:r>
      <w:r w:rsidR="005853A9">
        <w:rPr>
          <w:kern w:val="0"/>
        </w:rPr>
        <w:t xml:space="preserve"> and </w:t>
      </w:r>
      <w:r>
        <w:rPr>
          <w:kern w:val="0"/>
        </w:rPr>
        <w:t>Scopus. Alcohol-related publications have a marked multidisciplinary nature. Collaboration was common among alcohol researchers</w:t>
      </w:r>
      <w:r w:rsidR="00A37C1D">
        <w:rPr>
          <w:kern w:val="0"/>
        </w:rPr>
        <w:t>. The</w:t>
      </w:r>
      <w:r>
        <w:rPr>
          <w:kern w:val="0"/>
        </w:rPr>
        <w:t>re is an underrepresentation</w:t>
      </w:r>
      <w:r w:rsidR="00427468">
        <w:rPr>
          <w:kern w:val="0"/>
        </w:rPr>
        <w:t xml:space="preserve"> of </w:t>
      </w:r>
      <w:r>
        <w:rPr>
          <w:kern w:val="0"/>
        </w:rPr>
        <w:t>alcohol-related publications in languages other than English</w:t>
      </w:r>
      <w:r w:rsidR="005853A9">
        <w:rPr>
          <w:kern w:val="0"/>
        </w:rPr>
        <w:t xml:space="preserve"> and </w:t>
      </w:r>
      <w:r>
        <w:rPr>
          <w:kern w:val="0"/>
        </w:rPr>
        <w:t xml:space="preserve">from developing countries, in </w:t>
      </w:r>
      <w:r w:rsidR="00D5664A">
        <w:rPr>
          <w:kern w:val="0"/>
        </w:rPr>
        <w:t>MEDLINE</w:t>
      </w:r>
      <w:r w:rsidR="005853A9">
        <w:rPr>
          <w:kern w:val="0"/>
        </w:rPr>
        <w:t xml:space="preserve"> and </w:t>
      </w:r>
      <w:r>
        <w:rPr>
          <w:kern w:val="0"/>
        </w:rPr>
        <w:t>Scopus databases.</w:t>
      </w:r>
    </w:p>
    <w:p w:rsidR="008F0FE7" w:rsidRDefault="008F0FE7" w:rsidP="008F0FE7">
      <w:pPr>
        <w:pStyle w:val="a3"/>
        <w:rPr>
          <w:kern w:val="0"/>
        </w:rPr>
      </w:pPr>
      <w:r>
        <w:rPr>
          <w:kern w:val="0"/>
        </w:rPr>
        <w:t xml:space="preserve">Keywords: Addiction Journals, Alcohol, Alcohol Drinking, Alcohol-Drinking, Alcohol-Related Problems, Authors, Authorship, Bibliometric, Bibliometric Indicators, Bibliometrics, Characteristics, Collaboration, Country, Databases, </w:t>
      </w:r>
      <w:r>
        <w:rPr>
          <w:kern w:val="0"/>
        </w:rPr>
        <w:lastRenderedPageBreak/>
        <w:t xml:space="preserve">Developing, Developing Countries, Distribution, Field, Groups, Health, Index, Indicators, Journal, Journals, Language, Languages, Medicine, </w:t>
      </w:r>
      <w:r w:rsidR="00D5664A">
        <w:rPr>
          <w:kern w:val="0"/>
        </w:rPr>
        <w:t>MEDLINE</w:t>
      </w:r>
      <w:r>
        <w:rPr>
          <w:kern w:val="0"/>
        </w:rPr>
        <w:t>, Multidisciplinary, Periodicals as Topic, Psychiatry, Publication, Publications, Publish, Pubmed, Research, Results, Scientific Production, Scopus, Specialty, Statistics</w:t>
      </w:r>
      <w:r w:rsidR="005853A9">
        <w:rPr>
          <w:kern w:val="0"/>
        </w:rPr>
        <w:t xml:space="preserve"> and </w:t>
      </w:r>
      <w:r>
        <w:rPr>
          <w:kern w:val="0"/>
        </w:rPr>
        <w:t>Numerical Data, Trends</w:t>
      </w:r>
    </w:p>
    <w:p w:rsidR="00485005" w:rsidRPr="001A3D2B" w:rsidRDefault="00485005" w:rsidP="00485005">
      <w:pPr>
        <w:pStyle w:val="1"/>
      </w:pPr>
      <w:r w:rsidRPr="001A3D2B">
        <w:br w:type="page"/>
      </w:r>
      <w:bookmarkStart w:id="197" w:name="_Toc420814357"/>
      <w:r w:rsidRPr="001A3D2B">
        <w:lastRenderedPageBreak/>
        <w:t xml:space="preserve">Title: </w:t>
      </w:r>
      <w:r w:rsidRPr="00485005">
        <w:t>Algal Research-Biomass Biofuels and Bioproducts</w:t>
      </w:r>
      <w:bookmarkEnd w:id="197"/>
    </w:p>
    <w:p w:rsidR="00485005" w:rsidRPr="001A3D2B" w:rsidRDefault="00485005" w:rsidP="00485005">
      <w:pPr>
        <w:pStyle w:val="12"/>
      </w:pPr>
      <w:r w:rsidRPr="001A3D2B">
        <w:t xml:space="preserve">Full Journal Title: </w:t>
      </w:r>
      <w:r w:rsidRPr="00485005">
        <w:rPr>
          <w:iCs/>
          <w:kern w:val="0"/>
        </w:rPr>
        <w:t>Algal Research-Biomass Biofuels and Bioproducts</w:t>
      </w:r>
    </w:p>
    <w:p w:rsidR="00485005" w:rsidRPr="001A3D2B" w:rsidRDefault="00485005" w:rsidP="00485005">
      <w:pPr>
        <w:pStyle w:val="12"/>
      </w:pPr>
      <w:r w:rsidRPr="001A3D2B">
        <w:t xml:space="preserve">ISO Abbreviated Title: </w:t>
      </w:r>
    </w:p>
    <w:p w:rsidR="00485005" w:rsidRPr="001A3D2B" w:rsidRDefault="00485005" w:rsidP="00485005">
      <w:pPr>
        <w:pStyle w:val="12"/>
      </w:pPr>
      <w:r w:rsidRPr="001A3D2B">
        <w:t xml:space="preserve">JCR Abbreviated Title: </w:t>
      </w:r>
    </w:p>
    <w:p w:rsidR="00485005" w:rsidRPr="001A3D2B" w:rsidRDefault="00485005" w:rsidP="00485005">
      <w:pPr>
        <w:pStyle w:val="12"/>
      </w:pPr>
      <w:r w:rsidRPr="001A3D2B">
        <w:t xml:space="preserve">ISSN: </w:t>
      </w:r>
    </w:p>
    <w:p w:rsidR="00485005" w:rsidRPr="001A3D2B" w:rsidRDefault="00485005" w:rsidP="00485005">
      <w:pPr>
        <w:pStyle w:val="12"/>
      </w:pPr>
      <w:r w:rsidRPr="001A3D2B">
        <w:t xml:space="preserve">Issues/Year: </w:t>
      </w:r>
    </w:p>
    <w:p w:rsidR="00485005" w:rsidRPr="001A3D2B" w:rsidRDefault="00485005" w:rsidP="00485005">
      <w:pPr>
        <w:pStyle w:val="12"/>
      </w:pPr>
      <w:r w:rsidRPr="001A3D2B">
        <w:t xml:space="preserve">Journal Country/Territory: </w:t>
      </w:r>
    </w:p>
    <w:p w:rsidR="00485005" w:rsidRPr="001A3D2B" w:rsidRDefault="00485005" w:rsidP="00485005">
      <w:pPr>
        <w:pStyle w:val="12"/>
      </w:pPr>
      <w:r w:rsidRPr="001A3D2B">
        <w:t xml:space="preserve">Language: </w:t>
      </w:r>
    </w:p>
    <w:p w:rsidR="00485005" w:rsidRPr="001A3D2B" w:rsidRDefault="00485005" w:rsidP="00485005">
      <w:pPr>
        <w:pStyle w:val="12"/>
      </w:pPr>
      <w:r w:rsidRPr="001A3D2B">
        <w:t xml:space="preserve">Publisher: </w:t>
      </w:r>
    </w:p>
    <w:p w:rsidR="00485005" w:rsidRPr="001A3D2B" w:rsidRDefault="00485005" w:rsidP="00485005">
      <w:pPr>
        <w:pStyle w:val="12"/>
      </w:pPr>
      <w:r w:rsidRPr="001A3D2B">
        <w:t xml:space="preserve">Publisher Address: </w:t>
      </w:r>
    </w:p>
    <w:p w:rsidR="00485005" w:rsidRPr="001A3D2B" w:rsidRDefault="00485005" w:rsidP="00485005">
      <w:pPr>
        <w:pStyle w:val="12"/>
      </w:pPr>
      <w:r w:rsidRPr="001A3D2B">
        <w:t xml:space="preserve">Subject Categories: </w:t>
      </w:r>
    </w:p>
    <w:p w:rsidR="00485005" w:rsidRPr="001A3D2B" w:rsidRDefault="00485005" w:rsidP="00485005">
      <w:pPr>
        <w:pStyle w:val="12"/>
      </w:pPr>
      <w:r w:rsidRPr="001A3D2B">
        <w:t xml:space="preserve">: Impact Factor </w:t>
      </w:r>
    </w:p>
    <w:p w:rsidR="00485005" w:rsidRDefault="00485005" w:rsidP="00485005">
      <w:pPr>
        <w:pStyle w:val="a3"/>
        <w:rPr>
          <w:kern w:val="0"/>
        </w:rPr>
      </w:pPr>
      <w:r>
        <w:rPr>
          <w:rFonts w:hint="eastAsia"/>
          <w:kern w:val="0"/>
        </w:rPr>
        <w:t xml:space="preserve">? </w:t>
      </w:r>
      <w:r>
        <w:rPr>
          <w:kern w:val="0"/>
        </w:rPr>
        <w:t xml:space="preserve">Coelho, M.S., Barbosa, F.G. and de Souza, M.D.A.Z. (2014), The scientometric research on macroalgal biomass as a source of biofuel feedstock. </w:t>
      </w:r>
      <w:r w:rsidRPr="00485005">
        <w:rPr>
          <w:i/>
          <w:iCs/>
          <w:kern w:val="0"/>
        </w:rPr>
        <w:t>Algal Research-Biomass Biofuels and Bioproducts</w:t>
      </w:r>
      <w:r>
        <w:rPr>
          <w:kern w:val="0"/>
        </w:rPr>
        <w:t xml:space="preserve">, </w:t>
      </w:r>
      <w:r>
        <w:rPr>
          <w:b/>
          <w:bCs/>
          <w:kern w:val="0"/>
        </w:rPr>
        <w:t>6</w:t>
      </w:r>
      <w:r>
        <w:rPr>
          <w:kern w:val="0"/>
        </w:rPr>
        <w:t>, 132-138.</w:t>
      </w:r>
    </w:p>
    <w:p w:rsidR="00485005" w:rsidRDefault="00485005" w:rsidP="00485005">
      <w:pPr>
        <w:pStyle w:val="a3"/>
        <w:rPr>
          <w:kern w:val="0"/>
        </w:rPr>
      </w:pPr>
      <w:r>
        <w:rPr>
          <w:rFonts w:hint="eastAsia"/>
          <w:kern w:val="0"/>
        </w:rPr>
        <w:t xml:space="preserve">Full Text: </w:t>
      </w:r>
      <w:hyperlink r:id="rId356" w:history="1">
        <w:r w:rsidRPr="00485005">
          <w:rPr>
            <w:rStyle w:val="a5"/>
            <w:kern w:val="0"/>
          </w:rPr>
          <w:t>2014\Alg Res-Bio Bio Bio6, 132.pdf</w:t>
        </w:r>
      </w:hyperlink>
    </w:p>
    <w:p w:rsidR="00485005" w:rsidRDefault="00485005" w:rsidP="00485005">
      <w:pPr>
        <w:pStyle w:val="a3"/>
        <w:rPr>
          <w:kern w:val="0"/>
        </w:rPr>
      </w:pPr>
      <w:r>
        <w:rPr>
          <w:kern w:val="0"/>
        </w:rPr>
        <w:t>Abstract: We performed a scientometric analysis to determine the main trends and gaps in the studies on macroalgal biomass as a source of biofuel feedstock conducted between 1945 and 2013. We used the database from the Thomson Institute for Scientific Information. We found 160 papers published in 78 journals. The number of papers on using macroalgal biomass as a source of biofuel feedstock over the years has increased, especially in the last four years of the study period. The majority of the publications were from Asia (79 papers) and Europe (60 papers). Ulva spp. and Saccharina spp. were the most studied genera of macroalgae. Nine biofuel types (bio-oil, bioethanol, biodiesel, biogas, biomethane, biohydrogen, biochar, bio-crude and hydrochar) produced from macroalgae were studied, with bioethanol being the most studied. The important gaps in the research that need to be addressed are that few studies have been conducted in countries situated in climatic zones that favor the large-scale cultivation of algae for biofuel production (particularly countries from Africa and South America), as well as on some types of biofuels (e.g., biohydrogen, biochar, and hydrochar). (C) 2014 Elsevier B.V. All rights reserved.</w:t>
      </w:r>
    </w:p>
    <w:p w:rsidR="00485005" w:rsidRDefault="00485005" w:rsidP="00485005">
      <w:pPr>
        <w:pStyle w:val="a3"/>
        <w:rPr>
          <w:kern w:val="0"/>
        </w:rPr>
      </w:pPr>
      <w:r>
        <w:rPr>
          <w:kern w:val="0"/>
        </w:rPr>
        <w:t xml:space="preserve">Keywords: Africa, Algae, Analysis, Asia, Bio-Oil, Biochar, Biodiesel, Bioethanol Production, Biofuel, Biofuels, Biogas, Biohydrogen, Biomass, Database, Energy, Enteromorpha, Europe, Fermentation, From, Fuels, Gelidium-Amansii, Information, Institute For Scientific Information, Journals, Macroalgae, Macroalgae Biofuels, Nations, Opportunities, Papers, Publications, Research, Resource, Rights, Scientific Production, Scientific Production, Scientometric, Scientometric Analysis, Source, </w:t>
      </w:r>
      <w:r>
        <w:rPr>
          <w:kern w:val="0"/>
        </w:rPr>
        <w:lastRenderedPageBreak/>
        <w:t>South America, Trends</w:t>
      </w:r>
    </w:p>
    <w:p w:rsidR="003474F2" w:rsidRPr="001A3D2B" w:rsidRDefault="003474F2" w:rsidP="003474F2">
      <w:pPr>
        <w:pStyle w:val="1"/>
      </w:pPr>
      <w:r w:rsidRPr="001A3D2B">
        <w:br w:type="page"/>
      </w:r>
      <w:bookmarkStart w:id="198" w:name="_Toc420814358"/>
      <w:r w:rsidRPr="001A3D2B">
        <w:lastRenderedPageBreak/>
        <w:t>Title: Alimentaria</w:t>
      </w:r>
      <w:bookmarkEnd w:id="198"/>
    </w:p>
    <w:p w:rsidR="003474F2" w:rsidRPr="001A3D2B" w:rsidRDefault="003474F2" w:rsidP="003474F2">
      <w:pPr>
        <w:pStyle w:val="12"/>
      </w:pPr>
      <w:r w:rsidRPr="001A3D2B">
        <w:t>Full Journal Title: Alimentaria</w:t>
      </w:r>
    </w:p>
    <w:p w:rsidR="003474F2" w:rsidRPr="001A3D2B" w:rsidRDefault="003474F2" w:rsidP="003474F2">
      <w:pPr>
        <w:pStyle w:val="12"/>
      </w:pPr>
      <w:r w:rsidRPr="001A3D2B">
        <w:t>ISO Abbreviated Title: Alimentaria</w:t>
      </w:r>
    </w:p>
    <w:p w:rsidR="003474F2" w:rsidRPr="001A3D2B" w:rsidRDefault="003474F2" w:rsidP="003474F2">
      <w:pPr>
        <w:pStyle w:val="12"/>
      </w:pPr>
      <w:r w:rsidRPr="001A3D2B">
        <w:t>JCR Abbreviated Title: Alimentaria</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Ugena, S., Resco, E.</w:t>
      </w:r>
      <w:r w:rsidR="005853A9">
        <w:t xml:space="preserve"> and </w:t>
      </w:r>
      <w:r w:rsidRPr="001A3D2B">
        <w:t>Ferreiro, L. (1990), Scientific</w:t>
      </w:r>
      <w:r w:rsidR="005853A9">
        <w:t xml:space="preserve"> and </w:t>
      </w:r>
      <w:r w:rsidRPr="001A3D2B">
        <w:t>technical food journals reviewed by</w:t>
      </w:r>
      <w:r w:rsidR="003A1917">
        <w:t xml:space="preserve"> the </w:t>
      </w:r>
      <w:r w:rsidRPr="001A3D2B">
        <w:t xml:space="preserve">Journal Citation Reports bibliometric classification. </w:t>
      </w:r>
      <w:r w:rsidRPr="001A3D2B">
        <w:rPr>
          <w:i/>
          <w:iCs/>
        </w:rPr>
        <w:t>Alimentaria</w:t>
      </w:r>
      <w:r w:rsidRPr="001A3D2B">
        <w:t xml:space="preserve">, </w:t>
      </w:r>
      <w:r w:rsidRPr="001A3D2B">
        <w:rPr>
          <w:b/>
          <w:bCs/>
        </w:rPr>
        <w:t>27</w:t>
      </w:r>
      <w:r w:rsidRPr="001A3D2B">
        <w:t xml:space="preserve"> (218), 15-27.</w:t>
      </w:r>
    </w:p>
    <w:p w:rsidR="004F7A0B" w:rsidRPr="001A3D2B" w:rsidRDefault="004F7A0B" w:rsidP="004F7A0B">
      <w:pPr>
        <w:pStyle w:val="1"/>
      </w:pPr>
      <w:r w:rsidRPr="001A3D2B">
        <w:br w:type="page"/>
      </w:r>
      <w:bookmarkStart w:id="199" w:name="_Toc420814359"/>
      <w:r w:rsidRPr="001A3D2B">
        <w:lastRenderedPageBreak/>
        <w:t xml:space="preserve">Title: </w:t>
      </w:r>
      <w:r w:rsidRPr="001A3D2B">
        <w:rPr>
          <w:iCs w:val="0"/>
        </w:rPr>
        <w:t>Alimentary Pharmacology &amp; Therapeutics</w:t>
      </w:r>
      <w:bookmarkEnd w:id="199"/>
    </w:p>
    <w:p w:rsidR="004F7A0B" w:rsidRPr="001A3D2B" w:rsidRDefault="004F7A0B" w:rsidP="004F7A0B">
      <w:pPr>
        <w:pStyle w:val="12"/>
      </w:pPr>
      <w:r w:rsidRPr="001A3D2B">
        <w:t xml:space="preserve">Full Journal Title: </w:t>
      </w:r>
      <w:hyperlink r:id="rId357" w:history="1">
        <w:r w:rsidRPr="001A3D2B">
          <w:rPr>
            <w:rStyle w:val="a5"/>
            <w:iCs/>
            <w:kern w:val="0"/>
          </w:rPr>
          <w:t>Alimentary Pharmacology &amp; Therapeutics</w:t>
        </w:r>
      </w:hyperlink>
    </w:p>
    <w:p w:rsidR="004F7A0B" w:rsidRPr="001A3D2B" w:rsidRDefault="004F7A0B" w:rsidP="004F7A0B">
      <w:pPr>
        <w:pStyle w:val="12"/>
      </w:pPr>
      <w:r w:rsidRPr="001A3D2B">
        <w:t xml:space="preserve">ISO Abbreviated Title: </w:t>
      </w:r>
    </w:p>
    <w:p w:rsidR="004F7A0B" w:rsidRPr="001A3D2B" w:rsidRDefault="004F7A0B" w:rsidP="004F7A0B">
      <w:pPr>
        <w:pStyle w:val="12"/>
      </w:pPr>
      <w:r w:rsidRPr="001A3D2B">
        <w:t xml:space="preserve">JCR Abbreviated Title: </w:t>
      </w:r>
    </w:p>
    <w:p w:rsidR="004F7A0B" w:rsidRPr="001A3D2B" w:rsidRDefault="004F7A0B" w:rsidP="004F7A0B">
      <w:pPr>
        <w:pStyle w:val="12"/>
      </w:pPr>
      <w:r w:rsidRPr="001A3D2B">
        <w:t xml:space="preserve">ISSN: </w:t>
      </w:r>
    </w:p>
    <w:p w:rsidR="004F7A0B" w:rsidRPr="001A3D2B" w:rsidRDefault="004F7A0B" w:rsidP="004F7A0B">
      <w:pPr>
        <w:pStyle w:val="12"/>
      </w:pPr>
      <w:r w:rsidRPr="001A3D2B">
        <w:t xml:space="preserve">Issues/Year: </w:t>
      </w:r>
    </w:p>
    <w:p w:rsidR="004F7A0B" w:rsidRPr="001A3D2B" w:rsidRDefault="004F7A0B" w:rsidP="004F7A0B">
      <w:pPr>
        <w:pStyle w:val="12"/>
      </w:pPr>
      <w:r w:rsidRPr="001A3D2B">
        <w:t xml:space="preserve">Journal Country/Territory: </w:t>
      </w:r>
    </w:p>
    <w:p w:rsidR="004F7A0B" w:rsidRPr="001A3D2B" w:rsidRDefault="004F7A0B" w:rsidP="004F7A0B">
      <w:pPr>
        <w:pStyle w:val="12"/>
      </w:pPr>
      <w:r w:rsidRPr="001A3D2B">
        <w:t xml:space="preserve">Language: </w:t>
      </w:r>
    </w:p>
    <w:p w:rsidR="004F7A0B" w:rsidRPr="001A3D2B" w:rsidRDefault="004F7A0B" w:rsidP="004F7A0B">
      <w:pPr>
        <w:pStyle w:val="12"/>
      </w:pPr>
      <w:r w:rsidRPr="001A3D2B">
        <w:t xml:space="preserve">Publisher: </w:t>
      </w:r>
    </w:p>
    <w:p w:rsidR="004F7A0B" w:rsidRPr="001A3D2B" w:rsidRDefault="004F7A0B" w:rsidP="004F7A0B">
      <w:pPr>
        <w:pStyle w:val="12"/>
      </w:pPr>
      <w:r w:rsidRPr="001A3D2B">
        <w:t xml:space="preserve">Publisher Address: </w:t>
      </w:r>
    </w:p>
    <w:p w:rsidR="004F7A0B" w:rsidRPr="001A3D2B" w:rsidRDefault="004F7A0B" w:rsidP="004F7A0B">
      <w:pPr>
        <w:pStyle w:val="12"/>
      </w:pPr>
      <w:r w:rsidRPr="001A3D2B">
        <w:t xml:space="preserve">Subject Categories: </w:t>
      </w:r>
    </w:p>
    <w:p w:rsidR="004F7A0B" w:rsidRPr="001A3D2B" w:rsidRDefault="004F7A0B" w:rsidP="004F7A0B">
      <w:pPr>
        <w:pStyle w:val="12"/>
      </w:pPr>
      <w:r w:rsidRPr="001A3D2B">
        <w:t xml:space="preserve">: Impact Factor </w:t>
      </w:r>
    </w:p>
    <w:p w:rsidR="00376E18" w:rsidRDefault="00376E18" w:rsidP="00376E18">
      <w:pPr>
        <w:pStyle w:val="a3"/>
        <w:rPr>
          <w:kern w:val="0"/>
        </w:rPr>
      </w:pPr>
      <w:r>
        <w:rPr>
          <w:rFonts w:hint="eastAsia"/>
          <w:kern w:val="0"/>
        </w:rPr>
        <w:t xml:space="preserve">? </w:t>
      </w:r>
      <w:r>
        <w:rPr>
          <w:kern w:val="0"/>
        </w:rPr>
        <w:t>Simin, M., Brok, J., Stimac, D., Gluud, C.</w:t>
      </w:r>
      <w:r w:rsidR="005853A9">
        <w:rPr>
          <w:kern w:val="0"/>
        </w:rPr>
        <w:t xml:space="preserve"> and </w:t>
      </w:r>
      <w:r>
        <w:rPr>
          <w:kern w:val="0"/>
        </w:rPr>
        <w:t xml:space="preserve">Gluud, L.L. (2007), Cochrane systematic review: Pegylated interferon plus ribavirin vs. interferon plus ribavirin for chronic hepatitis C. </w:t>
      </w:r>
      <w:r>
        <w:rPr>
          <w:i/>
          <w:iCs/>
          <w:kern w:val="0"/>
        </w:rPr>
        <w:t>Alimentary Pharmacology &amp; Therapeutics</w:t>
      </w:r>
      <w:r>
        <w:rPr>
          <w:kern w:val="0"/>
        </w:rPr>
        <w:t xml:space="preserve">, </w:t>
      </w:r>
      <w:r>
        <w:rPr>
          <w:b/>
          <w:bCs/>
          <w:kern w:val="0"/>
        </w:rPr>
        <w:t>25</w:t>
      </w:r>
      <w:r>
        <w:rPr>
          <w:kern w:val="0"/>
        </w:rPr>
        <w:t xml:space="preserve"> (10), 1153-1162.</w:t>
      </w:r>
    </w:p>
    <w:p w:rsidR="00DC3D00" w:rsidRPr="00F219CA" w:rsidRDefault="00DC3D00" w:rsidP="00DC3D00">
      <w:pPr>
        <w:pStyle w:val="a3"/>
        <w:rPr>
          <w:kern w:val="0"/>
        </w:rPr>
      </w:pPr>
      <w:r w:rsidRPr="00F219CA">
        <w:rPr>
          <w:kern w:val="0"/>
        </w:rPr>
        <w:t xml:space="preserve">Full Text: </w:t>
      </w:r>
      <w:hyperlink r:id="rId358" w:history="1">
        <w:r w:rsidRPr="006E491F">
          <w:rPr>
            <w:rStyle w:val="a5"/>
            <w:kern w:val="0"/>
          </w:rPr>
          <w:t>2007\Ali Pha The25, 1153.pdf</w:t>
        </w:r>
      </w:hyperlink>
    </w:p>
    <w:p w:rsidR="00376E18" w:rsidRDefault="00376E18" w:rsidP="00376E18">
      <w:pPr>
        <w:pStyle w:val="a3"/>
        <w:rPr>
          <w:kern w:val="0"/>
        </w:rPr>
      </w:pPr>
      <w:r>
        <w:rPr>
          <w:kern w:val="0"/>
        </w:rPr>
        <w:t>Abstract: Background About 170 million patients worldwide have chronic hepatitis C. Pegylated interferon plus ribavirin is currently</w:t>
      </w:r>
      <w:r w:rsidR="003A1917">
        <w:rPr>
          <w:kern w:val="0"/>
        </w:rPr>
        <w:t xml:space="preserve"> the </w:t>
      </w:r>
      <w:r>
        <w:rPr>
          <w:kern w:val="0"/>
        </w:rPr>
        <w:t>recommended therapy. Aim To evaluate</w:t>
      </w:r>
      <w:r w:rsidR="003A1917">
        <w:rPr>
          <w:kern w:val="0"/>
        </w:rPr>
        <w:t xml:space="preserve"> the </w:t>
      </w:r>
      <w:r>
        <w:rPr>
          <w:kern w:val="0"/>
        </w:rPr>
        <w:t>beneficial</w:t>
      </w:r>
      <w:r w:rsidR="005853A9">
        <w:rPr>
          <w:kern w:val="0"/>
        </w:rPr>
        <w:t xml:space="preserve"> and </w:t>
      </w:r>
      <w:r>
        <w:rPr>
          <w:kern w:val="0"/>
        </w:rPr>
        <w:t>harmful effects</w:t>
      </w:r>
      <w:r w:rsidR="00427468">
        <w:rPr>
          <w:kern w:val="0"/>
        </w:rPr>
        <w:t xml:space="preserve"> of </w:t>
      </w:r>
      <w:r>
        <w:rPr>
          <w:kern w:val="0"/>
        </w:rPr>
        <w:t>pegylated interferon plus ribavirin vs. interferon plus ribavirin for chronic hepatitis C infection. Methods We searched</w:t>
      </w:r>
      <w:r w:rsidR="003A1917">
        <w:rPr>
          <w:kern w:val="0"/>
        </w:rPr>
        <w:t xml:space="preserve"> the </w:t>
      </w:r>
      <w:r>
        <w:rPr>
          <w:kern w:val="0"/>
        </w:rPr>
        <w:t xml:space="preserve">Cochrane Library, </w:t>
      </w:r>
      <w:r w:rsidR="00D5664A">
        <w:rPr>
          <w:kern w:val="0"/>
        </w:rPr>
        <w:t>MEDLINE</w:t>
      </w:r>
      <w:r>
        <w:rPr>
          <w:kern w:val="0"/>
        </w:rPr>
        <w:t>, EMBASE, LILACS, Science Citation Index Expanded</w:t>
      </w:r>
      <w:r w:rsidR="005853A9">
        <w:rPr>
          <w:kern w:val="0"/>
        </w:rPr>
        <w:t xml:space="preserve"> and </w:t>
      </w:r>
      <w:r>
        <w:rPr>
          <w:kern w:val="0"/>
        </w:rPr>
        <w:t>contacted pharmaceutical companies</w:t>
      </w:r>
      <w:r w:rsidR="005853A9">
        <w:rPr>
          <w:kern w:val="0"/>
        </w:rPr>
        <w:t xml:space="preserve"> and </w:t>
      </w:r>
      <w:r>
        <w:rPr>
          <w:kern w:val="0"/>
        </w:rPr>
        <w:t>authors</w:t>
      </w:r>
      <w:r w:rsidR="00427468">
        <w:rPr>
          <w:kern w:val="0"/>
        </w:rPr>
        <w:t xml:space="preserve"> of </w:t>
      </w:r>
      <w:r>
        <w:rPr>
          <w:kern w:val="0"/>
        </w:rPr>
        <w:t>trials (to March 2005). Results We included 18 randomized clinical trials with 4811 patients. Eleven trials (61%) had allocation bias risks</w:t>
      </w:r>
      <w:r w:rsidR="005853A9">
        <w:rPr>
          <w:kern w:val="0"/>
        </w:rPr>
        <w:t xml:space="preserve"> and </w:t>
      </w:r>
      <w:r>
        <w:rPr>
          <w:kern w:val="0"/>
        </w:rPr>
        <w:t>all had assessment bias risk because</w:t>
      </w:r>
      <w:r w:rsidR="00427468">
        <w:rPr>
          <w:kern w:val="0"/>
        </w:rPr>
        <w:t xml:space="preserve"> of </w:t>
      </w:r>
      <w:r>
        <w:rPr>
          <w:kern w:val="0"/>
        </w:rPr>
        <w:t>lack</w:t>
      </w:r>
      <w:r w:rsidR="00427468">
        <w:rPr>
          <w:kern w:val="0"/>
        </w:rPr>
        <w:t xml:space="preserve"> of </w:t>
      </w:r>
      <w:r>
        <w:rPr>
          <w:kern w:val="0"/>
        </w:rPr>
        <w:t>blinding. Compared with interferon plus ribavirin, pegylated interferon plus ribavirin had significant beneficial effects on sustained virological response [risk ratio (RR): 0.80; 95% CI: 0.74 - 0.88]. Data were insufficient to determine impact on long-term outcomes. Pegylated interferon plus ribavirin significantly increased dose reductions (RR: 1.44; 95% CI: 1.14 - 1.82)</w:t>
      </w:r>
      <w:r w:rsidR="005853A9">
        <w:rPr>
          <w:kern w:val="0"/>
        </w:rPr>
        <w:t xml:space="preserve"> and </w:t>
      </w:r>
      <w:r>
        <w:rPr>
          <w:kern w:val="0"/>
        </w:rPr>
        <w:t>adverse events including neutropenia (RR: 2.25; 95% CI: 1.58 - 3.21), thrombocytopenia (RR: 2.28; 95% CI: 1.14 - 4.54), arthralgia (RR: 1.19; 95% CI: 1.05 - 1.35),</w:t>
      </w:r>
      <w:r w:rsidR="005853A9">
        <w:rPr>
          <w:kern w:val="0"/>
        </w:rPr>
        <w:t xml:space="preserve"> and </w:t>
      </w:r>
      <w:r>
        <w:rPr>
          <w:kern w:val="0"/>
        </w:rPr>
        <w:t>injection-site reaction (RR: 2.56; 95% CI: 1.06 - 6.22). Conclusions Pegylated interferon plus ribavirin compared with interferon plus ribavirin increased</w:t>
      </w:r>
      <w:r w:rsidR="003A1917">
        <w:rPr>
          <w:kern w:val="0"/>
        </w:rPr>
        <w:t xml:space="preserve"> the </w:t>
      </w:r>
      <w:r>
        <w:rPr>
          <w:kern w:val="0"/>
        </w:rPr>
        <w:t>proportion</w:t>
      </w:r>
      <w:r w:rsidR="00427468">
        <w:rPr>
          <w:kern w:val="0"/>
        </w:rPr>
        <w:t xml:space="preserve"> of </w:t>
      </w:r>
      <w:r>
        <w:rPr>
          <w:kern w:val="0"/>
        </w:rPr>
        <w:t>patients with sustained virological response, but at</w:t>
      </w:r>
      <w:r w:rsidR="003A1917">
        <w:rPr>
          <w:kern w:val="0"/>
        </w:rPr>
        <w:t xml:space="preserve"> the </w:t>
      </w:r>
      <w:r>
        <w:rPr>
          <w:kern w:val="0"/>
        </w:rPr>
        <w:t>cost</w:t>
      </w:r>
      <w:r w:rsidR="00427468">
        <w:rPr>
          <w:kern w:val="0"/>
        </w:rPr>
        <w:t xml:space="preserve"> of </w:t>
      </w:r>
      <w:r>
        <w:rPr>
          <w:kern w:val="0"/>
        </w:rPr>
        <w:t>more adverse events.</w:t>
      </w:r>
    </w:p>
    <w:p w:rsidR="00376E18" w:rsidRDefault="00376E18" w:rsidP="00376E18">
      <w:pPr>
        <w:pStyle w:val="a3"/>
        <w:rPr>
          <w:kern w:val="0"/>
        </w:rPr>
      </w:pPr>
      <w:r>
        <w:rPr>
          <w:kern w:val="0"/>
        </w:rPr>
        <w:t xml:space="preserve">Keywords: Antiviral Therapy, Chronic Hepatitis C, Citation, Clinical-Trials, Combination Therapy, Cost, Embase, Hepatocellular-Carcinoma Development, High Viral Load, Initial Treatment, Liver-Disease, </w:t>
      </w:r>
      <w:r w:rsidR="00D5664A">
        <w:rPr>
          <w:kern w:val="0"/>
        </w:rPr>
        <w:t>MEDLINE</w:t>
      </w:r>
      <w:r>
        <w:rPr>
          <w:kern w:val="0"/>
        </w:rPr>
        <w:t xml:space="preserve">, Naive Patients, </w:t>
      </w:r>
      <w:r>
        <w:rPr>
          <w:kern w:val="0"/>
        </w:rPr>
        <w:lastRenderedPageBreak/>
        <w:t>Natural-History, Pharmaceutical, Randomized Controlled-Trial, Science Citation Index, Science Citation Index Expanded, Therapy</w:t>
      </w:r>
    </w:p>
    <w:p w:rsidR="00B001EA" w:rsidRDefault="00B001EA" w:rsidP="00B001EA">
      <w:pPr>
        <w:pStyle w:val="a3"/>
        <w:rPr>
          <w:kern w:val="0"/>
        </w:rPr>
      </w:pPr>
      <w:r>
        <w:rPr>
          <w:rFonts w:hint="eastAsia"/>
          <w:kern w:val="0"/>
        </w:rPr>
        <w:t xml:space="preserve">? </w:t>
      </w:r>
      <w:r>
        <w:rPr>
          <w:kern w:val="0"/>
        </w:rPr>
        <w:t>Mccrea, G.L., Miaskowski, C., Stotts, N.A., Macera, L., Hart, S.A.</w:t>
      </w:r>
      <w:r w:rsidR="005853A9">
        <w:rPr>
          <w:kern w:val="0"/>
        </w:rPr>
        <w:t xml:space="preserve"> and </w:t>
      </w:r>
      <w:r>
        <w:rPr>
          <w:kern w:val="0"/>
        </w:rPr>
        <w:t xml:space="preserve">Varma, M.G. (2008), Review article: Self-report measures to evaluate constipation. </w:t>
      </w:r>
      <w:r>
        <w:rPr>
          <w:i/>
          <w:iCs/>
          <w:kern w:val="0"/>
        </w:rPr>
        <w:t>Alimentary Pharmacology &amp; Therapeutics</w:t>
      </w:r>
      <w:r>
        <w:rPr>
          <w:kern w:val="0"/>
        </w:rPr>
        <w:t xml:space="preserve">, </w:t>
      </w:r>
      <w:r>
        <w:rPr>
          <w:b/>
          <w:bCs/>
          <w:kern w:val="0"/>
        </w:rPr>
        <w:t>27</w:t>
      </w:r>
      <w:r>
        <w:rPr>
          <w:kern w:val="0"/>
        </w:rPr>
        <w:t xml:space="preserve"> (8), 638-648.</w:t>
      </w:r>
    </w:p>
    <w:p w:rsidR="00B001EA" w:rsidRPr="00F219CA" w:rsidRDefault="00B001EA" w:rsidP="00B001EA">
      <w:pPr>
        <w:pStyle w:val="a3"/>
        <w:rPr>
          <w:kern w:val="0"/>
        </w:rPr>
      </w:pPr>
      <w:r w:rsidRPr="00F219CA">
        <w:rPr>
          <w:kern w:val="0"/>
        </w:rPr>
        <w:t xml:space="preserve">Full Text: </w:t>
      </w:r>
      <w:hyperlink r:id="rId359" w:history="1">
        <w:r w:rsidRPr="00B001EA">
          <w:rPr>
            <w:rStyle w:val="a5"/>
            <w:kern w:val="0"/>
          </w:rPr>
          <w:t>2008\Ali Pha The27, 638.pdf</w:t>
        </w:r>
      </w:hyperlink>
    </w:p>
    <w:p w:rsidR="00B001EA" w:rsidRDefault="00B001EA" w:rsidP="00B001EA">
      <w:pPr>
        <w:pStyle w:val="a3"/>
        <w:rPr>
          <w:kern w:val="0"/>
        </w:rPr>
      </w:pPr>
      <w:r>
        <w:rPr>
          <w:kern w:val="0"/>
        </w:rPr>
        <w:t>Abstract: Background Constipation is a subjective phenomenon,</w:t>
      </w:r>
      <w:r w:rsidR="005853A9">
        <w:rPr>
          <w:kern w:val="0"/>
        </w:rPr>
        <w:t xml:space="preserve"> and </w:t>
      </w:r>
      <w:r>
        <w:rPr>
          <w:kern w:val="0"/>
        </w:rPr>
        <w:t>as such must be evaluated using patient self-report. Valid</w:t>
      </w:r>
      <w:r w:rsidR="005853A9">
        <w:rPr>
          <w:kern w:val="0"/>
        </w:rPr>
        <w:t xml:space="preserve"> and </w:t>
      </w:r>
      <w:r>
        <w:rPr>
          <w:kern w:val="0"/>
        </w:rPr>
        <w:t>reliable measures</w:t>
      </w:r>
      <w:r w:rsidR="00427468">
        <w:rPr>
          <w:kern w:val="0"/>
        </w:rPr>
        <w:t xml:space="preserve"> of </w:t>
      </w:r>
      <w:r>
        <w:rPr>
          <w:kern w:val="0"/>
        </w:rPr>
        <w:t>constipation are essential to standardize</w:t>
      </w:r>
      <w:r w:rsidR="003A1917">
        <w:rPr>
          <w:kern w:val="0"/>
        </w:rPr>
        <w:t xml:space="preserve"> the </w:t>
      </w:r>
      <w:r>
        <w:rPr>
          <w:kern w:val="0"/>
        </w:rPr>
        <w:t>diagnosis, assess</w:t>
      </w:r>
      <w:r w:rsidR="003A1917">
        <w:rPr>
          <w:kern w:val="0"/>
        </w:rPr>
        <w:t xml:space="preserve"> the </w:t>
      </w:r>
      <w:r>
        <w:rPr>
          <w:kern w:val="0"/>
        </w:rPr>
        <w:t>severity</w:t>
      </w:r>
      <w:r w:rsidR="005853A9">
        <w:rPr>
          <w:kern w:val="0"/>
        </w:rPr>
        <w:t xml:space="preserve"> and </w:t>
      </w:r>
      <w:r>
        <w:rPr>
          <w:kern w:val="0"/>
        </w:rPr>
        <w:t>evaluate</w:t>
      </w:r>
      <w:r w:rsidR="003A1917">
        <w:rPr>
          <w:kern w:val="0"/>
        </w:rPr>
        <w:t xml:space="preserve"> the </w:t>
      </w:r>
      <w:r>
        <w:rPr>
          <w:kern w:val="0"/>
        </w:rPr>
        <w:t>effectiveness</w:t>
      </w:r>
      <w:r w:rsidR="00427468">
        <w:rPr>
          <w:kern w:val="0"/>
        </w:rPr>
        <w:t xml:space="preserve"> of </w:t>
      </w:r>
      <w:r>
        <w:rPr>
          <w:kern w:val="0"/>
        </w:rPr>
        <w:t>treatments. Aim To compare</w:t>
      </w:r>
      <w:r w:rsidR="005853A9">
        <w:rPr>
          <w:kern w:val="0"/>
        </w:rPr>
        <w:t xml:space="preserve"> and </w:t>
      </w:r>
      <w:r>
        <w:rPr>
          <w:kern w:val="0"/>
        </w:rPr>
        <w:t>contrast published self-report measures</w:t>
      </w:r>
      <w:r w:rsidR="00427468">
        <w:rPr>
          <w:kern w:val="0"/>
        </w:rPr>
        <w:t xml:space="preserve"> of </w:t>
      </w:r>
      <w:r>
        <w:rPr>
          <w:kern w:val="0"/>
        </w:rPr>
        <w:t>constipation in terms</w:t>
      </w:r>
      <w:r w:rsidR="00427468">
        <w:rPr>
          <w:kern w:val="0"/>
        </w:rPr>
        <w:t xml:space="preserve"> of </w:t>
      </w:r>
      <w:r>
        <w:rPr>
          <w:kern w:val="0"/>
        </w:rPr>
        <w:t>development, content, general characteristics, psychometric properties</w:t>
      </w:r>
      <w:r w:rsidR="005853A9">
        <w:rPr>
          <w:kern w:val="0"/>
        </w:rPr>
        <w:t xml:space="preserve"> and </w:t>
      </w:r>
      <w:r>
        <w:rPr>
          <w:kern w:val="0"/>
        </w:rPr>
        <w:t xml:space="preserve">clinical utility. Methods </w:t>
      </w:r>
      <w:r w:rsidR="00D5664A">
        <w:rPr>
          <w:kern w:val="0"/>
        </w:rPr>
        <w:t>MEDLINE</w:t>
      </w:r>
      <w:r>
        <w:rPr>
          <w:kern w:val="0"/>
        </w:rPr>
        <w:t xml:space="preserve"> (1966-2007), CINAHL (1980-2007), Cochrane (1993-2007)</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(1995-2007) were searched to identify self-report measures</w:t>
      </w:r>
      <w:r w:rsidR="00427468">
        <w:rPr>
          <w:kern w:val="0"/>
        </w:rPr>
        <w:t xml:space="preserve"> of </w:t>
      </w:r>
      <w:r>
        <w:rPr>
          <w:kern w:val="0"/>
        </w:rPr>
        <w:t>constipation. Measures</w:t>
      </w:r>
      <w:r w:rsidR="00427468">
        <w:rPr>
          <w:kern w:val="0"/>
        </w:rPr>
        <w:t xml:space="preserve"> of </w:t>
      </w:r>
      <w:r>
        <w:rPr>
          <w:kern w:val="0"/>
        </w:rPr>
        <w:t>constipation were selected if they: (i) were self-report measures that measured only constipation; (ii) had undergone psychometric testing; (iii) were used in adults</w:t>
      </w:r>
      <w:r w:rsidR="005853A9">
        <w:rPr>
          <w:kern w:val="0"/>
        </w:rPr>
        <w:t xml:space="preserve"> and </w:t>
      </w:r>
      <w:r>
        <w:rPr>
          <w:kern w:val="0"/>
        </w:rPr>
        <w:t>(iv) were written in English. Results Seven self-report measures</w:t>
      </w:r>
      <w:r w:rsidR="00427468">
        <w:rPr>
          <w:kern w:val="0"/>
        </w:rPr>
        <w:t xml:space="preserve"> of </w:t>
      </w:r>
      <w:r>
        <w:rPr>
          <w:kern w:val="0"/>
        </w:rPr>
        <w:t>constipation were identified</w:t>
      </w:r>
      <w:r w:rsidR="00A37C1D">
        <w:rPr>
          <w:kern w:val="0"/>
        </w:rPr>
        <w:t>. The</w:t>
      </w:r>
      <w:r w:rsidR="003A1917">
        <w:rPr>
          <w:kern w:val="0"/>
        </w:rPr>
        <w:t xml:space="preserve"> </w:t>
      </w:r>
      <w:r>
        <w:rPr>
          <w:kern w:val="0"/>
        </w:rPr>
        <w:t>content areas evaluated by these measures varied. Only two measures had adequate validity</w:t>
      </w:r>
      <w:r w:rsidR="005853A9">
        <w:rPr>
          <w:kern w:val="0"/>
        </w:rPr>
        <w:t xml:space="preserve"> and </w:t>
      </w:r>
      <w:r>
        <w:rPr>
          <w:kern w:val="0"/>
        </w:rPr>
        <w:t>reliability, sensitivity to change, or were tested in more than one sample. Conclusions Findings from this review suggest that</w:t>
      </w:r>
      <w:r w:rsidR="003A1917">
        <w:rPr>
          <w:kern w:val="0"/>
        </w:rPr>
        <w:t xml:space="preserve"> the </w:t>
      </w:r>
      <w:r>
        <w:rPr>
          <w:kern w:val="0"/>
        </w:rPr>
        <w:t>Chinese Constipation Questionnaire</w:t>
      </w:r>
      <w:r w:rsidR="005853A9">
        <w:rPr>
          <w:kern w:val="0"/>
        </w:rPr>
        <w:t xml:space="preserve"> and </w:t>
      </w:r>
      <w:r w:rsidR="003A1917">
        <w:rPr>
          <w:kern w:val="0"/>
        </w:rPr>
        <w:t xml:space="preserve">the </w:t>
      </w:r>
      <w:r>
        <w:rPr>
          <w:kern w:val="0"/>
        </w:rPr>
        <w:t>Patient Assessment</w:t>
      </w:r>
      <w:r w:rsidR="00427468">
        <w:rPr>
          <w:kern w:val="0"/>
        </w:rPr>
        <w:t xml:space="preserve"> of </w:t>
      </w:r>
      <w:r>
        <w:rPr>
          <w:kern w:val="0"/>
        </w:rPr>
        <w:t>Constipation-Symptom Questionnaire demonstrate adequate psychometric properties for a constipation measure. Additional research is warranted to refine or develop a more comprehensive self-report measure to evaluate constipation in adults.</w:t>
      </w:r>
    </w:p>
    <w:p w:rsidR="00B001EA" w:rsidRDefault="00B001EA" w:rsidP="00B001EA">
      <w:pPr>
        <w:pStyle w:val="a3"/>
        <w:rPr>
          <w:kern w:val="0"/>
        </w:rPr>
      </w:pPr>
      <w:r>
        <w:rPr>
          <w:kern w:val="0"/>
        </w:rPr>
        <w:t xml:space="preserve">Keywords: Adults, Assessment, Clinical Utility, Cochrane, Constipation, Definition, Development, Diagnosis, Effectiveness, Epidemiology, Functional Bowel Disorders, </w:t>
      </w:r>
      <w:r w:rsidR="00D5664A">
        <w:rPr>
          <w:kern w:val="0"/>
        </w:rPr>
        <w:t>MEDLINE</w:t>
      </w:r>
      <w:r>
        <w:rPr>
          <w:kern w:val="0"/>
        </w:rPr>
        <w:t xml:space="preserve">, Methods, Population, Questionnaire, Reliability, Research, Review, Scale, Science, Scoring System, Symptoms, United-States, Validation, Validity, </w:t>
      </w:r>
      <w:r w:rsidR="00D5664A">
        <w:rPr>
          <w:kern w:val="0"/>
        </w:rPr>
        <w:t>Web</w:t>
      </w:r>
      <w:r w:rsidR="00427468">
        <w:rPr>
          <w:kern w:val="0"/>
        </w:rPr>
        <w:t xml:space="preserve"> of </w:t>
      </w:r>
      <w:r w:rsidR="00D5664A">
        <w:rPr>
          <w:kern w:val="0"/>
        </w:rPr>
        <w:t>Science</w:t>
      </w:r>
    </w:p>
    <w:p w:rsidR="00BB6F18" w:rsidRDefault="00BB6F18" w:rsidP="00BB6F18">
      <w:pPr>
        <w:pStyle w:val="a3"/>
        <w:rPr>
          <w:kern w:val="0"/>
        </w:rPr>
      </w:pPr>
      <w:r>
        <w:rPr>
          <w:rFonts w:hint="eastAsia"/>
          <w:kern w:val="0"/>
        </w:rPr>
        <w:t xml:space="preserve">? </w:t>
      </w:r>
      <w:r>
        <w:rPr>
          <w:kern w:val="0"/>
        </w:rPr>
        <w:t>Gluud, L.L., Klingenberg, S.L.</w:t>
      </w:r>
      <w:r w:rsidR="005853A9">
        <w:rPr>
          <w:kern w:val="0"/>
        </w:rPr>
        <w:t xml:space="preserve"> and </w:t>
      </w:r>
      <w:r>
        <w:rPr>
          <w:kern w:val="0"/>
        </w:rPr>
        <w:t xml:space="preserve">Langholz, S.E. (2008), Systematic review: Tranexamic acid for upper gastrointestinal bleeding. </w:t>
      </w:r>
      <w:r>
        <w:rPr>
          <w:i/>
          <w:iCs/>
          <w:kern w:val="0"/>
        </w:rPr>
        <w:t>Alimentary Pharmacology &amp; Therapeutics</w:t>
      </w:r>
      <w:r>
        <w:rPr>
          <w:kern w:val="0"/>
        </w:rPr>
        <w:t xml:space="preserve">, </w:t>
      </w:r>
      <w:r>
        <w:rPr>
          <w:b/>
          <w:bCs/>
          <w:kern w:val="0"/>
        </w:rPr>
        <w:t>27</w:t>
      </w:r>
      <w:r>
        <w:rPr>
          <w:kern w:val="0"/>
        </w:rPr>
        <w:t xml:space="preserve"> (9), 752-758.</w:t>
      </w:r>
    </w:p>
    <w:p w:rsidR="00BB6F18" w:rsidRPr="00F219CA" w:rsidRDefault="00BB6F18" w:rsidP="00BB6F18">
      <w:pPr>
        <w:pStyle w:val="a3"/>
        <w:rPr>
          <w:kern w:val="0"/>
        </w:rPr>
      </w:pPr>
      <w:r w:rsidRPr="00F219CA">
        <w:rPr>
          <w:kern w:val="0"/>
        </w:rPr>
        <w:t xml:space="preserve">Full Text: </w:t>
      </w:r>
      <w:hyperlink r:id="rId360" w:history="1">
        <w:r w:rsidRPr="00787EEE">
          <w:rPr>
            <w:rStyle w:val="a5"/>
            <w:kern w:val="0"/>
          </w:rPr>
          <w:t>2008\Ali Pha The27, 752.pdf</w:t>
        </w:r>
      </w:hyperlink>
    </w:p>
    <w:p w:rsidR="00BB6F18" w:rsidRDefault="00BB6F18" w:rsidP="00BB6F18">
      <w:pPr>
        <w:pStyle w:val="a3"/>
        <w:rPr>
          <w:kern w:val="0"/>
        </w:rPr>
      </w:pPr>
      <w:r>
        <w:rPr>
          <w:kern w:val="0"/>
        </w:rPr>
        <w:t>Abstract: Background Tranexamic acid may reduce upper gastrointestinal bleeding</w:t>
      </w:r>
      <w:r w:rsidR="005853A9">
        <w:rPr>
          <w:kern w:val="0"/>
        </w:rPr>
        <w:t xml:space="preserve"> and </w:t>
      </w:r>
      <w:r>
        <w:rPr>
          <w:kern w:val="0"/>
        </w:rPr>
        <w:t>stabilize patients before endoscopic treatments. Aim To review randomized trials on tranexamic acid for upper gastrointestinal bleeding. Methods Manual</w:t>
      </w:r>
      <w:r w:rsidR="005853A9">
        <w:rPr>
          <w:kern w:val="0"/>
        </w:rPr>
        <w:t xml:space="preserve"> and </w:t>
      </w:r>
      <w:r>
        <w:rPr>
          <w:kern w:val="0"/>
        </w:rPr>
        <w:t>electronic searches</w:t>
      </w:r>
      <w:r w:rsidR="00427468">
        <w:rPr>
          <w:kern w:val="0"/>
        </w:rPr>
        <w:t xml:space="preserve"> of </w:t>
      </w:r>
      <w:r w:rsidR="003A1917">
        <w:rPr>
          <w:kern w:val="0"/>
        </w:rPr>
        <w:t xml:space="preserve">the </w:t>
      </w:r>
      <w:r>
        <w:rPr>
          <w:kern w:val="0"/>
        </w:rPr>
        <w:t xml:space="preserve">Cochrane Library, </w:t>
      </w:r>
      <w:r w:rsidR="00D5664A">
        <w:rPr>
          <w:kern w:val="0"/>
        </w:rPr>
        <w:t>MEDLINE</w:t>
      </w:r>
      <w:r>
        <w:rPr>
          <w:kern w:val="0"/>
        </w:rPr>
        <w:t>, EMBASE</w:t>
      </w:r>
      <w:r w:rsidR="005853A9">
        <w:rPr>
          <w:kern w:val="0"/>
        </w:rPr>
        <w:t xml:space="preserve"> and </w:t>
      </w:r>
      <w:r>
        <w:rPr>
          <w:kern w:val="0"/>
        </w:rPr>
        <w:t>Science Citation Index were combined. Intention-to-treat random effect meta-analyses were performed</w:t>
      </w:r>
      <w:r w:rsidR="005853A9">
        <w:rPr>
          <w:kern w:val="0"/>
        </w:rPr>
        <w:t xml:space="preserve"> and </w:t>
      </w:r>
      <w:r>
        <w:rPr>
          <w:kern w:val="0"/>
        </w:rPr>
        <w:t xml:space="preserve">results presented as RRs with 95% confidence intervals. Results Seven double-blind </w:t>
      </w:r>
      <w:r>
        <w:rPr>
          <w:kern w:val="0"/>
        </w:rPr>
        <w:lastRenderedPageBreak/>
        <w:t>randomized trials on tranexamic acid vs. placebo were included.</w:t>
      </w:r>
      <w:r w:rsidR="00427468">
        <w:rPr>
          <w:kern w:val="0"/>
        </w:rPr>
        <w:t xml:space="preserve"> of </w:t>
      </w:r>
      <w:r>
        <w:rPr>
          <w:kern w:val="0"/>
        </w:rPr>
        <w:t>1754 patients randomized, 21% were excluded. Only one trial included endoscopic treatments or proton pump inhibitors. Five per cent</w:t>
      </w:r>
      <w:r w:rsidR="00427468">
        <w:rPr>
          <w:kern w:val="0"/>
        </w:rPr>
        <w:t xml:space="preserve"> of </w:t>
      </w:r>
      <w:r>
        <w:rPr>
          <w:kern w:val="0"/>
        </w:rPr>
        <w:t>patients on tranexamic acid</w:t>
      </w:r>
      <w:r w:rsidR="005853A9">
        <w:rPr>
          <w:kern w:val="0"/>
        </w:rPr>
        <w:t xml:space="preserve"> and </w:t>
      </w:r>
      <w:r>
        <w:rPr>
          <w:kern w:val="0"/>
        </w:rPr>
        <w:t>8%</w:t>
      </w:r>
      <w:r w:rsidR="00427468">
        <w:rPr>
          <w:kern w:val="0"/>
        </w:rPr>
        <w:t xml:space="preserve"> of </w:t>
      </w:r>
      <w:r>
        <w:rPr>
          <w:kern w:val="0"/>
        </w:rPr>
        <w:t>controls died (RR: 0.61, 95% CI: 0.42-0.89). No significant differences were found on bleeding, bleeding-related mortality, surgery or transfusion requirements. Adverse events were unclearly reported. Data from three</w:t>
      </w:r>
      <w:r w:rsidR="00427468">
        <w:rPr>
          <w:kern w:val="0"/>
        </w:rPr>
        <w:t xml:space="preserve"> of </w:t>
      </w:r>
      <w:r w:rsidR="003A1917">
        <w:rPr>
          <w:kern w:val="0"/>
        </w:rPr>
        <w:t xml:space="preserve">the </w:t>
      </w:r>
      <w:r>
        <w:rPr>
          <w:kern w:val="0"/>
        </w:rPr>
        <w:t>included trials suggested that tranexamic acid did not significantly increase</w:t>
      </w:r>
      <w:r w:rsidR="003A1917">
        <w:rPr>
          <w:kern w:val="0"/>
        </w:rPr>
        <w:t xml:space="preserve"> the </w:t>
      </w:r>
      <w:r>
        <w:rPr>
          <w:kern w:val="0"/>
        </w:rPr>
        <w:t>risk</w:t>
      </w:r>
      <w:r w:rsidR="00427468">
        <w:rPr>
          <w:kern w:val="0"/>
        </w:rPr>
        <w:t xml:space="preserve"> of </w:t>
      </w:r>
      <w:r>
        <w:rPr>
          <w:kern w:val="0"/>
        </w:rPr>
        <w:t>thromboembolic disease. Conclusions</w:t>
      </w:r>
      <w:r w:rsidR="003A1917">
        <w:rPr>
          <w:kern w:val="0"/>
        </w:rPr>
        <w:t xml:space="preserve"> the </w:t>
      </w:r>
      <w:r>
        <w:rPr>
          <w:kern w:val="0"/>
        </w:rPr>
        <w:t>present review suggests that tranexamic acid may reduce all-cause mortality. However, because</w:t>
      </w:r>
      <w:r w:rsidR="00427468">
        <w:rPr>
          <w:kern w:val="0"/>
        </w:rPr>
        <w:t xml:space="preserve"> of </w:t>
      </w:r>
      <w:r>
        <w:rPr>
          <w:kern w:val="0"/>
        </w:rPr>
        <w:t>limitations in</w:t>
      </w:r>
      <w:r w:rsidR="003A1917">
        <w:rPr>
          <w:kern w:val="0"/>
        </w:rPr>
        <w:t xml:space="preserve"> the </w:t>
      </w:r>
      <w:r>
        <w:rPr>
          <w:kern w:val="0"/>
        </w:rPr>
        <w:t>internal</w:t>
      </w:r>
      <w:r w:rsidR="005853A9">
        <w:rPr>
          <w:kern w:val="0"/>
        </w:rPr>
        <w:t xml:space="preserve"> and </w:t>
      </w:r>
      <w:r>
        <w:rPr>
          <w:kern w:val="0"/>
        </w:rPr>
        <w:t>external validity</w:t>
      </w:r>
      <w:r w:rsidR="00427468">
        <w:rPr>
          <w:kern w:val="0"/>
        </w:rPr>
        <w:t xml:space="preserve"> of </w:t>
      </w:r>
      <w:r>
        <w:rPr>
          <w:kern w:val="0"/>
        </w:rPr>
        <w:t>included trials, additional evidence is needed before treatment recommendations can be made.</w:t>
      </w:r>
    </w:p>
    <w:p w:rsidR="00BB6F18" w:rsidRDefault="00BB6F18" w:rsidP="00BB6F18">
      <w:pPr>
        <w:pStyle w:val="a3"/>
        <w:rPr>
          <w:kern w:val="0"/>
        </w:rPr>
      </w:pPr>
      <w:r>
        <w:rPr>
          <w:kern w:val="0"/>
        </w:rPr>
        <w:t xml:space="preserve">Keywords: Antifibrinolytic Therapy, Citation, Disease, </w:t>
      </w:r>
      <w:r w:rsidR="00D5664A">
        <w:rPr>
          <w:kern w:val="0"/>
        </w:rPr>
        <w:t>MEDLINE</w:t>
      </w:r>
      <w:r>
        <w:rPr>
          <w:kern w:val="0"/>
        </w:rPr>
        <w:t>, Metaanalysis, Mortality, Placebo, Review, Risk, Science, Science Citation Index, Subarachnoid Hemorrhage, Surgery, Systematic Review, Thrombosis, Tract, Transplantation, Treatment, Validity</w:t>
      </w:r>
    </w:p>
    <w:p w:rsidR="004F7A0B" w:rsidRPr="001A3D2B" w:rsidRDefault="004F7A0B" w:rsidP="004F7A0B">
      <w:pPr>
        <w:pStyle w:val="a3"/>
        <w:rPr>
          <w:kern w:val="0"/>
        </w:rPr>
      </w:pPr>
      <w:r w:rsidRPr="001A3D2B">
        <w:rPr>
          <w:kern w:val="0"/>
        </w:rPr>
        <w:t>? Shao, L.M., Chen, M.Y., Chen, Q.Y.</w:t>
      </w:r>
      <w:r w:rsidR="005853A9">
        <w:rPr>
          <w:kern w:val="0"/>
        </w:rPr>
        <w:t xml:space="preserve"> and </w:t>
      </w:r>
      <w:r w:rsidRPr="001A3D2B">
        <w:rPr>
          <w:kern w:val="0"/>
        </w:rPr>
        <w:t>Cai, J.T. (2009), Meta-analysis:</w:t>
      </w:r>
      <w:r w:rsidR="003A1917">
        <w:rPr>
          <w:kern w:val="0"/>
        </w:rPr>
        <w:t xml:space="preserve"> the </w:t>
      </w:r>
      <w:r w:rsidRPr="001A3D2B">
        <w:rPr>
          <w:kern w:val="0"/>
        </w:rPr>
        <w:t>efficacy</w:t>
      </w:r>
      <w:r w:rsidR="005853A9">
        <w:rPr>
          <w:kern w:val="0"/>
        </w:rPr>
        <w:t xml:space="preserve"> and </w:t>
      </w:r>
      <w:r w:rsidRPr="001A3D2B">
        <w:rPr>
          <w:kern w:val="0"/>
        </w:rPr>
        <w:t>safety</w:t>
      </w:r>
      <w:r w:rsidR="00427468">
        <w:rPr>
          <w:kern w:val="0"/>
        </w:rPr>
        <w:t xml:space="preserve"> of </w:t>
      </w:r>
      <w:r w:rsidRPr="001A3D2B">
        <w:rPr>
          <w:kern w:val="0"/>
        </w:rPr>
        <w:t>certolizumab pegol in Crohn</w:t>
      </w:r>
      <w:r w:rsidR="00700038">
        <w:rPr>
          <w:kern w:val="0"/>
        </w:rPr>
        <w:t>’</w:t>
      </w:r>
      <w:r w:rsidR="00C13DDC">
        <w:rPr>
          <w:kern w:val="0"/>
        </w:rPr>
        <w:t>s</w:t>
      </w:r>
      <w:r w:rsidRPr="001A3D2B">
        <w:rPr>
          <w:kern w:val="0"/>
        </w:rPr>
        <w:t xml:space="preserve"> disease. </w:t>
      </w:r>
      <w:r w:rsidRPr="001A3D2B">
        <w:rPr>
          <w:i/>
          <w:iCs/>
          <w:kern w:val="0"/>
        </w:rPr>
        <w:t>Alimentary Pharmacology &amp; Therapeutics</w:t>
      </w:r>
      <w:r w:rsidRPr="001A3D2B">
        <w:rPr>
          <w:kern w:val="0"/>
        </w:rPr>
        <w:t xml:space="preserve">, </w:t>
      </w:r>
      <w:r w:rsidRPr="001A3D2B">
        <w:rPr>
          <w:b/>
          <w:bCs/>
          <w:kern w:val="0"/>
        </w:rPr>
        <w:t>29</w:t>
      </w:r>
      <w:r w:rsidRPr="001A3D2B">
        <w:rPr>
          <w:kern w:val="0"/>
        </w:rPr>
        <w:t xml:space="preserve"> (6), 605-614.</w:t>
      </w:r>
    </w:p>
    <w:p w:rsidR="002A62E6" w:rsidRPr="001A3D2B" w:rsidRDefault="002A62E6" w:rsidP="002A62E6">
      <w:pPr>
        <w:pStyle w:val="a3"/>
        <w:rPr>
          <w:kern w:val="0"/>
        </w:rPr>
      </w:pPr>
      <w:r w:rsidRPr="001A3D2B">
        <w:rPr>
          <w:kern w:val="0"/>
        </w:rPr>
        <w:t xml:space="preserve">Full Text: </w:t>
      </w:r>
      <w:hyperlink r:id="rId361" w:history="1">
        <w:r w:rsidRPr="001A3D2B">
          <w:rPr>
            <w:rStyle w:val="a5"/>
            <w:kern w:val="0"/>
          </w:rPr>
          <w:t>2009\Ali Pha The29, 605.pdf</w:t>
        </w:r>
      </w:hyperlink>
    </w:p>
    <w:p w:rsidR="004F7A0B" w:rsidRPr="001A3D2B" w:rsidRDefault="004F7A0B" w:rsidP="004F7A0B">
      <w:pPr>
        <w:pStyle w:val="a3"/>
        <w:rPr>
          <w:kern w:val="0"/>
        </w:rPr>
      </w:pPr>
      <w:r w:rsidRPr="001A3D2B">
        <w:rPr>
          <w:kern w:val="0"/>
        </w:rPr>
        <w:t>Abstract: Certolizumab pegol is</w:t>
      </w:r>
      <w:r w:rsidR="003A1917">
        <w:rPr>
          <w:kern w:val="0"/>
        </w:rPr>
        <w:t xml:space="preserve"> the </w:t>
      </w:r>
      <w:r w:rsidRPr="001A3D2B">
        <w:rPr>
          <w:kern w:val="0"/>
        </w:rPr>
        <w:t>third anti-TNF-alpha agent approved by</w:t>
      </w:r>
      <w:r w:rsidR="003A1917">
        <w:rPr>
          <w:kern w:val="0"/>
        </w:rPr>
        <w:t xml:space="preserve"> the </w:t>
      </w:r>
      <w:r w:rsidRPr="001A3D2B">
        <w:rPr>
          <w:kern w:val="0"/>
        </w:rPr>
        <w:t>Food</w:t>
      </w:r>
      <w:r w:rsidR="005853A9">
        <w:rPr>
          <w:kern w:val="0"/>
        </w:rPr>
        <w:t xml:space="preserve"> and </w:t>
      </w:r>
      <w:r w:rsidRPr="001A3D2B">
        <w:rPr>
          <w:kern w:val="0"/>
        </w:rPr>
        <w:t>Drug Administration</w:t>
      </w:r>
      <w:r w:rsidR="00427468">
        <w:rPr>
          <w:kern w:val="0"/>
        </w:rPr>
        <w:t xml:space="preserve"> of </w:t>
      </w:r>
      <w:r w:rsidR="003A1917">
        <w:rPr>
          <w:kern w:val="0"/>
        </w:rPr>
        <w:t xml:space="preserve">the </w:t>
      </w:r>
      <w:r w:rsidRPr="001A3D2B">
        <w:rPr>
          <w:kern w:val="0"/>
        </w:rPr>
        <w:t>United States. To provide a comprehensive up-to-date review</w:t>
      </w:r>
      <w:r w:rsidR="00427468">
        <w:rPr>
          <w:kern w:val="0"/>
        </w:rPr>
        <w:t xml:space="preserve"> of </w:t>
      </w:r>
      <w:r w:rsidR="003A1917">
        <w:rPr>
          <w:kern w:val="0"/>
        </w:rPr>
        <w:t xml:space="preserve">the </w:t>
      </w:r>
      <w:r w:rsidRPr="001A3D2B">
        <w:rPr>
          <w:kern w:val="0"/>
        </w:rPr>
        <w:t>efficacy</w:t>
      </w:r>
      <w:r w:rsidR="005853A9">
        <w:rPr>
          <w:kern w:val="0"/>
        </w:rPr>
        <w:t xml:space="preserve"> and </w:t>
      </w:r>
      <w:r w:rsidRPr="001A3D2B">
        <w:rPr>
          <w:kern w:val="0"/>
        </w:rPr>
        <w:t>safety</w:t>
      </w:r>
      <w:r w:rsidR="00427468">
        <w:rPr>
          <w:kern w:val="0"/>
        </w:rPr>
        <w:t xml:space="preserve"> of </w:t>
      </w:r>
      <w:r w:rsidRPr="001A3D2B">
        <w:rPr>
          <w:kern w:val="0"/>
        </w:rPr>
        <w:t>certolizumab in Crohn</w:t>
      </w:r>
      <w:r w:rsidR="00700038">
        <w:rPr>
          <w:kern w:val="0"/>
        </w:rPr>
        <w:t>’</w:t>
      </w:r>
      <w:r w:rsidR="00C13DDC">
        <w:rPr>
          <w:kern w:val="0"/>
        </w:rPr>
        <w:t>s</w:t>
      </w:r>
      <w:r w:rsidRPr="001A3D2B">
        <w:rPr>
          <w:kern w:val="0"/>
        </w:rPr>
        <w:t xml:space="preserve"> disease (CD). Electronic databases, including </w:t>
      </w:r>
      <w:r w:rsidR="002C12F0">
        <w:rPr>
          <w:kern w:val="0"/>
        </w:rPr>
        <w:t>PUBMED</w:t>
      </w:r>
      <w:r w:rsidRPr="001A3D2B">
        <w:rPr>
          <w:kern w:val="0"/>
        </w:rPr>
        <w:t>, EMBASE,</w:t>
      </w:r>
      <w:r w:rsidR="003A1917">
        <w:rPr>
          <w:kern w:val="0"/>
        </w:rPr>
        <w:t xml:space="preserve"> the </w:t>
      </w:r>
      <w:r w:rsidRPr="001A3D2B">
        <w:rPr>
          <w:kern w:val="0"/>
        </w:rPr>
        <w:t>Cochrane library</w:t>
      </w:r>
      <w:r w:rsidR="005853A9">
        <w:rPr>
          <w:kern w:val="0"/>
        </w:rPr>
        <w:t xml:space="preserve"> and </w:t>
      </w:r>
      <w:r w:rsidR="003A1917">
        <w:rPr>
          <w:kern w:val="0"/>
        </w:rPr>
        <w:t xml:space="preserve">the </w:t>
      </w:r>
      <w:r w:rsidRPr="001A3D2B">
        <w:rPr>
          <w:kern w:val="0"/>
        </w:rPr>
        <w:t>Science Citation Index, were searched to retrieve relevant trials. In addition, meeting abstracts</w:t>
      </w:r>
      <w:r w:rsidR="005853A9">
        <w:rPr>
          <w:kern w:val="0"/>
        </w:rPr>
        <w:t xml:space="preserve"> and </w:t>
      </w:r>
      <w:r w:rsidR="003A1917">
        <w:rPr>
          <w:kern w:val="0"/>
        </w:rPr>
        <w:t xml:space="preserve">the </w:t>
      </w:r>
      <w:r w:rsidRPr="001A3D2B">
        <w:rPr>
          <w:kern w:val="0"/>
        </w:rPr>
        <w:t>reference lists</w:t>
      </w:r>
      <w:r w:rsidR="00427468">
        <w:rPr>
          <w:kern w:val="0"/>
        </w:rPr>
        <w:t xml:space="preserve"> of </w:t>
      </w:r>
      <w:r w:rsidRPr="001A3D2B">
        <w:rPr>
          <w:kern w:val="0"/>
        </w:rPr>
        <w:t>retrieved articles were reviewed for further relevant studies. Three trials, enrolling a total</w:t>
      </w:r>
      <w:r w:rsidR="00427468">
        <w:rPr>
          <w:kern w:val="0"/>
        </w:rPr>
        <w:t xml:space="preserve"> of </w:t>
      </w:r>
      <w:r w:rsidRPr="001A3D2B">
        <w:rPr>
          <w:kern w:val="0"/>
        </w:rPr>
        <w:t>1040 patients, are included in</w:t>
      </w:r>
      <w:r w:rsidR="003A1917">
        <w:rPr>
          <w:kern w:val="0"/>
        </w:rPr>
        <w:t xml:space="preserve"> the </w:t>
      </w:r>
      <w:r w:rsidRPr="001A3D2B">
        <w:rPr>
          <w:kern w:val="0"/>
        </w:rPr>
        <w:t>meta-analysis to evaluate</w:t>
      </w:r>
      <w:r w:rsidR="003A1917">
        <w:rPr>
          <w:kern w:val="0"/>
        </w:rPr>
        <w:t xml:space="preserve"> the </w:t>
      </w:r>
      <w:r w:rsidRPr="001A3D2B">
        <w:rPr>
          <w:kern w:val="0"/>
        </w:rPr>
        <w:t>short-term efficacy</w:t>
      </w:r>
      <w:r w:rsidR="00427468">
        <w:rPr>
          <w:kern w:val="0"/>
        </w:rPr>
        <w:t xml:space="preserve"> of </w:t>
      </w:r>
      <w:r w:rsidRPr="001A3D2B">
        <w:rPr>
          <w:kern w:val="0"/>
        </w:rPr>
        <w:t>certolizumab, which is effective for rapid induction</w:t>
      </w:r>
      <w:r w:rsidR="005853A9">
        <w:rPr>
          <w:kern w:val="0"/>
        </w:rPr>
        <w:t xml:space="preserve"> and </w:t>
      </w:r>
      <w:r w:rsidRPr="001A3D2B">
        <w:rPr>
          <w:kern w:val="0"/>
        </w:rPr>
        <w:t>long-term maintenance</w:t>
      </w:r>
      <w:r w:rsidR="00427468">
        <w:rPr>
          <w:kern w:val="0"/>
        </w:rPr>
        <w:t xml:space="preserve"> of </w:t>
      </w:r>
      <w:r w:rsidRPr="001A3D2B">
        <w:rPr>
          <w:kern w:val="0"/>
        </w:rPr>
        <w:t>clinical response or remission</w:t>
      </w:r>
      <w:r w:rsidR="005853A9">
        <w:rPr>
          <w:kern w:val="0"/>
        </w:rPr>
        <w:t xml:space="preserve"> and </w:t>
      </w:r>
      <w:r w:rsidRPr="001A3D2B">
        <w:rPr>
          <w:kern w:val="0"/>
        </w:rPr>
        <w:t>can improve quality</w:t>
      </w:r>
      <w:r w:rsidR="00427468">
        <w:rPr>
          <w:kern w:val="0"/>
        </w:rPr>
        <w:t xml:space="preserve"> of </w:t>
      </w:r>
      <w:r w:rsidRPr="001A3D2B">
        <w:rPr>
          <w:kern w:val="0"/>
        </w:rPr>
        <w:t>life in patients with Crohn</w:t>
      </w:r>
      <w:r w:rsidR="00700038">
        <w:rPr>
          <w:kern w:val="0"/>
        </w:rPr>
        <w:t>’</w:t>
      </w:r>
      <w:r w:rsidR="00C13DDC">
        <w:rPr>
          <w:kern w:val="0"/>
        </w:rPr>
        <w:t>s</w:t>
      </w:r>
      <w:r w:rsidRPr="001A3D2B">
        <w:rPr>
          <w:kern w:val="0"/>
        </w:rPr>
        <w:t xml:space="preserve"> disease. Certolizumab is also effective for patients who have lost response to infliximab. However, its efficacy in infliximab-exposed patients is probably less than in infliximab-naive patients. Re-induction with certolizumab in patients who have flared on maintenance therapy can rescue a significant proportion</w:t>
      </w:r>
      <w:r w:rsidR="00427468">
        <w:rPr>
          <w:kern w:val="0"/>
        </w:rPr>
        <w:t xml:space="preserve"> of </w:t>
      </w:r>
      <w:r w:rsidRPr="001A3D2B">
        <w:rPr>
          <w:kern w:val="0"/>
        </w:rPr>
        <w:t>patients</w:t>
      </w:r>
      <w:r w:rsidR="00A37C1D">
        <w:rPr>
          <w:kern w:val="0"/>
        </w:rPr>
        <w:t>. The</w:t>
      </w:r>
      <w:r w:rsidRPr="001A3D2B">
        <w:rPr>
          <w:kern w:val="0"/>
        </w:rPr>
        <w:t>re is no significant association between</w:t>
      </w:r>
      <w:r w:rsidR="003A1917">
        <w:rPr>
          <w:kern w:val="0"/>
        </w:rPr>
        <w:t xml:space="preserve"> the </w:t>
      </w:r>
      <w:r w:rsidRPr="001A3D2B">
        <w:rPr>
          <w:kern w:val="0"/>
        </w:rPr>
        <w:t>efficacy</w:t>
      </w:r>
      <w:r w:rsidR="00427468">
        <w:rPr>
          <w:kern w:val="0"/>
        </w:rPr>
        <w:t xml:space="preserve"> of </w:t>
      </w:r>
      <w:r w:rsidRPr="001A3D2B">
        <w:rPr>
          <w:kern w:val="0"/>
        </w:rPr>
        <w:t>certolizumab</w:t>
      </w:r>
      <w:r w:rsidR="005853A9">
        <w:rPr>
          <w:kern w:val="0"/>
        </w:rPr>
        <w:t xml:space="preserve"> and </w:t>
      </w:r>
      <w:r w:rsidR="003A1917">
        <w:rPr>
          <w:kern w:val="0"/>
        </w:rPr>
        <w:t xml:space="preserve">the </w:t>
      </w:r>
      <w:r w:rsidRPr="001A3D2B">
        <w:rPr>
          <w:kern w:val="0"/>
        </w:rPr>
        <w:t>baseline C-reactive protein level. In comparison with placebo, certolizumab does not increase</w:t>
      </w:r>
      <w:r w:rsidR="003A1917">
        <w:rPr>
          <w:kern w:val="0"/>
        </w:rPr>
        <w:t xml:space="preserve"> the </w:t>
      </w:r>
      <w:r w:rsidRPr="001A3D2B">
        <w:rPr>
          <w:kern w:val="0"/>
        </w:rPr>
        <w:t>risk</w:t>
      </w:r>
      <w:r w:rsidR="00427468">
        <w:rPr>
          <w:kern w:val="0"/>
        </w:rPr>
        <w:t xml:space="preserve"> of </w:t>
      </w:r>
      <w:r w:rsidRPr="001A3D2B">
        <w:rPr>
          <w:kern w:val="0"/>
        </w:rPr>
        <w:t>serious adverse events. Certolizumab is effective</w:t>
      </w:r>
      <w:r w:rsidR="005853A9">
        <w:rPr>
          <w:kern w:val="0"/>
        </w:rPr>
        <w:t xml:space="preserve"> and </w:t>
      </w:r>
      <w:r w:rsidRPr="001A3D2B">
        <w:rPr>
          <w:kern w:val="0"/>
        </w:rPr>
        <w:t>safe in treating Crohn</w:t>
      </w:r>
      <w:r w:rsidR="00700038">
        <w:rPr>
          <w:kern w:val="0"/>
        </w:rPr>
        <w:t>’</w:t>
      </w:r>
      <w:r w:rsidR="00C13DDC">
        <w:rPr>
          <w:kern w:val="0"/>
        </w:rPr>
        <w:t>s</w:t>
      </w:r>
      <w:r w:rsidRPr="001A3D2B">
        <w:rPr>
          <w:kern w:val="0"/>
        </w:rPr>
        <w:t xml:space="preserve"> disease. Further studies are still required to assess its full safety profile.</w:t>
      </w:r>
    </w:p>
    <w:p w:rsidR="004F7A0B" w:rsidRPr="001A3D2B" w:rsidRDefault="004F7A0B" w:rsidP="004F7A0B">
      <w:pPr>
        <w:pStyle w:val="a3"/>
        <w:rPr>
          <w:kern w:val="0"/>
        </w:rPr>
      </w:pPr>
      <w:r w:rsidRPr="001A3D2B">
        <w:rPr>
          <w:kern w:val="0"/>
        </w:rPr>
        <w:t xml:space="preserve">Keywords: Anti-Tnf-Alpha, Antitumor Necrosis Factor, C-Reactive Protein, Clinical-Trials, Inflammatory-Bowel-Disease, Maintenance Therapy, </w:t>
      </w:r>
      <w:r w:rsidRPr="001A3D2B">
        <w:rPr>
          <w:kern w:val="0"/>
        </w:rPr>
        <w:lastRenderedPageBreak/>
        <w:t>Monoclonal-Antibody, Placebo-Controlled Trial, Quality</w:t>
      </w:r>
      <w:r w:rsidR="00434900">
        <w:rPr>
          <w:kern w:val="0"/>
        </w:rPr>
        <w:t>-of-</w:t>
      </w:r>
      <w:r w:rsidRPr="001A3D2B">
        <w:rPr>
          <w:kern w:val="0"/>
        </w:rPr>
        <w:t>Life, Randomized-Trial</w:t>
      </w:r>
    </w:p>
    <w:p w:rsidR="004F7A0B" w:rsidRPr="001A3D2B" w:rsidRDefault="004F7A0B" w:rsidP="004F7A0B">
      <w:pPr>
        <w:pStyle w:val="a3"/>
        <w:rPr>
          <w:kern w:val="0"/>
        </w:rPr>
      </w:pPr>
      <w:r w:rsidRPr="001A3D2B">
        <w:rPr>
          <w:kern w:val="0"/>
        </w:rPr>
        <w:t>? Zhang, Y., Chen, Q.B., Gao, Z.Y.</w:t>
      </w:r>
      <w:r w:rsidR="005853A9">
        <w:rPr>
          <w:kern w:val="0"/>
        </w:rPr>
        <w:t xml:space="preserve"> and </w:t>
      </w:r>
      <w:r w:rsidRPr="001A3D2B">
        <w:rPr>
          <w:kern w:val="0"/>
        </w:rPr>
        <w:t xml:space="preserve">Xie, W.F. (2009), Meta-analysis: Octreotide prevents post-ERCP pancreatitis, but only at sufficient doses. </w:t>
      </w:r>
      <w:r w:rsidRPr="001A3D2B">
        <w:rPr>
          <w:i/>
          <w:iCs/>
          <w:kern w:val="0"/>
        </w:rPr>
        <w:t>Alimentary Pharmacology &amp; Therapeutics</w:t>
      </w:r>
      <w:r w:rsidRPr="001A3D2B">
        <w:rPr>
          <w:kern w:val="0"/>
        </w:rPr>
        <w:t xml:space="preserve">, </w:t>
      </w:r>
      <w:r w:rsidRPr="001A3D2B">
        <w:rPr>
          <w:b/>
          <w:bCs/>
          <w:kern w:val="0"/>
        </w:rPr>
        <w:t>29</w:t>
      </w:r>
      <w:r w:rsidRPr="001A3D2B">
        <w:rPr>
          <w:kern w:val="0"/>
        </w:rPr>
        <w:t xml:space="preserve"> (11), 1155-1164.</w:t>
      </w:r>
    </w:p>
    <w:p w:rsidR="004F7A0B" w:rsidRPr="001A3D2B" w:rsidRDefault="004F7A0B" w:rsidP="004F7A0B">
      <w:pPr>
        <w:pStyle w:val="a3"/>
        <w:rPr>
          <w:kern w:val="0"/>
        </w:rPr>
      </w:pPr>
      <w:r w:rsidRPr="001A3D2B">
        <w:rPr>
          <w:kern w:val="0"/>
        </w:rPr>
        <w:t xml:space="preserve">Full Text: </w:t>
      </w:r>
      <w:hyperlink r:id="rId362" w:history="1">
        <w:r w:rsidRPr="001A3D2B">
          <w:rPr>
            <w:rStyle w:val="a5"/>
            <w:kern w:val="0"/>
          </w:rPr>
          <w:t>2009\Ali Pha The29, 1155.pdf</w:t>
        </w:r>
      </w:hyperlink>
    </w:p>
    <w:p w:rsidR="004F7A0B" w:rsidRPr="001A3D2B" w:rsidRDefault="004F7A0B" w:rsidP="004F7A0B">
      <w:pPr>
        <w:pStyle w:val="a3"/>
        <w:rPr>
          <w:kern w:val="0"/>
        </w:rPr>
      </w:pPr>
      <w:r w:rsidRPr="001A3D2B">
        <w:rPr>
          <w:kern w:val="0"/>
        </w:rPr>
        <w:t>Abstract: Effects</w:t>
      </w:r>
      <w:r w:rsidR="00427468">
        <w:rPr>
          <w:kern w:val="0"/>
        </w:rPr>
        <w:t xml:space="preserve"> of </w:t>
      </w:r>
      <w:r w:rsidRPr="001A3D2B">
        <w:rPr>
          <w:kern w:val="0"/>
        </w:rPr>
        <w:t>octreotide on post-endoscopic retrograde cholangiopancreatography pancreatitis have been studied in many clinical trials</w:t>
      </w:r>
      <w:r w:rsidR="00A37C1D">
        <w:rPr>
          <w:kern w:val="0"/>
        </w:rPr>
        <w:t>. The</w:t>
      </w:r>
      <w:r w:rsidRPr="001A3D2B">
        <w:rPr>
          <w:kern w:val="0"/>
        </w:rPr>
        <w:t>se trials have yielded inconclusive results. Results</w:t>
      </w:r>
      <w:r w:rsidR="00427468">
        <w:rPr>
          <w:kern w:val="0"/>
        </w:rPr>
        <w:t xml:space="preserve"> of </w:t>
      </w:r>
      <w:r w:rsidRPr="001A3D2B">
        <w:rPr>
          <w:kern w:val="0"/>
        </w:rPr>
        <w:t>more recent studies using larger doses, however, seem to be more optimistic. To examine effects</w:t>
      </w:r>
      <w:r w:rsidR="00427468">
        <w:rPr>
          <w:kern w:val="0"/>
        </w:rPr>
        <w:t xml:space="preserve"> of </w:t>
      </w:r>
      <w:r w:rsidRPr="001A3D2B">
        <w:rPr>
          <w:kern w:val="0"/>
        </w:rPr>
        <w:t>octreotide at different doses on PEP. A comprehensive search</w:t>
      </w:r>
      <w:r w:rsidR="00427468">
        <w:rPr>
          <w:kern w:val="0"/>
        </w:rPr>
        <w:t xml:space="preserve"> of </w:t>
      </w:r>
      <w:r w:rsidRPr="001A3D2B">
        <w:rPr>
          <w:kern w:val="0"/>
        </w:rPr>
        <w:t xml:space="preserve">relevant databases, including </w:t>
      </w:r>
      <w:r w:rsidR="00D5664A">
        <w:rPr>
          <w:kern w:val="0"/>
        </w:rPr>
        <w:t>MEDLINE</w:t>
      </w:r>
      <w:r w:rsidRPr="001A3D2B">
        <w:rPr>
          <w:kern w:val="0"/>
        </w:rPr>
        <w:t>, Embase,</w:t>
      </w:r>
      <w:r w:rsidR="003A1917">
        <w:rPr>
          <w:kern w:val="0"/>
        </w:rPr>
        <w:t xml:space="preserve"> the </w:t>
      </w:r>
      <w:r w:rsidRPr="001A3D2B">
        <w:rPr>
          <w:kern w:val="0"/>
        </w:rPr>
        <w:t>Cochrane Controlled Trials Register,</w:t>
      </w:r>
      <w:r w:rsidR="003A1917">
        <w:rPr>
          <w:kern w:val="0"/>
        </w:rPr>
        <w:t xml:space="preserve"> the </w:t>
      </w:r>
      <w:r w:rsidRPr="001A3D2B">
        <w:rPr>
          <w:kern w:val="0"/>
        </w:rPr>
        <w:t>Cochrane Library</w:t>
      </w:r>
      <w:r w:rsidR="005853A9">
        <w:rPr>
          <w:kern w:val="0"/>
        </w:rPr>
        <w:t xml:space="preserve"> and </w:t>
      </w:r>
      <w:r w:rsidRPr="001A3D2B">
        <w:rPr>
          <w:kern w:val="0"/>
        </w:rPr>
        <w:t>Science Citation Index yielded 18 randomized controlled trials (RCTs). Trials were divided into two groups according to</w:t>
      </w:r>
      <w:r w:rsidR="003A1917">
        <w:rPr>
          <w:kern w:val="0"/>
        </w:rPr>
        <w:t xml:space="preserve"> the </w:t>
      </w:r>
      <w:r w:rsidRPr="001A3D2B">
        <w:rPr>
          <w:kern w:val="0"/>
        </w:rPr>
        <w:t>total dosage</w:t>
      </w:r>
      <w:r w:rsidR="00427468">
        <w:rPr>
          <w:kern w:val="0"/>
        </w:rPr>
        <w:t xml:space="preserve"> of </w:t>
      </w:r>
      <w:r w:rsidRPr="001A3D2B">
        <w:rPr>
          <w:kern w:val="0"/>
        </w:rPr>
        <w:t>octreotide: &lt; 0.5 mg (OCT1), &gt;= 0.5 mg (OCT2)</w:t>
      </w:r>
      <w:r w:rsidR="00A37C1D">
        <w:rPr>
          <w:kern w:val="0"/>
        </w:rPr>
        <w:t>. The</w:t>
      </w:r>
      <w:r w:rsidR="003A1917">
        <w:rPr>
          <w:kern w:val="0"/>
        </w:rPr>
        <w:t xml:space="preserve"> </w:t>
      </w:r>
      <w:r w:rsidRPr="001A3D2B">
        <w:rPr>
          <w:kern w:val="0"/>
        </w:rPr>
        <w:t>rate</w:t>
      </w:r>
      <w:r w:rsidR="00427468">
        <w:rPr>
          <w:kern w:val="0"/>
        </w:rPr>
        <w:t xml:space="preserve"> of </w:t>
      </w:r>
      <w:r w:rsidRPr="001A3D2B">
        <w:rPr>
          <w:kern w:val="0"/>
        </w:rPr>
        <w:t>PEP was analysed using a fixed effect model. At doses</w:t>
      </w:r>
      <w:r w:rsidR="00427468">
        <w:rPr>
          <w:kern w:val="0"/>
        </w:rPr>
        <w:t xml:space="preserve"> of </w:t>
      </w:r>
      <w:r w:rsidRPr="001A3D2B">
        <w:rPr>
          <w:kern w:val="0"/>
        </w:rPr>
        <w:t>&gt;= 0.5 mg, octreotide reduced</w:t>
      </w:r>
      <w:r w:rsidR="003A1917">
        <w:rPr>
          <w:kern w:val="0"/>
        </w:rPr>
        <w:t xml:space="preserve"> the </w:t>
      </w:r>
      <w:r w:rsidRPr="001A3D2B">
        <w:rPr>
          <w:kern w:val="0"/>
        </w:rPr>
        <w:t>rate</w:t>
      </w:r>
      <w:r w:rsidR="00427468">
        <w:rPr>
          <w:kern w:val="0"/>
        </w:rPr>
        <w:t xml:space="preserve"> of </w:t>
      </w:r>
      <w:r w:rsidRPr="001A3D2B">
        <w:rPr>
          <w:kern w:val="0"/>
        </w:rPr>
        <w:t>PEP. In</w:t>
      </w:r>
      <w:r w:rsidR="003A1917">
        <w:rPr>
          <w:kern w:val="0"/>
        </w:rPr>
        <w:t xml:space="preserve"> the </w:t>
      </w:r>
      <w:r w:rsidRPr="001A3D2B">
        <w:rPr>
          <w:kern w:val="0"/>
        </w:rPr>
        <w:t>OCT2 group, analysis revealed a statistically significant difference on PEP between</w:t>
      </w:r>
      <w:r w:rsidR="003A1917">
        <w:rPr>
          <w:kern w:val="0"/>
        </w:rPr>
        <w:t xml:space="preserve"> the </w:t>
      </w:r>
      <w:r w:rsidRPr="001A3D2B">
        <w:rPr>
          <w:kern w:val="0"/>
        </w:rPr>
        <w:t>octreotide group</w:t>
      </w:r>
      <w:r w:rsidR="005853A9">
        <w:rPr>
          <w:kern w:val="0"/>
        </w:rPr>
        <w:t xml:space="preserve"> and </w:t>
      </w:r>
      <w:r w:rsidR="003A1917">
        <w:rPr>
          <w:kern w:val="0"/>
        </w:rPr>
        <w:t xml:space="preserve">the </w:t>
      </w:r>
      <w:r w:rsidRPr="001A3D2B">
        <w:rPr>
          <w:kern w:val="0"/>
        </w:rPr>
        <w:t>controls (3.4% vs. 7.5%, pooled OR = 0.45; 95% CI: 0.28-0.73; P = 0.001, NNT = 25). In</w:t>
      </w:r>
      <w:r w:rsidR="003A1917">
        <w:rPr>
          <w:kern w:val="0"/>
        </w:rPr>
        <w:t xml:space="preserve"> the </w:t>
      </w:r>
      <w:r w:rsidRPr="001A3D2B">
        <w:rPr>
          <w:kern w:val="0"/>
        </w:rPr>
        <w:t>OCT1 group,</w:t>
      </w:r>
      <w:r w:rsidR="003A1917">
        <w:rPr>
          <w:kern w:val="0"/>
        </w:rPr>
        <w:t xml:space="preserve"> the </w:t>
      </w:r>
      <w:r w:rsidRPr="001A3D2B">
        <w:rPr>
          <w:kern w:val="0"/>
        </w:rPr>
        <w:t>rate</w:t>
      </w:r>
      <w:r w:rsidR="00427468">
        <w:rPr>
          <w:kern w:val="0"/>
        </w:rPr>
        <w:t xml:space="preserve"> of </w:t>
      </w:r>
      <w:r w:rsidRPr="001A3D2B">
        <w:rPr>
          <w:kern w:val="0"/>
        </w:rPr>
        <w:t>PEP was similar between patients receiving octreotide</w:t>
      </w:r>
      <w:r w:rsidR="005853A9">
        <w:rPr>
          <w:kern w:val="0"/>
        </w:rPr>
        <w:t xml:space="preserve"> and </w:t>
      </w:r>
      <w:r w:rsidR="003A1917">
        <w:rPr>
          <w:kern w:val="0"/>
        </w:rPr>
        <w:t xml:space="preserve">the </w:t>
      </w:r>
      <w:r w:rsidRPr="001A3D2B">
        <w:rPr>
          <w:kern w:val="0"/>
        </w:rPr>
        <w:t>controls (7.2% vs. 6.0%, pooled OR = 1.23; 95% CI: 0.80-1.91; P = 0.35). Octreotide is effective in preventing PEP, but only at sufficient doses (&gt;= 0.5 mg).</w:t>
      </w:r>
    </w:p>
    <w:p w:rsidR="004F7A0B" w:rsidRPr="001A3D2B" w:rsidRDefault="004F7A0B" w:rsidP="004F7A0B">
      <w:pPr>
        <w:pStyle w:val="a3"/>
        <w:rPr>
          <w:kern w:val="0"/>
        </w:rPr>
      </w:pPr>
      <w:r w:rsidRPr="001A3D2B">
        <w:rPr>
          <w:kern w:val="0"/>
        </w:rPr>
        <w:t>Keywords: Allopurinol, Clinical-Trials, Endoscopic Retrograde Cholangiopancreatography, Hyperamylasemia, Multicenter, Placebo, Prophylactic Octreotide, Randomized Controlled Trial, Risk, Somatostatin Analog Octreotide</w:t>
      </w:r>
    </w:p>
    <w:p w:rsidR="00AE4281" w:rsidRDefault="00AE4281" w:rsidP="00AE4281">
      <w:pPr>
        <w:pStyle w:val="a3"/>
        <w:rPr>
          <w:kern w:val="0"/>
        </w:rPr>
      </w:pPr>
      <w:r>
        <w:rPr>
          <w:rFonts w:hint="eastAsia"/>
          <w:kern w:val="0"/>
        </w:rPr>
        <w:t xml:space="preserve">? </w:t>
      </w:r>
      <w:r>
        <w:rPr>
          <w:kern w:val="0"/>
        </w:rPr>
        <w:t>Cohen, R.D., Yu, A.P., Wu, E.Q., Xie, J., Mulani, P.M.</w:t>
      </w:r>
      <w:r w:rsidR="005853A9">
        <w:rPr>
          <w:kern w:val="0"/>
        </w:rPr>
        <w:t xml:space="preserve"> and </w:t>
      </w:r>
      <w:r>
        <w:rPr>
          <w:kern w:val="0"/>
        </w:rPr>
        <w:t>Chao, J. (2010), Systematic review:</w:t>
      </w:r>
      <w:r w:rsidR="003A1917">
        <w:rPr>
          <w:kern w:val="0"/>
        </w:rPr>
        <w:t xml:space="preserve"> the </w:t>
      </w:r>
      <w:r>
        <w:rPr>
          <w:kern w:val="0"/>
        </w:rPr>
        <w:t>costs</w:t>
      </w:r>
      <w:r w:rsidR="00427468">
        <w:rPr>
          <w:kern w:val="0"/>
        </w:rPr>
        <w:t xml:space="preserve"> of </w:t>
      </w:r>
      <w:r>
        <w:rPr>
          <w:kern w:val="0"/>
        </w:rPr>
        <w:t xml:space="preserve">ulcerative colitis in Western countries. </w:t>
      </w:r>
      <w:r>
        <w:rPr>
          <w:i/>
          <w:iCs/>
          <w:kern w:val="0"/>
        </w:rPr>
        <w:t>Alimentary Pharmacology &amp; Therapeutics</w:t>
      </w:r>
      <w:r>
        <w:rPr>
          <w:kern w:val="0"/>
        </w:rPr>
        <w:t xml:space="preserve">, </w:t>
      </w:r>
      <w:r>
        <w:rPr>
          <w:b/>
          <w:bCs/>
          <w:kern w:val="0"/>
        </w:rPr>
        <w:t>31</w:t>
      </w:r>
      <w:r>
        <w:rPr>
          <w:kern w:val="0"/>
        </w:rPr>
        <w:t xml:space="preserve"> (7), 693-707.</w:t>
      </w:r>
    </w:p>
    <w:p w:rsidR="00AE4281" w:rsidRPr="00F219CA" w:rsidRDefault="00AE4281" w:rsidP="00AE4281">
      <w:pPr>
        <w:pStyle w:val="a3"/>
        <w:rPr>
          <w:kern w:val="0"/>
        </w:rPr>
      </w:pPr>
      <w:r w:rsidRPr="00F219CA">
        <w:rPr>
          <w:kern w:val="0"/>
        </w:rPr>
        <w:t xml:space="preserve">Full Text: </w:t>
      </w:r>
      <w:hyperlink r:id="rId363" w:history="1">
        <w:r w:rsidRPr="007B55A1">
          <w:rPr>
            <w:rStyle w:val="a5"/>
            <w:kern w:val="0"/>
          </w:rPr>
          <w:t>2010\Ali Pha The31, 693.pdf</w:t>
        </w:r>
      </w:hyperlink>
    </w:p>
    <w:p w:rsidR="00AE4281" w:rsidRDefault="00AE4281" w:rsidP="00AE4281">
      <w:pPr>
        <w:pStyle w:val="a3"/>
        <w:rPr>
          <w:kern w:val="0"/>
        </w:rPr>
      </w:pPr>
      <w:r>
        <w:rPr>
          <w:kern w:val="0"/>
        </w:rPr>
        <w:t>Abstract: P&gt;Background Early onset</w:t>
      </w:r>
      <w:r w:rsidR="005853A9">
        <w:rPr>
          <w:kern w:val="0"/>
        </w:rPr>
        <w:t xml:space="preserve"> and </w:t>
      </w:r>
      <w:r>
        <w:rPr>
          <w:kern w:val="0"/>
        </w:rPr>
        <w:t>complications such as hospitalization</w:t>
      </w:r>
      <w:r w:rsidR="005853A9">
        <w:rPr>
          <w:kern w:val="0"/>
        </w:rPr>
        <w:t xml:space="preserve"> and </w:t>
      </w:r>
      <w:r>
        <w:rPr>
          <w:kern w:val="0"/>
        </w:rPr>
        <w:t>surgery contribute to</w:t>
      </w:r>
      <w:r w:rsidR="003A1917">
        <w:rPr>
          <w:kern w:val="0"/>
        </w:rPr>
        <w:t xml:space="preserve"> the </w:t>
      </w:r>
      <w:r>
        <w:rPr>
          <w:kern w:val="0"/>
        </w:rPr>
        <w:t>economic burden</w:t>
      </w:r>
      <w:r w:rsidR="00427468">
        <w:rPr>
          <w:kern w:val="0"/>
        </w:rPr>
        <w:t xml:space="preserve"> of </w:t>
      </w:r>
      <w:r>
        <w:rPr>
          <w:kern w:val="0"/>
        </w:rPr>
        <w:t>ulcerative colitis. Aim To review systematically</w:t>
      </w:r>
      <w:r w:rsidR="003A1917">
        <w:rPr>
          <w:kern w:val="0"/>
        </w:rPr>
        <w:t xml:space="preserve"> the </w:t>
      </w:r>
      <w:r>
        <w:rPr>
          <w:kern w:val="0"/>
        </w:rPr>
        <w:t>literature on costs</w:t>
      </w:r>
      <w:r w:rsidR="00427468">
        <w:rPr>
          <w:kern w:val="0"/>
        </w:rPr>
        <w:t xml:space="preserve"> of </w:t>
      </w:r>
      <w:r>
        <w:rPr>
          <w:kern w:val="0"/>
        </w:rPr>
        <w:t>ulcerative colitis in Western countries. Methods Studies estimating costs</w:t>
      </w:r>
      <w:r w:rsidR="00427468">
        <w:rPr>
          <w:kern w:val="0"/>
        </w:rPr>
        <w:t xml:space="preserve"> of </w:t>
      </w:r>
      <w:r>
        <w:rPr>
          <w:kern w:val="0"/>
        </w:rPr>
        <w:t xml:space="preserve">ulcerative colitis in Western countries were identified using </w:t>
      </w:r>
      <w:r w:rsidR="00D5664A">
        <w:rPr>
          <w:kern w:val="0"/>
        </w:rPr>
        <w:t>MEDLINE</w:t>
      </w:r>
      <w:r>
        <w:rPr>
          <w:kern w:val="0"/>
        </w:rPr>
        <w:t>, EMBASE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were rated based on relevance</w:t>
      </w:r>
      <w:r w:rsidR="005853A9">
        <w:rPr>
          <w:kern w:val="0"/>
        </w:rPr>
        <w:t xml:space="preserve"> and </w:t>
      </w:r>
      <w:r>
        <w:rPr>
          <w:kern w:val="0"/>
        </w:rPr>
        <w:t>reliability</w:t>
      </w:r>
      <w:r w:rsidR="00427468">
        <w:rPr>
          <w:kern w:val="0"/>
        </w:rPr>
        <w:t xml:space="preserve"> of </w:t>
      </w:r>
      <w:r>
        <w:rPr>
          <w:kern w:val="0"/>
        </w:rPr>
        <w:t>estimates. All costs were adjusted to 2008 currency values. A parallel review focused on</w:t>
      </w:r>
      <w:r w:rsidR="003A1917">
        <w:rPr>
          <w:kern w:val="0"/>
        </w:rPr>
        <w:t xml:space="preserve"> the </w:t>
      </w:r>
      <w:r>
        <w:rPr>
          <w:kern w:val="0"/>
        </w:rPr>
        <w:t>impact</w:t>
      </w:r>
      <w:r w:rsidR="00427468">
        <w:rPr>
          <w:kern w:val="0"/>
        </w:rPr>
        <w:t xml:space="preserve"> of </w:t>
      </w:r>
      <w:r>
        <w:rPr>
          <w:kern w:val="0"/>
        </w:rPr>
        <w:t>disease severity on costs, hospitalizations</w:t>
      </w:r>
      <w:r w:rsidR="005853A9">
        <w:rPr>
          <w:kern w:val="0"/>
        </w:rPr>
        <w:t xml:space="preserve"> and </w:t>
      </w:r>
      <w:r>
        <w:rPr>
          <w:kern w:val="0"/>
        </w:rPr>
        <w:t>surgeries. Results Estimated annual per-patient direct medical costs</w:t>
      </w:r>
      <w:r w:rsidR="00427468">
        <w:rPr>
          <w:kern w:val="0"/>
        </w:rPr>
        <w:t xml:space="preserve"> of </w:t>
      </w:r>
      <w:r>
        <w:rPr>
          <w:kern w:val="0"/>
        </w:rPr>
        <w:t>ulcerative colitis ranged from $6217 to $11 477 in</w:t>
      </w:r>
      <w:r w:rsidR="003A1917">
        <w:rPr>
          <w:kern w:val="0"/>
        </w:rPr>
        <w:t xml:space="preserve"> the </w:t>
      </w:r>
      <w:r>
        <w:rPr>
          <w:kern w:val="0"/>
        </w:rPr>
        <w:t>United States</w:t>
      </w:r>
      <w:r w:rsidR="005853A9">
        <w:rPr>
          <w:kern w:val="0"/>
        </w:rPr>
        <w:t xml:space="preserve"> and </w:t>
      </w:r>
      <w:r>
        <w:rPr>
          <w:kern w:val="0"/>
        </w:rPr>
        <w:t>from euro8949 to euro10 395 in Europe. Hospitalizations accounted for 41-55%</w:t>
      </w:r>
      <w:r w:rsidR="00427468">
        <w:rPr>
          <w:kern w:val="0"/>
        </w:rPr>
        <w:t xml:space="preserve"> of </w:t>
      </w:r>
      <w:r>
        <w:rPr>
          <w:kern w:val="0"/>
        </w:rPr>
        <w:t>direct medical costs. Indirect costs accounted for approximately one-third</w:t>
      </w:r>
      <w:r w:rsidR="00427468">
        <w:rPr>
          <w:kern w:val="0"/>
        </w:rPr>
        <w:t xml:space="preserve"> of </w:t>
      </w:r>
      <w:r>
        <w:rPr>
          <w:kern w:val="0"/>
        </w:rPr>
        <w:t xml:space="preserve">total </w:t>
      </w:r>
      <w:r>
        <w:rPr>
          <w:kern w:val="0"/>
        </w:rPr>
        <w:lastRenderedPageBreak/>
        <w:t>costs in</w:t>
      </w:r>
      <w:r w:rsidR="003A1917">
        <w:rPr>
          <w:kern w:val="0"/>
        </w:rPr>
        <w:t xml:space="preserve"> the </w:t>
      </w:r>
      <w:r>
        <w:rPr>
          <w:kern w:val="0"/>
        </w:rPr>
        <w:t>United States</w:t>
      </w:r>
      <w:r w:rsidR="005853A9">
        <w:rPr>
          <w:kern w:val="0"/>
        </w:rPr>
        <w:t xml:space="preserve"> and </w:t>
      </w:r>
      <w:r>
        <w:rPr>
          <w:kern w:val="0"/>
        </w:rPr>
        <w:t>54-68% in Europe. Total economic burden</w:t>
      </w:r>
      <w:r w:rsidR="00427468">
        <w:rPr>
          <w:kern w:val="0"/>
        </w:rPr>
        <w:t xml:space="preserve"> of </w:t>
      </w:r>
      <w:r>
        <w:rPr>
          <w:kern w:val="0"/>
        </w:rPr>
        <w:t>ulcerative colitis was estimated at $8.1-14.9 billion annually in</w:t>
      </w:r>
      <w:r w:rsidR="003A1917">
        <w:rPr>
          <w:kern w:val="0"/>
        </w:rPr>
        <w:t xml:space="preserve"> the </w:t>
      </w:r>
      <w:r>
        <w:rPr>
          <w:kern w:val="0"/>
        </w:rPr>
        <w:t>United States</w:t>
      </w:r>
      <w:r w:rsidR="005853A9">
        <w:rPr>
          <w:kern w:val="0"/>
        </w:rPr>
        <w:t xml:space="preserve"> and </w:t>
      </w:r>
      <w:r>
        <w:rPr>
          <w:kern w:val="0"/>
        </w:rPr>
        <w:t>at euro12.5-29.1 billion in Europe; total direct costs were $3.4-8.6 billion in</w:t>
      </w:r>
      <w:r w:rsidR="003A1917">
        <w:rPr>
          <w:kern w:val="0"/>
        </w:rPr>
        <w:t xml:space="preserve"> the </w:t>
      </w:r>
      <w:r>
        <w:rPr>
          <w:kern w:val="0"/>
        </w:rPr>
        <w:t>United States</w:t>
      </w:r>
      <w:r w:rsidR="005853A9">
        <w:rPr>
          <w:kern w:val="0"/>
        </w:rPr>
        <w:t xml:space="preserve"> and </w:t>
      </w:r>
      <w:r>
        <w:rPr>
          <w:kern w:val="0"/>
        </w:rPr>
        <w:t>euro5.4-12.6 billion in Europe. Direct costs, hospitalizations</w:t>
      </w:r>
      <w:r w:rsidR="005853A9">
        <w:rPr>
          <w:kern w:val="0"/>
        </w:rPr>
        <w:t xml:space="preserve"> and </w:t>
      </w:r>
      <w:r>
        <w:rPr>
          <w:kern w:val="0"/>
        </w:rPr>
        <w:t>surgeries increased with worsening disease severity. Conclusions Ulcerative colitis is a costly disease. Hospitalizations contribute significantly to direct medical costs,</w:t>
      </w:r>
      <w:r w:rsidR="005853A9">
        <w:rPr>
          <w:kern w:val="0"/>
        </w:rPr>
        <w:t xml:space="preserve"> and </w:t>
      </w:r>
      <w:r>
        <w:rPr>
          <w:kern w:val="0"/>
        </w:rPr>
        <w:t>indirect costs are considerable, having previously been substantially underestimated.</w:t>
      </w:r>
    </w:p>
    <w:p w:rsidR="00AE4281" w:rsidRDefault="00AE4281" w:rsidP="00AE4281">
      <w:pPr>
        <w:pStyle w:val="a3"/>
        <w:rPr>
          <w:kern w:val="0"/>
        </w:rPr>
      </w:pPr>
      <w:r>
        <w:rPr>
          <w:kern w:val="0"/>
        </w:rPr>
        <w:t>Keywords: Burden, Costs, Crohns-Disease, Direct Medical Costs, Disease, Economic Burden, EMBASE, Europe, Follow</w:t>
      </w:r>
      <w:r w:rsidR="0062028A">
        <w:rPr>
          <w:kern w:val="0"/>
        </w:rPr>
        <w:t>-up,</w:t>
      </w:r>
      <w:r>
        <w:rPr>
          <w:kern w:val="0"/>
        </w:rPr>
        <w:t xml:space="preserve"> Health-Care Costs, Hospitalization, Hospitalizations, Impact, Inflammatory-Bowel-Disease</w:t>
      </w:r>
      <w:r w:rsidR="00D5664A">
        <w:rPr>
          <w:kern w:val="0"/>
        </w:rPr>
        <w:t>, ISI,</w:t>
      </w:r>
      <w:r>
        <w:rPr>
          <w:kern w:val="0"/>
        </w:rPr>
        <w:t xml:space="preserve"> Literature, Medical, Medical Therapy, Methods, Pouch-Anal Anastomosis, Prevalence, Reliability, Resource Utilization, Review, Science, Surgery, Systematic, Systematic Review, Total Colectomy, Ulcerative Colitis, United-States, </w:t>
      </w:r>
      <w:r w:rsidR="00D5664A">
        <w:rPr>
          <w:kern w:val="0"/>
        </w:rPr>
        <w:t>Web</w:t>
      </w:r>
      <w:r w:rsidR="00427468">
        <w:rPr>
          <w:kern w:val="0"/>
        </w:rPr>
        <w:t xml:space="preserve"> of </w:t>
      </w:r>
      <w:r w:rsidR="00D5664A">
        <w:rPr>
          <w:kern w:val="0"/>
        </w:rPr>
        <w:t>Science</w:t>
      </w:r>
    </w:p>
    <w:p w:rsidR="00261F36" w:rsidRDefault="00261F36" w:rsidP="00261F36">
      <w:pPr>
        <w:pStyle w:val="a3"/>
        <w:rPr>
          <w:kern w:val="0"/>
        </w:rPr>
      </w:pPr>
      <w:r>
        <w:rPr>
          <w:rFonts w:hint="eastAsia"/>
          <w:kern w:val="0"/>
        </w:rPr>
        <w:t xml:space="preserve">? </w:t>
      </w:r>
      <w:r>
        <w:rPr>
          <w:kern w:val="0"/>
        </w:rPr>
        <w:t>Bai, Y., Guo, J.F.</w:t>
      </w:r>
      <w:r w:rsidR="005853A9">
        <w:rPr>
          <w:kern w:val="0"/>
        </w:rPr>
        <w:t xml:space="preserve"> and </w:t>
      </w:r>
      <w:r>
        <w:rPr>
          <w:kern w:val="0"/>
        </w:rPr>
        <w:t xml:space="preserve">Li, Z.S. (2011), Meta-analysis: Erythromycin before endoscopy for acute upper gastrointestinal bleeding. </w:t>
      </w:r>
      <w:r>
        <w:rPr>
          <w:i/>
          <w:iCs/>
          <w:kern w:val="0"/>
        </w:rPr>
        <w:t>Alimentary Pharmacology &amp; Therapeutics</w:t>
      </w:r>
      <w:r>
        <w:rPr>
          <w:kern w:val="0"/>
        </w:rPr>
        <w:t xml:space="preserve">, </w:t>
      </w:r>
      <w:r>
        <w:rPr>
          <w:b/>
          <w:bCs/>
          <w:kern w:val="0"/>
        </w:rPr>
        <w:t>34</w:t>
      </w:r>
      <w:r>
        <w:rPr>
          <w:kern w:val="0"/>
        </w:rPr>
        <w:t xml:space="preserve"> (2), 166-171.</w:t>
      </w:r>
    </w:p>
    <w:p w:rsidR="00261F36" w:rsidRPr="001A3D2B" w:rsidRDefault="00261F36" w:rsidP="00261F36">
      <w:pPr>
        <w:pStyle w:val="a3"/>
        <w:rPr>
          <w:kern w:val="0"/>
        </w:rPr>
      </w:pPr>
      <w:r w:rsidRPr="001A3D2B">
        <w:rPr>
          <w:kern w:val="0"/>
        </w:rPr>
        <w:t xml:space="preserve">Full Text: </w:t>
      </w:r>
      <w:hyperlink r:id="rId364" w:history="1">
        <w:r w:rsidRPr="00DA4FA6">
          <w:rPr>
            <w:rStyle w:val="a5"/>
            <w:kern w:val="0"/>
          </w:rPr>
          <w:t>2011\Ali Pha The34, 166.pdf</w:t>
        </w:r>
      </w:hyperlink>
    </w:p>
    <w:p w:rsidR="00261F36" w:rsidRDefault="00261F36" w:rsidP="00261F36">
      <w:pPr>
        <w:pStyle w:val="a3"/>
        <w:rPr>
          <w:kern w:val="0"/>
        </w:rPr>
      </w:pPr>
      <w:r>
        <w:rPr>
          <w:kern w:val="0"/>
        </w:rPr>
        <w:t>Abstract: Background Studies evaluating</w:t>
      </w:r>
      <w:r w:rsidR="003A1917">
        <w:rPr>
          <w:kern w:val="0"/>
        </w:rPr>
        <w:t xml:space="preserve"> the </w:t>
      </w:r>
      <w:r>
        <w:rPr>
          <w:kern w:val="0"/>
        </w:rPr>
        <w:t>effect</w:t>
      </w:r>
      <w:r w:rsidR="00427468">
        <w:rPr>
          <w:kern w:val="0"/>
        </w:rPr>
        <w:t xml:space="preserve"> of </w:t>
      </w:r>
      <w:r>
        <w:rPr>
          <w:kern w:val="0"/>
        </w:rPr>
        <w:t>erythromycin on patients with acute upper gastrointestinal bleeding (UGIB) had been reported, but</w:t>
      </w:r>
      <w:r w:rsidR="003A1917">
        <w:rPr>
          <w:kern w:val="0"/>
        </w:rPr>
        <w:t xml:space="preserve"> the </w:t>
      </w:r>
      <w:r>
        <w:rPr>
          <w:kern w:val="0"/>
        </w:rPr>
        <w:t xml:space="preserve">results were inconclusive. Aims To compare erythromycin with control in patients with acute UGIB by performing a meta-analysis. Methods Electronic databases including </w:t>
      </w:r>
      <w:r w:rsidR="002C12F0">
        <w:rPr>
          <w:kern w:val="0"/>
        </w:rPr>
        <w:t>PUBMED</w:t>
      </w:r>
      <w:r>
        <w:rPr>
          <w:kern w:val="0"/>
        </w:rPr>
        <w:t>, EMBASE</w:t>
      </w:r>
      <w:r w:rsidR="005853A9">
        <w:rPr>
          <w:kern w:val="0"/>
        </w:rPr>
        <w:t xml:space="preserve"> and </w:t>
      </w:r>
      <w:r w:rsidR="003A1917">
        <w:rPr>
          <w:kern w:val="0"/>
        </w:rPr>
        <w:t xml:space="preserve">the </w:t>
      </w:r>
      <w:r>
        <w:rPr>
          <w:kern w:val="0"/>
        </w:rPr>
        <w:t>Cochrane Library, Science Citation Index, were searched to find relevant randomised controlled trials (RCTs). Two reviewers independently identified relevant trials evaluating</w:t>
      </w:r>
      <w:r w:rsidR="003A1917">
        <w:rPr>
          <w:kern w:val="0"/>
        </w:rPr>
        <w:t xml:space="preserve"> the </w:t>
      </w:r>
      <w:r>
        <w:rPr>
          <w:kern w:val="0"/>
        </w:rPr>
        <w:t>effect</w:t>
      </w:r>
      <w:r w:rsidR="00427468">
        <w:rPr>
          <w:kern w:val="0"/>
        </w:rPr>
        <w:t xml:space="preserve"> of </w:t>
      </w:r>
      <w:r>
        <w:rPr>
          <w:kern w:val="0"/>
        </w:rPr>
        <w:t>erythromycin on patients with acute UGIB. Outcome measures were</w:t>
      </w:r>
      <w:r w:rsidR="003A1917">
        <w:rPr>
          <w:kern w:val="0"/>
        </w:rPr>
        <w:t xml:space="preserve"> the </w:t>
      </w:r>
      <w:r>
        <w:rPr>
          <w:kern w:val="0"/>
        </w:rPr>
        <w:t>incidence</w:t>
      </w:r>
      <w:r w:rsidR="00427468">
        <w:rPr>
          <w:kern w:val="0"/>
        </w:rPr>
        <w:t xml:space="preserve"> of </w:t>
      </w:r>
      <w:r>
        <w:rPr>
          <w:kern w:val="0"/>
        </w:rPr>
        <w:t>empty stomach, need for second endoscopy, blood transfusion, length</w:t>
      </w:r>
      <w:r w:rsidR="00427468">
        <w:rPr>
          <w:kern w:val="0"/>
        </w:rPr>
        <w:t xml:space="preserve"> of </w:t>
      </w:r>
      <w:r>
        <w:rPr>
          <w:kern w:val="0"/>
        </w:rPr>
        <w:t>hospital stay, endoscopic procedure time</w:t>
      </w:r>
      <w:r w:rsidR="005853A9">
        <w:rPr>
          <w:kern w:val="0"/>
        </w:rPr>
        <w:t xml:space="preserve"> and </w:t>
      </w:r>
      <w:r>
        <w:rPr>
          <w:kern w:val="0"/>
        </w:rPr>
        <w:t>mortality. Results Four RCTs including 335 patients were identified. Meta-analysis demonstrated</w:t>
      </w:r>
      <w:r w:rsidR="003A1917">
        <w:rPr>
          <w:kern w:val="0"/>
        </w:rPr>
        <w:t xml:space="preserve"> the </w:t>
      </w:r>
      <w:r>
        <w:rPr>
          <w:kern w:val="0"/>
        </w:rPr>
        <w:t>incidence</w:t>
      </w:r>
      <w:r w:rsidR="00427468">
        <w:rPr>
          <w:kern w:val="0"/>
        </w:rPr>
        <w:t xml:space="preserve"> of </w:t>
      </w:r>
      <w:r>
        <w:rPr>
          <w:kern w:val="0"/>
        </w:rPr>
        <w:t>empty stomach was significantly increased in patients receiving erythromycin (active group 69%, control group 37%, P &lt; 0.00001)</w:t>
      </w:r>
      <w:r w:rsidR="00A37C1D">
        <w:rPr>
          <w:kern w:val="0"/>
        </w:rPr>
        <w:t>. The</w:t>
      </w:r>
      <w:r w:rsidR="003A1917">
        <w:rPr>
          <w:kern w:val="0"/>
        </w:rPr>
        <w:t xml:space="preserve"> </w:t>
      </w:r>
      <w:r>
        <w:rPr>
          <w:kern w:val="0"/>
        </w:rPr>
        <w:t>need for second endoscopy, amount</w:t>
      </w:r>
      <w:r w:rsidR="00427468">
        <w:rPr>
          <w:kern w:val="0"/>
        </w:rPr>
        <w:t xml:space="preserve"> of </w:t>
      </w:r>
      <w:r>
        <w:rPr>
          <w:kern w:val="0"/>
        </w:rPr>
        <w:t>blood transfusion</w:t>
      </w:r>
      <w:r w:rsidR="005853A9">
        <w:rPr>
          <w:kern w:val="0"/>
        </w:rPr>
        <w:t xml:space="preserve"> and </w:t>
      </w:r>
      <w:r w:rsidR="003A1917">
        <w:rPr>
          <w:kern w:val="0"/>
        </w:rPr>
        <w:t xml:space="preserve">the </w:t>
      </w:r>
      <w:r>
        <w:rPr>
          <w:kern w:val="0"/>
        </w:rPr>
        <w:t>length</w:t>
      </w:r>
      <w:r w:rsidR="00427468">
        <w:rPr>
          <w:kern w:val="0"/>
        </w:rPr>
        <w:t xml:space="preserve"> of </w:t>
      </w:r>
      <w:r>
        <w:rPr>
          <w:kern w:val="0"/>
        </w:rPr>
        <w:t>hospital stay were also significantly reduced (all P &lt; 0.05). A trend for shorter endoscopic procedure time</w:t>
      </w:r>
      <w:r w:rsidR="005853A9">
        <w:rPr>
          <w:kern w:val="0"/>
        </w:rPr>
        <w:t xml:space="preserve"> and </w:t>
      </w:r>
      <w:r>
        <w:rPr>
          <w:kern w:val="0"/>
        </w:rPr>
        <w:t>decreased mortality rate was observed. Conclusions Prophylactic erythromycin is useful for patients with upper gastrointestinal bleeding to decrease</w:t>
      </w:r>
      <w:r w:rsidR="003A1917">
        <w:rPr>
          <w:kern w:val="0"/>
        </w:rPr>
        <w:t xml:space="preserve"> the </w:t>
      </w:r>
      <w:r>
        <w:rPr>
          <w:kern w:val="0"/>
        </w:rPr>
        <w:t>amount</w:t>
      </w:r>
      <w:r w:rsidR="00427468">
        <w:rPr>
          <w:kern w:val="0"/>
        </w:rPr>
        <w:t xml:space="preserve"> of </w:t>
      </w:r>
      <w:r>
        <w:rPr>
          <w:kern w:val="0"/>
        </w:rPr>
        <w:t>blood in</w:t>
      </w:r>
      <w:r w:rsidR="003A1917">
        <w:rPr>
          <w:kern w:val="0"/>
        </w:rPr>
        <w:t xml:space="preserve"> the </w:t>
      </w:r>
      <w:r>
        <w:rPr>
          <w:kern w:val="0"/>
        </w:rPr>
        <w:t>stomach</w:t>
      </w:r>
      <w:r w:rsidR="005853A9">
        <w:rPr>
          <w:kern w:val="0"/>
        </w:rPr>
        <w:t xml:space="preserve"> and </w:t>
      </w:r>
      <w:r>
        <w:rPr>
          <w:kern w:val="0"/>
        </w:rPr>
        <w:t>reduce</w:t>
      </w:r>
      <w:r w:rsidR="003A1917">
        <w:rPr>
          <w:kern w:val="0"/>
        </w:rPr>
        <w:t xml:space="preserve"> the </w:t>
      </w:r>
      <w:r>
        <w:rPr>
          <w:kern w:val="0"/>
        </w:rPr>
        <w:t>need for second endoscopy, amount</w:t>
      </w:r>
      <w:r w:rsidR="00427468">
        <w:rPr>
          <w:kern w:val="0"/>
        </w:rPr>
        <w:t xml:space="preserve"> of </w:t>
      </w:r>
      <w:r>
        <w:rPr>
          <w:kern w:val="0"/>
        </w:rPr>
        <w:t>blood transfusion. It may shorten</w:t>
      </w:r>
      <w:r w:rsidR="003A1917">
        <w:rPr>
          <w:kern w:val="0"/>
        </w:rPr>
        <w:t xml:space="preserve"> the </w:t>
      </w:r>
      <w:r>
        <w:rPr>
          <w:kern w:val="0"/>
        </w:rPr>
        <w:t>length</w:t>
      </w:r>
      <w:r w:rsidR="00427468">
        <w:rPr>
          <w:kern w:val="0"/>
        </w:rPr>
        <w:t xml:space="preserve"> of </w:t>
      </w:r>
      <w:r>
        <w:rPr>
          <w:kern w:val="0"/>
        </w:rPr>
        <w:t>hospital stay, but its effects on mortality need further larger trials to be confirmed.</w:t>
      </w:r>
    </w:p>
    <w:p w:rsidR="00261F36" w:rsidRDefault="00261F36" w:rsidP="00261F36">
      <w:pPr>
        <w:pStyle w:val="a3"/>
        <w:rPr>
          <w:kern w:val="0"/>
        </w:rPr>
      </w:pPr>
      <w:r>
        <w:rPr>
          <w:kern w:val="0"/>
        </w:rPr>
        <w:t xml:space="preserve">Keywords: Bias, Citation, Databases, Double-Blind Trial, Embase, Hemorrhage, Improves, Infusion, Management, Meta-Analysis, </w:t>
      </w:r>
      <w:r w:rsidR="002C12F0">
        <w:rPr>
          <w:kern w:val="0"/>
        </w:rPr>
        <w:t>PUBMED</w:t>
      </w:r>
      <w:r>
        <w:rPr>
          <w:kern w:val="0"/>
        </w:rPr>
        <w:t xml:space="preserve">, Quality, Science </w:t>
      </w:r>
      <w:r>
        <w:rPr>
          <w:kern w:val="0"/>
        </w:rPr>
        <w:lastRenderedPageBreak/>
        <w:t>Citation Index, Trend</w:t>
      </w:r>
    </w:p>
    <w:p w:rsidR="00C74E78" w:rsidRDefault="00C74E78" w:rsidP="00C74E78">
      <w:pPr>
        <w:pStyle w:val="a3"/>
        <w:rPr>
          <w:kern w:val="0"/>
        </w:rPr>
      </w:pPr>
      <w:r>
        <w:rPr>
          <w:rFonts w:hint="eastAsia"/>
          <w:kern w:val="0"/>
        </w:rPr>
        <w:t xml:space="preserve">? </w:t>
      </w:r>
      <w:r>
        <w:rPr>
          <w:kern w:val="0"/>
        </w:rPr>
        <w:t>Chavez-Tapia, N.C., Barrientos-Gutierrez, T., Tellez-Avila, F., Soares-Weiser, K., Mendez-Sanchez, N., Gluud, C.</w:t>
      </w:r>
      <w:r w:rsidR="005853A9">
        <w:rPr>
          <w:kern w:val="0"/>
        </w:rPr>
        <w:t xml:space="preserve"> and </w:t>
      </w:r>
      <w:r>
        <w:rPr>
          <w:kern w:val="0"/>
        </w:rPr>
        <w:t xml:space="preserve">Uribe, M. (2011), Meta-analysis: Antibiotic prophylaxis for cirrhotic patients with upper gastrointestinal bleeding - an updated Cochrane review. </w:t>
      </w:r>
      <w:r>
        <w:rPr>
          <w:i/>
          <w:iCs/>
          <w:kern w:val="0"/>
        </w:rPr>
        <w:t>Alimentary Pharmacology &amp; Therapeutics</w:t>
      </w:r>
      <w:r>
        <w:rPr>
          <w:kern w:val="0"/>
        </w:rPr>
        <w:t xml:space="preserve">, </w:t>
      </w:r>
      <w:r>
        <w:rPr>
          <w:b/>
          <w:bCs/>
          <w:kern w:val="0"/>
        </w:rPr>
        <w:t>34</w:t>
      </w:r>
      <w:r>
        <w:rPr>
          <w:kern w:val="0"/>
        </w:rPr>
        <w:t xml:space="preserve"> (5), 509-518.</w:t>
      </w:r>
    </w:p>
    <w:p w:rsidR="00C74E78" w:rsidRPr="001A3D2B" w:rsidRDefault="00C74E78" w:rsidP="00C74E78">
      <w:pPr>
        <w:pStyle w:val="a3"/>
        <w:rPr>
          <w:kern w:val="0"/>
        </w:rPr>
      </w:pPr>
      <w:r w:rsidRPr="001A3D2B">
        <w:rPr>
          <w:kern w:val="0"/>
        </w:rPr>
        <w:t xml:space="preserve">Full Text: </w:t>
      </w:r>
      <w:hyperlink r:id="rId365" w:history="1">
        <w:r w:rsidRPr="00C74E78">
          <w:rPr>
            <w:rStyle w:val="a5"/>
            <w:kern w:val="0"/>
          </w:rPr>
          <w:t>2011\Ali Pha The34, 509.pdf</w:t>
        </w:r>
      </w:hyperlink>
    </w:p>
    <w:p w:rsidR="00C74E78" w:rsidRDefault="00C74E78" w:rsidP="00C74E78">
      <w:pPr>
        <w:pStyle w:val="a3"/>
        <w:rPr>
          <w:kern w:val="0"/>
        </w:rPr>
      </w:pPr>
      <w:r>
        <w:rPr>
          <w:kern w:val="0"/>
        </w:rPr>
        <w:t>Abstract: Background Antibiotic prophylaxis seems to decrease</w:t>
      </w:r>
      <w:r w:rsidR="003A1917">
        <w:rPr>
          <w:kern w:val="0"/>
        </w:rPr>
        <w:t xml:space="preserve"> the </w:t>
      </w:r>
      <w:r>
        <w:rPr>
          <w:kern w:val="0"/>
        </w:rPr>
        <w:t>incidence</w:t>
      </w:r>
      <w:r w:rsidR="00427468">
        <w:rPr>
          <w:kern w:val="0"/>
        </w:rPr>
        <w:t xml:space="preserve"> of </w:t>
      </w:r>
      <w:r>
        <w:rPr>
          <w:kern w:val="0"/>
        </w:rPr>
        <w:t>bacterial infections in patients with cirrhosis</w:t>
      </w:r>
      <w:r w:rsidR="005853A9">
        <w:rPr>
          <w:kern w:val="0"/>
        </w:rPr>
        <w:t xml:space="preserve"> and </w:t>
      </w:r>
      <w:r>
        <w:rPr>
          <w:kern w:val="0"/>
        </w:rPr>
        <w:t>upper gastrointestinal bleeding</w:t>
      </w:r>
      <w:r w:rsidR="005853A9">
        <w:rPr>
          <w:kern w:val="0"/>
        </w:rPr>
        <w:t xml:space="preserve"> and </w:t>
      </w:r>
      <w:r>
        <w:rPr>
          <w:kern w:val="0"/>
        </w:rPr>
        <w:t>is considered standard</w:t>
      </w:r>
      <w:r w:rsidR="00427468">
        <w:rPr>
          <w:kern w:val="0"/>
        </w:rPr>
        <w:t xml:space="preserve"> of </w:t>
      </w:r>
      <w:r>
        <w:rPr>
          <w:kern w:val="0"/>
        </w:rPr>
        <w:t>care. However, there is no updated information regarding</w:t>
      </w:r>
      <w:r w:rsidR="003A1917">
        <w:rPr>
          <w:kern w:val="0"/>
        </w:rPr>
        <w:t xml:space="preserve"> the </w:t>
      </w:r>
      <w:r>
        <w:rPr>
          <w:kern w:val="0"/>
        </w:rPr>
        <w:t>effects</w:t>
      </w:r>
      <w:r w:rsidR="00427468">
        <w:rPr>
          <w:kern w:val="0"/>
        </w:rPr>
        <w:t xml:space="preserve"> of </w:t>
      </w:r>
      <w:r>
        <w:rPr>
          <w:kern w:val="0"/>
        </w:rPr>
        <w:t>this intervention. Aim To assess</w:t>
      </w:r>
      <w:r w:rsidR="003A1917">
        <w:rPr>
          <w:kern w:val="0"/>
        </w:rPr>
        <w:t xml:space="preserve"> the </w:t>
      </w:r>
      <w:r>
        <w:rPr>
          <w:kern w:val="0"/>
        </w:rPr>
        <w:t>benefits</w:t>
      </w:r>
      <w:r w:rsidR="005853A9">
        <w:rPr>
          <w:kern w:val="0"/>
        </w:rPr>
        <w:t xml:space="preserve"> and </w:t>
      </w:r>
      <w:r>
        <w:rPr>
          <w:kern w:val="0"/>
        </w:rPr>
        <w:t>harms</w:t>
      </w:r>
      <w:r w:rsidR="00427468">
        <w:rPr>
          <w:kern w:val="0"/>
        </w:rPr>
        <w:t xml:space="preserve"> of </w:t>
      </w:r>
      <w:r>
        <w:rPr>
          <w:kern w:val="0"/>
        </w:rPr>
        <w:t>antibiotic prophylaxis in cirrhotic patients with gastrointestinal bleeding by performing a systematic review</w:t>
      </w:r>
      <w:r w:rsidR="00427468">
        <w:rPr>
          <w:kern w:val="0"/>
        </w:rPr>
        <w:t xml:space="preserve"> of </w:t>
      </w:r>
      <w:r>
        <w:rPr>
          <w:kern w:val="0"/>
        </w:rPr>
        <w:t>randomised trials. Methods We searched</w:t>
      </w:r>
      <w:r w:rsidR="003A1917">
        <w:rPr>
          <w:kern w:val="0"/>
        </w:rPr>
        <w:t xml:space="preserve"> the </w:t>
      </w:r>
      <w:r>
        <w:rPr>
          <w:kern w:val="0"/>
        </w:rPr>
        <w:t>Cochrane Hepato-Biliary Group Controlled Trials Register,</w:t>
      </w:r>
      <w:r w:rsidR="003A1917">
        <w:rPr>
          <w:kern w:val="0"/>
        </w:rPr>
        <w:t xml:space="preserve"> the </w:t>
      </w:r>
      <w:r>
        <w:rPr>
          <w:kern w:val="0"/>
        </w:rPr>
        <w:t>Cochrane Central Register</w:t>
      </w:r>
      <w:r w:rsidR="00427468">
        <w:rPr>
          <w:kern w:val="0"/>
        </w:rPr>
        <w:t xml:space="preserve"> of </w:t>
      </w:r>
      <w:r>
        <w:rPr>
          <w:kern w:val="0"/>
        </w:rPr>
        <w:t>Controlled Trials in</w:t>
      </w:r>
      <w:r w:rsidR="003A1917">
        <w:rPr>
          <w:kern w:val="0"/>
        </w:rPr>
        <w:t xml:space="preserve"> the </w:t>
      </w:r>
      <w:r>
        <w:rPr>
          <w:kern w:val="0"/>
        </w:rPr>
        <w:t xml:space="preserve">Cochrane Library, </w:t>
      </w:r>
      <w:r w:rsidR="00D5664A">
        <w:rPr>
          <w:kern w:val="0"/>
        </w:rPr>
        <w:t>MEDLINE</w:t>
      </w:r>
      <w:r>
        <w:rPr>
          <w:kern w:val="0"/>
        </w:rPr>
        <w:t>, EMBASE</w:t>
      </w:r>
      <w:r w:rsidR="005853A9">
        <w:rPr>
          <w:kern w:val="0"/>
        </w:rPr>
        <w:t xml:space="preserve"> and </w:t>
      </w:r>
      <w:r>
        <w:rPr>
          <w:kern w:val="0"/>
        </w:rPr>
        <w:t>Science Citation Index EXPANDED until June 2010. We statistically combined data calculating relative risk (RR) for dichotomous outcomes</w:t>
      </w:r>
      <w:r w:rsidR="005853A9">
        <w:rPr>
          <w:kern w:val="0"/>
        </w:rPr>
        <w:t xml:space="preserve"> and </w:t>
      </w:r>
      <w:r>
        <w:rPr>
          <w:kern w:val="0"/>
        </w:rPr>
        <w:t>mean difference (MD) for continuous outcomes. Results Twelve trials (1241 patients) evaluating antibiotic prophylaxis against placebo or no antibiotic prophylaxis were included. Antibiotic prophylaxis was associated with reduced mortality (RR 0.79, 95% CI 0.63-0.98), mortality from bacterial infections (RR 0.43, 95% CI 0.19-0.97), bacterial infections (RR 0.35, 95% CI 0.26-0.47), rebleeding (RR 0.53, 95% CI 0.38-0.74)</w:t>
      </w:r>
      <w:r w:rsidR="005853A9">
        <w:rPr>
          <w:kern w:val="0"/>
        </w:rPr>
        <w:t xml:space="preserve"> and </w:t>
      </w:r>
      <w:r>
        <w:rPr>
          <w:kern w:val="0"/>
        </w:rPr>
        <w:t>days</w:t>
      </w:r>
      <w:r w:rsidR="00427468">
        <w:rPr>
          <w:kern w:val="0"/>
        </w:rPr>
        <w:t xml:space="preserve"> of </w:t>
      </w:r>
      <w:r>
        <w:rPr>
          <w:kern w:val="0"/>
        </w:rPr>
        <w:t>hospitalisation (MD) 1.91, 95% CI) 3.80-0.02). Trials analysing rebleeding rate</w:t>
      </w:r>
      <w:r w:rsidR="005853A9">
        <w:rPr>
          <w:kern w:val="0"/>
        </w:rPr>
        <w:t xml:space="preserve"> and </w:t>
      </w:r>
      <w:r>
        <w:rPr>
          <w:kern w:val="0"/>
        </w:rPr>
        <w:t>hospitalisation length are still scarce, thus, caution should be exerted when interpreting</w:t>
      </w:r>
      <w:r w:rsidR="003A1917">
        <w:rPr>
          <w:kern w:val="0"/>
        </w:rPr>
        <w:t xml:space="preserve"> the </w:t>
      </w:r>
      <w:r>
        <w:rPr>
          <w:kern w:val="0"/>
        </w:rPr>
        <w:t>results. Conclusions Antibiotic prophylaxis in patients with cirrhosis</w:t>
      </w:r>
      <w:r w:rsidR="005853A9">
        <w:rPr>
          <w:kern w:val="0"/>
        </w:rPr>
        <w:t xml:space="preserve"> and </w:t>
      </w:r>
      <w:r>
        <w:rPr>
          <w:kern w:val="0"/>
        </w:rPr>
        <w:t>upper gastrointestinal bleeding significantly reduced bacterial infections,</w:t>
      </w:r>
      <w:r w:rsidR="005853A9">
        <w:rPr>
          <w:kern w:val="0"/>
        </w:rPr>
        <w:t xml:space="preserve"> and </w:t>
      </w:r>
      <w:r>
        <w:rPr>
          <w:kern w:val="0"/>
        </w:rPr>
        <w:t>reduce all-cause mortality, bacterial infection mortality, rebleeding events</w:t>
      </w:r>
      <w:r w:rsidR="005853A9">
        <w:rPr>
          <w:kern w:val="0"/>
        </w:rPr>
        <w:t xml:space="preserve"> and </w:t>
      </w:r>
      <w:r>
        <w:rPr>
          <w:kern w:val="0"/>
        </w:rPr>
        <w:t>hospitalisation length. Novel clinically significant outcomes were included in this metaanalysis. Some benefits are biased</w:t>
      </w:r>
      <w:r w:rsidR="005853A9">
        <w:rPr>
          <w:kern w:val="0"/>
        </w:rPr>
        <w:t xml:space="preserve"> and </w:t>
      </w:r>
      <w:r w:rsidR="003A1917">
        <w:rPr>
          <w:kern w:val="0"/>
        </w:rPr>
        <w:t xml:space="preserve">the </w:t>
      </w:r>
      <w:r>
        <w:rPr>
          <w:kern w:val="0"/>
        </w:rPr>
        <w:t>risks are not yet properly assessed, this encourages future research in this field.</w:t>
      </w:r>
    </w:p>
    <w:p w:rsidR="00C74E78" w:rsidRDefault="00C74E78" w:rsidP="00C74E78">
      <w:pPr>
        <w:pStyle w:val="a3"/>
        <w:rPr>
          <w:kern w:val="0"/>
        </w:rPr>
      </w:pPr>
      <w:r>
        <w:rPr>
          <w:kern w:val="0"/>
        </w:rPr>
        <w:t xml:space="preserve">Keywords: Acute Variceal Hemorrhage, Ceftriaxone, Ciprofloxacin, Citation, Embase, Endoscopic Sclerotherapy, Esophageal-Varices, Information, Intervention, </w:t>
      </w:r>
      <w:r w:rsidR="00D5664A">
        <w:rPr>
          <w:kern w:val="0"/>
        </w:rPr>
        <w:t>MEDLINE</w:t>
      </w:r>
      <w:r>
        <w:rPr>
          <w:kern w:val="0"/>
        </w:rPr>
        <w:t>, Meta-Analysis, Methods, Norfloxacin, Outcomes, Portal-Hypertension, Prevents Bacterial-Infection, Randomized-Trial, Research, Review, Science, Science Citation Index, Systematic Review, Therapy</w:t>
      </w:r>
    </w:p>
    <w:p w:rsidR="00F42E0C" w:rsidRDefault="00F42E0C" w:rsidP="00F42E0C">
      <w:pPr>
        <w:pStyle w:val="a3"/>
        <w:rPr>
          <w:kern w:val="0"/>
        </w:rPr>
      </w:pPr>
      <w:r>
        <w:rPr>
          <w:rFonts w:hint="eastAsia"/>
          <w:kern w:val="0"/>
        </w:rPr>
        <w:t xml:space="preserve">? </w:t>
      </w:r>
      <w:r>
        <w:rPr>
          <w:kern w:val="0"/>
        </w:rPr>
        <w:t>Qureshi, J., Sud, A.</w:t>
      </w:r>
      <w:r w:rsidR="005853A9">
        <w:rPr>
          <w:kern w:val="0"/>
        </w:rPr>
        <w:t xml:space="preserve"> and </w:t>
      </w:r>
      <w:r>
        <w:rPr>
          <w:kern w:val="0"/>
        </w:rPr>
        <w:t>Vakil, N. (2012), Funding source</w:t>
      </w:r>
      <w:r w:rsidR="005853A9">
        <w:rPr>
          <w:kern w:val="0"/>
        </w:rPr>
        <w:t xml:space="preserve"> and </w:t>
      </w:r>
      <w:r>
        <w:rPr>
          <w:kern w:val="0"/>
        </w:rPr>
        <w:t>conflict</w:t>
      </w:r>
      <w:r w:rsidR="00427468">
        <w:rPr>
          <w:kern w:val="0"/>
        </w:rPr>
        <w:t xml:space="preserve"> of </w:t>
      </w:r>
      <w:r>
        <w:rPr>
          <w:kern w:val="0"/>
        </w:rPr>
        <w:t>interest disclosures by authors</w:t>
      </w:r>
      <w:r w:rsidR="005853A9">
        <w:rPr>
          <w:kern w:val="0"/>
        </w:rPr>
        <w:t xml:space="preserve"> and </w:t>
      </w:r>
      <w:r>
        <w:rPr>
          <w:kern w:val="0"/>
        </w:rPr>
        <w:t xml:space="preserve">editors in gastroenterology specialty journals revisited. </w:t>
      </w:r>
      <w:r>
        <w:rPr>
          <w:i/>
          <w:iCs/>
          <w:kern w:val="0"/>
        </w:rPr>
        <w:t>Alimentary Pharmacology &amp; Therapeutics</w:t>
      </w:r>
      <w:r>
        <w:rPr>
          <w:kern w:val="0"/>
        </w:rPr>
        <w:t xml:space="preserve">, </w:t>
      </w:r>
      <w:r>
        <w:rPr>
          <w:b/>
          <w:bCs/>
          <w:kern w:val="0"/>
        </w:rPr>
        <w:t>35</w:t>
      </w:r>
      <w:r>
        <w:rPr>
          <w:kern w:val="0"/>
        </w:rPr>
        <w:t xml:space="preserve"> (6), 690-695.</w:t>
      </w:r>
    </w:p>
    <w:p w:rsidR="00F42E0C" w:rsidRPr="001A3D2B" w:rsidRDefault="00F42E0C" w:rsidP="00F42E0C">
      <w:pPr>
        <w:pStyle w:val="a3"/>
        <w:rPr>
          <w:kern w:val="0"/>
        </w:rPr>
      </w:pPr>
      <w:r w:rsidRPr="001A3D2B">
        <w:rPr>
          <w:kern w:val="0"/>
        </w:rPr>
        <w:t xml:space="preserve">Full Text: </w:t>
      </w:r>
      <w:hyperlink r:id="rId366" w:history="1">
        <w:r w:rsidRPr="00D6256D">
          <w:rPr>
            <w:rStyle w:val="a5"/>
            <w:kern w:val="0"/>
          </w:rPr>
          <w:t>2012\Ali Pha The35, 690.pdf</w:t>
        </w:r>
      </w:hyperlink>
    </w:p>
    <w:p w:rsidR="00F42E0C" w:rsidRDefault="00F42E0C" w:rsidP="00F42E0C">
      <w:pPr>
        <w:pStyle w:val="a3"/>
        <w:rPr>
          <w:kern w:val="0"/>
        </w:rPr>
      </w:pPr>
      <w:r>
        <w:rPr>
          <w:kern w:val="0"/>
        </w:rPr>
        <w:t>Abstract: Background A survey</w:t>
      </w:r>
      <w:r w:rsidR="00427468">
        <w:rPr>
          <w:kern w:val="0"/>
        </w:rPr>
        <w:t xml:space="preserve"> of </w:t>
      </w:r>
      <w:r>
        <w:rPr>
          <w:kern w:val="0"/>
        </w:rPr>
        <w:t>journals published in</w:t>
      </w:r>
      <w:r w:rsidR="003A1917">
        <w:rPr>
          <w:kern w:val="0"/>
        </w:rPr>
        <w:t xml:space="preserve"> the </w:t>
      </w:r>
      <w:r>
        <w:rPr>
          <w:kern w:val="0"/>
        </w:rPr>
        <w:t>field</w:t>
      </w:r>
      <w:r w:rsidR="00427468">
        <w:rPr>
          <w:kern w:val="0"/>
        </w:rPr>
        <w:t xml:space="preserve"> of </w:t>
      </w:r>
      <w:r>
        <w:rPr>
          <w:kern w:val="0"/>
        </w:rPr>
        <w:t xml:space="preserve">Gastroenterology </w:t>
      </w:r>
      <w:r>
        <w:rPr>
          <w:kern w:val="0"/>
        </w:rPr>
        <w:lastRenderedPageBreak/>
        <w:t>conducted 5 years ago showed marked variability in reporting</w:t>
      </w:r>
      <w:r w:rsidR="00427468">
        <w:rPr>
          <w:kern w:val="0"/>
        </w:rPr>
        <w:t xml:space="preserve"> of </w:t>
      </w:r>
      <w:r>
        <w:rPr>
          <w:kern w:val="0"/>
        </w:rPr>
        <w:t>conflicts</w:t>
      </w:r>
      <w:r w:rsidR="00427468">
        <w:rPr>
          <w:kern w:val="0"/>
        </w:rPr>
        <w:t xml:space="preserve"> of </w:t>
      </w:r>
      <w:r>
        <w:rPr>
          <w:kern w:val="0"/>
        </w:rPr>
        <w:t>interest or funding sources in these journals. Aim To re-examine reporting</w:t>
      </w:r>
      <w:r w:rsidR="00427468">
        <w:rPr>
          <w:kern w:val="0"/>
        </w:rPr>
        <w:t xml:space="preserve"> of </w:t>
      </w:r>
      <w:r>
        <w:rPr>
          <w:kern w:val="0"/>
        </w:rPr>
        <w:t>conflicts</w:t>
      </w:r>
      <w:r w:rsidR="00427468">
        <w:rPr>
          <w:kern w:val="0"/>
        </w:rPr>
        <w:t xml:space="preserve"> of </w:t>
      </w:r>
      <w:r>
        <w:rPr>
          <w:kern w:val="0"/>
        </w:rPr>
        <w:t>interest</w:t>
      </w:r>
      <w:r w:rsidR="005853A9">
        <w:rPr>
          <w:kern w:val="0"/>
        </w:rPr>
        <w:t xml:space="preserve"> and </w:t>
      </w:r>
      <w:r>
        <w:rPr>
          <w:kern w:val="0"/>
        </w:rPr>
        <w:t>funding sources for original articles</w:t>
      </w:r>
      <w:r w:rsidR="005853A9">
        <w:rPr>
          <w:kern w:val="0"/>
        </w:rPr>
        <w:t xml:space="preserve"> and </w:t>
      </w:r>
      <w:r>
        <w:rPr>
          <w:kern w:val="0"/>
        </w:rPr>
        <w:t>editorials in Gastroenterology</w:t>
      </w:r>
      <w:r w:rsidR="005853A9">
        <w:rPr>
          <w:kern w:val="0"/>
        </w:rPr>
        <w:t xml:space="preserve"> and </w:t>
      </w:r>
      <w:r>
        <w:rPr>
          <w:kern w:val="0"/>
        </w:rPr>
        <w:t>Hepatology journals. Methods We evaluated all original articles</w:t>
      </w:r>
      <w:r w:rsidR="005853A9">
        <w:rPr>
          <w:kern w:val="0"/>
        </w:rPr>
        <w:t xml:space="preserve"> and </w:t>
      </w:r>
      <w:r>
        <w:rPr>
          <w:kern w:val="0"/>
        </w:rPr>
        <w:t>editorials in 15 leading journals (determined by impact factor-Thomson Reuter Science Citation Index) devoted to Gastroenterology</w:t>
      </w:r>
      <w:r w:rsidR="005853A9">
        <w:rPr>
          <w:kern w:val="0"/>
        </w:rPr>
        <w:t xml:space="preserve"> and </w:t>
      </w:r>
      <w:r>
        <w:rPr>
          <w:kern w:val="0"/>
        </w:rPr>
        <w:t>Hepatology for disclosures</w:t>
      </w:r>
      <w:r w:rsidR="00427468">
        <w:rPr>
          <w:kern w:val="0"/>
        </w:rPr>
        <w:t xml:space="preserve"> of </w:t>
      </w:r>
      <w:r>
        <w:rPr>
          <w:kern w:val="0"/>
        </w:rPr>
        <w:t>conflicts</w:t>
      </w:r>
      <w:r w:rsidR="005853A9">
        <w:rPr>
          <w:kern w:val="0"/>
        </w:rPr>
        <w:t xml:space="preserve"> and </w:t>
      </w:r>
      <w:r>
        <w:rPr>
          <w:kern w:val="0"/>
        </w:rPr>
        <w:t>for editor</w:t>
      </w:r>
      <w:r w:rsidR="00700038">
        <w:rPr>
          <w:kern w:val="0"/>
        </w:rPr>
        <w:t>’</w:t>
      </w:r>
      <w:r>
        <w:rPr>
          <w:kern w:val="0"/>
        </w:rPr>
        <w:t>s self disclosures. We examined each journal</w:t>
      </w:r>
      <w:r w:rsidR="00700038">
        <w:rPr>
          <w:kern w:val="0"/>
        </w:rPr>
        <w:t>’</w:t>
      </w:r>
      <w:r>
        <w:rPr>
          <w:kern w:val="0"/>
        </w:rPr>
        <w:t>s editorial policy by contacting</w:t>
      </w:r>
      <w:r w:rsidR="003A1917">
        <w:rPr>
          <w:kern w:val="0"/>
        </w:rPr>
        <w:t xml:space="preserve"> the </w:t>
      </w:r>
      <w:r>
        <w:rPr>
          <w:kern w:val="0"/>
        </w:rPr>
        <w:t>journal directly if</w:t>
      </w:r>
      <w:r w:rsidR="003A1917">
        <w:rPr>
          <w:kern w:val="0"/>
        </w:rPr>
        <w:t xml:space="preserve"> the </w:t>
      </w:r>
      <w:r>
        <w:rPr>
          <w:kern w:val="0"/>
        </w:rPr>
        <w:t>information was not revealed on</w:t>
      </w:r>
      <w:r w:rsidR="003A1917">
        <w:rPr>
          <w:kern w:val="0"/>
        </w:rPr>
        <w:t xml:space="preserve"> the </w:t>
      </w:r>
      <w:r>
        <w:rPr>
          <w:kern w:val="0"/>
        </w:rPr>
        <w:t>Web site or print versions</w:t>
      </w:r>
      <w:r w:rsidR="00427468">
        <w:rPr>
          <w:kern w:val="0"/>
        </w:rPr>
        <w:t xml:space="preserve"> of </w:t>
      </w:r>
      <w:r w:rsidR="003A1917">
        <w:rPr>
          <w:kern w:val="0"/>
        </w:rPr>
        <w:t xml:space="preserve">the </w:t>
      </w:r>
      <w:r>
        <w:rPr>
          <w:kern w:val="0"/>
        </w:rPr>
        <w:t>journal. Results</w:t>
      </w:r>
      <w:r w:rsidR="00427468">
        <w:rPr>
          <w:kern w:val="0"/>
        </w:rPr>
        <w:t xml:space="preserve"> of </w:t>
      </w:r>
      <w:r w:rsidR="003A1917">
        <w:rPr>
          <w:kern w:val="0"/>
        </w:rPr>
        <w:t xml:space="preserve">the </w:t>
      </w:r>
      <w:r>
        <w:rPr>
          <w:kern w:val="0"/>
        </w:rPr>
        <w:t>1574 articles evaluated, a total</w:t>
      </w:r>
      <w:r w:rsidR="00427468">
        <w:rPr>
          <w:kern w:val="0"/>
        </w:rPr>
        <w:t xml:space="preserve"> of </w:t>
      </w:r>
      <w:r>
        <w:rPr>
          <w:kern w:val="0"/>
        </w:rPr>
        <w:t>1207 (77%) reported</w:t>
      </w:r>
      <w:r w:rsidR="003A1917">
        <w:rPr>
          <w:kern w:val="0"/>
        </w:rPr>
        <w:t xml:space="preserve"> the </w:t>
      </w:r>
      <w:r>
        <w:rPr>
          <w:kern w:val="0"/>
        </w:rPr>
        <w:t>presence or absence</w:t>
      </w:r>
      <w:r w:rsidR="00427468">
        <w:rPr>
          <w:kern w:val="0"/>
        </w:rPr>
        <w:t xml:space="preserve"> of </w:t>
      </w:r>
      <w:r>
        <w:rPr>
          <w:kern w:val="0"/>
        </w:rPr>
        <w:t>a potential conflict</w:t>
      </w:r>
      <w:r w:rsidR="00427468">
        <w:rPr>
          <w:kern w:val="0"/>
        </w:rPr>
        <w:t xml:space="preserve"> of </w:t>
      </w:r>
      <w:r>
        <w:rPr>
          <w:kern w:val="0"/>
        </w:rPr>
        <w:t>interest</w:t>
      </w:r>
      <w:r w:rsidR="005853A9">
        <w:rPr>
          <w:kern w:val="0"/>
        </w:rPr>
        <w:t xml:space="preserve"> and </w:t>
      </w:r>
      <w:r>
        <w:rPr>
          <w:kern w:val="0"/>
        </w:rPr>
        <w:t>1047 (67%) reported</w:t>
      </w:r>
      <w:r w:rsidR="003A1917">
        <w:rPr>
          <w:kern w:val="0"/>
        </w:rPr>
        <w:t xml:space="preserve"> the </w:t>
      </w:r>
      <w:r>
        <w:rPr>
          <w:kern w:val="0"/>
        </w:rPr>
        <w:t>presence or absence</w:t>
      </w:r>
      <w:r w:rsidR="00427468">
        <w:rPr>
          <w:kern w:val="0"/>
        </w:rPr>
        <w:t xml:space="preserve"> of </w:t>
      </w:r>
      <w:r>
        <w:rPr>
          <w:kern w:val="0"/>
        </w:rPr>
        <w:t>funding sources. A total</w:t>
      </w:r>
      <w:r w:rsidR="00427468">
        <w:rPr>
          <w:kern w:val="0"/>
        </w:rPr>
        <w:t xml:space="preserve"> of </w:t>
      </w:r>
      <w:r>
        <w:rPr>
          <w:kern w:val="0"/>
        </w:rPr>
        <w:t>3</w:t>
      </w:r>
      <w:r w:rsidR="00427468">
        <w:rPr>
          <w:kern w:val="0"/>
        </w:rPr>
        <w:t xml:space="preserve"> of </w:t>
      </w:r>
      <w:r w:rsidR="003A1917">
        <w:rPr>
          <w:kern w:val="0"/>
        </w:rPr>
        <w:t xml:space="preserve">the </w:t>
      </w:r>
      <w:r>
        <w:rPr>
          <w:kern w:val="0"/>
        </w:rPr>
        <w:t>15 (20%) journals (American Journal</w:t>
      </w:r>
      <w:r w:rsidR="00427468">
        <w:rPr>
          <w:kern w:val="0"/>
        </w:rPr>
        <w:t xml:space="preserve"> of </w:t>
      </w:r>
      <w:r>
        <w:rPr>
          <w:kern w:val="0"/>
        </w:rPr>
        <w:t>Gastroenterology, Gastroenterology,</w:t>
      </w:r>
      <w:r w:rsidR="005853A9">
        <w:rPr>
          <w:kern w:val="0"/>
        </w:rPr>
        <w:t xml:space="preserve"> and </w:t>
      </w:r>
      <w:r>
        <w:rPr>
          <w:kern w:val="0"/>
        </w:rPr>
        <w:t>Alimentary Pharmacology</w:t>
      </w:r>
      <w:r w:rsidR="005853A9">
        <w:rPr>
          <w:kern w:val="0"/>
        </w:rPr>
        <w:t xml:space="preserve"> and </w:t>
      </w:r>
      <w:r>
        <w:rPr>
          <w:kern w:val="0"/>
        </w:rPr>
        <w:t>Therapeutics reported</w:t>
      </w:r>
      <w:r w:rsidR="003A1917">
        <w:rPr>
          <w:kern w:val="0"/>
        </w:rPr>
        <w:t xml:space="preserve"> the </w:t>
      </w:r>
      <w:r>
        <w:rPr>
          <w:kern w:val="0"/>
        </w:rPr>
        <w:t>presence or absence</w:t>
      </w:r>
      <w:r w:rsidR="00427468">
        <w:rPr>
          <w:kern w:val="0"/>
        </w:rPr>
        <w:t xml:space="preserve"> of </w:t>
      </w:r>
      <w:r>
        <w:rPr>
          <w:kern w:val="0"/>
        </w:rPr>
        <w:t>funding sources in all their published original articles. Only 5</w:t>
      </w:r>
      <w:r w:rsidR="00427468">
        <w:rPr>
          <w:kern w:val="0"/>
        </w:rPr>
        <w:t xml:space="preserve"> of </w:t>
      </w:r>
      <w:r>
        <w:rPr>
          <w:kern w:val="0"/>
        </w:rPr>
        <w:t>15 (33%) journals (Gut, Gastrointestinal Endoscopy, American Journal</w:t>
      </w:r>
      <w:r w:rsidR="00427468">
        <w:rPr>
          <w:kern w:val="0"/>
        </w:rPr>
        <w:t xml:space="preserve"> of </w:t>
      </w:r>
      <w:r>
        <w:rPr>
          <w:kern w:val="0"/>
        </w:rPr>
        <w:t>Gastroenterology, Neurogastroenterology &amp; Motility</w:t>
      </w:r>
      <w:r w:rsidR="005853A9">
        <w:rPr>
          <w:kern w:val="0"/>
        </w:rPr>
        <w:t xml:space="preserve"> and </w:t>
      </w:r>
      <w:r>
        <w:rPr>
          <w:kern w:val="0"/>
        </w:rPr>
        <w:t>Alimentary Pharmacology</w:t>
      </w:r>
      <w:r w:rsidR="005853A9">
        <w:rPr>
          <w:kern w:val="0"/>
        </w:rPr>
        <w:t xml:space="preserve"> and </w:t>
      </w:r>
      <w:r>
        <w:rPr>
          <w:kern w:val="0"/>
        </w:rPr>
        <w:t>Therapeutics) publicly disclosed</w:t>
      </w:r>
      <w:r w:rsidR="003A1917">
        <w:rPr>
          <w:kern w:val="0"/>
        </w:rPr>
        <w:t xml:space="preserve"> the </w:t>
      </w:r>
      <w:r>
        <w:rPr>
          <w:kern w:val="0"/>
        </w:rPr>
        <w:t>conflicts</w:t>
      </w:r>
      <w:r w:rsidR="00427468">
        <w:rPr>
          <w:kern w:val="0"/>
        </w:rPr>
        <w:t xml:space="preserve"> of </w:t>
      </w:r>
      <w:r>
        <w:rPr>
          <w:kern w:val="0"/>
        </w:rPr>
        <w:t>interest</w:t>
      </w:r>
      <w:r w:rsidR="00427468">
        <w:rPr>
          <w:kern w:val="0"/>
        </w:rPr>
        <w:t xml:space="preserve"> of </w:t>
      </w:r>
      <w:r w:rsidR="003A1917">
        <w:rPr>
          <w:kern w:val="0"/>
        </w:rPr>
        <w:t xml:space="preserve">the </w:t>
      </w:r>
      <w:r>
        <w:rPr>
          <w:kern w:val="0"/>
        </w:rPr>
        <w:t>editors. Conclusions (i) Funding sources</w:t>
      </w:r>
      <w:r w:rsidR="005853A9">
        <w:rPr>
          <w:kern w:val="0"/>
        </w:rPr>
        <w:t xml:space="preserve"> and </w:t>
      </w:r>
      <w:r>
        <w:rPr>
          <w:kern w:val="0"/>
        </w:rPr>
        <w:t>conflicts</w:t>
      </w:r>
      <w:r w:rsidR="00427468">
        <w:rPr>
          <w:kern w:val="0"/>
        </w:rPr>
        <w:t xml:space="preserve"> of </w:t>
      </w:r>
      <w:r>
        <w:rPr>
          <w:kern w:val="0"/>
        </w:rPr>
        <w:t>interest are still reported variably in</w:t>
      </w:r>
      <w:r w:rsidR="003A1917">
        <w:rPr>
          <w:kern w:val="0"/>
        </w:rPr>
        <w:t xml:space="preserve"> the </w:t>
      </w:r>
      <w:r>
        <w:rPr>
          <w:kern w:val="0"/>
        </w:rPr>
        <w:t>GI literature. (ii) Editorials</w:t>
      </w:r>
      <w:r w:rsidR="005853A9">
        <w:rPr>
          <w:kern w:val="0"/>
        </w:rPr>
        <w:t xml:space="preserve"> and </w:t>
      </w:r>
      <w:r>
        <w:rPr>
          <w:kern w:val="0"/>
        </w:rPr>
        <w:t>review articles are influential, but have poor reporting</w:t>
      </w:r>
      <w:r w:rsidR="00427468">
        <w:rPr>
          <w:kern w:val="0"/>
        </w:rPr>
        <w:t xml:space="preserve"> of </w:t>
      </w:r>
      <w:r>
        <w:rPr>
          <w:kern w:val="0"/>
        </w:rPr>
        <w:t>conflicts</w:t>
      </w:r>
      <w:r w:rsidR="00427468">
        <w:rPr>
          <w:kern w:val="0"/>
        </w:rPr>
        <w:t xml:space="preserve"> of </w:t>
      </w:r>
      <w:r>
        <w:rPr>
          <w:kern w:val="0"/>
        </w:rPr>
        <w:t>interest. (iii) Editors</w:t>
      </w:r>
      <w:r w:rsidR="00427468">
        <w:rPr>
          <w:kern w:val="0"/>
        </w:rPr>
        <w:t xml:space="preserve"> of </w:t>
      </w:r>
      <w:r>
        <w:rPr>
          <w:kern w:val="0"/>
        </w:rPr>
        <w:t>many journals still do not report their conflicts</w:t>
      </w:r>
      <w:r w:rsidR="00427468">
        <w:rPr>
          <w:kern w:val="0"/>
        </w:rPr>
        <w:t xml:space="preserve"> of </w:t>
      </w:r>
      <w:r>
        <w:rPr>
          <w:kern w:val="0"/>
        </w:rPr>
        <w:t>interest.</w:t>
      </w:r>
    </w:p>
    <w:p w:rsidR="00F42E0C" w:rsidRDefault="00F42E0C" w:rsidP="00F42E0C">
      <w:pPr>
        <w:pStyle w:val="a3"/>
        <w:rPr>
          <w:kern w:val="0"/>
        </w:rPr>
      </w:pPr>
      <w:r>
        <w:rPr>
          <w:kern w:val="0"/>
        </w:rPr>
        <w:t>Keywords: Authors, Citation, Conflict</w:t>
      </w:r>
      <w:r w:rsidR="00427468">
        <w:rPr>
          <w:kern w:val="0"/>
        </w:rPr>
        <w:t xml:space="preserve"> of </w:t>
      </w:r>
      <w:r>
        <w:rPr>
          <w:kern w:val="0"/>
        </w:rPr>
        <w:t>Interest, Conflicts</w:t>
      </w:r>
      <w:r w:rsidR="00427468">
        <w:rPr>
          <w:kern w:val="0"/>
        </w:rPr>
        <w:t xml:space="preserve"> of </w:t>
      </w:r>
      <w:r>
        <w:rPr>
          <w:kern w:val="0"/>
        </w:rPr>
        <w:t>Interest, Editors, Field, Funding, Gastroenterology, Impact, Information, Journal, Journals, Literature, Mar, Policy, Potential, Reporting, Review, Science, Science Citation Index, Self, Site, Source, Sources, Specialty, Survey, Variability</w:t>
      </w:r>
    </w:p>
    <w:p w:rsidR="000F592F" w:rsidRDefault="000F592F" w:rsidP="000F592F">
      <w:pPr>
        <w:pStyle w:val="a3"/>
        <w:rPr>
          <w:kern w:val="0"/>
        </w:rPr>
      </w:pPr>
      <w:r>
        <w:rPr>
          <w:rFonts w:hint="eastAsia"/>
          <w:kern w:val="0"/>
        </w:rPr>
        <w:t xml:space="preserve">? </w:t>
      </w:r>
      <w:r>
        <w:rPr>
          <w:kern w:val="0"/>
        </w:rPr>
        <w:t xml:space="preserve">Shin, A., Camilleri, M., Kolar, G., Erwin, P., West, C.P. and Murad, M.H. (2014), Systematic review with meta-analysis: highly selective 5-HT4 agonists (prucalopride, velusetrag or naronapride) in chronic constipation. </w:t>
      </w:r>
      <w:r>
        <w:rPr>
          <w:i/>
          <w:iCs/>
          <w:kern w:val="0"/>
        </w:rPr>
        <w:t>Alimentary Pharmacology &amp; Therapeutics</w:t>
      </w:r>
      <w:r>
        <w:rPr>
          <w:kern w:val="0"/>
        </w:rPr>
        <w:t xml:space="preserve">, </w:t>
      </w:r>
      <w:r>
        <w:rPr>
          <w:b/>
          <w:bCs/>
          <w:kern w:val="0"/>
        </w:rPr>
        <w:t>39</w:t>
      </w:r>
      <w:r>
        <w:rPr>
          <w:kern w:val="0"/>
        </w:rPr>
        <w:t xml:space="preserve"> (3), 239-253.</w:t>
      </w:r>
    </w:p>
    <w:p w:rsidR="000F592F" w:rsidRDefault="000F592F" w:rsidP="000F592F">
      <w:pPr>
        <w:pStyle w:val="a3"/>
        <w:rPr>
          <w:kern w:val="0"/>
        </w:rPr>
      </w:pPr>
      <w:r>
        <w:rPr>
          <w:kern w:val="0"/>
        </w:rPr>
        <w:t xml:space="preserve">Full Text: </w:t>
      </w:r>
      <w:hyperlink r:id="rId367" w:history="1">
        <w:r w:rsidRPr="000F592F">
          <w:rPr>
            <w:rStyle w:val="a5"/>
            <w:kern w:val="0"/>
          </w:rPr>
          <w:t>2014\Ali Pha The39, 239.pdf</w:t>
        </w:r>
      </w:hyperlink>
    </w:p>
    <w:p w:rsidR="000F592F" w:rsidRDefault="000F592F" w:rsidP="000F592F">
      <w:pPr>
        <w:pStyle w:val="a3"/>
        <w:rPr>
          <w:kern w:val="0"/>
        </w:rPr>
      </w:pPr>
      <w:r>
        <w:rPr>
          <w:kern w:val="0"/>
        </w:rPr>
        <w:t xml:space="preserve">Abstract: Background Highly selective 5-HT4 agonists have been suggested for the treatment of chronic constipation (CC). Aim To assess the effects of highly selective 5-HT4 agonists (prucalopride, velusetrag or naronapride) on patient-important clinical efficacy outcomes and safety in adults with CC. Methods We searched the medical literature in January 2013 using MEDLINE/Pubmed, Embase, Cochrane Library, and Web of Science/Scopus for randomised, controlled trials of highly selective 5-HT4 agonists in adults with CC, with no minimum duration of therapy (maximum 12weeks) or date limitations. Data were extracted from intention-to-treat analyses, pooled using a random-effects model, and reported as relative risk (RR), mean differences, or standardised mean differences with 95% confidence intervals </w:t>
      </w:r>
      <w:r>
        <w:rPr>
          <w:kern w:val="0"/>
        </w:rPr>
        <w:lastRenderedPageBreak/>
        <w:t>(CI). Results Main outcomes included stool frequency, Patient-Assessment of Constipation Quality of Life (PAC-QOL), PAC of symptoms (PAC-SYM) and adverse events. Thirteen eligible trials were identified: 11 prucalopride, 1 velusetrag, 1 naronapride. Relative to control, treatment with highly selective 5-HT4 agonists was superior for all outcomes: mean 3 spontaneous complete bowel movements (SCBM)/week (RR=1.85; 95% CI 1.23-2.79); mean 1 SCBM over baseline (RR=1.57; 95% CI 1.19, 2.06); 1 point improvement in PAC-QOL and PAC-SYM scores. The only active comparator trial of prucalopride and PEG3350 suggested PEG3350 is more efficacious for some end points. Adverse events were more common with highly selective 5-HT4 agonists, but were generally minor; headache was the most frequent. Most trials studied prucalopride. Conclusion Demonstration of efficacy on patient-important outcomes and a favourable safety profile support the continued use and development of highly selective 5-HT4 agonists in the treatment of chronic constipation.</w:t>
      </w:r>
    </w:p>
    <w:p w:rsidR="000F592F" w:rsidRDefault="000F592F" w:rsidP="000F592F">
      <w:pPr>
        <w:pStyle w:val="a3"/>
        <w:rPr>
          <w:kern w:val="0"/>
        </w:rPr>
      </w:pPr>
      <w:r>
        <w:rPr>
          <w:kern w:val="0"/>
        </w:rPr>
        <w:t>Keywords: Adverse Events, Analyses, Bowel, Chronic, Chronic Idiopathic Constipation, Clinical, Clinical-Trial, Colonic Transit, Complete, Confidence, Confidence Intervals, Constipation, Control, Data, Development, Double-Blind, Duration, Effects, Efficacy, Events, High Intrinsic Activity, Improvement, Intervals, Laxatives, Literature, Medical, Medical Literature, Meta Analysis, Meta-Analysis, Metaanalysis, Methods, Minimum, Minor, Model, Outcomes, Pac, Prokinetic Agent Cisapride, Quality, Quality Of Life, Questionnaire, Random Effects Model, Randomised, Receptor Agonist, Relative, Relative Risk, Results, Review, Risk, Safety, Spontaneous, Support, Symptoms, Systematic Review, Therapy, Treatment, Trial</w:t>
      </w:r>
    </w:p>
    <w:p w:rsidR="00C32E49" w:rsidRDefault="00C32E49" w:rsidP="00C32E49">
      <w:pPr>
        <w:pStyle w:val="a3"/>
        <w:rPr>
          <w:kern w:val="0"/>
          <w:szCs w:val="24"/>
        </w:rPr>
      </w:pPr>
      <w:r>
        <w:rPr>
          <w:rFonts w:hint="eastAsia"/>
          <w:kern w:val="0"/>
          <w:szCs w:val="24"/>
        </w:rPr>
        <w:t xml:space="preserve">? </w:t>
      </w:r>
      <w:r>
        <w:rPr>
          <w:kern w:val="0"/>
          <w:szCs w:val="24"/>
        </w:rPr>
        <w:t>Galmozzi, E., Vigano, M. and Lampertico, P. (2014), Systematic review with meta-analysis: Do interferon lambda 3 polymorphisms predict the outcome</w:t>
      </w:r>
      <w:r w:rsidR="00427468">
        <w:rPr>
          <w:kern w:val="0"/>
          <w:szCs w:val="24"/>
        </w:rPr>
        <w:t xml:space="preserve"> of </w:t>
      </w:r>
      <w:r>
        <w:rPr>
          <w:kern w:val="0"/>
          <w:szCs w:val="24"/>
        </w:rPr>
        <w:t xml:space="preserve">interferon-therapy in hepatitis B infection? </w:t>
      </w:r>
      <w:r>
        <w:rPr>
          <w:i/>
          <w:iCs/>
          <w:kern w:val="0"/>
          <w:szCs w:val="24"/>
        </w:rPr>
        <w:t>Alimentary Pharmacology &amp; Therapeutics</w:t>
      </w:r>
      <w:r>
        <w:rPr>
          <w:kern w:val="0"/>
          <w:szCs w:val="24"/>
        </w:rPr>
        <w:t xml:space="preserve">, </w:t>
      </w:r>
      <w:r>
        <w:rPr>
          <w:b/>
          <w:bCs/>
          <w:kern w:val="0"/>
          <w:szCs w:val="24"/>
        </w:rPr>
        <w:t>39</w:t>
      </w:r>
      <w:r>
        <w:rPr>
          <w:kern w:val="0"/>
          <w:szCs w:val="24"/>
        </w:rPr>
        <w:t xml:space="preserve"> (6), 569-578.</w:t>
      </w:r>
    </w:p>
    <w:p w:rsidR="00C32E49" w:rsidRPr="00F219CA" w:rsidRDefault="00C32E49" w:rsidP="00C32E49">
      <w:pPr>
        <w:pStyle w:val="a3"/>
        <w:rPr>
          <w:kern w:val="0"/>
        </w:rPr>
      </w:pPr>
      <w:r w:rsidRPr="00F219CA">
        <w:rPr>
          <w:kern w:val="0"/>
        </w:rPr>
        <w:t xml:space="preserve">Full Text: </w:t>
      </w:r>
      <w:hyperlink r:id="rId368" w:history="1">
        <w:r w:rsidRPr="00EB31B1">
          <w:rPr>
            <w:rStyle w:val="a5"/>
            <w:kern w:val="0"/>
          </w:rPr>
          <w:t>2014\Ali Pha The39, 569.pdf</w:t>
        </w:r>
      </w:hyperlink>
    </w:p>
    <w:p w:rsidR="00C32E49" w:rsidRDefault="00C32E49" w:rsidP="00C32E49">
      <w:pPr>
        <w:pStyle w:val="a3"/>
        <w:rPr>
          <w:kern w:val="0"/>
          <w:szCs w:val="24"/>
        </w:rPr>
      </w:pPr>
      <w:r>
        <w:rPr>
          <w:kern w:val="0"/>
          <w:szCs w:val="24"/>
        </w:rPr>
        <w:t>Abstract: Background Interferon lambda 3 (IFN-lambda 3) polymorphisms are the strongest genetic predictor</w:t>
      </w:r>
      <w:r w:rsidR="00427468">
        <w:rPr>
          <w:kern w:val="0"/>
          <w:szCs w:val="24"/>
        </w:rPr>
        <w:t xml:space="preserve"> of </w:t>
      </w:r>
      <w:r>
        <w:rPr>
          <w:kern w:val="0"/>
          <w:szCs w:val="24"/>
        </w:rPr>
        <w:t>outcome</w:t>
      </w:r>
      <w:r w:rsidR="00427468">
        <w:rPr>
          <w:kern w:val="0"/>
          <w:szCs w:val="24"/>
        </w:rPr>
        <w:t xml:space="preserve"> of </w:t>
      </w:r>
      <w:r>
        <w:rPr>
          <w:kern w:val="0"/>
          <w:szCs w:val="24"/>
        </w:rPr>
        <w:t>hepatitis C virus infection and</w:t>
      </w:r>
      <w:r w:rsidR="00427468">
        <w:rPr>
          <w:kern w:val="0"/>
          <w:szCs w:val="24"/>
        </w:rPr>
        <w:t xml:space="preserve"> of </w:t>
      </w:r>
      <w:r>
        <w:rPr>
          <w:kern w:val="0"/>
          <w:szCs w:val="24"/>
        </w:rPr>
        <w:t>response to Pegylated interferon (PegIFN)-based therapy. Whether this holds true for hepatitis B virus (HBV) infection is matter</w:t>
      </w:r>
      <w:r w:rsidR="00427468">
        <w:rPr>
          <w:kern w:val="0"/>
          <w:szCs w:val="24"/>
        </w:rPr>
        <w:t xml:space="preserve"> of </w:t>
      </w:r>
      <w:r>
        <w:rPr>
          <w:kern w:val="0"/>
          <w:szCs w:val="24"/>
        </w:rPr>
        <w:t>controversy. Aim To review the association between host genomics and spontaneous or interferon-induced clearance</w:t>
      </w:r>
      <w:r w:rsidR="00427468">
        <w:rPr>
          <w:kern w:val="0"/>
          <w:szCs w:val="24"/>
        </w:rPr>
        <w:t xml:space="preserve"> of </w:t>
      </w:r>
      <w:r>
        <w:rPr>
          <w:kern w:val="0"/>
          <w:szCs w:val="24"/>
        </w:rPr>
        <w:t>HBV with specific reference to the recently identified interleukin 28B gene now renamed IFN-lambda 3. Methods A literature search was performed on MEDLINE, EMBASE and Web</w:t>
      </w:r>
      <w:r w:rsidR="00427468">
        <w:rPr>
          <w:kern w:val="0"/>
          <w:szCs w:val="24"/>
        </w:rPr>
        <w:t xml:space="preserve"> of </w:t>
      </w:r>
      <w:r>
        <w:rPr>
          <w:kern w:val="0"/>
          <w:szCs w:val="24"/>
        </w:rPr>
        <w:t>Science for English articles and abstracts using free text words and combinations</w:t>
      </w:r>
      <w:r w:rsidR="00427468">
        <w:rPr>
          <w:kern w:val="0"/>
          <w:szCs w:val="24"/>
        </w:rPr>
        <w:t xml:space="preserve"> of </w:t>
      </w:r>
      <w:r>
        <w:rPr>
          <w:kern w:val="0"/>
          <w:szCs w:val="24"/>
        </w:rPr>
        <w:t xml:space="preserve">the following terms </w:t>
      </w:r>
      <w:r w:rsidR="00700038">
        <w:rPr>
          <w:kern w:val="0"/>
          <w:szCs w:val="24"/>
        </w:rPr>
        <w:t>‘</w:t>
      </w:r>
      <w:r>
        <w:rPr>
          <w:kern w:val="0"/>
          <w:szCs w:val="24"/>
        </w:rPr>
        <w:t>IL28B</w:t>
      </w:r>
      <w:r w:rsidR="00700038">
        <w:rPr>
          <w:kern w:val="0"/>
          <w:szCs w:val="24"/>
        </w:rPr>
        <w:t>’</w:t>
      </w:r>
      <w:r>
        <w:rPr>
          <w:kern w:val="0"/>
          <w:szCs w:val="24"/>
        </w:rPr>
        <w:t xml:space="preserve">, </w:t>
      </w:r>
      <w:r w:rsidR="00700038">
        <w:rPr>
          <w:kern w:val="0"/>
          <w:szCs w:val="24"/>
        </w:rPr>
        <w:t>‘</w:t>
      </w:r>
      <w:r>
        <w:rPr>
          <w:kern w:val="0"/>
          <w:szCs w:val="24"/>
        </w:rPr>
        <w:t>IFN lambda</w:t>
      </w:r>
      <w:r w:rsidR="00700038">
        <w:rPr>
          <w:kern w:val="0"/>
          <w:szCs w:val="24"/>
        </w:rPr>
        <w:t>’</w:t>
      </w:r>
      <w:r>
        <w:rPr>
          <w:kern w:val="0"/>
          <w:szCs w:val="24"/>
        </w:rPr>
        <w:t xml:space="preserve">, </w:t>
      </w:r>
      <w:r w:rsidR="00700038">
        <w:rPr>
          <w:kern w:val="0"/>
          <w:szCs w:val="24"/>
        </w:rPr>
        <w:t>‘</w:t>
      </w:r>
      <w:r>
        <w:rPr>
          <w:kern w:val="0"/>
          <w:szCs w:val="24"/>
        </w:rPr>
        <w:t>genomics</w:t>
      </w:r>
      <w:r w:rsidR="00700038">
        <w:rPr>
          <w:kern w:val="0"/>
          <w:szCs w:val="24"/>
        </w:rPr>
        <w:t>’</w:t>
      </w:r>
      <w:r>
        <w:rPr>
          <w:kern w:val="0"/>
          <w:szCs w:val="24"/>
        </w:rPr>
        <w:t xml:space="preserve">, </w:t>
      </w:r>
      <w:r w:rsidR="00700038">
        <w:rPr>
          <w:kern w:val="0"/>
          <w:szCs w:val="24"/>
        </w:rPr>
        <w:t>‘</w:t>
      </w:r>
      <w:r>
        <w:rPr>
          <w:kern w:val="0"/>
          <w:szCs w:val="24"/>
        </w:rPr>
        <w:t>hepatitis B virus</w:t>
      </w:r>
      <w:r w:rsidR="00700038">
        <w:rPr>
          <w:kern w:val="0"/>
          <w:szCs w:val="24"/>
        </w:rPr>
        <w:t>’</w:t>
      </w:r>
      <w:r>
        <w:rPr>
          <w:kern w:val="0"/>
          <w:szCs w:val="24"/>
        </w:rPr>
        <w:t xml:space="preserve">, </w:t>
      </w:r>
      <w:r w:rsidR="00700038">
        <w:rPr>
          <w:kern w:val="0"/>
          <w:szCs w:val="24"/>
        </w:rPr>
        <w:t>‘</w:t>
      </w:r>
      <w:r>
        <w:rPr>
          <w:kern w:val="0"/>
          <w:szCs w:val="24"/>
        </w:rPr>
        <w:t>interferon</w:t>
      </w:r>
      <w:r w:rsidR="00700038">
        <w:rPr>
          <w:kern w:val="0"/>
          <w:szCs w:val="24"/>
        </w:rPr>
        <w:t>’</w:t>
      </w:r>
      <w:r>
        <w:rPr>
          <w:kern w:val="0"/>
          <w:szCs w:val="24"/>
        </w:rPr>
        <w:t xml:space="preserve"> </w:t>
      </w:r>
      <w:r w:rsidR="00700038">
        <w:rPr>
          <w:kern w:val="0"/>
          <w:szCs w:val="24"/>
        </w:rPr>
        <w:t>‘</w:t>
      </w:r>
      <w:r>
        <w:rPr>
          <w:kern w:val="0"/>
          <w:szCs w:val="24"/>
        </w:rPr>
        <w:t>GWAS</w:t>
      </w:r>
      <w:r w:rsidR="00700038">
        <w:rPr>
          <w:kern w:val="0"/>
          <w:szCs w:val="24"/>
        </w:rPr>
        <w:t>’</w:t>
      </w:r>
      <w:r>
        <w:rPr>
          <w:kern w:val="0"/>
          <w:szCs w:val="24"/>
        </w:rPr>
        <w:t xml:space="preserve">, </w:t>
      </w:r>
      <w:r w:rsidR="00700038">
        <w:rPr>
          <w:kern w:val="0"/>
          <w:szCs w:val="24"/>
        </w:rPr>
        <w:t>‘</w:t>
      </w:r>
      <w:r>
        <w:rPr>
          <w:kern w:val="0"/>
          <w:szCs w:val="24"/>
        </w:rPr>
        <w:t>treatment</w:t>
      </w:r>
      <w:r w:rsidR="00700038">
        <w:rPr>
          <w:kern w:val="0"/>
          <w:szCs w:val="24"/>
        </w:rPr>
        <w:t>’</w:t>
      </w:r>
      <w:r>
        <w:rPr>
          <w:kern w:val="0"/>
          <w:szCs w:val="24"/>
        </w:rPr>
        <w:t xml:space="preserve">, </w:t>
      </w:r>
      <w:r w:rsidR="00700038">
        <w:rPr>
          <w:kern w:val="0"/>
          <w:szCs w:val="24"/>
        </w:rPr>
        <w:t>‘</w:t>
      </w:r>
      <w:r>
        <w:rPr>
          <w:kern w:val="0"/>
          <w:szCs w:val="24"/>
        </w:rPr>
        <w:t>SNPs</w:t>
      </w:r>
      <w:r w:rsidR="00700038">
        <w:rPr>
          <w:kern w:val="0"/>
          <w:szCs w:val="24"/>
        </w:rPr>
        <w:t>’</w:t>
      </w:r>
      <w:r>
        <w:rPr>
          <w:kern w:val="0"/>
          <w:szCs w:val="24"/>
        </w:rPr>
        <w:t xml:space="preserve">, </w:t>
      </w:r>
      <w:r w:rsidR="00700038">
        <w:rPr>
          <w:kern w:val="0"/>
          <w:szCs w:val="24"/>
        </w:rPr>
        <w:t>‘</w:t>
      </w:r>
      <w:r>
        <w:rPr>
          <w:kern w:val="0"/>
          <w:szCs w:val="24"/>
        </w:rPr>
        <w:t>HLA</w:t>
      </w:r>
      <w:r w:rsidR="00700038">
        <w:rPr>
          <w:kern w:val="0"/>
          <w:szCs w:val="24"/>
        </w:rPr>
        <w:t>’</w:t>
      </w:r>
      <w:r>
        <w:rPr>
          <w:kern w:val="0"/>
          <w:szCs w:val="24"/>
        </w:rPr>
        <w:t xml:space="preserve">, </w:t>
      </w:r>
      <w:r w:rsidR="00700038">
        <w:rPr>
          <w:kern w:val="0"/>
          <w:szCs w:val="24"/>
        </w:rPr>
        <w:t>‘</w:t>
      </w:r>
      <w:r>
        <w:rPr>
          <w:kern w:val="0"/>
          <w:szCs w:val="24"/>
        </w:rPr>
        <w:t>polymorphisms</w:t>
      </w:r>
      <w:r w:rsidR="00700038">
        <w:rPr>
          <w:kern w:val="0"/>
          <w:szCs w:val="24"/>
        </w:rPr>
        <w:t>’</w:t>
      </w:r>
      <w:r>
        <w:rPr>
          <w:kern w:val="0"/>
          <w:szCs w:val="24"/>
        </w:rPr>
        <w:t xml:space="preserve">. Results Genome-wide association studies convincingly demonstrated an association between </w:t>
      </w:r>
      <w:r>
        <w:rPr>
          <w:kern w:val="0"/>
          <w:szCs w:val="24"/>
        </w:rPr>
        <w:lastRenderedPageBreak/>
        <w:t>SNPs in the HLA locus and spontaneous resolution</w:t>
      </w:r>
      <w:r w:rsidR="00427468">
        <w:rPr>
          <w:kern w:val="0"/>
          <w:szCs w:val="24"/>
        </w:rPr>
        <w:t xml:space="preserve"> of </w:t>
      </w:r>
      <w:r>
        <w:rPr>
          <w:kern w:val="0"/>
          <w:szCs w:val="24"/>
        </w:rPr>
        <w:t>HBV infection in subgroups</w:t>
      </w:r>
      <w:r w:rsidR="00427468">
        <w:rPr>
          <w:kern w:val="0"/>
          <w:szCs w:val="24"/>
        </w:rPr>
        <w:t xml:space="preserve"> of </w:t>
      </w:r>
      <w:r>
        <w:rPr>
          <w:kern w:val="0"/>
          <w:szCs w:val="24"/>
        </w:rPr>
        <w:t>Asian patients, yet no information is available for Caucasians</w:t>
      </w:r>
      <w:r w:rsidR="00A37C1D">
        <w:rPr>
          <w:kern w:val="0"/>
          <w:szCs w:val="24"/>
        </w:rPr>
        <w:t>. The</w:t>
      </w:r>
      <w:r>
        <w:rPr>
          <w:kern w:val="0"/>
          <w:szCs w:val="24"/>
        </w:rPr>
        <w:t xml:space="preserve"> preliminary observations</w:t>
      </w:r>
      <w:r w:rsidR="00427468">
        <w:rPr>
          <w:kern w:val="0"/>
          <w:szCs w:val="24"/>
        </w:rPr>
        <w:t xml:space="preserve"> of </w:t>
      </w:r>
      <w:r>
        <w:rPr>
          <w:kern w:val="0"/>
          <w:szCs w:val="24"/>
        </w:rPr>
        <w:t>an association between IFN-lambda 3 SNP and virological and serological responses to IFN in both HBeAg-positive and -negative patients could not be replicated by subsequent studies. Yet, majority</w:t>
      </w:r>
      <w:r w:rsidR="00427468">
        <w:rPr>
          <w:kern w:val="0"/>
          <w:szCs w:val="24"/>
        </w:rPr>
        <w:t xml:space="preserve"> of </w:t>
      </w:r>
      <w:r>
        <w:rPr>
          <w:kern w:val="0"/>
          <w:szCs w:val="24"/>
        </w:rPr>
        <w:t>studies performed so far suffer several limitations in terms</w:t>
      </w:r>
      <w:r w:rsidR="00427468">
        <w:rPr>
          <w:kern w:val="0"/>
          <w:szCs w:val="24"/>
        </w:rPr>
        <w:t xml:space="preserve"> of </w:t>
      </w:r>
      <w:r>
        <w:rPr>
          <w:kern w:val="0"/>
          <w:szCs w:val="24"/>
        </w:rPr>
        <w:t>sample size, selection</w:t>
      </w:r>
      <w:r w:rsidR="00427468">
        <w:rPr>
          <w:kern w:val="0"/>
          <w:szCs w:val="24"/>
        </w:rPr>
        <w:t xml:space="preserve"> of </w:t>
      </w:r>
      <w:r>
        <w:rPr>
          <w:kern w:val="0"/>
          <w:szCs w:val="24"/>
        </w:rPr>
        <w:t>the patients, endpoints</w:t>
      </w:r>
      <w:r w:rsidR="00427468">
        <w:rPr>
          <w:kern w:val="0"/>
          <w:szCs w:val="24"/>
        </w:rPr>
        <w:t xml:space="preserve"> of </w:t>
      </w:r>
      <w:r>
        <w:rPr>
          <w:kern w:val="0"/>
          <w:szCs w:val="24"/>
        </w:rPr>
        <w:t>therapy, treatment strategies and duration</w:t>
      </w:r>
      <w:r w:rsidR="00427468">
        <w:rPr>
          <w:kern w:val="0"/>
          <w:szCs w:val="24"/>
        </w:rPr>
        <w:t xml:space="preserve"> of </w:t>
      </w:r>
      <w:r>
        <w:rPr>
          <w:kern w:val="0"/>
          <w:szCs w:val="24"/>
        </w:rPr>
        <w:t>follow-up. Conclusions While host genetics is associated with an increased likelihood</w:t>
      </w:r>
      <w:r w:rsidR="00427468">
        <w:rPr>
          <w:kern w:val="0"/>
          <w:szCs w:val="24"/>
        </w:rPr>
        <w:t xml:space="preserve"> of </w:t>
      </w:r>
      <w:r>
        <w:rPr>
          <w:kern w:val="0"/>
          <w:szCs w:val="24"/>
        </w:rPr>
        <w:t>spontaneous clearance</w:t>
      </w:r>
      <w:r w:rsidR="00427468">
        <w:rPr>
          <w:kern w:val="0"/>
          <w:szCs w:val="24"/>
        </w:rPr>
        <w:t xml:space="preserve"> of </w:t>
      </w:r>
      <w:r>
        <w:rPr>
          <w:kern w:val="0"/>
          <w:szCs w:val="24"/>
        </w:rPr>
        <w:t>HBV among genotype B/C patients, the relationship between IFN-lambda 3 polymorphisms and response to IFN has not been confirmed. Further studies in large cohorts</w:t>
      </w:r>
      <w:r w:rsidR="00427468">
        <w:rPr>
          <w:kern w:val="0"/>
          <w:szCs w:val="24"/>
        </w:rPr>
        <w:t xml:space="preserve"> of </w:t>
      </w:r>
      <w:r>
        <w:rPr>
          <w:kern w:val="0"/>
          <w:szCs w:val="24"/>
        </w:rPr>
        <w:t>homogeneous patients are required, before this genetic test can be recommended in clinical practice.</w:t>
      </w:r>
    </w:p>
    <w:p w:rsidR="00C32E49" w:rsidRDefault="00C32E49" w:rsidP="00C32E49">
      <w:pPr>
        <w:pStyle w:val="a3"/>
        <w:rPr>
          <w:kern w:val="0"/>
          <w:szCs w:val="24"/>
        </w:rPr>
      </w:pPr>
      <w:r>
        <w:rPr>
          <w:kern w:val="0"/>
          <w:szCs w:val="24"/>
        </w:rPr>
        <w:t>Keywords: Asian, Association, Clinical, Clinical Practice, Combination, Duration, Embase, English, Follow-Up, Gene, Genetic, Genetic-Variation, Genetics, Genome-Wide Association, Genomics, Hbv, Hbv Infection, Hepatitis, Hepatitis B, Hepatitis B Virus, Hepatitis C, Hepatitis C Virus, Hla-Dp, Host, Il28b, Infection, Information, Interferon, Lambda, Lamivudine, Literature, Literature Search, Mar, Medline, Meta Analysis, Meta-Analysis, Metaanalysis, Methods, Observations, Outcome, Patients, Peginterferon Alpha-2</w:t>
      </w:r>
      <w:r>
        <w:rPr>
          <w:rFonts w:hint="eastAsia"/>
          <w:kern w:val="0"/>
          <w:szCs w:val="24"/>
        </w:rPr>
        <w:t>A</w:t>
      </w:r>
      <w:r>
        <w:rPr>
          <w:kern w:val="0"/>
          <w:szCs w:val="24"/>
        </w:rPr>
        <w:t>, Polymorphisms, Practice, Reference, Response, Results, Review, Sample Size, Science, Selection, Size, SNP, Spontaneous, Spontaneous Clearance, Systematic Review, Therapy, Treatment, Virus Infection, Web</w:t>
      </w:r>
      <w:r w:rsidR="00427468">
        <w:rPr>
          <w:kern w:val="0"/>
          <w:szCs w:val="24"/>
        </w:rPr>
        <w:t xml:space="preserve"> of </w:t>
      </w:r>
      <w:r>
        <w:rPr>
          <w:kern w:val="0"/>
          <w:szCs w:val="24"/>
        </w:rPr>
        <w:t>Science</w:t>
      </w:r>
    </w:p>
    <w:p w:rsidR="000F592F" w:rsidRDefault="000F592F" w:rsidP="000F592F">
      <w:pPr>
        <w:pStyle w:val="a3"/>
        <w:rPr>
          <w:kern w:val="0"/>
        </w:rPr>
      </w:pPr>
      <w:r>
        <w:rPr>
          <w:rFonts w:hint="eastAsia"/>
          <w:kern w:val="0"/>
        </w:rPr>
        <w:t xml:space="preserve">? </w:t>
      </w:r>
      <w:r>
        <w:rPr>
          <w:kern w:val="0"/>
        </w:rPr>
        <w:t xml:space="preserve">Nagaraja, V. and Eslick, G.D. (2014), Systematic review with meta-analysis: The relationship between chronic </w:t>
      </w:r>
      <w:r w:rsidRPr="006E03FB">
        <w:rPr>
          <w:i/>
          <w:kern w:val="0"/>
        </w:rPr>
        <w:t>Salmonella typhi</w:t>
      </w:r>
      <w:r>
        <w:rPr>
          <w:kern w:val="0"/>
        </w:rPr>
        <w:t xml:space="preserve"> carrier status and gall-bladder cancer. </w:t>
      </w:r>
      <w:r>
        <w:rPr>
          <w:i/>
          <w:iCs/>
          <w:kern w:val="0"/>
        </w:rPr>
        <w:t>Alimentary Pharmacology &amp; Therapeutics</w:t>
      </w:r>
      <w:r>
        <w:rPr>
          <w:kern w:val="0"/>
        </w:rPr>
        <w:t xml:space="preserve">, </w:t>
      </w:r>
      <w:r>
        <w:rPr>
          <w:b/>
          <w:bCs/>
          <w:kern w:val="0"/>
        </w:rPr>
        <w:t>39</w:t>
      </w:r>
      <w:r>
        <w:rPr>
          <w:kern w:val="0"/>
        </w:rPr>
        <w:t xml:space="preserve"> (8), 745-750.</w:t>
      </w:r>
    </w:p>
    <w:p w:rsidR="000F592F" w:rsidRPr="00F219CA" w:rsidRDefault="000F592F" w:rsidP="000F592F">
      <w:pPr>
        <w:pStyle w:val="a3"/>
        <w:rPr>
          <w:kern w:val="0"/>
        </w:rPr>
      </w:pPr>
      <w:r w:rsidRPr="00F219CA">
        <w:rPr>
          <w:kern w:val="0"/>
        </w:rPr>
        <w:t xml:space="preserve">Full Text: </w:t>
      </w:r>
      <w:hyperlink r:id="rId369" w:history="1">
        <w:r w:rsidRPr="006E03FB">
          <w:rPr>
            <w:rStyle w:val="a5"/>
            <w:kern w:val="0"/>
          </w:rPr>
          <w:t>2014\Ali Pha The39, 745.pdf</w:t>
        </w:r>
      </w:hyperlink>
    </w:p>
    <w:p w:rsidR="000F592F" w:rsidRDefault="000F592F" w:rsidP="000F592F">
      <w:pPr>
        <w:pStyle w:val="a3"/>
        <w:rPr>
          <w:kern w:val="0"/>
        </w:rPr>
      </w:pPr>
      <w:r>
        <w:rPr>
          <w:kern w:val="0"/>
        </w:rPr>
        <w:t xml:space="preserve">Abstract: Background Carcinoma of the gall-bladder is the fifth commonest gastrointestinal tract cancer and is endemic in several countries. An association of chronic typhoid carriage and carcinoma of the gall-bladder has been reported. Aim To clarify whether chronic Salmonella typhi carrier state is associated with carcinoma of the gall-bladder. Methods A systematic search was conducted using MEDLINE, PubMed, EMBASE, Current Contents, Cochrane library, Google Scholar, Science Direct and Web of Science. Original data were abstracted from each study and used to calculate a pooled odds ratio (OR) and 95% confidence interval (95% CI). Results Of the articles selected, only 17 studies met full criteria for analysis. The overall OR for chronic S. typhi carrier state was 4.28(95% CI: 1.84-9.96). Most of the studies were from South Asia especially India and China. When a subgroup analysis was performed according to region, a significant association was observed in South-East Asia (OR: 4.13, 95% CI: 2.87-5.94, P value </w:t>
      </w:r>
      <w:r>
        <w:rPr>
          <w:kern w:val="0"/>
        </w:rPr>
        <w:lastRenderedPageBreak/>
        <w:t>&lt;0.01). Chronic S. typhi carrier state was associated with carcinoma of the gall-bladder based on detection methods of S. typhi antibody levels (OR: 3.52, 95% CI: 2.48-5.00, P value &lt;0.01) and even more so on culture (OR: 4.14, 95% CI: 2.41-7.12, P value &lt;0.01). The association was prominent in controls without gallstones (OR: 5.86, 95% CI: 3.84-8.95, P value &lt;0.01) when compared with controls with gallstones (OR: 2.71, 95% CI: 1.92-3.83, P value &lt;0.01). Conclusions Chronic S. typhi carrier state is an important risk factor among patients with carcinoma of the gall-bladder. Given the high risk associated with this carrier state, management options should include either elective cholecystectomy or careful monitoring using ultrasound.</w:t>
      </w:r>
    </w:p>
    <w:p w:rsidR="000F592F" w:rsidRDefault="000F592F" w:rsidP="000F592F">
      <w:pPr>
        <w:pStyle w:val="a3"/>
        <w:rPr>
          <w:kern w:val="0"/>
        </w:rPr>
      </w:pPr>
      <w:r>
        <w:rPr>
          <w:kern w:val="0"/>
        </w:rPr>
        <w:t>Keywords: Analysis, Antibody, Asia, Association, Bile, Cancer, Carcinogenesis, Carcinoma, Carrier State, China, Cholecystectomy, Chronic, Chronic Bacterial-Infection, Confidence, Criteria, Culture, Data, Elective, Embase, Gallstones, Google, Google Scholar, India, Interval, Management, Management Options, Medline, Meta Analysis, Meta-Analysis, Metaanalysis, Methods, Monitoring, Odds Ratio, Options, P, Patients, Pubmed, Region, Results, Review, Risk, Risk Factor, Risk-Factors, Salmonella, Salmonella Typhi, Science, South Asia, South East Asia, State, Stones, Systematic Review, Ultrasound, Value, Web Of Science</w:t>
      </w:r>
    </w:p>
    <w:p w:rsidR="00427468" w:rsidRDefault="00427468" w:rsidP="00427468">
      <w:pPr>
        <w:pStyle w:val="a3"/>
        <w:rPr>
          <w:kern w:val="0"/>
        </w:rPr>
      </w:pPr>
      <w:r>
        <w:rPr>
          <w:kern w:val="0"/>
        </w:rPr>
        <w:t xml:space="preserve">? Luo, J., Yang, Y., Liu, J., Lu, K., Tang, Z., Liu, P., Liu, L. and Zhu, Y. (2014), Systematic review with meta-analysis: Meat consumption and the risk of hepatocellular carcinoma. </w:t>
      </w:r>
      <w:r>
        <w:rPr>
          <w:i/>
          <w:iCs/>
          <w:kern w:val="0"/>
        </w:rPr>
        <w:t>Alimentary Pharmacology &amp; Therapeutics</w:t>
      </w:r>
      <w:r>
        <w:rPr>
          <w:kern w:val="0"/>
        </w:rPr>
        <w:t xml:space="preserve">, </w:t>
      </w:r>
      <w:r>
        <w:rPr>
          <w:b/>
          <w:bCs/>
          <w:kern w:val="0"/>
        </w:rPr>
        <w:t>39</w:t>
      </w:r>
      <w:r>
        <w:rPr>
          <w:kern w:val="0"/>
        </w:rPr>
        <w:t xml:space="preserve"> (9), 913-922.</w:t>
      </w:r>
    </w:p>
    <w:p w:rsidR="00427468" w:rsidRPr="00F219CA" w:rsidRDefault="00427468" w:rsidP="00427468">
      <w:pPr>
        <w:pStyle w:val="a3"/>
        <w:rPr>
          <w:kern w:val="0"/>
        </w:rPr>
      </w:pPr>
      <w:r w:rsidRPr="00F219CA">
        <w:rPr>
          <w:kern w:val="0"/>
        </w:rPr>
        <w:t xml:space="preserve">Full Text: </w:t>
      </w:r>
      <w:hyperlink r:id="rId370" w:history="1">
        <w:r w:rsidRPr="00427468">
          <w:rPr>
            <w:rStyle w:val="a5"/>
            <w:kern w:val="0"/>
          </w:rPr>
          <w:t>2014\Ali Pha The39, 913.pdf</w:t>
        </w:r>
      </w:hyperlink>
    </w:p>
    <w:p w:rsidR="00427468" w:rsidRDefault="00427468" w:rsidP="00427468">
      <w:pPr>
        <w:pStyle w:val="a3"/>
        <w:rPr>
          <w:kern w:val="0"/>
        </w:rPr>
      </w:pPr>
      <w:r>
        <w:rPr>
          <w:kern w:val="0"/>
        </w:rPr>
        <w:t>Abstract: Background The association between meat consumption and the risk of hepatocellular carcinoma (HCC) is still inconclusive. Aim To conduct a systematic review and meta-analysis to quantitatively assess the relationship between meat intake and the risk of HCC. Methods We searched the PubMed, Web of Science and EMBASE databases for relevant studies published before July 2013</w:t>
      </w:r>
      <w:r w:rsidR="00A37C1D">
        <w:rPr>
          <w:kern w:val="0"/>
        </w:rPr>
        <w:t>. The</w:t>
      </w:r>
      <w:r>
        <w:rPr>
          <w:kern w:val="0"/>
        </w:rPr>
        <w:t xml:space="preserve"> summary relative risks were pooled using the fixed-effects model when no substantial heterogeneity was detected, otherwise, the random-effects model was used. Heterogeneity and publication bias were also analysed. Results Finally, seven cohort studies and 10 case-control studies were included</w:t>
      </w:r>
      <w:r w:rsidR="00A37C1D">
        <w:rPr>
          <w:kern w:val="0"/>
        </w:rPr>
        <w:t>. The</w:t>
      </w:r>
      <w:r>
        <w:rPr>
          <w:kern w:val="0"/>
        </w:rPr>
        <w:t xml:space="preserve"> pooled relative risks (RRs) of HCC for the highest vs. lowest consumption levels were 1.10 (95% confidence interval, CI: 0.85-1.42) for red meat, 1.01 (95% CI: 0.79-1.28) for processed meat and 0.97 (95% CI: 0.85-1.11) for total meat. Moreover, white meat and fish consumption were found to be inversely associated with HCC risk, the summary RRs were 0.69 (95% CI: 0.58-0.81) and 0.78 (95% CI: 0.67-0.90) respectively, and the results remained quite stable after stratification by the confounding factors. </w:t>
      </w:r>
      <w:r>
        <w:rPr>
          <w:kern w:val="0"/>
        </w:rPr>
        <w:lastRenderedPageBreak/>
        <w:t>Conclusions The present meta-analysis indicates that a high level of white meat or fish consumption can reduce the risk of HCC significantly, while intake of red meat, processed meat or total meat is not associated with HCC risk. Our findings suggest that dietary intervention may be a promising approach for prevention of HCC, which still need to be confirmed by further well-designed prospective studies and experimental research.</w:t>
      </w:r>
    </w:p>
    <w:p w:rsidR="00427468" w:rsidRDefault="00427468" w:rsidP="00427468">
      <w:pPr>
        <w:pStyle w:val="a3"/>
        <w:rPr>
          <w:kern w:val="0"/>
        </w:rPr>
      </w:pPr>
      <w:r>
        <w:rPr>
          <w:kern w:val="0"/>
        </w:rPr>
        <w:t>Keywords: Approach, Association, Bias, Cancer-Risk, Carcinoma, Case-Control, Case-Control Studies, Cohort, Colorectal-Cancer, Confidence, Confounding, Consumption, Databases, Embase, Epidemiology, Experimental, Fatty-Acids, Fish, Fixed Effects Model, Hepatocellular Carcinoma, Heterocyclic Amines, Heterogeneity, Interval, Intervention, Liver-Disease, Meta Analysis, Meta-Analysis, Metaanalysis, Methods, Model, Prevention, Prospective, Prospective Studies, Publication, Publication Bias, Pubmed, Random Effects Model, Red Meat, Research, Results, Review, Risk, Risks, Science, Stratification, Supplementation, Systematic Review, Web of Science</w:t>
      </w:r>
    </w:p>
    <w:p w:rsidR="00A02D19" w:rsidRDefault="00A02D19" w:rsidP="00A02D19">
      <w:pPr>
        <w:pStyle w:val="a3"/>
        <w:rPr>
          <w:kern w:val="0"/>
        </w:rPr>
      </w:pPr>
      <w:r>
        <w:rPr>
          <w:rFonts w:hint="eastAsia"/>
          <w:kern w:val="0"/>
        </w:rPr>
        <w:t xml:space="preserve">? </w:t>
      </w:r>
      <w:r>
        <w:rPr>
          <w:kern w:val="0"/>
        </w:rPr>
        <w:t xml:space="preserve">Konerman, M.A., Yapali, S. and Lok, A.S. (2014), Systematic review: Identifying patients with chronic hepatitis C in need of early treatment and intensive monitoring - predictors and predictive models of disease progression. </w:t>
      </w:r>
      <w:r>
        <w:rPr>
          <w:i/>
          <w:iCs/>
          <w:kern w:val="0"/>
        </w:rPr>
        <w:t>Alimentary Pharmacology &amp; Therapeutics</w:t>
      </w:r>
      <w:r>
        <w:rPr>
          <w:kern w:val="0"/>
        </w:rPr>
        <w:t xml:space="preserve">, </w:t>
      </w:r>
      <w:r>
        <w:rPr>
          <w:b/>
          <w:bCs/>
          <w:kern w:val="0"/>
        </w:rPr>
        <w:t>40</w:t>
      </w:r>
      <w:r>
        <w:rPr>
          <w:kern w:val="0"/>
        </w:rPr>
        <w:t xml:space="preserve"> (8), 863-879.</w:t>
      </w:r>
    </w:p>
    <w:p w:rsidR="00A02D19" w:rsidRPr="00F219CA" w:rsidRDefault="00A02D19" w:rsidP="00A02D19">
      <w:pPr>
        <w:pStyle w:val="a3"/>
        <w:rPr>
          <w:kern w:val="0"/>
        </w:rPr>
      </w:pPr>
      <w:r w:rsidRPr="00F219CA">
        <w:rPr>
          <w:kern w:val="0"/>
        </w:rPr>
        <w:t xml:space="preserve">Full Text: </w:t>
      </w:r>
      <w:hyperlink r:id="rId371" w:history="1">
        <w:r w:rsidRPr="00C82379">
          <w:rPr>
            <w:rStyle w:val="a5"/>
            <w:kern w:val="0"/>
          </w:rPr>
          <w:t>2014\Ali Pha The40, 863.pdf</w:t>
        </w:r>
      </w:hyperlink>
    </w:p>
    <w:p w:rsidR="00A02D19" w:rsidRDefault="00A02D19" w:rsidP="00A02D19">
      <w:pPr>
        <w:pStyle w:val="a3"/>
        <w:rPr>
          <w:kern w:val="0"/>
        </w:rPr>
      </w:pPr>
      <w:r>
        <w:rPr>
          <w:kern w:val="0"/>
        </w:rPr>
        <w:t xml:space="preserve">Abstract: BackgroundAdvances in hepatitis C therapies have led to increasing numbers of patients seeking treatment. As a result, logistical and financial concerns regarding how treatment can be provided to all patients with chronic hepatitis C (CHC) have emerged. AimTo evaluate predictors and predictive models of histological progression and clinical outcomes for patients with CHC. MethodsMEDLINE via PubMed, EMBASE, Web of Science and Scopus were searched for studies published between January 2003 and June 2014. Two authors independently reviewed articles to select eligible studies and performed data abstraction. ResultsTwenty-nine studies representing 5817 patients from 20 unique cohorts were included. The outcome incidence rates were widely variable: 16-61% during median follow-up of 2.5-10years for fibrosis progression; 13-40% over 2.3-14.4years for hepatic decompensation and 8-47% over 3.9-14.4years for overall mortality. Multivariate analyses showed that baseline steatosis and baseline fibrosis score were the most consistent predictors of fibrosis progression (significant in 6/21 and 5/21, studies, respectively) while baseline platelet count (significant in 6/13 studies), aspartate and alanine aminotransferase (AST/ALT) ratio, albumin, bilirubin and age (each significant in 4/13 studies) were the most consistent predictors of clinical outcomes. Five studies developed predictive models but none were externally validated. ConclusionsOur review identified the variables that most consistently predict </w:t>
      </w:r>
      <w:r>
        <w:rPr>
          <w:kern w:val="0"/>
        </w:rPr>
        <w:lastRenderedPageBreak/>
        <w:t>outcomes of patients with chronic hepatitis C allowing the application of risk based approaches to identify patients in need of early treatment and intensive monitoring. This approach maximises effective use of resources and costly new direct-acting anti-viral agents.</w:t>
      </w:r>
    </w:p>
    <w:p w:rsidR="00A02D19" w:rsidRDefault="00A02D19" w:rsidP="00A02D19">
      <w:pPr>
        <w:pStyle w:val="a3"/>
        <w:rPr>
          <w:kern w:val="0"/>
        </w:rPr>
      </w:pPr>
      <w:r>
        <w:rPr>
          <w:kern w:val="0"/>
        </w:rPr>
        <w:t>Keywords: Age, Alanine Aminotransferase, Alanine Aminotransferase Levels, Albumin, Analyses, Antiviral, Application, Approach, Articles, Authors, Bilirubin, Chronic, Chronic Hepatitis, Cirrhosis Trial, Clinical, Clinical Outcomes, Data, Disease, Disease Progression, Embase, Fibrosis, Fibrosis Progression, Follow-Up, From, Hepatitis, Hepatitis C, Incidence, Liver-Disease, Long-Term Treatment, Models, Monitoring, Mortality, Outcome, Outcomes, Patients, Platelet Count, Predictive, Predictors, Progression, Pubmed, Rates, Resources, Review, Risk, Science, Scopus, Steatosis, Systematic, Systematic Review, Treatment, Untreated Patients, Virus-Infection, Web Of Science</w:t>
      </w:r>
    </w:p>
    <w:p w:rsidR="003474F2" w:rsidRPr="001A3D2B" w:rsidRDefault="003474F2" w:rsidP="003474F2">
      <w:pPr>
        <w:pStyle w:val="1"/>
      </w:pPr>
      <w:r w:rsidRPr="001A3D2B">
        <w:br w:type="page"/>
      </w:r>
      <w:bookmarkStart w:id="200" w:name="_Toc43634523"/>
      <w:bookmarkStart w:id="201" w:name="_Toc81215583"/>
      <w:bookmarkStart w:id="202" w:name="_Toc420814360"/>
      <w:r w:rsidRPr="001A3D2B">
        <w:lastRenderedPageBreak/>
        <w:t>Title: Allergy</w:t>
      </w:r>
      <w:bookmarkEnd w:id="8"/>
      <w:bookmarkEnd w:id="200"/>
      <w:bookmarkEnd w:id="201"/>
      <w:bookmarkEnd w:id="202"/>
    </w:p>
    <w:p w:rsidR="003474F2" w:rsidRPr="001A3D2B" w:rsidRDefault="003474F2" w:rsidP="003474F2">
      <w:pPr>
        <w:pStyle w:val="12"/>
      </w:pPr>
      <w:r w:rsidRPr="001A3D2B">
        <w:t xml:space="preserve">Full Journal Title: </w:t>
      </w:r>
      <w:hyperlink r:id="rId372" w:history="1">
        <w:hyperlink r:id="rId373" w:history="1">
          <w:r w:rsidRPr="001A3D2B">
            <w:rPr>
              <w:rStyle w:val="a5"/>
            </w:rPr>
            <w:t>Allergy</w:t>
          </w:r>
        </w:hyperlink>
      </w:hyperlink>
    </w:p>
    <w:p w:rsidR="003474F2" w:rsidRPr="001A3D2B" w:rsidRDefault="003474F2" w:rsidP="003474F2">
      <w:pPr>
        <w:pStyle w:val="12"/>
      </w:pPr>
      <w:r w:rsidRPr="001A3D2B">
        <w:t>ISO Abbreviated Title: Allergy</w:t>
      </w:r>
    </w:p>
    <w:p w:rsidR="003474F2" w:rsidRPr="001A3D2B" w:rsidRDefault="003474F2" w:rsidP="003474F2">
      <w:pPr>
        <w:pStyle w:val="12"/>
      </w:pPr>
      <w:r w:rsidRPr="001A3D2B">
        <w:t>JCR Abbreviated Title: Allergy</w:t>
      </w:r>
    </w:p>
    <w:p w:rsidR="003474F2" w:rsidRPr="001A3D2B" w:rsidRDefault="003474F2" w:rsidP="003474F2">
      <w:pPr>
        <w:pStyle w:val="12"/>
      </w:pPr>
      <w:r w:rsidRPr="001A3D2B">
        <w:t>ISSN: 0105-4538</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Denmark</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Munksgaard Int Publ Ltd</w:t>
      </w:r>
    </w:p>
    <w:p w:rsidR="003474F2" w:rsidRPr="001A3D2B" w:rsidRDefault="003474F2" w:rsidP="003474F2">
      <w:pPr>
        <w:pStyle w:val="12"/>
      </w:pPr>
      <w:r w:rsidRPr="001A3D2B">
        <w:t xml:space="preserve">Publisher Address: 35 Norre Sogade, </w:t>
      </w:r>
      <w:smartTag w:uri="urn:schemas-microsoft-com:office:smarttags" w:element="address">
        <w:smartTag w:uri="urn:schemas-microsoft-com:office:smarttags" w:element="Street">
          <w:r w:rsidRPr="001A3D2B">
            <w:t>PO Box</w:t>
          </w:r>
        </w:smartTag>
        <w:r w:rsidRPr="001A3D2B">
          <w:t xml:space="preserve"> 2148</w:t>
        </w:r>
      </w:smartTag>
      <w:r w:rsidRPr="001A3D2B">
        <w:t xml:space="preserve">, DK-1016 </w:t>
      </w:r>
      <w:smartTag w:uri="urn:schemas-microsoft-com:office:smarttags" w:element="place">
        <w:smartTag w:uri="urn:schemas-microsoft-com:office:smarttags" w:element="City">
          <w:r w:rsidRPr="001A3D2B">
            <w:t>Copenhagen</w:t>
          </w:r>
        </w:smartTag>
        <w:r w:rsidRPr="001A3D2B">
          <w:t xml:space="preserve">, </w:t>
        </w:r>
        <w:smartTag w:uri="urn:schemas-microsoft-com:office:smarttags" w:element="country-region">
          <w:r w:rsidRPr="001A3D2B">
            <w:t>Denmark</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Allergy: Impact Factor 0.2552,/(2001)</w:t>
      </w:r>
    </w:p>
    <w:p w:rsidR="003474F2" w:rsidRPr="001A3D2B" w:rsidRDefault="003474F2" w:rsidP="003474F2">
      <w:pPr>
        <w:pStyle w:val="12"/>
      </w:pPr>
      <w:r w:rsidRPr="001A3D2B">
        <w:t>Immunology: Impact Factor 0.2552,/(2001)</w:t>
      </w:r>
    </w:p>
    <w:p w:rsidR="003474F2" w:rsidRPr="001A3D2B" w:rsidRDefault="003474F2" w:rsidP="003474F2">
      <w:pPr>
        <w:pStyle w:val="a3"/>
      </w:pPr>
      <w:r w:rsidRPr="001A3D2B">
        <w:t>? Seglen, P.O. (1997), Citations</w:t>
      </w:r>
      <w:r w:rsidR="005853A9">
        <w:t xml:space="preserve"> and </w:t>
      </w:r>
      <w:r w:rsidRPr="001A3D2B">
        <w:t>journal impact factors: Questionable indicators</w:t>
      </w:r>
      <w:r w:rsidR="00427468">
        <w:t xml:space="preserve"> of </w:t>
      </w:r>
      <w:r w:rsidRPr="001A3D2B">
        <w:t xml:space="preserve">research quality. </w:t>
      </w:r>
      <w:r w:rsidRPr="001A3D2B">
        <w:rPr>
          <w:i/>
          <w:iCs/>
        </w:rPr>
        <w:t>Allergy</w:t>
      </w:r>
      <w:r w:rsidRPr="001A3D2B">
        <w:t xml:space="preserve">, </w:t>
      </w:r>
      <w:r w:rsidRPr="001A3D2B">
        <w:rPr>
          <w:b/>
        </w:rPr>
        <w:t>52</w:t>
      </w:r>
      <w:r w:rsidRPr="001A3D2B">
        <w:t xml:space="preserve"> (11), 1050-1056.</w:t>
      </w:r>
    </w:p>
    <w:p w:rsidR="003474F2" w:rsidRPr="001A3D2B" w:rsidRDefault="003474F2" w:rsidP="003474F2">
      <w:pPr>
        <w:pStyle w:val="a3"/>
      </w:pPr>
      <w:bookmarkStart w:id="203" w:name="_Toc30179418"/>
      <w:r w:rsidRPr="001A3D2B">
        <w:t xml:space="preserve">Full Text: </w:t>
      </w:r>
      <w:hyperlink r:id="rId374" w:history="1">
        <w:r w:rsidRPr="001A3D2B">
          <w:rPr>
            <w:rStyle w:val="a5"/>
          </w:rPr>
          <w:t>1997\Allergy52, 1050.pdf</w:t>
        </w:r>
      </w:hyperlink>
    </w:p>
    <w:p w:rsidR="003474F2" w:rsidRPr="001A3D2B" w:rsidRDefault="003474F2" w:rsidP="003474F2">
      <w:pPr>
        <w:pStyle w:val="a3"/>
      </w:pPr>
      <w:r w:rsidRPr="001A3D2B">
        <w:t>Keywords: Impact, Impact Factors, Indicators, Journal, Journal Impact, Journal Impact Factors, Quality, Research, Research Quality</w:t>
      </w:r>
    </w:p>
    <w:p w:rsidR="003474F2" w:rsidRPr="001A3D2B" w:rsidRDefault="003474F2" w:rsidP="003474F2">
      <w:pPr>
        <w:pStyle w:val="a3"/>
      </w:pPr>
      <w:r w:rsidRPr="001A3D2B">
        <w:t>Notes: TTopic</w:t>
      </w:r>
    </w:p>
    <w:p w:rsidR="003474F2" w:rsidRPr="001A3D2B" w:rsidRDefault="003474F2" w:rsidP="003474F2">
      <w:pPr>
        <w:pStyle w:val="a3"/>
      </w:pPr>
      <w:r w:rsidRPr="001A3D2B">
        <w:t xml:space="preserve">? Hoeffel, C. (1998), Journal impact factors. </w:t>
      </w:r>
      <w:r w:rsidRPr="001A3D2B">
        <w:rPr>
          <w:i/>
          <w:iCs/>
        </w:rPr>
        <w:t>Allergy</w:t>
      </w:r>
      <w:r w:rsidRPr="001A3D2B">
        <w:t xml:space="preserve">, </w:t>
      </w:r>
      <w:r w:rsidRPr="001A3D2B">
        <w:rPr>
          <w:b/>
        </w:rPr>
        <w:t>53</w:t>
      </w:r>
      <w:r w:rsidRPr="001A3D2B">
        <w:t xml:space="preserve"> (12), 1225.</w:t>
      </w:r>
    </w:p>
    <w:p w:rsidR="003474F2" w:rsidRPr="001A3D2B" w:rsidRDefault="003474F2" w:rsidP="003474F2">
      <w:pPr>
        <w:pStyle w:val="a3"/>
      </w:pPr>
      <w:r w:rsidRPr="001A3D2B">
        <w:t xml:space="preserve">Full Text: </w:t>
      </w:r>
      <w:hyperlink r:id="rId375" w:history="1">
        <w:r w:rsidRPr="001A3D2B">
          <w:rPr>
            <w:rStyle w:val="a5"/>
          </w:rPr>
          <w:t>1998\Allergy53, 1225.pdf</w:t>
        </w:r>
      </w:hyperlink>
    </w:p>
    <w:p w:rsidR="003474F2" w:rsidRPr="001A3D2B" w:rsidRDefault="003474F2" w:rsidP="003474F2">
      <w:pPr>
        <w:pStyle w:val="a3"/>
      </w:pPr>
      <w:r w:rsidRPr="001A3D2B">
        <w:t>? Puente, Y., Roviralta, C.</w:t>
      </w:r>
      <w:r w:rsidR="005853A9">
        <w:t xml:space="preserve"> and </w:t>
      </w:r>
      <w:r w:rsidRPr="001A3D2B">
        <w:t>Daza, J. (2007), Bibliometric analysis</w:t>
      </w:r>
      <w:r w:rsidR="00427468">
        <w:t xml:space="preserve"> of </w:t>
      </w:r>
      <w:r w:rsidRPr="001A3D2B">
        <w:t xml:space="preserve">scientific productivity about Hymenoptera allergy. </w:t>
      </w:r>
      <w:r w:rsidRPr="001A3D2B">
        <w:rPr>
          <w:i/>
          <w:iCs/>
        </w:rPr>
        <w:t>Allergy</w:t>
      </w:r>
      <w:r w:rsidRPr="001A3D2B">
        <w:t xml:space="preserve">, </w:t>
      </w:r>
      <w:r w:rsidRPr="001A3D2B">
        <w:rPr>
          <w:b/>
          <w:bCs/>
        </w:rPr>
        <w:t>62</w:t>
      </w:r>
      <w:r w:rsidRPr="001A3D2B">
        <w:t>, 115.</w:t>
      </w:r>
    </w:p>
    <w:p w:rsidR="003474F2" w:rsidRPr="001A3D2B" w:rsidRDefault="003474F2" w:rsidP="003474F2">
      <w:pPr>
        <w:pStyle w:val="a3"/>
      </w:pPr>
      <w:r w:rsidRPr="001A3D2B">
        <w:t xml:space="preserve">Full Text: </w:t>
      </w:r>
      <w:hyperlink r:id="rId376" w:history="1">
        <w:r w:rsidRPr="001A3D2B">
          <w:rPr>
            <w:rStyle w:val="a5"/>
          </w:rPr>
          <w:t>2007\Allergy62, 115.pdf</w:t>
        </w:r>
      </w:hyperlink>
    </w:p>
    <w:p w:rsidR="003474F2" w:rsidRPr="001A3D2B" w:rsidRDefault="003474F2" w:rsidP="003474F2">
      <w:pPr>
        <w:pStyle w:val="a3"/>
      </w:pPr>
      <w:r w:rsidRPr="001A3D2B">
        <w:t>Keywords: Allergy, Analysis, Hymenoptera, Productivity, Scientific Productivity</w:t>
      </w:r>
    </w:p>
    <w:p w:rsidR="006F4B60" w:rsidRDefault="006F4B60" w:rsidP="006F4B60">
      <w:pPr>
        <w:pStyle w:val="a3"/>
        <w:rPr>
          <w:kern w:val="0"/>
        </w:rPr>
      </w:pPr>
      <w:r>
        <w:rPr>
          <w:rFonts w:hint="eastAsia"/>
          <w:kern w:val="0"/>
        </w:rPr>
        <w:t xml:space="preserve">? </w:t>
      </w:r>
      <w:r>
        <w:rPr>
          <w:kern w:val="0"/>
        </w:rPr>
        <w:t>Sheikh, A., ten Broek, V., Brown, S.G.A.</w:t>
      </w:r>
      <w:r w:rsidR="005853A9">
        <w:rPr>
          <w:kern w:val="0"/>
        </w:rPr>
        <w:t xml:space="preserve"> and </w:t>
      </w:r>
      <w:r>
        <w:rPr>
          <w:kern w:val="0"/>
        </w:rPr>
        <w:t>Simons, F.E.R. (2007), H</w:t>
      </w:r>
      <w:r w:rsidRPr="00A75997">
        <w:rPr>
          <w:kern w:val="0"/>
          <w:vertAlign w:val="subscript"/>
        </w:rPr>
        <w:t>1</w:t>
      </w:r>
      <w:r>
        <w:rPr>
          <w:kern w:val="0"/>
        </w:rPr>
        <w:t>-antihistamines for</w:t>
      </w:r>
      <w:r w:rsidR="003A1917">
        <w:rPr>
          <w:kern w:val="0"/>
        </w:rPr>
        <w:t xml:space="preserve"> the </w:t>
      </w:r>
      <w:r>
        <w:rPr>
          <w:kern w:val="0"/>
        </w:rPr>
        <w:t>treatment</w:t>
      </w:r>
      <w:r w:rsidR="00427468">
        <w:rPr>
          <w:kern w:val="0"/>
        </w:rPr>
        <w:t xml:space="preserve"> of </w:t>
      </w:r>
      <w:r>
        <w:rPr>
          <w:kern w:val="0"/>
        </w:rPr>
        <w:t xml:space="preserve">anaphylaxis: Cochrane systematic review. </w:t>
      </w:r>
      <w:r>
        <w:rPr>
          <w:i/>
          <w:iCs/>
          <w:kern w:val="0"/>
        </w:rPr>
        <w:t>Allergy</w:t>
      </w:r>
      <w:r>
        <w:rPr>
          <w:kern w:val="0"/>
        </w:rPr>
        <w:t xml:space="preserve">, </w:t>
      </w:r>
      <w:r>
        <w:rPr>
          <w:b/>
          <w:bCs/>
          <w:kern w:val="0"/>
        </w:rPr>
        <w:t>62</w:t>
      </w:r>
      <w:r>
        <w:rPr>
          <w:kern w:val="0"/>
        </w:rPr>
        <w:t xml:space="preserve"> (8), 830-837.</w:t>
      </w:r>
    </w:p>
    <w:p w:rsidR="006F4B60" w:rsidRPr="001A3D2B" w:rsidRDefault="006F4B60" w:rsidP="006F4B60">
      <w:pPr>
        <w:pStyle w:val="a3"/>
      </w:pPr>
      <w:r w:rsidRPr="001A3D2B">
        <w:t xml:space="preserve">Full Text: </w:t>
      </w:r>
      <w:hyperlink r:id="rId377" w:history="1">
        <w:r w:rsidRPr="00BC6325">
          <w:rPr>
            <w:rStyle w:val="a5"/>
          </w:rPr>
          <w:t>2007\Allergy62, 830.pdf</w:t>
        </w:r>
      </w:hyperlink>
    </w:p>
    <w:p w:rsidR="006F4B60" w:rsidRDefault="006F4B60" w:rsidP="006F4B60">
      <w:pPr>
        <w:pStyle w:val="a3"/>
        <w:rPr>
          <w:kern w:val="0"/>
        </w:rPr>
      </w:pPr>
      <w:r>
        <w:rPr>
          <w:kern w:val="0"/>
        </w:rPr>
        <w:t>Abstract: Background: Anaphylaxis is an acute systemic allergic reaction, which can be life-threatening. H-1-antihistamines are commonly used as an adjuvant therapy in</w:t>
      </w:r>
      <w:r w:rsidR="003A1917">
        <w:rPr>
          <w:kern w:val="0"/>
        </w:rPr>
        <w:t xml:space="preserve"> the </w:t>
      </w:r>
      <w:r>
        <w:rPr>
          <w:kern w:val="0"/>
        </w:rPr>
        <w:t>treatment</w:t>
      </w:r>
      <w:r w:rsidR="00427468">
        <w:rPr>
          <w:kern w:val="0"/>
        </w:rPr>
        <w:t xml:space="preserve"> of </w:t>
      </w:r>
      <w:r>
        <w:rPr>
          <w:kern w:val="0"/>
        </w:rPr>
        <w:t>anaphylaxis. We sought to assess</w:t>
      </w:r>
      <w:r w:rsidR="003A1917">
        <w:rPr>
          <w:kern w:val="0"/>
        </w:rPr>
        <w:t xml:space="preserve"> the </w:t>
      </w:r>
      <w:r>
        <w:rPr>
          <w:kern w:val="0"/>
        </w:rPr>
        <w:t>benefits</w:t>
      </w:r>
      <w:r w:rsidR="005853A9">
        <w:rPr>
          <w:kern w:val="0"/>
        </w:rPr>
        <w:t xml:space="preserve"> and </w:t>
      </w:r>
      <w:r>
        <w:rPr>
          <w:kern w:val="0"/>
        </w:rPr>
        <w:t>harm</w:t>
      </w:r>
      <w:r w:rsidR="00427468">
        <w:rPr>
          <w:kern w:val="0"/>
        </w:rPr>
        <w:t xml:space="preserve"> of </w:t>
      </w:r>
      <w:r>
        <w:rPr>
          <w:kern w:val="0"/>
        </w:rPr>
        <w:t>H-1-antihistamines in</w:t>
      </w:r>
      <w:r w:rsidR="003A1917">
        <w:rPr>
          <w:kern w:val="0"/>
        </w:rPr>
        <w:t xml:space="preserve"> the </w:t>
      </w:r>
      <w:r>
        <w:rPr>
          <w:kern w:val="0"/>
        </w:rPr>
        <w:t>treatment</w:t>
      </w:r>
      <w:r w:rsidR="00427468">
        <w:rPr>
          <w:kern w:val="0"/>
        </w:rPr>
        <w:t xml:space="preserve"> of </w:t>
      </w:r>
      <w:r>
        <w:rPr>
          <w:kern w:val="0"/>
        </w:rPr>
        <w:t>anaphylaxis. Methods:We searched</w:t>
      </w:r>
      <w:r w:rsidR="003A1917">
        <w:rPr>
          <w:kern w:val="0"/>
        </w:rPr>
        <w:t xml:space="preserve"> the </w:t>
      </w:r>
      <w:r>
        <w:rPr>
          <w:kern w:val="0"/>
        </w:rPr>
        <w:t>Cochrane Central Register</w:t>
      </w:r>
      <w:r w:rsidR="00427468">
        <w:rPr>
          <w:kern w:val="0"/>
        </w:rPr>
        <w:t xml:space="preserve"> of </w:t>
      </w:r>
      <w:r>
        <w:rPr>
          <w:kern w:val="0"/>
        </w:rPr>
        <w:t>Controlled Trials (CENTRAL,</w:t>
      </w:r>
      <w:r w:rsidR="003A1917">
        <w:rPr>
          <w:kern w:val="0"/>
        </w:rPr>
        <w:t xml:space="preserve"> the </w:t>
      </w:r>
      <w:r>
        <w:rPr>
          <w:kern w:val="0"/>
        </w:rPr>
        <w:t xml:space="preserve">Cochrane Library); </w:t>
      </w:r>
      <w:r w:rsidR="00D5664A">
        <w:rPr>
          <w:kern w:val="0"/>
        </w:rPr>
        <w:t>MEDLINE</w:t>
      </w:r>
      <w:r>
        <w:rPr>
          <w:kern w:val="0"/>
        </w:rPr>
        <w:t xml:space="preserve"> (1966 to June 2006); EMBASE (1966 to June 2006); CINAHL (1982 to June 2006)</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(1945 to July 2006). We also contacted pharmaceutical companies</w:t>
      </w:r>
      <w:r w:rsidR="005853A9">
        <w:rPr>
          <w:kern w:val="0"/>
        </w:rPr>
        <w:t xml:space="preserve"> and </w:t>
      </w:r>
      <w:r>
        <w:rPr>
          <w:kern w:val="0"/>
        </w:rPr>
        <w:t xml:space="preserve">international experts in anaphylaxis in an attempt to </w:t>
      </w:r>
      <w:r>
        <w:rPr>
          <w:kern w:val="0"/>
        </w:rPr>
        <w:lastRenderedPageBreak/>
        <w:t>locate unpublished material. Randomized</w:t>
      </w:r>
      <w:r w:rsidR="005853A9">
        <w:rPr>
          <w:kern w:val="0"/>
        </w:rPr>
        <w:t xml:space="preserve"> and </w:t>
      </w:r>
      <w:r>
        <w:rPr>
          <w:kern w:val="0"/>
        </w:rPr>
        <w:t>quasi-randomized-controlled trials comparing H-1-antihistamines with placebo or no intervention were eligible for inclusion. Two authors independently assessed articles for inclusion. Results:We found no studies that satisfied</w:t>
      </w:r>
      <w:r w:rsidR="003A1917">
        <w:rPr>
          <w:kern w:val="0"/>
        </w:rPr>
        <w:t xml:space="preserve"> the </w:t>
      </w:r>
      <w:r>
        <w:rPr>
          <w:kern w:val="0"/>
        </w:rPr>
        <w:t>inclusion criteria. Conclusions:Based on this review, we are unable to make any recommendations for clinical practice. Randomized-controlled trials are needed, although these are likely to prove challenging to design</w:t>
      </w:r>
      <w:r w:rsidR="005853A9">
        <w:rPr>
          <w:kern w:val="0"/>
        </w:rPr>
        <w:t xml:space="preserve"> and </w:t>
      </w:r>
      <w:r>
        <w:rPr>
          <w:kern w:val="0"/>
        </w:rPr>
        <w:t>execute.</w:t>
      </w:r>
    </w:p>
    <w:p w:rsidR="006F4B60" w:rsidRDefault="006F4B60" w:rsidP="006F4B60">
      <w:pPr>
        <w:pStyle w:val="a3"/>
        <w:rPr>
          <w:kern w:val="0"/>
        </w:rPr>
      </w:pPr>
      <w:r>
        <w:rPr>
          <w:kern w:val="0"/>
        </w:rPr>
        <w:t>Keywords: Adjuvant Therapy, Adolescents, Anaphylaxis, Authors, Children, Cochrane, Double-Blind, Effectiveness, Efficacy, Embase, Emergency-Department, Food, H1-Antihistamines, Intervention</w:t>
      </w:r>
      <w:r w:rsidR="00D5664A">
        <w:rPr>
          <w:kern w:val="0"/>
        </w:rPr>
        <w:t>, ISI,</w:t>
      </w:r>
      <w:r>
        <w:rPr>
          <w:kern w:val="0"/>
        </w:rPr>
        <w:t xml:space="preserve"> Management, </w:t>
      </w:r>
      <w:r w:rsidR="00D5664A">
        <w:rPr>
          <w:kern w:val="0"/>
        </w:rPr>
        <w:t>MEDLINE</w:t>
      </w:r>
      <w:r>
        <w:rPr>
          <w:kern w:val="0"/>
        </w:rPr>
        <w:t xml:space="preserve">, Multicenter, Pharmaceutical Companies, Placebo, Practice, Randomized Controlled Trials, Review, Science, Severity, Systematic, Systematic Review, Therapy, Treatment, </w:t>
      </w:r>
      <w:r w:rsidR="00D5664A">
        <w:rPr>
          <w:kern w:val="0"/>
        </w:rPr>
        <w:t>Web</w:t>
      </w:r>
      <w:r w:rsidR="00427468">
        <w:rPr>
          <w:kern w:val="0"/>
        </w:rPr>
        <w:t xml:space="preserve"> of </w:t>
      </w:r>
      <w:r w:rsidR="00D5664A">
        <w:rPr>
          <w:kern w:val="0"/>
        </w:rPr>
        <w:t>Science</w:t>
      </w:r>
    </w:p>
    <w:p w:rsidR="006F4B60" w:rsidRDefault="006F4B60" w:rsidP="006F4B60">
      <w:pPr>
        <w:pStyle w:val="a3"/>
        <w:rPr>
          <w:kern w:val="0"/>
        </w:rPr>
      </w:pPr>
      <w:r>
        <w:rPr>
          <w:rFonts w:hint="eastAsia"/>
          <w:kern w:val="0"/>
        </w:rPr>
        <w:t xml:space="preserve">? </w:t>
      </w:r>
      <w:r>
        <w:rPr>
          <w:kern w:val="0"/>
        </w:rPr>
        <w:t>Anandan, C., Nurmatov, U.</w:t>
      </w:r>
      <w:r w:rsidR="005853A9">
        <w:rPr>
          <w:kern w:val="0"/>
        </w:rPr>
        <w:t xml:space="preserve"> and </w:t>
      </w:r>
      <w:r>
        <w:rPr>
          <w:kern w:val="0"/>
        </w:rPr>
        <w:t>Sheikh, A. (2009), Omega 3</w:t>
      </w:r>
      <w:r w:rsidR="005853A9">
        <w:rPr>
          <w:kern w:val="0"/>
        </w:rPr>
        <w:t xml:space="preserve"> and </w:t>
      </w:r>
      <w:r>
        <w:rPr>
          <w:kern w:val="0"/>
        </w:rPr>
        <w:t>6 oils for primary prevention</w:t>
      </w:r>
      <w:r w:rsidR="00427468">
        <w:rPr>
          <w:kern w:val="0"/>
        </w:rPr>
        <w:t xml:space="preserve"> of </w:t>
      </w:r>
      <w:r>
        <w:rPr>
          <w:kern w:val="0"/>
        </w:rPr>
        <w:t>allergic disease: Systematic review</w:t>
      </w:r>
      <w:r w:rsidR="005853A9">
        <w:rPr>
          <w:kern w:val="0"/>
        </w:rPr>
        <w:t xml:space="preserve"> and </w:t>
      </w:r>
      <w:r>
        <w:rPr>
          <w:kern w:val="0"/>
        </w:rPr>
        <w:t xml:space="preserve">meta-analysis. </w:t>
      </w:r>
      <w:r>
        <w:rPr>
          <w:i/>
          <w:iCs/>
          <w:kern w:val="0"/>
        </w:rPr>
        <w:t>Allergy</w:t>
      </w:r>
      <w:r>
        <w:rPr>
          <w:kern w:val="0"/>
        </w:rPr>
        <w:t xml:space="preserve">, </w:t>
      </w:r>
      <w:r>
        <w:rPr>
          <w:b/>
          <w:bCs/>
          <w:kern w:val="0"/>
        </w:rPr>
        <w:t>64</w:t>
      </w:r>
      <w:r>
        <w:rPr>
          <w:kern w:val="0"/>
        </w:rPr>
        <w:t xml:space="preserve"> (6), 840-848.</w:t>
      </w:r>
    </w:p>
    <w:p w:rsidR="006F4B60" w:rsidRPr="001A3D2B" w:rsidRDefault="006F4B60" w:rsidP="006F4B60">
      <w:pPr>
        <w:pStyle w:val="a3"/>
      </w:pPr>
      <w:r w:rsidRPr="001A3D2B">
        <w:t xml:space="preserve">Full Text: </w:t>
      </w:r>
      <w:hyperlink r:id="rId378" w:history="1">
        <w:r w:rsidRPr="000F096C">
          <w:rPr>
            <w:rStyle w:val="a5"/>
          </w:rPr>
          <w:t>2009\Allergy64, 840.pdf</w:t>
        </w:r>
      </w:hyperlink>
    </w:p>
    <w:p w:rsidR="006F4B60" w:rsidRDefault="006F4B60" w:rsidP="006F4B60">
      <w:pPr>
        <w:pStyle w:val="a3"/>
        <w:rPr>
          <w:kern w:val="0"/>
        </w:rPr>
      </w:pPr>
      <w:r>
        <w:rPr>
          <w:kern w:val="0"/>
        </w:rPr>
        <w:t>Abstract: There is conflicting evidence on</w:t>
      </w:r>
      <w:r w:rsidR="003A1917">
        <w:rPr>
          <w:kern w:val="0"/>
        </w:rPr>
        <w:t xml:space="preserve"> the </w:t>
      </w:r>
      <w:r>
        <w:rPr>
          <w:kern w:val="0"/>
        </w:rPr>
        <w:t>use</w:t>
      </w:r>
      <w:r w:rsidR="00427468">
        <w:rPr>
          <w:kern w:val="0"/>
        </w:rPr>
        <w:t xml:space="preserve"> of </w:t>
      </w:r>
      <w:r>
        <w:rPr>
          <w:kern w:val="0"/>
        </w:rPr>
        <w:t>omega 3</w:t>
      </w:r>
      <w:r w:rsidR="005853A9">
        <w:rPr>
          <w:kern w:val="0"/>
        </w:rPr>
        <w:t xml:space="preserve"> and </w:t>
      </w:r>
      <w:r>
        <w:rPr>
          <w:kern w:val="0"/>
        </w:rPr>
        <w:t>omega 6 supplementation for</w:t>
      </w:r>
      <w:r w:rsidR="003A1917">
        <w:rPr>
          <w:kern w:val="0"/>
        </w:rPr>
        <w:t xml:space="preserve"> the </w:t>
      </w:r>
      <w:r>
        <w:rPr>
          <w:kern w:val="0"/>
        </w:rPr>
        <w:t>prevention</w:t>
      </w:r>
      <w:r w:rsidR="00427468">
        <w:rPr>
          <w:kern w:val="0"/>
        </w:rPr>
        <w:t xml:space="preserve"> of </w:t>
      </w:r>
      <w:r>
        <w:rPr>
          <w:kern w:val="0"/>
        </w:rPr>
        <w:t>allergic diseases. We conducted a systematic review evaluating</w:t>
      </w:r>
      <w:r w:rsidR="003A1917">
        <w:rPr>
          <w:kern w:val="0"/>
        </w:rPr>
        <w:t xml:space="preserve"> the </w:t>
      </w:r>
      <w:r>
        <w:rPr>
          <w:kern w:val="0"/>
        </w:rPr>
        <w:t>effectiveness</w:t>
      </w:r>
      <w:r w:rsidR="00427468">
        <w:rPr>
          <w:kern w:val="0"/>
        </w:rPr>
        <w:t xml:space="preserve"> of </w:t>
      </w:r>
      <w:r>
        <w:rPr>
          <w:kern w:val="0"/>
        </w:rPr>
        <w:t>omega 3</w:t>
      </w:r>
      <w:r w:rsidR="005853A9">
        <w:rPr>
          <w:kern w:val="0"/>
        </w:rPr>
        <w:t xml:space="preserve"> and </w:t>
      </w:r>
      <w:r>
        <w:rPr>
          <w:kern w:val="0"/>
        </w:rPr>
        <w:t>6 oils for</w:t>
      </w:r>
      <w:r w:rsidR="003A1917">
        <w:rPr>
          <w:kern w:val="0"/>
        </w:rPr>
        <w:t xml:space="preserve"> the </w:t>
      </w:r>
      <w:r>
        <w:rPr>
          <w:kern w:val="0"/>
        </w:rPr>
        <w:t>primary prevention</w:t>
      </w:r>
      <w:r w:rsidR="00427468">
        <w:rPr>
          <w:kern w:val="0"/>
        </w:rPr>
        <w:t xml:space="preserve"> of </w:t>
      </w:r>
      <w:r>
        <w:rPr>
          <w:kern w:val="0"/>
        </w:rPr>
        <w:t>sensitization</w:t>
      </w:r>
      <w:r w:rsidR="005853A9">
        <w:rPr>
          <w:kern w:val="0"/>
        </w:rPr>
        <w:t xml:space="preserve"> and </w:t>
      </w:r>
      <w:r>
        <w:rPr>
          <w:kern w:val="0"/>
        </w:rPr>
        <w:t>development</w:t>
      </w:r>
      <w:r w:rsidR="00427468">
        <w:rPr>
          <w:kern w:val="0"/>
        </w:rPr>
        <w:t xml:space="preserve"> of </w:t>
      </w:r>
      <w:r>
        <w:rPr>
          <w:kern w:val="0"/>
        </w:rPr>
        <w:t>allergic disorders. We searched</w:t>
      </w:r>
      <w:r w:rsidR="003A1917">
        <w:rPr>
          <w:kern w:val="0"/>
        </w:rPr>
        <w:t xml:space="preserve"> the </w:t>
      </w:r>
      <w:r>
        <w:rPr>
          <w:kern w:val="0"/>
        </w:rPr>
        <w:t>Cochrane Central Register</w:t>
      </w:r>
      <w:r w:rsidR="00427468">
        <w:rPr>
          <w:kern w:val="0"/>
        </w:rPr>
        <w:t xml:space="preserve"> of </w:t>
      </w:r>
      <w:r>
        <w:rPr>
          <w:kern w:val="0"/>
        </w:rPr>
        <w:t xml:space="preserve">Controlled Trials, </w:t>
      </w:r>
      <w:r w:rsidR="00D5664A">
        <w:rPr>
          <w:kern w:val="0"/>
        </w:rPr>
        <w:t>MEDLINE</w:t>
      </w:r>
      <w:r>
        <w:rPr>
          <w:kern w:val="0"/>
        </w:rPr>
        <w:t xml:space="preserve">, EMBASE, LILACS, PsycInfo, AMED,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Google Scholar for double-blind randomized controlled trials. Two authors independently assessed articles for inclusion. Meta-analyses were undertaken using fixed effects modelling, or random effects modelling in</w:t>
      </w:r>
      <w:r w:rsidR="003A1917">
        <w:rPr>
          <w:kern w:val="0"/>
        </w:rPr>
        <w:t xml:space="preserve"> the </w:t>
      </w:r>
      <w:r>
        <w:rPr>
          <w:kern w:val="0"/>
        </w:rPr>
        <w:t>event</w:t>
      </w:r>
      <w:r w:rsidR="00427468">
        <w:rPr>
          <w:kern w:val="0"/>
        </w:rPr>
        <w:t xml:space="preserve"> of </w:t>
      </w:r>
      <w:r>
        <w:rPr>
          <w:kern w:val="0"/>
        </w:rPr>
        <w:t>detecting significant heterogeneity.</w:t>
      </w:r>
      <w:r w:rsidR="00427468">
        <w:rPr>
          <w:kern w:val="0"/>
        </w:rPr>
        <w:t xml:space="preserve"> of </w:t>
      </w:r>
      <w:r w:rsidR="003A1917">
        <w:rPr>
          <w:kern w:val="0"/>
        </w:rPr>
        <w:t xml:space="preserve">the </w:t>
      </w:r>
      <w:r>
        <w:rPr>
          <w:kern w:val="0"/>
        </w:rPr>
        <w:t>3129 articles identified, 10 reports (representing six unique studies) satisfied</w:t>
      </w:r>
      <w:r w:rsidR="003A1917">
        <w:rPr>
          <w:kern w:val="0"/>
        </w:rPr>
        <w:t xml:space="preserve"> the </w:t>
      </w:r>
      <w:r>
        <w:rPr>
          <w:kern w:val="0"/>
        </w:rPr>
        <w:t>inclusion criteria. Four studies compared omega 3 supplements with placebo</w:t>
      </w:r>
      <w:r w:rsidR="005853A9">
        <w:rPr>
          <w:kern w:val="0"/>
        </w:rPr>
        <w:t xml:space="preserve"> and </w:t>
      </w:r>
      <w:r>
        <w:rPr>
          <w:kern w:val="0"/>
        </w:rPr>
        <w:t>two studies compared omega 6 supplements with placebo</w:t>
      </w:r>
      <w:r w:rsidR="00A37C1D">
        <w:rPr>
          <w:kern w:val="0"/>
        </w:rPr>
        <w:t>. The</w:t>
      </w:r>
      <w:r>
        <w:rPr>
          <w:kern w:val="0"/>
        </w:rPr>
        <w:t>re was no clear evidence</w:t>
      </w:r>
      <w:r w:rsidR="00427468">
        <w:rPr>
          <w:kern w:val="0"/>
        </w:rPr>
        <w:t xml:space="preserve"> of </w:t>
      </w:r>
      <w:r>
        <w:rPr>
          <w:kern w:val="0"/>
        </w:rPr>
        <w:t>benefit in relation to reduced risk</w:t>
      </w:r>
      <w:r w:rsidR="00427468">
        <w:rPr>
          <w:kern w:val="0"/>
        </w:rPr>
        <w:t xml:space="preserve"> of </w:t>
      </w:r>
      <w:r>
        <w:rPr>
          <w:kern w:val="0"/>
        </w:rPr>
        <w:t>allergic sensitization or a favourable immunological profile. Meta-analyses failed to identify any consistent or clear benefits associated with use</w:t>
      </w:r>
      <w:r w:rsidR="00427468">
        <w:rPr>
          <w:kern w:val="0"/>
        </w:rPr>
        <w:t xml:space="preserve"> of </w:t>
      </w:r>
      <w:r>
        <w:rPr>
          <w:kern w:val="0"/>
        </w:rPr>
        <w:t>omega 3 [atopic eczema: RR = 1.10 (95% CI 0.78-1.54); asthma: RR = 0.81 (95% CI 0.53-1.25); allergic rhinitis: RR = 0.80 (95% CI 0.34-1.89) or food allergy RR = 0.51 (95% CI 0.10-2.55)] or omega 6 oils [atopic eczema: RR = 0.80 (95% CI 0.56-1.16)] for</w:t>
      </w:r>
      <w:r w:rsidR="003A1917">
        <w:rPr>
          <w:kern w:val="0"/>
        </w:rPr>
        <w:t xml:space="preserve"> the </w:t>
      </w:r>
      <w:r>
        <w:rPr>
          <w:kern w:val="0"/>
        </w:rPr>
        <w:t>prevention</w:t>
      </w:r>
      <w:r w:rsidR="00427468">
        <w:rPr>
          <w:kern w:val="0"/>
        </w:rPr>
        <w:t xml:space="preserve"> of </w:t>
      </w:r>
      <w:r>
        <w:rPr>
          <w:kern w:val="0"/>
        </w:rPr>
        <w:t>clinical disease. Contrary to</w:t>
      </w:r>
      <w:r w:rsidR="003A1917">
        <w:rPr>
          <w:kern w:val="0"/>
        </w:rPr>
        <w:t xml:space="preserve"> the </w:t>
      </w:r>
      <w:r>
        <w:rPr>
          <w:kern w:val="0"/>
        </w:rPr>
        <w:t>evidence from basic science</w:t>
      </w:r>
      <w:r w:rsidR="005853A9">
        <w:rPr>
          <w:kern w:val="0"/>
        </w:rPr>
        <w:t xml:space="preserve"> and </w:t>
      </w:r>
      <w:r>
        <w:rPr>
          <w:kern w:val="0"/>
        </w:rPr>
        <w:t>epidemiological studies, our systematic review</w:t>
      </w:r>
      <w:r w:rsidR="005853A9">
        <w:rPr>
          <w:kern w:val="0"/>
        </w:rPr>
        <w:t xml:space="preserve"> and </w:t>
      </w:r>
      <w:r>
        <w:rPr>
          <w:kern w:val="0"/>
        </w:rPr>
        <w:t>meta-analysis suggests that supplementation with omega 3</w:t>
      </w:r>
      <w:r w:rsidR="005853A9">
        <w:rPr>
          <w:kern w:val="0"/>
        </w:rPr>
        <w:t xml:space="preserve"> and </w:t>
      </w:r>
      <w:r>
        <w:rPr>
          <w:kern w:val="0"/>
        </w:rPr>
        <w:t>omega 6 oils is probably unlikely to play an important role as a strategy for</w:t>
      </w:r>
      <w:r w:rsidR="003A1917">
        <w:rPr>
          <w:kern w:val="0"/>
        </w:rPr>
        <w:t xml:space="preserve"> the </w:t>
      </w:r>
      <w:r>
        <w:rPr>
          <w:kern w:val="0"/>
        </w:rPr>
        <w:t>primary prevention</w:t>
      </w:r>
      <w:r w:rsidR="00427468">
        <w:rPr>
          <w:kern w:val="0"/>
        </w:rPr>
        <w:t xml:space="preserve"> of </w:t>
      </w:r>
      <w:r>
        <w:rPr>
          <w:kern w:val="0"/>
        </w:rPr>
        <w:t>sensitization or allergic disease.</w:t>
      </w:r>
    </w:p>
    <w:p w:rsidR="006F4B60" w:rsidRDefault="006F4B60" w:rsidP="006F4B60">
      <w:pPr>
        <w:pStyle w:val="a3"/>
        <w:rPr>
          <w:kern w:val="0"/>
        </w:rPr>
      </w:pPr>
      <w:r>
        <w:rPr>
          <w:kern w:val="0"/>
        </w:rPr>
        <w:lastRenderedPageBreak/>
        <w:t>Keywords: Allergic Rhinitis, Asthma, Atopic-Dermatitis, Authors, Childhood Asthma Prevention, Children, Cochrane, Development, Disease, Eczema, Effectiveness, Embase, Fish Consumption, Food Allergy, Google Scholar, High-Risk, Infants</w:t>
      </w:r>
      <w:r w:rsidR="00D5664A">
        <w:rPr>
          <w:kern w:val="0"/>
        </w:rPr>
        <w:t>, ISI,</w:t>
      </w:r>
      <w:r>
        <w:rPr>
          <w:kern w:val="0"/>
        </w:rPr>
        <w:t xml:space="preserve"> Linolenic Acid Supplementation, </w:t>
      </w:r>
      <w:r w:rsidR="00D5664A">
        <w:rPr>
          <w:kern w:val="0"/>
        </w:rPr>
        <w:t>MEDLINE</w:t>
      </w:r>
      <w:r>
        <w:rPr>
          <w:kern w:val="0"/>
        </w:rPr>
        <w:t xml:space="preserve">, Meta-Analysis, Omega Oils, Outcomes, Pregnancy, Prevention, Primary, Primary Prevention, Profile, Randomized Controlled Trials, Randomized Controlled-Trial, Review, Risk, Science, Strategy, Systematic, Systematic Review, </w:t>
      </w:r>
      <w:r w:rsidR="00D5664A">
        <w:rPr>
          <w:kern w:val="0"/>
        </w:rPr>
        <w:t>Web</w:t>
      </w:r>
      <w:r w:rsidR="00427468">
        <w:rPr>
          <w:kern w:val="0"/>
        </w:rPr>
        <w:t xml:space="preserve"> of </w:t>
      </w:r>
      <w:r w:rsidR="00D5664A">
        <w:rPr>
          <w:kern w:val="0"/>
        </w:rPr>
        <w:t>Science</w:t>
      </w:r>
    </w:p>
    <w:p w:rsidR="006F4B60" w:rsidRDefault="006F4B60" w:rsidP="006F4B60">
      <w:pPr>
        <w:pStyle w:val="a3"/>
        <w:rPr>
          <w:kern w:val="0"/>
        </w:rPr>
      </w:pPr>
      <w:r>
        <w:rPr>
          <w:rFonts w:hint="eastAsia"/>
          <w:kern w:val="0"/>
        </w:rPr>
        <w:t xml:space="preserve">? </w:t>
      </w:r>
      <w:r>
        <w:rPr>
          <w:kern w:val="0"/>
        </w:rPr>
        <w:t>Anandan, C., Nurmatov, U., van Schayck, O.C.P.</w:t>
      </w:r>
      <w:r w:rsidR="005853A9">
        <w:rPr>
          <w:kern w:val="0"/>
        </w:rPr>
        <w:t xml:space="preserve"> and </w:t>
      </w:r>
      <w:r>
        <w:rPr>
          <w:kern w:val="0"/>
        </w:rPr>
        <w:t>Sheikh, A. (2010), Is</w:t>
      </w:r>
      <w:r w:rsidR="003A1917">
        <w:rPr>
          <w:kern w:val="0"/>
        </w:rPr>
        <w:t xml:space="preserve"> the </w:t>
      </w:r>
      <w:r>
        <w:rPr>
          <w:kern w:val="0"/>
        </w:rPr>
        <w:t>prevalence</w:t>
      </w:r>
      <w:r w:rsidR="00427468">
        <w:rPr>
          <w:kern w:val="0"/>
        </w:rPr>
        <w:t xml:space="preserve"> of </w:t>
      </w:r>
      <w:r>
        <w:rPr>
          <w:kern w:val="0"/>
        </w:rPr>
        <w:t>asthma declining? Systematic review</w:t>
      </w:r>
      <w:r w:rsidR="00427468">
        <w:rPr>
          <w:kern w:val="0"/>
        </w:rPr>
        <w:t xml:space="preserve"> of </w:t>
      </w:r>
      <w:r>
        <w:rPr>
          <w:kern w:val="0"/>
        </w:rPr>
        <w:t xml:space="preserve">epidemiological studies. </w:t>
      </w:r>
      <w:r>
        <w:rPr>
          <w:i/>
          <w:iCs/>
          <w:kern w:val="0"/>
        </w:rPr>
        <w:t>Allergy</w:t>
      </w:r>
      <w:r>
        <w:rPr>
          <w:kern w:val="0"/>
        </w:rPr>
        <w:t xml:space="preserve">, </w:t>
      </w:r>
      <w:r>
        <w:rPr>
          <w:b/>
          <w:bCs/>
          <w:kern w:val="0"/>
        </w:rPr>
        <w:t>65</w:t>
      </w:r>
      <w:r>
        <w:rPr>
          <w:kern w:val="0"/>
        </w:rPr>
        <w:t xml:space="preserve"> (2), 152-167.</w:t>
      </w:r>
    </w:p>
    <w:p w:rsidR="006F4B60" w:rsidRPr="001A3D2B" w:rsidRDefault="006F4B60" w:rsidP="006F4B60">
      <w:pPr>
        <w:pStyle w:val="a3"/>
      </w:pPr>
      <w:r w:rsidRPr="001A3D2B">
        <w:t xml:space="preserve">Full Text: </w:t>
      </w:r>
      <w:hyperlink r:id="rId379" w:history="1">
        <w:r w:rsidRPr="000F096C">
          <w:rPr>
            <w:rStyle w:val="a5"/>
          </w:rPr>
          <w:t>2010\Allergy65, 152.pdf</w:t>
        </w:r>
      </w:hyperlink>
    </w:p>
    <w:p w:rsidR="006F4B60" w:rsidRDefault="006F4B60" w:rsidP="006F4B60">
      <w:pPr>
        <w:pStyle w:val="a3"/>
        <w:rPr>
          <w:kern w:val="0"/>
        </w:rPr>
      </w:pPr>
      <w:r>
        <w:rPr>
          <w:kern w:val="0"/>
        </w:rPr>
        <w:t>Abstract: P&gt;Asthma prevalence has increased very considerably in recent decades such that it is now one</w:t>
      </w:r>
      <w:r w:rsidR="00427468">
        <w:rPr>
          <w:kern w:val="0"/>
        </w:rPr>
        <w:t xml:space="preserve"> of </w:t>
      </w:r>
      <w:r w:rsidR="003A1917">
        <w:rPr>
          <w:kern w:val="0"/>
        </w:rPr>
        <w:t xml:space="preserve">the </w:t>
      </w:r>
      <w:r>
        <w:rPr>
          <w:kern w:val="0"/>
        </w:rPr>
        <w:t>commonest chronic disorders in</w:t>
      </w:r>
      <w:r w:rsidR="003A1917">
        <w:rPr>
          <w:kern w:val="0"/>
        </w:rPr>
        <w:t xml:space="preserve"> the </w:t>
      </w:r>
      <w:r>
        <w:rPr>
          <w:kern w:val="0"/>
        </w:rPr>
        <w:t>world. Recent evidence from epidemiological studies, however, suggests that</w:t>
      </w:r>
      <w:r w:rsidR="003A1917">
        <w:rPr>
          <w:kern w:val="0"/>
        </w:rPr>
        <w:t xml:space="preserve"> the </w:t>
      </w:r>
      <w:r>
        <w:rPr>
          <w:kern w:val="0"/>
        </w:rPr>
        <w:t>prevalence</w:t>
      </w:r>
      <w:r w:rsidR="00427468">
        <w:rPr>
          <w:kern w:val="0"/>
        </w:rPr>
        <w:t xml:space="preserve"> of </w:t>
      </w:r>
      <w:r>
        <w:rPr>
          <w:kern w:val="0"/>
        </w:rPr>
        <w:t>asthma may now be declining in many parts</w:t>
      </w:r>
      <w:r w:rsidR="00427468">
        <w:rPr>
          <w:kern w:val="0"/>
        </w:rPr>
        <w:t xml:space="preserve"> of </w:t>
      </w:r>
      <w:r w:rsidR="003A1917">
        <w:rPr>
          <w:kern w:val="0"/>
        </w:rPr>
        <w:t xml:space="preserve">the </w:t>
      </w:r>
      <w:r>
        <w:rPr>
          <w:kern w:val="0"/>
        </w:rPr>
        <w:t>world, which, if true is important for health service planning</w:t>
      </w:r>
      <w:r w:rsidR="005853A9">
        <w:rPr>
          <w:kern w:val="0"/>
        </w:rPr>
        <w:t xml:space="preserve"> and </w:t>
      </w:r>
      <w:r>
        <w:rPr>
          <w:kern w:val="0"/>
        </w:rPr>
        <w:t>also because this offers</w:t>
      </w:r>
      <w:r w:rsidR="003A1917">
        <w:rPr>
          <w:kern w:val="0"/>
        </w:rPr>
        <w:t xml:space="preserve"> the </w:t>
      </w:r>
      <w:r>
        <w:rPr>
          <w:kern w:val="0"/>
        </w:rPr>
        <w:t>possibility</w:t>
      </w:r>
      <w:r w:rsidR="00427468">
        <w:rPr>
          <w:kern w:val="0"/>
        </w:rPr>
        <w:t xml:space="preserve"> of </w:t>
      </w:r>
      <w:r>
        <w:rPr>
          <w:kern w:val="0"/>
        </w:rPr>
        <w:t>generating</w:t>
      </w:r>
      <w:r w:rsidR="005853A9">
        <w:rPr>
          <w:kern w:val="0"/>
        </w:rPr>
        <w:t xml:space="preserve"> and </w:t>
      </w:r>
      <w:r>
        <w:rPr>
          <w:kern w:val="0"/>
        </w:rPr>
        <w:t>testing new aetiological hypotheses. Our objective was to determine whether</w:t>
      </w:r>
      <w:r w:rsidR="003A1917">
        <w:rPr>
          <w:kern w:val="0"/>
        </w:rPr>
        <w:t xml:space="preserve"> the </w:t>
      </w:r>
      <w:r>
        <w:rPr>
          <w:kern w:val="0"/>
        </w:rPr>
        <w:t>prevalence</w:t>
      </w:r>
      <w:r w:rsidR="00427468">
        <w:rPr>
          <w:kern w:val="0"/>
        </w:rPr>
        <w:t xml:space="preserve"> of </w:t>
      </w:r>
      <w:r>
        <w:rPr>
          <w:kern w:val="0"/>
        </w:rPr>
        <w:t>asthma is declining worldwide. We undertook a systematic search</w:t>
      </w:r>
      <w:r w:rsidR="00427468">
        <w:rPr>
          <w:kern w:val="0"/>
        </w:rPr>
        <w:t xml:space="preserve"> of </w:t>
      </w:r>
      <w:r>
        <w:rPr>
          <w:kern w:val="0"/>
        </w:rPr>
        <w:t xml:space="preserve">EMBASE,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Google Scholar, for high quality reports</w:t>
      </w:r>
      <w:r w:rsidR="00427468">
        <w:rPr>
          <w:kern w:val="0"/>
        </w:rPr>
        <w:t xml:space="preserve"> of </w:t>
      </w:r>
      <w:r>
        <w:rPr>
          <w:kern w:val="0"/>
        </w:rPr>
        <w:t>cohort studies, repeat cross-sectional studies</w:t>
      </w:r>
      <w:r w:rsidR="005853A9">
        <w:rPr>
          <w:kern w:val="0"/>
        </w:rPr>
        <w:t xml:space="preserve"> and </w:t>
      </w:r>
      <w:r>
        <w:rPr>
          <w:kern w:val="0"/>
        </w:rPr>
        <w:t>analyses</w:t>
      </w:r>
      <w:r w:rsidR="00427468">
        <w:rPr>
          <w:kern w:val="0"/>
        </w:rPr>
        <w:t xml:space="preserve"> of </w:t>
      </w:r>
      <w:r>
        <w:rPr>
          <w:kern w:val="0"/>
        </w:rPr>
        <w:t>routine healthcare datasets to examine international trends in asthma prevalence in children</w:t>
      </w:r>
      <w:r w:rsidR="005853A9">
        <w:rPr>
          <w:kern w:val="0"/>
        </w:rPr>
        <w:t xml:space="preserve"> and </w:t>
      </w:r>
      <w:r>
        <w:rPr>
          <w:kern w:val="0"/>
        </w:rPr>
        <w:t>adults for</w:t>
      </w:r>
      <w:r w:rsidR="003A1917">
        <w:rPr>
          <w:kern w:val="0"/>
        </w:rPr>
        <w:t xml:space="preserve"> the </w:t>
      </w:r>
      <w:r>
        <w:rPr>
          <w:kern w:val="0"/>
        </w:rPr>
        <w:t>period 1990-2008</w:t>
      </w:r>
      <w:r w:rsidR="00A37C1D">
        <w:rPr>
          <w:kern w:val="0"/>
        </w:rPr>
        <w:t>. The</w:t>
      </w:r>
      <w:r>
        <w:rPr>
          <w:kern w:val="0"/>
        </w:rPr>
        <w:t>re were 48 full reports</w:t>
      </w:r>
      <w:r w:rsidR="00427468">
        <w:rPr>
          <w:kern w:val="0"/>
        </w:rPr>
        <w:t xml:space="preserve"> of </w:t>
      </w:r>
      <w:r>
        <w:rPr>
          <w:kern w:val="0"/>
        </w:rPr>
        <w:t>studies that satisfied our inclusion criteria</w:t>
      </w:r>
      <w:r w:rsidR="00A37C1D">
        <w:rPr>
          <w:kern w:val="0"/>
        </w:rPr>
        <w:t>. The</w:t>
      </w:r>
      <w:r w:rsidR="003A1917">
        <w:rPr>
          <w:kern w:val="0"/>
        </w:rPr>
        <w:t xml:space="preserve"> </w:t>
      </w:r>
      <w:r>
        <w:rPr>
          <w:kern w:val="0"/>
        </w:rPr>
        <w:t>large volume</w:t>
      </w:r>
      <w:r w:rsidR="00427468">
        <w:rPr>
          <w:kern w:val="0"/>
        </w:rPr>
        <w:t xml:space="preserve"> of </w:t>
      </w:r>
      <w:r>
        <w:rPr>
          <w:kern w:val="0"/>
        </w:rPr>
        <w:t>data identified clearly indicate that there are, at present, no overall signs</w:t>
      </w:r>
      <w:r w:rsidR="00427468">
        <w:rPr>
          <w:kern w:val="0"/>
        </w:rPr>
        <w:t xml:space="preserve"> of </w:t>
      </w:r>
      <w:r>
        <w:rPr>
          <w:kern w:val="0"/>
        </w:rPr>
        <w:t>a declining trend in asthma prevalence; on</w:t>
      </w:r>
      <w:r w:rsidR="003A1917">
        <w:rPr>
          <w:kern w:val="0"/>
        </w:rPr>
        <w:t xml:space="preserve"> the </w:t>
      </w:r>
      <w:r>
        <w:rPr>
          <w:kern w:val="0"/>
        </w:rPr>
        <w:t>contrary, asthma prevalence is in many parts</w:t>
      </w:r>
      <w:r w:rsidR="00427468">
        <w:rPr>
          <w:kern w:val="0"/>
        </w:rPr>
        <w:t xml:space="preserve"> of </w:t>
      </w:r>
      <w:r w:rsidR="003A1917">
        <w:rPr>
          <w:kern w:val="0"/>
        </w:rPr>
        <w:t xml:space="preserve">the </w:t>
      </w:r>
      <w:r>
        <w:rPr>
          <w:kern w:val="0"/>
        </w:rPr>
        <w:t>world still increasing</w:t>
      </w:r>
      <w:r w:rsidR="00A37C1D">
        <w:rPr>
          <w:kern w:val="0"/>
        </w:rPr>
        <w:t>. The</w:t>
      </w:r>
      <w:r w:rsidR="003A1917">
        <w:rPr>
          <w:kern w:val="0"/>
        </w:rPr>
        <w:t xml:space="preserve"> </w:t>
      </w:r>
      <w:r>
        <w:rPr>
          <w:kern w:val="0"/>
        </w:rPr>
        <w:t>reductions in emergency healthcare utilization being reported in some economically developed countries most probably reflect improvements in quality</w:t>
      </w:r>
      <w:r w:rsidR="00427468">
        <w:rPr>
          <w:kern w:val="0"/>
        </w:rPr>
        <w:t xml:space="preserve"> of </w:t>
      </w:r>
      <w:r>
        <w:rPr>
          <w:kern w:val="0"/>
        </w:rPr>
        <w:t>care</w:t>
      </w:r>
      <w:r w:rsidR="00A37C1D">
        <w:rPr>
          <w:kern w:val="0"/>
        </w:rPr>
        <w:t>. The</w:t>
      </w:r>
      <w:r>
        <w:rPr>
          <w:kern w:val="0"/>
        </w:rPr>
        <w:t>re remain major gaps in</w:t>
      </w:r>
      <w:r w:rsidR="003A1917">
        <w:rPr>
          <w:kern w:val="0"/>
        </w:rPr>
        <w:t xml:space="preserve"> the </w:t>
      </w:r>
      <w:r>
        <w:rPr>
          <w:kern w:val="0"/>
        </w:rPr>
        <w:t>literature on asthma trends in relation to Africa</w:t>
      </w:r>
      <w:r w:rsidR="005853A9">
        <w:rPr>
          <w:kern w:val="0"/>
        </w:rPr>
        <w:t xml:space="preserve"> and </w:t>
      </w:r>
      <w:r>
        <w:rPr>
          <w:kern w:val="0"/>
        </w:rPr>
        <w:t>parts</w:t>
      </w:r>
      <w:r w:rsidR="00427468">
        <w:rPr>
          <w:kern w:val="0"/>
        </w:rPr>
        <w:t xml:space="preserve"> of </w:t>
      </w:r>
      <w:r>
        <w:rPr>
          <w:kern w:val="0"/>
        </w:rPr>
        <w:t>Asia</w:t>
      </w:r>
      <w:r w:rsidR="00A37C1D">
        <w:rPr>
          <w:kern w:val="0"/>
        </w:rPr>
        <w:t>. The</w:t>
      </w:r>
      <w:r>
        <w:rPr>
          <w:kern w:val="0"/>
        </w:rPr>
        <w:t>re is no overall global downward trend in</w:t>
      </w:r>
      <w:r w:rsidR="003A1917">
        <w:rPr>
          <w:kern w:val="0"/>
        </w:rPr>
        <w:t xml:space="preserve"> the </w:t>
      </w:r>
      <w:r>
        <w:rPr>
          <w:kern w:val="0"/>
        </w:rPr>
        <w:t>prevalence</w:t>
      </w:r>
      <w:r w:rsidR="00427468">
        <w:rPr>
          <w:kern w:val="0"/>
        </w:rPr>
        <w:t xml:space="preserve"> of </w:t>
      </w:r>
      <w:r>
        <w:rPr>
          <w:kern w:val="0"/>
        </w:rPr>
        <w:t>asthma. Healthcare planners will for</w:t>
      </w:r>
      <w:r w:rsidR="003A1917">
        <w:rPr>
          <w:kern w:val="0"/>
        </w:rPr>
        <w:t xml:space="preserve"> the </w:t>
      </w:r>
      <w:r>
        <w:rPr>
          <w:kern w:val="0"/>
        </w:rPr>
        <w:t>foreseeable future, therefore, need to continue with high levels</w:t>
      </w:r>
      <w:r w:rsidR="00427468">
        <w:rPr>
          <w:kern w:val="0"/>
        </w:rPr>
        <w:t xml:space="preserve"> of </w:t>
      </w:r>
      <w:r>
        <w:rPr>
          <w:kern w:val="0"/>
        </w:rPr>
        <w:t>anticipated expenditure in relation to provision</w:t>
      </w:r>
      <w:r w:rsidR="00427468">
        <w:rPr>
          <w:kern w:val="0"/>
        </w:rPr>
        <w:t xml:space="preserve"> of </w:t>
      </w:r>
      <w:r>
        <w:rPr>
          <w:kern w:val="0"/>
        </w:rPr>
        <w:t>asthma care.</w:t>
      </w:r>
    </w:p>
    <w:p w:rsidR="006F4B60" w:rsidRDefault="006F4B60" w:rsidP="006F4B60">
      <w:pPr>
        <w:pStyle w:val="a3"/>
        <w:rPr>
          <w:kern w:val="0"/>
        </w:rPr>
      </w:pPr>
      <w:r>
        <w:rPr>
          <w:kern w:val="0"/>
        </w:rPr>
        <w:t>Keywords: 14-Year-Old Children, Adults, Africa, Allergic Rhinitis, Asia, Asthma, Atopic Eczema, Childhood Asthma, Children, Cohort Studies, Embase, Epidemiology, Google Scholar, Healthcare, Increasing Prevalence, Isaac Phase-I, Literature, National Databases, Prevalence, Primary-School Children, Quality</w:t>
      </w:r>
      <w:r w:rsidR="00427468">
        <w:rPr>
          <w:kern w:val="0"/>
        </w:rPr>
        <w:t xml:space="preserve"> of </w:t>
      </w:r>
      <w:r>
        <w:rPr>
          <w:kern w:val="0"/>
        </w:rPr>
        <w:t xml:space="preserve">Care, Respiratory Symptoms, Review, Science, South-Australia, Systematic, Systematic Review, Trend, Trends, Utilization, </w:t>
      </w:r>
      <w:r w:rsidR="00D5664A">
        <w:rPr>
          <w:kern w:val="0"/>
        </w:rPr>
        <w:t>Web</w:t>
      </w:r>
      <w:r w:rsidR="00427468">
        <w:rPr>
          <w:kern w:val="0"/>
        </w:rPr>
        <w:t xml:space="preserve"> of </w:t>
      </w:r>
      <w:r w:rsidR="00D5664A">
        <w:rPr>
          <w:kern w:val="0"/>
        </w:rPr>
        <w:t>Science</w:t>
      </w:r>
    </w:p>
    <w:p w:rsidR="006F4B60" w:rsidRDefault="006F4B60" w:rsidP="006F4B60">
      <w:pPr>
        <w:pStyle w:val="a3"/>
        <w:rPr>
          <w:kern w:val="0"/>
        </w:rPr>
      </w:pPr>
      <w:r>
        <w:rPr>
          <w:rFonts w:hint="eastAsia"/>
          <w:kern w:val="0"/>
        </w:rPr>
        <w:t xml:space="preserve">? </w:t>
      </w:r>
      <w:r>
        <w:rPr>
          <w:kern w:val="0"/>
        </w:rPr>
        <w:t>Radulovic, S., Wilson, D., Calderon, M.</w:t>
      </w:r>
      <w:r w:rsidR="005853A9">
        <w:rPr>
          <w:kern w:val="0"/>
        </w:rPr>
        <w:t xml:space="preserve"> and </w:t>
      </w:r>
      <w:r>
        <w:rPr>
          <w:kern w:val="0"/>
        </w:rPr>
        <w:t>Durham, S. (2011), Systematic reviews</w:t>
      </w:r>
      <w:r w:rsidR="00427468">
        <w:rPr>
          <w:kern w:val="0"/>
        </w:rPr>
        <w:t xml:space="preserve"> of </w:t>
      </w:r>
      <w:r>
        <w:rPr>
          <w:kern w:val="0"/>
        </w:rPr>
        <w:t xml:space="preserve">sublingual immunotherapy (SLIT). </w:t>
      </w:r>
      <w:r>
        <w:rPr>
          <w:i/>
          <w:iCs/>
          <w:kern w:val="0"/>
        </w:rPr>
        <w:t>Allergy</w:t>
      </w:r>
      <w:r>
        <w:rPr>
          <w:kern w:val="0"/>
        </w:rPr>
        <w:t xml:space="preserve">, </w:t>
      </w:r>
      <w:r>
        <w:rPr>
          <w:b/>
          <w:bCs/>
          <w:kern w:val="0"/>
        </w:rPr>
        <w:t>66</w:t>
      </w:r>
      <w:r>
        <w:rPr>
          <w:kern w:val="0"/>
        </w:rPr>
        <w:t xml:space="preserve"> (6), 740-752.</w:t>
      </w:r>
    </w:p>
    <w:p w:rsidR="006F4B60" w:rsidRPr="001A3D2B" w:rsidRDefault="006F4B60" w:rsidP="006F4B60">
      <w:pPr>
        <w:pStyle w:val="a3"/>
      </w:pPr>
      <w:r w:rsidRPr="001A3D2B">
        <w:lastRenderedPageBreak/>
        <w:t xml:space="preserve">Full Text: </w:t>
      </w:r>
      <w:hyperlink r:id="rId380" w:history="1">
        <w:r w:rsidRPr="000F096C">
          <w:rPr>
            <w:rStyle w:val="a5"/>
          </w:rPr>
          <w:t>2011\Allergy66, 740.pdf</w:t>
        </w:r>
      </w:hyperlink>
    </w:p>
    <w:p w:rsidR="006F4B60" w:rsidRDefault="006F4B60" w:rsidP="006F4B60">
      <w:pPr>
        <w:pStyle w:val="a3"/>
        <w:rPr>
          <w:kern w:val="0"/>
        </w:rPr>
      </w:pPr>
      <w:r>
        <w:rPr>
          <w:kern w:val="0"/>
        </w:rPr>
        <w:t>Abstract: P&gt;Allergic rhinitis is common worldwide, with significant morbidity</w:t>
      </w:r>
      <w:r w:rsidR="005853A9">
        <w:rPr>
          <w:kern w:val="0"/>
        </w:rPr>
        <w:t xml:space="preserve"> and </w:t>
      </w:r>
      <w:r>
        <w:rPr>
          <w:kern w:val="0"/>
        </w:rPr>
        <w:t>impact on quality</w:t>
      </w:r>
      <w:r w:rsidR="00427468">
        <w:rPr>
          <w:kern w:val="0"/>
        </w:rPr>
        <w:t xml:space="preserve"> of </w:t>
      </w:r>
      <w:r>
        <w:rPr>
          <w:kern w:val="0"/>
        </w:rPr>
        <w:t>life. In patients who don</w:t>
      </w:r>
      <w:r w:rsidR="00700038">
        <w:rPr>
          <w:kern w:val="0"/>
        </w:rPr>
        <w:t>’</w:t>
      </w:r>
      <w:r>
        <w:rPr>
          <w:kern w:val="0"/>
        </w:rPr>
        <w:t>t respond adequately to anti-allergic drugs. Subcutaneous allergen immunotherapy is effective although requires specialist administration. Sublingual immunotherapy may represent an effective</w:t>
      </w:r>
      <w:r w:rsidR="005853A9">
        <w:rPr>
          <w:kern w:val="0"/>
        </w:rPr>
        <w:t xml:space="preserve"> and </w:t>
      </w:r>
      <w:r>
        <w:rPr>
          <w:kern w:val="0"/>
        </w:rPr>
        <w:t>safer alternative. This Cochrane systematic review is an update</w:t>
      </w:r>
      <w:r w:rsidR="00427468">
        <w:rPr>
          <w:kern w:val="0"/>
        </w:rPr>
        <w:t xml:space="preserve"> of </w:t>
      </w:r>
      <w:r>
        <w:rPr>
          <w:kern w:val="0"/>
        </w:rPr>
        <w:t xml:space="preserve">one published in 2003. We searched Cochrane ENT Group Trials Register, Central, </w:t>
      </w:r>
      <w:r w:rsidR="002C12F0">
        <w:rPr>
          <w:kern w:val="0"/>
        </w:rPr>
        <w:t>PUBMED</w:t>
      </w:r>
      <w:r>
        <w:rPr>
          <w:kern w:val="0"/>
        </w:rPr>
        <w:t xml:space="preserve">, EMBASE, CINAHL, </w:t>
      </w:r>
      <w:r w:rsidR="00D5664A">
        <w:rPr>
          <w:kern w:val="0"/>
        </w:rPr>
        <w:t>Web</w:t>
      </w:r>
      <w:r w:rsidR="00427468">
        <w:rPr>
          <w:kern w:val="0"/>
        </w:rPr>
        <w:t xml:space="preserve"> of </w:t>
      </w:r>
      <w:r w:rsidR="00D5664A">
        <w:rPr>
          <w:kern w:val="0"/>
        </w:rPr>
        <w:t>Science</w:t>
      </w:r>
      <w:r>
        <w:rPr>
          <w:kern w:val="0"/>
        </w:rPr>
        <w:t>, Biosis Previews, Cambridge Scientific Abstarcts, mRCT</w:t>
      </w:r>
      <w:r w:rsidR="005853A9">
        <w:rPr>
          <w:kern w:val="0"/>
        </w:rPr>
        <w:t xml:space="preserve"> and </w:t>
      </w:r>
      <w:r>
        <w:rPr>
          <w:kern w:val="0"/>
        </w:rPr>
        <w:t>additional sources. We included randomised, double-blind, placebo- controlled trials</w:t>
      </w:r>
      <w:r w:rsidR="00427468">
        <w:rPr>
          <w:kern w:val="0"/>
        </w:rPr>
        <w:t xml:space="preserve"> of </w:t>
      </w:r>
      <w:r>
        <w:rPr>
          <w:kern w:val="0"/>
        </w:rPr>
        <w:t>sublingual immunotherapy in adults</w:t>
      </w:r>
      <w:r w:rsidR="005853A9">
        <w:rPr>
          <w:kern w:val="0"/>
        </w:rPr>
        <w:t xml:space="preserve"> and </w:t>
      </w:r>
      <w:r>
        <w:rPr>
          <w:kern w:val="0"/>
        </w:rPr>
        <w:t>children. Two authors selected studies</w:t>
      </w:r>
      <w:r w:rsidR="005853A9">
        <w:rPr>
          <w:kern w:val="0"/>
        </w:rPr>
        <w:t xml:space="preserve"> and </w:t>
      </w:r>
      <w:r>
        <w:rPr>
          <w:kern w:val="0"/>
        </w:rPr>
        <w:t>assessed them for quality. Data were put into RevMan 5.0 for a statistical analysis. We used standardised mean difference (SMD), with a random effect model to combine data. Sixty studies were included, with 49 suitable for meta-analysis. We found significant reductions in symptoms (SMD -0.49; 95%CI (-0.64 to -0.34, P &lt; 0.00001))</w:t>
      </w:r>
      <w:r w:rsidR="005853A9">
        <w:rPr>
          <w:kern w:val="0"/>
        </w:rPr>
        <w:t xml:space="preserve"> and </w:t>
      </w:r>
      <w:r>
        <w:rPr>
          <w:kern w:val="0"/>
        </w:rPr>
        <w:t>medication requirements (SMD -0.32; 95%CI (-0.43 to -0.21, P &lt; 0.00001)) compared with placebo. None</w:t>
      </w:r>
      <w:r w:rsidR="00427468">
        <w:rPr>
          <w:kern w:val="0"/>
        </w:rPr>
        <w:t xml:space="preserve"> of </w:t>
      </w:r>
      <w:r w:rsidR="003A1917">
        <w:rPr>
          <w:kern w:val="0"/>
        </w:rPr>
        <w:t xml:space="preserve">the </w:t>
      </w:r>
      <w:r>
        <w:rPr>
          <w:kern w:val="0"/>
        </w:rPr>
        <w:t>trials reported severe systemic reactions, anaphylaxis or use</w:t>
      </w:r>
      <w:r w:rsidR="00427468">
        <w:rPr>
          <w:kern w:val="0"/>
        </w:rPr>
        <w:t xml:space="preserve"> of </w:t>
      </w:r>
      <w:r>
        <w:rPr>
          <w:kern w:val="0"/>
        </w:rPr>
        <w:t>Adrenaline. This updated review reinforces</w:t>
      </w:r>
      <w:r w:rsidR="003A1917">
        <w:rPr>
          <w:kern w:val="0"/>
        </w:rPr>
        <w:t xml:space="preserve"> the </w:t>
      </w:r>
      <w:r>
        <w:rPr>
          <w:kern w:val="0"/>
        </w:rPr>
        <w:t>conclusion</w:t>
      </w:r>
      <w:r w:rsidR="00427468">
        <w:rPr>
          <w:kern w:val="0"/>
        </w:rPr>
        <w:t xml:space="preserve"> of </w:t>
      </w:r>
      <w:r w:rsidR="003A1917">
        <w:rPr>
          <w:kern w:val="0"/>
        </w:rPr>
        <w:t xml:space="preserve">the </w:t>
      </w:r>
      <w:r>
        <w:rPr>
          <w:kern w:val="0"/>
        </w:rPr>
        <w:t>original 2003 Cochrane Review that sublingual immunotherapy is effective for allergic rhinitis</w:t>
      </w:r>
      <w:r w:rsidR="005853A9">
        <w:rPr>
          <w:kern w:val="0"/>
        </w:rPr>
        <w:t xml:space="preserve"> and </w:t>
      </w:r>
      <w:r>
        <w:rPr>
          <w:kern w:val="0"/>
        </w:rPr>
        <w:t>appears a safe route</w:t>
      </w:r>
      <w:r w:rsidR="00427468">
        <w:rPr>
          <w:kern w:val="0"/>
        </w:rPr>
        <w:t xml:space="preserve"> of </w:t>
      </w:r>
      <w:r>
        <w:rPr>
          <w:kern w:val="0"/>
        </w:rPr>
        <w:t>administration.</w:t>
      </w:r>
    </w:p>
    <w:p w:rsidR="006F4B60" w:rsidRDefault="006F4B60" w:rsidP="006F4B60">
      <w:pPr>
        <w:pStyle w:val="a3"/>
        <w:rPr>
          <w:kern w:val="0"/>
        </w:rPr>
      </w:pPr>
      <w:r>
        <w:rPr>
          <w:kern w:val="0"/>
        </w:rPr>
        <w:t xml:space="preserve">Keywords: Adults, Allergic Rhinitis, Analysis, Anaphylaxis, Authors, Children, Clinical-Efficacy, Cochrane, Double-Blind, EMBASE, Grass Allergen Tablets, House-Dust-Mite, Immunotherapy, Impact, Medication, Meta-Analysis, Model, Morbidity, Parietaria-Judaica Extract, Placebo-Controlled Trial, Pollen Extract, </w:t>
      </w:r>
      <w:r w:rsidR="002C12F0">
        <w:rPr>
          <w:kern w:val="0"/>
        </w:rPr>
        <w:t>PUBMED</w:t>
      </w:r>
      <w:r>
        <w:rPr>
          <w:kern w:val="0"/>
        </w:rPr>
        <w:t>, Quality</w:t>
      </w:r>
      <w:r w:rsidR="00427468">
        <w:rPr>
          <w:kern w:val="0"/>
        </w:rPr>
        <w:t xml:space="preserve"> of </w:t>
      </w:r>
      <w:r>
        <w:rPr>
          <w:kern w:val="0"/>
        </w:rPr>
        <w:t xml:space="preserve">Life, Randomized Controlled-Trial, Review, Science, Standardized 5-Grass-Pollen Extract, Statistical, Swallow Immunotherapy, Symptoms, Systematic, Systematic Review, </w:t>
      </w:r>
      <w:r w:rsidR="00D5664A">
        <w:rPr>
          <w:kern w:val="0"/>
        </w:rPr>
        <w:t>Web</w:t>
      </w:r>
      <w:r w:rsidR="00427468">
        <w:rPr>
          <w:kern w:val="0"/>
        </w:rPr>
        <w:t xml:space="preserve"> of </w:t>
      </w:r>
      <w:r w:rsidR="00D5664A">
        <w:rPr>
          <w:kern w:val="0"/>
        </w:rPr>
        <w:t>Science</w:t>
      </w:r>
    </w:p>
    <w:p w:rsidR="00C32E49" w:rsidRDefault="00C32E49" w:rsidP="00C32E49">
      <w:pPr>
        <w:pStyle w:val="a3"/>
        <w:rPr>
          <w:kern w:val="0"/>
          <w:szCs w:val="24"/>
        </w:rPr>
      </w:pPr>
      <w:r>
        <w:rPr>
          <w:rFonts w:hint="eastAsia"/>
          <w:kern w:val="0"/>
          <w:szCs w:val="24"/>
        </w:rPr>
        <w:t xml:space="preserve">? </w:t>
      </w:r>
      <w:r>
        <w:rPr>
          <w:kern w:val="0"/>
          <w:szCs w:val="24"/>
        </w:rPr>
        <w:t>Hagan, J.B., Samant, S.A., Volcheck, G.W., Li, J.T., Hagan, C.R., Erwin, P.J. and Rank, M.A. (2014), The risk</w:t>
      </w:r>
      <w:r w:rsidR="00427468">
        <w:rPr>
          <w:kern w:val="0"/>
          <w:szCs w:val="24"/>
        </w:rPr>
        <w:t xml:space="preserve"> of </w:t>
      </w:r>
      <w:r>
        <w:rPr>
          <w:kern w:val="0"/>
          <w:szCs w:val="24"/>
        </w:rPr>
        <w:t>asthma exacerbation after reducing inhaled corticosteroids: A systematic review and meta-analysis</w:t>
      </w:r>
      <w:r w:rsidR="00427468">
        <w:rPr>
          <w:kern w:val="0"/>
          <w:szCs w:val="24"/>
        </w:rPr>
        <w:t xml:space="preserve"> of </w:t>
      </w:r>
      <w:r>
        <w:rPr>
          <w:kern w:val="0"/>
          <w:szCs w:val="24"/>
        </w:rPr>
        <w:t xml:space="preserve">randomized controlled trials. </w:t>
      </w:r>
      <w:r>
        <w:rPr>
          <w:i/>
          <w:iCs/>
          <w:kern w:val="0"/>
          <w:szCs w:val="24"/>
        </w:rPr>
        <w:t>Allergy</w:t>
      </w:r>
      <w:r>
        <w:rPr>
          <w:kern w:val="0"/>
          <w:szCs w:val="24"/>
        </w:rPr>
        <w:t xml:space="preserve">, </w:t>
      </w:r>
      <w:r>
        <w:rPr>
          <w:b/>
          <w:bCs/>
          <w:kern w:val="0"/>
          <w:szCs w:val="24"/>
        </w:rPr>
        <w:t>69</w:t>
      </w:r>
      <w:r>
        <w:rPr>
          <w:kern w:val="0"/>
          <w:szCs w:val="24"/>
        </w:rPr>
        <w:t xml:space="preserve"> (4), 510-516.</w:t>
      </w:r>
    </w:p>
    <w:p w:rsidR="00C32E49" w:rsidRPr="00F219CA" w:rsidRDefault="00C32E49" w:rsidP="00C32E49">
      <w:pPr>
        <w:pStyle w:val="a3"/>
      </w:pPr>
      <w:r w:rsidRPr="00F219CA">
        <w:t xml:space="preserve">Full Text: </w:t>
      </w:r>
      <w:hyperlink r:id="rId381" w:history="1">
        <w:r w:rsidRPr="00427A8D">
          <w:rPr>
            <w:rStyle w:val="a5"/>
          </w:rPr>
          <w:t>2014\Allergy69, 510.pdf</w:t>
        </w:r>
      </w:hyperlink>
    </w:p>
    <w:p w:rsidR="00C32E49" w:rsidRDefault="00C32E49" w:rsidP="00C32E49">
      <w:pPr>
        <w:pStyle w:val="a3"/>
        <w:rPr>
          <w:kern w:val="0"/>
          <w:szCs w:val="24"/>
        </w:rPr>
      </w:pPr>
      <w:r>
        <w:rPr>
          <w:kern w:val="0"/>
          <w:szCs w:val="24"/>
        </w:rPr>
        <w:t>Abstract: Background Asthma guidelines suggest reducing controller medications when asthma is stable. Methods The purpose</w:t>
      </w:r>
      <w:r w:rsidR="00427468">
        <w:rPr>
          <w:kern w:val="0"/>
          <w:szCs w:val="24"/>
        </w:rPr>
        <w:t xml:space="preserve"> of </w:t>
      </w:r>
      <w:r>
        <w:rPr>
          <w:kern w:val="0"/>
          <w:szCs w:val="24"/>
        </w:rPr>
        <w:t>the study is to estimate the risk</w:t>
      </w:r>
      <w:r w:rsidR="00427468">
        <w:rPr>
          <w:kern w:val="0"/>
          <w:szCs w:val="24"/>
        </w:rPr>
        <w:t xml:space="preserve"> of </w:t>
      </w:r>
      <w:r>
        <w:rPr>
          <w:kern w:val="0"/>
          <w:szCs w:val="24"/>
        </w:rPr>
        <w:t>asthma exacerbation in stable asthmatics who reduce inhaled corticosteroids (ICS) compared to those who maintain a stable ICS dose. We identified articles from a systematic review</w:t>
      </w:r>
      <w:r w:rsidR="00427468">
        <w:rPr>
          <w:kern w:val="0"/>
          <w:szCs w:val="24"/>
        </w:rPr>
        <w:t xml:space="preserve"> of </w:t>
      </w:r>
      <w:r>
        <w:rPr>
          <w:kern w:val="0"/>
          <w:szCs w:val="24"/>
        </w:rPr>
        <w:t>English and non-English articles using MEDLINE, EMBASE, Web</w:t>
      </w:r>
      <w:r w:rsidR="00427468">
        <w:rPr>
          <w:kern w:val="0"/>
          <w:szCs w:val="24"/>
        </w:rPr>
        <w:t xml:space="preserve"> of </w:t>
      </w:r>
      <w:r>
        <w:rPr>
          <w:kern w:val="0"/>
          <w:szCs w:val="24"/>
        </w:rPr>
        <w:t>Science, and CENTRAL (inception to May 25, 2013). We included randomized controlled trials (RCTs) with a stable asthma run-in period</w:t>
      </w:r>
      <w:r w:rsidR="00427468">
        <w:rPr>
          <w:kern w:val="0"/>
          <w:szCs w:val="24"/>
        </w:rPr>
        <w:t xml:space="preserve"> of </w:t>
      </w:r>
      <w:r>
        <w:rPr>
          <w:kern w:val="0"/>
          <w:szCs w:val="24"/>
        </w:rPr>
        <w:t>4weeks or more, an intervention to reduce ICS, and a follow-up period</w:t>
      </w:r>
      <w:r w:rsidR="00427468">
        <w:rPr>
          <w:kern w:val="0"/>
          <w:szCs w:val="24"/>
        </w:rPr>
        <w:t xml:space="preserve"> of </w:t>
      </w:r>
      <w:r>
        <w:rPr>
          <w:kern w:val="0"/>
          <w:szCs w:val="24"/>
        </w:rPr>
        <w:t xml:space="preserve">at least 3months. Results The </w:t>
      </w:r>
      <w:r>
        <w:rPr>
          <w:kern w:val="0"/>
          <w:szCs w:val="24"/>
        </w:rPr>
        <w:lastRenderedPageBreak/>
        <w:t>search strategy identified 2253 potential articles,</w:t>
      </w:r>
      <w:r w:rsidR="00427468">
        <w:rPr>
          <w:kern w:val="0"/>
          <w:szCs w:val="24"/>
        </w:rPr>
        <w:t xml:space="preserve"> of </w:t>
      </w:r>
      <w:r>
        <w:rPr>
          <w:kern w:val="0"/>
          <w:szCs w:val="24"/>
        </w:rPr>
        <w:t>which 206 were reviewed at the full-text level and 6 met criteria for inclusion</w:t>
      </w:r>
      <w:r w:rsidR="00A37C1D">
        <w:rPr>
          <w:kern w:val="0"/>
          <w:szCs w:val="24"/>
        </w:rPr>
        <w:t>. The</w:t>
      </w:r>
      <w:r>
        <w:rPr>
          <w:kern w:val="0"/>
          <w:szCs w:val="24"/>
        </w:rPr>
        <w:t xml:space="preserve"> relative risk</w:t>
      </w:r>
      <w:r w:rsidR="00427468">
        <w:rPr>
          <w:kern w:val="0"/>
          <w:szCs w:val="24"/>
        </w:rPr>
        <w:t xml:space="preserve"> of </w:t>
      </w:r>
      <w:r>
        <w:rPr>
          <w:kern w:val="0"/>
          <w:szCs w:val="24"/>
        </w:rPr>
        <w:t>an asthma exacerbation in individuals who reduced ICS compared to those who maintained the same ICS dose was 1.25 (95% CI 0.96, 1.62; P=0.10; I-2=0%) in studies with a mean follow-up</w:t>
      </w:r>
      <w:r w:rsidR="00427468">
        <w:rPr>
          <w:kern w:val="0"/>
          <w:szCs w:val="24"/>
        </w:rPr>
        <w:t xml:space="preserve"> of </w:t>
      </w:r>
      <w:r>
        <w:rPr>
          <w:kern w:val="0"/>
          <w:szCs w:val="24"/>
        </w:rPr>
        <w:t>22weeks. Individuals who reduced ICS had a decreased% predicted FEV1</w:t>
      </w:r>
      <w:r w:rsidR="00427468">
        <w:rPr>
          <w:kern w:val="0"/>
          <w:szCs w:val="24"/>
        </w:rPr>
        <w:t xml:space="preserve"> of </w:t>
      </w:r>
      <w:r>
        <w:rPr>
          <w:kern w:val="0"/>
          <w:szCs w:val="24"/>
        </w:rPr>
        <w:t>0.87% (95% CI -1.58%,3.33%; P=0.49, I-2=58%) and a decreased mean morning peak expiratory flow</w:t>
      </w:r>
      <w:r w:rsidR="00427468">
        <w:rPr>
          <w:kern w:val="0"/>
          <w:szCs w:val="24"/>
        </w:rPr>
        <w:t xml:space="preserve"> of </w:t>
      </w:r>
      <w:r>
        <w:rPr>
          <w:kern w:val="0"/>
          <w:szCs w:val="24"/>
        </w:rPr>
        <w:t>9.57l/min (95% CI 1.25, 17.90; P=0.02; I-2=74%) compared to those individuals who maintained a stable ICS dose. Conclusions Asthma exacerbations were statistically no more likely among individuals who reduced ICS compared to those who maintained their ICS dose, supporting current guidelines which recommend decreasing ICS by 50% after a period</w:t>
      </w:r>
      <w:r w:rsidR="00427468">
        <w:rPr>
          <w:kern w:val="0"/>
          <w:szCs w:val="24"/>
        </w:rPr>
        <w:t xml:space="preserve"> of </w:t>
      </w:r>
      <w:r>
        <w:rPr>
          <w:kern w:val="0"/>
          <w:szCs w:val="24"/>
        </w:rPr>
        <w:t>asthma stability.</w:t>
      </w:r>
    </w:p>
    <w:p w:rsidR="00C32E49" w:rsidRDefault="00C32E49" w:rsidP="00C32E49">
      <w:pPr>
        <w:pStyle w:val="a3"/>
        <w:rPr>
          <w:kern w:val="0"/>
          <w:szCs w:val="24"/>
        </w:rPr>
      </w:pPr>
      <w:r>
        <w:rPr>
          <w:kern w:val="0"/>
          <w:szCs w:val="24"/>
        </w:rPr>
        <w:t>Keywords: Anti-Asthmatic Agents, Asthma, Beclomethasone, Childhood, Clinical Trial, Corticosteroids, Criteria, Embase, English, Flow, Follow-Up, Glucocorticoids, Guidelines, Height, Inhaled Corticosteroids, Intervention, Medline, Meta Analysis, Meta-Analysis, Metaanalysis, Methods, Potential, Purpose, Randomized, Randomized Controlled Trials, Relative Risk, Results, Review, Risk, Science, Search Strategy, Stability, Step Down, Strategy, Systematic Review, Web</w:t>
      </w:r>
      <w:r w:rsidR="00427468">
        <w:rPr>
          <w:kern w:val="0"/>
          <w:szCs w:val="24"/>
        </w:rPr>
        <w:t xml:space="preserve"> of </w:t>
      </w:r>
      <w:r>
        <w:rPr>
          <w:kern w:val="0"/>
          <w:szCs w:val="24"/>
        </w:rPr>
        <w:t>Science</w:t>
      </w:r>
    </w:p>
    <w:p w:rsidR="00FB61C2" w:rsidRPr="001A3D2B" w:rsidRDefault="00FB61C2" w:rsidP="00FB61C2">
      <w:pPr>
        <w:pStyle w:val="1"/>
      </w:pPr>
      <w:r w:rsidRPr="001A3D2B">
        <w:br w:type="page"/>
      </w:r>
      <w:bookmarkStart w:id="204" w:name="_Toc389942297"/>
      <w:bookmarkStart w:id="205" w:name="_Toc420814361"/>
      <w:r w:rsidRPr="001A3D2B">
        <w:lastRenderedPageBreak/>
        <w:t xml:space="preserve">Title: </w:t>
      </w:r>
      <w:bookmarkEnd w:id="204"/>
      <w:r w:rsidRPr="00F42CDD">
        <w:t>Allergy Asthma and Clinical Immunology</w:t>
      </w:r>
      <w:bookmarkEnd w:id="205"/>
    </w:p>
    <w:p w:rsidR="00FB61C2" w:rsidRPr="001A3D2B" w:rsidRDefault="00FB61C2" w:rsidP="00FB61C2">
      <w:pPr>
        <w:pStyle w:val="12"/>
      </w:pPr>
      <w:r w:rsidRPr="001A3D2B">
        <w:t xml:space="preserve">Full Journal Title: </w:t>
      </w:r>
      <w:r w:rsidRPr="00F42CDD">
        <w:rPr>
          <w:iCs/>
          <w:kern w:val="0"/>
        </w:rPr>
        <w:t>Allergy Asthma and Clinical Immunology</w:t>
      </w:r>
    </w:p>
    <w:p w:rsidR="00FB61C2" w:rsidRPr="001A3D2B" w:rsidRDefault="00FB61C2" w:rsidP="00FB61C2">
      <w:pPr>
        <w:pStyle w:val="12"/>
      </w:pPr>
      <w:r w:rsidRPr="001A3D2B">
        <w:t xml:space="preserve">ISO Abbreviated Title: </w:t>
      </w:r>
    </w:p>
    <w:p w:rsidR="00FB61C2" w:rsidRPr="001A3D2B" w:rsidRDefault="00FB61C2" w:rsidP="00FB61C2">
      <w:pPr>
        <w:pStyle w:val="12"/>
      </w:pPr>
      <w:r w:rsidRPr="001A3D2B">
        <w:t xml:space="preserve">JCR Abbreviated Title: </w:t>
      </w:r>
    </w:p>
    <w:p w:rsidR="00FB61C2" w:rsidRPr="001A3D2B" w:rsidRDefault="00FB61C2" w:rsidP="00FB61C2">
      <w:pPr>
        <w:pStyle w:val="12"/>
      </w:pPr>
      <w:r w:rsidRPr="001A3D2B">
        <w:t xml:space="preserve">ISSN: </w:t>
      </w:r>
    </w:p>
    <w:p w:rsidR="00FB61C2" w:rsidRPr="001A3D2B" w:rsidRDefault="00FB61C2" w:rsidP="00FB61C2">
      <w:pPr>
        <w:pStyle w:val="12"/>
      </w:pPr>
      <w:r w:rsidRPr="001A3D2B">
        <w:t xml:space="preserve">Issues/Year: </w:t>
      </w:r>
    </w:p>
    <w:p w:rsidR="00FB61C2" w:rsidRPr="001A3D2B" w:rsidRDefault="00FB61C2" w:rsidP="00FB61C2">
      <w:pPr>
        <w:pStyle w:val="12"/>
      </w:pPr>
      <w:r w:rsidRPr="001A3D2B">
        <w:t xml:space="preserve">Journal Country/Territory: </w:t>
      </w:r>
    </w:p>
    <w:p w:rsidR="00FB61C2" w:rsidRPr="001A3D2B" w:rsidRDefault="00FB61C2" w:rsidP="00FB61C2">
      <w:pPr>
        <w:pStyle w:val="12"/>
      </w:pPr>
      <w:r w:rsidRPr="001A3D2B">
        <w:t xml:space="preserve">Language: </w:t>
      </w:r>
    </w:p>
    <w:p w:rsidR="00FB61C2" w:rsidRPr="001A3D2B" w:rsidRDefault="00FB61C2" w:rsidP="00FB61C2">
      <w:pPr>
        <w:pStyle w:val="12"/>
      </w:pPr>
      <w:r w:rsidRPr="001A3D2B">
        <w:t xml:space="preserve">Publisher: </w:t>
      </w:r>
    </w:p>
    <w:p w:rsidR="00FB61C2" w:rsidRPr="001A3D2B" w:rsidRDefault="00FB61C2" w:rsidP="00FB61C2">
      <w:pPr>
        <w:pStyle w:val="12"/>
      </w:pPr>
      <w:r w:rsidRPr="001A3D2B">
        <w:t xml:space="preserve">Publisher Address: </w:t>
      </w:r>
    </w:p>
    <w:p w:rsidR="00FB61C2" w:rsidRPr="001A3D2B" w:rsidRDefault="00FB61C2" w:rsidP="00FB61C2">
      <w:pPr>
        <w:pStyle w:val="12"/>
      </w:pPr>
      <w:r w:rsidRPr="001A3D2B">
        <w:t>Subject Categories:</w:t>
      </w:r>
    </w:p>
    <w:p w:rsidR="00FB61C2" w:rsidRPr="001A3D2B" w:rsidRDefault="00FB61C2" w:rsidP="00FB61C2">
      <w:pPr>
        <w:pStyle w:val="12"/>
      </w:pPr>
      <w:r w:rsidRPr="001A3D2B">
        <w:t xml:space="preserve">: Impact Factor </w:t>
      </w:r>
    </w:p>
    <w:p w:rsidR="00FB61C2" w:rsidRDefault="00FB61C2" w:rsidP="00FB61C2">
      <w:pPr>
        <w:pStyle w:val="a3"/>
        <w:rPr>
          <w:kern w:val="0"/>
        </w:rPr>
      </w:pPr>
      <w:r>
        <w:rPr>
          <w:kern w:val="0"/>
        </w:rPr>
        <w:t xml:space="preserve">? de Silva, N.L., Damayanthi, H., Rajapakse, A.C., Rodrigo, C. and Rajapakse, S. (2014), Leukotriene receptor antagonists for chronic urticaria: A systematic review. </w:t>
      </w:r>
      <w:r w:rsidRPr="00F42CDD">
        <w:rPr>
          <w:i/>
          <w:iCs/>
          <w:kern w:val="0"/>
        </w:rPr>
        <w:t>Allergy Asthma and Clinical Immunology</w:t>
      </w:r>
      <w:r>
        <w:rPr>
          <w:kern w:val="0"/>
        </w:rPr>
        <w:t xml:space="preserve">, </w:t>
      </w:r>
      <w:r>
        <w:rPr>
          <w:b/>
          <w:bCs/>
          <w:kern w:val="0"/>
        </w:rPr>
        <w:t>10</w:t>
      </w:r>
      <w:r>
        <w:rPr>
          <w:rFonts w:hint="eastAsia"/>
          <w:kern w:val="0"/>
        </w:rPr>
        <w:t xml:space="preserve">, </w:t>
      </w:r>
      <w:r>
        <w:rPr>
          <w:kern w:val="0"/>
        </w:rPr>
        <w:t>Article Number: 24</w:t>
      </w:r>
      <w:r>
        <w:rPr>
          <w:rFonts w:hint="eastAsia"/>
          <w:kern w:val="0"/>
        </w:rPr>
        <w:t>.</w:t>
      </w:r>
    </w:p>
    <w:p w:rsidR="00FB61C2" w:rsidRDefault="00FB61C2" w:rsidP="00FB61C2">
      <w:pPr>
        <w:pStyle w:val="a3"/>
        <w:rPr>
          <w:kern w:val="0"/>
        </w:rPr>
      </w:pPr>
      <w:r>
        <w:rPr>
          <w:rFonts w:hint="eastAsia"/>
          <w:kern w:val="0"/>
        </w:rPr>
        <w:t xml:space="preserve">Full Text: </w:t>
      </w:r>
      <w:hyperlink r:id="rId382" w:history="1">
        <w:r w:rsidRPr="00F42CDD">
          <w:rPr>
            <w:rStyle w:val="a5"/>
            <w:kern w:val="0"/>
          </w:rPr>
          <w:t>2014\All Ast Cli Imm10, 24.pdf</w:t>
        </w:r>
      </w:hyperlink>
    </w:p>
    <w:p w:rsidR="00FB61C2" w:rsidRDefault="00FB61C2" w:rsidP="00FB61C2">
      <w:pPr>
        <w:pStyle w:val="a3"/>
        <w:rPr>
          <w:kern w:val="0"/>
        </w:rPr>
      </w:pPr>
      <w:r>
        <w:rPr>
          <w:kern w:val="0"/>
        </w:rPr>
        <w:t>Abstract: A significant proportion of patients with chronic urticaria respond inadequately to first line treatment with antihistamines. Leukotreine receptor antagonists (LTRA) are also used for chronic urticaria, although firm recommendations on their use are lacking. We performed a systematic review of randomised trials to determine the role of LTRA in treatment of chronic urticaria. A search of PUBMED, EMBASE, SCOPUS, LILACS, the Cochrane Central Register of Controlled Trials, and the Web of Science for relevant randomized control trials or cross over studies yielded 10 eligible studies</w:t>
      </w:r>
      <w:r w:rsidR="00A37C1D">
        <w:rPr>
          <w:kern w:val="0"/>
        </w:rPr>
        <w:t>. The</w:t>
      </w:r>
      <w:r>
        <w:rPr>
          <w:kern w:val="0"/>
        </w:rPr>
        <w:t xml:space="preserve"> heterogeneity of trials were high, preventing valid meta-analysis of data. Most trials indicated that LTRA are not superior to placebo or antihistamine therapy, while combination therapy of LTRA and antihistamines appear to be more efficacious compared to antihistamine alone</w:t>
      </w:r>
      <w:r w:rsidR="00A37C1D">
        <w:rPr>
          <w:kern w:val="0"/>
        </w:rPr>
        <w:t>. The</w:t>
      </w:r>
      <w:r>
        <w:rPr>
          <w:kern w:val="0"/>
        </w:rPr>
        <w:t xml:space="preserve"> side effect profile and tolerability of this group of drugs is acceptable</w:t>
      </w:r>
      <w:r w:rsidR="00A37C1D">
        <w:rPr>
          <w:kern w:val="0"/>
        </w:rPr>
        <w:t>. The</w:t>
      </w:r>
      <w:r>
        <w:rPr>
          <w:kern w:val="0"/>
        </w:rPr>
        <w:t xml:space="preserve"> use of LTRA as monotherapy cannot be recommended. LTRA are effective add-on therapy to anti-histamines, and their use in patients responding poorly to antihistamines is justifiable. Further well designed randomized controlled trials with clear and standardized outcome measures are needed to determine the role of LTRA in chronic urticaria.</w:t>
      </w:r>
    </w:p>
    <w:p w:rsidR="00FB61C2" w:rsidRDefault="00FB61C2" w:rsidP="00FB61C2">
      <w:pPr>
        <w:pStyle w:val="a3"/>
        <w:rPr>
          <w:kern w:val="0"/>
        </w:rPr>
      </w:pPr>
      <w:r>
        <w:rPr>
          <w:kern w:val="0"/>
        </w:rPr>
        <w:t xml:space="preserve">Keywords: Antihistamines, Cetirizine, Chronic, Chronic Idiopathic Urticaria, Chronic Urticaria, Combination, Combination Therapy, Control, Data, Desloratadine, Double-Blind, Drugs, Efficacy, Embase, First, Heterogeneity, Leukotreine, Leukotreine Receptor Antagonists, Management, Measures, Meta Analysis, </w:t>
      </w:r>
      <w:r>
        <w:rPr>
          <w:kern w:val="0"/>
        </w:rPr>
        <w:lastRenderedPageBreak/>
        <w:t>Meta-Analysis, Metaanalysis, Montelukast, Montelukast, Outcome, Outcome Measures, Patients, Placebo, Randomised, Randomized, Randomized Controlled Trials, Recommendations, Review, Role, Science, Scopus, Side Effect, Side-Effect, Systematic, Systematic Review, Therapy, Treatment, Web Of Science, Zafirlukast, Zafirlukast</w:t>
      </w:r>
    </w:p>
    <w:p w:rsidR="006F4B60" w:rsidRPr="00F219CA" w:rsidRDefault="006F4B60" w:rsidP="006F4B60">
      <w:pPr>
        <w:pStyle w:val="1"/>
      </w:pPr>
      <w:r w:rsidRPr="00F219CA">
        <w:br w:type="page"/>
      </w:r>
      <w:bookmarkStart w:id="206" w:name="_Toc302211500"/>
      <w:bookmarkStart w:id="207" w:name="_Toc420814362"/>
      <w:r w:rsidRPr="00F219CA">
        <w:lastRenderedPageBreak/>
        <w:t>Title: Allergy</w:t>
      </w:r>
      <w:r w:rsidR="005853A9">
        <w:t xml:space="preserve"> and </w:t>
      </w:r>
      <w:r w:rsidRPr="00F219CA">
        <w:t>Asthma Proceedings</w:t>
      </w:r>
      <w:bookmarkEnd w:id="206"/>
      <w:bookmarkEnd w:id="207"/>
    </w:p>
    <w:p w:rsidR="006F4B60" w:rsidRPr="00F219CA" w:rsidRDefault="006F4B60" w:rsidP="006F4B60">
      <w:pPr>
        <w:pStyle w:val="12"/>
      </w:pPr>
      <w:r w:rsidRPr="00F219CA">
        <w:t>Full Journal Title: Allergy</w:t>
      </w:r>
      <w:r w:rsidR="005853A9">
        <w:t xml:space="preserve"> and </w:t>
      </w:r>
      <w:r w:rsidRPr="00F219CA">
        <w:t>Asthma Proceedings</w:t>
      </w:r>
    </w:p>
    <w:p w:rsidR="006F4B60" w:rsidRPr="00F219CA" w:rsidRDefault="006F4B60" w:rsidP="006F4B60">
      <w:pPr>
        <w:pStyle w:val="12"/>
      </w:pPr>
      <w:r w:rsidRPr="00F219CA">
        <w:t xml:space="preserve">ISO Abbreviated Title: </w:t>
      </w:r>
      <w:r w:rsidRPr="00F219CA">
        <w:rPr>
          <w:lang w:val="en-GB"/>
        </w:rPr>
        <w:t>Allergy Asthma Proc.</w:t>
      </w:r>
    </w:p>
    <w:p w:rsidR="006F4B60" w:rsidRPr="00F219CA" w:rsidRDefault="006F4B60" w:rsidP="006F4B60">
      <w:pPr>
        <w:pStyle w:val="12"/>
      </w:pPr>
      <w:r w:rsidRPr="00F219CA">
        <w:t xml:space="preserve">JCR Abbreviated Title: </w:t>
      </w:r>
      <w:r w:rsidRPr="00BC6325">
        <w:rPr>
          <w:iCs/>
          <w:lang w:val="en-GB"/>
        </w:rPr>
        <w:t>Allergy Asthma Proc</w:t>
      </w:r>
    </w:p>
    <w:p w:rsidR="006F4B60" w:rsidRPr="00F219CA" w:rsidRDefault="006F4B60" w:rsidP="006F4B60">
      <w:pPr>
        <w:pStyle w:val="12"/>
      </w:pPr>
      <w:r w:rsidRPr="00F219CA">
        <w:t>ISSN: 1088-5412</w:t>
      </w:r>
    </w:p>
    <w:p w:rsidR="006F4B60" w:rsidRPr="00F219CA" w:rsidRDefault="006F4B60" w:rsidP="006F4B60">
      <w:pPr>
        <w:pStyle w:val="12"/>
      </w:pPr>
      <w:r w:rsidRPr="00F219CA">
        <w:t>Issues/Year: 6</w:t>
      </w:r>
    </w:p>
    <w:p w:rsidR="006F4B60" w:rsidRPr="00F219CA" w:rsidRDefault="006F4B60" w:rsidP="006F4B60">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6F4B60" w:rsidRPr="00F219CA" w:rsidRDefault="006F4B60" w:rsidP="006F4B60">
      <w:pPr>
        <w:pStyle w:val="12"/>
      </w:pPr>
      <w:r w:rsidRPr="00F219CA">
        <w:t>Language: English</w:t>
      </w:r>
    </w:p>
    <w:p w:rsidR="006F4B60" w:rsidRPr="00F219CA" w:rsidRDefault="006F4B60" w:rsidP="006F4B60">
      <w:pPr>
        <w:pStyle w:val="12"/>
      </w:pPr>
      <w:r w:rsidRPr="00F219CA">
        <w:t>Publisher: Ocean Side Publications Inc</w:t>
      </w:r>
    </w:p>
    <w:p w:rsidR="006F4B60" w:rsidRPr="00F219CA" w:rsidRDefault="006F4B60" w:rsidP="006F4B60">
      <w:pPr>
        <w:pStyle w:val="12"/>
      </w:pPr>
      <w:r w:rsidRPr="00F219CA">
        <w:t xml:space="preserve">Publisher Address: 95 Pitman St, Providence, RI </w:t>
      </w:r>
      <w:smartTag w:uri="urn:schemas-microsoft-com:office:smarttags" w:element="PostalCode">
        <w:r w:rsidRPr="00F219CA">
          <w:t>02906</w:t>
        </w:r>
      </w:smartTag>
    </w:p>
    <w:p w:rsidR="006F4B60" w:rsidRPr="00F219CA" w:rsidRDefault="006F4B60" w:rsidP="006F4B60">
      <w:pPr>
        <w:pStyle w:val="12"/>
      </w:pPr>
      <w:r w:rsidRPr="00F219CA">
        <w:t xml:space="preserve">Subject Categories: </w:t>
      </w:r>
    </w:p>
    <w:p w:rsidR="006F4B60" w:rsidRPr="00F219CA" w:rsidRDefault="006F4B60" w:rsidP="006F4B60">
      <w:pPr>
        <w:pStyle w:val="12"/>
      </w:pPr>
      <w:r w:rsidRPr="00F219CA">
        <w:t>Allergy: Impact Factor 0.975, / (2002)</w:t>
      </w:r>
    </w:p>
    <w:p w:rsidR="006F4B60" w:rsidRDefault="006F4B60" w:rsidP="006F4B60">
      <w:pPr>
        <w:pStyle w:val="a3"/>
        <w:rPr>
          <w:kern w:val="0"/>
        </w:rPr>
      </w:pPr>
      <w:r>
        <w:rPr>
          <w:rFonts w:hint="eastAsia"/>
          <w:kern w:val="0"/>
        </w:rPr>
        <w:t xml:space="preserve">? </w:t>
      </w:r>
      <w:r>
        <w:rPr>
          <w:kern w:val="0"/>
        </w:rPr>
        <w:t>Breitbart, S.I.</w:t>
      </w:r>
      <w:r w:rsidR="005853A9">
        <w:rPr>
          <w:kern w:val="0"/>
        </w:rPr>
        <w:t xml:space="preserve"> and </w:t>
      </w:r>
      <w:r>
        <w:rPr>
          <w:kern w:val="0"/>
        </w:rPr>
        <w:t>Bielory, L. (2010), Acquired angioedema: Autoantibody associations</w:t>
      </w:r>
      <w:r w:rsidR="005853A9">
        <w:rPr>
          <w:kern w:val="0"/>
        </w:rPr>
        <w:t xml:space="preserve"> and </w:t>
      </w:r>
      <w:r>
        <w:rPr>
          <w:kern w:val="0"/>
        </w:rPr>
        <w:t xml:space="preserve">C1q utility as a diagnostic tool. </w:t>
      </w:r>
      <w:r>
        <w:rPr>
          <w:i/>
          <w:iCs/>
          <w:kern w:val="0"/>
        </w:rPr>
        <w:t>Allergy</w:t>
      </w:r>
      <w:r w:rsidR="005853A9">
        <w:rPr>
          <w:i/>
          <w:iCs/>
          <w:kern w:val="0"/>
        </w:rPr>
        <w:t xml:space="preserve"> and </w:t>
      </w:r>
      <w:r>
        <w:rPr>
          <w:i/>
          <w:iCs/>
          <w:kern w:val="0"/>
        </w:rPr>
        <w:t>Asthma Proceedings</w:t>
      </w:r>
      <w:r>
        <w:rPr>
          <w:kern w:val="0"/>
        </w:rPr>
        <w:t xml:space="preserve">, </w:t>
      </w:r>
      <w:r>
        <w:rPr>
          <w:b/>
          <w:bCs/>
          <w:kern w:val="0"/>
        </w:rPr>
        <w:t>31</w:t>
      </w:r>
      <w:r>
        <w:rPr>
          <w:kern w:val="0"/>
        </w:rPr>
        <w:t xml:space="preserve"> (5), 428-434.</w:t>
      </w:r>
    </w:p>
    <w:p w:rsidR="006F4B60" w:rsidRDefault="006F4B60" w:rsidP="006F4B60">
      <w:pPr>
        <w:pStyle w:val="a3"/>
        <w:rPr>
          <w:kern w:val="0"/>
        </w:rPr>
      </w:pPr>
      <w:r>
        <w:rPr>
          <w:rFonts w:hint="eastAsia"/>
          <w:kern w:val="0"/>
        </w:rPr>
        <w:t xml:space="preserve">Full Text: </w:t>
      </w:r>
      <w:hyperlink r:id="rId383" w:history="1">
        <w:r w:rsidRPr="006F4B60">
          <w:rPr>
            <w:rStyle w:val="a5"/>
            <w:kern w:val="0"/>
          </w:rPr>
          <w:t>2010\All Ast Pro31, 428.pdf</w:t>
        </w:r>
      </w:hyperlink>
    </w:p>
    <w:p w:rsidR="006F4B60" w:rsidRDefault="006F4B60" w:rsidP="006F4B60">
      <w:pPr>
        <w:pStyle w:val="a3"/>
        <w:rPr>
          <w:kern w:val="0"/>
        </w:rPr>
      </w:pPr>
      <w:r>
        <w:rPr>
          <w:kern w:val="0"/>
        </w:rPr>
        <w:t>Abstract: Acquired Angioedema (AAE) is a rare condition classified into two subtypes: Type I, which is associated with lymphoproliferative disorders,</w:t>
      </w:r>
      <w:r w:rsidR="005853A9">
        <w:rPr>
          <w:kern w:val="0"/>
        </w:rPr>
        <w:t xml:space="preserve"> and </w:t>
      </w:r>
      <w:r>
        <w:rPr>
          <w:kern w:val="0"/>
        </w:rPr>
        <w:t>Type II, which is linked with autoantibodies against C1-esterase inhibitor (C1-INH). Unlike Type I AAE, Type II has no correlation with lymphoproliferative disorders. We report</w:t>
      </w:r>
      <w:r w:rsidR="003A1917">
        <w:rPr>
          <w:kern w:val="0"/>
        </w:rPr>
        <w:t xml:space="preserve"> the </w:t>
      </w:r>
      <w:r>
        <w:rPr>
          <w:kern w:val="0"/>
        </w:rPr>
        <w:t>evaluation</w:t>
      </w:r>
      <w:r w:rsidR="00427468">
        <w:rPr>
          <w:kern w:val="0"/>
        </w:rPr>
        <w:t xml:space="preserve"> of </w:t>
      </w:r>
      <w:r>
        <w:rPr>
          <w:kern w:val="0"/>
        </w:rPr>
        <w:t>angioedema that was associated with an underlying lymphoproliferative disorder for</w:t>
      </w:r>
      <w:r w:rsidR="003A1917">
        <w:rPr>
          <w:kern w:val="0"/>
        </w:rPr>
        <w:t xml:space="preserve"> the </w:t>
      </w:r>
      <w:r>
        <w:rPr>
          <w:kern w:val="0"/>
        </w:rPr>
        <w:t>purpose</w:t>
      </w:r>
      <w:r w:rsidR="00427468">
        <w:rPr>
          <w:kern w:val="0"/>
        </w:rPr>
        <w:t xml:space="preserve"> of </w:t>
      </w:r>
      <w:r>
        <w:rPr>
          <w:kern w:val="0"/>
        </w:rPr>
        <w:t>discussing</w:t>
      </w:r>
      <w:r w:rsidR="003A1917">
        <w:rPr>
          <w:kern w:val="0"/>
        </w:rPr>
        <w:t xml:space="preserve"> the </w:t>
      </w:r>
      <w:r>
        <w:rPr>
          <w:kern w:val="0"/>
        </w:rPr>
        <w:t>relationship between C1q</w:t>
      </w:r>
      <w:r w:rsidR="005853A9">
        <w:rPr>
          <w:kern w:val="0"/>
        </w:rPr>
        <w:t xml:space="preserve"> and </w:t>
      </w:r>
      <w:r>
        <w:rPr>
          <w:kern w:val="0"/>
        </w:rPr>
        <w:t>a diagnosis</w:t>
      </w:r>
      <w:r w:rsidR="00427468">
        <w:rPr>
          <w:kern w:val="0"/>
        </w:rPr>
        <w:t xml:space="preserve"> of </w:t>
      </w:r>
      <w:r>
        <w:rPr>
          <w:kern w:val="0"/>
        </w:rPr>
        <w:t>AAE. A literature review was completed for</w:t>
      </w:r>
      <w:r w:rsidR="003A1917">
        <w:rPr>
          <w:kern w:val="0"/>
        </w:rPr>
        <w:t xml:space="preserve"> the </w:t>
      </w:r>
      <w:r>
        <w:rPr>
          <w:kern w:val="0"/>
        </w:rPr>
        <w:t>purpose</w:t>
      </w:r>
      <w:r w:rsidR="00427468">
        <w:rPr>
          <w:kern w:val="0"/>
        </w:rPr>
        <w:t xml:space="preserve"> of </w:t>
      </w:r>
      <w:r>
        <w:rPr>
          <w:kern w:val="0"/>
        </w:rPr>
        <w:t>assessing</w:t>
      </w:r>
      <w:r w:rsidR="003A1917">
        <w:rPr>
          <w:kern w:val="0"/>
        </w:rPr>
        <w:t xml:space="preserve"> the </w:t>
      </w:r>
      <w:r>
        <w:rPr>
          <w:kern w:val="0"/>
        </w:rPr>
        <w:t>diagnostic value</w:t>
      </w:r>
      <w:r w:rsidR="00427468">
        <w:rPr>
          <w:kern w:val="0"/>
        </w:rPr>
        <w:t xml:space="preserve"> of </w:t>
      </w:r>
      <w:r>
        <w:rPr>
          <w:kern w:val="0"/>
        </w:rPr>
        <w:t>C1q when used in</w:t>
      </w:r>
      <w:r w:rsidR="003A1917">
        <w:rPr>
          <w:kern w:val="0"/>
        </w:rPr>
        <w:t xml:space="preserve"> the </w:t>
      </w:r>
      <w:r>
        <w:rPr>
          <w:kern w:val="0"/>
        </w:rPr>
        <w:t>workup</w:t>
      </w:r>
      <w:r w:rsidR="00427468">
        <w:rPr>
          <w:kern w:val="0"/>
        </w:rPr>
        <w:t xml:space="preserve"> of </w:t>
      </w:r>
      <w:r>
        <w:rPr>
          <w:kern w:val="0"/>
        </w:rPr>
        <w:t xml:space="preserve">AAE. A </w:t>
      </w:r>
      <w:r w:rsidR="002C12F0">
        <w:rPr>
          <w:kern w:val="0"/>
        </w:rPr>
        <w:t>PUBMED</w:t>
      </w:r>
      <w:r>
        <w:rPr>
          <w:kern w:val="0"/>
        </w:rPr>
        <w:t>/</w:t>
      </w:r>
      <w:r w:rsidR="00D5664A">
        <w:rPr>
          <w:kern w:val="0"/>
        </w:rPr>
        <w:t>Web</w:t>
      </w:r>
      <w:r w:rsidR="00427468">
        <w:rPr>
          <w:kern w:val="0"/>
        </w:rPr>
        <w:t xml:space="preserve"> of </w:t>
      </w:r>
      <w:r w:rsidR="00D5664A">
        <w:rPr>
          <w:kern w:val="0"/>
        </w:rPr>
        <w:t>Science</w:t>
      </w:r>
      <w:r>
        <w:rPr>
          <w:kern w:val="0"/>
        </w:rPr>
        <w:t xml:space="preserve"> search (1976-2010) produced 78 references (yielding 167 individual cases</w:t>
      </w:r>
      <w:r w:rsidR="00427468">
        <w:rPr>
          <w:kern w:val="0"/>
        </w:rPr>
        <w:t xml:space="preserve"> of </w:t>
      </w:r>
      <w:r>
        <w:rPr>
          <w:kern w:val="0"/>
        </w:rPr>
        <w:t xml:space="preserve">AAE) using terminology </w:t>
      </w:r>
      <w:r w:rsidR="00B5188C">
        <w:rPr>
          <w:kern w:val="0"/>
        </w:rPr>
        <w:t>“</w:t>
      </w:r>
      <w:r>
        <w:rPr>
          <w:kern w:val="0"/>
        </w:rPr>
        <w:t>AAE.</w:t>
      </w:r>
      <w:r w:rsidR="00B5188C">
        <w:rPr>
          <w:kern w:val="0"/>
        </w:rPr>
        <w:t>”</w:t>
      </w:r>
      <w:r w:rsidR="003A1917">
        <w:rPr>
          <w:kern w:val="0"/>
        </w:rPr>
        <w:t xml:space="preserve"> the </w:t>
      </w:r>
      <w:r>
        <w:rPr>
          <w:kern w:val="0"/>
        </w:rPr>
        <w:t>case described a patient with a depressed C1q (&lt;3.5 mg/dL), decreased C4 (&lt;3 mg/dL), decreased C1-inhibitor (1 mg/dL), decreased functional C1-INH (12%),</w:t>
      </w:r>
      <w:r w:rsidR="005853A9">
        <w:rPr>
          <w:kern w:val="0"/>
        </w:rPr>
        <w:t xml:space="preserve"> and </w:t>
      </w:r>
      <w:r>
        <w:rPr>
          <w:kern w:val="0"/>
        </w:rPr>
        <w:t>decreased total complement (&lt;10 U/mL). Autoantibodies against C1-INH (free</w:t>
      </w:r>
      <w:r w:rsidR="005853A9">
        <w:rPr>
          <w:kern w:val="0"/>
        </w:rPr>
        <w:t xml:space="preserve"> and </w:t>
      </w:r>
      <w:r>
        <w:rPr>
          <w:kern w:val="0"/>
        </w:rPr>
        <w:t>bound respectively) were normal (12.4%</w:t>
      </w:r>
      <w:r w:rsidR="005853A9">
        <w:rPr>
          <w:kern w:val="0"/>
        </w:rPr>
        <w:t xml:space="preserve"> and </w:t>
      </w:r>
      <w:r>
        <w:rPr>
          <w:kern w:val="0"/>
        </w:rPr>
        <w:t>10.1%</w:t>
      </w:r>
      <w:r w:rsidR="00427468">
        <w:rPr>
          <w:kern w:val="0"/>
        </w:rPr>
        <w:t xml:space="preserve"> of </w:t>
      </w:r>
      <w:r w:rsidR="003A1917">
        <w:rPr>
          <w:kern w:val="0"/>
        </w:rPr>
        <w:t xml:space="preserve">the </w:t>
      </w:r>
      <w:r>
        <w:rPr>
          <w:kern w:val="0"/>
        </w:rPr>
        <w:t>standard</w:t>
      </w:r>
      <w:r w:rsidR="00427468">
        <w:rPr>
          <w:kern w:val="0"/>
        </w:rPr>
        <w:t xml:space="preserve"> of </w:t>
      </w:r>
      <w:r>
        <w:rPr>
          <w:kern w:val="0"/>
        </w:rPr>
        <w:t>deviation). Using</w:t>
      </w:r>
      <w:r w:rsidR="003A1917">
        <w:rPr>
          <w:kern w:val="0"/>
        </w:rPr>
        <w:t xml:space="preserve"> the </w:t>
      </w:r>
      <w:r>
        <w:rPr>
          <w:kern w:val="0"/>
        </w:rPr>
        <w:t>above figures</w:t>
      </w:r>
      <w:r w:rsidR="005853A9">
        <w:rPr>
          <w:kern w:val="0"/>
        </w:rPr>
        <w:t xml:space="preserve"> and </w:t>
      </w:r>
      <w:r>
        <w:rPr>
          <w:kern w:val="0"/>
        </w:rPr>
        <w:t>data collected from</w:t>
      </w:r>
      <w:r w:rsidR="003A1917">
        <w:rPr>
          <w:kern w:val="0"/>
        </w:rPr>
        <w:t xml:space="preserve"> the </w:t>
      </w:r>
      <w:r>
        <w:rPr>
          <w:kern w:val="0"/>
        </w:rPr>
        <w:t>literature search, we tabulated 168 individual cases</w:t>
      </w:r>
      <w:r w:rsidR="00427468">
        <w:rPr>
          <w:kern w:val="0"/>
        </w:rPr>
        <w:t xml:space="preserve"> of </w:t>
      </w:r>
      <w:r>
        <w:rPr>
          <w:kern w:val="0"/>
        </w:rPr>
        <w:t>AAE.</w:t>
      </w:r>
      <w:r w:rsidR="00427468">
        <w:rPr>
          <w:kern w:val="0"/>
        </w:rPr>
        <w:t xml:space="preserve"> of </w:t>
      </w:r>
      <w:r w:rsidR="003A1917">
        <w:rPr>
          <w:kern w:val="0"/>
        </w:rPr>
        <w:t xml:space="preserve">the </w:t>
      </w:r>
      <w:r>
        <w:rPr>
          <w:kern w:val="0"/>
        </w:rPr>
        <w:t>168 cases, C1q was drawn in 104 cases,</w:t>
      </w:r>
      <w:r w:rsidR="005853A9">
        <w:rPr>
          <w:kern w:val="0"/>
        </w:rPr>
        <w:t xml:space="preserve"> and </w:t>
      </w:r>
      <w:r>
        <w:rPr>
          <w:kern w:val="0"/>
        </w:rPr>
        <w:t>64 cases have no information regarding C1q</w:t>
      </w:r>
      <w:r w:rsidR="00A37C1D">
        <w:rPr>
          <w:kern w:val="0"/>
        </w:rPr>
        <w:t>. The</w:t>
      </w:r>
      <w:r>
        <w:rPr>
          <w:kern w:val="0"/>
        </w:rPr>
        <w:t>re are 10 cases where</w:t>
      </w:r>
      <w:r w:rsidR="003A1917">
        <w:rPr>
          <w:kern w:val="0"/>
        </w:rPr>
        <w:t xml:space="preserve"> the </w:t>
      </w:r>
      <w:r>
        <w:rPr>
          <w:kern w:val="0"/>
        </w:rPr>
        <w:t>C1q was documented as normal. With these values, a correlation between C1q</w:t>
      </w:r>
      <w:r w:rsidR="005853A9">
        <w:rPr>
          <w:kern w:val="0"/>
        </w:rPr>
        <w:t xml:space="preserve"> and </w:t>
      </w:r>
      <w:r>
        <w:rPr>
          <w:kern w:val="0"/>
        </w:rPr>
        <w:t>a diagnosis</w:t>
      </w:r>
      <w:r w:rsidR="00427468">
        <w:rPr>
          <w:kern w:val="0"/>
        </w:rPr>
        <w:t xml:space="preserve"> of </w:t>
      </w:r>
      <w:r>
        <w:rPr>
          <w:kern w:val="0"/>
        </w:rPr>
        <w:t>AAE was assessed: A decreased C1q correlated with a diagnosis</w:t>
      </w:r>
      <w:r w:rsidR="00427468">
        <w:rPr>
          <w:kern w:val="0"/>
        </w:rPr>
        <w:t xml:space="preserve"> of </w:t>
      </w:r>
      <w:r>
        <w:rPr>
          <w:kern w:val="0"/>
        </w:rPr>
        <w:t>AAE approximately 56%-94%</w:t>
      </w:r>
      <w:r w:rsidR="00427468">
        <w:rPr>
          <w:kern w:val="0"/>
        </w:rPr>
        <w:t xml:space="preserve"> of </w:t>
      </w:r>
      <w:r w:rsidR="003A1917">
        <w:rPr>
          <w:kern w:val="0"/>
        </w:rPr>
        <w:t xml:space="preserve">the </w:t>
      </w:r>
      <w:r>
        <w:rPr>
          <w:kern w:val="0"/>
        </w:rPr>
        <w:t>time. C1q is a useful tool when working up a case</w:t>
      </w:r>
      <w:r w:rsidR="00427468">
        <w:rPr>
          <w:kern w:val="0"/>
        </w:rPr>
        <w:t xml:space="preserve"> of </w:t>
      </w:r>
      <w:r>
        <w:rPr>
          <w:kern w:val="0"/>
        </w:rPr>
        <w:t>AAE.</w:t>
      </w:r>
    </w:p>
    <w:p w:rsidR="006F4B60" w:rsidRDefault="006F4B60" w:rsidP="006F4B60">
      <w:pPr>
        <w:pStyle w:val="a3"/>
        <w:rPr>
          <w:kern w:val="0"/>
        </w:rPr>
      </w:pPr>
      <w:r>
        <w:rPr>
          <w:kern w:val="0"/>
        </w:rPr>
        <w:lastRenderedPageBreak/>
        <w:t>Keywords: Angioneurotic-Edema, Antiphospholipid Syndrome, C1-Inhibitor Deficiency, Diagnosis, Disorder, Esterase Inhibitor Deficiency, Evaluation, Functional, Hereditary Angioedema, Information, Literature, Literature Review, Lymphoproliferative Disorders, Monoclonal Gammopathy, Non-Hodgkins-Lymphoma, Normal, Recurrent Angioedema, Review, Science, Systemic-Lupus-Erythematosus</w:t>
      </w:r>
    </w:p>
    <w:p w:rsidR="00823659" w:rsidRDefault="00823659" w:rsidP="00823659">
      <w:pPr>
        <w:pStyle w:val="a3"/>
        <w:rPr>
          <w:kern w:val="0"/>
        </w:rPr>
      </w:pPr>
      <w:r>
        <w:rPr>
          <w:rFonts w:hint="eastAsia"/>
          <w:kern w:val="0"/>
        </w:rPr>
        <w:t xml:space="preserve">? </w:t>
      </w:r>
      <w:r>
        <w:rPr>
          <w:kern w:val="0"/>
        </w:rPr>
        <w:t>Sun, J.Q., Hui, X.Y., Ying, W.J., Liu, D.R. and Wang, X.C. (2014), Efficacy</w:t>
      </w:r>
      <w:r w:rsidR="00427468">
        <w:rPr>
          <w:kern w:val="0"/>
        </w:rPr>
        <w:t xml:space="preserve"> of </w:t>
      </w:r>
      <w:r>
        <w:rPr>
          <w:kern w:val="0"/>
        </w:rPr>
        <w:t>allergen-specific immunotherapy for peanut allergy: A meta-analysis</w:t>
      </w:r>
      <w:r w:rsidR="00427468">
        <w:rPr>
          <w:kern w:val="0"/>
        </w:rPr>
        <w:t xml:space="preserve"> of </w:t>
      </w:r>
      <w:r>
        <w:rPr>
          <w:kern w:val="0"/>
        </w:rPr>
        <w:t xml:space="preserve">randomized controlled trials. </w:t>
      </w:r>
      <w:r>
        <w:rPr>
          <w:i/>
          <w:iCs/>
          <w:kern w:val="0"/>
        </w:rPr>
        <w:t>Allergy and Asthma Proceedings</w:t>
      </w:r>
      <w:r>
        <w:rPr>
          <w:kern w:val="0"/>
        </w:rPr>
        <w:t xml:space="preserve">, </w:t>
      </w:r>
      <w:r>
        <w:rPr>
          <w:b/>
          <w:bCs/>
          <w:kern w:val="0"/>
        </w:rPr>
        <w:t>35</w:t>
      </w:r>
      <w:r>
        <w:rPr>
          <w:kern w:val="0"/>
        </w:rPr>
        <w:t xml:space="preserve"> (2), 171-177.</w:t>
      </w:r>
    </w:p>
    <w:p w:rsidR="00823659" w:rsidRDefault="00823659" w:rsidP="00823659">
      <w:pPr>
        <w:pStyle w:val="a3"/>
        <w:rPr>
          <w:kern w:val="0"/>
        </w:rPr>
      </w:pPr>
      <w:r>
        <w:rPr>
          <w:rFonts w:hint="eastAsia"/>
          <w:kern w:val="0"/>
        </w:rPr>
        <w:t xml:space="preserve">Full Text: </w:t>
      </w:r>
      <w:r w:rsidRPr="001D485E">
        <w:rPr>
          <w:kern w:val="0"/>
        </w:rPr>
        <w:t>201</w:t>
      </w:r>
      <w:r>
        <w:rPr>
          <w:rFonts w:hint="eastAsia"/>
          <w:kern w:val="0"/>
        </w:rPr>
        <w:t>4</w:t>
      </w:r>
      <w:r w:rsidRPr="001D485E">
        <w:rPr>
          <w:kern w:val="0"/>
        </w:rPr>
        <w:t>\All Ast Pro3</w:t>
      </w:r>
      <w:r>
        <w:rPr>
          <w:rFonts w:hint="eastAsia"/>
          <w:kern w:val="0"/>
        </w:rPr>
        <w:t>5</w:t>
      </w:r>
      <w:r w:rsidRPr="001D485E">
        <w:rPr>
          <w:kern w:val="0"/>
        </w:rPr>
        <w:t xml:space="preserve">, </w:t>
      </w:r>
      <w:r>
        <w:rPr>
          <w:rFonts w:hint="eastAsia"/>
          <w:kern w:val="0"/>
        </w:rPr>
        <w:t>171</w:t>
      </w:r>
      <w:r w:rsidRPr="001D485E">
        <w:rPr>
          <w:kern w:val="0"/>
        </w:rPr>
        <w:t>.pdf</w:t>
      </w:r>
    </w:p>
    <w:p w:rsidR="00823659" w:rsidRDefault="00823659" w:rsidP="00823659">
      <w:pPr>
        <w:pStyle w:val="a3"/>
        <w:rPr>
          <w:kern w:val="0"/>
        </w:rPr>
      </w:pPr>
      <w:r>
        <w:rPr>
          <w:kern w:val="0"/>
        </w:rPr>
        <w:t>Abstract: Peanut allergy is one</w:t>
      </w:r>
      <w:r w:rsidR="00427468">
        <w:rPr>
          <w:kern w:val="0"/>
        </w:rPr>
        <w:t xml:space="preserve"> of </w:t>
      </w:r>
      <w:r>
        <w:rPr>
          <w:kern w:val="0"/>
        </w:rPr>
        <w:t>the most common food allergies. Allergen-specific oral immunotherapy (OIT) and sublingual immunotherapy (SLIT) for peanut allergy aim to induce desensitization and then tolerance to peanuts. However, there is still considerable uncertainty about the safety</w:t>
      </w:r>
      <w:r w:rsidR="00427468">
        <w:rPr>
          <w:kern w:val="0"/>
        </w:rPr>
        <w:t xml:space="preserve"> of </w:t>
      </w:r>
      <w:r>
        <w:rPr>
          <w:kern w:val="0"/>
        </w:rPr>
        <w:t>these two approaches and if the risk is justified by the benefit</w:t>
      </w:r>
      <w:r w:rsidR="00427468">
        <w:rPr>
          <w:kern w:val="0"/>
        </w:rPr>
        <w:t xml:space="preserve"> of </w:t>
      </w:r>
      <w:r>
        <w:rPr>
          <w:kern w:val="0"/>
        </w:rPr>
        <w:t>the therapy. We performed a systematic review and meta-analysis to assess the efficacy and safety</w:t>
      </w:r>
      <w:r w:rsidR="00427468">
        <w:rPr>
          <w:kern w:val="0"/>
        </w:rPr>
        <w:t xml:space="preserve"> of </w:t>
      </w:r>
      <w:r>
        <w:rPr>
          <w:kern w:val="0"/>
        </w:rPr>
        <w:t>OIT and SLIT in patients with peanut allergy. We performed searches</w:t>
      </w:r>
      <w:r w:rsidR="00427468">
        <w:rPr>
          <w:kern w:val="0"/>
        </w:rPr>
        <w:t xml:space="preserve"> of </w:t>
      </w:r>
      <w:r>
        <w:rPr>
          <w:kern w:val="0"/>
        </w:rPr>
        <w:t>the MEDLINE, CINAHL, EMBASE, ISI Web</w:t>
      </w:r>
      <w:r w:rsidR="00427468">
        <w:rPr>
          <w:kern w:val="0"/>
        </w:rPr>
        <w:t xml:space="preserve"> of </w:t>
      </w:r>
      <w:r>
        <w:rPr>
          <w:kern w:val="0"/>
        </w:rPr>
        <w:t>Science, and Cochrane databases (through March 18, 2013) for randomized controlled trials (RCTs) that compared OIT or SLIT with a placebo in patients with peanut allergy</w:t>
      </w:r>
      <w:r w:rsidR="00A37C1D">
        <w:rPr>
          <w:kern w:val="0"/>
        </w:rPr>
        <w:t>. The</w:t>
      </w:r>
      <w:r>
        <w:rPr>
          <w:kern w:val="0"/>
        </w:rPr>
        <w:t xml:space="preserve"> study selection and data extraction were independently performed by two reviewers</w:t>
      </w:r>
      <w:r w:rsidR="00A37C1D">
        <w:rPr>
          <w:kern w:val="0"/>
        </w:rPr>
        <w:t>. The</w:t>
      </w:r>
      <w:r>
        <w:rPr>
          <w:kern w:val="0"/>
        </w:rPr>
        <w:t xml:space="preserve"> primary outcome was the proportion</w:t>
      </w:r>
      <w:r w:rsidR="00427468">
        <w:rPr>
          <w:kern w:val="0"/>
        </w:rPr>
        <w:t xml:space="preserve"> of </w:t>
      </w:r>
      <w:r>
        <w:rPr>
          <w:kern w:val="0"/>
        </w:rPr>
        <w:t>patients whose condition improved. We also analyzed immunologic changes and adverse events. A meta-analysis was performed using a random effects model. Three RCTs that comprised a total</w:t>
      </w:r>
      <w:r w:rsidR="00427468">
        <w:rPr>
          <w:kern w:val="0"/>
        </w:rPr>
        <w:t xml:space="preserve"> of </w:t>
      </w:r>
      <w:r>
        <w:rPr>
          <w:kern w:val="0"/>
        </w:rPr>
        <w:t>86 subjects were analyzed. OIT or SLIT had a significantly positive effect on peanut allergy (odds ratio [OR], 38.44; 95% confidential interval [CI] 6.01-245.81). Several immunologic changes associated with the induction</w:t>
      </w:r>
      <w:r w:rsidR="00427468">
        <w:rPr>
          <w:kern w:val="0"/>
        </w:rPr>
        <w:t xml:space="preserve"> of </w:t>
      </w:r>
      <w:r>
        <w:rPr>
          <w:kern w:val="0"/>
        </w:rPr>
        <w:t>tolerance were improvements</w:t>
      </w:r>
      <w:r w:rsidR="00A37C1D">
        <w:rPr>
          <w:kern w:val="0"/>
        </w:rPr>
        <w:t>. The</w:t>
      </w:r>
      <w:r>
        <w:rPr>
          <w:kern w:val="0"/>
        </w:rPr>
        <w:t>re is no difference between the OIT or SLIT group and placebo group in the number</w:t>
      </w:r>
      <w:r w:rsidR="00427468">
        <w:rPr>
          <w:kern w:val="0"/>
        </w:rPr>
        <w:t xml:space="preserve"> of </w:t>
      </w:r>
      <w:r>
        <w:rPr>
          <w:kern w:val="0"/>
        </w:rPr>
        <w:t>patients who required epinephrine during the study (OR, 0.51; 95% CI, 0.03-10.20). This study showed a statistically significant benefit</w:t>
      </w:r>
      <w:r w:rsidR="00427468">
        <w:rPr>
          <w:kern w:val="0"/>
        </w:rPr>
        <w:t xml:space="preserve"> of </w:t>
      </w:r>
      <w:r>
        <w:rPr>
          <w:kern w:val="0"/>
        </w:rPr>
        <w:t>peanut immunotherapy in patients with peanut allergy. However, these findings are based on an analysis</w:t>
      </w:r>
      <w:r w:rsidR="00427468">
        <w:rPr>
          <w:kern w:val="0"/>
        </w:rPr>
        <w:t xml:space="preserve"> of </w:t>
      </w:r>
      <w:r>
        <w:rPr>
          <w:kern w:val="0"/>
        </w:rPr>
        <w:t>a small number</w:t>
      </w:r>
      <w:r w:rsidR="00427468">
        <w:rPr>
          <w:kern w:val="0"/>
        </w:rPr>
        <w:t xml:space="preserve"> of </w:t>
      </w:r>
      <w:r>
        <w:rPr>
          <w:kern w:val="0"/>
        </w:rPr>
        <w:t>RCTs. Additional larger, well-designed and double-blind RCTs are needed.</w:t>
      </w:r>
    </w:p>
    <w:p w:rsidR="00823659" w:rsidRDefault="00823659" w:rsidP="00823659">
      <w:pPr>
        <w:pStyle w:val="a3"/>
        <w:rPr>
          <w:kern w:val="0"/>
        </w:rPr>
      </w:pPr>
      <w:r>
        <w:rPr>
          <w:kern w:val="0"/>
        </w:rPr>
        <w:t>Keywords: Allergies, Allergy, Analysis, Atopic-Dermatitis, Challenge, Changes, Confidential, Data, Databases, Double-Blind, Effects, Efficacy, Embase, Epinephrine, Events, Extraction, Food, Food Allergy, Identification, Immunotherapy, Induction, Interval, ISI, ISI Web</w:t>
      </w:r>
      <w:r w:rsidR="00427468">
        <w:rPr>
          <w:kern w:val="0"/>
        </w:rPr>
        <w:t xml:space="preserve"> of </w:t>
      </w:r>
      <w:r>
        <w:rPr>
          <w:kern w:val="0"/>
        </w:rPr>
        <w:t xml:space="preserve">Science, Medline, Meta Analysis, Meta-Analysis, Metaanalysis, Model, Natural-History, Odds Ratio, Oral, Oral Immunotherapy, Outcome, Patients, Placebo, Prevalence, Primary, Random Effects Model, Randomized, Randomized Controlled Trials, Ready, Review, Risk, Safety, Science, </w:t>
      </w:r>
      <w:r>
        <w:rPr>
          <w:kern w:val="0"/>
        </w:rPr>
        <w:lastRenderedPageBreak/>
        <w:t>Selection, Sera, Small, Sublingual, Systematic Review, Therapy, Tolerance, Uncertainty, Web</w:t>
      </w:r>
      <w:r w:rsidR="00427468">
        <w:rPr>
          <w:kern w:val="0"/>
        </w:rPr>
        <w:t xml:space="preserve"> of </w:t>
      </w:r>
      <w:r>
        <w:rPr>
          <w:kern w:val="0"/>
        </w:rPr>
        <w:t>Science</w:t>
      </w:r>
    </w:p>
    <w:p w:rsidR="002E343C" w:rsidRDefault="002E343C" w:rsidP="002E343C">
      <w:pPr>
        <w:pStyle w:val="a3"/>
        <w:rPr>
          <w:kern w:val="0"/>
        </w:rPr>
      </w:pPr>
      <w:r>
        <w:rPr>
          <w:rFonts w:hint="eastAsia"/>
          <w:kern w:val="0"/>
        </w:rPr>
        <w:t xml:space="preserve">? </w:t>
      </w:r>
      <w:r>
        <w:rPr>
          <w:kern w:val="0"/>
        </w:rPr>
        <w:t xml:space="preserve">Zhang, H.P., Jia, C.E., Lv, Y., Gibson, P.G. and Wang, G. (2014), Montelukast for prevention and treatment of asthma exacerbations in adults: Systematic review and meta-analysis. </w:t>
      </w:r>
      <w:r>
        <w:rPr>
          <w:i/>
          <w:iCs/>
          <w:kern w:val="0"/>
        </w:rPr>
        <w:t>Allergy and Asthma Proceedings</w:t>
      </w:r>
      <w:r>
        <w:rPr>
          <w:kern w:val="0"/>
        </w:rPr>
        <w:t xml:space="preserve">, </w:t>
      </w:r>
      <w:r>
        <w:rPr>
          <w:b/>
          <w:bCs/>
          <w:kern w:val="0"/>
        </w:rPr>
        <w:t>35</w:t>
      </w:r>
      <w:r>
        <w:rPr>
          <w:kern w:val="0"/>
        </w:rPr>
        <w:t xml:space="preserve"> (4), 278-287.</w:t>
      </w:r>
    </w:p>
    <w:p w:rsidR="002E343C" w:rsidRDefault="002E343C" w:rsidP="002E343C">
      <w:pPr>
        <w:pStyle w:val="a3"/>
        <w:rPr>
          <w:kern w:val="0"/>
        </w:rPr>
      </w:pPr>
      <w:r>
        <w:rPr>
          <w:rFonts w:hint="eastAsia"/>
          <w:kern w:val="0"/>
        </w:rPr>
        <w:t xml:space="preserve">Full Text: </w:t>
      </w:r>
      <w:r w:rsidRPr="001D485E">
        <w:rPr>
          <w:kern w:val="0"/>
        </w:rPr>
        <w:t>201</w:t>
      </w:r>
      <w:r>
        <w:rPr>
          <w:rFonts w:hint="eastAsia"/>
          <w:kern w:val="0"/>
        </w:rPr>
        <w:t>4</w:t>
      </w:r>
      <w:r w:rsidRPr="001D485E">
        <w:rPr>
          <w:kern w:val="0"/>
        </w:rPr>
        <w:t>\All Ast Pro3</w:t>
      </w:r>
      <w:r>
        <w:rPr>
          <w:rFonts w:hint="eastAsia"/>
          <w:kern w:val="0"/>
        </w:rPr>
        <w:t>5</w:t>
      </w:r>
      <w:r w:rsidRPr="001D485E">
        <w:rPr>
          <w:kern w:val="0"/>
        </w:rPr>
        <w:t xml:space="preserve">, </w:t>
      </w:r>
      <w:r>
        <w:rPr>
          <w:kern w:val="0"/>
        </w:rPr>
        <w:t>278</w:t>
      </w:r>
      <w:r w:rsidRPr="001D485E">
        <w:rPr>
          <w:kern w:val="0"/>
        </w:rPr>
        <w:t>.pdf</w:t>
      </w:r>
    </w:p>
    <w:p w:rsidR="002E343C" w:rsidRDefault="002E343C" w:rsidP="002E343C">
      <w:pPr>
        <w:pStyle w:val="a3"/>
        <w:rPr>
          <w:kern w:val="0"/>
        </w:rPr>
      </w:pPr>
      <w:r>
        <w:rPr>
          <w:kern w:val="0"/>
        </w:rPr>
        <w:t>Abstract: It has proven efficacy in reducing asthma exacerbations, but the effect size of montelukast (a leukotriene receptor antagonist) for varied severity of asthma exacerbations is not systematically assessed. This study was designed to systematically explore the evidence for montelukast, as first-line or add-on therapy, in preventing and treating asthma exacerbations in adult patients with asthma. Randomized controlled trials were searched in PubMed, CENTRAL, Web of Science, Embase, and OVID up to March 2013, where montelukast prevented or treated asthma exacerbations in adults. Primary outcomes were the number of patients experiencing exacerbations in chronic asthma and hospitalizations in acute asthma.. Odds ratio (OR) with 95% confidence intervals (CI), risk difference, and number needed to treat (NNT) were calculated and pooled. Adverse events were also assessed in chronic asthma. Twenty trials for chronic asthma and six for acute asthma were identified. In comparison with placebo, adults with chronic asthma receiving montelukast had significantly reduced number of exacerbations (OR = 0.60 and 95% CI, 0.49, 0.74; NNT = 17 and 95% CI, 12, 29). However, montelukast was inferior to inhaled corticosteroids (ICSs) (OR = 1.63; 95% CI, 1.29, 2.0) and ICS plus long-acting beta(2)-agonist (LABA; OR = 3.94; 95% CL 1.64, 9.48) as the first-line therapies and LABA (OR = 1.22; 95% CI, 1.05, 1.42) as the add-on therapies in reducing asthma exacerbations. In acute asthma, montelukast could statistically improve peak expiratory flow percent predicted (p = 0.008) and reduce systemic corticosteroid intake (p = 0.005). Montelukast had low risk in hoarseness and insomnia. Our meta-analysis suggests that montelukast significantly reduces mild, moderate, and part of severe exacerbations in chronic mild to moderate asthma, but it has inferior efficacy to ICS or ICS plus LABA.</w:t>
      </w:r>
    </w:p>
    <w:p w:rsidR="002E343C" w:rsidRDefault="002E343C" w:rsidP="002E343C">
      <w:pPr>
        <w:pStyle w:val="a3"/>
        <w:rPr>
          <w:kern w:val="0"/>
        </w:rPr>
      </w:pPr>
      <w:r>
        <w:rPr>
          <w:kern w:val="0"/>
        </w:rPr>
        <w:t xml:space="preserve">Keywords: Add-On Therapy, Adult, Adverse Events, Asthma, Beta(2) Agonist, Chronic, Cl, Combination Therapy, Comparison, Confidence, Confidence Intervals, Corticosteroids, Double-Blind, Effect Size, Efficacy, Events, Evidence, First Line, Flow, Hoarseness, Inhaled Corticosteroids, Inhaled Glucocorticoids, Insomnia, Intervals, Intravenous Montelukast, Leukotriene Receptor Antagonists, Low Risk, Meta Analysis, Meta-Analysis, Metaanalysis, Mild, Moderate Asthma, Montelukast, Number Needed To Treat, Oral Montelukast, Outcomes, Patients, Persistent Asthma, Placebo, Prevention, Pubmed, Randomized, Randomized Controlled Trials, Randomized Controlled-Trial, Receptor Antagonist, Review, Risk, Science, Size, </w:t>
      </w:r>
      <w:r>
        <w:rPr>
          <w:kern w:val="0"/>
        </w:rPr>
        <w:lastRenderedPageBreak/>
        <w:t>Systematic, Systematic Review, Therapy, Treatment, Web, Web Of Science</w:t>
      </w:r>
    </w:p>
    <w:p w:rsidR="00D76820" w:rsidRPr="00F219CA" w:rsidRDefault="00D76820" w:rsidP="00D76820">
      <w:pPr>
        <w:pStyle w:val="1"/>
      </w:pPr>
      <w:r w:rsidRPr="00F219CA">
        <w:br w:type="page"/>
      </w:r>
      <w:bookmarkStart w:id="208" w:name="_Toc411925388"/>
      <w:bookmarkStart w:id="209" w:name="_Toc420814363"/>
      <w:r w:rsidRPr="00F219CA">
        <w:lastRenderedPageBreak/>
        <w:t>Title: Alternative Therapies</w:t>
      </w:r>
      <w:r>
        <w:t xml:space="preserve"> in </w:t>
      </w:r>
      <w:r w:rsidRPr="00F219CA">
        <w:t>Health</w:t>
      </w:r>
      <w:r>
        <w:t xml:space="preserve"> and </w:t>
      </w:r>
      <w:r w:rsidRPr="00F219CA">
        <w:t>Medicine</w:t>
      </w:r>
      <w:bookmarkEnd w:id="208"/>
      <w:bookmarkEnd w:id="209"/>
    </w:p>
    <w:p w:rsidR="00D76820" w:rsidRPr="00F219CA" w:rsidRDefault="00D76820" w:rsidP="00D76820">
      <w:pPr>
        <w:pStyle w:val="12"/>
      </w:pPr>
      <w:r w:rsidRPr="00F219CA">
        <w:t xml:space="preserve">Full Journal Title: </w:t>
      </w:r>
      <w:hyperlink r:id="rId384" w:history="1">
        <w:r w:rsidRPr="00F219CA">
          <w:t>Alternative Therapies</w:t>
        </w:r>
        <w:r>
          <w:t xml:space="preserve"> in </w:t>
        </w:r>
        <w:r w:rsidRPr="00F219CA">
          <w:t>Health</w:t>
        </w:r>
        <w:r>
          <w:t xml:space="preserve"> and </w:t>
        </w:r>
        <w:r w:rsidRPr="00F219CA">
          <w:t>Medicine</w:t>
        </w:r>
      </w:hyperlink>
    </w:p>
    <w:p w:rsidR="00D76820" w:rsidRPr="00F219CA" w:rsidRDefault="00D76820" w:rsidP="00D76820">
      <w:pPr>
        <w:pStyle w:val="12"/>
      </w:pPr>
      <w:r w:rsidRPr="00F219CA">
        <w:t>ISO Abbreviated Title: Altern</w:t>
      </w:r>
      <w:r>
        <w:t>. The</w:t>
      </w:r>
      <w:r w:rsidRPr="00F219CA">
        <w:t>r. Health Med.</w:t>
      </w:r>
    </w:p>
    <w:p w:rsidR="00D76820" w:rsidRPr="00F219CA" w:rsidRDefault="00D76820" w:rsidP="00D76820">
      <w:pPr>
        <w:pStyle w:val="12"/>
      </w:pPr>
      <w:r w:rsidRPr="00F219CA">
        <w:t>JCR Abbreviated Title: Altern Ther Health M</w:t>
      </w:r>
    </w:p>
    <w:p w:rsidR="00D76820" w:rsidRPr="00F219CA" w:rsidRDefault="00D76820" w:rsidP="00D76820">
      <w:pPr>
        <w:pStyle w:val="12"/>
      </w:pPr>
      <w:r w:rsidRPr="00F219CA">
        <w:t>ISSN: 1078-6791</w:t>
      </w:r>
    </w:p>
    <w:p w:rsidR="00D76820" w:rsidRPr="00F219CA" w:rsidRDefault="00D76820" w:rsidP="00D76820">
      <w:pPr>
        <w:pStyle w:val="12"/>
      </w:pPr>
      <w:r w:rsidRPr="00F219CA">
        <w:t>Issues/Year: 6</w:t>
      </w:r>
    </w:p>
    <w:p w:rsidR="00D76820" w:rsidRPr="00F219CA" w:rsidRDefault="00D76820" w:rsidP="00D76820">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D76820" w:rsidRPr="00F219CA" w:rsidRDefault="00D76820" w:rsidP="00D76820">
      <w:pPr>
        <w:pStyle w:val="12"/>
      </w:pPr>
      <w:r w:rsidRPr="00F219CA">
        <w:t>Language: English</w:t>
      </w:r>
    </w:p>
    <w:p w:rsidR="00D76820" w:rsidRPr="00F219CA" w:rsidRDefault="00D76820" w:rsidP="00D76820">
      <w:pPr>
        <w:pStyle w:val="12"/>
      </w:pPr>
      <w:r w:rsidRPr="00F219CA">
        <w:t>Publisher: Innovision Communications</w:t>
      </w:r>
    </w:p>
    <w:p w:rsidR="00D76820" w:rsidRPr="00F219CA" w:rsidRDefault="00D76820" w:rsidP="00D76820">
      <w:pPr>
        <w:pStyle w:val="12"/>
      </w:pPr>
      <w:r w:rsidRPr="00F219CA">
        <w:t xml:space="preserve">Publisher Address: 101 Columbia, Aliso Viejo, CA </w:t>
      </w:r>
      <w:smartTag w:uri="urn:schemas-microsoft-com:office:smarttags" w:element="PostalCode">
        <w:r w:rsidRPr="00F219CA">
          <w:t>92656</w:t>
        </w:r>
      </w:smartTag>
    </w:p>
    <w:p w:rsidR="00D76820" w:rsidRPr="00F219CA" w:rsidRDefault="00D76820" w:rsidP="00D76820">
      <w:pPr>
        <w:pStyle w:val="12"/>
      </w:pPr>
      <w:r w:rsidRPr="00F219CA">
        <w:t xml:space="preserve">Subject Categories: </w:t>
      </w:r>
    </w:p>
    <w:p w:rsidR="00D76820" w:rsidRPr="00F219CA" w:rsidRDefault="00D76820" w:rsidP="00D76820">
      <w:pPr>
        <w:pStyle w:val="12"/>
      </w:pPr>
      <w:r w:rsidRPr="00F219CA">
        <w:t>Integrative &amp; Complementary Medicine: Impact Factor 0.879, 3/8 (2000)</w:t>
      </w:r>
    </w:p>
    <w:p w:rsidR="00D76820" w:rsidRDefault="00D76820" w:rsidP="00D76820">
      <w:pPr>
        <w:pStyle w:val="a3"/>
        <w:rPr>
          <w:kern w:val="0"/>
        </w:rPr>
      </w:pPr>
      <w:r>
        <w:rPr>
          <w:rFonts w:hint="eastAsia"/>
          <w:kern w:val="0"/>
        </w:rPr>
        <w:t xml:space="preserve">? </w:t>
      </w:r>
      <w:r>
        <w:rPr>
          <w:kern w:val="0"/>
        </w:rPr>
        <w:t xml:space="preserve">Tian, X., Liang, H., Yi, L.J., Song, G.M. and Wang, T.H. (2014), Effects of moxibustion or acupoint therapy for the treatment of primary dysmenorrhea: A meta-analysis. </w:t>
      </w:r>
      <w:r>
        <w:rPr>
          <w:i/>
          <w:iCs/>
          <w:kern w:val="0"/>
        </w:rPr>
        <w:t>Alternative Therapies in Health and Medicine</w:t>
      </w:r>
      <w:r>
        <w:rPr>
          <w:kern w:val="0"/>
        </w:rPr>
        <w:t xml:space="preserve">, </w:t>
      </w:r>
      <w:r>
        <w:rPr>
          <w:b/>
          <w:bCs/>
          <w:kern w:val="0"/>
        </w:rPr>
        <w:t>20</w:t>
      </w:r>
      <w:r>
        <w:rPr>
          <w:kern w:val="0"/>
        </w:rPr>
        <w:t xml:space="preserve"> (4), 33-42.</w:t>
      </w:r>
    </w:p>
    <w:p w:rsidR="00D76820" w:rsidRDefault="00D76820" w:rsidP="00D76820">
      <w:pPr>
        <w:pStyle w:val="a3"/>
        <w:rPr>
          <w:kern w:val="0"/>
        </w:rPr>
      </w:pPr>
      <w:r>
        <w:rPr>
          <w:rFonts w:hint="eastAsia"/>
          <w:kern w:val="0"/>
        </w:rPr>
        <w:t>Full Text: 2014\</w:t>
      </w:r>
      <w:r>
        <w:rPr>
          <w:iCs/>
          <w:kern w:val="0"/>
        </w:rPr>
        <w:t>Alt</w:t>
      </w:r>
      <w:r w:rsidRPr="00AA14C7">
        <w:rPr>
          <w:iCs/>
          <w:kern w:val="0"/>
        </w:rPr>
        <w:t xml:space="preserve"> </w:t>
      </w:r>
      <w:r>
        <w:rPr>
          <w:iCs/>
          <w:kern w:val="0"/>
        </w:rPr>
        <w:t>The Hea Med</w:t>
      </w:r>
      <w:r w:rsidRPr="00AA14C7">
        <w:rPr>
          <w:bCs/>
          <w:kern w:val="0"/>
        </w:rPr>
        <w:t>20</w:t>
      </w:r>
      <w:r>
        <w:rPr>
          <w:kern w:val="0"/>
        </w:rPr>
        <w:t>, 33</w:t>
      </w:r>
      <w:r>
        <w:rPr>
          <w:rFonts w:hint="eastAsia"/>
          <w:kern w:val="0"/>
        </w:rPr>
        <w:t>.pdf</w:t>
      </w:r>
    </w:p>
    <w:p w:rsidR="00D76820" w:rsidRDefault="00D76820" w:rsidP="00D76820">
      <w:pPr>
        <w:pStyle w:val="a3"/>
        <w:rPr>
          <w:kern w:val="0"/>
        </w:rPr>
      </w:pPr>
      <w:r>
        <w:rPr>
          <w:kern w:val="0"/>
        </w:rPr>
        <w:t xml:space="preserve">Abstract: Context center dot Primary dysmenorrhea (PD) is a common gynecological syndrome that is characterized by cramping in the lower abdomen during menstruation, particularly during puberty: Treatment for PD includes a. variety of pharmacological, nonpharmacological, and surgical options. Although Studies supporting use of traditional Chinese medicine (TCM) have helped in the proliferation of its comprehensive therapy, their results do not determine with certainty whether rnoxibustion and acupoint therapy are better for the treatment of PD than nonacupuncture-related therapy. Objective center dot The study intended to compare the effectiveness of moxibustion and acupoint therapy-such as sandwiched moxibustion, moxibustion, acupuncture, eye of floating needle, and acupoint application-with other therapeutic methods for the treatment of PD. Design center dot Six electronic databases-PubMed, Web of Science, the Chinese Biomedical Literature Database (CBM), the Chinese Journal Full-text Database (CNKI), the Chinese Science and Technology Journal Full-text Database (VIP), and Chinese Wanfang Data-were searched electronically, from inception to December; 2012, to find randomized, controlled trials (RCTs). Relevant references in articles used in the current study were searched manually. Literature was screened, data were extracted, and the methodological quality of the included studies was assessed: Then, meta-analyses were performed. Setting center dot All of processes of this study were conducted at Tianjin :University of Traditional Chinese Medicine and School of Nursing at Tianjin Medical University. Participants center dot The research team </w:t>
      </w:r>
      <w:r>
        <w:rPr>
          <w:kern w:val="0"/>
        </w:rPr>
        <w:lastRenderedPageBreak/>
        <w:t>divided the selected RCTs into 2 groups based on the type of PD that the participants had: (1) the undifferentiated type group (UTG) and (2) the told-damp stagnation type group (CDSTG). Outcome Measures center dot The research team measured total effective rate; symptom score, and variation of peripheral blood-prostaglandin F-2 alpha (PGF(2 alpha)). Results center dot A total of 20 RCTs, involving 2134 participants, were included in the current study. Results of the meta-analysis showed that (1) the total efficacy for-the 2 studied interventions was better, with a statistically significant difference from that of the control methods: degrees of freedom (df) = 14, relative risk (RR)=1.19, 95% confidence interval (95% CI) = (1.14 - 1.24), P &lt; .000 for the UTG, and df = 4, RR = 1.15, 95% CI (1.02 - 1.29), P = .03 for the CDSTG; (2) the studied interventions were better-than the control methods, with statistically significant differences, in relieving the severity of symptoms of PD: df = 3, mean difference (MD) = 3.20, 95% CI (2.36 - 4.04), P &lt; .000 for the UTG and df = 1, MD = 2.09, 95% CI (0.16 - 4.02), P =.03 for the CDSTG; and (3) no statistical difference existed between the intervention and control Methods groups in the reduction of the level of peripheral blood PGF(2 alpha): df=2, Standardized Mean difference (SMD)= 0.13; 95% CI (-0.13 - 0.39), P = .32. Conclusions center dot Moxibustion and acupoint therapy can relieve pain, effectively for individuals with PD, and these treatments have advantages in overall, efficiency. Because of limitations oft the quantity and quality of the included studies and the lack of a large, multicenter study, the research team’s conclusion has yet to be substantiated.</w:t>
      </w:r>
    </w:p>
    <w:p w:rsidR="00D76820" w:rsidRDefault="00D76820" w:rsidP="00D76820">
      <w:pPr>
        <w:pStyle w:val="a3"/>
        <w:rPr>
          <w:kern w:val="0"/>
        </w:rPr>
      </w:pPr>
      <w:r>
        <w:rPr>
          <w:kern w:val="0"/>
        </w:rPr>
        <w:t>Keywords: Acupoint, Acupuncture, Articles, Biomedical, Blood, Care, Chinese, Chinese Medicine, Confidence, Control, Data, Database, Design, Dysmenorrhea, Effectiveness, Efficacy, Efficiency, Freedom, From, Groups, Interval, Intervention, Interventions, Journal, Literature, Management, Mean, Medical, Medicine, Menstruation, Meta Analysis, Meta-Analyses, Meta-Analysis, Metaanalysis, Methodological Quality, Methods, Nursing, Options, Outcome, P, Pain, Pd, Peripheral, Peripheral Blood, Prevalence, Proliferation, Puberty, Quality, Quality Of, Randomized, Reduction, References, Relative Risk, Research, Results, Risk, Science, Science And Technology, Symptoms, Syndrome, Technology, Therapeutic, Therapy, Traditional, Traditional Chinese Medicine, Treatment, University, Web, Web Of Science, Young-Women</w:t>
      </w:r>
    </w:p>
    <w:p w:rsidR="003443BC" w:rsidRPr="00BC3B13" w:rsidRDefault="003443BC" w:rsidP="003443BC">
      <w:pPr>
        <w:pStyle w:val="1"/>
      </w:pPr>
      <w:r w:rsidRPr="00BC3B13">
        <w:br w:type="page"/>
      </w:r>
      <w:bookmarkStart w:id="210" w:name="_Toc420814364"/>
      <w:r w:rsidRPr="00BC3B13">
        <w:lastRenderedPageBreak/>
        <w:t xml:space="preserve">Title: </w:t>
      </w:r>
      <w:r w:rsidRPr="002A2BEE">
        <w:rPr>
          <w:szCs w:val="24"/>
        </w:rPr>
        <w:t>American Anthropologist</w:t>
      </w:r>
      <w:bookmarkEnd w:id="210"/>
    </w:p>
    <w:p w:rsidR="003443BC" w:rsidRPr="00BC3B13" w:rsidRDefault="003443BC" w:rsidP="003443BC">
      <w:pPr>
        <w:pStyle w:val="12"/>
      </w:pPr>
      <w:r w:rsidRPr="00BC3B13">
        <w:t xml:space="preserve">Full Journal Title: </w:t>
      </w:r>
      <w:r w:rsidRPr="002A2BEE">
        <w:rPr>
          <w:iCs/>
          <w:kern w:val="0"/>
        </w:rPr>
        <w:t>American Anthropologist</w:t>
      </w:r>
    </w:p>
    <w:p w:rsidR="003443BC" w:rsidRPr="00BC3B13" w:rsidRDefault="003443BC" w:rsidP="003443BC">
      <w:pPr>
        <w:pStyle w:val="12"/>
      </w:pPr>
      <w:r w:rsidRPr="00BC3B13">
        <w:t xml:space="preserve">ISO Abbreviated Title: </w:t>
      </w:r>
    </w:p>
    <w:p w:rsidR="003443BC" w:rsidRPr="00BC3B13" w:rsidRDefault="003443BC" w:rsidP="003443BC">
      <w:pPr>
        <w:pStyle w:val="12"/>
      </w:pPr>
      <w:r w:rsidRPr="00BC3B13">
        <w:t xml:space="preserve">JCR Abbreviated Title: </w:t>
      </w:r>
    </w:p>
    <w:p w:rsidR="003443BC" w:rsidRPr="00BC3B13" w:rsidRDefault="003443BC" w:rsidP="003443BC">
      <w:pPr>
        <w:pStyle w:val="12"/>
      </w:pPr>
      <w:r>
        <w:t xml:space="preserve">ISSN: </w:t>
      </w:r>
    </w:p>
    <w:p w:rsidR="003443BC" w:rsidRPr="00BC3B13" w:rsidRDefault="003443BC" w:rsidP="003443BC">
      <w:pPr>
        <w:pStyle w:val="12"/>
      </w:pPr>
      <w:r w:rsidRPr="00BC3B13">
        <w:t xml:space="preserve">Issues/Year: </w:t>
      </w:r>
    </w:p>
    <w:p w:rsidR="003443BC" w:rsidRPr="00BC3B13" w:rsidRDefault="003443BC" w:rsidP="003443BC">
      <w:pPr>
        <w:pStyle w:val="12"/>
      </w:pPr>
      <w:r w:rsidRPr="00BC3B13">
        <w:t xml:space="preserve">Journal Country </w:t>
      </w:r>
    </w:p>
    <w:p w:rsidR="003443BC" w:rsidRPr="00BC3B13" w:rsidRDefault="003443BC" w:rsidP="003443BC">
      <w:pPr>
        <w:pStyle w:val="12"/>
      </w:pPr>
      <w:r w:rsidRPr="00BC3B13">
        <w:t xml:space="preserve">Language: </w:t>
      </w:r>
    </w:p>
    <w:p w:rsidR="003443BC" w:rsidRPr="00BC3B13" w:rsidRDefault="003443BC" w:rsidP="003443BC">
      <w:pPr>
        <w:pStyle w:val="12"/>
      </w:pPr>
      <w:r w:rsidRPr="00BC3B13">
        <w:t xml:space="preserve">Publisher: </w:t>
      </w:r>
    </w:p>
    <w:p w:rsidR="003443BC" w:rsidRPr="00BC3B13" w:rsidRDefault="003443BC" w:rsidP="003443BC">
      <w:pPr>
        <w:pStyle w:val="12"/>
      </w:pPr>
      <w:r w:rsidRPr="00BC3B13">
        <w:t xml:space="preserve">Publisher Address: </w:t>
      </w:r>
    </w:p>
    <w:p w:rsidR="003443BC" w:rsidRPr="00BC3B13" w:rsidRDefault="003443BC" w:rsidP="003443BC">
      <w:pPr>
        <w:pStyle w:val="12"/>
      </w:pPr>
      <w:r w:rsidRPr="00BC3B13">
        <w:t xml:space="preserve">Subject Categories: </w:t>
      </w:r>
    </w:p>
    <w:p w:rsidR="003443BC" w:rsidRPr="00BC3B13" w:rsidRDefault="003443BC" w:rsidP="003443BC">
      <w:pPr>
        <w:pStyle w:val="12"/>
      </w:pPr>
      <w:r w:rsidRPr="00BC3B13">
        <w:t>Impact Factor</w:t>
      </w:r>
    </w:p>
    <w:p w:rsidR="003443BC" w:rsidRDefault="003443BC" w:rsidP="003443BC">
      <w:pPr>
        <w:pStyle w:val="a3"/>
        <w:rPr>
          <w:kern w:val="0"/>
          <w:szCs w:val="24"/>
        </w:rPr>
      </w:pPr>
      <w:r>
        <w:rPr>
          <w:rFonts w:hint="eastAsia"/>
          <w:kern w:val="0"/>
          <w:szCs w:val="24"/>
        </w:rPr>
        <w:t xml:space="preserve">? </w:t>
      </w:r>
      <w:r>
        <w:rPr>
          <w:kern w:val="0"/>
          <w:szCs w:val="24"/>
        </w:rPr>
        <w:t>Demerath, P. (2011), My word! Plagiarism</w:t>
      </w:r>
      <w:r w:rsidR="005853A9">
        <w:rPr>
          <w:kern w:val="0"/>
          <w:szCs w:val="24"/>
        </w:rPr>
        <w:t xml:space="preserve"> and </w:t>
      </w:r>
      <w:r>
        <w:rPr>
          <w:kern w:val="0"/>
          <w:szCs w:val="24"/>
        </w:rPr>
        <w:t xml:space="preserve">college culture. </w:t>
      </w:r>
      <w:r w:rsidRPr="002A2BEE">
        <w:rPr>
          <w:i/>
          <w:iCs/>
          <w:kern w:val="0"/>
          <w:szCs w:val="24"/>
        </w:rPr>
        <w:t>American Anthropologist</w:t>
      </w:r>
      <w:r>
        <w:rPr>
          <w:kern w:val="0"/>
          <w:szCs w:val="24"/>
        </w:rPr>
        <w:t xml:space="preserve">, </w:t>
      </w:r>
      <w:r>
        <w:rPr>
          <w:b/>
          <w:bCs/>
          <w:kern w:val="0"/>
          <w:szCs w:val="24"/>
        </w:rPr>
        <w:t>113</w:t>
      </w:r>
      <w:r>
        <w:rPr>
          <w:kern w:val="0"/>
          <w:szCs w:val="24"/>
        </w:rPr>
        <w:t xml:space="preserve"> (1), 163-164</w:t>
      </w:r>
      <w:r>
        <w:rPr>
          <w:rFonts w:hint="eastAsia"/>
          <w:kern w:val="0"/>
          <w:szCs w:val="24"/>
        </w:rPr>
        <w:t>.</w:t>
      </w:r>
    </w:p>
    <w:p w:rsidR="003443BC" w:rsidRDefault="003443BC" w:rsidP="003443BC">
      <w:pPr>
        <w:pStyle w:val="a3"/>
        <w:rPr>
          <w:kern w:val="0"/>
          <w:szCs w:val="24"/>
        </w:rPr>
      </w:pPr>
      <w:r>
        <w:rPr>
          <w:rFonts w:hint="eastAsia"/>
          <w:kern w:val="0"/>
          <w:szCs w:val="24"/>
        </w:rPr>
        <w:t xml:space="preserve">Full Text: </w:t>
      </w:r>
      <w:hyperlink r:id="rId385" w:history="1">
        <w:r w:rsidRPr="002A2BEE">
          <w:rPr>
            <w:rStyle w:val="a5"/>
            <w:kern w:val="0"/>
            <w:szCs w:val="24"/>
          </w:rPr>
          <w:t>2011\Ame Ant113, 163.pdf</w:t>
        </w:r>
      </w:hyperlink>
    </w:p>
    <w:p w:rsidR="003443BC" w:rsidRDefault="003443BC" w:rsidP="003443BC">
      <w:pPr>
        <w:pStyle w:val="a3"/>
        <w:rPr>
          <w:kern w:val="0"/>
          <w:szCs w:val="24"/>
        </w:rPr>
      </w:pPr>
      <w:r>
        <w:rPr>
          <w:kern w:val="0"/>
          <w:szCs w:val="24"/>
        </w:rPr>
        <w:t>Keywords: Plagiarism</w:t>
      </w:r>
    </w:p>
    <w:p w:rsidR="005C091F" w:rsidRPr="00BC3B13" w:rsidRDefault="005C091F" w:rsidP="005C091F">
      <w:pPr>
        <w:pStyle w:val="1"/>
      </w:pPr>
      <w:r w:rsidRPr="00BC3B13">
        <w:br w:type="page"/>
      </w:r>
      <w:bookmarkStart w:id="211" w:name="_Toc420814365"/>
      <w:r w:rsidRPr="00BC3B13">
        <w:lastRenderedPageBreak/>
        <w:t xml:space="preserve">Title: </w:t>
      </w:r>
      <w:r w:rsidRPr="000B0208">
        <w:t>American Bar Association Journal</w:t>
      </w:r>
      <w:bookmarkEnd w:id="211"/>
    </w:p>
    <w:p w:rsidR="005C091F" w:rsidRPr="00BC3B13" w:rsidRDefault="005C091F" w:rsidP="005C091F">
      <w:pPr>
        <w:pStyle w:val="12"/>
      </w:pPr>
      <w:r w:rsidRPr="00BC3B13">
        <w:t xml:space="preserve">Full Journal Title: </w:t>
      </w:r>
      <w:hyperlink r:id="rId386" w:history="1">
        <w:r w:rsidRPr="009E2A11">
          <w:rPr>
            <w:rStyle w:val="a5"/>
            <w:iCs/>
            <w:kern w:val="0"/>
          </w:rPr>
          <w:t>American Bar Association Journal</w:t>
        </w:r>
      </w:hyperlink>
    </w:p>
    <w:p w:rsidR="005C091F" w:rsidRPr="00BC3B13" w:rsidRDefault="005C091F" w:rsidP="005C091F">
      <w:pPr>
        <w:pStyle w:val="12"/>
      </w:pPr>
      <w:r w:rsidRPr="00BC3B13">
        <w:t xml:space="preserve">ISO Abbreviated Title: </w:t>
      </w:r>
    </w:p>
    <w:p w:rsidR="005C091F" w:rsidRPr="00BC3B13" w:rsidRDefault="005C091F" w:rsidP="005C091F">
      <w:pPr>
        <w:pStyle w:val="12"/>
      </w:pPr>
      <w:r w:rsidRPr="00BC3B13">
        <w:t xml:space="preserve">JCR Abbreviated Title: </w:t>
      </w:r>
    </w:p>
    <w:p w:rsidR="005C091F" w:rsidRPr="00BC3B13" w:rsidRDefault="005C091F" w:rsidP="005C091F">
      <w:pPr>
        <w:pStyle w:val="12"/>
      </w:pPr>
      <w:r>
        <w:t xml:space="preserve">ISSN: </w:t>
      </w:r>
    </w:p>
    <w:p w:rsidR="005C091F" w:rsidRPr="00BC3B13" w:rsidRDefault="005C091F" w:rsidP="005C091F">
      <w:pPr>
        <w:pStyle w:val="12"/>
      </w:pPr>
      <w:r w:rsidRPr="00BC3B13">
        <w:t xml:space="preserve">Issues/Year: </w:t>
      </w:r>
    </w:p>
    <w:p w:rsidR="005C091F" w:rsidRPr="00BC3B13" w:rsidRDefault="005C091F" w:rsidP="005C091F">
      <w:pPr>
        <w:pStyle w:val="12"/>
      </w:pPr>
      <w:r w:rsidRPr="00BC3B13">
        <w:t xml:space="preserve">Journal Country </w:t>
      </w:r>
    </w:p>
    <w:p w:rsidR="005C091F" w:rsidRPr="00BC3B13" w:rsidRDefault="005C091F" w:rsidP="005C091F">
      <w:pPr>
        <w:pStyle w:val="12"/>
      </w:pPr>
      <w:r w:rsidRPr="00BC3B13">
        <w:t xml:space="preserve">Language: </w:t>
      </w:r>
    </w:p>
    <w:p w:rsidR="005C091F" w:rsidRPr="00BC3B13" w:rsidRDefault="005C091F" w:rsidP="005C091F">
      <w:pPr>
        <w:pStyle w:val="12"/>
      </w:pPr>
      <w:r w:rsidRPr="00BC3B13">
        <w:t xml:space="preserve">Publisher: </w:t>
      </w:r>
    </w:p>
    <w:p w:rsidR="005C091F" w:rsidRPr="00BC3B13" w:rsidRDefault="005C091F" w:rsidP="005C091F">
      <w:pPr>
        <w:pStyle w:val="12"/>
      </w:pPr>
      <w:r w:rsidRPr="00BC3B13">
        <w:t xml:space="preserve">Publisher Address: </w:t>
      </w:r>
    </w:p>
    <w:p w:rsidR="005C091F" w:rsidRPr="00BC3B13" w:rsidRDefault="005C091F" w:rsidP="005C091F">
      <w:pPr>
        <w:pStyle w:val="12"/>
      </w:pPr>
      <w:r w:rsidRPr="00BC3B13">
        <w:t xml:space="preserve">Subject Categories: </w:t>
      </w:r>
    </w:p>
    <w:p w:rsidR="005C091F" w:rsidRPr="00BC3B13" w:rsidRDefault="005C091F" w:rsidP="005C091F">
      <w:pPr>
        <w:pStyle w:val="12"/>
      </w:pPr>
      <w:r w:rsidRPr="00BC3B13">
        <w:t>Impact Factor</w:t>
      </w:r>
    </w:p>
    <w:p w:rsidR="005C091F" w:rsidRDefault="005C091F" w:rsidP="005C091F">
      <w:pPr>
        <w:pStyle w:val="a3"/>
        <w:rPr>
          <w:kern w:val="0"/>
        </w:rPr>
      </w:pPr>
      <w:r>
        <w:rPr>
          <w:rFonts w:hint="eastAsia"/>
          <w:kern w:val="0"/>
        </w:rPr>
        <w:t xml:space="preserve">? </w:t>
      </w:r>
      <w:r>
        <w:rPr>
          <w:kern w:val="0"/>
        </w:rPr>
        <w:t>Herbert, W.A. (1969), Treadmills</w:t>
      </w:r>
      <w:r w:rsidR="00427468">
        <w:rPr>
          <w:kern w:val="0"/>
        </w:rPr>
        <w:t xml:space="preserve"> of </w:t>
      </w:r>
      <w:r>
        <w:rPr>
          <w:kern w:val="0"/>
        </w:rPr>
        <w:t xml:space="preserve">self-citation. </w:t>
      </w:r>
      <w:r w:rsidRPr="000B0208">
        <w:rPr>
          <w:i/>
          <w:iCs/>
          <w:kern w:val="0"/>
        </w:rPr>
        <w:t>American Bar Association Journal</w:t>
      </w:r>
      <w:r>
        <w:rPr>
          <w:kern w:val="0"/>
        </w:rPr>
        <w:t xml:space="preserve">, </w:t>
      </w:r>
      <w:r>
        <w:rPr>
          <w:b/>
          <w:bCs/>
          <w:kern w:val="0"/>
        </w:rPr>
        <w:t>55</w:t>
      </w:r>
      <w:r>
        <w:rPr>
          <w:kern w:val="0"/>
        </w:rPr>
        <w:t xml:space="preserve"> (NOV), 1006</w:t>
      </w:r>
      <w:r>
        <w:rPr>
          <w:rFonts w:hint="eastAsia"/>
          <w:kern w:val="0"/>
        </w:rPr>
        <w:t>.</w:t>
      </w:r>
    </w:p>
    <w:p w:rsidR="009E2A11" w:rsidRDefault="009E2A11" w:rsidP="005C091F">
      <w:pPr>
        <w:pStyle w:val="a3"/>
        <w:rPr>
          <w:kern w:val="0"/>
        </w:rPr>
      </w:pPr>
      <w:r>
        <w:rPr>
          <w:rFonts w:hint="eastAsia"/>
          <w:kern w:val="0"/>
        </w:rPr>
        <w:t xml:space="preserve">Full Text: </w:t>
      </w:r>
      <w:hyperlink r:id="rId387" w:history="1">
        <w:r w:rsidRPr="009E2A11">
          <w:rPr>
            <w:rStyle w:val="a5"/>
            <w:kern w:val="0"/>
          </w:rPr>
          <w:t>1969\Ame Bar Ass J55, 1006.pdf</w:t>
        </w:r>
      </w:hyperlink>
    </w:p>
    <w:p w:rsidR="00556015" w:rsidRPr="00BC3B13" w:rsidRDefault="00556015" w:rsidP="00556015">
      <w:pPr>
        <w:pStyle w:val="1"/>
      </w:pPr>
      <w:r w:rsidRPr="00BC3B13">
        <w:br w:type="page"/>
      </w:r>
      <w:bookmarkStart w:id="212" w:name="_Toc488467690"/>
      <w:bookmarkStart w:id="213" w:name="_Toc489709941"/>
      <w:bookmarkStart w:id="214" w:name="_Toc490688529"/>
      <w:bookmarkStart w:id="215" w:name="_Toc492709757"/>
      <w:bookmarkStart w:id="216" w:name="_Toc110354245"/>
      <w:bookmarkStart w:id="217" w:name="_Toc186647175"/>
      <w:bookmarkStart w:id="218" w:name="_Toc275114266"/>
      <w:bookmarkStart w:id="219" w:name="_Toc420814366"/>
      <w:r w:rsidRPr="00BC3B13">
        <w:lastRenderedPageBreak/>
        <w:t xml:space="preserve">Title: </w:t>
      </w:r>
      <w:bookmarkEnd w:id="212"/>
      <w:bookmarkEnd w:id="213"/>
      <w:bookmarkEnd w:id="214"/>
      <w:bookmarkEnd w:id="215"/>
      <w:bookmarkEnd w:id="216"/>
      <w:bookmarkEnd w:id="217"/>
      <w:bookmarkEnd w:id="218"/>
      <w:r w:rsidRPr="00CF04DE">
        <w:t>American Behavioral Scientist</w:t>
      </w:r>
      <w:bookmarkEnd w:id="219"/>
    </w:p>
    <w:p w:rsidR="00556015" w:rsidRPr="00BC3B13" w:rsidRDefault="00556015" w:rsidP="00556015">
      <w:pPr>
        <w:pStyle w:val="12"/>
      </w:pPr>
      <w:r w:rsidRPr="00BC3B13">
        <w:t xml:space="preserve">Full Journal Title: </w:t>
      </w:r>
      <w:r w:rsidRPr="00CF04DE">
        <w:rPr>
          <w:iCs/>
          <w:kern w:val="0"/>
        </w:rPr>
        <w:t>American Behavioral Scientist</w:t>
      </w:r>
    </w:p>
    <w:p w:rsidR="00556015" w:rsidRPr="00BC3B13" w:rsidRDefault="00556015" w:rsidP="00556015">
      <w:pPr>
        <w:pStyle w:val="12"/>
      </w:pPr>
      <w:r w:rsidRPr="00BC3B13">
        <w:t xml:space="preserve">ISO Abbreviated Title: </w:t>
      </w:r>
    </w:p>
    <w:p w:rsidR="00556015" w:rsidRPr="00BC3B13" w:rsidRDefault="00556015" w:rsidP="00556015">
      <w:pPr>
        <w:pStyle w:val="12"/>
      </w:pPr>
      <w:r w:rsidRPr="00BC3B13">
        <w:t xml:space="preserve">JCR Abbreviated Title: </w:t>
      </w:r>
    </w:p>
    <w:p w:rsidR="00556015" w:rsidRPr="00BC3B13" w:rsidRDefault="00556015" w:rsidP="00556015">
      <w:pPr>
        <w:pStyle w:val="12"/>
      </w:pPr>
      <w:r>
        <w:t xml:space="preserve">ISSN: </w:t>
      </w:r>
    </w:p>
    <w:p w:rsidR="00556015" w:rsidRPr="00BC3B13" w:rsidRDefault="00556015" w:rsidP="00556015">
      <w:pPr>
        <w:pStyle w:val="12"/>
      </w:pPr>
      <w:r w:rsidRPr="00BC3B13">
        <w:t xml:space="preserve">Issues/Year: </w:t>
      </w:r>
    </w:p>
    <w:p w:rsidR="00556015" w:rsidRPr="00BC3B13" w:rsidRDefault="00556015" w:rsidP="00556015">
      <w:pPr>
        <w:pStyle w:val="12"/>
      </w:pPr>
      <w:r w:rsidRPr="00BC3B13">
        <w:t xml:space="preserve">Journal Country </w:t>
      </w:r>
    </w:p>
    <w:p w:rsidR="00556015" w:rsidRPr="00BC3B13" w:rsidRDefault="00556015" w:rsidP="00556015">
      <w:pPr>
        <w:pStyle w:val="12"/>
      </w:pPr>
      <w:r w:rsidRPr="00BC3B13">
        <w:t xml:space="preserve">Language: </w:t>
      </w:r>
    </w:p>
    <w:p w:rsidR="00556015" w:rsidRPr="00BC3B13" w:rsidRDefault="00556015" w:rsidP="00556015">
      <w:pPr>
        <w:pStyle w:val="12"/>
      </w:pPr>
      <w:r w:rsidRPr="00BC3B13">
        <w:t xml:space="preserve">Publisher: </w:t>
      </w:r>
    </w:p>
    <w:p w:rsidR="00556015" w:rsidRPr="00BC3B13" w:rsidRDefault="00556015" w:rsidP="00556015">
      <w:pPr>
        <w:pStyle w:val="12"/>
      </w:pPr>
      <w:r w:rsidRPr="00BC3B13">
        <w:t xml:space="preserve">Publisher Address: </w:t>
      </w:r>
    </w:p>
    <w:p w:rsidR="00556015" w:rsidRPr="00BC3B13" w:rsidRDefault="00556015" w:rsidP="00556015">
      <w:pPr>
        <w:pStyle w:val="12"/>
      </w:pPr>
      <w:r w:rsidRPr="00BC3B13">
        <w:t xml:space="preserve">Subject Categories: </w:t>
      </w:r>
    </w:p>
    <w:p w:rsidR="00556015" w:rsidRPr="00BC3B13" w:rsidRDefault="00556015" w:rsidP="00556015">
      <w:pPr>
        <w:pStyle w:val="12"/>
      </w:pPr>
      <w:r w:rsidRPr="00BC3B13">
        <w:t>Impact Factor</w:t>
      </w:r>
    </w:p>
    <w:p w:rsidR="00556015" w:rsidRDefault="00556015" w:rsidP="00556015">
      <w:pPr>
        <w:pStyle w:val="a3"/>
        <w:rPr>
          <w:kern w:val="0"/>
        </w:rPr>
      </w:pPr>
      <w:r>
        <w:rPr>
          <w:rFonts w:hint="eastAsia"/>
          <w:kern w:val="0"/>
        </w:rPr>
        <w:t xml:space="preserve">? </w:t>
      </w:r>
      <w:r>
        <w:rPr>
          <w:kern w:val="0"/>
        </w:rPr>
        <w:t>Garfield, E.</w:t>
      </w:r>
      <w:r w:rsidR="005853A9">
        <w:rPr>
          <w:kern w:val="0"/>
        </w:rPr>
        <w:t xml:space="preserve"> and </w:t>
      </w:r>
      <w:r>
        <w:rPr>
          <w:kern w:val="0"/>
        </w:rPr>
        <w:t xml:space="preserve">Sher, I.H. (1967), ASCA (Automatic Subject Citation Alert) - A new personalized current awareness service for scientists. </w:t>
      </w:r>
      <w:r w:rsidRPr="00CF04DE">
        <w:rPr>
          <w:i/>
          <w:iCs/>
          <w:kern w:val="0"/>
        </w:rPr>
        <w:t>American Behavioral Scientist</w:t>
      </w:r>
      <w:r>
        <w:rPr>
          <w:kern w:val="0"/>
        </w:rPr>
        <w:t xml:space="preserve">, </w:t>
      </w:r>
      <w:r>
        <w:rPr>
          <w:b/>
          <w:bCs/>
          <w:kern w:val="0"/>
        </w:rPr>
        <w:t>10</w:t>
      </w:r>
      <w:r>
        <w:rPr>
          <w:kern w:val="0"/>
        </w:rPr>
        <w:t xml:space="preserve"> (5), 29-</w:t>
      </w:r>
      <w:r>
        <w:rPr>
          <w:rFonts w:hint="eastAsia"/>
          <w:kern w:val="0"/>
        </w:rPr>
        <w:t>32.</w:t>
      </w:r>
    </w:p>
    <w:p w:rsidR="00556015" w:rsidRDefault="00556015" w:rsidP="00556015">
      <w:pPr>
        <w:pStyle w:val="a3"/>
        <w:rPr>
          <w:kern w:val="0"/>
        </w:rPr>
      </w:pPr>
      <w:r>
        <w:rPr>
          <w:rFonts w:hint="eastAsia"/>
          <w:kern w:val="0"/>
        </w:rPr>
        <w:t>Full Text</w:t>
      </w:r>
      <w:r>
        <w:rPr>
          <w:kern w:val="0"/>
        </w:rPr>
        <w:t>:</w:t>
      </w:r>
      <w:r>
        <w:rPr>
          <w:rFonts w:hint="eastAsia"/>
          <w:kern w:val="0"/>
        </w:rPr>
        <w:t xml:space="preserve"> </w:t>
      </w:r>
      <w:hyperlink r:id="rId388" w:history="1">
        <w:r w:rsidRPr="00CF04DE">
          <w:rPr>
            <w:rStyle w:val="a5"/>
            <w:kern w:val="0"/>
          </w:rPr>
          <w:t>1960-80\Ame Beh Sci10, 29.pdf</w:t>
        </w:r>
      </w:hyperlink>
    </w:p>
    <w:p w:rsidR="00556015" w:rsidRDefault="00556015" w:rsidP="00556015">
      <w:pPr>
        <w:pStyle w:val="a3"/>
        <w:rPr>
          <w:kern w:val="0"/>
        </w:rPr>
      </w:pPr>
      <w:r>
        <w:rPr>
          <w:rFonts w:hint="eastAsia"/>
          <w:kern w:val="0"/>
        </w:rPr>
        <w:t xml:space="preserve">Abstract: </w:t>
      </w:r>
      <w:r w:rsidRPr="00CF04DE">
        <w:rPr>
          <w:kern w:val="0"/>
        </w:rPr>
        <w:t>Citation indexing serves as</w:t>
      </w:r>
      <w:r w:rsidR="003A1917">
        <w:rPr>
          <w:kern w:val="0"/>
        </w:rPr>
        <w:t xml:space="preserve"> the </w:t>
      </w:r>
      <w:r w:rsidRPr="00CF04DE">
        <w:rPr>
          <w:kern w:val="0"/>
        </w:rPr>
        <w:t>basis for a large-scale personalized</w:t>
      </w:r>
      <w:r>
        <w:rPr>
          <w:rFonts w:hint="eastAsia"/>
          <w:kern w:val="0"/>
        </w:rPr>
        <w:t xml:space="preserve"> </w:t>
      </w:r>
      <w:r w:rsidRPr="00CF04DE">
        <w:rPr>
          <w:kern w:val="0"/>
        </w:rPr>
        <w:t>reference system offered on a subscription basis by</w:t>
      </w:r>
      <w:r w:rsidR="003A1917">
        <w:rPr>
          <w:kern w:val="0"/>
        </w:rPr>
        <w:t xml:space="preserve"> the </w:t>
      </w:r>
      <w:r w:rsidRPr="00CF04DE">
        <w:rPr>
          <w:kern w:val="0"/>
        </w:rPr>
        <w:t>Institute for Scientific Information in Philadelphia, Pennsylvania.</w:t>
      </w:r>
      <w:r>
        <w:rPr>
          <w:rFonts w:hint="eastAsia"/>
          <w:kern w:val="0"/>
        </w:rPr>
        <w:t xml:space="preserve"> </w:t>
      </w:r>
      <w:r w:rsidRPr="00CF04DE">
        <w:rPr>
          <w:kern w:val="0"/>
        </w:rPr>
        <w:t>Dr. Eugene Garfield is President</w:t>
      </w:r>
      <w:r w:rsidR="00427468">
        <w:rPr>
          <w:kern w:val="0"/>
        </w:rPr>
        <w:t xml:space="preserve"> of </w:t>
      </w:r>
      <w:r w:rsidRPr="00CF04DE">
        <w:rPr>
          <w:kern w:val="0"/>
        </w:rPr>
        <w:t>ISI</w:t>
      </w:r>
      <w:r w:rsidR="005853A9">
        <w:rPr>
          <w:kern w:val="0"/>
        </w:rPr>
        <w:t xml:space="preserve"> and </w:t>
      </w:r>
      <w:r w:rsidRPr="00CF04DE">
        <w:rPr>
          <w:kern w:val="0"/>
        </w:rPr>
        <w:t>Irving Sher</w:t>
      </w:r>
      <w:r>
        <w:rPr>
          <w:rFonts w:hint="eastAsia"/>
          <w:kern w:val="0"/>
        </w:rPr>
        <w:t xml:space="preserve"> </w:t>
      </w:r>
      <w:r w:rsidRPr="00CF04DE">
        <w:rPr>
          <w:kern w:val="0"/>
        </w:rPr>
        <w:t>is Vice-President in charge</w:t>
      </w:r>
      <w:r w:rsidR="00427468">
        <w:rPr>
          <w:kern w:val="0"/>
        </w:rPr>
        <w:t xml:space="preserve"> of </w:t>
      </w:r>
      <w:r w:rsidRPr="00CF04DE">
        <w:rPr>
          <w:kern w:val="0"/>
        </w:rPr>
        <w:t>Research</w:t>
      </w:r>
      <w:r w:rsidR="005853A9">
        <w:rPr>
          <w:kern w:val="0"/>
        </w:rPr>
        <w:t xml:space="preserve"> and </w:t>
      </w:r>
      <w:r w:rsidRPr="00CF04DE">
        <w:rPr>
          <w:kern w:val="0"/>
        </w:rPr>
        <w:t>Development.</w:t>
      </w:r>
    </w:p>
    <w:p w:rsidR="00556015" w:rsidRDefault="00556015" w:rsidP="00556015">
      <w:pPr>
        <w:pStyle w:val="a3"/>
        <w:rPr>
          <w:kern w:val="0"/>
        </w:rPr>
      </w:pPr>
      <w:r>
        <w:rPr>
          <w:kern w:val="0"/>
        </w:rPr>
        <w:t>Keywords: Citation</w:t>
      </w:r>
    </w:p>
    <w:p w:rsidR="003474F2" w:rsidRPr="001A3D2B" w:rsidRDefault="003474F2" w:rsidP="003474F2">
      <w:pPr>
        <w:pStyle w:val="1"/>
      </w:pPr>
      <w:r w:rsidRPr="001A3D2B">
        <w:br w:type="page"/>
      </w:r>
      <w:bookmarkStart w:id="220" w:name="_Toc81215584"/>
      <w:bookmarkStart w:id="221" w:name="_Toc420814367"/>
      <w:r w:rsidRPr="001A3D2B">
        <w:lastRenderedPageBreak/>
        <w:t>Title: American Documentation</w:t>
      </w:r>
      <w:bookmarkEnd w:id="220"/>
      <w:bookmarkEnd w:id="221"/>
    </w:p>
    <w:p w:rsidR="003474F2" w:rsidRPr="001A3D2B" w:rsidRDefault="00C154FB" w:rsidP="003474F2">
      <w:pPr>
        <w:pStyle w:val="12"/>
      </w:pPr>
      <w:hyperlink r:id="rId389" w:history="1">
        <w:r w:rsidR="003474F2" w:rsidRPr="001A3D2B">
          <w:rPr>
            <w:rStyle w:val="a5"/>
          </w:rPr>
          <w:t>American Documentation</w:t>
        </w:r>
      </w:hyperlink>
      <w:r w:rsidR="003474F2" w:rsidRPr="001A3D2B">
        <w:t xml:space="preserve"> 1950-1969 Vol 1-20, </w:t>
      </w:r>
      <w:hyperlink r:id="rId390" w:history="1">
        <w:r w:rsidR="003474F2" w:rsidRPr="001A3D2B">
          <w:rPr>
            <w:rStyle w:val="a5"/>
            <w:szCs w:val="17"/>
          </w:rPr>
          <w:t>Journal</w:t>
        </w:r>
        <w:r w:rsidR="00427468">
          <w:rPr>
            <w:rStyle w:val="a5"/>
            <w:szCs w:val="17"/>
          </w:rPr>
          <w:t xml:space="preserve"> of </w:t>
        </w:r>
        <w:r w:rsidR="003A1917">
          <w:rPr>
            <w:rStyle w:val="a5"/>
            <w:szCs w:val="17"/>
          </w:rPr>
          <w:t xml:space="preserve">the </w:t>
        </w:r>
        <w:r w:rsidR="003474F2" w:rsidRPr="001A3D2B">
          <w:rPr>
            <w:rStyle w:val="a5"/>
            <w:szCs w:val="17"/>
          </w:rPr>
          <w:t>American Society for Information Science</w:t>
        </w:r>
      </w:hyperlink>
      <w:r w:rsidR="003474F2" w:rsidRPr="001A3D2B">
        <w:t xml:space="preserve"> 1970- Vol 21-</w:t>
      </w:r>
    </w:p>
    <w:p w:rsidR="003474F2" w:rsidRPr="001A3D2B" w:rsidRDefault="003474F2" w:rsidP="003474F2">
      <w:pPr>
        <w:pStyle w:val="12"/>
      </w:pPr>
      <w:r w:rsidRPr="001A3D2B">
        <w:t xml:space="preserve">Full Journal Title: </w:t>
      </w:r>
      <w:hyperlink r:id="rId391" w:history="1">
        <w:r w:rsidRPr="001A3D2B">
          <w:rPr>
            <w:rStyle w:val="a5"/>
          </w:rPr>
          <w:t>American Documentation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0096-946X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smartTag w:uri="urn:schemas-microsoft-com:office:smarttags" w:element="place">
        <w:smartTag w:uri="urn:schemas-microsoft-com:office:smarttags" w:element="City">
          <w:r w:rsidRPr="001A3D2B">
            <w:t>Burton</w:t>
          </w:r>
        </w:smartTag>
      </w:smartTag>
      <w:r w:rsidRPr="001A3D2B">
        <w:t>, R.E.</w:t>
      </w:r>
      <w:r w:rsidR="005853A9">
        <w:t xml:space="preserve"> and </w:t>
      </w:r>
      <w:r w:rsidRPr="001A3D2B">
        <w:t>Kebler, R.W. (1960</w:t>
      </w:r>
      <w:r w:rsidR="00F42EAC">
        <w:t>), The</w:t>
      </w:r>
      <w:r w:rsidR="003A1917">
        <w:t xml:space="preserve"> </w:t>
      </w:r>
      <w:r w:rsidR="00700038">
        <w:t>‘</w:t>
      </w:r>
      <w:r w:rsidRPr="001A3D2B">
        <w:t>half-life</w:t>
      </w:r>
      <w:r w:rsidR="00700038">
        <w:t>’</w:t>
      </w:r>
      <w:r w:rsidR="00427468">
        <w:t xml:space="preserve"> of </w:t>
      </w:r>
      <w:r w:rsidRPr="001A3D2B">
        <w:t>some scientific</w:t>
      </w:r>
      <w:r w:rsidR="005853A9">
        <w:t xml:space="preserve"> and </w:t>
      </w:r>
      <w:r w:rsidRPr="001A3D2B">
        <w:t xml:space="preserve">technical literature. </w:t>
      </w:r>
      <w:r w:rsidRPr="001A3D2B">
        <w:rPr>
          <w:i/>
          <w:iCs/>
        </w:rPr>
        <w:t>American Documentation</w:t>
      </w:r>
      <w:r w:rsidRPr="001A3D2B">
        <w:t xml:space="preserve">, </w:t>
      </w:r>
      <w:r w:rsidRPr="001A3D2B">
        <w:rPr>
          <w:b/>
        </w:rPr>
        <w:t>11</w:t>
      </w:r>
      <w:r w:rsidRPr="001A3D2B">
        <w:t xml:space="preserve"> (1), 18-22.</w:t>
      </w:r>
    </w:p>
    <w:p w:rsidR="0039485A" w:rsidRPr="00F219CA" w:rsidRDefault="0039485A" w:rsidP="0039485A">
      <w:pPr>
        <w:pStyle w:val="a3"/>
      </w:pPr>
      <w:r w:rsidRPr="00F219CA">
        <w:t xml:space="preserve">Full Text: </w:t>
      </w:r>
      <w:hyperlink r:id="rId392" w:history="1">
        <w:r w:rsidRPr="00F567F1">
          <w:rPr>
            <w:rStyle w:val="a5"/>
          </w:rPr>
          <w:t>1960-80\Ame Doc11, 18.pdf</w:t>
        </w:r>
      </w:hyperlink>
    </w:p>
    <w:p w:rsidR="003474F2" w:rsidRPr="001A3D2B" w:rsidRDefault="003474F2" w:rsidP="003474F2">
      <w:pPr>
        <w:pStyle w:val="a3"/>
      </w:pPr>
      <w:r w:rsidRPr="001A3D2B">
        <w:t>Abstract: A consideration</w:t>
      </w:r>
      <w:r w:rsidR="00427468">
        <w:t xml:space="preserve"> of </w:t>
      </w:r>
      <w:r w:rsidR="003A1917">
        <w:t xml:space="preserve">the </w:t>
      </w:r>
      <w:r w:rsidRPr="001A3D2B">
        <w:t>analogy between</w:t>
      </w:r>
      <w:r w:rsidR="003A1917">
        <w:t xml:space="preserve"> the </w:t>
      </w:r>
      <w:r w:rsidRPr="001A3D2B">
        <w:t>half-life</w:t>
      </w:r>
      <w:r w:rsidR="00427468">
        <w:t xml:space="preserve"> of </w:t>
      </w:r>
      <w:r w:rsidRPr="001A3D2B">
        <w:t>radioactive substances</w:t>
      </w:r>
      <w:r w:rsidR="005853A9">
        <w:t xml:space="preserve"> and </w:t>
      </w:r>
      <w:r w:rsidR="003A1917">
        <w:t xml:space="preserve">the </w:t>
      </w:r>
      <w:r w:rsidRPr="001A3D2B">
        <w:t>rate</w:t>
      </w:r>
      <w:r w:rsidR="00427468">
        <w:t xml:space="preserve"> of </w:t>
      </w:r>
      <w:r w:rsidRPr="001A3D2B">
        <w:t>obsolescence</w:t>
      </w:r>
      <w:r w:rsidR="00427468">
        <w:t xml:space="preserve"> of </w:t>
      </w:r>
      <w:r w:rsidRPr="001A3D2B">
        <w:t>scientific literature</w:t>
      </w:r>
      <w:r w:rsidR="00A37C1D">
        <w:t>. The</w:t>
      </w:r>
      <w:r w:rsidR="003A1917">
        <w:t xml:space="preserve"> </w:t>
      </w:r>
      <w:r w:rsidRPr="001A3D2B">
        <w:t>validity</w:t>
      </w:r>
      <w:r w:rsidR="00427468">
        <w:t xml:space="preserve"> of </w:t>
      </w:r>
      <w:r w:rsidRPr="001A3D2B">
        <w:t>this analogy suggests</w:t>
      </w:r>
      <w:r w:rsidR="003A1917">
        <w:t xml:space="preserve"> the </w:t>
      </w:r>
      <w:r w:rsidRPr="001A3D2B">
        <w:t>possibility</w:t>
      </w:r>
      <w:r w:rsidR="00427468">
        <w:t xml:space="preserve"> of </w:t>
      </w:r>
      <w:r w:rsidRPr="001A3D2B">
        <w:t>more accurate prognostications concerning</w:t>
      </w:r>
      <w:r w:rsidR="003A1917">
        <w:t xml:space="preserve"> the </w:t>
      </w:r>
      <w:r w:rsidRPr="001A3D2B">
        <w:t>period</w:t>
      </w:r>
      <w:r w:rsidR="00427468">
        <w:t xml:space="preserve"> of </w:t>
      </w:r>
      <w:r w:rsidRPr="001A3D2B">
        <w:t>time during which scientific literature may be used</w:t>
      </w:r>
      <w:r w:rsidR="005853A9">
        <w:t xml:space="preserve"> and </w:t>
      </w:r>
      <w:r w:rsidRPr="001A3D2B">
        <w:t>hence might help to guide</w:t>
      </w:r>
      <w:r w:rsidR="003A1917">
        <w:t xml:space="preserve"> the </w:t>
      </w:r>
      <w:r w:rsidRPr="001A3D2B">
        <w:t>planning</w:t>
      </w:r>
      <w:r w:rsidR="00427468">
        <w:t xml:space="preserve"> of </w:t>
      </w:r>
      <w:r w:rsidRPr="001A3D2B">
        <w:t>library collections</w:t>
      </w:r>
      <w:r w:rsidR="005853A9">
        <w:t xml:space="preserve"> and </w:t>
      </w:r>
      <w:r w:rsidRPr="001A3D2B">
        <w:t>technical information services.</w:t>
      </w:r>
    </w:p>
    <w:p w:rsidR="00404010" w:rsidRDefault="00404010" w:rsidP="00404010">
      <w:pPr>
        <w:pStyle w:val="a3"/>
        <w:rPr>
          <w:kern w:val="0"/>
        </w:rPr>
      </w:pPr>
      <w:r>
        <w:rPr>
          <w:rFonts w:hint="eastAsia"/>
          <w:kern w:val="0"/>
        </w:rPr>
        <w:t>Note: highly cited</w:t>
      </w:r>
    </w:p>
    <w:p w:rsidR="00404010" w:rsidRDefault="00404010" w:rsidP="00404010">
      <w:pPr>
        <w:pStyle w:val="a3"/>
        <w:rPr>
          <w:kern w:val="0"/>
        </w:rPr>
      </w:pPr>
      <w:r>
        <w:rPr>
          <w:rFonts w:hint="eastAsia"/>
          <w:kern w:val="0"/>
        </w:rPr>
        <w:t xml:space="preserve">? </w:t>
      </w:r>
      <w:r>
        <w:rPr>
          <w:kern w:val="0"/>
        </w:rPr>
        <w:t>Garfield, E.</w:t>
      </w:r>
      <w:r w:rsidR="005853A9">
        <w:rPr>
          <w:kern w:val="0"/>
        </w:rPr>
        <w:t xml:space="preserve"> and </w:t>
      </w:r>
      <w:r>
        <w:rPr>
          <w:kern w:val="0"/>
        </w:rPr>
        <w:t>Sher, I.H. (1963), New factors in evaluation</w:t>
      </w:r>
      <w:r w:rsidR="00427468">
        <w:rPr>
          <w:kern w:val="0"/>
        </w:rPr>
        <w:t xml:space="preserve"> of </w:t>
      </w:r>
      <w:r>
        <w:rPr>
          <w:kern w:val="0"/>
        </w:rPr>
        <w:t xml:space="preserve">scientific literature through citation indexing. </w:t>
      </w:r>
      <w:r>
        <w:rPr>
          <w:i/>
          <w:iCs/>
          <w:kern w:val="0"/>
        </w:rPr>
        <w:t>American Documentation</w:t>
      </w:r>
      <w:r>
        <w:rPr>
          <w:kern w:val="0"/>
        </w:rPr>
        <w:t xml:space="preserve">, </w:t>
      </w:r>
      <w:r>
        <w:rPr>
          <w:b/>
          <w:bCs/>
          <w:kern w:val="0"/>
        </w:rPr>
        <w:t>14</w:t>
      </w:r>
      <w:r>
        <w:rPr>
          <w:kern w:val="0"/>
        </w:rPr>
        <w:t xml:space="preserve"> (3), 195-</w:t>
      </w:r>
      <w:r>
        <w:rPr>
          <w:rFonts w:hint="eastAsia"/>
          <w:kern w:val="0"/>
        </w:rPr>
        <w:t>201.</w:t>
      </w:r>
    </w:p>
    <w:p w:rsidR="0039485A" w:rsidRDefault="0039485A" w:rsidP="0039485A">
      <w:pPr>
        <w:pStyle w:val="a3"/>
      </w:pPr>
      <w:r w:rsidRPr="00F219CA">
        <w:t xml:space="preserve">Full Text: </w:t>
      </w:r>
      <w:hyperlink r:id="rId393" w:history="1">
        <w:r w:rsidRPr="00CF04DE">
          <w:rPr>
            <w:rStyle w:val="a5"/>
          </w:rPr>
          <w:t>1960-80\Ame Doc14, 195.pdf</w:t>
        </w:r>
      </w:hyperlink>
    </w:p>
    <w:p w:rsidR="00404010" w:rsidRPr="00F219CA" w:rsidRDefault="00404010" w:rsidP="00404010">
      <w:pPr>
        <w:pStyle w:val="a3"/>
      </w:pPr>
      <w:r>
        <w:rPr>
          <w:rFonts w:hint="eastAsia"/>
        </w:rPr>
        <w:t xml:space="preserve">Abstract: </w:t>
      </w:r>
      <w:r w:rsidRPr="00CF04DE">
        <w:t>This article focuses on a study that deals with new factors in</w:t>
      </w:r>
      <w:r w:rsidR="003A1917">
        <w:t xml:space="preserve"> the </w:t>
      </w:r>
      <w:r w:rsidRPr="00CF04DE">
        <w:t>evaluation</w:t>
      </w:r>
      <w:r w:rsidR="00427468">
        <w:t xml:space="preserve"> of </w:t>
      </w:r>
      <w:r w:rsidRPr="00CF04DE">
        <w:t>scientific literature through citation indexing</w:t>
      </w:r>
      <w:r w:rsidR="00A37C1D">
        <w:t>. The</w:t>
      </w:r>
      <w:r w:rsidR="003A1917">
        <w:t xml:space="preserve"> </w:t>
      </w:r>
      <w:r w:rsidRPr="00CF04DE">
        <w:t>article makes specific reference to a project</w:t>
      </w:r>
      <w:r w:rsidR="00427468">
        <w:t xml:space="preserve"> of </w:t>
      </w:r>
      <w:r w:rsidRPr="00CF04DE">
        <w:t>citation indexing funded by</w:t>
      </w:r>
      <w:r w:rsidR="003A1917">
        <w:t xml:space="preserve"> the </w:t>
      </w:r>
      <w:r w:rsidRPr="00CF04DE">
        <w:t>U.S. National Science Foundation, National Institutes</w:t>
      </w:r>
      <w:r w:rsidR="00427468">
        <w:t xml:space="preserve"> of </w:t>
      </w:r>
      <w:r w:rsidRPr="00CF04DE">
        <w:t>Health,</w:t>
      </w:r>
      <w:r w:rsidR="005853A9">
        <w:t xml:space="preserve"> and </w:t>
      </w:r>
      <w:r w:rsidR="003A1917">
        <w:t xml:space="preserve">the </w:t>
      </w:r>
      <w:r w:rsidRPr="00CF04DE">
        <w:t>Institute for Scientific Information. In contrast to conventional indexes, which take one back in time, a citation index brings one forward in time</w:t>
      </w:r>
      <w:r w:rsidR="005853A9">
        <w:t xml:space="preserve"> and </w:t>
      </w:r>
      <w:r w:rsidRPr="00CF04DE">
        <w:t>thereby writes</w:t>
      </w:r>
      <w:r w:rsidR="003A1917">
        <w:t xml:space="preserve"> the </w:t>
      </w:r>
      <w:r w:rsidR="00B5188C">
        <w:t>“</w:t>
      </w:r>
      <w:r w:rsidRPr="00CF04DE">
        <w:t>subsequent history</w:t>
      </w:r>
      <w:r w:rsidR="00B5188C">
        <w:t>”</w:t>
      </w:r>
      <w:r w:rsidR="00427468">
        <w:t xml:space="preserve"> of </w:t>
      </w:r>
      <w:r w:rsidR="003A1917">
        <w:t xml:space="preserve">the </w:t>
      </w:r>
      <w:r w:rsidRPr="00CF04DE">
        <w:t>particular document under investigation. In</w:t>
      </w:r>
      <w:r w:rsidR="003A1917">
        <w:t xml:space="preserve"> the </w:t>
      </w:r>
      <w:r w:rsidRPr="00CF04DE">
        <w:t>aforesaid project, citations from</w:t>
      </w:r>
      <w:r w:rsidR="003A1917">
        <w:t xml:space="preserve"> the </w:t>
      </w:r>
      <w:r w:rsidRPr="00CF04DE">
        <w:t>scientific literature are entered on punched cards</w:t>
      </w:r>
      <w:r w:rsidR="005853A9">
        <w:t xml:space="preserve"> and </w:t>
      </w:r>
      <w:r w:rsidRPr="00CF04DE">
        <w:t>processed by computer to produce citation indexes, that is, ordered lists</w:t>
      </w:r>
      <w:r w:rsidR="00427468">
        <w:t xml:space="preserve"> of </w:t>
      </w:r>
      <w:r w:rsidRPr="00CF04DE">
        <w:t>references which are accompanied by citations for documents in which they have been cited.</w:t>
      </w:r>
    </w:p>
    <w:p w:rsidR="00404010" w:rsidRDefault="00404010" w:rsidP="00404010">
      <w:pPr>
        <w:pStyle w:val="a3"/>
        <w:rPr>
          <w:kern w:val="0"/>
        </w:rPr>
      </w:pPr>
      <w:r>
        <w:rPr>
          <w:kern w:val="0"/>
        </w:rPr>
        <w:t>Keywords: Citation</w:t>
      </w:r>
    </w:p>
    <w:p w:rsidR="003474F2" w:rsidRPr="001A3D2B" w:rsidRDefault="003474F2" w:rsidP="003474F2">
      <w:pPr>
        <w:pStyle w:val="a3"/>
      </w:pPr>
      <w:r w:rsidRPr="001A3D2B">
        <w:lastRenderedPageBreak/>
        <w:t>Lipetz, B.A. (1965), Improvement</w:t>
      </w:r>
      <w:r w:rsidR="00427468">
        <w:t xml:space="preserve"> of </w:t>
      </w:r>
      <w:r w:rsidR="003A1917">
        <w:t xml:space="preserve">the </w:t>
      </w:r>
      <w:r w:rsidRPr="001A3D2B">
        <w:t>selectivity</w:t>
      </w:r>
      <w:r w:rsidR="00427468">
        <w:t xml:space="preserve"> of </w:t>
      </w:r>
      <w:r w:rsidRPr="001A3D2B">
        <w:t>citation indexes to science literature through inclusion</w:t>
      </w:r>
      <w:r w:rsidR="00427468">
        <w:t xml:space="preserve"> of </w:t>
      </w:r>
      <w:r w:rsidRPr="001A3D2B">
        <w:t xml:space="preserve">citation relationship indicators. </w:t>
      </w:r>
      <w:r w:rsidRPr="001A3D2B">
        <w:rPr>
          <w:i/>
          <w:iCs/>
        </w:rPr>
        <w:t>American Documentation</w:t>
      </w:r>
      <w:r w:rsidRPr="001A3D2B">
        <w:t xml:space="preserve">, </w:t>
      </w:r>
      <w:r w:rsidRPr="001A3D2B">
        <w:rPr>
          <w:b/>
        </w:rPr>
        <w:t>16</w:t>
      </w:r>
      <w:r w:rsidRPr="001A3D2B">
        <w:t xml:space="preserve"> (2), 81-90.</w:t>
      </w:r>
    </w:p>
    <w:p w:rsidR="0039485A" w:rsidRPr="00F219CA" w:rsidRDefault="0039485A" w:rsidP="0039485A">
      <w:pPr>
        <w:pStyle w:val="a3"/>
      </w:pPr>
      <w:r w:rsidRPr="00F219CA">
        <w:t xml:space="preserve">Full Text: </w:t>
      </w:r>
      <w:hyperlink r:id="rId394" w:history="1">
        <w:r w:rsidRPr="00F567F1">
          <w:rPr>
            <w:rStyle w:val="a5"/>
          </w:rPr>
          <w:t>1960-80\Ame Doc16, 81.pdf</w:t>
        </w:r>
      </w:hyperlink>
    </w:p>
    <w:p w:rsidR="003474F2" w:rsidRPr="001A3D2B" w:rsidRDefault="003474F2" w:rsidP="003474F2">
      <w:pPr>
        <w:pStyle w:val="a3"/>
      </w:pPr>
      <w:r w:rsidRPr="001A3D2B">
        <w:t>Abstract: Citation indexes to large bodies</w:t>
      </w:r>
      <w:r w:rsidR="00427468">
        <w:t xml:space="preserve"> of </w:t>
      </w:r>
      <w:r w:rsidRPr="001A3D2B">
        <w:t>science literature can often list far more citing references under</w:t>
      </w:r>
      <w:r w:rsidR="003A1917">
        <w:t xml:space="preserve"> the </w:t>
      </w:r>
      <w:r w:rsidRPr="001A3D2B">
        <w:t>known cited reference than</w:t>
      </w:r>
      <w:r w:rsidR="003A1917">
        <w:t xml:space="preserve"> the </w:t>
      </w:r>
      <w:r w:rsidRPr="001A3D2B">
        <w:t>user can afford</w:t>
      </w:r>
      <w:r w:rsidR="003A1917">
        <w:t xml:space="preserve"> the </w:t>
      </w:r>
      <w:r w:rsidRPr="001A3D2B">
        <w:t>time to look up. By providing some additional information, beyond</w:t>
      </w:r>
      <w:r w:rsidR="003A1917">
        <w:t xml:space="preserve"> the </w:t>
      </w:r>
      <w:r w:rsidRPr="001A3D2B">
        <w:t>minimal association</w:t>
      </w:r>
      <w:r w:rsidR="00427468">
        <w:t xml:space="preserve"> of </w:t>
      </w:r>
      <w:r w:rsidR="003A1917">
        <w:t xml:space="preserve">the </w:t>
      </w:r>
      <w:r w:rsidRPr="001A3D2B">
        <w:t>citing reference with</w:t>
      </w:r>
      <w:r w:rsidR="003A1917">
        <w:t xml:space="preserve"> the </w:t>
      </w:r>
      <w:r w:rsidRPr="001A3D2B">
        <w:t>cited reference, a citation index could provide</w:t>
      </w:r>
      <w:r w:rsidR="003A1917">
        <w:t xml:space="preserve"> the </w:t>
      </w:r>
      <w:r w:rsidRPr="001A3D2B">
        <w:t>means for</w:t>
      </w:r>
      <w:r w:rsidR="003A1917">
        <w:t xml:space="preserve"> the </w:t>
      </w:r>
      <w:r w:rsidRPr="001A3D2B">
        <w:t>user to select from a long list those citing references which are most relevant to his immedi- ate search requirement. Means</w:t>
      </w:r>
      <w:r w:rsidR="00427468">
        <w:t xml:space="preserve"> of </w:t>
      </w:r>
      <w:r w:rsidRPr="001A3D2B">
        <w:t>providing this selec- tivity are discussed. Particular attention is given to</w:t>
      </w:r>
      <w:r w:rsidR="003A1917">
        <w:t xml:space="preserve"> the </w:t>
      </w:r>
      <w:r w:rsidRPr="001A3D2B">
        <w:t>possibility</w:t>
      </w:r>
      <w:r w:rsidR="00427468">
        <w:t xml:space="preserve"> of </w:t>
      </w:r>
      <w:r w:rsidRPr="001A3D2B">
        <w:t>adding short codes to</w:t>
      </w:r>
      <w:r w:rsidR="003A1917">
        <w:t xml:space="preserve"> the </w:t>
      </w:r>
      <w:r w:rsidRPr="001A3D2B">
        <w:t>citation entries which would be informative on</w:t>
      </w:r>
      <w:r w:rsidR="003A1917">
        <w:t xml:space="preserve"> the </w:t>
      </w:r>
      <w:r w:rsidRPr="001A3D2B">
        <w:t>way in which</w:t>
      </w:r>
      <w:r w:rsidR="003A1917">
        <w:t xml:space="preserve"> the </w:t>
      </w:r>
      <w:r w:rsidRPr="001A3D2B">
        <w:t>citing publication is operationally related to</w:t>
      </w:r>
      <w:r w:rsidR="003A1917">
        <w:t xml:space="preserve"> the </w:t>
      </w:r>
      <w:r w:rsidRPr="001A3D2B">
        <w:t>cited one (this method is an integral feature</w:t>
      </w:r>
      <w:r w:rsidR="00427468">
        <w:t xml:space="preserve"> of </w:t>
      </w:r>
      <w:r w:rsidR="003A1917">
        <w:t xml:space="preserve">the </w:t>
      </w:r>
      <w:r w:rsidRPr="001A3D2B">
        <w:t>Shepard</w:t>
      </w:r>
      <w:r w:rsidR="00700038">
        <w:t>’</w:t>
      </w:r>
      <w:r w:rsidR="00C13DDC">
        <w:t>s</w:t>
      </w:r>
      <w:r w:rsidRPr="001A3D2B">
        <w:t xml:space="preserve"> legal citations). A scheme</w:t>
      </w:r>
      <w:r w:rsidR="00427468">
        <w:t xml:space="preserve"> of </w:t>
      </w:r>
      <w:r w:rsidRPr="001A3D2B">
        <w:t>citation relationships</w:t>
      </w:r>
      <w:r w:rsidR="00427468">
        <w:t xml:space="preserve"> of </w:t>
      </w:r>
      <w:r w:rsidRPr="001A3D2B">
        <w:t>potential value to users</w:t>
      </w:r>
      <w:r w:rsidR="00427468">
        <w:t xml:space="preserve"> of </w:t>
      </w:r>
      <w:r w:rsidRPr="001A3D2B">
        <w:t>science literature is presented</w:t>
      </w:r>
      <w:r w:rsidR="00A37C1D">
        <w:t>. The</w:t>
      </w:r>
      <w:r w:rsidRPr="001A3D2B">
        <w:t>se relationships were tested on a sampling</w:t>
      </w:r>
      <w:r w:rsidR="00427468">
        <w:t xml:space="preserve"> of </w:t>
      </w:r>
      <w:r w:rsidRPr="001A3D2B">
        <w:t>physics literature</w:t>
      </w:r>
      <w:r w:rsidR="00A37C1D">
        <w:t>. The</w:t>
      </w:r>
      <w:r w:rsidR="003A1917">
        <w:t xml:space="preserve"> </w:t>
      </w:r>
      <w:r w:rsidRPr="001A3D2B">
        <w:t>suggested categories include indicators</w:t>
      </w:r>
      <w:r w:rsidR="00427468">
        <w:t xml:space="preserve"> of </w:t>
      </w:r>
      <w:r w:rsidR="003A1917">
        <w:t xml:space="preserve">the </w:t>
      </w:r>
      <w:r w:rsidRPr="001A3D2B">
        <w:t>relation</w:t>
      </w:r>
      <w:r w:rsidR="00427468">
        <w:t xml:space="preserve"> of </w:t>
      </w:r>
      <w:r w:rsidR="003A1917">
        <w:t xml:space="preserve">the </w:t>
      </w:r>
      <w:r w:rsidRPr="001A3D2B">
        <w:t>citing reference to</w:t>
      </w:r>
      <w:r w:rsidR="003A1917">
        <w:t xml:space="preserve"> the </w:t>
      </w:r>
      <w:r w:rsidRPr="001A3D2B">
        <w:t>scientific proc- ess in general, as well as indicators</w:t>
      </w:r>
      <w:r w:rsidR="00427468">
        <w:t xml:space="preserve"> of </w:t>
      </w:r>
      <w:r w:rsidRPr="001A3D2B">
        <w:t>its relationship to</w:t>
      </w:r>
      <w:r w:rsidR="003A1917">
        <w:t xml:space="preserve"> the </w:t>
      </w:r>
      <w:r w:rsidRPr="001A3D2B">
        <w:t>cited reference in particular. Assignment</w:t>
      </w:r>
      <w:r w:rsidR="00427468">
        <w:t xml:space="preserve"> of </w:t>
      </w:r>
      <w:r w:rsidR="003A1917">
        <w:t xml:space="preserve">the </w:t>
      </w:r>
      <w:r w:rsidRPr="001A3D2B">
        <w:t>categories to a citation requires</w:t>
      </w:r>
      <w:r w:rsidR="003A1917">
        <w:t xml:space="preserve"> the </w:t>
      </w:r>
      <w:r w:rsidRPr="001A3D2B">
        <w:t>exercise</w:t>
      </w:r>
      <w:r w:rsidR="00427468">
        <w:t xml:space="preserve"> of </w:t>
      </w:r>
      <w:r w:rsidRPr="001A3D2B">
        <w:t>judg- ment, as in subject indexing, but does not involve</w:t>
      </w:r>
      <w:r w:rsidR="003A1917">
        <w:t xml:space="preserve"> the </w:t>
      </w:r>
      <w:r w:rsidRPr="001A3D2B">
        <w:t>use</w:t>
      </w:r>
      <w:r w:rsidR="00427468">
        <w:t xml:space="preserve"> of </w:t>
      </w:r>
      <w:r w:rsidRPr="001A3D2B">
        <w:t>subject terminology. An illustration is provided</w:t>
      </w:r>
      <w:r w:rsidR="00427468">
        <w:t xml:space="preserve"> of </w:t>
      </w:r>
      <w:r w:rsidR="003A1917">
        <w:t xml:space="preserve">the </w:t>
      </w:r>
      <w:r w:rsidRPr="001A3D2B">
        <w:t>application</w:t>
      </w:r>
      <w:r w:rsidR="00427468">
        <w:t xml:space="preserve"> of </w:t>
      </w:r>
      <w:r w:rsidRPr="001A3D2B">
        <w:t>citation relationship indicators to an excerpt from a citation index to physics literature.</w:t>
      </w:r>
    </w:p>
    <w:p w:rsidR="003474F2" w:rsidRPr="001A3D2B" w:rsidRDefault="003474F2" w:rsidP="003474F2">
      <w:pPr>
        <w:pStyle w:val="a3"/>
      </w:pPr>
      <w:r w:rsidRPr="001A3D2B">
        <w:t>Kaplan, N. (1965</w:t>
      </w:r>
      <w:r w:rsidR="00F42EAC">
        <w:t>), The</w:t>
      </w:r>
      <w:r w:rsidR="003A1917">
        <w:t xml:space="preserve"> </w:t>
      </w:r>
      <w:r w:rsidRPr="001A3D2B">
        <w:t>norms</w:t>
      </w:r>
      <w:r w:rsidR="00427468">
        <w:t xml:space="preserve"> of </w:t>
      </w:r>
      <w:r w:rsidRPr="001A3D2B">
        <w:t>citation behavior: Prolegomena to</w:t>
      </w:r>
      <w:r w:rsidR="003A1917">
        <w:t xml:space="preserve"> the </w:t>
      </w:r>
      <w:r w:rsidRPr="001A3D2B">
        <w:t xml:space="preserve">footnote. </w:t>
      </w:r>
      <w:r w:rsidRPr="001A3D2B">
        <w:rPr>
          <w:i/>
          <w:iCs/>
        </w:rPr>
        <w:t>American Documentation</w:t>
      </w:r>
      <w:r w:rsidRPr="001A3D2B">
        <w:t xml:space="preserve">, </w:t>
      </w:r>
      <w:r w:rsidRPr="001A3D2B">
        <w:rPr>
          <w:b/>
        </w:rPr>
        <w:t>16</w:t>
      </w:r>
      <w:r w:rsidRPr="001A3D2B">
        <w:t xml:space="preserve"> (3), 179-184.</w:t>
      </w:r>
    </w:p>
    <w:p w:rsidR="0039485A" w:rsidRPr="00F219CA" w:rsidRDefault="0039485A" w:rsidP="0039485A">
      <w:pPr>
        <w:pStyle w:val="a3"/>
      </w:pPr>
      <w:r w:rsidRPr="00F219CA">
        <w:t xml:space="preserve">Full Text: </w:t>
      </w:r>
      <w:hyperlink r:id="rId395" w:history="1">
        <w:r w:rsidRPr="00F567F1">
          <w:rPr>
            <w:rStyle w:val="a5"/>
          </w:rPr>
          <w:t>1960-80\Ame Doc16, 179.pdf</w:t>
        </w:r>
      </w:hyperlink>
    </w:p>
    <w:p w:rsidR="003474F2" w:rsidRPr="001A3D2B" w:rsidRDefault="003474F2" w:rsidP="003474F2">
      <w:pPr>
        <w:pStyle w:val="a3"/>
      </w:pPr>
      <w:r w:rsidRPr="001A3D2B">
        <w:t>Abstract:</w:t>
      </w:r>
      <w:r w:rsidR="003A1917">
        <w:t xml:space="preserve"> the </w:t>
      </w:r>
      <w:r w:rsidRPr="001A3D2B">
        <w:t>publications explosion has focused renewed attention on</w:t>
      </w:r>
      <w:r w:rsidR="003A1917">
        <w:t xml:space="preserve"> the </w:t>
      </w:r>
      <w:r w:rsidRPr="001A3D2B">
        <w:t>lowly footnote. While we are all at least partially aware</w:t>
      </w:r>
      <w:r w:rsidR="00427468">
        <w:t xml:space="preserve"> of </w:t>
      </w:r>
      <w:r w:rsidR="003A1917">
        <w:t xml:space="preserve">the </w:t>
      </w:r>
      <w:r w:rsidRPr="001A3D2B">
        <w:t>technical functions</w:t>
      </w:r>
      <w:r w:rsidR="00427468">
        <w:t xml:space="preserve"> of </w:t>
      </w:r>
      <w:r w:rsidR="003A1917">
        <w:t xml:space="preserve">the </w:t>
      </w:r>
      <w:r w:rsidRPr="001A3D2B">
        <w:t>citation for both</w:t>
      </w:r>
      <w:r w:rsidR="003A1917">
        <w:t xml:space="preserve"> the </w:t>
      </w:r>
      <w:r w:rsidRPr="001A3D2B">
        <w:t>writer</w:t>
      </w:r>
      <w:r w:rsidR="005853A9">
        <w:t xml:space="preserve"> and </w:t>
      </w:r>
      <w:r w:rsidR="003A1917">
        <w:t xml:space="preserve">the </w:t>
      </w:r>
      <w:r w:rsidRPr="001A3D2B">
        <w:t>reader</w:t>
      </w:r>
      <w:r w:rsidR="00427468">
        <w:t xml:space="preserve"> of </w:t>
      </w:r>
      <w:r w:rsidR="003A1917">
        <w:t xml:space="preserve">the </w:t>
      </w:r>
      <w:r w:rsidRPr="001A3D2B">
        <w:t>scientific paper, little is known about</w:t>
      </w:r>
      <w:r w:rsidR="003A1917">
        <w:t xml:space="preserve"> the </w:t>
      </w:r>
      <w:r w:rsidRPr="001A3D2B">
        <w:t>norms operating in actual practice. Even less is known about</w:t>
      </w:r>
      <w:r w:rsidR="003A1917">
        <w:t xml:space="preserve"> the </w:t>
      </w:r>
      <w:r w:rsidRPr="001A3D2B">
        <w:t>operating norms with respect to</w:t>
      </w:r>
      <w:r w:rsidR="003A1917">
        <w:t xml:space="preserve"> the </w:t>
      </w:r>
      <w:r w:rsidRPr="001A3D2B">
        <w:t>more sociological functions, including</w:t>
      </w:r>
      <w:r w:rsidR="003A1917">
        <w:t xml:space="preserve"> the </w:t>
      </w:r>
      <w:r w:rsidRPr="001A3D2B">
        <w:t>acknowledgement</w:t>
      </w:r>
      <w:r w:rsidR="00427468">
        <w:t xml:space="preserve"> of </w:t>
      </w:r>
      <w:r w:rsidRPr="001A3D2B">
        <w:t>intellectual debts or</w:t>
      </w:r>
      <w:r w:rsidR="003A1917">
        <w:t xml:space="preserve"> the </w:t>
      </w:r>
      <w:r w:rsidRPr="001A3D2B">
        <w:t>conferral</w:t>
      </w:r>
      <w:r w:rsidR="00427468">
        <w:t xml:space="preserve"> of </w:t>
      </w:r>
      <w:r w:rsidRPr="001A3D2B">
        <w:t>recognition upon</w:t>
      </w:r>
      <w:r w:rsidR="003A1917">
        <w:t xml:space="preserve"> the </w:t>
      </w:r>
      <w:r w:rsidRPr="001A3D2B">
        <w:t>works</w:t>
      </w:r>
      <w:r w:rsidR="00427468">
        <w:t xml:space="preserve"> of </w:t>
      </w:r>
      <w:r w:rsidRPr="001A3D2B">
        <w:t>others. This paper reviews</w:t>
      </w:r>
      <w:r w:rsidR="003A1917">
        <w:t xml:space="preserve"> the </w:t>
      </w:r>
      <w:r w:rsidRPr="001A3D2B">
        <w:t>state</w:t>
      </w:r>
      <w:r w:rsidR="00427468">
        <w:t xml:space="preserve"> of </w:t>
      </w:r>
      <w:r w:rsidRPr="001A3D2B">
        <w:t>our knowledge, raises questions,</w:t>
      </w:r>
      <w:r w:rsidR="005853A9">
        <w:t xml:space="preserve"> and </w:t>
      </w:r>
      <w:r w:rsidRPr="001A3D2B">
        <w:t>proposes suggestions</w:t>
      </w:r>
      <w:r w:rsidR="005853A9">
        <w:t xml:space="preserve"> and </w:t>
      </w:r>
      <w:r w:rsidRPr="001A3D2B">
        <w:t>hypotheses for studying</w:t>
      </w:r>
      <w:r w:rsidR="003A1917">
        <w:t xml:space="preserve"> the </w:t>
      </w:r>
      <w:r w:rsidRPr="001A3D2B">
        <w:t>relationships between footnoting practices among scientists</w:t>
      </w:r>
      <w:r w:rsidR="005853A9">
        <w:t xml:space="preserve"> and </w:t>
      </w:r>
      <w:r w:rsidR="003A1917">
        <w:t xml:space="preserve">the </w:t>
      </w:r>
      <w:r w:rsidRPr="001A3D2B">
        <w:t>social system</w:t>
      </w:r>
      <w:r w:rsidR="00427468">
        <w:t xml:space="preserve"> of </w:t>
      </w:r>
      <w:r w:rsidRPr="001A3D2B">
        <w:t>science.</w:t>
      </w:r>
    </w:p>
    <w:p w:rsidR="003474F2" w:rsidRPr="001A3D2B" w:rsidRDefault="003474F2" w:rsidP="003474F2">
      <w:pPr>
        <w:pStyle w:val="a3"/>
      </w:pPr>
      <w:r w:rsidRPr="001A3D2B">
        <w:t>Groos, O.V. (1967), Bradford</w:t>
      </w:r>
      <w:r w:rsidR="00700038">
        <w:t>’</w:t>
      </w:r>
      <w:r w:rsidR="00C13DDC">
        <w:t>s</w:t>
      </w:r>
      <w:r w:rsidRPr="001A3D2B">
        <w:t xml:space="preserve"> law</w:t>
      </w:r>
      <w:r w:rsidR="005853A9">
        <w:t xml:space="preserve"> and </w:t>
      </w:r>
      <w:r w:rsidR="003A1917">
        <w:t xml:space="preserve">the </w:t>
      </w:r>
      <w:r w:rsidRPr="001A3D2B">
        <w:t xml:space="preserve">Keenan-Atherton data. </w:t>
      </w:r>
      <w:r w:rsidRPr="001A3D2B">
        <w:rPr>
          <w:i/>
          <w:iCs/>
        </w:rPr>
        <w:t>American Documentation</w:t>
      </w:r>
      <w:r w:rsidRPr="001A3D2B">
        <w:t xml:space="preserve">, </w:t>
      </w:r>
      <w:r w:rsidRPr="001A3D2B">
        <w:rPr>
          <w:b/>
        </w:rPr>
        <w:t>18</w:t>
      </w:r>
      <w:r w:rsidRPr="001A3D2B">
        <w:t xml:space="preserve"> (1), 46.</w:t>
      </w:r>
    </w:p>
    <w:p w:rsidR="0039485A" w:rsidRPr="00F219CA" w:rsidRDefault="0039485A" w:rsidP="0039485A">
      <w:pPr>
        <w:pStyle w:val="a3"/>
      </w:pPr>
      <w:r w:rsidRPr="00F219CA">
        <w:t xml:space="preserve">Full Text: </w:t>
      </w:r>
      <w:hyperlink r:id="rId396" w:history="1">
        <w:r w:rsidRPr="00F567F1">
          <w:rPr>
            <w:rStyle w:val="a5"/>
          </w:rPr>
          <w:t>1960-80\Ame Doc18, 46.pdf</w:t>
        </w:r>
      </w:hyperlink>
    </w:p>
    <w:p w:rsidR="003474F2" w:rsidRPr="001A3D2B" w:rsidRDefault="003474F2" w:rsidP="003474F2">
      <w:pPr>
        <w:pStyle w:val="a3"/>
      </w:pPr>
      <w:r w:rsidRPr="001A3D2B">
        <w:t xml:space="preserve">Abstract: </w:t>
      </w:r>
      <w:r w:rsidRPr="001A3D2B">
        <w:rPr>
          <w:szCs w:val="19"/>
        </w:rPr>
        <w:t>Bradford</w:t>
      </w:r>
      <w:r w:rsidR="00700038">
        <w:rPr>
          <w:szCs w:val="19"/>
        </w:rPr>
        <w:t>’</w:t>
      </w:r>
      <w:r w:rsidR="00C13DDC">
        <w:rPr>
          <w:szCs w:val="19"/>
        </w:rPr>
        <w:t>s</w:t>
      </w:r>
      <w:r w:rsidRPr="001A3D2B">
        <w:rPr>
          <w:szCs w:val="19"/>
        </w:rPr>
        <w:t xml:space="preserve"> methods are applied to</w:t>
      </w:r>
      <w:r w:rsidR="003A1917">
        <w:rPr>
          <w:szCs w:val="19"/>
        </w:rPr>
        <w:t xml:space="preserve"> the </w:t>
      </w:r>
      <w:r w:rsidRPr="001A3D2B">
        <w:rPr>
          <w:szCs w:val="19"/>
        </w:rPr>
        <w:t>Keenan-Ather- ton data</w:t>
      </w:r>
      <w:r w:rsidR="00A37C1D">
        <w:rPr>
          <w:szCs w:val="19"/>
        </w:rPr>
        <w:t>. The</w:t>
      </w:r>
      <w:r w:rsidR="003A1917">
        <w:rPr>
          <w:szCs w:val="19"/>
        </w:rPr>
        <w:t xml:space="preserve"> </w:t>
      </w:r>
      <w:r w:rsidRPr="001A3D2B">
        <w:rPr>
          <w:szCs w:val="19"/>
        </w:rPr>
        <w:t>results do not fit Bradford</w:t>
      </w:r>
      <w:r w:rsidR="00700038">
        <w:rPr>
          <w:szCs w:val="19"/>
        </w:rPr>
        <w:t>’</w:t>
      </w:r>
      <w:r w:rsidR="00C13DDC">
        <w:rPr>
          <w:szCs w:val="19"/>
        </w:rPr>
        <w:t>s</w:t>
      </w:r>
      <w:r w:rsidRPr="001A3D2B">
        <w:rPr>
          <w:szCs w:val="19"/>
        </w:rPr>
        <w:t xml:space="preserve"> Law.</w:t>
      </w:r>
    </w:p>
    <w:p w:rsidR="003474F2" w:rsidRPr="001A3D2B" w:rsidRDefault="003474F2" w:rsidP="003474F2">
      <w:pPr>
        <w:pStyle w:val="a3"/>
        <w:rPr>
          <w:szCs w:val="24"/>
        </w:rPr>
      </w:pPr>
      <w:r w:rsidRPr="001A3D2B">
        <w:rPr>
          <w:szCs w:val="24"/>
        </w:rPr>
        <w:lastRenderedPageBreak/>
        <w:t>Notes: TTopic</w:t>
      </w:r>
    </w:p>
    <w:p w:rsidR="003474F2" w:rsidRPr="001A3D2B" w:rsidRDefault="003474F2" w:rsidP="003474F2">
      <w:pPr>
        <w:pStyle w:val="a3"/>
      </w:pPr>
      <w:r w:rsidRPr="001A3D2B">
        <w:rPr>
          <w:szCs w:val="24"/>
        </w:rPr>
        <w:t>? Spencer, C.C. (1967), Subject searching with Science Citation Index: Preparation</w:t>
      </w:r>
      <w:r w:rsidR="00427468">
        <w:rPr>
          <w:szCs w:val="24"/>
        </w:rPr>
        <w:t xml:space="preserve"> of </w:t>
      </w:r>
      <w:r w:rsidRPr="001A3D2B">
        <w:rPr>
          <w:szCs w:val="24"/>
        </w:rPr>
        <w:t>a drug bibliography using Chemical Abstracts Index Medicus</w:t>
      </w:r>
      <w:r w:rsidR="005853A9">
        <w:rPr>
          <w:szCs w:val="24"/>
        </w:rPr>
        <w:t xml:space="preserve"> and </w:t>
      </w:r>
      <w:r w:rsidRPr="001A3D2B">
        <w:rPr>
          <w:szCs w:val="24"/>
        </w:rPr>
        <w:t>Science Citation Index 1961</w:t>
      </w:r>
      <w:r w:rsidR="005853A9">
        <w:rPr>
          <w:szCs w:val="24"/>
        </w:rPr>
        <w:t xml:space="preserve"> and </w:t>
      </w:r>
      <w:r w:rsidRPr="001A3D2B">
        <w:rPr>
          <w:szCs w:val="24"/>
        </w:rPr>
        <w:t xml:space="preserve">1964. </w:t>
      </w:r>
      <w:r w:rsidRPr="001A3D2B">
        <w:rPr>
          <w:i/>
          <w:iCs/>
        </w:rPr>
        <w:t>American Documentation</w:t>
      </w:r>
      <w:r w:rsidRPr="001A3D2B">
        <w:t xml:space="preserve">, </w:t>
      </w:r>
      <w:r w:rsidRPr="001A3D2B">
        <w:rPr>
          <w:b/>
          <w:bCs/>
        </w:rPr>
        <w:t>18</w:t>
      </w:r>
      <w:r w:rsidRPr="001A3D2B">
        <w:t xml:space="preserve"> (2), 87-96.</w:t>
      </w:r>
    </w:p>
    <w:p w:rsidR="0039485A" w:rsidRPr="00F219CA" w:rsidRDefault="0039485A" w:rsidP="0039485A">
      <w:pPr>
        <w:pStyle w:val="a3"/>
      </w:pPr>
      <w:r w:rsidRPr="00F219CA">
        <w:t xml:space="preserve">Full Text: </w:t>
      </w:r>
      <w:hyperlink r:id="rId397" w:history="1">
        <w:r w:rsidRPr="00F567F1">
          <w:rPr>
            <w:rStyle w:val="a5"/>
          </w:rPr>
          <w:t>1960-80\Ame Doc18, 87.pdf</w:t>
        </w:r>
      </w:hyperlink>
    </w:p>
    <w:p w:rsidR="003474F2" w:rsidRPr="001A3D2B" w:rsidRDefault="003474F2" w:rsidP="003474F2">
      <w:pPr>
        <w:pStyle w:val="a3"/>
        <w:rPr>
          <w:szCs w:val="24"/>
        </w:rPr>
      </w:pPr>
      <w:r w:rsidRPr="001A3D2B">
        <w:rPr>
          <w:szCs w:val="24"/>
        </w:rPr>
        <w:t>Keywords: Chemical Abstracts, Citation, Science Citation Index</w:t>
      </w:r>
    </w:p>
    <w:p w:rsidR="003474F2" w:rsidRPr="001A3D2B" w:rsidRDefault="003474F2" w:rsidP="003474F2">
      <w:pPr>
        <w:pStyle w:val="a3"/>
      </w:pPr>
      <w:r w:rsidRPr="001A3D2B">
        <w:t>Groos, O.V. (1968), Relative importance</w:t>
      </w:r>
      <w:r w:rsidR="00427468">
        <w:t xml:space="preserve"> of </w:t>
      </w:r>
      <w:r w:rsidRPr="001A3D2B">
        <w:t xml:space="preserve">articles-cited versus titles-cited in frequency counts. </w:t>
      </w:r>
      <w:r w:rsidRPr="001A3D2B">
        <w:rPr>
          <w:i/>
          <w:iCs/>
        </w:rPr>
        <w:t>American Documentation</w:t>
      </w:r>
      <w:r w:rsidRPr="001A3D2B">
        <w:t xml:space="preserve">, </w:t>
      </w:r>
      <w:r w:rsidRPr="001A3D2B">
        <w:rPr>
          <w:b/>
        </w:rPr>
        <w:t>19</w:t>
      </w:r>
      <w:r w:rsidRPr="001A3D2B">
        <w:t xml:space="preserve"> (1), 102.</w:t>
      </w:r>
    </w:p>
    <w:p w:rsidR="0039485A" w:rsidRPr="00F219CA" w:rsidRDefault="0039485A" w:rsidP="0039485A">
      <w:pPr>
        <w:pStyle w:val="a3"/>
      </w:pPr>
      <w:r w:rsidRPr="00F219CA">
        <w:t xml:space="preserve">Full Text: </w:t>
      </w:r>
      <w:hyperlink r:id="rId398" w:history="1">
        <w:r w:rsidRPr="00F567F1">
          <w:rPr>
            <w:rStyle w:val="a5"/>
          </w:rPr>
          <w:t>1960-80\Ame Doc19, 102.pdf</w:t>
        </w:r>
      </w:hyperlink>
    </w:p>
    <w:p w:rsidR="003474F2" w:rsidRPr="001A3D2B" w:rsidRDefault="003474F2" w:rsidP="003474F2">
      <w:pPr>
        <w:pStyle w:val="a3"/>
      </w:pPr>
      <w:r w:rsidRPr="001A3D2B">
        <w:t>Abstract: A frequency count was made on</w:t>
      </w:r>
      <w:r w:rsidR="003A1917">
        <w:t xml:space="preserve"> the </w:t>
      </w:r>
      <w:r w:rsidRPr="001A3D2B">
        <w:t>Bibliographie Geo- desique Internationale for</w:t>
      </w:r>
      <w:r w:rsidR="003A1917">
        <w:t xml:space="preserve"> the </w:t>
      </w:r>
      <w:r w:rsidRPr="001A3D2B">
        <w:t>period 1928 through 1945, with cumulations for 1928-1934, 1928-1937, 1928-1940,</w:t>
      </w:r>
      <w:r w:rsidR="005853A9">
        <w:t xml:space="preserve"> and </w:t>
      </w:r>
      <w:r w:rsidRPr="001A3D2B">
        <w:t>1928-1945</w:t>
      </w:r>
      <w:r w:rsidR="00A37C1D">
        <w:t>. The</w:t>
      </w:r>
      <w:r w:rsidR="003A1917">
        <w:t xml:space="preserve"> </w:t>
      </w:r>
      <w:r w:rsidRPr="001A3D2B">
        <w:t xml:space="preserve">results were arranged in </w:t>
      </w:r>
      <w:smartTag w:uri="urn:schemas-microsoft-com:office:smarttags" w:element="place">
        <w:r w:rsidRPr="001A3D2B">
          <w:t>Bradford</w:t>
        </w:r>
      </w:smartTag>
      <w:r w:rsidRPr="001A3D2B">
        <w:t xml:space="preserve"> order</w:t>
      </w:r>
      <w:r w:rsidR="00427468">
        <w:t xml:space="preserve"> of </w:t>
      </w:r>
      <w:r w:rsidRPr="001A3D2B">
        <w:t xml:space="preserve">decreasing citations per title. This </w:t>
      </w:r>
      <w:smartTag w:uri="urn:schemas-microsoft-com:office:smarttags" w:element="place">
        <w:r w:rsidRPr="001A3D2B">
          <w:t>Bradford</w:t>
        </w:r>
      </w:smartTag>
      <w:r w:rsidRPr="001A3D2B">
        <w:t xml:space="preserve"> list was then split between</w:t>
      </w:r>
      <w:r w:rsidR="003A1917">
        <w:t xml:space="preserve"> the </w:t>
      </w:r>
      <w:r w:rsidRPr="001A3D2B">
        <w:t>values for</w:t>
      </w:r>
      <w:r w:rsidR="003A1917">
        <w:t xml:space="preserve"> the </w:t>
      </w:r>
      <w:r w:rsidR="00700038">
        <w:t>‘</w:t>
      </w:r>
      <w:r w:rsidRPr="001A3D2B">
        <w:t>most-cited</w:t>
      </w:r>
      <w:r w:rsidR="00700038">
        <w:t>’</w:t>
      </w:r>
      <w:r w:rsidRPr="001A3D2B">
        <w:t xml:space="preserve"> serial titles carrying 50%</w:t>
      </w:r>
      <w:r w:rsidR="00427468">
        <w:t xml:space="preserve"> of </w:t>
      </w:r>
      <w:r w:rsidR="003A1917">
        <w:t xml:space="preserve">the </w:t>
      </w:r>
      <w:r w:rsidRPr="001A3D2B">
        <w:t>citations</w:t>
      </w:r>
      <w:r w:rsidR="005853A9">
        <w:t xml:space="preserve"> and </w:t>
      </w:r>
      <w:r w:rsidR="003A1917">
        <w:t xml:space="preserve">the </w:t>
      </w:r>
      <w:r w:rsidR="00700038">
        <w:t>‘</w:t>
      </w:r>
      <w:r w:rsidRPr="001A3D2B">
        <w:t>least-cited</w:t>
      </w:r>
      <w:r w:rsidR="00700038">
        <w:t>’</w:t>
      </w:r>
      <w:r w:rsidRPr="001A3D2B">
        <w:t xml:space="preserve"> titles carrying</w:t>
      </w:r>
      <w:r w:rsidR="003A1917">
        <w:t xml:space="preserve"> the </w:t>
      </w:r>
      <w:r w:rsidRPr="001A3D2B">
        <w:t>other half</w:t>
      </w:r>
      <w:r w:rsidR="00427468">
        <w:t xml:space="preserve"> of </w:t>
      </w:r>
      <w:r w:rsidR="003A1917">
        <w:t xml:space="preserve">the </w:t>
      </w:r>
      <w:r w:rsidRPr="001A3D2B">
        <w:t>citations.</w:t>
      </w:r>
    </w:p>
    <w:p w:rsidR="001F0FAE" w:rsidRPr="00F219CA" w:rsidRDefault="001F0FAE" w:rsidP="001F0FAE">
      <w:pPr>
        <w:pStyle w:val="1"/>
      </w:pPr>
      <w:r w:rsidRPr="00F219CA">
        <w:br w:type="page"/>
      </w:r>
      <w:bookmarkStart w:id="222" w:name="_Toc252661110"/>
      <w:bookmarkStart w:id="223" w:name="_Toc420814368"/>
      <w:r w:rsidRPr="00F219CA">
        <w:lastRenderedPageBreak/>
        <w:t>Title: American Family Physician</w:t>
      </w:r>
      <w:bookmarkEnd w:id="222"/>
      <w:bookmarkEnd w:id="223"/>
    </w:p>
    <w:p w:rsidR="001F0FAE" w:rsidRPr="00F219CA" w:rsidRDefault="001F0FAE" w:rsidP="001F0FAE">
      <w:pPr>
        <w:pStyle w:val="12"/>
      </w:pPr>
      <w:r w:rsidRPr="00F219CA">
        <w:t xml:space="preserve">Full Journal Title: </w:t>
      </w:r>
      <w:hyperlink r:id="rId399" w:history="1">
        <w:r w:rsidRPr="0090410F">
          <w:rPr>
            <w:rStyle w:val="a5"/>
          </w:rPr>
          <w:t>American Family Physician</w:t>
        </w:r>
      </w:hyperlink>
    </w:p>
    <w:p w:rsidR="001F0FAE" w:rsidRPr="00F219CA" w:rsidRDefault="001F0FAE" w:rsidP="001F0FAE">
      <w:pPr>
        <w:pStyle w:val="12"/>
      </w:pPr>
      <w:r w:rsidRPr="00F219CA">
        <w:t>ISO Abbreviated Title: Am. Fam. Physician</w:t>
      </w:r>
    </w:p>
    <w:p w:rsidR="001F0FAE" w:rsidRPr="00F219CA" w:rsidRDefault="001F0FAE" w:rsidP="001F0FAE">
      <w:pPr>
        <w:pStyle w:val="12"/>
      </w:pPr>
      <w:r w:rsidRPr="00F219CA">
        <w:t>JCR Abbreviated Title: Am Fam Physician</w:t>
      </w:r>
    </w:p>
    <w:p w:rsidR="001F0FAE" w:rsidRPr="00F219CA" w:rsidRDefault="001F0FAE" w:rsidP="001F0FAE">
      <w:pPr>
        <w:pStyle w:val="12"/>
      </w:pPr>
      <w:r w:rsidRPr="00F219CA">
        <w:t>ISSN: 0002-838X</w:t>
      </w:r>
    </w:p>
    <w:p w:rsidR="001F0FAE" w:rsidRPr="00F219CA" w:rsidRDefault="001F0FAE" w:rsidP="001F0FAE">
      <w:pPr>
        <w:pStyle w:val="12"/>
      </w:pPr>
      <w:r w:rsidRPr="00F219CA">
        <w:t>Issues/Year: 12</w:t>
      </w:r>
    </w:p>
    <w:p w:rsidR="001F0FAE" w:rsidRPr="00F219CA" w:rsidRDefault="001F0FAE" w:rsidP="001F0FAE">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1F0FAE" w:rsidRPr="00F219CA" w:rsidRDefault="001F0FAE" w:rsidP="001F0FAE">
      <w:pPr>
        <w:pStyle w:val="12"/>
      </w:pPr>
      <w:r w:rsidRPr="00F219CA">
        <w:t>Language: English</w:t>
      </w:r>
    </w:p>
    <w:p w:rsidR="001F0FAE" w:rsidRPr="00F219CA" w:rsidRDefault="001F0FAE" w:rsidP="001F0FAE">
      <w:pPr>
        <w:pStyle w:val="12"/>
      </w:pPr>
      <w:r w:rsidRPr="00F219CA">
        <w:t>Publisher: Amer Acad Family Physicians</w:t>
      </w:r>
    </w:p>
    <w:p w:rsidR="001F0FAE" w:rsidRPr="00F219CA" w:rsidRDefault="001F0FAE" w:rsidP="001F0FAE">
      <w:pPr>
        <w:pStyle w:val="12"/>
      </w:pPr>
      <w:r w:rsidRPr="00F219CA">
        <w:t xml:space="preserve">Publisher Address: 8880 Ward Parkway, Kansas City, MO </w:t>
      </w:r>
      <w:smartTag w:uri="urn:schemas-microsoft-com:office:smarttags" w:element="PostalCode">
        <w:r w:rsidRPr="00F219CA">
          <w:t>64114-2797</w:t>
        </w:r>
      </w:smartTag>
    </w:p>
    <w:p w:rsidR="001F0FAE" w:rsidRPr="00F219CA" w:rsidRDefault="001F0FAE" w:rsidP="001F0FAE">
      <w:pPr>
        <w:pStyle w:val="12"/>
      </w:pPr>
      <w:r w:rsidRPr="00F219CA">
        <w:t xml:space="preserve">Subject Categories: </w:t>
      </w:r>
    </w:p>
    <w:p w:rsidR="001F0FAE" w:rsidRPr="00F219CA" w:rsidRDefault="001F0FAE" w:rsidP="001F0FAE">
      <w:pPr>
        <w:pStyle w:val="12"/>
      </w:pPr>
      <w:r w:rsidRPr="00F219CA">
        <w:t xml:space="preserve">Medicine, General &amp; Internal: Impact Factor </w:t>
      </w:r>
    </w:p>
    <w:p w:rsidR="00DA6CEB" w:rsidRDefault="00DA6CEB" w:rsidP="00DA6CEB">
      <w:pPr>
        <w:pStyle w:val="a3"/>
        <w:rPr>
          <w:kern w:val="0"/>
        </w:rPr>
      </w:pPr>
      <w:r>
        <w:rPr>
          <w:rFonts w:hint="eastAsia"/>
          <w:kern w:val="0"/>
        </w:rPr>
        <w:t xml:space="preserve">? </w:t>
      </w:r>
      <w:r>
        <w:rPr>
          <w:kern w:val="0"/>
        </w:rPr>
        <w:t>Cayley, W.E. (2005), Pharmacologic cardioversion for atrial fibrillation</w:t>
      </w:r>
      <w:r w:rsidR="005853A9">
        <w:rPr>
          <w:kern w:val="0"/>
        </w:rPr>
        <w:t xml:space="preserve"> and </w:t>
      </w:r>
      <w:r>
        <w:rPr>
          <w:kern w:val="0"/>
        </w:rPr>
        <w:t xml:space="preserve">flutter. </w:t>
      </w:r>
      <w:r>
        <w:rPr>
          <w:i/>
          <w:iCs/>
          <w:kern w:val="0"/>
        </w:rPr>
        <w:t>American Family Physician</w:t>
      </w:r>
      <w:r>
        <w:rPr>
          <w:kern w:val="0"/>
        </w:rPr>
        <w:t xml:space="preserve">, </w:t>
      </w:r>
      <w:r>
        <w:rPr>
          <w:b/>
          <w:bCs/>
          <w:kern w:val="0"/>
        </w:rPr>
        <w:t>72</w:t>
      </w:r>
      <w:r>
        <w:rPr>
          <w:kern w:val="0"/>
        </w:rPr>
        <w:t xml:space="preserve"> (11), 2217-2219.</w:t>
      </w:r>
    </w:p>
    <w:p w:rsidR="00DA6CEB" w:rsidRDefault="00DA6CEB" w:rsidP="00DA6CEB">
      <w:pPr>
        <w:pStyle w:val="a3"/>
        <w:rPr>
          <w:kern w:val="0"/>
        </w:rPr>
      </w:pPr>
      <w:r>
        <w:rPr>
          <w:rFonts w:hint="eastAsia"/>
          <w:kern w:val="0"/>
        </w:rPr>
        <w:t xml:space="preserve">Full Text: </w:t>
      </w:r>
      <w:r>
        <w:rPr>
          <w:kern w:val="0"/>
        </w:rPr>
        <w:t>20</w:t>
      </w:r>
      <w:r>
        <w:rPr>
          <w:rFonts w:hint="eastAsia"/>
          <w:kern w:val="0"/>
        </w:rPr>
        <w:t>05</w:t>
      </w:r>
      <w:r>
        <w:rPr>
          <w:kern w:val="0"/>
        </w:rPr>
        <w:t>\Ame Fam Phy</w:t>
      </w:r>
      <w:r>
        <w:rPr>
          <w:rFonts w:hint="eastAsia"/>
          <w:kern w:val="0"/>
        </w:rPr>
        <w:t>7</w:t>
      </w:r>
      <w:r>
        <w:rPr>
          <w:kern w:val="0"/>
        </w:rPr>
        <w:t xml:space="preserve">2, </w:t>
      </w:r>
      <w:r>
        <w:rPr>
          <w:rFonts w:hint="eastAsia"/>
          <w:kern w:val="0"/>
        </w:rPr>
        <w:t>2217</w:t>
      </w:r>
      <w:r w:rsidRPr="001414E6">
        <w:rPr>
          <w:kern w:val="0"/>
        </w:rPr>
        <w:t>.pdf</w:t>
      </w:r>
    </w:p>
    <w:p w:rsidR="00DA6CEB" w:rsidRDefault="00DA6CEB" w:rsidP="00DA6CEB">
      <w:pPr>
        <w:pStyle w:val="a3"/>
        <w:rPr>
          <w:kern w:val="0"/>
        </w:rPr>
      </w:pPr>
      <w:r>
        <w:rPr>
          <w:kern w:val="0"/>
        </w:rPr>
        <w:t>Abstract: Background. Atrial fibrillation is</w:t>
      </w:r>
      <w:r w:rsidR="003A1917">
        <w:rPr>
          <w:kern w:val="0"/>
        </w:rPr>
        <w:t xml:space="preserve"> the </w:t>
      </w:r>
      <w:r>
        <w:rPr>
          <w:kern w:val="0"/>
        </w:rPr>
        <w:t>most common cardiac dysrhythmia. It is associated with significant morbidity</w:t>
      </w:r>
      <w:r w:rsidR="005853A9">
        <w:rPr>
          <w:kern w:val="0"/>
        </w:rPr>
        <w:t xml:space="preserve"> and </w:t>
      </w:r>
      <w:r>
        <w:rPr>
          <w:kern w:val="0"/>
        </w:rPr>
        <w:t>mortality</w:t>
      </w:r>
      <w:r w:rsidR="00A37C1D">
        <w:rPr>
          <w:kern w:val="0"/>
        </w:rPr>
        <w:t>. The</w:t>
      </w:r>
      <w:r>
        <w:rPr>
          <w:kern w:val="0"/>
        </w:rPr>
        <w:t>re are two approaches to</w:t>
      </w:r>
      <w:r w:rsidR="003A1917">
        <w:rPr>
          <w:kern w:val="0"/>
        </w:rPr>
        <w:t xml:space="preserve"> the </w:t>
      </w:r>
      <w:r>
        <w:rPr>
          <w:kern w:val="0"/>
        </w:rPr>
        <w:t>management</w:t>
      </w:r>
      <w:r w:rsidR="00427468">
        <w:rPr>
          <w:kern w:val="0"/>
        </w:rPr>
        <w:t xml:space="preserve"> of </w:t>
      </w:r>
      <w:r>
        <w:rPr>
          <w:kern w:val="0"/>
        </w:rPr>
        <w:t>atrial fibrillation: controlling</w:t>
      </w:r>
      <w:r w:rsidR="003A1917">
        <w:rPr>
          <w:kern w:val="0"/>
        </w:rPr>
        <w:t xml:space="preserve"> the </w:t>
      </w:r>
      <w:r>
        <w:rPr>
          <w:kern w:val="0"/>
        </w:rPr>
        <w:t>ventricular rate or converting to sinus rhythm in</w:t>
      </w:r>
      <w:r w:rsidR="003A1917">
        <w:rPr>
          <w:kern w:val="0"/>
        </w:rPr>
        <w:t xml:space="preserve"> the </w:t>
      </w:r>
      <w:r>
        <w:rPr>
          <w:kern w:val="0"/>
        </w:rPr>
        <w:t>expectation that this would abolish its adverse effects. Objectives. To assess</w:t>
      </w:r>
      <w:r w:rsidR="003A1917">
        <w:rPr>
          <w:kern w:val="0"/>
        </w:rPr>
        <w:t xml:space="preserve"> the </w:t>
      </w:r>
      <w:r>
        <w:rPr>
          <w:kern w:val="0"/>
        </w:rPr>
        <w:t>effects</w:t>
      </w:r>
      <w:r w:rsidR="00427468">
        <w:rPr>
          <w:kern w:val="0"/>
        </w:rPr>
        <w:t xml:space="preserve"> of </w:t>
      </w:r>
      <w:r>
        <w:rPr>
          <w:kern w:val="0"/>
        </w:rPr>
        <w:t>pharmacologic cardioversion</w:t>
      </w:r>
      <w:r w:rsidR="00427468">
        <w:rPr>
          <w:kern w:val="0"/>
        </w:rPr>
        <w:t xml:space="preserve"> of </w:t>
      </w:r>
      <w:r>
        <w:rPr>
          <w:kern w:val="0"/>
        </w:rPr>
        <w:t>atrial fibrillation in adults on</w:t>
      </w:r>
      <w:r w:rsidR="003A1917">
        <w:rPr>
          <w:kern w:val="0"/>
        </w:rPr>
        <w:t xml:space="preserve"> the </w:t>
      </w:r>
      <w:r>
        <w:rPr>
          <w:kern w:val="0"/>
        </w:rPr>
        <w:t>annual risk</w:t>
      </w:r>
      <w:r w:rsidR="00427468">
        <w:rPr>
          <w:kern w:val="0"/>
        </w:rPr>
        <w:t xml:space="preserve"> of </w:t>
      </w:r>
      <w:r>
        <w:rPr>
          <w:kern w:val="0"/>
        </w:rPr>
        <w:t>stroke, peripheral embolism,</w:t>
      </w:r>
      <w:r w:rsidR="005853A9">
        <w:rPr>
          <w:kern w:val="0"/>
        </w:rPr>
        <w:t xml:space="preserve"> and </w:t>
      </w:r>
      <w:r>
        <w:rPr>
          <w:kern w:val="0"/>
        </w:rPr>
        <w:t>mortality. Search Strategy</w:t>
      </w:r>
      <w:r w:rsidR="00A37C1D">
        <w:rPr>
          <w:kern w:val="0"/>
        </w:rPr>
        <w:t>. The</w:t>
      </w:r>
      <w:r w:rsidR="003A1917">
        <w:rPr>
          <w:kern w:val="0"/>
        </w:rPr>
        <w:t xml:space="preserve"> </w:t>
      </w:r>
      <w:r>
        <w:rPr>
          <w:kern w:val="0"/>
        </w:rPr>
        <w:t>authors</w:t>
      </w:r>
      <w:r w:rsidR="00700038">
        <w:rPr>
          <w:kern w:val="0"/>
        </w:rPr>
        <w:t>’</w:t>
      </w:r>
      <w:r>
        <w:rPr>
          <w:kern w:val="0"/>
        </w:rPr>
        <w:t xml:space="preserve"> searched</w:t>
      </w:r>
      <w:r w:rsidR="003A1917">
        <w:rPr>
          <w:kern w:val="0"/>
        </w:rPr>
        <w:t xml:space="preserve"> the </w:t>
      </w:r>
      <w:r>
        <w:rPr>
          <w:kern w:val="0"/>
        </w:rPr>
        <w:t xml:space="preserve">Cochrane Controlled Trials Register (issue 3, 2002), </w:t>
      </w:r>
      <w:r w:rsidR="00D5664A">
        <w:rPr>
          <w:kern w:val="0"/>
        </w:rPr>
        <w:t>MEDLINE</w:t>
      </w:r>
      <w:r>
        <w:rPr>
          <w:kern w:val="0"/>
        </w:rPr>
        <w:t xml:space="preserve"> (2000 to 2002), EMBASE (1998 to 2002), CINAHL (1982 to 2002),</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(1981 to 2002)</w:t>
      </w:r>
      <w:r w:rsidR="00A37C1D">
        <w:rPr>
          <w:kern w:val="0"/>
        </w:rPr>
        <w:t>. The</w:t>
      </w:r>
      <w:r>
        <w:rPr>
          <w:kern w:val="0"/>
        </w:rPr>
        <w:t>y hand searched</w:t>
      </w:r>
      <w:r w:rsidR="003A1917">
        <w:rPr>
          <w:kern w:val="0"/>
        </w:rPr>
        <w:t xml:space="preserve"> the </w:t>
      </w:r>
      <w:r>
        <w:rPr>
          <w:kern w:val="0"/>
        </w:rPr>
        <w:t>following journals (all 1997 to 2002): Circulation, Heart, European Heart Journal,</w:t>
      </w:r>
      <w:r w:rsidR="005853A9">
        <w:rPr>
          <w:kern w:val="0"/>
        </w:rPr>
        <w:t xml:space="preserve"> and </w:t>
      </w:r>
      <w:r>
        <w:rPr>
          <w:kern w:val="0"/>
        </w:rPr>
        <w:t>Journal</w:t>
      </w:r>
      <w:r w:rsidR="00427468">
        <w:rPr>
          <w:kern w:val="0"/>
        </w:rPr>
        <w:t xml:space="preserve"> of </w:t>
      </w:r>
      <w:r w:rsidR="003A1917">
        <w:rPr>
          <w:kern w:val="0"/>
        </w:rPr>
        <w:t xml:space="preserve">the </w:t>
      </w:r>
      <w:r>
        <w:rPr>
          <w:kern w:val="0"/>
        </w:rPr>
        <w:t>American College</w:t>
      </w:r>
      <w:r w:rsidR="00427468">
        <w:rPr>
          <w:kern w:val="0"/>
        </w:rPr>
        <w:t xml:space="preserve"> of </w:t>
      </w:r>
      <w:r>
        <w:rPr>
          <w:kern w:val="0"/>
        </w:rPr>
        <w:t>Cardiology,</w:t>
      </w:r>
      <w:r w:rsidR="005853A9">
        <w:rPr>
          <w:kern w:val="0"/>
        </w:rPr>
        <w:t xml:space="preserve"> and </w:t>
      </w:r>
      <w:r>
        <w:rPr>
          <w:kern w:val="0"/>
        </w:rPr>
        <w:t>selected abstracts published on</w:t>
      </w:r>
      <w:r w:rsidR="003A1917">
        <w:rPr>
          <w:kern w:val="0"/>
        </w:rPr>
        <w:t xml:space="preserve"> the </w:t>
      </w:r>
      <w:r>
        <w:rPr>
          <w:kern w:val="0"/>
        </w:rPr>
        <w:t>Web site</w:t>
      </w:r>
      <w:r w:rsidR="00427468">
        <w:rPr>
          <w:kern w:val="0"/>
        </w:rPr>
        <w:t xml:space="preserve"> of </w:t>
      </w:r>
      <w:r w:rsidR="003A1917">
        <w:rPr>
          <w:kern w:val="0"/>
        </w:rPr>
        <w:t xml:space="preserve">the </w:t>
      </w:r>
      <w:r>
        <w:rPr>
          <w:kern w:val="0"/>
        </w:rPr>
        <w:t>North American Society</w:t>
      </w:r>
      <w:r w:rsidR="00427468">
        <w:rPr>
          <w:kern w:val="0"/>
        </w:rPr>
        <w:t xml:space="preserve"> of </w:t>
      </w:r>
      <w:r>
        <w:rPr>
          <w:kern w:val="0"/>
        </w:rPr>
        <w:t>Pacing</w:t>
      </w:r>
      <w:r w:rsidR="005853A9">
        <w:rPr>
          <w:kern w:val="0"/>
        </w:rPr>
        <w:t xml:space="preserve"> and </w:t>
      </w:r>
      <w:r>
        <w:rPr>
          <w:kern w:val="0"/>
        </w:rPr>
        <w:t>Electrophysiology (2001, 2002). Selection Criteria. Randomized controlled trials or controlled clinical trials</w:t>
      </w:r>
      <w:r w:rsidR="00427468">
        <w:rPr>
          <w:kern w:val="0"/>
        </w:rPr>
        <w:t xml:space="preserve"> of </w:t>
      </w:r>
      <w:r>
        <w:rPr>
          <w:kern w:val="0"/>
        </w:rPr>
        <w:t>pharmacologic cardioversion versus rate control in adults (older than 18 years) with acute, paroxysmal, or sustained atrial fibrillation or atrial flutter,</w:t>
      </w:r>
      <w:r w:rsidR="00427468">
        <w:rPr>
          <w:kern w:val="0"/>
        </w:rPr>
        <w:t xml:space="preserve"> of </w:t>
      </w:r>
      <w:r>
        <w:rPr>
          <w:kern w:val="0"/>
        </w:rPr>
        <w:t>any duration</w:t>
      </w:r>
      <w:r w:rsidR="005853A9">
        <w:rPr>
          <w:kern w:val="0"/>
        </w:rPr>
        <w:t xml:space="preserve"> and</w:t>
      </w:r>
      <w:r w:rsidR="00427468">
        <w:rPr>
          <w:kern w:val="0"/>
        </w:rPr>
        <w:t xml:space="preserve"> of </w:t>
      </w:r>
      <w:r>
        <w:rPr>
          <w:kern w:val="0"/>
        </w:rPr>
        <w:t>any etiology. Data Collection</w:t>
      </w:r>
      <w:r w:rsidR="005853A9">
        <w:rPr>
          <w:kern w:val="0"/>
        </w:rPr>
        <w:t xml:space="preserve"> and </w:t>
      </w:r>
      <w:r>
        <w:rPr>
          <w:kern w:val="0"/>
        </w:rPr>
        <w:t>Analysis. One reviewer applied</w:t>
      </w:r>
      <w:r w:rsidR="003A1917">
        <w:rPr>
          <w:kern w:val="0"/>
        </w:rPr>
        <w:t xml:space="preserve"> the </w:t>
      </w:r>
      <w:r>
        <w:rPr>
          <w:kern w:val="0"/>
        </w:rPr>
        <w:t>inclusion criteria</w:t>
      </w:r>
      <w:r w:rsidR="005853A9">
        <w:rPr>
          <w:kern w:val="0"/>
        </w:rPr>
        <w:t xml:space="preserve"> and </w:t>
      </w:r>
      <w:r>
        <w:rPr>
          <w:kern w:val="0"/>
        </w:rPr>
        <w:t>extracted</w:t>
      </w:r>
      <w:r w:rsidR="003A1917">
        <w:rPr>
          <w:kern w:val="0"/>
        </w:rPr>
        <w:t xml:space="preserve"> the </w:t>
      </w:r>
      <w:r>
        <w:rPr>
          <w:kern w:val="0"/>
        </w:rPr>
        <w:t>data. Trial quality was assessed</w:t>
      </w:r>
      <w:r w:rsidR="005853A9">
        <w:rPr>
          <w:kern w:val="0"/>
        </w:rPr>
        <w:t xml:space="preserve"> and </w:t>
      </w:r>
      <w:r w:rsidR="003A1917">
        <w:rPr>
          <w:kern w:val="0"/>
        </w:rPr>
        <w:t xml:space="preserve">the </w:t>
      </w:r>
      <w:r>
        <w:rPr>
          <w:kern w:val="0"/>
        </w:rPr>
        <w:t>data were entered into RevMan. Primary Results</w:t>
      </w:r>
      <w:r w:rsidR="00A37C1D">
        <w:rPr>
          <w:kern w:val="0"/>
        </w:rPr>
        <w:t>. The</w:t>
      </w:r>
      <w:r w:rsidR="003A1917">
        <w:rPr>
          <w:kern w:val="0"/>
        </w:rPr>
        <w:t xml:space="preserve"> </w:t>
      </w:r>
      <w:r>
        <w:rPr>
          <w:kern w:val="0"/>
        </w:rPr>
        <w:t>authors identified two completed studies: AFFIRM(2) (n = 4,060)</w:t>
      </w:r>
      <w:r w:rsidR="005853A9">
        <w:rPr>
          <w:kern w:val="0"/>
        </w:rPr>
        <w:t xml:space="preserve"> and </w:t>
      </w:r>
      <w:r>
        <w:rPr>
          <w:kern w:val="0"/>
        </w:rPr>
        <w:t>PIAF(3) (n = 252)</w:t>
      </w:r>
      <w:r w:rsidR="00A37C1D">
        <w:rPr>
          <w:kern w:val="0"/>
        </w:rPr>
        <w:t>. The</w:t>
      </w:r>
      <w:r w:rsidR="003A1917">
        <w:rPr>
          <w:kern w:val="0"/>
        </w:rPr>
        <w:t xml:space="preserve"> </w:t>
      </w:r>
      <w:r>
        <w:rPr>
          <w:kern w:val="0"/>
        </w:rPr>
        <w:t>authors found no difference in mortality between rhythm control</w:t>
      </w:r>
      <w:r w:rsidR="005853A9">
        <w:rPr>
          <w:kern w:val="0"/>
        </w:rPr>
        <w:t xml:space="preserve"> and </w:t>
      </w:r>
      <w:r>
        <w:rPr>
          <w:kern w:val="0"/>
        </w:rPr>
        <w:t>rate control (relative risk = 1.14; 95% confidence interval, 1.00 to 1.31). Both studies showed significantly higher rates</w:t>
      </w:r>
      <w:r w:rsidR="00427468">
        <w:rPr>
          <w:kern w:val="0"/>
        </w:rPr>
        <w:t xml:space="preserve"> of </w:t>
      </w:r>
      <w:r>
        <w:rPr>
          <w:kern w:val="0"/>
        </w:rPr>
        <w:t>hospitalization</w:t>
      </w:r>
      <w:r w:rsidR="005853A9">
        <w:rPr>
          <w:kern w:val="0"/>
        </w:rPr>
        <w:t xml:space="preserve"> and </w:t>
      </w:r>
      <w:r>
        <w:rPr>
          <w:kern w:val="0"/>
        </w:rPr>
        <w:t>adverse events in</w:t>
      </w:r>
      <w:r w:rsidR="003A1917">
        <w:rPr>
          <w:kern w:val="0"/>
        </w:rPr>
        <w:t xml:space="preserve"> the </w:t>
      </w:r>
      <w:r>
        <w:rPr>
          <w:kern w:val="0"/>
        </w:rPr>
        <w:t>rhythm-control group</w:t>
      </w:r>
      <w:r w:rsidR="005853A9">
        <w:rPr>
          <w:kern w:val="0"/>
        </w:rPr>
        <w:t xml:space="preserve"> and </w:t>
      </w:r>
      <w:r>
        <w:rPr>
          <w:kern w:val="0"/>
        </w:rPr>
        <w:t xml:space="preserve">no difference in </w:t>
      </w:r>
      <w:r>
        <w:rPr>
          <w:kern w:val="0"/>
        </w:rPr>
        <w:lastRenderedPageBreak/>
        <w:t>quality</w:t>
      </w:r>
      <w:r w:rsidR="00427468">
        <w:rPr>
          <w:kern w:val="0"/>
        </w:rPr>
        <w:t xml:space="preserve"> of </w:t>
      </w:r>
      <w:r>
        <w:rPr>
          <w:kern w:val="0"/>
        </w:rPr>
        <w:t>life between</w:t>
      </w:r>
      <w:r w:rsidR="003A1917">
        <w:rPr>
          <w:kern w:val="0"/>
        </w:rPr>
        <w:t xml:space="preserve"> the </w:t>
      </w:r>
      <w:r>
        <w:rPr>
          <w:kern w:val="0"/>
        </w:rPr>
        <w:t>two treatment groups. In AFFIRM, there was a similar incidence</w:t>
      </w:r>
      <w:r w:rsidR="00427468">
        <w:rPr>
          <w:kern w:val="0"/>
        </w:rPr>
        <w:t xml:space="preserve"> of </w:t>
      </w:r>
      <w:r>
        <w:rPr>
          <w:kern w:val="0"/>
        </w:rPr>
        <w:t>ischemic stroke, bleeding,</w:t>
      </w:r>
      <w:r w:rsidR="005853A9">
        <w:rPr>
          <w:kern w:val="0"/>
        </w:rPr>
        <w:t xml:space="preserve"> and </w:t>
      </w:r>
      <w:r>
        <w:rPr>
          <w:kern w:val="0"/>
        </w:rPr>
        <w:t>systemic embolism in</w:t>
      </w:r>
      <w:r w:rsidR="003A1917">
        <w:rPr>
          <w:kern w:val="0"/>
        </w:rPr>
        <w:t xml:space="preserve"> the </w:t>
      </w:r>
      <w:r>
        <w:rPr>
          <w:kern w:val="0"/>
        </w:rPr>
        <w:t>two groups. Certain malignant dysrhythmias were significantly more likely to occur in</w:t>
      </w:r>
      <w:r w:rsidR="003A1917">
        <w:rPr>
          <w:kern w:val="0"/>
        </w:rPr>
        <w:t xml:space="preserve"> the </w:t>
      </w:r>
      <w:r>
        <w:rPr>
          <w:kern w:val="0"/>
        </w:rPr>
        <w:t>rhythm-control group</w:t>
      </w:r>
      <w:r w:rsidR="00A37C1D">
        <w:rPr>
          <w:kern w:val="0"/>
        </w:rPr>
        <w:t>. The</w:t>
      </w:r>
      <w:r>
        <w:rPr>
          <w:kern w:val="0"/>
        </w:rPr>
        <w:t>re were similar scores</w:t>
      </w:r>
      <w:r w:rsidR="00427468">
        <w:rPr>
          <w:kern w:val="0"/>
        </w:rPr>
        <w:t xml:space="preserve"> of </w:t>
      </w:r>
      <w:r>
        <w:rPr>
          <w:kern w:val="0"/>
        </w:rPr>
        <w:t>cognitive assessment. In PiAF, cardio-verted patients enjoyed an improved exercise tolerance, but there was no overall benefit in terms</w:t>
      </w:r>
      <w:r w:rsidR="00427468">
        <w:rPr>
          <w:kern w:val="0"/>
        </w:rPr>
        <w:t xml:space="preserve"> of </w:t>
      </w:r>
      <w:r>
        <w:rPr>
          <w:kern w:val="0"/>
        </w:rPr>
        <w:t>symptom control or quality</w:t>
      </w:r>
      <w:r w:rsidR="00427468">
        <w:rPr>
          <w:kern w:val="0"/>
        </w:rPr>
        <w:t xml:space="preserve"> of </w:t>
      </w:r>
      <w:r>
        <w:rPr>
          <w:kern w:val="0"/>
        </w:rPr>
        <w:t>life. Reviewers</w:t>
      </w:r>
      <w:r w:rsidR="00700038">
        <w:rPr>
          <w:kern w:val="0"/>
        </w:rPr>
        <w:t>’</w:t>
      </w:r>
      <w:r>
        <w:rPr>
          <w:kern w:val="0"/>
        </w:rPr>
        <w:t xml:space="preserve"> Conclusions</w:t>
      </w:r>
      <w:r w:rsidR="00A37C1D">
        <w:rPr>
          <w:kern w:val="0"/>
        </w:rPr>
        <w:t>. The</w:t>
      </w:r>
      <w:r w:rsidR="003A1917">
        <w:rPr>
          <w:kern w:val="0"/>
        </w:rPr>
        <w:t xml:space="preserve"> </w:t>
      </w:r>
      <w:r>
        <w:rPr>
          <w:kern w:val="0"/>
        </w:rPr>
        <w:t>authors conclude that there is no evidence that pharmacologic cardioversion</w:t>
      </w:r>
      <w:r w:rsidR="00427468">
        <w:rPr>
          <w:kern w:val="0"/>
        </w:rPr>
        <w:t xml:space="preserve"> of </w:t>
      </w:r>
      <w:r>
        <w:rPr>
          <w:kern w:val="0"/>
        </w:rPr>
        <w:t>atrial fibrillation to sinus rhythm is superior to rate control. Rhythm control is associated with more adverse effects</w:t>
      </w:r>
      <w:r w:rsidR="005853A9">
        <w:rPr>
          <w:kern w:val="0"/>
        </w:rPr>
        <w:t xml:space="preserve"> and </w:t>
      </w:r>
      <w:r>
        <w:rPr>
          <w:kern w:val="0"/>
        </w:rPr>
        <w:t>increased hospitalization,</w:t>
      </w:r>
      <w:r w:rsidR="005853A9">
        <w:rPr>
          <w:kern w:val="0"/>
        </w:rPr>
        <w:t xml:space="preserve"> and </w:t>
      </w:r>
      <w:r>
        <w:rPr>
          <w:kern w:val="0"/>
        </w:rPr>
        <w:t>it does not reduce</w:t>
      </w:r>
      <w:r w:rsidR="003A1917">
        <w:rPr>
          <w:kern w:val="0"/>
        </w:rPr>
        <w:t xml:space="preserve"> the </w:t>
      </w:r>
      <w:r>
        <w:rPr>
          <w:kern w:val="0"/>
        </w:rPr>
        <w:t>risk</w:t>
      </w:r>
      <w:r w:rsidR="00427468">
        <w:rPr>
          <w:kern w:val="0"/>
        </w:rPr>
        <w:t xml:space="preserve"> of </w:t>
      </w:r>
      <w:r>
        <w:rPr>
          <w:kern w:val="0"/>
        </w:rPr>
        <w:t>stroke. This conclusion cannot be generalized to all persons with atrial fibrillation. Most</w:t>
      </w:r>
      <w:r w:rsidR="00427468">
        <w:rPr>
          <w:kern w:val="0"/>
        </w:rPr>
        <w:t xml:space="preserve"> of </w:t>
      </w:r>
      <w:r w:rsidR="003A1917">
        <w:rPr>
          <w:kern w:val="0"/>
        </w:rPr>
        <w:t xml:space="preserve">the </w:t>
      </w:r>
      <w:r>
        <w:rPr>
          <w:kern w:val="0"/>
        </w:rPr>
        <w:t>patients included in these studies were older than 60 years</w:t>
      </w:r>
      <w:r w:rsidR="005853A9">
        <w:rPr>
          <w:kern w:val="0"/>
        </w:rPr>
        <w:t xml:space="preserve"> and </w:t>
      </w:r>
      <w:r>
        <w:rPr>
          <w:kern w:val="0"/>
        </w:rPr>
        <w:t>had significant cardiovascular risk factors.</w:t>
      </w:r>
    </w:p>
    <w:p w:rsidR="00DA6CEB" w:rsidRDefault="00DA6CEB" w:rsidP="00DA6CEB">
      <w:pPr>
        <w:pStyle w:val="a3"/>
        <w:rPr>
          <w:kern w:val="0"/>
        </w:rPr>
      </w:pPr>
      <w:r>
        <w:rPr>
          <w:kern w:val="0"/>
        </w:rPr>
        <w:t xml:space="preserve">Keywords: Adults, Adverse Effects, Assessment, Authors, Cardiology, Cardiovascular, Cardiovascular Risk, Clinical Trials, Cochrane, Control, Controlled Clinical Trials, Embase, Etiology, Exercise, Hospitalization, Journal, Journals, Management, </w:t>
      </w:r>
      <w:r w:rsidR="00D5664A">
        <w:rPr>
          <w:kern w:val="0"/>
        </w:rPr>
        <w:t>MEDLINE</w:t>
      </w:r>
      <w:r>
        <w:rPr>
          <w:kern w:val="0"/>
        </w:rPr>
        <w:t>, Morbidity, Mortality, Primary, Quality</w:t>
      </w:r>
      <w:r w:rsidR="00427468">
        <w:rPr>
          <w:kern w:val="0"/>
        </w:rPr>
        <w:t xml:space="preserve"> of </w:t>
      </w:r>
      <w:r>
        <w:rPr>
          <w:kern w:val="0"/>
        </w:rPr>
        <w:t xml:space="preserve">Life, Randomized Controlled Trials, Relative Risk, Rhythm, Risk, Risk Factors, Science, Stroke, Treatment, </w:t>
      </w:r>
      <w:r w:rsidR="00D5664A">
        <w:rPr>
          <w:kern w:val="0"/>
        </w:rPr>
        <w:t>Web</w:t>
      </w:r>
      <w:r w:rsidR="00427468">
        <w:rPr>
          <w:kern w:val="0"/>
        </w:rPr>
        <w:t xml:space="preserve"> of </w:t>
      </w:r>
      <w:r w:rsidR="00D5664A">
        <w:rPr>
          <w:kern w:val="0"/>
        </w:rPr>
        <w:t>Science</w:t>
      </w:r>
    </w:p>
    <w:p w:rsidR="001F0FAE" w:rsidRDefault="001F0FAE" w:rsidP="001F0FAE">
      <w:pPr>
        <w:pStyle w:val="a3"/>
        <w:rPr>
          <w:kern w:val="0"/>
        </w:rPr>
      </w:pPr>
      <w:r>
        <w:rPr>
          <w:rFonts w:hint="eastAsia"/>
          <w:kern w:val="0"/>
        </w:rPr>
        <w:t xml:space="preserve">? </w:t>
      </w:r>
      <w:r>
        <w:rPr>
          <w:kern w:val="0"/>
        </w:rPr>
        <w:t xml:space="preserve">Roskos, S.E. (2006), Vaccines for preventing influenza in healthy children. </w:t>
      </w:r>
      <w:r>
        <w:rPr>
          <w:i/>
          <w:iCs/>
          <w:kern w:val="0"/>
        </w:rPr>
        <w:t>American Family Physician</w:t>
      </w:r>
      <w:r>
        <w:rPr>
          <w:kern w:val="0"/>
        </w:rPr>
        <w:t xml:space="preserve">, </w:t>
      </w:r>
      <w:r>
        <w:rPr>
          <w:b/>
          <w:bCs/>
          <w:kern w:val="0"/>
        </w:rPr>
        <w:t>74</w:t>
      </w:r>
      <w:r>
        <w:rPr>
          <w:kern w:val="0"/>
        </w:rPr>
        <w:t xml:space="preserve"> (7), 1123-1125.</w:t>
      </w:r>
    </w:p>
    <w:p w:rsidR="001F0FAE" w:rsidRDefault="001F0FAE" w:rsidP="001F0FAE">
      <w:pPr>
        <w:pStyle w:val="a3"/>
        <w:rPr>
          <w:kern w:val="0"/>
        </w:rPr>
      </w:pPr>
      <w:r>
        <w:rPr>
          <w:rFonts w:hint="eastAsia"/>
          <w:kern w:val="0"/>
        </w:rPr>
        <w:t xml:space="preserve">Full Text: </w:t>
      </w:r>
      <w:r w:rsidR="00DA6CEB">
        <w:rPr>
          <w:rFonts w:hint="eastAsia"/>
          <w:kern w:val="0"/>
        </w:rPr>
        <w:t>2006\</w:t>
      </w:r>
      <w:r>
        <w:rPr>
          <w:iCs/>
          <w:kern w:val="0"/>
        </w:rPr>
        <w:t>Ame Fam Phy</w:t>
      </w:r>
      <w:r w:rsidRPr="001F0FAE">
        <w:rPr>
          <w:bCs/>
          <w:kern w:val="0"/>
        </w:rPr>
        <w:t>74</w:t>
      </w:r>
      <w:r>
        <w:rPr>
          <w:kern w:val="0"/>
        </w:rPr>
        <w:t>, 1123</w:t>
      </w:r>
      <w:r>
        <w:rPr>
          <w:rFonts w:hint="eastAsia"/>
          <w:kern w:val="0"/>
        </w:rPr>
        <w:t>.pdf</w:t>
      </w:r>
    </w:p>
    <w:p w:rsidR="001F0FAE" w:rsidRDefault="001F0FAE" w:rsidP="001F0FAE">
      <w:pPr>
        <w:pStyle w:val="a3"/>
        <w:rPr>
          <w:kern w:val="0"/>
        </w:rPr>
      </w:pPr>
      <w:r>
        <w:rPr>
          <w:kern w:val="0"/>
        </w:rPr>
        <w:t>Abstract: Background: In children</w:t>
      </w:r>
      <w:r w:rsidR="005853A9">
        <w:rPr>
          <w:kern w:val="0"/>
        </w:rPr>
        <w:t xml:space="preserve"> and </w:t>
      </w:r>
      <w:r>
        <w:rPr>
          <w:kern w:val="0"/>
        </w:rPr>
        <w:t>adults,</w:t>
      </w:r>
      <w:r w:rsidR="003A1917">
        <w:rPr>
          <w:kern w:val="0"/>
        </w:rPr>
        <w:t xml:space="preserve"> the </w:t>
      </w:r>
      <w:r>
        <w:rPr>
          <w:kern w:val="0"/>
        </w:rPr>
        <w:t>consequences</w:t>
      </w:r>
      <w:r w:rsidR="00427468">
        <w:rPr>
          <w:kern w:val="0"/>
        </w:rPr>
        <w:t xml:space="preserve"> of </w:t>
      </w:r>
      <w:r>
        <w:rPr>
          <w:kern w:val="0"/>
        </w:rPr>
        <w:t>influenza mainly are absences from school</w:t>
      </w:r>
      <w:r w:rsidR="005853A9">
        <w:rPr>
          <w:kern w:val="0"/>
        </w:rPr>
        <w:t xml:space="preserve"> and </w:t>
      </w:r>
      <w:r>
        <w:rPr>
          <w:kern w:val="0"/>
        </w:rPr>
        <w:t>work; however,</w:t>
      </w:r>
      <w:r w:rsidR="003A1917">
        <w:rPr>
          <w:kern w:val="0"/>
        </w:rPr>
        <w:t xml:space="preserve"> the </w:t>
      </w:r>
      <w:r>
        <w:rPr>
          <w:kern w:val="0"/>
        </w:rPr>
        <w:t>risk</w:t>
      </w:r>
      <w:r w:rsidR="00427468">
        <w:rPr>
          <w:kern w:val="0"/>
        </w:rPr>
        <w:t xml:space="preserve"> of </w:t>
      </w:r>
      <w:r>
        <w:rPr>
          <w:kern w:val="0"/>
        </w:rPr>
        <w:t>complications is greatest in children</w:t>
      </w:r>
      <w:r w:rsidR="005853A9">
        <w:rPr>
          <w:kern w:val="0"/>
        </w:rPr>
        <w:t xml:space="preserve"> and </w:t>
      </w:r>
      <w:r>
        <w:rPr>
          <w:kern w:val="0"/>
        </w:rPr>
        <w:t>in persons older than 65 years. Objectives: To appraise all comparative studies evaluating</w:t>
      </w:r>
      <w:r w:rsidR="003A1917">
        <w:rPr>
          <w:kern w:val="0"/>
        </w:rPr>
        <w:t xml:space="preserve"> the </w:t>
      </w:r>
      <w:r>
        <w:rPr>
          <w:kern w:val="0"/>
        </w:rPr>
        <w:t>effects</w:t>
      </w:r>
      <w:r w:rsidR="00427468">
        <w:rPr>
          <w:kern w:val="0"/>
        </w:rPr>
        <w:t xml:space="preserve"> of </w:t>
      </w:r>
      <w:r>
        <w:rPr>
          <w:kern w:val="0"/>
        </w:rPr>
        <w:t>influenza vaccines in healthy children, to assess vaccine efficacy (i.e., prevention</w:t>
      </w:r>
      <w:r w:rsidR="00427468">
        <w:rPr>
          <w:kern w:val="0"/>
        </w:rPr>
        <w:t xml:space="preserve"> of </w:t>
      </w:r>
      <w:r>
        <w:rPr>
          <w:kern w:val="0"/>
        </w:rPr>
        <w:t>confirmed influenza)</w:t>
      </w:r>
      <w:r w:rsidR="005853A9">
        <w:rPr>
          <w:kern w:val="0"/>
        </w:rPr>
        <w:t xml:space="preserve"> and </w:t>
      </w:r>
      <w:r>
        <w:rPr>
          <w:kern w:val="0"/>
        </w:rPr>
        <w:t>effectiveness (i.e., prevention</w:t>
      </w:r>
      <w:r w:rsidR="00427468">
        <w:rPr>
          <w:kern w:val="0"/>
        </w:rPr>
        <w:t xml:space="preserve"> of </w:t>
      </w:r>
      <w:r>
        <w:rPr>
          <w:kern w:val="0"/>
        </w:rPr>
        <w:t>influenza-like illness),</w:t>
      </w:r>
      <w:r w:rsidR="005853A9">
        <w:rPr>
          <w:kern w:val="0"/>
        </w:rPr>
        <w:t xml:space="preserve"> and </w:t>
      </w:r>
      <w:r>
        <w:rPr>
          <w:kern w:val="0"/>
        </w:rPr>
        <w:t>to document adverse events associated with receiving influenza vaccines. Search Strategy:</w:t>
      </w:r>
      <w:r w:rsidR="003A1917">
        <w:rPr>
          <w:kern w:val="0"/>
        </w:rPr>
        <w:t xml:space="preserve"> the </w:t>
      </w:r>
      <w:r>
        <w:rPr>
          <w:kern w:val="0"/>
        </w:rPr>
        <w:t>reviewers</w:t>
      </w:r>
      <w:r w:rsidR="00700038">
        <w:rPr>
          <w:kern w:val="0"/>
        </w:rPr>
        <w:t>’</w:t>
      </w:r>
      <w:r>
        <w:rPr>
          <w:kern w:val="0"/>
        </w:rPr>
        <w:t xml:space="preserve"> searched</w:t>
      </w:r>
      <w:r w:rsidR="003A1917">
        <w:rPr>
          <w:kern w:val="0"/>
        </w:rPr>
        <w:t xml:space="preserve"> the </w:t>
      </w:r>
      <w:r>
        <w:rPr>
          <w:kern w:val="0"/>
        </w:rPr>
        <w:t>Cochrane Central Register</w:t>
      </w:r>
      <w:r w:rsidR="00427468">
        <w:rPr>
          <w:kern w:val="0"/>
        </w:rPr>
        <w:t xml:space="preserve"> of </w:t>
      </w:r>
      <w:r>
        <w:rPr>
          <w:kern w:val="0"/>
        </w:rPr>
        <w:t xml:space="preserve">Controlled Trials (CENTRAL, Cochrane Library Issue 1, 2005), OLD </w:t>
      </w:r>
      <w:r w:rsidR="00D5664A">
        <w:rPr>
          <w:kern w:val="0"/>
        </w:rPr>
        <w:t>MEDLINE</w:t>
      </w:r>
      <w:r>
        <w:rPr>
          <w:kern w:val="0"/>
        </w:rPr>
        <w:t xml:space="preserve"> (1966 to 1969), </w:t>
      </w:r>
      <w:r w:rsidR="00D5664A">
        <w:rPr>
          <w:kern w:val="0"/>
        </w:rPr>
        <w:t>MEDLINE</w:t>
      </w:r>
      <w:r>
        <w:rPr>
          <w:kern w:val="0"/>
        </w:rPr>
        <w:t xml:space="preserve"> (1969 to December 2004), EMBASE (1974 to December 2004), Biological Abstracts (1969 to December 2004),</w:t>
      </w:r>
      <w:r w:rsidR="005853A9">
        <w:rPr>
          <w:kern w:val="0"/>
        </w:rPr>
        <w:t xml:space="preserve"> and </w:t>
      </w:r>
      <w:r>
        <w:rPr>
          <w:kern w:val="0"/>
        </w:rPr>
        <w:t>Science Citation Index (1974 to December 2004)</w:t>
      </w:r>
      <w:r w:rsidR="00A37C1D">
        <w:rPr>
          <w:kern w:val="0"/>
        </w:rPr>
        <w:t>. The</w:t>
      </w:r>
      <w:r>
        <w:rPr>
          <w:kern w:val="0"/>
        </w:rPr>
        <w:t>y wrote to vaccine manufacturers</w:t>
      </w:r>
      <w:r w:rsidR="005853A9">
        <w:rPr>
          <w:kern w:val="0"/>
        </w:rPr>
        <w:t xml:space="preserve"> and </w:t>
      </w:r>
      <w:r>
        <w:rPr>
          <w:kern w:val="0"/>
        </w:rPr>
        <w:t>a number</w:t>
      </w:r>
      <w:r w:rsidR="00427468">
        <w:rPr>
          <w:kern w:val="0"/>
        </w:rPr>
        <w:t xml:space="preserve"> of </w:t>
      </w:r>
      <w:r>
        <w:rPr>
          <w:kern w:val="0"/>
        </w:rPr>
        <w:t>corresponding authors</w:t>
      </w:r>
      <w:r w:rsidR="00427468">
        <w:rPr>
          <w:kern w:val="0"/>
        </w:rPr>
        <w:t xml:space="preserve"> of </w:t>
      </w:r>
      <w:r>
        <w:rPr>
          <w:kern w:val="0"/>
        </w:rPr>
        <w:t>studies in</w:t>
      </w:r>
      <w:r w:rsidR="003A1917">
        <w:rPr>
          <w:kern w:val="0"/>
        </w:rPr>
        <w:t xml:space="preserve"> the </w:t>
      </w:r>
      <w:r>
        <w:rPr>
          <w:kern w:val="0"/>
        </w:rPr>
        <w:t>review. Selection Criteria: Any randomized controlled trials (RCTs)</w:t>
      </w:r>
      <w:r w:rsidR="005853A9">
        <w:rPr>
          <w:kern w:val="0"/>
        </w:rPr>
        <w:t xml:space="preserve"> and </w:t>
      </w:r>
      <w:r>
        <w:rPr>
          <w:kern w:val="0"/>
        </w:rPr>
        <w:t>cohort or case-control studies</w:t>
      </w:r>
      <w:r w:rsidR="00427468">
        <w:rPr>
          <w:kern w:val="0"/>
        </w:rPr>
        <w:t xml:space="preserve"> of </w:t>
      </w:r>
      <w:r>
        <w:rPr>
          <w:kern w:val="0"/>
        </w:rPr>
        <w:t>any influenza vaccine in healthy children younger than 16 years. Data Collection</w:t>
      </w:r>
      <w:r w:rsidR="005853A9">
        <w:rPr>
          <w:kern w:val="0"/>
        </w:rPr>
        <w:t xml:space="preserve"> and </w:t>
      </w:r>
      <w:r>
        <w:rPr>
          <w:kern w:val="0"/>
        </w:rPr>
        <w:t>Analysis: Two authors independently assessed trial quality</w:t>
      </w:r>
      <w:r w:rsidR="005853A9">
        <w:rPr>
          <w:kern w:val="0"/>
        </w:rPr>
        <w:t xml:space="preserve"> and </w:t>
      </w:r>
      <w:r>
        <w:rPr>
          <w:kern w:val="0"/>
        </w:rPr>
        <w:t>extracted data. Primary Results: Fifty-one studies involving a total</w:t>
      </w:r>
      <w:r w:rsidR="00427468">
        <w:rPr>
          <w:kern w:val="0"/>
        </w:rPr>
        <w:t xml:space="preserve"> of </w:t>
      </w:r>
      <w:r>
        <w:rPr>
          <w:kern w:val="0"/>
        </w:rPr>
        <w:t>263,987 children were included. Seventeen papers were translated from Russian. Fourteen RCTs</w:t>
      </w:r>
      <w:r w:rsidR="005853A9">
        <w:rPr>
          <w:kern w:val="0"/>
        </w:rPr>
        <w:t xml:space="preserve"> and </w:t>
      </w:r>
      <w:r>
        <w:rPr>
          <w:kern w:val="0"/>
        </w:rPr>
        <w:t>11 cohort studies were included in</w:t>
      </w:r>
      <w:r w:rsidR="003A1917">
        <w:rPr>
          <w:kern w:val="0"/>
        </w:rPr>
        <w:t xml:space="preserve"> the </w:t>
      </w:r>
      <w:r>
        <w:rPr>
          <w:kern w:val="0"/>
        </w:rPr>
        <w:t>analysis</w:t>
      </w:r>
      <w:r w:rsidR="00427468">
        <w:rPr>
          <w:kern w:val="0"/>
        </w:rPr>
        <w:t xml:space="preserve"> of </w:t>
      </w:r>
      <w:r>
        <w:rPr>
          <w:kern w:val="0"/>
        </w:rPr>
        <w:t xml:space="preserve">vaccine </w:t>
      </w:r>
      <w:r>
        <w:rPr>
          <w:kern w:val="0"/>
        </w:rPr>
        <w:lastRenderedPageBreak/>
        <w:t>efficacy</w:t>
      </w:r>
      <w:r w:rsidR="005853A9">
        <w:rPr>
          <w:kern w:val="0"/>
        </w:rPr>
        <w:t xml:space="preserve"> and </w:t>
      </w:r>
      <w:r>
        <w:rPr>
          <w:kern w:val="0"/>
        </w:rPr>
        <w:t>effectiveness. From RCTs, live vaccines showed an efficacy</w:t>
      </w:r>
      <w:r w:rsidR="00427468">
        <w:rPr>
          <w:kern w:val="0"/>
        </w:rPr>
        <w:t xml:space="preserve"> of </w:t>
      </w:r>
      <w:r>
        <w:rPr>
          <w:kern w:val="0"/>
        </w:rPr>
        <w:t>79 percent (95% confidence interval [CI], 48 to 92)</w:t>
      </w:r>
      <w:r w:rsidR="005853A9">
        <w:rPr>
          <w:kern w:val="0"/>
        </w:rPr>
        <w:t xml:space="preserve"> and </w:t>
      </w:r>
      <w:r>
        <w:rPr>
          <w:kern w:val="0"/>
        </w:rPr>
        <w:t>an effectiveness</w:t>
      </w:r>
      <w:r w:rsidR="00427468">
        <w:rPr>
          <w:kern w:val="0"/>
        </w:rPr>
        <w:t xml:space="preserve"> of </w:t>
      </w:r>
      <w:r>
        <w:rPr>
          <w:kern w:val="0"/>
        </w:rPr>
        <w:t>33 percent (95% Cl, 28 to 38) in children older than two years compared with placebo or no intervention. Inactivated vaccines had a lower efficacy (59 percent; 95% Cl, 41 to 71) than live vaccines but similar effectiveness (36 percent; 95% Cl, 24 to 46). In children younger than two years,</w:t>
      </w:r>
      <w:r w:rsidR="003A1917">
        <w:rPr>
          <w:kern w:val="0"/>
        </w:rPr>
        <w:t xml:space="preserve"> the </w:t>
      </w:r>
      <w:r>
        <w:rPr>
          <w:kern w:val="0"/>
        </w:rPr>
        <w:t>efficacy</w:t>
      </w:r>
      <w:r w:rsidR="00427468">
        <w:rPr>
          <w:kern w:val="0"/>
        </w:rPr>
        <w:t xml:space="preserve"> of </w:t>
      </w:r>
      <w:r>
        <w:rPr>
          <w:kern w:val="0"/>
        </w:rPr>
        <w:t>inactivated vaccine was similar to placebo. Thirty-four reports containing safety outcomes were included: 22</w:t>
      </w:r>
      <w:r w:rsidR="00427468">
        <w:rPr>
          <w:kern w:val="0"/>
        </w:rPr>
        <w:t xml:space="preserve"> of </w:t>
      </w:r>
      <w:r>
        <w:rPr>
          <w:kern w:val="0"/>
        </w:rPr>
        <w:t>live vaccines, eight</w:t>
      </w:r>
      <w:r w:rsidR="00427468">
        <w:rPr>
          <w:kern w:val="0"/>
        </w:rPr>
        <w:t xml:space="preserve"> of </w:t>
      </w:r>
      <w:r>
        <w:rPr>
          <w:kern w:val="0"/>
        </w:rPr>
        <w:t>inactivated vaccines,</w:t>
      </w:r>
      <w:r w:rsidR="005853A9">
        <w:rPr>
          <w:kern w:val="0"/>
        </w:rPr>
        <w:t xml:space="preserve"> and </w:t>
      </w:r>
      <w:r>
        <w:rPr>
          <w:kern w:val="0"/>
        </w:rPr>
        <w:t>four</w:t>
      </w:r>
      <w:r w:rsidR="00427468">
        <w:rPr>
          <w:kern w:val="0"/>
        </w:rPr>
        <w:t xml:space="preserve"> of </w:t>
      </w:r>
      <w:r>
        <w:rPr>
          <w:kern w:val="0"/>
        </w:rPr>
        <w:t>both types</w:t>
      </w:r>
      <w:r w:rsidR="00A37C1D">
        <w:rPr>
          <w:kern w:val="0"/>
        </w:rPr>
        <w:t>. The</w:t>
      </w:r>
      <w:r w:rsidR="003A1917">
        <w:rPr>
          <w:kern w:val="0"/>
        </w:rPr>
        <w:t xml:space="preserve"> </w:t>
      </w:r>
      <w:r>
        <w:rPr>
          <w:kern w:val="0"/>
        </w:rPr>
        <w:t>most commonly presented short-term outcomes were temperature</w:t>
      </w:r>
      <w:r w:rsidR="005853A9">
        <w:rPr>
          <w:kern w:val="0"/>
        </w:rPr>
        <w:t xml:space="preserve"> and </w:t>
      </w:r>
      <w:r>
        <w:rPr>
          <w:kern w:val="0"/>
        </w:rPr>
        <w:t>local reactions</w:t>
      </w:r>
      <w:r w:rsidR="00A37C1D">
        <w:rPr>
          <w:kern w:val="0"/>
        </w:rPr>
        <w:t>. The</w:t>
      </w:r>
      <w:r w:rsidR="003A1917">
        <w:rPr>
          <w:kern w:val="0"/>
        </w:rPr>
        <w:t xml:space="preserve"> </w:t>
      </w:r>
      <w:r>
        <w:rPr>
          <w:kern w:val="0"/>
        </w:rPr>
        <w:t>variability in design</w:t>
      </w:r>
      <w:r w:rsidR="00427468">
        <w:rPr>
          <w:kern w:val="0"/>
        </w:rPr>
        <w:t xml:space="preserve"> of </w:t>
      </w:r>
      <w:r>
        <w:rPr>
          <w:kern w:val="0"/>
        </w:rPr>
        <w:t>studies</w:t>
      </w:r>
      <w:r w:rsidR="005853A9">
        <w:rPr>
          <w:kern w:val="0"/>
        </w:rPr>
        <w:t xml:space="preserve"> and </w:t>
      </w:r>
      <w:r>
        <w:rPr>
          <w:kern w:val="0"/>
        </w:rPr>
        <w:t>presentation</w:t>
      </w:r>
      <w:r w:rsidR="00427468">
        <w:rPr>
          <w:kern w:val="0"/>
        </w:rPr>
        <w:t xml:space="preserve"> of </w:t>
      </w:r>
      <w:r>
        <w:rPr>
          <w:kern w:val="0"/>
        </w:rPr>
        <w:t>data was such that meta-analysis</w:t>
      </w:r>
      <w:r w:rsidR="00427468">
        <w:rPr>
          <w:kern w:val="0"/>
        </w:rPr>
        <w:t xml:space="preserve"> of </w:t>
      </w:r>
      <w:r>
        <w:rPr>
          <w:kern w:val="0"/>
        </w:rPr>
        <w:t>safety outcome data was not feasible. Reviewers</w:t>
      </w:r>
      <w:r w:rsidR="00700038">
        <w:rPr>
          <w:kern w:val="0"/>
        </w:rPr>
        <w:t>’</w:t>
      </w:r>
      <w:r>
        <w:rPr>
          <w:kern w:val="0"/>
        </w:rPr>
        <w:t xml:space="preserve"> Conclusions: Influenza vaccines are efficacious in children older than two years, but little evidence is available for children younger than two years</w:t>
      </w:r>
      <w:r w:rsidR="00A37C1D">
        <w:rPr>
          <w:kern w:val="0"/>
        </w:rPr>
        <w:t>. The</w:t>
      </w:r>
      <w:r>
        <w:rPr>
          <w:kern w:val="0"/>
        </w:rPr>
        <w:t>re was a marked difference between vaccine efficacy</w:t>
      </w:r>
      <w:r w:rsidR="005853A9">
        <w:rPr>
          <w:kern w:val="0"/>
        </w:rPr>
        <w:t xml:space="preserve"> and </w:t>
      </w:r>
      <w:r>
        <w:rPr>
          <w:kern w:val="0"/>
        </w:rPr>
        <w:t>effectiveness. That no safety comparisons could be carried out emphasizes</w:t>
      </w:r>
      <w:r w:rsidR="003A1917">
        <w:rPr>
          <w:kern w:val="0"/>
        </w:rPr>
        <w:t xml:space="preserve"> the </w:t>
      </w:r>
      <w:r>
        <w:rPr>
          <w:kern w:val="0"/>
        </w:rPr>
        <w:t>need for standardization</w:t>
      </w:r>
      <w:r w:rsidR="00427468">
        <w:rPr>
          <w:kern w:val="0"/>
        </w:rPr>
        <w:t xml:space="preserve"> of </w:t>
      </w:r>
      <w:r>
        <w:rPr>
          <w:kern w:val="0"/>
        </w:rPr>
        <w:t>methods</w:t>
      </w:r>
      <w:r w:rsidR="005853A9">
        <w:rPr>
          <w:kern w:val="0"/>
        </w:rPr>
        <w:t xml:space="preserve"> and </w:t>
      </w:r>
      <w:r>
        <w:rPr>
          <w:kern w:val="0"/>
        </w:rPr>
        <w:t>presentation</w:t>
      </w:r>
      <w:r w:rsidR="00427468">
        <w:rPr>
          <w:kern w:val="0"/>
        </w:rPr>
        <w:t xml:space="preserve"> of </w:t>
      </w:r>
      <w:r>
        <w:rPr>
          <w:kern w:val="0"/>
        </w:rPr>
        <w:t>vaccine safety data in future studies. It was surprising to find only one study</w:t>
      </w:r>
      <w:r w:rsidR="00427468">
        <w:rPr>
          <w:kern w:val="0"/>
        </w:rPr>
        <w:t xml:space="preserve"> of </w:t>
      </w:r>
      <w:r>
        <w:rPr>
          <w:kern w:val="0"/>
        </w:rPr>
        <w:t>inactivated vaccine in children younger than two years given recent recommendations to vaccinate healthy children from six months</w:t>
      </w:r>
      <w:r w:rsidR="00427468">
        <w:rPr>
          <w:kern w:val="0"/>
        </w:rPr>
        <w:t xml:space="preserve"> of </w:t>
      </w:r>
      <w:r>
        <w:rPr>
          <w:kern w:val="0"/>
        </w:rPr>
        <w:t>age in</w:t>
      </w:r>
      <w:r w:rsidR="003A1917">
        <w:rPr>
          <w:kern w:val="0"/>
        </w:rPr>
        <w:t xml:space="preserve"> the </w:t>
      </w:r>
      <w:r>
        <w:rPr>
          <w:kern w:val="0"/>
        </w:rPr>
        <w:t>United States</w:t>
      </w:r>
      <w:r w:rsidR="005853A9">
        <w:rPr>
          <w:kern w:val="0"/>
        </w:rPr>
        <w:t xml:space="preserve"> and </w:t>
      </w:r>
      <w:r>
        <w:rPr>
          <w:kern w:val="0"/>
        </w:rPr>
        <w:t>Canada. If immunization in children is to be recommended as public health policy, large-scale studies assessing important outcomes</w:t>
      </w:r>
      <w:r w:rsidR="005853A9">
        <w:rPr>
          <w:kern w:val="0"/>
        </w:rPr>
        <w:t xml:space="preserve"> and </w:t>
      </w:r>
      <w:r>
        <w:rPr>
          <w:kern w:val="0"/>
        </w:rPr>
        <w:t>directly comparing vaccine types are urgently required.</w:t>
      </w:r>
    </w:p>
    <w:p w:rsidR="001F0FAE" w:rsidRDefault="001F0FAE" w:rsidP="001F0FAE">
      <w:pPr>
        <w:pStyle w:val="a3"/>
        <w:rPr>
          <w:kern w:val="0"/>
        </w:rPr>
      </w:pPr>
      <w:r>
        <w:rPr>
          <w:kern w:val="0"/>
        </w:rPr>
        <w:t xml:space="preserve">Keywords: Case-Control, Citation, Cohort, </w:t>
      </w:r>
      <w:r w:rsidR="00D5664A">
        <w:rPr>
          <w:kern w:val="0"/>
        </w:rPr>
        <w:t>MEDLINE</w:t>
      </w:r>
      <w:r>
        <w:rPr>
          <w:kern w:val="0"/>
        </w:rPr>
        <w:t>, Meta-Analysis, Review, Science Citation Index, Temperature</w:t>
      </w:r>
    </w:p>
    <w:p w:rsidR="00DA6CEB" w:rsidRDefault="00DA6CEB" w:rsidP="00DA6CEB">
      <w:pPr>
        <w:pStyle w:val="a3"/>
        <w:rPr>
          <w:kern w:val="0"/>
        </w:rPr>
      </w:pPr>
      <w:r>
        <w:rPr>
          <w:rFonts w:hint="eastAsia"/>
          <w:kern w:val="0"/>
        </w:rPr>
        <w:t xml:space="preserve">? </w:t>
      </w:r>
      <w:r>
        <w:rPr>
          <w:kern w:val="0"/>
        </w:rPr>
        <w:t>Hitzeman, N.</w:t>
      </w:r>
      <w:r w:rsidR="005853A9">
        <w:rPr>
          <w:kern w:val="0"/>
        </w:rPr>
        <w:t xml:space="preserve"> and </w:t>
      </w:r>
      <w:r>
        <w:rPr>
          <w:kern w:val="0"/>
        </w:rPr>
        <w:t xml:space="preserve">Masley, C. (2008), Arthroscopic surgery for knee osteoarthritis. </w:t>
      </w:r>
      <w:r>
        <w:rPr>
          <w:i/>
          <w:iCs/>
          <w:kern w:val="0"/>
        </w:rPr>
        <w:t>American Family Physician</w:t>
      </w:r>
      <w:r>
        <w:rPr>
          <w:kern w:val="0"/>
        </w:rPr>
        <w:t xml:space="preserve">, </w:t>
      </w:r>
      <w:r>
        <w:rPr>
          <w:b/>
          <w:bCs/>
          <w:kern w:val="0"/>
        </w:rPr>
        <w:t>78</w:t>
      </w:r>
      <w:r>
        <w:rPr>
          <w:kern w:val="0"/>
        </w:rPr>
        <w:t xml:space="preserve"> (3), 331-332.</w:t>
      </w:r>
    </w:p>
    <w:p w:rsidR="00DA6CEB" w:rsidRDefault="00DA6CEB" w:rsidP="00DA6CEB">
      <w:pPr>
        <w:pStyle w:val="a3"/>
        <w:rPr>
          <w:kern w:val="0"/>
        </w:rPr>
      </w:pPr>
      <w:r>
        <w:rPr>
          <w:rFonts w:hint="eastAsia"/>
          <w:kern w:val="0"/>
        </w:rPr>
        <w:t xml:space="preserve">Full Text: </w:t>
      </w:r>
      <w:r>
        <w:rPr>
          <w:kern w:val="0"/>
        </w:rPr>
        <w:t>20</w:t>
      </w:r>
      <w:r>
        <w:rPr>
          <w:rFonts w:hint="eastAsia"/>
          <w:kern w:val="0"/>
        </w:rPr>
        <w:t>08</w:t>
      </w:r>
      <w:r>
        <w:rPr>
          <w:kern w:val="0"/>
        </w:rPr>
        <w:t>\Ame Fam Phy</w:t>
      </w:r>
      <w:r>
        <w:rPr>
          <w:rFonts w:hint="eastAsia"/>
          <w:kern w:val="0"/>
        </w:rPr>
        <w:t>78</w:t>
      </w:r>
      <w:r>
        <w:rPr>
          <w:kern w:val="0"/>
        </w:rPr>
        <w:t xml:space="preserve">, </w:t>
      </w:r>
      <w:r>
        <w:rPr>
          <w:rFonts w:hint="eastAsia"/>
          <w:kern w:val="0"/>
        </w:rPr>
        <w:t>331</w:t>
      </w:r>
      <w:r w:rsidRPr="001414E6">
        <w:rPr>
          <w:kern w:val="0"/>
        </w:rPr>
        <w:t>.pdf</w:t>
      </w:r>
    </w:p>
    <w:p w:rsidR="00DA6CEB" w:rsidRDefault="00DA6CEB" w:rsidP="00DA6CEB">
      <w:pPr>
        <w:pStyle w:val="a3"/>
        <w:rPr>
          <w:kern w:val="0"/>
        </w:rPr>
      </w:pPr>
      <w:r>
        <w:rPr>
          <w:kern w:val="0"/>
        </w:rPr>
        <w:t>Abstract: Background: Knee osteoarthritis is a progressive disease that initially affects</w:t>
      </w:r>
      <w:r w:rsidR="003A1917">
        <w:rPr>
          <w:kern w:val="0"/>
        </w:rPr>
        <w:t xml:space="preserve"> the </w:t>
      </w:r>
      <w:r>
        <w:rPr>
          <w:kern w:val="0"/>
        </w:rPr>
        <w:t>articular cartilage. Observational studies have shown benefits for arthroscopic debridement on</w:t>
      </w:r>
      <w:r w:rsidR="003A1917">
        <w:rPr>
          <w:kern w:val="0"/>
        </w:rPr>
        <w:t xml:space="preserve"> the </w:t>
      </w:r>
      <w:r>
        <w:rPr>
          <w:kern w:val="0"/>
        </w:rPr>
        <w:t>osteoarthritic knee, but other recent studies have yielded conflicting results that suggest arthroscopic debridement may not be effective. Objectives: To identify</w:t>
      </w:r>
      <w:r w:rsidR="003A1917">
        <w:rPr>
          <w:kern w:val="0"/>
        </w:rPr>
        <w:t xml:space="preserve"> the </w:t>
      </w:r>
      <w:r>
        <w:rPr>
          <w:kern w:val="0"/>
        </w:rPr>
        <w:t>effectiveness</w:t>
      </w:r>
      <w:r w:rsidR="00427468">
        <w:rPr>
          <w:kern w:val="0"/>
        </w:rPr>
        <w:t xml:space="preserve"> of </w:t>
      </w:r>
      <w:r>
        <w:rPr>
          <w:kern w:val="0"/>
        </w:rPr>
        <w:t>arthroscopic debridement in knee osteoarthritis on pain</w:t>
      </w:r>
      <w:r w:rsidR="005853A9">
        <w:rPr>
          <w:kern w:val="0"/>
        </w:rPr>
        <w:t xml:space="preserve"> and </w:t>
      </w:r>
      <w:r>
        <w:rPr>
          <w:kern w:val="0"/>
        </w:rPr>
        <w:t>function. Search Strategy:</w:t>
      </w:r>
      <w:r w:rsidR="003A1917">
        <w:rPr>
          <w:kern w:val="0"/>
        </w:rPr>
        <w:t xml:space="preserve"> the </w:t>
      </w:r>
      <w:r>
        <w:rPr>
          <w:kern w:val="0"/>
        </w:rPr>
        <w:t>authors searched</w:t>
      </w:r>
      <w:r w:rsidR="003A1917">
        <w:rPr>
          <w:kern w:val="0"/>
        </w:rPr>
        <w:t xml:space="preserve"> the </w:t>
      </w:r>
      <w:r>
        <w:rPr>
          <w:kern w:val="0"/>
        </w:rPr>
        <w:t>Cochrane Central Register</w:t>
      </w:r>
      <w:r w:rsidR="00427468">
        <w:rPr>
          <w:kern w:val="0"/>
        </w:rPr>
        <w:t xml:space="preserve"> of </w:t>
      </w:r>
      <w:r>
        <w:rPr>
          <w:kern w:val="0"/>
        </w:rPr>
        <w:t xml:space="preserve">Controlled Trials (The Cochrane Library Issue 2, 2006), </w:t>
      </w:r>
      <w:r w:rsidR="00D5664A">
        <w:rPr>
          <w:kern w:val="0"/>
        </w:rPr>
        <w:t>MEDLINE</w:t>
      </w:r>
      <w:r>
        <w:rPr>
          <w:kern w:val="0"/>
        </w:rPr>
        <w:t xml:space="preserve"> (1966 to August 2006), CINAHL (1982 to 2006), EMBASE (1988 to 2006),</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(1900 to 2006),</w:t>
      </w:r>
      <w:r w:rsidR="005853A9">
        <w:rPr>
          <w:kern w:val="0"/>
        </w:rPr>
        <w:t xml:space="preserve"> and </w:t>
      </w:r>
      <w:r>
        <w:rPr>
          <w:kern w:val="0"/>
        </w:rPr>
        <w:t>screened</w:t>
      </w:r>
      <w:r w:rsidR="003A1917">
        <w:rPr>
          <w:kern w:val="0"/>
        </w:rPr>
        <w:t xml:space="preserve"> the </w:t>
      </w:r>
      <w:r>
        <w:rPr>
          <w:kern w:val="0"/>
        </w:rPr>
        <w:t>bibliographies, reference lists,</w:t>
      </w:r>
      <w:r w:rsidR="005853A9">
        <w:rPr>
          <w:kern w:val="0"/>
        </w:rPr>
        <w:t xml:space="preserve"> and </w:t>
      </w:r>
      <w:r>
        <w:rPr>
          <w:kern w:val="0"/>
        </w:rPr>
        <w:t>cited Web sites</w:t>
      </w:r>
      <w:r w:rsidR="00427468">
        <w:rPr>
          <w:kern w:val="0"/>
        </w:rPr>
        <w:t xml:space="preserve"> of </w:t>
      </w:r>
      <w:r>
        <w:rPr>
          <w:kern w:val="0"/>
        </w:rPr>
        <w:t>papers. Selection Criteria:</w:t>
      </w:r>
      <w:r w:rsidR="003A1917">
        <w:rPr>
          <w:rFonts w:hint="eastAsia"/>
          <w:kern w:val="0"/>
        </w:rPr>
        <w:t xml:space="preserve"> the </w:t>
      </w:r>
      <w:r>
        <w:rPr>
          <w:kern w:val="0"/>
        </w:rPr>
        <w:t>authors included randomized controlled trials (RCTs) or controlled clinical trials assessing effectiveness</w:t>
      </w:r>
      <w:r w:rsidR="00427468">
        <w:rPr>
          <w:kern w:val="0"/>
        </w:rPr>
        <w:t xml:space="preserve"> of </w:t>
      </w:r>
      <w:r>
        <w:rPr>
          <w:kern w:val="0"/>
        </w:rPr>
        <w:t>arthroscopic debridement compared with another surgical procedure (including sham or placebo surgery</w:t>
      </w:r>
      <w:r w:rsidR="005853A9">
        <w:rPr>
          <w:kern w:val="0"/>
        </w:rPr>
        <w:t xml:space="preserve"> and </w:t>
      </w:r>
      <w:r>
        <w:rPr>
          <w:kern w:val="0"/>
        </w:rPr>
        <w:t xml:space="preserve">other nonsurgical interventions) in patients </w:t>
      </w:r>
      <w:r>
        <w:rPr>
          <w:kern w:val="0"/>
        </w:rPr>
        <w:lastRenderedPageBreak/>
        <w:t>with a diagnosis</w:t>
      </w:r>
      <w:r w:rsidR="00427468">
        <w:rPr>
          <w:kern w:val="0"/>
        </w:rPr>
        <w:t xml:space="preserve"> of </w:t>
      </w:r>
      <w:r>
        <w:rPr>
          <w:kern w:val="0"/>
        </w:rPr>
        <w:t>primary or secondary osteoarthritis</w:t>
      </w:r>
      <w:r w:rsidR="00427468">
        <w:rPr>
          <w:kern w:val="0"/>
        </w:rPr>
        <w:t xml:space="preserve"> of </w:t>
      </w:r>
      <w:r w:rsidR="003A1917">
        <w:rPr>
          <w:kern w:val="0"/>
        </w:rPr>
        <w:t xml:space="preserve">the </w:t>
      </w:r>
      <w:r>
        <w:rPr>
          <w:kern w:val="0"/>
        </w:rPr>
        <w:t>knee who did not have other joint involvement or conditions requiring long-term use</w:t>
      </w:r>
      <w:r w:rsidR="00427468">
        <w:rPr>
          <w:kern w:val="0"/>
        </w:rPr>
        <w:t xml:space="preserve"> of </w:t>
      </w:r>
      <w:r>
        <w:rPr>
          <w:kern w:val="0"/>
        </w:rPr>
        <w:t>nonsteroidal anti-inflammatory drugs</w:t>
      </w:r>
      <w:r w:rsidR="00A37C1D">
        <w:rPr>
          <w:kern w:val="0"/>
        </w:rPr>
        <w:t>. The</w:t>
      </w:r>
      <w:r w:rsidR="003A1917">
        <w:rPr>
          <w:kern w:val="0"/>
        </w:rPr>
        <w:t xml:space="preserve"> </w:t>
      </w:r>
      <w:r>
        <w:rPr>
          <w:kern w:val="0"/>
        </w:rPr>
        <w:t>main outcomes were pain relief</w:t>
      </w:r>
      <w:r w:rsidR="005853A9">
        <w:rPr>
          <w:kern w:val="0"/>
        </w:rPr>
        <w:t xml:space="preserve"> and </w:t>
      </w:r>
      <w:r>
        <w:rPr>
          <w:kern w:val="0"/>
        </w:rPr>
        <w:t>improved function</w:t>
      </w:r>
      <w:r w:rsidR="00427468">
        <w:rPr>
          <w:kern w:val="0"/>
        </w:rPr>
        <w:t xml:space="preserve"> of </w:t>
      </w:r>
      <w:r w:rsidR="003A1917">
        <w:rPr>
          <w:kern w:val="0"/>
        </w:rPr>
        <w:t xml:space="preserve">the </w:t>
      </w:r>
      <w:r>
        <w:rPr>
          <w:kern w:val="0"/>
        </w:rPr>
        <w:t>knee. Data Collection</w:t>
      </w:r>
      <w:r w:rsidR="005853A9">
        <w:rPr>
          <w:kern w:val="0"/>
        </w:rPr>
        <w:t xml:space="preserve"> and </w:t>
      </w:r>
      <w:r>
        <w:rPr>
          <w:kern w:val="0"/>
        </w:rPr>
        <w:t>Analysis: Two review authors independently selected trials for inclusion, assessed trial quality,</w:t>
      </w:r>
      <w:r w:rsidR="005853A9">
        <w:rPr>
          <w:kern w:val="0"/>
        </w:rPr>
        <w:t xml:space="preserve"> and </w:t>
      </w:r>
      <w:r>
        <w:rPr>
          <w:kern w:val="0"/>
        </w:rPr>
        <w:t>extracted</w:t>
      </w:r>
      <w:r w:rsidR="003A1917">
        <w:rPr>
          <w:kern w:val="0"/>
        </w:rPr>
        <w:t xml:space="preserve"> the </w:t>
      </w:r>
      <w:r>
        <w:rPr>
          <w:kern w:val="0"/>
        </w:rPr>
        <w:t>data. Results are presented using weighted mean difference for continuous data</w:t>
      </w:r>
      <w:r w:rsidR="005853A9">
        <w:rPr>
          <w:kern w:val="0"/>
        </w:rPr>
        <w:t xml:space="preserve"> and </w:t>
      </w:r>
      <w:r>
        <w:rPr>
          <w:kern w:val="0"/>
        </w:rPr>
        <w:t>relative risk for dichotomous data, as well as</w:t>
      </w:r>
      <w:r w:rsidR="003A1917">
        <w:rPr>
          <w:kern w:val="0"/>
        </w:rPr>
        <w:t xml:space="preserve"> the </w:t>
      </w:r>
      <w:r>
        <w:rPr>
          <w:kern w:val="0"/>
        </w:rPr>
        <w:t>number needed to treat (NNT)</w:t>
      </w:r>
      <w:r w:rsidR="005853A9">
        <w:rPr>
          <w:kern w:val="0"/>
        </w:rPr>
        <w:t xml:space="preserve"> and </w:t>
      </w:r>
      <w:r w:rsidR="003A1917">
        <w:rPr>
          <w:kern w:val="0"/>
        </w:rPr>
        <w:t xml:space="preserve">the </w:t>
      </w:r>
      <w:r>
        <w:rPr>
          <w:kern w:val="0"/>
        </w:rPr>
        <w:t>number needed to harm (NNH). Main Results: Three RCTs, with a total</w:t>
      </w:r>
      <w:r w:rsidR="00427468">
        <w:rPr>
          <w:kern w:val="0"/>
        </w:rPr>
        <w:t xml:space="preserve"> of </w:t>
      </w:r>
      <w:r>
        <w:rPr>
          <w:kern w:val="0"/>
        </w:rPr>
        <w:t>271 patients, were included</w:t>
      </w:r>
      <w:r w:rsidR="00A37C1D">
        <w:rPr>
          <w:kern w:val="0"/>
        </w:rPr>
        <w:t>. The</w:t>
      </w:r>
      <w:r>
        <w:rPr>
          <w:kern w:val="0"/>
        </w:rPr>
        <w:t>y had different comparison groups</w:t>
      </w:r>
      <w:r w:rsidR="005853A9">
        <w:rPr>
          <w:kern w:val="0"/>
        </w:rPr>
        <w:t xml:space="preserve"> and </w:t>
      </w:r>
      <w:r>
        <w:rPr>
          <w:kern w:val="0"/>
        </w:rPr>
        <w:t>a moderate risk</w:t>
      </w:r>
      <w:r w:rsidR="00427468">
        <w:rPr>
          <w:kern w:val="0"/>
        </w:rPr>
        <w:t xml:space="preserve"> of </w:t>
      </w:r>
      <w:r>
        <w:rPr>
          <w:kern w:val="0"/>
        </w:rPr>
        <w:t>bias. One study compared arthroscopic debridement with lavage</w:t>
      </w:r>
      <w:r w:rsidR="005853A9">
        <w:rPr>
          <w:kern w:val="0"/>
        </w:rPr>
        <w:t xml:space="preserve"> and </w:t>
      </w:r>
      <w:r>
        <w:rPr>
          <w:kern w:val="0"/>
        </w:rPr>
        <w:t>with sham surgery</w:t>
      </w:r>
      <w:r w:rsidR="00A37C1D">
        <w:rPr>
          <w:kern w:val="0"/>
        </w:rPr>
        <w:t>. The</w:t>
      </w:r>
      <w:r w:rsidR="003A1917">
        <w:rPr>
          <w:kern w:val="0"/>
        </w:rPr>
        <w:t xml:space="preserve"> </w:t>
      </w:r>
      <w:r>
        <w:rPr>
          <w:kern w:val="0"/>
        </w:rPr>
        <w:t>study found no significant difference when compared with lavage. Compared with sham surgery,</w:t>
      </w:r>
      <w:r w:rsidR="003A1917">
        <w:rPr>
          <w:kern w:val="0"/>
        </w:rPr>
        <w:t xml:space="preserve"> the </w:t>
      </w:r>
      <w:r>
        <w:rPr>
          <w:kern w:val="0"/>
        </w:rPr>
        <w:t>study found worse outcomes for arthroscopic debridement at two weeks (weighted mean difference for pain = 8.7; 95% confidence interval [CI], 1.7 to 15.8; function = 7.7; 95% Cl, 1.1 to 14.3; NNH = 5)</w:t>
      </w:r>
      <w:r w:rsidR="005853A9">
        <w:rPr>
          <w:kern w:val="0"/>
        </w:rPr>
        <w:t xml:space="preserve"> and </w:t>
      </w:r>
      <w:r>
        <w:rPr>
          <w:kern w:val="0"/>
        </w:rPr>
        <w:t>no significant difference at two years</w:t>
      </w:r>
      <w:r w:rsidR="00A37C1D">
        <w:rPr>
          <w:kern w:val="0"/>
        </w:rPr>
        <w:t>. The</w:t>
      </w:r>
      <w:r w:rsidR="003A1917">
        <w:rPr>
          <w:kern w:val="0"/>
        </w:rPr>
        <w:t xml:space="preserve"> </w:t>
      </w:r>
      <w:r>
        <w:rPr>
          <w:kern w:val="0"/>
        </w:rPr>
        <w:t>second trial, at higher risk</w:t>
      </w:r>
      <w:r w:rsidR="00427468">
        <w:rPr>
          <w:kern w:val="0"/>
        </w:rPr>
        <w:t xml:space="preserve"> of </w:t>
      </w:r>
      <w:r>
        <w:rPr>
          <w:kern w:val="0"/>
        </w:rPr>
        <w:t>bias, compared arthroscopic debridement with arthroscopic washout</w:t>
      </w:r>
      <w:r w:rsidR="005853A9">
        <w:rPr>
          <w:kern w:val="0"/>
        </w:rPr>
        <w:t xml:space="preserve"> and </w:t>
      </w:r>
      <w:r>
        <w:rPr>
          <w:kern w:val="0"/>
        </w:rPr>
        <w:t>found that arthroscopic debridement significantly reduced knee pain compared with washout at five years (relative risk = 5.5; 95% Cl, 1.7 to 15.5; NNT = 3)</w:t>
      </w:r>
      <w:r w:rsidR="00A37C1D">
        <w:rPr>
          <w:kern w:val="0"/>
        </w:rPr>
        <w:t>. The</w:t>
      </w:r>
      <w:r w:rsidR="003A1917">
        <w:rPr>
          <w:kern w:val="0"/>
        </w:rPr>
        <w:t xml:space="preserve"> </w:t>
      </w:r>
      <w:r>
        <w:rPr>
          <w:kern w:val="0"/>
        </w:rPr>
        <w:t>third trial, also at higher risk</w:t>
      </w:r>
      <w:r w:rsidR="00427468">
        <w:rPr>
          <w:kern w:val="0"/>
        </w:rPr>
        <w:t xml:space="preserve"> of </w:t>
      </w:r>
      <w:r>
        <w:rPr>
          <w:kern w:val="0"/>
        </w:rPr>
        <w:t>bias, compared arthroscopic debridement with closed-needle lavage</w:t>
      </w:r>
      <w:r w:rsidR="005853A9">
        <w:rPr>
          <w:kern w:val="0"/>
        </w:rPr>
        <w:t xml:space="preserve"> and </w:t>
      </w:r>
      <w:r>
        <w:rPr>
          <w:kern w:val="0"/>
        </w:rPr>
        <w:t>found no significant difference. Authors</w:t>
      </w:r>
      <w:r w:rsidR="00700038">
        <w:rPr>
          <w:kern w:val="0"/>
        </w:rPr>
        <w:t>’</w:t>
      </w:r>
      <w:r>
        <w:rPr>
          <w:kern w:val="0"/>
        </w:rPr>
        <w:t xml:space="preserve"> Conclusions: There is high-quality evidence that arthroscopic debridement has no benefit for typical osteoarthritis</w:t>
      </w:r>
      <w:r w:rsidR="00427468">
        <w:rPr>
          <w:kern w:val="0"/>
        </w:rPr>
        <w:t xml:space="preserve"> of </w:t>
      </w:r>
      <w:r w:rsidR="003A1917">
        <w:rPr>
          <w:kern w:val="0"/>
        </w:rPr>
        <w:t xml:space="preserve">the </w:t>
      </w:r>
      <w:r>
        <w:rPr>
          <w:kern w:val="0"/>
        </w:rPr>
        <w:t>knee (mechanical or inflammatory causes).</w:t>
      </w:r>
    </w:p>
    <w:p w:rsidR="00DA6CEB" w:rsidRDefault="00DA6CEB" w:rsidP="00DA6CEB">
      <w:pPr>
        <w:pStyle w:val="a3"/>
        <w:rPr>
          <w:kern w:val="0"/>
        </w:rPr>
      </w:pPr>
      <w:r>
        <w:rPr>
          <w:kern w:val="0"/>
        </w:rPr>
        <w:t xml:space="preserve">Keywords: Authors, Bias, Clinical Trials, Cochrane, Controlled Clinical Trials, Diagnosis, Disease, Effectiveness, EMBASE, Interventions, Involvement, Outcomes, Pain, Papers, Primary, Randomized Controlled Trials, Relative Risk, Review, Risk, Science, Surgery, Surgical, </w:t>
      </w:r>
      <w:r w:rsidR="00D5664A">
        <w:rPr>
          <w:kern w:val="0"/>
        </w:rPr>
        <w:t>Web</w:t>
      </w:r>
      <w:r w:rsidR="00427468">
        <w:rPr>
          <w:kern w:val="0"/>
        </w:rPr>
        <w:t xml:space="preserve"> of </w:t>
      </w:r>
      <w:r w:rsidR="00D5664A">
        <w:rPr>
          <w:kern w:val="0"/>
        </w:rPr>
        <w:t>Science</w:t>
      </w:r>
    </w:p>
    <w:p w:rsidR="00F15958" w:rsidRDefault="00F15958" w:rsidP="00F15958">
      <w:pPr>
        <w:pStyle w:val="a3"/>
        <w:rPr>
          <w:kern w:val="0"/>
        </w:rPr>
      </w:pPr>
      <w:r>
        <w:rPr>
          <w:rFonts w:hint="eastAsia"/>
          <w:kern w:val="0"/>
        </w:rPr>
        <w:t xml:space="preserve">? </w:t>
      </w:r>
      <w:r>
        <w:rPr>
          <w:kern w:val="0"/>
        </w:rPr>
        <w:t>Hitzeman, N.</w:t>
      </w:r>
      <w:r w:rsidR="005853A9">
        <w:rPr>
          <w:kern w:val="0"/>
        </w:rPr>
        <w:t xml:space="preserve"> and </w:t>
      </w:r>
      <w:r>
        <w:rPr>
          <w:kern w:val="0"/>
        </w:rPr>
        <w:t>Dyer, A. (2010), Influenza vaccination</w:t>
      </w:r>
      <w:r w:rsidR="00427468">
        <w:rPr>
          <w:kern w:val="0"/>
        </w:rPr>
        <w:t xml:space="preserve"> of </w:t>
      </w:r>
      <w:r>
        <w:rPr>
          <w:kern w:val="0"/>
        </w:rPr>
        <w:t xml:space="preserve">health care personnel working with older patients. </w:t>
      </w:r>
      <w:r>
        <w:rPr>
          <w:i/>
          <w:iCs/>
          <w:kern w:val="0"/>
        </w:rPr>
        <w:t>American Family Physician</w:t>
      </w:r>
      <w:r>
        <w:rPr>
          <w:kern w:val="0"/>
        </w:rPr>
        <w:t xml:space="preserve">, </w:t>
      </w:r>
      <w:r>
        <w:rPr>
          <w:b/>
          <w:bCs/>
          <w:kern w:val="0"/>
        </w:rPr>
        <w:t>82</w:t>
      </w:r>
      <w:r>
        <w:rPr>
          <w:kern w:val="0"/>
        </w:rPr>
        <w:t xml:space="preserve"> (7), 763-764.</w:t>
      </w:r>
    </w:p>
    <w:p w:rsidR="00615E1F" w:rsidRDefault="00615E1F" w:rsidP="00615E1F">
      <w:pPr>
        <w:pStyle w:val="a3"/>
        <w:rPr>
          <w:kern w:val="0"/>
        </w:rPr>
      </w:pPr>
      <w:r>
        <w:rPr>
          <w:rFonts w:hint="eastAsia"/>
          <w:kern w:val="0"/>
        </w:rPr>
        <w:t xml:space="preserve">Full Text: </w:t>
      </w:r>
      <w:hyperlink r:id="rId400" w:history="1">
        <w:r w:rsidRPr="009F2FB4">
          <w:rPr>
            <w:rStyle w:val="a5"/>
            <w:kern w:val="0"/>
          </w:rPr>
          <w:t>2010\Ame Fam Phy82, 763.pdf</w:t>
        </w:r>
      </w:hyperlink>
    </w:p>
    <w:p w:rsidR="00F15958" w:rsidRDefault="00F15958" w:rsidP="00F15958">
      <w:pPr>
        <w:pStyle w:val="a3"/>
        <w:rPr>
          <w:kern w:val="0"/>
        </w:rPr>
      </w:pPr>
      <w:r>
        <w:rPr>
          <w:kern w:val="0"/>
        </w:rPr>
        <w:t>Abstract: Background: Health care personnel influenza rates are unknown, but may be similar to</w:t>
      </w:r>
      <w:r w:rsidR="003A1917">
        <w:rPr>
          <w:kern w:val="0"/>
        </w:rPr>
        <w:t xml:space="preserve"> the </w:t>
      </w:r>
      <w:r>
        <w:rPr>
          <w:kern w:val="0"/>
        </w:rPr>
        <w:t>general public</w:t>
      </w:r>
      <w:r w:rsidR="005853A9">
        <w:rPr>
          <w:kern w:val="0"/>
        </w:rPr>
        <w:t xml:space="preserve"> and </w:t>
      </w:r>
      <w:r>
        <w:rPr>
          <w:kern w:val="0"/>
        </w:rPr>
        <w:t>they may transmit influenza to patients. Objectives: To identify studies</w:t>
      </w:r>
      <w:r w:rsidR="00427468">
        <w:rPr>
          <w:kern w:val="0"/>
        </w:rPr>
        <w:t xml:space="preserve"> of </w:t>
      </w:r>
      <w:r>
        <w:rPr>
          <w:kern w:val="0"/>
        </w:rPr>
        <w:t>vaccinating personnel</w:t>
      </w:r>
      <w:r w:rsidR="005853A9">
        <w:rPr>
          <w:kern w:val="0"/>
        </w:rPr>
        <w:t xml:space="preserve"> and </w:t>
      </w:r>
      <w:r w:rsidR="003A1917">
        <w:rPr>
          <w:kern w:val="0"/>
        </w:rPr>
        <w:t xml:space="preserve">the </w:t>
      </w:r>
      <w:r>
        <w:rPr>
          <w:kern w:val="0"/>
        </w:rPr>
        <w:t>incidence</w:t>
      </w:r>
      <w:r w:rsidR="00427468">
        <w:rPr>
          <w:kern w:val="0"/>
        </w:rPr>
        <w:t xml:space="preserve"> of </w:t>
      </w:r>
      <w:r>
        <w:rPr>
          <w:kern w:val="0"/>
        </w:rPr>
        <w:t>influenza, its complications,</w:t>
      </w:r>
      <w:r w:rsidR="005853A9">
        <w:rPr>
          <w:kern w:val="0"/>
        </w:rPr>
        <w:t xml:space="preserve"> and </w:t>
      </w:r>
      <w:r>
        <w:rPr>
          <w:kern w:val="0"/>
        </w:rPr>
        <w:t>influenza-like illness in patients 60 years</w:t>
      </w:r>
      <w:r w:rsidR="005853A9">
        <w:rPr>
          <w:kern w:val="0"/>
        </w:rPr>
        <w:t xml:space="preserve"> and </w:t>
      </w:r>
      <w:r>
        <w:rPr>
          <w:kern w:val="0"/>
        </w:rPr>
        <w:t>older in long-term care facilities. Search Strategy: We searched CENTRAL (The Cochrane Library 2009, issue 3), which contains</w:t>
      </w:r>
      <w:r w:rsidR="003A1917">
        <w:rPr>
          <w:kern w:val="0"/>
        </w:rPr>
        <w:t xml:space="preserve"> the </w:t>
      </w:r>
      <w:r>
        <w:rPr>
          <w:kern w:val="0"/>
        </w:rPr>
        <w:t>Cochrane Acute Respiratory Infections Group</w:t>
      </w:r>
      <w:r w:rsidR="00700038">
        <w:rPr>
          <w:kern w:val="0"/>
        </w:rPr>
        <w:t>’</w:t>
      </w:r>
      <w:r w:rsidR="00C13DDC">
        <w:rPr>
          <w:kern w:val="0"/>
        </w:rPr>
        <w:t>s</w:t>
      </w:r>
      <w:r>
        <w:rPr>
          <w:kern w:val="0"/>
        </w:rPr>
        <w:t xml:space="preserve"> Specialised Register, </w:t>
      </w:r>
      <w:r w:rsidR="00D5664A">
        <w:rPr>
          <w:kern w:val="0"/>
        </w:rPr>
        <w:t>MEDLINE</w:t>
      </w:r>
      <w:r>
        <w:rPr>
          <w:kern w:val="0"/>
        </w:rPr>
        <w:t xml:space="preserve"> (1966 to 2009), EMBASE (1974 to 2009),</w:t>
      </w:r>
      <w:r w:rsidR="005853A9">
        <w:rPr>
          <w:kern w:val="0"/>
        </w:rPr>
        <w:t xml:space="preserve"> and </w:t>
      </w:r>
      <w:r>
        <w:rPr>
          <w:kern w:val="0"/>
        </w:rPr>
        <w:t>Biological Abstracts</w:t>
      </w:r>
      <w:r w:rsidR="005853A9">
        <w:rPr>
          <w:kern w:val="0"/>
        </w:rPr>
        <w:t xml:space="preserve"> and </w:t>
      </w:r>
      <w:r>
        <w:rPr>
          <w:kern w:val="0"/>
        </w:rPr>
        <w:t>Science Citation Index-Expanded. Selection Criteria: Randomized controlled trials (RCTs)</w:t>
      </w:r>
      <w:r w:rsidR="005853A9">
        <w:rPr>
          <w:kern w:val="0"/>
        </w:rPr>
        <w:t xml:space="preserve"> and </w:t>
      </w:r>
      <w:r>
        <w:rPr>
          <w:kern w:val="0"/>
        </w:rPr>
        <w:t>non-RCTs</w:t>
      </w:r>
      <w:r w:rsidR="00427468">
        <w:rPr>
          <w:kern w:val="0"/>
        </w:rPr>
        <w:t xml:space="preserve"> of </w:t>
      </w:r>
      <w:r>
        <w:rPr>
          <w:kern w:val="0"/>
        </w:rPr>
        <w:t>influenza vaccination</w:t>
      </w:r>
      <w:r w:rsidR="00427468">
        <w:rPr>
          <w:kern w:val="0"/>
        </w:rPr>
        <w:t xml:space="preserve"> of </w:t>
      </w:r>
      <w:r>
        <w:rPr>
          <w:kern w:val="0"/>
        </w:rPr>
        <w:t>personnel caring for patients 60 years</w:t>
      </w:r>
      <w:r w:rsidR="005853A9">
        <w:rPr>
          <w:kern w:val="0"/>
        </w:rPr>
        <w:t xml:space="preserve"> and </w:t>
      </w:r>
      <w:r>
        <w:rPr>
          <w:kern w:val="0"/>
        </w:rPr>
        <w:t>older in long-term care facilities</w:t>
      </w:r>
      <w:r w:rsidR="005853A9">
        <w:rPr>
          <w:kern w:val="0"/>
        </w:rPr>
        <w:t xml:space="preserve"> and </w:t>
      </w:r>
      <w:r w:rsidR="003A1917">
        <w:rPr>
          <w:kern w:val="0"/>
        </w:rPr>
        <w:t xml:space="preserve">the </w:t>
      </w:r>
      <w:r>
        <w:rPr>
          <w:kern w:val="0"/>
        </w:rPr>
        <w:lastRenderedPageBreak/>
        <w:t>incidence</w:t>
      </w:r>
      <w:r w:rsidR="00427468">
        <w:rPr>
          <w:kern w:val="0"/>
        </w:rPr>
        <w:t xml:space="preserve"> of </w:t>
      </w:r>
      <w:r>
        <w:rPr>
          <w:kern w:val="0"/>
        </w:rPr>
        <w:t>laboratory-proven influenza, its complications, or influenza-like illness. Data Collection</w:t>
      </w:r>
      <w:r w:rsidR="005853A9">
        <w:rPr>
          <w:kern w:val="0"/>
        </w:rPr>
        <w:t xml:space="preserve"> and </w:t>
      </w:r>
      <w:r>
        <w:rPr>
          <w:kern w:val="0"/>
        </w:rPr>
        <w:t>Analysis: Two authors independently extracted data</w:t>
      </w:r>
      <w:r w:rsidR="005853A9">
        <w:rPr>
          <w:kern w:val="0"/>
        </w:rPr>
        <w:t xml:space="preserve"> and </w:t>
      </w:r>
      <w:r>
        <w:rPr>
          <w:kern w:val="0"/>
        </w:rPr>
        <w:t>assessed risk</w:t>
      </w:r>
      <w:r w:rsidR="00427468">
        <w:rPr>
          <w:kern w:val="0"/>
        </w:rPr>
        <w:t xml:space="preserve"> of </w:t>
      </w:r>
      <w:r>
        <w:rPr>
          <w:kern w:val="0"/>
        </w:rPr>
        <w:t>bias. Main Results: We identified four cluster-RCTs (C-RCTs; n = 7,558)</w:t>
      </w:r>
      <w:r w:rsidR="005853A9">
        <w:rPr>
          <w:kern w:val="0"/>
        </w:rPr>
        <w:t xml:space="preserve"> and </w:t>
      </w:r>
      <w:r>
        <w:rPr>
          <w:kern w:val="0"/>
        </w:rPr>
        <w:t>one cohort (n = 12,742)</w:t>
      </w:r>
      <w:r w:rsidR="00427468">
        <w:rPr>
          <w:kern w:val="0"/>
        </w:rPr>
        <w:t xml:space="preserve"> of </w:t>
      </w:r>
      <w:r>
        <w:rPr>
          <w:kern w:val="0"/>
        </w:rPr>
        <w:t>influenza vaccination for personnel caring for patients 60 years</w:t>
      </w:r>
      <w:r w:rsidR="005853A9">
        <w:rPr>
          <w:kern w:val="0"/>
        </w:rPr>
        <w:t xml:space="preserve"> and </w:t>
      </w:r>
      <w:r>
        <w:rPr>
          <w:kern w:val="0"/>
        </w:rPr>
        <w:t>older in long-term care facilities. Pooled data from three C-RCTs showed no effect on specific outcomes: laboratory-proven influenza, pneumonia, or deaths from pneumonia. For nonspecific outcomes, pooled data from three C-RCTs showed personnel vaccination reduced influenza-like illness; data from one C-RCT showed that personnel vaccination reduced primary care consultations for influenza-like illness;</w:t>
      </w:r>
      <w:r w:rsidR="005853A9">
        <w:rPr>
          <w:kern w:val="0"/>
        </w:rPr>
        <w:t xml:space="preserve"> and </w:t>
      </w:r>
      <w:r>
        <w:rPr>
          <w:kern w:val="0"/>
        </w:rPr>
        <w:t>pooled data from three C-RCTs showed reduced all-cause mortality in patients 60 years</w:t>
      </w:r>
      <w:r w:rsidR="005853A9">
        <w:rPr>
          <w:kern w:val="0"/>
        </w:rPr>
        <w:t xml:space="preserve"> and </w:t>
      </w:r>
      <w:r>
        <w:rPr>
          <w:kern w:val="0"/>
        </w:rPr>
        <w:t>older. Authors</w:t>
      </w:r>
      <w:r w:rsidR="00700038">
        <w:rPr>
          <w:kern w:val="0"/>
        </w:rPr>
        <w:t>’</w:t>
      </w:r>
      <w:r>
        <w:rPr>
          <w:kern w:val="0"/>
        </w:rPr>
        <w:t xml:space="preserve"> Conclusions: No effect was shown for specific outcomes: laboratory-proven influenza, pneumonia,</w:t>
      </w:r>
      <w:r w:rsidR="005853A9">
        <w:rPr>
          <w:kern w:val="0"/>
        </w:rPr>
        <w:t xml:space="preserve"> and </w:t>
      </w:r>
      <w:r>
        <w:rPr>
          <w:kern w:val="0"/>
        </w:rPr>
        <w:t>death from pneumonia. An effect was shown for</w:t>
      </w:r>
      <w:r w:rsidR="003A1917">
        <w:rPr>
          <w:kern w:val="0"/>
        </w:rPr>
        <w:t xml:space="preserve"> the </w:t>
      </w:r>
      <w:r>
        <w:rPr>
          <w:kern w:val="0"/>
        </w:rPr>
        <w:t>nonspecific outcomes</w:t>
      </w:r>
      <w:r w:rsidR="00427468">
        <w:rPr>
          <w:kern w:val="0"/>
        </w:rPr>
        <w:t xml:space="preserve"> of </w:t>
      </w:r>
      <w:r>
        <w:rPr>
          <w:kern w:val="0"/>
        </w:rPr>
        <w:t>influenza-like illness, primary care consultations for influenza-like illness,</w:t>
      </w:r>
      <w:r w:rsidR="005853A9">
        <w:rPr>
          <w:kern w:val="0"/>
        </w:rPr>
        <w:t xml:space="preserve"> and </w:t>
      </w:r>
      <w:r>
        <w:rPr>
          <w:kern w:val="0"/>
        </w:rPr>
        <w:t>all-cause mortality in patients 60 years</w:t>
      </w:r>
      <w:r w:rsidR="005853A9">
        <w:rPr>
          <w:kern w:val="0"/>
        </w:rPr>
        <w:t xml:space="preserve"> and </w:t>
      </w:r>
      <w:r>
        <w:rPr>
          <w:kern w:val="0"/>
        </w:rPr>
        <w:t>older</w:t>
      </w:r>
      <w:r w:rsidR="00A37C1D">
        <w:rPr>
          <w:kern w:val="0"/>
        </w:rPr>
        <w:t>. The</w:t>
      </w:r>
      <w:r>
        <w:rPr>
          <w:kern w:val="0"/>
        </w:rPr>
        <w:t>se nonspecific outcomes are difficult to interpret because influenza-like illness includes many pathogens,</w:t>
      </w:r>
      <w:r w:rsidR="005853A9">
        <w:rPr>
          <w:kern w:val="0"/>
        </w:rPr>
        <w:t xml:space="preserve"> and </w:t>
      </w:r>
      <w:r>
        <w:rPr>
          <w:kern w:val="0"/>
        </w:rPr>
        <w:t>winter influenza contributes less than 10 percent to all-cause mortality in patients 60 years</w:t>
      </w:r>
      <w:r w:rsidR="005853A9">
        <w:rPr>
          <w:kern w:val="0"/>
        </w:rPr>
        <w:t xml:space="preserve"> and </w:t>
      </w:r>
      <w:r>
        <w:rPr>
          <w:kern w:val="0"/>
        </w:rPr>
        <w:t>older</w:t>
      </w:r>
      <w:r w:rsidR="00A37C1D">
        <w:rPr>
          <w:kern w:val="0"/>
        </w:rPr>
        <w:t>. The</w:t>
      </w:r>
      <w:r w:rsidR="003A1917">
        <w:rPr>
          <w:kern w:val="0"/>
        </w:rPr>
        <w:t xml:space="preserve"> </w:t>
      </w:r>
      <w:r>
        <w:rPr>
          <w:kern w:val="0"/>
        </w:rPr>
        <w:t>key interest is preventing laboratory-proven influenza in patients 60 years</w:t>
      </w:r>
      <w:r w:rsidR="005853A9">
        <w:rPr>
          <w:kern w:val="0"/>
        </w:rPr>
        <w:t xml:space="preserve"> and </w:t>
      </w:r>
      <w:r>
        <w:rPr>
          <w:kern w:val="0"/>
        </w:rPr>
        <w:t>older, pneumonia,</w:t>
      </w:r>
      <w:r w:rsidR="005853A9">
        <w:rPr>
          <w:kern w:val="0"/>
        </w:rPr>
        <w:t xml:space="preserve"> and </w:t>
      </w:r>
      <w:r>
        <w:rPr>
          <w:kern w:val="0"/>
        </w:rPr>
        <w:t>deaths from pneumonia,</w:t>
      </w:r>
      <w:r w:rsidR="005853A9">
        <w:rPr>
          <w:kern w:val="0"/>
        </w:rPr>
        <w:t xml:space="preserve"> and </w:t>
      </w:r>
      <w:r>
        <w:rPr>
          <w:kern w:val="0"/>
        </w:rPr>
        <w:t>we cannot draw such conclusions</w:t>
      </w:r>
      <w:r w:rsidR="00A37C1D">
        <w:rPr>
          <w:kern w:val="0"/>
        </w:rPr>
        <w:t>. The</w:t>
      </w:r>
      <w:r w:rsidR="003A1917">
        <w:rPr>
          <w:kern w:val="0"/>
        </w:rPr>
        <w:t xml:space="preserve"> </w:t>
      </w:r>
      <w:r>
        <w:rPr>
          <w:kern w:val="0"/>
        </w:rPr>
        <w:t>identified studies are at high risk</w:t>
      </w:r>
      <w:r w:rsidR="00427468">
        <w:rPr>
          <w:kern w:val="0"/>
        </w:rPr>
        <w:t xml:space="preserve"> of </w:t>
      </w:r>
      <w:r>
        <w:rPr>
          <w:kern w:val="0"/>
        </w:rPr>
        <w:t>bias. Some health care personnel remain unvaccinated because they do not perceive risk, doubt vaccine effectiveness,</w:t>
      </w:r>
      <w:r w:rsidR="005853A9">
        <w:rPr>
          <w:kern w:val="0"/>
        </w:rPr>
        <w:t xml:space="preserve"> and </w:t>
      </w:r>
      <w:r>
        <w:rPr>
          <w:kern w:val="0"/>
        </w:rPr>
        <w:t>are concerned about adverse effects. This review did not find information on co-interventions with personnel vaccination: hand washing, face masks, early detection</w:t>
      </w:r>
      <w:r w:rsidR="00427468">
        <w:rPr>
          <w:kern w:val="0"/>
        </w:rPr>
        <w:t xml:space="preserve"> of </w:t>
      </w:r>
      <w:r>
        <w:rPr>
          <w:kern w:val="0"/>
        </w:rPr>
        <w:t>laboratory-proven influenza, quarantine, avoiding admissions, antivirals,</w:t>
      </w:r>
      <w:r w:rsidR="005853A9">
        <w:rPr>
          <w:kern w:val="0"/>
        </w:rPr>
        <w:t xml:space="preserve"> and </w:t>
      </w:r>
      <w:r>
        <w:rPr>
          <w:kern w:val="0"/>
        </w:rPr>
        <w:t>asking personnel with influenza-like illness not to work. We conclude there is no evidence that vaccinating personnel prevents influenza in older residents in long-term care facilities. High-quality RCTs are required to avoid risks</w:t>
      </w:r>
      <w:r w:rsidR="00427468">
        <w:rPr>
          <w:kern w:val="0"/>
        </w:rPr>
        <w:t xml:space="preserve"> of </w:t>
      </w:r>
      <w:r>
        <w:rPr>
          <w:kern w:val="0"/>
        </w:rPr>
        <w:t>bias in methodology</w:t>
      </w:r>
      <w:r w:rsidR="005853A9">
        <w:rPr>
          <w:kern w:val="0"/>
        </w:rPr>
        <w:t xml:space="preserve"> and </w:t>
      </w:r>
      <w:r>
        <w:rPr>
          <w:kern w:val="0"/>
        </w:rPr>
        <w:t>conduct,</w:t>
      </w:r>
      <w:r w:rsidR="005853A9">
        <w:rPr>
          <w:kern w:val="0"/>
        </w:rPr>
        <w:t xml:space="preserve"> and </w:t>
      </w:r>
      <w:r>
        <w:rPr>
          <w:kern w:val="0"/>
        </w:rPr>
        <w:t>to test these interventions in combination.</w:t>
      </w:r>
    </w:p>
    <w:p w:rsidR="00F15958" w:rsidRDefault="00F15958" w:rsidP="00F15958">
      <w:pPr>
        <w:pStyle w:val="a3"/>
        <w:rPr>
          <w:kern w:val="0"/>
        </w:rPr>
      </w:pPr>
      <w:r>
        <w:rPr>
          <w:kern w:val="0"/>
        </w:rPr>
        <w:t>Keywords: Citation, Science Citation Index Expanded</w:t>
      </w:r>
    </w:p>
    <w:p w:rsidR="00591140" w:rsidRPr="00F219CA" w:rsidRDefault="00591140" w:rsidP="00591140">
      <w:pPr>
        <w:pStyle w:val="1"/>
      </w:pPr>
      <w:r w:rsidRPr="00F219CA">
        <w:br w:type="page"/>
      </w:r>
      <w:bookmarkStart w:id="224" w:name="_Toc302211516"/>
      <w:bookmarkStart w:id="225" w:name="_Toc420814369"/>
      <w:r w:rsidRPr="00F219CA">
        <w:lastRenderedPageBreak/>
        <w:t>Title: American Heart Journal</w:t>
      </w:r>
      <w:bookmarkEnd w:id="224"/>
      <w:bookmarkEnd w:id="225"/>
    </w:p>
    <w:p w:rsidR="00591140" w:rsidRPr="00F219CA" w:rsidRDefault="00591140" w:rsidP="00591140">
      <w:pPr>
        <w:pStyle w:val="12"/>
      </w:pPr>
      <w:r w:rsidRPr="00F219CA">
        <w:t xml:space="preserve">Full Journal Title: </w:t>
      </w:r>
      <w:hyperlink r:id="rId401" w:history="1">
        <w:r w:rsidRPr="00F219CA">
          <w:rPr>
            <w:rStyle w:val="a5"/>
          </w:rPr>
          <w:t>American Heart Journal</w:t>
        </w:r>
      </w:hyperlink>
    </w:p>
    <w:p w:rsidR="00591140" w:rsidRPr="00F219CA" w:rsidRDefault="00591140" w:rsidP="00591140">
      <w:pPr>
        <w:pStyle w:val="12"/>
      </w:pPr>
      <w:r w:rsidRPr="00F219CA">
        <w:t>ISO Abbreviated Title: Am. Heart J.</w:t>
      </w:r>
    </w:p>
    <w:p w:rsidR="00591140" w:rsidRPr="00F219CA" w:rsidRDefault="00591140" w:rsidP="00591140">
      <w:pPr>
        <w:pStyle w:val="12"/>
      </w:pPr>
      <w:r w:rsidRPr="00F219CA">
        <w:t>JCR Abbreviated Title: Am Heart J</w:t>
      </w:r>
    </w:p>
    <w:p w:rsidR="00591140" w:rsidRPr="00F219CA" w:rsidRDefault="00591140" w:rsidP="00591140">
      <w:pPr>
        <w:pStyle w:val="12"/>
      </w:pPr>
      <w:r w:rsidRPr="00F219CA">
        <w:t>ISSN: 0002-8703</w:t>
      </w:r>
    </w:p>
    <w:p w:rsidR="00591140" w:rsidRPr="00F219CA" w:rsidRDefault="00591140" w:rsidP="00591140">
      <w:pPr>
        <w:pStyle w:val="12"/>
      </w:pPr>
      <w:r w:rsidRPr="00F219CA">
        <w:t>Issues/Year: 12</w:t>
      </w:r>
    </w:p>
    <w:p w:rsidR="00591140" w:rsidRPr="00F219CA" w:rsidRDefault="00591140" w:rsidP="00591140">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591140" w:rsidRPr="00F219CA" w:rsidRDefault="00591140" w:rsidP="00591140">
      <w:pPr>
        <w:pStyle w:val="12"/>
      </w:pPr>
      <w:r w:rsidRPr="00F219CA">
        <w:t>Language: English</w:t>
      </w:r>
    </w:p>
    <w:p w:rsidR="00591140" w:rsidRPr="00F219CA" w:rsidRDefault="00591140" w:rsidP="00591140">
      <w:pPr>
        <w:pStyle w:val="12"/>
      </w:pPr>
      <w:r w:rsidRPr="00F219CA">
        <w:t>Publisher: Mosby, Inc</w:t>
      </w:r>
    </w:p>
    <w:p w:rsidR="00591140" w:rsidRPr="00F219CA" w:rsidRDefault="00591140" w:rsidP="00591140">
      <w:pPr>
        <w:pStyle w:val="12"/>
      </w:pPr>
      <w:r w:rsidRPr="00F219CA">
        <w:t xml:space="preserve">Publisher Address: 11830 Westline Industrial DR, St Louis, MO </w:t>
      </w:r>
      <w:smartTag w:uri="urn:schemas-microsoft-com:office:smarttags" w:element="PostalCode">
        <w:r w:rsidRPr="00F219CA">
          <w:t>63146-3318</w:t>
        </w:r>
      </w:smartTag>
    </w:p>
    <w:p w:rsidR="00591140" w:rsidRPr="00F219CA" w:rsidRDefault="00591140" w:rsidP="00591140">
      <w:pPr>
        <w:pStyle w:val="12"/>
      </w:pPr>
      <w:r w:rsidRPr="00F219CA">
        <w:t xml:space="preserve">Subject Categories: </w:t>
      </w:r>
    </w:p>
    <w:p w:rsidR="00591140" w:rsidRPr="00F219CA" w:rsidRDefault="00591140" w:rsidP="00591140">
      <w:pPr>
        <w:pStyle w:val="12"/>
      </w:pPr>
      <w:r w:rsidRPr="00F219CA">
        <w:t xml:space="preserve">Cardiac &amp; Cardiovascular Systems: Impact Factor </w:t>
      </w:r>
    </w:p>
    <w:p w:rsidR="00591140" w:rsidRDefault="00591140" w:rsidP="00591140">
      <w:pPr>
        <w:pStyle w:val="a3"/>
        <w:rPr>
          <w:kern w:val="0"/>
        </w:rPr>
      </w:pPr>
      <w:r>
        <w:rPr>
          <w:rFonts w:hint="eastAsia"/>
          <w:kern w:val="0"/>
        </w:rPr>
        <w:t xml:space="preserve">? </w:t>
      </w:r>
      <w:r>
        <w:rPr>
          <w:kern w:val="0"/>
        </w:rPr>
        <w:t>Hovens, M.M.C., Snoep, J.D., Eikenboom, J.C.J., van der Bom, J.G., Mertens, B.J.A.</w:t>
      </w:r>
      <w:r w:rsidR="005853A9">
        <w:rPr>
          <w:kern w:val="0"/>
        </w:rPr>
        <w:t xml:space="preserve"> and </w:t>
      </w:r>
      <w:r>
        <w:rPr>
          <w:kern w:val="0"/>
        </w:rPr>
        <w:t>Huisman, M.V. (2007), Prevalence</w:t>
      </w:r>
      <w:r w:rsidR="00427468">
        <w:rPr>
          <w:kern w:val="0"/>
        </w:rPr>
        <w:t xml:space="preserve"> of </w:t>
      </w:r>
      <w:r>
        <w:rPr>
          <w:kern w:val="0"/>
        </w:rPr>
        <w:t>persistent platelet reactivity despite use</w:t>
      </w:r>
      <w:r w:rsidR="00427468">
        <w:rPr>
          <w:kern w:val="0"/>
        </w:rPr>
        <w:t xml:space="preserve"> of </w:t>
      </w:r>
      <w:r>
        <w:rPr>
          <w:kern w:val="0"/>
        </w:rPr>
        <w:t xml:space="preserve">aspirin: A systematic review. </w:t>
      </w:r>
      <w:r>
        <w:rPr>
          <w:i/>
          <w:iCs/>
          <w:kern w:val="0"/>
        </w:rPr>
        <w:t>American Heart Journal</w:t>
      </w:r>
      <w:r>
        <w:rPr>
          <w:kern w:val="0"/>
        </w:rPr>
        <w:t xml:space="preserve">, </w:t>
      </w:r>
      <w:r>
        <w:rPr>
          <w:b/>
          <w:bCs/>
          <w:kern w:val="0"/>
        </w:rPr>
        <w:t>153</w:t>
      </w:r>
      <w:r>
        <w:rPr>
          <w:kern w:val="0"/>
        </w:rPr>
        <w:t xml:space="preserve"> (2), 175-181.</w:t>
      </w:r>
    </w:p>
    <w:p w:rsidR="00591140" w:rsidRPr="00F219CA" w:rsidRDefault="00591140" w:rsidP="00591140">
      <w:pPr>
        <w:pStyle w:val="a3"/>
      </w:pPr>
      <w:r w:rsidRPr="00F219CA">
        <w:t xml:space="preserve">Full Text: </w:t>
      </w:r>
      <w:hyperlink r:id="rId402" w:history="1">
        <w:r w:rsidR="003E4BEE" w:rsidRPr="003E4BEE">
          <w:rPr>
            <w:rStyle w:val="a5"/>
          </w:rPr>
          <w:t>2007\Ame Hea J153, 175.pdf</w:t>
        </w:r>
      </w:hyperlink>
    </w:p>
    <w:p w:rsidR="00591140" w:rsidRDefault="00591140" w:rsidP="00591140">
      <w:pPr>
        <w:pStyle w:val="a3"/>
        <w:rPr>
          <w:kern w:val="0"/>
        </w:rPr>
      </w:pPr>
      <w:r>
        <w:rPr>
          <w:kern w:val="0"/>
        </w:rPr>
        <w:t>Abstract: Background</w:t>
      </w:r>
      <w:r w:rsidR="003A1917">
        <w:rPr>
          <w:kern w:val="0"/>
        </w:rPr>
        <w:t xml:space="preserve"> the </w:t>
      </w:r>
      <w:r>
        <w:rPr>
          <w:kern w:val="0"/>
        </w:rPr>
        <w:t>absolute risk</w:t>
      </w:r>
      <w:r w:rsidR="00427468">
        <w:rPr>
          <w:kern w:val="0"/>
        </w:rPr>
        <w:t xml:space="preserve"> of </w:t>
      </w:r>
      <w:r>
        <w:rPr>
          <w:kern w:val="0"/>
        </w:rPr>
        <w:t>recurrences among patients using aspirin for prevention</w:t>
      </w:r>
      <w:r w:rsidR="00427468">
        <w:rPr>
          <w:kern w:val="0"/>
        </w:rPr>
        <w:t xml:space="preserve"> of </w:t>
      </w:r>
      <w:r>
        <w:rPr>
          <w:kern w:val="0"/>
        </w:rPr>
        <w:t>cardiovascular events remains high. Persistent platelet reactivity despite aspirin therapy might explain this in part. Reported prevalences</w:t>
      </w:r>
      <w:r w:rsidR="00427468">
        <w:rPr>
          <w:kern w:val="0"/>
        </w:rPr>
        <w:t xml:space="preserve"> of </w:t>
      </w:r>
      <w:r>
        <w:rPr>
          <w:kern w:val="0"/>
        </w:rPr>
        <w:t>this so-called aspirin resistance vary widely, between 0%</w:t>
      </w:r>
      <w:r w:rsidR="005853A9">
        <w:rPr>
          <w:kern w:val="0"/>
        </w:rPr>
        <w:t xml:space="preserve"> and </w:t>
      </w:r>
      <w:r>
        <w:rPr>
          <w:kern w:val="0"/>
        </w:rPr>
        <w:t>57%. Objectives</w:t>
      </w:r>
      <w:r w:rsidR="003A1917">
        <w:rPr>
          <w:kern w:val="0"/>
        </w:rPr>
        <w:t xml:space="preserve"> the </w:t>
      </w:r>
      <w:r>
        <w:rPr>
          <w:kern w:val="0"/>
        </w:rPr>
        <w:t>aim</w:t>
      </w:r>
      <w:r w:rsidR="00427468">
        <w:rPr>
          <w:kern w:val="0"/>
        </w:rPr>
        <w:t xml:space="preserve"> of </w:t>
      </w:r>
      <w:r w:rsidR="003A1917">
        <w:rPr>
          <w:kern w:val="0"/>
        </w:rPr>
        <w:t xml:space="preserve">the </w:t>
      </w:r>
      <w:r>
        <w:rPr>
          <w:kern w:val="0"/>
        </w:rPr>
        <w:t>study was to systematically review all available evidence on prevalence</w:t>
      </w:r>
      <w:r w:rsidR="00427468">
        <w:rPr>
          <w:kern w:val="0"/>
        </w:rPr>
        <w:t xml:space="preserve"> of </w:t>
      </w:r>
      <w:r>
        <w:rPr>
          <w:kern w:val="0"/>
        </w:rPr>
        <w:t>aspirin resistance</w:t>
      </w:r>
      <w:r w:rsidR="005853A9">
        <w:rPr>
          <w:kern w:val="0"/>
        </w:rPr>
        <w:t xml:space="preserve"> and </w:t>
      </w:r>
      <w:r>
        <w:rPr>
          <w:kern w:val="0"/>
        </w:rPr>
        <w:t>to study determinants</w:t>
      </w:r>
      <w:r w:rsidR="00427468">
        <w:rPr>
          <w:kern w:val="0"/>
        </w:rPr>
        <w:t xml:space="preserve"> of </w:t>
      </w:r>
      <w:r>
        <w:rPr>
          <w:kern w:val="0"/>
        </w:rPr>
        <w:t xml:space="preserve">reported prevalence. Methods Using a predefined search strategy, we searched electronic databases </w:t>
      </w:r>
      <w:r w:rsidR="00D5664A">
        <w:rPr>
          <w:kern w:val="0"/>
        </w:rPr>
        <w:t>MEDLINE</w:t>
      </w:r>
      <w:r>
        <w:rPr>
          <w:kern w:val="0"/>
        </w:rPr>
        <w:t>, EMBASE, CENTRAL,</w:t>
      </w:r>
      <w:r w:rsidR="005853A9">
        <w:rPr>
          <w:kern w:val="0"/>
        </w:rPr>
        <w:t xml:space="preserve"> and </w:t>
      </w:r>
      <w:r w:rsidR="00D5664A">
        <w:rPr>
          <w:kern w:val="0"/>
        </w:rPr>
        <w:t>Web</w:t>
      </w:r>
      <w:r w:rsidR="00427468">
        <w:rPr>
          <w:kern w:val="0"/>
        </w:rPr>
        <w:t xml:space="preserve"> of </w:t>
      </w:r>
      <w:r w:rsidR="00D5664A">
        <w:rPr>
          <w:kern w:val="0"/>
        </w:rPr>
        <w:t>Science</w:t>
      </w:r>
      <w:r>
        <w:rPr>
          <w:kern w:val="0"/>
        </w:rPr>
        <w:t>. To be included in our analysis, articles had to contain a laboratory definition</w:t>
      </w:r>
      <w:r w:rsidR="00427468">
        <w:rPr>
          <w:kern w:val="0"/>
        </w:rPr>
        <w:t xml:space="preserve"> of </w:t>
      </w:r>
      <w:r>
        <w:rPr>
          <w:kern w:val="0"/>
        </w:rPr>
        <w:t>aspirin resistance, use aspirin as secondary prevention,</w:t>
      </w:r>
      <w:r w:rsidR="005853A9">
        <w:rPr>
          <w:kern w:val="0"/>
        </w:rPr>
        <w:t xml:space="preserve"> and </w:t>
      </w:r>
      <w:r>
        <w:rPr>
          <w:kern w:val="0"/>
        </w:rPr>
        <w:t>report associated prevalence. Results We included 34 full-text articles</w:t>
      </w:r>
      <w:r w:rsidR="005853A9">
        <w:rPr>
          <w:kern w:val="0"/>
        </w:rPr>
        <w:t xml:space="preserve"> and </w:t>
      </w:r>
      <w:r>
        <w:rPr>
          <w:kern w:val="0"/>
        </w:rPr>
        <w:t>8 meeting abstracts</w:t>
      </w:r>
      <w:r w:rsidR="00A37C1D">
        <w:rPr>
          <w:kern w:val="0"/>
        </w:rPr>
        <w:t>. The</w:t>
      </w:r>
      <w:r w:rsidR="003A1917">
        <w:rPr>
          <w:kern w:val="0"/>
        </w:rPr>
        <w:t xml:space="preserve"> </w:t>
      </w:r>
      <w:r>
        <w:rPr>
          <w:kern w:val="0"/>
        </w:rPr>
        <w:t>mean prevalence</w:t>
      </w:r>
      <w:r w:rsidR="00427468">
        <w:rPr>
          <w:kern w:val="0"/>
        </w:rPr>
        <w:t xml:space="preserve"> of </w:t>
      </w:r>
      <w:r>
        <w:rPr>
          <w:kern w:val="0"/>
        </w:rPr>
        <w:t>aspirin resistance was 24% (95% Cl 20%-28%). After adjustment for differences in definition, used dosage,</w:t>
      </w:r>
      <w:r w:rsidR="005853A9">
        <w:rPr>
          <w:kern w:val="0"/>
        </w:rPr>
        <w:t xml:space="preserve"> and </w:t>
      </w:r>
      <w:r>
        <w:rPr>
          <w:kern w:val="0"/>
        </w:rPr>
        <w:t>population, a statistically significant higher prevalence was found in studies with aspirin dosage &lt;= 100 mg compared with &gt;= 300 mg (36% [95% Cl 28%-43%] vs 19% [95% Cl 11%-26%], P &lt; .0001). Studies measuring platelet aggregation using light aggregometry with arachidonic acid as an agonist had a pooled unadjusted prevalence</w:t>
      </w:r>
      <w:r w:rsidR="00427468">
        <w:rPr>
          <w:kern w:val="0"/>
        </w:rPr>
        <w:t xml:space="preserve"> of </w:t>
      </w:r>
      <w:r>
        <w:rPr>
          <w:kern w:val="0"/>
        </w:rPr>
        <w:t>6% (95% Cl 0%-12%). In studies using point</w:t>
      </w:r>
      <w:r w:rsidR="00434900">
        <w:rPr>
          <w:kern w:val="0"/>
        </w:rPr>
        <w:t>-of-</w:t>
      </w:r>
      <w:r>
        <w:rPr>
          <w:kern w:val="0"/>
        </w:rPr>
        <w:t>care platelet function-analyzing devices,</w:t>
      </w:r>
      <w:r w:rsidR="003A1917">
        <w:rPr>
          <w:kern w:val="0"/>
        </w:rPr>
        <w:t xml:space="preserve"> the </w:t>
      </w:r>
      <w:r>
        <w:rPr>
          <w:kern w:val="0"/>
        </w:rPr>
        <w:t>unadjusted prevalence was significantly higher, at 26% (95% Cl 21%-31%). Conclusions Prevalences widely differ between studies reporting on aspirin resistance. Both aspirin dosage</w:t>
      </w:r>
      <w:r w:rsidR="005853A9">
        <w:rPr>
          <w:kern w:val="0"/>
        </w:rPr>
        <w:t xml:space="preserve"> and </w:t>
      </w:r>
      <w:r w:rsidR="003A1917">
        <w:rPr>
          <w:kern w:val="0"/>
        </w:rPr>
        <w:t xml:space="preserve">the </w:t>
      </w:r>
      <w:r>
        <w:rPr>
          <w:kern w:val="0"/>
        </w:rPr>
        <w:t>method</w:t>
      </w:r>
      <w:r w:rsidR="00427468">
        <w:rPr>
          <w:kern w:val="0"/>
        </w:rPr>
        <w:t xml:space="preserve"> of </w:t>
      </w:r>
      <w:r>
        <w:rPr>
          <w:kern w:val="0"/>
        </w:rPr>
        <w:t xml:space="preserve">defining aspirin resistance strongly influence estimated prevalence, which explains found </w:t>
      </w:r>
      <w:r>
        <w:rPr>
          <w:kern w:val="0"/>
        </w:rPr>
        <w:lastRenderedPageBreak/>
        <w:t>heterogeneity among studies. On average, it appears that about 1 in 4 individuals may express biochemically defined aspirin resistance.</w:t>
      </w:r>
    </w:p>
    <w:p w:rsidR="00591140" w:rsidRDefault="00591140" w:rsidP="00591140">
      <w:pPr>
        <w:pStyle w:val="a3"/>
        <w:rPr>
          <w:kern w:val="0"/>
        </w:rPr>
      </w:pPr>
      <w:r>
        <w:rPr>
          <w:kern w:val="0"/>
        </w:rPr>
        <w:t xml:space="preserve">Keywords: Analysis, Antiplatelet Therapy, Cardiovascular, Cardiovascular-Disease, Coronary-Artery-Disease, Databases, Determinants, EMBASE, Function Analyzer, Healthy-Individuals, IIIA Polymorphism, Ischemic Stroke, Low-Dose Aspirin, </w:t>
      </w:r>
      <w:r w:rsidR="00D5664A">
        <w:rPr>
          <w:kern w:val="0"/>
        </w:rPr>
        <w:t>MEDLINE</w:t>
      </w:r>
      <w:r>
        <w:rPr>
          <w:kern w:val="0"/>
        </w:rPr>
        <w:t xml:space="preserve">, Methods, Myocardial-Infarction, Prevalence, Prevention, Resistance, Resistance In-Vitro, Review, Risk, Science, Secondary Prevention, Strategy, Systematic, Systematic Review, Therapy, </w:t>
      </w:r>
      <w:r w:rsidR="00D5664A">
        <w:rPr>
          <w:kern w:val="0"/>
        </w:rPr>
        <w:t>Web</w:t>
      </w:r>
      <w:r w:rsidR="00427468">
        <w:rPr>
          <w:kern w:val="0"/>
        </w:rPr>
        <w:t xml:space="preserve"> of </w:t>
      </w:r>
      <w:r w:rsidR="00D5664A">
        <w:rPr>
          <w:kern w:val="0"/>
        </w:rPr>
        <w:t>Science</w:t>
      </w:r>
    </w:p>
    <w:p w:rsidR="00591140" w:rsidRDefault="00591140" w:rsidP="00591140">
      <w:pPr>
        <w:pStyle w:val="a3"/>
        <w:rPr>
          <w:kern w:val="0"/>
        </w:rPr>
      </w:pPr>
      <w:r>
        <w:rPr>
          <w:rFonts w:hint="eastAsia"/>
          <w:kern w:val="0"/>
        </w:rPr>
        <w:t xml:space="preserve">? </w:t>
      </w:r>
      <w:r>
        <w:rPr>
          <w:kern w:val="0"/>
        </w:rPr>
        <w:t>Oreopoulos, A., Padwal, R., Kalantar-Zadeh, K., Fonarow, G.C., Norris, C.M.</w:t>
      </w:r>
      <w:r w:rsidR="005853A9">
        <w:rPr>
          <w:kern w:val="0"/>
        </w:rPr>
        <w:t xml:space="preserve"> and </w:t>
      </w:r>
      <w:r>
        <w:rPr>
          <w:kern w:val="0"/>
        </w:rPr>
        <w:t>McAlister, F.A. (2008), Body mass index</w:t>
      </w:r>
      <w:r w:rsidR="005853A9">
        <w:rPr>
          <w:kern w:val="0"/>
        </w:rPr>
        <w:t xml:space="preserve"> and </w:t>
      </w:r>
      <w:r>
        <w:rPr>
          <w:kern w:val="0"/>
        </w:rPr>
        <w:t xml:space="preserve">mortality in heart failure: A meta-analysis. </w:t>
      </w:r>
      <w:r>
        <w:rPr>
          <w:i/>
          <w:iCs/>
          <w:kern w:val="0"/>
        </w:rPr>
        <w:t>American Heart Journal</w:t>
      </w:r>
      <w:r>
        <w:rPr>
          <w:kern w:val="0"/>
        </w:rPr>
        <w:t xml:space="preserve">, </w:t>
      </w:r>
      <w:r>
        <w:rPr>
          <w:b/>
          <w:bCs/>
          <w:kern w:val="0"/>
        </w:rPr>
        <w:t>156</w:t>
      </w:r>
      <w:r>
        <w:rPr>
          <w:kern w:val="0"/>
        </w:rPr>
        <w:t xml:space="preserve"> (1), 13-22.</w:t>
      </w:r>
    </w:p>
    <w:p w:rsidR="00591140" w:rsidRPr="00F219CA" w:rsidRDefault="00591140" w:rsidP="00591140">
      <w:pPr>
        <w:pStyle w:val="a3"/>
      </w:pPr>
      <w:r w:rsidRPr="00F219CA">
        <w:t xml:space="preserve">Full Text: </w:t>
      </w:r>
      <w:hyperlink r:id="rId403" w:history="1">
        <w:r w:rsidR="003E4BEE" w:rsidRPr="003E4BEE">
          <w:rPr>
            <w:rStyle w:val="a5"/>
          </w:rPr>
          <w:t>2008\Ame Hea J156, 13.pdf</w:t>
        </w:r>
      </w:hyperlink>
    </w:p>
    <w:p w:rsidR="00591140" w:rsidRDefault="00591140" w:rsidP="00591140">
      <w:pPr>
        <w:pStyle w:val="a3"/>
        <w:rPr>
          <w:kern w:val="0"/>
        </w:rPr>
      </w:pPr>
      <w:r>
        <w:rPr>
          <w:kern w:val="0"/>
        </w:rPr>
        <w:t>Abstract: Background In patients with chronic heart failure (CHF), previous studies have reported reduced mortality rates in patients with increased body mass index (BMI)</w:t>
      </w:r>
      <w:r w:rsidR="00A37C1D">
        <w:rPr>
          <w:kern w:val="0"/>
        </w:rPr>
        <w:t>. The</w:t>
      </w:r>
      <w:r w:rsidR="003A1917">
        <w:rPr>
          <w:kern w:val="0"/>
        </w:rPr>
        <w:t xml:space="preserve"> </w:t>
      </w:r>
      <w:r>
        <w:rPr>
          <w:kern w:val="0"/>
        </w:rPr>
        <w:t>potentially protective effect</w:t>
      </w:r>
      <w:r w:rsidR="00427468">
        <w:rPr>
          <w:kern w:val="0"/>
        </w:rPr>
        <w:t xml:space="preserve"> of </w:t>
      </w:r>
      <w:r>
        <w:rPr>
          <w:kern w:val="0"/>
        </w:rPr>
        <w:t>increased BMI in CHF has been termed</w:t>
      </w:r>
      <w:r w:rsidR="003A1917">
        <w:rPr>
          <w:kern w:val="0"/>
        </w:rPr>
        <w:t xml:space="preserve"> the </w:t>
      </w:r>
      <w:r>
        <w:rPr>
          <w:kern w:val="0"/>
        </w:rPr>
        <w:t>obesity paradox or reverse epidemiology. This meta-analysis was conducted to examine</w:t>
      </w:r>
      <w:r w:rsidR="003A1917">
        <w:rPr>
          <w:kern w:val="0"/>
        </w:rPr>
        <w:t xml:space="preserve"> the </w:t>
      </w:r>
      <w:r>
        <w:rPr>
          <w:kern w:val="0"/>
        </w:rPr>
        <w:t>relationship between increased BMI</w:t>
      </w:r>
      <w:r w:rsidR="005853A9">
        <w:rPr>
          <w:kern w:val="0"/>
        </w:rPr>
        <w:t xml:space="preserve"> and </w:t>
      </w:r>
      <w:r>
        <w:rPr>
          <w:kern w:val="0"/>
        </w:rPr>
        <w:t>mortality in patients with CHF. Methods We searched</w:t>
      </w:r>
      <w:r w:rsidR="003A1917">
        <w:rPr>
          <w:kern w:val="0"/>
        </w:rPr>
        <w:t xml:space="preserve"> the </w:t>
      </w:r>
      <w:r>
        <w:rPr>
          <w:kern w:val="0"/>
        </w:rPr>
        <w:t>Cochrane Central Register</w:t>
      </w:r>
      <w:r w:rsidR="00427468">
        <w:rPr>
          <w:kern w:val="0"/>
        </w:rPr>
        <w:t xml:space="preserve"> of </w:t>
      </w:r>
      <w:r>
        <w:rPr>
          <w:kern w:val="0"/>
        </w:rPr>
        <w:t xml:space="preserve">Controlled Trials, </w:t>
      </w:r>
      <w:r w:rsidR="00D5664A">
        <w:rPr>
          <w:kern w:val="0"/>
        </w:rPr>
        <w:t>MEDLINE</w:t>
      </w:r>
      <w:r>
        <w:rPr>
          <w:kern w:val="0"/>
        </w:rPr>
        <w:t>, EMBASE,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to identify studies with contemporaneous control groups (cohort, case-control, or randomized controlled trials) that examined</w:t>
      </w:r>
      <w:r w:rsidR="003A1917">
        <w:rPr>
          <w:kern w:val="0"/>
        </w:rPr>
        <w:t xml:space="preserve"> the </w:t>
      </w:r>
      <w:r>
        <w:rPr>
          <w:kern w:val="0"/>
        </w:rPr>
        <w:t>effect</w:t>
      </w:r>
      <w:r w:rsidR="00427468">
        <w:rPr>
          <w:kern w:val="0"/>
        </w:rPr>
        <w:t xml:space="preserve"> of </w:t>
      </w:r>
      <w:r>
        <w:rPr>
          <w:kern w:val="0"/>
        </w:rPr>
        <w:t>obesity on all-cause</w:t>
      </w:r>
      <w:r w:rsidR="005853A9">
        <w:rPr>
          <w:kern w:val="0"/>
        </w:rPr>
        <w:t xml:space="preserve"> and </w:t>
      </w:r>
      <w:r>
        <w:rPr>
          <w:kern w:val="0"/>
        </w:rPr>
        <w:t>cardiovascular mortality. Two reviewers independently assessed studies for inclusion</w:t>
      </w:r>
      <w:r w:rsidR="005853A9">
        <w:rPr>
          <w:kern w:val="0"/>
        </w:rPr>
        <w:t xml:space="preserve"> and </w:t>
      </w:r>
      <w:r>
        <w:rPr>
          <w:kern w:val="0"/>
        </w:rPr>
        <w:t>performed data extraction. Results Nine observational studies met final inclusion criteria (total n = 28,209). Mean length</w:t>
      </w:r>
      <w:r w:rsidR="00427468">
        <w:rPr>
          <w:kern w:val="0"/>
        </w:rPr>
        <w:t xml:space="preserve"> of </w:t>
      </w:r>
      <w:r>
        <w:rPr>
          <w:kern w:val="0"/>
        </w:rPr>
        <w:t>follow-up was 2.7 years. Compared to individuals without elevated BMI levels, both overweight (BMI similar to 25.0-29.9 kg/m(2), RR 0.84, 95% CI 0.79-0.90)</w:t>
      </w:r>
      <w:r w:rsidR="005853A9">
        <w:rPr>
          <w:kern w:val="0"/>
        </w:rPr>
        <w:t xml:space="preserve"> and </w:t>
      </w:r>
      <w:r>
        <w:rPr>
          <w:kern w:val="0"/>
        </w:rPr>
        <w:t>obesity (BMI similar to &gt;= 30 kg/m(2), RR 0.67, 95% CI 0.62-0.73) were associated with lower all-cause mortality. Overweight (RR 0.81, 95% CI 0.72-0.92)</w:t>
      </w:r>
      <w:r w:rsidR="005853A9">
        <w:rPr>
          <w:kern w:val="0"/>
        </w:rPr>
        <w:t xml:space="preserve"> and </w:t>
      </w:r>
      <w:r>
        <w:rPr>
          <w:kern w:val="0"/>
        </w:rPr>
        <w:t>obesity (RR 0.60, 95% CI 0.53-0.69) were also associated with lower cardiovascular mortality. In a risk-adjusted sensitivity analysis, both obesity (adjusted HR 0.88, 95% CI 0.83-0.93)</w:t>
      </w:r>
      <w:r w:rsidR="005853A9">
        <w:rPr>
          <w:kern w:val="0"/>
        </w:rPr>
        <w:t xml:space="preserve"> and </w:t>
      </w:r>
      <w:r>
        <w:rPr>
          <w:kern w:val="0"/>
        </w:rPr>
        <w:t>overweight (adjusted HR 0.93, 95% CI 0.89-0.97) remained protective against mortality. Conclusions Overweight</w:t>
      </w:r>
      <w:r w:rsidR="005853A9">
        <w:rPr>
          <w:kern w:val="0"/>
        </w:rPr>
        <w:t xml:space="preserve"> and </w:t>
      </w:r>
      <w:r>
        <w:rPr>
          <w:kern w:val="0"/>
        </w:rPr>
        <w:t>obesity were associated with lower all-cause</w:t>
      </w:r>
      <w:r w:rsidR="005853A9">
        <w:rPr>
          <w:kern w:val="0"/>
        </w:rPr>
        <w:t xml:space="preserve"> and </w:t>
      </w:r>
      <w:r>
        <w:rPr>
          <w:kern w:val="0"/>
        </w:rPr>
        <w:t>cardiovascular mortality rates in patients with CHF</w:t>
      </w:r>
      <w:r w:rsidR="005853A9">
        <w:rPr>
          <w:kern w:val="0"/>
        </w:rPr>
        <w:t xml:space="preserve"> and </w:t>
      </w:r>
      <w:r>
        <w:rPr>
          <w:kern w:val="0"/>
        </w:rPr>
        <w:t>were not associated with increased mortality in any study</w:t>
      </w:r>
      <w:r w:rsidR="00A37C1D">
        <w:rPr>
          <w:kern w:val="0"/>
        </w:rPr>
        <w:t>. The</w:t>
      </w:r>
      <w:r>
        <w:rPr>
          <w:kern w:val="0"/>
        </w:rPr>
        <w:t>re is a need for prospective studies to elucidate mechanisms for this relationship.</w:t>
      </w:r>
    </w:p>
    <w:p w:rsidR="00591140" w:rsidRDefault="00591140" w:rsidP="00591140">
      <w:pPr>
        <w:pStyle w:val="a3"/>
        <w:rPr>
          <w:kern w:val="0"/>
        </w:rPr>
      </w:pPr>
      <w:r>
        <w:rPr>
          <w:kern w:val="0"/>
        </w:rPr>
        <w:t>Keywords: Analysis, Bmi, Body Mass Index, Cachexia, Cardiovascular, Cochrane, Control, Control Groups, EMBASE, Epidemiology, Follow</w:t>
      </w:r>
      <w:r w:rsidR="0062028A">
        <w:rPr>
          <w:kern w:val="0"/>
        </w:rPr>
        <w:t>-up,</w:t>
      </w:r>
      <w:r>
        <w:rPr>
          <w:kern w:val="0"/>
        </w:rPr>
        <w:t xml:space="preserve"> Hypothesis, </w:t>
      </w:r>
      <w:r w:rsidR="00D5664A">
        <w:rPr>
          <w:kern w:val="0"/>
        </w:rPr>
        <w:t>MEDLINE</w:t>
      </w:r>
      <w:r>
        <w:rPr>
          <w:kern w:val="0"/>
        </w:rPr>
        <w:t xml:space="preserve">, Meta-Analysis, Methods, Morbidity, Mortality, Natriuretic Peptide, Obesity, Obesity Paradox, Observational Studies, Overweight, Prognosis, Prospective Studies, Randomized Controlled Trials, Reverse Epidemiology, </w:t>
      </w:r>
      <w:r>
        <w:rPr>
          <w:kern w:val="0"/>
        </w:rPr>
        <w:lastRenderedPageBreak/>
        <w:t xml:space="preserve">Risk-Factors, Science, Scopus, Tumor-Necrosis-Factor, </w:t>
      </w:r>
      <w:r w:rsidR="00D5664A">
        <w:rPr>
          <w:kern w:val="0"/>
        </w:rPr>
        <w:t>Web</w:t>
      </w:r>
      <w:r w:rsidR="00427468">
        <w:rPr>
          <w:kern w:val="0"/>
        </w:rPr>
        <w:t xml:space="preserve"> of </w:t>
      </w:r>
      <w:r w:rsidR="00D5664A">
        <w:rPr>
          <w:kern w:val="0"/>
        </w:rPr>
        <w:t>Science</w:t>
      </w:r>
      <w:r>
        <w:rPr>
          <w:kern w:val="0"/>
        </w:rPr>
        <w:t>, Weight-Loss</w:t>
      </w:r>
    </w:p>
    <w:p w:rsidR="00AD7D1F" w:rsidRDefault="00AD7D1F" w:rsidP="00AD7D1F">
      <w:pPr>
        <w:pStyle w:val="a3"/>
        <w:rPr>
          <w:kern w:val="0"/>
        </w:rPr>
      </w:pPr>
      <w:r>
        <w:rPr>
          <w:rFonts w:hint="eastAsia"/>
          <w:kern w:val="0"/>
        </w:rPr>
        <w:t xml:space="preserve">? </w:t>
      </w:r>
      <w:r>
        <w:rPr>
          <w:kern w:val="0"/>
        </w:rPr>
        <w:t>Abdel-Latif, A., Bolli, R., Zuba-Surma, E.K., Tleyjeh, I.M., Hornung, C.A.</w:t>
      </w:r>
      <w:r w:rsidR="005853A9">
        <w:rPr>
          <w:kern w:val="0"/>
        </w:rPr>
        <w:t xml:space="preserve"> and </w:t>
      </w:r>
      <w:r>
        <w:rPr>
          <w:kern w:val="0"/>
        </w:rPr>
        <w:t>Dawn, B. (2008), Granulocyte colony-stimulating factor therapy for cardiac repair after acute myocardial infarction: A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Pr>
          <w:i/>
          <w:iCs/>
          <w:kern w:val="0"/>
        </w:rPr>
        <w:t>American Heart Journal</w:t>
      </w:r>
      <w:r>
        <w:rPr>
          <w:kern w:val="0"/>
        </w:rPr>
        <w:t xml:space="preserve">, </w:t>
      </w:r>
      <w:r>
        <w:rPr>
          <w:b/>
          <w:bCs/>
          <w:kern w:val="0"/>
        </w:rPr>
        <w:t>156</w:t>
      </w:r>
      <w:r>
        <w:rPr>
          <w:kern w:val="0"/>
        </w:rPr>
        <w:t xml:space="preserve"> (2), 216-U17.</w:t>
      </w:r>
    </w:p>
    <w:p w:rsidR="00AD7D1F" w:rsidRPr="00F219CA" w:rsidRDefault="00AD7D1F" w:rsidP="00AD7D1F">
      <w:pPr>
        <w:pStyle w:val="a3"/>
      </w:pPr>
      <w:r w:rsidRPr="00F219CA">
        <w:t xml:space="preserve">Full Text: </w:t>
      </w:r>
      <w:hyperlink r:id="rId404" w:history="1">
        <w:r w:rsidRPr="00AD7D1F">
          <w:rPr>
            <w:rStyle w:val="a5"/>
          </w:rPr>
          <w:t>2008\Ame Hea J156, 216.pdf</w:t>
        </w:r>
      </w:hyperlink>
    </w:p>
    <w:p w:rsidR="00AD7D1F" w:rsidRDefault="00AD7D1F" w:rsidP="00AD7D1F">
      <w:pPr>
        <w:pStyle w:val="a3"/>
        <w:rPr>
          <w:kern w:val="0"/>
        </w:rPr>
      </w:pPr>
      <w:r>
        <w:rPr>
          <w:kern w:val="0"/>
        </w:rPr>
        <w:t>Abstract: Background Small clinical studies</w:t>
      </w:r>
      <w:r w:rsidR="00427468">
        <w:rPr>
          <w:kern w:val="0"/>
        </w:rPr>
        <w:t xml:space="preserve"> of </w:t>
      </w:r>
      <w:r>
        <w:rPr>
          <w:kern w:val="0"/>
        </w:rPr>
        <w:t>granulocyte colony-stimulating factor (G-CSF) therapy for cardiac repair after acute myocardial infarction (MI) have yielded divergent results</w:t>
      </w:r>
      <w:r w:rsidR="00A37C1D">
        <w:rPr>
          <w:kern w:val="0"/>
        </w:rPr>
        <w:t>. The</w:t>
      </w:r>
      <w:r>
        <w:rPr>
          <w:kern w:val="0"/>
        </w:rPr>
        <w:t xml:space="preserve"> effect</w:t>
      </w:r>
      <w:r w:rsidR="00427468">
        <w:rPr>
          <w:kern w:val="0"/>
        </w:rPr>
        <w:t xml:space="preserve"> of </w:t>
      </w:r>
      <w:r>
        <w:rPr>
          <w:kern w:val="0"/>
        </w:rPr>
        <w:t>G-CSF therapy on left ventricular (LV) function</w:t>
      </w:r>
      <w:r w:rsidR="005853A9">
        <w:rPr>
          <w:kern w:val="0"/>
        </w:rPr>
        <w:t xml:space="preserve"> and </w:t>
      </w:r>
      <w:r>
        <w:rPr>
          <w:kern w:val="0"/>
        </w:rPr>
        <w:t xml:space="preserve">structure in these patients remains unclear. Methods We searched </w:t>
      </w:r>
      <w:r w:rsidR="00D5664A">
        <w:rPr>
          <w:kern w:val="0"/>
        </w:rPr>
        <w:t>MEDLINE</w:t>
      </w:r>
      <w:r>
        <w:rPr>
          <w:kern w:val="0"/>
        </w:rPr>
        <w:t>, EMBASE, Science Citation Index, CINAHL,</w:t>
      </w:r>
      <w:r w:rsidR="005853A9">
        <w:rPr>
          <w:kern w:val="0"/>
        </w:rPr>
        <w:t xml:space="preserve"> and </w:t>
      </w:r>
      <w:r>
        <w:rPr>
          <w:kern w:val="0"/>
        </w:rPr>
        <w:t>the Cochrane CENTRAL database</w:t>
      </w:r>
      <w:r w:rsidR="00427468">
        <w:rPr>
          <w:kern w:val="0"/>
        </w:rPr>
        <w:t xml:space="preserve"> of </w:t>
      </w:r>
      <w:r>
        <w:rPr>
          <w:kern w:val="0"/>
        </w:rPr>
        <w:t>controlled clinical trials (July 2007) for randomized controlled trials</w:t>
      </w:r>
      <w:r w:rsidR="00427468">
        <w:rPr>
          <w:kern w:val="0"/>
        </w:rPr>
        <w:t xml:space="preserve"> of </w:t>
      </w:r>
      <w:r>
        <w:rPr>
          <w:kern w:val="0"/>
        </w:rPr>
        <w:t>G-CSF therapy in patients with acute MI. We conducted a fixed-effects, meta-analysis across 8 eligible studies (n = 385 patients). Results Compared with controls, G-CSIF therapy increased LV ejection fraction (EF) by 1.09%, increased LV scar size by 0.22%, decreased LV end-diastolic volume by 4.26 mL,</w:t>
      </w:r>
      <w:r w:rsidR="005853A9">
        <w:rPr>
          <w:kern w:val="0"/>
        </w:rPr>
        <w:t xml:space="preserve"> and </w:t>
      </w:r>
      <w:r>
        <w:rPr>
          <w:kern w:val="0"/>
        </w:rPr>
        <w:t>decreased LV end-systolic volume by 2.50 mL. None</w:t>
      </w:r>
      <w:r w:rsidR="00427468">
        <w:rPr>
          <w:kern w:val="0"/>
        </w:rPr>
        <w:t xml:space="preserve"> of </w:t>
      </w:r>
      <w:r>
        <w:rPr>
          <w:kern w:val="0"/>
        </w:rPr>
        <w:t>these effects were statistically significant</w:t>
      </w:r>
      <w:r w:rsidR="00A37C1D">
        <w:rPr>
          <w:kern w:val="0"/>
        </w:rPr>
        <w:t>. The</w:t>
      </w:r>
      <w:r>
        <w:rPr>
          <w:kern w:val="0"/>
        </w:rPr>
        <w:t xml:space="preserve"> risk</w:t>
      </w:r>
      <w:r w:rsidR="00427468">
        <w:rPr>
          <w:kern w:val="0"/>
        </w:rPr>
        <w:t xml:space="preserve"> of </w:t>
      </w:r>
      <w:r>
        <w:rPr>
          <w:kern w:val="0"/>
        </w:rPr>
        <w:t>death, recurrent MI,</w:t>
      </w:r>
      <w:r w:rsidR="005853A9">
        <w:rPr>
          <w:kern w:val="0"/>
        </w:rPr>
        <w:t xml:space="preserve"> and </w:t>
      </w:r>
      <w:r>
        <w:rPr>
          <w:kern w:val="0"/>
        </w:rPr>
        <w:t>in-stent restenosis was similar in G-CSF-treated patients</w:t>
      </w:r>
      <w:r w:rsidR="005853A9">
        <w:rPr>
          <w:kern w:val="0"/>
        </w:rPr>
        <w:t xml:space="preserve"> and </w:t>
      </w:r>
      <w:r>
        <w:rPr>
          <w:kern w:val="0"/>
        </w:rPr>
        <w:t>controls. Subgroup analysis revealed a modest but statistically significant increase in EF (4.73%, P &lt; .0001) with G-CSF therapy in studies that enrolled patients with mean EF &lt; 50% at baseline. Subgroup analysis also showed a significant increase in EF (4.65%, P &lt; .0001) when G-CSF was administered relatively early (&lt;= 37 hours) after the acute event. Conclusions Granulocyte colony-stimulating factor therapy in unselected patients with acute MI appears safe but does not provide an overall benefit. Subgroup analyses suggest that G-CSF therapy may be salutary in acute MI patients with LV dysfunction</w:t>
      </w:r>
      <w:r w:rsidR="005853A9">
        <w:rPr>
          <w:kern w:val="0"/>
        </w:rPr>
        <w:t xml:space="preserve"> and </w:t>
      </w:r>
      <w:r>
        <w:rPr>
          <w:kern w:val="0"/>
        </w:rPr>
        <w:t>when started early. Larger randomized studies may be conducted to evaluate the potential benefits</w:t>
      </w:r>
      <w:r w:rsidR="00427468">
        <w:rPr>
          <w:kern w:val="0"/>
        </w:rPr>
        <w:t xml:space="preserve"> of </w:t>
      </w:r>
      <w:r>
        <w:rPr>
          <w:kern w:val="0"/>
        </w:rPr>
        <w:t>early G-CSF therapy in acute MI patients with LV dysfunction.</w:t>
      </w:r>
    </w:p>
    <w:p w:rsidR="00AD7D1F" w:rsidRDefault="00AD7D1F" w:rsidP="00AD7D1F">
      <w:pPr>
        <w:pStyle w:val="a3"/>
        <w:rPr>
          <w:kern w:val="0"/>
        </w:rPr>
      </w:pPr>
      <w:r>
        <w:rPr>
          <w:kern w:val="0"/>
        </w:rPr>
        <w:t xml:space="preserve">Keywords: Analyses, Analysis, Bone-Marrow-Cells, Citation, Clinical, Clinical Studies, Clinical Trials, Clinical-Trials, Database, Death, Double-Blind, Effects, Embase, Function, G-Csf, Granulocyte, Granulocyte Colony-Stimulating Factor, Infarction, Left-Ventricular Function, </w:t>
      </w:r>
      <w:r w:rsidR="00D5664A">
        <w:rPr>
          <w:kern w:val="0"/>
        </w:rPr>
        <w:t>MEDLINE</w:t>
      </w:r>
      <w:r>
        <w:rPr>
          <w:kern w:val="0"/>
        </w:rPr>
        <w:t>, Meta Analysis, Meta-Analysis, Metaanalysis, Myocardial Infarction, P, Patients, Peripheral-Blood, Potential, Progenitor Cells, Quality, Randomized, Randomized Controlled Trials, Recurrent, Regeneration, Restenosis, Results, Review, Risk, Science, Science Citation Index, Size, Stem-Cell Mobilization, Structure, Systematic Review, Therapy, Tissue, Volume</w:t>
      </w:r>
    </w:p>
    <w:p w:rsidR="00591140" w:rsidRDefault="00591140" w:rsidP="00591140">
      <w:pPr>
        <w:pStyle w:val="a3"/>
        <w:rPr>
          <w:kern w:val="0"/>
        </w:rPr>
      </w:pPr>
      <w:r>
        <w:rPr>
          <w:rFonts w:hint="eastAsia"/>
          <w:kern w:val="0"/>
        </w:rPr>
        <w:t xml:space="preserve">? </w:t>
      </w:r>
      <w:r>
        <w:rPr>
          <w:kern w:val="0"/>
        </w:rPr>
        <w:t>Tleyjeh, I.M., Kashour, T., Zimmerman, V., Steckeelberg, J.M., Wilson, W.R.</w:t>
      </w:r>
      <w:r w:rsidR="005853A9">
        <w:rPr>
          <w:kern w:val="0"/>
        </w:rPr>
        <w:t xml:space="preserve"> and </w:t>
      </w:r>
      <w:r>
        <w:rPr>
          <w:kern w:val="0"/>
        </w:rPr>
        <w:t>Baddour, L.M. (2008</w:t>
      </w:r>
      <w:r w:rsidR="00F42EAC">
        <w:rPr>
          <w:kern w:val="0"/>
        </w:rPr>
        <w:t>), The</w:t>
      </w:r>
      <w:r w:rsidR="003A1917">
        <w:rPr>
          <w:kern w:val="0"/>
        </w:rPr>
        <w:t xml:space="preserve"> </w:t>
      </w:r>
      <w:r>
        <w:rPr>
          <w:kern w:val="0"/>
        </w:rPr>
        <w:t>role</w:t>
      </w:r>
      <w:r w:rsidR="00427468">
        <w:rPr>
          <w:kern w:val="0"/>
        </w:rPr>
        <w:t xml:space="preserve"> of </w:t>
      </w:r>
      <w:r>
        <w:rPr>
          <w:kern w:val="0"/>
        </w:rPr>
        <w:t xml:space="preserve">valve surgery in infective endocarditis </w:t>
      </w:r>
      <w:r>
        <w:rPr>
          <w:kern w:val="0"/>
        </w:rPr>
        <w:lastRenderedPageBreak/>
        <w:t>management: A systematic review</w:t>
      </w:r>
      <w:r w:rsidR="00427468">
        <w:rPr>
          <w:kern w:val="0"/>
        </w:rPr>
        <w:t xml:space="preserve"> of </w:t>
      </w:r>
      <w:r>
        <w:rPr>
          <w:kern w:val="0"/>
        </w:rPr>
        <w:t xml:space="preserve">observational studies that included propensity score analysis. </w:t>
      </w:r>
      <w:r>
        <w:rPr>
          <w:i/>
          <w:iCs/>
          <w:kern w:val="0"/>
        </w:rPr>
        <w:t>American Heart Journal</w:t>
      </w:r>
      <w:r>
        <w:rPr>
          <w:kern w:val="0"/>
        </w:rPr>
        <w:t xml:space="preserve">, </w:t>
      </w:r>
      <w:r>
        <w:rPr>
          <w:b/>
          <w:bCs/>
          <w:kern w:val="0"/>
        </w:rPr>
        <w:t>156</w:t>
      </w:r>
      <w:r>
        <w:rPr>
          <w:kern w:val="0"/>
        </w:rPr>
        <w:t xml:space="preserve"> (5), 901-909.</w:t>
      </w:r>
    </w:p>
    <w:p w:rsidR="00591140" w:rsidRPr="00F219CA" w:rsidRDefault="00591140" w:rsidP="00591140">
      <w:pPr>
        <w:pStyle w:val="a3"/>
      </w:pPr>
      <w:r w:rsidRPr="00F219CA">
        <w:t xml:space="preserve">Full Text: </w:t>
      </w:r>
      <w:hyperlink r:id="rId405" w:history="1">
        <w:r w:rsidR="00CD73F9" w:rsidRPr="00CD73F9">
          <w:rPr>
            <w:rStyle w:val="a5"/>
          </w:rPr>
          <w:t>2008\Ame Hea J156, 901.pdf</w:t>
        </w:r>
      </w:hyperlink>
    </w:p>
    <w:p w:rsidR="00591140" w:rsidRDefault="00591140" w:rsidP="00591140">
      <w:pPr>
        <w:pStyle w:val="a3"/>
        <w:rPr>
          <w:kern w:val="0"/>
        </w:rPr>
      </w:pPr>
      <w:r>
        <w:rPr>
          <w:kern w:val="0"/>
        </w:rPr>
        <w:t>Abstract: Background</w:t>
      </w:r>
      <w:r w:rsidR="003A1917">
        <w:rPr>
          <w:kern w:val="0"/>
        </w:rPr>
        <w:t xml:space="preserve"> the </w:t>
      </w:r>
      <w:r>
        <w:rPr>
          <w:kern w:val="0"/>
        </w:rPr>
        <w:t>potential role</w:t>
      </w:r>
      <w:r w:rsidR="00427468">
        <w:rPr>
          <w:kern w:val="0"/>
        </w:rPr>
        <w:t xml:space="preserve"> of </w:t>
      </w:r>
      <w:r>
        <w:rPr>
          <w:kern w:val="0"/>
        </w:rPr>
        <w:t>valve surgery in infective endocarditis (IE) management is controversial. No randomized trials have been conducted to date; accordingly, some studies use propensity score analysis (PSA) to minimize selection bias in observational studies. Methods A systematic review</w:t>
      </w:r>
      <w:r w:rsidR="00427468">
        <w:rPr>
          <w:kern w:val="0"/>
        </w:rPr>
        <w:t xml:space="preserve"> of </w:t>
      </w:r>
      <w:r w:rsidR="003A1917">
        <w:rPr>
          <w:kern w:val="0"/>
        </w:rPr>
        <w:t xml:space="preserve">the </w:t>
      </w:r>
      <w:r>
        <w:rPr>
          <w:kern w:val="0"/>
        </w:rPr>
        <w:t>literature addressing</w:t>
      </w:r>
      <w:r w:rsidR="003A1917">
        <w:rPr>
          <w:kern w:val="0"/>
        </w:rPr>
        <w:t xml:space="preserve"> the </w:t>
      </w:r>
      <w:r>
        <w:rPr>
          <w:kern w:val="0"/>
        </w:rPr>
        <w:t>role</w:t>
      </w:r>
      <w:r w:rsidR="00427468">
        <w:rPr>
          <w:kern w:val="0"/>
        </w:rPr>
        <w:t xml:space="preserve"> of </w:t>
      </w:r>
      <w:r>
        <w:rPr>
          <w:kern w:val="0"/>
        </w:rPr>
        <w:t>valve surgery in IE was performed. Studies in which PSA was applied to</w:t>
      </w:r>
      <w:r w:rsidR="003A1917">
        <w:rPr>
          <w:kern w:val="0"/>
        </w:rPr>
        <w:t xml:space="preserve"> the </w:t>
      </w:r>
      <w:r>
        <w:rPr>
          <w:kern w:val="0"/>
        </w:rPr>
        <w:t>management</w:t>
      </w:r>
      <w:r w:rsidR="00427468">
        <w:rPr>
          <w:kern w:val="0"/>
        </w:rPr>
        <w:t xml:space="preserve"> of </w:t>
      </w:r>
      <w:r>
        <w:rPr>
          <w:kern w:val="0"/>
        </w:rPr>
        <w:t xml:space="preserve">IE were identified using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Zetoc,</w:t>
      </w:r>
      <w:r w:rsidR="005853A9">
        <w:rPr>
          <w:kern w:val="0"/>
        </w:rPr>
        <w:t xml:space="preserve"> and </w:t>
      </w:r>
      <w:r>
        <w:rPr>
          <w:kern w:val="0"/>
        </w:rPr>
        <w:t>Article First from inception to June 2007. Cohort studies that compared valve surgery (combined with antimicrobial therapy) to antimicrobial therapy alone</w:t>
      </w:r>
      <w:r w:rsidR="005853A9">
        <w:rPr>
          <w:kern w:val="0"/>
        </w:rPr>
        <w:t xml:space="preserve"> and </w:t>
      </w:r>
      <w:r>
        <w:rPr>
          <w:kern w:val="0"/>
        </w:rPr>
        <w:t>used PSA to adjust for selection bias were eligible. Methodological details</w:t>
      </w:r>
      <w:r w:rsidR="005853A9">
        <w:rPr>
          <w:kern w:val="0"/>
        </w:rPr>
        <w:t xml:space="preserve"> and </w:t>
      </w:r>
      <w:r>
        <w:rPr>
          <w:kern w:val="0"/>
        </w:rPr>
        <w:t>outcomes were compared to assess methodclogical quality. Results Six cohort studies that enrolled a total</w:t>
      </w:r>
      <w:r w:rsidR="00427468">
        <w:rPr>
          <w:kern w:val="0"/>
        </w:rPr>
        <w:t xml:space="preserve"> of </w:t>
      </w:r>
      <w:r>
        <w:rPr>
          <w:kern w:val="0"/>
        </w:rPr>
        <w:t>3,409 patients with either native valve endocarditis (NVE) or prosthetic valve endocarditis (PVE) were eligible</w:t>
      </w:r>
      <w:r w:rsidR="00A37C1D">
        <w:rPr>
          <w:kern w:val="0"/>
        </w:rPr>
        <w:t>. The</w:t>
      </w:r>
      <w:r w:rsidR="003A1917">
        <w:rPr>
          <w:kern w:val="0"/>
        </w:rPr>
        <w:t xml:space="preserve"> </w:t>
      </w:r>
      <w:r>
        <w:rPr>
          <w:kern w:val="0"/>
        </w:rPr>
        <w:t>proportions</w:t>
      </w:r>
      <w:r w:rsidR="00427468">
        <w:rPr>
          <w:kern w:val="0"/>
        </w:rPr>
        <w:t xml:space="preserve"> of </w:t>
      </w:r>
      <w:r>
        <w:rPr>
          <w:kern w:val="0"/>
        </w:rPr>
        <w:t>IE cases undergoing valve surgery ranged from 28.9% to 41.7% for PVE</w:t>
      </w:r>
      <w:r w:rsidR="005853A9">
        <w:rPr>
          <w:kern w:val="0"/>
        </w:rPr>
        <w:t xml:space="preserve"> and </w:t>
      </w:r>
      <w:r>
        <w:rPr>
          <w:kern w:val="0"/>
        </w:rPr>
        <w:t>from 20.8% to 49.3% for NVE. Two studies suggested a statistically significant survival benefit with surgery in patients with NVE Data from 2 other patient cohorts (PVE</w:t>
      </w:r>
      <w:r w:rsidR="005853A9">
        <w:rPr>
          <w:kern w:val="0"/>
        </w:rPr>
        <w:t xml:space="preserve"> and </w:t>
      </w:r>
      <w:r>
        <w:rPr>
          <w:kern w:val="0"/>
        </w:rPr>
        <w:t>NVE) revealed conflicting results. No statistically significant associations were found in</w:t>
      </w:r>
      <w:r w:rsidR="003A1917">
        <w:rPr>
          <w:kern w:val="0"/>
        </w:rPr>
        <w:t xml:space="preserve"> the </w:t>
      </w:r>
      <w:r>
        <w:rPr>
          <w:kern w:val="0"/>
        </w:rPr>
        <w:t>remaining studies. Conclusions There am several limitations</w:t>
      </w:r>
      <w:r w:rsidR="00427468">
        <w:rPr>
          <w:kern w:val="0"/>
        </w:rPr>
        <w:t xml:space="preserve"> of </w:t>
      </w:r>
      <w:r>
        <w:rPr>
          <w:kern w:val="0"/>
        </w:rPr>
        <w:t>available cohort studies that assess</w:t>
      </w:r>
      <w:r w:rsidR="003A1917">
        <w:rPr>
          <w:kern w:val="0"/>
        </w:rPr>
        <w:t xml:space="preserve"> the </w:t>
      </w:r>
      <w:r>
        <w:rPr>
          <w:kern w:val="0"/>
        </w:rPr>
        <w:t>role</w:t>
      </w:r>
      <w:r w:rsidR="00427468">
        <w:rPr>
          <w:kern w:val="0"/>
        </w:rPr>
        <w:t xml:space="preserve"> of </w:t>
      </w:r>
      <w:r>
        <w:rPr>
          <w:kern w:val="0"/>
        </w:rPr>
        <w:t>valve surgery in IE. Well-designed prospective siudies that address these limitations ore needed to further define</w:t>
      </w:r>
      <w:r w:rsidR="003A1917">
        <w:rPr>
          <w:kern w:val="0"/>
        </w:rPr>
        <w:t xml:space="preserve"> the </w:t>
      </w:r>
      <w:r>
        <w:rPr>
          <w:kern w:val="0"/>
        </w:rPr>
        <w:t>role</w:t>
      </w:r>
      <w:r w:rsidR="00427468">
        <w:rPr>
          <w:kern w:val="0"/>
        </w:rPr>
        <w:t xml:space="preserve"> of </w:t>
      </w:r>
      <w:r>
        <w:rPr>
          <w:kern w:val="0"/>
        </w:rPr>
        <w:t>surgery in IE. Until then, careful scrutiny is warranted when making management decisions in complicated, left-sided IE. (Am Heart J 2008; 156:901-9.).</w:t>
      </w:r>
    </w:p>
    <w:p w:rsidR="00591140" w:rsidRDefault="00591140" w:rsidP="00591140">
      <w:pPr>
        <w:pStyle w:val="a3"/>
        <w:rPr>
          <w:kern w:val="0"/>
        </w:rPr>
      </w:pPr>
      <w:r>
        <w:rPr>
          <w:kern w:val="0"/>
        </w:rPr>
        <w:t xml:space="preserve">Keywords: 6-Month Mortality, Adults, Analysis, Antimicrobial Therapy, Association, Bias, Cohort, Cohort Studies, Endocarditis, Impact, Instrumental Variables, Literature, Management, Methods, Observational Studies, Outcomes, Propensity Score, Review, Science, Selection Bias, Stroke, Surgery, Survival, Systematic, Systematic Review, Therapy, </w:t>
      </w:r>
      <w:r w:rsidR="00D5664A">
        <w:rPr>
          <w:kern w:val="0"/>
        </w:rPr>
        <w:t>Web</w:t>
      </w:r>
      <w:r w:rsidR="00427468">
        <w:rPr>
          <w:kern w:val="0"/>
        </w:rPr>
        <w:t xml:space="preserve"> of </w:t>
      </w:r>
      <w:r w:rsidR="00D5664A">
        <w:rPr>
          <w:kern w:val="0"/>
        </w:rPr>
        <w:t>Science</w:t>
      </w:r>
    </w:p>
    <w:p w:rsidR="00591140" w:rsidRDefault="00591140" w:rsidP="00591140">
      <w:pPr>
        <w:pStyle w:val="a3"/>
        <w:rPr>
          <w:kern w:val="0"/>
        </w:rPr>
      </w:pPr>
      <w:r>
        <w:rPr>
          <w:rFonts w:hint="eastAsia"/>
          <w:kern w:val="0"/>
        </w:rPr>
        <w:t xml:space="preserve">? </w:t>
      </w:r>
      <w:r>
        <w:rPr>
          <w:kern w:val="0"/>
        </w:rPr>
        <w:t>Mommersteeg, P.M.C., Denollet, J., Spertus, J.A.</w:t>
      </w:r>
      <w:r w:rsidR="005853A9">
        <w:rPr>
          <w:kern w:val="0"/>
        </w:rPr>
        <w:t xml:space="preserve"> and </w:t>
      </w:r>
      <w:r>
        <w:rPr>
          <w:kern w:val="0"/>
        </w:rPr>
        <w:t>Pedersen, S.S. (2009), Health status as a risk factor in cardiovascular disease: A systematic review</w:t>
      </w:r>
      <w:r w:rsidR="00427468">
        <w:rPr>
          <w:kern w:val="0"/>
        </w:rPr>
        <w:t xml:space="preserve"> of </w:t>
      </w:r>
      <w:r>
        <w:rPr>
          <w:kern w:val="0"/>
        </w:rPr>
        <w:t xml:space="preserve">current evidence. </w:t>
      </w:r>
      <w:r>
        <w:rPr>
          <w:i/>
          <w:iCs/>
          <w:kern w:val="0"/>
        </w:rPr>
        <w:t>American Heart Journal</w:t>
      </w:r>
      <w:r>
        <w:rPr>
          <w:kern w:val="0"/>
        </w:rPr>
        <w:t xml:space="preserve">, </w:t>
      </w:r>
      <w:r>
        <w:rPr>
          <w:b/>
          <w:bCs/>
          <w:kern w:val="0"/>
        </w:rPr>
        <w:t>157</w:t>
      </w:r>
      <w:r>
        <w:rPr>
          <w:kern w:val="0"/>
        </w:rPr>
        <w:t xml:space="preserve"> (2), 208-218.</w:t>
      </w:r>
    </w:p>
    <w:p w:rsidR="00591140" w:rsidRPr="00F219CA" w:rsidRDefault="00591140" w:rsidP="00591140">
      <w:pPr>
        <w:pStyle w:val="a3"/>
      </w:pPr>
      <w:r w:rsidRPr="00F219CA">
        <w:t xml:space="preserve">Full Text: </w:t>
      </w:r>
      <w:hyperlink r:id="rId406" w:history="1">
        <w:r w:rsidRPr="00591140">
          <w:rPr>
            <w:rStyle w:val="a5"/>
          </w:rPr>
          <w:t>2009\Ame Hea J157, 208.pdf</w:t>
        </w:r>
      </w:hyperlink>
    </w:p>
    <w:p w:rsidR="00591140" w:rsidRDefault="00591140" w:rsidP="00591140">
      <w:pPr>
        <w:pStyle w:val="a3"/>
        <w:rPr>
          <w:kern w:val="0"/>
        </w:rPr>
      </w:pPr>
      <w:r>
        <w:rPr>
          <w:kern w:val="0"/>
        </w:rPr>
        <w:t>Abstract: Background Patient-perceived health status is receiving increased recognition as a patient-centered outcome in chronic heart failure (CHF)</w:t>
      </w:r>
      <w:r w:rsidR="005853A9">
        <w:rPr>
          <w:kern w:val="0"/>
        </w:rPr>
        <w:t xml:space="preserve"> and </w:t>
      </w:r>
      <w:r>
        <w:rPr>
          <w:kern w:val="0"/>
        </w:rPr>
        <w:t>coronary artery disease (CAD), but poor health status is also associated with adverse prognosis. In this systematic review, we examined current evidence on</w:t>
      </w:r>
      <w:r w:rsidR="003A1917">
        <w:rPr>
          <w:kern w:val="0"/>
        </w:rPr>
        <w:t xml:space="preserve"> the </w:t>
      </w:r>
      <w:r>
        <w:rPr>
          <w:kern w:val="0"/>
        </w:rPr>
        <w:t>influence</w:t>
      </w:r>
      <w:r w:rsidR="00427468">
        <w:rPr>
          <w:kern w:val="0"/>
        </w:rPr>
        <w:t xml:space="preserve"> of </w:t>
      </w:r>
      <w:r>
        <w:rPr>
          <w:kern w:val="0"/>
        </w:rPr>
        <w:t>health status on prognosis in CHF</w:t>
      </w:r>
      <w:r w:rsidR="005853A9">
        <w:rPr>
          <w:kern w:val="0"/>
        </w:rPr>
        <w:t xml:space="preserve"> and </w:t>
      </w:r>
      <w:r>
        <w:rPr>
          <w:kern w:val="0"/>
        </w:rPr>
        <w:t>CAD. Methods We conducted a search</w:t>
      </w:r>
      <w:r w:rsidR="00427468">
        <w:rPr>
          <w:kern w:val="0"/>
        </w:rPr>
        <w:t xml:space="preserve"> of </w:t>
      </w:r>
      <w:r w:rsidR="002C12F0">
        <w:rPr>
          <w:kern w:val="0"/>
        </w:rPr>
        <w:t>PUBMED</w:t>
      </w:r>
      <w:r>
        <w:rPr>
          <w:kern w:val="0"/>
        </w:rPr>
        <w:t xml:space="preserve"> using a set</w:t>
      </w:r>
      <w:r w:rsidR="00427468">
        <w:rPr>
          <w:kern w:val="0"/>
        </w:rPr>
        <w:t xml:space="preserve"> of </w:t>
      </w:r>
      <w:r>
        <w:rPr>
          <w:kern w:val="0"/>
        </w:rPr>
        <w:t>a priori-defined search terms,</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for newly cited </w:t>
      </w:r>
      <w:r>
        <w:rPr>
          <w:kern w:val="0"/>
        </w:rPr>
        <w:lastRenderedPageBreak/>
        <w:t>articles,</w:t>
      </w:r>
      <w:r w:rsidR="005853A9">
        <w:rPr>
          <w:kern w:val="0"/>
        </w:rPr>
        <w:t xml:space="preserve"> and </w:t>
      </w:r>
      <w:r w:rsidR="003A1917">
        <w:rPr>
          <w:kern w:val="0"/>
        </w:rPr>
        <w:t xml:space="preserve">the </w:t>
      </w:r>
      <w:r>
        <w:rPr>
          <w:kern w:val="0"/>
        </w:rPr>
        <w:t>reference lists</w:t>
      </w:r>
      <w:r w:rsidR="00427468">
        <w:rPr>
          <w:kern w:val="0"/>
        </w:rPr>
        <w:t xml:space="preserve"> of </w:t>
      </w:r>
      <w:r>
        <w:rPr>
          <w:kern w:val="0"/>
        </w:rPr>
        <w:t>eligible articles, resulting in 34 articles. Results Poor physical health status was a significant predictor for adverse health outcomes inpatients with CHF</w:t>
      </w:r>
      <w:r w:rsidR="005853A9">
        <w:rPr>
          <w:kern w:val="0"/>
        </w:rPr>
        <w:t xml:space="preserve"> and </w:t>
      </w:r>
      <w:r>
        <w:rPr>
          <w:kern w:val="0"/>
        </w:rPr>
        <w:t>CAD. In CHF, poor physical health status seemed to be a stronger predictor</w:t>
      </w:r>
      <w:r w:rsidR="00427468">
        <w:rPr>
          <w:kern w:val="0"/>
        </w:rPr>
        <w:t xml:space="preserve"> of </w:t>
      </w:r>
      <w:r>
        <w:rPr>
          <w:kern w:val="0"/>
        </w:rPr>
        <w:t>hospitalization than mortality. Little evidence was found that poor mental health status is associated with adverse prognosis in CHF</w:t>
      </w:r>
      <w:r w:rsidR="005853A9">
        <w:rPr>
          <w:kern w:val="0"/>
        </w:rPr>
        <w:t xml:space="preserve"> and </w:t>
      </w:r>
      <w:r>
        <w:rPr>
          <w:kern w:val="0"/>
        </w:rPr>
        <w:t>CAD. A disease-specific measure was a better predictor in CHF, but not in CAD</w:t>
      </w:r>
      <w:r w:rsidR="00A37C1D">
        <w:rPr>
          <w:kern w:val="0"/>
        </w:rPr>
        <w:t>. The</w:t>
      </w:r>
      <w:r w:rsidR="003A1917">
        <w:rPr>
          <w:kern w:val="0"/>
        </w:rPr>
        <w:t xml:space="preserve"> </w:t>
      </w:r>
      <w:r>
        <w:rPr>
          <w:kern w:val="0"/>
        </w:rPr>
        <w:t>majority</w:t>
      </w:r>
      <w:r w:rsidR="00427468">
        <w:rPr>
          <w:kern w:val="0"/>
        </w:rPr>
        <w:t xml:space="preserve"> of </w:t>
      </w:r>
      <w:r>
        <w:rPr>
          <w:kern w:val="0"/>
        </w:rPr>
        <w:t>studies adjusted for an objective measure</w:t>
      </w:r>
      <w:r w:rsidR="00427468">
        <w:rPr>
          <w:kern w:val="0"/>
        </w:rPr>
        <w:t xml:space="preserve"> of </w:t>
      </w:r>
      <w:r>
        <w:rPr>
          <w:kern w:val="0"/>
        </w:rPr>
        <w:t>disease severity. Neither</w:t>
      </w:r>
      <w:r w:rsidR="003A1917">
        <w:rPr>
          <w:kern w:val="0"/>
        </w:rPr>
        <w:t xml:space="preserve"> the </w:t>
      </w:r>
      <w:r>
        <w:rPr>
          <w:kern w:val="0"/>
        </w:rPr>
        <w:t>index event nor time to follow-up appeared to influence</w:t>
      </w:r>
      <w:r w:rsidR="003A1917">
        <w:rPr>
          <w:kern w:val="0"/>
        </w:rPr>
        <w:t xml:space="preserve"> the </w:t>
      </w:r>
      <w:r>
        <w:rPr>
          <w:kern w:val="0"/>
        </w:rPr>
        <w:t>predictive value</w:t>
      </w:r>
      <w:r w:rsidR="00427468">
        <w:rPr>
          <w:kern w:val="0"/>
        </w:rPr>
        <w:t xml:space="preserve"> of </w:t>
      </w:r>
      <w:r>
        <w:rPr>
          <w:kern w:val="0"/>
        </w:rPr>
        <w:t>health status. Conclusions Poor physical health status is associated with adverse CAD</w:t>
      </w:r>
      <w:r w:rsidR="005853A9">
        <w:rPr>
          <w:kern w:val="0"/>
        </w:rPr>
        <w:t xml:space="preserve"> and </w:t>
      </w:r>
      <w:r>
        <w:rPr>
          <w:kern w:val="0"/>
        </w:rPr>
        <w:t>CHF prognosis. Heterogeneity across studies makes definitive conclusions difficult as to which components</w:t>
      </w:r>
      <w:r w:rsidR="00427468">
        <w:rPr>
          <w:kern w:val="0"/>
        </w:rPr>
        <w:t xml:space="preserve"> of </w:t>
      </w:r>
      <w:r>
        <w:rPr>
          <w:kern w:val="0"/>
        </w:rPr>
        <w:t>health status may be detrimental to patients</w:t>
      </w:r>
      <w:r w:rsidR="00700038">
        <w:rPr>
          <w:kern w:val="0"/>
        </w:rPr>
        <w:t>’</w:t>
      </w:r>
      <w:r>
        <w:rPr>
          <w:kern w:val="0"/>
        </w:rPr>
        <w:t xml:space="preserve"> health,</w:t>
      </w:r>
      <w:r w:rsidR="005853A9">
        <w:rPr>
          <w:kern w:val="0"/>
        </w:rPr>
        <w:t xml:space="preserve"> and </w:t>
      </w:r>
      <w:r>
        <w:rPr>
          <w:kern w:val="0"/>
        </w:rPr>
        <w:t>how health status as a potential risk factor should be assessed, monitored,</w:t>
      </w:r>
      <w:r w:rsidR="005853A9">
        <w:rPr>
          <w:kern w:val="0"/>
        </w:rPr>
        <w:t xml:space="preserve"> and </w:t>
      </w:r>
      <w:r>
        <w:rPr>
          <w:kern w:val="0"/>
        </w:rPr>
        <w:t>intervened upon in clinical practice. (Am Heart J 2009; 157:208-18.).</w:t>
      </w:r>
    </w:p>
    <w:p w:rsidR="00591140" w:rsidRDefault="00591140" w:rsidP="00591140">
      <w:pPr>
        <w:pStyle w:val="a3"/>
        <w:rPr>
          <w:kern w:val="0"/>
        </w:rPr>
      </w:pPr>
      <w:r>
        <w:rPr>
          <w:kern w:val="0"/>
        </w:rPr>
        <w:t>Keywords: Bypass Graft-Surgery, Cardiac Patients, Cardiovascular, Cardiovascular Disease, Chronic Heart-Failure, Coronary-Artery-Disease, Disease, Elderly-Patients, Follow</w:t>
      </w:r>
      <w:r w:rsidR="0062028A">
        <w:rPr>
          <w:kern w:val="0"/>
        </w:rPr>
        <w:t>-up,</w:t>
      </w:r>
      <w:r>
        <w:rPr>
          <w:kern w:val="0"/>
        </w:rPr>
        <w:t xml:space="preserve"> Health, Health Outcomes, Health Status, Hospitalization, Mental Health, Methods, Mortality, Myocardial-Infarction, Outcome, Outcomes, Practice, Prognosis, Prognostic Value, </w:t>
      </w:r>
      <w:r w:rsidR="002C12F0">
        <w:rPr>
          <w:kern w:val="0"/>
        </w:rPr>
        <w:t>PUBMED</w:t>
      </w:r>
      <w:r>
        <w:rPr>
          <w:kern w:val="0"/>
        </w:rPr>
        <w:t>, Quality</w:t>
      </w:r>
      <w:r w:rsidR="00434900">
        <w:rPr>
          <w:kern w:val="0"/>
        </w:rPr>
        <w:t>-of-</w:t>
      </w:r>
      <w:r>
        <w:rPr>
          <w:kern w:val="0"/>
        </w:rPr>
        <w:t xml:space="preserve">Life, Review, Risk, Science, Self-Rated Health, Systematic, Systematic Review, </w:t>
      </w:r>
      <w:r w:rsidR="00D5664A">
        <w:rPr>
          <w:kern w:val="0"/>
        </w:rPr>
        <w:t>Web</w:t>
      </w:r>
      <w:r w:rsidR="00427468">
        <w:rPr>
          <w:kern w:val="0"/>
        </w:rPr>
        <w:t xml:space="preserve"> of </w:t>
      </w:r>
      <w:r w:rsidR="00D5664A">
        <w:rPr>
          <w:kern w:val="0"/>
        </w:rPr>
        <w:t>Science</w:t>
      </w:r>
    </w:p>
    <w:p w:rsidR="00517F0C" w:rsidRDefault="00517F0C" w:rsidP="00517F0C">
      <w:pPr>
        <w:pStyle w:val="a3"/>
        <w:rPr>
          <w:kern w:val="0"/>
        </w:rPr>
      </w:pPr>
      <w:r>
        <w:rPr>
          <w:rFonts w:hint="eastAsia"/>
          <w:kern w:val="0"/>
        </w:rPr>
        <w:t xml:space="preserve">? </w:t>
      </w:r>
      <w:r>
        <w:rPr>
          <w:kern w:val="0"/>
        </w:rPr>
        <w:t>Siontis, G.C.M., Tatsioni, A., Katritsis, D.G.</w:t>
      </w:r>
      <w:r w:rsidR="005853A9">
        <w:rPr>
          <w:kern w:val="0"/>
        </w:rPr>
        <w:t xml:space="preserve"> and </w:t>
      </w:r>
      <w:r>
        <w:rPr>
          <w:kern w:val="0"/>
        </w:rPr>
        <w:t xml:space="preserve">Ioannidis, J.P.A. (2009), Persistent reservations against contradicted percutaneous coronary intervention indications: Citation content analysis. </w:t>
      </w:r>
      <w:r>
        <w:rPr>
          <w:i/>
          <w:iCs/>
          <w:kern w:val="0"/>
        </w:rPr>
        <w:t>American Heart Journal</w:t>
      </w:r>
      <w:r>
        <w:rPr>
          <w:kern w:val="0"/>
        </w:rPr>
        <w:t xml:space="preserve">, </w:t>
      </w:r>
      <w:r>
        <w:rPr>
          <w:b/>
          <w:bCs/>
          <w:kern w:val="0"/>
        </w:rPr>
        <w:t>157</w:t>
      </w:r>
      <w:r>
        <w:rPr>
          <w:kern w:val="0"/>
        </w:rPr>
        <w:t xml:space="preserve"> (4), 695-701.</w:t>
      </w:r>
    </w:p>
    <w:p w:rsidR="00517F0C" w:rsidRPr="00F219CA" w:rsidRDefault="00517F0C" w:rsidP="00517F0C">
      <w:pPr>
        <w:pStyle w:val="a3"/>
      </w:pPr>
      <w:r w:rsidRPr="00F219CA">
        <w:t xml:space="preserve">Full Text: </w:t>
      </w:r>
      <w:hyperlink r:id="rId407" w:history="1">
        <w:r w:rsidRPr="00A37C10">
          <w:rPr>
            <w:rStyle w:val="a5"/>
          </w:rPr>
          <w:t>2009\Ame Hea J157, 695.pdf</w:t>
        </w:r>
      </w:hyperlink>
    </w:p>
    <w:p w:rsidR="00517F0C" w:rsidRDefault="00517F0C" w:rsidP="00517F0C">
      <w:pPr>
        <w:pStyle w:val="a3"/>
        <w:rPr>
          <w:kern w:val="0"/>
        </w:rPr>
      </w:pPr>
      <w:r>
        <w:rPr>
          <w:kern w:val="0"/>
        </w:rPr>
        <w:t>Abstract: Background Two large trials, Clinical Outcomes Utilizing Revascularization</w:t>
      </w:r>
      <w:r w:rsidR="005853A9">
        <w:rPr>
          <w:kern w:val="0"/>
        </w:rPr>
        <w:t xml:space="preserve"> and </w:t>
      </w:r>
      <w:r>
        <w:rPr>
          <w:kern w:val="0"/>
        </w:rPr>
        <w:t>Aggressive Drug Evaluation (COURAGE)</w:t>
      </w:r>
      <w:r w:rsidR="005853A9">
        <w:rPr>
          <w:kern w:val="0"/>
        </w:rPr>
        <w:t xml:space="preserve"> and </w:t>
      </w:r>
      <w:r>
        <w:rPr>
          <w:kern w:val="0"/>
        </w:rPr>
        <w:t>Occluded Artery Trial (OAT), found no benefits</w:t>
      </w:r>
      <w:r w:rsidR="00427468">
        <w:rPr>
          <w:kern w:val="0"/>
        </w:rPr>
        <w:t xml:space="preserve"> of </w:t>
      </w:r>
      <w:r>
        <w:rPr>
          <w:kern w:val="0"/>
        </w:rPr>
        <w:t>percutaneous coronary intervention (PCI) versus optimal medical therapy in chronic stable coronary artery disease</w:t>
      </w:r>
      <w:r w:rsidR="005853A9">
        <w:rPr>
          <w:kern w:val="0"/>
        </w:rPr>
        <w:t xml:space="preserve"> and </w:t>
      </w:r>
      <w:r>
        <w:rPr>
          <w:kern w:val="0"/>
        </w:rPr>
        <w:t>chronic total occlusion. Methods We examined</w:t>
      </w:r>
      <w:r w:rsidR="003A1917">
        <w:rPr>
          <w:kern w:val="0"/>
        </w:rPr>
        <w:t xml:space="preserve"> the </w:t>
      </w:r>
      <w:r>
        <w:rPr>
          <w:kern w:val="0"/>
        </w:rPr>
        <w:t>stance</w:t>
      </w:r>
      <w:r w:rsidR="00427468">
        <w:rPr>
          <w:kern w:val="0"/>
        </w:rPr>
        <w:t xml:space="preserve"> of </w:t>
      </w:r>
      <w:r>
        <w:rPr>
          <w:kern w:val="0"/>
        </w:rPr>
        <w:t>articles citing COURAGE</w:t>
      </w:r>
      <w:r w:rsidR="005853A9">
        <w:rPr>
          <w:kern w:val="0"/>
        </w:rPr>
        <w:t xml:space="preserve"> and </w:t>
      </w:r>
      <w:r>
        <w:rPr>
          <w:kern w:val="0"/>
        </w:rPr>
        <w:t>OAT to determine whether some authors continue to defend PCI despite this evidence, what persisting counterarguments are raised to express reservations,</w:t>
      </w:r>
      <w:r w:rsidR="005853A9">
        <w:rPr>
          <w:kern w:val="0"/>
        </w:rPr>
        <w:t xml:space="preserve"> and </w:t>
      </w:r>
      <w:r>
        <w:rPr>
          <w:kern w:val="0"/>
        </w:rPr>
        <w:t>whether specific characteristics</w:t>
      </w:r>
      <w:r w:rsidR="00427468">
        <w:rPr>
          <w:kern w:val="0"/>
        </w:rPr>
        <w:t xml:space="preserve"> of </w:t>
      </w:r>
      <w:r w:rsidR="003A1917">
        <w:rPr>
          <w:kern w:val="0"/>
        </w:rPr>
        <w:t xml:space="preserve">the </w:t>
      </w:r>
      <w:r>
        <w:rPr>
          <w:kern w:val="0"/>
        </w:rPr>
        <w:t>citations are associated with reservations. We evaluated all citing articles entered in</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until February 1, 2008. Specific characteristics were recorded for each eligible citation,</w:t>
      </w:r>
      <w:r w:rsidR="005853A9">
        <w:rPr>
          <w:kern w:val="0"/>
        </w:rPr>
        <w:t xml:space="preserve"> and </w:t>
      </w:r>
      <w:r>
        <w:rPr>
          <w:kern w:val="0"/>
        </w:rPr>
        <w:t>a citation content analysis was performed. Counterarguments were categorized on participants, interventions, comparisons,</w:t>
      </w:r>
      <w:r w:rsidR="005853A9">
        <w:rPr>
          <w:kern w:val="0"/>
        </w:rPr>
        <w:t xml:space="preserve"> and </w:t>
      </w:r>
      <w:r>
        <w:rPr>
          <w:kern w:val="0"/>
        </w:rPr>
        <w:t>outcomes. Results</w:t>
      </w:r>
      <w:r w:rsidR="00427468">
        <w:rPr>
          <w:kern w:val="0"/>
        </w:rPr>
        <w:t xml:space="preserve"> of </w:t>
      </w:r>
      <w:r>
        <w:rPr>
          <w:kern w:val="0"/>
        </w:rPr>
        <w:t>54 articles citing COURAGE</w:t>
      </w:r>
      <w:r w:rsidR="005853A9">
        <w:rPr>
          <w:kern w:val="0"/>
        </w:rPr>
        <w:t xml:space="preserve"> and </w:t>
      </w:r>
      <w:r>
        <w:rPr>
          <w:kern w:val="0"/>
        </w:rPr>
        <w:t>33 articles citing OAT, 10 (19%)</w:t>
      </w:r>
      <w:r w:rsidR="005853A9">
        <w:rPr>
          <w:kern w:val="0"/>
        </w:rPr>
        <w:t xml:space="preserve"> and </w:t>
      </w:r>
      <w:r>
        <w:rPr>
          <w:kern w:val="0"/>
        </w:rPr>
        <w:t>5 (15%), respectively, had an overall reserved stance. Alluded reservations included lack</w:t>
      </w:r>
      <w:r w:rsidR="00427468">
        <w:rPr>
          <w:kern w:val="0"/>
        </w:rPr>
        <w:t xml:space="preserve"> of </w:t>
      </w:r>
      <w:r>
        <w:rPr>
          <w:kern w:val="0"/>
        </w:rPr>
        <w:t>power, eroded effects from crossover, selective inclusion</w:t>
      </w:r>
      <w:r w:rsidR="005853A9">
        <w:rPr>
          <w:kern w:val="0"/>
        </w:rPr>
        <w:t xml:space="preserve"> and </w:t>
      </w:r>
      <w:r>
        <w:rPr>
          <w:kern w:val="0"/>
        </w:rPr>
        <w:t>exclusion</w:t>
      </w:r>
      <w:r w:rsidR="00427468">
        <w:rPr>
          <w:kern w:val="0"/>
        </w:rPr>
        <w:t xml:space="preserve"> of </w:t>
      </w:r>
      <w:r>
        <w:rPr>
          <w:kern w:val="0"/>
        </w:rPr>
        <w:t>specific types</w:t>
      </w:r>
      <w:r w:rsidR="00427468">
        <w:rPr>
          <w:kern w:val="0"/>
        </w:rPr>
        <w:t xml:space="preserve"> of </w:t>
      </w:r>
      <w:r>
        <w:rPr>
          <w:kern w:val="0"/>
        </w:rPr>
        <w:t>patients, suboptimal clinical setting, use</w:t>
      </w:r>
      <w:r w:rsidR="00427468">
        <w:rPr>
          <w:kern w:val="0"/>
        </w:rPr>
        <w:t xml:space="preserve"> of </w:t>
      </w:r>
      <w:r>
        <w:rPr>
          <w:kern w:val="0"/>
        </w:rPr>
        <w:t>bare-metal stents, suspiciously good results in</w:t>
      </w:r>
      <w:r w:rsidR="003A1917">
        <w:rPr>
          <w:kern w:val="0"/>
        </w:rPr>
        <w:t xml:space="preserve"> the </w:t>
      </w:r>
      <w:r>
        <w:rPr>
          <w:kern w:val="0"/>
        </w:rPr>
        <w:t>conservative treatment arm,</w:t>
      </w:r>
      <w:r w:rsidR="005853A9">
        <w:rPr>
          <w:kern w:val="0"/>
        </w:rPr>
        <w:t xml:space="preserve"> and </w:t>
      </w:r>
      <w:r>
        <w:rPr>
          <w:kern w:val="0"/>
        </w:rPr>
        <w:lastRenderedPageBreak/>
        <w:t>suboptimal outcome choices or definitions. Reserved articles were more likely than unreserved ones to have an interventional cardiologist as corresponding author (odds ratio 5.2, 95% confidence interval 1.6-17.1; P = .007)</w:t>
      </w:r>
      <w:r w:rsidR="005853A9">
        <w:rPr>
          <w:kern w:val="0"/>
        </w:rPr>
        <w:t xml:space="preserve"> and </w:t>
      </w:r>
      <w:r>
        <w:rPr>
          <w:kern w:val="0"/>
        </w:rPr>
        <w:t>to be commentaries focusing on one</w:t>
      </w:r>
      <w:r w:rsidR="00427468">
        <w:rPr>
          <w:kern w:val="0"/>
        </w:rPr>
        <w:t xml:space="preserve"> of </w:t>
      </w:r>
      <w:r>
        <w:rPr>
          <w:kern w:val="0"/>
        </w:rPr>
        <w:t>these trials (odds ratio 3.3, 95% confidence interval 1.0-11.0; P = .05). Conclusions Despite strong randomized evidence, a fraction</w:t>
      </w:r>
      <w:r w:rsidR="00427468">
        <w:rPr>
          <w:kern w:val="0"/>
        </w:rPr>
        <w:t xml:space="preserve"> of </w:t>
      </w:r>
      <w:r w:rsidR="003A1917">
        <w:rPr>
          <w:kern w:val="0"/>
        </w:rPr>
        <w:t xml:space="preserve">the </w:t>
      </w:r>
      <w:r>
        <w:rPr>
          <w:kern w:val="0"/>
        </w:rPr>
        <w:t>literature, mostly corresponded by interventional cardiologists, continues to raise reservations about recently contradicted indications</w:t>
      </w:r>
      <w:r w:rsidR="00427468">
        <w:rPr>
          <w:kern w:val="0"/>
        </w:rPr>
        <w:t xml:space="preserve"> of </w:t>
      </w:r>
      <w:r>
        <w:rPr>
          <w:kern w:val="0"/>
        </w:rPr>
        <w:t>PCI. (Am Heart J 2009; 157:695-701.).</w:t>
      </w:r>
    </w:p>
    <w:p w:rsidR="00517F0C" w:rsidRDefault="00517F0C" w:rsidP="00517F0C">
      <w:pPr>
        <w:pStyle w:val="a3"/>
        <w:rPr>
          <w:kern w:val="0"/>
        </w:rPr>
      </w:pPr>
      <w:r>
        <w:rPr>
          <w:kern w:val="0"/>
        </w:rPr>
        <w:t xml:space="preserve">Keywords: Analysis, Author, Authors, Bare Metal Stents, Chronic Total Occlusions, Citation, Citations, Clinical-Outcomes, Content Analysis, Coronary Artery Disease, Courage Trial, Definitions, Disease, Evaluation, Intervention, Interventions, Late Reperfusion, Literature, Medical, Medical Therapy, Methods, Myocardial-Infarction, Open-Artery Hypothesis, Outcome, Outcomes, Patients, PCI, Percutaneous Coronary Intervention, Power, Randomized Controlled-Trials, Ratio, Science, Stable Angina, Therapy, Treatment, </w:t>
      </w:r>
      <w:r w:rsidR="00D5664A">
        <w:rPr>
          <w:kern w:val="0"/>
        </w:rPr>
        <w:t>Web</w:t>
      </w:r>
      <w:r w:rsidR="00427468">
        <w:rPr>
          <w:kern w:val="0"/>
        </w:rPr>
        <w:t xml:space="preserve"> of </w:t>
      </w:r>
      <w:r w:rsidR="00D5664A">
        <w:rPr>
          <w:kern w:val="0"/>
        </w:rPr>
        <w:t>Science</w:t>
      </w:r>
    </w:p>
    <w:p w:rsidR="00591140" w:rsidRDefault="00591140" w:rsidP="00591140">
      <w:pPr>
        <w:pStyle w:val="a3"/>
        <w:rPr>
          <w:kern w:val="0"/>
        </w:rPr>
      </w:pPr>
      <w:r>
        <w:rPr>
          <w:rFonts w:hint="eastAsia"/>
          <w:kern w:val="0"/>
        </w:rPr>
        <w:t xml:space="preserve">? </w:t>
      </w:r>
      <w:r>
        <w:rPr>
          <w:kern w:val="0"/>
        </w:rPr>
        <w:t>Poggio, R., Arazi, H.C., Giorgi, M.</w:t>
      </w:r>
      <w:r w:rsidR="005853A9">
        <w:rPr>
          <w:kern w:val="0"/>
        </w:rPr>
        <w:t xml:space="preserve"> and </w:t>
      </w:r>
      <w:r>
        <w:rPr>
          <w:kern w:val="0"/>
        </w:rPr>
        <w:t>Miriuka, S.G. (2010), Prediction</w:t>
      </w:r>
      <w:r w:rsidR="00427468">
        <w:rPr>
          <w:kern w:val="0"/>
        </w:rPr>
        <w:t xml:space="preserve"> of </w:t>
      </w:r>
      <w:r>
        <w:rPr>
          <w:kern w:val="0"/>
        </w:rPr>
        <w:t>severe cardiovascular events by VE/V</w:t>
      </w:r>
      <w:r>
        <w:rPr>
          <w:rFonts w:hint="eastAsia"/>
          <w:kern w:val="0"/>
        </w:rPr>
        <w:t>co</w:t>
      </w:r>
      <w:r>
        <w:rPr>
          <w:rFonts w:hint="eastAsia"/>
          <w:kern w:val="0"/>
          <w:vertAlign w:val="subscript"/>
        </w:rPr>
        <w:t>2</w:t>
      </w:r>
      <w:r>
        <w:rPr>
          <w:kern w:val="0"/>
        </w:rPr>
        <w:t xml:space="preserve"> slope versus peak V</w:t>
      </w:r>
      <w:r>
        <w:rPr>
          <w:rFonts w:hint="eastAsia"/>
          <w:kern w:val="0"/>
        </w:rPr>
        <w:t>o</w:t>
      </w:r>
      <w:r>
        <w:rPr>
          <w:rFonts w:hint="eastAsia"/>
          <w:kern w:val="0"/>
          <w:vertAlign w:val="subscript"/>
        </w:rPr>
        <w:t>2</w:t>
      </w:r>
      <w:r>
        <w:rPr>
          <w:kern w:val="0"/>
        </w:rPr>
        <w:t xml:space="preserve"> in systolic heart failure: A meta-analysis</w:t>
      </w:r>
      <w:r w:rsidR="00427468">
        <w:rPr>
          <w:kern w:val="0"/>
        </w:rPr>
        <w:t xml:space="preserve"> of </w:t>
      </w:r>
      <w:r w:rsidR="003A1917">
        <w:rPr>
          <w:kern w:val="0"/>
        </w:rPr>
        <w:t xml:space="preserve">the </w:t>
      </w:r>
      <w:r>
        <w:rPr>
          <w:kern w:val="0"/>
        </w:rPr>
        <w:t xml:space="preserve">published literature. </w:t>
      </w:r>
      <w:r>
        <w:rPr>
          <w:i/>
          <w:iCs/>
          <w:kern w:val="0"/>
        </w:rPr>
        <w:t>American Heart Journal</w:t>
      </w:r>
      <w:r>
        <w:rPr>
          <w:kern w:val="0"/>
        </w:rPr>
        <w:t xml:space="preserve">, </w:t>
      </w:r>
      <w:r>
        <w:rPr>
          <w:b/>
          <w:bCs/>
          <w:kern w:val="0"/>
        </w:rPr>
        <w:t>160</w:t>
      </w:r>
      <w:r>
        <w:rPr>
          <w:kern w:val="0"/>
        </w:rPr>
        <w:t xml:space="preserve"> (6), 1004-1014.</w:t>
      </w:r>
    </w:p>
    <w:p w:rsidR="00591140" w:rsidRPr="00F219CA" w:rsidRDefault="00591140" w:rsidP="00591140">
      <w:pPr>
        <w:pStyle w:val="a3"/>
      </w:pPr>
      <w:r w:rsidRPr="00F219CA">
        <w:t xml:space="preserve">Full Text: </w:t>
      </w:r>
      <w:hyperlink r:id="rId408" w:history="1">
        <w:r w:rsidRPr="00591140">
          <w:rPr>
            <w:rStyle w:val="a5"/>
          </w:rPr>
          <w:t>2010\Ame Hea J160, 1004.pdf</w:t>
        </w:r>
      </w:hyperlink>
    </w:p>
    <w:p w:rsidR="00591140" w:rsidRDefault="00591140" w:rsidP="00591140">
      <w:pPr>
        <w:pStyle w:val="a3"/>
        <w:rPr>
          <w:kern w:val="0"/>
        </w:rPr>
      </w:pPr>
      <w:r>
        <w:rPr>
          <w:kern w:val="0"/>
        </w:rPr>
        <w:t>Abstract: Background Peak VO(2) has traditionally been used for prognostic evaluation in systolic heart failure. However, in</w:t>
      </w:r>
      <w:r w:rsidR="003A1917">
        <w:rPr>
          <w:kern w:val="0"/>
        </w:rPr>
        <w:t xml:space="preserve"> the </w:t>
      </w:r>
      <w:r>
        <w:rPr>
          <w:kern w:val="0"/>
        </w:rPr>
        <w:t>past years, VE/VCO(2) slope has been shown to be similar or even superior in many studies. We performed a systematic review</w:t>
      </w:r>
      <w:r w:rsidR="005853A9">
        <w:rPr>
          <w:kern w:val="0"/>
        </w:rPr>
        <w:t xml:space="preserve"> and </w:t>
      </w:r>
      <w:r>
        <w:rPr>
          <w:kern w:val="0"/>
        </w:rPr>
        <w:t>a meta-analysis</w:t>
      </w:r>
      <w:r w:rsidR="00427468">
        <w:rPr>
          <w:kern w:val="0"/>
        </w:rPr>
        <w:t xml:space="preserve"> of </w:t>
      </w:r>
      <w:r>
        <w:rPr>
          <w:kern w:val="0"/>
        </w:rPr>
        <w:t>diagnostic studies</w:t>
      </w:r>
      <w:r w:rsidR="00427468">
        <w:rPr>
          <w:kern w:val="0"/>
        </w:rPr>
        <w:t xml:space="preserve"> of </w:t>
      </w:r>
      <w:r>
        <w:rPr>
          <w:kern w:val="0"/>
        </w:rPr>
        <w:t>VE/VCO(2) slope to assess its ability to predict cardiovascular events in systolic heart failure. Methods We searched</w:t>
      </w:r>
      <w:r w:rsidR="003A1917">
        <w:rPr>
          <w:kern w:val="0"/>
        </w:rPr>
        <w:t xml:space="preserve"> the </w:t>
      </w:r>
      <w:r>
        <w:rPr>
          <w:kern w:val="0"/>
        </w:rPr>
        <w:t xml:space="preserve">published literature in </w:t>
      </w:r>
      <w:r w:rsidR="002C12F0">
        <w:rPr>
          <w:kern w:val="0"/>
        </w:rPr>
        <w:t>PUBMED</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for VE/VCO(2) slope in heart failure,</w:t>
      </w:r>
      <w:r w:rsidR="005853A9">
        <w:rPr>
          <w:kern w:val="0"/>
        </w:rPr>
        <w:t xml:space="preserve"> and </w:t>
      </w:r>
      <w:r>
        <w:rPr>
          <w:kern w:val="0"/>
        </w:rPr>
        <w:t>performed a systematic review</w:t>
      </w:r>
      <w:r w:rsidR="005853A9">
        <w:rPr>
          <w:kern w:val="0"/>
        </w:rPr>
        <w:t xml:space="preserve"> and </w:t>
      </w:r>
      <w:r>
        <w:rPr>
          <w:kern w:val="0"/>
        </w:rPr>
        <w:t>a meta-analysis</w:t>
      </w:r>
      <w:r w:rsidR="00427468">
        <w:rPr>
          <w:kern w:val="0"/>
        </w:rPr>
        <w:t xml:space="preserve"> of </w:t>
      </w:r>
      <w:r>
        <w:rPr>
          <w:kern w:val="0"/>
        </w:rPr>
        <w:t>diagnostic studies in articles fulfilling previously established selection criteria. End points were serious cardiovascular events defined as death or</w:t>
      </w:r>
      <w:r w:rsidR="003A1917">
        <w:rPr>
          <w:kern w:val="0"/>
        </w:rPr>
        <w:t xml:space="preserve"> the </w:t>
      </w:r>
      <w:r>
        <w:rPr>
          <w:kern w:val="0"/>
        </w:rPr>
        <w:t>combined end point</w:t>
      </w:r>
      <w:r w:rsidR="00427468">
        <w:rPr>
          <w:kern w:val="0"/>
        </w:rPr>
        <w:t xml:space="preserve"> of </w:t>
      </w:r>
      <w:r>
        <w:rPr>
          <w:kern w:val="0"/>
        </w:rPr>
        <w:t>death, ventricular assist device implantation, or heart transplant. A sub-analysis was also performed with those articles providing enough data to compare VE/VCO(2) slope prognostic ability to that</w:t>
      </w:r>
      <w:r w:rsidR="00427468">
        <w:rPr>
          <w:kern w:val="0"/>
        </w:rPr>
        <w:t xml:space="preserve"> of </w:t>
      </w:r>
      <w:r>
        <w:rPr>
          <w:kern w:val="0"/>
        </w:rPr>
        <w:t>peak VO(2). Results Four hundred ninety-one articles that are potentially relevant were identified,</w:t>
      </w:r>
      <w:r w:rsidR="005853A9">
        <w:rPr>
          <w:kern w:val="0"/>
        </w:rPr>
        <w:t xml:space="preserve"> and </w:t>
      </w:r>
      <w:r>
        <w:rPr>
          <w:kern w:val="0"/>
        </w:rPr>
        <w:t>12 studies were selected based on our predefined criteria. No heterogeneity or evidence</w:t>
      </w:r>
      <w:r w:rsidR="00427468">
        <w:rPr>
          <w:kern w:val="0"/>
        </w:rPr>
        <w:t xml:space="preserve"> of </w:t>
      </w:r>
      <w:r>
        <w:rPr>
          <w:kern w:val="0"/>
        </w:rPr>
        <w:t>publication bias was found</w:t>
      </w:r>
      <w:r w:rsidR="00A37C1D">
        <w:rPr>
          <w:kern w:val="0"/>
        </w:rPr>
        <w:t>. The</w:t>
      </w:r>
      <w:r w:rsidR="003A1917">
        <w:rPr>
          <w:kern w:val="0"/>
        </w:rPr>
        <w:t xml:space="preserve"> </w:t>
      </w:r>
      <w:r>
        <w:rPr>
          <w:kern w:val="0"/>
        </w:rPr>
        <w:t>12 studies included a total</w:t>
      </w:r>
      <w:r w:rsidR="00427468">
        <w:rPr>
          <w:kern w:val="0"/>
        </w:rPr>
        <w:t xml:space="preserve"> of </w:t>
      </w:r>
      <w:r>
        <w:rPr>
          <w:kern w:val="0"/>
        </w:rPr>
        <w:t>2,628 patients with a mean follow-up</w:t>
      </w:r>
      <w:r w:rsidR="00427468">
        <w:rPr>
          <w:kern w:val="0"/>
        </w:rPr>
        <w:t xml:space="preserve"> of </w:t>
      </w:r>
      <w:r>
        <w:rPr>
          <w:kern w:val="0"/>
        </w:rPr>
        <w:t>31 months (95% CI 16-46 months)</w:t>
      </w:r>
      <w:r w:rsidR="00A37C1D">
        <w:rPr>
          <w:kern w:val="0"/>
        </w:rPr>
        <w:t>. The</w:t>
      </w:r>
      <w:r w:rsidR="003A1917">
        <w:rPr>
          <w:kern w:val="0"/>
        </w:rPr>
        <w:t xml:space="preserve"> </w:t>
      </w:r>
      <w:r>
        <w:rPr>
          <w:kern w:val="0"/>
        </w:rPr>
        <w:t>combined event rate at 1 year was 11.2% (95% CI 7.8%-14.6%). Diagnostic odds ratio</w:t>
      </w:r>
      <w:r w:rsidR="005853A9">
        <w:rPr>
          <w:kern w:val="0"/>
        </w:rPr>
        <w:t xml:space="preserve"> and </w:t>
      </w:r>
      <w:r>
        <w:rPr>
          <w:kern w:val="0"/>
        </w:rPr>
        <w:t>area under</w:t>
      </w:r>
      <w:r w:rsidR="003A1917">
        <w:rPr>
          <w:kern w:val="0"/>
        </w:rPr>
        <w:t xml:space="preserve"> the </w:t>
      </w:r>
      <w:r>
        <w:rPr>
          <w:kern w:val="0"/>
        </w:rPr>
        <w:t>curve for serious cardiovascular events were 5.02 (95% CI 4.06-6.21)</w:t>
      </w:r>
      <w:r w:rsidR="005853A9">
        <w:rPr>
          <w:kern w:val="0"/>
        </w:rPr>
        <w:t xml:space="preserve"> and </w:t>
      </w:r>
      <w:r>
        <w:rPr>
          <w:kern w:val="0"/>
        </w:rPr>
        <w:t>0.75 (95% CI 0.72-0.78), respectively. Six studies provided sufficient data for VE/VCO(2) slope</w:t>
      </w:r>
      <w:r w:rsidR="005853A9">
        <w:rPr>
          <w:kern w:val="0"/>
        </w:rPr>
        <w:t xml:space="preserve"> and </w:t>
      </w:r>
      <w:r>
        <w:rPr>
          <w:kern w:val="0"/>
        </w:rPr>
        <w:t xml:space="preserve">peak VO(2) comparison. Both variables showed similar performance, </w:t>
      </w:r>
      <w:r>
        <w:rPr>
          <w:kern w:val="0"/>
        </w:rPr>
        <w:lastRenderedPageBreak/>
        <w:t>although VE/VCO(2) did present a trend to superiority. Conclusions In this meta-analysis, VE/VCO(2) slope represents a reasonable ability to predict serious cardiovascular events in systolic heart failure,</w:t>
      </w:r>
      <w:r w:rsidR="005853A9">
        <w:rPr>
          <w:kern w:val="0"/>
        </w:rPr>
        <w:t xml:space="preserve"> and </w:t>
      </w:r>
      <w:r>
        <w:rPr>
          <w:kern w:val="0"/>
        </w:rPr>
        <w:t>is at least as effective as peak VO(2). (Am Heart J 2010;160:1004-14.).</w:t>
      </w:r>
    </w:p>
    <w:p w:rsidR="00591140" w:rsidRDefault="00591140" w:rsidP="00591140">
      <w:pPr>
        <w:pStyle w:val="a3"/>
        <w:rPr>
          <w:kern w:val="0"/>
        </w:rPr>
      </w:pPr>
      <w:r>
        <w:rPr>
          <w:kern w:val="0"/>
        </w:rPr>
        <w:t>Keywords: Ambulatory Patients, Beta-Blocker Therapy, Bias, Brain Natriuretic Peptide, Cardiovascular, Care, Death, Evaluation, Exercise Oxygen-Consumption, Follow</w:t>
      </w:r>
      <w:r w:rsidR="0062028A">
        <w:rPr>
          <w:kern w:val="0"/>
        </w:rPr>
        <w:t>-up</w:t>
      </w:r>
      <w:r w:rsidR="00D5664A">
        <w:rPr>
          <w:kern w:val="0"/>
        </w:rPr>
        <w:t>, ISI,</w:t>
      </w:r>
      <w:r>
        <w:rPr>
          <w:kern w:val="0"/>
        </w:rPr>
        <w:t xml:space="preserve"> Literature, Meta-Analysis, Methods, Mortality, Points, Prediction, Prognostic Value, Publication, Publication Bias, </w:t>
      </w:r>
      <w:r w:rsidR="002C12F0">
        <w:rPr>
          <w:kern w:val="0"/>
        </w:rPr>
        <w:t>PUBMED</w:t>
      </w:r>
      <w:r>
        <w:rPr>
          <w:kern w:val="0"/>
        </w:rPr>
        <w:t xml:space="preserve">, Ratio, Review, Science, Survival, Systematic, Systematic Review, Trend, Ventilatory Efficiency, </w:t>
      </w:r>
      <w:r w:rsidR="00D5664A">
        <w:rPr>
          <w:kern w:val="0"/>
        </w:rPr>
        <w:t>Web</w:t>
      </w:r>
      <w:r w:rsidR="00427468">
        <w:rPr>
          <w:kern w:val="0"/>
        </w:rPr>
        <w:t xml:space="preserve"> of </w:t>
      </w:r>
      <w:r w:rsidR="00D5664A">
        <w:rPr>
          <w:kern w:val="0"/>
        </w:rPr>
        <w:t>Science</w:t>
      </w:r>
    </w:p>
    <w:p w:rsidR="00357FDE" w:rsidRDefault="00357FDE" w:rsidP="00357FDE">
      <w:pPr>
        <w:pStyle w:val="a3"/>
        <w:rPr>
          <w:kern w:val="0"/>
        </w:rPr>
      </w:pPr>
      <w:r>
        <w:rPr>
          <w:rFonts w:hint="eastAsia"/>
          <w:kern w:val="0"/>
        </w:rPr>
        <w:t xml:space="preserve">? </w:t>
      </w:r>
      <w:r>
        <w:rPr>
          <w:kern w:val="0"/>
        </w:rPr>
        <w:t>Bainey, K.R., Mehta, S.R., Lai, T.</w:t>
      </w:r>
      <w:r w:rsidR="005853A9">
        <w:rPr>
          <w:kern w:val="0"/>
        </w:rPr>
        <w:t xml:space="preserve"> and </w:t>
      </w:r>
      <w:r>
        <w:rPr>
          <w:kern w:val="0"/>
        </w:rPr>
        <w:t>Welsh, R.C. (2014), Complete vs culprit-only revascularization for patients with multivessel disease undergoing primary percutaneous coronary intervention for ST-segment elevation myocardial infarction: A systematic review</w:t>
      </w:r>
      <w:r w:rsidR="005853A9">
        <w:rPr>
          <w:kern w:val="0"/>
        </w:rPr>
        <w:t xml:space="preserve"> and </w:t>
      </w:r>
      <w:r>
        <w:rPr>
          <w:kern w:val="0"/>
        </w:rPr>
        <w:t xml:space="preserve">meta-analysis. </w:t>
      </w:r>
      <w:r>
        <w:rPr>
          <w:i/>
          <w:iCs/>
          <w:kern w:val="0"/>
        </w:rPr>
        <w:t>American Heart Journal</w:t>
      </w:r>
      <w:r>
        <w:rPr>
          <w:kern w:val="0"/>
        </w:rPr>
        <w:t xml:space="preserve">, </w:t>
      </w:r>
      <w:r>
        <w:rPr>
          <w:b/>
          <w:bCs/>
          <w:kern w:val="0"/>
        </w:rPr>
        <w:t>167</w:t>
      </w:r>
      <w:r>
        <w:rPr>
          <w:kern w:val="0"/>
        </w:rPr>
        <w:t xml:space="preserve"> (1), 1-</w:t>
      </w:r>
      <w:r>
        <w:rPr>
          <w:rFonts w:hint="eastAsia"/>
          <w:kern w:val="0"/>
        </w:rPr>
        <w:t>14</w:t>
      </w:r>
      <w:r>
        <w:rPr>
          <w:kern w:val="0"/>
        </w:rPr>
        <w:t>.</w:t>
      </w:r>
    </w:p>
    <w:p w:rsidR="00357FDE" w:rsidRPr="00F219CA" w:rsidRDefault="00357FDE" w:rsidP="00357FDE">
      <w:pPr>
        <w:pStyle w:val="a3"/>
      </w:pPr>
      <w:r w:rsidRPr="00F219CA">
        <w:t xml:space="preserve">Full Text: </w:t>
      </w:r>
      <w:hyperlink r:id="rId409" w:history="1">
        <w:r w:rsidRPr="009036BA">
          <w:rPr>
            <w:rStyle w:val="a5"/>
          </w:rPr>
          <w:t>2014\Ame Hea J167, 1.pdf</w:t>
        </w:r>
      </w:hyperlink>
    </w:p>
    <w:p w:rsidR="00357FDE" w:rsidRDefault="00357FDE" w:rsidP="00357FDE">
      <w:pPr>
        <w:pStyle w:val="a3"/>
        <w:rPr>
          <w:kern w:val="0"/>
        </w:rPr>
      </w:pPr>
      <w:r>
        <w:rPr>
          <w:kern w:val="0"/>
        </w:rPr>
        <w:t>Abstract: Background Patients with ST-segment elevation myocardial infarction (STEMI)</w:t>
      </w:r>
      <w:r w:rsidR="005853A9">
        <w:rPr>
          <w:kern w:val="0"/>
        </w:rPr>
        <w:t xml:space="preserve"> and </w:t>
      </w:r>
      <w:r>
        <w:rPr>
          <w:kern w:val="0"/>
        </w:rPr>
        <w:t>multivessel coronary artery disease who undergo primary percutaneous coronary intervention (PCI) are most commonly treated with PCI to the culprit lesion only. Whether a strategy</w:t>
      </w:r>
      <w:r w:rsidR="00427468">
        <w:rPr>
          <w:kern w:val="0"/>
        </w:rPr>
        <w:t xml:space="preserve"> of </w:t>
      </w:r>
      <w:r>
        <w:rPr>
          <w:kern w:val="0"/>
        </w:rPr>
        <w:t>complete revascularization in these patients is superior is unknown. We performed a meta-analysis comparing the benefits</w:t>
      </w:r>
      <w:r w:rsidR="005853A9">
        <w:rPr>
          <w:kern w:val="0"/>
        </w:rPr>
        <w:t xml:space="preserve"> and </w:t>
      </w:r>
      <w:r>
        <w:rPr>
          <w:kern w:val="0"/>
        </w:rPr>
        <w:t>risks</w:t>
      </w:r>
      <w:r w:rsidR="00427468">
        <w:rPr>
          <w:kern w:val="0"/>
        </w:rPr>
        <w:t xml:space="preserve"> of </w:t>
      </w:r>
      <w:r>
        <w:rPr>
          <w:kern w:val="0"/>
        </w:rPr>
        <w:t>routine culprit-only PCI vs multivessel PCI in STEMI. Methods MEDLINE, EMBASE, ISI Web</w:t>
      </w:r>
      <w:r w:rsidR="00427468">
        <w:rPr>
          <w:kern w:val="0"/>
        </w:rPr>
        <w:t xml:space="preserve"> of </w:t>
      </w:r>
      <w:r>
        <w:rPr>
          <w:kern w:val="0"/>
        </w:rPr>
        <w:t>Science,</w:t>
      </w:r>
      <w:r w:rsidR="005853A9">
        <w:rPr>
          <w:kern w:val="0"/>
        </w:rPr>
        <w:t xml:space="preserve"> and </w:t>
      </w:r>
      <w:r>
        <w:rPr>
          <w:kern w:val="0"/>
        </w:rPr>
        <w:t>The Cochrane Register</w:t>
      </w:r>
      <w:r w:rsidR="00427468">
        <w:rPr>
          <w:kern w:val="0"/>
        </w:rPr>
        <w:t xml:space="preserve"> of </w:t>
      </w:r>
      <w:r>
        <w:rPr>
          <w:kern w:val="0"/>
        </w:rPr>
        <w:t>Controlled Trials were searched from 1996 to January 2011. Relevant conference abstracts were searched from January 2002 to January 2011. Studies included STEMI with multivessel disease receiving primary PCI</w:t>
      </w:r>
      <w:r w:rsidR="00A37C1D">
        <w:rPr>
          <w:kern w:val="0"/>
        </w:rPr>
        <w:t>. The</w:t>
      </w:r>
      <w:r>
        <w:rPr>
          <w:kern w:val="0"/>
        </w:rPr>
        <w:t xml:space="preserve"> primary end point was long-term mortality. Data were combined using a fixed-effects model. Results</w:t>
      </w:r>
      <w:r w:rsidR="00427468">
        <w:rPr>
          <w:kern w:val="0"/>
        </w:rPr>
        <w:t xml:space="preserve"> of </w:t>
      </w:r>
      <w:r>
        <w:rPr>
          <w:kern w:val="0"/>
        </w:rPr>
        <w:t>507 citations, 26 studies (3 randomized, 23 nonrandomized; 46,324 patients, 7886 multivessel PCI</w:t>
      </w:r>
      <w:r w:rsidR="005853A9">
        <w:rPr>
          <w:kern w:val="0"/>
        </w:rPr>
        <w:t xml:space="preserve"> and </w:t>
      </w:r>
      <w:r>
        <w:rPr>
          <w:kern w:val="0"/>
        </w:rPr>
        <w:t>38,438 culprit-only PCI) were included</w:t>
      </w:r>
      <w:r w:rsidR="00A37C1D">
        <w:rPr>
          <w:kern w:val="0"/>
        </w:rPr>
        <w:t>. The</w:t>
      </w:r>
      <w:r>
        <w:rPr>
          <w:kern w:val="0"/>
        </w:rPr>
        <w:t>re was no significant difference in hospital mortality with multivessel PCI vs culprit-only PCI (odds ratio [OR] 1.11, 95% CI 0.98-1.25, P = .10 [randomized OR 0.24, 95% CI 0.06-0.91, P = .04; nonrandomized OR 1.12, 95% CI 1.00-1.27, P = .06]). However, if multivessel PCI during index catheterization was performed, hospital mortality was increased (OR 1.35, 95% CI 1.19-1.54, P &lt; .001). When multivessel PCI was performed as a staged procedure, hospital mortality was lower (OR 0.35, 95% CI 0.21-0.59; P &lt; .001; P interaction &lt; .001). Reduced long-term mortality (OR 0.74, 95% CI 0.65-0.85, P &lt; .001[randomized OR 0.61, 95% CI 0.28-1.33, P = .22; nonrandomized OR 0.75, 95% CI 0.65-0.86, P &lt; .001])</w:t>
      </w:r>
      <w:r w:rsidR="005853A9">
        <w:rPr>
          <w:kern w:val="0"/>
        </w:rPr>
        <w:t xml:space="preserve"> and </w:t>
      </w:r>
      <w:r>
        <w:rPr>
          <w:kern w:val="0"/>
        </w:rPr>
        <w:t>repeat PCI (OR 0.65; 95% 0.46-0.90, P = .01[randomized OR 0.31, 95% CI 0.17-0.57, P &lt; .001; nonrandomized OR 0.88, 95% CI 0.59-1.31, P = .54]) were observed with multivessel PCI. Conclusion Overall, staged multivessel PCI improved short-and long-term survival</w:t>
      </w:r>
      <w:r w:rsidR="005853A9">
        <w:rPr>
          <w:kern w:val="0"/>
        </w:rPr>
        <w:t xml:space="preserve"> and </w:t>
      </w:r>
      <w:r>
        <w:rPr>
          <w:kern w:val="0"/>
        </w:rPr>
        <w:t xml:space="preserve">reduced repeat PCI. Still, large </w:t>
      </w:r>
      <w:r>
        <w:rPr>
          <w:kern w:val="0"/>
        </w:rPr>
        <w:lastRenderedPageBreak/>
        <w:t>randomized trials are required to confirm the benefits</w:t>
      </w:r>
      <w:r w:rsidR="00427468">
        <w:rPr>
          <w:kern w:val="0"/>
        </w:rPr>
        <w:t xml:space="preserve"> of </w:t>
      </w:r>
      <w:r>
        <w:rPr>
          <w:kern w:val="0"/>
        </w:rPr>
        <w:t>staged multivessel PCI in STEMI.</w:t>
      </w:r>
    </w:p>
    <w:p w:rsidR="00357FDE" w:rsidRDefault="00357FDE" w:rsidP="00357FDE">
      <w:pPr>
        <w:pStyle w:val="a3"/>
        <w:rPr>
          <w:kern w:val="0"/>
        </w:rPr>
      </w:pPr>
      <w:r>
        <w:rPr>
          <w:kern w:val="0"/>
        </w:rPr>
        <w:t>Keywords: Adverse Cardiac Events, Am, Artery, Artery-Disease, Article, Benefits, Canada, Cardiology, Catheterization, Citations, Complete, Coronary Artery, Coronary Artery Disease, Disease, Embase, Fibrinolytic Therapy, Fixed Effects Model, Follow-up, Heart, Hospital, Immediate Angioplasty, Index, Infarction, Interaction, Intervention, ISI, ISI Web</w:t>
      </w:r>
      <w:r w:rsidR="00427468">
        <w:rPr>
          <w:kern w:val="0"/>
        </w:rPr>
        <w:t xml:space="preserve"> of </w:t>
      </w:r>
      <w:r>
        <w:rPr>
          <w:kern w:val="0"/>
        </w:rPr>
        <w:t xml:space="preserve">Science, Long Term, Long-Term, Long-Term Mortality, Medline, Meta Analysis, Meta-Analysis, Metaanalysis, Methods, Model, Mortality, Myocardial Infarction, New-York, Odds Ratio, P, Park, Patients, Percutaneous, Percutaneous Coronary Intervention, Primary, Primary Angioplasty, Primary </w:t>
      </w:r>
      <w:r w:rsidR="007066FD">
        <w:rPr>
          <w:kern w:val="0"/>
        </w:rPr>
        <w:t>PCI</w:t>
      </w:r>
      <w:r>
        <w:rPr>
          <w:kern w:val="0"/>
        </w:rPr>
        <w:t>, Procedure, Randomized, Results, Revascularization, Review, Risks, Science, South, Strategy, Survival, Systematic Review, Thrombolytic Therapy, USA, Vessel, Web</w:t>
      </w:r>
      <w:r w:rsidR="00427468">
        <w:rPr>
          <w:kern w:val="0"/>
        </w:rPr>
        <w:t xml:space="preserve"> of </w:t>
      </w:r>
      <w:r>
        <w:rPr>
          <w:kern w:val="0"/>
        </w:rPr>
        <w:t>Science</w:t>
      </w:r>
    </w:p>
    <w:p w:rsidR="00CD1332" w:rsidRPr="001A3D2B" w:rsidRDefault="00CD1332" w:rsidP="00CD1332">
      <w:pPr>
        <w:pStyle w:val="1"/>
      </w:pPr>
      <w:r w:rsidRPr="001A3D2B">
        <w:br w:type="page"/>
      </w:r>
      <w:bookmarkStart w:id="226" w:name="_Toc420814370"/>
      <w:r w:rsidRPr="001A3D2B">
        <w:lastRenderedPageBreak/>
        <w:t xml:space="preserve">Title: </w:t>
      </w:r>
      <w:r w:rsidRPr="00CD1332">
        <w:t>American Historical Review</w:t>
      </w:r>
      <w:bookmarkEnd w:id="226"/>
    </w:p>
    <w:p w:rsidR="00CD1332" w:rsidRPr="001A3D2B" w:rsidRDefault="00CD1332" w:rsidP="00CD1332">
      <w:pPr>
        <w:pStyle w:val="12"/>
      </w:pPr>
      <w:r w:rsidRPr="001A3D2B">
        <w:t xml:space="preserve">Full Journal Title: </w:t>
      </w:r>
      <w:r w:rsidRPr="00CD1332">
        <w:rPr>
          <w:iCs/>
          <w:kern w:val="0"/>
        </w:rPr>
        <w:t>American Historical Review</w:t>
      </w:r>
    </w:p>
    <w:p w:rsidR="00CD1332" w:rsidRPr="001A3D2B" w:rsidRDefault="00CD1332" w:rsidP="00CD1332">
      <w:pPr>
        <w:pStyle w:val="12"/>
      </w:pPr>
      <w:r w:rsidRPr="001A3D2B">
        <w:t xml:space="preserve">ISO Abbreviated Title: </w:t>
      </w:r>
    </w:p>
    <w:p w:rsidR="00CD1332" w:rsidRPr="001A3D2B" w:rsidRDefault="00CD1332" w:rsidP="00CD1332">
      <w:pPr>
        <w:pStyle w:val="12"/>
      </w:pPr>
      <w:r w:rsidRPr="001A3D2B">
        <w:t xml:space="preserve">Jcr Abbreviated Title: </w:t>
      </w:r>
    </w:p>
    <w:p w:rsidR="00CD1332" w:rsidRPr="001A3D2B" w:rsidRDefault="00CD1332" w:rsidP="00CD1332">
      <w:pPr>
        <w:pStyle w:val="12"/>
      </w:pPr>
      <w:r w:rsidRPr="001A3D2B">
        <w:t xml:space="preserve">ISSN: </w:t>
      </w:r>
    </w:p>
    <w:p w:rsidR="00CD1332" w:rsidRPr="001A3D2B" w:rsidRDefault="00CD1332" w:rsidP="00CD1332">
      <w:pPr>
        <w:pStyle w:val="12"/>
      </w:pPr>
      <w:r w:rsidRPr="001A3D2B">
        <w:t xml:space="preserve">Issues/Year: </w:t>
      </w:r>
    </w:p>
    <w:p w:rsidR="00CD1332" w:rsidRPr="001A3D2B" w:rsidRDefault="00CD1332" w:rsidP="00CD1332">
      <w:pPr>
        <w:pStyle w:val="12"/>
      </w:pPr>
      <w:r w:rsidRPr="001A3D2B">
        <w:t xml:space="preserve">Journal Country/Territory: </w:t>
      </w:r>
    </w:p>
    <w:p w:rsidR="00CD1332" w:rsidRPr="001A3D2B" w:rsidRDefault="00CD1332" w:rsidP="00CD1332">
      <w:pPr>
        <w:pStyle w:val="12"/>
      </w:pPr>
      <w:r w:rsidRPr="001A3D2B">
        <w:t xml:space="preserve">Language: </w:t>
      </w:r>
    </w:p>
    <w:p w:rsidR="00CD1332" w:rsidRPr="001A3D2B" w:rsidRDefault="00CD1332" w:rsidP="00CD1332">
      <w:pPr>
        <w:pStyle w:val="12"/>
      </w:pPr>
      <w:r w:rsidRPr="001A3D2B">
        <w:t xml:space="preserve">Publisher: </w:t>
      </w:r>
    </w:p>
    <w:p w:rsidR="00CD1332" w:rsidRPr="001A3D2B" w:rsidRDefault="00CD1332" w:rsidP="00CD1332">
      <w:pPr>
        <w:pStyle w:val="12"/>
      </w:pPr>
      <w:r w:rsidRPr="001A3D2B">
        <w:t xml:space="preserve">Publisher Address: </w:t>
      </w:r>
    </w:p>
    <w:p w:rsidR="00CD1332" w:rsidRPr="001A3D2B" w:rsidRDefault="00CD1332" w:rsidP="00CD1332">
      <w:pPr>
        <w:pStyle w:val="12"/>
      </w:pPr>
      <w:r w:rsidRPr="001A3D2B">
        <w:t>Subject Categories:</w:t>
      </w:r>
    </w:p>
    <w:p w:rsidR="00CD1332" w:rsidRPr="001A3D2B" w:rsidRDefault="00CD1332" w:rsidP="00CD1332">
      <w:pPr>
        <w:pStyle w:val="12"/>
      </w:pPr>
      <w:r w:rsidRPr="001A3D2B">
        <w:t>: Impact Factor</w:t>
      </w:r>
    </w:p>
    <w:p w:rsidR="00CD1332" w:rsidRDefault="00CD1332" w:rsidP="00CD1332">
      <w:pPr>
        <w:pStyle w:val="a3"/>
        <w:rPr>
          <w:kern w:val="0"/>
        </w:rPr>
      </w:pPr>
      <w:r>
        <w:rPr>
          <w:rFonts w:hint="eastAsia"/>
          <w:kern w:val="0"/>
        </w:rPr>
        <w:t xml:space="preserve">? </w:t>
      </w:r>
      <w:r>
        <w:rPr>
          <w:kern w:val="0"/>
        </w:rPr>
        <w:t>Blum, C. (2001), On Jean-Jacques Rousseau: Considered as one</w:t>
      </w:r>
      <w:r w:rsidR="00427468">
        <w:rPr>
          <w:kern w:val="0"/>
        </w:rPr>
        <w:t xml:space="preserve"> of </w:t>
      </w:r>
      <w:r w:rsidR="003A1917">
        <w:rPr>
          <w:kern w:val="0"/>
        </w:rPr>
        <w:t xml:space="preserve">the </w:t>
      </w:r>
      <w:r>
        <w:rPr>
          <w:kern w:val="0"/>
        </w:rPr>
        <w:t>first authors</w:t>
      </w:r>
      <w:r w:rsidR="00427468">
        <w:rPr>
          <w:kern w:val="0"/>
        </w:rPr>
        <w:t xml:space="preserve"> of </w:t>
      </w:r>
      <w:r w:rsidR="003A1917">
        <w:rPr>
          <w:kern w:val="0"/>
        </w:rPr>
        <w:t xml:space="preserve">the </w:t>
      </w:r>
      <w:r>
        <w:rPr>
          <w:kern w:val="0"/>
        </w:rPr>
        <w:t xml:space="preserve">revolution. </w:t>
      </w:r>
      <w:r w:rsidRPr="00CD1332">
        <w:rPr>
          <w:i/>
          <w:iCs/>
          <w:kern w:val="0"/>
        </w:rPr>
        <w:t>American Historical Review</w:t>
      </w:r>
      <w:r>
        <w:rPr>
          <w:kern w:val="0"/>
        </w:rPr>
        <w:t xml:space="preserve">, </w:t>
      </w:r>
      <w:r>
        <w:rPr>
          <w:b/>
          <w:bCs/>
          <w:kern w:val="0"/>
        </w:rPr>
        <w:t>106</w:t>
      </w:r>
      <w:r>
        <w:rPr>
          <w:kern w:val="0"/>
        </w:rPr>
        <w:t xml:space="preserve"> (3), 927-928</w:t>
      </w:r>
      <w:r>
        <w:rPr>
          <w:rFonts w:hint="eastAsia"/>
          <w:kern w:val="0"/>
        </w:rPr>
        <w:t>.</w:t>
      </w:r>
    </w:p>
    <w:p w:rsidR="00CD1332" w:rsidRDefault="00CD1332" w:rsidP="00CD1332">
      <w:pPr>
        <w:pStyle w:val="a3"/>
        <w:rPr>
          <w:kern w:val="0"/>
        </w:rPr>
      </w:pPr>
      <w:r>
        <w:rPr>
          <w:rFonts w:hint="eastAsia"/>
          <w:kern w:val="0"/>
        </w:rPr>
        <w:t>Full Text</w:t>
      </w:r>
      <w:r>
        <w:rPr>
          <w:kern w:val="0"/>
        </w:rPr>
        <w:t xml:space="preserve">: </w:t>
      </w:r>
      <w:hyperlink r:id="rId410" w:history="1">
        <w:r w:rsidRPr="001643BC">
          <w:rPr>
            <w:rStyle w:val="a5"/>
            <w:kern w:val="0"/>
          </w:rPr>
          <w:t>2001\Ame His Rev106, 927.pdf</w:t>
        </w:r>
      </w:hyperlink>
    </w:p>
    <w:p w:rsidR="003474F2" w:rsidRPr="001A3D2B" w:rsidRDefault="003474F2" w:rsidP="003474F2">
      <w:pPr>
        <w:pStyle w:val="1"/>
      </w:pPr>
      <w:r w:rsidRPr="001A3D2B">
        <w:br w:type="page"/>
      </w:r>
      <w:bookmarkStart w:id="227" w:name="_Toc81215585"/>
      <w:bookmarkStart w:id="228" w:name="_Toc420814371"/>
      <w:r w:rsidRPr="001A3D2B">
        <w:lastRenderedPageBreak/>
        <w:t>Title: American Journal</w:t>
      </w:r>
      <w:r w:rsidR="00427468">
        <w:t xml:space="preserve"> of </w:t>
      </w:r>
      <w:r w:rsidRPr="001A3D2B">
        <w:t>Agricultural Economics</w:t>
      </w:r>
      <w:bookmarkEnd w:id="227"/>
      <w:bookmarkEnd w:id="228"/>
    </w:p>
    <w:p w:rsidR="003474F2" w:rsidRPr="001A3D2B" w:rsidRDefault="003474F2" w:rsidP="003474F2">
      <w:pPr>
        <w:pStyle w:val="12"/>
      </w:pPr>
      <w:r w:rsidRPr="001A3D2B">
        <w:t>Full Journal Title: American Journal</w:t>
      </w:r>
      <w:r w:rsidR="00427468">
        <w:t xml:space="preserve"> of </w:t>
      </w:r>
      <w:r w:rsidRPr="001A3D2B">
        <w:t>Agricultural Economics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A3BEA" w:rsidRDefault="003A3BEA" w:rsidP="003A3BEA">
      <w:pPr>
        <w:pStyle w:val="a3"/>
        <w:rPr>
          <w:kern w:val="0"/>
        </w:rPr>
      </w:pPr>
      <w:r>
        <w:rPr>
          <w:rFonts w:hint="eastAsia"/>
          <w:kern w:val="0"/>
        </w:rPr>
        <w:t xml:space="preserve">? </w:t>
      </w:r>
      <w:r>
        <w:rPr>
          <w:kern w:val="0"/>
        </w:rPr>
        <w:t>Beilock, R.</w:t>
      </w:r>
      <w:r w:rsidR="005853A9">
        <w:rPr>
          <w:kern w:val="0"/>
        </w:rPr>
        <w:t xml:space="preserve"> and </w:t>
      </w:r>
      <w:r>
        <w:rPr>
          <w:kern w:val="0"/>
        </w:rPr>
        <w:t>Polopolus, L. (1988), Ranking</w:t>
      </w:r>
      <w:r w:rsidR="00427468">
        <w:rPr>
          <w:kern w:val="0"/>
        </w:rPr>
        <w:t xml:space="preserve"> of </w:t>
      </w:r>
      <w:r>
        <w:rPr>
          <w:kern w:val="0"/>
        </w:rPr>
        <w:t>agricultural-economics departments</w:t>
      </w:r>
      <w:r>
        <w:rPr>
          <w:rFonts w:hint="eastAsia"/>
          <w:kern w:val="0"/>
        </w:rPr>
        <w:t>:</w:t>
      </w:r>
      <w:r>
        <w:rPr>
          <w:kern w:val="0"/>
        </w:rPr>
        <w:t xml:space="preserve"> Influence</w:t>
      </w:r>
      <w:r w:rsidR="00427468">
        <w:rPr>
          <w:kern w:val="0"/>
        </w:rPr>
        <w:t xml:space="preserve"> of </w:t>
      </w:r>
      <w:r>
        <w:rPr>
          <w:kern w:val="0"/>
        </w:rPr>
        <w:t>regional journals, joint authorship,</w:t>
      </w:r>
      <w:r w:rsidR="005853A9">
        <w:rPr>
          <w:kern w:val="0"/>
        </w:rPr>
        <w:t xml:space="preserve"> and </w:t>
      </w:r>
      <w:r>
        <w:rPr>
          <w:kern w:val="0"/>
        </w:rPr>
        <w:t xml:space="preserve">self-citations. </w:t>
      </w:r>
      <w:r>
        <w:rPr>
          <w:i/>
          <w:iCs/>
          <w:kern w:val="0"/>
        </w:rPr>
        <w:t>American Journal</w:t>
      </w:r>
      <w:r w:rsidR="00427468">
        <w:rPr>
          <w:i/>
          <w:iCs/>
          <w:kern w:val="0"/>
        </w:rPr>
        <w:t xml:space="preserve"> of </w:t>
      </w:r>
      <w:r>
        <w:rPr>
          <w:i/>
          <w:iCs/>
          <w:kern w:val="0"/>
        </w:rPr>
        <w:t>Agricultural Economics</w:t>
      </w:r>
      <w:r>
        <w:rPr>
          <w:kern w:val="0"/>
        </w:rPr>
        <w:t xml:space="preserve">, </w:t>
      </w:r>
      <w:r>
        <w:rPr>
          <w:b/>
          <w:bCs/>
          <w:kern w:val="0"/>
        </w:rPr>
        <w:t>70</w:t>
      </w:r>
      <w:r>
        <w:rPr>
          <w:kern w:val="0"/>
        </w:rPr>
        <w:t xml:space="preserve"> (2), 403-409</w:t>
      </w:r>
      <w:r>
        <w:rPr>
          <w:rFonts w:hint="eastAsia"/>
          <w:kern w:val="0"/>
        </w:rPr>
        <w:t>.</w:t>
      </w:r>
    </w:p>
    <w:p w:rsidR="003A3BEA" w:rsidRPr="001A3D2B" w:rsidRDefault="003A3BEA" w:rsidP="003A3BEA">
      <w:pPr>
        <w:pStyle w:val="a3"/>
      </w:pPr>
      <w:r w:rsidRPr="001A3D2B">
        <w:t xml:space="preserve">Full Text: </w:t>
      </w:r>
      <w:hyperlink r:id="rId411" w:history="1">
        <w:r w:rsidRPr="00612539">
          <w:rPr>
            <w:rStyle w:val="a5"/>
          </w:rPr>
          <w:t>1988\Ame J Agr Eco70, 403.pdf</w:t>
        </w:r>
      </w:hyperlink>
    </w:p>
    <w:p w:rsidR="003A3BEA" w:rsidRPr="001A3D2B" w:rsidRDefault="003A3BEA" w:rsidP="003A3BEA">
      <w:pPr>
        <w:pStyle w:val="a3"/>
      </w:pPr>
      <w:r w:rsidRPr="00612539">
        <w:t>Abstract:</w:t>
      </w:r>
      <w:r>
        <w:rPr>
          <w:rFonts w:hint="eastAsia"/>
        </w:rPr>
        <w:t xml:space="preserve"> </w:t>
      </w:r>
      <w:r w:rsidRPr="00612539">
        <w:t>Citations are increasingly used to indicate</w:t>
      </w:r>
      <w:r w:rsidR="003A1917">
        <w:t xml:space="preserve"> the </w:t>
      </w:r>
      <w:r w:rsidRPr="00612539">
        <w:t>quality</w:t>
      </w:r>
      <w:r w:rsidR="00427468">
        <w:t xml:space="preserve"> of </w:t>
      </w:r>
      <w:r w:rsidRPr="00612539">
        <w:t>an academic unit</w:t>
      </w:r>
      <w:r w:rsidR="00700038">
        <w:t>’</w:t>
      </w:r>
      <w:r w:rsidR="00C13DDC">
        <w:t>s</w:t>
      </w:r>
      <w:r w:rsidRPr="00612539">
        <w:t xml:space="preserve"> work</w:t>
      </w:r>
      <w:r w:rsidR="00A37C1D">
        <w:t>. The</w:t>
      </w:r>
      <w:r w:rsidR="003A1917">
        <w:t xml:space="preserve"> </w:t>
      </w:r>
      <w:r w:rsidRPr="00612539">
        <w:t>set</w:t>
      </w:r>
      <w:r w:rsidR="00427468">
        <w:t xml:space="preserve"> of </w:t>
      </w:r>
      <w:r w:rsidRPr="00612539">
        <w:t>literature or journals, however, becomes crucial to any ranking scheme. Citations from</w:t>
      </w:r>
      <w:r w:rsidR="003A1917">
        <w:t xml:space="preserve"> the </w:t>
      </w:r>
      <w:r w:rsidRPr="00612539">
        <w:t>broadly based Social Science Citations Index suggest a different ranking</w:t>
      </w:r>
      <w:r w:rsidR="00427468">
        <w:t xml:space="preserve"> of </w:t>
      </w:r>
      <w:r w:rsidRPr="00612539">
        <w:t>departments than</w:t>
      </w:r>
      <w:r w:rsidR="003A1917">
        <w:t xml:space="preserve"> the </w:t>
      </w:r>
      <w:r w:rsidRPr="00612539">
        <w:t>ranking obtained from a somewhat narrowly focused set</w:t>
      </w:r>
      <w:r w:rsidR="00427468">
        <w:t xml:space="preserve"> of </w:t>
      </w:r>
      <w:r w:rsidRPr="00612539">
        <w:t>North American journals</w:t>
      </w:r>
      <w:r w:rsidR="00427468">
        <w:t xml:space="preserve"> of </w:t>
      </w:r>
      <w:r w:rsidRPr="00612539">
        <w:t>agricultural economics</w:t>
      </w:r>
      <w:r w:rsidR="00A37C1D">
        <w:t>. The</w:t>
      </w:r>
      <w:r w:rsidR="003A1917">
        <w:t xml:space="preserve"> </w:t>
      </w:r>
      <w:r w:rsidRPr="00612539">
        <w:t>paper seeks to determine</w:t>
      </w:r>
      <w:r w:rsidR="003A1917">
        <w:t xml:space="preserve"> the </w:t>
      </w:r>
      <w:r w:rsidRPr="00612539">
        <w:t>influence</w:t>
      </w:r>
      <w:r w:rsidR="00427468">
        <w:t xml:space="preserve"> of </w:t>
      </w:r>
      <w:r w:rsidRPr="00612539">
        <w:t>regional journals, joint authorship,</w:t>
      </w:r>
      <w:r w:rsidR="005853A9">
        <w:t xml:space="preserve"> and </w:t>
      </w:r>
      <w:r w:rsidRPr="00612539">
        <w:t>self-citations on departmental rankings. Data bases</w:t>
      </w:r>
      <w:r w:rsidR="00427468">
        <w:t xml:space="preserve"> of </w:t>
      </w:r>
      <w:r w:rsidRPr="00612539">
        <w:t>citations are developed for</w:t>
      </w:r>
      <w:r w:rsidR="003A1917">
        <w:t xml:space="preserve"> the </w:t>
      </w:r>
      <w:r w:rsidRPr="00612539">
        <w:t>faculty</w:t>
      </w:r>
      <w:r w:rsidR="00427468">
        <w:t xml:space="preserve"> of </w:t>
      </w:r>
      <w:r w:rsidRPr="00612539">
        <w:t>seventy-three departments</w:t>
      </w:r>
      <w:r w:rsidR="00427468">
        <w:t xml:space="preserve"> of </w:t>
      </w:r>
      <w:r w:rsidRPr="00612539">
        <w:t>agricultural economics in</w:t>
      </w:r>
      <w:r w:rsidR="003A1917">
        <w:t xml:space="preserve"> the </w:t>
      </w:r>
      <w:r w:rsidRPr="00612539">
        <w:t>United States</w:t>
      </w:r>
      <w:r w:rsidR="005853A9">
        <w:t xml:space="preserve"> and </w:t>
      </w:r>
      <w:r w:rsidRPr="00612539">
        <w:t>Canada.</w:t>
      </w:r>
    </w:p>
    <w:p w:rsidR="003A3BEA" w:rsidRDefault="003A3BEA" w:rsidP="003A3BEA">
      <w:pPr>
        <w:pStyle w:val="a3"/>
        <w:rPr>
          <w:kern w:val="0"/>
        </w:rPr>
      </w:pPr>
      <w:r>
        <w:rPr>
          <w:kern w:val="0"/>
        </w:rPr>
        <w:t>Keywords: Authorship</w:t>
      </w:r>
      <w:r>
        <w:rPr>
          <w:rFonts w:hint="eastAsia"/>
          <w:kern w:val="0"/>
        </w:rPr>
        <w:t xml:space="preserve">, </w:t>
      </w:r>
      <w:r>
        <w:rPr>
          <w:kern w:val="0"/>
        </w:rPr>
        <w:t>Ranking</w:t>
      </w:r>
    </w:p>
    <w:p w:rsidR="00A23ABB" w:rsidRDefault="00A23ABB" w:rsidP="00A23ABB">
      <w:pPr>
        <w:pStyle w:val="a3"/>
        <w:rPr>
          <w:kern w:val="0"/>
        </w:rPr>
      </w:pPr>
      <w:r>
        <w:rPr>
          <w:rFonts w:hint="eastAsia"/>
          <w:kern w:val="0"/>
        </w:rPr>
        <w:t xml:space="preserve">? </w:t>
      </w:r>
      <w:r>
        <w:rPr>
          <w:kern w:val="0"/>
        </w:rPr>
        <w:t xml:space="preserve">Bhat, M. (2002), Classic papers in natural resource economics. </w:t>
      </w:r>
      <w:r>
        <w:rPr>
          <w:i/>
          <w:iCs/>
          <w:kern w:val="0"/>
        </w:rPr>
        <w:t>American Journal</w:t>
      </w:r>
      <w:r w:rsidR="00427468">
        <w:rPr>
          <w:i/>
          <w:iCs/>
          <w:kern w:val="0"/>
        </w:rPr>
        <w:t xml:space="preserve"> of </w:t>
      </w:r>
      <w:r>
        <w:rPr>
          <w:i/>
          <w:iCs/>
          <w:kern w:val="0"/>
        </w:rPr>
        <w:t>Agricultural Economics</w:t>
      </w:r>
      <w:r>
        <w:rPr>
          <w:kern w:val="0"/>
        </w:rPr>
        <w:t xml:space="preserve">, </w:t>
      </w:r>
      <w:r>
        <w:rPr>
          <w:b/>
          <w:bCs/>
          <w:kern w:val="0"/>
        </w:rPr>
        <w:t>84</w:t>
      </w:r>
      <w:r>
        <w:rPr>
          <w:kern w:val="0"/>
        </w:rPr>
        <w:t xml:space="preserve"> (3), 867-868</w:t>
      </w:r>
      <w:r>
        <w:rPr>
          <w:rFonts w:hint="eastAsia"/>
          <w:kern w:val="0"/>
        </w:rPr>
        <w:t>.</w:t>
      </w:r>
    </w:p>
    <w:p w:rsidR="00A23ABB" w:rsidRDefault="00A23ABB" w:rsidP="00A23ABB">
      <w:pPr>
        <w:pStyle w:val="a3"/>
      </w:pPr>
      <w:r w:rsidRPr="001A3D2B">
        <w:t xml:space="preserve">Full Text: </w:t>
      </w:r>
      <w:hyperlink r:id="rId412" w:history="1">
        <w:r w:rsidRPr="00A3634F">
          <w:rPr>
            <w:rStyle w:val="a5"/>
          </w:rPr>
          <w:t>2002\Ame J Agr Eco84, 867.pdf</w:t>
        </w:r>
      </w:hyperlink>
    </w:p>
    <w:p w:rsidR="00A23ABB" w:rsidRDefault="00A23ABB" w:rsidP="00A23ABB">
      <w:pPr>
        <w:pStyle w:val="a3"/>
        <w:rPr>
          <w:kern w:val="0"/>
        </w:rPr>
      </w:pPr>
      <w:r>
        <w:rPr>
          <w:kern w:val="0"/>
        </w:rPr>
        <w:t>Keywords: Economics, Natural, Natural Resource, Papers</w:t>
      </w:r>
    </w:p>
    <w:p w:rsidR="003474F2" w:rsidRPr="001A3D2B" w:rsidRDefault="003474F2" w:rsidP="003474F2">
      <w:pPr>
        <w:pStyle w:val="a3"/>
      </w:pPr>
      <w:r w:rsidRPr="001A3D2B">
        <w:t>Graff, G.D. (2003), Observing technological trajectories in patent data: Empirical methods to study</w:t>
      </w:r>
      <w:r w:rsidR="003A1917">
        <w:t xml:space="preserve"> the </w:t>
      </w:r>
      <w:r w:rsidRPr="001A3D2B">
        <w:t>emergence</w:t>
      </w:r>
      <w:r w:rsidR="005853A9">
        <w:t xml:space="preserve"> and </w:t>
      </w:r>
      <w:r w:rsidRPr="001A3D2B">
        <w:t>growth</w:t>
      </w:r>
      <w:r w:rsidR="00427468">
        <w:t xml:space="preserve"> of </w:t>
      </w:r>
      <w:r w:rsidRPr="001A3D2B">
        <w:t>new technologies.</w:t>
      </w:r>
      <w:r w:rsidRPr="001A3D2B">
        <w:rPr>
          <w:i/>
          <w:iCs/>
        </w:rPr>
        <w:t xml:space="preserve"> American Journal</w:t>
      </w:r>
      <w:r w:rsidR="00427468">
        <w:rPr>
          <w:i/>
          <w:iCs/>
        </w:rPr>
        <w:t xml:space="preserve"> of </w:t>
      </w:r>
      <w:r w:rsidRPr="001A3D2B">
        <w:rPr>
          <w:i/>
          <w:iCs/>
        </w:rPr>
        <w:t>Agricultural Economics</w:t>
      </w:r>
      <w:r w:rsidRPr="001A3D2B">
        <w:t xml:space="preserve">, </w:t>
      </w:r>
      <w:r w:rsidRPr="001A3D2B">
        <w:rPr>
          <w:b/>
          <w:bCs/>
        </w:rPr>
        <w:t>85</w:t>
      </w:r>
      <w:r w:rsidRPr="001A3D2B">
        <w:t xml:space="preserve"> (5), 1266-1274.</w:t>
      </w:r>
    </w:p>
    <w:p w:rsidR="003474F2" w:rsidRPr="001A3D2B" w:rsidRDefault="003474F2" w:rsidP="003474F2">
      <w:pPr>
        <w:pStyle w:val="a3"/>
      </w:pPr>
      <w:r w:rsidRPr="001A3D2B">
        <w:t xml:space="preserve">Full Text: </w:t>
      </w:r>
      <w:hyperlink r:id="rId413" w:history="1">
        <w:r w:rsidRPr="001A3D2B">
          <w:rPr>
            <w:rStyle w:val="a5"/>
          </w:rPr>
          <w:t>2003\Ame J Agr Eco85, 1266.pdf</w:t>
        </w:r>
      </w:hyperlink>
    </w:p>
    <w:p w:rsidR="00CF15F4" w:rsidRDefault="00CF15F4" w:rsidP="00CF15F4">
      <w:pPr>
        <w:pStyle w:val="a3"/>
        <w:rPr>
          <w:kern w:val="0"/>
        </w:rPr>
      </w:pPr>
      <w:r>
        <w:rPr>
          <w:rFonts w:hint="eastAsia"/>
          <w:kern w:val="0"/>
        </w:rPr>
        <w:t xml:space="preserve">? </w:t>
      </w:r>
      <w:r>
        <w:rPr>
          <w:kern w:val="0"/>
        </w:rPr>
        <w:t>Hilmer, C.E.</w:t>
      </w:r>
      <w:r w:rsidR="005853A9">
        <w:rPr>
          <w:kern w:val="0"/>
        </w:rPr>
        <w:t xml:space="preserve"> and </w:t>
      </w:r>
      <w:r>
        <w:rPr>
          <w:kern w:val="0"/>
        </w:rPr>
        <w:t>Hilmer, M.J. (2005), How do journal quality, co-authorship,</w:t>
      </w:r>
      <w:r w:rsidR="005853A9">
        <w:rPr>
          <w:kern w:val="0"/>
        </w:rPr>
        <w:t xml:space="preserve"> and </w:t>
      </w:r>
      <w:r>
        <w:rPr>
          <w:kern w:val="0"/>
        </w:rPr>
        <w:t>author order affect agricultural economists</w:t>
      </w:r>
      <w:r w:rsidR="00700038">
        <w:rPr>
          <w:kern w:val="0"/>
        </w:rPr>
        <w:t>’</w:t>
      </w:r>
      <w:r>
        <w:rPr>
          <w:kern w:val="0"/>
        </w:rPr>
        <w:t xml:space="preserve"> salaries? </w:t>
      </w:r>
      <w:r>
        <w:rPr>
          <w:i/>
          <w:iCs/>
          <w:kern w:val="0"/>
        </w:rPr>
        <w:t>American Journal</w:t>
      </w:r>
      <w:r w:rsidR="00427468">
        <w:rPr>
          <w:i/>
          <w:iCs/>
          <w:kern w:val="0"/>
        </w:rPr>
        <w:t xml:space="preserve"> of </w:t>
      </w:r>
      <w:r>
        <w:rPr>
          <w:i/>
          <w:iCs/>
          <w:kern w:val="0"/>
        </w:rPr>
        <w:t>Agricultural Economics</w:t>
      </w:r>
      <w:r>
        <w:rPr>
          <w:kern w:val="0"/>
        </w:rPr>
        <w:t xml:space="preserve">, </w:t>
      </w:r>
      <w:r>
        <w:rPr>
          <w:b/>
          <w:bCs/>
          <w:kern w:val="0"/>
        </w:rPr>
        <w:t>87</w:t>
      </w:r>
      <w:r>
        <w:rPr>
          <w:kern w:val="0"/>
        </w:rPr>
        <w:t xml:space="preserve"> (2), 509-523.</w:t>
      </w:r>
    </w:p>
    <w:p w:rsidR="00CF15F4" w:rsidRPr="00F219CA" w:rsidRDefault="00CF15F4" w:rsidP="00CF15F4">
      <w:pPr>
        <w:pStyle w:val="a3"/>
      </w:pPr>
      <w:r w:rsidRPr="00F219CA">
        <w:lastRenderedPageBreak/>
        <w:t xml:space="preserve">Full Text: </w:t>
      </w:r>
      <w:hyperlink r:id="rId414" w:history="1">
        <w:r w:rsidRPr="00CF15F4">
          <w:rPr>
            <w:rStyle w:val="a5"/>
          </w:rPr>
          <w:t>2005\Ame J Agr Eco87, 509.pdf</w:t>
        </w:r>
      </w:hyperlink>
    </w:p>
    <w:p w:rsidR="00CF15F4" w:rsidRDefault="00CF15F4" w:rsidP="00CF15F4">
      <w:pPr>
        <w:pStyle w:val="a3"/>
        <w:rPr>
          <w:kern w:val="0"/>
        </w:rPr>
      </w:pPr>
      <w:r>
        <w:rPr>
          <w:kern w:val="0"/>
        </w:rPr>
        <w:t>Abstract: Utilizing an original data set containing annual salaries</w:t>
      </w:r>
      <w:r w:rsidR="005853A9">
        <w:rPr>
          <w:kern w:val="0"/>
        </w:rPr>
        <w:t xml:space="preserve"> and </w:t>
      </w:r>
      <w:r>
        <w:rPr>
          <w:kern w:val="0"/>
        </w:rPr>
        <w:t>peer-reviewed publication histories for 326 faculty members from top-ranked Ph.D.-granting programs, we examine</w:t>
      </w:r>
      <w:r w:rsidR="003A1917">
        <w:rPr>
          <w:kern w:val="0"/>
        </w:rPr>
        <w:t xml:space="preserve"> the </w:t>
      </w:r>
      <w:r>
        <w:rPr>
          <w:kern w:val="0"/>
        </w:rPr>
        <w:t>labor market for academic agricultural economists</w:t>
      </w:r>
      <w:r w:rsidR="00A37C1D">
        <w:rPr>
          <w:kern w:val="0"/>
        </w:rPr>
        <w:t>. The</w:t>
      </w:r>
      <w:r w:rsidR="003A1917">
        <w:rPr>
          <w:kern w:val="0"/>
        </w:rPr>
        <w:t xml:space="preserve"> </w:t>
      </w:r>
      <w:r>
        <w:rPr>
          <w:kern w:val="0"/>
        </w:rPr>
        <w:t>results suggest that higher quality publications have a greater impact on annual earnings, that sole authored articles have a higher return than multi-authored articles,</w:t>
      </w:r>
      <w:r w:rsidR="005853A9">
        <w:rPr>
          <w:kern w:val="0"/>
        </w:rPr>
        <w:t xml:space="preserve"> and </w:t>
      </w:r>
      <w:r>
        <w:rPr>
          <w:kern w:val="0"/>
        </w:rPr>
        <w:t>that no wage premium exists for being</w:t>
      </w:r>
      <w:r w:rsidR="003A1917">
        <w:rPr>
          <w:kern w:val="0"/>
        </w:rPr>
        <w:t xml:space="preserve"> the </w:t>
      </w:r>
      <w:r>
        <w:rPr>
          <w:kern w:val="0"/>
        </w:rPr>
        <w:t>lead author</w:t>
      </w:r>
      <w:r w:rsidR="00427468">
        <w:rPr>
          <w:kern w:val="0"/>
        </w:rPr>
        <w:t xml:space="preserve"> of </w:t>
      </w:r>
      <w:r>
        <w:rPr>
          <w:kern w:val="0"/>
        </w:rPr>
        <w:t>a non-alphabetic article.</w:t>
      </w:r>
    </w:p>
    <w:p w:rsidR="00CF15F4" w:rsidRDefault="00CF15F4" w:rsidP="00CF15F4">
      <w:pPr>
        <w:pStyle w:val="a3"/>
        <w:rPr>
          <w:kern w:val="0"/>
        </w:rPr>
      </w:pPr>
      <w:r>
        <w:rPr>
          <w:kern w:val="0"/>
        </w:rPr>
        <w:t>Keywords: Allocation, Author, Author Order, Citations, Co-Authorship, Departments, Discipline, Discrimination, Faculty Salaries, Gender, Lead, Production</w:t>
      </w:r>
      <w:r w:rsidR="00427468">
        <w:rPr>
          <w:kern w:val="0"/>
        </w:rPr>
        <w:t xml:space="preserve"> of </w:t>
      </w:r>
      <w:r>
        <w:rPr>
          <w:kern w:val="0"/>
        </w:rPr>
        <w:t>Science, Profession, Promotion, Publication, Publications, Seniority</w:t>
      </w:r>
    </w:p>
    <w:p w:rsidR="00C407CA" w:rsidRPr="001A3D2B" w:rsidRDefault="00C407CA" w:rsidP="00C407CA">
      <w:pPr>
        <w:pStyle w:val="1"/>
      </w:pPr>
      <w:r w:rsidRPr="001A3D2B">
        <w:br w:type="page"/>
      </w:r>
      <w:bookmarkStart w:id="229" w:name="_Toc420814372"/>
      <w:r w:rsidRPr="001A3D2B">
        <w:lastRenderedPageBreak/>
        <w:t xml:space="preserve">Title: </w:t>
      </w:r>
      <w:r w:rsidR="00445D13" w:rsidRPr="00445D13">
        <w:rPr>
          <w:iCs w:val="0"/>
        </w:rPr>
        <w:t>American Journal</w:t>
      </w:r>
      <w:r w:rsidR="00427468">
        <w:rPr>
          <w:iCs w:val="0"/>
        </w:rPr>
        <w:t xml:space="preserve"> of </w:t>
      </w:r>
      <w:r w:rsidR="00445D13" w:rsidRPr="00445D13">
        <w:rPr>
          <w:iCs w:val="0"/>
        </w:rPr>
        <w:t>Alzheimer</w:t>
      </w:r>
      <w:r w:rsidR="00700038">
        <w:rPr>
          <w:iCs w:val="0"/>
        </w:rPr>
        <w:t>’</w:t>
      </w:r>
      <w:r w:rsidR="00C13DDC">
        <w:rPr>
          <w:iCs w:val="0"/>
        </w:rPr>
        <w:t>s</w:t>
      </w:r>
      <w:r w:rsidR="00445D13" w:rsidRPr="00445D13">
        <w:rPr>
          <w:iCs w:val="0"/>
        </w:rPr>
        <w:t xml:space="preserve"> Disease</w:t>
      </w:r>
      <w:r w:rsidR="005853A9">
        <w:rPr>
          <w:iCs w:val="0"/>
        </w:rPr>
        <w:t xml:space="preserve"> and </w:t>
      </w:r>
      <w:r w:rsidR="00445D13" w:rsidRPr="00445D13">
        <w:rPr>
          <w:iCs w:val="0"/>
        </w:rPr>
        <w:t>Other Dementias</w:t>
      </w:r>
      <w:bookmarkEnd w:id="229"/>
    </w:p>
    <w:p w:rsidR="00C407CA" w:rsidRPr="001A3D2B" w:rsidRDefault="00C407CA" w:rsidP="00C407CA">
      <w:pPr>
        <w:pStyle w:val="12"/>
      </w:pPr>
      <w:r w:rsidRPr="001A3D2B">
        <w:t xml:space="preserve">Full Journal Title: </w:t>
      </w:r>
      <w:r w:rsidR="00445D13" w:rsidRPr="00445D13">
        <w:rPr>
          <w:iCs/>
          <w:kern w:val="0"/>
        </w:rPr>
        <w:t>American Journal</w:t>
      </w:r>
      <w:r w:rsidR="00427468">
        <w:rPr>
          <w:iCs/>
          <w:kern w:val="0"/>
        </w:rPr>
        <w:t xml:space="preserve"> of </w:t>
      </w:r>
      <w:r w:rsidR="00445D13" w:rsidRPr="00445D13">
        <w:rPr>
          <w:iCs/>
          <w:kern w:val="0"/>
        </w:rPr>
        <w:t>Alzheimer</w:t>
      </w:r>
      <w:r w:rsidR="00700038">
        <w:rPr>
          <w:iCs/>
          <w:kern w:val="0"/>
        </w:rPr>
        <w:t>’</w:t>
      </w:r>
      <w:r w:rsidR="00C13DDC">
        <w:rPr>
          <w:iCs/>
          <w:kern w:val="0"/>
        </w:rPr>
        <w:t>s</w:t>
      </w:r>
      <w:r w:rsidR="00445D13" w:rsidRPr="00445D13">
        <w:rPr>
          <w:iCs/>
          <w:kern w:val="0"/>
        </w:rPr>
        <w:t xml:space="preserve"> Disease</w:t>
      </w:r>
      <w:r w:rsidR="005853A9">
        <w:rPr>
          <w:iCs/>
          <w:kern w:val="0"/>
        </w:rPr>
        <w:t xml:space="preserve"> and </w:t>
      </w:r>
      <w:r w:rsidR="00445D13" w:rsidRPr="00445D13">
        <w:rPr>
          <w:iCs/>
          <w:kern w:val="0"/>
        </w:rPr>
        <w:t>Other Dementias</w:t>
      </w:r>
    </w:p>
    <w:p w:rsidR="00C407CA" w:rsidRPr="001A3D2B" w:rsidRDefault="00C407CA" w:rsidP="00C407CA">
      <w:pPr>
        <w:pStyle w:val="12"/>
      </w:pPr>
      <w:r w:rsidRPr="001A3D2B">
        <w:t xml:space="preserve">ISO Abbreviated Title: </w:t>
      </w:r>
    </w:p>
    <w:p w:rsidR="00C407CA" w:rsidRPr="001A3D2B" w:rsidRDefault="00C407CA" w:rsidP="00C407CA">
      <w:pPr>
        <w:pStyle w:val="12"/>
      </w:pPr>
      <w:r w:rsidRPr="001A3D2B">
        <w:t xml:space="preserve">Jcr Abbreviated Title: </w:t>
      </w:r>
    </w:p>
    <w:p w:rsidR="00C407CA" w:rsidRPr="001A3D2B" w:rsidRDefault="00C407CA" w:rsidP="00C407CA">
      <w:pPr>
        <w:pStyle w:val="12"/>
      </w:pPr>
      <w:r w:rsidRPr="001A3D2B">
        <w:t xml:space="preserve">ISSN: </w:t>
      </w:r>
    </w:p>
    <w:p w:rsidR="00C407CA" w:rsidRPr="001A3D2B" w:rsidRDefault="00C407CA" w:rsidP="00C407CA">
      <w:pPr>
        <w:pStyle w:val="12"/>
      </w:pPr>
      <w:r w:rsidRPr="001A3D2B">
        <w:t xml:space="preserve">Issues/Year: </w:t>
      </w:r>
    </w:p>
    <w:p w:rsidR="00C407CA" w:rsidRPr="001A3D2B" w:rsidRDefault="00C407CA" w:rsidP="00C407CA">
      <w:pPr>
        <w:pStyle w:val="12"/>
      </w:pPr>
      <w:r w:rsidRPr="001A3D2B">
        <w:t xml:space="preserve">Journal Country/Territory: </w:t>
      </w:r>
    </w:p>
    <w:p w:rsidR="00C407CA" w:rsidRPr="001A3D2B" w:rsidRDefault="00C407CA" w:rsidP="00C407CA">
      <w:pPr>
        <w:pStyle w:val="12"/>
      </w:pPr>
      <w:r w:rsidRPr="001A3D2B">
        <w:t xml:space="preserve">Language: </w:t>
      </w:r>
    </w:p>
    <w:p w:rsidR="00C407CA" w:rsidRPr="001A3D2B" w:rsidRDefault="00C407CA" w:rsidP="00C407CA">
      <w:pPr>
        <w:pStyle w:val="12"/>
      </w:pPr>
      <w:r w:rsidRPr="001A3D2B">
        <w:t xml:space="preserve">Publisher: </w:t>
      </w:r>
    </w:p>
    <w:p w:rsidR="00C407CA" w:rsidRPr="001A3D2B" w:rsidRDefault="00C407CA" w:rsidP="00C407CA">
      <w:pPr>
        <w:pStyle w:val="12"/>
      </w:pPr>
      <w:r w:rsidRPr="001A3D2B">
        <w:t xml:space="preserve">Publisher Address: </w:t>
      </w:r>
    </w:p>
    <w:p w:rsidR="00C407CA" w:rsidRPr="001A3D2B" w:rsidRDefault="00C407CA" w:rsidP="00C407CA">
      <w:pPr>
        <w:pStyle w:val="12"/>
      </w:pPr>
      <w:r w:rsidRPr="001A3D2B">
        <w:t>Subject Categories:</w:t>
      </w:r>
    </w:p>
    <w:p w:rsidR="00C407CA" w:rsidRPr="001A3D2B" w:rsidRDefault="00C407CA" w:rsidP="00C407CA">
      <w:pPr>
        <w:pStyle w:val="12"/>
      </w:pPr>
      <w:r w:rsidRPr="001A3D2B">
        <w:t>: Impact Factor</w:t>
      </w:r>
    </w:p>
    <w:p w:rsidR="00C407CA" w:rsidRDefault="00C407CA" w:rsidP="00C407CA">
      <w:pPr>
        <w:pStyle w:val="a3"/>
        <w:rPr>
          <w:kern w:val="0"/>
        </w:rPr>
      </w:pPr>
      <w:r>
        <w:rPr>
          <w:rFonts w:hint="eastAsia"/>
          <w:kern w:val="0"/>
        </w:rPr>
        <w:t xml:space="preserve">? </w:t>
      </w:r>
      <w:r>
        <w:rPr>
          <w:kern w:val="0"/>
        </w:rPr>
        <w:t>Henry, G., Williamson, D.</w:t>
      </w:r>
      <w:r w:rsidR="005853A9">
        <w:rPr>
          <w:kern w:val="0"/>
        </w:rPr>
        <w:t xml:space="preserve"> and </w:t>
      </w:r>
      <w:r>
        <w:rPr>
          <w:kern w:val="0"/>
        </w:rPr>
        <w:t>Tampi, R.R. (2011), Efficacy</w:t>
      </w:r>
      <w:r w:rsidR="005853A9">
        <w:rPr>
          <w:kern w:val="0"/>
        </w:rPr>
        <w:t xml:space="preserve"> and </w:t>
      </w:r>
      <w:r>
        <w:rPr>
          <w:kern w:val="0"/>
        </w:rPr>
        <w:t>tolerability</w:t>
      </w:r>
      <w:r w:rsidR="00427468">
        <w:rPr>
          <w:kern w:val="0"/>
        </w:rPr>
        <w:t xml:space="preserve"> of </w:t>
      </w:r>
      <w:r>
        <w:rPr>
          <w:kern w:val="0"/>
        </w:rPr>
        <w:t>antidepressants in</w:t>
      </w:r>
      <w:r w:rsidR="003A1917">
        <w:rPr>
          <w:kern w:val="0"/>
        </w:rPr>
        <w:t xml:space="preserve"> the </w:t>
      </w:r>
      <w:r>
        <w:rPr>
          <w:kern w:val="0"/>
        </w:rPr>
        <w:t>treatment</w:t>
      </w:r>
      <w:r w:rsidR="00427468">
        <w:rPr>
          <w:kern w:val="0"/>
        </w:rPr>
        <w:t xml:space="preserve"> of </w:t>
      </w:r>
      <w:r>
        <w:rPr>
          <w:kern w:val="0"/>
        </w:rPr>
        <w:t>behavioral</w:t>
      </w:r>
      <w:r w:rsidR="005853A9">
        <w:rPr>
          <w:kern w:val="0"/>
        </w:rPr>
        <w:t xml:space="preserve"> and </w:t>
      </w:r>
      <w:r>
        <w:rPr>
          <w:kern w:val="0"/>
        </w:rPr>
        <w:t>psychological symptoms</w:t>
      </w:r>
      <w:r w:rsidR="00427468">
        <w:rPr>
          <w:kern w:val="0"/>
        </w:rPr>
        <w:t xml:space="preserve"> of </w:t>
      </w:r>
      <w:r>
        <w:rPr>
          <w:kern w:val="0"/>
        </w:rPr>
        <w:t>dementia, a literature review</w:t>
      </w:r>
      <w:r w:rsidR="00427468">
        <w:rPr>
          <w:kern w:val="0"/>
        </w:rPr>
        <w:t xml:space="preserve"> of </w:t>
      </w:r>
      <w:r>
        <w:rPr>
          <w:kern w:val="0"/>
        </w:rPr>
        <w:t xml:space="preserve">evidence. </w:t>
      </w:r>
      <w:r w:rsidRPr="00445D13">
        <w:rPr>
          <w:i/>
          <w:iCs/>
          <w:kern w:val="0"/>
        </w:rPr>
        <w:t>American Journal</w:t>
      </w:r>
      <w:r w:rsidR="00427468">
        <w:rPr>
          <w:i/>
          <w:iCs/>
          <w:kern w:val="0"/>
        </w:rPr>
        <w:t xml:space="preserve"> of </w:t>
      </w:r>
      <w:r w:rsidRPr="00445D13">
        <w:rPr>
          <w:i/>
          <w:iCs/>
          <w:kern w:val="0"/>
        </w:rPr>
        <w:t>Alzheimer</w:t>
      </w:r>
      <w:r w:rsidR="00700038">
        <w:rPr>
          <w:i/>
          <w:iCs/>
          <w:kern w:val="0"/>
        </w:rPr>
        <w:t>’</w:t>
      </w:r>
      <w:r w:rsidR="00C13DDC">
        <w:rPr>
          <w:i/>
          <w:iCs/>
          <w:kern w:val="0"/>
        </w:rPr>
        <w:t>s</w:t>
      </w:r>
      <w:r w:rsidRPr="00445D13">
        <w:rPr>
          <w:i/>
          <w:iCs/>
          <w:kern w:val="0"/>
        </w:rPr>
        <w:t xml:space="preserve"> Disease</w:t>
      </w:r>
      <w:r w:rsidR="005853A9">
        <w:rPr>
          <w:i/>
          <w:iCs/>
          <w:kern w:val="0"/>
        </w:rPr>
        <w:t xml:space="preserve"> and </w:t>
      </w:r>
      <w:r w:rsidRPr="00445D13">
        <w:rPr>
          <w:i/>
          <w:iCs/>
          <w:kern w:val="0"/>
        </w:rPr>
        <w:t>Other Dementias</w:t>
      </w:r>
      <w:r>
        <w:rPr>
          <w:kern w:val="0"/>
        </w:rPr>
        <w:t xml:space="preserve">, </w:t>
      </w:r>
      <w:r>
        <w:rPr>
          <w:b/>
          <w:bCs/>
          <w:kern w:val="0"/>
        </w:rPr>
        <w:t>26</w:t>
      </w:r>
      <w:r>
        <w:rPr>
          <w:kern w:val="0"/>
        </w:rPr>
        <w:t xml:space="preserve"> (3), 169-183.</w:t>
      </w:r>
    </w:p>
    <w:p w:rsidR="00C407CA" w:rsidRDefault="00C407CA" w:rsidP="00C407CA">
      <w:pPr>
        <w:pStyle w:val="a3"/>
        <w:rPr>
          <w:kern w:val="0"/>
        </w:rPr>
      </w:pPr>
      <w:r>
        <w:rPr>
          <w:rFonts w:hint="eastAsia"/>
          <w:kern w:val="0"/>
        </w:rPr>
        <w:t xml:space="preserve">Full Text: </w:t>
      </w:r>
      <w:hyperlink r:id="rId415" w:history="1">
        <w:r w:rsidR="00445D13" w:rsidRPr="00445D13">
          <w:rPr>
            <w:rStyle w:val="a5"/>
            <w:kern w:val="0"/>
          </w:rPr>
          <w:t>2011\Ame J Alz Dis Oth Dem26, 169.pdf</w:t>
        </w:r>
      </w:hyperlink>
    </w:p>
    <w:p w:rsidR="00C407CA" w:rsidRDefault="00C407CA" w:rsidP="00C407CA">
      <w:pPr>
        <w:pStyle w:val="a3"/>
        <w:rPr>
          <w:kern w:val="0"/>
        </w:rPr>
      </w:pPr>
      <w:r>
        <w:rPr>
          <w:kern w:val="0"/>
        </w:rPr>
        <w:t>Abstract:</w:t>
      </w:r>
      <w:r w:rsidR="003A1917">
        <w:rPr>
          <w:kern w:val="0"/>
        </w:rPr>
        <w:t xml:space="preserve"> the </w:t>
      </w:r>
      <w:r>
        <w:rPr>
          <w:kern w:val="0"/>
        </w:rPr>
        <w:t>objective</w:t>
      </w:r>
      <w:r w:rsidR="00427468">
        <w:rPr>
          <w:kern w:val="0"/>
        </w:rPr>
        <w:t xml:space="preserve"> of </w:t>
      </w:r>
      <w:r>
        <w:rPr>
          <w:kern w:val="0"/>
        </w:rPr>
        <w:t>this review is to summarize</w:t>
      </w:r>
      <w:r w:rsidR="003A1917">
        <w:rPr>
          <w:kern w:val="0"/>
        </w:rPr>
        <w:t xml:space="preserve"> the </w:t>
      </w:r>
      <w:r>
        <w:rPr>
          <w:kern w:val="0"/>
        </w:rPr>
        <w:t>current data on</w:t>
      </w:r>
      <w:r w:rsidR="003A1917">
        <w:rPr>
          <w:kern w:val="0"/>
        </w:rPr>
        <w:t xml:space="preserve"> the </w:t>
      </w:r>
      <w:r>
        <w:rPr>
          <w:kern w:val="0"/>
        </w:rPr>
        <w:t>use</w:t>
      </w:r>
      <w:r w:rsidR="00427468">
        <w:rPr>
          <w:kern w:val="0"/>
        </w:rPr>
        <w:t xml:space="preserve"> of </w:t>
      </w:r>
      <w:r>
        <w:rPr>
          <w:kern w:val="0"/>
        </w:rPr>
        <w:t>antidepressants in</w:t>
      </w:r>
      <w:r w:rsidR="003A1917">
        <w:rPr>
          <w:kern w:val="0"/>
        </w:rPr>
        <w:t xml:space="preserve"> the </w:t>
      </w:r>
      <w:r>
        <w:rPr>
          <w:kern w:val="0"/>
        </w:rPr>
        <w:t>treatment</w:t>
      </w:r>
      <w:r w:rsidR="00427468">
        <w:rPr>
          <w:kern w:val="0"/>
        </w:rPr>
        <w:t xml:space="preserve"> of </w:t>
      </w:r>
      <w:r>
        <w:rPr>
          <w:kern w:val="0"/>
        </w:rPr>
        <w:t>behavioral</w:t>
      </w:r>
      <w:r w:rsidR="005853A9">
        <w:rPr>
          <w:kern w:val="0"/>
        </w:rPr>
        <w:t xml:space="preserve"> and </w:t>
      </w:r>
      <w:r>
        <w:rPr>
          <w:kern w:val="0"/>
        </w:rPr>
        <w:t>psychological symptoms</w:t>
      </w:r>
      <w:r w:rsidR="00427468">
        <w:rPr>
          <w:kern w:val="0"/>
        </w:rPr>
        <w:t xml:space="preserve"> of </w:t>
      </w:r>
      <w:r>
        <w:rPr>
          <w:kern w:val="0"/>
        </w:rPr>
        <w:t>dementia (BPSD)</w:t>
      </w:r>
      <w:r w:rsidR="005853A9">
        <w:rPr>
          <w:kern w:val="0"/>
        </w:rPr>
        <w:t xml:space="preserve"> and </w:t>
      </w:r>
      <w:r>
        <w:rPr>
          <w:kern w:val="0"/>
        </w:rPr>
        <w:t>to determine whether these medications can be recommended for routine clinical use. A literature search</w:t>
      </w:r>
      <w:r w:rsidR="00427468">
        <w:rPr>
          <w:kern w:val="0"/>
        </w:rPr>
        <w:t xml:space="preserve"> of </w:t>
      </w:r>
      <w:r>
        <w:rPr>
          <w:kern w:val="0"/>
        </w:rPr>
        <w:t>six major databases (</w:t>
      </w:r>
      <w:r w:rsidR="002C12F0">
        <w:rPr>
          <w:kern w:val="0"/>
        </w:rPr>
        <w:t>PUBMED</w:t>
      </w:r>
      <w:r>
        <w:rPr>
          <w:kern w:val="0"/>
        </w:rPr>
        <w:t xml:space="preserve">, </w:t>
      </w:r>
      <w:r w:rsidR="00D5664A">
        <w:rPr>
          <w:kern w:val="0"/>
        </w:rPr>
        <w:t>MEDLINE</w:t>
      </w:r>
      <w:r>
        <w:rPr>
          <w:kern w:val="0"/>
        </w:rPr>
        <w:t xml:space="preserve">, PsychINFO, Scopus,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Cochrane collaboration) trials, 8 using a selective serotonin reuptake inhibitor (SSRI) compound</w:t>
      </w:r>
      <w:r w:rsidR="005853A9">
        <w:rPr>
          <w:kern w:val="0"/>
        </w:rPr>
        <w:t xml:space="preserve"> and </w:t>
      </w:r>
      <w:r>
        <w:rPr>
          <w:kern w:val="0"/>
        </w:rPr>
        <w:t>3 using trazodone showed benefit in</w:t>
      </w:r>
      <w:r w:rsidR="003A1917">
        <w:rPr>
          <w:kern w:val="0"/>
        </w:rPr>
        <w:t xml:space="preserve"> the </w:t>
      </w:r>
      <w:r>
        <w:rPr>
          <w:kern w:val="0"/>
        </w:rPr>
        <w:t>treatment</w:t>
      </w:r>
      <w:r w:rsidR="00427468">
        <w:rPr>
          <w:kern w:val="0"/>
        </w:rPr>
        <w:t xml:space="preserve"> of </w:t>
      </w:r>
      <w:r>
        <w:rPr>
          <w:kern w:val="0"/>
        </w:rPr>
        <w:t>BPSD</w:t>
      </w:r>
      <w:r w:rsidR="00A37C1D">
        <w:rPr>
          <w:kern w:val="0"/>
        </w:rPr>
        <w:t>. The</w:t>
      </w:r>
      <w:r w:rsidR="003A1917">
        <w:rPr>
          <w:kern w:val="0"/>
        </w:rPr>
        <w:t xml:space="preserve"> </w:t>
      </w:r>
      <w:r>
        <w:rPr>
          <w:kern w:val="0"/>
        </w:rPr>
        <w:t>antidepressant drug was well tolerated in at least 14</w:t>
      </w:r>
      <w:r w:rsidR="00427468">
        <w:rPr>
          <w:kern w:val="0"/>
        </w:rPr>
        <w:t xml:space="preserve"> of </w:t>
      </w:r>
      <w:r w:rsidR="003A1917">
        <w:rPr>
          <w:kern w:val="0"/>
        </w:rPr>
        <w:t xml:space="preserve">the </w:t>
      </w:r>
      <w:r>
        <w:rPr>
          <w:kern w:val="0"/>
        </w:rPr>
        <w:t>19 trials with information about tolerability in one trial not provided in</w:t>
      </w:r>
      <w:r w:rsidR="003A1917">
        <w:rPr>
          <w:kern w:val="0"/>
        </w:rPr>
        <w:t xml:space="preserve"> the </w:t>
      </w:r>
      <w:r>
        <w:rPr>
          <w:kern w:val="0"/>
        </w:rPr>
        <w:t>study (paroxetine or placebo for FTD). This review indicates that antidepressants can be an effective in</w:t>
      </w:r>
      <w:r w:rsidR="003A1917">
        <w:rPr>
          <w:kern w:val="0"/>
        </w:rPr>
        <w:t xml:space="preserve"> the </w:t>
      </w:r>
      <w:r>
        <w:rPr>
          <w:kern w:val="0"/>
        </w:rPr>
        <w:t>treatment</w:t>
      </w:r>
      <w:r w:rsidR="00427468">
        <w:rPr>
          <w:kern w:val="0"/>
        </w:rPr>
        <w:t xml:space="preserve"> of </w:t>
      </w:r>
      <w:r>
        <w:rPr>
          <w:kern w:val="0"/>
        </w:rPr>
        <w:t>BPSD</w:t>
      </w:r>
      <w:r w:rsidR="005853A9">
        <w:rPr>
          <w:kern w:val="0"/>
        </w:rPr>
        <w:t xml:space="preserve"> and </w:t>
      </w:r>
      <w:r>
        <w:rPr>
          <w:kern w:val="0"/>
        </w:rPr>
        <w:t>are generally well tolerated in elderly demented patients.</w:t>
      </w:r>
    </w:p>
    <w:p w:rsidR="00C407CA" w:rsidRDefault="00C407CA" w:rsidP="00C407CA">
      <w:pPr>
        <w:pStyle w:val="a3"/>
        <w:rPr>
          <w:kern w:val="0"/>
        </w:rPr>
      </w:pPr>
      <w:r>
        <w:rPr>
          <w:kern w:val="0"/>
        </w:rPr>
        <w:t>Keywords: Alzheimers-Disease, Antidepressants, Behavioral</w:t>
      </w:r>
      <w:r w:rsidR="005853A9">
        <w:rPr>
          <w:kern w:val="0"/>
        </w:rPr>
        <w:t xml:space="preserve"> and </w:t>
      </w:r>
      <w:r>
        <w:rPr>
          <w:kern w:val="0"/>
        </w:rPr>
        <w:t>Psychological Symptoms</w:t>
      </w:r>
      <w:r w:rsidR="00427468">
        <w:rPr>
          <w:kern w:val="0"/>
        </w:rPr>
        <w:t xml:space="preserve"> of </w:t>
      </w:r>
      <w:r>
        <w:rPr>
          <w:kern w:val="0"/>
        </w:rPr>
        <w:t xml:space="preserve">Dementia, </w:t>
      </w:r>
      <w:r w:rsidR="00445D13">
        <w:rPr>
          <w:kern w:val="0"/>
        </w:rPr>
        <w:t>BPSD</w:t>
      </w:r>
      <w:r>
        <w:rPr>
          <w:kern w:val="0"/>
        </w:rPr>
        <w:t xml:space="preserve">, Cochrane, Collaboration, Controlled Clinical-Trial, Databases, Dementia, Disturbances, Double-Blind, Drug, Efficacy, Elderly, Frontotemporal Dementia, Information, Literature, Literature Review, Neuropsychiatric Symptoms, Placebo, Psychological, Psychotic Symptoms, </w:t>
      </w:r>
      <w:r w:rsidR="002C12F0">
        <w:rPr>
          <w:kern w:val="0"/>
        </w:rPr>
        <w:t>PUBMED</w:t>
      </w:r>
      <w:r>
        <w:rPr>
          <w:kern w:val="0"/>
        </w:rPr>
        <w:t xml:space="preserve">, Randomized-Controlled-Trial, Review, Science, Scopus, Selective Serotonin Reuptake Inhibitors, Serotonin, Sertraline, Symptoms, Trazodone, Treatment, </w:t>
      </w:r>
      <w:r w:rsidR="00D5664A">
        <w:rPr>
          <w:kern w:val="0"/>
        </w:rPr>
        <w:t>Web</w:t>
      </w:r>
      <w:r w:rsidR="00427468">
        <w:rPr>
          <w:kern w:val="0"/>
        </w:rPr>
        <w:t xml:space="preserve"> of </w:t>
      </w:r>
      <w:r w:rsidR="00D5664A">
        <w:rPr>
          <w:kern w:val="0"/>
        </w:rPr>
        <w:t>Science</w:t>
      </w:r>
    </w:p>
    <w:p w:rsidR="00021E6B" w:rsidRPr="001A3D2B" w:rsidRDefault="00021E6B" w:rsidP="00021E6B">
      <w:pPr>
        <w:pStyle w:val="1"/>
      </w:pPr>
      <w:r w:rsidRPr="001A3D2B">
        <w:br w:type="page"/>
      </w:r>
      <w:bookmarkStart w:id="230" w:name="_Toc420814373"/>
      <w:r w:rsidRPr="001A3D2B">
        <w:lastRenderedPageBreak/>
        <w:t xml:space="preserve">Title: </w:t>
      </w:r>
      <w:r w:rsidRPr="00021E6B">
        <w:t>American Journal</w:t>
      </w:r>
      <w:r w:rsidR="00427468">
        <w:t xml:space="preserve"> of </w:t>
      </w:r>
      <w:r w:rsidRPr="00021E6B">
        <w:t>Bioethics</w:t>
      </w:r>
      <w:bookmarkEnd w:id="230"/>
    </w:p>
    <w:p w:rsidR="00021E6B" w:rsidRPr="001A3D2B" w:rsidRDefault="00021E6B" w:rsidP="00021E6B">
      <w:pPr>
        <w:pStyle w:val="12"/>
      </w:pPr>
      <w:r w:rsidRPr="001A3D2B">
        <w:t xml:space="preserve">Full Journal Title: </w:t>
      </w:r>
      <w:r w:rsidRPr="00021E6B">
        <w:rPr>
          <w:iCs/>
          <w:kern w:val="0"/>
        </w:rPr>
        <w:t>American Journal</w:t>
      </w:r>
      <w:r w:rsidR="00427468">
        <w:rPr>
          <w:iCs/>
          <w:kern w:val="0"/>
        </w:rPr>
        <w:t xml:space="preserve"> of </w:t>
      </w:r>
      <w:r w:rsidRPr="00021E6B">
        <w:rPr>
          <w:iCs/>
          <w:kern w:val="0"/>
        </w:rPr>
        <w:t>Bioethics</w:t>
      </w:r>
    </w:p>
    <w:p w:rsidR="00021E6B" w:rsidRPr="001A3D2B" w:rsidRDefault="00021E6B" w:rsidP="00021E6B">
      <w:pPr>
        <w:pStyle w:val="12"/>
      </w:pPr>
      <w:r w:rsidRPr="001A3D2B">
        <w:t xml:space="preserve">ISO Abbreviated Title: </w:t>
      </w:r>
    </w:p>
    <w:p w:rsidR="00021E6B" w:rsidRPr="001A3D2B" w:rsidRDefault="00021E6B" w:rsidP="00021E6B">
      <w:pPr>
        <w:pStyle w:val="12"/>
      </w:pPr>
      <w:r w:rsidRPr="001A3D2B">
        <w:t xml:space="preserve">Jcr Abbreviated Title: </w:t>
      </w:r>
    </w:p>
    <w:p w:rsidR="00021E6B" w:rsidRPr="001A3D2B" w:rsidRDefault="00021E6B" w:rsidP="00021E6B">
      <w:pPr>
        <w:pStyle w:val="12"/>
      </w:pPr>
      <w:r w:rsidRPr="001A3D2B">
        <w:t xml:space="preserve">ISSN: </w:t>
      </w:r>
    </w:p>
    <w:p w:rsidR="00021E6B" w:rsidRPr="001A3D2B" w:rsidRDefault="00021E6B" w:rsidP="00021E6B">
      <w:pPr>
        <w:pStyle w:val="12"/>
      </w:pPr>
      <w:r w:rsidRPr="001A3D2B">
        <w:t xml:space="preserve">Issues/Year: </w:t>
      </w:r>
    </w:p>
    <w:p w:rsidR="00021E6B" w:rsidRPr="001A3D2B" w:rsidRDefault="00021E6B" w:rsidP="00021E6B">
      <w:pPr>
        <w:pStyle w:val="12"/>
      </w:pPr>
      <w:r w:rsidRPr="001A3D2B">
        <w:t xml:space="preserve">Journal Country/Territory: </w:t>
      </w:r>
    </w:p>
    <w:p w:rsidR="00021E6B" w:rsidRPr="001A3D2B" w:rsidRDefault="00021E6B" w:rsidP="00021E6B">
      <w:pPr>
        <w:pStyle w:val="12"/>
      </w:pPr>
      <w:r w:rsidRPr="001A3D2B">
        <w:t xml:space="preserve">Language: </w:t>
      </w:r>
    </w:p>
    <w:p w:rsidR="00021E6B" w:rsidRPr="001A3D2B" w:rsidRDefault="00021E6B" w:rsidP="00021E6B">
      <w:pPr>
        <w:pStyle w:val="12"/>
      </w:pPr>
      <w:r w:rsidRPr="001A3D2B">
        <w:t xml:space="preserve">Publisher: </w:t>
      </w:r>
    </w:p>
    <w:p w:rsidR="00021E6B" w:rsidRPr="001A3D2B" w:rsidRDefault="00021E6B" w:rsidP="00021E6B">
      <w:pPr>
        <w:pStyle w:val="12"/>
      </w:pPr>
      <w:r w:rsidRPr="001A3D2B">
        <w:t xml:space="preserve">Publisher Address: </w:t>
      </w:r>
    </w:p>
    <w:p w:rsidR="00021E6B" w:rsidRPr="001A3D2B" w:rsidRDefault="00021E6B" w:rsidP="00021E6B">
      <w:pPr>
        <w:pStyle w:val="12"/>
      </w:pPr>
      <w:r w:rsidRPr="001A3D2B">
        <w:t>Subject Categories:</w:t>
      </w:r>
    </w:p>
    <w:p w:rsidR="00021E6B" w:rsidRPr="001A3D2B" w:rsidRDefault="00021E6B" w:rsidP="00021E6B">
      <w:pPr>
        <w:pStyle w:val="12"/>
      </w:pPr>
      <w:r w:rsidRPr="001A3D2B">
        <w:t>: Impact Factor</w:t>
      </w:r>
    </w:p>
    <w:p w:rsidR="00021E6B" w:rsidRDefault="00021E6B" w:rsidP="00021E6B">
      <w:pPr>
        <w:pStyle w:val="a3"/>
        <w:rPr>
          <w:kern w:val="0"/>
        </w:rPr>
      </w:pPr>
      <w:r>
        <w:rPr>
          <w:rFonts w:hint="eastAsia"/>
          <w:kern w:val="0"/>
        </w:rPr>
        <w:t xml:space="preserve">? </w:t>
      </w:r>
      <w:r>
        <w:rPr>
          <w:kern w:val="0"/>
        </w:rPr>
        <w:t>Smith, E.</w:t>
      </w:r>
      <w:r w:rsidR="005853A9">
        <w:rPr>
          <w:kern w:val="0"/>
        </w:rPr>
        <w:t xml:space="preserve"> and </w:t>
      </w:r>
      <w:r>
        <w:rPr>
          <w:kern w:val="0"/>
        </w:rPr>
        <w:t>Boulanger, R. (2011), What about author order</w:t>
      </w:r>
      <w:r w:rsidR="005853A9">
        <w:rPr>
          <w:kern w:val="0"/>
        </w:rPr>
        <w:t xml:space="preserve"> and </w:t>
      </w:r>
      <w:r>
        <w:rPr>
          <w:kern w:val="0"/>
        </w:rPr>
        <w:t xml:space="preserve">acknowledgments? Suggestions for additional criteria for conceptual research in bioethics. </w:t>
      </w:r>
      <w:r w:rsidRPr="00021E6B">
        <w:rPr>
          <w:i/>
          <w:iCs/>
          <w:kern w:val="0"/>
        </w:rPr>
        <w:t>American Journal</w:t>
      </w:r>
      <w:r w:rsidR="00427468">
        <w:rPr>
          <w:i/>
          <w:iCs/>
          <w:kern w:val="0"/>
        </w:rPr>
        <w:t xml:space="preserve"> of </w:t>
      </w:r>
      <w:r w:rsidRPr="00021E6B">
        <w:rPr>
          <w:i/>
          <w:iCs/>
          <w:kern w:val="0"/>
        </w:rPr>
        <w:t>Bioethics</w:t>
      </w:r>
      <w:r>
        <w:rPr>
          <w:kern w:val="0"/>
        </w:rPr>
        <w:t xml:space="preserve">, </w:t>
      </w:r>
      <w:r>
        <w:rPr>
          <w:b/>
          <w:bCs/>
          <w:kern w:val="0"/>
        </w:rPr>
        <w:t>11</w:t>
      </w:r>
      <w:r>
        <w:rPr>
          <w:kern w:val="0"/>
        </w:rPr>
        <w:t xml:space="preserve"> (10), 24-26</w:t>
      </w:r>
      <w:r>
        <w:rPr>
          <w:rFonts w:hint="eastAsia"/>
          <w:kern w:val="0"/>
        </w:rPr>
        <w:t>.</w:t>
      </w:r>
    </w:p>
    <w:p w:rsidR="00021E6B" w:rsidRDefault="00021E6B" w:rsidP="00021E6B">
      <w:pPr>
        <w:pStyle w:val="a3"/>
        <w:rPr>
          <w:kern w:val="0"/>
        </w:rPr>
      </w:pPr>
      <w:r>
        <w:rPr>
          <w:rFonts w:hint="eastAsia"/>
          <w:kern w:val="0"/>
        </w:rPr>
        <w:t xml:space="preserve">Full Text: </w:t>
      </w:r>
      <w:hyperlink r:id="rId416" w:history="1">
        <w:r w:rsidRPr="00021E6B">
          <w:rPr>
            <w:rStyle w:val="a5"/>
            <w:kern w:val="0"/>
          </w:rPr>
          <w:t>2011\Ame J Bio11, 24.pdf</w:t>
        </w:r>
      </w:hyperlink>
    </w:p>
    <w:p w:rsidR="00021E6B" w:rsidRDefault="00021E6B" w:rsidP="00021E6B">
      <w:pPr>
        <w:pStyle w:val="a3"/>
        <w:rPr>
          <w:kern w:val="0"/>
        </w:rPr>
      </w:pPr>
      <w:r>
        <w:rPr>
          <w:kern w:val="0"/>
        </w:rPr>
        <w:t>Keywords: Research</w:t>
      </w:r>
    </w:p>
    <w:p w:rsidR="0087245C" w:rsidRPr="00F219CA" w:rsidRDefault="0087245C" w:rsidP="0087245C">
      <w:pPr>
        <w:pStyle w:val="1"/>
      </w:pPr>
      <w:r w:rsidRPr="00F219CA">
        <w:br w:type="page"/>
      </w:r>
      <w:bookmarkStart w:id="231" w:name="_Toc404711951"/>
      <w:bookmarkStart w:id="232" w:name="_Toc420814374"/>
      <w:r w:rsidRPr="00F219CA">
        <w:lastRenderedPageBreak/>
        <w:t>Title: American Journal</w:t>
      </w:r>
      <w:r>
        <w:t xml:space="preserve"> of </w:t>
      </w:r>
      <w:r w:rsidRPr="00F219CA">
        <w:t>Botany</w:t>
      </w:r>
      <w:bookmarkEnd w:id="231"/>
      <w:bookmarkEnd w:id="232"/>
    </w:p>
    <w:p w:rsidR="0087245C" w:rsidRPr="00F219CA" w:rsidRDefault="0087245C" w:rsidP="0087245C">
      <w:pPr>
        <w:pStyle w:val="12"/>
      </w:pPr>
      <w:r w:rsidRPr="00F219CA">
        <w:t xml:space="preserve">Full Journal Title: </w:t>
      </w:r>
      <w:hyperlink r:id="rId417" w:history="1">
        <w:r w:rsidRPr="00F219CA">
          <w:t>American Journal</w:t>
        </w:r>
        <w:r>
          <w:t xml:space="preserve"> of </w:t>
        </w:r>
        <w:r w:rsidRPr="00F219CA">
          <w:t>Botany</w:t>
        </w:r>
      </w:hyperlink>
    </w:p>
    <w:p w:rsidR="0087245C" w:rsidRPr="00F219CA" w:rsidRDefault="0087245C" w:rsidP="0087245C">
      <w:pPr>
        <w:pStyle w:val="12"/>
      </w:pPr>
      <w:r w:rsidRPr="00F219CA">
        <w:t>ISO Abbreviated Title: Am. J. Bot.</w:t>
      </w:r>
    </w:p>
    <w:p w:rsidR="0087245C" w:rsidRPr="00F219CA" w:rsidRDefault="0087245C" w:rsidP="0087245C">
      <w:pPr>
        <w:pStyle w:val="12"/>
      </w:pPr>
      <w:r w:rsidRPr="00F219CA">
        <w:t>JCR Abbreviated Title: Am J Bot</w:t>
      </w:r>
    </w:p>
    <w:p w:rsidR="0087245C" w:rsidRPr="00F219CA" w:rsidRDefault="0087245C" w:rsidP="0087245C">
      <w:pPr>
        <w:pStyle w:val="12"/>
      </w:pPr>
      <w:r w:rsidRPr="00F219CA">
        <w:t>ISSN: 0002-9122</w:t>
      </w:r>
    </w:p>
    <w:p w:rsidR="0087245C" w:rsidRPr="00F219CA" w:rsidRDefault="0087245C" w:rsidP="0087245C">
      <w:pPr>
        <w:pStyle w:val="12"/>
      </w:pPr>
      <w:r w:rsidRPr="00F219CA">
        <w:t>Issues/Year: 12</w:t>
      </w:r>
    </w:p>
    <w:p w:rsidR="0087245C" w:rsidRPr="00F219CA" w:rsidRDefault="0087245C" w:rsidP="0087245C">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87245C" w:rsidRPr="00F219CA" w:rsidRDefault="0087245C" w:rsidP="0087245C">
      <w:pPr>
        <w:pStyle w:val="12"/>
      </w:pPr>
      <w:r w:rsidRPr="00F219CA">
        <w:t>Language: English</w:t>
      </w:r>
    </w:p>
    <w:p w:rsidR="0087245C" w:rsidRPr="00F219CA" w:rsidRDefault="0087245C" w:rsidP="0087245C">
      <w:pPr>
        <w:pStyle w:val="12"/>
      </w:pPr>
      <w:r w:rsidRPr="00F219CA">
        <w:t>Publisher: Botanical Soc Amer Inc</w:t>
      </w:r>
    </w:p>
    <w:p w:rsidR="0087245C" w:rsidRPr="00F219CA" w:rsidRDefault="0087245C" w:rsidP="0087245C">
      <w:pPr>
        <w:pStyle w:val="12"/>
      </w:pPr>
      <w:r w:rsidRPr="00F219CA">
        <w:t xml:space="preserve">Publisher Address: </w:t>
      </w:r>
      <w:smartTag w:uri="urn:schemas-microsoft-com:office:smarttags" w:element="place">
        <w:smartTag w:uri="urn:schemas-microsoft-com:office:smarttags" w:element="PlaceName">
          <w:r w:rsidRPr="00F219CA">
            <w:t>Ohio</w:t>
          </w:r>
        </w:smartTag>
        <w:r w:rsidRPr="00F219CA">
          <w:t xml:space="preserve"> </w:t>
        </w:r>
        <w:smartTag w:uri="urn:schemas-microsoft-com:office:smarttags" w:element="PlaceType">
          <w:r w:rsidRPr="00F219CA">
            <w:t>State</w:t>
          </w:r>
        </w:smartTag>
      </w:smartTag>
      <w:r w:rsidRPr="00F219CA">
        <w:t xml:space="preserve"> Univ-Dept Botany, 1735 Neil Ave, Columbus, OH </w:t>
      </w:r>
      <w:smartTag w:uri="urn:schemas-microsoft-com:office:smarttags" w:element="PostalCode">
        <w:r w:rsidRPr="00F219CA">
          <w:t>43210</w:t>
        </w:r>
      </w:smartTag>
    </w:p>
    <w:p w:rsidR="0087245C" w:rsidRPr="00F219CA" w:rsidRDefault="0087245C" w:rsidP="0087245C">
      <w:pPr>
        <w:pStyle w:val="12"/>
      </w:pPr>
      <w:r w:rsidRPr="00F219CA">
        <w:t xml:space="preserve">Subject Categories: </w:t>
      </w:r>
    </w:p>
    <w:p w:rsidR="0087245C" w:rsidRPr="00F219CA" w:rsidRDefault="0087245C" w:rsidP="0087245C">
      <w:pPr>
        <w:pStyle w:val="12"/>
      </w:pPr>
      <w:r w:rsidRPr="00F219CA">
        <w:t>Plant Sciences: Impact Factor 2.350, 17/137 (2000)</w:t>
      </w:r>
    </w:p>
    <w:p w:rsidR="0087245C" w:rsidRDefault="0087245C" w:rsidP="0087245C">
      <w:pPr>
        <w:pStyle w:val="a3"/>
        <w:rPr>
          <w:kern w:val="0"/>
        </w:rPr>
      </w:pPr>
      <w:r>
        <w:rPr>
          <w:kern w:val="0"/>
        </w:rPr>
        <w:t xml:space="preserve">? Shaw, J., Shafer, H.L., Leonard, O.R., Kovach, M.J., Schorr, M. and Morris, A.B. (2014), Chloroplast DNA sequence utility for the lowest phylogenetic and phylogeographic inferences in angiosperms: The tortoise and the hare IV. </w:t>
      </w:r>
      <w:r>
        <w:rPr>
          <w:i/>
          <w:iCs/>
          <w:kern w:val="0"/>
        </w:rPr>
        <w:t>American Journal of Botany</w:t>
      </w:r>
      <w:r>
        <w:rPr>
          <w:kern w:val="0"/>
        </w:rPr>
        <w:t xml:space="preserve">, </w:t>
      </w:r>
      <w:r>
        <w:rPr>
          <w:b/>
          <w:bCs/>
          <w:kern w:val="0"/>
        </w:rPr>
        <w:t>101</w:t>
      </w:r>
      <w:r>
        <w:rPr>
          <w:kern w:val="0"/>
        </w:rPr>
        <w:t xml:space="preserve"> (11), 1987-2004.</w:t>
      </w:r>
    </w:p>
    <w:p w:rsidR="0087245C" w:rsidRPr="00F219CA" w:rsidRDefault="0087245C" w:rsidP="0087245C">
      <w:pPr>
        <w:pStyle w:val="a3"/>
      </w:pPr>
      <w:r w:rsidRPr="00F219CA">
        <w:t xml:space="preserve">Full Text: </w:t>
      </w:r>
      <w:r>
        <w:rPr>
          <w:rFonts w:hint="eastAsia"/>
        </w:rPr>
        <w:t>2014\</w:t>
      </w:r>
      <w:r w:rsidRPr="00F219CA">
        <w:t>Ame J Bot</w:t>
      </w:r>
      <w:r>
        <w:rPr>
          <w:rFonts w:hint="eastAsia"/>
        </w:rPr>
        <w:t>101</w:t>
      </w:r>
      <w:r w:rsidRPr="00F219CA">
        <w:t xml:space="preserve">, </w:t>
      </w:r>
      <w:r>
        <w:rPr>
          <w:kern w:val="0"/>
        </w:rPr>
        <w:t>1987</w:t>
      </w:r>
      <w:r>
        <w:rPr>
          <w:rFonts w:hint="eastAsia"/>
          <w:kern w:val="0"/>
        </w:rPr>
        <w:t>.pdf</w:t>
      </w:r>
    </w:p>
    <w:p w:rsidR="0087245C" w:rsidRDefault="0087245C" w:rsidP="0087245C">
      <w:pPr>
        <w:pStyle w:val="a3"/>
        <w:rPr>
          <w:kern w:val="0"/>
        </w:rPr>
      </w:pPr>
      <w:r>
        <w:rPr>
          <w:kern w:val="0"/>
        </w:rPr>
        <w:t xml:space="preserve">Abstract: Premise of the study: Noncoding chloroplast DNA (NC-cpDNA) sequences are the staple data source of low-level phylogeographic and phylogenetic studies of angiosperms. We followed up on previous papers (tortoise and hare II and III) that sought to identify the most consistently variable regions of NC-cpDNA. We used an exhaustive literature review and newly available whole plastome data to assess applicability of previous conclusions at low taxonomic levels. Methods: We aligned complete plastomes of 25 species pairs from across angiosperms, comparing the number of genetic differences found in 107 NC-cpDNA regions and matK. We surveyed Web of Science for the plant phylogeographic literature between 2007 and 2013 to assess how NC-cpDNA has been used at the intraspecific level. Key results: Several regions are consistently the most variable across angiosperm lineages: ndhF-rpl32, rpl32-trnL((UAG)), ndhC-trnV((UAC)), 5’rps16-trnQ((UUG)), psbE-petL, trnT((GGU))-psbD, petA-psbJ, and rpl16 intron. However, there is no universally best region. The average number of regions applied to low-level studies is similar to 2.5, which may be too little to access the full discriminating power of this genome. Conclusions: Plastome sequences have been used successfully at lower and lower taxonomic levels. Our findings corroborate earlier works, suggesting that there are regions that are most likely to be the most variable. However, while NC-cpDNA sequences are commonly used in plant phylogeographic studies, few of the most variable regions are applied in that context. Furthermore, it appears that in </w:t>
      </w:r>
      <w:r>
        <w:rPr>
          <w:kern w:val="0"/>
        </w:rPr>
        <w:lastRenderedPageBreak/>
        <w:t>most studies too few NC-cpDNAs are used to access the discriminating power of the cpDNA genome.</w:t>
      </w:r>
    </w:p>
    <w:p w:rsidR="0087245C" w:rsidRDefault="0087245C" w:rsidP="0087245C">
      <w:pPr>
        <w:pStyle w:val="a3"/>
        <w:rPr>
          <w:kern w:val="0"/>
        </w:rPr>
      </w:pPr>
      <w:r>
        <w:rPr>
          <w:kern w:val="0"/>
        </w:rPr>
        <w:t>Keywords: Access, Chloroplast, Complete, Context, Data, DNA, DNA Barcode, From, Genetic, Genetic Differentiation, Genome Sequence, Intergenic Spacer, Intraspecific, Intraspecific Variation, Intron, Land Plants, Literature, Literature Review, Methods, Next-Generation, Noncoding Cpdna, Noncoding Regions, Nov, Nucleotide-Sequences, Papers, Phylogeography, Plant, Plant Systematics, Plastid Region, Plastome, Power, Rapidly Evolving Cpdna, Region, Review, Science, Sequence, Source, Species, Tortoise And Hare, Universal Primers, Web Of Science</w:t>
      </w:r>
    </w:p>
    <w:p w:rsidR="00FF4C13" w:rsidRPr="001A3D2B" w:rsidRDefault="00FF4C13" w:rsidP="00FF4C13">
      <w:pPr>
        <w:pStyle w:val="1"/>
      </w:pPr>
      <w:r w:rsidRPr="001A3D2B">
        <w:br w:type="page"/>
      </w:r>
      <w:bookmarkStart w:id="233" w:name="_Toc420814375"/>
      <w:r w:rsidRPr="001A3D2B">
        <w:lastRenderedPageBreak/>
        <w:t xml:space="preserve">Title: </w:t>
      </w:r>
      <w:r w:rsidRPr="00834857">
        <w:rPr>
          <w:iCs w:val="0"/>
        </w:rPr>
        <w:t>American Journal</w:t>
      </w:r>
      <w:r w:rsidR="00427468">
        <w:rPr>
          <w:iCs w:val="0"/>
        </w:rPr>
        <w:t xml:space="preserve"> of </w:t>
      </w:r>
      <w:r w:rsidRPr="00834857">
        <w:rPr>
          <w:iCs w:val="0"/>
        </w:rPr>
        <w:t>Cardiology</w:t>
      </w:r>
      <w:bookmarkEnd w:id="233"/>
    </w:p>
    <w:p w:rsidR="00FF4C13" w:rsidRPr="001A3D2B" w:rsidRDefault="00FF4C13" w:rsidP="00FF4C13">
      <w:pPr>
        <w:pStyle w:val="12"/>
      </w:pPr>
      <w:r w:rsidRPr="001A3D2B">
        <w:t xml:space="preserve">Full Journal Title: </w:t>
      </w:r>
      <w:r w:rsidRPr="00834857">
        <w:rPr>
          <w:iCs/>
          <w:kern w:val="0"/>
        </w:rPr>
        <w:t>American Journal</w:t>
      </w:r>
      <w:r w:rsidR="00427468">
        <w:rPr>
          <w:iCs/>
          <w:kern w:val="0"/>
        </w:rPr>
        <w:t xml:space="preserve"> of </w:t>
      </w:r>
      <w:r w:rsidRPr="00834857">
        <w:rPr>
          <w:iCs/>
          <w:kern w:val="0"/>
        </w:rPr>
        <w:t>Cardiology</w:t>
      </w:r>
    </w:p>
    <w:p w:rsidR="00FF4C13" w:rsidRPr="001A3D2B" w:rsidRDefault="00FF4C13" w:rsidP="00FF4C13">
      <w:pPr>
        <w:pStyle w:val="12"/>
      </w:pPr>
      <w:r w:rsidRPr="001A3D2B">
        <w:t xml:space="preserve">ISO Abbreviated Title: </w:t>
      </w:r>
    </w:p>
    <w:p w:rsidR="00FF4C13" w:rsidRPr="001A3D2B" w:rsidRDefault="00FF4C13" w:rsidP="00FF4C13">
      <w:pPr>
        <w:pStyle w:val="12"/>
      </w:pPr>
      <w:r w:rsidRPr="001A3D2B">
        <w:t xml:space="preserve">Jcr Abbreviated Title: </w:t>
      </w:r>
    </w:p>
    <w:p w:rsidR="00FF4C13" w:rsidRPr="001A3D2B" w:rsidRDefault="00FF4C13" w:rsidP="00FF4C13">
      <w:pPr>
        <w:pStyle w:val="12"/>
      </w:pPr>
      <w:r w:rsidRPr="001A3D2B">
        <w:t xml:space="preserve">ISSN: </w:t>
      </w:r>
    </w:p>
    <w:p w:rsidR="00FF4C13" w:rsidRPr="001A3D2B" w:rsidRDefault="00FF4C13" w:rsidP="00FF4C13">
      <w:pPr>
        <w:pStyle w:val="12"/>
      </w:pPr>
      <w:r w:rsidRPr="001A3D2B">
        <w:t xml:space="preserve">Issues/Year: </w:t>
      </w:r>
    </w:p>
    <w:p w:rsidR="00FF4C13" w:rsidRPr="001A3D2B" w:rsidRDefault="00FF4C13" w:rsidP="00FF4C13">
      <w:pPr>
        <w:pStyle w:val="12"/>
      </w:pPr>
      <w:r w:rsidRPr="001A3D2B">
        <w:t xml:space="preserve">Journal Country/Territory: </w:t>
      </w:r>
    </w:p>
    <w:p w:rsidR="00FF4C13" w:rsidRPr="001A3D2B" w:rsidRDefault="00FF4C13" w:rsidP="00FF4C13">
      <w:pPr>
        <w:pStyle w:val="12"/>
      </w:pPr>
      <w:r w:rsidRPr="001A3D2B">
        <w:t xml:space="preserve">Language: </w:t>
      </w:r>
    </w:p>
    <w:p w:rsidR="00FF4C13" w:rsidRPr="001A3D2B" w:rsidRDefault="00FF4C13" w:rsidP="00FF4C13">
      <w:pPr>
        <w:pStyle w:val="12"/>
      </w:pPr>
      <w:r w:rsidRPr="001A3D2B">
        <w:t xml:space="preserve">Publisher: </w:t>
      </w:r>
    </w:p>
    <w:p w:rsidR="00FF4C13" w:rsidRPr="001A3D2B" w:rsidRDefault="00FF4C13" w:rsidP="00FF4C13">
      <w:pPr>
        <w:pStyle w:val="12"/>
      </w:pPr>
      <w:r w:rsidRPr="001A3D2B">
        <w:t xml:space="preserve">Publisher Address: </w:t>
      </w:r>
    </w:p>
    <w:p w:rsidR="00FF4C13" w:rsidRPr="001A3D2B" w:rsidRDefault="00FF4C13" w:rsidP="00FF4C13">
      <w:pPr>
        <w:pStyle w:val="12"/>
      </w:pPr>
      <w:r w:rsidRPr="001A3D2B">
        <w:t>Subject Categories:</w:t>
      </w:r>
    </w:p>
    <w:p w:rsidR="00FF4C13" w:rsidRPr="001A3D2B" w:rsidRDefault="00FF4C13" w:rsidP="00FF4C13">
      <w:pPr>
        <w:pStyle w:val="12"/>
      </w:pPr>
      <w:r w:rsidRPr="001A3D2B">
        <w:t>: Impact Factor</w:t>
      </w:r>
    </w:p>
    <w:p w:rsidR="00FF4C13" w:rsidRDefault="00FF4C13" w:rsidP="00FF4C13">
      <w:pPr>
        <w:pStyle w:val="a3"/>
        <w:rPr>
          <w:kern w:val="0"/>
        </w:rPr>
      </w:pPr>
      <w:r>
        <w:rPr>
          <w:rFonts w:hint="eastAsia"/>
          <w:kern w:val="0"/>
        </w:rPr>
        <w:t xml:space="preserve">? </w:t>
      </w:r>
      <w:r>
        <w:rPr>
          <w:kern w:val="0"/>
        </w:rPr>
        <w:t>Jeevanantham, V., Ntim, W., Navaneethan, S.D., Shah, S., Johnson, A.C., Hall, B., Shah, A., Hundley, W.G., Daubert, J.P.</w:t>
      </w:r>
      <w:r w:rsidR="005853A9">
        <w:rPr>
          <w:kern w:val="0"/>
        </w:rPr>
        <w:t xml:space="preserve"> and </w:t>
      </w:r>
      <w:r>
        <w:rPr>
          <w:kern w:val="0"/>
        </w:rPr>
        <w:t>Fitzgerald, D. (2010), Meta-analysis</w:t>
      </w:r>
      <w:r w:rsidR="00427468">
        <w:rPr>
          <w:kern w:val="0"/>
        </w:rPr>
        <w:t xml:space="preserve"> of </w:t>
      </w:r>
      <w:r w:rsidR="003A1917">
        <w:rPr>
          <w:kern w:val="0"/>
        </w:rPr>
        <w:t xml:space="preserve">the </w:t>
      </w:r>
      <w:r>
        <w:rPr>
          <w:kern w:val="0"/>
        </w:rPr>
        <w:t>effect</w:t>
      </w:r>
      <w:r w:rsidR="00427468">
        <w:rPr>
          <w:kern w:val="0"/>
        </w:rPr>
        <w:t xml:space="preserve"> of </w:t>
      </w:r>
      <w:r>
        <w:rPr>
          <w:kern w:val="0"/>
        </w:rPr>
        <w:t>radiofrequency catheter ablation on left atrial size, volumes</w:t>
      </w:r>
      <w:r w:rsidR="005853A9">
        <w:rPr>
          <w:kern w:val="0"/>
        </w:rPr>
        <w:t xml:space="preserve"> and </w:t>
      </w:r>
      <w:r>
        <w:rPr>
          <w:kern w:val="0"/>
        </w:rPr>
        <w:t xml:space="preserve">function in patients with atrial fibrillation. </w:t>
      </w:r>
      <w:r w:rsidRPr="00834857">
        <w:rPr>
          <w:i/>
          <w:iCs/>
          <w:kern w:val="0"/>
        </w:rPr>
        <w:t>American Journal</w:t>
      </w:r>
      <w:r w:rsidR="00427468">
        <w:rPr>
          <w:i/>
          <w:iCs/>
          <w:kern w:val="0"/>
        </w:rPr>
        <w:t xml:space="preserve"> of </w:t>
      </w:r>
      <w:r w:rsidRPr="00834857">
        <w:rPr>
          <w:i/>
          <w:iCs/>
          <w:kern w:val="0"/>
        </w:rPr>
        <w:t>Cardiology</w:t>
      </w:r>
      <w:r>
        <w:rPr>
          <w:kern w:val="0"/>
        </w:rPr>
        <w:t xml:space="preserve">, </w:t>
      </w:r>
      <w:r>
        <w:rPr>
          <w:b/>
          <w:bCs/>
          <w:kern w:val="0"/>
        </w:rPr>
        <w:t>105</w:t>
      </w:r>
      <w:r>
        <w:rPr>
          <w:kern w:val="0"/>
        </w:rPr>
        <w:t xml:space="preserve"> (9), 1317-1326.</w:t>
      </w:r>
    </w:p>
    <w:p w:rsidR="00FF4C13" w:rsidRDefault="00FF4C13" w:rsidP="00FF4C13">
      <w:pPr>
        <w:pStyle w:val="a3"/>
        <w:rPr>
          <w:kern w:val="0"/>
        </w:rPr>
      </w:pPr>
      <w:r>
        <w:rPr>
          <w:rFonts w:hint="eastAsia"/>
          <w:kern w:val="0"/>
        </w:rPr>
        <w:t xml:space="preserve">Full Text: </w:t>
      </w:r>
      <w:hyperlink r:id="rId418" w:history="1">
        <w:r w:rsidRPr="00834857">
          <w:rPr>
            <w:rStyle w:val="a5"/>
            <w:kern w:val="0"/>
          </w:rPr>
          <w:t>2010\Ame J Car105, 1317.pdf</w:t>
        </w:r>
      </w:hyperlink>
    </w:p>
    <w:p w:rsidR="00FF4C13" w:rsidRDefault="00FF4C13" w:rsidP="00FF4C13">
      <w:pPr>
        <w:pStyle w:val="a3"/>
        <w:rPr>
          <w:kern w:val="0"/>
        </w:rPr>
      </w:pPr>
      <w:r>
        <w:rPr>
          <w:kern w:val="0"/>
        </w:rPr>
        <w:t>Abstract:</w:t>
      </w:r>
      <w:r w:rsidR="003A1917">
        <w:rPr>
          <w:kern w:val="0"/>
        </w:rPr>
        <w:t xml:space="preserve"> the </w:t>
      </w:r>
      <w:r>
        <w:rPr>
          <w:kern w:val="0"/>
        </w:rPr>
        <w:t>effects</w:t>
      </w:r>
      <w:r w:rsidR="00427468">
        <w:rPr>
          <w:kern w:val="0"/>
        </w:rPr>
        <w:t xml:space="preserve"> of </w:t>
      </w:r>
      <w:r>
        <w:rPr>
          <w:kern w:val="0"/>
        </w:rPr>
        <w:t>radiofrequency catheter ablation (RFCA) on left atrial (LA) size, volumes,</w:t>
      </w:r>
      <w:r w:rsidR="005853A9">
        <w:rPr>
          <w:kern w:val="0"/>
        </w:rPr>
        <w:t xml:space="preserve"> and </w:t>
      </w:r>
      <w:r>
        <w:rPr>
          <w:kern w:val="0"/>
        </w:rPr>
        <w:t>function in patients with atrial fibrillation (AF) are not well understood</w:t>
      </w:r>
      <w:r w:rsidR="00A37C1D">
        <w:rPr>
          <w:kern w:val="0"/>
        </w:rPr>
        <w:t>. The</w:t>
      </w:r>
      <w:r w:rsidR="003A1917">
        <w:rPr>
          <w:kern w:val="0"/>
        </w:rPr>
        <w:t xml:space="preserve"> </w:t>
      </w:r>
      <w:r>
        <w:rPr>
          <w:kern w:val="0"/>
        </w:rPr>
        <w:t>aim</w:t>
      </w:r>
      <w:r w:rsidR="00427468">
        <w:rPr>
          <w:kern w:val="0"/>
        </w:rPr>
        <w:t xml:space="preserve"> of </w:t>
      </w:r>
      <w:r>
        <w:rPr>
          <w:kern w:val="0"/>
        </w:rPr>
        <w:t>this study was to systematically review</w:t>
      </w:r>
      <w:r w:rsidR="003A1917">
        <w:rPr>
          <w:kern w:val="0"/>
        </w:rPr>
        <w:t xml:space="preserve"> the </w:t>
      </w:r>
      <w:r>
        <w:rPr>
          <w:kern w:val="0"/>
        </w:rPr>
        <w:t>effects</w:t>
      </w:r>
      <w:r w:rsidR="00427468">
        <w:rPr>
          <w:kern w:val="0"/>
        </w:rPr>
        <w:t xml:space="preserve"> of </w:t>
      </w:r>
      <w:r>
        <w:rPr>
          <w:kern w:val="0"/>
        </w:rPr>
        <w:t>RFCA on LA size, volumes,</w:t>
      </w:r>
      <w:r w:rsidR="005853A9">
        <w:rPr>
          <w:kern w:val="0"/>
        </w:rPr>
        <w:t xml:space="preserve"> and </w:t>
      </w:r>
      <w:r>
        <w:rPr>
          <w:kern w:val="0"/>
        </w:rPr>
        <w:t xml:space="preserve">function in patients with AF. </w:t>
      </w:r>
      <w:r w:rsidR="00D5664A">
        <w:rPr>
          <w:kern w:val="0"/>
        </w:rPr>
        <w:t>MEDLINE</w:t>
      </w:r>
      <w:r>
        <w:rPr>
          <w:kern w:val="0"/>
        </w:rPr>
        <w:t>,</w:t>
      </w:r>
      <w:r w:rsidR="003A1917">
        <w:rPr>
          <w:kern w:val="0"/>
        </w:rPr>
        <w:t xml:space="preserve"> the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Central Register</w:t>
      </w:r>
      <w:r w:rsidR="00427468">
        <w:rPr>
          <w:kern w:val="0"/>
        </w:rPr>
        <w:t xml:space="preserve"> of </w:t>
      </w:r>
      <w:r>
        <w:rPr>
          <w:kern w:val="0"/>
        </w:rPr>
        <w:t>Controlled Trials,</w:t>
      </w:r>
      <w:r w:rsidR="005853A9">
        <w:rPr>
          <w:kern w:val="0"/>
        </w:rPr>
        <w:t xml:space="preserve"> and </w:t>
      </w:r>
      <w:r w:rsidR="003A1917">
        <w:rPr>
          <w:kern w:val="0"/>
        </w:rPr>
        <w:t xml:space="preserve">the </w:t>
      </w:r>
      <w:r>
        <w:rPr>
          <w:kern w:val="0"/>
        </w:rPr>
        <w:t>reference lists</w:t>
      </w:r>
      <w:r w:rsidR="00427468">
        <w:rPr>
          <w:kern w:val="0"/>
        </w:rPr>
        <w:t xml:space="preserve"> of </w:t>
      </w:r>
      <w:r>
        <w:rPr>
          <w:kern w:val="0"/>
        </w:rPr>
        <w:t>retrieved reports were searched for relevant studies through April 2009. Studies conducted in patients with AF were included if their primary outcomes were changes in LA size or volumes and/or function before</w:t>
      </w:r>
      <w:r w:rsidR="005853A9">
        <w:rPr>
          <w:kern w:val="0"/>
        </w:rPr>
        <w:t xml:space="preserve"> and </w:t>
      </w:r>
      <w:r>
        <w:rPr>
          <w:kern w:val="0"/>
        </w:rPr>
        <w:t>after RFCA. Weighted mean differences for changes in LA diameter, LA maximum volume, LA minimum volume, LA ejection fraction,</w:t>
      </w:r>
      <w:r w:rsidR="005853A9">
        <w:rPr>
          <w:kern w:val="0"/>
        </w:rPr>
        <w:t xml:space="preserve"> and </w:t>
      </w:r>
      <w:r>
        <w:rPr>
          <w:kern w:val="0"/>
        </w:rPr>
        <w:t>LA active emptying fraction were estimated using fixed-</w:t>
      </w:r>
      <w:r w:rsidR="005853A9">
        <w:rPr>
          <w:kern w:val="0"/>
        </w:rPr>
        <w:t xml:space="preserve"> and </w:t>
      </w:r>
      <w:r>
        <w:rPr>
          <w:kern w:val="0"/>
        </w:rPr>
        <w:t>random-effects meta-analyses. Seventeen relevant studies (enrolling 869 patients) among 192 identified studies were included in</w:t>
      </w:r>
      <w:r w:rsidR="003A1917">
        <w:rPr>
          <w:kern w:val="0"/>
        </w:rPr>
        <w:t xml:space="preserve"> the </w:t>
      </w:r>
      <w:r>
        <w:rPr>
          <w:kern w:val="0"/>
        </w:rPr>
        <w:t>final analysis. Compared to preablation values, there were significant decreases in LA diameter</w:t>
      </w:r>
      <w:r w:rsidR="005853A9">
        <w:rPr>
          <w:kern w:val="0"/>
        </w:rPr>
        <w:t xml:space="preserve"> and </w:t>
      </w:r>
      <w:r>
        <w:rPr>
          <w:kern w:val="0"/>
        </w:rPr>
        <w:t>LA volumes at postablation follow-up. However, compared to preablation values, there were no significant differences in LA ejection fraction</w:t>
      </w:r>
      <w:r w:rsidR="005853A9">
        <w:rPr>
          <w:kern w:val="0"/>
        </w:rPr>
        <w:t xml:space="preserve"> and </w:t>
      </w:r>
      <w:r>
        <w:rPr>
          <w:kern w:val="0"/>
        </w:rPr>
        <w:t>LA active emptying fraction at postablation follow-up. Decreases in LA diameter</w:t>
      </w:r>
      <w:r w:rsidR="005853A9">
        <w:rPr>
          <w:kern w:val="0"/>
        </w:rPr>
        <w:t xml:space="preserve"> and </w:t>
      </w:r>
      <w:r>
        <w:rPr>
          <w:kern w:val="0"/>
        </w:rPr>
        <w:t>LA volumes remained significant in those without AF recurrence but not in those with AF recurrence. LA ejection fraction</w:t>
      </w:r>
      <w:r w:rsidR="005853A9">
        <w:rPr>
          <w:kern w:val="0"/>
        </w:rPr>
        <w:t xml:space="preserve"> and </w:t>
      </w:r>
      <w:r>
        <w:rPr>
          <w:kern w:val="0"/>
        </w:rPr>
        <w:t xml:space="preserve">LA active emptying fraction did not decrease in patients without AF recurrence, whereas they decreased in patients with AF recurrence. In </w:t>
      </w:r>
      <w:r>
        <w:rPr>
          <w:kern w:val="0"/>
        </w:rPr>
        <w:lastRenderedPageBreak/>
        <w:t>conclusion, successful RFCA in patients with AF significantly decreases LA size</w:t>
      </w:r>
      <w:r w:rsidR="005853A9">
        <w:rPr>
          <w:kern w:val="0"/>
        </w:rPr>
        <w:t xml:space="preserve"> and </w:t>
      </w:r>
      <w:r>
        <w:rPr>
          <w:kern w:val="0"/>
        </w:rPr>
        <w:t>volumes</w:t>
      </w:r>
      <w:r w:rsidR="005853A9">
        <w:rPr>
          <w:kern w:val="0"/>
        </w:rPr>
        <w:t xml:space="preserve"> and </w:t>
      </w:r>
      <w:r>
        <w:rPr>
          <w:kern w:val="0"/>
        </w:rPr>
        <w:t>does not seem to adversely affect LA function. (C) 2010 Elsevier Inc. All rights reserved. (Am J Cardiol 2010;105:1317-1326).</w:t>
      </w:r>
    </w:p>
    <w:p w:rsidR="00FF4C13" w:rsidRDefault="00FF4C13" w:rsidP="00FF4C13">
      <w:pPr>
        <w:pStyle w:val="a3"/>
        <w:rPr>
          <w:kern w:val="0"/>
        </w:rPr>
      </w:pPr>
      <w:r>
        <w:rPr>
          <w:kern w:val="0"/>
        </w:rPr>
        <w:t>Keywords: Analysis, Cochrane, Dysfunction, Exercise Capacity, Follow</w:t>
      </w:r>
      <w:r w:rsidR="0062028A">
        <w:rPr>
          <w:kern w:val="0"/>
        </w:rPr>
        <w:t>-up,</w:t>
      </w:r>
      <w:r>
        <w:rPr>
          <w:kern w:val="0"/>
        </w:rPr>
        <w:t xml:space="preserve"> Heart-Failure, Outcomes, Primary, Pulmonary Veins, Recurrence, Review, Science, Time 3-Dimensional Echocardiography, </w:t>
      </w:r>
      <w:r w:rsidR="00D5664A">
        <w:rPr>
          <w:kern w:val="0"/>
        </w:rPr>
        <w:t>Web</w:t>
      </w:r>
      <w:r w:rsidR="00427468">
        <w:rPr>
          <w:kern w:val="0"/>
        </w:rPr>
        <w:t xml:space="preserve"> of </w:t>
      </w:r>
      <w:r w:rsidR="00D5664A">
        <w:rPr>
          <w:kern w:val="0"/>
        </w:rPr>
        <w:t>Science</w:t>
      </w:r>
    </w:p>
    <w:p w:rsidR="00A465A1" w:rsidRDefault="00A465A1" w:rsidP="00A465A1">
      <w:pPr>
        <w:pStyle w:val="a3"/>
        <w:rPr>
          <w:kern w:val="0"/>
        </w:rPr>
      </w:pPr>
      <w:r>
        <w:rPr>
          <w:kern w:val="0"/>
        </w:rPr>
        <w:t>? Petretta, M., Pirozzi, F., Sasso, L., Paglia, A.</w:t>
      </w:r>
      <w:r w:rsidR="005853A9">
        <w:rPr>
          <w:kern w:val="0"/>
        </w:rPr>
        <w:t xml:space="preserve"> and </w:t>
      </w:r>
      <w:r>
        <w:rPr>
          <w:kern w:val="0"/>
        </w:rPr>
        <w:t>Bonaduce, D. (2011), Review</w:t>
      </w:r>
      <w:r w:rsidR="005853A9">
        <w:rPr>
          <w:kern w:val="0"/>
        </w:rPr>
        <w:t xml:space="preserve"> and </w:t>
      </w:r>
      <w:r>
        <w:rPr>
          <w:kern w:val="0"/>
        </w:rPr>
        <w:t>Metaanalysis</w:t>
      </w:r>
      <w:r w:rsidR="00427468">
        <w:rPr>
          <w:kern w:val="0"/>
        </w:rPr>
        <w:t xml:space="preserve"> of </w:t>
      </w:r>
      <w:r w:rsidR="003A1917">
        <w:rPr>
          <w:kern w:val="0"/>
        </w:rPr>
        <w:t xml:space="preserve">the </w:t>
      </w:r>
      <w:r>
        <w:rPr>
          <w:kern w:val="0"/>
        </w:rPr>
        <w:t>frequency</w:t>
      </w:r>
      <w:r w:rsidR="00427468">
        <w:rPr>
          <w:kern w:val="0"/>
        </w:rPr>
        <w:t xml:space="preserve"> of </w:t>
      </w:r>
      <w:r>
        <w:rPr>
          <w:kern w:val="0"/>
        </w:rPr>
        <w:t xml:space="preserve">familial dilated cardiomyopathy. </w:t>
      </w:r>
      <w:r>
        <w:rPr>
          <w:i/>
          <w:iCs/>
          <w:kern w:val="0"/>
        </w:rPr>
        <w:t>American Journal</w:t>
      </w:r>
      <w:r w:rsidR="00427468">
        <w:rPr>
          <w:i/>
          <w:iCs/>
          <w:kern w:val="0"/>
        </w:rPr>
        <w:t xml:space="preserve"> of </w:t>
      </w:r>
      <w:r>
        <w:rPr>
          <w:i/>
          <w:iCs/>
          <w:kern w:val="0"/>
        </w:rPr>
        <w:t>Cardiology</w:t>
      </w:r>
      <w:r>
        <w:rPr>
          <w:kern w:val="0"/>
        </w:rPr>
        <w:t xml:space="preserve">, </w:t>
      </w:r>
      <w:r>
        <w:rPr>
          <w:b/>
          <w:bCs/>
          <w:kern w:val="0"/>
        </w:rPr>
        <w:t>108</w:t>
      </w:r>
      <w:r>
        <w:rPr>
          <w:kern w:val="0"/>
        </w:rPr>
        <w:t xml:space="preserve"> (8), 1171-1176.</w:t>
      </w:r>
    </w:p>
    <w:p w:rsidR="00A465A1" w:rsidRDefault="00A465A1" w:rsidP="00A465A1">
      <w:pPr>
        <w:pStyle w:val="a3"/>
        <w:rPr>
          <w:kern w:val="0"/>
        </w:rPr>
      </w:pPr>
      <w:r>
        <w:rPr>
          <w:rFonts w:hint="eastAsia"/>
          <w:kern w:val="0"/>
        </w:rPr>
        <w:t xml:space="preserve">Full Text: </w:t>
      </w:r>
      <w:hyperlink r:id="rId419" w:history="1">
        <w:r w:rsidRPr="00266A19">
          <w:rPr>
            <w:rStyle w:val="a5"/>
            <w:kern w:val="0"/>
          </w:rPr>
          <w:t>2011\Ame J Car108, 1171.pdf</w:t>
        </w:r>
      </w:hyperlink>
    </w:p>
    <w:p w:rsidR="00A465A1" w:rsidRDefault="00A465A1" w:rsidP="00A465A1">
      <w:pPr>
        <w:pStyle w:val="a3"/>
        <w:rPr>
          <w:kern w:val="0"/>
        </w:rPr>
      </w:pPr>
      <w:r>
        <w:rPr>
          <w:kern w:val="0"/>
        </w:rPr>
        <w:t>Abstract: Several studies have investigated</w:t>
      </w:r>
      <w:r w:rsidR="003A1917">
        <w:rPr>
          <w:kern w:val="0"/>
        </w:rPr>
        <w:t xml:space="preserve"> the </w:t>
      </w:r>
      <w:r>
        <w:rPr>
          <w:kern w:val="0"/>
        </w:rPr>
        <w:t>frequency</w:t>
      </w:r>
      <w:r w:rsidR="00427468">
        <w:rPr>
          <w:kern w:val="0"/>
        </w:rPr>
        <w:t xml:space="preserve"> of </w:t>
      </w:r>
      <w:r>
        <w:rPr>
          <w:kern w:val="0"/>
        </w:rPr>
        <w:t>familial dilated cardiomyopathy (FDC). However, no systematic review</w:t>
      </w:r>
      <w:r w:rsidR="005853A9">
        <w:rPr>
          <w:kern w:val="0"/>
        </w:rPr>
        <w:t xml:space="preserve"> and </w:t>
      </w:r>
      <w:r>
        <w:rPr>
          <w:kern w:val="0"/>
        </w:rPr>
        <w:t>meta-analysis on this topic are available</w:t>
      </w:r>
      <w:r w:rsidR="00A37C1D">
        <w:rPr>
          <w:kern w:val="0"/>
        </w:rPr>
        <w:t>. The</w:t>
      </w:r>
      <w:r>
        <w:rPr>
          <w:kern w:val="0"/>
        </w:rPr>
        <w:t>refore, using</w:t>
      </w:r>
      <w:r w:rsidR="003A1917">
        <w:rPr>
          <w:kern w:val="0"/>
        </w:rPr>
        <w:t xml:space="preserve"> the </w:t>
      </w:r>
      <w:r>
        <w:rPr>
          <w:kern w:val="0"/>
        </w:rPr>
        <w:t xml:space="preserve">PubMed, </w:t>
      </w:r>
      <w:r w:rsidR="00D5664A">
        <w:rPr>
          <w:kern w:val="0"/>
        </w:rPr>
        <w:t>MEDLINE</w:t>
      </w:r>
      <w:r>
        <w:rPr>
          <w:kern w:val="0"/>
        </w:rPr>
        <w:t>, Cochrane,</w:t>
      </w:r>
      <w:r w:rsidR="005853A9">
        <w:rPr>
          <w:kern w:val="0"/>
        </w:rPr>
        <w:t xml:space="preserve"> and </w:t>
      </w:r>
      <w:r w:rsidR="003A1917">
        <w:rPr>
          <w:kern w:val="0"/>
        </w:rPr>
        <w:t xml:space="preserve">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databases, relevant reports published through December 2010 were identified. For</w:t>
      </w:r>
      <w:r w:rsidR="003A1917">
        <w:rPr>
          <w:kern w:val="0"/>
        </w:rPr>
        <w:t xml:space="preserve"> the </w:t>
      </w:r>
      <w:r>
        <w:rPr>
          <w:kern w:val="0"/>
        </w:rPr>
        <w:t>summation</w:t>
      </w:r>
      <w:r w:rsidR="00427468">
        <w:rPr>
          <w:kern w:val="0"/>
        </w:rPr>
        <w:t xml:space="preserve"> of </w:t>
      </w:r>
      <w:r>
        <w:rPr>
          <w:kern w:val="0"/>
        </w:rPr>
        <w:t>prevalence findings, prevalence point estimates</w:t>
      </w:r>
      <w:r w:rsidR="005853A9">
        <w:rPr>
          <w:kern w:val="0"/>
        </w:rPr>
        <w:t xml:space="preserve"> and </w:t>
      </w:r>
      <w:r>
        <w:rPr>
          <w:kern w:val="0"/>
        </w:rPr>
        <w:t>95% confidence intervals were computed using</w:t>
      </w:r>
      <w:r w:rsidR="003A1917">
        <w:rPr>
          <w:kern w:val="0"/>
        </w:rPr>
        <w:t xml:space="preserve"> the </w:t>
      </w:r>
      <w:r>
        <w:rPr>
          <w:kern w:val="0"/>
        </w:rPr>
        <w:t>logit transformation formula. An aggregate estimate</w:t>
      </w:r>
      <w:r w:rsidR="00427468">
        <w:rPr>
          <w:kern w:val="0"/>
        </w:rPr>
        <w:t xml:space="preserve"> of </w:t>
      </w:r>
      <w:r>
        <w:rPr>
          <w:kern w:val="0"/>
        </w:rPr>
        <w:t>clinically confirmed FDC</w:t>
      </w:r>
      <w:r w:rsidR="00427468">
        <w:rPr>
          <w:kern w:val="0"/>
        </w:rPr>
        <w:t xml:space="preserve"> of </w:t>
      </w:r>
      <w:r>
        <w:rPr>
          <w:kern w:val="0"/>
        </w:rPr>
        <w:t>23% (95% confidence interval 0.17 to 0.31) was found. However,</w:t>
      </w:r>
      <w:r w:rsidR="003A1917">
        <w:rPr>
          <w:kern w:val="0"/>
        </w:rPr>
        <w:t xml:space="preserve"> the </w:t>
      </w:r>
      <w:r>
        <w:rPr>
          <w:kern w:val="0"/>
        </w:rPr>
        <w:t>prevalence rates reported across these studies varied widely, ranging from 2% to 65%,</w:t>
      </w:r>
      <w:r w:rsidR="005853A9">
        <w:rPr>
          <w:kern w:val="0"/>
        </w:rPr>
        <w:t xml:space="preserve"> and </w:t>
      </w:r>
      <w:r w:rsidR="003A1917">
        <w:rPr>
          <w:kern w:val="0"/>
        </w:rPr>
        <w:t xml:space="preserve">the </w:t>
      </w:r>
      <w:r>
        <w:rPr>
          <w:kern w:val="0"/>
        </w:rPr>
        <w:t>analysis showed very high heterogeneity (Q = 295, p &lt;0.001, I(2) = 93%). Meta regression analysis between logit event rate</w:t>
      </w:r>
      <w:r w:rsidR="005853A9">
        <w:rPr>
          <w:kern w:val="0"/>
        </w:rPr>
        <w:t xml:space="preserve"> and </w:t>
      </w:r>
      <w:r>
        <w:rPr>
          <w:kern w:val="0"/>
        </w:rPr>
        <w:t>year</w:t>
      </w:r>
      <w:r w:rsidR="00427468">
        <w:rPr>
          <w:kern w:val="0"/>
        </w:rPr>
        <w:t xml:space="preserve"> of </w:t>
      </w:r>
      <w:r>
        <w:rPr>
          <w:kern w:val="0"/>
        </w:rPr>
        <w:t>publication explained 23%</w:t>
      </w:r>
      <w:r w:rsidR="00427468">
        <w:rPr>
          <w:kern w:val="0"/>
        </w:rPr>
        <w:t xml:space="preserve"> of </w:t>
      </w:r>
      <w:r>
        <w:rPr>
          <w:kern w:val="0"/>
        </w:rPr>
        <w:t>between-study variance (p &lt;0.05). Cumulative meta-analysis confirmed</w:t>
      </w:r>
      <w:r w:rsidR="003A1917">
        <w:rPr>
          <w:kern w:val="0"/>
        </w:rPr>
        <w:t xml:space="preserve"> the </w:t>
      </w:r>
      <w:r>
        <w:rPr>
          <w:kern w:val="0"/>
        </w:rPr>
        <w:t>influence</w:t>
      </w:r>
      <w:r w:rsidR="00427468">
        <w:rPr>
          <w:kern w:val="0"/>
        </w:rPr>
        <w:t xml:space="preserve"> of </w:t>
      </w:r>
      <w:r>
        <w:rPr>
          <w:kern w:val="0"/>
        </w:rPr>
        <w:t>year</w:t>
      </w:r>
      <w:r w:rsidR="00427468">
        <w:rPr>
          <w:kern w:val="0"/>
        </w:rPr>
        <w:t xml:space="preserve"> of </w:t>
      </w:r>
      <w:r>
        <w:rPr>
          <w:kern w:val="0"/>
        </w:rPr>
        <w:t>publication on</w:t>
      </w:r>
      <w:r w:rsidR="003A1917">
        <w:rPr>
          <w:kern w:val="0"/>
        </w:rPr>
        <w:t xml:space="preserve"> the </w:t>
      </w:r>
      <w:r>
        <w:rPr>
          <w:kern w:val="0"/>
        </w:rPr>
        <w:t>reported prevalence</w:t>
      </w:r>
      <w:r w:rsidR="00427468">
        <w:rPr>
          <w:kern w:val="0"/>
        </w:rPr>
        <w:t xml:space="preserve"> of </w:t>
      </w:r>
      <w:r>
        <w:rPr>
          <w:kern w:val="0"/>
        </w:rPr>
        <w:t>FDC among</w:t>
      </w:r>
      <w:r w:rsidR="003A1917">
        <w:rPr>
          <w:kern w:val="0"/>
        </w:rPr>
        <w:t xml:space="preserve"> the </w:t>
      </w:r>
      <w:r>
        <w:rPr>
          <w:kern w:val="0"/>
        </w:rPr>
        <w:t>different studies. However, most</w:t>
      </w:r>
      <w:r w:rsidR="00427468">
        <w:rPr>
          <w:kern w:val="0"/>
        </w:rPr>
        <w:t xml:space="preserve"> of </w:t>
      </w:r>
      <w:r w:rsidR="003A1917">
        <w:rPr>
          <w:kern w:val="0"/>
        </w:rPr>
        <w:t xml:space="preserve">the </w:t>
      </w:r>
      <w:r>
        <w:rPr>
          <w:kern w:val="0"/>
        </w:rPr>
        <w:t>observed heterogeneity may be explained by</w:t>
      </w:r>
      <w:r w:rsidR="003A1917">
        <w:rPr>
          <w:kern w:val="0"/>
        </w:rPr>
        <w:t xml:space="preserve"> the </w:t>
      </w:r>
      <w:r>
        <w:rPr>
          <w:kern w:val="0"/>
        </w:rPr>
        <w:t>fact that</w:t>
      </w:r>
      <w:r w:rsidR="003A1917">
        <w:rPr>
          <w:kern w:val="0"/>
        </w:rPr>
        <w:t xml:space="preserve"> the </w:t>
      </w:r>
      <w:r>
        <w:rPr>
          <w:kern w:val="0"/>
        </w:rPr>
        <w:t>various studies used different preselected criteria for</w:t>
      </w:r>
      <w:r w:rsidR="003A1917">
        <w:rPr>
          <w:kern w:val="0"/>
        </w:rPr>
        <w:t xml:space="preserve"> the </w:t>
      </w:r>
      <w:r>
        <w:rPr>
          <w:kern w:val="0"/>
        </w:rPr>
        <w:t>diagnosis</w:t>
      </w:r>
      <w:r w:rsidR="00427468">
        <w:rPr>
          <w:kern w:val="0"/>
        </w:rPr>
        <w:t xml:space="preserve"> of </w:t>
      </w:r>
      <w:r>
        <w:rPr>
          <w:kern w:val="0"/>
        </w:rPr>
        <w:t>FDC. In conclusion, data obtained from trials performed using standardized criteria are needed to better define</w:t>
      </w:r>
      <w:r w:rsidR="003A1917">
        <w:rPr>
          <w:kern w:val="0"/>
        </w:rPr>
        <w:t xml:space="preserve"> the </w:t>
      </w:r>
      <w:r>
        <w:rPr>
          <w:kern w:val="0"/>
        </w:rPr>
        <w:t>true prevalence</w:t>
      </w:r>
      <w:r w:rsidR="00427468">
        <w:rPr>
          <w:kern w:val="0"/>
        </w:rPr>
        <w:t xml:space="preserve"> of </w:t>
      </w:r>
      <w:r>
        <w:rPr>
          <w:kern w:val="0"/>
        </w:rPr>
        <w:t>FDC. (C) 2011 Elsevier Inc. All rights reserved. (Am J Cardiol 2011;108: 1171-1176).</w:t>
      </w:r>
    </w:p>
    <w:p w:rsidR="00A465A1" w:rsidRDefault="00A465A1" w:rsidP="00A465A1">
      <w:pPr>
        <w:pStyle w:val="a3"/>
        <w:rPr>
          <w:kern w:val="0"/>
        </w:rPr>
      </w:pPr>
      <w:r>
        <w:rPr>
          <w:kern w:val="0"/>
        </w:rPr>
        <w:t>Keywords: Aggregation, Analysis, Bias, Children, Cochrane, Confidence Intervals, Congestive Cardiomyopathy, Databases, Diagnosis, Dilated Cardiomyopathy, Frequency</w:t>
      </w:r>
      <w:r w:rsidR="00D5664A">
        <w:rPr>
          <w:kern w:val="0"/>
        </w:rPr>
        <w:t>, ISI,</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w:t>
      </w:r>
      <w:r w:rsidR="00D5664A">
        <w:rPr>
          <w:kern w:val="0"/>
        </w:rPr>
        <w:t>MEDLINE</w:t>
      </w:r>
      <w:r>
        <w:rPr>
          <w:kern w:val="0"/>
        </w:rPr>
        <w:t xml:space="preserve">, Meta Analysis, Meta-Analysis, Prevalence, Publication, Pubmed, Regression Analysis, Relatives, Review, Science, Society, Statement, Systematic, Systematic Review, Transplantation, </w:t>
      </w:r>
      <w:r w:rsidR="00D5664A">
        <w:rPr>
          <w:kern w:val="0"/>
        </w:rPr>
        <w:t>Web</w:t>
      </w:r>
      <w:r w:rsidR="00427468">
        <w:rPr>
          <w:kern w:val="0"/>
        </w:rPr>
        <w:t xml:space="preserve"> of </w:t>
      </w:r>
      <w:r w:rsidR="00D5664A">
        <w:rPr>
          <w:kern w:val="0"/>
        </w:rPr>
        <w:t>Science</w:t>
      </w:r>
    </w:p>
    <w:p w:rsidR="006854B5" w:rsidRDefault="006854B5" w:rsidP="006854B5">
      <w:pPr>
        <w:pStyle w:val="a3"/>
        <w:rPr>
          <w:kern w:val="0"/>
        </w:rPr>
      </w:pPr>
      <w:r>
        <w:rPr>
          <w:rFonts w:hint="eastAsia"/>
          <w:kern w:val="0"/>
        </w:rPr>
        <w:t xml:space="preserve">? </w:t>
      </w:r>
      <w:r>
        <w:rPr>
          <w:kern w:val="0"/>
        </w:rPr>
        <w:t>Zhang, S.N., Ge, J.B., Yao, K.</w:t>
      </w:r>
      <w:r w:rsidR="005853A9">
        <w:rPr>
          <w:kern w:val="0"/>
        </w:rPr>
        <w:t xml:space="preserve"> and </w:t>
      </w:r>
      <w:r>
        <w:rPr>
          <w:kern w:val="0"/>
        </w:rPr>
        <w:t>Qian, J.Y. (2011), Meta-analysis</w:t>
      </w:r>
      <w:r w:rsidR="00427468">
        <w:rPr>
          <w:kern w:val="0"/>
        </w:rPr>
        <w:t xml:space="preserve"> of </w:t>
      </w:r>
      <w:r>
        <w:rPr>
          <w:kern w:val="0"/>
        </w:rPr>
        <w:t xml:space="preserve">early versus deferred revascularization for non ST-segment elevation acute coronary syndrome. </w:t>
      </w:r>
      <w:r>
        <w:rPr>
          <w:i/>
          <w:iCs/>
          <w:kern w:val="0"/>
        </w:rPr>
        <w:t>American Journal</w:t>
      </w:r>
      <w:r w:rsidR="00427468">
        <w:rPr>
          <w:i/>
          <w:iCs/>
          <w:kern w:val="0"/>
        </w:rPr>
        <w:t xml:space="preserve"> of </w:t>
      </w:r>
      <w:r>
        <w:rPr>
          <w:i/>
          <w:iCs/>
          <w:kern w:val="0"/>
        </w:rPr>
        <w:t>Cardiology</w:t>
      </w:r>
      <w:r>
        <w:rPr>
          <w:kern w:val="0"/>
        </w:rPr>
        <w:t xml:space="preserve">, </w:t>
      </w:r>
      <w:r>
        <w:rPr>
          <w:b/>
          <w:bCs/>
          <w:kern w:val="0"/>
        </w:rPr>
        <w:t>108</w:t>
      </w:r>
      <w:r>
        <w:rPr>
          <w:kern w:val="0"/>
        </w:rPr>
        <w:t xml:space="preserve"> (9), 1207-1213.</w:t>
      </w:r>
    </w:p>
    <w:p w:rsidR="006854B5" w:rsidRDefault="006854B5" w:rsidP="006854B5">
      <w:pPr>
        <w:pStyle w:val="a3"/>
        <w:rPr>
          <w:kern w:val="0"/>
        </w:rPr>
      </w:pPr>
      <w:r>
        <w:rPr>
          <w:rFonts w:hint="eastAsia"/>
          <w:kern w:val="0"/>
        </w:rPr>
        <w:t xml:space="preserve">Full Text: </w:t>
      </w:r>
      <w:hyperlink r:id="rId420" w:history="1">
        <w:r w:rsidRPr="005874EE">
          <w:rPr>
            <w:rStyle w:val="a5"/>
            <w:kern w:val="0"/>
          </w:rPr>
          <w:t>2011\Ame J Car108, 1207.pdf</w:t>
        </w:r>
      </w:hyperlink>
    </w:p>
    <w:p w:rsidR="006854B5" w:rsidRDefault="006854B5" w:rsidP="006854B5">
      <w:pPr>
        <w:pStyle w:val="a3"/>
        <w:rPr>
          <w:kern w:val="0"/>
        </w:rPr>
      </w:pPr>
      <w:r>
        <w:rPr>
          <w:kern w:val="0"/>
        </w:rPr>
        <w:t>Abstract:</w:t>
      </w:r>
      <w:r w:rsidR="003A1917">
        <w:rPr>
          <w:kern w:val="0"/>
        </w:rPr>
        <w:t xml:space="preserve"> the </w:t>
      </w:r>
      <w:r>
        <w:rPr>
          <w:kern w:val="0"/>
        </w:rPr>
        <w:t>impact</w:t>
      </w:r>
      <w:r w:rsidR="00427468">
        <w:rPr>
          <w:kern w:val="0"/>
        </w:rPr>
        <w:t xml:space="preserve"> of </w:t>
      </w:r>
      <w:r>
        <w:rPr>
          <w:kern w:val="0"/>
        </w:rPr>
        <w:t>a coronary revascularization strategy (early or deferred) on clinical outcomes</w:t>
      </w:r>
      <w:r w:rsidR="00427468">
        <w:rPr>
          <w:kern w:val="0"/>
        </w:rPr>
        <w:t xml:space="preserve"> of </w:t>
      </w:r>
      <w:r>
        <w:rPr>
          <w:kern w:val="0"/>
        </w:rPr>
        <w:t xml:space="preserve">non-ST-segment elevation acute coronary syndrome </w:t>
      </w:r>
      <w:r>
        <w:rPr>
          <w:kern w:val="0"/>
        </w:rPr>
        <w:lastRenderedPageBreak/>
        <w:t>(NSTE-ACS) has not been well established</w:t>
      </w:r>
      <w:r w:rsidR="00A37C1D">
        <w:rPr>
          <w:kern w:val="0"/>
        </w:rPr>
        <w:t>. The</w:t>
      </w:r>
      <w:r w:rsidR="003A1917">
        <w:rPr>
          <w:kern w:val="0"/>
        </w:rPr>
        <w:t xml:space="preserve"> </w:t>
      </w:r>
      <w:r>
        <w:rPr>
          <w:kern w:val="0"/>
        </w:rPr>
        <w:t>goal</w:t>
      </w:r>
      <w:r w:rsidR="00427468">
        <w:rPr>
          <w:kern w:val="0"/>
        </w:rPr>
        <w:t xml:space="preserve"> of </w:t>
      </w:r>
      <w:r>
        <w:rPr>
          <w:kern w:val="0"/>
        </w:rPr>
        <w:t>this study was to systematically review randomized trials comparing early to deferred revascularization for NSTE-ACS. A systematic literature search</w:t>
      </w:r>
      <w:r w:rsidR="00427468">
        <w:rPr>
          <w:kern w:val="0"/>
        </w:rPr>
        <w:t xml:space="preserve"> of </w:t>
      </w:r>
      <w:r w:rsidR="00D5664A">
        <w:rPr>
          <w:kern w:val="0"/>
        </w:rPr>
        <w:t>MEDLINE</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Cochrane databases was conducted. Two reviewers independently determined</w:t>
      </w:r>
      <w:r w:rsidR="003A1917">
        <w:rPr>
          <w:kern w:val="0"/>
        </w:rPr>
        <w:t xml:space="preserve"> the </w:t>
      </w:r>
      <w:r>
        <w:rPr>
          <w:kern w:val="0"/>
        </w:rPr>
        <w:t>eligibility</w:t>
      </w:r>
      <w:r w:rsidR="00427468">
        <w:rPr>
          <w:kern w:val="0"/>
        </w:rPr>
        <w:t xml:space="preserve"> of </w:t>
      </w:r>
      <w:r>
        <w:rPr>
          <w:kern w:val="0"/>
        </w:rPr>
        <w:t>clinical trials. Five trials with 4,155 patients were included for analysis. Meta-analysis showed that early revascularization produced no significant differences in</w:t>
      </w:r>
      <w:r w:rsidR="003A1917">
        <w:rPr>
          <w:kern w:val="0"/>
        </w:rPr>
        <w:t xml:space="preserve"> the </w:t>
      </w:r>
      <w:r>
        <w:rPr>
          <w:kern w:val="0"/>
        </w:rPr>
        <w:t>incidence</w:t>
      </w:r>
      <w:r w:rsidR="00427468">
        <w:rPr>
          <w:kern w:val="0"/>
        </w:rPr>
        <w:t xml:space="preserve"> of </w:t>
      </w:r>
      <w:r>
        <w:rPr>
          <w:kern w:val="0"/>
        </w:rPr>
        <w:t>death (risk ratio [RR] 0.88, p = 0.47), recurrent myocardial infarction (RR 0.92, p = 0.58),</w:t>
      </w:r>
      <w:r w:rsidR="005853A9">
        <w:rPr>
          <w:kern w:val="0"/>
        </w:rPr>
        <w:t xml:space="preserve"> and </w:t>
      </w:r>
      <w:r>
        <w:rPr>
          <w:kern w:val="0"/>
        </w:rPr>
        <w:t>repeat revascularization compared to a deferred intervention. However, a significant decrease in refractory ischemia was observed in</w:t>
      </w:r>
      <w:r w:rsidR="003A1917">
        <w:rPr>
          <w:kern w:val="0"/>
        </w:rPr>
        <w:t xml:space="preserve"> the </w:t>
      </w:r>
      <w:r>
        <w:rPr>
          <w:kern w:val="0"/>
        </w:rPr>
        <w:t>early intervention group (RR 0.47, p&lt;0.01),</w:t>
      </w:r>
      <w:r w:rsidR="005853A9">
        <w:rPr>
          <w:kern w:val="0"/>
        </w:rPr>
        <w:t xml:space="preserve"> and </w:t>
      </w:r>
      <w:r w:rsidR="003A1917">
        <w:rPr>
          <w:kern w:val="0"/>
        </w:rPr>
        <w:t xml:space="preserve">the </w:t>
      </w:r>
      <w:r>
        <w:rPr>
          <w:kern w:val="0"/>
        </w:rPr>
        <w:t>procedure also showed a tendency toward decreasing major bleeding events (RR 0.77, p = 0.08). According to stratification based on intervention era, extent</w:t>
      </w:r>
      <w:r w:rsidR="00427468">
        <w:rPr>
          <w:kern w:val="0"/>
        </w:rPr>
        <w:t xml:space="preserve"> of </w:t>
      </w:r>
      <w:r>
        <w:rPr>
          <w:kern w:val="0"/>
        </w:rPr>
        <w:t>revascularization,</w:t>
      </w:r>
      <w:r w:rsidR="005853A9">
        <w:rPr>
          <w:kern w:val="0"/>
        </w:rPr>
        <w:t xml:space="preserve"> and </w:t>
      </w:r>
      <w:r>
        <w:rPr>
          <w:kern w:val="0"/>
        </w:rPr>
        <w:t>time</w:t>
      </w:r>
      <w:r w:rsidR="00427468">
        <w:rPr>
          <w:kern w:val="0"/>
        </w:rPr>
        <w:t xml:space="preserve"> of </w:t>
      </w:r>
      <w:r>
        <w:rPr>
          <w:kern w:val="0"/>
        </w:rPr>
        <w:t>revascularization, subgroup analysis did not show between-group differences in all-cause mortality, recurrent myocardial infarction,</w:t>
      </w:r>
      <w:r w:rsidR="005853A9">
        <w:rPr>
          <w:kern w:val="0"/>
        </w:rPr>
        <w:t xml:space="preserve"> and </w:t>
      </w:r>
      <w:r>
        <w:rPr>
          <w:kern w:val="0"/>
        </w:rPr>
        <w:t>major bleeding events. Also, sensitivity analysis by alternatively using a random-effects model did not find any relevant influence on overall results in direction</w:t>
      </w:r>
      <w:r w:rsidR="005853A9">
        <w:rPr>
          <w:kern w:val="0"/>
        </w:rPr>
        <w:t xml:space="preserve"> and </w:t>
      </w:r>
      <w:r>
        <w:rPr>
          <w:kern w:val="0"/>
        </w:rPr>
        <w:t>magnitude. In conclusion, meta-analysis demonstrated that early coronary revascularization is feasible</w:t>
      </w:r>
      <w:r w:rsidR="005853A9">
        <w:rPr>
          <w:kern w:val="0"/>
        </w:rPr>
        <w:t xml:space="preserve"> and </w:t>
      </w:r>
      <w:r>
        <w:rPr>
          <w:kern w:val="0"/>
        </w:rPr>
        <w:t>safe for patients with NSTE-ACS, might markedly decrease</w:t>
      </w:r>
      <w:r w:rsidR="003A1917">
        <w:rPr>
          <w:kern w:val="0"/>
        </w:rPr>
        <w:t xml:space="preserve"> the </w:t>
      </w:r>
      <w:r>
        <w:rPr>
          <w:kern w:val="0"/>
        </w:rPr>
        <w:t>incidence</w:t>
      </w:r>
      <w:r w:rsidR="00427468">
        <w:rPr>
          <w:kern w:val="0"/>
        </w:rPr>
        <w:t xml:space="preserve"> of </w:t>
      </w:r>
      <w:r>
        <w:rPr>
          <w:kern w:val="0"/>
        </w:rPr>
        <w:t>refractory ischemia,</w:t>
      </w:r>
      <w:r w:rsidR="005853A9">
        <w:rPr>
          <w:kern w:val="0"/>
        </w:rPr>
        <w:t xml:space="preserve"> and </w:t>
      </w:r>
      <w:r>
        <w:rPr>
          <w:kern w:val="0"/>
        </w:rPr>
        <w:t>appears to produce less bleeding. (C) 2011 Elsevier Inc. All rights reserved. (Am J Cardiol 2011;108:1207-1213).</w:t>
      </w:r>
    </w:p>
    <w:p w:rsidR="006854B5" w:rsidRDefault="006854B5" w:rsidP="006854B5">
      <w:pPr>
        <w:pStyle w:val="a3"/>
        <w:rPr>
          <w:kern w:val="0"/>
        </w:rPr>
      </w:pPr>
      <w:r>
        <w:rPr>
          <w:kern w:val="0"/>
        </w:rPr>
        <w:t>Keywords: Acute, Acute Coronary Syndrome, Analysis, Angiography, Angioplasty, Catheterization, Clinical Trials, Cochrane, Databases, Differences, Guidelines, Immediate, Impact, Incidence, Intervention, Invasive Management, Ischemia</w:t>
      </w:r>
      <w:r w:rsidR="00D5664A">
        <w:rPr>
          <w:kern w:val="0"/>
        </w:rPr>
        <w:t>, ISI,</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Literature, </w:t>
      </w:r>
      <w:r w:rsidR="00D5664A">
        <w:rPr>
          <w:kern w:val="0"/>
        </w:rPr>
        <w:t>MEDLINE</w:t>
      </w:r>
      <w:r>
        <w:rPr>
          <w:kern w:val="0"/>
        </w:rPr>
        <w:t xml:space="preserve">, Meta Analysis, Meta-Analysis, Model, Mortality, Myocardial Infarction, Outcomes, Patients, Randomized-Trial, Ratio, Review, Risk, Science, Sensitivity, Strategy, Systematic, </w:t>
      </w:r>
      <w:r w:rsidR="00D5664A">
        <w:rPr>
          <w:kern w:val="0"/>
        </w:rPr>
        <w:t>Web</w:t>
      </w:r>
      <w:r w:rsidR="00427468">
        <w:rPr>
          <w:kern w:val="0"/>
        </w:rPr>
        <w:t xml:space="preserve"> of </w:t>
      </w:r>
      <w:r w:rsidR="00D5664A">
        <w:rPr>
          <w:kern w:val="0"/>
        </w:rPr>
        <w:t>Science</w:t>
      </w:r>
    </w:p>
    <w:p w:rsidR="00AD7437" w:rsidRDefault="00AD7437" w:rsidP="00AD7437">
      <w:pPr>
        <w:pStyle w:val="a3"/>
        <w:rPr>
          <w:kern w:val="0"/>
        </w:rPr>
      </w:pPr>
      <w:r>
        <w:rPr>
          <w:kern w:val="0"/>
        </w:rPr>
        <w:t>? Dasari, T.W., Patel, B.</w:t>
      </w:r>
      <w:r w:rsidR="005853A9">
        <w:rPr>
          <w:kern w:val="0"/>
        </w:rPr>
        <w:t xml:space="preserve"> and </w:t>
      </w:r>
      <w:r>
        <w:rPr>
          <w:kern w:val="0"/>
        </w:rPr>
        <w:t>Saucedo, J.F. (2013), Systematic review</w:t>
      </w:r>
      <w:r w:rsidR="00427468">
        <w:rPr>
          <w:kern w:val="0"/>
        </w:rPr>
        <w:t xml:space="preserve"> of </w:t>
      </w:r>
      <w:r>
        <w:rPr>
          <w:kern w:val="0"/>
        </w:rPr>
        <w:t>effectiveness</w:t>
      </w:r>
      <w:r w:rsidR="00427468">
        <w:rPr>
          <w:kern w:val="0"/>
        </w:rPr>
        <w:t xml:space="preserve"> of </w:t>
      </w:r>
      <w:r>
        <w:rPr>
          <w:kern w:val="0"/>
        </w:rPr>
        <w:t>oral Sirolimus after bare-metal Stenting</w:t>
      </w:r>
      <w:r w:rsidR="00427468">
        <w:rPr>
          <w:kern w:val="0"/>
        </w:rPr>
        <w:t xml:space="preserve"> of </w:t>
      </w:r>
      <w:r>
        <w:rPr>
          <w:kern w:val="0"/>
        </w:rPr>
        <w:t>coronary arteries for prevention</w:t>
      </w:r>
      <w:r w:rsidR="00427468">
        <w:rPr>
          <w:kern w:val="0"/>
        </w:rPr>
        <w:t xml:space="preserve"> of </w:t>
      </w:r>
      <w:r>
        <w:rPr>
          <w:kern w:val="0"/>
        </w:rPr>
        <w:t xml:space="preserve">in-stent Restenosis. </w:t>
      </w:r>
      <w:r>
        <w:rPr>
          <w:i/>
          <w:iCs/>
          <w:kern w:val="0"/>
        </w:rPr>
        <w:t>American Journal</w:t>
      </w:r>
      <w:r w:rsidR="00427468">
        <w:rPr>
          <w:i/>
          <w:iCs/>
          <w:kern w:val="0"/>
        </w:rPr>
        <w:t xml:space="preserve"> of </w:t>
      </w:r>
      <w:r>
        <w:rPr>
          <w:i/>
          <w:iCs/>
          <w:kern w:val="0"/>
        </w:rPr>
        <w:t>Cardiology</w:t>
      </w:r>
      <w:r>
        <w:rPr>
          <w:kern w:val="0"/>
        </w:rPr>
        <w:t xml:space="preserve">, </w:t>
      </w:r>
      <w:r>
        <w:rPr>
          <w:b/>
          <w:bCs/>
          <w:kern w:val="0"/>
        </w:rPr>
        <w:t>112</w:t>
      </w:r>
      <w:r>
        <w:rPr>
          <w:kern w:val="0"/>
        </w:rPr>
        <w:t xml:space="preserve"> (9), 1322-1327.</w:t>
      </w:r>
    </w:p>
    <w:p w:rsidR="00AD7437" w:rsidRDefault="00AD7437" w:rsidP="00AD7437">
      <w:pPr>
        <w:pStyle w:val="a3"/>
        <w:rPr>
          <w:kern w:val="0"/>
        </w:rPr>
      </w:pPr>
      <w:r>
        <w:rPr>
          <w:rFonts w:hint="eastAsia"/>
          <w:kern w:val="0"/>
        </w:rPr>
        <w:t xml:space="preserve">Full Text: </w:t>
      </w:r>
      <w:hyperlink r:id="rId421" w:history="1">
        <w:r w:rsidRPr="00FA6BFA">
          <w:rPr>
            <w:rStyle w:val="a5"/>
            <w:kern w:val="0"/>
          </w:rPr>
          <w:t>2013\Ame J Car112, 1322.pdf</w:t>
        </w:r>
      </w:hyperlink>
    </w:p>
    <w:p w:rsidR="00AD7437" w:rsidRDefault="00AD7437" w:rsidP="00AD7437">
      <w:pPr>
        <w:pStyle w:val="a3"/>
        <w:rPr>
          <w:kern w:val="0"/>
        </w:rPr>
      </w:pPr>
      <w:r>
        <w:rPr>
          <w:kern w:val="0"/>
        </w:rPr>
        <w:t>Abstract: Neointimal hyperplasia after percutaneous coronary intervention is a major determinant</w:t>
      </w:r>
      <w:r w:rsidR="00427468">
        <w:rPr>
          <w:kern w:val="0"/>
        </w:rPr>
        <w:t xml:space="preserve"> of </w:t>
      </w:r>
      <w:r>
        <w:rPr>
          <w:kern w:val="0"/>
        </w:rPr>
        <w:t>in-stent restenosis (ISR). Drug-eluting stents (DES) mitigate neointimal hyperplasia</w:t>
      </w:r>
      <w:r w:rsidR="005853A9">
        <w:rPr>
          <w:kern w:val="0"/>
        </w:rPr>
        <w:t xml:space="preserve"> and </w:t>
      </w:r>
      <w:r>
        <w:rPr>
          <w:kern w:val="0"/>
        </w:rPr>
        <w:t>thereby lead to a lower rate</w:t>
      </w:r>
      <w:r w:rsidR="00427468">
        <w:rPr>
          <w:kern w:val="0"/>
        </w:rPr>
        <w:t xml:space="preserve"> of </w:t>
      </w:r>
      <w:r>
        <w:rPr>
          <w:kern w:val="0"/>
        </w:rPr>
        <w:t>ISR compared with bare-metal stents (BMS). Recent studies have demonstrated that short-term use</w:t>
      </w:r>
      <w:r w:rsidR="00427468">
        <w:rPr>
          <w:kern w:val="0"/>
        </w:rPr>
        <w:t xml:space="preserve"> of </w:t>
      </w:r>
      <w:r>
        <w:rPr>
          <w:kern w:val="0"/>
        </w:rPr>
        <w:t>oral sirolimus after BMs leads to a significant reduction in ISR. We therefore sought to do a systematic review</w:t>
      </w:r>
      <w:r w:rsidR="00427468">
        <w:rPr>
          <w:kern w:val="0"/>
        </w:rPr>
        <w:t xml:space="preserve"> of </w:t>
      </w:r>
      <w:r>
        <w:rPr>
          <w:kern w:val="0"/>
        </w:rPr>
        <w:t>studies to determine the angiographic</w:t>
      </w:r>
      <w:r w:rsidR="005853A9">
        <w:rPr>
          <w:kern w:val="0"/>
        </w:rPr>
        <w:t xml:space="preserve"> and </w:t>
      </w:r>
      <w:r>
        <w:rPr>
          <w:kern w:val="0"/>
        </w:rPr>
        <w:t>clinical benefits</w:t>
      </w:r>
      <w:r w:rsidR="00427468">
        <w:rPr>
          <w:kern w:val="0"/>
        </w:rPr>
        <w:t xml:space="preserve"> of </w:t>
      </w:r>
      <w:r>
        <w:rPr>
          <w:kern w:val="0"/>
        </w:rPr>
        <w:t>early short-term use</w:t>
      </w:r>
      <w:r w:rsidR="00427468">
        <w:rPr>
          <w:kern w:val="0"/>
        </w:rPr>
        <w:t xml:space="preserve"> of </w:t>
      </w:r>
      <w:r>
        <w:rPr>
          <w:kern w:val="0"/>
        </w:rPr>
        <w:t>oral sirolimus after BMs</w:t>
      </w:r>
      <w:r w:rsidR="00427468">
        <w:rPr>
          <w:kern w:val="0"/>
        </w:rPr>
        <w:t xml:space="preserve"> of </w:t>
      </w:r>
      <w:r>
        <w:rPr>
          <w:kern w:val="0"/>
        </w:rPr>
        <w:t>native coronary arteries. We conducted PubMed, Embase, Cochrane database review,</w:t>
      </w:r>
      <w:r w:rsidR="005853A9">
        <w:rPr>
          <w:kern w:val="0"/>
        </w:rPr>
        <w:t xml:space="preserve"> and </w:t>
      </w:r>
      <w:r w:rsidR="00D5664A">
        <w:rPr>
          <w:kern w:val="0"/>
        </w:rPr>
        <w:t>Web</w:t>
      </w:r>
      <w:r w:rsidR="00427468">
        <w:rPr>
          <w:kern w:val="0"/>
        </w:rPr>
        <w:t xml:space="preserve"> of </w:t>
      </w:r>
      <w:r w:rsidR="00D5664A">
        <w:rPr>
          <w:kern w:val="0"/>
        </w:rPr>
        <w:lastRenderedPageBreak/>
        <w:t>Science</w:t>
      </w:r>
      <w:r>
        <w:rPr>
          <w:kern w:val="0"/>
        </w:rPr>
        <w:t xml:space="preserve"> search</w:t>
      </w:r>
      <w:r w:rsidR="00427468">
        <w:rPr>
          <w:kern w:val="0"/>
        </w:rPr>
        <w:t xml:space="preserve"> of </w:t>
      </w:r>
      <w:r>
        <w:rPr>
          <w:kern w:val="0"/>
        </w:rPr>
        <w:t>studies comparing oral sirolimus after BMs to BMs alone or DES. Outcomes analyzed, were ISR</w:t>
      </w:r>
      <w:r w:rsidR="005853A9">
        <w:rPr>
          <w:kern w:val="0"/>
        </w:rPr>
        <w:t xml:space="preserve"> and </w:t>
      </w:r>
      <w:r>
        <w:rPr>
          <w:kern w:val="0"/>
        </w:rPr>
        <w:t>target lesion revascularization (TLR) as well as major adverse cardiovascular events. A total</w:t>
      </w:r>
      <w:r w:rsidR="00427468">
        <w:rPr>
          <w:kern w:val="0"/>
        </w:rPr>
        <w:t xml:space="preserve"> of </w:t>
      </w:r>
      <w:r>
        <w:rPr>
          <w:kern w:val="0"/>
        </w:rPr>
        <w:t>488 patients from 4 studies were included in the review (2006 to 2010). Three studies, comparing BMs alone versus BMs plus oral sirolimus, demonstrated significant reduction in ISR in the oral sirolimus group. Two</w:t>
      </w:r>
      <w:r w:rsidR="00427468">
        <w:rPr>
          <w:kern w:val="0"/>
        </w:rPr>
        <w:t xml:space="preserve"> of </w:t>
      </w:r>
      <w:r>
        <w:rPr>
          <w:kern w:val="0"/>
        </w:rPr>
        <w:t>these studies also demonstrated significant reduction in TLR at 6-12 month follow-up</w:t>
      </w:r>
      <w:r w:rsidR="00A37C1D">
        <w:rPr>
          <w:kern w:val="0"/>
        </w:rPr>
        <w:t>. The</w:t>
      </w:r>
      <w:r>
        <w:rPr>
          <w:kern w:val="0"/>
        </w:rPr>
        <w:t xml:space="preserve"> fourth study comparing BMs plus oral sirolimus versus DEs showed a lower but nonsignificant reduction in TLR in addition to significant cost saving in the group treated with oral sirolimus. In conclusion, our systematic review demonstrates that early short-term systemic use</w:t>
      </w:r>
      <w:r w:rsidR="00427468">
        <w:rPr>
          <w:kern w:val="0"/>
        </w:rPr>
        <w:t xml:space="preserve"> of </w:t>
      </w:r>
      <w:r>
        <w:rPr>
          <w:kern w:val="0"/>
        </w:rPr>
        <w:t>sirolimus after BMs resulted in a significant reduction in ISR</w:t>
      </w:r>
      <w:r w:rsidR="005853A9">
        <w:rPr>
          <w:kern w:val="0"/>
        </w:rPr>
        <w:t xml:space="preserve"> and </w:t>
      </w:r>
      <w:r>
        <w:rPr>
          <w:kern w:val="0"/>
        </w:rPr>
        <w:t>TLR. In addition, ISR rates were comparable to DEs with the added benefit</w:t>
      </w:r>
      <w:r w:rsidR="00427468">
        <w:rPr>
          <w:kern w:val="0"/>
        </w:rPr>
        <w:t xml:space="preserve"> of </w:t>
      </w:r>
      <w:r>
        <w:rPr>
          <w:kern w:val="0"/>
        </w:rPr>
        <w:t>cost saving. (C) 2013 Elsevier Inc. All rights reserved.</w:t>
      </w:r>
    </w:p>
    <w:p w:rsidR="00AD7437" w:rsidRDefault="00AD7437" w:rsidP="00AD7437">
      <w:pPr>
        <w:pStyle w:val="a3"/>
        <w:rPr>
          <w:kern w:val="0"/>
        </w:rPr>
      </w:pPr>
      <w:r>
        <w:rPr>
          <w:kern w:val="0"/>
        </w:rPr>
        <w:t xml:space="preserve">Keywords: Argentina, Arteries, Benefits, Cardiovascular, Clinical, Cost, Database, De-Novo Lesions, Drug-Eluting Stents, Efficacy, Events, Everolimus, Follow-Up, Implantation, Intervention, Intravascular Ultrasound, ISR, Lead, Nov, Oral, Outcomes, Patients, Percutaneous, Percutaneous Coronary Intervention, Prevention, Pubmed, Rapamycin, Rates, Recent, Reduction, Restenosis, Revascularization, Review, Rights, Science, Sirolimus, Stents, Systematic Review, Transplant Recipients, Trial, </w:t>
      </w:r>
      <w:r w:rsidR="00D5664A">
        <w:rPr>
          <w:kern w:val="0"/>
        </w:rPr>
        <w:t>Web</w:t>
      </w:r>
      <w:r w:rsidR="00427468">
        <w:rPr>
          <w:kern w:val="0"/>
        </w:rPr>
        <w:t xml:space="preserve"> of </w:t>
      </w:r>
      <w:r w:rsidR="00D5664A">
        <w:rPr>
          <w:kern w:val="0"/>
        </w:rPr>
        <w:t>Science</w:t>
      </w:r>
    </w:p>
    <w:p w:rsidR="00C32E49" w:rsidRDefault="00C32E49" w:rsidP="00C32E49">
      <w:pPr>
        <w:pStyle w:val="a3"/>
        <w:rPr>
          <w:kern w:val="0"/>
          <w:szCs w:val="24"/>
        </w:rPr>
      </w:pPr>
      <w:r>
        <w:rPr>
          <w:rFonts w:hint="eastAsia"/>
          <w:kern w:val="0"/>
          <w:szCs w:val="24"/>
        </w:rPr>
        <w:t xml:space="preserve">? </w:t>
      </w:r>
      <w:r>
        <w:rPr>
          <w:kern w:val="0"/>
          <w:szCs w:val="24"/>
        </w:rPr>
        <w:t>Sharma, A., Einstein, A.J., Vallakati, A., Arbab-Zadeh, A., Mukherjee, D. and Lichstein, E. (2014), Meta-analysis</w:t>
      </w:r>
      <w:r w:rsidR="00427468">
        <w:rPr>
          <w:kern w:val="0"/>
          <w:szCs w:val="24"/>
        </w:rPr>
        <w:t xml:space="preserve"> of </w:t>
      </w:r>
      <w:r>
        <w:rPr>
          <w:kern w:val="0"/>
          <w:szCs w:val="24"/>
        </w:rPr>
        <w:t xml:space="preserve">global left ventricular function comparing multidetector computed tomography with cardiac magnetic resonance imaging. </w:t>
      </w:r>
      <w:r>
        <w:rPr>
          <w:i/>
          <w:iCs/>
          <w:kern w:val="0"/>
          <w:szCs w:val="24"/>
        </w:rPr>
        <w:t>American Journal</w:t>
      </w:r>
      <w:r w:rsidR="00427468">
        <w:rPr>
          <w:i/>
          <w:iCs/>
          <w:kern w:val="0"/>
          <w:szCs w:val="24"/>
        </w:rPr>
        <w:t xml:space="preserve"> of </w:t>
      </w:r>
      <w:r>
        <w:rPr>
          <w:i/>
          <w:iCs/>
          <w:kern w:val="0"/>
          <w:szCs w:val="24"/>
        </w:rPr>
        <w:t>Cardiology</w:t>
      </w:r>
      <w:r>
        <w:rPr>
          <w:kern w:val="0"/>
          <w:szCs w:val="24"/>
        </w:rPr>
        <w:t xml:space="preserve">, </w:t>
      </w:r>
      <w:r>
        <w:rPr>
          <w:b/>
          <w:bCs/>
          <w:kern w:val="0"/>
          <w:szCs w:val="24"/>
        </w:rPr>
        <w:t>113</w:t>
      </w:r>
      <w:r>
        <w:rPr>
          <w:kern w:val="0"/>
          <w:szCs w:val="24"/>
        </w:rPr>
        <w:t xml:space="preserve"> (4), 731-738.</w:t>
      </w:r>
    </w:p>
    <w:p w:rsidR="00C32E49" w:rsidRDefault="00C32E49" w:rsidP="00C32E49">
      <w:pPr>
        <w:pStyle w:val="a3"/>
        <w:rPr>
          <w:kern w:val="0"/>
        </w:rPr>
      </w:pPr>
      <w:r>
        <w:rPr>
          <w:rFonts w:hint="eastAsia"/>
          <w:kern w:val="0"/>
        </w:rPr>
        <w:t xml:space="preserve">Full Text: </w:t>
      </w:r>
      <w:hyperlink r:id="rId422" w:history="1">
        <w:r w:rsidRPr="00427A8D">
          <w:rPr>
            <w:rStyle w:val="a5"/>
            <w:kern w:val="0"/>
          </w:rPr>
          <w:t>2014\Ame J Car113, 731.pdf</w:t>
        </w:r>
      </w:hyperlink>
    </w:p>
    <w:p w:rsidR="00C32E49" w:rsidRDefault="00C32E49" w:rsidP="00C32E49">
      <w:pPr>
        <w:pStyle w:val="a3"/>
        <w:rPr>
          <w:kern w:val="0"/>
          <w:szCs w:val="24"/>
        </w:rPr>
      </w:pPr>
      <w:r>
        <w:rPr>
          <w:kern w:val="0"/>
          <w:szCs w:val="24"/>
        </w:rPr>
        <w:t>Abstract: We compare the diagnostic accuracy</w:t>
      </w:r>
      <w:r w:rsidR="00427468">
        <w:rPr>
          <w:kern w:val="0"/>
          <w:szCs w:val="24"/>
        </w:rPr>
        <w:t xml:space="preserve"> of </w:t>
      </w:r>
      <w:r>
        <w:rPr>
          <w:kern w:val="0"/>
          <w:szCs w:val="24"/>
        </w:rPr>
        <w:t>multidetector row computed tomography (MDCT) to cardiac magnetic resonance imaging (CMR) for evaluating global left ventricular function. We systematically searched PubMed, CINAHL, Cochrane CENTRAL, Scopus, and the Web</w:t>
      </w:r>
      <w:r w:rsidR="00427468">
        <w:rPr>
          <w:kern w:val="0"/>
          <w:szCs w:val="24"/>
        </w:rPr>
        <w:t xml:space="preserve"> of </w:t>
      </w:r>
      <w:r>
        <w:rPr>
          <w:kern w:val="0"/>
          <w:szCs w:val="24"/>
        </w:rPr>
        <w:t>Science databases for studies published between 1966 to January 2013 that compared left, ventricle (LV) volumes, ejection fraction (EF) and LV mass measured by MDCT and CMR. We performed meta-analyses and used random-effects model with inverse variance weighting test to determine the overall bias and limits</w:t>
      </w:r>
      <w:r w:rsidR="00427468">
        <w:rPr>
          <w:kern w:val="0"/>
          <w:szCs w:val="24"/>
        </w:rPr>
        <w:t xml:space="preserve"> of </w:t>
      </w:r>
      <w:r>
        <w:rPr>
          <w:kern w:val="0"/>
          <w:szCs w:val="24"/>
        </w:rPr>
        <w:t>agreement</w:t>
      </w:r>
      <w:r w:rsidR="00427468">
        <w:rPr>
          <w:kern w:val="0"/>
          <w:szCs w:val="24"/>
        </w:rPr>
        <w:t xml:space="preserve"> of </w:t>
      </w:r>
      <w:r>
        <w:rPr>
          <w:kern w:val="0"/>
          <w:szCs w:val="24"/>
        </w:rPr>
        <w:t xml:space="preserve">LV end-diastolic volume, end-systolic volume, stroke volume, and EF measured by MDCT and CMR. Furthermore, subgroup analyses were performed to compare 16-slice and 64-slice MDCT with CMR. Two study authors independently reviewed the 90 articles originally identified and selected 27 studies (n = 831) for analysis. Excellent correlation and a linear relation were seen between MDCT and CMR for LV end-diastolic volume (r = 0.93; p &lt;0.001), LV end-systolic volume (r = 0.95; p </w:t>
      </w:r>
      <w:r>
        <w:rPr>
          <w:kern w:val="0"/>
          <w:szCs w:val="24"/>
        </w:rPr>
        <w:lastRenderedPageBreak/>
        <w:t>&lt;0.001), LV stroke volume (r = 0.85; p &lt;0.001), LV ejection fraction (r = 0.93; p &lt;0.001), and LV mass (r = 0.86; p &lt;0.001). Subgroup analyses showed strong positive correlations for both 16- and 64-slice MDCT. In conclusion, although not the first-line test for LV function assessment in most patients, when appropriate, retrospectively gated 1VIDCT provides an accurate and valid assessment</w:t>
      </w:r>
      <w:r w:rsidR="00427468">
        <w:rPr>
          <w:kern w:val="0"/>
          <w:szCs w:val="24"/>
        </w:rPr>
        <w:t xml:space="preserve"> of </w:t>
      </w:r>
      <w:r>
        <w:rPr>
          <w:kern w:val="0"/>
          <w:szCs w:val="24"/>
        </w:rPr>
        <w:t>LV function compared with CMR. (C) 2014 Elsevier Inc. All rights reserved.</w:t>
      </w:r>
    </w:p>
    <w:p w:rsidR="00C32E49" w:rsidRDefault="00C32E49" w:rsidP="00C32E49">
      <w:pPr>
        <w:pStyle w:val="a3"/>
        <w:rPr>
          <w:kern w:val="0"/>
          <w:szCs w:val="24"/>
        </w:rPr>
      </w:pPr>
      <w:r>
        <w:rPr>
          <w:kern w:val="0"/>
          <w:szCs w:val="24"/>
        </w:rPr>
        <w:t>Keywords: 16-Slice Spiral-Ct, 2-Dimensional Transthoracic Echocardiography, Accuracy, Analyses, Analysis, Angiography, Assessment, Authors, Bias, Computed Tomography, Coronary-Artery-Disease, Correlation, Correlations, Databases, Diagnostic Accuracy, Diagnostic Performance, Ejection Fraction, Function, Global, Global Left Ventricular Function, Heart-Disease, Imaging, Left Ventricular Function, Magnetic, Magnetic Resonance, Magnetic Resonance Imaging, Model, Mri, Myocardial-Infarction, Patients, Pubmed, Random Effects Model, Rights, Row CT, Science, Scopus, Stroke, Stroke Volume, Volume, Web</w:t>
      </w:r>
      <w:r w:rsidR="00427468">
        <w:rPr>
          <w:kern w:val="0"/>
          <w:szCs w:val="24"/>
        </w:rPr>
        <w:t xml:space="preserve"> of </w:t>
      </w:r>
      <w:r>
        <w:rPr>
          <w:kern w:val="0"/>
          <w:szCs w:val="24"/>
        </w:rPr>
        <w:t>Science, Web</w:t>
      </w:r>
      <w:r w:rsidR="00427468">
        <w:rPr>
          <w:kern w:val="0"/>
          <w:szCs w:val="24"/>
        </w:rPr>
        <w:t xml:space="preserve"> of </w:t>
      </w:r>
      <w:r>
        <w:rPr>
          <w:kern w:val="0"/>
          <w:szCs w:val="24"/>
        </w:rPr>
        <w:t>Science Databases, Weighting</w:t>
      </w:r>
    </w:p>
    <w:p w:rsidR="00481459" w:rsidRDefault="00481459" w:rsidP="00481459">
      <w:pPr>
        <w:pStyle w:val="a3"/>
        <w:rPr>
          <w:kern w:val="0"/>
        </w:rPr>
      </w:pPr>
      <w:r>
        <w:rPr>
          <w:kern w:val="0"/>
        </w:rPr>
        <w:t xml:space="preserve">? Sardar, P., Nairooz, R., Chatterjee, S., Wetterslev, J., Ghosh, J. and Aronow, W.S. (2014), Meta-analysis of risk of stroke or transient ischemic attack with dabigatran for atrial fibrillation ablation. </w:t>
      </w:r>
      <w:r>
        <w:rPr>
          <w:i/>
          <w:iCs/>
          <w:kern w:val="0"/>
        </w:rPr>
        <w:t>American Journal of Cardiology</w:t>
      </w:r>
      <w:r>
        <w:rPr>
          <w:kern w:val="0"/>
        </w:rPr>
        <w:t xml:space="preserve">, </w:t>
      </w:r>
      <w:r>
        <w:rPr>
          <w:b/>
          <w:bCs/>
          <w:kern w:val="0"/>
        </w:rPr>
        <w:t>113</w:t>
      </w:r>
      <w:r>
        <w:rPr>
          <w:kern w:val="0"/>
        </w:rPr>
        <w:t xml:space="preserve"> (7), 1173-1177.</w:t>
      </w:r>
    </w:p>
    <w:p w:rsidR="00481459" w:rsidRDefault="00481459" w:rsidP="00481459">
      <w:pPr>
        <w:pStyle w:val="a3"/>
        <w:rPr>
          <w:kern w:val="0"/>
        </w:rPr>
      </w:pPr>
      <w:r>
        <w:rPr>
          <w:kern w:val="0"/>
        </w:rPr>
        <w:t xml:space="preserve">Full Text: </w:t>
      </w:r>
      <w:hyperlink r:id="rId423" w:history="1">
        <w:r w:rsidRPr="00481459">
          <w:rPr>
            <w:rStyle w:val="a5"/>
            <w:kern w:val="0"/>
          </w:rPr>
          <w:t>2014\Ame J Car113, 1173.pdf</w:t>
        </w:r>
      </w:hyperlink>
    </w:p>
    <w:p w:rsidR="00481459" w:rsidRDefault="00481459" w:rsidP="00481459">
      <w:pPr>
        <w:pStyle w:val="a3"/>
        <w:rPr>
          <w:kern w:val="0"/>
        </w:rPr>
      </w:pPr>
      <w:r>
        <w:rPr>
          <w:kern w:val="0"/>
        </w:rPr>
        <w:t>Abstract: Dabigatran is a novel oral anticoagulant and may be useful during atrial fibrillation (AF) ablation for prevention of thromboembolic events. However, the benefits and adverse effects of periprocedural dabigatran therapy have not been thoroughly evaluated. A meta-analysis was performed to evaluate the efficacy and safety of dabigatran for anticoagulation in AF ablation. PubMed, The Cochrane Library, EMBASE, Web of Science, and CINAHL databases were searched from January 01, 2001 through July 30, 2013. Two reviewers reviewed the studies for inclusion and extracted data from studies comparing dabigatran with warfarin for AF ablation. A total of 5,513 patients undergoing catheter ablation were included in 17 observational studies and 1 randomized trial. Fourteen events of stroke or transient ischemic attacks were reported in the dabigatran group and 4 in the warfarin group (Peto</w:t>
      </w:r>
      <w:r w:rsidR="00700038">
        <w:rPr>
          <w:kern w:val="0"/>
        </w:rPr>
        <w:t>’</w:t>
      </w:r>
      <w:r>
        <w:rPr>
          <w:kern w:val="0"/>
        </w:rPr>
        <w:t>s odds ratio 3.94, 95% confidence interval [CI] 1.54 to 10.08, number needed to harm = 284 patients)</w:t>
      </w:r>
      <w:r w:rsidR="00A37C1D">
        <w:rPr>
          <w:kern w:val="0"/>
        </w:rPr>
        <w:t>. The</w:t>
      </w:r>
      <w:r>
        <w:rPr>
          <w:kern w:val="0"/>
        </w:rPr>
        <w:t xml:space="preserve"> risk of all thromboembolic complications was also higher in the dabigatran group compared with the warfarin group (Peto</w:t>
      </w:r>
      <w:r w:rsidR="00700038">
        <w:rPr>
          <w:kern w:val="0"/>
        </w:rPr>
        <w:t>’</w:t>
      </w:r>
      <w:r>
        <w:rPr>
          <w:kern w:val="0"/>
        </w:rPr>
        <w:t>s odds ratio 2.81, 95% CI 1.23 to 6.45). No major differences were observed for the risk of major bleeding (odds ratio 0.99, 95% CI 0.55 to 1.78), pericardial tamponade, and groin hematoma. A lower risk of minor bleeding was observed with dabigatran (odds ratio 0.60, 95% CI 0.41 to 0.87). In conclusion, periprocedural use of dabigatran for AF ablation was related to a higher risk of thromboembolic complications including stroke and transient ischemic attack. (C) 2014 Elsevier Inc. All rights reserved.</w:t>
      </w:r>
    </w:p>
    <w:p w:rsidR="00481459" w:rsidRDefault="00481459" w:rsidP="00481459">
      <w:pPr>
        <w:pStyle w:val="a3"/>
        <w:rPr>
          <w:kern w:val="0"/>
        </w:rPr>
      </w:pPr>
      <w:r>
        <w:rPr>
          <w:kern w:val="0"/>
        </w:rPr>
        <w:lastRenderedPageBreak/>
        <w:t>Keywords: Ablation, Adverse Effects, Af, Anticoagulant, Anticoagulation, Atrial Fibrillation, Benefits, Bleeding, Catheter, Catheter Ablation, Complications, Confidence, Data, Databases, Effects, Efficacy, Embase, Etexilate, Events, Hematoma, Interval, Meta Analysis, Meta-Analysis, Metaanalysis, Minor, Observational, Observational Studies, Odds Ratio, Oral, Patients, Periprocedural Anticoagulation, Prevention, Pubmed, Radiofrequency Ablation, Randomized, Randomized Trial, Rights, Risk, Safety, Science, Stroke, Tamponade, Therapy, Transient, Trial, Warfarin, Web Of Science</w:t>
      </w:r>
    </w:p>
    <w:p w:rsidR="001C5F0D" w:rsidRDefault="001C5F0D" w:rsidP="001C5F0D">
      <w:pPr>
        <w:pStyle w:val="a3"/>
        <w:rPr>
          <w:kern w:val="0"/>
        </w:rPr>
      </w:pPr>
      <w:r>
        <w:rPr>
          <w:kern w:val="0"/>
        </w:rPr>
        <w:t xml:space="preserve">? Wei, J.K., Rooks, C., Ramadan, R., Shah, A.J., Bremner, J.D., Quyyumi, A.A., Kutner, M. and Vaccarino, V. (2014), Meta-analysis of mental stress-induced myocardial ischemia and subsequent cardiac events in patients with coronary artery disease. </w:t>
      </w:r>
      <w:r>
        <w:rPr>
          <w:i/>
          <w:iCs/>
          <w:kern w:val="0"/>
        </w:rPr>
        <w:t>American Journal of Cardiology</w:t>
      </w:r>
      <w:r>
        <w:rPr>
          <w:kern w:val="0"/>
        </w:rPr>
        <w:t xml:space="preserve">, </w:t>
      </w:r>
      <w:r>
        <w:rPr>
          <w:b/>
          <w:bCs/>
          <w:kern w:val="0"/>
        </w:rPr>
        <w:t>114</w:t>
      </w:r>
      <w:r>
        <w:rPr>
          <w:kern w:val="0"/>
        </w:rPr>
        <w:t xml:space="preserve"> (2), 187-192.</w:t>
      </w:r>
    </w:p>
    <w:p w:rsidR="001C5F0D" w:rsidRDefault="001C5F0D" w:rsidP="001C5F0D">
      <w:pPr>
        <w:pStyle w:val="a3"/>
        <w:rPr>
          <w:kern w:val="0"/>
        </w:rPr>
      </w:pPr>
      <w:r>
        <w:rPr>
          <w:kern w:val="0"/>
        </w:rPr>
        <w:t xml:space="preserve">Full Text: </w:t>
      </w:r>
      <w:hyperlink r:id="rId424" w:history="1">
        <w:r>
          <w:rPr>
            <w:rStyle w:val="a5"/>
          </w:rPr>
          <w:t>2014\Ame J Car114, 187.pdf</w:t>
        </w:r>
      </w:hyperlink>
    </w:p>
    <w:p w:rsidR="001C5F0D" w:rsidRDefault="001C5F0D" w:rsidP="001C5F0D">
      <w:pPr>
        <w:pStyle w:val="a3"/>
        <w:rPr>
          <w:kern w:val="0"/>
        </w:rPr>
      </w:pPr>
      <w:r>
        <w:rPr>
          <w:kern w:val="0"/>
        </w:rPr>
        <w:t>Abstract: Mental stress-induced myocardial ischemia (MSIMI) has been associated with adverse prognosis in patients with coronary artery disease (CAD), but whether this is a uniform finding across different studies has not been described. We conducted a systematic review and meta-analysis of prospective studies examining the association between MSIMI and adverse outcome events in patients with stable CAD. We searched PubMed, EMBASE, Web Of Science, and PsycINFO databases for English language prospective studies of patients with CAD who underwent standardized mental stress testing to determine presence of MSIMI and were followed up for subsequent cardiac events or total mortality. Our outcomes of interest were CAD recurrence, CAD mortality, or total mortality. A summary effect estimate was derived using a fixed-effects meta-analysis model. Only 5 studies, each with a sample size of &lt;200 patients and fewer than 50 outcome events, met the inclusion criteria. The pooled samples comprised 555 patients with CAD (85% male) and 117 events with a range of follow-up from 35 days to 8.8 years. Pooled analysis showed that MSIMI was associated with a twofold increased risk of a combined end point of cardiac events or total mortality (relative risk 2.24, 95% confidence interval 1.59 to 3.15). No heterogeneity was detected among the studies (Q = 0.39, I-2 = 0.0%, p = 0.98). In conclusion, although few selected studies have examined the association between MSIMI and adverse events in patients with CAD, all existing investigations point to approximately a doubling of risk. Whether this increased risk is generalizable to the CAD population at large and varies in patient subgroups warrant further investigation. (C) 2014 Elsevier Inc. All rights reserved.</w:t>
      </w:r>
    </w:p>
    <w:p w:rsidR="001C5F0D" w:rsidRDefault="001C5F0D" w:rsidP="001C5F0D">
      <w:pPr>
        <w:pStyle w:val="a3"/>
        <w:rPr>
          <w:kern w:val="0"/>
        </w:rPr>
      </w:pPr>
      <w:r>
        <w:rPr>
          <w:kern w:val="0"/>
        </w:rPr>
        <w:t xml:space="preserve">Keywords: Adverse Outcome, Analysis, Artery, Association, Cad, Confidence, Coronary Artery, Coronary Artery Disease, Criteria, Databases, Disease, Embase, English, Events, Follow-Up, Heterogeneity, Implantable Cardioverter-Defibrillators, Interval, Investigation, Investigations, Ischemia, Language, Male, Meta Analysis, </w:t>
      </w:r>
      <w:r>
        <w:rPr>
          <w:kern w:val="0"/>
        </w:rPr>
        <w:lastRenderedPageBreak/>
        <w:t>Meta-Analysis, Metaanalysis, Model, Mortality, Myocardial Ischemia, Outcome, Outcomes, Patients, Population, Prognosis, Prospective, Prospective Studies, Psycinfo, Pubmed, Recurrence, Relative Risk, Responses, Review, Rights, Risk, Sample Size, Science, Size, Stress, Systematic, Systematic Review, T-Wave Alternans, Testing, Ventricular-Arrhythmias</w:t>
      </w:r>
    </w:p>
    <w:p w:rsidR="009C57A2" w:rsidRDefault="009C57A2" w:rsidP="009C57A2">
      <w:pPr>
        <w:pStyle w:val="a3"/>
        <w:rPr>
          <w:kern w:val="0"/>
        </w:rPr>
      </w:pPr>
      <w:r>
        <w:rPr>
          <w:rFonts w:hint="eastAsia"/>
          <w:kern w:val="0"/>
        </w:rPr>
        <w:t xml:space="preserve">? </w:t>
      </w:r>
      <w:r>
        <w:rPr>
          <w:kern w:val="0"/>
        </w:rPr>
        <w:t xml:space="preserve">Giacoppo, D., Capodanno, D., Capranzano, P., Aruta, P. and Tamburino, C. (2014), Meta-analysis of randomized controlled trials of preprocedural stain administration for reducing contrast-induced acute kidney injury in patients undergoing coronary catheterization. </w:t>
      </w:r>
      <w:r>
        <w:rPr>
          <w:i/>
          <w:iCs/>
          <w:kern w:val="0"/>
        </w:rPr>
        <w:t>American Journal of Cardiology</w:t>
      </w:r>
      <w:r>
        <w:rPr>
          <w:kern w:val="0"/>
        </w:rPr>
        <w:t xml:space="preserve">, </w:t>
      </w:r>
      <w:r>
        <w:rPr>
          <w:b/>
          <w:bCs/>
          <w:kern w:val="0"/>
        </w:rPr>
        <w:t>114</w:t>
      </w:r>
      <w:r>
        <w:rPr>
          <w:kern w:val="0"/>
        </w:rPr>
        <w:t xml:space="preserve"> (4), 541-548.</w:t>
      </w:r>
    </w:p>
    <w:p w:rsidR="009C57A2" w:rsidRDefault="009C57A2" w:rsidP="009C57A2">
      <w:pPr>
        <w:pStyle w:val="a3"/>
        <w:rPr>
          <w:kern w:val="0"/>
        </w:rPr>
      </w:pPr>
      <w:r>
        <w:rPr>
          <w:kern w:val="0"/>
        </w:rPr>
        <w:t xml:space="preserve">Full Text: </w:t>
      </w:r>
      <w:hyperlink r:id="rId425" w:history="1">
        <w:r w:rsidRPr="004E60EF">
          <w:rPr>
            <w:rStyle w:val="a5"/>
            <w:kern w:val="0"/>
          </w:rPr>
          <w:t>2014\Ame J Car114, 541.pdf</w:t>
        </w:r>
      </w:hyperlink>
    </w:p>
    <w:p w:rsidR="009C57A2" w:rsidRDefault="009C57A2" w:rsidP="009C57A2">
      <w:pPr>
        <w:pStyle w:val="a3"/>
        <w:rPr>
          <w:kern w:val="0"/>
        </w:rPr>
      </w:pPr>
      <w:r>
        <w:rPr>
          <w:kern w:val="0"/>
        </w:rPr>
        <w:t>Abstract: Preprocedural statin administration may reduce contrast-induced acute kidney injury (CI-AKI), but current evidence is controversial. Randomized controlled trials (RCTs) comparing preprocedural statin administration before coronary catheterization with standard strategies were searched in MEDLINE/PubMed, EMBASE, Scopus, Cochrane Library, Web of Science, and Science Direct databases. The outcome of interest was the incidence of postprocedural CI-AKI. Prespecified subgroup analyses were performed according to baseline glomerular filtration rate (GFR), statin type, and N-acetylcysteine use. Eight RCTs were included for a total of 4,984 patients. The incidence of CI-AKI was 3.91% in the statin group (n = 2,480) and 6.98% in the control group (n = 2,504). In the pooled analysis using a random-effects model, patients receiving statins had 46% lower relative risk (RR) of CI-AKI compared with the control group (RR 0.54, 95% confidence interval [CI] 0.38 to 0.78, p = 001). A moderate degree of non-significant heterogeneity was present (I-2 = 41.9%, chisquare = 12.500, p = 0.099, tau(2) = 0.100). In the subanalysis based on GFR, the pooled RR indicated a persistent benefit with statins in patients with GFR &lt;60 ml/min (RR 0.67, 95% CI 0.45 to 1.00, p = 0.050) and a highly significant benefit in patients with GFR 60 ml/min (RR 0.40, 95% CI 0.27 to 0.61, p &lt;0.0001). Stalin type and N-acetylcysteine or hydration did not significantly influence the results. In conclusion, preprocedural statin use leads to a significant reduction in the pooled RR of CI-AKI. (C) 2014 Elsevier Inc. All rights reserved.</w:t>
      </w:r>
    </w:p>
    <w:p w:rsidR="009C57A2" w:rsidRDefault="009C57A2" w:rsidP="009C57A2">
      <w:pPr>
        <w:pStyle w:val="a3"/>
        <w:rPr>
          <w:kern w:val="0"/>
        </w:rPr>
      </w:pPr>
      <w:r>
        <w:rPr>
          <w:kern w:val="0"/>
        </w:rPr>
        <w:t>Keywords: Acute Kidney Injury, Administration, Analyses, Analysis, Angiography, Catheterization, Confidence, Control, Databases, Embase, Evidence, Filtration, Glomerular Filtration Rate, Heterogeneity, High-Dose Atorvastatin, Hydration, Incidence, Induced Nephropathy Trial, Influence, Injury, Interval, Intervention, Kidney, Meta-Analysis, Model, N-Acetylcysteine, Outcome, Patients, Pooled Analysis, Pretreatment, Prevention, Random Effects Model, Randomized Controlled Trials, Reduction, Relative Risk, Rights, Risk, Rosuvastatin, Science, Scopus, Short-Term, Standard, Statin, Statin Therapy, Web Of Science</w:t>
      </w:r>
    </w:p>
    <w:p w:rsidR="00A02D19" w:rsidRDefault="00A02D19" w:rsidP="00A02D19">
      <w:pPr>
        <w:pStyle w:val="a3"/>
        <w:rPr>
          <w:kern w:val="0"/>
        </w:rPr>
      </w:pPr>
      <w:r>
        <w:rPr>
          <w:rFonts w:hint="eastAsia"/>
          <w:kern w:val="0"/>
        </w:rPr>
        <w:t xml:space="preserve">? </w:t>
      </w:r>
      <w:r>
        <w:rPr>
          <w:kern w:val="0"/>
        </w:rPr>
        <w:t xml:space="preserve">Chatterjee, S., Bavishi, C., Sardar, P., Agarwal, V., Krishnamoorthy, P., Grodzicki, T. </w:t>
      </w:r>
      <w:r>
        <w:rPr>
          <w:kern w:val="0"/>
        </w:rPr>
        <w:lastRenderedPageBreak/>
        <w:t xml:space="preserve">and Messerli, F.H. (2014), Meta-analysis of left ventricular hypertrophy and sustained arrhythmias. </w:t>
      </w:r>
      <w:r>
        <w:rPr>
          <w:i/>
          <w:iCs/>
          <w:kern w:val="0"/>
        </w:rPr>
        <w:t>American Journal of Cardiology</w:t>
      </w:r>
      <w:r>
        <w:rPr>
          <w:kern w:val="0"/>
        </w:rPr>
        <w:t xml:space="preserve">, </w:t>
      </w:r>
      <w:r>
        <w:rPr>
          <w:b/>
          <w:bCs/>
          <w:kern w:val="0"/>
        </w:rPr>
        <w:t>114</w:t>
      </w:r>
      <w:r>
        <w:rPr>
          <w:kern w:val="0"/>
        </w:rPr>
        <w:t xml:space="preserve"> (7), 1049-1052.</w:t>
      </w:r>
    </w:p>
    <w:p w:rsidR="00A02D19" w:rsidRDefault="00A02D19" w:rsidP="00A02D19">
      <w:pPr>
        <w:pStyle w:val="a3"/>
        <w:rPr>
          <w:kern w:val="0"/>
        </w:rPr>
      </w:pPr>
      <w:r>
        <w:rPr>
          <w:kern w:val="0"/>
        </w:rPr>
        <w:t xml:space="preserve">Full Text: </w:t>
      </w:r>
      <w:hyperlink r:id="rId426" w:history="1">
        <w:r w:rsidRPr="00C82379">
          <w:rPr>
            <w:rStyle w:val="a5"/>
            <w:kern w:val="0"/>
          </w:rPr>
          <w:t>2014\Ame J Car114, 1049.pdf</w:t>
        </w:r>
      </w:hyperlink>
    </w:p>
    <w:p w:rsidR="00A02D19" w:rsidRDefault="00A02D19" w:rsidP="00A02D19">
      <w:pPr>
        <w:pStyle w:val="a3"/>
        <w:rPr>
          <w:kern w:val="0"/>
        </w:rPr>
      </w:pPr>
      <w:r>
        <w:rPr>
          <w:kern w:val="0"/>
        </w:rPr>
        <w:t>Abstract: Presence of left ventricular hypertrophy (LVH) has been reported to be associated with supraventricular and ventricular arrhythmias, but the association has not been systematically quantified and evaluated. A systematic search of studies in MEDLINE, EMBASE, CINAHL, Scopus, Web of Science, and Cochrane Central Register of Controlled Trials databases was undertaken through April 2014. Studies reporting on LVH and sustained arrhytlunias such as atrial fibrillation and supraventricular tachycardias (SVTs) and ventricular arrhythmias (tachycardia and fibrillation) were identified. Pooled, effect estimates were calculated with random-effects models (DerSimonian and Laird). A total of 10 eligible studies with 27,141 patients were included in the analysis. The incidence of SVT in patients with LVH was 11.1% compared with 1.1% among patients without LVH (p &lt;0.001). Patients with LVH had 3.4-fold greater odds of developing SVT (odds ratio 3.39, 95% confidence interval 1.57 to 7.31) than those without LVH, although significant heterogeneity was present (I-2 = 98%). Meta-regression analyses revealed the heterogeneity to have originated from differences in the baseline covariates such as age, male gender, hypertension, and diabetes of the individual studies. The incidence of ventricular arrhytlunias was 5.5% compared with 1.2% in patients without LVH (p &lt;0.001). The occurrence of ventricular tachycardia or fibrillation was 2.8-fold greater, in the presence of LVH (odds ratio 2.83, 95% confidence interval 1.78 to 4.51), and there was no significant heterogeneity (I-2 = 9%). Presence of LVH in hypertensive patients is associated with a greater risk of sustained supraventricular/atrial and ventricular arrhythmias, and there is an unmet need for identifying and refining risk stratification for this group. (C) 2014 Elsevier Inc. All rights reserved.</w:t>
      </w:r>
    </w:p>
    <w:p w:rsidR="00A02D19" w:rsidRDefault="00A02D19" w:rsidP="00A02D19">
      <w:pPr>
        <w:pStyle w:val="a3"/>
        <w:rPr>
          <w:kern w:val="0"/>
        </w:rPr>
      </w:pPr>
      <w:r>
        <w:rPr>
          <w:kern w:val="0"/>
        </w:rPr>
        <w:t>Keywords: Age, Analyses, Analysis, Association, Atrial Fibrillation, Confidence, Databases, Developing, Diabetes, Embase, Essential-Hypertension, Estimates, From, Gender, Heart-Disease, Heterogeneity, Hypertension, Incidence, Interval, Male, Male Gender, Mass, Mechanisms, Medline, Meta-Analysis, Meta-Regression, Models, Mortality, Odds Ratio, Onset Atrial-Fibrillation, Patients, Prevalence, Regression, Reporting, Rights, Risk, Risk Stratification, Science, Scopus, Stratification, Sudden-Death, Supraventricular, Systematic, Tachycardia, Web Of Science</w:t>
      </w:r>
    </w:p>
    <w:p w:rsidR="00062B2E" w:rsidRDefault="00062B2E" w:rsidP="00062B2E">
      <w:pPr>
        <w:pStyle w:val="a3"/>
        <w:rPr>
          <w:kern w:val="0"/>
        </w:rPr>
      </w:pPr>
      <w:r>
        <w:rPr>
          <w:rFonts w:hint="eastAsia"/>
          <w:kern w:val="0"/>
        </w:rPr>
        <w:t xml:space="preserve">? </w:t>
      </w:r>
      <w:r>
        <w:rPr>
          <w:kern w:val="0"/>
        </w:rPr>
        <w:t xml:space="preserve">Shuaib, W., Khan, M.S., Shahid, H., Valdes, E.A. and Alweis, R. (2015), Bibliometric analysis of the top 100 cited cardiovascular articles. </w:t>
      </w:r>
      <w:r>
        <w:rPr>
          <w:i/>
          <w:iCs/>
          <w:kern w:val="0"/>
        </w:rPr>
        <w:t>American Journal of Cardiology</w:t>
      </w:r>
      <w:r>
        <w:rPr>
          <w:kern w:val="0"/>
        </w:rPr>
        <w:t xml:space="preserve">, </w:t>
      </w:r>
      <w:r>
        <w:rPr>
          <w:b/>
          <w:bCs/>
          <w:kern w:val="0"/>
        </w:rPr>
        <w:t>115</w:t>
      </w:r>
      <w:r>
        <w:rPr>
          <w:kern w:val="0"/>
        </w:rPr>
        <w:t xml:space="preserve"> (7), 972-981.</w:t>
      </w:r>
    </w:p>
    <w:p w:rsidR="00062B2E" w:rsidRDefault="00062B2E" w:rsidP="00062B2E">
      <w:pPr>
        <w:pStyle w:val="a3"/>
        <w:rPr>
          <w:kern w:val="0"/>
        </w:rPr>
      </w:pPr>
      <w:r>
        <w:rPr>
          <w:kern w:val="0"/>
        </w:rPr>
        <w:t xml:space="preserve">Full Text: </w:t>
      </w:r>
      <w:hyperlink r:id="rId427" w:history="1">
        <w:r w:rsidRPr="004855ED">
          <w:rPr>
            <w:rStyle w:val="a5"/>
            <w:kern w:val="0"/>
          </w:rPr>
          <w:t>2015\Ame J Car115, 972.pdf</w:t>
        </w:r>
      </w:hyperlink>
    </w:p>
    <w:p w:rsidR="00062B2E" w:rsidRDefault="00062B2E" w:rsidP="00062B2E">
      <w:pPr>
        <w:pStyle w:val="a3"/>
        <w:rPr>
          <w:kern w:val="0"/>
        </w:rPr>
      </w:pPr>
      <w:r>
        <w:rPr>
          <w:kern w:val="0"/>
        </w:rPr>
        <w:t xml:space="preserve">Abstract: The number of citations an article receives is an important indication of its </w:t>
      </w:r>
      <w:r>
        <w:rPr>
          <w:kern w:val="0"/>
        </w:rPr>
        <w:lastRenderedPageBreak/>
        <w:t>impact and contribution to the clinical world. There is a paucity of literature concerning top article citations in cardiology. The main objective of this investigation was to bridge this gap and to provide readers a practical guide in evaluating the cardiovascular literature. Scopus Library database was searched to determine the citations of all published cardiovascular articles. One hundred two journals were included in our investigation under the Institute of Science Information Web of Science subject category “cardiology, cardiovascular, and heart.” We did not apply any time or study-type restriction in our search. The top 100 cited articles were selected and analyzed by 2 independent investigators. The journal with the highest number of top 100 cited articles was Circulation with 36, followed by 28 in the European Heart Journal. A statistically significant association was found between the journal impact factor and the number of top 100 cited articles (p &lt; 0.005). United States had the highest number of articles (49). Contrary to bibliometric analyses published in other medical fields, the largest subset of the cardiology articles (n = 42) was published in the 5-year period from 2006 to 2010. General medical journals such as The Lancet (n = 4) and The New England Journal of Medicine (n = 1) contributed only 5 articles to the list despite their extremely high impact factors. In conclusion, our analysis provides an insight on the citation frequency of top cited articles published in cardiovascular medicine to help recognize the quality of the works, discoveries, and the trends steering cardiology. (C) 2015 Elsevier Inc. All rights reserved.</w:t>
      </w:r>
    </w:p>
    <w:p w:rsidR="00062B2E" w:rsidRDefault="00062B2E" w:rsidP="00062B2E">
      <w:pPr>
        <w:pStyle w:val="a3"/>
        <w:rPr>
          <w:kern w:val="0"/>
        </w:rPr>
      </w:pPr>
      <w:r>
        <w:rPr>
          <w:kern w:val="0"/>
        </w:rPr>
        <w:t>Keywords: Analyses, Analysis, Article, Articles, Association, Bibliometric, Bibliometric Analyses, Bibliometric Analysis, Bridge, Cardiology, Cardiovascular, Citation, Citation Frequency, Citation-Classics, Citations, Clinical, Contribution, Database, Disease, England, Factors, From, Impact, Impact Factor, Impact Factors, Impact-Factor, Indication, Information, Investigation, Journal, Journal Impact, Journal Impact Factor, Journal Impact Factors, Journals, Library, Literature, Medical, Medical Journals, Medicine, Quality, Quality Of, Radiology, Rights, Science, Scopus, Top 100, Top-Cited, Trends, United States, Web, Web Of Science, World</w:t>
      </w:r>
    </w:p>
    <w:p w:rsidR="000D40F7" w:rsidRPr="001A3D2B" w:rsidRDefault="000D40F7" w:rsidP="000D40F7">
      <w:pPr>
        <w:pStyle w:val="1"/>
      </w:pPr>
      <w:r w:rsidRPr="001A3D2B">
        <w:br w:type="page"/>
      </w:r>
      <w:bookmarkStart w:id="234" w:name="_Toc420814376"/>
      <w:r w:rsidRPr="001A3D2B">
        <w:lastRenderedPageBreak/>
        <w:t xml:space="preserve">Title: </w:t>
      </w:r>
      <w:r w:rsidRPr="000D40F7">
        <w:rPr>
          <w:iCs w:val="0"/>
        </w:rPr>
        <w:t>American Journal</w:t>
      </w:r>
      <w:r w:rsidR="00427468">
        <w:rPr>
          <w:iCs w:val="0"/>
        </w:rPr>
        <w:t xml:space="preserve"> of </w:t>
      </w:r>
      <w:r w:rsidRPr="000D40F7">
        <w:rPr>
          <w:iCs w:val="0"/>
        </w:rPr>
        <w:t>Cardiovascular Drugs</w:t>
      </w:r>
      <w:bookmarkEnd w:id="234"/>
    </w:p>
    <w:p w:rsidR="000D40F7" w:rsidRPr="001A3D2B" w:rsidRDefault="000D40F7" w:rsidP="000D40F7">
      <w:pPr>
        <w:pStyle w:val="12"/>
      </w:pPr>
      <w:r w:rsidRPr="001A3D2B">
        <w:t xml:space="preserve">Full Journal Title: </w:t>
      </w:r>
      <w:r w:rsidRPr="000D40F7">
        <w:rPr>
          <w:iCs/>
          <w:kern w:val="0"/>
        </w:rPr>
        <w:t>American Journal</w:t>
      </w:r>
      <w:r w:rsidR="00427468">
        <w:rPr>
          <w:iCs/>
          <w:kern w:val="0"/>
        </w:rPr>
        <w:t xml:space="preserve"> of </w:t>
      </w:r>
      <w:r w:rsidRPr="000D40F7">
        <w:rPr>
          <w:iCs/>
          <w:kern w:val="0"/>
        </w:rPr>
        <w:t>Cardiovascular Drugs</w:t>
      </w:r>
    </w:p>
    <w:p w:rsidR="000D40F7" w:rsidRPr="001A3D2B" w:rsidRDefault="000D40F7" w:rsidP="000D40F7">
      <w:pPr>
        <w:pStyle w:val="12"/>
      </w:pPr>
      <w:r w:rsidRPr="001A3D2B">
        <w:t xml:space="preserve">ISO Abbreviated Title: </w:t>
      </w:r>
    </w:p>
    <w:p w:rsidR="000D40F7" w:rsidRPr="001A3D2B" w:rsidRDefault="000D40F7" w:rsidP="000D40F7">
      <w:pPr>
        <w:pStyle w:val="12"/>
      </w:pPr>
      <w:r w:rsidRPr="001A3D2B">
        <w:t xml:space="preserve">Jcr Abbreviated Title: </w:t>
      </w:r>
    </w:p>
    <w:p w:rsidR="000D40F7" w:rsidRPr="001A3D2B" w:rsidRDefault="000D40F7" w:rsidP="000D40F7">
      <w:pPr>
        <w:pStyle w:val="12"/>
      </w:pPr>
      <w:r w:rsidRPr="001A3D2B">
        <w:t xml:space="preserve">ISSN: </w:t>
      </w:r>
    </w:p>
    <w:p w:rsidR="000D40F7" w:rsidRPr="001A3D2B" w:rsidRDefault="000D40F7" w:rsidP="000D40F7">
      <w:pPr>
        <w:pStyle w:val="12"/>
      </w:pPr>
      <w:r w:rsidRPr="001A3D2B">
        <w:t xml:space="preserve">Issues/Year: </w:t>
      </w:r>
    </w:p>
    <w:p w:rsidR="000D40F7" w:rsidRPr="001A3D2B" w:rsidRDefault="000D40F7" w:rsidP="000D40F7">
      <w:pPr>
        <w:pStyle w:val="12"/>
      </w:pPr>
      <w:r w:rsidRPr="001A3D2B">
        <w:t xml:space="preserve">Journal Country/Territory: </w:t>
      </w:r>
    </w:p>
    <w:p w:rsidR="000D40F7" w:rsidRPr="001A3D2B" w:rsidRDefault="000D40F7" w:rsidP="000D40F7">
      <w:pPr>
        <w:pStyle w:val="12"/>
      </w:pPr>
      <w:r w:rsidRPr="001A3D2B">
        <w:t xml:space="preserve">Language: </w:t>
      </w:r>
    </w:p>
    <w:p w:rsidR="000D40F7" w:rsidRPr="001A3D2B" w:rsidRDefault="000D40F7" w:rsidP="000D40F7">
      <w:pPr>
        <w:pStyle w:val="12"/>
      </w:pPr>
      <w:r w:rsidRPr="001A3D2B">
        <w:t xml:space="preserve">Publisher: </w:t>
      </w:r>
    </w:p>
    <w:p w:rsidR="000D40F7" w:rsidRPr="001A3D2B" w:rsidRDefault="000D40F7" w:rsidP="000D40F7">
      <w:pPr>
        <w:pStyle w:val="12"/>
      </w:pPr>
      <w:r w:rsidRPr="001A3D2B">
        <w:t xml:space="preserve">Publisher Address: </w:t>
      </w:r>
    </w:p>
    <w:p w:rsidR="000D40F7" w:rsidRPr="001A3D2B" w:rsidRDefault="000D40F7" w:rsidP="000D40F7">
      <w:pPr>
        <w:pStyle w:val="12"/>
      </w:pPr>
      <w:r w:rsidRPr="001A3D2B">
        <w:t>Subject Categories:</w:t>
      </w:r>
    </w:p>
    <w:p w:rsidR="000D40F7" w:rsidRPr="001A3D2B" w:rsidRDefault="000D40F7" w:rsidP="000D40F7">
      <w:pPr>
        <w:pStyle w:val="12"/>
      </w:pPr>
      <w:r w:rsidRPr="001A3D2B">
        <w:t>: Impact Factor</w:t>
      </w:r>
    </w:p>
    <w:p w:rsidR="000D40F7" w:rsidRDefault="000D40F7" w:rsidP="000D40F7">
      <w:pPr>
        <w:pStyle w:val="a3"/>
        <w:rPr>
          <w:kern w:val="0"/>
        </w:rPr>
      </w:pPr>
      <w:r>
        <w:rPr>
          <w:rFonts w:hint="eastAsia"/>
          <w:kern w:val="0"/>
        </w:rPr>
        <w:t xml:space="preserve">? </w:t>
      </w:r>
      <w:r>
        <w:rPr>
          <w:kern w:val="0"/>
        </w:rPr>
        <w:t>Hernandez, A.V., Usmani, A., Rajamanickam, A.</w:t>
      </w:r>
      <w:r w:rsidR="005853A9">
        <w:rPr>
          <w:kern w:val="0"/>
        </w:rPr>
        <w:t xml:space="preserve"> and </w:t>
      </w:r>
      <w:r>
        <w:rPr>
          <w:kern w:val="0"/>
        </w:rPr>
        <w:t>Moheet, A. (2011), Thiazolidinediones</w:t>
      </w:r>
      <w:r w:rsidR="005853A9">
        <w:rPr>
          <w:kern w:val="0"/>
        </w:rPr>
        <w:t xml:space="preserve"> and </w:t>
      </w:r>
      <w:r>
        <w:rPr>
          <w:kern w:val="0"/>
        </w:rPr>
        <w:t>risk</w:t>
      </w:r>
      <w:r w:rsidR="00427468">
        <w:rPr>
          <w:kern w:val="0"/>
        </w:rPr>
        <w:t xml:space="preserve"> of </w:t>
      </w:r>
      <w:r>
        <w:rPr>
          <w:kern w:val="0"/>
        </w:rPr>
        <w:t>heart failure in patients with or at high risk</w:t>
      </w:r>
      <w:r w:rsidR="00427468">
        <w:rPr>
          <w:kern w:val="0"/>
        </w:rPr>
        <w:t xml:space="preserve"> of </w:t>
      </w:r>
      <w:r>
        <w:rPr>
          <w:kern w:val="0"/>
        </w:rPr>
        <w:t>type 2 diabetes mellitus a meta-analysis</w:t>
      </w:r>
      <w:r w:rsidR="005853A9">
        <w:rPr>
          <w:kern w:val="0"/>
        </w:rPr>
        <w:t xml:space="preserve"> and </w:t>
      </w:r>
      <w:r>
        <w:rPr>
          <w:kern w:val="0"/>
        </w:rPr>
        <w:t>meta-regression analysis</w:t>
      </w:r>
      <w:r w:rsidR="00427468">
        <w:rPr>
          <w:kern w:val="0"/>
        </w:rPr>
        <w:t xml:space="preserve"> of </w:t>
      </w:r>
      <w:r>
        <w:rPr>
          <w:kern w:val="0"/>
        </w:rPr>
        <w:t xml:space="preserve">placebo-controlled randomized clinical trials. </w:t>
      </w:r>
      <w:r w:rsidRPr="000D40F7">
        <w:rPr>
          <w:i/>
          <w:iCs/>
          <w:kern w:val="0"/>
        </w:rPr>
        <w:t>American Journal</w:t>
      </w:r>
      <w:r w:rsidR="00427468">
        <w:rPr>
          <w:i/>
          <w:iCs/>
          <w:kern w:val="0"/>
        </w:rPr>
        <w:t xml:space="preserve"> of </w:t>
      </w:r>
      <w:r w:rsidRPr="000D40F7">
        <w:rPr>
          <w:i/>
          <w:iCs/>
          <w:kern w:val="0"/>
        </w:rPr>
        <w:t>Cardiovascular Drugs</w:t>
      </w:r>
      <w:r>
        <w:rPr>
          <w:kern w:val="0"/>
        </w:rPr>
        <w:t xml:space="preserve">, </w:t>
      </w:r>
      <w:r>
        <w:rPr>
          <w:b/>
          <w:bCs/>
          <w:kern w:val="0"/>
        </w:rPr>
        <w:t>11</w:t>
      </w:r>
      <w:r>
        <w:rPr>
          <w:kern w:val="0"/>
        </w:rPr>
        <w:t xml:space="preserve"> (2), 115-128.</w:t>
      </w:r>
    </w:p>
    <w:p w:rsidR="000D40F7" w:rsidRDefault="000D40F7" w:rsidP="000D40F7">
      <w:pPr>
        <w:pStyle w:val="a3"/>
        <w:rPr>
          <w:kern w:val="0"/>
        </w:rPr>
      </w:pPr>
      <w:r>
        <w:rPr>
          <w:rFonts w:hint="eastAsia"/>
          <w:kern w:val="0"/>
        </w:rPr>
        <w:t xml:space="preserve">Full Text: </w:t>
      </w:r>
      <w:r w:rsidR="008378EF">
        <w:rPr>
          <w:rFonts w:hint="eastAsia"/>
          <w:kern w:val="0"/>
        </w:rPr>
        <w:t>2011\</w:t>
      </w:r>
      <w:r w:rsidR="008378EF">
        <w:rPr>
          <w:iCs/>
          <w:kern w:val="0"/>
        </w:rPr>
        <w:t xml:space="preserve">Ame </w:t>
      </w:r>
      <w:r w:rsidR="008378EF">
        <w:rPr>
          <w:rFonts w:hint="eastAsia"/>
          <w:iCs/>
          <w:kern w:val="0"/>
        </w:rPr>
        <w:t>J</w:t>
      </w:r>
      <w:r w:rsidR="008378EF">
        <w:rPr>
          <w:iCs/>
          <w:kern w:val="0"/>
        </w:rPr>
        <w:t xml:space="preserve"> Car Dru</w:t>
      </w:r>
      <w:r w:rsidR="008378EF" w:rsidRPr="00196A75">
        <w:rPr>
          <w:bCs/>
          <w:kern w:val="0"/>
        </w:rPr>
        <w:t>11</w:t>
      </w:r>
      <w:r w:rsidR="008378EF">
        <w:rPr>
          <w:kern w:val="0"/>
        </w:rPr>
        <w:t>, 115</w:t>
      </w:r>
      <w:r w:rsidR="008378EF">
        <w:rPr>
          <w:rFonts w:hint="eastAsia"/>
          <w:kern w:val="0"/>
        </w:rPr>
        <w:t>.pdf</w:t>
      </w:r>
    </w:p>
    <w:p w:rsidR="000D40F7" w:rsidRDefault="000D40F7" w:rsidP="000D40F7">
      <w:pPr>
        <w:pStyle w:val="a3"/>
        <w:rPr>
          <w:kern w:val="0"/>
        </w:rPr>
      </w:pPr>
      <w:r>
        <w:rPr>
          <w:kern w:val="0"/>
        </w:rPr>
        <w:t>Abstract: Background: Recent meta-analyses</w:t>
      </w:r>
      <w:r w:rsidR="00427468">
        <w:rPr>
          <w:kern w:val="0"/>
        </w:rPr>
        <w:t xml:space="preserve"> of </w:t>
      </w:r>
      <w:r>
        <w:rPr>
          <w:kern w:val="0"/>
        </w:rPr>
        <w:t>randomized clinical trials (RCTs) demonstrated a higher risk</w:t>
      </w:r>
      <w:r w:rsidR="00427468">
        <w:rPr>
          <w:kern w:val="0"/>
        </w:rPr>
        <w:t xml:space="preserve"> of </w:t>
      </w:r>
      <w:r>
        <w:rPr>
          <w:kern w:val="0"/>
        </w:rPr>
        <w:t>heart failure (HF) with</w:t>
      </w:r>
      <w:r w:rsidR="003A1917">
        <w:rPr>
          <w:kern w:val="0"/>
        </w:rPr>
        <w:t xml:space="preserve"> the </w:t>
      </w:r>
      <w:r>
        <w:rPr>
          <w:kern w:val="0"/>
        </w:rPr>
        <w:t>use</w:t>
      </w:r>
      <w:r w:rsidR="00427468">
        <w:rPr>
          <w:kern w:val="0"/>
        </w:rPr>
        <w:t xml:space="preserve"> of </w:t>
      </w:r>
      <w:r>
        <w:rPr>
          <w:kern w:val="0"/>
        </w:rPr>
        <w:t>thiazolidinediones (TZDs). However, this effect may have been diluted by including active controls. Also, it is uncertain whether</w:t>
      </w:r>
      <w:r w:rsidR="003A1917">
        <w:rPr>
          <w:kern w:val="0"/>
        </w:rPr>
        <w:t xml:space="preserve"> the </w:t>
      </w:r>
      <w:r>
        <w:rPr>
          <w:kern w:val="0"/>
        </w:rPr>
        <w:t>risk</w:t>
      </w:r>
      <w:r w:rsidR="00427468">
        <w:rPr>
          <w:kern w:val="0"/>
        </w:rPr>
        <w:t xml:space="preserve"> of </w:t>
      </w:r>
      <w:r>
        <w:rPr>
          <w:kern w:val="0"/>
        </w:rPr>
        <w:t>HF is similar with rosiglitazone</w:t>
      </w:r>
      <w:r w:rsidR="005853A9">
        <w:rPr>
          <w:kern w:val="0"/>
        </w:rPr>
        <w:t xml:space="preserve"> and </w:t>
      </w:r>
      <w:r>
        <w:rPr>
          <w:kern w:val="0"/>
        </w:rPr>
        <w:t>pioglitazone. Objectives: This study quantified</w:t>
      </w:r>
      <w:r w:rsidR="003A1917">
        <w:rPr>
          <w:kern w:val="0"/>
        </w:rPr>
        <w:t xml:space="preserve"> the </w:t>
      </w:r>
      <w:r>
        <w:rPr>
          <w:kern w:val="0"/>
        </w:rPr>
        <w:t>risks</w:t>
      </w:r>
      <w:r w:rsidR="00427468">
        <w:rPr>
          <w:kern w:val="0"/>
        </w:rPr>
        <w:t xml:space="preserve"> of </w:t>
      </w:r>
      <w:r>
        <w:rPr>
          <w:kern w:val="0"/>
        </w:rPr>
        <w:t>HF with</w:t>
      </w:r>
      <w:r w:rsidR="003A1917">
        <w:rPr>
          <w:kern w:val="0"/>
        </w:rPr>
        <w:t xml:space="preserve"> the </w:t>
      </w:r>
      <w:r>
        <w:rPr>
          <w:kern w:val="0"/>
        </w:rPr>
        <w:t>use</w:t>
      </w:r>
      <w:r w:rsidR="00427468">
        <w:rPr>
          <w:kern w:val="0"/>
        </w:rPr>
        <w:t xml:space="preserve"> of </w:t>
      </w:r>
      <w:r>
        <w:rPr>
          <w:kern w:val="0"/>
        </w:rPr>
        <w:t>TZDs in patients with or at high risk</w:t>
      </w:r>
      <w:r w:rsidR="00427468">
        <w:rPr>
          <w:kern w:val="0"/>
        </w:rPr>
        <w:t xml:space="preserve"> of </w:t>
      </w:r>
      <w:r>
        <w:rPr>
          <w:kern w:val="0"/>
        </w:rPr>
        <w:t>developing type 2 diabetes mellitus (DM),</w:t>
      </w:r>
      <w:r w:rsidR="005853A9">
        <w:rPr>
          <w:kern w:val="0"/>
        </w:rPr>
        <w:t xml:space="preserve"> and </w:t>
      </w:r>
      <w:r>
        <w:rPr>
          <w:kern w:val="0"/>
        </w:rPr>
        <w:t>evaluated differential effects by type</w:t>
      </w:r>
      <w:r w:rsidR="00427468">
        <w:rPr>
          <w:kern w:val="0"/>
        </w:rPr>
        <w:t xml:space="preserve"> of </w:t>
      </w:r>
      <w:r>
        <w:rPr>
          <w:kern w:val="0"/>
        </w:rPr>
        <w:t>TZD. Secondarily, we evaluated risks</w:t>
      </w:r>
      <w:r w:rsidR="00427468">
        <w:rPr>
          <w:kern w:val="0"/>
        </w:rPr>
        <w:t xml:space="preserve"> of </w:t>
      </w:r>
      <w:r>
        <w:rPr>
          <w:kern w:val="0"/>
        </w:rPr>
        <w:t>peripheral edema. Methods: We performed a systematic review</w:t>
      </w:r>
      <w:r w:rsidR="005853A9">
        <w:rPr>
          <w:kern w:val="0"/>
        </w:rPr>
        <w:t xml:space="preserve"> and </w:t>
      </w:r>
      <w:r>
        <w:rPr>
          <w:kern w:val="0"/>
        </w:rPr>
        <w:t>meta-analysis</w:t>
      </w:r>
      <w:r w:rsidR="00427468">
        <w:rPr>
          <w:kern w:val="0"/>
        </w:rPr>
        <w:t xml:space="preserve"> of </w:t>
      </w:r>
      <w:r>
        <w:rPr>
          <w:kern w:val="0"/>
        </w:rPr>
        <w:t>placebo-controlled RCTs evaluating</w:t>
      </w:r>
      <w:r w:rsidR="003A1917">
        <w:rPr>
          <w:kern w:val="0"/>
        </w:rPr>
        <w:t xml:space="preserve"> the </w:t>
      </w:r>
      <w:r>
        <w:rPr>
          <w:kern w:val="0"/>
        </w:rPr>
        <w:t>effect</w:t>
      </w:r>
      <w:r w:rsidR="00427468">
        <w:rPr>
          <w:kern w:val="0"/>
        </w:rPr>
        <w:t xml:space="preserve"> of </w:t>
      </w:r>
      <w:r>
        <w:rPr>
          <w:kern w:val="0"/>
        </w:rPr>
        <w:t>rosiglitazone or pioglitazone on investigator-reported HF</w:t>
      </w:r>
      <w:r w:rsidR="005853A9">
        <w:rPr>
          <w:kern w:val="0"/>
        </w:rPr>
        <w:t xml:space="preserve"> and </w:t>
      </w:r>
      <w:r>
        <w:rPr>
          <w:kern w:val="0"/>
        </w:rPr>
        <w:t xml:space="preserve">edema. Articles published before 31 December 2009 were searched in </w:t>
      </w:r>
      <w:r w:rsidR="00D5664A">
        <w:rPr>
          <w:kern w:val="0"/>
        </w:rPr>
        <w:t>MEDLINE</w:t>
      </w:r>
      <w:r>
        <w:rPr>
          <w:kern w:val="0"/>
        </w:rPr>
        <w:t>,</w:t>
      </w:r>
      <w:r w:rsidR="003A1917">
        <w:rPr>
          <w:kern w:val="0"/>
        </w:rPr>
        <w:t xml:space="preserve"> the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Scopus,</w:t>
      </w:r>
      <w:r w:rsidR="005853A9">
        <w:rPr>
          <w:kern w:val="0"/>
        </w:rPr>
        <w:t xml:space="preserve"> and </w:t>
      </w:r>
      <w:r w:rsidR="003A1917">
        <w:rPr>
          <w:kern w:val="0"/>
        </w:rPr>
        <w:t xml:space="preserve">the </w:t>
      </w:r>
      <w:r>
        <w:rPr>
          <w:kern w:val="0"/>
        </w:rPr>
        <w:t>data were extracted by three investigators. RCTs with &gt;= 100 patients</w:t>
      </w:r>
      <w:r w:rsidR="005853A9">
        <w:rPr>
          <w:kern w:val="0"/>
        </w:rPr>
        <w:t xml:space="preserve"> and </w:t>
      </w:r>
      <w:r>
        <w:rPr>
          <w:kern w:val="0"/>
        </w:rPr>
        <w:t>&gt;= 3 months</w:t>
      </w:r>
      <w:r w:rsidR="00427468">
        <w:rPr>
          <w:kern w:val="0"/>
        </w:rPr>
        <w:t xml:space="preserve"> of </w:t>
      </w:r>
      <w:r>
        <w:rPr>
          <w:kern w:val="0"/>
        </w:rPr>
        <w:t>follow-up were included. We quantified</w:t>
      </w:r>
      <w:r w:rsidR="003A1917">
        <w:rPr>
          <w:kern w:val="0"/>
        </w:rPr>
        <w:t xml:space="preserve"> the </w:t>
      </w:r>
      <w:r>
        <w:rPr>
          <w:kern w:val="0"/>
        </w:rPr>
        <w:t>effect</w:t>
      </w:r>
      <w:r w:rsidR="00427468">
        <w:rPr>
          <w:kern w:val="0"/>
        </w:rPr>
        <w:t xml:space="preserve"> of </w:t>
      </w:r>
      <w:r>
        <w:rPr>
          <w:kern w:val="0"/>
        </w:rPr>
        <w:t>TZDs as odds ratios (ORs) by using</w:t>
      </w:r>
      <w:r w:rsidR="003A1917">
        <w:rPr>
          <w:kern w:val="0"/>
        </w:rPr>
        <w:t xml:space="preserve"> the </w:t>
      </w:r>
      <w:r>
        <w:rPr>
          <w:kern w:val="0"/>
        </w:rPr>
        <w:t>Mantel-Haenzel</w:t>
      </w:r>
      <w:r w:rsidR="005853A9">
        <w:rPr>
          <w:kern w:val="0"/>
        </w:rPr>
        <w:t xml:space="preserve"> and </w:t>
      </w:r>
      <w:r>
        <w:rPr>
          <w:kern w:val="0"/>
        </w:rPr>
        <w:t>alternative models. We further evaluated</w:t>
      </w:r>
      <w:r w:rsidR="003A1917">
        <w:rPr>
          <w:kern w:val="0"/>
        </w:rPr>
        <w:t xml:space="preserve"> the </w:t>
      </w:r>
      <w:r>
        <w:rPr>
          <w:kern w:val="0"/>
        </w:rPr>
        <w:t>risk</w:t>
      </w:r>
      <w:r w:rsidR="00427468">
        <w:rPr>
          <w:kern w:val="0"/>
        </w:rPr>
        <w:t xml:space="preserve"> of </w:t>
      </w:r>
      <w:r>
        <w:rPr>
          <w:kern w:val="0"/>
        </w:rPr>
        <w:t>serious/severe HF,</w:t>
      </w:r>
      <w:r w:rsidR="005853A9">
        <w:rPr>
          <w:kern w:val="0"/>
        </w:rPr>
        <w:t xml:space="preserve"> and </w:t>
      </w:r>
      <w:r w:rsidR="003A1917">
        <w:rPr>
          <w:kern w:val="0"/>
        </w:rPr>
        <w:t xml:space="preserve">the </w:t>
      </w:r>
      <w:r>
        <w:rPr>
          <w:kern w:val="0"/>
        </w:rPr>
        <w:t>effect</w:t>
      </w:r>
      <w:r w:rsidR="00427468">
        <w:rPr>
          <w:kern w:val="0"/>
        </w:rPr>
        <w:t xml:space="preserve"> of </w:t>
      </w:r>
      <w:r>
        <w:rPr>
          <w:kern w:val="0"/>
        </w:rPr>
        <w:t>several trial characteristics on HF risk by subgroup analysis</w:t>
      </w:r>
      <w:r w:rsidR="005853A9">
        <w:rPr>
          <w:kern w:val="0"/>
        </w:rPr>
        <w:t xml:space="preserve"> and </w:t>
      </w:r>
      <w:r>
        <w:rPr>
          <w:kern w:val="0"/>
        </w:rPr>
        <w:t>meta-regression analysis. Results: 29 trials (n = 20 254) were evaluated. TZDs were significantly associated with HF (TZD 360/6807 [5.3%] vs placebo 234/6328 [3.7%], OR 1.59; 95% CI 1.34, 1.89; p &lt;0.00001)</w:t>
      </w:r>
      <w:r w:rsidR="00A37C1D">
        <w:rPr>
          <w:kern w:val="0"/>
        </w:rPr>
        <w:t>. The</w:t>
      </w:r>
      <w:r w:rsidR="003A1917">
        <w:rPr>
          <w:kern w:val="0"/>
        </w:rPr>
        <w:t xml:space="preserve"> </w:t>
      </w:r>
      <w:r>
        <w:rPr>
          <w:kern w:val="0"/>
        </w:rPr>
        <w:t>risk</w:t>
      </w:r>
      <w:r w:rsidR="00427468">
        <w:rPr>
          <w:kern w:val="0"/>
        </w:rPr>
        <w:t xml:space="preserve"> of </w:t>
      </w:r>
      <w:r>
        <w:rPr>
          <w:kern w:val="0"/>
        </w:rPr>
        <w:t xml:space="preserve">HF was higher with rosiglitazone than with pioglitazone (2.73 [95% CI 1.46, 5.10] vs </w:t>
      </w:r>
      <w:r>
        <w:rPr>
          <w:kern w:val="0"/>
        </w:rPr>
        <w:lastRenderedPageBreak/>
        <w:t>1.51 [1.26, 1.81]; p = 0.06). TZDs were associated with a similar risk</w:t>
      </w:r>
      <w:r w:rsidR="00427468">
        <w:rPr>
          <w:kern w:val="0"/>
        </w:rPr>
        <w:t xml:space="preserve"> of </w:t>
      </w:r>
      <w:r>
        <w:rPr>
          <w:kern w:val="0"/>
        </w:rPr>
        <w:t>serious/severe HF (OR 1.47; 95% CI 1.16, 1.87; p = 0.002). Use</w:t>
      </w:r>
      <w:r w:rsidR="00427468">
        <w:rPr>
          <w:kern w:val="0"/>
        </w:rPr>
        <w:t xml:space="preserve"> of </w:t>
      </w:r>
      <w:r>
        <w:rPr>
          <w:kern w:val="0"/>
        </w:rPr>
        <w:t>TZDs was also associated with edema (OR 2.04; 95% CI 1.85, 2.26; p &lt; 0.00001). HF</w:t>
      </w:r>
      <w:r w:rsidR="005853A9">
        <w:rPr>
          <w:kern w:val="0"/>
        </w:rPr>
        <w:t xml:space="preserve"> and </w:t>
      </w:r>
      <w:r>
        <w:rPr>
          <w:kern w:val="0"/>
        </w:rPr>
        <w:t>edema risks were consistent using Peto</w:t>
      </w:r>
      <w:r w:rsidR="005853A9">
        <w:rPr>
          <w:kern w:val="0"/>
        </w:rPr>
        <w:t xml:space="preserve"> and </w:t>
      </w:r>
      <w:r>
        <w:rPr>
          <w:kern w:val="0"/>
        </w:rPr>
        <w:t>random effects models. Risks</w:t>
      </w:r>
      <w:r w:rsidR="00427468">
        <w:rPr>
          <w:kern w:val="0"/>
        </w:rPr>
        <w:t xml:space="preserve"> of </w:t>
      </w:r>
      <w:r>
        <w:rPr>
          <w:kern w:val="0"/>
        </w:rPr>
        <w:t>HF were significantly high for</w:t>
      </w:r>
      <w:r w:rsidR="003A1917">
        <w:rPr>
          <w:kern w:val="0"/>
        </w:rPr>
        <w:t xml:space="preserve"> the </w:t>
      </w:r>
      <w:r>
        <w:rPr>
          <w:kern w:val="0"/>
        </w:rPr>
        <w:t>subgroups</w:t>
      </w:r>
      <w:r w:rsidR="00427468">
        <w:rPr>
          <w:kern w:val="0"/>
        </w:rPr>
        <w:t xml:space="preserve"> of </w:t>
      </w:r>
      <w:r>
        <w:rPr>
          <w:kern w:val="0"/>
        </w:rPr>
        <w:t>trials including patients with or at high risk for type 2 DM,</w:t>
      </w:r>
      <w:r w:rsidR="005853A9">
        <w:rPr>
          <w:kern w:val="0"/>
        </w:rPr>
        <w:t xml:space="preserve"> and </w:t>
      </w:r>
      <w:r>
        <w:rPr>
          <w:kern w:val="0"/>
        </w:rPr>
        <w:t>for</w:t>
      </w:r>
      <w:r w:rsidR="003A1917">
        <w:rPr>
          <w:kern w:val="0"/>
        </w:rPr>
        <w:t xml:space="preserve"> the </w:t>
      </w:r>
      <w:r>
        <w:rPr>
          <w:kern w:val="0"/>
        </w:rPr>
        <w:t>subgroup</w:t>
      </w:r>
      <w:r w:rsidR="00427468">
        <w:rPr>
          <w:kern w:val="0"/>
        </w:rPr>
        <w:t xml:space="preserve"> of </w:t>
      </w:r>
      <w:r>
        <w:rPr>
          <w:kern w:val="0"/>
        </w:rPr>
        <w:t>trials with &gt;= 12 months</w:t>
      </w:r>
      <w:r w:rsidR="00427468">
        <w:rPr>
          <w:kern w:val="0"/>
        </w:rPr>
        <w:t xml:space="preserve"> of </w:t>
      </w:r>
      <w:r>
        <w:rPr>
          <w:kern w:val="0"/>
        </w:rPr>
        <w:t>follow-up. Meta-regression analysis showed that trials with lower overall baseline risk had higher HF risks. Conclusion: In placebo-controlled trials</w:t>
      </w:r>
      <w:r w:rsidR="00427468">
        <w:rPr>
          <w:kern w:val="0"/>
        </w:rPr>
        <w:t xml:space="preserve"> of </w:t>
      </w:r>
      <w:r>
        <w:rPr>
          <w:kern w:val="0"/>
        </w:rPr>
        <w:t>adult patients with or at high risk for type 2 DM, TZD therapy is significantly</w:t>
      </w:r>
      <w:r w:rsidR="005853A9">
        <w:rPr>
          <w:kern w:val="0"/>
        </w:rPr>
        <w:t xml:space="preserve"> and </w:t>
      </w:r>
      <w:r>
        <w:rPr>
          <w:kern w:val="0"/>
        </w:rPr>
        <w:t>consistently associated with a higher risk</w:t>
      </w:r>
      <w:r w:rsidR="00427468">
        <w:rPr>
          <w:kern w:val="0"/>
        </w:rPr>
        <w:t xml:space="preserve"> of </w:t>
      </w:r>
      <w:r>
        <w:rPr>
          <w:kern w:val="0"/>
        </w:rPr>
        <w:t>HF</w:t>
      </w:r>
      <w:r w:rsidR="00A37C1D">
        <w:rPr>
          <w:kern w:val="0"/>
        </w:rPr>
        <w:t>. The</w:t>
      </w:r>
      <w:r w:rsidR="003A1917">
        <w:rPr>
          <w:kern w:val="0"/>
        </w:rPr>
        <w:t xml:space="preserve"> </w:t>
      </w:r>
      <w:r>
        <w:rPr>
          <w:kern w:val="0"/>
        </w:rPr>
        <w:t>risk</w:t>
      </w:r>
      <w:r w:rsidR="00427468">
        <w:rPr>
          <w:kern w:val="0"/>
        </w:rPr>
        <w:t xml:space="preserve"> of </w:t>
      </w:r>
      <w:r>
        <w:rPr>
          <w:kern w:val="0"/>
        </w:rPr>
        <w:t>serious/severe HF is also increased with</w:t>
      </w:r>
      <w:r w:rsidR="003A1917">
        <w:rPr>
          <w:kern w:val="0"/>
        </w:rPr>
        <w:t xml:space="preserve"> the </w:t>
      </w:r>
      <w:r>
        <w:rPr>
          <w:kern w:val="0"/>
        </w:rPr>
        <w:t>use</w:t>
      </w:r>
      <w:r w:rsidR="00427468">
        <w:rPr>
          <w:kern w:val="0"/>
        </w:rPr>
        <w:t xml:space="preserve"> of </w:t>
      </w:r>
      <w:r>
        <w:rPr>
          <w:kern w:val="0"/>
        </w:rPr>
        <w:t>TZDs. HF risks are similar to those</w:t>
      </w:r>
      <w:r w:rsidR="00427468">
        <w:rPr>
          <w:kern w:val="0"/>
        </w:rPr>
        <w:t xml:space="preserve"> of </w:t>
      </w:r>
      <w:r>
        <w:rPr>
          <w:kern w:val="0"/>
        </w:rPr>
        <w:t>meta-analyses combining active-</w:t>
      </w:r>
      <w:r w:rsidR="005853A9">
        <w:rPr>
          <w:kern w:val="0"/>
        </w:rPr>
        <w:t xml:space="preserve"> and </w:t>
      </w:r>
      <w:r>
        <w:rPr>
          <w:kern w:val="0"/>
        </w:rPr>
        <w:t>placebo-controlled trials</w:t>
      </w:r>
      <w:r w:rsidR="00A37C1D">
        <w:rPr>
          <w:kern w:val="0"/>
        </w:rPr>
        <w:t>. The</w:t>
      </w:r>
      <w:r w:rsidR="003A1917">
        <w:rPr>
          <w:kern w:val="0"/>
        </w:rPr>
        <w:t xml:space="preserve"> </w:t>
      </w:r>
      <w:r>
        <w:rPr>
          <w:kern w:val="0"/>
        </w:rPr>
        <w:t>benefit/risk profile</w:t>
      </w:r>
      <w:r w:rsidR="00427468">
        <w:rPr>
          <w:kern w:val="0"/>
        </w:rPr>
        <w:t xml:space="preserve"> of </w:t>
      </w:r>
      <w:r>
        <w:rPr>
          <w:kern w:val="0"/>
        </w:rPr>
        <w:t>TZDs should be considered when treating diabetic patients with or without prior HF.</w:t>
      </w:r>
    </w:p>
    <w:p w:rsidR="000D40F7" w:rsidRDefault="000D40F7" w:rsidP="000D40F7">
      <w:pPr>
        <w:pStyle w:val="a3"/>
        <w:rPr>
          <w:kern w:val="0"/>
        </w:rPr>
      </w:pPr>
      <w:r>
        <w:rPr>
          <w:kern w:val="0"/>
        </w:rPr>
        <w:t>Keywords: Adult, Analysis, Articles, Cardiovascular Events, Clinical Trials, Combination Therapy, Diabetes, Diabetes Mellitus, Double-Blind, Follow</w:t>
      </w:r>
      <w:r w:rsidR="0062028A">
        <w:rPr>
          <w:kern w:val="0"/>
        </w:rPr>
        <w:t>-up,</w:t>
      </w:r>
      <w:r>
        <w:rPr>
          <w:kern w:val="0"/>
        </w:rPr>
        <w:t xml:space="preserve"> Improves Glycemic Control, Insulin Therapy, </w:t>
      </w:r>
      <w:r w:rsidR="00D5664A">
        <w:rPr>
          <w:kern w:val="0"/>
        </w:rPr>
        <w:t>MEDLINE</w:t>
      </w:r>
      <w:r>
        <w:rPr>
          <w:kern w:val="0"/>
        </w:rPr>
        <w:t xml:space="preserve">, Meta-Analysis, Methods, Myocardial-Infarction, Parallel-Group, Pioglitazone Hydrochloride, Profile, Randomized Clinical Trials, Review, Risk, Rosiglitazone, Science, Scopus, Sulfonylurea Monotherapy, Systematic, Systematic Review, Therapy, Type 2, Type 2 Diabetes, Type 2 Diabetes Mellitus, </w:t>
      </w:r>
      <w:r w:rsidR="00D5664A">
        <w:rPr>
          <w:kern w:val="0"/>
        </w:rPr>
        <w:t>Web</w:t>
      </w:r>
      <w:r w:rsidR="00427468">
        <w:rPr>
          <w:kern w:val="0"/>
        </w:rPr>
        <w:t xml:space="preserve"> of </w:t>
      </w:r>
      <w:r w:rsidR="00D5664A">
        <w:rPr>
          <w:kern w:val="0"/>
        </w:rPr>
        <w:t>Science</w:t>
      </w:r>
    </w:p>
    <w:p w:rsidR="00923C4A" w:rsidRPr="001A3D2B" w:rsidRDefault="00923C4A" w:rsidP="00923C4A">
      <w:pPr>
        <w:pStyle w:val="1"/>
      </w:pPr>
      <w:r w:rsidRPr="001A3D2B">
        <w:br w:type="page"/>
      </w:r>
      <w:bookmarkStart w:id="235" w:name="_Toc420814377"/>
      <w:r w:rsidRPr="001A3D2B">
        <w:lastRenderedPageBreak/>
        <w:t xml:space="preserve">Title: </w:t>
      </w:r>
      <w:r w:rsidRPr="00923C4A">
        <w:rPr>
          <w:iCs w:val="0"/>
        </w:rPr>
        <w:t>American Journal of Clinical Dermatology</w:t>
      </w:r>
      <w:bookmarkEnd w:id="235"/>
    </w:p>
    <w:p w:rsidR="00923C4A" w:rsidRPr="001A3D2B" w:rsidRDefault="00923C4A" w:rsidP="00923C4A">
      <w:pPr>
        <w:pStyle w:val="12"/>
      </w:pPr>
      <w:r w:rsidRPr="001A3D2B">
        <w:t xml:space="preserve">Full Journal Title: </w:t>
      </w:r>
      <w:r w:rsidRPr="00923C4A">
        <w:rPr>
          <w:iCs/>
          <w:kern w:val="0"/>
        </w:rPr>
        <w:t>American Journal of Clinical Dermatology</w:t>
      </w:r>
    </w:p>
    <w:p w:rsidR="00923C4A" w:rsidRPr="001A3D2B" w:rsidRDefault="00923C4A" w:rsidP="00923C4A">
      <w:pPr>
        <w:pStyle w:val="12"/>
      </w:pPr>
      <w:r w:rsidRPr="001A3D2B">
        <w:t xml:space="preserve">ISO Abbreviated Title: </w:t>
      </w:r>
    </w:p>
    <w:p w:rsidR="00923C4A" w:rsidRPr="001A3D2B" w:rsidRDefault="00923C4A" w:rsidP="00923C4A">
      <w:pPr>
        <w:pStyle w:val="12"/>
      </w:pPr>
      <w:r w:rsidRPr="001A3D2B">
        <w:t xml:space="preserve">Jcr Abbreviated Title: </w:t>
      </w:r>
    </w:p>
    <w:p w:rsidR="00923C4A" w:rsidRPr="001A3D2B" w:rsidRDefault="00923C4A" w:rsidP="00923C4A">
      <w:pPr>
        <w:pStyle w:val="12"/>
      </w:pPr>
      <w:r w:rsidRPr="001A3D2B">
        <w:t xml:space="preserve">ISSN: </w:t>
      </w:r>
    </w:p>
    <w:p w:rsidR="00923C4A" w:rsidRPr="001A3D2B" w:rsidRDefault="00923C4A" w:rsidP="00923C4A">
      <w:pPr>
        <w:pStyle w:val="12"/>
      </w:pPr>
      <w:r w:rsidRPr="001A3D2B">
        <w:t xml:space="preserve">Issues/Year: </w:t>
      </w:r>
    </w:p>
    <w:p w:rsidR="00923C4A" w:rsidRPr="001A3D2B" w:rsidRDefault="00923C4A" w:rsidP="00923C4A">
      <w:pPr>
        <w:pStyle w:val="12"/>
      </w:pPr>
      <w:r w:rsidRPr="001A3D2B">
        <w:t xml:space="preserve">Journal Country/Territory: </w:t>
      </w:r>
    </w:p>
    <w:p w:rsidR="00923C4A" w:rsidRPr="001A3D2B" w:rsidRDefault="00923C4A" w:rsidP="00923C4A">
      <w:pPr>
        <w:pStyle w:val="12"/>
      </w:pPr>
      <w:r w:rsidRPr="001A3D2B">
        <w:t xml:space="preserve">Language: </w:t>
      </w:r>
    </w:p>
    <w:p w:rsidR="00923C4A" w:rsidRPr="001A3D2B" w:rsidRDefault="00923C4A" w:rsidP="00923C4A">
      <w:pPr>
        <w:pStyle w:val="12"/>
      </w:pPr>
      <w:r w:rsidRPr="001A3D2B">
        <w:t xml:space="preserve">Publisher: </w:t>
      </w:r>
    </w:p>
    <w:p w:rsidR="00923C4A" w:rsidRPr="001A3D2B" w:rsidRDefault="00923C4A" w:rsidP="00923C4A">
      <w:pPr>
        <w:pStyle w:val="12"/>
      </w:pPr>
      <w:r w:rsidRPr="001A3D2B">
        <w:t xml:space="preserve">Publisher Address: </w:t>
      </w:r>
    </w:p>
    <w:p w:rsidR="00923C4A" w:rsidRPr="001A3D2B" w:rsidRDefault="00923C4A" w:rsidP="00923C4A">
      <w:pPr>
        <w:pStyle w:val="12"/>
      </w:pPr>
      <w:r w:rsidRPr="001A3D2B">
        <w:t>Subject Categories:</w:t>
      </w:r>
    </w:p>
    <w:p w:rsidR="00923C4A" w:rsidRPr="001A3D2B" w:rsidRDefault="00923C4A" w:rsidP="00923C4A">
      <w:pPr>
        <w:pStyle w:val="12"/>
      </w:pPr>
      <w:r w:rsidRPr="001A3D2B">
        <w:t>: Impact Factor</w:t>
      </w:r>
    </w:p>
    <w:p w:rsidR="00923C4A" w:rsidRDefault="00923C4A" w:rsidP="00923C4A">
      <w:pPr>
        <w:pStyle w:val="a3"/>
        <w:rPr>
          <w:kern w:val="0"/>
        </w:rPr>
      </w:pPr>
      <w:r>
        <w:rPr>
          <w:rFonts w:hint="eastAsia"/>
          <w:kern w:val="0"/>
        </w:rPr>
        <w:t xml:space="preserve">? </w:t>
      </w:r>
      <w:r>
        <w:rPr>
          <w:kern w:val="0"/>
        </w:rPr>
        <w:t xml:space="preserve">Braun, L.R., Fisk, W.A., Lev-Tov, H., Kirsner, R.S. and Isseroff, R.R. (2014), Diabetic foot ulcer: An evidence-based treatment update. </w:t>
      </w:r>
      <w:r w:rsidRPr="00923C4A">
        <w:rPr>
          <w:i/>
          <w:iCs/>
          <w:kern w:val="0"/>
        </w:rPr>
        <w:t>American Journal of Clinical Dermatology</w:t>
      </w:r>
      <w:r>
        <w:rPr>
          <w:kern w:val="0"/>
        </w:rPr>
        <w:t xml:space="preserve">, </w:t>
      </w:r>
      <w:r>
        <w:rPr>
          <w:b/>
          <w:bCs/>
          <w:kern w:val="0"/>
        </w:rPr>
        <w:t>15</w:t>
      </w:r>
      <w:r>
        <w:rPr>
          <w:kern w:val="0"/>
        </w:rPr>
        <w:t xml:space="preserve"> (3), 267-281.</w:t>
      </w:r>
    </w:p>
    <w:p w:rsidR="00923C4A" w:rsidRDefault="00923C4A" w:rsidP="00923C4A">
      <w:pPr>
        <w:pStyle w:val="a3"/>
        <w:rPr>
          <w:kern w:val="0"/>
        </w:rPr>
      </w:pPr>
      <w:r>
        <w:rPr>
          <w:rFonts w:hint="eastAsia"/>
          <w:kern w:val="0"/>
        </w:rPr>
        <w:t xml:space="preserve">Full Text: </w:t>
      </w:r>
      <w:hyperlink r:id="rId428" w:history="1">
        <w:r w:rsidRPr="00923C4A">
          <w:rPr>
            <w:rStyle w:val="a5"/>
            <w:kern w:val="0"/>
          </w:rPr>
          <w:t>2014\Ame J Car Der15, 267.pdf</w:t>
        </w:r>
      </w:hyperlink>
    </w:p>
    <w:p w:rsidR="00923C4A" w:rsidRDefault="00923C4A" w:rsidP="00923C4A">
      <w:pPr>
        <w:pStyle w:val="a3"/>
        <w:rPr>
          <w:kern w:val="0"/>
        </w:rPr>
      </w:pPr>
      <w:r>
        <w:rPr>
          <w:kern w:val="0"/>
        </w:rPr>
        <w:t xml:space="preserve">Abstract: Background Diabetic foot ulcers (DFUs) are extremely debilitating and difficult to treat. Multidisciplinary management, patient education, glucose control, debridement, offloading, infection control, and adequate perfusion are the mainstays of standard care endorsed by most practice guidelines. Adjunctive therapies represent new treatment modalities endorsed in recent years, though many lack significant high-powered studies to support their use as standard of care. Objective This update intends to identify recent, exclusively high level, evidence-based evaluations of DFU therapies. Furthermore, it suggests a direction for future research. Methods PubMed, Embase, Ovid Technologies, CI-NAHL, Cochrane, and Web of Science databases were systematically searched for recent systematic reviews published after 2004, and randomized controlled trials published in 2012-2013 that evaluated treatment modalities for DFUs. These papers are reviewed and the quality of available evidence is discussed. Results A total of 34 studies met inclusion criteria. Studied therapies include debridement, off-loading, negative pressure therapy, dressings, topical therapies, hyperbaric oxygen therapy, growth factors, bioengineered skin substitutes, electrophysical therapy, and alternative therapy. Good-quality evidence is lacking to justify the use of many of these therapies, with the exception of standard care (offloading, debridement) and possibly negative pressure wound therapy. Limitations There is an overall lack of high-level evidence in new adjunctive management of DFU. Comparison of different treatment modalities is difficult, since existing studies are not standardized. Conclusions Many therapeutic modalities are </w:t>
      </w:r>
      <w:r>
        <w:rPr>
          <w:kern w:val="0"/>
        </w:rPr>
        <w:lastRenderedPageBreak/>
        <w:t>available to treat DFU. Quality high-level evidence exists for standard care such as off-loading. Evidence for adjunctive therapies such as negative pressure wound therapy, skin substitutes, and platelet-derived growth factor can help guide adjunctive care but limitations exist in terms of evidence quality.</w:t>
      </w:r>
    </w:p>
    <w:p w:rsidR="00923C4A" w:rsidRDefault="00923C4A" w:rsidP="00923C4A">
      <w:pPr>
        <w:pStyle w:val="a3"/>
        <w:rPr>
          <w:kern w:val="0"/>
        </w:rPr>
      </w:pPr>
      <w:r>
        <w:rPr>
          <w:kern w:val="0"/>
        </w:rPr>
        <w:t>Keywords: Alternative, Alternative Therapy, Care, Comparison, Control, Criteria, Databases, Debridement, Diabetic Foot, Education, Evidence, Evidence Based, Evidence-Based, Foot, Glucose, Glucose Control, Growth, Growth Factor, Growth Factors, Guidelines, Hyperbaric Oxygen, Hyperbaric-Oxygen Therapy, Infection, Infection Control, International-Consensus, Lower-Extremity Ulcers, Management, Metaanalysis, Methods, Modalities, Multidisciplinary, Negative, Off-Loading Devices, Oxygen, Papers, Patient Education, Practice, Practice Guidelines, Pressure, Pressure Wound Therapy, Prevention, Pubmed, Quality, Quality Of, Randomized, Randomized Controlled Trials, Randomized Controlled-Trials, Recent, Research, Results, Reviews, Risk-Factors, Science, Skin, Standard, Standard Of Care, Support, Systematic, Systematic Reviews, Therapeutic, Therapy, Topical, Treatment, Web, Web Of Science, Web Of Science Databases, Wound</w:t>
      </w:r>
    </w:p>
    <w:p w:rsidR="00D94F10" w:rsidRDefault="00D94F10" w:rsidP="00D94F10">
      <w:pPr>
        <w:pStyle w:val="a3"/>
        <w:rPr>
          <w:kern w:val="0"/>
        </w:rPr>
      </w:pPr>
      <w:r>
        <w:rPr>
          <w:rFonts w:hint="eastAsia"/>
          <w:kern w:val="0"/>
        </w:rPr>
        <w:t xml:space="preserve">? </w:t>
      </w:r>
      <w:r>
        <w:rPr>
          <w:kern w:val="0"/>
        </w:rPr>
        <w:t xml:space="preserve">Olazagasti, J.M., Baez, P.J., Wetter, D.A. and Ernste, F.C. (2015), Cancer risk in dermatomyositis: A meta-analysis of cohort studies. </w:t>
      </w:r>
      <w:r>
        <w:rPr>
          <w:i/>
          <w:iCs/>
          <w:kern w:val="0"/>
        </w:rPr>
        <w:t>American Journal of Clinical Dermatology</w:t>
      </w:r>
      <w:r>
        <w:rPr>
          <w:kern w:val="0"/>
        </w:rPr>
        <w:t xml:space="preserve">, </w:t>
      </w:r>
      <w:r>
        <w:rPr>
          <w:b/>
          <w:bCs/>
          <w:kern w:val="0"/>
        </w:rPr>
        <w:t>16</w:t>
      </w:r>
      <w:r>
        <w:rPr>
          <w:kern w:val="0"/>
        </w:rPr>
        <w:t xml:space="preserve"> (2), 89-98.</w:t>
      </w:r>
    </w:p>
    <w:p w:rsidR="00D94F10" w:rsidRDefault="00D94F10" w:rsidP="00D94F10">
      <w:pPr>
        <w:pStyle w:val="a3"/>
        <w:rPr>
          <w:kern w:val="0"/>
        </w:rPr>
      </w:pPr>
      <w:r>
        <w:rPr>
          <w:rFonts w:hint="eastAsia"/>
          <w:kern w:val="0"/>
        </w:rPr>
        <w:t xml:space="preserve">Full Text: </w:t>
      </w:r>
      <w:hyperlink r:id="rId429" w:history="1">
        <w:r w:rsidRPr="00B3050F">
          <w:rPr>
            <w:rStyle w:val="a5"/>
            <w:kern w:val="0"/>
          </w:rPr>
          <w:t>2015\Ame J Car Der16, 89.pdf</w:t>
        </w:r>
      </w:hyperlink>
    </w:p>
    <w:p w:rsidR="00D94F10" w:rsidRDefault="00D94F10" w:rsidP="00D94F10">
      <w:pPr>
        <w:pStyle w:val="a3"/>
        <w:rPr>
          <w:kern w:val="0"/>
        </w:rPr>
      </w:pPr>
      <w:r>
        <w:rPr>
          <w:kern w:val="0"/>
        </w:rPr>
        <w:t xml:space="preserve">Abstract: Background An association between dermatomyositis (DM) and cancer has been reported since 1916; however, estimates of the associated risk vary widely. For cost-effectiveness reasons it might be important to elucidate the degree of overall cancer risk in DM. Objective The aim of this systematic review was to investigate the association of cancer in DM by performing a meta-analysis of cohort studies. Data Sources A systematic literature search of PubMed, Ovid MEDLINE, EMBASE, Web of Science, Scopus, and the Cochrane Collaboration was conducted without language restriction, to 1 May 2014. Study Selection Inclusion criteria included cohort studies assessing overall cancer risk in DM. Two reviewers independently performed the study selection. Inter-rater reliability for inclusion decisions was quantified using Cohen’s kappa statistic. Disagreements were resolved by discussion. Data Extraction and Synthesis Desired variables were extracted from eligible studies independently by two investigators and disagreements were resolved by discussion. Quality of the selected studies was assessed using a modification of a recently employed system designed with reference to Meta-analysis Of Observational Studies in Epidemiology (MOOSE), Quality Assessment Tool for Systematic Reviews of Observational Studies (QATSO), and Strengthening the Reporting of Observational Studies in Epidemiology (STROBE). Summary estimates were derived using a random-effects model. Main Outcome(s) and Measure(s) Main outcome was the </w:t>
      </w:r>
      <w:r>
        <w:rPr>
          <w:kern w:val="0"/>
        </w:rPr>
        <w:lastRenderedPageBreak/>
        <w:t>calculated relative risk of developing cancer after diagnosis of DM compared with the general population, estimated as the age- and sex-adjusted standardized incidence ratio (SIR). We hypothesized a priori that the relative risk would be higher in patients diagnosed with DM. Results A total of 1,272 articles were initially identified but only ten studies met the inclusion criteria. Selected studies included seven population-based and three hospital-based DM cohorts that ranged from 49 to 1,012 patients and had mean follow-up times from 3.7 to 10.4 years. The pooled SIR for the incidence of overall cancer in DM patients was 4.79 (95 % confidence interval 3.71-5.87) with significant heterogeneity (I-2 = 85.8 %). However, the heterogeneity had no substantial influence on the pooled SIR for overall cancer in DM according to the sensitivity analysis. Conclusions Compared with the general population, DM patients are at a significantly increased risk for developing cancer. Understanding the magnitude of this risk is highly relevant toward assisting healthcare providers in clinical decision making, such as screening DM patients for cancer.</w:t>
      </w:r>
    </w:p>
    <w:p w:rsidR="00D94F10" w:rsidRDefault="00D94F10" w:rsidP="00D94F10">
      <w:pPr>
        <w:pStyle w:val="a3"/>
        <w:rPr>
          <w:kern w:val="0"/>
        </w:rPr>
      </w:pPr>
      <w:r>
        <w:rPr>
          <w:kern w:val="0"/>
        </w:rPr>
        <w:t>Keywords: Age, Analysis, Anti-P155 Autoantibody, Articles, Assessing, Assessment, Association, Cancer, Cancer Risk, Clinical, Cochrane Collaboration, Cohort, Collaboration, Confidence, Cost Effectiveness, Cost-Effectiveness, Criteria, Data, Decision, Decision Making, Decision-Making, Developing, Diagnosis, Embase, Epidemiology, Estimates, Extraction, Follow-Up, From, General, General Population, Heterogeneity, Idiopathic Inflammatory Myopathy, Incidence, Influence, Interval, Korean Patients, Language, Literature, Literature Search, Magnitude, Malignancy, Medline, Meta Analysis, Meta-Analysis, Metaanalysis, Model, Modification, Myositis, Nationwide Cohort, Observational Studies, Outcome, Patients, Polymyositis-Dermatomyositis, Population, Population Based, Population-Based, Population-Based Cohort, Providers, Pubmed, Quality, Random Effects Model, Reference, Relative Risk, Reliability, Results, Review, Reviewers, Risk, Science, Scopus, Screening, Selection, Sensitivity, Sensitivity Analysis, Synthesis, Systematic, Systematic Literature Search, Systematic Review, Systematic Reviews, Taiwan, Web, Web Of Science</w:t>
      </w:r>
    </w:p>
    <w:p w:rsidR="003474F2" w:rsidRPr="001A3D2B" w:rsidRDefault="003474F2" w:rsidP="003474F2">
      <w:pPr>
        <w:pStyle w:val="1"/>
      </w:pPr>
      <w:r w:rsidRPr="001A3D2B">
        <w:br w:type="page"/>
      </w:r>
      <w:bookmarkStart w:id="236" w:name="_Toc489709583"/>
      <w:bookmarkStart w:id="237" w:name="_Toc490687600"/>
      <w:bookmarkStart w:id="238" w:name="_Toc492777843"/>
      <w:bookmarkStart w:id="239" w:name="_Toc44836085"/>
      <w:bookmarkStart w:id="240" w:name="_Toc81215587"/>
      <w:bookmarkStart w:id="241" w:name="_Toc420814378"/>
      <w:r w:rsidRPr="001A3D2B">
        <w:lastRenderedPageBreak/>
        <w:t xml:space="preserve">Title: </w:t>
      </w:r>
      <w:bookmarkEnd w:id="236"/>
      <w:r w:rsidRPr="001A3D2B">
        <w:t>American Journal</w:t>
      </w:r>
      <w:r w:rsidR="00427468">
        <w:t xml:space="preserve"> of </w:t>
      </w:r>
      <w:r w:rsidRPr="001A3D2B">
        <w:t>Clinical Nutrition</w:t>
      </w:r>
      <w:bookmarkEnd w:id="237"/>
      <w:bookmarkEnd w:id="238"/>
      <w:bookmarkEnd w:id="239"/>
      <w:bookmarkEnd w:id="240"/>
      <w:bookmarkEnd w:id="241"/>
    </w:p>
    <w:p w:rsidR="003474F2" w:rsidRPr="001A3D2B" w:rsidRDefault="003474F2" w:rsidP="003474F2">
      <w:pPr>
        <w:pStyle w:val="12"/>
      </w:pPr>
      <w:r w:rsidRPr="001A3D2B">
        <w:t xml:space="preserve">Full Journal Title: </w:t>
      </w:r>
      <w:hyperlink r:id="rId430" w:history="1">
        <w:r w:rsidRPr="001A3D2B">
          <w:rPr>
            <w:rStyle w:val="a5"/>
          </w:rPr>
          <w:t>American Journal</w:t>
        </w:r>
        <w:r w:rsidR="00427468">
          <w:rPr>
            <w:rStyle w:val="a5"/>
          </w:rPr>
          <w:t xml:space="preserve"> of </w:t>
        </w:r>
        <w:r w:rsidRPr="001A3D2B">
          <w:rPr>
            <w:rStyle w:val="a5"/>
          </w:rPr>
          <w:t>Clinical Nutrition</w:t>
        </w:r>
      </w:hyperlink>
    </w:p>
    <w:p w:rsidR="003474F2" w:rsidRPr="001A3D2B" w:rsidRDefault="003474F2" w:rsidP="003474F2">
      <w:pPr>
        <w:pStyle w:val="12"/>
      </w:pPr>
      <w:r w:rsidRPr="001A3D2B">
        <w:t>ISO Abbreviated Title: Am. J. Clin. Nutr.</w:t>
      </w:r>
    </w:p>
    <w:p w:rsidR="003474F2" w:rsidRPr="001A3D2B" w:rsidRDefault="003474F2" w:rsidP="003474F2">
      <w:pPr>
        <w:pStyle w:val="12"/>
      </w:pPr>
      <w:r w:rsidRPr="001A3D2B">
        <w:t xml:space="preserve">JCR Abbreviated Title: Am </w:t>
      </w:r>
      <w:smartTag w:uri="urn:schemas-microsoft-com:office:smarttags" w:element="PersonName">
        <w:smartTagPr>
          <w:attr w:name="ProductID" w:val="J Clin"/>
        </w:smartTagPr>
        <w:r w:rsidRPr="001A3D2B">
          <w:t>J Clin</w:t>
        </w:r>
      </w:smartTag>
      <w:r w:rsidRPr="001A3D2B">
        <w:t xml:space="preserve"> Nutr</w:t>
      </w:r>
    </w:p>
    <w:p w:rsidR="003474F2" w:rsidRPr="001A3D2B" w:rsidRDefault="003474F2" w:rsidP="003474F2">
      <w:pPr>
        <w:pStyle w:val="12"/>
      </w:pPr>
      <w:r w:rsidRPr="001A3D2B">
        <w:t>ISSN: 0002-9165</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Soc Clinical Nutrition</w:t>
      </w:r>
    </w:p>
    <w:p w:rsidR="003474F2" w:rsidRPr="001A3D2B" w:rsidRDefault="003474F2" w:rsidP="003474F2">
      <w:pPr>
        <w:pStyle w:val="12"/>
      </w:pPr>
      <w:r w:rsidRPr="001A3D2B">
        <w:t xml:space="preserve">Publisher Address: 9650 Rockville Pike, Subscriptions, RM L-3300, </w:t>
      </w:r>
      <w:smartTag w:uri="urn:schemas-microsoft-com:office:smarttags" w:element="place">
        <w:smartTag w:uri="urn:schemas-microsoft-com:office:smarttags" w:element="City">
          <w:r w:rsidRPr="001A3D2B">
            <w:t>Bethesda</w:t>
          </w:r>
        </w:smartTag>
        <w:r w:rsidRPr="001A3D2B">
          <w:t xml:space="preserve">, </w:t>
        </w:r>
        <w:smartTag w:uri="urn:schemas-microsoft-com:office:smarttags" w:element="State">
          <w:r w:rsidRPr="001A3D2B">
            <w:t>MD</w:t>
          </w:r>
        </w:smartTag>
        <w:r w:rsidRPr="001A3D2B">
          <w:t xml:space="preserve"> </w:t>
        </w:r>
        <w:smartTag w:uri="urn:schemas-microsoft-com:office:smarttags" w:element="PostalCode">
          <w:r w:rsidRPr="001A3D2B">
            <w:t>20814-3998</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Nutrition &amp; Dietetics: Impact Factor 5.601, / (2002)</w:t>
      </w:r>
    </w:p>
    <w:p w:rsidR="003474F2" w:rsidRPr="001A3D2B" w:rsidRDefault="003474F2" w:rsidP="003474F2">
      <w:pPr>
        <w:pStyle w:val="a3"/>
      </w:pPr>
      <w:r w:rsidRPr="001A3D2B">
        <w:t>Notes: TTopic</w:t>
      </w:r>
    </w:p>
    <w:p w:rsidR="003474F2" w:rsidRPr="001A3D2B" w:rsidRDefault="003474F2" w:rsidP="003474F2">
      <w:pPr>
        <w:pStyle w:val="a3"/>
      </w:pPr>
      <w:r w:rsidRPr="001A3D2B">
        <w:t>Sabaté, J., Duk, A.</w:t>
      </w:r>
      <w:r w:rsidR="005853A9">
        <w:t xml:space="preserve"> and </w:t>
      </w:r>
      <w:r w:rsidRPr="001A3D2B">
        <w:t>Lee, C.L. (1999), Publication trends</w:t>
      </w:r>
      <w:r w:rsidR="00427468">
        <w:t xml:space="preserve"> of </w:t>
      </w:r>
      <w:r w:rsidRPr="001A3D2B">
        <w:t xml:space="preserve">vegetarian nutrition articles in biomedical literature, 1966–1995. </w:t>
      </w:r>
      <w:r w:rsidRPr="001A3D2B">
        <w:rPr>
          <w:i/>
        </w:rPr>
        <w:t>American Journal</w:t>
      </w:r>
      <w:r w:rsidR="00427468">
        <w:rPr>
          <w:i/>
        </w:rPr>
        <w:t xml:space="preserve"> of </w:t>
      </w:r>
      <w:r w:rsidRPr="001A3D2B">
        <w:rPr>
          <w:i/>
        </w:rPr>
        <w:t>Clinical Nutrition</w:t>
      </w:r>
      <w:r w:rsidRPr="001A3D2B">
        <w:t xml:space="preserve">, </w:t>
      </w:r>
      <w:r w:rsidRPr="001A3D2B">
        <w:rPr>
          <w:b/>
        </w:rPr>
        <w:t>70</w:t>
      </w:r>
      <w:r w:rsidRPr="001A3D2B">
        <w:rPr>
          <w:bCs/>
        </w:rPr>
        <w:t xml:space="preserve"> (3)</w:t>
      </w:r>
      <w:r w:rsidRPr="001A3D2B">
        <w:t>, 601S-607S.</w:t>
      </w:r>
    </w:p>
    <w:p w:rsidR="003474F2" w:rsidRPr="001A3D2B" w:rsidRDefault="003474F2" w:rsidP="003474F2">
      <w:pPr>
        <w:pStyle w:val="a3"/>
      </w:pPr>
      <w:r w:rsidRPr="001A3D2B">
        <w:t xml:space="preserve">Full Text: </w:t>
      </w:r>
      <w:hyperlink r:id="rId431" w:history="1">
        <w:r w:rsidRPr="001A3D2B">
          <w:rPr>
            <w:rStyle w:val="a5"/>
          </w:rPr>
          <w:t>1999\Ame J Cli Nut70, 601S.pdf</w:t>
        </w:r>
      </w:hyperlink>
    </w:p>
    <w:p w:rsidR="003474F2" w:rsidRPr="001A3D2B" w:rsidRDefault="003474F2" w:rsidP="003474F2">
      <w:pPr>
        <w:pStyle w:val="a3"/>
      </w:pPr>
      <w:r w:rsidRPr="001A3D2B">
        <w:t>Abstract: We documented publication trends</w:t>
      </w:r>
      <w:r w:rsidR="00427468">
        <w:t xml:space="preserve"> of </w:t>
      </w:r>
      <w:r w:rsidRPr="001A3D2B">
        <w:t>vegetarian nutrition articles in biomedical literature between 1966</w:t>
      </w:r>
      <w:r w:rsidR="005853A9">
        <w:t xml:space="preserve"> and </w:t>
      </w:r>
      <w:r w:rsidRPr="001A3D2B">
        <w:t>1995 using</w:t>
      </w:r>
      <w:r w:rsidR="003A1917">
        <w:t xml:space="preserve"> the </w:t>
      </w:r>
      <w:r w:rsidRPr="001A3D2B">
        <w:t>National Institutes</w:t>
      </w:r>
      <w:r w:rsidR="00427468">
        <w:t xml:space="preserve"> of </w:t>
      </w:r>
      <w:r w:rsidRPr="001A3D2B">
        <w:t xml:space="preserve">Health </w:t>
      </w:r>
      <w:r w:rsidR="00D5664A">
        <w:t>MEDLINE</w:t>
      </w:r>
      <w:r w:rsidRPr="001A3D2B">
        <w:t xml:space="preserve"> bibliographic database</w:t>
      </w:r>
      <w:r w:rsidR="00A37C1D">
        <w:t>. The</w:t>
      </w:r>
      <w:r w:rsidR="003A1917">
        <w:t xml:space="preserve"> </w:t>
      </w:r>
      <w:r w:rsidRPr="001A3D2B">
        <w:t>publication rate</w:t>
      </w:r>
      <w:r w:rsidR="00427468">
        <w:t xml:space="preserve"> of </w:t>
      </w:r>
      <w:r w:rsidRPr="001A3D2B">
        <w:t>vegetarian articles increased steadily during</w:t>
      </w:r>
      <w:r w:rsidR="003A1917">
        <w:t xml:space="preserve"> the </w:t>
      </w:r>
      <w:r w:rsidRPr="001A3D2B">
        <w:t>3 decades, from an average</w:t>
      </w:r>
      <w:r w:rsidR="00427468">
        <w:t xml:space="preserve"> of </w:t>
      </w:r>
      <w:r w:rsidRPr="001A3D2B">
        <w:t>&lt;10/y in</w:t>
      </w:r>
      <w:r w:rsidR="003A1917">
        <w:t xml:space="preserve"> the </w:t>
      </w:r>
      <w:r w:rsidRPr="001A3D2B">
        <w:t>late 1960s to 76/y in</w:t>
      </w:r>
      <w:r w:rsidR="003A1917">
        <w:t xml:space="preserve"> the </w:t>
      </w:r>
      <w:r w:rsidRPr="001A3D2B">
        <w:t>early 1990s. After adjusting for</w:t>
      </w:r>
      <w:r w:rsidR="003A1917">
        <w:t xml:space="preserve"> the </w:t>
      </w:r>
      <w:r w:rsidRPr="001A3D2B">
        <w:t>total number</w:t>
      </w:r>
      <w:r w:rsidR="00427468">
        <w:t xml:space="preserve"> of </w:t>
      </w:r>
      <w:r w:rsidRPr="001A3D2B">
        <w:t xml:space="preserve">articles indexed in </w:t>
      </w:r>
      <w:r w:rsidR="00D5664A">
        <w:t>MEDLINE</w:t>
      </w:r>
      <w:r w:rsidRPr="001A3D2B">
        <w:t xml:space="preserve"> annually, we found that publication</w:t>
      </w:r>
      <w:r w:rsidR="00427468">
        <w:t xml:space="preserve"> of </w:t>
      </w:r>
      <w:r w:rsidRPr="001A3D2B">
        <w:t>vegetarian nutrition articles increased dramatically, by 4-fold, during</w:t>
      </w:r>
      <w:r w:rsidR="003A1917">
        <w:t xml:space="preserve"> the </w:t>
      </w:r>
      <w:r w:rsidRPr="001A3D2B">
        <w:t>1970s</w:t>
      </w:r>
      <w:r w:rsidR="005853A9">
        <w:t xml:space="preserve"> and </w:t>
      </w:r>
      <w:r w:rsidRPr="001A3D2B">
        <w:t>reached an oscillating plateau during</w:t>
      </w:r>
      <w:r w:rsidR="003A1917">
        <w:t xml:space="preserve"> the </w:t>
      </w:r>
      <w:r w:rsidRPr="001A3D2B">
        <w:t>1980s. In</w:t>
      </w:r>
      <w:r w:rsidR="003A1917">
        <w:t xml:space="preserve"> the </w:t>
      </w:r>
      <w:r w:rsidRPr="001A3D2B">
        <w:t>early 1990s,</w:t>
      </w:r>
      <w:r w:rsidR="003A1917">
        <w:t xml:space="preserve"> the </w:t>
      </w:r>
      <w:r w:rsidRPr="001A3D2B">
        <w:t>proportion</w:t>
      </w:r>
      <w:r w:rsidR="00427468">
        <w:t xml:space="preserve"> of </w:t>
      </w:r>
      <w:r w:rsidRPr="001A3D2B">
        <w:t>vegetarian nutrition articles 8 articles per 1000 vegetarian nutrition articles</w:t>
      </w:r>
      <w:r w:rsidR="005853A9">
        <w:t xml:space="preserve"> and </w:t>
      </w:r>
      <w:r w:rsidRPr="001A3D2B">
        <w:sym w:font="Symbol" w:char="F0BB"/>
      </w:r>
      <w:r w:rsidRPr="001A3D2B">
        <w:t xml:space="preserve">20 per 100000 articles indexed by </w:t>
      </w:r>
      <w:r w:rsidR="00D5664A">
        <w:t>MEDLINE</w:t>
      </w:r>
      <w:r w:rsidRPr="001A3D2B">
        <w:t>. Non-nutrition journals have progressively published a larger share</w:t>
      </w:r>
      <w:r w:rsidR="00427468">
        <w:t xml:space="preserve"> of </w:t>
      </w:r>
      <w:r w:rsidRPr="001A3D2B">
        <w:t>all vegetarian articles in</w:t>
      </w:r>
      <w:r w:rsidR="003A1917">
        <w:t xml:space="preserve"> the </w:t>
      </w:r>
      <w:r w:rsidRPr="001A3D2B">
        <w:t>biomedical literature during</w:t>
      </w:r>
      <w:r w:rsidR="003A1917">
        <w:t xml:space="preserve"> the </w:t>
      </w:r>
      <w:r w:rsidRPr="001A3D2B">
        <w:t>period studied</w:t>
      </w:r>
      <w:r w:rsidR="00A37C1D">
        <w:t>. The</w:t>
      </w:r>
      <w:r w:rsidR="003A1917">
        <w:t xml:space="preserve"> </w:t>
      </w:r>
      <w:r w:rsidRPr="001A3D2B">
        <w:t>nature</w:t>
      </w:r>
      <w:r w:rsidR="005853A9">
        <w:t xml:space="preserve"> and </w:t>
      </w:r>
      <w:r w:rsidRPr="001A3D2B">
        <w:t>study design</w:t>
      </w:r>
      <w:r w:rsidR="00427468">
        <w:t xml:space="preserve"> of </w:t>
      </w:r>
      <w:r w:rsidRPr="001A3D2B">
        <w:t>published vegetarian research has changed over</w:t>
      </w:r>
      <w:r w:rsidR="003A1917">
        <w:t xml:space="preserve"> the </w:t>
      </w:r>
      <w:r w:rsidRPr="001A3D2B">
        <w:t>years as well</w:t>
      </w:r>
      <w:r w:rsidR="00A37C1D">
        <w:t>. The</w:t>
      </w:r>
      <w:r w:rsidR="003A1917">
        <w:t xml:space="preserve"> </w:t>
      </w:r>
      <w:r w:rsidRPr="001A3D2B">
        <w:t>proportion</w:t>
      </w:r>
      <w:r w:rsidR="00427468">
        <w:t xml:space="preserve"> of </w:t>
      </w:r>
      <w:r w:rsidRPr="001A3D2B">
        <w:t>original research</w:t>
      </w:r>
      <w:r w:rsidR="005853A9">
        <w:t xml:space="preserve"> and </w:t>
      </w:r>
      <w:r w:rsidRPr="001A3D2B">
        <w:t>review articles increased whereas case series</w:t>
      </w:r>
      <w:r w:rsidR="005853A9">
        <w:t xml:space="preserve"> and </w:t>
      </w:r>
      <w:r w:rsidRPr="001A3D2B">
        <w:t>letters to</w:t>
      </w:r>
      <w:r w:rsidR="003A1917">
        <w:t xml:space="preserve"> the </w:t>
      </w:r>
      <w:r w:rsidRPr="001A3D2B">
        <w:t>editor decreased. Reports</w:t>
      </w:r>
      <w:r w:rsidR="00427468">
        <w:t xml:space="preserve"> of </w:t>
      </w:r>
      <w:r w:rsidRPr="001A3D2B">
        <w:t>epidemiologic studies</w:t>
      </w:r>
      <w:r w:rsidR="00427468">
        <w:t xml:space="preserve"> of </w:t>
      </w:r>
      <w:r w:rsidRPr="001A3D2B">
        <w:t>vegetarians with longitudinal designs have superseded cross-sectional designs in number</w:t>
      </w:r>
      <w:r w:rsidR="005853A9">
        <w:t xml:space="preserve"> and </w:t>
      </w:r>
      <w:r w:rsidRPr="001A3D2B">
        <w:t>proportion. In 40%</w:t>
      </w:r>
      <w:r w:rsidR="00427468">
        <w:t xml:space="preserve"> of </w:t>
      </w:r>
      <w:r w:rsidRPr="001A3D2B">
        <w:t>all publications, preventive</w:t>
      </w:r>
      <w:r w:rsidR="005853A9">
        <w:t xml:space="preserve"> and </w:t>
      </w:r>
      <w:r w:rsidRPr="001A3D2B">
        <w:t>therapeutic applications</w:t>
      </w:r>
      <w:r w:rsidR="00427468">
        <w:t xml:space="preserve"> of </w:t>
      </w:r>
      <w:r w:rsidRPr="001A3D2B">
        <w:t>vegetarian diets constituted</w:t>
      </w:r>
      <w:r w:rsidR="003A1917">
        <w:t xml:space="preserve"> the </w:t>
      </w:r>
      <w:r w:rsidRPr="001A3D2B">
        <w:t>major themes</w:t>
      </w:r>
      <w:r w:rsidR="00427468">
        <w:t xml:space="preserve"> of </w:t>
      </w:r>
      <w:r w:rsidRPr="001A3D2B">
        <w:t>vegetarian articles in</w:t>
      </w:r>
      <w:r w:rsidR="003A1917">
        <w:t xml:space="preserve"> the </w:t>
      </w:r>
      <w:r w:rsidRPr="001A3D2B">
        <w:t>decade</w:t>
      </w:r>
      <w:r w:rsidR="00427468">
        <w:t xml:space="preserve"> of </w:t>
      </w:r>
      <w:r w:rsidRPr="001A3D2B">
        <w:t>1986–1995. However, 20 y earlier</w:t>
      </w:r>
      <w:r w:rsidR="003A1917">
        <w:t xml:space="preserve"> the </w:t>
      </w:r>
      <w:r w:rsidRPr="001A3D2B">
        <w:t>main focus was on</w:t>
      </w:r>
      <w:r w:rsidR="003A1917">
        <w:t xml:space="preserve"> the </w:t>
      </w:r>
      <w:r w:rsidRPr="001A3D2B">
        <w:t>nutritional adequacy</w:t>
      </w:r>
      <w:r w:rsidR="00427468">
        <w:t xml:space="preserve"> of </w:t>
      </w:r>
      <w:r w:rsidRPr="001A3D2B">
        <w:t>vegetarian diets</w:t>
      </w:r>
      <w:r w:rsidR="00A37C1D">
        <w:t>. The</w:t>
      </w:r>
      <w:r w:rsidR="003A1917">
        <w:t xml:space="preserve"> </w:t>
      </w:r>
      <w:r w:rsidRPr="001A3D2B">
        <w:t>progressive change in</w:t>
      </w:r>
      <w:r w:rsidR="003A1917">
        <w:t xml:space="preserve"> the </w:t>
      </w:r>
      <w:r w:rsidRPr="001A3D2B">
        <w:t>themes</w:t>
      </w:r>
      <w:r w:rsidR="00427468">
        <w:t xml:space="preserve"> of </w:t>
      </w:r>
      <w:r w:rsidRPr="001A3D2B">
        <w:t xml:space="preserve">vegetarian nutrition </w:t>
      </w:r>
      <w:r w:rsidRPr="001A3D2B">
        <w:lastRenderedPageBreak/>
        <w:t>publications is interpreted as a shift in</w:t>
      </w:r>
      <w:r w:rsidR="003A1917">
        <w:t xml:space="preserve"> the </w:t>
      </w:r>
      <w:r w:rsidRPr="001A3D2B">
        <w:t>role</w:t>
      </w:r>
      <w:r w:rsidR="00427468">
        <w:t xml:space="preserve"> of </w:t>
      </w:r>
      <w:r w:rsidRPr="001A3D2B">
        <w:t>vegetarian diets in human nutrition.</w:t>
      </w:r>
    </w:p>
    <w:p w:rsidR="003474F2" w:rsidRPr="001A3D2B" w:rsidRDefault="003474F2" w:rsidP="003474F2">
      <w:pPr>
        <w:pStyle w:val="a3"/>
      </w:pPr>
      <w:r w:rsidRPr="001A3D2B">
        <w:t xml:space="preserve">Keywords: Adequacy, Biomedical, Database, Design, Human, Journals, Literature, Longitudinal, </w:t>
      </w:r>
      <w:r w:rsidR="00D5664A">
        <w:t>MEDLINE</w:t>
      </w:r>
      <w:r w:rsidRPr="001A3D2B">
        <w:t>, National Institutes</w:t>
      </w:r>
      <w:r w:rsidR="00427468">
        <w:t xml:space="preserve"> of </w:t>
      </w:r>
      <w:r w:rsidRPr="001A3D2B">
        <w:t>Health, Nutrition, Publication, Publications, Research, Review, Role, Study Design, Therapeutic, Trends</w:t>
      </w:r>
    </w:p>
    <w:p w:rsidR="003474F2" w:rsidRPr="001A3D2B" w:rsidRDefault="003474F2" w:rsidP="003474F2">
      <w:pPr>
        <w:pStyle w:val="a3"/>
      </w:pPr>
      <w:r w:rsidRPr="001A3D2B">
        <w:t xml:space="preserve">Kostoff, R.N. (2001), Energy restriction. </w:t>
      </w:r>
      <w:r w:rsidRPr="001A3D2B">
        <w:rPr>
          <w:i/>
        </w:rPr>
        <w:t>American Journal</w:t>
      </w:r>
      <w:r w:rsidR="00427468">
        <w:rPr>
          <w:i/>
        </w:rPr>
        <w:t xml:space="preserve"> of </w:t>
      </w:r>
      <w:r w:rsidRPr="001A3D2B">
        <w:rPr>
          <w:i/>
        </w:rPr>
        <w:t>Clinical Nutrition</w:t>
      </w:r>
      <w:r w:rsidRPr="001A3D2B">
        <w:t xml:space="preserve">, </w:t>
      </w:r>
      <w:r w:rsidRPr="001A3D2B">
        <w:rPr>
          <w:b/>
        </w:rPr>
        <w:t>74</w:t>
      </w:r>
      <w:r w:rsidRPr="001A3D2B">
        <w:t>, 556-557.</w:t>
      </w:r>
    </w:p>
    <w:p w:rsidR="003474F2" w:rsidRPr="001A3D2B" w:rsidRDefault="003474F2" w:rsidP="003474F2">
      <w:pPr>
        <w:pStyle w:val="a3"/>
      </w:pPr>
      <w:r w:rsidRPr="001A3D2B">
        <w:t xml:space="preserve">Full Text: </w:t>
      </w:r>
      <w:hyperlink r:id="rId432" w:history="1">
        <w:r w:rsidRPr="001A3D2B">
          <w:rPr>
            <w:rStyle w:val="a5"/>
          </w:rPr>
          <w:t>2001\Ame J Cli Nut74, 556.pdf</w:t>
        </w:r>
      </w:hyperlink>
    </w:p>
    <w:p w:rsidR="003474F2" w:rsidRPr="001A3D2B" w:rsidRDefault="003474F2" w:rsidP="003474F2">
      <w:pPr>
        <w:pStyle w:val="a3"/>
      </w:pPr>
      <w:r w:rsidRPr="001A3D2B">
        <w:t>? Thompson, R.L., Summerbell, C.D., Hooper, L., Higgins, J.P.T., Little, P.S., Talbot, D.</w:t>
      </w:r>
      <w:r w:rsidR="005853A9">
        <w:t xml:space="preserve"> and </w:t>
      </w:r>
      <w:r w:rsidRPr="001A3D2B">
        <w:t>Ebrahim, S. (2003), Relative efficacy</w:t>
      </w:r>
      <w:r w:rsidR="00427468">
        <w:t xml:space="preserve"> of </w:t>
      </w:r>
      <w:r w:rsidRPr="001A3D2B">
        <w:t>differential methods</w:t>
      </w:r>
      <w:r w:rsidR="00427468">
        <w:t xml:space="preserve"> of </w:t>
      </w:r>
      <w:r w:rsidRPr="001A3D2B">
        <w:t xml:space="preserve">dietary advice: A systematic review. </w:t>
      </w:r>
      <w:r w:rsidRPr="001A3D2B">
        <w:rPr>
          <w:i/>
          <w:iCs/>
        </w:rPr>
        <w:t>American Journal</w:t>
      </w:r>
      <w:r w:rsidR="00427468">
        <w:rPr>
          <w:i/>
          <w:iCs/>
        </w:rPr>
        <w:t xml:space="preserve"> of </w:t>
      </w:r>
      <w:r w:rsidRPr="001A3D2B">
        <w:rPr>
          <w:i/>
          <w:iCs/>
        </w:rPr>
        <w:t>Clinical Nutrition</w:t>
      </w:r>
      <w:r w:rsidRPr="001A3D2B">
        <w:t xml:space="preserve">, </w:t>
      </w:r>
      <w:r w:rsidRPr="001A3D2B">
        <w:rPr>
          <w:b/>
          <w:bCs/>
        </w:rPr>
        <w:t>77</w:t>
      </w:r>
      <w:r w:rsidRPr="001A3D2B">
        <w:t xml:space="preserve"> (4), 1052S-1057S.</w:t>
      </w:r>
    </w:p>
    <w:p w:rsidR="003474F2" w:rsidRPr="001A3D2B" w:rsidRDefault="003474F2" w:rsidP="003474F2">
      <w:pPr>
        <w:pStyle w:val="a3"/>
      </w:pPr>
      <w:r w:rsidRPr="001A3D2B">
        <w:t xml:space="preserve">Full Text: </w:t>
      </w:r>
      <w:hyperlink r:id="rId433" w:history="1">
        <w:r w:rsidRPr="001A3D2B">
          <w:rPr>
            <w:rStyle w:val="a5"/>
          </w:rPr>
          <w:t>2003\Ame J Cli Nut77, 1052S.pdf</w:t>
        </w:r>
      </w:hyperlink>
    </w:p>
    <w:p w:rsidR="003474F2" w:rsidRPr="001A3D2B" w:rsidRDefault="003474F2" w:rsidP="003474F2">
      <w:pPr>
        <w:pStyle w:val="a3"/>
      </w:pPr>
      <w:r w:rsidRPr="001A3D2B">
        <w:t>Abstract: Background: Dietary advice to lower blood cholesterol may be given by a variety</w:t>
      </w:r>
      <w:r w:rsidR="00427468">
        <w:t xml:space="preserve"> of </w:t>
      </w:r>
      <w:r w:rsidRPr="001A3D2B">
        <w:t>means</w:t>
      </w:r>
      <w:r w:rsidR="00A37C1D">
        <w:t>. The</w:t>
      </w:r>
      <w:r w:rsidR="003A1917">
        <w:t xml:space="preserve"> </w:t>
      </w:r>
      <w:r w:rsidRPr="001A3D2B">
        <w:t>relative efficacy</w:t>
      </w:r>
      <w:r w:rsidR="00427468">
        <w:t xml:space="preserve"> of </w:t>
      </w:r>
      <w:r w:rsidR="003A1917">
        <w:t xml:space="preserve">the </w:t>
      </w:r>
      <w:r w:rsidRPr="001A3D2B">
        <w:t>different methods is unknown. Objective:</w:t>
      </w:r>
      <w:r w:rsidR="003A1917">
        <w:t xml:space="preserve"> the </w:t>
      </w:r>
      <w:r w:rsidRPr="001A3D2B">
        <w:t>objective was to assess</w:t>
      </w:r>
      <w:r w:rsidR="003A1917">
        <w:t xml:space="preserve"> the </w:t>
      </w:r>
      <w:r w:rsidRPr="001A3D2B">
        <w:t>effects</w:t>
      </w:r>
      <w:r w:rsidR="00427468">
        <w:t xml:space="preserve"> of </w:t>
      </w:r>
      <w:r w:rsidRPr="001A3D2B">
        <w:t>dietary advice given by dietitians compared with advice from other health professionals, or self-help resources, in reducing blood cholesterol in adults. Design: We performed a systematic review, identifying potential studies by searching</w:t>
      </w:r>
      <w:r w:rsidR="003A1917">
        <w:t xml:space="preserve"> the </w:t>
      </w:r>
      <w:r w:rsidRPr="001A3D2B">
        <w:t>electronic databases</w:t>
      </w:r>
      <w:r w:rsidR="00427468">
        <w:t xml:space="preserve"> of </w:t>
      </w:r>
      <w:r w:rsidR="003A1917">
        <w:t xml:space="preserve">the </w:t>
      </w:r>
      <w:r w:rsidRPr="001A3D2B">
        <w:t xml:space="preserve">Cochrane Library, </w:t>
      </w:r>
      <w:r w:rsidR="00D5664A">
        <w:t>MEDLINE</w:t>
      </w:r>
      <w:r w:rsidRPr="001A3D2B">
        <w:t>, EMBASE, CINAHL, Human Nutrition, Science Citation Index,</w:t>
      </w:r>
      <w:r w:rsidR="005853A9">
        <w:t xml:space="preserve"> and </w:t>
      </w:r>
      <w:r w:rsidRPr="001A3D2B">
        <w:t>Social Sciences Citation Index. We also hand-searched relevant conference proceedings, reference lists in trial reports,</w:t>
      </w:r>
      <w:r w:rsidR="005853A9">
        <w:t xml:space="preserve"> and </w:t>
      </w:r>
      <w:r w:rsidRPr="001A3D2B">
        <w:t>review articles. Finally, we contacted experts in</w:t>
      </w:r>
      <w:r w:rsidR="003A1917">
        <w:t xml:space="preserve"> the </w:t>
      </w:r>
      <w:r w:rsidRPr="001A3D2B">
        <w:t>field</w:t>
      </w:r>
      <w:r w:rsidR="00A37C1D">
        <w:t>. The</w:t>
      </w:r>
      <w:r w:rsidR="003A1917">
        <w:t xml:space="preserve"> </w:t>
      </w:r>
      <w:r w:rsidRPr="001A3D2B">
        <w:t>selection criteria included randomized trials</w:t>
      </w:r>
      <w:r w:rsidR="00427468">
        <w:t xml:space="preserve"> of </w:t>
      </w:r>
      <w:r w:rsidRPr="001A3D2B">
        <w:t>dietary advice given by dietitians compared with advice given by other health professionals or self-help resources</w:t>
      </w:r>
      <w:r w:rsidR="00A37C1D">
        <w:t>. The</w:t>
      </w:r>
      <w:r w:rsidR="003A1917">
        <w:t xml:space="preserve"> </w:t>
      </w:r>
      <w:r w:rsidRPr="001A3D2B">
        <w:t>main outcome was difference in blood cholesterol between</w:t>
      </w:r>
      <w:r w:rsidR="003A1917">
        <w:t xml:space="preserve"> the </w:t>
      </w:r>
      <w:r w:rsidRPr="001A3D2B">
        <w:t>dietitian group compared with other intervention groups. Inclusion decisions</w:t>
      </w:r>
      <w:r w:rsidR="005853A9">
        <w:t xml:space="preserve"> and </w:t>
      </w:r>
      <w:r w:rsidRPr="001A3D2B">
        <w:t>data extraction were duplicated. Results: Eleven studies with 12 comparisons met</w:t>
      </w:r>
      <w:r w:rsidR="003A1917">
        <w:t xml:space="preserve"> the </w:t>
      </w:r>
      <w:r w:rsidRPr="001A3D2B">
        <w:t>inclusion criteria. Four studies compared dietitians with doctors, 7 with self-help resources,</w:t>
      </w:r>
      <w:r w:rsidR="005853A9">
        <w:t xml:space="preserve"> and </w:t>
      </w:r>
      <w:r w:rsidRPr="001A3D2B">
        <w:t>1 with nurses. Participants receiving advice from dietitians experienced a greater reduction in blood total cholesterol than those receiving advice from doctors (-0.25 mmol/L, 95% CI-0.37, -0.12 mmol/L)</w:t>
      </w:r>
      <w:r w:rsidR="00A37C1D">
        <w:t>. The</w:t>
      </w:r>
      <w:r w:rsidRPr="001A3D2B">
        <w:t>re was no statistically significant difference in change in blood cholesterol between dietitians</w:t>
      </w:r>
      <w:r w:rsidR="005853A9">
        <w:t xml:space="preserve"> and </w:t>
      </w:r>
      <w:r w:rsidRPr="001A3D2B">
        <w:t>self-help resources (-0.10 mmol/L, 95% CI -0.22, 0.03 mmol/L). Conclusions: Dietitians appeared to be better than doctors at lowering blood cholesterol in</w:t>
      </w:r>
      <w:r w:rsidR="003A1917">
        <w:t xml:space="preserve"> the </w:t>
      </w:r>
      <w:r w:rsidRPr="001A3D2B">
        <w:t>short to medium term, though</w:t>
      </w:r>
      <w:r w:rsidR="003A1917">
        <w:t xml:space="preserve"> the </w:t>
      </w:r>
      <w:r w:rsidRPr="001A3D2B">
        <w:t>difference was small (about 4%), but there was no evidence that they were better than self-help resources or nurses.</w:t>
      </w:r>
    </w:p>
    <w:p w:rsidR="003474F2" w:rsidRPr="001A3D2B" w:rsidRDefault="003474F2" w:rsidP="003474F2">
      <w:pPr>
        <w:pStyle w:val="a3"/>
      </w:pPr>
      <w:r w:rsidRPr="001A3D2B">
        <w:t xml:space="preserve">Keywords: Blood, Cholesterol, Criteria, Data, Databases, Dietary Advice, Doctors, Efficacy, Evidence, Experts, Extraction, Field, Health, Health Professionals, Intervention, </w:t>
      </w:r>
      <w:r w:rsidR="00D5664A">
        <w:t>MEDLINE</w:t>
      </w:r>
      <w:r w:rsidRPr="001A3D2B">
        <w:t xml:space="preserve">, Methods, Nurses, Outcome, Potential, Randomized, Reduction, Review, Science Citation Index, Selection Criteria, Small, Systematic </w:t>
      </w:r>
      <w:r w:rsidRPr="001A3D2B">
        <w:lastRenderedPageBreak/>
        <w:t>Review, Term, Trial</w:t>
      </w:r>
    </w:p>
    <w:p w:rsidR="00EC41C3" w:rsidRDefault="00EC41C3" w:rsidP="00EC41C3">
      <w:pPr>
        <w:pStyle w:val="a3"/>
        <w:rPr>
          <w:kern w:val="0"/>
        </w:rPr>
      </w:pPr>
      <w:r>
        <w:rPr>
          <w:rFonts w:hint="eastAsia"/>
          <w:kern w:val="0"/>
        </w:rPr>
        <w:t xml:space="preserve">? </w:t>
      </w:r>
      <w:r>
        <w:rPr>
          <w:kern w:val="0"/>
        </w:rPr>
        <w:t>Sood, N., Baker, W.L.</w:t>
      </w:r>
      <w:r w:rsidR="005853A9">
        <w:rPr>
          <w:kern w:val="0"/>
        </w:rPr>
        <w:t xml:space="preserve"> and </w:t>
      </w:r>
      <w:r>
        <w:rPr>
          <w:kern w:val="0"/>
        </w:rPr>
        <w:t>Coleman, C.I. (2008), Effect</w:t>
      </w:r>
      <w:r w:rsidR="00427468">
        <w:rPr>
          <w:kern w:val="0"/>
        </w:rPr>
        <w:t xml:space="preserve"> of </w:t>
      </w:r>
      <w:r>
        <w:rPr>
          <w:kern w:val="0"/>
        </w:rPr>
        <w:t>glucomannan on plasma lipid</w:t>
      </w:r>
      <w:r w:rsidR="005853A9">
        <w:rPr>
          <w:kern w:val="0"/>
        </w:rPr>
        <w:t xml:space="preserve"> and </w:t>
      </w:r>
      <w:r>
        <w:rPr>
          <w:kern w:val="0"/>
        </w:rPr>
        <w:t>glucose concentrations, body weight,</w:t>
      </w:r>
      <w:r w:rsidR="005853A9">
        <w:rPr>
          <w:kern w:val="0"/>
        </w:rPr>
        <w:t xml:space="preserve"> and </w:t>
      </w:r>
      <w:r>
        <w:rPr>
          <w:kern w:val="0"/>
        </w:rPr>
        <w:t>blood pressure: Systematic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Clinical Nutrition</w:t>
      </w:r>
      <w:r>
        <w:rPr>
          <w:kern w:val="0"/>
        </w:rPr>
        <w:t xml:space="preserve">, </w:t>
      </w:r>
      <w:r>
        <w:rPr>
          <w:b/>
          <w:bCs/>
          <w:kern w:val="0"/>
        </w:rPr>
        <w:t>88</w:t>
      </w:r>
      <w:r>
        <w:rPr>
          <w:kern w:val="0"/>
        </w:rPr>
        <w:t xml:space="preserve"> (4), 1167-1175.</w:t>
      </w:r>
    </w:p>
    <w:p w:rsidR="00EC41C3" w:rsidRPr="001A3D2B" w:rsidRDefault="00EC41C3" w:rsidP="00EC41C3">
      <w:pPr>
        <w:pStyle w:val="a3"/>
      </w:pPr>
      <w:r w:rsidRPr="001A3D2B">
        <w:t xml:space="preserve">Full Text: </w:t>
      </w:r>
      <w:hyperlink r:id="rId434" w:history="1">
        <w:r w:rsidRPr="00F453BE">
          <w:rPr>
            <w:rStyle w:val="a5"/>
          </w:rPr>
          <w:t>2008\Ame J Cli Nut88, 1167.pdf</w:t>
        </w:r>
      </w:hyperlink>
    </w:p>
    <w:p w:rsidR="00EC41C3" w:rsidRDefault="00EC41C3" w:rsidP="00EC41C3">
      <w:pPr>
        <w:pStyle w:val="a3"/>
        <w:rPr>
          <w:kern w:val="0"/>
        </w:rPr>
      </w:pPr>
      <w:r>
        <w:rPr>
          <w:kern w:val="0"/>
        </w:rPr>
        <w:t>Abstract: Background: Several clinical trials have investigated</w:t>
      </w:r>
      <w:r w:rsidR="003A1917">
        <w:rPr>
          <w:kern w:val="0"/>
        </w:rPr>
        <w:t xml:space="preserve"> the </w:t>
      </w:r>
      <w:r>
        <w:rPr>
          <w:kern w:val="0"/>
        </w:rPr>
        <w:t>impact</w:t>
      </w:r>
      <w:r w:rsidR="00427468">
        <w:rPr>
          <w:kern w:val="0"/>
        </w:rPr>
        <w:t xml:space="preserve"> of </w:t>
      </w:r>
      <w:r>
        <w:rPr>
          <w:kern w:val="0"/>
        </w:rPr>
        <w:t xml:space="preserve">glucomannan on plasma lipids, body weight, fasting blood glucose </w:t>
      </w:r>
      <w:r w:rsidR="005A48B0">
        <w:rPr>
          <w:kern w:val="0"/>
        </w:rPr>
        <w:t>(</w:t>
      </w:r>
      <w:r>
        <w:rPr>
          <w:kern w:val="0"/>
        </w:rPr>
        <w:t>FBG),</w:t>
      </w:r>
      <w:r w:rsidR="005853A9">
        <w:rPr>
          <w:kern w:val="0"/>
        </w:rPr>
        <w:t xml:space="preserve"> and </w:t>
      </w:r>
      <w:r>
        <w:rPr>
          <w:kern w:val="0"/>
        </w:rPr>
        <w:t xml:space="preserve">blood pressure </w:t>
      </w:r>
      <w:r w:rsidR="005A48B0">
        <w:rPr>
          <w:kern w:val="0"/>
        </w:rPr>
        <w:t>(</w:t>
      </w:r>
      <w:r>
        <w:rPr>
          <w:kern w:val="0"/>
        </w:rPr>
        <w:t>BP), but have yielded conflicting results</w:t>
      </w:r>
      <w:r w:rsidR="005853A9">
        <w:rPr>
          <w:kern w:val="0"/>
        </w:rPr>
        <w:t xml:space="preserve"> and </w:t>
      </w:r>
      <w:r>
        <w:rPr>
          <w:kern w:val="0"/>
        </w:rPr>
        <w:t>had only modest sample sizes. Objective:</w:t>
      </w:r>
      <w:r w:rsidR="003A1917">
        <w:rPr>
          <w:kern w:val="0"/>
        </w:rPr>
        <w:t xml:space="preserve"> the </w:t>
      </w:r>
      <w:r>
        <w:rPr>
          <w:kern w:val="0"/>
        </w:rPr>
        <w:t>objective was to perform a meta-analysis</w:t>
      </w:r>
      <w:r w:rsidR="00427468">
        <w:rPr>
          <w:kern w:val="0"/>
        </w:rPr>
        <w:t xml:space="preserve"> of </w:t>
      </w:r>
      <w:r>
        <w:rPr>
          <w:kern w:val="0"/>
        </w:rPr>
        <w:t>randomized controlled trials</w:t>
      </w:r>
      <w:r w:rsidR="00427468">
        <w:rPr>
          <w:kern w:val="0"/>
        </w:rPr>
        <w:t xml:space="preserve"> of </w:t>
      </w:r>
      <w:r>
        <w:rPr>
          <w:kern w:val="0"/>
        </w:rPr>
        <w:t>glucomannan to better characterize its impact on plasma lipids, FBG, body weight,</w:t>
      </w:r>
      <w:r w:rsidR="005853A9">
        <w:rPr>
          <w:kern w:val="0"/>
        </w:rPr>
        <w:t xml:space="preserve"> and </w:t>
      </w:r>
      <w:r>
        <w:rPr>
          <w:kern w:val="0"/>
        </w:rPr>
        <w:t>BP. Design: A systematic literature search</w:t>
      </w:r>
      <w:r w:rsidR="00427468">
        <w:rPr>
          <w:kern w:val="0"/>
        </w:rPr>
        <w:t xml:space="preserve"> of </w:t>
      </w:r>
      <w:r w:rsidR="00D5664A">
        <w:rPr>
          <w:kern w:val="0"/>
        </w:rPr>
        <w:t>MEDLINE</w:t>
      </w:r>
      <w:r>
        <w:rPr>
          <w:kern w:val="0"/>
        </w:rPr>
        <w:t xml:space="preserve">, EMBASE, CINAHL,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w:t>
      </w:r>
      <w:r w:rsidR="005853A9">
        <w:rPr>
          <w:kern w:val="0"/>
        </w:rPr>
        <w:t xml:space="preserve"> and </w:t>
      </w:r>
      <w:r w:rsidR="003A1917">
        <w:rPr>
          <w:kern w:val="0"/>
        </w:rPr>
        <w:t xml:space="preserve">the </w:t>
      </w:r>
      <w:r>
        <w:rPr>
          <w:kern w:val="0"/>
        </w:rPr>
        <w:t>Natural Medicines Comprehensive Database was conducted from</w:t>
      </w:r>
      <w:r w:rsidR="003A1917">
        <w:rPr>
          <w:kern w:val="0"/>
        </w:rPr>
        <w:t xml:space="preserve"> the </w:t>
      </w:r>
      <w:r>
        <w:rPr>
          <w:kern w:val="0"/>
        </w:rPr>
        <w:t>earliest possible date through November 2007. A random-effects model was used to calculate</w:t>
      </w:r>
      <w:r w:rsidR="003A1917">
        <w:rPr>
          <w:kern w:val="0"/>
        </w:rPr>
        <w:t xml:space="preserve"> the </w:t>
      </w:r>
      <w:r>
        <w:rPr>
          <w:kern w:val="0"/>
        </w:rPr>
        <w:t>weighted mean difference</w:t>
      </w:r>
      <w:r w:rsidR="005A48B0">
        <w:rPr>
          <w:kern w:val="0"/>
        </w:rPr>
        <w:t>(</w:t>
      </w:r>
      <w:r>
        <w:rPr>
          <w:kern w:val="0"/>
        </w:rPr>
        <w:t>WMD)</w:t>
      </w:r>
      <w:r w:rsidR="005853A9">
        <w:rPr>
          <w:kern w:val="0"/>
        </w:rPr>
        <w:t xml:space="preserve"> and </w:t>
      </w:r>
      <w:r>
        <w:rPr>
          <w:kern w:val="0"/>
        </w:rPr>
        <w:t>95% CIs as</w:t>
      </w:r>
      <w:r w:rsidR="003A1917">
        <w:rPr>
          <w:kern w:val="0"/>
        </w:rPr>
        <w:t xml:space="preserve"> the </w:t>
      </w:r>
      <w:r>
        <w:rPr>
          <w:kern w:val="0"/>
        </w:rPr>
        <w:t>difference between</w:t>
      </w:r>
      <w:r w:rsidR="003A1917">
        <w:rPr>
          <w:kern w:val="0"/>
        </w:rPr>
        <w:t xml:space="preserve"> the </w:t>
      </w:r>
      <w:r>
        <w:rPr>
          <w:kern w:val="0"/>
        </w:rPr>
        <w:t>mean for</w:t>
      </w:r>
      <w:r w:rsidR="003A1917">
        <w:rPr>
          <w:kern w:val="0"/>
        </w:rPr>
        <w:t xml:space="preserve"> the </w:t>
      </w:r>
      <w:r>
        <w:rPr>
          <w:kern w:val="0"/>
        </w:rPr>
        <w:t>glucomannan</w:t>
      </w:r>
      <w:r w:rsidR="005853A9">
        <w:rPr>
          <w:kern w:val="0"/>
        </w:rPr>
        <w:t xml:space="preserve"> and </w:t>
      </w:r>
      <w:r>
        <w:rPr>
          <w:kern w:val="0"/>
        </w:rPr>
        <w:t>control groups. Standard methods for assessing statistical heterogeneity</w:t>
      </w:r>
      <w:r w:rsidR="005853A9">
        <w:rPr>
          <w:kern w:val="0"/>
        </w:rPr>
        <w:t xml:space="preserve"> and </w:t>
      </w:r>
      <w:r>
        <w:rPr>
          <w:kern w:val="0"/>
        </w:rPr>
        <w:t xml:space="preserve">publication bias were used. Results: Fourteen studies </w:t>
      </w:r>
      <w:r w:rsidR="005A48B0">
        <w:rPr>
          <w:kern w:val="0"/>
        </w:rPr>
        <w:t>(</w:t>
      </w:r>
      <w:r>
        <w:rPr>
          <w:kern w:val="0"/>
        </w:rPr>
        <w:t>n = 531) met</w:t>
      </w:r>
      <w:r w:rsidR="003A1917">
        <w:rPr>
          <w:kern w:val="0"/>
        </w:rPr>
        <w:t xml:space="preserve"> the </w:t>
      </w:r>
      <w:r>
        <w:rPr>
          <w:kern w:val="0"/>
        </w:rPr>
        <w:t>inclusion criteria</w:t>
      </w:r>
      <w:r w:rsidR="00A37C1D">
        <w:rPr>
          <w:kern w:val="0"/>
        </w:rPr>
        <w:t>. The</w:t>
      </w:r>
      <w:r w:rsidR="003A1917">
        <w:rPr>
          <w:kern w:val="0"/>
        </w:rPr>
        <w:t xml:space="preserve"> </w:t>
      </w:r>
      <w:r>
        <w:rPr>
          <w:kern w:val="0"/>
        </w:rPr>
        <w:t>use</w:t>
      </w:r>
      <w:r w:rsidR="00427468">
        <w:rPr>
          <w:kern w:val="0"/>
        </w:rPr>
        <w:t xml:space="preserve"> of </w:t>
      </w:r>
      <w:r>
        <w:rPr>
          <w:kern w:val="0"/>
        </w:rPr>
        <w:t>glucomannan significantly lowered total cholesterol [weighted mean difference (WMD): -19.28 mg/dL; 95% CI: -24.30, -14.26], LDL cholesterol (WMD: -15.99 mg/ dL; 95% CI: -21.31, -10.67), triglycerides(WMD: -11.08 mg/ dL; 95% CI: -22.07, -0.09), body weight (WMD: -0.79 kg; 95% CI: -1.53, -0.05),</w:t>
      </w:r>
      <w:r w:rsidR="005853A9">
        <w:rPr>
          <w:kern w:val="0"/>
        </w:rPr>
        <w:t xml:space="preserve"> and </w:t>
      </w:r>
      <w:r>
        <w:rPr>
          <w:kern w:val="0"/>
        </w:rPr>
        <w:t>FBG (WMD: -7.44 mg/dL; 95% CI: -14.16, -0.72)</w:t>
      </w:r>
      <w:r w:rsidR="00A37C1D">
        <w:rPr>
          <w:kern w:val="0"/>
        </w:rPr>
        <w:t>. The</w:t>
      </w:r>
      <w:r w:rsidR="003A1917">
        <w:rPr>
          <w:kern w:val="0"/>
        </w:rPr>
        <w:t xml:space="preserve"> </w:t>
      </w:r>
      <w:r>
        <w:rPr>
          <w:kern w:val="0"/>
        </w:rPr>
        <w:t>use</w:t>
      </w:r>
      <w:r w:rsidR="00427468">
        <w:rPr>
          <w:kern w:val="0"/>
        </w:rPr>
        <w:t xml:space="preserve"> of </w:t>
      </w:r>
      <w:r>
        <w:rPr>
          <w:kern w:val="0"/>
        </w:rPr>
        <w:t>glucomannan did not appear to significantly alter any other study endpoints. Pediatric patients, patients receiving dietary modification,</w:t>
      </w:r>
      <w:r w:rsidR="005853A9">
        <w:rPr>
          <w:kern w:val="0"/>
        </w:rPr>
        <w:t xml:space="preserve"> and </w:t>
      </w:r>
      <w:r>
        <w:rPr>
          <w:kern w:val="0"/>
        </w:rPr>
        <w:t>patients with impaired glucose metabolism did not benefit from glucomannan to</w:t>
      </w:r>
      <w:r w:rsidR="003A1917">
        <w:rPr>
          <w:kern w:val="0"/>
        </w:rPr>
        <w:t xml:space="preserve"> the </w:t>
      </w:r>
      <w:r>
        <w:rPr>
          <w:kern w:val="0"/>
        </w:rPr>
        <w:t>same degree. Conclusions: Glucomannan appears to beneficially affect total cholesterol, LDL cholesterol, triglycerides, body weight,</w:t>
      </w:r>
      <w:r w:rsidR="005853A9">
        <w:rPr>
          <w:kern w:val="0"/>
        </w:rPr>
        <w:t xml:space="preserve"> and </w:t>
      </w:r>
      <w:r>
        <w:rPr>
          <w:kern w:val="0"/>
        </w:rPr>
        <w:t>FBG, but not HDL cholesterol or BP.</w:t>
      </w:r>
    </w:p>
    <w:p w:rsidR="00EC41C3" w:rsidRDefault="00EC41C3" w:rsidP="00EC41C3">
      <w:pPr>
        <w:pStyle w:val="a3"/>
        <w:rPr>
          <w:kern w:val="0"/>
        </w:rPr>
      </w:pPr>
      <w:r>
        <w:rPr>
          <w:kern w:val="0"/>
        </w:rPr>
        <w:t xml:space="preserve">Keywords: Bias, Blood, Blood Pressure, Body Weight, Clinical Trials, Clinical-Trials, Cochrane, Control, Control Groups, Density-Lipoprotein Cholesterol, Diet, Embase, Endpoints, Fasting, Fiber, HDL, Hypercholesterolemia, Impact, LDL, Lipid, Lipids, Literature, </w:t>
      </w:r>
      <w:r w:rsidR="00D5664A">
        <w:rPr>
          <w:kern w:val="0"/>
        </w:rPr>
        <w:t>MEDLINE</w:t>
      </w:r>
      <w:r>
        <w:rPr>
          <w:kern w:val="0"/>
        </w:rPr>
        <w:t xml:space="preserve">, Men, Meta-Analysis, Model, Modification, Plasma, Pressure, Publication, Publication Bias, Randomized Controlled Trials, Review, Science, Statistical, Systematic, Systematic Review, Total Cholesterol, </w:t>
      </w:r>
      <w:r w:rsidR="00D5664A">
        <w:rPr>
          <w:kern w:val="0"/>
        </w:rPr>
        <w:t>Web</w:t>
      </w:r>
      <w:r w:rsidR="00427468">
        <w:rPr>
          <w:kern w:val="0"/>
        </w:rPr>
        <w:t xml:space="preserve"> of </w:t>
      </w:r>
      <w:r w:rsidR="00D5664A">
        <w:rPr>
          <w:kern w:val="0"/>
        </w:rPr>
        <w:t>Science</w:t>
      </w:r>
    </w:p>
    <w:p w:rsidR="00FF1206" w:rsidRPr="001A3D2B" w:rsidRDefault="00FF1206" w:rsidP="00FF1206">
      <w:pPr>
        <w:pStyle w:val="a3"/>
        <w:rPr>
          <w:kern w:val="0"/>
        </w:rPr>
      </w:pPr>
      <w:r w:rsidRPr="001A3D2B">
        <w:rPr>
          <w:kern w:val="0"/>
        </w:rPr>
        <w:t>? Dangour, A.D., Dodhia, S.K., Hayter, A., Allen, E., Lock, K.</w:t>
      </w:r>
      <w:r w:rsidR="005853A9">
        <w:rPr>
          <w:kern w:val="0"/>
        </w:rPr>
        <w:t xml:space="preserve"> and </w:t>
      </w:r>
      <w:r w:rsidRPr="001A3D2B">
        <w:rPr>
          <w:kern w:val="0"/>
        </w:rPr>
        <w:t>Uauy, R. (2009), Nutritional quality</w:t>
      </w:r>
      <w:r w:rsidR="00427468">
        <w:rPr>
          <w:kern w:val="0"/>
        </w:rPr>
        <w:t xml:space="preserve"> of </w:t>
      </w:r>
      <w:r w:rsidRPr="001A3D2B">
        <w:rPr>
          <w:kern w:val="0"/>
        </w:rPr>
        <w:t xml:space="preserve">organic foods: A systematic review. </w:t>
      </w:r>
      <w:r w:rsidRPr="001A3D2B">
        <w:rPr>
          <w:i/>
          <w:iCs/>
          <w:kern w:val="0"/>
        </w:rPr>
        <w:t>American Journal</w:t>
      </w:r>
      <w:r w:rsidR="00427468">
        <w:rPr>
          <w:i/>
          <w:iCs/>
          <w:kern w:val="0"/>
        </w:rPr>
        <w:t xml:space="preserve"> of </w:t>
      </w:r>
      <w:r w:rsidRPr="001A3D2B">
        <w:rPr>
          <w:i/>
          <w:iCs/>
          <w:kern w:val="0"/>
        </w:rPr>
        <w:t>Clinical Nutrition</w:t>
      </w:r>
      <w:r w:rsidRPr="001A3D2B">
        <w:rPr>
          <w:kern w:val="0"/>
        </w:rPr>
        <w:t xml:space="preserve">, </w:t>
      </w:r>
      <w:r w:rsidRPr="001A3D2B">
        <w:rPr>
          <w:b/>
          <w:bCs/>
          <w:kern w:val="0"/>
        </w:rPr>
        <w:t>90</w:t>
      </w:r>
      <w:r w:rsidRPr="001A3D2B">
        <w:rPr>
          <w:kern w:val="0"/>
        </w:rPr>
        <w:t xml:space="preserve"> (3), 680-685.</w:t>
      </w:r>
    </w:p>
    <w:p w:rsidR="00FF1206" w:rsidRPr="001A3D2B" w:rsidRDefault="00FF1206" w:rsidP="00FF1206">
      <w:pPr>
        <w:pStyle w:val="a3"/>
      </w:pPr>
      <w:r w:rsidRPr="001A3D2B">
        <w:t xml:space="preserve">Full Text: </w:t>
      </w:r>
      <w:hyperlink r:id="rId435" w:history="1">
        <w:r w:rsidR="00001404" w:rsidRPr="001A3D2B">
          <w:rPr>
            <w:rStyle w:val="a5"/>
          </w:rPr>
          <w:t>2009\Ame J Cli Nut90, 680.pdf</w:t>
        </w:r>
      </w:hyperlink>
    </w:p>
    <w:p w:rsidR="00FF1206" w:rsidRPr="001A3D2B" w:rsidRDefault="00FF1206" w:rsidP="00FF1206">
      <w:pPr>
        <w:pStyle w:val="a3"/>
        <w:rPr>
          <w:kern w:val="0"/>
        </w:rPr>
      </w:pPr>
      <w:r w:rsidRPr="001A3D2B">
        <w:rPr>
          <w:kern w:val="0"/>
        </w:rPr>
        <w:lastRenderedPageBreak/>
        <w:t>Abstract: Background: Despite growing consumer demand for organically produced foods, information based on a systematic review</w:t>
      </w:r>
      <w:r w:rsidR="00427468">
        <w:rPr>
          <w:kern w:val="0"/>
        </w:rPr>
        <w:t xml:space="preserve"> of </w:t>
      </w:r>
      <w:r w:rsidRPr="001A3D2B">
        <w:rPr>
          <w:kern w:val="0"/>
        </w:rPr>
        <w:t>their nutritional quality is lacking. Objective: We sought to quantitatively assess</w:t>
      </w:r>
      <w:r w:rsidR="003A1917">
        <w:rPr>
          <w:kern w:val="0"/>
        </w:rPr>
        <w:t xml:space="preserve"> the </w:t>
      </w:r>
      <w:r w:rsidRPr="001A3D2B">
        <w:rPr>
          <w:kern w:val="0"/>
        </w:rPr>
        <w:t>differences in reported nutrient content between organically</w:t>
      </w:r>
      <w:r w:rsidR="005853A9">
        <w:rPr>
          <w:kern w:val="0"/>
        </w:rPr>
        <w:t xml:space="preserve"> and </w:t>
      </w:r>
      <w:r w:rsidRPr="001A3D2B">
        <w:rPr>
          <w:kern w:val="0"/>
        </w:rPr>
        <w:t xml:space="preserve">conventionally produced foodstuffs. Design: We systematically searched </w:t>
      </w:r>
      <w:r w:rsidR="002C12F0">
        <w:rPr>
          <w:kern w:val="0"/>
        </w:rPr>
        <w:t>PUBMED</w:t>
      </w:r>
      <w:r w:rsidRPr="001A3D2B">
        <w:rPr>
          <w:kern w:val="0"/>
        </w:rPr>
        <w:t xml:space="preserve">, </w:t>
      </w:r>
      <w:r w:rsidR="00D5664A">
        <w:rPr>
          <w:kern w:val="0"/>
        </w:rPr>
        <w:t>Web</w:t>
      </w:r>
      <w:r w:rsidR="00427468">
        <w:rPr>
          <w:kern w:val="0"/>
        </w:rPr>
        <w:t xml:space="preserve"> of </w:t>
      </w:r>
      <w:r w:rsidR="00D5664A">
        <w:rPr>
          <w:kern w:val="0"/>
        </w:rPr>
        <w:t>Science</w:t>
      </w:r>
      <w:r w:rsidRPr="001A3D2B">
        <w:rPr>
          <w:kern w:val="0"/>
        </w:rPr>
        <w:t>,</w:t>
      </w:r>
      <w:r w:rsidR="005853A9">
        <w:rPr>
          <w:kern w:val="0"/>
        </w:rPr>
        <w:t xml:space="preserve"> and </w:t>
      </w:r>
      <w:r w:rsidRPr="001A3D2B">
        <w:rPr>
          <w:kern w:val="0"/>
        </w:rPr>
        <w:t>CAB Abstracts for a period</w:t>
      </w:r>
      <w:r w:rsidR="00427468">
        <w:rPr>
          <w:kern w:val="0"/>
        </w:rPr>
        <w:t xml:space="preserve"> of </w:t>
      </w:r>
      <w:r w:rsidRPr="001A3D2B">
        <w:rPr>
          <w:kern w:val="0"/>
        </w:rPr>
        <w:t>50 y from 1 January 1958 to 29 February 2008, contacted subject experts,</w:t>
      </w:r>
      <w:r w:rsidR="005853A9">
        <w:rPr>
          <w:kern w:val="0"/>
        </w:rPr>
        <w:t xml:space="preserve"> and </w:t>
      </w:r>
      <w:r w:rsidRPr="001A3D2B">
        <w:rPr>
          <w:kern w:val="0"/>
        </w:rPr>
        <w:t>hand-searched bibliographies. We included peer-reviewed articles with English abstracts in</w:t>
      </w:r>
      <w:r w:rsidR="003A1917">
        <w:rPr>
          <w:kern w:val="0"/>
        </w:rPr>
        <w:t xml:space="preserve"> the </w:t>
      </w:r>
      <w:r w:rsidRPr="001A3D2B">
        <w:rPr>
          <w:kern w:val="0"/>
        </w:rPr>
        <w:t>analysis if they reported nutrient content comparisons between organic</w:t>
      </w:r>
      <w:r w:rsidR="005853A9">
        <w:rPr>
          <w:kern w:val="0"/>
        </w:rPr>
        <w:t xml:space="preserve"> and </w:t>
      </w:r>
      <w:r w:rsidRPr="001A3D2B">
        <w:rPr>
          <w:kern w:val="0"/>
        </w:rPr>
        <w:t>conventional foodstuffs. Two reviewers extracted study characteristics, quality,</w:t>
      </w:r>
      <w:r w:rsidR="005853A9">
        <w:rPr>
          <w:kern w:val="0"/>
        </w:rPr>
        <w:t xml:space="preserve"> and </w:t>
      </w:r>
      <w:r w:rsidRPr="001A3D2B">
        <w:rPr>
          <w:kern w:val="0"/>
        </w:rPr>
        <w:t>data</w:t>
      </w:r>
      <w:r w:rsidR="00A37C1D">
        <w:rPr>
          <w:kern w:val="0"/>
        </w:rPr>
        <w:t>. The</w:t>
      </w:r>
      <w:r w:rsidR="003A1917">
        <w:rPr>
          <w:kern w:val="0"/>
        </w:rPr>
        <w:t xml:space="preserve"> </w:t>
      </w:r>
      <w:r w:rsidRPr="001A3D2B">
        <w:rPr>
          <w:kern w:val="0"/>
        </w:rPr>
        <w:t>analyses were restricted to</w:t>
      </w:r>
      <w:r w:rsidR="003A1917">
        <w:rPr>
          <w:kern w:val="0"/>
        </w:rPr>
        <w:t xml:space="preserve"> the </w:t>
      </w:r>
      <w:r w:rsidRPr="001A3D2B">
        <w:rPr>
          <w:kern w:val="0"/>
        </w:rPr>
        <w:t>most commonly reported nutrients. Results: From a total</w:t>
      </w:r>
      <w:r w:rsidR="00427468">
        <w:rPr>
          <w:kern w:val="0"/>
        </w:rPr>
        <w:t xml:space="preserve"> of </w:t>
      </w:r>
      <w:r w:rsidRPr="001A3D2B">
        <w:rPr>
          <w:kern w:val="0"/>
        </w:rPr>
        <w:t>52,471 articles, we identified 162 studies (137 crops</w:t>
      </w:r>
      <w:r w:rsidR="005853A9">
        <w:rPr>
          <w:kern w:val="0"/>
        </w:rPr>
        <w:t xml:space="preserve"> and </w:t>
      </w:r>
      <w:r w:rsidRPr="001A3D2B">
        <w:rPr>
          <w:kern w:val="0"/>
        </w:rPr>
        <w:t>25 livestock products); 55 were</w:t>
      </w:r>
      <w:r w:rsidR="00427468">
        <w:rPr>
          <w:kern w:val="0"/>
        </w:rPr>
        <w:t xml:space="preserve"> of </w:t>
      </w:r>
      <w:r w:rsidRPr="001A3D2B">
        <w:rPr>
          <w:kern w:val="0"/>
        </w:rPr>
        <w:t>satisfactory quality. In an analysis that included only satisfactory-quality studies, conventionally produced crops had a significantly higher content</w:t>
      </w:r>
      <w:r w:rsidR="00427468">
        <w:rPr>
          <w:kern w:val="0"/>
        </w:rPr>
        <w:t xml:space="preserve"> of </w:t>
      </w:r>
      <w:r w:rsidRPr="001A3D2B">
        <w:rPr>
          <w:kern w:val="0"/>
        </w:rPr>
        <w:t>nitrogen,</w:t>
      </w:r>
      <w:r w:rsidR="005853A9">
        <w:rPr>
          <w:kern w:val="0"/>
        </w:rPr>
        <w:t xml:space="preserve"> and </w:t>
      </w:r>
      <w:r w:rsidRPr="001A3D2B">
        <w:rPr>
          <w:kern w:val="0"/>
        </w:rPr>
        <w:t>organically produced crops had a significantly higher content</w:t>
      </w:r>
      <w:r w:rsidR="00427468">
        <w:rPr>
          <w:kern w:val="0"/>
        </w:rPr>
        <w:t xml:space="preserve"> of </w:t>
      </w:r>
      <w:r w:rsidRPr="001A3D2B">
        <w:rPr>
          <w:kern w:val="0"/>
        </w:rPr>
        <w:t>phosphorus</w:t>
      </w:r>
      <w:r w:rsidR="005853A9">
        <w:rPr>
          <w:kern w:val="0"/>
        </w:rPr>
        <w:t xml:space="preserve"> and </w:t>
      </w:r>
      <w:r w:rsidRPr="001A3D2B">
        <w:rPr>
          <w:kern w:val="0"/>
        </w:rPr>
        <w:t>higher titratable acidity. No evidence</w:t>
      </w:r>
      <w:r w:rsidR="00427468">
        <w:rPr>
          <w:kern w:val="0"/>
        </w:rPr>
        <w:t xml:space="preserve"> of </w:t>
      </w:r>
      <w:r w:rsidRPr="001A3D2B">
        <w:rPr>
          <w:kern w:val="0"/>
        </w:rPr>
        <w:t>a difference was detected for</w:t>
      </w:r>
      <w:r w:rsidR="003A1917">
        <w:rPr>
          <w:kern w:val="0"/>
        </w:rPr>
        <w:t xml:space="preserve"> the </w:t>
      </w:r>
      <w:r w:rsidRPr="001A3D2B">
        <w:rPr>
          <w:kern w:val="0"/>
        </w:rPr>
        <w:t>remaining 8</w:t>
      </w:r>
      <w:r w:rsidR="00427468">
        <w:rPr>
          <w:kern w:val="0"/>
        </w:rPr>
        <w:t xml:space="preserve"> of </w:t>
      </w:r>
      <w:r w:rsidRPr="001A3D2B">
        <w:rPr>
          <w:kern w:val="0"/>
        </w:rPr>
        <w:t>11 crop nutrient categories analyzed. Analysis</w:t>
      </w:r>
      <w:r w:rsidR="00427468">
        <w:rPr>
          <w:kern w:val="0"/>
        </w:rPr>
        <w:t xml:space="preserve"> of </w:t>
      </w:r>
      <w:r w:rsidR="003A1917">
        <w:rPr>
          <w:kern w:val="0"/>
        </w:rPr>
        <w:t xml:space="preserve">the </w:t>
      </w:r>
      <w:r w:rsidRPr="001A3D2B">
        <w:rPr>
          <w:kern w:val="0"/>
        </w:rPr>
        <w:t>more limited database on livestock products found no evidence</w:t>
      </w:r>
      <w:r w:rsidR="00427468">
        <w:rPr>
          <w:kern w:val="0"/>
        </w:rPr>
        <w:t xml:space="preserve"> of </w:t>
      </w:r>
      <w:r w:rsidRPr="001A3D2B">
        <w:rPr>
          <w:kern w:val="0"/>
        </w:rPr>
        <w:t>a difference in nutrient content between organically</w:t>
      </w:r>
      <w:r w:rsidR="005853A9">
        <w:rPr>
          <w:kern w:val="0"/>
        </w:rPr>
        <w:t xml:space="preserve"> and </w:t>
      </w:r>
      <w:r w:rsidRPr="001A3D2B">
        <w:rPr>
          <w:kern w:val="0"/>
        </w:rPr>
        <w:t>conventionally produced livestock products. Conclusions: On</w:t>
      </w:r>
      <w:r w:rsidR="003A1917">
        <w:rPr>
          <w:kern w:val="0"/>
        </w:rPr>
        <w:t xml:space="preserve"> the </w:t>
      </w:r>
      <w:r w:rsidRPr="001A3D2B">
        <w:rPr>
          <w:kern w:val="0"/>
        </w:rPr>
        <w:t>basis</w:t>
      </w:r>
      <w:r w:rsidR="00427468">
        <w:rPr>
          <w:kern w:val="0"/>
        </w:rPr>
        <w:t xml:space="preserve"> of </w:t>
      </w:r>
      <w:r w:rsidRPr="001A3D2B">
        <w:rPr>
          <w:kern w:val="0"/>
        </w:rPr>
        <w:t>a systematic review</w:t>
      </w:r>
      <w:r w:rsidR="00427468">
        <w:rPr>
          <w:kern w:val="0"/>
        </w:rPr>
        <w:t xml:space="preserve"> of </w:t>
      </w:r>
      <w:r w:rsidRPr="001A3D2B">
        <w:rPr>
          <w:kern w:val="0"/>
        </w:rPr>
        <w:t>studies</w:t>
      </w:r>
      <w:r w:rsidR="00427468">
        <w:rPr>
          <w:kern w:val="0"/>
        </w:rPr>
        <w:t xml:space="preserve"> of </w:t>
      </w:r>
      <w:r w:rsidRPr="001A3D2B">
        <w:rPr>
          <w:kern w:val="0"/>
        </w:rPr>
        <w:t>satisfactory quality, there is no evidence</w:t>
      </w:r>
      <w:r w:rsidR="00427468">
        <w:rPr>
          <w:kern w:val="0"/>
        </w:rPr>
        <w:t xml:space="preserve"> of </w:t>
      </w:r>
      <w:r w:rsidRPr="001A3D2B">
        <w:rPr>
          <w:kern w:val="0"/>
        </w:rPr>
        <w:t>a difference in nutrient quality between organically</w:t>
      </w:r>
      <w:r w:rsidR="005853A9">
        <w:rPr>
          <w:kern w:val="0"/>
        </w:rPr>
        <w:t xml:space="preserve"> and </w:t>
      </w:r>
      <w:r w:rsidRPr="001A3D2B">
        <w:rPr>
          <w:kern w:val="0"/>
        </w:rPr>
        <w:t>conventionally produced foodstuffs</w:t>
      </w:r>
      <w:r w:rsidR="00A37C1D">
        <w:rPr>
          <w:kern w:val="0"/>
        </w:rPr>
        <w:t>. The</w:t>
      </w:r>
      <w:r w:rsidR="003A1917">
        <w:rPr>
          <w:kern w:val="0"/>
        </w:rPr>
        <w:t xml:space="preserve"> </w:t>
      </w:r>
      <w:r w:rsidRPr="001A3D2B">
        <w:rPr>
          <w:kern w:val="0"/>
        </w:rPr>
        <w:t>small differences in nutrient content detected are biologically plausible</w:t>
      </w:r>
      <w:r w:rsidR="005853A9">
        <w:rPr>
          <w:kern w:val="0"/>
        </w:rPr>
        <w:t xml:space="preserve"> and </w:t>
      </w:r>
      <w:r w:rsidRPr="001A3D2B">
        <w:rPr>
          <w:kern w:val="0"/>
        </w:rPr>
        <w:t>mostly relate to differences in production methods. Am J Clin Nutr 2009;90:680-5.</w:t>
      </w:r>
    </w:p>
    <w:p w:rsidR="00EC41C3" w:rsidRDefault="00EC41C3" w:rsidP="00EC41C3">
      <w:pPr>
        <w:pStyle w:val="a3"/>
        <w:rPr>
          <w:kern w:val="0"/>
        </w:rPr>
      </w:pPr>
      <w:r>
        <w:rPr>
          <w:rFonts w:hint="eastAsia"/>
          <w:kern w:val="0"/>
        </w:rPr>
        <w:t xml:space="preserve">? </w:t>
      </w:r>
      <w:r>
        <w:rPr>
          <w:kern w:val="0"/>
        </w:rPr>
        <w:t>Dangour, A.D., Lock, K., Hayter, A., Aikenhead, A., Allen, E.</w:t>
      </w:r>
      <w:r w:rsidR="005853A9">
        <w:rPr>
          <w:kern w:val="0"/>
        </w:rPr>
        <w:t xml:space="preserve"> and </w:t>
      </w:r>
      <w:r>
        <w:rPr>
          <w:kern w:val="0"/>
        </w:rPr>
        <w:t>Uauy, R. (2010), Nutrition-related health effects</w:t>
      </w:r>
      <w:r w:rsidR="00427468">
        <w:rPr>
          <w:kern w:val="0"/>
        </w:rPr>
        <w:t xml:space="preserve"> of </w:t>
      </w:r>
      <w:r>
        <w:rPr>
          <w:kern w:val="0"/>
        </w:rPr>
        <w:t xml:space="preserve">organic foods: A systematic review. </w:t>
      </w:r>
      <w:r>
        <w:rPr>
          <w:i/>
          <w:iCs/>
          <w:kern w:val="0"/>
        </w:rPr>
        <w:t>American Journal</w:t>
      </w:r>
      <w:r w:rsidR="00427468">
        <w:rPr>
          <w:i/>
          <w:iCs/>
          <w:kern w:val="0"/>
        </w:rPr>
        <w:t xml:space="preserve"> of </w:t>
      </w:r>
      <w:r>
        <w:rPr>
          <w:i/>
          <w:iCs/>
          <w:kern w:val="0"/>
        </w:rPr>
        <w:t>Clinical Nutrition</w:t>
      </w:r>
      <w:r>
        <w:rPr>
          <w:kern w:val="0"/>
        </w:rPr>
        <w:t xml:space="preserve">, </w:t>
      </w:r>
      <w:r>
        <w:rPr>
          <w:b/>
          <w:bCs/>
          <w:kern w:val="0"/>
        </w:rPr>
        <w:t>92</w:t>
      </w:r>
      <w:r>
        <w:rPr>
          <w:kern w:val="0"/>
        </w:rPr>
        <w:t xml:space="preserve"> (1), 203-210.</w:t>
      </w:r>
    </w:p>
    <w:p w:rsidR="00EC41C3" w:rsidRPr="001A3D2B" w:rsidRDefault="00EC41C3" w:rsidP="00EC41C3">
      <w:pPr>
        <w:pStyle w:val="a3"/>
      </w:pPr>
      <w:r w:rsidRPr="001A3D2B">
        <w:t xml:space="preserve">Full Text: </w:t>
      </w:r>
      <w:hyperlink r:id="rId436" w:history="1">
        <w:r w:rsidR="00BC5791" w:rsidRPr="00BC5791">
          <w:rPr>
            <w:rStyle w:val="a5"/>
          </w:rPr>
          <w:t>2010\Ame J Cli Nut92, 203.pdf</w:t>
        </w:r>
      </w:hyperlink>
    </w:p>
    <w:p w:rsidR="00EC41C3" w:rsidRDefault="00EC41C3" w:rsidP="00EC41C3">
      <w:pPr>
        <w:pStyle w:val="a3"/>
        <w:rPr>
          <w:kern w:val="0"/>
        </w:rPr>
      </w:pPr>
      <w:r>
        <w:rPr>
          <w:kern w:val="0"/>
        </w:rPr>
        <w:t>Abstract: Background: There is uncertainty over</w:t>
      </w:r>
      <w:r w:rsidR="003A1917">
        <w:rPr>
          <w:kern w:val="0"/>
        </w:rPr>
        <w:t xml:space="preserve"> the </w:t>
      </w:r>
      <w:r>
        <w:rPr>
          <w:kern w:val="0"/>
        </w:rPr>
        <w:t>nutrition-related benefits to health</w:t>
      </w:r>
      <w:r w:rsidR="00427468">
        <w:rPr>
          <w:kern w:val="0"/>
        </w:rPr>
        <w:t xml:space="preserve"> of </w:t>
      </w:r>
      <w:r>
        <w:rPr>
          <w:kern w:val="0"/>
        </w:rPr>
        <w:t>consuming organic foods. Objective: We sought to assess</w:t>
      </w:r>
      <w:r w:rsidR="003A1917">
        <w:rPr>
          <w:kern w:val="0"/>
        </w:rPr>
        <w:t xml:space="preserve"> the </w:t>
      </w:r>
      <w:r>
        <w:rPr>
          <w:kern w:val="0"/>
        </w:rPr>
        <w:t>strength</w:t>
      </w:r>
      <w:r w:rsidR="00427468">
        <w:rPr>
          <w:kern w:val="0"/>
        </w:rPr>
        <w:t xml:space="preserve"> of </w:t>
      </w:r>
      <w:r>
        <w:rPr>
          <w:kern w:val="0"/>
        </w:rPr>
        <w:t>evidence that nutrition-related health benefits could be attributed to</w:t>
      </w:r>
      <w:r w:rsidR="003A1917">
        <w:rPr>
          <w:kern w:val="0"/>
        </w:rPr>
        <w:t xml:space="preserve"> the </w:t>
      </w:r>
      <w:r>
        <w:rPr>
          <w:kern w:val="0"/>
        </w:rPr>
        <w:t>consumption</w:t>
      </w:r>
      <w:r w:rsidR="00427468">
        <w:rPr>
          <w:kern w:val="0"/>
        </w:rPr>
        <w:t xml:space="preserve"> of </w:t>
      </w:r>
      <w:r>
        <w:rPr>
          <w:kern w:val="0"/>
        </w:rPr>
        <w:t xml:space="preserve">foods produced under organic farming methods. Design: We systematically searched </w:t>
      </w:r>
      <w:r w:rsidR="002C12F0">
        <w:rPr>
          <w:kern w:val="0"/>
        </w:rPr>
        <w:t>PUBMED</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CAB Abstracts,</w:t>
      </w:r>
      <w:r w:rsidR="005853A9">
        <w:rPr>
          <w:kern w:val="0"/>
        </w:rPr>
        <w:t xml:space="preserve"> and </w:t>
      </w:r>
      <w:r>
        <w:rPr>
          <w:kern w:val="0"/>
        </w:rPr>
        <w:t>Embase between 1 January 1958</w:t>
      </w:r>
      <w:r w:rsidR="005853A9">
        <w:rPr>
          <w:kern w:val="0"/>
        </w:rPr>
        <w:t xml:space="preserve"> and </w:t>
      </w:r>
      <w:r>
        <w:rPr>
          <w:kern w:val="0"/>
        </w:rPr>
        <w:t>15 September 2008 (and updated until 10 March 2010); contacted subject experts;</w:t>
      </w:r>
      <w:r w:rsidR="005853A9">
        <w:rPr>
          <w:kern w:val="0"/>
        </w:rPr>
        <w:t xml:space="preserve"> and </w:t>
      </w:r>
      <w:r>
        <w:rPr>
          <w:kern w:val="0"/>
        </w:rPr>
        <w:t>hand-searched bibliographies. We included peer-reviewed articles with English abstracts if they reported a comparison</w:t>
      </w:r>
      <w:r w:rsidR="00427468">
        <w:rPr>
          <w:kern w:val="0"/>
        </w:rPr>
        <w:t xml:space="preserve"> of </w:t>
      </w:r>
      <w:r>
        <w:rPr>
          <w:kern w:val="0"/>
        </w:rPr>
        <w:t>health outcomes that resulted from consumption</w:t>
      </w:r>
      <w:r w:rsidR="00427468">
        <w:rPr>
          <w:kern w:val="0"/>
        </w:rPr>
        <w:t xml:space="preserve"> of </w:t>
      </w:r>
      <w:r>
        <w:rPr>
          <w:kern w:val="0"/>
        </w:rPr>
        <w:t>or exposure to organic compared with conventionally produced foodstuffs. Results: From a total</w:t>
      </w:r>
      <w:r w:rsidR="00427468">
        <w:rPr>
          <w:kern w:val="0"/>
        </w:rPr>
        <w:t xml:space="preserve"> of </w:t>
      </w:r>
      <w:r>
        <w:rPr>
          <w:kern w:val="0"/>
        </w:rPr>
        <w:t>98,727 articles, we identified 12 relevant studies. A variety</w:t>
      </w:r>
      <w:r w:rsidR="00427468">
        <w:rPr>
          <w:kern w:val="0"/>
        </w:rPr>
        <w:t xml:space="preserve"> of </w:t>
      </w:r>
      <w:r>
        <w:rPr>
          <w:kern w:val="0"/>
        </w:rPr>
        <w:t>different study designs were used; there were 8 reports (67%)</w:t>
      </w:r>
      <w:r w:rsidR="00427468">
        <w:rPr>
          <w:kern w:val="0"/>
        </w:rPr>
        <w:t xml:space="preserve"> of </w:t>
      </w:r>
      <w:r>
        <w:rPr>
          <w:kern w:val="0"/>
        </w:rPr>
        <w:t>human studies, including 6 clinical trials, 1 cohort study,</w:t>
      </w:r>
      <w:r w:rsidR="005853A9">
        <w:rPr>
          <w:kern w:val="0"/>
        </w:rPr>
        <w:t xml:space="preserve"> and </w:t>
      </w:r>
      <w:r>
        <w:rPr>
          <w:kern w:val="0"/>
        </w:rPr>
        <w:t>1 cross-sectional study,</w:t>
      </w:r>
      <w:r w:rsidR="005853A9">
        <w:rPr>
          <w:kern w:val="0"/>
        </w:rPr>
        <w:t xml:space="preserve"> and </w:t>
      </w:r>
      <w:r>
        <w:rPr>
          <w:kern w:val="0"/>
        </w:rPr>
        <w:t xml:space="preserve">4 </w:t>
      </w:r>
      <w:r>
        <w:rPr>
          <w:kern w:val="0"/>
        </w:rPr>
        <w:lastRenderedPageBreak/>
        <w:t>reports (33%)</w:t>
      </w:r>
      <w:r w:rsidR="00427468">
        <w:rPr>
          <w:kern w:val="0"/>
        </w:rPr>
        <w:t xml:space="preserve"> of </w:t>
      </w:r>
      <w:r>
        <w:rPr>
          <w:kern w:val="0"/>
        </w:rPr>
        <w:t>studies in animals or human cell lines or serum</w:t>
      </w:r>
      <w:r w:rsidR="00A37C1D">
        <w:rPr>
          <w:kern w:val="0"/>
        </w:rPr>
        <w:t>. The</w:t>
      </w:r>
      <w:r w:rsidR="003A1917">
        <w:rPr>
          <w:kern w:val="0"/>
        </w:rPr>
        <w:t xml:space="preserve"> </w:t>
      </w:r>
      <w:r>
        <w:rPr>
          <w:kern w:val="0"/>
        </w:rPr>
        <w:t>results</w:t>
      </w:r>
      <w:r w:rsidR="00427468">
        <w:rPr>
          <w:kern w:val="0"/>
        </w:rPr>
        <w:t xml:space="preserve"> of </w:t>
      </w:r>
      <w:r w:rsidR="003A1917">
        <w:rPr>
          <w:kern w:val="0"/>
        </w:rPr>
        <w:t xml:space="preserve">the </w:t>
      </w:r>
      <w:r>
        <w:rPr>
          <w:kern w:val="0"/>
        </w:rPr>
        <w:t>largest study suggested an association</w:t>
      </w:r>
      <w:r w:rsidR="00427468">
        <w:rPr>
          <w:kern w:val="0"/>
        </w:rPr>
        <w:t xml:space="preserve"> of </w:t>
      </w:r>
      <w:r>
        <w:rPr>
          <w:kern w:val="0"/>
        </w:rPr>
        <w:t>reported consumption</w:t>
      </w:r>
      <w:r w:rsidR="00427468">
        <w:rPr>
          <w:kern w:val="0"/>
        </w:rPr>
        <w:t xml:space="preserve"> of </w:t>
      </w:r>
      <w:r>
        <w:rPr>
          <w:kern w:val="0"/>
        </w:rPr>
        <w:t>strictly organic dairy products with a reduced risk</w:t>
      </w:r>
      <w:r w:rsidR="00427468">
        <w:rPr>
          <w:kern w:val="0"/>
        </w:rPr>
        <w:t xml:space="preserve"> of </w:t>
      </w:r>
      <w:r>
        <w:rPr>
          <w:kern w:val="0"/>
        </w:rPr>
        <w:t>eczema in infants, but</w:t>
      </w:r>
      <w:r w:rsidR="003A1917">
        <w:rPr>
          <w:kern w:val="0"/>
        </w:rPr>
        <w:t xml:space="preserve"> the </w:t>
      </w:r>
      <w:r>
        <w:rPr>
          <w:kern w:val="0"/>
        </w:rPr>
        <w:t>majority</w:t>
      </w:r>
      <w:r w:rsidR="00427468">
        <w:rPr>
          <w:kern w:val="0"/>
        </w:rPr>
        <w:t xml:space="preserve"> of </w:t>
      </w:r>
      <w:r w:rsidR="003A1917">
        <w:rPr>
          <w:kern w:val="0"/>
        </w:rPr>
        <w:t xml:space="preserve">the </w:t>
      </w:r>
      <w:r>
        <w:rPr>
          <w:kern w:val="0"/>
        </w:rPr>
        <w:t>remaining studies showed no evidence</w:t>
      </w:r>
      <w:r w:rsidR="00427468">
        <w:rPr>
          <w:kern w:val="0"/>
        </w:rPr>
        <w:t xml:space="preserve"> of </w:t>
      </w:r>
      <w:r>
        <w:rPr>
          <w:kern w:val="0"/>
        </w:rPr>
        <w:t>differences in nutrition-related health outcomes that result from exposure to organic or conventionally produced foodstuffs. Given</w:t>
      </w:r>
      <w:r w:rsidR="003A1917">
        <w:rPr>
          <w:kern w:val="0"/>
        </w:rPr>
        <w:t xml:space="preserve"> the </w:t>
      </w:r>
      <w:r>
        <w:rPr>
          <w:kern w:val="0"/>
        </w:rPr>
        <w:t>paucity</w:t>
      </w:r>
      <w:r w:rsidR="00427468">
        <w:rPr>
          <w:kern w:val="0"/>
        </w:rPr>
        <w:t xml:space="preserve"> of </w:t>
      </w:r>
      <w:r>
        <w:rPr>
          <w:kern w:val="0"/>
        </w:rPr>
        <w:t>available data,</w:t>
      </w:r>
      <w:r w:rsidR="003A1917">
        <w:rPr>
          <w:kern w:val="0"/>
        </w:rPr>
        <w:t xml:space="preserve"> the </w:t>
      </w:r>
      <w:r>
        <w:rPr>
          <w:kern w:val="0"/>
        </w:rPr>
        <w:t>heterogeneity</w:t>
      </w:r>
      <w:r w:rsidR="00427468">
        <w:rPr>
          <w:kern w:val="0"/>
        </w:rPr>
        <w:t xml:space="preserve"> of </w:t>
      </w:r>
      <w:r>
        <w:rPr>
          <w:kern w:val="0"/>
        </w:rPr>
        <w:t>study designs used, exposures tested,</w:t>
      </w:r>
      <w:r w:rsidR="005853A9">
        <w:rPr>
          <w:kern w:val="0"/>
        </w:rPr>
        <w:t xml:space="preserve"> and </w:t>
      </w:r>
      <w:r>
        <w:rPr>
          <w:kern w:val="0"/>
        </w:rPr>
        <w:t>health outcomes investigated, no quantitative meta-analysis was justified. Conclusion: From a systematic review</w:t>
      </w:r>
      <w:r w:rsidR="00427468">
        <w:rPr>
          <w:kern w:val="0"/>
        </w:rPr>
        <w:t xml:space="preserve"> of </w:t>
      </w:r>
      <w:r w:rsidR="003A1917">
        <w:rPr>
          <w:kern w:val="0"/>
        </w:rPr>
        <w:t xml:space="preserve">the </w:t>
      </w:r>
      <w:r>
        <w:rPr>
          <w:kern w:val="0"/>
        </w:rPr>
        <w:t>currently available published literature, evidence is lacking for nutrition-related health effects that result from</w:t>
      </w:r>
      <w:r w:rsidR="003A1917">
        <w:rPr>
          <w:kern w:val="0"/>
        </w:rPr>
        <w:t xml:space="preserve"> the </w:t>
      </w:r>
      <w:r>
        <w:rPr>
          <w:kern w:val="0"/>
        </w:rPr>
        <w:t>consumption</w:t>
      </w:r>
      <w:r w:rsidR="00427468">
        <w:rPr>
          <w:kern w:val="0"/>
        </w:rPr>
        <w:t xml:space="preserve"> of </w:t>
      </w:r>
      <w:r>
        <w:rPr>
          <w:kern w:val="0"/>
        </w:rPr>
        <w:t>organically produced foodstuffs. Am J Clin Nutr 2010;92:203-10.</w:t>
      </w:r>
    </w:p>
    <w:p w:rsidR="00EC41C3" w:rsidRDefault="00EC41C3" w:rsidP="00EC41C3">
      <w:pPr>
        <w:pStyle w:val="a3"/>
        <w:rPr>
          <w:kern w:val="0"/>
        </w:rPr>
      </w:pPr>
      <w:r>
        <w:rPr>
          <w:kern w:val="0"/>
        </w:rPr>
        <w:t>Keywords: Antioxidant, Capacity, Clinical Trials, Cohort Study, Consequences, Consumer, Consumption, Density-Lipoprotein Oxidation, Eczema, Guidelines, Health Benefits, Health Outcomes, Human, Humans, Infants</w:t>
      </w:r>
      <w:r w:rsidR="00D5664A">
        <w:rPr>
          <w:kern w:val="0"/>
        </w:rPr>
        <w:t>, ISI,</w:t>
      </w:r>
      <w:r>
        <w:rPr>
          <w:kern w:val="0"/>
        </w:rPr>
        <w:t xml:space="preserve"> Literature, Meta-Analysis, Netherlands, Outcomes, Polyunsaturated Fatty-Acids, </w:t>
      </w:r>
      <w:r w:rsidR="002C12F0">
        <w:rPr>
          <w:kern w:val="0"/>
        </w:rPr>
        <w:t>PUBMED</w:t>
      </w:r>
      <w:r>
        <w:rPr>
          <w:kern w:val="0"/>
        </w:rPr>
        <w:t xml:space="preserve">, Quantitative, Review, Risk, Science, Systematic, Systematic Review, </w:t>
      </w:r>
      <w:r w:rsidR="00D5664A">
        <w:rPr>
          <w:kern w:val="0"/>
        </w:rPr>
        <w:t>Web</w:t>
      </w:r>
      <w:r w:rsidR="00427468">
        <w:rPr>
          <w:kern w:val="0"/>
        </w:rPr>
        <w:t xml:space="preserve"> of </w:t>
      </w:r>
      <w:r w:rsidR="00D5664A">
        <w:rPr>
          <w:kern w:val="0"/>
        </w:rPr>
        <w:t>Science</w:t>
      </w:r>
    </w:p>
    <w:p w:rsidR="00BB6DEA" w:rsidRDefault="00BB6DEA" w:rsidP="00BB6DEA">
      <w:pPr>
        <w:pStyle w:val="a3"/>
        <w:rPr>
          <w:kern w:val="0"/>
          <w:szCs w:val="24"/>
        </w:rPr>
      </w:pPr>
      <w:r>
        <w:rPr>
          <w:rFonts w:hint="eastAsia"/>
          <w:kern w:val="0"/>
          <w:szCs w:val="24"/>
        </w:rPr>
        <w:t xml:space="preserve">? </w:t>
      </w:r>
      <w:r>
        <w:rPr>
          <w:kern w:val="0"/>
          <w:szCs w:val="24"/>
        </w:rPr>
        <w:t>Zittermann, A., Iodice, S., Pilz, S., Grant, W.B., Bagnardi, V.</w:t>
      </w:r>
      <w:r w:rsidR="005853A9">
        <w:rPr>
          <w:kern w:val="0"/>
          <w:szCs w:val="24"/>
        </w:rPr>
        <w:t xml:space="preserve"> and </w:t>
      </w:r>
      <w:r>
        <w:rPr>
          <w:kern w:val="0"/>
          <w:szCs w:val="24"/>
        </w:rPr>
        <w:t>Gandini, S. (2012), Vitamin D deficiency</w:t>
      </w:r>
      <w:r w:rsidR="005853A9">
        <w:rPr>
          <w:kern w:val="0"/>
          <w:szCs w:val="24"/>
        </w:rPr>
        <w:t xml:space="preserve"> and </w:t>
      </w:r>
      <w:r>
        <w:rPr>
          <w:kern w:val="0"/>
          <w:szCs w:val="24"/>
        </w:rPr>
        <w:t>mortality risk in</w:t>
      </w:r>
      <w:r w:rsidR="003A1917">
        <w:rPr>
          <w:kern w:val="0"/>
          <w:szCs w:val="24"/>
        </w:rPr>
        <w:t xml:space="preserve"> the </w:t>
      </w:r>
      <w:r>
        <w:rPr>
          <w:kern w:val="0"/>
          <w:szCs w:val="24"/>
        </w:rPr>
        <w:t>general population: A meta-analysis</w:t>
      </w:r>
      <w:r w:rsidR="00427468">
        <w:rPr>
          <w:kern w:val="0"/>
          <w:szCs w:val="24"/>
        </w:rPr>
        <w:t xml:space="preserve"> of </w:t>
      </w:r>
      <w:r>
        <w:rPr>
          <w:kern w:val="0"/>
          <w:szCs w:val="24"/>
        </w:rPr>
        <w:t xml:space="preserve">prospective cohort studies. </w:t>
      </w:r>
      <w:r>
        <w:rPr>
          <w:i/>
          <w:iCs/>
          <w:kern w:val="0"/>
          <w:szCs w:val="24"/>
        </w:rPr>
        <w:t>American Journal</w:t>
      </w:r>
      <w:r w:rsidR="00427468">
        <w:rPr>
          <w:i/>
          <w:iCs/>
          <w:kern w:val="0"/>
          <w:szCs w:val="24"/>
        </w:rPr>
        <w:t xml:space="preserve"> of </w:t>
      </w:r>
      <w:r>
        <w:rPr>
          <w:i/>
          <w:iCs/>
          <w:kern w:val="0"/>
          <w:szCs w:val="24"/>
        </w:rPr>
        <w:t>Clinical Nutrition</w:t>
      </w:r>
      <w:r>
        <w:rPr>
          <w:kern w:val="0"/>
          <w:szCs w:val="24"/>
        </w:rPr>
        <w:t xml:space="preserve">, </w:t>
      </w:r>
      <w:r>
        <w:rPr>
          <w:b/>
          <w:bCs/>
          <w:kern w:val="0"/>
          <w:szCs w:val="24"/>
        </w:rPr>
        <w:t>95</w:t>
      </w:r>
      <w:r>
        <w:rPr>
          <w:kern w:val="0"/>
          <w:szCs w:val="24"/>
        </w:rPr>
        <w:t xml:space="preserve"> (1), 91-100.</w:t>
      </w:r>
    </w:p>
    <w:p w:rsidR="00BB6DEA" w:rsidRPr="001A3D2B" w:rsidRDefault="00BB6DEA" w:rsidP="00BB6DEA">
      <w:pPr>
        <w:pStyle w:val="a3"/>
      </w:pPr>
      <w:r w:rsidRPr="001A3D2B">
        <w:t xml:space="preserve">Full Text: </w:t>
      </w:r>
      <w:hyperlink r:id="rId437" w:history="1">
        <w:r w:rsidRPr="006F033C">
          <w:rPr>
            <w:rStyle w:val="a5"/>
          </w:rPr>
          <w:t>2012\Ame J Cli Nut95, 91.pdf</w:t>
        </w:r>
      </w:hyperlink>
    </w:p>
    <w:p w:rsidR="00BB6DEA" w:rsidRDefault="00BB6DEA" w:rsidP="00BB6DEA">
      <w:pPr>
        <w:pStyle w:val="a3"/>
        <w:rPr>
          <w:kern w:val="0"/>
          <w:szCs w:val="24"/>
        </w:rPr>
      </w:pPr>
      <w:r>
        <w:rPr>
          <w:kern w:val="0"/>
          <w:szCs w:val="24"/>
        </w:rPr>
        <w:t>Abstract: Background: Low vitamin D status may increase mortality risk. Objective: We used nonparametric (</w:t>
      </w:r>
      <w:r w:rsidR="00B5188C">
        <w:rPr>
          <w:kern w:val="0"/>
          <w:szCs w:val="24"/>
        </w:rPr>
        <w:t>“</w:t>
      </w:r>
      <w:r>
        <w:rPr>
          <w:kern w:val="0"/>
          <w:szCs w:val="24"/>
        </w:rPr>
        <w:t>highest compared with lowest</w:t>
      </w:r>
      <w:r w:rsidR="00B5188C">
        <w:rPr>
          <w:kern w:val="0"/>
          <w:szCs w:val="24"/>
        </w:rPr>
        <w:t>”</w:t>
      </w:r>
      <w:r>
        <w:rPr>
          <w:kern w:val="0"/>
          <w:szCs w:val="24"/>
        </w:rPr>
        <w:t xml:space="preserve"> categories)</w:t>
      </w:r>
      <w:r w:rsidR="005853A9">
        <w:rPr>
          <w:kern w:val="0"/>
          <w:szCs w:val="24"/>
        </w:rPr>
        <w:t xml:space="preserve"> and </w:t>
      </w:r>
      <w:r>
        <w:rPr>
          <w:kern w:val="0"/>
          <w:szCs w:val="24"/>
        </w:rPr>
        <w:t>parametric (&gt;2 categories) statistical models to evaluate associations</w:t>
      </w:r>
      <w:r w:rsidR="00427468">
        <w:rPr>
          <w:kern w:val="0"/>
          <w:szCs w:val="24"/>
        </w:rPr>
        <w:t xml:space="preserve"> of </w:t>
      </w:r>
      <w:r>
        <w:rPr>
          <w:kern w:val="0"/>
          <w:szCs w:val="24"/>
        </w:rPr>
        <w:t>25-hydroxyvitamin D [25(OH)D] serum concentrations</w:t>
      </w:r>
      <w:r w:rsidR="005853A9">
        <w:rPr>
          <w:kern w:val="0"/>
          <w:szCs w:val="24"/>
        </w:rPr>
        <w:t xml:space="preserve"> and </w:t>
      </w:r>
      <w:r>
        <w:rPr>
          <w:kern w:val="0"/>
          <w:szCs w:val="24"/>
        </w:rPr>
        <w:t xml:space="preserve">mortality in observational studies among general populations. Design: We searched PubMed, EMBASE, </w:t>
      </w:r>
      <w:r w:rsidR="00D5664A">
        <w:rPr>
          <w:kern w:val="0"/>
          <w:szCs w:val="24"/>
        </w:rPr>
        <w:t>Web</w:t>
      </w:r>
      <w:r w:rsidR="00427468">
        <w:rPr>
          <w:kern w:val="0"/>
          <w:szCs w:val="24"/>
        </w:rPr>
        <w:t xml:space="preserve"> of </w:t>
      </w:r>
      <w:r w:rsidR="00D5664A">
        <w:rPr>
          <w:kern w:val="0"/>
          <w:szCs w:val="24"/>
        </w:rPr>
        <w:t>Science</w:t>
      </w:r>
      <w:r>
        <w:rPr>
          <w:kern w:val="0"/>
          <w:szCs w:val="24"/>
        </w:rPr>
        <w:t>,</w:t>
      </w:r>
      <w:r w:rsidR="005853A9">
        <w:rPr>
          <w:kern w:val="0"/>
          <w:szCs w:val="24"/>
        </w:rPr>
        <w:t xml:space="preserve"> and </w:t>
      </w:r>
      <w:r>
        <w:rPr>
          <w:kern w:val="0"/>
          <w:szCs w:val="24"/>
        </w:rPr>
        <w:t>reference lists for relevant articles. We included studies that contained data on relative risks (RRs) for mortality for different 25(OH)D concentrations, which included a corresponding measure</w:t>
      </w:r>
      <w:r w:rsidR="00427468">
        <w:rPr>
          <w:kern w:val="0"/>
          <w:szCs w:val="24"/>
        </w:rPr>
        <w:t xml:space="preserve"> of </w:t>
      </w:r>
      <w:r>
        <w:rPr>
          <w:kern w:val="0"/>
          <w:szCs w:val="24"/>
        </w:rPr>
        <w:t>uncertainty,</w:t>
      </w:r>
      <w:r w:rsidR="005853A9">
        <w:rPr>
          <w:kern w:val="0"/>
          <w:szCs w:val="24"/>
        </w:rPr>
        <w:t xml:space="preserve"> and </w:t>
      </w:r>
      <w:r>
        <w:rPr>
          <w:kern w:val="0"/>
          <w:szCs w:val="24"/>
        </w:rPr>
        <w:t>this yielded 14 prospective cohort studies that involved 5562 deaths out</w:t>
      </w:r>
      <w:r w:rsidR="00427468">
        <w:rPr>
          <w:kern w:val="0"/>
          <w:szCs w:val="24"/>
        </w:rPr>
        <w:t xml:space="preserve"> of </w:t>
      </w:r>
      <w:r>
        <w:rPr>
          <w:kern w:val="0"/>
          <w:szCs w:val="24"/>
        </w:rPr>
        <w:t>62,548 individuals. We applied log-transformed RRs</w:t>
      </w:r>
      <w:r w:rsidR="005853A9">
        <w:rPr>
          <w:kern w:val="0"/>
          <w:szCs w:val="24"/>
        </w:rPr>
        <w:t xml:space="preserve"> and </w:t>
      </w:r>
      <w:r>
        <w:rPr>
          <w:kern w:val="0"/>
          <w:szCs w:val="24"/>
        </w:rPr>
        <w:t>CIs, adjusted for</w:t>
      </w:r>
      <w:r w:rsidR="003A1917">
        <w:rPr>
          <w:kern w:val="0"/>
          <w:szCs w:val="24"/>
        </w:rPr>
        <w:t xml:space="preserve"> the </w:t>
      </w:r>
      <w:r>
        <w:rPr>
          <w:kern w:val="0"/>
          <w:szCs w:val="24"/>
        </w:rPr>
        <w:t>maximal number</w:t>
      </w:r>
      <w:r w:rsidR="00427468">
        <w:rPr>
          <w:kern w:val="0"/>
          <w:szCs w:val="24"/>
        </w:rPr>
        <w:t xml:space="preserve"> of </w:t>
      </w:r>
      <w:r>
        <w:rPr>
          <w:kern w:val="0"/>
          <w:szCs w:val="24"/>
        </w:rPr>
        <w:t>confounding variables. In</w:t>
      </w:r>
      <w:r w:rsidR="003A1917">
        <w:rPr>
          <w:kern w:val="0"/>
          <w:szCs w:val="24"/>
        </w:rPr>
        <w:t xml:space="preserve"> the </w:t>
      </w:r>
      <w:r>
        <w:rPr>
          <w:kern w:val="0"/>
          <w:szCs w:val="24"/>
        </w:rPr>
        <w:t>parametric model, which is based on 11 studies</w:t>
      </w:r>
      <w:r w:rsidR="005853A9">
        <w:rPr>
          <w:kern w:val="0"/>
          <w:szCs w:val="24"/>
        </w:rPr>
        <w:t xml:space="preserve"> and </w:t>
      </w:r>
      <w:r>
        <w:rPr>
          <w:kern w:val="0"/>
          <w:szCs w:val="24"/>
        </w:rPr>
        <w:t>59,231 individuals, we used</w:t>
      </w:r>
      <w:r w:rsidR="003A1917">
        <w:rPr>
          <w:kern w:val="0"/>
          <w:szCs w:val="24"/>
        </w:rPr>
        <w:t xml:space="preserve"> the </w:t>
      </w:r>
      <w:r>
        <w:rPr>
          <w:kern w:val="0"/>
          <w:szCs w:val="24"/>
        </w:rPr>
        <w:t>lowest quantile as</w:t>
      </w:r>
      <w:r w:rsidR="003A1917">
        <w:rPr>
          <w:kern w:val="0"/>
          <w:szCs w:val="24"/>
        </w:rPr>
        <w:t xml:space="preserve"> the </w:t>
      </w:r>
      <w:r>
        <w:rPr>
          <w:kern w:val="0"/>
          <w:szCs w:val="24"/>
        </w:rPr>
        <w:t xml:space="preserve">reference category. Results: For </w:t>
      </w:r>
      <w:r w:rsidR="00B5188C">
        <w:rPr>
          <w:kern w:val="0"/>
          <w:szCs w:val="24"/>
        </w:rPr>
        <w:t>“</w:t>
      </w:r>
      <w:r>
        <w:rPr>
          <w:kern w:val="0"/>
          <w:szCs w:val="24"/>
        </w:rPr>
        <w:t>highest compared with lowest</w:t>
      </w:r>
      <w:r w:rsidR="00B5188C">
        <w:rPr>
          <w:kern w:val="0"/>
          <w:szCs w:val="24"/>
        </w:rPr>
        <w:t>”</w:t>
      </w:r>
      <w:r>
        <w:rPr>
          <w:kern w:val="0"/>
          <w:szCs w:val="24"/>
        </w:rPr>
        <w:t xml:space="preserve"> categories</w:t>
      </w:r>
      <w:r w:rsidR="00427468">
        <w:rPr>
          <w:kern w:val="0"/>
          <w:szCs w:val="24"/>
        </w:rPr>
        <w:t xml:space="preserve"> of </w:t>
      </w:r>
      <w:r>
        <w:rPr>
          <w:kern w:val="0"/>
          <w:szCs w:val="24"/>
        </w:rPr>
        <w:t>25(OH)D,</w:t>
      </w:r>
      <w:r w:rsidR="003A1917">
        <w:rPr>
          <w:kern w:val="0"/>
          <w:szCs w:val="24"/>
        </w:rPr>
        <w:t xml:space="preserve"> the </w:t>
      </w:r>
      <w:r>
        <w:rPr>
          <w:kern w:val="0"/>
          <w:szCs w:val="24"/>
        </w:rPr>
        <w:t>estimated summary RR</w:t>
      </w:r>
      <w:r w:rsidR="00427468">
        <w:rPr>
          <w:kern w:val="0"/>
          <w:szCs w:val="24"/>
        </w:rPr>
        <w:t xml:space="preserve"> of </w:t>
      </w:r>
      <w:r>
        <w:rPr>
          <w:kern w:val="0"/>
          <w:szCs w:val="24"/>
        </w:rPr>
        <w:t>mortality was 0.71 (95% CI: 0.50, 0.91). In</w:t>
      </w:r>
      <w:r w:rsidR="003A1917">
        <w:rPr>
          <w:kern w:val="0"/>
          <w:szCs w:val="24"/>
        </w:rPr>
        <w:t xml:space="preserve"> the </w:t>
      </w:r>
      <w:r>
        <w:rPr>
          <w:kern w:val="0"/>
          <w:szCs w:val="24"/>
        </w:rPr>
        <w:t>parametric model,</w:t>
      </w:r>
      <w:r w:rsidR="003A1917">
        <w:rPr>
          <w:kern w:val="0"/>
          <w:szCs w:val="24"/>
        </w:rPr>
        <w:t xml:space="preserve"> the </w:t>
      </w:r>
      <w:r>
        <w:rPr>
          <w:kern w:val="0"/>
          <w:szCs w:val="24"/>
        </w:rPr>
        <w:t>estimated summary RRs (95% CI)</w:t>
      </w:r>
      <w:r w:rsidR="00427468">
        <w:rPr>
          <w:kern w:val="0"/>
          <w:szCs w:val="24"/>
        </w:rPr>
        <w:t xml:space="preserve"> of </w:t>
      </w:r>
      <w:r>
        <w:rPr>
          <w:kern w:val="0"/>
          <w:szCs w:val="24"/>
        </w:rPr>
        <w:t>mortality were 0.86 (0.82, 0.91), 0.77 (0.70, 0.84),</w:t>
      </w:r>
      <w:r w:rsidR="005853A9">
        <w:rPr>
          <w:kern w:val="0"/>
          <w:szCs w:val="24"/>
        </w:rPr>
        <w:t xml:space="preserve"> and </w:t>
      </w:r>
      <w:r>
        <w:rPr>
          <w:kern w:val="0"/>
          <w:szCs w:val="24"/>
        </w:rPr>
        <w:t>0.69 (0.60, 0.78) for individuals with an increase</w:t>
      </w:r>
      <w:r w:rsidR="00427468">
        <w:rPr>
          <w:kern w:val="0"/>
          <w:szCs w:val="24"/>
        </w:rPr>
        <w:t xml:space="preserve"> of </w:t>
      </w:r>
      <w:r>
        <w:rPr>
          <w:kern w:val="0"/>
          <w:szCs w:val="24"/>
        </w:rPr>
        <w:t>12.5, 25,</w:t>
      </w:r>
      <w:r w:rsidR="005853A9">
        <w:rPr>
          <w:kern w:val="0"/>
          <w:szCs w:val="24"/>
        </w:rPr>
        <w:t xml:space="preserve"> and </w:t>
      </w:r>
      <w:r>
        <w:rPr>
          <w:kern w:val="0"/>
          <w:szCs w:val="24"/>
        </w:rPr>
        <w:t>50 nmol 25(OH)D serum values/L, respectively, from a median reference category</w:t>
      </w:r>
      <w:r w:rsidR="00427468">
        <w:rPr>
          <w:kern w:val="0"/>
          <w:szCs w:val="24"/>
        </w:rPr>
        <w:t xml:space="preserve"> of </w:t>
      </w:r>
      <w:r>
        <w:rPr>
          <w:kern w:val="0"/>
          <w:szCs w:val="24"/>
        </w:rPr>
        <w:t>similar to 27.5 nmol/L</w:t>
      </w:r>
      <w:r w:rsidR="00A37C1D">
        <w:rPr>
          <w:kern w:val="0"/>
          <w:szCs w:val="24"/>
        </w:rPr>
        <w:t>. The</w:t>
      </w:r>
      <w:r>
        <w:rPr>
          <w:kern w:val="0"/>
          <w:szCs w:val="24"/>
        </w:rPr>
        <w:t>re was, however, no significant decrease in mortality when an increase</w:t>
      </w:r>
      <w:r w:rsidR="00427468">
        <w:rPr>
          <w:kern w:val="0"/>
          <w:szCs w:val="24"/>
        </w:rPr>
        <w:t xml:space="preserve"> </w:t>
      </w:r>
      <w:r w:rsidR="00427468">
        <w:rPr>
          <w:kern w:val="0"/>
          <w:szCs w:val="24"/>
        </w:rPr>
        <w:lastRenderedPageBreak/>
        <w:t xml:space="preserve">of </w:t>
      </w:r>
      <w:r>
        <w:rPr>
          <w:kern w:val="0"/>
          <w:szCs w:val="24"/>
        </w:rPr>
        <w:t>similar to 87.5 nmol/L above</w:t>
      </w:r>
      <w:r w:rsidR="003A1917">
        <w:rPr>
          <w:kern w:val="0"/>
          <w:szCs w:val="24"/>
        </w:rPr>
        <w:t xml:space="preserve"> the </w:t>
      </w:r>
      <w:r>
        <w:rPr>
          <w:kern w:val="0"/>
          <w:szCs w:val="24"/>
        </w:rPr>
        <w:t>reference category occurred. Conclusion: Data suggest a nonlinear decrease in mortality risk as circulating 25(OH) D increases, with optimal concentrations similar to 75-87.5 nmol/L. Am J Clin Nutr 2012;95:91-100.</w:t>
      </w:r>
    </w:p>
    <w:p w:rsidR="00BB6DEA" w:rsidRDefault="00BB6DEA" w:rsidP="00BB6DEA">
      <w:pPr>
        <w:pStyle w:val="a3"/>
        <w:rPr>
          <w:kern w:val="0"/>
          <w:szCs w:val="24"/>
        </w:rPr>
      </w:pPr>
      <w:r>
        <w:rPr>
          <w:kern w:val="0"/>
          <w:szCs w:val="24"/>
        </w:rPr>
        <w:t xml:space="preserve">Keywords: All-Cause Mortality, Cancer-Risk, Cardiovascular-Disease Mortality, Cohort Studies, Confounding, D Supplementation, D-Receptor, Dose-Response Data, Embase, Meta Analysis, Meta-Analysis, Meta-Regression, Model, Mortality, Nonlinear, Nonparametric, Observational, Observational Studies, Older Men, Pubmed, Randomized-Controlled-Trials, Risk, Science, Serum 25-Hydroxyvitamin D, Statistical, Vitamin D, </w:t>
      </w:r>
      <w:r w:rsidR="00D5664A">
        <w:rPr>
          <w:kern w:val="0"/>
          <w:szCs w:val="24"/>
        </w:rPr>
        <w:t>Web</w:t>
      </w:r>
      <w:r w:rsidR="00427468">
        <w:rPr>
          <w:kern w:val="0"/>
          <w:szCs w:val="24"/>
        </w:rPr>
        <w:t xml:space="preserve"> of </w:t>
      </w:r>
      <w:r w:rsidR="00D5664A">
        <w:rPr>
          <w:kern w:val="0"/>
          <w:szCs w:val="24"/>
        </w:rPr>
        <w:t>Science</w:t>
      </w:r>
    </w:p>
    <w:p w:rsidR="00116069" w:rsidRDefault="00116069" w:rsidP="00116069">
      <w:pPr>
        <w:pStyle w:val="a3"/>
        <w:rPr>
          <w:kern w:val="0"/>
        </w:rPr>
      </w:pPr>
      <w:r>
        <w:rPr>
          <w:rFonts w:hint="eastAsia"/>
          <w:kern w:val="0"/>
        </w:rPr>
        <w:t xml:space="preserve">? </w:t>
      </w:r>
      <w:r>
        <w:rPr>
          <w:kern w:val="0"/>
        </w:rPr>
        <w:t xml:space="preserve">Te Morenga, L.A., Howatson, A.J., Jones, R.M. and Mann, J. (2014), Dietary sugars and cardiometabolic risk: Systematic review and meta-analyses of randomized controlled trials of the effects on blood pressure and lipids. </w:t>
      </w:r>
      <w:r>
        <w:rPr>
          <w:i/>
          <w:iCs/>
          <w:kern w:val="0"/>
        </w:rPr>
        <w:t>American Journal of Clinical Nutrition</w:t>
      </w:r>
      <w:r>
        <w:rPr>
          <w:kern w:val="0"/>
        </w:rPr>
        <w:t xml:space="preserve">, </w:t>
      </w:r>
      <w:r>
        <w:rPr>
          <w:rFonts w:hint="eastAsia"/>
          <w:b/>
          <w:bCs/>
          <w:kern w:val="0"/>
        </w:rPr>
        <w:t>100</w:t>
      </w:r>
      <w:r>
        <w:rPr>
          <w:kern w:val="0"/>
        </w:rPr>
        <w:t xml:space="preserve"> (1), 65-79.</w:t>
      </w:r>
    </w:p>
    <w:p w:rsidR="00116069" w:rsidRPr="001A3D2B" w:rsidRDefault="00116069" w:rsidP="00116069">
      <w:pPr>
        <w:pStyle w:val="a3"/>
      </w:pPr>
      <w:r w:rsidRPr="001A3D2B">
        <w:t xml:space="preserve">Full Text: </w:t>
      </w:r>
      <w:hyperlink r:id="rId438" w:history="1">
        <w:r w:rsidRPr="00CB109C">
          <w:rPr>
            <w:rStyle w:val="a5"/>
          </w:rPr>
          <w:t>2014\Ame J Cli Nut100, 65.pdf</w:t>
        </w:r>
      </w:hyperlink>
    </w:p>
    <w:p w:rsidR="00116069" w:rsidRDefault="00116069" w:rsidP="00116069">
      <w:pPr>
        <w:pStyle w:val="a3"/>
        <w:rPr>
          <w:kern w:val="0"/>
        </w:rPr>
      </w:pPr>
      <w:r>
        <w:rPr>
          <w:kern w:val="0"/>
        </w:rPr>
        <w:t xml:space="preserve">Abstract: Background: Dietary sugars have been suggested as a cause of obesity, several chronic diseases, and a range of cardiometabolic risk factors, but there is no convincing evidence of a causal relation between sugars and risk factors other than body weight. Objective: We conducted a systematic review and meta-analysis of randomized controlled trials that examined effects of the modification of dietary free sugars on blood pressure and lipids. Design: Systematic searches were conducted in OVID Medline, Embase, Scopus, Cumulative Index to Nursing and Allied Health Literature, and Web of Science databases (to August 2013) to identify studies that reported intakes of free sugars and at least one lipid or blood pressure outcome. The minimum trial duration was 2 wk. We pooled data by using inverse-variance methods with random-effects models. Results: A total of 39 of 11,517 trials identified were included; 37 trials reported lipid outcomes, and 12 trials reported blood pressure outcomes. Higher compared with lower sugar intakes significantly raised triglyceride concentrations [mean difference (MD): 0.11 mmol/L; 95% CI: 0.07, 0.15 mmol/L; P &lt; 0.0001], total cholesterol (MD: 0.16 mmol/L; 95% CI: 0.10, 0.24 mmol/L; P &lt; 0.0001), low-density lipoprotein cholesterol (0.12 mmol/L; 95% CI: 0.05, 0.19 mmol/L; P = 0.0001), and high-density lipoprotein cholesterol (MD: 0.02 mmol/L; 95% CI: 0.00, 0.03 mmol/L; P = 0.03). Sub-group analyses showed the most marked relation between sugar intakes and lipids in studies in which efforts were made to ensure an energy balance and when no difference in weight change was reported. Potential explanatory factors, including a weight change, in most instances explained &lt;15% of the heterogeneity between studies (I-2 = 36-75%). The effect of sugar intake on blood pressure was greatest in trials &gt;= 8 wk in duration [MD: 6.9 mm Hg (95% CI: 3.4, 10.3 mm Hg; P &lt; 0.001) for systolic blood pressure and 5.6 mm Hg (95% CI: 2.5, 8.8 mm Hg; P = 0.0005) for diastolic blood pressure]. </w:t>
      </w:r>
      <w:r>
        <w:rPr>
          <w:kern w:val="0"/>
        </w:rPr>
        <w:lastRenderedPageBreak/>
        <w:t>Conclusions: Dietary sugars influence blood pressure and serum lipids. The relation is independent of effects of sugars on body weight. Protocols for this review were registered separately for effects of sugars on blood pressure and lipids in the PROSPERO International prospective register of systematic reviews as PROSPERO 2012: CRD42012002379 and 2012: CRD42012002437, respectively.</w:t>
      </w:r>
    </w:p>
    <w:p w:rsidR="00116069" w:rsidRDefault="00116069" w:rsidP="00116069">
      <w:pPr>
        <w:pStyle w:val="a3"/>
        <w:rPr>
          <w:kern w:val="0"/>
        </w:rPr>
      </w:pPr>
      <w:r>
        <w:rPr>
          <w:kern w:val="0"/>
        </w:rPr>
        <w:t>Keywords: Analyses, Balance, Blood, Blood Pressure, Body Weight, Body-Weight, Cholesterol, Chronic, Data, Databases, Design, Diseases, Duration, Effects, Energy, Energy Balance, Evidence, Fructose Corn Syrup, Health, Heterogeneity, Hyperlipoproteinemic Patients, Ii Diabetic Subjects, Influence, Insulin Sensitivity, Lipid, Lipids, Literature, Medline, Meta Analysis, Meta-Analysis, Metaanalysis, Metabolic Syndrome, Methods, Minimum, Models, Modification, Nursing, Obesity, Outcome, Outcomes, P, Plasma Triglyceride Levels, Pressure, Prospective, Randomized, Randomized Controlled Trials, Results, Review, Reviews, Risk, Risk Factors, Science, Scopus, Serum, Serum-Lipids, Sweetened Beverage Consumption, Systematic, Systematic Review, Systematic Reviews, Trial, Triglyceride, Uric-Acid, Web Of Science, Web Of Science Databases</w:t>
      </w:r>
    </w:p>
    <w:p w:rsidR="00255930" w:rsidRDefault="00255930" w:rsidP="00255930">
      <w:pPr>
        <w:pStyle w:val="a3"/>
      </w:pPr>
      <w:r>
        <w:rPr>
          <w:rFonts w:hint="eastAsia"/>
        </w:rPr>
        <w:t xml:space="preserve">? </w:t>
      </w:r>
      <w:r>
        <w:t xml:space="preserve">Mohammadifard, N., Salehi-Abargouei, A., Salas-Salvado, J., Guasch-Ferre, M., Humphries, K. and Sarrafzadegan, N. (2015), The effect of tree nut, peanut, and soy nut consumption on blood pressure: A systematic review and meta-analysis of randomized controlled clinical trials. </w:t>
      </w:r>
      <w:r>
        <w:rPr>
          <w:i/>
          <w:iCs/>
        </w:rPr>
        <w:t>American Journal of Clinical Nutrition</w:t>
      </w:r>
      <w:r>
        <w:t xml:space="preserve">, </w:t>
      </w:r>
      <w:r>
        <w:rPr>
          <w:b/>
          <w:bCs/>
        </w:rPr>
        <w:t>101</w:t>
      </w:r>
      <w:r>
        <w:t xml:space="preserve"> (5), 966-982.</w:t>
      </w:r>
    </w:p>
    <w:p w:rsidR="00255930" w:rsidRPr="001A3D2B" w:rsidRDefault="00255930" w:rsidP="00255930">
      <w:pPr>
        <w:pStyle w:val="a3"/>
      </w:pPr>
      <w:r w:rsidRPr="001A3D2B">
        <w:t xml:space="preserve">Full Text: </w:t>
      </w:r>
      <w:r w:rsidRPr="00FF0784">
        <w:t>2015\Ame J Cli Nut101, 966.pdf</w:t>
      </w:r>
    </w:p>
    <w:p w:rsidR="00255930" w:rsidRDefault="00255930" w:rsidP="00255930">
      <w:pPr>
        <w:pStyle w:val="a3"/>
      </w:pPr>
      <w:r>
        <w:t xml:space="preserve">Abstract: Background: Although several studies have assessed the effects of nut consumption (tree nuts, peanuts, and soy nuts) on blood pressure (BP), the results are conflicting. Objective: The aim was to conduct a systematic review and meta-analysis of published randomized controlled trials (RCTs) to estimate the effect of nut consumption on BP. Design: The databases MEDLINE, SCOPUS, IS! Web of Science, and Google Scholar were searched for RCTs carried out between 1958 and October 2013 that reported the effect of consuming single or mixed nuts (including walnuts, almonds, pistachios, cashews, hazelnuts, macadamia nuts, pecans, peanuts, and soy nuts) on systolic BP (SBP) or diastolic BP (DBP) as primary or secondary outcomes in adult populations aged &gt;= 18 y. Relevant articles were identified by screening the abstracts and titles and the full text. Studies that evaluated the effects for &lt;2 wk or in which the control group ingested different healthy oils were excluded. Mean +/- SD changes in SBP and DBP in each treatment group were recorded for meta-analysis. Results: Twenty-one RCTs met the inclusion criteria. Our findings suggest that nut consumption leads to a significant reduction in SBP in participants without type 2 diabetes [mean difference (MD): -1.29; 95% CI: -2.35, -0.22; P = 0.02] but not in the total population. Subgroup analyses of different nut types suggest that </w:t>
      </w:r>
      <w:r>
        <w:lastRenderedPageBreak/>
        <w:t>pistachios, but not other nuts, significantly reduce SBP (MD: -1.82; 95% CI: -2.97, -0.67; P = 0.002). Our study suggests that pistachios (MD: -0.80; 95% CI: -1.43, -0.17; P = 0.01) and mixed nuts (MD: -1.19; 95% CI: -2.35, -0.03; P = 0.04) have a significant reducing effect on DBP. We found no significant changes in DBP after the consumption of other nuts. Conclusions: Total nut consumption lowered SBP in participants without type 2 diabetes. Pistachios seemed to have the strongest effect on reducing SBP and DBP. Mixed nuts also reduced DBP.</w:t>
      </w:r>
    </w:p>
    <w:p w:rsidR="00255930" w:rsidRDefault="00255930" w:rsidP="00255930">
      <w:pPr>
        <w:pStyle w:val="a3"/>
      </w:pPr>
      <w:r>
        <w:t>Keywords: Adult, Aged, Almond, Almond Consumption, Analyses, Blood, Blood Pressure, Cardiovascular Risk-Factors, Cashew, Changes, Clinical, Clinical Trials, Consumption, Control, Criteria, Crossover Trial, Databases, Diabetes, Effects, Elderly-Women, Endothelial Function, Google Scholar, Heart-Disease, Insulin-Resistance, Is, Medline, Meta-Analysis, Metaanalysis, Metabolic Syndrome, Nut, Outcomes, P, Pistachio, Population, Populations, Pressure, Primary, Randomized, Randomized Controlled Trials, Reduction, Review, Science, Scopus, Screening, Serum-Lipid Levels, Systematic Review, Treatment, Type 2 Diabetes, Type-2 Diabetes-Mellitus, Walnut, Web Of Science</w:t>
      </w:r>
    </w:p>
    <w:p w:rsidR="006401CB" w:rsidRPr="00F219CA" w:rsidRDefault="006401CB" w:rsidP="006401CB">
      <w:pPr>
        <w:pStyle w:val="1"/>
      </w:pPr>
      <w:r w:rsidRPr="00F219CA">
        <w:br w:type="page"/>
      </w:r>
      <w:bookmarkStart w:id="242" w:name="_Toc392110840"/>
      <w:bookmarkStart w:id="243" w:name="_Toc420814379"/>
      <w:r w:rsidRPr="00F219CA">
        <w:lastRenderedPageBreak/>
        <w:t>Title: American Journal</w:t>
      </w:r>
      <w:r>
        <w:t xml:space="preserve"> of </w:t>
      </w:r>
      <w:r w:rsidRPr="00F219CA">
        <w:t>Clinical Oncology-Cancer Clinical Trials</w:t>
      </w:r>
      <w:bookmarkEnd w:id="242"/>
      <w:bookmarkEnd w:id="243"/>
    </w:p>
    <w:p w:rsidR="006401CB" w:rsidRPr="00F219CA" w:rsidRDefault="006401CB" w:rsidP="006401CB">
      <w:pPr>
        <w:pStyle w:val="12"/>
      </w:pPr>
      <w:r w:rsidRPr="00F219CA">
        <w:t>Full Journal Title: American Journal</w:t>
      </w:r>
      <w:r>
        <w:t xml:space="preserve"> of </w:t>
      </w:r>
      <w:r w:rsidRPr="00F219CA">
        <w:t>Clinical Oncology-Cancer Clinical Trials</w:t>
      </w:r>
    </w:p>
    <w:p w:rsidR="006401CB" w:rsidRPr="00F219CA" w:rsidRDefault="006401CB" w:rsidP="006401CB">
      <w:pPr>
        <w:pStyle w:val="12"/>
      </w:pPr>
      <w:r w:rsidRPr="00F219CA">
        <w:t>ISO Abbreviated Title: Am. J. Clin. Oncol.-Cancer Clin. Trials</w:t>
      </w:r>
    </w:p>
    <w:p w:rsidR="006401CB" w:rsidRPr="00F219CA" w:rsidRDefault="006401CB" w:rsidP="006401CB">
      <w:pPr>
        <w:pStyle w:val="12"/>
      </w:pPr>
      <w:r w:rsidRPr="00F219CA">
        <w:t>JCR Abbreviated Title: Am J Clin Oncol-Canc</w:t>
      </w:r>
    </w:p>
    <w:p w:rsidR="006401CB" w:rsidRPr="00F219CA" w:rsidRDefault="006401CB" w:rsidP="006401CB">
      <w:pPr>
        <w:pStyle w:val="12"/>
      </w:pPr>
      <w:r w:rsidRPr="00F219CA">
        <w:t>ISSN: 0277-3732</w:t>
      </w:r>
    </w:p>
    <w:p w:rsidR="006401CB" w:rsidRPr="00F219CA" w:rsidRDefault="006401CB" w:rsidP="006401CB">
      <w:pPr>
        <w:pStyle w:val="12"/>
      </w:pPr>
      <w:r w:rsidRPr="00F219CA">
        <w:t>Issues/Year: 6</w:t>
      </w:r>
    </w:p>
    <w:p w:rsidR="006401CB" w:rsidRPr="00F219CA" w:rsidRDefault="006401CB" w:rsidP="006401CB">
      <w:pPr>
        <w:pStyle w:val="12"/>
      </w:pPr>
      <w:r w:rsidRPr="00F219CA">
        <w:t>Journal Country/Territory: United States</w:t>
      </w:r>
    </w:p>
    <w:p w:rsidR="006401CB" w:rsidRPr="00F219CA" w:rsidRDefault="006401CB" w:rsidP="006401CB">
      <w:pPr>
        <w:pStyle w:val="12"/>
      </w:pPr>
      <w:r w:rsidRPr="00F219CA">
        <w:t>Language: English</w:t>
      </w:r>
    </w:p>
    <w:p w:rsidR="006401CB" w:rsidRPr="00F219CA" w:rsidRDefault="006401CB" w:rsidP="006401CB">
      <w:pPr>
        <w:pStyle w:val="12"/>
      </w:pPr>
      <w:r w:rsidRPr="00F219CA">
        <w:t>Publisher: Lippincott Williams &amp; Wilkins</w:t>
      </w:r>
    </w:p>
    <w:p w:rsidR="006401CB" w:rsidRPr="00F219CA" w:rsidRDefault="006401CB" w:rsidP="006401CB">
      <w:pPr>
        <w:pStyle w:val="12"/>
      </w:pPr>
      <w:r w:rsidRPr="00F219CA">
        <w:t>Publisher Address: 530 Walnut St, Philadelphia, PA 19106-3621</w:t>
      </w:r>
    </w:p>
    <w:p w:rsidR="006401CB" w:rsidRPr="00F219CA" w:rsidRDefault="006401CB" w:rsidP="006401CB">
      <w:pPr>
        <w:pStyle w:val="12"/>
      </w:pPr>
      <w:r w:rsidRPr="00F219CA">
        <w:t xml:space="preserve">Subject Categories: </w:t>
      </w:r>
    </w:p>
    <w:p w:rsidR="006401CB" w:rsidRPr="00F219CA" w:rsidRDefault="006401CB" w:rsidP="006401CB">
      <w:pPr>
        <w:pStyle w:val="12"/>
      </w:pPr>
      <w:r w:rsidRPr="00F219CA">
        <w:t>Oncology: Impact Factor 1.136, 90/114 (2002)</w:t>
      </w:r>
    </w:p>
    <w:p w:rsidR="006401CB" w:rsidRDefault="006401CB" w:rsidP="006401CB">
      <w:pPr>
        <w:pStyle w:val="a3"/>
        <w:rPr>
          <w:kern w:val="0"/>
          <w:szCs w:val="24"/>
        </w:rPr>
      </w:pPr>
      <w:r>
        <w:rPr>
          <w:rFonts w:hint="eastAsia"/>
          <w:kern w:val="0"/>
          <w:szCs w:val="24"/>
        </w:rPr>
        <w:t xml:space="preserve">? </w:t>
      </w:r>
      <w:r>
        <w:rPr>
          <w:kern w:val="0"/>
          <w:szCs w:val="24"/>
        </w:rPr>
        <w:t xml:space="preserve">Ramirez-Fort, M.K., Case, E.C., Rosen, A.C., Cerci, F.B., Wu, S.H. and Lacouture, M.E. (2014), Rash to the mTOR inhibitor everolimus systematic review and meta-analysis. </w:t>
      </w:r>
      <w:r>
        <w:rPr>
          <w:i/>
          <w:iCs/>
          <w:kern w:val="0"/>
          <w:szCs w:val="24"/>
        </w:rPr>
        <w:t>American Journal of Clinical Oncology-Cancer Clinical Trials</w:t>
      </w:r>
      <w:r>
        <w:rPr>
          <w:kern w:val="0"/>
          <w:szCs w:val="24"/>
        </w:rPr>
        <w:t xml:space="preserve">, </w:t>
      </w:r>
      <w:r>
        <w:rPr>
          <w:b/>
          <w:bCs/>
          <w:kern w:val="0"/>
          <w:szCs w:val="24"/>
        </w:rPr>
        <w:t>37</w:t>
      </w:r>
      <w:r>
        <w:rPr>
          <w:kern w:val="0"/>
          <w:szCs w:val="24"/>
        </w:rPr>
        <w:t xml:space="preserve"> (3), 266-271.</w:t>
      </w:r>
    </w:p>
    <w:p w:rsidR="006401CB" w:rsidRDefault="006401CB" w:rsidP="006401CB">
      <w:pPr>
        <w:pStyle w:val="a3"/>
        <w:rPr>
          <w:kern w:val="0"/>
          <w:szCs w:val="24"/>
        </w:rPr>
      </w:pPr>
      <w:r>
        <w:rPr>
          <w:rFonts w:hint="eastAsia"/>
          <w:kern w:val="0"/>
          <w:szCs w:val="24"/>
        </w:rPr>
        <w:t>Full Text: 2014\</w:t>
      </w:r>
      <w:r>
        <w:rPr>
          <w:iCs/>
          <w:kern w:val="0"/>
          <w:szCs w:val="24"/>
        </w:rPr>
        <w:t>Ame J Cli On</w:t>
      </w:r>
      <w:r>
        <w:rPr>
          <w:rFonts w:hint="eastAsia"/>
          <w:iCs/>
          <w:kern w:val="0"/>
          <w:szCs w:val="24"/>
        </w:rPr>
        <w:t>c</w:t>
      </w:r>
      <w:r>
        <w:rPr>
          <w:iCs/>
          <w:kern w:val="0"/>
          <w:szCs w:val="24"/>
        </w:rPr>
        <w:t>-Can Cli Tri</w:t>
      </w:r>
      <w:r w:rsidRPr="0065123B">
        <w:rPr>
          <w:bCs/>
          <w:kern w:val="0"/>
          <w:szCs w:val="24"/>
        </w:rPr>
        <w:t>37</w:t>
      </w:r>
      <w:r>
        <w:rPr>
          <w:kern w:val="0"/>
          <w:szCs w:val="24"/>
        </w:rPr>
        <w:t>, 266</w:t>
      </w:r>
      <w:r>
        <w:rPr>
          <w:rFonts w:hint="eastAsia"/>
          <w:kern w:val="0"/>
          <w:szCs w:val="24"/>
        </w:rPr>
        <w:t>.pdf</w:t>
      </w:r>
    </w:p>
    <w:p w:rsidR="006401CB" w:rsidRDefault="006401CB" w:rsidP="006401CB">
      <w:pPr>
        <w:pStyle w:val="a3"/>
        <w:rPr>
          <w:kern w:val="0"/>
          <w:szCs w:val="24"/>
        </w:rPr>
      </w:pPr>
      <w:r>
        <w:rPr>
          <w:kern w:val="0"/>
          <w:szCs w:val="24"/>
        </w:rPr>
        <w:t>Abstract: Background: Everolimus is a mammalian target of rapamycin (mTOR) inhibitor approved for treatment of renal cell carcinoma, subependymal giant cell astrocytoma, breast cancer, and progressive neuroendocrine tumors of pancreatic origin. Its use may be hindered because of adverse events, including rash</w:t>
      </w:r>
      <w:r w:rsidR="00A37C1D">
        <w:rPr>
          <w:kern w:val="0"/>
          <w:szCs w:val="24"/>
        </w:rPr>
        <w:t>. The</w:t>
      </w:r>
      <w:r>
        <w:rPr>
          <w:kern w:val="0"/>
          <w:szCs w:val="24"/>
        </w:rPr>
        <w:t xml:space="preserve"> reported incidence and risk of a rash to everolimus varies widely and has not been closely investigated</w:t>
      </w:r>
      <w:r w:rsidR="00A37C1D">
        <w:rPr>
          <w:kern w:val="0"/>
          <w:szCs w:val="24"/>
        </w:rPr>
        <w:t>. The</w:t>
      </w:r>
      <w:r>
        <w:rPr>
          <w:kern w:val="0"/>
          <w:szCs w:val="24"/>
        </w:rPr>
        <w:t>refore, we conducted a systematic review and meta-analysis of the literature to determine the incidence and risk of developing a rash. Methods: We searched PubMed and Web of Science databases and abstracts presented at the American Society of Clinical Oncology from 1998 to December 2011 using the keyword “everolimus” to identify relevant clinical trials. Eligible studies included prospective phase II and III clinical trials of cancer patients on 10 mg of everolimus daily with available data on incidence of rash</w:t>
      </w:r>
      <w:r w:rsidR="00A37C1D">
        <w:rPr>
          <w:kern w:val="0"/>
          <w:szCs w:val="24"/>
        </w:rPr>
        <w:t>. The</w:t>
      </w:r>
      <w:r>
        <w:rPr>
          <w:kern w:val="0"/>
          <w:szCs w:val="24"/>
        </w:rPr>
        <w:t xml:space="preserve"> summary incidence and relative risk (RR) of rash were calculated using either the random-effects or fixed-effects model, depending on the heterogeneity of the constituent studies. Results: A total of 2242 patients with various malignancies from 13 clinical trials were included in the analysis</w:t>
      </w:r>
      <w:r w:rsidR="00A37C1D">
        <w:rPr>
          <w:kern w:val="0"/>
          <w:szCs w:val="24"/>
        </w:rPr>
        <w:t>. The</w:t>
      </w:r>
      <w:r>
        <w:rPr>
          <w:kern w:val="0"/>
          <w:szCs w:val="24"/>
        </w:rPr>
        <w:t xml:space="preserve"> summary incidences of all-grade and high-grade rash in patients on everolimus were 28.6% [95% confidence interval (CI), 20.8-38.0] and 1.0% (95% CI, 0.6-1.8), respectively. Everolimus was associated with a statistically significant increased risk of all-grade rash (RR = 3.853, 95% CI, 2.470-6.013, P = 0.000), but </w:t>
      </w:r>
      <w:r>
        <w:rPr>
          <w:kern w:val="0"/>
          <w:szCs w:val="24"/>
        </w:rPr>
        <w:lastRenderedPageBreak/>
        <w:t>the RR for high-grade rash (RR = 2.997, 95% CI, 0.633-14.185) was not statistically significant, with a P value of 0.166. Conclusions: Everolimus is associated with a significant risk of developing a rash. Management of rash to everolimus is critical to prevent dose modifications and decreased quality of life, both of which can negatively affect overall clinical outcomes.</w:t>
      </w:r>
    </w:p>
    <w:p w:rsidR="006401CB" w:rsidRDefault="006401CB" w:rsidP="006401CB">
      <w:pPr>
        <w:pStyle w:val="a3"/>
        <w:rPr>
          <w:kern w:val="0"/>
          <w:szCs w:val="24"/>
        </w:rPr>
      </w:pPr>
      <w:r>
        <w:rPr>
          <w:kern w:val="0"/>
          <w:szCs w:val="24"/>
        </w:rPr>
        <w:t>Keywords: Analysis, Breast Cancer, Breast-Cancer, Cancer, Carcinoma, Cell, Clinical, Clinical Outcomes, Clinical Trials, Clinical-Trials, Confidence, Data, Databases, Developing, Egfr Inhibitors, Events, Everolimus, Fixed Effects Model, Heterogeneity, In-Vitro, Incidence, Inhibitor, Interval, Life, Literature, Mammalian Target, Management, Meta Analysis, Meta-Analysis, Metaanalysis, Methods, Model, Mtor Inhibitor, Oncology, Origin, Outcomes, P, Patients, Phase II, Phase-II, Prevent, Prospective, Pubmed, Quality, Quality Of, Quality Of Life, Rapamycin, Relative Risk, Renal, Renal-Cell Carcinoma, Results, Review, Risk, Science, Skin Rash, Systematic, Systematic Review, Transplant Recipients, Treatment, Value, Web Of Science, Web Of Science Databases</w:t>
      </w:r>
    </w:p>
    <w:p w:rsidR="003474F2" w:rsidRPr="001A3D2B" w:rsidRDefault="003474F2" w:rsidP="003474F2">
      <w:pPr>
        <w:pStyle w:val="1"/>
      </w:pPr>
      <w:r w:rsidRPr="001A3D2B">
        <w:br w:type="page"/>
      </w:r>
      <w:bookmarkStart w:id="244" w:name="_Toc490687602"/>
      <w:bookmarkStart w:id="245" w:name="_Toc492777845"/>
      <w:bookmarkStart w:id="246" w:name="_Toc92411352"/>
      <w:bookmarkStart w:id="247" w:name="_Toc420814380"/>
      <w:r w:rsidRPr="001A3D2B">
        <w:lastRenderedPageBreak/>
        <w:t>Title: American Journal</w:t>
      </w:r>
      <w:r w:rsidR="00427468">
        <w:t xml:space="preserve"> of </w:t>
      </w:r>
      <w:r w:rsidRPr="001A3D2B">
        <w:t>Clinical Pathology</w:t>
      </w:r>
      <w:bookmarkEnd w:id="244"/>
      <w:bookmarkEnd w:id="245"/>
      <w:bookmarkEnd w:id="246"/>
      <w:bookmarkEnd w:id="247"/>
    </w:p>
    <w:p w:rsidR="003474F2" w:rsidRPr="001A3D2B" w:rsidRDefault="003474F2" w:rsidP="003474F2">
      <w:pPr>
        <w:pStyle w:val="12"/>
      </w:pPr>
      <w:r w:rsidRPr="001A3D2B">
        <w:t xml:space="preserve">Full Journal Title: </w:t>
      </w:r>
      <w:hyperlink r:id="rId439" w:history="1">
        <w:r w:rsidRPr="001A3D2B">
          <w:rPr>
            <w:rStyle w:val="a5"/>
          </w:rPr>
          <w:t>American Journal</w:t>
        </w:r>
        <w:r w:rsidR="00427468">
          <w:rPr>
            <w:rStyle w:val="a5"/>
          </w:rPr>
          <w:t xml:space="preserve"> of </w:t>
        </w:r>
        <w:r w:rsidRPr="001A3D2B">
          <w:rPr>
            <w:rStyle w:val="a5"/>
          </w:rPr>
          <w:t>Clinical Pathology</w:t>
        </w:r>
      </w:hyperlink>
    </w:p>
    <w:p w:rsidR="003474F2" w:rsidRPr="001A3D2B" w:rsidRDefault="003474F2" w:rsidP="003474F2">
      <w:pPr>
        <w:pStyle w:val="12"/>
      </w:pPr>
      <w:r w:rsidRPr="001A3D2B">
        <w:t>ISO Abbreviated Title: Am. J. Clin. Pathol.</w:t>
      </w:r>
    </w:p>
    <w:p w:rsidR="003474F2" w:rsidRPr="001A3D2B" w:rsidRDefault="003474F2" w:rsidP="003474F2">
      <w:pPr>
        <w:pStyle w:val="12"/>
      </w:pPr>
      <w:r w:rsidRPr="001A3D2B">
        <w:t xml:space="preserve">JCR Abbreviated Title: Am </w:t>
      </w:r>
      <w:smartTag w:uri="urn:schemas-microsoft-com:office:smarttags" w:element="PersonName">
        <w:smartTagPr>
          <w:attr w:name="ProductID" w:val="J Clin"/>
        </w:smartTagPr>
        <w:r w:rsidRPr="001A3D2B">
          <w:t>J Clin</w:t>
        </w:r>
      </w:smartTag>
      <w:r w:rsidRPr="001A3D2B">
        <w:t xml:space="preserve"> Pathol</w:t>
      </w:r>
    </w:p>
    <w:p w:rsidR="003474F2" w:rsidRPr="001A3D2B" w:rsidRDefault="003474F2" w:rsidP="003474F2">
      <w:pPr>
        <w:pStyle w:val="12"/>
      </w:pPr>
      <w:r w:rsidRPr="001A3D2B">
        <w:t>ISSN: 0002-9173</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Soc Clin Pathologists</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2100 W Harrison St</w:t>
          </w:r>
        </w:smartTag>
        <w:r w:rsidRPr="001A3D2B">
          <w:t xml:space="preserve">, </w:t>
        </w:r>
        <w:smartTag w:uri="urn:schemas-microsoft-com:office:smarttags" w:element="City">
          <w:r w:rsidRPr="001A3D2B">
            <w:t>Chicago</w:t>
          </w:r>
        </w:smartTag>
        <w:r w:rsidRPr="001A3D2B">
          <w:t xml:space="preserve">, </w:t>
        </w:r>
        <w:smartTag w:uri="urn:schemas-microsoft-com:office:smarttags" w:element="State">
          <w:r w:rsidRPr="001A3D2B">
            <w:t>IL</w:t>
          </w:r>
        </w:smartTag>
        <w:r w:rsidRPr="001A3D2B">
          <w:t xml:space="preserve"> </w:t>
        </w:r>
        <w:smartTag w:uri="urn:schemas-microsoft-com:office:smarttags" w:element="PostalCode">
          <w:r w:rsidRPr="001A3D2B">
            <w:t>60612</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Pathology: Impact Factor </w:t>
      </w:r>
    </w:p>
    <w:p w:rsidR="003474F2" w:rsidRPr="001A3D2B" w:rsidRDefault="003474F2" w:rsidP="003474F2">
      <w:pPr>
        <w:pStyle w:val="a3"/>
      </w:pPr>
      <w:r w:rsidRPr="001A3D2B">
        <w:t xml:space="preserve">? Hartmann, W.H. (1985), Reference citation accuracy. </w:t>
      </w:r>
      <w:r w:rsidRPr="001A3D2B">
        <w:rPr>
          <w:i/>
        </w:rPr>
        <w:t>American Journal</w:t>
      </w:r>
      <w:r w:rsidR="00427468">
        <w:rPr>
          <w:i/>
        </w:rPr>
        <w:t xml:space="preserve"> of </w:t>
      </w:r>
      <w:r w:rsidRPr="001A3D2B">
        <w:rPr>
          <w:i/>
        </w:rPr>
        <w:t>Clinical Pathology</w:t>
      </w:r>
      <w:r w:rsidRPr="001A3D2B">
        <w:t xml:space="preserve">, </w:t>
      </w:r>
      <w:r w:rsidRPr="001A3D2B">
        <w:rPr>
          <w:b/>
          <w:bCs/>
        </w:rPr>
        <w:t>82</w:t>
      </w:r>
      <w:r w:rsidRPr="001A3D2B">
        <w:t xml:space="preserve"> (4), 513.</w:t>
      </w:r>
    </w:p>
    <w:p w:rsidR="003474F2" w:rsidRPr="001A3D2B" w:rsidRDefault="003474F2" w:rsidP="003474F2">
      <w:pPr>
        <w:pStyle w:val="a3"/>
      </w:pPr>
      <w:r w:rsidRPr="001A3D2B">
        <w:t xml:space="preserve">? Baron, D.N. (1985), Reference citation accuracy. </w:t>
      </w:r>
      <w:r w:rsidRPr="001A3D2B">
        <w:rPr>
          <w:i/>
        </w:rPr>
        <w:t>American Journal</w:t>
      </w:r>
      <w:r w:rsidR="00427468">
        <w:rPr>
          <w:i/>
        </w:rPr>
        <w:t xml:space="preserve"> of </w:t>
      </w:r>
      <w:r w:rsidRPr="001A3D2B">
        <w:rPr>
          <w:i/>
        </w:rPr>
        <w:t>Clinical Pathology</w:t>
      </w:r>
      <w:r w:rsidRPr="001A3D2B">
        <w:t xml:space="preserve">, </w:t>
      </w:r>
      <w:r w:rsidRPr="001A3D2B">
        <w:rPr>
          <w:b/>
          <w:bCs/>
        </w:rPr>
        <w:t>83</w:t>
      </w:r>
      <w:r w:rsidRPr="001A3D2B">
        <w:t xml:space="preserve"> (3), 405.</w:t>
      </w:r>
    </w:p>
    <w:p w:rsidR="003474F2" w:rsidRPr="001A3D2B" w:rsidRDefault="003474F2" w:rsidP="003474F2">
      <w:pPr>
        <w:pStyle w:val="1"/>
      </w:pPr>
      <w:r w:rsidRPr="001A3D2B">
        <w:br w:type="page"/>
      </w:r>
      <w:bookmarkStart w:id="248" w:name="_Toc420814381"/>
      <w:r w:rsidRPr="001A3D2B">
        <w:lastRenderedPageBreak/>
        <w:t>Title: American Journal</w:t>
      </w:r>
      <w:r w:rsidR="00427468">
        <w:t xml:space="preserve"> of </w:t>
      </w:r>
      <w:r w:rsidRPr="001A3D2B">
        <w:t>Community Psychology</w:t>
      </w:r>
      <w:bookmarkEnd w:id="248"/>
    </w:p>
    <w:p w:rsidR="003474F2" w:rsidRPr="001A3D2B" w:rsidRDefault="003474F2" w:rsidP="003474F2">
      <w:pPr>
        <w:pStyle w:val="12"/>
      </w:pPr>
      <w:r w:rsidRPr="001A3D2B">
        <w:t xml:space="preserve">Full Journal Title: </w:t>
      </w:r>
      <w:hyperlink r:id="rId440" w:history="1">
        <w:r w:rsidRPr="001A3D2B">
          <w:rPr>
            <w:rStyle w:val="a5"/>
            <w:iCs/>
          </w:rPr>
          <w:t>American Journal</w:t>
        </w:r>
        <w:r w:rsidR="00427468">
          <w:rPr>
            <w:rStyle w:val="a5"/>
            <w:iCs/>
          </w:rPr>
          <w:t xml:space="preserve"> of </w:t>
        </w:r>
        <w:r w:rsidRPr="001A3D2B">
          <w:rPr>
            <w:rStyle w:val="a5"/>
            <w:iCs/>
          </w:rPr>
          <w:t>Community Psychology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0091-0562 (Print) 1573-2770 (Online)</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Angelique, H.L.</w:t>
      </w:r>
      <w:r w:rsidR="005853A9">
        <w:t xml:space="preserve"> and </w:t>
      </w:r>
      <w:r w:rsidRPr="001A3D2B">
        <w:t>Culley, M.R. (2000), Searching for feminism: An analysis</w:t>
      </w:r>
      <w:r w:rsidR="00427468">
        <w:t xml:space="preserve"> of </w:t>
      </w:r>
      <w:r w:rsidRPr="001A3D2B">
        <w:t>community psychology literature relevant to women</w:t>
      </w:r>
      <w:r w:rsidR="00700038">
        <w:t>’</w:t>
      </w:r>
      <w:r w:rsidR="00C13DDC">
        <w:t>s</w:t>
      </w:r>
      <w:r w:rsidRPr="001A3D2B">
        <w:t xml:space="preserve"> concerns. </w:t>
      </w:r>
      <w:r w:rsidRPr="001A3D2B">
        <w:rPr>
          <w:i/>
          <w:iCs/>
        </w:rPr>
        <w:t>American Journal</w:t>
      </w:r>
      <w:r w:rsidR="00427468">
        <w:rPr>
          <w:i/>
          <w:iCs/>
        </w:rPr>
        <w:t xml:space="preserve"> of </w:t>
      </w:r>
      <w:r w:rsidRPr="001A3D2B">
        <w:rPr>
          <w:i/>
          <w:iCs/>
        </w:rPr>
        <w:t>Community Psychology</w:t>
      </w:r>
      <w:r w:rsidRPr="001A3D2B">
        <w:t xml:space="preserve">, </w:t>
      </w:r>
      <w:r w:rsidRPr="001A3D2B">
        <w:rPr>
          <w:b/>
          <w:bCs/>
        </w:rPr>
        <w:t>28</w:t>
      </w:r>
      <w:r w:rsidRPr="001A3D2B">
        <w:t xml:space="preserve"> (6), 793-813.</w:t>
      </w:r>
    </w:p>
    <w:p w:rsidR="003474F2" w:rsidRPr="001A3D2B" w:rsidRDefault="003474F2" w:rsidP="003474F2">
      <w:pPr>
        <w:pStyle w:val="a3"/>
      </w:pPr>
      <w:r w:rsidRPr="001A3D2B">
        <w:t xml:space="preserve">Full Text: </w:t>
      </w:r>
      <w:hyperlink r:id="rId441" w:history="1">
        <w:r w:rsidRPr="001A3D2B">
          <w:rPr>
            <w:rStyle w:val="a5"/>
          </w:rPr>
          <w:t>2000\Ame J Com Psy28, 793.pdf</w:t>
        </w:r>
      </w:hyperlink>
    </w:p>
    <w:p w:rsidR="003474F2" w:rsidRPr="001A3D2B" w:rsidRDefault="003474F2" w:rsidP="003474F2">
      <w:pPr>
        <w:pStyle w:val="a3"/>
      </w:pPr>
      <w:r w:rsidRPr="001A3D2B">
        <w:t>Abstract: Articles published in both</w:t>
      </w:r>
      <w:r w:rsidR="003A1917">
        <w:t xml:space="preserve"> the </w:t>
      </w:r>
      <w:r w:rsidRPr="001A3D2B">
        <w:t>American Journal</w:t>
      </w:r>
      <w:r w:rsidR="00427468">
        <w:t xml:space="preserve"> of </w:t>
      </w:r>
      <w:r w:rsidRPr="001A3D2B">
        <w:t>Community Psychology</w:t>
      </w:r>
      <w:r w:rsidR="005853A9">
        <w:t xml:space="preserve"> and </w:t>
      </w:r>
      <w:r w:rsidRPr="001A3D2B">
        <w:t>Journal</w:t>
      </w:r>
      <w:r w:rsidR="00427468">
        <w:t xml:space="preserve"> of </w:t>
      </w:r>
      <w:r w:rsidRPr="001A3D2B">
        <w:t>Community Psychology, from their inception in 1973 through 1997, were content analyzed for women relevance, diversity, feminism,</w:t>
      </w:r>
      <w:r w:rsidR="005853A9">
        <w:t xml:space="preserve"> and </w:t>
      </w:r>
      <w:r w:rsidRPr="001A3D2B">
        <w:t>historical change. Overall, 9.8%</w:t>
      </w:r>
      <w:r w:rsidR="00427468">
        <w:t xml:space="preserve"> of </w:t>
      </w:r>
      <w:r w:rsidR="003A1917">
        <w:t xml:space="preserve">the </w:t>
      </w:r>
      <w:r w:rsidRPr="001A3D2B">
        <w:t>articles reviewed (N = 2,178) were considered women relevant, 4% recognized diversity among women,</w:t>
      </w:r>
      <w:r w:rsidR="005853A9">
        <w:t xml:space="preserve"> and </w:t>
      </w:r>
      <w:r w:rsidRPr="001A3D2B">
        <w:t>3% were considered feminist</w:t>
      </w:r>
      <w:r w:rsidR="00A37C1D">
        <w:t>. The</w:t>
      </w:r>
      <w:r w:rsidRPr="001A3D2B">
        <w:t>re was an average yearly increase in women-relevant</w:t>
      </w:r>
      <w:r w:rsidR="005853A9">
        <w:t xml:space="preserve"> and </w:t>
      </w:r>
      <w:r w:rsidRPr="001A3D2B">
        <w:t>feminist articles from 7.3 pre-1990 to 11.2 post-1990,</w:t>
      </w:r>
      <w:r w:rsidR="005853A9">
        <w:t xml:space="preserve"> and </w:t>
      </w:r>
      <w:r w:rsidRPr="001A3D2B">
        <w:t>1.6 pre-1990 to 4.6 post-1990, respectively. Overall, mental health</w:t>
      </w:r>
      <w:r w:rsidR="005853A9">
        <w:t xml:space="preserve"> and </w:t>
      </w:r>
      <w:r w:rsidRPr="001A3D2B">
        <w:t>motherhood were</w:t>
      </w:r>
      <w:r w:rsidR="003A1917">
        <w:t xml:space="preserve"> the </w:t>
      </w:r>
      <w:r w:rsidRPr="001A3D2B">
        <w:t>most addressed content areas. Among feminist articles, gender roles</w:t>
      </w:r>
      <w:r w:rsidR="005853A9">
        <w:t xml:space="preserve"> and </w:t>
      </w:r>
      <w:r w:rsidRPr="001A3D2B">
        <w:t>violence against women were most salient. Race</w:t>
      </w:r>
      <w:r w:rsidR="005853A9">
        <w:t xml:space="preserve"> and </w:t>
      </w:r>
      <w:r w:rsidRPr="001A3D2B">
        <w:t>SES were</w:t>
      </w:r>
      <w:r w:rsidR="003A1917">
        <w:t xml:space="preserve"> the </w:t>
      </w:r>
      <w:r w:rsidRPr="001A3D2B">
        <w:t>most noted issues</w:t>
      </w:r>
      <w:r w:rsidR="00427468">
        <w:t xml:space="preserve"> of </w:t>
      </w:r>
      <w:r w:rsidRPr="001A3D2B">
        <w:t>diversity in both women-relevant</w:t>
      </w:r>
      <w:r w:rsidR="005853A9">
        <w:t xml:space="preserve"> and </w:t>
      </w:r>
      <w:r w:rsidRPr="001A3D2B">
        <w:t>feminist articles. While an increase in feminist publications by both journals is promising, stereotypes</w:t>
      </w:r>
      <w:r w:rsidR="00427468">
        <w:t xml:space="preserve"> of </w:t>
      </w:r>
      <w:r w:rsidRPr="001A3D2B">
        <w:t>women</w:t>
      </w:r>
      <w:r w:rsidR="005853A9">
        <w:t xml:space="preserve"> and </w:t>
      </w:r>
      <w:r w:rsidRPr="001A3D2B">
        <w:t>other oppressed groups continue to be perpetuated.</w:t>
      </w:r>
    </w:p>
    <w:p w:rsidR="003474F2" w:rsidRPr="001A3D2B" w:rsidRDefault="003474F2" w:rsidP="003474F2">
      <w:pPr>
        <w:pStyle w:val="a3"/>
      </w:pPr>
      <w:r w:rsidRPr="001A3D2B">
        <w:t>Keywords: Analysis, Community, Diversity, Gender, Health, Historical Change, Journals, Literature, Mental Health, N, Psychology, Publications, Relevance, SE, SES, Violence, Violence Against Women, Women</w:t>
      </w:r>
    </w:p>
    <w:p w:rsidR="00B15525" w:rsidRPr="001A3D2B" w:rsidRDefault="00B15525" w:rsidP="00B15525">
      <w:pPr>
        <w:pStyle w:val="1"/>
      </w:pPr>
      <w:r w:rsidRPr="001A3D2B">
        <w:br w:type="page"/>
      </w:r>
      <w:bookmarkStart w:id="249" w:name="_Toc420814382"/>
      <w:r w:rsidRPr="001A3D2B">
        <w:lastRenderedPageBreak/>
        <w:t xml:space="preserve">Title: </w:t>
      </w:r>
      <w:r w:rsidRPr="00B15525">
        <w:rPr>
          <w:iCs w:val="0"/>
          <w:szCs w:val="24"/>
        </w:rPr>
        <w:t>American Journal of Dentistry</w:t>
      </w:r>
      <w:bookmarkEnd w:id="249"/>
    </w:p>
    <w:p w:rsidR="00B15525" w:rsidRPr="001A3D2B" w:rsidRDefault="00B15525" w:rsidP="00B15525">
      <w:pPr>
        <w:pStyle w:val="12"/>
      </w:pPr>
      <w:r w:rsidRPr="001A3D2B">
        <w:t xml:space="preserve">Full Journal Title: </w:t>
      </w:r>
      <w:r w:rsidRPr="00B15525">
        <w:rPr>
          <w:iCs/>
          <w:kern w:val="0"/>
        </w:rPr>
        <w:t>American Journal of Dentistry</w:t>
      </w:r>
    </w:p>
    <w:p w:rsidR="00B15525" w:rsidRPr="001A3D2B" w:rsidRDefault="00B15525" w:rsidP="00B15525">
      <w:pPr>
        <w:pStyle w:val="12"/>
      </w:pPr>
      <w:r w:rsidRPr="001A3D2B">
        <w:t xml:space="preserve">ISO Abbreviated Title: </w:t>
      </w:r>
    </w:p>
    <w:p w:rsidR="00B15525" w:rsidRPr="001A3D2B" w:rsidRDefault="00B15525" w:rsidP="00B15525">
      <w:pPr>
        <w:pStyle w:val="12"/>
      </w:pPr>
      <w:r w:rsidRPr="001A3D2B">
        <w:t xml:space="preserve">JCR Abbreviated Title: </w:t>
      </w:r>
    </w:p>
    <w:p w:rsidR="00B15525" w:rsidRPr="001A3D2B" w:rsidRDefault="00B15525" w:rsidP="00B15525">
      <w:pPr>
        <w:pStyle w:val="12"/>
      </w:pPr>
      <w:r w:rsidRPr="001A3D2B">
        <w:t xml:space="preserve">ISSN: </w:t>
      </w:r>
    </w:p>
    <w:p w:rsidR="00B15525" w:rsidRPr="001A3D2B" w:rsidRDefault="00B15525" w:rsidP="00B15525">
      <w:pPr>
        <w:pStyle w:val="12"/>
      </w:pPr>
      <w:r w:rsidRPr="001A3D2B">
        <w:t xml:space="preserve">Issues/Year: </w:t>
      </w:r>
    </w:p>
    <w:p w:rsidR="00B15525" w:rsidRPr="001A3D2B" w:rsidRDefault="00B15525" w:rsidP="00B15525">
      <w:pPr>
        <w:pStyle w:val="12"/>
      </w:pPr>
      <w:r w:rsidRPr="001A3D2B">
        <w:t xml:space="preserve">Journal Country/Territory: </w:t>
      </w:r>
    </w:p>
    <w:p w:rsidR="00B15525" w:rsidRPr="001A3D2B" w:rsidRDefault="00B15525" w:rsidP="00B15525">
      <w:pPr>
        <w:pStyle w:val="12"/>
      </w:pPr>
      <w:r w:rsidRPr="001A3D2B">
        <w:t xml:space="preserve">Language: </w:t>
      </w:r>
    </w:p>
    <w:p w:rsidR="00B15525" w:rsidRPr="001A3D2B" w:rsidRDefault="00B15525" w:rsidP="00B15525">
      <w:pPr>
        <w:pStyle w:val="12"/>
      </w:pPr>
      <w:r w:rsidRPr="001A3D2B">
        <w:t xml:space="preserve">Publisher: </w:t>
      </w:r>
    </w:p>
    <w:p w:rsidR="00B15525" w:rsidRPr="001A3D2B" w:rsidRDefault="00B15525" w:rsidP="00B15525">
      <w:pPr>
        <w:pStyle w:val="12"/>
      </w:pPr>
      <w:r w:rsidRPr="001A3D2B">
        <w:t xml:space="preserve">Publisher Address: </w:t>
      </w:r>
    </w:p>
    <w:p w:rsidR="00B15525" w:rsidRPr="001A3D2B" w:rsidRDefault="00B15525" w:rsidP="00B15525">
      <w:pPr>
        <w:pStyle w:val="12"/>
      </w:pPr>
      <w:r w:rsidRPr="001A3D2B">
        <w:t>Subject Categories:</w:t>
      </w:r>
    </w:p>
    <w:p w:rsidR="00B15525" w:rsidRPr="001A3D2B" w:rsidRDefault="00B15525" w:rsidP="00B15525">
      <w:pPr>
        <w:pStyle w:val="12"/>
      </w:pPr>
      <w:r w:rsidRPr="001A3D2B">
        <w:t>: Impact Factor</w:t>
      </w:r>
    </w:p>
    <w:p w:rsidR="00B15525" w:rsidRDefault="00B15525" w:rsidP="00B15525">
      <w:pPr>
        <w:pStyle w:val="a3"/>
        <w:rPr>
          <w:kern w:val="0"/>
          <w:szCs w:val="24"/>
        </w:rPr>
      </w:pPr>
      <w:r>
        <w:rPr>
          <w:kern w:val="0"/>
          <w:szCs w:val="24"/>
        </w:rPr>
        <w:t xml:space="preserve">? Magno, M.B., Nascimento, G.C.R., Da Penha, N.K.S., Pessoa, O.F., Loretto, S.C. and Maia, L.C. (2015), Difference in effectiveness between strontium acetate and arginine-based toothpastes to relieve dentin hypersensitivity. A systematic review. </w:t>
      </w:r>
      <w:r w:rsidRPr="00B15525">
        <w:rPr>
          <w:i/>
          <w:iCs/>
          <w:kern w:val="0"/>
          <w:szCs w:val="24"/>
        </w:rPr>
        <w:t>American Journal of Dentistry</w:t>
      </w:r>
      <w:r>
        <w:rPr>
          <w:kern w:val="0"/>
          <w:szCs w:val="24"/>
        </w:rPr>
        <w:t xml:space="preserve">, </w:t>
      </w:r>
      <w:r>
        <w:rPr>
          <w:b/>
          <w:bCs/>
          <w:kern w:val="0"/>
          <w:szCs w:val="24"/>
        </w:rPr>
        <w:t>28</w:t>
      </w:r>
      <w:r>
        <w:rPr>
          <w:kern w:val="0"/>
          <w:szCs w:val="24"/>
        </w:rPr>
        <w:t xml:space="preserve"> (1), 40-44.</w:t>
      </w:r>
    </w:p>
    <w:p w:rsidR="00B15525" w:rsidRDefault="00B15525" w:rsidP="00B15525">
      <w:pPr>
        <w:pStyle w:val="a3"/>
        <w:rPr>
          <w:kern w:val="0"/>
          <w:szCs w:val="24"/>
        </w:rPr>
      </w:pPr>
      <w:r>
        <w:rPr>
          <w:rFonts w:hint="eastAsia"/>
          <w:kern w:val="0"/>
          <w:szCs w:val="24"/>
        </w:rPr>
        <w:t>Full Text: 2015\</w:t>
      </w:r>
      <w:r>
        <w:rPr>
          <w:iCs/>
          <w:kern w:val="0"/>
          <w:szCs w:val="24"/>
        </w:rPr>
        <w:t>Ame J Den</w:t>
      </w:r>
      <w:r w:rsidRPr="00A05772">
        <w:rPr>
          <w:bCs/>
          <w:kern w:val="0"/>
          <w:szCs w:val="24"/>
        </w:rPr>
        <w:t>28</w:t>
      </w:r>
      <w:r>
        <w:rPr>
          <w:kern w:val="0"/>
          <w:szCs w:val="24"/>
        </w:rPr>
        <w:t>, 40</w:t>
      </w:r>
      <w:r>
        <w:rPr>
          <w:rFonts w:hint="eastAsia"/>
          <w:kern w:val="0"/>
          <w:szCs w:val="24"/>
        </w:rPr>
        <w:t>.pdf</w:t>
      </w:r>
    </w:p>
    <w:p w:rsidR="00B15525" w:rsidRDefault="00B15525" w:rsidP="00B15525">
      <w:pPr>
        <w:pStyle w:val="a3"/>
        <w:rPr>
          <w:kern w:val="0"/>
          <w:szCs w:val="24"/>
        </w:rPr>
      </w:pPr>
      <w:r>
        <w:rPr>
          <w:kern w:val="0"/>
          <w:szCs w:val="24"/>
        </w:rPr>
        <w:t>Abstract: Purpose: To present an overview of clinical evidence of strontium acetate and arginine-based toothpastes, in order to determine which of these substances was the most effective to relieve dentin hypersensitivity (DH). Methods: An electronic search was performed in PubMed, EMBASE, The Cochrane Library, LILACS, Web of Science and Open Grey databases. The search strategy included MeSH terms, synonyms and keywords with no language or date restriction. Randomized controlled clinical trial studies that compared the effectiveness of arginine/calcium carbonate and strontium acetate toothpaste were included. The risk of bias in the included studies was assessed and classified through the Cochrane Collaboration’s common scheme for bias. Data were subgrouped and heterogeneity was tested via comprehensive meta-analysis. Results: A total of 3,883 potentially relevant studies were identified. After title and abstract examination, only six studies fulfilled the eligibility criteria and were classified as having a “low risk of bias”. The majority of studies found better results for arginine/calcium carbonate in comparison with strontium acetate in alleviating DH. Only one study reported superior efficacy of strontium acetate, and only for tactile stimuli, after 8 weeks of home use. The arginine/calcium carbonate-based toothpaste provided a higher level of efficacy in terms of DH relief than the strontium-based toothpaste.</w:t>
      </w:r>
    </w:p>
    <w:p w:rsidR="00B15525" w:rsidRDefault="00B15525" w:rsidP="00B15525">
      <w:pPr>
        <w:pStyle w:val="a3"/>
        <w:rPr>
          <w:kern w:val="0"/>
          <w:szCs w:val="24"/>
        </w:rPr>
      </w:pPr>
      <w:r>
        <w:rPr>
          <w:kern w:val="0"/>
          <w:szCs w:val="24"/>
        </w:rPr>
        <w:t xml:space="preserve">Keywords: Acetate, Bias, Carbonate, Clinical, Clinical Trial, Comparison, Controlled Clinical Trial, Criteria, Data, Databases, Effectiveness, Efficacy, Embase, Evidence, </w:t>
      </w:r>
      <w:r>
        <w:rPr>
          <w:kern w:val="0"/>
          <w:szCs w:val="24"/>
        </w:rPr>
        <w:lastRenderedPageBreak/>
        <w:t>Examination, Heterogeneity, Hypersensitivity, Language, Meta Analysis, Meta-Analysis, Metaanalysis, Methods, Overview, Pain, Prevalence, Pubmed, Randomized, Results, Review, Risk, Science, Search Strategy, Sensitivity, Strategy, Strontium, Systematic, Systematic Review, Trial, Web, Web Of Science</w:t>
      </w:r>
    </w:p>
    <w:p w:rsidR="00D37808" w:rsidRPr="001A3D2B" w:rsidRDefault="00D37808" w:rsidP="00D37808">
      <w:pPr>
        <w:pStyle w:val="1"/>
      </w:pPr>
      <w:r w:rsidRPr="001A3D2B">
        <w:br w:type="page"/>
      </w:r>
      <w:bookmarkStart w:id="250" w:name="_Toc420814383"/>
      <w:r w:rsidRPr="001A3D2B">
        <w:lastRenderedPageBreak/>
        <w:t xml:space="preserve">Title: </w:t>
      </w:r>
      <w:r w:rsidRPr="00D37808">
        <w:rPr>
          <w:szCs w:val="24"/>
        </w:rPr>
        <w:t>American Journal</w:t>
      </w:r>
      <w:r w:rsidR="00427468">
        <w:rPr>
          <w:szCs w:val="24"/>
        </w:rPr>
        <w:t xml:space="preserve"> of </w:t>
      </w:r>
      <w:r w:rsidRPr="00D37808">
        <w:rPr>
          <w:szCs w:val="24"/>
        </w:rPr>
        <w:t>Economics</w:t>
      </w:r>
      <w:r w:rsidR="005853A9">
        <w:rPr>
          <w:szCs w:val="24"/>
        </w:rPr>
        <w:t xml:space="preserve"> and </w:t>
      </w:r>
      <w:r w:rsidRPr="00D37808">
        <w:rPr>
          <w:szCs w:val="24"/>
        </w:rPr>
        <w:t>Sociology</w:t>
      </w:r>
      <w:bookmarkEnd w:id="250"/>
    </w:p>
    <w:p w:rsidR="00D37808" w:rsidRPr="001A3D2B" w:rsidRDefault="00D37808" w:rsidP="00D37808">
      <w:pPr>
        <w:pStyle w:val="12"/>
      </w:pPr>
      <w:r w:rsidRPr="001A3D2B">
        <w:t xml:space="preserve">Full Journal Title: </w:t>
      </w:r>
      <w:r w:rsidRPr="00D37808">
        <w:rPr>
          <w:iCs/>
          <w:kern w:val="0"/>
        </w:rPr>
        <w:t>American Journal</w:t>
      </w:r>
      <w:r w:rsidR="00427468">
        <w:rPr>
          <w:iCs/>
          <w:kern w:val="0"/>
        </w:rPr>
        <w:t xml:space="preserve"> of </w:t>
      </w:r>
      <w:r w:rsidRPr="00D37808">
        <w:rPr>
          <w:iCs/>
          <w:kern w:val="0"/>
        </w:rPr>
        <w:t>Economics</w:t>
      </w:r>
      <w:r w:rsidR="005853A9">
        <w:rPr>
          <w:iCs/>
          <w:kern w:val="0"/>
        </w:rPr>
        <w:t xml:space="preserve"> and </w:t>
      </w:r>
      <w:r w:rsidRPr="00D37808">
        <w:rPr>
          <w:iCs/>
          <w:kern w:val="0"/>
        </w:rPr>
        <w:t>Sociology</w:t>
      </w:r>
    </w:p>
    <w:p w:rsidR="00D37808" w:rsidRPr="001A3D2B" w:rsidRDefault="00D37808" w:rsidP="00D37808">
      <w:pPr>
        <w:pStyle w:val="12"/>
      </w:pPr>
      <w:r w:rsidRPr="001A3D2B">
        <w:t xml:space="preserve">ISO Abbreviated Title: </w:t>
      </w:r>
    </w:p>
    <w:p w:rsidR="00D37808" w:rsidRPr="001A3D2B" w:rsidRDefault="00D37808" w:rsidP="00D37808">
      <w:pPr>
        <w:pStyle w:val="12"/>
      </w:pPr>
      <w:r w:rsidRPr="001A3D2B">
        <w:t xml:space="preserve">JCR Abbreviated Title: </w:t>
      </w:r>
    </w:p>
    <w:p w:rsidR="00D37808" w:rsidRPr="001A3D2B" w:rsidRDefault="00D37808" w:rsidP="00D37808">
      <w:pPr>
        <w:pStyle w:val="12"/>
      </w:pPr>
      <w:r w:rsidRPr="001A3D2B">
        <w:t xml:space="preserve">ISSN: </w:t>
      </w:r>
    </w:p>
    <w:p w:rsidR="00D37808" w:rsidRPr="001A3D2B" w:rsidRDefault="00D37808" w:rsidP="00D37808">
      <w:pPr>
        <w:pStyle w:val="12"/>
      </w:pPr>
      <w:r w:rsidRPr="001A3D2B">
        <w:t xml:space="preserve">Issues/Year: </w:t>
      </w:r>
    </w:p>
    <w:p w:rsidR="00D37808" w:rsidRPr="001A3D2B" w:rsidRDefault="00D37808" w:rsidP="00D37808">
      <w:pPr>
        <w:pStyle w:val="12"/>
      </w:pPr>
      <w:r w:rsidRPr="001A3D2B">
        <w:t xml:space="preserve">Journal Country/Territory: </w:t>
      </w:r>
    </w:p>
    <w:p w:rsidR="00D37808" w:rsidRPr="001A3D2B" w:rsidRDefault="00D37808" w:rsidP="00D37808">
      <w:pPr>
        <w:pStyle w:val="12"/>
      </w:pPr>
      <w:r w:rsidRPr="001A3D2B">
        <w:t xml:space="preserve">Language: </w:t>
      </w:r>
    </w:p>
    <w:p w:rsidR="00D37808" w:rsidRPr="001A3D2B" w:rsidRDefault="00D37808" w:rsidP="00D37808">
      <w:pPr>
        <w:pStyle w:val="12"/>
      </w:pPr>
      <w:r w:rsidRPr="001A3D2B">
        <w:t xml:space="preserve">Publisher: </w:t>
      </w:r>
    </w:p>
    <w:p w:rsidR="00D37808" w:rsidRPr="001A3D2B" w:rsidRDefault="00D37808" w:rsidP="00D37808">
      <w:pPr>
        <w:pStyle w:val="12"/>
      </w:pPr>
      <w:r w:rsidRPr="001A3D2B">
        <w:t xml:space="preserve">Publisher Address: </w:t>
      </w:r>
    </w:p>
    <w:p w:rsidR="00D37808" w:rsidRPr="001A3D2B" w:rsidRDefault="00D37808" w:rsidP="00D37808">
      <w:pPr>
        <w:pStyle w:val="12"/>
      </w:pPr>
      <w:r w:rsidRPr="001A3D2B">
        <w:t>Subject Categories:</w:t>
      </w:r>
    </w:p>
    <w:p w:rsidR="00D37808" w:rsidRPr="001A3D2B" w:rsidRDefault="00D37808" w:rsidP="00D37808">
      <w:pPr>
        <w:pStyle w:val="12"/>
      </w:pPr>
      <w:r w:rsidRPr="001A3D2B">
        <w:t>: Impact Factor</w:t>
      </w:r>
    </w:p>
    <w:p w:rsidR="00D37808" w:rsidRDefault="00D37808" w:rsidP="00D37808">
      <w:pPr>
        <w:pStyle w:val="a3"/>
        <w:rPr>
          <w:kern w:val="0"/>
          <w:szCs w:val="24"/>
        </w:rPr>
      </w:pPr>
      <w:r>
        <w:rPr>
          <w:rFonts w:hint="eastAsia"/>
          <w:kern w:val="0"/>
          <w:szCs w:val="24"/>
        </w:rPr>
        <w:t xml:space="preserve">? </w:t>
      </w:r>
      <w:r>
        <w:rPr>
          <w:kern w:val="0"/>
          <w:szCs w:val="24"/>
        </w:rPr>
        <w:t>Lee, F.S., Grijalva, T.C.</w:t>
      </w:r>
      <w:r w:rsidR="005853A9">
        <w:rPr>
          <w:kern w:val="0"/>
          <w:szCs w:val="24"/>
        </w:rPr>
        <w:t xml:space="preserve"> and </w:t>
      </w:r>
      <w:r>
        <w:rPr>
          <w:kern w:val="0"/>
          <w:szCs w:val="24"/>
        </w:rPr>
        <w:t xml:space="preserve">Nowell, C. (2010), Ranking economics departments in a contested discipline: A bibliometric approach to quality equality between theoretically distinct subdisciplines. </w:t>
      </w:r>
      <w:r w:rsidRPr="00D37808">
        <w:rPr>
          <w:i/>
          <w:iCs/>
          <w:kern w:val="0"/>
          <w:szCs w:val="24"/>
        </w:rPr>
        <w:t>American Journal</w:t>
      </w:r>
      <w:r w:rsidR="00427468">
        <w:rPr>
          <w:i/>
          <w:iCs/>
          <w:kern w:val="0"/>
          <w:szCs w:val="24"/>
        </w:rPr>
        <w:t xml:space="preserve"> of </w:t>
      </w:r>
      <w:r w:rsidRPr="00D37808">
        <w:rPr>
          <w:i/>
          <w:iCs/>
          <w:kern w:val="0"/>
          <w:szCs w:val="24"/>
        </w:rPr>
        <w:t>Economics</w:t>
      </w:r>
      <w:r w:rsidR="005853A9">
        <w:rPr>
          <w:i/>
          <w:iCs/>
          <w:kern w:val="0"/>
          <w:szCs w:val="24"/>
        </w:rPr>
        <w:t xml:space="preserve"> and </w:t>
      </w:r>
      <w:r w:rsidRPr="00D37808">
        <w:rPr>
          <w:i/>
          <w:iCs/>
          <w:kern w:val="0"/>
          <w:szCs w:val="24"/>
        </w:rPr>
        <w:t>Sociology</w:t>
      </w:r>
      <w:r>
        <w:rPr>
          <w:kern w:val="0"/>
          <w:szCs w:val="24"/>
        </w:rPr>
        <w:t xml:space="preserve">, </w:t>
      </w:r>
      <w:r>
        <w:rPr>
          <w:b/>
          <w:bCs/>
          <w:kern w:val="0"/>
          <w:szCs w:val="24"/>
        </w:rPr>
        <w:t>69</w:t>
      </w:r>
      <w:r>
        <w:rPr>
          <w:kern w:val="0"/>
          <w:szCs w:val="24"/>
        </w:rPr>
        <w:t xml:space="preserve"> (5), 1345-1375.</w:t>
      </w:r>
    </w:p>
    <w:p w:rsidR="00D37808" w:rsidRDefault="00D37808" w:rsidP="00D37808">
      <w:pPr>
        <w:pStyle w:val="a3"/>
        <w:rPr>
          <w:kern w:val="0"/>
          <w:szCs w:val="24"/>
        </w:rPr>
      </w:pPr>
      <w:r>
        <w:rPr>
          <w:rFonts w:hint="eastAsia"/>
          <w:kern w:val="0"/>
          <w:szCs w:val="24"/>
        </w:rPr>
        <w:t xml:space="preserve">Full Text: </w:t>
      </w:r>
      <w:hyperlink r:id="rId442" w:history="1">
        <w:r w:rsidRPr="00D37808">
          <w:rPr>
            <w:rStyle w:val="a5"/>
            <w:kern w:val="0"/>
            <w:szCs w:val="24"/>
          </w:rPr>
          <w:t>2010\Ame J Eco Soc69, 1345.pdf</w:t>
        </w:r>
      </w:hyperlink>
    </w:p>
    <w:p w:rsidR="00D37808" w:rsidRDefault="00D37808" w:rsidP="00D37808">
      <w:pPr>
        <w:pStyle w:val="a3"/>
        <w:rPr>
          <w:kern w:val="0"/>
          <w:szCs w:val="24"/>
        </w:rPr>
      </w:pPr>
      <w:r>
        <w:rPr>
          <w:kern w:val="0"/>
          <w:szCs w:val="24"/>
        </w:rPr>
        <w:t>Abstract: P&gt;Quality ranking</w:t>
      </w:r>
      <w:r w:rsidR="00427468">
        <w:rPr>
          <w:kern w:val="0"/>
          <w:szCs w:val="24"/>
        </w:rPr>
        <w:t xml:space="preserve"> of </w:t>
      </w:r>
      <w:r>
        <w:rPr>
          <w:kern w:val="0"/>
          <w:szCs w:val="24"/>
        </w:rPr>
        <w:t>economic journals</w:t>
      </w:r>
      <w:r w:rsidR="005853A9">
        <w:rPr>
          <w:kern w:val="0"/>
          <w:szCs w:val="24"/>
        </w:rPr>
        <w:t xml:space="preserve"> and </w:t>
      </w:r>
      <w:r>
        <w:rPr>
          <w:kern w:val="0"/>
          <w:szCs w:val="24"/>
        </w:rPr>
        <w:t>departments is a widespread practice in</w:t>
      </w:r>
      <w:r w:rsidR="003A1917">
        <w:rPr>
          <w:kern w:val="0"/>
          <w:szCs w:val="24"/>
        </w:rPr>
        <w:t xml:space="preserve"> the </w:t>
      </w:r>
      <w:r>
        <w:rPr>
          <w:kern w:val="0"/>
          <w:szCs w:val="24"/>
        </w:rPr>
        <w:t>United States</w:t>
      </w:r>
      <w:r w:rsidR="00A37C1D">
        <w:rPr>
          <w:kern w:val="0"/>
          <w:szCs w:val="24"/>
        </w:rPr>
        <w:t>. The</w:t>
      </w:r>
      <w:r w:rsidR="003A1917">
        <w:rPr>
          <w:kern w:val="0"/>
          <w:szCs w:val="24"/>
        </w:rPr>
        <w:t xml:space="preserve"> </w:t>
      </w:r>
      <w:r>
        <w:rPr>
          <w:kern w:val="0"/>
          <w:szCs w:val="24"/>
        </w:rPr>
        <w:t>methods used are peer review</w:t>
      </w:r>
      <w:r w:rsidR="005853A9">
        <w:rPr>
          <w:kern w:val="0"/>
          <w:szCs w:val="24"/>
        </w:rPr>
        <w:t xml:space="preserve"> and </w:t>
      </w:r>
      <w:r>
        <w:rPr>
          <w:kern w:val="0"/>
          <w:szCs w:val="24"/>
        </w:rPr>
        <w:t>bibliometric measures. In a divided discipline such as economics scientific knowledge is contested. So knowing which journals</w:t>
      </w:r>
      <w:r w:rsidR="005853A9">
        <w:rPr>
          <w:kern w:val="0"/>
          <w:szCs w:val="24"/>
        </w:rPr>
        <w:t xml:space="preserve"> and </w:t>
      </w:r>
      <w:r>
        <w:rPr>
          <w:kern w:val="0"/>
          <w:szCs w:val="24"/>
        </w:rPr>
        <w:t>departments are</w:t>
      </w:r>
      <w:r w:rsidR="003A1917">
        <w:rPr>
          <w:kern w:val="0"/>
          <w:szCs w:val="24"/>
        </w:rPr>
        <w:t xml:space="preserve"> the </w:t>
      </w:r>
      <w:r>
        <w:rPr>
          <w:kern w:val="0"/>
          <w:szCs w:val="24"/>
        </w:rPr>
        <w:t>best in terms</w:t>
      </w:r>
      <w:r w:rsidR="00427468">
        <w:rPr>
          <w:kern w:val="0"/>
          <w:szCs w:val="24"/>
        </w:rPr>
        <w:t xml:space="preserve"> of </w:t>
      </w:r>
      <w:r>
        <w:rPr>
          <w:kern w:val="0"/>
          <w:szCs w:val="24"/>
        </w:rPr>
        <w:t>research is somewhat muddied. If</w:t>
      </w:r>
      <w:r w:rsidR="003A1917">
        <w:rPr>
          <w:kern w:val="0"/>
          <w:szCs w:val="24"/>
        </w:rPr>
        <w:t xml:space="preserve"> the </w:t>
      </w:r>
      <w:r>
        <w:rPr>
          <w:kern w:val="0"/>
          <w:szCs w:val="24"/>
        </w:rPr>
        <w:t>methods used to measure</w:t>
      </w:r>
      <w:r w:rsidR="003A1917">
        <w:rPr>
          <w:kern w:val="0"/>
          <w:szCs w:val="24"/>
        </w:rPr>
        <w:t xml:space="preserve"> the </w:t>
      </w:r>
      <w:r>
        <w:rPr>
          <w:kern w:val="0"/>
          <w:szCs w:val="24"/>
        </w:rPr>
        <w:t>production</w:t>
      </w:r>
      <w:r w:rsidR="00427468">
        <w:rPr>
          <w:kern w:val="0"/>
          <w:szCs w:val="24"/>
        </w:rPr>
        <w:t xml:space="preserve"> of </w:t>
      </w:r>
      <w:r>
        <w:rPr>
          <w:kern w:val="0"/>
          <w:szCs w:val="24"/>
        </w:rPr>
        <w:t>quality scientific knowledge are tilted towards one</w:t>
      </w:r>
      <w:r w:rsidR="00427468">
        <w:rPr>
          <w:kern w:val="0"/>
          <w:szCs w:val="24"/>
        </w:rPr>
        <w:t xml:space="preserve"> of </w:t>
      </w:r>
      <w:r w:rsidR="003A1917">
        <w:rPr>
          <w:kern w:val="0"/>
          <w:szCs w:val="24"/>
        </w:rPr>
        <w:t xml:space="preserve">the </w:t>
      </w:r>
      <w:r>
        <w:rPr>
          <w:kern w:val="0"/>
          <w:szCs w:val="24"/>
        </w:rPr>
        <w:t>contested approaches,</w:t>
      </w:r>
      <w:r w:rsidR="003A1917">
        <w:rPr>
          <w:kern w:val="0"/>
          <w:szCs w:val="24"/>
        </w:rPr>
        <w:t xml:space="preserve"> the </w:t>
      </w:r>
      <w:r>
        <w:rPr>
          <w:kern w:val="0"/>
          <w:szCs w:val="24"/>
        </w:rPr>
        <w:t>resulting quality rankings</w:t>
      </w:r>
      <w:r w:rsidR="00427468">
        <w:rPr>
          <w:kern w:val="0"/>
          <w:szCs w:val="24"/>
        </w:rPr>
        <w:t xml:space="preserve"> of </w:t>
      </w:r>
      <w:r>
        <w:rPr>
          <w:kern w:val="0"/>
          <w:szCs w:val="24"/>
        </w:rPr>
        <w:t>journals</w:t>
      </w:r>
      <w:r w:rsidR="005853A9">
        <w:rPr>
          <w:kern w:val="0"/>
          <w:szCs w:val="24"/>
        </w:rPr>
        <w:t xml:space="preserve"> and </w:t>
      </w:r>
      <w:r>
        <w:rPr>
          <w:kern w:val="0"/>
          <w:szCs w:val="24"/>
        </w:rPr>
        <w:t>departments are tilted as well. So if</w:t>
      </w:r>
      <w:r w:rsidR="003A1917">
        <w:rPr>
          <w:kern w:val="0"/>
          <w:szCs w:val="24"/>
        </w:rPr>
        <w:t xml:space="preserve"> the </w:t>
      </w:r>
      <w:r>
        <w:rPr>
          <w:kern w:val="0"/>
          <w:szCs w:val="24"/>
        </w:rPr>
        <w:t>objective is</w:t>
      </w:r>
      <w:r w:rsidR="003A1917">
        <w:rPr>
          <w:kern w:val="0"/>
          <w:szCs w:val="24"/>
        </w:rPr>
        <w:t xml:space="preserve"> the </w:t>
      </w:r>
      <w:r>
        <w:rPr>
          <w:kern w:val="0"/>
          <w:szCs w:val="24"/>
        </w:rPr>
        <w:t>open-minded pursuit</w:t>
      </w:r>
      <w:r w:rsidR="00427468">
        <w:rPr>
          <w:kern w:val="0"/>
          <w:szCs w:val="24"/>
        </w:rPr>
        <w:t xml:space="preserve"> of </w:t>
      </w:r>
      <w:r w:rsidR="003A1917">
        <w:rPr>
          <w:kern w:val="0"/>
          <w:szCs w:val="24"/>
        </w:rPr>
        <w:t xml:space="preserve">the </w:t>
      </w:r>
      <w:r>
        <w:rPr>
          <w:kern w:val="0"/>
          <w:szCs w:val="24"/>
        </w:rPr>
        <w:t>production</w:t>
      </w:r>
      <w:r w:rsidR="00427468">
        <w:rPr>
          <w:kern w:val="0"/>
          <w:szCs w:val="24"/>
        </w:rPr>
        <w:t xml:space="preserve"> of </w:t>
      </w:r>
      <w:r>
        <w:rPr>
          <w:kern w:val="0"/>
          <w:szCs w:val="24"/>
        </w:rPr>
        <w:t>scientific knowledge, then it is important to have measures</w:t>
      </w:r>
      <w:r w:rsidR="00427468">
        <w:rPr>
          <w:kern w:val="0"/>
          <w:szCs w:val="24"/>
        </w:rPr>
        <w:t xml:space="preserve"> of </w:t>
      </w:r>
      <w:r>
        <w:rPr>
          <w:kern w:val="0"/>
          <w:szCs w:val="24"/>
        </w:rPr>
        <w:t>quality that treat</w:t>
      </w:r>
      <w:r w:rsidR="003A1917">
        <w:rPr>
          <w:kern w:val="0"/>
          <w:szCs w:val="24"/>
        </w:rPr>
        <w:t xml:space="preserve"> the </w:t>
      </w:r>
      <w:r>
        <w:rPr>
          <w:kern w:val="0"/>
          <w:szCs w:val="24"/>
        </w:rPr>
        <w:t>different contested approaches equally. Our article explores this issue by examining</w:t>
      </w:r>
      <w:r w:rsidR="003A1917">
        <w:rPr>
          <w:kern w:val="0"/>
          <w:szCs w:val="24"/>
        </w:rPr>
        <w:t xml:space="preserve"> the </w:t>
      </w:r>
      <w:r>
        <w:rPr>
          <w:kern w:val="0"/>
          <w:szCs w:val="24"/>
        </w:rPr>
        <w:t>impact that a quality-equality bibliometric measure can have on</w:t>
      </w:r>
      <w:r w:rsidR="003A1917">
        <w:rPr>
          <w:kern w:val="0"/>
          <w:szCs w:val="24"/>
        </w:rPr>
        <w:t xml:space="preserve"> the </w:t>
      </w:r>
      <w:r>
        <w:rPr>
          <w:kern w:val="0"/>
          <w:szCs w:val="24"/>
        </w:rPr>
        <w:t>quality rankings</w:t>
      </w:r>
      <w:r w:rsidR="00427468">
        <w:rPr>
          <w:kern w:val="0"/>
          <w:szCs w:val="24"/>
        </w:rPr>
        <w:t xml:space="preserve"> of </w:t>
      </w:r>
      <w:r>
        <w:rPr>
          <w:kern w:val="0"/>
          <w:szCs w:val="24"/>
        </w:rPr>
        <w:t>doctoral economic programs in</w:t>
      </w:r>
      <w:r w:rsidR="003A1917">
        <w:rPr>
          <w:kern w:val="0"/>
          <w:szCs w:val="24"/>
        </w:rPr>
        <w:t xml:space="preserve"> the </w:t>
      </w:r>
      <w:r>
        <w:rPr>
          <w:kern w:val="0"/>
          <w:szCs w:val="24"/>
        </w:rPr>
        <w:t>United States.</w:t>
      </w:r>
    </w:p>
    <w:p w:rsidR="00D37808" w:rsidRDefault="00D37808" w:rsidP="00D37808">
      <w:pPr>
        <w:pStyle w:val="a3"/>
        <w:rPr>
          <w:kern w:val="0"/>
          <w:szCs w:val="24"/>
        </w:rPr>
      </w:pPr>
      <w:r>
        <w:rPr>
          <w:kern w:val="0"/>
          <w:szCs w:val="24"/>
        </w:rPr>
        <w:t>Keywords: Bibliometric, Core, Expertise, Impact, Journals, Peer-Review, Production, Quality, Ranking, Research, US</w:t>
      </w:r>
    </w:p>
    <w:p w:rsidR="00D37808" w:rsidRDefault="00D37808" w:rsidP="00D37808">
      <w:pPr>
        <w:pStyle w:val="a3"/>
        <w:rPr>
          <w:kern w:val="0"/>
          <w:szCs w:val="24"/>
        </w:rPr>
      </w:pPr>
      <w:r>
        <w:rPr>
          <w:rFonts w:hint="eastAsia"/>
          <w:kern w:val="0"/>
          <w:szCs w:val="24"/>
        </w:rPr>
        <w:t xml:space="preserve">? </w:t>
      </w:r>
      <w:r>
        <w:rPr>
          <w:kern w:val="0"/>
          <w:szCs w:val="24"/>
        </w:rPr>
        <w:t>Lee, F.S., Cronin, B.C., McConnell, S.</w:t>
      </w:r>
      <w:r w:rsidR="005853A9">
        <w:rPr>
          <w:kern w:val="0"/>
          <w:szCs w:val="24"/>
        </w:rPr>
        <w:t xml:space="preserve"> and </w:t>
      </w:r>
      <w:r>
        <w:rPr>
          <w:kern w:val="0"/>
          <w:szCs w:val="24"/>
        </w:rPr>
        <w:t>Dean, E. (2010), Research quality rankings</w:t>
      </w:r>
      <w:r w:rsidR="00427468">
        <w:rPr>
          <w:kern w:val="0"/>
          <w:szCs w:val="24"/>
        </w:rPr>
        <w:t xml:space="preserve"> of </w:t>
      </w:r>
      <w:r>
        <w:rPr>
          <w:kern w:val="0"/>
          <w:szCs w:val="24"/>
        </w:rPr>
        <w:t xml:space="preserve">heterodox economic journals in a contested discipline. </w:t>
      </w:r>
      <w:r>
        <w:rPr>
          <w:i/>
          <w:iCs/>
          <w:kern w:val="0"/>
          <w:szCs w:val="24"/>
        </w:rPr>
        <w:t>American Journal</w:t>
      </w:r>
      <w:r w:rsidR="00427468">
        <w:rPr>
          <w:i/>
          <w:iCs/>
          <w:kern w:val="0"/>
          <w:szCs w:val="24"/>
        </w:rPr>
        <w:t xml:space="preserve"> of </w:t>
      </w:r>
      <w:r>
        <w:rPr>
          <w:i/>
          <w:iCs/>
          <w:kern w:val="0"/>
          <w:szCs w:val="24"/>
        </w:rPr>
        <w:t>Economics</w:t>
      </w:r>
      <w:r w:rsidR="005853A9">
        <w:rPr>
          <w:i/>
          <w:iCs/>
          <w:kern w:val="0"/>
          <w:szCs w:val="24"/>
        </w:rPr>
        <w:t xml:space="preserve"> and </w:t>
      </w:r>
      <w:r>
        <w:rPr>
          <w:i/>
          <w:iCs/>
          <w:kern w:val="0"/>
          <w:szCs w:val="24"/>
        </w:rPr>
        <w:t>Sociology</w:t>
      </w:r>
      <w:r>
        <w:rPr>
          <w:kern w:val="0"/>
          <w:szCs w:val="24"/>
        </w:rPr>
        <w:t xml:space="preserve">, </w:t>
      </w:r>
      <w:r>
        <w:rPr>
          <w:b/>
          <w:bCs/>
          <w:kern w:val="0"/>
          <w:szCs w:val="24"/>
        </w:rPr>
        <w:t>69</w:t>
      </w:r>
      <w:r>
        <w:rPr>
          <w:kern w:val="0"/>
          <w:szCs w:val="24"/>
        </w:rPr>
        <w:t xml:space="preserve"> (5), 1409-1452.</w:t>
      </w:r>
    </w:p>
    <w:p w:rsidR="00D37808" w:rsidRDefault="00D37808" w:rsidP="00D37808">
      <w:pPr>
        <w:pStyle w:val="a3"/>
        <w:rPr>
          <w:kern w:val="0"/>
          <w:szCs w:val="24"/>
        </w:rPr>
      </w:pPr>
      <w:r>
        <w:rPr>
          <w:rFonts w:hint="eastAsia"/>
          <w:kern w:val="0"/>
          <w:szCs w:val="24"/>
        </w:rPr>
        <w:t xml:space="preserve">Full Text: </w:t>
      </w:r>
      <w:hyperlink r:id="rId443" w:history="1">
        <w:r w:rsidRPr="00A53670">
          <w:rPr>
            <w:rStyle w:val="a5"/>
            <w:kern w:val="0"/>
            <w:szCs w:val="24"/>
          </w:rPr>
          <w:t>2010\Ame J Eco Soc69, 1409.pdf</w:t>
        </w:r>
      </w:hyperlink>
    </w:p>
    <w:p w:rsidR="00D37808" w:rsidRDefault="00D37808" w:rsidP="00D37808">
      <w:pPr>
        <w:pStyle w:val="a3"/>
        <w:rPr>
          <w:kern w:val="0"/>
          <w:szCs w:val="24"/>
        </w:rPr>
      </w:pPr>
      <w:r>
        <w:rPr>
          <w:kern w:val="0"/>
          <w:szCs w:val="24"/>
        </w:rPr>
        <w:t>Abstract: P&gt;This article argues that</w:t>
      </w:r>
      <w:r w:rsidR="003A1917">
        <w:rPr>
          <w:kern w:val="0"/>
          <w:szCs w:val="24"/>
        </w:rPr>
        <w:t xml:space="preserve"> the </w:t>
      </w:r>
      <w:r>
        <w:rPr>
          <w:kern w:val="0"/>
          <w:szCs w:val="24"/>
        </w:rPr>
        <w:t>discipline</w:t>
      </w:r>
      <w:r w:rsidR="00427468">
        <w:rPr>
          <w:kern w:val="0"/>
          <w:szCs w:val="24"/>
        </w:rPr>
        <w:t xml:space="preserve"> of </w:t>
      </w:r>
      <w:r>
        <w:rPr>
          <w:kern w:val="0"/>
          <w:szCs w:val="24"/>
        </w:rPr>
        <w:t>economics consists</w:t>
      </w:r>
      <w:r w:rsidR="00427468">
        <w:rPr>
          <w:kern w:val="0"/>
          <w:szCs w:val="24"/>
        </w:rPr>
        <w:t xml:space="preserve"> of </w:t>
      </w:r>
      <w:r>
        <w:rPr>
          <w:kern w:val="0"/>
          <w:szCs w:val="24"/>
        </w:rPr>
        <w:t>two subdisciplines: heterodox</w:t>
      </w:r>
      <w:r w:rsidR="005853A9">
        <w:rPr>
          <w:kern w:val="0"/>
          <w:szCs w:val="24"/>
        </w:rPr>
        <w:t xml:space="preserve"> and </w:t>
      </w:r>
      <w:r>
        <w:rPr>
          <w:kern w:val="0"/>
          <w:szCs w:val="24"/>
        </w:rPr>
        <w:t>mainstream economics. Being distinct bodies</w:t>
      </w:r>
      <w:r w:rsidR="00427468">
        <w:rPr>
          <w:kern w:val="0"/>
          <w:szCs w:val="24"/>
        </w:rPr>
        <w:t xml:space="preserve"> of </w:t>
      </w:r>
      <w:r>
        <w:rPr>
          <w:kern w:val="0"/>
          <w:szCs w:val="24"/>
        </w:rPr>
        <w:lastRenderedPageBreak/>
        <w:t>knowledge, it is possible that</w:t>
      </w:r>
      <w:r w:rsidR="003A1917">
        <w:rPr>
          <w:kern w:val="0"/>
          <w:szCs w:val="24"/>
        </w:rPr>
        <w:t xml:space="preserve"> the </w:t>
      </w:r>
      <w:r>
        <w:rPr>
          <w:kern w:val="0"/>
          <w:szCs w:val="24"/>
        </w:rPr>
        <w:t>processes</w:t>
      </w:r>
      <w:r w:rsidR="00427468">
        <w:rPr>
          <w:kern w:val="0"/>
          <w:szCs w:val="24"/>
        </w:rPr>
        <w:t xml:space="preserve"> of </w:t>
      </w:r>
      <w:r>
        <w:rPr>
          <w:kern w:val="0"/>
          <w:szCs w:val="24"/>
        </w:rPr>
        <w:t>building scientific knowledge are different enough so to generate distinctly different referencing</w:t>
      </w:r>
      <w:r w:rsidR="005853A9">
        <w:rPr>
          <w:kern w:val="0"/>
          <w:szCs w:val="24"/>
        </w:rPr>
        <w:t xml:space="preserve"> and </w:t>
      </w:r>
      <w:r>
        <w:rPr>
          <w:kern w:val="0"/>
          <w:szCs w:val="24"/>
        </w:rPr>
        <w:t>citation practices</w:t>
      </w:r>
      <w:r w:rsidR="00A37C1D">
        <w:rPr>
          <w:kern w:val="0"/>
          <w:szCs w:val="24"/>
        </w:rPr>
        <w:t>. The</w:t>
      </w:r>
      <w:r>
        <w:rPr>
          <w:kern w:val="0"/>
          <w:szCs w:val="24"/>
        </w:rPr>
        <w:t>refore, a specific impact contribution score is necessary for ranking heterodox journals in terms</w:t>
      </w:r>
      <w:r w:rsidR="00427468">
        <w:rPr>
          <w:kern w:val="0"/>
          <w:szCs w:val="24"/>
        </w:rPr>
        <w:t xml:space="preserve"> of </w:t>
      </w:r>
      <w:r>
        <w:rPr>
          <w:kern w:val="0"/>
          <w:szCs w:val="24"/>
        </w:rPr>
        <w:t>their contribution to building heterodox economics. If properly developed such a metric could also be used to produce a single overall quality-equality ranking</w:t>
      </w:r>
      <w:r w:rsidR="00427468">
        <w:rPr>
          <w:kern w:val="0"/>
          <w:szCs w:val="24"/>
        </w:rPr>
        <w:t xml:space="preserve"> of </w:t>
      </w:r>
      <w:r>
        <w:rPr>
          <w:kern w:val="0"/>
          <w:szCs w:val="24"/>
        </w:rPr>
        <w:t>mainstream</w:t>
      </w:r>
      <w:r w:rsidR="005853A9">
        <w:rPr>
          <w:kern w:val="0"/>
          <w:szCs w:val="24"/>
        </w:rPr>
        <w:t xml:space="preserve"> and </w:t>
      </w:r>
      <w:r>
        <w:rPr>
          <w:kern w:val="0"/>
          <w:szCs w:val="24"/>
        </w:rPr>
        <w:t>heterodox journals. Utilizing citation data</w:t>
      </w:r>
      <w:r w:rsidR="005853A9">
        <w:rPr>
          <w:kern w:val="0"/>
          <w:szCs w:val="24"/>
        </w:rPr>
        <w:t xml:space="preserve"> and </w:t>
      </w:r>
      <w:r>
        <w:rPr>
          <w:kern w:val="0"/>
          <w:szCs w:val="24"/>
        </w:rPr>
        <w:t>peer evaluations</w:t>
      </w:r>
      <w:r w:rsidR="00427468">
        <w:rPr>
          <w:kern w:val="0"/>
          <w:szCs w:val="24"/>
        </w:rPr>
        <w:t xml:space="preserve"> of </w:t>
      </w:r>
      <w:r>
        <w:rPr>
          <w:kern w:val="0"/>
          <w:szCs w:val="24"/>
        </w:rPr>
        <w:t>62 heterodox economics journals, a research quality measure is developed</w:t>
      </w:r>
      <w:r w:rsidR="005853A9">
        <w:rPr>
          <w:kern w:val="0"/>
          <w:szCs w:val="24"/>
        </w:rPr>
        <w:t xml:space="preserve"> and </w:t>
      </w:r>
      <w:r>
        <w:rPr>
          <w:kern w:val="0"/>
          <w:szCs w:val="24"/>
        </w:rPr>
        <w:t>then used to rank</w:t>
      </w:r>
      <w:r w:rsidR="003A1917">
        <w:rPr>
          <w:kern w:val="0"/>
          <w:szCs w:val="24"/>
        </w:rPr>
        <w:t xml:space="preserve"> the </w:t>
      </w:r>
      <w:r>
        <w:rPr>
          <w:kern w:val="0"/>
          <w:szCs w:val="24"/>
        </w:rPr>
        <w:t>journals</w:t>
      </w:r>
      <w:r w:rsidR="00A37C1D">
        <w:rPr>
          <w:kern w:val="0"/>
          <w:szCs w:val="24"/>
        </w:rPr>
        <w:t>. The</w:t>
      </w:r>
      <w:r w:rsidR="003A1917">
        <w:rPr>
          <w:kern w:val="0"/>
          <w:szCs w:val="24"/>
        </w:rPr>
        <w:t xml:space="preserve"> </w:t>
      </w:r>
      <w:r>
        <w:rPr>
          <w:kern w:val="0"/>
          <w:szCs w:val="24"/>
        </w:rPr>
        <w:t>measure is then used in conjunction with</w:t>
      </w:r>
      <w:r w:rsidR="003A1917">
        <w:rPr>
          <w:kern w:val="0"/>
          <w:szCs w:val="24"/>
        </w:rPr>
        <w:t xml:space="preserve"> the </w:t>
      </w:r>
      <w:r w:rsidR="00D5664A">
        <w:rPr>
          <w:kern w:val="0"/>
          <w:szCs w:val="24"/>
        </w:rPr>
        <w:t>SSCI</w:t>
      </w:r>
      <w:r>
        <w:rPr>
          <w:kern w:val="0"/>
          <w:szCs w:val="24"/>
        </w:rPr>
        <w:t xml:space="preserve"> five-year impact factor to produce a comparative research quality-equality rankings</w:t>
      </w:r>
      <w:r w:rsidR="00427468">
        <w:rPr>
          <w:kern w:val="0"/>
          <w:szCs w:val="24"/>
        </w:rPr>
        <w:t xml:space="preserve"> of </w:t>
      </w:r>
      <w:r w:rsidR="003A1917">
        <w:rPr>
          <w:kern w:val="0"/>
          <w:szCs w:val="24"/>
        </w:rPr>
        <w:t xml:space="preserve">the </w:t>
      </w:r>
      <w:r>
        <w:rPr>
          <w:kern w:val="0"/>
          <w:szCs w:val="24"/>
        </w:rPr>
        <w:t>62 heterodox</w:t>
      </w:r>
      <w:r w:rsidR="005853A9">
        <w:rPr>
          <w:kern w:val="0"/>
          <w:szCs w:val="24"/>
        </w:rPr>
        <w:t xml:space="preserve"> and </w:t>
      </w:r>
      <w:r w:rsidR="003A1917">
        <w:rPr>
          <w:kern w:val="0"/>
          <w:szCs w:val="24"/>
        </w:rPr>
        <w:t xml:space="preserve">the </w:t>
      </w:r>
      <w:r>
        <w:rPr>
          <w:kern w:val="0"/>
          <w:szCs w:val="24"/>
        </w:rPr>
        <w:t>192 mainstream journals in</w:t>
      </w:r>
      <w:r w:rsidR="003A1917">
        <w:rPr>
          <w:kern w:val="0"/>
          <w:szCs w:val="24"/>
        </w:rPr>
        <w:t xml:space="preserve"> the </w:t>
      </w:r>
      <w:r w:rsidR="00D5664A">
        <w:rPr>
          <w:kern w:val="0"/>
          <w:szCs w:val="24"/>
        </w:rPr>
        <w:t>SSCI</w:t>
      </w:r>
      <w:r>
        <w:rPr>
          <w:kern w:val="0"/>
          <w:szCs w:val="24"/>
        </w:rPr>
        <w:t>.</w:t>
      </w:r>
    </w:p>
    <w:p w:rsidR="00D37808" w:rsidRDefault="00D37808" w:rsidP="00D37808">
      <w:pPr>
        <w:pStyle w:val="a3"/>
        <w:rPr>
          <w:kern w:val="0"/>
          <w:szCs w:val="24"/>
        </w:rPr>
      </w:pPr>
      <w:r>
        <w:rPr>
          <w:kern w:val="0"/>
          <w:szCs w:val="24"/>
        </w:rPr>
        <w:t>Keywords: Bibliometrics, Citation, Communication, Contribution, Econometrics, Impact Factor, Impact Factors, Journals, Quality, Rankings, Referencing, Research</w:t>
      </w:r>
    </w:p>
    <w:p w:rsidR="00504551" w:rsidRPr="0065196F" w:rsidRDefault="00504551" w:rsidP="00504551">
      <w:pPr>
        <w:pStyle w:val="a3"/>
        <w:rPr>
          <w:kern w:val="0"/>
        </w:rPr>
      </w:pPr>
      <w:r w:rsidRPr="0065196F">
        <w:rPr>
          <w:kern w:val="0"/>
        </w:rPr>
        <w:t>? Sutter, D. (2012), Different but equal? On the contribution</w:t>
      </w:r>
      <w:r w:rsidR="00427468">
        <w:rPr>
          <w:kern w:val="0"/>
        </w:rPr>
        <w:t xml:space="preserve"> of </w:t>
      </w:r>
      <w:r w:rsidRPr="0065196F">
        <w:rPr>
          <w:kern w:val="0"/>
        </w:rPr>
        <w:t xml:space="preserve">dissident economists. </w:t>
      </w:r>
      <w:r w:rsidRPr="0065196F">
        <w:rPr>
          <w:i/>
          <w:iCs/>
          <w:kern w:val="0"/>
        </w:rPr>
        <w:t>American Journal</w:t>
      </w:r>
      <w:r w:rsidR="00427468">
        <w:rPr>
          <w:i/>
          <w:iCs/>
          <w:kern w:val="0"/>
        </w:rPr>
        <w:t xml:space="preserve"> of </w:t>
      </w:r>
      <w:r w:rsidRPr="0065196F">
        <w:rPr>
          <w:i/>
          <w:iCs/>
          <w:kern w:val="0"/>
        </w:rPr>
        <w:t>Economics</w:t>
      </w:r>
      <w:r w:rsidR="005853A9">
        <w:rPr>
          <w:i/>
          <w:iCs/>
          <w:kern w:val="0"/>
        </w:rPr>
        <w:t xml:space="preserve"> and </w:t>
      </w:r>
      <w:r w:rsidRPr="0065196F">
        <w:rPr>
          <w:i/>
          <w:iCs/>
          <w:kern w:val="0"/>
        </w:rPr>
        <w:t>Sociology</w:t>
      </w:r>
      <w:r w:rsidRPr="0065196F">
        <w:rPr>
          <w:kern w:val="0"/>
        </w:rPr>
        <w:t xml:space="preserve">, </w:t>
      </w:r>
      <w:r w:rsidRPr="0065196F">
        <w:rPr>
          <w:b/>
          <w:bCs/>
          <w:kern w:val="0"/>
        </w:rPr>
        <w:t>71</w:t>
      </w:r>
      <w:r w:rsidRPr="0065196F">
        <w:rPr>
          <w:kern w:val="0"/>
        </w:rPr>
        <w:t xml:space="preserve"> (5), 1143-1156.</w:t>
      </w:r>
    </w:p>
    <w:p w:rsidR="00504551" w:rsidRDefault="00504551" w:rsidP="00504551">
      <w:pPr>
        <w:pStyle w:val="a3"/>
        <w:rPr>
          <w:kern w:val="0"/>
        </w:rPr>
      </w:pPr>
      <w:r>
        <w:rPr>
          <w:rFonts w:hint="eastAsia"/>
          <w:kern w:val="0"/>
        </w:rPr>
        <w:t xml:space="preserve">Full Text: </w:t>
      </w:r>
      <w:hyperlink r:id="rId444" w:history="1">
        <w:r w:rsidRPr="00504551">
          <w:rPr>
            <w:rStyle w:val="a5"/>
            <w:kern w:val="0"/>
          </w:rPr>
          <w:t>2012\Ame J Eco Soc71, 1143.pdf</w:t>
        </w:r>
      </w:hyperlink>
    </w:p>
    <w:p w:rsidR="00504551" w:rsidRPr="0065196F" w:rsidRDefault="00504551" w:rsidP="00504551">
      <w:pPr>
        <w:pStyle w:val="a3"/>
        <w:rPr>
          <w:kern w:val="0"/>
        </w:rPr>
      </w:pPr>
      <w:r w:rsidRPr="0065196F">
        <w:rPr>
          <w:kern w:val="0"/>
        </w:rPr>
        <w:t>Abstract: The availability</w:t>
      </w:r>
      <w:r w:rsidR="00427468">
        <w:rPr>
          <w:kern w:val="0"/>
        </w:rPr>
        <w:t xml:space="preserve"> of </w:t>
      </w:r>
      <w:r w:rsidRPr="0065196F">
        <w:rPr>
          <w:kern w:val="0"/>
        </w:rPr>
        <w:t>publication</w:t>
      </w:r>
      <w:r w:rsidR="005853A9">
        <w:rPr>
          <w:kern w:val="0"/>
        </w:rPr>
        <w:t xml:space="preserve"> and </w:t>
      </w:r>
      <w:r w:rsidRPr="0065196F">
        <w:rPr>
          <w:kern w:val="0"/>
        </w:rPr>
        <w:t>citation databases facilitate construction</w:t>
      </w:r>
      <w:r w:rsidR="00427468">
        <w:rPr>
          <w:kern w:val="0"/>
        </w:rPr>
        <w:t xml:space="preserve"> of </w:t>
      </w:r>
      <w:r w:rsidRPr="0065196F">
        <w:rPr>
          <w:kern w:val="0"/>
        </w:rPr>
        <w:t>rankings</w:t>
      </w:r>
      <w:r w:rsidR="00427468">
        <w:rPr>
          <w:kern w:val="0"/>
        </w:rPr>
        <w:t xml:space="preserve"> of </w:t>
      </w:r>
      <w:r w:rsidRPr="0065196F">
        <w:rPr>
          <w:kern w:val="0"/>
        </w:rPr>
        <w:t>economics journals, economists,</w:t>
      </w:r>
      <w:r w:rsidR="005853A9">
        <w:rPr>
          <w:kern w:val="0"/>
        </w:rPr>
        <w:t xml:space="preserve"> and </w:t>
      </w:r>
      <w:r w:rsidRPr="0065196F">
        <w:rPr>
          <w:kern w:val="0"/>
        </w:rPr>
        <w:t>departments. Mainstream economists typically find the research questions</w:t>
      </w:r>
      <w:r w:rsidR="005853A9">
        <w:rPr>
          <w:kern w:val="0"/>
        </w:rPr>
        <w:t xml:space="preserve"> and </w:t>
      </w:r>
      <w:r w:rsidRPr="0065196F">
        <w:rPr>
          <w:kern w:val="0"/>
        </w:rPr>
        <w:t>methods</w:t>
      </w:r>
      <w:r w:rsidR="00427468">
        <w:rPr>
          <w:kern w:val="0"/>
        </w:rPr>
        <w:t xml:space="preserve"> of </w:t>
      </w:r>
      <w:r w:rsidRPr="0065196F">
        <w:rPr>
          <w:kern w:val="0"/>
        </w:rPr>
        <w:t>heterodox economists dubious,</w:t>
      </w:r>
      <w:r w:rsidR="005853A9">
        <w:rPr>
          <w:kern w:val="0"/>
        </w:rPr>
        <w:t xml:space="preserve"> and </w:t>
      </w:r>
      <w:r w:rsidRPr="0065196F">
        <w:rPr>
          <w:kern w:val="0"/>
        </w:rPr>
        <w:t>this reaction creates a bias against heterodox research in peer review, which extends to traditional bibliometric rankings. University administrators interested in improving the quality</w:t>
      </w:r>
      <w:r w:rsidR="00427468">
        <w:rPr>
          <w:kern w:val="0"/>
        </w:rPr>
        <w:t xml:space="preserve"> of </w:t>
      </w:r>
      <w:r w:rsidRPr="0065196F">
        <w:rPr>
          <w:kern w:val="0"/>
        </w:rPr>
        <w:t>the economics department, as conventionally measured, will see heterodox economists as a liability. But establishing the bias</w:t>
      </w:r>
      <w:r w:rsidR="00427468">
        <w:rPr>
          <w:kern w:val="0"/>
        </w:rPr>
        <w:t xml:space="preserve"> of </w:t>
      </w:r>
      <w:r w:rsidRPr="0065196F">
        <w:rPr>
          <w:kern w:val="0"/>
        </w:rPr>
        <w:t>conventional metrics</w:t>
      </w:r>
      <w:r w:rsidR="00427468">
        <w:rPr>
          <w:kern w:val="0"/>
        </w:rPr>
        <w:t xml:space="preserve"> of </w:t>
      </w:r>
      <w:r w:rsidRPr="0065196F">
        <w:rPr>
          <w:kern w:val="0"/>
        </w:rPr>
        <w:t>scholarship quality</w:t>
      </w:r>
      <w:r w:rsidR="005853A9">
        <w:rPr>
          <w:kern w:val="0"/>
        </w:rPr>
        <w:t xml:space="preserve"> and </w:t>
      </w:r>
      <w:r w:rsidRPr="0065196F">
        <w:rPr>
          <w:kern w:val="0"/>
        </w:rPr>
        <w:t>the consequences</w:t>
      </w:r>
      <w:r w:rsidR="00427468">
        <w:rPr>
          <w:kern w:val="0"/>
        </w:rPr>
        <w:t xml:space="preserve"> of </w:t>
      </w:r>
      <w:r w:rsidRPr="0065196F">
        <w:rPr>
          <w:kern w:val="0"/>
        </w:rPr>
        <w:t>these biases does not establish the comparable worth</w:t>
      </w:r>
      <w:r w:rsidR="00427468">
        <w:rPr>
          <w:kern w:val="0"/>
        </w:rPr>
        <w:t xml:space="preserve"> of </w:t>
      </w:r>
      <w:r w:rsidRPr="0065196F">
        <w:rPr>
          <w:kern w:val="0"/>
        </w:rPr>
        <w:t>the contributions</w:t>
      </w:r>
      <w:r w:rsidR="00427468">
        <w:rPr>
          <w:kern w:val="0"/>
        </w:rPr>
        <w:t xml:space="preserve"> of </w:t>
      </w:r>
      <w:r w:rsidRPr="0065196F">
        <w:rPr>
          <w:kern w:val="0"/>
        </w:rPr>
        <w:t>dissident economists. This special issue seeks innovated ways to document the relative quality</w:t>
      </w:r>
      <w:r w:rsidR="00427468">
        <w:rPr>
          <w:kern w:val="0"/>
        </w:rPr>
        <w:t xml:space="preserve"> of </w:t>
      </w:r>
      <w:r w:rsidRPr="0065196F">
        <w:rPr>
          <w:kern w:val="0"/>
        </w:rPr>
        <w:t>the contributions</w:t>
      </w:r>
      <w:r w:rsidR="00427468">
        <w:rPr>
          <w:kern w:val="0"/>
        </w:rPr>
        <w:t xml:space="preserve"> of </w:t>
      </w:r>
      <w:r w:rsidRPr="0065196F">
        <w:rPr>
          <w:kern w:val="0"/>
        </w:rPr>
        <w:t>dissident economists.</w:t>
      </w:r>
    </w:p>
    <w:p w:rsidR="00504551" w:rsidRPr="0065196F" w:rsidRDefault="00504551" w:rsidP="00504551">
      <w:pPr>
        <w:pStyle w:val="a3"/>
        <w:rPr>
          <w:kern w:val="0"/>
        </w:rPr>
      </w:pPr>
      <w:r w:rsidRPr="0065196F">
        <w:rPr>
          <w:kern w:val="0"/>
        </w:rPr>
        <w:t>Keywords: Availability, Bias, Bibliometric, Citation, Construction, Conventional, Databases, Economics, Journals, Liability, Mainstream, Methods, Metrics, Nov, Peer Review, Peer-Review, Publication, Quality, Quality Of, Ranking, Rankings, Research, Review, Scholarship, Universities, University</w:t>
      </w:r>
    </w:p>
    <w:p w:rsidR="003474F2" w:rsidRPr="001A3D2B" w:rsidRDefault="003474F2" w:rsidP="003474F2">
      <w:pPr>
        <w:pStyle w:val="1"/>
      </w:pPr>
      <w:r w:rsidRPr="001A3D2B">
        <w:br w:type="page"/>
      </w:r>
      <w:bookmarkStart w:id="251" w:name="_Toc516560379"/>
      <w:bookmarkStart w:id="252" w:name="_Toc83077642"/>
      <w:bookmarkStart w:id="253" w:name="_Toc420814384"/>
      <w:r w:rsidRPr="001A3D2B">
        <w:lastRenderedPageBreak/>
        <w:t>Title: American Journal</w:t>
      </w:r>
      <w:r w:rsidR="00427468">
        <w:t xml:space="preserve"> of </w:t>
      </w:r>
      <w:r w:rsidRPr="001A3D2B">
        <w:t>Emergency Medicine</w:t>
      </w:r>
      <w:bookmarkEnd w:id="251"/>
      <w:bookmarkEnd w:id="252"/>
      <w:bookmarkEnd w:id="253"/>
    </w:p>
    <w:p w:rsidR="003474F2" w:rsidRPr="001A3D2B" w:rsidRDefault="003474F2" w:rsidP="003474F2">
      <w:pPr>
        <w:pStyle w:val="12"/>
      </w:pPr>
      <w:r w:rsidRPr="001A3D2B">
        <w:t xml:space="preserve">Full Journal Title: </w:t>
      </w:r>
      <w:hyperlink r:id="rId445" w:history="1">
        <w:r w:rsidRPr="001A3D2B">
          <w:rPr>
            <w:rStyle w:val="a5"/>
          </w:rPr>
          <w:t>American Journal</w:t>
        </w:r>
        <w:r w:rsidR="00427468">
          <w:rPr>
            <w:rStyle w:val="a5"/>
          </w:rPr>
          <w:t xml:space="preserve"> of </w:t>
        </w:r>
        <w:r w:rsidRPr="001A3D2B">
          <w:rPr>
            <w:rStyle w:val="a5"/>
          </w:rPr>
          <w:t>Emergency Medicine</w:t>
        </w:r>
      </w:hyperlink>
    </w:p>
    <w:p w:rsidR="003474F2" w:rsidRPr="001A3D2B" w:rsidRDefault="003474F2" w:rsidP="003474F2">
      <w:pPr>
        <w:pStyle w:val="12"/>
      </w:pPr>
      <w:r w:rsidRPr="001A3D2B">
        <w:t>ISO Abbreviated Title: Am. J. Emerg. Med.</w:t>
      </w:r>
    </w:p>
    <w:p w:rsidR="003474F2" w:rsidRPr="001A3D2B" w:rsidRDefault="003474F2" w:rsidP="003474F2">
      <w:pPr>
        <w:pStyle w:val="12"/>
      </w:pPr>
      <w:r w:rsidRPr="001A3D2B">
        <w:t>JCR Abbreviated Title: Am J Emerg Med</w:t>
      </w:r>
    </w:p>
    <w:p w:rsidR="003474F2" w:rsidRPr="001A3D2B" w:rsidRDefault="003474F2" w:rsidP="003474F2">
      <w:pPr>
        <w:pStyle w:val="12"/>
      </w:pPr>
      <w:r w:rsidRPr="001A3D2B">
        <w:t>ISSN: 0735-6757</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W B Saunders Co</w:t>
      </w:r>
    </w:p>
    <w:p w:rsidR="003474F2" w:rsidRPr="001A3D2B" w:rsidRDefault="003474F2" w:rsidP="003474F2">
      <w:pPr>
        <w:pStyle w:val="12"/>
      </w:pPr>
      <w:r w:rsidRPr="001A3D2B">
        <w:t xml:space="preserve">Publisher Address: </w:t>
      </w:r>
      <w:smartTag w:uri="urn:schemas-microsoft-com:office:smarttags" w:element="PlaceName">
        <w:r w:rsidRPr="001A3D2B">
          <w:t>Independence</w:t>
        </w:r>
      </w:smartTag>
      <w:r w:rsidRPr="001A3D2B">
        <w:t xml:space="preserve"> </w:t>
      </w:r>
      <w:smartTag w:uri="urn:schemas-microsoft-com:office:smarttags" w:element="PlaceType">
        <w:r w:rsidRPr="001A3D2B">
          <w:t>Square</w:t>
        </w:r>
      </w:smartTag>
      <w:r w:rsidRPr="001A3D2B">
        <w:t xml:space="preserve"> </w:t>
      </w:r>
      <w:smartTag w:uri="urn:schemas-microsoft-com:office:smarttags" w:element="PlaceName">
        <w:r w:rsidRPr="001A3D2B">
          <w:t>West</w:t>
        </w:r>
      </w:smartTag>
      <w:r w:rsidRPr="001A3D2B">
        <w:t xml:space="preserve"> </w:t>
      </w:r>
      <w:smartTag w:uri="urn:schemas-microsoft-com:office:smarttags" w:element="PlaceName">
        <w:r w:rsidRPr="001A3D2B">
          <w:t>Curtis</w:t>
        </w:r>
      </w:smartTag>
      <w:r w:rsidRPr="001A3D2B">
        <w:t xml:space="preserve"> </w:t>
      </w:r>
      <w:smartTag w:uri="urn:schemas-microsoft-com:office:smarttags" w:element="PlaceName">
        <w:r w:rsidRPr="001A3D2B">
          <w:t>Center</w:t>
        </w:r>
      </w:smartTag>
      <w:r w:rsidRPr="001A3D2B">
        <w:t xml:space="preserve">, </w:t>
      </w:r>
      <w:smartTag w:uri="urn:schemas-microsoft-com:office:smarttags" w:element="address">
        <w:smartTag w:uri="urn:schemas-microsoft-com:office:smarttags" w:element="Street">
          <w:r w:rsidRPr="001A3D2B">
            <w:t>Ste</w:t>
          </w:r>
        </w:smartTag>
        <w:r w:rsidRPr="001A3D2B">
          <w:t xml:space="preserve"> 300</w:t>
        </w:r>
      </w:smartTag>
      <w:r w:rsidRPr="001A3D2B">
        <w:t xml:space="preserve">, </w:t>
      </w:r>
      <w:smartTag w:uri="urn:schemas-microsoft-com:office:smarttags" w:element="place">
        <w:smartTag w:uri="urn:schemas-microsoft-com:office:smarttags" w:element="City">
          <w:r w:rsidRPr="001A3D2B">
            <w:t>Philadelphia</w:t>
          </w:r>
        </w:smartTag>
        <w:r w:rsidRPr="001A3D2B">
          <w:t xml:space="preserve">, </w:t>
        </w:r>
        <w:smartTag w:uri="urn:schemas-microsoft-com:office:smarttags" w:element="State">
          <w:r w:rsidRPr="001A3D2B">
            <w:t>PA</w:t>
          </w:r>
        </w:smartTag>
        <w:r w:rsidRPr="001A3D2B">
          <w:t xml:space="preserve"> </w:t>
        </w:r>
        <w:smartTag w:uri="urn:schemas-microsoft-com:office:smarttags" w:element="PostalCode">
          <w:r w:rsidRPr="001A3D2B">
            <w:t>19106-3399</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Emergency Medicine: Impact Factor 1.054, /(2000); Impact Factor 1.208, 4/12 (2002)</w:t>
      </w:r>
    </w:p>
    <w:p w:rsidR="003474F2" w:rsidRPr="001A3D2B" w:rsidRDefault="003474F2" w:rsidP="003474F2">
      <w:pPr>
        <w:pStyle w:val="a3"/>
      </w:pPr>
      <w:r w:rsidRPr="001A3D2B">
        <w:t>Powers, R.D.</w:t>
      </w:r>
      <w:r w:rsidR="005853A9">
        <w:t xml:space="preserve"> and </w:t>
      </w:r>
      <w:r w:rsidRPr="001A3D2B">
        <w:t xml:space="preserve">Calkins, K.K. (1998), Multiple authorship revisited: How much is enough? </w:t>
      </w:r>
      <w:r w:rsidRPr="001A3D2B">
        <w:rPr>
          <w:i/>
        </w:rPr>
        <w:t>American Journal</w:t>
      </w:r>
      <w:r w:rsidR="00427468">
        <w:rPr>
          <w:i/>
        </w:rPr>
        <w:t xml:space="preserve"> of </w:t>
      </w:r>
      <w:r w:rsidRPr="001A3D2B">
        <w:rPr>
          <w:i/>
        </w:rPr>
        <w:t>Emergency Medicine</w:t>
      </w:r>
      <w:r w:rsidRPr="001A3D2B">
        <w:t xml:space="preserve">, </w:t>
      </w:r>
      <w:r w:rsidRPr="001A3D2B">
        <w:rPr>
          <w:b/>
        </w:rPr>
        <w:t>16</w:t>
      </w:r>
      <w:r w:rsidRPr="001A3D2B">
        <w:t xml:space="preserve"> (7), 708-709.</w:t>
      </w:r>
    </w:p>
    <w:p w:rsidR="003474F2" w:rsidRPr="001A3D2B" w:rsidRDefault="003474F2" w:rsidP="003474F2">
      <w:pPr>
        <w:pStyle w:val="a3"/>
      </w:pPr>
      <w:r w:rsidRPr="001A3D2B">
        <w:t xml:space="preserve">Full Text: </w:t>
      </w:r>
      <w:hyperlink r:id="rId446" w:history="1">
        <w:r w:rsidRPr="001A3D2B">
          <w:rPr>
            <w:rStyle w:val="a5"/>
          </w:rPr>
          <w:t>1998\Ame J Eme Med16, 708.pdf</w:t>
        </w:r>
      </w:hyperlink>
    </w:p>
    <w:p w:rsidR="003474F2" w:rsidRPr="001A3D2B" w:rsidRDefault="003474F2" w:rsidP="003474F2">
      <w:pPr>
        <w:pStyle w:val="a3"/>
      </w:pPr>
      <w:r w:rsidRPr="001A3D2B">
        <w:t>Keywords: Authorship, Emergency Medicine Literature</w:t>
      </w:r>
    </w:p>
    <w:p w:rsidR="003474F2" w:rsidRPr="001A3D2B" w:rsidRDefault="003474F2" w:rsidP="003474F2">
      <w:pPr>
        <w:pStyle w:val="a3"/>
      </w:pPr>
      <w:r w:rsidRPr="001A3D2B">
        <w:t>? Singer, A.J., Homan, C.S., Brody, M., Thode, H.C.</w:t>
      </w:r>
      <w:r w:rsidR="005853A9">
        <w:t xml:space="preserve"> and </w:t>
      </w:r>
      <w:r w:rsidRPr="001A3D2B">
        <w:t>Hollander, J.E. (1999), Evolution</w:t>
      </w:r>
      <w:r w:rsidR="00427468">
        <w:t xml:space="preserve"> of </w:t>
      </w:r>
      <w:r w:rsidRPr="001A3D2B">
        <w:t>abstracts presented at</w:t>
      </w:r>
      <w:r w:rsidR="003A1917">
        <w:t xml:space="preserve"> the </w:t>
      </w:r>
      <w:r w:rsidRPr="001A3D2B">
        <w:t>annual scientific meetings</w:t>
      </w:r>
      <w:r w:rsidR="00427468">
        <w:t xml:space="preserve"> of </w:t>
      </w:r>
      <w:r w:rsidRPr="001A3D2B">
        <w:t xml:space="preserve">academic emergency medicine. </w:t>
      </w:r>
      <w:r w:rsidRPr="001A3D2B">
        <w:rPr>
          <w:i/>
        </w:rPr>
        <w:t>American Journal</w:t>
      </w:r>
      <w:r w:rsidR="00427468">
        <w:rPr>
          <w:i/>
        </w:rPr>
        <w:t xml:space="preserve"> of </w:t>
      </w:r>
      <w:r w:rsidRPr="001A3D2B">
        <w:rPr>
          <w:i/>
        </w:rPr>
        <w:t>Emergency Medicine</w:t>
      </w:r>
      <w:r w:rsidRPr="001A3D2B">
        <w:t xml:space="preserve">, </w:t>
      </w:r>
      <w:r w:rsidRPr="001A3D2B">
        <w:rPr>
          <w:b/>
        </w:rPr>
        <w:t>17</w:t>
      </w:r>
      <w:r w:rsidRPr="001A3D2B">
        <w:t xml:space="preserve"> (6), 540-543.</w:t>
      </w:r>
    </w:p>
    <w:p w:rsidR="003474F2" w:rsidRPr="001A3D2B" w:rsidRDefault="003474F2" w:rsidP="003474F2">
      <w:pPr>
        <w:pStyle w:val="a3"/>
      </w:pPr>
      <w:r w:rsidRPr="001A3D2B">
        <w:t xml:space="preserve">Full Text: </w:t>
      </w:r>
      <w:hyperlink r:id="rId447" w:history="1">
        <w:r w:rsidRPr="001A3D2B">
          <w:rPr>
            <w:rStyle w:val="a5"/>
          </w:rPr>
          <w:t>1999\Ame J Eme Med17, 540.pdf</w:t>
        </w:r>
      </w:hyperlink>
    </w:p>
    <w:p w:rsidR="003474F2" w:rsidRPr="001A3D2B" w:rsidRDefault="003474F2" w:rsidP="003474F2">
      <w:pPr>
        <w:pStyle w:val="a3"/>
      </w:pPr>
      <w:r w:rsidRPr="001A3D2B">
        <w:t>Abstract: There has been a general trend in medicine toward greater sophistication in research design. To assess this trend in emergency medicine, we compared</w:t>
      </w:r>
      <w:r w:rsidR="003A1917">
        <w:t xml:space="preserve"> the </w:t>
      </w:r>
      <w:r w:rsidRPr="001A3D2B">
        <w:t>characteristics</w:t>
      </w:r>
      <w:r w:rsidR="00427468">
        <w:t xml:space="preserve"> of </w:t>
      </w:r>
      <w:r w:rsidRPr="001A3D2B">
        <w:t>abstracts presented at</w:t>
      </w:r>
      <w:r w:rsidR="003A1917">
        <w:t xml:space="preserve"> the </w:t>
      </w:r>
      <w:r w:rsidRPr="001A3D2B">
        <w:t>1974, 1983, 1989,</w:t>
      </w:r>
      <w:r w:rsidR="005853A9">
        <w:t xml:space="preserve"> and </w:t>
      </w:r>
      <w:r w:rsidRPr="001A3D2B">
        <w:t>1997 annual scientific meetings</w:t>
      </w:r>
      <w:r w:rsidR="00427468">
        <w:t xml:space="preserve"> of </w:t>
      </w:r>
      <w:r w:rsidRPr="001A3D2B">
        <w:t>Academic Emergency Medicine. All 870 abstracts were reviewed by 1</w:t>
      </w:r>
      <w:r w:rsidR="00427468">
        <w:t xml:space="preserve"> of </w:t>
      </w:r>
      <w:r w:rsidRPr="001A3D2B">
        <w:t>3 investigators who determined research design attributes using a standardized classification scheme that has good interrater reliability. Over</w:t>
      </w:r>
      <w:r w:rsidR="003A1917">
        <w:t xml:space="preserve"> the </w:t>
      </w:r>
      <w:r w:rsidRPr="001A3D2B">
        <w:t>last 25 years,</w:t>
      </w:r>
      <w:r w:rsidR="003A1917">
        <w:t xml:space="preserve"> the </w:t>
      </w:r>
      <w:r w:rsidRPr="001A3D2B">
        <w:t>following trends were noted: more surveys (0% v 1% v 3% v 8%, P = .002), more randomized studies (0% v 10% v 12% v 15%, P = .05),</w:t>
      </w:r>
      <w:r w:rsidR="005853A9">
        <w:t xml:space="preserve"> and </w:t>
      </w:r>
      <w:r w:rsidRPr="001A3D2B">
        <w:t>more blinded studies (0% v 7% v 5% v 11%, P = .01). Tests</w:t>
      </w:r>
      <w:r w:rsidR="00427468">
        <w:t xml:space="preserve"> of </w:t>
      </w:r>
      <w:r w:rsidRPr="001A3D2B">
        <w:t>statistical significance were reported with increasing frequency (8% v 26% v 59% v 69%, P &lt; .001), as were power calculations (0% v 0% v 1% v 3%, P = .02), During</w:t>
      </w:r>
      <w:r w:rsidR="003A1917">
        <w:t xml:space="preserve"> the </w:t>
      </w:r>
      <w:r w:rsidRPr="001A3D2B">
        <w:t>study period, there were also increases in</w:t>
      </w:r>
      <w:r w:rsidR="003A1917">
        <w:t xml:space="preserve"> the </w:t>
      </w:r>
      <w:r w:rsidRPr="001A3D2B">
        <w:t>median number</w:t>
      </w:r>
      <w:r w:rsidR="00427468">
        <w:t xml:space="preserve"> of </w:t>
      </w:r>
      <w:r w:rsidRPr="001A3D2B">
        <w:t>authors, proportion</w:t>
      </w:r>
      <w:r w:rsidR="00427468">
        <w:t xml:space="preserve"> of </w:t>
      </w:r>
      <w:r w:rsidRPr="001A3D2B">
        <w:t>foreign lead authors,</w:t>
      </w:r>
      <w:r w:rsidR="005853A9">
        <w:t xml:space="preserve"> and </w:t>
      </w:r>
      <w:r w:rsidR="003A1917">
        <w:t xml:space="preserve">the </w:t>
      </w:r>
      <w:r w:rsidRPr="001A3D2B">
        <w:t>proportion</w:t>
      </w:r>
      <w:r w:rsidR="00427468">
        <w:t xml:space="preserve"> of </w:t>
      </w:r>
      <w:r w:rsidRPr="001A3D2B">
        <w:t>studies involving human subjects</w:t>
      </w:r>
      <w:r w:rsidR="00A37C1D">
        <w:t>. The</w:t>
      </w:r>
      <w:r w:rsidRPr="001A3D2B">
        <w:t>se results reflect considerable improvement in</w:t>
      </w:r>
      <w:r w:rsidR="003A1917">
        <w:t xml:space="preserve"> the </w:t>
      </w:r>
      <w:r w:rsidRPr="001A3D2B">
        <w:t>degree</w:t>
      </w:r>
      <w:r w:rsidR="00427468">
        <w:t xml:space="preserve"> of </w:t>
      </w:r>
      <w:r w:rsidRPr="001A3D2B">
        <w:t>research design sophistication reported in selected abstracts</w:t>
      </w:r>
      <w:r w:rsidR="00427468">
        <w:t xml:space="preserve"> of </w:t>
      </w:r>
      <w:r w:rsidRPr="001A3D2B">
        <w:t>academic emergency medicine over</w:t>
      </w:r>
      <w:r w:rsidR="003A1917">
        <w:t xml:space="preserve"> the </w:t>
      </w:r>
      <w:r w:rsidRPr="001A3D2B">
        <w:t>study period. Further strategies to assure continued enhancement</w:t>
      </w:r>
      <w:r w:rsidR="00427468">
        <w:t xml:space="preserve"> of </w:t>
      </w:r>
      <w:r w:rsidRPr="001A3D2B">
        <w:t xml:space="preserve">emergency medicine research should </w:t>
      </w:r>
      <w:r w:rsidRPr="001A3D2B">
        <w:lastRenderedPageBreak/>
        <w:t>be explored. (C) 1999 by W.B. Saunders Company.</w:t>
      </w:r>
    </w:p>
    <w:p w:rsidR="003474F2" w:rsidRPr="001A3D2B" w:rsidRDefault="003474F2" w:rsidP="003474F2">
      <w:pPr>
        <w:pStyle w:val="a3"/>
      </w:pPr>
      <w:r w:rsidRPr="001A3D2B">
        <w:t>Keywords: Characteristics, Classification, Design, Emergency, Emergency Medicine, General, Human, Improvement, Interrater Reliability, Lead, Medicine, P, Power, Randomized, Reliability, Research, Research Design, Significance, Surveys, Trend, Trends</w:t>
      </w:r>
    </w:p>
    <w:p w:rsidR="00CD3E84" w:rsidRPr="001A3D2B" w:rsidRDefault="00CD3E84" w:rsidP="00CD3E84">
      <w:pPr>
        <w:pStyle w:val="a3"/>
        <w:rPr>
          <w:kern w:val="0"/>
        </w:rPr>
      </w:pPr>
      <w:r w:rsidRPr="001A3D2B">
        <w:rPr>
          <w:kern w:val="0"/>
        </w:rPr>
        <w:t>? Tsai, Y.L., Lee, C.C., Chen, S.C.</w:t>
      </w:r>
      <w:r w:rsidR="005853A9">
        <w:rPr>
          <w:kern w:val="0"/>
        </w:rPr>
        <w:t xml:space="preserve"> and </w:t>
      </w:r>
      <w:r w:rsidRPr="001A3D2B">
        <w:rPr>
          <w:kern w:val="0"/>
        </w:rPr>
        <w:t xml:space="preserve">Yen, Z.S. (2006), Top-cited articles in emergency medicine. </w:t>
      </w:r>
      <w:r w:rsidRPr="001A3D2B">
        <w:rPr>
          <w:i/>
          <w:iCs/>
          <w:kern w:val="0"/>
        </w:rPr>
        <w:t>American Journal</w:t>
      </w:r>
      <w:r w:rsidR="00427468">
        <w:rPr>
          <w:i/>
          <w:iCs/>
          <w:kern w:val="0"/>
        </w:rPr>
        <w:t xml:space="preserve"> of </w:t>
      </w:r>
      <w:r w:rsidRPr="001A3D2B">
        <w:rPr>
          <w:i/>
          <w:iCs/>
          <w:kern w:val="0"/>
        </w:rPr>
        <w:t>Emergency Medicine</w:t>
      </w:r>
      <w:r w:rsidRPr="001A3D2B">
        <w:rPr>
          <w:kern w:val="0"/>
        </w:rPr>
        <w:t xml:space="preserve">, </w:t>
      </w:r>
      <w:r w:rsidRPr="001A3D2B">
        <w:rPr>
          <w:b/>
          <w:bCs/>
          <w:kern w:val="0"/>
        </w:rPr>
        <w:t>24</w:t>
      </w:r>
      <w:r w:rsidRPr="001A3D2B">
        <w:rPr>
          <w:kern w:val="0"/>
        </w:rPr>
        <w:t xml:space="preserve"> (6), 647-654.</w:t>
      </w:r>
    </w:p>
    <w:p w:rsidR="00CD3E84" w:rsidRPr="001A3D2B" w:rsidRDefault="00CD3E84" w:rsidP="00CD3E84">
      <w:pPr>
        <w:pStyle w:val="a3"/>
      </w:pPr>
      <w:r w:rsidRPr="001A3D2B">
        <w:t xml:space="preserve">Full Text: </w:t>
      </w:r>
      <w:hyperlink r:id="rId448" w:history="1">
        <w:r w:rsidRPr="001A3D2B">
          <w:rPr>
            <w:rStyle w:val="a5"/>
          </w:rPr>
          <w:t>2006\Ame J Eme Med24, 647.pdf</w:t>
        </w:r>
      </w:hyperlink>
    </w:p>
    <w:p w:rsidR="00CD3E84" w:rsidRPr="001A3D2B" w:rsidRDefault="00CD3E84" w:rsidP="00CD3E84">
      <w:pPr>
        <w:pStyle w:val="a3"/>
        <w:rPr>
          <w:kern w:val="0"/>
        </w:rPr>
      </w:pPr>
      <w:r w:rsidRPr="001A3D2B">
        <w:rPr>
          <w:kern w:val="0"/>
        </w:rPr>
        <w:t>Abstract: Study Objective: Our purpose was to identify</w:t>
      </w:r>
      <w:r w:rsidR="005853A9">
        <w:rPr>
          <w:kern w:val="0"/>
        </w:rPr>
        <w:t xml:space="preserve"> and </w:t>
      </w:r>
      <w:r w:rsidRPr="001A3D2B">
        <w:rPr>
          <w:kern w:val="0"/>
        </w:rPr>
        <w:t>examine</w:t>
      </w:r>
      <w:r w:rsidR="003A1917">
        <w:rPr>
          <w:kern w:val="0"/>
        </w:rPr>
        <w:t xml:space="preserve"> the </w:t>
      </w:r>
      <w:r w:rsidRPr="001A3D2B">
        <w:rPr>
          <w:kern w:val="0"/>
        </w:rPr>
        <w:t>characteristics</w:t>
      </w:r>
      <w:r w:rsidR="00427468">
        <w:rPr>
          <w:kern w:val="0"/>
        </w:rPr>
        <w:t xml:space="preserve"> of </w:t>
      </w:r>
      <w:r w:rsidR="003A1917">
        <w:rPr>
          <w:kern w:val="0"/>
        </w:rPr>
        <w:t xml:space="preserve">the </w:t>
      </w:r>
      <w:r w:rsidRPr="001A3D2B">
        <w:rPr>
          <w:kern w:val="0"/>
        </w:rPr>
        <w:t>most frequently cited articles in</w:t>
      </w:r>
      <w:r w:rsidR="003A1917">
        <w:rPr>
          <w:kern w:val="0"/>
        </w:rPr>
        <w:t xml:space="preserve"> the </w:t>
      </w:r>
      <w:r w:rsidRPr="001A3D2B">
        <w:rPr>
          <w:kern w:val="0"/>
        </w:rPr>
        <w:t>field</w:t>
      </w:r>
      <w:r w:rsidR="00427468">
        <w:rPr>
          <w:kern w:val="0"/>
        </w:rPr>
        <w:t xml:space="preserve"> of </w:t>
      </w:r>
      <w:r w:rsidRPr="001A3D2B">
        <w:rPr>
          <w:kern w:val="0"/>
        </w:rPr>
        <w:t>emergency medicine (EM). Methods: Top-cited EM articles in 9 EM journals were identified by searching</w:t>
      </w:r>
      <w:r w:rsidR="003A1917">
        <w:rPr>
          <w:kern w:val="0"/>
        </w:rPr>
        <w:t xml:space="preserve"> the </w:t>
      </w:r>
      <w:r w:rsidRPr="001A3D2B">
        <w:rPr>
          <w:kern w:val="0"/>
        </w:rPr>
        <w:t>computerized database</w:t>
      </w:r>
      <w:r w:rsidR="00427468">
        <w:rPr>
          <w:kern w:val="0"/>
        </w:rPr>
        <w:t xml:space="preserve"> of </w:t>
      </w:r>
      <w:r w:rsidR="003A1917">
        <w:rPr>
          <w:kern w:val="0"/>
        </w:rPr>
        <w:t xml:space="preserve">the </w:t>
      </w:r>
      <w:r w:rsidRPr="001A3D2B">
        <w:rPr>
          <w:kern w:val="0"/>
        </w:rPr>
        <w:t>Science Citation Index Expanded</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sidRPr="001A3D2B">
        <w:rPr>
          <w:kern w:val="0"/>
        </w:rPr>
        <w:t xml:space="preserve"> (1972 to present). Median citation numbers, authors</w:t>
      </w:r>
      <w:r w:rsidR="00700038">
        <w:rPr>
          <w:kern w:val="0"/>
        </w:rPr>
        <w:t>’</w:t>
      </w:r>
      <w:r w:rsidRPr="001A3D2B">
        <w:rPr>
          <w:kern w:val="0"/>
        </w:rPr>
        <w:t xml:space="preserve"> nationalities, publication year,</w:t>
      </w:r>
      <w:r w:rsidR="005853A9">
        <w:rPr>
          <w:kern w:val="0"/>
        </w:rPr>
        <w:t xml:space="preserve"> and </w:t>
      </w:r>
      <w:r w:rsidRPr="001A3D2B">
        <w:rPr>
          <w:kern w:val="0"/>
        </w:rPr>
        <w:t>fields</w:t>
      </w:r>
      <w:r w:rsidR="00427468">
        <w:rPr>
          <w:kern w:val="0"/>
        </w:rPr>
        <w:t xml:space="preserve"> of </w:t>
      </w:r>
      <w:r w:rsidRPr="001A3D2B">
        <w:rPr>
          <w:kern w:val="0"/>
        </w:rPr>
        <w:t>study were described</w:t>
      </w:r>
      <w:r w:rsidR="005853A9">
        <w:rPr>
          <w:kern w:val="0"/>
        </w:rPr>
        <w:t xml:space="preserve"> and </w:t>
      </w:r>
      <w:r w:rsidRPr="001A3D2B">
        <w:rPr>
          <w:kern w:val="0"/>
        </w:rPr>
        <w:t>discussed. Mann-Whitney U</w:t>
      </w:r>
      <w:r w:rsidR="005853A9">
        <w:rPr>
          <w:kern w:val="0"/>
        </w:rPr>
        <w:t xml:space="preserve"> and </w:t>
      </w:r>
      <w:r w:rsidRPr="001A3D2B">
        <w:rPr>
          <w:kern w:val="0"/>
        </w:rPr>
        <w:t>Kruskal-Wallis tests were used to compare groups. Results: All top-cited articles were published during 1972</w:t>
      </w:r>
      <w:r w:rsidR="005853A9">
        <w:rPr>
          <w:kern w:val="0"/>
        </w:rPr>
        <w:t xml:space="preserve"> and </w:t>
      </w:r>
      <w:r w:rsidRPr="001A3D2B">
        <w:rPr>
          <w:kern w:val="0"/>
        </w:rPr>
        <w:t>2002. We identified 100 top-cited articles published in 6 EM journals, led by Annals</w:t>
      </w:r>
      <w:r w:rsidR="00427468">
        <w:rPr>
          <w:kern w:val="0"/>
        </w:rPr>
        <w:t xml:space="preserve"> of </w:t>
      </w:r>
      <w:r w:rsidRPr="001A3D2B">
        <w:rPr>
          <w:kern w:val="0"/>
        </w:rPr>
        <w:t>Emergency Medicine (66)</w:t>
      </w:r>
      <w:r w:rsidR="005853A9">
        <w:rPr>
          <w:kern w:val="0"/>
        </w:rPr>
        <w:t xml:space="preserve"> and </w:t>
      </w:r>
      <w:r w:rsidRPr="001A3D2B">
        <w:rPr>
          <w:kern w:val="0"/>
        </w:rPr>
        <w:t>American Journal</w:t>
      </w:r>
      <w:r w:rsidR="00427468">
        <w:rPr>
          <w:kern w:val="0"/>
        </w:rPr>
        <w:t xml:space="preserve"> of </w:t>
      </w:r>
      <w:r w:rsidRPr="001A3D2B">
        <w:rPr>
          <w:kern w:val="0"/>
        </w:rPr>
        <w:t>Emergency Medicine (22). Toxicology, traumatology, resuscitation medicine,</w:t>
      </w:r>
      <w:r w:rsidR="005853A9">
        <w:rPr>
          <w:kern w:val="0"/>
        </w:rPr>
        <w:t xml:space="preserve"> and </w:t>
      </w:r>
      <w:r w:rsidRPr="001A3D2B">
        <w:rPr>
          <w:kern w:val="0"/>
        </w:rPr>
        <w:t>cardiovascular medicine were</w:t>
      </w:r>
      <w:r w:rsidR="003A1917">
        <w:rPr>
          <w:kern w:val="0"/>
        </w:rPr>
        <w:t xml:space="preserve"> the </w:t>
      </w:r>
      <w:r w:rsidRPr="001A3D2B">
        <w:rPr>
          <w:kern w:val="0"/>
        </w:rPr>
        <w:t>primary focus</w:t>
      </w:r>
      <w:r w:rsidR="00427468">
        <w:rPr>
          <w:kern w:val="0"/>
        </w:rPr>
        <w:t xml:space="preserve"> of </w:t>
      </w:r>
      <w:r w:rsidRPr="001A3D2B">
        <w:rPr>
          <w:kern w:val="0"/>
        </w:rPr>
        <w:t>study</w:t>
      </w:r>
      <w:r w:rsidR="00A37C1D">
        <w:rPr>
          <w:kern w:val="0"/>
        </w:rPr>
        <w:t>. The</w:t>
      </w:r>
      <w:r w:rsidR="003A1917">
        <w:rPr>
          <w:kern w:val="0"/>
        </w:rPr>
        <w:t xml:space="preserve"> </w:t>
      </w:r>
      <w:r w:rsidRPr="001A3D2B">
        <w:rPr>
          <w:kern w:val="0"/>
        </w:rPr>
        <w:t>median citation number for these top-cited articles was 102 (range, 71-335). Conclusion: Our analysis gives an encyclopedic review</w:t>
      </w:r>
      <w:r w:rsidR="00427468">
        <w:rPr>
          <w:kern w:val="0"/>
        </w:rPr>
        <w:t xml:space="preserve"> of </w:t>
      </w:r>
      <w:r w:rsidRPr="001A3D2B">
        <w:rPr>
          <w:kern w:val="0"/>
        </w:rPr>
        <w:t>citation frequency</w:t>
      </w:r>
      <w:r w:rsidR="00427468">
        <w:rPr>
          <w:kern w:val="0"/>
        </w:rPr>
        <w:t xml:space="preserve"> of </w:t>
      </w:r>
      <w:r w:rsidRPr="001A3D2B">
        <w:rPr>
          <w:kern w:val="0"/>
        </w:rPr>
        <w:t>top-cited articles published in EM journals, which may provide information for those who want to find</w:t>
      </w:r>
      <w:r w:rsidR="003A1917">
        <w:rPr>
          <w:kern w:val="0"/>
        </w:rPr>
        <w:t xml:space="preserve"> the </w:t>
      </w:r>
      <w:r w:rsidRPr="001A3D2B">
        <w:rPr>
          <w:kern w:val="0"/>
        </w:rPr>
        <w:t>history, evolution,</w:t>
      </w:r>
      <w:r w:rsidR="005853A9">
        <w:rPr>
          <w:kern w:val="0"/>
        </w:rPr>
        <w:t xml:space="preserve"> and </w:t>
      </w:r>
      <w:r w:rsidRPr="001A3D2B">
        <w:rPr>
          <w:kern w:val="0"/>
        </w:rPr>
        <w:t>areas</w:t>
      </w:r>
      <w:r w:rsidR="00427468">
        <w:rPr>
          <w:kern w:val="0"/>
        </w:rPr>
        <w:t xml:space="preserve"> of </w:t>
      </w:r>
      <w:r w:rsidRPr="001A3D2B">
        <w:rPr>
          <w:kern w:val="0"/>
        </w:rPr>
        <w:t>high-impact research activities</w:t>
      </w:r>
      <w:r w:rsidR="00427468">
        <w:rPr>
          <w:kern w:val="0"/>
        </w:rPr>
        <w:t xml:space="preserve"> of </w:t>
      </w:r>
      <w:r w:rsidRPr="001A3D2B">
        <w:rPr>
          <w:kern w:val="0"/>
        </w:rPr>
        <w:t>EM. (c) 2006 Elsevier Inc. All rights reserved.</w:t>
      </w:r>
    </w:p>
    <w:p w:rsidR="00017178" w:rsidRDefault="00017178" w:rsidP="00017178">
      <w:pPr>
        <w:pStyle w:val="a3"/>
        <w:rPr>
          <w:kern w:val="0"/>
        </w:rPr>
      </w:pPr>
      <w:r>
        <w:rPr>
          <w:kern w:val="0"/>
        </w:rPr>
        <w:t xml:space="preserve">Keywords: Activities, Articles, Characteristics, Citation, Citation Frequency, Citation-Classics, Database, Elsevier, Evolution, Frequency, Groups, History, Journal Impact Factors, Journals, Median, Medicine, Primary, Publication, Research, Review, Science, Science Citation Index, </w:t>
      </w:r>
      <w:r w:rsidR="00D5664A">
        <w:rPr>
          <w:kern w:val="0"/>
        </w:rPr>
        <w:t>Web</w:t>
      </w:r>
      <w:r w:rsidR="00427468">
        <w:rPr>
          <w:kern w:val="0"/>
        </w:rPr>
        <w:t xml:space="preserve"> of </w:t>
      </w:r>
      <w:r w:rsidR="00D5664A">
        <w:rPr>
          <w:kern w:val="0"/>
        </w:rPr>
        <w:t>Science</w:t>
      </w:r>
    </w:p>
    <w:p w:rsidR="00434900" w:rsidRDefault="00434900" w:rsidP="00434900">
      <w:pPr>
        <w:pStyle w:val="a3"/>
        <w:rPr>
          <w:kern w:val="0"/>
        </w:rPr>
      </w:pPr>
      <w:r>
        <w:rPr>
          <w:rFonts w:hint="eastAsia"/>
          <w:kern w:val="0"/>
        </w:rPr>
        <w:t xml:space="preserve">? </w:t>
      </w:r>
      <w:r>
        <w:rPr>
          <w:kern w:val="0"/>
        </w:rPr>
        <w:t>Li, Q., Jiang, Y.</w:t>
      </w:r>
      <w:r w:rsidR="005853A9">
        <w:rPr>
          <w:kern w:val="0"/>
        </w:rPr>
        <w:t xml:space="preserve"> and </w:t>
      </w:r>
      <w:r>
        <w:rPr>
          <w:kern w:val="0"/>
        </w:rPr>
        <w:t>Zhang, M. (2012), National representation in</w:t>
      </w:r>
      <w:r w:rsidR="003A1917">
        <w:rPr>
          <w:kern w:val="0"/>
        </w:rPr>
        <w:t xml:space="preserve"> the </w:t>
      </w:r>
      <w:r>
        <w:rPr>
          <w:kern w:val="0"/>
        </w:rPr>
        <w:t>emergency medicine literature: A bibliometric analysis</w:t>
      </w:r>
      <w:r w:rsidR="00427468">
        <w:rPr>
          <w:kern w:val="0"/>
        </w:rPr>
        <w:t xml:space="preserve"> of </w:t>
      </w:r>
      <w:r>
        <w:rPr>
          <w:kern w:val="0"/>
        </w:rPr>
        <w:t xml:space="preserve">highly cited journals. </w:t>
      </w:r>
      <w:r>
        <w:rPr>
          <w:i/>
          <w:iCs/>
          <w:kern w:val="0"/>
        </w:rPr>
        <w:t>American Journal</w:t>
      </w:r>
      <w:r w:rsidR="00427468">
        <w:rPr>
          <w:i/>
          <w:iCs/>
          <w:kern w:val="0"/>
        </w:rPr>
        <w:t xml:space="preserve"> of </w:t>
      </w:r>
      <w:r>
        <w:rPr>
          <w:i/>
          <w:iCs/>
          <w:kern w:val="0"/>
        </w:rPr>
        <w:t>Emergency Medicine</w:t>
      </w:r>
      <w:r>
        <w:rPr>
          <w:kern w:val="0"/>
        </w:rPr>
        <w:t xml:space="preserve">, </w:t>
      </w:r>
      <w:r>
        <w:rPr>
          <w:b/>
          <w:bCs/>
          <w:kern w:val="0"/>
        </w:rPr>
        <w:t>30</w:t>
      </w:r>
      <w:r>
        <w:rPr>
          <w:kern w:val="0"/>
        </w:rPr>
        <w:t xml:space="preserve"> (8), 1530-1534.</w:t>
      </w:r>
    </w:p>
    <w:p w:rsidR="00434900" w:rsidRPr="00F219CA" w:rsidRDefault="00434900" w:rsidP="00434900">
      <w:pPr>
        <w:pStyle w:val="a3"/>
      </w:pPr>
      <w:r w:rsidRPr="00F219CA">
        <w:t xml:space="preserve">Full Text: </w:t>
      </w:r>
      <w:hyperlink r:id="rId449" w:history="1">
        <w:r w:rsidRPr="00434900">
          <w:rPr>
            <w:rStyle w:val="a5"/>
          </w:rPr>
          <w:t>2012\Ame J Eme Med30, 1530.pdf</w:t>
        </w:r>
      </w:hyperlink>
    </w:p>
    <w:p w:rsidR="00434900" w:rsidRDefault="00434900" w:rsidP="00434900">
      <w:pPr>
        <w:pStyle w:val="a3"/>
        <w:rPr>
          <w:kern w:val="0"/>
        </w:rPr>
      </w:pPr>
      <w:r>
        <w:rPr>
          <w:kern w:val="0"/>
        </w:rPr>
        <w:t>Abstract: Objective: In recent years, significant growth has been seen in</w:t>
      </w:r>
      <w:r w:rsidR="003A1917">
        <w:rPr>
          <w:kern w:val="0"/>
        </w:rPr>
        <w:t xml:space="preserve"> the </w:t>
      </w:r>
      <w:r>
        <w:rPr>
          <w:kern w:val="0"/>
        </w:rPr>
        <w:t>field</w:t>
      </w:r>
      <w:r w:rsidR="00427468">
        <w:rPr>
          <w:kern w:val="0"/>
        </w:rPr>
        <w:t xml:space="preserve"> of </w:t>
      </w:r>
      <w:r>
        <w:rPr>
          <w:kern w:val="0"/>
        </w:rPr>
        <w:t>emergency medicine. However,</w:t>
      </w:r>
      <w:r w:rsidR="003A1917">
        <w:rPr>
          <w:kern w:val="0"/>
        </w:rPr>
        <w:t xml:space="preserve"> the </w:t>
      </w:r>
      <w:r>
        <w:rPr>
          <w:kern w:val="0"/>
        </w:rPr>
        <w:t>national productivity to</w:t>
      </w:r>
      <w:r w:rsidR="003A1917">
        <w:rPr>
          <w:kern w:val="0"/>
        </w:rPr>
        <w:t xml:space="preserve"> the </w:t>
      </w:r>
      <w:r>
        <w:rPr>
          <w:kern w:val="0"/>
        </w:rPr>
        <w:t>field</w:t>
      </w:r>
      <w:r w:rsidR="00427468">
        <w:rPr>
          <w:kern w:val="0"/>
        </w:rPr>
        <w:t xml:space="preserve"> of </w:t>
      </w:r>
      <w:r>
        <w:rPr>
          <w:kern w:val="0"/>
        </w:rPr>
        <w:t>emergency medicine remains unknown. This study aimed to reveal</w:t>
      </w:r>
      <w:r w:rsidR="003A1917">
        <w:rPr>
          <w:kern w:val="0"/>
        </w:rPr>
        <w:t xml:space="preserve"> the </w:t>
      </w:r>
      <w:r>
        <w:rPr>
          <w:kern w:val="0"/>
        </w:rPr>
        <w:t>national contributions in</w:t>
      </w:r>
      <w:r w:rsidR="003A1917">
        <w:rPr>
          <w:kern w:val="0"/>
        </w:rPr>
        <w:t xml:space="preserve"> the </w:t>
      </w:r>
      <w:r>
        <w:rPr>
          <w:kern w:val="0"/>
        </w:rPr>
        <w:t>field</w:t>
      </w:r>
      <w:r w:rsidR="00427468">
        <w:rPr>
          <w:kern w:val="0"/>
        </w:rPr>
        <w:t xml:space="preserve"> of </w:t>
      </w:r>
      <w:r>
        <w:rPr>
          <w:kern w:val="0"/>
        </w:rPr>
        <w:t>emergency medicine. Methods: Articles published in 13 highly cited journals in emergency medicine in 2006 to 2010 were retrieved from PubMed</w:t>
      </w:r>
      <w:r w:rsidR="005853A9">
        <w:rPr>
          <w:kern w:val="0"/>
        </w:rPr>
        <w:t xml:space="preserve"> and </w:t>
      </w:r>
      <w:r>
        <w:rPr>
          <w:kern w:val="0"/>
        </w:rPr>
        <w:t>Science Citation Index</w:t>
      </w:r>
      <w:r w:rsidR="00A37C1D">
        <w:rPr>
          <w:kern w:val="0"/>
        </w:rPr>
        <w:t>. The</w:t>
      </w:r>
      <w:r w:rsidR="003A1917">
        <w:rPr>
          <w:kern w:val="0"/>
        </w:rPr>
        <w:t xml:space="preserve"> </w:t>
      </w:r>
      <w:r>
        <w:rPr>
          <w:kern w:val="0"/>
        </w:rPr>
        <w:t>number</w:t>
      </w:r>
      <w:r w:rsidR="00427468">
        <w:rPr>
          <w:kern w:val="0"/>
        </w:rPr>
        <w:t xml:space="preserve"> of </w:t>
      </w:r>
      <w:r>
        <w:rPr>
          <w:kern w:val="0"/>
        </w:rPr>
        <w:t>total articles,</w:t>
      </w:r>
      <w:r w:rsidR="003A1917">
        <w:rPr>
          <w:kern w:val="0"/>
        </w:rPr>
        <w:t xml:space="preserve"> the </w:t>
      </w:r>
      <w:r>
        <w:rPr>
          <w:kern w:val="0"/>
        </w:rPr>
        <w:t>per-capita numbers, impact factors (IFs),</w:t>
      </w:r>
      <w:r w:rsidR="005853A9">
        <w:rPr>
          <w:kern w:val="0"/>
        </w:rPr>
        <w:t xml:space="preserve"> and </w:t>
      </w:r>
      <w:r>
        <w:rPr>
          <w:kern w:val="0"/>
        </w:rPr>
        <w:t>citations were tabulated to assess</w:t>
      </w:r>
      <w:r w:rsidR="003A1917">
        <w:rPr>
          <w:kern w:val="0"/>
        </w:rPr>
        <w:t xml:space="preserve"> the </w:t>
      </w:r>
      <w:r>
        <w:rPr>
          <w:kern w:val="0"/>
        </w:rPr>
        <w:t>contribution</w:t>
      </w:r>
      <w:r w:rsidR="00427468">
        <w:rPr>
          <w:kern w:val="0"/>
        </w:rPr>
        <w:t xml:space="preserve"> of </w:t>
      </w:r>
      <w:r>
        <w:rPr>
          <w:kern w:val="0"/>
        </w:rPr>
        <w:t xml:space="preserve">different </w:t>
      </w:r>
      <w:r>
        <w:rPr>
          <w:kern w:val="0"/>
        </w:rPr>
        <w:lastRenderedPageBreak/>
        <w:t>countries. Results: A total number</w:t>
      </w:r>
      <w:r w:rsidR="00427468">
        <w:rPr>
          <w:kern w:val="0"/>
        </w:rPr>
        <w:t xml:space="preserve"> of </w:t>
      </w:r>
      <w:r>
        <w:rPr>
          <w:kern w:val="0"/>
        </w:rPr>
        <w:t>9775 articles were published in</w:t>
      </w:r>
      <w:r w:rsidR="003A1917">
        <w:rPr>
          <w:kern w:val="0"/>
        </w:rPr>
        <w:t xml:space="preserve"> the </w:t>
      </w:r>
      <w:r>
        <w:rPr>
          <w:kern w:val="0"/>
        </w:rPr>
        <w:t>13 journals from 2006 to 2010 worldwide. West Europe, North America,</w:t>
      </w:r>
      <w:r w:rsidR="005853A9">
        <w:rPr>
          <w:kern w:val="0"/>
        </w:rPr>
        <w:t xml:space="preserve"> and </w:t>
      </w:r>
      <w:r>
        <w:rPr>
          <w:kern w:val="0"/>
        </w:rPr>
        <w:t>East Asia were</w:t>
      </w:r>
      <w:r w:rsidR="003A1917">
        <w:rPr>
          <w:kern w:val="0"/>
        </w:rPr>
        <w:t xml:space="preserve"> the </w:t>
      </w:r>
      <w:r>
        <w:rPr>
          <w:kern w:val="0"/>
        </w:rPr>
        <w:t>most productive regions. High-income countries published 87.9%</w:t>
      </w:r>
      <w:r w:rsidR="00427468">
        <w:rPr>
          <w:kern w:val="0"/>
        </w:rPr>
        <w:t xml:space="preserve"> of </w:t>
      </w:r>
      <w:r w:rsidR="003A1917">
        <w:rPr>
          <w:kern w:val="0"/>
        </w:rPr>
        <w:t xml:space="preserve">the </w:t>
      </w:r>
      <w:r>
        <w:rPr>
          <w:kern w:val="0"/>
        </w:rPr>
        <w:t>total articles. United States published</w:t>
      </w:r>
      <w:r w:rsidR="003A1917">
        <w:rPr>
          <w:kern w:val="0"/>
        </w:rPr>
        <w:t xml:space="preserve"> the </w:t>
      </w:r>
      <w:r>
        <w:rPr>
          <w:kern w:val="0"/>
        </w:rPr>
        <w:t>most number</w:t>
      </w:r>
      <w:r w:rsidR="00427468">
        <w:rPr>
          <w:kern w:val="0"/>
        </w:rPr>
        <w:t xml:space="preserve"> of </w:t>
      </w:r>
      <w:r>
        <w:rPr>
          <w:kern w:val="0"/>
        </w:rPr>
        <w:t>articles in 2006 to 2010 (4523/9775, or 46.3%), followed by United Kingdom, Australia, China,</w:t>
      </w:r>
      <w:r w:rsidR="005853A9">
        <w:rPr>
          <w:kern w:val="0"/>
        </w:rPr>
        <w:t xml:space="preserve"> and </w:t>
      </w:r>
      <w:r>
        <w:rPr>
          <w:kern w:val="0"/>
        </w:rPr>
        <w:t>Canada. Besides, United States also had</w:t>
      </w:r>
      <w:r w:rsidR="003A1917">
        <w:rPr>
          <w:kern w:val="0"/>
        </w:rPr>
        <w:t xml:space="preserve"> the </w:t>
      </w:r>
      <w:r>
        <w:rPr>
          <w:kern w:val="0"/>
        </w:rPr>
        <w:t>highest total IFs (8729.73)</w:t>
      </w:r>
      <w:r w:rsidR="005853A9">
        <w:rPr>
          <w:kern w:val="0"/>
        </w:rPr>
        <w:t xml:space="preserve"> and </w:t>
      </w:r>
      <w:r>
        <w:rPr>
          <w:kern w:val="0"/>
        </w:rPr>
        <w:t>total citations (22 117). When normalized to population size, Australia had</w:t>
      </w:r>
      <w:r w:rsidR="003A1917">
        <w:rPr>
          <w:kern w:val="0"/>
        </w:rPr>
        <w:t xml:space="preserve"> the </w:t>
      </w:r>
      <w:r>
        <w:rPr>
          <w:kern w:val="0"/>
        </w:rPr>
        <w:t>highest number</w:t>
      </w:r>
      <w:r w:rsidR="00427468">
        <w:rPr>
          <w:kern w:val="0"/>
        </w:rPr>
        <w:t xml:space="preserve"> of </w:t>
      </w:r>
      <w:r>
        <w:rPr>
          <w:kern w:val="0"/>
        </w:rPr>
        <w:t>articles per million persons (26.00). Germany had</w:t>
      </w:r>
      <w:r w:rsidR="003A1917">
        <w:rPr>
          <w:kern w:val="0"/>
        </w:rPr>
        <w:t xml:space="preserve"> the </w:t>
      </w:r>
      <w:r>
        <w:rPr>
          <w:kern w:val="0"/>
        </w:rPr>
        <w:t>highest mean IF (2.27)</w:t>
      </w:r>
      <w:r w:rsidR="005853A9">
        <w:rPr>
          <w:kern w:val="0"/>
        </w:rPr>
        <w:t xml:space="preserve"> and </w:t>
      </w:r>
      <w:r>
        <w:rPr>
          <w:kern w:val="0"/>
        </w:rPr>
        <w:t>mean citations (6.87). Conclusions: United States is</w:t>
      </w:r>
      <w:r w:rsidR="003A1917">
        <w:rPr>
          <w:kern w:val="0"/>
        </w:rPr>
        <w:t xml:space="preserve"> the </w:t>
      </w:r>
      <w:r>
        <w:rPr>
          <w:kern w:val="0"/>
        </w:rPr>
        <w:t>most productive country in</w:t>
      </w:r>
      <w:r w:rsidR="003A1917">
        <w:rPr>
          <w:kern w:val="0"/>
        </w:rPr>
        <w:t xml:space="preserve"> the </w:t>
      </w:r>
      <w:r>
        <w:rPr>
          <w:kern w:val="0"/>
        </w:rPr>
        <w:t>field</w:t>
      </w:r>
      <w:r w:rsidR="00427468">
        <w:rPr>
          <w:kern w:val="0"/>
        </w:rPr>
        <w:t xml:space="preserve"> of </w:t>
      </w:r>
      <w:r>
        <w:rPr>
          <w:kern w:val="0"/>
        </w:rPr>
        <w:t>emergency medicine. (c) 2012 Elsevier Inc. All rights reserved.</w:t>
      </w:r>
    </w:p>
    <w:p w:rsidR="00434900" w:rsidRDefault="00434900" w:rsidP="00434900">
      <w:pPr>
        <w:pStyle w:val="a3"/>
        <w:rPr>
          <w:kern w:val="0"/>
        </w:rPr>
      </w:pPr>
      <w:r>
        <w:rPr>
          <w:kern w:val="0"/>
        </w:rPr>
        <w:t>Keywords: 10-Year Survey, Analysis, Articles, Asia, Australia, Bibliometric, Bibliometric Analysis, Canada, China, Citation, Citations, Country, Emergency, Emergency Medicine, Europe, Field, Germany, Growth, Highly Cited, Highly-Cited, Impact, Impact Factors, Journals, Language, Literature, Medicine, North, North America, Population, Population Size, Productivity, Pubmed, Recent, Representation, Rights, Science, Science Citation Index, Scientific Publications, Size, United Kingdom, United States</w:t>
      </w:r>
    </w:p>
    <w:p w:rsidR="003474F2" w:rsidRPr="001A3D2B" w:rsidRDefault="003474F2" w:rsidP="003474F2">
      <w:pPr>
        <w:pStyle w:val="1"/>
      </w:pPr>
      <w:r w:rsidRPr="001A3D2B">
        <w:br w:type="page"/>
      </w:r>
      <w:bookmarkStart w:id="254" w:name="_Toc420814385"/>
      <w:r w:rsidRPr="001A3D2B">
        <w:lastRenderedPageBreak/>
        <w:t>Title: American Journal</w:t>
      </w:r>
      <w:r w:rsidR="00427468">
        <w:t xml:space="preserve"> of </w:t>
      </w:r>
      <w:r w:rsidRPr="001A3D2B">
        <w:t>Enology</w:t>
      </w:r>
      <w:r w:rsidR="005853A9">
        <w:t xml:space="preserve"> and </w:t>
      </w:r>
      <w:r w:rsidRPr="001A3D2B">
        <w:t>Viticulture</w:t>
      </w:r>
      <w:bookmarkEnd w:id="254"/>
    </w:p>
    <w:p w:rsidR="003474F2" w:rsidRPr="001A3D2B" w:rsidRDefault="003474F2" w:rsidP="003474F2">
      <w:pPr>
        <w:pStyle w:val="12"/>
      </w:pPr>
      <w:r w:rsidRPr="001A3D2B">
        <w:t>Full Journal Title: American Journal</w:t>
      </w:r>
      <w:r w:rsidR="00427468">
        <w:t xml:space="preserve"> of </w:t>
      </w:r>
      <w:r w:rsidRPr="001A3D2B">
        <w:t>Enology</w:t>
      </w:r>
      <w:r w:rsidR="005853A9">
        <w:t xml:space="preserve"> and </w:t>
      </w:r>
      <w:r w:rsidRPr="001A3D2B">
        <w:t>Viticulture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Am J Dis Child</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w:t>
      </w:r>
      <w:r w:rsidR="00E33649">
        <w:t>Glänzel, W.</w:t>
      </w:r>
      <w:r w:rsidR="005853A9">
        <w:t xml:space="preserve"> and </w:t>
      </w:r>
      <w:r w:rsidRPr="001A3D2B">
        <w:t>Veugelers, R. (2006), Science for wine: A bibliometric assessment</w:t>
      </w:r>
      <w:r w:rsidR="00427468">
        <w:t xml:space="preserve"> of </w:t>
      </w:r>
      <w:r w:rsidRPr="001A3D2B">
        <w:t>wine</w:t>
      </w:r>
      <w:r w:rsidR="005853A9">
        <w:t xml:space="preserve"> and </w:t>
      </w:r>
      <w:r w:rsidRPr="001A3D2B">
        <w:t>grape research for wine-producing</w:t>
      </w:r>
      <w:r w:rsidR="005853A9">
        <w:t xml:space="preserve"> and </w:t>
      </w:r>
      <w:r w:rsidRPr="001A3D2B">
        <w:t xml:space="preserve">consuming countries. </w:t>
      </w:r>
      <w:r w:rsidRPr="001A3D2B">
        <w:rPr>
          <w:i/>
          <w:iCs/>
        </w:rPr>
        <w:t>American Journal</w:t>
      </w:r>
      <w:r w:rsidR="00427468">
        <w:rPr>
          <w:i/>
          <w:iCs/>
        </w:rPr>
        <w:t xml:space="preserve"> of </w:t>
      </w:r>
      <w:r w:rsidRPr="001A3D2B">
        <w:rPr>
          <w:i/>
          <w:iCs/>
        </w:rPr>
        <w:t>Enology</w:t>
      </w:r>
      <w:r w:rsidR="005853A9">
        <w:rPr>
          <w:i/>
          <w:iCs/>
        </w:rPr>
        <w:t xml:space="preserve"> and </w:t>
      </w:r>
      <w:r w:rsidRPr="001A3D2B">
        <w:rPr>
          <w:i/>
          <w:iCs/>
        </w:rPr>
        <w:t>Viticulture</w:t>
      </w:r>
      <w:r w:rsidRPr="001A3D2B">
        <w:t xml:space="preserve">, </w:t>
      </w:r>
      <w:r w:rsidRPr="001A3D2B">
        <w:rPr>
          <w:b/>
          <w:bCs/>
        </w:rPr>
        <w:t>57</w:t>
      </w:r>
      <w:r w:rsidRPr="001A3D2B">
        <w:t xml:space="preserve"> (1), 23-32.</w:t>
      </w:r>
    </w:p>
    <w:p w:rsidR="003474F2" w:rsidRPr="001A3D2B" w:rsidRDefault="003474F2" w:rsidP="003474F2">
      <w:pPr>
        <w:pStyle w:val="a3"/>
      </w:pPr>
      <w:r w:rsidRPr="001A3D2B">
        <w:t>Abstract: A bibliometric analysis</w:t>
      </w:r>
      <w:r w:rsidR="00427468">
        <w:t xml:space="preserve"> of </w:t>
      </w:r>
      <w:r w:rsidRPr="001A3D2B">
        <w:t>wine publications</w:t>
      </w:r>
      <w:r w:rsidR="005853A9">
        <w:t xml:space="preserve"> and </w:t>
      </w:r>
      <w:r w:rsidRPr="001A3D2B">
        <w:t>citations by country</w:t>
      </w:r>
      <w:r w:rsidR="005853A9">
        <w:t xml:space="preserve"> and </w:t>
      </w:r>
      <w:r w:rsidRPr="001A3D2B">
        <w:t>over time related a country</w:t>
      </w:r>
      <w:r w:rsidR="00700038">
        <w:t>’</w:t>
      </w:r>
      <w:r w:rsidR="00C13DDC">
        <w:t>s</w:t>
      </w:r>
      <w:r w:rsidRPr="001A3D2B">
        <w:t xml:space="preserve"> scientific performance in wine research to its position in</w:t>
      </w:r>
      <w:r w:rsidR="003A1917">
        <w:t xml:space="preserve"> the </w:t>
      </w:r>
      <w:r w:rsidRPr="001A3D2B">
        <w:t>global wine market as a producer, a consumer, or both. Results highlight</w:t>
      </w:r>
      <w:r w:rsidR="003A1917">
        <w:t xml:space="preserve"> the </w:t>
      </w:r>
      <w:r w:rsidRPr="001A3D2B">
        <w:t>extent to which scientific positions can help to explain</w:t>
      </w:r>
      <w:r w:rsidR="003A1917">
        <w:t xml:space="preserve"> the </w:t>
      </w:r>
      <w:r w:rsidRPr="001A3D2B">
        <w:t>emergence</w:t>
      </w:r>
      <w:r w:rsidR="00427468">
        <w:t xml:space="preserve"> of </w:t>
      </w:r>
      <w:r w:rsidRPr="001A3D2B">
        <w:t>some countries as new participants in</w:t>
      </w:r>
      <w:r w:rsidR="003A1917">
        <w:t xml:space="preserve"> the </w:t>
      </w:r>
      <w:r w:rsidRPr="001A3D2B">
        <w:t>wine industry</w:t>
      </w:r>
      <w:r w:rsidR="005853A9">
        <w:t xml:space="preserve"> and </w:t>
      </w:r>
      <w:r w:rsidRPr="001A3D2B">
        <w:t>established countries as old participants defending their positions. We also examined</w:t>
      </w:r>
      <w:r w:rsidR="003A1917">
        <w:t xml:space="preserve"> the </w:t>
      </w:r>
      <w:r w:rsidRPr="001A3D2B">
        <w:t>extent to which</w:t>
      </w:r>
      <w:r w:rsidR="003A1917">
        <w:t xml:space="preserve"> the </w:t>
      </w:r>
      <w:r w:rsidRPr="001A3D2B">
        <w:t>scientific wine community is in itself becoming increasingly more global through international co-publications. Results suggest that geographical trends in</w:t>
      </w:r>
      <w:r w:rsidR="003A1917">
        <w:t xml:space="preserve"> the </w:t>
      </w:r>
      <w:r w:rsidRPr="001A3D2B">
        <w:t>scientific wine community are only partly related to</w:t>
      </w:r>
      <w:r w:rsidR="003A1917">
        <w:t xml:space="preserve"> the </w:t>
      </w:r>
      <w:r w:rsidRPr="001A3D2B">
        <w:t>shifts in globalization patterns in</w:t>
      </w:r>
      <w:r w:rsidR="003A1917">
        <w:t xml:space="preserve"> the </w:t>
      </w:r>
      <w:r w:rsidRPr="001A3D2B">
        <w:t>wine industry.</w:t>
      </w:r>
    </w:p>
    <w:p w:rsidR="003474F2" w:rsidRPr="001A3D2B" w:rsidRDefault="003474F2" w:rsidP="003474F2">
      <w:pPr>
        <w:pStyle w:val="a3"/>
      </w:pPr>
      <w:r w:rsidRPr="001A3D2B">
        <w:t>Keywords: Assessment, Bibliometric, Bibliometric Assessment, Bibliometric Study, Changes, Citations, Community, Country, Globalization, International, Performance, Publications, Research, Research Performance, Science, Scientific Research, Sector, Trends, Wine</w:t>
      </w:r>
      <w:r w:rsidR="005853A9">
        <w:t xml:space="preserve"> and </w:t>
      </w:r>
      <w:r w:rsidRPr="001A3D2B">
        <w:t>Grape Research, World</w:t>
      </w:r>
    </w:p>
    <w:p w:rsidR="003474F2" w:rsidRPr="001A3D2B" w:rsidRDefault="003474F2" w:rsidP="003474F2">
      <w:pPr>
        <w:pStyle w:val="1"/>
      </w:pPr>
      <w:r w:rsidRPr="001A3D2B">
        <w:br w:type="page"/>
      </w:r>
      <w:bookmarkStart w:id="255" w:name="_Toc490687603"/>
      <w:bookmarkStart w:id="256" w:name="_Toc492777846"/>
      <w:bookmarkStart w:id="257" w:name="_Toc45645202"/>
      <w:bookmarkStart w:id="258" w:name="_Toc81215586"/>
      <w:bookmarkStart w:id="259" w:name="_Toc420814386"/>
      <w:r w:rsidRPr="001A3D2B">
        <w:lastRenderedPageBreak/>
        <w:t>Title: American Journal</w:t>
      </w:r>
      <w:r w:rsidR="00427468">
        <w:t xml:space="preserve"> of </w:t>
      </w:r>
      <w:r w:rsidRPr="001A3D2B">
        <w:t>Epidemiology</w:t>
      </w:r>
      <w:bookmarkEnd w:id="255"/>
      <w:bookmarkEnd w:id="256"/>
      <w:bookmarkEnd w:id="257"/>
      <w:bookmarkEnd w:id="258"/>
      <w:bookmarkEnd w:id="259"/>
    </w:p>
    <w:p w:rsidR="003474F2" w:rsidRPr="001A3D2B" w:rsidRDefault="003474F2" w:rsidP="003474F2">
      <w:pPr>
        <w:pStyle w:val="12"/>
      </w:pPr>
      <w:r w:rsidRPr="001A3D2B">
        <w:t xml:space="preserve">Full Journal Title: </w:t>
      </w:r>
      <w:hyperlink r:id="rId450" w:history="1">
        <w:r w:rsidRPr="001A3D2B">
          <w:rPr>
            <w:rStyle w:val="a5"/>
          </w:rPr>
          <w:t>American Journal</w:t>
        </w:r>
        <w:r w:rsidR="00427468">
          <w:rPr>
            <w:rStyle w:val="a5"/>
          </w:rPr>
          <w:t xml:space="preserve"> of </w:t>
        </w:r>
        <w:r w:rsidRPr="001A3D2B">
          <w:rPr>
            <w:rStyle w:val="a5"/>
          </w:rPr>
          <w:t>Epidemiology</w:t>
        </w:r>
      </w:hyperlink>
    </w:p>
    <w:p w:rsidR="003474F2" w:rsidRPr="001A3D2B" w:rsidRDefault="003474F2" w:rsidP="003474F2">
      <w:pPr>
        <w:pStyle w:val="12"/>
      </w:pPr>
      <w:r w:rsidRPr="001A3D2B">
        <w:t>ISO Abbreviated Title: Am. J. Epidemiol.</w:t>
      </w:r>
    </w:p>
    <w:p w:rsidR="003474F2" w:rsidRPr="001A3D2B" w:rsidRDefault="003474F2" w:rsidP="003474F2">
      <w:pPr>
        <w:pStyle w:val="12"/>
      </w:pPr>
      <w:r w:rsidRPr="001A3D2B">
        <w:t>Jcr Abbreviated Title: Am J Epidemiol</w:t>
      </w:r>
    </w:p>
    <w:p w:rsidR="003474F2" w:rsidRPr="001A3D2B" w:rsidRDefault="003474F2" w:rsidP="003474F2">
      <w:pPr>
        <w:pStyle w:val="12"/>
      </w:pPr>
      <w:r w:rsidRPr="001A3D2B">
        <w:t>ISSN: 0002-9262</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PlaceName">
          <w:r w:rsidRPr="001A3D2B">
            <w:t>Johns</w:t>
          </w:r>
        </w:smartTag>
        <w:r w:rsidRPr="001A3D2B">
          <w:t xml:space="preserve"> </w:t>
        </w:r>
        <w:smartTag w:uri="urn:schemas-microsoft-com:office:smarttags" w:element="PlaceName">
          <w:r w:rsidRPr="001A3D2B">
            <w:t>Hopkins</w:t>
          </w:r>
        </w:smartTag>
        <w:r w:rsidRPr="001A3D2B">
          <w:t xml:space="preserve"> </w:t>
        </w:r>
        <w:smartTag w:uri="urn:schemas-microsoft-com:office:smarttags" w:element="PlaceName">
          <w:r w:rsidRPr="001A3D2B">
            <w:t>Univ</w:t>
          </w:r>
        </w:smartTag>
        <w:r w:rsidRPr="001A3D2B">
          <w:t xml:space="preserve"> </w:t>
        </w:r>
        <w:smartTag w:uri="urn:schemas-microsoft-com:office:smarttags" w:element="PlaceType">
          <w:r w:rsidRPr="001A3D2B">
            <w:t>School</w:t>
          </w:r>
        </w:smartTag>
      </w:smartTag>
      <w:r w:rsidRPr="001A3D2B">
        <w:t xml:space="preserve"> Hygiene Pub Health</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111 Market Place, Ste 840</w:t>
          </w:r>
        </w:smartTag>
        <w:r w:rsidRPr="001A3D2B">
          <w:t xml:space="preserve">, </w:t>
        </w:r>
        <w:smartTag w:uri="urn:schemas-microsoft-com:office:smarttags" w:element="City">
          <w:r w:rsidRPr="001A3D2B">
            <w:t>Baltimore</w:t>
          </w:r>
        </w:smartTag>
        <w:r w:rsidRPr="001A3D2B">
          <w:t xml:space="preserve">, </w:t>
        </w:r>
        <w:smartTag w:uri="urn:schemas-microsoft-com:office:smarttags" w:element="State">
          <w:r w:rsidRPr="001A3D2B">
            <w:t>MD</w:t>
          </w:r>
        </w:smartTag>
        <w:r w:rsidRPr="001A3D2B">
          <w:t xml:space="preserve"> </w:t>
        </w:r>
        <w:smartTag w:uri="urn:schemas-microsoft-com:office:smarttags" w:element="PostalCode">
          <w:r w:rsidRPr="001A3D2B">
            <w:t>21202-6709</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Public, Environmental &amp; Occupational Health: Impact Factor, 3.978, 2/85 (1999); Impact Factor, 3.870, 3/89 (2000)</w:t>
      </w:r>
    </w:p>
    <w:p w:rsidR="003474F2" w:rsidRPr="001A3D2B" w:rsidRDefault="003474F2" w:rsidP="003474F2">
      <w:pPr>
        <w:pStyle w:val="a3"/>
      </w:pPr>
      <w:r w:rsidRPr="001A3D2B">
        <w:t>Notes: TTopic</w:t>
      </w:r>
    </w:p>
    <w:p w:rsidR="003474F2" w:rsidRPr="001A3D2B" w:rsidRDefault="003474F2" w:rsidP="003474F2">
      <w:pPr>
        <w:pStyle w:val="a3"/>
      </w:pPr>
      <w:r w:rsidRPr="001A3D2B">
        <w:t>? Dannenberg, A.L. (1985), Use</w:t>
      </w:r>
      <w:r w:rsidR="00427468">
        <w:t xml:space="preserve"> of </w:t>
      </w:r>
      <w:r w:rsidRPr="001A3D2B">
        <w:t xml:space="preserve">epidemiology in medical specialties: An examination by citation analysis. </w:t>
      </w:r>
      <w:r w:rsidRPr="001A3D2B">
        <w:rPr>
          <w:i/>
        </w:rPr>
        <w:t>American Journal</w:t>
      </w:r>
      <w:r w:rsidR="00427468">
        <w:rPr>
          <w:i/>
        </w:rPr>
        <w:t xml:space="preserve"> of </w:t>
      </w:r>
      <w:r w:rsidRPr="001A3D2B">
        <w:rPr>
          <w:i/>
        </w:rPr>
        <w:t>Epidemiology</w:t>
      </w:r>
      <w:r w:rsidRPr="001A3D2B">
        <w:t xml:space="preserve">, </w:t>
      </w:r>
      <w:r w:rsidRPr="001A3D2B">
        <w:rPr>
          <w:b/>
        </w:rPr>
        <w:t>121</w:t>
      </w:r>
      <w:r w:rsidRPr="001A3D2B">
        <w:t xml:space="preserve"> (1), 140-151.</w:t>
      </w:r>
    </w:p>
    <w:p w:rsidR="00AB6E3D" w:rsidRDefault="00AB6E3D" w:rsidP="00AB6E3D">
      <w:pPr>
        <w:pStyle w:val="a3"/>
        <w:rPr>
          <w:kern w:val="0"/>
        </w:rPr>
      </w:pPr>
      <w:r>
        <w:rPr>
          <w:rFonts w:hint="eastAsia"/>
          <w:kern w:val="0"/>
        </w:rPr>
        <w:t xml:space="preserve">Full Text: </w:t>
      </w:r>
      <w:hyperlink r:id="rId451" w:history="1">
        <w:r w:rsidRPr="00330DCD">
          <w:rPr>
            <w:rStyle w:val="a5"/>
            <w:kern w:val="0"/>
          </w:rPr>
          <w:t>1985\Ame J Epi121, 140.pdf</w:t>
        </w:r>
      </w:hyperlink>
    </w:p>
    <w:p w:rsidR="003474F2" w:rsidRPr="001A3D2B" w:rsidRDefault="003474F2" w:rsidP="003474F2">
      <w:pPr>
        <w:pStyle w:val="a3"/>
      </w:pPr>
      <w:r w:rsidRPr="001A3D2B">
        <w:t>Abstract: Epidemiologic methods have been applied unevenly among medical specialties. Identifying current uses</w:t>
      </w:r>
      <w:r w:rsidR="005853A9">
        <w:t xml:space="preserve"> and </w:t>
      </w:r>
      <w:r w:rsidRPr="001A3D2B">
        <w:t>areas</w:t>
      </w:r>
      <w:r w:rsidR="00427468">
        <w:t xml:space="preserve"> of </w:t>
      </w:r>
      <w:r w:rsidRPr="001A3D2B">
        <w:t>potential research helps clarify</w:t>
      </w:r>
      <w:r w:rsidR="005853A9">
        <w:t xml:space="preserve"> and </w:t>
      </w:r>
      <w:r w:rsidRPr="001A3D2B">
        <w:t>define</w:t>
      </w:r>
      <w:r w:rsidR="003A1917">
        <w:t xml:space="preserve"> the </w:t>
      </w:r>
      <w:r w:rsidRPr="001A3D2B">
        <w:t>field. Using citation analysis</w:t>
      </w:r>
      <w:r w:rsidR="00427468">
        <w:t xml:space="preserve"> of </w:t>
      </w:r>
      <w:r w:rsidRPr="001A3D2B">
        <w:t>published data,</w:t>
      </w:r>
      <w:r w:rsidR="003A1917">
        <w:t xml:space="preserve"> the </w:t>
      </w:r>
      <w:r w:rsidRPr="001A3D2B">
        <w:t>patterns</w:t>
      </w:r>
      <w:r w:rsidR="00427468">
        <w:t xml:space="preserve"> of </w:t>
      </w:r>
      <w:r w:rsidRPr="001A3D2B">
        <w:t>references to</w:t>
      </w:r>
      <w:r w:rsidR="005853A9">
        <w:t xml:space="preserve"> and </w:t>
      </w:r>
      <w:r w:rsidRPr="001A3D2B">
        <w:t>by</w:t>
      </w:r>
      <w:r w:rsidR="003A1917">
        <w:t xml:space="preserve"> the </w:t>
      </w:r>
      <w:r w:rsidRPr="001A3D2B">
        <w:t>American Journal</w:t>
      </w:r>
      <w:r w:rsidR="00427468">
        <w:t xml:space="preserve"> of </w:t>
      </w:r>
      <w:r w:rsidRPr="001A3D2B">
        <w:t>Epidemiology were examined for 1974-1982; 17,574 citations to</w:t>
      </w:r>
      <w:r w:rsidR="005853A9">
        <w:t xml:space="preserve"> and </w:t>
      </w:r>
      <w:r w:rsidRPr="001A3D2B">
        <w:t>15,872 citations by that Journal were classified according to</w:t>
      </w:r>
      <w:r w:rsidR="003A1917">
        <w:t xml:space="preserve"> the </w:t>
      </w:r>
      <w:r w:rsidRPr="001A3D2B">
        <w:t>subject category</w:t>
      </w:r>
      <w:r w:rsidR="00427468">
        <w:t xml:space="preserve"> of </w:t>
      </w:r>
      <w:r w:rsidR="003A1917">
        <w:t xml:space="preserve">the </w:t>
      </w:r>
      <w:r w:rsidRPr="001A3D2B">
        <w:t>referencing or referenced journal. Internal medicine</w:t>
      </w:r>
      <w:r w:rsidR="005853A9">
        <w:t xml:space="preserve"> and </w:t>
      </w:r>
      <w:r w:rsidRPr="001A3D2B">
        <w:t>public health/epidemiology journals accounted for</w:t>
      </w:r>
      <w:r w:rsidR="003A1917">
        <w:t xml:space="preserve"> the </w:t>
      </w:r>
      <w:r w:rsidRPr="001A3D2B">
        <w:t>largest proportion</w:t>
      </w:r>
      <w:r w:rsidR="00427468">
        <w:t xml:space="preserve"> of </w:t>
      </w:r>
      <w:r w:rsidRPr="001A3D2B">
        <w:t>all citations, followed by journals</w:t>
      </w:r>
      <w:r w:rsidR="00427468">
        <w:t xml:space="preserve"> of </w:t>
      </w:r>
      <w:r w:rsidRPr="001A3D2B">
        <w:t>immunology, cancer, microbiology, pediatrics, cardiovascular system, virology, tropical medicine, statistics,</w:t>
      </w:r>
      <w:r w:rsidR="005853A9">
        <w:t xml:space="preserve"> and </w:t>
      </w:r>
      <w:r w:rsidRPr="001A3D2B">
        <w:t>obstetrics/gynecology. Few citations to or by</w:t>
      </w:r>
      <w:r w:rsidR="003A1917">
        <w:t xml:space="preserve"> the </w:t>
      </w:r>
      <w:r w:rsidRPr="001A3D2B">
        <w:t>Journal were found in</w:t>
      </w:r>
      <w:r w:rsidR="003A1917">
        <w:t xml:space="preserve"> the </w:t>
      </w:r>
      <w:r w:rsidRPr="001A3D2B">
        <w:t>allergy, anesthesiology, dermatology, geriatrics, hematology, nephrology, orthopedics, otorhinolaryngology, radiology, rheumatology,</w:t>
      </w:r>
      <w:r w:rsidR="005853A9">
        <w:t xml:space="preserve"> and </w:t>
      </w:r>
      <w:r w:rsidRPr="001A3D2B">
        <w:t>urology journals. Examination</w:t>
      </w:r>
      <w:r w:rsidR="00427468">
        <w:t xml:space="preserve"> of </w:t>
      </w:r>
      <w:r w:rsidRPr="001A3D2B">
        <w:t>citations between clinical</w:t>
      </w:r>
      <w:r w:rsidR="005853A9">
        <w:t xml:space="preserve"> and </w:t>
      </w:r>
      <w:r w:rsidRPr="001A3D2B">
        <w:t>epidemiologic literature suggests that adequate interchange between clinicians</w:t>
      </w:r>
      <w:r w:rsidR="005853A9">
        <w:t xml:space="preserve"> and </w:t>
      </w:r>
      <w:r w:rsidRPr="001A3D2B">
        <w:t>epidemiologists is occurring. Citation analysis results for</w:t>
      </w:r>
      <w:r w:rsidR="003A1917">
        <w:t xml:space="preserve"> the </w:t>
      </w:r>
      <w:r w:rsidRPr="001A3D2B">
        <w:t>American Journal</w:t>
      </w:r>
      <w:r w:rsidR="00427468">
        <w:t xml:space="preserve"> of </w:t>
      </w:r>
      <w:r w:rsidRPr="001A3D2B">
        <w:t xml:space="preserve">Epidemiology were significantly correlated (p less than 0.05) with those from a </w:t>
      </w:r>
      <w:r w:rsidR="00D5664A">
        <w:t>MEDLINE</w:t>
      </w:r>
      <w:r w:rsidRPr="001A3D2B">
        <w:t xml:space="preserve"> search on epidemiologic methods used in research in 22 clinical specialties. Despite inherent limitations, citation analysis appears to be a useful tool for examining interactions</w:t>
      </w:r>
      <w:r w:rsidR="005853A9">
        <w:t xml:space="preserve"> and </w:t>
      </w:r>
      <w:r w:rsidRPr="001A3D2B">
        <w:t>trends in epidemiology</w:t>
      </w:r>
      <w:r w:rsidR="005853A9">
        <w:t xml:space="preserve"> and </w:t>
      </w:r>
      <w:r w:rsidRPr="001A3D2B">
        <w:t>for identifying fields which may be ripe for new epidemiologic studies.</w:t>
      </w:r>
    </w:p>
    <w:p w:rsidR="00AB6E3D" w:rsidRDefault="00AB6E3D" w:rsidP="00AB6E3D">
      <w:pPr>
        <w:pStyle w:val="a3"/>
        <w:rPr>
          <w:kern w:val="0"/>
        </w:rPr>
      </w:pPr>
      <w:r>
        <w:rPr>
          <w:rFonts w:hint="eastAsia"/>
          <w:kern w:val="0"/>
        </w:rPr>
        <w:lastRenderedPageBreak/>
        <w:t xml:space="preserve">? </w:t>
      </w:r>
      <w:r>
        <w:rPr>
          <w:kern w:val="0"/>
        </w:rPr>
        <w:t xml:space="preserve">Savitz, D.A. (1999), What can we infer from author order in epidemiology? </w:t>
      </w:r>
      <w:r>
        <w:rPr>
          <w:i/>
          <w:iCs/>
          <w:kern w:val="0"/>
        </w:rPr>
        <w:t>American Journal</w:t>
      </w:r>
      <w:r w:rsidR="00427468">
        <w:rPr>
          <w:i/>
          <w:iCs/>
          <w:kern w:val="0"/>
        </w:rPr>
        <w:t xml:space="preserve"> of </w:t>
      </w:r>
      <w:r>
        <w:rPr>
          <w:i/>
          <w:iCs/>
          <w:kern w:val="0"/>
        </w:rPr>
        <w:t>Epidemiology</w:t>
      </w:r>
      <w:r>
        <w:rPr>
          <w:kern w:val="0"/>
        </w:rPr>
        <w:t xml:space="preserve">, </w:t>
      </w:r>
      <w:r>
        <w:rPr>
          <w:b/>
          <w:bCs/>
          <w:kern w:val="0"/>
        </w:rPr>
        <w:t>149</w:t>
      </w:r>
      <w:r>
        <w:rPr>
          <w:kern w:val="0"/>
        </w:rPr>
        <w:t xml:space="preserve"> (5), 401-403</w:t>
      </w:r>
      <w:r>
        <w:rPr>
          <w:rFonts w:hint="eastAsia"/>
          <w:kern w:val="0"/>
        </w:rPr>
        <w:t>.</w:t>
      </w:r>
    </w:p>
    <w:p w:rsidR="00AB6E3D" w:rsidRDefault="00AB6E3D" w:rsidP="00AB6E3D">
      <w:pPr>
        <w:pStyle w:val="a3"/>
        <w:rPr>
          <w:kern w:val="0"/>
        </w:rPr>
      </w:pPr>
      <w:r>
        <w:rPr>
          <w:rFonts w:hint="eastAsia"/>
          <w:kern w:val="0"/>
        </w:rPr>
        <w:t xml:space="preserve">Full Text: </w:t>
      </w:r>
      <w:hyperlink r:id="rId452" w:history="1">
        <w:r w:rsidRPr="00917667">
          <w:rPr>
            <w:rStyle w:val="a5"/>
            <w:kern w:val="0"/>
          </w:rPr>
          <w:t>1999\Ame J Epi149, 401.pdf</w:t>
        </w:r>
      </w:hyperlink>
    </w:p>
    <w:p w:rsidR="00AB6E3D" w:rsidRDefault="00AB6E3D" w:rsidP="00AB6E3D">
      <w:pPr>
        <w:pStyle w:val="a3"/>
        <w:rPr>
          <w:kern w:val="0"/>
        </w:rPr>
      </w:pPr>
      <w:r>
        <w:rPr>
          <w:kern w:val="0"/>
        </w:rPr>
        <w:t>Keywords: Author, Author Order, Contributors, Responsibility</w:t>
      </w:r>
    </w:p>
    <w:p w:rsidR="00647808" w:rsidRDefault="00647808" w:rsidP="00647808">
      <w:pPr>
        <w:pStyle w:val="a3"/>
        <w:rPr>
          <w:kern w:val="0"/>
        </w:rPr>
      </w:pPr>
      <w:r>
        <w:rPr>
          <w:rFonts w:hint="eastAsia"/>
          <w:kern w:val="0"/>
        </w:rPr>
        <w:t xml:space="preserve">? </w:t>
      </w:r>
      <w:r>
        <w:rPr>
          <w:kern w:val="0"/>
        </w:rPr>
        <w:t xml:space="preserve">Baughman, A.L. (1999), Re: </w:t>
      </w:r>
      <w:r w:rsidR="00B5188C">
        <w:rPr>
          <w:kern w:val="0"/>
        </w:rPr>
        <w:t>“</w:t>
      </w:r>
      <w:r>
        <w:rPr>
          <w:kern w:val="0"/>
        </w:rPr>
        <w:t>Invited commentary: What can we infer from author order in epidemiology?</w:t>
      </w:r>
      <w:r w:rsidR="00B5188C">
        <w:rPr>
          <w:kern w:val="0"/>
        </w:rPr>
        <w:t>”</w:t>
      </w:r>
      <w:r>
        <w:rPr>
          <w:kern w:val="0"/>
        </w:rPr>
        <w:t xml:space="preserve">. </w:t>
      </w:r>
      <w:r>
        <w:rPr>
          <w:i/>
          <w:iCs/>
          <w:kern w:val="0"/>
        </w:rPr>
        <w:t>American Journal</w:t>
      </w:r>
      <w:r w:rsidR="00427468">
        <w:rPr>
          <w:i/>
          <w:iCs/>
          <w:kern w:val="0"/>
        </w:rPr>
        <w:t xml:space="preserve"> of </w:t>
      </w:r>
      <w:r>
        <w:rPr>
          <w:i/>
          <w:iCs/>
          <w:kern w:val="0"/>
        </w:rPr>
        <w:t>Epidemiology</w:t>
      </w:r>
      <w:r>
        <w:rPr>
          <w:kern w:val="0"/>
        </w:rPr>
        <w:t xml:space="preserve">, </w:t>
      </w:r>
      <w:r>
        <w:rPr>
          <w:b/>
          <w:bCs/>
          <w:kern w:val="0"/>
        </w:rPr>
        <w:t>150</w:t>
      </w:r>
      <w:r>
        <w:rPr>
          <w:kern w:val="0"/>
        </w:rPr>
        <w:t xml:space="preserve"> (6), 663</w:t>
      </w:r>
      <w:r>
        <w:rPr>
          <w:rFonts w:hint="eastAsia"/>
          <w:kern w:val="0"/>
        </w:rPr>
        <w:t>.</w:t>
      </w:r>
    </w:p>
    <w:p w:rsidR="00647808" w:rsidRDefault="00647808" w:rsidP="00647808">
      <w:pPr>
        <w:pStyle w:val="a3"/>
        <w:rPr>
          <w:kern w:val="0"/>
        </w:rPr>
      </w:pPr>
      <w:r>
        <w:rPr>
          <w:rFonts w:hint="eastAsia"/>
          <w:kern w:val="0"/>
        </w:rPr>
        <w:t xml:space="preserve">Full Text: </w:t>
      </w:r>
      <w:hyperlink r:id="rId453" w:history="1">
        <w:r w:rsidRPr="00BB6003">
          <w:rPr>
            <w:rStyle w:val="a5"/>
            <w:kern w:val="0"/>
          </w:rPr>
          <w:t>1999\Ame J Epi150, 663.pdf</w:t>
        </w:r>
      </w:hyperlink>
    </w:p>
    <w:p w:rsidR="00647808" w:rsidRDefault="00647808" w:rsidP="00647808">
      <w:pPr>
        <w:pStyle w:val="a3"/>
        <w:rPr>
          <w:kern w:val="0"/>
        </w:rPr>
      </w:pPr>
      <w:r>
        <w:rPr>
          <w:kern w:val="0"/>
        </w:rPr>
        <w:t>Keywords: Author, Author Order</w:t>
      </w:r>
    </w:p>
    <w:p w:rsidR="003474F2" w:rsidRPr="001A3D2B" w:rsidRDefault="003474F2" w:rsidP="003474F2">
      <w:pPr>
        <w:pStyle w:val="a3"/>
      </w:pPr>
      <w:r w:rsidRPr="001A3D2B">
        <w:t>? Hasbrouck, L.M., Taliano, J.M., Hirshon, J.M.</w:t>
      </w:r>
      <w:r w:rsidR="005853A9">
        <w:t xml:space="preserve"> and </w:t>
      </w:r>
      <w:r w:rsidRPr="001A3D2B">
        <w:t>Dannenberg, A.L. (2001), Trends in communication between epidemiology</w:t>
      </w:r>
      <w:r w:rsidR="005853A9">
        <w:t xml:space="preserve"> and </w:t>
      </w:r>
      <w:r w:rsidRPr="001A3D2B">
        <w:t xml:space="preserve">clinical medicine, 1983-1999: A citation analysis. </w:t>
      </w:r>
      <w:r w:rsidRPr="001A3D2B">
        <w:rPr>
          <w:i/>
          <w:iCs/>
        </w:rPr>
        <w:t>American Journal</w:t>
      </w:r>
      <w:r w:rsidR="00427468">
        <w:rPr>
          <w:i/>
          <w:iCs/>
        </w:rPr>
        <w:t xml:space="preserve"> of </w:t>
      </w:r>
      <w:r w:rsidRPr="001A3D2B">
        <w:rPr>
          <w:i/>
          <w:iCs/>
        </w:rPr>
        <w:t>Epidemiology</w:t>
      </w:r>
      <w:r w:rsidRPr="001A3D2B">
        <w:t xml:space="preserve">, </w:t>
      </w:r>
      <w:r w:rsidRPr="001A3D2B">
        <w:rPr>
          <w:b/>
          <w:bCs/>
        </w:rPr>
        <w:t>153</w:t>
      </w:r>
      <w:r w:rsidRPr="001A3D2B">
        <w:t xml:space="preserve"> (11S), 766.</w:t>
      </w:r>
    </w:p>
    <w:p w:rsidR="003474F2" w:rsidRPr="001A3D2B" w:rsidRDefault="003474F2" w:rsidP="003474F2">
      <w:pPr>
        <w:pStyle w:val="a3"/>
      </w:pPr>
      <w:r w:rsidRPr="001A3D2B">
        <w:t>Notes: TTopic</w:t>
      </w:r>
    </w:p>
    <w:p w:rsidR="003474F2" w:rsidRPr="001A3D2B" w:rsidRDefault="003474F2" w:rsidP="003474F2">
      <w:pPr>
        <w:pStyle w:val="a3"/>
      </w:pPr>
      <w:r w:rsidRPr="001A3D2B">
        <w:t>Hasbrouck, L.M., Taliano, J., Hirshon, J.M.</w:t>
      </w:r>
      <w:r w:rsidR="005853A9">
        <w:t xml:space="preserve"> and </w:t>
      </w:r>
      <w:r w:rsidRPr="001A3D2B">
        <w:t>Dannenberg, A.L. (2003), Use</w:t>
      </w:r>
      <w:r w:rsidR="00427468">
        <w:t xml:space="preserve"> of </w:t>
      </w:r>
      <w:r w:rsidRPr="001A3D2B">
        <w:t>epidemiology in clinical medical publications, 1983-1999: A citation analysis.</w:t>
      </w:r>
      <w:r w:rsidRPr="001A3D2B">
        <w:rPr>
          <w:i/>
          <w:iCs/>
        </w:rPr>
        <w:t xml:space="preserve"> American Journal</w:t>
      </w:r>
      <w:r w:rsidR="00427468">
        <w:rPr>
          <w:i/>
          <w:iCs/>
        </w:rPr>
        <w:t xml:space="preserve"> of </w:t>
      </w:r>
      <w:r w:rsidRPr="001A3D2B">
        <w:rPr>
          <w:i/>
          <w:iCs/>
        </w:rPr>
        <w:t>Epidemiology</w:t>
      </w:r>
      <w:r w:rsidRPr="001A3D2B">
        <w:t xml:space="preserve">, </w:t>
      </w:r>
      <w:r w:rsidRPr="001A3D2B">
        <w:rPr>
          <w:b/>
          <w:bCs/>
        </w:rPr>
        <w:t>157</w:t>
      </w:r>
      <w:r w:rsidRPr="001A3D2B">
        <w:t xml:space="preserve"> (5), 399-408.</w:t>
      </w:r>
    </w:p>
    <w:p w:rsidR="003474F2" w:rsidRPr="001A3D2B" w:rsidRDefault="003474F2" w:rsidP="003474F2">
      <w:pPr>
        <w:pStyle w:val="a3"/>
      </w:pPr>
      <w:r w:rsidRPr="001A3D2B">
        <w:t xml:space="preserve">Full Text: </w:t>
      </w:r>
      <w:hyperlink r:id="rId454" w:history="1">
        <w:r w:rsidRPr="001A3D2B">
          <w:rPr>
            <w:rStyle w:val="a5"/>
          </w:rPr>
          <w:t>2003\Ame J Epi157, 399.pdf</w:t>
        </w:r>
      </w:hyperlink>
    </w:p>
    <w:p w:rsidR="003474F2" w:rsidRPr="001A3D2B" w:rsidRDefault="003474F2" w:rsidP="003474F2">
      <w:pPr>
        <w:pStyle w:val="a3"/>
      </w:pPr>
      <w:r w:rsidRPr="001A3D2B">
        <w:t>Abstract: Epidemiologists respond to</w:t>
      </w:r>
      <w:r w:rsidR="003A1917">
        <w:t xml:space="preserve"> the </w:t>
      </w:r>
      <w:r w:rsidRPr="001A3D2B">
        <w:t>information needs</w:t>
      </w:r>
      <w:r w:rsidR="00427468">
        <w:t xml:space="preserve"> of </w:t>
      </w:r>
      <w:r w:rsidRPr="001A3D2B">
        <w:t>health professionals. Although medical professionals are routine users</w:t>
      </w:r>
      <w:r w:rsidR="00427468">
        <w:t xml:space="preserve"> of </w:t>
      </w:r>
      <w:r w:rsidRPr="001A3D2B">
        <w:t>epidemiologic information, use within medical specialties varies remarkably. To explore</w:t>
      </w:r>
      <w:r w:rsidR="003A1917">
        <w:t xml:space="preserve"> the </w:t>
      </w:r>
      <w:r w:rsidRPr="001A3D2B">
        <w:t>variation in use</w:t>
      </w:r>
      <w:r w:rsidR="00427468">
        <w:t xml:space="preserve"> of </w:t>
      </w:r>
      <w:r w:rsidRPr="001A3D2B">
        <w:t>epidemiologic information across clinical medical specialties,</w:t>
      </w:r>
      <w:r w:rsidR="003A1917">
        <w:t xml:space="preserve"> the </w:t>
      </w:r>
      <w:r w:rsidRPr="001A3D2B">
        <w:t>authors examined</w:t>
      </w:r>
      <w:r w:rsidR="003A1917">
        <w:t xml:space="preserve"> the </w:t>
      </w:r>
      <w:r w:rsidRPr="001A3D2B">
        <w:t>scientific literature by analyzing patterns</w:t>
      </w:r>
      <w:r w:rsidR="00427468">
        <w:t xml:space="preserve"> of </w:t>
      </w:r>
      <w:r w:rsidRPr="001A3D2B">
        <w:t>citation</w:t>
      </w:r>
      <w:r w:rsidR="00427468">
        <w:t xml:space="preserve"> of </w:t>
      </w:r>
      <w:r w:rsidRPr="001A3D2B">
        <w:t>specific journal articles to</w:t>
      </w:r>
      <w:r w:rsidR="005853A9">
        <w:t xml:space="preserve"> and </w:t>
      </w:r>
      <w:r w:rsidRPr="001A3D2B">
        <w:t>by</w:t>
      </w:r>
      <w:r w:rsidR="003A1917">
        <w:t xml:space="preserve"> the </w:t>
      </w:r>
      <w:r w:rsidRPr="001A3D2B">
        <w:t>American Journal</w:t>
      </w:r>
      <w:r w:rsidR="00427468">
        <w:t xml:space="preserve"> of </w:t>
      </w:r>
      <w:r w:rsidRPr="001A3D2B">
        <w:t>Epidemiology (AJE). A total</w:t>
      </w:r>
      <w:r w:rsidR="00427468">
        <w:t xml:space="preserve"> of </w:t>
      </w:r>
      <w:r w:rsidRPr="001A3D2B">
        <w:t>178,396 journal citations to</w:t>
      </w:r>
      <w:r w:rsidR="005853A9">
        <w:t xml:space="preserve"> and </w:t>
      </w:r>
      <w:r w:rsidRPr="001A3D2B">
        <w:t>126,478 citations by AJE were made from 1983 through 1999; citations were classified according to</w:t>
      </w:r>
      <w:r w:rsidR="003A1917">
        <w:t xml:space="preserve"> the </w:t>
      </w:r>
      <w:r w:rsidRPr="001A3D2B">
        <w:t>subject category</w:t>
      </w:r>
      <w:r w:rsidR="00427468">
        <w:t xml:space="preserve"> of </w:t>
      </w:r>
      <w:r w:rsidR="003A1917">
        <w:t xml:space="preserve">the </w:t>
      </w:r>
      <w:r w:rsidRPr="001A3D2B">
        <w:t>referencing or referenced journal. Clinical medical journals accounted for 50.6%</w:t>
      </w:r>
      <w:r w:rsidR="00427468">
        <w:t xml:space="preserve"> of </w:t>
      </w:r>
      <w:r w:rsidRPr="001A3D2B">
        <w:t>all citations combined (both referenced to</w:t>
      </w:r>
      <w:r w:rsidR="005853A9">
        <w:t xml:space="preserve"> and </w:t>
      </w:r>
      <w:r w:rsidRPr="001A3D2B">
        <w:t>referenced by AJE); general/internal medicine (17.9%), cancer (10.4%),</w:t>
      </w:r>
      <w:r w:rsidR="005853A9">
        <w:t xml:space="preserve"> and </w:t>
      </w:r>
      <w:r w:rsidRPr="001A3D2B">
        <w:t>cardiovascular (4.9%) journals had</w:t>
      </w:r>
      <w:r w:rsidR="003A1917">
        <w:t xml:space="preserve"> the </w:t>
      </w:r>
      <w:r w:rsidRPr="001A3D2B">
        <w:t>highest number</w:t>
      </w:r>
      <w:r w:rsidR="00427468">
        <w:t xml:space="preserve"> of </w:t>
      </w:r>
      <w:r w:rsidRPr="001A3D2B">
        <w:t>citations. Few citations to</w:t>
      </w:r>
      <w:r w:rsidR="005853A9">
        <w:t xml:space="preserve"> and </w:t>
      </w:r>
      <w:r w:rsidRPr="001A3D2B">
        <w:t>by AJE were found in publications specializing in dermatology, gastroenterology, orthopedics, allergy, anesthesiology, surgery, rheumatology,</w:t>
      </w:r>
      <w:r w:rsidR="005853A9">
        <w:t xml:space="preserve"> and </w:t>
      </w:r>
      <w:r w:rsidRPr="001A3D2B">
        <w:t>other areas. Trend patterns</w:t>
      </w:r>
      <w:r w:rsidR="00427468">
        <w:t xml:space="preserve"> of </w:t>
      </w:r>
      <w:r w:rsidRPr="001A3D2B">
        <w:t>citations between clinical</w:t>
      </w:r>
      <w:r w:rsidR="005853A9">
        <w:t xml:space="preserve"> and </w:t>
      </w:r>
      <w:r w:rsidRPr="001A3D2B">
        <w:t>epidemiologic literature indicated that citations to</w:t>
      </w:r>
      <w:r w:rsidR="003A1917">
        <w:t xml:space="preserve"> the </w:t>
      </w:r>
      <w:r w:rsidRPr="001A3D2B">
        <w:t>fields</w:t>
      </w:r>
      <w:r w:rsidR="00427468">
        <w:t xml:space="preserve"> of </w:t>
      </w:r>
      <w:r w:rsidRPr="001A3D2B">
        <w:t>cardiovascular disease</w:t>
      </w:r>
      <w:r w:rsidR="005853A9">
        <w:t xml:space="preserve"> and </w:t>
      </w:r>
      <w:r w:rsidRPr="001A3D2B">
        <w:t>cancer are increasing, whereas citations regarding pediatrics have remained stable. This analysis suggests an increasing interchange</w:t>
      </w:r>
      <w:r w:rsidR="00427468">
        <w:t xml:space="preserve"> of </w:t>
      </w:r>
      <w:r w:rsidRPr="001A3D2B">
        <w:t>information between epidemiologists</w:t>
      </w:r>
      <w:r w:rsidR="005853A9">
        <w:t xml:space="preserve"> and </w:t>
      </w:r>
      <w:r w:rsidRPr="001A3D2B">
        <w:t>clinicians specializing in certain fields, uncovering potential research opportunities for epidemiologists.</w:t>
      </w:r>
    </w:p>
    <w:p w:rsidR="003474F2" w:rsidRPr="001A3D2B" w:rsidRDefault="003474F2" w:rsidP="003474F2">
      <w:pPr>
        <w:pStyle w:val="a3"/>
      </w:pPr>
      <w:r w:rsidRPr="001A3D2B">
        <w:t xml:space="preserve">Keywords: Allergy, Analysis, Anesthesiology, Cancer, Cardiovascular, Cardiovascular Disease, Citation, Citation Analysis, Citations, Clinical, Epidemiology, Gastroenterology, Health, Health Professionals, Information, Journal, Journal Articles, Journal Citations, Journals, Literature, Medical, Medical Journals, Medicine, </w:t>
      </w:r>
      <w:r w:rsidRPr="001A3D2B">
        <w:lastRenderedPageBreak/>
        <w:t>Needs, Pediatrics, Potential, Publications, Referencing, Research, Rheumatology, Scientific Literature, Surgery</w:t>
      </w:r>
    </w:p>
    <w:p w:rsidR="003474F2" w:rsidRPr="001A3D2B" w:rsidRDefault="003474F2" w:rsidP="003474F2">
      <w:pPr>
        <w:pStyle w:val="a3"/>
      </w:pPr>
      <w:r w:rsidRPr="001A3D2B">
        <w:t>Notes: JJournal</w:t>
      </w:r>
    </w:p>
    <w:p w:rsidR="003474F2" w:rsidRPr="001A3D2B" w:rsidRDefault="003474F2" w:rsidP="003474F2">
      <w:pPr>
        <w:pStyle w:val="a3"/>
        <w:rPr>
          <w:rStyle w:val="a4"/>
        </w:rPr>
      </w:pPr>
      <w:r w:rsidRPr="001A3D2B">
        <w:t>? Oakes, J.M. (2005), An analysis</w:t>
      </w:r>
      <w:r w:rsidR="00427468">
        <w:t xml:space="preserve"> of </w:t>
      </w:r>
      <w:r w:rsidRPr="001A3D2B">
        <w:rPr>
          <w:i/>
          <w:iCs/>
        </w:rPr>
        <w:t>American Journal</w:t>
      </w:r>
      <w:r w:rsidR="00427468">
        <w:rPr>
          <w:i/>
          <w:iCs/>
        </w:rPr>
        <w:t xml:space="preserve"> of </w:t>
      </w:r>
      <w:r w:rsidRPr="001A3D2B">
        <w:rPr>
          <w:i/>
          <w:iCs/>
        </w:rPr>
        <w:t>Epidemiology</w:t>
      </w:r>
      <w:r w:rsidRPr="001A3D2B">
        <w:rPr>
          <w:rStyle w:val="a4"/>
        </w:rPr>
        <w:t xml:space="preserve"> citations with special reference to statistics</w:t>
      </w:r>
      <w:r w:rsidR="005853A9">
        <w:rPr>
          <w:rStyle w:val="a4"/>
        </w:rPr>
        <w:t xml:space="preserve"> and </w:t>
      </w:r>
      <w:r w:rsidRPr="001A3D2B">
        <w:rPr>
          <w:rStyle w:val="a4"/>
        </w:rPr>
        <w:t xml:space="preserve">social science. </w:t>
      </w:r>
      <w:r w:rsidRPr="001A3D2B">
        <w:rPr>
          <w:i/>
          <w:iCs/>
        </w:rPr>
        <w:t>American Journal</w:t>
      </w:r>
      <w:r w:rsidR="00427468">
        <w:rPr>
          <w:i/>
          <w:iCs/>
        </w:rPr>
        <w:t xml:space="preserve"> of </w:t>
      </w:r>
      <w:r w:rsidRPr="001A3D2B">
        <w:rPr>
          <w:i/>
          <w:iCs/>
        </w:rPr>
        <w:t>Epidemiology</w:t>
      </w:r>
      <w:r w:rsidRPr="001A3D2B">
        <w:rPr>
          <w:rStyle w:val="a4"/>
        </w:rPr>
        <w:t xml:space="preserve">, </w:t>
      </w:r>
      <w:r w:rsidRPr="001A3D2B">
        <w:rPr>
          <w:b/>
          <w:bCs/>
        </w:rPr>
        <w:t>161</w:t>
      </w:r>
      <w:r w:rsidRPr="001A3D2B">
        <w:rPr>
          <w:rStyle w:val="a4"/>
        </w:rPr>
        <w:t xml:space="preserve"> (5), 494-500.</w:t>
      </w:r>
    </w:p>
    <w:p w:rsidR="003474F2" w:rsidRPr="001A3D2B" w:rsidRDefault="003474F2" w:rsidP="003474F2">
      <w:pPr>
        <w:pStyle w:val="a3"/>
      </w:pPr>
      <w:r w:rsidRPr="001A3D2B">
        <w:t xml:space="preserve">Full Text: </w:t>
      </w:r>
      <w:hyperlink r:id="rId455" w:history="1">
        <w:r w:rsidRPr="001A3D2B">
          <w:rPr>
            <w:rStyle w:val="a5"/>
          </w:rPr>
          <w:t>2005\Ame J Epi161, 494.pdf</w:t>
        </w:r>
      </w:hyperlink>
    </w:p>
    <w:p w:rsidR="003474F2" w:rsidRPr="001A3D2B" w:rsidRDefault="003474F2" w:rsidP="003474F2">
      <w:pPr>
        <w:pStyle w:val="a3"/>
      </w:pPr>
      <w:r w:rsidRPr="001A3D2B">
        <w:t>Abstract: In an effort to inform</w:t>
      </w:r>
      <w:r w:rsidR="003A1917">
        <w:t xml:space="preserve"> the </w:t>
      </w:r>
      <w:r w:rsidRPr="001A3D2B">
        <w:t>ongoing discussion about</w:t>
      </w:r>
      <w:r w:rsidR="003A1917">
        <w:t xml:space="preserve"> the </w:t>
      </w:r>
      <w:r w:rsidRPr="001A3D2B">
        <w:t>purpose, purview, theoretical orientation,</w:t>
      </w:r>
      <w:r w:rsidR="005853A9">
        <w:t xml:space="preserve"> and </w:t>
      </w:r>
      <w:r w:rsidRPr="001A3D2B">
        <w:t>viability</w:t>
      </w:r>
      <w:r w:rsidR="00427468">
        <w:t xml:space="preserve"> of </w:t>
      </w:r>
      <w:r w:rsidRPr="001A3D2B">
        <w:t>epidemiology, this paper considers</w:t>
      </w:r>
      <w:r w:rsidR="003A1917">
        <w:t xml:space="preserve"> the </w:t>
      </w:r>
      <w:r w:rsidRPr="001A3D2B">
        <w:t>contemporary epistemological foundations</w:t>
      </w:r>
      <w:r w:rsidR="00427468">
        <w:t xml:space="preserve"> of </w:t>
      </w:r>
      <w:r w:rsidR="003A1917">
        <w:t xml:space="preserve">the </w:t>
      </w:r>
      <w:r w:rsidRPr="001A3D2B">
        <w:t>discipline by analyzing article citations. Two principal questions are</w:t>
      </w:r>
      <w:r w:rsidR="003A1917">
        <w:t xml:space="preserve"> the </w:t>
      </w:r>
      <w:r w:rsidRPr="001A3D2B">
        <w:t>following: 1) What research do American Journal</w:t>
      </w:r>
      <w:r w:rsidR="00427468">
        <w:t xml:space="preserve"> of </w:t>
      </w:r>
      <w:r w:rsidRPr="001A3D2B">
        <w:t>Epidemiology (AJE) authors rely on to support, inform,</w:t>
      </w:r>
      <w:r w:rsidR="005853A9">
        <w:t xml:space="preserve"> and </w:t>
      </w:r>
      <w:r w:rsidRPr="001A3D2B">
        <w:t>frame their investigations?</w:t>
      </w:r>
      <w:r w:rsidR="005853A9">
        <w:t xml:space="preserve"> and </w:t>
      </w:r>
      <w:r w:rsidRPr="001A3D2B">
        <w:t>2) to what extent do such authors use social scientific</w:t>
      </w:r>
      <w:r w:rsidR="005853A9">
        <w:t xml:space="preserve"> and </w:t>
      </w:r>
      <w:r w:rsidRPr="001A3D2B">
        <w:t>statistical citations?</w:t>
      </w:r>
      <w:r w:rsidR="003A1917">
        <w:t xml:space="preserve"> the </w:t>
      </w:r>
      <w:r w:rsidRPr="001A3D2B">
        <w:t>data used appear to be superior to those used in previous efforts because they contain complete citations for all articles published, along with complete within-article citations, for all AJE articles published from January 1981 to December 2002</w:t>
      </w:r>
      <w:r w:rsidR="00A37C1D">
        <w:t>. The</w:t>
      </w:r>
      <w:r w:rsidR="003A1917">
        <w:t xml:space="preserve"> </w:t>
      </w:r>
      <w:r w:rsidRPr="001A3D2B">
        <w:t>most frequent AJE citations are statistically oriented works. About 9%</w:t>
      </w:r>
      <w:r w:rsidR="00427468">
        <w:t xml:space="preserve"> of </w:t>
      </w:r>
      <w:r w:rsidRPr="001A3D2B">
        <w:t>citations are to AJE articles, 15% are to a larger set</w:t>
      </w:r>
      <w:r w:rsidR="00427468">
        <w:t xml:space="preserve"> of </w:t>
      </w:r>
      <w:r w:rsidRPr="001A3D2B">
        <w:t>eight epidemiologic journals, 15% are to a select set</w:t>
      </w:r>
      <w:r w:rsidR="00427468">
        <w:t xml:space="preserve"> of </w:t>
      </w:r>
      <w:r w:rsidRPr="001A3D2B">
        <w:t>eight medical journals, 3% are to (bio) statistics journals,</w:t>
      </w:r>
      <w:r w:rsidR="005853A9">
        <w:t xml:space="preserve"> and </w:t>
      </w:r>
      <w:r w:rsidRPr="001A3D2B">
        <w:t>just 0.2% are to social science journals. Trend analysis reveals little change during</w:t>
      </w:r>
      <w:r w:rsidR="003A1917">
        <w:t xml:space="preserve"> the </w:t>
      </w:r>
      <w:r w:rsidRPr="001A3D2B">
        <w:t>22-year study period</w:t>
      </w:r>
      <w:r w:rsidR="00A37C1D">
        <w:t>. The</w:t>
      </w:r>
      <w:r w:rsidR="003A1917">
        <w:t xml:space="preserve"> </w:t>
      </w:r>
      <w:r w:rsidRPr="001A3D2B">
        <w:t>principal implication is that AJE authors are overlooking a vast literature that could inform their understanding</w:t>
      </w:r>
      <w:r w:rsidR="00427468">
        <w:t xml:space="preserve"> of </w:t>
      </w:r>
      <w:r w:rsidRPr="001A3D2B">
        <w:t>how exposures emerge</w:t>
      </w:r>
      <w:r w:rsidR="005853A9">
        <w:t xml:space="preserve"> and </w:t>
      </w:r>
      <w:r w:rsidRPr="001A3D2B">
        <w:t>are maintained.</w:t>
      </w:r>
    </w:p>
    <w:p w:rsidR="003474F2" w:rsidRPr="001A3D2B" w:rsidRDefault="003474F2" w:rsidP="003474F2">
      <w:pPr>
        <w:pStyle w:val="a3"/>
      </w:pPr>
      <w:r w:rsidRPr="001A3D2B">
        <w:t>Keywords: Analysis, Citations, Data, Epidemiology, Exposures, Investigations, Journal, Journals, Literature, Medical, Medical Journals, Purpose, Research, Science, Science Journals, Social, Statistics, Support, Trend Analysis, Understanding, Viability</w:t>
      </w:r>
    </w:p>
    <w:p w:rsidR="003474F2" w:rsidRPr="001A3D2B" w:rsidRDefault="003474F2" w:rsidP="003474F2">
      <w:pPr>
        <w:pStyle w:val="a3"/>
      </w:pPr>
      <w:r w:rsidRPr="001A3D2B">
        <w:t>Notes: TTopic</w:t>
      </w:r>
    </w:p>
    <w:p w:rsidR="003474F2" w:rsidRPr="001A3D2B" w:rsidRDefault="003474F2" w:rsidP="003474F2">
      <w:pPr>
        <w:pStyle w:val="a3"/>
      </w:pPr>
      <w:r w:rsidRPr="001A3D2B">
        <w:t>? Navas-Acien, A., Sharrett, A.R., Silbergeld, E.K., Schwartz, B.S., Nachman, K.E., Burke, T.A.</w:t>
      </w:r>
      <w:r w:rsidR="005853A9">
        <w:t xml:space="preserve"> and </w:t>
      </w:r>
      <w:r w:rsidRPr="001A3D2B">
        <w:t>Guallar, E. (2005), Arsenic exposure</w:t>
      </w:r>
      <w:r w:rsidR="005853A9">
        <w:t xml:space="preserve"> and </w:t>
      </w:r>
      <w:r w:rsidRPr="001A3D2B">
        <w:t>cardiovascular disease: A systematic review</w:t>
      </w:r>
      <w:r w:rsidR="00427468">
        <w:t xml:space="preserve"> of </w:t>
      </w:r>
      <w:r w:rsidR="003A1917">
        <w:t xml:space="preserve">the </w:t>
      </w:r>
      <w:r w:rsidRPr="001A3D2B">
        <w:t xml:space="preserve">epidemiologic evidence. </w:t>
      </w:r>
      <w:r w:rsidRPr="001A3D2B">
        <w:rPr>
          <w:i/>
        </w:rPr>
        <w:t>American</w:t>
      </w:r>
      <w:r w:rsidRPr="001A3D2B">
        <w:rPr>
          <w:i/>
          <w:iCs/>
        </w:rPr>
        <w:t xml:space="preserve"> Journal</w:t>
      </w:r>
      <w:r w:rsidR="00427468">
        <w:rPr>
          <w:i/>
          <w:iCs/>
        </w:rPr>
        <w:t xml:space="preserve"> of </w:t>
      </w:r>
      <w:r w:rsidRPr="001A3D2B">
        <w:rPr>
          <w:i/>
          <w:iCs/>
        </w:rPr>
        <w:t>Epidemiology</w:t>
      </w:r>
      <w:r w:rsidRPr="001A3D2B">
        <w:t xml:space="preserve">, </w:t>
      </w:r>
      <w:r w:rsidRPr="001A3D2B">
        <w:rPr>
          <w:b/>
          <w:bCs/>
        </w:rPr>
        <w:t>162</w:t>
      </w:r>
      <w:r w:rsidRPr="001A3D2B">
        <w:t xml:space="preserve"> (5), 1-13.</w:t>
      </w:r>
    </w:p>
    <w:p w:rsidR="003474F2" w:rsidRPr="001A3D2B" w:rsidRDefault="003474F2" w:rsidP="003474F2">
      <w:pPr>
        <w:pStyle w:val="a3"/>
      </w:pPr>
      <w:r w:rsidRPr="001A3D2B">
        <w:t xml:space="preserve">Full Text: </w:t>
      </w:r>
      <w:hyperlink r:id="rId456" w:history="1">
        <w:r w:rsidRPr="001A3D2B">
          <w:rPr>
            <w:rStyle w:val="a5"/>
          </w:rPr>
          <w:t>2005\Ame J Epi162, 1.pdf</w:t>
        </w:r>
      </w:hyperlink>
    </w:p>
    <w:p w:rsidR="003474F2" w:rsidRPr="001A3D2B" w:rsidRDefault="003474F2" w:rsidP="003474F2">
      <w:pPr>
        <w:pStyle w:val="a3"/>
        <w:rPr>
          <w:szCs w:val="18"/>
        </w:rPr>
      </w:pPr>
      <w:r w:rsidRPr="001A3D2B">
        <w:t>Abstract:</w:t>
      </w:r>
      <w:r w:rsidRPr="001A3D2B">
        <w:rPr>
          <w:szCs w:val="18"/>
        </w:rPr>
        <w:t xml:space="preserve"> Arsenic exposure is a likely cause</w:t>
      </w:r>
      <w:r w:rsidR="00427468">
        <w:rPr>
          <w:szCs w:val="18"/>
        </w:rPr>
        <w:t xml:space="preserve"> of </w:t>
      </w:r>
      <w:r w:rsidRPr="001A3D2B">
        <w:rPr>
          <w:szCs w:val="18"/>
        </w:rPr>
        <w:t>blackfoot disease</w:t>
      </w:r>
      <w:r w:rsidR="005853A9">
        <w:rPr>
          <w:szCs w:val="18"/>
        </w:rPr>
        <w:t xml:space="preserve"> and </w:t>
      </w:r>
      <w:r w:rsidRPr="001A3D2B">
        <w:rPr>
          <w:szCs w:val="18"/>
        </w:rPr>
        <w:t>a potential risk factor for atherosclerosis</w:t>
      </w:r>
      <w:r w:rsidR="00A37C1D">
        <w:rPr>
          <w:szCs w:val="18"/>
        </w:rPr>
        <w:t>. The</w:t>
      </w:r>
      <w:r w:rsidR="003A1917">
        <w:rPr>
          <w:szCs w:val="18"/>
        </w:rPr>
        <w:t xml:space="preserve"> </w:t>
      </w:r>
      <w:r w:rsidRPr="001A3D2B">
        <w:rPr>
          <w:szCs w:val="18"/>
        </w:rPr>
        <w:t>authors performed a systematic review</w:t>
      </w:r>
      <w:r w:rsidR="00427468">
        <w:rPr>
          <w:szCs w:val="18"/>
        </w:rPr>
        <w:t xml:space="preserve"> of </w:t>
      </w:r>
      <w:r w:rsidR="003A1917">
        <w:rPr>
          <w:szCs w:val="18"/>
        </w:rPr>
        <w:t xml:space="preserve">the </w:t>
      </w:r>
      <w:r w:rsidRPr="001A3D2B">
        <w:rPr>
          <w:szCs w:val="18"/>
        </w:rPr>
        <w:t>epidemiologic evidence on</w:t>
      </w:r>
      <w:r w:rsidR="003A1917">
        <w:rPr>
          <w:szCs w:val="18"/>
        </w:rPr>
        <w:t xml:space="preserve"> the </w:t>
      </w:r>
      <w:r w:rsidRPr="001A3D2B">
        <w:rPr>
          <w:szCs w:val="18"/>
        </w:rPr>
        <w:t>association between arsenic</w:t>
      </w:r>
      <w:r w:rsidR="005853A9">
        <w:rPr>
          <w:szCs w:val="18"/>
        </w:rPr>
        <w:t xml:space="preserve"> and </w:t>
      </w:r>
      <w:r w:rsidRPr="001A3D2B">
        <w:rPr>
          <w:szCs w:val="18"/>
        </w:rPr>
        <w:t>cardiovascular outcomes</w:t>
      </w:r>
      <w:r w:rsidR="00A37C1D">
        <w:rPr>
          <w:szCs w:val="18"/>
        </w:rPr>
        <w:t>. The</w:t>
      </w:r>
      <w:r w:rsidR="003A1917">
        <w:rPr>
          <w:szCs w:val="18"/>
        </w:rPr>
        <w:t xml:space="preserve"> </w:t>
      </w:r>
      <w:r w:rsidRPr="001A3D2B">
        <w:rPr>
          <w:szCs w:val="18"/>
        </w:rPr>
        <w:t xml:space="preserve">search period was January 1966 through April 2005. Thirteen studies conducted in general populations (eight in high-arsenic areas in </w:t>
      </w:r>
      <w:smartTag w:uri="urn:schemas-microsoft-com:office:smarttags" w:element="place">
        <w:smartTag w:uri="urn:schemas-microsoft-com:office:smarttags" w:element="country-region">
          <w:r w:rsidRPr="001A3D2B">
            <w:rPr>
              <w:szCs w:val="18"/>
            </w:rPr>
            <w:t>Taiwan</w:t>
          </w:r>
        </w:smartTag>
      </w:smartTag>
      <w:r w:rsidRPr="001A3D2B">
        <w:rPr>
          <w:szCs w:val="18"/>
        </w:rPr>
        <w:t>, five in other countries)</w:t>
      </w:r>
      <w:r w:rsidR="005853A9">
        <w:rPr>
          <w:szCs w:val="18"/>
        </w:rPr>
        <w:t xml:space="preserve"> and </w:t>
      </w:r>
      <w:r w:rsidRPr="001A3D2B">
        <w:rPr>
          <w:szCs w:val="18"/>
        </w:rPr>
        <w:t xml:space="preserve">16 studies conducted in occupational populations were identified. Exposure was assessed ecologically in most studies. In </w:t>
      </w:r>
      <w:smartTag w:uri="urn:schemas-microsoft-com:office:smarttags" w:element="place">
        <w:smartTag w:uri="urn:schemas-microsoft-com:office:smarttags" w:element="country-region">
          <w:r w:rsidRPr="001A3D2B">
            <w:rPr>
              <w:szCs w:val="18"/>
            </w:rPr>
            <w:t>Taiwan</w:t>
          </w:r>
        </w:smartTag>
      </w:smartTag>
      <w:r w:rsidRPr="001A3D2B">
        <w:rPr>
          <w:szCs w:val="18"/>
        </w:rPr>
        <w:t xml:space="preserve">, relative risks </w:t>
      </w:r>
      <w:r w:rsidRPr="001A3D2B">
        <w:rPr>
          <w:szCs w:val="18"/>
        </w:rPr>
        <w:lastRenderedPageBreak/>
        <w:t>comparing</w:t>
      </w:r>
      <w:r w:rsidR="003A1917">
        <w:rPr>
          <w:szCs w:val="18"/>
        </w:rPr>
        <w:t xml:space="preserve"> the </w:t>
      </w:r>
      <w:r w:rsidRPr="001A3D2B">
        <w:rPr>
          <w:szCs w:val="18"/>
        </w:rPr>
        <w:t>highest arsenic exposure category with</w:t>
      </w:r>
      <w:r w:rsidR="003A1917">
        <w:rPr>
          <w:szCs w:val="18"/>
        </w:rPr>
        <w:t xml:space="preserve"> the </w:t>
      </w:r>
      <w:r w:rsidRPr="001A3D2B">
        <w:rPr>
          <w:szCs w:val="18"/>
        </w:rPr>
        <w:t>lowest ranged from 1.59 to 4.90 for coronary disease, from 1.19 to 2.69 for stroke,</w:t>
      </w:r>
      <w:r w:rsidR="005853A9">
        <w:rPr>
          <w:szCs w:val="18"/>
        </w:rPr>
        <w:t xml:space="preserve"> and </w:t>
      </w:r>
      <w:r w:rsidRPr="001A3D2B">
        <w:rPr>
          <w:szCs w:val="18"/>
        </w:rPr>
        <w:t>from 1.66 to 4.28 for peripheral arterial disease. In other general populations, relative risks ranged from 0.84 to 1.54 for coronary disease, from 0.69 to 1.53 for stroke,</w:t>
      </w:r>
      <w:r w:rsidR="005853A9">
        <w:rPr>
          <w:szCs w:val="18"/>
        </w:rPr>
        <w:t xml:space="preserve"> and </w:t>
      </w:r>
      <w:r w:rsidRPr="001A3D2B">
        <w:rPr>
          <w:szCs w:val="18"/>
        </w:rPr>
        <w:t>from 0.61 to 1.58 for peripheral arterial disease. In occupational populations, relative risks ranged from 0.40 to 2.14 for coronary disease mortality</w:t>
      </w:r>
      <w:r w:rsidR="005853A9">
        <w:rPr>
          <w:szCs w:val="18"/>
        </w:rPr>
        <w:t xml:space="preserve"> and </w:t>
      </w:r>
      <w:r w:rsidRPr="001A3D2B">
        <w:rPr>
          <w:szCs w:val="18"/>
        </w:rPr>
        <w:t>from 0.30 to 1.33 for stroke mortality. Methodologic limitations, however, limited interpretation</w:t>
      </w:r>
      <w:r w:rsidR="00427468">
        <w:rPr>
          <w:szCs w:val="18"/>
        </w:rPr>
        <w:t xml:space="preserve"> of </w:t>
      </w:r>
      <w:r w:rsidR="003A1917">
        <w:rPr>
          <w:szCs w:val="18"/>
        </w:rPr>
        <w:t xml:space="preserve">the </w:t>
      </w:r>
      <w:r w:rsidRPr="001A3D2B">
        <w:rPr>
          <w:szCs w:val="18"/>
        </w:rPr>
        <w:t>moderate-to-strong associations between high arsenic exposure</w:t>
      </w:r>
      <w:r w:rsidR="005853A9">
        <w:rPr>
          <w:szCs w:val="18"/>
        </w:rPr>
        <w:t xml:space="preserve"> and </w:t>
      </w:r>
      <w:r w:rsidRPr="001A3D2B">
        <w:rPr>
          <w:szCs w:val="18"/>
        </w:rPr>
        <w:t xml:space="preserve">cardiovascular outcomes in </w:t>
      </w:r>
      <w:smartTag w:uri="urn:schemas-microsoft-com:office:smarttags" w:element="place">
        <w:smartTag w:uri="urn:schemas-microsoft-com:office:smarttags" w:element="country-region">
          <w:r w:rsidRPr="001A3D2B">
            <w:rPr>
              <w:szCs w:val="18"/>
            </w:rPr>
            <w:t>Taiwan</w:t>
          </w:r>
        </w:smartTag>
      </w:smartTag>
      <w:r w:rsidRPr="001A3D2B">
        <w:rPr>
          <w:szCs w:val="18"/>
        </w:rPr>
        <w:t>. In other populations or in occupational settings,</w:t>
      </w:r>
      <w:r w:rsidR="003A1917">
        <w:rPr>
          <w:szCs w:val="18"/>
        </w:rPr>
        <w:t xml:space="preserve"> the </w:t>
      </w:r>
      <w:r w:rsidRPr="001A3D2B">
        <w:rPr>
          <w:szCs w:val="18"/>
        </w:rPr>
        <w:t>evidence was inconclusive. Because</w:t>
      </w:r>
      <w:r w:rsidR="00427468">
        <w:rPr>
          <w:szCs w:val="18"/>
        </w:rPr>
        <w:t xml:space="preserve"> of </w:t>
      </w:r>
      <w:r w:rsidR="003A1917">
        <w:rPr>
          <w:szCs w:val="18"/>
        </w:rPr>
        <w:t xml:space="preserve">the </w:t>
      </w:r>
      <w:r w:rsidRPr="001A3D2B">
        <w:rPr>
          <w:szCs w:val="18"/>
        </w:rPr>
        <w:t>high prevalence</w:t>
      </w:r>
      <w:r w:rsidR="00427468">
        <w:rPr>
          <w:szCs w:val="18"/>
        </w:rPr>
        <w:t xml:space="preserve"> of </w:t>
      </w:r>
      <w:r w:rsidRPr="001A3D2B">
        <w:rPr>
          <w:szCs w:val="18"/>
        </w:rPr>
        <w:t>arsenic exposure, carefully performed studies</w:t>
      </w:r>
      <w:r w:rsidR="00427468">
        <w:rPr>
          <w:szCs w:val="18"/>
        </w:rPr>
        <w:t xml:space="preserve"> of </w:t>
      </w:r>
      <w:r w:rsidRPr="001A3D2B">
        <w:rPr>
          <w:szCs w:val="18"/>
        </w:rPr>
        <w:t>arsenic</w:t>
      </w:r>
      <w:r w:rsidR="005853A9">
        <w:rPr>
          <w:szCs w:val="18"/>
        </w:rPr>
        <w:t xml:space="preserve"> and </w:t>
      </w:r>
      <w:r w:rsidRPr="001A3D2B">
        <w:rPr>
          <w:szCs w:val="18"/>
        </w:rPr>
        <w:t>cardiovascular outcomes should be a research priority.</w:t>
      </w:r>
    </w:p>
    <w:p w:rsidR="003474F2" w:rsidRPr="001A3D2B" w:rsidRDefault="003474F2" w:rsidP="003474F2">
      <w:pPr>
        <w:pStyle w:val="a3"/>
      </w:pPr>
      <w:r w:rsidRPr="001A3D2B">
        <w:t xml:space="preserve">Keywords: </w:t>
      </w:r>
      <w:r w:rsidRPr="001A3D2B">
        <w:rPr>
          <w:szCs w:val="18"/>
        </w:rPr>
        <w:t>Arsenic, Arteriosclerosis, Cardiovascular Diseases, Review</w:t>
      </w:r>
    </w:p>
    <w:p w:rsidR="003474F2" w:rsidRPr="001A3D2B" w:rsidRDefault="003474F2" w:rsidP="003474F2">
      <w:pPr>
        <w:pStyle w:val="a3"/>
      </w:pPr>
      <w:r w:rsidRPr="001A3D2B">
        <w:t>? Morton, L.M., Cahill, J.</w:t>
      </w:r>
      <w:r w:rsidR="005853A9">
        <w:t xml:space="preserve"> and </w:t>
      </w:r>
      <w:r w:rsidRPr="001A3D2B">
        <w:t>Hartge, P. (2006), Reporting participation in epidemiologic studies: A survey</w:t>
      </w:r>
      <w:r w:rsidR="00427468">
        <w:t xml:space="preserve"> of </w:t>
      </w:r>
      <w:r w:rsidRPr="001A3D2B">
        <w:t xml:space="preserve">practice. </w:t>
      </w:r>
      <w:r w:rsidRPr="001A3D2B">
        <w:rPr>
          <w:i/>
        </w:rPr>
        <w:t>American Journal</w:t>
      </w:r>
      <w:r w:rsidR="00427468">
        <w:rPr>
          <w:i/>
        </w:rPr>
        <w:t xml:space="preserve"> of </w:t>
      </w:r>
      <w:r w:rsidRPr="001A3D2B">
        <w:rPr>
          <w:i/>
        </w:rPr>
        <w:t>Epidemiology</w:t>
      </w:r>
      <w:r w:rsidRPr="001A3D2B">
        <w:t xml:space="preserve">, </w:t>
      </w:r>
      <w:r w:rsidRPr="001A3D2B">
        <w:rPr>
          <w:b/>
        </w:rPr>
        <w:t>163</w:t>
      </w:r>
      <w:r w:rsidRPr="001A3D2B">
        <w:t xml:space="preserve"> (3), 197-203.</w:t>
      </w:r>
    </w:p>
    <w:p w:rsidR="003474F2" w:rsidRPr="001A3D2B" w:rsidRDefault="003474F2" w:rsidP="003474F2">
      <w:pPr>
        <w:pStyle w:val="a3"/>
      </w:pPr>
      <w:r w:rsidRPr="001A3D2B">
        <w:t xml:space="preserve">Full Text: </w:t>
      </w:r>
      <w:hyperlink r:id="rId457" w:history="1">
        <w:r w:rsidRPr="001A3D2B">
          <w:rPr>
            <w:rStyle w:val="a5"/>
          </w:rPr>
          <w:t>2006\Ame J Epi163, 197.pdf</w:t>
        </w:r>
      </w:hyperlink>
    </w:p>
    <w:p w:rsidR="003474F2" w:rsidRPr="001A3D2B" w:rsidRDefault="003474F2" w:rsidP="003474F2">
      <w:pPr>
        <w:pStyle w:val="a3"/>
      </w:pPr>
      <w:r w:rsidRPr="001A3D2B">
        <w:t>Abstract: Self-selection bias may threaten</w:t>
      </w:r>
      <w:r w:rsidR="003A1917">
        <w:t xml:space="preserve"> the </w:t>
      </w:r>
      <w:r w:rsidRPr="001A3D2B">
        <w:t>internal validity</w:t>
      </w:r>
      <w:r w:rsidR="00427468">
        <w:t xml:space="preserve"> of </w:t>
      </w:r>
      <w:r w:rsidRPr="001A3D2B">
        <w:t>epidemiologic studies. Studies with a low level</w:t>
      </w:r>
      <w:r w:rsidR="00427468">
        <w:t xml:space="preserve"> of </w:t>
      </w:r>
      <w:r w:rsidRPr="001A3D2B">
        <w:t>participation are particularly vulnerable to this bias,</w:t>
      </w:r>
      <w:r w:rsidR="005853A9">
        <w:t xml:space="preserve"> and </w:t>
      </w:r>
      <w:r w:rsidRPr="001A3D2B">
        <w:t>commentators note apparent declines in participation in recent years</w:t>
      </w:r>
      <w:r w:rsidR="00A37C1D">
        <w:t>. The</w:t>
      </w:r>
      <w:r w:rsidR="003A1917">
        <w:t xml:space="preserve"> </w:t>
      </w:r>
      <w:r w:rsidRPr="001A3D2B">
        <w:t>authors therefore conducted a retrospective review to survey</w:t>
      </w:r>
      <w:r w:rsidR="003A1917">
        <w:t xml:space="preserve"> the </w:t>
      </w:r>
      <w:r w:rsidRPr="001A3D2B">
        <w:t>practice</w:t>
      </w:r>
      <w:r w:rsidR="00427468">
        <w:t xml:space="preserve"> of </w:t>
      </w:r>
      <w:r w:rsidRPr="001A3D2B">
        <w:t>reporting participation in epidemiologic studies, to assess changes in participation over time,</w:t>
      </w:r>
      <w:r w:rsidR="005853A9">
        <w:t xml:space="preserve"> and </w:t>
      </w:r>
      <w:r w:rsidRPr="001A3D2B">
        <w:t>to evaluate</w:t>
      </w:r>
      <w:r w:rsidR="003A1917">
        <w:t xml:space="preserve"> the </w:t>
      </w:r>
      <w:r w:rsidRPr="001A3D2B">
        <w:t>impact</w:t>
      </w:r>
      <w:r w:rsidR="00427468">
        <w:t xml:space="preserve"> of </w:t>
      </w:r>
      <w:r w:rsidRPr="001A3D2B">
        <w:t>increased biologic specimen collection on participation</w:t>
      </w:r>
      <w:r w:rsidR="00A37C1D">
        <w:t>. The</w:t>
      </w:r>
      <w:r w:rsidR="003A1917">
        <w:t xml:space="preserve"> </w:t>
      </w:r>
      <w:r w:rsidRPr="001A3D2B">
        <w:t>authors abstracted selected study characteristics from 355 peer-reviewed, original, analytic-epidemiology research articles published from January 1 to April 30, 2003, in 10 high-impact general epidemiology, public health,</w:t>
      </w:r>
      <w:r w:rsidR="005853A9">
        <w:t xml:space="preserve"> and </w:t>
      </w:r>
      <w:r w:rsidRPr="001A3D2B">
        <w:t>medical journals. At least some information regarding participation was provided in 59%</w:t>
      </w:r>
      <w:r w:rsidR="00427468">
        <w:t xml:space="preserve"> of </w:t>
      </w:r>
      <w:r w:rsidRPr="001A3D2B">
        <w:t>cross-sectional studies, 44%</w:t>
      </w:r>
      <w:r w:rsidR="00427468">
        <w:t xml:space="preserve"> of </w:t>
      </w:r>
      <w:r w:rsidRPr="001A3D2B">
        <w:t>case-control studies,</w:t>
      </w:r>
      <w:r w:rsidR="005853A9">
        <w:t xml:space="preserve"> and </w:t>
      </w:r>
      <w:r w:rsidRPr="001A3D2B">
        <w:t>32%</w:t>
      </w:r>
      <w:r w:rsidR="00427468">
        <w:t xml:space="preserve"> of </w:t>
      </w:r>
      <w:r w:rsidRPr="001A3D2B">
        <w:t>cohort studies. Participation appears to have declined during 1970-2003 for all study designs. Participation declined most steeply for controls in population-based, case-control studies (-1.86% per year, 95% confidence interval: -3.03, -0.69), with steeper declines after 1990. Proportionately more studies collected biologic specimens over time, particularly for cohort</w:t>
      </w:r>
      <w:r w:rsidR="005853A9">
        <w:t xml:space="preserve"> and </w:t>
      </w:r>
      <w:r w:rsidRPr="001A3D2B">
        <w:t>case-control study designs (p(trend) = 0.06</w:t>
      </w:r>
      <w:r w:rsidR="005853A9">
        <w:t xml:space="preserve"> and </w:t>
      </w:r>
      <w:r w:rsidRPr="001A3D2B">
        <w:t>0.03, respectively), yet participation was reported separately for</w:t>
      </w:r>
      <w:r w:rsidR="003A1917">
        <w:t xml:space="preserve"> the </w:t>
      </w:r>
      <w:r w:rsidRPr="001A3D2B">
        <w:t>biologic specimen study component in only 27%</w:t>
      </w:r>
      <w:r w:rsidR="00427468">
        <w:t xml:space="preserve"> of </w:t>
      </w:r>
      <w:r w:rsidRPr="001A3D2B">
        <w:t>studies</w:t>
      </w:r>
      <w:r w:rsidR="00A37C1D">
        <w:t>. The</w:t>
      </w:r>
      <w:r w:rsidR="003A1917">
        <w:t xml:space="preserve"> </w:t>
      </w:r>
      <w:r w:rsidRPr="001A3D2B">
        <w:t>authors conclude that epidemiologists need to address declining participation</w:t>
      </w:r>
      <w:r w:rsidR="005853A9">
        <w:t xml:space="preserve"> and </w:t>
      </w:r>
      <w:r w:rsidRPr="001A3D2B">
        <w:t>to report participation consistently, including for biologic specimen collection.</w:t>
      </w:r>
    </w:p>
    <w:p w:rsidR="003474F2" w:rsidRPr="001A3D2B" w:rsidRDefault="003474F2" w:rsidP="003474F2">
      <w:pPr>
        <w:pStyle w:val="a3"/>
      </w:pPr>
      <w:r w:rsidRPr="001A3D2B">
        <w:t xml:space="preserve">Keywords: Bias, Case-Control, Case-Control Studies, Case-Control Study, Changes, Characteristics, Cohort, Collection, Confidence, Cross-Sectional Studies, Epidemiology, General, Health, Impact, Information, Interval, Journals, Medical, </w:t>
      </w:r>
      <w:r w:rsidRPr="001A3D2B">
        <w:lastRenderedPageBreak/>
        <w:t>Medical Journals, Participation, Peer-Reviewed, Population-Based, Practice, Public, Public Health, Reporting, Research, Review, Survey, Validity</w:t>
      </w:r>
    </w:p>
    <w:p w:rsidR="009942EC" w:rsidRDefault="009942EC" w:rsidP="009942EC">
      <w:pPr>
        <w:pStyle w:val="a3"/>
        <w:rPr>
          <w:kern w:val="0"/>
        </w:rPr>
      </w:pPr>
      <w:r>
        <w:rPr>
          <w:rFonts w:hint="eastAsia"/>
          <w:kern w:val="0"/>
        </w:rPr>
        <w:t xml:space="preserve">? </w:t>
      </w:r>
      <w:r>
        <w:rPr>
          <w:kern w:val="0"/>
        </w:rPr>
        <w:t>Bao, W., Song, F.F., Li, X.Y., Rong, S.A., Yang, W., Wang, D., Xu, J.Q., Fu, J.A., Zhao, Y.T.</w:t>
      </w:r>
      <w:r w:rsidR="005853A9">
        <w:rPr>
          <w:kern w:val="0"/>
        </w:rPr>
        <w:t xml:space="preserve"> and </w:t>
      </w:r>
      <w:r>
        <w:rPr>
          <w:kern w:val="0"/>
        </w:rPr>
        <w:t>Liu, L.G. (2010), Association between heme oxygenase-1 gene promoter polymorphisms</w:t>
      </w:r>
      <w:r w:rsidR="005853A9">
        <w:rPr>
          <w:kern w:val="0"/>
        </w:rPr>
        <w:t xml:space="preserve"> and </w:t>
      </w:r>
      <w:r>
        <w:rPr>
          <w:kern w:val="0"/>
        </w:rPr>
        <w:t>type 2 diabetes mellitus: A HuGE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Epidemiology</w:t>
      </w:r>
      <w:r>
        <w:rPr>
          <w:kern w:val="0"/>
        </w:rPr>
        <w:t xml:space="preserve">, </w:t>
      </w:r>
      <w:r>
        <w:rPr>
          <w:b/>
          <w:bCs/>
          <w:kern w:val="0"/>
        </w:rPr>
        <w:t>172</w:t>
      </w:r>
      <w:r>
        <w:rPr>
          <w:kern w:val="0"/>
        </w:rPr>
        <w:t xml:space="preserve"> (6), 631-636.</w:t>
      </w:r>
    </w:p>
    <w:p w:rsidR="009942EC" w:rsidRPr="001A3D2B" w:rsidRDefault="009942EC" w:rsidP="009942EC">
      <w:pPr>
        <w:pStyle w:val="a3"/>
      </w:pPr>
      <w:r w:rsidRPr="001A3D2B">
        <w:t xml:space="preserve">Full Text: </w:t>
      </w:r>
      <w:hyperlink r:id="rId458" w:history="1">
        <w:r w:rsidRPr="009942EC">
          <w:rPr>
            <w:rStyle w:val="a5"/>
          </w:rPr>
          <w:t>2010\Ame J Epi172, 631.pdf</w:t>
        </w:r>
      </w:hyperlink>
    </w:p>
    <w:p w:rsidR="009942EC" w:rsidRDefault="009942EC" w:rsidP="009942EC">
      <w:pPr>
        <w:pStyle w:val="a3"/>
        <w:rPr>
          <w:kern w:val="0"/>
        </w:rPr>
      </w:pPr>
      <w:r>
        <w:rPr>
          <w:kern w:val="0"/>
        </w:rPr>
        <w:t>Abstract: Several studies have recently focused on</w:t>
      </w:r>
      <w:r w:rsidR="003A1917">
        <w:rPr>
          <w:kern w:val="0"/>
        </w:rPr>
        <w:t xml:space="preserve"> the </w:t>
      </w:r>
      <w:r>
        <w:rPr>
          <w:kern w:val="0"/>
        </w:rPr>
        <w:t>association between heme oxygenase-1 (HMOX1) gene promoter polymorphisms</w:t>
      </w:r>
      <w:r w:rsidR="005853A9">
        <w:rPr>
          <w:kern w:val="0"/>
        </w:rPr>
        <w:t xml:space="preserve"> and </w:t>
      </w:r>
      <w:r>
        <w:rPr>
          <w:kern w:val="0"/>
        </w:rPr>
        <w:t>susceptibility to type 2 diabetes mellitus; however, results have been conflicting. This systematic Human Genome Epidemiology review</w:t>
      </w:r>
      <w:r w:rsidR="005853A9">
        <w:rPr>
          <w:kern w:val="0"/>
        </w:rPr>
        <w:t xml:space="preserve"> and </w:t>
      </w:r>
      <w:r>
        <w:rPr>
          <w:kern w:val="0"/>
        </w:rPr>
        <w:t>meta-analysis was undertaken to integrate previous findings</w:t>
      </w:r>
      <w:r w:rsidR="005853A9">
        <w:rPr>
          <w:kern w:val="0"/>
        </w:rPr>
        <w:t xml:space="preserve"> and </w:t>
      </w:r>
      <w:r>
        <w:rPr>
          <w:kern w:val="0"/>
        </w:rPr>
        <w:t>summarize</w:t>
      </w:r>
      <w:r w:rsidR="003A1917">
        <w:rPr>
          <w:kern w:val="0"/>
        </w:rPr>
        <w:t xml:space="preserve"> the </w:t>
      </w:r>
      <w:r>
        <w:rPr>
          <w:kern w:val="0"/>
        </w:rPr>
        <w:t>effect size</w:t>
      </w:r>
      <w:r w:rsidR="00427468">
        <w:rPr>
          <w:kern w:val="0"/>
        </w:rPr>
        <w:t xml:space="preserve"> of </w:t>
      </w:r>
      <w:r w:rsidR="003A1917">
        <w:rPr>
          <w:kern w:val="0"/>
        </w:rPr>
        <w:t xml:space="preserve">the </w:t>
      </w:r>
      <w:r>
        <w:rPr>
          <w:kern w:val="0"/>
        </w:rPr>
        <w:t>association</w:t>
      </w:r>
      <w:r w:rsidR="00427468">
        <w:rPr>
          <w:kern w:val="0"/>
        </w:rPr>
        <w:t xml:space="preserve"> of </w:t>
      </w:r>
      <w:r>
        <w:rPr>
          <w:kern w:val="0"/>
        </w:rPr>
        <w:t>HMOX1 gene promoter polymorphisms with susceptibility to type 2 diabetes</w:t>
      </w:r>
      <w:r w:rsidR="00A37C1D">
        <w:rPr>
          <w:kern w:val="0"/>
        </w:rPr>
        <w:t>. The</w:t>
      </w:r>
      <w:r w:rsidR="003A1917">
        <w:rPr>
          <w:kern w:val="0"/>
        </w:rPr>
        <w:t xml:space="preserve"> </w:t>
      </w:r>
      <w:r>
        <w:rPr>
          <w:kern w:val="0"/>
        </w:rPr>
        <w:t>authors retrieved all studies matched to search terms from</w:t>
      </w:r>
      <w:r w:rsidR="003A1917">
        <w:rPr>
          <w:kern w:val="0"/>
        </w:rPr>
        <w:t xml:space="preserve"> the </w:t>
      </w:r>
      <w:r w:rsidR="002C12F0">
        <w:rPr>
          <w:kern w:val="0"/>
        </w:rPr>
        <w:t>PUBMED</w:t>
      </w:r>
      <w:r>
        <w:rPr>
          <w:kern w:val="0"/>
        </w:rPr>
        <w:t>/</w:t>
      </w:r>
      <w:r w:rsidR="00D5664A">
        <w:rPr>
          <w:kern w:val="0"/>
        </w:rPr>
        <w:t>MEDLINE</w:t>
      </w:r>
      <w:r>
        <w:rPr>
          <w:kern w:val="0"/>
        </w:rPr>
        <w:t>, EMBASE,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databases that had been published through December 31, 2009</w:t>
      </w:r>
      <w:r w:rsidR="00A37C1D">
        <w:rPr>
          <w:kern w:val="0"/>
        </w:rPr>
        <w:t>. The</w:t>
      </w:r>
      <w:r w:rsidR="003A1917">
        <w:rPr>
          <w:kern w:val="0"/>
        </w:rPr>
        <w:t xml:space="preserve"> </w:t>
      </w:r>
      <w:r>
        <w:rPr>
          <w:kern w:val="0"/>
        </w:rPr>
        <w:t>articles were then checked independently by 2 investigators according to</w:t>
      </w:r>
      <w:r w:rsidR="003A1917">
        <w:rPr>
          <w:kern w:val="0"/>
        </w:rPr>
        <w:t xml:space="preserve"> the </w:t>
      </w:r>
      <w:r>
        <w:rPr>
          <w:kern w:val="0"/>
        </w:rPr>
        <w:t>eligibility</w:t>
      </w:r>
      <w:r w:rsidR="005853A9">
        <w:rPr>
          <w:kern w:val="0"/>
        </w:rPr>
        <w:t xml:space="preserve"> and </w:t>
      </w:r>
      <w:r>
        <w:rPr>
          <w:kern w:val="0"/>
        </w:rPr>
        <w:t>exclusion criteria. For all alleles</w:t>
      </w:r>
      <w:r w:rsidR="005853A9">
        <w:rPr>
          <w:kern w:val="0"/>
        </w:rPr>
        <w:t xml:space="preserve"> and </w:t>
      </w:r>
      <w:r>
        <w:rPr>
          <w:kern w:val="0"/>
        </w:rPr>
        <w:t>genotypes, odds ratios were pooled using either fixed-effects or random-effects models. An increased odds ratio for type 2 diabetes was observed in persons with</w:t>
      </w:r>
      <w:r w:rsidR="003A1917">
        <w:rPr>
          <w:kern w:val="0"/>
        </w:rPr>
        <w:t xml:space="preserve"> the </w:t>
      </w:r>
      <w:r>
        <w:rPr>
          <w:kern w:val="0"/>
        </w:rPr>
        <w:t>(GT)(n) L (long) allele as compared with those with</w:t>
      </w:r>
      <w:r w:rsidR="003A1917">
        <w:rPr>
          <w:kern w:val="0"/>
        </w:rPr>
        <w:t xml:space="preserve"> the </w:t>
      </w:r>
      <w:r>
        <w:rPr>
          <w:kern w:val="0"/>
        </w:rPr>
        <w:t>(GT)(n) S (short) allele (odds ratio = 1.12, 95% confidence interval: 1.02, 1.24; P = 0.02). Furthermore,</w:t>
      </w:r>
      <w:r w:rsidR="003A1917">
        <w:rPr>
          <w:kern w:val="0"/>
        </w:rPr>
        <w:t xml:space="preserve"> the </w:t>
      </w:r>
      <w:r>
        <w:rPr>
          <w:kern w:val="0"/>
        </w:rPr>
        <w:t>diabetes odds ratio for persons with</w:t>
      </w:r>
      <w:r w:rsidR="003A1917">
        <w:rPr>
          <w:kern w:val="0"/>
        </w:rPr>
        <w:t xml:space="preserve"> the </w:t>
      </w:r>
      <w:r>
        <w:rPr>
          <w:kern w:val="0"/>
        </w:rPr>
        <w:t>LL genotype, versus those with</w:t>
      </w:r>
      <w:r w:rsidR="003A1917">
        <w:rPr>
          <w:kern w:val="0"/>
        </w:rPr>
        <w:t xml:space="preserve"> the </w:t>
      </w:r>
      <w:r>
        <w:rPr>
          <w:kern w:val="0"/>
        </w:rPr>
        <w:t>SS genotype, was significantly increased (odds ratio = 1.25, 95% confidence interval: 1.04, 1.50; P = 0.02). Persons carrying longer (GT)(n) repeats in</w:t>
      </w:r>
      <w:r w:rsidR="003A1917">
        <w:rPr>
          <w:kern w:val="0"/>
        </w:rPr>
        <w:t xml:space="preserve"> the </w:t>
      </w:r>
      <w:r>
        <w:rPr>
          <w:kern w:val="0"/>
        </w:rPr>
        <w:t>HMOX1 gene promoter may have a higher risk</w:t>
      </w:r>
      <w:r w:rsidR="00427468">
        <w:rPr>
          <w:kern w:val="0"/>
        </w:rPr>
        <w:t xml:space="preserve"> of </w:t>
      </w:r>
      <w:r>
        <w:rPr>
          <w:kern w:val="0"/>
        </w:rPr>
        <w:t>type 2 diabetes.</w:t>
      </w:r>
    </w:p>
    <w:p w:rsidR="009942EC" w:rsidRDefault="009942EC" w:rsidP="009942EC">
      <w:pPr>
        <w:pStyle w:val="a3"/>
        <w:rPr>
          <w:kern w:val="0"/>
        </w:rPr>
      </w:pPr>
      <w:r>
        <w:rPr>
          <w:kern w:val="0"/>
        </w:rPr>
        <w:t>Keywords: Apoptosis, Authors, Coronary-Artery Disease, Databases, Diabetes, Diabetes Mellitus, Embase, Epidemiology, Genetics, Genome, Heme Oxygenase-1, Human</w:t>
      </w:r>
      <w:r w:rsidR="00D5664A">
        <w:rPr>
          <w:kern w:val="0"/>
        </w:rPr>
        <w:t>, ISI,</w:t>
      </w:r>
      <w:r>
        <w:rPr>
          <w:kern w:val="0"/>
        </w:rPr>
        <w:t xml:space="preserve"> Japanese, Meta-Analysis, Microsatellite Polymorphism, Polymorphism, Polymorphisms, Ratio, Review, Risk, Science, Single Nucleotide, Susceptibility, Systematic, Type 2, Type 2 Diabetes, Type 2 Diabetes Mellitus, </w:t>
      </w:r>
      <w:r w:rsidR="00D5664A">
        <w:rPr>
          <w:kern w:val="0"/>
        </w:rPr>
        <w:t>Web</w:t>
      </w:r>
      <w:r w:rsidR="00427468">
        <w:rPr>
          <w:kern w:val="0"/>
        </w:rPr>
        <w:t xml:space="preserve"> of </w:t>
      </w:r>
      <w:r w:rsidR="00D5664A">
        <w:rPr>
          <w:kern w:val="0"/>
        </w:rPr>
        <w:t>Science</w:t>
      </w:r>
    </w:p>
    <w:p w:rsidR="00463600" w:rsidRDefault="00463600" w:rsidP="00463600">
      <w:pPr>
        <w:pStyle w:val="a3"/>
        <w:rPr>
          <w:kern w:val="0"/>
        </w:rPr>
      </w:pPr>
      <w:r>
        <w:rPr>
          <w:rFonts w:hint="eastAsia"/>
          <w:kern w:val="0"/>
        </w:rPr>
        <w:t xml:space="preserve">? </w:t>
      </w:r>
      <w:r>
        <w:rPr>
          <w:kern w:val="0"/>
        </w:rPr>
        <w:t>Dufault, B.</w:t>
      </w:r>
      <w:r w:rsidR="005853A9">
        <w:rPr>
          <w:kern w:val="0"/>
        </w:rPr>
        <w:t xml:space="preserve"> and </w:t>
      </w:r>
      <w:r>
        <w:rPr>
          <w:kern w:val="0"/>
        </w:rPr>
        <w:t>Klar, N. (2011</w:t>
      </w:r>
      <w:r w:rsidR="00F42EAC">
        <w:rPr>
          <w:kern w:val="0"/>
        </w:rPr>
        <w:t>), The</w:t>
      </w:r>
      <w:r w:rsidR="003A1917">
        <w:rPr>
          <w:kern w:val="0"/>
        </w:rPr>
        <w:t xml:space="preserve"> </w:t>
      </w:r>
      <w:r>
        <w:rPr>
          <w:kern w:val="0"/>
        </w:rPr>
        <w:t>quality</w:t>
      </w:r>
      <w:r w:rsidR="00427468">
        <w:rPr>
          <w:kern w:val="0"/>
        </w:rPr>
        <w:t xml:space="preserve"> of </w:t>
      </w:r>
      <w:r>
        <w:rPr>
          <w:kern w:val="0"/>
        </w:rPr>
        <w:t xml:space="preserve">modern cross-sectional ecologic studies: A bibliometric review. </w:t>
      </w:r>
      <w:r>
        <w:rPr>
          <w:i/>
          <w:iCs/>
          <w:kern w:val="0"/>
        </w:rPr>
        <w:t>American Journal</w:t>
      </w:r>
      <w:r w:rsidR="00427468">
        <w:rPr>
          <w:i/>
          <w:iCs/>
          <w:kern w:val="0"/>
        </w:rPr>
        <w:t xml:space="preserve"> of </w:t>
      </w:r>
      <w:r>
        <w:rPr>
          <w:i/>
          <w:iCs/>
          <w:kern w:val="0"/>
        </w:rPr>
        <w:t>Epidemiology</w:t>
      </w:r>
      <w:r>
        <w:rPr>
          <w:kern w:val="0"/>
        </w:rPr>
        <w:t xml:space="preserve">, </w:t>
      </w:r>
      <w:r>
        <w:rPr>
          <w:b/>
          <w:bCs/>
          <w:kern w:val="0"/>
        </w:rPr>
        <w:t>174</w:t>
      </w:r>
      <w:r>
        <w:rPr>
          <w:kern w:val="0"/>
        </w:rPr>
        <w:t xml:space="preserve"> (10), 1101-1107.</w:t>
      </w:r>
    </w:p>
    <w:p w:rsidR="00463600" w:rsidRPr="001A3D2B" w:rsidRDefault="00463600" w:rsidP="00463600">
      <w:pPr>
        <w:pStyle w:val="a3"/>
      </w:pPr>
      <w:r w:rsidRPr="001A3D2B">
        <w:t xml:space="preserve">Full Text: </w:t>
      </w:r>
      <w:hyperlink r:id="rId459" w:history="1">
        <w:r w:rsidR="0046448A" w:rsidRPr="0046448A">
          <w:rPr>
            <w:rStyle w:val="a5"/>
          </w:rPr>
          <w:t>2011\Ame J Epi174, 1101.pdf</w:t>
        </w:r>
      </w:hyperlink>
    </w:p>
    <w:p w:rsidR="00463600" w:rsidRDefault="00463600" w:rsidP="00463600">
      <w:pPr>
        <w:pStyle w:val="a3"/>
        <w:rPr>
          <w:kern w:val="0"/>
        </w:rPr>
      </w:pPr>
      <w:r>
        <w:rPr>
          <w:kern w:val="0"/>
        </w:rPr>
        <w:t>Abstract:</w:t>
      </w:r>
      <w:r w:rsidR="003A1917">
        <w:rPr>
          <w:kern w:val="0"/>
        </w:rPr>
        <w:t xml:space="preserve"> the </w:t>
      </w:r>
      <w:r>
        <w:rPr>
          <w:kern w:val="0"/>
        </w:rPr>
        <w:t>ecologic study design is routinely used by epidemiologists in spite</w:t>
      </w:r>
      <w:r w:rsidR="00427468">
        <w:rPr>
          <w:kern w:val="0"/>
        </w:rPr>
        <w:t xml:space="preserve"> of </w:t>
      </w:r>
      <w:r>
        <w:rPr>
          <w:kern w:val="0"/>
        </w:rPr>
        <w:t>its limitations. It is presently unknown how well</w:t>
      </w:r>
      <w:r w:rsidR="003A1917">
        <w:rPr>
          <w:kern w:val="0"/>
        </w:rPr>
        <w:t xml:space="preserve"> the </w:t>
      </w:r>
      <w:r>
        <w:rPr>
          <w:kern w:val="0"/>
        </w:rPr>
        <w:t>challenges</w:t>
      </w:r>
      <w:r w:rsidR="00427468">
        <w:rPr>
          <w:kern w:val="0"/>
        </w:rPr>
        <w:t xml:space="preserve"> of </w:t>
      </w:r>
      <w:r w:rsidR="003A1917">
        <w:rPr>
          <w:kern w:val="0"/>
        </w:rPr>
        <w:t xml:space="preserve">the </w:t>
      </w:r>
      <w:r>
        <w:rPr>
          <w:kern w:val="0"/>
        </w:rPr>
        <w:t>design are dealt with in epidemiologic research</w:t>
      </w:r>
      <w:r w:rsidR="00A37C1D">
        <w:rPr>
          <w:kern w:val="0"/>
        </w:rPr>
        <w:t>. The</w:t>
      </w:r>
      <w:r w:rsidR="003A1917">
        <w:rPr>
          <w:kern w:val="0"/>
        </w:rPr>
        <w:t xml:space="preserve"> </w:t>
      </w:r>
      <w:r>
        <w:rPr>
          <w:kern w:val="0"/>
        </w:rPr>
        <w:t>purpose</w:t>
      </w:r>
      <w:r w:rsidR="00427468">
        <w:rPr>
          <w:kern w:val="0"/>
        </w:rPr>
        <w:t xml:space="preserve"> of </w:t>
      </w:r>
      <w:r>
        <w:rPr>
          <w:kern w:val="0"/>
        </w:rPr>
        <w:t>this bibliometric review was to critically evaluate</w:t>
      </w:r>
      <w:r w:rsidR="003A1917">
        <w:rPr>
          <w:kern w:val="0"/>
        </w:rPr>
        <w:t xml:space="preserve"> the </w:t>
      </w:r>
      <w:r>
        <w:rPr>
          <w:kern w:val="0"/>
        </w:rPr>
        <w:t>characteristics, statistical methods,</w:t>
      </w:r>
      <w:r w:rsidR="005853A9">
        <w:rPr>
          <w:kern w:val="0"/>
        </w:rPr>
        <w:t xml:space="preserve"> and </w:t>
      </w:r>
      <w:r>
        <w:rPr>
          <w:kern w:val="0"/>
        </w:rPr>
        <w:t>reporting</w:t>
      </w:r>
      <w:r w:rsidR="00427468">
        <w:rPr>
          <w:kern w:val="0"/>
        </w:rPr>
        <w:t xml:space="preserve"> of </w:t>
      </w:r>
      <w:r>
        <w:rPr>
          <w:kern w:val="0"/>
        </w:rPr>
        <w:t>results</w:t>
      </w:r>
      <w:r w:rsidR="00427468">
        <w:rPr>
          <w:kern w:val="0"/>
        </w:rPr>
        <w:t xml:space="preserve"> of </w:t>
      </w:r>
      <w:r>
        <w:rPr>
          <w:kern w:val="0"/>
        </w:rPr>
        <w:t xml:space="preserve">modern cross-sectional ecologic papers. A search through 6 major epidemiology </w:t>
      </w:r>
      <w:r>
        <w:rPr>
          <w:kern w:val="0"/>
        </w:rPr>
        <w:lastRenderedPageBreak/>
        <w:t>journals identified all cross-sectional ecologic studies published since January 1, 2000. A total</w:t>
      </w:r>
      <w:r w:rsidR="00427468">
        <w:rPr>
          <w:kern w:val="0"/>
        </w:rPr>
        <w:t xml:space="preserve"> of </w:t>
      </w:r>
      <w:r>
        <w:rPr>
          <w:kern w:val="0"/>
        </w:rPr>
        <w:t>125 articles met</w:t>
      </w:r>
      <w:r w:rsidR="003A1917">
        <w:rPr>
          <w:kern w:val="0"/>
        </w:rPr>
        <w:t xml:space="preserve"> the </w:t>
      </w:r>
      <w:r>
        <w:rPr>
          <w:kern w:val="0"/>
        </w:rPr>
        <w:t>inclusion requirements</w:t>
      </w:r>
      <w:r w:rsidR="005853A9">
        <w:rPr>
          <w:kern w:val="0"/>
        </w:rPr>
        <w:t xml:space="preserve"> and </w:t>
      </w:r>
      <w:r>
        <w:rPr>
          <w:kern w:val="0"/>
        </w:rPr>
        <w:t>were assessed via common evaluative criteria. It was found that a considerable number</w:t>
      </w:r>
      <w:r w:rsidR="00427468">
        <w:rPr>
          <w:kern w:val="0"/>
        </w:rPr>
        <w:t xml:space="preserve"> of </w:t>
      </w:r>
      <w:r>
        <w:rPr>
          <w:kern w:val="0"/>
        </w:rPr>
        <w:t>cross-sectional ecologic studies use unreliable methods or contain statistical oversights; most investigators who adjusted their outcomes for age or sex did so improperly (64%), statistical validity was a potential issue for 20%</w:t>
      </w:r>
      <w:r w:rsidR="00427468">
        <w:rPr>
          <w:kern w:val="0"/>
        </w:rPr>
        <w:t xml:space="preserve"> of </w:t>
      </w:r>
      <w:r>
        <w:rPr>
          <w:kern w:val="0"/>
        </w:rPr>
        <w:t>regression models,</w:t>
      </w:r>
      <w:r w:rsidR="005853A9">
        <w:rPr>
          <w:kern w:val="0"/>
        </w:rPr>
        <w:t xml:space="preserve"> and </w:t>
      </w:r>
      <w:r>
        <w:rPr>
          <w:kern w:val="0"/>
        </w:rPr>
        <w:t>simple linear regression was</w:t>
      </w:r>
      <w:r w:rsidR="003A1917">
        <w:rPr>
          <w:kern w:val="0"/>
        </w:rPr>
        <w:t xml:space="preserve"> the </w:t>
      </w:r>
      <w:r>
        <w:rPr>
          <w:kern w:val="0"/>
        </w:rPr>
        <w:t>most common analytic approach (31%). Many authors omitted important information when discussing</w:t>
      </w:r>
      <w:r w:rsidR="003A1917">
        <w:rPr>
          <w:kern w:val="0"/>
        </w:rPr>
        <w:t xml:space="preserve"> the </w:t>
      </w:r>
      <w:r>
        <w:rPr>
          <w:kern w:val="0"/>
        </w:rPr>
        <w:t>ecologic nature</w:t>
      </w:r>
      <w:r w:rsidR="00427468">
        <w:rPr>
          <w:kern w:val="0"/>
        </w:rPr>
        <w:t xml:space="preserve"> of </w:t>
      </w:r>
      <w:r>
        <w:rPr>
          <w:kern w:val="0"/>
        </w:rPr>
        <w:t>their study (31%</w:t>
      </w:r>
      <w:r w:rsidR="00F42EAC">
        <w:rPr>
          <w:kern w:val="0"/>
        </w:rPr>
        <w:t>), The</w:t>
      </w:r>
      <w:r w:rsidR="003A1917">
        <w:rPr>
          <w:kern w:val="0"/>
        </w:rPr>
        <w:t xml:space="preserve"> </w:t>
      </w:r>
      <w:r>
        <w:rPr>
          <w:kern w:val="0"/>
        </w:rPr>
        <w:t>choice</w:t>
      </w:r>
      <w:r w:rsidR="00427468">
        <w:rPr>
          <w:kern w:val="0"/>
        </w:rPr>
        <w:t xml:space="preserve"> of </w:t>
      </w:r>
      <w:r>
        <w:rPr>
          <w:kern w:val="0"/>
        </w:rPr>
        <w:t>study design (58%),</w:t>
      </w:r>
      <w:r w:rsidR="005853A9">
        <w:rPr>
          <w:kern w:val="0"/>
        </w:rPr>
        <w:t xml:space="preserve"> and </w:t>
      </w:r>
      <w:r w:rsidR="003A1917">
        <w:rPr>
          <w:kern w:val="0"/>
        </w:rPr>
        <w:t xml:space="preserve">the </w:t>
      </w:r>
      <w:r>
        <w:rPr>
          <w:kern w:val="0"/>
        </w:rPr>
        <w:t>susceptibility</w:t>
      </w:r>
      <w:r w:rsidR="00427468">
        <w:rPr>
          <w:kern w:val="0"/>
        </w:rPr>
        <w:t xml:space="preserve"> of </w:t>
      </w:r>
      <w:r>
        <w:rPr>
          <w:kern w:val="0"/>
        </w:rPr>
        <w:t>their research to</w:t>
      </w:r>
      <w:r w:rsidR="003A1917">
        <w:rPr>
          <w:kern w:val="0"/>
        </w:rPr>
        <w:t xml:space="preserve"> the </w:t>
      </w:r>
      <w:r>
        <w:rPr>
          <w:kern w:val="0"/>
        </w:rPr>
        <w:t>ecological fallacy (49%)</w:t>
      </w:r>
      <w:r w:rsidR="00A37C1D">
        <w:rPr>
          <w:kern w:val="0"/>
        </w:rPr>
        <w:t>. The</w:t>
      </w:r>
      <w:r>
        <w:rPr>
          <w:kern w:val="0"/>
        </w:rPr>
        <w:t>se results suggest that there is a need for an international set</w:t>
      </w:r>
      <w:r w:rsidR="00427468">
        <w:rPr>
          <w:kern w:val="0"/>
        </w:rPr>
        <w:t xml:space="preserve"> of </w:t>
      </w:r>
      <w:r>
        <w:rPr>
          <w:kern w:val="0"/>
        </w:rPr>
        <w:t>guidelines that standardizes reporting on ecologic studies. Additionally, greater attention should be given to</w:t>
      </w:r>
      <w:r w:rsidR="003A1917">
        <w:rPr>
          <w:kern w:val="0"/>
        </w:rPr>
        <w:t xml:space="preserve"> the </w:t>
      </w:r>
      <w:r>
        <w:rPr>
          <w:kern w:val="0"/>
        </w:rPr>
        <w:t>relevant biostatistical literature.</w:t>
      </w:r>
    </w:p>
    <w:p w:rsidR="00463600" w:rsidRDefault="00463600" w:rsidP="00463600">
      <w:pPr>
        <w:pStyle w:val="a3"/>
        <w:rPr>
          <w:kern w:val="0"/>
        </w:rPr>
      </w:pPr>
      <w:r>
        <w:rPr>
          <w:kern w:val="0"/>
        </w:rPr>
        <w:t>Keywords: Attention, Authors, Bibliometric, Bibliometric Review, Cross-Sectional Studies, Design, Ecological Models, Epidemiologic Methods, Epidemiology, Guidelines, Individuals, Information, Journals, Linear Regression, Literature, Outcomes, Papers, Quality, Regression, Research, Research Design, Review, Sex, Statement, Statistical, Statistical Methods, Susceptibility, Trials, Validity</w:t>
      </w:r>
    </w:p>
    <w:p w:rsidR="00FB1EE7" w:rsidRDefault="00FB1EE7" w:rsidP="00FB1EE7">
      <w:pPr>
        <w:pStyle w:val="a3"/>
        <w:rPr>
          <w:kern w:val="0"/>
        </w:rPr>
      </w:pPr>
      <w:r>
        <w:rPr>
          <w:rFonts w:hint="eastAsia"/>
          <w:kern w:val="0"/>
        </w:rPr>
        <w:t xml:space="preserve">? </w:t>
      </w:r>
      <w:r>
        <w:rPr>
          <w:kern w:val="0"/>
        </w:rPr>
        <w:t>Thacker, S.B., Stroup, D.F.</w:t>
      </w:r>
      <w:r w:rsidR="005853A9">
        <w:rPr>
          <w:kern w:val="0"/>
        </w:rPr>
        <w:t xml:space="preserve"> and </w:t>
      </w:r>
      <w:r>
        <w:rPr>
          <w:kern w:val="0"/>
        </w:rPr>
        <w:t>Sencer, D.J. (2011), Epidemic assistance by</w:t>
      </w:r>
      <w:r w:rsidR="003A1917">
        <w:rPr>
          <w:kern w:val="0"/>
        </w:rPr>
        <w:t xml:space="preserve"> the </w:t>
      </w:r>
      <w:r>
        <w:rPr>
          <w:kern w:val="0"/>
        </w:rPr>
        <w:t>centers for disease control</w:t>
      </w:r>
      <w:r w:rsidR="005853A9">
        <w:rPr>
          <w:kern w:val="0"/>
        </w:rPr>
        <w:t xml:space="preserve"> and </w:t>
      </w:r>
      <w:r>
        <w:rPr>
          <w:kern w:val="0"/>
        </w:rPr>
        <w:t>prevention: Role</w:t>
      </w:r>
      <w:r w:rsidR="00427468">
        <w:rPr>
          <w:kern w:val="0"/>
        </w:rPr>
        <w:t xml:space="preserve"> of </w:t>
      </w:r>
      <w:r w:rsidR="003A1917">
        <w:rPr>
          <w:kern w:val="0"/>
        </w:rPr>
        <w:t xml:space="preserve">the </w:t>
      </w:r>
      <w:r>
        <w:rPr>
          <w:kern w:val="0"/>
        </w:rPr>
        <w:t xml:space="preserve">epidemic intelligence service, 1946-2005. </w:t>
      </w:r>
      <w:r>
        <w:rPr>
          <w:i/>
          <w:iCs/>
          <w:kern w:val="0"/>
        </w:rPr>
        <w:t>American Journal</w:t>
      </w:r>
      <w:r w:rsidR="00427468">
        <w:rPr>
          <w:i/>
          <w:iCs/>
          <w:kern w:val="0"/>
        </w:rPr>
        <w:t xml:space="preserve"> of </w:t>
      </w:r>
      <w:r>
        <w:rPr>
          <w:i/>
          <w:iCs/>
          <w:kern w:val="0"/>
        </w:rPr>
        <w:t>Epidemiology</w:t>
      </w:r>
      <w:r>
        <w:rPr>
          <w:kern w:val="0"/>
        </w:rPr>
        <w:t xml:space="preserve">, </w:t>
      </w:r>
      <w:r>
        <w:rPr>
          <w:b/>
          <w:bCs/>
          <w:kern w:val="0"/>
        </w:rPr>
        <w:t>174</w:t>
      </w:r>
      <w:r>
        <w:rPr>
          <w:kern w:val="0"/>
        </w:rPr>
        <w:t>, S4-S15.</w:t>
      </w:r>
    </w:p>
    <w:p w:rsidR="00FB1EE7" w:rsidRPr="001A3D2B" w:rsidRDefault="00FB1EE7" w:rsidP="00FB1EE7">
      <w:pPr>
        <w:pStyle w:val="a3"/>
      </w:pPr>
      <w:r w:rsidRPr="001A3D2B">
        <w:t xml:space="preserve">Full Text: </w:t>
      </w:r>
      <w:hyperlink r:id="rId460" w:history="1">
        <w:r w:rsidRPr="00A9369D">
          <w:rPr>
            <w:rStyle w:val="a5"/>
          </w:rPr>
          <w:t>2011\Ame J Epi174, S4.pdf</w:t>
        </w:r>
      </w:hyperlink>
    </w:p>
    <w:p w:rsidR="00FB1EE7" w:rsidRDefault="00FB1EE7" w:rsidP="00FB1EE7">
      <w:pPr>
        <w:pStyle w:val="a3"/>
        <w:rPr>
          <w:kern w:val="0"/>
        </w:rPr>
      </w:pPr>
      <w:r>
        <w:rPr>
          <w:kern w:val="0"/>
        </w:rPr>
        <w:t>Abstract: Since 1946,</w:t>
      </w:r>
      <w:r w:rsidR="003A1917">
        <w:rPr>
          <w:kern w:val="0"/>
        </w:rPr>
        <w:t xml:space="preserve"> the </w:t>
      </w:r>
      <w:r>
        <w:rPr>
          <w:kern w:val="0"/>
        </w:rPr>
        <w:t>Centers for Disease Control</w:t>
      </w:r>
      <w:r w:rsidR="005853A9">
        <w:rPr>
          <w:kern w:val="0"/>
        </w:rPr>
        <w:t xml:space="preserve"> and </w:t>
      </w:r>
      <w:r>
        <w:rPr>
          <w:kern w:val="0"/>
        </w:rPr>
        <w:t>Prevention has responded to urgent requests from US states, federal agencies,</w:t>
      </w:r>
      <w:r w:rsidR="005853A9">
        <w:rPr>
          <w:kern w:val="0"/>
        </w:rPr>
        <w:t xml:space="preserve"> and </w:t>
      </w:r>
      <w:r>
        <w:rPr>
          <w:kern w:val="0"/>
        </w:rPr>
        <w:t>international organizations through epidemic-assistance investigations (Epi-Aids)</w:t>
      </w:r>
      <w:r w:rsidR="00A37C1D">
        <w:rPr>
          <w:kern w:val="0"/>
        </w:rPr>
        <w:t>. The</w:t>
      </w:r>
      <w:r w:rsidR="003A1917">
        <w:rPr>
          <w:kern w:val="0"/>
        </w:rPr>
        <w:t xml:space="preserve"> </w:t>
      </w:r>
      <w:r>
        <w:rPr>
          <w:kern w:val="0"/>
        </w:rPr>
        <w:t>authors describe</w:t>
      </w:r>
      <w:r w:rsidR="003A1917">
        <w:rPr>
          <w:kern w:val="0"/>
        </w:rPr>
        <w:t xml:space="preserve"> the </w:t>
      </w:r>
      <w:r>
        <w:rPr>
          <w:kern w:val="0"/>
        </w:rPr>
        <w:t>first 60 years</w:t>
      </w:r>
      <w:r w:rsidR="00427468">
        <w:rPr>
          <w:kern w:val="0"/>
        </w:rPr>
        <w:t xml:space="preserve"> of </w:t>
      </w:r>
      <w:r>
        <w:rPr>
          <w:kern w:val="0"/>
        </w:rPr>
        <w:t>Epi-Aids, breadth</w:t>
      </w:r>
      <w:r w:rsidR="00427468">
        <w:rPr>
          <w:kern w:val="0"/>
        </w:rPr>
        <w:t xml:space="preserve"> of </w:t>
      </w:r>
      <w:r>
        <w:rPr>
          <w:kern w:val="0"/>
        </w:rPr>
        <w:t>problems addressed, evolution</w:t>
      </w:r>
      <w:r w:rsidR="00427468">
        <w:rPr>
          <w:kern w:val="0"/>
        </w:rPr>
        <w:t xml:space="preserve"> of </w:t>
      </w:r>
      <w:r>
        <w:rPr>
          <w:kern w:val="0"/>
        </w:rPr>
        <w:t>methodologies, scope</w:t>
      </w:r>
      <w:r w:rsidR="00427468">
        <w:rPr>
          <w:kern w:val="0"/>
        </w:rPr>
        <w:t xml:space="preserve"> of </w:t>
      </w:r>
      <w:r>
        <w:rPr>
          <w:kern w:val="0"/>
        </w:rPr>
        <w:t>activities,</w:t>
      </w:r>
      <w:r w:rsidR="005853A9">
        <w:rPr>
          <w:kern w:val="0"/>
        </w:rPr>
        <w:t xml:space="preserve"> and </w:t>
      </w:r>
      <w:r>
        <w:rPr>
          <w:kern w:val="0"/>
        </w:rPr>
        <w:t>impact</w:t>
      </w:r>
      <w:r w:rsidR="00427468">
        <w:rPr>
          <w:kern w:val="0"/>
        </w:rPr>
        <w:t xml:space="preserve"> of </w:t>
      </w:r>
      <w:r>
        <w:rPr>
          <w:kern w:val="0"/>
        </w:rPr>
        <w:t>investigations on population health</w:t>
      </w:r>
      <w:r w:rsidR="00A37C1D">
        <w:rPr>
          <w:kern w:val="0"/>
        </w:rPr>
        <w:t>. The</w:t>
      </w:r>
      <w:r>
        <w:rPr>
          <w:kern w:val="0"/>
        </w:rPr>
        <w:t>y reviewed Epi-Aid reports</w:t>
      </w:r>
      <w:r w:rsidR="005853A9">
        <w:rPr>
          <w:kern w:val="0"/>
        </w:rPr>
        <w:t xml:space="preserve"> and </w:t>
      </w:r>
      <w:r>
        <w:rPr>
          <w:kern w:val="0"/>
        </w:rPr>
        <w:t>EIS Bulletins, contacted current</w:t>
      </w:r>
      <w:r w:rsidR="005853A9">
        <w:rPr>
          <w:kern w:val="0"/>
        </w:rPr>
        <w:t xml:space="preserve"> and </w:t>
      </w:r>
      <w:r>
        <w:rPr>
          <w:kern w:val="0"/>
        </w:rPr>
        <w:t>former Epidemic Intelligence Service staff,</w:t>
      </w:r>
      <w:r w:rsidR="005853A9">
        <w:rPr>
          <w:kern w:val="0"/>
        </w:rPr>
        <w:t xml:space="preserve"> and </w:t>
      </w:r>
      <w:r>
        <w:rPr>
          <w:kern w:val="0"/>
        </w:rPr>
        <w:t>systematically searched</w:t>
      </w:r>
      <w:r w:rsidR="003A1917">
        <w:rPr>
          <w:kern w:val="0"/>
        </w:rPr>
        <w:t xml:space="preserve"> the </w:t>
      </w:r>
      <w:r>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w:t>
      </w:r>
      <w:r w:rsidR="00A37C1D">
        <w:rPr>
          <w:kern w:val="0"/>
        </w:rPr>
        <w:t>. The</w:t>
      </w:r>
      <w:r>
        <w:rPr>
          <w:kern w:val="0"/>
        </w:rPr>
        <w:t>y abstracted information on dates, location, staff involved, health problems, methods,</w:t>
      </w:r>
      <w:r w:rsidR="005853A9">
        <w:rPr>
          <w:kern w:val="0"/>
        </w:rPr>
        <w:t xml:space="preserve"> and </w:t>
      </w:r>
      <w:r>
        <w:rPr>
          <w:kern w:val="0"/>
        </w:rPr>
        <w:t>impacts</w:t>
      </w:r>
      <w:r w:rsidR="00427468">
        <w:rPr>
          <w:kern w:val="0"/>
        </w:rPr>
        <w:t xml:space="preserve"> of </w:t>
      </w:r>
      <w:r>
        <w:rPr>
          <w:kern w:val="0"/>
        </w:rPr>
        <w:t>investigations according to a preplanned protocol</w:t>
      </w:r>
      <w:r w:rsidR="00A37C1D">
        <w:rPr>
          <w:kern w:val="0"/>
        </w:rPr>
        <w:t>. The</w:t>
      </w:r>
      <w:r>
        <w:rPr>
          <w:kern w:val="0"/>
        </w:rPr>
        <w:t>y assessed</w:t>
      </w:r>
      <w:r w:rsidR="003A1917">
        <w:rPr>
          <w:kern w:val="0"/>
        </w:rPr>
        <w:t xml:space="preserve"> the </w:t>
      </w:r>
      <w:r>
        <w:rPr>
          <w:kern w:val="0"/>
        </w:rPr>
        <w:t>methods presented as well as</w:t>
      </w:r>
      <w:r w:rsidR="003A1917">
        <w:rPr>
          <w:kern w:val="0"/>
        </w:rPr>
        <w:t xml:space="preserve"> the </w:t>
      </w:r>
      <w:r>
        <w:rPr>
          <w:kern w:val="0"/>
        </w:rPr>
        <w:t>quality</w:t>
      </w:r>
      <w:r w:rsidR="00427468">
        <w:rPr>
          <w:kern w:val="0"/>
        </w:rPr>
        <w:t xml:space="preserve"> of </w:t>
      </w:r>
      <w:r>
        <w:rPr>
          <w:kern w:val="0"/>
        </w:rPr>
        <w:t>reports. During 1946-2005, a total</w:t>
      </w:r>
      <w:r w:rsidR="00427468">
        <w:rPr>
          <w:kern w:val="0"/>
        </w:rPr>
        <w:t xml:space="preserve"> of </w:t>
      </w:r>
      <w:r>
        <w:rPr>
          <w:kern w:val="0"/>
        </w:rPr>
        <w:t>4,484 investigations</w:t>
      </w:r>
      <w:r w:rsidR="00427468">
        <w:rPr>
          <w:kern w:val="0"/>
        </w:rPr>
        <w:t xml:space="preserve"> of </w:t>
      </w:r>
      <w:r>
        <w:rPr>
          <w:kern w:val="0"/>
        </w:rPr>
        <w:t>health events were initiated by 2,815 Epidemic Intelligence Service officers. In</w:t>
      </w:r>
      <w:r w:rsidR="003A1917">
        <w:rPr>
          <w:kern w:val="0"/>
        </w:rPr>
        <w:t xml:space="preserve"> the </w:t>
      </w:r>
      <w:r>
        <w:rPr>
          <w:kern w:val="0"/>
        </w:rPr>
        <w:t>early years,</w:t>
      </w:r>
      <w:r w:rsidR="003A1917">
        <w:rPr>
          <w:kern w:val="0"/>
        </w:rPr>
        <w:t xml:space="preserve"> the </w:t>
      </w:r>
      <w:r>
        <w:rPr>
          <w:kern w:val="0"/>
        </w:rPr>
        <w:t>majority were in response to infectious agents, although environmental problems emerged. Investigations in subsequent years focused on occupational conditions, birth defects, reproductive health, tobacco use, cancer, violence, legal debate,</w:t>
      </w:r>
      <w:r w:rsidR="005853A9">
        <w:rPr>
          <w:kern w:val="0"/>
        </w:rPr>
        <w:t xml:space="preserve"> and </w:t>
      </w:r>
      <w:r>
        <w:rPr>
          <w:kern w:val="0"/>
        </w:rPr>
        <w:t>terrorism</w:t>
      </w:r>
      <w:r w:rsidR="00A37C1D">
        <w:rPr>
          <w:kern w:val="0"/>
        </w:rPr>
        <w:t>. The</w:t>
      </w:r>
      <w:r>
        <w:rPr>
          <w:kern w:val="0"/>
        </w:rPr>
        <w:t>se Epi-Aids heralded expansion</w:t>
      </w:r>
      <w:r w:rsidR="00427468">
        <w:rPr>
          <w:kern w:val="0"/>
        </w:rPr>
        <w:t xml:space="preserve"> of </w:t>
      </w:r>
      <w:r w:rsidR="003A1917">
        <w:rPr>
          <w:kern w:val="0"/>
        </w:rPr>
        <w:t xml:space="preserve">the </w:t>
      </w:r>
      <w:r>
        <w:rPr>
          <w:kern w:val="0"/>
        </w:rPr>
        <w:t>agency</w:t>
      </w:r>
      <w:r w:rsidR="00700038">
        <w:rPr>
          <w:kern w:val="0"/>
        </w:rPr>
        <w:t>’</w:t>
      </w:r>
      <w:r>
        <w:rPr>
          <w:kern w:val="0"/>
        </w:rPr>
        <w:t>s mission</w:t>
      </w:r>
      <w:r w:rsidR="005853A9">
        <w:rPr>
          <w:kern w:val="0"/>
        </w:rPr>
        <w:t xml:space="preserve"> and </w:t>
      </w:r>
      <w:r>
        <w:rPr>
          <w:kern w:val="0"/>
        </w:rPr>
        <w:t>presented new methods in statistics</w:t>
      </w:r>
      <w:r w:rsidR="005853A9">
        <w:rPr>
          <w:kern w:val="0"/>
        </w:rPr>
        <w:t xml:space="preserve"> and </w:t>
      </w:r>
      <w:r>
        <w:rPr>
          <w:kern w:val="0"/>
        </w:rPr>
        <w:t>epidemiology. Recommendations from Epi-Aids led to policy implementation, evaluation, or modification. Epi-Aids provide</w:t>
      </w:r>
      <w:r w:rsidR="003A1917">
        <w:rPr>
          <w:kern w:val="0"/>
        </w:rPr>
        <w:t xml:space="preserve"> the </w:t>
      </w:r>
      <w:r>
        <w:rPr>
          <w:kern w:val="0"/>
        </w:rPr>
        <w:t xml:space="preserve">Centers for </w:t>
      </w:r>
      <w:r>
        <w:rPr>
          <w:kern w:val="0"/>
        </w:rPr>
        <w:lastRenderedPageBreak/>
        <w:t>Disease Control</w:t>
      </w:r>
      <w:r w:rsidR="005853A9">
        <w:rPr>
          <w:kern w:val="0"/>
        </w:rPr>
        <w:t xml:space="preserve"> and </w:t>
      </w:r>
      <w:r>
        <w:rPr>
          <w:kern w:val="0"/>
        </w:rPr>
        <w:t>Prevention with</w:t>
      </w:r>
      <w:r w:rsidR="003A1917">
        <w:rPr>
          <w:kern w:val="0"/>
        </w:rPr>
        <w:t xml:space="preserve"> the </w:t>
      </w:r>
      <w:r>
        <w:rPr>
          <w:kern w:val="0"/>
        </w:rPr>
        <w:t>agility to respond rapidly to public health crises.</w:t>
      </w:r>
    </w:p>
    <w:p w:rsidR="00FB1EE7" w:rsidRDefault="00FB1EE7" w:rsidP="00FB1EE7">
      <w:pPr>
        <w:pStyle w:val="a3"/>
        <w:rPr>
          <w:kern w:val="0"/>
        </w:rPr>
      </w:pPr>
      <w:r>
        <w:rPr>
          <w:kern w:val="0"/>
        </w:rPr>
        <w:t>Keywords: Activities, Authors, Cancer, Centers for Disease Control</w:t>
      </w:r>
      <w:r w:rsidR="005853A9">
        <w:rPr>
          <w:kern w:val="0"/>
        </w:rPr>
        <w:t xml:space="preserve"> and </w:t>
      </w:r>
      <w:r>
        <w:rPr>
          <w:kern w:val="0"/>
        </w:rPr>
        <w:t xml:space="preserve">Prevention U, Databases, EIS, Environmental, Epidemiology, Evaluation, Evolution, Field Investigations, Impact, Information, Modification, Occupational, Policy, Population Health, Population Surveillance, Preventive Medicine, Protocol, Public Health, Pubmed, Quality, S, Science, Sentinel Surveillance, Statistics, Terrorism, Tobacco, US, </w:t>
      </w:r>
      <w:r w:rsidR="00D5664A">
        <w:rPr>
          <w:kern w:val="0"/>
        </w:rPr>
        <w:t>Web</w:t>
      </w:r>
      <w:r w:rsidR="00427468">
        <w:rPr>
          <w:kern w:val="0"/>
        </w:rPr>
        <w:t xml:space="preserve"> of </w:t>
      </w:r>
      <w:r w:rsidR="00D5664A">
        <w:rPr>
          <w:kern w:val="0"/>
        </w:rPr>
        <w:t>Science</w:t>
      </w:r>
    </w:p>
    <w:p w:rsidR="006E03FB" w:rsidRDefault="006E03FB" w:rsidP="006E03FB">
      <w:pPr>
        <w:pStyle w:val="a3"/>
        <w:rPr>
          <w:kern w:val="0"/>
        </w:rPr>
      </w:pPr>
      <w:r>
        <w:rPr>
          <w:rFonts w:hint="eastAsia"/>
          <w:kern w:val="0"/>
        </w:rPr>
        <w:t xml:space="preserve">? </w:t>
      </w:r>
      <w:r>
        <w:rPr>
          <w:kern w:val="0"/>
        </w:rPr>
        <w:t xml:space="preserve">Shiri, R., Lallukka, T., Karppinen, J. and Viikari-Juntura, E. (2014), Obesity as a risk factor for sciatica: A meta-analysis. </w:t>
      </w:r>
      <w:r>
        <w:rPr>
          <w:i/>
          <w:iCs/>
          <w:kern w:val="0"/>
        </w:rPr>
        <w:t>American Journal of Epidemiology</w:t>
      </w:r>
      <w:r>
        <w:rPr>
          <w:kern w:val="0"/>
        </w:rPr>
        <w:t xml:space="preserve">, </w:t>
      </w:r>
      <w:r>
        <w:rPr>
          <w:b/>
          <w:bCs/>
          <w:kern w:val="0"/>
        </w:rPr>
        <w:t>179</w:t>
      </w:r>
      <w:r>
        <w:rPr>
          <w:kern w:val="0"/>
        </w:rPr>
        <w:t xml:space="preserve"> (8), 929-937.</w:t>
      </w:r>
    </w:p>
    <w:p w:rsidR="006E03FB" w:rsidRPr="001A3D2B" w:rsidRDefault="006E03FB" w:rsidP="006E03FB">
      <w:pPr>
        <w:pStyle w:val="a3"/>
      </w:pPr>
      <w:r w:rsidRPr="001A3D2B">
        <w:t xml:space="preserve">Full Text: </w:t>
      </w:r>
      <w:hyperlink r:id="rId461" w:history="1">
        <w:r w:rsidRPr="006E03FB">
          <w:rPr>
            <w:rStyle w:val="a5"/>
          </w:rPr>
          <w:t>2014\Ame J Epi179, 929.pdf</w:t>
        </w:r>
      </w:hyperlink>
    </w:p>
    <w:p w:rsidR="006E03FB" w:rsidRDefault="006E03FB" w:rsidP="006E03FB">
      <w:pPr>
        <w:pStyle w:val="a3"/>
        <w:rPr>
          <w:kern w:val="0"/>
        </w:rPr>
      </w:pPr>
      <w:r>
        <w:rPr>
          <w:kern w:val="0"/>
        </w:rPr>
        <w:t>Abstract: The aim of this study was to assess the associations of overweight and obesity with lumbar radicular pain and sciatica using a meta-analysis. We searched the PubMed, Embase, Scopus, and Web of Science databases from 1966 to July 2013. We performed a random-effects meta-analysis and assessed publication bias. We included 26 (8 cross-sectional, 7 case-control, and 11 cohort) studies. Both overweight (pooled odds ratio (OR) 1.23, 95 confidence interval (CI): 1.14, 1.33; n 19,165) and obesity (OR 1.40, 95 CI: 1.27, 1.55; n 19,165) were associated with lumbar radicular pain</w:t>
      </w:r>
      <w:r w:rsidR="00A37C1D">
        <w:rPr>
          <w:kern w:val="0"/>
        </w:rPr>
        <w:t>. The</w:t>
      </w:r>
      <w:r>
        <w:rPr>
          <w:kern w:val="0"/>
        </w:rPr>
        <w:t xml:space="preserve"> pooled odds ratio for physician-diagnosed sciatica was 1.12 (95 CI: 1.04, 1.20; n 109,724) for overweight and 1.31 (95 CI: 1.07, 1.62; n 115,661) for obesity. Overweight (OR 1.16, 95 CI: 1.09, 1.24; n 358,328) and obesity (OR 1.38, 95 CI: 1.23, 1.54; n 358,328) were associated with increased risk of hospitalization for sciatica, and overweight/obesity was associated with increased risk of surgery for lumbar disc herniation (OR 1.89, 95 CI: 1.25, 2.86; n 73,982). Associations were similar for men and women and were independent of the design and quality of included studies</w:t>
      </w:r>
      <w:r w:rsidR="00A37C1D">
        <w:rPr>
          <w:kern w:val="0"/>
        </w:rPr>
        <w:t>. The</w:t>
      </w:r>
      <w:r>
        <w:rPr>
          <w:kern w:val="0"/>
        </w:rPr>
        <w:t>re was no evidence of publication bias. Our findings consistently showed that both overweight and obesity are risk factors for lumbar radicular pain and sciatica in men and women, with a dose-response relationship.</w:t>
      </w:r>
    </w:p>
    <w:p w:rsidR="006E03FB" w:rsidRDefault="006E03FB" w:rsidP="006E03FB">
      <w:pPr>
        <w:pStyle w:val="a3"/>
        <w:rPr>
          <w:kern w:val="0"/>
        </w:rPr>
      </w:pPr>
      <w:r>
        <w:rPr>
          <w:kern w:val="0"/>
        </w:rPr>
        <w:t>Keywords: Back Pain, Bias, Body-Mass Index, Case-Control, Cohort, Confidence, Databases, Design, Disease, Disorders, Evidence, Follow-Up, Hospitalization, Hospitalization, Interval, Intervertebral Disc Displacement, Intervertebral Disc Herniation, Low-Back-Pain, Men, Meta Analysis, Meta-Analysis, Metaanalysis, Obesity, Odds Ratio, Overweight, Overweight, Pain, Predictors, Publication, Publication Bias, Pubmed, Quality, Quality Of, Risk, Risk Factors, Sciatica, Science, Scopus, Surgery, Web Of Science, Web Of Science Databases, Women, Young Finns</w:t>
      </w:r>
    </w:p>
    <w:p w:rsidR="004653DF" w:rsidRDefault="004653DF" w:rsidP="004653DF">
      <w:pPr>
        <w:pStyle w:val="a3"/>
        <w:rPr>
          <w:kern w:val="0"/>
        </w:rPr>
      </w:pPr>
      <w:r>
        <w:rPr>
          <w:rFonts w:hint="eastAsia"/>
          <w:kern w:val="0"/>
        </w:rPr>
        <w:t xml:space="preserve">? </w:t>
      </w:r>
      <w:r>
        <w:rPr>
          <w:kern w:val="0"/>
        </w:rPr>
        <w:t xml:space="preserve">Jayasekara, H., English, D.R., Room, R. and MacInnis, R.J. (2014), Alcohol </w:t>
      </w:r>
      <w:r>
        <w:rPr>
          <w:kern w:val="0"/>
        </w:rPr>
        <w:lastRenderedPageBreak/>
        <w:t xml:space="preserve">consumption over time and risk of death: A systematic review and meta-analysis. </w:t>
      </w:r>
      <w:r>
        <w:rPr>
          <w:i/>
          <w:iCs/>
          <w:kern w:val="0"/>
        </w:rPr>
        <w:t>American Journal of Epidemiology</w:t>
      </w:r>
      <w:r>
        <w:rPr>
          <w:kern w:val="0"/>
        </w:rPr>
        <w:t xml:space="preserve">, </w:t>
      </w:r>
      <w:r>
        <w:rPr>
          <w:b/>
          <w:bCs/>
          <w:kern w:val="0"/>
        </w:rPr>
        <w:t>179</w:t>
      </w:r>
      <w:r>
        <w:rPr>
          <w:kern w:val="0"/>
        </w:rPr>
        <w:t xml:space="preserve"> (9), 1049-1059.</w:t>
      </w:r>
    </w:p>
    <w:p w:rsidR="004653DF" w:rsidRPr="001A3D2B" w:rsidRDefault="004653DF" w:rsidP="004653DF">
      <w:pPr>
        <w:pStyle w:val="a3"/>
      </w:pPr>
      <w:r w:rsidRPr="001A3D2B">
        <w:t xml:space="preserve">Full Text: </w:t>
      </w:r>
      <w:hyperlink r:id="rId462" w:history="1">
        <w:r w:rsidRPr="00881B9F">
          <w:rPr>
            <w:rStyle w:val="a5"/>
          </w:rPr>
          <w:t>2014\Ame J Epi179, 1049.pdf</w:t>
        </w:r>
      </w:hyperlink>
    </w:p>
    <w:p w:rsidR="004653DF" w:rsidRDefault="004653DF" w:rsidP="004653DF">
      <w:pPr>
        <w:pStyle w:val="a3"/>
        <w:rPr>
          <w:kern w:val="0"/>
        </w:rPr>
      </w:pPr>
      <w:r>
        <w:rPr>
          <w:kern w:val="0"/>
        </w:rPr>
        <w:t>Abstract: The results from the few cohort studies that have measured usual alcohol consumption over time have not been summarized. We therefore conducted a systematic review and meta-analysis to quantify mortality risk. Pertinent studies were identified by searching the Medline, Web of Science, Cumulative Index to Nursing and Allied Health Literature (CINAHL) Plus, and Scopus databases through August 2012 using broad search criteria. Studies reporting relative mortality risks for quantitatively defined categories of alcohol consumption over time were eligible. Nine cohort studies published during 1991-2010 (comprising 62,950 participants and 10,490 deaths) met the inclusion criteria. For men, there was weak evidence of lower mortality risk with low levels of alcohol intake over time but higher mortality risk for those with intakes over 40 g/day compared with abstainers using a random-effects model (P for nonlinearity = 0.02)</w:t>
      </w:r>
      <w:r w:rsidR="00A37C1D">
        <w:rPr>
          <w:kern w:val="0"/>
        </w:rPr>
        <w:t>. The</w:t>
      </w:r>
      <w:r>
        <w:rPr>
          <w:kern w:val="0"/>
        </w:rPr>
        <w:t xml:space="preserve"> pooled relative risks were 0.90 (95% confidence interval: 0.81, 0.99) for 1-29 g/day, 1.19 (95% confidence interval: 0.89, 1.58) for 30-59 g/day, and 1.52 (95% confidence interval: 0.78, 2.98) for 60 or more g/day compared with abstention</w:t>
      </w:r>
      <w:r w:rsidR="00A37C1D">
        <w:rPr>
          <w:kern w:val="0"/>
        </w:rPr>
        <w:t>. The</w:t>
      </w:r>
      <w:r>
        <w:rPr>
          <w:kern w:val="0"/>
        </w:rPr>
        <w:t>re was moderate between-study heterogeneity but no evidence of publication bias. Studies including women were extremely scarce. Our findings include a curvilinear association between drinking over time and mortality risk for men overall and widespread disparity in methods used to capture exposure and report results.</w:t>
      </w:r>
    </w:p>
    <w:p w:rsidR="004653DF" w:rsidRDefault="004653DF" w:rsidP="004653DF">
      <w:pPr>
        <w:pStyle w:val="a3"/>
        <w:rPr>
          <w:kern w:val="0"/>
        </w:rPr>
      </w:pPr>
      <w:r>
        <w:rPr>
          <w:kern w:val="0"/>
        </w:rPr>
        <w:t>Keywords: Alcohol, Alcohol Consumption Over Time, Alcohol Intake, All-Cause Mortality, Association, Bias, British Men, Cardiovascular-Disease, Cohort, Confidence, Consequences, Consumption, Coronary-Heart-Disease, Criteria, Databases, Disparity, Evidence, Exposure, Health, Heterogeneity, Interval, Lifetime Drinking, Literature, Medline, Men, Meta Analysis, Meta-Analysis, Metaanalysis, Methodology, Methods, Middle-Age, Model, Mortality, Nursing, P, Patterns, Publication, Publication Bias, Random Effects Model, Reporting, Review, Risk, Risks, Science, Scopus, Systematic, Systematic Review, Time, Web Of Science, Women</w:t>
      </w:r>
    </w:p>
    <w:p w:rsidR="003474F2" w:rsidRPr="001A3D2B" w:rsidRDefault="003474F2" w:rsidP="003474F2">
      <w:pPr>
        <w:pStyle w:val="1"/>
      </w:pPr>
      <w:r w:rsidRPr="001A3D2B">
        <w:br w:type="page"/>
      </w:r>
      <w:bookmarkStart w:id="260" w:name="_Toc420814387"/>
      <w:r w:rsidRPr="001A3D2B">
        <w:lastRenderedPageBreak/>
        <w:t>Title: American Journal</w:t>
      </w:r>
      <w:r w:rsidR="00427468">
        <w:t xml:space="preserve"> of </w:t>
      </w:r>
      <w:r w:rsidRPr="001A3D2B">
        <w:t>Evaluation</w:t>
      </w:r>
      <w:bookmarkEnd w:id="260"/>
    </w:p>
    <w:p w:rsidR="006727AA" w:rsidRPr="00F219CA" w:rsidRDefault="006727AA" w:rsidP="006727AA">
      <w:pPr>
        <w:pStyle w:val="12"/>
      </w:pPr>
      <w:r w:rsidRPr="00F219CA">
        <w:t xml:space="preserve">Full Journal Title: </w:t>
      </w:r>
      <w:hyperlink r:id="rId463" w:history="1">
        <w:r w:rsidRPr="009B64BB">
          <w:rPr>
            <w:rStyle w:val="a5"/>
          </w:rPr>
          <w:t>American Journal</w:t>
        </w:r>
        <w:r w:rsidR="00427468">
          <w:rPr>
            <w:rStyle w:val="a5"/>
          </w:rPr>
          <w:t xml:space="preserve"> of </w:t>
        </w:r>
        <w:r w:rsidRPr="009B64BB">
          <w:rPr>
            <w:rStyle w:val="a5"/>
          </w:rPr>
          <w:t>Evaluation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Trochim, W.M., Marcus, S.E., Masse, L.C., Moser, R.P.</w:t>
      </w:r>
      <w:r w:rsidR="005853A9">
        <w:t xml:space="preserve"> and </w:t>
      </w:r>
      <w:r w:rsidRPr="001A3D2B">
        <w:t>Weld, P.C. (2008</w:t>
      </w:r>
      <w:r w:rsidR="00F42EAC">
        <w:t>), The</w:t>
      </w:r>
      <w:r w:rsidR="003A1917">
        <w:t xml:space="preserve"> </w:t>
      </w:r>
      <w:r w:rsidRPr="001A3D2B">
        <w:t>evaluation</w:t>
      </w:r>
      <w:r w:rsidR="00427468">
        <w:t xml:space="preserve"> of </w:t>
      </w:r>
      <w:r w:rsidRPr="001A3D2B">
        <w:t>large research initiatives</w:t>
      </w:r>
      <w:r w:rsidR="00BA46BC" w:rsidRPr="001A3D2B">
        <w:t>:</w:t>
      </w:r>
      <w:r w:rsidRPr="001A3D2B">
        <w:t xml:space="preserve"> A participatory integrative mixed-methods approach. </w:t>
      </w:r>
      <w:r w:rsidRPr="001A3D2B">
        <w:rPr>
          <w:i/>
          <w:iCs/>
        </w:rPr>
        <w:t>American Journal</w:t>
      </w:r>
      <w:r w:rsidR="00427468">
        <w:rPr>
          <w:i/>
          <w:iCs/>
        </w:rPr>
        <w:t xml:space="preserve"> of </w:t>
      </w:r>
      <w:r w:rsidRPr="001A3D2B">
        <w:rPr>
          <w:i/>
          <w:iCs/>
        </w:rPr>
        <w:t>Evaluation</w:t>
      </w:r>
      <w:r w:rsidRPr="001A3D2B">
        <w:t xml:space="preserve">, </w:t>
      </w:r>
      <w:r w:rsidRPr="001A3D2B">
        <w:rPr>
          <w:b/>
          <w:bCs/>
        </w:rPr>
        <w:t>29</w:t>
      </w:r>
      <w:r w:rsidRPr="001A3D2B">
        <w:t>, 8-28.</w:t>
      </w:r>
    </w:p>
    <w:p w:rsidR="00BA46BC" w:rsidRPr="001A3D2B" w:rsidRDefault="00BA46BC" w:rsidP="00BA46BC">
      <w:pPr>
        <w:pStyle w:val="a3"/>
        <w:rPr>
          <w:kern w:val="0"/>
        </w:rPr>
      </w:pPr>
      <w:r w:rsidRPr="001A3D2B">
        <w:rPr>
          <w:kern w:val="0"/>
        </w:rPr>
        <w:t xml:space="preserve">Full Text: </w:t>
      </w:r>
      <w:hyperlink r:id="rId464" w:history="1">
        <w:r w:rsidRPr="001A3D2B">
          <w:rPr>
            <w:rStyle w:val="a5"/>
            <w:kern w:val="0"/>
          </w:rPr>
          <w:t>2008\Ame J Eva29, 8.pdf</w:t>
        </w:r>
      </w:hyperlink>
    </w:p>
    <w:p w:rsidR="003474F2" w:rsidRPr="001A3D2B" w:rsidRDefault="003474F2" w:rsidP="003474F2">
      <w:pPr>
        <w:pStyle w:val="a3"/>
      </w:pPr>
      <w:r w:rsidRPr="001A3D2B">
        <w:t>Abstract: Over</w:t>
      </w:r>
      <w:r w:rsidR="003A1917">
        <w:t xml:space="preserve"> the </w:t>
      </w:r>
      <w:r w:rsidRPr="001A3D2B">
        <w:t>past few decades there has been a rise in</w:t>
      </w:r>
      <w:r w:rsidR="003A1917">
        <w:t xml:space="preserve"> the </w:t>
      </w:r>
      <w:r w:rsidRPr="001A3D2B">
        <w:t>number</w:t>
      </w:r>
      <w:r w:rsidR="00427468">
        <w:t xml:space="preserve"> of </w:t>
      </w:r>
      <w:r w:rsidRPr="001A3D2B">
        <w:t>federally funded large scientific research initiatives, with increased calls to evaluate their processes</w:t>
      </w:r>
      <w:r w:rsidR="005853A9">
        <w:t xml:space="preserve"> and </w:t>
      </w:r>
      <w:r w:rsidRPr="001A3D2B">
        <w:t>outcomes. This article describes efforts to evaluate such initiatives in one agency within</w:t>
      </w:r>
      <w:r w:rsidR="003A1917">
        <w:t xml:space="preserve"> the </w:t>
      </w:r>
      <w:r w:rsidRPr="001A3D2B">
        <w:t>U.S. federal government</w:t>
      </w:r>
      <w:r w:rsidR="00A37C1D">
        <w:t>. The</w:t>
      </w:r>
      <w:r w:rsidR="003A1917">
        <w:t xml:space="preserve"> </w:t>
      </w:r>
      <w:r w:rsidRPr="001A3D2B">
        <w:t>authors introduce</w:t>
      </w:r>
      <w:r w:rsidR="003A1917">
        <w:t xml:space="preserve"> the </w:t>
      </w:r>
      <w:r w:rsidRPr="001A3D2B">
        <w:t>Evaluation</w:t>
      </w:r>
      <w:r w:rsidR="00427468">
        <w:t xml:space="preserve"> of </w:t>
      </w:r>
      <w:r w:rsidRPr="001A3D2B">
        <w:t>Large Initiatives (ELI) project, a preliminary effort to explore how to accomplish such evaluation</w:t>
      </w:r>
      <w:r w:rsidR="00A37C1D">
        <w:t>. The</w:t>
      </w:r>
      <w:r w:rsidRPr="001A3D2B">
        <w:t>y describe a pilot effort</w:t>
      </w:r>
      <w:r w:rsidR="00427468">
        <w:t xml:space="preserve"> of </w:t>
      </w:r>
      <w:r w:rsidRPr="001A3D2B">
        <w:t>this project to evaluate</w:t>
      </w:r>
      <w:r w:rsidR="003A1917">
        <w:t xml:space="preserve"> the </w:t>
      </w:r>
      <w:r w:rsidRPr="001A3D2B">
        <w:t>Transdisciplinary Tobacco Use Research Center (TTURC) initiative</w:t>
      </w:r>
      <w:r w:rsidR="00427468">
        <w:t xml:space="preserve"> of </w:t>
      </w:r>
      <w:r w:rsidR="003A1917">
        <w:t xml:space="preserve">the </w:t>
      </w:r>
      <w:r w:rsidRPr="001A3D2B">
        <w:t>National Cancer Institute</w:t>
      </w:r>
      <w:r w:rsidR="00A37C1D">
        <w:t>. The</w:t>
      </w:r>
      <w:r w:rsidRPr="001A3D2B">
        <w:t>y present a summary</w:t>
      </w:r>
      <w:r w:rsidR="00427468">
        <w:t xml:space="preserve"> of </w:t>
      </w:r>
      <w:r w:rsidRPr="001A3D2B">
        <w:t>this pilot evaluation including</w:t>
      </w:r>
      <w:r w:rsidR="003A1917">
        <w:t xml:space="preserve"> the </w:t>
      </w:r>
      <w:r w:rsidRPr="001A3D2B">
        <w:t>methods used (concept mapping, logic modeling, a detailed researcher survey, content. analysis</w:t>
      </w:r>
      <w:r w:rsidR="005853A9">
        <w:t xml:space="preserve"> and </w:t>
      </w:r>
      <w:r w:rsidRPr="001A3D2B">
        <w:t>systematic peer-evaluation</w:t>
      </w:r>
      <w:r w:rsidR="00427468">
        <w:t xml:space="preserve"> of </w:t>
      </w:r>
      <w:r w:rsidRPr="001A3D2B">
        <w:t>progress reports, bibliometric analysis</w:t>
      </w:r>
      <w:r w:rsidR="005853A9">
        <w:t xml:space="preserve"> and </w:t>
      </w:r>
      <w:r w:rsidRPr="001A3D2B">
        <w:t>peer evaluation</w:t>
      </w:r>
      <w:r w:rsidR="00427468">
        <w:t xml:space="preserve"> of </w:t>
      </w:r>
      <w:r w:rsidRPr="001A3D2B">
        <w:t>publications</w:t>
      </w:r>
      <w:r w:rsidR="005853A9">
        <w:t xml:space="preserve"> and </w:t>
      </w:r>
      <w:r w:rsidRPr="001A3D2B">
        <w:t>citations,</w:t>
      </w:r>
      <w:r w:rsidR="005853A9">
        <w:t xml:space="preserve"> and </w:t>
      </w:r>
      <w:r w:rsidRPr="001A3D2B">
        <w:t>financial expenditures analysis)</w:t>
      </w:r>
      <w:r w:rsidR="005853A9">
        <w:t xml:space="preserve"> and </w:t>
      </w:r>
      <w:r w:rsidRPr="001A3D2B">
        <w:t>a brief overview</w:t>
      </w:r>
      <w:r w:rsidR="00427468">
        <w:t xml:space="preserve"> of </w:t>
      </w:r>
      <w:r w:rsidRPr="001A3D2B">
        <w:t>results. Finally, they discuss several important lessons</w:t>
      </w:r>
      <w:r w:rsidR="005853A9">
        <w:t xml:space="preserve"> and </w:t>
      </w:r>
      <w:r w:rsidRPr="001A3D2B">
        <w:t>recommendations that emerged from this work.</w:t>
      </w:r>
    </w:p>
    <w:p w:rsidR="003474F2" w:rsidRPr="001A3D2B" w:rsidRDefault="003474F2" w:rsidP="003474F2">
      <w:pPr>
        <w:pStyle w:val="a3"/>
      </w:pPr>
      <w:r w:rsidRPr="001A3D2B">
        <w:t>Keywords: Analysis, Bibliometric, Bibliometric Analysis, Citations, Evaluation, Integrative, Methods, Modeling, Outcomes, Pilot, Publications, Recommendations, Research, Scientific Research, Survey, Work</w:t>
      </w:r>
    </w:p>
    <w:p w:rsidR="003F5083" w:rsidRDefault="003F5083" w:rsidP="003F5083">
      <w:pPr>
        <w:pStyle w:val="a3"/>
        <w:rPr>
          <w:kern w:val="0"/>
        </w:rPr>
      </w:pPr>
      <w:r>
        <w:rPr>
          <w:rFonts w:hint="eastAsia"/>
          <w:kern w:val="0"/>
        </w:rPr>
        <w:t xml:space="preserve">? </w:t>
      </w:r>
      <w:r>
        <w:rPr>
          <w:kern w:val="0"/>
        </w:rPr>
        <w:t>Heberger, A.E., Christie, C.A.</w:t>
      </w:r>
      <w:r w:rsidR="005853A9">
        <w:rPr>
          <w:kern w:val="0"/>
        </w:rPr>
        <w:t xml:space="preserve"> and </w:t>
      </w:r>
      <w:r>
        <w:rPr>
          <w:kern w:val="0"/>
        </w:rPr>
        <w:t>Alkin, M.C. (2010), A bibliometric analysis</w:t>
      </w:r>
      <w:r w:rsidR="00427468">
        <w:rPr>
          <w:kern w:val="0"/>
        </w:rPr>
        <w:t xml:space="preserve"> of </w:t>
      </w:r>
      <w:r w:rsidR="003A1917">
        <w:rPr>
          <w:kern w:val="0"/>
        </w:rPr>
        <w:t xml:space="preserve">the </w:t>
      </w:r>
      <w:r>
        <w:rPr>
          <w:kern w:val="0"/>
        </w:rPr>
        <w:t>academic influences</w:t>
      </w:r>
      <w:r w:rsidR="00427468">
        <w:rPr>
          <w:kern w:val="0"/>
        </w:rPr>
        <w:t xml:space="preserve"> of </w:t>
      </w:r>
      <w:r w:rsidR="005853A9">
        <w:rPr>
          <w:kern w:val="0"/>
        </w:rPr>
        <w:t xml:space="preserve">and </w:t>
      </w:r>
      <w:r>
        <w:rPr>
          <w:kern w:val="0"/>
        </w:rPr>
        <w:t>on evaluation theorists</w:t>
      </w:r>
      <w:r w:rsidR="00700038">
        <w:rPr>
          <w:kern w:val="0"/>
        </w:rPr>
        <w:t>’</w:t>
      </w:r>
      <w:r>
        <w:rPr>
          <w:kern w:val="0"/>
        </w:rPr>
        <w:t xml:space="preserve"> published works. </w:t>
      </w:r>
      <w:r>
        <w:rPr>
          <w:i/>
          <w:iCs/>
          <w:kern w:val="0"/>
        </w:rPr>
        <w:t>American Journal</w:t>
      </w:r>
      <w:r w:rsidR="00427468">
        <w:rPr>
          <w:i/>
          <w:iCs/>
          <w:kern w:val="0"/>
        </w:rPr>
        <w:t xml:space="preserve"> of </w:t>
      </w:r>
      <w:r>
        <w:rPr>
          <w:i/>
          <w:iCs/>
          <w:kern w:val="0"/>
        </w:rPr>
        <w:t>Evaluation</w:t>
      </w:r>
      <w:r>
        <w:rPr>
          <w:kern w:val="0"/>
        </w:rPr>
        <w:t xml:space="preserve">, </w:t>
      </w:r>
      <w:r>
        <w:rPr>
          <w:b/>
          <w:bCs/>
          <w:kern w:val="0"/>
        </w:rPr>
        <w:t>31</w:t>
      </w:r>
      <w:r>
        <w:rPr>
          <w:kern w:val="0"/>
        </w:rPr>
        <w:t xml:space="preserve"> (1), 24-44.</w:t>
      </w:r>
    </w:p>
    <w:p w:rsidR="003F5083" w:rsidRPr="001A3D2B" w:rsidRDefault="003F5083" w:rsidP="003F5083">
      <w:pPr>
        <w:pStyle w:val="a3"/>
        <w:rPr>
          <w:kern w:val="0"/>
        </w:rPr>
      </w:pPr>
      <w:r w:rsidRPr="001A3D2B">
        <w:rPr>
          <w:kern w:val="0"/>
        </w:rPr>
        <w:t xml:space="preserve">Full Text: </w:t>
      </w:r>
      <w:hyperlink r:id="rId465" w:history="1">
        <w:r w:rsidRPr="009B64BB">
          <w:rPr>
            <w:rStyle w:val="a5"/>
            <w:kern w:val="0"/>
          </w:rPr>
          <w:t>2010\Ame J Eva31, 24.pdf</w:t>
        </w:r>
      </w:hyperlink>
    </w:p>
    <w:p w:rsidR="003F5083" w:rsidRDefault="003F5083" w:rsidP="003F5083">
      <w:pPr>
        <w:pStyle w:val="a3"/>
        <w:rPr>
          <w:kern w:val="0"/>
        </w:rPr>
      </w:pPr>
      <w:r>
        <w:rPr>
          <w:kern w:val="0"/>
        </w:rPr>
        <w:t>Abstract: As is</w:t>
      </w:r>
      <w:r w:rsidR="003A1917">
        <w:rPr>
          <w:kern w:val="0"/>
        </w:rPr>
        <w:t xml:space="preserve"> the </w:t>
      </w:r>
      <w:r>
        <w:rPr>
          <w:kern w:val="0"/>
        </w:rPr>
        <w:t>case with other fields, there is motivation for studying</w:t>
      </w:r>
      <w:r w:rsidR="003A1917">
        <w:rPr>
          <w:kern w:val="0"/>
        </w:rPr>
        <w:t xml:space="preserve"> the </w:t>
      </w:r>
      <w:r>
        <w:rPr>
          <w:kern w:val="0"/>
        </w:rPr>
        <w:t xml:space="preserve">impact </w:t>
      </w:r>
      <w:r>
        <w:rPr>
          <w:kern w:val="0"/>
        </w:rPr>
        <w:lastRenderedPageBreak/>
        <w:t>that</w:t>
      </w:r>
      <w:r w:rsidR="003A1917">
        <w:rPr>
          <w:kern w:val="0"/>
        </w:rPr>
        <w:t xml:space="preserve"> the </w:t>
      </w:r>
      <w:r>
        <w:rPr>
          <w:kern w:val="0"/>
        </w:rPr>
        <w:t>body</w:t>
      </w:r>
      <w:r w:rsidR="00427468">
        <w:rPr>
          <w:kern w:val="0"/>
        </w:rPr>
        <w:t xml:space="preserve"> of </w:t>
      </w:r>
      <w:r>
        <w:rPr>
          <w:kern w:val="0"/>
        </w:rPr>
        <w:t>evaluation theory literature has within</w:t>
      </w:r>
      <w:r w:rsidR="005853A9">
        <w:rPr>
          <w:kern w:val="0"/>
        </w:rPr>
        <w:t xml:space="preserve"> and </w:t>
      </w:r>
      <w:r>
        <w:rPr>
          <w:kern w:val="0"/>
        </w:rPr>
        <w:t>outside</w:t>
      </w:r>
      <w:r w:rsidR="003A1917">
        <w:rPr>
          <w:kern w:val="0"/>
        </w:rPr>
        <w:t xml:space="preserve"> the </w:t>
      </w:r>
      <w:r>
        <w:rPr>
          <w:kern w:val="0"/>
        </w:rPr>
        <w:t>field</w:t>
      </w:r>
      <w:r w:rsidR="00A37C1D">
        <w:rPr>
          <w:kern w:val="0"/>
        </w:rPr>
        <w:t>. The</w:t>
      </w:r>
      <w:r w:rsidR="003A1917">
        <w:rPr>
          <w:kern w:val="0"/>
        </w:rPr>
        <w:t xml:space="preserve"> </w:t>
      </w:r>
      <w:r>
        <w:rPr>
          <w:kern w:val="0"/>
        </w:rPr>
        <w:t>authors used journal articles written by theorists included on</w:t>
      </w:r>
      <w:r w:rsidR="003A1917">
        <w:rPr>
          <w:kern w:val="0"/>
        </w:rPr>
        <w:t xml:space="preserve"> the </w:t>
      </w:r>
      <w:r>
        <w:rPr>
          <w:kern w:val="0"/>
        </w:rPr>
        <w:t>evaluation theory tree by Alkin</w:t>
      </w:r>
      <w:r w:rsidR="005853A9">
        <w:rPr>
          <w:kern w:val="0"/>
        </w:rPr>
        <w:t xml:space="preserve"> and </w:t>
      </w:r>
      <w:r>
        <w:rPr>
          <w:kern w:val="0"/>
        </w:rPr>
        <w:t>Christie (2004; Christie &amp; Alkin, 2008)</w:t>
      </w:r>
      <w:r w:rsidR="005853A9">
        <w:rPr>
          <w:kern w:val="0"/>
        </w:rPr>
        <w:t xml:space="preserve"> and </w:t>
      </w:r>
      <w:r>
        <w:rPr>
          <w:kern w:val="0"/>
        </w:rPr>
        <w:t>published in</w:t>
      </w:r>
      <w:r w:rsidR="003A1917">
        <w:rPr>
          <w:kern w:val="0"/>
        </w:rPr>
        <w:t xml:space="preserve"> the </w:t>
      </w:r>
      <w:r w:rsidR="00D5664A">
        <w:rPr>
          <w:kern w:val="0"/>
        </w:rPr>
        <w:t>Web</w:t>
      </w:r>
      <w:r w:rsidR="00427468">
        <w:rPr>
          <w:kern w:val="0"/>
        </w:rPr>
        <w:t xml:space="preserve"> of </w:t>
      </w:r>
      <w:r w:rsidR="00D5664A">
        <w:rPr>
          <w:kern w:val="0"/>
        </w:rPr>
        <w:t>Science</w:t>
      </w:r>
      <w:r>
        <w:rPr>
          <w:kern w:val="0"/>
        </w:rPr>
        <w:t>, an online academic database, as a data source to address</w:t>
      </w:r>
      <w:r w:rsidR="003A1917">
        <w:rPr>
          <w:kern w:val="0"/>
        </w:rPr>
        <w:t xml:space="preserve"> the </w:t>
      </w:r>
      <w:r>
        <w:rPr>
          <w:kern w:val="0"/>
        </w:rPr>
        <w:t xml:space="preserve">questions: </w:t>
      </w:r>
      <w:r w:rsidR="00B5188C">
        <w:rPr>
          <w:kern w:val="0"/>
        </w:rPr>
        <w:t>“</w:t>
      </w:r>
      <w:r>
        <w:rPr>
          <w:kern w:val="0"/>
        </w:rPr>
        <w:t>What fields</w:t>
      </w:r>
      <w:r w:rsidR="00427468">
        <w:rPr>
          <w:kern w:val="0"/>
        </w:rPr>
        <w:t xml:space="preserve"> of </w:t>
      </w:r>
      <w:r>
        <w:rPr>
          <w:kern w:val="0"/>
        </w:rPr>
        <w:t>knowledge do evaluation theorists draw upon in their publications?</w:t>
      </w:r>
      <w:r w:rsidR="00B5188C">
        <w:rPr>
          <w:kern w:val="0"/>
        </w:rPr>
        <w:t>”</w:t>
      </w:r>
      <w:r w:rsidR="005853A9">
        <w:rPr>
          <w:kern w:val="0"/>
        </w:rPr>
        <w:t xml:space="preserve"> and </w:t>
      </w:r>
      <w:r w:rsidR="00B5188C">
        <w:rPr>
          <w:kern w:val="0"/>
        </w:rPr>
        <w:t>“</w:t>
      </w:r>
      <w:r>
        <w:rPr>
          <w:kern w:val="0"/>
        </w:rPr>
        <w:t>What fields draw upon</w:t>
      </w:r>
      <w:r w:rsidR="003A1917">
        <w:rPr>
          <w:kern w:val="0"/>
        </w:rPr>
        <w:t xml:space="preserve"> the </w:t>
      </w:r>
      <w:r>
        <w:rPr>
          <w:kern w:val="0"/>
        </w:rPr>
        <w:t>published articles</w:t>
      </w:r>
      <w:r w:rsidR="00427468">
        <w:rPr>
          <w:kern w:val="0"/>
        </w:rPr>
        <w:t xml:space="preserve"> of </w:t>
      </w:r>
      <w:r>
        <w:rPr>
          <w:kern w:val="0"/>
        </w:rPr>
        <w:t>evaluation theorists in their work?</w:t>
      </w:r>
      <w:r w:rsidR="00B5188C">
        <w:rPr>
          <w:kern w:val="0"/>
        </w:rPr>
        <w:t>”</w:t>
      </w:r>
      <w:r w:rsidR="003A1917">
        <w:rPr>
          <w:kern w:val="0"/>
        </w:rPr>
        <w:t xml:space="preserve"> the </w:t>
      </w:r>
      <w:r>
        <w:rPr>
          <w:kern w:val="0"/>
        </w:rPr>
        <w:t>bibliometric analysis</w:t>
      </w:r>
      <w:r w:rsidR="00427468">
        <w:rPr>
          <w:kern w:val="0"/>
        </w:rPr>
        <w:t xml:space="preserve"> of </w:t>
      </w:r>
      <w:r>
        <w:rPr>
          <w:kern w:val="0"/>
        </w:rPr>
        <w:t>731 journal articles published by evaluation theorists shows that evaluation is an intellectual field that is strongly informed by psychology</w:t>
      </w:r>
      <w:r w:rsidR="005853A9">
        <w:rPr>
          <w:kern w:val="0"/>
        </w:rPr>
        <w:t xml:space="preserve"> and </w:t>
      </w:r>
      <w:r>
        <w:rPr>
          <w:kern w:val="0"/>
        </w:rPr>
        <w:t>education, as well as a range</w:t>
      </w:r>
      <w:r w:rsidR="00427468">
        <w:rPr>
          <w:kern w:val="0"/>
        </w:rPr>
        <w:t xml:space="preserve"> of </w:t>
      </w:r>
      <w:r>
        <w:rPr>
          <w:kern w:val="0"/>
        </w:rPr>
        <w:t>other subjects</w:t>
      </w:r>
      <w:r w:rsidR="00A37C1D">
        <w:rPr>
          <w:kern w:val="0"/>
        </w:rPr>
        <w:t>. The</w:t>
      </w:r>
      <w:r>
        <w:rPr>
          <w:kern w:val="0"/>
        </w:rPr>
        <w:t>re are some consistencies in</w:t>
      </w:r>
      <w:r w:rsidR="003A1917">
        <w:rPr>
          <w:kern w:val="0"/>
        </w:rPr>
        <w:t xml:space="preserve"> the </w:t>
      </w:r>
      <w:r>
        <w:rPr>
          <w:kern w:val="0"/>
        </w:rPr>
        <w:t>publishing patterns</w:t>
      </w:r>
      <w:r w:rsidR="00427468">
        <w:rPr>
          <w:kern w:val="0"/>
        </w:rPr>
        <w:t xml:space="preserve"> of </w:t>
      </w:r>
      <w:r w:rsidR="003A1917">
        <w:rPr>
          <w:kern w:val="0"/>
        </w:rPr>
        <w:t xml:space="preserve">the </w:t>
      </w:r>
      <w:r>
        <w:rPr>
          <w:kern w:val="0"/>
        </w:rPr>
        <w:t>theorists across</w:t>
      </w:r>
      <w:r w:rsidR="003A1917">
        <w:rPr>
          <w:kern w:val="0"/>
        </w:rPr>
        <w:t xml:space="preserve"> the </w:t>
      </w:r>
      <w:r>
        <w:rPr>
          <w:kern w:val="0"/>
        </w:rPr>
        <w:t>three branches</w:t>
      </w:r>
      <w:r w:rsidR="00427468">
        <w:rPr>
          <w:kern w:val="0"/>
        </w:rPr>
        <w:t xml:space="preserve"> of </w:t>
      </w:r>
      <w:r w:rsidR="003A1917">
        <w:rPr>
          <w:kern w:val="0"/>
        </w:rPr>
        <w:t xml:space="preserve">the </w:t>
      </w:r>
      <w:r>
        <w:rPr>
          <w:kern w:val="0"/>
        </w:rPr>
        <w:t>theory tree (methods, use,</w:t>
      </w:r>
      <w:r w:rsidR="005853A9">
        <w:rPr>
          <w:kern w:val="0"/>
        </w:rPr>
        <w:t xml:space="preserve"> and </w:t>
      </w:r>
      <w:r>
        <w:rPr>
          <w:kern w:val="0"/>
        </w:rPr>
        <w:t>valuing), but multidimensional scaling maps show that each branch also exhibits a distinctive character</w:t>
      </w:r>
      <w:r w:rsidR="00427468">
        <w:rPr>
          <w:kern w:val="0"/>
        </w:rPr>
        <w:t xml:space="preserve"> of </w:t>
      </w:r>
      <w:r>
        <w:rPr>
          <w:kern w:val="0"/>
        </w:rPr>
        <w:t>its own. References to a random sample</w:t>
      </w:r>
      <w:r w:rsidR="00427468">
        <w:rPr>
          <w:kern w:val="0"/>
        </w:rPr>
        <w:t xml:space="preserve"> of </w:t>
      </w:r>
      <w:r>
        <w:rPr>
          <w:kern w:val="0"/>
        </w:rPr>
        <w:t>500 articles from a subset</w:t>
      </w:r>
      <w:r w:rsidR="00427468">
        <w:rPr>
          <w:kern w:val="0"/>
        </w:rPr>
        <w:t xml:space="preserve"> of </w:t>
      </w:r>
      <w:r>
        <w:rPr>
          <w:kern w:val="0"/>
        </w:rPr>
        <w:t>9 theorists indicate that these theorists were cited not only in</w:t>
      </w:r>
      <w:r w:rsidR="003A1917">
        <w:rPr>
          <w:kern w:val="0"/>
        </w:rPr>
        <w:t xml:space="preserve"> the </w:t>
      </w:r>
      <w:r>
        <w:rPr>
          <w:kern w:val="0"/>
        </w:rPr>
        <w:t>areas that they themselves cite, but also in areas beyond where they routinely publish.</w:t>
      </w:r>
    </w:p>
    <w:p w:rsidR="003F5083" w:rsidRDefault="003F5083" w:rsidP="003F5083">
      <w:pPr>
        <w:pStyle w:val="a3"/>
        <w:rPr>
          <w:kern w:val="0"/>
        </w:rPr>
      </w:pPr>
      <w:r>
        <w:rPr>
          <w:kern w:val="0"/>
        </w:rPr>
        <w:t xml:space="preserve">Keywords: Articles, Bibliometric, Bibliometric Analysis, Citation Analysis, Database, Education, Evaluation, Evaluation Theory, Impact, Interdisciplinary, Journal, Knowledge, Literature, Methods, Publishing, Research on Evaluation, Scaling, Science, Theory, </w:t>
      </w:r>
      <w:r w:rsidR="00D5664A">
        <w:rPr>
          <w:kern w:val="0"/>
        </w:rPr>
        <w:t>Web</w:t>
      </w:r>
      <w:r w:rsidR="00427468">
        <w:rPr>
          <w:kern w:val="0"/>
        </w:rPr>
        <w:t xml:space="preserve"> of </w:t>
      </w:r>
      <w:r w:rsidR="00D5664A">
        <w:rPr>
          <w:kern w:val="0"/>
        </w:rPr>
        <w:t>Science</w:t>
      </w:r>
    </w:p>
    <w:p w:rsidR="00CA4EED" w:rsidRDefault="00CA4EED" w:rsidP="006727AA">
      <w:pPr>
        <w:pStyle w:val="a3"/>
        <w:rPr>
          <w:kern w:val="0"/>
        </w:rPr>
      </w:pPr>
      <w:r>
        <w:rPr>
          <w:rFonts w:hint="eastAsia"/>
          <w:kern w:val="0"/>
        </w:rPr>
        <w:t>Notes: CCountry</w:t>
      </w:r>
    </w:p>
    <w:p w:rsidR="006727AA" w:rsidRDefault="006727AA" w:rsidP="006727AA">
      <w:pPr>
        <w:pStyle w:val="a3"/>
        <w:rPr>
          <w:kern w:val="0"/>
        </w:rPr>
      </w:pPr>
      <w:r>
        <w:rPr>
          <w:rFonts w:hint="eastAsia"/>
          <w:kern w:val="0"/>
        </w:rPr>
        <w:t xml:space="preserve">? </w:t>
      </w:r>
      <w:r w:rsidRPr="009B64BB">
        <w:rPr>
          <w:kern w:val="0"/>
        </w:rPr>
        <w:t>Campbell</w:t>
      </w:r>
      <w:r>
        <w:rPr>
          <w:rFonts w:hint="eastAsia"/>
          <w:kern w:val="0"/>
        </w:rPr>
        <w:t>,</w:t>
      </w:r>
      <w:r w:rsidRPr="009B64BB">
        <w:rPr>
          <w:kern w:val="0"/>
        </w:rPr>
        <w:t xml:space="preserve"> D</w:t>
      </w:r>
      <w:r>
        <w:rPr>
          <w:rFonts w:hint="eastAsia"/>
          <w:kern w:val="0"/>
        </w:rPr>
        <w:t>.,</w:t>
      </w:r>
      <w:r w:rsidRPr="009B64BB">
        <w:rPr>
          <w:kern w:val="0"/>
        </w:rPr>
        <w:t xml:space="preserve"> Picard-Aitken</w:t>
      </w:r>
      <w:r>
        <w:rPr>
          <w:rFonts w:hint="eastAsia"/>
          <w:kern w:val="0"/>
        </w:rPr>
        <w:t>,</w:t>
      </w:r>
      <w:r w:rsidRPr="009B64BB">
        <w:rPr>
          <w:kern w:val="0"/>
        </w:rPr>
        <w:t xml:space="preserve"> M</w:t>
      </w:r>
      <w:r>
        <w:rPr>
          <w:rFonts w:hint="eastAsia"/>
          <w:kern w:val="0"/>
        </w:rPr>
        <w:t>.,</w:t>
      </w:r>
      <w:r w:rsidRPr="009B64BB">
        <w:rPr>
          <w:kern w:val="0"/>
        </w:rPr>
        <w:t xml:space="preserve"> Cote</w:t>
      </w:r>
      <w:r>
        <w:rPr>
          <w:rFonts w:hint="eastAsia"/>
          <w:kern w:val="0"/>
        </w:rPr>
        <w:t>,</w:t>
      </w:r>
      <w:r w:rsidRPr="009B64BB">
        <w:rPr>
          <w:kern w:val="0"/>
        </w:rPr>
        <w:t xml:space="preserve"> G</w:t>
      </w:r>
      <w:r>
        <w:rPr>
          <w:rFonts w:hint="eastAsia"/>
          <w:kern w:val="0"/>
        </w:rPr>
        <w:t>.,</w:t>
      </w:r>
      <w:r w:rsidRPr="009B64BB">
        <w:rPr>
          <w:kern w:val="0"/>
        </w:rPr>
        <w:t xml:space="preserve"> Caruso</w:t>
      </w:r>
      <w:r>
        <w:rPr>
          <w:rFonts w:hint="eastAsia"/>
          <w:kern w:val="0"/>
        </w:rPr>
        <w:t>,</w:t>
      </w:r>
      <w:r w:rsidRPr="009B64BB">
        <w:rPr>
          <w:kern w:val="0"/>
        </w:rPr>
        <w:t xml:space="preserve"> J</w:t>
      </w:r>
      <w:r>
        <w:rPr>
          <w:rFonts w:hint="eastAsia"/>
          <w:kern w:val="0"/>
        </w:rPr>
        <w:t>.,</w:t>
      </w:r>
      <w:r w:rsidRPr="009B64BB">
        <w:rPr>
          <w:kern w:val="0"/>
        </w:rPr>
        <w:t xml:space="preserve"> Valentim</w:t>
      </w:r>
      <w:r>
        <w:rPr>
          <w:rFonts w:hint="eastAsia"/>
          <w:kern w:val="0"/>
        </w:rPr>
        <w:t>,</w:t>
      </w:r>
      <w:r w:rsidRPr="009B64BB">
        <w:rPr>
          <w:kern w:val="0"/>
        </w:rPr>
        <w:t xml:space="preserve"> R</w:t>
      </w:r>
      <w:r>
        <w:rPr>
          <w:rFonts w:hint="eastAsia"/>
          <w:kern w:val="0"/>
        </w:rPr>
        <w:t>.,</w:t>
      </w:r>
      <w:r w:rsidRPr="009B64BB">
        <w:rPr>
          <w:kern w:val="0"/>
        </w:rPr>
        <w:t xml:space="preserve"> Edmonds</w:t>
      </w:r>
      <w:r>
        <w:rPr>
          <w:rFonts w:hint="eastAsia"/>
          <w:kern w:val="0"/>
        </w:rPr>
        <w:t>,</w:t>
      </w:r>
      <w:r w:rsidRPr="009B64BB">
        <w:rPr>
          <w:kern w:val="0"/>
        </w:rPr>
        <w:t xml:space="preserve"> S</w:t>
      </w:r>
      <w:r>
        <w:rPr>
          <w:rFonts w:hint="eastAsia"/>
          <w:kern w:val="0"/>
        </w:rPr>
        <w:t>.,</w:t>
      </w:r>
      <w:r w:rsidRPr="009B64BB">
        <w:rPr>
          <w:kern w:val="0"/>
        </w:rPr>
        <w:t xml:space="preserve"> Williams</w:t>
      </w:r>
      <w:r>
        <w:rPr>
          <w:rFonts w:hint="eastAsia"/>
          <w:kern w:val="0"/>
        </w:rPr>
        <w:t>,</w:t>
      </w:r>
      <w:r w:rsidRPr="009B64BB">
        <w:rPr>
          <w:kern w:val="0"/>
        </w:rPr>
        <w:t xml:space="preserve"> G</w:t>
      </w:r>
      <w:r>
        <w:rPr>
          <w:rFonts w:hint="eastAsia"/>
          <w:kern w:val="0"/>
        </w:rPr>
        <w:t>.</w:t>
      </w:r>
      <w:r w:rsidRPr="009B64BB">
        <w:rPr>
          <w:kern w:val="0"/>
        </w:rPr>
        <w:t>T</w:t>
      </w:r>
      <w:r>
        <w:rPr>
          <w:rFonts w:hint="eastAsia"/>
          <w:kern w:val="0"/>
        </w:rPr>
        <w:t>.,</w:t>
      </w:r>
      <w:r w:rsidRPr="009B64BB">
        <w:rPr>
          <w:kern w:val="0"/>
        </w:rPr>
        <w:t xml:space="preserve"> Macaluso</w:t>
      </w:r>
      <w:r>
        <w:rPr>
          <w:rFonts w:hint="eastAsia"/>
          <w:kern w:val="0"/>
        </w:rPr>
        <w:t>,</w:t>
      </w:r>
      <w:r w:rsidRPr="009B64BB">
        <w:rPr>
          <w:kern w:val="0"/>
        </w:rPr>
        <w:t xml:space="preserve"> B</w:t>
      </w:r>
      <w:r>
        <w:rPr>
          <w:rFonts w:hint="eastAsia"/>
          <w:kern w:val="0"/>
        </w:rPr>
        <w:t>.,</w:t>
      </w:r>
      <w:r w:rsidRPr="009B64BB">
        <w:rPr>
          <w:kern w:val="0"/>
        </w:rPr>
        <w:t xml:space="preserve"> Robitaille</w:t>
      </w:r>
      <w:r>
        <w:rPr>
          <w:rFonts w:hint="eastAsia"/>
          <w:kern w:val="0"/>
        </w:rPr>
        <w:t>,</w:t>
      </w:r>
      <w:r w:rsidRPr="009B64BB">
        <w:rPr>
          <w:kern w:val="0"/>
        </w:rPr>
        <w:t xml:space="preserve"> J</w:t>
      </w:r>
      <w:r>
        <w:rPr>
          <w:rFonts w:hint="eastAsia"/>
          <w:kern w:val="0"/>
        </w:rPr>
        <w:t>.</w:t>
      </w:r>
      <w:r w:rsidRPr="009B64BB">
        <w:rPr>
          <w:kern w:val="0"/>
        </w:rPr>
        <w:t>P</w:t>
      </w:r>
      <w:r>
        <w:rPr>
          <w:rFonts w:hint="eastAsia"/>
          <w:kern w:val="0"/>
        </w:rPr>
        <w:t>.,</w:t>
      </w:r>
      <w:r w:rsidRPr="009B64BB">
        <w:rPr>
          <w:kern w:val="0"/>
        </w:rPr>
        <w:t xml:space="preserve"> Bastien</w:t>
      </w:r>
      <w:r>
        <w:rPr>
          <w:rFonts w:hint="eastAsia"/>
          <w:kern w:val="0"/>
        </w:rPr>
        <w:t>,</w:t>
      </w:r>
      <w:r w:rsidRPr="009B64BB">
        <w:rPr>
          <w:kern w:val="0"/>
        </w:rPr>
        <w:t xml:space="preserve"> N</w:t>
      </w:r>
      <w:r>
        <w:rPr>
          <w:rFonts w:hint="eastAsia"/>
          <w:kern w:val="0"/>
        </w:rPr>
        <w:t>.,</w:t>
      </w:r>
      <w:r w:rsidRPr="009B64BB">
        <w:rPr>
          <w:kern w:val="0"/>
        </w:rPr>
        <w:t xml:space="preserve"> Laframboise</w:t>
      </w:r>
      <w:r>
        <w:rPr>
          <w:rFonts w:hint="eastAsia"/>
          <w:kern w:val="0"/>
        </w:rPr>
        <w:t>,</w:t>
      </w:r>
      <w:r w:rsidRPr="009B64BB">
        <w:rPr>
          <w:kern w:val="0"/>
        </w:rPr>
        <w:t xml:space="preserve"> M</w:t>
      </w:r>
      <w:r>
        <w:rPr>
          <w:rFonts w:hint="eastAsia"/>
          <w:kern w:val="0"/>
        </w:rPr>
        <w:t>.</w:t>
      </w:r>
      <w:r w:rsidRPr="009B64BB">
        <w:rPr>
          <w:kern w:val="0"/>
        </w:rPr>
        <w:t>C</w:t>
      </w:r>
      <w:r>
        <w:rPr>
          <w:rFonts w:hint="eastAsia"/>
          <w:kern w:val="0"/>
        </w:rPr>
        <w:t>.,</w:t>
      </w:r>
      <w:r w:rsidRPr="009B64BB">
        <w:rPr>
          <w:kern w:val="0"/>
        </w:rPr>
        <w:t xml:space="preserve"> Lebeau</w:t>
      </w:r>
      <w:r>
        <w:rPr>
          <w:rFonts w:hint="eastAsia"/>
          <w:kern w:val="0"/>
        </w:rPr>
        <w:t>,</w:t>
      </w:r>
      <w:r w:rsidRPr="009B64BB">
        <w:rPr>
          <w:kern w:val="0"/>
        </w:rPr>
        <w:t xml:space="preserve"> L</w:t>
      </w:r>
      <w:r>
        <w:rPr>
          <w:rFonts w:hint="eastAsia"/>
          <w:kern w:val="0"/>
        </w:rPr>
        <w:t>.</w:t>
      </w:r>
      <w:r w:rsidRPr="009B64BB">
        <w:rPr>
          <w:kern w:val="0"/>
        </w:rPr>
        <w:t>M</w:t>
      </w:r>
      <w:r>
        <w:rPr>
          <w:rFonts w:hint="eastAsia"/>
          <w:kern w:val="0"/>
        </w:rPr>
        <w:t>.,</w:t>
      </w:r>
      <w:r w:rsidRPr="009B64BB">
        <w:rPr>
          <w:kern w:val="0"/>
        </w:rPr>
        <w:t xml:space="preserve"> Mirabel</w:t>
      </w:r>
      <w:r>
        <w:rPr>
          <w:rFonts w:hint="eastAsia"/>
          <w:kern w:val="0"/>
        </w:rPr>
        <w:t>,</w:t>
      </w:r>
      <w:r w:rsidRPr="009B64BB">
        <w:rPr>
          <w:kern w:val="0"/>
        </w:rPr>
        <w:t xml:space="preserve"> P</w:t>
      </w:r>
      <w:r>
        <w:rPr>
          <w:rFonts w:hint="eastAsia"/>
          <w:kern w:val="0"/>
        </w:rPr>
        <w:t>.,</w:t>
      </w:r>
      <w:r w:rsidRPr="009B64BB">
        <w:rPr>
          <w:kern w:val="0"/>
        </w:rPr>
        <w:t xml:space="preserve"> Lariviere</w:t>
      </w:r>
      <w:r>
        <w:rPr>
          <w:rFonts w:hint="eastAsia"/>
          <w:kern w:val="0"/>
        </w:rPr>
        <w:t>,</w:t>
      </w:r>
      <w:r w:rsidRPr="009B64BB">
        <w:rPr>
          <w:kern w:val="0"/>
        </w:rPr>
        <w:t xml:space="preserve"> V</w:t>
      </w:r>
      <w:r>
        <w:rPr>
          <w:rFonts w:hint="eastAsia"/>
          <w:kern w:val="0"/>
        </w:rPr>
        <w:t>.</w:t>
      </w:r>
      <w:r w:rsidR="005853A9">
        <w:rPr>
          <w:rFonts w:hint="eastAsia"/>
          <w:kern w:val="0"/>
        </w:rPr>
        <w:t xml:space="preserve"> and </w:t>
      </w:r>
      <w:r w:rsidRPr="009B64BB">
        <w:rPr>
          <w:kern w:val="0"/>
        </w:rPr>
        <w:t>Archambault</w:t>
      </w:r>
      <w:r>
        <w:rPr>
          <w:rFonts w:hint="eastAsia"/>
          <w:kern w:val="0"/>
        </w:rPr>
        <w:t>,</w:t>
      </w:r>
      <w:r w:rsidRPr="009B64BB">
        <w:rPr>
          <w:kern w:val="0"/>
        </w:rPr>
        <w:t xml:space="preserve"> E</w:t>
      </w:r>
      <w:r>
        <w:rPr>
          <w:rFonts w:hint="eastAsia"/>
          <w:kern w:val="0"/>
        </w:rPr>
        <w:t>.</w:t>
      </w:r>
      <w:r>
        <w:rPr>
          <w:kern w:val="0"/>
        </w:rPr>
        <w:t xml:space="preserve"> (2010), </w:t>
      </w:r>
      <w:r w:rsidRPr="009B64BB">
        <w:rPr>
          <w:kern w:val="0"/>
        </w:rPr>
        <w:t>Bibliometrics as a performance measurement tool for research evaluation:</w:t>
      </w:r>
      <w:r w:rsidR="003A1917">
        <w:rPr>
          <w:kern w:val="0"/>
        </w:rPr>
        <w:t xml:space="preserve"> the </w:t>
      </w:r>
      <w:r w:rsidRPr="009B64BB">
        <w:rPr>
          <w:kern w:val="0"/>
        </w:rPr>
        <w:t>case</w:t>
      </w:r>
      <w:r w:rsidR="00427468">
        <w:rPr>
          <w:kern w:val="0"/>
        </w:rPr>
        <w:t xml:space="preserve"> of </w:t>
      </w:r>
      <w:r w:rsidRPr="009B64BB">
        <w:rPr>
          <w:kern w:val="0"/>
        </w:rPr>
        <w:t>research funded by</w:t>
      </w:r>
      <w:r w:rsidR="003A1917">
        <w:rPr>
          <w:kern w:val="0"/>
        </w:rPr>
        <w:t xml:space="preserve"> the </w:t>
      </w:r>
      <w:r w:rsidRPr="009B64BB">
        <w:rPr>
          <w:kern w:val="0"/>
        </w:rPr>
        <w:t>National Cancer Institute</w:t>
      </w:r>
      <w:r w:rsidR="00427468">
        <w:rPr>
          <w:kern w:val="0"/>
        </w:rPr>
        <w:t xml:space="preserve"> of </w:t>
      </w:r>
      <w:r w:rsidRPr="009B64BB">
        <w:rPr>
          <w:kern w:val="0"/>
        </w:rPr>
        <w:t>Canada</w:t>
      </w:r>
      <w:r>
        <w:rPr>
          <w:kern w:val="0"/>
        </w:rPr>
        <w:t xml:space="preserve">. </w:t>
      </w:r>
      <w:r>
        <w:rPr>
          <w:i/>
          <w:iCs/>
          <w:kern w:val="0"/>
        </w:rPr>
        <w:t>American Journal</w:t>
      </w:r>
      <w:r w:rsidR="00427468">
        <w:rPr>
          <w:i/>
          <w:iCs/>
          <w:kern w:val="0"/>
        </w:rPr>
        <w:t xml:space="preserve"> of </w:t>
      </w:r>
      <w:r>
        <w:rPr>
          <w:i/>
          <w:iCs/>
          <w:kern w:val="0"/>
        </w:rPr>
        <w:t>Evaluation</w:t>
      </w:r>
      <w:r>
        <w:rPr>
          <w:kern w:val="0"/>
        </w:rPr>
        <w:t xml:space="preserve">, </w:t>
      </w:r>
      <w:r>
        <w:rPr>
          <w:b/>
          <w:bCs/>
          <w:kern w:val="0"/>
        </w:rPr>
        <w:t>31</w:t>
      </w:r>
      <w:r>
        <w:rPr>
          <w:kern w:val="0"/>
        </w:rPr>
        <w:t xml:space="preserve"> (1), </w:t>
      </w:r>
      <w:r w:rsidRPr="009B64BB">
        <w:rPr>
          <w:kern w:val="0"/>
        </w:rPr>
        <w:t>66-83</w:t>
      </w:r>
      <w:r>
        <w:rPr>
          <w:kern w:val="0"/>
        </w:rPr>
        <w:t>.</w:t>
      </w:r>
    </w:p>
    <w:p w:rsidR="006727AA" w:rsidRDefault="006727AA" w:rsidP="006727AA">
      <w:pPr>
        <w:pStyle w:val="a3"/>
        <w:rPr>
          <w:kern w:val="0"/>
        </w:rPr>
      </w:pPr>
      <w:r w:rsidRPr="001A3D2B">
        <w:rPr>
          <w:kern w:val="0"/>
        </w:rPr>
        <w:t xml:space="preserve">Full Text: </w:t>
      </w:r>
      <w:hyperlink r:id="rId466" w:history="1">
        <w:r w:rsidRPr="009B64BB">
          <w:rPr>
            <w:rStyle w:val="a5"/>
            <w:kern w:val="0"/>
          </w:rPr>
          <w:t>2010\Ame J Eva31, 66.pdf</w:t>
        </w:r>
      </w:hyperlink>
    </w:p>
    <w:p w:rsidR="006727AA" w:rsidRPr="009B64BB" w:rsidRDefault="006727AA" w:rsidP="006727AA">
      <w:pPr>
        <w:pStyle w:val="a3"/>
        <w:rPr>
          <w:kern w:val="0"/>
        </w:rPr>
      </w:pPr>
      <w:r w:rsidRPr="009B64BB">
        <w:rPr>
          <w:kern w:val="0"/>
        </w:rPr>
        <w:t>Abstract: As bibliometric indicators are objective, reliable,</w:t>
      </w:r>
      <w:r w:rsidR="005853A9">
        <w:rPr>
          <w:kern w:val="0"/>
        </w:rPr>
        <w:t xml:space="preserve"> and </w:t>
      </w:r>
      <w:r w:rsidRPr="009B64BB">
        <w:rPr>
          <w:kern w:val="0"/>
        </w:rPr>
        <w:t>cost-effective measures</w:t>
      </w:r>
      <w:r w:rsidR="00427468">
        <w:rPr>
          <w:kern w:val="0"/>
        </w:rPr>
        <w:t xml:space="preserve"> of </w:t>
      </w:r>
      <w:r w:rsidRPr="009B64BB">
        <w:rPr>
          <w:kern w:val="0"/>
        </w:rPr>
        <w:t>peer-reviewed research outputs, they are expected to play an increasingly important role in research assessment/management. Recently, a bibliometric approach was developed</w:t>
      </w:r>
      <w:r w:rsidR="005853A9">
        <w:rPr>
          <w:kern w:val="0"/>
        </w:rPr>
        <w:t xml:space="preserve"> and </w:t>
      </w:r>
      <w:r w:rsidRPr="009B64BB">
        <w:rPr>
          <w:kern w:val="0"/>
        </w:rPr>
        <w:t>integrated within</w:t>
      </w:r>
      <w:r w:rsidR="003A1917">
        <w:rPr>
          <w:kern w:val="0"/>
        </w:rPr>
        <w:t xml:space="preserve"> the </w:t>
      </w:r>
      <w:r w:rsidRPr="009B64BB">
        <w:rPr>
          <w:kern w:val="0"/>
        </w:rPr>
        <w:t>evaluation framework</w:t>
      </w:r>
      <w:r w:rsidR="00427468">
        <w:rPr>
          <w:kern w:val="0"/>
        </w:rPr>
        <w:t xml:space="preserve"> of </w:t>
      </w:r>
      <w:r w:rsidRPr="009B64BB">
        <w:rPr>
          <w:kern w:val="0"/>
        </w:rPr>
        <w:t>research funded by</w:t>
      </w:r>
      <w:r w:rsidR="003A1917">
        <w:rPr>
          <w:kern w:val="0"/>
        </w:rPr>
        <w:t xml:space="preserve"> the </w:t>
      </w:r>
      <w:r w:rsidRPr="009B64BB">
        <w:rPr>
          <w:kern w:val="0"/>
        </w:rPr>
        <w:t>National Cancer Institute</w:t>
      </w:r>
      <w:r w:rsidR="00427468">
        <w:rPr>
          <w:kern w:val="0"/>
        </w:rPr>
        <w:t xml:space="preserve"> of </w:t>
      </w:r>
      <w:r w:rsidRPr="009B64BB">
        <w:rPr>
          <w:kern w:val="0"/>
        </w:rPr>
        <w:t>Canada (NCIC). This approach helped address</w:t>
      </w:r>
      <w:r w:rsidR="003A1917">
        <w:rPr>
          <w:kern w:val="0"/>
        </w:rPr>
        <w:t xml:space="preserve"> the </w:t>
      </w:r>
      <w:r w:rsidRPr="009B64BB">
        <w:rPr>
          <w:kern w:val="0"/>
        </w:rPr>
        <w:t>following questions that were difficult to answer objectively using alternative methods such as program documentation review</w:t>
      </w:r>
      <w:r w:rsidR="005853A9">
        <w:rPr>
          <w:kern w:val="0"/>
        </w:rPr>
        <w:t xml:space="preserve"> and </w:t>
      </w:r>
      <w:r w:rsidRPr="009B64BB">
        <w:rPr>
          <w:kern w:val="0"/>
        </w:rPr>
        <w:t>key informant interviews: (a) Has</w:t>
      </w:r>
      <w:r w:rsidR="003A1917">
        <w:rPr>
          <w:kern w:val="0"/>
        </w:rPr>
        <w:t xml:space="preserve"> the </w:t>
      </w:r>
      <w:r w:rsidRPr="009B64BB">
        <w:rPr>
          <w:kern w:val="0"/>
        </w:rPr>
        <w:t>NCIC peer-review process selected outstanding Canadian scientists in cancer research? (b) Have</w:t>
      </w:r>
      <w:r w:rsidR="003A1917">
        <w:rPr>
          <w:kern w:val="0"/>
        </w:rPr>
        <w:t xml:space="preserve"> the </w:t>
      </w:r>
      <w:r w:rsidRPr="009B64BB">
        <w:rPr>
          <w:kern w:val="0"/>
        </w:rPr>
        <w:t>NCIC grants contributed to increasing</w:t>
      </w:r>
      <w:r w:rsidR="003A1917">
        <w:rPr>
          <w:kern w:val="0"/>
        </w:rPr>
        <w:t xml:space="preserve"> the </w:t>
      </w:r>
      <w:r w:rsidRPr="009B64BB">
        <w:rPr>
          <w:kern w:val="0"/>
        </w:rPr>
        <w:t>scientific performance</w:t>
      </w:r>
      <w:r w:rsidR="00427468">
        <w:rPr>
          <w:kern w:val="0"/>
        </w:rPr>
        <w:t xml:space="preserve"> of </w:t>
      </w:r>
      <w:r w:rsidRPr="009B64BB">
        <w:rPr>
          <w:kern w:val="0"/>
        </w:rPr>
        <w:t>supported researchers? (c) How do</w:t>
      </w:r>
      <w:r w:rsidR="003A1917">
        <w:rPr>
          <w:kern w:val="0"/>
        </w:rPr>
        <w:t xml:space="preserve"> the </w:t>
      </w:r>
      <w:r w:rsidRPr="009B64BB">
        <w:rPr>
          <w:kern w:val="0"/>
        </w:rPr>
        <w:t>NCIC-supported researchers compare to their neighbors supported by</w:t>
      </w:r>
      <w:r w:rsidR="003A1917">
        <w:rPr>
          <w:kern w:val="0"/>
        </w:rPr>
        <w:t xml:space="preserve"> the </w:t>
      </w:r>
      <w:r w:rsidRPr="009B64BB">
        <w:rPr>
          <w:kern w:val="0"/>
        </w:rPr>
        <w:t>U. S. National Cancer Institute? Using</w:t>
      </w:r>
      <w:r w:rsidR="003A1917">
        <w:rPr>
          <w:kern w:val="0"/>
        </w:rPr>
        <w:t xml:space="preserve"> the </w:t>
      </w:r>
      <w:r w:rsidRPr="009B64BB">
        <w:rPr>
          <w:kern w:val="0"/>
        </w:rPr>
        <w:t>NCIC evaluation as a case study, this article demonstrates</w:t>
      </w:r>
      <w:r w:rsidR="003A1917">
        <w:rPr>
          <w:kern w:val="0"/>
        </w:rPr>
        <w:t xml:space="preserve"> the </w:t>
      </w:r>
      <w:r w:rsidRPr="009B64BB">
        <w:rPr>
          <w:kern w:val="0"/>
        </w:rPr>
        <w:lastRenderedPageBreak/>
        <w:t>usefulness</w:t>
      </w:r>
      <w:r w:rsidR="00427468">
        <w:rPr>
          <w:kern w:val="0"/>
        </w:rPr>
        <w:t xml:space="preserve"> of </w:t>
      </w:r>
      <w:r w:rsidRPr="009B64BB">
        <w:rPr>
          <w:kern w:val="0"/>
        </w:rPr>
        <w:t>bibliometrics to address key evaluation questions</w:t>
      </w:r>
      <w:r w:rsidR="005853A9">
        <w:rPr>
          <w:kern w:val="0"/>
        </w:rPr>
        <w:t xml:space="preserve"> and </w:t>
      </w:r>
      <w:r w:rsidRPr="009B64BB">
        <w:rPr>
          <w:kern w:val="0"/>
        </w:rPr>
        <w:t>discusses its integration, along complementary indicators (e. g., peer ratings), in a practice-driven</w:t>
      </w:r>
      <w:r>
        <w:rPr>
          <w:kern w:val="0"/>
        </w:rPr>
        <w:t xml:space="preserve"> research evaluation continuum.</w:t>
      </w:r>
    </w:p>
    <w:p w:rsidR="006727AA" w:rsidRPr="001A3D2B" w:rsidRDefault="006727AA" w:rsidP="006727AA">
      <w:pPr>
        <w:pStyle w:val="a3"/>
        <w:rPr>
          <w:kern w:val="0"/>
        </w:rPr>
      </w:pPr>
      <w:r w:rsidRPr="009B64BB">
        <w:rPr>
          <w:kern w:val="0"/>
        </w:rPr>
        <w:t>Keywords: Bibliometrics</w:t>
      </w:r>
      <w:r>
        <w:rPr>
          <w:kern w:val="0"/>
        </w:rPr>
        <w:t>,</w:t>
      </w:r>
      <w:r w:rsidRPr="009B64BB">
        <w:rPr>
          <w:kern w:val="0"/>
        </w:rPr>
        <w:t xml:space="preserve"> Citation Analysis</w:t>
      </w:r>
      <w:r>
        <w:rPr>
          <w:kern w:val="0"/>
        </w:rPr>
        <w:t>,</w:t>
      </w:r>
      <w:r w:rsidRPr="009B64BB">
        <w:rPr>
          <w:kern w:val="0"/>
        </w:rPr>
        <w:t xml:space="preserve"> Grant Program</w:t>
      </w:r>
      <w:r>
        <w:rPr>
          <w:kern w:val="0"/>
        </w:rPr>
        <w:t>,</w:t>
      </w:r>
      <w:r w:rsidRPr="009B64BB">
        <w:rPr>
          <w:kern w:val="0"/>
        </w:rPr>
        <w:t xml:space="preserve"> Performance Measurement</w:t>
      </w:r>
      <w:r>
        <w:rPr>
          <w:kern w:val="0"/>
        </w:rPr>
        <w:t>,</w:t>
      </w:r>
      <w:r w:rsidRPr="009B64BB">
        <w:rPr>
          <w:kern w:val="0"/>
        </w:rPr>
        <w:t xml:space="preserve"> Research Evaluation</w:t>
      </w:r>
      <w:r>
        <w:rPr>
          <w:kern w:val="0"/>
        </w:rPr>
        <w:t xml:space="preserve">, </w:t>
      </w:r>
      <w:r w:rsidRPr="009B64BB">
        <w:rPr>
          <w:kern w:val="0"/>
        </w:rPr>
        <w:t>Citation</w:t>
      </w:r>
      <w:r>
        <w:rPr>
          <w:kern w:val="0"/>
        </w:rPr>
        <w:t>,</w:t>
      </w:r>
      <w:r w:rsidRPr="009B64BB">
        <w:rPr>
          <w:kern w:val="0"/>
        </w:rPr>
        <w:t xml:space="preserve"> I</w:t>
      </w:r>
      <w:r>
        <w:rPr>
          <w:kern w:val="0"/>
        </w:rPr>
        <w:t>ndicators, Journals</w:t>
      </w:r>
    </w:p>
    <w:p w:rsidR="007E68F3" w:rsidRPr="00F219CA" w:rsidRDefault="007E68F3" w:rsidP="007E68F3">
      <w:pPr>
        <w:pStyle w:val="1"/>
      </w:pPr>
      <w:r w:rsidRPr="00F219CA">
        <w:br w:type="page"/>
      </w:r>
      <w:bookmarkStart w:id="261" w:name="_Toc293385956"/>
      <w:bookmarkStart w:id="262" w:name="_Toc420814388"/>
      <w:r w:rsidRPr="00F219CA">
        <w:lastRenderedPageBreak/>
        <w:t>Title: American Journal</w:t>
      </w:r>
      <w:r w:rsidR="00427468">
        <w:t xml:space="preserve"> of </w:t>
      </w:r>
      <w:r w:rsidRPr="00F219CA">
        <w:t>Forensic Medicine</w:t>
      </w:r>
      <w:r w:rsidR="005853A9">
        <w:t xml:space="preserve"> and </w:t>
      </w:r>
      <w:r w:rsidRPr="00F219CA">
        <w:t>Pathology</w:t>
      </w:r>
      <w:bookmarkEnd w:id="261"/>
      <w:bookmarkEnd w:id="262"/>
    </w:p>
    <w:p w:rsidR="007E68F3" w:rsidRPr="00F219CA" w:rsidRDefault="007E68F3" w:rsidP="007E68F3">
      <w:pPr>
        <w:pStyle w:val="a3"/>
        <w:rPr>
          <w:color w:val="0000FF"/>
        </w:rPr>
      </w:pPr>
      <w:r w:rsidRPr="00F219CA">
        <w:rPr>
          <w:color w:val="0000FF"/>
        </w:rPr>
        <w:t>Full Journal Title: American Journal</w:t>
      </w:r>
      <w:r w:rsidR="00427468">
        <w:rPr>
          <w:color w:val="0000FF"/>
        </w:rPr>
        <w:t xml:space="preserve"> of </w:t>
      </w:r>
      <w:r w:rsidRPr="00F219CA">
        <w:rPr>
          <w:color w:val="0000FF"/>
        </w:rPr>
        <w:t>Forensic Medicine</w:t>
      </w:r>
      <w:r w:rsidR="005853A9">
        <w:rPr>
          <w:color w:val="0000FF"/>
        </w:rPr>
        <w:t xml:space="preserve"> and </w:t>
      </w:r>
      <w:r w:rsidRPr="00F219CA">
        <w:rPr>
          <w:color w:val="0000FF"/>
        </w:rPr>
        <w:t>Pathology</w:t>
      </w:r>
    </w:p>
    <w:p w:rsidR="007E68F3" w:rsidRPr="00F219CA" w:rsidRDefault="007E68F3" w:rsidP="007E68F3">
      <w:pPr>
        <w:pStyle w:val="a3"/>
        <w:rPr>
          <w:color w:val="0000FF"/>
        </w:rPr>
      </w:pPr>
      <w:r w:rsidRPr="00F219CA">
        <w:rPr>
          <w:color w:val="0000FF"/>
        </w:rPr>
        <w:t>ISO Abbreviated Title: Am. J. Forensic Med. Pathol.</w:t>
      </w:r>
    </w:p>
    <w:p w:rsidR="007E68F3" w:rsidRPr="00F219CA" w:rsidRDefault="007E68F3" w:rsidP="007E68F3">
      <w:pPr>
        <w:pStyle w:val="a3"/>
        <w:rPr>
          <w:color w:val="0000FF"/>
        </w:rPr>
      </w:pPr>
      <w:r w:rsidRPr="00F219CA">
        <w:rPr>
          <w:color w:val="0000FF"/>
        </w:rPr>
        <w:t>JCR Abbreviated Title: Am J Foren Med Path</w:t>
      </w:r>
    </w:p>
    <w:p w:rsidR="007E68F3" w:rsidRPr="00F219CA" w:rsidRDefault="007E68F3" w:rsidP="007E68F3">
      <w:pPr>
        <w:pStyle w:val="a3"/>
        <w:rPr>
          <w:color w:val="0000FF"/>
        </w:rPr>
      </w:pPr>
      <w:r w:rsidRPr="00F219CA">
        <w:rPr>
          <w:color w:val="0000FF"/>
        </w:rPr>
        <w:t>ISSN: 0195-7910</w:t>
      </w:r>
    </w:p>
    <w:p w:rsidR="007E68F3" w:rsidRPr="00F219CA" w:rsidRDefault="007E68F3" w:rsidP="007E68F3">
      <w:pPr>
        <w:pStyle w:val="a3"/>
        <w:rPr>
          <w:color w:val="0000FF"/>
        </w:rPr>
      </w:pPr>
      <w:r w:rsidRPr="00F219CA">
        <w:rPr>
          <w:color w:val="0000FF"/>
        </w:rPr>
        <w:t>Issues/Year: 4</w:t>
      </w:r>
    </w:p>
    <w:p w:rsidR="007E68F3" w:rsidRPr="00F219CA" w:rsidRDefault="007E68F3" w:rsidP="007E68F3">
      <w:pPr>
        <w:pStyle w:val="a3"/>
        <w:rPr>
          <w:color w:val="0000FF"/>
        </w:rPr>
      </w:pPr>
      <w:r w:rsidRPr="00F219CA">
        <w:rPr>
          <w:color w:val="0000FF"/>
        </w:rPr>
        <w:t>Journal Country/Territory: United States</w:t>
      </w:r>
    </w:p>
    <w:p w:rsidR="007E68F3" w:rsidRPr="00F219CA" w:rsidRDefault="007E68F3" w:rsidP="007E68F3">
      <w:pPr>
        <w:pStyle w:val="a3"/>
        <w:rPr>
          <w:color w:val="0000FF"/>
        </w:rPr>
      </w:pPr>
      <w:r w:rsidRPr="00F219CA">
        <w:rPr>
          <w:color w:val="0000FF"/>
        </w:rPr>
        <w:t>Language: English</w:t>
      </w:r>
    </w:p>
    <w:p w:rsidR="007E68F3" w:rsidRPr="00F219CA" w:rsidRDefault="007E68F3" w:rsidP="007E68F3">
      <w:pPr>
        <w:pStyle w:val="a3"/>
        <w:rPr>
          <w:color w:val="0000FF"/>
        </w:rPr>
      </w:pPr>
      <w:r w:rsidRPr="00F219CA">
        <w:rPr>
          <w:color w:val="0000FF"/>
        </w:rPr>
        <w:t>Publisher: Lippincott Williams &amp; Wilkins</w:t>
      </w:r>
    </w:p>
    <w:p w:rsidR="007E68F3" w:rsidRPr="00F219CA" w:rsidRDefault="007E68F3" w:rsidP="007E68F3">
      <w:pPr>
        <w:pStyle w:val="a3"/>
        <w:rPr>
          <w:color w:val="0000FF"/>
        </w:rPr>
      </w:pPr>
      <w:r w:rsidRPr="00F219CA">
        <w:rPr>
          <w:color w:val="0000FF"/>
        </w:rPr>
        <w:t>Publisher Address: 530 Walnut St, Philadelphia, PA 19106-3621</w:t>
      </w:r>
    </w:p>
    <w:p w:rsidR="007E68F3" w:rsidRPr="00F219CA" w:rsidRDefault="007E68F3" w:rsidP="007E68F3">
      <w:pPr>
        <w:pStyle w:val="a3"/>
        <w:rPr>
          <w:color w:val="0000FF"/>
        </w:rPr>
      </w:pPr>
      <w:r w:rsidRPr="00F219CA">
        <w:rPr>
          <w:color w:val="0000FF"/>
        </w:rPr>
        <w:t xml:space="preserve">Subject Categories: </w:t>
      </w:r>
    </w:p>
    <w:p w:rsidR="007E68F3" w:rsidRPr="00F219CA" w:rsidRDefault="007E68F3" w:rsidP="007E68F3">
      <w:pPr>
        <w:pStyle w:val="a3"/>
        <w:rPr>
          <w:color w:val="0000FF"/>
        </w:rPr>
      </w:pPr>
      <w:r w:rsidRPr="00F219CA">
        <w:rPr>
          <w:color w:val="0000FF"/>
        </w:rPr>
        <w:t xml:space="preserve">Medicine, Legal Pathology: Impact Factor </w:t>
      </w:r>
    </w:p>
    <w:p w:rsidR="007E68F3" w:rsidRDefault="007E68F3" w:rsidP="007E68F3">
      <w:pPr>
        <w:pStyle w:val="a3"/>
        <w:rPr>
          <w:kern w:val="0"/>
        </w:rPr>
      </w:pPr>
      <w:r>
        <w:rPr>
          <w:rFonts w:hint="eastAsia"/>
          <w:kern w:val="0"/>
        </w:rPr>
        <w:t xml:space="preserve">? </w:t>
      </w:r>
      <w:r>
        <w:rPr>
          <w:kern w:val="0"/>
        </w:rPr>
        <w:t>Kanchan, T., Menezes, R.G.</w:t>
      </w:r>
      <w:r w:rsidR="005853A9">
        <w:rPr>
          <w:kern w:val="0"/>
        </w:rPr>
        <w:t xml:space="preserve"> and </w:t>
      </w:r>
      <w:r>
        <w:rPr>
          <w:kern w:val="0"/>
        </w:rPr>
        <w:t xml:space="preserve">Kalthur, S.G. (2010), </w:t>
      </w:r>
      <w:r w:rsidR="00B5188C">
        <w:rPr>
          <w:kern w:val="0"/>
        </w:rPr>
        <w:t>“</w:t>
      </w:r>
      <w:r>
        <w:rPr>
          <w:kern w:val="0"/>
        </w:rPr>
        <w:t>Unintentional</w:t>
      </w:r>
      <w:r w:rsidR="00B5188C">
        <w:rPr>
          <w:kern w:val="0"/>
        </w:rPr>
        <w:t>”</w:t>
      </w:r>
      <w:r>
        <w:rPr>
          <w:kern w:val="0"/>
        </w:rPr>
        <w:t xml:space="preserve"> self-plagiarism. </w:t>
      </w:r>
      <w:r>
        <w:rPr>
          <w:i/>
          <w:iCs/>
          <w:kern w:val="0"/>
        </w:rPr>
        <w:t>American Journal</w:t>
      </w:r>
      <w:r w:rsidR="00427468">
        <w:rPr>
          <w:i/>
          <w:iCs/>
          <w:kern w:val="0"/>
        </w:rPr>
        <w:t xml:space="preserve"> of </w:t>
      </w:r>
      <w:r>
        <w:rPr>
          <w:i/>
          <w:iCs/>
          <w:kern w:val="0"/>
        </w:rPr>
        <w:t>Forensic Medicine</w:t>
      </w:r>
      <w:r w:rsidR="005853A9">
        <w:rPr>
          <w:i/>
          <w:iCs/>
          <w:kern w:val="0"/>
        </w:rPr>
        <w:t xml:space="preserve"> and </w:t>
      </w:r>
      <w:r>
        <w:rPr>
          <w:i/>
          <w:iCs/>
          <w:kern w:val="0"/>
        </w:rPr>
        <w:t>Pathology</w:t>
      </w:r>
      <w:r>
        <w:rPr>
          <w:kern w:val="0"/>
        </w:rPr>
        <w:t xml:space="preserve">, </w:t>
      </w:r>
      <w:r>
        <w:rPr>
          <w:b/>
          <w:bCs/>
          <w:kern w:val="0"/>
        </w:rPr>
        <w:t>31</w:t>
      </w:r>
      <w:r>
        <w:rPr>
          <w:kern w:val="0"/>
        </w:rPr>
        <w:t xml:space="preserve"> (4), E10</w:t>
      </w:r>
      <w:r>
        <w:rPr>
          <w:rFonts w:hint="eastAsia"/>
          <w:kern w:val="0"/>
        </w:rPr>
        <w:t>.</w:t>
      </w:r>
    </w:p>
    <w:p w:rsidR="007E68F3" w:rsidRDefault="007E68F3" w:rsidP="007E68F3">
      <w:pPr>
        <w:pStyle w:val="a3"/>
        <w:rPr>
          <w:kern w:val="0"/>
        </w:rPr>
      </w:pPr>
      <w:r>
        <w:rPr>
          <w:kern w:val="0"/>
        </w:rPr>
        <w:t>Keywords: South-Africa, Transkei Region</w:t>
      </w:r>
    </w:p>
    <w:p w:rsidR="003474F2" w:rsidRPr="001A3D2B" w:rsidRDefault="003474F2" w:rsidP="003474F2">
      <w:pPr>
        <w:pStyle w:val="1"/>
      </w:pPr>
      <w:r w:rsidRPr="001A3D2B">
        <w:br w:type="page"/>
      </w:r>
      <w:bookmarkStart w:id="263" w:name="_Toc38335230"/>
      <w:bookmarkStart w:id="264" w:name="_Toc43634524"/>
      <w:bookmarkStart w:id="265" w:name="_Toc81215588"/>
      <w:bookmarkStart w:id="266" w:name="_Toc420814389"/>
      <w:r w:rsidRPr="001A3D2B">
        <w:lastRenderedPageBreak/>
        <w:t>Title: American Journal</w:t>
      </w:r>
      <w:r w:rsidR="00427468">
        <w:t xml:space="preserve"> of </w:t>
      </w:r>
      <w:r w:rsidRPr="001A3D2B">
        <w:t>Gastroenterology</w:t>
      </w:r>
      <w:bookmarkEnd w:id="263"/>
      <w:bookmarkEnd w:id="264"/>
      <w:bookmarkEnd w:id="265"/>
      <w:bookmarkEnd w:id="266"/>
    </w:p>
    <w:p w:rsidR="003474F2" w:rsidRPr="001A3D2B" w:rsidRDefault="003474F2" w:rsidP="003474F2">
      <w:pPr>
        <w:pStyle w:val="12"/>
      </w:pPr>
      <w:r w:rsidRPr="001A3D2B">
        <w:t xml:space="preserve">Full Journal Title: </w:t>
      </w:r>
      <w:hyperlink r:id="rId467" w:history="1">
        <w:r w:rsidRPr="001A3D2B">
          <w:rPr>
            <w:rStyle w:val="a5"/>
          </w:rPr>
          <w:t>American Journal</w:t>
        </w:r>
        <w:r w:rsidR="00427468">
          <w:rPr>
            <w:rStyle w:val="a5"/>
          </w:rPr>
          <w:t xml:space="preserve"> of </w:t>
        </w:r>
        <w:r w:rsidRPr="001A3D2B">
          <w:rPr>
            <w:rStyle w:val="a5"/>
          </w:rPr>
          <w:t>Gastroenterology</w:t>
        </w:r>
      </w:hyperlink>
    </w:p>
    <w:p w:rsidR="003474F2" w:rsidRPr="001A3D2B" w:rsidRDefault="003474F2" w:rsidP="003474F2">
      <w:pPr>
        <w:pStyle w:val="12"/>
      </w:pPr>
      <w:r w:rsidRPr="001A3D2B">
        <w:t>ISO Abbreviated Title: Am. J. Gastroenterol.</w:t>
      </w:r>
    </w:p>
    <w:p w:rsidR="003474F2" w:rsidRPr="001A3D2B" w:rsidRDefault="003474F2" w:rsidP="003474F2">
      <w:pPr>
        <w:pStyle w:val="12"/>
      </w:pPr>
      <w:r w:rsidRPr="001A3D2B">
        <w:t>JCR Abbreviated Title: Am J Gastroenterol</w:t>
      </w:r>
    </w:p>
    <w:p w:rsidR="003474F2" w:rsidRPr="001A3D2B" w:rsidRDefault="003474F2" w:rsidP="003474F2">
      <w:pPr>
        <w:pStyle w:val="12"/>
      </w:pPr>
      <w:r w:rsidRPr="001A3D2B">
        <w:t>ISSN: 0002-9270</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Science Inc</w:t>
      </w:r>
    </w:p>
    <w:p w:rsidR="003474F2" w:rsidRPr="001A3D2B" w:rsidRDefault="003474F2" w:rsidP="003474F2">
      <w:pPr>
        <w:pStyle w:val="12"/>
      </w:pPr>
      <w:r w:rsidRPr="001A3D2B">
        <w:t>Publisher Address: 655 Avenue</w:t>
      </w:r>
      <w:r w:rsidR="00427468">
        <w:t xml:space="preserve"> of </w:t>
      </w:r>
      <w:r w:rsidR="003A1917">
        <w:t xml:space="preserve">the </w:t>
      </w:r>
      <w:r w:rsidRPr="001A3D2B">
        <w:t xml:space="preserve">Americas, </w:t>
      </w:r>
      <w:smartTag w:uri="urn:schemas-microsoft-com:office:smarttags" w:element="place">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Gastroenterology &amp; Hepatology: Impact Factor 3.549,/(2001)</w:t>
      </w:r>
    </w:p>
    <w:p w:rsidR="003474F2" w:rsidRPr="001A3D2B" w:rsidRDefault="003474F2" w:rsidP="003474F2">
      <w:pPr>
        <w:pStyle w:val="a3"/>
      </w:pPr>
      <w:smartTag w:uri="urn:schemas-microsoft-com:office:smarttags" w:element="place">
        <w:smartTag w:uri="urn:schemas-microsoft-com:office:smarttags" w:element="City">
          <w:r w:rsidRPr="001A3D2B">
            <w:t>Marshall</w:t>
          </w:r>
        </w:smartTag>
      </w:smartTag>
      <w:r w:rsidRPr="001A3D2B">
        <w:t>, J.K., Cawdron, R., Yamamura, D.L.R., Ganguli, S., Lad, R.</w:t>
      </w:r>
      <w:r w:rsidR="005853A9">
        <w:t xml:space="preserve"> and </w:t>
      </w:r>
      <w:r w:rsidRPr="001A3D2B">
        <w:t>O</w:t>
      </w:r>
      <w:r w:rsidR="00700038">
        <w:t>’</w:t>
      </w:r>
      <w:r w:rsidRPr="001A3D2B">
        <w:t>Brien, B.J. (2002), Use</w:t>
      </w:r>
      <w:r w:rsidR="005853A9">
        <w:t xml:space="preserve"> and </w:t>
      </w:r>
      <w:r w:rsidRPr="001A3D2B">
        <w:t>misuse</w:t>
      </w:r>
      <w:r w:rsidR="00427468">
        <w:t xml:space="preserve"> of </w:t>
      </w:r>
      <w:r w:rsidRPr="001A3D2B">
        <w:t>cost-effectiveness terminology in</w:t>
      </w:r>
      <w:r w:rsidR="003A1917">
        <w:t xml:space="preserve"> the </w:t>
      </w:r>
      <w:r w:rsidRPr="001A3D2B">
        <w:t xml:space="preserve">gastroenterology literature: A systematic review. </w:t>
      </w:r>
      <w:r w:rsidRPr="001A3D2B">
        <w:rPr>
          <w:i/>
          <w:iCs/>
        </w:rPr>
        <w:t>American Journal</w:t>
      </w:r>
      <w:r w:rsidR="00427468">
        <w:rPr>
          <w:i/>
          <w:iCs/>
        </w:rPr>
        <w:t xml:space="preserve"> of </w:t>
      </w:r>
      <w:r w:rsidRPr="001A3D2B">
        <w:rPr>
          <w:i/>
          <w:iCs/>
        </w:rPr>
        <w:t>Gastroenterology</w:t>
      </w:r>
      <w:r w:rsidRPr="001A3D2B">
        <w:t xml:space="preserve">, </w:t>
      </w:r>
      <w:r w:rsidRPr="001A3D2B">
        <w:rPr>
          <w:b/>
        </w:rPr>
        <w:t>97</w:t>
      </w:r>
      <w:r w:rsidRPr="001A3D2B">
        <w:t xml:space="preserve"> (1), 172-179.</w:t>
      </w:r>
    </w:p>
    <w:p w:rsidR="003474F2" w:rsidRPr="001A3D2B" w:rsidRDefault="003474F2" w:rsidP="003474F2">
      <w:pPr>
        <w:pStyle w:val="a3"/>
      </w:pPr>
      <w:r w:rsidRPr="001A3D2B">
        <w:t xml:space="preserve">Full Text: </w:t>
      </w:r>
      <w:hyperlink r:id="rId468" w:history="1">
        <w:r w:rsidRPr="001A3D2B">
          <w:rPr>
            <w:rStyle w:val="a5"/>
          </w:rPr>
          <w:t>2002\Ame J Gas97, 172.pdf</w:t>
        </w:r>
      </w:hyperlink>
    </w:p>
    <w:p w:rsidR="003474F2" w:rsidRPr="001A3D2B" w:rsidRDefault="003474F2" w:rsidP="003474F2">
      <w:pPr>
        <w:pStyle w:val="a3"/>
      </w:pPr>
      <w:r w:rsidRPr="001A3D2B">
        <w:t>Abstract: OBJECTIVES:</w:t>
      </w:r>
      <w:r w:rsidR="003A1917">
        <w:t xml:space="preserve"> the </w:t>
      </w:r>
      <w:r w:rsidRPr="001A3D2B">
        <w:t>increased popularity</w:t>
      </w:r>
      <w:r w:rsidR="00427468">
        <w:t xml:space="preserve"> of </w:t>
      </w:r>
      <w:r w:rsidRPr="001A3D2B">
        <w:t>economic analyses for evaluating medical interventions has given rise to concern about</w:t>
      </w:r>
      <w:r w:rsidR="003A1917">
        <w:t xml:space="preserve"> the </w:t>
      </w:r>
      <w:r w:rsidRPr="001A3D2B">
        <w:t>rigor with which economic constructs</w:t>
      </w:r>
      <w:r w:rsidR="005853A9">
        <w:t xml:space="preserve"> and </w:t>
      </w:r>
      <w:r w:rsidRPr="001A3D2B">
        <w:t>terminology are used. True cost-effectiveness analysis considers both</w:t>
      </w:r>
      <w:r w:rsidR="003A1917">
        <w:t xml:space="preserve"> the </w:t>
      </w:r>
      <w:r w:rsidRPr="001A3D2B">
        <w:t>costs</w:t>
      </w:r>
      <w:r w:rsidR="005853A9">
        <w:t xml:space="preserve"> and </w:t>
      </w:r>
      <w:r w:rsidRPr="001A3D2B">
        <w:t>outcomes</w:t>
      </w:r>
      <w:r w:rsidR="00427468">
        <w:t xml:space="preserve"> of </w:t>
      </w:r>
      <w:r w:rsidRPr="001A3D2B">
        <w:t>alternative interventions. A systematic review</w:t>
      </w:r>
      <w:r w:rsidR="00427468">
        <w:t xml:space="preserve"> of </w:t>
      </w:r>
      <w:r w:rsidR="003A1917">
        <w:t xml:space="preserve">the </w:t>
      </w:r>
      <w:r w:rsidRPr="001A3D2B">
        <w:t>gastroenterology literature was undertaken to evaluate how appropriately cost-effectiveness is assessed.</w:t>
      </w:r>
    </w:p>
    <w:p w:rsidR="003474F2" w:rsidRPr="001A3D2B" w:rsidRDefault="003474F2" w:rsidP="003474F2">
      <w:pPr>
        <w:pStyle w:val="a3"/>
      </w:pPr>
      <w:r w:rsidRPr="001A3D2B">
        <w:t xml:space="preserve">METHODS: A structured </w:t>
      </w:r>
      <w:r w:rsidR="00D5664A">
        <w:t>MEDLINE</w:t>
      </w:r>
      <w:r w:rsidRPr="001A3D2B">
        <w:t xml:space="preserve"> search identified all studies published in major gastroenterology journals between 1980</w:t>
      </w:r>
      <w:r w:rsidR="005853A9">
        <w:t xml:space="preserve"> and </w:t>
      </w:r>
      <w:r w:rsidRPr="001A3D2B">
        <w:t>1998 that claimed in their abstracts to have assessed</w:t>
      </w:r>
      <w:r w:rsidR="003A1917">
        <w:t xml:space="preserve"> the </w:t>
      </w:r>
      <w:r w:rsidRPr="001A3D2B">
        <w:t>cost-effectiveness</w:t>
      </w:r>
      <w:r w:rsidR="00427468">
        <w:t xml:space="preserve"> of </w:t>
      </w:r>
      <w:r w:rsidRPr="001A3D2B">
        <w:t>an intervention. Blinded copies</w:t>
      </w:r>
      <w:r w:rsidR="00427468">
        <w:t xml:space="preserve"> of </w:t>
      </w:r>
      <w:r w:rsidRPr="001A3D2B">
        <w:t>eligible studies were assessed by two independent reviewers who used standard criteria to evaluate</w:t>
      </w:r>
      <w:r w:rsidR="003A1917">
        <w:t xml:space="preserve"> the </w:t>
      </w:r>
      <w:r w:rsidRPr="001A3D2B">
        <w:t>use</w:t>
      </w:r>
      <w:r w:rsidR="00427468">
        <w:t xml:space="preserve"> of </w:t>
      </w:r>
      <w:r w:rsidRPr="001A3D2B">
        <w:t>economic terminology</w:t>
      </w:r>
      <w:r w:rsidR="005853A9">
        <w:t xml:space="preserve"> and </w:t>
      </w:r>
      <w:r w:rsidRPr="001A3D2B">
        <w:t xml:space="preserve">key economic constructs. Discrepancies were resolved by consensus. Studies met a </w:t>
      </w:r>
      <w:r w:rsidR="00700038">
        <w:t>‘</w:t>
      </w:r>
      <w:r w:rsidRPr="001A3D2B">
        <w:t>broad criterion</w:t>
      </w:r>
      <w:r w:rsidR="00700038">
        <w:t>’</w:t>
      </w:r>
      <w:r w:rsidRPr="001A3D2B">
        <w:t xml:space="preserve"> for appropriateness by evaluating both costs</w:t>
      </w:r>
      <w:r w:rsidR="005853A9">
        <w:t xml:space="preserve"> and </w:t>
      </w:r>
      <w:r w:rsidRPr="001A3D2B">
        <w:t>effects</w:t>
      </w:r>
      <w:r w:rsidR="005853A9">
        <w:t xml:space="preserve"> and </w:t>
      </w:r>
      <w:r w:rsidRPr="001A3D2B">
        <w:t xml:space="preserve">a </w:t>
      </w:r>
      <w:r w:rsidR="00700038">
        <w:t>‘</w:t>
      </w:r>
      <w:r w:rsidR="00C13DDC">
        <w:t>s</w:t>
      </w:r>
      <w:r w:rsidRPr="001A3D2B">
        <w:t>trict criterion</w:t>
      </w:r>
      <w:r w:rsidR="00700038">
        <w:t>’</w:t>
      </w:r>
      <w:r w:rsidRPr="001A3D2B">
        <w:t xml:space="preserve"> by demonstrating dominance</w:t>
      </w:r>
      <w:r w:rsidR="00427468">
        <w:t xml:space="preserve"> of </w:t>
      </w:r>
      <w:r w:rsidRPr="001A3D2B">
        <w:t>one strategy or considering both incremental costs</w:t>
      </w:r>
      <w:r w:rsidR="005853A9">
        <w:t xml:space="preserve"> and </w:t>
      </w:r>
      <w:r w:rsidRPr="001A3D2B">
        <w:t>incremental effects.</w:t>
      </w:r>
    </w:p>
    <w:p w:rsidR="003474F2" w:rsidRPr="001A3D2B" w:rsidRDefault="003474F2" w:rsidP="003474F2">
      <w:pPr>
        <w:pStyle w:val="a3"/>
      </w:pPr>
      <w:r w:rsidRPr="001A3D2B">
        <w:t>RESULTS:</w:t>
      </w:r>
      <w:r w:rsidR="00427468">
        <w:t xml:space="preserve"> of </w:t>
      </w:r>
      <w:r w:rsidRPr="001A3D2B">
        <w:t>110 eligible studies, 77 (70.0%) met</w:t>
      </w:r>
      <w:r w:rsidR="003A1917">
        <w:t xml:space="preserve"> the </w:t>
      </w:r>
      <w:r w:rsidRPr="001A3D2B">
        <w:t>broad criterion</w:t>
      </w:r>
      <w:r w:rsidR="005853A9">
        <w:t xml:space="preserve"> and </w:t>
      </w:r>
      <w:r w:rsidRPr="001A3D2B">
        <w:t>62 (56.4%) met</w:t>
      </w:r>
      <w:r w:rsidR="003A1917">
        <w:t xml:space="preserve"> the </w:t>
      </w:r>
      <w:r w:rsidRPr="001A3D2B">
        <w:t>strict criterion for appropriateness. This did not seem to vary with either journal impact factor or publication year. Only eight</w:t>
      </w:r>
      <w:r w:rsidR="00427468">
        <w:t xml:space="preserve"> of </w:t>
      </w:r>
      <w:r w:rsidRPr="001A3D2B">
        <w:t>18 studies reporting an incremental cost-effectiveness ratio compared its value to an external standard. Few studies explicitly stated their analytic perspective,</w:t>
      </w:r>
      <w:r w:rsidR="005853A9">
        <w:t xml:space="preserve"> and </w:t>
      </w:r>
      <w:r w:rsidRPr="001A3D2B">
        <w:t>a minority</w:t>
      </w:r>
      <w:r w:rsidR="00427468">
        <w:t xml:space="preserve"> of </w:t>
      </w:r>
      <w:r w:rsidRPr="001A3D2B">
        <w:t xml:space="preserve">those with time </w:t>
      </w:r>
      <w:r w:rsidRPr="001A3D2B">
        <w:lastRenderedPageBreak/>
        <w:t>horizons longer than 1 yr had discounted future costs or effects.</w:t>
      </w:r>
    </w:p>
    <w:p w:rsidR="003474F2" w:rsidRPr="001A3D2B" w:rsidRDefault="003474F2" w:rsidP="003474F2">
      <w:pPr>
        <w:pStyle w:val="a3"/>
      </w:pPr>
      <w:r w:rsidRPr="001A3D2B">
        <w:t>CONCLUSIONS: Although most studies seem to use cost-effectiveness terminology well, there remains room to improve</w:t>
      </w:r>
      <w:r w:rsidR="003A1917">
        <w:t xml:space="preserve"> the </w:t>
      </w:r>
      <w:r w:rsidRPr="001A3D2B">
        <w:t>rigor with which economic terminology</w:t>
      </w:r>
      <w:r w:rsidR="005853A9">
        <w:t xml:space="preserve"> and </w:t>
      </w:r>
      <w:r w:rsidRPr="001A3D2B">
        <w:t>constructs are applied.</w:t>
      </w:r>
    </w:p>
    <w:p w:rsidR="003474F2" w:rsidRPr="001A3D2B" w:rsidRDefault="003474F2" w:rsidP="003474F2">
      <w:pPr>
        <w:pStyle w:val="a3"/>
      </w:pPr>
      <w:r w:rsidRPr="001A3D2B">
        <w:t>? Baron, J.H.</w:t>
      </w:r>
      <w:r w:rsidR="005853A9">
        <w:t xml:space="preserve"> and </w:t>
      </w:r>
      <w:r w:rsidRPr="001A3D2B">
        <w:t>Sonnenberg, A. (2002</w:t>
      </w:r>
      <w:r w:rsidR="00F42EAC">
        <w:t>), The</w:t>
      </w:r>
      <w:r w:rsidR="003A1917">
        <w:t xml:space="preserve"> </w:t>
      </w:r>
      <w:r w:rsidRPr="001A3D2B">
        <w:t>wax</w:t>
      </w:r>
      <w:r w:rsidR="005853A9">
        <w:t xml:space="preserve"> and </w:t>
      </w:r>
      <w:r w:rsidRPr="001A3D2B">
        <w:t>wane</w:t>
      </w:r>
      <w:r w:rsidR="00427468">
        <w:t xml:space="preserve"> of </w:t>
      </w:r>
      <w:r w:rsidRPr="001A3D2B">
        <w:t>intestinal autointoxication</w:t>
      </w:r>
      <w:r w:rsidR="005853A9">
        <w:t xml:space="preserve"> and </w:t>
      </w:r>
      <w:r w:rsidRPr="001A3D2B">
        <w:t>visceroptosis - Historical trends</w:t>
      </w:r>
      <w:r w:rsidR="00427468">
        <w:t xml:space="preserve"> of </w:t>
      </w:r>
      <w:r w:rsidRPr="001A3D2B">
        <w:t xml:space="preserve">real versus apparent new digestive diseases. </w:t>
      </w:r>
      <w:r w:rsidRPr="001A3D2B">
        <w:rPr>
          <w:i/>
        </w:rPr>
        <w:t>American Journal</w:t>
      </w:r>
      <w:r w:rsidR="00427468">
        <w:rPr>
          <w:i/>
        </w:rPr>
        <w:t xml:space="preserve"> of </w:t>
      </w:r>
      <w:r w:rsidRPr="001A3D2B">
        <w:rPr>
          <w:i/>
        </w:rPr>
        <w:t>Gastroenterology</w:t>
      </w:r>
      <w:r w:rsidRPr="001A3D2B">
        <w:t xml:space="preserve">, </w:t>
      </w:r>
      <w:r w:rsidRPr="001A3D2B">
        <w:rPr>
          <w:b/>
        </w:rPr>
        <w:t>97</w:t>
      </w:r>
      <w:r w:rsidRPr="001A3D2B">
        <w:t xml:space="preserve"> (11), 2695-2699.</w:t>
      </w:r>
    </w:p>
    <w:p w:rsidR="003474F2" w:rsidRPr="001A3D2B" w:rsidRDefault="003474F2" w:rsidP="003474F2">
      <w:pPr>
        <w:pStyle w:val="a3"/>
      </w:pPr>
      <w:r w:rsidRPr="001A3D2B">
        <w:t xml:space="preserve">Full Text: </w:t>
      </w:r>
      <w:hyperlink r:id="rId469" w:history="1">
        <w:r w:rsidRPr="001A3D2B">
          <w:rPr>
            <w:rStyle w:val="a5"/>
          </w:rPr>
          <w:t>2002\Ame J Gas97, 2695.pdf</w:t>
        </w:r>
      </w:hyperlink>
    </w:p>
    <w:p w:rsidR="003474F2" w:rsidRPr="001A3D2B" w:rsidRDefault="003474F2" w:rsidP="003474F2">
      <w:pPr>
        <w:pStyle w:val="a3"/>
      </w:pPr>
      <w:r w:rsidRPr="001A3D2B">
        <w:t>Keywords: Diseases, Trends</w:t>
      </w:r>
    </w:p>
    <w:p w:rsidR="00B15828" w:rsidRDefault="00B15828" w:rsidP="00B15828">
      <w:pPr>
        <w:pStyle w:val="a3"/>
        <w:rPr>
          <w:kern w:val="0"/>
        </w:rPr>
      </w:pPr>
      <w:r>
        <w:rPr>
          <w:rFonts w:hint="eastAsia"/>
          <w:kern w:val="0"/>
        </w:rPr>
        <w:t xml:space="preserve">? </w:t>
      </w:r>
      <w:r>
        <w:rPr>
          <w:kern w:val="0"/>
        </w:rPr>
        <w:t>Sebastian, S., Johnston, S., Geoghegan, T., Torreggiani, W.</w:t>
      </w:r>
      <w:r w:rsidR="005853A9">
        <w:rPr>
          <w:kern w:val="0"/>
        </w:rPr>
        <w:t xml:space="preserve"> and </w:t>
      </w:r>
      <w:r>
        <w:rPr>
          <w:kern w:val="0"/>
        </w:rPr>
        <w:t>Buckley, M. (2004), Pooled analysis</w:t>
      </w:r>
      <w:r w:rsidR="00427468">
        <w:rPr>
          <w:kern w:val="0"/>
        </w:rPr>
        <w:t xml:space="preserve"> of </w:t>
      </w:r>
      <w:r w:rsidR="003A1917">
        <w:rPr>
          <w:kern w:val="0"/>
        </w:rPr>
        <w:t xml:space="preserve">the </w:t>
      </w:r>
      <w:r>
        <w:rPr>
          <w:kern w:val="0"/>
        </w:rPr>
        <w:t>efficacy</w:t>
      </w:r>
      <w:r w:rsidR="005853A9">
        <w:rPr>
          <w:kern w:val="0"/>
        </w:rPr>
        <w:t xml:space="preserve"> and </w:t>
      </w:r>
      <w:r>
        <w:rPr>
          <w:kern w:val="0"/>
        </w:rPr>
        <w:t>safety</w:t>
      </w:r>
      <w:r w:rsidR="00427468">
        <w:rPr>
          <w:kern w:val="0"/>
        </w:rPr>
        <w:t xml:space="preserve"> of </w:t>
      </w:r>
      <w:r>
        <w:rPr>
          <w:kern w:val="0"/>
        </w:rPr>
        <w:t xml:space="preserve">self-expanding metal stenting in malignant colorectal obstruction.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99</w:t>
      </w:r>
      <w:r>
        <w:rPr>
          <w:kern w:val="0"/>
        </w:rPr>
        <w:t xml:space="preserve"> (10), 2051-2057.</w:t>
      </w:r>
    </w:p>
    <w:p w:rsidR="00B15828" w:rsidRPr="001A3D2B" w:rsidRDefault="00B15828" w:rsidP="00B15828">
      <w:pPr>
        <w:pStyle w:val="a3"/>
      </w:pPr>
      <w:r w:rsidRPr="001A3D2B">
        <w:t xml:space="preserve">Full Text: </w:t>
      </w:r>
      <w:hyperlink r:id="rId470" w:history="1">
        <w:r w:rsidRPr="001F05AE">
          <w:rPr>
            <w:rStyle w:val="a5"/>
          </w:rPr>
          <w:t>2004\Ame J Gas99, 2051.pdf</w:t>
        </w:r>
      </w:hyperlink>
    </w:p>
    <w:p w:rsidR="00B15828" w:rsidRDefault="00B15828" w:rsidP="00B15828">
      <w:pPr>
        <w:pStyle w:val="a3"/>
        <w:rPr>
          <w:kern w:val="0"/>
        </w:rPr>
      </w:pPr>
      <w:r>
        <w:rPr>
          <w:kern w:val="0"/>
        </w:rPr>
        <w:t>Abstract: BACKGROUND: Self-expanding metal stents have been used in</w:t>
      </w:r>
      <w:r w:rsidR="003A1917">
        <w:rPr>
          <w:kern w:val="0"/>
        </w:rPr>
        <w:t xml:space="preserve"> the </w:t>
      </w:r>
      <w:r>
        <w:rPr>
          <w:kern w:val="0"/>
        </w:rPr>
        <w:t>management</w:t>
      </w:r>
      <w:r w:rsidR="00427468">
        <w:rPr>
          <w:kern w:val="0"/>
        </w:rPr>
        <w:t xml:space="preserve"> of </w:t>
      </w:r>
      <w:r>
        <w:rPr>
          <w:kern w:val="0"/>
        </w:rPr>
        <w:t>colorectal obstruction as an alternative to emergency surgery. Our aim was to systematically review</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these stents in</w:t>
      </w:r>
      <w:r w:rsidR="003A1917">
        <w:rPr>
          <w:kern w:val="0"/>
        </w:rPr>
        <w:t xml:space="preserve"> the </w:t>
      </w:r>
      <w:r>
        <w:rPr>
          <w:kern w:val="0"/>
        </w:rPr>
        <w:t>setting</w:t>
      </w:r>
      <w:r w:rsidR="00427468">
        <w:rPr>
          <w:kern w:val="0"/>
        </w:rPr>
        <w:t xml:space="preserve"> of </w:t>
      </w:r>
      <w:r>
        <w:rPr>
          <w:kern w:val="0"/>
        </w:rPr>
        <w:t>malignant colorectal obstruction. METHODS: Both English</w:t>
      </w:r>
      <w:r w:rsidR="005853A9">
        <w:rPr>
          <w:kern w:val="0"/>
        </w:rPr>
        <w:t xml:space="preserve"> and </w:t>
      </w:r>
      <w:r>
        <w:rPr>
          <w:kern w:val="0"/>
        </w:rPr>
        <w:t xml:space="preserve">foreign language reports were identified from </w:t>
      </w:r>
      <w:r w:rsidR="00D5664A">
        <w:rPr>
          <w:kern w:val="0"/>
        </w:rPr>
        <w:t>MEDLINE</w:t>
      </w:r>
      <w:r>
        <w:rPr>
          <w:kern w:val="0"/>
        </w:rPr>
        <w:t>, Embase, Cancerlit, Science Citation Index, Cochrane Library,</w:t>
      </w:r>
      <w:r w:rsidR="005853A9">
        <w:rPr>
          <w:kern w:val="0"/>
        </w:rPr>
        <w:t xml:space="preserve"> and </w:t>
      </w:r>
      <w:r>
        <w:rPr>
          <w:kern w:val="0"/>
        </w:rPr>
        <w:t>proceedings</w:t>
      </w:r>
      <w:r w:rsidR="00427468">
        <w:rPr>
          <w:kern w:val="0"/>
        </w:rPr>
        <w:t xml:space="preserve"> of </w:t>
      </w:r>
      <w:r>
        <w:rPr>
          <w:kern w:val="0"/>
        </w:rPr>
        <w:t>relevant meetings. Data were collected on technical success, clinical success,</w:t>
      </w:r>
      <w:r w:rsidR="005853A9">
        <w:rPr>
          <w:kern w:val="0"/>
        </w:rPr>
        <w:t xml:space="preserve"> and </w:t>
      </w:r>
      <w:r>
        <w:rPr>
          <w:kern w:val="0"/>
        </w:rPr>
        <w:t>safety parameters. RESULTS: Fifty-four studies reported</w:t>
      </w:r>
      <w:r w:rsidR="003A1917">
        <w:rPr>
          <w:kern w:val="0"/>
        </w:rPr>
        <w:t xml:space="preserve"> the </w:t>
      </w:r>
      <w:r>
        <w:rPr>
          <w:kern w:val="0"/>
        </w:rPr>
        <w:t>use</w:t>
      </w:r>
      <w:r w:rsidR="00427468">
        <w:rPr>
          <w:kern w:val="0"/>
        </w:rPr>
        <w:t xml:space="preserve"> of </w:t>
      </w:r>
      <w:r>
        <w:rPr>
          <w:kern w:val="0"/>
        </w:rPr>
        <w:t>stents in a total</w:t>
      </w:r>
      <w:r w:rsidR="00427468">
        <w:rPr>
          <w:kern w:val="0"/>
        </w:rPr>
        <w:t xml:space="preserve"> of </w:t>
      </w:r>
      <w:r>
        <w:rPr>
          <w:kern w:val="0"/>
        </w:rPr>
        <w:t>1,198 patients</w:t>
      </w:r>
      <w:r w:rsidR="00A37C1D">
        <w:rPr>
          <w:kern w:val="0"/>
        </w:rPr>
        <w:t>. The</w:t>
      </w:r>
      <w:r w:rsidR="003A1917">
        <w:rPr>
          <w:kern w:val="0"/>
        </w:rPr>
        <w:t xml:space="preserve"> </w:t>
      </w:r>
      <w:r>
        <w:rPr>
          <w:kern w:val="0"/>
        </w:rPr>
        <w:t>median technical</w:t>
      </w:r>
      <w:r w:rsidR="005853A9">
        <w:rPr>
          <w:kern w:val="0"/>
        </w:rPr>
        <w:t xml:space="preserve"> and </w:t>
      </w:r>
      <w:r>
        <w:rPr>
          <w:kern w:val="0"/>
        </w:rPr>
        <w:t>clinical success rates were 94% (i.q.r. 90-100)</w:t>
      </w:r>
      <w:r w:rsidR="005853A9">
        <w:rPr>
          <w:kern w:val="0"/>
        </w:rPr>
        <w:t xml:space="preserve"> and </w:t>
      </w:r>
      <w:r>
        <w:rPr>
          <w:kern w:val="0"/>
        </w:rPr>
        <w:t>91% (i.q.r. 84-94), respectively</w:t>
      </w:r>
      <w:r w:rsidR="00A37C1D">
        <w:rPr>
          <w:kern w:val="0"/>
        </w:rPr>
        <w:t>. The</w:t>
      </w:r>
      <w:r w:rsidR="003A1917">
        <w:rPr>
          <w:kern w:val="0"/>
        </w:rPr>
        <w:t xml:space="preserve"> </w:t>
      </w:r>
      <w:r>
        <w:rPr>
          <w:kern w:val="0"/>
        </w:rPr>
        <w:t>clinical success when used as a bridge to surgery was 71.7%. Major complications related to stent placement included perforation (3.76%), stent migration (11.81%),</w:t>
      </w:r>
      <w:r w:rsidR="005853A9">
        <w:rPr>
          <w:kern w:val="0"/>
        </w:rPr>
        <w:t xml:space="preserve"> and </w:t>
      </w:r>
      <w:r>
        <w:rPr>
          <w:kern w:val="0"/>
        </w:rPr>
        <w:t>reobstruction (7.34%). Factors related to an increased complication risk were identified. Stent-related mortality was 0.58%. Limited available data suggest that this approach may be cost effective in</w:t>
      </w:r>
      <w:r w:rsidR="003A1917">
        <w:rPr>
          <w:kern w:val="0"/>
        </w:rPr>
        <w:t xml:space="preserve"> the </w:t>
      </w:r>
      <w:r>
        <w:rPr>
          <w:kern w:val="0"/>
        </w:rPr>
        <w:t>preoperative setting. CONCLUSION: Placement</w:t>
      </w:r>
      <w:r w:rsidR="00427468">
        <w:rPr>
          <w:kern w:val="0"/>
        </w:rPr>
        <w:t xml:space="preserve"> of </w:t>
      </w:r>
      <w:r>
        <w:rPr>
          <w:kern w:val="0"/>
        </w:rPr>
        <w:t>self-expanding metal stents is an effective</w:t>
      </w:r>
      <w:r w:rsidR="005853A9">
        <w:rPr>
          <w:kern w:val="0"/>
        </w:rPr>
        <w:t xml:space="preserve"> and </w:t>
      </w:r>
      <w:r>
        <w:rPr>
          <w:kern w:val="0"/>
        </w:rPr>
        <w:t>safe definitive procedure in</w:t>
      </w:r>
      <w:r w:rsidR="003A1917">
        <w:rPr>
          <w:kern w:val="0"/>
        </w:rPr>
        <w:t xml:space="preserve"> the </w:t>
      </w:r>
      <w:r>
        <w:rPr>
          <w:kern w:val="0"/>
        </w:rPr>
        <w:t>palliation</w:t>
      </w:r>
      <w:r w:rsidR="00427468">
        <w:rPr>
          <w:kern w:val="0"/>
        </w:rPr>
        <w:t xml:space="preserve"> of </w:t>
      </w:r>
      <w:r>
        <w:rPr>
          <w:kern w:val="0"/>
        </w:rPr>
        <w:t>malignant colorectal obstruction. In operable patients, it provides a useful option to avoid colostomy, by facilitating safer single-stage surgery.</w:t>
      </w:r>
    </w:p>
    <w:p w:rsidR="00B15828" w:rsidRDefault="00B15828" w:rsidP="00B15828">
      <w:pPr>
        <w:pStyle w:val="a3"/>
        <w:rPr>
          <w:kern w:val="0"/>
        </w:rPr>
      </w:pPr>
      <w:r>
        <w:rPr>
          <w:kern w:val="0"/>
        </w:rPr>
        <w:t>Keywords: Cancer, Citation, Colonic Obstruction, Cost-Effectiveness, English, Follow</w:t>
      </w:r>
      <w:r w:rsidR="0062028A">
        <w:rPr>
          <w:kern w:val="0"/>
        </w:rPr>
        <w:t>-up,</w:t>
      </w:r>
      <w:r>
        <w:rPr>
          <w:kern w:val="0"/>
        </w:rPr>
        <w:t xml:space="preserve"> Language, Large-Bowel Obstruction, Management, </w:t>
      </w:r>
      <w:r w:rsidR="00D5664A">
        <w:rPr>
          <w:kern w:val="0"/>
        </w:rPr>
        <w:t>MEDLINE</w:t>
      </w:r>
      <w:r>
        <w:rPr>
          <w:kern w:val="0"/>
        </w:rPr>
        <w:t>, Metal, Migration, Neoplastic Obstructions, Palliative Treatment, Placement, Review, Risk, Science, Science Citation Index, Surgery</w:t>
      </w:r>
    </w:p>
    <w:p w:rsidR="00B15828" w:rsidRPr="00F219CA" w:rsidRDefault="00B15828" w:rsidP="00B15828">
      <w:pPr>
        <w:pStyle w:val="a3"/>
      </w:pPr>
      <w:r w:rsidRPr="00F219CA">
        <w:t>? Take, S., Mizuno, M., Ishiki, K., Nagahara, Y., Yoshida, T., Yokota, K., Oguma, K., Okada, H.</w:t>
      </w:r>
      <w:r w:rsidR="005853A9">
        <w:t xml:space="preserve"> and </w:t>
      </w:r>
      <w:r w:rsidRPr="00F219CA">
        <w:t>Shiratori, Y. (2005</w:t>
      </w:r>
      <w:r w:rsidR="00F42EAC">
        <w:t>), The</w:t>
      </w:r>
      <w:r w:rsidR="003A1917">
        <w:t xml:space="preserve"> </w:t>
      </w:r>
      <w:r w:rsidRPr="00F219CA">
        <w:t>effect</w:t>
      </w:r>
      <w:r w:rsidR="00427468">
        <w:t xml:space="preserve"> of </w:t>
      </w:r>
      <w:r w:rsidRPr="00F219CA">
        <w:t>eradicating helicobacter pylori on</w:t>
      </w:r>
      <w:r w:rsidR="003A1917">
        <w:t xml:space="preserve"> the </w:t>
      </w:r>
      <w:r w:rsidRPr="00F219CA">
        <w:t>development</w:t>
      </w:r>
      <w:r w:rsidR="00427468">
        <w:t xml:space="preserve"> of </w:t>
      </w:r>
      <w:r w:rsidRPr="00F219CA">
        <w:t xml:space="preserve">gastric cancer in patients with peptic ulcer disease. </w:t>
      </w:r>
      <w:r w:rsidRPr="00F219CA">
        <w:rPr>
          <w:i/>
        </w:rPr>
        <w:t xml:space="preserve">American </w:t>
      </w:r>
      <w:r w:rsidRPr="00F219CA">
        <w:rPr>
          <w:i/>
        </w:rPr>
        <w:lastRenderedPageBreak/>
        <w:t>Journal</w:t>
      </w:r>
      <w:r w:rsidR="00427468">
        <w:rPr>
          <w:i/>
        </w:rPr>
        <w:t xml:space="preserve"> of </w:t>
      </w:r>
      <w:r w:rsidRPr="00F219CA">
        <w:rPr>
          <w:i/>
        </w:rPr>
        <w:t>Gastroenterology</w:t>
      </w:r>
      <w:r w:rsidRPr="00F219CA">
        <w:t xml:space="preserve">, </w:t>
      </w:r>
      <w:r w:rsidRPr="00F219CA">
        <w:rPr>
          <w:b/>
        </w:rPr>
        <w:t>100</w:t>
      </w:r>
      <w:r w:rsidRPr="00B15828">
        <w:t xml:space="preserve"> </w:t>
      </w:r>
      <w:r w:rsidRPr="00F219CA">
        <w:t>(</w:t>
      </w:r>
      <w:r>
        <w:rPr>
          <w:rFonts w:hint="eastAsia"/>
        </w:rPr>
        <w:t>6</w:t>
      </w:r>
      <w:r w:rsidRPr="00F219CA">
        <w:t>), 1037-1042.</w:t>
      </w:r>
    </w:p>
    <w:p w:rsidR="00B15828" w:rsidRPr="00F219CA" w:rsidRDefault="00B15828" w:rsidP="00B15828">
      <w:pPr>
        <w:pStyle w:val="a3"/>
      </w:pPr>
      <w:r w:rsidRPr="00F219CA">
        <w:t xml:space="preserve">Full Text: </w:t>
      </w:r>
      <w:r w:rsidR="00063FB3">
        <w:rPr>
          <w:rFonts w:hint="eastAsia"/>
        </w:rPr>
        <w:t>2005\</w:t>
      </w:r>
      <w:r w:rsidRPr="00F219CA">
        <w:t>Ame J Gas100, 1037.pdf</w:t>
      </w:r>
    </w:p>
    <w:p w:rsidR="009942EC" w:rsidRDefault="009942EC" w:rsidP="009942EC">
      <w:pPr>
        <w:pStyle w:val="a3"/>
        <w:rPr>
          <w:kern w:val="0"/>
        </w:rPr>
      </w:pPr>
      <w:r>
        <w:rPr>
          <w:rFonts w:hint="eastAsia"/>
          <w:kern w:val="0"/>
        </w:rPr>
        <w:t xml:space="preserve">? </w:t>
      </w:r>
      <w:r>
        <w:rPr>
          <w:kern w:val="0"/>
        </w:rPr>
        <w:t>Velayos, F.S., Terdiman, J.P.</w:t>
      </w:r>
      <w:r w:rsidR="005853A9">
        <w:rPr>
          <w:kern w:val="0"/>
        </w:rPr>
        <w:t xml:space="preserve"> and </w:t>
      </w:r>
      <w:r>
        <w:rPr>
          <w:kern w:val="0"/>
        </w:rPr>
        <w:t>Walsh, J.M. (2005), Effect</w:t>
      </w:r>
      <w:r w:rsidR="00427468">
        <w:rPr>
          <w:kern w:val="0"/>
        </w:rPr>
        <w:t xml:space="preserve"> of </w:t>
      </w:r>
      <w:r>
        <w:rPr>
          <w:kern w:val="0"/>
        </w:rPr>
        <w:t>5-aminosalicylate use on colorectal cancer</w:t>
      </w:r>
      <w:r w:rsidR="005853A9">
        <w:rPr>
          <w:kern w:val="0"/>
        </w:rPr>
        <w:t xml:space="preserve"> and </w:t>
      </w:r>
      <w:r>
        <w:rPr>
          <w:kern w:val="0"/>
        </w:rPr>
        <w:t>dysplasia risk: A systematic review</w:t>
      </w:r>
      <w:r w:rsidR="005853A9">
        <w:rPr>
          <w:kern w:val="0"/>
        </w:rPr>
        <w:t xml:space="preserve"> and </w:t>
      </w:r>
      <w:r>
        <w:rPr>
          <w:kern w:val="0"/>
        </w:rPr>
        <w:t>metaanalysis</w:t>
      </w:r>
      <w:r w:rsidR="00427468">
        <w:rPr>
          <w:kern w:val="0"/>
        </w:rPr>
        <w:t xml:space="preserve"> of </w:t>
      </w:r>
      <w:r>
        <w:rPr>
          <w:kern w:val="0"/>
        </w:rPr>
        <w:t xml:space="preserve">observational studies.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100</w:t>
      </w:r>
      <w:r>
        <w:rPr>
          <w:kern w:val="0"/>
        </w:rPr>
        <w:t xml:space="preserve"> (6), 1345-1353.</w:t>
      </w:r>
    </w:p>
    <w:p w:rsidR="002F093F" w:rsidRPr="00F219CA" w:rsidRDefault="002F093F" w:rsidP="002F093F">
      <w:pPr>
        <w:pStyle w:val="a3"/>
      </w:pPr>
      <w:r w:rsidRPr="00F219CA">
        <w:t xml:space="preserve">Full Text: </w:t>
      </w:r>
      <w:hyperlink r:id="rId471" w:history="1">
        <w:r w:rsidRPr="00CC4F7B">
          <w:rPr>
            <w:rStyle w:val="a5"/>
          </w:rPr>
          <w:t>2005\Ame J Gas100, 1345.pdf</w:t>
        </w:r>
      </w:hyperlink>
    </w:p>
    <w:p w:rsidR="009942EC" w:rsidRDefault="009942EC" w:rsidP="009942EC">
      <w:pPr>
        <w:pStyle w:val="a3"/>
        <w:rPr>
          <w:kern w:val="0"/>
        </w:rPr>
      </w:pPr>
      <w:r>
        <w:rPr>
          <w:kern w:val="0"/>
        </w:rPr>
        <w:t>Abstract: OBJECTIVES: We performed a systematic review with metaanalysis</w:t>
      </w:r>
      <w:r w:rsidR="00427468">
        <w:rPr>
          <w:kern w:val="0"/>
        </w:rPr>
        <w:t xml:space="preserve"> of </w:t>
      </w:r>
      <w:r>
        <w:rPr>
          <w:kern w:val="0"/>
        </w:rPr>
        <w:t>observational studies evaluating</w:t>
      </w:r>
      <w:r w:rsidR="003A1917">
        <w:rPr>
          <w:kern w:val="0"/>
        </w:rPr>
        <w:t xml:space="preserve"> the </w:t>
      </w:r>
      <w:r>
        <w:rPr>
          <w:kern w:val="0"/>
        </w:rPr>
        <w:t>association between 5-ASA use</w:t>
      </w:r>
      <w:r w:rsidR="005853A9">
        <w:rPr>
          <w:kern w:val="0"/>
        </w:rPr>
        <w:t xml:space="preserve"> and </w:t>
      </w:r>
      <w:r>
        <w:rPr>
          <w:kern w:val="0"/>
        </w:rPr>
        <w:t>colorectal cancer (CRC) or dysplasia among patients with ulcerative colitis. METHODS: We conducted a search</w:t>
      </w:r>
      <w:r w:rsidR="00427468">
        <w:rPr>
          <w:kern w:val="0"/>
        </w:rPr>
        <w:t xml:space="preserve"> of </w:t>
      </w:r>
      <w:r w:rsidR="00D5664A">
        <w:rPr>
          <w:kern w:val="0"/>
        </w:rPr>
        <w:t>MEDLINE</w:t>
      </w:r>
      <w:r>
        <w:rPr>
          <w:kern w:val="0"/>
        </w:rPr>
        <w:t xml:space="preserve"> Embase Biosis, </w:t>
      </w:r>
      <w:r w:rsidR="00D5664A">
        <w:rPr>
          <w:kern w:val="0"/>
        </w:rPr>
        <w:t>Web</w:t>
      </w:r>
      <w:r w:rsidR="00427468">
        <w:rPr>
          <w:kern w:val="0"/>
        </w:rPr>
        <w:t xml:space="preserve"> of </w:t>
      </w:r>
      <w:r w:rsidR="00D5664A">
        <w:rPr>
          <w:kern w:val="0"/>
        </w:rPr>
        <w:t>Science</w:t>
      </w:r>
      <w:r>
        <w:rPr>
          <w:kern w:val="0"/>
        </w:rPr>
        <w:t>, Cochrane Collaboration, manually reviewed</w:t>
      </w:r>
      <w:r w:rsidR="003A1917">
        <w:rPr>
          <w:kern w:val="0"/>
        </w:rPr>
        <w:t xml:space="preserve"> the </w:t>
      </w:r>
      <w:r>
        <w:rPr>
          <w:kern w:val="0"/>
        </w:rPr>
        <w:t>literature,</w:t>
      </w:r>
      <w:r w:rsidR="005853A9">
        <w:rPr>
          <w:kern w:val="0"/>
        </w:rPr>
        <w:t xml:space="preserve"> and </w:t>
      </w:r>
      <w:r>
        <w:rPr>
          <w:kern w:val="0"/>
        </w:rPr>
        <w:t>consulted with experts. Studies were included if they 1) evaluated</w:t>
      </w:r>
      <w:r w:rsidR="005853A9">
        <w:rPr>
          <w:kern w:val="0"/>
        </w:rPr>
        <w:t xml:space="preserve"> and </w:t>
      </w:r>
      <w:r>
        <w:rPr>
          <w:kern w:val="0"/>
        </w:rPr>
        <w:t>clearly defined exposure to 5-aminosalicylates in patients with ulcerative colitis, 2) reported CRC or dysplasia outcomes, 3) reported relative risks or odds ratio or provided data for their calculations. Quantitative analysis using a random-effects model is presented. RESULTS: Nine studies (3 cohort, 6 case-control) containing 334 cases</w:t>
      </w:r>
      <w:r w:rsidR="00427468">
        <w:rPr>
          <w:kern w:val="0"/>
        </w:rPr>
        <w:t xml:space="preserve"> of </w:t>
      </w:r>
      <w:r>
        <w:rPr>
          <w:kern w:val="0"/>
        </w:rPr>
        <w:t>CRC, 140 cases</w:t>
      </w:r>
      <w:r w:rsidR="00427468">
        <w:rPr>
          <w:kern w:val="0"/>
        </w:rPr>
        <w:t xml:space="preserve"> of </w:t>
      </w:r>
      <w:r>
        <w:rPr>
          <w:kern w:val="0"/>
        </w:rPr>
        <w:t>dysplasia,</w:t>
      </w:r>
      <w:r w:rsidR="005853A9">
        <w:rPr>
          <w:kern w:val="0"/>
        </w:rPr>
        <w:t xml:space="preserve"> and </w:t>
      </w:r>
      <w:r>
        <w:rPr>
          <w:kern w:val="0"/>
        </w:rPr>
        <w:t>a total</w:t>
      </w:r>
      <w:r w:rsidR="00427468">
        <w:rPr>
          <w:kern w:val="0"/>
        </w:rPr>
        <w:t xml:space="preserve"> of </w:t>
      </w:r>
      <w:r>
        <w:rPr>
          <w:kern w:val="0"/>
        </w:rPr>
        <w:t>1,932 subjects satisfied all inclusion criteria. Five studies reported CRC outcomes alone, two studies reported separate cancer</w:t>
      </w:r>
      <w:r w:rsidR="005853A9">
        <w:rPr>
          <w:kern w:val="0"/>
        </w:rPr>
        <w:t xml:space="preserve"> and </w:t>
      </w:r>
      <w:r>
        <w:rPr>
          <w:kern w:val="0"/>
        </w:rPr>
        <w:t>dysplasia outcomes,</w:t>
      </w:r>
      <w:r w:rsidR="005853A9">
        <w:rPr>
          <w:kern w:val="0"/>
        </w:rPr>
        <w:t xml:space="preserve"> and </w:t>
      </w:r>
      <w:r>
        <w:rPr>
          <w:kern w:val="0"/>
        </w:rPr>
        <w:t>two studies reported a combined outcome</w:t>
      </w:r>
      <w:r w:rsidR="00427468">
        <w:rPr>
          <w:kern w:val="0"/>
        </w:rPr>
        <w:t xml:space="preserve"> of </w:t>
      </w:r>
      <w:r>
        <w:rPr>
          <w:kern w:val="0"/>
        </w:rPr>
        <w:t>CRC or dysplasia. All primary estimates are homogenous. Pooled analysis showed a protective association between use</w:t>
      </w:r>
      <w:r w:rsidR="00427468">
        <w:rPr>
          <w:kern w:val="0"/>
        </w:rPr>
        <w:t xml:space="preserve"> of </w:t>
      </w:r>
      <w:r>
        <w:rPr>
          <w:kern w:val="0"/>
        </w:rPr>
        <w:t>5-aminosalicylates</w:t>
      </w:r>
      <w:r w:rsidR="005853A9">
        <w:rPr>
          <w:kern w:val="0"/>
        </w:rPr>
        <w:t xml:space="preserve"> and </w:t>
      </w:r>
      <w:r>
        <w:rPr>
          <w:kern w:val="0"/>
        </w:rPr>
        <w:t>CRC (OR = 0.51; 95% confidence interval (CI): 0.37-0.69) or a combined endpoint</w:t>
      </w:r>
      <w:r w:rsidR="00427468">
        <w:rPr>
          <w:kern w:val="0"/>
        </w:rPr>
        <w:t xml:space="preserve"> of </w:t>
      </w:r>
      <w:r>
        <w:rPr>
          <w:kern w:val="0"/>
        </w:rPr>
        <w:t>CRC/dysplasia (OR 0.51; 95% CI: 0.38-0.69). 5-ASA use was not associated with a lower risk</w:t>
      </w:r>
      <w:r w:rsidR="00427468">
        <w:rPr>
          <w:kern w:val="0"/>
        </w:rPr>
        <w:t xml:space="preserve"> of </w:t>
      </w:r>
      <w:r>
        <w:rPr>
          <w:kern w:val="0"/>
        </w:rPr>
        <w:t>dysplasia, although only two studies evaluated this outcome (OR = 1.18; 95% CI: 0.41-3.43). CONCLUSION: Pooled results</w:t>
      </w:r>
      <w:r w:rsidR="00427468">
        <w:rPr>
          <w:kern w:val="0"/>
        </w:rPr>
        <w:t xml:space="preserve"> of </w:t>
      </w:r>
      <w:r>
        <w:rPr>
          <w:kern w:val="0"/>
        </w:rPr>
        <w:t>observational studies support a protective association between 5-aminosalicylates</w:t>
      </w:r>
      <w:r w:rsidR="005853A9">
        <w:rPr>
          <w:kern w:val="0"/>
        </w:rPr>
        <w:t xml:space="preserve"> and </w:t>
      </w:r>
      <w:r>
        <w:rPr>
          <w:kern w:val="0"/>
        </w:rPr>
        <w:t>CRC or a combined endpoint</w:t>
      </w:r>
      <w:r w:rsidR="00427468">
        <w:rPr>
          <w:kern w:val="0"/>
        </w:rPr>
        <w:t xml:space="preserve"> of </w:t>
      </w:r>
      <w:r>
        <w:rPr>
          <w:kern w:val="0"/>
        </w:rPr>
        <w:t>CRC/dysplasia in patients with ulcerative colitis. Additional studies analyzing</w:t>
      </w:r>
      <w:r w:rsidR="003A1917">
        <w:rPr>
          <w:kern w:val="0"/>
        </w:rPr>
        <w:t xml:space="preserve"> the </w:t>
      </w:r>
      <w:r>
        <w:rPr>
          <w:kern w:val="0"/>
        </w:rPr>
        <w:t>effect</w:t>
      </w:r>
      <w:r w:rsidR="00427468">
        <w:rPr>
          <w:kern w:val="0"/>
        </w:rPr>
        <w:t xml:space="preserve"> of </w:t>
      </w:r>
      <w:r>
        <w:rPr>
          <w:kern w:val="0"/>
        </w:rPr>
        <w:t>5-ASA on risk</w:t>
      </w:r>
      <w:r w:rsidR="00427468">
        <w:rPr>
          <w:kern w:val="0"/>
        </w:rPr>
        <w:t xml:space="preserve"> of </w:t>
      </w:r>
      <w:r>
        <w:rPr>
          <w:kern w:val="0"/>
        </w:rPr>
        <w:t>dysplasia are needed.</w:t>
      </w:r>
    </w:p>
    <w:p w:rsidR="009942EC" w:rsidRDefault="009942EC" w:rsidP="009942EC">
      <w:pPr>
        <w:pStyle w:val="a3"/>
        <w:rPr>
          <w:kern w:val="0"/>
        </w:rPr>
      </w:pPr>
      <w:r>
        <w:rPr>
          <w:kern w:val="0"/>
        </w:rPr>
        <w:t xml:space="preserve">Keywords: Acid, Analysis, Cancer, Clinical-Trials, Cochrane, Collaboration, Colorectal Cancer, Inflammatory-Bowel-Disease, Literature, Model, Neoplasia, Nonsteroidal Antiinflammatory Drugs, Observational Studies, Outcome, Outcomes, Pooled Analysis, Prevention, Primary, Primary Sclerosing Cholangitis, Ratio, Review, Risk, Science, Sulfasalazine, Supplementation, Systematic, Systematic Review, Ulcerative Colitis, Ulcerative-Colitis, </w:t>
      </w:r>
      <w:r w:rsidR="00D5664A">
        <w:rPr>
          <w:kern w:val="0"/>
        </w:rPr>
        <w:t>Web</w:t>
      </w:r>
      <w:r w:rsidR="00427468">
        <w:rPr>
          <w:kern w:val="0"/>
        </w:rPr>
        <w:t xml:space="preserve"> of </w:t>
      </w:r>
      <w:r w:rsidR="00D5664A">
        <w:rPr>
          <w:kern w:val="0"/>
        </w:rPr>
        <w:t>Science</w:t>
      </w:r>
    </w:p>
    <w:p w:rsidR="003474F2" w:rsidRPr="001A3D2B" w:rsidRDefault="003474F2" w:rsidP="003474F2">
      <w:pPr>
        <w:pStyle w:val="a3"/>
        <w:rPr>
          <w:rStyle w:val="a4"/>
        </w:rPr>
      </w:pPr>
      <w:r w:rsidRPr="001A3D2B">
        <w:t>? Gluud, L.L., Sorensen, T.I.A., Gotzsche, P.C.</w:t>
      </w:r>
      <w:r w:rsidR="005853A9">
        <w:t xml:space="preserve"> and </w:t>
      </w:r>
      <w:r w:rsidRPr="001A3D2B">
        <w:t>Gluud, C. (2005</w:t>
      </w:r>
      <w:r w:rsidR="00F42EAC">
        <w:t>), The</w:t>
      </w:r>
      <w:r w:rsidR="003A1917">
        <w:t xml:space="preserve"> </w:t>
      </w:r>
      <w:r w:rsidRPr="001A3D2B">
        <w:t>journal impact factor as a predictor</w:t>
      </w:r>
      <w:r w:rsidR="00427468">
        <w:t xml:space="preserve"> of </w:t>
      </w:r>
      <w:r w:rsidRPr="001A3D2B">
        <w:t>trial quality</w:t>
      </w:r>
      <w:r w:rsidR="005853A9">
        <w:t xml:space="preserve"> and </w:t>
      </w:r>
      <w:r w:rsidRPr="001A3D2B">
        <w:t>outcomes: Cohort study</w:t>
      </w:r>
      <w:r w:rsidR="00427468">
        <w:t xml:space="preserve"> of </w:t>
      </w:r>
      <w:r w:rsidRPr="001A3D2B">
        <w:t xml:space="preserve">hepatobiliary randomized clinical trials. </w:t>
      </w:r>
      <w:r w:rsidRPr="001A3D2B">
        <w:rPr>
          <w:i/>
          <w:iCs/>
        </w:rPr>
        <w:t>American Journal</w:t>
      </w:r>
      <w:r w:rsidR="00427468">
        <w:rPr>
          <w:i/>
          <w:iCs/>
        </w:rPr>
        <w:t xml:space="preserve"> of </w:t>
      </w:r>
      <w:r w:rsidRPr="001A3D2B">
        <w:rPr>
          <w:i/>
          <w:iCs/>
        </w:rPr>
        <w:t>Gastroenterology</w:t>
      </w:r>
      <w:r w:rsidRPr="001A3D2B">
        <w:rPr>
          <w:rStyle w:val="a4"/>
        </w:rPr>
        <w:t xml:space="preserve">, </w:t>
      </w:r>
      <w:r w:rsidRPr="001A3D2B">
        <w:rPr>
          <w:b/>
          <w:bCs/>
        </w:rPr>
        <w:t>100</w:t>
      </w:r>
      <w:r w:rsidRPr="001A3D2B">
        <w:rPr>
          <w:rStyle w:val="a4"/>
        </w:rPr>
        <w:t xml:space="preserve"> (11), 2431-2435.</w:t>
      </w:r>
    </w:p>
    <w:p w:rsidR="003474F2" w:rsidRPr="001A3D2B" w:rsidRDefault="003474F2" w:rsidP="003474F2">
      <w:pPr>
        <w:pStyle w:val="a3"/>
      </w:pPr>
      <w:r w:rsidRPr="001A3D2B">
        <w:t xml:space="preserve">Full Text: </w:t>
      </w:r>
      <w:hyperlink r:id="rId472" w:history="1">
        <w:r w:rsidRPr="001A3D2B">
          <w:rPr>
            <w:rStyle w:val="a5"/>
          </w:rPr>
          <w:t>2005\Ame J Gas100, 2431.pdf</w:t>
        </w:r>
      </w:hyperlink>
    </w:p>
    <w:p w:rsidR="003474F2" w:rsidRPr="001A3D2B" w:rsidRDefault="003474F2" w:rsidP="003474F2">
      <w:pPr>
        <w:pStyle w:val="a3"/>
      </w:pPr>
      <w:r w:rsidRPr="001A3D2B">
        <w:lastRenderedPageBreak/>
        <w:t>Abstract: OBJECTIVES: To examine</w:t>
      </w:r>
      <w:r w:rsidR="003A1917">
        <w:t xml:space="preserve"> the </w:t>
      </w:r>
      <w:r w:rsidRPr="001A3D2B">
        <w:t>association between</w:t>
      </w:r>
      <w:r w:rsidR="003A1917">
        <w:t xml:space="preserve"> the </w:t>
      </w:r>
      <w:r w:rsidRPr="001A3D2B">
        <w:t>impact factor</w:t>
      </w:r>
      <w:r w:rsidR="005853A9">
        <w:t xml:space="preserve"> and </w:t>
      </w:r>
      <w:r w:rsidRPr="001A3D2B">
        <w:t>characteristics</w:t>
      </w:r>
      <w:r w:rsidR="00427468">
        <w:t xml:space="preserve"> of </w:t>
      </w:r>
      <w:r w:rsidRPr="001A3D2B">
        <w:t>hepatobiliary randomized clinical trials. METHODS: A cohort study</w:t>
      </w:r>
      <w:r w:rsidR="00427468">
        <w:t xml:space="preserve"> of </w:t>
      </w:r>
      <w:r w:rsidRPr="001A3D2B">
        <w:t>530 hepatobiliary randomized clinical trials was performed</w:t>
      </w:r>
      <w:r w:rsidR="00A37C1D">
        <w:t>. The</w:t>
      </w:r>
      <w:r w:rsidR="003A1917">
        <w:t xml:space="preserve"> </w:t>
      </w:r>
      <w:r w:rsidRPr="001A3D2B">
        <w:t>journal impact factor was extracted from Science Citation Index. For each trial, we extracted</w:t>
      </w:r>
      <w:r w:rsidR="003A1917">
        <w:t xml:space="preserve"> the </w:t>
      </w:r>
      <w:r w:rsidRPr="001A3D2B">
        <w:t>sample size,</w:t>
      </w:r>
      <w:r w:rsidR="003A1917">
        <w:t xml:space="preserve"> the </w:t>
      </w:r>
      <w:r w:rsidRPr="001A3D2B">
        <w:t>quality</w:t>
      </w:r>
      <w:r w:rsidR="00427468">
        <w:t xml:space="preserve"> of </w:t>
      </w:r>
      <w:r w:rsidRPr="001A3D2B">
        <w:t>randomization</w:t>
      </w:r>
      <w:r w:rsidR="005853A9">
        <w:t xml:space="preserve"> and </w:t>
      </w:r>
      <w:r w:rsidRPr="001A3D2B">
        <w:t>blinding methods,</w:t>
      </w:r>
      <w:r w:rsidR="005853A9">
        <w:t xml:space="preserve"> and </w:t>
      </w:r>
      <w:r w:rsidR="003A1917">
        <w:t xml:space="preserve">the </w:t>
      </w:r>
      <w:r w:rsidRPr="001A3D2B">
        <w:t>statistical significance</w:t>
      </w:r>
      <w:r w:rsidR="00427468">
        <w:t xml:space="preserve"> of </w:t>
      </w:r>
      <w:r w:rsidR="003A1917">
        <w:t xml:space="preserve">the </w:t>
      </w:r>
      <w:r w:rsidRPr="001A3D2B">
        <w:t>primary outcome measure. RESULTS:</w:t>
      </w:r>
      <w:r w:rsidR="003A1917">
        <w:t xml:space="preserve"> the </w:t>
      </w:r>
      <w:r w:rsidRPr="001A3D2B">
        <w:t>median sample size was 45 participants (interquartile range 25-88)</w:t>
      </w:r>
      <w:r w:rsidR="00A37C1D">
        <w:t>. The</w:t>
      </w:r>
      <w:r w:rsidR="003A1917">
        <w:t xml:space="preserve"> </w:t>
      </w:r>
      <w:r w:rsidRPr="001A3D2B">
        <w:t>allocation sequence generation was adequate in 273 trials (52%). Allocation concealment was adequate in 178 trials (34%)</w:t>
      </w:r>
      <w:r w:rsidR="00A37C1D">
        <w:t>. The</w:t>
      </w:r>
      <w:r w:rsidR="003A1917">
        <w:t xml:space="preserve"> </w:t>
      </w:r>
      <w:r w:rsidRPr="001A3D2B">
        <w:t>primary outcome measure was statistically significant in 374 (71%) trials. Nonparametric analyses for trend indicated that</w:t>
      </w:r>
      <w:r w:rsidR="003A1917">
        <w:t xml:space="preserve"> the </w:t>
      </w:r>
      <w:r w:rsidRPr="001A3D2B">
        <w:t>impact factor was significantly associated with</w:t>
      </w:r>
      <w:r w:rsidR="003A1917">
        <w:t xml:space="preserve"> the </w:t>
      </w:r>
      <w:r w:rsidRPr="001A3D2B">
        <w:t>sample size (p &lt; 0.01)</w:t>
      </w:r>
      <w:r w:rsidR="005853A9">
        <w:t xml:space="preserve"> and </w:t>
      </w:r>
      <w:r w:rsidR="003A1917">
        <w:t xml:space="preserve">the </w:t>
      </w:r>
      <w:r w:rsidRPr="001A3D2B">
        <w:t>proportion</w:t>
      </w:r>
      <w:r w:rsidR="00427468">
        <w:t xml:space="preserve"> of </w:t>
      </w:r>
      <w:r w:rsidRPr="001A3D2B">
        <w:t>trials with adequate allocation sequence generation (p &lt; 0.01) or allocation concealment (p= 0.02)</w:t>
      </w:r>
      <w:r w:rsidR="00A37C1D">
        <w:t>. The</w:t>
      </w:r>
      <w:r w:rsidR="003A1917">
        <w:t xml:space="preserve"> </w:t>
      </w:r>
      <w:r w:rsidRPr="001A3D2B">
        <w:t>impact factor was not significantly associated with</w:t>
      </w:r>
      <w:r w:rsidR="003A1917">
        <w:t xml:space="preserve"> the </w:t>
      </w:r>
      <w:r w:rsidRPr="001A3D2B">
        <w:t>study outcome (p= 0.28). CONCLUSIONS:</w:t>
      </w:r>
      <w:r w:rsidR="003A1917">
        <w:t xml:space="preserve"> the </w:t>
      </w:r>
      <w:r w:rsidRPr="001A3D2B">
        <w:t>present study supports</w:t>
      </w:r>
      <w:r w:rsidR="003A1917">
        <w:t xml:space="preserve"> the </w:t>
      </w:r>
      <w:r w:rsidRPr="001A3D2B">
        <w:t>use</w:t>
      </w:r>
      <w:r w:rsidR="00427468">
        <w:t xml:space="preserve"> of </w:t>
      </w:r>
      <w:r w:rsidR="003A1917">
        <w:t xml:space="preserve">the </w:t>
      </w:r>
      <w:r w:rsidRPr="001A3D2B">
        <w:t>impact factor as a rough quality indicator. However, even trials in high impact journals may be small or may have inadequate quality. Critical appraisal</w:t>
      </w:r>
      <w:r w:rsidR="00427468">
        <w:t xml:space="preserve"> of </w:t>
      </w:r>
      <w:r w:rsidRPr="001A3D2B">
        <w:t>individual trials is always necessary, irrespective</w:t>
      </w:r>
      <w:r w:rsidR="00427468">
        <w:t xml:space="preserve"> of </w:t>
      </w:r>
      <w:r w:rsidR="003A1917">
        <w:t xml:space="preserve">the </w:t>
      </w:r>
      <w:r w:rsidRPr="001A3D2B">
        <w:t>place</w:t>
      </w:r>
      <w:r w:rsidR="00427468">
        <w:t xml:space="preserve"> of </w:t>
      </w:r>
      <w:r w:rsidRPr="001A3D2B">
        <w:t>publication.</w:t>
      </w:r>
    </w:p>
    <w:p w:rsidR="003474F2" w:rsidRPr="001A3D2B" w:rsidRDefault="003474F2" w:rsidP="003474F2">
      <w:pPr>
        <w:pStyle w:val="a3"/>
      </w:pPr>
      <w:r w:rsidRPr="001A3D2B">
        <w:t>Keywords: Allocation, Analyses, Association, Characteristics, Clinical, Clinical Trials, Cohort, Cohort Study, Generation, Impact, Impact Factor, Indicator, Journal, Journal Impact, Journal Impact Factor, Journals, Methods, Objectives, Outcome, Outcomes, Primary, Publication, Quality, Quality of, Randomization, Randomized, Sample Size, Science Citation Index, Significance, Size, Small, Trend, Trial</w:t>
      </w:r>
    </w:p>
    <w:p w:rsidR="0081530A" w:rsidRDefault="0081530A" w:rsidP="0081530A">
      <w:pPr>
        <w:pStyle w:val="a3"/>
        <w:rPr>
          <w:kern w:val="0"/>
        </w:rPr>
      </w:pPr>
      <w:r>
        <w:rPr>
          <w:rFonts w:hint="eastAsia"/>
          <w:kern w:val="0"/>
        </w:rPr>
        <w:t xml:space="preserve">? </w:t>
      </w:r>
      <w:r>
        <w:rPr>
          <w:kern w:val="0"/>
        </w:rPr>
        <w:t>Shi, J., Wu, C., Lin, Y., Chen, Y.X., Zhu, L.</w:t>
      </w:r>
      <w:r w:rsidR="005853A9">
        <w:rPr>
          <w:kern w:val="0"/>
        </w:rPr>
        <w:t xml:space="preserve"> and </w:t>
      </w:r>
      <w:r>
        <w:rPr>
          <w:kern w:val="0"/>
        </w:rPr>
        <w:t>Xie, W.F. (2006), Long-term effects</w:t>
      </w:r>
      <w:r w:rsidR="00427468">
        <w:rPr>
          <w:kern w:val="0"/>
        </w:rPr>
        <w:t xml:space="preserve"> of </w:t>
      </w:r>
      <w:r>
        <w:rPr>
          <w:kern w:val="0"/>
        </w:rPr>
        <w:t>mid-dose ursodeoxycholic acid in primary biliary cirrhosis: A meta-analysis</w:t>
      </w:r>
      <w:r w:rsidR="00427468">
        <w:rPr>
          <w:kern w:val="0"/>
        </w:rPr>
        <w:t xml:space="preserve"> of </w:t>
      </w:r>
      <w:r>
        <w:rPr>
          <w:kern w:val="0"/>
        </w:rPr>
        <w:t xml:space="preserve">randomized controlled trials.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101</w:t>
      </w:r>
      <w:r>
        <w:rPr>
          <w:kern w:val="0"/>
        </w:rPr>
        <w:t xml:space="preserve"> (7), 1529-1538.</w:t>
      </w:r>
    </w:p>
    <w:p w:rsidR="00063FB3" w:rsidRPr="00F219CA" w:rsidRDefault="00063FB3" w:rsidP="00063FB3">
      <w:pPr>
        <w:pStyle w:val="a3"/>
      </w:pPr>
      <w:r w:rsidRPr="00F219CA">
        <w:t xml:space="preserve">Full Text: </w:t>
      </w:r>
      <w:hyperlink r:id="rId473" w:history="1">
        <w:r w:rsidRPr="00CE4127">
          <w:rPr>
            <w:rStyle w:val="a5"/>
          </w:rPr>
          <w:t>2006\Ame J Gas101, 1529.pdf</w:t>
        </w:r>
      </w:hyperlink>
    </w:p>
    <w:p w:rsidR="0081530A" w:rsidRDefault="0081530A" w:rsidP="0081530A">
      <w:pPr>
        <w:pStyle w:val="a3"/>
        <w:rPr>
          <w:kern w:val="0"/>
        </w:rPr>
      </w:pPr>
      <w:r>
        <w:rPr>
          <w:kern w:val="0"/>
        </w:rPr>
        <w:t>Abstract: OBJECTIVES:</w:t>
      </w:r>
      <w:r w:rsidR="003A1917">
        <w:rPr>
          <w:kern w:val="0"/>
        </w:rPr>
        <w:t xml:space="preserve"> the </w:t>
      </w:r>
      <w:r>
        <w:rPr>
          <w:kern w:val="0"/>
        </w:rPr>
        <w:t>effect</w:t>
      </w:r>
      <w:r w:rsidR="00427468">
        <w:rPr>
          <w:kern w:val="0"/>
        </w:rPr>
        <w:t xml:space="preserve"> of </w:t>
      </w:r>
      <w:r>
        <w:rPr>
          <w:kern w:val="0"/>
        </w:rPr>
        <w:t>ursodeoxycholic acid (UDCA) treatment on survival</w:t>
      </w:r>
      <w:r w:rsidR="005853A9">
        <w:rPr>
          <w:kern w:val="0"/>
        </w:rPr>
        <w:t xml:space="preserve"> and </w:t>
      </w:r>
      <w:r>
        <w:rPr>
          <w:kern w:val="0"/>
        </w:rPr>
        <w:t>liver histological progression</w:t>
      </w:r>
      <w:r w:rsidR="00427468">
        <w:rPr>
          <w:kern w:val="0"/>
        </w:rPr>
        <w:t xml:space="preserve"> of </w:t>
      </w:r>
      <w:r>
        <w:rPr>
          <w:kern w:val="0"/>
        </w:rPr>
        <w:t>primary biliary cirrhosis (PBC) remains uncertain</w:t>
      </w:r>
      <w:r w:rsidR="00A37C1D">
        <w:rPr>
          <w:kern w:val="0"/>
        </w:rPr>
        <w:t>. The</w:t>
      </w:r>
      <w:r w:rsidR="003A1917">
        <w:rPr>
          <w:kern w:val="0"/>
        </w:rPr>
        <w:t xml:space="preserve"> </w:t>
      </w:r>
      <w:r>
        <w:rPr>
          <w:kern w:val="0"/>
        </w:rPr>
        <w:t>aim</w:t>
      </w:r>
      <w:r w:rsidR="00427468">
        <w:rPr>
          <w:kern w:val="0"/>
        </w:rPr>
        <w:t xml:space="preserve"> of </w:t>
      </w:r>
      <w:r>
        <w:rPr>
          <w:kern w:val="0"/>
        </w:rPr>
        <w:t>this study is to assess</w:t>
      </w:r>
      <w:r w:rsidR="003A1917">
        <w:rPr>
          <w:kern w:val="0"/>
        </w:rPr>
        <w:t xml:space="preserve"> the </w:t>
      </w:r>
      <w:r>
        <w:rPr>
          <w:kern w:val="0"/>
        </w:rPr>
        <w:t>long-term efficacy</w:t>
      </w:r>
      <w:r w:rsidR="00427468">
        <w:rPr>
          <w:kern w:val="0"/>
        </w:rPr>
        <w:t xml:space="preserve"> of </w:t>
      </w:r>
      <w:r>
        <w:rPr>
          <w:kern w:val="0"/>
        </w:rPr>
        <w:t xml:space="preserve">mid-dose UDCA treatment for PBC. METHODS: Electronic databases including </w:t>
      </w:r>
      <w:r w:rsidR="00D5664A">
        <w:rPr>
          <w:kern w:val="0"/>
        </w:rPr>
        <w:t>MEDLINE</w:t>
      </w:r>
      <w:r>
        <w:rPr>
          <w:kern w:val="0"/>
        </w:rPr>
        <w:t>, Embase, Cochrane controlled trials register, Science Citation Index,</w:t>
      </w:r>
      <w:r w:rsidR="005853A9">
        <w:rPr>
          <w:kern w:val="0"/>
        </w:rPr>
        <w:t xml:space="preserve"> and </w:t>
      </w:r>
      <w:r w:rsidR="002C12F0">
        <w:rPr>
          <w:kern w:val="0"/>
        </w:rPr>
        <w:t>PUBMED</w:t>
      </w:r>
      <w:r>
        <w:rPr>
          <w:kern w:val="0"/>
        </w:rPr>
        <w:t xml:space="preserve"> (updated to Nov 2005),</w:t>
      </w:r>
      <w:r w:rsidR="005853A9">
        <w:rPr>
          <w:kern w:val="0"/>
        </w:rPr>
        <w:t xml:space="preserve"> and </w:t>
      </w:r>
      <w:r>
        <w:rPr>
          <w:kern w:val="0"/>
        </w:rPr>
        <w:t>manual bibliographical searches were conducted. A meta-analysis</w:t>
      </w:r>
      <w:r w:rsidR="00427468">
        <w:rPr>
          <w:kern w:val="0"/>
        </w:rPr>
        <w:t xml:space="preserve"> of </w:t>
      </w:r>
      <w:r>
        <w:rPr>
          <w:kern w:val="0"/>
        </w:rPr>
        <w:t>all long-term randomized controlled trials (RCTs) comparing mid-dose UDCA with placebo or no treatment was performed. RESULTS: Seven RCTs</w:t>
      </w:r>
      <w:r w:rsidR="005853A9">
        <w:rPr>
          <w:kern w:val="0"/>
        </w:rPr>
        <w:t xml:space="preserve"> and </w:t>
      </w:r>
      <w:r>
        <w:rPr>
          <w:kern w:val="0"/>
        </w:rPr>
        <w:t>six reports</w:t>
      </w:r>
      <w:r w:rsidR="00427468">
        <w:rPr>
          <w:kern w:val="0"/>
        </w:rPr>
        <w:t xml:space="preserve"> of </w:t>
      </w:r>
      <w:r>
        <w:rPr>
          <w:kern w:val="0"/>
        </w:rPr>
        <w:t>their extended follow-up including 1,038 patients were assessed. UDCA could significantly improve liver biochemistry, but had no effect on pruritus</w:t>
      </w:r>
      <w:r w:rsidR="005853A9">
        <w:rPr>
          <w:kern w:val="0"/>
        </w:rPr>
        <w:t xml:space="preserve"> and </w:t>
      </w:r>
      <w:r>
        <w:rPr>
          <w:kern w:val="0"/>
        </w:rPr>
        <w:t>fatigue. UDCA could delay</w:t>
      </w:r>
      <w:r w:rsidR="003A1917">
        <w:rPr>
          <w:kern w:val="0"/>
        </w:rPr>
        <w:t xml:space="preserve"> the </w:t>
      </w:r>
      <w:r>
        <w:rPr>
          <w:kern w:val="0"/>
        </w:rPr>
        <w:t>progression</w:t>
      </w:r>
      <w:r w:rsidR="00427468">
        <w:rPr>
          <w:kern w:val="0"/>
        </w:rPr>
        <w:t xml:space="preserve"> of </w:t>
      </w:r>
      <w:r>
        <w:rPr>
          <w:kern w:val="0"/>
        </w:rPr>
        <w:t>PBC, especially for early-stage patients. Meta-analysis</w:t>
      </w:r>
      <w:r w:rsidR="00427468">
        <w:rPr>
          <w:kern w:val="0"/>
        </w:rPr>
        <w:t xml:space="preserve"> of </w:t>
      </w:r>
      <w:r w:rsidR="003A1917">
        <w:rPr>
          <w:kern w:val="0"/>
        </w:rPr>
        <w:t xml:space="preserve">the </w:t>
      </w:r>
      <w:r>
        <w:rPr>
          <w:kern w:val="0"/>
        </w:rPr>
        <w:t xml:space="preserve">seven RCTs including their extended </w:t>
      </w:r>
      <w:r>
        <w:rPr>
          <w:kern w:val="0"/>
        </w:rPr>
        <w:lastRenderedPageBreak/>
        <w:t>follow-up showed a significant reduction</w:t>
      </w:r>
      <w:r w:rsidR="00427468">
        <w:rPr>
          <w:kern w:val="0"/>
        </w:rPr>
        <w:t xml:space="preserve"> of </w:t>
      </w:r>
      <w:r w:rsidR="003A1917">
        <w:rPr>
          <w:kern w:val="0"/>
        </w:rPr>
        <w:t xml:space="preserve">the </w:t>
      </w:r>
      <w:r>
        <w:rPr>
          <w:kern w:val="0"/>
        </w:rPr>
        <w:t>incidence</w:t>
      </w:r>
      <w:r w:rsidR="00427468">
        <w:rPr>
          <w:kern w:val="0"/>
        </w:rPr>
        <w:t xml:space="preserve"> of </w:t>
      </w:r>
      <w:r>
        <w:rPr>
          <w:kern w:val="0"/>
        </w:rPr>
        <w:t>liver transplantation (OR 0.65, p = 0.01),</w:t>
      </w:r>
      <w:r w:rsidR="005853A9">
        <w:rPr>
          <w:kern w:val="0"/>
        </w:rPr>
        <w:t xml:space="preserve"> and </w:t>
      </w:r>
      <w:r>
        <w:rPr>
          <w:kern w:val="0"/>
        </w:rPr>
        <w:t>a marginally significant reduction</w:t>
      </w:r>
      <w:r w:rsidR="00427468">
        <w:rPr>
          <w:kern w:val="0"/>
        </w:rPr>
        <w:t xml:space="preserve"> of </w:t>
      </w:r>
      <w:r w:rsidR="003A1917">
        <w:rPr>
          <w:kern w:val="0"/>
        </w:rPr>
        <w:t xml:space="preserve">the </w:t>
      </w:r>
      <w:r>
        <w:rPr>
          <w:kern w:val="0"/>
        </w:rPr>
        <w:t>rate</w:t>
      </w:r>
      <w:r w:rsidR="00427468">
        <w:rPr>
          <w:kern w:val="0"/>
        </w:rPr>
        <w:t xml:space="preserve"> of </w:t>
      </w:r>
      <w:r>
        <w:rPr>
          <w:kern w:val="0"/>
        </w:rPr>
        <w:t>death or liver transplantation (fixed-effect model: OR 0.76, p = 0.05; random-effect model: OR 0.77, p = 0.3) in</w:t>
      </w:r>
      <w:r w:rsidR="003A1917">
        <w:rPr>
          <w:kern w:val="0"/>
        </w:rPr>
        <w:t xml:space="preserve"> the </w:t>
      </w:r>
      <w:r>
        <w:rPr>
          <w:kern w:val="0"/>
        </w:rPr>
        <w:t>UDCA group, except death (OR 1.01, p = 1). In</w:t>
      </w:r>
      <w:r w:rsidR="003A1917">
        <w:rPr>
          <w:kern w:val="0"/>
        </w:rPr>
        <w:t xml:space="preserve"> the </w:t>
      </w:r>
      <w:r>
        <w:rPr>
          <w:kern w:val="0"/>
        </w:rPr>
        <w:t>sensitivity analyses, which included studies administrating placebo as control, long-term studies (&gt;= 48 months), or large size studies (total number</w:t>
      </w:r>
      <w:r w:rsidR="00427468">
        <w:rPr>
          <w:kern w:val="0"/>
        </w:rPr>
        <w:t xml:space="preserve"> of </w:t>
      </w:r>
      <w:r>
        <w:rPr>
          <w:kern w:val="0"/>
        </w:rPr>
        <w:t>patients &gt;= 100), we all found long-term treatment with UDCA could significantly reduce</w:t>
      </w:r>
      <w:r w:rsidR="003A1917">
        <w:rPr>
          <w:kern w:val="0"/>
        </w:rPr>
        <w:t xml:space="preserve"> the </w:t>
      </w:r>
      <w:r>
        <w:rPr>
          <w:kern w:val="0"/>
        </w:rPr>
        <w:t>incidence</w:t>
      </w:r>
      <w:r w:rsidR="00427468">
        <w:rPr>
          <w:kern w:val="0"/>
        </w:rPr>
        <w:t xml:space="preserve"> of </w:t>
      </w:r>
      <w:r>
        <w:rPr>
          <w:kern w:val="0"/>
        </w:rPr>
        <w:t>liver transplantation,</w:t>
      </w:r>
      <w:r w:rsidR="005853A9">
        <w:rPr>
          <w:kern w:val="0"/>
        </w:rPr>
        <w:t xml:space="preserve"> and </w:t>
      </w:r>
      <w:r>
        <w:rPr>
          <w:kern w:val="0"/>
        </w:rPr>
        <w:t>death or liver transplantation. CONCLUSIONS: Long-term treatment with mid-dose UDCA can improve liver biochemistry</w:t>
      </w:r>
      <w:r w:rsidR="005853A9">
        <w:rPr>
          <w:kern w:val="0"/>
        </w:rPr>
        <w:t xml:space="preserve"> and </w:t>
      </w:r>
      <w:r>
        <w:rPr>
          <w:kern w:val="0"/>
        </w:rPr>
        <w:t>survival free</w:t>
      </w:r>
      <w:r w:rsidR="00427468">
        <w:rPr>
          <w:kern w:val="0"/>
        </w:rPr>
        <w:t xml:space="preserve"> of </w:t>
      </w:r>
      <w:r>
        <w:rPr>
          <w:kern w:val="0"/>
        </w:rPr>
        <w:t>liver transplantation in patients with PBC. In addition, UDCA therapy can delay</w:t>
      </w:r>
      <w:r w:rsidR="003A1917">
        <w:rPr>
          <w:kern w:val="0"/>
        </w:rPr>
        <w:t xml:space="preserve"> the </w:t>
      </w:r>
      <w:r>
        <w:rPr>
          <w:kern w:val="0"/>
        </w:rPr>
        <w:t>histological progression in</w:t>
      </w:r>
      <w:r w:rsidR="003A1917">
        <w:rPr>
          <w:kern w:val="0"/>
        </w:rPr>
        <w:t xml:space="preserve"> the </w:t>
      </w:r>
      <w:r>
        <w:rPr>
          <w:kern w:val="0"/>
        </w:rPr>
        <w:t>early-stage patients.</w:t>
      </w:r>
    </w:p>
    <w:p w:rsidR="0081530A" w:rsidRDefault="0081530A" w:rsidP="0081530A">
      <w:pPr>
        <w:pStyle w:val="a3"/>
        <w:rPr>
          <w:kern w:val="0"/>
        </w:rPr>
      </w:pPr>
      <w:r>
        <w:rPr>
          <w:kern w:val="0"/>
        </w:rPr>
        <w:t>Keywords: Citation, Clinical-Trials, Colchicine, Control, Databases, Death, Double-Blind, Follow</w:t>
      </w:r>
      <w:r w:rsidR="0062028A">
        <w:rPr>
          <w:kern w:val="0"/>
        </w:rPr>
        <w:t>-up,</w:t>
      </w:r>
      <w:r>
        <w:rPr>
          <w:kern w:val="0"/>
        </w:rPr>
        <w:t xml:space="preserve"> Liver, </w:t>
      </w:r>
      <w:r w:rsidR="00D5664A">
        <w:rPr>
          <w:kern w:val="0"/>
        </w:rPr>
        <w:t>MEDLINE</w:t>
      </w:r>
      <w:r>
        <w:rPr>
          <w:kern w:val="0"/>
        </w:rPr>
        <w:t>, Meta-Analysis, Model, Multicenter Trial, Placebo-Controlled Trial, Progression, Quality, Randomized Controlled Trials, Reduction, Science, Science Citation Index, Survival, Therapy, Treatment, Ursodiol</w:t>
      </w:r>
    </w:p>
    <w:p w:rsidR="009942EC" w:rsidRDefault="009942EC" w:rsidP="009942EC">
      <w:pPr>
        <w:pStyle w:val="a3"/>
        <w:rPr>
          <w:kern w:val="0"/>
        </w:rPr>
      </w:pPr>
      <w:r>
        <w:rPr>
          <w:rFonts w:hint="eastAsia"/>
          <w:kern w:val="0"/>
        </w:rPr>
        <w:t xml:space="preserve">? </w:t>
      </w:r>
      <w:r>
        <w:rPr>
          <w:kern w:val="0"/>
        </w:rPr>
        <w:t>Corley, D.A.</w:t>
      </w:r>
      <w:r w:rsidR="005853A9">
        <w:rPr>
          <w:kern w:val="0"/>
        </w:rPr>
        <w:t xml:space="preserve"> and </w:t>
      </w:r>
      <w:r>
        <w:rPr>
          <w:kern w:val="0"/>
        </w:rPr>
        <w:t>Kubo, A. (2006), Body mass index</w:t>
      </w:r>
      <w:r w:rsidR="005853A9">
        <w:rPr>
          <w:kern w:val="0"/>
        </w:rPr>
        <w:t xml:space="preserve"> and </w:t>
      </w:r>
      <w:r>
        <w:rPr>
          <w:kern w:val="0"/>
        </w:rPr>
        <w:t>gastroesophageal reflux disease: A systematic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101</w:t>
      </w:r>
      <w:r>
        <w:rPr>
          <w:kern w:val="0"/>
        </w:rPr>
        <w:t xml:space="preserve"> (11), 2619-2628.</w:t>
      </w:r>
    </w:p>
    <w:p w:rsidR="009942EC" w:rsidRPr="00F219CA" w:rsidRDefault="009942EC" w:rsidP="009942EC">
      <w:pPr>
        <w:pStyle w:val="a3"/>
      </w:pPr>
      <w:r w:rsidRPr="00F219CA">
        <w:t xml:space="preserve">Full Text: </w:t>
      </w:r>
      <w:r>
        <w:rPr>
          <w:rFonts w:hint="eastAsia"/>
        </w:rPr>
        <w:t>2006\</w:t>
      </w:r>
      <w:r w:rsidRPr="00F219CA">
        <w:t>Ame J Gas10</w:t>
      </w:r>
      <w:r>
        <w:rPr>
          <w:rFonts w:hint="eastAsia"/>
        </w:rPr>
        <w:t>1</w:t>
      </w:r>
      <w:r w:rsidRPr="00F219CA">
        <w:t xml:space="preserve">, </w:t>
      </w:r>
      <w:r>
        <w:rPr>
          <w:rFonts w:hint="eastAsia"/>
        </w:rPr>
        <w:t>2619</w:t>
      </w:r>
      <w:r w:rsidRPr="00F219CA">
        <w:t>.pdf</w:t>
      </w:r>
    </w:p>
    <w:p w:rsidR="009942EC" w:rsidRDefault="009942EC" w:rsidP="009942EC">
      <w:pPr>
        <w:pStyle w:val="a3"/>
        <w:rPr>
          <w:kern w:val="0"/>
        </w:rPr>
      </w:pPr>
      <w:r>
        <w:rPr>
          <w:kern w:val="0"/>
        </w:rPr>
        <w:t>Abstract: BACKGROUND: Gastroesophageal reflux disease (GERD) is a common cause</w:t>
      </w:r>
      <w:r w:rsidR="00427468">
        <w:rPr>
          <w:kern w:val="0"/>
        </w:rPr>
        <w:t xml:space="preserve"> of </w:t>
      </w:r>
      <w:r>
        <w:rPr>
          <w:kern w:val="0"/>
        </w:rPr>
        <w:t>morbidity</w:t>
      </w:r>
      <w:r w:rsidR="005853A9">
        <w:rPr>
          <w:kern w:val="0"/>
        </w:rPr>
        <w:t xml:space="preserve"> and </w:t>
      </w:r>
      <w:r>
        <w:rPr>
          <w:kern w:val="0"/>
        </w:rPr>
        <w:t>health-care utilization in many countries. Obesity is a potentially modifiable risk factor, but existing studies have conflicting results, possibly due to differences in study design, definitions, or populations. METHODS: We performed a systematic review</w:t>
      </w:r>
      <w:r w:rsidR="005853A9">
        <w:rPr>
          <w:kern w:val="0"/>
        </w:rPr>
        <w:t xml:space="preserve"> and </w:t>
      </w:r>
      <w:r>
        <w:rPr>
          <w:kern w:val="0"/>
        </w:rPr>
        <w:t>meta-analysis</w:t>
      </w:r>
      <w:r w:rsidR="00427468">
        <w:rPr>
          <w:kern w:val="0"/>
        </w:rPr>
        <w:t xml:space="preserve"> of </w:t>
      </w:r>
      <w:r>
        <w:rPr>
          <w:kern w:val="0"/>
        </w:rPr>
        <w:t xml:space="preserve">studies identified using </w:t>
      </w:r>
      <w:r w:rsidR="00D5664A">
        <w:rPr>
          <w:kern w:val="0"/>
        </w:rPr>
        <w:t>MEDLINE</w:t>
      </w:r>
      <w:r>
        <w:rPr>
          <w:kern w:val="0"/>
        </w:rPr>
        <w:t>,</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electronic database, manual literature review,</w:t>
      </w:r>
      <w:r w:rsidR="005853A9">
        <w:rPr>
          <w:kern w:val="0"/>
        </w:rPr>
        <w:t xml:space="preserve"> and </w:t>
      </w:r>
      <w:r>
        <w:rPr>
          <w:kern w:val="0"/>
        </w:rPr>
        <w:t>a review</w:t>
      </w:r>
      <w:r w:rsidR="00427468">
        <w:rPr>
          <w:kern w:val="0"/>
        </w:rPr>
        <w:t xml:space="preserve"> of </w:t>
      </w:r>
      <w:r>
        <w:rPr>
          <w:kern w:val="0"/>
        </w:rPr>
        <w:t>expert bibliographies. Studies were included if they: (1) evaluated obesity, body mass index (BMI), or another measure</w:t>
      </w:r>
      <w:r w:rsidR="00427468">
        <w:rPr>
          <w:kern w:val="0"/>
        </w:rPr>
        <w:t xml:space="preserve"> of </w:t>
      </w:r>
      <w:r>
        <w:rPr>
          <w:kern w:val="0"/>
        </w:rPr>
        <w:t>body size; (2) included data on reflux symptoms, esophagitis, or a GERD-related hospitalization;</w:t>
      </w:r>
      <w:r w:rsidR="005853A9">
        <w:rPr>
          <w:kern w:val="0"/>
        </w:rPr>
        <w:t xml:space="preserve"> and </w:t>
      </w:r>
      <w:r>
        <w:rPr>
          <w:kern w:val="0"/>
        </w:rPr>
        <w:t>(3) reported a relative risk or odds ratio (OR) with confidence intervals or provided sufficient data to permit their calculation. RESULTS: We identified 20 studies that included 18,346 patients with GERD. Studies from</w:t>
      </w:r>
      <w:r w:rsidR="003A1917">
        <w:rPr>
          <w:kern w:val="0"/>
        </w:rPr>
        <w:t xml:space="preserve"> the </w:t>
      </w:r>
      <w:r>
        <w:rPr>
          <w:kern w:val="0"/>
        </w:rPr>
        <w:t>United States demonstrated an association between increasing BMI</w:t>
      </w:r>
      <w:r w:rsidR="005853A9">
        <w:rPr>
          <w:kern w:val="0"/>
        </w:rPr>
        <w:t xml:space="preserve"> and </w:t>
      </w:r>
      <w:r w:rsidR="003A1917">
        <w:rPr>
          <w:kern w:val="0"/>
        </w:rPr>
        <w:t xml:space="preserve">the </w:t>
      </w:r>
      <w:r>
        <w:rPr>
          <w:kern w:val="0"/>
        </w:rPr>
        <w:t>presence</w:t>
      </w:r>
      <w:r w:rsidR="00427468">
        <w:rPr>
          <w:kern w:val="0"/>
        </w:rPr>
        <w:t xml:space="preserve"> of </w:t>
      </w:r>
      <w:r>
        <w:rPr>
          <w:kern w:val="0"/>
        </w:rPr>
        <w:t>GERD (95% confidence interval [CI] = 1.36-1.80, overweight, OR = 1.57, P value homogeneity = 0.51, 95% CI = 1.89-2.45, obese, OR = 2.15, P = 0.10). Studies from Europe provided heterogeneous results despite stratification for several factors; individual studies demonstrated both positive associations</w:t>
      </w:r>
      <w:r w:rsidR="005853A9">
        <w:rPr>
          <w:kern w:val="0"/>
        </w:rPr>
        <w:t xml:space="preserve"> and </w:t>
      </w:r>
      <w:r>
        <w:rPr>
          <w:kern w:val="0"/>
        </w:rPr>
        <w:t>no association. CONCLUSIONS: This analysis demonstrates a positive association between increasing BMI</w:t>
      </w:r>
      <w:r w:rsidR="005853A9">
        <w:rPr>
          <w:kern w:val="0"/>
        </w:rPr>
        <w:t xml:space="preserve"> and </w:t>
      </w:r>
      <w:r w:rsidR="003A1917">
        <w:rPr>
          <w:kern w:val="0"/>
        </w:rPr>
        <w:t xml:space="preserve">the </w:t>
      </w:r>
      <w:r>
        <w:rPr>
          <w:kern w:val="0"/>
        </w:rPr>
        <w:t>presence</w:t>
      </w:r>
      <w:r w:rsidR="00427468">
        <w:rPr>
          <w:kern w:val="0"/>
        </w:rPr>
        <w:t xml:space="preserve"> of </w:t>
      </w:r>
      <w:r>
        <w:rPr>
          <w:kern w:val="0"/>
        </w:rPr>
        <w:t>GERD within</w:t>
      </w:r>
      <w:r w:rsidR="003A1917">
        <w:rPr>
          <w:kern w:val="0"/>
        </w:rPr>
        <w:t xml:space="preserve"> the </w:t>
      </w:r>
      <w:r>
        <w:rPr>
          <w:kern w:val="0"/>
        </w:rPr>
        <w:t xml:space="preserve">United States; this relationship became apparent only after </w:t>
      </w:r>
      <w:r>
        <w:rPr>
          <w:kern w:val="0"/>
        </w:rPr>
        <w:lastRenderedPageBreak/>
        <w:t>stratification by country</w:t>
      </w:r>
      <w:r w:rsidR="005853A9">
        <w:rPr>
          <w:kern w:val="0"/>
        </w:rPr>
        <w:t xml:space="preserve"> and </w:t>
      </w:r>
      <w:r>
        <w:rPr>
          <w:kern w:val="0"/>
        </w:rPr>
        <w:t>level</w:t>
      </w:r>
      <w:r w:rsidR="00427468">
        <w:rPr>
          <w:kern w:val="0"/>
        </w:rPr>
        <w:t xml:space="preserve"> of </w:t>
      </w:r>
      <w:r>
        <w:rPr>
          <w:kern w:val="0"/>
        </w:rPr>
        <w:t>BMI</w:t>
      </w:r>
      <w:r w:rsidR="00A37C1D">
        <w:rPr>
          <w:kern w:val="0"/>
        </w:rPr>
        <w:t>. The</w:t>
      </w:r>
      <w:r>
        <w:rPr>
          <w:kern w:val="0"/>
        </w:rPr>
        <w:t>se results support</w:t>
      </w:r>
      <w:r w:rsidR="003A1917">
        <w:rPr>
          <w:kern w:val="0"/>
        </w:rPr>
        <w:t xml:space="preserve"> the </w:t>
      </w:r>
      <w:r>
        <w:rPr>
          <w:kern w:val="0"/>
        </w:rPr>
        <w:t>evaluation</w:t>
      </w:r>
      <w:r w:rsidR="00427468">
        <w:rPr>
          <w:kern w:val="0"/>
        </w:rPr>
        <w:t xml:space="preserve"> of </w:t>
      </w:r>
      <w:r>
        <w:rPr>
          <w:kern w:val="0"/>
        </w:rPr>
        <w:t>weight reduction as a potential therapy for GERD. Further studies are needed to evaluate potential mechanisms</w:t>
      </w:r>
      <w:r w:rsidR="005853A9">
        <w:rPr>
          <w:kern w:val="0"/>
        </w:rPr>
        <w:t xml:space="preserve"> and </w:t>
      </w:r>
      <w:r>
        <w:rPr>
          <w:kern w:val="0"/>
        </w:rPr>
        <w:t>any differences in this relationship among different study populations.</w:t>
      </w:r>
    </w:p>
    <w:p w:rsidR="009942EC" w:rsidRDefault="009942EC" w:rsidP="009942EC">
      <w:pPr>
        <w:pStyle w:val="a3"/>
        <w:rPr>
          <w:kern w:val="0"/>
        </w:rPr>
      </w:pPr>
      <w:r>
        <w:rPr>
          <w:kern w:val="0"/>
        </w:rPr>
        <w:t xml:space="preserve">Keywords: Analysis, Bmi, Body Mass Index, Confidence Intervals, Controlled Clinical-Trials, Definitions, Disease, Erosive Esophagitis, Esophageal Adenocarcinoma, Europe, Evaluation, Gastric Cardia, Health Care, Hiatal-Hernia, Hospitalization, Literature, Literature Review, </w:t>
      </w:r>
      <w:r w:rsidR="00D5664A">
        <w:rPr>
          <w:kern w:val="0"/>
        </w:rPr>
        <w:t>MEDLINE</w:t>
      </w:r>
      <w:r>
        <w:rPr>
          <w:kern w:val="0"/>
        </w:rPr>
        <w:t xml:space="preserve">, Meta-Analysis, Morbidity, Obesity, Overweight, Ratio, Regional Variation, Relative Risk, Review, Rising Incidence, Risk, Risk-Factors, Science, Symptoms, Systematic, Systematic Review, Therapy, United-States, Utilization, </w:t>
      </w:r>
      <w:r w:rsidR="00D5664A">
        <w:rPr>
          <w:kern w:val="0"/>
        </w:rPr>
        <w:t>Web</w:t>
      </w:r>
      <w:r w:rsidR="00427468">
        <w:rPr>
          <w:kern w:val="0"/>
        </w:rPr>
        <w:t xml:space="preserve"> of </w:t>
      </w:r>
      <w:r w:rsidR="00D5664A">
        <w:rPr>
          <w:kern w:val="0"/>
        </w:rPr>
        <w:t>Science</w:t>
      </w:r>
    </w:p>
    <w:p w:rsidR="009942EC" w:rsidRDefault="009942EC" w:rsidP="009942EC">
      <w:pPr>
        <w:pStyle w:val="a3"/>
        <w:rPr>
          <w:kern w:val="0"/>
        </w:rPr>
      </w:pPr>
      <w:r>
        <w:rPr>
          <w:rFonts w:hint="eastAsia"/>
          <w:kern w:val="0"/>
        </w:rPr>
        <w:t xml:space="preserve">? </w:t>
      </w:r>
      <w:r>
        <w:rPr>
          <w:kern w:val="0"/>
        </w:rPr>
        <w:t>Tandon, P., Rowe, B.H., Vandermeer, B.</w:t>
      </w:r>
      <w:r w:rsidR="005853A9">
        <w:rPr>
          <w:kern w:val="0"/>
        </w:rPr>
        <w:t xml:space="preserve"> and </w:t>
      </w:r>
      <w:r>
        <w:rPr>
          <w:kern w:val="0"/>
        </w:rPr>
        <w:t>Bain, V.G. (2007</w:t>
      </w:r>
      <w:r w:rsidR="00F42EAC">
        <w:rPr>
          <w:kern w:val="0"/>
        </w:rPr>
        <w:t>), The</w:t>
      </w:r>
      <w:r w:rsidR="003A1917">
        <w:rPr>
          <w:kern w:val="0"/>
        </w:rPr>
        <w:t xml:space="preserve"> </w:t>
      </w:r>
      <w:r>
        <w:rPr>
          <w:kern w:val="0"/>
        </w:rPr>
        <w:t>efficacy</w:t>
      </w:r>
      <w:r w:rsidR="005853A9">
        <w:rPr>
          <w:kern w:val="0"/>
        </w:rPr>
        <w:t xml:space="preserve"> and </w:t>
      </w:r>
      <w:r>
        <w:rPr>
          <w:kern w:val="0"/>
        </w:rPr>
        <w:t>safety</w:t>
      </w:r>
      <w:r w:rsidR="00427468">
        <w:rPr>
          <w:kern w:val="0"/>
        </w:rPr>
        <w:t xml:space="preserve"> of </w:t>
      </w:r>
      <w:r>
        <w:rPr>
          <w:kern w:val="0"/>
        </w:rPr>
        <w:t>bile acid binding agents, opioid antagonists, or rifampin in</w:t>
      </w:r>
      <w:r w:rsidR="003A1917">
        <w:rPr>
          <w:kern w:val="0"/>
        </w:rPr>
        <w:t xml:space="preserve"> the </w:t>
      </w:r>
      <w:r>
        <w:rPr>
          <w:kern w:val="0"/>
        </w:rPr>
        <w:t>treatment</w:t>
      </w:r>
      <w:r w:rsidR="00427468">
        <w:rPr>
          <w:kern w:val="0"/>
        </w:rPr>
        <w:t xml:space="preserve"> of </w:t>
      </w:r>
      <w:r>
        <w:rPr>
          <w:kern w:val="0"/>
        </w:rPr>
        <w:t xml:space="preserve">cholestasis-associated pruritus.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102</w:t>
      </w:r>
      <w:r>
        <w:rPr>
          <w:kern w:val="0"/>
        </w:rPr>
        <w:t xml:space="preserve"> (7), 1528-1536.</w:t>
      </w:r>
    </w:p>
    <w:p w:rsidR="009942EC" w:rsidRPr="00F219CA" w:rsidRDefault="009942EC" w:rsidP="009942EC">
      <w:pPr>
        <w:pStyle w:val="a3"/>
      </w:pPr>
      <w:r w:rsidRPr="00F219CA">
        <w:t xml:space="preserve">Full Text: </w:t>
      </w:r>
      <w:hyperlink r:id="rId474" w:history="1">
        <w:r w:rsidR="00DE4F4F" w:rsidRPr="00DE4F4F">
          <w:rPr>
            <w:rStyle w:val="a5"/>
          </w:rPr>
          <w:t>2007\Ame J Gas102, 1528.pdf</w:t>
        </w:r>
      </w:hyperlink>
    </w:p>
    <w:p w:rsidR="009942EC" w:rsidRDefault="009942EC" w:rsidP="009942EC">
      <w:pPr>
        <w:pStyle w:val="a3"/>
        <w:rPr>
          <w:kern w:val="0"/>
        </w:rPr>
      </w:pPr>
      <w:r>
        <w:rPr>
          <w:kern w:val="0"/>
        </w:rPr>
        <w:t>Abstract: OBJECTIVES:</w:t>
      </w:r>
      <w:r w:rsidR="003A1917">
        <w:rPr>
          <w:kern w:val="0"/>
        </w:rPr>
        <w:t xml:space="preserve"> the </w:t>
      </w:r>
      <w:r>
        <w:rPr>
          <w:kern w:val="0"/>
        </w:rPr>
        <w:t>objective</w:t>
      </w:r>
      <w:r w:rsidR="00427468">
        <w:rPr>
          <w:kern w:val="0"/>
        </w:rPr>
        <w:t xml:space="preserve"> of </w:t>
      </w:r>
      <w:r>
        <w:rPr>
          <w:kern w:val="0"/>
        </w:rPr>
        <w:t>this review was to evaluate</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rifampin, opioid antagonists, or bile acid binding agents in</w:t>
      </w:r>
      <w:r w:rsidR="003A1917">
        <w:rPr>
          <w:kern w:val="0"/>
        </w:rPr>
        <w:t xml:space="preserve"> the </w:t>
      </w:r>
      <w:r>
        <w:rPr>
          <w:kern w:val="0"/>
        </w:rPr>
        <w:t>treatment</w:t>
      </w:r>
      <w:r w:rsidR="00427468">
        <w:rPr>
          <w:kern w:val="0"/>
        </w:rPr>
        <w:t xml:space="preserve"> of </w:t>
      </w:r>
      <w:r>
        <w:rPr>
          <w:kern w:val="0"/>
        </w:rPr>
        <w:t>cholestasis-related pruritus (CAP) from available randomized controlled trial evidence. METHODS: In addition to a comprehensive gray literature search,</w:t>
      </w:r>
      <w:r w:rsidR="003A1917">
        <w:rPr>
          <w:kern w:val="0"/>
        </w:rPr>
        <w:t xml:space="preserve"> the </w:t>
      </w:r>
      <w:r>
        <w:rPr>
          <w:kern w:val="0"/>
        </w:rPr>
        <w:t xml:space="preserve">Cochrane Library, </w:t>
      </w:r>
      <w:r w:rsidR="00D5664A">
        <w:rPr>
          <w:kern w:val="0"/>
        </w:rPr>
        <w:t>MEDLINE</w:t>
      </w:r>
      <w:r>
        <w:rPr>
          <w:kern w:val="0"/>
        </w:rPr>
        <w:t xml:space="preserve">, EMBASE, </w:t>
      </w:r>
      <w:r w:rsidR="002C12F0">
        <w:rPr>
          <w:kern w:val="0"/>
        </w:rPr>
        <w:t>PUBMED</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Only full-text RCTs in participants (&gt; 75% adult) with CAP on at least one</w:t>
      </w:r>
      <w:r w:rsidR="00427468">
        <w:rPr>
          <w:kern w:val="0"/>
        </w:rPr>
        <w:t xml:space="preserve"> of </w:t>
      </w:r>
      <w:r w:rsidR="003A1917">
        <w:rPr>
          <w:kern w:val="0"/>
        </w:rPr>
        <w:t xml:space="preserve">the </w:t>
      </w:r>
      <w:r>
        <w:rPr>
          <w:kern w:val="0"/>
        </w:rPr>
        <w:t>three medications were included</w:t>
      </w:r>
      <w:r w:rsidR="00A37C1D">
        <w:rPr>
          <w:kern w:val="0"/>
        </w:rPr>
        <w:t>. The</w:t>
      </w:r>
      <w:r w:rsidR="003A1917">
        <w:rPr>
          <w:kern w:val="0"/>
        </w:rPr>
        <w:t xml:space="preserve"> </w:t>
      </w:r>
      <w:r>
        <w:rPr>
          <w:kern w:val="0"/>
        </w:rPr>
        <w:t>primary outcome was change in pruritus score, recorded as a continuous or dichotomous outcome. Two independent reviewers performed trial selection</w:t>
      </w:r>
      <w:r w:rsidR="005853A9">
        <w:rPr>
          <w:kern w:val="0"/>
        </w:rPr>
        <w:t xml:space="preserve"> and </w:t>
      </w:r>
      <w:r>
        <w:rPr>
          <w:kern w:val="0"/>
        </w:rPr>
        <w:t>quality assessment. RESULTS: From 487 citations, 12 RCTs were included. Rifampin (standardized mean difference [SMD] -1.62, 95% CI -3.05 to -0.18)</w:t>
      </w:r>
      <w:r w:rsidR="005853A9">
        <w:rPr>
          <w:kern w:val="0"/>
        </w:rPr>
        <w:t xml:space="preserve"> and </w:t>
      </w:r>
      <w:r>
        <w:rPr>
          <w:kern w:val="0"/>
        </w:rPr>
        <w:t>opioid antagonists (SMD -0.68, 95% CI -1.19 to -0.17) significantly reduced CAP</w:t>
      </w:r>
      <w:r w:rsidR="00A37C1D">
        <w:rPr>
          <w:kern w:val="0"/>
        </w:rPr>
        <w:t>. The</w:t>
      </w:r>
      <w:r w:rsidR="003A1917">
        <w:rPr>
          <w:kern w:val="0"/>
        </w:rPr>
        <w:t xml:space="preserve"> </w:t>
      </w:r>
      <w:r>
        <w:rPr>
          <w:kern w:val="0"/>
        </w:rPr>
        <w:t>two cholestyramine studies were too heterogeneous to pool. Although cholestyramine (P = 0.35)</w:t>
      </w:r>
      <w:r w:rsidR="005853A9">
        <w:rPr>
          <w:kern w:val="0"/>
        </w:rPr>
        <w:t xml:space="preserve"> and </w:t>
      </w:r>
      <w:r>
        <w:rPr>
          <w:kern w:val="0"/>
        </w:rPr>
        <w:t>rifampin (P = 0.96) were not associated with greater side effects compared with placebo, opioid antagonists were (number needed to harm = 2.6, 95% CI 1.4-25). CONCLUSIONS:</w:t>
      </w:r>
      <w:r w:rsidR="003A1917">
        <w:rPr>
          <w:kern w:val="0"/>
        </w:rPr>
        <w:t xml:space="preserve"> the </w:t>
      </w:r>
      <w:r>
        <w:rPr>
          <w:kern w:val="0"/>
        </w:rPr>
        <w:t>available RCTs are small, few in number,</w:t>
      </w:r>
      <w:r w:rsidR="005853A9">
        <w:rPr>
          <w:kern w:val="0"/>
        </w:rPr>
        <w:t xml:space="preserve"> and </w:t>
      </w:r>
      <w:r>
        <w:rPr>
          <w:kern w:val="0"/>
        </w:rPr>
        <w:t>use varying scales for measuring pruritus. Although both opioid antagonists</w:t>
      </w:r>
      <w:r w:rsidR="005853A9">
        <w:rPr>
          <w:kern w:val="0"/>
        </w:rPr>
        <w:t xml:space="preserve"> and </w:t>
      </w:r>
      <w:r>
        <w:rPr>
          <w:kern w:val="0"/>
        </w:rPr>
        <w:t>rifampin demonstrated a reduction in pruritus, there were insufficient data to judge</w:t>
      </w:r>
      <w:r w:rsidR="003A1917">
        <w:rPr>
          <w:kern w:val="0"/>
        </w:rPr>
        <w:t xml:space="preserve"> the </w:t>
      </w:r>
      <w:r>
        <w:rPr>
          <w:kern w:val="0"/>
        </w:rPr>
        <w:t>efficacy</w:t>
      </w:r>
      <w:r w:rsidR="00427468">
        <w:rPr>
          <w:kern w:val="0"/>
        </w:rPr>
        <w:t xml:space="preserve"> of </w:t>
      </w:r>
      <w:r>
        <w:rPr>
          <w:kern w:val="0"/>
        </w:rPr>
        <w:t>cholestyramine. Opioid antagonists were associated with transient side effects in a significant proportion</w:t>
      </w:r>
      <w:r w:rsidR="00427468">
        <w:rPr>
          <w:kern w:val="0"/>
        </w:rPr>
        <w:t xml:space="preserve"> of </w:t>
      </w:r>
      <w:r>
        <w:rPr>
          <w:kern w:val="0"/>
        </w:rPr>
        <w:t>patients. A longer well-designed randomized controlled trial is needed to confirm</w:t>
      </w:r>
      <w:r w:rsidR="003A1917">
        <w:rPr>
          <w:kern w:val="0"/>
        </w:rPr>
        <w:t xml:space="preserve"> the </w:t>
      </w:r>
      <w:r>
        <w:rPr>
          <w:kern w:val="0"/>
        </w:rPr>
        <w:t>efficacy</w:t>
      </w:r>
      <w:r w:rsidR="00427468">
        <w:rPr>
          <w:kern w:val="0"/>
        </w:rPr>
        <w:t xml:space="preserve"> of </w:t>
      </w:r>
      <w:r>
        <w:rPr>
          <w:kern w:val="0"/>
        </w:rPr>
        <w:t>bile acid binding agents</w:t>
      </w:r>
      <w:r w:rsidR="005853A9">
        <w:rPr>
          <w:kern w:val="0"/>
        </w:rPr>
        <w:t xml:space="preserve"> and </w:t>
      </w:r>
      <w:r>
        <w:rPr>
          <w:kern w:val="0"/>
        </w:rPr>
        <w:t>accurately assess adverse events.</w:t>
      </w:r>
    </w:p>
    <w:p w:rsidR="009942EC" w:rsidRDefault="009942EC" w:rsidP="009942EC">
      <w:pPr>
        <w:pStyle w:val="a3"/>
        <w:rPr>
          <w:kern w:val="0"/>
        </w:rPr>
      </w:pPr>
      <w:r>
        <w:rPr>
          <w:kern w:val="0"/>
        </w:rPr>
        <w:t xml:space="preserve">Keywords: Adult, Assessment, Cholestyramine, Citations, Cochrane, Controlled-Trial, Double-Blind, Efficacy, Embase, Intrahepatic Cholestasis, Literature, Liver-Disease, </w:t>
      </w:r>
      <w:r>
        <w:rPr>
          <w:kern w:val="0"/>
        </w:rPr>
        <w:lastRenderedPageBreak/>
        <w:t xml:space="preserve">Malignant Cholestasis, </w:t>
      </w:r>
      <w:r w:rsidR="00D5664A">
        <w:rPr>
          <w:kern w:val="0"/>
        </w:rPr>
        <w:t>MEDLINE</w:t>
      </w:r>
      <w:r>
        <w:rPr>
          <w:kern w:val="0"/>
        </w:rPr>
        <w:t xml:space="preserve">, Opiate Antagonist, Opioid, Oral Naltrexone Treatment, Outcome, Primary, Primary Biliary-Cirrhosis, </w:t>
      </w:r>
      <w:r w:rsidR="002C12F0">
        <w:rPr>
          <w:kern w:val="0"/>
        </w:rPr>
        <w:t>PUBMED</w:t>
      </w:r>
      <w:r>
        <w:rPr>
          <w:kern w:val="0"/>
        </w:rPr>
        <w:t xml:space="preserve">, Randomized Controlled Trial, Review, Safety, Science, Treatment, Ursodeoxycholic Acid, </w:t>
      </w:r>
      <w:r w:rsidR="00D5664A">
        <w:rPr>
          <w:kern w:val="0"/>
        </w:rPr>
        <w:t>Web</w:t>
      </w:r>
      <w:r w:rsidR="00427468">
        <w:rPr>
          <w:kern w:val="0"/>
        </w:rPr>
        <w:t xml:space="preserve"> of </w:t>
      </w:r>
      <w:r w:rsidR="00D5664A">
        <w:rPr>
          <w:kern w:val="0"/>
        </w:rPr>
        <w:t>Science</w:t>
      </w:r>
      <w:r>
        <w:rPr>
          <w:kern w:val="0"/>
        </w:rPr>
        <w:t>, Withdrawal-Like Reactions</w:t>
      </w:r>
    </w:p>
    <w:p w:rsidR="00B15828" w:rsidRDefault="00B15828" w:rsidP="00B15828">
      <w:pPr>
        <w:pStyle w:val="a3"/>
        <w:rPr>
          <w:kern w:val="0"/>
        </w:rPr>
      </w:pPr>
      <w:r>
        <w:rPr>
          <w:rFonts w:hint="eastAsia"/>
          <w:kern w:val="0"/>
        </w:rPr>
        <w:t xml:space="preserve">? </w:t>
      </w:r>
      <w:r>
        <w:rPr>
          <w:kern w:val="0"/>
        </w:rPr>
        <w:t>Bai, Y., Gao, J., Zou, D.W.</w:t>
      </w:r>
      <w:r w:rsidR="005853A9">
        <w:rPr>
          <w:kern w:val="0"/>
        </w:rPr>
        <w:t xml:space="preserve"> and </w:t>
      </w:r>
      <w:r>
        <w:rPr>
          <w:kern w:val="0"/>
        </w:rPr>
        <w:t>Li, Z.S. (2008), Prophylactic antibiotics cannot reduce infected pancreatic necrosis</w:t>
      </w:r>
      <w:r w:rsidR="005853A9">
        <w:rPr>
          <w:kern w:val="0"/>
        </w:rPr>
        <w:t xml:space="preserve"> and </w:t>
      </w:r>
      <w:r>
        <w:rPr>
          <w:kern w:val="0"/>
        </w:rPr>
        <w:t>mortality in acute necrotizing pancreatitis: Evidence from a meta-analysis</w:t>
      </w:r>
      <w:r w:rsidR="00427468">
        <w:rPr>
          <w:kern w:val="0"/>
        </w:rPr>
        <w:t xml:space="preserve"> of </w:t>
      </w:r>
      <w:r>
        <w:rPr>
          <w:kern w:val="0"/>
        </w:rPr>
        <w:t xml:space="preserve">randomized controlled trials.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103</w:t>
      </w:r>
      <w:r>
        <w:rPr>
          <w:kern w:val="0"/>
        </w:rPr>
        <w:t xml:space="preserve"> (1), 104-110.</w:t>
      </w:r>
    </w:p>
    <w:p w:rsidR="00B15828" w:rsidRPr="00F219CA" w:rsidRDefault="00B15828" w:rsidP="00B15828">
      <w:pPr>
        <w:pStyle w:val="a3"/>
      </w:pPr>
      <w:r w:rsidRPr="00F219CA">
        <w:t xml:space="preserve">Full Text: </w:t>
      </w:r>
      <w:hyperlink r:id="rId475" w:history="1">
        <w:r w:rsidRPr="001F05AE">
          <w:rPr>
            <w:rStyle w:val="a5"/>
          </w:rPr>
          <w:t>2008\Ame J Gas103, 104.pdf</w:t>
        </w:r>
      </w:hyperlink>
    </w:p>
    <w:p w:rsidR="00B15828" w:rsidRDefault="00B15828" w:rsidP="00B15828">
      <w:pPr>
        <w:pStyle w:val="a3"/>
        <w:rPr>
          <w:kern w:val="0"/>
        </w:rPr>
      </w:pPr>
      <w:r>
        <w:rPr>
          <w:kern w:val="0"/>
        </w:rPr>
        <w:t>Abstract: BACKGROUND: There is no agreement whether intravenous prophylactic antibiotics can reduce infected pancreatic necrosis</w:t>
      </w:r>
      <w:r w:rsidR="005853A9">
        <w:rPr>
          <w:kern w:val="0"/>
        </w:rPr>
        <w:t xml:space="preserve"> and </w:t>
      </w:r>
      <w:r>
        <w:rPr>
          <w:kern w:val="0"/>
        </w:rPr>
        <w:t xml:space="preserve">mortality in acute necrotizing pancreatitis (ANP). We performed a meta-analysis comparing intravenous antibiotics with placebo or no treatment in randomized controlled trials (RCTs). METHODS: Databases including </w:t>
      </w:r>
      <w:r w:rsidR="00D5664A">
        <w:rPr>
          <w:kern w:val="0"/>
        </w:rPr>
        <w:t>MEDLINE</w:t>
      </w:r>
      <w:r>
        <w:rPr>
          <w:kern w:val="0"/>
        </w:rPr>
        <w:t>, EMBASE,</w:t>
      </w:r>
      <w:r w:rsidR="003A1917">
        <w:rPr>
          <w:kern w:val="0"/>
        </w:rPr>
        <w:t xml:space="preserve"> the </w:t>
      </w:r>
      <w:r>
        <w:rPr>
          <w:kern w:val="0"/>
        </w:rPr>
        <w:t>Cochrane controlled trials register,</w:t>
      </w:r>
      <w:r w:rsidR="003A1917">
        <w:rPr>
          <w:kern w:val="0"/>
        </w:rPr>
        <w:t xml:space="preserve"> the </w:t>
      </w:r>
      <w:r>
        <w:rPr>
          <w:kern w:val="0"/>
        </w:rPr>
        <w:t>Cochrane Library,</w:t>
      </w:r>
      <w:r w:rsidR="005853A9">
        <w:rPr>
          <w:kern w:val="0"/>
        </w:rPr>
        <w:t xml:space="preserve"> and </w:t>
      </w:r>
      <w:r>
        <w:rPr>
          <w:kern w:val="0"/>
        </w:rPr>
        <w:t>Science Citation Index were searched to find relevant trials. Outcome measures were infected necrosis</w:t>
      </w:r>
      <w:r w:rsidR="005853A9">
        <w:rPr>
          <w:kern w:val="0"/>
        </w:rPr>
        <w:t xml:space="preserve"> and </w:t>
      </w:r>
      <w:r>
        <w:rPr>
          <w:kern w:val="0"/>
        </w:rPr>
        <w:t>mortality. RESULTS: Seven trials involving 467 patients were included. Analysis suggested infected pancreatic necrosis rates were not significantly different (antibiotics 17.8%, controls 22.9%), RR 0.81 (95% CI 0.54-1.22)</w:t>
      </w:r>
      <w:r w:rsidR="00A37C1D">
        <w:rPr>
          <w:kern w:val="0"/>
        </w:rPr>
        <w:t>. The</w:t>
      </w:r>
      <w:r>
        <w:rPr>
          <w:kern w:val="0"/>
        </w:rPr>
        <w:t>re was nonsignificantly decreased mortality with antibiotics (9.3%) versus controls (15.2%), RR 0.70 (95% CI 0.42-1.17). Subsequent subgroup analysis confirmed antibiotics were not statistically superior to controls in reduction</w:t>
      </w:r>
      <w:r w:rsidR="00427468">
        <w:rPr>
          <w:kern w:val="0"/>
        </w:rPr>
        <w:t xml:space="preserve"> of </w:t>
      </w:r>
      <w:r>
        <w:rPr>
          <w:kern w:val="0"/>
        </w:rPr>
        <w:t>infected necrosis</w:t>
      </w:r>
      <w:r w:rsidR="005853A9">
        <w:rPr>
          <w:kern w:val="0"/>
        </w:rPr>
        <w:t xml:space="preserve"> and </w:t>
      </w:r>
      <w:r>
        <w:rPr>
          <w:kern w:val="0"/>
        </w:rPr>
        <w:t>mortality. CONCLUSIONS: Prophylactic antibiotics cannot reduce infected pancreatic necrosis</w:t>
      </w:r>
      <w:r w:rsidR="005853A9">
        <w:rPr>
          <w:kern w:val="0"/>
        </w:rPr>
        <w:t xml:space="preserve"> and </w:t>
      </w:r>
      <w:r>
        <w:rPr>
          <w:kern w:val="0"/>
        </w:rPr>
        <w:t>mortality in patients with ANP.</w:t>
      </w:r>
    </w:p>
    <w:p w:rsidR="00B15828" w:rsidRDefault="00B15828" w:rsidP="00B15828">
      <w:pPr>
        <w:pStyle w:val="a3"/>
        <w:rPr>
          <w:kern w:val="0"/>
        </w:rPr>
      </w:pPr>
      <w:r>
        <w:rPr>
          <w:kern w:val="0"/>
        </w:rPr>
        <w:t xml:space="preserve">Keywords: Antibiotics, Bias, Citation, Clinical-Trial, Databases, Double-Blind, Efficacy, Evidence, Imipenem, Management, </w:t>
      </w:r>
      <w:r w:rsidR="00D5664A">
        <w:rPr>
          <w:kern w:val="0"/>
        </w:rPr>
        <w:t>MEDLINE</w:t>
      </w:r>
      <w:r>
        <w:rPr>
          <w:kern w:val="0"/>
        </w:rPr>
        <w:t>, Meta-Analysis, Placebo, Quality, Reduction, Science, Science Citation Index, Surgery, Treatment</w:t>
      </w:r>
    </w:p>
    <w:p w:rsidR="00B15828" w:rsidRDefault="00B15828" w:rsidP="00B15828">
      <w:pPr>
        <w:pStyle w:val="a3"/>
        <w:rPr>
          <w:kern w:val="0"/>
        </w:rPr>
      </w:pPr>
      <w:r>
        <w:rPr>
          <w:rFonts w:hint="eastAsia"/>
          <w:kern w:val="0"/>
        </w:rPr>
        <w:t xml:space="preserve">? </w:t>
      </w:r>
      <w:r>
        <w:rPr>
          <w:kern w:val="0"/>
        </w:rPr>
        <w:t>Jaber, M.R., Olafsson, S., Fung, W.L.</w:t>
      </w:r>
      <w:r w:rsidR="005853A9">
        <w:rPr>
          <w:kern w:val="0"/>
        </w:rPr>
        <w:t xml:space="preserve"> and </w:t>
      </w:r>
      <w:r>
        <w:rPr>
          <w:kern w:val="0"/>
        </w:rPr>
        <w:t>Reeves, M.E. (2008), Clinical review</w:t>
      </w:r>
      <w:r w:rsidR="00427468">
        <w:rPr>
          <w:kern w:val="0"/>
        </w:rPr>
        <w:t xml:space="preserve"> of </w:t>
      </w:r>
      <w:r w:rsidR="003A1917">
        <w:rPr>
          <w:kern w:val="0"/>
        </w:rPr>
        <w:t xml:space="preserve">the </w:t>
      </w:r>
      <w:r>
        <w:rPr>
          <w:kern w:val="0"/>
        </w:rPr>
        <w:t>management</w:t>
      </w:r>
      <w:r w:rsidR="00427468">
        <w:rPr>
          <w:kern w:val="0"/>
        </w:rPr>
        <w:t xml:space="preserve"> of </w:t>
      </w:r>
      <w:r>
        <w:rPr>
          <w:kern w:val="0"/>
        </w:rPr>
        <w:t xml:space="preserve">fulminant </w:t>
      </w:r>
      <w:r w:rsidRPr="001F05AE">
        <w:rPr>
          <w:i/>
          <w:kern w:val="0"/>
        </w:rPr>
        <w:t>Clostridium difficile</w:t>
      </w:r>
      <w:r>
        <w:rPr>
          <w:kern w:val="0"/>
        </w:rPr>
        <w:t xml:space="preserve"> infection.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103</w:t>
      </w:r>
      <w:r>
        <w:rPr>
          <w:kern w:val="0"/>
        </w:rPr>
        <w:t xml:space="preserve"> (12), 3195-3203.</w:t>
      </w:r>
    </w:p>
    <w:p w:rsidR="00B15828" w:rsidRPr="00F219CA" w:rsidRDefault="00B15828" w:rsidP="00B15828">
      <w:pPr>
        <w:pStyle w:val="a3"/>
      </w:pPr>
      <w:r w:rsidRPr="00F219CA">
        <w:t xml:space="preserve">Full Text: </w:t>
      </w:r>
      <w:hyperlink r:id="rId476" w:history="1">
        <w:r w:rsidRPr="001F05AE">
          <w:rPr>
            <w:rStyle w:val="a5"/>
          </w:rPr>
          <w:t>2008\Ame J Gas103, 3195.pdf</w:t>
        </w:r>
      </w:hyperlink>
    </w:p>
    <w:p w:rsidR="00B15828" w:rsidRDefault="00B15828" w:rsidP="00B15828">
      <w:pPr>
        <w:pStyle w:val="a3"/>
        <w:rPr>
          <w:kern w:val="0"/>
        </w:rPr>
      </w:pPr>
      <w:r>
        <w:rPr>
          <w:kern w:val="0"/>
        </w:rPr>
        <w:t>Abstract: BACKGROUND: Clostridium difficile infection (CDI) is a frequent cause</w:t>
      </w:r>
      <w:r w:rsidR="00427468">
        <w:rPr>
          <w:kern w:val="0"/>
        </w:rPr>
        <w:t xml:space="preserve"> of </w:t>
      </w:r>
      <w:r>
        <w:rPr>
          <w:kern w:val="0"/>
        </w:rPr>
        <w:t>morbidity</w:t>
      </w:r>
      <w:r w:rsidR="005853A9">
        <w:rPr>
          <w:kern w:val="0"/>
        </w:rPr>
        <w:t xml:space="preserve"> and </w:t>
      </w:r>
      <w:r>
        <w:rPr>
          <w:kern w:val="0"/>
        </w:rPr>
        <w:t>mortality among elderly hospitalized patients. A small but increasing number</w:t>
      </w:r>
      <w:r w:rsidR="00427468">
        <w:rPr>
          <w:kern w:val="0"/>
        </w:rPr>
        <w:t xml:space="preserve"> of </w:t>
      </w:r>
      <w:r>
        <w:rPr>
          <w:kern w:val="0"/>
        </w:rPr>
        <w:t>patients have developed fulminant CDI,</w:t>
      </w:r>
      <w:r w:rsidR="005853A9">
        <w:rPr>
          <w:kern w:val="0"/>
        </w:rPr>
        <w:t xml:space="preserve"> and </w:t>
      </w:r>
      <w:r>
        <w:rPr>
          <w:kern w:val="0"/>
        </w:rPr>
        <w:t>a significant number</w:t>
      </w:r>
      <w:r w:rsidR="00427468">
        <w:rPr>
          <w:kern w:val="0"/>
        </w:rPr>
        <w:t xml:space="preserve"> of </w:t>
      </w:r>
      <w:r>
        <w:rPr>
          <w:kern w:val="0"/>
        </w:rPr>
        <w:t>these patients require emergency colectomy. In this review, we discuss</w:t>
      </w:r>
      <w:r w:rsidR="003A1917">
        <w:rPr>
          <w:kern w:val="0"/>
        </w:rPr>
        <w:t xml:space="preserve"> the </w:t>
      </w:r>
      <w:r>
        <w:rPr>
          <w:kern w:val="0"/>
        </w:rPr>
        <w:t>risk factors, pathophysiology, diagnosis,</w:t>
      </w:r>
      <w:r w:rsidR="005853A9">
        <w:rPr>
          <w:kern w:val="0"/>
        </w:rPr>
        <w:t xml:space="preserve"> and </w:t>
      </w:r>
      <w:r>
        <w:rPr>
          <w:kern w:val="0"/>
        </w:rPr>
        <w:t>management</w:t>
      </w:r>
      <w:r w:rsidR="00427468">
        <w:rPr>
          <w:kern w:val="0"/>
        </w:rPr>
        <w:t xml:space="preserve"> of </w:t>
      </w:r>
      <w:r>
        <w:rPr>
          <w:kern w:val="0"/>
        </w:rPr>
        <w:t>fulminant CDI. DATA SOURCES: A literature search (</w:t>
      </w:r>
      <w:r w:rsidR="00D5664A">
        <w:rPr>
          <w:kern w:val="0"/>
        </w:rPr>
        <w:t>MEDLINE</w:t>
      </w:r>
      <w:r>
        <w:rPr>
          <w:kern w:val="0"/>
        </w:rPr>
        <w:t>, Embase, Cochrane Library, Biosis, Science Citation Index, Ovid Journals) was performed from</w:t>
      </w:r>
      <w:r w:rsidR="003A1917">
        <w:rPr>
          <w:kern w:val="0"/>
        </w:rPr>
        <w:t xml:space="preserve"> the </w:t>
      </w:r>
      <w:r>
        <w:rPr>
          <w:kern w:val="0"/>
        </w:rPr>
        <w:t>period between January 1980</w:t>
      </w:r>
      <w:r w:rsidR="005853A9">
        <w:rPr>
          <w:kern w:val="0"/>
        </w:rPr>
        <w:t xml:space="preserve"> and </w:t>
      </w:r>
      <w:r>
        <w:rPr>
          <w:kern w:val="0"/>
        </w:rPr>
        <w:t>June 2008 using</w:t>
      </w:r>
      <w:r w:rsidR="003A1917">
        <w:rPr>
          <w:kern w:val="0"/>
        </w:rPr>
        <w:t xml:space="preserve"> the </w:t>
      </w:r>
      <w:r>
        <w:rPr>
          <w:kern w:val="0"/>
        </w:rPr>
        <w:t xml:space="preserve">key words </w:t>
      </w:r>
      <w:r w:rsidR="00B5188C">
        <w:rPr>
          <w:kern w:val="0"/>
        </w:rPr>
        <w:t>“</w:t>
      </w:r>
      <w:r>
        <w:rPr>
          <w:kern w:val="0"/>
        </w:rPr>
        <w:t>Clostridium difficile,</w:t>
      </w:r>
      <w:r w:rsidR="00B5188C">
        <w:rPr>
          <w:kern w:val="0"/>
        </w:rPr>
        <w:t>”</w:t>
      </w:r>
      <w:r>
        <w:rPr>
          <w:kern w:val="0"/>
        </w:rPr>
        <w:t xml:space="preserve"> </w:t>
      </w:r>
      <w:r w:rsidR="00B5188C">
        <w:rPr>
          <w:kern w:val="0"/>
        </w:rPr>
        <w:t>“</w:t>
      </w:r>
      <w:r>
        <w:rPr>
          <w:kern w:val="0"/>
        </w:rPr>
        <w:t xml:space="preserve">pseudomembranous </w:t>
      </w:r>
      <w:r>
        <w:rPr>
          <w:kern w:val="0"/>
        </w:rPr>
        <w:lastRenderedPageBreak/>
        <w:t>enterocolitis,</w:t>
      </w:r>
      <w:r w:rsidR="00B5188C">
        <w:rPr>
          <w:kern w:val="0"/>
        </w:rPr>
        <w:t>”</w:t>
      </w:r>
      <w:r>
        <w:rPr>
          <w:kern w:val="0"/>
        </w:rPr>
        <w:t xml:space="preserve"> </w:t>
      </w:r>
      <w:r w:rsidR="00B5188C">
        <w:rPr>
          <w:kern w:val="0"/>
        </w:rPr>
        <w:t>“</w:t>
      </w:r>
      <w:r>
        <w:rPr>
          <w:kern w:val="0"/>
        </w:rPr>
        <w:t>colectomy,</w:t>
      </w:r>
      <w:r w:rsidR="00B5188C">
        <w:rPr>
          <w:kern w:val="0"/>
        </w:rPr>
        <w:t>”</w:t>
      </w:r>
      <w:r>
        <w:rPr>
          <w:kern w:val="0"/>
        </w:rPr>
        <w:t xml:space="preserve"> </w:t>
      </w:r>
      <w:r w:rsidR="00B5188C">
        <w:rPr>
          <w:kern w:val="0"/>
        </w:rPr>
        <w:t>“</w:t>
      </w:r>
      <w:r>
        <w:rPr>
          <w:kern w:val="0"/>
        </w:rPr>
        <w:t>acute abdomen,</w:t>
      </w:r>
      <w:r w:rsidR="00B5188C">
        <w:rPr>
          <w:kern w:val="0"/>
        </w:rPr>
        <w:t>”</w:t>
      </w:r>
      <w:r>
        <w:rPr>
          <w:kern w:val="0"/>
        </w:rPr>
        <w:t xml:space="preserve"> </w:t>
      </w:r>
      <w:r w:rsidR="00B5188C">
        <w:rPr>
          <w:kern w:val="0"/>
        </w:rPr>
        <w:t>“</w:t>
      </w:r>
      <w:r>
        <w:rPr>
          <w:kern w:val="0"/>
        </w:rPr>
        <w:t>antibiotic-associated diarrhea,</w:t>
      </w:r>
      <w:r w:rsidR="00B5188C">
        <w:rPr>
          <w:kern w:val="0"/>
        </w:rPr>
        <w:t>”</w:t>
      </w:r>
      <w:r>
        <w:rPr>
          <w:kern w:val="0"/>
        </w:rPr>
        <w:t xml:space="preserve"> or </w:t>
      </w:r>
      <w:r w:rsidR="00B5188C">
        <w:rPr>
          <w:kern w:val="0"/>
        </w:rPr>
        <w:t>“</w:t>
      </w:r>
      <w:r>
        <w:rPr>
          <w:kern w:val="0"/>
        </w:rPr>
        <w:t>fulminant Clostridium difficile colitis.</w:t>
      </w:r>
      <w:r w:rsidR="00B5188C">
        <w:rPr>
          <w:kern w:val="0"/>
        </w:rPr>
        <w:t>”</w:t>
      </w:r>
      <w:r>
        <w:rPr>
          <w:kern w:val="0"/>
        </w:rPr>
        <w:t xml:space="preserve"> Articles not in English or not related to human subjects were excluded. For this review, we analyzed</w:t>
      </w:r>
      <w:r w:rsidR="003A1917">
        <w:rPr>
          <w:kern w:val="0"/>
        </w:rPr>
        <w:t xml:space="preserve"> the </w:t>
      </w:r>
      <w:r>
        <w:rPr>
          <w:kern w:val="0"/>
        </w:rPr>
        <w:t>articles identified in our original search</w:t>
      </w:r>
      <w:r w:rsidR="005853A9">
        <w:rPr>
          <w:kern w:val="0"/>
        </w:rPr>
        <w:t xml:space="preserve"> and </w:t>
      </w:r>
      <w:r>
        <w:rPr>
          <w:kern w:val="0"/>
        </w:rPr>
        <w:t>those articles cited in</w:t>
      </w:r>
      <w:r w:rsidR="003A1917">
        <w:rPr>
          <w:kern w:val="0"/>
        </w:rPr>
        <w:t xml:space="preserve"> the </w:t>
      </w:r>
      <w:r>
        <w:rPr>
          <w:kern w:val="0"/>
        </w:rPr>
        <w:t>original review articles. No randomized trials were found on</w:t>
      </w:r>
      <w:r w:rsidR="003A1917">
        <w:rPr>
          <w:kern w:val="0"/>
        </w:rPr>
        <w:t xml:space="preserve"> the </w:t>
      </w:r>
      <w:r>
        <w:rPr>
          <w:kern w:val="0"/>
        </w:rPr>
        <w:t>surgical management</w:t>
      </w:r>
      <w:r w:rsidR="00427468">
        <w:rPr>
          <w:kern w:val="0"/>
        </w:rPr>
        <w:t xml:space="preserve"> of </w:t>
      </w:r>
      <w:r>
        <w:rPr>
          <w:kern w:val="0"/>
        </w:rPr>
        <w:t>fulminant CDI</w:t>
      </w:r>
      <w:r w:rsidR="005853A9">
        <w:rPr>
          <w:kern w:val="0"/>
        </w:rPr>
        <w:t xml:space="preserve"> and </w:t>
      </w:r>
      <w:r>
        <w:rPr>
          <w:kern w:val="0"/>
        </w:rPr>
        <w:t>only retrospective studies with a minimum</w:t>
      </w:r>
      <w:r w:rsidR="00427468">
        <w:rPr>
          <w:kern w:val="0"/>
        </w:rPr>
        <w:t xml:space="preserve"> of </w:t>
      </w:r>
      <w:r>
        <w:rPr>
          <w:kern w:val="0"/>
        </w:rPr>
        <w:t>five patients were used in</w:t>
      </w:r>
      <w:r w:rsidR="003A1917">
        <w:rPr>
          <w:kern w:val="0"/>
        </w:rPr>
        <w:t xml:space="preserve"> the </w:t>
      </w:r>
      <w:r>
        <w:rPr>
          <w:kern w:val="0"/>
        </w:rPr>
        <w:t>review. With respect to medical treatment, we based our review on guideline articles, systematic reviews,</w:t>
      </w:r>
      <w:r w:rsidR="005853A9">
        <w:rPr>
          <w:kern w:val="0"/>
        </w:rPr>
        <w:t xml:space="preserve"> and </w:t>
      </w:r>
      <w:r>
        <w:rPr>
          <w:kern w:val="0"/>
        </w:rPr>
        <w:t>available randomized trials. CONCLUSION: Both</w:t>
      </w:r>
      <w:r w:rsidR="003A1917">
        <w:rPr>
          <w:kern w:val="0"/>
        </w:rPr>
        <w:t xml:space="preserve"> the </w:t>
      </w:r>
      <w:r>
        <w:rPr>
          <w:kern w:val="0"/>
        </w:rPr>
        <w:t>incidence</w:t>
      </w:r>
      <w:r w:rsidR="005853A9">
        <w:rPr>
          <w:kern w:val="0"/>
        </w:rPr>
        <w:t xml:space="preserve"> and </w:t>
      </w:r>
      <w:r>
        <w:rPr>
          <w:kern w:val="0"/>
        </w:rPr>
        <w:t>severity</w:t>
      </w:r>
      <w:r w:rsidR="00427468">
        <w:rPr>
          <w:kern w:val="0"/>
        </w:rPr>
        <w:t xml:space="preserve"> of </w:t>
      </w:r>
      <w:r>
        <w:rPr>
          <w:kern w:val="0"/>
        </w:rPr>
        <w:t>CDI are increasing. Fulminant CDI is underappreciated as a life-threatening disease because</w:t>
      </w:r>
      <w:r w:rsidR="00427468">
        <w:rPr>
          <w:kern w:val="0"/>
        </w:rPr>
        <w:t xml:space="preserve"> of </w:t>
      </w:r>
      <w:r>
        <w:rPr>
          <w:kern w:val="0"/>
        </w:rPr>
        <w:t>a lack</w:t>
      </w:r>
      <w:r w:rsidR="00427468">
        <w:rPr>
          <w:kern w:val="0"/>
        </w:rPr>
        <w:t xml:space="preserve"> of </w:t>
      </w:r>
      <w:r>
        <w:rPr>
          <w:kern w:val="0"/>
        </w:rPr>
        <w:t>awareness</w:t>
      </w:r>
      <w:r w:rsidR="00427468">
        <w:rPr>
          <w:kern w:val="0"/>
        </w:rPr>
        <w:t xml:space="preserve"> of </w:t>
      </w:r>
      <w:r>
        <w:rPr>
          <w:kern w:val="0"/>
        </w:rPr>
        <w:t>its severity</w:t>
      </w:r>
      <w:r w:rsidR="005853A9">
        <w:rPr>
          <w:kern w:val="0"/>
        </w:rPr>
        <w:t xml:space="preserve"> and </w:t>
      </w:r>
      <w:r>
        <w:rPr>
          <w:kern w:val="0"/>
        </w:rPr>
        <w:t>its nonspecific clinical syndrome. Early diagnosis</w:t>
      </w:r>
      <w:r w:rsidR="005853A9">
        <w:rPr>
          <w:kern w:val="0"/>
        </w:rPr>
        <w:t xml:space="preserve"> and </w:t>
      </w:r>
      <w:r>
        <w:rPr>
          <w:kern w:val="0"/>
        </w:rPr>
        <w:t>treatment are essential for a good outcome,</w:t>
      </w:r>
      <w:r w:rsidR="005853A9">
        <w:rPr>
          <w:kern w:val="0"/>
        </w:rPr>
        <w:t xml:space="preserve"> and </w:t>
      </w:r>
      <w:r>
        <w:rPr>
          <w:kern w:val="0"/>
        </w:rPr>
        <w:t>early surgical intervention should be used in patients who are unresponsive to medical therapy</w:t>
      </w:r>
      <w:r w:rsidR="00A37C1D">
        <w:rPr>
          <w:kern w:val="0"/>
        </w:rPr>
        <w:t>. The</w:t>
      </w:r>
      <w:r w:rsidR="003A1917">
        <w:rPr>
          <w:kern w:val="0"/>
        </w:rPr>
        <w:t xml:space="preserve"> </w:t>
      </w:r>
      <w:r>
        <w:rPr>
          <w:kern w:val="0"/>
        </w:rPr>
        <w:t>surgical procedure</w:t>
      </w:r>
      <w:r w:rsidR="00427468">
        <w:rPr>
          <w:kern w:val="0"/>
        </w:rPr>
        <w:t xml:space="preserve"> of </w:t>
      </w:r>
      <w:r>
        <w:rPr>
          <w:kern w:val="0"/>
        </w:rPr>
        <w:t>choice is a total abdominal colectomy with end ileostomy, although</w:t>
      </w:r>
      <w:r w:rsidR="003A1917">
        <w:rPr>
          <w:kern w:val="0"/>
        </w:rPr>
        <w:t xml:space="preserve"> the </w:t>
      </w:r>
      <w:r>
        <w:rPr>
          <w:kern w:val="0"/>
        </w:rPr>
        <w:t>mortality rate remains high. (Am J Gastroenterol 2008;103:3195-3203).</w:t>
      </w:r>
    </w:p>
    <w:p w:rsidR="00B15828" w:rsidRDefault="00B15828" w:rsidP="00B15828">
      <w:pPr>
        <w:pStyle w:val="a3"/>
        <w:rPr>
          <w:kern w:val="0"/>
        </w:rPr>
      </w:pPr>
      <w:r>
        <w:rPr>
          <w:kern w:val="0"/>
        </w:rPr>
        <w:t xml:space="preserve">Keywords: Acute Abdomen, Antibiotic-Associated Diarrhea, Articles, Awareness, Citation, Clostridium, Critically-ILL, Diagnosis, Elderly, English, Hospitalized-Patients, Hypervirulent Strain, Intervention, Intracolonic Vancomycin, Journals, Literature, Management, Medical, </w:t>
      </w:r>
      <w:r w:rsidR="00D5664A">
        <w:rPr>
          <w:kern w:val="0"/>
        </w:rPr>
        <w:t>MEDLINE</w:t>
      </w:r>
      <w:r>
        <w:rPr>
          <w:kern w:val="0"/>
        </w:rPr>
        <w:t>, Pseudomembranous Colitis, Review, Risk, Risk Factors, Risk-Factors, Science, Science Citation Index, Surgical Disease, TOX A, B Test, Treatment</w:t>
      </w:r>
    </w:p>
    <w:p w:rsidR="00454570" w:rsidRPr="001A3D2B" w:rsidRDefault="00454570" w:rsidP="00454570">
      <w:pPr>
        <w:pStyle w:val="a3"/>
        <w:rPr>
          <w:kern w:val="0"/>
        </w:rPr>
      </w:pPr>
      <w:r w:rsidRPr="001A3D2B">
        <w:rPr>
          <w:kern w:val="0"/>
        </w:rPr>
        <w:t>? Peters, M.J., Mukhtar, A., Yunus, R.M., Khan, S., Pappalardo, J., Memon, B.</w:t>
      </w:r>
      <w:r w:rsidR="005853A9">
        <w:rPr>
          <w:kern w:val="0"/>
        </w:rPr>
        <w:t xml:space="preserve"> and </w:t>
      </w:r>
      <w:r w:rsidRPr="001A3D2B">
        <w:rPr>
          <w:kern w:val="0"/>
        </w:rPr>
        <w:t>Memon, M.A. (2009), Meta-</w:t>
      </w:r>
      <w:r w:rsidR="00BB6F18" w:rsidRPr="001A3D2B">
        <w:rPr>
          <w:kern w:val="0"/>
        </w:rPr>
        <w:t>analysis</w:t>
      </w:r>
      <w:r w:rsidR="00427468">
        <w:rPr>
          <w:kern w:val="0"/>
        </w:rPr>
        <w:t xml:space="preserve"> of </w:t>
      </w:r>
      <w:r w:rsidR="00BB6F18" w:rsidRPr="001A3D2B">
        <w:rPr>
          <w:kern w:val="0"/>
        </w:rPr>
        <w:t>randomized clinical trials comparing open</w:t>
      </w:r>
      <w:r w:rsidR="005853A9">
        <w:rPr>
          <w:kern w:val="0"/>
        </w:rPr>
        <w:t xml:space="preserve"> and </w:t>
      </w:r>
      <w:r w:rsidR="00BB6F18" w:rsidRPr="001A3D2B">
        <w:rPr>
          <w:kern w:val="0"/>
        </w:rPr>
        <w:t>laparoscopic anti-reflux s</w:t>
      </w:r>
      <w:r w:rsidRPr="001A3D2B">
        <w:rPr>
          <w:kern w:val="0"/>
        </w:rPr>
        <w:t xml:space="preserve">urgery. </w:t>
      </w:r>
      <w:r w:rsidRPr="001A3D2B">
        <w:rPr>
          <w:i/>
          <w:iCs/>
          <w:kern w:val="0"/>
        </w:rPr>
        <w:t>American Journal</w:t>
      </w:r>
      <w:r w:rsidR="00427468">
        <w:rPr>
          <w:i/>
          <w:iCs/>
          <w:kern w:val="0"/>
        </w:rPr>
        <w:t xml:space="preserve"> of </w:t>
      </w:r>
      <w:r w:rsidRPr="001A3D2B">
        <w:rPr>
          <w:i/>
          <w:iCs/>
          <w:kern w:val="0"/>
        </w:rPr>
        <w:t>Gastroenterology</w:t>
      </w:r>
      <w:r w:rsidRPr="001A3D2B">
        <w:rPr>
          <w:kern w:val="0"/>
        </w:rPr>
        <w:t xml:space="preserve">, </w:t>
      </w:r>
      <w:r w:rsidRPr="001A3D2B">
        <w:rPr>
          <w:b/>
          <w:bCs/>
          <w:kern w:val="0"/>
        </w:rPr>
        <w:t>104</w:t>
      </w:r>
      <w:r w:rsidRPr="001A3D2B">
        <w:rPr>
          <w:kern w:val="0"/>
        </w:rPr>
        <w:t xml:space="preserve"> (6), 1548-1561.</w:t>
      </w:r>
    </w:p>
    <w:p w:rsidR="00BB6F18" w:rsidRPr="00F219CA" w:rsidRDefault="00BB6F18" w:rsidP="00BB6F18">
      <w:pPr>
        <w:pStyle w:val="a3"/>
      </w:pPr>
      <w:r w:rsidRPr="00F219CA">
        <w:t xml:space="preserve">Full Text: </w:t>
      </w:r>
      <w:hyperlink r:id="rId477" w:history="1">
        <w:r w:rsidRPr="00787EEE">
          <w:rPr>
            <w:rStyle w:val="a5"/>
          </w:rPr>
          <w:t>2009\Ame J Gas104, 1548.pdf</w:t>
        </w:r>
      </w:hyperlink>
    </w:p>
    <w:p w:rsidR="00454570" w:rsidRPr="001A3D2B" w:rsidRDefault="00454570" w:rsidP="00454570">
      <w:pPr>
        <w:pStyle w:val="a3"/>
        <w:rPr>
          <w:kern w:val="0"/>
        </w:rPr>
      </w:pPr>
      <w:r w:rsidRPr="001A3D2B">
        <w:rPr>
          <w:kern w:val="0"/>
        </w:rPr>
        <w:t>Abstract: OBJECTIVES:</w:t>
      </w:r>
      <w:r w:rsidR="003A1917">
        <w:rPr>
          <w:kern w:val="0"/>
        </w:rPr>
        <w:t xml:space="preserve"> the </w:t>
      </w:r>
      <w:r w:rsidRPr="001A3D2B">
        <w:rPr>
          <w:kern w:val="0"/>
        </w:rPr>
        <w:t>aim</w:t>
      </w:r>
      <w:r w:rsidR="00427468">
        <w:rPr>
          <w:kern w:val="0"/>
        </w:rPr>
        <w:t xml:space="preserve"> of </w:t>
      </w:r>
      <w:r w:rsidRPr="001A3D2B">
        <w:rPr>
          <w:kern w:val="0"/>
        </w:rPr>
        <w:t>this study was to conduct a meta-analysis</w:t>
      </w:r>
      <w:r w:rsidR="00427468">
        <w:rPr>
          <w:kern w:val="0"/>
        </w:rPr>
        <w:t xml:space="preserve"> of </w:t>
      </w:r>
      <w:r w:rsidRPr="001A3D2B">
        <w:rPr>
          <w:kern w:val="0"/>
        </w:rPr>
        <w:t>randomized evidence to determine</w:t>
      </w:r>
      <w:r w:rsidR="003A1917">
        <w:rPr>
          <w:kern w:val="0"/>
        </w:rPr>
        <w:t xml:space="preserve"> the </w:t>
      </w:r>
      <w:r w:rsidRPr="001A3D2B">
        <w:rPr>
          <w:kern w:val="0"/>
        </w:rPr>
        <w:t>relative merits</w:t>
      </w:r>
      <w:r w:rsidR="00427468">
        <w:rPr>
          <w:kern w:val="0"/>
        </w:rPr>
        <w:t xml:space="preserve"> of </w:t>
      </w:r>
      <w:r w:rsidRPr="001A3D2B">
        <w:rPr>
          <w:kern w:val="0"/>
        </w:rPr>
        <w:t>laparoscopic anti-reflux surgery (LARS)</w:t>
      </w:r>
      <w:r w:rsidR="005853A9">
        <w:rPr>
          <w:kern w:val="0"/>
        </w:rPr>
        <w:t xml:space="preserve"> and </w:t>
      </w:r>
      <w:r w:rsidRPr="001A3D2B">
        <w:rPr>
          <w:kern w:val="0"/>
        </w:rPr>
        <w:t>open anti-reflux surgery (OARS) for proven gastro-esophageal reflux disease (GERD). METHODS: A search</w:t>
      </w:r>
      <w:r w:rsidR="00427468">
        <w:rPr>
          <w:kern w:val="0"/>
        </w:rPr>
        <w:t xml:space="preserve"> of </w:t>
      </w:r>
      <w:r w:rsidR="003A1917">
        <w:rPr>
          <w:kern w:val="0"/>
        </w:rPr>
        <w:t xml:space="preserve">the </w:t>
      </w:r>
      <w:r w:rsidR="00D5664A">
        <w:rPr>
          <w:kern w:val="0"/>
        </w:rPr>
        <w:t>MEDLINE</w:t>
      </w:r>
      <w:r w:rsidRPr="001A3D2B">
        <w:rPr>
          <w:kern w:val="0"/>
        </w:rPr>
        <w:t>, Embase, Science Citation Index, Current Contents,</w:t>
      </w:r>
      <w:r w:rsidR="005853A9">
        <w:rPr>
          <w:kern w:val="0"/>
        </w:rPr>
        <w:t xml:space="preserve"> and </w:t>
      </w:r>
      <w:r w:rsidR="002C12F0">
        <w:rPr>
          <w:kern w:val="0"/>
        </w:rPr>
        <w:t>PUBMED</w:t>
      </w:r>
      <w:r w:rsidRPr="001A3D2B">
        <w:rPr>
          <w:kern w:val="0"/>
        </w:rPr>
        <w:t xml:space="preserve"> databases identified all randomized clinical trials that compared LARS</w:t>
      </w:r>
      <w:r w:rsidR="005853A9">
        <w:rPr>
          <w:kern w:val="0"/>
        </w:rPr>
        <w:t xml:space="preserve"> and </w:t>
      </w:r>
      <w:r w:rsidRPr="001A3D2B">
        <w:rPr>
          <w:kern w:val="0"/>
        </w:rPr>
        <w:t>OARS</w:t>
      </w:r>
      <w:r w:rsidR="005853A9">
        <w:rPr>
          <w:kern w:val="0"/>
        </w:rPr>
        <w:t xml:space="preserve"> and </w:t>
      </w:r>
      <w:r w:rsidRPr="001A3D2B">
        <w:rPr>
          <w:kern w:val="0"/>
        </w:rPr>
        <w:t>that were published in</w:t>
      </w:r>
      <w:r w:rsidR="003A1917">
        <w:rPr>
          <w:kern w:val="0"/>
        </w:rPr>
        <w:t xml:space="preserve"> the </w:t>
      </w:r>
      <w:r w:rsidRPr="001A3D2B">
        <w:rPr>
          <w:kern w:val="0"/>
        </w:rPr>
        <w:t>English language between 1990</w:t>
      </w:r>
      <w:r w:rsidR="005853A9">
        <w:rPr>
          <w:kern w:val="0"/>
        </w:rPr>
        <w:t xml:space="preserve"> and </w:t>
      </w:r>
      <w:r w:rsidRPr="001A3D2B">
        <w:rPr>
          <w:kern w:val="0"/>
        </w:rPr>
        <w:t>2007. A meta-analysis was carried out in accordance with</w:t>
      </w:r>
      <w:r w:rsidR="003A1917">
        <w:rPr>
          <w:kern w:val="0"/>
        </w:rPr>
        <w:t xml:space="preserve"> the </w:t>
      </w:r>
      <w:r w:rsidRPr="001A3D2B">
        <w:rPr>
          <w:kern w:val="0"/>
        </w:rPr>
        <w:t>QUOROM (Quality</w:t>
      </w:r>
      <w:r w:rsidR="00427468">
        <w:rPr>
          <w:kern w:val="0"/>
        </w:rPr>
        <w:t xml:space="preserve"> of </w:t>
      </w:r>
      <w:r w:rsidRPr="001A3D2B">
        <w:rPr>
          <w:kern w:val="0"/>
        </w:rPr>
        <w:t>Reporting</w:t>
      </w:r>
      <w:r w:rsidR="00427468">
        <w:rPr>
          <w:kern w:val="0"/>
        </w:rPr>
        <w:t xml:space="preserve"> of </w:t>
      </w:r>
      <w:r w:rsidRPr="001A3D2B">
        <w:rPr>
          <w:kern w:val="0"/>
        </w:rPr>
        <w:t>Meta-Analyses) statement</w:t>
      </w:r>
      <w:r w:rsidR="00A37C1D">
        <w:rPr>
          <w:kern w:val="0"/>
        </w:rPr>
        <w:t>. The</w:t>
      </w:r>
      <w:r w:rsidR="003A1917">
        <w:rPr>
          <w:kern w:val="0"/>
        </w:rPr>
        <w:t xml:space="preserve"> </w:t>
      </w:r>
      <w:r w:rsidRPr="001A3D2B">
        <w:rPr>
          <w:kern w:val="0"/>
        </w:rPr>
        <w:t>six outcome variables analyzed were operating time, hospital stay, return to normal activity, perioperative complications, treatment failure,</w:t>
      </w:r>
      <w:r w:rsidR="005853A9">
        <w:rPr>
          <w:kern w:val="0"/>
        </w:rPr>
        <w:t xml:space="preserve"> and </w:t>
      </w:r>
      <w:r w:rsidRPr="001A3D2B">
        <w:rPr>
          <w:kern w:val="0"/>
        </w:rPr>
        <w:t>requirement for further surgery. Random-effects meta-analyses were carried out using odds ratios (ORs)</w:t>
      </w:r>
      <w:r w:rsidR="005853A9">
        <w:rPr>
          <w:kern w:val="0"/>
        </w:rPr>
        <w:t xml:space="preserve"> and </w:t>
      </w:r>
      <w:r w:rsidRPr="001A3D2B">
        <w:rPr>
          <w:kern w:val="0"/>
        </w:rPr>
        <w:t>weighted mean differences (WMDs). RESULTS: Twelve trials were considered suitable for</w:t>
      </w:r>
      <w:r w:rsidR="003A1917">
        <w:rPr>
          <w:kern w:val="0"/>
        </w:rPr>
        <w:t xml:space="preserve"> the </w:t>
      </w:r>
      <w:r w:rsidRPr="001A3D2B">
        <w:rPr>
          <w:kern w:val="0"/>
        </w:rPr>
        <w:t>meta-analysis. A total</w:t>
      </w:r>
      <w:r w:rsidR="00427468">
        <w:rPr>
          <w:kern w:val="0"/>
        </w:rPr>
        <w:t xml:space="preserve"> of </w:t>
      </w:r>
      <w:r w:rsidRPr="001A3D2B">
        <w:rPr>
          <w:kern w:val="0"/>
        </w:rPr>
        <w:t>503 patients underwent OARS</w:t>
      </w:r>
      <w:r w:rsidR="005853A9">
        <w:rPr>
          <w:kern w:val="0"/>
        </w:rPr>
        <w:t xml:space="preserve"> and </w:t>
      </w:r>
      <w:r w:rsidRPr="001A3D2B">
        <w:rPr>
          <w:kern w:val="0"/>
        </w:rPr>
        <w:t xml:space="preserve">533 had </w:t>
      </w:r>
      <w:r w:rsidRPr="001A3D2B">
        <w:rPr>
          <w:kern w:val="0"/>
        </w:rPr>
        <w:lastRenderedPageBreak/>
        <w:t>LARS. For three</w:t>
      </w:r>
      <w:r w:rsidR="00427468">
        <w:rPr>
          <w:kern w:val="0"/>
        </w:rPr>
        <w:t xml:space="preserve"> of </w:t>
      </w:r>
      <w:r w:rsidR="003A1917">
        <w:rPr>
          <w:kern w:val="0"/>
        </w:rPr>
        <w:t xml:space="preserve">the </w:t>
      </w:r>
      <w:r w:rsidRPr="001A3D2B">
        <w:rPr>
          <w:kern w:val="0"/>
        </w:rPr>
        <w:t>six outcomes,</w:t>
      </w:r>
      <w:r w:rsidR="003A1917">
        <w:rPr>
          <w:kern w:val="0"/>
        </w:rPr>
        <w:t xml:space="preserve"> the </w:t>
      </w:r>
      <w:r w:rsidRPr="001A3D2B">
        <w:rPr>
          <w:kern w:val="0"/>
        </w:rPr>
        <w:t>summary point estimates favored LARS over OARS</w:t>
      </w:r>
      <w:r w:rsidR="00A37C1D">
        <w:rPr>
          <w:kern w:val="0"/>
        </w:rPr>
        <w:t>. The</w:t>
      </w:r>
      <w:r w:rsidRPr="001A3D2B">
        <w:rPr>
          <w:kern w:val="0"/>
        </w:rPr>
        <w:t>re was a significant reduction</w:t>
      </w:r>
      <w:r w:rsidR="00427468">
        <w:rPr>
          <w:kern w:val="0"/>
        </w:rPr>
        <w:t xml:space="preserve"> of </w:t>
      </w:r>
      <w:r w:rsidRPr="001A3D2B">
        <w:rPr>
          <w:kern w:val="0"/>
        </w:rPr>
        <w:t>2.68 days in</w:t>
      </w:r>
      <w:r w:rsidR="003A1917">
        <w:rPr>
          <w:kern w:val="0"/>
        </w:rPr>
        <w:t xml:space="preserve"> the </w:t>
      </w:r>
      <w:r w:rsidRPr="001A3D2B">
        <w:rPr>
          <w:kern w:val="0"/>
        </w:rPr>
        <w:t>duration</w:t>
      </w:r>
      <w:r w:rsidR="00427468">
        <w:rPr>
          <w:kern w:val="0"/>
        </w:rPr>
        <w:t xml:space="preserve"> of </w:t>
      </w:r>
      <w:r w:rsidRPr="001A3D2B">
        <w:rPr>
          <w:kern w:val="0"/>
        </w:rPr>
        <w:t>hospital stay for</w:t>
      </w:r>
      <w:r w:rsidR="003A1917">
        <w:rPr>
          <w:kern w:val="0"/>
        </w:rPr>
        <w:t xml:space="preserve"> the </w:t>
      </w:r>
      <w:r w:rsidRPr="001A3D2B">
        <w:rPr>
          <w:kern w:val="0"/>
        </w:rPr>
        <w:t>LARS group compared with that for</w:t>
      </w:r>
      <w:r w:rsidR="003A1917">
        <w:rPr>
          <w:kern w:val="0"/>
        </w:rPr>
        <w:t xml:space="preserve"> the </w:t>
      </w:r>
      <w:r w:rsidRPr="001A3D2B">
        <w:rPr>
          <w:kern w:val="0"/>
        </w:rPr>
        <w:t>OARS group (WMD: -2.68, 95% confidence interval (CI): -3.54 to -1.81; P&lt;0.0001), a significant reduction</w:t>
      </w:r>
      <w:r w:rsidR="00427468">
        <w:rPr>
          <w:kern w:val="0"/>
        </w:rPr>
        <w:t xml:space="preserve"> of </w:t>
      </w:r>
      <w:r w:rsidRPr="001A3D2B">
        <w:rPr>
          <w:kern w:val="0"/>
        </w:rPr>
        <w:t>7.75 days in return to normal activity for</w:t>
      </w:r>
      <w:r w:rsidR="003A1917">
        <w:rPr>
          <w:kern w:val="0"/>
        </w:rPr>
        <w:t xml:space="preserve"> the </w:t>
      </w:r>
      <w:r w:rsidRPr="001A3D2B">
        <w:rPr>
          <w:kern w:val="0"/>
        </w:rPr>
        <w:t>LARS group compared with that for</w:t>
      </w:r>
      <w:r w:rsidR="003A1917">
        <w:rPr>
          <w:kern w:val="0"/>
        </w:rPr>
        <w:t xml:space="preserve"> the </w:t>
      </w:r>
      <w:r w:rsidRPr="001A3D2B">
        <w:rPr>
          <w:kern w:val="0"/>
        </w:rPr>
        <w:t>OARS group (WMD: -7.75, 95% CI: -14.37 to -1.14; P=0.0216),</w:t>
      </w:r>
      <w:r w:rsidR="005853A9">
        <w:rPr>
          <w:kern w:val="0"/>
        </w:rPr>
        <w:t xml:space="preserve"> and </w:t>
      </w:r>
      <w:r w:rsidRPr="001A3D2B">
        <w:rPr>
          <w:kern w:val="0"/>
        </w:rPr>
        <w:t>finally, there was a statistically significant reduction</w:t>
      </w:r>
      <w:r w:rsidR="00427468">
        <w:rPr>
          <w:kern w:val="0"/>
        </w:rPr>
        <w:t xml:space="preserve"> of </w:t>
      </w:r>
      <w:r w:rsidRPr="001A3D2B">
        <w:rPr>
          <w:kern w:val="0"/>
        </w:rPr>
        <w:t>65% in</w:t>
      </w:r>
      <w:r w:rsidR="003A1917">
        <w:rPr>
          <w:kern w:val="0"/>
        </w:rPr>
        <w:t xml:space="preserve"> the </w:t>
      </w:r>
      <w:r w:rsidRPr="001A3D2B">
        <w:rPr>
          <w:kern w:val="0"/>
        </w:rPr>
        <w:t>relative odds</w:t>
      </w:r>
      <w:r w:rsidR="00427468">
        <w:rPr>
          <w:kern w:val="0"/>
        </w:rPr>
        <w:t xml:space="preserve"> of </w:t>
      </w:r>
      <w:r w:rsidRPr="001A3D2B">
        <w:rPr>
          <w:kern w:val="0"/>
        </w:rPr>
        <w:t>complication rates for</w:t>
      </w:r>
      <w:r w:rsidR="003A1917">
        <w:rPr>
          <w:kern w:val="0"/>
        </w:rPr>
        <w:t xml:space="preserve"> the </w:t>
      </w:r>
      <w:r w:rsidRPr="001A3D2B">
        <w:rPr>
          <w:kern w:val="0"/>
        </w:rPr>
        <w:t>LARS group compared with that for</w:t>
      </w:r>
      <w:r w:rsidR="003A1917">
        <w:rPr>
          <w:kern w:val="0"/>
        </w:rPr>
        <w:t xml:space="preserve"> the </w:t>
      </w:r>
      <w:r w:rsidRPr="001A3D2B">
        <w:rPr>
          <w:kern w:val="0"/>
        </w:rPr>
        <w:t>OARS group (OR: 0.35, 95% CI: 0.16-0.75; P=0.0072)</w:t>
      </w:r>
      <w:r w:rsidR="00A37C1D">
        <w:rPr>
          <w:kern w:val="0"/>
        </w:rPr>
        <w:t>. The</w:t>
      </w:r>
      <w:r w:rsidR="003A1917">
        <w:rPr>
          <w:kern w:val="0"/>
        </w:rPr>
        <w:t xml:space="preserve"> </w:t>
      </w:r>
      <w:r w:rsidRPr="001A3D2B">
        <w:rPr>
          <w:kern w:val="0"/>
        </w:rPr>
        <w:t>duration</w:t>
      </w:r>
      <w:r w:rsidR="00427468">
        <w:rPr>
          <w:kern w:val="0"/>
        </w:rPr>
        <w:t xml:space="preserve"> of </w:t>
      </w:r>
      <w:r w:rsidRPr="001A3D2B">
        <w:rPr>
          <w:kern w:val="0"/>
        </w:rPr>
        <w:t>operating time was significantly longer (39.02 min) in</w:t>
      </w:r>
      <w:r w:rsidR="003A1917">
        <w:rPr>
          <w:kern w:val="0"/>
        </w:rPr>
        <w:t xml:space="preserve"> the </w:t>
      </w:r>
      <w:r w:rsidRPr="001A3D2B">
        <w:rPr>
          <w:kern w:val="0"/>
        </w:rPr>
        <w:t>LARS group (WMD: 39.02, 95% CI: 17.99-60.05; P=0.0003). Treatment failure rates were comparable between</w:t>
      </w:r>
      <w:r w:rsidR="003A1917">
        <w:rPr>
          <w:kern w:val="0"/>
        </w:rPr>
        <w:t xml:space="preserve"> the </w:t>
      </w:r>
      <w:r w:rsidRPr="001A3D2B">
        <w:rPr>
          <w:kern w:val="0"/>
        </w:rPr>
        <w:t>two groups (OR: 1.39, 95% CI: 0.71-2.72; P=0.3423). Despite this,</w:t>
      </w:r>
      <w:r w:rsidR="003A1917">
        <w:rPr>
          <w:kern w:val="0"/>
        </w:rPr>
        <w:t xml:space="preserve"> the </w:t>
      </w:r>
      <w:r w:rsidRPr="001A3D2B">
        <w:rPr>
          <w:kern w:val="0"/>
        </w:rPr>
        <w:t>requirement for further surgery was significantly higher in</w:t>
      </w:r>
      <w:r w:rsidR="003A1917">
        <w:rPr>
          <w:kern w:val="0"/>
        </w:rPr>
        <w:t xml:space="preserve"> the </w:t>
      </w:r>
      <w:r w:rsidRPr="001A3D2B">
        <w:rPr>
          <w:kern w:val="0"/>
        </w:rPr>
        <w:t>LARS group (OR: 1.79, 95% CI: 1.00-3.22; P=0.05). CONCLUSIONS: On</w:t>
      </w:r>
      <w:r w:rsidR="003A1917">
        <w:rPr>
          <w:kern w:val="0"/>
        </w:rPr>
        <w:t xml:space="preserve"> the </w:t>
      </w:r>
      <w:r w:rsidRPr="001A3D2B">
        <w:rPr>
          <w:kern w:val="0"/>
        </w:rPr>
        <w:t>basis</w:t>
      </w:r>
      <w:r w:rsidR="00427468">
        <w:rPr>
          <w:kern w:val="0"/>
        </w:rPr>
        <w:t xml:space="preserve"> of </w:t>
      </w:r>
      <w:r w:rsidRPr="001A3D2B">
        <w:rPr>
          <w:kern w:val="0"/>
        </w:rPr>
        <w:t>this meta-analysis,</w:t>
      </w:r>
      <w:r w:rsidR="003A1917">
        <w:rPr>
          <w:kern w:val="0"/>
        </w:rPr>
        <w:t xml:space="preserve"> the </w:t>
      </w:r>
      <w:r w:rsidRPr="001A3D2B">
        <w:rPr>
          <w:kern w:val="0"/>
        </w:rPr>
        <w:t>authors conclude that LARS is an effective</w:t>
      </w:r>
      <w:r w:rsidR="005853A9">
        <w:rPr>
          <w:kern w:val="0"/>
        </w:rPr>
        <w:t xml:space="preserve"> and </w:t>
      </w:r>
      <w:r w:rsidRPr="001A3D2B">
        <w:rPr>
          <w:kern w:val="0"/>
        </w:rPr>
        <w:t>safe alternative to OARS for</w:t>
      </w:r>
      <w:r w:rsidR="003A1917">
        <w:rPr>
          <w:kern w:val="0"/>
        </w:rPr>
        <w:t xml:space="preserve"> the </w:t>
      </w:r>
      <w:r w:rsidRPr="001A3D2B">
        <w:rPr>
          <w:kern w:val="0"/>
        </w:rPr>
        <w:t>treatment</w:t>
      </w:r>
      <w:r w:rsidR="00427468">
        <w:rPr>
          <w:kern w:val="0"/>
        </w:rPr>
        <w:t xml:space="preserve"> of </w:t>
      </w:r>
      <w:r w:rsidRPr="001A3D2B">
        <w:rPr>
          <w:kern w:val="0"/>
        </w:rPr>
        <w:t>proven GERD. LARS enables a faster convalescence</w:t>
      </w:r>
      <w:r w:rsidR="005853A9">
        <w:rPr>
          <w:kern w:val="0"/>
        </w:rPr>
        <w:t xml:space="preserve"> and </w:t>
      </w:r>
      <w:r w:rsidRPr="001A3D2B">
        <w:rPr>
          <w:kern w:val="0"/>
        </w:rPr>
        <w:t>return to productive activity, with a reduced risk</w:t>
      </w:r>
      <w:r w:rsidR="00427468">
        <w:rPr>
          <w:kern w:val="0"/>
        </w:rPr>
        <w:t xml:space="preserve"> of </w:t>
      </w:r>
      <w:r w:rsidRPr="001A3D2B">
        <w:rPr>
          <w:kern w:val="0"/>
        </w:rPr>
        <w:t>complications</w:t>
      </w:r>
      <w:r w:rsidR="005853A9">
        <w:rPr>
          <w:kern w:val="0"/>
        </w:rPr>
        <w:t xml:space="preserve"> and </w:t>
      </w:r>
      <w:r w:rsidRPr="001A3D2B">
        <w:rPr>
          <w:kern w:val="0"/>
        </w:rPr>
        <w:t>a similar treatment outcome, than an open approach. However, there is a significantly higher rate</w:t>
      </w:r>
      <w:r w:rsidR="00427468">
        <w:rPr>
          <w:kern w:val="0"/>
        </w:rPr>
        <w:t xml:space="preserve"> of </w:t>
      </w:r>
      <w:r w:rsidRPr="001A3D2B">
        <w:rPr>
          <w:kern w:val="0"/>
        </w:rPr>
        <w:t>re-operation (79%) in</w:t>
      </w:r>
      <w:r w:rsidR="003A1917">
        <w:rPr>
          <w:kern w:val="0"/>
        </w:rPr>
        <w:t xml:space="preserve"> the </w:t>
      </w:r>
      <w:r w:rsidRPr="001A3D2B">
        <w:rPr>
          <w:kern w:val="0"/>
        </w:rPr>
        <w:t>LARS group.</w:t>
      </w:r>
    </w:p>
    <w:p w:rsidR="00454570" w:rsidRPr="001A3D2B" w:rsidRDefault="00454570" w:rsidP="00454570">
      <w:pPr>
        <w:pStyle w:val="a3"/>
        <w:rPr>
          <w:kern w:val="0"/>
        </w:rPr>
      </w:pPr>
      <w:r w:rsidRPr="001A3D2B">
        <w:rPr>
          <w:kern w:val="0"/>
        </w:rPr>
        <w:t>Keywords: Bias, Conventional Nissen Fundoplication, Cost, Dysphagia, Follow</w:t>
      </w:r>
      <w:r w:rsidR="0062028A">
        <w:rPr>
          <w:kern w:val="0"/>
        </w:rPr>
        <w:t>-up,</w:t>
      </w:r>
      <w:r w:rsidRPr="001A3D2B">
        <w:rPr>
          <w:kern w:val="0"/>
        </w:rPr>
        <w:t xml:space="preserve"> Gastroesophageal-Reflux Disease, Heterogeneity, Quality, Redo, Repair</w:t>
      </w:r>
    </w:p>
    <w:p w:rsidR="009942EC" w:rsidRDefault="009942EC" w:rsidP="009942EC">
      <w:pPr>
        <w:pStyle w:val="a3"/>
        <w:rPr>
          <w:kern w:val="0"/>
        </w:rPr>
      </w:pPr>
      <w:r>
        <w:rPr>
          <w:rFonts w:hint="eastAsia"/>
          <w:kern w:val="0"/>
        </w:rPr>
        <w:t xml:space="preserve">? </w:t>
      </w:r>
      <w:r>
        <w:rPr>
          <w:kern w:val="0"/>
        </w:rPr>
        <w:t>Adler, J.A., Rangwalla, S.C., Dwamena, B.A.</w:t>
      </w:r>
      <w:r w:rsidR="005853A9">
        <w:rPr>
          <w:kern w:val="0"/>
        </w:rPr>
        <w:t xml:space="preserve"> and </w:t>
      </w:r>
      <w:r>
        <w:rPr>
          <w:kern w:val="0"/>
        </w:rPr>
        <w:t>Higgins, P.D.R. (2011</w:t>
      </w:r>
      <w:r w:rsidR="00F42EAC">
        <w:rPr>
          <w:kern w:val="0"/>
        </w:rPr>
        <w:t>), The</w:t>
      </w:r>
      <w:r w:rsidR="003A1917">
        <w:rPr>
          <w:kern w:val="0"/>
        </w:rPr>
        <w:t xml:space="preserve"> </w:t>
      </w:r>
      <w:r>
        <w:rPr>
          <w:kern w:val="0"/>
        </w:rPr>
        <w:t>prognostic power</w:t>
      </w:r>
      <w:r w:rsidR="00427468">
        <w:rPr>
          <w:kern w:val="0"/>
        </w:rPr>
        <w:t xml:space="preserve"> of </w:t>
      </w:r>
      <w:r w:rsidR="003A1917">
        <w:rPr>
          <w:kern w:val="0"/>
        </w:rPr>
        <w:t xml:space="preserve">the </w:t>
      </w:r>
      <w:r>
        <w:rPr>
          <w:kern w:val="0"/>
        </w:rPr>
        <w:t>NOD2 genotype for complicated crohn</w:t>
      </w:r>
      <w:r w:rsidR="00700038">
        <w:rPr>
          <w:kern w:val="0"/>
        </w:rPr>
        <w:t>’</w:t>
      </w:r>
      <w:r w:rsidR="00C13DDC">
        <w:rPr>
          <w:kern w:val="0"/>
        </w:rPr>
        <w:t>s</w:t>
      </w:r>
      <w:r>
        <w:rPr>
          <w:kern w:val="0"/>
        </w:rPr>
        <w:t xml:space="preserve"> disease: A meta-analysis. </w:t>
      </w:r>
      <w:r>
        <w:rPr>
          <w:i/>
          <w:iCs/>
          <w:kern w:val="0"/>
        </w:rPr>
        <w:t>American Journal</w:t>
      </w:r>
      <w:r w:rsidR="00427468">
        <w:rPr>
          <w:i/>
          <w:iCs/>
          <w:kern w:val="0"/>
        </w:rPr>
        <w:t xml:space="preserve"> of </w:t>
      </w:r>
      <w:r>
        <w:rPr>
          <w:i/>
          <w:iCs/>
          <w:kern w:val="0"/>
        </w:rPr>
        <w:t>Gastroenterology</w:t>
      </w:r>
      <w:r>
        <w:rPr>
          <w:kern w:val="0"/>
        </w:rPr>
        <w:t xml:space="preserve">, </w:t>
      </w:r>
      <w:r>
        <w:rPr>
          <w:b/>
          <w:bCs/>
          <w:kern w:val="0"/>
        </w:rPr>
        <w:t>106</w:t>
      </w:r>
      <w:r>
        <w:rPr>
          <w:kern w:val="0"/>
        </w:rPr>
        <w:t xml:space="preserve"> (4), 699-712.</w:t>
      </w:r>
    </w:p>
    <w:p w:rsidR="009942EC" w:rsidRPr="00F219CA" w:rsidRDefault="009942EC" w:rsidP="009942EC">
      <w:pPr>
        <w:pStyle w:val="a3"/>
      </w:pPr>
      <w:r w:rsidRPr="00F219CA">
        <w:t xml:space="preserve">Full Text: </w:t>
      </w:r>
      <w:hyperlink r:id="rId478" w:history="1">
        <w:r w:rsidR="00DE4F4F" w:rsidRPr="00DE4F4F">
          <w:rPr>
            <w:rStyle w:val="a5"/>
          </w:rPr>
          <w:t>2011\Ame J Gas106, 699.pdf</w:t>
        </w:r>
      </w:hyperlink>
    </w:p>
    <w:p w:rsidR="009942EC" w:rsidRDefault="009942EC" w:rsidP="009942EC">
      <w:pPr>
        <w:pStyle w:val="a3"/>
        <w:rPr>
          <w:kern w:val="0"/>
        </w:rPr>
      </w:pPr>
      <w:r>
        <w:rPr>
          <w:kern w:val="0"/>
        </w:rPr>
        <w:t>Abstract: OBJECTIVES: Crohn</w:t>
      </w:r>
      <w:r w:rsidR="00700038">
        <w:rPr>
          <w:kern w:val="0"/>
        </w:rPr>
        <w:t>’</w:t>
      </w:r>
      <w:r w:rsidR="00C13DDC">
        <w:rPr>
          <w:kern w:val="0"/>
        </w:rPr>
        <w:t>s</w:t>
      </w:r>
      <w:r>
        <w:rPr>
          <w:kern w:val="0"/>
        </w:rPr>
        <w:t xml:space="preserve"> disease is often purely inflammatory at presentation, but most patients develop strictures</w:t>
      </w:r>
      <w:r w:rsidR="005853A9">
        <w:rPr>
          <w:kern w:val="0"/>
        </w:rPr>
        <w:t xml:space="preserve"> and </w:t>
      </w:r>
      <w:r>
        <w:rPr>
          <w:kern w:val="0"/>
        </w:rPr>
        <w:t>fistulae over time (complicated disease). Many studies have suggested that nucleotide-binding oligomerization domain 2 (NOD2) mutations are associated with a varying but increased risk</w:t>
      </w:r>
      <w:r w:rsidR="00427468">
        <w:rPr>
          <w:kern w:val="0"/>
        </w:rPr>
        <w:t xml:space="preserve"> of </w:t>
      </w:r>
      <w:r>
        <w:rPr>
          <w:kern w:val="0"/>
        </w:rPr>
        <w:t>complicated disease. An accurate</w:t>
      </w:r>
      <w:r w:rsidR="005853A9">
        <w:rPr>
          <w:kern w:val="0"/>
        </w:rPr>
        <w:t xml:space="preserve"> and </w:t>
      </w:r>
      <w:r>
        <w:rPr>
          <w:kern w:val="0"/>
        </w:rPr>
        <w:t>sufficiently powerful predictor</w:t>
      </w:r>
      <w:r w:rsidR="00427468">
        <w:rPr>
          <w:kern w:val="0"/>
        </w:rPr>
        <w:t xml:space="preserve"> of </w:t>
      </w:r>
      <w:r>
        <w:rPr>
          <w:kern w:val="0"/>
        </w:rPr>
        <w:t>complicated disease could justify</w:t>
      </w:r>
      <w:r w:rsidR="003A1917">
        <w:rPr>
          <w:kern w:val="0"/>
        </w:rPr>
        <w:t xml:space="preserve"> the </w:t>
      </w:r>
      <w:r>
        <w:rPr>
          <w:kern w:val="0"/>
        </w:rPr>
        <w:t>early use</w:t>
      </w:r>
      <w:r w:rsidR="00427468">
        <w:rPr>
          <w:kern w:val="0"/>
        </w:rPr>
        <w:t xml:space="preserve"> of </w:t>
      </w:r>
      <w:r>
        <w:rPr>
          <w:kern w:val="0"/>
        </w:rPr>
        <w:t>biological therapy in high-risk individuals. We performed a systematic review</w:t>
      </w:r>
      <w:r w:rsidR="005853A9">
        <w:rPr>
          <w:kern w:val="0"/>
        </w:rPr>
        <w:t xml:space="preserve"> and </w:t>
      </w:r>
      <w:r>
        <w:rPr>
          <w:kern w:val="0"/>
        </w:rPr>
        <w:t>meta-analysis to obtain accurate estimates</w:t>
      </w:r>
      <w:r w:rsidR="00427468">
        <w:rPr>
          <w:kern w:val="0"/>
        </w:rPr>
        <w:t xml:space="preserve"> of </w:t>
      </w:r>
      <w:r w:rsidR="003A1917">
        <w:rPr>
          <w:kern w:val="0"/>
        </w:rPr>
        <w:t xml:space="preserve">the </w:t>
      </w:r>
      <w:r>
        <w:rPr>
          <w:kern w:val="0"/>
        </w:rPr>
        <w:t>predictive power</w:t>
      </w:r>
      <w:r w:rsidR="00427468">
        <w:rPr>
          <w:kern w:val="0"/>
        </w:rPr>
        <w:t xml:space="preserve"> of </w:t>
      </w:r>
      <w:r w:rsidR="003A1917">
        <w:rPr>
          <w:kern w:val="0"/>
        </w:rPr>
        <w:t xml:space="preserve">the </w:t>
      </w:r>
      <w:r>
        <w:rPr>
          <w:kern w:val="0"/>
        </w:rPr>
        <w:t>identified mutations (such as p.R702W, P.G908R,</w:t>
      </w:r>
      <w:r w:rsidR="005853A9">
        <w:rPr>
          <w:kern w:val="0"/>
        </w:rPr>
        <w:t xml:space="preserve"> and </w:t>
      </w:r>
      <w:r>
        <w:rPr>
          <w:kern w:val="0"/>
        </w:rPr>
        <w:t>p.Leu1007fsX1008) in NOD2 for</w:t>
      </w:r>
      <w:r w:rsidR="003A1917">
        <w:rPr>
          <w:kern w:val="0"/>
        </w:rPr>
        <w:t xml:space="preserve"> the </w:t>
      </w:r>
      <w:r>
        <w:rPr>
          <w:kern w:val="0"/>
        </w:rPr>
        <w:t>risk</w:t>
      </w:r>
      <w:r w:rsidR="00427468">
        <w:rPr>
          <w:kern w:val="0"/>
        </w:rPr>
        <w:t xml:space="preserve"> of </w:t>
      </w:r>
      <w:r>
        <w:rPr>
          <w:kern w:val="0"/>
        </w:rPr>
        <w:t>complicated disease. METHODS: An electronic search</w:t>
      </w:r>
      <w:r w:rsidR="00427468">
        <w:rPr>
          <w:kern w:val="0"/>
        </w:rPr>
        <w:t xml:space="preserve"> of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identified 917 relevant papers. Inclusion required specification</w:t>
      </w:r>
      <w:r w:rsidR="00427468">
        <w:rPr>
          <w:kern w:val="0"/>
        </w:rPr>
        <w:t xml:space="preserve"> of </w:t>
      </w:r>
      <w:r>
        <w:rPr>
          <w:kern w:val="0"/>
        </w:rPr>
        <w:t>genetic mutations at</w:t>
      </w:r>
      <w:r w:rsidR="003A1917">
        <w:rPr>
          <w:kern w:val="0"/>
        </w:rPr>
        <w:t xml:space="preserve"> the </w:t>
      </w:r>
      <w:r>
        <w:rPr>
          <w:kern w:val="0"/>
        </w:rPr>
        <w:t>individual level</w:t>
      </w:r>
      <w:r w:rsidR="005853A9">
        <w:rPr>
          <w:kern w:val="0"/>
        </w:rPr>
        <w:t xml:space="preserve"> and </w:t>
      </w:r>
      <w:r>
        <w:rPr>
          <w:kern w:val="0"/>
        </w:rPr>
        <w:t>disease phenotypes by Vienna classification (inflammatory (B1), stricturing (B2),</w:t>
      </w:r>
      <w:r w:rsidR="005853A9">
        <w:rPr>
          <w:kern w:val="0"/>
        </w:rPr>
        <w:t xml:space="preserve"> and </w:t>
      </w:r>
      <w:r>
        <w:rPr>
          <w:kern w:val="0"/>
        </w:rPr>
        <w:t>fistulizing (B3)). A total</w:t>
      </w:r>
      <w:r w:rsidR="00427468">
        <w:rPr>
          <w:kern w:val="0"/>
        </w:rPr>
        <w:t xml:space="preserve"> of </w:t>
      </w:r>
      <w:r>
        <w:rPr>
          <w:kern w:val="0"/>
        </w:rPr>
        <w:t>49 studies met these criteria, which included 8,893 subjects, 2,897</w:t>
      </w:r>
      <w:r w:rsidR="00427468">
        <w:rPr>
          <w:kern w:val="0"/>
        </w:rPr>
        <w:t xml:space="preserve"> of </w:t>
      </w:r>
      <w:r>
        <w:rPr>
          <w:kern w:val="0"/>
        </w:rPr>
        <w:t xml:space="preserve">whom had NOD2 mutations. Studies were weighted by median </w:t>
      </w:r>
      <w:r>
        <w:rPr>
          <w:kern w:val="0"/>
        </w:rPr>
        <w:lastRenderedPageBreak/>
        <w:t>disease duration. Studies not providing duration data were weighted at</w:t>
      </w:r>
      <w:r w:rsidR="003A1917">
        <w:rPr>
          <w:kern w:val="0"/>
        </w:rPr>
        <w:t xml:space="preserve"> the </w:t>
      </w:r>
      <w:r>
        <w:rPr>
          <w:kern w:val="0"/>
        </w:rPr>
        <w:t>level</w:t>
      </w:r>
      <w:r w:rsidR="00427468">
        <w:rPr>
          <w:kern w:val="0"/>
        </w:rPr>
        <w:t xml:space="preserve"> of </w:t>
      </w:r>
      <w:r w:rsidR="003A1917">
        <w:rPr>
          <w:kern w:val="0"/>
        </w:rPr>
        <w:t xml:space="preserve">the </w:t>
      </w:r>
      <w:r>
        <w:rPr>
          <w:kern w:val="0"/>
        </w:rPr>
        <w:t>study with</w:t>
      </w:r>
      <w:r w:rsidR="003A1917">
        <w:rPr>
          <w:kern w:val="0"/>
        </w:rPr>
        <w:t xml:space="preserve"> the </w:t>
      </w:r>
      <w:r>
        <w:rPr>
          <w:kern w:val="0"/>
        </w:rPr>
        <w:t>shortest disease duration (3.9 years). RESULTS:</w:t>
      </w:r>
      <w:r w:rsidR="003A1917">
        <w:rPr>
          <w:kern w:val="0"/>
        </w:rPr>
        <w:t xml:space="preserve"> the </w:t>
      </w:r>
      <w:r>
        <w:rPr>
          <w:kern w:val="0"/>
        </w:rPr>
        <w:t>relative risk (RR)</w:t>
      </w:r>
      <w:r w:rsidR="00427468">
        <w:rPr>
          <w:kern w:val="0"/>
        </w:rPr>
        <w:t xml:space="preserve"> of </w:t>
      </w:r>
      <w:r w:rsidR="003A1917">
        <w:rPr>
          <w:kern w:val="0"/>
        </w:rPr>
        <w:t xml:space="preserve">the </w:t>
      </w:r>
      <w:r>
        <w:rPr>
          <w:kern w:val="0"/>
        </w:rPr>
        <w:t>presence</w:t>
      </w:r>
      <w:r w:rsidR="00427468">
        <w:rPr>
          <w:kern w:val="0"/>
        </w:rPr>
        <w:t xml:space="preserve"> of </w:t>
      </w:r>
      <w:r>
        <w:rPr>
          <w:kern w:val="0"/>
        </w:rPr>
        <w:t>any NOD2 mutant allele for complicated disease (B2 or B3) was 1.17 (95% confidence interval (95 % CI) 1.10-1.24; P &lt; 0.001). P.G908R was associated with an RR</w:t>
      </w:r>
      <w:r w:rsidR="00427468">
        <w:rPr>
          <w:kern w:val="0"/>
        </w:rPr>
        <w:t xml:space="preserve"> of </w:t>
      </w:r>
      <w:r>
        <w:rPr>
          <w:kern w:val="0"/>
        </w:rPr>
        <w:t>complicated disease</w:t>
      </w:r>
      <w:r w:rsidR="00427468">
        <w:rPr>
          <w:kern w:val="0"/>
        </w:rPr>
        <w:t xml:space="preserve"> of </w:t>
      </w:r>
      <w:r>
        <w:rPr>
          <w:kern w:val="0"/>
        </w:rPr>
        <w:t>1.33 (95 % CI 1.11-1.60; P = 0.002). NOD2 did not predict perianal disease (P = 0.4)</w:t>
      </w:r>
      <w:r w:rsidR="00A37C1D">
        <w:rPr>
          <w:kern w:val="0"/>
        </w:rPr>
        <w:t>. The</w:t>
      </w:r>
      <w:r w:rsidR="003A1917">
        <w:rPr>
          <w:kern w:val="0"/>
        </w:rPr>
        <w:t xml:space="preserve"> </w:t>
      </w:r>
      <w:r>
        <w:rPr>
          <w:kern w:val="0"/>
        </w:rPr>
        <w:t>RR</w:t>
      </w:r>
      <w:r w:rsidR="00427468">
        <w:rPr>
          <w:kern w:val="0"/>
        </w:rPr>
        <w:t xml:space="preserve"> of </w:t>
      </w:r>
      <w:r>
        <w:rPr>
          <w:kern w:val="0"/>
        </w:rPr>
        <w:t>surgery was 1.58 (95 % CI 1.38-1.80; P &lt; 0.001)</w:t>
      </w:r>
      <w:r w:rsidR="00A37C1D">
        <w:rPr>
          <w:kern w:val="0"/>
        </w:rPr>
        <w:t>. The</w:t>
      </w:r>
      <w:r>
        <w:rPr>
          <w:kern w:val="0"/>
        </w:rPr>
        <w:t>re was substantial heterogeneity across all studies (I(2) = 66.7 %). On</w:t>
      </w:r>
      <w:r w:rsidR="003A1917">
        <w:rPr>
          <w:kern w:val="0"/>
        </w:rPr>
        <w:t xml:space="preserve"> the </w:t>
      </w:r>
      <w:r>
        <w:rPr>
          <w:kern w:val="0"/>
        </w:rPr>
        <w:t>basis</w:t>
      </w:r>
      <w:r w:rsidR="00427468">
        <w:rPr>
          <w:kern w:val="0"/>
        </w:rPr>
        <w:t xml:space="preserve"> of </w:t>
      </w:r>
      <w:r>
        <w:rPr>
          <w:kern w:val="0"/>
        </w:rPr>
        <w:t>logistic regression</w:t>
      </w:r>
      <w:r w:rsidR="00427468">
        <w:rPr>
          <w:kern w:val="0"/>
        </w:rPr>
        <w:t xml:space="preserve"> of </w:t>
      </w:r>
      <w:r>
        <w:rPr>
          <w:kern w:val="0"/>
        </w:rPr>
        <w:t>these data,</w:t>
      </w:r>
      <w:r w:rsidR="003A1917">
        <w:rPr>
          <w:kern w:val="0"/>
        </w:rPr>
        <w:t xml:space="preserve"> the </w:t>
      </w:r>
      <w:r>
        <w:rPr>
          <w:kern w:val="0"/>
        </w:rPr>
        <w:t>sensitivity</w:t>
      </w:r>
      <w:r w:rsidR="00427468">
        <w:rPr>
          <w:kern w:val="0"/>
        </w:rPr>
        <w:t xml:space="preserve"> of </w:t>
      </w:r>
      <w:r>
        <w:rPr>
          <w:kern w:val="0"/>
        </w:rPr>
        <w:t>any mutation in predicting complicated disease was 36%</w:t>
      </w:r>
      <w:r w:rsidR="005853A9">
        <w:rPr>
          <w:kern w:val="0"/>
        </w:rPr>
        <w:t xml:space="preserve"> and </w:t>
      </w:r>
      <w:r>
        <w:rPr>
          <w:kern w:val="0"/>
        </w:rPr>
        <w:t>specificity was 73 %, with</w:t>
      </w:r>
      <w:r w:rsidR="003A1917">
        <w:rPr>
          <w:kern w:val="0"/>
        </w:rPr>
        <w:t xml:space="preserve"> the </w:t>
      </w:r>
      <w:r>
        <w:rPr>
          <w:kern w:val="0"/>
        </w:rPr>
        <w:t>area under</w:t>
      </w:r>
      <w:r w:rsidR="003A1917">
        <w:rPr>
          <w:kern w:val="0"/>
        </w:rPr>
        <w:t xml:space="preserve"> the </w:t>
      </w:r>
      <w:r>
        <w:rPr>
          <w:kern w:val="0"/>
        </w:rPr>
        <w:t>receiver operating characteristic curve 0.56. CONCLUSIONS:</w:t>
      </w:r>
      <w:r w:rsidR="003A1917">
        <w:rPr>
          <w:kern w:val="0"/>
        </w:rPr>
        <w:t xml:space="preserve"> the </w:t>
      </w:r>
      <w:r>
        <w:rPr>
          <w:kern w:val="0"/>
        </w:rPr>
        <w:t>presence</w:t>
      </w:r>
      <w:r w:rsidR="00427468">
        <w:rPr>
          <w:kern w:val="0"/>
        </w:rPr>
        <w:t xml:space="preserve"> of </w:t>
      </w:r>
      <w:r>
        <w:rPr>
          <w:kern w:val="0"/>
        </w:rPr>
        <w:t>a single NOD2 mutation predicted an 8 % increase in</w:t>
      </w:r>
      <w:r w:rsidR="003A1917">
        <w:rPr>
          <w:kern w:val="0"/>
        </w:rPr>
        <w:t xml:space="preserve"> the </w:t>
      </w:r>
      <w:r>
        <w:rPr>
          <w:kern w:val="0"/>
        </w:rPr>
        <w:t>risk for complicated disease (B2 or B3),</w:t>
      </w:r>
      <w:r w:rsidR="005853A9">
        <w:rPr>
          <w:kern w:val="0"/>
        </w:rPr>
        <w:t xml:space="preserve"> and </w:t>
      </w:r>
      <w:r>
        <w:rPr>
          <w:kern w:val="0"/>
        </w:rPr>
        <w:t>a 41 % increase with 2 mutations. Surgery risk is increased by 58 % with any NOD2 mutation, whereas perianal disease was unchanged</w:t>
      </w:r>
      <w:r w:rsidR="00A37C1D">
        <w:rPr>
          <w:kern w:val="0"/>
        </w:rPr>
        <w:t>. The</w:t>
      </w:r>
      <w:r w:rsidR="003A1917">
        <w:rPr>
          <w:kern w:val="0"/>
        </w:rPr>
        <w:t xml:space="preserve"> </w:t>
      </w:r>
      <w:r>
        <w:rPr>
          <w:kern w:val="0"/>
        </w:rPr>
        <w:t>predictive power associated with a single NOD2 mutation is weak</w:t>
      </w:r>
      <w:r w:rsidR="00A37C1D">
        <w:rPr>
          <w:kern w:val="0"/>
        </w:rPr>
        <w:t>. The</w:t>
      </w:r>
      <w:r w:rsidR="003A1917">
        <w:rPr>
          <w:kern w:val="0"/>
        </w:rPr>
        <w:t xml:space="preserve"> </w:t>
      </w:r>
      <w:r>
        <w:rPr>
          <w:kern w:val="0"/>
        </w:rPr>
        <w:t>RR</w:t>
      </w:r>
      <w:r w:rsidR="00427468">
        <w:rPr>
          <w:kern w:val="0"/>
        </w:rPr>
        <w:t xml:space="preserve"> of </w:t>
      </w:r>
      <w:r>
        <w:rPr>
          <w:kern w:val="0"/>
        </w:rPr>
        <w:t>any NOD2 mutations for complicated disease was only 17 % across 36 studies. However,</w:t>
      </w:r>
      <w:r w:rsidR="003A1917">
        <w:rPr>
          <w:kern w:val="0"/>
        </w:rPr>
        <w:t xml:space="preserve"> the </w:t>
      </w:r>
      <w:r>
        <w:rPr>
          <w:kern w:val="0"/>
        </w:rPr>
        <w:t>presence</w:t>
      </w:r>
      <w:r w:rsidR="00427468">
        <w:rPr>
          <w:kern w:val="0"/>
        </w:rPr>
        <w:t xml:space="preserve"> of </w:t>
      </w:r>
      <w:r>
        <w:rPr>
          <w:kern w:val="0"/>
        </w:rPr>
        <w:t>two NOD2 mutations had 98 % specificity for complicated disease</w:t>
      </w:r>
      <w:r w:rsidR="00A37C1D">
        <w:rPr>
          <w:kern w:val="0"/>
        </w:rPr>
        <w:t>. The</w:t>
      </w:r>
      <w:r>
        <w:rPr>
          <w:kern w:val="0"/>
        </w:rPr>
        <w:t>se data provide insufficient evidence to support top-down therapy based solely on single NOD2 mutations, but suggest that targeted early-intensive therapy for high-risk patients with two NOD2 mutations might be beneficial, if prospective trials can demonstrate changes in</w:t>
      </w:r>
      <w:r w:rsidR="003A1917">
        <w:rPr>
          <w:kern w:val="0"/>
        </w:rPr>
        <w:t xml:space="preserve"> the </w:t>
      </w:r>
      <w:r>
        <w:rPr>
          <w:kern w:val="0"/>
        </w:rPr>
        <w:t>natural history in this subset</w:t>
      </w:r>
      <w:r w:rsidR="00427468">
        <w:rPr>
          <w:kern w:val="0"/>
        </w:rPr>
        <w:t xml:space="preserve"> of </w:t>
      </w:r>
      <w:r>
        <w:rPr>
          <w:kern w:val="0"/>
        </w:rPr>
        <w:t>patients.</w:t>
      </w:r>
    </w:p>
    <w:p w:rsidR="009942EC" w:rsidRDefault="009942EC" w:rsidP="009942EC">
      <w:pPr>
        <w:pStyle w:val="a3"/>
        <w:rPr>
          <w:kern w:val="0"/>
        </w:rPr>
      </w:pPr>
      <w:r>
        <w:rPr>
          <w:kern w:val="0"/>
        </w:rPr>
        <w:t>Keywords: Card15 Gene, Crohn</w:t>
      </w:r>
      <w:r w:rsidR="00700038">
        <w:rPr>
          <w:kern w:val="0"/>
        </w:rPr>
        <w:t>’</w:t>
      </w:r>
      <w:r w:rsidR="00C13DDC">
        <w:rPr>
          <w:kern w:val="0"/>
        </w:rPr>
        <w:t>s</w:t>
      </w:r>
      <w:r>
        <w:rPr>
          <w:kern w:val="0"/>
        </w:rPr>
        <w:t xml:space="preserve"> Disease, Disease, Frameshift Mutation, Genetic, High-Risk Patients, History, Inflammatory-Bowel-Disease, Insertion Mutation, Italian Population, </w:t>
      </w:r>
      <w:r w:rsidR="00D5664A">
        <w:rPr>
          <w:kern w:val="0"/>
        </w:rPr>
        <w:t>MEDLINE</w:t>
      </w:r>
      <w:r>
        <w:rPr>
          <w:kern w:val="0"/>
        </w:rPr>
        <w:t xml:space="preserve">, Meta-Analysis, NOD2, Card15 Gene Polymorphisms, Papers, Phenotype Analysis, Relative Risk, Review, Risk, Science, Spanish Population, Surgery, Susceptibility Loci, Systematic, Systematic Review, Therapy, </w:t>
      </w:r>
      <w:r w:rsidR="00D5664A">
        <w:rPr>
          <w:kern w:val="0"/>
        </w:rPr>
        <w:t>Web</w:t>
      </w:r>
      <w:r w:rsidR="00427468">
        <w:rPr>
          <w:kern w:val="0"/>
        </w:rPr>
        <w:t xml:space="preserve"> of </w:t>
      </w:r>
      <w:r w:rsidR="00D5664A">
        <w:rPr>
          <w:kern w:val="0"/>
        </w:rPr>
        <w:t>Science</w:t>
      </w:r>
      <w:r>
        <w:rPr>
          <w:kern w:val="0"/>
        </w:rPr>
        <w:t>, Working Party</w:t>
      </w:r>
    </w:p>
    <w:p w:rsidR="009840F6" w:rsidRDefault="009840F6" w:rsidP="009840F6">
      <w:pPr>
        <w:pStyle w:val="a3"/>
        <w:rPr>
          <w:kern w:val="0"/>
        </w:rPr>
      </w:pPr>
      <w:r>
        <w:rPr>
          <w:kern w:val="0"/>
        </w:rPr>
        <w:t xml:space="preserve">? Tong, J.L., Zheng, Q., Zhang, C.P., Lo, R.Y., Shen, J. and Ran, Z.H. (2015), Incidence, prevalence, and temporal trends of microscopic colitis: A systematic review and meta-analysis. </w:t>
      </w:r>
      <w:r>
        <w:rPr>
          <w:i/>
          <w:iCs/>
          <w:kern w:val="0"/>
        </w:rPr>
        <w:t>American Journal of Gastroenterology</w:t>
      </w:r>
      <w:r>
        <w:rPr>
          <w:kern w:val="0"/>
        </w:rPr>
        <w:t xml:space="preserve">, </w:t>
      </w:r>
      <w:r>
        <w:rPr>
          <w:b/>
          <w:bCs/>
          <w:kern w:val="0"/>
        </w:rPr>
        <w:t>110</w:t>
      </w:r>
      <w:r>
        <w:rPr>
          <w:kern w:val="0"/>
        </w:rPr>
        <w:t xml:space="preserve"> (2), 265-276.</w:t>
      </w:r>
    </w:p>
    <w:p w:rsidR="009840F6" w:rsidRPr="00F219CA" w:rsidRDefault="009840F6" w:rsidP="009840F6">
      <w:pPr>
        <w:pStyle w:val="a3"/>
      </w:pPr>
      <w:r w:rsidRPr="00F219CA">
        <w:t xml:space="preserve">Full Text: </w:t>
      </w:r>
      <w:r w:rsidRPr="00D1078A">
        <w:t>201</w:t>
      </w:r>
      <w:r>
        <w:t>5</w:t>
      </w:r>
      <w:r w:rsidRPr="00D1078A">
        <w:t>\Ame J Gas1</w:t>
      </w:r>
      <w:r>
        <w:t>10</w:t>
      </w:r>
      <w:r w:rsidRPr="00D1078A">
        <w:t xml:space="preserve">, </w:t>
      </w:r>
      <w:r>
        <w:t>265</w:t>
      </w:r>
      <w:r w:rsidRPr="00D1078A">
        <w:t>.pdf</w:t>
      </w:r>
    </w:p>
    <w:p w:rsidR="009840F6" w:rsidRDefault="009840F6" w:rsidP="009840F6">
      <w:pPr>
        <w:pStyle w:val="a3"/>
        <w:rPr>
          <w:kern w:val="0"/>
        </w:rPr>
      </w:pPr>
      <w:r>
        <w:rPr>
          <w:kern w:val="0"/>
        </w:rPr>
        <w:t xml:space="preserve">Abstract: OBJECTIVES: A systematic review and meta-analysis was conducted to provide an accurate estimate of the incidence rate of microscopic colitis (MC) and to assess the association between medication use and the risk of MC. METHODS: We searched Medline, Embase, and Institute for Scientific Information (ISI) Web of Science up to 26 September 2014 to identify published epidemiological studies of MC. The pooled incidence rate, female-to-male incidence rate ratio, age at diagnosis, prevalence, as well as odds ratios (ORs) of MC in association with medication use were calculated using a fixed-effects model or a random-effects model. RESULTS: </w:t>
      </w:r>
      <w:r>
        <w:rPr>
          <w:kern w:val="0"/>
        </w:rPr>
        <w:lastRenderedPageBreak/>
        <w:t>Of the 1,972 citations retrieved, 25 studies were included. Pooled incidence rate of collagenous colitis (CC) was 4.14 (95% confidence interval (CI) 2.89-5.40) per 100,000 person-years and 4.85 (95% CI, 3.45-6.25) for lymphocytic colitis (LC). The female-to-male incidence rate ratios were 3.05 (95% CI 2.92-3.19) for CC and 1.92 (95% CI 1.53-2.31) for LC. The median age at diagnosis for CC was 64.9 (range, 57.03-72.78) years, similar to LC (median 62.18, range 53.99-70.38). Furthermore, the incidence rate of MC increased with rising age. A steadily increasing trend of incidence rate for both CC and LC was observed before 2000; however, the incidence rate since then has become stable in the United States, Sweden, and Spain. An increased risk of MC was associated with the use of proton pump inhibitors (PPIs) and selective serotonin reuptake inhibitors (SSRIs) (OR 2.68, 95% CI 1.73-4.17 and OR 2.41, 95% CI 1.64-3.53, respectively). CONCLUSIONS: MC is a common disease process. Female gender, increased age, and the use of PPIs and SSRIs are associated with a significantly increased risk of developing MC. Further work is needed to evaluate reported data from developing countries and to elucidate the biologic mechanisms behind the risk factors for MC.</w:t>
      </w:r>
    </w:p>
    <w:p w:rsidR="009840F6" w:rsidRDefault="009840F6" w:rsidP="009840F6">
      <w:pPr>
        <w:pStyle w:val="a3"/>
        <w:rPr>
          <w:kern w:val="0"/>
        </w:rPr>
      </w:pPr>
      <w:r>
        <w:rPr>
          <w:kern w:val="0"/>
        </w:rPr>
        <w:t>Keywords: Age, Association, Citations, Clinical-Features, Collagenous Colitis, Conclusions, Confidence, Data, Developing, Developing Countries, Diagnosis, Diarrhea, Disease, Epidemiology, Factors, Female, Fixed Effects Model, From, Gender, Incidence, Information, Inhibitors, Institute For Scientific Information, Interval, ISI, Lymphocytic Colitis, Mechanisms, Medline, Meta Analysis, Meta-Analysis, Metaanalysis, Methods, Microscopic, Model, Objectives, Orebro, Prevalence, Pump, Random Effects Model, Region, Review, Risk, Risk Factors, Risk-Factors, Science, Selective Serotonin Reuptake Inhibitors, Serotonin, Spain, Ssris, Sweden, Systematic, Systematic Review, Temporal, Trend, Trends, United States, Web, Web Of Science, Work</w:t>
      </w:r>
    </w:p>
    <w:p w:rsidR="006B1E42" w:rsidRPr="00F219CA" w:rsidRDefault="006B1E42" w:rsidP="006B1E42">
      <w:pPr>
        <w:pStyle w:val="1"/>
      </w:pPr>
      <w:r w:rsidRPr="00F219CA">
        <w:br w:type="page"/>
      </w:r>
      <w:bookmarkStart w:id="267" w:name="_Toc420814390"/>
      <w:r w:rsidRPr="00F219CA">
        <w:lastRenderedPageBreak/>
        <w:t xml:space="preserve">Title: </w:t>
      </w:r>
      <w:r w:rsidRPr="001C21D2">
        <w:rPr>
          <w:iCs w:val="0"/>
        </w:rPr>
        <w:t>American Journal</w:t>
      </w:r>
      <w:r w:rsidR="00427468">
        <w:rPr>
          <w:iCs w:val="0"/>
        </w:rPr>
        <w:t xml:space="preserve"> of </w:t>
      </w:r>
      <w:r w:rsidRPr="001C21D2">
        <w:rPr>
          <w:iCs w:val="0"/>
        </w:rPr>
        <w:t>Geriatric Pharmacotherapy</w:t>
      </w:r>
      <w:bookmarkEnd w:id="267"/>
    </w:p>
    <w:p w:rsidR="006B1E42" w:rsidRPr="00F219CA" w:rsidRDefault="006B1E42" w:rsidP="006B1E42">
      <w:pPr>
        <w:pStyle w:val="12"/>
      </w:pPr>
      <w:r w:rsidRPr="00F219CA">
        <w:t xml:space="preserve">Full Journal Title: </w:t>
      </w:r>
      <w:r w:rsidRPr="001C21D2">
        <w:rPr>
          <w:iCs/>
          <w:kern w:val="0"/>
        </w:rPr>
        <w:t>American Journal</w:t>
      </w:r>
      <w:r w:rsidR="00427468">
        <w:rPr>
          <w:iCs/>
          <w:kern w:val="0"/>
        </w:rPr>
        <w:t xml:space="preserve"> of </w:t>
      </w:r>
      <w:r w:rsidRPr="001C21D2">
        <w:rPr>
          <w:iCs/>
          <w:kern w:val="0"/>
        </w:rPr>
        <w:t>Geriatric Pharmacotherapy</w:t>
      </w:r>
    </w:p>
    <w:p w:rsidR="006B1E42" w:rsidRPr="00F219CA" w:rsidRDefault="006B1E42" w:rsidP="006B1E42">
      <w:pPr>
        <w:pStyle w:val="12"/>
      </w:pPr>
      <w:r w:rsidRPr="00F219CA">
        <w:t xml:space="preserve">ISO Abbreviated Title: </w:t>
      </w:r>
    </w:p>
    <w:p w:rsidR="006B1E42" w:rsidRPr="00F219CA" w:rsidRDefault="006B1E42" w:rsidP="006B1E42">
      <w:pPr>
        <w:pStyle w:val="12"/>
      </w:pPr>
      <w:r w:rsidRPr="00F219CA">
        <w:t xml:space="preserve">JCR Abbreviated Title: </w:t>
      </w:r>
    </w:p>
    <w:p w:rsidR="006B1E42" w:rsidRPr="00F219CA" w:rsidRDefault="006B1E42" w:rsidP="006B1E42">
      <w:pPr>
        <w:pStyle w:val="12"/>
      </w:pPr>
      <w:r>
        <w:t xml:space="preserve">ISSN: </w:t>
      </w:r>
    </w:p>
    <w:p w:rsidR="006B1E42" w:rsidRPr="00F219CA" w:rsidRDefault="006B1E42" w:rsidP="006B1E42">
      <w:pPr>
        <w:pStyle w:val="12"/>
      </w:pPr>
      <w:r w:rsidRPr="00F219CA">
        <w:t xml:space="preserve">Issues/Year: </w:t>
      </w:r>
    </w:p>
    <w:p w:rsidR="006B1E42" w:rsidRPr="00F219CA" w:rsidRDefault="006B1E42" w:rsidP="006B1E42">
      <w:pPr>
        <w:pStyle w:val="12"/>
      </w:pPr>
      <w:r w:rsidRPr="00F219CA">
        <w:t xml:space="preserve">Journal Country/Territory: </w:t>
      </w:r>
    </w:p>
    <w:p w:rsidR="006B1E42" w:rsidRPr="00F219CA" w:rsidRDefault="006B1E42" w:rsidP="006B1E42">
      <w:pPr>
        <w:pStyle w:val="12"/>
      </w:pPr>
      <w:r w:rsidRPr="00F219CA">
        <w:t xml:space="preserve">Language: </w:t>
      </w:r>
    </w:p>
    <w:p w:rsidR="006B1E42" w:rsidRPr="00F219CA" w:rsidRDefault="006B1E42" w:rsidP="006B1E42">
      <w:pPr>
        <w:pStyle w:val="12"/>
      </w:pPr>
      <w:r w:rsidRPr="00F219CA">
        <w:t xml:space="preserve">Publisher: </w:t>
      </w:r>
    </w:p>
    <w:p w:rsidR="006B1E42" w:rsidRPr="00F219CA" w:rsidRDefault="006B1E42" w:rsidP="006B1E42">
      <w:pPr>
        <w:pStyle w:val="12"/>
      </w:pPr>
      <w:r w:rsidRPr="00F219CA">
        <w:t xml:space="preserve">Publisher Address: </w:t>
      </w:r>
    </w:p>
    <w:p w:rsidR="006B1E42" w:rsidRPr="00F219CA" w:rsidRDefault="006B1E42" w:rsidP="006B1E42">
      <w:pPr>
        <w:pStyle w:val="12"/>
      </w:pPr>
      <w:r w:rsidRPr="00F219CA">
        <w:t xml:space="preserve">Subject Categories: </w:t>
      </w:r>
    </w:p>
    <w:p w:rsidR="006B1E42" w:rsidRPr="00F219CA" w:rsidRDefault="006B1E42" w:rsidP="006B1E42">
      <w:pPr>
        <w:pStyle w:val="12"/>
      </w:pPr>
      <w:r w:rsidRPr="00F219CA">
        <w:t xml:space="preserve">: Impact Factor </w:t>
      </w:r>
    </w:p>
    <w:p w:rsidR="006B1E42" w:rsidRDefault="006B1E42" w:rsidP="006B1E42">
      <w:pPr>
        <w:pStyle w:val="a3"/>
        <w:rPr>
          <w:kern w:val="0"/>
        </w:rPr>
      </w:pPr>
      <w:r>
        <w:rPr>
          <w:rFonts w:hint="eastAsia"/>
          <w:kern w:val="0"/>
        </w:rPr>
        <w:t xml:space="preserve">? </w:t>
      </w:r>
      <w:r>
        <w:rPr>
          <w:kern w:val="0"/>
        </w:rPr>
        <w:t>Gates, B.J., Sonnett, T.E., Duvall, C.A.K.</w:t>
      </w:r>
      <w:r w:rsidR="005853A9">
        <w:rPr>
          <w:kern w:val="0"/>
        </w:rPr>
        <w:t xml:space="preserve"> and </w:t>
      </w:r>
      <w:r>
        <w:rPr>
          <w:kern w:val="0"/>
        </w:rPr>
        <w:t>Dobbins, E.K. (2009), Review</w:t>
      </w:r>
      <w:r w:rsidR="00427468">
        <w:rPr>
          <w:kern w:val="0"/>
        </w:rPr>
        <w:t xml:space="preserve"> of </w:t>
      </w:r>
      <w:r>
        <w:rPr>
          <w:kern w:val="0"/>
        </w:rPr>
        <w:t xml:space="preserve">osteoporosis pharmacotherapy for geriatric patients. </w:t>
      </w:r>
      <w:r w:rsidRPr="001C21D2">
        <w:rPr>
          <w:i/>
          <w:iCs/>
          <w:kern w:val="0"/>
        </w:rPr>
        <w:t>American Journal</w:t>
      </w:r>
      <w:r w:rsidR="00427468">
        <w:rPr>
          <w:i/>
          <w:iCs/>
          <w:kern w:val="0"/>
        </w:rPr>
        <w:t xml:space="preserve"> of </w:t>
      </w:r>
      <w:r w:rsidRPr="001C21D2">
        <w:rPr>
          <w:i/>
          <w:iCs/>
          <w:kern w:val="0"/>
        </w:rPr>
        <w:t>Geriatric Pharmacotherapy</w:t>
      </w:r>
      <w:r>
        <w:rPr>
          <w:kern w:val="0"/>
        </w:rPr>
        <w:t xml:space="preserve">, </w:t>
      </w:r>
      <w:r>
        <w:rPr>
          <w:b/>
          <w:bCs/>
          <w:kern w:val="0"/>
        </w:rPr>
        <w:t>7</w:t>
      </w:r>
      <w:r>
        <w:rPr>
          <w:kern w:val="0"/>
        </w:rPr>
        <w:t xml:space="preserve"> (6), 293-323.</w:t>
      </w:r>
    </w:p>
    <w:p w:rsidR="006B1E42" w:rsidRDefault="006B1E42" w:rsidP="006B1E42">
      <w:pPr>
        <w:pStyle w:val="a3"/>
        <w:rPr>
          <w:kern w:val="0"/>
        </w:rPr>
      </w:pPr>
      <w:r>
        <w:rPr>
          <w:rFonts w:hint="eastAsia"/>
          <w:kern w:val="0"/>
        </w:rPr>
        <w:t xml:space="preserve">Full Text: </w:t>
      </w:r>
      <w:hyperlink r:id="rId479" w:history="1">
        <w:r w:rsidRPr="001C21D2">
          <w:rPr>
            <w:rStyle w:val="a5"/>
            <w:kern w:val="0"/>
          </w:rPr>
          <w:t>2009\Ame J Ger Pha7, 293.pdf</w:t>
        </w:r>
      </w:hyperlink>
    </w:p>
    <w:p w:rsidR="006B1E42" w:rsidRDefault="006B1E42" w:rsidP="006B1E42">
      <w:pPr>
        <w:pStyle w:val="a3"/>
        <w:rPr>
          <w:kern w:val="0"/>
        </w:rPr>
      </w:pPr>
      <w:r>
        <w:rPr>
          <w:kern w:val="0"/>
        </w:rPr>
        <w:t>Abstract: Background: Fractures are a significant problem in geriatric patients,</w:t>
      </w:r>
      <w:r w:rsidR="005853A9">
        <w:rPr>
          <w:kern w:val="0"/>
        </w:rPr>
        <w:t xml:space="preserve"> and </w:t>
      </w:r>
      <w:r>
        <w:rPr>
          <w:kern w:val="0"/>
        </w:rPr>
        <w:t>understanding</w:t>
      </w:r>
      <w:r w:rsidR="003A1917">
        <w:rPr>
          <w:kern w:val="0"/>
        </w:rPr>
        <w:t xml:space="preserve"> the </w:t>
      </w:r>
      <w:r>
        <w:rPr>
          <w:kern w:val="0"/>
        </w:rPr>
        <w:t>evidence for benefit</w:t>
      </w:r>
      <w:r w:rsidR="005853A9">
        <w:rPr>
          <w:kern w:val="0"/>
        </w:rPr>
        <w:t xml:space="preserve"> and </w:t>
      </w:r>
      <w:r>
        <w:rPr>
          <w:kern w:val="0"/>
        </w:rPr>
        <w:t>possible harm</w:t>
      </w:r>
      <w:r w:rsidR="00427468">
        <w:rPr>
          <w:kern w:val="0"/>
        </w:rPr>
        <w:t xml:space="preserve"> of </w:t>
      </w:r>
      <w:r>
        <w:rPr>
          <w:kern w:val="0"/>
        </w:rPr>
        <w:t>osteoporosis treatments is critical to appropriate management</w:t>
      </w:r>
      <w:r w:rsidR="00427468">
        <w:rPr>
          <w:kern w:val="0"/>
        </w:rPr>
        <w:t xml:space="preserve"> of </w:t>
      </w:r>
      <w:r>
        <w:rPr>
          <w:kern w:val="0"/>
        </w:rPr>
        <w:t>tills patient population. Objective:</w:t>
      </w:r>
      <w:r w:rsidR="003A1917">
        <w:rPr>
          <w:kern w:val="0"/>
        </w:rPr>
        <w:t xml:space="preserve"> the </w:t>
      </w:r>
      <w:r>
        <w:rPr>
          <w:kern w:val="0"/>
        </w:rPr>
        <w:t>purpose</w:t>
      </w:r>
      <w:r w:rsidR="00427468">
        <w:rPr>
          <w:kern w:val="0"/>
        </w:rPr>
        <w:t xml:space="preserve"> of </w:t>
      </w:r>
      <w:r>
        <w:rPr>
          <w:kern w:val="0"/>
        </w:rPr>
        <w:t>this article was to review</w:t>
      </w:r>
      <w:r w:rsidR="003A1917">
        <w:rPr>
          <w:kern w:val="0"/>
        </w:rPr>
        <w:t xml:space="preserve"> the </w:t>
      </w:r>
      <w:r>
        <w:rPr>
          <w:kern w:val="0"/>
        </w:rPr>
        <w:t>evidence</w:t>
      </w:r>
      <w:r w:rsidR="005853A9">
        <w:rPr>
          <w:kern w:val="0"/>
        </w:rPr>
        <w:t xml:space="preserve"> and </w:t>
      </w:r>
      <w:r>
        <w:rPr>
          <w:kern w:val="0"/>
        </w:rPr>
        <w:t>treatment considerations related to use</w:t>
      </w:r>
      <w:r w:rsidR="00427468">
        <w:rPr>
          <w:kern w:val="0"/>
        </w:rPr>
        <w:t xml:space="preserve"> of </w:t>
      </w:r>
      <w:r w:rsidR="003A1917">
        <w:rPr>
          <w:kern w:val="0"/>
        </w:rPr>
        <w:t xml:space="preserve">the </w:t>
      </w:r>
      <w:r>
        <w:rPr>
          <w:kern w:val="0"/>
        </w:rPr>
        <w:t>approved osteoporosis treatments in</w:t>
      </w:r>
      <w:r w:rsidR="003A1917">
        <w:rPr>
          <w:kern w:val="0"/>
        </w:rPr>
        <w:t xml:space="preserve"> the </w:t>
      </w:r>
      <w:r>
        <w:rPr>
          <w:kern w:val="0"/>
        </w:rPr>
        <w:t>United States across</w:t>
      </w:r>
      <w:r w:rsidR="003A1917">
        <w:rPr>
          <w:kern w:val="0"/>
        </w:rPr>
        <w:t xml:space="preserve"> the </w:t>
      </w:r>
      <w:r>
        <w:rPr>
          <w:kern w:val="0"/>
        </w:rPr>
        <w:t>continuum</w:t>
      </w:r>
      <w:r w:rsidR="00427468">
        <w:rPr>
          <w:kern w:val="0"/>
        </w:rPr>
        <w:t xml:space="preserve"> of </w:t>
      </w:r>
      <w:r>
        <w:rPr>
          <w:kern w:val="0"/>
        </w:rPr>
        <w:t>ages in</w:t>
      </w:r>
      <w:r w:rsidR="003A1917">
        <w:rPr>
          <w:kern w:val="0"/>
        </w:rPr>
        <w:t xml:space="preserve"> the </w:t>
      </w:r>
      <w:r>
        <w:rPr>
          <w:kern w:val="0"/>
        </w:rPr>
        <w:t xml:space="preserve">geriatric population. Methods: </w:t>
      </w:r>
      <w:r w:rsidR="00D5664A">
        <w:rPr>
          <w:kern w:val="0"/>
        </w:rPr>
        <w:t>MEDLINE</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xml:space="preserve"> were searched to find English-language articles published from 2000 through July 2009. Search terms included: practice guideline, osteoporosis, calcium, vitamin D, pharmacoeconomics, ethnicity,</w:t>
      </w:r>
      <w:r w:rsidR="005853A9">
        <w:rPr>
          <w:kern w:val="0"/>
        </w:rPr>
        <w:t xml:space="preserve"> and </w:t>
      </w:r>
      <w:r>
        <w:rPr>
          <w:kern w:val="0"/>
        </w:rPr>
        <w:t>treatment</w:t>
      </w:r>
      <w:r w:rsidR="00A37C1D">
        <w:rPr>
          <w:kern w:val="0"/>
        </w:rPr>
        <w:t>. The</w:t>
      </w:r>
      <w:r w:rsidR="003A1917">
        <w:rPr>
          <w:kern w:val="0"/>
        </w:rPr>
        <w:t xml:space="preserve"> </w:t>
      </w:r>
      <w:r>
        <w:rPr>
          <w:kern w:val="0"/>
        </w:rPr>
        <w:t>generic names</w:t>
      </w:r>
      <w:r w:rsidR="00427468">
        <w:rPr>
          <w:kern w:val="0"/>
        </w:rPr>
        <w:t xml:space="preserve"> of </w:t>
      </w:r>
      <w:r>
        <w:rPr>
          <w:kern w:val="0"/>
        </w:rPr>
        <w:t>each</w:t>
      </w:r>
      <w:r w:rsidR="00427468">
        <w:rPr>
          <w:kern w:val="0"/>
        </w:rPr>
        <w:t xml:space="preserve"> of </w:t>
      </w:r>
      <w:r w:rsidR="003A1917">
        <w:rPr>
          <w:kern w:val="0"/>
        </w:rPr>
        <w:t xml:space="preserve">the </w:t>
      </w:r>
      <w:r>
        <w:rPr>
          <w:kern w:val="0"/>
        </w:rPr>
        <w:t>osteoporosis treatments approved in</w:t>
      </w:r>
      <w:r w:rsidR="003A1917">
        <w:rPr>
          <w:kern w:val="0"/>
        </w:rPr>
        <w:t xml:space="preserve"> the </w:t>
      </w:r>
      <w:r>
        <w:rPr>
          <w:kern w:val="0"/>
        </w:rPr>
        <w:t>United States were searched to find relevant clinical trials</w:t>
      </w:r>
      <w:r w:rsidR="005853A9">
        <w:rPr>
          <w:kern w:val="0"/>
        </w:rPr>
        <w:t xml:space="preserve"> and </w:t>
      </w:r>
      <w:r>
        <w:rPr>
          <w:kern w:val="0"/>
        </w:rPr>
        <w:t>randomized controlled trials (RCTs). Pivotal trials that included fracture data or focused specifically on elderly patients (&gt;= 60 years</w:t>
      </w:r>
      <w:r w:rsidR="00427468">
        <w:rPr>
          <w:kern w:val="0"/>
        </w:rPr>
        <w:t xml:space="preserve"> of </w:t>
      </w:r>
      <w:r>
        <w:rPr>
          <w:kern w:val="0"/>
        </w:rPr>
        <w:t>age) were selected. Bibliographies in</w:t>
      </w:r>
      <w:r w:rsidR="003A1917">
        <w:rPr>
          <w:kern w:val="0"/>
        </w:rPr>
        <w:t xml:space="preserve"> the </w:t>
      </w:r>
      <w:r>
        <w:rPr>
          <w:kern w:val="0"/>
        </w:rPr>
        <w:t>identified articles were searched for additional articles,</w:t>
      </w:r>
      <w:r w:rsidR="005853A9">
        <w:rPr>
          <w:kern w:val="0"/>
        </w:rPr>
        <w:t xml:space="preserve"> and </w:t>
      </w:r>
      <w:r w:rsidR="003A1917">
        <w:rPr>
          <w:kern w:val="0"/>
        </w:rPr>
        <w:t xml:space="preserve">the </w:t>
      </w:r>
      <w:r>
        <w:rPr>
          <w:kern w:val="0"/>
        </w:rPr>
        <w:t>prescribing information for each</w:t>
      </w:r>
      <w:r w:rsidR="00427468">
        <w:rPr>
          <w:kern w:val="0"/>
        </w:rPr>
        <w:t xml:space="preserve"> of </w:t>
      </w:r>
      <w:r w:rsidR="003A1917">
        <w:rPr>
          <w:kern w:val="0"/>
        </w:rPr>
        <w:t xml:space="preserve">the </w:t>
      </w:r>
      <w:r>
        <w:rPr>
          <w:kern w:val="0"/>
        </w:rPr>
        <w:t>approved treatments was reviewed. Results: Many osteoporosis studies have a mean patient age &gt;60 years, but data for older patients are limited. Subanalyses</w:t>
      </w:r>
      <w:r w:rsidR="00427468">
        <w:rPr>
          <w:kern w:val="0"/>
        </w:rPr>
        <w:t xml:space="preserve"> of </w:t>
      </w:r>
      <w:r>
        <w:rPr>
          <w:kern w:val="0"/>
        </w:rPr>
        <w:t>older patient groups have found risedronate to be beneficial for vertebral fractures in patients aged 70 to 79 years (absolute risk reduction [ARR], 8.4%; P &lt; 0.001)</w:t>
      </w:r>
      <w:r w:rsidR="005853A9">
        <w:rPr>
          <w:kern w:val="0"/>
        </w:rPr>
        <w:t xml:space="preserve"> and </w:t>
      </w:r>
      <w:r>
        <w:rPr>
          <w:kern w:val="0"/>
        </w:rPr>
        <w:t>teriparatide to be beneficial for both vertebral (ARR, 6.4%; P &lt; 0.05)</w:t>
      </w:r>
      <w:r w:rsidR="005853A9">
        <w:rPr>
          <w:kern w:val="0"/>
        </w:rPr>
        <w:t xml:space="preserve"> and </w:t>
      </w:r>
      <w:r>
        <w:rPr>
          <w:kern w:val="0"/>
        </w:rPr>
        <w:t>new nonvertebral fragility fractures (ARR, 9.9%; P &lt; 0.05) in women aged :75 years. However, no RCTs</w:t>
      </w:r>
      <w:r w:rsidR="00427468">
        <w:rPr>
          <w:kern w:val="0"/>
        </w:rPr>
        <w:t xml:space="preserve"> of </w:t>
      </w:r>
      <w:r>
        <w:rPr>
          <w:kern w:val="0"/>
        </w:rPr>
        <w:t>geriatric patients who were either nonambulatory or had multiple comorbidities were identified in</w:t>
      </w:r>
      <w:r w:rsidR="003A1917">
        <w:rPr>
          <w:kern w:val="0"/>
        </w:rPr>
        <w:t xml:space="preserve"> the </w:t>
      </w:r>
      <w:r>
        <w:rPr>
          <w:kern w:val="0"/>
        </w:rPr>
        <w:lastRenderedPageBreak/>
        <w:t>literature. Conclusions: Evidence indicates that</w:t>
      </w:r>
      <w:r w:rsidR="003A1917">
        <w:rPr>
          <w:kern w:val="0"/>
        </w:rPr>
        <w:t xml:space="preserve"> the </w:t>
      </w:r>
      <w:r>
        <w:rPr>
          <w:kern w:val="0"/>
        </w:rPr>
        <w:t>osteoporosis treatments Currently available in</w:t>
      </w:r>
      <w:r w:rsidR="003A1917">
        <w:rPr>
          <w:kern w:val="0"/>
        </w:rPr>
        <w:t xml:space="preserve"> the </w:t>
      </w:r>
      <w:r>
        <w:rPr>
          <w:kern w:val="0"/>
        </w:rPr>
        <w:t>United States are beneficial for treating osteoporosis in geriatric patients. However, data are limited for</w:t>
      </w:r>
      <w:r w:rsidR="003A1917">
        <w:rPr>
          <w:kern w:val="0"/>
        </w:rPr>
        <w:t xml:space="preserve"> the </w:t>
      </w:r>
      <w:r>
        <w:rPr>
          <w:kern w:val="0"/>
        </w:rPr>
        <w:t>oldest patients (&gt;= 80 years)</w:t>
      </w:r>
      <w:r w:rsidR="005853A9">
        <w:rPr>
          <w:kern w:val="0"/>
        </w:rPr>
        <w:t xml:space="preserve"> and </w:t>
      </w:r>
      <w:r>
        <w:rPr>
          <w:kern w:val="0"/>
        </w:rPr>
        <w:t>those with significant comorbidities. Because</w:t>
      </w:r>
      <w:r w:rsidR="00427468">
        <w:rPr>
          <w:kern w:val="0"/>
        </w:rPr>
        <w:t xml:space="preserve"> of </w:t>
      </w:r>
      <w:r w:rsidR="003A1917">
        <w:rPr>
          <w:kern w:val="0"/>
        </w:rPr>
        <w:t xml:space="preserve">the </w:t>
      </w:r>
      <w:r>
        <w:rPr>
          <w:kern w:val="0"/>
        </w:rPr>
        <w:t>limited availability</w:t>
      </w:r>
      <w:r w:rsidR="00427468">
        <w:rPr>
          <w:kern w:val="0"/>
        </w:rPr>
        <w:t xml:space="preserve"> of </w:t>
      </w:r>
      <w:r>
        <w:rPr>
          <w:kern w:val="0"/>
        </w:rPr>
        <w:t>data for geriatric patients with significant comorbidities,</w:t>
      </w:r>
      <w:r w:rsidR="003A1917">
        <w:rPr>
          <w:kern w:val="0"/>
        </w:rPr>
        <w:t xml:space="preserve"> the </w:t>
      </w:r>
      <w:r>
        <w:rPr>
          <w:kern w:val="0"/>
        </w:rPr>
        <w:t>properties</w:t>
      </w:r>
      <w:r w:rsidR="00427468">
        <w:rPr>
          <w:kern w:val="0"/>
        </w:rPr>
        <w:t xml:space="preserve"> of </w:t>
      </w:r>
      <w:r w:rsidR="003A1917">
        <w:rPr>
          <w:kern w:val="0"/>
        </w:rPr>
        <w:t xml:space="preserve">the </w:t>
      </w:r>
      <w:r>
        <w:rPr>
          <w:kern w:val="0"/>
        </w:rPr>
        <w:t>various agents, including efficacy, tolerability,</w:t>
      </w:r>
      <w:r w:rsidR="005853A9">
        <w:rPr>
          <w:kern w:val="0"/>
        </w:rPr>
        <w:t xml:space="preserve"> and </w:t>
      </w:r>
      <w:r>
        <w:rPr>
          <w:kern w:val="0"/>
        </w:rPr>
        <w:t>potential contraindications, should be considered carefully for each geriatric patient. (Am J Geriatr Pharmacother. 2009;7:293-323) (C) 2009 Excerpta Medica Inc.</w:t>
      </w:r>
    </w:p>
    <w:p w:rsidR="006B1E42" w:rsidRDefault="006B1E42" w:rsidP="006B1E42">
      <w:pPr>
        <w:pStyle w:val="a3"/>
        <w:rPr>
          <w:kern w:val="0"/>
        </w:rPr>
      </w:pPr>
      <w:r>
        <w:rPr>
          <w:kern w:val="0"/>
        </w:rPr>
        <w:t xml:space="preserve">Keywords: Aged, Alendronate 70 Mg, Bibliographies, Bone-Mineral Density, Calcium, Clinical Trials, Clinical-Practice Guideline, Efficacy, Elderly, Ethnicity, Falls, Fracture, Geriatric, Information, Literature, Management, </w:t>
      </w:r>
      <w:r w:rsidR="00D5664A">
        <w:rPr>
          <w:kern w:val="0"/>
        </w:rPr>
        <w:t>MEDLINE</w:t>
      </w:r>
      <w:r>
        <w:rPr>
          <w:kern w:val="0"/>
        </w:rPr>
        <w:t>, Methods, Nitrogen-Containing Bisphosphonates, Older Patients, Osteoporosis, Parathyroid-Hormone, Pharmacoeconomics, Postmenopa</w:t>
      </w:r>
      <w:r w:rsidR="00D5664A">
        <w:rPr>
          <w:kern w:val="0"/>
        </w:rPr>
        <w:t>USA</w:t>
      </w:r>
      <w:r>
        <w:rPr>
          <w:kern w:val="0"/>
        </w:rPr>
        <w:t xml:space="preserve">l Osteoporosis, Practice, Prior Antiresorptive Treatment, Randomized Controlled Trials, Randomized-Trial, Review, Risk, Risk Reduction, Science, Treatment, Vertebral Fracture Risk, Vitamin D, Vitamin-D Supplementation, </w:t>
      </w:r>
      <w:r w:rsidR="00D5664A">
        <w:rPr>
          <w:kern w:val="0"/>
        </w:rPr>
        <w:t>Web</w:t>
      </w:r>
      <w:r w:rsidR="00427468">
        <w:rPr>
          <w:kern w:val="0"/>
        </w:rPr>
        <w:t xml:space="preserve"> of </w:t>
      </w:r>
      <w:r w:rsidR="00D5664A">
        <w:rPr>
          <w:kern w:val="0"/>
        </w:rPr>
        <w:t>Science</w:t>
      </w:r>
      <w:r>
        <w:rPr>
          <w:kern w:val="0"/>
        </w:rPr>
        <w:t>, Women</w:t>
      </w:r>
    </w:p>
    <w:p w:rsidR="006B1E42" w:rsidRDefault="006B1E42" w:rsidP="006B1E42">
      <w:pPr>
        <w:pStyle w:val="a3"/>
        <w:rPr>
          <w:kern w:val="0"/>
        </w:rPr>
      </w:pPr>
      <w:r>
        <w:rPr>
          <w:rFonts w:hint="eastAsia"/>
          <w:kern w:val="0"/>
        </w:rPr>
        <w:t xml:space="preserve">? </w:t>
      </w:r>
      <w:r>
        <w:rPr>
          <w:kern w:val="0"/>
        </w:rPr>
        <w:t>Barnard, K.</w:t>
      </w:r>
      <w:r w:rsidR="005853A9">
        <w:rPr>
          <w:kern w:val="0"/>
        </w:rPr>
        <w:t xml:space="preserve"> and </w:t>
      </w:r>
      <w:r>
        <w:rPr>
          <w:kern w:val="0"/>
        </w:rPr>
        <w:t>Colón-Emeric, C. (2010), Extraskeletal effects</w:t>
      </w:r>
      <w:r w:rsidR="00427468">
        <w:rPr>
          <w:kern w:val="0"/>
        </w:rPr>
        <w:t xml:space="preserve"> of </w:t>
      </w:r>
      <w:r>
        <w:rPr>
          <w:kern w:val="0"/>
        </w:rPr>
        <w:t>vitamin D in older adults: Cardiovascular disease, mortality, mood,</w:t>
      </w:r>
      <w:r w:rsidR="005853A9">
        <w:rPr>
          <w:kern w:val="0"/>
        </w:rPr>
        <w:t xml:space="preserve"> and </w:t>
      </w:r>
      <w:r>
        <w:rPr>
          <w:kern w:val="0"/>
        </w:rPr>
        <w:t xml:space="preserve">cognition. </w:t>
      </w:r>
      <w:r>
        <w:rPr>
          <w:i/>
          <w:iCs/>
          <w:kern w:val="0"/>
        </w:rPr>
        <w:t>American Journal</w:t>
      </w:r>
      <w:r w:rsidR="00427468">
        <w:rPr>
          <w:i/>
          <w:iCs/>
          <w:kern w:val="0"/>
        </w:rPr>
        <w:t xml:space="preserve"> of </w:t>
      </w:r>
      <w:r>
        <w:rPr>
          <w:i/>
          <w:iCs/>
          <w:kern w:val="0"/>
        </w:rPr>
        <w:t>Geriatric Pharmacotherapy</w:t>
      </w:r>
      <w:r>
        <w:rPr>
          <w:kern w:val="0"/>
        </w:rPr>
        <w:t xml:space="preserve">, </w:t>
      </w:r>
      <w:r>
        <w:rPr>
          <w:b/>
          <w:bCs/>
          <w:kern w:val="0"/>
        </w:rPr>
        <w:t>8</w:t>
      </w:r>
      <w:r>
        <w:rPr>
          <w:kern w:val="0"/>
        </w:rPr>
        <w:t xml:space="preserve"> (1), 4-33.</w:t>
      </w:r>
    </w:p>
    <w:p w:rsidR="006B1E42" w:rsidRDefault="006B1E42" w:rsidP="006B1E42">
      <w:pPr>
        <w:pStyle w:val="a3"/>
        <w:rPr>
          <w:kern w:val="0"/>
        </w:rPr>
      </w:pPr>
      <w:r>
        <w:rPr>
          <w:rFonts w:hint="eastAsia"/>
          <w:kern w:val="0"/>
        </w:rPr>
        <w:t xml:space="preserve">Full Text: </w:t>
      </w:r>
      <w:hyperlink r:id="rId480" w:history="1">
        <w:r w:rsidRPr="00C62890">
          <w:rPr>
            <w:rStyle w:val="a5"/>
            <w:kern w:val="0"/>
          </w:rPr>
          <w:t>2010\Ame J Ger Pha8, 4.pdf</w:t>
        </w:r>
      </w:hyperlink>
    </w:p>
    <w:p w:rsidR="006B1E42" w:rsidRDefault="006B1E42" w:rsidP="006B1E42">
      <w:pPr>
        <w:pStyle w:val="a3"/>
        <w:rPr>
          <w:kern w:val="0"/>
        </w:rPr>
      </w:pPr>
      <w:r>
        <w:rPr>
          <w:kern w:val="0"/>
        </w:rPr>
        <w:t>Abstract: Background: Vitamin D insufficiency is prevalent among older adults</w:t>
      </w:r>
      <w:r w:rsidR="005853A9">
        <w:rPr>
          <w:kern w:val="0"/>
        </w:rPr>
        <w:t xml:space="preserve"> and </w:t>
      </w:r>
      <w:r>
        <w:rPr>
          <w:kern w:val="0"/>
        </w:rPr>
        <w:t>may be associated with higher risk for cardiovascular (CV) disease, mortality, depression,</w:t>
      </w:r>
      <w:r w:rsidR="005853A9">
        <w:rPr>
          <w:kern w:val="0"/>
        </w:rPr>
        <w:t xml:space="preserve"> and </w:t>
      </w:r>
      <w:r>
        <w:rPr>
          <w:kern w:val="0"/>
        </w:rPr>
        <w:t>cognitive deficits. Objective:</w:t>
      </w:r>
      <w:r w:rsidR="003A1917">
        <w:rPr>
          <w:kern w:val="0"/>
        </w:rPr>
        <w:t xml:space="preserve"> the </w:t>
      </w:r>
      <w:r>
        <w:rPr>
          <w:kern w:val="0"/>
        </w:rPr>
        <w:t>aim</w:t>
      </w:r>
      <w:r w:rsidR="00427468">
        <w:rPr>
          <w:kern w:val="0"/>
        </w:rPr>
        <w:t xml:space="preserve"> of </w:t>
      </w:r>
      <w:r>
        <w:rPr>
          <w:kern w:val="0"/>
        </w:rPr>
        <w:t>this article was to review published observational</w:t>
      </w:r>
      <w:r w:rsidR="005853A9">
        <w:rPr>
          <w:kern w:val="0"/>
        </w:rPr>
        <w:t xml:space="preserve"> and </w:t>
      </w:r>
      <w:r>
        <w:rPr>
          <w:kern w:val="0"/>
        </w:rPr>
        <w:t>experimental Studies that explored</w:t>
      </w:r>
      <w:r w:rsidR="003A1917">
        <w:rPr>
          <w:kern w:val="0"/>
        </w:rPr>
        <w:t xml:space="preserve"> the </w:t>
      </w:r>
      <w:r>
        <w:rPr>
          <w:kern w:val="0"/>
        </w:rPr>
        <w:t>association between vitamin D insufficiency</w:t>
      </w:r>
      <w:r w:rsidR="005853A9">
        <w:rPr>
          <w:kern w:val="0"/>
        </w:rPr>
        <w:t xml:space="preserve"> and </w:t>
      </w:r>
      <w:r>
        <w:rPr>
          <w:kern w:val="0"/>
        </w:rPr>
        <w:t>CV disease, mortality, mood,</w:t>
      </w:r>
      <w:r w:rsidR="005853A9">
        <w:rPr>
          <w:kern w:val="0"/>
        </w:rPr>
        <w:t xml:space="preserve"> and </w:t>
      </w:r>
      <w:r>
        <w:rPr>
          <w:kern w:val="0"/>
        </w:rPr>
        <w:t xml:space="preserve">cognition with an emphasis on older adults. Methods: </w:t>
      </w:r>
      <w:r w:rsidR="002C12F0">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were searched for English-language articles from January 1966 through June 2009 relating to vitamin D, using</w:t>
      </w:r>
      <w:r w:rsidR="003A1917">
        <w:rPr>
          <w:kern w:val="0"/>
        </w:rPr>
        <w:t xml:space="preserve"> the </w:t>
      </w:r>
      <w:r>
        <w:rPr>
          <w:kern w:val="0"/>
        </w:rPr>
        <w:t>following MeSH terms: aged, vitamin D deficiency, physiopathology, drug therapy, cardiovascular diseases, blood pressure, mortality, delirium, dementia, cognitive disorders, depression, depressive disorder, seasonal affective disorder, mental disorders,</w:t>
      </w:r>
      <w:r w:rsidR="005853A9">
        <w:rPr>
          <w:kern w:val="0"/>
        </w:rPr>
        <w:t xml:space="preserve"> and </w:t>
      </w:r>
      <w:r>
        <w:rPr>
          <w:kern w:val="0"/>
        </w:rPr>
        <w:t>vitamin D/therapeutic use. Publications had to include patients 65 years</w:t>
      </w:r>
      <w:r w:rsidR="00427468">
        <w:rPr>
          <w:kern w:val="0"/>
        </w:rPr>
        <w:t xml:space="preserve"> of </w:t>
      </w:r>
      <w:r>
        <w:rPr>
          <w:kern w:val="0"/>
        </w:rPr>
        <w:t>age who had &gt;= 1 recorded measurement</w:t>
      </w:r>
      <w:r w:rsidR="00427468">
        <w:rPr>
          <w:kern w:val="0"/>
        </w:rPr>
        <w:t xml:space="preserve"> of </w:t>
      </w:r>
      <w:r>
        <w:rPr>
          <w:kern w:val="0"/>
        </w:rPr>
        <w:t>25-hydroxyvitamin D (25[OH]D) or were receiving vitamin D supplementation. All case-control, cohort,</w:t>
      </w:r>
      <w:r w:rsidR="005853A9">
        <w:rPr>
          <w:kern w:val="0"/>
        </w:rPr>
        <w:t xml:space="preserve"> and </w:t>
      </w:r>
      <w:r>
        <w:rPr>
          <w:kern w:val="0"/>
        </w:rPr>
        <w:t>randomized studies were reviewed. Results: Forty-two case-control, cohort,</w:t>
      </w:r>
      <w:r w:rsidR="005853A9">
        <w:rPr>
          <w:kern w:val="0"/>
        </w:rPr>
        <w:t xml:space="preserve"> and </w:t>
      </w:r>
      <w:r>
        <w:rPr>
          <w:kern w:val="0"/>
        </w:rPr>
        <w:t>randomized trials were identified</w:t>
      </w:r>
      <w:r w:rsidR="005853A9">
        <w:rPr>
          <w:kern w:val="0"/>
        </w:rPr>
        <w:t xml:space="preserve"> and </w:t>
      </w:r>
      <w:r>
        <w:rPr>
          <w:kern w:val="0"/>
        </w:rPr>
        <w:t>included in</w:t>
      </w:r>
      <w:r w:rsidR="003A1917">
        <w:rPr>
          <w:kern w:val="0"/>
        </w:rPr>
        <w:t xml:space="preserve"> the </w:t>
      </w:r>
      <w:r>
        <w:rPr>
          <w:kern w:val="0"/>
        </w:rPr>
        <w:t>review. Based on these publications,</w:t>
      </w:r>
      <w:r w:rsidR="003A1917">
        <w:rPr>
          <w:kern w:val="0"/>
        </w:rPr>
        <w:t xml:space="preserve"> the </w:t>
      </w:r>
      <w:r>
        <w:rPr>
          <w:kern w:val="0"/>
        </w:rPr>
        <w:t>prevalence</w:t>
      </w:r>
      <w:r w:rsidR="00427468">
        <w:rPr>
          <w:kern w:val="0"/>
        </w:rPr>
        <w:t xml:space="preserve"> of </w:t>
      </w:r>
      <w:r>
        <w:rPr>
          <w:kern w:val="0"/>
        </w:rPr>
        <w:t>vitamin D insufficiency (25[OH]D concentration &lt;30 ng/mL) in community-dwelling older adults (&gt;= 65 years</w:t>
      </w:r>
      <w:r w:rsidR="00427468">
        <w:rPr>
          <w:kern w:val="0"/>
        </w:rPr>
        <w:t xml:space="preserve"> of </w:t>
      </w:r>
      <w:r>
        <w:rPr>
          <w:kern w:val="0"/>
        </w:rPr>
        <w:t>age) ranged from 40% to 100%. Epidemiologic data</w:t>
      </w:r>
      <w:r w:rsidR="005853A9">
        <w:rPr>
          <w:kern w:val="0"/>
        </w:rPr>
        <w:t xml:space="preserve"> and </w:t>
      </w:r>
      <w:r>
        <w:rPr>
          <w:kern w:val="0"/>
        </w:rPr>
        <w:t xml:space="preserve">several small randomized trials found a potential association between vitamin D deficiency (25[OH]D concentration </w:t>
      </w:r>
      <w:r>
        <w:rPr>
          <w:kern w:val="0"/>
        </w:rPr>
        <w:lastRenderedPageBreak/>
        <w:t>&lt;10 ng/mL)</w:t>
      </w:r>
      <w:r w:rsidR="005853A9">
        <w:rPr>
          <w:kern w:val="0"/>
        </w:rPr>
        <w:t xml:space="preserve"> and </w:t>
      </w:r>
      <w:r>
        <w:rPr>
          <w:kern w:val="0"/>
        </w:rPr>
        <w:t>CV disease, including hypertension</w:t>
      </w:r>
      <w:r w:rsidR="005853A9">
        <w:rPr>
          <w:kern w:val="0"/>
        </w:rPr>
        <w:t xml:space="preserve"> and </w:t>
      </w:r>
      <w:r>
        <w:rPr>
          <w:kern w:val="0"/>
        </w:rPr>
        <w:t>ischemic heart disease. Although subgroup analyses</w:t>
      </w:r>
      <w:r w:rsidR="00427468">
        <w:rPr>
          <w:kern w:val="0"/>
        </w:rPr>
        <w:t xml:space="preserve"> of </w:t>
      </w:r>
      <w:r>
        <w:rPr>
          <w:kern w:val="0"/>
        </w:rPr>
        <w:t>data from</w:t>
      </w:r>
      <w:r w:rsidR="003A1917">
        <w:rPr>
          <w:kern w:val="0"/>
        </w:rPr>
        <w:t xml:space="preserve"> the </w:t>
      </w:r>
      <w:r>
        <w:rPr>
          <w:kern w:val="0"/>
        </w:rPr>
        <w:t>Women</w:t>
      </w:r>
      <w:r w:rsidR="00700038">
        <w:rPr>
          <w:kern w:val="0"/>
        </w:rPr>
        <w:t>’</w:t>
      </w:r>
      <w:r w:rsidR="00C13DDC">
        <w:rPr>
          <w:kern w:val="0"/>
        </w:rPr>
        <w:t>s</w:t>
      </w:r>
      <w:r>
        <w:rPr>
          <w:kern w:val="0"/>
        </w:rPr>
        <w:t xml:space="preserve"> Health Initiative Randomized Trial (the largest randomized, placebo-controlled trial</w:t>
      </w:r>
      <w:r w:rsidR="00427468">
        <w:rPr>
          <w:kern w:val="0"/>
        </w:rPr>
        <w:t xml:space="preserve"> of </w:t>
      </w:r>
      <w:r>
        <w:rPr>
          <w:kern w:val="0"/>
        </w:rPr>
        <w:t>vitamin D Plus calcium therapy) did not find reductions in blood pressure, myocardial infarction, or CV disease-related deaths, intervention contamination limited</w:t>
      </w:r>
      <w:r w:rsidR="003A1917">
        <w:rPr>
          <w:kern w:val="0"/>
        </w:rPr>
        <w:t xml:space="preserve"> the </w:t>
      </w:r>
      <w:r>
        <w:rPr>
          <w:kern w:val="0"/>
        </w:rPr>
        <w:t>findings. Observational Studies</w:t>
      </w:r>
      <w:r w:rsidR="005853A9">
        <w:rPr>
          <w:kern w:val="0"/>
        </w:rPr>
        <w:t xml:space="preserve"> and </w:t>
      </w:r>
      <w:r>
        <w:rPr>
          <w:kern w:val="0"/>
        </w:rPr>
        <w:t>a meta-analysis</w:t>
      </w:r>
      <w:r w:rsidR="00427468">
        <w:rPr>
          <w:kern w:val="0"/>
        </w:rPr>
        <w:t xml:space="preserve"> of </w:t>
      </w:r>
      <w:r>
        <w:rPr>
          <w:kern w:val="0"/>
        </w:rPr>
        <w:t>randomized controlled trials found a mortality benefit associated with higher serum 25(OH)D concentrations or vitamin D(2) or D(3) supplementation (mean dose, 528 IU/d). Observational</w:t>
      </w:r>
      <w:r w:rsidR="005853A9">
        <w:rPr>
          <w:kern w:val="0"/>
        </w:rPr>
        <w:t xml:space="preserve"> and </w:t>
      </w:r>
      <w:r>
        <w:rPr>
          <w:kern w:val="0"/>
        </w:rPr>
        <w:t>small randomized trials found a potential benefit</w:t>
      </w:r>
      <w:r w:rsidR="00427468">
        <w:rPr>
          <w:kern w:val="0"/>
        </w:rPr>
        <w:t xml:space="preserve"> of </w:t>
      </w:r>
      <w:r>
        <w:rPr>
          <w:kern w:val="0"/>
        </w:rPr>
        <w:t>sunlight or vitamin D on symptoms</w:t>
      </w:r>
      <w:r w:rsidR="00427468">
        <w:rPr>
          <w:kern w:val="0"/>
        </w:rPr>
        <w:t xml:space="preserve"> of </w:t>
      </w:r>
      <w:r>
        <w:rPr>
          <w:kern w:val="0"/>
        </w:rPr>
        <w:t>depression</w:t>
      </w:r>
      <w:r w:rsidR="005853A9">
        <w:rPr>
          <w:kern w:val="0"/>
        </w:rPr>
        <w:t xml:space="preserve"> and </w:t>
      </w:r>
      <w:r>
        <w:rPr>
          <w:kern w:val="0"/>
        </w:rPr>
        <w:t>cognition, but</w:t>
      </w:r>
      <w:r w:rsidR="003A1917">
        <w:rPr>
          <w:kern w:val="0"/>
        </w:rPr>
        <w:t xml:space="preserve"> the </w:t>
      </w:r>
      <w:r>
        <w:rPr>
          <w:kern w:val="0"/>
        </w:rPr>
        <w:t>findings were limited by methodologic problems. Conclusions: Vitamin D insufficiency appears to be highly prevalent among older adults. Evidence from epidemiologic studies</w:t>
      </w:r>
      <w:r w:rsidR="005853A9">
        <w:rPr>
          <w:kern w:val="0"/>
        </w:rPr>
        <w:t xml:space="preserve"> and </w:t>
      </w:r>
      <w:r>
        <w:rPr>
          <w:kern w:val="0"/>
        </w:rPr>
        <w:t>small clinical trials suggests an association between 25(OH)D concentrations</w:t>
      </w:r>
      <w:r w:rsidR="005853A9">
        <w:rPr>
          <w:kern w:val="0"/>
        </w:rPr>
        <w:t xml:space="preserve"> and </w:t>
      </w:r>
      <w:r>
        <w:rPr>
          <w:kern w:val="0"/>
        </w:rPr>
        <w:t>systolic blood pressure, risk for CV disease-related deaths, symptoms</w:t>
      </w:r>
      <w:r w:rsidR="00427468">
        <w:rPr>
          <w:kern w:val="0"/>
        </w:rPr>
        <w:t xml:space="preserve"> of </w:t>
      </w:r>
      <w:r>
        <w:rPr>
          <w:kern w:val="0"/>
        </w:rPr>
        <w:t>depression, cognitive deficits,</w:t>
      </w:r>
      <w:r w:rsidR="005853A9">
        <w:rPr>
          <w:kern w:val="0"/>
        </w:rPr>
        <w:t xml:space="preserve"> and </w:t>
      </w:r>
      <w:r>
        <w:rPr>
          <w:kern w:val="0"/>
        </w:rPr>
        <w:t>mortality</w:t>
      </w:r>
      <w:r w:rsidR="00A37C1D">
        <w:rPr>
          <w:kern w:val="0"/>
        </w:rPr>
        <w:t>. The</w:t>
      </w:r>
      <w:r w:rsidR="003A1917">
        <w:rPr>
          <w:kern w:val="0"/>
        </w:rPr>
        <w:t xml:space="preserve"> </w:t>
      </w:r>
      <w:r>
        <w:rPr>
          <w:kern w:val="0"/>
        </w:rPr>
        <w:t>Women</w:t>
      </w:r>
      <w:r w:rsidR="00700038">
        <w:rPr>
          <w:kern w:val="0"/>
        </w:rPr>
        <w:t>’</w:t>
      </w:r>
      <w:r w:rsidR="00C13DDC">
        <w:rPr>
          <w:kern w:val="0"/>
        </w:rPr>
        <w:t>s</w:t>
      </w:r>
      <w:r>
        <w:rPr>
          <w:kern w:val="0"/>
        </w:rPr>
        <w:t xml:space="preserve"> Health Initiative Randomized Trial did not find a benefit</w:t>
      </w:r>
      <w:r w:rsidR="00427468">
        <w:rPr>
          <w:kern w:val="0"/>
        </w:rPr>
        <w:t xml:space="preserve"> of </w:t>
      </w:r>
      <w:r>
        <w:rPr>
          <w:kern w:val="0"/>
        </w:rPr>
        <w:t>vitamin D supplementation on blood pressure, myocardial infarction, or mortality in postmenopa</w:t>
      </w:r>
      <w:r w:rsidR="00D5664A">
        <w:rPr>
          <w:kern w:val="0"/>
        </w:rPr>
        <w:t>USA</w:t>
      </w:r>
      <w:r>
        <w:rPr>
          <w:kern w:val="0"/>
        </w:rPr>
        <w:t>l women. (Am J Geriatr Pharmacother. 2010;8:4-33) (C) 2010 Excerpta Medica Inc.</w:t>
      </w:r>
    </w:p>
    <w:p w:rsidR="006B1E42" w:rsidRDefault="006B1E42" w:rsidP="006B1E42">
      <w:pPr>
        <w:pStyle w:val="a3"/>
        <w:rPr>
          <w:kern w:val="0"/>
        </w:rPr>
      </w:pPr>
      <w:r>
        <w:rPr>
          <w:kern w:val="0"/>
        </w:rPr>
        <w:t>Keywords: 3rd National-Health, Adults, Aged, Blood, Blood Pressure, Blood-Pressure, Calcium, Cardiovascular, Cardiovascular Diseases, Clinical Trials, Cognition, Cognitive Disorders, D Deficiency, D Supplementation, Databases, Dementia, Depression, Disease, Disorder, Drug, Epidemiologic Studies, Health, Hypertension, Incident Hypertension, Intervention, Measurement, Mental Disorders, Meta-Analysis, Methods, Mood, Mortality, Myocardial Infarction, Nutrition Examination Survey, Older Adults, Parathyroid-Hormone Levels, Postmenopa</w:t>
      </w:r>
      <w:r w:rsidR="00D5664A">
        <w:rPr>
          <w:kern w:val="0"/>
        </w:rPr>
        <w:t>USA</w:t>
      </w:r>
      <w:r>
        <w:rPr>
          <w:kern w:val="0"/>
        </w:rPr>
        <w:t xml:space="preserve">l Women, Pressure, Prevalence, Publications, </w:t>
      </w:r>
      <w:r w:rsidR="002C12F0">
        <w:rPr>
          <w:kern w:val="0"/>
        </w:rPr>
        <w:t>PUBMED</w:t>
      </w:r>
      <w:r>
        <w:rPr>
          <w:kern w:val="0"/>
        </w:rPr>
        <w:t xml:space="preserve">, Randomized Controlled Trials, Randomized Controlled-Trials, Review, Risk, Science, Serum 25-Hydroxyvitamin-D, Symptoms, Therapy, Vitamin D, Vitamin D Deficiency, </w:t>
      </w:r>
      <w:r w:rsidR="00D5664A">
        <w:rPr>
          <w:kern w:val="0"/>
        </w:rPr>
        <w:t>Web</w:t>
      </w:r>
      <w:r w:rsidR="00427468">
        <w:rPr>
          <w:kern w:val="0"/>
        </w:rPr>
        <w:t xml:space="preserve"> of </w:t>
      </w:r>
      <w:r w:rsidR="00D5664A">
        <w:rPr>
          <w:kern w:val="0"/>
        </w:rPr>
        <w:t>Science</w:t>
      </w:r>
      <w:r>
        <w:rPr>
          <w:kern w:val="0"/>
        </w:rPr>
        <w:t>, Women</w:t>
      </w:r>
    </w:p>
    <w:p w:rsidR="006B1E42" w:rsidRDefault="006B1E42" w:rsidP="006B1E42">
      <w:pPr>
        <w:pStyle w:val="a3"/>
        <w:rPr>
          <w:kern w:val="0"/>
        </w:rPr>
      </w:pPr>
      <w:r>
        <w:rPr>
          <w:rFonts w:hint="eastAsia"/>
          <w:kern w:val="0"/>
        </w:rPr>
        <w:t xml:space="preserve">? </w:t>
      </w:r>
      <w:r>
        <w:rPr>
          <w:kern w:val="0"/>
        </w:rPr>
        <w:t>Fleming, V.</w:t>
      </w:r>
      <w:r w:rsidR="005853A9">
        <w:rPr>
          <w:kern w:val="0"/>
        </w:rPr>
        <w:t xml:space="preserve"> and </w:t>
      </w:r>
      <w:r>
        <w:rPr>
          <w:kern w:val="0"/>
        </w:rPr>
        <w:t>Wade, W.E. (2010), A review</w:t>
      </w:r>
      <w:r w:rsidR="00427468">
        <w:rPr>
          <w:kern w:val="0"/>
        </w:rPr>
        <w:t xml:space="preserve"> of </w:t>
      </w:r>
      <w:r>
        <w:rPr>
          <w:kern w:val="0"/>
        </w:rPr>
        <w:t>laxative therapies for treatment</w:t>
      </w:r>
      <w:r w:rsidR="00427468">
        <w:rPr>
          <w:kern w:val="0"/>
        </w:rPr>
        <w:t xml:space="preserve"> of </w:t>
      </w:r>
      <w:r>
        <w:rPr>
          <w:kern w:val="0"/>
        </w:rPr>
        <w:t xml:space="preserve">chronic constipation in older adults. </w:t>
      </w:r>
      <w:r>
        <w:rPr>
          <w:i/>
          <w:iCs/>
          <w:kern w:val="0"/>
        </w:rPr>
        <w:t>American Journal</w:t>
      </w:r>
      <w:r w:rsidR="00427468">
        <w:rPr>
          <w:i/>
          <w:iCs/>
          <w:kern w:val="0"/>
        </w:rPr>
        <w:t xml:space="preserve"> of </w:t>
      </w:r>
      <w:r>
        <w:rPr>
          <w:i/>
          <w:iCs/>
          <w:kern w:val="0"/>
        </w:rPr>
        <w:t>Geriatric Pharmacotherapy</w:t>
      </w:r>
      <w:r>
        <w:rPr>
          <w:kern w:val="0"/>
        </w:rPr>
        <w:t xml:space="preserve">, </w:t>
      </w:r>
      <w:r>
        <w:rPr>
          <w:b/>
          <w:bCs/>
          <w:kern w:val="0"/>
        </w:rPr>
        <w:t>8</w:t>
      </w:r>
      <w:r>
        <w:rPr>
          <w:kern w:val="0"/>
        </w:rPr>
        <w:t xml:space="preserve"> (6), 514-550.</w:t>
      </w:r>
    </w:p>
    <w:p w:rsidR="006B1E42" w:rsidRDefault="006B1E42" w:rsidP="006B1E42">
      <w:pPr>
        <w:pStyle w:val="a3"/>
        <w:rPr>
          <w:kern w:val="0"/>
        </w:rPr>
      </w:pPr>
      <w:r>
        <w:rPr>
          <w:rFonts w:hint="eastAsia"/>
          <w:kern w:val="0"/>
        </w:rPr>
        <w:t xml:space="preserve">Full Text: </w:t>
      </w:r>
      <w:hyperlink r:id="rId481" w:history="1">
        <w:r w:rsidRPr="00C62890">
          <w:rPr>
            <w:rStyle w:val="a5"/>
            <w:kern w:val="0"/>
          </w:rPr>
          <w:t>2010\Ame J Ger Pha8, 514.pdf</w:t>
        </w:r>
      </w:hyperlink>
    </w:p>
    <w:p w:rsidR="006B1E42" w:rsidRDefault="006B1E42" w:rsidP="006B1E42">
      <w:pPr>
        <w:pStyle w:val="a3"/>
        <w:rPr>
          <w:kern w:val="0"/>
        </w:rPr>
      </w:pPr>
      <w:r>
        <w:rPr>
          <w:kern w:val="0"/>
        </w:rPr>
        <w:t>Abstract: Background: Multiple studies have addressed</w:t>
      </w:r>
      <w:r w:rsidR="003A1917">
        <w:rPr>
          <w:kern w:val="0"/>
        </w:rPr>
        <w:t xml:space="preserve"> the </w:t>
      </w:r>
      <w:r>
        <w:rPr>
          <w:kern w:val="0"/>
        </w:rPr>
        <w:t>treatment</w:t>
      </w:r>
      <w:r w:rsidR="00427468">
        <w:rPr>
          <w:kern w:val="0"/>
        </w:rPr>
        <w:t xml:space="preserve"> of </w:t>
      </w:r>
      <w:r>
        <w:rPr>
          <w:kern w:val="0"/>
        </w:rPr>
        <w:t>chronic constipation in adults in general; however, less guidance is available for treating this condition in older patients. Objective:</w:t>
      </w:r>
      <w:r w:rsidR="003A1917">
        <w:rPr>
          <w:kern w:val="0"/>
        </w:rPr>
        <w:t xml:space="preserve"> the </w:t>
      </w:r>
      <w:r>
        <w:rPr>
          <w:kern w:val="0"/>
        </w:rPr>
        <w:t>aim</w:t>
      </w:r>
      <w:r w:rsidR="00427468">
        <w:rPr>
          <w:kern w:val="0"/>
        </w:rPr>
        <w:t xml:space="preserve"> of </w:t>
      </w:r>
      <w:r>
        <w:rPr>
          <w:kern w:val="0"/>
        </w:rPr>
        <w:t>this paper was to review</w:t>
      </w:r>
      <w:r w:rsidR="003A1917">
        <w:rPr>
          <w:kern w:val="0"/>
        </w:rPr>
        <w:t xml:space="preserve"> the </w:t>
      </w:r>
      <w:r>
        <w:rPr>
          <w:kern w:val="0"/>
        </w:rPr>
        <w:t>effectiveness</w:t>
      </w:r>
      <w:r w:rsidR="00427468">
        <w:rPr>
          <w:kern w:val="0"/>
        </w:rPr>
        <w:t xml:space="preserve"> of </w:t>
      </w:r>
      <w:r>
        <w:rPr>
          <w:kern w:val="0"/>
        </w:rPr>
        <w:t>laxatives for chronic constipation in</w:t>
      </w:r>
      <w:r w:rsidR="003A1917">
        <w:rPr>
          <w:kern w:val="0"/>
        </w:rPr>
        <w:t xml:space="preserve"> the </w:t>
      </w:r>
      <w:r>
        <w:rPr>
          <w:kern w:val="0"/>
        </w:rPr>
        <w:t xml:space="preserve">elderly Methods: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International Pharmaceutical Abstracts,</w:t>
      </w:r>
      <w:r w:rsidR="005853A9">
        <w:rPr>
          <w:kern w:val="0"/>
        </w:rPr>
        <w:t xml:space="preserve"> and </w:t>
      </w:r>
      <w:r w:rsidR="003A1917">
        <w:rPr>
          <w:kern w:val="0"/>
        </w:rPr>
        <w:t xml:space="preserve">the </w:t>
      </w:r>
      <w:r>
        <w:rPr>
          <w:kern w:val="0"/>
        </w:rPr>
        <w:t>Cochrane Database</w:t>
      </w:r>
      <w:r w:rsidR="00427468">
        <w:rPr>
          <w:kern w:val="0"/>
        </w:rPr>
        <w:t xml:space="preserve"> of </w:t>
      </w:r>
      <w:r>
        <w:rPr>
          <w:kern w:val="0"/>
        </w:rPr>
        <w:t>Systematic Reviews were searched for English-language articles evaluating</w:t>
      </w:r>
      <w:r w:rsidR="003A1917">
        <w:rPr>
          <w:kern w:val="0"/>
        </w:rPr>
        <w:t xml:space="preserve"> the </w:t>
      </w:r>
      <w:r>
        <w:rPr>
          <w:kern w:val="0"/>
        </w:rPr>
        <w:t>treatment</w:t>
      </w:r>
      <w:r w:rsidR="00427468">
        <w:rPr>
          <w:kern w:val="0"/>
        </w:rPr>
        <w:t xml:space="preserve"> of </w:t>
      </w:r>
      <w:r>
        <w:rPr>
          <w:kern w:val="0"/>
        </w:rPr>
        <w:t>chronic constipation in older individuals from</w:t>
      </w:r>
      <w:r w:rsidR="003A1917">
        <w:rPr>
          <w:kern w:val="0"/>
        </w:rPr>
        <w:t xml:space="preserve"> the </w:t>
      </w:r>
      <w:r>
        <w:rPr>
          <w:kern w:val="0"/>
        </w:rPr>
        <w:t>inception</w:t>
      </w:r>
      <w:r w:rsidR="00427468">
        <w:rPr>
          <w:kern w:val="0"/>
        </w:rPr>
        <w:t xml:space="preserve"> of </w:t>
      </w:r>
      <w:r w:rsidR="003A1917">
        <w:rPr>
          <w:kern w:val="0"/>
        </w:rPr>
        <w:t xml:space="preserve">the </w:t>
      </w:r>
      <w:r>
        <w:rPr>
          <w:kern w:val="0"/>
        </w:rPr>
        <w:lastRenderedPageBreak/>
        <w:t>databases until October 2010. Search terms included constipation, treatment, laxative, elderly,</w:t>
      </w:r>
      <w:r w:rsidR="005853A9">
        <w:rPr>
          <w:kern w:val="0"/>
        </w:rPr>
        <w:t xml:space="preserve"> and </w:t>
      </w:r>
      <w:r>
        <w:rPr>
          <w:kern w:val="0"/>
        </w:rPr>
        <w:t>geriatric. Articles were excluded if</w:t>
      </w:r>
      <w:r w:rsidR="003A1917">
        <w:rPr>
          <w:kern w:val="0"/>
        </w:rPr>
        <w:t xml:space="preserve"> the </w:t>
      </w:r>
      <w:r>
        <w:rPr>
          <w:kern w:val="0"/>
        </w:rPr>
        <w:t>mean age was &lt;65 years. Results: Thirty-one trials were identified</w:t>
      </w:r>
      <w:r w:rsidR="00A37C1D">
        <w:rPr>
          <w:kern w:val="0"/>
        </w:rPr>
        <w:t>. The</w:t>
      </w:r>
      <w:r>
        <w:rPr>
          <w:kern w:val="0"/>
        </w:rPr>
        <w:t>se studies varied widely in terms</w:t>
      </w:r>
      <w:r w:rsidR="00427468">
        <w:rPr>
          <w:kern w:val="0"/>
        </w:rPr>
        <w:t xml:space="preserve"> of </w:t>
      </w:r>
      <w:r>
        <w:rPr>
          <w:kern w:val="0"/>
        </w:rPr>
        <w:t>methodology, quality, sample size, efficacy end points,</w:t>
      </w:r>
      <w:r w:rsidR="005853A9">
        <w:rPr>
          <w:kern w:val="0"/>
        </w:rPr>
        <w:t xml:space="preserve"> and </w:t>
      </w:r>
      <w:r>
        <w:rPr>
          <w:kern w:val="0"/>
        </w:rPr>
        <w:t>duration. Mean stool frequency was 9.08 bowel movements per week with psyllium</w:t>
      </w:r>
      <w:r w:rsidR="005853A9">
        <w:rPr>
          <w:kern w:val="0"/>
        </w:rPr>
        <w:t xml:space="preserve"> and </w:t>
      </w:r>
      <w:r>
        <w:rPr>
          <w:kern w:val="0"/>
        </w:rPr>
        <w:t>8.29 per week with calcium polycarbophil (P = 0.04). Doc</w:t>
      </w:r>
      <w:r w:rsidR="00D5664A">
        <w:rPr>
          <w:kern w:val="0"/>
        </w:rPr>
        <w:t>USA</w:t>
      </w:r>
      <w:r>
        <w:rPr>
          <w:kern w:val="0"/>
        </w:rPr>
        <w:t>te sodium daily, doc</w:t>
      </w:r>
      <w:r w:rsidR="00D5664A">
        <w:rPr>
          <w:kern w:val="0"/>
        </w:rPr>
        <w:t>USA</w:t>
      </w:r>
      <w:r>
        <w:rPr>
          <w:kern w:val="0"/>
        </w:rPr>
        <w:t>te sodium q12h,</w:t>
      </w:r>
      <w:r w:rsidR="005853A9">
        <w:rPr>
          <w:kern w:val="0"/>
        </w:rPr>
        <w:t xml:space="preserve"> and </w:t>
      </w:r>
      <w:r>
        <w:rPr>
          <w:kern w:val="0"/>
        </w:rPr>
        <w:t>doc</w:t>
      </w:r>
      <w:r w:rsidR="00D5664A">
        <w:rPr>
          <w:kern w:val="0"/>
        </w:rPr>
        <w:t>USA</w:t>
      </w:r>
      <w:r>
        <w:rPr>
          <w:kern w:val="0"/>
        </w:rPr>
        <w:t>te calcium daily for 3 weeks produced a mean stool frequency</w:t>
      </w:r>
      <w:r w:rsidR="00427468">
        <w:rPr>
          <w:kern w:val="0"/>
        </w:rPr>
        <w:t xml:space="preserve"> of </w:t>
      </w:r>
      <w:r>
        <w:rPr>
          <w:kern w:val="0"/>
        </w:rPr>
        <w:t>1.95 bowel movements per week versus 1.50 for placebo (P = NS), 2.29 versus 1.76 (P = NS),</w:t>
      </w:r>
      <w:r w:rsidR="005853A9">
        <w:rPr>
          <w:kern w:val="0"/>
        </w:rPr>
        <w:t xml:space="preserve"> and </w:t>
      </w:r>
      <w:r>
        <w:rPr>
          <w:kern w:val="0"/>
        </w:rPr>
        <w:t>2.83 versus 1.75 (P &lt; 0.02), respectively. Mean stool frequency with lactulose versus placebo was 0.7</w:t>
      </w:r>
      <w:r w:rsidR="005853A9">
        <w:rPr>
          <w:kern w:val="0"/>
        </w:rPr>
        <w:t xml:space="preserve"> and </w:t>
      </w:r>
      <w:r>
        <w:rPr>
          <w:kern w:val="0"/>
        </w:rPr>
        <w:t>0.5 bowel movements per day (P &lt; 0.02). In patients receiving polyethylene glycol or lactulose, mean stool frequency was 1.3</w:t>
      </w:r>
      <w:r w:rsidR="005853A9">
        <w:rPr>
          <w:kern w:val="0"/>
        </w:rPr>
        <w:t xml:space="preserve"> and </w:t>
      </w:r>
      <w:r>
        <w:rPr>
          <w:kern w:val="0"/>
        </w:rPr>
        <w:t>0.9 bowel movements per day (P = 0.005). In a study comparing senna plus a bulking agent with lactulose, mean stool frequency was 4.5 per week for</w:t>
      </w:r>
      <w:r w:rsidR="003A1917">
        <w:rPr>
          <w:kern w:val="0"/>
        </w:rPr>
        <w:t xml:space="preserve"> the </w:t>
      </w:r>
      <w:r>
        <w:rPr>
          <w:kern w:val="0"/>
        </w:rPr>
        <w:t>combination product versus 2.2 per week for lactulose (P &lt; 0.001). A study comparing sodium picosulfate with senna reported a mean stool frequency</w:t>
      </w:r>
      <w:r w:rsidR="00427468">
        <w:rPr>
          <w:kern w:val="0"/>
        </w:rPr>
        <w:t xml:space="preserve"> of </w:t>
      </w:r>
      <w:r>
        <w:rPr>
          <w:kern w:val="0"/>
        </w:rPr>
        <w:t>0.71</w:t>
      </w:r>
      <w:r w:rsidR="005853A9">
        <w:rPr>
          <w:kern w:val="0"/>
        </w:rPr>
        <w:t xml:space="preserve"> and </w:t>
      </w:r>
      <w:r>
        <w:rPr>
          <w:kern w:val="0"/>
        </w:rPr>
        <w:t>0.63 per day (P value not reported). Lubiprostone was associated with 5.69 spontaneous bowel movements per week versus 3.46 per week for placebo (P = 0.001). Conclusions: Higher-quality trials evaluating</w:t>
      </w:r>
      <w:r w:rsidR="003A1917">
        <w:rPr>
          <w:kern w:val="0"/>
        </w:rPr>
        <w:t xml:space="preserve"> the </w:t>
      </w:r>
      <w:r>
        <w:rPr>
          <w:kern w:val="0"/>
        </w:rPr>
        <w:t>treatment</w:t>
      </w:r>
      <w:r w:rsidR="00427468">
        <w:rPr>
          <w:kern w:val="0"/>
        </w:rPr>
        <w:t xml:space="preserve"> of </w:t>
      </w:r>
      <w:r>
        <w:rPr>
          <w:kern w:val="0"/>
        </w:rPr>
        <w:t>constipation in older patients are needed to create a basis for more definitive recommendations in this population</w:t>
      </w:r>
      <w:r w:rsidR="00A37C1D">
        <w:rPr>
          <w:kern w:val="0"/>
        </w:rPr>
        <w:t>. The</w:t>
      </w:r>
      <w:r w:rsidR="003A1917">
        <w:rPr>
          <w:kern w:val="0"/>
        </w:rPr>
        <w:t xml:space="preserve"> </w:t>
      </w:r>
      <w:r>
        <w:rPr>
          <w:kern w:val="0"/>
        </w:rPr>
        <w:t>approach to older adults with constipation should be individualized. (Am J Geriatr Pharmacother. 2010;8:514-550) (C) 2010 Elsevier HS Journals, Inc.</w:t>
      </w:r>
    </w:p>
    <w:p w:rsidR="006B1E42" w:rsidRDefault="006B1E42" w:rsidP="006B1E42">
      <w:pPr>
        <w:pStyle w:val="a3"/>
        <w:rPr>
          <w:kern w:val="0"/>
        </w:rPr>
      </w:pPr>
      <w:r>
        <w:rPr>
          <w:kern w:val="0"/>
        </w:rPr>
        <w:t xml:space="preserve">Keywords: Adults, Articles, Balanced Solution Pmf-100, Calcium, Calcium Polycarbophil, Chloride Channel Activator, Chronic Idiopathic Constipation, Cochrane, Constipation, Databases, Double-Blind, Effectiveness, Efficacy, Elderly, Frequency, Gastrointestinal Transit-Time, Geriatric, Laxatives, </w:t>
      </w:r>
      <w:r w:rsidR="00D5664A">
        <w:rPr>
          <w:kern w:val="0"/>
        </w:rPr>
        <w:t>MEDLINE</w:t>
      </w:r>
      <w:r>
        <w:rPr>
          <w:kern w:val="0"/>
        </w:rPr>
        <w:t>, Methodology, Methods, Older Adults, Older Patients, Placebo-Controlled Trial, Points, Quality</w:t>
      </w:r>
      <w:r w:rsidR="00434900">
        <w:rPr>
          <w:kern w:val="0"/>
        </w:rPr>
        <w:t>-of-</w:t>
      </w:r>
      <w:r>
        <w:rPr>
          <w:kern w:val="0"/>
        </w:rPr>
        <w:t xml:space="preserve">Life, Review, Science, Stay Elderly Patients, Stool Softeners, Systematic, Treatment, United-States, </w:t>
      </w:r>
      <w:r w:rsidR="00D5664A">
        <w:rPr>
          <w:kern w:val="0"/>
        </w:rPr>
        <w:t>Web</w:t>
      </w:r>
      <w:r w:rsidR="00427468">
        <w:rPr>
          <w:kern w:val="0"/>
        </w:rPr>
        <w:t xml:space="preserve"> of </w:t>
      </w:r>
      <w:r w:rsidR="00D5664A">
        <w:rPr>
          <w:kern w:val="0"/>
        </w:rPr>
        <w:t>Science</w:t>
      </w:r>
    </w:p>
    <w:p w:rsidR="00F85614" w:rsidRPr="00F219CA" w:rsidRDefault="00F85614" w:rsidP="00F85614">
      <w:pPr>
        <w:pStyle w:val="1"/>
      </w:pPr>
      <w:r w:rsidRPr="00F219CA">
        <w:br w:type="page"/>
      </w:r>
      <w:bookmarkStart w:id="268" w:name="_Toc420814391"/>
      <w:r w:rsidRPr="00F219CA">
        <w:lastRenderedPageBreak/>
        <w:t xml:space="preserve">Title: </w:t>
      </w:r>
      <w:r w:rsidRPr="00540931">
        <w:t>American Journal of Geriatric Psychiatry</w:t>
      </w:r>
      <w:bookmarkEnd w:id="268"/>
    </w:p>
    <w:p w:rsidR="00F85614" w:rsidRPr="00F219CA" w:rsidRDefault="00F85614" w:rsidP="00F85614">
      <w:pPr>
        <w:pStyle w:val="12"/>
      </w:pPr>
      <w:r w:rsidRPr="00F219CA">
        <w:t xml:space="preserve">Full Journal Title: </w:t>
      </w:r>
      <w:r w:rsidRPr="00540931">
        <w:rPr>
          <w:iCs/>
          <w:kern w:val="0"/>
        </w:rPr>
        <w:t>American Journal of Geriatric Psychiatry</w:t>
      </w:r>
    </w:p>
    <w:p w:rsidR="00F85614" w:rsidRPr="00F219CA" w:rsidRDefault="00F85614" w:rsidP="00F85614">
      <w:pPr>
        <w:pStyle w:val="12"/>
      </w:pPr>
      <w:r w:rsidRPr="00F219CA">
        <w:t xml:space="preserve">ISO Abbreviated Title: </w:t>
      </w:r>
    </w:p>
    <w:p w:rsidR="00F85614" w:rsidRPr="00F219CA" w:rsidRDefault="00F85614" w:rsidP="00F85614">
      <w:pPr>
        <w:pStyle w:val="12"/>
      </w:pPr>
      <w:r w:rsidRPr="00F219CA">
        <w:t xml:space="preserve">JCR Abbreviated Title: </w:t>
      </w:r>
    </w:p>
    <w:p w:rsidR="00F85614" w:rsidRPr="00F219CA" w:rsidRDefault="00F85614" w:rsidP="00F85614">
      <w:pPr>
        <w:pStyle w:val="12"/>
      </w:pPr>
      <w:r>
        <w:t xml:space="preserve">ISSN: </w:t>
      </w:r>
    </w:p>
    <w:p w:rsidR="00F85614" w:rsidRPr="00F219CA" w:rsidRDefault="00F85614" w:rsidP="00F85614">
      <w:pPr>
        <w:pStyle w:val="12"/>
      </w:pPr>
      <w:r w:rsidRPr="00F219CA">
        <w:t xml:space="preserve">Issues/Year: </w:t>
      </w:r>
    </w:p>
    <w:p w:rsidR="00F85614" w:rsidRPr="00F219CA" w:rsidRDefault="00F85614" w:rsidP="00F85614">
      <w:pPr>
        <w:pStyle w:val="12"/>
      </w:pPr>
      <w:r w:rsidRPr="00F219CA">
        <w:t xml:space="preserve">Journal Country/Territory: </w:t>
      </w:r>
    </w:p>
    <w:p w:rsidR="00F85614" w:rsidRPr="00F219CA" w:rsidRDefault="00F85614" w:rsidP="00F85614">
      <w:pPr>
        <w:pStyle w:val="12"/>
      </w:pPr>
      <w:r w:rsidRPr="00F219CA">
        <w:t xml:space="preserve">Language: </w:t>
      </w:r>
    </w:p>
    <w:p w:rsidR="00F85614" w:rsidRPr="00F219CA" w:rsidRDefault="00F85614" w:rsidP="00F85614">
      <w:pPr>
        <w:pStyle w:val="12"/>
      </w:pPr>
      <w:r w:rsidRPr="00F219CA">
        <w:t xml:space="preserve">Publisher: </w:t>
      </w:r>
    </w:p>
    <w:p w:rsidR="00F85614" w:rsidRPr="00F219CA" w:rsidRDefault="00F85614" w:rsidP="00F85614">
      <w:pPr>
        <w:pStyle w:val="12"/>
      </w:pPr>
      <w:r w:rsidRPr="00F219CA">
        <w:t xml:space="preserve">Publisher Address: </w:t>
      </w:r>
    </w:p>
    <w:p w:rsidR="00F85614" w:rsidRPr="00F219CA" w:rsidRDefault="00F85614" w:rsidP="00F85614">
      <w:pPr>
        <w:pStyle w:val="12"/>
      </w:pPr>
      <w:r w:rsidRPr="00F219CA">
        <w:t xml:space="preserve">Subject Categories: </w:t>
      </w:r>
    </w:p>
    <w:p w:rsidR="00F85614" w:rsidRPr="00F219CA" w:rsidRDefault="00F85614" w:rsidP="00F85614">
      <w:pPr>
        <w:pStyle w:val="12"/>
      </w:pPr>
      <w:r w:rsidRPr="00F219CA">
        <w:t xml:space="preserve">: Impact Factor </w:t>
      </w:r>
    </w:p>
    <w:p w:rsidR="00F85614" w:rsidRDefault="00F85614" w:rsidP="00F85614">
      <w:pPr>
        <w:pStyle w:val="a3"/>
        <w:rPr>
          <w:kern w:val="0"/>
        </w:rPr>
      </w:pPr>
      <w:r>
        <w:rPr>
          <w:rFonts w:hint="eastAsia"/>
          <w:kern w:val="0"/>
        </w:rPr>
        <w:t xml:space="preserve">? </w:t>
      </w:r>
      <w:r>
        <w:rPr>
          <w:kern w:val="0"/>
        </w:rPr>
        <w:t xml:space="preserve">Coyle, H., Traynor, V. and Solowij, N. (2015), Computerized and virtual reality cognitive training for individuals at high risk of cognitive decline: Systematic review of the literature. </w:t>
      </w:r>
      <w:r w:rsidRPr="00540931">
        <w:rPr>
          <w:i/>
          <w:iCs/>
          <w:kern w:val="0"/>
        </w:rPr>
        <w:t>American Journal of Geriatric Psychiatry</w:t>
      </w:r>
      <w:r>
        <w:rPr>
          <w:kern w:val="0"/>
        </w:rPr>
        <w:t xml:space="preserve">, </w:t>
      </w:r>
      <w:r>
        <w:rPr>
          <w:b/>
          <w:bCs/>
          <w:kern w:val="0"/>
        </w:rPr>
        <w:t>23</w:t>
      </w:r>
      <w:r>
        <w:rPr>
          <w:kern w:val="0"/>
        </w:rPr>
        <w:t xml:space="preserve"> (4), 335-359.</w:t>
      </w:r>
    </w:p>
    <w:p w:rsidR="00F85614" w:rsidRDefault="00F85614" w:rsidP="00F85614">
      <w:pPr>
        <w:pStyle w:val="a3"/>
        <w:rPr>
          <w:kern w:val="0"/>
        </w:rPr>
      </w:pPr>
      <w:r>
        <w:rPr>
          <w:rFonts w:hint="eastAsia"/>
          <w:kern w:val="0"/>
        </w:rPr>
        <w:t xml:space="preserve">Full Text: </w:t>
      </w:r>
      <w:hyperlink r:id="rId482" w:history="1">
        <w:r w:rsidRPr="00540931">
          <w:rPr>
            <w:rStyle w:val="a5"/>
            <w:kern w:val="0"/>
          </w:rPr>
          <w:t>2015\Ame J Ger Psy23, 335.pdf</w:t>
        </w:r>
      </w:hyperlink>
    </w:p>
    <w:p w:rsidR="00F85614" w:rsidRDefault="00F85614" w:rsidP="00F85614">
      <w:pPr>
        <w:pStyle w:val="a3"/>
        <w:rPr>
          <w:kern w:val="0"/>
        </w:rPr>
      </w:pPr>
      <w:r>
        <w:rPr>
          <w:kern w:val="0"/>
        </w:rPr>
        <w:t xml:space="preserve">Abstract: The aim of this study was to assess the efficacy of cognitive training, specifically computerized cognitive training (CCT) and virtual reality cognitive training (VRCT), programs for individuals living with mild cognitive impairment (MCI) or dementia and therefore at high risk of cognitive decline. After searching a range of academic databases (CINHAL, PSYCinfo, and Web of Science), the studies evaluated (N = 16) were categorized as CCT (N = 10), VRCT (N = 3), and multimodal interventions (N = 3). Effect sizes were calculated, but a meta-analysis was not possible because of the large variability of study design and outcome measures adopted. The cognitive domains of attention, executive function, and memory (visual and verbal) showed the most consistent improvements. The positive effects on psychological outcomes (N = 6) were significant reductions on depressive symptoms (N = 3) and anxiety (N = 2) and improved perceived use of memory strategy (N = 1). Assessments of activities of daily living demonstrated no significant improvements (N = 8). Follow-up studies (N = 5) demonstrated long-term improvements in cognitive and psychological outcomes (N = 3), and the intervention groups showed a plateau effect of cognitive functioning compared with the cognitive decline experienced by control groups (N = 2). CCT and VRCT were moderately effective in long-term improvement of cognition for those at high risk of cognitive decline. Total intervention time did not mediate efficacy. Future research needs to improve study design by including larger samples, longitudinal designs, and a greater range of outcome measures, including functional and quality of life measures, to </w:t>
      </w:r>
      <w:r>
        <w:rPr>
          <w:kern w:val="0"/>
        </w:rPr>
        <w:lastRenderedPageBreak/>
        <w:t>assess the wider effect of cognitive training on individuals at high risk of cognitive decline.</w:t>
      </w:r>
    </w:p>
    <w:p w:rsidR="00F85614" w:rsidRDefault="00F85614" w:rsidP="00F85614">
      <w:pPr>
        <w:pStyle w:val="a3"/>
        <w:rPr>
          <w:kern w:val="0"/>
        </w:rPr>
      </w:pPr>
      <w:r>
        <w:rPr>
          <w:kern w:val="0"/>
        </w:rPr>
        <w:t>Keywords: Aging Brain, Alzheimer, Alzheimers-Disease, Anxiety, Attention, Brain Plasticity, Clinical-Trial, Cognition, Cognitive, Cognitive Impairment, Cognitive Training, Computer, Control, Control Groups, Databases, Dementia, Depressive Symptoms, Design, Double-Blind, Effect, Effects, Efficacy, Function, Groups, Healthy Older-Adults, Impairment, Improvement, Intervention, Intervention Programs, Interventions, Life, Literature, Living, Long Term, Long-Term, Longitudinal, Mci, Measures, Memory, Meta Analysis, Meta-Analysis, Metaanalysis, Mild, Mild Cognitive Impairment, N, Needs, Outcome, Outcome Measures, Outcomes, Psychological, Quality, Quality Of, Quality Of Life, Randomized Controlled-Trial, Rehabilitation Program, Research, Review, Risk, Science, Strategy, Study Design, Symptoms, Systematic, Systematic Review, Training, Variability, Virtual Reality, Web, Web Of Science</w:t>
      </w:r>
    </w:p>
    <w:p w:rsidR="003474F2" w:rsidRPr="001A3D2B" w:rsidRDefault="003474F2" w:rsidP="003474F2">
      <w:pPr>
        <w:pStyle w:val="1"/>
      </w:pPr>
      <w:r w:rsidRPr="001A3D2B">
        <w:br w:type="page"/>
      </w:r>
      <w:bookmarkStart w:id="269" w:name="_Toc420814392"/>
      <w:r w:rsidRPr="001A3D2B">
        <w:lastRenderedPageBreak/>
        <w:t>Title: American Journal</w:t>
      </w:r>
      <w:r w:rsidR="00427468">
        <w:t xml:space="preserve"> of </w:t>
      </w:r>
      <w:r w:rsidRPr="001A3D2B">
        <w:t xml:space="preserve">Health </w:t>
      </w:r>
      <w:r w:rsidRPr="001A3D2B">
        <w:rPr>
          <w:iCs w:val="0"/>
        </w:rPr>
        <w:t>Behavior</w:t>
      </w:r>
      <w:bookmarkEnd w:id="269"/>
    </w:p>
    <w:p w:rsidR="003474F2" w:rsidRPr="001A3D2B" w:rsidRDefault="003474F2" w:rsidP="003474F2">
      <w:pPr>
        <w:pStyle w:val="12"/>
      </w:pPr>
      <w:r w:rsidRPr="001A3D2B">
        <w:t>Full Journal Title: American Journal</w:t>
      </w:r>
      <w:r w:rsidR="00427468">
        <w:t xml:space="preserve"> of </w:t>
      </w:r>
      <w:r w:rsidRPr="001A3D2B">
        <w:t>Health Behavior</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1087-3244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Fagerlin, A., Ubel, P.A., Smith, D.M.</w:t>
      </w:r>
      <w:r w:rsidR="005853A9">
        <w:t xml:space="preserve"> and </w:t>
      </w:r>
      <w:r w:rsidRPr="001A3D2B">
        <w:t>Zikmund-Fisher, B.J. (2007), Making numbers matter: Present</w:t>
      </w:r>
      <w:r w:rsidR="005853A9">
        <w:t xml:space="preserve"> and </w:t>
      </w:r>
      <w:r w:rsidRPr="001A3D2B">
        <w:t xml:space="preserve">future research in risk communication. </w:t>
      </w:r>
      <w:r w:rsidRPr="001A3D2B">
        <w:rPr>
          <w:i/>
          <w:iCs/>
        </w:rPr>
        <w:t>American Journal</w:t>
      </w:r>
      <w:r w:rsidR="00427468">
        <w:rPr>
          <w:i/>
          <w:iCs/>
        </w:rPr>
        <w:t xml:space="preserve"> of </w:t>
      </w:r>
      <w:r w:rsidRPr="001A3D2B">
        <w:rPr>
          <w:i/>
          <w:iCs/>
        </w:rPr>
        <w:t>Health Behavior</w:t>
      </w:r>
      <w:r w:rsidRPr="001A3D2B">
        <w:t xml:space="preserve">, </w:t>
      </w:r>
      <w:r w:rsidRPr="001A3D2B">
        <w:rPr>
          <w:b/>
          <w:bCs/>
        </w:rPr>
        <w:t>31</w:t>
      </w:r>
      <w:r w:rsidRPr="001A3D2B">
        <w:t>, S47-S56.</w:t>
      </w:r>
    </w:p>
    <w:p w:rsidR="00B4254E" w:rsidRPr="00F219CA" w:rsidRDefault="00B4254E" w:rsidP="00B4254E">
      <w:pPr>
        <w:pStyle w:val="a3"/>
      </w:pPr>
      <w:r>
        <w:rPr>
          <w:rFonts w:hint="eastAsia"/>
        </w:rPr>
        <w:t xml:space="preserve">Full Text: </w:t>
      </w:r>
      <w:hyperlink r:id="rId483" w:history="1">
        <w:r w:rsidRPr="00056619">
          <w:rPr>
            <w:rStyle w:val="a5"/>
          </w:rPr>
          <w:t>2007\Ame J Hea Beh31, S47.pdf</w:t>
        </w:r>
      </w:hyperlink>
    </w:p>
    <w:p w:rsidR="003474F2" w:rsidRPr="001A3D2B" w:rsidRDefault="003474F2" w:rsidP="003474F2">
      <w:pPr>
        <w:pStyle w:val="a3"/>
      </w:pPr>
      <w:r w:rsidRPr="001A3D2B">
        <w:t>Abstract: Objective: To summarize existing research on individual numeracy</w:t>
      </w:r>
      <w:r w:rsidR="005853A9">
        <w:t xml:space="preserve"> and </w:t>
      </w:r>
      <w:r w:rsidRPr="001A3D2B">
        <w:t xml:space="preserve">methods for presenting risk information to patients. Methods: We selectively retrieved articles from </w:t>
      </w:r>
      <w:r w:rsidR="00D5664A">
        <w:t>MEDLINE</w:t>
      </w:r>
      <w:r w:rsidR="005853A9">
        <w:t xml:space="preserve"> and </w:t>
      </w:r>
      <w:r w:rsidR="003A1917">
        <w:t xml:space="preserve">the </w:t>
      </w:r>
      <w:r w:rsidRPr="001A3D2B">
        <w:t>Social Sciences Citation Index. Results: Many Americans have low numeracy skills, a deficit that impedes effective health care. Approaches to risk communication vary in current practice, but how risks are presented can significantly affect both patients</w:t>
      </w:r>
      <w:r w:rsidR="00700038">
        <w:t>’</w:t>
      </w:r>
      <w:r w:rsidRPr="001A3D2B">
        <w:t xml:space="preserve"> risk perceptions</w:t>
      </w:r>
      <w:r w:rsidR="005853A9">
        <w:t xml:space="preserve"> and </w:t>
      </w:r>
      <w:r w:rsidRPr="001A3D2B">
        <w:t>their knowledge. Conclusions: Adhering to some basic principles for presenting risk information to patients can improve understanding. However, different risk-communication methods may be needed for individuals with high versus low levels</w:t>
      </w:r>
      <w:r w:rsidR="00427468">
        <w:t xml:space="preserve"> of </w:t>
      </w:r>
      <w:r w:rsidRPr="001A3D2B">
        <w:t>numeracy.</w:t>
      </w:r>
    </w:p>
    <w:p w:rsidR="003474F2" w:rsidRPr="001A3D2B" w:rsidRDefault="003474F2" w:rsidP="003474F2">
      <w:pPr>
        <w:pStyle w:val="a3"/>
      </w:pPr>
      <w:r w:rsidRPr="001A3D2B">
        <w:t xml:space="preserve">Keywords: Care, Communication, Health, Health Care, Information, Knowledge, </w:t>
      </w:r>
      <w:r w:rsidR="00D5664A">
        <w:t>MEDLINE</w:t>
      </w:r>
      <w:r w:rsidRPr="001A3D2B">
        <w:t>, Methods, Patients, Practice, Principles, Research, Risk, Risk Information, Risks, Understanding</w:t>
      </w:r>
    </w:p>
    <w:p w:rsidR="003474F2" w:rsidRPr="001A3D2B" w:rsidRDefault="003474F2" w:rsidP="003474F2">
      <w:pPr>
        <w:pStyle w:val="1"/>
      </w:pPr>
      <w:r w:rsidRPr="001A3D2B">
        <w:br w:type="page"/>
      </w:r>
      <w:bookmarkStart w:id="270" w:name="_Toc420814393"/>
      <w:r w:rsidRPr="001A3D2B">
        <w:lastRenderedPageBreak/>
        <w:t>Title: American Journal</w:t>
      </w:r>
      <w:r w:rsidR="00427468">
        <w:t xml:space="preserve"> of </w:t>
      </w:r>
      <w:r w:rsidRPr="001A3D2B">
        <w:t>Health Promotion</w:t>
      </w:r>
      <w:bookmarkEnd w:id="270"/>
    </w:p>
    <w:p w:rsidR="003474F2" w:rsidRPr="001A3D2B" w:rsidRDefault="003474F2" w:rsidP="003474F2">
      <w:pPr>
        <w:pStyle w:val="12"/>
      </w:pPr>
      <w:r w:rsidRPr="001A3D2B">
        <w:t>Full Journal Title: American Journal</w:t>
      </w:r>
      <w:r w:rsidR="00427468">
        <w:t xml:space="preserve"> of </w:t>
      </w:r>
      <w:r w:rsidRPr="001A3D2B">
        <w:t>Health Promotion</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B4254E" w:rsidRDefault="00B4254E" w:rsidP="00B4254E">
      <w:pPr>
        <w:pStyle w:val="a3"/>
        <w:rPr>
          <w:kern w:val="0"/>
          <w:szCs w:val="24"/>
        </w:rPr>
      </w:pPr>
      <w:r>
        <w:rPr>
          <w:rFonts w:hint="eastAsia"/>
          <w:kern w:val="0"/>
          <w:szCs w:val="24"/>
        </w:rPr>
        <w:t xml:space="preserve">? </w:t>
      </w:r>
      <w:r>
        <w:rPr>
          <w:kern w:val="0"/>
          <w:szCs w:val="24"/>
        </w:rPr>
        <w:t>Horowitz, S.M. (2003), Applying</w:t>
      </w:r>
      <w:r w:rsidR="003A1917">
        <w:rPr>
          <w:kern w:val="0"/>
          <w:szCs w:val="24"/>
        </w:rPr>
        <w:t xml:space="preserve"> the </w:t>
      </w:r>
      <w:r>
        <w:rPr>
          <w:kern w:val="0"/>
          <w:szCs w:val="24"/>
        </w:rPr>
        <w:t>transtheoretical model to pregnancy</w:t>
      </w:r>
      <w:r w:rsidR="005853A9">
        <w:rPr>
          <w:kern w:val="0"/>
          <w:szCs w:val="24"/>
        </w:rPr>
        <w:t xml:space="preserve"> and </w:t>
      </w:r>
      <w:r>
        <w:rPr>
          <w:kern w:val="0"/>
          <w:szCs w:val="24"/>
        </w:rPr>
        <w:t>STD prevention: A review</w:t>
      </w:r>
      <w:r w:rsidR="00427468">
        <w:rPr>
          <w:kern w:val="0"/>
          <w:szCs w:val="24"/>
        </w:rPr>
        <w:t xml:space="preserve"> of </w:t>
      </w:r>
      <w:r w:rsidR="003A1917">
        <w:rPr>
          <w:kern w:val="0"/>
          <w:szCs w:val="24"/>
        </w:rPr>
        <w:t xml:space="preserve">the </w:t>
      </w:r>
      <w:r>
        <w:rPr>
          <w:kern w:val="0"/>
          <w:szCs w:val="24"/>
        </w:rPr>
        <w:t xml:space="preserve">literature. </w:t>
      </w:r>
      <w:r>
        <w:rPr>
          <w:i/>
          <w:iCs/>
          <w:kern w:val="0"/>
          <w:szCs w:val="24"/>
        </w:rPr>
        <w:t>American Journal</w:t>
      </w:r>
      <w:r w:rsidR="00427468">
        <w:rPr>
          <w:i/>
          <w:iCs/>
          <w:kern w:val="0"/>
          <w:szCs w:val="24"/>
        </w:rPr>
        <w:t xml:space="preserve"> of </w:t>
      </w:r>
      <w:r>
        <w:rPr>
          <w:i/>
          <w:iCs/>
          <w:kern w:val="0"/>
          <w:szCs w:val="24"/>
        </w:rPr>
        <w:t>Health Promotion</w:t>
      </w:r>
      <w:r>
        <w:rPr>
          <w:kern w:val="0"/>
          <w:szCs w:val="24"/>
        </w:rPr>
        <w:t xml:space="preserve">, </w:t>
      </w:r>
      <w:r>
        <w:rPr>
          <w:b/>
          <w:bCs/>
          <w:kern w:val="0"/>
          <w:szCs w:val="24"/>
        </w:rPr>
        <w:t>17</w:t>
      </w:r>
      <w:r>
        <w:rPr>
          <w:kern w:val="0"/>
          <w:szCs w:val="24"/>
        </w:rPr>
        <w:t xml:space="preserve"> (5), 304-328.</w:t>
      </w:r>
    </w:p>
    <w:p w:rsidR="00B2073C" w:rsidRDefault="00B2073C" w:rsidP="00B2073C">
      <w:pPr>
        <w:pStyle w:val="a3"/>
        <w:rPr>
          <w:kern w:val="0"/>
        </w:rPr>
      </w:pPr>
      <w:r>
        <w:rPr>
          <w:rFonts w:hint="eastAsia"/>
          <w:kern w:val="0"/>
        </w:rPr>
        <w:t xml:space="preserve">Full Text: </w:t>
      </w:r>
      <w:hyperlink r:id="rId484" w:history="1">
        <w:r w:rsidRPr="002C1BEF">
          <w:rPr>
            <w:rStyle w:val="a5"/>
            <w:kern w:val="0"/>
          </w:rPr>
          <w:t>2003\Ame J Hea Pro17, 304.pdf</w:t>
        </w:r>
      </w:hyperlink>
    </w:p>
    <w:p w:rsidR="00B4254E" w:rsidRDefault="00B4254E" w:rsidP="00B4254E">
      <w:pPr>
        <w:pStyle w:val="a3"/>
        <w:rPr>
          <w:kern w:val="0"/>
          <w:szCs w:val="24"/>
        </w:rPr>
      </w:pPr>
      <w:r>
        <w:rPr>
          <w:kern w:val="0"/>
          <w:szCs w:val="24"/>
        </w:rPr>
        <w:t>Abstract: Purpose. To conduct a systematic review</w:t>
      </w:r>
      <w:r w:rsidR="00427468">
        <w:rPr>
          <w:kern w:val="0"/>
          <w:szCs w:val="24"/>
        </w:rPr>
        <w:t xml:space="preserve"> of </w:t>
      </w:r>
      <w:r w:rsidR="003A1917">
        <w:rPr>
          <w:kern w:val="0"/>
          <w:szCs w:val="24"/>
        </w:rPr>
        <w:t xml:space="preserve">the </w:t>
      </w:r>
      <w:r>
        <w:rPr>
          <w:kern w:val="0"/>
          <w:szCs w:val="24"/>
        </w:rPr>
        <w:t>peer-reviewed literature on</w:t>
      </w:r>
      <w:r w:rsidR="003A1917">
        <w:rPr>
          <w:kern w:val="0"/>
          <w:szCs w:val="24"/>
        </w:rPr>
        <w:t xml:space="preserve"> the </w:t>
      </w:r>
      <w:r>
        <w:rPr>
          <w:kern w:val="0"/>
          <w:szCs w:val="24"/>
        </w:rPr>
        <w:t>Trans-theoretical Model (TTM)</w:t>
      </w:r>
      <w:r w:rsidR="005853A9">
        <w:rPr>
          <w:kern w:val="0"/>
          <w:szCs w:val="24"/>
        </w:rPr>
        <w:t xml:space="preserve"> and </w:t>
      </w:r>
      <w:r>
        <w:rPr>
          <w:kern w:val="0"/>
          <w:szCs w:val="24"/>
        </w:rPr>
        <w:t>pregnancy</w:t>
      </w:r>
      <w:r w:rsidR="005853A9">
        <w:rPr>
          <w:kern w:val="0"/>
          <w:szCs w:val="24"/>
        </w:rPr>
        <w:t xml:space="preserve"> and </w:t>
      </w:r>
      <w:r>
        <w:rPr>
          <w:kern w:val="0"/>
          <w:szCs w:val="24"/>
        </w:rPr>
        <w:t>STD prevention. Data Sources. Computer database search (Applied Social Science Index</w:t>
      </w:r>
      <w:r w:rsidR="005853A9">
        <w:rPr>
          <w:kern w:val="0"/>
          <w:szCs w:val="24"/>
        </w:rPr>
        <w:t xml:space="preserve"> and </w:t>
      </w:r>
      <w:r>
        <w:rPr>
          <w:kern w:val="0"/>
          <w:szCs w:val="24"/>
        </w:rPr>
        <w:t xml:space="preserve">Abstracts [ASSIA], Biological Abstracts, Criminal Justice Abstracts, CINAHL-Allied Health, Current Contents, Current Index to Journals in Education, Education Index, ERIC, Excerpta Medica, Family Index, Index Medicus, </w:t>
      </w:r>
      <w:r w:rsidR="00D5664A">
        <w:rPr>
          <w:kern w:val="0"/>
          <w:szCs w:val="24"/>
        </w:rPr>
        <w:t>MEDLINE</w:t>
      </w:r>
      <w:r>
        <w:rPr>
          <w:kern w:val="0"/>
          <w:szCs w:val="24"/>
        </w:rPr>
        <w:t>, Multicultural Education Abstracts, PsychInfo, Psychological Abstracts, Research Alert, Social Science Citation Index, Social Work Abstracts,</w:t>
      </w:r>
      <w:r w:rsidR="005853A9">
        <w:rPr>
          <w:kern w:val="0"/>
          <w:szCs w:val="24"/>
        </w:rPr>
        <w:t xml:space="preserve"> and </w:t>
      </w:r>
      <w:r>
        <w:rPr>
          <w:kern w:val="0"/>
          <w:szCs w:val="24"/>
        </w:rPr>
        <w:t>Sociological Abstracts),</w:t>
      </w:r>
      <w:r w:rsidR="005853A9">
        <w:rPr>
          <w:kern w:val="0"/>
          <w:szCs w:val="24"/>
        </w:rPr>
        <w:t xml:space="preserve"> and </w:t>
      </w:r>
      <w:r>
        <w:rPr>
          <w:kern w:val="0"/>
          <w:szCs w:val="24"/>
        </w:rPr>
        <w:t>manual journal search. Study Inclusion</w:t>
      </w:r>
      <w:r w:rsidR="005853A9">
        <w:rPr>
          <w:kern w:val="0"/>
          <w:szCs w:val="24"/>
        </w:rPr>
        <w:t xml:space="preserve"> and </w:t>
      </w:r>
      <w:r>
        <w:rPr>
          <w:kern w:val="0"/>
          <w:szCs w:val="24"/>
        </w:rPr>
        <w:t>Exclusion Criteria. All English, peer-reviewed, original articles on</w:t>
      </w:r>
      <w:r w:rsidR="003A1917">
        <w:rPr>
          <w:kern w:val="0"/>
          <w:szCs w:val="24"/>
        </w:rPr>
        <w:t xml:space="preserve"> the </w:t>
      </w:r>
      <w:r>
        <w:rPr>
          <w:kern w:val="0"/>
          <w:szCs w:val="24"/>
        </w:rPr>
        <w:t>TTM as it relates to Pregnancy</w:t>
      </w:r>
      <w:r w:rsidR="005853A9">
        <w:rPr>
          <w:kern w:val="0"/>
          <w:szCs w:val="24"/>
        </w:rPr>
        <w:t xml:space="preserve"> and </w:t>
      </w:r>
      <w:r>
        <w:rPr>
          <w:kern w:val="0"/>
          <w:szCs w:val="24"/>
        </w:rPr>
        <w:t>STD prevention published prior to December 31, 2001, were included. Editorials, commentaries, theses/dissertations, unpublished studies, technical reports,</w:t>
      </w:r>
      <w:r w:rsidR="005853A9">
        <w:rPr>
          <w:kern w:val="0"/>
          <w:szCs w:val="24"/>
        </w:rPr>
        <w:t xml:space="preserve"> and </w:t>
      </w:r>
      <w:r>
        <w:rPr>
          <w:kern w:val="0"/>
          <w:szCs w:val="24"/>
        </w:rPr>
        <w:t>books were not included. Data Extraction Methods. Articles were categorized as Intervention, Population (stage distribution), or Validation studies. Within each category, articles were subdivided into groups, summarized,</w:t>
      </w:r>
      <w:r w:rsidR="005853A9">
        <w:rPr>
          <w:kern w:val="0"/>
          <w:szCs w:val="24"/>
        </w:rPr>
        <w:t xml:space="preserve"> and </w:t>
      </w:r>
      <w:r>
        <w:rPr>
          <w:kern w:val="0"/>
          <w:szCs w:val="24"/>
        </w:rPr>
        <w:t>analyzed. Data Synthesis</w:t>
      </w:r>
      <w:r w:rsidR="00A37C1D">
        <w:rPr>
          <w:kern w:val="0"/>
          <w:szCs w:val="24"/>
        </w:rPr>
        <w:t>. The</w:t>
      </w:r>
      <w:r w:rsidR="003A1917">
        <w:rPr>
          <w:kern w:val="0"/>
          <w:szCs w:val="24"/>
        </w:rPr>
        <w:t xml:space="preserve"> </w:t>
      </w:r>
      <w:r>
        <w:rPr>
          <w:kern w:val="0"/>
          <w:szCs w:val="24"/>
        </w:rPr>
        <w:t>32 articles reviewed included 9 intervention studies, 11 population studies,</w:t>
      </w:r>
      <w:r w:rsidR="005853A9">
        <w:rPr>
          <w:kern w:val="0"/>
          <w:szCs w:val="24"/>
        </w:rPr>
        <w:t xml:space="preserve"> and </w:t>
      </w:r>
      <w:r>
        <w:rPr>
          <w:kern w:val="0"/>
          <w:szCs w:val="24"/>
        </w:rPr>
        <w:t>12 validation studies. Studies represented a variety</w:t>
      </w:r>
      <w:r w:rsidR="00427468">
        <w:rPr>
          <w:kern w:val="0"/>
          <w:szCs w:val="24"/>
        </w:rPr>
        <w:t xml:space="preserve"> of </w:t>
      </w:r>
      <w:r>
        <w:rPr>
          <w:kern w:val="0"/>
          <w:szCs w:val="24"/>
        </w:rPr>
        <w:t>U.S. populations</w:t>
      </w:r>
      <w:r w:rsidR="00427468">
        <w:rPr>
          <w:kern w:val="0"/>
          <w:szCs w:val="24"/>
        </w:rPr>
        <w:t xml:space="preserve"> of </w:t>
      </w:r>
      <w:r>
        <w:rPr>
          <w:kern w:val="0"/>
          <w:szCs w:val="24"/>
        </w:rPr>
        <w:t>a broad demographic range. Evidence both for</w:t>
      </w:r>
      <w:r w:rsidR="005853A9">
        <w:rPr>
          <w:kern w:val="0"/>
          <w:szCs w:val="24"/>
        </w:rPr>
        <w:t xml:space="preserve"> and </w:t>
      </w:r>
      <w:r>
        <w:rPr>
          <w:kern w:val="0"/>
          <w:szCs w:val="24"/>
        </w:rPr>
        <w:t>against criterion-related</w:t>
      </w:r>
      <w:r w:rsidR="005853A9">
        <w:rPr>
          <w:kern w:val="0"/>
          <w:szCs w:val="24"/>
        </w:rPr>
        <w:t xml:space="preserve"> and </w:t>
      </w:r>
      <w:r>
        <w:rPr>
          <w:kern w:val="0"/>
          <w:szCs w:val="24"/>
        </w:rPr>
        <w:t>construct validity</w:t>
      </w:r>
      <w:r w:rsidR="00427468">
        <w:rPr>
          <w:kern w:val="0"/>
          <w:szCs w:val="24"/>
        </w:rPr>
        <w:t xml:space="preserve"> of </w:t>
      </w:r>
      <w:r w:rsidR="003A1917">
        <w:rPr>
          <w:kern w:val="0"/>
          <w:szCs w:val="24"/>
        </w:rPr>
        <w:t xml:space="preserve">the </w:t>
      </w:r>
      <w:r>
        <w:rPr>
          <w:kern w:val="0"/>
          <w:szCs w:val="24"/>
        </w:rPr>
        <w:t>TTM was found. Major Conclusions. Age, partner type, gender, reasons for engaging in safer sex behaviors (i.e., pregnancy vs. disease prevention), self-efficacy, sexual assertiveness,</w:t>
      </w:r>
      <w:r w:rsidR="005853A9">
        <w:rPr>
          <w:kern w:val="0"/>
          <w:szCs w:val="24"/>
        </w:rPr>
        <w:t xml:space="preserve"> and </w:t>
      </w:r>
      <w:r>
        <w:rPr>
          <w:kern w:val="0"/>
          <w:szCs w:val="24"/>
        </w:rPr>
        <w:t>perceived</w:t>
      </w:r>
      <w:r w:rsidR="00427468">
        <w:rPr>
          <w:kern w:val="0"/>
          <w:szCs w:val="24"/>
        </w:rPr>
        <w:t xml:space="preserve"> of </w:t>
      </w:r>
      <w:r>
        <w:rPr>
          <w:kern w:val="0"/>
          <w:szCs w:val="24"/>
        </w:rPr>
        <w:t>condom use were related to stage</w:t>
      </w:r>
      <w:r w:rsidR="00427468">
        <w:rPr>
          <w:kern w:val="0"/>
          <w:szCs w:val="24"/>
        </w:rPr>
        <w:t xml:space="preserve"> </w:t>
      </w:r>
      <w:r w:rsidR="00427468">
        <w:rPr>
          <w:kern w:val="0"/>
          <w:szCs w:val="24"/>
        </w:rPr>
        <w:lastRenderedPageBreak/>
        <w:t xml:space="preserve">of </w:t>
      </w:r>
      <w:r>
        <w:rPr>
          <w:kern w:val="0"/>
          <w:szCs w:val="24"/>
        </w:rPr>
        <w:t>change</w:t>
      </w:r>
      <w:r w:rsidR="00A37C1D">
        <w:rPr>
          <w:kern w:val="0"/>
          <w:szCs w:val="24"/>
        </w:rPr>
        <w:t>. The</w:t>
      </w:r>
      <w:r w:rsidR="003A1917">
        <w:rPr>
          <w:kern w:val="0"/>
          <w:szCs w:val="24"/>
        </w:rPr>
        <w:t xml:space="preserve"> </w:t>
      </w:r>
      <w:r>
        <w:rPr>
          <w:kern w:val="0"/>
          <w:szCs w:val="24"/>
        </w:rPr>
        <w:t>use</w:t>
      </w:r>
      <w:r w:rsidR="00427468">
        <w:rPr>
          <w:kern w:val="0"/>
          <w:szCs w:val="24"/>
        </w:rPr>
        <w:t xml:space="preserve"> of </w:t>
      </w:r>
      <w:r w:rsidR="003A1917">
        <w:rPr>
          <w:kern w:val="0"/>
          <w:szCs w:val="24"/>
        </w:rPr>
        <w:t xml:space="preserve">the </w:t>
      </w:r>
      <w:r>
        <w:rPr>
          <w:kern w:val="0"/>
          <w:szCs w:val="24"/>
        </w:rPr>
        <w:t>TTM to reduce risk</w:t>
      </w:r>
      <w:r w:rsidR="00427468">
        <w:rPr>
          <w:kern w:val="0"/>
          <w:szCs w:val="24"/>
        </w:rPr>
        <w:t xml:space="preserve"> of </w:t>
      </w:r>
      <w:r>
        <w:rPr>
          <w:kern w:val="0"/>
          <w:szCs w:val="24"/>
        </w:rPr>
        <w:t>pregnancy</w:t>
      </w:r>
      <w:r w:rsidR="005853A9">
        <w:rPr>
          <w:kern w:val="0"/>
          <w:szCs w:val="24"/>
        </w:rPr>
        <w:t xml:space="preserve"> and </w:t>
      </w:r>
      <w:r>
        <w:rPr>
          <w:kern w:val="0"/>
          <w:szCs w:val="24"/>
        </w:rPr>
        <w:t>STDs is a relatively new, but important, area</w:t>
      </w:r>
      <w:r w:rsidR="00427468">
        <w:rPr>
          <w:kern w:val="0"/>
          <w:szCs w:val="24"/>
        </w:rPr>
        <w:t xml:space="preserve"> of </w:t>
      </w:r>
      <w:r>
        <w:rPr>
          <w:kern w:val="0"/>
          <w:szCs w:val="24"/>
        </w:rPr>
        <w:t>research. However, because</w:t>
      </w:r>
      <w:r w:rsidR="00427468">
        <w:rPr>
          <w:kern w:val="0"/>
          <w:szCs w:val="24"/>
        </w:rPr>
        <w:t xml:space="preserve"> of </w:t>
      </w:r>
      <w:r w:rsidR="003A1917">
        <w:rPr>
          <w:kern w:val="0"/>
          <w:szCs w:val="24"/>
        </w:rPr>
        <w:t xml:space="preserve">the </w:t>
      </w:r>
      <w:r>
        <w:rPr>
          <w:kern w:val="0"/>
          <w:szCs w:val="24"/>
        </w:rPr>
        <w:t>wide-ranging differences in methodologies</w:t>
      </w:r>
      <w:r w:rsidR="005853A9">
        <w:rPr>
          <w:kern w:val="0"/>
          <w:szCs w:val="24"/>
        </w:rPr>
        <w:t xml:space="preserve"> and </w:t>
      </w:r>
      <w:r>
        <w:rPr>
          <w:kern w:val="0"/>
          <w:szCs w:val="24"/>
        </w:rPr>
        <w:t>samples, no strong conclusions about its effectiveness can yet be made.</w:t>
      </w:r>
    </w:p>
    <w:p w:rsidR="00B4254E" w:rsidRDefault="00B4254E" w:rsidP="00B4254E">
      <w:pPr>
        <w:pStyle w:val="a3"/>
        <w:rPr>
          <w:kern w:val="0"/>
          <w:szCs w:val="24"/>
        </w:rPr>
      </w:pPr>
      <w:r>
        <w:rPr>
          <w:kern w:val="0"/>
          <w:szCs w:val="24"/>
        </w:rPr>
        <w:t>Keywords: Age, Citation, Condom Use Adoption, Contraceptive Use, Decisional Balance, Drug-Users, HIV Prevention, Intervention, Journal, Literature, Pregnancy, Prevention Research, Rural South, Self-Efficacy, Sexual Risk Reduction, STD Prevention, Transtheoretical Model, Women</w:t>
      </w:r>
    </w:p>
    <w:p w:rsidR="00B2073C" w:rsidRDefault="00B2073C" w:rsidP="00B2073C">
      <w:pPr>
        <w:pStyle w:val="a3"/>
        <w:rPr>
          <w:kern w:val="0"/>
        </w:rPr>
      </w:pPr>
      <w:r>
        <w:rPr>
          <w:rFonts w:hint="eastAsia"/>
          <w:kern w:val="0"/>
        </w:rPr>
        <w:t xml:space="preserve">? </w:t>
      </w:r>
      <w:r>
        <w:rPr>
          <w:kern w:val="0"/>
        </w:rPr>
        <w:t>Moudon, A.V.</w:t>
      </w:r>
      <w:r w:rsidR="005853A9">
        <w:rPr>
          <w:kern w:val="0"/>
        </w:rPr>
        <w:t xml:space="preserve"> and </w:t>
      </w:r>
      <w:r>
        <w:rPr>
          <w:kern w:val="0"/>
        </w:rPr>
        <w:t>Lee, C. (2003), Walking</w:t>
      </w:r>
      <w:r w:rsidR="005853A9">
        <w:rPr>
          <w:kern w:val="0"/>
        </w:rPr>
        <w:t xml:space="preserve"> and </w:t>
      </w:r>
      <w:r>
        <w:rPr>
          <w:kern w:val="0"/>
        </w:rPr>
        <w:t>bicycling: An evaluation</w:t>
      </w:r>
      <w:r w:rsidR="00427468">
        <w:rPr>
          <w:kern w:val="0"/>
        </w:rPr>
        <w:t xml:space="preserve"> of </w:t>
      </w:r>
      <w:r>
        <w:rPr>
          <w:kern w:val="0"/>
        </w:rPr>
        <w:t xml:space="preserve">environmental audit instruments. </w:t>
      </w:r>
      <w:r>
        <w:rPr>
          <w:i/>
          <w:iCs/>
          <w:kern w:val="0"/>
        </w:rPr>
        <w:t>American Journal</w:t>
      </w:r>
      <w:r w:rsidR="00427468">
        <w:rPr>
          <w:i/>
          <w:iCs/>
          <w:kern w:val="0"/>
        </w:rPr>
        <w:t xml:space="preserve"> of </w:t>
      </w:r>
      <w:r>
        <w:rPr>
          <w:i/>
          <w:iCs/>
          <w:kern w:val="0"/>
        </w:rPr>
        <w:t>Health Promotion</w:t>
      </w:r>
      <w:r>
        <w:rPr>
          <w:kern w:val="0"/>
        </w:rPr>
        <w:t xml:space="preserve">, </w:t>
      </w:r>
      <w:r>
        <w:rPr>
          <w:b/>
          <w:bCs/>
          <w:kern w:val="0"/>
        </w:rPr>
        <w:t>18</w:t>
      </w:r>
      <w:r>
        <w:rPr>
          <w:kern w:val="0"/>
        </w:rPr>
        <w:t xml:space="preserve"> (1), 21-37.</w:t>
      </w:r>
    </w:p>
    <w:p w:rsidR="00B2073C" w:rsidRDefault="00B2073C" w:rsidP="00B2073C">
      <w:pPr>
        <w:pStyle w:val="a3"/>
        <w:rPr>
          <w:kern w:val="0"/>
        </w:rPr>
      </w:pPr>
      <w:r>
        <w:rPr>
          <w:rFonts w:hint="eastAsia"/>
          <w:kern w:val="0"/>
        </w:rPr>
        <w:t xml:space="preserve">Full Text: </w:t>
      </w:r>
      <w:hyperlink r:id="rId485" w:history="1">
        <w:r w:rsidRPr="002C1BEF">
          <w:rPr>
            <w:rStyle w:val="a5"/>
            <w:kern w:val="0"/>
          </w:rPr>
          <w:t>2003\Ame J Hea Pro18, 21.pdf</w:t>
        </w:r>
      </w:hyperlink>
    </w:p>
    <w:p w:rsidR="00B2073C" w:rsidRDefault="00B2073C" w:rsidP="00B2073C">
      <w:pPr>
        <w:pStyle w:val="a3"/>
        <w:rPr>
          <w:kern w:val="0"/>
        </w:rPr>
      </w:pPr>
      <w:r>
        <w:rPr>
          <w:kern w:val="0"/>
        </w:rPr>
        <w:t>Abstract: Purpose. This paper reviews existing environmental audit instruments used to capture</w:t>
      </w:r>
      <w:r w:rsidR="003A1917">
        <w:rPr>
          <w:kern w:val="0"/>
        </w:rPr>
        <w:t xml:space="preserve"> the </w:t>
      </w:r>
      <w:r>
        <w:rPr>
          <w:kern w:val="0"/>
        </w:rPr>
        <w:t>walkability</w:t>
      </w:r>
      <w:r w:rsidR="005853A9">
        <w:rPr>
          <w:kern w:val="0"/>
        </w:rPr>
        <w:t xml:space="preserve"> and </w:t>
      </w:r>
      <w:r>
        <w:rPr>
          <w:kern w:val="0"/>
        </w:rPr>
        <w:t>bikability</w:t>
      </w:r>
      <w:r w:rsidR="00427468">
        <w:rPr>
          <w:kern w:val="0"/>
        </w:rPr>
        <w:t xml:space="preserve"> of </w:t>
      </w:r>
      <w:r>
        <w:rPr>
          <w:kern w:val="0"/>
        </w:rPr>
        <w:t>environments</w:t>
      </w:r>
      <w:r w:rsidR="00A37C1D">
        <w:rPr>
          <w:kern w:val="0"/>
        </w:rPr>
        <w:t>. The</w:t>
      </w:r>
      <w:r w:rsidR="003A1917">
        <w:rPr>
          <w:kern w:val="0"/>
        </w:rPr>
        <w:t xml:space="preserve"> </w:t>
      </w:r>
      <w:r>
        <w:rPr>
          <w:kern w:val="0"/>
        </w:rPr>
        <w:t>review inventories</w:t>
      </w:r>
      <w:r w:rsidR="005853A9">
        <w:rPr>
          <w:kern w:val="0"/>
        </w:rPr>
        <w:t xml:space="preserve"> and </w:t>
      </w:r>
      <w:r>
        <w:rPr>
          <w:kern w:val="0"/>
        </w:rPr>
        <w:t>evaluates individual measures</w:t>
      </w:r>
      <w:r w:rsidR="00427468">
        <w:rPr>
          <w:kern w:val="0"/>
        </w:rPr>
        <w:t xml:space="preserve"> of </w:t>
      </w:r>
      <w:r>
        <w:rPr>
          <w:kern w:val="0"/>
        </w:rPr>
        <w:t>environmental factors used in these instruments. It synthesizes</w:t>
      </w:r>
      <w:r w:rsidR="003A1917">
        <w:rPr>
          <w:kern w:val="0"/>
        </w:rPr>
        <w:t xml:space="preserve"> the </w:t>
      </w:r>
      <w:r>
        <w:rPr>
          <w:kern w:val="0"/>
        </w:rPr>
        <w:t>current state</w:t>
      </w:r>
      <w:r w:rsidR="00427468">
        <w:rPr>
          <w:kern w:val="0"/>
        </w:rPr>
        <w:t xml:space="preserve"> of </w:t>
      </w:r>
      <w:r>
        <w:rPr>
          <w:kern w:val="0"/>
        </w:rPr>
        <w:t>knowledge in quantifying</w:t>
      </w:r>
      <w:r w:rsidR="003A1917">
        <w:rPr>
          <w:kern w:val="0"/>
        </w:rPr>
        <w:t xml:space="preserve"> the </w:t>
      </w:r>
      <w:r>
        <w:rPr>
          <w:kern w:val="0"/>
        </w:rPr>
        <w:t>built environment</w:t>
      </w:r>
      <w:r w:rsidR="00A37C1D">
        <w:rPr>
          <w:kern w:val="0"/>
        </w:rPr>
        <w:t>. The</w:t>
      </w:r>
      <w:r w:rsidR="003A1917">
        <w:rPr>
          <w:kern w:val="0"/>
        </w:rPr>
        <w:t xml:space="preserve"> </w:t>
      </w:r>
      <w:r>
        <w:rPr>
          <w:kern w:val="0"/>
        </w:rPr>
        <w:t>paper provides health promotion professionals an understanding</w:t>
      </w:r>
      <w:r w:rsidR="00427468">
        <w:rPr>
          <w:kern w:val="0"/>
        </w:rPr>
        <w:t xml:space="preserve"> of </w:t>
      </w:r>
      <w:r w:rsidR="003A1917">
        <w:rPr>
          <w:kern w:val="0"/>
        </w:rPr>
        <w:t xml:space="preserve">the </w:t>
      </w:r>
      <w:r>
        <w:rPr>
          <w:kern w:val="0"/>
        </w:rPr>
        <w:t>essential aspects</w:t>
      </w:r>
      <w:r w:rsidR="00427468">
        <w:rPr>
          <w:kern w:val="0"/>
        </w:rPr>
        <w:t xml:space="preserve"> of </w:t>
      </w:r>
      <w:r>
        <w:rPr>
          <w:kern w:val="0"/>
        </w:rPr>
        <w:t>environments influencing walking</w:t>
      </w:r>
      <w:r w:rsidR="005853A9">
        <w:rPr>
          <w:kern w:val="0"/>
        </w:rPr>
        <w:t xml:space="preserve"> and </w:t>
      </w:r>
      <w:r>
        <w:rPr>
          <w:kern w:val="0"/>
        </w:rPr>
        <w:t>bicycling for both recreational</w:t>
      </w:r>
      <w:r w:rsidR="005853A9">
        <w:rPr>
          <w:kern w:val="0"/>
        </w:rPr>
        <w:t xml:space="preserve"> and </w:t>
      </w:r>
      <w:r>
        <w:rPr>
          <w:kern w:val="0"/>
        </w:rPr>
        <w:t>transportation purposes. It serves as a basis to develop valid</w:t>
      </w:r>
      <w:r w:rsidR="005853A9">
        <w:rPr>
          <w:kern w:val="0"/>
        </w:rPr>
        <w:t xml:space="preserve"> and </w:t>
      </w:r>
      <w:r>
        <w:rPr>
          <w:kern w:val="0"/>
        </w:rPr>
        <w:t>efficient tools to create activity-friendly communities. Data Sources. Keyword searches identified journal articles from</w:t>
      </w:r>
      <w:r w:rsidR="003A1917">
        <w:rPr>
          <w:kern w:val="0"/>
        </w:rPr>
        <w:t xml:space="preserve"> the </w:t>
      </w:r>
      <w:r>
        <w:rPr>
          <w:kern w:val="0"/>
        </w:rPr>
        <w:t>computer-based, Academic Citation Databases, including</w:t>
      </w:r>
      <w:r w:rsidR="003A1917">
        <w:rPr>
          <w:kern w:val="0"/>
        </w:rPr>
        <w:t xml:space="preserve"> the </w:t>
      </w:r>
      <w:r>
        <w:rPr>
          <w:kern w:val="0"/>
        </w:rPr>
        <w:t>National Transportation Library,</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Citation Database,</w:t>
      </w:r>
      <w:r w:rsidR="005853A9">
        <w:rPr>
          <w:kern w:val="0"/>
        </w:rPr>
        <w:t xml:space="preserve"> and </w:t>
      </w:r>
      <w:r w:rsidR="00D5664A">
        <w:rPr>
          <w:kern w:val="0"/>
        </w:rPr>
        <w:t>MEDLINE</w:t>
      </w:r>
      <w:r>
        <w:rPr>
          <w:kern w:val="0"/>
        </w:rPr>
        <w:t>. Governmental publications</w:t>
      </w:r>
      <w:r w:rsidR="005853A9">
        <w:rPr>
          <w:kern w:val="0"/>
        </w:rPr>
        <w:t xml:space="preserve"> and </w:t>
      </w:r>
      <w:r>
        <w:rPr>
          <w:kern w:val="0"/>
        </w:rPr>
        <w:t>conference proceedings were also searched. Study Inclusion</w:t>
      </w:r>
      <w:r w:rsidR="005853A9">
        <w:rPr>
          <w:kern w:val="0"/>
        </w:rPr>
        <w:t xml:space="preserve"> and </w:t>
      </w:r>
      <w:r>
        <w:rPr>
          <w:kern w:val="0"/>
        </w:rPr>
        <w:t>Exclusion Criteria. All instruments to audit physical environments have been included in this review, considering both recreation-</w:t>
      </w:r>
      <w:r w:rsidR="005853A9">
        <w:rPr>
          <w:kern w:val="0"/>
        </w:rPr>
        <w:t xml:space="preserve"> and </w:t>
      </w:r>
      <w:r>
        <w:rPr>
          <w:kern w:val="0"/>
        </w:rPr>
        <w:t>transportation-related walking</w:t>
      </w:r>
      <w:r w:rsidR="005853A9">
        <w:rPr>
          <w:kern w:val="0"/>
        </w:rPr>
        <w:t xml:space="preserve"> and </w:t>
      </w:r>
      <w:r>
        <w:rPr>
          <w:kern w:val="0"/>
        </w:rPr>
        <w:t>bicycling. Excluded are general methods devised to estimate walking</w:t>
      </w:r>
      <w:r w:rsidR="005853A9">
        <w:rPr>
          <w:kern w:val="0"/>
        </w:rPr>
        <w:t xml:space="preserve"> and </w:t>
      </w:r>
      <w:r>
        <w:rPr>
          <w:kern w:val="0"/>
        </w:rPr>
        <w:t>cycling trips, those used in empirical studies on land use</w:t>
      </w:r>
      <w:r w:rsidR="005853A9">
        <w:rPr>
          <w:kern w:val="0"/>
        </w:rPr>
        <w:t xml:space="preserve"> and </w:t>
      </w:r>
      <w:r>
        <w:rPr>
          <w:kern w:val="0"/>
        </w:rPr>
        <w:t>transportation,</w:t>
      </w:r>
      <w:r w:rsidR="005853A9">
        <w:rPr>
          <w:kern w:val="0"/>
        </w:rPr>
        <w:t xml:space="preserve"> and </w:t>
      </w:r>
      <w:r>
        <w:rPr>
          <w:kern w:val="0"/>
        </w:rPr>
        <w:t>research on walking inside buildings. Data Extraction Methods. Data have been extracted from each instrument using a template</w:t>
      </w:r>
      <w:r w:rsidR="00427468">
        <w:rPr>
          <w:kern w:val="0"/>
        </w:rPr>
        <w:t xml:space="preserve"> of </w:t>
      </w:r>
      <w:r>
        <w:rPr>
          <w:kern w:val="0"/>
        </w:rPr>
        <w:t>key items developed for this review</w:t>
      </w:r>
      <w:r w:rsidR="00A37C1D">
        <w:rPr>
          <w:kern w:val="0"/>
        </w:rPr>
        <w:t>. The</w:t>
      </w:r>
      <w:r w:rsidR="003A1917">
        <w:rPr>
          <w:kern w:val="0"/>
        </w:rPr>
        <w:t xml:space="preserve"> </w:t>
      </w:r>
      <w:r>
        <w:rPr>
          <w:kern w:val="0"/>
        </w:rPr>
        <w:t>data were examined for quality assurance among three experienced researchers. Data Synthesis. A behavioral model</w:t>
      </w:r>
      <w:r w:rsidR="00427468">
        <w:rPr>
          <w:kern w:val="0"/>
        </w:rPr>
        <w:t xml:space="preserve"> of </w:t>
      </w:r>
      <w:r w:rsidR="003A1917">
        <w:rPr>
          <w:kern w:val="0"/>
        </w:rPr>
        <w:t xml:space="preserve">the </w:t>
      </w:r>
      <w:r>
        <w:rPr>
          <w:kern w:val="0"/>
        </w:rPr>
        <w:t>built environment guides</w:t>
      </w:r>
      <w:r w:rsidR="003A1917">
        <w:rPr>
          <w:kern w:val="0"/>
        </w:rPr>
        <w:t xml:space="preserve"> the </w:t>
      </w:r>
      <w:r>
        <w:rPr>
          <w:kern w:val="0"/>
        </w:rPr>
        <w:t>synthesis according to three components:</w:t>
      </w:r>
      <w:r w:rsidR="003A1917">
        <w:rPr>
          <w:kern w:val="0"/>
        </w:rPr>
        <w:t xml:space="preserve"> the </w:t>
      </w:r>
      <w:r>
        <w:rPr>
          <w:kern w:val="0"/>
        </w:rPr>
        <w:t>origin</w:t>
      </w:r>
      <w:r w:rsidR="005853A9">
        <w:rPr>
          <w:kern w:val="0"/>
        </w:rPr>
        <w:t xml:space="preserve"> and </w:t>
      </w:r>
      <w:r>
        <w:rPr>
          <w:kern w:val="0"/>
        </w:rPr>
        <w:t>destination</w:t>
      </w:r>
      <w:r w:rsidR="00427468">
        <w:rPr>
          <w:kern w:val="0"/>
        </w:rPr>
        <w:t xml:space="preserve"> of </w:t>
      </w:r>
      <w:r w:rsidR="003A1917">
        <w:rPr>
          <w:kern w:val="0"/>
        </w:rPr>
        <w:t xml:space="preserve">the </w:t>
      </w:r>
      <w:r>
        <w:rPr>
          <w:kern w:val="0"/>
        </w:rPr>
        <w:t>walk or bike trip,</w:t>
      </w:r>
      <w:r w:rsidR="003A1917">
        <w:rPr>
          <w:kern w:val="0"/>
        </w:rPr>
        <w:t xml:space="preserve"> the </w:t>
      </w:r>
      <w:r>
        <w:rPr>
          <w:kern w:val="0"/>
        </w:rPr>
        <w:t>characteristics</w:t>
      </w:r>
      <w:r w:rsidR="00427468">
        <w:rPr>
          <w:kern w:val="0"/>
        </w:rPr>
        <w:t xml:space="preserve"> of </w:t>
      </w:r>
      <w:r w:rsidR="003A1917">
        <w:rPr>
          <w:kern w:val="0"/>
        </w:rPr>
        <w:t xml:space="preserve">the </w:t>
      </w:r>
      <w:r>
        <w:rPr>
          <w:kern w:val="0"/>
        </w:rPr>
        <w:t>road traveled,</w:t>
      </w:r>
      <w:r w:rsidR="005853A9">
        <w:rPr>
          <w:kern w:val="0"/>
        </w:rPr>
        <w:t xml:space="preserve"> and </w:t>
      </w:r>
      <w:r w:rsidR="003A1917">
        <w:rPr>
          <w:kern w:val="0"/>
        </w:rPr>
        <w:t xml:space="preserve">the </w:t>
      </w:r>
      <w:r>
        <w:rPr>
          <w:kern w:val="0"/>
        </w:rPr>
        <w:t>characteristics</w:t>
      </w:r>
      <w:r w:rsidR="00427468">
        <w:rPr>
          <w:kern w:val="0"/>
        </w:rPr>
        <w:t xml:space="preserve"> of </w:t>
      </w:r>
      <w:r w:rsidR="003A1917">
        <w:rPr>
          <w:kern w:val="0"/>
        </w:rPr>
        <w:t xml:space="preserve">the </w:t>
      </w:r>
      <w:r>
        <w:rPr>
          <w:kern w:val="0"/>
        </w:rPr>
        <w:t>areas surrounding</w:t>
      </w:r>
      <w:r w:rsidR="003A1917">
        <w:rPr>
          <w:kern w:val="0"/>
        </w:rPr>
        <w:t xml:space="preserve"> the </w:t>
      </w:r>
      <w:r>
        <w:rPr>
          <w:kern w:val="0"/>
        </w:rPr>
        <w:t>trip</w:t>
      </w:r>
      <w:r w:rsidR="00700038">
        <w:rPr>
          <w:kern w:val="0"/>
        </w:rPr>
        <w:t>’</w:t>
      </w:r>
      <w:r w:rsidR="00C13DDC">
        <w:rPr>
          <w:kern w:val="0"/>
        </w:rPr>
        <w:t>s</w:t>
      </w:r>
      <w:r>
        <w:rPr>
          <w:kern w:val="0"/>
        </w:rPr>
        <w:t xml:space="preserve"> origin</w:t>
      </w:r>
      <w:r w:rsidR="005853A9">
        <w:rPr>
          <w:kern w:val="0"/>
        </w:rPr>
        <w:t xml:space="preserve"> and </w:t>
      </w:r>
      <w:r>
        <w:rPr>
          <w:kern w:val="0"/>
        </w:rPr>
        <w:t>destination, These components, combined with</w:t>
      </w:r>
      <w:r w:rsidR="003A1917">
        <w:rPr>
          <w:kern w:val="0"/>
        </w:rPr>
        <w:t xml:space="preserve"> the </w:t>
      </w:r>
      <w:r>
        <w:rPr>
          <w:kern w:val="0"/>
        </w:rPr>
        <w:t>characteristics</w:t>
      </w:r>
      <w:r w:rsidR="00427468">
        <w:rPr>
          <w:kern w:val="0"/>
        </w:rPr>
        <w:t xml:space="preserve"> of </w:t>
      </w:r>
      <w:r w:rsidR="003A1917">
        <w:rPr>
          <w:kern w:val="0"/>
        </w:rPr>
        <w:t xml:space="preserve">the </w:t>
      </w:r>
      <w:r>
        <w:rPr>
          <w:kern w:val="0"/>
        </w:rPr>
        <w:t>instruments themselves, lead to a classification</w:t>
      </w:r>
      <w:r w:rsidR="00427468">
        <w:rPr>
          <w:kern w:val="0"/>
        </w:rPr>
        <w:t xml:space="preserve"> of </w:t>
      </w:r>
      <w:r w:rsidR="003A1917">
        <w:rPr>
          <w:kern w:val="0"/>
        </w:rPr>
        <w:t xml:space="preserve">the </w:t>
      </w:r>
      <w:r>
        <w:rPr>
          <w:kern w:val="0"/>
        </w:rPr>
        <w:t>instruments into</w:t>
      </w:r>
      <w:r w:rsidR="003A1917">
        <w:rPr>
          <w:kern w:val="0"/>
        </w:rPr>
        <w:t xml:space="preserve"> the </w:t>
      </w:r>
      <w:r>
        <w:rPr>
          <w:kern w:val="0"/>
        </w:rPr>
        <w:t>four categories</w:t>
      </w:r>
      <w:r w:rsidR="00427468">
        <w:rPr>
          <w:kern w:val="0"/>
        </w:rPr>
        <w:t xml:space="preserve"> of </w:t>
      </w:r>
      <w:r>
        <w:rPr>
          <w:kern w:val="0"/>
        </w:rPr>
        <w:t>inventory, route quality assessment, area quality assessment,</w:t>
      </w:r>
      <w:r w:rsidR="005853A9">
        <w:rPr>
          <w:kern w:val="0"/>
        </w:rPr>
        <w:t xml:space="preserve"> and </w:t>
      </w:r>
      <w:r>
        <w:rPr>
          <w:kern w:val="0"/>
        </w:rPr>
        <w:t>approaches to estimating latent demand for walking</w:t>
      </w:r>
      <w:r w:rsidR="005853A9">
        <w:rPr>
          <w:kern w:val="0"/>
        </w:rPr>
        <w:t xml:space="preserve"> and </w:t>
      </w:r>
      <w:r>
        <w:rPr>
          <w:kern w:val="0"/>
        </w:rPr>
        <w:t>bicycling. Furthermore, individual variables used in each instrument to measure</w:t>
      </w:r>
      <w:r w:rsidR="003A1917">
        <w:rPr>
          <w:kern w:val="0"/>
        </w:rPr>
        <w:t xml:space="preserve"> the </w:t>
      </w:r>
      <w:r>
        <w:rPr>
          <w:kern w:val="0"/>
        </w:rPr>
        <w:t xml:space="preserve">environment are grouped into four classes: spatiophysical, </w:t>
      </w:r>
      <w:r>
        <w:rPr>
          <w:kern w:val="0"/>
        </w:rPr>
        <w:lastRenderedPageBreak/>
        <w:t>spatiobehavioral, spatiopsychosocial,</w:t>
      </w:r>
      <w:r w:rsidR="005853A9">
        <w:rPr>
          <w:kern w:val="0"/>
        </w:rPr>
        <w:t xml:space="preserve"> and </w:t>
      </w:r>
      <w:r>
        <w:rPr>
          <w:kern w:val="0"/>
        </w:rPr>
        <w:t>polity-based. Major Conclusions. Individually, existing instruments rely on selective classes</w:t>
      </w:r>
      <w:r w:rsidR="00427468">
        <w:rPr>
          <w:kern w:val="0"/>
        </w:rPr>
        <w:t xml:space="preserve"> of </w:t>
      </w:r>
      <w:r>
        <w:rPr>
          <w:kern w:val="0"/>
        </w:rPr>
        <w:t>variables</w:t>
      </w:r>
      <w:r w:rsidR="005853A9">
        <w:rPr>
          <w:kern w:val="0"/>
        </w:rPr>
        <w:t xml:space="preserve"> and </w:t>
      </w:r>
      <w:r>
        <w:rPr>
          <w:kern w:val="0"/>
        </w:rPr>
        <w:t>therefore assess only parts</w:t>
      </w:r>
      <w:r w:rsidR="00427468">
        <w:rPr>
          <w:kern w:val="0"/>
        </w:rPr>
        <w:t xml:space="preserve"> of </w:t>
      </w:r>
      <w:r>
        <w:rPr>
          <w:kern w:val="0"/>
        </w:rPr>
        <w:t>built environments that affect walking</w:t>
      </w:r>
      <w:r w:rsidR="005853A9">
        <w:rPr>
          <w:kern w:val="0"/>
        </w:rPr>
        <w:t xml:space="preserve"> and </w:t>
      </w:r>
      <w:r>
        <w:rPr>
          <w:kern w:val="0"/>
        </w:rPr>
        <w:t>bicycling. Most</w:t>
      </w:r>
      <w:r w:rsidR="00427468">
        <w:rPr>
          <w:kern w:val="0"/>
        </w:rPr>
        <w:t xml:space="preserve"> of </w:t>
      </w:r>
      <w:r w:rsidR="003A1917">
        <w:rPr>
          <w:kern w:val="0"/>
        </w:rPr>
        <w:t xml:space="preserve">the </w:t>
      </w:r>
      <w:r>
        <w:rPr>
          <w:kern w:val="0"/>
        </w:rPr>
        <w:t>instruments</w:t>
      </w:r>
      <w:r w:rsidR="005853A9">
        <w:rPr>
          <w:kern w:val="0"/>
        </w:rPr>
        <w:t xml:space="preserve"> and </w:t>
      </w:r>
      <w:r>
        <w:rPr>
          <w:kern w:val="0"/>
        </w:rPr>
        <w:t>individual measures have not been rigorously tested because</w:t>
      </w:r>
      <w:r w:rsidR="00427468">
        <w:rPr>
          <w:kern w:val="0"/>
        </w:rPr>
        <w:t xml:space="preserve"> of </w:t>
      </w:r>
      <w:r>
        <w:rPr>
          <w:kern w:val="0"/>
        </w:rPr>
        <w:t>a lack</w:t>
      </w:r>
      <w:r w:rsidR="00427468">
        <w:rPr>
          <w:kern w:val="0"/>
        </w:rPr>
        <w:t xml:space="preserve"> of </w:t>
      </w:r>
      <w:r>
        <w:rPr>
          <w:kern w:val="0"/>
        </w:rPr>
        <w:t>available data on walking</w:t>
      </w:r>
      <w:r w:rsidR="005853A9">
        <w:rPr>
          <w:kern w:val="0"/>
        </w:rPr>
        <w:t xml:space="preserve"> and </w:t>
      </w:r>
      <w:r>
        <w:rPr>
          <w:kern w:val="0"/>
        </w:rPr>
        <w:t>bicycling</w:t>
      </w:r>
      <w:r w:rsidR="005853A9">
        <w:rPr>
          <w:kern w:val="0"/>
        </w:rPr>
        <w:t xml:space="preserve"> and </w:t>
      </w:r>
      <w:r>
        <w:rPr>
          <w:kern w:val="0"/>
        </w:rPr>
        <w:t>because</w:t>
      </w:r>
      <w:r w:rsidR="00427468">
        <w:rPr>
          <w:kern w:val="0"/>
        </w:rPr>
        <w:t xml:space="preserve"> of </w:t>
      </w:r>
      <w:r>
        <w:rPr>
          <w:kern w:val="0"/>
        </w:rPr>
        <w:t>limited research budgets. Future instrument development will depend an</w:t>
      </w:r>
      <w:r w:rsidR="003A1917">
        <w:rPr>
          <w:kern w:val="0"/>
        </w:rPr>
        <w:t xml:space="preserve"> the </w:t>
      </w:r>
      <w:r>
        <w:rPr>
          <w:kern w:val="0"/>
        </w:rPr>
        <w:t>acquisition</w:t>
      </w:r>
      <w:r w:rsidR="00427468">
        <w:rPr>
          <w:kern w:val="0"/>
        </w:rPr>
        <w:t xml:space="preserve"> of </w:t>
      </w:r>
      <w:r>
        <w:rPr>
          <w:kern w:val="0"/>
        </w:rPr>
        <w:t>empirical data on walking</w:t>
      </w:r>
      <w:r w:rsidR="005853A9">
        <w:rPr>
          <w:kern w:val="0"/>
        </w:rPr>
        <w:t xml:space="preserve"> and </w:t>
      </w:r>
      <w:r>
        <w:rPr>
          <w:kern w:val="0"/>
        </w:rPr>
        <w:t>bicycling, on inclusion</w:t>
      </w:r>
      <w:r w:rsidR="00427468">
        <w:rPr>
          <w:kern w:val="0"/>
        </w:rPr>
        <w:t xml:space="preserve"> of </w:t>
      </w:r>
      <w:r>
        <w:rPr>
          <w:kern w:val="0"/>
        </w:rPr>
        <w:t>all three components</w:t>
      </w:r>
      <w:r w:rsidR="00427468">
        <w:rPr>
          <w:kern w:val="0"/>
        </w:rPr>
        <w:t xml:space="preserve"> of </w:t>
      </w:r>
      <w:r w:rsidR="003A1917">
        <w:rPr>
          <w:kern w:val="0"/>
        </w:rPr>
        <w:t xml:space="preserve">the </w:t>
      </w:r>
      <w:r>
        <w:rPr>
          <w:kern w:val="0"/>
        </w:rPr>
        <w:t>behavioral model,</w:t>
      </w:r>
      <w:r w:rsidR="005853A9">
        <w:rPr>
          <w:kern w:val="0"/>
        </w:rPr>
        <w:t xml:space="preserve"> and </w:t>
      </w:r>
      <w:r>
        <w:rPr>
          <w:kern w:val="0"/>
        </w:rPr>
        <w:t>on consideration</w:t>
      </w:r>
      <w:r w:rsidR="00427468">
        <w:rPr>
          <w:kern w:val="0"/>
        </w:rPr>
        <w:t xml:space="preserve"> of </w:t>
      </w:r>
      <w:r>
        <w:rPr>
          <w:kern w:val="0"/>
        </w:rPr>
        <w:t>all classes</w:t>
      </w:r>
      <w:r w:rsidR="00427468">
        <w:rPr>
          <w:kern w:val="0"/>
        </w:rPr>
        <w:t xml:space="preserve"> of </w:t>
      </w:r>
      <w:r>
        <w:rPr>
          <w:kern w:val="0"/>
        </w:rPr>
        <w:t>variables identified.</w:t>
      </w:r>
    </w:p>
    <w:p w:rsidR="00B2073C" w:rsidRDefault="00B2073C" w:rsidP="00B2073C">
      <w:pPr>
        <w:pStyle w:val="a3"/>
        <w:rPr>
          <w:kern w:val="0"/>
        </w:rPr>
      </w:pPr>
      <w:r>
        <w:rPr>
          <w:kern w:val="0"/>
        </w:rPr>
        <w:t xml:space="preserve">Keywords: Assessment, Biking, Citation, Databases, Determinants, Development, Environment, Environmental, Environmental Audit Instruments, Evaluation, Exercise, Extraction, Health Promotion, Journal, Knowledge, Lead, </w:t>
      </w:r>
      <w:r w:rsidR="00D5664A">
        <w:rPr>
          <w:kern w:val="0"/>
        </w:rPr>
        <w:t>MEDLINE</w:t>
      </w:r>
      <w:r>
        <w:rPr>
          <w:kern w:val="0"/>
        </w:rPr>
        <w:t>, Methods, Model, Physical Environmental Factors, Physical-Activity, Preferences, Prevention Research, Promotion, Publications, Research, Researchers, Review, Science, Sources, Travel-Related</w:t>
      </w:r>
      <w:r w:rsidR="005853A9">
        <w:rPr>
          <w:kern w:val="0"/>
        </w:rPr>
        <w:t xml:space="preserve"> and </w:t>
      </w:r>
      <w:r>
        <w:rPr>
          <w:kern w:val="0"/>
        </w:rPr>
        <w:t>Recreation-Related Walking</w:t>
      </w:r>
      <w:r w:rsidR="005853A9">
        <w:rPr>
          <w:kern w:val="0"/>
        </w:rPr>
        <w:t xml:space="preserve"> and </w:t>
      </w:r>
      <w:r>
        <w:rPr>
          <w:kern w:val="0"/>
        </w:rPr>
        <w:t xml:space="preserve">Bicycling, Walking, </w:t>
      </w:r>
      <w:r w:rsidR="00D5664A">
        <w:rPr>
          <w:kern w:val="0"/>
        </w:rPr>
        <w:t>Web</w:t>
      </w:r>
      <w:r w:rsidR="00427468">
        <w:rPr>
          <w:kern w:val="0"/>
        </w:rPr>
        <w:t xml:space="preserve"> of </w:t>
      </w:r>
      <w:r w:rsidR="00D5664A">
        <w:rPr>
          <w:kern w:val="0"/>
        </w:rPr>
        <w:t>Science</w:t>
      </w:r>
    </w:p>
    <w:p w:rsidR="00B2073C" w:rsidRDefault="00B2073C" w:rsidP="00B2073C">
      <w:pPr>
        <w:pStyle w:val="a3"/>
        <w:rPr>
          <w:kern w:val="0"/>
        </w:rPr>
      </w:pPr>
      <w:r>
        <w:rPr>
          <w:rFonts w:hint="eastAsia"/>
          <w:kern w:val="0"/>
        </w:rPr>
        <w:t xml:space="preserve">? </w:t>
      </w:r>
      <w:r>
        <w:rPr>
          <w:kern w:val="0"/>
        </w:rPr>
        <w:t>Matson-Koffman, D.M., Brownstein, J.N., Neiner, J.A.</w:t>
      </w:r>
      <w:r w:rsidR="005853A9">
        <w:rPr>
          <w:kern w:val="0"/>
        </w:rPr>
        <w:t xml:space="preserve"> and </w:t>
      </w:r>
      <w:r>
        <w:rPr>
          <w:kern w:val="0"/>
        </w:rPr>
        <w:t>Greaney, M.L. (2005), A site-specific literature review</w:t>
      </w:r>
      <w:r w:rsidR="00427468">
        <w:rPr>
          <w:kern w:val="0"/>
        </w:rPr>
        <w:t xml:space="preserve"> of </w:t>
      </w:r>
      <w:r>
        <w:rPr>
          <w:kern w:val="0"/>
        </w:rPr>
        <w:t>policy</w:t>
      </w:r>
      <w:r w:rsidR="005853A9">
        <w:rPr>
          <w:kern w:val="0"/>
        </w:rPr>
        <w:t xml:space="preserve"> and </w:t>
      </w:r>
      <w:r>
        <w:rPr>
          <w:kern w:val="0"/>
        </w:rPr>
        <w:t>environmental interventions that promote physical activity</w:t>
      </w:r>
      <w:r w:rsidR="005853A9">
        <w:rPr>
          <w:kern w:val="0"/>
        </w:rPr>
        <w:t xml:space="preserve"> and </w:t>
      </w:r>
      <w:r>
        <w:rPr>
          <w:kern w:val="0"/>
        </w:rPr>
        <w:t xml:space="preserve">nutrition for cardiovascular health: What works? </w:t>
      </w:r>
      <w:r>
        <w:rPr>
          <w:i/>
          <w:iCs/>
          <w:kern w:val="0"/>
        </w:rPr>
        <w:t>American Journal</w:t>
      </w:r>
      <w:r w:rsidR="00427468">
        <w:rPr>
          <w:i/>
          <w:iCs/>
          <w:kern w:val="0"/>
        </w:rPr>
        <w:t xml:space="preserve"> of </w:t>
      </w:r>
      <w:r>
        <w:rPr>
          <w:i/>
          <w:iCs/>
          <w:kern w:val="0"/>
        </w:rPr>
        <w:t>Health Promotion</w:t>
      </w:r>
      <w:r>
        <w:rPr>
          <w:kern w:val="0"/>
        </w:rPr>
        <w:t xml:space="preserve">, </w:t>
      </w:r>
      <w:r>
        <w:rPr>
          <w:b/>
          <w:bCs/>
          <w:kern w:val="0"/>
        </w:rPr>
        <w:t>19</w:t>
      </w:r>
      <w:r>
        <w:rPr>
          <w:kern w:val="0"/>
        </w:rPr>
        <w:t xml:space="preserve"> (3), 167-193.</w:t>
      </w:r>
    </w:p>
    <w:p w:rsidR="00D76820" w:rsidRDefault="00D76820" w:rsidP="00D76820">
      <w:pPr>
        <w:pStyle w:val="a3"/>
        <w:rPr>
          <w:kern w:val="0"/>
        </w:rPr>
      </w:pPr>
      <w:r>
        <w:rPr>
          <w:rFonts w:hint="eastAsia"/>
          <w:kern w:val="0"/>
        </w:rPr>
        <w:t xml:space="preserve">Full Text: </w:t>
      </w:r>
      <w:hyperlink r:id="rId486" w:history="1">
        <w:r w:rsidRPr="00AA14C7">
          <w:rPr>
            <w:rStyle w:val="a5"/>
            <w:kern w:val="0"/>
          </w:rPr>
          <w:t>2005\Ame J Hea Pro19, 167.pdf</w:t>
        </w:r>
      </w:hyperlink>
    </w:p>
    <w:p w:rsidR="00B2073C" w:rsidRDefault="00B2073C" w:rsidP="00B2073C">
      <w:pPr>
        <w:pStyle w:val="a3"/>
        <w:rPr>
          <w:kern w:val="0"/>
        </w:rPr>
      </w:pPr>
      <w:r>
        <w:rPr>
          <w:kern w:val="0"/>
        </w:rPr>
        <w:t>Abstract: Objective. To review</w:t>
      </w:r>
      <w:r w:rsidR="003A1917">
        <w:rPr>
          <w:kern w:val="0"/>
        </w:rPr>
        <w:t xml:space="preserve"> the </w:t>
      </w:r>
      <w:r>
        <w:rPr>
          <w:kern w:val="0"/>
        </w:rPr>
        <w:t>literature to determine whether policy</w:t>
      </w:r>
      <w:r w:rsidR="005853A9">
        <w:rPr>
          <w:kern w:val="0"/>
        </w:rPr>
        <w:t xml:space="preserve"> and </w:t>
      </w:r>
      <w:r>
        <w:rPr>
          <w:kern w:val="0"/>
        </w:rPr>
        <w:t>environmental interventions can increase people</w:t>
      </w:r>
      <w:r w:rsidR="00700038">
        <w:rPr>
          <w:kern w:val="0"/>
        </w:rPr>
        <w:t>’</w:t>
      </w:r>
      <w:r w:rsidR="00C13DDC">
        <w:rPr>
          <w:kern w:val="0"/>
        </w:rPr>
        <w:t>s</w:t>
      </w:r>
      <w:r>
        <w:rPr>
          <w:kern w:val="0"/>
        </w:rPr>
        <w:t xml:space="preserve"> physical activity or improve their nutrition. Data Source</w:t>
      </w:r>
      <w:r w:rsidR="00A37C1D">
        <w:rPr>
          <w:kern w:val="0"/>
        </w:rPr>
        <w:t>. The</w:t>
      </w:r>
      <w:r w:rsidR="003A1917">
        <w:rPr>
          <w:kern w:val="0"/>
        </w:rPr>
        <w:t xml:space="preserve"> </w:t>
      </w:r>
      <w:r>
        <w:rPr>
          <w:kern w:val="0"/>
        </w:rPr>
        <w:t xml:space="preserve">following database were searched for relevant intervention studies: </w:t>
      </w:r>
      <w:r w:rsidR="00D5664A">
        <w:rPr>
          <w:kern w:val="0"/>
        </w:rPr>
        <w:t>MEDLINE</w:t>
      </w:r>
      <w:r>
        <w:rPr>
          <w:kern w:val="0"/>
        </w:rPr>
        <w:t xml:space="preserve">, Chronic Disease Prevention File, PsychInfo, Health Star, </w:t>
      </w:r>
      <w:r w:rsidR="00D5664A">
        <w:rPr>
          <w:kern w:val="0"/>
        </w:rPr>
        <w:t>Web</w:t>
      </w:r>
      <w:r w:rsidR="00427468">
        <w:rPr>
          <w:kern w:val="0"/>
        </w:rPr>
        <w:t xml:space="preserve"> of </w:t>
      </w:r>
      <w:r w:rsidR="00D5664A">
        <w:rPr>
          <w:kern w:val="0"/>
        </w:rPr>
        <w:t>Science</w:t>
      </w:r>
      <w:r>
        <w:rPr>
          <w:kern w:val="0"/>
        </w:rPr>
        <w:t>, ERIC,</w:t>
      </w:r>
      <w:r w:rsidR="003A1917">
        <w:rPr>
          <w:kern w:val="0"/>
        </w:rPr>
        <w:t xml:space="preserve"> the </w:t>
      </w:r>
      <w:r>
        <w:rPr>
          <w:kern w:val="0"/>
        </w:rPr>
        <w:t>U.S Department</w:t>
      </w:r>
      <w:r w:rsidR="00427468">
        <w:rPr>
          <w:kern w:val="0"/>
        </w:rPr>
        <w:t xml:space="preserve"> of </w:t>
      </w:r>
      <w:r>
        <w:rPr>
          <w:kern w:val="0"/>
        </w:rPr>
        <w:t>Transportation,</w:t>
      </w:r>
      <w:r w:rsidR="005853A9">
        <w:rPr>
          <w:kern w:val="0"/>
        </w:rPr>
        <w:t xml:space="preserve"> and </w:t>
      </w:r>
      <w:r w:rsidR="003A1917">
        <w:rPr>
          <w:kern w:val="0"/>
        </w:rPr>
        <w:t xml:space="preserve">the </w:t>
      </w:r>
      <w:r>
        <w:rPr>
          <w:kern w:val="0"/>
        </w:rPr>
        <w:t>U.S Department</w:t>
      </w:r>
      <w:r w:rsidR="00427468">
        <w:rPr>
          <w:kern w:val="0"/>
        </w:rPr>
        <w:t xml:space="preserve"> of </w:t>
      </w:r>
      <w:r>
        <w:rPr>
          <w:kern w:val="0"/>
        </w:rPr>
        <w:t>Agriculture. Study Selection. To be included in</w:t>
      </w:r>
      <w:r w:rsidR="003A1917">
        <w:rPr>
          <w:kern w:val="0"/>
        </w:rPr>
        <w:t xml:space="preserve"> the </w:t>
      </w:r>
      <w:r>
        <w:rPr>
          <w:kern w:val="0"/>
        </w:rPr>
        <w:t>review, studies must have (1) addressed policy or environmental interventions to promote physical activity</w:t>
      </w:r>
      <w:r w:rsidR="005853A9">
        <w:rPr>
          <w:kern w:val="0"/>
        </w:rPr>
        <w:t xml:space="preserve"> and </w:t>
      </w:r>
      <w:r>
        <w:rPr>
          <w:kern w:val="0"/>
        </w:rPr>
        <w:t>or good nutrition; (2) been published from 1970 to October 2003; (3) provided a description</w:t>
      </w:r>
      <w:r w:rsidR="00427468">
        <w:rPr>
          <w:kern w:val="0"/>
        </w:rPr>
        <w:t xml:space="preserve"> of </w:t>
      </w:r>
      <w:r w:rsidR="003A1917">
        <w:rPr>
          <w:kern w:val="0"/>
        </w:rPr>
        <w:t xml:space="preserve">the </w:t>
      </w:r>
      <w:r>
        <w:rPr>
          <w:kern w:val="0"/>
        </w:rPr>
        <w:t>intervention;</w:t>
      </w:r>
      <w:r w:rsidR="005853A9">
        <w:rPr>
          <w:kern w:val="0"/>
        </w:rPr>
        <w:t xml:space="preserve"> and </w:t>
      </w:r>
      <w:r>
        <w:rPr>
          <w:kern w:val="0"/>
        </w:rPr>
        <w:t>(4) reported behavioral, physiological, or organizational change outcomes. Studies that had inadequate interventions descriptions or that focused on determinants research, individual-level interventions only,</w:t>
      </w:r>
      <w:r w:rsidR="003A1917">
        <w:rPr>
          <w:kern w:val="0"/>
        </w:rPr>
        <w:t xml:space="preserve"> the </w:t>
      </w:r>
      <w:r>
        <w:rPr>
          <w:kern w:val="0"/>
        </w:rPr>
        <w:t>built environment, or media-only campaigns were excluded. Data Extraction. We extracted</w:t>
      </w:r>
      <w:r w:rsidR="005853A9">
        <w:rPr>
          <w:kern w:val="0"/>
        </w:rPr>
        <w:t xml:space="preserve"> and </w:t>
      </w:r>
      <w:r>
        <w:rPr>
          <w:kern w:val="0"/>
        </w:rPr>
        <w:t>summarized studies conducted before 1990 (n = 65)</w:t>
      </w:r>
      <w:r w:rsidR="005853A9">
        <w:rPr>
          <w:kern w:val="0"/>
        </w:rPr>
        <w:t xml:space="preserve"> and </w:t>
      </w:r>
      <w:r>
        <w:rPr>
          <w:kern w:val="0"/>
        </w:rPr>
        <w:t>during 1990-2003 (n = 64). Data Synthesis. Data were synthesized by topic (i.e., physical activity or nutrition), by type</w:t>
      </w:r>
      <w:r w:rsidR="00427468">
        <w:rPr>
          <w:kern w:val="0"/>
        </w:rPr>
        <w:t xml:space="preserve"> of </w:t>
      </w:r>
      <w:r>
        <w:rPr>
          <w:kern w:val="0"/>
        </w:rPr>
        <w:t>intervention (i.e., point</w:t>
      </w:r>
      <w:r w:rsidR="00434900">
        <w:rPr>
          <w:kern w:val="0"/>
        </w:rPr>
        <w:t>-of-</w:t>
      </w:r>
      <w:r>
        <w:rPr>
          <w:kern w:val="0"/>
        </w:rPr>
        <w:t>purchase),</w:t>
      </w:r>
      <w:r w:rsidR="005853A9">
        <w:rPr>
          <w:kern w:val="0"/>
        </w:rPr>
        <w:t xml:space="preserve"> and </w:t>
      </w:r>
      <w:r>
        <w:rPr>
          <w:kern w:val="0"/>
        </w:rPr>
        <w:t>by setting (i.e., community, health care facility, school, worksite). Current studies published during 1990-2003 are described in more detail, including setting</w:t>
      </w:r>
      <w:r w:rsidR="005853A9">
        <w:rPr>
          <w:kern w:val="0"/>
        </w:rPr>
        <w:t xml:space="preserve"> and </w:t>
      </w:r>
      <w:r>
        <w:rPr>
          <w:kern w:val="0"/>
        </w:rPr>
        <w:t>location, sample size</w:t>
      </w:r>
      <w:r w:rsidR="005853A9">
        <w:rPr>
          <w:kern w:val="0"/>
        </w:rPr>
        <w:t xml:space="preserve"> and </w:t>
      </w:r>
      <w:r>
        <w:rPr>
          <w:kern w:val="0"/>
        </w:rPr>
        <w:t>characteristics, intervention to show</w:t>
      </w:r>
      <w:r w:rsidR="003A1917">
        <w:rPr>
          <w:kern w:val="0"/>
        </w:rPr>
        <w:t xml:space="preserve"> the </w:t>
      </w:r>
      <w:r>
        <w:rPr>
          <w:kern w:val="0"/>
        </w:rPr>
        <w:t>strength</w:t>
      </w:r>
      <w:r w:rsidR="00427468">
        <w:rPr>
          <w:kern w:val="0"/>
        </w:rPr>
        <w:t xml:space="preserve"> of </w:t>
      </w:r>
      <w:r w:rsidR="003A1917">
        <w:rPr>
          <w:kern w:val="0"/>
        </w:rPr>
        <w:t xml:space="preserve">the </w:t>
      </w:r>
      <w:r>
        <w:rPr>
          <w:kern w:val="0"/>
        </w:rPr>
        <w:t>study designs</w:t>
      </w:r>
      <w:r w:rsidR="005853A9">
        <w:rPr>
          <w:kern w:val="0"/>
        </w:rPr>
        <w:t xml:space="preserve"> and </w:t>
      </w:r>
      <w:r w:rsidR="003A1917">
        <w:rPr>
          <w:kern w:val="0"/>
        </w:rPr>
        <w:t xml:space="preserve">the </w:t>
      </w:r>
      <w:r>
        <w:rPr>
          <w:kern w:val="0"/>
        </w:rPr>
        <w:t>associations</w:t>
      </w:r>
      <w:r w:rsidR="00427468">
        <w:rPr>
          <w:kern w:val="0"/>
        </w:rPr>
        <w:t xml:space="preserve"> of </w:t>
      </w:r>
      <w:r>
        <w:rPr>
          <w:kern w:val="0"/>
        </w:rPr>
        <w:t>policy</w:t>
      </w:r>
      <w:r w:rsidR="005853A9">
        <w:rPr>
          <w:kern w:val="0"/>
        </w:rPr>
        <w:t xml:space="preserve"> and </w:t>
      </w:r>
      <w:r>
        <w:rPr>
          <w:kern w:val="0"/>
        </w:rPr>
        <w:t xml:space="preserve">environmental interventions with </w:t>
      </w:r>
      <w:r>
        <w:rPr>
          <w:kern w:val="0"/>
        </w:rPr>
        <w:lastRenderedPageBreak/>
        <w:t>physical activity</w:t>
      </w:r>
      <w:r w:rsidR="005853A9">
        <w:rPr>
          <w:kern w:val="0"/>
        </w:rPr>
        <w:t xml:space="preserve"> and </w:t>
      </w:r>
      <w:r>
        <w:rPr>
          <w:kern w:val="0"/>
        </w:rPr>
        <w:t>nutrition. Conclusion</w:t>
      </w:r>
      <w:r w:rsidR="00A37C1D">
        <w:rPr>
          <w:kern w:val="0"/>
        </w:rPr>
        <w:t>. The</w:t>
      </w:r>
      <w:r w:rsidR="003A1917">
        <w:rPr>
          <w:kern w:val="0"/>
        </w:rPr>
        <w:t xml:space="preserve"> </w:t>
      </w:r>
      <w:r>
        <w:rPr>
          <w:kern w:val="0"/>
        </w:rPr>
        <w:t>results</w:t>
      </w:r>
      <w:r w:rsidR="00427468">
        <w:rPr>
          <w:kern w:val="0"/>
        </w:rPr>
        <w:t xml:space="preserve"> of </w:t>
      </w:r>
      <w:r>
        <w:rPr>
          <w:kern w:val="0"/>
        </w:rPr>
        <w:t>our review suggest that policy</w:t>
      </w:r>
      <w:r w:rsidR="005853A9">
        <w:rPr>
          <w:kern w:val="0"/>
        </w:rPr>
        <w:t xml:space="preserve"> and </w:t>
      </w:r>
      <w:r>
        <w:rPr>
          <w:kern w:val="0"/>
        </w:rPr>
        <w:t>environmental strategies may promote physical activity</w:t>
      </w:r>
      <w:r w:rsidR="005853A9">
        <w:rPr>
          <w:kern w:val="0"/>
        </w:rPr>
        <w:t xml:space="preserve"> and </w:t>
      </w:r>
      <w:r>
        <w:rPr>
          <w:kern w:val="0"/>
        </w:rPr>
        <w:t>good nutrition. Based on</w:t>
      </w:r>
      <w:r w:rsidR="003A1917">
        <w:rPr>
          <w:kern w:val="0"/>
        </w:rPr>
        <w:t xml:space="preserve"> the </w:t>
      </w:r>
      <w:r>
        <w:rPr>
          <w:kern w:val="0"/>
        </w:rPr>
        <w:t>experimental</w:t>
      </w:r>
      <w:r w:rsidR="005853A9">
        <w:rPr>
          <w:kern w:val="0"/>
        </w:rPr>
        <w:t xml:space="preserve"> and </w:t>
      </w:r>
      <w:r>
        <w:rPr>
          <w:kern w:val="0"/>
        </w:rPr>
        <w:t>quasi-experimental studies in this reviews,</w:t>
      </w:r>
      <w:r w:rsidR="003A1917">
        <w:rPr>
          <w:kern w:val="0"/>
        </w:rPr>
        <w:t xml:space="preserve"> the </w:t>
      </w:r>
      <w:r>
        <w:rPr>
          <w:kern w:val="0"/>
        </w:rPr>
        <w:t>following interventions provide</w:t>
      </w:r>
      <w:r w:rsidR="003A1917">
        <w:rPr>
          <w:kern w:val="0"/>
        </w:rPr>
        <w:t xml:space="preserve"> the </w:t>
      </w:r>
      <w:r>
        <w:rPr>
          <w:kern w:val="0"/>
        </w:rPr>
        <w:t>strongest evidence for influencing these behaviors: prompts to increase stair use (N = 5); access to places</w:t>
      </w:r>
      <w:r w:rsidR="005853A9">
        <w:rPr>
          <w:kern w:val="0"/>
        </w:rPr>
        <w:t xml:space="preserve"> and </w:t>
      </w:r>
      <w:r>
        <w:rPr>
          <w:kern w:val="0"/>
        </w:rPr>
        <w:t>opportunities for physical activity (N = 6); school-based physical education(PE) with better-trained PE teachers,</w:t>
      </w:r>
      <w:r w:rsidR="005853A9">
        <w:rPr>
          <w:kern w:val="0"/>
        </w:rPr>
        <w:t xml:space="preserve"> and </w:t>
      </w:r>
      <w:r>
        <w:rPr>
          <w:kern w:val="0"/>
        </w:rPr>
        <w:t>increased length</w:t>
      </w:r>
      <w:r w:rsidR="00427468">
        <w:rPr>
          <w:kern w:val="0"/>
        </w:rPr>
        <w:t xml:space="preserve"> of </w:t>
      </w:r>
      <w:r>
        <w:rPr>
          <w:kern w:val="0"/>
        </w:rPr>
        <w:t>time students are physically active (N = 7); comprehensive work-site approaches, including eduction, employee</w:t>
      </w:r>
      <w:r w:rsidR="005853A9">
        <w:rPr>
          <w:kern w:val="0"/>
        </w:rPr>
        <w:t xml:space="preserve"> and </w:t>
      </w:r>
      <w:r>
        <w:rPr>
          <w:kern w:val="0"/>
        </w:rPr>
        <w:t>peer support for physical activity, incentives,</w:t>
      </w:r>
      <w:r w:rsidR="005853A9">
        <w:rPr>
          <w:kern w:val="0"/>
        </w:rPr>
        <w:t xml:space="preserve"> and </w:t>
      </w:r>
      <w:r>
        <w:rPr>
          <w:kern w:val="0"/>
        </w:rPr>
        <w:t>access to exercise facilities (N = 5);</w:t>
      </w:r>
      <w:r w:rsidR="003A1917">
        <w:rPr>
          <w:kern w:val="0"/>
        </w:rPr>
        <w:t xml:space="preserve"> the </w:t>
      </w:r>
      <w:r>
        <w:rPr>
          <w:kern w:val="0"/>
        </w:rPr>
        <w:t>availability</w:t>
      </w:r>
      <w:r w:rsidR="00427468">
        <w:rPr>
          <w:kern w:val="0"/>
        </w:rPr>
        <w:t xml:space="preserve"> of </w:t>
      </w:r>
      <w:r>
        <w:rPr>
          <w:kern w:val="0"/>
        </w:rPr>
        <w:t>nutritious foods (N = 33), point</w:t>
      </w:r>
      <w:r w:rsidR="00434900">
        <w:rPr>
          <w:kern w:val="0"/>
        </w:rPr>
        <w:t>-of-</w:t>
      </w:r>
      <w:r>
        <w:rPr>
          <w:kern w:val="0"/>
        </w:rPr>
        <w:t>purchase strategies (N = 29);</w:t>
      </w:r>
      <w:r w:rsidR="005853A9">
        <w:rPr>
          <w:kern w:val="0"/>
        </w:rPr>
        <w:t xml:space="preserve"> and </w:t>
      </w:r>
      <w:r>
        <w:rPr>
          <w:kern w:val="0"/>
        </w:rPr>
        <w:t>systemalic officer reminders</w:t>
      </w:r>
      <w:r w:rsidR="005853A9">
        <w:rPr>
          <w:kern w:val="0"/>
        </w:rPr>
        <w:t xml:space="preserve"> and </w:t>
      </w:r>
      <w:r>
        <w:rPr>
          <w:kern w:val="0"/>
        </w:rPr>
        <w:t>training</w:t>
      </w:r>
      <w:r w:rsidR="00427468">
        <w:rPr>
          <w:kern w:val="0"/>
        </w:rPr>
        <w:t xml:space="preserve"> of </w:t>
      </w:r>
      <w:r>
        <w:rPr>
          <w:kern w:val="0"/>
        </w:rPr>
        <w:t>health care providers to provide nutritional counseling (N = 4). Further research is needed to determine</w:t>
      </w:r>
      <w:r w:rsidR="003A1917">
        <w:rPr>
          <w:kern w:val="0"/>
        </w:rPr>
        <w:t xml:space="preserve"> the </w:t>
      </w:r>
      <w:r>
        <w:rPr>
          <w:kern w:val="0"/>
        </w:rPr>
        <w:t>long-term effectiveness</w:t>
      </w:r>
      <w:r w:rsidR="00427468">
        <w:rPr>
          <w:kern w:val="0"/>
        </w:rPr>
        <w:t xml:space="preserve"> of </w:t>
      </w:r>
      <w:r>
        <w:rPr>
          <w:kern w:val="0"/>
        </w:rPr>
        <w:t>different policy</w:t>
      </w:r>
      <w:r w:rsidR="005853A9">
        <w:rPr>
          <w:kern w:val="0"/>
        </w:rPr>
        <w:t xml:space="preserve"> and </w:t>
      </w:r>
      <w:r>
        <w:rPr>
          <w:kern w:val="0"/>
        </w:rPr>
        <w:t>environmental interventions with various populations</w:t>
      </w:r>
      <w:r w:rsidR="005853A9">
        <w:rPr>
          <w:kern w:val="0"/>
        </w:rPr>
        <w:t xml:space="preserve"> and </w:t>
      </w:r>
      <w:r>
        <w:rPr>
          <w:kern w:val="0"/>
        </w:rPr>
        <w:t>to identify</w:t>
      </w:r>
      <w:r w:rsidR="003A1917">
        <w:rPr>
          <w:kern w:val="0"/>
        </w:rPr>
        <w:t xml:space="preserve"> the </w:t>
      </w:r>
      <w:r>
        <w:rPr>
          <w:kern w:val="0"/>
        </w:rPr>
        <w:t>steps necessary to successfully implement these types</w:t>
      </w:r>
      <w:r w:rsidR="00427468">
        <w:rPr>
          <w:kern w:val="0"/>
        </w:rPr>
        <w:t xml:space="preserve"> of </w:t>
      </w:r>
      <w:r>
        <w:rPr>
          <w:kern w:val="0"/>
        </w:rPr>
        <w:t>interventions.</w:t>
      </w:r>
    </w:p>
    <w:p w:rsidR="00B2073C" w:rsidRDefault="00B2073C" w:rsidP="00B2073C">
      <w:pPr>
        <w:pStyle w:val="a3"/>
        <w:rPr>
          <w:kern w:val="0"/>
        </w:rPr>
      </w:pPr>
      <w:r>
        <w:rPr>
          <w:kern w:val="0"/>
        </w:rPr>
        <w:t>Keywords: Cardiovascular, Cardiovascular Health, City Latino Community, Community-Based Intervention, Coronary-Heart-Disease, Determinants, Effectiveness, Environment, Environmental, Exercise, Extraction, Fruit</w:t>
      </w:r>
      <w:r w:rsidR="005853A9">
        <w:rPr>
          <w:kern w:val="0"/>
        </w:rPr>
        <w:t xml:space="preserve"> and </w:t>
      </w:r>
      <w:r>
        <w:rPr>
          <w:kern w:val="0"/>
        </w:rPr>
        <w:t xml:space="preserve">Vegetable Consumption, Health, Health Care, Incentives, Increase Fruit, Intervention, Intervention Studies, Interventions, Literature, Literature Review, Low-Fat Milk, North-Karelia Project, Nutrition, Outcomes, Physical Activity, Policy, Randomized Controlled-Trial, Reminders, Research, Review, Science, Stair Use, Students, Training, Vegetable Consumption, </w:t>
      </w:r>
      <w:r w:rsidR="00D5664A">
        <w:rPr>
          <w:kern w:val="0"/>
        </w:rPr>
        <w:t>Web</w:t>
      </w:r>
      <w:r w:rsidR="00427468">
        <w:rPr>
          <w:kern w:val="0"/>
        </w:rPr>
        <w:t xml:space="preserve"> of </w:t>
      </w:r>
      <w:r w:rsidR="00D5664A">
        <w:rPr>
          <w:kern w:val="0"/>
        </w:rPr>
        <w:t>Science</w:t>
      </w:r>
      <w:r>
        <w:rPr>
          <w:kern w:val="0"/>
        </w:rPr>
        <w:t>, Worcester-Area Trial, Work-Site</w:t>
      </w:r>
    </w:p>
    <w:p w:rsidR="00B2073C" w:rsidRDefault="00B2073C" w:rsidP="00B2073C">
      <w:pPr>
        <w:pStyle w:val="a3"/>
        <w:rPr>
          <w:kern w:val="0"/>
        </w:rPr>
      </w:pPr>
      <w:r>
        <w:rPr>
          <w:rFonts w:hint="eastAsia"/>
          <w:kern w:val="0"/>
        </w:rPr>
        <w:t xml:space="preserve">? </w:t>
      </w:r>
      <w:r>
        <w:rPr>
          <w:kern w:val="0"/>
        </w:rPr>
        <w:t>Bailey, T.M., Delva, J., Gretebeck, K., Siefert, K.</w:t>
      </w:r>
      <w:r w:rsidR="005853A9">
        <w:rPr>
          <w:kern w:val="0"/>
        </w:rPr>
        <w:t xml:space="preserve"> and </w:t>
      </w:r>
      <w:r>
        <w:rPr>
          <w:kern w:val="0"/>
        </w:rPr>
        <w:t>Ismail, A. (2005), A systematic review</w:t>
      </w:r>
      <w:r w:rsidR="00427468">
        <w:rPr>
          <w:kern w:val="0"/>
        </w:rPr>
        <w:t xml:space="preserve"> of </w:t>
      </w:r>
      <w:r>
        <w:rPr>
          <w:kern w:val="0"/>
        </w:rPr>
        <w:t xml:space="preserve">mammography educational interventions for low-income women. </w:t>
      </w:r>
      <w:r>
        <w:rPr>
          <w:i/>
          <w:iCs/>
          <w:kern w:val="0"/>
        </w:rPr>
        <w:t>American Journal</w:t>
      </w:r>
      <w:r w:rsidR="00427468">
        <w:rPr>
          <w:i/>
          <w:iCs/>
          <w:kern w:val="0"/>
        </w:rPr>
        <w:t xml:space="preserve"> of </w:t>
      </w:r>
      <w:r>
        <w:rPr>
          <w:i/>
          <w:iCs/>
          <w:kern w:val="0"/>
        </w:rPr>
        <w:t>Health Promotion</w:t>
      </w:r>
      <w:r>
        <w:rPr>
          <w:kern w:val="0"/>
        </w:rPr>
        <w:t xml:space="preserve">, </w:t>
      </w:r>
      <w:r>
        <w:rPr>
          <w:b/>
          <w:bCs/>
          <w:kern w:val="0"/>
        </w:rPr>
        <w:t>20</w:t>
      </w:r>
      <w:r>
        <w:rPr>
          <w:kern w:val="0"/>
        </w:rPr>
        <w:t xml:space="preserve"> (2), 96-107.</w:t>
      </w:r>
    </w:p>
    <w:p w:rsidR="00B2073C" w:rsidRDefault="00B2073C" w:rsidP="00B2073C">
      <w:pPr>
        <w:pStyle w:val="a3"/>
        <w:rPr>
          <w:kern w:val="0"/>
        </w:rPr>
      </w:pPr>
      <w:r>
        <w:rPr>
          <w:rFonts w:hint="eastAsia"/>
          <w:kern w:val="0"/>
        </w:rPr>
        <w:t xml:space="preserve">Full Text: </w:t>
      </w:r>
      <w:hyperlink r:id="rId487" w:history="1">
        <w:r w:rsidRPr="002C1BEF">
          <w:rPr>
            <w:rStyle w:val="a5"/>
            <w:kern w:val="0"/>
          </w:rPr>
          <w:t>2005\Ame J Hea Pro20, 96.pdf</w:t>
        </w:r>
      </w:hyperlink>
    </w:p>
    <w:p w:rsidR="00B2073C" w:rsidRDefault="00B2073C" w:rsidP="00B2073C">
      <w:pPr>
        <w:pStyle w:val="a3"/>
        <w:rPr>
          <w:kern w:val="0"/>
        </w:rPr>
      </w:pPr>
      <w:r>
        <w:rPr>
          <w:kern w:val="0"/>
        </w:rPr>
        <w:t>Abstract: Objective. We conducted a systematic review to examine</w:t>
      </w:r>
      <w:r w:rsidR="003A1917">
        <w:rPr>
          <w:kern w:val="0"/>
        </w:rPr>
        <w:t xml:space="preserve"> the </w:t>
      </w:r>
      <w:r>
        <w:rPr>
          <w:kern w:val="0"/>
        </w:rPr>
        <w:t>effectiveness</w:t>
      </w:r>
      <w:r w:rsidR="00427468">
        <w:rPr>
          <w:kern w:val="0"/>
        </w:rPr>
        <w:t xml:space="preserve"> of </w:t>
      </w:r>
      <w:r>
        <w:rPr>
          <w:kern w:val="0"/>
        </w:rPr>
        <w:t xml:space="preserve">educational interventions in increasing mammography screening among low-income women. Data Sources. Bibliographic databases, including </w:t>
      </w:r>
      <w:r w:rsidR="00D5664A">
        <w:rPr>
          <w:kern w:val="0"/>
        </w:rPr>
        <w:t>MEDLINE</w:t>
      </w:r>
      <w:r>
        <w:rPr>
          <w:kern w:val="0"/>
        </w:rPr>
        <w:t>,</w:t>
      </w:r>
      <w:r w:rsidR="003A1917">
        <w:rPr>
          <w:kern w:val="0"/>
        </w:rPr>
        <w:t xml:space="preserve"> the </w:t>
      </w:r>
      <w:r>
        <w:rPr>
          <w:kern w:val="0"/>
        </w:rPr>
        <w:t>Cochrane Central Register</w:t>
      </w:r>
      <w:r w:rsidR="00427468">
        <w:rPr>
          <w:kern w:val="0"/>
        </w:rPr>
        <w:t xml:space="preserve"> of </w:t>
      </w:r>
      <w:r>
        <w:rPr>
          <w:kern w:val="0"/>
        </w:rPr>
        <w:t>Controlled Dials,</w:t>
      </w:r>
      <w:r w:rsidR="003A1917">
        <w:rPr>
          <w:kern w:val="0"/>
        </w:rPr>
        <w:t xml:space="preserve"> the </w:t>
      </w:r>
      <w:r>
        <w:rPr>
          <w:kern w:val="0"/>
        </w:rPr>
        <w:t>Cochrane Database</w:t>
      </w:r>
      <w:r w:rsidR="00427468">
        <w:rPr>
          <w:kern w:val="0"/>
        </w:rPr>
        <w:t xml:space="preserve"> of </w:t>
      </w:r>
      <w:r>
        <w:rPr>
          <w:kern w:val="0"/>
        </w:rPr>
        <w:t>Systematic Reviews,</w:t>
      </w:r>
      <w:r w:rsidR="005853A9">
        <w:rPr>
          <w:kern w:val="0"/>
        </w:rPr>
        <w:t xml:space="preserve"> and </w:t>
      </w:r>
      <w:r w:rsidR="003A1917">
        <w:rPr>
          <w:kern w:val="0"/>
        </w:rPr>
        <w:t xml:space="preserve">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were searched for relevant articles. Study Inclusion</w:t>
      </w:r>
      <w:r w:rsidR="005853A9">
        <w:rPr>
          <w:kern w:val="0"/>
        </w:rPr>
        <w:t xml:space="preserve"> and </w:t>
      </w:r>
      <w:r>
        <w:rPr>
          <w:kern w:val="0"/>
        </w:rPr>
        <w:t>Exclusion Criteria. Randomized, community-based trials targeting low-income women</w:t>
      </w:r>
      <w:r w:rsidR="005853A9">
        <w:rPr>
          <w:kern w:val="0"/>
        </w:rPr>
        <w:t xml:space="preserve"> and </w:t>
      </w:r>
      <w:r>
        <w:rPr>
          <w:kern w:val="0"/>
        </w:rPr>
        <w:t>published between January 1980</w:t>
      </w:r>
      <w:r w:rsidR="005853A9">
        <w:rPr>
          <w:kern w:val="0"/>
        </w:rPr>
        <w:t xml:space="preserve"> and </w:t>
      </w:r>
      <w:r>
        <w:rPr>
          <w:kern w:val="0"/>
        </w:rPr>
        <w:t>March 2003 were included. Data Extraction</w:t>
      </w:r>
      <w:r w:rsidR="00A37C1D">
        <w:rPr>
          <w:kern w:val="0"/>
        </w:rPr>
        <w:t>. The</w:t>
      </w:r>
      <w:r w:rsidR="003A1917">
        <w:rPr>
          <w:kern w:val="0"/>
        </w:rPr>
        <w:t xml:space="preserve"> </w:t>
      </w:r>
      <w:r>
        <w:rPr>
          <w:kern w:val="0"/>
        </w:rPr>
        <w:t>search yielded 242 studies; 24 met all inclusion criteria. Data Synthesis. Three studies used mammography vans, three used low-cost vouchers or provided free mammograms, three used home visits, one used community education alone, one provided referrals, five incorporated multiple intervention strategies, two used phone calls, one used videos</w:t>
      </w:r>
      <w:r w:rsidR="005853A9">
        <w:rPr>
          <w:kern w:val="0"/>
        </w:rPr>
        <w:t xml:space="preserve"> and </w:t>
      </w:r>
      <w:r>
        <w:rPr>
          <w:kern w:val="0"/>
        </w:rPr>
        <w:t>print material,</w:t>
      </w:r>
      <w:r w:rsidR="005853A9">
        <w:rPr>
          <w:kern w:val="0"/>
        </w:rPr>
        <w:t xml:space="preserve"> and </w:t>
      </w:r>
      <w:r>
        <w:rPr>
          <w:kern w:val="0"/>
        </w:rPr>
        <w:t xml:space="preserve">five used primarily print </w:t>
      </w:r>
      <w:r>
        <w:rPr>
          <w:kern w:val="0"/>
        </w:rPr>
        <w:lastRenderedPageBreak/>
        <w:t>material. Results.</w:t>
      </w:r>
      <w:r w:rsidR="00427468">
        <w:rPr>
          <w:kern w:val="0"/>
        </w:rPr>
        <w:t xml:space="preserve"> of </w:t>
      </w:r>
      <w:r>
        <w:rPr>
          <w:kern w:val="0"/>
        </w:rPr>
        <w:t>nine studies that reduced barriers to care via mammography vans, cost vouchers, or home visits, eight showed statistically significant increases in mammography screening. Seven</w:t>
      </w:r>
      <w:r w:rsidR="00427468">
        <w:rPr>
          <w:kern w:val="0"/>
        </w:rPr>
        <w:t xml:space="preserve"> of </w:t>
      </w:r>
      <w:r w:rsidR="003A1917">
        <w:rPr>
          <w:kern w:val="0"/>
        </w:rPr>
        <w:t xml:space="preserve">the </w:t>
      </w:r>
      <w:r>
        <w:rPr>
          <w:kern w:val="0"/>
        </w:rPr>
        <w:t>eight studies that used peer educators had significant increases in screening, as did four</w:t>
      </w:r>
      <w:r w:rsidR="00427468">
        <w:rPr>
          <w:kern w:val="0"/>
        </w:rPr>
        <w:t xml:space="preserve"> of </w:t>
      </w:r>
      <w:r w:rsidR="003A1917">
        <w:rPr>
          <w:kern w:val="0"/>
        </w:rPr>
        <w:t xml:space="preserve">the </w:t>
      </w:r>
      <w:r>
        <w:rPr>
          <w:kern w:val="0"/>
        </w:rPr>
        <w:t>five studies that used multiple (intervention) components. Conclusions. Interventions that used peer educators, incorporated multiple intervention strategies, or provided easy access via vans, cost vouchers, or home visits were effective in increasing screenings. Mailed letter or telephone reminders were not effective in trials involving low-income women, which is contrary to findings from middle upper-income studies.</w:t>
      </w:r>
    </w:p>
    <w:p w:rsidR="00B2073C" w:rsidRDefault="00B2073C" w:rsidP="00B2073C">
      <w:pPr>
        <w:pStyle w:val="a3"/>
        <w:rPr>
          <w:kern w:val="0"/>
        </w:rPr>
      </w:pPr>
      <w:r>
        <w:rPr>
          <w:kern w:val="0"/>
        </w:rPr>
        <w:t>Keywords: African-American Women, Barriers, Bibliographic, Bibliographic Databases, Breast-Cancer, Cochrane, Databases, Education, Effective Interventions, Effectiveness, Extraction, Health Focus : Medical Self-Care, Health-Education, Inner-City, Intervention, Interventions, Invitation Strategies</w:t>
      </w:r>
      <w:r w:rsidR="00D5664A">
        <w:rPr>
          <w:kern w:val="0"/>
        </w:rPr>
        <w:t>, ISI,</w:t>
      </w:r>
      <w:r>
        <w:rPr>
          <w:kern w:val="0"/>
        </w:rPr>
        <w:t xml:space="preserve"> Mammography Screening, Manuscript Format : Literature Review, </w:t>
      </w:r>
      <w:r w:rsidR="00D5664A">
        <w:rPr>
          <w:kern w:val="0"/>
        </w:rPr>
        <w:t>MEDLINE</w:t>
      </w:r>
      <w:r>
        <w:rPr>
          <w:kern w:val="0"/>
        </w:rPr>
        <w:t>, Older Women, Prevention Research, Primary Variables : Behavioral, Program, Randomized Controlled Trial, Reminders, Review, Science, Screening, Screening Mammography, Setting : Local Community, Sources, Strategy : Skill Building, Behavior Change, Systematic, Systematic Review, Tailored Messages, Target Population : Adults</w:t>
      </w:r>
      <w:r w:rsidR="005853A9">
        <w:rPr>
          <w:kern w:val="0"/>
        </w:rPr>
        <w:t xml:space="preserve"> and </w:t>
      </w:r>
      <w:r>
        <w:rPr>
          <w:kern w:val="0"/>
        </w:rPr>
        <w:t>Seniors, Target Population Circumstances : Education, Income Level,</w:t>
      </w:r>
      <w:r>
        <w:rPr>
          <w:rFonts w:hint="eastAsia"/>
          <w:kern w:val="0"/>
        </w:rPr>
        <w:t xml:space="preserve"> </w:t>
      </w:r>
      <w:r>
        <w:rPr>
          <w:kern w:val="0"/>
        </w:rPr>
        <w:t xml:space="preserve">Geographic Location,Race, Ethnicity, </w:t>
      </w:r>
      <w:r w:rsidR="00D5664A">
        <w:rPr>
          <w:kern w:val="0"/>
        </w:rPr>
        <w:t>Web</w:t>
      </w:r>
      <w:r w:rsidR="00427468">
        <w:rPr>
          <w:kern w:val="0"/>
        </w:rPr>
        <w:t xml:space="preserve"> of </w:t>
      </w:r>
      <w:r w:rsidR="00D5664A">
        <w:rPr>
          <w:kern w:val="0"/>
        </w:rPr>
        <w:t>Science</w:t>
      </w:r>
      <w:r>
        <w:rPr>
          <w:kern w:val="0"/>
        </w:rPr>
        <w:t>, Women</w:t>
      </w:r>
    </w:p>
    <w:p w:rsidR="003474F2" w:rsidRPr="001A3D2B" w:rsidRDefault="003474F2" w:rsidP="003474F2">
      <w:pPr>
        <w:pStyle w:val="a3"/>
      </w:pPr>
      <w:r w:rsidRPr="001A3D2B">
        <w:t>? Turner, M.B., Vader, A.M.</w:t>
      </w:r>
      <w:r w:rsidR="005853A9">
        <w:t xml:space="preserve"> and </w:t>
      </w:r>
      <w:r w:rsidRPr="001A3D2B">
        <w:t>Walters, S.T. (2008), An analysis</w:t>
      </w:r>
      <w:r w:rsidR="00427468">
        <w:t xml:space="preserve"> of </w:t>
      </w:r>
      <w:r w:rsidRPr="001A3D2B">
        <w:t>cardiovascular health information in popular young women</w:t>
      </w:r>
      <w:r w:rsidR="00700038">
        <w:t>’</w:t>
      </w:r>
      <w:r w:rsidR="00C13DDC">
        <w:t>s</w:t>
      </w:r>
      <w:r w:rsidRPr="001A3D2B">
        <w:t xml:space="preserve"> magazines: What messages are women receiving? </w:t>
      </w:r>
      <w:r w:rsidRPr="001A3D2B">
        <w:rPr>
          <w:i/>
          <w:iCs/>
        </w:rPr>
        <w:t>American Journal</w:t>
      </w:r>
      <w:r w:rsidR="00427468">
        <w:rPr>
          <w:i/>
          <w:iCs/>
        </w:rPr>
        <w:t xml:space="preserve"> of </w:t>
      </w:r>
      <w:r w:rsidRPr="001A3D2B">
        <w:rPr>
          <w:i/>
          <w:iCs/>
        </w:rPr>
        <w:t>Health Promotion</w:t>
      </w:r>
      <w:r w:rsidRPr="001A3D2B">
        <w:t xml:space="preserve">, </w:t>
      </w:r>
      <w:r w:rsidRPr="001A3D2B">
        <w:rPr>
          <w:b/>
          <w:bCs/>
        </w:rPr>
        <w:t>22</w:t>
      </w:r>
      <w:r w:rsidRPr="001A3D2B">
        <w:t>, 183-186.</w:t>
      </w:r>
    </w:p>
    <w:p w:rsidR="0069673B" w:rsidRDefault="0069673B" w:rsidP="0069673B">
      <w:pPr>
        <w:pStyle w:val="a3"/>
        <w:rPr>
          <w:kern w:val="0"/>
        </w:rPr>
      </w:pPr>
      <w:r>
        <w:rPr>
          <w:rFonts w:hint="eastAsia"/>
          <w:kern w:val="0"/>
        </w:rPr>
        <w:t xml:space="preserve">Full Text: </w:t>
      </w:r>
      <w:hyperlink r:id="rId488" w:history="1">
        <w:r w:rsidR="0078638A" w:rsidRPr="0078638A">
          <w:rPr>
            <w:rStyle w:val="a5"/>
            <w:kern w:val="0"/>
          </w:rPr>
          <w:t>2008\Ame J Hea Pro22, 183.pdf</w:t>
        </w:r>
      </w:hyperlink>
    </w:p>
    <w:p w:rsidR="003474F2" w:rsidRPr="001A3D2B" w:rsidRDefault="003474F2" w:rsidP="003474F2">
      <w:pPr>
        <w:pStyle w:val="a3"/>
      </w:pPr>
      <w:r w:rsidRPr="001A3D2B">
        <w:t>Abstract: Purpose. This study evaluated</w:t>
      </w:r>
      <w:r w:rsidR="003A1917">
        <w:t xml:space="preserve"> the </w:t>
      </w:r>
      <w:r w:rsidRPr="001A3D2B">
        <w:t>consistency</w:t>
      </w:r>
      <w:r w:rsidR="00427468">
        <w:t xml:space="preserve"> of </w:t>
      </w:r>
      <w:r w:rsidRPr="001A3D2B">
        <w:t>cardiovascular health information in popular women</w:t>
      </w:r>
      <w:r w:rsidR="00700038">
        <w:t>’</w:t>
      </w:r>
      <w:r w:rsidR="00C13DDC">
        <w:t>s</w:t>
      </w:r>
      <w:r w:rsidRPr="001A3D2B">
        <w:t xml:space="preserve"> magazines against</w:t>
      </w:r>
      <w:r w:rsidR="003A1917">
        <w:t xml:space="preserve"> the </w:t>
      </w:r>
      <w:r w:rsidRPr="001A3D2B">
        <w:t>American Heart Association</w:t>
      </w:r>
      <w:r w:rsidR="00700038">
        <w:t>’</w:t>
      </w:r>
      <w:r w:rsidR="00C13DDC">
        <w:t>s</w:t>
      </w:r>
      <w:r w:rsidRPr="001A3D2B">
        <w:t xml:space="preserve"> (AHA) guidelines for nutrition, physical activity, weight management,</w:t>
      </w:r>
      <w:r w:rsidR="005853A9">
        <w:t xml:space="preserve"> and </w:t>
      </w:r>
      <w:r w:rsidRPr="001A3D2B">
        <w:t>smoking. Design. Six issues</w:t>
      </w:r>
      <w:r w:rsidR="00427468">
        <w:t xml:space="preserve"> of </w:t>
      </w:r>
      <w:r w:rsidRPr="001A3D2B">
        <w:t>four publications, Cosmopolitan, Glamour, Vogue,</w:t>
      </w:r>
      <w:r w:rsidR="005853A9">
        <w:t xml:space="preserve"> and </w:t>
      </w:r>
      <w:r w:rsidRPr="001A3D2B">
        <w:t>Shape (24 total) were reviewed for inclusion. Setting. Content analysis was performed by two independent raters on 162 articles (283 instances</w:t>
      </w:r>
      <w:r w:rsidR="00427468">
        <w:t xml:space="preserve"> of </w:t>
      </w:r>
      <w:r w:rsidRPr="001A3D2B">
        <w:t>priority-related information). Measures. Articles were rated using a questionnaire developed from</w:t>
      </w:r>
      <w:r w:rsidR="003A1917">
        <w:t xml:space="preserve"> the </w:t>
      </w:r>
      <w:r w:rsidRPr="001A3D2B">
        <w:t>AHA-recommended priorities. Analysis. Results are presented primarily in qualitative form, supplemented by analyses</w:t>
      </w:r>
      <w:r w:rsidR="00427468">
        <w:t xml:space="preserve"> of </w:t>
      </w:r>
      <w:r w:rsidRPr="001A3D2B">
        <w:t>variance</w:t>
      </w:r>
      <w:r w:rsidR="005853A9">
        <w:t xml:space="preserve"> and </w:t>
      </w:r>
      <w:r w:rsidRPr="001A3D2B">
        <w:t>correlation significance tests when appropriate. Results. Physical activity was</w:t>
      </w:r>
      <w:r w:rsidR="003A1917">
        <w:t xml:space="preserve"> the </w:t>
      </w:r>
      <w:r w:rsidRPr="001A3D2B">
        <w:t>most common topic, followed by nutrition, weight management,</w:t>
      </w:r>
      <w:r w:rsidR="005853A9">
        <w:t xml:space="preserve"> and </w:t>
      </w:r>
      <w:r w:rsidRPr="001A3D2B">
        <w:t>cigarette smoking. Information about weight management was less consistent than other areas. Although publications varied widely in</w:t>
      </w:r>
      <w:r w:rsidR="003A1917">
        <w:t xml:space="preserve"> the </w:t>
      </w:r>
      <w:r w:rsidRPr="001A3D2B">
        <w:t>frequency</w:t>
      </w:r>
      <w:r w:rsidR="00427468">
        <w:t xml:space="preserve"> of </w:t>
      </w:r>
      <w:r w:rsidRPr="001A3D2B">
        <w:t>coverage, there was no significant difference among them in overall consistency</w:t>
      </w:r>
      <w:r w:rsidR="00427468">
        <w:t xml:space="preserve"> of </w:t>
      </w:r>
      <w:r w:rsidR="003A1917">
        <w:t xml:space="preserve">the </w:t>
      </w:r>
      <w:r w:rsidRPr="001A3D2B">
        <w:t>information. No articles gave information directly contrary to</w:t>
      </w:r>
      <w:r w:rsidR="003A1917">
        <w:t xml:space="preserve"> the </w:t>
      </w:r>
      <w:r w:rsidRPr="001A3D2B">
        <w:t>AHA recommendations. Limitations include</w:t>
      </w:r>
      <w:r w:rsidR="003A1917">
        <w:t xml:space="preserve"> the </w:t>
      </w:r>
      <w:r w:rsidRPr="001A3D2B">
        <w:lastRenderedPageBreak/>
        <w:t>subjective nature</w:t>
      </w:r>
      <w:r w:rsidR="00427468">
        <w:t xml:space="preserve"> of </w:t>
      </w:r>
      <w:r w:rsidR="003A1917">
        <w:t xml:space="preserve">the </w:t>
      </w:r>
      <w:r w:rsidRPr="001A3D2B">
        <w:t>content analysis</w:t>
      </w:r>
      <w:r w:rsidR="005853A9">
        <w:t xml:space="preserve"> and </w:t>
      </w:r>
      <w:r w:rsidR="003A1917">
        <w:t xml:space="preserve">the </w:t>
      </w:r>
      <w:r w:rsidRPr="001A3D2B">
        <w:t>limited number</w:t>
      </w:r>
      <w:r w:rsidR="00427468">
        <w:t xml:space="preserve"> of </w:t>
      </w:r>
      <w:r w:rsidRPr="001A3D2B">
        <w:t>publications</w:t>
      </w:r>
      <w:r w:rsidR="005853A9">
        <w:t xml:space="preserve"> and </w:t>
      </w:r>
      <w:r w:rsidRPr="001A3D2B">
        <w:t>time period for review. Conclusion. Women are receiving information related to diet, exercise, weight management,</w:t>
      </w:r>
      <w:r w:rsidR="005853A9">
        <w:t xml:space="preserve"> and </w:t>
      </w:r>
      <w:r w:rsidRPr="001A3D2B">
        <w:t>cigarette smoking in popular magazines. However,</w:t>
      </w:r>
      <w:r w:rsidR="003A1917">
        <w:t xml:space="preserve"> the </w:t>
      </w:r>
      <w:r w:rsidRPr="001A3D2B">
        <w:t>information is variable to</w:t>
      </w:r>
      <w:r w:rsidR="003A1917">
        <w:t xml:space="preserve"> the </w:t>
      </w:r>
      <w:r w:rsidRPr="001A3D2B">
        <w:t>extent that it is consistent with evidence-based prevention guidelines.</w:t>
      </w:r>
    </w:p>
    <w:p w:rsidR="003474F2" w:rsidRPr="001A3D2B" w:rsidRDefault="003474F2" w:rsidP="003474F2">
      <w:pPr>
        <w:pStyle w:val="a3"/>
      </w:pPr>
      <w:r w:rsidRPr="001A3D2B">
        <w:t>Keywords: Analysis, Cardiovascular, Evidence Based, Guidelines, Health, Information, Management, Nutrition, Physical Activity, Prevention, Publications, Qualitative, Questionnaire, Recommendations, Review, Smoking, Women</w:t>
      </w:r>
    </w:p>
    <w:p w:rsidR="00D96CA6" w:rsidRDefault="00D96CA6" w:rsidP="00D96CA6">
      <w:pPr>
        <w:pStyle w:val="a3"/>
        <w:rPr>
          <w:kern w:val="0"/>
        </w:rPr>
      </w:pPr>
      <w:r>
        <w:rPr>
          <w:rFonts w:hint="eastAsia"/>
          <w:kern w:val="0"/>
        </w:rPr>
        <w:t xml:space="preserve">? </w:t>
      </w:r>
      <w:r>
        <w:rPr>
          <w:kern w:val="0"/>
        </w:rPr>
        <w:t>Frost, S.S., Goins, R.T., Hunter, R.H., Hooker, S.P., Bryant, L.L., Kruger, J.</w:t>
      </w:r>
      <w:r w:rsidR="005853A9">
        <w:rPr>
          <w:kern w:val="0"/>
        </w:rPr>
        <w:t xml:space="preserve"> and </w:t>
      </w:r>
      <w:r>
        <w:rPr>
          <w:kern w:val="0"/>
        </w:rPr>
        <w:t>Pluto, D. (2010), Effects</w:t>
      </w:r>
      <w:r w:rsidR="00427468">
        <w:rPr>
          <w:kern w:val="0"/>
        </w:rPr>
        <w:t xml:space="preserve"> of </w:t>
      </w:r>
      <w:r w:rsidR="003A1917">
        <w:rPr>
          <w:kern w:val="0"/>
        </w:rPr>
        <w:t xml:space="preserve">the </w:t>
      </w:r>
      <w:r>
        <w:rPr>
          <w:kern w:val="0"/>
        </w:rPr>
        <w:t>built environment on physical activity</w:t>
      </w:r>
      <w:r w:rsidR="00427468">
        <w:rPr>
          <w:kern w:val="0"/>
        </w:rPr>
        <w:t xml:space="preserve"> of </w:t>
      </w:r>
      <w:r>
        <w:rPr>
          <w:kern w:val="0"/>
        </w:rPr>
        <w:t xml:space="preserve">adults living in rural settings. </w:t>
      </w:r>
      <w:r>
        <w:rPr>
          <w:i/>
          <w:iCs/>
          <w:kern w:val="0"/>
        </w:rPr>
        <w:t>American Journal</w:t>
      </w:r>
      <w:r w:rsidR="00427468">
        <w:rPr>
          <w:i/>
          <w:iCs/>
          <w:kern w:val="0"/>
        </w:rPr>
        <w:t xml:space="preserve"> of </w:t>
      </w:r>
      <w:r>
        <w:rPr>
          <w:i/>
          <w:iCs/>
          <w:kern w:val="0"/>
        </w:rPr>
        <w:t>Health Promotion</w:t>
      </w:r>
      <w:r>
        <w:rPr>
          <w:kern w:val="0"/>
        </w:rPr>
        <w:t xml:space="preserve">, </w:t>
      </w:r>
      <w:r>
        <w:rPr>
          <w:b/>
          <w:bCs/>
          <w:kern w:val="0"/>
        </w:rPr>
        <w:t>24</w:t>
      </w:r>
      <w:r>
        <w:rPr>
          <w:kern w:val="0"/>
        </w:rPr>
        <w:t xml:space="preserve"> (4), 267-283.</w:t>
      </w:r>
    </w:p>
    <w:p w:rsidR="00D76820" w:rsidRDefault="00D76820" w:rsidP="00D76820">
      <w:pPr>
        <w:pStyle w:val="a3"/>
        <w:rPr>
          <w:kern w:val="0"/>
        </w:rPr>
      </w:pPr>
      <w:r>
        <w:rPr>
          <w:rFonts w:hint="eastAsia"/>
          <w:kern w:val="0"/>
        </w:rPr>
        <w:t xml:space="preserve">Full Text: </w:t>
      </w:r>
      <w:hyperlink r:id="rId489" w:history="1">
        <w:r w:rsidRPr="00AA14C7">
          <w:rPr>
            <w:rStyle w:val="a5"/>
            <w:kern w:val="0"/>
          </w:rPr>
          <w:t>2010\Ame J Hea Pro24, 267.pdf</w:t>
        </w:r>
      </w:hyperlink>
    </w:p>
    <w:p w:rsidR="00D96CA6" w:rsidRDefault="00D96CA6" w:rsidP="00D96CA6">
      <w:pPr>
        <w:pStyle w:val="a3"/>
        <w:rPr>
          <w:kern w:val="0"/>
        </w:rPr>
      </w:pPr>
      <w:r>
        <w:rPr>
          <w:kern w:val="0"/>
        </w:rPr>
        <w:t>Abstract: Objective. To conduct a systematic review</w:t>
      </w:r>
      <w:r w:rsidR="00427468">
        <w:rPr>
          <w:kern w:val="0"/>
        </w:rPr>
        <w:t xml:space="preserve"> of </w:t>
      </w:r>
      <w:r w:rsidR="003A1917">
        <w:rPr>
          <w:kern w:val="0"/>
        </w:rPr>
        <w:t xml:space="preserve">the </w:t>
      </w:r>
      <w:r>
        <w:rPr>
          <w:kern w:val="0"/>
        </w:rPr>
        <w:t>literature to examine</w:t>
      </w:r>
      <w:r w:rsidR="003A1917">
        <w:rPr>
          <w:kern w:val="0"/>
        </w:rPr>
        <w:t xml:space="preserve"> the </w:t>
      </w:r>
      <w:r>
        <w:rPr>
          <w:kern w:val="0"/>
        </w:rPr>
        <w:t>influence</w:t>
      </w:r>
      <w:r w:rsidR="00427468">
        <w:rPr>
          <w:kern w:val="0"/>
        </w:rPr>
        <w:t xml:space="preserve"> of </w:t>
      </w:r>
      <w:r w:rsidR="003A1917">
        <w:rPr>
          <w:kern w:val="0"/>
        </w:rPr>
        <w:t xml:space="preserve">the </w:t>
      </w:r>
      <w:r>
        <w:rPr>
          <w:kern w:val="0"/>
        </w:rPr>
        <w:t>built environment (BE) on</w:t>
      </w:r>
      <w:r w:rsidR="003A1917">
        <w:rPr>
          <w:kern w:val="0"/>
        </w:rPr>
        <w:t xml:space="preserve"> the </w:t>
      </w:r>
      <w:r>
        <w:rPr>
          <w:kern w:val="0"/>
        </w:rPr>
        <w:t>physcial activity (PA)</w:t>
      </w:r>
      <w:r w:rsidR="00427468">
        <w:rPr>
          <w:kern w:val="0"/>
        </w:rPr>
        <w:t xml:space="preserve"> of </w:t>
      </w:r>
      <w:r>
        <w:rPr>
          <w:kern w:val="0"/>
        </w:rPr>
        <w:t>adults in rural settings. Data Source. Key word searches</w:t>
      </w:r>
      <w:r w:rsidR="00427468">
        <w:rPr>
          <w:kern w:val="0"/>
        </w:rPr>
        <w:t xml:space="preserve"> of </w:t>
      </w:r>
      <w:r>
        <w:rPr>
          <w:kern w:val="0"/>
        </w:rPr>
        <w:t xml:space="preserve">Academic Search Premier, </w:t>
      </w:r>
      <w:r w:rsidR="002C12F0">
        <w:rPr>
          <w:kern w:val="0"/>
        </w:rPr>
        <w:t>PUBMED</w:t>
      </w:r>
      <w:r>
        <w:rPr>
          <w:kern w:val="0"/>
        </w:rPr>
        <w:t xml:space="preserve">, CINAHL,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Sport Discus were conducted. Study Inclusion</w:t>
      </w:r>
      <w:r w:rsidR="005853A9">
        <w:rPr>
          <w:kern w:val="0"/>
        </w:rPr>
        <w:t xml:space="preserve"> and </w:t>
      </w:r>
      <w:r>
        <w:rPr>
          <w:kern w:val="0"/>
        </w:rPr>
        <w:t>Exclusion Criteria. Studies published prior to June 2008 were included if they assessed one or more elements</w:t>
      </w:r>
      <w:r w:rsidR="00427468">
        <w:rPr>
          <w:kern w:val="0"/>
        </w:rPr>
        <w:t xml:space="preserve"> of </w:t>
      </w:r>
      <w:r w:rsidR="003A1917">
        <w:rPr>
          <w:kern w:val="0"/>
        </w:rPr>
        <w:t xml:space="preserve">the </w:t>
      </w:r>
      <w:r>
        <w:rPr>
          <w:kern w:val="0"/>
        </w:rPr>
        <w:t>BE, examined relationships between</w:t>
      </w:r>
      <w:r w:rsidR="003A1917">
        <w:rPr>
          <w:kern w:val="0"/>
        </w:rPr>
        <w:t xml:space="preserve"> the </w:t>
      </w:r>
      <w:r>
        <w:rPr>
          <w:kern w:val="0"/>
        </w:rPr>
        <w:t>BE</w:t>
      </w:r>
      <w:r w:rsidR="005853A9">
        <w:rPr>
          <w:kern w:val="0"/>
        </w:rPr>
        <w:t xml:space="preserve"> and </w:t>
      </w:r>
      <w:r>
        <w:rPr>
          <w:kern w:val="0"/>
        </w:rPr>
        <w:t>PA,</w:t>
      </w:r>
      <w:r w:rsidR="005853A9">
        <w:rPr>
          <w:kern w:val="0"/>
        </w:rPr>
        <w:t xml:space="preserve"> and </w:t>
      </w:r>
      <w:r>
        <w:rPr>
          <w:kern w:val="0"/>
        </w:rPr>
        <w:t>focused on rural locales. Studies only reporting descriptive statistics</w:t>
      </w:r>
      <w:r w:rsidR="00427468">
        <w:rPr>
          <w:kern w:val="0"/>
        </w:rPr>
        <w:t xml:space="preserve"> of </w:t>
      </w:r>
      <w:r>
        <w:rPr>
          <w:kern w:val="0"/>
        </w:rPr>
        <w:t>assessing</w:t>
      </w:r>
      <w:r w:rsidR="003A1917">
        <w:rPr>
          <w:kern w:val="0"/>
        </w:rPr>
        <w:t xml:space="preserve"> the </w:t>
      </w:r>
      <w:r>
        <w:rPr>
          <w:kern w:val="0"/>
        </w:rPr>
        <w:t>reliability</w:t>
      </w:r>
      <w:r w:rsidR="00427468">
        <w:rPr>
          <w:kern w:val="0"/>
        </w:rPr>
        <w:t xml:space="preserve"> of </w:t>
      </w:r>
      <w:r>
        <w:rPr>
          <w:kern w:val="0"/>
        </w:rPr>
        <w:t>measures were excluded. Data Extraction. Objective(s), sample size, sampling technique, geographic location,</w:t>
      </w:r>
      <w:r w:rsidR="005853A9">
        <w:rPr>
          <w:kern w:val="0"/>
        </w:rPr>
        <w:t xml:space="preserve"> and </w:t>
      </w:r>
      <w:r>
        <w:rPr>
          <w:kern w:val="0"/>
        </w:rPr>
        <w:t>definition</w:t>
      </w:r>
      <w:r w:rsidR="00427468">
        <w:rPr>
          <w:kern w:val="0"/>
        </w:rPr>
        <w:t xml:space="preserve"> of </w:t>
      </w:r>
      <w:r>
        <w:rPr>
          <w:kern w:val="0"/>
        </w:rPr>
        <w:t>rural were extracted from each study, Methods</w:t>
      </w:r>
      <w:r w:rsidR="00427468">
        <w:rPr>
          <w:kern w:val="0"/>
        </w:rPr>
        <w:t xml:space="preserve"> of </w:t>
      </w:r>
      <w:r>
        <w:rPr>
          <w:kern w:val="0"/>
        </w:rPr>
        <w:t>assessment</w:t>
      </w:r>
      <w:r w:rsidR="005853A9">
        <w:rPr>
          <w:kern w:val="0"/>
        </w:rPr>
        <w:t xml:space="preserve"> and </w:t>
      </w:r>
      <w:r>
        <w:rPr>
          <w:kern w:val="0"/>
        </w:rPr>
        <w:t>outcomes were extracted from</w:t>
      </w:r>
      <w:r w:rsidR="003A1917">
        <w:rPr>
          <w:kern w:val="0"/>
        </w:rPr>
        <w:t xml:space="preserve"> the </w:t>
      </w:r>
      <w:r>
        <w:rPr>
          <w:kern w:val="0"/>
        </w:rPr>
        <w:t>quantitative literature,</w:t>
      </w:r>
      <w:r w:rsidR="005853A9">
        <w:rPr>
          <w:kern w:val="0"/>
        </w:rPr>
        <w:t xml:space="preserve"> and </w:t>
      </w:r>
      <w:r>
        <w:rPr>
          <w:kern w:val="0"/>
        </w:rPr>
        <w:t>overarching themes were identified from</w:t>
      </w:r>
      <w:r w:rsidR="003A1917">
        <w:rPr>
          <w:kern w:val="0"/>
        </w:rPr>
        <w:t xml:space="preserve"> the </w:t>
      </w:r>
      <w:r>
        <w:rPr>
          <w:kern w:val="0"/>
        </w:rPr>
        <w:t>qualitative literature. Data Synthesis. Key characteristics</w:t>
      </w:r>
      <w:r w:rsidR="005853A9">
        <w:rPr>
          <w:kern w:val="0"/>
        </w:rPr>
        <w:t xml:space="preserve"> and </w:t>
      </w:r>
      <w:r>
        <w:rPr>
          <w:kern w:val="0"/>
        </w:rPr>
        <w:t>findings from</w:t>
      </w:r>
      <w:r w:rsidR="003A1917">
        <w:rPr>
          <w:kern w:val="0"/>
        </w:rPr>
        <w:t xml:space="preserve"> the </w:t>
      </w:r>
      <w:r>
        <w:rPr>
          <w:kern w:val="0"/>
        </w:rPr>
        <w:t>data are summarized in Tables 1 through 3. Results. Twenty studies met inclusion</w:t>
      </w:r>
      <w:r w:rsidR="005853A9">
        <w:rPr>
          <w:kern w:val="0"/>
        </w:rPr>
        <w:t xml:space="preserve"> and </w:t>
      </w:r>
      <w:r>
        <w:rPr>
          <w:kern w:val="0"/>
        </w:rPr>
        <w:t>exclusion criteria. Positive associations were found among pleasant aesthetics, trails, safety/crime, parks,</w:t>
      </w:r>
      <w:r w:rsidR="005853A9">
        <w:rPr>
          <w:kern w:val="0"/>
        </w:rPr>
        <w:t xml:space="preserve"> and </w:t>
      </w:r>
      <w:r>
        <w:rPr>
          <w:kern w:val="0"/>
        </w:rPr>
        <w:t>walkable destinations. Conclusions. Research in this area is limited. Associations among elements</w:t>
      </w:r>
      <w:r w:rsidR="00427468">
        <w:rPr>
          <w:kern w:val="0"/>
        </w:rPr>
        <w:t xml:space="preserve"> of </w:t>
      </w:r>
      <w:r w:rsidR="003A1917">
        <w:rPr>
          <w:kern w:val="0"/>
        </w:rPr>
        <w:t xml:space="preserve">the </w:t>
      </w:r>
      <w:r>
        <w:rPr>
          <w:kern w:val="0"/>
        </w:rPr>
        <w:t>BE</w:t>
      </w:r>
      <w:r w:rsidR="005853A9">
        <w:rPr>
          <w:kern w:val="0"/>
        </w:rPr>
        <w:t xml:space="preserve"> and </w:t>
      </w:r>
      <w:r>
        <w:rPr>
          <w:kern w:val="0"/>
        </w:rPr>
        <w:t>PA among adults appear to differ between rural</w:t>
      </w:r>
      <w:r w:rsidR="005853A9">
        <w:rPr>
          <w:kern w:val="0"/>
        </w:rPr>
        <w:t xml:space="preserve"> and </w:t>
      </w:r>
      <w:r>
        <w:rPr>
          <w:kern w:val="0"/>
        </w:rPr>
        <w:t>urban areas. Considerations for future studies include identifying parameters used to define rural, longitudinal research,</w:t>
      </w:r>
      <w:r w:rsidR="005853A9">
        <w:rPr>
          <w:kern w:val="0"/>
        </w:rPr>
        <w:t xml:space="preserve"> and </w:t>
      </w:r>
      <w:r>
        <w:rPr>
          <w:kern w:val="0"/>
        </w:rPr>
        <w:t>more diverse geographic sampling. Development</w:t>
      </w:r>
      <w:r w:rsidR="005853A9">
        <w:rPr>
          <w:kern w:val="0"/>
        </w:rPr>
        <w:t xml:space="preserve"> and </w:t>
      </w:r>
      <w:r>
        <w:rPr>
          <w:kern w:val="0"/>
        </w:rPr>
        <w:t>refinement</w:t>
      </w:r>
      <w:r w:rsidR="00427468">
        <w:rPr>
          <w:kern w:val="0"/>
        </w:rPr>
        <w:t xml:space="preserve"> of </w:t>
      </w:r>
      <w:r>
        <w:rPr>
          <w:kern w:val="0"/>
        </w:rPr>
        <w:t>BE assessment tools specific to rural locations are also warranted. (Am J Health Promot. 2010:[4]:267-283.).</w:t>
      </w:r>
    </w:p>
    <w:p w:rsidR="00D96CA6" w:rsidRDefault="00D96CA6" w:rsidP="00D96CA6">
      <w:pPr>
        <w:pStyle w:val="a3"/>
        <w:rPr>
          <w:kern w:val="0"/>
        </w:rPr>
      </w:pPr>
      <w:r>
        <w:rPr>
          <w:kern w:val="0"/>
        </w:rPr>
        <w:t xml:space="preserve">Keywords: Adults, Aesthetics, African-American Women, Assessment, Belgian Adults, Built Environment, Environment, Ethnic-Groups, Extraction, Health, Health-Professionals, Literature, Methods, Neighborhood Environment, Northern California, Older-Adults, Outcomes, Physical Activity, Prevetion Research, Promoting Walking, </w:t>
      </w:r>
      <w:r w:rsidR="002C12F0">
        <w:rPr>
          <w:kern w:val="0"/>
        </w:rPr>
        <w:t>PUBMED</w:t>
      </w:r>
      <w:r>
        <w:rPr>
          <w:kern w:val="0"/>
        </w:rPr>
        <w:t>, Quantitative, Reliability, Research, Review, Rural, Science, South-Carolina, Statistics, Systematic, Systematic Review, United-States, Urban, Walking</w:t>
      </w:r>
    </w:p>
    <w:p w:rsidR="00D76820" w:rsidRDefault="00D76820" w:rsidP="00D76820">
      <w:pPr>
        <w:pStyle w:val="a3"/>
        <w:rPr>
          <w:kern w:val="0"/>
        </w:rPr>
      </w:pPr>
      <w:r>
        <w:rPr>
          <w:rFonts w:hint="eastAsia"/>
          <w:kern w:val="0"/>
        </w:rPr>
        <w:lastRenderedPageBreak/>
        <w:t xml:space="preserve">? </w:t>
      </w:r>
      <w:r>
        <w:rPr>
          <w:kern w:val="0"/>
        </w:rPr>
        <w:t xml:space="preserve">Laine, J., Kuvaja-Köllner, V., Pietilä, E., Koivuneva, M., Valtonen, H. and Kankaanpää, E. (2014), Cost-effectiveness of population-level physical activity interventions: A systematic review. </w:t>
      </w:r>
      <w:r>
        <w:rPr>
          <w:i/>
          <w:iCs/>
          <w:kern w:val="0"/>
        </w:rPr>
        <w:t>American Journal of Health Promotion</w:t>
      </w:r>
      <w:r>
        <w:rPr>
          <w:kern w:val="0"/>
        </w:rPr>
        <w:t xml:space="preserve">, </w:t>
      </w:r>
      <w:r>
        <w:rPr>
          <w:b/>
          <w:bCs/>
          <w:kern w:val="0"/>
        </w:rPr>
        <w:t>29</w:t>
      </w:r>
      <w:r>
        <w:rPr>
          <w:kern w:val="0"/>
        </w:rPr>
        <w:t xml:space="preserve"> (2), 71-80.</w:t>
      </w:r>
    </w:p>
    <w:p w:rsidR="00D76820" w:rsidRDefault="00D76820" w:rsidP="00D76820">
      <w:pPr>
        <w:pStyle w:val="a3"/>
        <w:rPr>
          <w:kern w:val="0"/>
        </w:rPr>
      </w:pPr>
      <w:r>
        <w:rPr>
          <w:rFonts w:hint="eastAsia"/>
          <w:kern w:val="0"/>
        </w:rPr>
        <w:t xml:space="preserve">Full Text: </w:t>
      </w:r>
      <w:hyperlink r:id="rId490" w:history="1">
        <w:r w:rsidRPr="00AA14C7">
          <w:rPr>
            <w:rStyle w:val="a5"/>
            <w:kern w:val="0"/>
          </w:rPr>
          <w:t>2014\Ame J Hea Pro29, 71.pdf</w:t>
        </w:r>
      </w:hyperlink>
    </w:p>
    <w:p w:rsidR="00D76820" w:rsidRDefault="00D76820" w:rsidP="00D76820">
      <w:pPr>
        <w:pStyle w:val="a3"/>
        <w:rPr>
          <w:kern w:val="0"/>
        </w:rPr>
      </w:pPr>
      <w:r>
        <w:rPr>
          <w:kern w:val="0"/>
        </w:rPr>
        <w:t>Abstract: Objective. This systematic review synthesizes the evidence on the cost-effectiveness of population-level interventions to promote physical activity. Data Source. A systematic literature search was conducted between May and August 2013 in four databases: PubMed, Scopus, Web of Science, and SPORTDiscus. Study Inclusion and Exclusion Criteria. Only primary and preventive interventions aimed at promoting and maintaining physical activity in wide population groups were included. An economic evaluation of both effectiveness and cost was required. Secondary interventions and interventions targeting selected population groups or focusing on single individuals were excluded. Data Extraction. Interventions were searched for in six different categories: (1) environment, (2) built environment, (3) sports clubs and enhanced access, (4) schools, (5) mass media and community-based, and (6) workplace. Data Synthesis. The systematic search yielded 2058 articles, of which 10 articles met the selection criteria. The costs of interventions were converted to costs per person per day in 2012 U.S. dollars. The physical activity results were calculated as metabolic equivalent of task hours (MET-hours, or MET-h) gained per person per day. Cost-effectiveness ratios were presented as dollars per MET-hours gained. The intervention scale and the budget impact of interventions were taken into account. Results. The most efficient interventions to increase physical activity were community rail-trails ($.006/MET-h), pedometers ($.014/MET-h), and school health education programs ($.056/MET-h). Conclusion. Improving opportunities for walking and biking seems to increase physical activity cost-effectively. However, it is necessary to be careful in generalizing the results because of the small number of studies. This review provides important information for decision makers.</w:t>
      </w:r>
    </w:p>
    <w:p w:rsidR="00D76820" w:rsidRDefault="00D76820" w:rsidP="00D76820">
      <w:pPr>
        <w:pStyle w:val="a3"/>
        <w:rPr>
          <w:kern w:val="0"/>
        </w:rPr>
      </w:pPr>
      <w:r>
        <w:rPr>
          <w:kern w:val="0"/>
        </w:rPr>
        <w:t xml:space="preserve">Keywords: Access, Activity, Articles, Budget, Built Environment, Community, Community Based, Cost, Cost Effectiveness, Cost-Effectiveness, Costs, Criteria, Data, Databases, Decision, Economic, Economic Evaluation, Economic-Evaluation, Economics, Education, Effectiveness, Environment, Evaluation, Evidence, Exercise, Exercise, Extraction, Groups, Health, Health Education, Impact, Information, Intervention, Interventions, Literature, Literature Search, Mass Media, Media, Metabolic Equivalent, Motor Activity, Obesity, Person, Physical, Physical Activity, Population, Primary, Program Evaluation, Pubmed, Quality, Results, Review, Scale, School Health, School Health Education, School-Children, Science, Scopus, Selection, Selection Criteria, Small, Steps Ghent, Synthesis, Systematic, Systematic Literature Search, Systematic Review, Targeting, Trial, Walking, Web, Web Of </w:t>
      </w:r>
      <w:r>
        <w:rPr>
          <w:kern w:val="0"/>
        </w:rPr>
        <w:lastRenderedPageBreak/>
        <w:t>Science</w:t>
      </w:r>
    </w:p>
    <w:p w:rsidR="009F69D8" w:rsidRPr="001A3D2B" w:rsidRDefault="009F69D8" w:rsidP="009F69D8">
      <w:pPr>
        <w:pStyle w:val="1"/>
      </w:pPr>
      <w:r w:rsidRPr="001A3D2B">
        <w:br w:type="page"/>
      </w:r>
      <w:bookmarkStart w:id="271" w:name="_Toc420814394"/>
      <w:r w:rsidRPr="001A3D2B">
        <w:lastRenderedPageBreak/>
        <w:t xml:space="preserve">Title: </w:t>
      </w:r>
      <w:r w:rsidRPr="009F69D8">
        <w:rPr>
          <w:iCs w:val="0"/>
        </w:rPr>
        <w:t>American Journal</w:t>
      </w:r>
      <w:r w:rsidR="00427468">
        <w:rPr>
          <w:iCs w:val="0"/>
        </w:rPr>
        <w:t xml:space="preserve"> of </w:t>
      </w:r>
      <w:r w:rsidRPr="009F69D8">
        <w:rPr>
          <w:iCs w:val="0"/>
        </w:rPr>
        <w:t>Health-System Pharmacy</w:t>
      </w:r>
      <w:bookmarkEnd w:id="271"/>
    </w:p>
    <w:p w:rsidR="007C7ABD" w:rsidRPr="001A3D2B" w:rsidRDefault="007C7ABD" w:rsidP="007C7ABD">
      <w:pPr>
        <w:pStyle w:val="12"/>
      </w:pPr>
      <w:r w:rsidRPr="001A3D2B">
        <w:t xml:space="preserve">Full Journal Title: </w:t>
      </w:r>
      <w:r w:rsidRPr="009F69D8">
        <w:rPr>
          <w:iCs/>
          <w:kern w:val="0"/>
        </w:rPr>
        <w:t>American Journal</w:t>
      </w:r>
      <w:r w:rsidR="00427468">
        <w:rPr>
          <w:iCs/>
          <w:kern w:val="0"/>
        </w:rPr>
        <w:t xml:space="preserve"> of </w:t>
      </w:r>
      <w:r w:rsidRPr="009F69D8">
        <w:rPr>
          <w:iCs/>
          <w:kern w:val="0"/>
        </w:rPr>
        <w:t>Health-System Pharmacy</w:t>
      </w:r>
    </w:p>
    <w:p w:rsidR="007C7ABD" w:rsidRDefault="007C7ABD" w:rsidP="007C7ABD">
      <w:pPr>
        <w:pStyle w:val="12"/>
      </w:pPr>
      <w:r>
        <w:t>ISO Abbrev. Title: Am. J. Health-Syst. Pharm.</w:t>
      </w:r>
    </w:p>
    <w:p w:rsidR="007C7ABD" w:rsidRDefault="007C7ABD" w:rsidP="007C7ABD">
      <w:pPr>
        <w:pStyle w:val="12"/>
      </w:pPr>
      <w:r>
        <w:t>JCR Abbrev. Title: Am J Health-Syst Ph</w:t>
      </w:r>
    </w:p>
    <w:p w:rsidR="007C7ABD" w:rsidRDefault="007C7ABD" w:rsidP="007C7ABD">
      <w:pPr>
        <w:pStyle w:val="12"/>
      </w:pPr>
      <w:r>
        <w:t>ISSN: 1079-2082</w:t>
      </w:r>
    </w:p>
    <w:p w:rsidR="007C7ABD" w:rsidRDefault="007C7ABD" w:rsidP="007C7ABD">
      <w:pPr>
        <w:pStyle w:val="12"/>
      </w:pPr>
      <w:r>
        <w:t>Issues/Year: 24</w:t>
      </w:r>
    </w:p>
    <w:p w:rsidR="007C7ABD" w:rsidRDefault="007C7ABD" w:rsidP="007C7ABD">
      <w:pPr>
        <w:pStyle w:val="12"/>
      </w:pPr>
      <w:r>
        <w:t>Language: English</w:t>
      </w:r>
    </w:p>
    <w:p w:rsidR="007C7ABD" w:rsidRDefault="007C7ABD" w:rsidP="007C7ABD">
      <w:pPr>
        <w:pStyle w:val="12"/>
      </w:pPr>
      <w:r>
        <w:t>Journal Country/Territory: United States</w:t>
      </w:r>
    </w:p>
    <w:p w:rsidR="007C7ABD" w:rsidRDefault="007C7ABD" w:rsidP="007C7ABD">
      <w:pPr>
        <w:pStyle w:val="12"/>
      </w:pPr>
      <w:r>
        <w:t>Publisher: Amer Soc Health-System Pharmacists</w:t>
      </w:r>
    </w:p>
    <w:p w:rsidR="007C7ABD" w:rsidRDefault="007C7ABD" w:rsidP="007C7ABD">
      <w:pPr>
        <w:pStyle w:val="12"/>
      </w:pPr>
      <w:r>
        <w:t>Publisher Address: 7272 Wisconsin Ave, Bethesda, MD 20814</w:t>
      </w:r>
    </w:p>
    <w:p w:rsidR="007C7ABD" w:rsidRDefault="007C7ABD" w:rsidP="007C7ABD">
      <w:pPr>
        <w:pStyle w:val="12"/>
      </w:pPr>
      <w:r>
        <w:t>Subject Categories:</w:t>
      </w:r>
    </w:p>
    <w:p w:rsidR="007C7ABD" w:rsidRPr="001A3D2B" w:rsidRDefault="007C7ABD" w:rsidP="007C7ABD">
      <w:pPr>
        <w:pStyle w:val="12"/>
      </w:pPr>
      <w:r>
        <w:t>Pharmacology &amp; Pharmacy</w:t>
      </w:r>
      <w:r w:rsidRPr="001A3D2B">
        <w:t xml:space="preserve">: Impact Factor </w:t>
      </w:r>
      <w:r>
        <w:rPr>
          <w:rFonts w:hint="eastAsia"/>
        </w:rPr>
        <w:t>2.219, 130/252 (2010)</w:t>
      </w:r>
    </w:p>
    <w:p w:rsidR="009F69D8" w:rsidRDefault="009F69D8" w:rsidP="009F69D8">
      <w:pPr>
        <w:pStyle w:val="a3"/>
        <w:rPr>
          <w:kern w:val="0"/>
        </w:rPr>
      </w:pPr>
      <w:r>
        <w:rPr>
          <w:rFonts w:hint="eastAsia"/>
          <w:kern w:val="0"/>
        </w:rPr>
        <w:t xml:space="preserve">? </w:t>
      </w:r>
      <w:r>
        <w:rPr>
          <w:kern w:val="0"/>
        </w:rPr>
        <w:t>Baker, W.L.</w:t>
      </w:r>
      <w:r w:rsidR="005853A9">
        <w:rPr>
          <w:kern w:val="0"/>
        </w:rPr>
        <w:t xml:space="preserve"> and </w:t>
      </w:r>
      <w:r>
        <w:rPr>
          <w:kern w:val="0"/>
        </w:rPr>
        <w:t>Couch, K.A. (2007), Azithromycin for</w:t>
      </w:r>
      <w:r w:rsidR="003A1917">
        <w:rPr>
          <w:kern w:val="0"/>
        </w:rPr>
        <w:t xml:space="preserve"> the </w:t>
      </w:r>
      <w:r>
        <w:rPr>
          <w:kern w:val="0"/>
        </w:rPr>
        <w:t>secondary prevention</w:t>
      </w:r>
      <w:r w:rsidR="00427468">
        <w:rPr>
          <w:kern w:val="0"/>
        </w:rPr>
        <w:t xml:space="preserve"> of </w:t>
      </w:r>
      <w:r>
        <w:rPr>
          <w:kern w:val="0"/>
        </w:rPr>
        <w:t xml:space="preserve">coronary artery disease: A meta-analysis. </w:t>
      </w:r>
      <w:r w:rsidRPr="009F69D8">
        <w:rPr>
          <w:i/>
          <w:iCs/>
          <w:kern w:val="0"/>
        </w:rPr>
        <w:t>American Journal</w:t>
      </w:r>
      <w:r w:rsidR="00427468">
        <w:rPr>
          <w:i/>
          <w:iCs/>
          <w:kern w:val="0"/>
        </w:rPr>
        <w:t xml:space="preserve"> of </w:t>
      </w:r>
      <w:r w:rsidRPr="009F69D8">
        <w:rPr>
          <w:i/>
          <w:iCs/>
          <w:kern w:val="0"/>
        </w:rPr>
        <w:t>Health-System Pharmacy</w:t>
      </w:r>
      <w:r>
        <w:rPr>
          <w:kern w:val="0"/>
        </w:rPr>
        <w:t xml:space="preserve">, </w:t>
      </w:r>
      <w:r>
        <w:rPr>
          <w:b/>
          <w:bCs/>
          <w:kern w:val="0"/>
        </w:rPr>
        <w:t>64</w:t>
      </w:r>
      <w:r>
        <w:rPr>
          <w:kern w:val="0"/>
        </w:rPr>
        <w:t xml:space="preserve"> (8), 830-836.</w:t>
      </w:r>
    </w:p>
    <w:p w:rsidR="009F69D8" w:rsidRDefault="009F69D8" w:rsidP="009F69D8">
      <w:pPr>
        <w:pStyle w:val="a3"/>
        <w:rPr>
          <w:kern w:val="0"/>
        </w:rPr>
      </w:pPr>
      <w:r>
        <w:rPr>
          <w:rFonts w:hint="eastAsia"/>
          <w:kern w:val="0"/>
        </w:rPr>
        <w:t xml:space="preserve">Full Text: </w:t>
      </w:r>
      <w:hyperlink r:id="rId491" w:history="1">
        <w:r w:rsidR="008E3D4B" w:rsidRPr="008E3D4B">
          <w:rPr>
            <w:rStyle w:val="a5"/>
            <w:kern w:val="0"/>
          </w:rPr>
          <w:t>2007\Ame J Hea-Sys Pha64, 830.pdf</w:t>
        </w:r>
      </w:hyperlink>
    </w:p>
    <w:p w:rsidR="009F69D8" w:rsidRDefault="009F69D8" w:rsidP="009F69D8">
      <w:pPr>
        <w:pStyle w:val="a3"/>
        <w:rPr>
          <w:kern w:val="0"/>
        </w:rPr>
      </w:pPr>
      <w:r>
        <w:rPr>
          <w:kern w:val="0"/>
        </w:rPr>
        <w:t>Abstract: Purpose. A meta-analysis</w:t>
      </w:r>
      <w:r w:rsidR="00427468">
        <w:rPr>
          <w:kern w:val="0"/>
        </w:rPr>
        <w:t xml:space="preserve"> of </w:t>
      </w:r>
      <w:r>
        <w:rPr>
          <w:kern w:val="0"/>
        </w:rPr>
        <w:t>randomized, controlled trials that evaluated</w:t>
      </w:r>
      <w:r w:rsidR="003A1917">
        <w:rPr>
          <w:kern w:val="0"/>
        </w:rPr>
        <w:t xml:space="preserve"> the </w:t>
      </w:r>
      <w:r>
        <w:rPr>
          <w:kern w:val="0"/>
        </w:rPr>
        <w:t>effect</w:t>
      </w:r>
      <w:r w:rsidR="00427468">
        <w:rPr>
          <w:kern w:val="0"/>
        </w:rPr>
        <w:t xml:space="preserve"> of </w:t>
      </w:r>
      <w:r w:rsidR="003A1917">
        <w:rPr>
          <w:kern w:val="0"/>
        </w:rPr>
        <w:t xml:space="preserve">the </w:t>
      </w:r>
      <w:r>
        <w:rPr>
          <w:kern w:val="0"/>
        </w:rPr>
        <w:t>macrolide antibiotic, azithromycin, on clinical outcomes in patients with coronary artery disease (CAD) was conducted. Methods. A systematic literature search</w:t>
      </w:r>
      <w:r w:rsidR="00427468">
        <w:rPr>
          <w:kern w:val="0"/>
        </w:rPr>
        <w:t xml:space="preserve"> of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Database</w:t>
      </w:r>
      <w:r w:rsidR="00427468">
        <w:rPr>
          <w:kern w:val="0"/>
        </w:rPr>
        <w:t xml:space="preserve"> of </w:t>
      </w:r>
      <w:r>
        <w:rPr>
          <w:kern w:val="0"/>
        </w:rPr>
        <w:t>Systematic Reviews was conducted using specific search terms. Randomized, controlled trials comparing azithromycin or placebo in secondary CAD patients with adequately reported data on mortality</w:t>
      </w:r>
      <w:r w:rsidR="005853A9">
        <w:rPr>
          <w:kern w:val="0"/>
        </w:rPr>
        <w:t xml:space="preserve"> and </w:t>
      </w:r>
      <w:r>
        <w:rPr>
          <w:kern w:val="0"/>
        </w:rPr>
        <w:t>clinical cardiac endpoints were included. A random-effects model was used. Results. Six studies (n = 13,77:3) met</w:t>
      </w:r>
      <w:r w:rsidR="003A1917">
        <w:rPr>
          <w:kern w:val="0"/>
        </w:rPr>
        <w:t xml:space="preserve"> the </w:t>
      </w:r>
      <w:r>
        <w:rPr>
          <w:kern w:val="0"/>
        </w:rPr>
        <w:t>inclusion criteria</w:t>
      </w:r>
      <w:r w:rsidR="00A37C1D">
        <w:rPr>
          <w:kern w:val="0"/>
        </w:rPr>
        <w:t>. The</w:t>
      </w:r>
      <w:r w:rsidR="003A1917">
        <w:rPr>
          <w:kern w:val="0"/>
        </w:rPr>
        <w:t xml:space="preserve"> </w:t>
      </w:r>
      <w:r>
        <w:rPr>
          <w:kern w:val="0"/>
        </w:rPr>
        <w:t>trials varied in their design. On meta-analysis, azithromycin resulted in a nonsignificant reduction in mortality versus placebo (odds ratio [OR], 0.91; 95% confidence interval [CI], 0.77-1.09; p = 0.31). Four trials reported</w:t>
      </w:r>
      <w:r w:rsidR="003A1917">
        <w:rPr>
          <w:kern w:val="0"/>
        </w:rPr>
        <w:t xml:space="preserve"> the </w:t>
      </w:r>
      <w:r>
        <w:rPr>
          <w:kern w:val="0"/>
        </w:rPr>
        <w:t>rate</w:t>
      </w:r>
      <w:r w:rsidR="00427468">
        <w:rPr>
          <w:kern w:val="0"/>
        </w:rPr>
        <w:t xml:space="preserve"> of </w:t>
      </w:r>
      <w:r>
        <w:rPr>
          <w:kern w:val="0"/>
        </w:rPr>
        <w:t>nonfatal myocardial infarction (MI). Azithromycin did not have an effect on</w:t>
      </w:r>
      <w:r w:rsidR="003A1917">
        <w:rPr>
          <w:kern w:val="0"/>
        </w:rPr>
        <w:t xml:space="preserve"> the </w:t>
      </w:r>
      <w:r>
        <w:rPr>
          <w:kern w:val="0"/>
        </w:rPr>
        <w:t>rate</w:t>
      </w:r>
      <w:r w:rsidR="00427468">
        <w:rPr>
          <w:kern w:val="0"/>
        </w:rPr>
        <w:t xml:space="preserve"> of </w:t>
      </w:r>
      <w:r>
        <w:rPr>
          <w:kern w:val="0"/>
        </w:rPr>
        <w:t>nonfatal MI versus placebo (OR, 0.95; 95% Cl, 0.80-1.13; p = 0.57). Five trials reported rates</w:t>
      </w:r>
      <w:r w:rsidR="00427468">
        <w:rPr>
          <w:kern w:val="0"/>
        </w:rPr>
        <w:t xml:space="preserve"> of </w:t>
      </w:r>
      <w:r>
        <w:rPr>
          <w:kern w:val="0"/>
        </w:rPr>
        <w:t>hospitalization in which no significant difference was seen with azithromycin versus placebo (OR, 0.97; 95% Cl, 0.80-1.17; p = 0.76). Six trials were used to evaluate</w:t>
      </w:r>
      <w:r w:rsidR="003A1917">
        <w:rPr>
          <w:kern w:val="0"/>
        </w:rPr>
        <w:t xml:space="preserve"> the </w:t>
      </w:r>
      <w:r>
        <w:rPr>
          <w:kern w:val="0"/>
        </w:rPr>
        <w:t>composite cardiovascular endpoint. Again, no significant benefit was seen with azithromycin versus placebo (OR, 0.93; 95% Cl, 0.84-1.03; p = 0:218). Conclusion. Meta-analysis showed that azithromycin does not appear to reduce</w:t>
      </w:r>
      <w:r w:rsidR="003A1917">
        <w:rPr>
          <w:kern w:val="0"/>
        </w:rPr>
        <w:t xml:space="preserve"> the </w:t>
      </w:r>
      <w:r>
        <w:rPr>
          <w:kern w:val="0"/>
        </w:rPr>
        <w:t>frequency</w:t>
      </w:r>
      <w:r w:rsidR="00427468">
        <w:rPr>
          <w:kern w:val="0"/>
        </w:rPr>
        <w:t xml:space="preserve"> of </w:t>
      </w:r>
      <w:r>
        <w:rPr>
          <w:kern w:val="0"/>
        </w:rPr>
        <w:t>recurrent cardiac events in patients with CAD. Results from ongoing trials may clarify</w:t>
      </w:r>
      <w:r w:rsidR="003A1917">
        <w:rPr>
          <w:kern w:val="0"/>
        </w:rPr>
        <w:t xml:space="preserve"> the </w:t>
      </w:r>
      <w:r>
        <w:rPr>
          <w:kern w:val="0"/>
        </w:rPr>
        <w:t>role</w:t>
      </w:r>
      <w:r w:rsidR="00427468">
        <w:rPr>
          <w:kern w:val="0"/>
        </w:rPr>
        <w:t xml:space="preserve"> of </w:t>
      </w:r>
      <w:r>
        <w:rPr>
          <w:kern w:val="0"/>
        </w:rPr>
        <w:t>azithromycin in</w:t>
      </w:r>
      <w:r w:rsidR="003A1917">
        <w:rPr>
          <w:kern w:val="0"/>
        </w:rPr>
        <w:t xml:space="preserve"> the </w:t>
      </w:r>
      <w:r>
        <w:rPr>
          <w:kern w:val="0"/>
        </w:rPr>
        <w:t>secondary prevention</w:t>
      </w:r>
      <w:r w:rsidR="00427468">
        <w:rPr>
          <w:kern w:val="0"/>
        </w:rPr>
        <w:t xml:space="preserve"> of </w:t>
      </w:r>
      <w:r>
        <w:rPr>
          <w:kern w:val="0"/>
        </w:rPr>
        <w:t>coronary events.</w:t>
      </w:r>
    </w:p>
    <w:p w:rsidR="009F69D8" w:rsidRDefault="009F69D8" w:rsidP="009F69D8">
      <w:pPr>
        <w:pStyle w:val="a3"/>
        <w:rPr>
          <w:kern w:val="0"/>
        </w:rPr>
      </w:pPr>
      <w:r>
        <w:rPr>
          <w:kern w:val="0"/>
        </w:rPr>
        <w:lastRenderedPageBreak/>
        <w:t xml:space="preserve">Keywords: Antibiotic, Antibiotic-Therapy, Atherosclerosis, Azithromycin, Cardiovascular, Chlamydia-Pneumoniae, Clinical-Trials, Cochrane, Coronary Disease, Disease, Embase, Endpoints, Events, Frequency, Heart-Disease, Hospitalization, Literature, Macrolides, </w:t>
      </w:r>
      <w:r w:rsidR="00D5664A">
        <w:rPr>
          <w:kern w:val="0"/>
        </w:rPr>
        <w:t>MEDLINE</w:t>
      </w:r>
      <w:r>
        <w:rPr>
          <w:kern w:val="0"/>
        </w:rPr>
        <w:t xml:space="preserve">, Meta Analysis, Meta-Analysis, Methods, Model, Mortality, Myocardial Infarction, Myocardial-Infarction, Outcomes, Prevention, Randomized Controlled-Trials, Ratio, Science, Secondary Prevention, Seropositivity, Susceptibilities, Systematic, </w:t>
      </w:r>
      <w:r w:rsidR="00D5664A">
        <w:rPr>
          <w:kern w:val="0"/>
        </w:rPr>
        <w:t>Web</w:t>
      </w:r>
      <w:r w:rsidR="00427468">
        <w:rPr>
          <w:kern w:val="0"/>
        </w:rPr>
        <w:t xml:space="preserve"> of </w:t>
      </w:r>
      <w:r w:rsidR="00D5664A">
        <w:rPr>
          <w:kern w:val="0"/>
        </w:rPr>
        <w:t>Science</w:t>
      </w:r>
    </w:p>
    <w:p w:rsidR="008B568E" w:rsidRDefault="008B568E" w:rsidP="008B568E">
      <w:pPr>
        <w:pStyle w:val="a3"/>
        <w:rPr>
          <w:kern w:val="0"/>
        </w:rPr>
      </w:pPr>
      <w:r>
        <w:rPr>
          <w:rFonts w:hint="eastAsia"/>
          <w:kern w:val="0"/>
        </w:rPr>
        <w:t xml:space="preserve">? </w:t>
      </w:r>
      <w:r>
        <w:rPr>
          <w:kern w:val="0"/>
        </w:rPr>
        <w:t>Kuper, K.M., Hirsch, E.B.</w:t>
      </w:r>
      <w:r w:rsidR="005853A9">
        <w:rPr>
          <w:kern w:val="0"/>
        </w:rPr>
        <w:t xml:space="preserve"> and </w:t>
      </w:r>
      <w:r>
        <w:rPr>
          <w:kern w:val="0"/>
        </w:rPr>
        <w:t xml:space="preserve">Tam, V.H. (2009), Significant publications on infectious diseases pharmacotherapy in 2008. </w:t>
      </w:r>
      <w:r>
        <w:rPr>
          <w:i/>
          <w:iCs/>
          <w:kern w:val="0"/>
        </w:rPr>
        <w:t>American Journal</w:t>
      </w:r>
      <w:r w:rsidR="00427468">
        <w:rPr>
          <w:i/>
          <w:iCs/>
          <w:kern w:val="0"/>
        </w:rPr>
        <w:t xml:space="preserve"> of </w:t>
      </w:r>
      <w:r>
        <w:rPr>
          <w:i/>
          <w:iCs/>
          <w:kern w:val="0"/>
        </w:rPr>
        <w:t>Health-System Pharmacy</w:t>
      </w:r>
      <w:r>
        <w:rPr>
          <w:kern w:val="0"/>
        </w:rPr>
        <w:t xml:space="preserve">, </w:t>
      </w:r>
      <w:r>
        <w:rPr>
          <w:b/>
          <w:bCs/>
          <w:kern w:val="0"/>
        </w:rPr>
        <w:t>66</w:t>
      </w:r>
      <w:r>
        <w:rPr>
          <w:kern w:val="0"/>
        </w:rPr>
        <w:t xml:space="preserve"> (19), 1726-1734.</w:t>
      </w:r>
    </w:p>
    <w:p w:rsidR="008B568E" w:rsidRDefault="008B568E" w:rsidP="008B568E">
      <w:pPr>
        <w:pStyle w:val="a3"/>
        <w:rPr>
          <w:kern w:val="0"/>
        </w:rPr>
      </w:pPr>
      <w:r>
        <w:rPr>
          <w:rFonts w:hint="eastAsia"/>
          <w:kern w:val="0"/>
        </w:rPr>
        <w:t xml:space="preserve">Full Text: </w:t>
      </w:r>
      <w:hyperlink r:id="rId492" w:history="1">
        <w:r w:rsidRPr="00110873">
          <w:rPr>
            <w:rStyle w:val="a5"/>
            <w:kern w:val="0"/>
          </w:rPr>
          <w:t>2009\Ame J Hea-Sys Pha66, 1726.pdf</w:t>
        </w:r>
      </w:hyperlink>
    </w:p>
    <w:p w:rsidR="008B568E" w:rsidRDefault="008B568E" w:rsidP="008B568E">
      <w:pPr>
        <w:pStyle w:val="a3"/>
        <w:rPr>
          <w:kern w:val="0"/>
        </w:rPr>
      </w:pPr>
      <w:r>
        <w:rPr>
          <w:kern w:val="0"/>
        </w:rPr>
        <w:t>Abstract: Purpose. Significant publications on infectious diseases (ID) pharmacotherapy in 2008 were compiled</w:t>
      </w:r>
      <w:r w:rsidR="005853A9">
        <w:rPr>
          <w:kern w:val="0"/>
        </w:rPr>
        <w:t xml:space="preserve"> and </w:t>
      </w:r>
      <w:r>
        <w:rPr>
          <w:kern w:val="0"/>
        </w:rPr>
        <w:t>summarized. Summary. On December 31, 2008,</w:t>
      </w:r>
      <w:r w:rsidR="003A1917">
        <w:rPr>
          <w:kern w:val="0"/>
        </w:rPr>
        <w:t xml:space="preserve"> the </w:t>
      </w:r>
      <w:r>
        <w:rPr>
          <w:kern w:val="0"/>
        </w:rPr>
        <w:t>Houston Infectious Diseases Network compiled a listing</w:t>
      </w:r>
      <w:r w:rsidR="00427468">
        <w:rPr>
          <w:kern w:val="0"/>
        </w:rPr>
        <w:t xml:space="preserve"> of </w:t>
      </w:r>
      <w:r>
        <w:rPr>
          <w:kern w:val="0"/>
        </w:rPr>
        <w:t>published articles identified as having a significant impact on ID pharmacotherapy</w:t>
      </w:r>
      <w:r w:rsidR="00A37C1D">
        <w:rPr>
          <w:kern w:val="0"/>
        </w:rPr>
        <w:t>. The</w:t>
      </w:r>
      <w:r w:rsidR="003A1917">
        <w:rPr>
          <w:kern w:val="0"/>
        </w:rPr>
        <w:t xml:space="preserve"> </w:t>
      </w:r>
      <w:r>
        <w:rPr>
          <w:kern w:val="0"/>
        </w:rPr>
        <w:t>publication period was limited to January 1 through December 31, 2008. Articles were selected based on prior presentations at ID</w:t>
      </w:r>
      <w:r w:rsidR="005853A9">
        <w:rPr>
          <w:kern w:val="0"/>
        </w:rPr>
        <w:t xml:space="preserve"> and </w:t>
      </w:r>
      <w:r>
        <w:rPr>
          <w:kern w:val="0"/>
        </w:rPr>
        <w:t>pharmacy meetings or were listed as major articles in prominent ID journals. Priority was given to articles that were published in peer-reviewed journals</w:t>
      </w:r>
      <w:r w:rsidR="005853A9">
        <w:rPr>
          <w:kern w:val="0"/>
        </w:rPr>
        <w:t xml:space="preserve"> and </w:t>
      </w:r>
      <w:r>
        <w:rPr>
          <w:kern w:val="0"/>
        </w:rPr>
        <w:t>to treatment guidelines endorsed by major medical</w:t>
      </w:r>
      <w:r w:rsidR="005853A9">
        <w:rPr>
          <w:kern w:val="0"/>
        </w:rPr>
        <w:t xml:space="preserve"> and </w:t>
      </w:r>
      <w:r>
        <w:rPr>
          <w:kern w:val="0"/>
        </w:rPr>
        <w:t>pharmacy organizations. A bibliography</w:t>
      </w:r>
      <w:r w:rsidR="00427468">
        <w:rPr>
          <w:kern w:val="0"/>
        </w:rPr>
        <w:t xml:space="preserve"> of </w:t>
      </w:r>
      <w:r>
        <w:rPr>
          <w:kern w:val="0"/>
        </w:rPr>
        <w:t>56 articles (40 not related to human immunodeficiency virus [HIV] infection</w:t>
      </w:r>
      <w:r w:rsidR="005853A9">
        <w:rPr>
          <w:kern w:val="0"/>
        </w:rPr>
        <w:t xml:space="preserve"> and </w:t>
      </w:r>
      <w:r>
        <w:rPr>
          <w:kern w:val="0"/>
        </w:rPr>
        <w:t>16 related to HIV infection) was distributed to members</w:t>
      </w:r>
      <w:r w:rsidR="00427468">
        <w:rPr>
          <w:kern w:val="0"/>
        </w:rPr>
        <w:t xml:space="preserve"> of </w:t>
      </w:r>
      <w:r w:rsidR="003A1917">
        <w:rPr>
          <w:kern w:val="0"/>
        </w:rPr>
        <w:t xml:space="preserve">the </w:t>
      </w:r>
      <w:r>
        <w:rPr>
          <w:kern w:val="0"/>
        </w:rPr>
        <w:t>Society</w:t>
      </w:r>
      <w:r w:rsidR="00427468">
        <w:rPr>
          <w:kern w:val="0"/>
        </w:rPr>
        <w:t xml:space="preserve"> of </w:t>
      </w:r>
      <w:r>
        <w:rPr>
          <w:kern w:val="0"/>
        </w:rPr>
        <w:t>Infectious Diseases Pharmacists (SIDP) via an Internet survey in early January 2009. Members were asked to select 10 publications not related to HIV infection</w:t>
      </w:r>
      <w:r w:rsidR="005853A9">
        <w:rPr>
          <w:kern w:val="0"/>
        </w:rPr>
        <w:t xml:space="preserve"> and </w:t>
      </w:r>
      <w:r>
        <w:rPr>
          <w:kern w:val="0"/>
        </w:rPr>
        <w:t>1 HIV-related publication that they believed made</w:t>
      </w:r>
      <w:r w:rsidR="003A1917">
        <w:rPr>
          <w:kern w:val="0"/>
        </w:rPr>
        <w:t xml:space="preserve"> the </w:t>
      </w:r>
      <w:r>
        <w:rPr>
          <w:kern w:val="0"/>
        </w:rPr>
        <w:t>greatest contribution to</w:t>
      </w:r>
      <w:r w:rsidR="003A1917">
        <w:rPr>
          <w:kern w:val="0"/>
        </w:rPr>
        <w:t xml:space="preserve"> the </w:t>
      </w:r>
      <w:r>
        <w:rPr>
          <w:kern w:val="0"/>
        </w:rPr>
        <w:t>antimicrobial-related medical literature in 2008. A total</w:t>
      </w:r>
      <w:r w:rsidR="00427468">
        <w:rPr>
          <w:kern w:val="0"/>
        </w:rPr>
        <w:t xml:space="preserve"> of </w:t>
      </w:r>
      <w:r>
        <w:rPr>
          <w:kern w:val="0"/>
        </w:rPr>
        <w:t>115 SIDP members participated in</w:t>
      </w:r>
      <w:r w:rsidR="003A1917">
        <w:rPr>
          <w:kern w:val="0"/>
        </w:rPr>
        <w:t xml:space="preserve"> the </w:t>
      </w:r>
      <w:r>
        <w:rPr>
          <w:kern w:val="0"/>
        </w:rPr>
        <w:t>survey. Summaries</w:t>
      </w:r>
      <w:r w:rsidR="00427468">
        <w:rPr>
          <w:kern w:val="0"/>
        </w:rPr>
        <w:t xml:space="preserve"> of </w:t>
      </w:r>
      <w:r w:rsidR="003A1917">
        <w:rPr>
          <w:kern w:val="0"/>
        </w:rPr>
        <w:t xml:space="preserve">the </w:t>
      </w:r>
      <w:r>
        <w:rPr>
          <w:kern w:val="0"/>
        </w:rPr>
        <w:t>top articles selected, along with an interpretation</w:t>
      </w:r>
      <w:r w:rsidR="00427468">
        <w:rPr>
          <w:kern w:val="0"/>
        </w:rPr>
        <w:t xml:space="preserve"> of </w:t>
      </w:r>
      <w:r>
        <w:rPr>
          <w:kern w:val="0"/>
        </w:rPr>
        <w:t>their effect on clinical practice, are included. Conclusion</w:t>
      </w:r>
      <w:r w:rsidR="00A37C1D">
        <w:rPr>
          <w:kern w:val="0"/>
        </w:rPr>
        <w:t>. The</w:t>
      </w:r>
      <w:r w:rsidR="003A1917">
        <w:rPr>
          <w:kern w:val="0"/>
        </w:rPr>
        <w:t xml:space="preserve"> </w:t>
      </w:r>
      <w:r>
        <w:rPr>
          <w:kern w:val="0"/>
        </w:rPr>
        <w:t>increasing number</w:t>
      </w:r>
      <w:r w:rsidR="00427468">
        <w:rPr>
          <w:kern w:val="0"/>
        </w:rPr>
        <w:t xml:space="preserve"> of </w:t>
      </w:r>
      <w:r>
        <w:rPr>
          <w:kern w:val="0"/>
        </w:rPr>
        <w:t>articles in</w:t>
      </w:r>
      <w:r w:rsidR="003A1917">
        <w:rPr>
          <w:kern w:val="0"/>
        </w:rPr>
        <w:t xml:space="preserve"> the </w:t>
      </w:r>
      <w:r>
        <w:rPr>
          <w:kern w:val="0"/>
        </w:rPr>
        <w:t>peer-reviewed medical literature related to</w:t>
      </w:r>
      <w:r w:rsidR="003A1917">
        <w:rPr>
          <w:kern w:val="0"/>
        </w:rPr>
        <w:t xml:space="preserve"> the </w:t>
      </w:r>
      <w:r>
        <w:rPr>
          <w:kern w:val="0"/>
        </w:rPr>
        <w:t>diagnosis</w:t>
      </w:r>
      <w:r w:rsidR="005853A9">
        <w:rPr>
          <w:kern w:val="0"/>
        </w:rPr>
        <w:t xml:space="preserve"> and </w:t>
      </w:r>
      <w:r>
        <w:rPr>
          <w:kern w:val="0"/>
        </w:rPr>
        <w:t>treatment</w:t>
      </w:r>
      <w:r w:rsidR="00427468">
        <w:rPr>
          <w:kern w:val="0"/>
        </w:rPr>
        <w:t xml:space="preserve"> of </w:t>
      </w:r>
      <w:r>
        <w:rPr>
          <w:kern w:val="0"/>
        </w:rPr>
        <w:t>ID has made it challenging to maintain a contemporary knowledge base</w:t>
      </w:r>
      <w:r w:rsidR="00427468">
        <w:rPr>
          <w:kern w:val="0"/>
        </w:rPr>
        <w:t xml:space="preserve"> of </w:t>
      </w:r>
      <w:r>
        <w:rPr>
          <w:kern w:val="0"/>
        </w:rPr>
        <w:t>key publications. This summary</w:t>
      </w:r>
      <w:r w:rsidR="00427468">
        <w:rPr>
          <w:kern w:val="0"/>
        </w:rPr>
        <w:t xml:space="preserve"> of </w:t>
      </w:r>
      <w:r>
        <w:rPr>
          <w:kern w:val="0"/>
        </w:rPr>
        <w:t>significant ID articles published in 2008 can help to alleviate this burden.</w:t>
      </w:r>
    </w:p>
    <w:p w:rsidR="008B568E" w:rsidRDefault="008B568E" w:rsidP="008B568E">
      <w:pPr>
        <w:pStyle w:val="a3"/>
        <w:rPr>
          <w:kern w:val="0"/>
        </w:rPr>
      </w:pPr>
      <w:r>
        <w:rPr>
          <w:kern w:val="0"/>
        </w:rPr>
        <w:t xml:space="preserve">Keywords: Antiinfective Agents, Articles, Bactericidal Activity, Bibliography, Blood-Stream Infections, Burden, Clinical, Clinical Practice, Clostridium-Difficile, Communicable Diseases, Community-Acquired Pneumonia, Complicated Skin, Diagnosis, Diseases, Distributed, Double-Blind, Guidelines, HIV, HIV Infection, Human, Human Immunodeficiency Virus, Impact, Infection, Infectious Diseases, Internet, Interpretation, Journals, Knowledge, Knowledge Base, Literature, Medical, Medical Literature, Naive HIV-1-Infected Patients, Network, Peer Reviewed </w:t>
      </w:r>
      <w:r>
        <w:rPr>
          <w:kern w:val="0"/>
        </w:rPr>
        <w:lastRenderedPageBreak/>
        <w:t>Journals, Peer-Reviewed, Pharmacotherapy, Pharmacy, Practice, Publication, Publications, Resistant Staphylococcus-Aureus, Skin-Structure Infections, Survey, Treatment, Treatment Guidelines, Ventilator-Associated Pneumonia</w:t>
      </w:r>
    </w:p>
    <w:p w:rsidR="0096673F" w:rsidRDefault="0096673F" w:rsidP="0096673F">
      <w:pPr>
        <w:pStyle w:val="a3"/>
        <w:rPr>
          <w:kern w:val="0"/>
        </w:rPr>
      </w:pPr>
      <w:r>
        <w:rPr>
          <w:rFonts w:hint="eastAsia"/>
          <w:kern w:val="0"/>
        </w:rPr>
        <w:t xml:space="preserve">? </w:t>
      </w:r>
      <w:r>
        <w:rPr>
          <w:kern w:val="0"/>
        </w:rPr>
        <w:t>Dotson, B.</w:t>
      </w:r>
      <w:r w:rsidR="005853A9">
        <w:rPr>
          <w:kern w:val="0"/>
        </w:rPr>
        <w:t xml:space="preserve"> and </w:t>
      </w:r>
      <w:r>
        <w:rPr>
          <w:kern w:val="0"/>
        </w:rPr>
        <w:t>Slaughter, R.L. (2011), Prevalence</w:t>
      </w:r>
      <w:r w:rsidR="00427468">
        <w:rPr>
          <w:kern w:val="0"/>
        </w:rPr>
        <w:t xml:space="preserve"> of </w:t>
      </w:r>
      <w:r>
        <w:rPr>
          <w:kern w:val="0"/>
        </w:rPr>
        <w:t>articles with honorary</w:t>
      </w:r>
      <w:r w:rsidR="005853A9">
        <w:rPr>
          <w:kern w:val="0"/>
        </w:rPr>
        <w:t xml:space="preserve"> and </w:t>
      </w:r>
      <w:r>
        <w:rPr>
          <w:kern w:val="0"/>
        </w:rPr>
        <w:t xml:space="preserve">ghost authors in three pharmacy journals. </w:t>
      </w:r>
      <w:r>
        <w:rPr>
          <w:i/>
          <w:iCs/>
          <w:kern w:val="0"/>
        </w:rPr>
        <w:t>American Journal</w:t>
      </w:r>
      <w:r w:rsidR="00427468">
        <w:rPr>
          <w:i/>
          <w:iCs/>
          <w:kern w:val="0"/>
        </w:rPr>
        <w:t xml:space="preserve"> of </w:t>
      </w:r>
      <w:r>
        <w:rPr>
          <w:i/>
          <w:iCs/>
          <w:kern w:val="0"/>
        </w:rPr>
        <w:t>Health-System Pharmacy</w:t>
      </w:r>
      <w:r>
        <w:rPr>
          <w:kern w:val="0"/>
        </w:rPr>
        <w:t xml:space="preserve">, </w:t>
      </w:r>
      <w:r>
        <w:rPr>
          <w:b/>
          <w:bCs/>
          <w:kern w:val="0"/>
        </w:rPr>
        <w:t>68</w:t>
      </w:r>
      <w:r>
        <w:rPr>
          <w:kern w:val="0"/>
        </w:rPr>
        <w:t xml:space="preserve"> (18), 1730-1734.</w:t>
      </w:r>
    </w:p>
    <w:p w:rsidR="0096673F" w:rsidRDefault="0096673F" w:rsidP="0096673F">
      <w:pPr>
        <w:pStyle w:val="a3"/>
        <w:rPr>
          <w:kern w:val="0"/>
        </w:rPr>
      </w:pPr>
      <w:r>
        <w:rPr>
          <w:rFonts w:hint="eastAsia"/>
          <w:kern w:val="0"/>
        </w:rPr>
        <w:t xml:space="preserve">Full Text: </w:t>
      </w:r>
      <w:hyperlink r:id="rId493" w:history="1">
        <w:r w:rsidRPr="0096673F">
          <w:rPr>
            <w:rStyle w:val="a5"/>
            <w:kern w:val="0"/>
          </w:rPr>
          <w:t>2011\Ame J Hea-Sys Pha68, 1730.pdf</w:t>
        </w:r>
      </w:hyperlink>
    </w:p>
    <w:p w:rsidR="0096673F" w:rsidRDefault="0096673F" w:rsidP="0096673F">
      <w:pPr>
        <w:pStyle w:val="a3"/>
        <w:rPr>
          <w:kern w:val="0"/>
        </w:rPr>
      </w:pPr>
      <w:r>
        <w:rPr>
          <w:kern w:val="0"/>
        </w:rPr>
        <w:t>Abstract: Purpose</w:t>
      </w:r>
      <w:r w:rsidR="00A37C1D">
        <w:rPr>
          <w:kern w:val="0"/>
        </w:rPr>
        <w:t>. The</w:t>
      </w:r>
      <w:r w:rsidR="003A1917">
        <w:rPr>
          <w:kern w:val="0"/>
        </w:rPr>
        <w:t xml:space="preserve"> </w:t>
      </w:r>
      <w:r>
        <w:rPr>
          <w:kern w:val="0"/>
        </w:rPr>
        <w:t>prevalence</w:t>
      </w:r>
      <w:r w:rsidR="00427468">
        <w:rPr>
          <w:kern w:val="0"/>
        </w:rPr>
        <w:t xml:space="preserve"> of </w:t>
      </w:r>
      <w:r>
        <w:rPr>
          <w:kern w:val="0"/>
        </w:rPr>
        <w:t>honorary</w:t>
      </w:r>
      <w:r w:rsidR="005853A9">
        <w:rPr>
          <w:kern w:val="0"/>
        </w:rPr>
        <w:t xml:space="preserve"> and </w:t>
      </w:r>
      <w:r>
        <w:rPr>
          <w:kern w:val="0"/>
        </w:rPr>
        <w:t>ghost authors in articles published in 2009 in three peer-reviewed pharmacy journals was studied. Methods. A 20-question survey was e-mailed to corresponding authors</w:t>
      </w:r>
      <w:r w:rsidR="00427468">
        <w:rPr>
          <w:kern w:val="0"/>
        </w:rPr>
        <w:t xml:space="preserve"> of </w:t>
      </w:r>
      <w:r>
        <w:rPr>
          <w:kern w:val="0"/>
        </w:rPr>
        <w:t>articles with two or more authors published in 2009 in</w:t>
      </w:r>
      <w:r w:rsidR="003A1917">
        <w:rPr>
          <w:kern w:val="0"/>
        </w:rPr>
        <w:t xml:space="preserve"> the </w:t>
      </w:r>
      <w:r>
        <w:rPr>
          <w:kern w:val="0"/>
        </w:rPr>
        <w:t>American Journal</w:t>
      </w:r>
      <w:r w:rsidR="00427468">
        <w:rPr>
          <w:kern w:val="0"/>
        </w:rPr>
        <w:t xml:space="preserve"> of </w:t>
      </w:r>
      <w:r>
        <w:rPr>
          <w:kern w:val="0"/>
        </w:rPr>
        <w:t>Health-System Pharmacy, Annals</w:t>
      </w:r>
      <w:r w:rsidR="00427468">
        <w:rPr>
          <w:kern w:val="0"/>
        </w:rPr>
        <w:t xml:space="preserve"> of </w:t>
      </w:r>
      <w:r>
        <w:rPr>
          <w:kern w:val="0"/>
        </w:rPr>
        <w:t>Pharmacotherapy,</w:t>
      </w:r>
      <w:r w:rsidR="005853A9">
        <w:rPr>
          <w:kern w:val="0"/>
        </w:rPr>
        <w:t xml:space="preserve"> and </w:t>
      </w:r>
      <w:r>
        <w:rPr>
          <w:kern w:val="0"/>
        </w:rPr>
        <w:t>Pharmacotherapy</w:t>
      </w:r>
      <w:r w:rsidR="00A37C1D">
        <w:rPr>
          <w:kern w:val="0"/>
        </w:rPr>
        <w:t>. The</w:t>
      </w:r>
      <w:r w:rsidR="003A1917">
        <w:rPr>
          <w:kern w:val="0"/>
        </w:rPr>
        <w:t xml:space="preserve"> </w:t>
      </w:r>
      <w:r>
        <w:rPr>
          <w:kern w:val="0"/>
        </w:rPr>
        <w:t>survey solicited</w:t>
      </w:r>
      <w:r w:rsidR="003A1917">
        <w:rPr>
          <w:kern w:val="0"/>
        </w:rPr>
        <w:t xml:space="preserve"> the </w:t>
      </w:r>
      <w:r>
        <w:rPr>
          <w:kern w:val="0"/>
        </w:rPr>
        <w:t>following information: demographic characteristics</w:t>
      </w:r>
      <w:r w:rsidR="00427468">
        <w:rPr>
          <w:kern w:val="0"/>
        </w:rPr>
        <w:t xml:space="preserve"> of </w:t>
      </w:r>
      <w:r w:rsidR="003A1917">
        <w:rPr>
          <w:kern w:val="0"/>
        </w:rPr>
        <w:t xml:space="preserve">the </w:t>
      </w:r>
      <w:r>
        <w:rPr>
          <w:kern w:val="0"/>
        </w:rPr>
        <w:t>corresponding author, information about</w:t>
      </w:r>
      <w:r w:rsidR="003A1917">
        <w:rPr>
          <w:kern w:val="0"/>
        </w:rPr>
        <w:t xml:space="preserve"> the </w:t>
      </w:r>
      <w:r>
        <w:rPr>
          <w:kern w:val="0"/>
        </w:rPr>
        <w:t>published article, information to determine whether any</w:t>
      </w:r>
      <w:r w:rsidR="00427468">
        <w:rPr>
          <w:kern w:val="0"/>
        </w:rPr>
        <w:t xml:space="preserve"> of </w:t>
      </w:r>
      <w:r w:rsidR="003A1917">
        <w:rPr>
          <w:kern w:val="0"/>
        </w:rPr>
        <w:t xml:space="preserve">the </w:t>
      </w:r>
      <w:r>
        <w:rPr>
          <w:kern w:val="0"/>
        </w:rPr>
        <w:t>authors did not meet</w:t>
      </w:r>
      <w:r w:rsidR="003A1917">
        <w:rPr>
          <w:kern w:val="0"/>
        </w:rPr>
        <w:t xml:space="preserve"> the </w:t>
      </w:r>
      <w:r>
        <w:rPr>
          <w:kern w:val="0"/>
        </w:rPr>
        <w:t>International Committee</w:t>
      </w:r>
      <w:r w:rsidR="00427468">
        <w:rPr>
          <w:kern w:val="0"/>
        </w:rPr>
        <w:t xml:space="preserve"> of </w:t>
      </w:r>
      <w:r>
        <w:rPr>
          <w:kern w:val="0"/>
        </w:rPr>
        <w:t>Medical Journal Editors criteria for authorship,</w:t>
      </w:r>
      <w:r w:rsidR="005853A9">
        <w:rPr>
          <w:kern w:val="0"/>
        </w:rPr>
        <w:t xml:space="preserve"> and </w:t>
      </w:r>
      <w:r>
        <w:rPr>
          <w:kern w:val="0"/>
        </w:rPr>
        <w:t>information to determine if an individual contributed substantially to</w:t>
      </w:r>
      <w:r w:rsidR="003A1917">
        <w:rPr>
          <w:kern w:val="0"/>
        </w:rPr>
        <w:t xml:space="preserve"> the </w:t>
      </w:r>
      <w:r>
        <w:rPr>
          <w:kern w:val="0"/>
        </w:rPr>
        <w:t>research or writing</w:t>
      </w:r>
      <w:r w:rsidR="00427468">
        <w:rPr>
          <w:kern w:val="0"/>
        </w:rPr>
        <w:t xml:space="preserve"> of </w:t>
      </w:r>
      <w:r w:rsidR="003A1917">
        <w:rPr>
          <w:kern w:val="0"/>
        </w:rPr>
        <w:t xml:space="preserve">the </w:t>
      </w:r>
      <w:r>
        <w:rPr>
          <w:kern w:val="0"/>
        </w:rPr>
        <w:t>article but was not listed as an author. Results.</w:t>
      </w:r>
      <w:r w:rsidR="00427468">
        <w:rPr>
          <w:kern w:val="0"/>
        </w:rPr>
        <w:t xml:space="preserve"> of </w:t>
      </w:r>
      <w:r w:rsidR="003A1917">
        <w:rPr>
          <w:kern w:val="0"/>
        </w:rPr>
        <w:t xml:space="preserve">the </w:t>
      </w:r>
      <w:r>
        <w:rPr>
          <w:kern w:val="0"/>
        </w:rPr>
        <w:t>491 corresponding authors to whom</w:t>
      </w:r>
      <w:r w:rsidR="003A1917">
        <w:rPr>
          <w:kern w:val="0"/>
        </w:rPr>
        <w:t xml:space="preserve"> the </w:t>
      </w:r>
      <w:r>
        <w:rPr>
          <w:kern w:val="0"/>
        </w:rPr>
        <w:t xml:space="preserve">survey was sent, 457 had a working e-mail address; 114 surveys were completed (24.9% response rate). </w:t>
      </w:r>
      <w:r w:rsidR="00D5664A">
        <w:rPr>
          <w:kern w:val="0"/>
        </w:rPr>
        <w:t>USA</w:t>
      </w:r>
      <w:r>
        <w:rPr>
          <w:kern w:val="0"/>
        </w:rPr>
        <w:t>ble responses were provided by 112 authors</w:t>
      </w:r>
      <w:r w:rsidR="00A37C1D">
        <w:rPr>
          <w:kern w:val="0"/>
        </w:rPr>
        <w:t>. The</w:t>
      </w:r>
      <w:r w:rsidR="003A1917">
        <w:rPr>
          <w:kern w:val="0"/>
        </w:rPr>
        <w:t xml:space="preserve"> </w:t>
      </w:r>
      <w:r>
        <w:rPr>
          <w:kern w:val="0"/>
        </w:rPr>
        <w:t>prevalence</w:t>
      </w:r>
      <w:r w:rsidR="00427468">
        <w:rPr>
          <w:kern w:val="0"/>
        </w:rPr>
        <w:t xml:space="preserve"> of </w:t>
      </w:r>
      <w:r>
        <w:rPr>
          <w:kern w:val="0"/>
        </w:rPr>
        <w:t>articles with honorary</w:t>
      </w:r>
      <w:r w:rsidR="005853A9">
        <w:rPr>
          <w:kern w:val="0"/>
        </w:rPr>
        <w:t xml:space="preserve"> and </w:t>
      </w:r>
      <w:r>
        <w:rPr>
          <w:kern w:val="0"/>
        </w:rPr>
        <w:t>ghost authors was 14.3%</w:t>
      </w:r>
      <w:r w:rsidR="005853A9">
        <w:rPr>
          <w:kern w:val="0"/>
        </w:rPr>
        <w:t xml:space="preserve"> and </w:t>
      </w:r>
      <w:r>
        <w:rPr>
          <w:kern w:val="0"/>
        </w:rPr>
        <w:t>0.9%, respectively. Honorary authorship was more common in original research than review articles. Articles with honorary authors had longer bylines than articles without honorary authors (mean number</w:t>
      </w:r>
      <w:r w:rsidR="00427468">
        <w:rPr>
          <w:kern w:val="0"/>
        </w:rPr>
        <w:t xml:space="preserve"> of </w:t>
      </w:r>
      <w:r>
        <w:rPr>
          <w:kern w:val="0"/>
        </w:rPr>
        <w:t>authors, 4.9 versus 3.7; p = 0.002)</w:t>
      </w:r>
      <w:r w:rsidR="00A37C1D">
        <w:rPr>
          <w:kern w:val="0"/>
        </w:rPr>
        <w:t>. The</w:t>
      </w:r>
      <w:r w:rsidR="003A1917">
        <w:rPr>
          <w:kern w:val="0"/>
        </w:rPr>
        <w:t xml:space="preserve"> </w:t>
      </w:r>
      <w:r>
        <w:rPr>
          <w:kern w:val="0"/>
        </w:rPr>
        <w:t>proportion</w:t>
      </w:r>
      <w:r w:rsidR="00427468">
        <w:rPr>
          <w:kern w:val="0"/>
        </w:rPr>
        <w:t xml:space="preserve"> of </w:t>
      </w:r>
      <w:r>
        <w:rPr>
          <w:kern w:val="0"/>
        </w:rPr>
        <w:t>articles with an honorary author was 1.9% for articles with fewer than 4 authors, 25% for articles with 4 or 5 authors,</w:t>
      </w:r>
      <w:r w:rsidR="005853A9">
        <w:rPr>
          <w:kern w:val="0"/>
        </w:rPr>
        <w:t xml:space="preserve"> and </w:t>
      </w:r>
      <w:r>
        <w:rPr>
          <w:kern w:val="0"/>
        </w:rPr>
        <w:t>29.4% for articles with more than 5 authors (p = 0.001). Conclusion. A survey sent to</w:t>
      </w:r>
      <w:r w:rsidR="003A1917">
        <w:rPr>
          <w:kern w:val="0"/>
        </w:rPr>
        <w:t xml:space="preserve"> the </w:t>
      </w:r>
      <w:r>
        <w:rPr>
          <w:kern w:val="0"/>
        </w:rPr>
        <w:t>corresponding authors</w:t>
      </w:r>
      <w:r w:rsidR="00427468">
        <w:rPr>
          <w:kern w:val="0"/>
        </w:rPr>
        <w:t xml:space="preserve"> of </w:t>
      </w:r>
      <w:r>
        <w:rPr>
          <w:kern w:val="0"/>
        </w:rPr>
        <w:t>articles published in 2009 in three peer-reviewed pharmacy journals revealed that a substantial percentage</w:t>
      </w:r>
      <w:r w:rsidR="00427468">
        <w:rPr>
          <w:kern w:val="0"/>
        </w:rPr>
        <w:t xml:space="preserve"> of </w:t>
      </w:r>
      <w:r>
        <w:rPr>
          <w:kern w:val="0"/>
        </w:rPr>
        <w:t>articles demonstrated evidence</w:t>
      </w:r>
      <w:r w:rsidR="00427468">
        <w:rPr>
          <w:kern w:val="0"/>
        </w:rPr>
        <w:t xml:space="preserve"> of </w:t>
      </w:r>
      <w:r>
        <w:rPr>
          <w:kern w:val="0"/>
        </w:rPr>
        <w:t>honorary or ghost authorship.</w:t>
      </w:r>
    </w:p>
    <w:p w:rsidR="0096673F" w:rsidRDefault="0096673F" w:rsidP="0096673F">
      <w:pPr>
        <w:pStyle w:val="a3"/>
        <w:rPr>
          <w:kern w:val="0"/>
        </w:rPr>
      </w:pPr>
      <w:r>
        <w:rPr>
          <w:kern w:val="0"/>
        </w:rPr>
        <w:t>Keywords: American Journal</w:t>
      </w:r>
      <w:r w:rsidR="00427468">
        <w:rPr>
          <w:kern w:val="0"/>
        </w:rPr>
        <w:t xml:space="preserve"> of </w:t>
      </w:r>
      <w:r>
        <w:rPr>
          <w:kern w:val="0"/>
        </w:rPr>
        <w:t>Health-System Pharmacy, Annals</w:t>
      </w:r>
      <w:r w:rsidR="00427468">
        <w:rPr>
          <w:kern w:val="0"/>
        </w:rPr>
        <w:t xml:space="preserve"> of </w:t>
      </w:r>
      <w:r>
        <w:rPr>
          <w:kern w:val="0"/>
        </w:rPr>
        <w:t>Pharmacotherapy, Articles, Authors, Authorship, Characteristics, Criteria, Data Collection, Editors, Evidence, Information, Journal, Journals, Medical Journals, Peer-Reviewed, Pharmacotherapy, Pharmacy, Prevalence, Research, Review, Survey, Surveys</w:t>
      </w:r>
    </w:p>
    <w:p w:rsidR="008E3D4B" w:rsidRPr="00F219CA" w:rsidRDefault="008E3D4B" w:rsidP="008E3D4B">
      <w:pPr>
        <w:pStyle w:val="1"/>
      </w:pPr>
      <w:r w:rsidRPr="00F219CA">
        <w:br w:type="page"/>
      </w:r>
      <w:bookmarkStart w:id="272" w:name="_Toc302218361"/>
      <w:bookmarkStart w:id="273" w:name="_Toc420814395"/>
      <w:r w:rsidRPr="00F219CA">
        <w:lastRenderedPageBreak/>
        <w:t>Title: American Journal</w:t>
      </w:r>
      <w:r w:rsidR="00427468">
        <w:t xml:space="preserve"> of </w:t>
      </w:r>
      <w:r w:rsidRPr="00F219CA">
        <w:t>Hematology</w:t>
      </w:r>
      <w:bookmarkEnd w:id="272"/>
      <w:bookmarkEnd w:id="273"/>
    </w:p>
    <w:p w:rsidR="008E3D4B" w:rsidRPr="00F219CA" w:rsidRDefault="008E3D4B" w:rsidP="008E3D4B">
      <w:pPr>
        <w:pStyle w:val="12"/>
      </w:pPr>
      <w:r w:rsidRPr="00F219CA">
        <w:t>Full Journal Title: American Journal</w:t>
      </w:r>
      <w:r w:rsidR="00427468">
        <w:t xml:space="preserve"> of </w:t>
      </w:r>
      <w:r w:rsidRPr="00F219CA">
        <w:t>Hematology</w:t>
      </w:r>
    </w:p>
    <w:p w:rsidR="008E3D4B" w:rsidRPr="00F219CA" w:rsidRDefault="008E3D4B" w:rsidP="008E3D4B">
      <w:pPr>
        <w:pStyle w:val="12"/>
      </w:pPr>
      <w:r w:rsidRPr="00F219CA">
        <w:t>ISO Abbreviated Title: Am. J. Hematol.</w:t>
      </w:r>
    </w:p>
    <w:p w:rsidR="008E3D4B" w:rsidRPr="00F219CA" w:rsidRDefault="008E3D4B" w:rsidP="008E3D4B">
      <w:pPr>
        <w:pStyle w:val="12"/>
      </w:pPr>
      <w:r w:rsidRPr="00F219CA">
        <w:t>JCR Abbreviated Title: Am J Hematol</w:t>
      </w:r>
    </w:p>
    <w:p w:rsidR="008E3D4B" w:rsidRPr="00F219CA" w:rsidRDefault="008E3D4B" w:rsidP="008E3D4B">
      <w:pPr>
        <w:pStyle w:val="12"/>
      </w:pPr>
      <w:r w:rsidRPr="00F219CA">
        <w:t>ISSN: 0361-8609</w:t>
      </w:r>
    </w:p>
    <w:p w:rsidR="008E3D4B" w:rsidRPr="00F219CA" w:rsidRDefault="008E3D4B" w:rsidP="008E3D4B">
      <w:pPr>
        <w:pStyle w:val="12"/>
      </w:pPr>
      <w:r w:rsidRPr="00F219CA">
        <w:t>Issues/Year: 12</w:t>
      </w:r>
    </w:p>
    <w:p w:rsidR="008E3D4B" w:rsidRPr="00F219CA" w:rsidRDefault="008E3D4B" w:rsidP="008E3D4B">
      <w:pPr>
        <w:pStyle w:val="12"/>
      </w:pPr>
      <w:r w:rsidRPr="00F219CA">
        <w:t>Journal Country/Territory: United States</w:t>
      </w:r>
    </w:p>
    <w:p w:rsidR="008E3D4B" w:rsidRPr="00F219CA" w:rsidRDefault="008E3D4B" w:rsidP="008E3D4B">
      <w:pPr>
        <w:pStyle w:val="12"/>
      </w:pPr>
      <w:r w:rsidRPr="00F219CA">
        <w:t>Language: English</w:t>
      </w:r>
    </w:p>
    <w:p w:rsidR="008E3D4B" w:rsidRPr="00F219CA" w:rsidRDefault="008E3D4B" w:rsidP="008E3D4B">
      <w:pPr>
        <w:pStyle w:val="12"/>
      </w:pPr>
      <w:r w:rsidRPr="00F219CA">
        <w:t>Publisher: Wiley-Liss</w:t>
      </w:r>
    </w:p>
    <w:p w:rsidR="008E3D4B" w:rsidRPr="00F219CA" w:rsidRDefault="008E3D4B" w:rsidP="008E3D4B">
      <w:pPr>
        <w:pStyle w:val="12"/>
      </w:pPr>
      <w:r w:rsidRPr="00F219CA">
        <w:t>Publisher Address: Div John Wiley &amp; Sons Inc, 605 Third Ave, New York, NY 10158-0012</w:t>
      </w:r>
    </w:p>
    <w:p w:rsidR="008E3D4B" w:rsidRPr="00F219CA" w:rsidRDefault="008E3D4B" w:rsidP="008E3D4B">
      <w:pPr>
        <w:pStyle w:val="12"/>
      </w:pPr>
      <w:r w:rsidRPr="00F219CA">
        <w:t xml:space="preserve">Subject Categories: </w:t>
      </w:r>
    </w:p>
    <w:p w:rsidR="008E3D4B" w:rsidRPr="00F219CA" w:rsidRDefault="008E3D4B" w:rsidP="008E3D4B">
      <w:pPr>
        <w:pStyle w:val="12"/>
      </w:pPr>
      <w:r w:rsidRPr="00F219CA">
        <w:t xml:space="preserve">Hematology: Impact Factor </w:t>
      </w:r>
    </w:p>
    <w:p w:rsidR="008E3D4B" w:rsidRDefault="008E3D4B" w:rsidP="008E3D4B">
      <w:pPr>
        <w:pStyle w:val="a3"/>
        <w:rPr>
          <w:kern w:val="0"/>
        </w:rPr>
      </w:pPr>
      <w:r>
        <w:rPr>
          <w:rFonts w:hint="eastAsia"/>
          <w:kern w:val="0"/>
        </w:rPr>
        <w:t xml:space="preserve">? </w:t>
      </w:r>
      <w:r>
        <w:rPr>
          <w:kern w:val="0"/>
        </w:rPr>
        <w:t>Velazquez, I.</w:t>
      </w:r>
      <w:r w:rsidR="005853A9">
        <w:rPr>
          <w:kern w:val="0"/>
        </w:rPr>
        <w:t xml:space="preserve"> and </w:t>
      </w:r>
      <w:r>
        <w:rPr>
          <w:kern w:val="0"/>
        </w:rPr>
        <w:t>Alter, B.P. (2004), Androgens</w:t>
      </w:r>
      <w:r w:rsidR="005853A9">
        <w:rPr>
          <w:kern w:val="0"/>
        </w:rPr>
        <w:t xml:space="preserve"> and </w:t>
      </w:r>
      <w:r>
        <w:rPr>
          <w:kern w:val="0"/>
        </w:rPr>
        <w:t>liver tumors: Fanconi</w:t>
      </w:r>
      <w:r w:rsidR="00700038">
        <w:rPr>
          <w:kern w:val="0"/>
        </w:rPr>
        <w:t>’</w:t>
      </w:r>
      <w:r w:rsidR="00C13DDC">
        <w:rPr>
          <w:kern w:val="0"/>
        </w:rPr>
        <w:t>s</w:t>
      </w:r>
      <w:r>
        <w:rPr>
          <w:kern w:val="0"/>
        </w:rPr>
        <w:t xml:space="preserve"> anemia</w:t>
      </w:r>
      <w:r w:rsidR="005853A9">
        <w:rPr>
          <w:kern w:val="0"/>
        </w:rPr>
        <w:t xml:space="preserve"> and </w:t>
      </w:r>
      <w:r>
        <w:rPr>
          <w:kern w:val="0"/>
        </w:rPr>
        <w:t>non-Fanconi</w:t>
      </w:r>
      <w:r w:rsidR="00700038">
        <w:rPr>
          <w:kern w:val="0"/>
        </w:rPr>
        <w:t>’</w:t>
      </w:r>
      <w:r w:rsidR="00C13DDC">
        <w:rPr>
          <w:kern w:val="0"/>
        </w:rPr>
        <w:t>s</w:t>
      </w:r>
      <w:r>
        <w:rPr>
          <w:kern w:val="0"/>
        </w:rPr>
        <w:t xml:space="preserve"> conditions. </w:t>
      </w:r>
      <w:r w:rsidRPr="008E3D4B">
        <w:rPr>
          <w:i/>
          <w:iCs/>
          <w:kern w:val="0"/>
        </w:rPr>
        <w:t>American Journal</w:t>
      </w:r>
      <w:r w:rsidR="00427468">
        <w:rPr>
          <w:i/>
          <w:iCs/>
          <w:kern w:val="0"/>
        </w:rPr>
        <w:t xml:space="preserve"> of </w:t>
      </w:r>
      <w:r w:rsidRPr="008E3D4B">
        <w:rPr>
          <w:i/>
          <w:iCs/>
          <w:kern w:val="0"/>
        </w:rPr>
        <w:t>Hematology</w:t>
      </w:r>
      <w:r>
        <w:rPr>
          <w:kern w:val="0"/>
        </w:rPr>
        <w:t xml:space="preserve">, </w:t>
      </w:r>
      <w:r>
        <w:rPr>
          <w:b/>
          <w:bCs/>
          <w:kern w:val="0"/>
        </w:rPr>
        <w:t>77</w:t>
      </w:r>
      <w:r>
        <w:rPr>
          <w:kern w:val="0"/>
        </w:rPr>
        <w:t xml:space="preserve"> (3), 257-267.</w:t>
      </w:r>
    </w:p>
    <w:p w:rsidR="008E3D4B" w:rsidRDefault="008E3D4B" w:rsidP="008E3D4B">
      <w:pPr>
        <w:pStyle w:val="a3"/>
        <w:rPr>
          <w:kern w:val="0"/>
        </w:rPr>
      </w:pPr>
      <w:r>
        <w:rPr>
          <w:rFonts w:hint="eastAsia"/>
          <w:kern w:val="0"/>
        </w:rPr>
        <w:t xml:space="preserve">Full Text: </w:t>
      </w:r>
      <w:hyperlink r:id="rId494" w:history="1">
        <w:r w:rsidRPr="008E3D4B">
          <w:rPr>
            <w:rStyle w:val="a5"/>
            <w:kern w:val="0"/>
          </w:rPr>
          <w:t>2004\Ame J Hem77, 257.pdf</w:t>
        </w:r>
      </w:hyperlink>
    </w:p>
    <w:p w:rsidR="008E3D4B" w:rsidRDefault="008E3D4B" w:rsidP="008E3D4B">
      <w:pPr>
        <w:pStyle w:val="a3"/>
        <w:rPr>
          <w:kern w:val="0"/>
        </w:rPr>
      </w:pPr>
      <w:r>
        <w:rPr>
          <w:kern w:val="0"/>
        </w:rPr>
        <w:t>Abstract:</w:t>
      </w:r>
      <w:r w:rsidR="003A1917">
        <w:rPr>
          <w:kern w:val="0"/>
        </w:rPr>
        <w:t xml:space="preserve"> the </w:t>
      </w:r>
      <w:r>
        <w:rPr>
          <w:kern w:val="0"/>
        </w:rPr>
        <w:t>association between anabolic androgenic steroids</w:t>
      </w:r>
      <w:r w:rsidR="005853A9">
        <w:rPr>
          <w:kern w:val="0"/>
        </w:rPr>
        <w:t xml:space="preserve"> and </w:t>
      </w:r>
      <w:r>
        <w:rPr>
          <w:kern w:val="0"/>
        </w:rPr>
        <w:t>liver tumors was first noted in patients with Fanconi</w:t>
      </w:r>
      <w:r w:rsidR="00700038">
        <w:rPr>
          <w:kern w:val="0"/>
        </w:rPr>
        <w:t>’</w:t>
      </w:r>
      <w:r w:rsidR="00C13DDC">
        <w:rPr>
          <w:kern w:val="0"/>
        </w:rPr>
        <w:t>s</w:t>
      </w:r>
      <w:r>
        <w:rPr>
          <w:kern w:val="0"/>
        </w:rPr>
        <w:t xml:space="preserve"> anemia (FA)</w:t>
      </w:r>
      <w:r w:rsidR="00A37C1D">
        <w:rPr>
          <w:kern w:val="0"/>
        </w:rPr>
        <w:t>. The</w:t>
      </w:r>
      <w:r w:rsidR="003A1917">
        <w:rPr>
          <w:kern w:val="0"/>
        </w:rPr>
        <w:t xml:space="preserve"> </w:t>
      </w:r>
      <w:r>
        <w:rPr>
          <w:kern w:val="0"/>
        </w:rPr>
        <w:t>hypotheses which led to this review were as follows: (1) androgen-treated individuals who do not have FA are also at risk</w:t>
      </w:r>
      <w:r w:rsidR="00427468">
        <w:rPr>
          <w:kern w:val="0"/>
        </w:rPr>
        <w:t xml:space="preserve"> of </w:t>
      </w:r>
      <w:r>
        <w:rPr>
          <w:kern w:val="0"/>
        </w:rPr>
        <w:t>liver tumors; (2) parenteral as well as oral androgens may be responsible for liver tumors; (3) FA patients develop liver tumors after smaller</w:t>
      </w:r>
      <w:r w:rsidR="005853A9">
        <w:rPr>
          <w:kern w:val="0"/>
        </w:rPr>
        <w:t xml:space="preserve"> and </w:t>
      </w:r>
      <w:r>
        <w:rPr>
          <w:kern w:val="0"/>
        </w:rPr>
        <w:t>briefer androgen exposure than non-FA individuals; (4)</w:t>
      </w:r>
      <w:r w:rsidR="003A1917">
        <w:rPr>
          <w:kern w:val="0"/>
        </w:rPr>
        <w:t xml:space="preserve"> the </w:t>
      </w:r>
      <w:r>
        <w:rPr>
          <w:kern w:val="0"/>
        </w:rPr>
        <w:t>risk</w:t>
      </w:r>
      <w:r w:rsidR="00427468">
        <w:rPr>
          <w:kern w:val="0"/>
        </w:rPr>
        <w:t xml:space="preserve"> of </w:t>
      </w:r>
      <w:r>
        <w:rPr>
          <w:kern w:val="0"/>
        </w:rPr>
        <w:t>hepatic neoplasms may depend on</w:t>
      </w:r>
      <w:r w:rsidR="003A1917">
        <w:rPr>
          <w:kern w:val="0"/>
        </w:rPr>
        <w:t xml:space="preserve"> the </w:t>
      </w:r>
      <w:r>
        <w:rPr>
          <w:kern w:val="0"/>
        </w:rPr>
        <w:t xml:space="preserve">specific androgen.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for all cases</w:t>
      </w:r>
      <w:r w:rsidR="00427468">
        <w:rPr>
          <w:kern w:val="0"/>
        </w:rPr>
        <w:t xml:space="preserve"> of </w:t>
      </w:r>
      <w:r>
        <w:rPr>
          <w:kern w:val="0"/>
        </w:rPr>
        <w:t>liver tumors associated with androgens. Information from individual cases was entered into a spreadsheet</w:t>
      </w:r>
      <w:r w:rsidR="005853A9">
        <w:rPr>
          <w:kern w:val="0"/>
        </w:rPr>
        <w:t xml:space="preserve"> and </w:t>
      </w:r>
      <w:r>
        <w:rPr>
          <w:kern w:val="0"/>
        </w:rPr>
        <w:t>descriptive statistical analyses were performed. Thirty-six FA cases</w:t>
      </w:r>
      <w:r w:rsidR="005853A9">
        <w:rPr>
          <w:kern w:val="0"/>
        </w:rPr>
        <w:t xml:space="preserve"> and </w:t>
      </w:r>
      <w:r>
        <w:rPr>
          <w:kern w:val="0"/>
        </w:rPr>
        <w:t>97 non-FA cases with both nonhematologic disorders</w:t>
      </w:r>
      <w:r w:rsidR="005853A9">
        <w:rPr>
          <w:kern w:val="0"/>
        </w:rPr>
        <w:t xml:space="preserve"> and </w:t>
      </w:r>
      <w:r>
        <w:rPr>
          <w:kern w:val="0"/>
        </w:rPr>
        <w:t>acquired aplastic anemia (non-FA AA) were identified</w:t>
      </w:r>
      <w:r w:rsidR="00A37C1D">
        <w:rPr>
          <w:kern w:val="0"/>
        </w:rPr>
        <w:t>. The</w:t>
      </w:r>
      <w:r w:rsidR="003A1917">
        <w:rPr>
          <w:kern w:val="0"/>
        </w:rPr>
        <w:t xml:space="preserve"> </w:t>
      </w:r>
      <w:r>
        <w:rPr>
          <w:kern w:val="0"/>
        </w:rPr>
        <w:t>most common androgens were oxymetholone, methyltestosterone,</w:t>
      </w:r>
      <w:r w:rsidR="005853A9">
        <w:rPr>
          <w:kern w:val="0"/>
        </w:rPr>
        <w:t xml:space="preserve"> and </w:t>
      </w:r>
      <w:r>
        <w:rPr>
          <w:kern w:val="0"/>
        </w:rPr>
        <w:t>danazol. Hepatocellular carcinomas (HCC) were more often associated with oxymetholone</w:t>
      </w:r>
      <w:r w:rsidR="005853A9">
        <w:rPr>
          <w:kern w:val="0"/>
        </w:rPr>
        <w:t xml:space="preserve"> and </w:t>
      </w:r>
      <w:r>
        <w:rPr>
          <w:kern w:val="0"/>
        </w:rPr>
        <w:t>methyltestosterone, while adenomas were associated with danazol. Tumors were reported in six patients who received only parenteral</w:t>
      </w:r>
      <w:r w:rsidR="005853A9">
        <w:rPr>
          <w:kern w:val="0"/>
        </w:rPr>
        <w:t xml:space="preserve"> and </w:t>
      </w:r>
      <w:r>
        <w:rPr>
          <w:kern w:val="0"/>
        </w:rPr>
        <w:t>not oral androgens. FA patients were younger than non-FA patients when androgen use was initiated,</w:t>
      </w:r>
      <w:r w:rsidR="005853A9">
        <w:rPr>
          <w:kern w:val="0"/>
        </w:rPr>
        <w:t xml:space="preserve"> and </w:t>
      </w:r>
      <w:r w:rsidR="003A1917">
        <w:rPr>
          <w:kern w:val="0"/>
        </w:rPr>
        <w:t xml:space="preserve">the </w:t>
      </w:r>
      <w:r>
        <w:rPr>
          <w:kern w:val="0"/>
        </w:rPr>
        <w:t>FA patients developed tumors at younger ages. Non-AA patients were treated with androgens for longer periods</w:t>
      </w:r>
      <w:r w:rsidR="00427468">
        <w:rPr>
          <w:kern w:val="0"/>
        </w:rPr>
        <w:t xml:space="preserve"> of </w:t>
      </w:r>
      <w:r>
        <w:rPr>
          <w:kern w:val="0"/>
        </w:rPr>
        <w:t>time, compared with FA</w:t>
      </w:r>
      <w:r w:rsidR="005853A9">
        <w:rPr>
          <w:kern w:val="0"/>
        </w:rPr>
        <w:t xml:space="preserve"> and </w:t>
      </w:r>
      <w:r>
        <w:rPr>
          <w:kern w:val="0"/>
        </w:rPr>
        <w:t>non-FA AA patients. All patients on anabolic androgenic steroids are at risk</w:t>
      </w:r>
      <w:r w:rsidR="00427468">
        <w:rPr>
          <w:kern w:val="0"/>
        </w:rPr>
        <w:t xml:space="preserve"> of </w:t>
      </w:r>
      <w:r>
        <w:rPr>
          <w:kern w:val="0"/>
        </w:rPr>
        <w:t>liver tumors, regardless</w:t>
      </w:r>
      <w:r w:rsidR="00427468">
        <w:rPr>
          <w:kern w:val="0"/>
        </w:rPr>
        <w:t xml:space="preserve"> of </w:t>
      </w:r>
      <w:r>
        <w:rPr>
          <w:kern w:val="0"/>
        </w:rPr>
        <w:t>underlying diagnosis</w:t>
      </w:r>
      <w:r w:rsidR="00A37C1D">
        <w:rPr>
          <w:kern w:val="0"/>
        </w:rPr>
        <w:t>. The</w:t>
      </w:r>
      <w:r w:rsidR="003A1917">
        <w:rPr>
          <w:kern w:val="0"/>
        </w:rPr>
        <w:t xml:space="preserve"> </w:t>
      </w:r>
      <w:r>
        <w:rPr>
          <w:kern w:val="0"/>
        </w:rPr>
        <w:t>magnitude</w:t>
      </w:r>
      <w:r w:rsidR="00427468">
        <w:rPr>
          <w:kern w:val="0"/>
        </w:rPr>
        <w:t xml:space="preserve"> of </w:t>
      </w:r>
      <w:r w:rsidR="003A1917">
        <w:rPr>
          <w:kern w:val="0"/>
        </w:rPr>
        <w:t xml:space="preserve">the </w:t>
      </w:r>
      <w:r>
        <w:rPr>
          <w:kern w:val="0"/>
        </w:rPr>
        <w:t>risk cannot be determined from currently available ata, because</w:t>
      </w:r>
      <w:r w:rsidR="003A1917">
        <w:rPr>
          <w:kern w:val="0"/>
        </w:rPr>
        <w:t xml:space="preserve"> the </w:t>
      </w:r>
      <w:r>
        <w:rPr>
          <w:kern w:val="0"/>
        </w:rPr>
        <w:t>number</w:t>
      </w:r>
      <w:r w:rsidR="00427468">
        <w:rPr>
          <w:kern w:val="0"/>
        </w:rPr>
        <w:t xml:space="preserve"> of </w:t>
      </w:r>
      <w:r>
        <w:rPr>
          <w:kern w:val="0"/>
        </w:rPr>
        <w:t xml:space="preserve">patients receiving androgens is unknown. </w:t>
      </w:r>
      <w:r>
        <w:rPr>
          <w:kern w:val="0"/>
        </w:rPr>
        <w:lastRenderedPageBreak/>
        <w:t>Published 2004 Wiley-Liss, Inc.(dagger).</w:t>
      </w:r>
    </w:p>
    <w:p w:rsidR="008E3D4B" w:rsidRDefault="008E3D4B" w:rsidP="008E3D4B">
      <w:pPr>
        <w:pStyle w:val="a3"/>
        <w:rPr>
          <w:kern w:val="0"/>
        </w:rPr>
      </w:pPr>
      <w:r>
        <w:rPr>
          <w:kern w:val="0"/>
        </w:rPr>
        <w:t xml:space="preserve">Keywords: Adenomas, Anabolic Steroids, Anabolic-Steroid-Therapy, Androgens, Aplastic-Anemia, Bone-Marrow-Transplantation, Cell Adenoma, Danazol Therapy, Diagnosis, FA, Hepatocellular Carcinomas, Hepatomas, Hereditary Angio-Edema, Induced Hepatocellular Adenoma, Liver Tumors, Long-Term Methyltestosterone, Multiple Hepatic Adenomas, Neoplasms, Peliosis Hepatis, Review, Risk, Science, Statistical, </w:t>
      </w:r>
      <w:r w:rsidR="00D5664A">
        <w:rPr>
          <w:kern w:val="0"/>
        </w:rPr>
        <w:t>Web</w:t>
      </w:r>
      <w:r w:rsidR="00427468">
        <w:rPr>
          <w:kern w:val="0"/>
        </w:rPr>
        <w:t xml:space="preserve"> of </w:t>
      </w:r>
      <w:r w:rsidR="00D5664A">
        <w:rPr>
          <w:kern w:val="0"/>
        </w:rPr>
        <w:t>Science</w:t>
      </w:r>
    </w:p>
    <w:p w:rsidR="008F5025" w:rsidRDefault="008F5025" w:rsidP="008F5025">
      <w:pPr>
        <w:pStyle w:val="a3"/>
        <w:rPr>
          <w:kern w:val="0"/>
        </w:rPr>
      </w:pPr>
      <w:r>
        <w:rPr>
          <w:rFonts w:hint="eastAsia"/>
          <w:kern w:val="0"/>
        </w:rPr>
        <w:t>? Anderson, L.A., Duncombe, A.S., Hughes, M., Mills, M.E., Wilson, J.C.</w:t>
      </w:r>
      <w:r w:rsidR="005853A9">
        <w:rPr>
          <w:rFonts w:hint="eastAsia"/>
          <w:kern w:val="0"/>
        </w:rPr>
        <w:t xml:space="preserve"> and </w:t>
      </w:r>
      <w:r>
        <w:rPr>
          <w:rFonts w:hint="eastAsia"/>
          <w:kern w:val="0"/>
        </w:rPr>
        <w:t>McMullin, M.F. (2012), Environmental, lifestyle,</w:t>
      </w:r>
      <w:r w:rsidR="005853A9">
        <w:rPr>
          <w:rFonts w:hint="eastAsia"/>
          <w:kern w:val="0"/>
        </w:rPr>
        <w:t xml:space="preserve"> and </w:t>
      </w:r>
      <w:r>
        <w:rPr>
          <w:rFonts w:hint="eastAsia"/>
          <w:kern w:val="0"/>
        </w:rPr>
        <w:t xml:space="preserve">familial/ethnic factors associated with myeloproliferative neoplasms. </w:t>
      </w:r>
      <w:r>
        <w:rPr>
          <w:rFonts w:hint="eastAsia"/>
          <w:i/>
          <w:iCs/>
          <w:kern w:val="0"/>
        </w:rPr>
        <w:t>American Journal</w:t>
      </w:r>
      <w:r w:rsidR="00427468">
        <w:rPr>
          <w:rFonts w:hint="eastAsia"/>
          <w:i/>
          <w:iCs/>
          <w:kern w:val="0"/>
        </w:rPr>
        <w:t xml:space="preserve"> of </w:t>
      </w:r>
      <w:r>
        <w:rPr>
          <w:rFonts w:hint="eastAsia"/>
          <w:i/>
          <w:iCs/>
          <w:kern w:val="0"/>
        </w:rPr>
        <w:t>Hematology</w:t>
      </w:r>
      <w:r>
        <w:rPr>
          <w:rFonts w:hint="eastAsia"/>
          <w:kern w:val="0"/>
        </w:rPr>
        <w:t xml:space="preserve">, </w:t>
      </w:r>
      <w:r>
        <w:rPr>
          <w:rFonts w:hint="eastAsia"/>
          <w:b/>
          <w:bCs/>
          <w:kern w:val="0"/>
        </w:rPr>
        <w:t>87</w:t>
      </w:r>
      <w:r>
        <w:rPr>
          <w:rFonts w:hint="eastAsia"/>
          <w:kern w:val="0"/>
        </w:rPr>
        <w:t xml:space="preserve"> (2), 175-182.</w:t>
      </w:r>
    </w:p>
    <w:p w:rsidR="008F5025" w:rsidRDefault="008F5025" w:rsidP="008F5025">
      <w:pPr>
        <w:pStyle w:val="a3"/>
        <w:rPr>
          <w:kern w:val="0"/>
        </w:rPr>
      </w:pPr>
      <w:r>
        <w:rPr>
          <w:rFonts w:hint="eastAsia"/>
          <w:kern w:val="0"/>
        </w:rPr>
        <w:t xml:space="preserve">Full Text: </w:t>
      </w:r>
      <w:hyperlink r:id="rId495" w:history="1">
        <w:r>
          <w:rPr>
            <w:rStyle w:val="a5"/>
            <w:rFonts w:hint="eastAsia"/>
          </w:rPr>
          <w:t>2012\Ame J Hem87, 175.pdf</w:t>
        </w:r>
      </w:hyperlink>
    </w:p>
    <w:p w:rsidR="008F5025" w:rsidRDefault="001E1D98" w:rsidP="008F5025">
      <w:pPr>
        <w:pStyle w:val="a3"/>
        <w:rPr>
          <w:kern w:val="0"/>
        </w:rPr>
      </w:pPr>
      <w:r>
        <w:rPr>
          <w:rFonts w:hint="eastAsia"/>
          <w:kern w:val="0"/>
        </w:rPr>
        <w:t>Abstract:</w:t>
      </w:r>
      <w:r w:rsidR="008F5025">
        <w:rPr>
          <w:rFonts w:hint="eastAsia"/>
          <w:kern w:val="0"/>
        </w:rPr>
        <w:t xml:space="preserve"> Myeloproliferative neoplasms (MPNs) are characterized by overproduction</w:t>
      </w:r>
      <w:r w:rsidR="00427468">
        <w:rPr>
          <w:rFonts w:hint="eastAsia"/>
          <w:kern w:val="0"/>
        </w:rPr>
        <w:t xml:space="preserve"> of </w:t>
      </w:r>
      <w:r w:rsidR="008F5025">
        <w:rPr>
          <w:rFonts w:hint="eastAsia"/>
          <w:kern w:val="0"/>
        </w:rPr>
        <w:t>mature functional blood cells</w:t>
      </w:r>
      <w:r w:rsidR="005853A9">
        <w:rPr>
          <w:rFonts w:hint="eastAsia"/>
          <w:kern w:val="0"/>
        </w:rPr>
        <w:t xml:space="preserve"> and </w:t>
      </w:r>
      <w:r w:rsidR="008F5025">
        <w:rPr>
          <w:rFonts w:hint="eastAsia"/>
          <w:kern w:val="0"/>
        </w:rPr>
        <w:t>are often associated with an acquired genetic mutation</w:t>
      </w:r>
      <w:r w:rsidR="00427468">
        <w:rPr>
          <w:rFonts w:hint="eastAsia"/>
          <w:kern w:val="0"/>
        </w:rPr>
        <w:t xml:space="preserve"> of </w:t>
      </w:r>
      <w:r w:rsidR="008F5025">
        <w:rPr>
          <w:rFonts w:hint="eastAsia"/>
          <w:kern w:val="0"/>
        </w:rPr>
        <w:t>Janus Kinase 2V617F</w:t>
      </w:r>
      <w:r w:rsidR="00A37C1D">
        <w:rPr>
          <w:rFonts w:hint="eastAsia"/>
          <w:kern w:val="0"/>
        </w:rPr>
        <w:t>. The</w:t>
      </w:r>
      <w:r w:rsidR="003A1917">
        <w:rPr>
          <w:rFonts w:hint="eastAsia"/>
          <w:kern w:val="0"/>
        </w:rPr>
        <w:t xml:space="preserve"> </w:t>
      </w:r>
      <w:r w:rsidR="008F5025">
        <w:rPr>
          <w:rFonts w:hint="eastAsia"/>
          <w:kern w:val="0"/>
        </w:rPr>
        <w:t>etiology</w:t>
      </w:r>
      <w:r w:rsidR="00427468">
        <w:rPr>
          <w:rFonts w:hint="eastAsia"/>
          <w:kern w:val="0"/>
        </w:rPr>
        <w:t xml:space="preserve"> of </w:t>
      </w:r>
      <w:r w:rsidR="008F5025">
        <w:rPr>
          <w:rFonts w:hint="eastAsia"/>
          <w:kern w:val="0"/>
        </w:rPr>
        <w:t>MPNs remains unknown</w:t>
      </w:r>
      <w:r w:rsidR="00A37C1D">
        <w:rPr>
          <w:rFonts w:hint="eastAsia"/>
          <w:kern w:val="0"/>
        </w:rPr>
        <w:t>. The</w:t>
      </w:r>
      <w:r w:rsidR="003A1917">
        <w:rPr>
          <w:rFonts w:hint="eastAsia"/>
          <w:kern w:val="0"/>
        </w:rPr>
        <w:t xml:space="preserve"> </w:t>
      </w:r>
      <w:r w:rsidR="008F5025">
        <w:rPr>
          <w:rFonts w:hint="eastAsia"/>
          <w:kern w:val="0"/>
        </w:rPr>
        <w:t>aim</w:t>
      </w:r>
      <w:r w:rsidR="00427468">
        <w:rPr>
          <w:rFonts w:hint="eastAsia"/>
          <w:kern w:val="0"/>
        </w:rPr>
        <w:t xml:space="preserve"> of </w:t>
      </w:r>
      <w:r w:rsidR="008F5025">
        <w:rPr>
          <w:rFonts w:hint="eastAsia"/>
          <w:kern w:val="0"/>
        </w:rPr>
        <w:t>this article was to review</w:t>
      </w:r>
      <w:r w:rsidR="005853A9">
        <w:rPr>
          <w:rFonts w:hint="eastAsia"/>
          <w:kern w:val="0"/>
        </w:rPr>
        <w:t xml:space="preserve"> and </w:t>
      </w:r>
      <w:r w:rsidR="008F5025">
        <w:rPr>
          <w:rFonts w:hint="eastAsia"/>
          <w:kern w:val="0"/>
        </w:rPr>
        <w:t>collate all known published data investigating environmental</w:t>
      </w:r>
      <w:r w:rsidR="005853A9">
        <w:rPr>
          <w:rFonts w:hint="eastAsia"/>
          <w:kern w:val="0"/>
        </w:rPr>
        <w:t xml:space="preserve"> and </w:t>
      </w:r>
      <w:r w:rsidR="008F5025">
        <w:rPr>
          <w:rFonts w:hint="eastAsia"/>
          <w:kern w:val="0"/>
        </w:rPr>
        <w:t xml:space="preserve">lifestyle factors associated with MPNs. </w:t>
      </w:r>
      <w:r w:rsidR="00D5664A">
        <w:rPr>
          <w:rFonts w:hint="eastAsia"/>
          <w:kern w:val="0"/>
        </w:rPr>
        <w:t>MEDLINE</w:t>
      </w:r>
      <w:r w:rsidR="008F5025">
        <w:rPr>
          <w:rFonts w:hint="eastAsia"/>
          <w:kern w:val="0"/>
        </w:rPr>
        <w:t>, Embase, PubMed, Cochrane,</w:t>
      </w:r>
      <w:r w:rsidR="005853A9">
        <w:rPr>
          <w:rFonts w:hint="eastAsia"/>
          <w:kern w:val="0"/>
        </w:rPr>
        <w:t xml:space="preserve"> and </w:t>
      </w:r>
      <w:r w:rsidR="00D5664A">
        <w:rPr>
          <w:rFonts w:hint="eastAsia"/>
          <w:kern w:val="0"/>
        </w:rPr>
        <w:t>Web</w:t>
      </w:r>
      <w:r w:rsidR="00427468">
        <w:rPr>
          <w:rFonts w:hint="eastAsia"/>
          <w:kern w:val="0"/>
        </w:rPr>
        <w:t xml:space="preserve"> of </w:t>
      </w:r>
      <w:r w:rsidR="00D5664A">
        <w:rPr>
          <w:rFonts w:hint="eastAsia"/>
          <w:kern w:val="0"/>
        </w:rPr>
        <w:t>Science</w:t>
      </w:r>
      <w:r w:rsidR="008F5025">
        <w:rPr>
          <w:rFonts w:hint="eastAsia"/>
          <w:kern w:val="0"/>
        </w:rPr>
        <w:t xml:space="preserve"> were systematically searched using terms for MPNs</w:t>
      </w:r>
      <w:r w:rsidR="005853A9">
        <w:rPr>
          <w:rFonts w:hint="eastAsia"/>
          <w:kern w:val="0"/>
        </w:rPr>
        <w:t xml:space="preserve"> and </w:t>
      </w:r>
      <w:r w:rsidR="008F5025">
        <w:rPr>
          <w:rFonts w:hint="eastAsia"/>
          <w:kern w:val="0"/>
        </w:rPr>
        <w:t>observational study designs to identify studies investigating</w:t>
      </w:r>
      <w:r w:rsidR="003A1917">
        <w:rPr>
          <w:rFonts w:hint="eastAsia"/>
          <w:kern w:val="0"/>
        </w:rPr>
        <w:t xml:space="preserve"> the </w:t>
      </w:r>
      <w:r w:rsidR="008F5025">
        <w:rPr>
          <w:rFonts w:hint="eastAsia"/>
          <w:kern w:val="0"/>
        </w:rPr>
        <w:t>risk factors for MPNs published before March 2010.</w:t>
      </w:r>
      <w:r w:rsidR="00427468">
        <w:rPr>
          <w:rFonts w:hint="eastAsia"/>
          <w:kern w:val="0"/>
        </w:rPr>
        <w:t xml:space="preserve"> of </w:t>
      </w:r>
      <w:r w:rsidR="008F5025">
        <w:rPr>
          <w:rFonts w:hint="eastAsia"/>
          <w:kern w:val="0"/>
        </w:rPr>
        <w:t>9,156 articles identified, 19 met</w:t>
      </w:r>
      <w:r w:rsidR="003A1917">
        <w:rPr>
          <w:rFonts w:hint="eastAsia"/>
          <w:kern w:val="0"/>
        </w:rPr>
        <w:t xml:space="preserve"> the </w:t>
      </w:r>
      <w:r w:rsidR="008F5025">
        <w:rPr>
          <w:rFonts w:hint="eastAsia"/>
          <w:kern w:val="0"/>
        </w:rPr>
        <w:t>selection criteria. Although</w:t>
      </w:r>
      <w:r w:rsidR="003A1917">
        <w:rPr>
          <w:rFonts w:hint="eastAsia"/>
          <w:kern w:val="0"/>
        </w:rPr>
        <w:t xml:space="preserve"> the </w:t>
      </w:r>
      <w:r w:rsidR="008F5025">
        <w:rPr>
          <w:rFonts w:hint="eastAsia"/>
          <w:kern w:val="0"/>
        </w:rPr>
        <w:t>studies exhibited heterogeneity, in case definitions, study design,</w:t>
      </w:r>
      <w:r w:rsidR="005853A9">
        <w:rPr>
          <w:rFonts w:hint="eastAsia"/>
          <w:kern w:val="0"/>
        </w:rPr>
        <w:t xml:space="preserve"> and </w:t>
      </w:r>
      <w:r w:rsidR="008F5025">
        <w:rPr>
          <w:rFonts w:hint="eastAsia"/>
          <w:kern w:val="0"/>
        </w:rPr>
        <w:t>risk factors investigated, several themes emerged. A strong association was found with Jewish descent,</w:t>
      </w:r>
      <w:r w:rsidR="005853A9">
        <w:rPr>
          <w:rFonts w:hint="eastAsia"/>
          <w:kern w:val="0"/>
        </w:rPr>
        <w:t xml:space="preserve"> and </w:t>
      </w:r>
      <w:r w:rsidR="008F5025">
        <w:rPr>
          <w:rFonts w:hint="eastAsia"/>
          <w:kern w:val="0"/>
        </w:rPr>
        <w:t>with a family history</w:t>
      </w:r>
      <w:r w:rsidR="00427468">
        <w:rPr>
          <w:rFonts w:hint="eastAsia"/>
          <w:kern w:val="0"/>
        </w:rPr>
        <w:t xml:space="preserve"> of </w:t>
      </w:r>
      <w:r w:rsidR="008F5025">
        <w:rPr>
          <w:rFonts w:hint="eastAsia"/>
          <w:kern w:val="0"/>
        </w:rPr>
        <w:t>MPNs. Autoimmune conditions, specifically Crohn</w:t>
      </w:r>
      <w:r w:rsidR="00700038">
        <w:rPr>
          <w:kern w:val="0"/>
        </w:rPr>
        <w:t>’</w:t>
      </w:r>
      <w:r w:rsidR="008F5025">
        <w:rPr>
          <w:rFonts w:hint="eastAsia"/>
          <w:kern w:val="0"/>
        </w:rPr>
        <w:t>s disease, were more common in patients with MPNs. Certain occupational groups were significantly associated with MPNs including occupations with potential exposure to benzene and/or petroleum. Blood donation was associated with an increased risk</w:t>
      </w:r>
      <w:r w:rsidR="00427468">
        <w:rPr>
          <w:rFonts w:hint="eastAsia"/>
          <w:kern w:val="0"/>
        </w:rPr>
        <w:t xml:space="preserve"> of </w:t>
      </w:r>
      <w:r w:rsidR="008F5025">
        <w:rPr>
          <w:rFonts w:hint="eastAsia"/>
          <w:kern w:val="0"/>
        </w:rPr>
        <w:t>polycythemia vera specifically</w:t>
      </w:r>
      <w:r w:rsidR="00A37C1D">
        <w:rPr>
          <w:rFonts w:hint="eastAsia"/>
          <w:kern w:val="0"/>
        </w:rPr>
        <w:t>. The</w:t>
      </w:r>
      <w:r w:rsidR="003A1917">
        <w:rPr>
          <w:rFonts w:hint="eastAsia"/>
          <w:kern w:val="0"/>
        </w:rPr>
        <w:t xml:space="preserve"> </w:t>
      </w:r>
      <w:r w:rsidR="008F5025">
        <w:rPr>
          <w:rFonts w:hint="eastAsia"/>
          <w:kern w:val="0"/>
        </w:rPr>
        <w:t>vast heterogeneity in studies identified as part</w:t>
      </w:r>
      <w:r w:rsidR="00427468">
        <w:rPr>
          <w:rFonts w:hint="eastAsia"/>
          <w:kern w:val="0"/>
        </w:rPr>
        <w:t xml:space="preserve"> of </w:t>
      </w:r>
      <w:r w:rsidR="008F5025">
        <w:rPr>
          <w:rFonts w:hint="eastAsia"/>
          <w:kern w:val="0"/>
        </w:rPr>
        <w:t>this review suggests that large scale systematic assessment</w:t>
      </w:r>
      <w:r w:rsidR="00427468">
        <w:rPr>
          <w:rFonts w:hint="eastAsia"/>
          <w:kern w:val="0"/>
        </w:rPr>
        <w:t xml:space="preserve"> of </w:t>
      </w:r>
      <w:r w:rsidR="008F5025">
        <w:rPr>
          <w:rFonts w:hint="eastAsia"/>
          <w:kern w:val="0"/>
        </w:rPr>
        <w:t>etiological factors associated with MPNs is warranted. (C) 2011 Wiley-Liss, Inc.</w:t>
      </w:r>
    </w:p>
    <w:p w:rsidR="008F5025" w:rsidRDefault="008F5025" w:rsidP="008F5025">
      <w:pPr>
        <w:pStyle w:val="a3"/>
        <w:rPr>
          <w:kern w:val="0"/>
        </w:rPr>
      </w:pPr>
      <w:r>
        <w:rPr>
          <w:rFonts w:hint="eastAsia"/>
          <w:kern w:val="0"/>
        </w:rPr>
        <w:t>Keywords: Articles, Assessment, Association, Autoimmune, Benzene, Blood, Cochrane, Crohn</w:t>
      </w:r>
      <w:r w:rsidR="00700038">
        <w:rPr>
          <w:kern w:val="0"/>
        </w:rPr>
        <w:t>’</w:t>
      </w:r>
      <w:r>
        <w:rPr>
          <w:rFonts w:hint="eastAsia"/>
          <w:kern w:val="0"/>
        </w:rPr>
        <w:t xml:space="preserve">S Disease, Definitions, Design, Disease, Environmental, Essential Thrombocythemia, Etiology, Exposure, Family, Functional, Genetic, Giant-Cell Arteritis, History, JAK2, Lymphoproliferative Disorders, </w:t>
      </w:r>
      <w:r w:rsidR="00D5664A">
        <w:rPr>
          <w:rFonts w:hint="eastAsia"/>
          <w:kern w:val="0"/>
        </w:rPr>
        <w:t>MEDLINE</w:t>
      </w:r>
      <w:r>
        <w:rPr>
          <w:rFonts w:hint="eastAsia"/>
          <w:kern w:val="0"/>
        </w:rPr>
        <w:t xml:space="preserve">, Mortality, Mutations, Myeloid Disorders, Neoplasms, Observational, Observational Study, Occupational, Occupational-Exposure, Patients, Polycythemia-Vera, Pubmed, Review, Risk, Risk Factors, Science, Systematic, </w:t>
      </w:r>
      <w:r w:rsidR="00D5664A">
        <w:rPr>
          <w:rFonts w:hint="eastAsia"/>
          <w:kern w:val="0"/>
        </w:rPr>
        <w:t>Web</w:t>
      </w:r>
      <w:r w:rsidR="00427468">
        <w:rPr>
          <w:rFonts w:hint="eastAsia"/>
          <w:kern w:val="0"/>
        </w:rPr>
        <w:t xml:space="preserve"> of </w:t>
      </w:r>
      <w:r w:rsidR="00D5664A">
        <w:rPr>
          <w:rFonts w:hint="eastAsia"/>
          <w:kern w:val="0"/>
        </w:rPr>
        <w:t>Science</w:t>
      </w:r>
      <w:r>
        <w:rPr>
          <w:rFonts w:hint="eastAsia"/>
          <w:kern w:val="0"/>
        </w:rPr>
        <w:t xml:space="preserve">, </w:t>
      </w:r>
      <w:r w:rsidR="00D5664A">
        <w:rPr>
          <w:rFonts w:hint="eastAsia"/>
          <w:kern w:val="0"/>
        </w:rPr>
        <w:t>Web-of-Science</w:t>
      </w:r>
    </w:p>
    <w:p w:rsidR="001E1D98" w:rsidRDefault="001E1D98" w:rsidP="001E1D98">
      <w:pPr>
        <w:pStyle w:val="a3"/>
        <w:rPr>
          <w:kern w:val="0"/>
        </w:rPr>
      </w:pPr>
      <w:r>
        <w:rPr>
          <w:rFonts w:hint="eastAsia"/>
          <w:kern w:val="0"/>
        </w:rPr>
        <w:t xml:space="preserve">? </w:t>
      </w:r>
      <w:r>
        <w:rPr>
          <w:kern w:val="0"/>
        </w:rPr>
        <w:t>Titmarsh, G.J., Duncombe, A.S., McMullin, M.F., O</w:t>
      </w:r>
      <w:r w:rsidR="00700038">
        <w:rPr>
          <w:kern w:val="0"/>
        </w:rPr>
        <w:t>’</w:t>
      </w:r>
      <w:r>
        <w:rPr>
          <w:kern w:val="0"/>
        </w:rPr>
        <w:t xml:space="preserve">Rorke, M., Mesa, R., DeVocht, F., Horan, S., Fritschi, L., Clarke, M. and Anderson, L.A. (2014), How common are </w:t>
      </w:r>
      <w:r>
        <w:rPr>
          <w:kern w:val="0"/>
        </w:rPr>
        <w:lastRenderedPageBreak/>
        <w:t xml:space="preserve">myeloproliferative neoplasms? A systematic review and meta-analysis. </w:t>
      </w:r>
      <w:r>
        <w:rPr>
          <w:i/>
          <w:iCs/>
          <w:kern w:val="0"/>
        </w:rPr>
        <w:t>American Journal of Hematology</w:t>
      </w:r>
      <w:r>
        <w:rPr>
          <w:kern w:val="0"/>
        </w:rPr>
        <w:t xml:space="preserve">, </w:t>
      </w:r>
      <w:r>
        <w:rPr>
          <w:b/>
          <w:bCs/>
          <w:kern w:val="0"/>
        </w:rPr>
        <w:t>89</w:t>
      </w:r>
      <w:r>
        <w:rPr>
          <w:kern w:val="0"/>
        </w:rPr>
        <w:t xml:space="preserve"> (6), 581-587.</w:t>
      </w:r>
    </w:p>
    <w:p w:rsidR="001E1D98" w:rsidRDefault="001E1D98" w:rsidP="001E1D98">
      <w:pPr>
        <w:pStyle w:val="a3"/>
        <w:rPr>
          <w:kern w:val="0"/>
        </w:rPr>
      </w:pPr>
      <w:r>
        <w:rPr>
          <w:rFonts w:hint="eastAsia"/>
          <w:kern w:val="0"/>
        </w:rPr>
        <w:t xml:space="preserve">Full Text: </w:t>
      </w:r>
      <w:hyperlink r:id="rId496" w:history="1">
        <w:r w:rsidRPr="002F2A94">
          <w:rPr>
            <w:rStyle w:val="a5"/>
            <w:kern w:val="0"/>
          </w:rPr>
          <w:t>2014\Ame J Hem89, 581.pdf</w:t>
        </w:r>
      </w:hyperlink>
    </w:p>
    <w:p w:rsidR="001E1D98" w:rsidRDefault="001E1D98" w:rsidP="001E1D98">
      <w:pPr>
        <w:pStyle w:val="a3"/>
        <w:rPr>
          <w:kern w:val="0"/>
        </w:rPr>
      </w:pPr>
      <w:r>
        <w:rPr>
          <w:kern w:val="0"/>
        </w:rPr>
        <w:t>Abstract: Myeloproliferative neoplasms (MPNs) are a heterogeneous group of diseases including polycythemia vera (PV), essential thrombocythemia (ET), and primary(idiopathic) myelofibrosis (PMF). In this systematic review, we provide a comprehensive report on the incidence and prevalence of MPNs across the globe. Electronic databases (PubMed, EMBASE, MEDLINE, and Web of Science) were searched from their inception to August 2012 for articles reporting MPN incidence or prevalence rates. A random effects meta-analysis was undertaken to produce combined incidence rates for PV, ET, and PMF. Both heterogeneity and small study bias were assessed. Thirty-four studies were included. Reported annual incidence rates ranged from 0.01 to 2.61, 0.21 to 2.27, and 0.22 to 0.99 per 100,000 for PV, ET, and PMF, respectively</w:t>
      </w:r>
      <w:r w:rsidR="00A37C1D">
        <w:rPr>
          <w:kern w:val="0"/>
        </w:rPr>
        <w:t>. The</w:t>
      </w:r>
      <w:r>
        <w:rPr>
          <w:kern w:val="0"/>
        </w:rPr>
        <w:t xml:space="preserve"> combined annual incidence rates for PV, ET, and PMF were 0.84, 1.03, and 0.47 per 100,000</w:t>
      </w:r>
      <w:r w:rsidR="00A37C1D">
        <w:rPr>
          <w:kern w:val="0"/>
        </w:rPr>
        <w:t>. The</w:t>
      </w:r>
      <w:r>
        <w:rPr>
          <w:kern w:val="0"/>
        </w:rPr>
        <w:t>re was high heterogeneity across disease entities (I-2 97.1-99.8%) and evidence of publication bias for ET and PMF (Egger test, P=0.007 and P0.001, respectively).The pooled incidence reflects the rarity of MPNs</w:t>
      </w:r>
      <w:r w:rsidR="00A37C1D">
        <w:rPr>
          <w:kern w:val="0"/>
        </w:rPr>
        <w:t>. The</w:t>
      </w:r>
      <w:r>
        <w:rPr>
          <w:kern w:val="0"/>
        </w:rPr>
        <w:t xml:space="preserve"> calculated pooled incidence rates do not reflect MPN incidence across the globe due to the high unexplained heterogeneity. Improved, widespread registration of MPNs would provide better information for global comparison of the incidence and prevalence of MPNs. Am. J. Hematol. 89:581-587, 2014. (c) 2014 Wiley Periodicals, Inc.</w:t>
      </w:r>
    </w:p>
    <w:p w:rsidR="001E1D98" w:rsidRDefault="001E1D98" w:rsidP="001E1D98">
      <w:pPr>
        <w:pStyle w:val="a3"/>
        <w:rPr>
          <w:kern w:val="0"/>
        </w:rPr>
      </w:pPr>
      <w:r>
        <w:rPr>
          <w:kern w:val="0"/>
        </w:rPr>
        <w:t>Keywords: Acute-Leukemia, Articles, Bias, Clinical-Trials, Comparison, Databases, Disease, Diseases, Effects, Embase, Essential Thrombocythemia, Evidence, Global, Hematological Malignancies, Heterogeneity, Incidence, Information, Medline, Meta Analysis, Meta-Analysis, Metaanalysis, Myelodysplastic Syndromes, Myeloid Malignancies, Neoplasms, Olmsted County, Periodicals, Polycythemia, Polycythemia-Vera, Prevalence, Publication, Publication Bias, Pubmed, Rarity, Rates, Reporting, Review, Science, Sex Distributions, Small, Systematic, Systematic Review, Web Of Science, World-Health-Organization</w:t>
      </w:r>
    </w:p>
    <w:p w:rsidR="003474F2" w:rsidRPr="001A3D2B" w:rsidRDefault="003474F2" w:rsidP="003474F2">
      <w:pPr>
        <w:pStyle w:val="1"/>
      </w:pPr>
      <w:r w:rsidRPr="001A3D2B">
        <w:br w:type="page"/>
      </w:r>
      <w:bookmarkStart w:id="274" w:name="_Toc420814396"/>
      <w:r w:rsidRPr="001A3D2B">
        <w:lastRenderedPageBreak/>
        <w:t>Title: American Journal</w:t>
      </w:r>
      <w:r w:rsidR="00427468">
        <w:t xml:space="preserve"> of </w:t>
      </w:r>
      <w:r w:rsidRPr="001A3D2B">
        <w:t>Hospice</w:t>
      </w:r>
      <w:r w:rsidR="005853A9">
        <w:t xml:space="preserve"> and </w:t>
      </w:r>
      <w:r w:rsidRPr="001A3D2B">
        <w:t>Palliative Medicine</w:t>
      </w:r>
      <w:bookmarkEnd w:id="274"/>
    </w:p>
    <w:p w:rsidR="003474F2" w:rsidRPr="001A3D2B" w:rsidRDefault="003474F2" w:rsidP="003474F2">
      <w:pPr>
        <w:pStyle w:val="12"/>
      </w:pPr>
      <w:r w:rsidRPr="001A3D2B">
        <w:t xml:space="preserve">Full Journal Title: </w:t>
      </w:r>
      <w:hyperlink r:id="rId497" w:history="1">
        <w:r w:rsidRPr="001A3D2B">
          <w:rPr>
            <w:rStyle w:val="a5"/>
          </w:rPr>
          <w:t>American Journal</w:t>
        </w:r>
        <w:r w:rsidR="00427468">
          <w:rPr>
            <w:rStyle w:val="a5"/>
          </w:rPr>
          <w:t xml:space="preserve"> of </w:t>
        </w:r>
        <w:r w:rsidRPr="001A3D2B">
          <w:rPr>
            <w:rStyle w:val="a5"/>
          </w:rPr>
          <w:t>Hospice</w:t>
        </w:r>
        <w:r w:rsidR="005853A9">
          <w:rPr>
            <w:rStyle w:val="a5"/>
          </w:rPr>
          <w:t xml:space="preserve"> and </w:t>
        </w:r>
        <w:r w:rsidRPr="001A3D2B">
          <w:rPr>
            <w:rStyle w:val="a5"/>
          </w:rPr>
          <w:t>Palliative Medicine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Hermsen, M.A.</w:t>
      </w:r>
      <w:r w:rsidR="005853A9">
        <w:t xml:space="preserve"> and </w:t>
      </w:r>
      <w:r w:rsidRPr="001A3D2B">
        <w:t>ten Have, H.A.M.J. (2004), Pastoral care, spirituality,</w:t>
      </w:r>
      <w:r w:rsidR="005853A9">
        <w:t xml:space="preserve"> and </w:t>
      </w:r>
      <w:r w:rsidRPr="001A3D2B">
        <w:t xml:space="preserve">religion in palliative care journals. </w:t>
      </w:r>
      <w:r w:rsidRPr="001A3D2B">
        <w:rPr>
          <w:i/>
          <w:iCs/>
        </w:rPr>
        <w:t>American Journal</w:t>
      </w:r>
      <w:r w:rsidR="00427468">
        <w:rPr>
          <w:i/>
          <w:iCs/>
        </w:rPr>
        <w:t xml:space="preserve"> of </w:t>
      </w:r>
      <w:r w:rsidRPr="001A3D2B">
        <w:rPr>
          <w:i/>
          <w:iCs/>
        </w:rPr>
        <w:t>Hospice</w:t>
      </w:r>
      <w:r w:rsidR="005853A9">
        <w:rPr>
          <w:i/>
          <w:iCs/>
        </w:rPr>
        <w:t xml:space="preserve"> and </w:t>
      </w:r>
      <w:r w:rsidRPr="001A3D2B">
        <w:rPr>
          <w:i/>
          <w:iCs/>
        </w:rPr>
        <w:t>Palliative Medicine</w:t>
      </w:r>
      <w:r w:rsidRPr="001A3D2B">
        <w:t xml:space="preserve">, </w:t>
      </w:r>
      <w:r w:rsidRPr="001A3D2B">
        <w:rPr>
          <w:b/>
          <w:bCs/>
        </w:rPr>
        <w:t>21</w:t>
      </w:r>
      <w:r w:rsidRPr="001A3D2B">
        <w:t xml:space="preserve"> (5), 353-356.</w:t>
      </w:r>
    </w:p>
    <w:p w:rsidR="003474F2" w:rsidRPr="001A3D2B" w:rsidRDefault="003474F2" w:rsidP="003474F2">
      <w:pPr>
        <w:pStyle w:val="a3"/>
      </w:pPr>
      <w:r w:rsidRPr="001A3D2B">
        <w:t xml:space="preserve">Full Text: </w:t>
      </w:r>
      <w:hyperlink r:id="rId498" w:history="1">
        <w:r w:rsidRPr="001A3D2B">
          <w:rPr>
            <w:rStyle w:val="a5"/>
            <w:iCs/>
          </w:rPr>
          <w:t>2004\Ame J Hos Pal Med21, 353.pdf</w:t>
        </w:r>
      </w:hyperlink>
    </w:p>
    <w:p w:rsidR="003474F2" w:rsidRPr="001A3D2B" w:rsidRDefault="003474F2" w:rsidP="003474F2">
      <w:pPr>
        <w:pStyle w:val="a3"/>
      </w:pPr>
      <w:r w:rsidRPr="001A3D2B">
        <w:t>Abstract: With</w:t>
      </w:r>
      <w:r w:rsidR="003A1917">
        <w:t xml:space="preserve"> the </w:t>
      </w:r>
      <w:r w:rsidRPr="001A3D2B">
        <w:t>growth</w:t>
      </w:r>
      <w:r w:rsidR="005853A9">
        <w:t xml:space="preserve"> and </w:t>
      </w:r>
      <w:r w:rsidRPr="001A3D2B">
        <w:t>development</w:t>
      </w:r>
      <w:r w:rsidR="00427468">
        <w:t xml:space="preserve"> of </w:t>
      </w:r>
      <w:r w:rsidRPr="001A3D2B">
        <w:t>palliative care, interest in pastoral care, spirituality,</w:t>
      </w:r>
      <w:r w:rsidR="005853A9">
        <w:t xml:space="preserve"> and </w:t>
      </w:r>
      <w:r w:rsidRPr="001A3D2B">
        <w:t>religion also seems to be growing</w:t>
      </w:r>
      <w:r w:rsidR="00A37C1D">
        <w:t>. The</w:t>
      </w:r>
      <w:r w:rsidR="003A1917">
        <w:t xml:space="preserve"> </w:t>
      </w:r>
      <w:r w:rsidRPr="001A3D2B">
        <w:t>aim</w:t>
      </w:r>
      <w:r w:rsidR="00427468">
        <w:t xml:space="preserve"> of </w:t>
      </w:r>
      <w:r w:rsidRPr="001A3D2B">
        <w:t>this article is to review</w:t>
      </w:r>
      <w:r w:rsidR="003A1917">
        <w:t xml:space="preserve"> the </w:t>
      </w:r>
      <w:r w:rsidRPr="001A3D2B">
        <w:t>topic</w:t>
      </w:r>
      <w:r w:rsidR="00427468">
        <w:t xml:space="preserve"> of </w:t>
      </w:r>
      <w:r w:rsidRPr="001A3D2B">
        <w:t>pastoral care, spirituality,</w:t>
      </w:r>
      <w:r w:rsidR="005853A9">
        <w:t xml:space="preserve"> and </w:t>
      </w:r>
      <w:r w:rsidRPr="001A3D2B">
        <w:t>religion appearing in</w:t>
      </w:r>
      <w:r w:rsidR="003A1917">
        <w:t xml:space="preserve"> the </w:t>
      </w:r>
      <w:r w:rsidRPr="001A3D2B">
        <w:t>journals</w:t>
      </w:r>
      <w:r w:rsidR="00427468">
        <w:t xml:space="preserve"> of </w:t>
      </w:r>
      <w:r w:rsidRPr="001A3D2B">
        <w:t>palliative care, between January 1984</w:t>
      </w:r>
      <w:r w:rsidR="005853A9">
        <w:t xml:space="preserve"> and </w:t>
      </w:r>
      <w:r w:rsidRPr="001A3D2B">
        <w:t>January 2002.</w:t>
      </w:r>
    </w:p>
    <w:p w:rsidR="003474F2" w:rsidRPr="001A3D2B" w:rsidRDefault="003474F2" w:rsidP="003474F2">
      <w:pPr>
        <w:pStyle w:val="a3"/>
      </w:pPr>
      <w:r w:rsidRPr="001A3D2B">
        <w:t>Keywords: Care, Development, Growth, Journals, Palliative Care, Religion, Review</w:t>
      </w:r>
    </w:p>
    <w:p w:rsidR="003474F2" w:rsidRPr="001A3D2B" w:rsidRDefault="003474F2" w:rsidP="003474F2">
      <w:pPr>
        <w:pStyle w:val="1"/>
      </w:pPr>
      <w:r w:rsidRPr="001A3D2B">
        <w:br w:type="page"/>
      </w:r>
      <w:bookmarkStart w:id="275" w:name="_Toc420814397"/>
      <w:r w:rsidRPr="001A3D2B">
        <w:lastRenderedPageBreak/>
        <w:t>Title: American Journal</w:t>
      </w:r>
      <w:r w:rsidR="00427468">
        <w:t xml:space="preserve"> of </w:t>
      </w:r>
      <w:r w:rsidRPr="001A3D2B">
        <w:t>Human Biology</w:t>
      </w:r>
      <w:bookmarkEnd w:id="275"/>
    </w:p>
    <w:p w:rsidR="003474F2" w:rsidRPr="001A3D2B" w:rsidRDefault="003474F2" w:rsidP="003474F2">
      <w:pPr>
        <w:pStyle w:val="12"/>
      </w:pPr>
      <w:r w:rsidRPr="001A3D2B">
        <w:t xml:space="preserve">Full Journal Title: </w:t>
      </w:r>
      <w:hyperlink r:id="rId499" w:history="1">
        <w:r w:rsidRPr="001A3D2B">
          <w:rPr>
            <w:rStyle w:val="a5"/>
            <w:iCs/>
          </w:rPr>
          <w:t>American Journal</w:t>
        </w:r>
        <w:r w:rsidR="00427468">
          <w:rPr>
            <w:rStyle w:val="a5"/>
            <w:iCs/>
          </w:rPr>
          <w:t xml:space="preserve"> of </w:t>
        </w:r>
        <w:r w:rsidRPr="001A3D2B">
          <w:rPr>
            <w:rStyle w:val="a5"/>
            <w:iCs/>
          </w:rPr>
          <w:t>Human Biology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Stinson, S. (2003), Participation</w:t>
      </w:r>
      <w:r w:rsidR="00427468">
        <w:t xml:space="preserve"> of </w:t>
      </w:r>
      <w:r w:rsidRPr="001A3D2B">
        <w:t xml:space="preserve">women in human biology, 1975-2001. </w:t>
      </w:r>
      <w:r w:rsidRPr="001A3D2B">
        <w:rPr>
          <w:i/>
          <w:iCs/>
        </w:rPr>
        <w:t>American Journal</w:t>
      </w:r>
      <w:r w:rsidR="00427468">
        <w:rPr>
          <w:i/>
          <w:iCs/>
        </w:rPr>
        <w:t xml:space="preserve"> of </w:t>
      </w:r>
      <w:r w:rsidRPr="001A3D2B">
        <w:rPr>
          <w:i/>
          <w:iCs/>
        </w:rPr>
        <w:t>Human Biology</w:t>
      </w:r>
      <w:r w:rsidRPr="001A3D2B">
        <w:t xml:space="preserve">, </w:t>
      </w:r>
      <w:r w:rsidRPr="001A3D2B">
        <w:rPr>
          <w:b/>
          <w:bCs/>
        </w:rPr>
        <w:t>15</w:t>
      </w:r>
      <w:r w:rsidRPr="001A3D2B">
        <w:t xml:space="preserve"> (3), 440-445.</w:t>
      </w:r>
    </w:p>
    <w:p w:rsidR="003474F2" w:rsidRPr="001A3D2B" w:rsidRDefault="003474F2" w:rsidP="003474F2">
      <w:pPr>
        <w:pStyle w:val="a3"/>
      </w:pPr>
      <w:r w:rsidRPr="001A3D2B">
        <w:t xml:space="preserve">Full Text: </w:t>
      </w:r>
      <w:hyperlink r:id="rId500" w:history="1">
        <w:r w:rsidRPr="001A3D2B">
          <w:rPr>
            <w:rStyle w:val="a5"/>
          </w:rPr>
          <w:t>2003\Ame J Hum Bio15, 440.pdf</w:t>
        </w:r>
      </w:hyperlink>
    </w:p>
    <w:p w:rsidR="003474F2" w:rsidRPr="001A3D2B" w:rsidRDefault="003474F2" w:rsidP="003474F2">
      <w:pPr>
        <w:pStyle w:val="a3"/>
      </w:pPr>
      <w:r w:rsidRPr="001A3D2B">
        <w:t>Abstract: This study examines trends in women</w:t>
      </w:r>
      <w:r w:rsidR="00700038">
        <w:t>’</w:t>
      </w:r>
      <w:r w:rsidR="00C13DDC">
        <w:t>s</w:t>
      </w:r>
      <w:r w:rsidRPr="001A3D2B">
        <w:t xml:space="preserve"> participation in human biology as indicated by women</w:t>
      </w:r>
      <w:r w:rsidR="00700038">
        <w:t>’</w:t>
      </w:r>
      <w:r w:rsidR="00C13DDC">
        <w:t>s</w:t>
      </w:r>
      <w:r w:rsidRPr="001A3D2B">
        <w:t xml:space="preserve"> membership in</w:t>
      </w:r>
      <w:r w:rsidR="003A1917">
        <w:t xml:space="preserve"> the </w:t>
      </w:r>
      <w:r w:rsidRPr="001A3D2B">
        <w:t>Human Biology Council/Association, first authorship</w:t>
      </w:r>
      <w:r w:rsidR="00427468">
        <w:t xml:space="preserve"> of </w:t>
      </w:r>
      <w:r w:rsidRPr="001A3D2B">
        <w:t>articles in</w:t>
      </w:r>
      <w:r w:rsidR="003A1917">
        <w:t xml:space="preserve"> the </w:t>
      </w:r>
      <w:r w:rsidRPr="001A3D2B">
        <w:t>Human Biology Council/Association journal,</w:t>
      </w:r>
      <w:r w:rsidR="005853A9">
        <w:t xml:space="preserve"> and </w:t>
      </w:r>
      <w:r w:rsidR="003A1917">
        <w:t xml:space="preserve">the </w:t>
      </w:r>
      <w:r w:rsidRPr="001A3D2B">
        <w:t>extent to which women have been</w:t>
      </w:r>
      <w:r w:rsidR="003A1917">
        <w:t xml:space="preserve"> the </w:t>
      </w:r>
      <w:r w:rsidRPr="001A3D2B">
        <w:t>subjects</w:t>
      </w:r>
      <w:r w:rsidR="00427468">
        <w:t xml:space="preserve"> of </w:t>
      </w:r>
      <w:r w:rsidRPr="001A3D2B">
        <w:t>research published in</w:t>
      </w:r>
      <w:r w:rsidR="003A1917">
        <w:t xml:space="preserve"> the </w:t>
      </w:r>
      <w:r w:rsidRPr="001A3D2B">
        <w:t>organization</w:t>
      </w:r>
      <w:r w:rsidR="00700038">
        <w:t>’</w:t>
      </w:r>
      <w:r w:rsidR="00C13DDC">
        <w:t>s</w:t>
      </w:r>
      <w:r w:rsidRPr="001A3D2B">
        <w:t xml:space="preserve"> journal. Gender</w:t>
      </w:r>
      <w:r w:rsidR="00427468">
        <w:t xml:space="preserve"> of </w:t>
      </w:r>
      <w:r w:rsidRPr="001A3D2B">
        <w:t>members was determined from seven membership lists published in</w:t>
      </w:r>
      <w:r w:rsidR="003A1917">
        <w:t xml:space="preserve"> the </w:t>
      </w:r>
      <w:r w:rsidRPr="001A3D2B">
        <w:t>organization</w:t>
      </w:r>
      <w:r w:rsidR="00700038">
        <w:t>’</w:t>
      </w:r>
      <w:r w:rsidR="00C13DDC">
        <w:t>s</w:t>
      </w:r>
      <w:r w:rsidRPr="001A3D2B">
        <w:t xml:space="preserve"> journal from 1977 to 1998,</w:t>
      </w:r>
      <w:r w:rsidR="005853A9">
        <w:t xml:space="preserve"> and </w:t>
      </w:r>
      <w:r w:rsidR="003A1917">
        <w:t xml:space="preserve">the </w:t>
      </w:r>
      <w:r w:rsidRPr="001A3D2B">
        <w:t>gender</w:t>
      </w:r>
      <w:r w:rsidR="00427468">
        <w:t xml:space="preserve"> of </w:t>
      </w:r>
      <w:r w:rsidR="003A1917">
        <w:t xml:space="preserve">the </w:t>
      </w:r>
      <w:r w:rsidRPr="001A3D2B">
        <w:t>first authors was determined for 1,616 articles published in Human Biology or</w:t>
      </w:r>
      <w:r w:rsidR="003A1917">
        <w:t xml:space="preserve"> the </w:t>
      </w:r>
      <w:r w:rsidRPr="001A3D2B">
        <w:t>American Journal</w:t>
      </w:r>
      <w:r w:rsidR="00427468">
        <w:t xml:space="preserve"> of </w:t>
      </w:r>
      <w:r w:rsidRPr="001A3D2B">
        <w:t>Human Biology from 1975 to 2001. Each journal article was also coded as to</w:t>
      </w:r>
      <w:r w:rsidR="003A1917">
        <w:t xml:space="preserve"> the </w:t>
      </w:r>
      <w:r w:rsidRPr="001A3D2B">
        <w:t>first author</w:t>
      </w:r>
      <w:r w:rsidR="00700038">
        <w:t>’</w:t>
      </w:r>
      <w:r w:rsidR="00C13DDC">
        <w:t>s</w:t>
      </w:r>
      <w:r w:rsidRPr="001A3D2B">
        <w:t xml:space="preserve"> country</w:t>
      </w:r>
      <w:r w:rsidR="005853A9">
        <w:t xml:space="preserve"> and </w:t>
      </w:r>
      <w:r w:rsidRPr="001A3D2B">
        <w:t>whether</w:t>
      </w:r>
      <w:r w:rsidR="003A1917">
        <w:t xml:space="preserve"> the </w:t>
      </w:r>
      <w:r w:rsidRPr="001A3D2B">
        <w:t>subjects</w:t>
      </w:r>
      <w:r w:rsidR="00427468">
        <w:t xml:space="preserve"> of </w:t>
      </w:r>
      <w:r w:rsidR="003A1917">
        <w:t xml:space="preserve">the </w:t>
      </w:r>
      <w:r w:rsidRPr="001A3D2B">
        <w:t>research were only females, only males, or both males</w:t>
      </w:r>
      <w:r w:rsidR="005853A9">
        <w:t xml:space="preserve"> and </w:t>
      </w:r>
      <w:r w:rsidRPr="001A3D2B">
        <w:t>females. From</w:t>
      </w:r>
      <w:r w:rsidR="003A1917">
        <w:t xml:space="preserve"> the </w:t>
      </w:r>
      <w:r w:rsidRPr="001A3D2B">
        <w:t>late 1970s to</w:t>
      </w:r>
      <w:r w:rsidR="003A1917">
        <w:t xml:space="preserve"> the </w:t>
      </w:r>
      <w:r w:rsidRPr="001A3D2B">
        <w:t>late 1990s,</w:t>
      </w:r>
      <w:r w:rsidR="003A1917">
        <w:t xml:space="preserve"> the </w:t>
      </w:r>
      <w:r w:rsidRPr="001A3D2B">
        <w:t>percent</w:t>
      </w:r>
      <w:r w:rsidR="00427468">
        <w:t xml:space="preserve"> of </w:t>
      </w:r>
      <w:r w:rsidRPr="001A3D2B">
        <w:t>women members</w:t>
      </w:r>
      <w:r w:rsidR="00427468">
        <w:t xml:space="preserve"> of </w:t>
      </w:r>
      <w:r w:rsidR="003A1917">
        <w:t xml:space="preserve">the </w:t>
      </w:r>
      <w:r w:rsidRPr="001A3D2B">
        <w:t>Human Biology Council/Association increased from under 25% to over 40%. Women were</w:t>
      </w:r>
      <w:r w:rsidR="003A1917">
        <w:t xml:space="preserve"> the </w:t>
      </w:r>
      <w:r w:rsidRPr="001A3D2B">
        <w:t>first authors</w:t>
      </w:r>
      <w:r w:rsidR="00427468">
        <w:t xml:space="preserve"> of </w:t>
      </w:r>
      <w:r w:rsidRPr="001A3D2B">
        <w:t>fewer than 20%</w:t>
      </w:r>
      <w:r w:rsidR="00427468">
        <w:t xml:space="preserve"> of </w:t>
      </w:r>
      <w:r w:rsidRPr="001A3D2B">
        <w:t>articles in</w:t>
      </w:r>
      <w:r w:rsidR="003A1917">
        <w:t xml:space="preserve"> the </w:t>
      </w:r>
      <w:r w:rsidRPr="001A3D2B">
        <w:t>organization</w:t>
      </w:r>
      <w:r w:rsidR="00700038">
        <w:t>’</w:t>
      </w:r>
      <w:r w:rsidR="00C13DDC">
        <w:t>s</w:t>
      </w:r>
      <w:r w:rsidRPr="001A3D2B">
        <w:t xml:space="preserve"> journal in</w:t>
      </w:r>
      <w:r w:rsidR="003A1917">
        <w:t xml:space="preserve"> the </w:t>
      </w:r>
      <w:r w:rsidRPr="001A3D2B">
        <w:t>late 1970s; by</w:t>
      </w:r>
      <w:r w:rsidR="003A1917">
        <w:t xml:space="preserve"> the </w:t>
      </w:r>
      <w:r w:rsidRPr="001A3D2B">
        <w:t>late 1990s over 30%</w:t>
      </w:r>
      <w:r w:rsidR="00427468">
        <w:t xml:space="preserve"> of </w:t>
      </w:r>
      <w:r w:rsidRPr="001A3D2B">
        <w:t>articles had a female first author</w:t>
      </w:r>
      <w:r w:rsidR="00A37C1D">
        <w:t>. The</w:t>
      </w:r>
      <w:r w:rsidR="003A1917">
        <w:t xml:space="preserve"> </w:t>
      </w:r>
      <w:r w:rsidRPr="001A3D2B">
        <w:t>clearest increase in female authorship through time is seen for articles with a first author from</w:t>
      </w:r>
      <w:r w:rsidR="003A1917">
        <w:t xml:space="preserve"> the </w:t>
      </w:r>
      <w:r w:rsidRPr="001A3D2B">
        <w:t>U.S. Even when women were not well represented as human biologists, a substantial proportion</w:t>
      </w:r>
      <w:r w:rsidR="00427468">
        <w:t xml:space="preserve"> of </w:t>
      </w:r>
      <w:r w:rsidRPr="001A3D2B">
        <w:t>human biology research published in</w:t>
      </w:r>
      <w:r w:rsidR="003A1917">
        <w:t xml:space="preserve"> the </w:t>
      </w:r>
      <w:r w:rsidRPr="001A3D2B">
        <w:t>organization</w:t>
      </w:r>
      <w:r w:rsidR="00700038">
        <w:t>’</w:t>
      </w:r>
      <w:r w:rsidR="00C13DDC">
        <w:t>s</w:t>
      </w:r>
      <w:r w:rsidRPr="001A3D2B">
        <w:t xml:space="preserve"> journal dealt with females,</w:t>
      </w:r>
      <w:r w:rsidR="005853A9">
        <w:t xml:space="preserve"> and </w:t>
      </w:r>
      <w:r w:rsidRPr="001A3D2B">
        <w:t>over</w:t>
      </w:r>
      <w:r w:rsidR="003A1917">
        <w:t xml:space="preserve"> the </w:t>
      </w:r>
      <w:r w:rsidRPr="001A3D2B">
        <w:t>last 15 years there have been more research articles having only females as research subjects than articles having only males as research subjects. (C) 2003 Wiley-Liss, Inc.</w:t>
      </w:r>
    </w:p>
    <w:p w:rsidR="003474F2" w:rsidRPr="001A3D2B" w:rsidRDefault="003474F2" w:rsidP="003474F2">
      <w:pPr>
        <w:pStyle w:val="a3"/>
      </w:pPr>
      <w:r w:rsidRPr="001A3D2B">
        <w:t>Keywords: Authorship, Biology, Country, Female, First, Gender, Human, Journal, Journal Article, Participation, Research, Trends, Women</w:t>
      </w:r>
    </w:p>
    <w:p w:rsidR="003474F2" w:rsidRPr="001A3D2B" w:rsidRDefault="003474F2" w:rsidP="003474F2">
      <w:pPr>
        <w:pStyle w:val="1"/>
      </w:pPr>
      <w:r w:rsidRPr="001A3D2B">
        <w:br w:type="page"/>
      </w:r>
      <w:bookmarkStart w:id="276" w:name="_Toc420814398"/>
      <w:r w:rsidRPr="001A3D2B">
        <w:lastRenderedPageBreak/>
        <w:t xml:space="preserve">Title: American </w:t>
      </w:r>
      <w:bookmarkStart w:id="277" w:name="_Toc81215589"/>
      <w:r w:rsidRPr="001A3D2B">
        <w:t>Journal</w:t>
      </w:r>
      <w:r w:rsidR="00427468">
        <w:t xml:space="preserve"> of </w:t>
      </w:r>
      <w:r w:rsidRPr="001A3D2B">
        <w:t>Human Genetics</w:t>
      </w:r>
      <w:bookmarkEnd w:id="276"/>
    </w:p>
    <w:p w:rsidR="003474F2" w:rsidRPr="001A3D2B" w:rsidRDefault="003474F2" w:rsidP="003474F2">
      <w:pPr>
        <w:pStyle w:val="12"/>
      </w:pPr>
      <w:r w:rsidRPr="001A3D2B">
        <w:t>Full Journal Ti</w:t>
      </w:r>
      <w:bookmarkEnd w:id="277"/>
      <w:r w:rsidRPr="001A3D2B">
        <w:t xml:space="preserve">tle: </w:t>
      </w:r>
      <w:hyperlink r:id="rId501" w:history="1">
        <w:r w:rsidRPr="001A3D2B">
          <w:rPr>
            <w:rStyle w:val="a5"/>
          </w:rPr>
          <w:t>American Journal</w:t>
        </w:r>
        <w:r w:rsidR="00427468">
          <w:rPr>
            <w:rStyle w:val="a5"/>
          </w:rPr>
          <w:t xml:space="preserve"> of </w:t>
        </w:r>
        <w:r w:rsidRPr="001A3D2B">
          <w:rPr>
            <w:rStyle w:val="a5"/>
          </w:rPr>
          <w:t>Human Genetics</w:t>
        </w:r>
      </w:hyperlink>
    </w:p>
    <w:p w:rsidR="003474F2" w:rsidRPr="001A3D2B" w:rsidRDefault="003474F2" w:rsidP="003474F2">
      <w:pPr>
        <w:pStyle w:val="12"/>
      </w:pPr>
      <w:r w:rsidRPr="001A3D2B">
        <w:t>ISO Abbreviated Title: Am. J. Hum. Genet.</w:t>
      </w:r>
    </w:p>
    <w:p w:rsidR="003474F2" w:rsidRPr="001A3D2B" w:rsidRDefault="003474F2" w:rsidP="003474F2">
      <w:pPr>
        <w:pStyle w:val="12"/>
      </w:pPr>
      <w:r w:rsidRPr="001A3D2B">
        <w:t>JCR Abbreviated Title: Am J Hum Genet</w:t>
      </w:r>
    </w:p>
    <w:p w:rsidR="003474F2" w:rsidRPr="001A3D2B" w:rsidRDefault="003474F2" w:rsidP="003474F2">
      <w:pPr>
        <w:pStyle w:val="12"/>
      </w:pPr>
      <w:r w:rsidRPr="001A3D2B">
        <w:t>ISSN: 0002-9297</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Univ Chicago Press</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1427 E 60th St</w:t>
          </w:r>
        </w:smartTag>
        <w:r w:rsidRPr="001A3D2B">
          <w:t xml:space="preserve">, </w:t>
        </w:r>
        <w:smartTag w:uri="urn:schemas-microsoft-com:office:smarttags" w:element="City">
          <w:r w:rsidRPr="001A3D2B">
            <w:t>Chicago</w:t>
          </w:r>
        </w:smartTag>
        <w:r w:rsidRPr="001A3D2B">
          <w:t xml:space="preserve">, </w:t>
        </w:r>
        <w:smartTag w:uri="urn:schemas-microsoft-com:office:smarttags" w:element="State">
          <w:r w:rsidRPr="001A3D2B">
            <w:t>IL</w:t>
          </w:r>
        </w:smartTag>
        <w:r w:rsidRPr="001A3D2B">
          <w:t xml:space="preserve"> </w:t>
        </w:r>
        <w:smartTag w:uri="urn:schemas-microsoft-com:office:smarttags" w:element="PostalCode">
          <w:r w:rsidRPr="001A3D2B">
            <w:t>60637-2954</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Genetics &amp; Heredity: Impact Factor 10.649 (2002)</w:t>
      </w:r>
    </w:p>
    <w:p w:rsidR="00BA46BC" w:rsidRPr="001A3D2B" w:rsidRDefault="00BA46BC" w:rsidP="00BA46BC">
      <w:pPr>
        <w:pStyle w:val="a3"/>
      </w:pPr>
      <w:r w:rsidRPr="001A3D2B">
        <w:t>? Cohen, M.M. (1995), Who are we - Where are we going - Anticipating</w:t>
      </w:r>
      <w:r w:rsidR="003A1917">
        <w:t xml:space="preserve"> the </w:t>
      </w:r>
      <w:r w:rsidRPr="001A3D2B">
        <w:t xml:space="preserve">21St-Century. </w:t>
      </w:r>
      <w:r w:rsidRPr="001A3D2B">
        <w:rPr>
          <w:i/>
          <w:iCs/>
        </w:rPr>
        <w:t>American Journal</w:t>
      </w:r>
      <w:r w:rsidR="00427468">
        <w:rPr>
          <w:i/>
          <w:iCs/>
        </w:rPr>
        <w:t xml:space="preserve"> of </w:t>
      </w:r>
      <w:r w:rsidRPr="001A3D2B">
        <w:rPr>
          <w:i/>
          <w:iCs/>
        </w:rPr>
        <w:t>Human Genetics</w:t>
      </w:r>
      <w:r w:rsidRPr="001A3D2B">
        <w:t xml:space="preserve">, </w:t>
      </w:r>
      <w:r w:rsidRPr="001A3D2B">
        <w:rPr>
          <w:b/>
          <w:bCs/>
        </w:rPr>
        <w:t>56</w:t>
      </w:r>
      <w:r w:rsidRPr="001A3D2B">
        <w:t xml:space="preserve"> (1), 1-10.</w:t>
      </w:r>
    </w:p>
    <w:p w:rsidR="00BA46BC" w:rsidRPr="001A3D2B" w:rsidRDefault="00BA46BC" w:rsidP="00BA46BC">
      <w:pPr>
        <w:pStyle w:val="a3"/>
      </w:pPr>
      <w:r w:rsidRPr="001A3D2B">
        <w:t xml:space="preserve">Full Text: </w:t>
      </w:r>
      <w:hyperlink r:id="rId502" w:history="1">
        <w:r w:rsidRPr="001A3D2B">
          <w:rPr>
            <w:rStyle w:val="a5"/>
          </w:rPr>
          <w:t>1995\Ame J Hum Gen56, 1.pdf</w:t>
        </w:r>
      </w:hyperlink>
    </w:p>
    <w:p w:rsidR="00BA46BC" w:rsidRPr="001A3D2B" w:rsidRDefault="00BA46BC" w:rsidP="00BA46BC">
      <w:pPr>
        <w:pStyle w:val="a3"/>
      </w:pPr>
      <w:r w:rsidRPr="001A3D2B">
        <w:t>? Bouchard, L., Dalpe, R.</w:t>
      </w:r>
      <w:r w:rsidR="005853A9">
        <w:t xml:space="preserve"> and </w:t>
      </w:r>
      <w:r w:rsidRPr="001A3D2B">
        <w:t>Ducharme, D. (2000</w:t>
      </w:r>
      <w:r w:rsidR="00F42EAC">
        <w:t>), The</w:t>
      </w:r>
      <w:r w:rsidR="003A1917">
        <w:t xml:space="preserve"> </w:t>
      </w:r>
      <w:r w:rsidRPr="001A3D2B">
        <w:t>evolution</w:t>
      </w:r>
      <w:r w:rsidR="00427468">
        <w:t xml:space="preserve"> of </w:t>
      </w:r>
      <w:r w:rsidRPr="001A3D2B">
        <w:t>breast</w:t>
      </w:r>
      <w:r w:rsidR="005853A9">
        <w:t xml:space="preserve"> and </w:t>
      </w:r>
      <w:r w:rsidRPr="001A3D2B">
        <w:t xml:space="preserve">ovarian cancer gene research: A bibliometric study. </w:t>
      </w:r>
      <w:r w:rsidRPr="001A3D2B">
        <w:rPr>
          <w:i/>
          <w:iCs/>
        </w:rPr>
        <w:t>American Journal</w:t>
      </w:r>
      <w:r w:rsidR="00427468">
        <w:rPr>
          <w:i/>
          <w:iCs/>
        </w:rPr>
        <w:t xml:space="preserve"> of </w:t>
      </w:r>
      <w:r w:rsidRPr="001A3D2B">
        <w:rPr>
          <w:i/>
          <w:iCs/>
        </w:rPr>
        <w:t>Human Genetics</w:t>
      </w:r>
      <w:r w:rsidRPr="001A3D2B">
        <w:t xml:space="preserve">, </w:t>
      </w:r>
      <w:r w:rsidRPr="001A3D2B">
        <w:rPr>
          <w:b/>
        </w:rPr>
        <w:t>67</w:t>
      </w:r>
      <w:r w:rsidRPr="001A3D2B">
        <w:t xml:space="preserve"> (4), 104.</w:t>
      </w:r>
    </w:p>
    <w:p w:rsidR="00BA46BC" w:rsidRPr="001A3D2B" w:rsidRDefault="00BA46BC" w:rsidP="00BA46BC">
      <w:pPr>
        <w:pStyle w:val="a3"/>
      </w:pPr>
      <w:r w:rsidRPr="001A3D2B">
        <w:t xml:space="preserve">Full Text: </w:t>
      </w:r>
      <w:r w:rsidR="00D64B6D">
        <w:rPr>
          <w:rFonts w:hint="eastAsia"/>
        </w:rPr>
        <w:t>2000\</w:t>
      </w:r>
      <w:r w:rsidR="00D64B6D" w:rsidRPr="00F219CA">
        <w:rPr>
          <w:iCs/>
        </w:rPr>
        <w:t>Ame J Hum Gen</w:t>
      </w:r>
      <w:r w:rsidR="00D64B6D" w:rsidRPr="00F219CA">
        <w:rPr>
          <w:bCs/>
        </w:rPr>
        <w:t>67</w:t>
      </w:r>
      <w:r w:rsidR="00D64B6D" w:rsidRPr="00F219CA">
        <w:t>, 104.pdf</w:t>
      </w:r>
    </w:p>
    <w:p w:rsidR="00BA46BC" w:rsidRPr="001A3D2B" w:rsidRDefault="00BA46BC" w:rsidP="00BA46BC">
      <w:pPr>
        <w:pStyle w:val="a3"/>
      </w:pPr>
      <w:r w:rsidRPr="001A3D2B">
        <w:t>? Bouchard, L., Dalpe, R.</w:t>
      </w:r>
      <w:r w:rsidR="005853A9">
        <w:t xml:space="preserve"> and </w:t>
      </w:r>
      <w:r w:rsidRPr="001A3D2B">
        <w:t>Ducharme, D. (2000</w:t>
      </w:r>
      <w:r w:rsidR="00F42EAC">
        <w:t>), The</w:t>
      </w:r>
      <w:r w:rsidR="003A1917">
        <w:t xml:space="preserve"> </w:t>
      </w:r>
      <w:r w:rsidRPr="001A3D2B">
        <w:t>evolution</w:t>
      </w:r>
      <w:r w:rsidR="00427468">
        <w:t xml:space="preserve"> of </w:t>
      </w:r>
      <w:r w:rsidRPr="001A3D2B">
        <w:t>breast</w:t>
      </w:r>
      <w:r w:rsidR="005853A9">
        <w:t xml:space="preserve"> and </w:t>
      </w:r>
      <w:r w:rsidRPr="001A3D2B">
        <w:t xml:space="preserve">ovarian cancer gene research: A bibliometric study. </w:t>
      </w:r>
      <w:r w:rsidRPr="001A3D2B">
        <w:rPr>
          <w:i/>
          <w:iCs/>
        </w:rPr>
        <w:t>American Journal</w:t>
      </w:r>
      <w:r w:rsidR="00427468">
        <w:rPr>
          <w:i/>
          <w:iCs/>
        </w:rPr>
        <w:t xml:space="preserve"> of </w:t>
      </w:r>
      <w:r w:rsidRPr="001A3D2B">
        <w:rPr>
          <w:i/>
          <w:iCs/>
        </w:rPr>
        <w:t>Human Genetics</w:t>
      </w:r>
      <w:r w:rsidRPr="001A3D2B">
        <w:t xml:space="preserve">, </w:t>
      </w:r>
      <w:r w:rsidRPr="001A3D2B">
        <w:rPr>
          <w:b/>
        </w:rPr>
        <w:t>67</w:t>
      </w:r>
      <w:r w:rsidRPr="001A3D2B">
        <w:t xml:space="preserve"> (4S), 511.</w:t>
      </w:r>
    </w:p>
    <w:p w:rsidR="00BA46BC" w:rsidRPr="001A3D2B" w:rsidRDefault="00BA46BC" w:rsidP="00BA46BC">
      <w:pPr>
        <w:pStyle w:val="a3"/>
      </w:pPr>
      <w:r w:rsidRPr="001A3D2B">
        <w:t xml:space="preserve">Full Text: </w:t>
      </w:r>
      <w:r w:rsidRPr="001A3D2B">
        <w:rPr>
          <w:iCs/>
        </w:rPr>
        <w:t>Ame J Hum Gen</w:t>
      </w:r>
      <w:r w:rsidRPr="001A3D2B">
        <w:rPr>
          <w:bCs/>
        </w:rPr>
        <w:t>67</w:t>
      </w:r>
      <w:r w:rsidRPr="001A3D2B">
        <w:t>, 511.pdf</w:t>
      </w:r>
    </w:p>
    <w:p w:rsidR="00BA46BC" w:rsidRPr="001A3D2B" w:rsidRDefault="00BA46BC" w:rsidP="00BA46BC">
      <w:pPr>
        <w:pStyle w:val="a3"/>
        <w:rPr>
          <w:kern w:val="0"/>
          <w:szCs w:val="24"/>
        </w:rPr>
      </w:pPr>
      <w:r w:rsidRPr="001A3D2B">
        <w:rPr>
          <w:kern w:val="0"/>
          <w:szCs w:val="24"/>
        </w:rPr>
        <w:t>Keywords: Bibliometric, Bibliometric Study, Cancer, Research</w:t>
      </w:r>
    </w:p>
    <w:p w:rsidR="003474F2" w:rsidRPr="001A3D2B" w:rsidRDefault="003474F2" w:rsidP="003474F2">
      <w:pPr>
        <w:pStyle w:val="1"/>
      </w:pPr>
      <w:r w:rsidRPr="001A3D2B">
        <w:br w:type="page"/>
      </w:r>
      <w:bookmarkStart w:id="278" w:name="_Toc420814399"/>
      <w:r w:rsidRPr="001A3D2B">
        <w:lastRenderedPageBreak/>
        <w:t>Title: American Journal</w:t>
      </w:r>
      <w:r w:rsidR="00427468">
        <w:t xml:space="preserve"> of </w:t>
      </w:r>
      <w:r w:rsidRPr="001A3D2B">
        <w:t>Hygiene</w:t>
      </w:r>
      <w:bookmarkEnd w:id="278"/>
    </w:p>
    <w:p w:rsidR="003474F2" w:rsidRPr="001A3D2B" w:rsidRDefault="003474F2" w:rsidP="003474F2">
      <w:pPr>
        <w:pStyle w:val="12"/>
      </w:pPr>
      <w:r w:rsidRPr="001A3D2B">
        <w:t>Full Journal Title: American Journal</w:t>
      </w:r>
      <w:r w:rsidR="00427468">
        <w:t xml:space="preserve"> of </w:t>
      </w:r>
      <w:r w:rsidRPr="001A3D2B">
        <w:t>Hygiene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2E21E4" w:rsidRPr="001A3D2B" w:rsidRDefault="002E21E4" w:rsidP="002E21E4">
      <w:pPr>
        <w:pStyle w:val="a3"/>
        <w:rPr>
          <w:kern w:val="0"/>
        </w:rPr>
      </w:pPr>
      <w:r w:rsidRPr="001A3D2B">
        <w:rPr>
          <w:kern w:val="0"/>
        </w:rPr>
        <w:t>? Lotka, A.J. (1923), Contribution to</w:t>
      </w:r>
      <w:r w:rsidR="003A1917">
        <w:rPr>
          <w:kern w:val="0"/>
        </w:rPr>
        <w:t xml:space="preserve"> the </w:t>
      </w:r>
      <w:r w:rsidRPr="001A3D2B">
        <w:rPr>
          <w:kern w:val="0"/>
        </w:rPr>
        <w:t>analysis</w:t>
      </w:r>
      <w:r w:rsidR="00427468">
        <w:rPr>
          <w:kern w:val="0"/>
        </w:rPr>
        <w:t xml:space="preserve"> of </w:t>
      </w:r>
      <w:r w:rsidRPr="001A3D2B">
        <w:rPr>
          <w:kern w:val="0"/>
        </w:rPr>
        <w:t xml:space="preserve">malaria epidemiology. I. General part. </w:t>
      </w:r>
      <w:r w:rsidRPr="001A3D2B">
        <w:rPr>
          <w:i/>
          <w:iCs/>
          <w:kern w:val="0"/>
        </w:rPr>
        <w:t>American Journal</w:t>
      </w:r>
      <w:r w:rsidR="00427468">
        <w:rPr>
          <w:i/>
          <w:iCs/>
          <w:kern w:val="0"/>
        </w:rPr>
        <w:t xml:space="preserve"> of </w:t>
      </w:r>
      <w:r w:rsidRPr="001A3D2B">
        <w:rPr>
          <w:i/>
          <w:iCs/>
          <w:kern w:val="0"/>
        </w:rPr>
        <w:t>Hygiene</w:t>
      </w:r>
      <w:r w:rsidRPr="001A3D2B">
        <w:rPr>
          <w:kern w:val="0"/>
        </w:rPr>
        <w:t xml:space="preserve">, </w:t>
      </w:r>
      <w:r w:rsidRPr="001A3D2B">
        <w:rPr>
          <w:b/>
          <w:bCs/>
          <w:kern w:val="0"/>
        </w:rPr>
        <w:t>3</w:t>
      </w:r>
      <w:r w:rsidRPr="001A3D2B">
        <w:rPr>
          <w:bCs/>
          <w:kern w:val="0"/>
        </w:rPr>
        <w:t xml:space="preserve"> (S)</w:t>
      </w:r>
      <w:r w:rsidRPr="001A3D2B">
        <w:rPr>
          <w:kern w:val="0"/>
        </w:rPr>
        <w:t>, 1-37.</w:t>
      </w:r>
    </w:p>
    <w:p w:rsidR="00D64B6D" w:rsidRPr="00F219CA" w:rsidRDefault="00D64B6D" w:rsidP="00D64B6D">
      <w:pPr>
        <w:pStyle w:val="a3"/>
        <w:rPr>
          <w:kern w:val="0"/>
        </w:rPr>
      </w:pPr>
      <w:r w:rsidRPr="00F219CA">
        <w:rPr>
          <w:kern w:val="0"/>
        </w:rPr>
        <w:t xml:space="preserve">Full Text: </w:t>
      </w:r>
      <w:hyperlink r:id="rId503" w:history="1">
        <w:r w:rsidRPr="005B2054">
          <w:rPr>
            <w:rStyle w:val="a5"/>
            <w:kern w:val="0"/>
          </w:rPr>
          <w:t>-1959\Ame J Hyg3, 1.pdf</w:t>
        </w:r>
      </w:hyperlink>
    </w:p>
    <w:p w:rsidR="002E21E4" w:rsidRPr="001A3D2B" w:rsidRDefault="002E21E4" w:rsidP="002E21E4">
      <w:pPr>
        <w:pStyle w:val="a3"/>
        <w:rPr>
          <w:kern w:val="0"/>
        </w:rPr>
      </w:pPr>
      <w:r w:rsidRPr="001A3D2B">
        <w:rPr>
          <w:kern w:val="0"/>
        </w:rPr>
        <w:t>? Lotka, A.J. (1923), Contribution to</w:t>
      </w:r>
      <w:r w:rsidR="003A1917">
        <w:rPr>
          <w:kern w:val="0"/>
        </w:rPr>
        <w:t xml:space="preserve"> the </w:t>
      </w:r>
      <w:r w:rsidRPr="001A3D2B">
        <w:rPr>
          <w:kern w:val="0"/>
        </w:rPr>
        <w:t>analysis</w:t>
      </w:r>
      <w:r w:rsidR="00427468">
        <w:rPr>
          <w:kern w:val="0"/>
        </w:rPr>
        <w:t xml:space="preserve"> of </w:t>
      </w:r>
      <w:r w:rsidRPr="001A3D2B">
        <w:rPr>
          <w:kern w:val="0"/>
        </w:rPr>
        <w:t>malaria epidemiology. II. General part (continued) comparison</w:t>
      </w:r>
      <w:r w:rsidR="00427468">
        <w:rPr>
          <w:kern w:val="0"/>
        </w:rPr>
        <w:t xml:space="preserve"> of </w:t>
      </w:r>
      <w:r w:rsidRPr="001A3D2B">
        <w:rPr>
          <w:kern w:val="0"/>
        </w:rPr>
        <w:t xml:space="preserve">two formulae given. </w:t>
      </w:r>
      <w:r w:rsidRPr="001A3D2B">
        <w:rPr>
          <w:i/>
          <w:iCs/>
          <w:kern w:val="0"/>
        </w:rPr>
        <w:t>American Journal</w:t>
      </w:r>
      <w:r w:rsidR="00427468">
        <w:rPr>
          <w:i/>
          <w:iCs/>
          <w:kern w:val="0"/>
        </w:rPr>
        <w:t xml:space="preserve"> of </w:t>
      </w:r>
      <w:r w:rsidRPr="001A3D2B">
        <w:rPr>
          <w:i/>
          <w:iCs/>
          <w:kern w:val="0"/>
        </w:rPr>
        <w:t>Hygiene</w:t>
      </w:r>
      <w:r w:rsidRPr="001A3D2B">
        <w:rPr>
          <w:kern w:val="0"/>
        </w:rPr>
        <w:t xml:space="preserve">, </w:t>
      </w:r>
      <w:r w:rsidRPr="001A3D2B">
        <w:rPr>
          <w:b/>
          <w:bCs/>
          <w:kern w:val="0"/>
        </w:rPr>
        <w:t>3</w:t>
      </w:r>
      <w:r w:rsidRPr="001A3D2B">
        <w:rPr>
          <w:bCs/>
          <w:kern w:val="0"/>
        </w:rPr>
        <w:t xml:space="preserve"> (S)</w:t>
      </w:r>
      <w:r w:rsidRPr="001A3D2B">
        <w:rPr>
          <w:kern w:val="0"/>
        </w:rPr>
        <w:t>, 38-54.</w:t>
      </w:r>
    </w:p>
    <w:p w:rsidR="002E21E4" w:rsidRPr="001A3D2B" w:rsidRDefault="002E21E4" w:rsidP="002E21E4">
      <w:pPr>
        <w:pStyle w:val="a3"/>
        <w:rPr>
          <w:kern w:val="0"/>
        </w:rPr>
      </w:pPr>
      <w:r w:rsidRPr="001A3D2B">
        <w:rPr>
          <w:kern w:val="0"/>
        </w:rPr>
        <w:t xml:space="preserve">Full Text: </w:t>
      </w:r>
      <w:hyperlink r:id="rId504" w:history="1">
        <w:r w:rsidR="00276839" w:rsidRPr="00276839">
          <w:rPr>
            <w:rStyle w:val="a5"/>
            <w:kern w:val="0"/>
          </w:rPr>
          <w:t>-1959\Ame J Hyg3, 38.pdf</w:t>
        </w:r>
      </w:hyperlink>
    </w:p>
    <w:p w:rsidR="002E21E4" w:rsidRPr="001A3D2B" w:rsidRDefault="002E21E4" w:rsidP="002E21E4">
      <w:pPr>
        <w:pStyle w:val="a3"/>
        <w:rPr>
          <w:kern w:val="0"/>
        </w:rPr>
      </w:pPr>
      <w:r w:rsidRPr="001A3D2B">
        <w:rPr>
          <w:kern w:val="0"/>
        </w:rPr>
        <w:t>? Lotka, A.J. (1923), Contribution to</w:t>
      </w:r>
      <w:r w:rsidR="003A1917">
        <w:rPr>
          <w:kern w:val="0"/>
        </w:rPr>
        <w:t xml:space="preserve"> the </w:t>
      </w:r>
      <w:r w:rsidRPr="001A3D2B">
        <w:rPr>
          <w:kern w:val="0"/>
        </w:rPr>
        <w:t>analysis</w:t>
      </w:r>
      <w:r w:rsidR="00427468">
        <w:rPr>
          <w:kern w:val="0"/>
        </w:rPr>
        <w:t xml:space="preserve"> of </w:t>
      </w:r>
      <w:r w:rsidRPr="001A3D2B">
        <w:rPr>
          <w:kern w:val="0"/>
        </w:rPr>
        <w:t xml:space="preserve">malaria epidemiology. III. Numerical part. </w:t>
      </w:r>
      <w:r w:rsidRPr="001A3D2B">
        <w:rPr>
          <w:i/>
          <w:iCs/>
          <w:kern w:val="0"/>
        </w:rPr>
        <w:t>American Journal</w:t>
      </w:r>
      <w:r w:rsidR="00427468">
        <w:rPr>
          <w:i/>
          <w:iCs/>
          <w:kern w:val="0"/>
        </w:rPr>
        <w:t xml:space="preserve"> of </w:t>
      </w:r>
      <w:r w:rsidRPr="001A3D2B">
        <w:rPr>
          <w:i/>
          <w:iCs/>
          <w:kern w:val="0"/>
        </w:rPr>
        <w:t>Hygiene</w:t>
      </w:r>
      <w:r w:rsidRPr="001A3D2B">
        <w:rPr>
          <w:kern w:val="0"/>
        </w:rPr>
        <w:t xml:space="preserve">, </w:t>
      </w:r>
      <w:r w:rsidRPr="001A3D2B">
        <w:rPr>
          <w:b/>
          <w:bCs/>
          <w:kern w:val="0"/>
        </w:rPr>
        <w:t>3</w:t>
      </w:r>
      <w:r w:rsidRPr="001A3D2B">
        <w:rPr>
          <w:bCs/>
          <w:kern w:val="0"/>
        </w:rPr>
        <w:t xml:space="preserve"> (S)</w:t>
      </w:r>
      <w:r w:rsidRPr="001A3D2B">
        <w:rPr>
          <w:kern w:val="0"/>
        </w:rPr>
        <w:t>, 55-95.</w:t>
      </w:r>
    </w:p>
    <w:p w:rsidR="00276839" w:rsidRPr="00F219CA" w:rsidRDefault="00276839" w:rsidP="00276839">
      <w:pPr>
        <w:pStyle w:val="a3"/>
        <w:rPr>
          <w:kern w:val="0"/>
        </w:rPr>
      </w:pPr>
      <w:r w:rsidRPr="00F219CA">
        <w:rPr>
          <w:kern w:val="0"/>
        </w:rPr>
        <w:t xml:space="preserve">Full Text: </w:t>
      </w:r>
      <w:hyperlink r:id="rId505" w:history="1">
        <w:r w:rsidRPr="005B2054">
          <w:rPr>
            <w:rStyle w:val="a5"/>
            <w:kern w:val="0"/>
          </w:rPr>
          <w:t>-1959\Ame J Hyg3, 55.pdf</w:t>
        </w:r>
      </w:hyperlink>
    </w:p>
    <w:p w:rsidR="002E21E4" w:rsidRPr="001A3D2B" w:rsidRDefault="002E21E4" w:rsidP="002E21E4">
      <w:pPr>
        <w:pStyle w:val="a3"/>
        <w:rPr>
          <w:kern w:val="0"/>
        </w:rPr>
      </w:pPr>
      <w:r w:rsidRPr="001A3D2B">
        <w:rPr>
          <w:kern w:val="0"/>
        </w:rPr>
        <w:t>? Sharpe, F.R.</w:t>
      </w:r>
      <w:r w:rsidR="005853A9">
        <w:rPr>
          <w:kern w:val="0"/>
        </w:rPr>
        <w:t xml:space="preserve"> and </w:t>
      </w:r>
      <w:r w:rsidRPr="001A3D2B">
        <w:rPr>
          <w:kern w:val="0"/>
        </w:rPr>
        <w:t>Lotka, A.J. (1923), Contribution to</w:t>
      </w:r>
      <w:r w:rsidR="003A1917">
        <w:rPr>
          <w:kern w:val="0"/>
        </w:rPr>
        <w:t xml:space="preserve"> the </w:t>
      </w:r>
      <w:r w:rsidRPr="001A3D2B">
        <w:rPr>
          <w:kern w:val="0"/>
        </w:rPr>
        <w:t>analysis</w:t>
      </w:r>
      <w:r w:rsidR="00427468">
        <w:rPr>
          <w:kern w:val="0"/>
        </w:rPr>
        <w:t xml:space="preserve"> of </w:t>
      </w:r>
      <w:r w:rsidRPr="001A3D2B">
        <w:rPr>
          <w:kern w:val="0"/>
        </w:rPr>
        <w:t xml:space="preserve">malaria epidemiology. IV. Incubation lag. </w:t>
      </w:r>
      <w:r w:rsidRPr="001A3D2B">
        <w:rPr>
          <w:i/>
          <w:iCs/>
          <w:kern w:val="0"/>
        </w:rPr>
        <w:t>American Journal</w:t>
      </w:r>
      <w:r w:rsidR="00427468">
        <w:rPr>
          <w:i/>
          <w:iCs/>
          <w:kern w:val="0"/>
        </w:rPr>
        <w:t xml:space="preserve"> of </w:t>
      </w:r>
      <w:r w:rsidRPr="001A3D2B">
        <w:rPr>
          <w:i/>
          <w:iCs/>
          <w:kern w:val="0"/>
        </w:rPr>
        <w:t>Hygiene</w:t>
      </w:r>
      <w:r w:rsidRPr="001A3D2B">
        <w:rPr>
          <w:kern w:val="0"/>
        </w:rPr>
        <w:t xml:space="preserve">, </w:t>
      </w:r>
      <w:r w:rsidRPr="001A3D2B">
        <w:rPr>
          <w:b/>
          <w:bCs/>
          <w:kern w:val="0"/>
        </w:rPr>
        <w:t>3</w:t>
      </w:r>
      <w:r w:rsidRPr="001A3D2B">
        <w:rPr>
          <w:bCs/>
          <w:kern w:val="0"/>
        </w:rPr>
        <w:t xml:space="preserve"> (S)</w:t>
      </w:r>
      <w:r w:rsidRPr="001A3D2B">
        <w:rPr>
          <w:kern w:val="0"/>
        </w:rPr>
        <w:t>, 96-112.</w:t>
      </w:r>
    </w:p>
    <w:p w:rsidR="002E21E4" w:rsidRPr="001A3D2B" w:rsidRDefault="002E21E4" w:rsidP="002E21E4">
      <w:pPr>
        <w:pStyle w:val="a3"/>
        <w:rPr>
          <w:kern w:val="0"/>
        </w:rPr>
      </w:pPr>
      <w:r w:rsidRPr="001A3D2B">
        <w:rPr>
          <w:kern w:val="0"/>
        </w:rPr>
        <w:t xml:space="preserve">Full Text: </w:t>
      </w:r>
      <w:hyperlink r:id="rId506" w:history="1">
        <w:r w:rsidR="00276839" w:rsidRPr="00276839">
          <w:rPr>
            <w:rStyle w:val="a5"/>
            <w:kern w:val="0"/>
          </w:rPr>
          <w:t>-1959\Ame J Hyg3, 96.pdf</w:t>
        </w:r>
      </w:hyperlink>
    </w:p>
    <w:p w:rsidR="002E21E4" w:rsidRPr="001A3D2B" w:rsidRDefault="002E21E4" w:rsidP="002E21E4">
      <w:pPr>
        <w:pStyle w:val="a3"/>
        <w:rPr>
          <w:kern w:val="0"/>
        </w:rPr>
      </w:pPr>
      <w:r w:rsidRPr="001A3D2B">
        <w:rPr>
          <w:kern w:val="0"/>
        </w:rPr>
        <w:t>? Lotka, A.J. (1923), Contribution to</w:t>
      </w:r>
      <w:r w:rsidR="003A1917">
        <w:rPr>
          <w:kern w:val="0"/>
        </w:rPr>
        <w:t xml:space="preserve"> the </w:t>
      </w:r>
      <w:r w:rsidRPr="001A3D2B">
        <w:rPr>
          <w:kern w:val="0"/>
        </w:rPr>
        <w:t>analysis</w:t>
      </w:r>
      <w:r w:rsidR="00427468">
        <w:rPr>
          <w:kern w:val="0"/>
        </w:rPr>
        <w:t xml:space="preserve"> of </w:t>
      </w:r>
      <w:r w:rsidRPr="001A3D2B">
        <w:rPr>
          <w:kern w:val="0"/>
        </w:rPr>
        <w:t xml:space="preserve">malaria epidemiology. V. Summary. </w:t>
      </w:r>
      <w:r w:rsidRPr="001A3D2B">
        <w:rPr>
          <w:i/>
          <w:iCs/>
          <w:kern w:val="0"/>
        </w:rPr>
        <w:t>American Journal</w:t>
      </w:r>
      <w:r w:rsidR="00427468">
        <w:rPr>
          <w:i/>
          <w:iCs/>
          <w:kern w:val="0"/>
        </w:rPr>
        <w:t xml:space="preserve"> of </w:t>
      </w:r>
      <w:r w:rsidRPr="001A3D2B">
        <w:rPr>
          <w:i/>
          <w:iCs/>
          <w:kern w:val="0"/>
        </w:rPr>
        <w:t>Hygiene</w:t>
      </w:r>
      <w:r w:rsidRPr="001A3D2B">
        <w:rPr>
          <w:kern w:val="0"/>
        </w:rPr>
        <w:t xml:space="preserve">, </w:t>
      </w:r>
      <w:r w:rsidRPr="001A3D2B">
        <w:rPr>
          <w:b/>
          <w:bCs/>
          <w:kern w:val="0"/>
        </w:rPr>
        <w:t>3</w:t>
      </w:r>
      <w:r w:rsidRPr="001A3D2B">
        <w:rPr>
          <w:bCs/>
          <w:kern w:val="0"/>
        </w:rPr>
        <w:t xml:space="preserve"> (S)</w:t>
      </w:r>
      <w:r w:rsidRPr="001A3D2B">
        <w:rPr>
          <w:kern w:val="0"/>
        </w:rPr>
        <w:t>, 113-121.</w:t>
      </w:r>
    </w:p>
    <w:p w:rsidR="00276839" w:rsidRPr="00F219CA" w:rsidRDefault="00276839" w:rsidP="00276839">
      <w:pPr>
        <w:pStyle w:val="a3"/>
        <w:rPr>
          <w:kern w:val="0"/>
        </w:rPr>
      </w:pPr>
      <w:r w:rsidRPr="00F219CA">
        <w:rPr>
          <w:kern w:val="0"/>
        </w:rPr>
        <w:t xml:space="preserve">Full Text: </w:t>
      </w:r>
      <w:hyperlink r:id="rId507" w:history="1">
        <w:r w:rsidRPr="005B2054">
          <w:rPr>
            <w:rStyle w:val="a5"/>
            <w:kern w:val="0"/>
          </w:rPr>
          <w:t>-1959\Ame J Hyg3, 113.pdf</w:t>
        </w:r>
      </w:hyperlink>
    </w:p>
    <w:p w:rsidR="002E21E4" w:rsidRPr="001A3D2B" w:rsidRDefault="002E21E4" w:rsidP="002E21E4">
      <w:pPr>
        <w:pStyle w:val="a3"/>
        <w:rPr>
          <w:kern w:val="0"/>
        </w:rPr>
      </w:pPr>
      <w:r w:rsidRPr="001A3D2B">
        <w:rPr>
          <w:kern w:val="0"/>
        </w:rPr>
        <w:t>? Dublin, L.I., Kopf, E.W.</w:t>
      </w:r>
      <w:r w:rsidR="005853A9">
        <w:rPr>
          <w:kern w:val="0"/>
        </w:rPr>
        <w:t xml:space="preserve"> and </w:t>
      </w:r>
      <w:r w:rsidRPr="001A3D2B">
        <w:rPr>
          <w:kern w:val="0"/>
        </w:rPr>
        <w:t>Lotka, A.J. (1927</w:t>
      </w:r>
      <w:r w:rsidR="00F42EAC">
        <w:rPr>
          <w:kern w:val="0"/>
        </w:rPr>
        <w:t>), The</w:t>
      </w:r>
      <w:r w:rsidR="003A1917">
        <w:rPr>
          <w:kern w:val="0"/>
        </w:rPr>
        <w:t xml:space="preserve"> </w:t>
      </w:r>
      <w:r w:rsidRPr="001A3D2B">
        <w:rPr>
          <w:kern w:val="0"/>
        </w:rPr>
        <w:t>components</w:t>
      </w:r>
      <w:r w:rsidR="00427468">
        <w:rPr>
          <w:kern w:val="0"/>
        </w:rPr>
        <w:t xml:space="preserve"> of </w:t>
      </w:r>
      <w:r w:rsidRPr="001A3D2B">
        <w:rPr>
          <w:kern w:val="0"/>
        </w:rPr>
        <w:t>death curves: An analysis</w:t>
      </w:r>
      <w:r w:rsidR="00427468">
        <w:rPr>
          <w:kern w:val="0"/>
        </w:rPr>
        <w:t xml:space="preserve"> of </w:t>
      </w:r>
      <w:r w:rsidRPr="001A3D2B">
        <w:rPr>
          <w:kern w:val="0"/>
        </w:rPr>
        <w:t xml:space="preserve">life table deaths by causes. </w:t>
      </w:r>
      <w:r w:rsidRPr="001A3D2B">
        <w:rPr>
          <w:i/>
          <w:iCs/>
          <w:kern w:val="0"/>
        </w:rPr>
        <w:t>American Journal</w:t>
      </w:r>
      <w:r w:rsidR="00427468">
        <w:rPr>
          <w:i/>
          <w:iCs/>
          <w:kern w:val="0"/>
        </w:rPr>
        <w:t xml:space="preserve"> of </w:t>
      </w:r>
      <w:r w:rsidRPr="001A3D2B">
        <w:rPr>
          <w:i/>
          <w:iCs/>
          <w:kern w:val="0"/>
        </w:rPr>
        <w:t>Hygiene</w:t>
      </w:r>
      <w:r w:rsidRPr="001A3D2B">
        <w:rPr>
          <w:kern w:val="0"/>
        </w:rPr>
        <w:t xml:space="preserve">, </w:t>
      </w:r>
      <w:r w:rsidRPr="001A3D2B">
        <w:rPr>
          <w:b/>
          <w:bCs/>
          <w:kern w:val="0"/>
        </w:rPr>
        <w:t>7</w:t>
      </w:r>
      <w:r w:rsidRPr="001A3D2B">
        <w:rPr>
          <w:kern w:val="0"/>
        </w:rPr>
        <w:t xml:space="preserve"> (3), 299-333.</w:t>
      </w:r>
    </w:p>
    <w:p w:rsidR="00276839" w:rsidRPr="00F219CA" w:rsidRDefault="00276839" w:rsidP="00276839">
      <w:pPr>
        <w:pStyle w:val="a3"/>
        <w:rPr>
          <w:kern w:val="0"/>
        </w:rPr>
      </w:pPr>
      <w:r w:rsidRPr="00F219CA">
        <w:rPr>
          <w:kern w:val="0"/>
        </w:rPr>
        <w:t xml:space="preserve">Full Text: </w:t>
      </w:r>
      <w:hyperlink r:id="rId508" w:history="1">
        <w:r w:rsidRPr="005B2054">
          <w:rPr>
            <w:rStyle w:val="a5"/>
            <w:kern w:val="0"/>
          </w:rPr>
          <w:t>-1959\Ame J Hyg7, 299.pdf</w:t>
        </w:r>
      </w:hyperlink>
    </w:p>
    <w:p w:rsidR="002E21E4" w:rsidRPr="001A3D2B" w:rsidRDefault="002E21E4" w:rsidP="002E21E4">
      <w:pPr>
        <w:pStyle w:val="a3"/>
        <w:rPr>
          <w:kern w:val="0"/>
        </w:rPr>
      </w:pPr>
      <w:r w:rsidRPr="001A3D2B">
        <w:rPr>
          <w:kern w:val="0"/>
        </w:rPr>
        <w:t>? Lotka, A.J. (1928</w:t>
      </w:r>
      <w:r w:rsidR="00F42EAC">
        <w:rPr>
          <w:kern w:val="0"/>
        </w:rPr>
        <w:t>), The</w:t>
      </w:r>
      <w:r w:rsidR="003A1917">
        <w:rPr>
          <w:kern w:val="0"/>
        </w:rPr>
        <w:t xml:space="preserve"> </w:t>
      </w:r>
      <w:r w:rsidRPr="001A3D2B">
        <w:rPr>
          <w:kern w:val="0"/>
        </w:rPr>
        <w:t>progeny</w:t>
      </w:r>
      <w:r w:rsidR="00427468">
        <w:rPr>
          <w:kern w:val="0"/>
        </w:rPr>
        <w:t xml:space="preserve"> of </w:t>
      </w:r>
      <w:r w:rsidRPr="001A3D2B">
        <w:rPr>
          <w:kern w:val="0"/>
        </w:rPr>
        <w:t xml:space="preserve">a population element. </w:t>
      </w:r>
      <w:r w:rsidRPr="001A3D2B">
        <w:rPr>
          <w:i/>
          <w:iCs/>
          <w:kern w:val="0"/>
        </w:rPr>
        <w:t>American Journal</w:t>
      </w:r>
      <w:r w:rsidR="00427468">
        <w:rPr>
          <w:i/>
          <w:iCs/>
          <w:kern w:val="0"/>
        </w:rPr>
        <w:t xml:space="preserve"> of </w:t>
      </w:r>
      <w:r w:rsidRPr="001A3D2B">
        <w:rPr>
          <w:i/>
          <w:iCs/>
          <w:kern w:val="0"/>
        </w:rPr>
        <w:t>Hygiene</w:t>
      </w:r>
      <w:r w:rsidRPr="001A3D2B">
        <w:rPr>
          <w:kern w:val="0"/>
        </w:rPr>
        <w:t xml:space="preserve">, </w:t>
      </w:r>
      <w:r w:rsidRPr="001A3D2B">
        <w:rPr>
          <w:b/>
          <w:bCs/>
          <w:kern w:val="0"/>
        </w:rPr>
        <w:t>8</w:t>
      </w:r>
      <w:r w:rsidRPr="001A3D2B">
        <w:rPr>
          <w:kern w:val="0"/>
        </w:rPr>
        <w:t xml:space="preserve"> (6), 875-901.</w:t>
      </w:r>
    </w:p>
    <w:p w:rsidR="002E21E4" w:rsidRPr="001A3D2B" w:rsidRDefault="002E21E4" w:rsidP="002E21E4">
      <w:pPr>
        <w:pStyle w:val="a3"/>
        <w:rPr>
          <w:kern w:val="0"/>
        </w:rPr>
      </w:pPr>
      <w:r w:rsidRPr="001A3D2B">
        <w:rPr>
          <w:kern w:val="0"/>
        </w:rPr>
        <w:t xml:space="preserve">Full Text: </w:t>
      </w:r>
      <w:hyperlink r:id="rId509" w:history="1">
        <w:r w:rsidR="00276839" w:rsidRPr="00276839">
          <w:rPr>
            <w:rStyle w:val="a5"/>
            <w:kern w:val="0"/>
          </w:rPr>
          <w:t>-1959\Ame J Hyg8, 875.pdf</w:t>
        </w:r>
      </w:hyperlink>
    </w:p>
    <w:p w:rsidR="007A5EF8" w:rsidRPr="00F219CA" w:rsidRDefault="007A5EF8" w:rsidP="007A5EF8">
      <w:pPr>
        <w:pStyle w:val="1"/>
      </w:pPr>
      <w:r w:rsidRPr="00F219CA">
        <w:br w:type="page"/>
      </w:r>
      <w:bookmarkStart w:id="279" w:name="_Toc420814400"/>
      <w:r w:rsidRPr="00F219CA">
        <w:lastRenderedPageBreak/>
        <w:t xml:space="preserve">Title: American </w:t>
      </w:r>
      <w:bookmarkStart w:id="280" w:name="_Toc302218366"/>
      <w:r w:rsidRPr="00F219CA">
        <w:t>Journal</w:t>
      </w:r>
      <w:r w:rsidR="00427468">
        <w:t xml:space="preserve"> of </w:t>
      </w:r>
      <w:r w:rsidRPr="00F219CA">
        <w:t>Hypertension</w:t>
      </w:r>
      <w:bookmarkEnd w:id="279"/>
    </w:p>
    <w:p w:rsidR="007A5EF8" w:rsidRPr="00F219CA" w:rsidRDefault="007A5EF8" w:rsidP="007A5EF8">
      <w:pPr>
        <w:pStyle w:val="12"/>
      </w:pPr>
      <w:r w:rsidRPr="00F219CA">
        <w:t>Full Journal Ti</w:t>
      </w:r>
      <w:bookmarkEnd w:id="280"/>
      <w:r w:rsidRPr="00F219CA">
        <w:t xml:space="preserve">tle: </w:t>
      </w:r>
      <w:hyperlink r:id="rId510" w:history="1">
        <w:r w:rsidRPr="00F219CA">
          <w:rPr>
            <w:rStyle w:val="a5"/>
          </w:rPr>
          <w:t>American Journal</w:t>
        </w:r>
        <w:r w:rsidR="00427468">
          <w:rPr>
            <w:rStyle w:val="a5"/>
          </w:rPr>
          <w:t xml:space="preserve"> of </w:t>
        </w:r>
        <w:r w:rsidRPr="00F219CA">
          <w:rPr>
            <w:rStyle w:val="a5"/>
          </w:rPr>
          <w:t>Hypertension</w:t>
        </w:r>
      </w:hyperlink>
    </w:p>
    <w:p w:rsidR="007A5EF8" w:rsidRPr="00F219CA" w:rsidRDefault="007A5EF8" w:rsidP="007A5EF8">
      <w:pPr>
        <w:pStyle w:val="12"/>
      </w:pPr>
      <w:r w:rsidRPr="00F219CA">
        <w:t>ISO Abbreviated Title: Am. J. Hypertens.</w:t>
      </w:r>
    </w:p>
    <w:p w:rsidR="007A5EF8" w:rsidRPr="00F219CA" w:rsidRDefault="007A5EF8" w:rsidP="007A5EF8">
      <w:pPr>
        <w:pStyle w:val="12"/>
      </w:pPr>
      <w:r w:rsidRPr="00F219CA">
        <w:t>JCR Abbreviated Title: Am J Hypertens</w:t>
      </w:r>
    </w:p>
    <w:p w:rsidR="007A5EF8" w:rsidRPr="00F219CA" w:rsidRDefault="007A5EF8" w:rsidP="007A5EF8">
      <w:pPr>
        <w:pStyle w:val="12"/>
      </w:pPr>
      <w:r w:rsidRPr="00F219CA">
        <w:t>ISSN: 0895-7061</w:t>
      </w:r>
    </w:p>
    <w:p w:rsidR="007A5EF8" w:rsidRPr="00F219CA" w:rsidRDefault="007A5EF8" w:rsidP="007A5EF8">
      <w:pPr>
        <w:pStyle w:val="12"/>
      </w:pPr>
      <w:r w:rsidRPr="00F219CA">
        <w:t>Issues/Year: 12</w:t>
      </w:r>
    </w:p>
    <w:p w:rsidR="007A5EF8" w:rsidRPr="00F219CA" w:rsidRDefault="007A5EF8" w:rsidP="007A5EF8">
      <w:pPr>
        <w:pStyle w:val="12"/>
      </w:pPr>
      <w:r w:rsidRPr="00F219CA">
        <w:t>Journal Country/Territory: United States</w:t>
      </w:r>
    </w:p>
    <w:p w:rsidR="007A5EF8" w:rsidRPr="00F219CA" w:rsidRDefault="007A5EF8" w:rsidP="007A5EF8">
      <w:pPr>
        <w:pStyle w:val="12"/>
      </w:pPr>
      <w:r w:rsidRPr="00F219CA">
        <w:t>Language: English</w:t>
      </w:r>
    </w:p>
    <w:p w:rsidR="007A5EF8" w:rsidRPr="00F219CA" w:rsidRDefault="007A5EF8" w:rsidP="007A5EF8">
      <w:pPr>
        <w:pStyle w:val="12"/>
      </w:pPr>
      <w:r w:rsidRPr="00F219CA">
        <w:t>Publisher: Elsevier Science Inc</w:t>
      </w:r>
    </w:p>
    <w:p w:rsidR="007A5EF8" w:rsidRPr="00F219CA" w:rsidRDefault="007A5EF8" w:rsidP="007A5EF8">
      <w:pPr>
        <w:pStyle w:val="12"/>
      </w:pPr>
      <w:r w:rsidRPr="00F219CA">
        <w:t>Publisher Address: 655 Avenue</w:t>
      </w:r>
      <w:r w:rsidR="00427468">
        <w:t xml:space="preserve"> of </w:t>
      </w:r>
      <w:r w:rsidR="003A1917">
        <w:t xml:space="preserve">the </w:t>
      </w:r>
      <w:r w:rsidRPr="00F219CA">
        <w:t>Americas, New York, NY 10010</w:t>
      </w:r>
    </w:p>
    <w:p w:rsidR="007A5EF8" w:rsidRPr="00F219CA" w:rsidRDefault="007A5EF8" w:rsidP="007A5EF8">
      <w:pPr>
        <w:pStyle w:val="12"/>
      </w:pPr>
      <w:r w:rsidRPr="00F219CA">
        <w:t xml:space="preserve">Subject Categories: </w:t>
      </w:r>
    </w:p>
    <w:p w:rsidR="007A5EF8" w:rsidRPr="00F219CA" w:rsidRDefault="007A5EF8" w:rsidP="007A5EF8">
      <w:pPr>
        <w:pStyle w:val="12"/>
      </w:pPr>
      <w:r w:rsidRPr="00F219CA">
        <w:t xml:space="preserve">Peripheral Vascular Disease: Impact Factor </w:t>
      </w:r>
    </w:p>
    <w:p w:rsidR="007A5EF8" w:rsidRDefault="007A5EF8" w:rsidP="007A5EF8">
      <w:pPr>
        <w:pStyle w:val="a3"/>
        <w:rPr>
          <w:kern w:val="0"/>
        </w:rPr>
      </w:pPr>
      <w:r>
        <w:rPr>
          <w:rFonts w:hint="eastAsia"/>
          <w:kern w:val="0"/>
        </w:rPr>
        <w:t xml:space="preserve">? </w:t>
      </w:r>
      <w:r>
        <w:rPr>
          <w:kern w:val="0"/>
        </w:rPr>
        <w:t>Ranpura, V., Pulipati, B., Chu, D., Zhu, X.L.</w:t>
      </w:r>
      <w:r w:rsidR="005853A9">
        <w:rPr>
          <w:kern w:val="0"/>
        </w:rPr>
        <w:t xml:space="preserve"> and </w:t>
      </w:r>
      <w:r>
        <w:rPr>
          <w:kern w:val="0"/>
        </w:rPr>
        <w:t>Wu, S.H. (2010), Increased risk</w:t>
      </w:r>
      <w:r w:rsidR="00427468">
        <w:rPr>
          <w:kern w:val="0"/>
        </w:rPr>
        <w:t xml:space="preserve"> of </w:t>
      </w:r>
      <w:r>
        <w:rPr>
          <w:kern w:val="0"/>
        </w:rPr>
        <w:t xml:space="preserve">high-grade hypertension with Bevacizumab in cancer patients: A meta-analysis. </w:t>
      </w:r>
      <w:r>
        <w:rPr>
          <w:i/>
          <w:iCs/>
          <w:kern w:val="0"/>
        </w:rPr>
        <w:t>American Journal</w:t>
      </w:r>
      <w:r w:rsidR="00427468">
        <w:rPr>
          <w:i/>
          <w:iCs/>
          <w:kern w:val="0"/>
        </w:rPr>
        <w:t xml:space="preserve"> of </w:t>
      </w:r>
      <w:r>
        <w:rPr>
          <w:i/>
          <w:iCs/>
          <w:kern w:val="0"/>
        </w:rPr>
        <w:t>Hypertension</w:t>
      </w:r>
      <w:r>
        <w:rPr>
          <w:kern w:val="0"/>
        </w:rPr>
        <w:t xml:space="preserve">, </w:t>
      </w:r>
      <w:r>
        <w:rPr>
          <w:b/>
          <w:bCs/>
          <w:kern w:val="0"/>
        </w:rPr>
        <w:t>23</w:t>
      </w:r>
      <w:r>
        <w:rPr>
          <w:kern w:val="0"/>
        </w:rPr>
        <w:t xml:space="preserve"> (5), 460-468.</w:t>
      </w:r>
    </w:p>
    <w:p w:rsidR="007A5EF8" w:rsidRDefault="007A5EF8" w:rsidP="007A5EF8">
      <w:pPr>
        <w:pStyle w:val="a3"/>
        <w:rPr>
          <w:kern w:val="0"/>
        </w:rPr>
      </w:pPr>
      <w:r>
        <w:rPr>
          <w:rFonts w:hint="eastAsia"/>
          <w:kern w:val="0"/>
        </w:rPr>
        <w:t xml:space="preserve">Full Text: </w:t>
      </w:r>
      <w:hyperlink r:id="rId511" w:history="1">
        <w:r w:rsidRPr="007A5EF8">
          <w:rPr>
            <w:rStyle w:val="a5"/>
            <w:kern w:val="0"/>
          </w:rPr>
          <w:t>2010\Ame J Hyp23, 460.pdf</w:t>
        </w:r>
      </w:hyperlink>
    </w:p>
    <w:p w:rsidR="007A5EF8" w:rsidRDefault="007A5EF8" w:rsidP="007A5EF8">
      <w:pPr>
        <w:pStyle w:val="a3"/>
        <w:rPr>
          <w:kern w:val="0"/>
        </w:rPr>
      </w:pPr>
      <w:r>
        <w:rPr>
          <w:kern w:val="0"/>
        </w:rPr>
        <w:t>Abstract: BACKGROUND Hypertension is associated with</w:t>
      </w:r>
      <w:r w:rsidR="003A1917">
        <w:rPr>
          <w:kern w:val="0"/>
        </w:rPr>
        <w:t xml:space="preserve"> the </w:t>
      </w:r>
      <w:r>
        <w:rPr>
          <w:kern w:val="0"/>
        </w:rPr>
        <w:t>use</w:t>
      </w:r>
      <w:r w:rsidR="00427468">
        <w:rPr>
          <w:kern w:val="0"/>
        </w:rPr>
        <w:t xml:space="preserve"> of </w:t>
      </w:r>
      <w:r>
        <w:rPr>
          <w:kern w:val="0"/>
        </w:rPr>
        <w:t>bevacizumab, an angiogenesis inhibitor widely used in cancer therapy. Currently,</w:t>
      </w:r>
      <w:r w:rsidR="003A1917">
        <w:rPr>
          <w:kern w:val="0"/>
        </w:rPr>
        <w:t xml:space="preserve"> the </w:t>
      </w:r>
      <w:r>
        <w:rPr>
          <w:kern w:val="0"/>
        </w:rPr>
        <w:t>risk</w:t>
      </w:r>
      <w:r w:rsidR="00427468">
        <w:rPr>
          <w:kern w:val="0"/>
        </w:rPr>
        <w:t xml:space="preserve"> of </w:t>
      </w:r>
      <w:r>
        <w:rPr>
          <w:kern w:val="0"/>
        </w:rPr>
        <w:t>severe hypertension associated with bevacizumab is unclear. We performed a systematic review</w:t>
      </w:r>
      <w:r w:rsidR="005853A9">
        <w:rPr>
          <w:kern w:val="0"/>
        </w:rPr>
        <w:t xml:space="preserve"> and </w:t>
      </w:r>
      <w:r>
        <w:rPr>
          <w:kern w:val="0"/>
        </w:rPr>
        <w:t>meta-analysis</w:t>
      </w:r>
      <w:r w:rsidR="00427468">
        <w:rPr>
          <w:kern w:val="0"/>
        </w:rPr>
        <w:t xml:space="preserve"> of </w:t>
      </w:r>
      <w:r>
        <w:rPr>
          <w:kern w:val="0"/>
        </w:rPr>
        <w:t>published randomized-controlled clinical trials (RCTs) to assess</w:t>
      </w:r>
      <w:r w:rsidR="003A1917">
        <w:rPr>
          <w:kern w:val="0"/>
        </w:rPr>
        <w:t xml:space="preserve"> the </w:t>
      </w:r>
      <w:r>
        <w:rPr>
          <w:kern w:val="0"/>
        </w:rPr>
        <w:t>risk</w:t>
      </w:r>
      <w:r w:rsidR="00427468">
        <w:rPr>
          <w:kern w:val="0"/>
        </w:rPr>
        <w:t xml:space="preserve"> of </w:t>
      </w:r>
      <w:r>
        <w:rPr>
          <w:kern w:val="0"/>
        </w:rPr>
        <w:t xml:space="preserve">high-grade hypertension in cancer patients treated with bevacizumab. METHODS Databases from </w:t>
      </w:r>
      <w:r w:rsidR="002C12F0">
        <w:rPr>
          <w:kern w:val="0"/>
        </w:rPr>
        <w:t>PUBMED</w:t>
      </w:r>
      <w:r>
        <w:rPr>
          <w:kern w:val="0"/>
        </w:rPr>
        <w:t>,</w:t>
      </w:r>
      <w:r w:rsidR="003A1917">
        <w:rPr>
          <w:kern w:val="0"/>
        </w:rPr>
        <w:t xml:space="preserve"> the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abstracts presented at</w:t>
      </w:r>
      <w:r w:rsidR="003A1917">
        <w:rPr>
          <w:kern w:val="0"/>
        </w:rPr>
        <w:t xml:space="preserve"> the </w:t>
      </w:r>
      <w:r>
        <w:rPr>
          <w:kern w:val="0"/>
        </w:rPr>
        <w:t>American Society</w:t>
      </w:r>
      <w:r w:rsidR="00427468">
        <w:rPr>
          <w:kern w:val="0"/>
        </w:rPr>
        <w:t xml:space="preserve"> of </w:t>
      </w:r>
      <w:r>
        <w:rPr>
          <w:kern w:val="0"/>
        </w:rPr>
        <w:t>Clinical Oncology conferences until May 2009 were searched to identify relevant studies. Eligible studies included prospective RCTs in which bevacizumab was directly compared with controls in cancer patients receiving concurrent antineoplastic therapy. Summary incidence, relative risk (RR),</w:t>
      </w:r>
      <w:r w:rsidR="005853A9">
        <w:rPr>
          <w:kern w:val="0"/>
        </w:rPr>
        <w:t xml:space="preserve"> and </w:t>
      </w:r>
      <w:r>
        <w:rPr>
          <w:kern w:val="0"/>
        </w:rPr>
        <w:t>95% confidence interval (CI) were calculated employing a fixed- or random-effects model based upon</w:t>
      </w:r>
      <w:r w:rsidR="003A1917">
        <w:rPr>
          <w:kern w:val="0"/>
        </w:rPr>
        <w:t xml:space="preserve"> the </w:t>
      </w:r>
      <w:r>
        <w:rPr>
          <w:kern w:val="0"/>
        </w:rPr>
        <w:t>heterogeneity</w:t>
      </w:r>
      <w:r w:rsidR="00427468">
        <w:rPr>
          <w:kern w:val="0"/>
        </w:rPr>
        <w:t xml:space="preserve"> of </w:t>
      </w:r>
      <w:r w:rsidR="003A1917">
        <w:rPr>
          <w:kern w:val="0"/>
        </w:rPr>
        <w:t xml:space="preserve">the </w:t>
      </w:r>
      <w:r>
        <w:rPr>
          <w:kern w:val="0"/>
        </w:rPr>
        <w:t>included studies. RESULTS A total</w:t>
      </w:r>
      <w:r w:rsidR="00427468">
        <w:rPr>
          <w:kern w:val="0"/>
        </w:rPr>
        <w:t xml:space="preserve"> of </w:t>
      </w:r>
      <w:r>
        <w:rPr>
          <w:kern w:val="0"/>
        </w:rPr>
        <w:t>12,656 patients with a variety</w:t>
      </w:r>
      <w:r w:rsidR="00427468">
        <w:rPr>
          <w:kern w:val="0"/>
        </w:rPr>
        <w:t xml:space="preserve"> of </w:t>
      </w:r>
      <w:r>
        <w:rPr>
          <w:kern w:val="0"/>
        </w:rPr>
        <w:t>tumors from 20 studies were included for</w:t>
      </w:r>
      <w:r w:rsidR="003A1917">
        <w:rPr>
          <w:kern w:val="0"/>
        </w:rPr>
        <w:t xml:space="preserve"> the </w:t>
      </w:r>
      <w:r>
        <w:rPr>
          <w:kern w:val="0"/>
        </w:rPr>
        <w:t>analysis</w:t>
      </w:r>
      <w:r w:rsidR="00A37C1D">
        <w:rPr>
          <w:kern w:val="0"/>
        </w:rPr>
        <w:t>. The</w:t>
      </w:r>
      <w:r w:rsidR="003A1917">
        <w:rPr>
          <w:kern w:val="0"/>
        </w:rPr>
        <w:t xml:space="preserve"> </w:t>
      </w:r>
      <w:r>
        <w:rPr>
          <w:kern w:val="0"/>
        </w:rPr>
        <w:t>incidence</w:t>
      </w:r>
      <w:r w:rsidR="00427468">
        <w:rPr>
          <w:kern w:val="0"/>
        </w:rPr>
        <w:t xml:space="preserve"> of </w:t>
      </w:r>
      <w:r>
        <w:rPr>
          <w:kern w:val="0"/>
        </w:rPr>
        <w:t>all-grade hypertension in patients receiving bevacizumab was 23.6% (95% CI: 20.5-27.1) with 7.9% (95% CI: 6.1-10.2) being high-grade (grade 3 or 4). Patients treated with bevacizumab had a significantly increased risk</w:t>
      </w:r>
      <w:r w:rsidR="00427468">
        <w:rPr>
          <w:kern w:val="0"/>
        </w:rPr>
        <w:t xml:space="preserve"> of </w:t>
      </w:r>
      <w:r>
        <w:rPr>
          <w:kern w:val="0"/>
        </w:rPr>
        <w:t>developing high-grade hypertension with an RR</w:t>
      </w:r>
      <w:r w:rsidR="00427468">
        <w:rPr>
          <w:kern w:val="0"/>
        </w:rPr>
        <w:t xml:space="preserve"> of </w:t>
      </w:r>
      <w:r>
        <w:rPr>
          <w:kern w:val="0"/>
        </w:rPr>
        <w:t>5.28(95% CI: 4.15-6.71, P &lt; 0.001) in comparison with controls. Even though not statistically significant, there was a trend suggesting that bevacizumab may increase</w:t>
      </w:r>
      <w:r w:rsidR="003A1917">
        <w:rPr>
          <w:kern w:val="0"/>
        </w:rPr>
        <w:t xml:space="preserve"> the </w:t>
      </w:r>
      <w:r>
        <w:rPr>
          <w:kern w:val="0"/>
        </w:rPr>
        <w:t>risk</w:t>
      </w:r>
      <w:r w:rsidR="00427468">
        <w:rPr>
          <w:kern w:val="0"/>
        </w:rPr>
        <w:t xml:space="preserve"> of </w:t>
      </w:r>
      <w:r>
        <w:rPr>
          <w:kern w:val="0"/>
        </w:rPr>
        <w:t>hypertensive crisis (grade 4) with an RR</w:t>
      </w:r>
      <w:r w:rsidR="00427468">
        <w:rPr>
          <w:kern w:val="0"/>
        </w:rPr>
        <w:t xml:space="preserve"> of </w:t>
      </w:r>
      <w:r>
        <w:rPr>
          <w:kern w:val="0"/>
        </w:rPr>
        <w:t>3.16(95% CI: 0.91-10.90)</w:t>
      </w:r>
      <w:r w:rsidR="00A37C1D">
        <w:rPr>
          <w:kern w:val="0"/>
        </w:rPr>
        <w:t>. The</w:t>
      </w:r>
      <w:r w:rsidR="003A1917">
        <w:rPr>
          <w:kern w:val="0"/>
        </w:rPr>
        <w:t xml:space="preserve"> </w:t>
      </w:r>
      <w:r>
        <w:rPr>
          <w:kern w:val="0"/>
        </w:rPr>
        <w:t>increased risk</w:t>
      </w:r>
      <w:r w:rsidR="00427468">
        <w:rPr>
          <w:kern w:val="0"/>
        </w:rPr>
        <w:t xml:space="preserve"> of </w:t>
      </w:r>
      <w:r>
        <w:rPr>
          <w:kern w:val="0"/>
        </w:rPr>
        <w:t xml:space="preserve">high-grade hypertension was observed in patients receiving </w:t>
      </w:r>
      <w:r>
        <w:rPr>
          <w:kern w:val="0"/>
        </w:rPr>
        <w:lastRenderedPageBreak/>
        <w:t>bevacizumab at 2.5 mg/kg/week (RR = 4.78,95% CI: 3.59-6.36) as well as 5 mg/kg/week (RR = 5.39,95% CI: 3.68-7.90)</w:t>
      </w:r>
      <w:r w:rsidR="00A37C1D">
        <w:rPr>
          <w:kern w:val="0"/>
        </w:rPr>
        <w:t>. The</w:t>
      </w:r>
      <w:r w:rsidR="003A1917">
        <w:rPr>
          <w:kern w:val="0"/>
        </w:rPr>
        <w:t xml:space="preserve"> </w:t>
      </w:r>
      <w:r>
        <w:rPr>
          <w:kern w:val="0"/>
        </w:rPr>
        <w:t>risk</w:t>
      </w:r>
      <w:r w:rsidR="00427468">
        <w:rPr>
          <w:kern w:val="0"/>
        </w:rPr>
        <w:t xml:space="preserve"> of </w:t>
      </w:r>
      <w:r>
        <w:rPr>
          <w:kern w:val="0"/>
        </w:rPr>
        <w:t>high-grade hypertension may vary with tumor types, with RRs ranging from 2.49 (95% CI: 0.94-6.59) in patients with mesothelioma to 14.80(95% CI: 0.92-238.51) in patients with breast cancer. CONCLUSION Bevacizumab may significantly increase</w:t>
      </w:r>
      <w:r w:rsidR="003A1917">
        <w:rPr>
          <w:kern w:val="0"/>
        </w:rPr>
        <w:t xml:space="preserve"> the </w:t>
      </w:r>
      <w:r>
        <w:rPr>
          <w:kern w:val="0"/>
        </w:rPr>
        <w:t>risk</w:t>
      </w:r>
      <w:r w:rsidR="00427468">
        <w:rPr>
          <w:kern w:val="0"/>
        </w:rPr>
        <w:t xml:space="preserve"> of </w:t>
      </w:r>
      <w:r>
        <w:rPr>
          <w:kern w:val="0"/>
        </w:rPr>
        <w:t>high-grade hypertension in cancer patients. Close monitoring</w:t>
      </w:r>
      <w:r w:rsidR="005853A9">
        <w:rPr>
          <w:kern w:val="0"/>
        </w:rPr>
        <w:t xml:space="preserve"> and </w:t>
      </w:r>
      <w:r>
        <w:rPr>
          <w:kern w:val="0"/>
        </w:rPr>
        <w:t>adequate management are highly recommended to decrease cardiovascular complications.</w:t>
      </w:r>
    </w:p>
    <w:p w:rsidR="007A5EF8" w:rsidRDefault="007A5EF8" w:rsidP="007A5EF8">
      <w:pPr>
        <w:pStyle w:val="a3"/>
        <w:rPr>
          <w:kern w:val="0"/>
        </w:rPr>
      </w:pPr>
      <w:r>
        <w:rPr>
          <w:kern w:val="0"/>
        </w:rPr>
        <w:t xml:space="preserve">Keywords: 1st-Line Therapy, Analysis, Angiogenesis, Angiogenesis Inhibitor, Bevacizumab, Blood Pressure, Breast Cancer, Breast-Cancer, Cancer, Cardiovascular, Clinical Trials, Crisis, Databases, Endothelial Growth-Factor, Hypertension, Lung-Cancer, Management, Meta-Analysis, Metastatic Colorectal-Cancer, Model, Monitoring, Oncology, Phase-III Trial, Randomized-Trial, Relative Risk, Renal-Cell Carcinoma, Review, Risk, Science, Systematic, Systematic Review, Therapy, Trend, Tumor-Growth, Vascular Endothelial Growth Factor, </w:t>
      </w:r>
      <w:r w:rsidR="00D5664A">
        <w:rPr>
          <w:kern w:val="0"/>
        </w:rPr>
        <w:t>Web</w:t>
      </w:r>
      <w:r w:rsidR="00427468">
        <w:rPr>
          <w:kern w:val="0"/>
        </w:rPr>
        <w:t xml:space="preserve"> of </w:t>
      </w:r>
      <w:r w:rsidR="00D5664A">
        <w:rPr>
          <w:kern w:val="0"/>
        </w:rPr>
        <w:t>Science</w:t>
      </w:r>
    </w:p>
    <w:p w:rsidR="006C2543" w:rsidRPr="001A3D2B" w:rsidRDefault="006C2543" w:rsidP="006C2543">
      <w:pPr>
        <w:pStyle w:val="1"/>
      </w:pPr>
      <w:r w:rsidRPr="001A3D2B">
        <w:br w:type="page"/>
      </w:r>
      <w:bookmarkStart w:id="281" w:name="_Toc420814401"/>
      <w:r w:rsidRPr="001A3D2B">
        <w:lastRenderedPageBreak/>
        <w:t xml:space="preserve">Title: American </w:t>
      </w:r>
      <w:bookmarkStart w:id="282" w:name="_Toc239105743"/>
      <w:r w:rsidRPr="001A3D2B">
        <w:t>Journal</w:t>
      </w:r>
      <w:r w:rsidR="00427468">
        <w:t xml:space="preserve"> of </w:t>
      </w:r>
      <w:r w:rsidRPr="001A3D2B">
        <w:t>Industrial Medicine</w:t>
      </w:r>
      <w:bookmarkEnd w:id="281"/>
    </w:p>
    <w:p w:rsidR="006C2543" w:rsidRPr="001A3D2B" w:rsidRDefault="006C2543" w:rsidP="006C2543">
      <w:pPr>
        <w:pStyle w:val="12"/>
      </w:pPr>
      <w:r w:rsidRPr="001A3D2B">
        <w:t>Full Journal Ti</w:t>
      </w:r>
      <w:bookmarkEnd w:id="282"/>
      <w:r w:rsidRPr="001A3D2B">
        <w:t xml:space="preserve">tle: </w:t>
      </w:r>
      <w:hyperlink r:id="rId512" w:history="1">
        <w:r w:rsidRPr="001A3D2B">
          <w:rPr>
            <w:rStyle w:val="a5"/>
          </w:rPr>
          <w:t>American Journal</w:t>
        </w:r>
        <w:r w:rsidR="00427468">
          <w:rPr>
            <w:rStyle w:val="a5"/>
          </w:rPr>
          <w:t xml:space="preserve"> of </w:t>
        </w:r>
        <w:r w:rsidRPr="001A3D2B">
          <w:rPr>
            <w:rStyle w:val="a5"/>
          </w:rPr>
          <w:t>Industrial Medicine</w:t>
        </w:r>
      </w:hyperlink>
    </w:p>
    <w:p w:rsidR="006C2543" w:rsidRPr="001A3D2B" w:rsidRDefault="006C2543" w:rsidP="006C2543">
      <w:pPr>
        <w:pStyle w:val="12"/>
      </w:pPr>
      <w:r w:rsidRPr="001A3D2B">
        <w:t>ISO Abbreviated Title: Am. J. Ind. Med.</w:t>
      </w:r>
    </w:p>
    <w:p w:rsidR="006C2543" w:rsidRPr="001A3D2B" w:rsidRDefault="006C2543" w:rsidP="006C2543">
      <w:pPr>
        <w:pStyle w:val="12"/>
      </w:pPr>
      <w:r w:rsidRPr="001A3D2B">
        <w:t>JCR Abbreviated Title: Am J Ind Med</w:t>
      </w:r>
    </w:p>
    <w:p w:rsidR="006C2543" w:rsidRPr="001A3D2B" w:rsidRDefault="006C2543" w:rsidP="006C2543">
      <w:pPr>
        <w:pStyle w:val="12"/>
      </w:pPr>
      <w:r w:rsidRPr="001A3D2B">
        <w:t>ISSN: 0271-3586</w:t>
      </w:r>
    </w:p>
    <w:p w:rsidR="006C2543" w:rsidRPr="001A3D2B" w:rsidRDefault="006C2543" w:rsidP="006C2543">
      <w:pPr>
        <w:pStyle w:val="12"/>
      </w:pPr>
      <w:r w:rsidRPr="001A3D2B">
        <w:t>Issues/Year: 12</w:t>
      </w:r>
    </w:p>
    <w:p w:rsidR="006C2543" w:rsidRPr="001A3D2B" w:rsidRDefault="006C2543" w:rsidP="006C2543">
      <w:pPr>
        <w:pStyle w:val="12"/>
      </w:pPr>
      <w:r w:rsidRPr="001A3D2B">
        <w:t>Journal Country/Territory: United States</w:t>
      </w:r>
    </w:p>
    <w:p w:rsidR="006C2543" w:rsidRPr="001A3D2B" w:rsidRDefault="006C2543" w:rsidP="006C2543">
      <w:pPr>
        <w:pStyle w:val="12"/>
      </w:pPr>
      <w:r w:rsidRPr="001A3D2B">
        <w:t>Language: English</w:t>
      </w:r>
    </w:p>
    <w:p w:rsidR="006C2543" w:rsidRPr="001A3D2B" w:rsidRDefault="006C2543" w:rsidP="006C2543">
      <w:pPr>
        <w:pStyle w:val="12"/>
      </w:pPr>
      <w:r w:rsidRPr="001A3D2B">
        <w:t>Publisher: Wiley-Liss</w:t>
      </w:r>
    </w:p>
    <w:p w:rsidR="006C2543" w:rsidRPr="001A3D2B" w:rsidRDefault="006C2543" w:rsidP="006C2543">
      <w:pPr>
        <w:pStyle w:val="12"/>
      </w:pPr>
      <w:r w:rsidRPr="001A3D2B">
        <w:t>Publisher Address: Div John Wiley &amp; Sons Inc, 605 Third Ave, New York, NY 10158-0012</w:t>
      </w:r>
    </w:p>
    <w:p w:rsidR="006C2543" w:rsidRPr="001A3D2B" w:rsidRDefault="006C2543" w:rsidP="006C2543">
      <w:pPr>
        <w:pStyle w:val="12"/>
      </w:pPr>
      <w:r w:rsidRPr="001A3D2B">
        <w:t xml:space="preserve">Subject Categories: </w:t>
      </w:r>
    </w:p>
    <w:p w:rsidR="006C2543" w:rsidRPr="001A3D2B" w:rsidRDefault="006C2543" w:rsidP="006C2543">
      <w:pPr>
        <w:pStyle w:val="12"/>
      </w:pPr>
      <w:r w:rsidRPr="001A3D2B">
        <w:t>Public, Environmental &amp; Occupational Health: Impact Factor, 1.368, 40/85</w:t>
      </w:r>
    </w:p>
    <w:p w:rsidR="006C2543" w:rsidRPr="001A3D2B" w:rsidRDefault="006C2543" w:rsidP="006C2543">
      <w:pPr>
        <w:pStyle w:val="a3"/>
        <w:rPr>
          <w:kern w:val="0"/>
        </w:rPr>
      </w:pPr>
      <w:r w:rsidRPr="001A3D2B">
        <w:rPr>
          <w:kern w:val="0"/>
        </w:rPr>
        <w:t>? Deatherage, J.H., Furches, L.K., Radcliffe, M., Schriver, W.R.</w:t>
      </w:r>
      <w:r w:rsidR="005853A9">
        <w:rPr>
          <w:kern w:val="0"/>
        </w:rPr>
        <w:t xml:space="preserve"> and </w:t>
      </w:r>
      <w:r w:rsidRPr="001A3D2B">
        <w:rPr>
          <w:kern w:val="0"/>
        </w:rPr>
        <w:t xml:space="preserve">Wagner, J.P. (2004), Neglecting safety precautions may lead to trenching fatalities. </w:t>
      </w:r>
      <w:r w:rsidRPr="001A3D2B">
        <w:rPr>
          <w:i/>
          <w:iCs/>
          <w:kern w:val="0"/>
        </w:rPr>
        <w:t>American Journal</w:t>
      </w:r>
      <w:r w:rsidR="00427468">
        <w:rPr>
          <w:i/>
          <w:iCs/>
          <w:kern w:val="0"/>
        </w:rPr>
        <w:t xml:space="preserve"> of </w:t>
      </w:r>
      <w:r w:rsidRPr="001A3D2B">
        <w:rPr>
          <w:i/>
          <w:iCs/>
          <w:kern w:val="0"/>
        </w:rPr>
        <w:t>Industrial Medicine</w:t>
      </w:r>
      <w:r w:rsidRPr="001A3D2B">
        <w:rPr>
          <w:kern w:val="0"/>
        </w:rPr>
        <w:t xml:space="preserve">, </w:t>
      </w:r>
      <w:r w:rsidRPr="001A3D2B">
        <w:rPr>
          <w:b/>
          <w:bCs/>
          <w:kern w:val="0"/>
        </w:rPr>
        <w:t>45</w:t>
      </w:r>
      <w:r w:rsidRPr="001A3D2B">
        <w:rPr>
          <w:kern w:val="0"/>
        </w:rPr>
        <w:t xml:space="preserve"> (6), 522-527.</w:t>
      </w:r>
    </w:p>
    <w:p w:rsidR="006C2543" w:rsidRPr="001A3D2B" w:rsidRDefault="006C2543" w:rsidP="006C2543">
      <w:pPr>
        <w:pStyle w:val="a3"/>
        <w:rPr>
          <w:kern w:val="2"/>
        </w:rPr>
      </w:pPr>
      <w:r w:rsidRPr="001A3D2B">
        <w:t xml:space="preserve">Full Text: </w:t>
      </w:r>
      <w:hyperlink r:id="rId513" w:history="1">
        <w:r w:rsidRPr="001A3D2B">
          <w:rPr>
            <w:rStyle w:val="a5"/>
          </w:rPr>
          <w:t>2004\Ame J Ind Med45, 522.pdf</w:t>
        </w:r>
      </w:hyperlink>
    </w:p>
    <w:p w:rsidR="006C2543" w:rsidRPr="001A3D2B" w:rsidRDefault="006C2543" w:rsidP="006C2543">
      <w:pPr>
        <w:pStyle w:val="a3"/>
        <w:rPr>
          <w:kern w:val="0"/>
        </w:rPr>
      </w:pPr>
      <w:r w:rsidRPr="001A3D2B">
        <w:rPr>
          <w:kern w:val="0"/>
        </w:rPr>
        <w:t>Abstract: Background Trench collapses ranked as</w:t>
      </w:r>
      <w:r w:rsidR="003A1917">
        <w:rPr>
          <w:kern w:val="0"/>
        </w:rPr>
        <w:t xml:space="preserve"> the </w:t>
      </w:r>
      <w:r w:rsidRPr="001A3D2B">
        <w:rPr>
          <w:kern w:val="0"/>
        </w:rPr>
        <w:t>seventh leading cause</w:t>
      </w:r>
      <w:r w:rsidR="00427468">
        <w:rPr>
          <w:kern w:val="0"/>
        </w:rPr>
        <w:t xml:space="preserve"> of </w:t>
      </w:r>
      <w:r w:rsidR="003A1917">
        <w:rPr>
          <w:kern w:val="0"/>
        </w:rPr>
        <w:t xml:space="preserve">the </w:t>
      </w:r>
      <w:r w:rsidRPr="001A3D2B">
        <w:rPr>
          <w:kern w:val="0"/>
        </w:rPr>
        <w:t>possible twenty-nine causes</w:t>
      </w:r>
      <w:r w:rsidR="00427468">
        <w:rPr>
          <w:kern w:val="0"/>
        </w:rPr>
        <w:t xml:space="preserve"> of </w:t>
      </w:r>
      <w:r w:rsidRPr="001A3D2B">
        <w:rPr>
          <w:kern w:val="0"/>
        </w:rPr>
        <w:t>OSHA-inspected fatal construction events during</w:t>
      </w:r>
      <w:r w:rsidR="003A1917">
        <w:rPr>
          <w:kern w:val="0"/>
        </w:rPr>
        <w:t xml:space="preserve"> the </w:t>
      </w:r>
      <w:r w:rsidRPr="001A3D2B">
        <w:rPr>
          <w:kern w:val="0"/>
        </w:rPr>
        <w:t>period 1991-2001. This study aims to examine why these fatalities occurred. Methods Forty-four case files from OSHA inspections</w:t>
      </w:r>
      <w:r w:rsidR="00427468">
        <w:rPr>
          <w:kern w:val="0"/>
        </w:rPr>
        <w:t xml:space="preserve"> of </w:t>
      </w:r>
      <w:r w:rsidRPr="001A3D2B">
        <w:rPr>
          <w:kern w:val="0"/>
        </w:rPr>
        <w:t>fatal trench collapses were reviewed. Results Improper protection</w:t>
      </w:r>
      <w:r w:rsidR="00427468">
        <w:rPr>
          <w:kern w:val="0"/>
        </w:rPr>
        <w:t xml:space="preserve"> of </w:t>
      </w:r>
      <w:r w:rsidR="003A1917">
        <w:rPr>
          <w:kern w:val="0"/>
        </w:rPr>
        <w:t xml:space="preserve">the </w:t>
      </w:r>
      <w:r w:rsidRPr="001A3D2B">
        <w:rPr>
          <w:kern w:val="0"/>
        </w:rPr>
        <w:t>excavation site where work was taking place was</w:t>
      </w:r>
      <w:r w:rsidR="003A1917">
        <w:rPr>
          <w:kern w:val="0"/>
        </w:rPr>
        <w:t xml:space="preserve"> the </w:t>
      </w:r>
      <w:r w:rsidRPr="001A3D2B">
        <w:rPr>
          <w:kern w:val="0"/>
        </w:rPr>
        <w:t>leading fatality cause. Several organizational or physical conditions were present at many fatal sites;</w:t>
      </w:r>
      <w:r w:rsidR="003A1917">
        <w:rPr>
          <w:kern w:val="0"/>
        </w:rPr>
        <w:t xml:space="preserve"> the </w:t>
      </w:r>
      <w:r w:rsidRPr="001A3D2B">
        <w:rPr>
          <w:kern w:val="0"/>
        </w:rPr>
        <w:t>most frequent was that no training had been provided for trenching. Conclusions Presence</w:t>
      </w:r>
      <w:r w:rsidR="00427468">
        <w:rPr>
          <w:kern w:val="0"/>
        </w:rPr>
        <w:t xml:space="preserve"> of </w:t>
      </w:r>
      <w:r w:rsidRPr="001A3D2B">
        <w:rPr>
          <w:kern w:val="0"/>
        </w:rPr>
        <w:t>a competent, diligent person at</w:t>
      </w:r>
      <w:r w:rsidR="003A1917">
        <w:rPr>
          <w:kern w:val="0"/>
        </w:rPr>
        <w:t xml:space="preserve"> the </w:t>
      </w:r>
      <w:r w:rsidRPr="001A3D2B">
        <w:rPr>
          <w:kern w:val="0"/>
        </w:rPr>
        <w:t>site would have prohibited most fatalities</w:t>
      </w:r>
      <w:r w:rsidR="00A37C1D">
        <w:rPr>
          <w:kern w:val="0"/>
        </w:rPr>
        <w:t>. The</w:t>
      </w:r>
      <w:r w:rsidR="003A1917">
        <w:rPr>
          <w:kern w:val="0"/>
        </w:rPr>
        <w:t xml:space="preserve"> </w:t>
      </w:r>
      <w:r w:rsidRPr="001A3D2B">
        <w:rPr>
          <w:kern w:val="0"/>
        </w:rPr>
        <w:t>top cited violation was lack</w:t>
      </w:r>
      <w:r w:rsidR="00427468">
        <w:rPr>
          <w:kern w:val="0"/>
        </w:rPr>
        <w:t xml:space="preserve"> of </w:t>
      </w:r>
      <w:r w:rsidRPr="001A3D2B">
        <w:rPr>
          <w:kern w:val="0"/>
        </w:rPr>
        <w:t>protection, that is, benching, shoring, sloping, trench boxes, etc. (29 CFR 1926.652 (a) (1)). (C) 2004 Wiley-Liss, Inc.</w:t>
      </w:r>
    </w:p>
    <w:p w:rsidR="006C2543" w:rsidRPr="001A3D2B" w:rsidRDefault="006C2543" w:rsidP="006C2543">
      <w:pPr>
        <w:pStyle w:val="a3"/>
        <w:rPr>
          <w:kern w:val="0"/>
        </w:rPr>
      </w:pPr>
      <w:r w:rsidRPr="001A3D2B">
        <w:rPr>
          <w:kern w:val="0"/>
        </w:rPr>
        <w:t>Keywords: 29 CFR 1926, Construction Fatalities, OSHA Violation, Trench Collapse</w:t>
      </w:r>
    </w:p>
    <w:p w:rsidR="00E72621" w:rsidRDefault="00E72621" w:rsidP="00E72621">
      <w:pPr>
        <w:pStyle w:val="a3"/>
        <w:rPr>
          <w:kern w:val="0"/>
        </w:rPr>
      </w:pPr>
      <w:r>
        <w:rPr>
          <w:rFonts w:hint="eastAsia"/>
          <w:kern w:val="0"/>
        </w:rPr>
        <w:t xml:space="preserve">? </w:t>
      </w:r>
      <w:r>
        <w:rPr>
          <w:kern w:val="0"/>
        </w:rPr>
        <w:t>Osborne, A., Blake, C., Fullen, B.M., Meredith, D., Phelan, J., McNamara, J.</w:t>
      </w:r>
      <w:r w:rsidR="005853A9">
        <w:rPr>
          <w:kern w:val="0"/>
        </w:rPr>
        <w:t xml:space="preserve"> and </w:t>
      </w:r>
      <w:r>
        <w:rPr>
          <w:kern w:val="0"/>
        </w:rPr>
        <w:t>Cunningham, C. (2012), Prevalence</w:t>
      </w:r>
      <w:r w:rsidR="00427468">
        <w:rPr>
          <w:kern w:val="0"/>
        </w:rPr>
        <w:t xml:space="preserve"> of </w:t>
      </w:r>
      <w:r>
        <w:rPr>
          <w:kern w:val="0"/>
        </w:rPr>
        <w:t xml:space="preserve">musculoskeletal disorders among farmers: A systematic review. </w:t>
      </w:r>
      <w:r>
        <w:rPr>
          <w:i/>
          <w:iCs/>
          <w:kern w:val="0"/>
        </w:rPr>
        <w:t>American Journal</w:t>
      </w:r>
      <w:r w:rsidR="00427468">
        <w:rPr>
          <w:i/>
          <w:iCs/>
          <w:kern w:val="0"/>
        </w:rPr>
        <w:t xml:space="preserve"> of </w:t>
      </w:r>
      <w:r>
        <w:rPr>
          <w:i/>
          <w:iCs/>
          <w:kern w:val="0"/>
        </w:rPr>
        <w:t>Industrial Medicine</w:t>
      </w:r>
      <w:r>
        <w:rPr>
          <w:kern w:val="0"/>
        </w:rPr>
        <w:t xml:space="preserve">, </w:t>
      </w:r>
      <w:r>
        <w:rPr>
          <w:b/>
          <w:bCs/>
          <w:kern w:val="0"/>
        </w:rPr>
        <w:t>55</w:t>
      </w:r>
      <w:r>
        <w:rPr>
          <w:kern w:val="0"/>
        </w:rPr>
        <w:t xml:space="preserve"> (2), 143-158.</w:t>
      </w:r>
    </w:p>
    <w:p w:rsidR="00E72621" w:rsidRPr="001A3D2B" w:rsidRDefault="00E72621" w:rsidP="00E72621">
      <w:pPr>
        <w:pStyle w:val="a3"/>
        <w:rPr>
          <w:kern w:val="2"/>
        </w:rPr>
      </w:pPr>
      <w:r w:rsidRPr="001A3D2B">
        <w:t xml:space="preserve">Full Text: </w:t>
      </w:r>
      <w:hyperlink r:id="rId514" w:history="1">
        <w:r w:rsidRPr="001A40F6">
          <w:rPr>
            <w:rStyle w:val="a5"/>
          </w:rPr>
          <w:t>2012\Ame J Ind Med55, 143.pdf</w:t>
        </w:r>
      </w:hyperlink>
    </w:p>
    <w:p w:rsidR="00E72621" w:rsidRDefault="00E72621" w:rsidP="00E72621">
      <w:pPr>
        <w:pStyle w:val="a3"/>
        <w:rPr>
          <w:kern w:val="0"/>
        </w:rPr>
      </w:pPr>
      <w:r>
        <w:rPr>
          <w:kern w:val="0"/>
        </w:rPr>
        <w:t>Abstract: Objective To determine</w:t>
      </w:r>
      <w:r w:rsidR="003A1917">
        <w:rPr>
          <w:kern w:val="0"/>
        </w:rPr>
        <w:t xml:space="preserve"> the </w:t>
      </w:r>
      <w:r>
        <w:rPr>
          <w:kern w:val="0"/>
        </w:rPr>
        <w:t>prevalence</w:t>
      </w:r>
      <w:r w:rsidR="00427468">
        <w:rPr>
          <w:kern w:val="0"/>
        </w:rPr>
        <w:t xml:space="preserve"> of </w:t>
      </w:r>
      <w:r>
        <w:rPr>
          <w:kern w:val="0"/>
        </w:rPr>
        <w:t>musculoskeletal disorders (MSDs) among farmers</w:t>
      </w:r>
      <w:r w:rsidR="005853A9">
        <w:rPr>
          <w:kern w:val="0"/>
        </w:rPr>
        <w:t xml:space="preserve"> and </w:t>
      </w:r>
      <w:r>
        <w:rPr>
          <w:kern w:val="0"/>
        </w:rPr>
        <w:t>to establish</w:t>
      </w:r>
      <w:r w:rsidR="003A1917">
        <w:rPr>
          <w:kern w:val="0"/>
        </w:rPr>
        <w:t xml:space="preserve"> the </w:t>
      </w:r>
      <w:r>
        <w:rPr>
          <w:kern w:val="0"/>
        </w:rPr>
        <w:t>most common regional MSDs reported. Methods Comprehensive electronic searches</w:t>
      </w:r>
      <w:r w:rsidR="00427468">
        <w:rPr>
          <w:kern w:val="0"/>
        </w:rPr>
        <w:t xml:space="preserve"> of </w:t>
      </w:r>
      <w:r>
        <w:rPr>
          <w:kern w:val="0"/>
        </w:rPr>
        <w:t xml:space="preserve">Pubmed, </w:t>
      </w:r>
      <w:r w:rsidR="00D5664A">
        <w:rPr>
          <w:kern w:val="0"/>
        </w:rPr>
        <w:t>Web</w:t>
      </w:r>
      <w:r w:rsidR="00427468">
        <w:rPr>
          <w:kern w:val="0"/>
        </w:rPr>
        <w:t xml:space="preserve"> of </w:t>
      </w:r>
      <w:r w:rsidR="00D5664A">
        <w:rPr>
          <w:kern w:val="0"/>
        </w:rPr>
        <w:t>Science</w:t>
      </w:r>
      <w:r>
        <w:rPr>
          <w:kern w:val="0"/>
        </w:rPr>
        <w:t>, CINAHL, SCOPUS, EMBASE, Agris Database,</w:t>
      </w:r>
      <w:r w:rsidR="005853A9">
        <w:rPr>
          <w:kern w:val="0"/>
        </w:rPr>
        <w:t xml:space="preserve"> and </w:t>
      </w:r>
      <w:r>
        <w:rPr>
          <w:kern w:val="0"/>
        </w:rPr>
        <w:t xml:space="preserve">Cochrane Library were carried out using keywords </w:t>
      </w:r>
      <w:r>
        <w:rPr>
          <w:kern w:val="0"/>
        </w:rPr>
        <w:lastRenderedPageBreak/>
        <w:t>for MSDs</w:t>
      </w:r>
      <w:r w:rsidR="005853A9">
        <w:rPr>
          <w:kern w:val="0"/>
        </w:rPr>
        <w:t xml:space="preserve"> and </w:t>
      </w:r>
      <w:r>
        <w:rPr>
          <w:kern w:val="0"/>
        </w:rPr>
        <w:t>farmers. Pooled estimates</w:t>
      </w:r>
      <w:r w:rsidR="00427468">
        <w:rPr>
          <w:kern w:val="0"/>
        </w:rPr>
        <w:t xml:space="preserve"> of </w:t>
      </w:r>
      <w:r>
        <w:rPr>
          <w:kern w:val="0"/>
        </w:rPr>
        <w:t>prevalence with 95% confidence intervals were calculated for overall MSD prevalence</w:t>
      </w:r>
      <w:r w:rsidR="005853A9">
        <w:rPr>
          <w:kern w:val="0"/>
        </w:rPr>
        <w:t xml:space="preserve"> and </w:t>
      </w:r>
      <w:r w:rsidR="003A1917">
        <w:rPr>
          <w:kern w:val="0"/>
        </w:rPr>
        <w:t xml:space="preserve">the </w:t>
      </w:r>
      <w:r>
        <w:rPr>
          <w:kern w:val="0"/>
        </w:rPr>
        <w:t>most common regional MSDs reported. Results Twenty-four studies fulfilled</w:t>
      </w:r>
      <w:r w:rsidR="003A1917">
        <w:rPr>
          <w:kern w:val="0"/>
        </w:rPr>
        <w:t xml:space="preserve"> the </w:t>
      </w:r>
      <w:r>
        <w:rPr>
          <w:kern w:val="0"/>
        </w:rPr>
        <w:t>inclusion criteria</w:t>
      </w:r>
      <w:r w:rsidR="005853A9">
        <w:rPr>
          <w:kern w:val="0"/>
        </w:rPr>
        <w:t xml:space="preserve"> and </w:t>
      </w:r>
      <w:r>
        <w:rPr>
          <w:kern w:val="0"/>
        </w:rPr>
        <w:t>were incorporated into this review. From these studies, life-time prevalence</w:t>
      </w:r>
      <w:r w:rsidR="00427468">
        <w:rPr>
          <w:kern w:val="0"/>
        </w:rPr>
        <w:t xml:space="preserve"> of </w:t>
      </w:r>
      <w:r>
        <w:rPr>
          <w:kern w:val="0"/>
        </w:rPr>
        <w:t>any form</w:t>
      </w:r>
      <w:r w:rsidR="00427468">
        <w:rPr>
          <w:kern w:val="0"/>
        </w:rPr>
        <w:t xml:space="preserve"> of </w:t>
      </w:r>
      <w:r>
        <w:rPr>
          <w:kern w:val="0"/>
        </w:rPr>
        <w:t>MSD among farmers was 90.6% while 1-year MSD prevalence was 76.9% (95% CI 69.8-82.7)</w:t>
      </w:r>
      <w:r w:rsidR="00A37C1D">
        <w:rPr>
          <w:kern w:val="0"/>
        </w:rPr>
        <w:t>. The</w:t>
      </w:r>
      <w:r w:rsidR="003A1917">
        <w:rPr>
          <w:kern w:val="0"/>
        </w:rPr>
        <w:t xml:space="preserve"> </w:t>
      </w:r>
      <w:r>
        <w:rPr>
          <w:kern w:val="0"/>
        </w:rPr>
        <w:t>majority</w:t>
      </w:r>
      <w:r w:rsidR="00427468">
        <w:rPr>
          <w:kern w:val="0"/>
        </w:rPr>
        <w:t xml:space="preserve"> of </w:t>
      </w:r>
      <w:r>
        <w:rPr>
          <w:kern w:val="0"/>
        </w:rPr>
        <w:t>studies focused on spinal MSDs with low back pain (LBP)</w:t>
      </w:r>
      <w:r w:rsidR="003A1917">
        <w:rPr>
          <w:kern w:val="0"/>
        </w:rPr>
        <w:t xml:space="preserve"> the </w:t>
      </w:r>
      <w:r>
        <w:rPr>
          <w:kern w:val="0"/>
        </w:rPr>
        <w:t>most frequently investigated. Life-time LBP prevalence was 75% (95% CI 67-81.5) while 1-year LBP prevalence was 47.8% (95% CI 40.2-55.5)</w:t>
      </w:r>
      <w:r w:rsidR="00A37C1D">
        <w:rPr>
          <w:kern w:val="0"/>
        </w:rPr>
        <w:t>. The</w:t>
      </w:r>
      <w:r w:rsidR="003A1917">
        <w:rPr>
          <w:kern w:val="0"/>
        </w:rPr>
        <w:t xml:space="preserve"> </w:t>
      </w:r>
      <w:r>
        <w:rPr>
          <w:kern w:val="0"/>
        </w:rPr>
        <w:t>next most common regional MSDs reported were upper (range 3.6-71.4%)</w:t>
      </w:r>
      <w:r w:rsidR="005853A9">
        <w:rPr>
          <w:kern w:val="0"/>
        </w:rPr>
        <w:t xml:space="preserve"> and </w:t>
      </w:r>
      <w:r>
        <w:rPr>
          <w:kern w:val="0"/>
        </w:rPr>
        <w:t>lower extremities (range 10.4-41%). Conclusions</w:t>
      </w:r>
      <w:r w:rsidR="003A1917">
        <w:rPr>
          <w:kern w:val="0"/>
        </w:rPr>
        <w:t xml:space="preserve"> the </w:t>
      </w:r>
      <w:r>
        <w:rPr>
          <w:kern w:val="0"/>
        </w:rPr>
        <w:t>systematic review identified</w:t>
      </w:r>
      <w:r w:rsidR="003A1917">
        <w:rPr>
          <w:kern w:val="0"/>
        </w:rPr>
        <w:t xml:space="preserve"> the </w:t>
      </w:r>
      <w:r>
        <w:rPr>
          <w:kern w:val="0"/>
        </w:rPr>
        <w:t>prevalence</w:t>
      </w:r>
      <w:r w:rsidR="00427468">
        <w:rPr>
          <w:kern w:val="0"/>
        </w:rPr>
        <w:t xml:space="preserve"> of </w:t>
      </w:r>
      <w:r>
        <w:rPr>
          <w:kern w:val="0"/>
        </w:rPr>
        <w:t>MSDs by body region in farmers</w:t>
      </w:r>
      <w:r w:rsidR="005853A9">
        <w:rPr>
          <w:kern w:val="0"/>
        </w:rPr>
        <w:t xml:space="preserve"> and </w:t>
      </w:r>
      <w:r>
        <w:rPr>
          <w:kern w:val="0"/>
        </w:rPr>
        <w:t>established that LBP was</w:t>
      </w:r>
      <w:r w:rsidR="003A1917">
        <w:rPr>
          <w:kern w:val="0"/>
        </w:rPr>
        <w:t xml:space="preserve"> the </w:t>
      </w:r>
      <w:r>
        <w:rPr>
          <w:kern w:val="0"/>
        </w:rPr>
        <w:t>most common MSD, followed by upper</w:t>
      </w:r>
      <w:r w:rsidR="005853A9">
        <w:rPr>
          <w:kern w:val="0"/>
        </w:rPr>
        <w:t xml:space="preserve"> and </w:t>
      </w:r>
      <w:r>
        <w:rPr>
          <w:kern w:val="0"/>
        </w:rPr>
        <w:t>then lower extremity MSDs. Reported trends suggest that</w:t>
      </w:r>
      <w:r w:rsidR="003A1917">
        <w:rPr>
          <w:kern w:val="0"/>
        </w:rPr>
        <w:t xml:space="preserve"> the </w:t>
      </w:r>
      <w:r>
        <w:rPr>
          <w:kern w:val="0"/>
        </w:rPr>
        <w:t>prevalence</w:t>
      </w:r>
      <w:r w:rsidR="00427468">
        <w:rPr>
          <w:kern w:val="0"/>
        </w:rPr>
        <w:t xml:space="preserve"> of </w:t>
      </w:r>
      <w:r>
        <w:rPr>
          <w:kern w:val="0"/>
        </w:rPr>
        <w:t>MSDs in farmers is greater than in non-farmer populations. Case-definition uniformity among MSD researchers is warranted. More studies are needed regarding upper</w:t>
      </w:r>
      <w:r w:rsidR="005853A9">
        <w:rPr>
          <w:kern w:val="0"/>
        </w:rPr>
        <w:t xml:space="preserve"> and </w:t>
      </w:r>
      <w:r>
        <w:rPr>
          <w:kern w:val="0"/>
        </w:rPr>
        <w:t>lower extremity MSDs, gender, workplace,</w:t>
      </w:r>
      <w:r w:rsidR="005853A9">
        <w:rPr>
          <w:kern w:val="0"/>
        </w:rPr>
        <w:t xml:space="preserve"> and </w:t>
      </w:r>
      <w:r>
        <w:rPr>
          <w:kern w:val="0"/>
        </w:rPr>
        <w:t>task context</w:t>
      </w:r>
      <w:r w:rsidR="00427468">
        <w:rPr>
          <w:kern w:val="0"/>
        </w:rPr>
        <w:t xml:space="preserve"> of </w:t>
      </w:r>
      <w:r>
        <w:rPr>
          <w:kern w:val="0"/>
        </w:rPr>
        <w:t>MSDs. Am. J. Ind. Med. 55: 143-158, 2012. (C) 2011 Wiley Periodicals, Inc.</w:t>
      </w:r>
    </w:p>
    <w:p w:rsidR="00E72621" w:rsidRDefault="00E72621" w:rsidP="00E72621">
      <w:pPr>
        <w:pStyle w:val="a3"/>
        <w:rPr>
          <w:kern w:val="0"/>
        </w:rPr>
      </w:pPr>
      <w:r>
        <w:rPr>
          <w:kern w:val="0"/>
        </w:rPr>
        <w:t xml:space="preserve">Keywords: Cochrane, Confidence Intervals, Dairy Farmers, Database, Embase, Family Health, Farmers, Gender, Hip, Irish Farmers, Life-Time, Lifetime, Low, Low-Back-Pain, Methods, Musculoskeletal Disorders, Osteoarthritis, Pain, Population, Prevalence, Researchers, Review, Risk-Factors, Science, Scopus, Symptoms, Systematic, Systematic Review, Trends,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r>
        <w:rPr>
          <w:kern w:val="0"/>
        </w:rPr>
        <w:t>, Work, Workplace</w:t>
      </w:r>
    </w:p>
    <w:p w:rsidR="00343909" w:rsidRDefault="00343909" w:rsidP="00343909">
      <w:pPr>
        <w:pStyle w:val="a3"/>
        <w:rPr>
          <w:kern w:val="0"/>
        </w:rPr>
      </w:pPr>
      <w:r>
        <w:rPr>
          <w:rFonts w:hint="eastAsia"/>
          <w:kern w:val="0"/>
        </w:rPr>
        <w:t xml:space="preserve">? </w:t>
      </w:r>
      <w:r>
        <w:rPr>
          <w:kern w:val="0"/>
        </w:rPr>
        <w:t>Mattioli, S., Gori, D., Di Gregori, V., Ricotta, L., Baldasseroni, A., Farioli, A., Zanardi, F., Galletti, S., Colosio, C., Curti, S. and Violante, F.S. (2013), PubMed search strings for the study</w:t>
      </w:r>
      <w:r w:rsidR="00427468">
        <w:rPr>
          <w:kern w:val="0"/>
        </w:rPr>
        <w:t xml:space="preserve"> of </w:t>
      </w:r>
      <w:r>
        <w:rPr>
          <w:kern w:val="0"/>
        </w:rPr>
        <w:t>agricultural workers</w:t>
      </w:r>
      <w:r w:rsidR="00700038">
        <w:rPr>
          <w:kern w:val="0"/>
        </w:rPr>
        <w:t>’</w:t>
      </w:r>
      <w:r>
        <w:rPr>
          <w:kern w:val="0"/>
        </w:rPr>
        <w:t xml:space="preserve"> diseases. </w:t>
      </w:r>
      <w:r>
        <w:rPr>
          <w:i/>
          <w:iCs/>
          <w:kern w:val="0"/>
        </w:rPr>
        <w:t>American Journal</w:t>
      </w:r>
      <w:r w:rsidR="00427468">
        <w:rPr>
          <w:i/>
          <w:iCs/>
          <w:kern w:val="0"/>
        </w:rPr>
        <w:t xml:space="preserve"> of </w:t>
      </w:r>
      <w:r>
        <w:rPr>
          <w:i/>
          <w:iCs/>
          <w:kern w:val="0"/>
        </w:rPr>
        <w:t>Industrial Medicine</w:t>
      </w:r>
      <w:r>
        <w:rPr>
          <w:kern w:val="0"/>
        </w:rPr>
        <w:t xml:space="preserve">, </w:t>
      </w:r>
      <w:r>
        <w:rPr>
          <w:b/>
          <w:bCs/>
          <w:kern w:val="0"/>
        </w:rPr>
        <w:t>56</w:t>
      </w:r>
      <w:r>
        <w:rPr>
          <w:kern w:val="0"/>
        </w:rPr>
        <w:t xml:space="preserve"> (12), 1473-1481.</w:t>
      </w:r>
    </w:p>
    <w:p w:rsidR="00343909" w:rsidRPr="001A3D2B" w:rsidRDefault="00343909" w:rsidP="00343909">
      <w:pPr>
        <w:pStyle w:val="a3"/>
        <w:rPr>
          <w:kern w:val="2"/>
        </w:rPr>
      </w:pPr>
      <w:r w:rsidRPr="001A3D2B">
        <w:t xml:space="preserve">Full Text: </w:t>
      </w:r>
      <w:hyperlink r:id="rId515" w:history="1">
        <w:r w:rsidRPr="00BB154C">
          <w:rPr>
            <w:rStyle w:val="a5"/>
          </w:rPr>
          <w:t>2013\Ame J Ind Med56, 1473.pdf</w:t>
        </w:r>
      </w:hyperlink>
    </w:p>
    <w:p w:rsidR="00343909" w:rsidRDefault="00343909" w:rsidP="00343909">
      <w:pPr>
        <w:pStyle w:val="a3"/>
        <w:rPr>
          <w:kern w:val="0"/>
        </w:rPr>
      </w:pPr>
      <w:r>
        <w:rPr>
          <w:kern w:val="0"/>
        </w:rPr>
        <w:t>Abstract: BackgroundSeveral optimized search strategies have been developed in Medicine, and more recently in Occupational Medicine</w:t>
      </w:r>
      <w:r w:rsidR="00A37C1D">
        <w:rPr>
          <w:kern w:val="0"/>
        </w:rPr>
        <w:t>. The</w:t>
      </w:r>
      <w:r>
        <w:rPr>
          <w:kern w:val="0"/>
        </w:rPr>
        <w:t xml:space="preserve"> aim</w:t>
      </w:r>
      <w:r w:rsidR="00427468">
        <w:rPr>
          <w:kern w:val="0"/>
        </w:rPr>
        <w:t xml:space="preserve"> of </w:t>
      </w:r>
      <w:r>
        <w:rPr>
          <w:kern w:val="0"/>
        </w:rPr>
        <w:t>this study was to identify efficient PubMed search strategies to retrieve articles regarding putative occupational determinants</w:t>
      </w:r>
      <w:r w:rsidR="00427468">
        <w:rPr>
          <w:kern w:val="0"/>
        </w:rPr>
        <w:t xml:space="preserve"> of </w:t>
      </w:r>
      <w:r>
        <w:rPr>
          <w:kern w:val="0"/>
        </w:rPr>
        <w:t>agricultural workers</w:t>
      </w:r>
      <w:r w:rsidR="00700038">
        <w:rPr>
          <w:kern w:val="0"/>
        </w:rPr>
        <w:t>’</w:t>
      </w:r>
      <w:r>
        <w:rPr>
          <w:kern w:val="0"/>
        </w:rPr>
        <w:t xml:space="preserve"> diseases. MethodsWe selected the Medical Subjects Heading (MeSH) term agricultural workers</w:t>
      </w:r>
      <w:r w:rsidR="00700038">
        <w:rPr>
          <w:kern w:val="0"/>
        </w:rPr>
        <w:t>’</w:t>
      </w:r>
      <w:r>
        <w:rPr>
          <w:kern w:val="0"/>
        </w:rPr>
        <w:t xml:space="preserve"> diseases and six MeSH terms describing farm work (agriculture, agrochemicals NOT pesticides, animal husbandry, pesticides, rural health, rural population) alongside 61 other promising terms. We estimated proportions</w:t>
      </w:r>
      <w:r w:rsidR="00427468">
        <w:rPr>
          <w:kern w:val="0"/>
        </w:rPr>
        <w:t xml:space="preserve"> of </w:t>
      </w:r>
      <w:r>
        <w:rPr>
          <w:kern w:val="0"/>
        </w:rPr>
        <w:t xml:space="preserve">articles containing potentially pertinent information regarding occupational etiology to formulate two search strategies (one more specific, one more sensitive). We applied these strategies to retrieve information on the possible occupational etiology among agricultural </w:t>
      </w:r>
      <w:r>
        <w:rPr>
          <w:kern w:val="0"/>
        </w:rPr>
        <w:lastRenderedPageBreak/>
        <w:t>workers</w:t>
      </w:r>
      <w:r w:rsidR="00427468">
        <w:rPr>
          <w:kern w:val="0"/>
        </w:rPr>
        <w:t xml:space="preserve"> of </w:t>
      </w:r>
      <w:r>
        <w:rPr>
          <w:kern w:val="0"/>
        </w:rPr>
        <w:t>kidney cancer, knee osteoarthritis, and multiple sclerosis. We evaluated the number</w:t>
      </w:r>
      <w:r w:rsidR="00427468">
        <w:rPr>
          <w:kern w:val="0"/>
        </w:rPr>
        <w:t xml:space="preserve"> of </w:t>
      </w:r>
      <w:r>
        <w:rPr>
          <w:kern w:val="0"/>
        </w:rPr>
        <w:t>needed to read (NNR) abstracts to identify one potentially pertinent article in the context</w:t>
      </w:r>
      <w:r w:rsidR="00427468">
        <w:rPr>
          <w:kern w:val="0"/>
        </w:rPr>
        <w:t xml:space="preserve"> of </w:t>
      </w:r>
      <w:r>
        <w:rPr>
          <w:kern w:val="0"/>
        </w:rPr>
        <w:t>these pathologies. ResultsThe more specific search string was based on the combination</w:t>
      </w:r>
      <w:r w:rsidR="00427468">
        <w:rPr>
          <w:kern w:val="0"/>
        </w:rPr>
        <w:t xml:space="preserve"> of </w:t>
      </w:r>
      <w:r>
        <w:rPr>
          <w:kern w:val="0"/>
        </w:rPr>
        <w:t>terms that yielded the highest proportion (40%)</w:t>
      </w:r>
      <w:r w:rsidR="00427468">
        <w:rPr>
          <w:kern w:val="0"/>
        </w:rPr>
        <w:t xml:space="preserve"> of </w:t>
      </w:r>
      <w:r>
        <w:rPr>
          <w:kern w:val="0"/>
        </w:rPr>
        <w:t>potentially pertinent abstracts</w:t>
      </w:r>
      <w:r w:rsidR="00A37C1D">
        <w:rPr>
          <w:kern w:val="0"/>
        </w:rPr>
        <w:t>. The</w:t>
      </w:r>
      <w:r>
        <w:rPr>
          <w:kern w:val="0"/>
        </w:rPr>
        <w:t xml:space="preserve"> more sensitive string was based on use</w:t>
      </w:r>
      <w:r w:rsidR="00427468">
        <w:rPr>
          <w:kern w:val="0"/>
        </w:rPr>
        <w:t xml:space="preserve"> of </w:t>
      </w:r>
      <w:r>
        <w:rPr>
          <w:kern w:val="0"/>
        </w:rPr>
        <w:t>broader search fields and additional coverage provided by other search terms under study. Using the more specific string, the NNR to find one potentially pertinent article were: 1.1 for kidney cancer; 1.4 for knee osteoarthritis; 1.2 for multiple sclerosis. Using the sensitive strategy, the NNR were 1.4, 3.6, and 6.3, respectively. ConclusionThe proposed strings could help health care professionals explore putative occupational etiology for agricultural workers</w:t>
      </w:r>
      <w:r w:rsidR="00700038">
        <w:rPr>
          <w:kern w:val="0"/>
        </w:rPr>
        <w:t>’</w:t>
      </w:r>
      <w:r>
        <w:rPr>
          <w:kern w:val="0"/>
        </w:rPr>
        <w:t xml:space="preserve"> diseases (even if not generally thought to be work related). Am. J. Ind. Med. 56:1473-1481, 2013. (c) 2013 Wiley Periodicals, Inc.</w:t>
      </w:r>
    </w:p>
    <w:p w:rsidR="00343909" w:rsidRDefault="00343909" w:rsidP="00343909">
      <w:pPr>
        <w:pStyle w:val="a3"/>
        <w:rPr>
          <w:kern w:val="0"/>
        </w:rPr>
      </w:pPr>
      <w:r>
        <w:rPr>
          <w:kern w:val="0"/>
        </w:rPr>
        <w:t>Keywords: Agricultural, Agriculture, Agrochemicals, Animal Husbandry, Cancer, Care, Context, Coverage, Diseases, Etiology, Health, Health Care, Information, Kidney, Medical, Medicine, Multiple Sclerosis, Occupational, Periodicals, Pesticides, Population, Pubmed, Rural, Rural Health, Rural Population, Search, Search Strategies, Strategy, Term, Work</w:t>
      </w:r>
    </w:p>
    <w:p w:rsidR="00923C4A" w:rsidRPr="00F219CA" w:rsidRDefault="00923C4A" w:rsidP="00923C4A">
      <w:pPr>
        <w:pStyle w:val="1"/>
      </w:pPr>
      <w:r w:rsidRPr="00F219CA">
        <w:br w:type="page"/>
      </w:r>
      <w:bookmarkStart w:id="283" w:name="_Toc405892200"/>
      <w:bookmarkStart w:id="284" w:name="_Toc420814402"/>
      <w:r w:rsidRPr="00F219CA">
        <w:lastRenderedPageBreak/>
        <w:t xml:space="preserve">Title: </w:t>
      </w:r>
      <w:r w:rsidRPr="00A71A12">
        <w:t>American Journal</w:t>
      </w:r>
      <w:r>
        <w:t xml:space="preserve"> of </w:t>
      </w:r>
      <w:r w:rsidRPr="00A71A12">
        <w:t>Infection Control</w:t>
      </w:r>
      <w:bookmarkEnd w:id="283"/>
      <w:bookmarkEnd w:id="284"/>
    </w:p>
    <w:p w:rsidR="00923C4A" w:rsidRPr="00F219CA" w:rsidRDefault="00923C4A" w:rsidP="00923C4A">
      <w:pPr>
        <w:pStyle w:val="12"/>
      </w:pPr>
      <w:r w:rsidRPr="00F219CA">
        <w:t xml:space="preserve">Full Journal Title: </w:t>
      </w:r>
      <w:r w:rsidRPr="00A71A12">
        <w:rPr>
          <w:kern w:val="0"/>
        </w:rPr>
        <w:t>American Journal</w:t>
      </w:r>
      <w:r>
        <w:rPr>
          <w:kern w:val="0"/>
        </w:rPr>
        <w:t xml:space="preserve"> of </w:t>
      </w:r>
      <w:r w:rsidRPr="00A71A12">
        <w:rPr>
          <w:kern w:val="0"/>
        </w:rPr>
        <w:t>Infection Control</w:t>
      </w:r>
    </w:p>
    <w:p w:rsidR="00923C4A" w:rsidRPr="00F219CA" w:rsidRDefault="00923C4A" w:rsidP="00923C4A">
      <w:pPr>
        <w:pStyle w:val="12"/>
      </w:pPr>
      <w:r w:rsidRPr="00F219CA">
        <w:t xml:space="preserve">ISO Abbreviated Title: </w:t>
      </w:r>
    </w:p>
    <w:p w:rsidR="00923C4A" w:rsidRPr="00F219CA" w:rsidRDefault="00923C4A" w:rsidP="00923C4A">
      <w:pPr>
        <w:pStyle w:val="12"/>
      </w:pPr>
      <w:r w:rsidRPr="00F219CA">
        <w:t xml:space="preserve">JCR Abbreviated Title: </w:t>
      </w:r>
    </w:p>
    <w:p w:rsidR="00923C4A" w:rsidRPr="00F219CA" w:rsidRDefault="00923C4A" w:rsidP="00923C4A">
      <w:pPr>
        <w:pStyle w:val="12"/>
      </w:pPr>
      <w:r w:rsidRPr="00F219CA">
        <w:t xml:space="preserve">ISSN: </w:t>
      </w:r>
    </w:p>
    <w:p w:rsidR="00923C4A" w:rsidRPr="00F219CA" w:rsidRDefault="00923C4A" w:rsidP="00923C4A">
      <w:pPr>
        <w:pStyle w:val="12"/>
      </w:pPr>
      <w:r w:rsidRPr="00F219CA">
        <w:t xml:space="preserve">Issues/Year: </w:t>
      </w:r>
    </w:p>
    <w:p w:rsidR="00923C4A" w:rsidRPr="00F219CA" w:rsidRDefault="00923C4A" w:rsidP="00923C4A">
      <w:pPr>
        <w:pStyle w:val="12"/>
      </w:pPr>
      <w:r w:rsidRPr="00F219CA">
        <w:t xml:space="preserve">Journal Country/Territory: </w:t>
      </w:r>
    </w:p>
    <w:p w:rsidR="00923C4A" w:rsidRPr="00F219CA" w:rsidRDefault="00923C4A" w:rsidP="00923C4A">
      <w:pPr>
        <w:pStyle w:val="12"/>
      </w:pPr>
      <w:r w:rsidRPr="00F219CA">
        <w:t xml:space="preserve">Language: </w:t>
      </w:r>
    </w:p>
    <w:p w:rsidR="00923C4A" w:rsidRPr="00F219CA" w:rsidRDefault="00923C4A" w:rsidP="00923C4A">
      <w:pPr>
        <w:pStyle w:val="12"/>
      </w:pPr>
      <w:r w:rsidRPr="00F219CA">
        <w:t xml:space="preserve">Publisher: </w:t>
      </w:r>
    </w:p>
    <w:p w:rsidR="00923C4A" w:rsidRPr="00F219CA" w:rsidRDefault="00923C4A" w:rsidP="00923C4A">
      <w:pPr>
        <w:pStyle w:val="12"/>
      </w:pPr>
      <w:r w:rsidRPr="00F219CA">
        <w:t xml:space="preserve">Publisher Address: </w:t>
      </w:r>
    </w:p>
    <w:p w:rsidR="00923C4A" w:rsidRPr="00F219CA" w:rsidRDefault="00923C4A" w:rsidP="00923C4A">
      <w:pPr>
        <w:pStyle w:val="12"/>
      </w:pPr>
      <w:r w:rsidRPr="00F219CA">
        <w:t xml:space="preserve">Subject Categories: </w:t>
      </w:r>
    </w:p>
    <w:p w:rsidR="00923C4A" w:rsidRPr="00F219CA" w:rsidRDefault="00923C4A" w:rsidP="00923C4A">
      <w:pPr>
        <w:pStyle w:val="12"/>
      </w:pPr>
      <w:r w:rsidRPr="00F219CA">
        <w:t xml:space="preserve">: Impact Factor </w:t>
      </w:r>
    </w:p>
    <w:p w:rsidR="00923C4A" w:rsidRDefault="00923C4A" w:rsidP="00923C4A">
      <w:pPr>
        <w:pStyle w:val="a3"/>
        <w:rPr>
          <w:kern w:val="0"/>
        </w:rPr>
      </w:pPr>
      <w:r>
        <w:rPr>
          <w:rFonts w:hint="eastAsia"/>
          <w:kern w:val="0"/>
        </w:rPr>
        <w:t xml:space="preserve">? </w:t>
      </w:r>
      <w:r>
        <w:rPr>
          <w:kern w:val="0"/>
        </w:rPr>
        <w:t xml:space="preserve">Nasiri, M.J., Dabiri, H., Darban-Sarokhalil, D., Rezadehbashi, M. and Zamani, S. (2014), Prevalence of drug-resistant tuberculosis in Iran: Systematic review and meta-analysis. </w:t>
      </w:r>
      <w:r>
        <w:rPr>
          <w:i/>
          <w:iCs/>
          <w:kern w:val="0"/>
        </w:rPr>
        <w:t>American Journal of Infection Control</w:t>
      </w:r>
      <w:r>
        <w:rPr>
          <w:kern w:val="0"/>
        </w:rPr>
        <w:t xml:space="preserve">, </w:t>
      </w:r>
      <w:r>
        <w:rPr>
          <w:b/>
          <w:bCs/>
          <w:kern w:val="0"/>
        </w:rPr>
        <w:t>42</w:t>
      </w:r>
      <w:r>
        <w:rPr>
          <w:kern w:val="0"/>
        </w:rPr>
        <w:t xml:space="preserve"> (11), 1212-1218.</w:t>
      </w:r>
    </w:p>
    <w:p w:rsidR="00923C4A" w:rsidRDefault="00923C4A" w:rsidP="00923C4A">
      <w:pPr>
        <w:pStyle w:val="a3"/>
        <w:rPr>
          <w:kern w:val="0"/>
        </w:rPr>
      </w:pPr>
      <w:r>
        <w:rPr>
          <w:rFonts w:hint="eastAsia"/>
          <w:kern w:val="0"/>
        </w:rPr>
        <w:t xml:space="preserve">Full Text: </w:t>
      </w:r>
      <w:hyperlink r:id="rId516" w:history="1">
        <w:r w:rsidRPr="001D589E">
          <w:rPr>
            <w:rStyle w:val="a5"/>
            <w:kern w:val="0"/>
          </w:rPr>
          <w:t>2014\Ame J Inf Con42, 1212.pdf</w:t>
        </w:r>
      </w:hyperlink>
    </w:p>
    <w:p w:rsidR="00923C4A" w:rsidRDefault="00923C4A" w:rsidP="00923C4A">
      <w:pPr>
        <w:pStyle w:val="a3"/>
        <w:rPr>
          <w:kern w:val="0"/>
        </w:rPr>
      </w:pPr>
      <w:r>
        <w:rPr>
          <w:kern w:val="0"/>
        </w:rPr>
        <w:t>Abstract: Background: The spread of multidrug-resistant tuberculosis (MDR-TB) is a major public health problem worldwide. Although drug resistance is common in some countries and rare in others, the extent of this condition is not precisely known in Iran. Methods: We searched several databases including PubMed, Web of Science, Scopus, Iran Medex, and Scientific Information Database to identify studies addressing drug-resistant tuberculosis in Iran. A total of 19 reports published from different regions of Iran from March 1999-May 2013 were included in this study. Results: The meta-analyses revealed that 23% (95% confidence interval [CI], 21.8-24.2) of new cases and 65.6% (95% CI, 62.5-68.5) of previously treated cases were resistant to at least 1 drug. Furthermore, MDR-TB was found in 5.1% (95% CI, 4.4-5.8) of new cases, whereas it was found in 33.7% (95% CI, 30.8-36.7) of retreatment cases. The highest rate of resistance in new and previously treated cases was seen against streptomycin (19%) and isoniazid (47%), respectively. Conclusion: The results of the present study underscore the need for further enforcement of TB control strategies. Drug susceptibility testing, establishing advanced diagnostic facilities, and continuous monitoring of drug resistance are recommended for prevention and control of MDR- TB. Copyright (C) 2014 by the Association for Professionals in Infection Control and Epidemiology, Inc. Published by Elsevier Inc. All rights reserved.</w:t>
      </w:r>
    </w:p>
    <w:p w:rsidR="00923C4A" w:rsidRDefault="00923C4A" w:rsidP="00923C4A">
      <w:pPr>
        <w:pStyle w:val="a3"/>
        <w:rPr>
          <w:kern w:val="0"/>
        </w:rPr>
      </w:pPr>
      <w:r>
        <w:rPr>
          <w:kern w:val="0"/>
        </w:rPr>
        <w:t xml:space="preserve">Keywords: Association, Confidence, Control, Database, Databases, Diagnostic, Drug, Drug Resistance, Enforcement, Epidemiology, Facilities, From, Health, Health </w:t>
      </w:r>
      <w:r>
        <w:rPr>
          <w:kern w:val="0"/>
        </w:rPr>
        <w:lastRenderedPageBreak/>
        <w:t>Problem, Infection, Information, Interval, Iran, Meta Analysis, Meta-Analysis, Metaanalysis, Methods, Monitoring, Mycobacterium-Tuberculosis, Nov, Pattern, Prevalence, Prevention, Prevention And Control, Public, Public Health, Public Health Problem, Pubmed, Resistance, Results, Review, Rights, Science, Scopus, Strains, Streptomycin, Susceptibility, Systematic, Systematic Review, Tb, Testing, Tuberculosis, Web, Web Of Science</w:t>
      </w:r>
    </w:p>
    <w:p w:rsidR="006E1110" w:rsidRPr="00F219CA" w:rsidRDefault="006E1110" w:rsidP="006E1110">
      <w:pPr>
        <w:pStyle w:val="1"/>
      </w:pPr>
      <w:r w:rsidRPr="00F219CA">
        <w:br w:type="page"/>
      </w:r>
      <w:bookmarkStart w:id="285" w:name="_Toc420814403"/>
      <w:r w:rsidRPr="00F219CA">
        <w:lastRenderedPageBreak/>
        <w:t xml:space="preserve">Title: </w:t>
      </w:r>
      <w:r w:rsidRPr="004D1BE7">
        <w:rPr>
          <w:iCs w:val="0"/>
        </w:rPr>
        <w:t>American Journal</w:t>
      </w:r>
      <w:r w:rsidR="00427468">
        <w:rPr>
          <w:iCs w:val="0"/>
        </w:rPr>
        <w:t xml:space="preserve"> of </w:t>
      </w:r>
      <w:r w:rsidRPr="004D1BE7">
        <w:rPr>
          <w:iCs w:val="0"/>
        </w:rPr>
        <w:t>Kidney Diseases</w:t>
      </w:r>
      <w:bookmarkEnd w:id="285"/>
    </w:p>
    <w:p w:rsidR="006E1110" w:rsidRPr="00F219CA" w:rsidRDefault="006E1110" w:rsidP="006E1110">
      <w:pPr>
        <w:pStyle w:val="12"/>
      </w:pPr>
      <w:r w:rsidRPr="00F219CA">
        <w:t xml:space="preserve">Full Journal Title: </w:t>
      </w:r>
      <w:r w:rsidRPr="004D1BE7">
        <w:rPr>
          <w:iCs/>
          <w:kern w:val="0"/>
        </w:rPr>
        <w:t>American Journal</w:t>
      </w:r>
      <w:r w:rsidR="00427468">
        <w:rPr>
          <w:iCs/>
          <w:kern w:val="0"/>
        </w:rPr>
        <w:t xml:space="preserve"> of </w:t>
      </w:r>
      <w:r w:rsidRPr="004D1BE7">
        <w:rPr>
          <w:iCs/>
          <w:kern w:val="0"/>
        </w:rPr>
        <w:t>Kidney Diseases</w:t>
      </w:r>
    </w:p>
    <w:p w:rsidR="006E1110" w:rsidRPr="00F219CA" w:rsidRDefault="006E1110" w:rsidP="006E1110">
      <w:pPr>
        <w:pStyle w:val="12"/>
      </w:pPr>
      <w:r w:rsidRPr="00F219CA">
        <w:t xml:space="preserve">ISO Abbreviated Title: </w:t>
      </w:r>
    </w:p>
    <w:p w:rsidR="006E1110" w:rsidRPr="00F219CA" w:rsidRDefault="006E1110" w:rsidP="006E1110">
      <w:pPr>
        <w:pStyle w:val="12"/>
      </w:pPr>
      <w:r w:rsidRPr="00F219CA">
        <w:t xml:space="preserve">JCR Abbreviated Title: </w:t>
      </w:r>
    </w:p>
    <w:p w:rsidR="006E1110" w:rsidRPr="00F219CA" w:rsidRDefault="006E1110" w:rsidP="006E1110">
      <w:pPr>
        <w:pStyle w:val="12"/>
      </w:pPr>
      <w:r w:rsidRPr="00F219CA">
        <w:t xml:space="preserve">ISSN: </w:t>
      </w:r>
    </w:p>
    <w:p w:rsidR="006E1110" w:rsidRPr="00F219CA" w:rsidRDefault="006E1110" w:rsidP="006E1110">
      <w:pPr>
        <w:pStyle w:val="12"/>
      </w:pPr>
      <w:r w:rsidRPr="00F219CA">
        <w:t xml:space="preserve">Issues/Year: </w:t>
      </w:r>
    </w:p>
    <w:p w:rsidR="006E1110" w:rsidRPr="00F219CA" w:rsidRDefault="006E1110" w:rsidP="006E1110">
      <w:pPr>
        <w:pStyle w:val="12"/>
      </w:pPr>
      <w:r w:rsidRPr="00F219CA">
        <w:t xml:space="preserve">Journal Country/Territory: </w:t>
      </w:r>
    </w:p>
    <w:p w:rsidR="006E1110" w:rsidRPr="00F219CA" w:rsidRDefault="006E1110" w:rsidP="006E1110">
      <w:pPr>
        <w:pStyle w:val="12"/>
      </w:pPr>
      <w:r w:rsidRPr="00F219CA">
        <w:t xml:space="preserve">Language: </w:t>
      </w:r>
    </w:p>
    <w:p w:rsidR="006E1110" w:rsidRPr="00F219CA" w:rsidRDefault="006E1110" w:rsidP="006E1110">
      <w:pPr>
        <w:pStyle w:val="12"/>
      </w:pPr>
      <w:r w:rsidRPr="00F219CA">
        <w:t xml:space="preserve">Publisher: </w:t>
      </w:r>
    </w:p>
    <w:p w:rsidR="006E1110" w:rsidRPr="00F219CA" w:rsidRDefault="006E1110" w:rsidP="006E1110">
      <w:pPr>
        <w:pStyle w:val="12"/>
      </w:pPr>
      <w:r w:rsidRPr="00F219CA">
        <w:t xml:space="preserve">Publisher Address: </w:t>
      </w:r>
    </w:p>
    <w:p w:rsidR="006E1110" w:rsidRPr="00F219CA" w:rsidRDefault="006E1110" w:rsidP="006E1110">
      <w:pPr>
        <w:pStyle w:val="12"/>
      </w:pPr>
      <w:r w:rsidRPr="00F219CA">
        <w:t xml:space="preserve">Subject Categories: </w:t>
      </w:r>
    </w:p>
    <w:p w:rsidR="006E1110" w:rsidRPr="00F219CA" w:rsidRDefault="006E1110" w:rsidP="006E1110">
      <w:pPr>
        <w:pStyle w:val="12"/>
      </w:pPr>
      <w:r w:rsidRPr="00F219CA">
        <w:t xml:space="preserve">: Impact Factor </w:t>
      </w:r>
    </w:p>
    <w:p w:rsidR="006E1110" w:rsidRDefault="006E1110" w:rsidP="006E1110">
      <w:pPr>
        <w:pStyle w:val="a3"/>
        <w:rPr>
          <w:kern w:val="0"/>
        </w:rPr>
      </w:pPr>
      <w:r>
        <w:rPr>
          <w:rFonts w:hint="eastAsia"/>
          <w:kern w:val="0"/>
        </w:rPr>
        <w:t xml:space="preserve">? </w:t>
      </w:r>
      <w:r>
        <w:rPr>
          <w:kern w:val="0"/>
        </w:rPr>
        <w:t>Zhu, X.L., Wu, S.H., Dahut, W.L.</w:t>
      </w:r>
      <w:r w:rsidR="005853A9">
        <w:rPr>
          <w:kern w:val="0"/>
        </w:rPr>
        <w:t xml:space="preserve"> and </w:t>
      </w:r>
      <w:r>
        <w:rPr>
          <w:kern w:val="0"/>
        </w:rPr>
        <w:t>Parikh, C.R. (2007), Risks</w:t>
      </w:r>
      <w:r w:rsidR="00427468">
        <w:rPr>
          <w:kern w:val="0"/>
        </w:rPr>
        <w:t xml:space="preserve"> of </w:t>
      </w:r>
      <w:r>
        <w:rPr>
          <w:kern w:val="0"/>
        </w:rPr>
        <w:t>proteinuria</w:t>
      </w:r>
      <w:r w:rsidR="005853A9">
        <w:rPr>
          <w:kern w:val="0"/>
        </w:rPr>
        <w:t xml:space="preserve"> and </w:t>
      </w:r>
      <w:r>
        <w:rPr>
          <w:kern w:val="0"/>
        </w:rPr>
        <w:t>hypertension with bevacizumab, an antibody against vascular endothelial growth factor: Systematic review</w:t>
      </w:r>
      <w:r w:rsidR="005853A9">
        <w:rPr>
          <w:kern w:val="0"/>
        </w:rPr>
        <w:t xml:space="preserve"> and </w:t>
      </w:r>
      <w:r>
        <w:rPr>
          <w:kern w:val="0"/>
        </w:rPr>
        <w:t xml:space="preserve">meta-analysis. </w:t>
      </w:r>
      <w:r w:rsidRPr="004D1BE7">
        <w:rPr>
          <w:i/>
          <w:iCs/>
          <w:kern w:val="0"/>
        </w:rPr>
        <w:t>American Journal</w:t>
      </w:r>
      <w:r w:rsidR="00427468">
        <w:rPr>
          <w:i/>
          <w:iCs/>
          <w:kern w:val="0"/>
        </w:rPr>
        <w:t xml:space="preserve"> of </w:t>
      </w:r>
      <w:r w:rsidRPr="004D1BE7">
        <w:rPr>
          <w:i/>
          <w:iCs/>
          <w:kern w:val="0"/>
        </w:rPr>
        <w:t>Kidney Diseases</w:t>
      </w:r>
      <w:r>
        <w:rPr>
          <w:kern w:val="0"/>
        </w:rPr>
        <w:t xml:space="preserve">, </w:t>
      </w:r>
      <w:r>
        <w:rPr>
          <w:b/>
          <w:bCs/>
          <w:kern w:val="0"/>
        </w:rPr>
        <w:t>49</w:t>
      </w:r>
      <w:r>
        <w:rPr>
          <w:kern w:val="0"/>
        </w:rPr>
        <w:t xml:space="preserve"> (2), 186-193.</w:t>
      </w:r>
    </w:p>
    <w:p w:rsidR="006E1110" w:rsidRDefault="006E1110" w:rsidP="006E1110">
      <w:pPr>
        <w:pStyle w:val="a3"/>
        <w:rPr>
          <w:kern w:val="0"/>
        </w:rPr>
      </w:pPr>
      <w:r>
        <w:rPr>
          <w:rFonts w:hint="eastAsia"/>
          <w:kern w:val="0"/>
        </w:rPr>
        <w:t xml:space="preserve">Full Text: </w:t>
      </w:r>
      <w:hyperlink r:id="rId517" w:history="1">
        <w:r w:rsidRPr="004D1BE7">
          <w:rPr>
            <w:rStyle w:val="a5"/>
            <w:kern w:val="0"/>
          </w:rPr>
          <w:t>2007\Ame J Kid Dis49, 186.pdf</w:t>
        </w:r>
      </w:hyperlink>
    </w:p>
    <w:p w:rsidR="006E1110" w:rsidRDefault="006E1110" w:rsidP="006E1110">
      <w:pPr>
        <w:pStyle w:val="a3"/>
        <w:rPr>
          <w:kern w:val="0"/>
        </w:rPr>
      </w:pPr>
      <w:r>
        <w:rPr>
          <w:kern w:val="0"/>
        </w:rPr>
        <w:t>Abstract: Background: Angiogenesis inhibitors have emerged as an effective targeted therapy in</w:t>
      </w:r>
      <w:r w:rsidR="003A1917">
        <w:rPr>
          <w:kern w:val="0"/>
        </w:rPr>
        <w:t xml:space="preserve"> the </w:t>
      </w:r>
      <w:r>
        <w:rPr>
          <w:kern w:val="0"/>
        </w:rPr>
        <w:t>treatment</w:t>
      </w:r>
      <w:r w:rsidR="00427468">
        <w:rPr>
          <w:kern w:val="0"/>
        </w:rPr>
        <w:t xml:space="preserve"> of </w:t>
      </w:r>
      <w:r>
        <w:rPr>
          <w:kern w:val="0"/>
        </w:rPr>
        <w:t>patients with many cancers. One</w:t>
      </w:r>
      <w:r w:rsidR="00427468">
        <w:rPr>
          <w:kern w:val="0"/>
        </w:rPr>
        <w:t xml:space="preserve"> of </w:t>
      </w:r>
      <w:r w:rsidR="003A1917">
        <w:rPr>
          <w:kern w:val="0"/>
        </w:rPr>
        <w:t xml:space="preserve">the </w:t>
      </w:r>
      <w:r>
        <w:rPr>
          <w:kern w:val="0"/>
        </w:rPr>
        <w:t>most widely used angiogenesis inhibitors is bevacizumab, a neutralizing antibody against vascular endothelial growth factor</w:t>
      </w:r>
      <w:r w:rsidR="00A37C1D">
        <w:rPr>
          <w:kern w:val="0"/>
        </w:rPr>
        <w:t>. The</w:t>
      </w:r>
      <w:r w:rsidR="003A1917">
        <w:rPr>
          <w:kern w:val="0"/>
        </w:rPr>
        <w:t xml:space="preserve"> </w:t>
      </w:r>
      <w:r>
        <w:rPr>
          <w:kern w:val="0"/>
        </w:rPr>
        <w:t>overall risk</w:t>
      </w:r>
      <w:r w:rsidR="00427468">
        <w:rPr>
          <w:kern w:val="0"/>
        </w:rPr>
        <w:t xml:space="preserve"> of </w:t>
      </w:r>
      <w:r>
        <w:rPr>
          <w:kern w:val="0"/>
        </w:rPr>
        <w:t>proteinuria</w:t>
      </w:r>
      <w:r w:rsidR="005853A9">
        <w:rPr>
          <w:kern w:val="0"/>
        </w:rPr>
        <w:t xml:space="preserve"> and </w:t>
      </w:r>
      <w:r>
        <w:rPr>
          <w:kern w:val="0"/>
        </w:rPr>
        <w:t>hypertension in patients with cancer on bevacizumab therapy is unclear. We performed a systematic review</w:t>
      </w:r>
      <w:r w:rsidR="005853A9">
        <w:rPr>
          <w:kern w:val="0"/>
        </w:rPr>
        <w:t xml:space="preserve"> and </w:t>
      </w:r>
      <w:r>
        <w:rPr>
          <w:kern w:val="0"/>
        </w:rPr>
        <w:t>meta-analysis</w:t>
      </w:r>
      <w:r w:rsidR="00427468">
        <w:rPr>
          <w:kern w:val="0"/>
        </w:rPr>
        <w:t xml:space="preserve"> of </w:t>
      </w:r>
      <w:r>
        <w:rPr>
          <w:kern w:val="0"/>
        </w:rPr>
        <w:t>published clinical trials</w:t>
      </w:r>
      <w:r w:rsidR="00427468">
        <w:rPr>
          <w:kern w:val="0"/>
        </w:rPr>
        <w:t xml:space="preserve"> of </w:t>
      </w:r>
      <w:r>
        <w:rPr>
          <w:kern w:val="0"/>
        </w:rPr>
        <w:t>bevacizumab to quantify</w:t>
      </w:r>
      <w:r w:rsidR="003A1917">
        <w:rPr>
          <w:kern w:val="0"/>
        </w:rPr>
        <w:t xml:space="preserve"> the </w:t>
      </w:r>
      <w:r>
        <w:rPr>
          <w:kern w:val="0"/>
        </w:rPr>
        <w:t>risk</w:t>
      </w:r>
      <w:r w:rsidR="00427468">
        <w:rPr>
          <w:kern w:val="0"/>
        </w:rPr>
        <w:t xml:space="preserve"> of </w:t>
      </w:r>
      <w:r>
        <w:rPr>
          <w:kern w:val="0"/>
        </w:rPr>
        <w:t>proteinuria</w:t>
      </w:r>
      <w:r w:rsidR="005853A9">
        <w:rPr>
          <w:kern w:val="0"/>
        </w:rPr>
        <w:t xml:space="preserve"> and </w:t>
      </w:r>
      <w:r>
        <w:rPr>
          <w:kern w:val="0"/>
        </w:rPr>
        <w:t>hypertension. Methods:</w:t>
      </w:r>
      <w:r w:rsidR="003A1917">
        <w:rPr>
          <w:kern w:val="0"/>
        </w:rPr>
        <w:t xml:space="preserve"> the </w:t>
      </w:r>
      <w:r>
        <w:rPr>
          <w:kern w:val="0"/>
        </w:rPr>
        <w:t xml:space="preserve">databases </w:t>
      </w:r>
      <w:r w:rsidR="00D5664A">
        <w:rPr>
          <w:kern w:val="0"/>
        </w:rPr>
        <w:t>MEDLINE</w:t>
      </w:r>
      <w:r>
        <w:rPr>
          <w:kern w:val="0"/>
        </w:rPr>
        <w:t xml:space="preserve"> (OVID, 1966 to June 2006)</w:t>
      </w:r>
      <w:r w:rsidR="005853A9">
        <w:rPr>
          <w:kern w:val="0"/>
        </w:rPr>
        <w:t xml:space="preserve"> and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abstracts presented at</w:t>
      </w:r>
      <w:r w:rsidR="003A1917">
        <w:rPr>
          <w:kern w:val="0"/>
        </w:rPr>
        <w:t xml:space="preserve"> the </w:t>
      </w:r>
      <w:r>
        <w:rPr>
          <w:kern w:val="0"/>
        </w:rPr>
        <w:t>American Society</w:t>
      </w:r>
      <w:r w:rsidR="00427468">
        <w:rPr>
          <w:kern w:val="0"/>
        </w:rPr>
        <w:t xml:space="preserve"> of </w:t>
      </w:r>
      <w:r>
        <w:rPr>
          <w:kern w:val="0"/>
        </w:rPr>
        <w:t>Clinical Oncology annual meetings from 2004 through 2006 were searched to identify relevant studies. Eligible studies were randomized controlled trials</w:t>
      </w:r>
      <w:r w:rsidR="00427468">
        <w:rPr>
          <w:kern w:val="0"/>
        </w:rPr>
        <w:t xml:space="preserve"> of </w:t>
      </w:r>
      <w:r>
        <w:rPr>
          <w:kern w:val="0"/>
        </w:rPr>
        <w:t>patients with cancer treated with bevacizumab that described</w:t>
      </w:r>
      <w:r w:rsidR="003A1917">
        <w:rPr>
          <w:kern w:val="0"/>
        </w:rPr>
        <w:t xml:space="preserve"> the </w:t>
      </w:r>
      <w:r>
        <w:rPr>
          <w:kern w:val="0"/>
        </w:rPr>
        <w:t>incidence</w:t>
      </w:r>
      <w:r w:rsidR="00427468">
        <w:rPr>
          <w:kern w:val="0"/>
        </w:rPr>
        <w:t xml:space="preserve"> of </w:t>
      </w:r>
      <w:r>
        <w:rPr>
          <w:kern w:val="0"/>
        </w:rPr>
        <w:t>proteinuria</w:t>
      </w:r>
      <w:r w:rsidR="005853A9">
        <w:rPr>
          <w:kern w:val="0"/>
        </w:rPr>
        <w:t xml:space="preserve"> and </w:t>
      </w:r>
      <w:r>
        <w:rPr>
          <w:kern w:val="0"/>
        </w:rPr>
        <w:t>hypertension. Relative risk (RR) was calculated by using</w:t>
      </w:r>
      <w:r w:rsidR="003A1917">
        <w:rPr>
          <w:kern w:val="0"/>
        </w:rPr>
        <w:t xml:space="preserve"> the </w:t>
      </w:r>
      <w:r>
        <w:rPr>
          <w:kern w:val="0"/>
        </w:rPr>
        <w:t>fixed-effects model. Results: A total</w:t>
      </w:r>
      <w:r w:rsidR="00427468">
        <w:rPr>
          <w:kern w:val="0"/>
        </w:rPr>
        <w:t xml:space="preserve"> of </w:t>
      </w:r>
      <w:r>
        <w:rPr>
          <w:kern w:val="0"/>
        </w:rPr>
        <w:t>1,850 patients were included in</w:t>
      </w:r>
      <w:r w:rsidR="003A1917">
        <w:rPr>
          <w:kern w:val="0"/>
        </w:rPr>
        <w:t xml:space="preserve"> the </w:t>
      </w:r>
      <w:r>
        <w:rPr>
          <w:kern w:val="0"/>
        </w:rPr>
        <w:t>7 trials identified from</w:t>
      </w:r>
      <w:r w:rsidR="003A1917">
        <w:rPr>
          <w:kern w:val="0"/>
        </w:rPr>
        <w:t xml:space="preserve"> the </w:t>
      </w:r>
      <w:r>
        <w:rPr>
          <w:kern w:val="0"/>
        </w:rPr>
        <w:t>literature. Bevacizumab was associated with a significant increased risk</w:t>
      </w:r>
      <w:r w:rsidR="00427468">
        <w:rPr>
          <w:kern w:val="0"/>
        </w:rPr>
        <w:t xml:space="preserve"> of </w:t>
      </w:r>
      <w:r>
        <w:rPr>
          <w:kern w:val="0"/>
        </w:rPr>
        <w:t>proteinuria (RR, 1.4 with low-dose bevacizumab; 95% confidence interval [Cl], 1.1 to 1.7; FIR, 2.2 with high dose; 95% Cl, 1.6 to 2.9). Hypertension also was increased significantly among patients receiving bevacizumab (FIR, 3.0 for low dose; 95% Cl, 2.2 to 4.2; FIR, 7.5 for high dose; 95% Cl, 4.2 to 13.4). Conclusion: There was a significant dose-dependent increase in risk</w:t>
      </w:r>
      <w:r w:rsidR="00427468">
        <w:rPr>
          <w:kern w:val="0"/>
        </w:rPr>
        <w:t xml:space="preserve"> of </w:t>
      </w:r>
      <w:r>
        <w:rPr>
          <w:kern w:val="0"/>
        </w:rPr>
        <w:t>proteinuria</w:t>
      </w:r>
      <w:r w:rsidR="005853A9">
        <w:rPr>
          <w:kern w:val="0"/>
        </w:rPr>
        <w:t xml:space="preserve"> and </w:t>
      </w:r>
      <w:r>
        <w:rPr>
          <w:kern w:val="0"/>
        </w:rPr>
        <w:t>hypertension in patients with cancer who received bevacizumab.</w:t>
      </w:r>
    </w:p>
    <w:p w:rsidR="006E1110" w:rsidRDefault="006E1110" w:rsidP="006E1110">
      <w:pPr>
        <w:pStyle w:val="a3"/>
        <w:rPr>
          <w:kern w:val="0"/>
        </w:rPr>
      </w:pPr>
      <w:r>
        <w:rPr>
          <w:kern w:val="0"/>
        </w:rPr>
        <w:lastRenderedPageBreak/>
        <w:t xml:space="preserve">Keywords: Angiogenesis, Anti-Vegf Antibody, Bevacizumab, Cancer, Clinical Trials, Combination, Databases, Fluorouracil, Hypertension, Leucovorin, Literature, </w:t>
      </w:r>
      <w:r w:rsidR="00D5664A">
        <w:rPr>
          <w:kern w:val="0"/>
        </w:rPr>
        <w:t>MEDLINE</w:t>
      </w:r>
      <w:r>
        <w:rPr>
          <w:kern w:val="0"/>
        </w:rPr>
        <w:t xml:space="preserve">, Meta-Analysis, Metastatic Colorectal-Cancer, Methods, Model, Oncology, Phase-Ii Trial, Preeclampsia, Proteinuria, Randomized Controlled Trials, Randomized-Trial, Receptor-1, Review, Risk, Science, Systematic, Systematic Review, Therapy, Treatment, Vascular Enclothelial Growth Factor (VEGF), Vascular Endothelial Growth Factor, </w:t>
      </w:r>
      <w:r w:rsidR="00D5664A">
        <w:rPr>
          <w:kern w:val="0"/>
        </w:rPr>
        <w:t>Web</w:t>
      </w:r>
      <w:r w:rsidR="00427468">
        <w:rPr>
          <w:kern w:val="0"/>
        </w:rPr>
        <w:t xml:space="preserve"> of </w:t>
      </w:r>
      <w:r w:rsidR="00D5664A">
        <w:rPr>
          <w:kern w:val="0"/>
        </w:rPr>
        <w:t>Science</w:t>
      </w:r>
    </w:p>
    <w:p w:rsidR="00782578" w:rsidRDefault="00782578" w:rsidP="00782578">
      <w:pPr>
        <w:pStyle w:val="a3"/>
        <w:rPr>
          <w:kern w:val="0"/>
        </w:rPr>
      </w:pPr>
      <w:r>
        <w:rPr>
          <w:rFonts w:hint="eastAsia"/>
          <w:kern w:val="0"/>
        </w:rPr>
        <w:t xml:space="preserve">? </w:t>
      </w:r>
      <w:r>
        <w:rPr>
          <w:kern w:val="0"/>
        </w:rPr>
        <w:t>Mcgee, R.G., Neuen, B.L., Mitchell, R.L., Craig, J.C.</w:t>
      </w:r>
      <w:r w:rsidR="005853A9">
        <w:rPr>
          <w:kern w:val="0"/>
        </w:rPr>
        <w:t xml:space="preserve"> and </w:t>
      </w:r>
      <w:r>
        <w:rPr>
          <w:kern w:val="0"/>
        </w:rPr>
        <w:t>Webster, A.C. (2011), Diagnostic test studies in nephrology: Quantity, quality,</w:t>
      </w:r>
      <w:r w:rsidR="005853A9">
        <w:rPr>
          <w:kern w:val="0"/>
        </w:rPr>
        <w:t xml:space="preserve"> and </w:t>
      </w:r>
      <w:r>
        <w:rPr>
          <w:kern w:val="0"/>
        </w:rPr>
        <w:t xml:space="preserve">scope. </w:t>
      </w:r>
      <w:r>
        <w:rPr>
          <w:i/>
          <w:iCs/>
          <w:kern w:val="0"/>
        </w:rPr>
        <w:t>American Journal</w:t>
      </w:r>
      <w:r w:rsidR="00427468">
        <w:rPr>
          <w:i/>
          <w:iCs/>
          <w:kern w:val="0"/>
        </w:rPr>
        <w:t xml:space="preserve"> of </w:t>
      </w:r>
      <w:r>
        <w:rPr>
          <w:i/>
          <w:iCs/>
          <w:kern w:val="0"/>
        </w:rPr>
        <w:t>Kidney Diseases</w:t>
      </w:r>
      <w:r>
        <w:rPr>
          <w:kern w:val="0"/>
        </w:rPr>
        <w:t xml:space="preserve">, </w:t>
      </w:r>
      <w:r>
        <w:rPr>
          <w:b/>
          <w:bCs/>
          <w:kern w:val="0"/>
        </w:rPr>
        <w:t>58</w:t>
      </w:r>
      <w:r>
        <w:rPr>
          <w:kern w:val="0"/>
        </w:rPr>
        <w:t xml:space="preserve"> (6), 921-927.</w:t>
      </w:r>
    </w:p>
    <w:p w:rsidR="00782578" w:rsidRDefault="00782578" w:rsidP="00782578">
      <w:pPr>
        <w:pStyle w:val="a3"/>
        <w:rPr>
          <w:kern w:val="0"/>
        </w:rPr>
      </w:pPr>
      <w:r>
        <w:rPr>
          <w:rFonts w:hint="eastAsia"/>
          <w:kern w:val="0"/>
        </w:rPr>
        <w:t xml:space="preserve">Full Text: </w:t>
      </w:r>
      <w:hyperlink r:id="rId518" w:history="1">
        <w:r w:rsidRPr="007F11D3">
          <w:rPr>
            <w:rStyle w:val="a5"/>
            <w:kern w:val="0"/>
          </w:rPr>
          <w:t>2011\Ame J Kid Dis58, 921.pdf</w:t>
        </w:r>
      </w:hyperlink>
    </w:p>
    <w:p w:rsidR="00782578" w:rsidRDefault="00782578" w:rsidP="00782578">
      <w:pPr>
        <w:pStyle w:val="a3"/>
        <w:rPr>
          <w:kern w:val="0"/>
        </w:rPr>
      </w:pPr>
      <w:r>
        <w:rPr>
          <w:kern w:val="0"/>
        </w:rPr>
        <w:t>Abstract: Background: Diagnostic errors represent an important cause</w:t>
      </w:r>
      <w:r w:rsidR="00427468">
        <w:rPr>
          <w:kern w:val="0"/>
        </w:rPr>
        <w:t xml:space="preserve"> of </w:t>
      </w:r>
      <w:r>
        <w:rPr>
          <w:kern w:val="0"/>
        </w:rPr>
        <w:t>preventable harm in health care that may be reduced through evidence-based choice, use,</w:t>
      </w:r>
      <w:r w:rsidR="005853A9">
        <w:rPr>
          <w:kern w:val="0"/>
        </w:rPr>
        <w:t xml:space="preserve"> and </w:t>
      </w:r>
      <w:r>
        <w:rPr>
          <w:kern w:val="0"/>
        </w:rPr>
        <w:t>interpretation</w:t>
      </w:r>
      <w:r w:rsidR="00427468">
        <w:rPr>
          <w:kern w:val="0"/>
        </w:rPr>
        <w:t xml:space="preserve"> of </w:t>
      </w:r>
      <w:r>
        <w:rPr>
          <w:kern w:val="0"/>
        </w:rPr>
        <w:t>diagnostic tests. We hypothesized that diagnostic errors are reduced through evidence-based choice, use,</w:t>
      </w:r>
      <w:r w:rsidR="005853A9">
        <w:rPr>
          <w:kern w:val="0"/>
        </w:rPr>
        <w:t xml:space="preserve"> and </w:t>
      </w:r>
      <w:r>
        <w:rPr>
          <w:kern w:val="0"/>
        </w:rPr>
        <w:t>interpretation</w:t>
      </w:r>
      <w:r w:rsidR="00427468">
        <w:rPr>
          <w:kern w:val="0"/>
        </w:rPr>
        <w:t xml:space="preserve"> of </w:t>
      </w:r>
      <w:r>
        <w:rPr>
          <w:kern w:val="0"/>
        </w:rPr>
        <w:t xml:space="preserve">diagnostic tests. Study Design: Retrospective cohort study. Setting &amp; Population: Diagnostic test studies. Selection Criteria for Studies: Publications from 1966-2008 retrieved from </w:t>
      </w:r>
      <w:r w:rsidR="00D5664A">
        <w:rPr>
          <w:kern w:val="0"/>
        </w:rPr>
        <w:t>MEDLINE</w:t>
      </w:r>
      <w:r>
        <w:rPr>
          <w:kern w:val="0"/>
        </w:rPr>
        <w:t>. Intervention:</w:t>
      </w:r>
      <w:r w:rsidR="003A1917">
        <w:rPr>
          <w:kern w:val="0"/>
        </w:rPr>
        <w:t xml:space="preserve"> the </w:t>
      </w:r>
      <w:r>
        <w:rPr>
          <w:kern w:val="0"/>
        </w:rPr>
        <w:t>Quality</w:t>
      </w:r>
      <w:r w:rsidR="00427468">
        <w:rPr>
          <w:kern w:val="0"/>
        </w:rPr>
        <w:t xml:space="preserve"> of </w:t>
      </w:r>
      <w:r>
        <w:rPr>
          <w:kern w:val="0"/>
        </w:rPr>
        <w:t>Diagnostic Accuracy Studies (QUADAS) tool. Outcomes: Number</w:t>
      </w:r>
      <w:r w:rsidR="005853A9">
        <w:rPr>
          <w:kern w:val="0"/>
        </w:rPr>
        <w:t xml:space="preserve"> and </w:t>
      </w:r>
      <w:r>
        <w:rPr>
          <w:kern w:val="0"/>
        </w:rPr>
        <w:t>coverage</w:t>
      </w:r>
      <w:r w:rsidR="00427468">
        <w:rPr>
          <w:kern w:val="0"/>
        </w:rPr>
        <w:t xml:space="preserve"> of </w:t>
      </w:r>
      <w:r>
        <w:rPr>
          <w:kern w:val="0"/>
        </w:rPr>
        <w:t>diagnostic studies in nephrology</w:t>
      </w:r>
      <w:r w:rsidR="005853A9">
        <w:rPr>
          <w:kern w:val="0"/>
        </w:rPr>
        <w:t xml:space="preserve"> and </w:t>
      </w:r>
      <w:r>
        <w:rPr>
          <w:kern w:val="0"/>
        </w:rPr>
        <w:t>methodological quality</w:t>
      </w:r>
      <w:r w:rsidR="00427468">
        <w:rPr>
          <w:kern w:val="0"/>
        </w:rPr>
        <w:t xml:space="preserve"> of </w:t>
      </w:r>
      <w:r w:rsidR="003A1917">
        <w:rPr>
          <w:kern w:val="0"/>
        </w:rPr>
        <w:t xml:space="preserve">the </w:t>
      </w:r>
      <w:r>
        <w:rPr>
          <w:kern w:val="0"/>
        </w:rPr>
        <w:t>test accuracy subset. Results: Fewer diagnostic studies were published in nephrology than other areas</w:t>
      </w:r>
      <w:r w:rsidR="00427468">
        <w:rPr>
          <w:kern w:val="0"/>
        </w:rPr>
        <w:t xml:space="preserve"> of </w:t>
      </w:r>
      <w:r>
        <w:rPr>
          <w:kern w:val="0"/>
        </w:rPr>
        <w:t>internal medicine, although</w:t>
      </w:r>
      <w:r w:rsidR="003A1917">
        <w:rPr>
          <w:kern w:val="0"/>
        </w:rPr>
        <w:t xml:space="preserve"> the </w:t>
      </w:r>
      <w:r>
        <w:rPr>
          <w:kern w:val="0"/>
        </w:rPr>
        <w:t>proportion</w:t>
      </w:r>
      <w:r w:rsidR="00427468">
        <w:rPr>
          <w:kern w:val="0"/>
        </w:rPr>
        <w:t xml:space="preserve"> of </w:t>
      </w:r>
      <w:r>
        <w:rPr>
          <w:kern w:val="0"/>
        </w:rPr>
        <w:t>total citations that were diagnostic studies (4.9% +/- 2.8% [SD]) was not statistically different from other specialties (P = 0.2). Within nephrology, some topic areas (eg, urinary tract infections) were over-represented, whereas others (eg, acute kidney injury) had relatively few diagnostic studies (range, 2.7%-12.5%). Examining</w:t>
      </w:r>
      <w:r w:rsidR="003A1917">
        <w:rPr>
          <w:kern w:val="0"/>
        </w:rPr>
        <w:t xml:space="preserve"> the </w:t>
      </w:r>
      <w:r>
        <w:rPr>
          <w:kern w:val="0"/>
        </w:rPr>
        <w:t>randomly selected subset</w:t>
      </w:r>
      <w:r w:rsidR="00427468">
        <w:rPr>
          <w:kern w:val="0"/>
        </w:rPr>
        <w:t xml:space="preserve"> of </w:t>
      </w:r>
      <w:r>
        <w:rPr>
          <w:kern w:val="0"/>
        </w:rPr>
        <w:t>studies that were diagnostic test accuracy studies (120) showed variable quality. Ninety-seven percent (116</w:t>
      </w:r>
      <w:r w:rsidR="00427468">
        <w:rPr>
          <w:kern w:val="0"/>
        </w:rPr>
        <w:t xml:space="preserve"> of </w:t>
      </w:r>
      <w:r>
        <w:rPr>
          <w:kern w:val="0"/>
        </w:rPr>
        <w:t>120)</w:t>
      </w:r>
      <w:r w:rsidR="00427468">
        <w:rPr>
          <w:kern w:val="0"/>
        </w:rPr>
        <w:t xml:space="preserve"> of </w:t>
      </w:r>
      <w:r>
        <w:rPr>
          <w:kern w:val="0"/>
        </w:rPr>
        <w:t>studies adequately described index test procedure, but only 27% (32</w:t>
      </w:r>
      <w:r w:rsidR="00427468">
        <w:rPr>
          <w:kern w:val="0"/>
        </w:rPr>
        <w:t xml:space="preserve"> of </w:t>
      </w:r>
      <w:r>
        <w:rPr>
          <w:kern w:val="0"/>
        </w:rPr>
        <w:t>120) adequately blinded investigators to results</w:t>
      </w:r>
      <w:r w:rsidR="00427468">
        <w:rPr>
          <w:kern w:val="0"/>
        </w:rPr>
        <w:t xml:space="preserve"> of </w:t>
      </w:r>
      <w:r>
        <w:rPr>
          <w:kern w:val="0"/>
        </w:rPr>
        <w:t>index tests,</w:t>
      </w:r>
      <w:r w:rsidR="005853A9">
        <w:rPr>
          <w:kern w:val="0"/>
        </w:rPr>
        <w:t xml:space="preserve"> and </w:t>
      </w:r>
      <w:r>
        <w:rPr>
          <w:kern w:val="0"/>
        </w:rPr>
        <w:t>36% (43</w:t>
      </w:r>
      <w:r w:rsidR="00427468">
        <w:rPr>
          <w:kern w:val="0"/>
        </w:rPr>
        <w:t xml:space="preserve"> of </w:t>
      </w:r>
      <w:r>
        <w:rPr>
          <w:kern w:val="0"/>
        </w:rPr>
        <w:t>120), to results</w:t>
      </w:r>
      <w:r w:rsidR="00427468">
        <w:rPr>
          <w:kern w:val="0"/>
        </w:rPr>
        <w:t xml:space="preserve"> of </w:t>
      </w:r>
      <w:r>
        <w:rPr>
          <w:kern w:val="0"/>
        </w:rPr>
        <w:t>reference tests</w:t>
      </w:r>
      <w:r w:rsidR="00A37C1D">
        <w:rPr>
          <w:kern w:val="0"/>
        </w:rPr>
        <w:t>. The</w:t>
      </w:r>
      <w:r w:rsidR="003A1917">
        <w:rPr>
          <w:kern w:val="0"/>
        </w:rPr>
        <w:t xml:space="preserve"> </w:t>
      </w:r>
      <w:r>
        <w:rPr>
          <w:kern w:val="0"/>
        </w:rPr>
        <w:t>quality</w:t>
      </w:r>
      <w:r w:rsidR="00427468">
        <w:rPr>
          <w:kern w:val="0"/>
        </w:rPr>
        <w:t xml:space="preserve"> of </w:t>
      </w:r>
      <w:r>
        <w:rPr>
          <w:kern w:val="0"/>
        </w:rPr>
        <w:t>nephrology diagnostic test accuracy studies has not improved substantially during</w:t>
      </w:r>
      <w:r w:rsidR="003A1917">
        <w:rPr>
          <w:kern w:val="0"/>
        </w:rPr>
        <w:t xml:space="preserve"> the </w:t>
      </w:r>
      <w:r>
        <w:rPr>
          <w:kern w:val="0"/>
        </w:rPr>
        <w:t>past 30 years. Limitations: Comparing nephrology with other specialties, some potential inequalities</w:t>
      </w:r>
      <w:r w:rsidR="00427468">
        <w:rPr>
          <w:kern w:val="0"/>
        </w:rPr>
        <w:t xml:space="preserve"> of </w:t>
      </w:r>
      <w:r>
        <w:rPr>
          <w:kern w:val="0"/>
        </w:rPr>
        <w:t>scale could not be addressed, which may influence research output results across specialties. Conclusions: Diagnostic research in nephrology is published less frequently than most other medical specialties</w:t>
      </w:r>
      <w:r w:rsidR="00A37C1D">
        <w:rPr>
          <w:kern w:val="0"/>
        </w:rPr>
        <w:t>. The</w:t>
      </w:r>
      <w:r w:rsidR="003A1917">
        <w:rPr>
          <w:kern w:val="0"/>
        </w:rPr>
        <w:t xml:space="preserve"> </w:t>
      </w:r>
      <w:r>
        <w:rPr>
          <w:kern w:val="0"/>
        </w:rPr>
        <w:t>quality</w:t>
      </w:r>
      <w:r w:rsidR="00427468">
        <w:rPr>
          <w:kern w:val="0"/>
        </w:rPr>
        <w:t xml:space="preserve"> of </w:t>
      </w:r>
      <w:r>
        <w:rPr>
          <w:kern w:val="0"/>
        </w:rPr>
        <w:t>diagnostic test accuracy studies that are published is variable</w:t>
      </w:r>
      <w:r w:rsidR="005853A9">
        <w:rPr>
          <w:kern w:val="0"/>
        </w:rPr>
        <w:t xml:space="preserve"> and </w:t>
      </w:r>
      <w:r>
        <w:rPr>
          <w:kern w:val="0"/>
        </w:rPr>
        <w:t>leaves room for improvement. Am J Kidney Dis. 58(6): 921-927. (C) 2011 by</w:t>
      </w:r>
      <w:r w:rsidR="003A1917">
        <w:rPr>
          <w:kern w:val="0"/>
        </w:rPr>
        <w:t xml:space="preserve"> the </w:t>
      </w:r>
      <w:r>
        <w:rPr>
          <w:kern w:val="0"/>
        </w:rPr>
        <w:t>National Kidney Foundation, Inc. Published by Elsevier Inc. All rights reserved.</w:t>
      </w:r>
    </w:p>
    <w:p w:rsidR="00782578" w:rsidRDefault="00782578" w:rsidP="00782578">
      <w:pPr>
        <w:pStyle w:val="a3"/>
        <w:rPr>
          <w:kern w:val="0"/>
        </w:rPr>
      </w:pPr>
      <w:r>
        <w:rPr>
          <w:kern w:val="0"/>
        </w:rPr>
        <w:t xml:space="preserve">Keywords: Accuracy, Acute, Bibliometrics, Cancer, Care, Citations, Cohort Study, </w:t>
      </w:r>
      <w:r>
        <w:rPr>
          <w:kern w:val="0"/>
        </w:rPr>
        <w:lastRenderedPageBreak/>
        <w:t xml:space="preserve">Coverage, Diagnostic Test, Diagnostic Tests, Errors, Health Care, Injury, Interpretation, Intervention, Kidney, Medical, Medicine, </w:t>
      </w:r>
      <w:r w:rsidR="00D5664A">
        <w:rPr>
          <w:kern w:val="0"/>
        </w:rPr>
        <w:t>MEDLINE</w:t>
      </w:r>
      <w:r>
        <w:rPr>
          <w:kern w:val="0"/>
        </w:rPr>
        <w:t>, Nephrology, Outcomes, Publications, Quality, Quantity, Research, Research Output, Selection, Test Accuracy Studies, Tract, Urinary Tract Infections</w:t>
      </w:r>
    </w:p>
    <w:p w:rsidR="00C32E49" w:rsidRDefault="00C32E49" w:rsidP="00C32E49">
      <w:pPr>
        <w:pStyle w:val="a3"/>
        <w:rPr>
          <w:kern w:val="0"/>
          <w:szCs w:val="24"/>
        </w:rPr>
      </w:pPr>
      <w:r>
        <w:rPr>
          <w:rFonts w:hint="eastAsia"/>
          <w:kern w:val="0"/>
          <w:szCs w:val="24"/>
        </w:rPr>
        <w:t xml:space="preserve">? </w:t>
      </w:r>
      <w:r>
        <w:rPr>
          <w:kern w:val="0"/>
          <w:szCs w:val="24"/>
        </w:rPr>
        <w:t>Zhao, Y.L., Li, Z., Zhang, L., Yang, J.Q., Yang, Y.Y., Tang, Y. and Fu, P. (2014), Citrate versus heparin lock for hemodialysis catheters: A systematic review and meta-analysis</w:t>
      </w:r>
      <w:r w:rsidR="00427468">
        <w:rPr>
          <w:kern w:val="0"/>
          <w:szCs w:val="24"/>
        </w:rPr>
        <w:t xml:space="preserve"> of </w:t>
      </w:r>
      <w:r>
        <w:rPr>
          <w:kern w:val="0"/>
          <w:szCs w:val="24"/>
        </w:rPr>
        <w:t xml:space="preserve">randomized controlled trials. </w:t>
      </w:r>
      <w:r>
        <w:rPr>
          <w:i/>
          <w:iCs/>
          <w:kern w:val="0"/>
          <w:szCs w:val="24"/>
        </w:rPr>
        <w:t>American Journal</w:t>
      </w:r>
      <w:r w:rsidR="00427468">
        <w:rPr>
          <w:i/>
          <w:iCs/>
          <w:kern w:val="0"/>
          <w:szCs w:val="24"/>
        </w:rPr>
        <w:t xml:space="preserve"> of </w:t>
      </w:r>
      <w:r>
        <w:rPr>
          <w:i/>
          <w:iCs/>
          <w:kern w:val="0"/>
          <w:szCs w:val="24"/>
        </w:rPr>
        <w:t>Kidney Diseases</w:t>
      </w:r>
      <w:r>
        <w:rPr>
          <w:kern w:val="0"/>
          <w:szCs w:val="24"/>
        </w:rPr>
        <w:t xml:space="preserve">, </w:t>
      </w:r>
      <w:r>
        <w:rPr>
          <w:b/>
          <w:bCs/>
          <w:kern w:val="0"/>
          <w:szCs w:val="24"/>
        </w:rPr>
        <w:t>63</w:t>
      </w:r>
      <w:r>
        <w:rPr>
          <w:kern w:val="0"/>
          <w:szCs w:val="24"/>
        </w:rPr>
        <w:t xml:space="preserve"> (3), 479-490.</w:t>
      </w:r>
    </w:p>
    <w:p w:rsidR="00C32E49" w:rsidRDefault="00C32E49" w:rsidP="00C32E49">
      <w:pPr>
        <w:pStyle w:val="a3"/>
        <w:rPr>
          <w:kern w:val="0"/>
        </w:rPr>
      </w:pPr>
      <w:r>
        <w:rPr>
          <w:rFonts w:hint="eastAsia"/>
          <w:kern w:val="0"/>
        </w:rPr>
        <w:t xml:space="preserve">Full Text: </w:t>
      </w:r>
      <w:hyperlink r:id="rId519" w:history="1">
        <w:r w:rsidRPr="00427A8D">
          <w:rPr>
            <w:rStyle w:val="a5"/>
            <w:kern w:val="0"/>
          </w:rPr>
          <w:t>2014\Ame J Kid Dis63, 479.pdf</w:t>
        </w:r>
      </w:hyperlink>
    </w:p>
    <w:p w:rsidR="00C32E49" w:rsidRDefault="00C32E49" w:rsidP="00C32E49">
      <w:pPr>
        <w:pStyle w:val="a3"/>
        <w:rPr>
          <w:kern w:val="0"/>
          <w:szCs w:val="24"/>
        </w:rPr>
      </w:pPr>
      <w:r>
        <w:rPr>
          <w:kern w:val="0"/>
          <w:szCs w:val="24"/>
        </w:rPr>
        <w:t>Abstract: Background: Citrate solution has been suggested as an effective and safe catheter lock in hemodialysis. However, whether a citrate lock is superior to a heparin lock in preventing catheter-related infections and maintaining catheter patency is inconclusive. Study Design: A systematic review and meta-analysis was performed by searching in PubMed, EMBASE, Ovid, the Cochrane Library, and Web</w:t>
      </w:r>
      <w:r w:rsidR="00427468">
        <w:rPr>
          <w:kern w:val="0"/>
          <w:szCs w:val="24"/>
        </w:rPr>
        <w:t xml:space="preserve"> of </w:t>
      </w:r>
      <w:r>
        <w:rPr>
          <w:kern w:val="0"/>
          <w:szCs w:val="24"/>
        </w:rPr>
        <w:t>Science databases and major nephrology journals. Setting &amp; Population: Patients receiving hemodialysis with central venous catheters. Selection Criteria for Studies: Randomized controlled trials comparing citrate locks with heparin locks in hemodialysis patients with central venous catheters. Intervention: Locking central venous catheters with citrate locks. Outcomes: Primary outcomes include catheter-related bloodstream infection (CRBSI), exit-site infection, catheter removal for poor flow, and thrombolytic treatment. Results: 13 randomized controlled trials (1,770 patients, 221,064 catheter-days) met the inclusion criteria. Pooled analyses found that citrate locks could significantly reduce the incidence</w:t>
      </w:r>
      <w:r w:rsidR="00427468">
        <w:rPr>
          <w:kern w:val="0"/>
          <w:szCs w:val="24"/>
        </w:rPr>
        <w:t xml:space="preserve"> of </w:t>
      </w:r>
      <w:r>
        <w:rPr>
          <w:kern w:val="0"/>
          <w:szCs w:val="24"/>
        </w:rPr>
        <w:t>CRBSI (risk ratio [ RR], 0.39; 95% CI, 0.27-0.56; P, 0.001). Subgroup analysis showed that antimicrobial-containing citrate locks (citrate1gentamicin, citrate1taurolidine, and citrate1methylene blue1methylparaben1propylparaben) were superior to heparin locks in the prevention</w:t>
      </w:r>
      <w:r w:rsidR="00427468">
        <w:rPr>
          <w:kern w:val="0"/>
          <w:szCs w:val="24"/>
        </w:rPr>
        <w:t xml:space="preserve"> of </w:t>
      </w:r>
      <w:r>
        <w:rPr>
          <w:kern w:val="0"/>
          <w:szCs w:val="24"/>
        </w:rPr>
        <w:t>CRBSI (P, 0.001, P 5 0.003, and P 5 0.008, respectively), whereas citrate alone failed to show a similar advantage (P 5 0.2). Low-(1.04%-4%) to moderate-concentration (4.6%-7%) citrate locks were associated with decreased CRBSI incidence (P, 0.001 and P 5 0.003, respectively), but patients receiving high-concentration (30%-46.7%) citrate and heparin locks had similar incidences (P 5 0.3)</w:t>
      </w:r>
      <w:r w:rsidR="00A37C1D">
        <w:rPr>
          <w:kern w:val="0"/>
          <w:szCs w:val="24"/>
        </w:rPr>
        <w:t>. The</w:t>
      </w:r>
      <w:r>
        <w:rPr>
          <w:kern w:val="0"/>
          <w:szCs w:val="24"/>
        </w:rPr>
        <w:t xml:space="preserve"> incidence</w:t>
      </w:r>
      <w:r w:rsidR="00427468">
        <w:rPr>
          <w:kern w:val="0"/>
          <w:szCs w:val="24"/>
        </w:rPr>
        <w:t xml:space="preserve"> of </w:t>
      </w:r>
      <w:r>
        <w:rPr>
          <w:kern w:val="0"/>
          <w:szCs w:val="24"/>
        </w:rPr>
        <w:t>bleeding episodes (RR, 0.48; 95% CI, 0.30-0.76; P 5 0.002) was significantly lower in patients receiving citrate locks, whereas both groups were similar in terms</w:t>
      </w:r>
      <w:r w:rsidR="00427468">
        <w:rPr>
          <w:kern w:val="0"/>
          <w:szCs w:val="24"/>
        </w:rPr>
        <w:t xml:space="preserve"> of </w:t>
      </w:r>
      <w:r>
        <w:rPr>
          <w:kern w:val="0"/>
          <w:szCs w:val="24"/>
        </w:rPr>
        <w:t>exit-site infection (P 5 0.2), catheter removal for poor flow (P 5 0.9), thrombolytic treatment (P 5 0.8), all-cause death (P 5 0.3), catheter thrombosis (P 5 0.9), mean catheter duration (P 5 0.2), CRBSI-free catheter survival (P 5 0.2), and catheter-related readmission (P 5 0.5). Limitations: All studies used in the meta-analysis were performed in Western countries</w:t>
      </w:r>
      <w:r w:rsidR="00A37C1D">
        <w:rPr>
          <w:kern w:val="0"/>
          <w:szCs w:val="24"/>
        </w:rPr>
        <w:t>. The</w:t>
      </w:r>
      <w:r>
        <w:rPr>
          <w:kern w:val="0"/>
          <w:szCs w:val="24"/>
        </w:rPr>
        <w:t xml:space="preserve"> applicability</w:t>
      </w:r>
      <w:r w:rsidR="00427468">
        <w:rPr>
          <w:kern w:val="0"/>
          <w:szCs w:val="24"/>
        </w:rPr>
        <w:t xml:space="preserve"> of </w:t>
      </w:r>
      <w:r>
        <w:rPr>
          <w:kern w:val="0"/>
          <w:szCs w:val="24"/>
        </w:rPr>
        <w:t xml:space="preserve">our findings to other regions remains to be clarified. Conclusions: An antimicrobial-containing </w:t>
      </w:r>
      <w:r>
        <w:rPr>
          <w:kern w:val="0"/>
          <w:szCs w:val="24"/>
        </w:rPr>
        <w:lastRenderedPageBreak/>
        <w:t>citrate lock is better than a heparin lock in the prevention</w:t>
      </w:r>
      <w:r w:rsidR="00427468">
        <w:rPr>
          <w:kern w:val="0"/>
          <w:szCs w:val="24"/>
        </w:rPr>
        <w:t xml:space="preserve"> of </w:t>
      </w:r>
      <w:r>
        <w:rPr>
          <w:kern w:val="0"/>
          <w:szCs w:val="24"/>
        </w:rPr>
        <w:t>catheter-related infection, while citrate alone fails to show a similar advantage. Citrate locks</w:t>
      </w:r>
      <w:r w:rsidR="00427468">
        <w:rPr>
          <w:kern w:val="0"/>
          <w:szCs w:val="24"/>
        </w:rPr>
        <w:t xml:space="preserve"> of </w:t>
      </w:r>
      <w:r>
        <w:rPr>
          <w:kern w:val="0"/>
          <w:szCs w:val="24"/>
        </w:rPr>
        <w:t>low to moderate concentrations, rather than high concentration, were superior to heparin locks in preventing CRBSI. Citrate locks also might decrease bleeding episodes. No difference has been identified in the efficacy to prevent exit-site infection or preserve catheter patency between citrate and heparin locks. (C) 2014 by the National Kidney Foundation, Inc.</w:t>
      </w:r>
    </w:p>
    <w:p w:rsidR="00C32E49" w:rsidRDefault="00C32E49" w:rsidP="00C32E49">
      <w:pPr>
        <w:pStyle w:val="a3"/>
        <w:rPr>
          <w:kern w:val="0"/>
          <w:szCs w:val="24"/>
        </w:rPr>
      </w:pPr>
      <w:r>
        <w:rPr>
          <w:kern w:val="0"/>
          <w:szCs w:val="24"/>
        </w:rPr>
        <w:t>Keywords: 4-Percent, Analyses, Analysis, Antimicrobial Solution, Bacteremia, Biofilm Formation, Bleeding, Catheter, Catheter Lock, Catheter-Related Bacteremia, Central Venous Catheters, Citrate, Concentration, Criteria, Databases, Death, Design, Dialysis Catheters, Duration, Efficacy, Embase, Exit-Site Infection, Flow, Gentamicin, Groups, Hemodialysis, Heparin, Incidence, Infection, Infections, Intervention, Journals, Lock Solution, Mar, Meta Analysis, Meta-Analysis, Metaanalysis, Nephrology, Outcomes, P, Patients, Population, Prevent, Prevention, Pubmed, Randomized, Randomized Controlled Trials, Readmission, Reduction, Removal, Renal Replacement Therapy, Results, Review, Risk, Science, Solution, Survival, Systematic Review, Thrombosis, Treatment, Trisodium Citrate, Vascular Access, Web</w:t>
      </w:r>
      <w:r w:rsidR="00427468">
        <w:rPr>
          <w:kern w:val="0"/>
          <w:szCs w:val="24"/>
        </w:rPr>
        <w:t xml:space="preserve"> of </w:t>
      </w:r>
      <w:r>
        <w:rPr>
          <w:kern w:val="0"/>
          <w:szCs w:val="24"/>
        </w:rPr>
        <w:t>Science, Web</w:t>
      </w:r>
      <w:r w:rsidR="00427468">
        <w:rPr>
          <w:kern w:val="0"/>
          <w:szCs w:val="24"/>
        </w:rPr>
        <w:t xml:space="preserve"> of </w:t>
      </w:r>
      <w:r>
        <w:rPr>
          <w:kern w:val="0"/>
          <w:szCs w:val="24"/>
        </w:rPr>
        <w:t>Science Databases</w:t>
      </w:r>
    </w:p>
    <w:p w:rsidR="00666900" w:rsidRDefault="00666900" w:rsidP="00666900">
      <w:pPr>
        <w:pStyle w:val="a3"/>
        <w:rPr>
          <w:kern w:val="0"/>
        </w:rPr>
      </w:pPr>
      <w:r>
        <w:rPr>
          <w:rFonts w:hint="eastAsia"/>
          <w:kern w:val="0"/>
        </w:rPr>
        <w:t xml:space="preserve">? </w:t>
      </w:r>
      <w:r>
        <w:rPr>
          <w:kern w:val="0"/>
        </w:rPr>
        <w:t xml:space="preserve">Heiwe, S. and Jacobson, S.H. (2014), Exercise training in adults with CKD: A systematic review and meta-analysis. </w:t>
      </w:r>
      <w:r>
        <w:rPr>
          <w:i/>
          <w:iCs/>
          <w:kern w:val="0"/>
        </w:rPr>
        <w:t>American Journal of Kidney Diseases</w:t>
      </w:r>
      <w:r>
        <w:rPr>
          <w:kern w:val="0"/>
        </w:rPr>
        <w:t xml:space="preserve">, </w:t>
      </w:r>
      <w:r>
        <w:rPr>
          <w:b/>
          <w:bCs/>
          <w:kern w:val="0"/>
        </w:rPr>
        <w:t>64</w:t>
      </w:r>
      <w:r>
        <w:rPr>
          <w:kern w:val="0"/>
        </w:rPr>
        <w:t xml:space="preserve"> (3), 383-393.</w:t>
      </w:r>
    </w:p>
    <w:p w:rsidR="00666900" w:rsidRDefault="00666900" w:rsidP="00666900">
      <w:pPr>
        <w:pStyle w:val="a3"/>
        <w:rPr>
          <w:kern w:val="0"/>
        </w:rPr>
      </w:pPr>
      <w:r>
        <w:rPr>
          <w:rFonts w:hint="eastAsia"/>
          <w:kern w:val="0"/>
        </w:rPr>
        <w:t xml:space="preserve">Full Text: </w:t>
      </w:r>
      <w:hyperlink r:id="rId520" w:history="1">
        <w:r w:rsidRPr="001F166D">
          <w:rPr>
            <w:rStyle w:val="a5"/>
            <w:kern w:val="0"/>
          </w:rPr>
          <w:t>2014\Ame J Kid Dis64, 383.pdf</w:t>
        </w:r>
      </w:hyperlink>
    </w:p>
    <w:p w:rsidR="00666900" w:rsidRDefault="00666900" w:rsidP="00666900">
      <w:pPr>
        <w:pStyle w:val="a3"/>
        <w:rPr>
          <w:kern w:val="0"/>
        </w:rPr>
      </w:pPr>
      <w:r>
        <w:rPr>
          <w:kern w:val="0"/>
        </w:rPr>
        <w:t xml:space="preserve">Abstract: Background: Whether exercise can affect health outcomes in people with chronic kidney disease (CKD) and what the optimal exercise strategies are for patients with CKD remain uncertain. Study Design: Systematic review and meta-analysis of randomized controlled trials. Setting &amp; Population: Adults with CKD stages 2-5, dialysis therapy, or a kidney transplant. Selection Criteria for Studies: Trials evaluating regular exercise training outcomes identified by searches in Cochrane CENTRAL, MEDLINE, EMBASE, CINAHL, Web of Science, BIOSIS, PEDro, AMED, AgeLine, PsycINFO, and KoreaMed, without language restriction. Intervention: Regular exercise training for at least 8 weeks. Outcomes: Vary by study but could include aerobic capacity, muscular functioning, cardiovascular function, walking capacity, and health-related quality of life. Treatment effects were summarized as standardized difference with 95% CIs using random-effects meta-analysis. Results: 41 trials (928 participants) comparing exercise training with sham exercise or no exercise were included; overall, improved aerobic capacity, muscular functioning, cardiovascular function, walking capacity, and health-related quality of life were associated with various exercise interventions, although the preponderance of data were for dialysis patients and used aerobic exercise programs. </w:t>
      </w:r>
      <w:r>
        <w:rPr>
          <w:kern w:val="0"/>
        </w:rPr>
        <w:lastRenderedPageBreak/>
        <w:t>Limitations: Unclear or high risk of bias in 32% of the trials, few trial data concerning resistance training, and limited data for several important outcomes. Conclusions: Regular exercise training generally is associated with improved health outcomes in individuals with CKD. Correctly designed exercise rehabilitation may be an effective part of care for adults with CKD. Future studies should examine longer term outcomes and strategies to translate exercise done in a supervised setting to the home setting for broader applicability. (C) 2014 by the National Kidney Foundation, Inc.</w:t>
      </w:r>
    </w:p>
    <w:p w:rsidR="00666900" w:rsidRDefault="00666900" w:rsidP="00666900">
      <w:pPr>
        <w:pStyle w:val="a3"/>
        <w:rPr>
          <w:kern w:val="0"/>
        </w:rPr>
      </w:pPr>
      <w:r>
        <w:rPr>
          <w:kern w:val="0"/>
        </w:rPr>
        <w:t>Keywords: Adults, Aerobic Exercise, Bias, Capacity, Cardiovascular, Cardiovascular Function, Cardiovascular-Disease, Care, Chronic, Chronic Kidney Disease, Chronic-Hemodialysis Patients, Data, Design, Dialysis, Disease, Effects, Embase, Exercise, Exercise Training, Function, Health, Health Outcomes, Health-Related Quality Of Life, Heart-Rate-Variability, Intervention, Interventions, Intradialytic Exercise, Kidney, Kidney Disease, Language, Life, Medline, Meta Analysis, Meta-Analysis, Metaanalysis, Outcomes, Patients, Physical Fitness, Population, Psycinfo, Quality, Quality Of, Quality Of Life, Quality-Of-Life, Randomized, Randomized Controlled Trials, Randomized Controlled-Trial, Regular, Rehabilitation, Resistance, Resistance Exercise, Resistance Training, Resting Blood-Pressure, Results, Review, Risk, Science, Stage Renal-Disease, Systematic, Systematic Review, Systematic Reviews, Term, Therapy, Training, Treatment, Trial, Walking, Web Of Science</w:t>
      </w:r>
    </w:p>
    <w:p w:rsidR="00454570" w:rsidRPr="001A3D2B" w:rsidRDefault="00454570" w:rsidP="00454570">
      <w:pPr>
        <w:pStyle w:val="1"/>
      </w:pPr>
      <w:r w:rsidRPr="001A3D2B">
        <w:br w:type="page"/>
      </w:r>
      <w:bookmarkStart w:id="286" w:name="_Toc420814404"/>
      <w:r w:rsidRPr="001A3D2B">
        <w:lastRenderedPageBreak/>
        <w:t>Title: American Journal</w:t>
      </w:r>
      <w:r w:rsidR="00427468">
        <w:t xml:space="preserve"> of </w:t>
      </w:r>
      <w:r w:rsidRPr="001A3D2B">
        <w:t>Managed Care</w:t>
      </w:r>
      <w:bookmarkEnd w:id="286"/>
    </w:p>
    <w:p w:rsidR="00454570" w:rsidRPr="001A3D2B" w:rsidRDefault="00454570" w:rsidP="00454570">
      <w:pPr>
        <w:pStyle w:val="12"/>
      </w:pPr>
      <w:r w:rsidRPr="001A3D2B">
        <w:t xml:space="preserve">Full Journal Title: </w:t>
      </w:r>
      <w:r w:rsidRPr="001A3D2B">
        <w:rPr>
          <w:iCs/>
          <w:kern w:val="0"/>
        </w:rPr>
        <w:t>American Journal</w:t>
      </w:r>
      <w:r w:rsidR="00427468">
        <w:rPr>
          <w:iCs/>
          <w:kern w:val="0"/>
        </w:rPr>
        <w:t xml:space="preserve"> of </w:t>
      </w:r>
      <w:r w:rsidRPr="001A3D2B">
        <w:rPr>
          <w:iCs/>
          <w:kern w:val="0"/>
        </w:rPr>
        <w:t>Managed Care</w:t>
      </w:r>
    </w:p>
    <w:p w:rsidR="00454570" w:rsidRPr="001A3D2B" w:rsidRDefault="00454570" w:rsidP="00454570">
      <w:pPr>
        <w:pStyle w:val="12"/>
      </w:pPr>
      <w:r w:rsidRPr="001A3D2B">
        <w:t xml:space="preserve">ISO Abbreviated Title: </w:t>
      </w:r>
    </w:p>
    <w:p w:rsidR="00454570" w:rsidRPr="001A3D2B" w:rsidRDefault="00454570" w:rsidP="00454570">
      <w:pPr>
        <w:pStyle w:val="12"/>
      </w:pPr>
      <w:r w:rsidRPr="001A3D2B">
        <w:t xml:space="preserve">JCR Abbreviated Title: </w:t>
      </w:r>
    </w:p>
    <w:p w:rsidR="00454570" w:rsidRPr="001A3D2B" w:rsidRDefault="00454570" w:rsidP="00454570">
      <w:pPr>
        <w:pStyle w:val="12"/>
      </w:pPr>
      <w:r w:rsidRPr="001A3D2B">
        <w:t xml:space="preserve">ISSN: </w:t>
      </w:r>
    </w:p>
    <w:p w:rsidR="00454570" w:rsidRPr="001A3D2B" w:rsidRDefault="00454570" w:rsidP="00454570">
      <w:pPr>
        <w:pStyle w:val="12"/>
      </w:pPr>
      <w:r w:rsidRPr="001A3D2B">
        <w:t xml:space="preserve">Issues/Year: </w:t>
      </w:r>
    </w:p>
    <w:p w:rsidR="00454570" w:rsidRPr="001A3D2B" w:rsidRDefault="00454570" w:rsidP="00454570">
      <w:pPr>
        <w:pStyle w:val="12"/>
      </w:pPr>
      <w:r w:rsidRPr="001A3D2B">
        <w:t xml:space="preserve">Journal Country/Territory: </w:t>
      </w:r>
    </w:p>
    <w:p w:rsidR="00454570" w:rsidRPr="001A3D2B" w:rsidRDefault="00454570" w:rsidP="00454570">
      <w:pPr>
        <w:pStyle w:val="12"/>
      </w:pPr>
      <w:r w:rsidRPr="001A3D2B">
        <w:t xml:space="preserve">Language: </w:t>
      </w:r>
    </w:p>
    <w:p w:rsidR="00454570" w:rsidRPr="001A3D2B" w:rsidRDefault="00454570" w:rsidP="00454570">
      <w:pPr>
        <w:pStyle w:val="12"/>
      </w:pPr>
      <w:r w:rsidRPr="001A3D2B">
        <w:t xml:space="preserve">Publisher: </w:t>
      </w:r>
    </w:p>
    <w:p w:rsidR="00454570" w:rsidRPr="001A3D2B" w:rsidRDefault="00454570" w:rsidP="00454570">
      <w:pPr>
        <w:pStyle w:val="12"/>
      </w:pPr>
      <w:r w:rsidRPr="001A3D2B">
        <w:t xml:space="preserve">Publisher Address: </w:t>
      </w:r>
    </w:p>
    <w:p w:rsidR="00454570" w:rsidRPr="001A3D2B" w:rsidRDefault="00454570" w:rsidP="00454570">
      <w:pPr>
        <w:pStyle w:val="12"/>
      </w:pPr>
      <w:r w:rsidRPr="001A3D2B">
        <w:t xml:space="preserve">Subject Categories: </w:t>
      </w:r>
    </w:p>
    <w:p w:rsidR="00454570" w:rsidRPr="001A3D2B" w:rsidRDefault="00454570" w:rsidP="00454570">
      <w:pPr>
        <w:pStyle w:val="12"/>
      </w:pPr>
      <w:r w:rsidRPr="001A3D2B">
        <w:t xml:space="preserve">: Impact Factor </w:t>
      </w:r>
    </w:p>
    <w:p w:rsidR="00454570" w:rsidRPr="001A3D2B" w:rsidRDefault="00454570" w:rsidP="00454570">
      <w:pPr>
        <w:pStyle w:val="a3"/>
        <w:rPr>
          <w:kern w:val="0"/>
        </w:rPr>
      </w:pPr>
      <w:r w:rsidRPr="001A3D2B">
        <w:rPr>
          <w:kern w:val="0"/>
        </w:rPr>
        <w:t>? Oake, N., Jennings, A., van Walraven, C.</w:t>
      </w:r>
      <w:r w:rsidR="005853A9">
        <w:rPr>
          <w:kern w:val="0"/>
        </w:rPr>
        <w:t xml:space="preserve"> and </w:t>
      </w:r>
      <w:r w:rsidRPr="001A3D2B">
        <w:rPr>
          <w:kern w:val="0"/>
        </w:rPr>
        <w:t>Forster, A.J. (2009), Interactive voice response systems for improving delivery</w:t>
      </w:r>
      <w:r w:rsidR="00427468">
        <w:rPr>
          <w:kern w:val="0"/>
        </w:rPr>
        <w:t xml:space="preserve"> of </w:t>
      </w:r>
      <w:r w:rsidRPr="001A3D2B">
        <w:rPr>
          <w:kern w:val="0"/>
        </w:rPr>
        <w:t xml:space="preserve">ambulatory care. </w:t>
      </w:r>
      <w:r w:rsidRPr="001A3D2B">
        <w:rPr>
          <w:i/>
          <w:iCs/>
          <w:kern w:val="0"/>
        </w:rPr>
        <w:t>American Journal</w:t>
      </w:r>
      <w:r w:rsidR="00427468">
        <w:rPr>
          <w:i/>
          <w:iCs/>
          <w:kern w:val="0"/>
        </w:rPr>
        <w:t xml:space="preserve"> of </w:t>
      </w:r>
      <w:r w:rsidRPr="001A3D2B">
        <w:rPr>
          <w:i/>
          <w:iCs/>
          <w:kern w:val="0"/>
        </w:rPr>
        <w:t>Managed Care</w:t>
      </w:r>
      <w:r w:rsidRPr="001A3D2B">
        <w:rPr>
          <w:kern w:val="0"/>
        </w:rPr>
        <w:t xml:space="preserve">, </w:t>
      </w:r>
      <w:r w:rsidRPr="001A3D2B">
        <w:rPr>
          <w:b/>
          <w:bCs/>
          <w:kern w:val="0"/>
        </w:rPr>
        <w:t>15</w:t>
      </w:r>
      <w:r w:rsidRPr="001A3D2B">
        <w:rPr>
          <w:kern w:val="0"/>
        </w:rPr>
        <w:t xml:space="preserve"> (6), 383-391.</w:t>
      </w:r>
    </w:p>
    <w:p w:rsidR="00D826B3" w:rsidRDefault="00D826B3" w:rsidP="00D826B3">
      <w:pPr>
        <w:pStyle w:val="a3"/>
        <w:ind w:left="0" w:firstLine="0"/>
        <w:rPr>
          <w:kern w:val="0"/>
          <w:szCs w:val="24"/>
        </w:rPr>
      </w:pPr>
      <w:r>
        <w:rPr>
          <w:rFonts w:hint="eastAsia"/>
          <w:kern w:val="0"/>
          <w:szCs w:val="24"/>
        </w:rPr>
        <w:t xml:space="preserve">Full Text: </w:t>
      </w:r>
      <w:hyperlink r:id="rId521" w:history="1">
        <w:r w:rsidRPr="00D826B3">
          <w:rPr>
            <w:rStyle w:val="a5"/>
            <w:kern w:val="0"/>
            <w:szCs w:val="24"/>
          </w:rPr>
          <w:t>2009\Ame J Man Car15, 383.pdf</w:t>
        </w:r>
      </w:hyperlink>
    </w:p>
    <w:p w:rsidR="00454570" w:rsidRPr="001A3D2B" w:rsidRDefault="00454570" w:rsidP="00454570">
      <w:pPr>
        <w:pStyle w:val="a3"/>
        <w:rPr>
          <w:kern w:val="0"/>
        </w:rPr>
      </w:pPr>
      <w:r w:rsidRPr="001A3D2B">
        <w:rPr>
          <w:kern w:val="0"/>
        </w:rPr>
        <w:t>Abstract: Objective: To comprehensively describe</w:t>
      </w:r>
      <w:r w:rsidR="003A1917">
        <w:rPr>
          <w:kern w:val="0"/>
        </w:rPr>
        <w:t xml:space="preserve"> the </w:t>
      </w:r>
      <w:r w:rsidRPr="001A3D2B">
        <w:rPr>
          <w:kern w:val="0"/>
        </w:rPr>
        <w:t>populations, interventions,</w:t>
      </w:r>
      <w:r w:rsidR="005853A9">
        <w:rPr>
          <w:kern w:val="0"/>
        </w:rPr>
        <w:t xml:space="preserve"> and </w:t>
      </w:r>
      <w:r w:rsidRPr="001A3D2B">
        <w:rPr>
          <w:kern w:val="0"/>
        </w:rPr>
        <w:t>outcomes</w:t>
      </w:r>
      <w:r w:rsidR="00427468">
        <w:rPr>
          <w:kern w:val="0"/>
        </w:rPr>
        <w:t xml:space="preserve"> of </w:t>
      </w:r>
      <w:r w:rsidRPr="001A3D2B">
        <w:rPr>
          <w:kern w:val="0"/>
        </w:rPr>
        <w:t xml:space="preserve">interactive voice response system (IVRS) clinical trials. Methods: We identified studies using </w:t>
      </w:r>
      <w:r w:rsidR="00D5664A">
        <w:rPr>
          <w:kern w:val="0"/>
        </w:rPr>
        <w:t>MEDLINE</w:t>
      </w:r>
      <w:r w:rsidRPr="001A3D2B">
        <w:rPr>
          <w:kern w:val="0"/>
        </w:rPr>
        <w:t xml:space="preserve"> (1950-2008)</w:t>
      </w:r>
      <w:r w:rsidR="005853A9">
        <w:rPr>
          <w:kern w:val="0"/>
        </w:rPr>
        <w:t xml:space="preserve"> and </w:t>
      </w:r>
      <w:r w:rsidRPr="001A3D2B">
        <w:rPr>
          <w:kern w:val="0"/>
        </w:rPr>
        <w:t>EMBASE (1980-2008). We also identified studies using hand searches</w:t>
      </w:r>
      <w:r w:rsidR="00427468">
        <w:rPr>
          <w:kern w:val="0"/>
        </w:rPr>
        <w:t xml:space="preserve"> of </w:t>
      </w:r>
      <w:r w:rsidR="003A1917">
        <w:rPr>
          <w:kern w:val="0"/>
        </w:rPr>
        <w:t xml:space="preserve">the </w:t>
      </w:r>
      <w:r w:rsidRPr="001A3D2B">
        <w:rPr>
          <w:kern w:val="0"/>
        </w:rPr>
        <w:t>Science Citation Index</w:t>
      </w:r>
      <w:r w:rsidR="005853A9">
        <w:rPr>
          <w:kern w:val="0"/>
        </w:rPr>
        <w:t xml:space="preserve"> and </w:t>
      </w:r>
      <w:r w:rsidR="003A1917">
        <w:rPr>
          <w:kern w:val="0"/>
        </w:rPr>
        <w:t xml:space="preserve">the </w:t>
      </w:r>
      <w:r w:rsidRPr="001A3D2B">
        <w:rPr>
          <w:kern w:val="0"/>
        </w:rPr>
        <w:t>reference lists</w:t>
      </w:r>
      <w:r w:rsidR="00427468">
        <w:rPr>
          <w:kern w:val="0"/>
        </w:rPr>
        <w:t xml:space="preserve"> of </w:t>
      </w:r>
      <w:r w:rsidRPr="001A3D2B">
        <w:rPr>
          <w:kern w:val="0"/>
        </w:rPr>
        <w:t>included articles. Included were randomized</w:t>
      </w:r>
      <w:r w:rsidR="005853A9">
        <w:rPr>
          <w:kern w:val="0"/>
        </w:rPr>
        <w:t xml:space="preserve"> and </w:t>
      </w:r>
      <w:r w:rsidRPr="001A3D2B">
        <w:rPr>
          <w:kern w:val="0"/>
        </w:rPr>
        <w:t>controlled clinical trials that examined</w:t>
      </w:r>
      <w:r w:rsidR="003A1917">
        <w:rPr>
          <w:kern w:val="0"/>
        </w:rPr>
        <w:t xml:space="preserve"> the </w:t>
      </w:r>
      <w:r w:rsidRPr="001A3D2B">
        <w:rPr>
          <w:kern w:val="0"/>
        </w:rPr>
        <w:t>effect</w:t>
      </w:r>
      <w:r w:rsidR="00427468">
        <w:rPr>
          <w:kern w:val="0"/>
        </w:rPr>
        <w:t xml:space="preserve"> of </w:t>
      </w:r>
      <w:r w:rsidRPr="001A3D2B">
        <w:rPr>
          <w:kern w:val="0"/>
        </w:rPr>
        <w:t>an IVRS intervention on clinical end points, measures</w:t>
      </w:r>
      <w:r w:rsidR="00427468">
        <w:rPr>
          <w:kern w:val="0"/>
        </w:rPr>
        <w:t xml:space="preserve"> of </w:t>
      </w:r>
      <w:r w:rsidRPr="001A3D2B">
        <w:rPr>
          <w:kern w:val="0"/>
        </w:rPr>
        <w:t>disease control, process adherence, or quality</w:t>
      </w:r>
      <w:r w:rsidR="00434900">
        <w:rPr>
          <w:kern w:val="0"/>
        </w:rPr>
        <w:t>-of-</w:t>
      </w:r>
      <w:r w:rsidRPr="001A3D2B">
        <w:rPr>
          <w:kern w:val="0"/>
        </w:rPr>
        <w:t>life measures. Continuous</w:t>
      </w:r>
      <w:r w:rsidR="005853A9">
        <w:rPr>
          <w:kern w:val="0"/>
        </w:rPr>
        <w:t xml:space="preserve"> and </w:t>
      </w:r>
      <w:r w:rsidRPr="001A3D2B">
        <w:rPr>
          <w:kern w:val="0"/>
        </w:rPr>
        <w:t>dichotomous outcomes were meta-analyzed using mean difference</w:t>
      </w:r>
      <w:r w:rsidR="005853A9">
        <w:rPr>
          <w:kern w:val="0"/>
        </w:rPr>
        <w:t xml:space="preserve"> and </w:t>
      </w:r>
      <w:r w:rsidRPr="001A3D2B">
        <w:rPr>
          <w:kern w:val="0"/>
        </w:rPr>
        <w:t>median effects methodology, respectively. Results: Forty studies (n = 106,959 patients) met inclusion criteria.</w:t>
      </w:r>
      <w:r w:rsidR="00427468">
        <w:rPr>
          <w:kern w:val="0"/>
        </w:rPr>
        <w:t xml:space="preserve"> of </w:t>
      </w:r>
      <w:r w:rsidRPr="001A3D2B">
        <w:rPr>
          <w:kern w:val="0"/>
        </w:rPr>
        <w:t>these studies, 25 used an IVRS intervention aimed at encouraging adherence with recommended tests, treatments, or behaviors;</w:t>
      </w:r>
      <w:r w:rsidR="003A1917">
        <w:rPr>
          <w:kern w:val="0"/>
        </w:rPr>
        <w:t xml:space="preserve"> the </w:t>
      </w:r>
      <w:r w:rsidRPr="001A3D2B">
        <w:rPr>
          <w:kern w:val="0"/>
        </w:rPr>
        <w:t>remaining 15 used an IVRS for chronic disease management. Three studies reported clinical end points, which could not be statistically pooled. In 6 studies that reported objective clinical measures</w:t>
      </w:r>
      <w:r w:rsidR="00427468">
        <w:rPr>
          <w:kern w:val="0"/>
        </w:rPr>
        <w:t xml:space="preserve"> of </w:t>
      </w:r>
      <w:r w:rsidRPr="001A3D2B">
        <w:rPr>
          <w:kern w:val="0"/>
        </w:rPr>
        <w:t>disease control (glycosylated hemoglobin, total cholesterol,</w:t>
      </w:r>
      <w:r w:rsidR="005853A9">
        <w:rPr>
          <w:kern w:val="0"/>
        </w:rPr>
        <w:t xml:space="preserve"> and </w:t>
      </w:r>
      <w:r w:rsidRPr="001A3D2B">
        <w:rPr>
          <w:kern w:val="0"/>
        </w:rPr>
        <w:t>serum glucose</w:t>
      </w:r>
      <w:r w:rsidR="00F42EAC">
        <w:rPr>
          <w:kern w:val="0"/>
        </w:rPr>
        <w:t>), The</w:t>
      </w:r>
      <w:r w:rsidR="003A1917">
        <w:rPr>
          <w:kern w:val="0"/>
        </w:rPr>
        <w:t xml:space="preserve"> </w:t>
      </w:r>
      <w:r w:rsidRPr="001A3D2B">
        <w:rPr>
          <w:kern w:val="0"/>
        </w:rPr>
        <w:t>IVRS was associated with nonsignificant improvements. In 14 studies that measured objective process adherence outcomes,</w:t>
      </w:r>
      <w:r w:rsidR="003A1917">
        <w:rPr>
          <w:kern w:val="0"/>
        </w:rPr>
        <w:t xml:space="preserve"> the </w:t>
      </w:r>
      <w:r w:rsidRPr="001A3D2B">
        <w:rPr>
          <w:kern w:val="0"/>
        </w:rPr>
        <w:t>median effect was 7.9% (25th-75th percentile: 2.8%, 19.5%). For</w:t>
      </w:r>
      <w:r w:rsidR="003A1917">
        <w:rPr>
          <w:kern w:val="0"/>
        </w:rPr>
        <w:t xml:space="preserve"> the </w:t>
      </w:r>
      <w:r w:rsidRPr="001A3D2B">
        <w:rPr>
          <w:kern w:val="0"/>
        </w:rPr>
        <w:t>16 studies that assessed patient-reported measures</w:t>
      </w:r>
      <w:r w:rsidR="00427468">
        <w:rPr>
          <w:kern w:val="0"/>
        </w:rPr>
        <w:t xml:space="preserve"> of </w:t>
      </w:r>
      <w:r w:rsidRPr="001A3D2B">
        <w:rPr>
          <w:kern w:val="0"/>
        </w:rPr>
        <w:t>disease control</w:t>
      </w:r>
      <w:r w:rsidR="005853A9">
        <w:rPr>
          <w:kern w:val="0"/>
        </w:rPr>
        <w:t xml:space="preserve"> and </w:t>
      </w:r>
      <w:r w:rsidR="003A1917">
        <w:rPr>
          <w:kern w:val="0"/>
        </w:rPr>
        <w:t xml:space="preserve">the </w:t>
      </w:r>
      <w:r w:rsidRPr="001A3D2B">
        <w:rPr>
          <w:kern w:val="0"/>
        </w:rPr>
        <w:t>11 studies that assessed patient-reported process adherence outcomes, approximately one-third</w:t>
      </w:r>
      <w:r w:rsidR="00427468">
        <w:rPr>
          <w:kern w:val="0"/>
        </w:rPr>
        <w:t xml:space="preserve"> of </w:t>
      </w:r>
      <w:r w:rsidR="003A1917">
        <w:rPr>
          <w:kern w:val="0"/>
        </w:rPr>
        <w:t xml:space="preserve">the </w:t>
      </w:r>
      <w:r w:rsidRPr="001A3D2B">
        <w:rPr>
          <w:kern w:val="0"/>
        </w:rPr>
        <w:t>outcomes significantly favored</w:t>
      </w:r>
      <w:r w:rsidR="003A1917">
        <w:rPr>
          <w:kern w:val="0"/>
        </w:rPr>
        <w:t xml:space="preserve"> the </w:t>
      </w:r>
      <w:r w:rsidRPr="001A3D2B">
        <w:rPr>
          <w:kern w:val="0"/>
        </w:rPr>
        <w:t xml:space="preserve">IVRS group. Conclusion: IVRS interventions, which enable patients to interact with computer databases via telephone, have shown </w:t>
      </w:r>
      <w:r w:rsidRPr="001A3D2B">
        <w:rPr>
          <w:kern w:val="0"/>
        </w:rPr>
        <w:lastRenderedPageBreak/>
        <w:t>a significant benefit in adherence to various processes</w:t>
      </w:r>
      <w:r w:rsidR="00427468">
        <w:rPr>
          <w:kern w:val="0"/>
        </w:rPr>
        <w:t xml:space="preserve"> of </w:t>
      </w:r>
      <w:r w:rsidRPr="001A3D2B">
        <w:rPr>
          <w:kern w:val="0"/>
        </w:rPr>
        <w:t>care. Future IVRS studies should include clinically relevant outcomes. (Am J Manag Care. 2009; 15(6): 383-391).</w:t>
      </w:r>
    </w:p>
    <w:p w:rsidR="00454570" w:rsidRPr="001A3D2B" w:rsidRDefault="00454570" w:rsidP="00454570">
      <w:pPr>
        <w:pStyle w:val="a3"/>
        <w:rPr>
          <w:kern w:val="0"/>
        </w:rPr>
      </w:pPr>
      <w:r w:rsidRPr="001A3D2B">
        <w:rPr>
          <w:kern w:val="0"/>
        </w:rPr>
        <w:t>Keywords: Automated Calls, Cholesterol Reduction, Generated Telephone Messages, Heart-Failure, Information-Technology, Management, Nurse Follow</w:t>
      </w:r>
      <w:r w:rsidR="0062028A">
        <w:rPr>
          <w:kern w:val="0"/>
        </w:rPr>
        <w:t>-up,</w:t>
      </w:r>
      <w:r w:rsidRPr="001A3D2B">
        <w:rPr>
          <w:kern w:val="0"/>
        </w:rPr>
        <w:t xml:space="preserve"> Physical-Activity, Randomized Controlled-Trial, Smoking-Cessation, Telecommunications System</w:t>
      </w:r>
    </w:p>
    <w:p w:rsidR="00D826B3" w:rsidRDefault="00D826B3" w:rsidP="00D826B3">
      <w:pPr>
        <w:pStyle w:val="a3"/>
        <w:rPr>
          <w:kern w:val="0"/>
          <w:szCs w:val="24"/>
        </w:rPr>
      </w:pPr>
      <w:r>
        <w:rPr>
          <w:rFonts w:hint="eastAsia"/>
          <w:kern w:val="0"/>
          <w:szCs w:val="24"/>
        </w:rPr>
        <w:t xml:space="preserve">? </w:t>
      </w:r>
      <w:r>
        <w:rPr>
          <w:kern w:val="0"/>
          <w:szCs w:val="24"/>
        </w:rPr>
        <w:t>Sobieraj, D.M., Coleman, S.M.</w:t>
      </w:r>
      <w:r w:rsidR="005853A9">
        <w:rPr>
          <w:kern w:val="0"/>
          <w:szCs w:val="24"/>
        </w:rPr>
        <w:t xml:space="preserve"> and </w:t>
      </w:r>
      <w:r>
        <w:rPr>
          <w:kern w:val="0"/>
          <w:szCs w:val="24"/>
        </w:rPr>
        <w:t>Coleman, C.I. (2011), US prevalence</w:t>
      </w:r>
      <w:r w:rsidR="00427468">
        <w:rPr>
          <w:kern w:val="0"/>
          <w:szCs w:val="24"/>
        </w:rPr>
        <w:t xml:space="preserve"> of </w:t>
      </w:r>
      <w:r>
        <w:rPr>
          <w:kern w:val="0"/>
          <w:szCs w:val="24"/>
        </w:rPr>
        <w:t xml:space="preserve">upper gastrointestinal symptoms: A systematic literature review. </w:t>
      </w:r>
      <w:r>
        <w:rPr>
          <w:i/>
          <w:iCs/>
          <w:kern w:val="0"/>
          <w:szCs w:val="24"/>
        </w:rPr>
        <w:t>American Journal</w:t>
      </w:r>
      <w:r w:rsidR="00427468">
        <w:rPr>
          <w:i/>
          <w:iCs/>
          <w:kern w:val="0"/>
          <w:szCs w:val="24"/>
        </w:rPr>
        <w:t xml:space="preserve"> of </w:t>
      </w:r>
      <w:r>
        <w:rPr>
          <w:i/>
          <w:iCs/>
          <w:kern w:val="0"/>
          <w:szCs w:val="24"/>
        </w:rPr>
        <w:t>Managed Care</w:t>
      </w:r>
      <w:r>
        <w:rPr>
          <w:kern w:val="0"/>
          <w:szCs w:val="24"/>
        </w:rPr>
        <w:t xml:space="preserve">, </w:t>
      </w:r>
      <w:r>
        <w:rPr>
          <w:b/>
          <w:bCs/>
          <w:kern w:val="0"/>
          <w:szCs w:val="24"/>
        </w:rPr>
        <w:t>17</w:t>
      </w:r>
      <w:r>
        <w:rPr>
          <w:kern w:val="0"/>
          <w:szCs w:val="24"/>
        </w:rPr>
        <w:t xml:space="preserve"> (11), E449-EU78.</w:t>
      </w:r>
    </w:p>
    <w:p w:rsidR="00D826B3" w:rsidRDefault="00D826B3" w:rsidP="00D826B3">
      <w:pPr>
        <w:pStyle w:val="a3"/>
        <w:rPr>
          <w:kern w:val="0"/>
          <w:szCs w:val="24"/>
        </w:rPr>
      </w:pPr>
      <w:r>
        <w:rPr>
          <w:rFonts w:hint="eastAsia"/>
          <w:kern w:val="0"/>
          <w:szCs w:val="24"/>
        </w:rPr>
        <w:t xml:space="preserve">Full Text: </w:t>
      </w:r>
      <w:hyperlink r:id="rId522" w:history="1">
        <w:r w:rsidRPr="008959D8">
          <w:rPr>
            <w:rStyle w:val="a5"/>
            <w:kern w:val="0"/>
            <w:szCs w:val="24"/>
          </w:rPr>
          <w:t>2011\Ame J Man Car17, E449.pdf</w:t>
        </w:r>
      </w:hyperlink>
    </w:p>
    <w:p w:rsidR="00D826B3" w:rsidRDefault="00D826B3" w:rsidP="00D826B3">
      <w:pPr>
        <w:pStyle w:val="a3"/>
        <w:rPr>
          <w:kern w:val="0"/>
          <w:szCs w:val="24"/>
        </w:rPr>
      </w:pPr>
      <w:r>
        <w:rPr>
          <w:kern w:val="0"/>
          <w:szCs w:val="24"/>
        </w:rPr>
        <w:t>Abstract: Objectives: To quantify</w:t>
      </w:r>
      <w:r w:rsidR="003A1917">
        <w:rPr>
          <w:kern w:val="0"/>
          <w:szCs w:val="24"/>
        </w:rPr>
        <w:t xml:space="preserve"> the </w:t>
      </w:r>
      <w:r>
        <w:rPr>
          <w:kern w:val="0"/>
          <w:szCs w:val="24"/>
        </w:rPr>
        <w:t>prevalence</w:t>
      </w:r>
      <w:r w:rsidR="00427468">
        <w:rPr>
          <w:kern w:val="0"/>
          <w:szCs w:val="24"/>
        </w:rPr>
        <w:t xml:space="preserve"> of </w:t>
      </w:r>
      <w:r>
        <w:rPr>
          <w:kern w:val="0"/>
          <w:szCs w:val="24"/>
        </w:rPr>
        <w:t>dyspeptic</w:t>
      </w:r>
      <w:r w:rsidR="005853A9">
        <w:rPr>
          <w:kern w:val="0"/>
          <w:szCs w:val="24"/>
        </w:rPr>
        <w:t xml:space="preserve"> and </w:t>
      </w:r>
      <w:r>
        <w:rPr>
          <w:kern w:val="0"/>
          <w:szCs w:val="24"/>
        </w:rPr>
        <w:t>gastroesophageal symptoms</w:t>
      </w:r>
      <w:r w:rsidR="005853A9">
        <w:rPr>
          <w:kern w:val="0"/>
          <w:szCs w:val="24"/>
        </w:rPr>
        <w:t xml:space="preserve"> and </w:t>
      </w:r>
      <w:r>
        <w:rPr>
          <w:kern w:val="0"/>
          <w:szCs w:val="24"/>
        </w:rPr>
        <w:t>peptic ulcer disease (PUD) in</w:t>
      </w:r>
      <w:r w:rsidR="003A1917">
        <w:rPr>
          <w:kern w:val="0"/>
          <w:szCs w:val="24"/>
        </w:rPr>
        <w:t xml:space="preserve"> the </w:t>
      </w:r>
      <w:r>
        <w:rPr>
          <w:kern w:val="0"/>
          <w:szCs w:val="24"/>
        </w:rPr>
        <w:t>United States</w:t>
      </w:r>
      <w:r w:rsidR="005853A9">
        <w:rPr>
          <w:kern w:val="0"/>
          <w:szCs w:val="24"/>
        </w:rPr>
        <w:t xml:space="preserve"> and </w:t>
      </w:r>
      <w:r>
        <w:rPr>
          <w:kern w:val="0"/>
          <w:szCs w:val="24"/>
        </w:rPr>
        <w:t>to identify factors affecting their prevalence. Study Design: Systematic search</w:t>
      </w:r>
      <w:r w:rsidR="00427468">
        <w:rPr>
          <w:kern w:val="0"/>
          <w:szCs w:val="24"/>
        </w:rPr>
        <w:t xml:space="preserve"> of </w:t>
      </w:r>
      <w:r w:rsidR="00D5664A">
        <w:rPr>
          <w:kern w:val="0"/>
          <w:szCs w:val="24"/>
        </w:rPr>
        <w:t>MEDLINE</w:t>
      </w:r>
      <w:r w:rsidR="005853A9">
        <w:rPr>
          <w:kern w:val="0"/>
          <w:szCs w:val="24"/>
        </w:rPr>
        <w:t xml:space="preserve"> and </w:t>
      </w:r>
      <w:r w:rsidR="00D5664A">
        <w:rPr>
          <w:kern w:val="0"/>
          <w:szCs w:val="24"/>
        </w:rPr>
        <w:t>Web</w:t>
      </w:r>
      <w:r w:rsidR="00427468">
        <w:rPr>
          <w:kern w:val="0"/>
          <w:szCs w:val="24"/>
        </w:rPr>
        <w:t xml:space="preserve"> of </w:t>
      </w:r>
      <w:r w:rsidR="00D5664A">
        <w:rPr>
          <w:kern w:val="0"/>
          <w:szCs w:val="24"/>
        </w:rPr>
        <w:t>Science</w:t>
      </w:r>
      <w:r>
        <w:rPr>
          <w:kern w:val="0"/>
          <w:szCs w:val="24"/>
        </w:rPr>
        <w:t xml:space="preserve"> through November 2010. Methods: We identified studies</w:t>
      </w:r>
      <w:r w:rsidR="00427468">
        <w:rPr>
          <w:kern w:val="0"/>
          <w:szCs w:val="24"/>
        </w:rPr>
        <w:t xml:space="preserve"> of </w:t>
      </w:r>
      <w:r>
        <w:rPr>
          <w:kern w:val="0"/>
          <w:szCs w:val="24"/>
        </w:rPr>
        <w:t>US patients</w:t>
      </w:r>
      <w:r w:rsidR="005853A9">
        <w:rPr>
          <w:kern w:val="0"/>
          <w:szCs w:val="24"/>
        </w:rPr>
        <w:t xml:space="preserve"> and </w:t>
      </w:r>
      <w:r>
        <w:rPr>
          <w:kern w:val="0"/>
          <w:szCs w:val="24"/>
        </w:rPr>
        <w:t>evaluated a general (not disease-specific) adult sample that reported</w:t>
      </w:r>
      <w:r w:rsidR="003A1917">
        <w:rPr>
          <w:kern w:val="0"/>
          <w:szCs w:val="24"/>
        </w:rPr>
        <w:t xml:space="preserve"> the </w:t>
      </w:r>
      <w:r>
        <w:rPr>
          <w:kern w:val="0"/>
          <w:szCs w:val="24"/>
        </w:rPr>
        <w:t>prevalence</w:t>
      </w:r>
      <w:r w:rsidR="00427468">
        <w:rPr>
          <w:kern w:val="0"/>
          <w:szCs w:val="24"/>
        </w:rPr>
        <w:t xml:space="preserve"> of </w:t>
      </w:r>
      <w:r>
        <w:rPr>
          <w:kern w:val="0"/>
          <w:szCs w:val="24"/>
        </w:rPr>
        <w:t>1 or more upper gastrointestinal (GI) outcomes</w:t>
      </w:r>
      <w:r w:rsidR="00427468">
        <w:rPr>
          <w:kern w:val="0"/>
          <w:szCs w:val="24"/>
        </w:rPr>
        <w:t xml:space="preserve"> of </w:t>
      </w:r>
      <w:r>
        <w:rPr>
          <w:kern w:val="0"/>
          <w:szCs w:val="24"/>
        </w:rPr>
        <w:t>interest, including dyspeptic symptoms, gastroesophageal symptoms, dyspeptic and/or gastroesophageal symptoms, or PUD. Proportions</w:t>
      </w:r>
      <w:r w:rsidR="00427468">
        <w:rPr>
          <w:kern w:val="0"/>
          <w:szCs w:val="24"/>
        </w:rPr>
        <w:t xml:space="preserve"> of </w:t>
      </w:r>
      <w:r>
        <w:rPr>
          <w:kern w:val="0"/>
          <w:szCs w:val="24"/>
        </w:rPr>
        <w:t>individuals in each study reporting each symptom were pooled to derive separate prevalence estimates. Qualitative synthesis</w:t>
      </w:r>
      <w:r w:rsidR="00427468">
        <w:rPr>
          <w:kern w:val="0"/>
          <w:szCs w:val="24"/>
        </w:rPr>
        <w:t xml:space="preserve"> of </w:t>
      </w:r>
      <w:r>
        <w:rPr>
          <w:kern w:val="0"/>
          <w:szCs w:val="24"/>
        </w:rPr>
        <w:t>data depicting multivariate relationships between covariates</w:t>
      </w:r>
      <w:r w:rsidR="005853A9">
        <w:rPr>
          <w:kern w:val="0"/>
          <w:szCs w:val="24"/>
        </w:rPr>
        <w:t xml:space="preserve"> and </w:t>
      </w:r>
      <w:r>
        <w:rPr>
          <w:kern w:val="0"/>
          <w:szCs w:val="24"/>
        </w:rPr>
        <w:t>upper GI outcomes was undertaken. Results: A total</w:t>
      </w:r>
      <w:r w:rsidR="00427468">
        <w:rPr>
          <w:kern w:val="0"/>
          <w:szCs w:val="24"/>
        </w:rPr>
        <w:t xml:space="preserve"> of </w:t>
      </w:r>
      <w:r>
        <w:rPr>
          <w:kern w:val="0"/>
          <w:szCs w:val="24"/>
        </w:rPr>
        <w:t>36 citations representing 24 studies were included: 9 studies reporting dyspeptic symptoms (n = 14,1811, 14 reporting gastroesophageal symptoms (n = 58,7011, 5 reporting dyspeptic and/or gastroesophageal symptoms (n = 103,175),</w:t>
      </w:r>
      <w:r w:rsidR="005853A9">
        <w:rPr>
          <w:kern w:val="0"/>
          <w:szCs w:val="24"/>
        </w:rPr>
        <w:t xml:space="preserve"> and </w:t>
      </w:r>
      <w:r>
        <w:rPr>
          <w:kern w:val="0"/>
          <w:szCs w:val="24"/>
        </w:rPr>
        <w:t>7 reporting PUD prevalence (n = 269,299)</w:t>
      </w:r>
      <w:r w:rsidR="00A37C1D">
        <w:rPr>
          <w:kern w:val="0"/>
          <w:szCs w:val="24"/>
        </w:rPr>
        <w:t>. The</w:t>
      </w:r>
      <w:r w:rsidR="003A1917">
        <w:rPr>
          <w:kern w:val="0"/>
          <w:szCs w:val="24"/>
        </w:rPr>
        <w:t xml:space="preserve"> </w:t>
      </w:r>
      <w:r>
        <w:rPr>
          <w:kern w:val="0"/>
          <w:szCs w:val="24"/>
        </w:rPr>
        <w:t>pooled prevalences</w:t>
      </w:r>
      <w:r w:rsidR="00427468">
        <w:rPr>
          <w:kern w:val="0"/>
          <w:szCs w:val="24"/>
        </w:rPr>
        <w:t xml:space="preserve"> of </w:t>
      </w:r>
      <w:r>
        <w:rPr>
          <w:kern w:val="0"/>
          <w:szCs w:val="24"/>
        </w:rPr>
        <w:t>dyspeptic, gastroesophageal,</w:t>
      </w:r>
      <w:r w:rsidR="005853A9">
        <w:rPr>
          <w:kern w:val="0"/>
          <w:szCs w:val="24"/>
        </w:rPr>
        <w:t xml:space="preserve"> and </w:t>
      </w:r>
      <w:r>
        <w:rPr>
          <w:kern w:val="0"/>
          <w:szCs w:val="24"/>
        </w:rPr>
        <w:t>dyspeptic and/or gastroesophageal symptoms were 16.3% (95% confidence interval [CI] 9.1%-25.1%), 24.2% (95% Cl 18.2%-30.5%),</w:t>
      </w:r>
      <w:r w:rsidR="005853A9">
        <w:rPr>
          <w:kern w:val="0"/>
          <w:szCs w:val="24"/>
        </w:rPr>
        <w:t xml:space="preserve"> and </w:t>
      </w:r>
      <w:r>
        <w:rPr>
          <w:kern w:val="0"/>
          <w:szCs w:val="24"/>
        </w:rPr>
        <w:t>35.2% (95% Cl 14.9%-58.9%)</w:t>
      </w:r>
      <w:r w:rsidR="00A37C1D">
        <w:rPr>
          <w:kern w:val="0"/>
          <w:szCs w:val="24"/>
        </w:rPr>
        <w:t>. The</w:t>
      </w:r>
      <w:r w:rsidR="003A1917">
        <w:rPr>
          <w:kern w:val="0"/>
          <w:szCs w:val="24"/>
        </w:rPr>
        <w:t xml:space="preserve"> </w:t>
      </w:r>
      <w:r>
        <w:rPr>
          <w:kern w:val="0"/>
          <w:szCs w:val="24"/>
        </w:rPr>
        <w:t>pooled prevalence for studies asking for shorter-term PUD recall was 3.3% (95% Cl 2.2%-4.6%), with lifetime PUD prevalence estimated at 13.8%(95% Cl 10.7%-17.0%)</w:t>
      </w:r>
      <w:r w:rsidR="00A37C1D">
        <w:rPr>
          <w:kern w:val="0"/>
          <w:szCs w:val="24"/>
        </w:rPr>
        <w:t>. The</w:t>
      </w:r>
      <w:r w:rsidR="003A1917">
        <w:rPr>
          <w:kern w:val="0"/>
          <w:szCs w:val="24"/>
        </w:rPr>
        <w:t xml:space="preserve"> </w:t>
      </w:r>
      <w:r>
        <w:rPr>
          <w:kern w:val="0"/>
          <w:szCs w:val="24"/>
        </w:rPr>
        <w:t>influence</w:t>
      </w:r>
      <w:r w:rsidR="00427468">
        <w:rPr>
          <w:kern w:val="0"/>
          <w:szCs w:val="24"/>
        </w:rPr>
        <w:t xml:space="preserve"> of </w:t>
      </w:r>
      <w:r>
        <w:rPr>
          <w:kern w:val="0"/>
          <w:szCs w:val="24"/>
        </w:rPr>
        <w:t>covariates evaluated as part</w:t>
      </w:r>
      <w:r w:rsidR="00427468">
        <w:rPr>
          <w:kern w:val="0"/>
          <w:szCs w:val="24"/>
        </w:rPr>
        <w:t xml:space="preserve"> of </w:t>
      </w:r>
      <w:r>
        <w:rPr>
          <w:kern w:val="0"/>
          <w:szCs w:val="24"/>
        </w:rPr>
        <w:t>multivariate analyses was often inconsistent. Conclusions: It appears that upper GI symptoms</w:t>
      </w:r>
      <w:r w:rsidR="005853A9">
        <w:rPr>
          <w:kern w:val="0"/>
          <w:szCs w:val="24"/>
        </w:rPr>
        <w:t xml:space="preserve"> and </w:t>
      </w:r>
      <w:r>
        <w:rPr>
          <w:kern w:val="0"/>
          <w:szCs w:val="24"/>
        </w:rPr>
        <w:t>disorders are common in US inhabitants. We identified patient-</w:t>
      </w:r>
      <w:r w:rsidR="005853A9">
        <w:rPr>
          <w:kern w:val="0"/>
          <w:szCs w:val="24"/>
        </w:rPr>
        <w:t xml:space="preserve"> and </w:t>
      </w:r>
      <w:r>
        <w:rPr>
          <w:kern w:val="0"/>
          <w:szCs w:val="24"/>
        </w:rPr>
        <w:t>study-level factors that should be considered when assessing upper GI symptom prevalence</w:t>
      </w:r>
      <w:r w:rsidR="005853A9">
        <w:rPr>
          <w:kern w:val="0"/>
          <w:szCs w:val="24"/>
        </w:rPr>
        <w:t xml:space="preserve"> and </w:t>
      </w:r>
      <w:r>
        <w:rPr>
          <w:kern w:val="0"/>
          <w:szCs w:val="24"/>
        </w:rPr>
        <w:t>conducting future research. (Am J Manag Care. 2071;17(11):e449-e458).</w:t>
      </w:r>
    </w:p>
    <w:p w:rsidR="00D826B3" w:rsidRDefault="00D826B3" w:rsidP="00D826B3">
      <w:pPr>
        <w:pStyle w:val="a3"/>
        <w:rPr>
          <w:kern w:val="0"/>
          <w:szCs w:val="24"/>
        </w:rPr>
      </w:pPr>
      <w:r>
        <w:rPr>
          <w:kern w:val="0"/>
          <w:szCs w:val="24"/>
        </w:rPr>
        <w:t xml:space="preserve">Keywords: Adult, Adult-Population, African-Americans, Care, Citations, Disease, Extraesophageal Reflux, Gastroesophageal-Reflux Disease, Gastrointestinal, Interest, Irritable-Bowel-Syndrome, Lifetime, Literature, Literature Review, </w:t>
      </w:r>
      <w:r w:rsidR="00D5664A">
        <w:rPr>
          <w:kern w:val="0"/>
          <w:szCs w:val="24"/>
        </w:rPr>
        <w:t>MEDLINE</w:t>
      </w:r>
      <w:r>
        <w:rPr>
          <w:kern w:val="0"/>
          <w:szCs w:val="24"/>
        </w:rPr>
        <w:t>, Methods, Outcomes, Patients, Peptic-Ulcer Disease, Prevalence, Quality</w:t>
      </w:r>
      <w:r w:rsidR="00434900">
        <w:rPr>
          <w:kern w:val="0"/>
          <w:szCs w:val="24"/>
        </w:rPr>
        <w:t>-of-</w:t>
      </w:r>
      <w:r>
        <w:rPr>
          <w:kern w:val="0"/>
          <w:szCs w:val="24"/>
        </w:rPr>
        <w:t xml:space="preserve">Life, </w:t>
      </w:r>
      <w:r>
        <w:rPr>
          <w:kern w:val="0"/>
          <w:szCs w:val="24"/>
        </w:rPr>
        <w:lastRenderedPageBreak/>
        <w:t xml:space="preserve">Research, Review, Risk-Factors, Science, Symptoms, Synthesis, Systematic, Uninvestigated Dyspepsia, United States, United-States, US, </w:t>
      </w:r>
      <w:r w:rsidR="00D5664A">
        <w:rPr>
          <w:kern w:val="0"/>
          <w:szCs w:val="24"/>
        </w:rPr>
        <w:t>Web</w:t>
      </w:r>
      <w:r w:rsidR="00427468">
        <w:rPr>
          <w:kern w:val="0"/>
          <w:szCs w:val="24"/>
        </w:rPr>
        <w:t xml:space="preserve"> of </w:t>
      </w:r>
      <w:r w:rsidR="00D5664A">
        <w:rPr>
          <w:kern w:val="0"/>
          <w:szCs w:val="24"/>
        </w:rPr>
        <w:t>Science</w:t>
      </w:r>
    </w:p>
    <w:p w:rsidR="003474F2" w:rsidRPr="001A3D2B" w:rsidRDefault="003474F2" w:rsidP="003474F2">
      <w:pPr>
        <w:pStyle w:val="1"/>
      </w:pPr>
      <w:r w:rsidRPr="001A3D2B">
        <w:br w:type="page"/>
      </w:r>
      <w:bookmarkStart w:id="287" w:name="_Toc420814405"/>
      <w:r w:rsidRPr="001A3D2B">
        <w:lastRenderedPageBreak/>
        <w:t xml:space="preserve">Title: American </w:t>
      </w:r>
      <w:bookmarkStart w:id="288" w:name="_Toc81215590"/>
      <w:r w:rsidRPr="001A3D2B">
        <w:t>Journal</w:t>
      </w:r>
      <w:r w:rsidR="00427468">
        <w:t xml:space="preserve"> of </w:t>
      </w:r>
      <w:r w:rsidRPr="001A3D2B">
        <w:t>Mathematics</w:t>
      </w:r>
      <w:bookmarkEnd w:id="287"/>
    </w:p>
    <w:p w:rsidR="003474F2" w:rsidRPr="001A3D2B" w:rsidRDefault="003474F2" w:rsidP="003474F2">
      <w:pPr>
        <w:pStyle w:val="12"/>
      </w:pPr>
      <w:r w:rsidRPr="001A3D2B">
        <w:t>Full Journal Ti</w:t>
      </w:r>
      <w:bookmarkEnd w:id="288"/>
      <w:r w:rsidRPr="001A3D2B">
        <w:t xml:space="preserve">tle: </w:t>
      </w:r>
      <w:hyperlink r:id="rId523" w:history="1">
        <w:r w:rsidRPr="001A3D2B">
          <w:rPr>
            <w:rStyle w:val="a5"/>
          </w:rPr>
          <w:t>American Journal</w:t>
        </w:r>
        <w:r w:rsidR="00427468">
          <w:rPr>
            <w:rStyle w:val="a5"/>
          </w:rPr>
          <w:t xml:space="preserve"> of </w:t>
        </w:r>
        <w:r w:rsidRPr="001A3D2B">
          <w:rPr>
            <w:rStyle w:val="a5"/>
          </w:rPr>
          <w:t>Mathematics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0002-9327</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Newcomb, S. (1881), Note on</w:t>
      </w:r>
      <w:r w:rsidR="003A1917">
        <w:t xml:space="preserve"> the </w:t>
      </w:r>
      <w:r w:rsidRPr="001A3D2B">
        <w:t>frequency</w:t>
      </w:r>
      <w:r w:rsidR="00427468">
        <w:t xml:space="preserve"> of </w:t>
      </w:r>
      <w:r w:rsidRPr="001A3D2B">
        <w:t>use</w:t>
      </w:r>
      <w:r w:rsidR="00427468">
        <w:t xml:space="preserve"> of </w:t>
      </w:r>
      <w:r w:rsidR="003A1917">
        <w:t xml:space="preserve">the </w:t>
      </w:r>
      <w:r w:rsidRPr="001A3D2B">
        <w:t xml:space="preserve">different digits in natural numbers. </w:t>
      </w:r>
      <w:r w:rsidRPr="001A3D2B">
        <w:rPr>
          <w:i/>
          <w:iCs/>
        </w:rPr>
        <w:t>American Journal</w:t>
      </w:r>
      <w:r w:rsidR="00427468">
        <w:rPr>
          <w:i/>
          <w:iCs/>
        </w:rPr>
        <w:t xml:space="preserve"> of </w:t>
      </w:r>
      <w:r w:rsidRPr="001A3D2B">
        <w:rPr>
          <w:i/>
          <w:iCs/>
        </w:rPr>
        <w:t>Mathematics</w:t>
      </w:r>
      <w:r w:rsidRPr="001A3D2B">
        <w:t xml:space="preserve">, </w:t>
      </w:r>
      <w:r w:rsidRPr="001A3D2B">
        <w:rPr>
          <w:b/>
        </w:rPr>
        <w:t>4</w:t>
      </w:r>
      <w:r w:rsidRPr="001A3D2B">
        <w:t xml:space="preserve"> (1), 39-40.</w:t>
      </w:r>
    </w:p>
    <w:p w:rsidR="003474F2" w:rsidRPr="001A3D2B" w:rsidRDefault="003474F2" w:rsidP="003474F2">
      <w:pPr>
        <w:pStyle w:val="a3"/>
      </w:pPr>
      <w:r w:rsidRPr="001A3D2B">
        <w:t xml:space="preserve">Full Text: </w:t>
      </w:r>
      <w:hyperlink r:id="rId524" w:history="1">
        <w:r w:rsidRPr="001A3D2B">
          <w:rPr>
            <w:rStyle w:val="a5"/>
          </w:rPr>
          <w:t>1981\Ame J Mat4, 39.pdf</w:t>
        </w:r>
      </w:hyperlink>
    </w:p>
    <w:p w:rsidR="006E1110" w:rsidRPr="001A3D2B" w:rsidRDefault="006E1110" w:rsidP="006E1110">
      <w:pPr>
        <w:pStyle w:val="1"/>
      </w:pPr>
      <w:r w:rsidRPr="001A3D2B">
        <w:br w:type="page"/>
      </w:r>
      <w:bookmarkStart w:id="289" w:name="_Toc420814406"/>
      <w:r w:rsidRPr="001A3D2B">
        <w:lastRenderedPageBreak/>
        <w:t xml:space="preserve">Title: </w:t>
      </w:r>
      <w:r w:rsidRPr="006E1110">
        <w:rPr>
          <w:iCs w:val="0"/>
        </w:rPr>
        <w:t>American Journal</w:t>
      </w:r>
      <w:r w:rsidR="00427468">
        <w:rPr>
          <w:iCs w:val="0"/>
        </w:rPr>
        <w:t xml:space="preserve"> of </w:t>
      </w:r>
      <w:r w:rsidRPr="006E1110">
        <w:rPr>
          <w:iCs w:val="0"/>
        </w:rPr>
        <w:t>Medical Genetics Part B-Neuropsychiatric Genetics</w:t>
      </w:r>
      <w:bookmarkEnd w:id="289"/>
    </w:p>
    <w:p w:rsidR="006E1110" w:rsidRPr="001A3D2B" w:rsidRDefault="006E1110" w:rsidP="006E1110">
      <w:pPr>
        <w:pStyle w:val="12"/>
      </w:pPr>
      <w:r w:rsidRPr="001A3D2B">
        <w:t xml:space="preserve">Full Journal Title: </w:t>
      </w:r>
      <w:r w:rsidRPr="006E1110">
        <w:rPr>
          <w:iCs/>
          <w:kern w:val="0"/>
        </w:rPr>
        <w:t>American Journal</w:t>
      </w:r>
      <w:r w:rsidR="00427468">
        <w:rPr>
          <w:iCs/>
          <w:kern w:val="0"/>
        </w:rPr>
        <w:t xml:space="preserve"> of </w:t>
      </w:r>
      <w:r w:rsidRPr="006E1110">
        <w:rPr>
          <w:iCs/>
          <w:kern w:val="0"/>
        </w:rPr>
        <w:t>Medical Genetics Part B-Neuropsychiatric Genetics</w:t>
      </w:r>
    </w:p>
    <w:p w:rsidR="006E1110" w:rsidRPr="001A3D2B" w:rsidRDefault="006E1110" w:rsidP="006E1110">
      <w:pPr>
        <w:pStyle w:val="12"/>
      </w:pPr>
      <w:r w:rsidRPr="001A3D2B">
        <w:t xml:space="preserve">ISO Abbreviated Title: </w:t>
      </w:r>
    </w:p>
    <w:p w:rsidR="006E1110" w:rsidRPr="001A3D2B" w:rsidRDefault="006E1110" w:rsidP="006E1110">
      <w:pPr>
        <w:pStyle w:val="12"/>
      </w:pPr>
      <w:r w:rsidRPr="001A3D2B">
        <w:t xml:space="preserve">JCR Abbreviated Title: </w:t>
      </w:r>
    </w:p>
    <w:p w:rsidR="006E1110" w:rsidRPr="001A3D2B" w:rsidRDefault="006E1110" w:rsidP="006E1110">
      <w:pPr>
        <w:pStyle w:val="12"/>
      </w:pPr>
      <w:r w:rsidRPr="001A3D2B">
        <w:t xml:space="preserve">ISSN: </w:t>
      </w:r>
    </w:p>
    <w:p w:rsidR="006E1110" w:rsidRPr="001A3D2B" w:rsidRDefault="006E1110" w:rsidP="006E1110">
      <w:pPr>
        <w:pStyle w:val="12"/>
      </w:pPr>
      <w:r w:rsidRPr="001A3D2B">
        <w:t xml:space="preserve">Issues/Year: </w:t>
      </w:r>
    </w:p>
    <w:p w:rsidR="006E1110" w:rsidRPr="001A3D2B" w:rsidRDefault="006E1110" w:rsidP="006E1110">
      <w:pPr>
        <w:pStyle w:val="12"/>
      </w:pPr>
      <w:r w:rsidRPr="001A3D2B">
        <w:t xml:space="preserve">Journal Country/Territory: </w:t>
      </w:r>
    </w:p>
    <w:p w:rsidR="006E1110" w:rsidRPr="001A3D2B" w:rsidRDefault="006E1110" w:rsidP="006E1110">
      <w:pPr>
        <w:pStyle w:val="12"/>
      </w:pPr>
      <w:r w:rsidRPr="001A3D2B">
        <w:t xml:space="preserve">Language: </w:t>
      </w:r>
    </w:p>
    <w:p w:rsidR="006E1110" w:rsidRPr="001A3D2B" w:rsidRDefault="006E1110" w:rsidP="006E1110">
      <w:pPr>
        <w:pStyle w:val="12"/>
      </w:pPr>
      <w:r w:rsidRPr="001A3D2B">
        <w:t xml:space="preserve">Publisher: </w:t>
      </w:r>
    </w:p>
    <w:p w:rsidR="006E1110" w:rsidRPr="001A3D2B" w:rsidRDefault="006E1110" w:rsidP="006E1110">
      <w:pPr>
        <w:pStyle w:val="12"/>
      </w:pPr>
      <w:r w:rsidRPr="001A3D2B">
        <w:t xml:space="preserve">Publisher Address: </w:t>
      </w:r>
    </w:p>
    <w:p w:rsidR="006E1110" w:rsidRPr="001A3D2B" w:rsidRDefault="006E1110" w:rsidP="006E1110">
      <w:pPr>
        <w:pStyle w:val="12"/>
      </w:pPr>
      <w:r w:rsidRPr="001A3D2B">
        <w:t xml:space="preserve">Subject Categories: </w:t>
      </w:r>
    </w:p>
    <w:p w:rsidR="006E1110" w:rsidRPr="001A3D2B" w:rsidRDefault="006E1110" w:rsidP="006E1110">
      <w:pPr>
        <w:pStyle w:val="12"/>
      </w:pPr>
      <w:r w:rsidRPr="001A3D2B">
        <w:t xml:space="preserve">: Impact Factor </w:t>
      </w:r>
    </w:p>
    <w:p w:rsidR="006E1110" w:rsidRDefault="006E1110" w:rsidP="006E1110">
      <w:pPr>
        <w:pStyle w:val="a3"/>
        <w:rPr>
          <w:kern w:val="0"/>
        </w:rPr>
      </w:pPr>
      <w:r>
        <w:rPr>
          <w:rFonts w:hint="eastAsia"/>
          <w:kern w:val="0"/>
        </w:rPr>
        <w:t xml:space="preserve">? </w:t>
      </w:r>
      <w:r>
        <w:rPr>
          <w:kern w:val="0"/>
        </w:rPr>
        <w:t>Zwijnenburg, P.J.G., Meijers-Heijboer, H.</w:t>
      </w:r>
      <w:r w:rsidR="005853A9">
        <w:rPr>
          <w:kern w:val="0"/>
        </w:rPr>
        <w:t xml:space="preserve"> and </w:t>
      </w:r>
      <w:r>
        <w:rPr>
          <w:kern w:val="0"/>
        </w:rPr>
        <w:t>Boomsma, D.I. (2010), Identical but not</w:t>
      </w:r>
      <w:r w:rsidR="003A1917">
        <w:rPr>
          <w:kern w:val="0"/>
        </w:rPr>
        <w:t xml:space="preserve"> the </w:t>
      </w:r>
      <w:r>
        <w:rPr>
          <w:kern w:val="0"/>
        </w:rPr>
        <w:t>same:</w:t>
      </w:r>
      <w:r w:rsidR="003A1917">
        <w:rPr>
          <w:kern w:val="0"/>
        </w:rPr>
        <w:t xml:space="preserve"> the </w:t>
      </w:r>
      <w:r>
        <w:rPr>
          <w:kern w:val="0"/>
        </w:rPr>
        <w:t>value</w:t>
      </w:r>
      <w:r w:rsidR="00427468">
        <w:rPr>
          <w:kern w:val="0"/>
        </w:rPr>
        <w:t xml:space="preserve"> of </w:t>
      </w:r>
      <w:r>
        <w:rPr>
          <w:kern w:val="0"/>
        </w:rPr>
        <w:t xml:space="preserve">discordant monozygotic twins in genetic research. </w:t>
      </w:r>
      <w:r w:rsidRPr="006E1110">
        <w:rPr>
          <w:i/>
          <w:iCs/>
          <w:kern w:val="0"/>
        </w:rPr>
        <w:t>American Journal</w:t>
      </w:r>
      <w:r w:rsidR="00427468">
        <w:rPr>
          <w:i/>
          <w:iCs/>
          <w:kern w:val="0"/>
        </w:rPr>
        <w:t xml:space="preserve"> of </w:t>
      </w:r>
      <w:r w:rsidRPr="006E1110">
        <w:rPr>
          <w:i/>
          <w:iCs/>
          <w:kern w:val="0"/>
        </w:rPr>
        <w:t>Medical Genetics Part B-Neuropsychiatric Genetics</w:t>
      </w:r>
      <w:r>
        <w:rPr>
          <w:kern w:val="0"/>
        </w:rPr>
        <w:t xml:space="preserve">, </w:t>
      </w:r>
      <w:r>
        <w:rPr>
          <w:b/>
          <w:bCs/>
          <w:kern w:val="0"/>
        </w:rPr>
        <w:t>153B</w:t>
      </w:r>
      <w:r>
        <w:rPr>
          <w:kern w:val="0"/>
        </w:rPr>
        <w:t xml:space="preserve"> (6), 1134-1149.</w:t>
      </w:r>
    </w:p>
    <w:p w:rsidR="006E1110" w:rsidRDefault="006E1110" w:rsidP="006E1110">
      <w:pPr>
        <w:pStyle w:val="a3"/>
        <w:rPr>
          <w:kern w:val="0"/>
        </w:rPr>
      </w:pPr>
      <w:r>
        <w:rPr>
          <w:rFonts w:hint="eastAsia"/>
          <w:kern w:val="0"/>
        </w:rPr>
        <w:t xml:space="preserve">Full Text: </w:t>
      </w:r>
      <w:hyperlink r:id="rId525" w:history="1">
        <w:r w:rsidRPr="006E1110">
          <w:rPr>
            <w:rStyle w:val="a5"/>
            <w:kern w:val="0"/>
          </w:rPr>
          <w:t>2010\Ame J Med Gen Par B-Neu Gen153B, 1134.pdf</w:t>
        </w:r>
      </w:hyperlink>
    </w:p>
    <w:p w:rsidR="006E1110" w:rsidRDefault="006E1110" w:rsidP="006E1110">
      <w:pPr>
        <w:pStyle w:val="a3"/>
        <w:rPr>
          <w:kern w:val="0"/>
        </w:rPr>
      </w:pPr>
      <w:r>
        <w:rPr>
          <w:kern w:val="0"/>
        </w:rPr>
        <w:t>Abstract: Monozygotic (MZ) twins show remarkable resemblance in many aspects</w:t>
      </w:r>
      <w:r w:rsidR="00427468">
        <w:rPr>
          <w:kern w:val="0"/>
        </w:rPr>
        <w:t xml:space="preserve"> of </w:t>
      </w:r>
      <w:r>
        <w:rPr>
          <w:kern w:val="0"/>
        </w:rPr>
        <w:t>behavior, health,</w:t>
      </w:r>
      <w:r w:rsidR="005853A9">
        <w:rPr>
          <w:kern w:val="0"/>
        </w:rPr>
        <w:t xml:space="preserve"> and </w:t>
      </w:r>
      <w:r>
        <w:rPr>
          <w:kern w:val="0"/>
        </w:rPr>
        <w:t xml:space="preserve">disease. Until recently, MZ twins were usually called </w:t>
      </w:r>
      <w:r w:rsidR="00B5188C">
        <w:rPr>
          <w:kern w:val="0"/>
        </w:rPr>
        <w:t>“</w:t>
      </w:r>
      <w:r>
        <w:rPr>
          <w:kern w:val="0"/>
        </w:rPr>
        <w:t>genetically identical</w:t>
      </w:r>
      <w:r w:rsidR="00B5188C">
        <w:rPr>
          <w:kern w:val="0"/>
        </w:rPr>
        <w:t>”</w:t>
      </w:r>
      <w:r>
        <w:rPr>
          <w:kern w:val="0"/>
        </w:rPr>
        <w:t>; however, evidence for genetic</w:t>
      </w:r>
      <w:r w:rsidR="005853A9">
        <w:rPr>
          <w:kern w:val="0"/>
        </w:rPr>
        <w:t xml:space="preserve"> and </w:t>
      </w:r>
      <w:r>
        <w:rPr>
          <w:kern w:val="0"/>
        </w:rPr>
        <w:t>epigenetic differences within rare MZ twin pairs has accumulated. Here, we summarize</w:t>
      </w:r>
      <w:r w:rsidR="003A1917">
        <w:rPr>
          <w:kern w:val="0"/>
        </w:rPr>
        <w:t xml:space="preserve"> the </w:t>
      </w:r>
      <w:r>
        <w:rPr>
          <w:kern w:val="0"/>
        </w:rPr>
        <w:t>literature on MZ twins discordant for Mendelian inherited disorders</w:t>
      </w:r>
      <w:r w:rsidR="005853A9">
        <w:rPr>
          <w:kern w:val="0"/>
        </w:rPr>
        <w:t xml:space="preserve"> and </w:t>
      </w:r>
      <w:r>
        <w:rPr>
          <w:kern w:val="0"/>
        </w:rPr>
        <w:t xml:space="preserve">chromosomal abnormalities. A systematic literature search for English articles on discordant MZ twin pairs was performed in </w:t>
      </w:r>
      <w:r w:rsidR="00D5664A">
        <w:rPr>
          <w:kern w:val="0"/>
        </w:rPr>
        <w:t>Web</w:t>
      </w:r>
      <w:r w:rsidR="00427468">
        <w:rPr>
          <w:kern w:val="0"/>
        </w:rPr>
        <w:t xml:space="preserve"> of </w:t>
      </w:r>
      <w:r w:rsidR="00D5664A">
        <w:rPr>
          <w:kern w:val="0"/>
        </w:rPr>
        <w:t>Science</w:t>
      </w:r>
      <w:r w:rsidR="005853A9">
        <w:rPr>
          <w:kern w:val="0"/>
        </w:rPr>
        <w:t xml:space="preserve"> and </w:t>
      </w:r>
      <w:r w:rsidR="002C12F0">
        <w:rPr>
          <w:kern w:val="0"/>
        </w:rPr>
        <w:t>PUBMED</w:t>
      </w:r>
      <w:r>
        <w:rPr>
          <w:kern w:val="0"/>
        </w:rPr>
        <w:t>. A total number</w:t>
      </w:r>
      <w:r w:rsidR="00427468">
        <w:rPr>
          <w:kern w:val="0"/>
        </w:rPr>
        <w:t xml:space="preserve"> of </w:t>
      </w:r>
      <w:r>
        <w:rPr>
          <w:kern w:val="0"/>
        </w:rPr>
        <w:t>2,016 publications were retrieved</w:t>
      </w:r>
      <w:r w:rsidR="005853A9">
        <w:rPr>
          <w:kern w:val="0"/>
        </w:rPr>
        <w:t xml:space="preserve"> and </w:t>
      </w:r>
      <w:r>
        <w:rPr>
          <w:kern w:val="0"/>
        </w:rPr>
        <w:t>reviewed</w:t>
      </w:r>
      <w:r w:rsidR="005853A9">
        <w:rPr>
          <w:kern w:val="0"/>
        </w:rPr>
        <w:t xml:space="preserve"> and </w:t>
      </w:r>
      <w:r>
        <w:rPr>
          <w:kern w:val="0"/>
        </w:rPr>
        <w:t>439 reports were retained. Discordant MZ twin pairs are informative in respect to variability</w:t>
      </w:r>
      <w:r w:rsidR="00427468">
        <w:rPr>
          <w:kern w:val="0"/>
        </w:rPr>
        <w:t xml:space="preserve"> of </w:t>
      </w:r>
      <w:r>
        <w:rPr>
          <w:kern w:val="0"/>
        </w:rPr>
        <w:t>phenotypic expression, pathogenetic mechanisms, epigenetics,</w:t>
      </w:r>
      <w:r w:rsidR="005853A9">
        <w:rPr>
          <w:kern w:val="0"/>
        </w:rPr>
        <w:t xml:space="preserve"> and </w:t>
      </w:r>
      <w:r>
        <w:rPr>
          <w:kern w:val="0"/>
        </w:rPr>
        <w:t>post-zygotic mutagenesis</w:t>
      </w:r>
      <w:r w:rsidR="005853A9">
        <w:rPr>
          <w:kern w:val="0"/>
        </w:rPr>
        <w:t xml:space="preserve"> and </w:t>
      </w:r>
      <w:r>
        <w:rPr>
          <w:kern w:val="0"/>
        </w:rPr>
        <w:t>may serve as a model for research on genetic defects</w:t>
      </w:r>
      <w:r w:rsidR="00A37C1D">
        <w:rPr>
          <w:kern w:val="0"/>
        </w:rPr>
        <w:t>. The</w:t>
      </w:r>
      <w:r w:rsidR="003A1917">
        <w:rPr>
          <w:kern w:val="0"/>
        </w:rPr>
        <w:t xml:space="preserve"> </w:t>
      </w:r>
      <w:r>
        <w:rPr>
          <w:kern w:val="0"/>
        </w:rPr>
        <w:t>analysis</w:t>
      </w:r>
      <w:r w:rsidR="00427468">
        <w:rPr>
          <w:kern w:val="0"/>
        </w:rPr>
        <w:t xml:space="preserve"> of </w:t>
      </w:r>
      <w:r>
        <w:rPr>
          <w:kern w:val="0"/>
        </w:rPr>
        <w:t>single discordant MZ twin pairs may represent an elegant approach to identify genes in inherited disorders. (C) 2010 Wiley-Liss, Inc.</w:t>
      </w:r>
    </w:p>
    <w:p w:rsidR="006E1110" w:rsidRDefault="006E1110" w:rsidP="006E1110">
      <w:pPr>
        <w:pStyle w:val="a3"/>
        <w:rPr>
          <w:kern w:val="0"/>
        </w:rPr>
      </w:pPr>
      <w:r>
        <w:rPr>
          <w:kern w:val="0"/>
        </w:rPr>
        <w:t xml:space="preserve">Keywords: Analysis, Chromosome Disorders, Discordant, Disease, Duanes Retraction Syndrome, Duchenne Muscular-Dystrophy, Epigenetics, Genetic, Genetic Diseases, Hereditary Optic Neuropathy, Inborn, Literature, Mccune-Albright Syndrome, Model, Monozygotic, Of-the-Literature, Publications, </w:t>
      </w:r>
      <w:r w:rsidR="002C12F0">
        <w:rPr>
          <w:kern w:val="0"/>
        </w:rPr>
        <w:t>PUBMED</w:t>
      </w:r>
      <w:r>
        <w:rPr>
          <w:kern w:val="0"/>
        </w:rPr>
        <w:t xml:space="preserve">, Research, Russell-Silver Syndrome, Science, Systematic, Systemic-Lupus-Erythematosus, Twin Studies, </w:t>
      </w:r>
      <w:r>
        <w:rPr>
          <w:kern w:val="0"/>
        </w:rPr>
        <w:lastRenderedPageBreak/>
        <w:t xml:space="preserve">Twins, Ullrich-Turner-Syndrome, Variability, </w:t>
      </w:r>
      <w:r w:rsidR="00D5664A">
        <w:rPr>
          <w:kern w:val="0"/>
        </w:rPr>
        <w:t>Web</w:t>
      </w:r>
      <w:r w:rsidR="00427468">
        <w:rPr>
          <w:kern w:val="0"/>
        </w:rPr>
        <w:t xml:space="preserve"> of </w:t>
      </w:r>
      <w:r w:rsidR="00D5664A">
        <w:rPr>
          <w:kern w:val="0"/>
        </w:rPr>
        <w:t>Science</w:t>
      </w:r>
      <w:r>
        <w:rPr>
          <w:kern w:val="0"/>
        </w:rPr>
        <w:t>, Wiedemann-Beckwith Syndrome, X-Chromosome Inactivation</w:t>
      </w:r>
    </w:p>
    <w:p w:rsidR="001A6521" w:rsidRPr="001A3D2B" w:rsidRDefault="001A6521" w:rsidP="001A6521">
      <w:pPr>
        <w:pStyle w:val="1"/>
      </w:pPr>
      <w:r w:rsidRPr="001A3D2B">
        <w:br w:type="page"/>
      </w:r>
      <w:bookmarkStart w:id="290" w:name="_Toc420814407"/>
      <w:r w:rsidRPr="001A3D2B">
        <w:lastRenderedPageBreak/>
        <w:t xml:space="preserve">Title: </w:t>
      </w:r>
      <w:r w:rsidRPr="001A6521">
        <w:t>American Journal of Medical Quality</w:t>
      </w:r>
      <w:bookmarkEnd w:id="290"/>
    </w:p>
    <w:p w:rsidR="001A6521" w:rsidRPr="001A3D2B" w:rsidRDefault="001A6521" w:rsidP="001A6521">
      <w:pPr>
        <w:pStyle w:val="12"/>
      </w:pPr>
      <w:r w:rsidRPr="001A3D2B">
        <w:t xml:space="preserve">Full Journal Title: </w:t>
      </w:r>
      <w:r w:rsidRPr="001A6521">
        <w:rPr>
          <w:iCs/>
          <w:kern w:val="0"/>
        </w:rPr>
        <w:t>American Journal of Medical Quality</w:t>
      </w:r>
    </w:p>
    <w:p w:rsidR="001A6521" w:rsidRPr="001A3D2B" w:rsidRDefault="001A6521" w:rsidP="001A6521">
      <w:pPr>
        <w:pStyle w:val="12"/>
      </w:pPr>
      <w:r w:rsidRPr="001A3D2B">
        <w:t xml:space="preserve">ISO Abbreviated Title: </w:t>
      </w:r>
    </w:p>
    <w:p w:rsidR="001A6521" w:rsidRPr="001A3D2B" w:rsidRDefault="001A6521" w:rsidP="001A6521">
      <w:pPr>
        <w:pStyle w:val="12"/>
      </w:pPr>
      <w:r w:rsidRPr="001A3D2B">
        <w:t xml:space="preserve">JCR Abbreviated Title: </w:t>
      </w:r>
    </w:p>
    <w:p w:rsidR="001A6521" w:rsidRPr="001A3D2B" w:rsidRDefault="001A6521" w:rsidP="001A6521">
      <w:pPr>
        <w:pStyle w:val="12"/>
      </w:pPr>
      <w:r w:rsidRPr="001A3D2B">
        <w:t xml:space="preserve">ISSN: </w:t>
      </w:r>
    </w:p>
    <w:p w:rsidR="001A6521" w:rsidRPr="001A3D2B" w:rsidRDefault="001A6521" w:rsidP="001A6521">
      <w:pPr>
        <w:pStyle w:val="12"/>
      </w:pPr>
      <w:r w:rsidRPr="001A3D2B">
        <w:t xml:space="preserve">Issues/Year: </w:t>
      </w:r>
    </w:p>
    <w:p w:rsidR="001A6521" w:rsidRPr="001A3D2B" w:rsidRDefault="001A6521" w:rsidP="001A6521">
      <w:pPr>
        <w:pStyle w:val="12"/>
      </w:pPr>
      <w:r w:rsidRPr="001A3D2B">
        <w:t xml:space="preserve">Journal Country/Territory: </w:t>
      </w:r>
    </w:p>
    <w:p w:rsidR="001A6521" w:rsidRPr="001A3D2B" w:rsidRDefault="001A6521" w:rsidP="001A6521">
      <w:pPr>
        <w:pStyle w:val="12"/>
      </w:pPr>
      <w:r w:rsidRPr="001A3D2B">
        <w:t xml:space="preserve">Language: </w:t>
      </w:r>
    </w:p>
    <w:p w:rsidR="001A6521" w:rsidRPr="001A3D2B" w:rsidRDefault="001A6521" w:rsidP="001A6521">
      <w:pPr>
        <w:pStyle w:val="12"/>
      </w:pPr>
      <w:r w:rsidRPr="001A3D2B">
        <w:t xml:space="preserve">Publisher: </w:t>
      </w:r>
    </w:p>
    <w:p w:rsidR="001A6521" w:rsidRPr="001A3D2B" w:rsidRDefault="001A6521" w:rsidP="001A6521">
      <w:pPr>
        <w:pStyle w:val="12"/>
      </w:pPr>
      <w:r w:rsidRPr="001A3D2B">
        <w:t xml:space="preserve">Publisher Address: </w:t>
      </w:r>
    </w:p>
    <w:p w:rsidR="001A6521" w:rsidRPr="001A3D2B" w:rsidRDefault="001A6521" w:rsidP="001A6521">
      <w:pPr>
        <w:pStyle w:val="12"/>
      </w:pPr>
      <w:r w:rsidRPr="001A3D2B">
        <w:t xml:space="preserve">Subject Categories: </w:t>
      </w:r>
    </w:p>
    <w:p w:rsidR="001A6521" w:rsidRPr="001A3D2B" w:rsidRDefault="001A6521" w:rsidP="001A6521">
      <w:pPr>
        <w:pStyle w:val="12"/>
      </w:pPr>
      <w:r w:rsidRPr="001A3D2B">
        <w:t xml:space="preserve">: Impact Factor </w:t>
      </w:r>
    </w:p>
    <w:p w:rsidR="001A6521" w:rsidRDefault="001A6521" w:rsidP="001A6521">
      <w:pPr>
        <w:pStyle w:val="a3"/>
        <w:rPr>
          <w:kern w:val="0"/>
        </w:rPr>
      </w:pPr>
      <w:r>
        <w:rPr>
          <w:rFonts w:hint="eastAsia"/>
          <w:kern w:val="0"/>
        </w:rPr>
        <w:t xml:space="preserve">? </w:t>
      </w:r>
      <w:r>
        <w:rPr>
          <w:kern w:val="0"/>
        </w:rPr>
        <w:t xml:space="preserve">Sun, G.H., MacEachern, M.P., Perla, R.J., Gaines, J.M., Davis, M.M. and Shrank, W.H. (2014), Health care quality improvement publication trends. </w:t>
      </w:r>
      <w:r w:rsidRPr="001A6521">
        <w:rPr>
          <w:i/>
          <w:iCs/>
          <w:kern w:val="0"/>
        </w:rPr>
        <w:t>American Journal of Medical Quality</w:t>
      </w:r>
      <w:r>
        <w:rPr>
          <w:kern w:val="0"/>
        </w:rPr>
        <w:t xml:space="preserve">, </w:t>
      </w:r>
      <w:r>
        <w:rPr>
          <w:b/>
          <w:bCs/>
          <w:kern w:val="0"/>
        </w:rPr>
        <w:t>29</w:t>
      </w:r>
      <w:r>
        <w:rPr>
          <w:kern w:val="0"/>
        </w:rPr>
        <w:t xml:space="preserve"> (5), 403-407.</w:t>
      </w:r>
    </w:p>
    <w:p w:rsidR="001A6521" w:rsidRPr="00CA4A3D" w:rsidRDefault="001A6521" w:rsidP="001A6521">
      <w:pPr>
        <w:pStyle w:val="a3"/>
        <w:rPr>
          <w:kern w:val="0"/>
        </w:rPr>
      </w:pPr>
      <w:r>
        <w:rPr>
          <w:rFonts w:hint="eastAsia"/>
          <w:kern w:val="0"/>
        </w:rPr>
        <w:t>Full Text:</w:t>
      </w:r>
      <w:r w:rsidRPr="00CA4A3D">
        <w:rPr>
          <w:iCs/>
          <w:kern w:val="0"/>
        </w:rPr>
        <w:t xml:space="preserve"> </w:t>
      </w:r>
      <w:hyperlink r:id="rId526" w:history="1">
        <w:r w:rsidRPr="001A6521">
          <w:rPr>
            <w:rStyle w:val="a5"/>
            <w:iCs/>
            <w:kern w:val="0"/>
          </w:rPr>
          <w:t>2014\Ame J Med Qua29, 403.pdf</w:t>
        </w:r>
      </w:hyperlink>
    </w:p>
    <w:p w:rsidR="001A6521" w:rsidRDefault="001A6521" w:rsidP="001A6521">
      <w:pPr>
        <w:pStyle w:val="a3"/>
        <w:rPr>
          <w:kern w:val="0"/>
        </w:rPr>
      </w:pPr>
      <w:r>
        <w:rPr>
          <w:kern w:val="0"/>
        </w:rPr>
        <w:t>Abstract: To analyze the extent of academic interest in quality improvement (QI) initiatives in medical practice, annual publication trends for the most well-known QI methodologies being used in health care settings were analyzed. A total of 10 key medical- and business-oriented library databases were examined: PubMed, Ovid MEDLINE, EMBASE, CINAHL, PsycINFO, ISI Web of Science, Scopus, the Cochrane Central Register of Controlled Trials, ABI/INFORM, and Business Source Complete. A total of 13 057 articles were identified that discuss at least 1 of 10 well-known QI concepts used in health care contexts, 8645 (66.2%) of which were classified as original research. “Total quality management” was the only methodology to demonstrate a significant decline in publication over time. “Continuous quality improvement” was the most common topic of study across all publication years, whereas articles discussing Lean methodology demonstrated the largest growth in publication volume over the past 2 decades. Health care QI publication volume increased substantially beginning in 1991.</w:t>
      </w:r>
    </w:p>
    <w:p w:rsidR="001A6521" w:rsidRDefault="001A6521" w:rsidP="001A6521">
      <w:pPr>
        <w:pStyle w:val="a3"/>
        <w:rPr>
          <w:kern w:val="0"/>
        </w:rPr>
      </w:pPr>
      <w:r>
        <w:rPr>
          <w:kern w:val="0"/>
        </w:rPr>
        <w:t>Keywords: Articles, Bibliometrics, Business, Care, Databases, Embase, Growth, Health, Health Care, Improvement, ISI, ISI Web Of Science, Medical, Medical Practice, Medicare, Medline, Methodologies, Methodology, Practice, Psycinfo, Publication, Publication Trends, Pubmed, QI, Quality, Quality Assurance, Quality Improvement, Quality Of Health Care, Research, Safety, Science, Scopus, Topic, Trends, Volume, Web Of Science</w:t>
      </w:r>
    </w:p>
    <w:p w:rsidR="003474F2" w:rsidRPr="001A3D2B" w:rsidRDefault="003474F2" w:rsidP="003474F2">
      <w:pPr>
        <w:pStyle w:val="1"/>
      </w:pPr>
      <w:r w:rsidRPr="001A3D2B">
        <w:br w:type="page"/>
      </w:r>
      <w:bookmarkStart w:id="291" w:name="_Toc420814408"/>
      <w:r w:rsidRPr="001A3D2B">
        <w:lastRenderedPageBreak/>
        <w:t xml:space="preserve">Title: American </w:t>
      </w:r>
      <w:bookmarkStart w:id="292" w:name="_Toc229296595"/>
      <w:r w:rsidRPr="001A3D2B">
        <w:t>Journal</w:t>
      </w:r>
      <w:r w:rsidR="00427468">
        <w:t xml:space="preserve"> of </w:t>
      </w:r>
      <w:r w:rsidR="003A1917">
        <w:t xml:space="preserve">the </w:t>
      </w:r>
      <w:r w:rsidRPr="001A3D2B">
        <w:t>Medical Sciences</w:t>
      </w:r>
      <w:bookmarkEnd w:id="291"/>
    </w:p>
    <w:p w:rsidR="003474F2" w:rsidRPr="001A3D2B" w:rsidRDefault="003474F2" w:rsidP="003474F2">
      <w:pPr>
        <w:pStyle w:val="12"/>
      </w:pPr>
      <w:r w:rsidRPr="001A3D2B">
        <w:t>Full Journal Ti</w:t>
      </w:r>
      <w:bookmarkEnd w:id="292"/>
      <w:r w:rsidRPr="001A3D2B">
        <w:t>tle: American Journal</w:t>
      </w:r>
      <w:r w:rsidR="00427468">
        <w:t xml:space="preserve"> of </w:t>
      </w:r>
      <w:r w:rsidR="003A1917">
        <w:t xml:space="preserve">the </w:t>
      </w:r>
      <w:r w:rsidRPr="001A3D2B">
        <w:t>Medical Sciences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F14A6C" w:rsidRDefault="00F14A6C" w:rsidP="00F14A6C">
      <w:pPr>
        <w:pStyle w:val="a3"/>
        <w:rPr>
          <w:kern w:val="0"/>
        </w:rPr>
      </w:pPr>
      <w:r>
        <w:rPr>
          <w:rFonts w:hint="eastAsia"/>
          <w:kern w:val="0"/>
        </w:rPr>
        <w:t xml:space="preserve">? </w:t>
      </w:r>
      <w:r>
        <w:rPr>
          <w:kern w:val="0"/>
        </w:rPr>
        <w:t>Falagas, M.E.</w:t>
      </w:r>
      <w:r w:rsidR="005853A9">
        <w:rPr>
          <w:kern w:val="0"/>
        </w:rPr>
        <w:t xml:space="preserve"> and </w:t>
      </w:r>
      <w:r>
        <w:rPr>
          <w:kern w:val="0"/>
        </w:rPr>
        <w:t>Bliziotis, I.A. (2007), Albendazole for</w:t>
      </w:r>
      <w:r w:rsidR="003A1917">
        <w:rPr>
          <w:kern w:val="0"/>
        </w:rPr>
        <w:t xml:space="preserve"> the </w:t>
      </w:r>
      <w:r>
        <w:rPr>
          <w:kern w:val="0"/>
        </w:rPr>
        <w:t>treatment</w:t>
      </w:r>
      <w:r w:rsidR="00427468">
        <w:rPr>
          <w:kern w:val="0"/>
        </w:rPr>
        <w:t xml:space="preserve"> of </w:t>
      </w:r>
      <w:r>
        <w:rPr>
          <w:kern w:val="0"/>
        </w:rPr>
        <w:t>human echinococcosis: A review</w:t>
      </w:r>
      <w:r w:rsidR="00427468">
        <w:rPr>
          <w:kern w:val="0"/>
        </w:rPr>
        <w:t xml:space="preserve"> of </w:t>
      </w:r>
      <w:r>
        <w:rPr>
          <w:kern w:val="0"/>
        </w:rPr>
        <w:t xml:space="preserve">comparative clinical trials. </w:t>
      </w:r>
      <w:r>
        <w:rPr>
          <w:i/>
          <w:iCs/>
          <w:kern w:val="0"/>
        </w:rPr>
        <w:t>American Journal</w:t>
      </w:r>
      <w:r w:rsidR="00427468">
        <w:rPr>
          <w:i/>
          <w:iCs/>
          <w:kern w:val="0"/>
        </w:rPr>
        <w:t xml:space="preserve"> of </w:t>
      </w:r>
      <w:r w:rsidR="003A1917">
        <w:rPr>
          <w:i/>
          <w:iCs/>
          <w:kern w:val="0"/>
        </w:rPr>
        <w:t xml:space="preserve">the </w:t>
      </w:r>
      <w:r>
        <w:rPr>
          <w:i/>
          <w:iCs/>
          <w:kern w:val="0"/>
        </w:rPr>
        <w:t>Medical Sciences</w:t>
      </w:r>
      <w:r>
        <w:rPr>
          <w:kern w:val="0"/>
        </w:rPr>
        <w:t xml:space="preserve">, </w:t>
      </w:r>
      <w:r>
        <w:rPr>
          <w:b/>
          <w:bCs/>
          <w:kern w:val="0"/>
        </w:rPr>
        <w:t>334</w:t>
      </w:r>
      <w:r>
        <w:rPr>
          <w:kern w:val="0"/>
        </w:rPr>
        <w:t xml:space="preserve"> (3), 171-179.</w:t>
      </w:r>
    </w:p>
    <w:p w:rsidR="00F14A6C" w:rsidRPr="00CA4A3D" w:rsidRDefault="00F14A6C" w:rsidP="00F14A6C">
      <w:pPr>
        <w:pStyle w:val="a3"/>
        <w:rPr>
          <w:kern w:val="0"/>
          <w:szCs w:val="24"/>
        </w:rPr>
      </w:pPr>
      <w:r>
        <w:rPr>
          <w:rFonts w:hint="eastAsia"/>
          <w:kern w:val="0"/>
          <w:szCs w:val="24"/>
        </w:rPr>
        <w:t>Full Text:</w:t>
      </w:r>
      <w:r w:rsidRPr="00CA4A3D">
        <w:rPr>
          <w:iCs/>
          <w:kern w:val="0"/>
          <w:szCs w:val="24"/>
        </w:rPr>
        <w:t xml:space="preserve"> </w:t>
      </w:r>
      <w:r>
        <w:rPr>
          <w:iCs/>
          <w:kern w:val="0"/>
          <w:szCs w:val="24"/>
        </w:rPr>
        <w:t>200</w:t>
      </w:r>
      <w:r>
        <w:rPr>
          <w:rFonts w:hint="eastAsia"/>
          <w:iCs/>
          <w:kern w:val="0"/>
          <w:szCs w:val="24"/>
        </w:rPr>
        <w:t>7</w:t>
      </w:r>
      <w:r>
        <w:rPr>
          <w:iCs/>
          <w:kern w:val="0"/>
          <w:szCs w:val="24"/>
        </w:rPr>
        <w:t>\Ame J Med Sci33</w:t>
      </w:r>
      <w:r>
        <w:rPr>
          <w:rFonts w:hint="eastAsia"/>
          <w:iCs/>
          <w:kern w:val="0"/>
          <w:szCs w:val="24"/>
        </w:rPr>
        <w:t>4</w:t>
      </w:r>
      <w:r>
        <w:rPr>
          <w:iCs/>
          <w:kern w:val="0"/>
          <w:szCs w:val="24"/>
        </w:rPr>
        <w:t>, 1</w:t>
      </w:r>
      <w:r>
        <w:rPr>
          <w:rFonts w:hint="eastAsia"/>
          <w:iCs/>
          <w:kern w:val="0"/>
          <w:szCs w:val="24"/>
        </w:rPr>
        <w:t>71</w:t>
      </w:r>
      <w:r w:rsidRPr="004D6139">
        <w:rPr>
          <w:iCs/>
          <w:kern w:val="0"/>
          <w:szCs w:val="24"/>
        </w:rPr>
        <w:t>.pdf</w:t>
      </w:r>
    </w:p>
    <w:p w:rsidR="00F14A6C" w:rsidRDefault="00F14A6C" w:rsidP="00F14A6C">
      <w:pPr>
        <w:pStyle w:val="a3"/>
        <w:rPr>
          <w:kern w:val="0"/>
        </w:rPr>
      </w:pPr>
      <w:r>
        <w:rPr>
          <w:kern w:val="0"/>
        </w:rPr>
        <w:t>Abstract: Background: Albendazole has been used in various ways in</w:t>
      </w:r>
      <w:r w:rsidR="003A1917">
        <w:rPr>
          <w:kern w:val="0"/>
        </w:rPr>
        <w:t xml:space="preserve"> the </w:t>
      </w:r>
      <w:r>
        <w:rPr>
          <w:kern w:val="0"/>
        </w:rPr>
        <w:t>treatment</w:t>
      </w:r>
      <w:r w:rsidR="00427468">
        <w:rPr>
          <w:kern w:val="0"/>
        </w:rPr>
        <w:t xml:space="preserve"> of </w:t>
      </w:r>
      <w:r>
        <w:rPr>
          <w:kern w:val="0"/>
        </w:rPr>
        <w:t>cystic echinococcosis (CE). Methods: We reviewed</w:t>
      </w:r>
      <w:r w:rsidR="003A1917">
        <w:rPr>
          <w:kern w:val="0"/>
        </w:rPr>
        <w:t xml:space="preserve"> the </w:t>
      </w:r>
      <w:r>
        <w:rPr>
          <w:kern w:val="0"/>
        </w:rPr>
        <w:t>available evidence regarding</w:t>
      </w:r>
      <w:r w:rsidR="003A1917">
        <w:rPr>
          <w:kern w:val="0"/>
        </w:rPr>
        <w:t xml:space="preserve"> the </w:t>
      </w:r>
      <w:r>
        <w:rPr>
          <w:kern w:val="0"/>
        </w:rPr>
        <w:t>role</w:t>
      </w:r>
      <w:r w:rsidR="00427468">
        <w:rPr>
          <w:kern w:val="0"/>
        </w:rPr>
        <w:t xml:space="preserve"> of </w:t>
      </w:r>
      <w:r>
        <w:rPr>
          <w:kern w:val="0"/>
        </w:rPr>
        <w:t>albendazole for</w:t>
      </w:r>
      <w:r w:rsidR="003A1917">
        <w:rPr>
          <w:kern w:val="0"/>
        </w:rPr>
        <w:t xml:space="preserve"> the </w:t>
      </w:r>
      <w:r>
        <w:rPr>
          <w:kern w:val="0"/>
        </w:rPr>
        <w:t>treatment</w:t>
      </w:r>
      <w:r w:rsidR="00427468">
        <w:rPr>
          <w:kern w:val="0"/>
        </w:rPr>
        <w:t xml:space="preserve"> of </w:t>
      </w:r>
      <w:r>
        <w:rPr>
          <w:kern w:val="0"/>
        </w:rPr>
        <w:t>patients with CE</w:t>
      </w:r>
      <w:r w:rsidR="00A37C1D">
        <w:rPr>
          <w:kern w:val="0"/>
        </w:rPr>
        <w:t>. The</w:t>
      </w:r>
      <w:r w:rsidR="003A1917">
        <w:rPr>
          <w:kern w:val="0"/>
        </w:rPr>
        <w:t xml:space="preserve"> </w:t>
      </w:r>
      <w:r>
        <w:rPr>
          <w:kern w:val="0"/>
        </w:rPr>
        <w:t>available comparative clinical trials (randomized or not) that examined</w:t>
      </w:r>
      <w:r w:rsidR="003A1917">
        <w:rPr>
          <w:kern w:val="0"/>
        </w:rPr>
        <w:t xml:space="preserve"> the </w:t>
      </w:r>
      <w:r>
        <w:rPr>
          <w:kern w:val="0"/>
        </w:rPr>
        <w:t>use</w:t>
      </w:r>
      <w:r w:rsidR="00427468">
        <w:rPr>
          <w:kern w:val="0"/>
        </w:rPr>
        <w:t xml:space="preserve"> of </w:t>
      </w:r>
      <w:r>
        <w:rPr>
          <w:kern w:val="0"/>
        </w:rPr>
        <w:t>albenclazole in CE were identified from</w:t>
      </w:r>
      <w:r w:rsidR="003A1917">
        <w:rPr>
          <w:kern w:val="0"/>
        </w:rPr>
        <w:t xml:space="preserve"> the </w:t>
      </w:r>
      <w:r w:rsidR="002C12F0">
        <w:rPr>
          <w:kern w:val="0"/>
        </w:rPr>
        <w:t>PUBMED</w:t>
      </w:r>
      <w:r w:rsidR="005853A9">
        <w:rPr>
          <w:kern w:val="0"/>
        </w:rPr>
        <w:t xml:space="preserve"> and </w:t>
      </w:r>
      <w:r w:rsidR="003A1917">
        <w:rPr>
          <w:kern w:val="0"/>
        </w:rPr>
        <w:t xml:space="preserve">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databases. Relevant data from</w:t>
      </w:r>
      <w:r w:rsidR="003A1917">
        <w:rPr>
          <w:kern w:val="0"/>
        </w:rPr>
        <w:t xml:space="preserve"> the </w:t>
      </w:r>
      <w:r>
        <w:rPr>
          <w:kern w:val="0"/>
        </w:rPr>
        <w:t>trials were extracted</w:t>
      </w:r>
      <w:r w:rsidR="005853A9">
        <w:rPr>
          <w:kern w:val="0"/>
        </w:rPr>
        <w:t xml:space="preserve"> and </w:t>
      </w:r>
      <w:r>
        <w:rPr>
          <w:kern w:val="0"/>
        </w:rPr>
        <w:t>evaluated. Results: Thirteen studies were included in</w:t>
      </w:r>
      <w:r w:rsidR="003A1917">
        <w:rPr>
          <w:kern w:val="0"/>
        </w:rPr>
        <w:t xml:space="preserve"> the </w:t>
      </w:r>
      <w:r>
        <w:rPr>
          <w:kern w:val="0"/>
        </w:rPr>
        <w:t>review. Albendazole is superior to placebo for inoperable, symptomatic patients (I study). In addition, in 4 trials that tested albendazole as a preoperative adjuvant therapy,</w:t>
      </w:r>
      <w:r w:rsidR="003A1917">
        <w:rPr>
          <w:kern w:val="0"/>
        </w:rPr>
        <w:t xml:space="preserve"> the </w:t>
      </w:r>
      <w:r>
        <w:rPr>
          <w:kern w:val="0"/>
        </w:rPr>
        <w:t>drug resulted in degeneration</w:t>
      </w:r>
      <w:r w:rsidR="00427468">
        <w:rPr>
          <w:kern w:val="0"/>
        </w:rPr>
        <w:t xml:space="preserve"> of </w:t>
      </w:r>
      <w:r>
        <w:rPr>
          <w:kern w:val="0"/>
        </w:rPr>
        <w:t>hydatid cysts at</w:t>
      </w:r>
      <w:r w:rsidR="003A1917">
        <w:rPr>
          <w:kern w:val="0"/>
        </w:rPr>
        <w:t xml:space="preserve"> the </w:t>
      </w:r>
      <w:r>
        <w:rPr>
          <w:kern w:val="0"/>
        </w:rPr>
        <w:t>time</w:t>
      </w:r>
      <w:r w:rsidR="00427468">
        <w:rPr>
          <w:kern w:val="0"/>
        </w:rPr>
        <w:t xml:space="preserve"> of </w:t>
      </w:r>
      <w:r>
        <w:rPr>
          <w:kern w:val="0"/>
        </w:rPr>
        <w:t>surgery in a considerable proportion</w:t>
      </w:r>
      <w:r w:rsidR="00427468">
        <w:rPr>
          <w:kern w:val="0"/>
        </w:rPr>
        <w:t xml:space="preserve"> of </w:t>
      </w:r>
      <w:r>
        <w:rPr>
          <w:kern w:val="0"/>
        </w:rPr>
        <w:t>patients. Furthermore, combined therapy with albenclazole</w:t>
      </w:r>
      <w:r w:rsidR="005853A9">
        <w:rPr>
          <w:kern w:val="0"/>
        </w:rPr>
        <w:t xml:space="preserve"> and </w:t>
      </w:r>
      <w:r>
        <w:rPr>
          <w:kern w:val="0"/>
        </w:rPr>
        <w:t>PAIR (Puncture, Aspiration, Injection</w:t>
      </w:r>
      <w:r w:rsidR="00427468">
        <w:rPr>
          <w:kern w:val="0"/>
        </w:rPr>
        <w:t xml:space="preserve"> of </w:t>
      </w:r>
      <w:r>
        <w:rPr>
          <w:kern w:val="0"/>
        </w:rPr>
        <w:t>scolicidal agent,</w:t>
      </w:r>
      <w:r w:rsidR="005853A9">
        <w:rPr>
          <w:kern w:val="0"/>
        </w:rPr>
        <w:t xml:space="preserve"> and </w:t>
      </w:r>
      <w:r>
        <w:rPr>
          <w:kern w:val="0"/>
        </w:rPr>
        <w:t>Re-aspiration) technique was found more effective than albendazole or PAIR treatment alone, in a randomized controlled trial examining this issue. Finally, although existing evidence shows some superiority for albendazole compared to mebendazole, there is no definite proof about this. Conclusions: Although</w:t>
      </w:r>
      <w:r w:rsidR="003A1917">
        <w:rPr>
          <w:kern w:val="0"/>
        </w:rPr>
        <w:t xml:space="preserve"> the </w:t>
      </w:r>
      <w:r>
        <w:rPr>
          <w:kern w:val="0"/>
        </w:rPr>
        <w:t>available comparative trials provide considerable evidence for</w:t>
      </w:r>
      <w:r w:rsidR="003A1917">
        <w:rPr>
          <w:kern w:val="0"/>
        </w:rPr>
        <w:t xml:space="preserve"> the </w:t>
      </w:r>
      <w:r>
        <w:rPr>
          <w:kern w:val="0"/>
        </w:rPr>
        <w:t>role</w:t>
      </w:r>
      <w:r w:rsidR="00427468">
        <w:rPr>
          <w:kern w:val="0"/>
        </w:rPr>
        <w:t xml:space="preserve"> of </w:t>
      </w:r>
      <w:r>
        <w:rPr>
          <w:kern w:val="0"/>
        </w:rPr>
        <w:t>albendazole in patients with CE, there are some important clinical questions that remained unanswered by</w:t>
      </w:r>
      <w:r w:rsidR="003A1917">
        <w:rPr>
          <w:kern w:val="0"/>
        </w:rPr>
        <w:t xml:space="preserve"> the </w:t>
      </w:r>
      <w:r>
        <w:rPr>
          <w:kern w:val="0"/>
        </w:rPr>
        <w:t>studies. One</w:t>
      </w:r>
      <w:r w:rsidR="00427468">
        <w:rPr>
          <w:kern w:val="0"/>
        </w:rPr>
        <w:t xml:space="preserve"> of </w:t>
      </w:r>
      <w:r>
        <w:rPr>
          <w:kern w:val="0"/>
        </w:rPr>
        <w:t>them is whether</w:t>
      </w:r>
      <w:r w:rsidR="003A1917">
        <w:rPr>
          <w:kern w:val="0"/>
        </w:rPr>
        <w:t xml:space="preserve"> the </w:t>
      </w:r>
      <w:r>
        <w:rPr>
          <w:kern w:val="0"/>
        </w:rPr>
        <w:t>combination</w:t>
      </w:r>
      <w:r w:rsidR="00427468">
        <w:rPr>
          <w:kern w:val="0"/>
        </w:rPr>
        <w:t xml:space="preserve"> of </w:t>
      </w:r>
      <w:r>
        <w:rPr>
          <w:kern w:val="0"/>
        </w:rPr>
        <w:t>albendazole with praziquantel is superior to albendazole alone when both effectiveness</w:t>
      </w:r>
      <w:r w:rsidR="005853A9">
        <w:rPr>
          <w:kern w:val="0"/>
        </w:rPr>
        <w:t xml:space="preserve"> and </w:t>
      </w:r>
      <w:r>
        <w:rPr>
          <w:kern w:val="0"/>
        </w:rPr>
        <w:t>drug toxicity are taken into account. Also, further studies should also compare</w:t>
      </w:r>
      <w:r w:rsidR="003A1917">
        <w:rPr>
          <w:kern w:val="0"/>
        </w:rPr>
        <w:t xml:space="preserve"> the </w:t>
      </w:r>
      <w:r>
        <w:rPr>
          <w:kern w:val="0"/>
        </w:rPr>
        <w:t>combination</w:t>
      </w:r>
      <w:r w:rsidR="00427468">
        <w:rPr>
          <w:kern w:val="0"/>
        </w:rPr>
        <w:t xml:space="preserve"> of </w:t>
      </w:r>
      <w:r>
        <w:rPr>
          <w:kern w:val="0"/>
        </w:rPr>
        <w:t xml:space="preserve">albendazole/ PAIR with albendazole/surgery </w:t>
      </w:r>
      <w:r>
        <w:rPr>
          <w:kern w:val="0"/>
        </w:rPr>
        <w:lastRenderedPageBreak/>
        <w:t>focusing on both short</w:t>
      </w:r>
      <w:r w:rsidR="005853A9">
        <w:rPr>
          <w:kern w:val="0"/>
        </w:rPr>
        <w:t xml:space="preserve"> and </w:t>
      </w:r>
      <w:r>
        <w:rPr>
          <w:kern w:val="0"/>
        </w:rPr>
        <w:t>long term outcomes.</w:t>
      </w:r>
    </w:p>
    <w:p w:rsidR="00F14A6C" w:rsidRDefault="00F14A6C" w:rsidP="00F14A6C">
      <w:pPr>
        <w:pStyle w:val="a3"/>
        <w:rPr>
          <w:kern w:val="0"/>
        </w:rPr>
      </w:pPr>
      <w:r>
        <w:rPr>
          <w:kern w:val="0"/>
        </w:rPr>
        <w:t>Keywords: Adjuvant Therapy, Benzimidazoles, Chemotherapy, Clinical Trials, Combination, Databases, Drug, Echinococciasis, Echinococcus Granulosus, Effectiveness, Experience, Granulosus, Human, Human Cystic Echinococcosis, Hydatid Cyst, Hydatid-Disease</w:t>
      </w:r>
      <w:r w:rsidR="00D5664A">
        <w:rPr>
          <w:kern w:val="0"/>
        </w:rPr>
        <w:t>, ISI,</w:t>
      </w:r>
      <w:r>
        <w:rPr>
          <w:kern w:val="0"/>
        </w:rPr>
        <w:t xml:space="preserve"> Liver Hydatidosis, Mebendazole, Mebendazole, Methods, Outcomes, Pair, Percutaneous Drainage, Percutaneous Therapy, Praziquantel, Praziquantel, </w:t>
      </w:r>
      <w:r w:rsidR="002C12F0">
        <w:rPr>
          <w:kern w:val="0"/>
        </w:rPr>
        <w:t>PUBMED</w:t>
      </w:r>
      <w:r>
        <w:rPr>
          <w:kern w:val="0"/>
        </w:rPr>
        <w:t xml:space="preserve">, Randomized Controlled Trial, Review, Science, Surgery, Surgical Therapy, Therapy, Toxicity, Treatment, </w:t>
      </w:r>
      <w:r w:rsidR="00D5664A">
        <w:rPr>
          <w:kern w:val="0"/>
        </w:rPr>
        <w:t>Web</w:t>
      </w:r>
      <w:r w:rsidR="00427468">
        <w:rPr>
          <w:kern w:val="0"/>
        </w:rPr>
        <w:t xml:space="preserve"> of </w:t>
      </w:r>
      <w:r w:rsidR="00D5664A">
        <w:rPr>
          <w:kern w:val="0"/>
        </w:rPr>
        <w:t>Science</w:t>
      </w:r>
    </w:p>
    <w:p w:rsidR="003474F2" w:rsidRPr="001A3D2B" w:rsidRDefault="003474F2" w:rsidP="003474F2">
      <w:pPr>
        <w:pStyle w:val="a3"/>
        <w:rPr>
          <w:szCs w:val="24"/>
        </w:rPr>
      </w:pPr>
      <w:r w:rsidRPr="001A3D2B">
        <w:t>? Falagas, M.E., Charitidou, E.</w:t>
      </w:r>
      <w:r w:rsidR="005853A9">
        <w:t xml:space="preserve"> and </w:t>
      </w:r>
      <w:r w:rsidRPr="001A3D2B">
        <w:t>Alexiou, V.G. (2008), Article</w:t>
      </w:r>
      <w:r w:rsidR="005853A9">
        <w:t xml:space="preserve"> and </w:t>
      </w:r>
      <w:r w:rsidRPr="001A3D2B">
        <w:t xml:space="preserve">journal impact factor in various scientific fields. </w:t>
      </w:r>
      <w:r w:rsidRPr="001A3D2B">
        <w:rPr>
          <w:i/>
          <w:iCs/>
        </w:rPr>
        <w:t>American Journal</w:t>
      </w:r>
      <w:r w:rsidR="00427468">
        <w:rPr>
          <w:i/>
          <w:iCs/>
        </w:rPr>
        <w:t xml:space="preserve"> of </w:t>
      </w:r>
      <w:r w:rsidR="003A1917">
        <w:rPr>
          <w:i/>
          <w:iCs/>
        </w:rPr>
        <w:t xml:space="preserve">the </w:t>
      </w:r>
      <w:r w:rsidRPr="001A3D2B">
        <w:rPr>
          <w:i/>
          <w:iCs/>
        </w:rPr>
        <w:t>Medical Sciences</w:t>
      </w:r>
      <w:r w:rsidRPr="001A3D2B">
        <w:t xml:space="preserve">, </w:t>
      </w:r>
      <w:r w:rsidRPr="001A3D2B">
        <w:rPr>
          <w:b/>
          <w:bCs/>
        </w:rPr>
        <w:t>335</w:t>
      </w:r>
      <w:r w:rsidRPr="001A3D2B">
        <w:rPr>
          <w:szCs w:val="24"/>
        </w:rPr>
        <w:t xml:space="preserve"> (3), 188-191.</w:t>
      </w:r>
    </w:p>
    <w:p w:rsidR="00E12EEC" w:rsidRPr="00CA4A3D" w:rsidRDefault="00E12EEC" w:rsidP="00E12EEC">
      <w:pPr>
        <w:pStyle w:val="a3"/>
        <w:rPr>
          <w:kern w:val="0"/>
          <w:szCs w:val="24"/>
        </w:rPr>
      </w:pPr>
      <w:r>
        <w:rPr>
          <w:rFonts w:hint="eastAsia"/>
          <w:kern w:val="0"/>
          <w:szCs w:val="24"/>
        </w:rPr>
        <w:t>Full Text:</w:t>
      </w:r>
      <w:r w:rsidRPr="00CA4A3D">
        <w:rPr>
          <w:iCs/>
          <w:kern w:val="0"/>
          <w:szCs w:val="24"/>
        </w:rPr>
        <w:t xml:space="preserve"> </w:t>
      </w:r>
      <w:hyperlink r:id="rId527" w:history="1">
        <w:r w:rsidRPr="005D03C3">
          <w:rPr>
            <w:rStyle w:val="a5"/>
            <w:iCs/>
            <w:kern w:val="0"/>
            <w:szCs w:val="24"/>
          </w:rPr>
          <w:t>2008\Ame J Med Sci335, 188.pdf</w:t>
        </w:r>
      </w:hyperlink>
    </w:p>
    <w:p w:rsidR="003474F2" w:rsidRPr="001A3D2B" w:rsidRDefault="003474F2" w:rsidP="003474F2">
      <w:pPr>
        <w:pStyle w:val="a3"/>
        <w:rPr>
          <w:szCs w:val="24"/>
        </w:rPr>
      </w:pPr>
      <w:r w:rsidRPr="001A3D2B">
        <w:rPr>
          <w:szCs w:val="24"/>
        </w:rPr>
        <w:t>Abstract: Background: We tried to provide</w:t>
      </w:r>
      <w:r w:rsidR="003A1917">
        <w:rPr>
          <w:szCs w:val="24"/>
        </w:rPr>
        <w:t xml:space="preserve"> the </w:t>
      </w:r>
      <w:r w:rsidRPr="001A3D2B">
        <w:rPr>
          <w:szCs w:val="24"/>
        </w:rPr>
        <w:t>scientific community with data to answer</w:t>
      </w:r>
      <w:r w:rsidR="003A1917">
        <w:rPr>
          <w:szCs w:val="24"/>
        </w:rPr>
        <w:t xml:space="preserve"> the </w:t>
      </w:r>
      <w:r w:rsidRPr="001A3D2B">
        <w:rPr>
          <w:szCs w:val="24"/>
        </w:rPr>
        <w:t>following simple question: What proportion</w:t>
      </w:r>
      <w:r w:rsidR="00427468">
        <w:rPr>
          <w:szCs w:val="24"/>
        </w:rPr>
        <w:t xml:space="preserve"> of </w:t>
      </w:r>
      <w:r w:rsidRPr="001A3D2B">
        <w:rPr>
          <w:szCs w:val="24"/>
        </w:rPr>
        <w:t>publications in</w:t>
      </w:r>
      <w:r w:rsidR="003A1917">
        <w:rPr>
          <w:szCs w:val="24"/>
        </w:rPr>
        <w:t xml:space="preserve"> the </w:t>
      </w:r>
      <w:r w:rsidRPr="001A3D2B">
        <w:rPr>
          <w:szCs w:val="24"/>
        </w:rPr>
        <w:t>various scientific fields is published in journals with impact factor above</w:t>
      </w:r>
      <w:r w:rsidR="003A1917">
        <w:rPr>
          <w:szCs w:val="24"/>
        </w:rPr>
        <w:t xml:space="preserve"> the </w:t>
      </w:r>
      <w:r w:rsidRPr="001A3D2B">
        <w:rPr>
          <w:szCs w:val="24"/>
        </w:rPr>
        <w:t>median</w:t>
      </w:r>
      <w:r w:rsidR="005853A9">
        <w:rPr>
          <w:szCs w:val="24"/>
        </w:rPr>
        <w:t xml:space="preserve"> and </w:t>
      </w:r>
      <w:r w:rsidRPr="001A3D2B">
        <w:rPr>
          <w:szCs w:val="24"/>
        </w:rPr>
        <w:t>mean values</w:t>
      </w:r>
      <w:r w:rsidR="00427468">
        <w:rPr>
          <w:szCs w:val="24"/>
        </w:rPr>
        <w:t xml:space="preserve"> of </w:t>
      </w:r>
      <w:r w:rsidR="003A1917">
        <w:rPr>
          <w:szCs w:val="24"/>
        </w:rPr>
        <w:t xml:space="preserve">the </w:t>
      </w:r>
      <w:r w:rsidRPr="001A3D2B">
        <w:rPr>
          <w:szCs w:val="24"/>
        </w:rPr>
        <w:t>distribution</w:t>
      </w:r>
      <w:r w:rsidR="00427468">
        <w:rPr>
          <w:szCs w:val="24"/>
        </w:rPr>
        <w:t xml:space="preserve"> of </w:t>
      </w:r>
      <w:r w:rsidRPr="001A3D2B">
        <w:rPr>
          <w:szCs w:val="24"/>
        </w:rPr>
        <w:t>journal impact factor? Methods: We analyzed</w:t>
      </w:r>
      <w:r w:rsidR="005853A9">
        <w:rPr>
          <w:szCs w:val="24"/>
        </w:rPr>
        <w:t xml:space="preserve"> and </w:t>
      </w:r>
      <w:r w:rsidRPr="001A3D2B">
        <w:rPr>
          <w:szCs w:val="24"/>
        </w:rPr>
        <w:t>compared</w:t>
      </w:r>
      <w:r w:rsidR="003A1917">
        <w:rPr>
          <w:szCs w:val="24"/>
        </w:rPr>
        <w:t xml:space="preserve"> the </w:t>
      </w:r>
      <w:r w:rsidRPr="001A3D2B">
        <w:rPr>
          <w:szCs w:val="24"/>
        </w:rPr>
        <w:t>distribution</w:t>
      </w:r>
      <w:r w:rsidR="00427468">
        <w:rPr>
          <w:szCs w:val="24"/>
        </w:rPr>
        <w:t xml:space="preserve"> of </w:t>
      </w:r>
      <w:r w:rsidR="003A1917">
        <w:rPr>
          <w:szCs w:val="24"/>
        </w:rPr>
        <w:t xml:space="preserve">the </w:t>
      </w:r>
      <w:r w:rsidRPr="001A3D2B">
        <w:rPr>
          <w:szCs w:val="24"/>
        </w:rPr>
        <w:t>impact factor data reduced to</w:t>
      </w:r>
      <w:r w:rsidR="003A1917">
        <w:rPr>
          <w:szCs w:val="24"/>
        </w:rPr>
        <w:t xml:space="preserve"> the </w:t>
      </w:r>
      <w:r w:rsidRPr="001A3D2B">
        <w:rPr>
          <w:szCs w:val="24"/>
        </w:rPr>
        <w:t>unit</w:t>
      </w:r>
      <w:r w:rsidR="00427468">
        <w:rPr>
          <w:szCs w:val="24"/>
        </w:rPr>
        <w:t xml:space="preserve"> of </w:t>
      </w:r>
      <w:r w:rsidRPr="001A3D2B">
        <w:rPr>
          <w:szCs w:val="24"/>
        </w:rPr>
        <w:t>science publication,</w:t>
      </w:r>
      <w:r w:rsidR="003A1917">
        <w:rPr>
          <w:szCs w:val="24"/>
        </w:rPr>
        <w:t xml:space="preserve"> the </w:t>
      </w:r>
      <w:r w:rsidRPr="001A3D2B">
        <w:rPr>
          <w:szCs w:val="24"/>
        </w:rPr>
        <w:t>article. We calculated</w:t>
      </w:r>
      <w:r w:rsidR="003A1917">
        <w:rPr>
          <w:szCs w:val="24"/>
        </w:rPr>
        <w:t xml:space="preserve"> the </w:t>
      </w:r>
      <w:r w:rsidRPr="001A3D2B">
        <w:rPr>
          <w:szCs w:val="24"/>
        </w:rPr>
        <w:t>proportion</w:t>
      </w:r>
      <w:r w:rsidR="00427468">
        <w:rPr>
          <w:szCs w:val="24"/>
        </w:rPr>
        <w:t xml:space="preserve"> of </w:t>
      </w:r>
      <w:r w:rsidRPr="001A3D2B">
        <w:rPr>
          <w:szCs w:val="24"/>
        </w:rPr>
        <w:t>articles published in journals with impact factor above</w:t>
      </w:r>
      <w:r w:rsidR="003A1917">
        <w:rPr>
          <w:szCs w:val="24"/>
        </w:rPr>
        <w:t xml:space="preserve"> the </w:t>
      </w:r>
      <w:r w:rsidRPr="001A3D2B">
        <w:rPr>
          <w:szCs w:val="24"/>
        </w:rPr>
        <w:t>journal mean impact factor, journal median impact factor,</w:t>
      </w:r>
      <w:r w:rsidR="005853A9">
        <w:rPr>
          <w:szCs w:val="24"/>
        </w:rPr>
        <w:t xml:space="preserve"> and </w:t>
      </w:r>
      <w:r w:rsidRPr="001A3D2B">
        <w:rPr>
          <w:szCs w:val="24"/>
        </w:rPr>
        <w:t>article mean impact. Results: For all categories examined, at</w:t>
      </w:r>
      <w:r w:rsidR="003A1917">
        <w:rPr>
          <w:szCs w:val="24"/>
        </w:rPr>
        <w:t xml:space="preserve"> the </w:t>
      </w:r>
      <w:r w:rsidRPr="001A3D2B">
        <w:rPr>
          <w:szCs w:val="24"/>
        </w:rPr>
        <w:t>article level,</w:t>
      </w:r>
      <w:r w:rsidR="003A1917">
        <w:rPr>
          <w:szCs w:val="24"/>
        </w:rPr>
        <w:t xml:space="preserve"> the </w:t>
      </w:r>
      <w:r w:rsidRPr="001A3D2B">
        <w:rPr>
          <w:szCs w:val="24"/>
        </w:rPr>
        <w:t>mean impact factor was higher than</w:t>
      </w:r>
      <w:r w:rsidR="003A1917">
        <w:rPr>
          <w:szCs w:val="24"/>
        </w:rPr>
        <w:t xml:space="preserve"> the </w:t>
      </w:r>
      <w:r w:rsidRPr="001A3D2B">
        <w:rPr>
          <w:szCs w:val="24"/>
        </w:rPr>
        <w:t>median (by 13.7% to 500% for</w:t>
      </w:r>
      <w:r w:rsidR="003A1917">
        <w:rPr>
          <w:szCs w:val="24"/>
        </w:rPr>
        <w:t xml:space="preserve"> the </w:t>
      </w:r>
      <w:r w:rsidRPr="001A3D2B">
        <w:rPr>
          <w:szCs w:val="24"/>
        </w:rPr>
        <w:t>various scientific categories)</w:t>
      </w:r>
      <w:r w:rsidR="00A37C1D">
        <w:rPr>
          <w:szCs w:val="24"/>
        </w:rPr>
        <w:t>. The</w:t>
      </w:r>
      <w:r w:rsidR="003A1917">
        <w:rPr>
          <w:szCs w:val="24"/>
        </w:rPr>
        <w:t xml:space="preserve"> </w:t>
      </w:r>
      <w:r w:rsidRPr="001A3D2B">
        <w:rPr>
          <w:szCs w:val="24"/>
        </w:rPr>
        <w:t>mean impact factor</w:t>
      </w:r>
      <w:r w:rsidR="00427468">
        <w:rPr>
          <w:szCs w:val="24"/>
        </w:rPr>
        <w:t xml:space="preserve"> of </w:t>
      </w:r>
      <w:r w:rsidRPr="001A3D2B">
        <w:rPr>
          <w:szCs w:val="24"/>
        </w:rPr>
        <w:t>journals was considerably lower than</w:t>
      </w:r>
      <w:r w:rsidR="003A1917">
        <w:rPr>
          <w:szCs w:val="24"/>
        </w:rPr>
        <w:t xml:space="preserve"> the </w:t>
      </w:r>
      <w:r w:rsidRPr="001A3D2B">
        <w:rPr>
          <w:szCs w:val="24"/>
        </w:rPr>
        <w:t>mean impact factor</w:t>
      </w:r>
      <w:r w:rsidR="00427468">
        <w:rPr>
          <w:szCs w:val="24"/>
        </w:rPr>
        <w:t xml:space="preserve"> of </w:t>
      </w:r>
      <w:r w:rsidRPr="001A3D2B">
        <w:rPr>
          <w:szCs w:val="24"/>
        </w:rPr>
        <w:t>articles (by 0.3 to 6.4 units)</w:t>
      </w:r>
      <w:r w:rsidR="00A37C1D">
        <w:rPr>
          <w:szCs w:val="24"/>
        </w:rPr>
        <w:t>. The</w:t>
      </w:r>
      <w:r w:rsidR="003A1917">
        <w:rPr>
          <w:szCs w:val="24"/>
        </w:rPr>
        <w:t xml:space="preserve"> </w:t>
      </w:r>
      <w:r w:rsidRPr="001A3D2B">
        <w:rPr>
          <w:szCs w:val="24"/>
        </w:rPr>
        <w:t>proportion</w:t>
      </w:r>
      <w:r w:rsidR="00427468">
        <w:rPr>
          <w:szCs w:val="24"/>
        </w:rPr>
        <w:t xml:space="preserve"> of </w:t>
      </w:r>
      <w:r w:rsidRPr="001A3D2B">
        <w:rPr>
          <w:szCs w:val="24"/>
        </w:rPr>
        <w:t>articles that were published in journals with impact factor above</w:t>
      </w:r>
      <w:r w:rsidR="003A1917">
        <w:rPr>
          <w:szCs w:val="24"/>
        </w:rPr>
        <w:t xml:space="preserve"> the </w:t>
      </w:r>
      <w:r w:rsidRPr="001A3D2B">
        <w:rPr>
          <w:szCs w:val="24"/>
        </w:rPr>
        <w:t>journals</w:t>
      </w:r>
      <w:r w:rsidR="00700038">
        <w:rPr>
          <w:szCs w:val="24"/>
        </w:rPr>
        <w:t>’</w:t>
      </w:r>
      <w:r w:rsidRPr="001A3D2B">
        <w:rPr>
          <w:szCs w:val="24"/>
        </w:rPr>
        <w:t xml:space="preserve"> median impact factor was well above 50% in 17</w:t>
      </w:r>
      <w:r w:rsidR="00427468">
        <w:rPr>
          <w:szCs w:val="24"/>
        </w:rPr>
        <w:t xml:space="preserve"> of </w:t>
      </w:r>
      <w:r w:rsidRPr="001A3D2B">
        <w:rPr>
          <w:szCs w:val="24"/>
        </w:rPr>
        <w:t>19 scientific fields examined (all except mathematics</w:t>
      </w:r>
      <w:r w:rsidR="005853A9">
        <w:rPr>
          <w:szCs w:val="24"/>
        </w:rPr>
        <w:t xml:space="preserve"> and </w:t>
      </w:r>
      <w:r w:rsidRPr="001A3D2B">
        <w:rPr>
          <w:szCs w:val="24"/>
        </w:rPr>
        <w:t>computer science). Significance: Our analysis shows that in most scientific fields examined, it is quite easier to publish an article in</w:t>
      </w:r>
      <w:r w:rsidR="003A1917">
        <w:rPr>
          <w:szCs w:val="24"/>
        </w:rPr>
        <w:t xml:space="preserve"> the </w:t>
      </w:r>
      <w:r w:rsidRPr="001A3D2B">
        <w:rPr>
          <w:szCs w:val="24"/>
        </w:rPr>
        <w:t>top 50%</w:t>
      </w:r>
      <w:r w:rsidR="00427468">
        <w:rPr>
          <w:szCs w:val="24"/>
        </w:rPr>
        <w:t xml:space="preserve"> of </w:t>
      </w:r>
      <w:r w:rsidRPr="001A3D2B">
        <w:rPr>
          <w:szCs w:val="24"/>
        </w:rPr>
        <w:t>journals (based on impact factor calculations) than it is for</w:t>
      </w:r>
      <w:r w:rsidR="003A1917">
        <w:rPr>
          <w:szCs w:val="24"/>
        </w:rPr>
        <w:t xml:space="preserve"> the </w:t>
      </w:r>
      <w:r w:rsidRPr="001A3D2B">
        <w:rPr>
          <w:szCs w:val="24"/>
        </w:rPr>
        <w:t>article to be included in</w:t>
      </w:r>
      <w:r w:rsidR="003A1917">
        <w:rPr>
          <w:szCs w:val="24"/>
        </w:rPr>
        <w:t xml:space="preserve"> the </w:t>
      </w:r>
      <w:r w:rsidRPr="001A3D2B">
        <w:rPr>
          <w:szCs w:val="24"/>
        </w:rPr>
        <w:t>top 50%</w:t>
      </w:r>
      <w:r w:rsidR="00427468">
        <w:rPr>
          <w:szCs w:val="24"/>
        </w:rPr>
        <w:t xml:space="preserve"> of </w:t>
      </w:r>
      <w:r w:rsidRPr="001A3D2B">
        <w:rPr>
          <w:szCs w:val="24"/>
        </w:rPr>
        <w:t>published articles (based on</w:t>
      </w:r>
      <w:r w:rsidR="003A1917">
        <w:rPr>
          <w:szCs w:val="24"/>
        </w:rPr>
        <w:t xml:space="preserve"> the </w:t>
      </w:r>
      <w:r w:rsidRPr="001A3D2B">
        <w:rPr>
          <w:szCs w:val="24"/>
        </w:rPr>
        <w:t>assumption made regarding</w:t>
      </w:r>
      <w:r w:rsidR="003A1917">
        <w:rPr>
          <w:szCs w:val="24"/>
        </w:rPr>
        <w:t xml:space="preserve"> the </w:t>
      </w:r>
      <w:r w:rsidRPr="001A3D2B">
        <w:rPr>
          <w:szCs w:val="24"/>
        </w:rPr>
        <w:t>article</w:t>
      </w:r>
      <w:r w:rsidR="00700038">
        <w:rPr>
          <w:szCs w:val="24"/>
        </w:rPr>
        <w:t>’</w:t>
      </w:r>
      <w:r w:rsidRPr="001A3D2B">
        <w:rPr>
          <w:szCs w:val="24"/>
        </w:rPr>
        <w:t xml:space="preserve"> impact factor).</w:t>
      </w:r>
    </w:p>
    <w:p w:rsidR="003474F2" w:rsidRPr="001A3D2B" w:rsidRDefault="003474F2" w:rsidP="003474F2">
      <w:pPr>
        <w:pStyle w:val="a3"/>
        <w:rPr>
          <w:szCs w:val="24"/>
        </w:rPr>
      </w:pPr>
      <w:r w:rsidRPr="001A3D2B">
        <w:rPr>
          <w:szCs w:val="24"/>
        </w:rPr>
        <w:t>Keywords: Analysis, Community, Computer, Data, Distribution, Evaluation, Impact, Impact Factor, Journal, Journal Impact, Journal Impact Factor, Journals, MAR, Mathematics, Publication, Publications, Research Funding, Research Productivity, Science, Values</w:t>
      </w:r>
    </w:p>
    <w:p w:rsidR="00B21266" w:rsidRDefault="00B21266" w:rsidP="00B21266">
      <w:pPr>
        <w:pStyle w:val="a3"/>
        <w:rPr>
          <w:kern w:val="0"/>
        </w:rPr>
      </w:pPr>
      <w:r>
        <w:rPr>
          <w:rFonts w:hint="eastAsia"/>
          <w:kern w:val="0"/>
        </w:rPr>
        <w:t xml:space="preserve">? </w:t>
      </w:r>
      <w:r>
        <w:rPr>
          <w:kern w:val="0"/>
        </w:rPr>
        <w:t>Zbar, A.</w:t>
      </w:r>
      <w:r w:rsidR="005853A9">
        <w:rPr>
          <w:kern w:val="0"/>
        </w:rPr>
        <w:t xml:space="preserve"> and </w:t>
      </w:r>
      <w:r>
        <w:rPr>
          <w:kern w:val="0"/>
        </w:rPr>
        <w:t>Frank, E. (2011), Significance</w:t>
      </w:r>
      <w:r w:rsidR="00427468">
        <w:rPr>
          <w:kern w:val="0"/>
        </w:rPr>
        <w:t xml:space="preserve"> of </w:t>
      </w:r>
      <w:r>
        <w:rPr>
          <w:kern w:val="0"/>
        </w:rPr>
        <w:t xml:space="preserve">authorship position: An open-ended international assessment. </w:t>
      </w:r>
      <w:r>
        <w:rPr>
          <w:i/>
          <w:iCs/>
          <w:kern w:val="0"/>
        </w:rPr>
        <w:t>American Journal</w:t>
      </w:r>
      <w:r w:rsidR="00427468">
        <w:rPr>
          <w:i/>
          <w:iCs/>
          <w:kern w:val="0"/>
        </w:rPr>
        <w:t xml:space="preserve"> of </w:t>
      </w:r>
      <w:r w:rsidR="003A1917">
        <w:rPr>
          <w:i/>
          <w:iCs/>
          <w:kern w:val="0"/>
        </w:rPr>
        <w:t xml:space="preserve">the </w:t>
      </w:r>
      <w:r>
        <w:rPr>
          <w:i/>
          <w:iCs/>
          <w:kern w:val="0"/>
        </w:rPr>
        <w:t>Medical Sciences</w:t>
      </w:r>
      <w:r>
        <w:rPr>
          <w:kern w:val="0"/>
        </w:rPr>
        <w:t xml:space="preserve">, </w:t>
      </w:r>
      <w:r>
        <w:rPr>
          <w:b/>
          <w:bCs/>
          <w:kern w:val="0"/>
        </w:rPr>
        <w:t>341</w:t>
      </w:r>
      <w:r>
        <w:rPr>
          <w:kern w:val="0"/>
        </w:rPr>
        <w:t xml:space="preserve"> (2), 106-109.</w:t>
      </w:r>
    </w:p>
    <w:p w:rsidR="00B21266" w:rsidRPr="00CA4A3D" w:rsidRDefault="00B21266" w:rsidP="00B21266">
      <w:pPr>
        <w:pStyle w:val="a3"/>
        <w:rPr>
          <w:kern w:val="0"/>
          <w:szCs w:val="24"/>
        </w:rPr>
      </w:pPr>
      <w:r>
        <w:rPr>
          <w:rFonts w:hint="eastAsia"/>
          <w:kern w:val="0"/>
          <w:szCs w:val="24"/>
        </w:rPr>
        <w:t>Full Text:</w:t>
      </w:r>
      <w:r w:rsidRPr="00CA4A3D">
        <w:rPr>
          <w:iCs/>
          <w:kern w:val="0"/>
          <w:szCs w:val="24"/>
        </w:rPr>
        <w:t xml:space="preserve"> </w:t>
      </w:r>
      <w:r>
        <w:rPr>
          <w:iCs/>
          <w:kern w:val="0"/>
          <w:szCs w:val="24"/>
        </w:rPr>
        <w:t>2011\Ame J Med Sci34</w:t>
      </w:r>
      <w:r>
        <w:rPr>
          <w:rFonts w:hint="eastAsia"/>
          <w:iCs/>
          <w:kern w:val="0"/>
          <w:szCs w:val="24"/>
        </w:rPr>
        <w:t>1</w:t>
      </w:r>
      <w:r>
        <w:rPr>
          <w:iCs/>
          <w:kern w:val="0"/>
          <w:szCs w:val="24"/>
        </w:rPr>
        <w:t xml:space="preserve">, </w:t>
      </w:r>
      <w:r>
        <w:rPr>
          <w:rFonts w:hint="eastAsia"/>
          <w:iCs/>
          <w:kern w:val="0"/>
          <w:szCs w:val="24"/>
        </w:rPr>
        <w:t>106</w:t>
      </w:r>
      <w:r w:rsidRPr="00F4686D">
        <w:rPr>
          <w:iCs/>
          <w:kern w:val="0"/>
          <w:szCs w:val="24"/>
        </w:rPr>
        <w:t>.pdf</w:t>
      </w:r>
      <w:r w:rsidR="00EB0F78">
        <w:rPr>
          <w:rFonts w:hint="eastAsia"/>
          <w:iCs/>
          <w:kern w:val="0"/>
          <w:szCs w:val="24"/>
        </w:rPr>
        <w:t xml:space="preserve">; </w:t>
      </w:r>
      <w:hyperlink r:id="rId528" w:history="1">
        <w:r w:rsidR="00EB0F78" w:rsidRPr="00EB0F78">
          <w:rPr>
            <w:rStyle w:val="a5"/>
            <w:iCs/>
            <w:kern w:val="0"/>
            <w:szCs w:val="24"/>
          </w:rPr>
          <w:t>2011\Ame J Med Sci341, 106-1.pdf</w:t>
        </w:r>
      </w:hyperlink>
    </w:p>
    <w:p w:rsidR="00B21266" w:rsidRDefault="00B21266" w:rsidP="00B21266">
      <w:pPr>
        <w:pStyle w:val="a3"/>
        <w:rPr>
          <w:kern w:val="0"/>
        </w:rPr>
      </w:pPr>
      <w:r>
        <w:rPr>
          <w:kern w:val="0"/>
        </w:rPr>
        <w:t>Abstract: Introduction:</w:t>
      </w:r>
      <w:r w:rsidR="003A1917">
        <w:rPr>
          <w:kern w:val="0"/>
        </w:rPr>
        <w:t xml:space="preserve"> the </w:t>
      </w:r>
      <w:r>
        <w:rPr>
          <w:kern w:val="0"/>
        </w:rPr>
        <w:t>International Committee</w:t>
      </w:r>
      <w:r w:rsidR="00427468">
        <w:rPr>
          <w:kern w:val="0"/>
        </w:rPr>
        <w:t xml:space="preserve"> of </w:t>
      </w:r>
      <w:r>
        <w:rPr>
          <w:kern w:val="0"/>
        </w:rPr>
        <w:t xml:space="preserve">Medical Journal Editors (ICMJE) </w:t>
      </w:r>
      <w:r>
        <w:rPr>
          <w:kern w:val="0"/>
        </w:rPr>
        <w:lastRenderedPageBreak/>
        <w:t>does not recommend guidelines on authorship position, despite its important role in academic promotion. To identify perceptions</w:t>
      </w:r>
      <w:r w:rsidR="00427468">
        <w:rPr>
          <w:kern w:val="0"/>
        </w:rPr>
        <w:t xml:space="preserve"> of </w:t>
      </w:r>
      <w:r>
        <w:rPr>
          <w:kern w:val="0"/>
        </w:rPr>
        <w:t>authorship position,</w:t>
      </w:r>
      <w:r w:rsidR="003A1917">
        <w:rPr>
          <w:kern w:val="0"/>
        </w:rPr>
        <w:t xml:space="preserve"> the </w:t>
      </w:r>
      <w:r>
        <w:rPr>
          <w:kern w:val="0"/>
        </w:rPr>
        <w:t>authors performed</w:t>
      </w:r>
      <w:r w:rsidR="003A1917">
        <w:rPr>
          <w:kern w:val="0"/>
        </w:rPr>
        <w:t xml:space="preserve"> the </w:t>
      </w:r>
      <w:r>
        <w:rPr>
          <w:kern w:val="0"/>
        </w:rPr>
        <w:t>first study</w:t>
      </w:r>
      <w:r w:rsidR="00427468">
        <w:rPr>
          <w:kern w:val="0"/>
        </w:rPr>
        <w:t xml:space="preserve"> of </w:t>
      </w:r>
      <w:r>
        <w:rPr>
          <w:kern w:val="0"/>
        </w:rPr>
        <w:t>authorship position using only open-ended questioning. Methods: Articles with at least 3 authors were selected from</w:t>
      </w:r>
      <w:r w:rsidR="003A1917">
        <w:rPr>
          <w:kern w:val="0"/>
        </w:rPr>
        <w:t xml:space="preserve"> the </w:t>
      </w:r>
      <w:r>
        <w:rPr>
          <w:kern w:val="0"/>
        </w:rPr>
        <w:t>top 10 cited</w:t>
      </w:r>
      <w:r w:rsidR="005853A9">
        <w:rPr>
          <w:kern w:val="0"/>
        </w:rPr>
        <w:t xml:space="preserve"> and </w:t>
      </w:r>
      <w:r>
        <w:rPr>
          <w:kern w:val="0"/>
        </w:rPr>
        <w:t>20 other medical journals</w:t>
      </w:r>
      <w:r w:rsidR="00A37C1D">
        <w:rPr>
          <w:kern w:val="0"/>
        </w:rPr>
        <w:t>. The</w:t>
      </w:r>
      <w:r w:rsidR="003A1917">
        <w:rPr>
          <w:kern w:val="0"/>
        </w:rPr>
        <w:t xml:space="preserve"> </w:t>
      </w:r>
      <w:r>
        <w:rPr>
          <w:kern w:val="0"/>
        </w:rPr>
        <w:t>first, last,</w:t>
      </w:r>
      <w:r w:rsidR="005853A9">
        <w:rPr>
          <w:kern w:val="0"/>
        </w:rPr>
        <w:t xml:space="preserve"> and </w:t>
      </w:r>
      <w:r>
        <w:rPr>
          <w:kern w:val="0"/>
        </w:rPr>
        <w:t>1 author in-between were selected</w:t>
      </w:r>
      <w:r w:rsidR="005853A9">
        <w:rPr>
          <w:kern w:val="0"/>
        </w:rPr>
        <w:t xml:space="preserve"> and </w:t>
      </w:r>
      <w:r>
        <w:rPr>
          <w:kern w:val="0"/>
        </w:rPr>
        <w:t>asked to identify contributions</w:t>
      </w:r>
      <w:r w:rsidR="00427468">
        <w:rPr>
          <w:kern w:val="0"/>
        </w:rPr>
        <w:t xml:space="preserve"> of </w:t>
      </w:r>
      <w:r>
        <w:rPr>
          <w:kern w:val="0"/>
        </w:rPr>
        <w:t>first</w:t>
      </w:r>
      <w:r w:rsidR="005853A9">
        <w:rPr>
          <w:kern w:val="0"/>
        </w:rPr>
        <w:t xml:space="preserve"> and </w:t>
      </w:r>
      <w:r>
        <w:rPr>
          <w:kern w:val="0"/>
        </w:rPr>
        <w:t>last authors listed in medical journal articles</w:t>
      </w:r>
      <w:r w:rsidR="00A37C1D">
        <w:rPr>
          <w:kern w:val="0"/>
        </w:rPr>
        <w:t>. The</w:t>
      </w:r>
      <w:r w:rsidR="003A1917">
        <w:rPr>
          <w:kern w:val="0"/>
        </w:rPr>
        <w:t xml:space="preserve"> </w:t>
      </w:r>
      <w:r>
        <w:rPr>
          <w:kern w:val="0"/>
        </w:rPr>
        <w:t>responses were analyzed for differences between perceptions</w:t>
      </w:r>
      <w:r w:rsidR="00427468">
        <w:rPr>
          <w:kern w:val="0"/>
        </w:rPr>
        <w:t xml:space="preserve"> of </w:t>
      </w:r>
      <w:r>
        <w:rPr>
          <w:kern w:val="0"/>
        </w:rPr>
        <w:t>first versus last authorship. Results: Respondents were more likely to report ICMJE criteria being fulfilled by first authors; however, only 1.1% identified all 3 ICMJE conditions</w:t>
      </w:r>
      <w:r w:rsidR="00427468">
        <w:rPr>
          <w:kern w:val="0"/>
        </w:rPr>
        <w:t xml:space="preserve"> of </w:t>
      </w:r>
      <w:r>
        <w:rPr>
          <w:kern w:val="0"/>
        </w:rPr>
        <w:t>authorship for either author. ICMJE criteria were no more likely identified by authors</w:t>
      </w:r>
      <w:r w:rsidR="00427468">
        <w:rPr>
          <w:kern w:val="0"/>
        </w:rPr>
        <w:t xml:space="preserve"> of </w:t>
      </w:r>
      <w:r>
        <w:rPr>
          <w:kern w:val="0"/>
        </w:rPr>
        <w:t>high-impact versus low-impact journals. Significant differences existed between</w:t>
      </w:r>
      <w:r w:rsidR="003A1917">
        <w:rPr>
          <w:kern w:val="0"/>
        </w:rPr>
        <w:t xml:space="preserve"> the </w:t>
      </w:r>
      <w:r>
        <w:rPr>
          <w:kern w:val="0"/>
        </w:rPr>
        <w:t>understandings</w:t>
      </w:r>
      <w:r w:rsidR="00427468">
        <w:rPr>
          <w:kern w:val="0"/>
        </w:rPr>
        <w:t xml:space="preserve"> of </w:t>
      </w:r>
      <w:r>
        <w:rPr>
          <w:kern w:val="0"/>
        </w:rPr>
        <w:t>appropriate roles for first-versus last-listed authors. First-listed authors were viewed at least 7 times more likely to be involved in study conduct, manuscript writing, have a major study contribution</w:t>
      </w:r>
      <w:r w:rsidR="005853A9">
        <w:rPr>
          <w:kern w:val="0"/>
        </w:rPr>
        <w:t xml:space="preserve"> and </w:t>
      </w:r>
      <w:r>
        <w:rPr>
          <w:kern w:val="0"/>
        </w:rPr>
        <w:t>perform</w:t>
      </w:r>
      <w:r w:rsidR="003A1917">
        <w:rPr>
          <w:kern w:val="0"/>
        </w:rPr>
        <w:t xml:space="preserve"> the </w:t>
      </w:r>
      <w:r>
        <w:rPr>
          <w:kern w:val="0"/>
        </w:rPr>
        <w:t>majority</w:t>
      </w:r>
      <w:r w:rsidR="00427468">
        <w:rPr>
          <w:kern w:val="0"/>
        </w:rPr>
        <w:t xml:space="preserve"> of </w:t>
      </w:r>
      <w:r w:rsidR="003A1917">
        <w:rPr>
          <w:kern w:val="0"/>
        </w:rPr>
        <w:t xml:space="preserve">the </w:t>
      </w:r>
      <w:r>
        <w:rPr>
          <w:kern w:val="0"/>
        </w:rPr>
        <w:t>work involved. Last-listed authors were at least 7 times more likely to be viewed as having a minor or no contribution to</w:t>
      </w:r>
      <w:r w:rsidR="003A1917">
        <w:rPr>
          <w:kern w:val="0"/>
        </w:rPr>
        <w:t xml:space="preserve"> the </w:t>
      </w:r>
      <w:r>
        <w:rPr>
          <w:kern w:val="0"/>
        </w:rPr>
        <w:t>study, provide funding, be a laboratory head/mentor, hold a senior position</w:t>
      </w:r>
      <w:r w:rsidR="005853A9">
        <w:rPr>
          <w:kern w:val="0"/>
        </w:rPr>
        <w:t xml:space="preserve"> and </w:t>
      </w:r>
      <w:r>
        <w:rPr>
          <w:kern w:val="0"/>
        </w:rPr>
        <w:t>supervise/oversee</w:t>
      </w:r>
      <w:r w:rsidR="003A1917">
        <w:rPr>
          <w:kern w:val="0"/>
        </w:rPr>
        <w:t xml:space="preserve"> the </w:t>
      </w:r>
      <w:r>
        <w:rPr>
          <w:kern w:val="0"/>
        </w:rPr>
        <w:t>study. Conclusions: ICMJE authorship criteria were poorly identified by respondents in this open-ended, international sampling</w:t>
      </w:r>
      <w:r w:rsidR="00427468">
        <w:rPr>
          <w:kern w:val="0"/>
        </w:rPr>
        <w:t xml:space="preserve"> of </w:t>
      </w:r>
      <w:r>
        <w:rPr>
          <w:kern w:val="0"/>
        </w:rPr>
        <w:t>medical journal authors. Although ICMJE criteria are ideally met by all authors, this does not seem to be well understood or accepted.</w:t>
      </w:r>
    </w:p>
    <w:p w:rsidR="00B21266" w:rsidRDefault="00B21266" w:rsidP="00B21266">
      <w:pPr>
        <w:pStyle w:val="a3"/>
        <w:rPr>
          <w:kern w:val="0"/>
        </w:rPr>
      </w:pPr>
      <w:r>
        <w:rPr>
          <w:kern w:val="0"/>
        </w:rPr>
        <w:t>Keywords: Articles, Assessment, Author, Authors, Authorship, Authorship Order, Contribution, Differences, Funding, Guidelines, ICMJE, International, Journal, Journals, Medical, Medical Journals, Methods, Order, Perceptions, Promotion, Significant, Writing</w:t>
      </w:r>
    </w:p>
    <w:p w:rsidR="00CA4A3D" w:rsidRDefault="00CA4A3D" w:rsidP="00CA4A3D">
      <w:pPr>
        <w:pStyle w:val="a3"/>
        <w:rPr>
          <w:kern w:val="0"/>
          <w:szCs w:val="24"/>
        </w:rPr>
      </w:pPr>
      <w:r>
        <w:rPr>
          <w:rFonts w:hint="eastAsia"/>
          <w:kern w:val="0"/>
          <w:szCs w:val="24"/>
        </w:rPr>
        <w:t xml:space="preserve">? </w:t>
      </w:r>
      <w:r>
        <w:rPr>
          <w:kern w:val="0"/>
          <w:szCs w:val="24"/>
        </w:rPr>
        <w:t>Santos-Oliveira, R.</w:t>
      </w:r>
      <w:r w:rsidR="005853A9">
        <w:rPr>
          <w:kern w:val="0"/>
          <w:szCs w:val="24"/>
        </w:rPr>
        <w:t xml:space="preserve"> and </w:t>
      </w:r>
      <w:r>
        <w:rPr>
          <w:kern w:val="0"/>
          <w:szCs w:val="24"/>
        </w:rPr>
        <w:t xml:space="preserve">Machado, M. (2011), Pitfalls with radiopharmaceuticals. </w:t>
      </w:r>
      <w:r>
        <w:rPr>
          <w:i/>
          <w:iCs/>
          <w:kern w:val="0"/>
          <w:szCs w:val="24"/>
        </w:rPr>
        <w:t>American Journal</w:t>
      </w:r>
      <w:r w:rsidR="00427468">
        <w:rPr>
          <w:i/>
          <w:iCs/>
          <w:kern w:val="0"/>
          <w:szCs w:val="24"/>
        </w:rPr>
        <w:t xml:space="preserve"> of </w:t>
      </w:r>
      <w:r w:rsidR="003A1917">
        <w:rPr>
          <w:i/>
          <w:iCs/>
          <w:kern w:val="0"/>
          <w:szCs w:val="24"/>
        </w:rPr>
        <w:t xml:space="preserve">the </w:t>
      </w:r>
      <w:r>
        <w:rPr>
          <w:i/>
          <w:iCs/>
          <w:kern w:val="0"/>
          <w:szCs w:val="24"/>
        </w:rPr>
        <w:t>Medical Sciences</w:t>
      </w:r>
      <w:r>
        <w:rPr>
          <w:kern w:val="0"/>
          <w:szCs w:val="24"/>
        </w:rPr>
        <w:t xml:space="preserve">, </w:t>
      </w:r>
      <w:r>
        <w:rPr>
          <w:b/>
          <w:bCs/>
          <w:kern w:val="0"/>
          <w:szCs w:val="24"/>
        </w:rPr>
        <w:t>342</w:t>
      </w:r>
      <w:r>
        <w:rPr>
          <w:kern w:val="0"/>
          <w:szCs w:val="24"/>
        </w:rPr>
        <w:t xml:space="preserve"> (1), 50-53.</w:t>
      </w:r>
    </w:p>
    <w:p w:rsidR="00CA4A3D" w:rsidRPr="00CA4A3D" w:rsidRDefault="00CA4A3D" w:rsidP="00CA4A3D">
      <w:pPr>
        <w:pStyle w:val="a3"/>
        <w:rPr>
          <w:kern w:val="0"/>
          <w:szCs w:val="24"/>
        </w:rPr>
      </w:pPr>
      <w:r>
        <w:rPr>
          <w:rFonts w:hint="eastAsia"/>
          <w:kern w:val="0"/>
          <w:szCs w:val="24"/>
        </w:rPr>
        <w:t>Full Text:</w:t>
      </w:r>
      <w:r w:rsidRPr="00CA4A3D">
        <w:rPr>
          <w:iCs/>
          <w:kern w:val="0"/>
          <w:szCs w:val="24"/>
        </w:rPr>
        <w:t xml:space="preserve"> </w:t>
      </w:r>
      <w:hyperlink r:id="rId529" w:history="1">
        <w:r w:rsidRPr="00CA4A3D">
          <w:rPr>
            <w:rStyle w:val="a5"/>
            <w:iCs/>
            <w:kern w:val="0"/>
            <w:szCs w:val="24"/>
          </w:rPr>
          <w:t>2011\Ame J Med Sci342, 50.pdf</w:t>
        </w:r>
      </w:hyperlink>
    </w:p>
    <w:p w:rsidR="00CA4A3D" w:rsidRDefault="00CA4A3D" w:rsidP="00CA4A3D">
      <w:pPr>
        <w:pStyle w:val="a3"/>
        <w:rPr>
          <w:kern w:val="0"/>
          <w:szCs w:val="24"/>
        </w:rPr>
      </w:pPr>
      <w:r>
        <w:rPr>
          <w:kern w:val="0"/>
          <w:szCs w:val="24"/>
        </w:rPr>
        <w:t>Abstract: Introduction: There is a considerable body</w:t>
      </w:r>
      <w:r w:rsidR="00427468">
        <w:rPr>
          <w:kern w:val="0"/>
          <w:szCs w:val="24"/>
        </w:rPr>
        <w:t xml:space="preserve"> of </w:t>
      </w:r>
      <w:r>
        <w:rPr>
          <w:kern w:val="0"/>
          <w:szCs w:val="24"/>
        </w:rPr>
        <w:t>evidence describing that</w:t>
      </w:r>
      <w:r w:rsidR="003A1917">
        <w:rPr>
          <w:kern w:val="0"/>
          <w:szCs w:val="24"/>
        </w:rPr>
        <w:t xml:space="preserve"> the </w:t>
      </w:r>
      <w:r>
        <w:rPr>
          <w:kern w:val="0"/>
          <w:szCs w:val="24"/>
        </w:rPr>
        <w:t>pharmacokinetics</w:t>
      </w:r>
      <w:r w:rsidR="005853A9">
        <w:rPr>
          <w:kern w:val="0"/>
          <w:szCs w:val="24"/>
        </w:rPr>
        <w:t xml:space="preserve"> and </w:t>
      </w:r>
      <w:r>
        <w:rPr>
          <w:kern w:val="0"/>
          <w:szCs w:val="24"/>
        </w:rPr>
        <w:t>pharmacodynamics</w:t>
      </w:r>
      <w:r w:rsidR="00427468">
        <w:rPr>
          <w:kern w:val="0"/>
          <w:szCs w:val="24"/>
        </w:rPr>
        <w:t xml:space="preserve"> of </w:t>
      </w:r>
      <w:r>
        <w:rPr>
          <w:kern w:val="0"/>
          <w:szCs w:val="24"/>
        </w:rPr>
        <w:t>radiopharmaceuticals may be changed by a variety</w:t>
      </w:r>
      <w:r w:rsidR="00427468">
        <w:rPr>
          <w:kern w:val="0"/>
          <w:szCs w:val="24"/>
        </w:rPr>
        <w:t xml:space="preserve"> of </w:t>
      </w:r>
      <w:r>
        <w:rPr>
          <w:kern w:val="0"/>
          <w:szCs w:val="24"/>
        </w:rPr>
        <w:t>drugs, disease states</w:t>
      </w:r>
      <w:r w:rsidR="005853A9">
        <w:rPr>
          <w:kern w:val="0"/>
          <w:szCs w:val="24"/>
        </w:rPr>
        <w:t xml:space="preserve"> and </w:t>
      </w:r>
      <w:r>
        <w:rPr>
          <w:kern w:val="0"/>
          <w:szCs w:val="24"/>
        </w:rPr>
        <w:t>in some cases, surgical procedures. Objective: To systematically search</w:t>
      </w:r>
      <w:r w:rsidR="003A1917">
        <w:rPr>
          <w:kern w:val="0"/>
          <w:szCs w:val="24"/>
        </w:rPr>
        <w:t xml:space="preserve"> the </w:t>
      </w:r>
      <w:r>
        <w:rPr>
          <w:kern w:val="0"/>
          <w:szCs w:val="24"/>
        </w:rPr>
        <w:t>medical literature</w:t>
      </w:r>
      <w:r w:rsidR="005853A9">
        <w:rPr>
          <w:kern w:val="0"/>
          <w:szCs w:val="24"/>
        </w:rPr>
        <w:t xml:space="preserve"> and </w:t>
      </w:r>
      <w:r>
        <w:rPr>
          <w:kern w:val="0"/>
          <w:szCs w:val="24"/>
        </w:rPr>
        <w:t>review</w:t>
      </w:r>
      <w:r w:rsidR="003A1917">
        <w:rPr>
          <w:kern w:val="0"/>
          <w:szCs w:val="24"/>
        </w:rPr>
        <w:t xml:space="preserve"> the </w:t>
      </w:r>
      <w:r>
        <w:rPr>
          <w:kern w:val="0"/>
          <w:szCs w:val="24"/>
        </w:rPr>
        <w:t xml:space="preserve">published evidence on adverse reactions to radiopharmaceuticals. Method: </w:t>
      </w:r>
      <w:r w:rsidR="00D5664A">
        <w:rPr>
          <w:kern w:val="0"/>
          <w:szCs w:val="24"/>
        </w:rPr>
        <w:t>MEDLINE</w:t>
      </w:r>
      <w:r>
        <w:rPr>
          <w:kern w:val="0"/>
          <w:szCs w:val="24"/>
        </w:rPr>
        <w:t>, EMBASE, International Pharmaceutical Abstracts</w:t>
      </w:r>
      <w:r w:rsidR="005853A9">
        <w:rPr>
          <w:kern w:val="0"/>
          <w:szCs w:val="24"/>
        </w:rPr>
        <w:t xml:space="preserve"> and </w:t>
      </w:r>
      <w:r>
        <w:rPr>
          <w:kern w:val="0"/>
          <w:szCs w:val="24"/>
        </w:rPr>
        <w:t>Science Citation Index were searched for studies reporting adverse reactions to radiopharmaceuticals. Controlled trials, cohort studies, case-control studies</w:t>
      </w:r>
      <w:r w:rsidR="005853A9">
        <w:rPr>
          <w:kern w:val="0"/>
          <w:szCs w:val="24"/>
        </w:rPr>
        <w:t xml:space="preserve"> and </w:t>
      </w:r>
      <w:r>
        <w:rPr>
          <w:kern w:val="0"/>
          <w:szCs w:val="24"/>
        </w:rPr>
        <w:t>case series published in major Western languages were considered for</w:t>
      </w:r>
      <w:r w:rsidR="003A1917">
        <w:rPr>
          <w:kern w:val="0"/>
          <w:szCs w:val="24"/>
        </w:rPr>
        <w:t xml:space="preserve"> the </w:t>
      </w:r>
      <w:r>
        <w:rPr>
          <w:kern w:val="0"/>
          <w:szCs w:val="24"/>
        </w:rPr>
        <w:t>review. Each study included in</w:t>
      </w:r>
      <w:r w:rsidR="003A1917">
        <w:rPr>
          <w:kern w:val="0"/>
          <w:szCs w:val="24"/>
        </w:rPr>
        <w:t xml:space="preserve"> the </w:t>
      </w:r>
      <w:r>
        <w:rPr>
          <w:kern w:val="0"/>
          <w:szCs w:val="24"/>
        </w:rPr>
        <w:t>present review was described in a narrative way,</w:t>
      </w:r>
      <w:r w:rsidR="005853A9">
        <w:rPr>
          <w:kern w:val="0"/>
          <w:szCs w:val="24"/>
        </w:rPr>
        <w:t xml:space="preserve"> and </w:t>
      </w:r>
      <w:r>
        <w:rPr>
          <w:kern w:val="0"/>
          <w:szCs w:val="24"/>
        </w:rPr>
        <w:t>major components</w:t>
      </w:r>
      <w:r w:rsidR="00427468">
        <w:rPr>
          <w:kern w:val="0"/>
          <w:szCs w:val="24"/>
        </w:rPr>
        <w:t xml:space="preserve"> of </w:t>
      </w:r>
      <w:r>
        <w:rPr>
          <w:kern w:val="0"/>
          <w:szCs w:val="24"/>
        </w:rPr>
        <w:t>each study were reported (ie, research design, patient characteristics, types</w:t>
      </w:r>
      <w:r w:rsidR="00427468">
        <w:rPr>
          <w:kern w:val="0"/>
          <w:szCs w:val="24"/>
        </w:rPr>
        <w:t xml:space="preserve"> of </w:t>
      </w:r>
      <w:r>
        <w:rPr>
          <w:kern w:val="0"/>
          <w:szCs w:val="24"/>
        </w:rPr>
        <w:t>drugs</w:t>
      </w:r>
      <w:r w:rsidR="005853A9">
        <w:rPr>
          <w:kern w:val="0"/>
          <w:szCs w:val="24"/>
        </w:rPr>
        <w:t xml:space="preserve"> and </w:t>
      </w:r>
      <w:r>
        <w:rPr>
          <w:kern w:val="0"/>
          <w:szCs w:val="24"/>
        </w:rPr>
        <w:t xml:space="preserve">radiopharmaceuticals, </w:t>
      </w:r>
      <w:r>
        <w:rPr>
          <w:kern w:val="0"/>
          <w:szCs w:val="24"/>
        </w:rPr>
        <w:lastRenderedPageBreak/>
        <w:t>dosing information</w:t>
      </w:r>
      <w:r w:rsidR="005853A9">
        <w:rPr>
          <w:kern w:val="0"/>
          <w:szCs w:val="24"/>
        </w:rPr>
        <w:t xml:space="preserve"> and </w:t>
      </w:r>
      <w:r>
        <w:rPr>
          <w:kern w:val="0"/>
          <w:szCs w:val="24"/>
        </w:rPr>
        <w:t>adverse reactions). Results:</w:t>
      </w:r>
      <w:r w:rsidR="003A1917">
        <w:rPr>
          <w:kern w:val="0"/>
          <w:szCs w:val="24"/>
        </w:rPr>
        <w:t xml:space="preserve"> the </w:t>
      </w:r>
      <w:r>
        <w:rPr>
          <w:kern w:val="0"/>
          <w:szCs w:val="24"/>
        </w:rPr>
        <w:t>majority</w:t>
      </w:r>
      <w:r w:rsidR="00427468">
        <w:rPr>
          <w:kern w:val="0"/>
          <w:szCs w:val="24"/>
        </w:rPr>
        <w:t xml:space="preserve"> of </w:t>
      </w:r>
      <w:r>
        <w:rPr>
          <w:kern w:val="0"/>
          <w:szCs w:val="24"/>
        </w:rPr>
        <w:t>adverse reactions to radiopharmaceuticals described in</w:t>
      </w:r>
      <w:r w:rsidR="003A1917">
        <w:rPr>
          <w:kern w:val="0"/>
          <w:szCs w:val="24"/>
        </w:rPr>
        <w:t xml:space="preserve"> the </w:t>
      </w:r>
      <w:r>
        <w:rPr>
          <w:kern w:val="0"/>
          <w:szCs w:val="24"/>
        </w:rPr>
        <w:t>literature required little or no treatment,</w:t>
      </w:r>
      <w:r w:rsidR="005853A9">
        <w:rPr>
          <w:kern w:val="0"/>
          <w:szCs w:val="24"/>
        </w:rPr>
        <w:t xml:space="preserve"> and </w:t>
      </w:r>
      <w:r>
        <w:rPr>
          <w:kern w:val="0"/>
          <w:szCs w:val="24"/>
        </w:rPr>
        <w:t>their negative effects were generally mild</w:t>
      </w:r>
      <w:r w:rsidR="005853A9">
        <w:rPr>
          <w:kern w:val="0"/>
          <w:szCs w:val="24"/>
        </w:rPr>
        <w:t xml:space="preserve"> and </w:t>
      </w:r>
      <w:r>
        <w:rPr>
          <w:kern w:val="0"/>
          <w:szCs w:val="24"/>
        </w:rPr>
        <w:t>self-limited. Large longitudinal greater than 5-year studies reported prevalence rates</w:t>
      </w:r>
      <w:r w:rsidR="00427468">
        <w:rPr>
          <w:kern w:val="0"/>
          <w:szCs w:val="24"/>
        </w:rPr>
        <w:t xml:space="preserve"> of </w:t>
      </w:r>
      <w:r>
        <w:rPr>
          <w:kern w:val="0"/>
          <w:szCs w:val="24"/>
        </w:rPr>
        <w:t>adverse reactions due to radiopharmaceuticals ranging from 0 to 25 cases per 100,000 administrations. Case studies on</w:t>
      </w:r>
      <w:r w:rsidR="003A1917">
        <w:rPr>
          <w:kern w:val="0"/>
          <w:szCs w:val="24"/>
        </w:rPr>
        <w:t xml:space="preserve"> the </w:t>
      </w:r>
      <w:r>
        <w:rPr>
          <w:kern w:val="0"/>
          <w:szCs w:val="24"/>
        </w:rPr>
        <w:t>use</w:t>
      </w:r>
      <w:r w:rsidR="00427468">
        <w:rPr>
          <w:kern w:val="0"/>
          <w:szCs w:val="24"/>
        </w:rPr>
        <w:t xml:space="preserve"> of </w:t>
      </w:r>
      <w:r>
        <w:rPr>
          <w:kern w:val="0"/>
          <w:szCs w:val="24"/>
        </w:rPr>
        <w:t>technetium reported mild adverse reactions; however, some led to potentially harmful complications. Similarly, studies involving fluorodeoxyglucose reported more severe adverse reactions. Conclusion:</w:t>
      </w:r>
      <w:r w:rsidR="003A1917">
        <w:rPr>
          <w:kern w:val="0"/>
          <w:szCs w:val="24"/>
        </w:rPr>
        <w:t xml:space="preserve"> the </w:t>
      </w:r>
      <w:r>
        <w:rPr>
          <w:kern w:val="0"/>
          <w:szCs w:val="24"/>
        </w:rPr>
        <w:t>literature on radiopharmaceuticals adverse effects is scarce,</w:t>
      </w:r>
      <w:r w:rsidR="005853A9">
        <w:rPr>
          <w:kern w:val="0"/>
          <w:szCs w:val="24"/>
        </w:rPr>
        <w:t xml:space="preserve"> and </w:t>
      </w:r>
      <w:r>
        <w:rPr>
          <w:kern w:val="0"/>
          <w:szCs w:val="24"/>
        </w:rPr>
        <w:t>just a few studies were conducted to investigate</w:t>
      </w:r>
      <w:r w:rsidR="003A1917">
        <w:rPr>
          <w:kern w:val="0"/>
          <w:szCs w:val="24"/>
        </w:rPr>
        <w:t xml:space="preserve"> the </w:t>
      </w:r>
      <w:r>
        <w:rPr>
          <w:kern w:val="0"/>
          <w:szCs w:val="24"/>
        </w:rPr>
        <w:t>association between radiopharmaceuticals</w:t>
      </w:r>
      <w:r w:rsidR="005853A9">
        <w:rPr>
          <w:kern w:val="0"/>
          <w:szCs w:val="24"/>
        </w:rPr>
        <w:t xml:space="preserve"> and </w:t>
      </w:r>
      <w:r>
        <w:rPr>
          <w:kern w:val="0"/>
          <w:szCs w:val="24"/>
        </w:rPr>
        <w:t>adverse reactions. Despite relatively mild</w:t>
      </w:r>
      <w:r w:rsidR="005853A9">
        <w:rPr>
          <w:kern w:val="0"/>
          <w:szCs w:val="24"/>
        </w:rPr>
        <w:t xml:space="preserve"> and </w:t>
      </w:r>
      <w:r>
        <w:rPr>
          <w:kern w:val="0"/>
          <w:szCs w:val="24"/>
        </w:rPr>
        <w:t>self-limited symptoms,</w:t>
      </w:r>
      <w:r w:rsidR="003A1917">
        <w:rPr>
          <w:kern w:val="0"/>
          <w:szCs w:val="24"/>
        </w:rPr>
        <w:t xml:space="preserve"> the </w:t>
      </w:r>
      <w:r>
        <w:rPr>
          <w:kern w:val="0"/>
          <w:szCs w:val="24"/>
        </w:rPr>
        <w:t>current widespread use</w:t>
      </w:r>
      <w:r w:rsidR="00427468">
        <w:rPr>
          <w:kern w:val="0"/>
          <w:szCs w:val="24"/>
        </w:rPr>
        <w:t xml:space="preserve"> of </w:t>
      </w:r>
      <w:r>
        <w:rPr>
          <w:kern w:val="0"/>
          <w:szCs w:val="24"/>
        </w:rPr>
        <w:t>radiopharmaceuticals requires constant monitoring for adverse reactions.</w:t>
      </w:r>
    </w:p>
    <w:p w:rsidR="00CA4A3D" w:rsidRDefault="00CA4A3D" w:rsidP="00CA4A3D">
      <w:pPr>
        <w:pStyle w:val="a3"/>
        <w:rPr>
          <w:kern w:val="0"/>
          <w:szCs w:val="24"/>
        </w:rPr>
      </w:pPr>
      <w:r>
        <w:rPr>
          <w:kern w:val="0"/>
          <w:szCs w:val="24"/>
        </w:rPr>
        <w:t xml:space="preserve">Keywords: Adverse Reaction, Adverse-Reactions, Case Series, Chemotherapy, Citation, Clinical Report, Drug Interaction, Drug-Interactions, Embase, Information, Literature, Literature Review, Medical, </w:t>
      </w:r>
      <w:r w:rsidR="00D5664A">
        <w:rPr>
          <w:kern w:val="0"/>
          <w:szCs w:val="24"/>
        </w:rPr>
        <w:t>MEDLINE</w:t>
      </w:r>
      <w:r>
        <w:rPr>
          <w:kern w:val="0"/>
          <w:szCs w:val="24"/>
        </w:rPr>
        <w:t>, Nuclear-Medicine, Prevalence, Radiopharmaceuticals, Research, Research Design, Review, Science Citation Index, Sestamibi, TC-99M</w:t>
      </w:r>
    </w:p>
    <w:p w:rsidR="003474F2" w:rsidRPr="001A3D2B" w:rsidRDefault="003474F2" w:rsidP="003474F2">
      <w:pPr>
        <w:pStyle w:val="1"/>
      </w:pPr>
      <w:r w:rsidRPr="001A3D2B">
        <w:br w:type="page"/>
      </w:r>
      <w:bookmarkStart w:id="293" w:name="_Toc420814409"/>
      <w:r w:rsidR="006E1110">
        <w:lastRenderedPageBreak/>
        <w:t xml:space="preserve">Title: </w:t>
      </w:r>
      <w:r w:rsidRPr="001A3D2B">
        <w:t xml:space="preserve">American </w:t>
      </w:r>
      <w:bookmarkStart w:id="294" w:name="_Toc516560381"/>
      <w:bookmarkStart w:id="295" w:name="_Toc104913953"/>
      <w:r w:rsidRPr="001A3D2B">
        <w:t>Journal</w:t>
      </w:r>
      <w:r w:rsidR="00427468">
        <w:t xml:space="preserve"> of </w:t>
      </w:r>
      <w:r w:rsidRPr="001A3D2B">
        <w:t>Medicine</w:t>
      </w:r>
      <w:bookmarkEnd w:id="293"/>
    </w:p>
    <w:p w:rsidR="003474F2" w:rsidRPr="001A3D2B" w:rsidRDefault="003474F2" w:rsidP="003474F2">
      <w:pPr>
        <w:pStyle w:val="12"/>
      </w:pPr>
      <w:r w:rsidRPr="001A3D2B">
        <w:t>Full Journal Ti</w:t>
      </w:r>
      <w:bookmarkEnd w:id="294"/>
      <w:bookmarkEnd w:id="295"/>
      <w:r w:rsidRPr="001A3D2B">
        <w:t xml:space="preserve">tle: </w:t>
      </w:r>
      <w:hyperlink r:id="rId530" w:history="1">
        <w:hyperlink r:id="rId531" w:history="1">
          <w:r w:rsidRPr="001A3D2B">
            <w:rPr>
              <w:rStyle w:val="a5"/>
            </w:rPr>
            <w:t>American Journal</w:t>
          </w:r>
          <w:r w:rsidR="00427468">
            <w:rPr>
              <w:rStyle w:val="a5"/>
            </w:rPr>
            <w:t xml:space="preserve"> of </w:t>
          </w:r>
          <w:r w:rsidRPr="001A3D2B">
            <w:rPr>
              <w:rStyle w:val="a5"/>
            </w:rPr>
            <w:t>Medicine</w:t>
          </w:r>
        </w:hyperlink>
      </w:hyperlink>
    </w:p>
    <w:p w:rsidR="003474F2" w:rsidRPr="001A3D2B" w:rsidRDefault="003474F2" w:rsidP="003474F2">
      <w:pPr>
        <w:pStyle w:val="12"/>
      </w:pPr>
      <w:r w:rsidRPr="001A3D2B">
        <w:t>ISO Abbreviated Title: Am. J. Med.</w:t>
      </w:r>
    </w:p>
    <w:p w:rsidR="003474F2" w:rsidRPr="001A3D2B" w:rsidRDefault="003474F2" w:rsidP="003474F2">
      <w:pPr>
        <w:pStyle w:val="12"/>
      </w:pPr>
      <w:r w:rsidRPr="001A3D2B">
        <w:t>JCR Abbreviated Title: Am J Med</w:t>
      </w:r>
    </w:p>
    <w:p w:rsidR="003474F2" w:rsidRPr="001A3D2B" w:rsidRDefault="003474F2" w:rsidP="003474F2">
      <w:pPr>
        <w:pStyle w:val="12"/>
      </w:pPr>
      <w:r w:rsidRPr="001A3D2B">
        <w:t>ISSN: 0002-9343</w:t>
      </w:r>
    </w:p>
    <w:p w:rsidR="003474F2" w:rsidRPr="001A3D2B" w:rsidRDefault="003474F2" w:rsidP="003474F2">
      <w:pPr>
        <w:pStyle w:val="12"/>
      </w:pPr>
      <w:r w:rsidRPr="001A3D2B">
        <w:t>Issues/Year: 25</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Excerpta Medica Inc</w:t>
      </w:r>
    </w:p>
    <w:p w:rsidR="003474F2" w:rsidRPr="001A3D2B" w:rsidRDefault="003474F2" w:rsidP="003474F2">
      <w:pPr>
        <w:pStyle w:val="12"/>
      </w:pPr>
      <w:r w:rsidRPr="001A3D2B">
        <w:t>Publisher Address: 650 Avenue</w:t>
      </w:r>
      <w:r w:rsidR="00427468">
        <w:t xml:space="preserve"> of </w:t>
      </w:r>
      <w:r w:rsidR="003A1917">
        <w:t xml:space="preserve">the </w:t>
      </w:r>
      <w:r w:rsidRPr="001A3D2B">
        <w:t xml:space="preserve">Americas, </w:t>
      </w:r>
      <w:smartTag w:uri="urn:schemas-microsoft-com:office:smarttags" w:element="place">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10011</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Medicine, General &amp; Internal: Impact Factor 5.960,/(2000)</w:t>
      </w:r>
    </w:p>
    <w:p w:rsidR="00701BB6" w:rsidRPr="001A3D2B" w:rsidRDefault="00701BB6" w:rsidP="00701BB6">
      <w:pPr>
        <w:pStyle w:val="a3"/>
      </w:pPr>
      <w:r w:rsidRPr="001A3D2B">
        <w:t>Saint, S.</w:t>
      </w:r>
      <w:r w:rsidR="005853A9">
        <w:t xml:space="preserve"> and </w:t>
      </w:r>
      <w:r w:rsidRPr="001A3D2B">
        <w:t>Matthay, M.A. (1998), Risk reduction in</w:t>
      </w:r>
      <w:r w:rsidR="003A1917">
        <w:t xml:space="preserve"> the </w:t>
      </w:r>
      <w:r w:rsidRPr="001A3D2B">
        <w:t xml:space="preserve">intensive care unit. </w:t>
      </w:r>
      <w:r w:rsidRPr="001A3D2B">
        <w:rPr>
          <w:i/>
        </w:rPr>
        <w:t>American Journal</w:t>
      </w:r>
      <w:r w:rsidR="00427468">
        <w:rPr>
          <w:i/>
        </w:rPr>
        <w:t xml:space="preserve"> of </w:t>
      </w:r>
      <w:r w:rsidRPr="001A3D2B">
        <w:rPr>
          <w:i/>
        </w:rPr>
        <w:t>Medicine</w:t>
      </w:r>
      <w:r w:rsidRPr="001A3D2B">
        <w:t xml:space="preserve">, </w:t>
      </w:r>
      <w:r w:rsidRPr="001A3D2B">
        <w:rPr>
          <w:b/>
        </w:rPr>
        <w:t>105</w:t>
      </w:r>
      <w:r w:rsidRPr="001A3D2B">
        <w:t xml:space="preserve"> (6), 515-523.</w:t>
      </w:r>
    </w:p>
    <w:p w:rsidR="003474F2" w:rsidRPr="001A3D2B" w:rsidRDefault="003474F2" w:rsidP="003474F2">
      <w:pPr>
        <w:pStyle w:val="a3"/>
      </w:pPr>
      <w:r w:rsidRPr="001A3D2B">
        <w:t xml:space="preserve">Full Text: </w:t>
      </w:r>
      <w:hyperlink r:id="rId532" w:history="1">
        <w:r w:rsidRPr="001A3D2B">
          <w:rPr>
            <w:rStyle w:val="a5"/>
          </w:rPr>
          <w:t>1998\Ame J Med105, 515.pdf</w:t>
        </w:r>
      </w:hyperlink>
    </w:p>
    <w:p w:rsidR="003474F2" w:rsidRPr="001A3D2B" w:rsidRDefault="003474F2" w:rsidP="003474F2">
      <w:pPr>
        <w:pStyle w:val="a3"/>
      </w:pPr>
      <w:r w:rsidRPr="001A3D2B">
        <w:t>Abstract: Many potentially preventable complications occur in patients who receive intensive care. We have reviewed</w:t>
      </w:r>
      <w:r w:rsidR="003A1917">
        <w:t xml:space="preserve"> the </w:t>
      </w:r>
      <w:r w:rsidRPr="001A3D2B">
        <w:t>epidemiology</w:t>
      </w:r>
      <w:r w:rsidR="00427468">
        <w:t xml:space="preserve"> of </w:t>
      </w:r>
      <w:r w:rsidRPr="001A3D2B">
        <w:t>three important complications (venous thromboembolism, stress-related upper gastrointestinal bleeding,</w:t>
      </w:r>
      <w:r w:rsidR="005853A9">
        <w:t xml:space="preserve"> and </w:t>
      </w:r>
      <w:r w:rsidRPr="001A3D2B">
        <w:t>vascular catheter-related infection)</w:t>
      </w:r>
      <w:r w:rsidR="005853A9">
        <w:t xml:space="preserve"> and </w:t>
      </w:r>
      <w:r w:rsidRPr="001A3D2B">
        <w:t xml:space="preserve">evaluated common preventive treatments to provide evidence-based recommendations for prevention. We used English language articles located by </w:t>
      </w:r>
      <w:r w:rsidR="00D5664A">
        <w:t>MEDLINE</w:t>
      </w:r>
      <w:r w:rsidRPr="001A3D2B">
        <w:t xml:space="preserve"> or cross-citation, giving preference to articles published in</w:t>
      </w:r>
      <w:r w:rsidR="003A1917">
        <w:t xml:space="preserve"> the </w:t>
      </w:r>
      <w:r w:rsidRPr="001A3D2B">
        <w:t>last 10 years, meta-analyses,</w:t>
      </w:r>
      <w:r w:rsidR="005853A9">
        <w:t xml:space="preserve"> and </w:t>
      </w:r>
      <w:r w:rsidRPr="001A3D2B">
        <w:t>clinical trials that were randomized, double-blinded,</w:t>
      </w:r>
      <w:r w:rsidR="005853A9">
        <w:t xml:space="preserve"> and </w:t>
      </w:r>
      <w:r w:rsidRPr="001A3D2B">
        <w:t>used intention-to-treat analysis. We recommend prophylaxis against venous thromboembolism in most patients, whereas those without respiratory failure or coagulopathy may not require prophylaxis against stress-related upper gastrointestinal hemorrhage. Chlorhexidine gluconate is</w:t>
      </w:r>
      <w:r w:rsidR="003A1917">
        <w:t xml:space="preserve"> the </w:t>
      </w:r>
      <w:r w:rsidRPr="001A3D2B">
        <w:t>preferred antiseptic for disinfecting</w:t>
      </w:r>
      <w:r w:rsidR="003A1917">
        <w:t xml:space="preserve"> the </w:t>
      </w:r>
      <w:r w:rsidRPr="001A3D2B">
        <w:t>skin prior to</w:t>
      </w:r>
      <w:r w:rsidR="005853A9">
        <w:t xml:space="preserve"> and </w:t>
      </w:r>
      <w:r w:rsidRPr="001A3D2B">
        <w:t>during intravascular catheterization. Central venous catheters impregnated with antibacterial or antiseptic agents should be considered in patients at high risk for vascular catheter-related infection. Finally, central venous, pulmonary arterial,</w:t>
      </w:r>
      <w:r w:rsidR="005853A9">
        <w:t xml:space="preserve"> and </w:t>
      </w:r>
      <w:r w:rsidRPr="001A3D2B">
        <w:t>systemic arterial catheters should be changed only when clinically indicated. Am J Med. 1998;105: 515-523. (C) 1998 by Excerpta Medica, Inc.</w:t>
      </w:r>
    </w:p>
    <w:p w:rsidR="003474F2" w:rsidRPr="001A3D2B" w:rsidRDefault="003474F2" w:rsidP="003474F2">
      <w:pPr>
        <w:pStyle w:val="a3"/>
      </w:pPr>
      <w:r w:rsidRPr="001A3D2B">
        <w:t>Keywords: Deep-Vein Thrombosis, Molecular-Weight Heparin, Critically Ill Patients, Low-Dose Heparin, Central Venous Catheters, Pulmonary-Artery Catheters, Cost-Effectiveness Analysis, Total Parenteral-Nutrition, Stress-Ulcer Prophylaxis, Double-Blind Trial</w:t>
      </w:r>
    </w:p>
    <w:p w:rsidR="003474F2" w:rsidRPr="001A3D2B" w:rsidRDefault="003474F2" w:rsidP="003474F2">
      <w:pPr>
        <w:pStyle w:val="a3"/>
      </w:pPr>
      <w:r w:rsidRPr="001A3D2B">
        <w:t>Rodrigo, G., Rod</w:t>
      </w:r>
      <w:bookmarkStart w:id="296" w:name="OLE_LINK2"/>
      <w:r w:rsidRPr="001A3D2B">
        <w:t>rigo, C.</w:t>
      </w:r>
      <w:r w:rsidR="005853A9">
        <w:t xml:space="preserve"> and </w:t>
      </w:r>
      <w:r w:rsidRPr="001A3D2B">
        <w:t>Burschtin, O. (1999), A meta-analysis</w:t>
      </w:r>
      <w:r w:rsidR="00427468">
        <w:t xml:space="preserve"> of </w:t>
      </w:r>
      <w:r w:rsidR="003A1917">
        <w:t xml:space="preserve">the </w:t>
      </w:r>
      <w:r w:rsidRPr="001A3D2B">
        <w:t>effects</w:t>
      </w:r>
      <w:r w:rsidR="00427468">
        <w:t xml:space="preserve"> of </w:t>
      </w:r>
      <w:r w:rsidRPr="001A3D2B">
        <w:lastRenderedPageBreak/>
        <w:t xml:space="preserve">ipratropium bromide in adults with acute asthma. </w:t>
      </w:r>
      <w:r w:rsidRPr="001A3D2B">
        <w:rPr>
          <w:i/>
        </w:rPr>
        <w:t>American Journal</w:t>
      </w:r>
      <w:r w:rsidR="00427468">
        <w:rPr>
          <w:i/>
        </w:rPr>
        <w:t xml:space="preserve"> of </w:t>
      </w:r>
      <w:r w:rsidRPr="001A3D2B">
        <w:rPr>
          <w:i/>
        </w:rPr>
        <w:t>Medicine</w:t>
      </w:r>
      <w:r w:rsidRPr="001A3D2B">
        <w:t xml:space="preserve">, </w:t>
      </w:r>
      <w:r w:rsidRPr="001A3D2B">
        <w:rPr>
          <w:b/>
          <w:bCs/>
        </w:rPr>
        <w:t>107</w:t>
      </w:r>
      <w:r w:rsidRPr="001A3D2B">
        <w:t xml:space="preserve"> (4), 363-370.</w:t>
      </w:r>
    </w:p>
    <w:p w:rsidR="003474F2" w:rsidRPr="001A3D2B" w:rsidRDefault="003474F2" w:rsidP="003474F2">
      <w:pPr>
        <w:pStyle w:val="a3"/>
      </w:pPr>
      <w:r w:rsidRPr="001A3D2B">
        <w:t xml:space="preserve">Full Text: </w:t>
      </w:r>
      <w:r w:rsidR="00206C8A">
        <w:fldChar w:fldCharType="begin"/>
      </w:r>
      <w:r w:rsidR="00FD158B">
        <w:instrText>HYPE</w:instrText>
      </w:r>
      <w:bookmarkEnd w:id="296"/>
      <w:r w:rsidR="00FD158B">
        <w:instrText>RLINK "1999/Ame%20J%20Med107,%20363.pdf"</w:instrText>
      </w:r>
      <w:r w:rsidR="00206C8A">
        <w:fldChar w:fldCharType="separate"/>
      </w:r>
      <w:r w:rsidRPr="001A3D2B">
        <w:rPr>
          <w:rStyle w:val="a5"/>
        </w:rPr>
        <w:t>1999\Ame J Med107, 363.pdf</w:t>
      </w:r>
      <w:r w:rsidR="00206C8A">
        <w:fldChar w:fldCharType="end"/>
      </w:r>
    </w:p>
    <w:p w:rsidR="003474F2" w:rsidRPr="001A3D2B" w:rsidRDefault="003474F2" w:rsidP="003474F2">
      <w:pPr>
        <w:pStyle w:val="a3"/>
      </w:pPr>
      <w:r w:rsidRPr="001A3D2B">
        <w:t>Abstract: PURPOSE: To review</w:t>
      </w:r>
      <w:r w:rsidR="003A1917">
        <w:t xml:space="preserve"> the </w:t>
      </w:r>
      <w:r w:rsidRPr="001A3D2B">
        <w:t>literature to determine whether inhaled ipratropium bromide provides additive benefits to adults with acute asthma who are being treated with beta-agonists in an emergency department. SUBJECTS</w:t>
      </w:r>
      <w:r w:rsidR="005853A9">
        <w:t xml:space="preserve"> and </w:t>
      </w:r>
      <w:r w:rsidRPr="001A3D2B">
        <w:t>METHODS: English-language studies, both published (1978 to 1999)</w:t>
      </w:r>
      <w:r w:rsidR="005853A9">
        <w:t xml:space="preserve"> and </w:t>
      </w:r>
      <w:r w:rsidRPr="001A3D2B">
        <w:t xml:space="preserve">unpublished, were retrieved using </w:t>
      </w:r>
      <w:r w:rsidR="00D5664A">
        <w:t>MEDLINE</w:t>
      </w:r>
      <w:r w:rsidRPr="001A3D2B">
        <w:t>, Science Citation Index, Current Contents, bibliographic reviews</w:t>
      </w:r>
      <w:r w:rsidR="00427468">
        <w:t xml:space="preserve"> of </w:t>
      </w:r>
      <w:r w:rsidRPr="001A3D2B">
        <w:t>primary research, review articles, consultation with experts,</w:t>
      </w:r>
      <w:r w:rsidR="005853A9">
        <w:t xml:space="preserve"> and </w:t>
      </w:r>
      <w:r w:rsidR="003A1917">
        <w:t xml:space="preserve">the </w:t>
      </w:r>
      <w:r w:rsidRPr="001A3D2B">
        <w:t>register</w:t>
      </w:r>
      <w:r w:rsidR="00427468">
        <w:t xml:space="preserve"> of </w:t>
      </w:r>
      <w:r w:rsidRPr="001A3D2B">
        <w:t>Medical Editors</w:t>
      </w:r>
      <w:r w:rsidR="00700038">
        <w:t>’</w:t>
      </w:r>
      <w:r w:rsidRPr="001A3D2B">
        <w:t xml:space="preserve"> Trial Amnesty. Only randomized, double-blind, controlled trials that enrolled patients having an exacerbation</w:t>
      </w:r>
      <w:r w:rsidR="00427468">
        <w:t xml:space="preserve"> of </w:t>
      </w:r>
      <w:r w:rsidRPr="001A3D2B">
        <w:t>asthma were included</w:t>
      </w:r>
      <w:r w:rsidR="00A37C1D">
        <w:t>. The</w:t>
      </w:r>
      <w:r w:rsidR="003A1917">
        <w:t xml:space="preserve"> </w:t>
      </w:r>
      <w:r w:rsidRPr="001A3D2B">
        <w:t>main outcome measure was pulmonary function; hospital admission rate was also evaluated. RESULTS: Ten studies including 1,483 adults with acute asthma were selected (mean age 32±13 years, 36% men)</w:t>
      </w:r>
      <w:r w:rsidR="00A37C1D">
        <w:t>. The</w:t>
      </w:r>
      <w:r w:rsidR="003A1917">
        <w:t xml:space="preserve"> </w:t>
      </w:r>
      <w:r w:rsidRPr="001A3D2B">
        <w:t>overall effect size in SD units</w:t>
      </w:r>
      <w:r w:rsidR="00427468">
        <w:t xml:space="preserve"> of </w:t>
      </w:r>
      <w:r w:rsidRPr="001A3D2B">
        <w:t>pulmonary function showed a significant benefit from ipratropium (effect size 0.14, 95% confidence interval [CI]: 0.04 to 0.24, P = 0.008). Study-specific effect sizes ranged from 0.03 to 0.63. This pooled effect size was equivalent to a 10% (95% CI: 2% to 18%) increase in forced expiratory volume in 1 second (FEV) or peak expiratory flow in</w:t>
      </w:r>
      <w:r w:rsidR="003A1917">
        <w:t xml:space="preserve"> the </w:t>
      </w:r>
      <w:r w:rsidRPr="001A3D2B">
        <w:t>ipratropium group compared with</w:t>
      </w:r>
      <w:r w:rsidR="003A1917">
        <w:t xml:space="preserve"> the </w:t>
      </w:r>
      <w:r w:rsidRPr="001A3D2B">
        <w:t>control group. Analysis</w:t>
      </w:r>
      <w:r w:rsidR="00427468">
        <w:t xml:space="preserve"> of </w:t>
      </w:r>
      <w:r w:rsidR="003A1917">
        <w:t xml:space="preserve">the </w:t>
      </w:r>
      <w:r w:rsidRPr="001A3D2B">
        <w:t>four studies that included patients with extreme obstruction (: FEV, or peak flow &lt;35%</w:t>
      </w:r>
      <w:r w:rsidR="00427468">
        <w:t xml:space="preserve"> of </w:t>
      </w:r>
      <w:r w:rsidRPr="001A3D2B">
        <w:t>predicted at presentation) showed substantial improvement with ipratropium therapy (effect size 0.38, 95% CI: 0.09 to 0.67). In</w:t>
      </w:r>
      <w:r w:rsidR="003A1917">
        <w:t xml:space="preserve"> the </w:t>
      </w:r>
      <w:r w:rsidRPr="001A3D2B">
        <w:t>five trials (1, 186 patients) that studied</w:t>
      </w:r>
      <w:r w:rsidR="003A1917">
        <w:t xml:space="preserve"> the </w:t>
      </w:r>
      <w:r w:rsidRPr="001A3D2B">
        <w:t>effect</w:t>
      </w:r>
      <w:r w:rsidR="00427468">
        <w:t xml:space="preserve"> of </w:t>
      </w:r>
      <w:r w:rsidRPr="001A3D2B">
        <w:t>ipratropium administration on hospital admissions, pooled results revealed that ipratropium reduced admission rates significantly (odds ratio 0.62, 95% CI: 0.44 to 0.88, P = 0.007). CONCLUSIONS:</w:t>
      </w:r>
      <w:r w:rsidR="003A1917">
        <w:t xml:space="preserve"> the </w:t>
      </w:r>
      <w:r w:rsidRPr="001A3D2B">
        <w:t>addition</w:t>
      </w:r>
      <w:r w:rsidR="00427468">
        <w:t xml:space="preserve"> of </w:t>
      </w:r>
      <w:r w:rsidRPr="001A3D2B">
        <w:t>ipratropium to beta-agonist therapy offers a statistically significant, albeit modest, improvement in pulmonary function, as well as a reduction in</w:t>
      </w:r>
      <w:r w:rsidR="003A1917">
        <w:t xml:space="preserve"> the </w:t>
      </w:r>
      <w:r w:rsidRPr="001A3D2B">
        <w:t>rate</w:t>
      </w:r>
      <w:r w:rsidR="00427468">
        <w:t xml:space="preserve"> of </w:t>
      </w:r>
      <w:r w:rsidRPr="001A3D2B">
        <w:t>hospital admissions. (C) 1999 by Excerpta Medica, Inc.</w:t>
      </w:r>
    </w:p>
    <w:p w:rsidR="003474F2" w:rsidRPr="001A3D2B" w:rsidRDefault="003474F2" w:rsidP="003474F2">
      <w:pPr>
        <w:pStyle w:val="a3"/>
      </w:pPr>
      <w:r w:rsidRPr="001A3D2B">
        <w:t>Keywords: Acute Childhood, Adding Ipratropium, Additive, Administration, Adults, Age, Albuterol, Asthma, Benefit, Conclusions, Confidence, Control, Effects, Efficacy, Emergency, Flow, Forced Expiratory Volume, Function, Group, Hospital, Hospital Admissions, Management, Meta-Analysis, Metaanalysis, Method, Methods, Nebulized Ipratropium, Outcome, Outcome Measure, P, Patients, Randomized, Reduction, Research, Review, Reviews, Salbutamol, Science Citation Index, Size, Subject, Therapy, Trials</w:t>
      </w:r>
    </w:p>
    <w:p w:rsidR="003474F2" w:rsidRPr="001A3D2B" w:rsidRDefault="003474F2" w:rsidP="003474F2">
      <w:pPr>
        <w:pStyle w:val="a3"/>
      </w:pPr>
      <w:r w:rsidRPr="001A3D2B">
        <w:t>Ray, J., Berkwits, M.</w:t>
      </w:r>
      <w:r w:rsidR="005853A9">
        <w:t xml:space="preserve"> and </w:t>
      </w:r>
      <w:r w:rsidRPr="001A3D2B">
        <w:t>Davidoff, F. (1999</w:t>
      </w:r>
      <w:r w:rsidR="00F42EAC">
        <w:t>), The</w:t>
      </w:r>
      <w:r w:rsidR="003A1917">
        <w:t xml:space="preserve"> </w:t>
      </w:r>
      <w:r w:rsidRPr="001A3D2B">
        <w:t>fate</w:t>
      </w:r>
      <w:r w:rsidR="00427468">
        <w:t xml:space="preserve"> of </w:t>
      </w:r>
      <w:r w:rsidRPr="001A3D2B">
        <w:t>manuscripts rejected by a general medical journal</w:t>
      </w:r>
      <w:r w:rsidR="00A37C1D">
        <w:t>. The</w:t>
      </w:r>
      <w:r w:rsidR="003A1917">
        <w:t xml:space="preserve"> </w:t>
      </w:r>
      <w:r w:rsidRPr="001A3D2B">
        <w:rPr>
          <w:i/>
        </w:rPr>
        <w:t>American Journal</w:t>
      </w:r>
      <w:r w:rsidR="00427468">
        <w:rPr>
          <w:i/>
        </w:rPr>
        <w:t xml:space="preserve"> of </w:t>
      </w:r>
      <w:r w:rsidRPr="001A3D2B">
        <w:rPr>
          <w:i/>
        </w:rPr>
        <w:t>Medicine</w:t>
      </w:r>
      <w:r w:rsidRPr="001A3D2B">
        <w:t xml:space="preserve">, </w:t>
      </w:r>
      <w:r w:rsidRPr="001A3D2B">
        <w:rPr>
          <w:b/>
        </w:rPr>
        <w:t>109</w:t>
      </w:r>
      <w:r w:rsidRPr="001A3D2B">
        <w:t xml:space="preserve"> (2), 131-135.</w:t>
      </w:r>
    </w:p>
    <w:p w:rsidR="003474F2" w:rsidRPr="001A3D2B" w:rsidRDefault="003474F2" w:rsidP="003474F2">
      <w:pPr>
        <w:pStyle w:val="a3"/>
      </w:pPr>
      <w:r w:rsidRPr="001A3D2B">
        <w:t xml:space="preserve">Full Text: </w:t>
      </w:r>
      <w:hyperlink r:id="rId533" w:history="1">
        <w:r w:rsidRPr="001A3D2B">
          <w:rPr>
            <w:rStyle w:val="a5"/>
          </w:rPr>
          <w:t>1999\Ame J Med109, 131.pdf</w:t>
        </w:r>
      </w:hyperlink>
    </w:p>
    <w:p w:rsidR="003474F2" w:rsidRPr="001A3D2B" w:rsidRDefault="003474F2" w:rsidP="003474F2">
      <w:pPr>
        <w:pStyle w:val="a3"/>
      </w:pPr>
      <w:r w:rsidRPr="001A3D2B">
        <w:t>Abstract: PURPOSE:</w:t>
      </w:r>
      <w:r w:rsidR="003A1917">
        <w:t xml:space="preserve"> the </w:t>
      </w:r>
      <w:r w:rsidRPr="001A3D2B">
        <w:t>fate</w:t>
      </w:r>
      <w:r w:rsidR="00427468">
        <w:t xml:space="preserve"> of </w:t>
      </w:r>
      <w:r w:rsidRPr="001A3D2B">
        <w:t xml:space="preserve">research manuscripts that have been rejected by </w:t>
      </w:r>
      <w:r w:rsidRPr="001A3D2B">
        <w:lastRenderedPageBreak/>
        <w:t>medical journals is</w:t>
      </w:r>
      <w:r w:rsidR="00427468">
        <w:t xml:space="preserve"> of </w:t>
      </w:r>
      <w:r w:rsidRPr="001A3D2B">
        <w:t>interest to authors, editors,</w:t>
      </w:r>
      <w:r w:rsidR="005853A9">
        <w:t xml:space="preserve"> and </w:t>
      </w:r>
      <w:r w:rsidRPr="001A3D2B">
        <w:t>peer reviewers, but previous studies were conducted before</w:t>
      </w:r>
      <w:r w:rsidR="003A1917">
        <w:t xml:space="preserve"> the </w:t>
      </w:r>
      <w:r w:rsidRPr="001A3D2B">
        <w:t>widespread availability</w:t>
      </w:r>
      <w:r w:rsidR="00427468">
        <w:t xml:space="preserve"> of </w:t>
      </w:r>
      <w:r w:rsidRPr="001A3D2B">
        <w:t>computerized literature searches. We update</w:t>
      </w:r>
      <w:r w:rsidR="003A1917">
        <w:t xml:space="preserve"> the </w:t>
      </w:r>
      <w:r w:rsidRPr="001A3D2B">
        <w:t>previous investigations</w:t>
      </w:r>
      <w:r w:rsidR="00427468">
        <w:t xml:space="preserve"> of </w:t>
      </w:r>
      <w:r w:rsidR="003A1917">
        <w:t xml:space="preserve">the </w:t>
      </w:r>
      <w:r w:rsidRPr="001A3D2B">
        <w:t>fate</w:t>
      </w:r>
      <w:r w:rsidR="00427468">
        <w:t xml:space="preserve"> of </w:t>
      </w:r>
      <w:r w:rsidRPr="001A3D2B">
        <w:t>rejected research manuscripts by using an electronic literature search</w:t>
      </w:r>
      <w:r w:rsidR="005853A9">
        <w:t xml:space="preserve"> and </w:t>
      </w:r>
      <w:r w:rsidRPr="001A3D2B">
        <w:t>a larger sample, a longer follow</w:t>
      </w:r>
      <w:r w:rsidR="0062028A">
        <w:t>-up,</w:t>
      </w:r>
      <w:r w:rsidR="005853A9">
        <w:t xml:space="preserve"> and </w:t>
      </w:r>
      <w:r w:rsidRPr="001A3D2B">
        <w:t>more descriptive journal indexes.</w:t>
      </w:r>
    </w:p>
    <w:p w:rsidR="003474F2" w:rsidRPr="001A3D2B" w:rsidRDefault="003474F2" w:rsidP="003474F2">
      <w:pPr>
        <w:pStyle w:val="a3"/>
      </w:pPr>
      <w:r w:rsidRPr="001A3D2B">
        <w:t>METHODS: Using a retrospective cohort study design, we examined 350 manuscripts rejected by</w:t>
      </w:r>
      <w:r w:rsidR="003A1917">
        <w:t xml:space="preserve"> the </w:t>
      </w:r>
      <w:r w:rsidRPr="001A3D2B">
        <w:rPr>
          <w:i/>
          <w:iCs/>
        </w:rPr>
        <w:t>Annals</w:t>
      </w:r>
      <w:r w:rsidR="00427468">
        <w:rPr>
          <w:i/>
          <w:iCs/>
        </w:rPr>
        <w:t xml:space="preserve"> of </w:t>
      </w:r>
      <w:r w:rsidRPr="001A3D2B">
        <w:rPr>
          <w:i/>
          <w:iCs/>
        </w:rPr>
        <w:t>Internal Medicine</w:t>
      </w:r>
      <w:r w:rsidRPr="001A3D2B">
        <w:t>, a general medical journal, during 1993</w:t>
      </w:r>
      <w:r w:rsidR="005853A9">
        <w:t xml:space="preserve"> and </w:t>
      </w:r>
      <w:r w:rsidRPr="001A3D2B">
        <w:t>1994. We assessed</w:t>
      </w:r>
      <w:r w:rsidR="003A1917">
        <w:t xml:space="preserve"> the </w:t>
      </w:r>
      <w:r w:rsidRPr="001A3D2B">
        <w:t>number</w:t>
      </w:r>
      <w:r w:rsidR="00427468">
        <w:t xml:space="preserve"> of </w:t>
      </w:r>
      <w:r w:rsidRPr="001A3D2B">
        <w:t>manuscripts that were published after initial rejection, time to eventual publication, journal type (general versus specialty),</w:t>
      </w:r>
      <w:r w:rsidR="005853A9">
        <w:t xml:space="preserve"> and </w:t>
      </w:r>
      <w:r w:rsidRPr="001A3D2B">
        <w:t>journal impact factor (higher scores indicated greater impact)</w:t>
      </w:r>
      <w:r w:rsidR="005853A9">
        <w:t xml:space="preserve"> and </w:t>
      </w:r>
      <w:r w:rsidRPr="001A3D2B">
        <w:t>immediacy index.</w:t>
      </w:r>
    </w:p>
    <w:p w:rsidR="003474F2" w:rsidRPr="001A3D2B" w:rsidRDefault="003474F2" w:rsidP="003474F2">
      <w:pPr>
        <w:pStyle w:val="a3"/>
      </w:pPr>
      <w:r w:rsidRPr="001A3D2B">
        <w:t>RESULTS:</w:t>
      </w:r>
      <w:r w:rsidR="00427468">
        <w:t xml:space="preserve"> of </w:t>
      </w:r>
      <w:r w:rsidRPr="001A3D2B">
        <w:t>350 rejected manuscripts, 240 (69%, 95% confidence interval [CI]: 64% to 73%) were eventually published after a mean</w:t>
      </w:r>
      <w:r w:rsidR="00427468">
        <w:t xml:space="preserve"> of </w:t>
      </w:r>
      <w:r w:rsidRPr="001A3D2B">
        <w:t>552 days (95% CI: 479 to 544 days, range 121 to 1, 792 days).</w:t>
      </w:r>
      <w:r w:rsidR="00427468">
        <w:t xml:space="preserve"> of </w:t>
      </w:r>
      <w:r w:rsidRPr="001A3D2B">
        <w:t>226 rejected research articles</w:t>
      </w:r>
      <w:r w:rsidR="005853A9">
        <w:t xml:space="preserve"> and </w:t>
      </w:r>
      <w:r w:rsidRPr="001A3D2B">
        <w:t>reviews, 159 (70%, 95% CI: 64% to 76%) were subsequently published in specialty journals. During 1993</w:t>
      </w:r>
      <w:r w:rsidR="005853A9">
        <w:t xml:space="preserve"> and </w:t>
      </w:r>
      <w:r w:rsidRPr="001A3D2B">
        <w:t>1994,</w:t>
      </w:r>
      <w:r w:rsidR="003A1917">
        <w:t xml:space="preserve"> the </w:t>
      </w:r>
      <w:r w:rsidRPr="001A3D2B">
        <w:t>mean impact factor for articles published in</w:t>
      </w:r>
      <w:r w:rsidR="003A1917">
        <w:t xml:space="preserve"> the </w:t>
      </w:r>
      <w:r w:rsidRPr="001A3D2B">
        <w:rPr>
          <w:i/>
          <w:iCs/>
        </w:rPr>
        <w:t>Annals</w:t>
      </w:r>
      <w:r w:rsidRPr="001A3D2B">
        <w:t xml:space="preserve"> was 9.60 (95% CI: 9.56 to 9.64), compared with a mean</w:t>
      </w:r>
      <w:r w:rsidR="00427468">
        <w:t xml:space="preserve"> of </w:t>
      </w:r>
      <w:r w:rsidRPr="001A3D2B">
        <w:t>3.09 (95% CI: 2.80 to 3.37) for</w:t>
      </w:r>
      <w:r w:rsidR="003A1917">
        <w:t xml:space="preserve"> the </w:t>
      </w:r>
      <w:r w:rsidRPr="001A3D2B">
        <w:t>journals in which</w:t>
      </w:r>
      <w:r w:rsidR="003A1917">
        <w:t xml:space="preserve"> the </w:t>
      </w:r>
      <w:r w:rsidRPr="001A3D2B">
        <w:t xml:space="preserve">rejected articles were subsequently published (mean difference 6.52, 95% CI: 6.24 to 6.81, </w:t>
      </w:r>
      <w:r w:rsidRPr="001A3D2B">
        <w:rPr>
          <w:i/>
          <w:iCs/>
        </w:rPr>
        <w:t>P</w:t>
      </w:r>
      <w:r w:rsidRPr="001A3D2B">
        <w:t xml:space="preserve"> &lt; 0.0001)</w:t>
      </w:r>
      <w:r w:rsidR="00A37C1D">
        <w:t>. The</w:t>
      </w:r>
      <w:r w:rsidR="003A1917">
        <w:t xml:space="preserve"> </w:t>
      </w:r>
      <w:r w:rsidRPr="001A3D2B">
        <w:t>immediacy index was also lower for these journals. Time to publication had a weak negative correlation with</w:t>
      </w:r>
      <w:r w:rsidR="003A1917">
        <w:t xml:space="preserve"> the </w:t>
      </w:r>
      <w:r w:rsidRPr="001A3D2B">
        <w:t>impact factor</w:t>
      </w:r>
      <w:r w:rsidR="00427468">
        <w:t xml:space="preserve"> of </w:t>
      </w:r>
      <w:r w:rsidR="003A1917">
        <w:t xml:space="preserve">the </w:t>
      </w:r>
      <w:r w:rsidRPr="001A3D2B">
        <w:t>journal in which</w:t>
      </w:r>
      <w:r w:rsidR="003A1917">
        <w:t xml:space="preserve"> the </w:t>
      </w:r>
      <w:r w:rsidRPr="001A3D2B">
        <w:t xml:space="preserve">article was published (correlation coefficient -0.15, </w:t>
      </w:r>
      <w:r w:rsidRPr="001A3D2B">
        <w:rPr>
          <w:i/>
          <w:iCs/>
        </w:rPr>
        <w:t>P</w:t>
      </w:r>
      <w:r w:rsidRPr="001A3D2B">
        <w:t xml:space="preserve"> = 0.007).</w:t>
      </w:r>
    </w:p>
    <w:p w:rsidR="003474F2" w:rsidRPr="001A3D2B" w:rsidRDefault="003474F2" w:rsidP="003474F2">
      <w:pPr>
        <w:pStyle w:val="a3"/>
      </w:pPr>
      <w:r w:rsidRPr="001A3D2B">
        <w:t>CONCLUSIONS:</w:t>
      </w:r>
      <w:r w:rsidR="003A1917">
        <w:t xml:space="preserve"> the </w:t>
      </w:r>
      <w:r w:rsidRPr="001A3D2B">
        <w:t>majority</w:t>
      </w:r>
      <w:r w:rsidR="00427468">
        <w:t xml:space="preserve"> of </w:t>
      </w:r>
      <w:r w:rsidR="003A1917">
        <w:t xml:space="preserve">the </w:t>
      </w:r>
      <w:r w:rsidRPr="001A3D2B">
        <w:t>manuscripts that were rejected from a large general medical journal were eventually published after an average</w:t>
      </w:r>
      <w:r w:rsidR="00427468">
        <w:t xml:space="preserve"> of </w:t>
      </w:r>
      <w:r w:rsidRPr="001A3D2B">
        <w:t>18 months. Most were published in specialty journals with lower impact factor</w:t>
      </w:r>
      <w:r w:rsidR="005853A9">
        <w:t xml:space="preserve"> and </w:t>
      </w:r>
      <w:r w:rsidRPr="001A3D2B">
        <w:t>immediacy index ratings.</w:t>
      </w:r>
    </w:p>
    <w:p w:rsidR="003474F2" w:rsidRPr="001A3D2B" w:rsidRDefault="003474F2" w:rsidP="003474F2">
      <w:pPr>
        <w:pStyle w:val="a3"/>
      </w:pPr>
      <w:r w:rsidRPr="001A3D2B">
        <w:t xml:space="preserve">Lyman, G.H., </w:t>
      </w:r>
      <w:smartTag w:uri="urn:schemas-microsoft-com:office:smarttags" w:element="City">
        <w:r w:rsidRPr="001A3D2B">
          <w:t>Kuderer</w:t>
        </w:r>
      </w:smartTag>
      <w:r w:rsidRPr="001A3D2B">
        <w:t>, N.M.</w:t>
      </w:r>
      <w:r w:rsidR="005853A9">
        <w:t xml:space="preserve"> and </w:t>
      </w:r>
      <w:r w:rsidRPr="001A3D2B">
        <w:t>Djulbegovic, B. (2002), Prophylactic granulocyte colony-stimulating factor in patients receiving dose-intensive cancer chemotherapy: A meta-analysis</w:t>
      </w:r>
      <w:r w:rsidR="00A37C1D">
        <w:t>. The</w:t>
      </w:r>
      <w:r w:rsidR="003A1917">
        <w:t xml:space="preserve"> </w:t>
      </w:r>
      <w:r w:rsidRPr="001A3D2B">
        <w:rPr>
          <w:i/>
        </w:rPr>
        <w:t>American Journal</w:t>
      </w:r>
      <w:r w:rsidR="00427468">
        <w:rPr>
          <w:i/>
        </w:rPr>
        <w:t xml:space="preserve"> of </w:t>
      </w:r>
      <w:r w:rsidRPr="001A3D2B">
        <w:rPr>
          <w:i/>
        </w:rPr>
        <w:t>Medicine</w:t>
      </w:r>
      <w:r w:rsidRPr="001A3D2B">
        <w:t xml:space="preserve">, </w:t>
      </w:r>
      <w:r w:rsidRPr="001A3D2B">
        <w:rPr>
          <w:b/>
        </w:rPr>
        <w:t>112</w:t>
      </w:r>
      <w:r w:rsidRPr="001A3D2B">
        <w:t xml:space="preserve"> (5), 406-411.</w:t>
      </w:r>
    </w:p>
    <w:p w:rsidR="003474F2" w:rsidRPr="001A3D2B" w:rsidRDefault="003474F2" w:rsidP="003474F2">
      <w:pPr>
        <w:pStyle w:val="a3"/>
      </w:pPr>
      <w:r w:rsidRPr="001A3D2B">
        <w:t xml:space="preserve">Full Text: </w:t>
      </w:r>
      <w:hyperlink r:id="rId534" w:history="1">
        <w:r w:rsidRPr="001A3D2B">
          <w:rPr>
            <w:rStyle w:val="a5"/>
          </w:rPr>
          <w:t>2002\Ame J Med112, 406.pdf</w:t>
        </w:r>
      </w:hyperlink>
    </w:p>
    <w:p w:rsidR="003474F2" w:rsidRPr="001A3D2B" w:rsidRDefault="003474F2" w:rsidP="003474F2">
      <w:pPr>
        <w:pStyle w:val="a3"/>
      </w:pPr>
      <w:r w:rsidRPr="001A3D2B">
        <w:t>Abstract: PURPOSE: Several studies have evaluated</w:t>
      </w:r>
      <w:r w:rsidR="003A1917">
        <w:t xml:space="preserve"> the </w:t>
      </w:r>
      <w:r w:rsidRPr="001A3D2B">
        <w:t>efficacy</w:t>
      </w:r>
      <w:r w:rsidR="00427468">
        <w:t xml:space="preserve"> of </w:t>
      </w:r>
      <w:r w:rsidR="003A1917">
        <w:t xml:space="preserve">the </w:t>
      </w:r>
      <w:r w:rsidRPr="001A3D2B">
        <w:t>recombinant colony-stimulating factors in reducing</w:t>
      </w:r>
      <w:r w:rsidR="003A1917">
        <w:t xml:space="preserve"> the </w:t>
      </w:r>
      <w:r w:rsidRPr="001A3D2B">
        <w:t>severity</w:t>
      </w:r>
      <w:r w:rsidR="005853A9">
        <w:t xml:space="preserve"> and </w:t>
      </w:r>
      <w:r w:rsidRPr="001A3D2B">
        <w:t>duration</w:t>
      </w:r>
      <w:r w:rsidR="00427468">
        <w:t xml:space="preserve"> of </w:t>
      </w:r>
      <w:r w:rsidRPr="001A3D2B">
        <w:t>neutropenia</w:t>
      </w:r>
      <w:r w:rsidR="005853A9">
        <w:t xml:space="preserve"> and </w:t>
      </w:r>
      <w:r w:rsidR="003A1917">
        <w:t xml:space="preserve">the </w:t>
      </w:r>
      <w:r w:rsidRPr="001A3D2B">
        <w:t>risk</w:t>
      </w:r>
      <w:r w:rsidR="00427468">
        <w:t xml:space="preserve"> of </w:t>
      </w:r>
      <w:r w:rsidRPr="001A3D2B">
        <w:t>infection associated with dose-intensive cancer chemotherapy. We performed a meta-analysis to define better</w:t>
      </w:r>
      <w:r w:rsidR="003A1917">
        <w:t xml:space="preserve"> the </w:t>
      </w:r>
      <w:r w:rsidRPr="001A3D2B">
        <w:t>magnitude</w:t>
      </w:r>
      <w:r w:rsidR="00427468">
        <w:t xml:space="preserve"> of </w:t>
      </w:r>
      <w:r w:rsidRPr="001A3D2B">
        <w:t>this effect</w:t>
      </w:r>
      <w:r w:rsidR="005853A9">
        <w:t xml:space="preserve"> and </w:t>
      </w:r>
      <w:r w:rsidRPr="001A3D2B">
        <w:t>to assess</w:t>
      </w:r>
      <w:r w:rsidR="003A1917">
        <w:t xml:space="preserve"> the </w:t>
      </w:r>
      <w:r w:rsidRPr="001A3D2B">
        <w:t>generalizability</w:t>
      </w:r>
      <w:r w:rsidR="00427468">
        <w:t xml:space="preserve"> of </w:t>
      </w:r>
      <w:r w:rsidR="003A1917">
        <w:t xml:space="preserve">the </w:t>
      </w:r>
      <w:r w:rsidRPr="001A3D2B">
        <w:t>results among different diseases</w:t>
      </w:r>
      <w:r w:rsidR="005853A9">
        <w:t xml:space="preserve"> and </w:t>
      </w:r>
      <w:r w:rsidRPr="001A3D2B">
        <w:t>types</w:t>
      </w:r>
      <w:r w:rsidR="00427468">
        <w:t xml:space="preserve"> of </w:t>
      </w:r>
      <w:r w:rsidRPr="001A3D2B">
        <w:t xml:space="preserve">treatment. </w:t>
      </w:r>
    </w:p>
    <w:p w:rsidR="003474F2" w:rsidRPr="001A3D2B" w:rsidRDefault="003474F2" w:rsidP="003474F2">
      <w:pPr>
        <w:pStyle w:val="a3"/>
      </w:pPr>
      <w:r w:rsidRPr="001A3D2B">
        <w:t>MATERIALS</w:t>
      </w:r>
      <w:r w:rsidR="005853A9">
        <w:t xml:space="preserve"> and </w:t>
      </w:r>
      <w:r w:rsidRPr="001A3D2B">
        <w:t>METHODS: We used electronic databases</w:t>
      </w:r>
      <w:r w:rsidR="005853A9">
        <w:t xml:space="preserve"> and </w:t>
      </w:r>
      <w:r w:rsidRPr="001A3D2B">
        <w:t>citation lists to identify controlled clinical trials</w:t>
      </w:r>
      <w:r w:rsidR="00427468">
        <w:t xml:space="preserve"> of </w:t>
      </w:r>
      <w:r w:rsidR="003A1917">
        <w:t xml:space="preserve">the </w:t>
      </w:r>
      <w:r w:rsidRPr="001A3D2B">
        <w:t>prophylactic efficacy</w:t>
      </w:r>
      <w:r w:rsidR="00427468">
        <w:t xml:space="preserve"> of </w:t>
      </w:r>
      <w:r w:rsidR="003A1917">
        <w:t xml:space="preserve">the </w:t>
      </w:r>
      <w:r w:rsidRPr="001A3D2B">
        <w:t>colony-stimulating factors on neutropenic complications. We selected randomized trials</w:t>
      </w:r>
      <w:r w:rsidR="00427468">
        <w:t xml:space="preserve"> of </w:t>
      </w:r>
      <w:r w:rsidR="003A1917">
        <w:t xml:space="preserve">the </w:t>
      </w:r>
      <w:r w:rsidRPr="001A3D2B">
        <w:t>use</w:t>
      </w:r>
      <w:r w:rsidR="00427468">
        <w:t xml:space="preserve"> of </w:t>
      </w:r>
      <w:r w:rsidRPr="001A3D2B">
        <w:t>recombinant colony-stimulating factors before</w:t>
      </w:r>
      <w:r w:rsidR="003A1917">
        <w:t xml:space="preserve"> the </w:t>
      </w:r>
      <w:r w:rsidRPr="001A3D2B">
        <w:t>onset</w:t>
      </w:r>
      <w:r w:rsidR="00427468">
        <w:t xml:space="preserve"> of </w:t>
      </w:r>
      <w:r w:rsidRPr="001A3D2B">
        <w:t xml:space="preserve">fever or neutropenia following systemic chemotherapy for solid tumors or malignant </w:t>
      </w:r>
      <w:r w:rsidRPr="001A3D2B">
        <w:lastRenderedPageBreak/>
        <w:t>lymphomas.</w:t>
      </w:r>
    </w:p>
    <w:p w:rsidR="003474F2" w:rsidRPr="001A3D2B" w:rsidRDefault="003474F2" w:rsidP="003474F2">
      <w:pPr>
        <w:pStyle w:val="a3"/>
      </w:pPr>
      <w:r w:rsidRPr="001A3D2B">
        <w:t>RESULTS: We identified eight controlled trials (n = 1144 patients)</w:t>
      </w:r>
      <w:r w:rsidR="00427468">
        <w:t xml:space="preserve"> of </w:t>
      </w:r>
      <w:r w:rsidRPr="001A3D2B">
        <w:t>prophylactic colony-stimulating factors, including five trials</w:t>
      </w:r>
      <w:r w:rsidR="00427468">
        <w:t xml:space="preserve"> of </w:t>
      </w:r>
      <w:r w:rsidRPr="001A3D2B">
        <w:t>filgrastim (recombinant granulocyte colony-stimulating factors)</w:t>
      </w:r>
      <w:r w:rsidR="005853A9">
        <w:t xml:space="preserve"> and </w:t>
      </w:r>
      <w:r w:rsidRPr="001A3D2B">
        <w:t>three studies</w:t>
      </w:r>
      <w:r w:rsidR="00427468">
        <w:t xml:space="preserve"> of </w:t>
      </w:r>
      <w:r w:rsidRPr="001A3D2B">
        <w:t>lenograstim (glycosylated granulocyte recombinant colony-stimulating factors). Five trials were double-blind</w:t>
      </w:r>
      <w:r w:rsidR="005853A9">
        <w:t xml:space="preserve"> and </w:t>
      </w:r>
      <w:r w:rsidRPr="001A3D2B">
        <w:t>placebo-controlled; three included untreated controls. Use</w:t>
      </w:r>
      <w:r w:rsidR="00427468">
        <w:t xml:space="preserve"> of </w:t>
      </w:r>
      <w:r w:rsidRPr="001A3D2B">
        <w:t>recombinant colony-stimulating factors was associated with a reduced risk</w:t>
      </w:r>
      <w:r w:rsidR="00427468">
        <w:t xml:space="preserve"> of </w:t>
      </w:r>
      <w:r w:rsidRPr="001A3D2B">
        <w:t>febrile neutropenia (odds ratio [OR] = 0.38; 95% confidence interval [CI]: 0.29 to 0.49), documented infection (OR = 0.51; 95% CI: 0.36 to 0.73),</w:t>
      </w:r>
      <w:r w:rsidR="005853A9">
        <w:t xml:space="preserve"> and </w:t>
      </w:r>
      <w:r w:rsidRPr="001A3D2B">
        <w:t>infection-related mortality (OR = 0.60; 95% CI: 0.30 to 1.22), but a greater risk</w:t>
      </w:r>
      <w:r w:rsidR="00427468">
        <w:t xml:space="preserve"> of </w:t>
      </w:r>
      <w:r w:rsidRPr="001A3D2B">
        <w:t>bone pain (OR = 2.9; 95% CI: 1.6 to 4.8).</w:t>
      </w:r>
    </w:p>
    <w:p w:rsidR="003474F2" w:rsidRPr="001A3D2B" w:rsidRDefault="003474F2" w:rsidP="003474F2">
      <w:pPr>
        <w:pStyle w:val="a3"/>
      </w:pPr>
      <w:r w:rsidRPr="001A3D2B">
        <w:t>CONCLUSION: In this meta-analysis, recombinant colony-stimulating factors were effective in reducing</w:t>
      </w:r>
      <w:r w:rsidR="003A1917">
        <w:t xml:space="preserve"> the </w:t>
      </w:r>
      <w:r w:rsidRPr="001A3D2B">
        <w:t>risk</w:t>
      </w:r>
      <w:r w:rsidR="00427468">
        <w:t xml:space="preserve"> of </w:t>
      </w:r>
      <w:r w:rsidRPr="001A3D2B">
        <w:t>febrile neutropenia</w:t>
      </w:r>
      <w:r w:rsidR="005853A9">
        <w:t xml:space="preserve"> and </w:t>
      </w:r>
      <w:r w:rsidRPr="001A3D2B">
        <w:t>documented infection associated with several malignancies</w:t>
      </w:r>
      <w:r w:rsidR="005853A9">
        <w:t xml:space="preserve"> and </w:t>
      </w:r>
      <w:r w:rsidRPr="001A3D2B">
        <w:t>dose-intensive treatment regimens. (C) 2002 by Excerpta Medica, Inc.</w:t>
      </w:r>
    </w:p>
    <w:p w:rsidR="003474F2" w:rsidRPr="001A3D2B" w:rsidRDefault="003474F2" w:rsidP="003474F2">
      <w:pPr>
        <w:pStyle w:val="a3"/>
      </w:pPr>
      <w:r w:rsidRPr="001A3D2B">
        <w:t>Keywords: Non-Hodgkins-Lymphoma, Induction Chemotherapy, Neutropenia, Lenograstim, Filgrastim, Morbidity, Trials, CSF</w:t>
      </w:r>
    </w:p>
    <w:p w:rsidR="003474F2" w:rsidRPr="001A3D2B" w:rsidRDefault="003474F2" w:rsidP="003474F2">
      <w:pPr>
        <w:pStyle w:val="a3"/>
      </w:pPr>
      <w:r w:rsidRPr="001A3D2B">
        <w:t>Nordmann, A.J., Woo, K., Parkes, R.</w:t>
      </w:r>
      <w:r w:rsidR="005853A9">
        <w:t xml:space="preserve"> and </w:t>
      </w:r>
      <w:r w:rsidRPr="001A3D2B">
        <w:t>Logan, A.G. (2003), Balloon angioplasty or medical therapy for hypertensive patients with atherosclerotic renal artery stenosis? A meta-analysis</w:t>
      </w:r>
      <w:r w:rsidR="00427468">
        <w:t xml:space="preserve"> of </w:t>
      </w:r>
      <w:r w:rsidRPr="001A3D2B">
        <w:t>randomized controlled trials</w:t>
      </w:r>
      <w:r w:rsidR="00A37C1D">
        <w:t>. The</w:t>
      </w:r>
      <w:r w:rsidR="003A1917">
        <w:t xml:space="preserve"> </w:t>
      </w:r>
      <w:r w:rsidRPr="001A3D2B">
        <w:rPr>
          <w:i/>
        </w:rPr>
        <w:t>American Journal</w:t>
      </w:r>
      <w:r w:rsidR="00427468">
        <w:rPr>
          <w:i/>
        </w:rPr>
        <w:t xml:space="preserve"> of </w:t>
      </w:r>
      <w:r w:rsidRPr="001A3D2B">
        <w:rPr>
          <w:i/>
        </w:rPr>
        <w:t>Medicine</w:t>
      </w:r>
      <w:r w:rsidRPr="001A3D2B">
        <w:t xml:space="preserve">, </w:t>
      </w:r>
      <w:r w:rsidRPr="001A3D2B">
        <w:rPr>
          <w:b/>
        </w:rPr>
        <w:t>114</w:t>
      </w:r>
      <w:r w:rsidRPr="001A3D2B">
        <w:t xml:space="preserve"> (1), 44-50.</w:t>
      </w:r>
    </w:p>
    <w:p w:rsidR="003474F2" w:rsidRPr="001A3D2B" w:rsidRDefault="003474F2" w:rsidP="003474F2">
      <w:pPr>
        <w:pStyle w:val="a3"/>
      </w:pPr>
      <w:r w:rsidRPr="001A3D2B">
        <w:t xml:space="preserve">Full Text: </w:t>
      </w:r>
      <w:hyperlink r:id="rId535" w:history="1">
        <w:r w:rsidRPr="001A3D2B">
          <w:rPr>
            <w:rStyle w:val="a5"/>
          </w:rPr>
          <w:t>2003\Ame J Med114, 44.pdf</w:t>
        </w:r>
      </w:hyperlink>
    </w:p>
    <w:p w:rsidR="003474F2" w:rsidRPr="001A3D2B" w:rsidRDefault="003474F2" w:rsidP="003474F2">
      <w:pPr>
        <w:pStyle w:val="a3"/>
      </w:pPr>
      <w:r w:rsidRPr="001A3D2B">
        <w:t>Abstract: PURPOSE:</w:t>
      </w:r>
      <w:r w:rsidR="003A1917">
        <w:t xml:space="preserve"> the </w:t>
      </w:r>
      <w:r w:rsidRPr="001A3D2B">
        <w:t>optimal treatment for hypertensive patients with atherosclerotic renal artery stenosis is controversial. We performed a meta-analysis comparing</w:t>
      </w:r>
      <w:r w:rsidR="003A1917">
        <w:t xml:space="preserve"> the </w:t>
      </w:r>
      <w:r w:rsidRPr="001A3D2B">
        <w:t>effects</w:t>
      </w:r>
      <w:r w:rsidR="00427468">
        <w:t xml:space="preserve"> of </w:t>
      </w:r>
      <w:r w:rsidRPr="001A3D2B">
        <w:t>balloon angioplasty</w:t>
      </w:r>
      <w:r w:rsidR="005853A9">
        <w:t xml:space="preserve"> and </w:t>
      </w:r>
      <w:r w:rsidRPr="001A3D2B">
        <w:t>medical therapy in these patients.</w:t>
      </w:r>
    </w:p>
    <w:p w:rsidR="003474F2" w:rsidRPr="001A3D2B" w:rsidRDefault="003474F2" w:rsidP="003474F2">
      <w:pPr>
        <w:pStyle w:val="a3"/>
      </w:pPr>
      <w:r w:rsidRPr="001A3D2B">
        <w:t xml:space="preserve">METHODS: We searched </w:t>
      </w:r>
      <w:r w:rsidR="00D5664A">
        <w:t>MEDLINE</w:t>
      </w:r>
      <w:r w:rsidRPr="001A3D2B">
        <w:t>, EMBASE,</w:t>
      </w:r>
      <w:r w:rsidR="003A1917">
        <w:t xml:space="preserve"> the </w:t>
      </w:r>
      <w:r w:rsidRPr="001A3D2B">
        <w:t>Science Citation index,</w:t>
      </w:r>
      <w:r w:rsidR="003A1917">
        <w:t xml:space="preserve"> the </w:t>
      </w:r>
      <w:r w:rsidRPr="001A3D2B">
        <w:t>Cochrane Controlled Trials Registry,</w:t>
      </w:r>
      <w:r w:rsidR="005853A9">
        <w:t xml:space="preserve"> and </w:t>
      </w:r>
      <w:r w:rsidRPr="001A3D2B">
        <w:t>reference lists. Authors</w:t>
      </w:r>
      <w:r w:rsidR="00427468">
        <w:t xml:space="preserve"> of </w:t>
      </w:r>
      <w:r w:rsidRPr="001A3D2B">
        <w:t>published trials were contacted.</w:t>
      </w:r>
    </w:p>
    <w:p w:rsidR="003474F2" w:rsidRPr="001A3D2B" w:rsidRDefault="003474F2" w:rsidP="003474F2">
      <w:pPr>
        <w:pStyle w:val="a3"/>
      </w:pPr>
      <w:r w:rsidRPr="001A3D2B">
        <w:t>RESULTS: We identified three trials involving a total</w:t>
      </w:r>
      <w:r w:rsidR="00427468">
        <w:t xml:space="preserve"> of </w:t>
      </w:r>
      <w:r w:rsidRPr="001A3D2B">
        <w:t>210 patients with moderate-to-severe (greater than or equal to 50%) unilateral or bilateral atherosclerotic renal artery stenosis</w:t>
      </w:r>
      <w:r w:rsidR="005853A9">
        <w:t xml:space="preserve"> and </w:t>
      </w:r>
      <w:r w:rsidRPr="001A3D2B">
        <w:t>poorly controlled hypertension who were followed for at least 3 months after intervention. Balloon angioplasty was significantly more effective in reducing blood pressure than was medical therapy;</w:t>
      </w:r>
      <w:r w:rsidR="003A1917">
        <w:t xml:space="preserve"> the </w:t>
      </w:r>
      <w:r w:rsidRPr="001A3D2B">
        <w:t>weighted mean difference between</w:t>
      </w:r>
      <w:r w:rsidR="003A1917">
        <w:t xml:space="preserve"> the </w:t>
      </w:r>
      <w:r w:rsidRPr="001A3D2B">
        <w:t xml:space="preserve">two treatments was - </w:t>
      </w:r>
      <w:smartTag w:uri="urn:schemas-microsoft-com:office:smarttags" w:element="chmetcnv">
        <w:smartTagPr>
          <w:attr w:name="TCSC" w:val="0"/>
          <w:attr w:name="NumberType" w:val="1"/>
          <w:attr w:name="Negative" w:val="False"/>
          <w:attr w:name="HasSpace" w:val="True"/>
          <w:attr w:name="SourceValue" w:val="7"/>
          <w:attr w:name="UnitName" w:val="mm"/>
        </w:smartTagPr>
        <w:r w:rsidRPr="001A3D2B">
          <w:t>7 mm</w:t>
        </w:r>
      </w:smartTag>
      <w:r w:rsidRPr="001A3D2B">
        <w:t xml:space="preserve"> Hg (95% confidence interval [CI]: - 12 to - </w:t>
      </w:r>
      <w:smartTag w:uri="urn:schemas-microsoft-com:office:smarttags" w:element="chmetcnv">
        <w:smartTagPr>
          <w:attr w:name="TCSC" w:val="0"/>
          <w:attr w:name="NumberType" w:val="1"/>
          <w:attr w:name="Negative" w:val="False"/>
          <w:attr w:name="HasSpace" w:val="True"/>
          <w:attr w:name="SourceValue" w:val="1"/>
          <w:attr w:name="UnitName" w:val="mm"/>
        </w:smartTagPr>
        <w:r w:rsidRPr="001A3D2B">
          <w:t>1 mm</w:t>
        </w:r>
      </w:smartTag>
      <w:r w:rsidRPr="001A3D2B">
        <w:t xml:space="preserve"> Hg) for systolic blood pressure</w:t>
      </w:r>
      <w:r w:rsidR="005853A9">
        <w:t xml:space="preserve"> and </w:t>
      </w:r>
      <w:r w:rsidRPr="001A3D2B">
        <w:t xml:space="preserve">- </w:t>
      </w:r>
      <w:smartTag w:uri="urn:schemas-microsoft-com:office:smarttags" w:element="chmetcnv">
        <w:smartTagPr>
          <w:attr w:name="TCSC" w:val="0"/>
          <w:attr w:name="NumberType" w:val="1"/>
          <w:attr w:name="Negative" w:val="False"/>
          <w:attr w:name="HasSpace" w:val="True"/>
          <w:attr w:name="SourceValue" w:val="3"/>
          <w:attr w:name="UnitName" w:val="mm"/>
        </w:smartTagPr>
        <w:r w:rsidRPr="001A3D2B">
          <w:t>3 mm</w:t>
        </w:r>
      </w:smartTag>
      <w:r w:rsidRPr="001A3D2B">
        <w:t xml:space="preserve"> Hg (95% CI: - 6 to - </w:t>
      </w:r>
      <w:smartTag w:uri="urn:schemas-microsoft-com:office:smarttags" w:element="chmetcnv">
        <w:smartTagPr>
          <w:attr w:name="TCSC" w:val="0"/>
          <w:attr w:name="NumberType" w:val="1"/>
          <w:attr w:name="Negative" w:val="False"/>
          <w:attr w:name="HasSpace" w:val="True"/>
          <w:attr w:name="SourceValue" w:val="1"/>
          <w:attr w:name="UnitName" w:val="mm"/>
        </w:smartTagPr>
        <w:r w:rsidRPr="001A3D2B">
          <w:t>1 mm</w:t>
        </w:r>
      </w:smartTag>
      <w:r w:rsidRPr="001A3D2B">
        <w:t xml:space="preserve"> Hg) for diastolic blood pressure</w:t>
      </w:r>
      <w:r w:rsidR="00A37C1D">
        <w:t>. The</w:t>
      </w:r>
      <w:r w:rsidRPr="001A3D2B">
        <w:t>re was no consistent difference in changes in renal function. Patients treated with balloon angioplasty were more likely to have patent renal arteries after 12 months (52% vs. 19%; odds ratio [OR] = 4.2; 95% CI: 1.8 to 9.8), used fewer antihypertensive medications,</w:t>
      </w:r>
      <w:r w:rsidR="005853A9">
        <w:t xml:space="preserve"> and </w:t>
      </w:r>
      <w:r w:rsidRPr="001A3D2B">
        <w:lastRenderedPageBreak/>
        <w:t>appeared to have fewer major cardiovascular</w:t>
      </w:r>
      <w:r w:rsidR="005853A9">
        <w:t xml:space="preserve"> and </w:t>
      </w:r>
      <w:r w:rsidRPr="001A3D2B">
        <w:t>renovascular complications (OR = 0.27; 95% CI: 0.06 to 1.23; P = 0.09).</w:t>
      </w:r>
    </w:p>
    <w:p w:rsidR="003474F2" w:rsidRPr="001A3D2B" w:rsidRDefault="003474F2" w:rsidP="003474F2">
      <w:pPr>
        <w:pStyle w:val="a3"/>
      </w:pPr>
      <w:r w:rsidRPr="001A3D2B">
        <w:t>CONCLUSION: Balloon angioplasty has a modest but significant effect on blood pressure</w:t>
      </w:r>
      <w:r w:rsidR="005853A9">
        <w:t xml:space="preserve"> and </w:t>
      </w:r>
      <w:r w:rsidRPr="001A3D2B">
        <w:t>should be considered for patients with atherosclerotic renal artery stenosis</w:t>
      </w:r>
      <w:r w:rsidR="005853A9">
        <w:t xml:space="preserve"> and </w:t>
      </w:r>
      <w:r w:rsidRPr="001A3D2B">
        <w:t>poorly controlled hypertension</w:t>
      </w:r>
      <w:r w:rsidR="00A37C1D">
        <w:t>. The</w:t>
      </w:r>
      <w:r w:rsidRPr="001A3D2B">
        <w:t>re is no evidence supporting its use in improving or preserving renal function, although none</w:t>
      </w:r>
      <w:r w:rsidR="00427468">
        <w:t xml:space="preserve"> of </w:t>
      </w:r>
      <w:r w:rsidR="003A1917">
        <w:t xml:space="preserve">the </w:t>
      </w:r>
      <w:r w:rsidRPr="001A3D2B">
        <w:t>trials were designed to address this issue. (C) 2003 by Excerpta Medica Inc.</w:t>
      </w:r>
    </w:p>
    <w:p w:rsidR="003474F2" w:rsidRPr="001A3D2B" w:rsidRDefault="003474F2" w:rsidP="003474F2">
      <w:pPr>
        <w:pStyle w:val="a3"/>
      </w:pPr>
      <w:r w:rsidRPr="001A3D2B">
        <w:t>Keywords: Blood-Pressure, Renovascular Disease, Clinical-Trials, Quality, Bias</w:t>
      </w:r>
    </w:p>
    <w:p w:rsidR="003474F2" w:rsidRPr="001A3D2B" w:rsidRDefault="003474F2" w:rsidP="003474F2">
      <w:pPr>
        <w:pStyle w:val="a3"/>
      </w:pPr>
      <w:r w:rsidRPr="001A3D2B">
        <w:t>? Rahman, M.</w:t>
      </w:r>
      <w:r w:rsidR="005853A9">
        <w:t xml:space="preserve"> and </w:t>
      </w:r>
      <w:r w:rsidRPr="001A3D2B">
        <w:t>Fukui, T.S. (2003), Geography</w:t>
      </w:r>
      <w:r w:rsidR="00427468">
        <w:t xml:space="preserve"> of </w:t>
      </w:r>
      <w:r w:rsidRPr="001A3D2B">
        <w:t>randomized controlled trials in general internal medicine: Is</w:t>
      </w:r>
      <w:r w:rsidR="003A1917">
        <w:t xml:space="preserve"> the </w:t>
      </w:r>
      <w:r w:rsidRPr="001A3D2B">
        <w:t>United States</w:t>
      </w:r>
      <w:r w:rsidR="00700038">
        <w:t>’</w:t>
      </w:r>
      <w:r w:rsidRPr="001A3D2B">
        <w:t xml:space="preserve"> share declining? </w:t>
      </w:r>
      <w:r w:rsidRPr="001A3D2B">
        <w:rPr>
          <w:i/>
        </w:rPr>
        <w:t>American Journal</w:t>
      </w:r>
      <w:r w:rsidR="00427468">
        <w:rPr>
          <w:i/>
        </w:rPr>
        <w:t xml:space="preserve"> of </w:t>
      </w:r>
      <w:r w:rsidRPr="001A3D2B">
        <w:rPr>
          <w:i/>
        </w:rPr>
        <w:t>Medicine</w:t>
      </w:r>
      <w:r w:rsidRPr="001A3D2B">
        <w:t xml:space="preserve">, </w:t>
      </w:r>
      <w:r w:rsidRPr="001A3D2B">
        <w:rPr>
          <w:b/>
        </w:rPr>
        <w:t>114</w:t>
      </w:r>
      <w:r w:rsidRPr="001A3D2B">
        <w:t xml:space="preserve"> (6), 510-511.</w:t>
      </w:r>
    </w:p>
    <w:p w:rsidR="003474F2" w:rsidRPr="001A3D2B" w:rsidRDefault="003474F2" w:rsidP="003474F2">
      <w:pPr>
        <w:pStyle w:val="a3"/>
      </w:pPr>
      <w:r w:rsidRPr="001A3D2B">
        <w:t xml:space="preserve">Full Text: </w:t>
      </w:r>
      <w:hyperlink r:id="rId536" w:history="1">
        <w:r w:rsidRPr="001A3D2B">
          <w:rPr>
            <w:rStyle w:val="a5"/>
          </w:rPr>
          <w:t>2003\Ame J Med114, 510.pdf</w:t>
        </w:r>
      </w:hyperlink>
    </w:p>
    <w:p w:rsidR="003474F2" w:rsidRPr="001A3D2B" w:rsidRDefault="003474F2" w:rsidP="003474F2">
      <w:pPr>
        <w:pStyle w:val="a3"/>
      </w:pPr>
      <w:r w:rsidRPr="001A3D2B">
        <w:t>Keywords: General, Medicine, Randomized, Randomized Controlled Trials, United States</w:t>
      </w:r>
    </w:p>
    <w:p w:rsidR="00B15828" w:rsidRDefault="00B15828" w:rsidP="00B15828">
      <w:pPr>
        <w:pStyle w:val="a3"/>
        <w:rPr>
          <w:kern w:val="0"/>
        </w:rPr>
      </w:pPr>
      <w:r>
        <w:rPr>
          <w:rFonts w:hint="eastAsia"/>
          <w:kern w:val="0"/>
        </w:rPr>
        <w:t xml:space="preserve">? </w:t>
      </w:r>
      <w:r>
        <w:rPr>
          <w:kern w:val="0"/>
        </w:rPr>
        <w:t>Wijeysundera, D.N., Naik, J.S.</w:t>
      </w:r>
      <w:r w:rsidR="005853A9">
        <w:rPr>
          <w:kern w:val="0"/>
        </w:rPr>
        <w:t xml:space="preserve"> and </w:t>
      </w:r>
      <w:r>
        <w:rPr>
          <w:kern w:val="0"/>
        </w:rPr>
        <w:t xml:space="preserve">Beattie, W.S. (2003), Alpha-2 adrenergic agonists to prevent perioperative cardiovascular complications: A meta-analysis. </w:t>
      </w:r>
      <w:r>
        <w:rPr>
          <w:i/>
          <w:iCs/>
          <w:kern w:val="0"/>
        </w:rPr>
        <w:t>American Journal</w:t>
      </w:r>
      <w:r w:rsidR="00427468">
        <w:rPr>
          <w:i/>
          <w:iCs/>
          <w:kern w:val="0"/>
        </w:rPr>
        <w:t xml:space="preserve"> of </w:t>
      </w:r>
      <w:r>
        <w:rPr>
          <w:i/>
          <w:iCs/>
          <w:kern w:val="0"/>
        </w:rPr>
        <w:t>Medicine</w:t>
      </w:r>
      <w:r>
        <w:rPr>
          <w:kern w:val="0"/>
        </w:rPr>
        <w:t xml:space="preserve">, </w:t>
      </w:r>
      <w:r>
        <w:rPr>
          <w:b/>
          <w:bCs/>
          <w:kern w:val="0"/>
        </w:rPr>
        <w:t>114</w:t>
      </w:r>
      <w:r>
        <w:rPr>
          <w:kern w:val="0"/>
        </w:rPr>
        <w:t xml:space="preserve"> (9), 742-752.</w:t>
      </w:r>
    </w:p>
    <w:p w:rsidR="00B15828" w:rsidRPr="00F219CA" w:rsidRDefault="00B15828" w:rsidP="00B15828">
      <w:pPr>
        <w:pStyle w:val="a3"/>
      </w:pPr>
      <w:r w:rsidRPr="00F219CA">
        <w:t xml:space="preserve">Full Text: </w:t>
      </w:r>
      <w:hyperlink r:id="rId537" w:history="1">
        <w:r w:rsidRPr="008E2E00">
          <w:rPr>
            <w:rStyle w:val="a5"/>
          </w:rPr>
          <w:t>2003\Ame J Med114, 742.pdf</w:t>
        </w:r>
      </w:hyperlink>
    </w:p>
    <w:p w:rsidR="00B15828" w:rsidRDefault="00B15828" w:rsidP="00B15828">
      <w:pPr>
        <w:pStyle w:val="a3"/>
        <w:rPr>
          <w:kern w:val="0"/>
        </w:rPr>
      </w:pPr>
      <w:r>
        <w:rPr>
          <w:kern w:val="0"/>
        </w:rPr>
        <w:t>Abstract: PURPOSE: To investigate</w:t>
      </w:r>
      <w:r w:rsidR="003A1917">
        <w:rPr>
          <w:kern w:val="0"/>
        </w:rPr>
        <w:t xml:space="preserve"> the </w:t>
      </w:r>
      <w:r>
        <w:rPr>
          <w:kern w:val="0"/>
        </w:rPr>
        <w:t>effects</w:t>
      </w:r>
      <w:r w:rsidR="00427468">
        <w:rPr>
          <w:kern w:val="0"/>
        </w:rPr>
        <w:t xml:space="preserve"> of </w:t>
      </w:r>
      <w:r>
        <w:rPr>
          <w:kern w:val="0"/>
        </w:rPr>
        <w:t>alpha(2)-adrenergic agonists on perioperative mortality</w:t>
      </w:r>
      <w:r w:rsidR="005853A9">
        <w:rPr>
          <w:kern w:val="0"/>
        </w:rPr>
        <w:t xml:space="preserve"> and </w:t>
      </w:r>
      <w:r>
        <w:rPr>
          <w:kern w:val="0"/>
        </w:rPr>
        <w:t xml:space="preserve">cardiovascular complications in adults undergoing surgery. METHODS: </w:t>
      </w:r>
      <w:r w:rsidR="00D5664A">
        <w:rPr>
          <w:kern w:val="0"/>
        </w:rPr>
        <w:t>MEDLINE</w:t>
      </w:r>
      <w:r>
        <w:rPr>
          <w:kern w:val="0"/>
        </w:rPr>
        <w:t xml:space="preserve"> (1966 to May 2002), EMBASE (1980 to May 2002</w:t>
      </w:r>
      <w:r w:rsidR="00F42EAC">
        <w:rPr>
          <w:kern w:val="0"/>
        </w:rPr>
        <w:t>), The</w:t>
      </w:r>
      <w:r w:rsidR="003A1917">
        <w:rPr>
          <w:kern w:val="0"/>
        </w:rPr>
        <w:t xml:space="preserve"> </w:t>
      </w:r>
      <w:r>
        <w:rPr>
          <w:kern w:val="0"/>
        </w:rPr>
        <w:t>Cochrane Clinical Trials Register,</w:t>
      </w:r>
      <w:r w:rsidR="003A1917">
        <w:rPr>
          <w:kern w:val="0"/>
        </w:rPr>
        <w:t xml:space="preserve"> the </w:t>
      </w:r>
      <w:r>
        <w:rPr>
          <w:kern w:val="0"/>
        </w:rPr>
        <w:t>Science Citation Index,</w:t>
      </w:r>
      <w:r w:rsidR="005853A9">
        <w:rPr>
          <w:kern w:val="0"/>
        </w:rPr>
        <w:t xml:space="preserve"> and </w:t>
      </w:r>
      <w:r>
        <w:rPr>
          <w:kern w:val="0"/>
        </w:rPr>
        <w:t>bibliographies</w:t>
      </w:r>
      <w:r w:rsidR="00427468">
        <w:rPr>
          <w:kern w:val="0"/>
        </w:rPr>
        <w:t xml:space="preserve"> of </w:t>
      </w:r>
      <w:r>
        <w:rPr>
          <w:kern w:val="0"/>
        </w:rPr>
        <w:t>included articles were searched without language restriction. Randomized trials comparing preoperative, intraoperative, or postoperative (first 48 hours) administration</w:t>
      </w:r>
      <w:r w:rsidR="00427468">
        <w:rPr>
          <w:kern w:val="0"/>
        </w:rPr>
        <w:t xml:space="preserve"> of </w:t>
      </w:r>
      <w:r>
        <w:rPr>
          <w:kern w:val="0"/>
        </w:rPr>
        <w:t>clonidine, dexmedetomidine, or mivazerol with controls were included. Studies had to report any</w:t>
      </w:r>
      <w:r w:rsidR="00427468">
        <w:rPr>
          <w:kern w:val="0"/>
        </w:rPr>
        <w:t xml:space="preserve"> of </w:t>
      </w:r>
      <w:r w:rsidR="003A1917">
        <w:rPr>
          <w:kern w:val="0"/>
        </w:rPr>
        <w:t xml:space="preserve">the </w:t>
      </w:r>
      <w:r>
        <w:rPr>
          <w:kern w:val="0"/>
        </w:rPr>
        <w:t>following outcomes: mortality, myocardial infarction, ischemia, or supraventricular tachyarrhythmia. Treatment effects were calculated using</w:t>
      </w:r>
      <w:r w:rsidR="003A1917">
        <w:rPr>
          <w:kern w:val="0"/>
        </w:rPr>
        <w:t xml:space="preserve"> the </w:t>
      </w:r>
      <w:r>
        <w:rPr>
          <w:kern w:val="0"/>
        </w:rPr>
        <w:t>fixed-effects model. Heterogeneity was assessed using</w:t>
      </w:r>
      <w:r w:rsidR="003A1917">
        <w:rPr>
          <w:kern w:val="0"/>
        </w:rPr>
        <w:t xml:space="preserve"> the </w:t>
      </w:r>
      <w:r>
        <w:rPr>
          <w:kern w:val="0"/>
        </w:rPr>
        <w:t>Q test. RESULTS: Twenty-three trials comprising 3395 patients were included. Overall, alpha(2)-adrenergic agonists reduced mortality (relative risk [RR] = 0.64; 95% confidence interval [CI]: 0.42 to 0.99; P = 0.05)</w:t>
      </w:r>
      <w:r w:rsidR="005853A9">
        <w:rPr>
          <w:kern w:val="0"/>
        </w:rPr>
        <w:t xml:space="preserve"> and </w:t>
      </w:r>
      <w:r>
        <w:rPr>
          <w:kern w:val="0"/>
        </w:rPr>
        <w:t>ischemia (RR = 0.76; 95% CI: 0.63 to 0.91; P = 0.003) significantly</w:t>
      </w:r>
      <w:r w:rsidR="00A37C1D">
        <w:rPr>
          <w:kern w:val="0"/>
        </w:rPr>
        <w:t>. The</w:t>
      </w:r>
      <w:r>
        <w:rPr>
          <w:kern w:val="0"/>
        </w:rPr>
        <w:t>y also reduced mortality (RR = 0.47; 95% CI: 0.25 to 0.90; P = 0.02)</w:t>
      </w:r>
      <w:r w:rsidR="005853A9">
        <w:rPr>
          <w:kern w:val="0"/>
        </w:rPr>
        <w:t xml:space="preserve"> and </w:t>
      </w:r>
      <w:r>
        <w:rPr>
          <w:kern w:val="0"/>
        </w:rPr>
        <w:t>myocardial infarction (RR = 0.66; 95% CI: 0.46 to 0.94; P = 0.02) during vascular surgery. During cardiac surgery, alpha(2)-adrenergic agonists reduced ischemia (RR = 0.71; 95% CI: 0.54 to 0.92; P = 0.01)</w:t>
      </w:r>
      <w:r w:rsidR="005853A9">
        <w:rPr>
          <w:kern w:val="0"/>
        </w:rPr>
        <w:t xml:space="preserve"> and </w:t>
      </w:r>
      <w:r>
        <w:rPr>
          <w:kern w:val="0"/>
        </w:rPr>
        <w:t>were associated with trends toward lower mortality (RR = 0.49; 95% CI: 0.12 to 1.98; P = 0.3)</w:t>
      </w:r>
      <w:r w:rsidR="005853A9">
        <w:rPr>
          <w:kern w:val="0"/>
        </w:rPr>
        <w:t xml:space="preserve"> and </w:t>
      </w:r>
      <w:r>
        <w:rPr>
          <w:kern w:val="0"/>
        </w:rPr>
        <w:t>a reduced risk</w:t>
      </w:r>
      <w:r w:rsidR="00427468">
        <w:rPr>
          <w:kern w:val="0"/>
        </w:rPr>
        <w:t xml:space="preserve"> of </w:t>
      </w:r>
      <w:r>
        <w:rPr>
          <w:kern w:val="0"/>
        </w:rPr>
        <w:t>myocardial infarction (RR = 0.83; 95% CI: 0.35 to 1.96; P = 0.7). CONCLUSION: Alpha-2 adrenergic agonists reduce mortality</w:t>
      </w:r>
      <w:r w:rsidR="005853A9">
        <w:rPr>
          <w:kern w:val="0"/>
        </w:rPr>
        <w:t xml:space="preserve"> and </w:t>
      </w:r>
      <w:r>
        <w:rPr>
          <w:kern w:val="0"/>
        </w:rPr>
        <w:t xml:space="preserve">myocardial infarction following vascular surgery. During cardiac </w:t>
      </w:r>
      <w:r>
        <w:rPr>
          <w:kern w:val="0"/>
        </w:rPr>
        <w:lastRenderedPageBreak/>
        <w:t>surgery, they reduce ischemia</w:t>
      </w:r>
      <w:r w:rsidR="005853A9">
        <w:rPr>
          <w:kern w:val="0"/>
        </w:rPr>
        <w:t xml:space="preserve"> and </w:t>
      </w:r>
      <w:r>
        <w:rPr>
          <w:kern w:val="0"/>
        </w:rPr>
        <w:t>may also have effects on mortality</w:t>
      </w:r>
      <w:r w:rsidR="005853A9">
        <w:rPr>
          <w:kern w:val="0"/>
        </w:rPr>
        <w:t xml:space="preserve"> and </w:t>
      </w:r>
      <w:r>
        <w:rPr>
          <w:kern w:val="0"/>
        </w:rPr>
        <w:t>myocardial infarction. Large randomized trials are needed to evaluate these agents during cardiac</w:t>
      </w:r>
      <w:r w:rsidR="005853A9">
        <w:rPr>
          <w:kern w:val="0"/>
        </w:rPr>
        <w:t xml:space="preserve"> and </w:t>
      </w:r>
      <w:r>
        <w:rPr>
          <w:kern w:val="0"/>
        </w:rPr>
        <w:t>vascular surgery.</w:t>
      </w:r>
    </w:p>
    <w:p w:rsidR="00B15828" w:rsidRDefault="00B15828" w:rsidP="00B15828">
      <w:pPr>
        <w:pStyle w:val="a3"/>
        <w:rPr>
          <w:kern w:val="0"/>
        </w:rPr>
      </w:pPr>
      <w:r>
        <w:rPr>
          <w:kern w:val="0"/>
        </w:rPr>
        <w:t xml:space="preserve">Keywords: Artery Bypass-Surgery, Articles, Bibliographies, Citation, Clinical-Trials, Dexmedetomidine Infusion, Double-Blind, High-Risk Patients, Hypertensive Patients, Intensive-Care Unit, Language, </w:t>
      </w:r>
      <w:r w:rsidR="00D5664A">
        <w:rPr>
          <w:kern w:val="0"/>
        </w:rPr>
        <w:t>MEDLINE</w:t>
      </w:r>
      <w:r>
        <w:rPr>
          <w:kern w:val="0"/>
        </w:rPr>
        <w:t>, Meta-Analysis, Model, Myocardial-Ischemia, Noncardiac Surgery, Outcomes, Risk, Science, Science Citation Index, Surgery, Trends, Vascular Surgery, Vascular-Surgery</w:t>
      </w:r>
    </w:p>
    <w:p w:rsidR="003474F2" w:rsidRPr="001A3D2B" w:rsidRDefault="003474F2" w:rsidP="003474F2">
      <w:pPr>
        <w:pStyle w:val="a3"/>
      </w:pPr>
      <w:r w:rsidRPr="001A3D2B">
        <w:rPr>
          <w:szCs w:val="24"/>
        </w:rPr>
        <w:t>Druss, B.G.</w:t>
      </w:r>
      <w:r w:rsidR="005853A9">
        <w:rPr>
          <w:szCs w:val="24"/>
        </w:rPr>
        <w:t xml:space="preserve"> and </w:t>
      </w:r>
      <w:r w:rsidRPr="001A3D2B">
        <w:rPr>
          <w:szCs w:val="24"/>
        </w:rPr>
        <w:t xml:space="preserve">Marcus, </w:t>
      </w:r>
      <w:smartTag w:uri="urn:schemas-microsoft-com:office:smarttags" w:element="State">
        <w:r w:rsidRPr="001A3D2B">
          <w:rPr>
            <w:szCs w:val="24"/>
          </w:rPr>
          <w:t>S.C.</w:t>
        </w:r>
      </w:smartTag>
      <w:r w:rsidRPr="001A3D2B">
        <w:t xml:space="preserve"> (2005), </w:t>
      </w:r>
      <w:r w:rsidRPr="001A3D2B">
        <w:rPr>
          <w:bCs/>
          <w:szCs w:val="24"/>
        </w:rPr>
        <w:t>Tracking publication outcomes</w:t>
      </w:r>
      <w:r w:rsidR="00427468">
        <w:rPr>
          <w:bCs/>
          <w:szCs w:val="24"/>
        </w:rPr>
        <w:t xml:space="preserve"> of </w:t>
      </w:r>
      <w:r w:rsidRPr="001A3D2B">
        <w:rPr>
          <w:bCs/>
          <w:szCs w:val="24"/>
        </w:rPr>
        <w:t>National Institutes</w:t>
      </w:r>
      <w:r w:rsidR="00427468">
        <w:rPr>
          <w:bCs/>
          <w:szCs w:val="24"/>
        </w:rPr>
        <w:t xml:space="preserve"> of </w:t>
      </w:r>
      <w:r w:rsidRPr="001A3D2B">
        <w:rPr>
          <w:bCs/>
          <w:szCs w:val="24"/>
        </w:rPr>
        <w:t>Health grants</w:t>
      </w:r>
      <w:r w:rsidR="00A37C1D">
        <w:t>. The</w:t>
      </w:r>
      <w:r w:rsidR="003A1917">
        <w:t xml:space="preserve"> </w:t>
      </w:r>
      <w:r w:rsidRPr="001A3D2B">
        <w:rPr>
          <w:i/>
        </w:rPr>
        <w:t>American Journal</w:t>
      </w:r>
      <w:r w:rsidR="00427468">
        <w:rPr>
          <w:i/>
        </w:rPr>
        <w:t xml:space="preserve"> of </w:t>
      </w:r>
      <w:r w:rsidRPr="001A3D2B">
        <w:rPr>
          <w:i/>
        </w:rPr>
        <w:t>Medicine</w:t>
      </w:r>
      <w:r w:rsidRPr="001A3D2B">
        <w:t xml:space="preserve">, </w:t>
      </w:r>
      <w:r w:rsidRPr="001A3D2B">
        <w:rPr>
          <w:b/>
        </w:rPr>
        <w:t>118</w:t>
      </w:r>
      <w:r w:rsidRPr="001A3D2B">
        <w:t xml:space="preserve"> (6), </w:t>
      </w:r>
      <w:r w:rsidRPr="001A3D2B">
        <w:rPr>
          <w:iCs/>
          <w:szCs w:val="24"/>
        </w:rPr>
        <w:t>658-663</w:t>
      </w:r>
      <w:r w:rsidRPr="001A3D2B">
        <w:t>.</w:t>
      </w:r>
    </w:p>
    <w:p w:rsidR="003474F2" w:rsidRPr="001A3D2B" w:rsidRDefault="003474F2" w:rsidP="003474F2">
      <w:pPr>
        <w:pStyle w:val="a3"/>
      </w:pPr>
      <w:r w:rsidRPr="001A3D2B">
        <w:t xml:space="preserve">Full Text: </w:t>
      </w:r>
      <w:hyperlink r:id="rId538" w:history="1">
        <w:r w:rsidRPr="001A3D2B">
          <w:rPr>
            <w:rStyle w:val="a5"/>
          </w:rPr>
          <w:t>2005\Ame J Med118, 658.pdf</w:t>
        </w:r>
      </w:hyperlink>
    </w:p>
    <w:p w:rsidR="003474F2" w:rsidRPr="001A3D2B" w:rsidRDefault="003474F2" w:rsidP="003474F2">
      <w:pPr>
        <w:pStyle w:val="a3"/>
      </w:pPr>
      <w:r w:rsidRPr="001A3D2B">
        <w:t>Abstract: PURPOSE:</w:t>
      </w:r>
      <w:r w:rsidR="003A1917">
        <w:t xml:space="preserve"> the </w:t>
      </w:r>
      <w:r w:rsidRPr="001A3D2B">
        <w:t>peer-review literature is</w:t>
      </w:r>
      <w:r w:rsidR="003A1917">
        <w:t xml:space="preserve"> the </w:t>
      </w:r>
      <w:r w:rsidRPr="001A3D2B">
        <w:t>primary medium through which</w:t>
      </w:r>
      <w:r w:rsidR="003A1917">
        <w:t xml:space="preserve"> the </w:t>
      </w:r>
      <w:r w:rsidRPr="001A3D2B">
        <w:t>findings</w:t>
      </w:r>
      <w:r w:rsidR="00427468">
        <w:t xml:space="preserve"> of </w:t>
      </w:r>
      <w:r w:rsidRPr="001A3D2B">
        <w:t>funded research are evaluated by</w:t>
      </w:r>
      <w:r w:rsidR="005853A9">
        <w:t xml:space="preserve"> and </w:t>
      </w:r>
      <w:r w:rsidRPr="001A3D2B">
        <w:t>disseminated to</w:t>
      </w:r>
      <w:r w:rsidR="003A1917">
        <w:t xml:space="preserve"> the </w:t>
      </w:r>
      <w:r w:rsidRPr="001A3D2B">
        <w:t>broader scientific community. This study examines when</w:t>
      </w:r>
      <w:r w:rsidR="005853A9">
        <w:t xml:space="preserve"> and </w:t>
      </w:r>
      <w:r w:rsidRPr="001A3D2B">
        <w:t>how grants funded by</w:t>
      </w:r>
      <w:r w:rsidR="003A1917">
        <w:t xml:space="preserve"> the </w:t>
      </w:r>
      <w:r w:rsidRPr="001A3D2B">
        <w:t>National Institutes</w:t>
      </w:r>
      <w:r w:rsidR="00427468">
        <w:t xml:space="preserve"> of </w:t>
      </w:r>
      <w:r w:rsidRPr="001A3D2B">
        <w:t>Health (NIH) lead to publications. METHODS: Data on all investigator-initiated R01 grants funded during 1996 (n = 18 211) were extracted from</w:t>
      </w:r>
      <w:r w:rsidR="003A1917">
        <w:t xml:space="preserve"> the </w:t>
      </w:r>
      <w:r w:rsidRPr="001A3D2B">
        <w:t>NIH</w:t>
      </w:r>
      <w:r w:rsidR="00700038">
        <w:t>’</w:t>
      </w:r>
      <w:r w:rsidR="00C13DDC">
        <w:t>s</w:t>
      </w:r>
      <w:r w:rsidRPr="001A3D2B">
        <w:t xml:space="preserve"> Computer Retrieval</w:t>
      </w:r>
      <w:r w:rsidR="00427468">
        <w:t xml:space="preserve"> of </w:t>
      </w:r>
      <w:r w:rsidRPr="001A3D2B">
        <w:t>Information on Scientific Projects Web site</w:t>
      </w:r>
      <w:r w:rsidR="00A37C1D">
        <w:t>. The</w:t>
      </w:r>
      <w:r w:rsidRPr="001A3D2B">
        <w:t xml:space="preserve">se data were linked with all </w:t>
      </w:r>
      <w:r w:rsidR="00D5664A">
        <w:t>MEDLINE</w:t>
      </w:r>
      <w:r w:rsidRPr="001A3D2B">
        <w:t xml:space="preserve"> articles published during</w:t>
      </w:r>
      <w:r w:rsidR="005853A9">
        <w:t xml:space="preserve"> and </w:t>
      </w:r>
      <w:r w:rsidRPr="001A3D2B">
        <w:t>up through 4 years after completion</w:t>
      </w:r>
      <w:r w:rsidR="00427468">
        <w:t xml:space="preserve"> of </w:t>
      </w:r>
      <w:r w:rsidRPr="001A3D2B">
        <w:t>each grant using NIH grant numbers reported in</w:t>
      </w:r>
      <w:r w:rsidR="003A1917">
        <w:t xml:space="preserve"> the </w:t>
      </w:r>
      <w:r w:rsidRPr="001A3D2B">
        <w:t>manuscript. Analyses examined</w:t>
      </w:r>
      <w:r w:rsidR="003A1917">
        <w:t xml:space="preserve"> the </w:t>
      </w:r>
      <w:r w:rsidRPr="001A3D2B">
        <w:t>number, timing,</w:t>
      </w:r>
      <w:r w:rsidR="005853A9">
        <w:t xml:space="preserve"> and </w:t>
      </w:r>
      <w:r w:rsidRPr="001A3D2B">
        <w:t>correlates</w:t>
      </w:r>
      <w:r w:rsidR="00427468">
        <w:t xml:space="preserve"> of </w:t>
      </w:r>
      <w:r w:rsidRPr="001A3D2B">
        <w:t>all linked publications</w:t>
      </w:r>
      <w:r w:rsidR="005853A9">
        <w:t xml:space="preserve"> and </w:t>
      </w:r>
      <w:r w:rsidRPr="001A3D2B">
        <w:t>publications in core journals (179 journals, comprising</w:t>
      </w:r>
      <w:r w:rsidR="003A1917">
        <w:t xml:space="preserve"> the </w:t>
      </w:r>
      <w:r w:rsidRPr="001A3D2B">
        <w:t xml:space="preserve">top 100 Institute for Scientific Information or 120 Abridged Index Medicus journals). RESULTS: On average, each grant produced 7.6 </w:t>
      </w:r>
      <w:r w:rsidR="00D5664A">
        <w:t>MEDLINE</w:t>
      </w:r>
      <w:r w:rsidRPr="001A3D2B">
        <w:t xml:space="preserve"> manuscripts (95% confidence interval [CI]: 7.47 to 7.69)</w:t>
      </w:r>
      <w:r w:rsidR="005853A9">
        <w:t xml:space="preserve"> and </w:t>
      </w:r>
      <w:r w:rsidRPr="001A3D2B">
        <w:t>1.61 publications in a core journal (95% CI: 1.56 to 1.65). In multivariable analyses among universities, more manuscripts</w:t>
      </w:r>
      <w:r w:rsidR="005853A9">
        <w:t xml:space="preserve"> and </w:t>
      </w:r>
      <w:r w:rsidRPr="001A3D2B">
        <w:t>publications in core journals were seen for competing renewals versus new grants, for projects reviewed by basic science study sections, for full professors,</w:t>
      </w:r>
      <w:r w:rsidR="005853A9">
        <w:t xml:space="preserve"> and </w:t>
      </w:r>
      <w:r w:rsidRPr="001A3D2B">
        <w:t>for universities with graduate programs ranked in</w:t>
      </w:r>
      <w:r w:rsidR="003A1917">
        <w:t xml:space="preserve"> the </w:t>
      </w:r>
      <w:r w:rsidRPr="001A3D2B">
        <w:t>top 10 by US News</w:t>
      </w:r>
      <w:r w:rsidR="005853A9">
        <w:t xml:space="preserve"> and </w:t>
      </w:r>
      <w:r w:rsidRPr="001A3D2B">
        <w:t>World Report. However, all grant, investigator,</w:t>
      </w:r>
      <w:r w:rsidR="005853A9">
        <w:t xml:space="preserve"> and </w:t>
      </w:r>
      <w:r w:rsidRPr="001A3D2B">
        <w:t>institutional strata produced substantial numbers</w:t>
      </w:r>
      <w:r w:rsidR="00427468">
        <w:t xml:space="preserve"> of </w:t>
      </w:r>
      <w:r w:rsidRPr="001A3D2B">
        <w:t>publications per grant. CONCLUSIONS:</w:t>
      </w:r>
      <w:r w:rsidR="003A1917">
        <w:t xml:space="preserve"> the </w:t>
      </w:r>
      <w:r w:rsidRPr="001A3D2B">
        <w:t>findings support</w:t>
      </w:r>
      <w:r w:rsidR="003A1917">
        <w:t xml:space="preserve"> the </w:t>
      </w:r>
      <w:r w:rsidRPr="001A3D2B">
        <w:t>feasibility</w:t>
      </w:r>
      <w:r w:rsidR="005853A9">
        <w:t xml:space="preserve"> and </w:t>
      </w:r>
      <w:r w:rsidRPr="001A3D2B">
        <w:t>potential utility</w:t>
      </w:r>
      <w:r w:rsidR="00427468">
        <w:t xml:space="preserve"> of </w:t>
      </w:r>
      <w:r w:rsidRPr="001A3D2B">
        <w:t>efforts to study</w:t>
      </w:r>
      <w:r w:rsidR="003A1917">
        <w:t xml:space="preserve"> the </w:t>
      </w:r>
      <w:r w:rsidRPr="001A3D2B">
        <w:t>link between grant funding</w:t>
      </w:r>
      <w:r w:rsidR="005853A9">
        <w:t xml:space="preserve"> and </w:t>
      </w:r>
      <w:r w:rsidRPr="001A3D2B">
        <w:t>research findings, an early step in</w:t>
      </w:r>
      <w:r w:rsidR="003A1917">
        <w:t xml:space="preserve"> the </w:t>
      </w:r>
      <w:r w:rsidRPr="001A3D2B">
        <w:t>process by which funded science leads to improved clinical</w:t>
      </w:r>
      <w:r w:rsidR="005853A9">
        <w:t xml:space="preserve"> and </w:t>
      </w:r>
      <w:r w:rsidRPr="001A3D2B">
        <w:t>public health. &amp;COPY; 2005 Elsevier Inc. All rights reserved.</w:t>
      </w:r>
    </w:p>
    <w:p w:rsidR="003474F2" w:rsidRPr="001A3D2B" w:rsidRDefault="003474F2" w:rsidP="003474F2">
      <w:pPr>
        <w:pStyle w:val="a3"/>
      </w:pPr>
      <w:r w:rsidRPr="001A3D2B">
        <w:t>Keywords: Bibliometric Methods, Clinical-Trials, Impact, Institute for Scientific Information, Journal, Journals, Public Health, Publication, Publications, Research, Research Funding Policy, Translation, Universities, US</w:t>
      </w:r>
    </w:p>
    <w:p w:rsidR="002E69BC" w:rsidRDefault="002E69BC" w:rsidP="002E69BC">
      <w:pPr>
        <w:pStyle w:val="a3"/>
        <w:rPr>
          <w:kern w:val="0"/>
        </w:rPr>
      </w:pPr>
      <w:r>
        <w:rPr>
          <w:rFonts w:hint="eastAsia"/>
          <w:kern w:val="0"/>
        </w:rPr>
        <w:t xml:space="preserve">? </w:t>
      </w:r>
      <w:r>
        <w:rPr>
          <w:kern w:val="0"/>
        </w:rPr>
        <w:t>Siris, E.S., Selby, P.L., Saag, K.G., Borgstrom, F., Herings, R.M.C.</w:t>
      </w:r>
      <w:r w:rsidR="005853A9">
        <w:rPr>
          <w:kern w:val="0"/>
        </w:rPr>
        <w:t xml:space="preserve"> and </w:t>
      </w:r>
      <w:r>
        <w:rPr>
          <w:kern w:val="0"/>
        </w:rPr>
        <w:t>Silverman, S.L. (2009), Impact</w:t>
      </w:r>
      <w:r w:rsidR="00427468">
        <w:rPr>
          <w:kern w:val="0"/>
        </w:rPr>
        <w:t xml:space="preserve"> of </w:t>
      </w:r>
      <w:r>
        <w:rPr>
          <w:kern w:val="0"/>
        </w:rPr>
        <w:t>osteoporosis treatment adherence on fracture rates in North America</w:t>
      </w:r>
      <w:r w:rsidR="005853A9">
        <w:rPr>
          <w:kern w:val="0"/>
        </w:rPr>
        <w:t xml:space="preserve"> and </w:t>
      </w:r>
      <w:r>
        <w:rPr>
          <w:kern w:val="0"/>
        </w:rPr>
        <w:t xml:space="preserve">Europe. </w:t>
      </w:r>
      <w:r>
        <w:rPr>
          <w:i/>
          <w:iCs/>
          <w:kern w:val="0"/>
        </w:rPr>
        <w:t>American Journal</w:t>
      </w:r>
      <w:r w:rsidR="00427468">
        <w:rPr>
          <w:i/>
          <w:iCs/>
          <w:kern w:val="0"/>
        </w:rPr>
        <w:t xml:space="preserve"> of </w:t>
      </w:r>
      <w:r>
        <w:rPr>
          <w:i/>
          <w:iCs/>
          <w:kern w:val="0"/>
        </w:rPr>
        <w:t>Medicine</w:t>
      </w:r>
      <w:r>
        <w:rPr>
          <w:kern w:val="0"/>
        </w:rPr>
        <w:t xml:space="preserve">, </w:t>
      </w:r>
      <w:r>
        <w:rPr>
          <w:b/>
          <w:bCs/>
          <w:kern w:val="0"/>
        </w:rPr>
        <w:t>122</w:t>
      </w:r>
      <w:r>
        <w:rPr>
          <w:kern w:val="0"/>
        </w:rPr>
        <w:t xml:space="preserve"> (2), </w:t>
      </w:r>
      <w:r>
        <w:rPr>
          <w:rFonts w:hint="eastAsia"/>
          <w:kern w:val="0"/>
        </w:rPr>
        <w:t>S</w:t>
      </w:r>
      <w:r>
        <w:rPr>
          <w:kern w:val="0"/>
        </w:rPr>
        <w:t>3-</w:t>
      </w:r>
      <w:r>
        <w:rPr>
          <w:rFonts w:hint="eastAsia"/>
          <w:kern w:val="0"/>
        </w:rPr>
        <w:t>S</w:t>
      </w:r>
      <w:r>
        <w:rPr>
          <w:kern w:val="0"/>
        </w:rPr>
        <w:t>13.</w:t>
      </w:r>
    </w:p>
    <w:p w:rsidR="002E69BC" w:rsidRPr="00F219CA" w:rsidRDefault="002E69BC" w:rsidP="002E69BC">
      <w:pPr>
        <w:pStyle w:val="a3"/>
      </w:pPr>
      <w:r w:rsidRPr="00F219CA">
        <w:lastRenderedPageBreak/>
        <w:t xml:space="preserve">Full Text: </w:t>
      </w:r>
      <w:hyperlink r:id="rId539" w:history="1">
        <w:r w:rsidRPr="00625A4E">
          <w:rPr>
            <w:rStyle w:val="a5"/>
          </w:rPr>
          <w:t>2009\Ame J Med122, S3.pdf</w:t>
        </w:r>
      </w:hyperlink>
    </w:p>
    <w:p w:rsidR="006E1110" w:rsidRDefault="006E1110" w:rsidP="006E1110">
      <w:pPr>
        <w:pStyle w:val="a3"/>
        <w:rPr>
          <w:kern w:val="0"/>
        </w:rPr>
      </w:pPr>
      <w:r>
        <w:rPr>
          <w:kern w:val="0"/>
        </w:rPr>
        <w:t>Abstract: Fragility fractures associated with osteoporosis constitute a significant public health concern. Clinical trials have shown that a variety</w:t>
      </w:r>
      <w:r w:rsidR="00427468">
        <w:rPr>
          <w:kern w:val="0"/>
        </w:rPr>
        <w:t xml:space="preserve"> of </w:t>
      </w:r>
      <w:r>
        <w:rPr>
          <w:kern w:val="0"/>
        </w:rPr>
        <w:t>agents-bisphosphonates, raloxifene, calcitonin, hormone replacement therapy, teriparatide,</w:t>
      </w:r>
      <w:r w:rsidR="005853A9">
        <w:rPr>
          <w:kern w:val="0"/>
        </w:rPr>
        <w:t xml:space="preserve"> and </w:t>
      </w:r>
      <w:r>
        <w:rPr>
          <w:kern w:val="0"/>
        </w:rPr>
        <w:t>strontium ranelate-can reduce</w:t>
      </w:r>
      <w:r w:rsidR="003A1917">
        <w:rPr>
          <w:kern w:val="0"/>
        </w:rPr>
        <w:t xml:space="preserve"> the </w:t>
      </w:r>
      <w:r>
        <w:rPr>
          <w:kern w:val="0"/>
        </w:rPr>
        <w:t>risk</w:t>
      </w:r>
      <w:r w:rsidR="00427468">
        <w:rPr>
          <w:kern w:val="0"/>
        </w:rPr>
        <w:t xml:space="preserve"> of </w:t>
      </w:r>
      <w:r>
        <w:rPr>
          <w:kern w:val="0"/>
        </w:rPr>
        <w:t>osteoporosis-related fragility fractures. However, low levels</w:t>
      </w:r>
      <w:r w:rsidR="00427468">
        <w:rPr>
          <w:kern w:val="0"/>
        </w:rPr>
        <w:t xml:space="preserve"> of </w:t>
      </w:r>
      <w:r>
        <w:rPr>
          <w:kern w:val="0"/>
        </w:rPr>
        <w:t>compliance</w:t>
      </w:r>
      <w:r w:rsidR="005853A9">
        <w:rPr>
          <w:kern w:val="0"/>
        </w:rPr>
        <w:t xml:space="preserve"> and </w:t>
      </w:r>
      <w:r>
        <w:rPr>
          <w:kern w:val="0"/>
        </w:rPr>
        <w:t>persistence in</w:t>
      </w:r>
      <w:r w:rsidR="003A1917">
        <w:rPr>
          <w:kern w:val="0"/>
        </w:rPr>
        <w:t xml:space="preserve"> the </w:t>
      </w:r>
      <w:r>
        <w:rPr>
          <w:kern w:val="0"/>
        </w:rPr>
        <w:t>real-life setting mean that efficacy benefits observed in clinical trials with these agents may not translate into equivalent effectiveness in daily practice</w:t>
      </w:r>
      <w:r w:rsidR="00A37C1D">
        <w:rPr>
          <w:kern w:val="0"/>
        </w:rPr>
        <w:t>. The</w:t>
      </w:r>
      <w:r w:rsidR="003A1917">
        <w:rPr>
          <w:kern w:val="0"/>
        </w:rPr>
        <w:t xml:space="preserve"> </w:t>
      </w:r>
      <w:r>
        <w:rPr>
          <w:kern w:val="0"/>
        </w:rPr>
        <w:t>aim</w:t>
      </w:r>
      <w:r w:rsidR="00427468">
        <w:rPr>
          <w:kern w:val="0"/>
        </w:rPr>
        <w:t xml:space="preserve"> of </w:t>
      </w:r>
      <w:r>
        <w:rPr>
          <w:kern w:val="0"/>
        </w:rPr>
        <w:t>this review is to provide a comprehensive evaluation</w:t>
      </w:r>
      <w:r w:rsidR="00427468">
        <w:rPr>
          <w:kern w:val="0"/>
        </w:rPr>
        <w:t xml:space="preserve"> of </w:t>
      </w:r>
      <w:r>
        <w:rPr>
          <w:kern w:val="0"/>
        </w:rPr>
        <w:t>compliance</w:t>
      </w:r>
      <w:r w:rsidR="005853A9">
        <w:rPr>
          <w:kern w:val="0"/>
        </w:rPr>
        <w:t xml:space="preserve"> and </w:t>
      </w:r>
      <w:r>
        <w:rPr>
          <w:kern w:val="0"/>
        </w:rPr>
        <w:t>persistence data from retrospective/observational studies, with particular reference to studies that consider</w:t>
      </w:r>
      <w:r w:rsidR="003A1917">
        <w:rPr>
          <w:kern w:val="0"/>
        </w:rPr>
        <w:t xml:space="preserve"> the </w:t>
      </w:r>
      <w:r>
        <w:rPr>
          <w:kern w:val="0"/>
        </w:rPr>
        <w:t xml:space="preserve">effects on fracture rates. </w:t>
      </w:r>
      <w:r w:rsidR="002C12F0">
        <w:rPr>
          <w:kern w:val="0"/>
        </w:rPr>
        <w:t>PUBMED</w:t>
      </w:r>
      <w:r w:rsidR="00427468">
        <w:rPr>
          <w:kern w:val="0"/>
        </w:rPr>
        <w:t xml:space="preserve"> of </w:t>
      </w:r>
      <w:r w:rsidR="003A1917">
        <w:rPr>
          <w:kern w:val="0"/>
        </w:rPr>
        <w:t xml:space="preserve">the </w:t>
      </w:r>
      <w:r>
        <w:rPr>
          <w:kern w:val="0"/>
        </w:rPr>
        <w:t>National Center for Biotechnology Information (NCBI)</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were searched for publications detailing observational or retrospective analyses</w:t>
      </w:r>
      <w:r w:rsidR="00427468">
        <w:rPr>
          <w:kern w:val="0"/>
        </w:rPr>
        <w:t xml:space="preserve"> of </w:t>
      </w:r>
      <w:r>
        <w:rPr>
          <w:kern w:val="0"/>
        </w:rPr>
        <w:t>adherence, compliance,</w:t>
      </w:r>
      <w:r w:rsidR="005853A9">
        <w:rPr>
          <w:kern w:val="0"/>
        </w:rPr>
        <w:t xml:space="preserve"> and </w:t>
      </w:r>
      <w:r>
        <w:rPr>
          <w:kern w:val="0"/>
        </w:rPr>
        <w:t>persistence with osteoporosis therapies. In addition, authors provided relevant studies that were not retrieved using</w:t>
      </w:r>
      <w:r w:rsidR="003A1917">
        <w:rPr>
          <w:kern w:val="0"/>
        </w:rPr>
        <w:t xml:space="preserve"> the </w:t>
      </w:r>
      <w:r>
        <w:rPr>
          <w:kern w:val="0"/>
        </w:rPr>
        <w:t>search criteria. In total, 17 unique publications were identified. Analysis</w:t>
      </w:r>
      <w:r w:rsidR="00427468">
        <w:rPr>
          <w:kern w:val="0"/>
        </w:rPr>
        <w:t xml:space="preserve"> of </w:t>
      </w:r>
      <w:r w:rsidR="003A1917">
        <w:rPr>
          <w:kern w:val="0"/>
        </w:rPr>
        <w:t xml:space="preserve">the </w:t>
      </w:r>
      <w:r>
        <w:rPr>
          <w:kern w:val="0"/>
        </w:rPr>
        <w:t>publications indicated that low compliance</w:t>
      </w:r>
      <w:r w:rsidR="005853A9">
        <w:rPr>
          <w:kern w:val="0"/>
        </w:rPr>
        <w:t xml:space="preserve"> and </w:t>
      </w:r>
      <w:r>
        <w:rPr>
          <w:kern w:val="0"/>
        </w:rPr>
        <w:t>persistence rates for osteoporosis therapies in</w:t>
      </w:r>
      <w:r w:rsidR="003A1917">
        <w:rPr>
          <w:kern w:val="0"/>
        </w:rPr>
        <w:t xml:space="preserve"> the </w:t>
      </w:r>
      <w:r>
        <w:rPr>
          <w:kern w:val="0"/>
        </w:rPr>
        <w:t>real-life setting result in increased rates</w:t>
      </w:r>
      <w:r w:rsidR="00427468">
        <w:rPr>
          <w:kern w:val="0"/>
        </w:rPr>
        <w:t xml:space="preserve"> of </w:t>
      </w:r>
      <w:r>
        <w:rPr>
          <w:kern w:val="0"/>
        </w:rPr>
        <w:t>fragility fractures</w:t>
      </w:r>
      <w:r w:rsidR="00A37C1D">
        <w:rPr>
          <w:kern w:val="0"/>
        </w:rPr>
        <w:t>. The</w:t>
      </w:r>
      <w:r w:rsidR="003A1917">
        <w:rPr>
          <w:kern w:val="0"/>
        </w:rPr>
        <w:t xml:space="preserve"> </w:t>
      </w:r>
      <w:r>
        <w:rPr>
          <w:kern w:val="0"/>
        </w:rPr>
        <w:t>results emphasize</w:t>
      </w:r>
      <w:r w:rsidR="003A1917">
        <w:rPr>
          <w:kern w:val="0"/>
        </w:rPr>
        <w:t xml:space="preserve"> the </w:t>
      </w:r>
      <w:r>
        <w:rPr>
          <w:kern w:val="0"/>
        </w:rPr>
        <w:t>importance</w:t>
      </w:r>
      <w:r w:rsidR="00427468">
        <w:rPr>
          <w:kern w:val="0"/>
        </w:rPr>
        <w:t xml:space="preserve"> of </w:t>
      </w:r>
      <w:r>
        <w:rPr>
          <w:kern w:val="0"/>
        </w:rPr>
        <w:t>good treatment compliance</w:t>
      </w:r>
      <w:r w:rsidR="005853A9">
        <w:rPr>
          <w:kern w:val="0"/>
        </w:rPr>
        <w:t xml:space="preserve"> and </w:t>
      </w:r>
      <w:r>
        <w:rPr>
          <w:kern w:val="0"/>
        </w:rPr>
        <w:t>persistence with osteoporosis therapies in order to achieve a significant therapeutic benefit</w:t>
      </w:r>
      <w:r w:rsidR="005853A9">
        <w:rPr>
          <w:kern w:val="0"/>
        </w:rPr>
        <w:t xml:space="preserve"> and </w:t>
      </w:r>
      <w:r>
        <w:rPr>
          <w:kern w:val="0"/>
        </w:rPr>
        <w:t>thereby reduce</w:t>
      </w:r>
      <w:r w:rsidR="003A1917">
        <w:rPr>
          <w:kern w:val="0"/>
        </w:rPr>
        <w:t xml:space="preserve"> the </w:t>
      </w:r>
      <w:r>
        <w:rPr>
          <w:kern w:val="0"/>
        </w:rPr>
        <w:t>burden that osteoporosis</w:t>
      </w:r>
      <w:r w:rsidR="005853A9">
        <w:rPr>
          <w:kern w:val="0"/>
        </w:rPr>
        <w:t xml:space="preserve"> and </w:t>
      </w:r>
      <w:r>
        <w:rPr>
          <w:kern w:val="0"/>
        </w:rPr>
        <w:t>associated fractures place on individuals</w:t>
      </w:r>
      <w:r w:rsidR="005853A9">
        <w:rPr>
          <w:kern w:val="0"/>
        </w:rPr>
        <w:t xml:space="preserve"> and </w:t>
      </w:r>
      <w:r>
        <w:rPr>
          <w:kern w:val="0"/>
        </w:rPr>
        <w:t>healthcare systems. (C) 2009 Elsevier Inc. All rights reserved</w:t>
      </w:r>
      <w:r w:rsidR="00A37C1D">
        <w:rPr>
          <w:kern w:val="0"/>
        </w:rPr>
        <w:t>. The</w:t>
      </w:r>
      <w:r w:rsidR="003A1917">
        <w:rPr>
          <w:kern w:val="0"/>
        </w:rPr>
        <w:t xml:space="preserve"> </w:t>
      </w:r>
      <w:r>
        <w:rPr>
          <w:kern w:val="0"/>
        </w:rPr>
        <w:t>American Journal</w:t>
      </w:r>
      <w:r w:rsidR="00427468">
        <w:rPr>
          <w:kern w:val="0"/>
        </w:rPr>
        <w:t xml:space="preserve"> of </w:t>
      </w:r>
      <w:r>
        <w:rPr>
          <w:kern w:val="0"/>
        </w:rPr>
        <w:t>Medicine (2009) 122, S3-S13.</w:t>
      </w:r>
    </w:p>
    <w:p w:rsidR="006E1110" w:rsidRDefault="006E1110" w:rsidP="006E1110">
      <w:pPr>
        <w:pStyle w:val="a3"/>
        <w:rPr>
          <w:kern w:val="0"/>
        </w:rPr>
      </w:pPr>
      <w:r>
        <w:rPr>
          <w:kern w:val="0"/>
        </w:rPr>
        <w:t>Keywords: Adherence, Authors, Biotechnology, Bisphosphonate Therapy, Burden, Clinical Trials, Compliance, Database Analysis, Databases, Drug-Therapy, Economic Burden, Effectiveness, Efficacy, Europe, Evaluation, Fracture, Impact, Journal, Medication Compliance, Osteoporosis, Persistence, Persistence, Postmenopa</w:t>
      </w:r>
      <w:r w:rsidR="00D5664A">
        <w:rPr>
          <w:kern w:val="0"/>
        </w:rPr>
        <w:t>USA</w:t>
      </w:r>
      <w:r>
        <w:rPr>
          <w:kern w:val="0"/>
        </w:rPr>
        <w:t xml:space="preserve">l Osteoporosis, Practice, Public Health, Publications, </w:t>
      </w:r>
      <w:r w:rsidR="002C12F0">
        <w:rPr>
          <w:kern w:val="0"/>
        </w:rPr>
        <w:t>PUBMED</w:t>
      </w:r>
      <w:r>
        <w:rPr>
          <w:kern w:val="0"/>
        </w:rPr>
        <w:t xml:space="preserve">, Review, Risk, Science, Therapy, Treatment, United-States, </w:t>
      </w:r>
      <w:r w:rsidR="00D5664A">
        <w:rPr>
          <w:kern w:val="0"/>
        </w:rPr>
        <w:t>Web</w:t>
      </w:r>
      <w:r w:rsidR="00427468">
        <w:rPr>
          <w:kern w:val="0"/>
        </w:rPr>
        <w:t xml:space="preserve"> of </w:t>
      </w:r>
      <w:r w:rsidR="00D5664A">
        <w:rPr>
          <w:kern w:val="0"/>
        </w:rPr>
        <w:t>Science</w:t>
      </w:r>
      <w:r>
        <w:rPr>
          <w:kern w:val="0"/>
        </w:rPr>
        <w:t>, Women</w:t>
      </w:r>
    </w:p>
    <w:p w:rsidR="002E69BC" w:rsidRDefault="002E69BC" w:rsidP="002E69BC">
      <w:pPr>
        <w:pStyle w:val="a3"/>
        <w:rPr>
          <w:kern w:val="0"/>
        </w:rPr>
      </w:pPr>
      <w:r>
        <w:rPr>
          <w:rFonts w:hint="eastAsia"/>
          <w:kern w:val="0"/>
        </w:rPr>
        <w:t xml:space="preserve">? </w:t>
      </w:r>
      <w:r>
        <w:rPr>
          <w:kern w:val="0"/>
        </w:rPr>
        <w:t>Nordmann, A.J., Suter-Zimmermann, K., Bucher, H.C., Shai, I., Tuttle, K.R., Estruch, R.</w:t>
      </w:r>
      <w:r w:rsidR="005853A9">
        <w:rPr>
          <w:kern w:val="0"/>
        </w:rPr>
        <w:t xml:space="preserve"> and </w:t>
      </w:r>
      <w:r>
        <w:rPr>
          <w:kern w:val="0"/>
        </w:rPr>
        <w:t>Briel, M. (2011), Meta-analysis comparing mediterranean to low-fat diets for modification</w:t>
      </w:r>
      <w:r w:rsidR="00427468">
        <w:rPr>
          <w:kern w:val="0"/>
        </w:rPr>
        <w:t xml:space="preserve"> of </w:t>
      </w:r>
      <w:r>
        <w:rPr>
          <w:kern w:val="0"/>
        </w:rPr>
        <w:t xml:space="preserve">cardiovascular risk factors. </w:t>
      </w:r>
      <w:r>
        <w:rPr>
          <w:i/>
          <w:iCs/>
          <w:kern w:val="0"/>
        </w:rPr>
        <w:t>American Journal</w:t>
      </w:r>
      <w:r w:rsidR="00427468">
        <w:rPr>
          <w:i/>
          <w:iCs/>
          <w:kern w:val="0"/>
        </w:rPr>
        <w:t xml:space="preserve"> of </w:t>
      </w:r>
      <w:r>
        <w:rPr>
          <w:i/>
          <w:iCs/>
          <w:kern w:val="0"/>
        </w:rPr>
        <w:t>Medicine</w:t>
      </w:r>
      <w:r>
        <w:rPr>
          <w:kern w:val="0"/>
        </w:rPr>
        <w:t xml:space="preserve">, </w:t>
      </w:r>
      <w:r>
        <w:rPr>
          <w:b/>
          <w:bCs/>
          <w:kern w:val="0"/>
        </w:rPr>
        <w:t>124</w:t>
      </w:r>
      <w:r>
        <w:rPr>
          <w:kern w:val="0"/>
        </w:rPr>
        <w:t xml:space="preserve"> (9), 841-</w:t>
      </w:r>
      <w:r>
        <w:rPr>
          <w:rFonts w:hint="eastAsia"/>
          <w:kern w:val="0"/>
        </w:rPr>
        <w:t>851</w:t>
      </w:r>
      <w:r>
        <w:rPr>
          <w:kern w:val="0"/>
        </w:rPr>
        <w:t>.</w:t>
      </w:r>
    </w:p>
    <w:p w:rsidR="002E69BC" w:rsidRPr="00F219CA" w:rsidRDefault="002E69BC" w:rsidP="002E69BC">
      <w:pPr>
        <w:pStyle w:val="a3"/>
      </w:pPr>
      <w:r w:rsidRPr="00F219CA">
        <w:t xml:space="preserve">Full Text: </w:t>
      </w:r>
      <w:hyperlink r:id="rId540" w:history="1">
        <w:r w:rsidRPr="00625A4E">
          <w:rPr>
            <w:rStyle w:val="a5"/>
          </w:rPr>
          <w:t>2011\Ame J Med124, 841.pdf</w:t>
        </w:r>
      </w:hyperlink>
    </w:p>
    <w:p w:rsidR="002E69BC" w:rsidRDefault="002E69BC" w:rsidP="002E69BC">
      <w:pPr>
        <w:pStyle w:val="a3"/>
        <w:rPr>
          <w:kern w:val="0"/>
        </w:rPr>
      </w:pPr>
      <w:r>
        <w:rPr>
          <w:kern w:val="0"/>
        </w:rPr>
        <w:t xml:space="preserve">Abstract: BACKGROUND: Evidence from individual trials comparing Mediterranean to low-fat diets to modify cardiovascular risk factors remains preliminary. METHODS: We systematically searched </w:t>
      </w:r>
      <w:r w:rsidR="00D5664A">
        <w:rPr>
          <w:kern w:val="0"/>
        </w:rPr>
        <w:t>MEDLINE</w:t>
      </w:r>
      <w:r>
        <w:rPr>
          <w:kern w:val="0"/>
        </w:rPr>
        <w:t xml:space="preserve">, EMBASE, Biosis,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from their inception until January 2011, as well as contacted experts in</w:t>
      </w:r>
      <w:r w:rsidR="003A1917">
        <w:rPr>
          <w:kern w:val="0"/>
        </w:rPr>
        <w:t xml:space="preserve"> the </w:t>
      </w:r>
      <w:r>
        <w:rPr>
          <w:kern w:val="0"/>
        </w:rPr>
        <w:t xml:space="preserve">field, to identify randomized controlled trials comparing Mediterranean to low-fat diets in overweight/obese </w:t>
      </w:r>
      <w:r>
        <w:rPr>
          <w:kern w:val="0"/>
        </w:rPr>
        <w:lastRenderedPageBreak/>
        <w:t>individuals, with a minimum follow-up</w:t>
      </w:r>
      <w:r w:rsidR="00427468">
        <w:rPr>
          <w:kern w:val="0"/>
        </w:rPr>
        <w:t xml:space="preserve"> of </w:t>
      </w:r>
      <w:r>
        <w:rPr>
          <w:kern w:val="0"/>
        </w:rPr>
        <w:t>6 months, reporting intention-to-treat data on cardiovascular risk factors. Two authors independently assessed trial eligibility</w:t>
      </w:r>
      <w:r w:rsidR="005853A9">
        <w:rPr>
          <w:kern w:val="0"/>
        </w:rPr>
        <w:t xml:space="preserve"> and </w:t>
      </w:r>
      <w:r>
        <w:rPr>
          <w:kern w:val="0"/>
        </w:rPr>
        <w:t>quality. RESULTS: We identified 6 trials, including 2650 individuals (50% women) fulfilling our inclusion criteria. Mean age</w:t>
      </w:r>
      <w:r w:rsidR="00427468">
        <w:rPr>
          <w:kern w:val="0"/>
        </w:rPr>
        <w:t xml:space="preserve"> of </w:t>
      </w:r>
      <w:r>
        <w:rPr>
          <w:kern w:val="0"/>
        </w:rPr>
        <w:t>enrolled patients ranged from 35 to 68 years, mean body mass index from 29 to 35 kg/m(2). After 2 years</w:t>
      </w:r>
      <w:r w:rsidR="00427468">
        <w:rPr>
          <w:kern w:val="0"/>
        </w:rPr>
        <w:t xml:space="preserve"> of </w:t>
      </w:r>
      <w:r>
        <w:rPr>
          <w:kern w:val="0"/>
        </w:rPr>
        <w:t>follow-up, individuals assigned to a Mediterranean diet had more favorable changes in weighted mean differences</w:t>
      </w:r>
      <w:r w:rsidR="00427468">
        <w:rPr>
          <w:kern w:val="0"/>
        </w:rPr>
        <w:t xml:space="preserve"> of </w:t>
      </w:r>
      <w:r>
        <w:rPr>
          <w:kern w:val="0"/>
        </w:rPr>
        <w:t>body weight (-2.2 kg; 95% confidence interval [CI], -3.9 to -0.6), body mass index (-0.6 kg/m(2); 95% CI, -1 to -0.1), systolic blood pressure (-1.7 mm Hg; 95% CI, -3.3 to -0.05), diastolic blood pressure (-1.5 mm Hg; 95% CI, -2.1 to -0.8), fasting plasma glucose (-3.8 mg/dL, 95% CI, -7 to -0.6), total cholesterol (-7.4 mg/dL; 95% CI, -10.3 to -4.4),</w:t>
      </w:r>
      <w:r w:rsidR="005853A9">
        <w:rPr>
          <w:kern w:val="0"/>
        </w:rPr>
        <w:t xml:space="preserve"> and </w:t>
      </w:r>
      <w:r>
        <w:rPr>
          <w:kern w:val="0"/>
        </w:rPr>
        <w:t>high-sensitivity C-reactive protein (-1.0 mg/L; 95% CI, -1.5 to -0.5)</w:t>
      </w:r>
      <w:r w:rsidR="00A37C1D">
        <w:rPr>
          <w:kern w:val="0"/>
        </w:rPr>
        <w:t>. The</w:t>
      </w:r>
      <w:r w:rsidR="003A1917">
        <w:rPr>
          <w:kern w:val="0"/>
        </w:rPr>
        <w:t xml:space="preserve"> </w:t>
      </w:r>
      <w:r>
        <w:rPr>
          <w:kern w:val="0"/>
        </w:rPr>
        <w:t>observed heterogeneity across individual trials could, by</w:t>
      </w:r>
      <w:r w:rsidR="005853A9">
        <w:rPr>
          <w:kern w:val="0"/>
        </w:rPr>
        <w:t xml:space="preserve"> and </w:t>
      </w:r>
      <w:r>
        <w:rPr>
          <w:kern w:val="0"/>
        </w:rPr>
        <w:t>large, be eliminated by restricting analyses to trials with balanced co-interventions or trials with restriction</w:t>
      </w:r>
      <w:r w:rsidR="00427468">
        <w:rPr>
          <w:kern w:val="0"/>
        </w:rPr>
        <w:t xml:space="preserve"> of </w:t>
      </w:r>
      <w:r>
        <w:rPr>
          <w:kern w:val="0"/>
        </w:rPr>
        <w:t>daily calorie intake in both diet groups. CONCLUSION: Mediterranean diets appear to be more effective than low-fat diets in inducing clinically relevant long-term changes in cardiovascular risk factors</w:t>
      </w:r>
      <w:r w:rsidR="005853A9">
        <w:rPr>
          <w:kern w:val="0"/>
        </w:rPr>
        <w:t xml:space="preserve"> and </w:t>
      </w:r>
      <w:r>
        <w:rPr>
          <w:kern w:val="0"/>
        </w:rPr>
        <w:t>inflammatory markers. (C) 2011 Elsevier Inc. All rights reserved</w:t>
      </w:r>
      <w:r w:rsidR="00A37C1D">
        <w:rPr>
          <w:kern w:val="0"/>
        </w:rPr>
        <w:t>. The</w:t>
      </w:r>
      <w:r w:rsidR="003A1917">
        <w:rPr>
          <w:kern w:val="0"/>
        </w:rPr>
        <w:t xml:space="preserve"> </w:t>
      </w:r>
      <w:r>
        <w:rPr>
          <w:kern w:val="0"/>
        </w:rPr>
        <w:t>American Journal</w:t>
      </w:r>
      <w:r w:rsidR="00427468">
        <w:rPr>
          <w:kern w:val="0"/>
        </w:rPr>
        <w:t xml:space="preserve"> of </w:t>
      </w:r>
      <w:r>
        <w:rPr>
          <w:kern w:val="0"/>
        </w:rPr>
        <w:t>Medicine (2011) 124, 841-851.</w:t>
      </w:r>
    </w:p>
    <w:p w:rsidR="002E69BC" w:rsidRDefault="002E69BC" w:rsidP="002E69BC">
      <w:pPr>
        <w:pStyle w:val="a3"/>
        <w:rPr>
          <w:kern w:val="0"/>
        </w:rPr>
      </w:pPr>
      <w:r>
        <w:rPr>
          <w:kern w:val="0"/>
        </w:rPr>
        <w:t xml:space="preserve">Keywords: Adherence, Authors, Blood, Blood Pressure, Body Mass Index, Body Weight, Cardiovascular, Cardiovascular Risk, Cholesterol, Clinical-Trials, Cochrane, Coronary-Heart-Disease, Diet, Embase, Factors, Fasting, Follow-Up, Health-Care, Journal, Low-Fat Diet, Mediterranean Diet, </w:t>
      </w:r>
      <w:r w:rsidR="00D5664A">
        <w:rPr>
          <w:kern w:val="0"/>
        </w:rPr>
        <w:t>MEDLINE</w:t>
      </w:r>
      <w:r>
        <w:rPr>
          <w:kern w:val="0"/>
        </w:rPr>
        <w:t xml:space="preserve">, Meta-Analysis, Myocardial-Infarction, Patients, Plasma, Pressure, Randomized Controlled Trials, Randomized-Trial, Risk, Risk Factors, Science, Style Diet, Total Cholesterol, </w:t>
      </w:r>
      <w:r w:rsidR="00D5664A">
        <w:rPr>
          <w:kern w:val="0"/>
        </w:rPr>
        <w:t>Web</w:t>
      </w:r>
      <w:r w:rsidR="00427468">
        <w:rPr>
          <w:kern w:val="0"/>
        </w:rPr>
        <w:t xml:space="preserve"> of </w:t>
      </w:r>
      <w:r w:rsidR="00D5664A">
        <w:rPr>
          <w:kern w:val="0"/>
        </w:rPr>
        <w:t>Science</w:t>
      </w:r>
      <w:r>
        <w:rPr>
          <w:kern w:val="0"/>
        </w:rPr>
        <w:t>, Weight-Loss, Women</w:t>
      </w:r>
    </w:p>
    <w:p w:rsidR="00F01E75" w:rsidRDefault="00F01E75" w:rsidP="00F01E75">
      <w:pPr>
        <w:pStyle w:val="a3"/>
        <w:rPr>
          <w:kern w:val="0"/>
        </w:rPr>
      </w:pPr>
      <w:r>
        <w:rPr>
          <w:rFonts w:hint="eastAsia"/>
          <w:kern w:val="0"/>
        </w:rPr>
        <w:t xml:space="preserve">? </w:t>
      </w:r>
      <w:r>
        <w:rPr>
          <w:kern w:val="0"/>
        </w:rPr>
        <w:t>Qi, X.S., Ren, W.R., Liu, L., Yang, Z.P., Yang, M., Fan, D.M.</w:t>
      </w:r>
      <w:r w:rsidR="005853A9">
        <w:rPr>
          <w:kern w:val="0"/>
        </w:rPr>
        <w:t xml:space="preserve"> and </w:t>
      </w:r>
      <w:r>
        <w:rPr>
          <w:kern w:val="0"/>
        </w:rPr>
        <w:t>Han, G.H. (2013), Prevalence</w:t>
      </w:r>
      <w:r w:rsidR="00427468">
        <w:rPr>
          <w:kern w:val="0"/>
        </w:rPr>
        <w:t xml:space="preserve"> of </w:t>
      </w:r>
      <w:r>
        <w:rPr>
          <w:kern w:val="0"/>
        </w:rPr>
        <w:t xml:space="preserve">covert duplicate publications in Budd-Chiari syndrome articles in China: A systematic analysis. </w:t>
      </w:r>
      <w:r>
        <w:rPr>
          <w:i/>
          <w:iCs/>
          <w:kern w:val="0"/>
        </w:rPr>
        <w:t>American Journal</w:t>
      </w:r>
      <w:r w:rsidR="00427468">
        <w:rPr>
          <w:i/>
          <w:iCs/>
          <w:kern w:val="0"/>
        </w:rPr>
        <w:t xml:space="preserve"> of </w:t>
      </w:r>
      <w:r>
        <w:rPr>
          <w:i/>
          <w:iCs/>
          <w:kern w:val="0"/>
        </w:rPr>
        <w:t>Medicine</w:t>
      </w:r>
      <w:r>
        <w:rPr>
          <w:kern w:val="0"/>
        </w:rPr>
        <w:t xml:space="preserve">, </w:t>
      </w:r>
      <w:r>
        <w:rPr>
          <w:b/>
          <w:bCs/>
          <w:kern w:val="0"/>
        </w:rPr>
        <w:t>126</w:t>
      </w:r>
      <w:r>
        <w:rPr>
          <w:kern w:val="0"/>
        </w:rPr>
        <w:t xml:space="preserve"> (7), 633-</w:t>
      </w:r>
      <w:r>
        <w:rPr>
          <w:rFonts w:hint="eastAsia"/>
          <w:kern w:val="0"/>
        </w:rPr>
        <w:t>639</w:t>
      </w:r>
      <w:r>
        <w:rPr>
          <w:kern w:val="0"/>
        </w:rPr>
        <w:t>.</w:t>
      </w:r>
    </w:p>
    <w:p w:rsidR="00F01E75" w:rsidRPr="00F219CA" w:rsidRDefault="00F01E75" w:rsidP="00F01E75">
      <w:pPr>
        <w:pStyle w:val="a3"/>
      </w:pPr>
      <w:r w:rsidRPr="00F219CA">
        <w:t xml:space="preserve">Full Text: </w:t>
      </w:r>
      <w:hyperlink r:id="rId541" w:history="1">
        <w:r w:rsidRPr="00CF1F89">
          <w:rPr>
            <w:rStyle w:val="a5"/>
          </w:rPr>
          <w:t>2013\Ame J Med126, 633.pdf</w:t>
        </w:r>
      </w:hyperlink>
    </w:p>
    <w:p w:rsidR="00F01E75" w:rsidRDefault="00F01E75" w:rsidP="00F01E75">
      <w:pPr>
        <w:pStyle w:val="a3"/>
        <w:rPr>
          <w:kern w:val="0"/>
        </w:rPr>
      </w:pPr>
      <w:r>
        <w:rPr>
          <w:kern w:val="0"/>
        </w:rPr>
        <w:t>Abstract: BACKGROUND: Covert duplicate publication is unquestionably unethical</w:t>
      </w:r>
      <w:r w:rsidR="005853A9">
        <w:rPr>
          <w:kern w:val="0"/>
        </w:rPr>
        <w:t xml:space="preserve"> and </w:t>
      </w:r>
      <w:r>
        <w:rPr>
          <w:kern w:val="0"/>
        </w:rPr>
        <w:t>problematic. Approximately 3000 articles describing Budd-Chiari syndrome in China have been published. However, no study has yet explored the prevalence</w:t>
      </w:r>
      <w:r w:rsidR="00427468">
        <w:rPr>
          <w:kern w:val="0"/>
        </w:rPr>
        <w:t xml:space="preserve"> of </w:t>
      </w:r>
      <w:r>
        <w:rPr>
          <w:kern w:val="0"/>
        </w:rPr>
        <w:t>covert duplicate publications among these articles. METHODS: We retrieved original articles regarding Budd-Chiari syndrome in China via the PubMed, Chinese Scientific</w:t>
      </w:r>
      <w:r w:rsidR="005853A9">
        <w:rPr>
          <w:kern w:val="0"/>
        </w:rPr>
        <w:t xml:space="preserve"> and </w:t>
      </w:r>
      <w:r>
        <w:rPr>
          <w:kern w:val="0"/>
        </w:rPr>
        <w:t>Technological Journal (VIP),</w:t>
      </w:r>
      <w:r w:rsidR="005853A9">
        <w:rPr>
          <w:kern w:val="0"/>
        </w:rPr>
        <w:t xml:space="preserve"> and </w:t>
      </w:r>
      <w:r>
        <w:rPr>
          <w:kern w:val="0"/>
        </w:rPr>
        <w:t>China National Knowledge Infrastructure databases</w:t>
      </w:r>
      <w:r w:rsidR="00A37C1D">
        <w:rPr>
          <w:kern w:val="0"/>
        </w:rPr>
        <w:t>. The</w:t>
      </w:r>
      <w:r>
        <w:rPr>
          <w:kern w:val="0"/>
        </w:rPr>
        <w:t xml:space="preserve"> prevalence</w:t>
      </w:r>
      <w:r w:rsidR="00427468">
        <w:rPr>
          <w:kern w:val="0"/>
        </w:rPr>
        <w:t xml:space="preserve"> of </w:t>
      </w:r>
      <w:r>
        <w:rPr>
          <w:kern w:val="0"/>
        </w:rPr>
        <w:t>covert duplicate publications was evaluated across publication dates, institutional grades,</w:t>
      </w:r>
      <w:r w:rsidR="005853A9">
        <w:rPr>
          <w:kern w:val="0"/>
        </w:rPr>
        <w:t xml:space="preserve"> and </w:t>
      </w:r>
      <w:r>
        <w:rPr>
          <w:kern w:val="0"/>
        </w:rPr>
        <w:t>academic levels</w:t>
      </w:r>
      <w:r w:rsidR="00427468">
        <w:rPr>
          <w:kern w:val="0"/>
        </w:rPr>
        <w:t xml:space="preserve"> of </w:t>
      </w:r>
      <w:r>
        <w:rPr>
          <w:kern w:val="0"/>
        </w:rPr>
        <w:t>the journals. RESULTS: Overall, 1914 articles were included in our analysis</w:t>
      </w:r>
      <w:r w:rsidR="00A37C1D">
        <w:rPr>
          <w:kern w:val="0"/>
        </w:rPr>
        <w:t>. The</w:t>
      </w:r>
      <w:r>
        <w:rPr>
          <w:kern w:val="0"/>
        </w:rPr>
        <w:t>se articles were produced by 632 institutions</w:t>
      </w:r>
      <w:r w:rsidR="005853A9">
        <w:rPr>
          <w:kern w:val="0"/>
        </w:rPr>
        <w:t xml:space="preserve"> and </w:t>
      </w:r>
      <w:r>
        <w:rPr>
          <w:kern w:val="0"/>
        </w:rPr>
        <w:t xml:space="preserve">published in 463 journals. Overall, </w:t>
      </w:r>
      <w:r>
        <w:rPr>
          <w:kern w:val="0"/>
        </w:rPr>
        <w:lastRenderedPageBreak/>
        <w:t>10% (184/1914)</w:t>
      </w:r>
      <w:r w:rsidR="00427468">
        <w:rPr>
          <w:kern w:val="0"/>
        </w:rPr>
        <w:t xml:space="preserve"> of </w:t>
      </w:r>
      <w:r>
        <w:rPr>
          <w:kern w:val="0"/>
        </w:rPr>
        <w:t>the articles, 10% (62/632)</w:t>
      </w:r>
      <w:r w:rsidR="00427468">
        <w:rPr>
          <w:kern w:val="0"/>
        </w:rPr>
        <w:t xml:space="preserve"> of </w:t>
      </w:r>
      <w:r>
        <w:rPr>
          <w:kern w:val="0"/>
        </w:rPr>
        <w:t>the institutions,</w:t>
      </w:r>
      <w:r w:rsidR="005853A9">
        <w:rPr>
          <w:kern w:val="0"/>
        </w:rPr>
        <w:t xml:space="preserve"> and </w:t>
      </w:r>
      <w:r>
        <w:rPr>
          <w:kern w:val="0"/>
        </w:rPr>
        <w:t>26% (119/463)</w:t>
      </w:r>
      <w:r w:rsidR="00427468">
        <w:rPr>
          <w:kern w:val="0"/>
        </w:rPr>
        <w:t xml:space="preserve"> of </w:t>
      </w:r>
      <w:r>
        <w:rPr>
          <w:kern w:val="0"/>
        </w:rPr>
        <w:t>the journals were involved in covert duplicate publications. A decreasing trend in the prevalence</w:t>
      </w:r>
      <w:r w:rsidR="00427468">
        <w:rPr>
          <w:kern w:val="0"/>
        </w:rPr>
        <w:t xml:space="preserve"> of </w:t>
      </w:r>
      <w:r>
        <w:rPr>
          <w:kern w:val="0"/>
        </w:rPr>
        <w:t>covert duplicate publications over time was observed</w:t>
      </w:r>
      <w:r w:rsidR="00A37C1D">
        <w:rPr>
          <w:kern w:val="0"/>
        </w:rPr>
        <w:t>. The</w:t>
      </w:r>
      <w:r>
        <w:rPr>
          <w:kern w:val="0"/>
        </w:rPr>
        <w:t xml:space="preserve"> prevalence</w:t>
      </w:r>
      <w:r w:rsidR="00427468">
        <w:rPr>
          <w:kern w:val="0"/>
        </w:rPr>
        <w:t xml:space="preserve"> of </w:t>
      </w:r>
      <w:r>
        <w:rPr>
          <w:kern w:val="0"/>
        </w:rPr>
        <w:t>covert duplicate publications was significantly higher in tertiary hospitals than in primary hospitals or unclassified institutions (10.0% vs 3.8%, P = .038), but the prevalence was similar between tertiary</w:t>
      </w:r>
      <w:r w:rsidR="005853A9">
        <w:rPr>
          <w:kern w:val="0"/>
        </w:rPr>
        <w:t xml:space="preserve"> and </w:t>
      </w:r>
      <w:r>
        <w:rPr>
          <w:kern w:val="0"/>
        </w:rPr>
        <w:t>secondary hospitals (10.0% vs 9.3%, P = .72)</w:t>
      </w:r>
      <w:r w:rsidR="00A37C1D">
        <w:rPr>
          <w:kern w:val="0"/>
        </w:rPr>
        <w:t>. The</w:t>
      </w:r>
      <w:r>
        <w:rPr>
          <w:kern w:val="0"/>
        </w:rPr>
        <w:t xml:space="preserve"> prevalence</w:t>
      </w:r>
      <w:r w:rsidR="00427468">
        <w:rPr>
          <w:kern w:val="0"/>
        </w:rPr>
        <w:t xml:space="preserve"> of </w:t>
      </w:r>
      <w:r>
        <w:rPr>
          <w:kern w:val="0"/>
        </w:rPr>
        <w:t>covert duplicate publications was significantly higher in Science Citation Index journals than in Chinese Academic Core journals (23.9% vs 10.3%, P = .001)</w:t>
      </w:r>
      <w:r w:rsidR="005853A9">
        <w:rPr>
          <w:kern w:val="0"/>
        </w:rPr>
        <w:t xml:space="preserve"> and </w:t>
      </w:r>
      <w:r>
        <w:rPr>
          <w:kern w:val="0"/>
        </w:rPr>
        <w:t>other journals (23.9% vs 8.3%, P &lt; .001). CONCLUSIONS: Covert duplicate publications are relatively common among articles on Budd-Chiari syndrome in China</w:t>
      </w:r>
      <w:r w:rsidR="00A37C1D">
        <w:rPr>
          <w:kern w:val="0"/>
        </w:rPr>
        <w:t>. The</w:t>
      </w:r>
      <w:r>
        <w:rPr>
          <w:kern w:val="0"/>
        </w:rPr>
        <w:t xml:space="preserve"> high prevalence</w:t>
      </w:r>
      <w:r w:rsidR="00427468">
        <w:rPr>
          <w:kern w:val="0"/>
        </w:rPr>
        <w:t xml:space="preserve"> of </w:t>
      </w:r>
      <w:r>
        <w:rPr>
          <w:kern w:val="0"/>
        </w:rPr>
        <w:t>covert duplicate publication in Science Citation Index journals should remind English-language journal editors to verify whether the articles submitted by Chinese researchers have been published in Chinese-language journals. (C) 2013 Elsevier Inc. All rights reserved.</w:t>
      </w:r>
    </w:p>
    <w:p w:rsidR="00F01E75" w:rsidRDefault="00F01E75" w:rsidP="00F01E75">
      <w:pPr>
        <w:pStyle w:val="a3"/>
        <w:rPr>
          <w:kern w:val="0"/>
        </w:rPr>
      </w:pPr>
      <w:r>
        <w:rPr>
          <w:kern w:val="0"/>
        </w:rPr>
        <w:t>Keywords: Academic, Analysis, Articles, Background, Budd-Chiari Syndrome, China, Chinese, Citation, Databases, Hospitals, Institutions, Journal, Journal Editors, Journals, Knowledge, Methods, P, Prevalence, Primary, Publication, Publications, Pubmed, Rights, Science, Science Citation Index, Syndrome, Trend</w:t>
      </w:r>
    </w:p>
    <w:p w:rsidR="007A52CA" w:rsidRDefault="007A52CA" w:rsidP="007A52CA">
      <w:pPr>
        <w:pStyle w:val="a3"/>
        <w:rPr>
          <w:kern w:val="0"/>
        </w:rPr>
      </w:pPr>
      <w:r>
        <w:rPr>
          <w:rFonts w:hint="eastAsia"/>
          <w:kern w:val="0"/>
        </w:rPr>
        <w:t xml:space="preserve">? </w:t>
      </w:r>
      <w:r>
        <w:rPr>
          <w:kern w:val="0"/>
        </w:rPr>
        <w:t xml:space="preserve">Bassi, N., Karagodin, I., Wang, S., Vassallo, P., Priyanath, A., Massaro, E. and Stone, N.J. (2014), Lifestyle modification for metabolic syndrome: A systematic review. </w:t>
      </w:r>
      <w:r>
        <w:rPr>
          <w:i/>
          <w:iCs/>
          <w:kern w:val="0"/>
        </w:rPr>
        <w:t>American Journal of Medicine</w:t>
      </w:r>
      <w:r>
        <w:rPr>
          <w:kern w:val="0"/>
        </w:rPr>
        <w:t xml:space="preserve">, </w:t>
      </w:r>
      <w:r>
        <w:rPr>
          <w:b/>
          <w:bCs/>
          <w:kern w:val="0"/>
        </w:rPr>
        <w:t>127</w:t>
      </w:r>
      <w:r>
        <w:rPr>
          <w:kern w:val="0"/>
        </w:rPr>
        <w:t xml:space="preserve"> (12</w:t>
      </w:r>
      <w:r>
        <w:rPr>
          <w:rFonts w:hint="eastAsia"/>
          <w:kern w:val="0"/>
        </w:rPr>
        <w:t>)</w:t>
      </w:r>
      <w:r>
        <w:rPr>
          <w:kern w:val="0"/>
        </w:rPr>
        <w:t xml:space="preserve">, </w:t>
      </w:r>
      <w:r w:rsidRPr="00766856">
        <w:rPr>
          <w:kern w:val="0"/>
        </w:rPr>
        <w:t>Article Number:</w:t>
      </w:r>
      <w:r>
        <w:rPr>
          <w:rFonts w:hint="eastAsia"/>
          <w:kern w:val="0"/>
        </w:rPr>
        <w:t xml:space="preserve"> </w:t>
      </w:r>
      <w:r w:rsidRPr="00766856">
        <w:rPr>
          <w:kern w:val="0"/>
        </w:rPr>
        <w:t>1242.e1</w:t>
      </w:r>
      <w:r>
        <w:rPr>
          <w:kern w:val="0"/>
        </w:rPr>
        <w:t>.</w:t>
      </w:r>
    </w:p>
    <w:p w:rsidR="007A52CA" w:rsidRDefault="007A52CA" w:rsidP="007A52CA">
      <w:pPr>
        <w:pStyle w:val="a3"/>
        <w:rPr>
          <w:kern w:val="0"/>
        </w:rPr>
      </w:pPr>
      <w:r w:rsidRPr="00F219CA">
        <w:t xml:space="preserve">Full Text: </w:t>
      </w:r>
      <w:hyperlink r:id="rId542" w:history="1">
        <w:r w:rsidRPr="00951F33">
          <w:rPr>
            <w:rStyle w:val="a5"/>
          </w:rPr>
          <w:t>2014\Ame J Med124, 1242.e1.pdf</w:t>
        </w:r>
      </w:hyperlink>
    </w:p>
    <w:p w:rsidR="007A52CA" w:rsidRDefault="007A52CA" w:rsidP="007A52CA">
      <w:pPr>
        <w:pStyle w:val="a3"/>
        <w:rPr>
          <w:kern w:val="0"/>
        </w:rPr>
      </w:pPr>
      <w:r>
        <w:rPr>
          <w:kern w:val="0"/>
        </w:rPr>
        <w:t xml:space="preserve">Abstract: BACKGROUND: All 5 components of metabolic syndrome have been shown to improve with lifestyle and diet modification. New strategies for achieving adherence to meaningful lifestyle change are needed to optimize atherosclerotic cardiovascular risk reduction. We performed a systematic literature review, based on the Preferred Reporting Items for Systematic Reviews and Meta-Analyses framework (PRISMA), investigating optimal methods for achieving lifestyle change in metabolic syndrome. METHODS: We submitted standardized search terms to the PubMed Central, CINAHL, Web of Science, and Ovid databases. Within those results, we selected randomized controlled trials (RCTs) presenting unique methods of achieving lifestyle change in patients with one or more components of the metabolic syndrome. Data extraction using the population, intervention, comparator, outcome, and risk of bias framework (PICO) was used to compare the following endpoints: prevalence of metabolic syndrome, prevalence of individual metabolic syndrome components, mean number of metabolic syndrome components, and amount of weight loss achieved. RESULTS: Twenty-eight RCTs (6372 patients) were included. Eight RCTs demonstrated improvement in metabolic syndrome risk </w:t>
      </w:r>
      <w:r>
        <w:rPr>
          <w:kern w:val="0"/>
        </w:rPr>
        <w:lastRenderedPageBreak/>
        <w:t>factors after 1 year. Team-based, interactive approaches with high-frequency contact with patients who are motivated made the largest and most lasting impact. Technology was found to be a useful tool in achieving lifestyle change, but ineffective when compared with personal contact. CONCLUSION: Patient motivation leading to improved lifestyle adherence is a key factor in achieving reduction in metabolic syndrome components. These elements can be enhanced via frequent encounters with the health care system. Use of technologies such as mobile and Internet-based communication can increase the effectiveness of lifestyle change in metabolic syndrome, but should not replace personal contact as the cornerstone of therapy. Our ability to derive quantitative conclusions is limited by inconsistent outcome measures across studies, low power and homogeneity of individual studies, largely motivated study populations, short follow-up periods, loss to follow-up, and lack of or incomplete blinding. (C) 2014 Elsevier Inc. All rights reserved.</w:t>
      </w:r>
    </w:p>
    <w:p w:rsidR="007A52CA" w:rsidRDefault="007A52CA" w:rsidP="007A52CA">
      <w:pPr>
        <w:pStyle w:val="a3"/>
        <w:rPr>
          <w:kern w:val="0"/>
        </w:rPr>
      </w:pPr>
      <w:r>
        <w:rPr>
          <w:kern w:val="0"/>
        </w:rPr>
        <w:t>Keywords: Adherence, Background, Bias, Cardiovascular, Cardiovascular-Disease, Care, Communication, Data, Databases, Diet, Effectiveness, Exercise, Extraction, Factors, Follow-Up, Framework, Health, Health Care, Health Care System, Homogeneity, Impact, Improvement, Intervention, Literature, Literature Review, Loss To Follow-Up, Management, Measures, Metabolic Syndrome, Methods, Mobile, Modification, Modification Program, Motivation, Outcome, Outcome Measures, Patient, Patients, Physical-Activity, Population, Populations, Power, Prevalence, Prevention, Pubmed, Pubmed Central, Randomized, Randomized Controlled Trials, Randomized-Controlled-Trial, Reduction, Review, Rights, Risk, Risk Factors, Risk-Factors, Science, Syndrome, Systematic, Systematic Literature Review, Systematic Review, Systematic Reviews, Technologies, Technology, Therapy, Web, Web Of Science, Weight Loss, Weight-Loss</w:t>
      </w:r>
    </w:p>
    <w:p w:rsidR="00BA438D" w:rsidRPr="00F219CA" w:rsidRDefault="00BA438D" w:rsidP="00BA438D">
      <w:pPr>
        <w:pStyle w:val="1"/>
      </w:pPr>
      <w:r w:rsidRPr="00F219CA">
        <w:br w:type="page"/>
      </w:r>
      <w:bookmarkStart w:id="297" w:name="_Toc420814410"/>
      <w:r w:rsidRPr="00F219CA">
        <w:lastRenderedPageBreak/>
        <w:t xml:space="preserve">Title: </w:t>
      </w:r>
      <w:r w:rsidRPr="009B6A74">
        <w:t>American Journal of Mens Health</w:t>
      </w:r>
      <w:bookmarkEnd w:id="297"/>
    </w:p>
    <w:p w:rsidR="00BA438D" w:rsidRPr="00F219CA" w:rsidRDefault="00BA438D" w:rsidP="00BA438D">
      <w:pPr>
        <w:pStyle w:val="12"/>
      </w:pPr>
      <w:r w:rsidRPr="00F219CA">
        <w:t xml:space="preserve">Full Journal Title: </w:t>
      </w:r>
      <w:r w:rsidRPr="009B6A74">
        <w:rPr>
          <w:iCs/>
          <w:kern w:val="0"/>
        </w:rPr>
        <w:t>American Journal of Mens Health</w:t>
      </w:r>
    </w:p>
    <w:p w:rsidR="00BA438D" w:rsidRPr="00F219CA" w:rsidRDefault="00BA438D" w:rsidP="00BA438D">
      <w:pPr>
        <w:pStyle w:val="12"/>
      </w:pPr>
      <w:r w:rsidRPr="00F219CA">
        <w:t xml:space="preserve">ISO Abbreviated Title: </w:t>
      </w:r>
    </w:p>
    <w:p w:rsidR="00BA438D" w:rsidRPr="00F219CA" w:rsidRDefault="00BA438D" w:rsidP="00BA438D">
      <w:pPr>
        <w:pStyle w:val="12"/>
      </w:pPr>
      <w:r w:rsidRPr="00F219CA">
        <w:t xml:space="preserve">JCR Abbreviated Title: </w:t>
      </w:r>
    </w:p>
    <w:p w:rsidR="00BA438D" w:rsidRPr="00F219CA" w:rsidRDefault="00BA438D" w:rsidP="00BA438D">
      <w:pPr>
        <w:pStyle w:val="12"/>
      </w:pPr>
      <w:r w:rsidRPr="00F219CA">
        <w:t xml:space="preserve">ISSN: </w:t>
      </w:r>
    </w:p>
    <w:p w:rsidR="00BA438D" w:rsidRPr="00F219CA" w:rsidRDefault="00BA438D" w:rsidP="00BA438D">
      <w:pPr>
        <w:pStyle w:val="12"/>
      </w:pPr>
      <w:r w:rsidRPr="00F219CA">
        <w:t xml:space="preserve">Issues/Year: </w:t>
      </w:r>
    </w:p>
    <w:p w:rsidR="00BA438D" w:rsidRPr="00F219CA" w:rsidRDefault="00BA438D" w:rsidP="00BA438D">
      <w:pPr>
        <w:pStyle w:val="12"/>
      </w:pPr>
      <w:r w:rsidRPr="00F219CA">
        <w:t xml:space="preserve">Journal Country/Territory: </w:t>
      </w:r>
    </w:p>
    <w:p w:rsidR="00BA438D" w:rsidRPr="00F219CA" w:rsidRDefault="00BA438D" w:rsidP="00BA438D">
      <w:pPr>
        <w:pStyle w:val="12"/>
      </w:pPr>
      <w:r w:rsidRPr="00F219CA">
        <w:t xml:space="preserve">Language: </w:t>
      </w:r>
    </w:p>
    <w:p w:rsidR="00BA438D" w:rsidRPr="00F219CA" w:rsidRDefault="00BA438D" w:rsidP="00BA438D">
      <w:pPr>
        <w:pStyle w:val="12"/>
      </w:pPr>
      <w:r w:rsidRPr="00F219CA">
        <w:t xml:space="preserve">Publisher: </w:t>
      </w:r>
    </w:p>
    <w:p w:rsidR="00BA438D" w:rsidRPr="00F219CA" w:rsidRDefault="00BA438D" w:rsidP="00BA438D">
      <w:pPr>
        <w:pStyle w:val="12"/>
      </w:pPr>
      <w:r w:rsidRPr="00F219CA">
        <w:t xml:space="preserve">Publisher Address: </w:t>
      </w:r>
    </w:p>
    <w:p w:rsidR="00BA438D" w:rsidRPr="00F219CA" w:rsidRDefault="00BA438D" w:rsidP="00BA438D">
      <w:pPr>
        <w:pStyle w:val="12"/>
      </w:pPr>
      <w:r w:rsidRPr="00F219CA">
        <w:t xml:space="preserve">Subject Categories: </w:t>
      </w:r>
    </w:p>
    <w:p w:rsidR="00BA438D" w:rsidRPr="00F219CA" w:rsidRDefault="00BA438D" w:rsidP="00BA438D">
      <w:pPr>
        <w:pStyle w:val="12"/>
      </w:pPr>
      <w:r w:rsidRPr="00F219CA">
        <w:t xml:space="preserve">: Impact Factor </w:t>
      </w:r>
    </w:p>
    <w:p w:rsidR="00BA438D" w:rsidRDefault="00BA438D" w:rsidP="00BA438D">
      <w:pPr>
        <w:pStyle w:val="a3"/>
        <w:rPr>
          <w:kern w:val="0"/>
        </w:rPr>
      </w:pPr>
      <w:r>
        <w:rPr>
          <w:rFonts w:hint="eastAsia"/>
          <w:kern w:val="0"/>
        </w:rPr>
        <w:t xml:space="preserve">? </w:t>
      </w:r>
      <w:r>
        <w:rPr>
          <w:kern w:val="0"/>
        </w:rPr>
        <w:t xml:space="preserve">Robinson, C.A., Bottorff, J.L., Pesut, B., Oliffe, J.L. and Tomlinson, J. (2014), The male face of caregiving: A scoping review of men caring for a person with dementia. </w:t>
      </w:r>
      <w:r w:rsidRPr="009B6A74">
        <w:rPr>
          <w:i/>
          <w:iCs/>
          <w:kern w:val="0"/>
        </w:rPr>
        <w:t>American Journal of Mens Health</w:t>
      </w:r>
      <w:r>
        <w:rPr>
          <w:kern w:val="0"/>
        </w:rPr>
        <w:t xml:space="preserve">, </w:t>
      </w:r>
      <w:r>
        <w:rPr>
          <w:b/>
          <w:bCs/>
          <w:kern w:val="0"/>
        </w:rPr>
        <w:t>8</w:t>
      </w:r>
      <w:r>
        <w:rPr>
          <w:kern w:val="0"/>
        </w:rPr>
        <w:t xml:space="preserve"> (5), 409-426.</w:t>
      </w:r>
    </w:p>
    <w:p w:rsidR="00BA438D" w:rsidRDefault="00BA438D" w:rsidP="00BA438D">
      <w:pPr>
        <w:pStyle w:val="a3"/>
        <w:rPr>
          <w:kern w:val="0"/>
        </w:rPr>
      </w:pPr>
      <w:r>
        <w:rPr>
          <w:rFonts w:hint="eastAsia"/>
          <w:kern w:val="0"/>
        </w:rPr>
        <w:t xml:space="preserve">Full Text: </w:t>
      </w:r>
      <w:hyperlink r:id="rId543" w:history="1">
        <w:r w:rsidRPr="009B6A74">
          <w:rPr>
            <w:rStyle w:val="a5"/>
            <w:kern w:val="0"/>
          </w:rPr>
          <w:t>2014\Ame J Men Hea8, 409.pdf</w:t>
        </w:r>
      </w:hyperlink>
    </w:p>
    <w:p w:rsidR="00BA438D" w:rsidRDefault="00BA438D" w:rsidP="00BA438D">
      <w:pPr>
        <w:pStyle w:val="a3"/>
        <w:rPr>
          <w:kern w:val="0"/>
        </w:rPr>
      </w:pPr>
      <w:r>
        <w:rPr>
          <w:kern w:val="0"/>
        </w:rPr>
        <w:t>Abstract: The purpose of this scoping review was to examine the empirical evidence published since 2007 on men as family caregivers of persons with dementia. Searches were conducted on Academic Search Complete, Ageline, CINAHL, Embase, Medline, PsychINFO, Social Work Abstracts, and Web of Science using database-specific controlled (i.e., MeSH terms) vocabulary related to dementia, men, and caregiving. Studies published in English between 2007 and 2012 that provided evidence of the experiences of male family caregivers of persons with dementia were included in the review. A total of 30 articles were selected for inclusion. Studies were grouped into three major themes for review: men’s experiences of caregiving, relational factors, and outcomes of caregiving. The reviewed studies build on and support previous findings related to stress, burden, accessing services, and the importance of relational factors to men’s caregiving experiences. However, there is a need for a framework that explains these findings in relation to masculinities. Such a framework would provide the necessary unifying context for a more powerful explanatory account. Furthermore, there appears to be the potential for great benefit in fully linking men’s caregiver research to men’s health issues as a means to articulate strategies to sustain the health and well-being of men caregivers. This seems especially relevant in light of the closing gender gap in life expectancy, which will ultimately see many men providing direct care to their partners.</w:t>
      </w:r>
    </w:p>
    <w:p w:rsidR="00BA438D" w:rsidRDefault="00BA438D" w:rsidP="00BA438D">
      <w:pPr>
        <w:pStyle w:val="a3"/>
        <w:rPr>
          <w:kern w:val="0"/>
        </w:rPr>
      </w:pPr>
      <w:r>
        <w:rPr>
          <w:kern w:val="0"/>
        </w:rPr>
        <w:t xml:space="preserve">Keywords: Academic, Alzheimers-Disease, Articles, Burden, Care, Caregivers, Caregiving, Context, Dementia, Dementia Care, English, Evidence, Expectancy, </w:t>
      </w:r>
      <w:r>
        <w:rPr>
          <w:kern w:val="0"/>
        </w:rPr>
        <w:lastRenderedPageBreak/>
        <w:t>Family, Family Caregivers, Framework, Gender, Gender-Differences, Health, Healthy Aging, Help-Seeking, Husbands, Issues, Life, Male, Male Caregivers, Masculinities, Medline, Men, Outcomes, Potential, Purpose, Quality-Of-Life, Research, Review, Science, Search, Services, Spousal Caregivers, Stress, Support, Web Of Science, Well-Being, Wives</w:t>
      </w:r>
    </w:p>
    <w:p w:rsidR="00C22C48" w:rsidRPr="001A3D2B" w:rsidRDefault="00C22C48" w:rsidP="00C22C48">
      <w:pPr>
        <w:pStyle w:val="1"/>
      </w:pPr>
      <w:r w:rsidRPr="001A3D2B">
        <w:br w:type="page"/>
      </w:r>
      <w:bookmarkStart w:id="298" w:name="_Toc420814411"/>
      <w:r w:rsidRPr="001A3D2B">
        <w:lastRenderedPageBreak/>
        <w:t xml:space="preserve">Title: </w:t>
      </w:r>
      <w:r w:rsidRPr="00C22C48">
        <w:rPr>
          <w:szCs w:val="24"/>
        </w:rPr>
        <w:t>American Journal of Nephrology</w:t>
      </w:r>
      <w:bookmarkEnd w:id="298"/>
    </w:p>
    <w:p w:rsidR="00C22C48" w:rsidRPr="001A3D2B" w:rsidRDefault="00C22C48" w:rsidP="00C22C48">
      <w:pPr>
        <w:pStyle w:val="12"/>
      </w:pPr>
      <w:r w:rsidRPr="001A3D2B">
        <w:t xml:space="preserve">Full Journal Title: </w:t>
      </w:r>
      <w:r w:rsidRPr="00C22C48">
        <w:rPr>
          <w:iCs/>
          <w:kern w:val="0"/>
        </w:rPr>
        <w:t>American Journal of Nephrology</w:t>
      </w:r>
    </w:p>
    <w:p w:rsidR="00C22C48" w:rsidRPr="001A3D2B" w:rsidRDefault="00C22C48" w:rsidP="00C22C48">
      <w:pPr>
        <w:pStyle w:val="12"/>
      </w:pPr>
      <w:r w:rsidRPr="001A3D2B">
        <w:t xml:space="preserve">ISO Abbreviated Title: </w:t>
      </w:r>
    </w:p>
    <w:p w:rsidR="00C22C48" w:rsidRPr="001A3D2B" w:rsidRDefault="00C22C48" w:rsidP="00C22C48">
      <w:pPr>
        <w:pStyle w:val="12"/>
      </w:pPr>
      <w:r w:rsidRPr="001A3D2B">
        <w:t xml:space="preserve">JCR Abbreviated Title: </w:t>
      </w:r>
    </w:p>
    <w:p w:rsidR="00C22C48" w:rsidRPr="001A3D2B" w:rsidRDefault="00C22C48" w:rsidP="00C22C48">
      <w:pPr>
        <w:pStyle w:val="12"/>
      </w:pPr>
      <w:r w:rsidRPr="001A3D2B">
        <w:t xml:space="preserve">ISSN: </w:t>
      </w:r>
    </w:p>
    <w:p w:rsidR="00C22C48" w:rsidRPr="001A3D2B" w:rsidRDefault="00C22C48" w:rsidP="00C22C48">
      <w:pPr>
        <w:pStyle w:val="12"/>
      </w:pPr>
      <w:r w:rsidRPr="001A3D2B">
        <w:t xml:space="preserve">Issues/Year: </w:t>
      </w:r>
    </w:p>
    <w:p w:rsidR="00C22C48" w:rsidRPr="001A3D2B" w:rsidRDefault="00C22C48" w:rsidP="00C22C48">
      <w:pPr>
        <w:pStyle w:val="12"/>
      </w:pPr>
      <w:r w:rsidRPr="001A3D2B">
        <w:t xml:space="preserve">Journal Country/Territory: </w:t>
      </w:r>
    </w:p>
    <w:p w:rsidR="00C22C48" w:rsidRPr="001A3D2B" w:rsidRDefault="00C22C48" w:rsidP="00C22C48">
      <w:pPr>
        <w:pStyle w:val="12"/>
      </w:pPr>
      <w:r w:rsidRPr="001A3D2B">
        <w:t xml:space="preserve">Language: </w:t>
      </w:r>
    </w:p>
    <w:p w:rsidR="00C22C48" w:rsidRPr="001A3D2B" w:rsidRDefault="00C22C48" w:rsidP="00C22C48">
      <w:pPr>
        <w:pStyle w:val="12"/>
      </w:pPr>
      <w:r w:rsidRPr="001A3D2B">
        <w:t xml:space="preserve">Publisher: </w:t>
      </w:r>
    </w:p>
    <w:p w:rsidR="00C22C48" w:rsidRPr="001A3D2B" w:rsidRDefault="00C22C48" w:rsidP="00C22C48">
      <w:pPr>
        <w:pStyle w:val="12"/>
      </w:pPr>
      <w:r w:rsidRPr="001A3D2B">
        <w:t xml:space="preserve">Publisher Address: </w:t>
      </w:r>
    </w:p>
    <w:p w:rsidR="00C22C48" w:rsidRPr="001A3D2B" w:rsidRDefault="00C22C48" w:rsidP="00C22C48">
      <w:pPr>
        <w:pStyle w:val="12"/>
      </w:pPr>
      <w:r w:rsidRPr="001A3D2B">
        <w:t xml:space="preserve">Subject Categories: </w:t>
      </w:r>
    </w:p>
    <w:p w:rsidR="00C22C48" w:rsidRPr="001A3D2B" w:rsidRDefault="00C22C48" w:rsidP="00C22C48">
      <w:pPr>
        <w:pStyle w:val="12"/>
      </w:pPr>
      <w:r w:rsidRPr="001A3D2B">
        <w:t xml:space="preserve">: Impact Factor </w:t>
      </w:r>
    </w:p>
    <w:p w:rsidR="00C22C48" w:rsidRDefault="00C22C48" w:rsidP="00C22C48">
      <w:pPr>
        <w:pStyle w:val="a3"/>
        <w:rPr>
          <w:kern w:val="0"/>
          <w:szCs w:val="24"/>
        </w:rPr>
      </w:pPr>
      <w:r>
        <w:rPr>
          <w:rFonts w:hint="eastAsia"/>
          <w:kern w:val="0"/>
          <w:szCs w:val="24"/>
        </w:rPr>
        <w:t xml:space="preserve">? </w:t>
      </w:r>
      <w:r>
        <w:rPr>
          <w:kern w:val="0"/>
          <w:szCs w:val="24"/>
        </w:rPr>
        <w:t xml:space="preserve">Ahmadi, S.F., Zahmatkesh, G., Streja, E., Molnar, M.Z., Rhee, C.M., Kovesdy, C.P., Gillen, D.L., Steiner, S. and Kalantar-Zadeh, K. (2014), Body mass index and mortality in kidney transplant recipients: A systematic review and meta-analysis. </w:t>
      </w:r>
      <w:r w:rsidRPr="00C22C48">
        <w:rPr>
          <w:i/>
          <w:iCs/>
          <w:kern w:val="0"/>
          <w:szCs w:val="24"/>
        </w:rPr>
        <w:t>American Journal of Nephrology</w:t>
      </w:r>
      <w:r>
        <w:rPr>
          <w:kern w:val="0"/>
          <w:szCs w:val="24"/>
        </w:rPr>
        <w:t xml:space="preserve">, </w:t>
      </w:r>
      <w:r>
        <w:rPr>
          <w:b/>
          <w:bCs/>
          <w:kern w:val="0"/>
          <w:szCs w:val="24"/>
        </w:rPr>
        <w:t>40</w:t>
      </w:r>
      <w:r>
        <w:rPr>
          <w:kern w:val="0"/>
          <w:szCs w:val="24"/>
        </w:rPr>
        <w:t xml:space="preserve"> (4), 315-324.</w:t>
      </w:r>
    </w:p>
    <w:p w:rsidR="00C22C48" w:rsidRDefault="00C22C48" w:rsidP="00C22C48">
      <w:pPr>
        <w:pStyle w:val="a3"/>
        <w:rPr>
          <w:kern w:val="0"/>
          <w:szCs w:val="24"/>
        </w:rPr>
      </w:pPr>
      <w:r>
        <w:rPr>
          <w:rFonts w:hint="eastAsia"/>
          <w:kern w:val="0"/>
          <w:szCs w:val="24"/>
        </w:rPr>
        <w:t>Full Text: 2014\</w:t>
      </w:r>
      <w:r>
        <w:rPr>
          <w:iCs/>
          <w:kern w:val="0"/>
          <w:szCs w:val="24"/>
        </w:rPr>
        <w:t>Ame J Nep</w:t>
      </w:r>
      <w:r w:rsidRPr="008B4A7B">
        <w:rPr>
          <w:bCs/>
          <w:kern w:val="0"/>
          <w:szCs w:val="24"/>
        </w:rPr>
        <w:t>40</w:t>
      </w:r>
      <w:r>
        <w:rPr>
          <w:kern w:val="0"/>
          <w:szCs w:val="24"/>
        </w:rPr>
        <w:t>, 315</w:t>
      </w:r>
      <w:r>
        <w:rPr>
          <w:rFonts w:hint="eastAsia"/>
          <w:kern w:val="0"/>
          <w:szCs w:val="24"/>
        </w:rPr>
        <w:t>.pdf</w:t>
      </w:r>
    </w:p>
    <w:p w:rsidR="00C22C48" w:rsidRDefault="00C22C48" w:rsidP="00C22C48">
      <w:pPr>
        <w:pStyle w:val="a3"/>
        <w:rPr>
          <w:kern w:val="0"/>
          <w:szCs w:val="24"/>
        </w:rPr>
      </w:pPr>
      <w:r>
        <w:rPr>
          <w:kern w:val="0"/>
          <w:szCs w:val="24"/>
        </w:rPr>
        <w:t xml:space="preserve">Abstract: Background: A higher body mass index (BMI) seems to be linked to survival advantage in maintenance hemodialysis patients. However, it is uncertain if this ‘obesity survival paradox’ is also observed in kidney transplant recipients. Hence, we systematically reviewed the literature on the impact of pre-transplantation BMI on all-cause mortality in this population. Methods: We searched MEDLINE, EMBASE, Web of Science, CINAHL, and Cochrane CENTRAL for relevant studies up to July 2013. Two investigators independently selected the studies using predefined criteria, abstracted the data from the included studies, and independently assessed each study’s quality using the Newcastle-Ottawa Quality Assessment Scale. In addition to the qualitative synthesis, we quantitatively pooled the results of the studies with clinical, methodological, and statistical homogeneity. Results: We screened 7,123 records, from which we included 11 studies (with a total of 305,392 participants) in this systematic review and 4 studies in the meta-analyses. In the only study that included children, obesity was linked to higher mortality in children of 6-12 years old. For adults, our meta-analyses indicated that compared to normal BMI, underweight [Hazard Ratio (HR): 1.09; 95% Confidence Interval (CI): 1.02-1.20], overweight (HR: 1.07; 95% CI: 1.04-1.12), and obese (HR: 1.20; 95% CI: 1.14-1.23) levels of BMI were associated with higher mortality. Conclusion: The presence of the obesity survival paradox is unlikely in kidney transplant recipients since both extremes of pre-transplantation BMI are linked to higher mortality in this population. </w:t>
      </w:r>
      <w:r>
        <w:rPr>
          <w:kern w:val="0"/>
          <w:szCs w:val="24"/>
        </w:rPr>
        <w:lastRenderedPageBreak/>
        <w:t>(C) 2014 S. Karger AG, Basel.</w:t>
      </w:r>
    </w:p>
    <w:p w:rsidR="00C22C48" w:rsidRDefault="00C22C48" w:rsidP="00C22C48">
      <w:pPr>
        <w:pStyle w:val="a3"/>
        <w:rPr>
          <w:kern w:val="0"/>
          <w:szCs w:val="24"/>
        </w:rPr>
      </w:pPr>
      <w:r>
        <w:rPr>
          <w:kern w:val="0"/>
          <w:szCs w:val="24"/>
        </w:rPr>
        <w:t>Keywords: Ag, All-Cause Mortality, Assessment, Associations, Bmi, Body Mass Index, Children, Clinical, Criteria, Data, Dialysis, Disease Patients, Embase, From, Hemodialysis, Homogeneity, Impact, Index, Kidney, Kidney Transplantation, Literature, Medline, Meta-Analysis, Methods, Mortality, Muscle Mass, Normal, Obese, Obesity, Obesity Paradox, Outcomes, Overweight, Patients, Population, Qualitative, Quality, Records, Renal-Transplantation, Results, Reverse Epidemiology, Review, S, Scale, Science, Survival, Survival, Synthesis, Systematic, Systematic Review, Web, Web Of Science, Weight</w:t>
      </w:r>
    </w:p>
    <w:p w:rsidR="003474F2" w:rsidRPr="001A3D2B" w:rsidRDefault="003474F2" w:rsidP="003474F2">
      <w:pPr>
        <w:pStyle w:val="1"/>
      </w:pPr>
      <w:r w:rsidRPr="001A3D2B">
        <w:br w:type="page"/>
      </w:r>
      <w:bookmarkStart w:id="299" w:name="_Toc420814412"/>
      <w:r w:rsidRPr="001A3D2B">
        <w:lastRenderedPageBreak/>
        <w:t>Title: American Journal</w:t>
      </w:r>
      <w:r w:rsidR="00427468">
        <w:t xml:space="preserve"> of </w:t>
      </w:r>
      <w:r w:rsidRPr="001A3D2B">
        <w:t>Neuroradiology</w:t>
      </w:r>
      <w:bookmarkEnd w:id="299"/>
    </w:p>
    <w:p w:rsidR="003474F2" w:rsidRPr="001A3D2B" w:rsidRDefault="003474F2" w:rsidP="003474F2">
      <w:pPr>
        <w:pStyle w:val="12"/>
      </w:pPr>
      <w:r w:rsidRPr="001A3D2B">
        <w:t>Full Journal Title: American Journal</w:t>
      </w:r>
      <w:r w:rsidR="00427468">
        <w:t xml:space="preserve"> of </w:t>
      </w:r>
      <w:r w:rsidRPr="001A3D2B">
        <w:t>Neuroradiology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Mamourian, A. (2008</w:t>
      </w:r>
      <w:r w:rsidR="00F42EAC">
        <w:t>), The</w:t>
      </w:r>
      <w:r w:rsidR="003A1917">
        <w:t xml:space="preserve"> </w:t>
      </w:r>
      <w:r w:rsidRPr="001A3D2B">
        <w:t>journal formerly known as</w:t>
      </w:r>
      <w:r w:rsidR="003A1917">
        <w:t xml:space="preserve"> the </w:t>
      </w:r>
      <w:r w:rsidRPr="00F80585">
        <w:rPr>
          <w:i/>
        </w:rPr>
        <w:t>American Journal</w:t>
      </w:r>
      <w:r w:rsidR="00427468">
        <w:rPr>
          <w:i/>
        </w:rPr>
        <w:t xml:space="preserve"> of </w:t>
      </w:r>
      <w:r w:rsidRPr="00F80585">
        <w:rPr>
          <w:i/>
        </w:rPr>
        <w:t>Neuroradiology</w:t>
      </w:r>
      <w:r w:rsidRPr="001A3D2B">
        <w:t xml:space="preserve">. </w:t>
      </w:r>
      <w:r w:rsidRPr="001A3D2B">
        <w:rPr>
          <w:i/>
          <w:iCs/>
        </w:rPr>
        <w:t>American Journal</w:t>
      </w:r>
      <w:r w:rsidR="00427468">
        <w:rPr>
          <w:i/>
          <w:iCs/>
        </w:rPr>
        <w:t xml:space="preserve"> of </w:t>
      </w:r>
      <w:r w:rsidRPr="001A3D2B">
        <w:rPr>
          <w:i/>
          <w:iCs/>
        </w:rPr>
        <w:t>Neuroradiology</w:t>
      </w:r>
      <w:r w:rsidRPr="001A3D2B">
        <w:t xml:space="preserve">, </w:t>
      </w:r>
      <w:r w:rsidRPr="001A3D2B">
        <w:rPr>
          <w:b/>
          <w:bCs/>
        </w:rPr>
        <w:t>29</w:t>
      </w:r>
      <w:r w:rsidRPr="001A3D2B">
        <w:t xml:space="preserve"> (1), 5.</w:t>
      </w:r>
    </w:p>
    <w:p w:rsidR="00F80585" w:rsidRDefault="00F80585" w:rsidP="00F80585">
      <w:pPr>
        <w:pStyle w:val="a3"/>
        <w:rPr>
          <w:kern w:val="0"/>
        </w:rPr>
      </w:pPr>
      <w:r>
        <w:rPr>
          <w:rFonts w:hint="eastAsia"/>
          <w:kern w:val="0"/>
        </w:rPr>
        <w:t xml:space="preserve">Full Text: </w:t>
      </w:r>
      <w:hyperlink r:id="rId544" w:history="1">
        <w:r w:rsidRPr="00F80585">
          <w:rPr>
            <w:rStyle w:val="a5"/>
            <w:kern w:val="0"/>
          </w:rPr>
          <w:t>2008\Ame J Neu29, 5.pdf</w:t>
        </w:r>
      </w:hyperlink>
    </w:p>
    <w:p w:rsidR="003474F2" w:rsidRPr="001A3D2B" w:rsidRDefault="003474F2" w:rsidP="003474F2">
      <w:pPr>
        <w:pStyle w:val="a3"/>
      </w:pPr>
      <w:r w:rsidRPr="001A3D2B">
        <w:t>Keywords: Journal</w:t>
      </w:r>
    </w:p>
    <w:p w:rsidR="00F80585" w:rsidRDefault="00F80585" w:rsidP="00F80585">
      <w:pPr>
        <w:pStyle w:val="a3"/>
        <w:rPr>
          <w:kern w:val="0"/>
        </w:rPr>
      </w:pPr>
      <w:r>
        <w:rPr>
          <w:rFonts w:hint="eastAsia"/>
          <w:kern w:val="0"/>
        </w:rPr>
        <w:t xml:space="preserve">? </w:t>
      </w:r>
      <w:r>
        <w:rPr>
          <w:kern w:val="0"/>
        </w:rPr>
        <w:t>Greenberg, E.D., Gold, R., Reichman, M., John, M., Ivanidze, J., Edwards, A.M., Johnson, C.E., Comunale, J.P.</w:t>
      </w:r>
      <w:r w:rsidR="005853A9">
        <w:rPr>
          <w:kern w:val="0"/>
        </w:rPr>
        <w:t xml:space="preserve"> and </w:t>
      </w:r>
      <w:r>
        <w:rPr>
          <w:kern w:val="0"/>
        </w:rPr>
        <w:t>Sanelli, P. (2010), Diagnostic accuracy</w:t>
      </w:r>
      <w:r w:rsidR="00427468">
        <w:rPr>
          <w:kern w:val="0"/>
        </w:rPr>
        <w:t xml:space="preserve"> of </w:t>
      </w:r>
      <w:r>
        <w:rPr>
          <w:kern w:val="0"/>
        </w:rPr>
        <w:t>CT angiography</w:t>
      </w:r>
      <w:r w:rsidR="005853A9">
        <w:rPr>
          <w:kern w:val="0"/>
        </w:rPr>
        <w:t xml:space="preserve"> and </w:t>
      </w:r>
      <w:r>
        <w:rPr>
          <w:kern w:val="0"/>
        </w:rPr>
        <w:t xml:space="preserve">CT perfusion for cerebral vasospasm: A meta-analysis. </w:t>
      </w:r>
      <w:r>
        <w:rPr>
          <w:i/>
          <w:iCs/>
          <w:kern w:val="0"/>
        </w:rPr>
        <w:t>American Journal</w:t>
      </w:r>
      <w:r w:rsidR="00427468">
        <w:rPr>
          <w:i/>
          <w:iCs/>
          <w:kern w:val="0"/>
        </w:rPr>
        <w:t xml:space="preserve"> of </w:t>
      </w:r>
      <w:r>
        <w:rPr>
          <w:i/>
          <w:iCs/>
          <w:kern w:val="0"/>
        </w:rPr>
        <w:t>Neuroradiology</w:t>
      </w:r>
      <w:r>
        <w:rPr>
          <w:kern w:val="0"/>
        </w:rPr>
        <w:t xml:space="preserve">, </w:t>
      </w:r>
      <w:r>
        <w:rPr>
          <w:b/>
          <w:bCs/>
          <w:kern w:val="0"/>
        </w:rPr>
        <w:t>31</w:t>
      </w:r>
      <w:r>
        <w:rPr>
          <w:kern w:val="0"/>
        </w:rPr>
        <w:t xml:space="preserve"> (10), 1853-1860.</w:t>
      </w:r>
    </w:p>
    <w:p w:rsidR="00F80585" w:rsidRDefault="00F80585" w:rsidP="00F80585">
      <w:pPr>
        <w:pStyle w:val="a3"/>
        <w:rPr>
          <w:kern w:val="0"/>
        </w:rPr>
      </w:pPr>
      <w:r>
        <w:rPr>
          <w:rFonts w:hint="eastAsia"/>
          <w:kern w:val="0"/>
        </w:rPr>
        <w:t xml:space="preserve">Full Text: </w:t>
      </w:r>
      <w:hyperlink r:id="rId545" w:history="1">
        <w:r w:rsidRPr="00F80585">
          <w:rPr>
            <w:rStyle w:val="a5"/>
            <w:kern w:val="0"/>
          </w:rPr>
          <w:t>2010\Ame J Neu31, 1853.pdf</w:t>
        </w:r>
      </w:hyperlink>
    </w:p>
    <w:p w:rsidR="00F80585" w:rsidRDefault="00F80585" w:rsidP="00F80585">
      <w:pPr>
        <w:pStyle w:val="a3"/>
        <w:rPr>
          <w:kern w:val="0"/>
        </w:rPr>
      </w:pPr>
      <w:r>
        <w:rPr>
          <w:kern w:val="0"/>
        </w:rPr>
        <w:t>Abstract: Background</w:t>
      </w:r>
      <w:r w:rsidR="005853A9">
        <w:rPr>
          <w:kern w:val="0"/>
        </w:rPr>
        <w:t xml:space="preserve"> and </w:t>
      </w:r>
      <w:r>
        <w:rPr>
          <w:kern w:val="0"/>
        </w:rPr>
        <w:t>purpose: In recent years,</w:t>
      </w:r>
      <w:r w:rsidR="003A1917">
        <w:rPr>
          <w:kern w:val="0"/>
        </w:rPr>
        <w:t xml:space="preserve"> the </w:t>
      </w:r>
      <w:r>
        <w:rPr>
          <w:kern w:val="0"/>
        </w:rPr>
        <w:t>role</w:t>
      </w:r>
      <w:r w:rsidR="00427468">
        <w:rPr>
          <w:kern w:val="0"/>
        </w:rPr>
        <w:t xml:space="preserve"> of </w:t>
      </w:r>
      <w:r>
        <w:rPr>
          <w:kern w:val="0"/>
        </w:rPr>
        <w:t>cta</w:t>
      </w:r>
      <w:r w:rsidR="005853A9">
        <w:rPr>
          <w:kern w:val="0"/>
        </w:rPr>
        <w:t xml:space="preserve"> and </w:t>
      </w:r>
      <w:r>
        <w:rPr>
          <w:kern w:val="0"/>
        </w:rPr>
        <w:t>ctp for vasospasm diagnosis in</w:t>
      </w:r>
      <w:r w:rsidR="003A1917">
        <w:rPr>
          <w:kern w:val="0"/>
        </w:rPr>
        <w:t xml:space="preserve"> the </w:t>
      </w:r>
      <w:r>
        <w:rPr>
          <w:kern w:val="0"/>
        </w:rPr>
        <w:t>setting</w:t>
      </w:r>
      <w:r w:rsidR="00427468">
        <w:rPr>
          <w:kern w:val="0"/>
        </w:rPr>
        <w:t xml:space="preserve"> of </w:t>
      </w:r>
      <w:r>
        <w:rPr>
          <w:kern w:val="0"/>
        </w:rPr>
        <w:t>asah has been</w:t>
      </w:r>
      <w:r w:rsidR="003A1917">
        <w:rPr>
          <w:kern w:val="0"/>
        </w:rPr>
        <w:t xml:space="preserve"> the </w:t>
      </w:r>
      <w:r>
        <w:rPr>
          <w:kern w:val="0"/>
        </w:rPr>
        <w:t>subject</w:t>
      </w:r>
      <w:r w:rsidR="00427468">
        <w:rPr>
          <w:kern w:val="0"/>
        </w:rPr>
        <w:t xml:space="preserve"> of </w:t>
      </w:r>
      <w:r>
        <w:rPr>
          <w:kern w:val="0"/>
        </w:rPr>
        <w:t>many research studies</w:t>
      </w:r>
      <w:r w:rsidR="00A37C1D">
        <w:rPr>
          <w:kern w:val="0"/>
        </w:rPr>
        <w:t>. The</w:t>
      </w:r>
      <w:r w:rsidR="003A1917">
        <w:rPr>
          <w:kern w:val="0"/>
        </w:rPr>
        <w:t xml:space="preserve"> </w:t>
      </w:r>
      <w:r>
        <w:rPr>
          <w:kern w:val="0"/>
        </w:rPr>
        <w:t>purpose</w:t>
      </w:r>
      <w:r w:rsidR="00427468">
        <w:rPr>
          <w:kern w:val="0"/>
        </w:rPr>
        <w:t xml:space="preserve"> of </w:t>
      </w:r>
      <w:r>
        <w:rPr>
          <w:kern w:val="0"/>
        </w:rPr>
        <w:t>this study was to perform a meta-analysis</w:t>
      </w:r>
      <w:r w:rsidR="00427468">
        <w:rPr>
          <w:kern w:val="0"/>
        </w:rPr>
        <w:t xml:space="preserve"> of </w:t>
      </w:r>
      <w:r w:rsidR="003A1917">
        <w:rPr>
          <w:kern w:val="0"/>
        </w:rPr>
        <w:t xml:space="preserve">the </w:t>
      </w:r>
      <w:r>
        <w:rPr>
          <w:kern w:val="0"/>
        </w:rPr>
        <w:t>diagnostic performance</w:t>
      </w:r>
      <w:r w:rsidR="00427468">
        <w:rPr>
          <w:kern w:val="0"/>
        </w:rPr>
        <w:t xml:space="preserve"> of </w:t>
      </w:r>
      <w:r>
        <w:rPr>
          <w:kern w:val="0"/>
        </w:rPr>
        <w:t>cta</w:t>
      </w:r>
      <w:r w:rsidR="005853A9">
        <w:rPr>
          <w:kern w:val="0"/>
        </w:rPr>
        <w:t xml:space="preserve"> and </w:t>
      </w:r>
      <w:r>
        <w:rPr>
          <w:kern w:val="0"/>
        </w:rPr>
        <w:t>ctp for vasospasm in patients with asah by using dsa as</w:t>
      </w:r>
      <w:r w:rsidR="003A1917">
        <w:rPr>
          <w:kern w:val="0"/>
        </w:rPr>
        <w:t xml:space="preserve"> the </w:t>
      </w:r>
      <w:r>
        <w:rPr>
          <w:kern w:val="0"/>
        </w:rPr>
        <w:t>criterion standard. Materials</w:t>
      </w:r>
      <w:r w:rsidR="005853A9">
        <w:rPr>
          <w:kern w:val="0"/>
        </w:rPr>
        <w:t xml:space="preserve"> and </w:t>
      </w:r>
      <w:r>
        <w:rPr>
          <w:kern w:val="0"/>
        </w:rPr>
        <w:t>methods:</w:t>
      </w:r>
      <w:r w:rsidR="003A1917">
        <w:rPr>
          <w:kern w:val="0"/>
        </w:rPr>
        <w:t xml:space="preserve"> the </w:t>
      </w:r>
      <w:r>
        <w:rPr>
          <w:kern w:val="0"/>
        </w:rPr>
        <w:t>search strategy for research studies was based on</w:t>
      </w:r>
      <w:r w:rsidR="003A1917">
        <w:rPr>
          <w:kern w:val="0"/>
        </w:rPr>
        <w:t xml:space="preserve"> the </w:t>
      </w:r>
      <w:r>
        <w:rPr>
          <w:kern w:val="0"/>
        </w:rPr>
        <w:t>cochrane handbook for systematic reviews, including literature data bases (</w:t>
      </w:r>
      <w:r w:rsidR="002C12F0">
        <w:rPr>
          <w:kern w:val="0"/>
        </w:rPr>
        <w:t>PUBMED</w:t>
      </w:r>
      <w:r>
        <w:rPr>
          <w:kern w:val="0"/>
        </w:rPr>
        <w:t>, embase, cochrane database</w:t>
      </w:r>
      <w:r w:rsidR="00427468">
        <w:rPr>
          <w:kern w:val="0"/>
        </w:rPr>
        <w:t xml:space="preserve"> of </w:t>
      </w:r>
      <w:r>
        <w:rPr>
          <w:kern w:val="0"/>
        </w:rPr>
        <w:t>systematic reviews,</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reference lists</w:t>
      </w:r>
      <w:r w:rsidR="00427468">
        <w:rPr>
          <w:kern w:val="0"/>
        </w:rPr>
        <w:t xml:space="preserve"> of </w:t>
      </w:r>
      <w:r>
        <w:rPr>
          <w:kern w:val="0"/>
        </w:rPr>
        <w:t>manuscripts published from january 1996 to February 2009</w:t>
      </w:r>
      <w:r w:rsidR="00A37C1D">
        <w:rPr>
          <w:kern w:val="0"/>
        </w:rPr>
        <w:t>. The</w:t>
      </w:r>
      <w:r w:rsidR="003A1917">
        <w:rPr>
          <w:kern w:val="0"/>
        </w:rPr>
        <w:t xml:space="preserve"> </w:t>
      </w:r>
      <w:r>
        <w:rPr>
          <w:kern w:val="0"/>
        </w:rPr>
        <w:t>inclusion criteria were</w:t>
      </w:r>
      <w:r w:rsidR="003A1917">
        <w:rPr>
          <w:kern w:val="0"/>
        </w:rPr>
        <w:t xml:space="preserve"> the </w:t>
      </w:r>
      <w:r>
        <w:rPr>
          <w:kern w:val="0"/>
        </w:rPr>
        <w:t>following: 1) Published manuscripts, 2) Original research studies with prospective or retrospective data, 3) Patients with asah, 4) Cta or ctp as</w:t>
      </w:r>
      <w:r w:rsidR="003A1917">
        <w:rPr>
          <w:kern w:val="0"/>
        </w:rPr>
        <w:t xml:space="preserve"> the </w:t>
      </w:r>
      <w:r>
        <w:rPr>
          <w:kern w:val="0"/>
        </w:rPr>
        <w:t>index test,</w:t>
      </w:r>
      <w:r w:rsidR="005853A9">
        <w:rPr>
          <w:kern w:val="0"/>
        </w:rPr>
        <w:t xml:space="preserve"> and </w:t>
      </w:r>
      <w:r>
        <w:rPr>
          <w:kern w:val="0"/>
        </w:rPr>
        <w:t>5) Dsa as</w:t>
      </w:r>
      <w:r w:rsidR="003A1917">
        <w:rPr>
          <w:kern w:val="0"/>
        </w:rPr>
        <w:t xml:space="preserve"> the </w:t>
      </w:r>
      <w:r>
        <w:rPr>
          <w:kern w:val="0"/>
        </w:rPr>
        <w:t>reference standard. Three reviewers independently assessed</w:t>
      </w:r>
      <w:r w:rsidR="003A1917">
        <w:rPr>
          <w:kern w:val="0"/>
        </w:rPr>
        <w:t xml:space="preserve"> the </w:t>
      </w:r>
      <w:r>
        <w:rPr>
          <w:kern w:val="0"/>
        </w:rPr>
        <w:t>quality</w:t>
      </w:r>
      <w:r w:rsidR="00427468">
        <w:rPr>
          <w:kern w:val="0"/>
        </w:rPr>
        <w:t xml:space="preserve"> of </w:t>
      </w:r>
      <w:r>
        <w:rPr>
          <w:kern w:val="0"/>
        </w:rPr>
        <w:t>these research studies by using</w:t>
      </w:r>
      <w:r w:rsidR="003A1917">
        <w:rPr>
          <w:kern w:val="0"/>
        </w:rPr>
        <w:t xml:space="preserve"> the </w:t>
      </w:r>
      <w:r>
        <w:rPr>
          <w:kern w:val="0"/>
        </w:rPr>
        <w:t>quadas tool. Pooled estimates</w:t>
      </w:r>
      <w:r w:rsidR="00427468">
        <w:rPr>
          <w:kern w:val="0"/>
        </w:rPr>
        <w:t xml:space="preserve"> of </w:t>
      </w:r>
      <w:r>
        <w:rPr>
          <w:kern w:val="0"/>
        </w:rPr>
        <w:t>sensitivity, specificity, lr+, lr-, dor,</w:t>
      </w:r>
      <w:r w:rsidR="005853A9">
        <w:rPr>
          <w:kern w:val="0"/>
        </w:rPr>
        <w:t xml:space="preserve"> and </w:t>
      </w:r>
      <w:r w:rsidR="003A1917">
        <w:rPr>
          <w:kern w:val="0"/>
        </w:rPr>
        <w:t xml:space="preserve">the </w:t>
      </w:r>
      <w:r>
        <w:rPr>
          <w:kern w:val="0"/>
        </w:rPr>
        <w:t>sroc curve were determined. Results: Cta</w:t>
      </w:r>
      <w:r w:rsidR="005853A9">
        <w:rPr>
          <w:kern w:val="0"/>
        </w:rPr>
        <w:t xml:space="preserve"> and </w:t>
      </w:r>
      <w:r>
        <w:rPr>
          <w:kern w:val="0"/>
        </w:rPr>
        <w:t>ctp searches yielded 505</w:t>
      </w:r>
      <w:r w:rsidR="005853A9">
        <w:rPr>
          <w:kern w:val="0"/>
        </w:rPr>
        <w:t xml:space="preserve"> and </w:t>
      </w:r>
      <w:r>
        <w:rPr>
          <w:kern w:val="0"/>
        </w:rPr>
        <w:t>214 manuscripts, respectively. Ten research studies met inclusion criteria for each cta</w:t>
      </w:r>
      <w:r w:rsidR="005853A9">
        <w:rPr>
          <w:kern w:val="0"/>
        </w:rPr>
        <w:t xml:space="preserve"> and </w:t>
      </w:r>
      <w:r>
        <w:rPr>
          <w:kern w:val="0"/>
        </w:rPr>
        <w:t>ctp search. Six cta</w:t>
      </w:r>
      <w:r w:rsidR="005853A9">
        <w:rPr>
          <w:kern w:val="0"/>
        </w:rPr>
        <w:t xml:space="preserve"> and </w:t>
      </w:r>
      <w:r>
        <w:rPr>
          <w:kern w:val="0"/>
        </w:rPr>
        <w:t xml:space="preserve">3 ctp studies had sufficient data for statistical analysis. Cta pooled </w:t>
      </w:r>
      <w:r>
        <w:rPr>
          <w:kern w:val="0"/>
        </w:rPr>
        <w:lastRenderedPageBreak/>
        <w:t>estimates had 79.6% Sensitivity 195% ci, 74.9%-83.8%), 93.1% Specificity 195% ci, 91.7%-94.3%), 18.1 Lr+ (95% Ci, 7.3-45.0),</w:t>
      </w:r>
      <w:r w:rsidR="005853A9">
        <w:rPr>
          <w:kern w:val="0"/>
        </w:rPr>
        <w:t xml:space="preserve"> and </w:t>
      </w:r>
      <w:r>
        <w:rPr>
          <w:kern w:val="0"/>
        </w:rPr>
        <w:t>0.2 Lr- (95% Ci, 0.1-0.4);</w:t>
      </w:r>
      <w:r w:rsidR="005853A9">
        <w:rPr>
          <w:kern w:val="0"/>
        </w:rPr>
        <w:t xml:space="preserve"> and </w:t>
      </w:r>
      <w:r>
        <w:rPr>
          <w:kern w:val="0"/>
        </w:rPr>
        <w:t>ctp pooled estimates had 74.1% Sensitivity (95% Ci, 58.7% - 86.2%), 93.0% Specificity (95% Ci, 79.6%-98.7%), 9.3 Lr+ (95% Ci, 3.4-25.9),</w:t>
      </w:r>
      <w:r w:rsidR="005853A9">
        <w:rPr>
          <w:kern w:val="0"/>
        </w:rPr>
        <w:t xml:space="preserve"> and </w:t>
      </w:r>
      <w:r>
        <w:rPr>
          <w:kern w:val="0"/>
        </w:rPr>
        <w:t>0.2 Lr- (95% Ci, 0.04-1.2). Overall dors were 124.5 (95% Ci, 28.4-546.41 For cta</w:t>
      </w:r>
      <w:r w:rsidR="005853A9">
        <w:rPr>
          <w:kern w:val="0"/>
        </w:rPr>
        <w:t xml:space="preserve"> and </w:t>
      </w:r>
      <w:r>
        <w:rPr>
          <w:kern w:val="0"/>
        </w:rPr>
        <w:t>43.0 (95% Ci, 6.5-287.1) For ctp. Area under</w:t>
      </w:r>
      <w:r w:rsidR="003A1917">
        <w:rPr>
          <w:kern w:val="0"/>
        </w:rPr>
        <w:t xml:space="preserve"> the </w:t>
      </w:r>
      <w:r>
        <w:rPr>
          <w:kern w:val="0"/>
        </w:rPr>
        <w:t>sroc curve was 98 +/- 2.0% For cta</w:t>
      </w:r>
      <w:r w:rsidR="005853A9">
        <w:rPr>
          <w:kern w:val="0"/>
        </w:rPr>
        <w:t xml:space="preserve"> and </w:t>
      </w:r>
      <w:r>
        <w:rPr>
          <w:kern w:val="0"/>
        </w:rPr>
        <w:t>97 +/- 3.0% For ctp. Conclusions:</w:t>
      </w:r>
      <w:r w:rsidR="003A1917">
        <w:rPr>
          <w:kern w:val="0"/>
        </w:rPr>
        <w:t xml:space="preserve"> the </w:t>
      </w:r>
      <w:r>
        <w:rPr>
          <w:kern w:val="0"/>
        </w:rPr>
        <w:t>high diagnostic accuracy determined for both cta</w:t>
      </w:r>
      <w:r w:rsidR="005853A9">
        <w:rPr>
          <w:kern w:val="0"/>
        </w:rPr>
        <w:t xml:space="preserve"> and </w:t>
      </w:r>
      <w:r>
        <w:rPr>
          <w:kern w:val="0"/>
        </w:rPr>
        <w:t>ctp in this meta-analysis suggests that they are potentially valuable techniques for vasospasm diagnosis in asah. Awareness</w:t>
      </w:r>
      <w:r w:rsidR="00427468">
        <w:rPr>
          <w:kern w:val="0"/>
        </w:rPr>
        <w:t xml:space="preserve"> of </w:t>
      </w:r>
      <w:r>
        <w:rPr>
          <w:kern w:val="0"/>
        </w:rPr>
        <w:t>these results may impact patient care by providing supportive evidence for more effective use</w:t>
      </w:r>
      <w:r w:rsidR="00427468">
        <w:rPr>
          <w:kern w:val="0"/>
        </w:rPr>
        <w:t xml:space="preserve"> of </w:t>
      </w:r>
      <w:r>
        <w:rPr>
          <w:kern w:val="0"/>
        </w:rPr>
        <w:t>cta</w:t>
      </w:r>
      <w:r w:rsidR="005853A9">
        <w:rPr>
          <w:kern w:val="0"/>
        </w:rPr>
        <w:t xml:space="preserve"> and </w:t>
      </w:r>
      <w:r>
        <w:rPr>
          <w:kern w:val="0"/>
        </w:rPr>
        <w:t>ctp imaging in asah.</w:t>
      </w:r>
    </w:p>
    <w:p w:rsidR="00F80585" w:rsidRDefault="00F80585" w:rsidP="00F80585">
      <w:pPr>
        <w:pStyle w:val="a3"/>
        <w:rPr>
          <w:kern w:val="0"/>
        </w:rPr>
      </w:pPr>
      <w:r>
        <w:rPr>
          <w:kern w:val="0"/>
        </w:rPr>
        <w:t xml:space="preserve">Keywords: Accuracy, Analysis, Aneurysmal Subarachnoid Hemorrhage, Computed Tomographic Angiography, CT, Curve, Diagnosis, Digital-Subtraction-Angiography, Health-Care, Imaging, Impact, Literature, Management, Meta-Analysis, Research, Science, Statistical, Strategy, System, Systematic, Systematic Reviews, Utility, </w:t>
      </w:r>
      <w:r w:rsidR="00D5664A">
        <w:rPr>
          <w:kern w:val="0"/>
        </w:rPr>
        <w:t>Web</w:t>
      </w:r>
      <w:r w:rsidR="00427468">
        <w:rPr>
          <w:kern w:val="0"/>
        </w:rPr>
        <w:t xml:space="preserve"> of </w:t>
      </w:r>
      <w:r w:rsidR="00D5664A">
        <w:rPr>
          <w:kern w:val="0"/>
        </w:rPr>
        <w:t>Science</w:t>
      </w:r>
    </w:p>
    <w:p w:rsidR="00BA438D" w:rsidRDefault="00BA438D" w:rsidP="00BA438D">
      <w:pPr>
        <w:pStyle w:val="a3"/>
        <w:rPr>
          <w:kern w:val="0"/>
        </w:rPr>
      </w:pPr>
      <w:r>
        <w:rPr>
          <w:rFonts w:hint="eastAsia"/>
          <w:kern w:val="0"/>
        </w:rPr>
        <w:t xml:space="preserve">? </w:t>
      </w:r>
      <w:r>
        <w:rPr>
          <w:kern w:val="0"/>
        </w:rPr>
        <w:t xml:space="preserve">Lee, J.Y., Yoon, D.Y., Yoon, S.D., Nam, S.A. and Cho, B.M. (2014), Neurointerventional research between 2003 and 2012: Slow growth, high interdisciplinary collaboration, and a low level of funding. </w:t>
      </w:r>
      <w:r>
        <w:rPr>
          <w:i/>
          <w:iCs/>
          <w:kern w:val="0"/>
        </w:rPr>
        <w:t>American Journal of Neuroradiology</w:t>
      </w:r>
      <w:r>
        <w:rPr>
          <w:kern w:val="0"/>
        </w:rPr>
        <w:t xml:space="preserve">, </w:t>
      </w:r>
      <w:r>
        <w:rPr>
          <w:b/>
          <w:bCs/>
          <w:kern w:val="0"/>
        </w:rPr>
        <w:t>35</w:t>
      </w:r>
      <w:r>
        <w:rPr>
          <w:kern w:val="0"/>
        </w:rPr>
        <w:t xml:space="preserve"> (10), 1877-1882.</w:t>
      </w:r>
    </w:p>
    <w:p w:rsidR="00BA438D" w:rsidRDefault="00BA438D" w:rsidP="00BA438D">
      <w:pPr>
        <w:pStyle w:val="a3"/>
        <w:rPr>
          <w:kern w:val="0"/>
        </w:rPr>
      </w:pPr>
      <w:r>
        <w:rPr>
          <w:rFonts w:hint="eastAsia"/>
          <w:kern w:val="0"/>
        </w:rPr>
        <w:t xml:space="preserve">Full Text: </w:t>
      </w:r>
      <w:r w:rsidRPr="009B6A74">
        <w:rPr>
          <w:kern w:val="0"/>
        </w:rPr>
        <w:t>2014\Ame J Neu35, 1877.pdf</w:t>
      </w:r>
    </w:p>
    <w:p w:rsidR="00BA438D" w:rsidRDefault="00BA438D" w:rsidP="00BA438D">
      <w:pPr>
        <w:pStyle w:val="a3"/>
        <w:rPr>
          <w:kern w:val="0"/>
        </w:rPr>
      </w:pPr>
      <w:r>
        <w:rPr>
          <w:kern w:val="0"/>
        </w:rPr>
        <w:t xml:space="preserve">Abstract: BACKGROUND AND PURPOSE: Neurointerventional therapy of cerebrovascular disease is a greatly expanding field across many specialty disciplines. The goal of this study was to analyze the characteristics and trends of scientific publications that focused on neurointervention during the past decade. MATERIALS AND METHODS: A bibliometric evaluation of neurointerventional research published between 2003 and 2012 was conducted by using the PubMed data base. Analyzed parameters included the year of publication, type of document, language of the article, topic, declared funding, country of origin, type of collaboration between disciplines, the first author’s specialty, and subject category and the Impact Factor of the publishing journal. RESULTS: Between 2003 and 2012, a total of 2123 articles were published, of which 1107 (52.1%) were original articles, 1948 (91.8%) were written in English, 192 (9.0%) received funding, 661 (31.1%) were published by the United States, and 1060 (49.9%) resulted from interdisciplinary collaboration. Neurosurgery departments produced the most articles (n = 910,42.9%), followed by radiology (n = 747,35.2%) and neurology (n = 270, 12.7%). The time-trend analysis in the number of publications demonstrated slow growth from 2003 to 2012, with an average annual growth rate of +6.0%. CONCLUSIONS: The fields of neurosurgery, radiology, and neurology have contributed substantially to neurointervention research. Slow growth, high interdisciplinary collaboration, and a low level of </w:t>
      </w:r>
      <w:r>
        <w:rPr>
          <w:kern w:val="0"/>
        </w:rPr>
        <w:lastRenderedPageBreak/>
        <w:t>funding are peculiar characteristics of research in this field.</w:t>
      </w:r>
    </w:p>
    <w:p w:rsidR="00BA438D" w:rsidRDefault="00BA438D" w:rsidP="00BA438D">
      <w:pPr>
        <w:pStyle w:val="a3"/>
        <w:rPr>
          <w:kern w:val="0"/>
        </w:rPr>
      </w:pPr>
      <w:r>
        <w:rPr>
          <w:kern w:val="0"/>
        </w:rPr>
        <w:t>Keywords: Ajr, Analysis, Article, Articles, Background, Bibliometric, Bibliometric Evaluation, Cerebrovascular Disease, Characteristics, Collaboration, Conclusions, Country, Country Of Origin, Data, Data Base, Data-Base, Disciplines, Disease, English, Evaluation, Field, First, From, Funding, Growth, Growth Rate, Impact, Impact Factor, Interdisciplinary, Journal, Journals, Language, Methods, Neurology, Neurosurgery, Origin, Productivity, Publication, Publications, Publishing, Pubmed, Purpose, Radiology, Research, Scientific Publications, Specialty, Therapy, Time Trend, Topic, Trends, United States</w:t>
      </w:r>
    </w:p>
    <w:p w:rsidR="003474F2" w:rsidRPr="001A3D2B" w:rsidRDefault="003474F2" w:rsidP="003474F2">
      <w:pPr>
        <w:pStyle w:val="1"/>
      </w:pPr>
      <w:r w:rsidRPr="001A3D2B">
        <w:br w:type="page"/>
      </w:r>
      <w:bookmarkStart w:id="300" w:name="_Toc420814413"/>
      <w:r w:rsidRPr="001A3D2B">
        <w:lastRenderedPageBreak/>
        <w:t xml:space="preserve">Title: American </w:t>
      </w:r>
      <w:bookmarkStart w:id="301" w:name="_Toc121817118"/>
      <w:r w:rsidRPr="001A3D2B">
        <w:t>Journal</w:t>
      </w:r>
      <w:r w:rsidR="00427468">
        <w:t xml:space="preserve"> of </w:t>
      </w:r>
      <w:r w:rsidRPr="001A3D2B">
        <w:t>Nursing</w:t>
      </w:r>
      <w:bookmarkEnd w:id="300"/>
    </w:p>
    <w:p w:rsidR="003474F2" w:rsidRPr="001A3D2B" w:rsidRDefault="003474F2" w:rsidP="003474F2">
      <w:pPr>
        <w:pStyle w:val="12"/>
      </w:pPr>
      <w:r w:rsidRPr="001A3D2B">
        <w:t>Full Journal Ti</w:t>
      </w:r>
      <w:bookmarkEnd w:id="301"/>
      <w:r w:rsidRPr="001A3D2B">
        <w:t>tle: American Journal</w:t>
      </w:r>
      <w:r w:rsidR="00427468">
        <w:t xml:space="preserve"> of </w:t>
      </w:r>
      <w:r w:rsidRPr="001A3D2B">
        <w:t>Nursing</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0002-936X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6F55D1" w:rsidRPr="00F219CA" w:rsidRDefault="006F55D1" w:rsidP="006F55D1">
      <w:pPr>
        <w:pStyle w:val="a3"/>
        <w:rPr>
          <w:kern w:val="0"/>
        </w:rPr>
      </w:pPr>
      <w:r w:rsidRPr="00F219CA">
        <w:t xml:space="preserve">? </w:t>
      </w:r>
      <w:r w:rsidRPr="00F219CA">
        <w:rPr>
          <w:kern w:val="0"/>
        </w:rPr>
        <w:t xml:space="preserve">Raisig, L.M. (1959), Keeping up with professional literature. </w:t>
      </w:r>
      <w:r w:rsidRPr="00F219CA">
        <w:rPr>
          <w:i/>
          <w:iCs/>
          <w:kern w:val="0"/>
        </w:rPr>
        <w:t>American Journal</w:t>
      </w:r>
      <w:r w:rsidR="00427468">
        <w:rPr>
          <w:i/>
          <w:iCs/>
          <w:kern w:val="0"/>
        </w:rPr>
        <w:t xml:space="preserve"> of </w:t>
      </w:r>
      <w:r w:rsidRPr="00F219CA">
        <w:rPr>
          <w:i/>
          <w:iCs/>
          <w:kern w:val="0"/>
        </w:rPr>
        <w:t>Nursing</w:t>
      </w:r>
      <w:r w:rsidRPr="00F219CA">
        <w:rPr>
          <w:kern w:val="0"/>
        </w:rPr>
        <w:t xml:space="preserve">, </w:t>
      </w:r>
      <w:r w:rsidRPr="00F219CA">
        <w:rPr>
          <w:b/>
          <w:bCs/>
          <w:kern w:val="0"/>
        </w:rPr>
        <w:t>59</w:t>
      </w:r>
      <w:r w:rsidRPr="00F219CA">
        <w:rPr>
          <w:kern w:val="0"/>
        </w:rPr>
        <w:t xml:space="preserve"> (</w:t>
      </w:r>
      <w:r>
        <w:rPr>
          <w:rFonts w:hint="eastAsia"/>
          <w:kern w:val="0"/>
        </w:rPr>
        <w:t>4</w:t>
      </w:r>
      <w:r w:rsidRPr="00F219CA">
        <w:rPr>
          <w:kern w:val="0"/>
        </w:rPr>
        <w:t>), 544-545.</w:t>
      </w:r>
    </w:p>
    <w:p w:rsidR="006F55D1" w:rsidRDefault="006F55D1" w:rsidP="006F55D1">
      <w:pPr>
        <w:pStyle w:val="a3"/>
        <w:rPr>
          <w:kern w:val="0"/>
        </w:rPr>
      </w:pPr>
      <w:r>
        <w:rPr>
          <w:rFonts w:hint="eastAsia"/>
          <w:kern w:val="0"/>
        </w:rPr>
        <w:t xml:space="preserve">Full Text: </w:t>
      </w:r>
      <w:hyperlink r:id="rId546" w:history="1">
        <w:r w:rsidRPr="007D6E76">
          <w:rPr>
            <w:rStyle w:val="a5"/>
            <w:kern w:val="0"/>
          </w:rPr>
          <w:t>-1959\Ame J Nur59, 544.pdf</w:t>
        </w:r>
      </w:hyperlink>
    </w:p>
    <w:p w:rsidR="003474F2" w:rsidRPr="001A3D2B" w:rsidRDefault="003474F2" w:rsidP="003474F2">
      <w:pPr>
        <w:pStyle w:val="1"/>
      </w:pPr>
      <w:r w:rsidRPr="001A3D2B">
        <w:br w:type="page"/>
      </w:r>
      <w:bookmarkStart w:id="302" w:name="_Toc420814414"/>
      <w:r w:rsidRPr="001A3D2B">
        <w:lastRenderedPageBreak/>
        <w:t xml:space="preserve">Title: American </w:t>
      </w:r>
      <w:bookmarkStart w:id="303" w:name="_Toc38335235"/>
      <w:bookmarkStart w:id="304" w:name="_Toc43634526"/>
      <w:bookmarkStart w:id="305" w:name="_Toc81215592"/>
      <w:r w:rsidRPr="001A3D2B">
        <w:t>Journal</w:t>
      </w:r>
      <w:r w:rsidR="00427468">
        <w:t xml:space="preserve"> of </w:t>
      </w:r>
      <w:r w:rsidRPr="001A3D2B">
        <w:t>Obstetrics</w:t>
      </w:r>
      <w:r w:rsidR="005853A9">
        <w:t xml:space="preserve"> and </w:t>
      </w:r>
      <w:r w:rsidRPr="001A3D2B">
        <w:t>Gynecology</w:t>
      </w:r>
      <w:bookmarkEnd w:id="302"/>
    </w:p>
    <w:p w:rsidR="003474F2" w:rsidRPr="001A3D2B" w:rsidRDefault="003474F2" w:rsidP="003474F2">
      <w:pPr>
        <w:pStyle w:val="12"/>
      </w:pPr>
      <w:r w:rsidRPr="001A3D2B">
        <w:t>Full Journal Ti</w:t>
      </w:r>
      <w:bookmarkEnd w:id="303"/>
      <w:bookmarkEnd w:id="304"/>
      <w:bookmarkEnd w:id="305"/>
      <w:r w:rsidRPr="001A3D2B">
        <w:t xml:space="preserve">tle: </w:t>
      </w:r>
      <w:hyperlink r:id="rId547" w:history="1">
        <w:r w:rsidRPr="001A3D2B">
          <w:rPr>
            <w:rStyle w:val="a5"/>
          </w:rPr>
          <w:t>American Journal</w:t>
        </w:r>
        <w:r w:rsidR="00427468">
          <w:rPr>
            <w:rStyle w:val="a5"/>
          </w:rPr>
          <w:t xml:space="preserve"> of </w:t>
        </w:r>
        <w:r w:rsidRPr="001A3D2B">
          <w:rPr>
            <w:rStyle w:val="a5"/>
          </w:rPr>
          <w:t>Obstetrics</w:t>
        </w:r>
        <w:r w:rsidR="005853A9">
          <w:rPr>
            <w:rStyle w:val="a5"/>
          </w:rPr>
          <w:t xml:space="preserve"> and </w:t>
        </w:r>
        <w:r w:rsidRPr="001A3D2B">
          <w:rPr>
            <w:rStyle w:val="a5"/>
          </w:rPr>
          <w:t>Gynecology</w:t>
        </w:r>
      </w:hyperlink>
    </w:p>
    <w:p w:rsidR="003474F2" w:rsidRPr="001A3D2B" w:rsidRDefault="003474F2" w:rsidP="003474F2">
      <w:pPr>
        <w:pStyle w:val="12"/>
      </w:pPr>
      <w:r w:rsidRPr="001A3D2B">
        <w:t>ISO Abbreviated Title: Am. J. Obstet. Gynecol.</w:t>
      </w:r>
    </w:p>
    <w:p w:rsidR="003474F2" w:rsidRPr="001A3D2B" w:rsidRDefault="003474F2" w:rsidP="003474F2">
      <w:pPr>
        <w:pStyle w:val="12"/>
      </w:pPr>
      <w:r w:rsidRPr="001A3D2B">
        <w:t>JCR Abbreviated Title: Am J Obstet Gynecol</w:t>
      </w:r>
    </w:p>
    <w:p w:rsidR="003474F2" w:rsidRPr="001A3D2B" w:rsidRDefault="003474F2" w:rsidP="003474F2">
      <w:pPr>
        <w:pStyle w:val="12"/>
      </w:pPr>
      <w:r w:rsidRPr="001A3D2B">
        <w:t>ISSN: 0002-9378</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Mosby,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11830 Westline Industrial DR</w:t>
          </w:r>
        </w:smartTag>
        <w:r w:rsidRPr="001A3D2B">
          <w:t xml:space="preserve">, </w:t>
        </w:r>
        <w:smartTag w:uri="urn:schemas-microsoft-com:office:smarttags" w:element="City">
          <w:r w:rsidRPr="001A3D2B">
            <w:t>St Louis</w:t>
          </w:r>
        </w:smartTag>
        <w:r w:rsidRPr="001A3D2B">
          <w:t xml:space="preserve">, </w:t>
        </w:r>
        <w:smartTag w:uri="urn:schemas-microsoft-com:office:smarttags" w:element="State">
          <w:r w:rsidRPr="001A3D2B">
            <w:t>MO</w:t>
          </w:r>
        </w:smartTag>
        <w:r w:rsidRPr="001A3D2B">
          <w:t xml:space="preserve"> </w:t>
        </w:r>
        <w:smartTag w:uri="urn:schemas-microsoft-com:office:smarttags" w:element="PostalCode">
          <w:r w:rsidRPr="001A3D2B">
            <w:t>63146-3318</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Obstetrics &amp; Gynecology: Impact Factor 2.871,/(2001); Impact Factor 2.556, 5/52 (2002)</w:t>
      </w:r>
    </w:p>
    <w:p w:rsidR="003474F2" w:rsidRPr="001A3D2B" w:rsidRDefault="003474F2" w:rsidP="003474F2">
      <w:pPr>
        <w:pStyle w:val="a3"/>
      </w:pPr>
      <w:r w:rsidRPr="001A3D2B">
        <w:t>? Notzon, F.C., Cnattingius, S., Bergsjo, P., Cole, S., Taffel, S., Irgens, L.</w:t>
      </w:r>
      <w:r w:rsidR="005853A9">
        <w:t xml:space="preserve"> and </w:t>
      </w:r>
      <w:r w:rsidRPr="001A3D2B">
        <w:t>Daltveit, A.K. (1994), Cesarean-section delivery in</w:t>
      </w:r>
      <w:r w:rsidR="003A1917">
        <w:t xml:space="preserve"> the </w:t>
      </w:r>
      <w:r w:rsidRPr="001A3D2B">
        <w:t xml:space="preserve">1980s: International comparison by indication. </w:t>
      </w:r>
      <w:r w:rsidRPr="001A3D2B">
        <w:rPr>
          <w:i/>
          <w:iCs/>
        </w:rPr>
        <w:t>American Journal</w:t>
      </w:r>
      <w:r w:rsidR="00427468">
        <w:rPr>
          <w:i/>
          <w:iCs/>
        </w:rPr>
        <w:t xml:space="preserve"> of </w:t>
      </w:r>
      <w:r w:rsidRPr="001A3D2B">
        <w:rPr>
          <w:i/>
          <w:iCs/>
        </w:rPr>
        <w:t>Obstetrics</w:t>
      </w:r>
      <w:r w:rsidR="005853A9">
        <w:rPr>
          <w:i/>
          <w:iCs/>
        </w:rPr>
        <w:t xml:space="preserve"> and </w:t>
      </w:r>
      <w:r w:rsidRPr="001A3D2B">
        <w:rPr>
          <w:i/>
          <w:iCs/>
        </w:rPr>
        <w:t>Gynecology</w:t>
      </w:r>
      <w:r w:rsidRPr="001A3D2B">
        <w:t xml:space="preserve">, </w:t>
      </w:r>
      <w:r w:rsidRPr="001A3D2B">
        <w:rPr>
          <w:b/>
          <w:bCs/>
        </w:rPr>
        <w:t>170</w:t>
      </w:r>
      <w:r w:rsidRPr="001A3D2B">
        <w:t xml:space="preserve"> (2), 495-504.</w:t>
      </w:r>
    </w:p>
    <w:p w:rsidR="003474F2" w:rsidRPr="001A3D2B" w:rsidRDefault="003474F2" w:rsidP="003474F2">
      <w:pPr>
        <w:pStyle w:val="a3"/>
      </w:pPr>
      <w:r w:rsidRPr="001A3D2B">
        <w:t>F</w:t>
      </w:r>
      <w:r w:rsidR="00EA6B77">
        <w:t xml:space="preserve">ull Text: </w:t>
      </w:r>
      <w:r w:rsidR="00EA6B77">
        <w:rPr>
          <w:rFonts w:hint="eastAsia"/>
        </w:rPr>
        <w:t>1994\</w:t>
      </w:r>
      <w:r w:rsidR="00EA6B77">
        <w:t>Ame J Obs Gyn170, 495</w:t>
      </w:r>
      <w:r w:rsidR="00EA6B77">
        <w:rPr>
          <w:rFonts w:hint="eastAsia"/>
        </w:rPr>
        <w:t>.pdf</w:t>
      </w:r>
    </w:p>
    <w:p w:rsidR="003474F2" w:rsidRPr="001A3D2B" w:rsidRDefault="003474F2" w:rsidP="003474F2">
      <w:pPr>
        <w:pStyle w:val="a3"/>
      </w:pPr>
      <w:r w:rsidRPr="001A3D2B">
        <w:t>Abstract: OBJECTIVE: We compared trends</w:t>
      </w:r>
      <w:r w:rsidR="005853A9">
        <w:t xml:space="preserve"> and </w:t>
      </w:r>
      <w:r w:rsidRPr="001A3D2B">
        <w:t>current levels</w:t>
      </w:r>
      <w:r w:rsidR="00427468">
        <w:t xml:space="preserve"> of </w:t>
      </w:r>
      <w:r w:rsidRPr="001A3D2B">
        <w:t>cesarean section delivery by indication in four countries to help us understand factors underlying national differences in obstetric delivery practice</w:t>
      </w:r>
      <w:r w:rsidR="005853A9">
        <w:t xml:space="preserve"> and </w:t>
      </w:r>
      <w:r w:rsidRPr="001A3D2B">
        <w:t>identify pathways to lower cesarean rates.</w:t>
      </w:r>
    </w:p>
    <w:p w:rsidR="003474F2" w:rsidRPr="001A3D2B" w:rsidRDefault="003474F2" w:rsidP="003474F2">
      <w:pPr>
        <w:pStyle w:val="a3"/>
      </w:pPr>
      <w:r w:rsidRPr="001A3D2B">
        <w:t>STUDY DESIGN: We carried out a measurement</w:t>
      </w:r>
      <w:r w:rsidR="00427468">
        <w:t xml:space="preserve"> of </w:t>
      </w:r>
      <w:r w:rsidRPr="001A3D2B">
        <w:t>change in</w:t>
      </w:r>
      <w:r w:rsidR="003A1917">
        <w:t xml:space="preserve"> the </w:t>
      </w:r>
      <w:r w:rsidRPr="001A3D2B">
        <w:t>use</w:t>
      </w:r>
      <w:r w:rsidR="00427468">
        <w:t xml:space="preserve"> of </w:t>
      </w:r>
      <w:r w:rsidRPr="001A3D2B">
        <w:t xml:space="preserve">cesarean delivery by indication in Norway Scotland, </w:t>
      </w:r>
      <w:smartTag w:uri="urn:schemas-microsoft-com:office:smarttags" w:element="country-region">
        <w:r w:rsidRPr="001A3D2B">
          <w:t>Sweden</w:t>
        </w:r>
      </w:smartTag>
      <w:r w:rsidRPr="001A3D2B">
        <w:t>,</w:t>
      </w:r>
      <w:r w:rsidR="005853A9">
        <w:t xml:space="preserve"> and </w:t>
      </w:r>
      <w:r w:rsidR="003A1917">
        <w:t xml:space="preserve">the </w:t>
      </w:r>
      <w:r w:rsidRPr="001A3D2B">
        <w:t>United States during intervals centered on 1980, 1985,</w:t>
      </w:r>
      <w:r w:rsidR="005853A9">
        <w:t xml:space="preserve"> and </w:t>
      </w:r>
      <w:r w:rsidRPr="001A3D2B">
        <w:t>1990. Indication for cesarean delivery was determined by a standard set</w:t>
      </w:r>
      <w:r w:rsidR="00427468">
        <w:t xml:space="preserve"> of </w:t>
      </w:r>
      <w:r w:rsidRPr="001A3D2B">
        <w:t>selection rules.</w:t>
      </w:r>
    </w:p>
    <w:p w:rsidR="003474F2" w:rsidRPr="001A3D2B" w:rsidRDefault="003474F2" w:rsidP="003474F2">
      <w:pPr>
        <w:pStyle w:val="a3"/>
      </w:pPr>
      <w:r w:rsidRPr="001A3D2B">
        <w:t>RESULTS:</w:t>
      </w:r>
      <w:r w:rsidR="003A1917">
        <w:t xml:space="preserve"> the </w:t>
      </w:r>
      <w:r w:rsidRPr="001A3D2B">
        <w:t>rate</w:t>
      </w:r>
      <w:r w:rsidR="00427468">
        <w:t xml:space="preserve"> of </w:t>
      </w:r>
      <w:r w:rsidRPr="001A3D2B">
        <w:t>growth</w:t>
      </w:r>
      <w:r w:rsidR="00427468">
        <w:t xml:space="preserve"> of </w:t>
      </w:r>
      <w:r w:rsidRPr="001A3D2B">
        <w:t>national cesarean section rates dropped significantly between</w:t>
      </w:r>
      <w:r w:rsidR="003A1917">
        <w:t xml:space="preserve"> the </w:t>
      </w:r>
      <w:r w:rsidRPr="001A3D2B">
        <w:t>time periods 1980 to 1985</w:t>
      </w:r>
      <w:r w:rsidR="005853A9">
        <w:t xml:space="preserve"> and </w:t>
      </w:r>
      <w:r w:rsidRPr="001A3D2B">
        <w:t xml:space="preserve">1985 to </w:t>
      </w:r>
      <w:smartTag w:uri="urn:schemas-microsoft-com:office:smarttags" w:element="chmetcnv">
        <w:smartTagPr>
          <w:attr w:name="TCSC" w:val="0"/>
          <w:attr w:name="NumberType" w:val="1"/>
          <w:attr w:name="Negative" w:val="False"/>
          <w:attr w:name="HasSpace" w:val="True"/>
          <w:attr w:name="SourceValue" w:val="1990"/>
          <w:attr w:name="UnitName" w:val="in"/>
        </w:smartTagPr>
        <w:r w:rsidRPr="001A3D2B">
          <w:t>1990 in</w:t>
        </w:r>
      </w:smartTag>
      <w:r w:rsidRPr="001A3D2B">
        <w:t xml:space="preserve"> all four countries; in </w:t>
      </w:r>
      <w:smartTag w:uri="urn:schemas-microsoft-com:office:smarttags" w:element="place">
        <w:smartTag w:uri="urn:schemas-microsoft-com:office:smarttags" w:element="country-region">
          <w:r w:rsidRPr="001A3D2B">
            <w:t>Sweden</w:t>
          </w:r>
        </w:smartTag>
      </w:smartTag>
      <w:r w:rsidRPr="001A3D2B">
        <w:t xml:space="preserve"> this led to an actual decline in</w:t>
      </w:r>
      <w:r w:rsidR="003A1917">
        <w:t xml:space="preserve"> the </w:t>
      </w:r>
      <w:r w:rsidRPr="001A3D2B">
        <w:t>cesarean section rate. Fetal distress</w:t>
      </w:r>
      <w:r w:rsidR="005853A9">
        <w:t xml:space="preserve"> and </w:t>
      </w:r>
      <w:r w:rsidRPr="001A3D2B">
        <w:t>previous cesarean section were important contributors to cesarean section growth in three</w:t>
      </w:r>
      <w:r w:rsidR="00427468">
        <w:t xml:space="preserve"> of </w:t>
      </w:r>
      <w:r w:rsidR="003A1917">
        <w:t xml:space="preserve">the </w:t>
      </w:r>
      <w:r w:rsidRPr="001A3D2B">
        <w:t>countries in 1980 to 1985, but their contribution to growth dropped off sharply in 1985 to 1990. By</w:t>
      </w:r>
      <w:r w:rsidR="003A1917">
        <w:t xml:space="preserve"> the </w:t>
      </w:r>
      <w:r w:rsidRPr="001A3D2B">
        <w:t>1990 interval,</w:t>
      </w:r>
      <w:r w:rsidR="003A1917">
        <w:t xml:space="preserve"> the </w:t>
      </w:r>
      <w:r w:rsidRPr="001A3D2B">
        <w:t>overall rate ranged from 24% (</w:t>
      </w:r>
      <w:smartTag w:uri="urn:schemas-microsoft-com:office:smarttags" w:element="country-region">
        <w:r w:rsidRPr="001A3D2B">
          <w:t>United States</w:t>
        </w:r>
      </w:smartTag>
      <w:r w:rsidRPr="001A3D2B">
        <w:t>) to 11% (</w:t>
      </w:r>
      <w:smartTag w:uri="urn:schemas-microsoft-com:office:smarttags" w:element="place">
        <w:smartTag w:uri="urn:schemas-microsoft-com:office:smarttags" w:element="country-region">
          <w:r w:rsidRPr="001A3D2B">
            <w:t>Sweden</w:t>
          </w:r>
        </w:smartTag>
      </w:smartTag>
      <w:r w:rsidRPr="001A3D2B">
        <w:t>),</w:t>
      </w:r>
      <w:r w:rsidR="005853A9">
        <w:t xml:space="preserve"> and </w:t>
      </w:r>
      <w:r w:rsidRPr="001A3D2B">
        <w:t>all four countries had similar cesarean section rates for breech presentation, fetal distress,</w:t>
      </w:r>
      <w:r w:rsidR="005853A9">
        <w:t xml:space="preserve"> and </w:t>
      </w:r>
      <w:r w:rsidR="00700038">
        <w:t>‘</w:t>
      </w:r>
      <w:r w:rsidRPr="001A3D2B">
        <w:t>other</w:t>
      </w:r>
      <w:r w:rsidR="00700038">
        <w:t>’</w:t>
      </w:r>
      <w:r w:rsidRPr="001A3D2B">
        <w:t xml:space="preserve"> indications. Cesarean section deliveries for previous cesarean section</w:t>
      </w:r>
      <w:r w:rsidR="005853A9">
        <w:t xml:space="preserve"> and </w:t>
      </w:r>
      <w:r w:rsidRPr="001A3D2B">
        <w:t>dystocia accounted for</w:t>
      </w:r>
      <w:r w:rsidR="003A1917">
        <w:t xml:space="preserve"> the </w:t>
      </w:r>
      <w:r w:rsidRPr="001A3D2B">
        <w:t xml:space="preserve">substantially higher </w:t>
      </w:r>
      <w:smartTag w:uri="urn:schemas-microsoft-com:office:smarttags" w:element="place">
        <w:smartTag w:uri="urn:schemas-microsoft-com:office:smarttags" w:element="country-region">
          <w:r w:rsidRPr="001A3D2B">
            <w:t>U.S.</w:t>
          </w:r>
        </w:smartTag>
      </w:smartTag>
      <w:r w:rsidRPr="001A3D2B">
        <w:t xml:space="preserve"> cesarean section rate.</w:t>
      </w:r>
    </w:p>
    <w:p w:rsidR="003474F2" w:rsidRPr="001A3D2B" w:rsidRDefault="003474F2" w:rsidP="003474F2">
      <w:pPr>
        <w:pStyle w:val="a3"/>
      </w:pPr>
      <w:r w:rsidRPr="001A3D2B">
        <w:t>CONCLUSIONS: Cesarean section rates are approaching stability in</w:t>
      </w:r>
      <w:r w:rsidR="003A1917">
        <w:t xml:space="preserve"> the </w:t>
      </w:r>
      <w:r w:rsidRPr="001A3D2B">
        <w:t>four countries</w:t>
      </w:r>
      <w:r w:rsidR="005853A9">
        <w:t xml:space="preserve"> and </w:t>
      </w:r>
      <w:r w:rsidRPr="001A3D2B">
        <w:t xml:space="preserve">have declined in </w:t>
      </w:r>
      <w:smartTag w:uri="urn:schemas-microsoft-com:office:smarttags" w:element="country-region">
        <w:r w:rsidRPr="001A3D2B">
          <w:t>Sweden</w:t>
        </w:r>
      </w:smartTag>
      <w:r w:rsidRPr="001A3D2B">
        <w:t>, Previous cesarean delivery</w:t>
      </w:r>
      <w:r w:rsidR="005853A9">
        <w:t xml:space="preserve"> and </w:t>
      </w:r>
      <w:r w:rsidRPr="001A3D2B">
        <w:t>dystocia may be</w:t>
      </w:r>
      <w:r w:rsidR="003A1917">
        <w:t xml:space="preserve"> the </w:t>
      </w:r>
      <w:r w:rsidRPr="001A3D2B">
        <w:lastRenderedPageBreak/>
        <w:t>major sources</w:t>
      </w:r>
      <w:r w:rsidR="00427468">
        <w:t xml:space="preserve"> of </w:t>
      </w:r>
      <w:r w:rsidRPr="001A3D2B">
        <w:t>future reductions in</w:t>
      </w:r>
      <w:r w:rsidR="003A1917">
        <w:t xml:space="preserve"> the </w:t>
      </w:r>
      <w:r w:rsidRPr="001A3D2B">
        <w:t>U.S. cesarean rate</w:t>
      </w:r>
      <w:r w:rsidR="00A37C1D">
        <w:t>. The</w:t>
      </w:r>
      <w:r w:rsidR="003A1917">
        <w:t xml:space="preserve"> </w:t>
      </w:r>
      <w:r w:rsidRPr="001A3D2B">
        <w:t>Swedish example shows that it is possible to reduce a relatively low national cesarean section rate.</w:t>
      </w:r>
    </w:p>
    <w:p w:rsidR="003474F2" w:rsidRPr="001A3D2B" w:rsidRDefault="003474F2" w:rsidP="003474F2">
      <w:pPr>
        <w:pStyle w:val="a3"/>
      </w:pPr>
      <w:r w:rsidRPr="001A3D2B">
        <w:t>Keywords: Cesarean Section Delivery, International Comparisons, Perinatal-Mortality, Rates, Trial, Risk</w:t>
      </w:r>
    </w:p>
    <w:p w:rsidR="003474F2" w:rsidRPr="001A3D2B" w:rsidRDefault="003474F2" w:rsidP="003474F2">
      <w:pPr>
        <w:pStyle w:val="a3"/>
      </w:pPr>
      <w:r w:rsidRPr="001A3D2B">
        <w:t>Roach, V.J., Lau, T.K.</w:t>
      </w:r>
      <w:r w:rsidR="005853A9">
        <w:t xml:space="preserve"> and </w:t>
      </w:r>
      <w:r w:rsidRPr="001A3D2B">
        <w:t>Kee, W.D.N. (1997</w:t>
      </w:r>
      <w:r w:rsidR="00F42EAC">
        <w:t>), The</w:t>
      </w:r>
      <w:r w:rsidR="003A1917">
        <w:t xml:space="preserve"> </w:t>
      </w:r>
      <w:r w:rsidRPr="001A3D2B">
        <w:t>quality</w:t>
      </w:r>
      <w:r w:rsidR="00427468">
        <w:t xml:space="preserve"> of </w:t>
      </w:r>
      <w:r w:rsidRPr="001A3D2B">
        <w:t>citations in major international obstetrics</w:t>
      </w:r>
      <w:r w:rsidR="005853A9">
        <w:t xml:space="preserve"> and </w:t>
      </w:r>
      <w:r w:rsidRPr="001A3D2B">
        <w:t xml:space="preserve">gynecology journals. </w:t>
      </w:r>
      <w:r w:rsidRPr="001A3D2B">
        <w:rPr>
          <w:i/>
          <w:iCs/>
        </w:rPr>
        <w:t>American Journal</w:t>
      </w:r>
      <w:r w:rsidR="00427468">
        <w:rPr>
          <w:i/>
          <w:iCs/>
        </w:rPr>
        <w:t xml:space="preserve"> of </w:t>
      </w:r>
      <w:r w:rsidRPr="001A3D2B">
        <w:rPr>
          <w:i/>
          <w:iCs/>
        </w:rPr>
        <w:t>Obstetrics</w:t>
      </w:r>
      <w:r w:rsidR="005853A9">
        <w:rPr>
          <w:i/>
          <w:iCs/>
        </w:rPr>
        <w:t xml:space="preserve"> and </w:t>
      </w:r>
      <w:r w:rsidRPr="001A3D2B">
        <w:rPr>
          <w:i/>
          <w:iCs/>
        </w:rPr>
        <w:t>Gynecology</w:t>
      </w:r>
      <w:r w:rsidRPr="001A3D2B">
        <w:t xml:space="preserve">, </w:t>
      </w:r>
      <w:r w:rsidRPr="001A3D2B">
        <w:rPr>
          <w:b/>
          <w:bCs/>
        </w:rPr>
        <w:t>177</w:t>
      </w:r>
      <w:r w:rsidRPr="001A3D2B">
        <w:t xml:space="preserve"> (4), 973-975.</w:t>
      </w:r>
    </w:p>
    <w:p w:rsidR="003474F2" w:rsidRPr="001A3D2B" w:rsidRDefault="003474F2" w:rsidP="003474F2">
      <w:pPr>
        <w:pStyle w:val="a3"/>
      </w:pPr>
      <w:r w:rsidRPr="001A3D2B">
        <w:t xml:space="preserve">Full Text: </w:t>
      </w:r>
      <w:hyperlink r:id="rId548" w:history="1">
        <w:r w:rsidRPr="001A3D2B">
          <w:rPr>
            <w:rStyle w:val="a5"/>
          </w:rPr>
          <w:t>1997\Ame J Obs Gyn177, 973.pdf</w:t>
        </w:r>
      </w:hyperlink>
    </w:p>
    <w:p w:rsidR="003474F2" w:rsidRPr="001A3D2B" w:rsidRDefault="003474F2" w:rsidP="003474F2">
      <w:pPr>
        <w:pStyle w:val="a3"/>
      </w:pPr>
      <w:r w:rsidRPr="001A3D2B">
        <w:t>Abstract: OBJECTIVE: Our goal was to determine</w:t>
      </w:r>
      <w:r w:rsidR="003A1917">
        <w:t xml:space="preserve"> the </w:t>
      </w:r>
      <w:r w:rsidRPr="001A3D2B">
        <w:t>error rate in references in articles published in three major international journals in obstetrics</w:t>
      </w:r>
      <w:r w:rsidR="005853A9">
        <w:t xml:space="preserve"> and </w:t>
      </w:r>
      <w:r w:rsidRPr="001A3D2B">
        <w:t>gynecology.</w:t>
      </w:r>
    </w:p>
    <w:p w:rsidR="003474F2" w:rsidRPr="001A3D2B" w:rsidRDefault="003474F2" w:rsidP="003474F2">
      <w:pPr>
        <w:pStyle w:val="a3"/>
      </w:pPr>
      <w:r w:rsidRPr="001A3D2B">
        <w:t>STUDY DESIGN: All issues (excluding supplements) for</w:t>
      </w:r>
      <w:r w:rsidR="003A1917">
        <w:t xml:space="preserve"> the </w:t>
      </w:r>
      <w:r w:rsidRPr="001A3D2B">
        <w:t>year 1995</w:t>
      </w:r>
      <w:r w:rsidR="00427468">
        <w:t xml:space="preserve"> of </w:t>
      </w:r>
      <w:r w:rsidR="003A1917">
        <w:t xml:space="preserve">the </w:t>
      </w:r>
      <w:r w:rsidRPr="001A3D2B">
        <w:t>American Journal</w:t>
      </w:r>
      <w:r w:rsidR="00427468">
        <w:t xml:space="preserve"> of </w:t>
      </w:r>
      <w:r w:rsidRPr="001A3D2B">
        <w:t>Obstetrics</w:t>
      </w:r>
      <w:r w:rsidR="005853A9">
        <w:t xml:space="preserve"> and </w:t>
      </w:r>
      <w:r w:rsidRPr="001A3D2B">
        <w:t>Gynecology,</w:t>
      </w:r>
      <w:r w:rsidR="003A1917">
        <w:t xml:space="preserve"> the </w:t>
      </w:r>
      <w:r w:rsidRPr="001A3D2B">
        <w:t>Australian</w:t>
      </w:r>
      <w:r w:rsidR="005853A9">
        <w:t xml:space="preserve"> and </w:t>
      </w:r>
      <w:r w:rsidRPr="001A3D2B">
        <w:t>New Zealand Journal</w:t>
      </w:r>
      <w:r w:rsidR="00427468">
        <w:t xml:space="preserve"> of </w:t>
      </w:r>
      <w:r w:rsidRPr="001A3D2B">
        <w:t>Obstetrics</w:t>
      </w:r>
      <w:r w:rsidR="005853A9">
        <w:t xml:space="preserve"> and </w:t>
      </w:r>
      <w:r w:rsidRPr="001A3D2B">
        <w:t>Gynaecology,</w:t>
      </w:r>
      <w:r w:rsidR="005853A9">
        <w:t xml:space="preserve"> and </w:t>
      </w:r>
      <w:r w:rsidR="003A1917">
        <w:t xml:space="preserve">the </w:t>
      </w:r>
      <w:r w:rsidRPr="001A3D2B">
        <w:t>British Journal</w:t>
      </w:r>
      <w:r w:rsidR="00427468">
        <w:t xml:space="preserve"> of </w:t>
      </w:r>
      <w:r w:rsidRPr="001A3D2B">
        <w:t>Obstetrics</w:t>
      </w:r>
      <w:r w:rsidR="005853A9">
        <w:t xml:space="preserve"> and </w:t>
      </w:r>
      <w:r w:rsidRPr="001A3D2B">
        <w:t>Gynaecology were examined. References were numbered sequentially,</w:t>
      </w:r>
      <w:r w:rsidR="005853A9">
        <w:t xml:space="preserve"> and </w:t>
      </w:r>
      <w:r w:rsidRPr="001A3D2B">
        <w:t>50 randomly selected references from each journal were checked against</w:t>
      </w:r>
      <w:r w:rsidR="003A1917">
        <w:t xml:space="preserve"> the </w:t>
      </w:r>
      <w:r w:rsidRPr="001A3D2B">
        <w:t>original for accuracy.</w:t>
      </w:r>
    </w:p>
    <w:p w:rsidR="003474F2" w:rsidRPr="001A3D2B" w:rsidRDefault="003474F2" w:rsidP="003474F2">
      <w:pPr>
        <w:pStyle w:val="a3"/>
      </w:pPr>
      <w:r w:rsidRPr="001A3D2B">
        <w:t>RESULTS: Errors were found in</w:t>
      </w:r>
      <w:r w:rsidR="003A1917">
        <w:t xml:space="preserve"> the </w:t>
      </w:r>
      <w:r w:rsidRPr="001A3D2B">
        <w:t>majority</w:t>
      </w:r>
      <w:r w:rsidR="00427468">
        <w:t xml:space="preserve"> of </w:t>
      </w:r>
      <w:r w:rsidRPr="001A3D2B">
        <w:t>references</w:t>
      </w:r>
      <w:r w:rsidR="00A37C1D">
        <w:t>. The</w:t>
      </w:r>
      <w:r w:rsidR="003A1917">
        <w:t xml:space="preserve"> </w:t>
      </w:r>
      <w:r w:rsidRPr="001A3D2B">
        <w:t>lowest error rate was 55.6% from</w:t>
      </w:r>
      <w:r w:rsidR="003A1917">
        <w:t xml:space="preserve"> the </w:t>
      </w:r>
      <w:r w:rsidRPr="001A3D2B">
        <w:t>Australian</w:t>
      </w:r>
      <w:r w:rsidR="005853A9">
        <w:t xml:space="preserve"> and </w:t>
      </w:r>
      <w:r w:rsidRPr="001A3D2B">
        <w:t>New Zealand Journal</w:t>
      </w:r>
      <w:r w:rsidR="00427468">
        <w:t xml:space="preserve"> of </w:t>
      </w:r>
      <w:r w:rsidRPr="001A3D2B">
        <w:t>Obstetrics</w:t>
      </w:r>
      <w:r w:rsidR="005853A9">
        <w:t xml:space="preserve"> and </w:t>
      </w:r>
      <w:r w:rsidRPr="001A3D2B">
        <w:t>Gynaecology,</w:t>
      </w:r>
      <w:r w:rsidR="005853A9">
        <w:t xml:space="preserve"> and </w:t>
      </w:r>
      <w:r w:rsidR="003A1917">
        <w:t xml:space="preserve">the </w:t>
      </w:r>
      <w:r w:rsidRPr="001A3D2B">
        <w:t>highest was 66.7% from</w:t>
      </w:r>
      <w:r w:rsidR="003A1917">
        <w:t xml:space="preserve"> the </w:t>
      </w:r>
      <w:r w:rsidRPr="001A3D2B">
        <w:t>British Journal</w:t>
      </w:r>
      <w:r w:rsidR="00427468">
        <w:t xml:space="preserve"> of </w:t>
      </w:r>
      <w:r w:rsidRPr="001A3D2B">
        <w:t>Obstetrics</w:t>
      </w:r>
      <w:r w:rsidR="005853A9">
        <w:t xml:space="preserve"> and </w:t>
      </w:r>
      <w:r w:rsidRPr="001A3D2B">
        <w:t>Gynaecology</w:t>
      </w:r>
      <w:r w:rsidR="00A37C1D">
        <w:t>. The</w:t>
      </w:r>
      <w:r w:rsidR="003A1917">
        <w:t xml:space="preserve"> </w:t>
      </w:r>
      <w:r w:rsidRPr="001A3D2B">
        <w:t>difference between journals was not statistically significant</w:t>
      </w:r>
      <w:r w:rsidR="00A37C1D">
        <w:t>. The</w:t>
      </w:r>
      <w:r w:rsidR="003A1917">
        <w:t xml:space="preserve"> </w:t>
      </w:r>
      <w:r w:rsidRPr="001A3D2B">
        <w:t>most frequent types</w:t>
      </w:r>
      <w:r w:rsidR="00427468">
        <w:t xml:space="preserve"> of </w:t>
      </w:r>
      <w:r w:rsidRPr="001A3D2B">
        <w:t>error were in</w:t>
      </w:r>
      <w:r w:rsidR="003A1917">
        <w:t xml:space="preserve"> the </w:t>
      </w:r>
      <w:r w:rsidRPr="001A3D2B">
        <w:t>title</w:t>
      </w:r>
      <w:r w:rsidR="00427468">
        <w:t xml:space="preserve"> of </w:t>
      </w:r>
      <w:r w:rsidR="003A1917">
        <w:t xml:space="preserve">the </w:t>
      </w:r>
      <w:r w:rsidRPr="001A3D2B">
        <w:t>article or in</w:t>
      </w:r>
      <w:r w:rsidR="003A1917">
        <w:t xml:space="preserve"> the </w:t>
      </w:r>
      <w:r w:rsidRPr="001A3D2B">
        <w:t>authors</w:t>
      </w:r>
      <w:r w:rsidR="00700038">
        <w:t>’</w:t>
      </w:r>
      <w:r w:rsidRPr="001A3D2B">
        <w:t xml:space="preserve"> names.</w:t>
      </w:r>
    </w:p>
    <w:p w:rsidR="003474F2" w:rsidRPr="001A3D2B" w:rsidRDefault="003474F2" w:rsidP="003474F2">
      <w:pPr>
        <w:pStyle w:val="a3"/>
      </w:pPr>
      <w:r w:rsidRPr="001A3D2B">
        <w:t>CONCLUSIONS: Error rates in major international journals in obstetrics</w:t>
      </w:r>
      <w:r w:rsidR="005853A9">
        <w:t xml:space="preserve"> and </w:t>
      </w:r>
      <w:r w:rsidRPr="001A3D2B">
        <w:t>gynecology are high,</w:t>
      </w:r>
      <w:r w:rsidR="005853A9">
        <w:t xml:space="preserve"> and </w:t>
      </w:r>
      <w:r w:rsidRPr="001A3D2B">
        <w:t>care must be taken by authors</w:t>
      </w:r>
      <w:r w:rsidR="005853A9">
        <w:t xml:space="preserve"> and </w:t>
      </w:r>
      <w:r w:rsidRPr="001A3D2B">
        <w:t>journal staff to improve</w:t>
      </w:r>
      <w:r w:rsidR="003A1917">
        <w:t xml:space="preserve"> the </w:t>
      </w:r>
      <w:r w:rsidRPr="001A3D2B">
        <w:t>quality</w:t>
      </w:r>
      <w:r w:rsidR="00427468">
        <w:t xml:space="preserve"> of </w:t>
      </w:r>
      <w:r w:rsidRPr="001A3D2B">
        <w:t>published articles.</w:t>
      </w:r>
    </w:p>
    <w:p w:rsidR="003474F2" w:rsidRPr="001A3D2B" w:rsidRDefault="003474F2" w:rsidP="003474F2">
      <w:pPr>
        <w:pStyle w:val="a3"/>
      </w:pPr>
      <w:r w:rsidRPr="001A3D2B">
        <w:t>Keywords: Bibliography, Citations, References, Publications, References, Accuracy, Anesthesia</w:t>
      </w:r>
    </w:p>
    <w:p w:rsidR="003474F2" w:rsidRPr="001A3D2B" w:rsidRDefault="003474F2" w:rsidP="003474F2">
      <w:pPr>
        <w:pStyle w:val="a3"/>
      </w:pPr>
      <w:r w:rsidRPr="001A3D2B">
        <w:t>Kroumpouzos, G.</w:t>
      </w:r>
      <w:r w:rsidR="005853A9">
        <w:t xml:space="preserve"> and </w:t>
      </w:r>
      <w:r w:rsidRPr="001A3D2B">
        <w:t>Cohen, L.M. (2003), Specific dermatoses</w:t>
      </w:r>
      <w:r w:rsidR="00427468">
        <w:t xml:space="preserve"> of </w:t>
      </w:r>
      <w:r w:rsidRPr="001A3D2B">
        <w:t xml:space="preserve">pregnancy: An evidence-based systematic review. </w:t>
      </w:r>
      <w:r w:rsidRPr="001A3D2B">
        <w:rPr>
          <w:i/>
          <w:iCs/>
        </w:rPr>
        <w:t>American Journal</w:t>
      </w:r>
      <w:r w:rsidR="00427468">
        <w:rPr>
          <w:i/>
          <w:iCs/>
        </w:rPr>
        <w:t xml:space="preserve"> of </w:t>
      </w:r>
      <w:r w:rsidRPr="001A3D2B">
        <w:rPr>
          <w:i/>
          <w:iCs/>
        </w:rPr>
        <w:t>Obstetrics</w:t>
      </w:r>
      <w:r w:rsidR="005853A9">
        <w:rPr>
          <w:i/>
          <w:iCs/>
        </w:rPr>
        <w:t xml:space="preserve"> and </w:t>
      </w:r>
      <w:r w:rsidRPr="001A3D2B">
        <w:rPr>
          <w:i/>
          <w:iCs/>
        </w:rPr>
        <w:t>Gynecology</w:t>
      </w:r>
      <w:r w:rsidRPr="001A3D2B">
        <w:t xml:space="preserve">, </w:t>
      </w:r>
      <w:r w:rsidRPr="001A3D2B">
        <w:rPr>
          <w:b/>
          <w:bCs/>
        </w:rPr>
        <w:t>188</w:t>
      </w:r>
      <w:r w:rsidRPr="001A3D2B">
        <w:t xml:space="preserve"> (4), 1083-1092.</w:t>
      </w:r>
    </w:p>
    <w:p w:rsidR="003474F2" w:rsidRPr="001A3D2B" w:rsidRDefault="003474F2" w:rsidP="003474F2">
      <w:pPr>
        <w:pStyle w:val="a3"/>
      </w:pPr>
      <w:r w:rsidRPr="001A3D2B">
        <w:t xml:space="preserve">Full Text: </w:t>
      </w:r>
      <w:hyperlink r:id="rId549" w:history="1">
        <w:r w:rsidRPr="001A3D2B">
          <w:rPr>
            <w:rStyle w:val="a5"/>
          </w:rPr>
          <w:t>2003\Ame J Obs Gyn188, 1083.pdf</w:t>
        </w:r>
      </w:hyperlink>
    </w:p>
    <w:p w:rsidR="003474F2" w:rsidRPr="001A3D2B" w:rsidRDefault="003474F2" w:rsidP="003474F2">
      <w:pPr>
        <w:pStyle w:val="a3"/>
      </w:pPr>
      <w:r w:rsidRPr="001A3D2B">
        <w:t>Abstract: OBJECTIVE: We conducted an evidence-based systematic analysis</w:t>
      </w:r>
      <w:r w:rsidR="00427468">
        <w:t xml:space="preserve"> of </w:t>
      </w:r>
      <w:r w:rsidR="003A1917">
        <w:t xml:space="preserve">the </w:t>
      </w:r>
      <w:r w:rsidRPr="001A3D2B">
        <w:t>literature on specific dermatoses</w:t>
      </w:r>
      <w:r w:rsidR="00427468">
        <w:t xml:space="preserve"> of </w:t>
      </w:r>
      <w:r w:rsidRPr="001A3D2B">
        <w:t>pregnancy.</w:t>
      </w:r>
    </w:p>
    <w:p w:rsidR="003474F2" w:rsidRPr="001A3D2B" w:rsidRDefault="003474F2" w:rsidP="003474F2">
      <w:pPr>
        <w:pStyle w:val="a3"/>
      </w:pPr>
      <w:r w:rsidRPr="001A3D2B">
        <w:t>STUDY DESIGN:</w:t>
      </w:r>
      <w:r w:rsidR="003A1917">
        <w:t xml:space="preserve"> the </w:t>
      </w:r>
      <w:r w:rsidRPr="001A3D2B">
        <w:t xml:space="preserve">bibliographic databases </w:t>
      </w:r>
      <w:r w:rsidR="00D5664A">
        <w:t>MEDLINE</w:t>
      </w:r>
      <w:r w:rsidR="005853A9">
        <w:t xml:space="preserve"> and </w:t>
      </w:r>
      <w:r w:rsidRPr="001A3D2B">
        <w:t>EMBASE were screened for studies</w:t>
      </w:r>
      <w:r w:rsidR="005853A9">
        <w:t xml:space="preserve"> and </w:t>
      </w:r>
      <w:r w:rsidRPr="001A3D2B">
        <w:t>reports in all languages about herpes pastationis, pruritic urticarial papules</w:t>
      </w:r>
      <w:r w:rsidR="005853A9">
        <w:t xml:space="preserve"> and </w:t>
      </w:r>
      <w:r w:rsidRPr="001A3D2B">
        <w:t>plaques</w:t>
      </w:r>
      <w:r w:rsidR="00427468">
        <w:t xml:space="preserve"> of </w:t>
      </w:r>
      <w:r w:rsidRPr="001A3D2B">
        <w:t>pregnancy, pruritic folliculitis</w:t>
      </w:r>
      <w:r w:rsidR="00427468">
        <w:t xml:space="preserve"> of </w:t>
      </w:r>
      <w:r w:rsidRPr="001A3D2B">
        <w:t>pregnancy,</w:t>
      </w:r>
      <w:r w:rsidR="005853A9">
        <w:t xml:space="preserve"> and </w:t>
      </w:r>
      <w:r w:rsidRPr="001A3D2B">
        <w:t>prurigo</w:t>
      </w:r>
      <w:r w:rsidR="00427468">
        <w:t xml:space="preserve"> of </w:t>
      </w:r>
      <w:r w:rsidRPr="001A3D2B">
        <w:t>pregnancy from January 1962 to January 2002. As main index terms, including analogs</w:t>
      </w:r>
      <w:r w:rsidR="005853A9">
        <w:t xml:space="preserve"> and </w:t>
      </w:r>
      <w:r w:rsidRPr="001A3D2B">
        <w:t>derivatives, we used</w:t>
      </w:r>
      <w:r w:rsidR="003A1917">
        <w:t xml:space="preserve"> the </w:t>
      </w:r>
      <w:r w:rsidRPr="001A3D2B">
        <w:t>names</w:t>
      </w:r>
      <w:r w:rsidR="00427468">
        <w:t xml:space="preserve"> of </w:t>
      </w:r>
      <w:r w:rsidRPr="001A3D2B">
        <w:t>specific dermatoses</w:t>
      </w:r>
      <w:r w:rsidR="00427468">
        <w:t xml:space="preserve"> of </w:t>
      </w:r>
      <w:r w:rsidRPr="001A3D2B">
        <w:t>pregnancy. Intrahepatic cholestasis</w:t>
      </w:r>
      <w:r w:rsidR="00427468">
        <w:t xml:space="preserve"> of </w:t>
      </w:r>
      <w:r w:rsidRPr="001A3D2B">
        <w:t>pregnancy, not a primary dermatosis, was included herein because this disorder is associated with pregnancy</w:t>
      </w:r>
      <w:r w:rsidR="005853A9">
        <w:t xml:space="preserve"> and </w:t>
      </w:r>
      <w:r w:rsidRPr="001A3D2B">
        <w:t xml:space="preserve">its secondary skin </w:t>
      </w:r>
      <w:r w:rsidRPr="001A3D2B">
        <w:lastRenderedPageBreak/>
        <w:t>manifestations must be differentiated from specific dermatoses</w:t>
      </w:r>
      <w:r w:rsidR="00427468">
        <w:t xml:space="preserve"> of </w:t>
      </w:r>
      <w:r w:rsidRPr="001A3D2B">
        <w:t>pregnancy. Other sources were abstract books</w:t>
      </w:r>
      <w:r w:rsidR="00427468">
        <w:t xml:space="preserve"> of </w:t>
      </w:r>
      <w:r w:rsidRPr="001A3D2B">
        <w:t>symposia</w:t>
      </w:r>
      <w:r w:rsidR="005853A9">
        <w:t xml:space="preserve"> and </w:t>
      </w:r>
      <w:r w:rsidRPr="001A3D2B">
        <w:t>congresses, theses, textbooks, monographs, reviews, editorials, letters to</w:t>
      </w:r>
      <w:r w:rsidR="003A1917">
        <w:t xml:space="preserve"> the </w:t>
      </w:r>
      <w:r w:rsidRPr="001A3D2B">
        <w:t>editor, free or rapid communications,</w:t>
      </w:r>
      <w:r w:rsidR="005853A9">
        <w:t xml:space="preserve"> and </w:t>
      </w:r>
      <w:r w:rsidR="003A1917">
        <w:t xml:space="preserve">the </w:t>
      </w:r>
      <w:r w:rsidRPr="001A3D2B">
        <w:t>reference lists from all</w:t>
      </w:r>
      <w:r w:rsidR="003A1917">
        <w:t xml:space="preserve"> the </w:t>
      </w:r>
      <w:r w:rsidRPr="001A3D2B">
        <w:t>articles that were retrieved. All articles selected for inclusion in this review were evaluated critically with regard to their impact factor</w:t>
      </w:r>
      <w:r w:rsidR="005853A9">
        <w:t xml:space="preserve"> and </w:t>
      </w:r>
      <w:r w:rsidRPr="001A3D2B">
        <w:t>evidence-based contribution to this field, as measured by their citation index</w:t>
      </w:r>
      <w:r w:rsidR="005853A9">
        <w:t xml:space="preserve"> and </w:t>
      </w:r>
      <w:r w:rsidRPr="001A3D2B">
        <w:t>impact factor</w:t>
      </w:r>
      <w:r w:rsidR="00427468">
        <w:t xml:space="preserve"> of </w:t>
      </w:r>
      <w:r w:rsidR="003A1917">
        <w:t xml:space="preserve">the </w:t>
      </w:r>
      <w:r w:rsidRPr="001A3D2B">
        <w:t>journal in which they were published. Approximately 39%</w:t>
      </w:r>
      <w:r w:rsidR="00427468">
        <w:t xml:space="preserve"> of </w:t>
      </w:r>
      <w:r w:rsidRPr="001A3D2B">
        <w:t>articles met</w:t>
      </w:r>
      <w:r w:rsidR="003A1917">
        <w:t xml:space="preserve"> the </w:t>
      </w:r>
      <w:r w:rsidRPr="001A3D2B">
        <w:t>selection criteria.</w:t>
      </w:r>
    </w:p>
    <w:p w:rsidR="003474F2" w:rsidRPr="001A3D2B" w:rsidRDefault="003474F2" w:rsidP="003474F2">
      <w:pPr>
        <w:pStyle w:val="a3"/>
      </w:pPr>
      <w:r w:rsidRPr="001A3D2B">
        <w:t>RESULTS:</w:t>
      </w:r>
      <w:r w:rsidR="003A1917">
        <w:t xml:space="preserve"> the </w:t>
      </w:r>
      <w:r w:rsidRPr="001A3D2B">
        <w:t>clinical features</w:t>
      </w:r>
      <w:r w:rsidR="005853A9">
        <w:t xml:space="preserve"> and </w:t>
      </w:r>
      <w:r w:rsidRPr="001A3D2B">
        <w:t>prognosis</w:t>
      </w:r>
      <w:r w:rsidR="00427468">
        <w:t xml:space="preserve"> of </w:t>
      </w:r>
      <w:r w:rsidR="003A1917">
        <w:t xml:space="preserve">the </w:t>
      </w:r>
      <w:r w:rsidRPr="001A3D2B">
        <w:t>specific, dermatoses</w:t>
      </w:r>
      <w:r w:rsidR="00427468">
        <w:t xml:space="preserve"> of </w:t>
      </w:r>
      <w:r w:rsidRPr="001A3D2B">
        <w:t>pregnancy have been delineated through a number</w:t>
      </w:r>
      <w:r w:rsidR="00427468">
        <w:t xml:space="preserve"> of </w:t>
      </w:r>
      <w:r w:rsidRPr="001A3D2B">
        <w:t>retrospective</w:t>
      </w:r>
      <w:r w:rsidR="005853A9">
        <w:t xml:space="preserve"> and </w:t>
      </w:r>
      <w:r w:rsidRPr="001A3D2B">
        <w:t>cohort studies</w:t>
      </w:r>
      <w:r w:rsidR="00A37C1D">
        <w:t>. The</w:t>
      </w:r>
      <w:r w:rsidR="003A1917">
        <w:t xml:space="preserve"> </w:t>
      </w:r>
      <w:r w:rsidRPr="001A3D2B">
        <w:t>molecular biologic</w:t>
      </w:r>
      <w:r w:rsidR="005853A9">
        <w:t xml:space="preserve"> and </w:t>
      </w:r>
      <w:r w:rsidRPr="001A3D2B">
        <w:t>immunogenetic properties</w:t>
      </w:r>
      <w:r w:rsidR="00427468">
        <w:t xml:space="preserve"> of </w:t>
      </w:r>
      <w:r w:rsidRPr="001A3D2B">
        <w:t>herpes gestationis, pruritic urticarial papules</w:t>
      </w:r>
      <w:r w:rsidR="005853A9">
        <w:t xml:space="preserve"> and </w:t>
      </w:r>
      <w:r w:rsidRPr="001A3D2B">
        <w:t>plaques</w:t>
      </w:r>
      <w:r w:rsidR="00427468">
        <w:t xml:space="preserve"> of </w:t>
      </w:r>
      <w:r w:rsidRPr="001A3D2B">
        <w:t>pregnancy,</w:t>
      </w:r>
      <w:r w:rsidR="005853A9">
        <w:t xml:space="preserve"> and </w:t>
      </w:r>
      <w:r w:rsidRPr="001A3D2B">
        <w:t>intrahepatic cholestasis</w:t>
      </w:r>
      <w:r w:rsidR="00427468">
        <w:t xml:space="preserve"> of </w:t>
      </w:r>
      <w:r w:rsidRPr="001A3D2B">
        <w:t>pregnancy have been further clarified. A meta-analysis in this review reveals a higher prevalence</w:t>
      </w:r>
      <w:r w:rsidR="00427468">
        <w:t xml:space="preserve"> of </w:t>
      </w:r>
      <w:r w:rsidRPr="001A3D2B">
        <w:t>multiple gestation pregnancy (11.7%) among patients with pruritic urticarial papules</w:t>
      </w:r>
      <w:r w:rsidR="005853A9">
        <w:t xml:space="preserve"> and </w:t>
      </w:r>
      <w:r w:rsidRPr="001A3D2B">
        <w:t>plaques</w:t>
      </w:r>
      <w:r w:rsidR="00427468">
        <w:t xml:space="preserve"> of </w:t>
      </w:r>
      <w:r w:rsidRPr="001A3D2B">
        <w:t>pregnancy. Several investigations have unraveled</w:t>
      </w:r>
      <w:r w:rsidR="003A1917">
        <w:t xml:space="preserve"> the </w:t>
      </w:r>
      <w:r w:rsidRPr="001A3D2B">
        <w:t>fetal complications in intrahepatic cholestasis</w:t>
      </w:r>
      <w:r w:rsidR="00427468">
        <w:t xml:space="preserve"> of </w:t>
      </w:r>
      <w:r w:rsidRPr="001A3D2B">
        <w:t>pregnancy</w:t>
      </w:r>
      <w:r w:rsidR="005853A9">
        <w:t xml:space="preserve"> and </w:t>
      </w:r>
      <w:r w:rsidRPr="001A3D2B">
        <w:t>herpes gestationis. New treatment modalities in intrahepatic cholestasis</w:t>
      </w:r>
      <w:r w:rsidR="00427468">
        <w:t xml:space="preserve"> of </w:t>
      </w:r>
      <w:r w:rsidRPr="001A3D2B">
        <w:t>pregnancy (cholestyramine, ursodeoxycholic acid)</w:t>
      </w:r>
      <w:r w:rsidR="005853A9">
        <w:t xml:space="preserve"> and </w:t>
      </w:r>
      <w:r w:rsidRPr="001A3D2B">
        <w:t>herpes gestationis (cyclosporin, intravenous immunoglobulin,</w:t>
      </w:r>
      <w:r w:rsidR="005853A9">
        <w:t xml:space="preserve"> and </w:t>
      </w:r>
      <w:r w:rsidRPr="001A3D2B">
        <w:t>tetracyclines postpartum) have shown promise</w:t>
      </w:r>
      <w:r w:rsidR="005853A9">
        <w:t xml:space="preserve"> and </w:t>
      </w:r>
      <w:r w:rsidRPr="001A3D2B">
        <w:t>warrant further evaluation.</w:t>
      </w:r>
    </w:p>
    <w:p w:rsidR="003474F2" w:rsidRPr="001A3D2B" w:rsidRDefault="003474F2" w:rsidP="003474F2">
      <w:pPr>
        <w:pStyle w:val="a3"/>
      </w:pPr>
      <w:r w:rsidRPr="001A3D2B">
        <w:t>CONCLUSION: During</w:t>
      </w:r>
      <w:r w:rsidR="003A1917">
        <w:t xml:space="preserve"> the </w:t>
      </w:r>
      <w:r w:rsidRPr="001A3D2B">
        <w:t>past few decades, a significant amount</w:t>
      </w:r>
      <w:r w:rsidR="00427468">
        <w:t xml:space="preserve"> of </w:t>
      </w:r>
      <w:r w:rsidRPr="001A3D2B">
        <w:t>new data has provided new insights into</w:t>
      </w:r>
      <w:r w:rsidR="003A1917">
        <w:t xml:space="preserve"> the </w:t>
      </w:r>
      <w:r w:rsidRPr="001A3D2B">
        <w:t>classification, pathogenesis, treatment, prognosis,</w:t>
      </w:r>
      <w:r w:rsidR="005853A9">
        <w:t xml:space="preserve"> and </w:t>
      </w:r>
      <w:r w:rsidRPr="001A3D2B">
        <w:t>fetal risks that are associated with</w:t>
      </w:r>
      <w:r w:rsidR="003A1917">
        <w:t xml:space="preserve"> the </w:t>
      </w:r>
      <w:r w:rsidRPr="001A3D2B">
        <w:t>specific dermatoses</w:t>
      </w:r>
      <w:r w:rsidR="00427468">
        <w:t xml:space="preserve"> of </w:t>
      </w:r>
      <w:r w:rsidRPr="001A3D2B">
        <w:t>pregnancy.</w:t>
      </w:r>
    </w:p>
    <w:p w:rsidR="003474F2" w:rsidRPr="001A3D2B" w:rsidRDefault="003474F2" w:rsidP="003474F2">
      <w:pPr>
        <w:pStyle w:val="a3"/>
      </w:pPr>
      <w:r w:rsidRPr="001A3D2B">
        <w:t>Keywords: Intrahepatic Cholestasis</w:t>
      </w:r>
      <w:r w:rsidR="00427468">
        <w:t xml:space="preserve"> of </w:t>
      </w:r>
      <w:r w:rsidRPr="001A3D2B">
        <w:t>Pregnancy, Herpes Gestationis, Pruritic Urticarial Papules</w:t>
      </w:r>
      <w:r w:rsidR="005853A9">
        <w:t xml:space="preserve"> and </w:t>
      </w:r>
      <w:r w:rsidRPr="001A3D2B">
        <w:t>Plaques</w:t>
      </w:r>
      <w:r w:rsidR="00427468">
        <w:t xml:space="preserve"> of </w:t>
      </w:r>
      <w:r w:rsidRPr="001A3D2B">
        <w:t>Pregnancy, Pruritic Folliculitis</w:t>
      </w:r>
      <w:r w:rsidR="00427468">
        <w:t xml:space="preserve"> of </w:t>
      </w:r>
      <w:r w:rsidRPr="001A3D2B">
        <w:t>Pregnancy, Prurigo</w:t>
      </w:r>
      <w:r w:rsidR="00427468">
        <w:t xml:space="preserve"> of </w:t>
      </w:r>
      <w:r w:rsidRPr="001A3D2B">
        <w:t>Pregnancy, Pruritic Urticarial Papules, Familial Intrahepatic Cholestasis, Herpes-Gestationis Autoantibodies, Ursodeoxycholic Acid Therapy, Anti-Hla Antibodies, Pemphigoid-Gestationis, Bile-Acids, Polymorphic Eruption, S-Adenosylmethionine, Double-Blind</w:t>
      </w:r>
    </w:p>
    <w:p w:rsidR="00A12B23" w:rsidRDefault="00A12B23" w:rsidP="00A12B23">
      <w:pPr>
        <w:pStyle w:val="a3"/>
        <w:rPr>
          <w:kern w:val="0"/>
        </w:rPr>
      </w:pPr>
      <w:r>
        <w:rPr>
          <w:rFonts w:hint="eastAsia"/>
          <w:kern w:val="0"/>
        </w:rPr>
        <w:t xml:space="preserve">? </w:t>
      </w:r>
      <w:r>
        <w:rPr>
          <w:kern w:val="0"/>
        </w:rPr>
        <w:t>Sung, V.W., Sc</w:t>
      </w:r>
      <w:bookmarkStart w:id="306" w:name="_Toc487192629"/>
      <w:r>
        <w:rPr>
          <w:kern w:val="0"/>
        </w:rPr>
        <w:t>hleinitz, M.D., Rardin, C.R., Ward, R.M.</w:t>
      </w:r>
      <w:r w:rsidR="005853A9">
        <w:rPr>
          <w:kern w:val="0"/>
        </w:rPr>
        <w:t xml:space="preserve"> and </w:t>
      </w:r>
      <w:r>
        <w:rPr>
          <w:kern w:val="0"/>
        </w:rPr>
        <w:t>Myers, D.L. (2007), Comparison</w:t>
      </w:r>
      <w:r w:rsidR="00427468">
        <w:rPr>
          <w:kern w:val="0"/>
        </w:rPr>
        <w:t xml:space="preserve"> of </w:t>
      </w:r>
      <w:r>
        <w:rPr>
          <w:kern w:val="0"/>
        </w:rPr>
        <w:t>retropubic vs transobturator approach to midurethral slings: A systematic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197</w:t>
      </w:r>
      <w:r>
        <w:rPr>
          <w:kern w:val="0"/>
        </w:rPr>
        <w:t xml:space="preserve"> (1), 3-11.</w:t>
      </w:r>
    </w:p>
    <w:p w:rsidR="00A12B23" w:rsidRPr="00F219CA" w:rsidRDefault="00A12B23" w:rsidP="00A12B23">
      <w:pPr>
        <w:pStyle w:val="a3"/>
      </w:pPr>
      <w:r w:rsidRPr="00F219CA">
        <w:t xml:space="preserve">Full Text: </w:t>
      </w:r>
      <w:r>
        <w:rPr>
          <w:rFonts w:hint="eastAsia"/>
        </w:rPr>
        <w:t>2007\</w:t>
      </w:r>
      <w:r w:rsidRPr="00F219CA">
        <w:t>Ame J Obs Gyn1</w:t>
      </w:r>
      <w:r>
        <w:rPr>
          <w:rFonts w:hint="eastAsia"/>
        </w:rPr>
        <w:t>97</w:t>
      </w:r>
      <w:r w:rsidRPr="00F219CA">
        <w:t xml:space="preserve">, </w:t>
      </w:r>
      <w:r>
        <w:rPr>
          <w:rFonts w:hint="eastAsia"/>
        </w:rPr>
        <w:t>3.pdf</w:t>
      </w:r>
    </w:p>
    <w:p w:rsidR="00A12B23" w:rsidRDefault="00A12B23" w:rsidP="00A12B23">
      <w:pPr>
        <w:pStyle w:val="a3"/>
        <w:rPr>
          <w:kern w:val="0"/>
        </w:rPr>
      </w:pPr>
      <w:r>
        <w:rPr>
          <w:kern w:val="0"/>
        </w:rPr>
        <w:t>Abstract: To systematically review</w:t>
      </w:r>
      <w:r w:rsidR="003A1917">
        <w:rPr>
          <w:kern w:val="0"/>
        </w:rPr>
        <w:t xml:space="preserve"> the </w:t>
      </w:r>
      <w:r>
        <w:rPr>
          <w:kern w:val="0"/>
        </w:rPr>
        <w:t>literature</w:t>
      </w:r>
      <w:r w:rsidR="005853A9">
        <w:rPr>
          <w:kern w:val="0"/>
        </w:rPr>
        <w:t xml:space="preserve"> and </w:t>
      </w:r>
      <w:r>
        <w:rPr>
          <w:kern w:val="0"/>
        </w:rPr>
        <w:t>to quantitatively compare outcomes</w:t>
      </w:r>
      <w:r w:rsidR="005853A9">
        <w:rPr>
          <w:kern w:val="0"/>
        </w:rPr>
        <w:t xml:space="preserve"> and </w:t>
      </w:r>
      <w:r>
        <w:rPr>
          <w:kern w:val="0"/>
        </w:rPr>
        <w:t xml:space="preserve">complications following retropubic vs transobturator approach to midurethral slings. We searched </w:t>
      </w:r>
      <w:r w:rsidR="002C12F0">
        <w:rPr>
          <w:kern w:val="0"/>
        </w:rPr>
        <w:t>PUBMED</w:t>
      </w:r>
      <w:r>
        <w:rPr>
          <w:kern w:val="0"/>
        </w:rPr>
        <w:t xml:space="preserve">, OVID, EMBASE, CINAHL, POPLINE, </w:t>
      </w:r>
      <w:r w:rsidR="00D5664A">
        <w:rPr>
          <w:kern w:val="0"/>
        </w:rPr>
        <w:t>Web</w:t>
      </w:r>
      <w:r w:rsidR="00427468">
        <w:rPr>
          <w:kern w:val="0"/>
        </w:rPr>
        <w:t xml:space="preserve"> of </w:t>
      </w:r>
      <w:r w:rsidR="00D5664A">
        <w:rPr>
          <w:kern w:val="0"/>
        </w:rPr>
        <w:t>Science</w:t>
      </w:r>
      <w:r>
        <w:rPr>
          <w:kern w:val="0"/>
        </w:rPr>
        <w:t>, Cochrane Collaboration resources, TRIP, Global Health databases,</w:t>
      </w:r>
      <w:r w:rsidR="005853A9">
        <w:rPr>
          <w:kern w:val="0"/>
        </w:rPr>
        <w:t xml:space="preserve"> and </w:t>
      </w:r>
      <w:r>
        <w:rPr>
          <w:kern w:val="0"/>
        </w:rPr>
        <w:t xml:space="preserve">abstracts from relevant meetings from 1990 to 2006. We included all studies that </w:t>
      </w:r>
      <w:r>
        <w:rPr>
          <w:kern w:val="0"/>
        </w:rPr>
        <w:lastRenderedPageBreak/>
        <w:t>compared retropubic</w:t>
      </w:r>
      <w:r w:rsidR="005853A9">
        <w:rPr>
          <w:kern w:val="0"/>
        </w:rPr>
        <w:t xml:space="preserve"> and </w:t>
      </w:r>
      <w:r>
        <w:rPr>
          <w:kern w:val="0"/>
        </w:rPr>
        <w:t>transobturator approaches to midurethral slings</w:t>
      </w:r>
      <w:r w:rsidR="005853A9">
        <w:rPr>
          <w:kern w:val="0"/>
        </w:rPr>
        <w:t xml:space="preserve"> and </w:t>
      </w:r>
      <w:r>
        <w:rPr>
          <w:kern w:val="0"/>
        </w:rPr>
        <w:t>that defined outcomes. We used random-effects models to estimate pooled odds ratios</w:t>
      </w:r>
      <w:r w:rsidR="005853A9">
        <w:rPr>
          <w:kern w:val="0"/>
        </w:rPr>
        <w:t xml:space="preserve"> and </w:t>
      </w:r>
      <w:r>
        <w:rPr>
          <w:kern w:val="0"/>
        </w:rPr>
        <w:t>95% confidence intervals for objective</w:t>
      </w:r>
      <w:r w:rsidR="005853A9">
        <w:rPr>
          <w:kern w:val="0"/>
        </w:rPr>
        <w:t xml:space="preserve"> and </w:t>
      </w:r>
      <w:r>
        <w:rPr>
          <w:kern w:val="0"/>
        </w:rPr>
        <w:t>subjective failure, complications,</w:t>
      </w:r>
      <w:r w:rsidR="005853A9">
        <w:rPr>
          <w:kern w:val="0"/>
        </w:rPr>
        <w:t xml:space="preserve"> and </w:t>
      </w:r>
      <w:r>
        <w:rPr>
          <w:kern w:val="0"/>
        </w:rPr>
        <w:t>de novo irritative voiding symptoms. Six randomized trials</w:t>
      </w:r>
      <w:r w:rsidR="005853A9">
        <w:rPr>
          <w:kern w:val="0"/>
        </w:rPr>
        <w:t xml:space="preserve"> and </w:t>
      </w:r>
      <w:r>
        <w:rPr>
          <w:kern w:val="0"/>
        </w:rPr>
        <w:t>11 cohort studies compared transobturator</w:t>
      </w:r>
      <w:r w:rsidR="005853A9">
        <w:rPr>
          <w:kern w:val="0"/>
        </w:rPr>
        <w:t xml:space="preserve"> and </w:t>
      </w:r>
      <w:r>
        <w:rPr>
          <w:kern w:val="0"/>
        </w:rPr>
        <w:t>retropubic approaches to midurethral slings</w:t>
      </w:r>
      <w:r w:rsidR="00A37C1D">
        <w:rPr>
          <w:kern w:val="0"/>
        </w:rPr>
        <w:t>. The</w:t>
      </w:r>
      <w:r>
        <w:rPr>
          <w:kern w:val="0"/>
        </w:rPr>
        <w:t>re was insufficient evidence to support if one approach leads to better objective outcomes. We found no difference in subjective failure between</w:t>
      </w:r>
      <w:r w:rsidR="003A1917">
        <w:rPr>
          <w:kern w:val="0"/>
        </w:rPr>
        <w:t xml:space="preserve"> the </w:t>
      </w:r>
      <w:r>
        <w:rPr>
          <w:kern w:val="0"/>
        </w:rPr>
        <w:t>2 approaches after pooling data from randomized trials (pooled odds ratio OR 0.85, confidence interval 95% Cl 0.38- 1.92)</w:t>
      </w:r>
      <w:r w:rsidR="00A37C1D">
        <w:rPr>
          <w:kern w:val="0"/>
        </w:rPr>
        <w:t>. The</w:t>
      </w:r>
      <w:r w:rsidR="003A1917">
        <w:rPr>
          <w:kern w:val="0"/>
        </w:rPr>
        <w:t xml:space="preserve"> </w:t>
      </w:r>
      <w:r>
        <w:rPr>
          <w:kern w:val="0"/>
        </w:rPr>
        <w:t>transobturator approach was associated with a decreased risk</w:t>
      </w:r>
      <w:r w:rsidR="00427468">
        <w:rPr>
          <w:kern w:val="0"/>
        </w:rPr>
        <w:t xml:space="preserve"> of </w:t>
      </w:r>
      <w:r>
        <w:rPr>
          <w:kern w:val="0"/>
        </w:rPr>
        <w:t>complications (pooled OR 0.40, 95% Cl 0.19- 0.83])</w:t>
      </w:r>
      <w:r w:rsidR="00A37C1D">
        <w:rPr>
          <w:kern w:val="0"/>
        </w:rPr>
        <w:t>. The</w:t>
      </w:r>
      <w:r w:rsidR="003A1917">
        <w:rPr>
          <w:kern w:val="0"/>
        </w:rPr>
        <w:t xml:space="preserve"> </w:t>
      </w:r>
      <w:r>
        <w:rPr>
          <w:kern w:val="0"/>
        </w:rPr>
        <w:t>transobturator approach to midurethral slings is associated with a lower risk</w:t>
      </w:r>
      <w:r w:rsidR="00427468">
        <w:rPr>
          <w:kern w:val="0"/>
        </w:rPr>
        <w:t xml:space="preserve"> of </w:t>
      </w:r>
      <w:r>
        <w:rPr>
          <w:kern w:val="0"/>
        </w:rPr>
        <w:t>complications; however, it is still unclear if one approach results in superior objective or subjective outcomes.</w:t>
      </w:r>
    </w:p>
    <w:p w:rsidR="00A12B23" w:rsidRDefault="00A12B23" w:rsidP="00A12B23">
      <w:pPr>
        <w:pStyle w:val="a3"/>
        <w:rPr>
          <w:kern w:val="0"/>
        </w:rPr>
      </w:pPr>
      <w:r>
        <w:rPr>
          <w:kern w:val="0"/>
        </w:rPr>
        <w:t>Keywords: Cochrane, Cohort Studies, Collaboration, Complications, Confidence Intervals, Databases, EMBASE, Follow</w:t>
      </w:r>
      <w:r w:rsidR="0062028A">
        <w:rPr>
          <w:kern w:val="0"/>
        </w:rPr>
        <w:t>-up,</w:t>
      </w:r>
      <w:r>
        <w:rPr>
          <w:kern w:val="0"/>
        </w:rPr>
        <w:t xml:space="preserve"> Free Vaginal Tape, Health, Literature, Meta-Analysis, Midurethral Sling, Multicenter, Outcomes, Quality, Randomized-Trial, Ratio, Retropubic, Review, Risk, Science, Stress Urinary-Incontinence, Suburethral Tape, Surgical-Treatment, Symptoms, Systematic, Systematic Review, Transobturator, TVT, </w:t>
      </w:r>
      <w:r w:rsidR="00D5664A">
        <w:rPr>
          <w:kern w:val="0"/>
        </w:rPr>
        <w:t>Web</w:t>
      </w:r>
      <w:r w:rsidR="00427468">
        <w:rPr>
          <w:kern w:val="0"/>
        </w:rPr>
        <w:t xml:space="preserve"> of </w:t>
      </w:r>
      <w:r w:rsidR="00D5664A">
        <w:rPr>
          <w:kern w:val="0"/>
        </w:rPr>
        <w:t>Science</w:t>
      </w:r>
    </w:p>
    <w:p w:rsidR="00323DEC" w:rsidRDefault="00323DEC" w:rsidP="00323DEC">
      <w:pPr>
        <w:pStyle w:val="a3"/>
        <w:rPr>
          <w:kern w:val="0"/>
        </w:rPr>
      </w:pPr>
      <w:r>
        <w:rPr>
          <w:rFonts w:hint="eastAsia"/>
          <w:kern w:val="0"/>
        </w:rPr>
        <w:t xml:space="preserve">? </w:t>
      </w:r>
      <w:r>
        <w:rPr>
          <w:kern w:val="0"/>
        </w:rPr>
        <w:t>Brandt, J.S., Downing, A.C., Howard, D.L., Kofinas, J.D.</w:t>
      </w:r>
      <w:r w:rsidR="005853A9">
        <w:rPr>
          <w:kern w:val="0"/>
        </w:rPr>
        <w:t xml:space="preserve"> and </w:t>
      </w:r>
      <w:r>
        <w:rPr>
          <w:kern w:val="0"/>
        </w:rPr>
        <w:t>Chasen, S.T. (2010), Citation classics in obstetrics</w:t>
      </w:r>
      <w:r w:rsidR="005853A9">
        <w:rPr>
          <w:kern w:val="0"/>
        </w:rPr>
        <w:t xml:space="preserve"> and </w:t>
      </w:r>
      <w:r>
        <w:rPr>
          <w:kern w:val="0"/>
        </w:rPr>
        <w:t>gynecology:</w:t>
      </w:r>
      <w:r w:rsidR="003A1917">
        <w:rPr>
          <w:kern w:val="0"/>
        </w:rPr>
        <w:t xml:space="preserve"> </w:t>
      </w:r>
      <w:r w:rsidR="00C50C3A">
        <w:rPr>
          <w:kern w:val="0"/>
        </w:rPr>
        <w:t xml:space="preserve">The </w:t>
      </w:r>
      <w:r>
        <w:rPr>
          <w:kern w:val="0"/>
        </w:rPr>
        <w:t>100 most frequently cited journal articles in</w:t>
      </w:r>
      <w:r w:rsidR="003A1917">
        <w:rPr>
          <w:kern w:val="0"/>
        </w:rPr>
        <w:t xml:space="preserve"> the </w:t>
      </w:r>
      <w:r>
        <w:rPr>
          <w:kern w:val="0"/>
        </w:rPr>
        <w:t xml:space="preserve">last 50 years.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203</w:t>
      </w:r>
      <w:r>
        <w:rPr>
          <w:kern w:val="0"/>
        </w:rPr>
        <w:t xml:space="preserve"> (4</w:t>
      </w:r>
      <w:r>
        <w:rPr>
          <w:rFonts w:hint="eastAsia"/>
          <w:kern w:val="0"/>
        </w:rPr>
        <w:t>),</w:t>
      </w:r>
      <w:r w:rsidRPr="00B77A46">
        <w:rPr>
          <w:rFonts w:hint="eastAsia"/>
        </w:rPr>
        <w:t xml:space="preserve"> </w:t>
      </w:r>
      <w:r w:rsidR="00A12B23" w:rsidRPr="00E91055">
        <w:rPr>
          <w:kern w:val="0"/>
        </w:rPr>
        <w:t xml:space="preserve">Article Number: </w:t>
      </w:r>
      <w:r w:rsidRPr="00B77A46">
        <w:t>355.e1</w:t>
      </w:r>
      <w:r>
        <w:rPr>
          <w:rFonts w:hint="eastAsia"/>
        </w:rPr>
        <w:t>-</w:t>
      </w:r>
      <w:r>
        <w:t>355.e</w:t>
      </w:r>
      <w:r>
        <w:rPr>
          <w:rFonts w:hint="eastAsia"/>
        </w:rPr>
        <w:t>7</w:t>
      </w:r>
      <w:r w:rsidRPr="00B77A46">
        <w:rPr>
          <w:rFonts w:hint="eastAsia"/>
        </w:rPr>
        <w:t>.</w:t>
      </w:r>
    </w:p>
    <w:p w:rsidR="00323DEC" w:rsidRPr="001A3D2B" w:rsidRDefault="00323DEC" w:rsidP="00323DEC">
      <w:pPr>
        <w:pStyle w:val="a3"/>
      </w:pPr>
      <w:r w:rsidRPr="001A3D2B">
        <w:t xml:space="preserve">Full Text: </w:t>
      </w:r>
      <w:hyperlink r:id="rId550" w:history="1">
        <w:r w:rsidRPr="00323DEC">
          <w:rPr>
            <w:rStyle w:val="a5"/>
          </w:rPr>
          <w:t>2010\Ame J Obs Gyn203, 355.e1.pdf</w:t>
        </w:r>
      </w:hyperlink>
    </w:p>
    <w:p w:rsidR="00323DEC" w:rsidRDefault="00323DEC" w:rsidP="00323DEC">
      <w:pPr>
        <w:pStyle w:val="a3"/>
        <w:rPr>
          <w:kern w:val="0"/>
        </w:rPr>
      </w:pPr>
      <w:r>
        <w:rPr>
          <w:kern w:val="0"/>
        </w:rPr>
        <w:t>Abstract: OBJECTIVE: Our objective was to characterize</w:t>
      </w:r>
      <w:r w:rsidR="003A1917">
        <w:rPr>
          <w:kern w:val="0"/>
        </w:rPr>
        <w:t xml:space="preserve"> the </w:t>
      </w:r>
      <w:r>
        <w:rPr>
          <w:kern w:val="0"/>
        </w:rPr>
        <w:t>most frequently cited articles published in obstetrics</w:t>
      </w:r>
      <w:r w:rsidR="005853A9">
        <w:rPr>
          <w:kern w:val="0"/>
        </w:rPr>
        <w:t xml:space="preserve"> and </w:t>
      </w:r>
      <w:r>
        <w:rPr>
          <w:kern w:val="0"/>
        </w:rPr>
        <w:t>gynecology journals during</w:t>
      </w:r>
      <w:r w:rsidR="003A1917">
        <w:rPr>
          <w:kern w:val="0"/>
        </w:rPr>
        <w:t xml:space="preserve"> the </w:t>
      </w:r>
      <w:r>
        <w:rPr>
          <w:kern w:val="0"/>
        </w:rPr>
        <w:t>last 50 years. STUDY DESIGN: We utilized</w:t>
      </w:r>
      <w:r w:rsidR="003A1917">
        <w:rPr>
          <w:kern w:val="0"/>
        </w:rPr>
        <w:t xml:space="preserve"> the </w:t>
      </w:r>
      <w:r>
        <w:rPr>
          <w:kern w:val="0"/>
        </w:rPr>
        <w:t>2008 edition</w:t>
      </w:r>
      <w:r w:rsidR="00427468">
        <w:rPr>
          <w:kern w:val="0"/>
        </w:rPr>
        <w:t xml:space="preserve"> of </w:t>
      </w:r>
      <w:r>
        <w:rPr>
          <w:kern w:val="0"/>
        </w:rPr>
        <w:t>Journal Citation Reports</w:t>
      </w:r>
      <w:r w:rsidR="005853A9">
        <w:rPr>
          <w:kern w:val="0"/>
        </w:rPr>
        <w:t xml:space="preserve"> and </w:t>
      </w:r>
      <w:r>
        <w:rPr>
          <w:kern w:val="0"/>
        </w:rPr>
        <w:t>Social Sciences Citation Index database to determine</w:t>
      </w:r>
      <w:r w:rsidR="003A1917">
        <w:rPr>
          <w:kern w:val="0"/>
        </w:rPr>
        <w:t xml:space="preserve"> the </w:t>
      </w:r>
      <w:r>
        <w:rPr>
          <w:kern w:val="0"/>
        </w:rPr>
        <w:t>most frequently cited articles published after 1956. Articles were evaluated for several characteristics,</w:t>
      </w:r>
      <w:r w:rsidR="005853A9">
        <w:rPr>
          <w:kern w:val="0"/>
        </w:rPr>
        <w:t xml:space="preserve"> and </w:t>
      </w:r>
      <w:r>
        <w:rPr>
          <w:kern w:val="0"/>
        </w:rPr>
        <w:t>an unadjusted categorical analysis was performed to compare pre-</w:t>
      </w:r>
      <w:r w:rsidR="005853A9">
        <w:rPr>
          <w:kern w:val="0"/>
        </w:rPr>
        <w:t xml:space="preserve"> and </w:t>
      </w:r>
      <w:r>
        <w:rPr>
          <w:kern w:val="0"/>
        </w:rPr>
        <w:t>post-1980 articles. RESULTS:</w:t>
      </w:r>
      <w:r w:rsidR="003A1917">
        <w:rPr>
          <w:kern w:val="0"/>
        </w:rPr>
        <w:t xml:space="preserve"> the </w:t>
      </w:r>
      <w:r>
        <w:rPr>
          <w:kern w:val="0"/>
        </w:rPr>
        <w:t>100 most frequently cited articles were published in 11 journals between 1957</w:t>
      </w:r>
      <w:r w:rsidR="005853A9">
        <w:rPr>
          <w:kern w:val="0"/>
        </w:rPr>
        <w:t xml:space="preserve"> and </w:t>
      </w:r>
      <w:r>
        <w:rPr>
          <w:kern w:val="0"/>
        </w:rPr>
        <w:t>2004. Most articles were published by US-based authors. Forty-four articles were related to obstetrics</w:t>
      </w:r>
      <w:r w:rsidR="005853A9">
        <w:rPr>
          <w:kern w:val="0"/>
        </w:rPr>
        <w:t xml:space="preserve"> and </w:t>
      </w:r>
      <w:r>
        <w:rPr>
          <w:kern w:val="0"/>
        </w:rPr>
        <w:t>56 were related to gynecology</w:t>
      </w:r>
      <w:r w:rsidR="00A37C1D">
        <w:rPr>
          <w:kern w:val="0"/>
        </w:rPr>
        <w:t>. The</w:t>
      </w:r>
      <w:r w:rsidR="003A1917">
        <w:rPr>
          <w:kern w:val="0"/>
        </w:rPr>
        <w:t xml:space="preserve"> </w:t>
      </w:r>
      <w:r>
        <w:rPr>
          <w:kern w:val="0"/>
        </w:rPr>
        <w:t>most common study design was observational</w:t>
      </w:r>
      <w:r w:rsidR="00A37C1D">
        <w:rPr>
          <w:kern w:val="0"/>
        </w:rPr>
        <w:t>. The</w:t>
      </w:r>
      <w:r>
        <w:rPr>
          <w:kern w:val="0"/>
        </w:rPr>
        <w:t>re were only 7 randomized controlled trials,</w:t>
      </w:r>
      <w:r w:rsidR="005853A9">
        <w:rPr>
          <w:kern w:val="0"/>
        </w:rPr>
        <w:t xml:space="preserve"> and </w:t>
      </w:r>
      <w:r>
        <w:rPr>
          <w:kern w:val="0"/>
        </w:rPr>
        <w:t xml:space="preserve">randomized controlled trials were not more common after 1980 (6.3% vs 8.1%; P = .71). CONCLUSION: Most </w:t>
      </w:r>
      <w:r w:rsidR="00B5188C">
        <w:rPr>
          <w:kern w:val="0"/>
        </w:rPr>
        <w:t>“</w:t>
      </w:r>
      <w:r>
        <w:rPr>
          <w:kern w:val="0"/>
        </w:rPr>
        <w:t>citation classics</w:t>
      </w:r>
      <w:r w:rsidR="00B5188C">
        <w:rPr>
          <w:kern w:val="0"/>
        </w:rPr>
        <w:t>”</w:t>
      </w:r>
      <w:r>
        <w:rPr>
          <w:kern w:val="0"/>
        </w:rPr>
        <w:t xml:space="preserve"> in obstetrics</w:t>
      </w:r>
      <w:r w:rsidR="005853A9">
        <w:rPr>
          <w:kern w:val="0"/>
        </w:rPr>
        <w:t xml:space="preserve"> and </w:t>
      </w:r>
      <w:r>
        <w:rPr>
          <w:kern w:val="0"/>
        </w:rPr>
        <w:t>gynecology are observational studies published in high-impact journals by US-based authors after 1980.</w:t>
      </w:r>
    </w:p>
    <w:p w:rsidR="00323DEC" w:rsidRDefault="00323DEC" w:rsidP="00323DEC">
      <w:pPr>
        <w:pStyle w:val="a3"/>
        <w:rPr>
          <w:kern w:val="0"/>
        </w:rPr>
      </w:pPr>
      <w:r>
        <w:rPr>
          <w:kern w:val="0"/>
        </w:rPr>
        <w:t>Keywords: Bibliometrics, Citation, Citation Analysis, Citation Classics, Design, Gynecology, Journals, Landmark Articles, Obstetrics</w:t>
      </w:r>
    </w:p>
    <w:p w:rsidR="00A12B23" w:rsidRDefault="00A12B23" w:rsidP="00A12B23">
      <w:pPr>
        <w:pStyle w:val="a3"/>
        <w:rPr>
          <w:kern w:val="0"/>
        </w:rPr>
      </w:pPr>
      <w:r>
        <w:rPr>
          <w:rFonts w:hint="eastAsia"/>
          <w:kern w:val="0"/>
        </w:rPr>
        <w:lastRenderedPageBreak/>
        <w:t xml:space="preserve">? </w:t>
      </w:r>
      <w:r>
        <w:rPr>
          <w:kern w:val="0"/>
        </w:rPr>
        <w:t>Gallos, I.D., Shehmar, M., Thangaratinam, S., Papapostolou, T.K., Coomarasamy, A.</w:t>
      </w:r>
      <w:r w:rsidR="005853A9">
        <w:rPr>
          <w:kern w:val="0"/>
        </w:rPr>
        <w:t xml:space="preserve"> and </w:t>
      </w:r>
      <w:r>
        <w:rPr>
          <w:kern w:val="0"/>
        </w:rPr>
        <w:t>Gupta, J.K. (2010), Oral progestogens vs levonorgestrel-releasing intrauterine system for endometrial hyperplasia: A systematic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203</w:t>
      </w:r>
      <w:r>
        <w:rPr>
          <w:kern w:val="0"/>
        </w:rPr>
        <w:t xml:space="preserve"> (6</w:t>
      </w:r>
      <w:r>
        <w:rPr>
          <w:rFonts w:hint="eastAsia"/>
          <w:kern w:val="0"/>
        </w:rPr>
        <w:t xml:space="preserve">), </w:t>
      </w:r>
      <w:r w:rsidRPr="00E91055">
        <w:rPr>
          <w:kern w:val="0"/>
        </w:rPr>
        <w:t>Article Number: e1-10</w:t>
      </w:r>
      <w:r>
        <w:rPr>
          <w:kern w:val="0"/>
        </w:rPr>
        <w:t>.</w:t>
      </w:r>
    </w:p>
    <w:p w:rsidR="00A12B23" w:rsidRPr="001A3D2B" w:rsidRDefault="00A12B23" w:rsidP="00A12B23">
      <w:pPr>
        <w:pStyle w:val="a3"/>
      </w:pPr>
      <w:r w:rsidRPr="001A3D2B">
        <w:t xml:space="preserve">Full Text: </w:t>
      </w:r>
      <w:r w:rsidRPr="00E91055">
        <w:t>2010\Ame J Obs Gyn203, e1.pdf</w:t>
      </w:r>
    </w:p>
    <w:p w:rsidR="00A12B23" w:rsidRDefault="00A12B23" w:rsidP="00A12B23">
      <w:pPr>
        <w:pStyle w:val="a3"/>
        <w:rPr>
          <w:kern w:val="0"/>
        </w:rPr>
      </w:pPr>
      <w:r>
        <w:rPr>
          <w:kern w:val="0"/>
        </w:rPr>
        <w:t>Abstract: OBJECTIVE: To conduct a systematic review</w:t>
      </w:r>
      <w:r w:rsidR="005853A9">
        <w:rPr>
          <w:kern w:val="0"/>
        </w:rPr>
        <w:t xml:space="preserve"> and </w:t>
      </w:r>
      <w:r>
        <w:rPr>
          <w:kern w:val="0"/>
        </w:rPr>
        <w:t>metaanalysis</w:t>
      </w:r>
      <w:r w:rsidR="00427468">
        <w:rPr>
          <w:kern w:val="0"/>
        </w:rPr>
        <w:t xml:space="preserve"> of </w:t>
      </w:r>
      <w:r>
        <w:rPr>
          <w:kern w:val="0"/>
        </w:rPr>
        <w:t>studies evaluating</w:t>
      </w:r>
      <w:r w:rsidR="003A1917">
        <w:rPr>
          <w:kern w:val="0"/>
        </w:rPr>
        <w:t xml:space="preserve"> the </w:t>
      </w:r>
      <w:r>
        <w:rPr>
          <w:kern w:val="0"/>
        </w:rPr>
        <w:t>regression rate</w:t>
      </w:r>
      <w:r w:rsidR="00427468">
        <w:rPr>
          <w:kern w:val="0"/>
        </w:rPr>
        <w:t xml:space="preserve"> of </w:t>
      </w:r>
      <w:r>
        <w:rPr>
          <w:kern w:val="0"/>
        </w:rPr>
        <w:t>endometrial hyperplasia with oral progestogens</w:t>
      </w:r>
      <w:r w:rsidR="005853A9">
        <w:rPr>
          <w:kern w:val="0"/>
        </w:rPr>
        <w:t xml:space="preserve"> and </w:t>
      </w:r>
      <w:r>
        <w:rPr>
          <w:kern w:val="0"/>
        </w:rPr>
        <w:t xml:space="preserve">levonorgestrel-releasing intrauterine system. STUDY DESIGN: Searches were conducted on </w:t>
      </w:r>
      <w:r w:rsidR="00D5664A">
        <w:rPr>
          <w:kern w:val="0"/>
        </w:rPr>
        <w:t>MEDLINE</w:t>
      </w:r>
      <w:r>
        <w:rPr>
          <w:kern w:val="0"/>
        </w:rPr>
        <w:t>, Embase, Cochrane Library,</w:t>
      </w:r>
      <w:r w:rsidR="005853A9">
        <w:rPr>
          <w:kern w:val="0"/>
        </w:rPr>
        <w:t xml:space="preserve"> and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reference lists</w:t>
      </w:r>
      <w:r w:rsidR="00427468">
        <w:rPr>
          <w:kern w:val="0"/>
        </w:rPr>
        <w:t xml:space="preserve"> of </w:t>
      </w:r>
      <w:r>
        <w:rPr>
          <w:kern w:val="0"/>
        </w:rPr>
        <w:t>relevant articles were examined</w:t>
      </w:r>
      <w:r w:rsidR="00A37C1D">
        <w:rPr>
          <w:kern w:val="0"/>
        </w:rPr>
        <w:t>. The</w:t>
      </w:r>
      <w:r w:rsidR="003A1917">
        <w:rPr>
          <w:kern w:val="0"/>
        </w:rPr>
        <w:t xml:space="preserve"> </w:t>
      </w:r>
      <w:r>
        <w:rPr>
          <w:kern w:val="0"/>
        </w:rPr>
        <w:t>methodologic index for nonrandomized studies was used for quality assessment. Metaanalysis was performed with random effects model. RESULTS: There were 24 observational studies (1001 women),</w:t>
      </w:r>
      <w:r w:rsidR="00427468">
        <w:rPr>
          <w:kern w:val="0"/>
        </w:rPr>
        <w:t xml:space="preserve"> of </w:t>
      </w:r>
      <w:r>
        <w:rPr>
          <w:kern w:val="0"/>
        </w:rPr>
        <w:t>low methodologic quality, evaluating</w:t>
      </w:r>
      <w:r w:rsidR="003A1917">
        <w:rPr>
          <w:kern w:val="0"/>
        </w:rPr>
        <w:t xml:space="preserve"> the </w:t>
      </w:r>
      <w:r>
        <w:rPr>
          <w:kern w:val="0"/>
        </w:rPr>
        <w:t>outcome</w:t>
      </w:r>
      <w:r w:rsidR="00427468">
        <w:rPr>
          <w:kern w:val="0"/>
        </w:rPr>
        <w:t xml:space="preserve"> of </w:t>
      </w:r>
      <w:r>
        <w:rPr>
          <w:kern w:val="0"/>
        </w:rPr>
        <w:t>regression</w:t>
      </w:r>
      <w:r w:rsidR="00427468">
        <w:rPr>
          <w:kern w:val="0"/>
        </w:rPr>
        <w:t xml:space="preserve"> of </w:t>
      </w:r>
      <w:r>
        <w:rPr>
          <w:kern w:val="0"/>
        </w:rPr>
        <w:t>endometrial hyperplasia with oral progestogens or levonorgestrel-releasing intrauterine system. Metaanalysis showed that oral progestogens achieved a lower pooled regression rate compared with levonorgestrel-releasing intrauterine system for complex (pooled rate, 66% vs 92%; P &lt; .01)</w:t>
      </w:r>
      <w:r w:rsidR="005853A9">
        <w:rPr>
          <w:kern w:val="0"/>
        </w:rPr>
        <w:t xml:space="preserve"> and </w:t>
      </w:r>
      <w:r>
        <w:rPr>
          <w:kern w:val="0"/>
        </w:rPr>
        <w:t>atypical hyperplasia (pooled rate, 69% vs 90%; P = .03)</w:t>
      </w:r>
      <w:r w:rsidR="00A37C1D">
        <w:rPr>
          <w:kern w:val="0"/>
        </w:rPr>
        <w:t>. The</w:t>
      </w:r>
      <w:r>
        <w:rPr>
          <w:kern w:val="0"/>
        </w:rPr>
        <w:t>re was no statistical difference in simple hyperplasia (pooled rate, 89% vs 96%; P = .41). CONCLUSION: Oral progestogens appear to induce a lower disease regression rate than Levonorgestrel-releasing intrauterine system in</w:t>
      </w:r>
      <w:r w:rsidR="003A1917">
        <w:rPr>
          <w:kern w:val="0"/>
        </w:rPr>
        <w:t xml:space="preserve"> the </w:t>
      </w:r>
      <w:r>
        <w:rPr>
          <w:kern w:val="0"/>
        </w:rPr>
        <w:t>treatment</w:t>
      </w:r>
      <w:r w:rsidR="00427468">
        <w:rPr>
          <w:kern w:val="0"/>
        </w:rPr>
        <w:t xml:space="preserve"> of </w:t>
      </w:r>
      <w:r>
        <w:rPr>
          <w:kern w:val="0"/>
        </w:rPr>
        <w:t>endometrial hyperplasia.</w:t>
      </w:r>
    </w:p>
    <w:p w:rsidR="00A12B23" w:rsidRDefault="00A12B23" w:rsidP="00A12B23">
      <w:pPr>
        <w:pStyle w:val="a3"/>
        <w:rPr>
          <w:kern w:val="0"/>
        </w:rPr>
      </w:pPr>
      <w:r>
        <w:rPr>
          <w:kern w:val="0"/>
        </w:rPr>
        <w:t>Keywords: Adenocarcinoma, Assessment, Cochrane, Complex Atypical Hyperplasia, Design, Disease, Endometrial Hyperplasia, IUD, LNG-IUS, Long-Term, Management, Model, Observational Studies, Outcome, Progestogens, Review, Science, Statistical, Systematic, Systematic Review, Term-Follow</w:t>
      </w:r>
      <w:r w:rsidR="0062028A">
        <w:rPr>
          <w:kern w:val="0"/>
        </w:rPr>
        <w:t>-up,</w:t>
      </w:r>
      <w:r>
        <w:rPr>
          <w:kern w:val="0"/>
        </w:rPr>
        <w:t xml:space="preserve"> Therapy, Treatment, </w:t>
      </w:r>
      <w:r w:rsidR="00D5664A">
        <w:rPr>
          <w:kern w:val="0"/>
        </w:rPr>
        <w:t>Web</w:t>
      </w:r>
      <w:r w:rsidR="00427468">
        <w:rPr>
          <w:kern w:val="0"/>
        </w:rPr>
        <w:t xml:space="preserve"> of </w:t>
      </w:r>
      <w:r w:rsidR="00D5664A">
        <w:rPr>
          <w:kern w:val="0"/>
        </w:rPr>
        <w:t>Science</w:t>
      </w:r>
      <w:r>
        <w:rPr>
          <w:kern w:val="0"/>
        </w:rPr>
        <w:t>, Well-Differentiated Carcinoma, Women, Young-Women</w:t>
      </w:r>
    </w:p>
    <w:p w:rsidR="005B2904" w:rsidRDefault="005B2904" w:rsidP="005B2904">
      <w:pPr>
        <w:pStyle w:val="a3"/>
        <w:rPr>
          <w:kern w:val="0"/>
        </w:rPr>
      </w:pPr>
      <w:r>
        <w:rPr>
          <w:rFonts w:hint="eastAsia"/>
          <w:kern w:val="0"/>
        </w:rPr>
        <w:t xml:space="preserve">? </w:t>
      </w:r>
      <w:r>
        <w:rPr>
          <w:kern w:val="0"/>
        </w:rPr>
        <w:t>Bissonnette, J.M.</w:t>
      </w:r>
      <w:r w:rsidR="005853A9">
        <w:rPr>
          <w:kern w:val="0"/>
        </w:rPr>
        <w:t xml:space="preserve"> and </w:t>
      </w:r>
      <w:r>
        <w:rPr>
          <w:kern w:val="0"/>
        </w:rPr>
        <w:t>Smith, V.J. (2011), Comment on</w:t>
      </w:r>
      <w:r w:rsidR="003A1917">
        <w:rPr>
          <w:kern w:val="0"/>
        </w:rPr>
        <w:t xml:space="preserve"> the </w:t>
      </w:r>
      <w:r>
        <w:rPr>
          <w:kern w:val="0"/>
        </w:rPr>
        <w:t>100 most frequently cited ob-gyn journal articles in</w:t>
      </w:r>
      <w:r w:rsidR="003A1917">
        <w:rPr>
          <w:kern w:val="0"/>
        </w:rPr>
        <w:t xml:space="preserve"> the </w:t>
      </w:r>
      <w:r>
        <w:rPr>
          <w:kern w:val="0"/>
        </w:rPr>
        <w:t xml:space="preserve">last 50 years.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204</w:t>
      </w:r>
      <w:r>
        <w:rPr>
          <w:kern w:val="0"/>
        </w:rPr>
        <w:t xml:space="preserve"> (6), E12-E13</w:t>
      </w:r>
      <w:r>
        <w:rPr>
          <w:rFonts w:hint="eastAsia"/>
          <w:kern w:val="0"/>
        </w:rPr>
        <w:t>.</w:t>
      </w:r>
    </w:p>
    <w:p w:rsidR="005B2904" w:rsidRPr="001A3D2B" w:rsidRDefault="005B2904" w:rsidP="005B2904">
      <w:pPr>
        <w:pStyle w:val="a3"/>
      </w:pPr>
      <w:r w:rsidRPr="001A3D2B">
        <w:t xml:space="preserve">Full Text: </w:t>
      </w:r>
      <w:hyperlink r:id="rId551" w:history="1">
        <w:r w:rsidRPr="005B2904">
          <w:rPr>
            <w:rStyle w:val="a5"/>
          </w:rPr>
          <w:t>2011\Ame J Obs Gyn204, E12.pdf</w:t>
        </w:r>
      </w:hyperlink>
    </w:p>
    <w:p w:rsidR="005B2904" w:rsidRDefault="005B2904" w:rsidP="005B2904">
      <w:pPr>
        <w:pStyle w:val="a3"/>
        <w:rPr>
          <w:kern w:val="0"/>
        </w:rPr>
      </w:pPr>
      <w:r>
        <w:rPr>
          <w:kern w:val="0"/>
        </w:rPr>
        <w:t>Keywords: Journal</w:t>
      </w:r>
    </w:p>
    <w:p w:rsidR="000C4089" w:rsidRDefault="000C4089" w:rsidP="000C4089">
      <w:pPr>
        <w:pStyle w:val="a3"/>
        <w:rPr>
          <w:kern w:val="0"/>
        </w:rPr>
      </w:pPr>
      <w:r>
        <w:rPr>
          <w:rFonts w:hint="eastAsia"/>
          <w:kern w:val="0"/>
        </w:rPr>
        <w:t xml:space="preserve">? </w:t>
      </w:r>
      <w:r>
        <w:rPr>
          <w:kern w:val="0"/>
        </w:rPr>
        <w:t>Brandt, J.S.</w:t>
      </w:r>
      <w:r w:rsidR="005853A9">
        <w:rPr>
          <w:kern w:val="0"/>
        </w:rPr>
        <w:t xml:space="preserve"> and </w:t>
      </w:r>
      <w:r>
        <w:rPr>
          <w:kern w:val="0"/>
        </w:rPr>
        <w:t>Chasen, S.T. (2011), Comment on</w:t>
      </w:r>
      <w:r w:rsidR="003A1917">
        <w:rPr>
          <w:kern w:val="0"/>
        </w:rPr>
        <w:t xml:space="preserve"> the </w:t>
      </w:r>
      <w:r>
        <w:rPr>
          <w:kern w:val="0"/>
        </w:rPr>
        <w:t>100 most frequently cited ob-gyn journal articles in</w:t>
      </w:r>
      <w:r w:rsidR="003A1917">
        <w:rPr>
          <w:kern w:val="0"/>
        </w:rPr>
        <w:t xml:space="preserve"> the </w:t>
      </w:r>
      <w:r>
        <w:rPr>
          <w:kern w:val="0"/>
        </w:rPr>
        <w:t xml:space="preserve">last 50 years REPLY.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204</w:t>
      </w:r>
      <w:r>
        <w:rPr>
          <w:kern w:val="0"/>
        </w:rPr>
        <w:t xml:space="preserve"> (6), E13</w:t>
      </w:r>
      <w:r>
        <w:rPr>
          <w:rFonts w:hint="eastAsia"/>
          <w:kern w:val="0"/>
        </w:rPr>
        <w:t>.</w:t>
      </w:r>
    </w:p>
    <w:p w:rsidR="000C4089" w:rsidRPr="001A3D2B" w:rsidRDefault="000C4089" w:rsidP="000C4089">
      <w:pPr>
        <w:pStyle w:val="a3"/>
      </w:pPr>
      <w:r w:rsidRPr="001A3D2B">
        <w:t xml:space="preserve">Full Text: </w:t>
      </w:r>
      <w:hyperlink r:id="rId552" w:history="1">
        <w:r w:rsidRPr="000C4089">
          <w:rPr>
            <w:rStyle w:val="a5"/>
          </w:rPr>
          <w:t>2011\Ame J Obs Gyn204, E13.pdf</w:t>
        </w:r>
      </w:hyperlink>
    </w:p>
    <w:p w:rsidR="000C4089" w:rsidRDefault="000C4089" w:rsidP="000C4089">
      <w:pPr>
        <w:pStyle w:val="a3"/>
        <w:rPr>
          <w:kern w:val="0"/>
        </w:rPr>
      </w:pPr>
      <w:r>
        <w:rPr>
          <w:kern w:val="0"/>
        </w:rPr>
        <w:t>Keywords: Journal</w:t>
      </w:r>
    </w:p>
    <w:p w:rsidR="00D777D6" w:rsidRDefault="00D777D6" w:rsidP="00D777D6">
      <w:pPr>
        <w:pStyle w:val="a3"/>
        <w:rPr>
          <w:kern w:val="0"/>
        </w:rPr>
      </w:pPr>
      <w:r>
        <w:rPr>
          <w:rFonts w:hint="eastAsia"/>
          <w:kern w:val="0"/>
        </w:rPr>
        <w:t xml:space="preserve">? </w:t>
      </w:r>
      <w:r>
        <w:rPr>
          <w:kern w:val="0"/>
        </w:rPr>
        <w:t>Kenyon, C., Colebunders, R.</w:t>
      </w:r>
      <w:r w:rsidR="005853A9">
        <w:rPr>
          <w:kern w:val="0"/>
        </w:rPr>
        <w:t xml:space="preserve"> and </w:t>
      </w:r>
      <w:r>
        <w:rPr>
          <w:kern w:val="0"/>
        </w:rPr>
        <w:t>Crucitti, T. (2013), The global epidemiology</w:t>
      </w:r>
      <w:r w:rsidR="00427468">
        <w:rPr>
          <w:kern w:val="0"/>
        </w:rPr>
        <w:t xml:space="preserve"> of </w:t>
      </w:r>
      <w:r>
        <w:rPr>
          <w:kern w:val="0"/>
        </w:rPr>
        <w:lastRenderedPageBreak/>
        <w:t xml:space="preserve">bacterial vaginosis: A systematic review.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209</w:t>
      </w:r>
      <w:r>
        <w:rPr>
          <w:kern w:val="0"/>
        </w:rPr>
        <w:t xml:space="preserve"> (6), 505-523.</w:t>
      </w:r>
    </w:p>
    <w:p w:rsidR="00D777D6" w:rsidRPr="001A3D2B" w:rsidRDefault="00D777D6" w:rsidP="00D777D6">
      <w:pPr>
        <w:pStyle w:val="a3"/>
      </w:pPr>
      <w:r w:rsidRPr="001A3D2B">
        <w:t xml:space="preserve">Full Text: </w:t>
      </w:r>
      <w:hyperlink r:id="rId553" w:history="1">
        <w:r w:rsidRPr="00D777D6">
          <w:rPr>
            <w:rStyle w:val="a5"/>
          </w:rPr>
          <w:t>2013\Ame J Obs Gyn209, 505.pdf</w:t>
        </w:r>
      </w:hyperlink>
    </w:p>
    <w:p w:rsidR="00D777D6" w:rsidRDefault="00D777D6" w:rsidP="00D777D6">
      <w:pPr>
        <w:pStyle w:val="a3"/>
        <w:rPr>
          <w:kern w:val="0"/>
        </w:rPr>
      </w:pPr>
      <w:r>
        <w:rPr>
          <w:kern w:val="0"/>
        </w:rPr>
        <w:t>Abstract: Bacterial vaginosis (BV) enhances the acquisition</w:t>
      </w:r>
      <w:r w:rsidR="005853A9">
        <w:rPr>
          <w:kern w:val="0"/>
        </w:rPr>
        <w:t xml:space="preserve"> and </w:t>
      </w:r>
      <w:r>
        <w:rPr>
          <w:kern w:val="0"/>
        </w:rPr>
        <w:t>transmission</w:t>
      </w:r>
      <w:r w:rsidR="00427468">
        <w:rPr>
          <w:kern w:val="0"/>
        </w:rPr>
        <w:t xml:space="preserve"> of </w:t>
      </w:r>
      <w:r>
        <w:rPr>
          <w:kern w:val="0"/>
        </w:rPr>
        <w:t>a range</w:t>
      </w:r>
      <w:r w:rsidR="00427468">
        <w:rPr>
          <w:kern w:val="0"/>
        </w:rPr>
        <w:t xml:space="preserve"> of </w:t>
      </w:r>
      <w:r>
        <w:rPr>
          <w:kern w:val="0"/>
        </w:rPr>
        <w:t>sexually transmitted infections including human immunodeficiency virus. This has made it more important to uncover the reasons why some populations have very high BV prevalences</w:t>
      </w:r>
      <w:r w:rsidR="005853A9">
        <w:rPr>
          <w:kern w:val="0"/>
        </w:rPr>
        <w:t xml:space="preserve"> and </w:t>
      </w:r>
      <w:r>
        <w:rPr>
          <w:kern w:val="0"/>
        </w:rPr>
        <w:t>others not. This systematic review describes the global epidemiology</w:t>
      </w:r>
      <w:r w:rsidR="00427468">
        <w:rPr>
          <w:kern w:val="0"/>
        </w:rPr>
        <w:t xml:space="preserve"> of </w:t>
      </w:r>
      <w:r>
        <w:rPr>
          <w:kern w:val="0"/>
        </w:rPr>
        <w:t>BV. It summarizes data from peer-reviewed publications detailing the population prevalence</w:t>
      </w:r>
      <w:r w:rsidR="00427468">
        <w:rPr>
          <w:kern w:val="0"/>
        </w:rPr>
        <w:t xml:space="preserve"> of </w:t>
      </w:r>
      <w:r>
        <w:rPr>
          <w:kern w:val="0"/>
        </w:rPr>
        <w:t>BV as diagnosed by a standardized</w:t>
      </w:r>
      <w:r w:rsidR="005853A9">
        <w:rPr>
          <w:kern w:val="0"/>
        </w:rPr>
        <w:t xml:space="preserve"> and </w:t>
      </w:r>
      <w:r>
        <w:rPr>
          <w:kern w:val="0"/>
        </w:rPr>
        <w:t>reproducible methodology-Nugent scoring system. BV variations between countries,</w:t>
      </w:r>
      <w:r w:rsidR="005853A9">
        <w:rPr>
          <w:kern w:val="0"/>
        </w:rPr>
        <w:t xml:space="preserve"> and </w:t>
      </w:r>
      <w:r>
        <w:rPr>
          <w:kern w:val="0"/>
        </w:rPr>
        <w:t>between ethnic groups within countries, are described. We evaluated 1692 English-</w:t>
      </w:r>
      <w:r w:rsidR="005853A9">
        <w:rPr>
          <w:kern w:val="0"/>
        </w:rPr>
        <w:t xml:space="preserve"> and </w:t>
      </w:r>
      <w:r>
        <w:rPr>
          <w:kern w:val="0"/>
        </w:rPr>
        <w:t>non-English-language articles describing the prevalence</w:t>
      </w:r>
      <w:r w:rsidR="00427468">
        <w:rPr>
          <w:kern w:val="0"/>
        </w:rPr>
        <w:t xml:space="preserve"> of </w:t>
      </w:r>
      <w:r>
        <w:rPr>
          <w:kern w:val="0"/>
        </w:rPr>
        <w:t xml:space="preserve">BV using </w:t>
      </w:r>
      <w:r w:rsidR="00D5664A">
        <w:rPr>
          <w:kern w:val="0"/>
        </w:rPr>
        <w:t>MEDLINE</w:t>
      </w:r>
      <w:r w:rsidR="005853A9">
        <w:rPr>
          <w:kern w:val="0"/>
        </w:rPr>
        <w:t xml:space="preserve"> and </w:t>
      </w:r>
      <w:r>
        <w:rPr>
          <w:kern w:val="0"/>
        </w:rPr>
        <w:t xml:space="preserve">the </w:t>
      </w:r>
      <w:r w:rsidR="00D5664A">
        <w:rPr>
          <w:kern w:val="0"/>
        </w:rPr>
        <w:t>Web</w:t>
      </w:r>
      <w:r w:rsidR="00427468">
        <w:rPr>
          <w:kern w:val="0"/>
        </w:rPr>
        <w:t xml:space="preserve"> of </w:t>
      </w:r>
      <w:r w:rsidR="00D5664A">
        <w:rPr>
          <w:kern w:val="0"/>
        </w:rPr>
        <w:t>Science</w:t>
      </w:r>
      <w:r>
        <w:rPr>
          <w:kern w:val="0"/>
        </w:rPr>
        <w:t xml:space="preserve"> databases. A total</w:t>
      </w:r>
      <w:r w:rsidR="00427468">
        <w:rPr>
          <w:kern w:val="0"/>
        </w:rPr>
        <w:t xml:space="preserve"> of </w:t>
      </w:r>
      <w:r>
        <w:rPr>
          <w:kern w:val="0"/>
        </w:rPr>
        <w:t>86 articles met our inclusion criteria. BV prevalences were found to vary considerably between ethnic groups in North America, South America, Europe, the Middle East,</w:t>
      </w:r>
      <w:r w:rsidR="005853A9">
        <w:rPr>
          <w:kern w:val="0"/>
        </w:rPr>
        <w:t xml:space="preserve"> and </w:t>
      </w:r>
      <w:r>
        <w:rPr>
          <w:kern w:val="0"/>
        </w:rPr>
        <w:t>Asia. Although BV prevalence is, in general, highest in parts</w:t>
      </w:r>
      <w:r w:rsidR="00427468">
        <w:rPr>
          <w:kern w:val="0"/>
        </w:rPr>
        <w:t xml:space="preserve"> of </w:t>
      </w:r>
      <w:r>
        <w:rPr>
          <w:kern w:val="0"/>
        </w:rPr>
        <w:t>Africa</w:t>
      </w:r>
      <w:r w:rsidR="005853A9">
        <w:rPr>
          <w:kern w:val="0"/>
        </w:rPr>
        <w:t xml:space="preserve"> and </w:t>
      </w:r>
      <w:r>
        <w:rPr>
          <w:kern w:val="0"/>
        </w:rPr>
        <w:t>lowest in much</w:t>
      </w:r>
      <w:r w:rsidR="00427468">
        <w:rPr>
          <w:kern w:val="0"/>
        </w:rPr>
        <w:t xml:space="preserve"> of </w:t>
      </w:r>
      <w:r>
        <w:rPr>
          <w:kern w:val="0"/>
        </w:rPr>
        <w:t>Asia</w:t>
      </w:r>
      <w:r w:rsidR="005853A9">
        <w:rPr>
          <w:kern w:val="0"/>
        </w:rPr>
        <w:t xml:space="preserve"> and </w:t>
      </w:r>
      <w:r>
        <w:rPr>
          <w:kern w:val="0"/>
        </w:rPr>
        <w:t>Europe, some populations in Africa have very low BV prevalences</w:t>
      </w:r>
      <w:r w:rsidR="005853A9">
        <w:rPr>
          <w:kern w:val="0"/>
        </w:rPr>
        <w:t xml:space="preserve"> and </w:t>
      </w:r>
      <w:r>
        <w:rPr>
          <w:kern w:val="0"/>
        </w:rPr>
        <w:t>some in Asia</w:t>
      </w:r>
      <w:r w:rsidR="005853A9">
        <w:rPr>
          <w:kern w:val="0"/>
        </w:rPr>
        <w:t xml:space="preserve"> and </w:t>
      </w:r>
      <w:r>
        <w:rPr>
          <w:kern w:val="0"/>
        </w:rPr>
        <w:t>Europe have high rates.</w:t>
      </w:r>
    </w:p>
    <w:p w:rsidR="00D777D6" w:rsidRDefault="00D777D6" w:rsidP="00D777D6">
      <w:pPr>
        <w:pStyle w:val="a3"/>
        <w:rPr>
          <w:kern w:val="0"/>
        </w:rPr>
      </w:pPr>
      <w:r>
        <w:rPr>
          <w:kern w:val="0"/>
        </w:rPr>
        <w:t xml:space="preserve">Keywords: Africa, Asia, Bacterial Vaginosis, Chlamydia-Trachomatis Infection, Concurrency, Criteria, Data, Databases, Disease Acquisition, Epidemiology, Ethnic Groups, Ethnicity, Europe, General, Global, Gram Stain, Groups, Hormonal Contraception, Human, Human Immunodeficiency Virus, Infections, </w:t>
      </w:r>
      <w:r w:rsidR="00D5664A">
        <w:rPr>
          <w:kern w:val="0"/>
        </w:rPr>
        <w:t>MEDLINE</w:t>
      </w:r>
      <w:r>
        <w:rPr>
          <w:kern w:val="0"/>
        </w:rPr>
        <w:t xml:space="preserve">, North, North America, Peer-Reviewed, Peer-Reviewed Publications, Population, Populations, Prevalence, Publications, Rates, Reproductive-Tract Infections, Review, Risk Pregnant-Women, Rural Northeast Brazil, Science, Scoring System, Sexual Networks, Sexually Transmitted Infections, Sexually-Transmitted Infections, South America, Systematic Review, Transmission, Vaginal Infections, </w:t>
      </w:r>
      <w:r w:rsidR="00D5664A">
        <w:rPr>
          <w:kern w:val="0"/>
        </w:rPr>
        <w:t>Web</w:t>
      </w:r>
      <w:r w:rsidR="00427468">
        <w:rPr>
          <w:kern w:val="0"/>
        </w:rPr>
        <w:t xml:space="preserve"> of </w:t>
      </w:r>
      <w:r w:rsidR="00D5664A">
        <w:rPr>
          <w:kern w:val="0"/>
        </w:rPr>
        <w:t>Science</w:t>
      </w:r>
      <w:r>
        <w:rPr>
          <w:kern w:val="0"/>
        </w:rPr>
        <w:t xml:space="preserve">, </w:t>
      </w:r>
      <w:r w:rsidR="00D5664A">
        <w:rPr>
          <w:kern w:val="0"/>
        </w:rPr>
        <w:t>Web</w:t>
      </w:r>
      <w:r w:rsidR="00427468">
        <w:rPr>
          <w:kern w:val="0"/>
        </w:rPr>
        <w:t xml:space="preserve"> of </w:t>
      </w:r>
      <w:r w:rsidR="00D5664A">
        <w:rPr>
          <w:kern w:val="0"/>
        </w:rPr>
        <w:t>Science</w:t>
      </w:r>
      <w:r>
        <w:rPr>
          <w:kern w:val="0"/>
        </w:rPr>
        <w:t xml:space="preserve"> Databases, Young-Women</w:t>
      </w:r>
    </w:p>
    <w:p w:rsidR="00901971" w:rsidRDefault="00901971" w:rsidP="00901971">
      <w:pPr>
        <w:pStyle w:val="a3"/>
        <w:rPr>
          <w:kern w:val="0"/>
        </w:rPr>
      </w:pPr>
      <w:r>
        <w:rPr>
          <w:rFonts w:hint="eastAsia"/>
          <w:kern w:val="0"/>
        </w:rPr>
        <w:t xml:space="preserve">? </w:t>
      </w:r>
      <w:r>
        <w:rPr>
          <w:kern w:val="0"/>
        </w:rPr>
        <w:t>Abadir, A.M., Lang, A., Klein, T.</w:t>
      </w:r>
      <w:r w:rsidR="005853A9">
        <w:rPr>
          <w:kern w:val="0"/>
        </w:rPr>
        <w:t xml:space="preserve"> and </w:t>
      </w:r>
      <w:r>
        <w:rPr>
          <w:kern w:val="0"/>
        </w:rPr>
        <w:t>Abenhaim, H.A. (2014), Influence</w:t>
      </w:r>
      <w:r w:rsidR="00427468">
        <w:rPr>
          <w:kern w:val="0"/>
        </w:rPr>
        <w:t xml:space="preserve"> of </w:t>
      </w:r>
      <w:r>
        <w:rPr>
          <w:kern w:val="0"/>
        </w:rPr>
        <w:t>qualitative research on women</w:t>
      </w:r>
      <w:r w:rsidR="00700038">
        <w:rPr>
          <w:kern w:val="0"/>
        </w:rPr>
        <w:t>’</w:t>
      </w:r>
      <w:r>
        <w:rPr>
          <w:kern w:val="0"/>
        </w:rPr>
        <w:t xml:space="preserve">s health screening guidelines.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210</w:t>
      </w:r>
      <w:r>
        <w:rPr>
          <w:kern w:val="0"/>
        </w:rPr>
        <w:t xml:space="preserve"> (1</w:t>
      </w:r>
      <w:r>
        <w:rPr>
          <w:rFonts w:hint="eastAsia"/>
          <w:kern w:val="0"/>
        </w:rPr>
        <w:t xml:space="preserve">), </w:t>
      </w:r>
      <w:r w:rsidRPr="00C43060">
        <w:rPr>
          <w:kern w:val="0"/>
        </w:rPr>
        <w:t>Article Number: 44.e1</w:t>
      </w:r>
      <w:r>
        <w:rPr>
          <w:kern w:val="0"/>
        </w:rPr>
        <w:t>.</w:t>
      </w:r>
    </w:p>
    <w:p w:rsidR="00901971" w:rsidRPr="001A3D2B" w:rsidRDefault="00901971" w:rsidP="00901971">
      <w:pPr>
        <w:pStyle w:val="a3"/>
      </w:pPr>
      <w:r w:rsidRPr="001A3D2B">
        <w:t xml:space="preserve">Full Text: </w:t>
      </w:r>
      <w:hyperlink r:id="rId554" w:history="1">
        <w:r w:rsidRPr="004A6E6F">
          <w:rPr>
            <w:rStyle w:val="a5"/>
          </w:rPr>
          <w:t>2014\Ame J Obs Gyn210, 44.e1.pdf</w:t>
        </w:r>
      </w:hyperlink>
    </w:p>
    <w:p w:rsidR="00901971" w:rsidRDefault="00901971" w:rsidP="00901971">
      <w:pPr>
        <w:pStyle w:val="a3"/>
        <w:rPr>
          <w:kern w:val="0"/>
        </w:rPr>
      </w:pPr>
      <w:r>
        <w:rPr>
          <w:kern w:val="0"/>
        </w:rPr>
        <w:t>Abstract: OBJECTIVE: Considerable time</w:t>
      </w:r>
      <w:r w:rsidR="005853A9">
        <w:rPr>
          <w:kern w:val="0"/>
        </w:rPr>
        <w:t xml:space="preserve"> and </w:t>
      </w:r>
      <w:r>
        <w:rPr>
          <w:kern w:val="0"/>
        </w:rPr>
        <w:t>resources are allocated to carry out qualitative research</w:t>
      </w:r>
      <w:r w:rsidR="00A37C1D">
        <w:rPr>
          <w:kern w:val="0"/>
        </w:rPr>
        <w:t>. The</w:t>
      </w:r>
      <w:r>
        <w:rPr>
          <w:kern w:val="0"/>
        </w:rPr>
        <w:t xml:space="preserve"> purpose</w:t>
      </w:r>
      <w:r w:rsidR="00427468">
        <w:rPr>
          <w:kern w:val="0"/>
        </w:rPr>
        <w:t xml:space="preserve"> of </w:t>
      </w:r>
      <w:r>
        <w:rPr>
          <w:kern w:val="0"/>
        </w:rPr>
        <w:t>our study was to evaluate the availability</w:t>
      </w:r>
      <w:r w:rsidR="00427468">
        <w:rPr>
          <w:kern w:val="0"/>
        </w:rPr>
        <w:t xml:space="preserve"> of </w:t>
      </w:r>
      <w:r>
        <w:rPr>
          <w:kern w:val="0"/>
        </w:rPr>
        <w:t>qualitative research on women</w:t>
      </w:r>
      <w:r w:rsidR="00700038">
        <w:rPr>
          <w:kern w:val="0"/>
        </w:rPr>
        <w:t>’</w:t>
      </w:r>
      <w:r>
        <w:rPr>
          <w:kern w:val="0"/>
        </w:rPr>
        <w:t>s health screening</w:t>
      </w:r>
      <w:r w:rsidR="005853A9">
        <w:rPr>
          <w:kern w:val="0"/>
        </w:rPr>
        <w:t xml:space="preserve"> and </w:t>
      </w:r>
      <w:r>
        <w:rPr>
          <w:kern w:val="0"/>
        </w:rPr>
        <w:t>assess its influence on screening practice guidelines in the United States, Canada,</w:t>
      </w:r>
      <w:r w:rsidR="005853A9">
        <w:rPr>
          <w:kern w:val="0"/>
        </w:rPr>
        <w:t xml:space="preserve"> and </w:t>
      </w:r>
      <w:r>
        <w:rPr>
          <w:kern w:val="0"/>
        </w:rPr>
        <w:t>the United Kingdom. STUDY DESIGN: Medline, CINHAL,</w:t>
      </w:r>
      <w:r w:rsidR="005853A9">
        <w:rPr>
          <w:kern w:val="0"/>
        </w:rPr>
        <w:t xml:space="preserve"> and </w:t>
      </w:r>
      <w:r>
        <w:rPr>
          <w:kern w:val="0"/>
        </w:rPr>
        <w:t>WEB</w:t>
      </w:r>
      <w:r w:rsidR="00427468">
        <w:rPr>
          <w:kern w:val="0"/>
        </w:rPr>
        <w:t xml:space="preserve"> of </w:t>
      </w:r>
      <w:r>
        <w:rPr>
          <w:kern w:val="0"/>
        </w:rPr>
        <w:t>Science databases were used to identify the availability</w:t>
      </w:r>
      <w:r w:rsidR="00427468">
        <w:rPr>
          <w:kern w:val="0"/>
        </w:rPr>
        <w:t xml:space="preserve"> of </w:t>
      </w:r>
      <w:r>
        <w:rPr>
          <w:kern w:val="0"/>
        </w:rPr>
        <w:t>qualitative research conducted in the past 15 years on 3 different women</w:t>
      </w:r>
      <w:r w:rsidR="00700038">
        <w:rPr>
          <w:kern w:val="0"/>
        </w:rPr>
        <w:t>’</w:t>
      </w:r>
      <w:r>
        <w:rPr>
          <w:kern w:val="0"/>
        </w:rPr>
        <w:t xml:space="preserve">s health screening topics: cervical cancer screening, breast cancer </w:t>
      </w:r>
      <w:r>
        <w:rPr>
          <w:kern w:val="0"/>
        </w:rPr>
        <w:lastRenderedPageBreak/>
        <w:t>screening,</w:t>
      </w:r>
      <w:r w:rsidR="005853A9">
        <w:rPr>
          <w:kern w:val="0"/>
        </w:rPr>
        <w:t xml:space="preserve"> and </w:t>
      </w:r>
      <w:r>
        <w:rPr>
          <w:kern w:val="0"/>
        </w:rPr>
        <w:t>prenatal first-trimester screening. Key national practice guidelines on women</w:t>
      </w:r>
      <w:r w:rsidR="00700038">
        <w:rPr>
          <w:kern w:val="0"/>
        </w:rPr>
        <w:t>’</w:t>
      </w:r>
      <w:r>
        <w:rPr>
          <w:kern w:val="0"/>
        </w:rPr>
        <w:t>s health screening were selected using the National Guideline Clearinghouse web site. Bibliometric analysis was used to determine the frequency</w:t>
      </w:r>
      <w:r w:rsidR="00427468">
        <w:rPr>
          <w:kern w:val="0"/>
        </w:rPr>
        <w:t xml:space="preserve"> of </w:t>
      </w:r>
      <w:r>
        <w:rPr>
          <w:kern w:val="0"/>
        </w:rPr>
        <w:t>qualitative references cited in the guidelines. RESULTS: A total</w:t>
      </w:r>
      <w:r w:rsidR="00427468">
        <w:rPr>
          <w:kern w:val="0"/>
        </w:rPr>
        <w:t xml:space="preserve"> of </w:t>
      </w:r>
      <w:r>
        <w:rPr>
          <w:kern w:val="0"/>
        </w:rPr>
        <w:t>272 qualitative research papers on women</w:t>
      </w:r>
      <w:r w:rsidR="00700038">
        <w:rPr>
          <w:kern w:val="0"/>
        </w:rPr>
        <w:t>’</w:t>
      </w:r>
      <w:r>
        <w:rPr>
          <w:kern w:val="0"/>
        </w:rPr>
        <w:t>s health screening was identified: 109 on cervical cancer screening, 104 on breast cancer screening,</w:t>
      </w:r>
      <w:r w:rsidR="005853A9">
        <w:rPr>
          <w:kern w:val="0"/>
        </w:rPr>
        <w:t xml:space="preserve"> and </w:t>
      </w:r>
      <w:r>
        <w:rPr>
          <w:kern w:val="0"/>
        </w:rPr>
        <w:t>59 on prenatal first-trimester screening</w:t>
      </w:r>
      <w:r w:rsidR="00A37C1D">
        <w:rPr>
          <w:kern w:val="0"/>
        </w:rPr>
        <w:t>. The</w:t>
      </w:r>
      <w:r>
        <w:rPr>
          <w:kern w:val="0"/>
        </w:rPr>
        <w:t xml:space="preserve"> qualitative studies focused on health care provider perspectives as well as ethical, ethnographic, psychological,</w:t>
      </w:r>
      <w:r w:rsidR="005853A9">
        <w:rPr>
          <w:kern w:val="0"/>
        </w:rPr>
        <w:t xml:space="preserve"> and </w:t>
      </w:r>
      <w:r>
        <w:rPr>
          <w:kern w:val="0"/>
        </w:rPr>
        <w:t>social issues surrounding screening. Fifteen national clinical practice guidelines on women</w:t>
      </w:r>
      <w:r w:rsidR="00700038">
        <w:rPr>
          <w:kern w:val="0"/>
        </w:rPr>
        <w:t>’</w:t>
      </w:r>
      <w:r>
        <w:rPr>
          <w:kern w:val="0"/>
        </w:rPr>
        <w:t>s health screening were identified. A total</w:t>
      </w:r>
      <w:r w:rsidR="00427468">
        <w:rPr>
          <w:kern w:val="0"/>
        </w:rPr>
        <w:t xml:space="preserve"> of </w:t>
      </w:r>
      <w:r>
        <w:rPr>
          <w:kern w:val="0"/>
        </w:rPr>
        <w:t>943 references was cited, only 2</w:t>
      </w:r>
      <w:r w:rsidR="00427468">
        <w:rPr>
          <w:kern w:val="0"/>
        </w:rPr>
        <w:t xml:space="preserve"> of </w:t>
      </w:r>
      <w:r>
        <w:rPr>
          <w:kern w:val="0"/>
        </w:rPr>
        <w:t>which comprised</w:t>
      </w:r>
      <w:r w:rsidR="00427468">
        <w:rPr>
          <w:kern w:val="0"/>
        </w:rPr>
        <w:t xml:space="preserve"> of </w:t>
      </w:r>
      <w:r>
        <w:rPr>
          <w:kern w:val="0"/>
        </w:rPr>
        <w:t>qualitative research cited by only 1 clinical practice guideline. CONCLUSION: Although there is considerable qualitative research that has been carried out on women</w:t>
      </w:r>
      <w:r w:rsidR="00700038">
        <w:rPr>
          <w:kern w:val="0"/>
        </w:rPr>
        <w:t>’</w:t>
      </w:r>
      <w:r>
        <w:rPr>
          <w:kern w:val="0"/>
        </w:rPr>
        <w:t>s health screening, its incorporation into clinical practice guidelines is minimal. Further exploration</w:t>
      </w:r>
      <w:r w:rsidR="00427468">
        <w:rPr>
          <w:kern w:val="0"/>
        </w:rPr>
        <w:t xml:space="preserve"> of </w:t>
      </w:r>
      <w:r>
        <w:rPr>
          <w:kern w:val="0"/>
        </w:rPr>
        <w:t>the disconnect between the two is important for enhancing knowledge translation</w:t>
      </w:r>
      <w:r w:rsidR="00427468">
        <w:rPr>
          <w:kern w:val="0"/>
        </w:rPr>
        <w:t xml:space="preserve"> of </w:t>
      </w:r>
      <w:r>
        <w:rPr>
          <w:kern w:val="0"/>
        </w:rPr>
        <w:t>qualitative research within clinical practice.</w:t>
      </w:r>
    </w:p>
    <w:p w:rsidR="00901971" w:rsidRDefault="00901971" w:rsidP="00901971">
      <w:pPr>
        <w:pStyle w:val="a3"/>
        <w:rPr>
          <w:kern w:val="0"/>
        </w:rPr>
      </w:pPr>
      <w:r>
        <w:rPr>
          <w:kern w:val="0"/>
        </w:rPr>
        <w:t>Keywords: Analysis, Availability, Bibliometric, Bibliometric Analysis, Breast Cancer, Breast-Cancer, Canada, Cancer, Cancer Screening, Care, Cervical Cancer, Cervical Cancer Screening, Cervical-Cancer, Clinical, Clinical Practice, Clinical Practice Guidelines, Clinical-Practice Guidelines, Databases, Design, Ethical, First Trimester, Force Recommendation Statement, Guideline, Guidelines, Health, Health Care, Influence, Issues, Journals, Knowledge, Knowledge Translation, Medline, Papers, Practice, Practice Guideline, Practice Guidelines, Prenatal, Psychological, Purpose, Qualitative, Qualitative Research, References, Research, Resources, Science, Screening, Services, Site, Social, Society, Translation, United Kingdom, United States, Web, Women</w:t>
      </w:r>
      <w:r w:rsidR="00700038">
        <w:rPr>
          <w:kern w:val="0"/>
        </w:rPr>
        <w:t>’</w:t>
      </w:r>
      <w:r>
        <w:rPr>
          <w:rFonts w:hint="eastAsia"/>
          <w:kern w:val="0"/>
        </w:rPr>
        <w:t>s</w:t>
      </w:r>
      <w:r>
        <w:rPr>
          <w:kern w:val="0"/>
        </w:rPr>
        <w:t xml:space="preserve"> Health</w:t>
      </w:r>
    </w:p>
    <w:p w:rsidR="00901971" w:rsidRDefault="00901971" w:rsidP="00901971">
      <w:pPr>
        <w:pStyle w:val="a3"/>
        <w:rPr>
          <w:kern w:val="0"/>
        </w:rPr>
      </w:pPr>
      <w:r>
        <w:rPr>
          <w:rFonts w:hint="eastAsia"/>
          <w:kern w:val="0"/>
        </w:rPr>
        <w:t xml:space="preserve">? </w:t>
      </w:r>
      <w:r>
        <w:rPr>
          <w:kern w:val="0"/>
        </w:rPr>
        <w:t>Pamidi, S., Pinto, L.M., Marc, I., Benedetti, A., Schwartzman, K.</w:t>
      </w:r>
      <w:r w:rsidR="005853A9">
        <w:rPr>
          <w:kern w:val="0"/>
        </w:rPr>
        <w:t xml:space="preserve"> and </w:t>
      </w:r>
      <w:r>
        <w:rPr>
          <w:kern w:val="0"/>
        </w:rPr>
        <w:t>Kimoff, R.J. (2014), Maternal sleep-disordered breathing</w:t>
      </w:r>
      <w:r w:rsidR="005853A9">
        <w:rPr>
          <w:kern w:val="0"/>
        </w:rPr>
        <w:t xml:space="preserve"> and </w:t>
      </w:r>
      <w:r>
        <w:rPr>
          <w:kern w:val="0"/>
        </w:rPr>
        <w:t>adverse pregnancy outcomes: A systematic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Obstetrics</w:t>
      </w:r>
      <w:r w:rsidR="005853A9">
        <w:rPr>
          <w:i/>
          <w:iCs/>
          <w:kern w:val="0"/>
        </w:rPr>
        <w:t xml:space="preserve"> and </w:t>
      </w:r>
      <w:r>
        <w:rPr>
          <w:i/>
          <w:iCs/>
          <w:kern w:val="0"/>
        </w:rPr>
        <w:t>Gynecology</w:t>
      </w:r>
      <w:r>
        <w:rPr>
          <w:kern w:val="0"/>
        </w:rPr>
        <w:t xml:space="preserve">, </w:t>
      </w:r>
      <w:r>
        <w:rPr>
          <w:b/>
          <w:bCs/>
          <w:kern w:val="0"/>
        </w:rPr>
        <w:t>210</w:t>
      </w:r>
      <w:r>
        <w:rPr>
          <w:kern w:val="0"/>
        </w:rPr>
        <w:t xml:space="preserve"> (1</w:t>
      </w:r>
      <w:r>
        <w:rPr>
          <w:rFonts w:hint="eastAsia"/>
          <w:kern w:val="0"/>
        </w:rPr>
        <w:t xml:space="preserve">), </w:t>
      </w:r>
      <w:r w:rsidRPr="00C43060">
        <w:rPr>
          <w:kern w:val="0"/>
        </w:rPr>
        <w:t>Article Number: 52.e1</w:t>
      </w:r>
      <w:r>
        <w:rPr>
          <w:kern w:val="0"/>
        </w:rPr>
        <w:t>.</w:t>
      </w:r>
    </w:p>
    <w:p w:rsidR="00901971" w:rsidRPr="001A3D2B" w:rsidRDefault="00901971" w:rsidP="00901971">
      <w:pPr>
        <w:pStyle w:val="a3"/>
      </w:pPr>
      <w:r w:rsidRPr="001A3D2B">
        <w:t xml:space="preserve">Full Text: </w:t>
      </w:r>
      <w:hyperlink r:id="rId555" w:history="1">
        <w:r w:rsidRPr="004A6E6F">
          <w:rPr>
            <w:rStyle w:val="a5"/>
          </w:rPr>
          <w:t>2014\Ame J Obs Gyn210, 52.e1.pdf</w:t>
        </w:r>
      </w:hyperlink>
    </w:p>
    <w:p w:rsidR="00901971" w:rsidRDefault="00901971" w:rsidP="00901971">
      <w:pPr>
        <w:pStyle w:val="a3"/>
        <w:rPr>
          <w:kern w:val="0"/>
        </w:rPr>
      </w:pPr>
      <w:r>
        <w:rPr>
          <w:kern w:val="0"/>
        </w:rPr>
        <w:t>Abstract: OBJECTIVE: Symptoms</w:t>
      </w:r>
      <w:r w:rsidR="00427468">
        <w:rPr>
          <w:kern w:val="0"/>
        </w:rPr>
        <w:t xml:space="preserve"> of </w:t>
      </w:r>
      <w:r>
        <w:rPr>
          <w:kern w:val="0"/>
        </w:rPr>
        <w:t>sleep-disordered breathing (SDB) are increased in pregnancy compared to the nongravid state. Maternal SDB may be associated with adverse pregnancy outcomes, but this is still under investigation. We performed a systematic literature review,</w:t>
      </w:r>
      <w:r w:rsidR="005853A9">
        <w:rPr>
          <w:kern w:val="0"/>
        </w:rPr>
        <w:t xml:space="preserve"> and </w:t>
      </w:r>
      <w:r>
        <w:rPr>
          <w:kern w:val="0"/>
        </w:rPr>
        <w:t>where feasible, a metaanalysis, to evaluate whether women with SDB in pregnancy have a higher risk</w:t>
      </w:r>
      <w:r w:rsidR="00427468">
        <w:rPr>
          <w:kern w:val="0"/>
        </w:rPr>
        <w:t xml:space="preserve"> of </w:t>
      </w:r>
      <w:r>
        <w:rPr>
          <w:kern w:val="0"/>
        </w:rPr>
        <w:t>specific adverse pregnancy outcomes compared with women without SDB. STUDY DESIGN: Original studies published until June 2012 evaluating the association between gestational hypertension/ preeclampsia, gestational diabetes, low birthweight infants,</w:t>
      </w:r>
      <w:r w:rsidR="005853A9">
        <w:rPr>
          <w:kern w:val="0"/>
        </w:rPr>
        <w:t xml:space="preserve"> and </w:t>
      </w:r>
      <w:r>
        <w:rPr>
          <w:kern w:val="0"/>
        </w:rPr>
        <w:t xml:space="preserve">maternal SDB, defined either by symptoms or the reference standard </w:t>
      </w:r>
      <w:r>
        <w:rPr>
          <w:kern w:val="0"/>
        </w:rPr>
        <w:lastRenderedPageBreak/>
        <w:t>polysomnography, were identified from PubMed, EMBASE,</w:t>
      </w:r>
      <w:r w:rsidR="005853A9">
        <w:rPr>
          <w:kern w:val="0"/>
        </w:rPr>
        <w:t xml:space="preserve"> and </w:t>
      </w:r>
      <w:r>
        <w:rPr>
          <w:kern w:val="0"/>
        </w:rPr>
        <w:t>Web</w:t>
      </w:r>
      <w:r w:rsidR="00427468">
        <w:rPr>
          <w:kern w:val="0"/>
        </w:rPr>
        <w:t xml:space="preserve"> of </w:t>
      </w:r>
      <w:r>
        <w:rPr>
          <w:kern w:val="0"/>
        </w:rPr>
        <w:t>Science. Data were extracted on study design</w:t>
      </w:r>
      <w:r w:rsidR="005853A9">
        <w:rPr>
          <w:kern w:val="0"/>
        </w:rPr>
        <w:t xml:space="preserve"> and </w:t>
      </w:r>
      <w:r>
        <w:rPr>
          <w:kern w:val="0"/>
        </w:rPr>
        <w:t>outcome estimates. When appropriate, effect estimates from each study were pooled using a random-effects model. RESULTS:</w:t>
      </w:r>
      <w:r w:rsidR="00427468">
        <w:rPr>
          <w:kern w:val="0"/>
        </w:rPr>
        <w:t xml:space="preserve"> of </w:t>
      </w:r>
      <w:r>
        <w:rPr>
          <w:kern w:val="0"/>
        </w:rPr>
        <w:t>the 4386 studies identified, 31 met the defined criteria. Twenty-one studies, all observational in design, reported dichotomous outcomes; 9</w:t>
      </w:r>
      <w:r w:rsidR="00427468">
        <w:rPr>
          <w:kern w:val="0"/>
        </w:rPr>
        <w:t xml:space="preserve"> of </w:t>
      </w:r>
      <w:r>
        <w:rPr>
          <w:kern w:val="0"/>
        </w:rPr>
        <w:t>these adjusted for potential confounders. Maternal SDB was significantly associated with gestational hypertension/preeclampsia (pooled adjusted odds ratio [aOR], 2.34; 95% confidence interval [CI], 1.60-3.09; 5 studies),</w:t>
      </w:r>
      <w:r w:rsidR="005853A9">
        <w:rPr>
          <w:kern w:val="0"/>
        </w:rPr>
        <w:t xml:space="preserve"> and </w:t>
      </w:r>
      <w:r>
        <w:rPr>
          <w:kern w:val="0"/>
        </w:rPr>
        <w:t>gestational diabetes (pooled aOR, 1.86; 95% CI, 1.30-2.42; 5 studies). CONCLUSION: Based on published observational studies to date, maternal SDB is associated with an increased risk</w:t>
      </w:r>
      <w:r w:rsidR="00427468">
        <w:rPr>
          <w:kern w:val="0"/>
        </w:rPr>
        <w:t xml:space="preserve"> of </w:t>
      </w:r>
      <w:r>
        <w:rPr>
          <w:kern w:val="0"/>
        </w:rPr>
        <w:t>gestational hypertension</w:t>
      </w:r>
      <w:r w:rsidR="005853A9">
        <w:rPr>
          <w:kern w:val="0"/>
        </w:rPr>
        <w:t xml:space="preserve"> and </w:t>
      </w:r>
      <w:r>
        <w:rPr>
          <w:kern w:val="0"/>
        </w:rPr>
        <w:t>gestational diabetes after adjusting for potential confounders. However, large-scale, prospective cohort,</w:t>
      </w:r>
      <w:r w:rsidR="005853A9">
        <w:rPr>
          <w:kern w:val="0"/>
        </w:rPr>
        <w:t xml:space="preserve"> and </w:t>
      </w:r>
      <w:r>
        <w:rPr>
          <w:kern w:val="0"/>
        </w:rPr>
        <w:t>interventional studies are needed to further elucidate the relationship between maternal SDB</w:t>
      </w:r>
      <w:r w:rsidR="005853A9">
        <w:rPr>
          <w:kern w:val="0"/>
        </w:rPr>
        <w:t xml:space="preserve"> and </w:t>
      </w:r>
      <w:r>
        <w:rPr>
          <w:kern w:val="0"/>
        </w:rPr>
        <w:t>adverse pregnancy outcomes.</w:t>
      </w:r>
    </w:p>
    <w:p w:rsidR="00901971" w:rsidRDefault="00901971" w:rsidP="00901971">
      <w:pPr>
        <w:pStyle w:val="a3"/>
        <w:rPr>
          <w:kern w:val="0"/>
        </w:rPr>
      </w:pPr>
      <w:r>
        <w:rPr>
          <w:kern w:val="0"/>
        </w:rPr>
        <w:t>Keywords: Adverse Pregnancy Outcomes, Apnea, Association, Birthweight, Cohort, Confidence, Criteria, Design, Diabetes, Embase, Estimates, Fetal-Growth Restriction, Gestational, Gestational Diabetes, Gestational Hypertension, Gestational Hypertension, Hypertension, Induced-Hypertension, Infants, Intermittent Hypoxia, Interval, Investigation, Literature, Literature Review, Low Birthweight, Low Birthweight Infants, Maternal, Metaanalysis, Model, Nasal Cpap, Observational, Observational Studies, Odds Ratio, Outcome, Outcomes, Potential, Preeclampsia, Pregnancy, Pregnancy Outcomes, Prospective, Pubmed, Random Effects Model, Reference, Review, Risk, Science, Sleep Apnea, Standard, State, Study Design, Symptoms, Systematic Review, Upper Airway, Web</w:t>
      </w:r>
      <w:r w:rsidR="00427468">
        <w:rPr>
          <w:kern w:val="0"/>
        </w:rPr>
        <w:t xml:space="preserve"> of </w:t>
      </w:r>
      <w:r>
        <w:rPr>
          <w:kern w:val="0"/>
        </w:rPr>
        <w:t>Science, Women</w:t>
      </w:r>
    </w:p>
    <w:p w:rsidR="00705F3E" w:rsidRDefault="00705F3E" w:rsidP="00705F3E">
      <w:pPr>
        <w:pStyle w:val="a3"/>
        <w:rPr>
          <w:kern w:val="0"/>
        </w:rPr>
      </w:pPr>
      <w:r>
        <w:rPr>
          <w:kern w:val="0"/>
        </w:rPr>
        <w:t xml:space="preserve">? Saad, A.F., Rahman, M., Costantine, M.M. and Saade, G.R. (2014), Blunt versus sharp uterine incision expansion during low transverse cesarean delivery: A metaanalysis. </w:t>
      </w:r>
      <w:r>
        <w:rPr>
          <w:i/>
          <w:iCs/>
          <w:kern w:val="0"/>
        </w:rPr>
        <w:t>American Journal of Obstetrics and Gynecology</w:t>
      </w:r>
      <w:r>
        <w:rPr>
          <w:kern w:val="0"/>
        </w:rPr>
        <w:t xml:space="preserve">, </w:t>
      </w:r>
      <w:r>
        <w:rPr>
          <w:b/>
          <w:bCs/>
          <w:kern w:val="0"/>
        </w:rPr>
        <w:t>211</w:t>
      </w:r>
      <w:r>
        <w:rPr>
          <w:kern w:val="0"/>
        </w:rPr>
        <w:t xml:space="preserve"> (6),</w:t>
      </w:r>
      <w:r>
        <w:rPr>
          <w:rFonts w:hint="eastAsia"/>
          <w:kern w:val="0"/>
        </w:rPr>
        <w:t xml:space="preserve"> </w:t>
      </w:r>
      <w:r w:rsidRPr="00C43060">
        <w:rPr>
          <w:kern w:val="0"/>
        </w:rPr>
        <w:t xml:space="preserve">Article Number: </w:t>
      </w:r>
      <w:r w:rsidRPr="00D00614">
        <w:rPr>
          <w:kern w:val="0"/>
        </w:rPr>
        <w:t>684.e1</w:t>
      </w:r>
      <w:r>
        <w:rPr>
          <w:kern w:val="0"/>
        </w:rPr>
        <w:t>.</w:t>
      </w:r>
    </w:p>
    <w:p w:rsidR="00705F3E" w:rsidRPr="001A3D2B" w:rsidRDefault="00705F3E" w:rsidP="00705F3E">
      <w:pPr>
        <w:pStyle w:val="a3"/>
      </w:pPr>
      <w:r w:rsidRPr="001A3D2B">
        <w:t xml:space="preserve">Full Text: </w:t>
      </w:r>
      <w:hyperlink r:id="rId556" w:history="1">
        <w:r w:rsidRPr="00494297">
          <w:rPr>
            <w:rStyle w:val="a5"/>
          </w:rPr>
          <w:t>2014\Ame J Obs Gyn210, 684.e1.pdf</w:t>
        </w:r>
      </w:hyperlink>
    </w:p>
    <w:p w:rsidR="00705F3E" w:rsidRDefault="00705F3E" w:rsidP="00705F3E">
      <w:pPr>
        <w:pStyle w:val="a3"/>
        <w:rPr>
          <w:kern w:val="0"/>
        </w:rPr>
      </w:pPr>
      <w:r>
        <w:rPr>
          <w:kern w:val="0"/>
        </w:rPr>
        <w:t xml:space="preserve">Abstract: OBJECTIVE: We sought to review and update available evidence regarding outcomes after cesarean delivery (CD) using blunt vs sharp expansion of the uterine incision. STUDY DESIGN: We queried the database of PubMed (US National Library of Medicine, 1946 through December 2013), the Cochrane Library Database of Systematic Reviews, ClinicalTrials.gov, and Web of Science. All relevant bibliographies were reviewed. Randomized controlled trials comparing blunt with sharp expansion of the lower segment during CD were evaluated for inclusion and methodological quality. The primary outcome was occurrence of unintended extensions. Secondary outcomes were drop in hematocrit or hemoglobin and estimated maternal blood loss, need for transfusion, operative time, use of </w:t>
      </w:r>
      <w:r>
        <w:rPr>
          <w:kern w:val="0"/>
        </w:rPr>
        <w:lastRenderedPageBreak/>
        <w:t>uterotonics, rate of endometritis, and neonatal outcomes. Data extraction, analysis, and results were based on the preferred reporting items for systematic review and metaanalysis guidelines. RESULTS: Six randomized controlled trials (2908 patients) were included. Blunt expansion technique was associated with lower drop in postoperative hematocrit (weighted mean difference [WMD],-1.07%; P = .05) and hemoglobin (WMD, -0.64 g/dL; P &lt; .05), lower rate of unintended extensions (pooled relative risk, 0.47; P &lt; .05), and a shorter operative time (WMD, -2 minutes; P &lt; .05). Lower estimated blood loss was also observed but the difference was not significant (WMD, -88.07 mL; P &gt; .05). There were no differences in the rates of blood transfusion, endometritis, use of uterotonics, and neonatal outcomes between both techniques. CONCLUSION: Blunt expansion of uterine incision during CD is associated with less unintended extensions and favorable maternal outcomes. Although the drop in hemoglobin, hematocrit, and operative times were in favor of blunt expansion, the degree of reduction may not be clinically relevant.</w:t>
      </w:r>
    </w:p>
    <w:p w:rsidR="00705F3E" w:rsidRDefault="00705F3E" w:rsidP="00705F3E">
      <w:pPr>
        <w:pStyle w:val="a3"/>
        <w:rPr>
          <w:kern w:val="0"/>
        </w:rPr>
      </w:pPr>
      <w:r>
        <w:rPr>
          <w:kern w:val="0"/>
        </w:rPr>
        <w:t>Keywords: Analysis, Bibliographies, Blood, Blood Loss, Blood Transfusion, Blunt, Cd, Cesarean, Cesarean Delivery, Data, Database, Delivery, Design, Endometritis, Estimated Blood Loss, Evidence, Expansion Techniques, Extraction, Guidelines, Hemoglobin, Injury, Maternal, Maternal Outcomes, Medicine, Metaanalysis, Neonatal, Neonatal Outcomes, Operative, Operative Time, Outcome, Outcomes, P, Patients, Postoperative, Primary, Pubmed, Quality, Randomized, Randomized Controlled Trials, Rates, Reduction, Relative Risk, Reporting, Review, Risk, Science, Section, Sharp, Systematic, Systematic Review, Systematic Reviews, Techniques, Transfusion, Us, Uterine, Uterine Incision, Web, Web of Science</w:t>
      </w:r>
    </w:p>
    <w:p w:rsidR="003E631D" w:rsidRPr="001A3D2B" w:rsidRDefault="003E631D" w:rsidP="003E631D">
      <w:pPr>
        <w:pStyle w:val="1"/>
      </w:pPr>
      <w:r w:rsidRPr="001A3D2B">
        <w:br w:type="page"/>
      </w:r>
      <w:bookmarkStart w:id="307" w:name="_Toc420814415"/>
      <w:r w:rsidRPr="001A3D2B">
        <w:lastRenderedPageBreak/>
        <w:t xml:space="preserve">Title: </w:t>
      </w:r>
      <w:r w:rsidR="00454570" w:rsidRPr="001A3D2B">
        <w:t>American Journal</w:t>
      </w:r>
      <w:r w:rsidR="00427468">
        <w:t xml:space="preserve"> of </w:t>
      </w:r>
      <w:r w:rsidR="00454570" w:rsidRPr="001A3D2B">
        <w:t>Occupational Therapy</w:t>
      </w:r>
      <w:bookmarkEnd w:id="307"/>
    </w:p>
    <w:p w:rsidR="003E631D" w:rsidRPr="001A3D2B" w:rsidRDefault="003E631D" w:rsidP="003E631D">
      <w:pPr>
        <w:pStyle w:val="12"/>
      </w:pPr>
      <w:r w:rsidRPr="001A3D2B">
        <w:t xml:space="preserve">Full Journal Title: </w:t>
      </w:r>
      <w:r w:rsidR="00454570" w:rsidRPr="001A3D2B">
        <w:rPr>
          <w:iCs/>
          <w:kern w:val="0"/>
        </w:rPr>
        <w:t>American Journal</w:t>
      </w:r>
      <w:r w:rsidR="00427468">
        <w:rPr>
          <w:iCs/>
          <w:kern w:val="0"/>
        </w:rPr>
        <w:t xml:space="preserve"> of </w:t>
      </w:r>
      <w:r w:rsidR="00454570" w:rsidRPr="001A3D2B">
        <w:rPr>
          <w:iCs/>
          <w:kern w:val="0"/>
        </w:rPr>
        <w:t>Occupational Therapy</w:t>
      </w:r>
    </w:p>
    <w:p w:rsidR="003E631D" w:rsidRPr="001A3D2B" w:rsidRDefault="003E631D" w:rsidP="003E631D">
      <w:pPr>
        <w:pStyle w:val="12"/>
      </w:pPr>
      <w:r w:rsidRPr="001A3D2B">
        <w:t xml:space="preserve">ISO Abbreviated Title: </w:t>
      </w:r>
    </w:p>
    <w:p w:rsidR="003E631D" w:rsidRPr="001A3D2B" w:rsidRDefault="003E631D" w:rsidP="003E631D">
      <w:pPr>
        <w:pStyle w:val="12"/>
      </w:pPr>
      <w:r w:rsidRPr="001A3D2B">
        <w:t xml:space="preserve">JCR Abbreviated Title: </w:t>
      </w:r>
    </w:p>
    <w:p w:rsidR="003E631D" w:rsidRPr="001A3D2B" w:rsidRDefault="003E631D" w:rsidP="003E631D">
      <w:pPr>
        <w:pStyle w:val="12"/>
      </w:pPr>
      <w:r w:rsidRPr="001A3D2B">
        <w:t xml:space="preserve">ISSN: </w:t>
      </w:r>
    </w:p>
    <w:p w:rsidR="003E631D" w:rsidRPr="001A3D2B" w:rsidRDefault="003E631D" w:rsidP="003E631D">
      <w:pPr>
        <w:pStyle w:val="12"/>
      </w:pPr>
      <w:r w:rsidRPr="001A3D2B">
        <w:t xml:space="preserve">Issues/Year: </w:t>
      </w:r>
    </w:p>
    <w:p w:rsidR="003E631D" w:rsidRPr="001A3D2B" w:rsidRDefault="00AA25A4" w:rsidP="003E631D">
      <w:pPr>
        <w:pStyle w:val="12"/>
      </w:pPr>
      <w:r w:rsidRPr="001A3D2B">
        <w:t>Journal Country/Territory:</w:t>
      </w:r>
      <w:r w:rsidR="008F46E9" w:rsidRPr="001A3D2B">
        <w:t xml:space="preserve"> </w:t>
      </w:r>
    </w:p>
    <w:p w:rsidR="003E631D" w:rsidRPr="001A3D2B" w:rsidRDefault="003E631D" w:rsidP="003E631D">
      <w:pPr>
        <w:pStyle w:val="12"/>
      </w:pPr>
      <w:r w:rsidRPr="001A3D2B">
        <w:t xml:space="preserve">Language: </w:t>
      </w:r>
    </w:p>
    <w:p w:rsidR="003E631D" w:rsidRPr="001A3D2B" w:rsidRDefault="003E631D" w:rsidP="003E631D">
      <w:pPr>
        <w:pStyle w:val="12"/>
      </w:pPr>
      <w:r w:rsidRPr="001A3D2B">
        <w:t xml:space="preserve">Publisher: </w:t>
      </w:r>
    </w:p>
    <w:p w:rsidR="003E631D" w:rsidRPr="001A3D2B" w:rsidRDefault="003E631D" w:rsidP="003E631D">
      <w:pPr>
        <w:pStyle w:val="12"/>
      </w:pPr>
      <w:r w:rsidRPr="001A3D2B">
        <w:t xml:space="preserve">Publisher Address: </w:t>
      </w:r>
    </w:p>
    <w:p w:rsidR="003E631D" w:rsidRPr="001A3D2B" w:rsidRDefault="003E631D" w:rsidP="003E631D">
      <w:pPr>
        <w:pStyle w:val="12"/>
      </w:pPr>
      <w:r w:rsidRPr="001A3D2B">
        <w:t>Subject Categories:</w:t>
      </w:r>
    </w:p>
    <w:p w:rsidR="003E631D" w:rsidRPr="001A3D2B" w:rsidRDefault="003E631D" w:rsidP="003E631D">
      <w:pPr>
        <w:pStyle w:val="12"/>
      </w:pPr>
      <w:r w:rsidRPr="001A3D2B">
        <w:t xml:space="preserve">: Impact Factor </w:t>
      </w:r>
    </w:p>
    <w:p w:rsidR="00454570" w:rsidRPr="001A3D2B" w:rsidRDefault="00454570" w:rsidP="00454570">
      <w:pPr>
        <w:pStyle w:val="a3"/>
        <w:rPr>
          <w:kern w:val="0"/>
        </w:rPr>
      </w:pPr>
      <w:r w:rsidRPr="001A3D2B">
        <w:rPr>
          <w:kern w:val="0"/>
        </w:rPr>
        <w:t>? Holguin, J.A. (2009), Occupational therapy</w:t>
      </w:r>
      <w:r w:rsidR="005853A9">
        <w:rPr>
          <w:kern w:val="0"/>
        </w:rPr>
        <w:t xml:space="preserve"> and </w:t>
      </w:r>
      <w:r w:rsidR="003A1917">
        <w:rPr>
          <w:kern w:val="0"/>
        </w:rPr>
        <w:t xml:space="preserve">the </w:t>
      </w:r>
      <w:r w:rsidRPr="009829CE">
        <w:rPr>
          <w:i/>
          <w:kern w:val="0"/>
        </w:rPr>
        <w:t>Journal Citation Reports</w:t>
      </w:r>
      <w:r w:rsidRPr="001A3D2B">
        <w:rPr>
          <w:kern w:val="0"/>
        </w:rPr>
        <w:t xml:space="preserve">: 10-Year performance trajectories. </w:t>
      </w:r>
      <w:r w:rsidRPr="001A3D2B">
        <w:rPr>
          <w:i/>
          <w:iCs/>
          <w:kern w:val="0"/>
        </w:rPr>
        <w:t>American Journal</w:t>
      </w:r>
      <w:r w:rsidR="00427468">
        <w:rPr>
          <w:i/>
          <w:iCs/>
          <w:kern w:val="0"/>
        </w:rPr>
        <w:t xml:space="preserve"> of </w:t>
      </w:r>
      <w:r w:rsidRPr="001A3D2B">
        <w:rPr>
          <w:i/>
          <w:iCs/>
          <w:kern w:val="0"/>
        </w:rPr>
        <w:t>Occupational Therapy</w:t>
      </w:r>
      <w:r w:rsidRPr="001A3D2B">
        <w:rPr>
          <w:kern w:val="0"/>
        </w:rPr>
        <w:t xml:space="preserve">, </w:t>
      </w:r>
      <w:r w:rsidRPr="001A3D2B">
        <w:rPr>
          <w:b/>
          <w:bCs/>
          <w:kern w:val="0"/>
        </w:rPr>
        <w:t>63</w:t>
      </w:r>
      <w:r w:rsidRPr="001A3D2B">
        <w:rPr>
          <w:kern w:val="0"/>
        </w:rPr>
        <w:t xml:space="preserve"> (1), 105-112.</w:t>
      </w:r>
    </w:p>
    <w:p w:rsidR="009829CE" w:rsidRDefault="009829CE" w:rsidP="009829CE">
      <w:pPr>
        <w:pStyle w:val="a3"/>
        <w:rPr>
          <w:kern w:val="0"/>
        </w:rPr>
      </w:pPr>
      <w:r>
        <w:rPr>
          <w:rFonts w:hint="eastAsia"/>
          <w:kern w:val="0"/>
        </w:rPr>
        <w:t xml:space="preserve">Full Text: </w:t>
      </w:r>
      <w:hyperlink r:id="rId557" w:history="1">
        <w:r w:rsidRPr="009829CE">
          <w:rPr>
            <w:rStyle w:val="a5"/>
            <w:kern w:val="0"/>
          </w:rPr>
          <w:t>2009\Ame J Occ The63, 105.pdf</w:t>
        </w:r>
      </w:hyperlink>
    </w:p>
    <w:p w:rsidR="003E631D" w:rsidRPr="001A3D2B" w:rsidRDefault="003E631D" w:rsidP="003E631D">
      <w:pPr>
        <w:pStyle w:val="a3"/>
        <w:rPr>
          <w:kern w:val="0"/>
          <w:szCs w:val="24"/>
        </w:rPr>
      </w:pPr>
      <w:r w:rsidRPr="001A3D2B">
        <w:rPr>
          <w:kern w:val="0"/>
          <w:szCs w:val="24"/>
        </w:rPr>
        <w:t>Abstract:</w:t>
      </w:r>
      <w:r w:rsidR="003A1917">
        <w:rPr>
          <w:kern w:val="0"/>
          <w:szCs w:val="24"/>
        </w:rPr>
        <w:t xml:space="preserve"> the </w:t>
      </w:r>
      <w:r w:rsidRPr="001A3D2B">
        <w:rPr>
          <w:kern w:val="0"/>
          <w:szCs w:val="24"/>
        </w:rPr>
        <w:t>purpose</w:t>
      </w:r>
      <w:r w:rsidR="00427468">
        <w:rPr>
          <w:kern w:val="0"/>
          <w:szCs w:val="24"/>
        </w:rPr>
        <w:t xml:space="preserve"> of </w:t>
      </w:r>
      <w:r w:rsidRPr="001A3D2B">
        <w:rPr>
          <w:kern w:val="0"/>
          <w:szCs w:val="24"/>
        </w:rPr>
        <w:t>this study was to document performance</w:t>
      </w:r>
      <w:r w:rsidR="00427468">
        <w:rPr>
          <w:kern w:val="0"/>
          <w:szCs w:val="24"/>
        </w:rPr>
        <w:t xml:space="preserve"> of </w:t>
      </w:r>
      <w:r w:rsidRPr="001A3D2B">
        <w:rPr>
          <w:kern w:val="0"/>
          <w:szCs w:val="24"/>
        </w:rPr>
        <w:t>occupational therapy journals on</w:t>
      </w:r>
      <w:r w:rsidR="003A1917">
        <w:rPr>
          <w:kern w:val="0"/>
          <w:szCs w:val="24"/>
        </w:rPr>
        <w:t xml:space="preserve"> the </w:t>
      </w:r>
      <w:r w:rsidRPr="001A3D2B">
        <w:rPr>
          <w:kern w:val="0"/>
          <w:szCs w:val="24"/>
        </w:rPr>
        <w:t>metrics</w:t>
      </w:r>
      <w:r w:rsidR="00427468">
        <w:rPr>
          <w:kern w:val="0"/>
          <w:szCs w:val="24"/>
        </w:rPr>
        <w:t xml:space="preserve"> of </w:t>
      </w:r>
      <w:r w:rsidR="003A1917">
        <w:rPr>
          <w:kern w:val="0"/>
          <w:szCs w:val="24"/>
        </w:rPr>
        <w:t xml:space="preserve">the </w:t>
      </w:r>
      <w:r w:rsidRPr="001A3D2B">
        <w:rPr>
          <w:kern w:val="0"/>
          <w:szCs w:val="24"/>
        </w:rPr>
        <w:t>Journal Citation Reports (JCR</w:t>
      </w:r>
      <w:r w:rsidR="00F42EAC">
        <w:rPr>
          <w:kern w:val="0"/>
          <w:szCs w:val="24"/>
        </w:rPr>
        <w:t>), The</w:t>
      </w:r>
      <w:r w:rsidR="003A1917">
        <w:rPr>
          <w:kern w:val="0"/>
          <w:szCs w:val="24"/>
        </w:rPr>
        <w:t xml:space="preserve"> </w:t>
      </w:r>
      <w:r w:rsidRPr="001A3D2B">
        <w:rPr>
          <w:kern w:val="0"/>
          <w:szCs w:val="24"/>
        </w:rPr>
        <w:t>annually appearing index used as a yardstick to assess</w:t>
      </w:r>
      <w:r w:rsidR="003A1917">
        <w:rPr>
          <w:kern w:val="0"/>
          <w:szCs w:val="24"/>
        </w:rPr>
        <w:t xml:space="preserve"> the </w:t>
      </w:r>
      <w:r w:rsidRPr="001A3D2B">
        <w:rPr>
          <w:kern w:val="0"/>
          <w:szCs w:val="24"/>
        </w:rPr>
        <w:t>quality</w:t>
      </w:r>
      <w:r w:rsidR="00427468">
        <w:rPr>
          <w:kern w:val="0"/>
          <w:szCs w:val="24"/>
        </w:rPr>
        <w:t xml:space="preserve"> of </w:t>
      </w:r>
      <w:r w:rsidRPr="001A3D2B">
        <w:rPr>
          <w:kern w:val="0"/>
          <w:szCs w:val="24"/>
        </w:rPr>
        <w:t>scholarly publications. Outcomes for</w:t>
      </w:r>
      <w:r w:rsidR="003A1917">
        <w:rPr>
          <w:kern w:val="0"/>
          <w:szCs w:val="24"/>
        </w:rPr>
        <w:t xml:space="preserve"> the </w:t>
      </w:r>
      <w:r w:rsidRPr="001A3D2B">
        <w:rPr>
          <w:kern w:val="0"/>
          <w:szCs w:val="24"/>
        </w:rPr>
        <w:t>field</w:t>
      </w:r>
      <w:r w:rsidR="00700038">
        <w:rPr>
          <w:kern w:val="0"/>
          <w:szCs w:val="24"/>
        </w:rPr>
        <w:t>’</w:t>
      </w:r>
      <w:r w:rsidR="00C13DDC">
        <w:rPr>
          <w:kern w:val="0"/>
          <w:szCs w:val="24"/>
        </w:rPr>
        <w:t>s</w:t>
      </w:r>
      <w:r w:rsidRPr="001A3D2B">
        <w:rPr>
          <w:kern w:val="0"/>
          <w:szCs w:val="24"/>
        </w:rPr>
        <w:t xml:space="preserve"> two indexed journals,</w:t>
      </w:r>
      <w:r w:rsidR="003A1917">
        <w:rPr>
          <w:kern w:val="0"/>
          <w:szCs w:val="24"/>
        </w:rPr>
        <w:t xml:space="preserve"> the </w:t>
      </w:r>
      <w:r w:rsidRPr="001A3D2B">
        <w:rPr>
          <w:kern w:val="0"/>
          <w:szCs w:val="24"/>
        </w:rPr>
        <w:t>American Journal</w:t>
      </w:r>
      <w:r w:rsidR="00427468">
        <w:rPr>
          <w:kern w:val="0"/>
          <w:szCs w:val="24"/>
        </w:rPr>
        <w:t xml:space="preserve"> of </w:t>
      </w:r>
      <w:r w:rsidRPr="001A3D2B">
        <w:rPr>
          <w:kern w:val="0"/>
          <w:szCs w:val="24"/>
        </w:rPr>
        <w:t>Occupational Therapy</w:t>
      </w:r>
      <w:r w:rsidR="005853A9">
        <w:rPr>
          <w:kern w:val="0"/>
          <w:szCs w:val="24"/>
        </w:rPr>
        <w:t xml:space="preserve"> and </w:t>
      </w:r>
      <w:r w:rsidRPr="001A3D2B">
        <w:rPr>
          <w:kern w:val="0"/>
          <w:szCs w:val="24"/>
        </w:rPr>
        <w:t>OTJR: Occupation, Participation</w:t>
      </w:r>
      <w:r w:rsidR="005853A9">
        <w:rPr>
          <w:kern w:val="0"/>
          <w:szCs w:val="24"/>
        </w:rPr>
        <w:t xml:space="preserve"> and </w:t>
      </w:r>
      <w:r w:rsidRPr="001A3D2B">
        <w:rPr>
          <w:kern w:val="0"/>
          <w:szCs w:val="24"/>
        </w:rPr>
        <w:t>Health, were assessed over a 10-year period (1996-2005)</w:t>
      </w:r>
      <w:r w:rsidR="00454570" w:rsidRPr="001A3D2B">
        <w:rPr>
          <w:kern w:val="0"/>
          <w:szCs w:val="24"/>
        </w:rPr>
        <w:t xml:space="preserve"> </w:t>
      </w:r>
      <w:r w:rsidRPr="001A3D2B">
        <w:rPr>
          <w:kern w:val="0"/>
          <w:szCs w:val="24"/>
        </w:rPr>
        <w:t>to determine their overall standing</w:t>
      </w:r>
      <w:r w:rsidR="005853A9">
        <w:rPr>
          <w:kern w:val="0"/>
          <w:szCs w:val="24"/>
        </w:rPr>
        <w:t xml:space="preserve"> and </w:t>
      </w:r>
      <w:r w:rsidRPr="001A3D2B">
        <w:rPr>
          <w:kern w:val="0"/>
          <w:szCs w:val="24"/>
        </w:rPr>
        <w:t>patterns</w:t>
      </w:r>
      <w:r w:rsidR="00427468">
        <w:rPr>
          <w:kern w:val="0"/>
          <w:szCs w:val="24"/>
        </w:rPr>
        <w:t xml:space="preserve"> of </w:t>
      </w:r>
      <w:r w:rsidRPr="001A3D2B">
        <w:rPr>
          <w:kern w:val="0"/>
          <w:szCs w:val="24"/>
        </w:rPr>
        <w:t>change on each</w:t>
      </w:r>
      <w:r w:rsidR="00427468">
        <w:rPr>
          <w:kern w:val="0"/>
          <w:szCs w:val="24"/>
        </w:rPr>
        <w:t xml:space="preserve"> of </w:t>
      </w:r>
      <w:r w:rsidR="003A1917">
        <w:rPr>
          <w:kern w:val="0"/>
          <w:szCs w:val="24"/>
        </w:rPr>
        <w:t xml:space="preserve">the </w:t>
      </w:r>
      <w:r w:rsidRPr="001A3D2B">
        <w:rPr>
          <w:kern w:val="0"/>
          <w:szCs w:val="24"/>
        </w:rPr>
        <w:t>JCR</w:t>
      </w:r>
      <w:r w:rsidR="00700038">
        <w:rPr>
          <w:kern w:val="0"/>
          <w:szCs w:val="24"/>
        </w:rPr>
        <w:t>’</w:t>
      </w:r>
      <w:r w:rsidR="00C13DDC">
        <w:rPr>
          <w:kern w:val="0"/>
          <w:szCs w:val="24"/>
        </w:rPr>
        <w:t>s</w:t>
      </w:r>
      <w:r w:rsidRPr="001A3D2B">
        <w:rPr>
          <w:kern w:val="0"/>
          <w:szCs w:val="24"/>
        </w:rPr>
        <w:t xml:space="preserve"> five metrics</w:t>
      </w:r>
      <w:r w:rsidR="00A37C1D">
        <w:rPr>
          <w:kern w:val="0"/>
          <w:szCs w:val="24"/>
        </w:rPr>
        <w:t>. The</w:t>
      </w:r>
      <w:r w:rsidR="003A1917">
        <w:rPr>
          <w:kern w:val="0"/>
          <w:szCs w:val="24"/>
        </w:rPr>
        <w:t xml:space="preserve"> </w:t>
      </w:r>
      <w:r w:rsidRPr="001A3D2B">
        <w:rPr>
          <w:kern w:val="0"/>
          <w:szCs w:val="24"/>
        </w:rPr>
        <w:t>mean category ranking for</w:t>
      </w:r>
      <w:r w:rsidR="003A1917">
        <w:rPr>
          <w:kern w:val="0"/>
          <w:szCs w:val="24"/>
        </w:rPr>
        <w:t xml:space="preserve"> the </w:t>
      </w:r>
      <w:r w:rsidRPr="001A3D2B">
        <w:rPr>
          <w:kern w:val="0"/>
          <w:szCs w:val="24"/>
        </w:rPr>
        <w:t>two journals was generally above</w:t>
      </w:r>
      <w:r w:rsidR="003A1917">
        <w:rPr>
          <w:kern w:val="0"/>
          <w:szCs w:val="24"/>
        </w:rPr>
        <w:t xml:space="preserve"> the </w:t>
      </w:r>
      <w:r w:rsidRPr="001A3D2B">
        <w:rPr>
          <w:kern w:val="0"/>
          <w:szCs w:val="24"/>
        </w:rPr>
        <w:t>50th percentile. However, they performed least adequately</w:t>
      </w:r>
      <w:r w:rsidR="005853A9">
        <w:rPr>
          <w:kern w:val="0"/>
          <w:szCs w:val="24"/>
        </w:rPr>
        <w:t xml:space="preserve"> and </w:t>
      </w:r>
      <w:r w:rsidRPr="001A3D2B">
        <w:rPr>
          <w:kern w:val="0"/>
          <w:szCs w:val="24"/>
        </w:rPr>
        <w:t>evidenced a downward trend over time on</w:t>
      </w:r>
      <w:r w:rsidR="003A1917">
        <w:rPr>
          <w:kern w:val="0"/>
          <w:szCs w:val="24"/>
        </w:rPr>
        <w:t xml:space="preserve"> the </w:t>
      </w:r>
      <w:r w:rsidRPr="001A3D2B">
        <w:rPr>
          <w:kern w:val="0"/>
          <w:szCs w:val="24"/>
        </w:rPr>
        <w:t>most widely used metric (the journal impact factor). Possible reasons underlying this latter result are explored, pressing implications</w:t>
      </w:r>
      <w:r w:rsidR="00427468">
        <w:rPr>
          <w:kern w:val="0"/>
          <w:szCs w:val="24"/>
        </w:rPr>
        <w:t xml:space="preserve"> of </w:t>
      </w:r>
      <w:r w:rsidR="003A1917">
        <w:rPr>
          <w:kern w:val="0"/>
          <w:szCs w:val="24"/>
        </w:rPr>
        <w:t xml:space="preserve">the </w:t>
      </w:r>
      <w:r w:rsidRPr="001A3D2B">
        <w:rPr>
          <w:kern w:val="0"/>
          <w:szCs w:val="24"/>
        </w:rPr>
        <w:t>overall findings for practice</w:t>
      </w:r>
      <w:r w:rsidR="005853A9">
        <w:rPr>
          <w:kern w:val="0"/>
          <w:szCs w:val="24"/>
        </w:rPr>
        <w:t xml:space="preserve"> and </w:t>
      </w:r>
      <w:r w:rsidRPr="001A3D2B">
        <w:rPr>
          <w:kern w:val="0"/>
          <w:szCs w:val="24"/>
        </w:rPr>
        <w:t>research are discussed,</w:t>
      </w:r>
      <w:r w:rsidR="005853A9">
        <w:rPr>
          <w:kern w:val="0"/>
          <w:szCs w:val="24"/>
        </w:rPr>
        <w:t xml:space="preserve"> and </w:t>
      </w:r>
      <w:r w:rsidRPr="001A3D2B">
        <w:rPr>
          <w:kern w:val="0"/>
          <w:szCs w:val="24"/>
        </w:rPr>
        <w:t>strategic steps toward ethically safeguarding</w:t>
      </w:r>
      <w:r w:rsidR="003A1917">
        <w:rPr>
          <w:kern w:val="0"/>
          <w:szCs w:val="24"/>
        </w:rPr>
        <w:t xml:space="preserve"> the </w:t>
      </w:r>
      <w:r w:rsidRPr="001A3D2B">
        <w:rPr>
          <w:kern w:val="0"/>
          <w:szCs w:val="24"/>
        </w:rPr>
        <w:t>profession</w:t>
      </w:r>
      <w:r w:rsidR="00700038">
        <w:rPr>
          <w:kern w:val="0"/>
          <w:szCs w:val="24"/>
        </w:rPr>
        <w:t>’</w:t>
      </w:r>
      <w:r w:rsidR="00C13DDC">
        <w:rPr>
          <w:kern w:val="0"/>
          <w:szCs w:val="24"/>
        </w:rPr>
        <w:t>s</w:t>
      </w:r>
      <w:r w:rsidRPr="001A3D2B">
        <w:rPr>
          <w:kern w:val="0"/>
          <w:szCs w:val="24"/>
        </w:rPr>
        <w:t xml:space="preserve"> viability are offered.</w:t>
      </w:r>
    </w:p>
    <w:p w:rsidR="003E631D" w:rsidRPr="001A3D2B" w:rsidRDefault="003E631D" w:rsidP="003E631D">
      <w:pPr>
        <w:pStyle w:val="a3"/>
        <w:rPr>
          <w:kern w:val="0"/>
          <w:szCs w:val="24"/>
        </w:rPr>
      </w:pPr>
      <w:r w:rsidRPr="001A3D2B">
        <w:rPr>
          <w:kern w:val="0"/>
          <w:szCs w:val="24"/>
        </w:rPr>
        <w:t>Keywords: American, Bibliometrics, Change, Citation, Health, Impact, Impact Factor, Index, Journal, Journal Citation Reports, Journal Impact, Journal Impact Factor, Journals, Metrics, Occupational, Occupational Therapy, Peer Review, Performance, Periodicals, Practice, Publication, Publications, Purpose, Quality, Quality of, Ranking, Research, SI, Strategic, Therapy, Time, Trend, Viability</w:t>
      </w:r>
    </w:p>
    <w:p w:rsidR="00A12B23" w:rsidRDefault="00A12B23" w:rsidP="00A12B23">
      <w:pPr>
        <w:pStyle w:val="a3"/>
        <w:rPr>
          <w:kern w:val="0"/>
        </w:rPr>
      </w:pPr>
      <w:r>
        <w:rPr>
          <w:rFonts w:hint="eastAsia"/>
          <w:kern w:val="0"/>
        </w:rPr>
        <w:t xml:space="preserve">? </w:t>
      </w:r>
      <w:r>
        <w:rPr>
          <w:kern w:val="0"/>
        </w:rPr>
        <w:t>Classen, S., Levy, C., McCarthy, D., Mann, W.C., Lanford, D.</w:t>
      </w:r>
      <w:r w:rsidR="005853A9">
        <w:rPr>
          <w:kern w:val="0"/>
        </w:rPr>
        <w:t xml:space="preserve"> and </w:t>
      </w:r>
      <w:r>
        <w:rPr>
          <w:kern w:val="0"/>
        </w:rPr>
        <w:t>Waid-Ebbs, J.K. (2009), Traumatic brain injury</w:t>
      </w:r>
      <w:r w:rsidR="005853A9">
        <w:rPr>
          <w:kern w:val="0"/>
        </w:rPr>
        <w:t xml:space="preserve"> and </w:t>
      </w:r>
      <w:r>
        <w:rPr>
          <w:kern w:val="0"/>
        </w:rPr>
        <w:t xml:space="preserve">driving assessment: An evidence-based literature review. </w:t>
      </w:r>
      <w:r>
        <w:rPr>
          <w:i/>
          <w:iCs/>
          <w:kern w:val="0"/>
        </w:rPr>
        <w:t>American Journal</w:t>
      </w:r>
      <w:r w:rsidR="00427468">
        <w:rPr>
          <w:i/>
          <w:iCs/>
          <w:kern w:val="0"/>
        </w:rPr>
        <w:t xml:space="preserve"> of </w:t>
      </w:r>
      <w:r>
        <w:rPr>
          <w:i/>
          <w:iCs/>
          <w:kern w:val="0"/>
        </w:rPr>
        <w:t>Occupational Therapy</w:t>
      </w:r>
      <w:r>
        <w:rPr>
          <w:kern w:val="0"/>
        </w:rPr>
        <w:t xml:space="preserve">, </w:t>
      </w:r>
      <w:r>
        <w:rPr>
          <w:b/>
          <w:bCs/>
          <w:kern w:val="0"/>
        </w:rPr>
        <w:t>63</w:t>
      </w:r>
      <w:r>
        <w:rPr>
          <w:kern w:val="0"/>
        </w:rPr>
        <w:t xml:space="preserve"> (5), 580-591.</w:t>
      </w:r>
    </w:p>
    <w:p w:rsidR="00B84FA3" w:rsidRDefault="00B84FA3" w:rsidP="00B84FA3">
      <w:pPr>
        <w:pStyle w:val="a3"/>
        <w:rPr>
          <w:kern w:val="0"/>
        </w:rPr>
      </w:pPr>
      <w:r>
        <w:rPr>
          <w:rFonts w:hint="eastAsia"/>
          <w:kern w:val="0"/>
        </w:rPr>
        <w:lastRenderedPageBreak/>
        <w:t xml:space="preserve">Full Text: </w:t>
      </w:r>
      <w:hyperlink r:id="rId558" w:history="1">
        <w:r w:rsidRPr="00F33993">
          <w:rPr>
            <w:rStyle w:val="a5"/>
            <w:kern w:val="0"/>
          </w:rPr>
          <w:t>2009\Ame J Occ The63, 508.pdf</w:t>
        </w:r>
      </w:hyperlink>
    </w:p>
    <w:p w:rsidR="00A12B23" w:rsidRDefault="00A12B23" w:rsidP="00A12B23">
      <w:pPr>
        <w:pStyle w:val="a3"/>
        <w:rPr>
          <w:kern w:val="0"/>
        </w:rPr>
      </w:pPr>
      <w:r>
        <w:rPr>
          <w:kern w:val="0"/>
        </w:rPr>
        <w:t>Abstract: OBJECTIVE. We conducted a literature review</w:t>
      </w:r>
      <w:r w:rsidR="00427468">
        <w:rPr>
          <w:kern w:val="0"/>
        </w:rPr>
        <w:t xml:space="preserve"> of </w:t>
      </w:r>
      <w:r>
        <w:rPr>
          <w:kern w:val="0"/>
        </w:rPr>
        <w:t xml:space="preserve">assessment tools predicting driving performance for people with traumatic brain injury (TBI). METHOD. Data sources were </w:t>
      </w:r>
      <w:r w:rsidR="00D5664A">
        <w:rPr>
          <w:kern w:val="0"/>
        </w:rPr>
        <w:t>Web</w:t>
      </w:r>
      <w:r w:rsidR="00427468">
        <w:rPr>
          <w:kern w:val="0"/>
        </w:rPr>
        <w:t xml:space="preserve"> of </w:t>
      </w:r>
      <w:r w:rsidR="00D5664A">
        <w:rPr>
          <w:kern w:val="0"/>
        </w:rPr>
        <w:t>Science</w:t>
      </w:r>
      <w:r>
        <w:rPr>
          <w:kern w:val="0"/>
        </w:rPr>
        <w:t xml:space="preserve">, EBSCOhost, </w:t>
      </w:r>
      <w:r w:rsidR="002C12F0">
        <w:rPr>
          <w:kern w:val="0"/>
        </w:rPr>
        <w:t>PUBMED</w:t>
      </w:r>
      <w:r>
        <w:rPr>
          <w:kern w:val="0"/>
        </w:rPr>
        <w:t>,</w:t>
      </w:r>
      <w:r w:rsidR="005853A9">
        <w:rPr>
          <w:kern w:val="0"/>
        </w:rPr>
        <w:t xml:space="preserve"> and </w:t>
      </w:r>
      <w:r>
        <w:rPr>
          <w:kern w:val="0"/>
        </w:rPr>
        <w:t>recently published literature from experts</w:t>
      </w:r>
      <w:r w:rsidR="005853A9">
        <w:rPr>
          <w:kern w:val="0"/>
        </w:rPr>
        <w:t xml:space="preserve"> and </w:t>
      </w:r>
      <w:r>
        <w:rPr>
          <w:kern w:val="0"/>
        </w:rPr>
        <w:t>team members not yet catalogued in</w:t>
      </w:r>
      <w:r w:rsidR="003A1917">
        <w:rPr>
          <w:kern w:val="0"/>
        </w:rPr>
        <w:t xml:space="preserve"> the </w:t>
      </w:r>
      <w:r>
        <w:rPr>
          <w:kern w:val="0"/>
        </w:rPr>
        <w:t>databases. We used</w:t>
      </w:r>
      <w:r w:rsidR="003A1917">
        <w:rPr>
          <w:kern w:val="0"/>
        </w:rPr>
        <w:t xml:space="preserve"> the </w:t>
      </w:r>
      <w:r>
        <w:rPr>
          <w:kern w:val="0"/>
        </w:rPr>
        <w:t>American Academy</w:t>
      </w:r>
      <w:r w:rsidR="00427468">
        <w:rPr>
          <w:kern w:val="0"/>
        </w:rPr>
        <w:t xml:space="preserve"> of </w:t>
      </w:r>
      <w:r>
        <w:rPr>
          <w:kern w:val="0"/>
        </w:rPr>
        <w:t>Neurology</w:t>
      </w:r>
      <w:r w:rsidR="00700038">
        <w:rPr>
          <w:kern w:val="0"/>
        </w:rPr>
        <w:t>’</w:t>
      </w:r>
      <w:r w:rsidR="00C13DDC">
        <w:rPr>
          <w:kern w:val="0"/>
        </w:rPr>
        <w:t>s</w:t>
      </w:r>
      <w:r>
        <w:rPr>
          <w:kern w:val="0"/>
        </w:rPr>
        <w:t xml:space="preserve"> classification criteria to extract data from 13 studies,</w:t>
      </w:r>
      <w:r w:rsidR="005853A9">
        <w:rPr>
          <w:kern w:val="0"/>
        </w:rPr>
        <w:t xml:space="preserve"> and </w:t>
      </w:r>
      <w:r>
        <w:rPr>
          <w:kern w:val="0"/>
        </w:rPr>
        <w:t>we assigned a class (I-IV, with I being</w:t>
      </w:r>
      <w:r w:rsidR="003A1917">
        <w:rPr>
          <w:kern w:val="0"/>
        </w:rPr>
        <w:t xml:space="preserve"> the </w:t>
      </w:r>
      <w:r>
        <w:rPr>
          <w:kern w:val="0"/>
        </w:rPr>
        <w:t>highest level</w:t>
      </w:r>
      <w:r w:rsidR="00427468">
        <w:rPr>
          <w:kern w:val="0"/>
        </w:rPr>
        <w:t xml:space="preserve"> of </w:t>
      </w:r>
      <w:r>
        <w:rPr>
          <w:kern w:val="0"/>
        </w:rPr>
        <w:t>evidence) to each study. We grouped primary studies into categories</w:t>
      </w:r>
      <w:r w:rsidR="00427468">
        <w:rPr>
          <w:kern w:val="0"/>
        </w:rPr>
        <w:t xml:space="preserve"> of </w:t>
      </w:r>
      <w:r>
        <w:rPr>
          <w:kern w:val="0"/>
        </w:rPr>
        <w:t>driving assessment (neuropsychological; simulator; off-road; self-report, other report,</w:t>
      </w:r>
      <w:r w:rsidR="005853A9">
        <w:rPr>
          <w:kern w:val="0"/>
        </w:rPr>
        <w:t xml:space="preserve"> and </w:t>
      </w:r>
      <w:r>
        <w:rPr>
          <w:kern w:val="0"/>
        </w:rPr>
        <w:t>postinjury disability status;</w:t>
      </w:r>
      <w:r w:rsidR="005853A9">
        <w:rPr>
          <w:kern w:val="0"/>
        </w:rPr>
        <w:t xml:space="preserve"> and </w:t>
      </w:r>
      <w:r>
        <w:rPr>
          <w:kern w:val="0"/>
        </w:rPr>
        <w:t>comprehensive driving evaluation)</w:t>
      </w:r>
      <w:r w:rsidR="005853A9">
        <w:rPr>
          <w:kern w:val="0"/>
        </w:rPr>
        <w:t xml:space="preserve"> and </w:t>
      </w:r>
      <w:r>
        <w:rPr>
          <w:kern w:val="0"/>
        </w:rPr>
        <w:t>synthesized</w:t>
      </w:r>
      <w:r w:rsidR="003A1917">
        <w:rPr>
          <w:kern w:val="0"/>
        </w:rPr>
        <w:t xml:space="preserve"> the </w:t>
      </w:r>
      <w:r>
        <w:rPr>
          <w:kern w:val="0"/>
        </w:rPr>
        <w:t>predictability</w:t>
      </w:r>
      <w:r w:rsidR="00427468">
        <w:rPr>
          <w:kern w:val="0"/>
        </w:rPr>
        <w:t xml:space="preserve"> of </w:t>
      </w:r>
      <w:r>
        <w:rPr>
          <w:kern w:val="0"/>
        </w:rPr>
        <w:t>these tools as it relates to driving performance for people with TBI. CONCLUSIONS. To assist clinicians</w:t>
      </w:r>
      <w:r w:rsidR="005853A9">
        <w:rPr>
          <w:kern w:val="0"/>
        </w:rPr>
        <w:t xml:space="preserve"> and </w:t>
      </w:r>
      <w:r>
        <w:rPr>
          <w:kern w:val="0"/>
        </w:rPr>
        <w:t>researchers in making decisions regarding testing</w:t>
      </w:r>
      <w:r w:rsidR="003A1917">
        <w:rPr>
          <w:kern w:val="0"/>
        </w:rPr>
        <w:t xml:space="preserve"> the </w:t>
      </w:r>
      <w:r>
        <w:rPr>
          <w:kern w:val="0"/>
        </w:rPr>
        <w:t>driving performance</w:t>
      </w:r>
      <w:r w:rsidR="00427468">
        <w:rPr>
          <w:kern w:val="0"/>
        </w:rPr>
        <w:t xml:space="preserve"> of </w:t>
      </w:r>
      <w:r>
        <w:rPr>
          <w:kern w:val="0"/>
        </w:rPr>
        <w:t>people with TBI, we provide recommendations for neuropsychological tests; off-road tests; self-report, other report,</w:t>
      </w:r>
      <w:r w:rsidR="005853A9">
        <w:rPr>
          <w:kern w:val="0"/>
        </w:rPr>
        <w:t xml:space="preserve"> and </w:t>
      </w:r>
      <w:r>
        <w:rPr>
          <w:kern w:val="0"/>
        </w:rPr>
        <w:t>postinjury disability status;</w:t>
      </w:r>
      <w:r w:rsidR="005853A9">
        <w:rPr>
          <w:kern w:val="0"/>
        </w:rPr>
        <w:t xml:space="preserve"> and </w:t>
      </w:r>
      <w:r>
        <w:rPr>
          <w:kern w:val="0"/>
        </w:rPr>
        <w:t>comprehensive driving evaluation.</w:t>
      </w:r>
    </w:p>
    <w:p w:rsidR="00A12B23" w:rsidRDefault="00A12B23" w:rsidP="00A12B23">
      <w:pPr>
        <w:pStyle w:val="a3"/>
        <w:rPr>
          <w:kern w:val="0"/>
        </w:rPr>
      </w:pPr>
      <w:r>
        <w:rPr>
          <w:kern w:val="0"/>
        </w:rPr>
        <w:t xml:space="preserve">Keywords: Ability, Assessment, Automobile Driving, Brain, Brain Injuries, Databases, Driving, Evaluation, Fitness, Injury, Literature, Literature Review, Primary, Psychological Tests, </w:t>
      </w:r>
      <w:r w:rsidR="002C12F0">
        <w:rPr>
          <w:kern w:val="0"/>
        </w:rPr>
        <w:t>PUBMED</w:t>
      </w:r>
      <w:r>
        <w:rPr>
          <w:kern w:val="0"/>
        </w:rPr>
        <w:t>, Reproducibility</w:t>
      </w:r>
      <w:r w:rsidR="00427468">
        <w:rPr>
          <w:kern w:val="0"/>
        </w:rPr>
        <w:t xml:space="preserve"> of </w:t>
      </w:r>
      <w:r>
        <w:rPr>
          <w:kern w:val="0"/>
        </w:rPr>
        <w:t xml:space="preserve">Results, Researchers, Return, Review, Risk Assessment, Science, TBI, Tests, Traumatic Brain Injury, </w:t>
      </w:r>
      <w:r w:rsidR="00D5664A">
        <w:rPr>
          <w:kern w:val="0"/>
        </w:rPr>
        <w:t>Web</w:t>
      </w:r>
      <w:r w:rsidR="00427468">
        <w:rPr>
          <w:kern w:val="0"/>
        </w:rPr>
        <w:t xml:space="preserve"> of </w:t>
      </w:r>
      <w:r w:rsidR="00D5664A">
        <w:rPr>
          <w:kern w:val="0"/>
        </w:rPr>
        <w:t>Science</w:t>
      </w:r>
    </w:p>
    <w:p w:rsidR="00C84443" w:rsidRPr="0089679A" w:rsidRDefault="00C84443" w:rsidP="00C84443">
      <w:pPr>
        <w:pStyle w:val="a3"/>
        <w:rPr>
          <w:kern w:val="0"/>
        </w:rPr>
      </w:pPr>
      <w:r w:rsidRPr="0089679A">
        <w:rPr>
          <w:rFonts w:hint="eastAsia"/>
          <w:kern w:val="0"/>
        </w:rPr>
        <w:t xml:space="preserve">? </w:t>
      </w:r>
      <w:r w:rsidRPr="0089679A">
        <w:rPr>
          <w:kern w:val="0"/>
        </w:rPr>
        <w:t>Gutman, S.A. (2010), Online Publication</w:t>
      </w:r>
      <w:r w:rsidR="005853A9">
        <w:rPr>
          <w:kern w:val="0"/>
        </w:rPr>
        <w:t xml:space="preserve"> and </w:t>
      </w:r>
      <w:r w:rsidR="003A1917">
        <w:rPr>
          <w:kern w:val="0"/>
        </w:rPr>
        <w:t xml:space="preserve">the </w:t>
      </w:r>
      <w:r w:rsidRPr="0089679A">
        <w:rPr>
          <w:kern w:val="0"/>
        </w:rPr>
        <w:t xml:space="preserve">Impact Factor. </w:t>
      </w:r>
      <w:r w:rsidRPr="0089679A">
        <w:rPr>
          <w:i/>
          <w:iCs/>
          <w:kern w:val="0"/>
        </w:rPr>
        <w:t>American Journal</w:t>
      </w:r>
      <w:r w:rsidR="00427468">
        <w:rPr>
          <w:i/>
          <w:iCs/>
          <w:kern w:val="0"/>
        </w:rPr>
        <w:t xml:space="preserve"> of </w:t>
      </w:r>
      <w:r w:rsidRPr="0089679A">
        <w:rPr>
          <w:i/>
          <w:iCs/>
          <w:kern w:val="0"/>
        </w:rPr>
        <w:t>Occupational Therapy</w:t>
      </w:r>
      <w:r w:rsidRPr="0089679A">
        <w:rPr>
          <w:kern w:val="0"/>
        </w:rPr>
        <w:t xml:space="preserve">, </w:t>
      </w:r>
      <w:r w:rsidRPr="0089679A">
        <w:rPr>
          <w:b/>
          <w:bCs/>
          <w:kern w:val="0"/>
        </w:rPr>
        <w:t>64</w:t>
      </w:r>
      <w:r w:rsidRPr="0089679A">
        <w:rPr>
          <w:kern w:val="0"/>
        </w:rPr>
        <w:t xml:space="preserve"> (1), 7-8</w:t>
      </w:r>
      <w:r w:rsidRPr="0089679A">
        <w:rPr>
          <w:rFonts w:hint="eastAsia"/>
          <w:kern w:val="0"/>
        </w:rPr>
        <w:t>.</w:t>
      </w:r>
    </w:p>
    <w:p w:rsidR="009829CE" w:rsidRDefault="009829CE" w:rsidP="009829CE">
      <w:pPr>
        <w:pStyle w:val="a3"/>
        <w:rPr>
          <w:kern w:val="0"/>
        </w:rPr>
      </w:pPr>
      <w:r>
        <w:rPr>
          <w:rFonts w:hint="eastAsia"/>
          <w:kern w:val="0"/>
        </w:rPr>
        <w:t xml:space="preserve">Full Text: </w:t>
      </w:r>
      <w:hyperlink r:id="rId559" w:history="1">
        <w:r w:rsidRPr="00E379AF">
          <w:rPr>
            <w:rStyle w:val="a5"/>
            <w:kern w:val="0"/>
          </w:rPr>
          <w:t>2010\Ame J Occ The64, 7.pdf</w:t>
        </w:r>
      </w:hyperlink>
    </w:p>
    <w:p w:rsidR="00C84443" w:rsidRPr="0089679A" w:rsidRDefault="00C84443" w:rsidP="00C84443">
      <w:pPr>
        <w:pStyle w:val="a3"/>
        <w:rPr>
          <w:kern w:val="0"/>
        </w:rPr>
      </w:pPr>
      <w:r w:rsidRPr="0089679A">
        <w:rPr>
          <w:kern w:val="0"/>
        </w:rPr>
        <w:t>Keywords: Bibliometrics, Impact, Impact Factor, Impact-Factor, Journal Impact Factor, Occupational Therapy, Occupational-Therapy, Publication, Publications</w:t>
      </w:r>
    </w:p>
    <w:p w:rsidR="00B84FA3" w:rsidRDefault="00B84FA3" w:rsidP="00B84FA3">
      <w:pPr>
        <w:pStyle w:val="a3"/>
        <w:rPr>
          <w:kern w:val="0"/>
        </w:rPr>
      </w:pPr>
      <w:r>
        <w:rPr>
          <w:rFonts w:hint="eastAsia"/>
          <w:kern w:val="0"/>
        </w:rPr>
        <w:t xml:space="preserve">? </w:t>
      </w:r>
      <w:r>
        <w:rPr>
          <w:kern w:val="0"/>
        </w:rPr>
        <w:t>Classen, S., Bewernitz, M.</w:t>
      </w:r>
      <w:r w:rsidR="005853A9">
        <w:rPr>
          <w:kern w:val="0"/>
        </w:rPr>
        <w:t xml:space="preserve"> and </w:t>
      </w:r>
      <w:r>
        <w:rPr>
          <w:kern w:val="0"/>
        </w:rPr>
        <w:t>Shechtman, G. (2011), Driving simulator sickness: An evidence-based review</w:t>
      </w:r>
      <w:r w:rsidR="00427468">
        <w:rPr>
          <w:kern w:val="0"/>
        </w:rPr>
        <w:t xml:space="preserve"> of </w:t>
      </w:r>
      <w:r w:rsidR="003A1917">
        <w:rPr>
          <w:kern w:val="0"/>
        </w:rPr>
        <w:t xml:space="preserve">the </w:t>
      </w:r>
      <w:r>
        <w:rPr>
          <w:kern w:val="0"/>
        </w:rPr>
        <w:t xml:space="preserve">literature. </w:t>
      </w:r>
      <w:r>
        <w:rPr>
          <w:i/>
          <w:iCs/>
          <w:kern w:val="0"/>
        </w:rPr>
        <w:t>American Journal</w:t>
      </w:r>
      <w:r w:rsidR="00427468">
        <w:rPr>
          <w:i/>
          <w:iCs/>
          <w:kern w:val="0"/>
        </w:rPr>
        <w:t xml:space="preserve"> of </w:t>
      </w:r>
      <w:r>
        <w:rPr>
          <w:i/>
          <w:iCs/>
          <w:kern w:val="0"/>
        </w:rPr>
        <w:t>Occupational Therapy</w:t>
      </w:r>
      <w:r>
        <w:rPr>
          <w:kern w:val="0"/>
        </w:rPr>
        <w:t xml:space="preserve">, </w:t>
      </w:r>
      <w:r>
        <w:rPr>
          <w:b/>
          <w:bCs/>
          <w:kern w:val="0"/>
        </w:rPr>
        <w:t>65</w:t>
      </w:r>
      <w:r>
        <w:rPr>
          <w:kern w:val="0"/>
        </w:rPr>
        <w:t xml:space="preserve"> (2), 179-188.</w:t>
      </w:r>
    </w:p>
    <w:p w:rsidR="00B84FA3" w:rsidRDefault="00B84FA3" w:rsidP="00B84FA3">
      <w:pPr>
        <w:pStyle w:val="a3"/>
        <w:rPr>
          <w:kern w:val="0"/>
        </w:rPr>
      </w:pPr>
      <w:r>
        <w:rPr>
          <w:rFonts w:hint="eastAsia"/>
          <w:kern w:val="0"/>
        </w:rPr>
        <w:t xml:space="preserve">Full Text: </w:t>
      </w:r>
      <w:hyperlink r:id="rId560" w:history="1">
        <w:r w:rsidRPr="00B84FA3">
          <w:rPr>
            <w:rStyle w:val="a5"/>
            <w:kern w:val="0"/>
          </w:rPr>
          <w:t>2011\Ame J Occ The65, 179.pdf</w:t>
        </w:r>
      </w:hyperlink>
    </w:p>
    <w:p w:rsidR="00B84FA3" w:rsidRDefault="00B84FA3" w:rsidP="00B84FA3">
      <w:pPr>
        <w:pStyle w:val="a3"/>
        <w:rPr>
          <w:kern w:val="0"/>
        </w:rPr>
      </w:pPr>
      <w:r>
        <w:rPr>
          <w:kern w:val="0"/>
        </w:rPr>
        <w:t>Abstract: OBJECTIVE. Guided by</w:t>
      </w:r>
      <w:r w:rsidR="003A1917">
        <w:rPr>
          <w:kern w:val="0"/>
        </w:rPr>
        <w:t xml:space="preserve"> the </w:t>
      </w:r>
      <w:r>
        <w:rPr>
          <w:kern w:val="0"/>
        </w:rPr>
        <w:t>Occupational Therapy Practice Framework: Domain</w:t>
      </w:r>
      <w:r w:rsidR="005853A9">
        <w:rPr>
          <w:kern w:val="0"/>
        </w:rPr>
        <w:t xml:space="preserve"> and </w:t>
      </w:r>
      <w:r>
        <w:rPr>
          <w:kern w:val="0"/>
        </w:rPr>
        <w:t xml:space="preserve">Process (2nd edition; American Occupational Therapy Association, 2008), we conducted an evidence-based review on simulator sickness (SS). METHOD. We searched </w:t>
      </w:r>
      <w:r w:rsidR="00D5664A">
        <w:rPr>
          <w:kern w:val="0"/>
        </w:rPr>
        <w:t>Web</w:t>
      </w:r>
      <w:r w:rsidR="00427468">
        <w:rPr>
          <w:kern w:val="0"/>
        </w:rPr>
        <w:t xml:space="preserve"> of </w:t>
      </w:r>
      <w:r w:rsidR="00D5664A">
        <w:rPr>
          <w:kern w:val="0"/>
        </w:rPr>
        <w:t>Science</w:t>
      </w:r>
      <w:r>
        <w:rPr>
          <w:kern w:val="0"/>
        </w:rPr>
        <w:t xml:space="preserve">, </w:t>
      </w:r>
      <w:r w:rsidR="002C12F0">
        <w:rPr>
          <w:kern w:val="0"/>
        </w:rPr>
        <w:t>PUBMED</w:t>
      </w:r>
      <w:r>
        <w:rPr>
          <w:kern w:val="0"/>
        </w:rPr>
        <w:t>, Safety Lit, Google Scholar,</w:t>
      </w:r>
      <w:r w:rsidR="005853A9">
        <w:rPr>
          <w:kern w:val="0"/>
        </w:rPr>
        <w:t xml:space="preserve"> and </w:t>
      </w:r>
      <w:r>
        <w:rPr>
          <w:kern w:val="0"/>
        </w:rPr>
        <w:t>recently published literature. We used</w:t>
      </w:r>
      <w:r w:rsidR="003A1917">
        <w:rPr>
          <w:kern w:val="0"/>
        </w:rPr>
        <w:t xml:space="preserve"> the </w:t>
      </w:r>
      <w:r>
        <w:rPr>
          <w:kern w:val="0"/>
        </w:rPr>
        <w:t>American Academy</w:t>
      </w:r>
      <w:r w:rsidR="00427468">
        <w:rPr>
          <w:kern w:val="0"/>
        </w:rPr>
        <w:t xml:space="preserve"> of </w:t>
      </w:r>
      <w:r>
        <w:rPr>
          <w:kern w:val="0"/>
        </w:rPr>
        <w:t>Neurology</w:t>
      </w:r>
      <w:r w:rsidR="00700038">
        <w:rPr>
          <w:kern w:val="0"/>
        </w:rPr>
        <w:t>’</w:t>
      </w:r>
      <w:r w:rsidR="00C13DDC">
        <w:rPr>
          <w:kern w:val="0"/>
        </w:rPr>
        <w:t>s</w:t>
      </w:r>
      <w:r>
        <w:rPr>
          <w:kern w:val="0"/>
        </w:rPr>
        <w:t xml:space="preserve"> classification criteria to extract data from 10 studies</w:t>
      </w:r>
      <w:r w:rsidR="005853A9">
        <w:rPr>
          <w:kern w:val="0"/>
        </w:rPr>
        <w:t xml:space="preserve"> and </w:t>
      </w:r>
      <w:r>
        <w:rPr>
          <w:kern w:val="0"/>
        </w:rPr>
        <w:t>assign each a level</w:t>
      </w:r>
      <w:r w:rsidR="00427468">
        <w:rPr>
          <w:kern w:val="0"/>
        </w:rPr>
        <w:t xml:space="preserve"> of </w:t>
      </w:r>
      <w:r>
        <w:rPr>
          <w:kern w:val="0"/>
        </w:rPr>
        <w:t xml:space="preserve">1-4, with </w:t>
      </w:r>
      <w:r w:rsidR="00B5188C">
        <w:rPr>
          <w:kern w:val="0"/>
        </w:rPr>
        <w:t>“</w:t>
      </w:r>
      <w:r>
        <w:rPr>
          <w:kern w:val="0"/>
        </w:rPr>
        <w:t>1</w:t>
      </w:r>
      <w:r w:rsidR="00B5188C">
        <w:rPr>
          <w:kern w:val="0"/>
        </w:rPr>
        <w:t>”</w:t>
      </w:r>
      <w:r>
        <w:rPr>
          <w:kern w:val="0"/>
        </w:rPr>
        <w:t xml:space="preserve"> indicating</w:t>
      </w:r>
      <w:r w:rsidR="003A1917">
        <w:rPr>
          <w:kern w:val="0"/>
        </w:rPr>
        <w:t xml:space="preserve"> the </w:t>
      </w:r>
      <w:r>
        <w:rPr>
          <w:kern w:val="0"/>
        </w:rPr>
        <w:t>highest level</w:t>
      </w:r>
      <w:r w:rsidR="00427468">
        <w:rPr>
          <w:kern w:val="0"/>
        </w:rPr>
        <w:t xml:space="preserve"> of </w:t>
      </w:r>
      <w:r>
        <w:rPr>
          <w:kern w:val="0"/>
        </w:rPr>
        <w:t>evidence. We grouped studies that addressed SS into client factors, context</w:t>
      </w:r>
      <w:r w:rsidR="005853A9">
        <w:rPr>
          <w:kern w:val="0"/>
        </w:rPr>
        <w:t xml:space="preserve"> and </w:t>
      </w:r>
      <w:r>
        <w:rPr>
          <w:kern w:val="0"/>
        </w:rPr>
        <w:t>environment factors,</w:t>
      </w:r>
      <w:r w:rsidR="005853A9">
        <w:rPr>
          <w:kern w:val="0"/>
        </w:rPr>
        <w:t xml:space="preserve"> and </w:t>
      </w:r>
      <w:r>
        <w:rPr>
          <w:kern w:val="0"/>
        </w:rPr>
        <w:t>activity demands. RESULTS. Client factors (i.e., older clients [&gt; 70 yr; Level B], women [Level B])</w:t>
      </w:r>
      <w:r w:rsidR="005853A9">
        <w:rPr>
          <w:kern w:val="0"/>
        </w:rPr>
        <w:t xml:space="preserve"> and </w:t>
      </w:r>
      <w:r>
        <w:rPr>
          <w:kern w:val="0"/>
        </w:rPr>
        <w:t>context/environment factors (e.g., refresh rates, scenario design</w:t>
      </w:r>
      <w:r w:rsidR="005853A9">
        <w:rPr>
          <w:kern w:val="0"/>
        </w:rPr>
        <w:t xml:space="preserve"> and </w:t>
      </w:r>
      <w:r>
        <w:rPr>
          <w:kern w:val="0"/>
        </w:rPr>
        <w:t xml:space="preserve">duration, </w:t>
      </w:r>
      <w:r>
        <w:rPr>
          <w:kern w:val="0"/>
        </w:rPr>
        <w:lastRenderedPageBreak/>
        <w:t>simulator configuration,</w:t>
      </w:r>
      <w:r w:rsidR="005853A9">
        <w:rPr>
          <w:kern w:val="0"/>
        </w:rPr>
        <w:t xml:space="preserve"> and </w:t>
      </w:r>
      <w:r>
        <w:rPr>
          <w:kern w:val="0"/>
        </w:rPr>
        <w:t>calibration; Level B) probably increase</w:t>
      </w:r>
      <w:r w:rsidR="003A1917">
        <w:rPr>
          <w:kern w:val="0"/>
        </w:rPr>
        <w:t xml:space="preserve"> the </w:t>
      </w:r>
      <w:r>
        <w:rPr>
          <w:kern w:val="0"/>
        </w:rPr>
        <w:t>rates</w:t>
      </w:r>
      <w:r w:rsidR="00427468">
        <w:rPr>
          <w:kern w:val="0"/>
        </w:rPr>
        <w:t xml:space="preserve"> of </w:t>
      </w:r>
      <w:r>
        <w:rPr>
          <w:kern w:val="0"/>
        </w:rPr>
        <w:t>SS, whereas activity demands (vection, speed</w:t>
      </w:r>
      <w:r w:rsidR="00427468">
        <w:rPr>
          <w:kern w:val="0"/>
        </w:rPr>
        <w:t xml:space="preserve"> of </w:t>
      </w:r>
      <w:r>
        <w:rPr>
          <w:kern w:val="0"/>
        </w:rPr>
        <w:t>driving,</w:t>
      </w:r>
      <w:r w:rsidR="005853A9">
        <w:rPr>
          <w:kern w:val="0"/>
        </w:rPr>
        <w:t xml:space="preserve"> and </w:t>
      </w:r>
      <w:r>
        <w:rPr>
          <w:kern w:val="0"/>
        </w:rPr>
        <w:t>postural instability; Level C) possibly contribute to SS. CONCLUSION. We classified factors contributing to SS</w:t>
      </w:r>
      <w:r w:rsidR="005853A9">
        <w:rPr>
          <w:kern w:val="0"/>
        </w:rPr>
        <w:t xml:space="preserve"> and </w:t>
      </w:r>
      <w:r>
        <w:rPr>
          <w:kern w:val="0"/>
        </w:rPr>
        <w:t>identified</w:t>
      </w:r>
      <w:r w:rsidR="003A1917">
        <w:rPr>
          <w:kern w:val="0"/>
        </w:rPr>
        <w:t xml:space="preserve"> the </w:t>
      </w:r>
      <w:r>
        <w:rPr>
          <w:kern w:val="0"/>
        </w:rPr>
        <w:t>need for randomized trials to identify causes</w:t>
      </w:r>
      <w:r w:rsidR="00427468">
        <w:rPr>
          <w:kern w:val="0"/>
        </w:rPr>
        <w:t xml:space="preserve"> of </w:t>
      </w:r>
      <w:r>
        <w:rPr>
          <w:kern w:val="0"/>
        </w:rPr>
        <w:t>SS.</w:t>
      </w:r>
    </w:p>
    <w:p w:rsidR="00B84FA3" w:rsidRDefault="00B84FA3" w:rsidP="00B84FA3">
      <w:pPr>
        <w:pStyle w:val="a3"/>
        <w:rPr>
          <w:kern w:val="0"/>
        </w:rPr>
      </w:pPr>
      <w:r>
        <w:rPr>
          <w:kern w:val="0"/>
        </w:rPr>
        <w:t xml:space="preserve">Keywords: Automobile Driving, Computer Simulation, Driving, Environment, Google Scholar, History, Literature, Motion Sickness, Motion Sickness, Occupational, Older Drivers, Practice, Prediction, Proprioception, </w:t>
      </w:r>
      <w:r w:rsidR="002C12F0">
        <w:rPr>
          <w:kern w:val="0"/>
        </w:rPr>
        <w:t>PUBMED</w:t>
      </w:r>
      <w:r>
        <w:rPr>
          <w:kern w:val="0"/>
        </w:rPr>
        <w:t xml:space="preserve">, Review, Safety, Science, Somatosensory Disorders, </w:t>
      </w:r>
      <w:r w:rsidR="00D5664A">
        <w:rPr>
          <w:kern w:val="0"/>
        </w:rPr>
        <w:t>Web</w:t>
      </w:r>
      <w:r w:rsidR="00427468">
        <w:rPr>
          <w:kern w:val="0"/>
        </w:rPr>
        <w:t xml:space="preserve"> of </w:t>
      </w:r>
      <w:r w:rsidR="00D5664A">
        <w:rPr>
          <w:kern w:val="0"/>
        </w:rPr>
        <w:t>Science</w:t>
      </w:r>
      <w:r>
        <w:rPr>
          <w:kern w:val="0"/>
        </w:rPr>
        <w:t>, Women</w:t>
      </w:r>
    </w:p>
    <w:p w:rsidR="00B84FA3" w:rsidRDefault="00B84FA3" w:rsidP="00B84FA3">
      <w:pPr>
        <w:pStyle w:val="a3"/>
        <w:rPr>
          <w:kern w:val="0"/>
        </w:rPr>
      </w:pPr>
      <w:r w:rsidRPr="0089679A">
        <w:rPr>
          <w:rFonts w:hint="eastAsia"/>
          <w:kern w:val="0"/>
        </w:rPr>
        <w:t xml:space="preserve">? </w:t>
      </w:r>
      <w:r w:rsidRPr="00E379AF">
        <w:rPr>
          <w:kern w:val="0"/>
        </w:rPr>
        <w:t>Brown</w:t>
      </w:r>
      <w:r>
        <w:rPr>
          <w:rFonts w:hint="eastAsia"/>
          <w:kern w:val="0"/>
        </w:rPr>
        <w:t>,</w:t>
      </w:r>
      <w:r w:rsidRPr="00E379AF">
        <w:rPr>
          <w:kern w:val="0"/>
        </w:rPr>
        <w:t xml:space="preserve"> T</w:t>
      </w:r>
      <w:r>
        <w:rPr>
          <w:rFonts w:hint="eastAsia"/>
          <w:kern w:val="0"/>
        </w:rPr>
        <w:t>.</w:t>
      </w:r>
      <w:r w:rsidRPr="0089679A">
        <w:rPr>
          <w:kern w:val="0"/>
        </w:rPr>
        <w:t xml:space="preserve"> (201</w:t>
      </w:r>
      <w:r>
        <w:rPr>
          <w:rFonts w:hint="eastAsia"/>
          <w:kern w:val="0"/>
        </w:rPr>
        <w:t>1</w:t>
      </w:r>
      <w:r w:rsidRPr="0089679A">
        <w:rPr>
          <w:kern w:val="0"/>
        </w:rPr>
        <w:t xml:space="preserve">), </w:t>
      </w:r>
      <w:r w:rsidRPr="00E379AF">
        <w:rPr>
          <w:kern w:val="0"/>
        </w:rPr>
        <w:t>Journal quality metrics: Options to consider other than Impact Factors</w:t>
      </w:r>
      <w:r w:rsidRPr="0089679A">
        <w:rPr>
          <w:kern w:val="0"/>
        </w:rPr>
        <w:t xml:space="preserve">. </w:t>
      </w:r>
      <w:r w:rsidRPr="0089679A">
        <w:rPr>
          <w:i/>
          <w:iCs/>
          <w:kern w:val="0"/>
        </w:rPr>
        <w:t>American Journal</w:t>
      </w:r>
      <w:r w:rsidR="00427468">
        <w:rPr>
          <w:i/>
          <w:iCs/>
          <w:kern w:val="0"/>
        </w:rPr>
        <w:t xml:space="preserve"> of </w:t>
      </w:r>
      <w:r w:rsidRPr="0089679A">
        <w:rPr>
          <w:i/>
          <w:iCs/>
          <w:kern w:val="0"/>
        </w:rPr>
        <w:t>Occupational Therapy</w:t>
      </w:r>
      <w:r w:rsidRPr="0089679A">
        <w:rPr>
          <w:kern w:val="0"/>
        </w:rPr>
        <w:t xml:space="preserve">, </w:t>
      </w:r>
      <w:r w:rsidRPr="0089679A">
        <w:rPr>
          <w:b/>
          <w:bCs/>
          <w:kern w:val="0"/>
        </w:rPr>
        <w:t>6</w:t>
      </w:r>
      <w:r>
        <w:rPr>
          <w:rFonts w:hint="eastAsia"/>
          <w:b/>
          <w:bCs/>
          <w:kern w:val="0"/>
        </w:rPr>
        <w:t>5</w:t>
      </w:r>
      <w:r w:rsidRPr="0089679A">
        <w:rPr>
          <w:kern w:val="0"/>
        </w:rPr>
        <w:t xml:space="preserve"> (</w:t>
      </w:r>
      <w:r>
        <w:rPr>
          <w:rFonts w:hint="eastAsia"/>
          <w:kern w:val="0"/>
        </w:rPr>
        <w:t>3</w:t>
      </w:r>
      <w:r w:rsidRPr="0089679A">
        <w:rPr>
          <w:kern w:val="0"/>
        </w:rPr>
        <w:t xml:space="preserve">), </w:t>
      </w:r>
      <w:r w:rsidRPr="00E379AF">
        <w:rPr>
          <w:kern w:val="0"/>
        </w:rPr>
        <w:t>346-350</w:t>
      </w:r>
      <w:r w:rsidRPr="0089679A">
        <w:rPr>
          <w:rFonts w:hint="eastAsia"/>
          <w:kern w:val="0"/>
        </w:rPr>
        <w:t>.</w:t>
      </w:r>
    </w:p>
    <w:p w:rsidR="00B84FA3" w:rsidRDefault="00B84FA3" w:rsidP="00B84FA3">
      <w:pPr>
        <w:pStyle w:val="a3"/>
        <w:rPr>
          <w:kern w:val="0"/>
        </w:rPr>
      </w:pPr>
      <w:r>
        <w:rPr>
          <w:rFonts w:hint="eastAsia"/>
          <w:kern w:val="0"/>
        </w:rPr>
        <w:t xml:space="preserve">Full Text: </w:t>
      </w:r>
      <w:hyperlink r:id="rId561" w:history="1">
        <w:r w:rsidRPr="00E379AF">
          <w:rPr>
            <w:rStyle w:val="a5"/>
            <w:kern w:val="0"/>
          </w:rPr>
          <w:t>2011\Ame J Occ The65, 346.pdf</w:t>
        </w:r>
      </w:hyperlink>
    </w:p>
    <w:p w:rsidR="00B84FA3" w:rsidRPr="00E379AF" w:rsidRDefault="00B84FA3" w:rsidP="00B84FA3">
      <w:pPr>
        <w:pStyle w:val="a3"/>
        <w:rPr>
          <w:kern w:val="0"/>
        </w:rPr>
      </w:pPr>
      <w:r w:rsidRPr="00E379AF">
        <w:rPr>
          <w:kern w:val="0"/>
        </w:rPr>
        <w:t>Abstract: Journal quality metrics (also referred to as bibliometrics), such as impact factors, are increasingly being used as a measure</w:t>
      </w:r>
      <w:r w:rsidR="00427468">
        <w:rPr>
          <w:kern w:val="0"/>
        </w:rPr>
        <w:t xml:space="preserve"> of </w:t>
      </w:r>
      <w:r w:rsidRPr="00E379AF">
        <w:rPr>
          <w:kern w:val="0"/>
        </w:rPr>
        <w:t>researchers</w:t>
      </w:r>
      <w:r w:rsidR="00700038">
        <w:rPr>
          <w:kern w:val="0"/>
        </w:rPr>
        <w:t>’</w:t>
      </w:r>
      <w:r w:rsidR="005853A9">
        <w:rPr>
          <w:kern w:val="0"/>
        </w:rPr>
        <w:t xml:space="preserve"> and </w:t>
      </w:r>
      <w:r w:rsidRPr="00E379AF">
        <w:rPr>
          <w:kern w:val="0"/>
        </w:rPr>
        <w:t>educators</w:t>
      </w:r>
      <w:r w:rsidR="00700038">
        <w:rPr>
          <w:kern w:val="0"/>
        </w:rPr>
        <w:t>’</w:t>
      </w:r>
      <w:r w:rsidRPr="00E379AF">
        <w:rPr>
          <w:kern w:val="0"/>
        </w:rPr>
        <w:t xml:space="preserve"> success</w:t>
      </w:r>
      <w:r w:rsidR="005853A9">
        <w:rPr>
          <w:kern w:val="0"/>
        </w:rPr>
        <w:t xml:space="preserve"> and </w:t>
      </w:r>
      <w:r w:rsidRPr="00E379AF">
        <w:rPr>
          <w:kern w:val="0"/>
        </w:rPr>
        <w:t>prestige. Occupational therapists who submit articles to peer-reviewed journals may face a professional</w:t>
      </w:r>
      <w:r w:rsidR="005853A9">
        <w:rPr>
          <w:kern w:val="0"/>
        </w:rPr>
        <w:t xml:space="preserve"> and </w:t>
      </w:r>
      <w:r w:rsidRPr="00E379AF">
        <w:rPr>
          <w:kern w:val="0"/>
        </w:rPr>
        <w:t>research dilemma: Do they submit their articles to journals that largely have a professional audience</w:t>
      </w:r>
      <w:r w:rsidR="005853A9">
        <w:rPr>
          <w:kern w:val="0"/>
        </w:rPr>
        <w:t xml:space="preserve"> and </w:t>
      </w:r>
      <w:r w:rsidRPr="00E379AF">
        <w:rPr>
          <w:kern w:val="0"/>
        </w:rPr>
        <w:t>potentially do not have an impact factor, or do they opt not to publish their research material in occupational therapy oriented journals? Occupational therapy authors can consider other journal quality metric alternatives, in addition to</w:t>
      </w:r>
      <w:r w:rsidR="003A1917">
        <w:rPr>
          <w:kern w:val="0"/>
        </w:rPr>
        <w:t xml:space="preserve"> the </w:t>
      </w:r>
      <w:r w:rsidRPr="00E379AF">
        <w:rPr>
          <w:kern w:val="0"/>
        </w:rPr>
        <w:t>impact factor option, including</w:t>
      </w:r>
      <w:r w:rsidR="003A1917">
        <w:rPr>
          <w:kern w:val="0"/>
        </w:rPr>
        <w:t xml:space="preserve"> the </w:t>
      </w:r>
      <w:r w:rsidRPr="00E379AF">
        <w:rPr>
          <w:kern w:val="0"/>
        </w:rPr>
        <w:t xml:space="preserve">Eigenfactor Score, Article Influence Score, </w:t>
      </w:r>
      <w:r w:rsidR="00D5664A">
        <w:rPr>
          <w:kern w:val="0"/>
        </w:rPr>
        <w:t>h-Index</w:t>
      </w:r>
      <w:r w:rsidRPr="00E379AF">
        <w:rPr>
          <w:kern w:val="0"/>
        </w:rPr>
        <w:t>, SCImago Journal Rank (SJR), Source Normalised Impact per Paper (SNIP),</w:t>
      </w:r>
      <w:r w:rsidR="005853A9">
        <w:rPr>
          <w:kern w:val="0"/>
        </w:rPr>
        <w:t xml:space="preserve"> and </w:t>
      </w:r>
      <w:r w:rsidRPr="00E379AF">
        <w:rPr>
          <w:kern w:val="0"/>
        </w:rPr>
        <w:t>discipline-specific generated journal quality measures</w:t>
      </w:r>
      <w:r w:rsidR="00A37C1D">
        <w:rPr>
          <w:kern w:val="0"/>
        </w:rPr>
        <w:t>. The</w:t>
      </w:r>
      <w:r w:rsidRPr="00E379AF">
        <w:rPr>
          <w:kern w:val="0"/>
        </w:rPr>
        <w:t>se other journal quality metrics can be important reference points for occupational therapists who publish</w:t>
      </w:r>
      <w:r w:rsidR="005853A9">
        <w:rPr>
          <w:kern w:val="0"/>
        </w:rPr>
        <w:t xml:space="preserve"> and </w:t>
      </w:r>
      <w:r w:rsidRPr="00E379AF">
        <w:rPr>
          <w:kern w:val="0"/>
        </w:rPr>
        <w:t>may encourage authors to publish in journals relevant to</w:t>
      </w:r>
      <w:r w:rsidR="003A1917">
        <w:rPr>
          <w:kern w:val="0"/>
        </w:rPr>
        <w:t xml:space="preserve"> the </w:t>
      </w:r>
      <w:r w:rsidRPr="00E379AF">
        <w:rPr>
          <w:kern w:val="0"/>
        </w:rPr>
        <w:t>discipline. This process, in turn, will build</w:t>
      </w:r>
      <w:r w:rsidR="003A1917">
        <w:rPr>
          <w:kern w:val="0"/>
        </w:rPr>
        <w:t xml:space="preserve"> the </w:t>
      </w:r>
      <w:r w:rsidRPr="00E379AF">
        <w:rPr>
          <w:kern w:val="0"/>
        </w:rPr>
        <w:t>occupational therapy body</w:t>
      </w:r>
      <w:r w:rsidR="00427468">
        <w:rPr>
          <w:kern w:val="0"/>
        </w:rPr>
        <w:t xml:space="preserve"> of </w:t>
      </w:r>
      <w:r w:rsidRPr="00E379AF">
        <w:rPr>
          <w:kern w:val="0"/>
        </w:rPr>
        <w:t>knowledge as well as provide an essential, growing reference sour</w:t>
      </w:r>
      <w:r>
        <w:rPr>
          <w:kern w:val="0"/>
        </w:rPr>
        <w:t>ce for evidence-based practice.</w:t>
      </w:r>
    </w:p>
    <w:p w:rsidR="00B84FA3" w:rsidRPr="0089679A" w:rsidRDefault="00B84FA3" w:rsidP="00B84FA3">
      <w:pPr>
        <w:pStyle w:val="a3"/>
        <w:rPr>
          <w:kern w:val="0"/>
        </w:rPr>
      </w:pPr>
      <w:r w:rsidRPr="00E379AF">
        <w:rPr>
          <w:kern w:val="0"/>
        </w:rPr>
        <w:t>Keywords: Bibliometrics</w:t>
      </w:r>
      <w:r>
        <w:rPr>
          <w:kern w:val="0"/>
        </w:rPr>
        <w:t>,</w:t>
      </w:r>
      <w:r w:rsidRPr="00E379AF">
        <w:rPr>
          <w:kern w:val="0"/>
        </w:rPr>
        <w:t xml:space="preserve"> Journal Impact Factors</w:t>
      </w:r>
      <w:r>
        <w:rPr>
          <w:kern w:val="0"/>
        </w:rPr>
        <w:t>,</w:t>
      </w:r>
      <w:r w:rsidRPr="00E379AF">
        <w:rPr>
          <w:kern w:val="0"/>
        </w:rPr>
        <w:t xml:space="preserve"> Occupational Therapy</w:t>
      </w:r>
      <w:r>
        <w:rPr>
          <w:kern w:val="0"/>
        </w:rPr>
        <w:t>,</w:t>
      </w:r>
      <w:r w:rsidRPr="00E379AF">
        <w:rPr>
          <w:kern w:val="0"/>
        </w:rPr>
        <w:t xml:space="preserve"> Publications</w:t>
      </w:r>
      <w:r>
        <w:rPr>
          <w:kern w:val="0"/>
        </w:rPr>
        <w:t>,</w:t>
      </w:r>
      <w:r w:rsidRPr="00E379AF">
        <w:rPr>
          <w:kern w:val="0"/>
        </w:rPr>
        <w:t xml:space="preserve"> Occupation</w:t>
      </w:r>
      <w:r>
        <w:rPr>
          <w:kern w:val="0"/>
        </w:rPr>
        <w:t xml:space="preserve">al-Therapy, </w:t>
      </w:r>
      <w:r w:rsidR="00D5664A">
        <w:rPr>
          <w:rFonts w:hint="eastAsia"/>
          <w:kern w:val="0"/>
        </w:rPr>
        <w:t>h-Index</w:t>
      </w:r>
      <w:r>
        <w:rPr>
          <w:kern w:val="0"/>
        </w:rPr>
        <w:t>, Citations</w:t>
      </w:r>
    </w:p>
    <w:p w:rsidR="00B84FA3" w:rsidRDefault="00B84FA3" w:rsidP="00B84FA3">
      <w:pPr>
        <w:pStyle w:val="a3"/>
        <w:rPr>
          <w:kern w:val="0"/>
        </w:rPr>
      </w:pPr>
      <w:r w:rsidRPr="0089679A">
        <w:rPr>
          <w:rFonts w:hint="eastAsia"/>
          <w:kern w:val="0"/>
        </w:rPr>
        <w:t xml:space="preserve">? </w:t>
      </w:r>
      <w:r w:rsidRPr="00E379AF">
        <w:rPr>
          <w:kern w:val="0"/>
        </w:rPr>
        <w:t>Brown</w:t>
      </w:r>
      <w:r>
        <w:rPr>
          <w:rFonts w:hint="eastAsia"/>
          <w:kern w:val="0"/>
        </w:rPr>
        <w:t>,</w:t>
      </w:r>
      <w:r w:rsidRPr="00E379AF">
        <w:rPr>
          <w:kern w:val="0"/>
        </w:rPr>
        <w:t xml:space="preserve"> T</w:t>
      </w:r>
      <w:r>
        <w:rPr>
          <w:rFonts w:hint="eastAsia"/>
          <w:kern w:val="0"/>
        </w:rPr>
        <w:t>.</w:t>
      </w:r>
      <w:r w:rsidRPr="0089679A">
        <w:rPr>
          <w:kern w:val="0"/>
        </w:rPr>
        <w:t xml:space="preserve"> (201</w:t>
      </w:r>
      <w:r>
        <w:rPr>
          <w:rFonts w:hint="eastAsia"/>
          <w:kern w:val="0"/>
        </w:rPr>
        <w:t>1</w:t>
      </w:r>
      <w:r w:rsidRPr="0089679A">
        <w:rPr>
          <w:kern w:val="0"/>
        </w:rPr>
        <w:t xml:space="preserve">), </w:t>
      </w:r>
      <w:r w:rsidRPr="00E379AF">
        <w:rPr>
          <w:kern w:val="0"/>
        </w:rPr>
        <w:t>Journal quality metrics: Options to consider other than Impact Factors</w:t>
      </w:r>
      <w:r w:rsidRPr="0089679A">
        <w:rPr>
          <w:kern w:val="0"/>
        </w:rPr>
        <w:t xml:space="preserve">. </w:t>
      </w:r>
      <w:r w:rsidRPr="0089679A">
        <w:rPr>
          <w:i/>
          <w:iCs/>
          <w:kern w:val="0"/>
        </w:rPr>
        <w:t>American Journal</w:t>
      </w:r>
      <w:r w:rsidR="00427468">
        <w:rPr>
          <w:i/>
          <w:iCs/>
          <w:kern w:val="0"/>
        </w:rPr>
        <w:t xml:space="preserve"> of </w:t>
      </w:r>
      <w:r w:rsidRPr="0089679A">
        <w:rPr>
          <w:i/>
          <w:iCs/>
          <w:kern w:val="0"/>
        </w:rPr>
        <w:t>Occupational Therapy</w:t>
      </w:r>
      <w:r w:rsidRPr="0089679A">
        <w:rPr>
          <w:kern w:val="0"/>
        </w:rPr>
        <w:t xml:space="preserve">, </w:t>
      </w:r>
      <w:r w:rsidRPr="0089679A">
        <w:rPr>
          <w:b/>
          <w:bCs/>
          <w:kern w:val="0"/>
        </w:rPr>
        <w:t>6</w:t>
      </w:r>
      <w:r>
        <w:rPr>
          <w:rFonts w:hint="eastAsia"/>
          <w:b/>
          <w:bCs/>
          <w:kern w:val="0"/>
        </w:rPr>
        <w:t>5</w:t>
      </w:r>
      <w:r w:rsidRPr="0089679A">
        <w:rPr>
          <w:kern w:val="0"/>
        </w:rPr>
        <w:t xml:space="preserve"> (</w:t>
      </w:r>
      <w:r>
        <w:rPr>
          <w:rFonts w:hint="eastAsia"/>
          <w:kern w:val="0"/>
        </w:rPr>
        <w:t>3</w:t>
      </w:r>
      <w:r w:rsidRPr="0089679A">
        <w:rPr>
          <w:kern w:val="0"/>
        </w:rPr>
        <w:t xml:space="preserve">), </w:t>
      </w:r>
      <w:r w:rsidRPr="00E379AF">
        <w:rPr>
          <w:kern w:val="0"/>
        </w:rPr>
        <w:t>346-350</w:t>
      </w:r>
      <w:r w:rsidRPr="0089679A">
        <w:rPr>
          <w:rFonts w:hint="eastAsia"/>
          <w:kern w:val="0"/>
        </w:rPr>
        <w:t>.</w:t>
      </w:r>
    </w:p>
    <w:p w:rsidR="00B84FA3" w:rsidRDefault="00B84FA3" w:rsidP="00B84FA3">
      <w:pPr>
        <w:pStyle w:val="a3"/>
        <w:rPr>
          <w:kern w:val="0"/>
        </w:rPr>
      </w:pPr>
      <w:r>
        <w:rPr>
          <w:rFonts w:hint="eastAsia"/>
          <w:kern w:val="0"/>
        </w:rPr>
        <w:t xml:space="preserve">Full Text: </w:t>
      </w:r>
      <w:hyperlink r:id="rId562" w:history="1">
        <w:r w:rsidRPr="00E379AF">
          <w:rPr>
            <w:rStyle w:val="a5"/>
            <w:kern w:val="0"/>
          </w:rPr>
          <w:t>2011\Ame J Occ The65, 346.pdf</w:t>
        </w:r>
      </w:hyperlink>
    </w:p>
    <w:p w:rsidR="00B84FA3" w:rsidRPr="00E379AF" w:rsidRDefault="00B84FA3" w:rsidP="00B84FA3">
      <w:pPr>
        <w:pStyle w:val="a3"/>
        <w:rPr>
          <w:kern w:val="0"/>
        </w:rPr>
      </w:pPr>
      <w:r w:rsidRPr="00E379AF">
        <w:rPr>
          <w:kern w:val="0"/>
        </w:rPr>
        <w:t>Abstract: Journal quality metrics (also referred to as bibliometrics), such as impact factors, are increasingly being used as a measure</w:t>
      </w:r>
      <w:r w:rsidR="00427468">
        <w:rPr>
          <w:kern w:val="0"/>
        </w:rPr>
        <w:t xml:space="preserve"> of </w:t>
      </w:r>
      <w:r w:rsidRPr="00E379AF">
        <w:rPr>
          <w:kern w:val="0"/>
        </w:rPr>
        <w:t>researchers</w:t>
      </w:r>
      <w:r w:rsidR="00700038">
        <w:rPr>
          <w:kern w:val="0"/>
        </w:rPr>
        <w:t>’</w:t>
      </w:r>
      <w:r w:rsidR="005853A9">
        <w:rPr>
          <w:kern w:val="0"/>
        </w:rPr>
        <w:t xml:space="preserve"> and </w:t>
      </w:r>
      <w:r w:rsidRPr="00E379AF">
        <w:rPr>
          <w:kern w:val="0"/>
        </w:rPr>
        <w:t>educators</w:t>
      </w:r>
      <w:r w:rsidR="00700038">
        <w:rPr>
          <w:kern w:val="0"/>
        </w:rPr>
        <w:t>’</w:t>
      </w:r>
      <w:r w:rsidRPr="00E379AF">
        <w:rPr>
          <w:kern w:val="0"/>
        </w:rPr>
        <w:t xml:space="preserve"> success</w:t>
      </w:r>
      <w:r w:rsidR="005853A9">
        <w:rPr>
          <w:kern w:val="0"/>
        </w:rPr>
        <w:t xml:space="preserve"> and </w:t>
      </w:r>
      <w:r w:rsidRPr="00E379AF">
        <w:rPr>
          <w:kern w:val="0"/>
        </w:rPr>
        <w:t>prestige. Occupational therapists who submit articles to peer-reviewed journals may face a professional</w:t>
      </w:r>
      <w:r w:rsidR="005853A9">
        <w:rPr>
          <w:kern w:val="0"/>
        </w:rPr>
        <w:t xml:space="preserve"> and </w:t>
      </w:r>
      <w:r w:rsidRPr="00E379AF">
        <w:rPr>
          <w:kern w:val="0"/>
        </w:rPr>
        <w:t>research dilemma: Do they submit their articles to journals that largely have a professional audience</w:t>
      </w:r>
      <w:r w:rsidR="005853A9">
        <w:rPr>
          <w:kern w:val="0"/>
        </w:rPr>
        <w:t xml:space="preserve"> and </w:t>
      </w:r>
      <w:r w:rsidRPr="00E379AF">
        <w:rPr>
          <w:kern w:val="0"/>
        </w:rPr>
        <w:t>potentially do not have an impact factor, or do they opt not to publish their research material in occupational therapy oriented journals? Occupational therapy authors can consider other journal quality metric alternatives, in addition to</w:t>
      </w:r>
      <w:r w:rsidR="003A1917">
        <w:rPr>
          <w:kern w:val="0"/>
        </w:rPr>
        <w:t xml:space="preserve"> the </w:t>
      </w:r>
      <w:r w:rsidRPr="00E379AF">
        <w:rPr>
          <w:kern w:val="0"/>
        </w:rPr>
        <w:t>impact factor option, including</w:t>
      </w:r>
      <w:r w:rsidR="003A1917">
        <w:rPr>
          <w:kern w:val="0"/>
        </w:rPr>
        <w:t xml:space="preserve"> the </w:t>
      </w:r>
      <w:r w:rsidRPr="00E379AF">
        <w:rPr>
          <w:kern w:val="0"/>
        </w:rPr>
        <w:lastRenderedPageBreak/>
        <w:t xml:space="preserve">Eigenfactor Score, Article Influence Score, </w:t>
      </w:r>
      <w:r w:rsidR="00D5664A">
        <w:rPr>
          <w:kern w:val="0"/>
        </w:rPr>
        <w:t>h-Index</w:t>
      </w:r>
      <w:r w:rsidRPr="00E379AF">
        <w:rPr>
          <w:kern w:val="0"/>
        </w:rPr>
        <w:t>, SCImago Journal Rank (SJR), Source Normalised Impact per Paper (SNIP),</w:t>
      </w:r>
      <w:r w:rsidR="005853A9">
        <w:rPr>
          <w:kern w:val="0"/>
        </w:rPr>
        <w:t xml:space="preserve"> and </w:t>
      </w:r>
      <w:r w:rsidRPr="00E379AF">
        <w:rPr>
          <w:kern w:val="0"/>
        </w:rPr>
        <w:t>discipline-specific generated journal quality measures</w:t>
      </w:r>
      <w:r w:rsidR="00A37C1D">
        <w:rPr>
          <w:kern w:val="0"/>
        </w:rPr>
        <w:t>. The</w:t>
      </w:r>
      <w:r w:rsidRPr="00E379AF">
        <w:rPr>
          <w:kern w:val="0"/>
        </w:rPr>
        <w:t>se other journal quality metrics can be important reference points for occupational therapists who publish</w:t>
      </w:r>
      <w:r w:rsidR="005853A9">
        <w:rPr>
          <w:kern w:val="0"/>
        </w:rPr>
        <w:t xml:space="preserve"> and </w:t>
      </w:r>
      <w:r w:rsidRPr="00E379AF">
        <w:rPr>
          <w:kern w:val="0"/>
        </w:rPr>
        <w:t>may encourage authors to publish in journals relevant to</w:t>
      </w:r>
      <w:r w:rsidR="003A1917">
        <w:rPr>
          <w:kern w:val="0"/>
        </w:rPr>
        <w:t xml:space="preserve"> the </w:t>
      </w:r>
      <w:r w:rsidRPr="00E379AF">
        <w:rPr>
          <w:kern w:val="0"/>
        </w:rPr>
        <w:t>discipline. This process, in turn, will build</w:t>
      </w:r>
      <w:r w:rsidR="003A1917">
        <w:rPr>
          <w:kern w:val="0"/>
        </w:rPr>
        <w:t xml:space="preserve"> the </w:t>
      </w:r>
      <w:r w:rsidRPr="00E379AF">
        <w:rPr>
          <w:kern w:val="0"/>
        </w:rPr>
        <w:t>occupational therapy body</w:t>
      </w:r>
      <w:r w:rsidR="00427468">
        <w:rPr>
          <w:kern w:val="0"/>
        </w:rPr>
        <w:t xml:space="preserve"> of </w:t>
      </w:r>
      <w:r w:rsidRPr="00E379AF">
        <w:rPr>
          <w:kern w:val="0"/>
        </w:rPr>
        <w:t>knowledge as well as provide an essential, growing reference sour</w:t>
      </w:r>
      <w:r>
        <w:rPr>
          <w:kern w:val="0"/>
        </w:rPr>
        <w:t>ce for evidence-based practice.</w:t>
      </w:r>
    </w:p>
    <w:p w:rsidR="00B84FA3" w:rsidRPr="0089679A" w:rsidRDefault="00B84FA3" w:rsidP="00B84FA3">
      <w:pPr>
        <w:pStyle w:val="a3"/>
        <w:rPr>
          <w:kern w:val="0"/>
        </w:rPr>
      </w:pPr>
      <w:r w:rsidRPr="00E379AF">
        <w:rPr>
          <w:kern w:val="0"/>
        </w:rPr>
        <w:t>Keywords: Bibliometrics</w:t>
      </w:r>
      <w:r>
        <w:rPr>
          <w:kern w:val="0"/>
        </w:rPr>
        <w:t>,</w:t>
      </w:r>
      <w:r w:rsidRPr="00E379AF">
        <w:rPr>
          <w:kern w:val="0"/>
        </w:rPr>
        <w:t xml:space="preserve"> Journal Impact Factors</w:t>
      </w:r>
      <w:r>
        <w:rPr>
          <w:kern w:val="0"/>
        </w:rPr>
        <w:t>,</w:t>
      </w:r>
      <w:r w:rsidRPr="00E379AF">
        <w:rPr>
          <w:kern w:val="0"/>
        </w:rPr>
        <w:t xml:space="preserve"> Occupational Therapy</w:t>
      </w:r>
      <w:r>
        <w:rPr>
          <w:kern w:val="0"/>
        </w:rPr>
        <w:t>,</w:t>
      </w:r>
      <w:r w:rsidRPr="00E379AF">
        <w:rPr>
          <w:kern w:val="0"/>
        </w:rPr>
        <w:t xml:space="preserve"> Publications</w:t>
      </w:r>
      <w:r>
        <w:rPr>
          <w:kern w:val="0"/>
        </w:rPr>
        <w:t>,</w:t>
      </w:r>
      <w:r w:rsidRPr="00E379AF">
        <w:rPr>
          <w:kern w:val="0"/>
        </w:rPr>
        <w:t xml:space="preserve"> Occupation</w:t>
      </w:r>
      <w:r>
        <w:rPr>
          <w:kern w:val="0"/>
        </w:rPr>
        <w:t xml:space="preserve">al-Therapy, </w:t>
      </w:r>
      <w:r w:rsidR="00D5664A">
        <w:rPr>
          <w:rFonts w:hint="eastAsia"/>
          <w:kern w:val="0"/>
        </w:rPr>
        <w:t>h-Index</w:t>
      </w:r>
      <w:r>
        <w:rPr>
          <w:kern w:val="0"/>
        </w:rPr>
        <w:t>, Citations</w:t>
      </w:r>
    </w:p>
    <w:p w:rsidR="003474F2" w:rsidRPr="001A3D2B" w:rsidRDefault="003474F2" w:rsidP="003474F2">
      <w:pPr>
        <w:pStyle w:val="1"/>
      </w:pPr>
      <w:r w:rsidRPr="001A3D2B">
        <w:br w:type="page"/>
      </w:r>
      <w:bookmarkStart w:id="308" w:name="_Toc420814416"/>
      <w:r w:rsidRPr="001A3D2B">
        <w:lastRenderedPageBreak/>
        <w:t>Title: American Journal</w:t>
      </w:r>
      <w:r w:rsidR="00427468">
        <w:t xml:space="preserve"> of </w:t>
      </w:r>
      <w:r w:rsidRPr="001A3D2B">
        <w:t>Ophthalmology</w:t>
      </w:r>
      <w:bookmarkEnd w:id="308"/>
      <w:r w:rsidRPr="001A3D2B">
        <w:t xml:space="preserve"> </w:t>
      </w:r>
    </w:p>
    <w:p w:rsidR="003474F2" w:rsidRPr="001A3D2B" w:rsidRDefault="003474F2" w:rsidP="003474F2">
      <w:pPr>
        <w:pStyle w:val="12"/>
      </w:pPr>
      <w:r w:rsidRPr="001A3D2B">
        <w:t xml:space="preserve">Full Journal Title: </w:t>
      </w:r>
      <w:hyperlink r:id="rId563" w:history="1">
        <w:r w:rsidRPr="001A3D2B">
          <w:rPr>
            <w:rStyle w:val="a5"/>
          </w:rPr>
          <w:t>American Journal</w:t>
        </w:r>
        <w:r w:rsidR="00427468">
          <w:rPr>
            <w:rStyle w:val="a5"/>
          </w:rPr>
          <w:t xml:space="preserve"> of </w:t>
        </w:r>
        <w:r w:rsidRPr="001A3D2B">
          <w:rPr>
            <w:rStyle w:val="a5"/>
          </w:rPr>
          <w:t>Ophthalmology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Buchan, J.C., Norris, J.</w:t>
      </w:r>
      <w:r w:rsidR="005853A9">
        <w:t xml:space="preserve"> and </w:t>
      </w:r>
      <w:r w:rsidRPr="001A3D2B">
        <w:t>Kuper, H. (2005), Accuracy</w:t>
      </w:r>
      <w:r w:rsidR="00427468">
        <w:t xml:space="preserve"> of </w:t>
      </w:r>
      <w:r w:rsidRPr="001A3D2B">
        <w:t>referencing in</w:t>
      </w:r>
      <w:r w:rsidR="003A1917">
        <w:t xml:space="preserve"> the </w:t>
      </w:r>
      <w:r w:rsidRPr="001A3D2B">
        <w:t xml:space="preserve">ophthalmic literature. </w:t>
      </w:r>
      <w:r w:rsidRPr="001A3D2B">
        <w:rPr>
          <w:i/>
        </w:rPr>
        <w:t>American Journal</w:t>
      </w:r>
      <w:r w:rsidR="00427468">
        <w:rPr>
          <w:i/>
        </w:rPr>
        <w:t xml:space="preserve"> of </w:t>
      </w:r>
      <w:r w:rsidRPr="001A3D2B">
        <w:rPr>
          <w:i/>
        </w:rPr>
        <w:t>Ophthalmology</w:t>
      </w:r>
      <w:r w:rsidRPr="001A3D2B">
        <w:t xml:space="preserve">, </w:t>
      </w:r>
      <w:r w:rsidRPr="001A3D2B">
        <w:rPr>
          <w:b/>
        </w:rPr>
        <w:t>140</w:t>
      </w:r>
      <w:r w:rsidRPr="001A3D2B">
        <w:t xml:space="preserve"> (6), 1146-1148.</w:t>
      </w:r>
    </w:p>
    <w:p w:rsidR="003474F2" w:rsidRPr="001A3D2B" w:rsidRDefault="003474F2" w:rsidP="003474F2">
      <w:pPr>
        <w:pStyle w:val="a3"/>
      </w:pPr>
      <w:r w:rsidRPr="001A3D2B">
        <w:t xml:space="preserve">Full Text: </w:t>
      </w:r>
      <w:hyperlink r:id="rId564" w:history="1">
        <w:r w:rsidRPr="001A3D2B">
          <w:rPr>
            <w:rStyle w:val="a5"/>
          </w:rPr>
          <w:t>2005\Ame J Oph140, 1146.pdf</w:t>
        </w:r>
      </w:hyperlink>
    </w:p>
    <w:p w:rsidR="003474F2" w:rsidRPr="001A3D2B" w:rsidRDefault="003474F2" w:rsidP="003474F2">
      <w:pPr>
        <w:pStyle w:val="a3"/>
      </w:pPr>
      <w:r w:rsidRPr="001A3D2B">
        <w:t>Abstract: Purpose. To investigate</w:t>
      </w:r>
      <w:r w:rsidR="003A1917">
        <w:t xml:space="preserve"> the </w:t>
      </w:r>
      <w:r w:rsidRPr="001A3D2B">
        <w:t>frequency</w:t>
      </w:r>
      <w:r w:rsidR="00427468">
        <w:t xml:space="preserve"> of </w:t>
      </w:r>
      <w:r w:rsidRPr="001A3D2B">
        <w:t>citation</w:t>
      </w:r>
      <w:r w:rsidR="005853A9">
        <w:t xml:space="preserve"> and </w:t>
      </w:r>
      <w:r w:rsidRPr="001A3D2B">
        <w:t>quotation errors in</w:t>
      </w:r>
      <w:r w:rsidR="003A1917">
        <w:t xml:space="preserve"> the </w:t>
      </w:r>
      <w:r w:rsidRPr="001A3D2B">
        <w:t>ophthalmic literature. Design. Analysis</w:t>
      </w:r>
      <w:r w:rsidR="00427468">
        <w:t xml:space="preserve"> of </w:t>
      </w:r>
      <w:r w:rsidRPr="001A3D2B">
        <w:t>200 references from 100 papers published in 10 ophthalmic journals. Methods. A sample</w:t>
      </w:r>
      <w:r w:rsidR="00427468">
        <w:t xml:space="preserve"> of </w:t>
      </w:r>
      <w:r w:rsidRPr="001A3D2B">
        <w:t>20 references was randomly selected from each</w:t>
      </w:r>
      <w:r w:rsidR="00427468">
        <w:t xml:space="preserve"> of </w:t>
      </w:r>
      <w:r w:rsidR="003A1917">
        <w:t xml:space="preserve">the </w:t>
      </w:r>
      <w:r w:rsidRPr="001A3D2B">
        <w:t>10 journals</w:t>
      </w:r>
      <w:r w:rsidR="005853A9">
        <w:t xml:space="preserve"> and </w:t>
      </w:r>
      <w:r w:rsidRPr="001A3D2B">
        <w:t>each reference was checked for accuracy. Quotations were categorized as totally, partially, or not accurate. Results</w:t>
      </w:r>
      <w:r w:rsidR="00A37C1D">
        <w:t>. The</w:t>
      </w:r>
      <w:r w:rsidRPr="001A3D2B">
        <w:t>re were 35 citation errors in 32 references, only four</w:t>
      </w:r>
      <w:r w:rsidR="00427468">
        <w:t xml:space="preserve"> of </w:t>
      </w:r>
      <w:r w:rsidRPr="001A3D2B">
        <w:t xml:space="preserve">which were errors in </w:t>
      </w:r>
      <w:r w:rsidR="002C12F0">
        <w:t>PUBMED</w:t>
      </w:r>
      <w:r w:rsidRPr="001A3D2B">
        <w:t>. Thirty quotations</w:t>
      </w:r>
      <w:r w:rsidR="00427468">
        <w:t xml:space="preserve"> of </w:t>
      </w:r>
      <w:r w:rsidRPr="001A3D2B">
        <w:t>references were not accurate; 20 were partially accurate. Conclusions. Citation</w:t>
      </w:r>
      <w:r w:rsidR="005853A9">
        <w:t xml:space="preserve"> and </w:t>
      </w:r>
      <w:r w:rsidRPr="001A3D2B">
        <w:t>quotation errors are relatively common within</w:t>
      </w:r>
      <w:r w:rsidR="003A1917">
        <w:t xml:space="preserve"> the </w:t>
      </w:r>
      <w:r w:rsidRPr="001A3D2B">
        <w:t>ophthalmic literature. This may be improved through technical editing.</w:t>
      </w:r>
    </w:p>
    <w:p w:rsidR="003474F2" w:rsidRPr="001A3D2B" w:rsidRDefault="003474F2" w:rsidP="003474F2">
      <w:pPr>
        <w:pStyle w:val="a3"/>
      </w:pPr>
      <w:r w:rsidRPr="001A3D2B">
        <w:t xml:space="preserve">Keywords: Accuracy, Citation, Citation Errors, Design, Errors, Journals, Literature, Medical Journals, Methods, Papers, </w:t>
      </w:r>
      <w:r w:rsidR="002C12F0">
        <w:t>PUBMED</w:t>
      </w:r>
      <w:r w:rsidRPr="001A3D2B">
        <w:t>, Purpose, Quotation, Quotation Errors, Reference, References, Referencing</w:t>
      </w:r>
    </w:p>
    <w:p w:rsidR="003474F2" w:rsidRPr="001A3D2B" w:rsidRDefault="003474F2" w:rsidP="003474F2">
      <w:pPr>
        <w:pStyle w:val="a3"/>
      </w:pPr>
      <w:r w:rsidRPr="001A3D2B">
        <w:t>? Schachat, A.P. (2007), Peers review, editors decide,</w:t>
      </w:r>
      <w:r w:rsidR="005853A9">
        <w:t xml:space="preserve"> and </w:t>
      </w:r>
      <w:r w:rsidRPr="001A3D2B">
        <w:t xml:space="preserve">then, what? </w:t>
      </w:r>
      <w:r w:rsidRPr="001A3D2B">
        <w:rPr>
          <w:i/>
        </w:rPr>
        <w:t>American Journal</w:t>
      </w:r>
      <w:r w:rsidR="00427468">
        <w:rPr>
          <w:i/>
        </w:rPr>
        <w:t xml:space="preserve"> of </w:t>
      </w:r>
      <w:r w:rsidRPr="001A3D2B">
        <w:rPr>
          <w:i/>
        </w:rPr>
        <w:t>Ophthalmology</w:t>
      </w:r>
      <w:r w:rsidRPr="001A3D2B">
        <w:t xml:space="preserve">, </w:t>
      </w:r>
      <w:r w:rsidRPr="001A3D2B">
        <w:rPr>
          <w:b/>
        </w:rPr>
        <w:t>143</w:t>
      </w:r>
      <w:r w:rsidRPr="001A3D2B">
        <w:t xml:space="preserve"> (4), 677-678.</w:t>
      </w:r>
    </w:p>
    <w:p w:rsidR="003474F2" w:rsidRPr="001A3D2B" w:rsidRDefault="003474F2" w:rsidP="003474F2">
      <w:pPr>
        <w:pStyle w:val="a3"/>
      </w:pPr>
      <w:r w:rsidRPr="001A3D2B">
        <w:t xml:space="preserve">Full Text: </w:t>
      </w:r>
      <w:hyperlink r:id="rId565" w:history="1">
        <w:r w:rsidRPr="001A3D2B">
          <w:rPr>
            <w:rStyle w:val="a5"/>
          </w:rPr>
          <w:t>2007\Ame J Oph143, 677.pdf</w:t>
        </w:r>
      </w:hyperlink>
    </w:p>
    <w:p w:rsidR="003474F2" w:rsidRPr="001A3D2B" w:rsidRDefault="003474F2" w:rsidP="003474F2">
      <w:pPr>
        <w:pStyle w:val="a3"/>
      </w:pPr>
      <w:r w:rsidRPr="001A3D2B">
        <w:t>Keywords: Review</w:t>
      </w:r>
    </w:p>
    <w:p w:rsidR="003474F2" w:rsidRPr="001A3D2B" w:rsidRDefault="003474F2" w:rsidP="003474F2">
      <w:pPr>
        <w:pStyle w:val="a3"/>
        <w:rPr>
          <w:rStyle w:val="a4"/>
        </w:rPr>
      </w:pPr>
      <w:r w:rsidRPr="001A3D2B">
        <w:t>? Liesegang, T.J., Shaikh, M.</w:t>
      </w:r>
      <w:r w:rsidR="005853A9">
        <w:t xml:space="preserve"> and </w:t>
      </w:r>
      <w:r w:rsidRPr="001A3D2B">
        <w:t>Crook, J.E. (2007</w:t>
      </w:r>
      <w:r w:rsidR="00F42EAC">
        <w:t>), The</w:t>
      </w:r>
      <w:r w:rsidR="003A1917">
        <w:t xml:space="preserve"> </w:t>
      </w:r>
      <w:r w:rsidRPr="001A3D2B">
        <w:t>outcome</w:t>
      </w:r>
      <w:r w:rsidR="00427468">
        <w:t xml:space="preserve"> of </w:t>
      </w:r>
      <w:r w:rsidRPr="001A3D2B">
        <w:t>manuscripts submitted to</w:t>
      </w:r>
      <w:r w:rsidR="003A1917">
        <w:t xml:space="preserve"> the </w:t>
      </w:r>
      <w:r w:rsidRPr="001A3D2B">
        <w:rPr>
          <w:i/>
          <w:iCs/>
        </w:rPr>
        <w:t>American Journal</w:t>
      </w:r>
      <w:r w:rsidR="00427468">
        <w:rPr>
          <w:i/>
          <w:iCs/>
        </w:rPr>
        <w:t xml:space="preserve"> of </w:t>
      </w:r>
      <w:r w:rsidRPr="001A3D2B">
        <w:rPr>
          <w:i/>
          <w:iCs/>
        </w:rPr>
        <w:t>Ophthalmology</w:t>
      </w:r>
      <w:r w:rsidRPr="001A3D2B">
        <w:rPr>
          <w:rStyle w:val="a4"/>
        </w:rPr>
        <w:t xml:space="preserve"> between 2002</w:t>
      </w:r>
      <w:r w:rsidR="005853A9">
        <w:rPr>
          <w:rStyle w:val="a4"/>
        </w:rPr>
        <w:t xml:space="preserve"> and </w:t>
      </w:r>
      <w:r w:rsidRPr="001A3D2B">
        <w:rPr>
          <w:rStyle w:val="a4"/>
        </w:rPr>
        <w:t xml:space="preserve">2003. </w:t>
      </w:r>
      <w:r w:rsidRPr="001A3D2B">
        <w:rPr>
          <w:i/>
          <w:iCs/>
        </w:rPr>
        <w:t>American Journal</w:t>
      </w:r>
      <w:r w:rsidR="00427468">
        <w:rPr>
          <w:i/>
          <w:iCs/>
        </w:rPr>
        <w:t xml:space="preserve"> of </w:t>
      </w:r>
      <w:r w:rsidRPr="001A3D2B">
        <w:rPr>
          <w:i/>
          <w:iCs/>
        </w:rPr>
        <w:t>Ophthalmology</w:t>
      </w:r>
      <w:r w:rsidRPr="001A3D2B">
        <w:rPr>
          <w:rStyle w:val="a4"/>
        </w:rPr>
        <w:t xml:space="preserve">, </w:t>
      </w:r>
      <w:r w:rsidRPr="001A3D2B">
        <w:rPr>
          <w:b/>
          <w:bCs/>
        </w:rPr>
        <w:t>143</w:t>
      </w:r>
      <w:r w:rsidRPr="001A3D2B">
        <w:rPr>
          <w:rStyle w:val="a4"/>
        </w:rPr>
        <w:t xml:space="preserve"> (4), 551-560.</w:t>
      </w:r>
    </w:p>
    <w:p w:rsidR="003474F2" w:rsidRPr="001A3D2B" w:rsidRDefault="003474F2" w:rsidP="003474F2">
      <w:pPr>
        <w:pStyle w:val="a3"/>
      </w:pPr>
      <w:r w:rsidRPr="001A3D2B">
        <w:t xml:space="preserve">Full Text: </w:t>
      </w:r>
      <w:hyperlink r:id="rId566" w:history="1">
        <w:r w:rsidRPr="001A3D2B">
          <w:rPr>
            <w:rStyle w:val="a5"/>
          </w:rPr>
          <w:t>2007\Ame J Oph143, 551.pdf</w:t>
        </w:r>
      </w:hyperlink>
    </w:p>
    <w:p w:rsidR="003474F2" w:rsidRPr="001A3D2B" w:rsidRDefault="003474F2" w:rsidP="003474F2">
      <w:pPr>
        <w:pStyle w:val="a3"/>
      </w:pPr>
      <w:r w:rsidRPr="001A3D2B">
        <w:t>Abstract: center dot PURPOSE: To investigate</w:t>
      </w:r>
      <w:r w:rsidR="003A1917">
        <w:t xml:space="preserve"> the </w:t>
      </w:r>
      <w:r w:rsidRPr="001A3D2B">
        <w:t>outcome</w:t>
      </w:r>
      <w:r w:rsidR="00427468">
        <w:t xml:space="preserve"> of </w:t>
      </w:r>
      <w:r w:rsidRPr="001A3D2B">
        <w:t>manuscripts submitted to</w:t>
      </w:r>
      <w:r w:rsidR="003A1917">
        <w:t xml:space="preserve"> the </w:t>
      </w:r>
      <w:r w:rsidRPr="001A3D2B">
        <w:t>American Journal</w:t>
      </w:r>
      <w:r w:rsidR="00427468">
        <w:t xml:space="preserve"> of </w:t>
      </w:r>
      <w:r w:rsidRPr="001A3D2B">
        <w:t>Ophthalmology (AJO) between July 23, 2002</w:t>
      </w:r>
      <w:r w:rsidR="005853A9">
        <w:t xml:space="preserve"> and </w:t>
      </w:r>
      <w:r w:rsidRPr="001A3D2B">
        <w:lastRenderedPageBreak/>
        <w:t>December 31, 2003. center dot DESIGN: Observational series. center dot METHODS: Data were collected on all Full,Length Articles</w:t>
      </w:r>
      <w:r w:rsidR="005853A9">
        <w:t xml:space="preserve"> and </w:t>
      </w:r>
      <w:r w:rsidRPr="001A3D2B">
        <w:t>Brief Reports submitted to</w:t>
      </w:r>
      <w:r w:rsidR="003A1917">
        <w:t xml:space="preserve"> the </w:t>
      </w:r>
      <w:r w:rsidRPr="001A3D2B">
        <w:t>AJO. Data were recorded for rejected or withdrawn manuscripts about</w:t>
      </w:r>
      <w:r w:rsidR="003A1917">
        <w:t xml:space="preserve"> the </w:t>
      </w:r>
      <w:r w:rsidRPr="001A3D2B">
        <w:t>date</w:t>
      </w:r>
      <w:r w:rsidR="00427468">
        <w:t xml:space="preserve"> of </w:t>
      </w:r>
      <w:r w:rsidRPr="001A3D2B">
        <w:t>submission</w:t>
      </w:r>
      <w:r w:rsidR="005853A9">
        <w:t xml:space="preserve"> and </w:t>
      </w:r>
      <w:r w:rsidRPr="001A3D2B">
        <w:t>decision, category</w:t>
      </w:r>
      <w:r w:rsidR="00427468">
        <w:t xml:space="preserve"> of </w:t>
      </w:r>
      <w:r w:rsidRPr="001A3D2B">
        <w:t>decision, type</w:t>
      </w:r>
      <w:r w:rsidR="00427468">
        <w:t xml:space="preserve"> of </w:t>
      </w:r>
      <w:r w:rsidRPr="001A3D2B">
        <w:t>article, manuscript region</w:t>
      </w:r>
      <w:r w:rsidR="00427468">
        <w:t xml:space="preserve"> of </w:t>
      </w:r>
      <w:r w:rsidRPr="001A3D2B">
        <w:t>origin, alternate journal</w:t>
      </w:r>
      <w:r w:rsidR="00427468">
        <w:t xml:space="preserve"> of </w:t>
      </w:r>
      <w:r w:rsidRPr="001A3D2B">
        <w:t>manuscript, date</w:t>
      </w:r>
      <w:r w:rsidR="00427468">
        <w:t xml:space="preserve"> of </w:t>
      </w:r>
      <w:r w:rsidRPr="001A3D2B">
        <w:t>publication,</w:t>
      </w:r>
      <w:r w:rsidR="005853A9">
        <w:t xml:space="preserve"> and </w:t>
      </w:r>
      <w:r w:rsidRPr="001A3D2B">
        <w:t>impact factor</w:t>
      </w:r>
      <w:r w:rsidR="005853A9">
        <w:t xml:space="preserve"> and </w:t>
      </w:r>
      <w:r w:rsidRPr="001A3D2B">
        <w:t>immediacy index</w:t>
      </w:r>
      <w:r w:rsidR="00427468">
        <w:t xml:space="preserve"> of </w:t>
      </w:r>
      <w:r w:rsidR="003A1917">
        <w:t xml:space="preserve">the </w:t>
      </w:r>
      <w:r w:rsidRPr="001A3D2B">
        <w:t>subsequent journal. Corresponding data were collected from</w:t>
      </w:r>
      <w:r w:rsidR="003A1917">
        <w:t xml:space="preserve"> the </w:t>
      </w:r>
      <w:r w:rsidRPr="001A3D2B">
        <w:t>manuscripts accepted over</w:t>
      </w:r>
      <w:r w:rsidR="003A1917">
        <w:t xml:space="preserve"> the </w:t>
      </w:r>
      <w:r w:rsidRPr="001A3D2B">
        <w:t>same period</w:t>
      </w:r>
      <w:r w:rsidR="00A37C1D">
        <w:t>. The</w:t>
      </w:r>
      <w:r w:rsidR="003A1917">
        <w:t xml:space="preserve"> </w:t>
      </w:r>
      <w:r w:rsidRPr="001A3D2B">
        <w:t xml:space="preserve">Advanced </w:t>
      </w:r>
      <w:r w:rsidR="002C12F0">
        <w:t>PUBMED</w:t>
      </w:r>
      <w:r w:rsidRPr="001A3D2B">
        <w:t xml:space="preserve"> online database was searched to determine if</w:t>
      </w:r>
      <w:r w:rsidR="003A1917">
        <w:t xml:space="preserve"> the </w:t>
      </w:r>
      <w:r w:rsidRPr="001A3D2B">
        <w:t>rejected or withdrawn manuscripts were published elsewhere</w:t>
      </w:r>
      <w:r w:rsidR="00A37C1D">
        <w:t>. The</w:t>
      </w:r>
      <w:r w:rsidR="003A1917">
        <w:t xml:space="preserve"> </w:t>
      </w:r>
      <w:r w:rsidRPr="001A3D2B">
        <w:t>impact factor</w:t>
      </w:r>
      <w:r w:rsidR="005853A9">
        <w:t xml:space="preserve"> and </w:t>
      </w:r>
      <w:r w:rsidR="003A1917">
        <w:t xml:space="preserve">the </w:t>
      </w:r>
      <w:r w:rsidRPr="001A3D2B">
        <w:t>immediacy index</w:t>
      </w:r>
      <w:r w:rsidR="00427468">
        <w:t xml:space="preserve"> of </w:t>
      </w:r>
      <w:r w:rsidR="003A1917">
        <w:t xml:space="preserve">the </w:t>
      </w:r>
      <w:r w:rsidRPr="001A3D2B">
        <w:t>journal</w:t>
      </w:r>
      <w:r w:rsidR="00427468">
        <w:t xml:space="preserve"> of </w:t>
      </w:r>
      <w:r w:rsidR="003A1917">
        <w:t xml:space="preserve">the </w:t>
      </w:r>
      <w:r w:rsidRPr="001A3D2B">
        <w:t>subsequent journal was then recorded</w:t>
      </w:r>
      <w:r w:rsidR="005853A9">
        <w:t xml:space="preserve"> and </w:t>
      </w:r>
      <w:r w:rsidRPr="001A3D2B">
        <w:t>compared with those</w:t>
      </w:r>
      <w:r w:rsidR="00427468">
        <w:t xml:space="preserve"> of </w:t>
      </w:r>
      <w:r w:rsidR="003A1917">
        <w:t xml:space="preserve">the </w:t>
      </w:r>
      <w:r w:rsidRPr="001A3D2B">
        <w:t>AJO, using</w:t>
      </w:r>
      <w:r w:rsidR="003A1917">
        <w:t xml:space="preserve"> the </w:t>
      </w:r>
      <w:r w:rsidRPr="001A3D2B">
        <w:t>year 2004 for comparison. center dot RESULTS:</w:t>
      </w:r>
      <w:r w:rsidR="00427468">
        <w:t xml:space="preserve"> of </w:t>
      </w:r>
      <w:r w:rsidRPr="001A3D2B">
        <w:t>2,026 manuscripts submitted, 1,444 were rejected by</w:t>
      </w:r>
      <w:r w:rsidR="003A1917">
        <w:t xml:space="preserve"> the </w:t>
      </w:r>
      <w:r w:rsidRPr="001A3D2B">
        <w:t>AJO or withdrawn by</w:t>
      </w:r>
      <w:r w:rsidR="003A1917">
        <w:t xml:space="preserve"> the </w:t>
      </w:r>
      <w:r w:rsidRPr="001A3D2B">
        <w:t>authors</w:t>
      </w:r>
      <w:r w:rsidR="005853A9">
        <w:t xml:space="preserve"> and </w:t>
      </w:r>
      <w:r w:rsidRPr="001A3D2B">
        <w:t>50%</w:t>
      </w:r>
      <w:r w:rsidR="00427468">
        <w:t xml:space="preserve"> of </w:t>
      </w:r>
      <w:r w:rsidRPr="001A3D2B">
        <w:t xml:space="preserve">these were subsequently published elsewhere in a </w:t>
      </w:r>
      <w:r w:rsidR="002C12F0">
        <w:t>PUBMED</w:t>
      </w:r>
      <w:r w:rsidRPr="001A3D2B">
        <w:t xml:space="preserve"> listed journal</w:t>
      </w:r>
      <w:r w:rsidR="00A37C1D">
        <w:t>. The</w:t>
      </w:r>
      <w:r w:rsidR="003A1917">
        <w:t xml:space="preserve"> </w:t>
      </w:r>
      <w:r w:rsidRPr="001A3D2B">
        <w:t>rejected or withdrawn articles were typically published in lower impact journals, most commonly in general ophthalmology journals in</w:t>
      </w:r>
      <w:r w:rsidR="003A1917">
        <w:t xml:space="preserve"> the </w:t>
      </w:r>
      <w:r w:rsidRPr="001A3D2B">
        <w:t>author</w:t>
      </w:r>
      <w:r w:rsidR="00700038">
        <w:t>’</w:t>
      </w:r>
      <w:r w:rsidR="00C13DDC">
        <w:t>s</w:t>
      </w:r>
      <w:r w:rsidRPr="001A3D2B">
        <w:t xml:space="preserve"> region or in subspecialty journals, although several were published in higher impact journals</w:t>
      </w:r>
      <w:r w:rsidR="00A37C1D">
        <w:t>. The</w:t>
      </w:r>
      <w:r w:rsidR="003A1917">
        <w:t xml:space="preserve"> </w:t>
      </w:r>
      <w:r w:rsidRPr="001A3D2B">
        <w:t>727 articles were published in 94 different journals</w:t>
      </w:r>
      <w:r w:rsidR="005853A9">
        <w:t xml:space="preserve"> and </w:t>
      </w:r>
      <w:r w:rsidRPr="001A3D2B">
        <w:t>usually with an extended delay. center dot CONCLUSIONS: Rejection</w:t>
      </w:r>
      <w:r w:rsidR="00427468">
        <w:t xml:space="preserve"> of </w:t>
      </w:r>
      <w:r w:rsidRPr="001A3D2B">
        <w:t>a manuscript by</w:t>
      </w:r>
      <w:r w:rsidR="003A1917">
        <w:t xml:space="preserve"> the </w:t>
      </w:r>
      <w:r w:rsidRPr="001A3D2B">
        <w:t>AJO does not preclude publication, but rejected manuscripts are published more often in journals that serve a smaller readership</w:t>
      </w:r>
      <w:r w:rsidR="005853A9">
        <w:t xml:space="preserve"> and </w:t>
      </w:r>
      <w:r w:rsidRPr="001A3D2B">
        <w:t>are cited less frequently, although exceptions exist.</w:t>
      </w:r>
    </w:p>
    <w:p w:rsidR="003474F2" w:rsidRPr="001A3D2B" w:rsidRDefault="003474F2" w:rsidP="003474F2">
      <w:pPr>
        <w:pStyle w:val="a3"/>
      </w:pPr>
      <w:r w:rsidRPr="001A3D2B">
        <w:t xml:space="preserve">Keywords: Comparison, Data, Database, Decision, Design, General, Immediacy Index, Impact, Impact Factor, Index, Journal, Journals, Methods, Origin, Outcome, Publication, </w:t>
      </w:r>
      <w:r w:rsidR="002C12F0">
        <w:t>PUBMED</w:t>
      </w:r>
      <w:r w:rsidRPr="001A3D2B">
        <w:t>, Purpose</w:t>
      </w:r>
    </w:p>
    <w:p w:rsidR="003474F2" w:rsidRPr="001A3D2B" w:rsidRDefault="003474F2" w:rsidP="003474F2">
      <w:pPr>
        <w:pStyle w:val="a3"/>
      </w:pPr>
      <w:r w:rsidRPr="001A3D2B">
        <w:t>? Wilhelmus, K.R. (2007), Redundant publication</w:t>
      </w:r>
      <w:r w:rsidR="00427468">
        <w:t xml:space="preserve"> of </w:t>
      </w:r>
      <w:r w:rsidRPr="001A3D2B">
        <w:t xml:space="preserve">clinical trials on herpetic keratitis. </w:t>
      </w:r>
      <w:r w:rsidRPr="001A3D2B">
        <w:rPr>
          <w:i/>
          <w:iCs/>
        </w:rPr>
        <w:t>American Journal</w:t>
      </w:r>
      <w:r w:rsidR="00427468">
        <w:rPr>
          <w:i/>
          <w:iCs/>
        </w:rPr>
        <w:t xml:space="preserve"> of </w:t>
      </w:r>
      <w:r w:rsidRPr="001A3D2B">
        <w:rPr>
          <w:i/>
          <w:iCs/>
        </w:rPr>
        <w:t>Ophthalmology</w:t>
      </w:r>
      <w:r w:rsidRPr="001A3D2B">
        <w:t xml:space="preserve">, </w:t>
      </w:r>
      <w:r w:rsidRPr="001A3D2B">
        <w:rPr>
          <w:b/>
          <w:bCs/>
        </w:rPr>
        <w:t>144</w:t>
      </w:r>
      <w:r w:rsidRPr="001A3D2B">
        <w:t xml:space="preserve"> (2), 222-226.</w:t>
      </w:r>
    </w:p>
    <w:p w:rsidR="003474F2" w:rsidRPr="001A3D2B" w:rsidRDefault="003474F2" w:rsidP="003474F2">
      <w:pPr>
        <w:pStyle w:val="a3"/>
      </w:pPr>
      <w:r w:rsidRPr="001A3D2B">
        <w:t xml:space="preserve">Full Text: </w:t>
      </w:r>
      <w:hyperlink r:id="rId567" w:history="1">
        <w:r w:rsidRPr="001A3D2B">
          <w:rPr>
            <w:rStyle w:val="a5"/>
          </w:rPr>
          <w:t>2007\Ame J Oph144, 222.pdf</w:t>
        </w:r>
      </w:hyperlink>
    </w:p>
    <w:p w:rsidR="003474F2" w:rsidRPr="001A3D2B" w:rsidRDefault="003474F2" w:rsidP="003474F2">
      <w:pPr>
        <w:pStyle w:val="a3"/>
      </w:pPr>
      <w:r w:rsidRPr="001A3D2B">
        <w:t>Abstract: PURPOSE: To examine reported clinical trials on herpes simplex virus epithelial keratitis as a case study for</w:t>
      </w:r>
      <w:r w:rsidR="003A1917">
        <w:t xml:space="preserve"> the </w:t>
      </w:r>
      <w:r w:rsidRPr="001A3D2B">
        <w:t>configuration</w:t>
      </w:r>
      <w:r w:rsidR="005853A9">
        <w:t xml:space="preserve"> and </w:t>
      </w:r>
      <w:r w:rsidRPr="001A3D2B">
        <w:t>possible motives</w:t>
      </w:r>
      <w:r w:rsidR="00427468">
        <w:t xml:space="preserve"> of </w:t>
      </w:r>
      <w:r w:rsidRPr="001A3D2B">
        <w:t>overlapping publications in</w:t>
      </w:r>
      <w:r w:rsidR="003A1917">
        <w:t xml:space="preserve"> the </w:t>
      </w:r>
      <w:r w:rsidRPr="001A3D2B">
        <w:t>ophthalmic literature. DESIGN: Cross-sectional bibliometric survey. METHODS: One hundred</w:t>
      </w:r>
      <w:r w:rsidR="005853A9">
        <w:t xml:space="preserve"> and </w:t>
      </w:r>
      <w:r w:rsidRPr="001A3D2B">
        <w:t>forty, four reports</w:t>
      </w:r>
      <w:r w:rsidR="00427468">
        <w:t xml:space="preserve"> of </w:t>
      </w:r>
      <w:r w:rsidRPr="001A3D2B">
        <w:t>98 randomized clinical trials that formed</w:t>
      </w:r>
      <w:r w:rsidR="003A1917">
        <w:t xml:space="preserve"> the </w:t>
      </w:r>
      <w:r w:rsidRPr="001A3D2B">
        <w:t>framework for a systematic review on dendritic</w:t>
      </w:r>
      <w:r w:rsidR="005853A9">
        <w:t xml:space="preserve"> and </w:t>
      </w:r>
      <w:r w:rsidRPr="001A3D2B">
        <w:t>geographic keratitis were assembled by electronic</w:t>
      </w:r>
      <w:r w:rsidR="005853A9">
        <w:t xml:space="preserve"> and </w:t>
      </w:r>
      <w:r w:rsidRPr="001A3D2B">
        <w:t>manual searching</w:t>
      </w:r>
      <w:r w:rsidR="00427468">
        <w:t xml:space="preserve"> of </w:t>
      </w:r>
      <w:r w:rsidRPr="001A3D2B">
        <w:t>biomedical journals</w:t>
      </w:r>
      <w:r w:rsidR="005853A9">
        <w:t xml:space="preserve"> and </w:t>
      </w:r>
      <w:r w:rsidRPr="001A3D2B">
        <w:t>transactions, excluding meeting abstracts. Overlapping reports were identified by comparing methods</w:t>
      </w:r>
      <w:r w:rsidR="005853A9">
        <w:t xml:space="preserve"> and </w:t>
      </w:r>
      <w:r w:rsidRPr="001A3D2B">
        <w:t>results. Main articles giving</w:t>
      </w:r>
      <w:r w:rsidR="003A1917">
        <w:t xml:space="preserve"> the </w:t>
      </w:r>
      <w:r w:rsidRPr="001A3D2B">
        <w:t>most detailed results among overlapping reports were contrasted with trial reports without duplication. Annual citation rates since publication were estimated from</w:t>
      </w:r>
      <w:r w:rsidR="003A1917">
        <w:t xml:space="preserve"> the </w:t>
      </w:r>
      <w:r w:rsidRPr="001A3D2B">
        <w:t>number</w:t>
      </w:r>
      <w:r w:rsidR="00427468">
        <w:t xml:space="preserve"> of </w:t>
      </w:r>
      <w:r w:rsidRPr="001A3D2B">
        <w:t xml:space="preserve">times each report was cited by subsequent scientific articles indexed in an online citation database. RESULTS: Sixty-one articles were published </w:t>
      </w:r>
      <w:r w:rsidRPr="001A3D2B">
        <w:lastRenderedPageBreak/>
        <w:t>once, while 83 articles overlapped in 23 clusters,</w:t>
      </w:r>
      <w:r w:rsidR="00427468">
        <w:t xml:space="preserve"> of </w:t>
      </w:r>
      <w:r w:rsidRPr="001A3D2B">
        <w:t>which 14 (50%) lacked bibliographic cross, reference.</w:t>
      </w:r>
      <w:r w:rsidR="00427468">
        <w:t xml:space="preserve"> of </w:t>
      </w:r>
      <w:r w:rsidRPr="001A3D2B">
        <w:t>55 secondary reports, 34 (62%) had a smaller sample size than their corresponding main report. Secondary articles were less likely to appear in an ophthalmological publication than main reports (P &lt; .001)</w:t>
      </w:r>
      <w:r w:rsidR="005853A9">
        <w:t xml:space="preserve"> and </w:t>
      </w:r>
      <w:r w:rsidRPr="001A3D2B">
        <w:t>were later cited less often (P =.01). Compared to trial reports published once, main articles with an overlapping report had a significantly higher citation rate (P =.04). CONCLUSION: Overlapping publications</w:t>
      </w:r>
      <w:r w:rsidR="00427468">
        <w:t xml:space="preserve"> of </w:t>
      </w:r>
      <w:r w:rsidRPr="001A3D2B">
        <w:t>therapeutic trials on herpetic keratitis often had undisclosed or fragmentary interconnections. Subsequent authors cited articles having an overlapping report more often than trials published once.</w:t>
      </w:r>
    </w:p>
    <w:p w:rsidR="003474F2" w:rsidRPr="001A3D2B" w:rsidRDefault="003474F2" w:rsidP="003474F2">
      <w:pPr>
        <w:pStyle w:val="a3"/>
      </w:pPr>
      <w:r w:rsidRPr="001A3D2B">
        <w:t>Keywords: Authors, Duplicate Publication, Editors, Journals, Misconduct, Publications, Responsibilities, Reviewers, Series, Statement</w:t>
      </w:r>
    </w:p>
    <w:p w:rsidR="00E62C3C" w:rsidRDefault="00E62C3C" w:rsidP="00E62C3C">
      <w:pPr>
        <w:pStyle w:val="a3"/>
        <w:rPr>
          <w:kern w:val="0"/>
        </w:rPr>
      </w:pPr>
      <w:r>
        <w:rPr>
          <w:rFonts w:hint="eastAsia"/>
          <w:kern w:val="0"/>
        </w:rPr>
        <w:t xml:space="preserve">? </w:t>
      </w:r>
      <w:r>
        <w:rPr>
          <w:kern w:val="0"/>
        </w:rPr>
        <w:t xml:space="preserve">Cauchi, P.A., Ang, G.S., </w:t>
      </w:r>
      <w:r>
        <w:rPr>
          <w:rFonts w:hint="eastAsia"/>
          <w:kern w:val="0"/>
        </w:rPr>
        <w:t>A</w:t>
      </w:r>
      <w:r>
        <w:rPr>
          <w:kern w:val="0"/>
        </w:rPr>
        <w:t>zuara-Blanco, A.</w:t>
      </w:r>
      <w:r w:rsidR="005853A9">
        <w:rPr>
          <w:kern w:val="0"/>
        </w:rPr>
        <w:t xml:space="preserve"> and </w:t>
      </w:r>
      <w:r>
        <w:rPr>
          <w:kern w:val="0"/>
        </w:rPr>
        <w:t>Burr, J.M. (2008), A systematic literature review</w:t>
      </w:r>
      <w:r w:rsidR="00427468">
        <w:rPr>
          <w:kern w:val="0"/>
        </w:rPr>
        <w:t xml:space="preserve"> of </w:t>
      </w:r>
      <w:r>
        <w:rPr>
          <w:kern w:val="0"/>
        </w:rPr>
        <w:t xml:space="preserve">surgical interventions for limbal stem cell deficiency in humans. </w:t>
      </w:r>
      <w:r>
        <w:rPr>
          <w:i/>
          <w:iCs/>
          <w:kern w:val="0"/>
        </w:rPr>
        <w:t>American Journal</w:t>
      </w:r>
      <w:r w:rsidR="00427468">
        <w:rPr>
          <w:i/>
          <w:iCs/>
          <w:kern w:val="0"/>
        </w:rPr>
        <w:t xml:space="preserve"> of </w:t>
      </w:r>
      <w:r>
        <w:rPr>
          <w:i/>
          <w:iCs/>
          <w:kern w:val="0"/>
        </w:rPr>
        <w:t>Ophthalmology</w:t>
      </w:r>
      <w:r>
        <w:rPr>
          <w:kern w:val="0"/>
        </w:rPr>
        <w:t xml:space="preserve">, </w:t>
      </w:r>
      <w:r>
        <w:rPr>
          <w:b/>
          <w:bCs/>
          <w:kern w:val="0"/>
        </w:rPr>
        <w:t>146</w:t>
      </w:r>
      <w:r>
        <w:rPr>
          <w:kern w:val="0"/>
        </w:rPr>
        <w:t xml:space="preserve"> (2), 251-259.</w:t>
      </w:r>
    </w:p>
    <w:p w:rsidR="00E62C3C" w:rsidRPr="00F219CA" w:rsidRDefault="00E62C3C" w:rsidP="00E62C3C">
      <w:pPr>
        <w:pStyle w:val="a3"/>
      </w:pPr>
      <w:r w:rsidRPr="00F219CA">
        <w:t xml:space="preserve">Full Text: </w:t>
      </w:r>
      <w:hyperlink r:id="rId568" w:history="1">
        <w:r w:rsidRPr="00317E78">
          <w:rPr>
            <w:rStyle w:val="a5"/>
          </w:rPr>
          <w:t>2008\Ame J Oph146, 251.pdf</w:t>
        </w:r>
      </w:hyperlink>
    </w:p>
    <w:p w:rsidR="00E62C3C" w:rsidRDefault="00E62C3C" w:rsidP="00E62C3C">
      <w:pPr>
        <w:pStyle w:val="a3"/>
        <w:rPr>
          <w:kern w:val="0"/>
        </w:rPr>
      </w:pPr>
      <w:r>
        <w:rPr>
          <w:kern w:val="0"/>
        </w:rPr>
        <w:t>Abstract: PURPOSE: To evaluate</w:t>
      </w:r>
      <w:r w:rsidR="003A1917">
        <w:rPr>
          <w:kern w:val="0"/>
        </w:rPr>
        <w:t xml:space="preserve"> the </w:t>
      </w:r>
      <w:r>
        <w:rPr>
          <w:kern w:val="0"/>
        </w:rPr>
        <w:t>relative benefits</w:t>
      </w:r>
      <w:r w:rsidR="005853A9">
        <w:rPr>
          <w:kern w:val="0"/>
        </w:rPr>
        <w:t xml:space="preserve"> and </w:t>
      </w:r>
      <w:r>
        <w:rPr>
          <w:kern w:val="0"/>
        </w:rPr>
        <w:t>to identify any adverse effects</w:t>
      </w:r>
      <w:r w:rsidR="00427468">
        <w:rPr>
          <w:kern w:val="0"/>
        </w:rPr>
        <w:t xml:space="preserve"> of </w:t>
      </w:r>
      <w:r>
        <w:rPr>
          <w:kern w:val="0"/>
        </w:rPr>
        <w:t>surgical interventions for limbal stem cell deficiency (LSCD). DESIGN: Systematic literature review. METHODS: We searched</w:t>
      </w:r>
      <w:r w:rsidR="003A1917">
        <w:rPr>
          <w:kern w:val="0"/>
        </w:rPr>
        <w:t xml:space="preserve"> the </w:t>
      </w:r>
      <w:r>
        <w:rPr>
          <w:kern w:val="0"/>
        </w:rPr>
        <w:t xml:space="preserve">following electronic databases from January 1, 1989 through September 30, 2006: </w:t>
      </w:r>
      <w:r w:rsidR="00D5664A">
        <w:rPr>
          <w:kern w:val="0"/>
        </w:rPr>
        <w:t>MEDLINE</w:t>
      </w:r>
      <w:r>
        <w:rPr>
          <w:kern w:val="0"/>
        </w:rPr>
        <w:t>, EMBASE, Science citation index, BIOSIS,</w:t>
      </w:r>
      <w:r w:rsidR="005853A9">
        <w:rPr>
          <w:kern w:val="0"/>
        </w:rPr>
        <w:t xml:space="preserve"> and </w:t>
      </w:r>
      <w:r w:rsidR="003A1917">
        <w:rPr>
          <w:kern w:val="0"/>
        </w:rPr>
        <w:t xml:space="preserve">the </w:t>
      </w:r>
      <w:r>
        <w:rPr>
          <w:kern w:val="0"/>
        </w:rPr>
        <w:t>Cochrane Library. In addition, reference lists were scanned to identify any additional reports</w:t>
      </w:r>
      <w:r w:rsidR="00A37C1D">
        <w:rPr>
          <w:kern w:val="0"/>
        </w:rPr>
        <w:t>. The</w:t>
      </w:r>
      <w:r w:rsidR="003A1917">
        <w:rPr>
          <w:kern w:val="0"/>
        </w:rPr>
        <w:t xml:space="preserve"> </w:t>
      </w:r>
      <w:r>
        <w:rPr>
          <w:kern w:val="0"/>
        </w:rPr>
        <w:t>quality</w:t>
      </w:r>
      <w:r w:rsidR="00427468">
        <w:rPr>
          <w:kern w:val="0"/>
        </w:rPr>
        <w:t xml:space="preserve"> of </w:t>
      </w:r>
      <w:r>
        <w:rPr>
          <w:kern w:val="0"/>
        </w:rPr>
        <w:t>published reports was assessed using standard methods</w:t>
      </w:r>
      <w:r w:rsidR="00A37C1D">
        <w:rPr>
          <w:kern w:val="0"/>
        </w:rPr>
        <w:t>. The</w:t>
      </w:r>
      <w:r w:rsidR="003A1917">
        <w:rPr>
          <w:kern w:val="0"/>
        </w:rPr>
        <w:t xml:space="preserve"> </w:t>
      </w:r>
      <w:r>
        <w:rPr>
          <w:kern w:val="0"/>
        </w:rPr>
        <w:t>main outcome measure was improvement in vision</w:t>
      </w:r>
      <w:r w:rsidR="00427468">
        <w:rPr>
          <w:kern w:val="0"/>
        </w:rPr>
        <w:t xml:space="preserve"> of </w:t>
      </w:r>
      <w:r>
        <w:rPr>
          <w:kern w:val="0"/>
        </w:rPr>
        <w:t>at least two Snellen lines</w:t>
      </w:r>
      <w:r w:rsidR="00427468">
        <w:rPr>
          <w:kern w:val="0"/>
        </w:rPr>
        <w:t xml:space="preserve"> of </w:t>
      </w:r>
      <w:r>
        <w:rPr>
          <w:kern w:val="0"/>
        </w:rPr>
        <w:t>best,corrected visual acuity (BCVA). Data on adverse outcomes also were collected. RESULTS: Twenty-six studies met</w:t>
      </w:r>
      <w:r w:rsidR="003A1917">
        <w:rPr>
          <w:kern w:val="0"/>
        </w:rPr>
        <w:t xml:space="preserve"> the </w:t>
      </w:r>
      <w:r>
        <w:rPr>
          <w:kern w:val="0"/>
        </w:rPr>
        <w:t>inclusion criteria</w:t>
      </w:r>
      <w:r w:rsidR="00A37C1D">
        <w:rPr>
          <w:kern w:val="0"/>
        </w:rPr>
        <w:t>. The</w:t>
      </w:r>
      <w:r>
        <w:rPr>
          <w:kern w:val="0"/>
        </w:rPr>
        <w:t>re were no randomized controlled studies. All 26 studies were either prospective or retrospective case series. For bilateral severe LSCD, keratolimbal allograft was</w:t>
      </w:r>
      <w:r w:rsidR="003A1917">
        <w:rPr>
          <w:kern w:val="0"/>
        </w:rPr>
        <w:t xml:space="preserve"> the </w:t>
      </w:r>
      <w:r>
        <w:rPr>
          <w:kern w:val="0"/>
        </w:rPr>
        <w:t>most common intervention with systemic immunosuppression. Other interventions included eccentric penetrating keratolimbal allografts</w:t>
      </w:r>
      <w:r w:rsidR="005853A9">
        <w:rPr>
          <w:kern w:val="0"/>
        </w:rPr>
        <w:t xml:space="preserve"> and </w:t>
      </w:r>
      <w:r>
        <w:rPr>
          <w:kern w:val="0"/>
        </w:rPr>
        <w:t>cultivated autologous oral mucosal epithelial grafts. An improvement in BCVA</w:t>
      </w:r>
      <w:r w:rsidR="00427468">
        <w:rPr>
          <w:kern w:val="0"/>
        </w:rPr>
        <w:t xml:space="preserve"> of </w:t>
      </w:r>
      <w:r>
        <w:rPr>
          <w:kern w:val="0"/>
        </w:rPr>
        <w:t>two lines or more was reported in 31% to 67%</w:t>
      </w:r>
      <w:r w:rsidR="00427468">
        <w:rPr>
          <w:kern w:val="0"/>
        </w:rPr>
        <w:t xml:space="preserve"> of </w:t>
      </w:r>
      <w:r>
        <w:rPr>
          <w:kern w:val="0"/>
        </w:rPr>
        <w:t>eyes. For unilateral severe LSCD,</w:t>
      </w:r>
      <w:r w:rsidR="003A1917">
        <w:rPr>
          <w:kern w:val="0"/>
        </w:rPr>
        <w:t xml:space="preserve"> the </w:t>
      </w:r>
      <w:r>
        <w:rPr>
          <w:kern w:val="0"/>
        </w:rPr>
        <w:t>most common surgical intervention was contralateral conjunctival limbal autograft, with 35% to 88%</w:t>
      </w:r>
      <w:r w:rsidR="00427468">
        <w:rPr>
          <w:kern w:val="0"/>
        </w:rPr>
        <w:t xml:space="preserve"> of </w:t>
      </w:r>
      <w:r>
        <w:rPr>
          <w:kern w:val="0"/>
        </w:rPr>
        <w:t>eyes gaining an improvement in BCVA</w:t>
      </w:r>
      <w:r w:rsidR="00427468">
        <w:rPr>
          <w:kern w:val="0"/>
        </w:rPr>
        <w:t xml:space="preserve"> of </w:t>
      </w:r>
      <w:r>
        <w:rPr>
          <w:kern w:val="0"/>
        </w:rPr>
        <w:t>two lines or more</w:t>
      </w:r>
      <w:r w:rsidR="00A37C1D">
        <w:rPr>
          <w:kern w:val="0"/>
        </w:rPr>
        <w:t>. The</w:t>
      </w:r>
      <w:r w:rsidR="003A1917">
        <w:rPr>
          <w:kern w:val="0"/>
        </w:rPr>
        <w:t xml:space="preserve"> </w:t>
      </w:r>
      <w:r>
        <w:rPr>
          <w:kern w:val="0"/>
        </w:rPr>
        <w:t>only study evaluating partial LSCD showed an improvement in BCVA</w:t>
      </w:r>
      <w:r w:rsidR="00427468">
        <w:rPr>
          <w:kern w:val="0"/>
        </w:rPr>
        <w:t xml:space="preserve"> of </w:t>
      </w:r>
      <w:r>
        <w:rPr>
          <w:kern w:val="0"/>
        </w:rPr>
        <w:t>two lines or more in 39%</w:t>
      </w:r>
      <w:r w:rsidR="00427468">
        <w:rPr>
          <w:kern w:val="0"/>
        </w:rPr>
        <w:t xml:space="preserve"> of </w:t>
      </w:r>
      <w:r>
        <w:rPr>
          <w:kern w:val="0"/>
        </w:rPr>
        <w:t>eyes. CONCLUSIONS: Studies to date have not provided strong evidence to guide clinical practice on which surgery is most beneficial to treat various types</w:t>
      </w:r>
      <w:r w:rsidR="00427468">
        <w:rPr>
          <w:kern w:val="0"/>
        </w:rPr>
        <w:t xml:space="preserve"> of </w:t>
      </w:r>
      <w:r>
        <w:rPr>
          <w:kern w:val="0"/>
        </w:rPr>
        <w:t>LSCD. Standardized data collection in a multicenter LSCD register is suggested.</w:t>
      </w:r>
    </w:p>
    <w:p w:rsidR="00E62C3C" w:rsidRDefault="00E62C3C" w:rsidP="00E62C3C">
      <w:pPr>
        <w:pStyle w:val="a3"/>
        <w:rPr>
          <w:kern w:val="0"/>
        </w:rPr>
      </w:pPr>
      <w:r>
        <w:rPr>
          <w:kern w:val="0"/>
        </w:rPr>
        <w:t xml:space="preserve">Keywords: Amniotic Membrane Transplantation, Autograft Transplantation, Burns, Case Series, Chronic Phases, Citation, Conjunctival, Corneal Surface, Criteria, Data </w:t>
      </w:r>
      <w:r>
        <w:rPr>
          <w:kern w:val="0"/>
        </w:rPr>
        <w:lastRenderedPageBreak/>
        <w:t xml:space="preserve">Collection, Databases, Design, Intervention, Keratolimbal Allograft, Literature, Literature Review, </w:t>
      </w:r>
      <w:r w:rsidR="00D5664A">
        <w:rPr>
          <w:kern w:val="0"/>
        </w:rPr>
        <w:t>MEDLINE</w:t>
      </w:r>
      <w:r>
        <w:rPr>
          <w:kern w:val="0"/>
        </w:rPr>
        <w:t>, Methods, Ocular-Surface Disorders, Outcomes, Penetrating Keratoplasty, Reconstruction, Review, Science, Science Citation Index, Surgery, Systematic Literature Review</w:t>
      </w:r>
    </w:p>
    <w:p w:rsidR="003474F2" w:rsidRPr="001A3D2B" w:rsidRDefault="003474F2" w:rsidP="003474F2">
      <w:pPr>
        <w:pStyle w:val="1"/>
      </w:pPr>
      <w:r w:rsidRPr="001A3D2B">
        <w:br w:type="page"/>
      </w:r>
      <w:bookmarkStart w:id="309" w:name="_Toc420814417"/>
      <w:r w:rsidRPr="001A3D2B">
        <w:lastRenderedPageBreak/>
        <w:t xml:space="preserve">Title: American </w:t>
      </w:r>
      <w:bookmarkStart w:id="310" w:name="_Toc81215593"/>
      <w:r w:rsidRPr="001A3D2B">
        <w:t>Journal</w:t>
      </w:r>
      <w:r w:rsidR="00427468">
        <w:t xml:space="preserve"> of </w:t>
      </w:r>
      <w:r w:rsidRPr="001A3D2B">
        <w:t>Orthodontics</w:t>
      </w:r>
      <w:r w:rsidR="005853A9">
        <w:t xml:space="preserve"> and </w:t>
      </w:r>
      <w:r w:rsidRPr="001A3D2B">
        <w:t>Dentofacial Orthopedics</w:t>
      </w:r>
      <w:bookmarkEnd w:id="309"/>
    </w:p>
    <w:p w:rsidR="003474F2" w:rsidRPr="001A3D2B" w:rsidRDefault="003474F2" w:rsidP="003474F2">
      <w:pPr>
        <w:pStyle w:val="12"/>
      </w:pPr>
      <w:r w:rsidRPr="001A3D2B">
        <w:t>Full Journal Ti</w:t>
      </w:r>
      <w:bookmarkEnd w:id="310"/>
      <w:r w:rsidRPr="001A3D2B">
        <w:t xml:space="preserve">tle: </w:t>
      </w:r>
      <w:hyperlink r:id="rId569" w:history="1">
        <w:r w:rsidRPr="001A3D2B">
          <w:rPr>
            <w:rStyle w:val="a5"/>
          </w:rPr>
          <w:t>American Journal</w:t>
        </w:r>
        <w:r w:rsidR="00427468">
          <w:rPr>
            <w:rStyle w:val="a5"/>
          </w:rPr>
          <w:t xml:space="preserve"> of </w:t>
        </w:r>
        <w:r w:rsidRPr="001A3D2B">
          <w:rPr>
            <w:rStyle w:val="a5"/>
          </w:rPr>
          <w:t>Orthodontics</w:t>
        </w:r>
        <w:r w:rsidR="005853A9">
          <w:rPr>
            <w:rStyle w:val="a5"/>
          </w:rPr>
          <w:t xml:space="preserve"> and </w:t>
        </w:r>
        <w:r w:rsidRPr="001A3D2B">
          <w:rPr>
            <w:rStyle w:val="a5"/>
          </w:rPr>
          <w:t>Dentofacial Orthopedics</w:t>
        </w:r>
      </w:hyperlink>
    </w:p>
    <w:p w:rsidR="003474F2" w:rsidRPr="001A3D2B" w:rsidRDefault="003474F2" w:rsidP="003474F2">
      <w:pPr>
        <w:pStyle w:val="12"/>
      </w:pPr>
      <w:r w:rsidRPr="001A3D2B">
        <w:t>ISO Abbreviated Title: Am. J. Orthod. Dentofac. Orthop.</w:t>
      </w:r>
    </w:p>
    <w:p w:rsidR="003474F2" w:rsidRPr="001A3D2B" w:rsidRDefault="003474F2" w:rsidP="003474F2">
      <w:pPr>
        <w:pStyle w:val="12"/>
      </w:pPr>
      <w:r w:rsidRPr="001A3D2B">
        <w:t>JCR Abbreviated Title: Am J Orthod Dentofac</w:t>
      </w:r>
    </w:p>
    <w:p w:rsidR="003474F2" w:rsidRPr="001A3D2B" w:rsidRDefault="003474F2" w:rsidP="003474F2">
      <w:pPr>
        <w:pStyle w:val="12"/>
      </w:pPr>
      <w:r w:rsidRPr="001A3D2B">
        <w:t>ISSN: 0889-5406</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Mosby,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11830 Westline Industrial DR</w:t>
          </w:r>
        </w:smartTag>
        <w:r w:rsidRPr="001A3D2B">
          <w:t xml:space="preserve">, </w:t>
        </w:r>
        <w:smartTag w:uri="urn:schemas-microsoft-com:office:smarttags" w:element="City">
          <w:r w:rsidRPr="001A3D2B">
            <w:t>St Louis</w:t>
          </w:r>
        </w:smartTag>
        <w:r w:rsidRPr="001A3D2B">
          <w:t xml:space="preserve">, </w:t>
        </w:r>
        <w:smartTag w:uri="urn:schemas-microsoft-com:office:smarttags" w:element="State">
          <w:r w:rsidRPr="001A3D2B">
            <w:t>MO</w:t>
          </w:r>
        </w:smartTag>
        <w:r w:rsidRPr="001A3D2B">
          <w:t xml:space="preserve"> </w:t>
        </w:r>
        <w:smartTag w:uri="urn:schemas-microsoft-com:office:smarttags" w:element="PostalCode">
          <w:r w:rsidRPr="001A3D2B">
            <w:t>63146-3318</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Dentistry, Oral Surgery &amp; Medicine: Impact Factor 0.732/(2002)</w:t>
      </w:r>
    </w:p>
    <w:p w:rsidR="00FF3B07" w:rsidRDefault="00FF3B07" w:rsidP="00FF3B07">
      <w:pPr>
        <w:pStyle w:val="a3"/>
        <w:rPr>
          <w:kern w:val="0"/>
        </w:rPr>
      </w:pPr>
      <w:r>
        <w:rPr>
          <w:rFonts w:hint="eastAsia"/>
          <w:kern w:val="0"/>
        </w:rPr>
        <w:t xml:space="preserve">? </w:t>
      </w:r>
      <w:r>
        <w:rPr>
          <w:kern w:val="0"/>
        </w:rPr>
        <w:t>Hunt, O.T., Johnston, C.D., Hepper, P.G.</w:t>
      </w:r>
      <w:r w:rsidR="005853A9">
        <w:rPr>
          <w:kern w:val="0"/>
        </w:rPr>
        <w:t xml:space="preserve"> and </w:t>
      </w:r>
      <w:r>
        <w:rPr>
          <w:kern w:val="0"/>
        </w:rPr>
        <w:t>Burden, D.J. (2001</w:t>
      </w:r>
      <w:r w:rsidR="00F42EAC">
        <w:rPr>
          <w:kern w:val="0"/>
        </w:rPr>
        <w:t>), The</w:t>
      </w:r>
      <w:r w:rsidR="003A1917">
        <w:rPr>
          <w:kern w:val="0"/>
        </w:rPr>
        <w:t xml:space="preserve"> </w:t>
      </w:r>
      <w:r>
        <w:rPr>
          <w:kern w:val="0"/>
        </w:rPr>
        <w:t>psychosocial impact</w:t>
      </w:r>
      <w:r w:rsidR="00427468">
        <w:rPr>
          <w:kern w:val="0"/>
        </w:rPr>
        <w:t xml:space="preserve"> of </w:t>
      </w:r>
      <w:r>
        <w:rPr>
          <w:kern w:val="0"/>
        </w:rPr>
        <w:t xml:space="preserve">orthognathic surgery: A systematic review. </w:t>
      </w:r>
      <w:r>
        <w:rPr>
          <w:i/>
          <w:iCs/>
          <w:kern w:val="0"/>
        </w:rPr>
        <w:t>American Journal</w:t>
      </w:r>
      <w:r w:rsidR="00427468">
        <w:rPr>
          <w:i/>
          <w:iCs/>
          <w:kern w:val="0"/>
        </w:rPr>
        <w:t xml:space="preserve"> of </w:t>
      </w:r>
      <w:r>
        <w:rPr>
          <w:i/>
          <w:iCs/>
          <w:kern w:val="0"/>
        </w:rPr>
        <w:t>Orthodontics</w:t>
      </w:r>
      <w:r w:rsidR="005853A9">
        <w:rPr>
          <w:i/>
          <w:iCs/>
          <w:kern w:val="0"/>
        </w:rPr>
        <w:t xml:space="preserve"> and </w:t>
      </w:r>
      <w:r>
        <w:rPr>
          <w:i/>
          <w:iCs/>
          <w:kern w:val="0"/>
        </w:rPr>
        <w:t>Dentofacial Orthopedics</w:t>
      </w:r>
      <w:r>
        <w:rPr>
          <w:kern w:val="0"/>
        </w:rPr>
        <w:t xml:space="preserve">, </w:t>
      </w:r>
      <w:r>
        <w:rPr>
          <w:b/>
          <w:bCs/>
          <w:kern w:val="0"/>
        </w:rPr>
        <w:t>120</w:t>
      </w:r>
      <w:r>
        <w:rPr>
          <w:kern w:val="0"/>
        </w:rPr>
        <w:t xml:space="preserve"> (5), 490-496.</w:t>
      </w:r>
    </w:p>
    <w:p w:rsidR="00834899" w:rsidRPr="00F219CA" w:rsidRDefault="00834899" w:rsidP="00834899">
      <w:pPr>
        <w:pStyle w:val="a3"/>
      </w:pPr>
      <w:r w:rsidRPr="00F219CA">
        <w:t xml:space="preserve">Full Text: </w:t>
      </w:r>
      <w:hyperlink r:id="rId570" w:history="1">
        <w:r w:rsidRPr="00CE61F0">
          <w:rPr>
            <w:rStyle w:val="a5"/>
          </w:rPr>
          <w:t>2001\Ame J Ort Den Ort120, 490.pdf</w:t>
        </w:r>
      </w:hyperlink>
    </w:p>
    <w:p w:rsidR="00FF3B07" w:rsidRDefault="00FF3B07" w:rsidP="00FF3B07">
      <w:pPr>
        <w:pStyle w:val="a3"/>
        <w:rPr>
          <w:kern w:val="0"/>
        </w:rPr>
      </w:pPr>
      <w:r>
        <w:rPr>
          <w:kern w:val="0"/>
        </w:rPr>
        <w:t>Abstract:</w:t>
      </w:r>
      <w:r w:rsidR="003A1917">
        <w:rPr>
          <w:kern w:val="0"/>
        </w:rPr>
        <w:t xml:space="preserve"> the </w:t>
      </w:r>
      <w:r>
        <w:rPr>
          <w:kern w:val="0"/>
        </w:rPr>
        <w:t>aim</w:t>
      </w:r>
      <w:r w:rsidR="00427468">
        <w:rPr>
          <w:kern w:val="0"/>
        </w:rPr>
        <w:t xml:space="preserve"> of </w:t>
      </w:r>
      <w:r>
        <w:rPr>
          <w:kern w:val="0"/>
        </w:rPr>
        <w:t>this study was to review</w:t>
      </w:r>
      <w:r w:rsidR="003A1917">
        <w:rPr>
          <w:kern w:val="0"/>
        </w:rPr>
        <w:t xml:space="preserve"> the </w:t>
      </w:r>
      <w:r>
        <w:rPr>
          <w:kern w:val="0"/>
        </w:rPr>
        <w:t>reported psychosocial benefits</w:t>
      </w:r>
      <w:r w:rsidR="00427468">
        <w:rPr>
          <w:kern w:val="0"/>
        </w:rPr>
        <w:t xml:space="preserve"> of </w:t>
      </w:r>
      <w:r>
        <w:rPr>
          <w:kern w:val="0"/>
        </w:rPr>
        <w:t>orthognathic surgery. A systematic review</w:t>
      </w:r>
      <w:r w:rsidR="00427468">
        <w:rPr>
          <w:kern w:val="0"/>
        </w:rPr>
        <w:t xml:space="preserve"> of </w:t>
      </w:r>
      <w:r w:rsidR="003A1917">
        <w:rPr>
          <w:kern w:val="0"/>
        </w:rPr>
        <w:t xml:space="preserve">the </w:t>
      </w:r>
      <w:r>
        <w:rPr>
          <w:kern w:val="0"/>
        </w:rPr>
        <w:t xml:space="preserve">literature was conducted using </w:t>
      </w:r>
      <w:r w:rsidR="00D5664A">
        <w:rPr>
          <w:kern w:val="0"/>
        </w:rPr>
        <w:t>MEDLINE</w:t>
      </w:r>
      <w:r>
        <w:rPr>
          <w:kern w:val="0"/>
        </w:rPr>
        <w:t xml:space="preserve"> (1966 to December 2000), </w:t>
      </w:r>
      <w:r w:rsidR="00D5664A">
        <w:rPr>
          <w:kern w:val="0"/>
        </w:rPr>
        <w:t>Web</w:t>
      </w:r>
      <w:r w:rsidR="00427468">
        <w:rPr>
          <w:kern w:val="0"/>
        </w:rPr>
        <w:t xml:space="preserve"> of </w:t>
      </w:r>
      <w:r w:rsidR="00D5664A">
        <w:rPr>
          <w:kern w:val="0"/>
        </w:rPr>
        <w:t>Science</w:t>
      </w:r>
      <w:r>
        <w:rPr>
          <w:kern w:val="0"/>
        </w:rPr>
        <w:t xml:space="preserve"> (1981 to December 2000),</w:t>
      </w:r>
      <w:r w:rsidR="005853A9">
        <w:rPr>
          <w:kern w:val="0"/>
        </w:rPr>
        <w:t xml:space="preserve"> and </w:t>
      </w:r>
      <w:r>
        <w:rPr>
          <w:kern w:val="0"/>
        </w:rPr>
        <w:t>reference sections</w:t>
      </w:r>
      <w:r w:rsidR="00427468">
        <w:rPr>
          <w:kern w:val="0"/>
        </w:rPr>
        <w:t xml:space="preserve"> of </w:t>
      </w:r>
      <w:r>
        <w:rPr>
          <w:kern w:val="0"/>
        </w:rPr>
        <w:t>identified articles. We also hand searched key orthodontic, oral surgery,</w:t>
      </w:r>
      <w:r w:rsidR="005853A9">
        <w:rPr>
          <w:kern w:val="0"/>
        </w:rPr>
        <w:t xml:space="preserve"> and </w:t>
      </w:r>
      <w:r>
        <w:rPr>
          <w:kern w:val="0"/>
        </w:rPr>
        <w:t>psychology journals. No language limitations were imposed. Randomized controlled trials, other controlled clinical trials, prospective studies (with or without controls),</w:t>
      </w:r>
      <w:r w:rsidR="005853A9">
        <w:rPr>
          <w:kern w:val="0"/>
        </w:rPr>
        <w:t xml:space="preserve"> and </w:t>
      </w:r>
      <w:r>
        <w:rPr>
          <w:kern w:val="0"/>
        </w:rPr>
        <w:t>retrospective studies (with or without controls) were considered for inclusion. Two reviewers extracted</w:t>
      </w:r>
      <w:r w:rsidR="003A1917">
        <w:rPr>
          <w:kern w:val="0"/>
        </w:rPr>
        <w:t xml:space="preserve"> the </w:t>
      </w:r>
      <w:r>
        <w:rPr>
          <w:kern w:val="0"/>
        </w:rPr>
        <w:t>data</w:t>
      </w:r>
      <w:r w:rsidR="005853A9">
        <w:rPr>
          <w:kern w:val="0"/>
        </w:rPr>
        <w:t xml:space="preserve"> and </w:t>
      </w:r>
      <w:r>
        <w:rPr>
          <w:kern w:val="0"/>
        </w:rPr>
        <w:t>independently assessed</w:t>
      </w:r>
      <w:r w:rsidR="003A1917">
        <w:rPr>
          <w:kern w:val="0"/>
        </w:rPr>
        <w:t xml:space="preserve"> the </w:t>
      </w:r>
      <w:r>
        <w:rPr>
          <w:kern w:val="0"/>
        </w:rPr>
        <w:t>quality</w:t>
      </w:r>
      <w:r w:rsidR="00427468">
        <w:rPr>
          <w:kern w:val="0"/>
        </w:rPr>
        <w:t xml:space="preserve"> of </w:t>
      </w:r>
      <w:r w:rsidR="003A1917">
        <w:rPr>
          <w:kern w:val="0"/>
        </w:rPr>
        <w:t xml:space="preserve">the </w:t>
      </w:r>
      <w:r>
        <w:rPr>
          <w:kern w:val="0"/>
        </w:rPr>
        <w:t>studies. In all, 29 studies, including a number</w:t>
      </w:r>
      <w:r w:rsidR="00427468">
        <w:rPr>
          <w:kern w:val="0"/>
        </w:rPr>
        <w:t xml:space="preserve"> of </w:t>
      </w:r>
      <w:r>
        <w:rPr>
          <w:kern w:val="0"/>
        </w:rPr>
        <w:t>prospective</w:t>
      </w:r>
      <w:r w:rsidR="005853A9">
        <w:rPr>
          <w:kern w:val="0"/>
        </w:rPr>
        <w:t xml:space="preserve"> and </w:t>
      </w:r>
      <w:r>
        <w:rPr>
          <w:kern w:val="0"/>
        </w:rPr>
        <w:t>retrospective studies, were identified as relevant</w:t>
      </w:r>
      <w:r w:rsidR="00A37C1D">
        <w:rPr>
          <w:kern w:val="0"/>
        </w:rPr>
        <w:t>. The</w:t>
      </w:r>
      <w:r w:rsidR="003A1917">
        <w:rPr>
          <w:kern w:val="0"/>
        </w:rPr>
        <w:t xml:space="preserve"> </w:t>
      </w:r>
      <w:r>
        <w:rPr>
          <w:kern w:val="0"/>
        </w:rPr>
        <w:t>results</w:t>
      </w:r>
      <w:r w:rsidR="00427468">
        <w:rPr>
          <w:kern w:val="0"/>
        </w:rPr>
        <w:t xml:space="preserve"> of </w:t>
      </w:r>
      <w:r w:rsidR="003A1917">
        <w:rPr>
          <w:kern w:val="0"/>
        </w:rPr>
        <w:t xml:space="preserve">the </w:t>
      </w:r>
      <w:r>
        <w:rPr>
          <w:kern w:val="0"/>
        </w:rPr>
        <w:t>review indicated that orthognathic patients experience psychosocial benefits as a result</w:t>
      </w:r>
      <w:r w:rsidR="00427468">
        <w:rPr>
          <w:kern w:val="0"/>
        </w:rPr>
        <w:t xml:space="preserve"> of </w:t>
      </w:r>
      <w:r>
        <w:rPr>
          <w:kern w:val="0"/>
        </w:rPr>
        <w:t>orthognathic surgery, including improved self-confidence, body</w:t>
      </w:r>
      <w:r w:rsidR="005853A9">
        <w:rPr>
          <w:kern w:val="0"/>
        </w:rPr>
        <w:t xml:space="preserve"> and </w:t>
      </w:r>
      <w:r>
        <w:rPr>
          <w:kern w:val="0"/>
        </w:rPr>
        <w:t>facial image,</w:t>
      </w:r>
      <w:r w:rsidR="005853A9">
        <w:rPr>
          <w:kern w:val="0"/>
        </w:rPr>
        <w:t xml:space="preserve"> and </w:t>
      </w:r>
      <w:r>
        <w:rPr>
          <w:kern w:val="0"/>
        </w:rPr>
        <w:t>social adjustment. However, there were wide variations in</w:t>
      </w:r>
      <w:r w:rsidR="003A1917">
        <w:rPr>
          <w:kern w:val="0"/>
        </w:rPr>
        <w:t xml:space="preserve"> the </w:t>
      </w:r>
      <w:r>
        <w:rPr>
          <w:kern w:val="0"/>
        </w:rPr>
        <w:t>study designs</w:t>
      </w:r>
      <w:r w:rsidR="005853A9">
        <w:rPr>
          <w:kern w:val="0"/>
        </w:rPr>
        <w:t xml:space="preserve"> and </w:t>
      </w:r>
      <w:r>
        <w:rPr>
          <w:kern w:val="0"/>
        </w:rPr>
        <w:t>a lack</w:t>
      </w:r>
      <w:r w:rsidR="00427468">
        <w:rPr>
          <w:kern w:val="0"/>
        </w:rPr>
        <w:t xml:space="preserve"> of </w:t>
      </w:r>
      <w:r>
        <w:rPr>
          <w:kern w:val="0"/>
        </w:rPr>
        <w:t>uniformity in measuring</w:t>
      </w:r>
      <w:r w:rsidR="003A1917">
        <w:rPr>
          <w:kern w:val="0"/>
        </w:rPr>
        <w:t xml:space="preserve"> the </w:t>
      </w:r>
      <w:r>
        <w:rPr>
          <w:kern w:val="0"/>
        </w:rPr>
        <w:t>psychosocial constructs. This made it difficult to quantify</w:t>
      </w:r>
      <w:r w:rsidR="003A1917">
        <w:rPr>
          <w:kern w:val="0"/>
        </w:rPr>
        <w:t xml:space="preserve"> the </w:t>
      </w:r>
      <w:r>
        <w:rPr>
          <w:kern w:val="0"/>
        </w:rPr>
        <w:t>extent</w:t>
      </w:r>
      <w:r w:rsidR="005853A9">
        <w:rPr>
          <w:kern w:val="0"/>
        </w:rPr>
        <w:t xml:space="preserve"> and </w:t>
      </w:r>
      <w:r w:rsidR="003A1917">
        <w:rPr>
          <w:kern w:val="0"/>
        </w:rPr>
        <w:t xml:space="preserve">the </w:t>
      </w:r>
      <w:r>
        <w:rPr>
          <w:kern w:val="0"/>
        </w:rPr>
        <w:t>duration</w:t>
      </w:r>
      <w:r w:rsidR="00427468">
        <w:rPr>
          <w:kern w:val="0"/>
        </w:rPr>
        <w:t xml:space="preserve"> of </w:t>
      </w:r>
      <w:r w:rsidR="003A1917">
        <w:rPr>
          <w:kern w:val="0"/>
        </w:rPr>
        <w:t xml:space="preserve">the </w:t>
      </w:r>
      <w:r>
        <w:rPr>
          <w:kern w:val="0"/>
        </w:rPr>
        <w:t>psychosocial benefits.</w:t>
      </w:r>
    </w:p>
    <w:p w:rsidR="00FF3B07" w:rsidRDefault="00FF3B07" w:rsidP="00FF3B07">
      <w:pPr>
        <w:pStyle w:val="a3"/>
        <w:rPr>
          <w:kern w:val="0"/>
        </w:rPr>
      </w:pPr>
      <w:r>
        <w:rPr>
          <w:kern w:val="0"/>
        </w:rPr>
        <w:t>Keywords: Clinical Trials, Controlled Clinical Trials, Dimensions, Expectations, Follow</w:t>
      </w:r>
      <w:r w:rsidR="0062028A">
        <w:rPr>
          <w:kern w:val="0"/>
        </w:rPr>
        <w:t>-up,</w:t>
      </w:r>
      <w:r>
        <w:rPr>
          <w:kern w:val="0"/>
        </w:rPr>
        <w:t xml:space="preserve"> Impact, Journals, Literature, </w:t>
      </w:r>
      <w:r w:rsidR="00D5664A">
        <w:rPr>
          <w:kern w:val="0"/>
        </w:rPr>
        <w:t>MEDLINE</w:t>
      </w:r>
      <w:r>
        <w:rPr>
          <w:kern w:val="0"/>
        </w:rPr>
        <w:t xml:space="preserve">, Motivation, Prospective Studies, Psychological-Factors, Psychosocial, Randomized Controlled Trials, Review, Satisfaction, Science, Social, Surgery, Systematic, Systematic Review, </w:t>
      </w:r>
      <w:r w:rsidR="00D5664A">
        <w:rPr>
          <w:kern w:val="0"/>
        </w:rPr>
        <w:t>Web</w:t>
      </w:r>
      <w:r w:rsidR="00427468">
        <w:rPr>
          <w:kern w:val="0"/>
        </w:rPr>
        <w:t xml:space="preserve"> of </w:t>
      </w:r>
      <w:r w:rsidR="00D5664A">
        <w:rPr>
          <w:kern w:val="0"/>
        </w:rPr>
        <w:t>Science</w:t>
      </w:r>
    </w:p>
    <w:p w:rsidR="00FF3B07" w:rsidRPr="00F219CA" w:rsidRDefault="00FF3B07" w:rsidP="00FF3B07">
      <w:pPr>
        <w:pStyle w:val="a3"/>
      </w:pPr>
      <w:r w:rsidRPr="00F219CA">
        <w:lastRenderedPageBreak/>
        <w:t>Mavropoulos, A.</w:t>
      </w:r>
      <w:r w:rsidR="005853A9">
        <w:t xml:space="preserve"> and </w:t>
      </w:r>
      <w:r w:rsidRPr="00F219CA">
        <w:t>Kiliaridis, S. (2003), Orthodontic literature: An overview</w:t>
      </w:r>
      <w:r w:rsidR="00427468">
        <w:t xml:space="preserve"> of </w:t>
      </w:r>
      <w:r w:rsidR="003A1917">
        <w:t xml:space="preserve">the </w:t>
      </w:r>
      <w:bookmarkStart w:id="311" w:name="OLE_LINK14"/>
      <w:r w:rsidRPr="00F219CA">
        <w:t xml:space="preserve">last 2 decades. </w:t>
      </w:r>
      <w:r w:rsidRPr="00F219CA">
        <w:rPr>
          <w:i/>
          <w:iCs/>
        </w:rPr>
        <w:t>American Journ</w:t>
      </w:r>
      <w:bookmarkEnd w:id="311"/>
      <w:r w:rsidRPr="00F219CA">
        <w:rPr>
          <w:i/>
          <w:iCs/>
        </w:rPr>
        <w:t>al</w:t>
      </w:r>
      <w:r w:rsidR="00427468">
        <w:rPr>
          <w:i/>
          <w:iCs/>
        </w:rPr>
        <w:t xml:space="preserve"> of </w:t>
      </w:r>
      <w:r w:rsidRPr="00F219CA">
        <w:rPr>
          <w:i/>
          <w:iCs/>
        </w:rPr>
        <w:t>Orthodontics</w:t>
      </w:r>
      <w:r w:rsidR="005853A9">
        <w:rPr>
          <w:i/>
          <w:iCs/>
        </w:rPr>
        <w:t xml:space="preserve"> and </w:t>
      </w:r>
      <w:r w:rsidRPr="00F219CA">
        <w:rPr>
          <w:i/>
          <w:iCs/>
        </w:rPr>
        <w:t>Dentofacial Orthopedics</w:t>
      </w:r>
      <w:r w:rsidRPr="00F219CA">
        <w:t xml:space="preserve">, </w:t>
      </w:r>
      <w:r w:rsidRPr="00F219CA">
        <w:rPr>
          <w:b/>
        </w:rPr>
        <w:t>124</w:t>
      </w:r>
      <w:r w:rsidRPr="00F219CA">
        <w:t xml:space="preserve"> (1), 30-40.</w:t>
      </w:r>
    </w:p>
    <w:p w:rsidR="00FF3B07" w:rsidRPr="00F219CA" w:rsidRDefault="00FF3B07" w:rsidP="00FF3B07">
      <w:pPr>
        <w:pStyle w:val="a3"/>
      </w:pPr>
      <w:r w:rsidRPr="00F219CA">
        <w:t xml:space="preserve">Full Text: </w:t>
      </w:r>
      <w:hyperlink r:id="rId571" w:history="1">
        <w:r w:rsidRPr="00F219CA">
          <w:rPr>
            <w:rStyle w:val="a5"/>
          </w:rPr>
          <w:t>2003\Ame J Ort Den Ort124, 30.pdf</w:t>
        </w:r>
      </w:hyperlink>
    </w:p>
    <w:p w:rsidR="00FF3B07" w:rsidRPr="00F219CA" w:rsidRDefault="00FF3B07" w:rsidP="00FF3B07">
      <w:pPr>
        <w:pStyle w:val="a3"/>
      </w:pPr>
      <w:r w:rsidRPr="00F219CA">
        <w:t>Abstract:</w:t>
      </w:r>
      <w:r w:rsidR="003A1917">
        <w:t xml:space="preserve"> the </w:t>
      </w:r>
      <w:r w:rsidRPr="00F219CA">
        <w:t>aim</w:t>
      </w:r>
      <w:r w:rsidR="00427468">
        <w:t xml:space="preserve"> of </w:t>
      </w:r>
      <w:r w:rsidRPr="00F219CA">
        <w:t>this study was to explore</w:t>
      </w:r>
      <w:r w:rsidR="003A1917">
        <w:t xml:space="preserve"> the </w:t>
      </w:r>
      <w:r w:rsidRPr="00F219CA">
        <w:t>orthodontic literature in</w:t>
      </w:r>
      <w:r w:rsidR="003A1917">
        <w:t xml:space="preserve"> the </w:t>
      </w:r>
      <w:r w:rsidRPr="00F219CA">
        <w:t>most important orthodontic</w:t>
      </w:r>
      <w:r w:rsidR="005853A9">
        <w:t xml:space="preserve"> and </w:t>
      </w:r>
      <w:r w:rsidRPr="00F219CA">
        <w:t>other dental</w:t>
      </w:r>
      <w:r w:rsidR="005853A9">
        <w:t xml:space="preserve"> and </w:t>
      </w:r>
      <w:r w:rsidRPr="00F219CA">
        <w:t>medical journals from 1981 to 2000</w:t>
      </w:r>
      <w:r w:rsidR="00A37C1D">
        <w:t>. The</w:t>
      </w:r>
      <w:r w:rsidR="003A1917">
        <w:t xml:space="preserve"> </w:t>
      </w:r>
      <w:r w:rsidRPr="00F219CA">
        <w:t xml:space="preserve">most commonly used medical bibliographic database, </w:t>
      </w:r>
      <w:r w:rsidR="00D5664A">
        <w:t>MEDLINE</w:t>
      </w:r>
      <w:r w:rsidRPr="00F219CA">
        <w:t>, was used. In addition, some journals were hand searched to estimate</w:t>
      </w:r>
      <w:r w:rsidR="003A1917">
        <w:t xml:space="preserve"> the </w:t>
      </w:r>
      <w:r w:rsidRPr="00F219CA">
        <w:t>error</w:t>
      </w:r>
      <w:r w:rsidR="00427468">
        <w:t xml:space="preserve"> of </w:t>
      </w:r>
      <w:r w:rsidR="003A1917">
        <w:t xml:space="preserve">the </w:t>
      </w:r>
      <w:r w:rsidRPr="00F219CA">
        <w:t xml:space="preserve">method. Despite some indexing inconsistencies, </w:t>
      </w:r>
      <w:r w:rsidR="00D5664A">
        <w:t>MEDLINE</w:t>
      </w:r>
      <w:r w:rsidRPr="00F219CA">
        <w:t xml:space="preserve"> was found to be a powerful</w:t>
      </w:r>
      <w:r w:rsidR="005853A9">
        <w:t xml:space="preserve"> and </w:t>
      </w:r>
      <w:r w:rsidRPr="00F219CA">
        <w:t>relatively accurate tool for use in bibliometric studies. About 16,000 articles with orthodontic interest were published during this period</w:t>
      </w:r>
      <w:r w:rsidR="00A37C1D">
        <w:t>. The</w:t>
      </w:r>
      <w:r w:rsidR="003A1917">
        <w:t xml:space="preserve"> </w:t>
      </w:r>
      <w:r w:rsidRPr="00F219CA">
        <w:t>number</w:t>
      </w:r>
      <w:r w:rsidR="00427468">
        <w:t xml:space="preserve"> of </w:t>
      </w:r>
      <w:r w:rsidRPr="00F219CA">
        <w:t>orthodontic articles written in English rose during this period, but almost half</w:t>
      </w:r>
      <w:r w:rsidR="00427468">
        <w:t xml:space="preserve"> of </w:t>
      </w:r>
      <w:r w:rsidRPr="00F219CA">
        <w:t>them (45%) were published in nonorthodontic journals. Articles in</w:t>
      </w:r>
      <w:r w:rsidR="003A1917">
        <w:t xml:space="preserve"> the </w:t>
      </w:r>
      <w:r w:rsidRPr="00F219CA">
        <w:t>orthodontic journals are focusing more</w:t>
      </w:r>
      <w:r w:rsidR="005853A9">
        <w:t xml:space="preserve"> and </w:t>
      </w:r>
      <w:r w:rsidRPr="00F219CA">
        <w:t>more on diagnosis</w:t>
      </w:r>
      <w:r w:rsidR="005853A9">
        <w:t xml:space="preserve"> and </w:t>
      </w:r>
      <w:r w:rsidRPr="00F219CA">
        <w:t>treatment evaluation as</w:t>
      </w:r>
      <w:r w:rsidR="003A1917">
        <w:t xml:space="preserve"> the </w:t>
      </w:r>
      <w:r w:rsidRPr="00F219CA">
        <w:t>need for high-quality evidence becomes obvious, while other topics, such as new techniques</w:t>
      </w:r>
      <w:r w:rsidR="005853A9">
        <w:t xml:space="preserve"> and </w:t>
      </w:r>
      <w:r w:rsidRPr="00F219CA">
        <w:t>new materials, are losing ground. Many high-quality studies with orthodontic interest are published in nonorthodontic journals with a high Impact Factor, remaining more or less out</w:t>
      </w:r>
      <w:r w:rsidR="00427468">
        <w:t xml:space="preserve"> of </w:t>
      </w:r>
      <w:r w:rsidRPr="00F219CA">
        <w:t>reach for most orthodontists.</w:t>
      </w:r>
    </w:p>
    <w:p w:rsidR="00FF3B07" w:rsidRPr="00F219CA" w:rsidRDefault="00FF3B07" w:rsidP="00FF3B07">
      <w:pPr>
        <w:pStyle w:val="a3"/>
        <w:rPr>
          <w:kern w:val="0"/>
          <w:szCs w:val="24"/>
        </w:rPr>
      </w:pPr>
      <w:r w:rsidRPr="00F219CA">
        <w:rPr>
          <w:kern w:val="0"/>
          <w:szCs w:val="24"/>
        </w:rPr>
        <w:t xml:space="preserve">Keywords: Areas, Benchmarking, Bibliographic Database, Bibliometric, Bibliometric Studies, Controlled Trials, Database, Diagnosis, Evaluation, Impact, Indexing, Journals, Literature, Medical, Medical Journals, </w:t>
      </w:r>
      <w:r w:rsidR="00D5664A">
        <w:rPr>
          <w:kern w:val="0"/>
          <w:szCs w:val="24"/>
        </w:rPr>
        <w:t>MEDLINE</w:t>
      </w:r>
      <w:r w:rsidRPr="00F219CA">
        <w:rPr>
          <w:kern w:val="0"/>
          <w:szCs w:val="24"/>
        </w:rPr>
        <w:t>, Treatment</w:t>
      </w:r>
    </w:p>
    <w:p w:rsidR="00FF3B07" w:rsidRDefault="00FF3B07" w:rsidP="00FF3B07">
      <w:pPr>
        <w:pStyle w:val="a3"/>
        <w:rPr>
          <w:kern w:val="0"/>
        </w:rPr>
      </w:pPr>
      <w:r>
        <w:rPr>
          <w:rFonts w:hint="eastAsia"/>
          <w:kern w:val="0"/>
        </w:rPr>
        <w:t xml:space="preserve">? </w:t>
      </w:r>
      <w:r>
        <w:rPr>
          <w:kern w:val="0"/>
        </w:rPr>
        <w:t>Ng, J., Major, P.W., Heo, G.</w:t>
      </w:r>
      <w:r w:rsidR="005853A9">
        <w:rPr>
          <w:kern w:val="0"/>
        </w:rPr>
        <w:t xml:space="preserve"> and </w:t>
      </w:r>
      <w:r>
        <w:rPr>
          <w:kern w:val="0"/>
        </w:rPr>
        <w:t>Flores-Mir, C. (2005), True incisor intrusion attained during orthodontic treatment: A systematic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Orthodontics</w:t>
      </w:r>
      <w:r w:rsidR="005853A9">
        <w:rPr>
          <w:i/>
          <w:iCs/>
          <w:kern w:val="0"/>
        </w:rPr>
        <w:t xml:space="preserve"> and </w:t>
      </w:r>
      <w:r>
        <w:rPr>
          <w:i/>
          <w:iCs/>
          <w:kern w:val="0"/>
        </w:rPr>
        <w:t>Dentofacial Orthopedics</w:t>
      </w:r>
      <w:r>
        <w:rPr>
          <w:kern w:val="0"/>
        </w:rPr>
        <w:t xml:space="preserve">, </w:t>
      </w:r>
      <w:r>
        <w:rPr>
          <w:b/>
          <w:bCs/>
          <w:kern w:val="0"/>
        </w:rPr>
        <w:t>128</w:t>
      </w:r>
      <w:r>
        <w:rPr>
          <w:kern w:val="0"/>
        </w:rPr>
        <w:t xml:space="preserve"> (2), 212-219.</w:t>
      </w:r>
    </w:p>
    <w:p w:rsidR="00FF3B07" w:rsidRPr="00F219CA" w:rsidRDefault="00FF3B07" w:rsidP="00FF3B07">
      <w:pPr>
        <w:pStyle w:val="a3"/>
      </w:pPr>
      <w:r w:rsidRPr="00F219CA">
        <w:t xml:space="preserve">Full Text: </w:t>
      </w:r>
      <w:hyperlink r:id="rId572" w:history="1">
        <w:r w:rsidR="00834899" w:rsidRPr="00834899">
          <w:rPr>
            <w:rStyle w:val="a5"/>
          </w:rPr>
          <w:t>2005\Ame J Ort Den Ort128, 212.pdf</w:t>
        </w:r>
      </w:hyperlink>
    </w:p>
    <w:p w:rsidR="00FF3B07" w:rsidRDefault="00FF3B07" w:rsidP="00FF3B07">
      <w:pPr>
        <w:pStyle w:val="a3"/>
        <w:rPr>
          <w:kern w:val="0"/>
        </w:rPr>
      </w:pPr>
      <w:r>
        <w:rPr>
          <w:kern w:val="0"/>
        </w:rPr>
        <w:t>Abstract: Introduction:</w:t>
      </w:r>
      <w:r w:rsidR="003A1917">
        <w:rPr>
          <w:kern w:val="0"/>
        </w:rPr>
        <w:t xml:space="preserve"> the </w:t>
      </w:r>
      <w:r>
        <w:rPr>
          <w:kern w:val="0"/>
        </w:rPr>
        <w:t>purpose</w:t>
      </w:r>
      <w:r w:rsidR="00427468">
        <w:rPr>
          <w:kern w:val="0"/>
        </w:rPr>
        <w:t xml:space="preserve"> of </w:t>
      </w:r>
      <w:r>
        <w:rPr>
          <w:kern w:val="0"/>
        </w:rPr>
        <w:t>this meta-analysis was to quantify</w:t>
      </w:r>
      <w:r w:rsidR="003A1917">
        <w:rPr>
          <w:kern w:val="0"/>
        </w:rPr>
        <w:t xml:space="preserve"> the </w:t>
      </w:r>
      <w:r>
        <w:rPr>
          <w:kern w:val="0"/>
        </w:rPr>
        <w:t>amount</w:t>
      </w:r>
      <w:r w:rsidR="00427468">
        <w:rPr>
          <w:kern w:val="0"/>
        </w:rPr>
        <w:t xml:space="preserve"> of </w:t>
      </w:r>
      <w:r>
        <w:rPr>
          <w:kern w:val="0"/>
        </w:rPr>
        <w:t>true incisor intrusion attained during orthodontic treatment. Methods: Electronic databases (</w:t>
      </w:r>
      <w:r w:rsidR="002C12F0">
        <w:rPr>
          <w:kern w:val="0"/>
        </w:rPr>
        <w:t>PUBMED</w:t>
      </w:r>
      <w:r>
        <w:rPr>
          <w:kern w:val="0"/>
        </w:rPr>
        <w:t xml:space="preserve">, </w:t>
      </w:r>
      <w:r w:rsidR="00D5664A">
        <w:rPr>
          <w:kern w:val="0"/>
        </w:rPr>
        <w:t>MEDLINE</w:t>
      </w:r>
      <w:r>
        <w:rPr>
          <w:kern w:val="0"/>
        </w:rPr>
        <w:t xml:space="preserve">, </w:t>
      </w:r>
      <w:r w:rsidR="00D5664A">
        <w:rPr>
          <w:kern w:val="0"/>
        </w:rPr>
        <w:t>MEDLINE</w:t>
      </w:r>
      <w:r>
        <w:rPr>
          <w:kern w:val="0"/>
        </w:rPr>
        <w:t xml:space="preserve"> In-Process &amp; Other Non-Indexed Citations, all EBM reviews [Cochrane Database</w:t>
      </w:r>
      <w:r w:rsidR="00427468">
        <w:rPr>
          <w:kern w:val="0"/>
        </w:rPr>
        <w:t xml:space="preserve"> of </w:t>
      </w:r>
      <w:r>
        <w:rPr>
          <w:kern w:val="0"/>
        </w:rPr>
        <w:t>Systematic Reviews, ASP Journal Club, DARE,</w:t>
      </w:r>
      <w:r w:rsidR="005853A9">
        <w:rPr>
          <w:kern w:val="0"/>
        </w:rPr>
        <w:t xml:space="preserve"> and </w:t>
      </w:r>
      <w:r>
        <w:rPr>
          <w:kern w:val="0"/>
        </w:rPr>
        <w:t xml:space="preserve">CCTR],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Lilacs) were searched with</w:t>
      </w:r>
      <w:r w:rsidR="003A1917">
        <w:rPr>
          <w:kern w:val="0"/>
        </w:rPr>
        <w:t xml:space="preserve"> the </w:t>
      </w:r>
      <w:r>
        <w:rPr>
          <w:kern w:val="0"/>
        </w:rPr>
        <w:t>help</w:t>
      </w:r>
      <w:r w:rsidR="00427468">
        <w:rPr>
          <w:kern w:val="0"/>
        </w:rPr>
        <w:t xml:space="preserve"> of </w:t>
      </w:r>
      <w:r>
        <w:rPr>
          <w:kern w:val="0"/>
        </w:rPr>
        <w:t>a senior health sciences librarian</w:t>
      </w:r>
      <w:r w:rsidR="00A37C1D">
        <w:rPr>
          <w:kern w:val="0"/>
        </w:rPr>
        <w:t>. The</w:t>
      </w:r>
      <w:r w:rsidR="003A1917">
        <w:rPr>
          <w:kern w:val="0"/>
        </w:rPr>
        <w:t xml:space="preserve"> </w:t>
      </w:r>
      <w:r>
        <w:rPr>
          <w:kern w:val="0"/>
        </w:rPr>
        <w:t>goal was to identify clinical trials that assessed true incisor intrusion through cephalometric analysis</w:t>
      </w:r>
      <w:r w:rsidR="005853A9">
        <w:rPr>
          <w:kern w:val="0"/>
        </w:rPr>
        <w:t xml:space="preserve"> and </w:t>
      </w:r>
      <w:r>
        <w:rPr>
          <w:kern w:val="0"/>
        </w:rPr>
        <w:t>factored out craniofacial growth when required. From</w:t>
      </w:r>
      <w:r w:rsidR="003A1917">
        <w:rPr>
          <w:kern w:val="0"/>
        </w:rPr>
        <w:t xml:space="preserve"> the </w:t>
      </w:r>
      <w:r>
        <w:rPr>
          <w:kern w:val="0"/>
        </w:rPr>
        <w:t>selected abstracts, original articles were retrieved,</w:t>
      </w:r>
      <w:r w:rsidR="005853A9">
        <w:rPr>
          <w:kern w:val="0"/>
        </w:rPr>
        <w:t xml:space="preserve"> and </w:t>
      </w:r>
      <w:r>
        <w:rPr>
          <w:kern w:val="0"/>
        </w:rPr>
        <w:t>their references were hand searched for missing articles. Results: Twenty-eight articles met</w:t>
      </w:r>
      <w:r w:rsidR="003A1917">
        <w:rPr>
          <w:kern w:val="0"/>
        </w:rPr>
        <w:t xml:space="preserve"> the </w:t>
      </w:r>
      <w:r>
        <w:rPr>
          <w:kern w:val="0"/>
        </w:rPr>
        <w:t>initial inclusion criteria, but 24 were rejected because they did not quantify true incisor intrusion or factor out normal growth impact when required</w:t>
      </w:r>
      <w:r w:rsidR="00A37C1D">
        <w:rPr>
          <w:kern w:val="0"/>
        </w:rPr>
        <w:t>. The</w:t>
      </w:r>
      <w:r w:rsidR="003A1917">
        <w:rPr>
          <w:kern w:val="0"/>
        </w:rPr>
        <w:t xml:space="preserve"> </w:t>
      </w:r>
      <w:r>
        <w:rPr>
          <w:kern w:val="0"/>
        </w:rPr>
        <w:t>remaining 4 articles showed that true incisor intrusion is attainable (0.26 to 1.88 mm for</w:t>
      </w:r>
      <w:r w:rsidR="003A1917">
        <w:rPr>
          <w:kern w:val="0"/>
        </w:rPr>
        <w:t xml:space="preserve"> the </w:t>
      </w:r>
      <w:r>
        <w:rPr>
          <w:kern w:val="0"/>
        </w:rPr>
        <w:t>maxillary incisors</w:t>
      </w:r>
      <w:r w:rsidR="005853A9">
        <w:rPr>
          <w:kern w:val="0"/>
        </w:rPr>
        <w:t xml:space="preserve"> and </w:t>
      </w:r>
      <w:r>
        <w:rPr>
          <w:kern w:val="0"/>
        </w:rPr>
        <w:t>-0.19 to 2.84 mm for</w:t>
      </w:r>
      <w:r w:rsidR="003A1917">
        <w:rPr>
          <w:kern w:val="0"/>
        </w:rPr>
        <w:t xml:space="preserve"> the </w:t>
      </w:r>
      <w:r>
        <w:rPr>
          <w:kern w:val="0"/>
        </w:rPr>
        <w:t>mandibular incisors) but with large variability depending on</w:t>
      </w:r>
      <w:r w:rsidR="003A1917">
        <w:rPr>
          <w:kern w:val="0"/>
        </w:rPr>
        <w:t xml:space="preserve"> the </w:t>
      </w:r>
      <w:r>
        <w:rPr>
          <w:kern w:val="0"/>
        </w:rPr>
        <w:t xml:space="preserve">appliance used. A meta-analysis </w:t>
      </w:r>
      <w:r>
        <w:rPr>
          <w:kern w:val="0"/>
        </w:rPr>
        <w:lastRenderedPageBreak/>
        <w:t>with results from</w:t>
      </w:r>
      <w:r w:rsidR="003A1917">
        <w:rPr>
          <w:kern w:val="0"/>
        </w:rPr>
        <w:t xml:space="preserve"> the </w:t>
      </w:r>
      <w:r>
        <w:rPr>
          <w:kern w:val="0"/>
        </w:rPr>
        <w:t>2 articles that used</w:t>
      </w:r>
      <w:r w:rsidR="003A1917">
        <w:rPr>
          <w:kern w:val="0"/>
        </w:rPr>
        <w:t xml:space="preserve"> the </w:t>
      </w:r>
      <w:r>
        <w:rPr>
          <w:kern w:val="0"/>
        </w:rPr>
        <w:t>segmental technique was completed</w:t>
      </w:r>
      <w:r w:rsidR="00A37C1D">
        <w:rPr>
          <w:kern w:val="0"/>
        </w:rPr>
        <w:t>. The</w:t>
      </w:r>
      <w:r w:rsidR="003A1917">
        <w:rPr>
          <w:kern w:val="0"/>
        </w:rPr>
        <w:t xml:space="preserve"> </w:t>
      </w:r>
      <w:r>
        <w:rPr>
          <w:kern w:val="0"/>
        </w:rPr>
        <w:t>combined mean estimates</w:t>
      </w:r>
      <w:r w:rsidR="00427468">
        <w:rPr>
          <w:kern w:val="0"/>
        </w:rPr>
        <w:t xml:space="preserve"> of </w:t>
      </w:r>
      <w:r>
        <w:rPr>
          <w:kern w:val="0"/>
        </w:rPr>
        <w:t>intrusion</w:t>
      </w:r>
      <w:r w:rsidR="005853A9">
        <w:rPr>
          <w:kern w:val="0"/>
        </w:rPr>
        <w:t xml:space="preserve"> and </w:t>
      </w:r>
      <w:r>
        <w:rPr>
          <w:kern w:val="0"/>
        </w:rPr>
        <w:t>95% CI were 1.46 mm (1.05-1.86 mm) for</w:t>
      </w:r>
      <w:r w:rsidR="003A1917">
        <w:rPr>
          <w:kern w:val="0"/>
        </w:rPr>
        <w:t xml:space="preserve"> the </w:t>
      </w:r>
      <w:r>
        <w:rPr>
          <w:kern w:val="0"/>
        </w:rPr>
        <w:t>maxillary incisors</w:t>
      </w:r>
      <w:r w:rsidR="005853A9">
        <w:rPr>
          <w:kern w:val="0"/>
        </w:rPr>
        <w:t xml:space="preserve"> and </w:t>
      </w:r>
      <w:r>
        <w:rPr>
          <w:kern w:val="0"/>
        </w:rPr>
        <w:t>1.90 mm (1.22-2.57 mm) for</w:t>
      </w:r>
      <w:r w:rsidR="003A1917">
        <w:rPr>
          <w:kern w:val="0"/>
        </w:rPr>
        <w:t xml:space="preserve"> the </w:t>
      </w:r>
      <w:r>
        <w:rPr>
          <w:kern w:val="0"/>
        </w:rPr>
        <w:t>mandibular incisors. Conclusions: True incisor intrusion is achievable in both arches, but</w:t>
      </w:r>
      <w:r w:rsidR="003A1917">
        <w:rPr>
          <w:kern w:val="0"/>
        </w:rPr>
        <w:t xml:space="preserve"> the </w:t>
      </w:r>
      <w:r>
        <w:rPr>
          <w:kern w:val="0"/>
        </w:rPr>
        <w:t>clinical significance</w:t>
      </w:r>
      <w:r w:rsidR="00427468">
        <w:rPr>
          <w:kern w:val="0"/>
        </w:rPr>
        <w:t xml:space="preserve"> of </w:t>
      </w:r>
      <w:r w:rsidR="003A1917">
        <w:rPr>
          <w:kern w:val="0"/>
        </w:rPr>
        <w:t xml:space="preserve">the </w:t>
      </w:r>
      <w:r>
        <w:rPr>
          <w:kern w:val="0"/>
        </w:rPr>
        <w:t>magnitude</w:t>
      </w:r>
      <w:r w:rsidR="00427468">
        <w:rPr>
          <w:kern w:val="0"/>
        </w:rPr>
        <w:t xml:space="preserve"> of </w:t>
      </w:r>
      <w:r>
        <w:rPr>
          <w:kern w:val="0"/>
        </w:rPr>
        <w:t>true intrusion as</w:t>
      </w:r>
      <w:r w:rsidR="003A1917">
        <w:rPr>
          <w:kern w:val="0"/>
        </w:rPr>
        <w:t xml:space="preserve"> the </w:t>
      </w:r>
      <w:r>
        <w:rPr>
          <w:kern w:val="0"/>
        </w:rPr>
        <w:t>sole treatment option is questionable for patients with severe deepbite. In nongrowing patients,</w:t>
      </w:r>
      <w:r w:rsidR="003A1917">
        <w:rPr>
          <w:kern w:val="0"/>
        </w:rPr>
        <w:t xml:space="preserve"> the </w:t>
      </w:r>
      <w:r>
        <w:rPr>
          <w:kern w:val="0"/>
        </w:rPr>
        <w:t>segmented arch technique can produce 1.5 mm</w:t>
      </w:r>
      <w:r w:rsidR="00427468">
        <w:rPr>
          <w:kern w:val="0"/>
        </w:rPr>
        <w:t xml:space="preserve"> of </w:t>
      </w:r>
      <w:r>
        <w:rPr>
          <w:kern w:val="0"/>
        </w:rPr>
        <w:t>incisor intrusion in</w:t>
      </w:r>
      <w:r w:rsidR="003A1917">
        <w:rPr>
          <w:kern w:val="0"/>
        </w:rPr>
        <w:t xml:space="preserve"> the </w:t>
      </w:r>
      <w:r>
        <w:rPr>
          <w:kern w:val="0"/>
        </w:rPr>
        <w:t>maxillary arch</w:t>
      </w:r>
      <w:r w:rsidR="005853A9">
        <w:rPr>
          <w:kern w:val="0"/>
        </w:rPr>
        <w:t xml:space="preserve"> and </w:t>
      </w:r>
      <w:r>
        <w:rPr>
          <w:kern w:val="0"/>
        </w:rPr>
        <w:t>1.9 mm in</w:t>
      </w:r>
      <w:r w:rsidR="003A1917">
        <w:rPr>
          <w:kern w:val="0"/>
        </w:rPr>
        <w:t xml:space="preserve"> the </w:t>
      </w:r>
      <w:r>
        <w:rPr>
          <w:kern w:val="0"/>
        </w:rPr>
        <w:t>mandibular arch.</w:t>
      </w:r>
    </w:p>
    <w:p w:rsidR="00FF3B07" w:rsidRDefault="00FF3B07" w:rsidP="00FF3B07">
      <w:pPr>
        <w:pStyle w:val="a3"/>
        <w:rPr>
          <w:kern w:val="0"/>
        </w:rPr>
      </w:pPr>
      <w:r>
        <w:rPr>
          <w:kern w:val="0"/>
        </w:rPr>
        <w:t xml:space="preserve">Keywords: Adult Patients, Analysis, Appliance, Arch Leveling Techniques, Citations, </w:t>
      </w:r>
      <w:r w:rsidR="00834899">
        <w:rPr>
          <w:kern w:val="0"/>
        </w:rPr>
        <w:t xml:space="preserve">Class-II Malocclusion, Clinical Trials, Databases, Force Systems, Health Sciences, </w:t>
      </w:r>
      <w:r>
        <w:rPr>
          <w:kern w:val="0"/>
        </w:rPr>
        <w:t xml:space="preserve">Impact, Jasper Jumper, Journal, Meta-Analysis, Methods, Normal, Overbite, </w:t>
      </w:r>
      <w:r w:rsidR="002C12F0">
        <w:rPr>
          <w:kern w:val="0"/>
        </w:rPr>
        <w:t>PUBMED</w:t>
      </w:r>
      <w:r>
        <w:rPr>
          <w:kern w:val="0"/>
        </w:rPr>
        <w:t xml:space="preserve">, Retraction, Review, Root Resorption, Science, Sciences, Systematic, Systematic Review, Tooth Movements, Treatment, Variability, </w:t>
      </w:r>
      <w:r w:rsidR="00D5664A">
        <w:rPr>
          <w:kern w:val="0"/>
        </w:rPr>
        <w:t>Web</w:t>
      </w:r>
      <w:r w:rsidR="00427468">
        <w:rPr>
          <w:kern w:val="0"/>
        </w:rPr>
        <w:t xml:space="preserve"> of </w:t>
      </w:r>
      <w:r w:rsidR="00D5664A">
        <w:rPr>
          <w:kern w:val="0"/>
        </w:rPr>
        <w:t>Science</w:t>
      </w:r>
    </w:p>
    <w:p w:rsidR="00FF3B07" w:rsidRPr="00F219CA" w:rsidRDefault="00FF3B07" w:rsidP="00FF3B07">
      <w:pPr>
        <w:pStyle w:val="a3"/>
      </w:pPr>
      <w:r w:rsidRPr="00F219CA">
        <w:t>? Kanavakis, G., Spinos, P., Polychronopoulou, A., Eliades, T., Papadopoulos, M.A.</w:t>
      </w:r>
      <w:r w:rsidR="005853A9">
        <w:t xml:space="preserve"> and </w:t>
      </w:r>
      <w:r w:rsidRPr="00F219CA">
        <w:t>Athanasiou, A.E. (2006), Orthodontic journals with impact factors in perspective: Trends in</w:t>
      </w:r>
      <w:r w:rsidR="003A1917">
        <w:t xml:space="preserve"> the </w:t>
      </w:r>
      <w:r w:rsidRPr="00F219CA">
        <w:t>types</w:t>
      </w:r>
      <w:r w:rsidR="00427468">
        <w:t xml:space="preserve"> of </w:t>
      </w:r>
      <w:r w:rsidRPr="00F219CA">
        <w:t>articles</w:t>
      </w:r>
      <w:r w:rsidR="005853A9">
        <w:t xml:space="preserve"> and </w:t>
      </w:r>
      <w:r w:rsidRPr="00F219CA">
        <w:t xml:space="preserve">authorship characteristics. </w:t>
      </w:r>
      <w:r w:rsidRPr="00F219CA">
        <w:rPr>
          <w:i/>
        </w:rPr>
        <w:t>American Journal</w:t>
      </w:r>
      <w:r w:rsidR="00427468">
        <w:rPr>
          <w:i/>
        </w:rPr>
        <w:t xml:space="preserve"> of </w:t>
      </w:r>
      <w:r w:rsidRPr="00F219CA">
        <w:rPr>
          <w:i/>
        </w:rPr>
        <w:t>Orthodontics</w:t>
      </w:r>
      <w:r w:rsidR="005853A9">
        <w:rPr>
          <w:i/>
        </w:rPr>
        <w:t xml:space="preserve"> and </w:t>
      </w:r>
      <w:r w:rsidRPr="00F219CA">
        <w:rPr>
          <w:i/>
        </w:rPr>
        <w:t>Dentofacial Orthopedics</w:t>
      </w:r>
      <w:r w:rsidRPr="00F219CA">
        <w:t xml:space="preserve">, </w:t>
      </w:r>
      <w:r w:rsidRPr="00F219CA">
        <w:rPr>
          <w:b/>
          <w:bCs/>
        </w:rPr>
        <w:t>130</w:t>
      </w:r>
      <w:r w:rsidRPr="00F219CA">
        <w:t xml:space="preserve"> (4), 516-522.</w:t>
      </w:r>
    </w:p>
    <w:p w:rsidR="00FF3B07" w:rsidRPr="001A3D2B" w:rsidRDefault="00FF3B07" w:rsidP="00FF3B07">
      <w:pPr>
        <w:pStyle w:val="a3"/>
      </w:pPr>
      <w:r w:rsidRPr="001A3D2B">
        <w:t xml:space="preserve">Full Text: </w:t>
      </w:r>
      <w:hyperlink r:id="rId573" w:history="1">
        <w:r w:rsidRPr="001A3D2B">
          <w:rPr>
            <w:rStyle w:val="a5"/>
          </w:rPr>
          <w:t>2006\Ame J Ort Den Ort130, 516.pdf</w:t>
        </w:r>
      </w:hyperlink>
    </w:p>
    <w:p w:rsidR="00FF3B07" w:rsidRPr="00F219CA" w:rsidRDefault="00FF3B07" w:rsidP="00FF3B07">
      <w:pPr>
        <w:pStyle w:val="a3"/>
      </w:pPr>
      <w:r w:rsidRPr="00F219CA">
        <w:t>Abstract: Introduction:</w:t>
      </w:r>
      <w:r w:rsidR="003A1917">
        <w:t xml:space="preserve"> the </w:t>
      </w:r>
      <w:r w:rsidRPr="00F219CA">
        <w:t>purposes</w:t>
      </w:r>
      <w:r w:rsidR="00427468">
        <w:t xml:space="preserve"> of </w:t>
      </w:r>
      <w:r w:rsidRPr="00F219CA">
        <w:t>this study were to analyze</w:t>
      </w:r>
      <w:r w:rsidR="003A1917">
        <w:t xml:space="preserve"> the </w:t>
      </w:r>
      <w:r w:rsidRPr="00F219CA">
        <w:t>types</w:t>
      </w:r>
      <w:r w:rsidR="00427468">
        <w:t xml:space="preserve"> of </w:t>
      </w:r>
      <w:r w:rsidRPr="00F219CA">
        <w:t>articles</w:t>
      </w:r>
      <w:r w:rsidR="005853A9">
        <w:t xml:space="preserve"> and </w:t>
      </w:r>
      <w:r w:rsidRPr="00F219CA">
        <w:t>their authorship characteristics in</w:t>
      </w:r>
      <w:r w:rsidR="003A1917">
        <w:t xml:space="preserve"> the </w:t>
      </w:r>
      <w:r w:rsidRPr="00F219CA">
        <w:t>3 orthodontic journals with impact factors-American Journal</w:t>
      </w:r>
      <w:r w:rsidR="00427468">
        <w:t xml:space="preserve"> of </w:t>
      </w:r>
      <w:r w:rsidRPr="00F219CA">
        <w:t>Orthodontics</w:t>
      </w:r>
      <w:r w:rsidR="005853A9">
        <w:t xml:space="preserve"> and </w:t>
      </w:r>
      <w:r w:rsidRPr="00F219CA">
        <w:t>Dentofacial Orthopedics (AJODO), Angle Orthodontist (AO),</w:t>
      </w:r>
      <w:r w:rsidR="005853A9">
        <w:t xml:space="preserve"> and </w:t>
      </w:r>
      <w:r w:rsidRPr="00F219CA">
        <w:t>European Journal</w:t>
      </w:r>
      <w:r w:rsidR="00427468">
        <w:t xml:space="preserve"> of </w:t>
      </w:r>
      <w:r w:rsidRPr="00F219CA">
        <w:t>Orthodontics (EJO) during 2 intervals</w:t>
      </w:r>
      <w:r w:rsidR="00427468">
        <w:t xml:space="preserve"> of </w:t>
      </w:r>
      <w:r w:rsidRPr="00F219CA">
        <w:t>5 years each (1993-1997</w:t>
      </w:r>
      <w:r w:rsidR="005853A9">
        <w:t xml:space="preserve"> and </w:t>
      </w:r>
      <w:r w:rsidRPr="00F219CA">
        <w:t>1998-2002)</w:t>
      </w:r>
      <w:r w:rsidR="005853A9">
        <w:t xml:space="preserve"> and </w:t>
      </w:r>
      <w:r w:rsidRPr="00F219CA">
        <w:t>to assess</w:t>
      </w:r>
      <w:r w:rsidR="003A1917">
        <w:t xml:space="preserve"> the </w:t>
      </w:r>
      <w:r w:rsidRPr="00F219CA">
        <w:t>changes in their contents during these periods. Methods:</w:t>
      </w:r>
      <w:r w:rsidR="003A1917">
        <w:t xml:space="preserve"> the </w:t>
      </w:r>
      <w:r w:rsidRPr="00F219CA">
        <w:t>results</w:t>
      </w:r>
      <w:r w:rsidR="00427468">
        <w:t xml:space="preserve"> of </w:t>
      </w:r>
      <w:r w:rsidRPr="00F219CA">
        <w:t>3004 article entries were analyzed with</w:t>
      </w:r>
      <w:r w:rsidR="003A1917">
        <w:t xml:space="preserve"> the </w:t>
      </w:r>
      <w:r w:rsidRPr="00F219CA">
        <w:t>Pearson chi-square test,</w:t>
      </w:r>
      <w:r w:rsidR="005853A9">
        <w:t xml:space="preserve"> and </w:t>
      </w:r>
      <w:r w:rsidR="003A1917">
        <w:t xml:space="preserve">the </w:t>
      </w:r>
      <w:r w:rsidRPr="00F219CA">
        <w:t>examination</w:t>
      </w:r>
      <w:r w:rsidR="00427468">
        <w:t xml:space="preserve"> of </w:t>
      </w:r>
      <w:r w:rsidR="003A1917">
        <w:t xml:space="preserve">the </w:t>
      </w:r>
      <w:r w:rsidRPr="00F219CA">
        <w:t>variability</w:t>
      </w:r>
      <w:r w:rsidR="00427468">
        <w:t xml:space="preserve"> of </w:t>
      </w:r>
      <w:r w:rsidR="003A1917">
        <w:t xml:space="preserve">the </w:t>
      </w:r>
      <w:r w:rsidRPr="00F219CA">
        <w:t>parameters studied among journals</w:t>
      </w:r>
      <w:r w:rsidR="005853A9">
        <w:t xml:space="preserve"> and </w:t>
      </w:r>
      <w:r w:rsidRPr="00F219CA">
        <w:t>across</w:t>
      </w:r>
      <w:r w:rsidR="003A1917">
        <w:t xml:space="preserve"> the </w:t>
      </w:r>
      <w:r w:rsidRPr="00F219CA">
        <w:t>2 time intervals was performed at</w:t>
      </w:r>
      <w:r w:rsidR="003A1917">
        <w:t xml:space="preserve"> the </w:t>
      </w:r>
      <w:r w:rsidRPr="00F219CA">
        <w:t>0.05 level</w:t>
      </w:r>
      <w:r w:rsidR="00427468">
        <w:t xml:space="preserve"> of </w:t>
      </w:r>
      <w:r w:rsidRPr="00F219CA">
        <w:t>significance. Results</w:t>
      </w:r>
      <w:r w:rsidR="005853A9">
        <w:t xml:space="preserve"> and </w:t>
      </w:r>
      <w:r w:rsidRPr="00F219CA">
        <w:t>Conclusions: Significant differences were found between</w:t>
      </w:r>
      <w:r w:rsidR="003A1917">
        <w:t xml:space="preserve"> the </w:t>
      </w:r>
      <w:r w:rsidRPr="00F219CA">
        <w:t>journals with respect to</w:t>
      </w:r>
      <w:r w:rsidR="003A1917">
        <w:t xml:space="preserve"> the </w:t>
      </w:r>
      <w:r w:rsidRPr="00F219CA">
        <w:t>research component</w:t>
      </w:r>
      <w:r w:rsidR="00427468">
        <w:t xml:space="preserve"> of </w:t>
      </w:r>
      <w:r w:rsidRPr="00F219CA">
        <w:t>articles (higher in</w:t>
      </w:r>
      <w:r w:rsidR="003A1917">
        <w:t xml:space="preserve"> the </w:t>
      </w:r>
      <w:r w:rsidRPr="00F219CA">
        <w:t>EJO)</w:t>
      </w:r>
      <w:r w:rsidR="005853A9">
        <w:t xml:space="preserve"> and </w:t>
      </w:r>
      <w:r w:rsidRPr="00F219CA">
        <w:t>case reports (higher in</w:t>
      </w:r>
      <w:r w:rsidR="003A1917">
        <w:t xml:space="preserve"> the </w:t>
      </w:r>
      <w:r w:rsidRPr="00F219CA">
        <w:t>AJODO</w:t>
      </w:r>
      <w:r w:rsidR="005853A9">
        <w:t xml:space="preserve"> and </w:t>
      </w:r>
      <w:r w:rsidR="003A1917">
        <w:t xml:space="preserve">the </w:t>
      </w:r>
      <w:r w:rsidRPr="00F219CA">
        <w:t>AO). For each journal, differences were also identified between</w:t>
      </w:r>
      <w:r w:rsidR="003A1917">
        <w:t xml:space="preserve"> the </w:t>
      </w:r>
      <w:r w:rsidRPr="00F219CA">
        <w:t>2 time intervals, with multi-authored papers</w:t>
      </w:r>
      <w:r w:rsidR="005853A9">
        <w:t xml:space="preserve"> and </w:t>
      </w:r>
      <w:r w:rsidRPr="00F219CA">
        <w:t>multiple affiliations appearing more frequently in</w:t>
      </w:r>
      <w:r w:rsidR="003A1917">
        <w:t xml:space="preserve"> the </w:t>
      </w:r>
      <w:r w:rsidRPr="00F219CA">
        <w:t>second interval</w:t>
      </w:r>
      <w:r w:rsidR="00A37C1D">
        <w:t>. The</w:t>
      </w:r>
      <w:r w:rsidR="003A1917">
        <w:t xml:space="preserve"> </w:t>
      </w:r>
      <w:r w:rsidRPr="00F219CA">
        <w:t>contributions</w:t>
      </w:r>
      <w:r w:rsidR="00427468">
        <w:t xml:space="preserve"> of </w:t>
      </w:r>
      <w:r w:rsidRPr="00F219CA">
        <w:t>articles from</w:t>
      </w:r>
      <w:r w:rsidR="003A1917">
        <w:t xml:space="preserve"> the </w:t>
      </w:r>
      <w:r w:rsidRPr="00F219CA">
        <w:t>United States</w:t>
      </w:r>
      <w:r w:rsidR="005853A9">
        <w:t xml:space="preserve"> and </w:t>
      </w:r>
      <w:r w:rsidRPr="00F219CA">
        <w:t>Canada to</w:t>
      </w:r>
      <w:r w:rsidR="003A1917">
        <w:t xml:space="preserve"> the </w:t>
      </w:r>
      <w:r w:rsidRPr="00F219CA">
        <w:t>AJODO</w:t>
      </w:r>
      <w:r w:rsidR="005853A9">
        <w:t xml:space="preserve"> and </w:t>
      </w:r>
      <w:r w:rsidR="003A1917">
        <w:t xml:space="preserve">the </w:t>
      </w:r>
      <w:r w:rsidRPr="00F219CA">
        <w:t>AO were statistically higher than to</w:t>
      </w:r>
      <w:r w:rsidR="003A1917">
        <w:t xml:space="preserve"> the </w:t>
      </w:r>
      <w:r w:rsidRPr="00F219CA">
        <w:t>EJO. A similar trend was found for articles from Europe, which comprise more than 70%</w:t>
      </w:r>
      <w:r w:rsidR="00427468">
        <w:t xml:space="preserve"> of </w:t>
      </w:r>
      <w:r w:rsidR="003A1917">
        <w:t xml:space="preserve">the </w:t>
      </w:r>
      <w:r w:rsidRPr="00F219CA">
        <w:t>content</w:t>
      </w:r>
      <w:r w:rsidR="00427468">
        <w:t xml:space="preserve"> of </w:t>
      </w:r>
      <w:r w:rsidR="003A1917">
        <w:t xml:space="preserve">the </w:t>
      </w:r>
      <w:r w:rsidRPr="00F219CA">
        <w:t>EJO. An increased contribution</w:t>
      </w:r>
      <w:r w:rsidR="00427468">
        <w:t xml:space="preserve"> of </w:t>
      </w:r>
      <w:r w:rsidRPr="00F219CA">
        <w:t>articles from East Asia</w:t>
      </w:r>
      <w:r w:rsidR="005853A9">
        <w:t xml:space="preserve"> and </w:t>
      </w:r>
      <w:r w:rsidRPr="00F219CA">
        <w:t>Oceania was noted in</w:t>
      </w:r>
      <w:r w:rsidR="003A1917">
        <w:t xml:space="preserve"> the </w:t>
      </w:r>
      <w:r w:rsidRPr="00F219CA">
        <w:t>second time interval, which reached almost 100%</w:t>
      </w:r>
      <w:r w:rsidR="00427468">
        <w:t xml:space="preserve"> of </w:t>
      </w:r>
      <w:r w:rsidR="003A1917">
        <w:t xml:space="preserve">the </w:t>
      </w:r>
      <w:r w:rsidRPr="00F219CA">
        <w:t>previous time frame</w:t>
      </w:r>
      <w:r w:rsidR="00A37C1D">
        <w:t>. The</w:t>
      </w:r>
      <w:r w:rsidR="003A1917">
        <w:t xml:space="preserve"> </w:t>
      </w:r>
      <w:r w:rsidRPr="00F219CA">
        <w:t>potential sources</w:t>
      </w:r>
      <w:r w:rsidR="00427468">
        <w:t xml:space="preserve"> of </w:t>
      </w:r>
      <w:r w:rsidRPr="00F219CA">
        <w:t>variation in</w:t>
      </w:r>
      <w:r w:rsidR="003A1917">
        <w:t xml:space="preserve"> the </w:t>
      </w:r>
      <w:r w:rsidRPr="00F219CA">
        <w:t>studied parameters are discussed.</w:t>
      </w:r>
    </w:p>
    <w:p w:rsidR="00FF3B07" w:rsidRPr="00F219CA" w:rsidRDefault="00FF3B07" w:rsidP="00FF3B07">
      <w:pPr>
        <w:pStyle w:val="a3"/>
      </w:pPr>
      <w:r w:rsidRPr="00F219CA">
        <w:t xml:space="preserve">Keywords: Asia, Authorship, Canada, Case Reports, Changes, Characteristics, Chi-Square, Europe, Examination, Impact, Impact Factors, Interval, Intervals, </w:t>
      </w:r>
      <w:r w:rsidRPr="00F219CA">
        <w:lastRenderedPageBreak/>
        <w:t>Journal, Journals, Papers, Potential, Research, Significance, Sources, Trend, United States, Variability</w:t>
      </w:r>
    </w:p>
    <w:p w:rsidR="00FF3B07" w:rsidRDefault="00FF3B07" w:rsidP="00FF3B07">
      <w:pPr>
        <w:pStyle w:val="a3"/>
        <w:rPr>
          <w:kern w:val="0"/>
        </w:rPr>
      </w:pPr>
      <w:r>
        <w:rPr>
          <w:rFonts w:hint="eastAsia"/>
          <w:kern w:val="0"/>
        </w:rPr>
        <w:t xml:space="preserve">? </w:t>
      </w:r>
      <w:r>
        <w:rPr>
          <w:kern w:val="0"/>
        </w:rPr>
        <w:t>Major, M.P., Flores-Mir, C.</w:t>
      </w:r>
      <w:r w:rsidR="005853A9">
        <w:rPr>
          <w:kern w:val="0"/>
        </w:rPr>
        <w:t xml:space="preserve"> and </w:t>
      </w:r>
      <w:r>
        <w:rPr>
          <w:kern w:val="0"/>
        </w:rPr>
        <w:t>Major, P.W. (2006), Assessment</w:t>
      </w:r>
      <w:r w:rsidR="00427468">
        <w:rPr>
          <w:kern w:val="0"/>
        </w:rPr>
        <w:t xml:space="preserve"> of </w:t>
      </w:r>
      <w:r>
        <w:rPr>
          <w:kern w:val="0"/>
        </w:rPr>
        <w:t>lateral cephalometric diagnosis</w:t>
      </w:r>
      <w:r w:rsidR="00427468">
        <w:rPr>
          <w:kern w:val="0"/>
        </w:rPr>
        <w:t xml:space="preserve"> of </w:t>
      </w:r>
      <w:r>
        <w:rPr>
          <w:kern w:val="0"/>
        </w:rPr>
        <w:t>adenoid hypertrophy</w:t>
      </w:r>
      <w:r w:rsidR="005853A9">
        <w:rPr>
          <w:kern w:val="0"/>
        </w:rPr>
        <w:t xml:space="preserve"> and </w:t>
      </w:r>
      <w:r>
        <w:rPr>
          <w:kern w:val="0"/>
        </w:rPr>
        <w:t xml:space="preserve">posterior upper airway obstruction: A systematic review. </w:t>
      </w:r>
      <w:r>
        <w:rPr>
          <w:i/>
          <w:iCs/>
          <w:kern w:val="0"/>
        </w:rPr>
        <w:t>American Journal</w:t>
      </w:r>
      <w:r w:rsidR="00427468">
        <w:rPr>
          <w:i/>
          <w:iCs/>
          <w:kern w:val="0"/>
        </w:rPr>
        <w:t xml:space="preserve"> of </w:t>
      </w:r>
      <w:r>
        <w:rPr>
          <w:i/>
          <w:iCs/>
          <w:kern w:val="0"/>
        </w:rPr>
        <w:t>Orthodontics</w:t>
      </w:r>
      <w:r w:rsidR="005853A9">
        <w:rPr>
          <w:i/>
          <w:iCs/>
          <w:kern w:val="0"/>
        </w:rPr>
        <w:t xml:space="preserve"> and </w:t>
      </w:r>
      <w:r>
        <w:rPr>
          <w:i/>
          <w:iCs/>
          <w:kern w:val="0"/>
        </w:rPr>
        <w:t>Dentofacial Orthopedics</w:t>
      </w:r>
      <w:r>
        <w:rPr>
          <w:kern w:val="0"/>
        </w:rPr>
        <w:t xml:space="preserve">, </w:t>
      </w:r>
      <w:r>
        <w:rPr>
          <w:b/>
          <w:bCs/>
          <w:kern w:val="0"/>
        </w:rPr>
        <w:t>130</w:t>
      </w:r>
      <w:r>
        <w:rPr>
          <w:kern w:val="0"/>
        </w:rPr>
        <w:t xml:space="preserve"> (6), 700-708.</w:t>
      </w:r>
    </w:p>
    <w:p w:rsidR="00FF3B07" w:rsidRPr="00F219CA" w:rsidRDefault="00FF3B07" w:rsidP="00FF3B07">
      <w:pPr>
        <w:pStyle w:val="a3"/>
      </w:pPr>
      <w:r w:rsidRPr="00F219CA">
        <w:t xml:space="preserve">Full Text: </w:t>
      </w:r>
      <w:hyperlink r:id="rId574" w:history="1">
        <w:r w:rsidR="00834899" w:rsidRPr="00834899">
          <w:rPr>
            <w:rStyle w:val="a5"/>
          </w:rPr>
          <w:t>2006\Ame J Ort Den Ort130, 700.pdf</w:t>
        </w:r>
      </w:hyperlink>
    </w:p>
    <w:p w:rsidR="00FF3B07" w:rsidRDefault="00FF3B07" w:rsidP="00FF3B07">
      <w:pPr>
        <w:pStyle w:val="a3"/>
        <w:rPr>
          <w:kern w:val="0"/>
        </w:rPr>
      </w:pPr>
      <w:r>
        <w:rPr>
          <w:kern w:val="0"/>
        </w:rPr>
        <w:t>Abstract: Introduction: Our objective was to evaluate</w:t>
      </w:r>
      <w:r w:rsidR="003A1917">
        <w:rPr>
          <w:kern w:val="0"/>
        </w:rPr>
        <w:t xml:space="preserve"> the </w:t>
      </w:r>
      <w:r>
        <w:rPr>
          <w:kern w:val="0"/>
        </w:rPr>
        <w:t>capability</w:t>
      </w:r>
      <w:r w:rsidR="00427468">
        <w:rPr>
          <w:kern w:val="0"/>
        </w:rPr>
        <w:t xml:space="preserve"> of </w:t>
      </w:r>
      <w:r>
        <w:rPr>
          <w:kern w:val="0"/>
        </w:rPr>
        <w:t>lateral cephalograms in diagnosing hypertrophied adenoids</w:t>
      </w:r>
      <w:r w:rsidR="005853A9">
        <w:rPr>
          <w:kern w:val="0"/>
        </w:rPr>
        <w:t xml:space="preserve"> and </w:t>
      </w:r>
      <w:r>
        <w:rPr>
          <w:kern w:val="0"/>
        </w:rPr>
        <w:t>obstructed posterior nasopharyngeal airways. Methods: A systematic review</w:t>
      </w:r>
      <w:r w:rsidR="00427468">
        <w:rPr>
          <w:kern w:val="0"/>
        </w:rPr>
        <w:t xml:space="preserve"> of </w:t>
      </w:r>
      <w:r w:rsidR="003A1917">
        <w:rPr>
          <w:kern w:val="0"/>
        </w:rPr>
        <w:t xml:space="preserve">the </w:t>
      </w:r>
      <w:r>
        <w:rPr>
          <w:kern w:val="0"/>
        </w:rPr>
        <w:t xml:space="preserve">literature by using several electronic databases (Cochrane Library, </w:t>
      </w:r>
      <w:r w:rsidR="00D5664A">
        <w:rPr>
          <w:kern w:val="0"/>
        </w:rPr>
        <w:t>MEDLINE</w:t>
      </w:r>
      <w:r>
        <w:rPr>
          <w:kern w:val="0"/>
        </w:rPr>
        <w:t xml:space="preserve">, </w:t>
      </w:r>
      <w:r w:rsidR="00D5664A">
        <w:rPr>
          <w:kern w:val="0"/>
        </w:rPr>
        <w:t>MEDLINE</w:t>
      </w:r>
      <w:r>
        <w:rPr>
          <w:kern w:val="0"/>
        </w:rPr>
        <w:t xml:space="preserve"> in progress,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Pr>
          <w:kern w:val="0"/>
        </w:rPr>
        <w:t>Lilacs) was performed with</w:t>
      </w:r>
      <w:r w:rsidR="003A1917">
        <w:rPr>
          <w:kern w:val="0"/>
        </w:rPr>
        <w:t xml:space="preserve"> the </w:t>
      </w:r>
      <w:r>
        <w:rPr>
          <w:kern w:val="0"/>
        </w:rPr>
        <w:t>help</w:t>
      </w:r>
      <w:r w:rsidR="00427468">
        <w:rPr>
          <w:kern w:val="0"/>
        </w:rPr>
        <w:t xml:space="preserve"> of </w:t>
      </w:r>
      <w:r>
        <w:rPr>
          <w:kern w:val="0"/>
        </w:rPr>
        <w:t>a senior health-sciences librarian</w:t>
      </w:r>
      <w:r w:rsidR="00A37C1D">
        <w:rPr>
          <w:kern w:val="0"/>
        </w:rPr>
        <w:t>. The</w:t>
      </w:r>
      <w:r w:rsidR="003A1917">
        <w:rPr>
          <w:kern w:val="0"/>
        </w:rPr>
        <w:t xml:space="preserve"> </w:t>
      </w:r>
      <w:r>
        <w:rPr>
          <w:kern w:val="0"/>
        </w:rPr>
        <w:t>electronic search was followed up with hand searches. After applying our inclusion-exclusion criteria,</w:t>
      </w:r>
      <w:r w:rsidR="003A1917">
        <w:rPr>
          <w:kern w:val="0"/>
        </w:rPr>
        <w:t xml:space="preserve"> the </w:t>
      </w:r>
      <w:r>
        <w:rPr>
          <w:kern w:val="0"/>
        </w:rPr>
        <w:t>search yielded 11 articles that were then scored based on their methodological validity. Results: Lateral cephalograms performed reasonably well in evaluating adenoid size; both quantitative measures</w:t>
      </w:r>
      <w:r w:rsidR="00427468">
        <w:rPr>
          <w:kern w:val="0"/>
        </w:rPr>
        <w:t xml:space="preserve"> of </w:t>
      </w:r>
      <w:r>
        <w:rPr>
          <w:kern w:val="0"/>
        </w:rPr>
        <w:t>adenoid area</w:t>
      </w:r>
      <w:r w:rsidR="005853A9">
        <w:rPr>
          <w:kern w:val="0"/>
        </w:rPr>
        <w:t xml:space="preserve"> and </w:t>
      </w:r>
      <w:r>
        <w:rPr>
          <w:kern w:val="0"/>
        </w:rPr>
        <w:t>subjective grading</w:t>
      </w:r>
      <w:r w:rsidR="00427468">
        <w:rPr>
          <w:kern w:val="0"/>
        </w:rPr>
        <w:t xml:space="preserve"> of </w:t>
      </w:r>
      <w:r>
        <w:rPr>
          <w:kern w:val="0"/>
        </w:rPr>
        <w:t>adenoid size on lateral cephalograms had reasonable correlations to actual adenoid size (range</w:t>
      </w:r>
      <w:r w:rsidR="00427468">
        <w:rPr>
          <w:kern w:val="0"/>
        </w:rPr>
        <w:t xml:space="preserve"> of </w:t>
      </w:r>
      <w:r>
        <w:rPr>
          <w:kern w:val="0"/>
        </w:rPr>
        <w:t>r, 0.60 to 0.88). However, evidence suggested that cephalograms were less ideal for evaluating</w:t>
      </w:r>
      <w:r w:rsidR="003A1917">
        <w:rPr>
          <w:kern w:val="0"/>
        </w:rPr>
        <w:t xml:space="preserve"> the </w:t>
      </w:r>
      <w:r>
        <w:rPr>
          <w:kern w:val="0"/>
        </w:rPr>
        <w:t>size</w:t>
      </w:r>
      <w:r w:rsidR="00427468">
        <w:rPr>
          <w:kern w:val="0"/>
        </w:rPr>
        <w:t xml:space="preserve"> of </w:t>
      </w:r>
      <w:r w:rsidR="003A1917">
        <w:rPr>
          <w:kern w:val="0"/>
        </w:rPr>
        <w:t xml:space="preserve">the </w:t>
      </w:r>
      <w:r>
        <w:rPr>
          <w:kern w:val="0"/>
        </w:rPr>
        <w:t>posterior nasopharyngeal airway</w:t>
      </w:r>
      <w:r w:rsidR="00A37C1D">
        <w:rPr>
          <w:kern w:val="0"/>
        </w:rPr>
        <w:t>. The</w:t>
      </w:r>
      <w:r w:rsidR="003A1917">
        <w:rPr>
          <w:kern w:val="0"/>
        </w:rPr>
        <w:t xml:space="preserve"> </w:t>
      </w:r>
      <w:r>
        <w:rPr>
          <w:kern w:val="0"/>
        </w:rPr>
        <w:t>diagnostic difference is likely because</w:t>
      </w:r>
      <w:r w:rsidR="003A1917">
        <w:rPr>
          <w:kern w:val="0"/>
        </w:rPr>
        <w:t xml:space="preserve"> the </w:t>
      </w:r>
      <w:r>
        <w:rPr>
          <w:kern w:val="0"/>
        </w:rPr>
        <w:t>adenoid is a simpler 3-dimensional structure than</w:t>
      </w:r>
      <w:r w:rsidR="003A1917">
        <w:rPr>
          <w:kern w:val="0"/>
        </w:rPr>
        <w:t xml:space="preserve"> the </w:t>
      </w:r>
      <w:r>
        <w:rPr>
          <w:kern w:val="0"/>
        </w:rPr>
        <w:t>nasopharynx; therefore, it loses less information when compressed into 2 dimensions by</w:t>
      </w:r>
      <w:r w:rsidR="003A1917">
        <w:rPr>
          <w:kern w:val="0"/>
        </w:rPr>
        <w:t xml:space="preserve"> the </w:t>
      </w:r>
      <w:r>
        <w:rPr>
          <w:kern w:val="0"/>
        </w:rPr>
        <w:t>radiograph. Conclusions: Being used as a screening tool to determine</w:t>
      </w:r>
      <w:r w:rsidR="003A1917">
        <w:rPr>
          <w:kern w:val="0"/>
        </w:rPr>
        <w:t xml:space="preserve"> the </w:t>
      </w:r>
      <w:r>
        <w:rPr>
          <w:kern w:val="0"/>
        </w:rPr>
        <w:t>need for more rigorous ENT follow-up appears to be</w:t>
      </w:r>
      <w:r w:rsidR="003A1917">
        <w:rPr>
          <w:kern w:val="0"/>
        </w:rPr>
        <w:t xml:space="preserve"> the </w:t>
      </w:r>
      <w:r>
        <w:rPr>
          <w:kern w:val="0"/>
        </w:rPr>
        <w:t>greatest utility</w:t>
      </w:r>
      <w:r w:rsidR="00427468">
        <w:rPr>
          <w:kern w:val="0"/>
        </w:rPr>
        <w:t xml:space="preserve"> of </w:t>
      </w:r>
      <w:r>
        <w:rPr>
          <w:kern w:val="0"/>
        </w:rPr>
        <w:t>lateral cephalograms. Because no consensus could be reached on what are</w:t>
      </w:r>
      <w:r w:rsidR="003A1917">
        <w:rPr>
          <w:kern w:val="0"/>
        </w:rPr>
        <w:t xml:space="preserve"> the </w:t>
      </w:r>
      <w:r>
        <w:rPr>
          <w:kern w:val="0"/>
        </w:rPr>
        <w:t>most useful landmarks, we recommend that clinicians look for multiple deviant measures</w:t>
      </w:r>
      <w:r w:rsidR="00427468">
        <w:rPr>
          <w:kern w:val="0"/>
        </w:rPr>
        <w:t xml:space="preserve"> of </w:t>
      </w:r>
      <w:r>
        <w:rPr>
          <w:kern w:val="0"/>
        </w:rPr>
        <w:t>adenoid size rather than one definitive quantification.</w:t>
      </w:r>
    </w:p>
    <w:p w:rsidR="00FF3B07" w:rsidRDefault="00FF3B07" w:rsidP="00FF3B07">
      <w:pPr>
        <w:pStyle w:val="a3"/>
        <w:rPr>
          <w:kern w:val="0"/>
        </w:rPr>
      </w:pPr>
      <w:r>
        <w:rPr>
          <w:kern w:val="0"/>
        </w:rPr>
        <w:t>Keywords: Airway, Assessment, Children, Clinical-Trials, Cochrane, Craniofacial Morphology, Databases, Diagnosis, Follow</w:t>
      </w:r>
      <w:r w:rsidR="0062028A">
        <w:rPr>
          <w:kern w:val="0"/>
        </w:rPr>
        <w:t>-up,</w:t>
      </w:r>
      <w:r>
        <w:rPr>
          <w:kern w:val="0"/>
        </w:rPr>
        <w:t xml:space="preserve"> Growth, Head Posture, Health Sciences, Information, Literature, Methods, Nasal, Nasopharyngeal Airway, </w:t>
      </w:r>
      <w:r w:rsidR="002C12F0">
        <w:rPr>
          <w:kern w:val="0"/>
        </w:rPr>
        <w:t>PUBMED</w:t>
      </w:r>
      <w:r>
        <w:rPr>
          <w:kern w:val="0"/>
        </w:rPr>
        <w:t xml:space="preserve">, Quantitative, Radiographic Evaluation, Radiological Assessment, Review, Science, Screening, Sleep-Apnea Syndrome, Systematic, Systematic Review, Validity, </w:t>
      </w:r>
      <w:r w:rsidR="00D5664A">
        <w:rPr>
          <w:kern w:val="0"/>
        </w:rPr>
        <w:t>Web</w:t>
      </w:r>
      <w:r w:rsidR="00427468">
        <w:rPr>
          <w:kern w:val="0"/>
        </w:rPr>
        <w:t xml:space="preserve"> of </w:t>
      </w:r>
      <w:r w:rsidR="00D5664A">
        <w:rPr>
          <w:kern w:val="0"/>
        </w:rPr>
        <w:t>Science</w:t>
      </w:r>
    </w:p>
    <w:p w:rsidR="00FF3B07" w:rsidRDefault="00FF3B07" w:rsidP="00FF3B07">
      <w:pPr>
        <w:pStyle w:val="a3"/>
        <w:rPr>
          <w:kern w:val="0"/>
        </w:rPr>
      </w:pPr>
      <w:r>
        <w:rPr>
          <w:rFonts w:hint="eastAsia"/>
          <w:kern w:val="0"/>
        </w:rPr>
        <w:t xml:space="preserve">? </w:t>
      </w:r>
      <w:r>
        <w:rPr>
          <w:kern w:val="0"/>
        </w:rPr>
        <w:t>Ng, J., Major, P.W.</w:t>
      </w:r>
      <w:r w:rsidR="005853A9">
        <w:rPr>
          <w:kern w:val="0"/>
        </w:rPr>
        <w:t xml:space="preserve"> and </w:t>
      </w:r>
      <w:r>
        <w:rPr>
          <w:kern w:val="0"/>
        </w:rPr>
        <w:t xml:space="preserve">Flores-Mir, C. (2006), True molar intrusion attained during orthodontic treatment: A systematic review. </w:t>
      </w:r>
      <w:r>
        <w:rPr>
          <w:i/>
          <w:iCs/>
          <w:kern w:val="0"/>
        </w:rPr>
        <w:t>American Journal</w:t>
      </w:r>
      <w:r w:rsidR="00427468">
        <w:rPr>
          <w:i/>
          <w:iCs/>
          <w:kern w:val="0"/>
        </w:rPr>
        <w:t xml:space="preserve"> of </w:t>
      </w:r>
      <w:r>
        <w:rPr>
          <w:i/>
          <w:iCs/>
          <w:kern w:val="0"/>
        </w:rPr>
        <w:t>Orthodontics</w:t>
      </w:r>
      <w:r w:rsidR="005853A9">
        <w:rPr>
          <w:i/>
          <w:iCs/>
          <w:kern w:val="0"/>
        </w:rPr>
        <w:t xml:space="preserve"> and </w:t>
      </w:r>
      <w:r>
        <w:rPr>
          <w:i/>
          <w:iCs/>
          <w:kern w:val="0"/>
        </w:rPr>
        <w:t>Dentofacial Orthopedics</w:t>
      </w:r>
      <w:r>
        <w:rPr>
          <w:kern w:val="0"/>
        </w:rPr>
        <w:t xml:space="preserve">, </w:t>
      </w:r>
      <w:r>
        <w:rPr>
          <w:b/>
          <w:bCs/>
          <w:kern w:val="0"/>
        </w:rPr>
        <w:t>130</w:t>
      </w:r>
      <w:r>
        <w:rPr>
          <w:kern w:val="0"/>
        </w:rPr>
        <w:t xml:space="preserve"> (6), 709-714.</w:t>
      </w:r>
    </w:p>
    <w:p w:rsidR="00834899" w:rsidRPr="00F219CA" w:rsidRDefault="00834899" w:rsidP="00834899">
      <w:pPr>
        <w:pStyle w:val="a3"/>
      </w:pPr>
      <w:r w:rsidRPr="00F219CA">
        <w:t xml:space="preserve">Full Text: </w:t>
      </w:r>
      <w:hyperlink r:id="rId575" w:history="1">
        <w:r w:rsidRPr="00CE61F0">
          <w:rPr>
            <w:rStyle w:val="a5"/>
          </w:rPr>
          <w:t>2006\Ame J Ort Den Ort130, 709.pdf</w:t>
        </w:r>
      </w:hyperlink>
    </w:p>
    <w:p w:rsidR="00FF3B07" w:rsidRDefault="00FF3B07" w:rsidP="00FF3B07">
      <w:pPr>
        <w:pStyle w:val="a3"/>
        <w:rPr>
          <w:kern w:val="0"/>
        </w:rPr>
      </w:pPr>
      <w:r>
        <w:rPr>
          <w:kern w:val="0"/>
        </w:rPr>
        <w:t>Abstract: Introduction:</w:t>
      </w:r>
      <w:r w:rsidR="003A1917">
        <w:rPr>
          <w:kern w:val="0"/>
        </w:rPr>
        <w:t xml:space="preserve"> the </w:t>
      </w:r>
      <w:r>
        <w:rPr>
          <w:kern w:val="0"/>
        </w:rPr>
        <w:t>aim</w:t>
      </w:r>
      <w:r w:rsidR="00427468">
        <w:rPr>
          <w:kern w:val="0"/>
        </w:rPr>
        <w:t xml:space="preserve"> of </w:t>
      </w:r>
      <w:r>
        <w:rPr>
          <w:kern w:val="0"/>
        </w:rPr>
        <w:t>this systematic review was to quantify</w:t>
      </w:r>
      <w:r w:rsidR="003A1917">
        <w:rPr>
          <w:kern w:val="0"/>
        </w:rPr>
        <w:t xml:space="preserve"> the </w:t>
      </w:r>
      <w:r>
        <w:rPr>
          <w:kern w:val="0"/>
        </w:rPr>
        <w:t>amount</w:t>
      </w:r>
      <w:r w:rsidR="00427468">
        <w:rPr>
          <w:kern w:val="0"/>
        </w:rPr>
        <w:t xml:space="preserve"> of </w:t>
      </w:r>
      <w:r>
        <w:rPr>
          <w:kern w:val="0"/>
        </w:rPr>
        <w:t xml:space="preserve">true molar intrusion attainable during orthodontic treatment. Methods: A literature </w:t>
      </w:r>
      <w:r>
        <w:rPr>
          <w:kern w:val="0"/>
        </w:rPr>
        <w:lastRenderedPageBreak/>
        <w:t>search was conducted to identify clinical trials that assessed true molar intrusion through superimposition</w:t>
      </w:r>
      <w:r w:rsidR="00427468">
        <w:rPr>
          <w:kern w:val="0"/>
        </w:rPr>
        <w:t xml:space="preserve"> of </w:t>
      </w:r>
      <w:r>
        <w:rPr>
          <w:kern w:val="0"/>
        </w:rPr>
        <w:t>lateral cephalogram tracings. Craniofacial growth had to be factored out when appropriate. Electronic databases (</w:t>
      </w:r>
      <w:r w:rsidR="002C12F0">
        <w:rPr>
          <w:kern w:val="0"/>
        </w:rPr>
        <w:t>PUBMED</w:t>
      </w:r>
      <w:r>
        <w:rPr>
          <w:kern w:val="0"/>
        </w:rPr>
        <w:t xml:space="preserve">, </w:t>
      </w:r>
      <w:r w:rsidR="00D5664A">
        <w:rPr>
          <w:kern w:val="0"/>
        </w:rPr>
        <w:t>MEDLINE</w:t>
      </w:r>
      <w:r>
        <w:rPr>
          <w:kern w:val="0"/>
        </w:rPr>
        <w:t xml:space="preserve">, </w:t>
      </w:r>
      <w:r w:rsidR="00D5664A">
        <w:rPr>
          <w:kern w:val="0"/>
        </w:rPr>
        <w:t>MEDLINE</w:t>
      </w:r>
      <w:r>
        <w:rPr>
          <w:kern w:val="0"/>
        </w:rPr>
        <w:t xml:space="preserve"> In-Process &amp; Other Non-Indexed Citations, all EBM reviews,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Lilacs) were searched with</w:t>
      </w:r>
      <w:r w:rsidR="003A1917">
        <w:rPr>
          <w:kern w:val="0"/>
        </w:rPr>
        <w:t xml:space="preserve"> the </w:t>
      </w:r>
      <w:r>
        <w:rPr>
          <w:kern w:val="0"/>
        </w:rPr>
        <w:t>help</w:t>
      </w:r>
      <w:r w:rsidR="00427468">
        <w:rPr>
          <w:kern w:val="0"/>
        </w:rPr>
        <w:t xml:space="preserve"> of </w:t>
      </w:r>
      <w:r>
        <w:rPr>
          <w:kern w:val="0"/>
        </w:rPr>
        <w:t>a senior health-sciences librarian. Abstracts that appeared to fulfill</w:t>
      </w:r>
      <w:r w:rsidR="003A1917">
        <w:rPr>
          <w:kern w:val="0"/>
        </w:rPr>
        <w:t xml:space="preserve"> the </w:t>
      </w:r>
      <w:r>
        <w:rPr>
          <w:kern w:val="0"/>
        </w:rPr>
        <w:t>initial selection criteria were selected,</w:t>
      </w:r>
      <w:r w:rsidR="005853A9">
        <w:rPr>
          <w:kern w:val="0"/>
        </w:rPr>
        <w:t xml:space="preserve"> and </w:t>
      </w:r>
      <w:r w:rsidR="003A1917">
        <w:rPr>
          <w:kern w:val="0"/>
        </w:rPr>
        <w:t xml:space="preserve">the </w:t>
      </w:r>
      <w:r>
        <w:rPr>
          <w:kern w:val="0"/>
        </w:rPr>
        <w:t>full-text original articles were then retrieved</w:t>
      </w:r>
      <w:r w:rsidR="005853A9">
        <w:rPr>
          <w:kern w:val="0"/>
        </w:rPr>
        <w:t xml:space="preserve"> and </w:t>
      </w:r>
      <w:r>
        <w:rPr>
          <w:kern w:val="0"/>
        </w:rPr>
        <w:t>analyzed. Only articles that fulfilled</w:t>
      </w:r>
      <w:r w:rsidR="003A1917">
        <w:rPr>
          <w:kern w:val="0"/>
        </w:rPr>
        <w:t xml:space="preserve"> the </w:t>
      </w:r>
      <w:r>
        <w:rPr>
          <w:kern w:val="0"/>
        </w:rPr>
        <w:t>final selection criteria were finally considered</w:t>
      </w:r>
      <w:r w:rsidR="00A37C1D">
        <w:rPr>
          <w:kern w:val="0"/>
        </w:rPr>
        <w:t>. The</w:t>
      </w:r>
      <w:r>
        <w:rPr>
          <w:kern w:val="0"/>
        </w:rPr>
        <w:t>ir references were also hand-searched for possible missing articles from</w:t>
      </w:r>
      <w:r w:rsidR="003A1917">
        <w:rPr>
          <w:kern w:val="0"/>
        </w:rPr>
        <w:t xml:space="preserve"> the </w:t>
      </w:r>
      <w:r>
        <w:rPr>
          <w:kern w:val="0"/>
        </w:rPr>
        <w:t>database searches. Results: Thirty abstracts met</w:t>
      </w:r>
      <w:r w:rsidR="003A1917">
        <w:rPr>
          <w:kern w:val="0"/>
        </w:rPr>
        <w:t xml:space="preserve"> the </w:t>
      </w:r>
      <w:r>
        <w:rPr>
          <w:kern w:val="0"/>
        </w:rPr>
        <w:t>initial inclusion criteria,</w:t>
      </w:r>
      <w:r w:rsidR="005853A9">
        <w:rPr>
          <w:kern w:val="0"/>
        </w:rPr>
        <w:t xml:space="preserve"> and </w:t>
      </w:r>
      <w:r>
        <w:rPr>
          <w:kern w:val="0"/>
        </w:rPr>
        <w:t>these articles were retrieved. From these, 29 were later rejected because they did not either quantify true molar intrusion or factor out normal craniofacial growth when required. Only 1 article remained,</w:t>
      </w:r>
      <w:r w:rsidR="005853A9">
        <w:rPr>
          <w:kern w:val="0"/>
        </w:rPr>
        <w:t xml:space="preserve"> and </w:t>
      </w:r>
      <w:r>
        <w:rPr>
          <w:kern w:val="0"/>
        </w:rPr>
        <w:t>it showed a mean maxillary molar intrusion</w:t>
      </w:r>
      <w:r w:rsidR="00427468">
        <w:rPr>
          <w:kern w:val="0"/>
        </w:rPr>
        <w:t xml:space="preserve"> of </w:t>
      </w:r>
      <w:r>
        <w:rPr>
          <w:kern w:val="0"/>
        </w:rPr>
        <w:t>0.96 mm (SD, 0.54) in 12 subjects. Conclusions: True molar intrusion appears to be achievable in</w:t>
      </w:r>
      <w:r w:rsidR="003A1917">
        <w:rPr>
          <w:kern w:val="0"/>
        </w:rPr>
        <w:t xml:space="preserve"> the </w:t>
      </w:r>
      <w:r>
        <w:rPr>
          <w:kern w:val="0"/>
        </w:rPr>
        <w:t>maxillary arch, although</w:t>
      </w:r>
      <w:r w:rsidR="003A1917">
        <w:rPr>
          <w:kern w:val="0"/>
        </w:rPr>
        <w:t xml:space="preserve"> the </w:t>
      </w:r>
      <w:r>
        <w:rPr>
          <w:kern w:val="0"/>
        </w:rPr>
        <w:t>amount</w:t>
      </w:r>
      <w:r w:rsidR="00427468">
        <w:rPr>
          <w:kern w:val="0"/>
        </w:rPr>
        <w:t xml:space="preserve"> of </w:t>
      </w:r>
      <w:r>
        <w:rPr>
          <w:kern w:val="0"/>
        </w:rPr>
        <w:t>evidence is minimal</w:t>
      </w:r>
      <w:r w:rsidR="00A37C1D">
        <w:rPr>
          <w:kern w:val="0"/>
        </w:rPr>
        <w:t>. The</w:t>
      </w:r>
      <w:r w:rsidR="003A1917">
        <w:rPr>
          <w:kern w:val="0"/>
        </w:rPr>
        <w:t xml:space="preserve"> </w:t>
      </w:r>
      <w:r>
        <w:rPr>
          <w:kern w:val="0"/>
        </w:rPr>
        <w:t>clinical significance</w:t>
      </w:r>
      <w:r w:rsidR="00427468">
        <w:rPr>
          <w:kern w:val="0"/>
        </w:rPr>
        <w:t xml:space="preserve"> of </w:t>
      </w:r>
      <w:r w:rsidR="003A1917">
        <w:rPr>
          <w:kern w:val="0"/>
        </w:rPr>
        <w:t xml:space="preserve">the </w:t>
      </w:r>
      <w:r>
        <w:rPr>
          <w:kern w:val="0"/>
        </w:rPr>
        <w:t>magnitude</w:t>
      </w:r>
      <w:r w:rsidR="00427468">
        <w:rPr>
          <w:kern w:val="0"/>
        </w:rPr>
        <w:t xml:space="preserve"> of </w:t>
      </w:r>
      <w:r w:rsidR="003A1917">
        <w:rPr>
          <w:kern w:val="0"/>
        </w:rPr>
        <w:t xml:space="preserve">the </w:t>
      </w:r>
      <w:r>
        <w:rPr>
          <w:kern w:val="0"/>
        </w:rPr>
        <w:t>true intrusion reported is questionable as</w:t>
      </w:r>
      <w:r w:rsidR="003A1917">
        <w:rPr>
          <w:kern w:val="0"/>
        </w:rPr>
        <w:t xml:space="preserve"> the </w:t>
      </w:r>
      <w:r>
        <w:rPr>
          <w:kern w:val="0"/>
        </w:rPr>
        <w:t>sole treatment option to correct open-bite malocclusions. Better quantification method</w:t>
      </w:r>
      <w:r w:rsidR="00427468">
        <w:rPr>
          <w:kern w:val="0"/>
        </w:rPr>
        <w:t xml:space="preserve"> of </w:t>
      </w:r>
      <w:r w:rsidR="003A1917">
        <w:rPr>
          <w:kern w:val="0"/>
        </w:rPr>
        <w:t xml:space="preserve">the </w:t>
      </w:r>
      <w:r>
        <w:rPr>
          <w:kern w:val="0"/>
        </w:rPr>
        <w:t>true intrusion attained has to be utilized.</w:t>
      </w:r>
    </w:p>
    <w:p w:rsidR="00FF3B07" w:rsidRDefault="00FF3B07" w:rsidP="00FF3B07">
      <w:pPr>
        <w:pStyle w:val="a3"/>
        <w:rPr>
          <w:kern w:val="0"/>
        </w:rPr>
      </w:pPr>
      <w:r>
        <w:rPr>
          <w:kern w:val="0"/>
        </w:rPr>
        <w:t>Keywords: 2nd Molars, Anterior Open Bites, Cephalometric Evaluation, Citations, Class</w:t>
      </w:r>
      <w:r w:rsidR="008C1C37">
        <w:rPr>
          <w:kern w:val="0"/>
        </w:rPr>
        <w:t xml:space="preserve">-II, </w:t>
      </w:r>
      <w:r>
        <w:rPr>
          <w:kern w:val="0"/>
        </w:rPr>
        <w:t xml:space="preserve">Clinical Trials, Databases, Deep Overbite Correction, Headgear, Health Sciences, Herbst Appliance, Jasper Jumper, Literature, Long-Term, Methods, Normal, Review, Science, Systematic, Systematic Review, Treatment, Vertical Control, </w:t>
      </w:r>
      <w:r w:rsidR="00D5664A">
        <w:rPr>
          <w:kern w:val="0"/>
        </w:rPr>
        <w:t>Web</w:t>
      </w:r>
      <w:r w:rsidR="00427468">
        <w:rPr>
          <w:kern w:val="0"/>
        </w:rPr>
        <w:t xml:space="preserve"> of </w:t>
      </w:r>
      <w:r w:rsidR="00D5664A">
        <w:rPr>
          <w:kern w:val="0"/>
        </w:rPr>
        <w:t>Science</w:t>
      </w:r>
    </w:p>
    <w:p w:rsidR="00FF3B07" w:rsidRDefault="00FF3B07" w:rsidP="00FF3B07">
      <w:pPr>
        <w:pStyle w:val="a3"/>
        <w:rPr>
          <w:kern w:val="0"/>
        </w:rPr>
      </w:pPr>
      <w:r>
        <w:rPr>
          <w:rFonts w:hint="eastAsia"/>
          <w:kern w:val="0"/>
        </w:rPr>
        <w:t xml:space="preserve">? </w:t>
      </w:r>
      <w:r>
        <w:rPr>
          <w:kern w:val="0"/>
        </w:rPr>
        <w:t>Bartzela, T., Tuerp, J.C., Motschall, E.</w:t>
      </w:r>
      <w:r w:rsidR="005853A9">
        <w:rPr>
          <w:kern w:val="0"/>
        </w:rPr>
        <w:t xml:space="preserve"> and </w:t>
      </w:r>
      <w:r>
        <w:rPr>
          <w:kern w:val="0"/>
        </w:rPr>
        <w:t>Maltha, J.C. (2009), Medication effects on</w:t>
      </w:r>
      <w:r w:rsidR="003A1917">
        <w:rPr>
          <w:kern w:val="0"/>
        </w:rPr>
        <w:t xml:space="preserve"> the </w:t>
      </w:r>
      <w:r>
        <w:rPr>
          <w:kern w:val="0"/>
        </w:rPr>
        <w:t>rate</w:t>
      </w:r>
      <w:r w:rsidR="00427468">
        <w:rPr>
          <w:kern w:val="0"/>
        </w:rPr>
        <w:t xml:space="preserve"> of </w:t>
      </w:r>
      <w:r>
        <w:rPr>
          <w:kern w:val="0"/>
        </w:rPr>
        <w:t xml:space="preserve">orthodontic tooth movement: A systematic literature review. </w:t>
      </w:r>
      <w:r>
        <w:rPr>
          <w:i/>
          <w:iCs/>
          <w:kern w:val="0"/>
        </w:rPr>
        <w:t>American Journal</w:t>
      </w:r>
      <w:r w:rsidR="00427468">
        <w:rPr>
          <w:i/>
          <w:iCs/>
          <w:kern w:val="0"/>
        </w:rPr>
        <w:t xml:space="preserve"> of </w:t>
      </w:r>
      <w:r>
        <w:rPr>
          <w:i/>
          <w:iCs/>
          <w:kern w:val="0"/>
        </w:rPr>
        <w:t>Orthodontics</w:t>
      </w:r>
      <w:r w:rsidR="005853A9">
        <w:rPr>
          <w:i/>
          <w:iCs/>
          <w:kern w:val="0"/>
        </w:rPr>
        <w:t xml:space="preserve"> and </w:t>
      </w:r>
      <w:r>
        <w:rPr>
          <w:i/>
          <w:iCs/>
          <w:kern w:val="0"/>
        </w:rPr>
        <w:t>Dentofacial Orthopedics</w:t>
      </w:r>
      <w:r>
        <w:rPr>
          <w:kern w:val="0"/>
        </w:rPr>
        <w:t xml:space="preserve">, </w:t>
      </w:r>
      <w:r>
        <w:rPr>
          <w:b/>
          <w:bCs/>
          <w:kern w:val="0"/>
        </w:rPr>
        <w:t>135</w:t>
      </w:r>
      <w:r>
        <w:rPr>
          <w:kern w:val="0"/>
        </w:rPr>
        <w:t xml:space="preserve"> (1), 16-26.</w:t>
      </w:r>
    </w:p>
    <w:p w:rsidR="00FF3B07" w:rsidRPr="00F219CA" w:rsidRDefault="00FF3B07" w:rsidP="00FF3B07">
      <w:pPr>
        <w:pStyle w:val="a3"/>
      </w:pPr>
      <w:r w:rsidRPr="00F219CA">
        <w:t xml:space="preserve">Full Text: </w:t>
      </w:r>
      <w:hyperlink r:id="rId576" w:history="1">
        <w:r w:rsidR="00834899" w:rsidRPr="00834899">
          <w:rPr>
            <w:rStyle w:val="a5"/>
          </w:rPr>
          <w:t>2009\Ame J Ort Den Ort135, 16.pdf</w:t>
        </w:r>
      </w:hyperlink>
    </w:p>
    <w:p w:rsidR="00FF3B07" w:rsidRDefault="00FF3B07" w:rsidP="00FF3B07">
      <w:pPr>
        <w:pStyle w:val="a3"/>
        <w:rPr>
          <w:kern w:val="0"/>
        </w:rPr>
      </w:pPr>
      <w:r>
        <w:rPr>
          <w:kern w:val="0"/>
        </w:rPr>
        <w:t>Abstract: Introduction: Recently, several reviews have been published on</w:t>
      </w:r>
      <w:r w:rsidR="003A1917">
        <w:rPr>
          <w:kern w:val="0"/>
        </w:rPr>
        <w:t xml:space="preserve"> the </w:t>
      </w:r>
      <w:r>
        <w:rPr>
          <w:kern w:val="0"/>
        </w:rPr>
        <w:t>effects</w:t>
      </w:r>
      <w:r w:rsidR="00427468">
        <w:rPr>
          <w:kern w:val="0"/>
        </w:rPr>
        <w:t xml:space="preserve"> of </w:t>
      </w:r>
      <w:r>
        <w:rPr>
          <w:kern w:val="0"/>
        </w:rPr>
        <w:t>medications on bone physiology</w:t>
      </w:r>
      <w:r w:rsidR="005853A9">
        <w:rPr>
          <w:kern w:val="0"/>
        </w:rPr>
        <w:t xml:space="preserve"> and </w:t>
      </w:r>
      <w:r w:rsidR="003A1917">
        <w:rPr>
          <w:kern w:val="0"/>
        </w:rPr>
        <w:t xml:space="preserve">the </w:t>
      </w:r>
      <w:r>
        <w:rPr>
          <w:kern w:val="0"/>
        </w:rPr>
        <w:t>clinical side effects in orthodontics. However,</w:t>
      </w:r>
      <w:r w:rsidR="003A1917">
        <w:rPr>
          <w:kern w:val="0"/>
        </w:rPr>
        <w:t xml:space="preserve"> the </w:t>
      </w:r>
      <w:r>
        <w:rPr>
          <w:kern w:val="0"/>
        </w:rPr>
        <w:t>effects</w:t>
      </w:r>
      <w:r w:rsidR="00427468">
        <w:rPr>
          <w:kern w:val="0"/>
        </w:rPr>
        <w:t xml:space="preserve"> of </w:t>
      </w:r>
      <w:r>
        <w:rPr>
          <w:kern w:val="0"/>
        </w:rPr>
        <w:t>medications on</w:t>
      </w:r>
      <w:r w:rsidR="003A1917">
        <w:rPr>
          <w:kern w:val="0"/>
        </w:rPr>
        <w:t xml:space="preserve"> the </w:t>
      </w:r>
      <w:r>
        <w:rPr>
          <w:kern w:val="0"/>
        </w:rPr>
        <w:t>rate</w:t>
      </w:r>
      <w:r w:rsidR="00427468">
        <w:rPr>
          <w:kern w:val="0"/>
        </w:rPr>
        <w:t xml:space="preserve"> of </w:t>
      </w:r>
      <w:r>
        <w:rPr>
          <w:kern w:val="0"/>
        </w:rPr>
        <w:t>orthodontic tooth movement have not been evaluated. Methods: A systematic literature review on</w:t>
      </w:r>
      <w:r w:rsidR="003A1917">
        <w:rPr>
          <w:kern w:val="0"/>
        </w:rPr>
        <w:t xml:space="preserve"> the </w:t>
      </w:r>
      <w:r>
        <w:rPr>
          <w:kern w:val="0"/>
        </w:rPr>
        <w:t>effects</w:t>
      </w:r>
      <w:r w:rsidR="00427468">
        <w:rPr>
          <w:kern w:val="0"/>
        </w:rPr>
        <w:t xml:space="preserve"> of </w:t>
      </w:r>
      <w:r>
        <w:rPr>
          <w:kern w:val="0"/>
        </w:rPr>
        <w:t>medications</w:t>
      </w:r>
      <w:r w:rsidR="005853A9">
        <w:rPr>
          <w:kern w:val="0"/>
        </w:rPr>
        <w:t xml:space="preserve"> and </w:t>
      </w:r>
      <w:r>
        <w:rPr>
          <w:kern w:val="0"/>
        </w:rPr>
        <w:t>dietary supplements on</w:t>
      </w:r>
      <w:r w:rsidR="003A1917">
        <w:rPr>
          <w:kern w:val="0"/>
        </w:rPr>
        <w:t xml:space="preserve"> the </w:t>
      </w:r>
      <w:r>
        <w:rPr>
          <w:kern w:val="0"/>
        </w:rPr>
        <w:t>rate</w:t>
      </w:r>
      <w:r w:rsidR="00427468">
        <w:rPr>
          <w:kern w:val="0"/>
        </w:rPr>
        <w:t xml:space="preserve"> of </w:t>
      </w:r>
      <w:r>
        <w:rPr>
          <w:kern w:val="0"/>
        </w:rPr>
        <w:t xml:space="preserve">experimental tooth movement was performed by using </w:t>
      </w:r>
      <w:r w:rsidR="002C12F0">
        <w:rPr>
          <w:kern w:val="0"/>
        </w:rPr>
        <w:t>PUBMED</w:t>
      </w:r>
      <w:r>
        <w:rPr>
          <w:kern w:val="0"/>
        </w:rPr>
        <w:t xml:space="preserve"> (1953-Oct 2007),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Biosis, complemented by a hand search. Results: Forty-nine articles were included in</w:t>
      </w:r>
      <w:r w:rsidR="003A1917">
        <w:rPr>
          <w:kern w:val="0"/>
        </w:rPr>
        <w:t xml:space="preserve"> the </w:t>
      </w:r>
      <w:r>
        <w:rPr>
          <w:kern w:val="0"/>
        </w:rPr>
        <w:t>review, but their interpretation was hindered by</w:t>
      </w:r>
      <w:r w:rsidR="003A1917">
        <w:rPr>
          <w:kern w:val="0"/>
        </w:rPr>
        <w:t xml:space="preserve"> the </w:t>
      </w:r>
      <w:r>
        <w:rPr>
          <w:kern w:val="0"/>
        </w:rPr>
        <w:t>variability in experimental design, magnitude</w:t>
      </w:r>
      <w:r w:rsidR="00427468">
        <w:rPr>
          <w:kern w:val="0"/>
        </w:rPr>
        <w:t xml:space="preserve"> of </w:t>
      </w:r>
      <w:r>
        <w:rPr>
          <w:kern w:val="0"/>
        </w:rPr>
        <w:t>force applied during tooth movement,</w:t>
      </w:r>
      <w:r w:rsidR="005853A9">
        <w:rPr>
          <w:kern w:val="0"/>
        </w:rPr>
        <w:t xml:space="preserve"> and </w:t>
      </w:r>
      <w:r>
        <w:rPr>
          <w:kern w:val="0"/>
        </w:rPr>
        <w:t>medication regimens</w:t>
      </w:r>
      <w:r w:rsidR="00A37C1D">
        <w:rPr>
          <w:kern w:val="0"/>
        </w:rPr>
        <w:t>. The</w:t>
      </w:r>
      <w:r>
        <w:rPr>
          <w:kern w:val="0"/>
        </w:rPr>
        <w:t>rapeutic administration</w:t>
      </w:r>
      <w:r w:rsidR="00427468">
        <w:rPr>
          <w:kern w:val="0"/>
        </w:rPr>
        <w:t xml:space="preserve"> of </w:t>
      </w:r>
      <w:r>
        <w:rPr>
          <w:kern w:val="0"/>
        </w:rPr>
        <w:t xml:space="preserve">eicosanoids resulted in increased tooth movement, whereas their blocking led to a decrease. Nonsteroidal anti-inflammatory drugs (NSAIDs) decreased tooth movement, but non-NSAID analgesics, such as </w:t>
      </w:r>
      <w:r>
        <w:rPr>
          <w:kern w:val="0"/>
        </w:rPr>
        <w:lastRenderedPageBreak/>
        <w:t>paracetamol (acetaminophen), had no effect. Corticosteroid hormones, parathyroid hormone,</w:t>
      </w:r>
      <w:r w:rsidR="005853A9">
        <w:rPr>
          <w:kern w:val="0"/>
        </w:rPr>
        <w:t xml:space="preserve"> and </w:t>
      </w:r>
      <w:r>
        <w:rPr>
          <w:kern w:val="0"/>
        </w:rPr>
        <w:t>thyroxin have all been shown to increase tooth movement. Estrogens probably reduce tooth movement, although no direct evidence is available. Vitamin D3 stimulates tooth movement,</w:t>
      </w:r>
      <w:r w:rsidR="005853A9">
        <w:rPr>
          <w:kern w:val="0"/>
        </w:rPr>
        <w:t xml:space="preserve"> and </w:t>
      </w:r>
      <w:r>
        <w:rPr>
          <w:kern w:val="0"/>
        </w:rPr>
        <w:t>dietary calcium seemed to reduce it. Bisphosphonates had a strong inhibitory effect. Conclusions: Medications might have an important influence on</w:t>
      </w:r>
      <w:r w:rsidR="003A1917">
        <w:rPr>
          <w:kern w:val="0"/>
        </w:rPr>
        <w:t xml:space="preserve"> the </w:t>
      </w:r>
      <w:r>
        <w:rPr>
          <w:kern w:val="0"/>
        </w:rPr>
        <w:t>rate</w:t>
      </w:r>
      <w:r w:rsidR="00427468">
        <w:rPr>
          <w:kern w:val="0"/>
        </w:rPr>
        <w:t xml:space="preserve"> of </w:t>
      </w:r>
      <w:r>
        <w:rPr>
          <w:kern w:val="0"/>
        </w:rPr>
        <w:t>tooth movement,</w:t>
      </w:r>
      <w:r w:rsidR="005853A9">
        <w:rPr>
          <w:kern w:val="0"/>
        </w:rPr>
        <w:t xml:space="preserve"> and </w:t>
      </w:r>
      <w:r>
        <w:rPr>
          <w:kern w:val="0"/>
        </w:rPr>
        <w:t>information on their consumption is essential to adequately discuss treatment planning with patients. (Am J Orthod Dentofacial Orthop 2009; 135:16-26).</w:t>
      </w:r>
    </w:p>
    <w:p w:rsidR="00FF3B07" w:rsidRDefault="00FF3B07" w:rsidP="00FF3B07">
      <w:pPr>
        <w:pStyle w:val="a3"/>
        <w:rPr>
          <w:kern w:val="0"/>
        </w:rPr>
      </w:pPr>
      <w:r>
        <w:rPr>
          <w:kern w:val="0"/>
        </w:rPr>
        <w:t xml:space="preserve">Keywords: Acetaminophen, Acetylsalicylic-Acid, Bone, Bone Turnover, Calcium, Cyclooxygenase-2, Indomethacin, Information, Inhibition, Interpretation, Literature, Literature Review, Local Use, Medication, Methods, Movement, Prostaglandin E-2, </w:t>
      </w:r>
      <w:r w:rsidR="002C12F0">
        <w:rPr>
          <w:kern w:val="0"/>
        </w:rPr>
        <w:t>PUBMED</w:t>
      </w:r>
      <w:r>
        <w:rPr>
          <w:kern w:val="0"/>
        </w:rPr>
        <w:t xml:space="preserve">, Review, Root Resorption, Science, Systematic, Systematic Literature Review, Treatment, Variability, Vitamin-D, </w:t>
      </w:r>
      <w:r w:rsidR="00D5664A">
        <w:rPr>
          <w:kern w:val="0"/>
        </w:rPr>
        <w:t>Web</w:t>
      </w:r>
      <w:r w:rsidR="00427468">
        <w:rPr>
          <w:kern w:val="0"/>
        </w:rPr>
        <w:t xml:space="preserve"> of </w:t>
      </w:r>
      <w:r w:rsidR="00D5664A">
        <w:rPr>
          <w:kern w:val="0"/>
        </w:rPr>
        <w:t>Science</w:t>
      </w:r>
    </w:p>
    <w:p w:rsidR="00FF3B07" w:rsidRDefault="00FF3B07" w:rsidP="00FF3B07">
      <w:pPr>
        <w:pStyle w:val="a3"/>
        <w:rPr>
          <w:kern w:val="0"/>
        </w:rPr>
      </w:pPr>
      <w:r>
        <w:rPr>
          <w:rFonts w:hint="eastAsia"/>
          <w:kern w:val="0"/>
        </w:rPr>
        <w:t xml:space="preserve">? </w:t>
      </w:r>
      <w:r>
        <w:rPr>
          <w:kern w:val="0"/>
        </w:rPr>
        <w:t>Chen, Y., Kyung, H.M., Zhao, W.T.</w:t>
      </w:r>
      <w:r w:rsidR="005853A9">
        <w:rPr>
          <w:kern w:val="0"/>
        </w:rPr>
        <w:t xml:space="preserve"> and </w:t>
      </w:r>
      <w:r>
        <w:rPr>
          <w:kern w:val="0"/>
        </w:rPr>
        <w:t>Yu, W.J. (2009), Critical factors for</w:t>
      </w:r>
      <w:r w:rsidR="003A1917">
        <w:rPr>
          <w:kern w:val="0"/>
        </w:rPr>
        <w:t xml:space="preserve"> the </w:t>
      </w:r>
      <w:r>
        <w:rPr>
          <w:kern w:val="0"/>
        </w:rPr>
        <w:t>success</w:t>
      </w:r>
      <w:r w:rsidR="00427468">
        <w:rPr>
          <w:kern w:val="0"/>
        </w:rPr>
        <w:t xml:space="preserve"> of </w:t>
      </w:r>
      <w:r>
        <w:rPr>
          <w:kern w:val="0"/>
        </w:rPr>
        <w:t xml:space="preserve">orthodontic mini-implants: A systematic review. </w:t>
      </w:r>
      <w:r>
        <w:rPr>
          <w:i/>
          <w:iCs/>
          <w:kern w:val="0"/>
        </w:rPr>
        <w:t>American Journal</w:t>
      </w:r>
      <w:r w:rsidR="00427468">
        <w:rPr>
          <w:i/>
          <w:iCs/>
          <w:kern w:val="0"/>
        </w:rPr>
        <w:t xml:space="preserve"> of </w:t>
      </w:r>
      <w:r>
        <w:rPr>
          <w:i/>
          <w:iCs/>
          <w:kern w:val="0"/>
        </w:rPr>
        <w:t>Orthodontics</w:t>
      </w:r>
      <w:r w:rsidR="005853A9">
        <w:rPr>
          <w:i/>
          <w:iCs/>
          <w:kern w:val="0"/>
        </w:rPr>
        <w:t xml:space="preserve"> and </w:t>
      </w:r>
      <w:r>
        <w:rPr>
          <w:i/>
          <w:iCs/>
          <w:kern w:val="0"/>
        </w:rPr>
        <w:t>Dentofacial Orthopedics</w:t>
      </w:r>
      <w:r>
        <w:rPr>
          <w:kern w:val="0"/>
        </w:rPr>
        <w:t xml:space="preserve">, </w:t>
      </w:r>
      <w:r>
        <w:rPr>
          <w:b/>
          <w:bCs/>
          <w:kern w:val="0"/>
        </w:rPr>
        <w:t>135</w:t>
      </w:r>
      <w:r>
        <w:rPr>
          <w:kern w:val="0"/>
        </w:rPr>
        <w:t xml:space="preserve"> (3), 284-291.</w:t>
      </w:r>
    </w:p>
    <w:p w:rsidR="00834899" w:rsidRPr="00F219CA" w:rsidRDefault="00834899" w:rsidP="00834899">
      <w:pPr>
        <w:pStyle w:val="a3"/>
      </w:pPr>
      <w:r w:rsidRPr="00F219CA">
        <w:t xml:space="preserve">Full Text: </w:t>
      </w:r>
      <w:hyperlink r:id="rId577" w:history="1">
        <w:r w:rsidRPr="00CE61F0">
          <w:rPr>
            <w:rStyle w:val="a5"/>
          </w:rPr>
          <w:t>2009\Ame J Ort Den Ort135, 284.pdf</w:t>
        </w:r>
      </w:hyperlink>
    </w:p>
    <w:p w:rsidR="00FF3B07" w:rsidRDefault="00FF3B07" w:rsidP="00FF3B07">
      <w:pPr>
        <w:pStyle w:val="a3"/>
        <w:rPr>
          <w:kern w:val="0"/>
        </w:rPr>
      </w:pPr>
      <w:r>
        <w:rPr>
          <w:kern w:val="0"/>
        </w:rPr>
        <w:t>Abstract: Introduction: This systematic review was undertaken to discuss factors that affect mini-implants as direct</w:t>
      </w:r>
      <w:r w:rsidR="005853A9">
        <w:rPr>
          <w:kern w:val="0"/>
        </w:rPr>
        <w:t xml:space="preserve"> and </w:t>
      </w:r>
      <w:r>
        <w:rPr>
          <w:kern w:val="0"/>
        </w:rPr>
        <w:t>indirect orthodontic anchorage. Methods:</w:t>
      </w:r>
      <w:r w:rsidR="003A1917">
        <w:rPr>
          <w:kern w:val="0"/>
        </w:rPr>
        <w:t xml:space="preserve"> the </w:t>
      </w:r>
      <w:r>
        <w:rPr>
          <w:kern w:val="0"/>
        </w:rPr>
        <w:t>data were collected from electronic databases (</w:t>
      </w:r>
      <w:r w:rsidR="00D5664A">
        <w:rPr>
          <w:kern w:val="0"/>
        </w:rPr>
        <w:t>MEDLINE</w:t>
      </w:r>
      <w:r>
        <w:rPr>
          <w:kern w:val="0"/>
        </w:rPr>
        <w:t xml:space="preserve"> [Entrez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 Cochrane Library,</w:t>
      </w:r>
      <w:r w:rsidR="005853A9">
        <w:rPr>
          <w:kern w:val="0"/>
        </w:rPr>
        <w:t xml:space="preserve"> and </w:t>
      </w:r>
      <w:r>
        <w:rPr>
          <w:kern w:val="0"/>
        </w:rPr>
        <w:t>All Evidence Based Medicine Reviews). Randomized clinical trials, prospective</w:t>
      </w:r>
      <w:r w:rsidR="005853A9">
        <w:rPr>
          <w:kern w:val="0"/>
        </w:rPr>
        <w:t xml:space="preserve"> and </w:t>
      </w:r>
      <w:r>
        <w:rPr>
          <w:kern w:val="0"/>
        </w:rPr>
        <w:t>retrospective clinical studies,</w:t>
      </w:r>
      <w:r w:rsidR="005853A9">
        <w:rPr>
          <w:kern w:val="0"/>
        </w:rPr>
        <w:t xml:space="preserve"> and </w:t>
      </w:r>
      <w:r>
        <w:rPr>
          <w:kern w:val="0"/>
        </w:rPr>
        <w:t>clinical trials concerning</w:t>
      </w:r>
      <w:r w:rsidR="003A1917">
        <w:rPr>
          <w:kern w:val="0"/>
        </w:rPr>
        <w:t xml:space="preserve"> the </w:t>
      </w:r>
      <w:r>
        <w:rPr>
          <w:kern w:val="0"/>
        </w:rPr>
        <w:t>properties, affective factors,</w:t>
      </w:r>
      <w:r w:rsidR="005853A9">
        <w:rPr>
          <w:kern w:val="0"/>
        </w:rPr>
        <w:t xml:space="preserve"> and </w:t>
      </w:r>
      <w:r>
        <w:rPr>
          <w:kern w:val="0"/>
        </w:rPr>
        <w:t>requirements</w:t>
      </w:r>
      <w:r w:rsidR="00427468">
        <w:rPr>
          <w:kern w:val="0"/>
        </w:rPr>
        <w:t xml:space="preserve"> of </w:t>
      </w:r>
      <w:r>
        <w:rPr>
          <w:kern w:val="0"/>
        </w:rPr>
        <w:t>mini-implants were considered</w:t>
      </w:r>
      <w:r w:rsidR="00A37C1D">
        <w:rPr>
          <w:kern w:val="0"/>
        </w:rPr>
        <w:t>. The</w:t>
      </w:r>
      <w:r w:rsidR="003A1917">
        <w:rPr>
          <w:kern w:val="0"/>
        </w:rPr>
        <w:t xml:space="preserve"> </w:t>
      </w:r>
      <w:r>
        <w:rPr>
          <w:kern w:val="0"/>
        </w:rPr>
        <w:t>titles</w:t>
      </w:r>
      <w:r w:rsidR="005853A9">
        <w:rPr>
          <w:kern w:val="0"/>
        </w:rPr>
        <w:t xml:space="preserve"> and </w:t>
      </w:r>
      <w:r>
        <w:rPr>
          <w:kern w:val="0"/>
        </w:rPr>
        <w:t>abstracts that appeared to fulfill</w:t>
      </w:r>
      <w:r w:rsidR="003A1917">
        <w:rPr>
          <w:kern w:val="0"/>
        </w:rPr>
        <w:t xml:space="preserve"> the </w:t>
      </w:r>
      <w:r>
        <w:rPr>
          <w:kern w:val="0"/>
        </w:rPr>
        <w:t>initial selection criteria were collected by consensus,</w:t>
      </w:r>
      <w:r w:rsidR="005853A9">
        <w:rPr>
          <w:kern w:val="0"/>
        </w:rPr>
        <w:t xml:space="preserve"> and </w:t>
      </w:r>
      <w:r w:rsidR="003A1917">
        <w:rPr>
          <w:kern w:val="0"/>
        </w:rPr>
        <w:t xml:space="preserve">the </w:t>
      </w:r>
      <w:r>
        <w:rPr>
          <w:kern w:val="0"/>
        </w:rPr>
        <w:t>original articles were retrieved</w:t>
      </w:r>
      <w:r w:rsidR="005853A9">
        <w:rPr>
          <w:kern w:val="0"/>
        </w:rPr>
        <w:t xml:space="preserve"> and </w:t>
      </w:r>
      <w:r>
        <w:rPr>
          <w:kern w:val="0"/>
        </w:rPr>
        <w:t>evaluated with a methodologic checklist. A hand search</w:t>
      </w:r>
      <w:r w:rsidR="00427468">
        <w:rPr>
          <w:kern w:val="0"/>
        </w:rPr>
        <w:t xml:space="preserve"> of </w:t>
      </w:r>
      <w:r>
        <w:rPr>
          <w:kern w:val="0"/>
        </w:rPr>
        <w:t>key orthodontic journals was performed to identify recent unindexed literature. Results:</w:t>
      </w:r>
      <w:r w:rsidR="003A1917">
        <w:rPr>
          <w:kern w:val="0"/>
        </w:rPr>
        <w:t xml:space="preserve"> the </w:t>
      </w:r>
      <w:r>
        <w:rPr>
          <w:kern w:val="0"/>
        </w:rPr>
        <w:t>search strategy resulted in 596 articles. By screening titles</w:t>
      </w:r>
      <w:r w:rsidR="005853A9">
        <w:rPr>
          <w:kern w:val="0"/>
        </w:rPr>
        <w:t xml:space="preserve"> and </w:t>
      </w:r>
      <w:r>
        <w:rPr>
          <w:kern w:val="0"/>
        </w:rPr>
        <w:t>abstracts, 126 articles were identified. After</w:t>
      </w:r>
      <w:r w:rsidR="003A1917">
        <w:rPr>
          <w:kern w:val="0"/>
        </w:rPr>
        <w:t xml:space="preserve"> the </w:t>
      </w:r>
      <w:r>
        <w:rPr>
          <w:kern w:val="0"/>
        </w:rPr>
        <w:t>exclusion criteria were applied, 16 articles remained</w:t>
      </w:r>
      <w:r w:rsidR="00A37C1D">
        <w:rPr>
          <w:kern w:val="0"/>
        </w:rPr>
        <w:t>. The</w:t>
      </w:r>
      <w:r w:rsidR="003A1917">
        <w:rPr>
          <w:kern w:val="0"/>
        </w:rPr>
        <w:t xml:space="preserve"> </w:t>
      </w:r>
      <w:r>
        <w:rPr>
          <w:kern w:val="0"/>
        </w:rPr>
        <w:t>analyzed results</w:t>
      </w:r>
      <w:r w:rsidR="00427468">
        <w:rPr>
          <w:kern w:val="0"/>
        </w:rPr>
        <w:t xml:space="preserve"> of </w:t>
      </w:r>
      <w:r w:rsidR="003A1917">
        <w:rPr>
          <w:kern w:val="0"/>
        </w:rPr>
        <w:t xml:space="preserve">the </w:t>
      </w:r>
      <w:r>
        <w:rPr>
          <w:kern w:val="0"/>
        </w:rPr>
        <w:t>literature were divided into 2 topics: placement-related</w:t>
      </w:r>
      <w:r w:rsidR="005853A9">
        <w:rPr>
          <w:kern w:val="0"/>
        </w:rPr>
        <w:t xml:space="preserve"> and </w:t>
      </w:r>
      <w:r>
        <w:rPr>
          <w:kern w:val="0"/>
        </w:rPr>
        <w:t>loading-related factors. Conclusions: Mini-implants are effective as anchorage,</w:t>
      </w:r>
      <w:r w:rsidR="005853A9">
        <w:rPr>
          <w:kern w:val="0"/>
        </w:rPr>
        <w:t xml:space="preserve"> and </w:t>
      </w:r>
      <w:r>
        <w:rPr>
          <w:kern w:val="0"/>
        </w:rPr>
        <w:t>their success depends on proper initial mechanical stability</w:t>
      </w:r>
      <w:r w:rsidR="005853A9">
        <w:rPr>
          <w:kern w:val="0"/>
        </w:rPr>
        <w:t xml:space="preserve"> and </w:t>
      </w:r>
      <w:r>
        <w:rPr>
          <w:kern w:val="0"/>
        </w:rPr>
        <w:t>loading quality</w:t>
      </w:r>
      <w:r w:rsidR="005853A9">
        <w:rPr>
          <w:kern w:val="0"/>
        </w:rPr>
        <w:t xml:space="preserve"> and </w:t>
      </w:r>
      <w:r>
        <w:rPr>
          <w:kern w:val="0"/>
        </w:rPr>
        <w:t>quantity. (Am J Orthod Dentofacial Orthop 2009;135:284-91).</w:t>
      </w:r>
    </w:p>
    <w:p w:rsidR="00FF3B07" w:rsidRDefault="00FF3B07" w:rsidP="00FF3B07">
      <w:pPr>
        <w:pStyle w:val="a3"/>
        <w:rPr>
          <w:kern w:val="0"/>
        </w:rPr>
      </w:pPr>
      <w:r>
        <w:rPr>
          <w:kern w:val="0"/>
        </w:rPr>
        <w:t xml:space="preserve">Keywords: Anchorage, Clinical Trials, Cochrane, Critical, Databases, Journals, Literature, Methods, Microimplants, Review, Science, Screening, Stability, Strategy, Success, Systematic, Systematic Review, Titanium Screws, Topics, </w:t>
      </w:r>
      <w:r w:rsidR="00D5664A">
        <w:rPr>
          <w:kern w:val="0"/>
        </w:rPr>
        <w:t>Web</w:t>
      </w:r>
      <w:r w:rsidR="00427468">
        <w:rPr>
          <w:kern w:val="0"/>
        </w:rPr>
        <w:t xml:space="preserve"> of </w:t>
      </w:r>
      <w:r w:rsidR="00D5664A">
        <w:rPr>
          <w:kern w:val="0"/>
        </w:rPr>
        <w:t>Science</w:t>
      </w:r>
    </w:p>
    <w:p w:rsidR="000F592F" w:rsidRDefault="000F592F" w:rsidP="000F592F">
      <w:pPr>
        <w:pStyle w:val="a3"/>
        <w:rPr>
          <w:kern w:val="0"/>
        </w:rPr>
      </w:pPr>
      <w:r>
        <w:rPr>
          <w:rFonts w:hint="eastAsia"/>
          <w:kern w:val="0"/>
        </w:rPr>
        <w:t xml:space="preserve">? </w:t>
      </w:r>
      <w:r>
        <w:rPr>
          <w:kern w:val="0"/>
        </w:rPr>
        <w:t xml:space="preserve">Mai, W.J., He, J.A., Meng, H.Y., Jiang, Y.P., Huang, C.X., Li, M., Yuan, K. and Kang, N. (2014), Comparison of vacuum-formed and Hawley retainers: A systematic review. </w:t>
      </w:r>
      <w:r>
        <w:rPr>
          <w:i/>
          <w:iCs/>
          <w:kern w:val="0"/>
        </w:rPr>
        <w:t>American Journal of Orthodontics and Dentofacial Orthopedics</w:t>
      </w:r>
      <w:r>
        <w:rPr>
          <w:kern w:val="0"/>
        </w:rPr>
        <w:t xml:space="preserve">, </w:t>
      </w:r>
      <w:r>
        <w:rPr>
          <w:b/>
          <w:bCs/>
          <w:kern w:val="0"/>
        </w:rPr>
        <w:t>145</w:t>
      </w:r>
      <w:r>
        <w:rPr>
          <w:kern w:val="0"/>
        </w:rPr>
        <w:t xml:space="preserve"> (6), </w:t>
      </w:r>
      <w:r>
        <w:rPr>
          <w:kern w:val="0"/>
        </w:rPr>
        <w:lastRenderedPageBreak/>
        <w:t>720-727.</w:t>
      </w:r>
    </w:p>
    <w:p w:rsidR="000F592F" w:rsidRPr="00F219CA" w:rsidRDefault="000F592F" w:rsidP="000F592F">
      <w:pPr>
        <w:pStyle w:val="a3"/>
      </w:pPr>
      <w:r w:rsidRPr="00F219CA">
        <w:t xml:space="preserve">Full Text: </w:t>
      </w:r>
      <w:hyperlink r:id="rId578" w:history="1">
        <w:r w:rsidRPr="000F592F">
          <w:rPr>
            <w:rStyle w:val="a5"/>
          </w:rPr>
          <w:t>2014\Ame J Ort Den Ort145, 720.pdf</w:t>
        </w:r>
      </w:hyperlink>
    </w:p>
    <w:p w:rsidR="000F592F" w:rsidRDefault="000F592F" w:rsidP="000F592F">
      <w:pPr>
        <w:pStyle w:val="a3"/>
        <w:rPr>
          <w:kern w:val="0"/>
        </w:rPr>
      </w:pPr>
      <w:r>
        <w:rPr>
          <w:kern w:val="0"/>
        </w:rPr>
        <w:t>Abstract: Introduction: Hawley retainers (HRs) and vacuum-formed retainers (VFRs) are the 2 most commonly used retainers in orthodontics. However, the basis for selection of an appropriate retainer is still a matter of debate among orthodontists. In this systematic review, we evaluated the differences between VFRs and HRs. Methods: Electronic databases (PubMed, EMBASE, Cochrane Library, ISI Web of Science, LILACS, and Pro-Quest) were searched with no language restriction. The relevant orthodontic journals and reference lists were checked for all eligible studies. Two article reviewers independently screened the retrieved studies, extracted the data, and evaluated the quality of the primary studies. Results: A total of 89 articles were retrieved in the initial search. However, only 7 articles met the inclusion criteria. Some evidence suggested that no difference exists to distinguish between the HRs and VFRs with respect to changes in intercanine and intermolar widths after orthodontic retention. In terms of occlusal contacts, cost effectiveness, patient satisfaction, and survival time, there was insufficient evidence to support the use of VFRs over HRs. Conclusions: Additional high-quality, randomized, controlled trials concerning these retainers are necessary to determine which retainer is better for orthodontic procedures.</w:t>
      </w:r>
    </w:p>
    <w:p w:rsidR="000F592F" w:rsidRDefault="000F592F" w:rsidP="000F592F">
      <w:pPr>
        <w:pStyle w:val="a3"/>
        <w:rPr>
          <w:kern w:val="0"/>
        </w:rPr>
      </w:pPr>
      <w:r>
        <w:rPr>
          <w:kern w:val="0"/>
        </w:rPr>
        <w:t>Keywords: Article, Articles, Changes, Clear Overlay Retainers, Comparison, Cost, Cost Effectiveness, Cost-Effectiveness, Criteria, Data, Databases, Effectiveness, Embase, Evidence, ISI, ISI Web Of Science, Journals, Language, Methods, Occlusal Contact Changes, Orthodontic Retainers, Patient Satisfaction, Period, Phase, Primary, Procedures, Protocols, Pubmed, Quality, Quality Of, Randomized, Reference, Reference Lists, Results, Retention, Retention Procedures, Review, Reviewers, Satisfaction, Science, Selection, Support, Survival, Systematic, Systematic Review, Trial, United-States, Web Of Science</w:t>
      </w:r>
    </w:p>
    <w:p w:rsidR="00D76FCB" w:rsidRPr="001A3D2B" w:rsidRDefault="00D76FCB" w:rsidP="00D76FCB">
      <w:pPr>
        <w:pStyle w:val="1"/>
      </w:pPr>
      <w:r w:rsidRPr="001A3D2B">
        <w:br w:type="page"/>
      </w:r>
      <w:bookmarkStart w:id="312" w:name="_Toc420814418"/>
      <w:r w:rsidRPr="001A3D2B">
        <w:lastRenderedPageBreak/>
        <w:t xml:space="preserve">Title: </w:t>
      </w:r>
      <w:r w:rsidRPr="00D76FCB">
        <w:t>American Journal</w:t>
      </w:r>
      <w:r w:rsidR="00427468">
        <w:t xml:space="preserve"> of </w:t>
      </w:r>
      <w:r w:rsidRPr="00D76FCB">
        <w:t>Perinatology</w:t>
      </w:r>
      <w:bookmarkEnd w:id="312"/>
    </w:p>
    <w:p w:rsidR="00D76FCB" w:rsidRPr="001A3D2B" w:rsidRDefault="00D76FCB" w:rsidP="00D76FCB">
      <w:pPr>
        <w:pStyle w:val="12"/>
      </w:pPr>
      <w:r w:rsidRPr="001A3D2B">
        <w:t xml:space="preserve">Full Journal Title: </w:t>
      </w:r>
      <w:r w:rsidRPr="00D76FCB">
        <w:rPr>
          <w:iCs/>
          <w:kern w:val="0"/>
        </w:rPr>
        <w:t>American Journal</w:t>
      </w:r>
      <w:r w:rsidR="00427468">
        <w:rPr>
          <w:iCs/>
          <w:kern w:val="0"/>
        </w:rPr>
        <w:t xml:space="preserve"> of </w:t>
      </w:r>
      <w:r w:rsidRPr="00D76FCB">
        <w:rPr>
          <w:iCs/>
          <w:kern w:val="0"/>
        </w:rPr>
        <w:t>Perinatology</w:t>
      </w:r>
    </w:p>
    <w:p w:rsidR="00D76FCB" w:rsidRPr="001A3D2B" w:rsidRDefault="00D76FCB" w:rsidP="00D76FCB">
      <w:pPr>
        <w:pStyle w:val="12"/>
      </w:pPr>
      <w:r w:rsidRPr="001A3D2B">
        <w:t xml:space="preserve">ISO Abbreviated Title: </w:t>
      </w:r>
    </w:p>
    <w:p w:rsidR="00D76FCB" w:rsidRPr="001A3D2B" w:rsidRDefault="00D76FCB" w:rsidP="00D76FCB">
      <w:pPr>
        <w:pStyle w:val="12"/>
      </w:pPr>
      <w:r w:rsidRPr="001A3D2B">
        <w:t xml:space="preserve">JCR Abbreviated Title: </w:t>
      </w:r>
    </w:p>
    <w:p w:rsidR="00D76FCB" w:rsidRPr="001A3D2B" w:rsidRDefault="00D76FCB" w:rsidP="00D76FCB">
      <w:pPr>
        <w:pStyle w:val="12"/>
      </w:pPr>
      <w:r w:rsidRPr="001A3D2B">
        <w:t xml:space="preserve">ISSN: </w:t>
      </w:r>
    </w:p>
    <w:p w:rsidR="00D76FCB" w:rsidRPr="001A3D2B" w:rsidRDefault="00D76FCB" w:rsidP="00D76FCB">
      <w:pPr>
        <w:pStyle w:val="12"/>
      </w:pPr>
      <w:r w:rsidRPr="001A3D2B">
        <w:t xml:space="preserve">Issues/Year: </w:t>
      </w:r>
    </w:p>
    <w:p w:rsidR="00D76FCB" w:rsidRPr="001A3D2B" w:rsidRDefault="00D76FCB" w:rsidP="00D76FCB">
      <w:pPr>
        <w:pStyle w:val="12"/>
      </w:pPr>
      <w:r w:rsidRPr="001A3D2B">
        <w:t xml:space="preserve">Journal Country/Territory: </w:t>
      </w:r>
    </w:p>
    <w:p w:rsidR="00D76FCB" w:rsidRPr="001A3D2B" w:rsidRDefault="00D76FCB" w:rsidP="00D76FCB">
      <w:pPr>
        <w:pStyle w:val="12"/>
      </w:pPr>
      <w:r w:rsidRPr="001A3D2B">
        <w:t xml:space="preserve">Language: </w:t>
      </w:r>
    </w:p>
    <w:p w:rsidR="00D76FCB" w:rsidRPr="001A3D2B" w:rsidRDefault="00D76FCB" w:rsidP="00D76FCB">
      <w:pPr>
        <w:pStyle w:val="12"/>
      </w:pPr>
      <w:r w:rsidRPr="001A3D2B">
        <w:t xml:space="preserve">Publisher: </w:t>
      </w:r>
    </w:p>
    <w:p w:rsidR="00D76FCB" w:rsidRPr="001A3D2B" w:rsidRDefault="00D76FCB" w:rsidP="00D76FCB">
      <w:pPr>
        <w:pStyle w:val="12"/>
      </w:pPr>
      <w:r w:rsidRPr="001A3D2B">
        <w:t xml:space="preserve">Publisher Address: </w:t>
      </w:r>
    </w:p>
    <w:p w:rsidR="00D76FCB" w:rsidRPr="001A3D2B" w:rsidRDefault="00D76FCB" w:rsidP="00D76FCB">
      <w:pPr>
        <w:pStyle w:val="12"/>
      </w:pPr>
      <w:r w:rsidRPr="001A3D2B">
        <w:t>Subject Categories:</w:t>
      </w:r>
    </w:p>
    <w:p w:rsidR="00D76FCB" w:rsidRPr="001A3D2B" w:rsidRDefault="00D76FCB" w:rsidP="00D76FCB">
      <w:pPr>
        <w:pStyle w:val="12"/>
      </w:pPr>
      <w:r w:rsidRPr="001A3D2B">
        <w:t>: Impact Factor</w:t>
      </w:r>
    </w:p>
    <w:p w:rsidR="00D76FCB" w:rsidRDefault="00D76FCB" w:rsidP="00D76FCB">
      <w:pPr>
        <w:pStyle w:val="a3"/>
        <w:rPr>
          <w:kern w:val="0"/>
        </w:rPr>
      </w:pPr>
      <w:r>
        <w:rPr>
          <w:rFonts w:hint="eastAsia"/>
          <w:kern w:val="0"/>
        </w:rPr>
        <w:t xml:space="preserve">? </w:t>
      </w:r>
      <w:r>
        <w:rPr>
          <w:kern w:val="0"/>
        </w:rPr>
        <w:t>Zhang, Z.Q., Wu, Q.Q., Huang, X.M.</w:t>
      </w:r>
      <w:r w:rsidR="005853A9">
        <w:rPr>
          <w:kern w:val="0"/>
        </w:rPr>
        <w:t xml:space="preserve"> and </w:t>
      </w:r>
      <w:r>
        <w:rPr>
          <w:kern w:val="0"/>
        </w:rPr>
        <w:t>Lu, H. (2013), Prevention</w:t>
      </w:r>
      <w:r w:rsidR="00427468">
        <w:rPr>
          <w:kern w:val="0"/>
        </w:rPr>
        <w:t xml:space="preserve"> of </w:t>
      </w:r>
      <w:r>
        <w:rPr>
          <w:kern w:val="0"/>
        </w:rPr>
        <w:t>respiratory distress syndrome in preterm infants by antenatal ambroxol: A meta-analysis</w:t>
      </w:r>
      <w:r w:rsidR="00427468">
        <w:rPr>
          <w:kern w:val="0"/>
        </w:rPr>
        <w:t xml:space="preserve"> of </w:t>
      </w:r>
      <w:r>
        <w:rPr>
          <w:kern w:val="0"/>
        </w:rPr>
        <w:t xml:space="preserve">randomized controlled trials. </w:t>
      </w:r>
      <w:r w:rsidRPr="00D76FCB">
        <w:rPr>
          <w:i/>
          <w:iCs/>
          <w:kern w:val="0"/>
        </w:rPr>
        <w:t>American Journal</w:t>
      </w:r>
      <w:r w:rsidR="00427468">
        <w:rPr>
          <w:i/>
          <w:iCs/>
          <w:kern w:val="0"/>
        </w:rPr>
        <w:t xml:space="preserve"> of </w:t>
      </w:r>
      <w:r w:rsidRPr="00D76FCB">
        <w:rPr>
          <w:i/>
          <w:iCs/>
          <w:kern w:val="0"/>
        </w:rPr>
        <w:t>Perinatology</w:t>
      </w:r>
      <w:r>
        <w:rPr>
          <w:kern w:val="0"/>
        </w:rPr>
        <w:t xml:space="preserve">, </w:t>
      </w:r>
      <w:r>
        <w:rPr>
          <w:b/>
          <w:bCs/>
          <w:kern w:val="0"/>
        </w:rPr>
        <w:t>30</w:t>
      </w:r>
      <w:r>
        <w:rPr>
          <w:kern w:val="0"/>
        </w:rPr>
        <w:t xml:space="preserve"> (7), 529-536.</w:t>
      </w:r>
    </w:p>
    <w:p w:rsidR="00D76FCB" w:rsidRDefault="00D76FCB" w:rsidP="00D76FCB">
      <w:pPr>
        <w:pStyle w:val="a3"/>
        <w:rPr>
          <w:kern w:val="0"/>
        </w:rPr>
      </w:pPr>
      <w:r>
        <w:rPr>
          <w:rFonts w:hint="eastAsia"/>
          <w:kern w:val="0"/>
        </w:rPr>
        <w:t xml:space="preserve">Full Text: </w:t>
      </w:r>
      <w:hyperlink r:id="rId579" w:history="1">
        <w:r w:rsidR="003827C7" w:rsidRPr="003827C7">
          <w:rPr>
            <w:rStyle w:val="a5"/>
            <w:kern w:val="0"/>
          </w:rPr>
          <w:t>2013\Ame J Per30, 529.pdf</w:t>
        </w:r>
      </w:hyperlink>
    </w:p>
    <w:p w:rsidR="00D76FCB" w:rsidRDefault="00D76FCB" w:rsidP="00D76FCB">
      <w:pPr>
        <w:pStyle w:val="a3"/>
        <w:rPr>
          <w:kern w:val="0"/>
        </w:rPr>
      </w:pPr>
      <w:r>
        <w:rPr>
          <w:kern w:val="0"/>
        </w:rPr>
        <w:t>Abstract: Objective To evaluate the efficacy</w:t>
      </w:r>
      <w:r w:rsidR="005853A9">
        <w:rPr>
          <w:kern w:val="0"/>
        </w:rPr>
        <w:t xml:space="preserve"> and </w:t>
      </w:r>
      <w:r>
        <w:rPr>
          <w:kern w:val="0"/>
        </w:rPr>
        <w:t>safety</w:t>
      </w:r>
      <w:r w:rsidR="00427468">
        <w:rPr>
          <w:kern w:val="0"/>
        </w:rPr>
        <w:t xml:space="preserve"> of </w:t>
      </w:r>
      <w:r>
        <w:rPr>
          <w:kern w:val="0"/>
        </w:rPr>
        <w:t>antenatal ambroxol as a preventive therapeutic</w:t>
      </w:r>
      <w:r w:rsidR="00427468">
        <w:rPr>
          <w:kern w:val="0"/>
        </w:rPr>
        <w:t xml:space="preserve"> of </w:t>
      </w:r>
      <w:r>
        <w:rPr>
          <w:kern w:val="0"/>
        </w:rPr>
        <w:t>respiratory distress syndrome (RDS) in preterm infants. Methods Randomized controlled trials</w:t>
      </w:r>
      <w:r w:rsidR="00427468">
        <w:rPr>
          <w:kern w:val="0"/>
        </w:rPr>
        <w:t xml:space="preserve"> of </w:t>
      </w:r>
      <w:r>
        <w:rPr>
          <w:kern w:val="0"/>
        </w:rPr>
        <w:t>antenatal ambroxol treatment for RDS in preterm infants published up to March 2012 were downloaded from the Cochrane Library, PubMed, EMBASE, Science Citation Index,</w:t>
      </w:r>
      <w:r w:rsidR="005853A9">
        <w:rPr>
          <w:kern w:val="0"/>
        </w:rPr>
        <w:t xml:space="preserve"> and </w:t>
      </w:r>
      <w:r>
        <w:rPr>
          <w:kern w:val="0"/>
        </w:rPr>
        <w:t>Google Scholar databases. Data were evaluated for homogeneity</w:t>
      </w:r>
      <w:r w:rsidR="005853A9">
        <w:rPr>
          <w:kern w:val="0"/>
        </w:rPr>
        <w:t xml:space="preserve"> and </w:t>
      </w:r>
      <w:r>
        <w:rPr>
          <w:kern w:val="0"/>
        </w:rPr>
        <w:t>analyzed by the Cochrane Collaboration</w:t>
      </w:r>
      <w:r w:rsidR="00700038">
        <w:rPr>
          <w:kern w:val="0"/>
        </w:rPr>
        <w:t>’</w:t>
      </w:r>
      <w:r>
        <w:rPr>
          <w:kern w:val="0"/>
        </w:rPr>
        <w:t>s RevMan software. Result Twelve trials involving a total</w:t>
      </w:r>
      <w:r w:rsidR="00427468">
        <w:rPr>
          <w:kern w:val="0"/>
        </w:rPr>
        <w:t xml:space="preserve"> of </w:t>
      </w:r>
      <w:r>
        <w:rPr>
          <w:kern w:val="0"/>
        </w:rPr>
        <w:t>1335 premature infants were selected for meta-analysis. Neonatal RDS was lower in the ambroxol-treated group than in the groups treated with placebo (risk ratio [RR] = 0.38, 95% confidence interval [CI]: 0.24 to 0.59) or corticosteroids (RR = 0.49, 95% CI: 0.31 to 0.78)</w:t>
      </w:r>
      <w:r w:rsidR="00A37C1D">
        <w:rPr>
          <w:kern w:val="0"/>
        </w:rPr>
        <w:t>. The</w:t>
      </w:r>
      <w:r>
        <w:rPr>
          <w:kern w:val="0"/>
        </w:rPr>
        <w:t xml:space="preserve"> ambroxol-treated group had lower risk</w:t>
      </w:r>
      <w:r w:rsidR="00427468">
        <w:rPr>
          <w:kern w:val="0"/>
        </w:rPr>
        <w:t xml:space="preserve"> of </w:t>
      </w:r>
      <w:r>
        <w:rPr>
          <w:kern w:val="0"/>
        </w:rPr>
        <w:t>neonatal infection than the corticosteroid-treated group (RR = 0.36, 95% CI: 0.18 to 0.73). Conclusions In cases</w:t>
      </w:r>
      <w:r w:rsidR="00427468">
        <w:rPr>
          <w:kern w:val="0"/>
        </w:rPr>
        <w:t xml:space="preserve"> of </w:t>
      </w:r>
      <w:r>
        <w:rPr>
          <w:kern w:val="0"/>
        </w:rPr>
        <w:t>inevitable preterm birth, antenatal ambroxol is recommended over corticosteroids to prevent neonatal RDS. However, further research is necessary to determine the optimal treatment dosages</w:t>
      </w:r>
      <w:r w:rsidR="005853A9">
        <w:rPr>
          <w:kern w:val="0"/>
        </w:rPr>
        <w:t xml:space="preserve"> and </w:t>
      </w:r>
      <w:r>
        <w:rPr>
          <w:kern w:val="0"/>
        </w:rPr>
        <w:t>regimens</w:t>
      </w:r>
      <w:r w:rsidR="00427468">
        <w:rPr>
          <w:kern w:val="0"/>
        </w:rPr>
        <w:t xml:space="preserve"> of </w:t>
      </w:r>
      <w:r>
        <w:rPr>
          <w:kern w:val="0"/>
        </w:rPr>
        <w:t>antenatal ambroxol to achieve consistent superior results over corticosteroids.</w:t>
      </w:r>
    </w:p>
    <w:p w:rsidR="00D76FCB" w:rsidRDefault="00D76FCB" w:rsidP="00D76FCB">
      <w:pPr>
        <w:pStyle w:val="a3"/>
        <w:rPr>
          <w:kern w:val="0"/>
        </w:rPr>
      </w:pPr>
      <w:r>
        <w:rPr>
          <w:kern w:val="0"/>
        </w:rPr>
        <w:t xml:space="preserve">Keywords: Birth, Citation, Confidence, Corticosteroids, Databases, Distress, Efficacy, Embase, Google, Google Scholar, Groups, Homogeneity, Infants, Infection, Interval, Meta Analysis, Meta-Analysis, Metaanalysis, Methods, Neonatal, Neonatal Infection, Placebo, Premature, Premature Infants, Preterm, Preterm Birth, Preterm Infants, Prevent, Prevention, Pubmed, Randomized Controlled Trials, RDS, Research, </w:t>
      </w:r>
      <w:r>
        <w:rPr>
          <w:kern w:val="0"/>
        </w:rPr>
        <w:lastRenderedPageBreak/>
        <w:t>Respiratory Distress Syndrome, Risk, Safety, Science, Science Citation Index, Software, Syndrome, Therapeutic, Treatment</w:t>
      </w:r>
    </w:p>
    <w:p w:rsidR="00F64F85" w:rsidRDefault="00F64F85" w:rsidP="00F64F85">
      <w:pPr>
        <w:pStyle w:val="a3"/>
        <w:rPr>
          <w:kern w:val="0"/>
        </w:rPr>
      </w:pPr>
      <w:r>
        <w:rPr>
          <w:rFonts w:hint="eastAsia"/>
          <w:kern w:val="0"/>
        </w:rPr>
        <w:t xml:space="preserve">? </w:t>
      </w:r>
      <w:r>
        <w:rPr>
          <w:kern w:val="0"/>
        </w:rPr>
        <w:t xml:space="preserve">Bernhard, K.A., Siddiqui, D.S., Leonard, K.M. and Chauhan, S.P. (2014), American college of obstetricians and gynecologists practice bulletins: Ascertaining their citation, influence, and utilization. </w:t>
      </w:r>
      <w:r>
        <w:rPr>
          <w:i/>
          <w:iCs/>
          <w:kern w:val="0"/>
        </w:rPr>
        <w:t>American Journal of Perinatology</w:t>
      </w:r>
      <w:r>
        <w:rPr>
          <w:kern w:val="0"/>
        </w:rPr>
        <w:t xml:space="preserve">, </w:t>
      </w:r>
      <w:r>
        <w:rPr>
          <w:b/>
          <w:bCs/>
          <w:kern w:val="0"/>
        </w:rPr>
        <w:t>31</w:t>
      </w:r>
      <w:r>
        <w:rPr>
          <w:kern w:val="0"/>
        </w:rPr>
        <w:t xml:space="preserve"> (5), 373-381.</w:t>
      </w:r>
    </w:p>
    <w:p w:rsidR="00F64F85" w:rsidRDefault="00F64F85" w:rsidP="00F64F85">
      <w:pPr>
        <w:pStyle w:val="a3"/>
        <w:rPr>
          <w:kern w:val="0"/>
        </w:rPr>
      </w:pPr>
      <w:r>
        <w:rPr>
          <w:rFonts w:hint="eastAsia"/>
          <w:kern w:val="0"/>
        </w:rPr>
        <w:t xml:space="preserve">Full Text: </w:t>
      </w:r>
      <w:r w:rsidRPr="009F2D57">
        <w:rPr>
          <w:kern w:val="0"/>
        </w:rPr>
        <w:t>201</w:t>
      </w:r>
      <w:r>
        <w:rPr>
          <w:rFonts w:hint="eastAsia"/>
          <w:kern w:val="0"/>
        </w:rPr>
        <w:t>4</w:t>
      </w:r>
      <w:r w:rsidRPr="009F2D57">
        <w:rPr>
          <w:kern w:val="0"/>
        </w:rPr>
        <w:t>\Ame J Per3</w:t>
      </w:r>
      <w:r>
        <w:rPr>
          <w:rFonts w:hint="eastAsia"/>
          <w:kern w:val="0"/>
        </w:rPr>
        <w:t>1</w:t>
      </w:r>
      <w:r w:rsidRPr="009F2D57">
        <w:rPr>
          <w:kern w:val="0"/>
        </w:rPr>
        <w:t xml:space="preserve">, </w:t>
      </w:r>
      <w:r>
        <w:rPr>
          <w:rFonts w:hint="eastAsia"/>
          <w:kern w:val="0"/>
        </w:rPr>
        <w:t>373</w:t>
      </w:r>
      <w:r w:rsidRPr="009F2D57">
        <w:rPr>
          <w:kern w:val="0"/>
        </w:rPr>
        <w:t>.pdf</w:t>
      </w:r>
    </w:p>
    <w:p w:rsidR="00F64F85" w:rsidRDefault="00F64F85" w:rsidP="00F64F85">
      <w:pPr>
        <w:pStyle w:val="a3"/>
        <w:rPr>
          <w:kern w:val="0"/>
        </w:rPr>
      </w:pPr>
      <w:r>
        <w:rPr>
          <w:kern w:val="0"/>
        </w:rPr>
        <w:t>Abstract: Objective To ascertain the influence and utilization of the American College Obstetricians and Gynecologists practice bulletins (PBs) by measuring their citations in three different search tools. Study Design PBs in obstetrics (OB-PBs) and gynecology (GYN-PBs) published from September 1998 to December 2009 were identified. PubMed, Ovid MEDLINE, and Web of Science were utilized to determine how often PBs were cited</w:t>
      </w:r>
      <w:r w:rsidR="00A37C1D">
        <w:rPr>
          <w:kern w:val="0"/>
        </w:rPr>
        <w:t>. The</w:t>
      </w:r>
      <w:r>
        <w:rPr>
          <w:kern w:val="0"/>
        </w:rPr>
        <w:t xml:space="preserve"> citations were quantified by three parameters, most citations, highest citation rate, and highest impact factor. Results The OB-PB with the most citations (125) was PB no. 33 (Diagnosis and Management of Preeclampsia and Eclampsia), highest citation rate (44) was PB no. 101 (Ultrasonography in Pregnancy), highest OBGYN impact factor (4.39) was PB no. 71 (Episiotomy), and highest non-OBGYN impact factor (53.49) was PB no. 38 (Perinatal Care at Threshold of Viability)</w:t>
      </w:r>
      <w:r w:rsidR="00A37C1D">
        <w:rPr>
          <w:kern w:val="0"/>
        </w:rPr>
        <w:t>. The</w:t>
      </w:r>
      <w:r>
        <w:rPr>
          <w:kern w:val="0"/>
        </w:rPr>
        <w:t xml:space="preserve"> GYN-PB with the highest citation rate (103) was PB no. 109 (Cervical Cytology Screening), highest OBGYN impact factor (3.85) was PB no. 103 (Hereditary Breast and Ovarian Cancer Syndrome), and highest non-OBGYN impact factor (20.89) was PB no. 35 (Cervical Carcinoma). Conclusions No one PB had the most citations, highest citation rate, and highest impact factor.</w:t>
      </w:r>
    </w:p>
    <w:p w:rsidR="00F64F85" w:rsidRDefault="00F64F85" w:rsidP="00F64F85">
      <w:pPr>
        <w:pStyle w:val="a3"/>
        <w:rPr>
          <w:kern w:val="0"/>
        </w:rPr>
      </w:pPr>
      <w:r>
        <w:rPr>
          <w:kern w:val="0"/>
        </w:rPr>
        <w:t>Keywords: Acog, American College Of Obstetricians And Gynecologists, Articles, Breast, Cancer, Carcinoma, Citation, Citations, Databases, Design, Diagnosis, Gynecology, Impact, Impact Factor, Influence, Management, Medline, Obstetrics, Pb, Practice, Practice Bulletins, Pregnancy, Pubmed, Results, Science, Screening, Search Tools, Utilization, Web Of Science</w:t>
      </w:r>
    </w:p>
    <w:p w:rsidR="003474F2" w:rsidRPr="001A3D2B" w:rsidRDefault="003474F2" w:rsidP="003474F2">
      <w:pPr>
        <w:pStyle w:val="1"/>
      </w:pPr>
      <w:r w:rsidRPr="001A3D2B">
        <w:br w:type="page"/>
      </w:r>
      <w:bookmarkStart w:id="313" w:name="_Toc420814419"/>
      <w:r w:rsidRPr="001A3D2B">
        <w:lastRenderedPageBreak/>
        <w:t xml:space="preserve">Title: </w:t>
      </w:r>
      <w:r w:rsidRPr="001A3D2B">
        <w:rPr>
          <w:iCs w:val="0"/>
          <w:szCs w:val="24"/>
        </w:rPr>
        <w:t>American Journal</w:t>
      </w:r>
      <w:r w:rsidR="00427468">
        <w:rPr>
          <w:iCs w:val="0"/>
          <w:szCs w:val="24"/>
        </w:rPr>
        <w:t xml:space="preserve"> of </w:t>
      </w:r>
      <w:r w:rsidRPr="001A3D2B">
        <w:rPr>
          <w:iCs w:val="0"/>
          <w:szCs w:val="24"/>
        </w:rPr>
        <w:t>Pharmaceutical Education</w:t>
      </w:r>
      <w:bookmarkEnd w:id="313"/>
    </w:p>
    <w:p w:rsidR="003474F2" w:rsidRPr="001A3D2B" w:rsidRDefault="003474F2" w:rsidP="003474F2">
      <w:pPr>
        <w:pStyle w:val="12"/>
      </w:pPr>
      <w:r w:rsidRPr="001A3D2B">
        <w:t>Full Journal Title: American Journal</w:t>
      </w:r>
      <w:r w:rsidR="00427468">
        <w:t xml:space="preserve"> of </w:t>
      </w:r>
      <w:r w:rsidRPr="001A3D2B">
        <w:t>Pharmaceutical Education</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0002-9459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rPr>
          <w:szCs w:val="24"/>
        </w:rPr>
      </w:pPr>
      <w:r w:rsidRPr="001A3D2B">
        <w:t>? Dorr, H.A.</w:t>
      </w:r>
      <w:r w:rsidR="005853A9">
        <w:t xml:space="preserve"> and </w:t>
      </w:r>
      <w:r w:rsidRPr="001A3D2B">
        <w:t>Sher, I.H. (1968), Science Citation Index System</w:t>
      </w:r>
      <w:r w:rsidR="005853A9">
        <w:t xml:space="preserve"> and </w:t>
      </w:r>
      <w:r w:rsidRPr="001A3D2B">
        <w:t xml:space="preserve">Pharmaceutical Education. </w:t>
      </w:r>
      <w:r w:rsidRPr="001A3D2B">
        <w:rPr>
          <w:i/>
          <w:iCs/>
        </w:rPr>
        <w:t>American Journal</w:t>
      </w:r>
      <w:r w:rsidR="00427468">
        <w:rPr>
          <w:i/>
          <w:iCs/>
        </w:rPr>
        <w:t xml:space="preserve"> of </w:t>
      </w:r>
      <w:r w:rsidRPr="001A3D2B">
        <w:rPr>
          <w:i/>
          <w:iCs/>
        </w:rPr>
        <w:t>Pharmaceutical Education</w:t>
      </w:r>
      <w:r w:rsidRPr="001A3D2B">
        <w:t xml:space="preserve">, </w:t>
      </w:r>
      <w:r w:rsidRPr="001A3D2B">
        <w:rPr>
          <w:b/>
          <w:bCs/>
        </w:rPr>
        <w:t>32</w:t>
      </w:r>
      <w:r w:rsidRPr="001A3D2B">
        <w:rPr>
          <w:szCs w:val="24"/>
        </w:rPr>
        <w:t xml:space="preserve"> (2), 177-??.</w:t>
      </w:r>
    </w:p>
    <w:p w:rsidR="003474F2" w:rsidRPr="001A3D2B" w:rsidRDefault="003474F2" w:rsidP="003474F2">
      <w:pPr>
        <w:pStyle w:val="a3"/>
        <w:rPr>
          <w:szCs w:val="24"/>
        </w:rPr>
      </w:pPr>
      <w:r w:rsidRPr="001A3D2B">
        <w:rPr>
          <w:szCs w:val="24"/>
        </w:rPr>
        <w:t>Keywords: Citation, Science Citation Index</w:t>
      </w:r>
    </w:p>
    <w:p w:rsidR="003443BC" w:rsidRDefault="003443BC" w:rsidP="003443BC">
      <w:pPr>
        <w:pStyle w:val="a3"/>
        <w:rPr>
          <w:kern w:val="0"/>
          <w:szCs w:val="24"/>
        </w:rPr>
      </w:pPr>
      <w:r>
        <w:rPr>
          <w:rFonts w:hint="eastAsia"/>
          <w:kern w:val="0"/>
          <w:szCs w:val="24"/>
        </w:rPr>
        <w:t xml:space="preserve">? </w:t>
      </w:r>
      <w:r>
        <w:rPr>
          <w:kern w:val="0"/>
          <w:szCs w:val="24"/>
        </w:rPr>
        <w:t>Assemi, M., Corelli, R.L.</w:t>
      </w:r>
      <w:r w:rsidR="005853A9">
        <w:rPr>
          <w:kern w:val="0"/>
          <w:szCs w:val="24"/>
        </w:rPr>
        <w:t xml:space="preserve"> and </w:t>
      </w:r>
      <w:r>
        <w:rPr>
          <w:kern w:val="0"/>
          <w:szCs w:val="24"/>
        </w:rPr>
        <w:t>Ambrose, P.J. (2011), Development needs</w:t>
      </w:r>
      <w:r w:rsidR="00427468">
        <w:rPr>
          <w:kern w:val="0"/>
          <w:szCs w:val="24"/>
        </w:rPr>
        <w:t xml:space="preserve"> of </w:t>
      </w:r>
      <w:r>
        <w:rPr>
          <w:kern w:val="0"/>
          <w:szCs w:val="24"/>
        </w:rPr>
        <w:t xml:space="preserve">volunteer pharmacy practice preceptors. </w:t>
      </w:r>
      <w:r>
        <w:rPr>
          <w:i/>
          <w:iCs/>
          <w:kern w:val="0"/>
          <w:szCs w:val="24"/>
        </w:rPr>
        <w:t>American Journal</w:t>
      </w:r>
      <w:r w:rsidR="00427468">
        <w:rPr>
          <w:i/>
          <w:iCs/>
          <w:kern w:val="0"/>
          <w:szCs w:val="24"/>
        </w:rPr>
        <w:t xml:space="preserve"> of </w:t>
      </w:r>
      <w:r>
        <w:rPr>
          <w:i/>
          <w:iCs/>
          <w:kern w:val="0"/>
          <w:szCs w:val="24"/>
        </w:rPr>
        <w:t>Pharmaceutical Education</w:t>
      </w:r>
      <w:r>
        <w:rPr>
          <w:kern w:val="0"/>
          <w:szCs w:val="24"/>
        </w:rPr>
        <w:t xml:space="preserve">, </w:t>
      </w:r>
      <w:r>
        <w:rPr>
          <w:b/>
          <w:bCs/>
          <w:kern w:val="0"/>
          <w:szCs w:val="24"/>
        </w:rPr>
        <w:t>75</w:t>
      </w:r>
      <w:r>
        <w:rPr>
          <w:kern w:val="0"/>
          <w:szCs w:val="24"/>
        </w:rPr>
        <w:t xml:space="preserve"> (1</w:t>
      </w:r>
      <w:r>
        <w:rPr>
          <w:rFonts w:hint="eastAsia"/>
          <w:kern w:val="0"/>
          <w:szCs w:val="24"/>
        </w:rPr>
        <w:t xml:space="preserve">), </w:t>
      </w:r>
      <w:r>
        <w:t>Article Number: 10</w:t>
      </w:r>
      <w:r>
        <w:rPr>
          <w:kern w:val="0"/>
          <w:szCs w:val="24"/>
        </w:rPr>
        <w:t>.</w:t>
      </w:r>
    </w:p>
    <w:p w:rsidR="003443BC" w:rsidRDefault="003443BC" w:rsidP="003443BC">
      <w:pPr>
        <w:pStyle w:val="a3"/>
        <w:rPr>
          <w:kern w:val="0"/>
          <w:szCs w:val="24"/>
        </w:rPr>
      </w:pPr>
      <w:r>
        <w:rPr>
          <w:rFonts w:hint="eastAsia"/>
          <w:kern w:val="0"/>
          <w:szCs w:val="24"/>
        </w:rPr>
        <w:t xml:space="preserve">Full Text: </w:t>
      </w:r>
      <w:hyperlink r:id="rId580" w:history="1">
        <w:r w:rsidRPr="002A2BEE">
          <w:rPr>
            <w:rStyle w:val="a5"/>
            <w:kern w:val="0"/>
            <w:szCs w:val="24"/>
          </w:rPr>
          <w:t>2011\Ame J Pha Edu75, 10.pdf</w:t>
        </w:r>
      </w:hyperlink>
    </w:p>
    <w:p w:rsidR="003443BC" w:rsidRDefault="003443BC" w:rsidP="003443BC">
      <w:pPr>
        <w:pStyle w:val="a3"/>
        <w:rPr>
          <w:kern w:val="0"/>
          <w:szCs w:val="24"/>
        </w:rPr>
      </w:pPr>
      <w:r>
        <w:rPr>
          <w:kern w:val="0"/>
          <w:szCs w:val="24"/>
        </w:rPr>
        <w:t>Abstract: Objective. To determine</w:t>
      </w:r>
      <w:r w:rsidR="003A1917">
        <w:rPr>
          <w:kern w:val="0"/>
          <w:szCs w:val="24"/>
        </w:rPr>
        <w:t xml:space="preserve"> the </w:t>
      </w:r>
      <w:r>
        <w:rPr>
          <w:kern w:val="0"/>
          <w:szCs w:val="24"/>
        </w:rPr>
        <w:t>training needs</w:t>
      </w:r>
      <w:r w:rsidR="005853A9">
        <w:rPr>
          <w:kern w:val="0"/>
          <w:szCs w:val="24"/>
        </w:rPr>
        <w:t xml:space="preserve"> and </w:t>
      </w:r>
      <w:r>
        <w:rPr>
          <w:kern w:val="0"/>
          <w:szCs w:val="24"/>
        </w:rPr>
        <w:t>interests</w:t>
      </w:r>
      <w:r w:rsidR="00427468">
        <w:rPr>
          <w:kern w:val="0"/>
          <w:szCs w:val="24"/>
        </w:rPr>
        <w:t xml:space="preserve"> of </w:t>
      </w:r>
      <w:r>
        <w:rPr>
          <w:kern w:val="0"/>
          <w:szCs w:val="24"/>
        </w:rPr>
        <w:t>volunteer pharmacy preceptors. Methods. Volunteer preceptors (n5576) were surveyed on various aspects</w:t>
      </w:r>
      <w:r w:rsidR="00427468">
        <w:rPr>
          <w:kern w:val="0"/>
          <w:szCs w:val="24"/>
        </w:rPr>
        <w:t xml:space="preserve"> of </w:t>
      </w:r>
      <w:r>
        <w:rPr>
          <w:kern w:val="0"/>
          <w:szCs w:val="24"/>
        </w:rPr>
        <w:t>precepting</w:t>
      </w:r>
      <w:r w:rsidR="005853A9">
        <w:rPr>
          <w:kern w:val="0"/>
          <w:szCs w:val="24"/>
        </w:rPr>
        <w:t xml:space="preserve"> and </w:t>
      </w:r>
      <w:r>
        <w:rPr>
          <w:kern w:val="0"/>
          <w:szCs w:val="24"/>
        </w:rPr>
        <w:t>their needs related to additional training. Results. Two hundred thirty-six preceptors (40.9%) responded. Preceptors were less confident about enforcing attendance policies, identifying</w:t>
      </w:r>
      <w:r w:rsidR="005853A9">
        <w:rPr>
          <w:kern w:val="0"/>
          <w:szCs w:val="24"/>
        </w:rPr>
        <w:t xml:space="preserve"> and </w:t>
      </w:r>
      <w:r>
        <w:rPr>
          <w:kern w:val="0"/>
          <w:szCs w:val="24"/>
        </w:rPr>
        <w:t>managing unmotivated or failing students, identifying dishonesty or plagiarism,</w:t>
      </w:r>
      <w:r w:rsidR="005853A9">
        <w:rPr>
          <w:kern w:val="0"/>
          <w:szCs w:val="24"/>
        </w:rPr>
        <w:t xml:space="preserve"> and </w:t>
      </w:r>
      <w:r>
        <w:rPr>
          <w:kern w:val="0"/>
          <w:szCs w:val="24"/>
        </w:rPr>
        <w:t>handling conflict. While only 29.5%</w:t>
      </w:r>
      <w:r w:rsidR="00427468">
        <w:rPr>
          <w:kern w:val="0"/>
          <w:szCs w:val="24"/>
        </w:rPr>
        <w:t xml:space="preserve"> of </w:t>
      </w:r>
      <w:r>
        <w:rPr>
          <w:kern w:val="0"/>
          <w:szCs w:val="24"/>
        </w:rPr>
        <w:t>respondents agreed that having an APPE student decreased their overall workload, approximately half (48.1%) indicated that student pharmacists helped them complete their daily tasks</w:t>
      </w:r>
      <w:r w:rsidR="005853A9">
        <w:rPr>
          <w:kern w:val="0"/>
          <w:szCs w:val="24"/>
        </w:rPr>
        <w:t xml:space="preserve"> and </w:t>
      </w:r>
      <w:r>
        <w:rPr>
          <w:kern w:val="0"/>
          <w:szCs w:val="24"/>
        </w:rPr>
        <w:t>67.8% agreed that APPE students extended patient care. Respondents who had received training were significantly more confident than preceptors who had not received training in their abilities to clarify expectations, evaluate a student</w:t>
      </w:r>
      <w:r w:rsidR="00700038">
        <w:rPr>
          <w:kern w:val="0"/>
          <w:szCs w:val="24"/>
        </w:rPr>
        <w:t>’</w:t>
      </w:r>
      <w:r w:rsidR="00C13DDC">
        <w:rPr>
          <w:kern w:val="0"/>
          <w:szCs w:val="24"/>
        </w:rPr>
        <w:t>s</w:t>
      </w:r>
      <w:r>
        <w:rPr>
          <w:kern w:val="0"/>
          <w:szCs w:val="24"/>
        </w:rPr>
        <w:t xml:space="preserve"> knowledge,</w:t>
      </w:r>
      <w:r w:rsidR="005853A9">
        <w:rPr>
          <w:kern w:val="0"/>
          <w:szCs w:val="24"/>
        </w:rPr>
        <w:t xml:space="preserve"> and </w:t>
      </w:r>
      <w:r>
        <w:rPr>
          <w:kern w:val="0"/>
          <w:szCs w:val="24"/>
        </w:rPr>
        <w:t>foster skills related to critical thinking</w:t>
      </w:r>
      <w:r w:rsidR="005853A9">
        <w:rPr>
          <w:kern w:val="0"/>
          <w:szCs w:val="24"/>
        </w:rPr>
        <w:t xml:space="preserve"> and </w:t>
      </w:r>
      <w:r>
        <w:rPr>
          <w:kern w:val="0"/>
          <w:szCs w:val="24"/>
        </w:rPr>
        <w:t>problem solving. Conclusions. Training programs for pharmacy preceptors are effective; however, important areas in which additional training is needed or desired were identified among both new</w:t>
      </w:r>
      <w:r w:rsidR="005853A9">
        <w:rPr>
          <w:kern w:val="0"/>
          <w:szCs w:val="24"/>
        </w:rPr>
        <w:t xml:space="preserve"> and </w:t>
      </w:r>
      <w:r>
        <w:rPr>
          <w:kern w:val="0"/>
          <w:szCs w:val="24"/>
        </w:rPr>
        <w:t>experienced preceptors.</w:t>
      </w:r>
    </w:p>
    <w:p w:rsidR="003443BC" w:rsidRDefault="003443BC" w:rsidP="003443BC">
      <w:pPr>
        <w:pStyle w:val="a3"/>
        <w:rPr>
          <w:kern w:val="0"/>
          <w:szCs w:val="24"/>
        </w:rPr>
      </w:pPr>
      <w:r>
        <w:rPr>
          <w:kern w:val="0"/>
          <w:szCs w:val="24"/>
        </w:rPr>
        <w:t>Keywords: Advanced Pharmacy Practice Experience, Clerkship Students, Clinical Interventions, Continuing Education, Faculty Development, Plagiarism, Preceptors</w:t>
      </w:r>
    </w:p>
    <w:p w:rsidR="00B10B74" w:rsidRDefault="00B10B74" w:rsidP="00B10B74">
      <w:pPr>
        <w:pStyle w:val="a3"/>
        <w:rPr>
          <w:kern w:val="0"/>
        </w:rPr>
      </w:pPr>
      <w:r>
        <w:rPr>
          <w:rFonts w:hint="eastAsia"/>
          <w:kern w:val="0"/>
        </w:rPr>
        <w:t xml:space="preserve">? </w:t>
      </w:r>
      <w:r>
        <w:rPr>
          <w:kern w:val="0"/>
        </w:rPr>
        <w:t>Thompson, D.F.</w:t>
      </w:r>
      <w:r w:rsidR="005853A9">
        <w:rPr>
          <w:kern w:val="0"/>
        </w:rPr>
        <w:t xml:space="preserve"> and </w:t>
      </w:r>
      <w:r>
        <w:rPr>
          <w:kern w:val="0"/>
        </w:rPr>
        <w:t xml:space="preserve">Nahata, M.C. (2012), Pharmaceutical science faculty publication </w:t>
      </w:r>
      <w:r>
        <w:rPr>
          <w:kern w:val="0"/>
        </w:rPr>
        <w:lastRenderedPageBreak/>
        <w:t>records at research-intensive pharmacy colleges</w:t>
      </w:r>
      <w:r w:rsidR="005853A9">
        <w:rPr>
          <w:kern w:val="0"/>
        </w:rPr>
        <w:t xml:space="preserve"> and </w:t>
      </w:r>
      <w:r>
        <w:rPr>
          <w:kern w:val="0"/>
        </w:rPr>
        <w:t xml:space="preserve">schools. </w:t>
      </w:r>
      <w:r>
        <w:rPr>
          <w:i/>
          <w:iCs/>
          <w:kern w:val="0"/>
        </w:rPr>
        <w:t>American Journal</w:t>
      </w:r>
      <w:r w:rsidR="00427468">
        <w:rPr>
          <w:i/>
          <w:iCs/>
          <w:kern w:val="0"/>
        </w:rPr>
        <w:t xml:space="preserve"> of </w:t>
      </w:r>
      <w:r>
        <w:rPr>
          <w:i/>
          <w:iCs/>
          <w:kern w:val="0"/>
        </w:rPr>
        <w:t>Pharmaceutical Education</w:t>
      </w:r>
      <w:r>
        <w:rPr>
          <w:kern w:val="0"/>
        </w:rPr>
        <w:t xml:space="preserve">, </w:t>
      </w:r>
      <w:r>
        <w:rPr>
          <w:b/>
          <w:bCs/>
          <w:kern w:val="0"/>
        </w:rPr>
        <w:t>76</w:t>
      </w:r>
      <w:r>
        <w:rPr>
          <w:kern w:val="0"/>
        </w:rPr>
        <w:t xml:space="preserve"> (9</w:t>
      </w:r>
      <w:r>
        <w:rPr>
          <w:rFonts w:hint="eastAsia"/>
          <w:kern w:val="0"/>
        </w:rPr>
        <w:t xml:space="preserve">), </w:t>
      </w:r>
      <w:r w:rsidRPr="00600BDE">
        <w:rPr>
          <w:kern w:val="0"/>
        </w:rPr>
        <w:t>Article Number: 173</w:t>
      </w:r>
      <w:r>
        <w:rPr>
          <w:kern w:val="0"/>
        </w:rPr>
        <w:t>.</w:t>
      </w:r>
    </w:p>
    <w:p w:rsidR="00B10B74" w:rsidRDefault="00B10B74" w:rsidP="00B10B74">
      <w:pPr>
        <w:pStyle w:val="a3"/>
        <w:rPr>
          <w:kern w:val="0"/>
        </w:rPr>
      </w:pPr>
      <w:r>
        <w:rPr>
          <w:rFonts w:hint="eastAsia"/>
          <w:kern w:val="0"/>
        </w:rPr>
        <w:t xml:space="preserve">Full Text: </w:t>
      </w:r>
      <w:hyperlink r:id="rId581" w:history="1">
        <w:r w:rsidRPr="00374E80">
          <w:rPr>
            <w:rStyle w:val="a5"/>
            <w:kern w:val="0"/>
          </w:rPr>
          <w:t>2012\Ame J Pha Edu76, 173.pdf</w:t>
        </w:r>
      </w:hyperlink>
    </w:p>
    <w:p w:rsidR="00B10B74" w:rsidRDefault="00B10B74" w:rsidP="00B10B74">
      <w:pPr>
        <w:pStyle w:val="a3"/>
        <w:rPr>
          <w:kern w:val="0"/>
        </w:rPr>
      </w:pPr>
      <w:r>
        <w:rPr>
          <w:kern w:val="0"/>
        </w:rPr>
        <w:t>Abstract: Objective. To determine yearly (phase 1)</w:t>
      </w:r>
      <w:r w:rsidR="005853A9">
        <w:rPr>
          <w:kern w:val="0"/>
        </w:rPr>
        <w:t xml:space="preserve"> and </w:t>
      </w:r>
      <w:r>
        <w:rPr>
          <w:kern w:val="0"/>
        </w:rPr>
        <w:t>cumulative (phase 2) publication records</w:t>
      </w:r>
      <w:r w:rsidR="00427468">
        <w:rPr>
          <w:kern w:val="0"/>
        </w:rPr>
        <w:t xml:space="preserve"> of </w:t>
      </w:r>
      <w:r>
        <w:rPr>
          <w:kern w:val="0"/>
        </w:rPr>
        <w:t>pharmaceutical science faculty members at research-intensive colleges</w:t>
      </w:r>
      <w:r w:rsidR="005853A9">
        <w:rPr>
          <w:kern w:val="0"/>
        </w:rPr>
        <w:t xml:space="preserve"> and </w:t>
      </w:r>
      <w:r>
        <w:rPr>
          <w:kern w:val="0"/>
        </w:rPr>
        <w:t>schools</w:t>
      </w:r>
      <w:r w:rsidR="00427468">
        <w:rPr>
          <w:kern w:val="0"/>
        </w:rPr>
        <w:t xml:space="preserve"> of </w:t>
      </w:r>
      <w:r>
        <w:rPr>
          <w:kern w:val="0"/>
        </w:rPr>
        <w:t>pharmacy. Methods</w:t>
      </w:r>
      <w:r w:rsidR="00A37C1D">
        <w:rPr>
          <w:kern w:val="0"/>
        </w:rPr>
        <w:t>. The</w:t>
      </w:r>
      <w:r>
        <w:rPr>
          <w:kern w:val="0"/>
        </w:rPr>
        <w:t xml:space="preserve"> publication records</w:t>
      </w:r>
      <w:r w:rsidR="00427468">
        <w:rPr>
          <w:kern w:val="0"/>
        </w:rPr>
        <w:t xml:space="preserve"> of </w:t>
      </w:r>
      <w:r>
        <w:rPr>
          <w:kern w:val="0"/>
        </w:rPr>
        <w:t>pharmaceutical science faculty members at research-intensive colleges</w:t>
      </w:r>
      <w:r w:rsidR="005853A9">
        <w:rPr>
          <w:kern w:val="0"/>
        </w:rPr>
        <w:t xml:space="preserve"> and </w:t>
      </w:r>
      <w:r>
        <w:rPr>
          <w:kern w:val="0"/>
        </w:rPr>
        <w:t>schools</w:t>
      </w:r>
      <w:r w:rsidR="00427468">
        <w:rPr>
          <w:kern w:val="0"/>
        </w:rPr>
        <w:t xml:space="preserve"> of </w:t>
      </w:r>
      <w:r>
        <w:rPr>
          <w:kern w:val="0"/>
        </w:rPr>
        <w:t xml:space="preserve">pharmacy were searched on </w:t>
      </w:r>
      <w:r w:rsidR="00D5664A">
        <w:rPr>
          <w:kern w:val="0"/>
        </w:rPr>
        <w:t>Web</w:t>
      </w:r>
      <w:r w:rsidR="00427468">
        <w:rPr>
          <w:kern w:val="0"/>
        </w:rPr>
        <w:t xml:space="preserve"> of </w:t>
      </w:r>
      <w:r w:rsidR="00D5664A">
        <w:rPr>
          <w:kern w:val="0"/>
        </w:rPr>
        <w:t>Science</w:t>
      </w:r>
      <w:r>
        <w:rPr>
          <w:kern w:val="0"/>
        </w:rPr>
        <w:t>. Fifty colleges</w:t>
      </w:r>
      <w:r w:rsidR="005853A9">
        <w:rPr>
          <w:kern w:val="0"/>
        </w:rPr>
        <w:t xml:space="preserve"> and </w:t>
      </w:r>
      <w:r>
        <w:rPr>
          <w:kern w:val="0"/>
        </w:rPr>
        <w:t>schools</w:t>
      </w:r>
      <w:r w:rsidR="00427468">
        <w:rPr>
          <w:kern w:val="0"/>
        </w:rPr>
        <w:t xml:space="preserve"> of </w:t>
      </w:r>
      <w:r>
        <w:rPr>
          <w:kern w:val="0"/>
        </w:rPr>
        <w:t>pharmacy were randomly chosen for a search</w:t>
      </w:r>
      <w:r w:rsidR="00427468">
        <w:rPr>
          <w:kern w:val="0"/>
        </w:rPr>
        <w:t xml:space="preserve"> of </w:t>
      </w:r>
      <w:r>
        <w:rPr>
          <w:kern w:val="0"/>
        </w:rPr>
        <w:t>1,042 individual faculty members</w:t>
      </w:r>
      <w:r w:rsidR="00700038">
        <w:rPr>
          <w:kern w:val="0"/>
        </w:rPr>
        <w:t>’</w:t>
      </w:r>
      <w:r>
        <w:rPr>
          <w:kern w:val="0"/>
        </w:rPr>
        <w:t xml:space="preserve"> publications per year from 2005 to 2009. A stratified random sample</w:t>
      </w:r>
      <w:r w:rsidR="00427468">
        <w:rPr>
          <w:kern w:val="0"/>
        </w:rPr>
        <w:t xml:space="preserve"> of </w:t>
      </w:r>
      <w:r>
        <w:rPr>
          <w:kern w:val="0"/>
        </w:rPr>
        <w:t>120 faculty members also was chosen,</w:t>
      </w:r>
      <w:r w:rsidR="005853A9">
        <w:rPr>
          <w:kern w:val="0"/>
        </w:rPr>
        <w:t xml:space="preserve"> and </w:t>
      </w:r>
      <w:r>
        <w:rPr>
          <w:kern w:val="0"/>
        </w:rPr>
        <w:t>cumulative publication counts were recorded</w:t>
      </w:r>
      <w:r w:rsidR="005853A9">
        <w:rPr>
          <w:kern w:val="0"/>
        </w:rPr>
        <w:t xml:space="preserve"> and </w:t>
      </w:r>
      <w:r>
        <w:rPr>
          <w:kern w:val="0"/>
        </w:rPr>
        <w:t>bibliometric indices calculated. Results</w:t>
      </w:r>
      <w:r w:rsidR="00A37C1D">
        <w:rPr>
          <w:kern w:val="0"/>
        </w:rPr>
        <w:t>. The</w:t>
      </w:r>
      <w:r>
        <w:rPr>
          <w:kern w:val="0"/>
        </w:rPr>
        <w:t xml:space="preserve"> median number</w:t>
      </w:r>
      <w:r w:rsidR="00427468">
        <w:rPr>
          <w:kern w:val="0"/>
        </w:rPr>
        <w:t xml:space="preserve"> of </w:t>
      </w:r>
      <w:r>
        <w:rPr>
          <w:kern w:val="0"/>
        </w:rPr>
        <w:t>publications per year was 2 (range, 0-34). Overall, 22%</w:t>
      </w:r>
      <w:r w:rsidR="00427468">
        <w:rPr>
          <w:kern w:val="0"/>
        </w:rPr>
        <w:t xml:space="preserve"> of </w:t>
      </w:r>
      <w:r>
        <w:rPr>
          <w:kern w:val="0"/>
        </w:rPr>
        <w:t>faculty members had no publications in any given year, but the number was highly variable depending on the faculty members</w:t>
      </w:r>
      <w:r w:rsidR="00700038">
        <w:rPr>
          <w:kern w:val="0"/>
        </w:rPr>
        <w:t>’</w:t>
      </w:r>
      <w:r>
        <w:rPr>
          <w:kern w:val="0"/>
        </w:rPr>
        <w:t xml:space="preserve"> colleges or schools</w:t>
      </w:r>
      <w:r w:rsidR="00427468">
        <w:rPr>
          <w:kern w:val="0"/>
        </w:rPr>
        <w:t xml:space="preserve"> of </w:t>
      </w:r>
      <w:r>
        <w:rPr>
          <w:kern w:val="0"/>
        </w:rPr>
        <w:t>pharmacy. Bibliometric indices were higher for medicinal chemistry</w:t>
      </w:r>
      <w:r w:rsidR="005853A9">
        <w:rPr>
          <w:kern w:val="0"/>
        </w:rPr>
        <w:t xml:space="preserve"> and </w:t>
      </w:r>
      <w:r>
        <w:rPr>
          <w:kern w:val="0"/>
        </w:rPr>
        <w:t>pharmaceutics, with pharmacology ranking third</w:t>
      </w:r>
      <w:r w:rsidR="005853A9">
        <w:rPr>
          <w:kern w:val="0"/>
        </w:rPr>
        <w:t xml:space="preserve"> and </w:t>
      </w:r>
      <w:r>
        <w:rPr>
          <w:kern w:val="0"/>
        </w:rPr>
        <w:t>social</w:t>
      </w:r>
      <w:r w:rsidR="005853A9">
        <w:rPr>
          <w:kern w:val="0"/>
        </w:rPr>
        <w:t xml:space="preserve"> and </w:t>
      </w:r>
      <w:r>
        <w:rPr>
          <w:kern w:val="0"/>
        </w:rPr>
        <w:t>administrative sciences fourth. Higher bibliometric indices were also observed for institution status (ie, public vs private)</w:t>
      </w:r>
      <w:r w:rsidR="005853A9">
        <w:rPr>
          <w:kern w:val="0"/>
        </w:rPr>
        <w:t xml:space="preserve"> and </w:t>
      </w:r>
      <w:r>
        <w:rPr>
          <w:kern w:val="0"/>
        </w:rPr>
        <w:t>academic rank (discipline chairperson vs non-chairperson</w:t>
      </w:r>
      <w:r w:rsidR="005853A9">
        <w:rPr>
          <w:kern w:val="0"/>
        </w:rPr>
        <w:t xml:space="preserve"> and </w:t>
      </w:r>
      <w:r>
        <w:rPr>
          <w:kern w:val="0"/>
        </w:rPr>
        <w:t>professor vs junior faculty member) (p&lt;0.01 for each)</w:t>
      </w:r>
      <w:r w:rsidR="00A37C1D">
        <w:rPr>
          <w:kern w:val="0"/>
        </w:rPr>
        <w:t>. The</w:t>
      </w:r>
      <w:r>
        <w:rPr>
          <w:kern w:val="0"/>
        </w:rPr>
        <w:t xml:space="preserve"> median number</w:t>
      </w:r>
      <w:r w:rsidR="00427468">
        <w:rPr>
          <w:kern w:val="0"/>
        </w:rPr>
        <w:t xml:space="preserve"> of </w:t>
      </w:r>
      <w:r>
        <w:rPr>
          <w:kern w:val="0"/>
        </w:rPr>
        <w:t>cumulative publications per faculty member was 34 (range, 0-370). Conclusion. Significant differences exist in yearly</w:t>
      </w:r>
      <w:r w:rsidR="005853A9">
        <w:rPr>
          <w:kern w:val="0"/>
        </w:rPr>
        <w:t xml:space="preserve"> and </w:t>
      </w:r>
      <w:r>
        <w:rPr>
          <w:kern w:val="0"/>
        </w:rPr>
        <w:t>cumulative publication rates for faculty members</w:t>
      </w:r>
      <w:r w:rsidR="005853A9">
        <w:rPr>
          <w:kern w:val="0"/>
        </w:rPr>
        <w:t xml:space="preserve"> and </w:t>
      </w:r>
      <w:r>
        <w:rPr>
          <w:kern w:val="0"/>
        </w:rPr>
        <w:t>bibliometric indices among pharmaceutical science disciplines</w:t>
      </w:r>
      <w:r w:rsidR="005853A9">
        <w:rPr>
          <w:kern w:val="0"/>
        </w:rPr>
        <w:t xml:space="preserve"> and </w:t>
      </w:r>
      <w:r>
        <w:rPr>
          <w:kern w:val="0"/>
        </w:rPr>
        <w:t>academic ranks within research-intensive colleges</w:t>
      </w:r>
      <w:r w:rsidR="005853A9">
        <w:rPr>
          <w:kern w:val="0"/>
        </w:rPr>
        <w:t xml:space="preserve"> and </w:t>
      </w:r>
      <w:r>
        <w:rPr>
          <w:kern w:val="0"/>
        </w:rPr>
        <w:t>schools</w:t>
      </w:r>
      <w:r w:rsidR="00427468">
        <w:rPr>
          <w:kern w:val="0"/>
        </w:rPr>
        <w:t xml:space="preserve"> of </w:t>
      </w:r>
      <w:r>
        <w:rPr>
          <w:kern w:val="0"/>
        </w:rPr>
        <w:t>pharmacy</w:t>
      </w:r>
      <w:r w:rsidR="00A37C1D">
        <w:rPr>
          <w:kern w:val="0"/>
        </w:rPr>
        <w:t>. The</w:t>
      </w:r>
      <w:r>
        <w:rPr>
          <w:kern w:val="0"/>
        </w:rPr>
        <w:t>se data may be important for benchmarking purposes.</w:t>
      </w:r>
    </w:p>
    <w:p w:rsidR="00B10B74" w:rsidRDefault="00B10B74" w:rsidP="00B10B74">
      <w:pPr>
        <w:pStyle w:val="a3"/>
        <w:rPr>
          <w:kern w:val="0"/>
        </w:rPr>
      </w:pPr>
      <w:r>
        <w:rPr>
          <w:kern w:val="0"/>
        </w:rPr>
        <w:t xml:space="preserve">Keywords: Articles, Authors, Benchmarking, Bibliometric, Bibliometric Indices, Chemistry, Cumulative, Data, Faculty, Faculty Member Productivity, Google Scholar, </w:t>
      </w:r>
      <w:r w:rsidR="00D5664A">
        <w:rPr>
          <w:kern w:val="0"/>
        </w:rPr>
        <w:t>H-Index</w:t>
      </w:r>
      <w:r>
        <w:rPr>
          <w:kern w:val="0"/>
        </w:rPr>
        <w:t xml:space="preserve">, Indices, Medical Journals, Name, Pharmaceutical, Pharmaceutical Sciences, Pharmacology, Pharmacy, Professor, Public, Publication, Publication Counts, Publications, Random Sample, Rank, Ranking, Rates, Records, Scholarship, Science, Sciences, Scopus, Social, Web, </w:t>
      </w:r>
      <w:r w:rsidR="00D5664A">
        <w:rPr>
          <w:kern w:val="0"/>
        </w:rPr>
        <w:t>Web</w:t>
      </w:r>
      <w:r w:rsidR="00427468">
        <w:rPr>
          <w:kern w:val="0"/>
        </w:rPr>
        <w:t xml:space="preserve"> of </w:t>
      </w:r>
      <w:r w:rsidR="00D5664A">
        <w:rPr>
          <w:kern w:val="0"/>
        </w:rPr>
        <w:t>Science</w:t>
      </w:r>
    </w:p>
    <w:p w:rsidR="00624A41" w:rsidRDefault="00624A41" w:rsidP="00624A41">
      <w:pPr>
        <w:pStyle w:val="a3"/>
        <w:rPr>
          <w:kern w:val="0"/>
        </w:rPr>
      </w:pPr>
      <w:r>
        <w:rPr>
          <w:rFonts w:hint="eastAsia"/>
          <w:kern w:val="0"/>
        </w:rPr>
        <w:t xml:space="preserve">? </w:t>
      </w:r>
      <w:r>
        <w:rPr>
          <w:kern w:val="0"/>
        </w:rPr>
        <w:t>Danielson, J.</w:t>
      </w:r>
      <w:r w:rsidR="005853A9">
        <w:rPr>
          <w:kern w:val="0"/>
        </w:rPr>
        <w:t xml:space="preserve"> and </w:t>
      </w:r>
      <w:r>
        <w:rPr>
          <w:kern w:val="0"/>
        </w:rPr>
        <w:t>McElroy, S. (2013), Quantifying published scholarly works</w:t>
      </w:r>
      <w:r w:rsidR="00427468">
        <w:rPr>
          <w:kern w:val="0"/>
        </w:rPr>
        <w:t xml:space="preserve"> of </w:t>
      </w:r>
      <w:r>
        <w:rPr>
          <w:kern w:val="0"/>
        </w:rPr>
        <w:t xml:space="preserve">experiential education directors. </w:t>
      </w:r>
      <w:r>
        <w:rPr>
          <w:i/>
          <w:iCs/>
          <w:kern w:val="0"/>
        </w:rPr>
        <w:t>American Journal</w:t>
      </w:r>
      <w:r w:rsidR="00427468">
        <w:rPr>
          <w:i/>
          <w:iCs/>
          <w:kern w:val="0"/>
        </w:rPr>
        <w:t xml:space="preserve"> of </w:t>
      </w:r>
      <w:r>
        <w:rPr>
          <w:i/>
          <w:iCs/>
          <w:kern w:val="0"/>
        </w:rPr>
        <w:t>Pharmaceutical Education</w:t>
      </w:r>
      <w:r>
        <w:rPr>
          <w:kern w:val="0"/>
        </w:rPr>
        <w:t xml:space="preserve">, </w:t>
      </w:r>
      <w:r>
        <w:rPr>
          <w:b/>
          <w:bCs/>
          <w:kern w:val="0"/>
        </w:rPr>
        <w:t>77</w:t>
      </w:r>
      <w:r>
        <w:rPr>
          <w:kern w:val="0"/>
        </w:rPr>
        <w:t xml:space="preserve"> (8</w:t>
      </w:r>
      <w:r>
        <w:rPr>
          <w:rFonts w:hint="eastAsia"/>
          <w:kern w:val="0"/>
        </w:rPr>
        <w:t xml:space="preserve">), </w:t>
      </w:r>
      <w:r w:rsidRPr="00600BDE">
        <w:rPr>
          <w:kern w:val="0"/>
        </w:rPr>
        <w:t xml:space="preserve">Article Number: </w:t>
      </w:r>
      <w:r>
        <w:rPr>
          <w:rFonts w:hint="eastAsia"/>
          <w:kern w:val="0"/>
        </w:rPr>
        <w:t>167</w:t>
      </w:r>
      <w:r>
        <w:rPr>
          <w:kern w:val="0"/>
        </w:rPr>
        <w:t>.</w:t>
      </w:r>
    </w:p>
    <w:p w:rsidR="00624A41" w:rsidRDefault="00624A41" w:rsidP="00624A41">
      <w:pPr>
        <w:pStyle w:val="a3"/>
        <w:rPr>
          <w:kern w:val="0"/>
        </w:rPr>
      </w:pPr>
      <w:r>
        <w:rPr>
          <w:rFonts w:hint="eastAsia"/>
          <w:kern w:val="0"/>
        </w:rPr>
        <w:t xml:space="preserve">Full Text: </w:t>
      </w:r>
      <w:hyperlink r:id="rId582" w:history="1">
        <w:r w:rsidRPr="00624A41">
          <w:rPr>
            <w:rStyle w:val="a5"/>
            <w:kern w:val="0"/>
          </w:rPr>
          <w:t>2013\Ame J Pha Edu77, 167.pdf</w:t>
        </w:r>
      </w:hyperlink>
    </w:p>
    <w:p w:rsidR="00624A41" w:rsidRDefault="00624A41" w:rsidP="00624A41">
      <w:pPr>
        <w:pStyle w:val="a3"/>
        <w:rPr>
          <w:kern w:val="0"/>
        </w:rPr>
      </w:pPr>
      <w:r>
        <w:rPr>
          <w:kern w:val="0"/>
        </w:rPr>
        <w:t>Abstract: Objective. To determine the amount</w:t>
      </w:r>
      <w:r w:rsidR="005853A9">
        <w:rPr>
          <w:kern w:val="0"/>
        </w:rPr>
        <w:t xml:space="preserve"> and </w:t>
      </w:r>
      <w:r>
        <w:rPr>
          <w:kern w:val="0"/>
        </w:rPr>
        <w:t>potential impact</w:t>
      </w:r>
      <w:r w:rsidR="00427468">
        <w:rPr>
          <w:kern w:val="0"/>
        </w:rPr>
        <w:t xml:space="preserve"> of </w:t>
      </w:r>
      <w:r>
        <w:rPr>
          <w:kern w:val="0"/>
        </w:rPr>
        <w:t>scholarly works that directors</w:t>
      </w:r>
      <w:r w:rsidR="00427468">
        <w:rPr>
          <w:kern w:val="0"/>
        </w:rPr>
        <w:t xml:space="preserve"> of </w:t>
      </w:r>
      <w:r>
        <w:rPr>
          <w:kern w:val="0"/>
        </w:rPr>
        <w:t>experiential education in US colleges</w:t>
      </w:r>
      <w:r w:rsidR="005853A9">
        <w:rPr>
          <w:kern w:val="0"/>
        </w:rPr>
        <w:t xml:space="preserve"> and </w:t>
      </w:r>
      <w:r>
        <w:rPr>
          <w:kern w:val="0"/>
        </w:rPr>
        <w:t>schools</w:t>
      </w:r>
      <w:r w:rsidR="00427468">
        <w:rPr>
          <w:kern w:val="0"/>
        </w:rPr>
        <w:t xml:space="preserve"> of </w:t>
      </w:r>
      <w:r>
        <w:rPr>
          <w:kern w:val="0"/>
        </w:rPr>
        <w:t xml:space="preserve">pharmacy have published since 2001. Methods. A search in </w:t>
      </w:r>
      <w:r w:rsidR="00D5664A">
        <w:rPr>
          <w:kern w:val="0"/>
        </w:rPr>
        <w:t>Web</w:t>
      </w:r>
      <w:r w:rsidR="00427468">
        <w:rPr>
          <w:kern w:val="0"/>
        </w:rPr>
        <w:t xml:space="preserve"> of </w:t>
      </w:r>
      <w:r w:rsidR="00D5664A">
        <w:rPr>
          <w:kern w:val="0"/>
        </w:rPr>
        <w:t>Science</w:t>
      </w:r>
      <w:r>
        <w:rPr>
          <w:kern w:val="0"/>
        </w:rPr>
        <w:t xml:space="preserve"> was used to identify publications</w:t>
      </w:r>
      <w:r w:rsidR="005853A9">
        <w:rPr>
          <w:kern w:val="0"/>
        </w:rPr>
        <w:t xml:space="preserve"> and </w:t>
      </w:r>
      <w:r>
        <w:rPr>
          <w:kern w:val="0"/>
        </w:rPr>
        <w:t>citations for the years 2001-2011 by experiential education directors as identified by the American Association</w:t>
      </w:r>
      <w:r w:rsidR="00427468">
        <w:rPr>
          <w:kern w:val="0"/>
        </w:rPr>
        <w:t xml:space="preserve"> of </w:t>
      </w:r>
      <w:r>
        <w:rPr>
          <w:kern w:val="0"/>
        </w:rPr>
        <w:t>Colleges</w:t>
      </w:r>
      <w:r w:rsidR="00427468">
        <w:rPr>
          <w:kern w:val="0"/>
        </w:rPr>
        <w:t xml:space="preserve"> of </w:t>
      </w:r>
      <w:r>
        <w:rPr>
          <w:kern w:val="0"/>
        </w:rPr>
        <w:t>Pharmacy (AACP) Roster</w:t>
      </w:r>
      <w:r w:rsidR="00427468">
        <w:rPr>
          <w:kern w:val="0"/>
        </w:rPr>
        <w:t xml:space="preserve"> </w:t>
      </w:r>
      <w:r w:rsidR="00427468">
        <w:rPr>
          <w:kern w:val="0"/>
        </w:rPr>
        <w:lastRenderedPageBreak/>
        <w:t xml:space="preserve">of </w:t>
      </w:r>
      <w:r>
        <w:rPr>
          <w:kern w:val="0"/>
        </w:rPr>
        <w:t>Faculty</w:t>
      </w:r>
      <w:r w:rsidR="005853A9">
        <w:rPr>
          <w:kern w:val="0"/>
        </w:rPr>
        <w:t xml:space="preserve"> and </w:t>
      </w:r>
      <w:r>
        <w:rPr>
          <w:kern w:val="0"/>
        </w:rPr>
        <w:t>Professional Staff in 2011. Publication productivity was analyzed by position title, faculty rank,</w:t>
      </w:r>
      <w:r w:rsidR="005853A9">
        <w:rPr>
          <w:kern w:val="0"/>
        </w:rPr>
        <w:t xml:space="preserve"> and </w:t>
      </w:r>
      <w:r>
        <w:rPr>
          <w:kern w:val="0"/>
        </w:rPr>
        <w:t>type</w:t>
      </w:r>
      <w:r w:rsidR="00427468">
        <w:rPr>
          <w:kern w:val="0"/>
        </w:rPr>
        <w:t xml:space="preserve"> of </w:t>
      </w:r>
      <w:r>
        <w:rPr>
          <w:kern w:val="0"/>
        </w:rPr>
        <w:t>institution (public vs private, research vs nonresearch-intensive). Types</w:t>
      </w:r>
      <w:r w:rsidR="00427468">
        <w:rPr>
          <w:kern w:val="0"/>
        </w:rPr>
        <w:t xml:space="preserve"> of </w:t>
      </w:r>
      <w:r>
        <w:rPr>
          <w:kern w:val="0"/>
        </w:rPr>
        <w:t>published works were characterized, related citations were identified,</w:t>
      </w:r>
      <w:r w:rsidR="005853A9">
        <w:rPr>
          <w:kern w:val="0"/>
        </w:rPr>
        <w:t xml:space="preserve"> and </w:t>
      </w:r>
      <w:r>
        <w:rPr>
          <w:kern w:val="0"/>
        </w:rPr>
        <w:t xml:space="preserve">a reported </w:t>
      </w:r>
      <w:r w:rsidR="00D5664A">
        <w:rPr>
          <w:kern w:val="0"/>
        </w:rPr>
        <w:t>h-Index</w:t>
      </w:r>
      <w:r>
        <w:rPr>
          <w:kern w:val="0"/>
        </w:rPr>
        <w:t xml:space="preserve"> was collected for each person who published during this period. Results. Ninety-seven</w:t>
      </w:r>
      <w:r w:rsidR="00427468">
        <w:rPr>
          <w:kern w:val="0"/>
        </w:rPr>
        <w:t xml:space="preserve"> of </w:t>
      </w:r>
      <w:r>
        <w:rPr>
          <w:kern w:val="0"/>
        </w:rPr>
        <w:t>226 (43%) experiential education directors published 344 scholarly works which had received 1841 citations, for an average</w:t>
      </w:r>
      <w:r w:rsidR="00427468">
        <w:rPr>
          <w:kern w:val="0"/>
        </w:rPr>
        <w:t xml:space="preserve"> of </w:t>
      </w:r>
      <w:r>
        <w:rPr>
          <w:kern w:val="0"/>
        </w:rPr>
        <w:t>1 publication every 3 years</w:t>
      </w:r>
      <w:r w:rsidR="005853A9">
        <w:rPr>
          <w:kern w:val="0"/>
        </w:rPr>
        <w:t xml:space="preserve"> and </w:t>
      </w:r>
      <w:r>
        <w:rPr>
          <w:kern w:val="0"/>
        </w:rPr>
        <w:t>an average citation rate</w:t>
      </w:r>
      <w:r w:rsidR="00427468">
        <w:rPr>
          <w:kern w:val="0"/>
        </w:rPr>
        <w:t xml:space="preserve"> of </w:t>
      </w:r>
      <w:r>
        <w:rPr>
          <w:kern w:val="0"/>
        </w:rPr>
        <w:t>5.3 per publication. Directors at publicly funded</w:t>
      </w:r>
      <w:r w:rsidR="005853A9">
        <w:rPr>
          <w:kern w:val="0"/>
        </w:rPr>
        <w:t xml:space="preserve"> and </w:t>
      </w:r>
      <w:r>
        <w:rPr>
          <w:kern w:val="0"/>
        </w:rPr>
        <w:t>research-intensive institutions published slightly more than did their counterparts at private</w:t>
      </w:r>
      <w:r w:rsidR="005853A9">
        <w:rPr>
          <w:kern w:val="0"/>
        </w:rPr>
        <w:t xml:space="preserve"> and </w:t>
      </w:r>
      <w:r>
        <w:rPr>
          <w:kern w:val="0"/>
        </w:rPr>
        <w:t>nonresearch-intensive schools. Publications were concentrated in 6 journals with a weighted mean publication impact factor</w:t>
      </w:r>
      <w:r w:rsidR="00427468">
        <w:rPr>
          <w:kern w:val="0"/>
        </w:rPr>
        <w:t xml:space="preserve"> of </w:t>
      </w:r>
      <w:r>
        <w:rPr>
          <w:kern w:val="0"/>
        </w:rPr>
        <w:t>1.5. Conclusion. Many experiential education directors have published scholarly works even though their titles</w:t>
      </w:r>
      <w:r w:rsidR="005853A9">
        <w:rPr>
          <w:kern w:val="0"/>
        </w:rPr>
        <w:t xml:space="preserve"> and </w:t>
      </w:r>
      <w:r>
        <w:rPr>
          <w:kern w:val="0"/>
        </w:rPr>
        <w:t>ranks vary widely. While the quantity</w:t>
      </w:r>
      <w:r w:rsidR="00427468">
        <w:rPr>
          <w:kern w:val="0"/>
        </w:rPr>
        <w:t xml:space="preserve"> of </w:t>
      </w:r>
      <w:r>
        <w:rPr>
          <w:kern w:val="0"/>
        </w:rPr>
        <w:t>such works may not be large, the impact is similar to that</w:t>
      </w:r>
      <w:r w:rsidR="00427468">
        <w:rPr>
          <w:kern w:val="0"/>
        </w:rPr>
        <w:t xml:space="preserve"> of </w:t>
      </w:r>
      <w:r>
        <w:rPr>
          <w:kern w:val="0"/>
        </w:rPr>
        <w:t>other pharmacy practice faculty members</w:t>
      </w:r>
      <w:r w:rsidR="00A37C1D">
        <w:rPr>
          <w:kern w:val="0"/>
        </w:rPr>
        <w:t>. The</w:t>
      </w:r>
      <w:r>
        <w:rPr>
          <w:kern w:val="0"/>
        </w:rPr>
        <w:t>se results could be used to characterize the scholarly performance</w:t>
      </w:r>
      <w:r w:rsidR="00427468">
        <w:rPr>
          <w:kern w:val="0"/>
        </w:rPr>
        <w:t xml:space="preserve"> of </w:t>
      </w:r>
      <w:r>
        <w:rPr>
          <w:kern w:val="0"/>
        </w:rPr>
        <w:t>experiential education directors in recent years as well as to establish a culture</w:t>
      </w:r>
      <w:r w:rsidR="00427468">
        <w:rPr>
          <w:kern w:val="0"/>
        </w:rPr>
        <w:t xml:space="preserve"> of </w:t>
      </w:r>
      <w:r>
        <w:rPr>
          <w:kern w:val="0"/>
        </w:rPr>
        <w:t>scholarship in this emerging career track within pharmacy education.</w:t>
      </w:r>
    </w:p>
    <w:p w:rsidR="00624A41" w:rsidRDefault="00624A41" w:rsidP="00624A41">
      <w:pPr>
        <w:pStyle w:val="a3"/>
        <w:rPr>
          <w:kern w:val="0"/>
        </w:rPr>
      </w:pPr>
      <w:r>
        <w:rPr>
          <w:kern w:val="0"/>
        </w:rPr>
        <w:t xml:space="preserve">Keywords: Citation, Citations, Culture, Education, Faculty, </w:t>
      </w:r>
      <w:r w:rsidR="00D5664A">
        <w:rPr>
          <w:rFonts w:hint="eastAsia"/>
          <w:kern w:val="0"/>
        </w:rPr>
        <w:t>h Index</w:t>
      </w:r>
      <w:r>
        <w:rPr>
          <w:kern w:val="0"/>
        </w:rPr>
        <w:t xml:space="preserve">, </w:t>
      </w:r>
      <w:r w:rsidR="00D5664A">
        <w:rPr>
          <w:rFonts w:hint="eastAsia"/>
          <w:kern w:val="0"/>
        </w:rPr>
        <w:t>h-Index</w:t>
      </w:r>
      <w:r>
        <w:rPr>
          <w:kern w:val="0"/>
        </w:rPr>
        <w:t xml:space="preserve">, Impact, Impact Factor, Institutions, Journals, Methods, Performance, Person, Pharmacy, Pharmacy Practice, Potential, Practice, Productivity, Public, Publication, Publication Productivity, Publications, Published Works, Rank, Recent, Research, Results, Scholarship, Science, US, </w:t>
      </w:r>
      <w:r w:rsidR="00D5664A">
        <w:rPr>
          <w:kern w:val="0"/>
        </w:rPr>
        <w:t>Web</w:t>
      </w:r>
      <w:r w:rsidR="00427468">
        <w:rPr>
          <w:kern w:val="0"/>
        </w:rPr>
        <w:t xml:space="preserve"> of </w:t>
      </w:r>
      <w:r w:rsidR="00D5664A">
        <w:rPr>
          <w:kern w:val="0"/>
        </w:rPr>
        <w:t>Science</w:t>
      </w:r>
    </w:p>
    <w:p w:rsidR="004A5CBB" w:rsidRPr="001A3D2B" w:rsidRDefault="004A5CBB" w:rsidP="004A5CBB">
      <w:pPr>
        <w:pStyle w:val="1"/>
      </w:pPr>
      <w:r w:rsidRPr="001A3D2B">
        <w:br w:type="page"/>
      </w:r>
      <w:bookmarkStart w:id="314" w:name="_Toc420814420"/>
      <w:r w:rsidRPr="001A3D2B">
        <w:lastRenderedPageBreak/>
        <w:t xml:space="preserve">Title: </w:t>
      </w:r>
      <w:r w:rsidRPr="004A5CBB">
        <w:t>American Journal of Physical Medicine &amp; Rehabilitation</w:t>
      </w:r>
      <w:bookmarkEnd w:id="314"/>
    </w:p>
    <w:p w:rsidR="004A5CBB" w:rsidRPr="001A3D2B" w:rsidRDefault="004A5CBB" w:rsidP="004A5CBB">
      <w:pPr>
        <w:pStyle w:val="12"/>
      </w:pPr>
      <w:r w:rsidRPr="001A3D2B">
        <w:t xml:space="preserve">Full Journal Title: </w:t>
      </w:r>
      <w:r w:rsidRPr="004A5CBB">
        <w:rPr>
          <w:iCs/>
          <w:kern w:val="0"/>
        </w:rPr>
        <w:t>American Journal of Physical Medicine &amp; Rehabilitation</w:t>
      </w:r>
    </w:p>
    <w:p w:rsidR="004A5CBB" w:rsidRPr="001A3D2B" w:rsidRDefault="004A5CBB" w:rsidP="004A5CBB">
      <w:pPr>
        <w:pStyle w:val="12"/>
      </w:pPr>
      <w:r w:rsidRPr="001A3D2B">
        <w:t xml:space="preserve">ISO Abbreviated Title: </w:t>
      </w:r>
    </w:p>
    <w:p w:rsidR="004A5CBB" w:rsidRPr="001A3D2B" w:rsidRDefault="004A5CBB" w:rsidP="004A5CBB">
      <w:pPr>
        <w:pStyle w:val="12"/>
      </w:pPr>
      <w:r w:rsidRPr="001A3D2B">
        <w:t xml:space="preserve">JCR Abbreviated Title: </w:t>
      </w:r>
    </w:p>
    <w:p w:rsidR="004A5CBB" w:rsidRPr="001A3D2B" w:rsidRDefault="004A5CBB" w:rsidP="004A5CBB">
      <w:pPr>
        <w:pStyle w:val="12"/>
      </w:pPr>
      <w:r>
        <w:t xml:space="preserve">ISSN: </w:t>
      </w:r>
    </w:p>
    <w:p w:rsidR="004A5CBB" w:rsidRPr="001A3D2B" w:rsidRDefault="004A5CBB" w:rsidP="004A5CBB">
      <w:pPr>
        <w:pStyle w:val="12"/>
      </w:pPr>
      <w:r w:rsidRPr="001A3D2B">
        <w:t xml:space="preserve">Issues/Year: </w:t>
      </w:r>
    </w:p>
    <w:p w:rsidR="004A5CBB" w:rsidRPr="001A3D2B" w:rsidRDefault="004A5CBB" w:rsidP="004A5CBB">
      <w:pPr>
        <w:pStyle w:val="12"/>
      </w:pPr>
      <w:r w:rsidRPr="001A3D2B">
        <w:t xml:space="preserve">Journal Country/Territory: </w:t>
      </w:r>
    </w:p>
    <w:p w:rsidR="004A5CBB" w:rsidRPr="001A3D2B" w:rsidRDefault="004A5CBB" w:rsidP="004A5CBB">
      <w:pPr>
        <w:pStyle w:val="12"/>
      </w:pPr>
      <w:r w:rsidRPr="001A3D2B">
        <w:t xml:space="preserve">Language: </w:t>
      </w:r>
    </w:p>
    <w:p w:rsidR="004A5CBB" w:rsidRPr="001A3D2B" w:rsidRDefault="004A5CBB" w:rsidP="004A5CBB">
      <w:pPr>
        <w:pStyle w:val="12"/>
      </w:pPr>
      <w:r w:rsidRPr="001A3D2B">
        <w:t xml:space="preserve">Publisher: </w:t>
      </w:r>
    </w:p>
    <w:p w:rsidR="004A5CBB" w:rsidRPr="001A3D2B" w:rsidRDefault="004A5CBB" w:rsidP="004A5CBB">
      <w:pPr>
        <w:pStyle w:val="12"/>
      </w:pPr>
      <w:r w:rsidRPr="001A3D2B">
        <w:t xml:space="preserve">Publisher Address: </w:t>
      </w:r>
    </w:p>
    <w:p w:rsidR="004A5CBB" w:rsidRPr="001A3D2B" w:rsidRDefault="004A5CBB" w:rsidP="004A5CBB">
      <w:pPr>
        <w:pStyle w:val="12"/>
      </w:pPr>
      <w:r w:rsidRPr="001A3D2B">
        <w:t>Subject Categories:</w:t>
      </w:r>
    </w:p>
    <w:p w:rsidR="004A5CBB" w:rsidRPr="001A3D2B" w:rsidRDefault="004A5CBB" w:rsidP="004A5CBB">
      <w:pPr>
        <w:pStyle w:val="12"/>
      </w:pPr>
      <w:r w:rsidRPr="001A3D2B">
        <w:t>: Impact Factor</w:t>
      </w:r>
    </w:p>
    <w:p w:rsidR="004A5CBB" w:rsidRDefault="004A5CBB" w:rsidP="004A5CBB">
      <w:pPr>
        <w:pStyle w:val="a3"/>
        <w:rPr>
          <w:kern w:val="0"/>
        </w:rPr>
      </w:pPr>
      <w:r>
        <w:rPr>
          <w:rFonts w:hint="eastAsia"/>
          <w:kern w:val="0"/>
        </w:rPr>
        <w:t xml:space="preserve">? </w:t>
      </w:r>
      <w:r>
        <w:rPr>
          <w:kern w:val="0"/>
        </w:rPr>
        <w:t>Gholizadeh, H., Abu Osman, N.A., Eshraghi, A. and Ali, S. (2014), Transfemoral prosthesis suspension systems</w:t>
      </w:r>
      <w:r>
        <w:rPr>
          <w:rFonts w:hint="eastAsia"/>
          <w:kern w:val="0"/>
        </w:rPr>
        <w:t>:</w:t>
      </w:r>
      <w:r>
        <w:rPr>
          <w:kern w:val="0"/>
        </w:rPr>
        <w:t xml:space="preserve"> A systematic review of the literature. </w:t>
      </w:r>
      <w:r w:rsidRPr="004A5CBB">
        <w:rPr>
          <w:i/>
          <w:iCs/>
          <w:kern w:val="0"/>
        </w:rPr>
        <w:t>American Journal of Physical Medicine &amp; Rehabilitation</w:t>
      </w:r>
      <w:r>
        <w:rPr>
          <w:kern w:val="0"/>
        </w:rPr>
        <w:t xml:space="preserve">, </w:t>
      </w:r>
      <w:r>
        <w:rPr>
          <w:b/>
          <w:bCs/>
          <w:kern w:val="0"/>
        </w:rPr>
        <w:t>93</w:t>
      </w:r>
      <w:r>
        <w:rPr>
          <w:kern w:val="0"/>
        </w:rPr>
        <w:t xml:space="preserve"> (9), 809-823.</w:t>
      </w:r>
    </w:p>
    <w:p w:rsidR="00E933C8" w:rsidRDefault="00E933C8" w:rsidP="00E933C8">
      <w:pPr>
        <w:pStyle w:val="a3"/>
        <w:rPr>
          <w:kern w:val="0"/>
        </w:rPr>
      </w:pPr>
      <w:r>
        <w:rPr>
          <w:rFonts w:hint="eastAsia"/>
          <w:kern w:val="0"/>
        </w:rPr>
        <w:t xml:space="preserve">Full Text: </w:t>
      </w:r>
      <w:hyperlink r:id="rId583" w:history="1">
        <w:r w:rsidRPr="008F5B02">
          <w:rPr>
            <w:rStyle w:val="a5"/>
            <w:kern w:val="0"/>
          </w:rPr>
          <w:t>2014\Ame J Phy Med Reh93, 809.pdf</w:t>
        </w:r>
      </w:hyperlink>
    </w:p>
    <w:p w:rsidR="004A5CBB" w:rsidRDefault="004A5CBB" w:rsidP="004A5CBB">
      <w:pPr>
        <w:pStyle w:val="a3"/>
        <w:rPr>
          <w:kern w:val="0"/>
        </w:rPr>
      </w:pPr>
      <w:r>
        <w:rPr>
          <w:kern w:val="0"/>
        </w:rPr>
        <w:t>Abstract: The purpose of this study was to find the scientific evidence pertaining to various transfemoral suspension systems to provide selection criteria for clinicians. To this end, databases of PubMed, Web of Science, and ScienceDirect were explored. The following key words, as well as their combinations and synonyms, were used for the search: transfemoral prosthesis, prosthetic suspension, lower limb prosthesis, above-knee prosthesis, prosthetic liner, transfemoral, and prosthetic socket. The study design, research instrument, sampling method, outcome measures, and protocols of articles were reviewed. On the basis of the selection criteria, 16 articles (11 prospective studies and 5 surveys) were reviewed. The main causes of reluctance to prosthesis, aside from energy expenditure, were socket-related problems such as discomfort, perspiration, and skin problems. Osseointegration was a suspension option, yet it is rarely applied because of several drawbacks, such as extended rehabilitation process, risk for fracture, and infection along with excessive cost. In conclusion, no clinical evidence was found as a "standard" system of suspension and socket design for all transfemoral amputees. However, among various suspension systems for transfemoral amputees, the soft insert or double socket was favored by most users in terms of function and comfort.</w:t>
      </w:r>
    </w:p>
    <w:p w:rsidR="004A5CBB" w:rsidRDefault="004A5CBB" w:rsidP="004A5CBB">
      <w:pPr>
        <w:pStyle w:val="a3"/>
        <w:rPr>
          <w:kern w:val="0"/>
        </w:rPr>
      </w:pPr>
      <w:r>
        <w:rPr>
          <w:kern w:val="0"/>
        </w:rPr>
        <w:t xml:space="preserve">Keywords: Above-Knee Prosthesis, Amputation Stumps, Articles, Clinical, Cost, Criteria, Databases, Design, Energy, Energy Expenditure, Evidence, Fracture, Function, Gel Liner, Infection, Instrument, Limb Prosthesis, Literature, Lower-Limb </w:t>
      </w:r>
      <w:r>
        <w:rPr>
          <w:kern w:val="0"/>
        </w:rPr>
        <w:lastRenderedPageBreak/>
        <w:t>Amputees, Measures, Outcome, Outcome Measures, Perceived Problems, Prospective, Prospective Studies, Protocols, Pubmed, Purpose, Quadrilateral Socket, Rehabilitation, Rehabilitation, Research, Review, Risk, Sampling, Satisfaction, Science, Scientific Evidence, Selection, Selection Criteria, Skin, Skin Problems, Study Design, Suction, Surveys, Suspension, Systematic Review, Systems, Trans-Femoral Amputation, Walking, Web Of Science</w:t>
      </w:r>
    </w:p>
    <w:p w:rsidR="00E933C8" w:rsidRPr="00185FC5" w:rsidRDefault="00E933C8" w:rsidP="00E933C8">
      <w:pPr>
        <w:pStyle w:val="a3"/>
      </w:pPr>
      <w:r>
        <w:rPr>
          <w:rFonts w:hint="eastAsia"/>
        </w:rPr>
        <w:t xml:space="preserve">? </w:t>
      </w:r>
      <w:r w:rsidRPr="00185FC5">
        <w:t>Meng, X.G. and Yue, S.W. (2015), Efficacy of aerobic exercise for treatment of chronic low back pain</w:t>
      </w:r>
      <w:r>
        <w:rPr>
          <w:rFonts w:hint="eastAsia"/>
        </w:rPr>
        <w:t>:</w:t>
      </w:r>
      <w:r w:rsidRPr="00185FC5">
        <w:t xml:space="preserve"> A meta-analysis. </w:t>
      </w:r>
      <w:r w:rsidRPr="00185FC5">
        <w:rPr>
          <w:i/>
          <w:iCs/>
        </w:rPr>
        <w:t>American Journal of Physical Medicine &amp; Rehabilitation</w:t>
      </w:r>
      <w:r w:rsidRPr="00185FC5">
        <w:t xml:space="preserve">, </w:t>
      </w:r>
      <w:r w:rsidRPr="00185FC5">
        <w:rPr>
          <w:b/>
          <w:bCs/>
        </w:rPr>
        <w:t>94</w:t>
      </w:r>
      <w:r w:rsidRPr="00185FC5">
        <w:t xml:space="preserve"> (5), 358-365.</w:t>
      </w:r>
    </w:p>
    <w:p w:rsidR="00E933C8" w:rsidRDefault="00E933C8" w:rsidP="00E933C8">
      <w:pPr>
        <w:pStyle w:val="a3"/>
        <w:rPr>
          <w:kern w:val="0"/>
        </w:rPr>
      </w:pPr>
      <w:r>
        <w:rPr>
          <w:rFonts w:hint="eastAsia"/>
          <w:kern w:val="0"/>
        </w:rPr>
        <w:t xml:space="preserve">Full Text: </w:t>
      </w:r>
      <w:hyperlink r:id="rId584" w:history="1">
        <w:r w:rsidRPr="008F5B02">
          <w:rPr>
            <w:rStyle w:val="a5"/>
            <w:kern w:val="0"/>
          </w:rPr>
          <w:t>2015\Ame J Phy Med Reh94, 358.pdf</w:t>
        </w:r>
      </w:hyperlink>
    </w:p>
    <w:p w:rsidR="00E933C8" w:rsidRPr="00185FC5" w:rsidRDefault="00E933C8" w:rsidP="00E933C8">
      <w:pPr>
        <w:pStyle w:val="a3"/>
      </w:pPr>
      <w:r w:rsidRPr="00185FC5">
        <w:t>Abstract: Objective: A meta-analysis of relevant cohort studies was performed to investigate the efficacy of aerobic exercise for the treatment of patients with chronic low back pain (CLBP). Method: A range of electronic databases were searched: MEDLINE (1966-2013), the Cochrane Library Database (issue 12, 2013), EMBASE (1980-2013), CINAHL (1982-2013), Web of Science (1945 similar to 2013), and the Chinese Biomedical Database (1982-2013), without language restrictions. The Roland-Morris Disability Questionnaire, the Oswestry Disability Questionnaire, the McGill Pain Questionnaire, visual analog scale, and heart rate, sit-and-reach test, and maximum oxygen consumption were used to evaluate the efficacy of aerobic exercise. Meta-analysis was performed with the use of the STATA statistical software. The standardized mean difference (SMD) with its corresponding 95% confidence interval (CI) was calculated. Eight clinical cohort studies with a total of 310 CLBP patients were included in the meta-analysis. Results: The results of this meta-analysis indicated that CLBP patients exhibited positive decreases in scores on the Roland-Morris Disability Questionnaire (SMD, 0.44; 95% CI, 0.20-0.68; P &lt; 0.001), Oswestry Disability Questionnaire (SMD, 1.03; 95% CI, 0.67-1.39; P &lt; 0.001), Hospital Anxiety and Depression Scale (SMD, 1.35; 95% CI, 0.34-2.37; P = 0.009), and McGill Pain Questionnaire (SMD, 0.32; 95% CI, 0.07-0.56; P = 0.011) after aerobic exercise. It was also observed that aerobic exercise could markedly reduce the visual analog scale score for pain of CLBP patients (SMD, 0.75; 95% CI, 0.48-1.02; P &lt; 0.001). Nevertheless, this study</w:t>
      </w:r>
      <w:r>
        <w:t>’</w:t>
      </w:r>
      <w:r w:rsidRPr="00185FC5">
        <w:t>s findings showed that aerobic exercise had no effects on heart rate, sit-and-reach test, and maximum oxygen consumption of CLBP patients (all P &gt; 0.05). Conclusion: The current meta-analysis provides reliable evidence that aerobic exercise could effectively diminish pain intensity and improve the physical and psychologic functioning of CLBP patients. Thus, aerobic exercise may be a good choice in the treatment for CLBP.</w:t>
      </w:r>
    </w:p>
    <w:p w:rsidR="00E933C8" w:rsidRPr="00185FC5" w:rsidRDefault="00E933C8" w:rsidP="00E933C8">
      <w:pPr>
        <w:pStyle w:val="a3"/>
      </w:pPr>
      <w:r w:rsidRPr="00185FC5">
        <w:t>Keywords: Aerobic Exercise</w:t>
      </w:r>
      <w:r>
        <w:t xml:space="preserve">, </w:t>
      </w:r>
      <w:r w:rsidRPr="00185FC5">
        <w:t>Back Pain</w:t>
      </w:r>
      <w:r>
        <w:t xml:space="preserve">, </w:t>
      </w:r>
      <w:r w:rsidRPr="00185FC5">
        <w:t>Chinese</w:t>
      </w:r>
      <w:r>
        <w:t xml:space="preserve">, </w:t>
      </w:r>
      <w:r w:rsidRPr="00185FC5">
        <w:t>Choice</w:t>
      </w:r>
      <w:r>
        <w:t xml:space="preserve">, </w:t>
      </w:r>
      <w:r w:rsidRPr="00185FC5">
        <w:t>Chronic</w:t>
      </w:r>
      <w:r>
        <w:t xml:space="preserve">, </w:t>
      </w:r>
      <w:r w:rsidRPr="00185FC5">
        <w:t>Chronic Low Back Pain</w:t>
      </w:r>
      <w:r>
        <w:t xml:space="preserve">, </w:t>
      </w:r>
      <w:r w:rsidRPr="00185FC5">
        <w:t>Clinical</w:t>
      </w:r>
      <w:r>
        <w:t xml:space="preserve">, </w:t>
      </w:r>
      <w:r w:rsidRPr="00185FC5">
        <w:t>Cohort</w:t>
      </w:r>
      <w:r>
        <w:t xml:space="preserve">, </w:t>
      </w:r>
      <w:r w:rsidRPr="00185FC5">
        <w:t>Confidence</w:t>
      </w:r>
      <w:r>
        <w:t xml:space="preserve">, </w:t>
      </w:r>
      <w:r w:rsidRPr="00185FC5">
        <w:t>Consumption</w:t>
      </w:r>
      <w:r>
        <w:t xml:space="preserve">, </w:t>
      </w:r>
      <w:r w:rsidRPr="00185FC5">
        <w:t>Controlled-Trial</w:t>
      </w:r>
      <w:r>
        <w:t xml:space="preserve">, </w:t>
      </w:r>
      <w:r w:rsidRPr="00185FC5">
        <w:t>Databases</w:t>
      </w:r>
      <w:r>
        <w:t xml:space="preserve">, </w:t>
      </w:r>
      <w:r w:rsidRPr="00185FC5">
        <w:t>Effects</w:t>
      </w:r>
      <w:r>
        <w:t xml:space="preserve">, </w:t>
      </w:r>
      <w:r w:rsidRPr="00185FC5">
        <w:t>Efficacy</w:t>
      </w:r>
      <w:r>
        <w:t xml:space="preserve">, </w:t>
      </w:r>
      <w:r w:rsidRPr="00185FC5">
        <w:t>Evidence</w:t>
      </w:r>
      <w:r>
        <w:t xml:space="preserve">, </w:t>
      </w:r>
      <w:r w:rsidRPr="00185FC5">
        <w:t>Exercise</w:t>
      </w:r>
      <w:r>
        <w:t xml:space="preserve">, </w:t>
      </w:r>
      <w:r w:rsidRPr="00185FC5">
        <w:t>Fear</w:t>
      </w:r>
      <w:r>
        <w:t xml:space="preserve">, </w:t>
      </w:r>
      <w:r w:rsidRPr="00185FC5">
        <w:t>Heart</w:t>
      </w:r>
      <w:r>
        <w:t xml:space="preserve">, </w:t>
      </w:r>
      <w:r w:rsidRPr="00185FC5">
        <w:t>Heart Rate</w:t>
      </w:r>
      <w:r>
        <w:t xml:space="preserve">, </w:t>
      </w:r>
      <w:r w:rsidRPr="00185FC5">
        <w:t>Interval</w:t>
      </w:r>
      <w:r>
        <w:t xml:space="preserve">, </w:t>
      </w:r>
      <w:r w:rsidRPr="00185FC5">
        <w:t>Interventions</w:t>
      </w:r>
      <w:r>
        <w:t xml:space="preserve">, </w:t>
      </w:r>
      <w:r w:rsidRPr="00185FC5">
        <w:lastRenderedPageBreak/>
        <w:t>Low Back</w:t>
      </w:r>
      <w:r>
        <w:t xml:space="preserve">, </w:t>
      </w:r>
      <w:r w:rsidRPr="00185FC5">
        <w:t>Low Back Pain</w:t>
      </w:r>
      <w:r>
        <w:t xml:space="preserve">, </w:t>
      </w:r>
      <w:r w:rsidRPr="00185FC5">
        <w:t>Medline</w:t>
      </w:r>
      <w:r>
        <w:t xml:space="preserve">, </w:t>
      </w:r>
      <w:r w:rsidRPr="00185FC5">
        <w:t>Meta-Analysis</w:t>
      </w:r>
      <w:r>
        <w:t xml:space="preserve">, </w:t>
      </w:r>
      <w:r w:rsidRPr="00185FC5">
        <w:t>Metaanalysis</w:t>
      </w:r>
      <w:r>
        <w:t xml:space="preserve">, </w:t>
      </w:r>
      <w:r w:rsidRPr="00185FC5">
        <w:t>Oxygen</w:t>
      </w:r>
      <w:r>
        <w:t xml:space="preserve">, </w:t>
      </w:r>
      <w:r w:rsidRPr="00185FC5">
        <w:t>P</w:t>
      </w:r>
      <w:r>
        <w:t xml:space="preserve">, </w:t>
      </w:r>
      <w:r w:rsidRPr="00185FC5">
        <w:t>Pain</w:t>
      </w:r>
      <w:r>
        <w:t xml:space="preserve">, </w:t>
      </w:r>
      <w:r w:rsidRPr="00185FC5">
        <w:t>Patients</w:t>
      </w:r>
      <w:r>
        <w:t xml:space="preserve">, </w:t>
      </w:r>
      <w:r w:rsidRPr="00185FC5">
        <w:t>Physical</w:t>
      </w:r>
      <w:r>
        <w:t xml:space="preserve">, </w:t>
      </w:r>
      <w:r w:rsidRPr="00185FC5">
        <w:t>Prevalence</w:t>
      </w:r>
      <w:r>
        <w:t xml:space="preserve">, </w:t>
      </w:r>
      <w:r w:rsidRPr="00185FC5">
        <w:t>Rehabilitation</w:t>
      </w:r>
      <w:r>
        <w:t xml:space="preserve">, </w:t>
      </w:r>
      <w:r w:rsidRPr="00185FC5">
        <w:t>Restrictions</w:t>
      </w:r>
      <w:r>
        <w:t xml:space="preserve">, </w:t>
      </w:r>
      <w:r w:rsidRPr="00185FC5">
        <w:t>Scale</w:t>
      </w:r>
      <w:r>
        <w:t xml:space="preserve">, </w:t>
      </w:r>
      <w:r w:rsidRPr="00185FC5">
        <w:t>Science</w:t>
      </w:r>
      <w:r>
        <w:t xml:space="preserve">, </w:t>
      </w:r>
      <w:r w:rsidRPr="00185FC5">
        <w:t>Software</w:t>
      </w:r>
      <w:r>
        <w:t xml:space="preserve">, </w:t>
      </w:r>
      <w:r w:rsidRPr="00185FC5">
        <w:t>Therapy</w:t>
      </w:r>
      <w:r>
        <w:t xml:space="preserve">, </w:t>
      </w:r>
      <w:r w:rsidRPr="00185FC5">
        <w:t>Treatment</w:t>
      </w:r>
      <w:r>
        <w:t xml:space="preserve">, </w:t>
      </w:r>
      <w:r w:rsidRPr="00185FC5">
        <w:t>Visual Analog Scale</w:t>
      </w:r>
      <w:r>
        <w:t xml:space="preserve">, </w:t>
      </w:r>
      <w:r w:rsidRPr="00185FC5">
        <w:t>Web Of Science</w:t>
      </w:r>
    </w:p>
    <w:p w:rsidR="003474F2" w:rsidRPr="001A3D2B" w:rsidRDefault="003474F2" w:rsidP="003474F2">
      <w:pPr>
        <w:pStyle w:val="1"/>
      </w:pPr>
      <w:r w:rsidRPr="001A3D2B">
        <w:br w:type="page"/>
      </w:r>
      <w:bookmarkStart w:id="315" w:name="_Toc420814421"/>
      <w:r w:rsidRPr="001A3D2B">
        <w:lastRenderedPageBreak/>
        <w:t xml:space="preserve">Title: </w:t>
      </w:r>
      <w:r w:rsidRPr="001A3D2B">
        <w:rPr>
          <w:iCs w:val="0"/>
          <w:szCs w:val="24"/>
        </w:rPr>
        <w:t>American Journal</w:t>
      </w:r>
      <w:r w:rsidR="00427468">
        <w:rPr>
          <w:iCs w:val="0"/>
          <w:szCs w:val="24"/>
        </w:rPr>
        <w:t xml:space="preserve"> of </w:t>
      </w:r>
      <w:r w:rsidRPr="001A3D2B">
        <w:rPr>
          <w:iCs w:val="0"/>
          <w:szCs w:val="24"/>
        </w:rPr>
        <w:t>Physics</w:t>
      </w:r>
      <w:bookmarkEnd w:id="315"/>
    </w:p>
    <w:p w:rsidR="003474F2" w:rsidRPr="001A3D2B" w:rsidRDefault="003474F2" w:rsidP="003474F2">
      <w:pPr>
        <w:pStyle w:val="12"/>
      </w:pPr>
      <w:r w:rsidRPr="001A3D2B">
        <w:t>Full Journal Title: American Journal</w:t>
      </w:r>
      <w:r w:rsidR="00427468">
        <w:t xml:space="preserve"> of </w:t>
      </w:r>
      <w:r w:rsidRPr="001A3D2B">
        <w:t>Physics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0002-9505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630393" w:rsidRPr="00F219CA" w:rsidRDefault="00630393" w:rsidP="00630393">
      <w:pPr>
        <w:pStyle w:val="a3"/>
        <w:rPr>
          <w:szCs w:val="24"/>
        </w:rPr>
      </w:pPr>
      <w:r w:rsidRPr="00F219CA">
        <w:t xml:space="preserve">? </w:t>
      </w:r>
      <w:r w:rsidR="008F1A73" w:rsidRPr="00712543">
        <w:rPr>
          <w:szCs w:val="24"/>
        </w:rPr>
        <w:t>van</w:t>
      </w:r>
      <w:r w:rsidR="008F1A73">
        <w:rPr>
          <w:szCs w:val="24"/>
        </w:rPr>
        <w:t xml:space="preserve"> </w:t>
      </w:r>
      <w:r w:rsidRPr="00712543">
        <w:rPr>
          <w:szCs w:val="24"/>
        </w:rPr>
        <w:t>den</w:t>
      </w:r>
      <w:r>
        <w:rPr>
          <w:rFonts w:hint="eastAsia"/>
          <w:szCs w:val="24"/>
        </w:rPr>
        <w:t xml:space="preserve"> </w:t>
      </w:r>
      <w:r w:rsidR="008F1A73" w:rsidRPr="00712543">
        <w:rPr>
          <w:szCs w:val="24"/>
        </w:rPr>
        <w:t>Broek</w:t>
      </w:r>
      <w:r w:rsidRPr="00712543">
        <w:rPr>
          <w:szCs w:val="24"/>
        </w:rPr>
        <w:t>, J</w:t>
      </w:r>
      <w:r>
        <w:rPr>
          <w:rFonts w:hint="eastAsia"/>
          <w:szCs w:val="24"/>
        </w:rPr>
        <w:t>.</w:t>
      </w:r>
      <w:r w:rsidRPr="00712543">
        <w:rPr>
          <w:szCs w:val="24"/>
        </w:rPr>
        <w:t>A</w:t>
      </w:r>
      <w:r>
        <w:rPr>
          <w:rFonts w:hint="eastAsia"/>
          <w:szCs w:val="24"/>
        </w:rPr>
        <w:t>.</w:t>
      </w:r>
      <w:r>
        <w:t xml:space="preserve"> (19</w:t>
      </w:r>
      <w:r>
        <w:rPr>
          <w:rFonts w:hint="eastAsia"/>
        </w:rPr>
        <w:t>47</w:t>
      </w:r>
      <w:r w:rsidRPr="00F219CA">
        <w:t xml:space="preserve">), </w:t>
      </w:r>
      <w:r w:rsidRPr="00712543">
        <w:rPr>
          <w:szCs w:val="24"/>
        </w:rPr>
        <w:t>Euler</w:t>
      </w:r>
      <w:r w:rsidR="00700038">
        <w:rPr>
          <w:szCs w:val="24"/>
        </w:rPr>
        <w:t>’</w:t>
      </w:r>
      <w:r>
        <w:rPr>
          <w:rFonts w:hint="eastAsia"/>
          <w:szCs w:val="24"/>
        </w:rPr>
        <w:t>s</w:t>
      </w:r>
      <w:r w:rsidRPr="00712543">
        <w:rPr>
          <w:szCs w:val="24"/>
        </w:rPr>
        <w:t xml:space="preserve"> classic paper </w:t>
      </w:r>
      <w:r w:rsidR="00B5188C">
        <w:rPr>
          <w:szCs w:val="24"/>
        </w:rPr>
        <w:t>“</w:t>
      </w:r>
      <w:r w:rsidRPr="00712543">
        <w:rPr>
          <w:szCs w:val="24"/>
        </w:rPr>
        <w:t>On</w:t>
      </w:r>
      <w:r w:rsidR="003A1917">
        <w:rPr>
          <w:szCs w:val="24"/>
        </w:rPr>
        <w:t xml:space="preserve"> the </w:t>
      </w:r>
      <w:r w:rsidRPr="00712543">
        <w:rPr>
          <w:szCs w:val="24"/>
        </w:rPr>
        <w:t>strength</w:t>
      </w:r>
      <w:r w:rsidR="00427468">
        <w:rPr>
          <w:szCs w:val="24"/>
        </w:rPr>
        <w:t xml:space="preserve"> of </w:t>
      </w:r>
      <w:r w:rsidRPr="00712543">
        <w:rPr>
          <w:szCs w:val="24"/>
        </w:rPr>
        <w:t>columns</w:t>
      </w:r>
      <w:r w:rsidR="00B5188C">
        <w:rPr>
          <w:szCs w:val="24"/>
        </w:rPr>
        <w:t>”</w:t>
      </w:r>
      <w:r w:rsidRPr="00F219CA">
        <w:t xml:space="preserve">. </w:t>
      </w:r>
      <w:r w:rsidRPr="00F219CA">
        <w:rPr>
          <w:i/>
          <w:iCs/>
        </w:rPr>
        <w:t>American Journal</w:t>
      </w:r>
      <w:r w:rsidR="00427468">
        <w:rPr>
          <w:i/>
          <w:iCs/>
        </w:rPr>
        <w:t xml:space="preserve"> of </w:t>
      </w:r>
      <w:r w:rsidRPr="00F219CA">
        <w:rPr>
          <w:i/>
          <w:iCs/>
        </w:rPr>
        <w:t>Physics</w:t>
      </w:r>
      <w:r w:rsidRPr="00F219CA">
        <w:t xml:space="preserve">, </w:t>
      </w:r>
      <w:r>
        <w:rPr>
          <w:rFonts w:hint="eastAsia"/>
          <w:b/>
          <w:bCs/>
        </w:rPr>
        <w:t>15</w:t>
      </w:r>
      <w:r w:rsidRPr="00F219CA">
        <w:rPr>
          <w:szCs w:val="24"/>
        </w:rPr>
        <w:t xml:space="preserve"> (</w:t>
      </w:r>
      <w:r>
        <w:rPr>
          <w:rFonts w:hint="eastAsia"/>
          <w:szCs w:val="24"/>
        </w:rPr>
        <w:t>4</w:t>
      </w:r>
      <w:r w:rsidRPr="00F219CA">
        <w:rPr>
          <w:szCs w:val="24"/>
        </w:rPr>
        <w:t xml:space="preserve">), </w:t>
      </w:r>
      <w:r w:rsidRPr="00712543">
        <w:rPr>
          <w:szCs w:val="24"/>
        </w:rPr>
        <w:t>309-314</w:t>
      </w:r>
      <w:r w:rsidRPr="00F219CA">
        <w:rPr>
          <w:szCs w:val="24"/>
        </w:rPr>
        <w:t>.</w:t>
      </w:r>
    </w:p>
    <w:p w:rsidR="00630393" w:rsidRDefault="00630393" w:rsidP="00630393">
      <w:pPr>
        <w:pStyle w:val="a3"/>
        <w:rPr>
          <w:szCs w:val="24"/>
        </w:rPr>
      </w:pPr>
      <w:r w:rsidRPr="00F219CA">
        <w:rPr>
          <w:szCs w:val="24"/>
        </w:rPr>
        <w:t xml:space="preserve">Full Text: </w:t>
      </w:r>
      <w:hyperlink r:id="rId585" w:history="1">
        <w:r w:rsidRPr="00712543">
          <w:rPr>
            <w:rStyle w:val="a5"/>
            <w:szCs w:val="24"/>
          </w:rPr>
          <w:t>-1959\Ame J Phy15, 309.pdf</w:t>
        </w:r>
      </w:hyperlink>
    </w:p>
    <w:p w:rsidR="003474F2" w:rsidRPr="001A3D2B" w:rsidRDefault="003474F2" w:rsidP="003474F2">
      <w:pPr>
        <w:pStyle w:val="a3"/>
        <w:rPr>
          <w:szCs w:val="24"/>
        </w:rPr>
      </w:pPr>
      <w:r w:rsidRPr="001A3D2B">
        <w:t xml:space="preserve">? Park, D. (1966), Garfield, E - Science Citation Index 1964. </w:t>
      </w:r>
      <w:r w:rsidRPr="001A3D2B">
        <w:rPr>
          <w:i/>
          <w:iCs/>
        </w:rPr>
        <w:t>American Journal</w:t>
      </w:r>
      <w:r w:rsidR="00427468">
        <w:rPr>
          <w:i/>
          <w:iCs/>
        </w:rPr>
        <w:t xml:space="preserve"> of </w:t>
      </w:r>
      <w:r w:rsidRPr="001A3D2B">
        <w:rPr>
          <w:i/>
          <w:iCs/>
        </w:rPr>
        <w:t>Physics</w:t>
      </w:r>
      <w:r w:rsidRPr="001A3D2B">
        <w:t xml:space="preserve">, </w:t>
      </w:r>
      <w:r w:rsidRPr="001A3D2B">
        <w:rPr>
          <w:b/>
          <w:bCs/>
        </w:rPr>
        <w:t>34</w:t>
      </w:r>
      <w:r w:rsidRPr="001A3D2B">
        <w:rPr>
          <w:szCs w:val="24"/>
        </w:rPr>
        <w:t xml:space="preserve"> (10), 993-994.</w:t>
      </w:r>
    </w:p>
    <w:p w:rsidR="0039485A" w:rsidRPr="00F219CA" w:rsidRDefault="0039485A" w:rsidP="0039485A">
      <w:pPr>
        <w:pStyle w:val="a3"/>
        <w:rPr>
          <w:szCs w:val="24"/>
        </w:rPr>
      </w:pPr>
      <w:r w:rsidRPr="00F219CA">
        <w:rPr>
          <w:szCs w:val="24"/>
        </w:rPr>
        <w:t xml:space="preserve">Full Text: </w:t>
      </w:r>
      <w:hyperlink r:id="rId586" w:history="1">
        <w:r w:rsidRPr="00F567F1">
          <w:rPr>
            <w:rStyle w:val="a5"/>
            <w:szCs w:val="24"/>
          </w:rPr>
          <w:t>1960-80\Ame J Phy34, 993.pdf</w:t>
        </w:r>
      </w:hyperlink>
    </w:p>
    <w:p w:rsidR="0039485A" w:rsidRPr="00F219CA" w:rsidRDefault="0039485A" w:rsidP="0039485A">
      <w:pPr>
        <w:pStyle w:val="a3"/>
        <w:rPr>
          <w:szCs w:val="24"/>
        </w:rPr>
      </w:pPr>
      <w:r w:rsidRPr="00F219CA">
        <w:rPr>
          <w:szCs w:val="24"/>
        </w:rPr>
        <w:t>Keywords: Citation, Science Citation Index</w:t>
      </w:r>
    </w:p>
    <w:p w:rsidR="0039485A" w:rsidRPr="00F219CA" w:rsidRDefault="0039485A" w:rsidP="0039485A">
      <w:pPr>
        <w:pStyle w:val="a3"/>
        <w:rPr>
          <w:szCs w:val="24"/>
        </w:rPr>
      </w:pPr>
      <w:r w:rsidRPr="00F219CA">
        <w:rPr>
          <w:szCs w:val="24"/>
        </w:rPr>
        <w:t xml:space="preserve">? Park, D. (1969), Science Citation Index, A second look. </w:t>
      </w:r>
      <w:r w:rsidRPr="00F219CA">
        <w:rPr>
          <w:i/>
          <w:iCs/>
        </w:rPr>
        <w:t>American Journal</w:t>
      </w:r>
      <w:r w:rsidR="00427468">
        <w:rPr>
          <w:i/>
          <w:iCs/>
        </w:rPr>
        <w:t xml:space="preserve"> of </w:t>
      </w:r>
      <w:r w:rsidRPr="00F219CA">
        <w:rPr>
          <w:i/>
          <w:iCs/>
        </w:rPr>
        <w:t>Physics</w:t>
      </w:r>
      <w:r w:rsidRPr="00F219CA">
        <w:t xml:space="preserve">, </w:t>
      </w:r>
      <w:r w:rsidRPr="00F219CA">
        <w:rPr>
          <w:b/>
          <w:bCs/>
        </w:rPr>
        <w:t>37</w:t>
      </w:r>
      <w:r w:rsidRPr="00F219CA">
        <w:rPr>
          <w:szCs w:val="24"/>
        </w:rPr>
        <w:t xml:space="preserve"> (11), 1162.</w:t>
      </w:r>
    </w:p>
    <w:p w:rsidR="0039485A" w:rsidRPr="00F219CA" w:rsidRDefault="0039485A" w:rsidP="0039485A">
      <w:pPr>
        <w:pStyle w:val="a3"/>
        <w:rPr>
          <w:szCs w:val="24"/>
        </w:rPr>
      </w:pPr>
      <w:r w:rsidRPr="00F219CA">
        <w:rPr>
          <w:szCs w:val="24"/>
        </w:rPr>
        <w:t xml:space="preserve">Full Text: </w:t>
      </w:r>
      <w:hyperlink r:id="rId587" w:history="1">
        <w:r w:rsidRPr="00F567F1">
          <w:rPr>
            <w:rStyle w:val="a5"/>
            <w:szCs w:val="24"/>
          </w:rPr>
          <w:t>1960-80\Ame J Phy37, 1162.pdf</w:t>
        </w:r>
      </w:hyperlink>
    </w:p>
    <w:p w:rsidR="003474F2" w:rsidRPr="001A3D2B" w:rsidRDefault="003474F2" w:rsidP="003474F2">
      <w:pPr>
        <w:pStyle w:val="a3"/>
        <w:rPr>
          <w:szCs w:val="24"/>
        </w:rPr>
      </w:pPr>
      <w:r w:rsidRPr="001A3D2B">
        <w:rPr>
          <w:szCs w:val="24"/>
        </w:rPr>
        <w:t>Keywords: Citation, Science Citation Index</w:t>
      </w:r>
    </w:p>
    <w:p w:rsidR="003474F2" w:rsidRPr="001A3D2B" w:rsidRDefault="003474F2" w:rsidP="003474F2">
      <w:pPr>
        <w:pStyle w:val="1"/>
      </w:pPr>
      <w:r w:rsidRPr="001A3D2B">
        <w:br w:type="page"/>
      </w:r>
      <w:bookmarkStart w:id="316" w:name="_Toc420814422"/>
      <w:r w:rsidRPr="001A3D2B">
        <w:lastRenderedPageBreak/>
        <w:t xml:space="preserve">Title: American </w:t>
      </w:r>
      <w:bookmarkStart w:id="317" w:name="_Toc489709591"/>
      <w:bookmarkStart w:id="318" w:name="_Toc490687608"/>
      <w:bookmarkStart w:id="319" w:name="_Toc492777852"/>
      <w:bookmarkStart w:id="320" w:name="_Toc81215594"/>
      <w:r w:rsidRPr="001A3D2B">
        <w:t>Journal</w:t>
      </w:r>
      <w:r w:rsidR="00427468">
        <w:t xml:space="preserve"> of </w:t>
      </w:r>
      <w:r w:rsidRPr="001A3D2B">
        <w:t>Preventive Medicine</w:t>
      </w:r>
      <w:bookmarkEnd w:id="316"/>
    </w:p>
    <w:p w:rsidR="003474F2" w:rsidRPr="001A3D2B" w:rsidRDefault="003474F2" w:rsidP="003474F2">
      <w:pPr>
        <w:pStyle w:val="12"/>
      </w:pPr>
      <w:r w:rsidRPr="001A3D2B">
        <w:t>Full Journal Ti</w:t>
      </w:r>
      <w:bookmarkEnd w:id="306"/>
      <w:bookmarkEnd w:id="317"/>
      <w:bookmarkEnd w:id="318"/>
      <w:bookmarkEnd w:id="319"/>
      <w:bookmarkEnd w:id="320"/>
      <w:r w:rsidRPr="001A3D2B">
        <w:t xml:space="preserve">tle: </w:t>
      </w:r>
      <w:hyperlink r:id="rId588" w:history="1">
        <w:r w:rsidRPr="001A3D2B">
          <w:rPr>
            <w:rStyle w:val="a5"/>
          </w:rPr>
          <w:t>American Journal</w:t>
        </w:r>
        <w:r w:rsidR="00427468">
          <w:rPr>
            <w:rStyle w:val="a5"/>
          </w:rPr>
          <w:t xml:space="preserve"> of </w:t>
        </w:r>
        <w:r w:rsidRPr="001A3D2B">
          <w:rPr>
            <w:rStyle w:val="a5"/>
          </w:rPr>
          <w:t>Preventive Medicine</w:t>
        </w:r>
      </w:hyperlink>
    </w:p>
    <w:p w:rsidR="003474F2" w:rsidRPr="001A3D2B" w:rsidRDefault="003474F2" w:rsidP="003474F2">
      <w:pPr>
        <w:pStyle w:val="12"/>
      </w:pPr>
      <w:r w:rsidRPr="001A3D2B">
        <w:t>ISO Abbreviated Title: Am. J. Prev. Med.</w:t>
      </w:r>
    </w:p>
    <w:p w:rsidR="003474F2" w:rsidRPr="001A3D2B" w:rsidRDefault="003474F2" w:rsidP="003474F2">
      <w:pPr>
        <w:pStyle w:val="12"/>
      </w:pPr>
      <w:r w:rsidRPr="001A3D2B">
        <w:t>JCR Abbreviated Title: Am J Prev Med</w:t>
      </w:r>
    </w:p>
    <w:p w:rsidR="003474F2" w:rsidRPr="001A3D2B" w:rsidRDefault="003474F2" w:rsidP="003474F2">
      <w:pPr>
        <w:pStyle w:val="12"/>
      </w:pPr>
      <w:r w:rsidRPr="001A3D2B">
        <w:t>ISSN: 0749-3797</w:t>
      </w:r>
    </w:p>
    <w:p w:rsidR="003474F2" w:rsidRPr="001A3D2B" w:rsidRDefault="003474F2" w:rsidP="003474F2">
      <w:pPr>
        <w:pStyle w:val="12"/>
      </w:pPr>
      <w:r w:rsidRPr="001A3D2B">
        <w:t>Issues/Year: 8</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Science Inc</w:t>
      </w:r>
    </w:p>
    <w:p w:rsidR="003474F2" w:rsidRPr="001A3D2B" w:rsidRDefault="003474F2" w:rsidP="003474F2">
      <w:pPr>
        <w:pStyle w:val="12"/>
      </w:pPr>
      <w:r w:rsidRPr="001A3D2B">
        <w:t>Publisher Address: 655 Avenue</w:t>
      </w:r>
      <w:r w:rsidR="00427468">
        <w:t xml:space="preserve"> of </w:t>
      </w:r>
      <w:r w:rsidR="003A1917">
        <w:t xml:space="preserve">the </w:t>
      </w:r>
      <w:r w:rsidRPr="001A3D2B">
        <w:t xml:space="preserve">Americas, </w:t>
      </w:r>
      <w:smartTag w:uri="urn:schemas-microsoft-com:office:smarttags" w:element="place">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Public, Environmental &amp; Occupational Health: Impact Factor, 1.442, 38/85 (1999); Impact Factor, 2.064, 18/88 (2001)</w:t>
      </w:r>
    </w:p>
    <w:p w:rsidR="003474F2" w:rsidRPr="001A3D2B" w:rsidRDefault="003474F2" w:rsidP="003474F2">
      <w:pPr>
        <w:pStyle w:val="12"/>
      </w:pPr>
      <w:r w:rsidRPr="001A3D2B">
        <w:t>Medicine, General &amp; Internal: Impact Factor, 1.442,/(1999); Impact Factor, 2.064, 22/112 (2001)</w:t>
      </w:r>
    </w:p>
    <w:p w:rsidR="00845D91" w:rsidRPr="001A3D2B" w:rsidRDefault="00845D91" w:rsidP="00845D91">
      <w:pPr>
        <w:pStyle w:val="a3"/>
      </w:pPr>
      <w:r w:rsidRPr="001A3D2B">
        <w:t>Notes: highly cited</w:t>
      </w:r>
    </w:p>
    <w:p w:rsidR="00845D91" w:rsidRPr="001A3D2B" w:rsidRDefault="00845D91" w:rsidP="00845D91">
      <w:pPr>
        <w:pStyle w:val="a3"/>
      </w:pPr>
      <w:r w:rsidRPr="001A3D2B">
        <w:t>? Harris, R.P., Helfand, M., Woolf, S.H., Lohr, K.N., Mulrow, C.D., Teutsch, S.M., Atkins, D.</w:t>
      </w:r>
      <w:r w:rsidR="005853A9">
        <w:t xml:space="preserve"> and </w:t>
      </w:r>
      <w:r w:rsidRPr="001A3D2B">
        <w:t>Methods Work Grp Third US Preventi (2001), Current methods</w:t>
      </w:r>
      <w:r w:rsidR="00427468">
        <w:t xml:space="preserve"> of </w:t>
      </w:r>
      <w:r w:rsidR="003A1917">
        <w:t xml:space="preserve">the </w:t>
      </w:r>
      <w:r w:rsidRPr="001A3D2B">
        <w:t>US Preventive Services Task Force - A review</w:t>
      </w:r>
      <w:r w:rsidR="00427468">
        <w:t xml:space="preserve"> of </w:t>
      </w:r>
      <w:r w:rsidR="003A1917">
        <w:t xml:space="preserve">the </w:t>
      </w:r>
      <w:r w:rsidRPr="001A3D2B">
        <w:t xml:space="preserve">process. </w:t>
      </w:r>
      <w:r w:rsidRPr="001A3D2B">
        <w:rPr>
          <w:i/>
          <w:iCs/>
        </w:rPr>
        <w:t>American Journal</w:t>
      </w:r>
      <w:r w:rsidR="00427468">
        <w:rPr>
          <w:i/>
          <w:iCs/>
        </w:rPr>
        <w:t xml:space="preserve"> of </w:t>
      </w:r>
      <w:r w:rsidRPr="001A3D2B">
        <w:rPr>
          <w:i/>
          <w:iCs/>
        </w:rPr>
        <w:t>Preventive Medicine</w:t>
      </w:r>
      <w:r w:rsidRPr="001A3D2B">
        <w:t xml:space="preserve">, </w:t>
      </w:r>
      <w:r w:rsidRPr="001A3D2B">
        <w:rPr>
          <w:b/>
          <w:bCs/>
        </w:rPr>
        <w:t>20</w:t>
      </w:r>
      <w:r w:rsidRPr="001A3D2B">
        <w:t xml:space="preserve"> (3S), 21-35.</w:t>
      </w:r>
    </w:p>
    <w:p w:rsidR="00845D91" w:rsidRPr="001A3D2B" w:rsidRDefault="00845D91" w:rsidP="00845D91">
      <w:pPr>
        <w:pStyle w:val="a3"/>
      </w:pPr>
      <w:r w:rsidRPr="001A3D2B">
        <w:t xml:space="preserve">Full Text: </w:t>
      </w:r>
      <w:hyperlink r:id="rId589" w:history="1">
        <w:r w:rsidRPr="001A3D2B">
          <w:rPr>
            <w:rStyle w:val="a5"/>
          </w:rPr>
          <w:t>2001\Ame J Pre Med20, 21.pdf</w:t>
        </w:r>
      </w:hyperlink>
    </w:p>
    <w:p w:rsidR="00845D91" w:rsidRPr="001A3D2B" w:rsidRDefault="00845D91" w:rsidP="00845D91">
      <w:pPr>
        <w:pStyle w:val="a3"/>
      </w:pPr>
      <w:r w:rsidRPr="001A3D2B">
        <w:t>Abstract:</w:t>
      </w:r>
      <w:r w:rsidR="003A1917">
        <w:t xml:space="preserve"> the </w:t>
      </w:r>
      <w:r w:rsidRPr="001A3D2B">
        <w:t>U.S. Preventive Services Task Force (USPSTF/Task Force) represents one</w:t>
      </w:r>
      <w:r w:rsidR="00427468">
        <w:t xml:space="preserve"> of </w:t>
      </w:r>
      <w:r w:rsidRPr="001A3D2B">
        <w:t>several efforts to take a more evidence-based approach to</w:t>
      </w:r>
      <w:r w:rsidR="003A1917">
        <w:t xml:space="preserve"> the </w:t>
      </w:r>
      <w:r w:rsidRPr="001A3D2B">
        <w:t>development</w:t>
      </w:r>
      <w:r w:rsidR="00427468">
        <w:t xml:space="preserve"> of </w:t>
      </w:r>
      <w:r w:rsidRPr="001A3D2B">
        <w:t>clinical practice guidelines. As methods have matured for assembling</w:t>
      </w:r>
      <w:r w:rsidR="005853A9">
        <w:t xml:space="preserve"> and </w:t>
      </w:r>
      <w:r w:rsidRPr="001A3D2B">
        <w:t>reviewing evidence</w:t>
      </w:r>
      <w:r w:rsidR="005853A9">
        <w:t xml:space="preserve"> and </w:t>
      </w:r>
      <w:r w:rsidRPr="001A3D2B">
        <w:t>for translating evidence into guidelines, so too have</w:t>
      </w:r>
      <w:r w:rsidR="003A1917">
        <w:t xml:space="preserve"> the </w:t>
      </w:r>
      <w:r w:rsidRPr="001A3D2B">
        <w:t>methods</w:t>
      </w:r>
      <w:r w:rsidR="00427468">
        <w:t xml:space="preserve"> of </w:t>
      </w:r>
      <w:r w:rsidR="003A1917">
        <w:t xml:space="preserve">the </w:t>
      </w:r>
      <w:r w:rsidRPr="001A3D2B">
        <w:t>USPSTF. This paper summarizes</w:t>
      </w:r>
      <w:r w:rsidR="003A1917">
        <w:t xml:space="preserve"> the </w:t>
      </w:r>
      <w:r w:rsidRPr="001A3D2B">
        <w:t>current methods</w:t>
      </w:r>
      <w:r w:rsidR="00427468">
        <w:t xml:space="preserve"> of </w:t>
      </w:r>
      <w:r w:rsidR="003A1917">
        <w:t xml:space="preserve">the </w:t>
      </w:r>
      <w:r w:rsidRPr="001A3D2B">
        <w:t>third USPSTF, supported by</w:t>
      </w:r>
      <w:r w:rsidR="003A1917">
        <w:t xml:space="preserve"> the </w:t>
      </w:r>
      <w:r w:rsidRPr="001A3D2B">
        <w:t>Agency for Healthcare Research</w:t>
      </w:r>
      <w:r w:rsidR="005853A9">
        <w:t xml:space="preserve"> and </w:t>
      </w:r>
      <w:r w:rsidRPr="001A3D2B">
        <w:t>Quality (AHRQ)</w:t>
      </w:r>
      <w:r w:rsidR="005853A9">
        <w:t xml:space="preserve"> and </w:t>
      </w:r>
      <w:r w:rsidRPr="001A3D2B">
        <w:t>two</w:t>
      </w:r>
      <w:r w:rsidR="00427468">
        <w:t xml:space="preserve"> of </w:t>
      </w:r>
      <w:r w:rsidR="003A1917">
        <w:t xml:space="preserve">the </w:t>
      </w:r>
      <w:r w:rsidRPr="001A3D2B">
        <w:t>AHRQ Evidence-based Practice Centers (EPCs)</w:t>
      </w:r>
      <w:r w:rsidR="00A37C1D">
        <w:t>. The</w:t>
      </w:r>
      <w:r w:rsidR="003A1917">
        <w:t xml:space="preserve"> </w:t>
      </w:r>
      <w:r w:rsidRPr="001A3D2B">
        <w:t>Task Force limits</w:t>
      </w:r>
      <w:r w:rsidR="003A1917">
        <w:t xml:space="preserve"> the </w:t>
      </w:r>
      <w:r w:rsidRPr="001A3D2B">
        <w:t>topics it reviews to those conditions that cause a large burden</w:t>
      </w:r>
      <w:r w:rsidR="00427468">
        <w:t xml:space="preserve"> of </w:t>
      </w:r>
      <w:r w:rsidRPr="001A3D2B">
        <w:t>suffering to society</w:t>
      </w:r>
      <w:r w:rsidR="005853A9">
        <w:t xml:space="preserve"> and </w:t>
      </w:r>
      <w:r w:rsidRPr="001A3D2B">
        <w:t>that also have available a potentially effective preventive service. It focuses its reviews on</w:t>
      </w:r>
      <w:r w:rsidR="003A1917">
        <w:t xml:space="preserve"> the </w:t>
      </w:r>
      <w:r w:rsidRPr="001A3D2B">
        <w:t>questions</w:t>
      </w:r>
      <w:r w:rsidR="005853A9">
        <w:t xml:space="preserve"> and </w:t>
      </w:r>
      <w:r w:rsidRPr="001A3D2B">
        <w:t>evidence most critical to making a recommendation. It uses analytic frameworks to specify</w:t>
      </w:r>
      <w:r w:rsidR="003A1917">
        <w:t xml:space="preserve"> the </w:t>
      </w:r>
      <w:r w:rsidRPr="001A3D2B">
        <w:t>linkages</w:t>
      </w:r>
      <w:r w:rsidR="005853A9">
        <w:t xml:space="preserve"> and </w:t>
      </w:r>
      <w:r w:rsidRPr="001A3D2B">
        <w:t>key questions connecting</w:t>
      </w:r>
      <w:r w:rsidR="003A1917">
        <w:t xml:space="preserve"> the </w:t>
      </w:r>
      <w:r w:rsidRPr="001A3D2B">
        <w:t>preventive service with health outcomes</w:t>
      </w:r>
      <w:r w:rsidR="00A37C1D">
        <w:t>. The</w:t>
      </w:r>
      <w:r w:rsidRPr="001A3D2B">
        <w:t>se linkages, together with explicit inclusion criteria, guide</w:t>
      </w:r>
      <w:r w:rsidR="003A1917">
        <w:t xml:space="preserve"> the </w:t>
      </w:r>
      <w:r w:rsidRPr="001A3D2B">
        <w:t>literature searches for admissible evidence. Once assembled, admissible evidence is reviewed at three strata: (1)</w:t>
      </w:r>
      <w:r w:rsidR="003A1917">
        <w:t xml:space="preserve"> the </w:t>
      </w:r>
      <w:r w:rsidRPr="001A3D2B">
        <w:t>individual study, (2)</w:t>
      </w:r>
      <w:r w:rsidR="003A1917">
        <w:t xml:space="preserve"> the </w:t>
      </w:r>
      <w:r w:rsidRPr="001A3D2B">
        <w:t>body</w:t>
      </w:r>
      <w:r w:rsidR="00427468">
        <w:t xml:space="preserve"> of </w:t>
      </w:r>
      <w:r w:rsidRPr="001A3D2B">
        <w:t>evidence concerning a single linkage in</w:t>
      </w:r>
      <w:r w:rsidR="003A1917">
        <w:t xml:space="preserve"> the </w:t>
      </w:r>
      <w:r w:rsidRPr="001A3D2B">
        <w:t>analytic framework,</w:t>
      </w:r>
      <w:r w:rsidR="005853A9">
        <w:t xml:space="preserve"> and </w:t>
      </w:r>
      <w:r w:rsidRPr="001A3D2B">
        <w:t>(3)</w:t>
      </w:r>
      <w:r w:rsidR="003A1917">
        <w:t xml:space="preserve"> the </w:t>
      </w:r>
      <w:r w:rsidRPr="001A3D2B">
        <w:t>body</w:t>
      </w:r>
      <w:r w:rsidR="00427468">
        <w:t xml:space="preserve"> of </w:t>
      </w:r>
      <w:r w:rsidRPr="001A3D2B">
        <w:t>evidence concerning</w:t>
      </w:r>
      <w:r w:rsidR="003A1917">
        <w:t xml:space="preserve"> the </w:t>
      </w:r>
      <w:r w:rsidRPr="001A3D2B">
        <w:t>entire preventive sen ice. For each stratum,</w:t>
      </w:r>
      <w:r w:rsidR="003A1917">
        <w:t xml:space="preserve"> </w:t>
      </w:r>
      <w:r w:rsidR="003A1917">
        <w:lastRenderedPageBreak/>
        <w:t xml:space="preserve">the </w:t>
      </w:r>
      <w:r w:rsidRPr="001A3D2B">
        <w:t>Task Force uses explicit criteria as general guidelines to assign one</w:t>
      </w:r>
      <w:r w:rsidR="00427468">
        <w:t xml:space="preserve"> of </w:t>
      </w:r>
      <w:r w:rsidRPr="001A3D2B">
        <w:t>three grades</w:t>
      </w:r>
      <w:r w:rsidR="00427468">
        <w:t xml:space="preserve"> of </w:t>
      </w:r>
      <w:r w:rsidRPr="001A3D2B">
        <w:t>evidence: good, fair, or poor. Good or fair quality evidence for</w:t>
      </w:r>
      <w:r w:rsidR="003A1917">
        <w:t xml:space="preserve"> the </w:t>
      </w:r>
      <w:r w:rsidRPr="001A3D2B">
        <w:t>entire preventive service must include studies</w:t>
      </w:r>
      <w:r w:rsidR="00427468">
        <w:t xml:space="preserve"> of </w:t>
      </w:r>
      <w:r w:rsidRPr="001A3D2B">
        <w:t>sufficient design</w:t>
      </w:r>
      <w:r w:rsidR="005853A9">
        <w:t xml:space="preserve"> and </w:t>
      </w:r>
      <w:r w:rsidRPr="001A3D2B">
        <w:t>quality to provide an unbroken chain</w:t>
      </w:r>
      <w:r w:rsidR="00427468">
        <w:t xml:space="preserve"> of </w:t>
      </w:r>
      <w:r w:rsidRPr="001A3D2B">
        <w:t>evidence-supported linkages, generalizable to</w:t>
      </w:r>
      <w:r w:rsidR="003A1917">
        <w:t xml:space="preserve"> the </w:t>
      </w:r>
      <w:r w:rsidRPr="001A3D2B">
        <w:t>general primary care population, that connect</w:t>
      </w:r>
      <w:r w:rsidR="003A1917">
        <w:t xml:space="preserve"> the </w:t>
      </w:r>
      <w:r w:rsidRPr="001A3D2B">
        <w:t>preventive service with health outcomes. Poor evidence contains a formidable break in</w:t>
      </w:r>
      <w:r w:rsidR="003A1917">
        <w:t xml:space="preserve"> the </w:t>
      </w:r>
      <w:r w:rsidRPr="001A3D2B">
        <w:t>evidence chain such that</w:t>
      </w:r>
      <w:r w:rsidR="003A1917">
        <w:t xml:space="preserve"> the </w:t>
      </w:r>
      <w:r w:rsidRPr="001A3D2B">
        <w:t>connection between</w:t>
      </w:r>
      <w:r w:rsidR="003A1917">
        <w:t xml:space="preserve"> the </w:t>
      </w:r>
      <w:r w:rsidRPr="001A3D2B">
        <w:t>preventive service</w:t>
      </w:r>
      <w:r w:rsidR="005853A9">
        <w:t xml:space="preserve"> and </w:t>
      </w:r>
      <w:r w:rsidRPr="001A3D2B">
        <w:t>health outcomes is uncertain. For services supported by overall good or fair evidence,</w:t>
      </w:r>
      <w:r w:rsidR="003A1917">
        <w:t xml:space="preserve"> the </w:t>
      </w:r>
      <w:r w:rsidRPr="001A3D2B">
        <w:t>Task Force uses outcomes tables to help categorize</w:t>
      </w:r>
      <w:r w:rsidR="003A1917">
        <w:t xml:space="preserve"> the </w:t>
      </w:r>
      <w:r w:rsidRPr="001A3D2B">
        <w:t>magnitude</w:t>
      </w:r>
      <w:r w:rsidR="00427468">
        <w:t xml:space="preserve"> of </w:t>
      </w:r>
      <w:r w:rsidRPr="001A3D2B">
        <w:t>benefits, harms,</w:t>
      </w:r>
      <w:r w:rsidR="005853A9">
        <w:t xml:space="preserve"> and </w:t>
      </w:r>
      <w:r w:rsidRPr="001A3D2B">
        <w:t>net benefit fi-om implementation</w:t>
      </w:r>
      <w:r w:rsidR="00427468">
        <w:t xml:space="preserve"> of </w:t>
      </w:r>
      <w:r w:rsidR="003A1917">
        <w:t xml:space="preserve">the </w:t>
      </w:r>
      <w:r w:rsidRPr="001A3D2B">
        <w:t>preventive service into one</w:t>
      </w:r>
      <w:r w:rsidR="00427468">
        <w:t xml:space="preserve"> of </w:t>
      </w:r>
      <w:r w:rsidRPr="001A3D2B">
        <w:t>four categories: substantial, moderate, small, or zero/negative</w:t>
      </w:r>
      <w:r w:rsidR="00A37C1D">
        <w:t>. The</w:t>
      </w:r>
      <w:r w:rsidR="003A1917">
        <w:t xml:space="preserve"> </w:t>
      </w:r>
      <w:r w:rsidRPr="001A3D2B">
        <w:t>Task Force uses its assessment</w:t>
      </w:r>
      <w:r w:rsidR="00427468">
        <w:t xml:space="preserve"> of </w:t>
      </w:r>
      <w:r w:rsidR="003A1917">
        <w:t xml:space="preserve">the </w:t>
      </w:r>
      <w:r w:rsidRPr="001A3D2B">
        <w:t>evidence</w:t>
      </w:r>
      <w:r w:rsidR="005853A9">
        <w:t xml:space="preserve"> and </w:t>
      </w:r>
      <w:r w:rsidRPr="001A3D2B">
        <w:t>magnitude</w:t>
      </w:r>
      <w:r w:rsidR="00427468">
        <w:t xml:space="preserve"> of </w:t>
      </w:r>
      <w:r w:rsidRPr="001A3D2B">
        <w:t>net benefit to make a recommendation, coded as a letter: from A (strongly recommended) to D (recommend against). It gives an I recommendation in situations in which</w:t>
      </w:r>
      <w:r w:rsidR="003A1917">
        <w:t xml:space="preserve"> the </w:t>
      </w:r>
      <w:r w:rsidRPr="001A3D2B">
        <w:t>evidence is insufficient to determine net benefit</w:t>
      </w:r>
      <w:r w:rsidR="00A37C1D">
        <w:t>. The</w:t>
      </w:r>
      <w:r w:rsidR="003A1917">
        <w:t xml:space="preserve"> </w:t>
      </w:r>
      <w:r w:rsidRPr="001A3D2B">
        <w:t>third Task Force</w:t>
      </w:r>
      <w:r w:rsidR="005853A9">
        <w:t xml:space="preserve"> and </w:t>
      </w:r>
      <w:r w:rsidR="003A1917">
        <w:t xml:space="preserve">the </w:t>
      </w:r>
      <w:r w:rsidRPr="001A3D2B">
        <w:t>EPCs will continue to examine a variety</w:t>
      </w:r>
      <w:r w:rsidR="00427468">
        <w:t xml:space="preserve"> of </w:t>
      </w:r>
      <w:r w:rsidRPr="001A3D2B">
        <w:t>methodologic issues</w:t>
      </w:r>
      <w:r w:rsidR="005853A9">
        <w:t xml:space="preserve"> and </w:t>
      </w:r>
      <w:r w:rsidRPr="001A3D2B">
        <w:t>document work group progress in future communications.</w:t>
      </w:r>
    </w:p>
    <w:p w:rsidR="00845D91" w:rsidRPr="001A3D2B" w:rsidRDefault="00845D91" w:rsidP="00845D91">
      <w:pPr>
        <w:pStyle w:val="a3"/>
      </w:pPr>
      <w:r w:rsidRPr="001A3D2B">
        <w:t xml:space="preserve">Keywords: </w:t>
      </w:r>
      <w:r w:rsidR="00D5664A">
        <w:t>MEDLINE</w:t>
      </w:r>
      <w:r w:rsidRPr="001A3D2B">
        <w:t>, Preventive Health Services, Evidence-Based Medicines, Methods, Practice Guidelines, Clinical-Practice Guidelines, Evidence-Based Medicine, Users Guides, Article</w:t>
      </w:r>
    </w:p>
    <w:p w:rsidR="003474F2" w:rsidRPr="001A3D2B" w:rsidRDefault="003474F2" w:rsidP="00845D91">
      <w:pPr>
        <w:pStyle w:val="a3"/>
      </w:pPr>
      <w:r w:rsidRPr="001A3D2B">
        <w:t>Phillips, K.A.</w:t>
      </w:r>
      <w:r w:rsidR="005853A9">
        <w:t xml:space="preserve"> and </w:t>
      </w:r>
      <w:r w:rsidRPr="001A3D2B">
        <w:t>Chen, J.L. (2002), Impact</w:t>
      </w:r>
      <w:r w:rsidR="00427468">
        <w:t xml:space="preserve"> of </w:t>
      </w:r>
      <w:r w:rsidR="003A1917">
        <w:t xml:space="preserve">the </w:t>
      </w:r>
      <w:r w:rsidRPr="001A3D2B">
        <w:t>US panel on cost-effectiveness in health</w:t>
      </w:r>
      <w:r w:rsidR="005853A9">
        <w:t xml:space="preserve"> and </w:t>
      </w:r>
      <w:r w:rsidRPr="001A3D2B">
        <w:t xml:space="preserve">medicine. </w:t>
      </w:r>
      <w:r w:rsidRPr="001A3D2B">
        <w:rPr>
          <w:i/>
          <w:iCs/>
        </w:rPr>
        <w:t>American Journal</w:t>
      </w:r>
      <w:r w:rsidR="00427468">
        <w:rPr>
          <w:i/>
          <w:iCs/>
        </w:rPr>
        <w:t xml:space="preserve"> of </w:t>
      </w:r>
      <w:r w:rsidRPr="001A3D2B">
        <w:rPr>
          <w:i/>
          <w:iCs/>
        </w:rPr>
        <w:t>Preventive Medicine</w:t>
      </w:r>
      <w:r w:rsidRPr="001A3D2B">
        <w:t xml:space="preserve">, </w:t>
      </w:r>
      <w:r w:rsidRPr="001A3D2B">
        <w:rPr>
          <w:b/>
          <w:bCs/>
        </w:rPr>
        <w:t>22</w:t>
      </w:r>
      <w:r w:rsidRPr="001A3D2B">
        <w:t xml:space="preserve"> (2), 98-105.</w:t>
      </w:r>
    </w:p>
    <w:p w:rsidR="003474F2" w:rsidRPr="001A3D2B" w:rsidRDefault="003474F2" w:rsidP="003474F2">
      <w:pPr>
        <w:pStyle w:val="a3"/>
      </w:pPr>
      <w:r w:rsidRPr="001A3D2B">
        <w:t xml:space="preserve">Full Text: </w:t>
      </w:r>
      <w:hyperlink r:id="rId590" w:history="1">
        <w:r w:rsidRPr="001A3D2B">
          <w:rPr>
            <w:rStyle w:val="a5"/>
          </w:rPr>
          <w:t>2002\Ame J Pre Med22, 98.pdf</w:t>
        </w:r>
      </w:hyperlink>
    </w:p>
    <w:p w:rsidR="003474F2" w:rsidRPr="001A3D2B" w:rsidRDefault="003474F2" w:rsidP="003474F2">
      <w:pPr>
        <w:pStyle w:val="a3"/>
      </w:pPr>
      <w:r w:rsidRPr="001A3D2B">
        <w:t>Abstract: Objective: To examine whether recommendations made by</w:t>
      </w:r>
      <w:r w:rsidR="003A1917">
        <w:t xml:space="preserve"> the </w:t>
      </w:r>
      <w:r w:rsidRPr="001A3D2B">
        <w:t>U.S. Panel on Cost-Effectiveness in Health</w:t>
      </w:r>
      <w:r w:rsidR="005853A9">
        <w:t xml:space="preserve"> and </w:t>
      </w:r>
      <w:r w:rsidRPr="001A3D2B">
        <w:t>Medicine (Panel Report) have been associated with changes in how cost-effectiveness analyses are conducted.</w:t>
      </w:r>
    </w:p>
    <w:p w:rsidR="003474F2" w:rsidRPr="001A3D2B" w:rsidRDefault="003474F2" w:rsidP="003474F2">
      <w:pPr>
        <w:pStyle w:val="a3"/>
      </w:pPr>
      <w:r w:rsidRPr="001A3D2B">
        <w:t>Methods: We examined Whether Studies published after</w:t>
      </w:r>
      <w:r w:rsidR="003A1917">
        <w:t xml:space="preserve"> the </w:t>
      </w:r>
      <w:r w:rsidRPr="001A3D2B">
        <w:t>Panel Report was issued</w:t>
      </w:r>
      <w:r w:rsidR="005853A9">
        <w:t xml:space="preserve"> and </w:t>
      </w:r>
      <w:r w:rsidRPr="001A3D2B">
        <w:t>which cited</w:t>
      </w:r>
      <w:r w:rsidR="003A1917">
        <w:t xml:space="preserve"> the </w:t>
      </w:r>
      <w:r w:rsidRPr="001A3D2B">
        <w:t>Panel Report were more likely to follow its recommendations oil discounting, quality-adjusted life years (QALYs),</w:t>
      </w:r>
      <w:r w:rsidR="005853A9">
        <w:t xml:space="preserve"> and </w:t>
      </w:r>
      <w:r w:rsidRPr="001A3D2B">
        <w:t>incremental ratios than (1) Studies published before</w:t>
      </w:r>
      <w:r w:rsidR="003A1917">
        <w:t xml:space="preserve"> the </w:t>
      </w:r>
      <w:r w:rsidRPr="001A3D2B">
        <w:t>Panel Report,</w:t>
      </w:r>
      <w:r w:rsidR="005853A9">
        <w:t xml:space="preserve"> and </w:t>
      </w:r>
      <w:r w:rsidRPr="001A3D2B">
        <w:t>(2) studies published after</w:t>
      </w:r>
      <w:r w:rsidR="003A1917">
        <w:t xml:space="preserve"> the </w:t>
      </w:r>
      <w:r w:rsidRPr="001A3D2B">
        <w:t>Panel Report but that did not cite</w:t>
      </w:r>
      <w:r w:rsidR="003A1917">
        <w:t xml:space="preserve"> the </w:t>
      </w:r>
      <w:r w:rsidRPr="001A3D2B">
        <w:t>Panel Report. We used</w:t>
      </w:r>
      <w:r w:rsidR="003A1917">
        <w:t xml:space="preserve"> the </w:t>
      </w:r>
      <w:r w:rsidRPr="001A3D2B">
        <w:t>Science Citation Index to identify all studies Citing</w:t>
      </w:r>
      <w:r w:rsidR="003A1917">
        <w:t xml:space="preserve"> the </w:t>
      </w:r>
      <w:r w:rsidRPr="001A3D2B">
        <w:t>Panel Report that were also empirical, cost-effectiveness analyses (n = 18). We randomly selected two groups for comparison (N = 54). Studies Were Compared rising contingency tables.</w:t>
      </w:r>
    </w:p>
    <w:p w:rsidR="003474F2" w:rsidRPr="001A3D2B" w:rsidRDefault="003474F2" w:rsidP="003474F2">
      <w:pPr>
        <w:pStyle w:val="a3"/>
      </w:pPr>
      <w:r w:rsidRPr="001A3D2B">
        <w:t>Results: Significantly more studies that cited</w:t>
      </w:r>
      <w:r w:rsidR="003A1917">
        <w:t xml:space="preserve"> the </w:t>
      </w:r>
      <w:r w:rsidRPr="001A3D2B">
        <w:t>Panel Report used a 3% discount rate than did post-report comparison studies (p = 0.03)</w:t>
      </w:r>
      <w:r w:rsidR="005853A9">
        <w:t xml:space="preserve"> and </w:t>
      </w:r>
      <w:r w:rsidRPr="001A3D2B">
        <w:t>pre-report comparison studies (p = 0.03)</w:t>
      </w:r>
      <w:r w:rsidR="00A37C1D">
        <w:t>. The</w:t>
      </w:r>
      <w:r w:rsidRPr="001A3D2B">
        <w:t>re was a nonsignificant trend for studies citing</w:t>
      </w:r>
      <w:r w:rsidR="003A1917">
        <w:t xml:space="preserve"> the </w:t>
      </w:r>
      <w:r w:rsidRPr="001A3D2B">
        <w:t>Panel Report to be more likely to use QALYs</w:t>
      </w:r>
      <w:r w:rsidR="005853A9">
        <w:t xml:space="preserve"> and </w:t>
      </w:r>
      <w:r w:rsidRPr="001A3D2B">
        <w:t>incremental ratios (range</w:t>
      </w:r>
      <w:r w:rsidR="00427468">
        <w:t xml:space="preserve"> of </w:t>
      </w:r>
      <w:r w:rsidRPr="001A3D2B">
        <w:t>p = 0.11 to p = 0.20).</w:t>
      </w:r>
    </w:p>
    <w:p w:rsidR="003474F2" w:rsidRPr="001A3D2B" w:rsidRDefault="003474F2" w:rsidP="003474F2">
      <w:pPr>
        <w:pStyle w:val="a3"/>
      </w:pPr>
      <w:r w:rsidRPr="001A3D2B">
        <w:t>Conclusions: We found evidence that</w:t>
      </w:r>
      <w:r w:rsidR="003A1917">
        <w:t xml:space="preserve"> the </w:t>
      </w:r>
      <w:r w:rsidRPr="001A3D2B">
        <w:t>Panel Report had an impact oil practice. However, 31%</w:t>
      </w:r>
      <w:r w:rsidR="00427468">
        <w:t xml:space="preserve"> of </w:t>
      </w:r>
      <w:r w:rsidR="003A1917">
        <w:t xml:space="preserve">the </w:t>
      </w:r>
      <w:r w:rsidRPr="001A3D2B">
        <w:t>studies citing</w:t>
      </w:r>
      <w:r w:rsidR="003A1917">
        <w:t xml:space="preserve"> the </w:t>
      </w:r>
      <w:r w:rsidRPr="001A3D2B">
        <w:t>Panel Report did not follow</w:t>
      </w:r>
      <w:r w:rsidR="003A1917">
        <w:t xml:space="preserve"> the </w:t>
      </w:r>
      <w:r w:rsidRPr="001A3D2B">
        <w:lastRenderedPageBreak/>
        <w:t>recommendation to use a 3% discount rate,</w:t>
      </w:r>
      <w:r w:rsidR="005853A9">
        <w:t xml:space="preserve"> and </w:t>
      </w:r>
      <w:r w:rsidRPr="001A3D2B">
        <w:t>only 28% followed all three recommendations.</w:t>
      </w:r>
    </w:p>
    <w:p w:rsidR="003474F2" w:rsidRPr="001A3D2B" w:rsidRDefault="003474F2" w:rsidP="003474F2">
      <w:pPr>
        <w:pStyle w:val="a3"/>
      </w:pPr>
      <w:r w:rsidRPr="001A3D2B">
        <w:t>Keywords: Costs</w:t>
      </w:r>
      <w:r w:rsidR="005853A9">
        <w:t xml:space="preserve"> and </w:t>
      </w:r>
      <w:r w:rsidRPr="001A3D2B">
        <w:t>Cost Analysis, Cost-Benefit Analysis, Nonvalvular Atrial-Fibrillation, Total Hip-Replacement, Deep-Vein Thrombosis, Utility Analyses, Benefit-Analysis, Contingent Valuation, Economic-Evaluation, Infected Persons, Cystic-Fibrosis, Prevention</w:t>
      </w:r>
    </w:p>
    <w:p w:rsidR="003474F2" w:rsidRPr="001A3D2B" w:rsidRDefault="003474F2" w:rsidP="003474F2">
      <w:pPr>
        <w:pStyle w:val="a3"/>
      </w:pPr>
      <w:r w:rsidRPr="001A3D2B">
        <w:t xml:space="preserve">Notes: </w:t>
      </w:r>
      <w:r w:rsidR="000124BC" w:rsidRPr="001A3D2B">
        <w:t>IInstitute</w:t>
      </w:r>
    </w:p>
    <w:p w:rsidR="00D77EB2" w:rsidRPr="001A3D2B" w:rsidRDefault="00D77EB2" w:rsidP="00D77EB2">
      <w:pPr>
        <w:pStyle w:val="a3"/>
        <w:rPr>
          <w:rStyle w:val="a4"/>
        </w:rPr>
      </w:pPr>
      <w:r w:rsidRPr="001A3D2B">
        <w:t>? Silver Wallace, L.</w:t>
      </w:r>
      <w:r w:rsidR="005853A9">
        <w:t xml:space="preserve"> and </w:t>
      </w:r>
      <w:r w:rsidRPr="001A3D2B">
        <w:t>Leenders, N. (2004), Content analysis</w:t>
      </w:r>
      <w:r w:rsidR="00427468">
        <w:t xml:space="preserve"> of </w:t>
      </w:r>
      <w:r w:rsidRPr="001A3D2B">
        <w:t>prime-time television coverage</w:t>
      </w:r>
      <w:r w:rsidR="00427468">
        <w:t xml:space="preserve"> of </w:t>
      </w:r>
      <w:r w:rsidRPr="001A3D2B">
        <w:t xml:space="preserve">physical activity, 1970-2001. </w:t>
      </w:r>
      <w:r w:rsidRPr="001A3D2B">
        <w:rPr>
          <w:i/>
          <w:iCs/>
        </w:rPr>
        <w:t>American Journal</w:t>
      </w:r>
      <w:r w:rsidR="00427468">
        <w:rPr>
          <w:i/>
          <w:iCs/>
        </w:rPr>
        <w:t xml:space="preserve"> of </w:t>
      </w:r>
      <w:r w:rsidRPr="001A3D2B">
        <w:rPr>
          <w:i/>
          <w:iCs/>
        </w:rPr>
        <w:t>Preventive Medicine</w:t>
      </w:r>
      <w:r w:rsidRPr="001A3D2B">
        <w:rPr>
          <w:rStyle w:val="a4"/>
        </w:rPr>
        <w:t xml:space="preserve">, </w:t>
      </w:r>
      <w:r w:rsidRPr="001A3D2B">
        <w:rPr>
          <w:b/>
          <w:bCs/>
        </w:rPr>
        <w:t>26</w:t>
      </w:r>
      <w:r w:rsidRPr="001A3D2B">
        <w:rPr>
          <w:rStyle w:val="a4"/>
        </w:rPr>
        <w:t xml:space="preserve"> (2), 130-134.</w:t>
      </w:r>
    </w:p>
    <w:p w:rsidR="00D77EB2" w:rsidRPr="001A3D2B" w:rsidRDefault="00D77EB2" w:rsidP="00D77EB2">
      <w:pPr>
        <w:pStyle w:val="a3"/>
      </w:pPr>
      <w:r w:rsidRPr="001A3D2B">
        <w:t xml:space="preserve">Full Text: </w:t>
      </w:r>
      <w:hyperlink r:id="rId591" w:history="1">
        <w:r w:rsidRPr="001A3D2B">
          <w:rPr>
            <w:rStyle w:val="a5"/>
          </w:rPr>
          <w:t>2004\Ame J Pre Med26, 130.pdf</w:t>
        </w:r>
      </w:hyperlink>
    </w:p>
    <w:p w:rsidR="00D77EB2" w:rsidRPr="001A3D2B" w:rsidRDefault="00D77EB2" w:rsidP="00D77EB2">
      <w:pPr>
        <w:pStyle w:val="a3"/>
      </w:pPr>
      <w:r w:rsidRPr="001A3D2B">
        <w:t>Abstract: BACKGROUND:</w:t>
      </w:r>
      <w:r w:rsidR="003A1917">
        <w:t xml:space="preserve"> the </w:t>
      </w:r>
      <w:r w:rsidRPr="001A3D2B">
        <w:t>purpose</w:t>
      </w:r>
      <w:r w:rsidR="00427468">
        <w:t xml:space="preserve"> of </w:t>
      </w:r>
      <w:r w:rsidRPr="001A3D2B">
        <w:t>this study was to examine how major nightly television networks reported on</w:t>
      </w:r>
      <w:r w:rsidR="003A1917">
        <w:t xml:space="preserve"> the </w:t>
      </w:r>
      <w:r w:rsidRPr="001A3D2B">
        <w:t>health benefits</w:t>
      </w:r>
      <w:r w:rsidR="00427468">
        <w:t xml:space="preserve"> of </w:t>
      </w:r>
      <w:r w:rsidRPr="001A3D2B">
        <w:t>physical activity. METHODS: A retrospective content analysis</w:t>
      </w:r>
      <w:r w:rsidR="00427468">
        <w:t xml:space="preserve"> of </w:t>
      </w:r>
      <w:r w:rsidRPr="001A3D2B">
        <w:t>physical activity coverage on four major nightly television networks from 1970 to 2001 was performed</w:t>
      </w:r>
      <w:r w:rsidR="00A37C1D">
        <w:t>. The</w:t>
      </w:r>
      <w:r w:rsidR="003A1917">
        <w:t xml:space="preserve"> </w:t>
      </w:r>
      <w:r w:rsidRPr="001A3D2B">
        <w:t xml:space="preserve">Vanderbilt Television News Archives were searched for keywords </w:t>
      </w:r>
      <w:r w:rsidR="00B5188C">
        <w:t>“</w:t>
      </w:r>
      <w:r w:rsidRPr="001A3D2B">
        <w:t>physical activity,</w:t>
      </w:r>
      <w:r w:rsidR="00B5188C">
        <w:t>”</w:t>
      </w:r>
      <w:r w:rsidRPr="001A3D2B">
        <w:t xml:space="preserve"> </w:t>
      </w:r>
      <w:r w:rsidR="00B5188C">
        <w:t>“</w:t>
      </w:r>
      <w:r w:rsidRPr="001A3D2B">
        <w:t>physical fitness,</w:t>
      </w:r>
      <w:r w:rsidR="00B5188C">
        <w:t>”</w:t>
      </w:r>
      <w:r w:rsidR="005853A9">
        <w:t xml:space="preserve"> and </w:t>
      </w:r>
      <w:r w:rsidR="00B5188C">
        <w:t>“</w:t>
      </w:r>
      <w:r w:rsidRPr="001A3D2B">
        <w:t>exercise.</w:t>
      </w:r>
      <w:r w:rsidR="00B5188C">
        <w:t>”</w:t>
      </w:r>
      <w:r w:rsidRPr="001A3D2B">
        <w:t xml:space="preserve"> RESULTS: During</w:t>
      </w:r>
      <w:r w:rsidR="003A1917">
        <w:t xml:space="preserve"> the </w:t>
      </w:r>
      <w:r w:rsidRPr="001A3D2B">
        <w:t>31-year time period, 111 non-overlapping reports aired on all networks combined</w:t>
      </w:r>
      <w:r w:rsidR="00A37C1D">
        <w:t>. The</w:t>
      </w:r>
      <w:r w:rsidR="003A1917">
        <w:t xml:space="preserve"> </w:t>
      </w:r>
      <w:r w:rsidRPr="001A3D2B">
        <w:t>link between physical activity</w:t>
      </w:r>
      <w:r w:rsidR="005853A9">
        <w:t xml:space="preserve"> and </w:t>
      </w:r>
      <w:r w:rsidRPr="001A3D2B">
        <w:t>health was reported in 53 (47.7%) articles, with general health (n =16, 14.4%)</w:t>
      </w:r>
      <w:r w:rsidR="005853A9">
        <w:t xml:space="preserve"> and </w:t>
      </w:r>
      <w:r w:rsidRPr="001A3D2B">
        <w:t>heart disease (n =12, 12.6%) cited most frequently. Just three broadcasts related to</w:t>
      </w:r>
      <w:r w:rsidR="003A1917">
        <w:t xml:space="preserve"> the </w:t>
      </w:r>
      <w:r w:rsidRPr="001A3D2B">
        <w:t>Surgeon</w:t>
      </w:r>
      <w:r w:rsidR="00700038">
        <w:t>’</w:t>
      </w:r>
      <w:r w:rsidR="00C13DDC">
        <w:t>s</w:t>
      </w:r>
      <w:r w:rsidRPr="001A3D2B">
        <w:t xml:space="preserve"> General Report on Physical Activity</w:t>
      </w:r>
      <w:r w:rsidR="005853A9">
        <w:t xml:space="preserve"> and </w:t>
      </w:r>
      <w:r w:rsidRPr="001A3D2B">
        <w:t>Health were aired following its publication in 1996. CONCLUSIONS: Although</w:t>
      </w:r>
      <w:r w:rsidR="003A1917">
        <w:t xml:space="preserve"> the </w:t>
      </w:r>
      <w:r w:rsidRPr="001A3D2B">
        <w:t>protective health benefits</w:t>
      </w:r>
      <w:r w:rsidR="00427468">
        <w:t xml:space="preserve"> of </w:t>
      </w:r>
      <w:r w:rsidRPr="001A3D2B">
        <w:t>physical activity are well established, physical activity received a modest amount</w:t>
      </w:r>
      <w:r w:rsidR="00427468">
        <w:t xml:space="preserve"> of </w:t>
      </w:r>
      <w:r w:rsidRPr="001A3D2B">
        <w:t>television coverage from 1970 through 2001.</w:t>
      </w:r>
    </w:p>
    <w:p w:rsidR="00D77EB2" w:rsidRPr="001A3D2B" w:rsidRDefault="00D77EB2" w:rsidP="00D77EB2">
      <w:pPr>
        <w:pStyle w:val="a3"/>
      </w:pPr>
      <w:r w:rsidRPr="001A3D2B">
        <w:t>Keywords: Analysis, Background, Content Analysis, Coverage, General, Health, Heart, Methods, Networks, Physical, Physical Activity, Publication, Purpose</w:t>
      </w:r>
    </w:p>
    <w:p w:rsidR="003474F2" w:rsidRPr="001A3D2B" w:rsidRDefault="003474F2" w:rsidP="003474F2">
      <w:pPr>
        <w:pStyle w:val="a3"/>
      </w:pPr>
      <w:r w:rsidRPr="001A3D2B">
        <w:t>? Franks, A.L., Simoes, E.J., Singh, R.</w:t>
      </w:r>
      <w:r w:rsidR="005853A9">
        <w:t xml:space="preserve"> and </w:t>
      </w:r>
      <w:r w:rsidRPr="001A3D2B">
        <w:t xml:space="preserve">Gray, B.S. (2002), Assessing prevention research impact: A bibliometric analysis. </w:t>
      </w:r>
      <w:r w:rsidRPr="001A3D2B">
        <w:rPr>
          <w:i/>
          <w:iCs/>
        </w:rPr>
        <w:t>American Journal</w:t>
      </w:r>
      <w:r w:rsidR="00427468">
        <w:rPr>
          <w:i/>
          <w:iCs/>
        </w:rPr>
        <w:t xml:space="preserve"> of </w:t>
      </w:r>
      <w:r w:rsidRPr="001A3D2B">
        <w:rPr>
          <w:i/>
          <w:iCs/>
        </w:rPr>
        <w:t>Preventive Medicine</w:t>
      </w:r>
      <w:r w:rsidRPr="001A3D2B">
        <w:t xml:space="preserve">, </w:t>
      </w:r>
      <w:r w:rsidRPr="001A3D2B">
        <w:rPr>
          <w:b/>
          <w:bCs/>
        </w:rPr>
        <w:t>30</w:t>
      </w:r>
      <w:r w:rsidRPr="001A3D2B">
        <w:t xml:space="preserve"> (3), 211-216.</w:t>
      </w:r>
    </w:p>
    <w:p w:rsidR="003474F2" w:rsidRPr="001A3D2B" w:rsidRDefault="003474F2" w:rsidP="003474F2">
      <w:pPr>
        <w:pStyle w:val="a3"/>
      </w:pPr>
      <w:r w:rsidRPr="001A3D2B">
        <w:t xml:space="preserve">Full Text: </w:t>
      </w:r>
      <w:hyperlink r:id="rId592" w:history="1">
        <w:r w:rsidRPr="001A3D2B">
          <w:rPr>
            <w:rStyle w:val="a5"/>
          </w:rPr>
          <w:t>2006\Ame J Pre Med30, 211.pdf</w:t>
        </w:r>
      </w:hyperlink>
    </w:p>
    <w:p w:rsidR="003474F2" w:rsidRPr="001A3D2B" w:rsidRDefault="003474F2" w:rsidP="003474F2">
      <w:pPr>
        <w:pStyle w:val="a3"/>
      </w:pPr>
      <w:r w:rsidRPr="001A3D2B">
        <w:t>Abstract: Background: This study was undertaken to explore a bibliometric approach to assessing</w:t>
      </w:r>
      <w:r w:rsidR="003A1917">
        <w:t xml:space="preserve"> the </w:t>
      </w:r>
      <w:r w:rsidRPr="001A3D2B">
        <w:t>impact</w:t>
      </w:r>
      <w:r w:rsidR="00427468">
        <w:t xml:space="preserve"> of </w:t>
      </w:r>
      <w:r w:rsidRPr="001A3D2B">
        <w:t>selected prevention research center (PRC) peer-reviewed publications. Methods:</w:t>
      </w:r>
      <w:r w:rsidR="003A1917">
        <w:t xml:space="preserve"> the </w:t>
      </w:r>
      <w:r w:rsidRPr="001A3D2B">
        <w:t>25 eligible PRCs were asked to submit 15 papers that they considered</w:t>
      </w:r>
      <w:r w:rsidR="003A1917">
        <w:t xml:space="preserve"> the </w:t>
      </w:r>
      <w:r w:rsidRPr="001A3D2B">
        <w:t>most important to be published in</w:t>
      </w:r>
      <w:r w:rsidR="003A1917">
        <w:t xml:space="preserve"> the </w:t>
      </w:r>
      <w:r w:rsidRPr="001A3D2B">
        <w:t>decade 1994-2004. journal articles (n =227) were verified in 2004</w:t>
      </w:r>
      <w:r w:rsidR="005853A9">
        <w:t xml:space="preserve"> and </w:t>
      </w:r>
      <w:r w:rsidRPr="001A3D2B">
        <w:t>categorized: 73% were research reports, 10% discussion articles, 9% dissemination articles,</w:t>
      </w:r>
      <w:r w:rsidR="005853A9">
        <w:t xml:space="preserve"> and </w:t>
      </w:r>
      <w:r w:rsidRPr="001A3D2B">
        <w:t>7% review articles. Results: Only 189 articles (83%) were searchable via</w:t>
      </w:r>
      <w:r w:rsidR="003A1917">
        <w:t xml:space="preserve"> the </w:t>
      </w:r>
      <w:r w:rsidRPr="001A3D2B">
        <w:t>Institute</w:t>
      </w:r>
      <w:r w:rsidR="00427468">
        <w:t xml:space="preserve"> of </w:t>
      </w:r>
      <w:r w:rsidRPr="001A3D2B">
        <w:t xml:space="preserve">Scientific Information (ISI), </w:t>
      </w:r>
      <w:r w:rsidR="00D5664A">
        <w:t>Web</w:t>
      </w:r>
      <w:r w:rsidR="00427468">
        <w:t xml:space="preserve"> of </w:t>
      </w:r>
      <w:r w:rsidR="00D5664A">
        <w:t>Science</w:t>
      </w:r>
      <w:r w:rsidRPr="001A3D2B">
        <w:t xml:space="preserve"> databases for citation tracking in 2004</w:t>
      </w:r>
      <w:r w:rsidR="00A37C1D">
        <w:t>. The</w:t>
      </w:r>
      <w:r w:rsidRPr="001A3D2B">
        <w:t>se 189 articles were published in 76 distinct journals</w:t>
      </w:r>
      <w:r w:rsidR="005853A9">
        <w:t xml:space="preserve"> and </w:t>
      </w:r>
      <w:r w:rsidRPr="001A3D2B">
        <w:t xml:space="preserve">subsequently, cited 4628 times (range 0 to 1523) </w:t>
      </w:r>
      <w:r w:rsidRPr="001A3D2B">
        <w:lastRenderedPageBreak/>
        <w:t>in 1013 journals. Articles published before 2001 were cited a median</w:t>
      </w:r>
      <w:r w:rsidR="00427468">
        <w:t xml:space="preserve"> of </w:t>
      </w:r>
      <w:r w:rsidRPr="001A3D2B">
        <w:t>14 times each. Publishing journals had a median ISI impact factor</w:t>
      </w:r>
      <w:r w:rsidR="00427468">
        <w:t xml:space="preserve"> of </w:t>
      </w:r>
      <w:r w:rsidRPr="001A3D2B">
        <w:t>2.6,</w:t>
      </w:r>
      <w:r w:rsidR="005853A9">
        <w:t xml:space="preserve"> and </w:t>
      </w:r>
      <w:r w:rsidRPr="001A3D2B">
        <w:t>ISI half-life</w:t>
      </w:r>
      <w:r w:rsidR="00427468">
        <w:t xml:space="preserve"> of </w:t>
      </w:r>
      <w:r w:rsidRPr="001A3D2B">
        <w:t>7.2. No suitable benchmarks were available for comparison</w:t>
      </w:r>
      <w:r w:rsidR="00A37C1D">
        <w:t>. The</w:t>
      </w:r>
      <w:r w:rsidR="003A1917">
        <w:t xml:space="preserve"> </w:t>
      </w:r>
      <w:r w:rsidRPr="001A3D2B">
        <w:t>PRC influence factor (number</w:t>
      </w:r>
      <w:r w:rsidR="00427468">
        <w:t xml:space="preserve"> of </w:t>
      </w:r>
      <w:r w:rsidRPr="001A3D2B">
        <w:t>PRCs that considered a journal highly influential) was only weakly correlated with</w:t>
      </w:r>
      <w:r w:rsidR="003A1917">
        <w:t xml:space="preserve"> the </w:t>
      </w:r>
      <w:r w:rsidRPr="001A3D2B">
        <w:t>ISI impact factor</w:t>
      </w:r>
      <w:r w:rsidR="005853A9">
        <w:t xml:space="preserve"> and </w:t>
      </w:r>
      <w:r w:rsidRPr="001A3D2B">
        <w:t>was not correlated with half-life. Conclusions: Conventional bibliometric analysis to assess</w:t>
      </w:r>
      <w:r w:rsidR="003A1917">
        <w:t xml:space="preserve"> the </w:t>
      </w:r>
      <w:r w:rsidRPr="001A3D2B">
        <w:t>scientific impact</w:t>
      </w:r>
      <w:r w:rsidR="00427468">
        <w:t xml:space="preserve"> of </w:t>
      </w:r>
      <w:r w:rsidRPr="001A3D2B">
        <w:t>public health prevention research is feasible, but</w:t>
      </w:r>
      <w:r w:rsidR="00427468">
        <w:t xml:space="preserve"> of </w:t>
      </w:r>
      <w:r w:rsidRPr="001A3D2B">
        <w:t>limited utility because</w:t>
      </w:r>
      <w:r w:rsidR="00427468">
        <w:t xml:space="preserve"> of </w:t>
      </w:r>
      <w:r w:rsidRPr="001A3D2B">
        <w:t>omissions from ISI</w:t>
      </w:r>
      <w:r w:rsidR="00700038">
        <w:t>’</w:t>
      </w:r>
      <w:r w:rsidR="00C13DDC">
        <w:t>s</w:t>
      </w:r>
      <w:r w:rsidRPr="001A3D2B">
        <w:t xml:space="preserve"> databases,</w:t>
      </w:r>
      <w:r w:rsidR="005853A9">
        <w:t xml:space="preserve"> and </w:t>
      </w:r>
      <w:r w:rsidRPr="001A3D2B">
        <w:t>because citation benchmarks for prevention research have not been established: these problems can</w:t>
      </w:r>
      <w:r w:rsidR="005853A9">
        <w:t xml:space="preserve"> and </w:t>
      </w:r>
      <w:r w:rsidRPr="001A3D2B">
        <w:t>should be addressed. Assessment</w:t>
      </w:r>
      <w:r w:rsidR="00427468">
        <w:t xml:space="preserve"> of </w:t>
      </w:r>
      <w:r w:rsidRPr="001A3D2B">
        <w:t>impact on public health practice, policy, or on</w:t>
      </w:r>
      <w:r w:rsidR="003A1917">
        <w:t xml:space="preserve"> the </w:t>
      </w:r>
      <w:r w:rsidRPr="001A3D2B">
        <w:t>health</w:t>
      </w:r>
      <w:r w:rsidR="00427468">
        <w:t xml:space="preserve"> of </w:t>
      </w:r>
      <w:r w:rsidRPr="001A3D2B">
        <w:t>populations, will require more than a bibliometric approach.</w:t>
      </w:r>
    </w:p>
    <w:p w:rsidR="003474F2" w:rsidRPr="001A3D2B" w:rsidRDefault="003474F2" w:rsidP="003474F2">
      <w:pPr>
        <w:pStyle w:val="a3"/>
      </w:pPr>
      <w:r w:rsidRPr="001A3D2B">
        <w:t>Keywords: Analysis, Bibliometric Analysis, Citations, Databases, Half-Life, Health, Impact, Impact Factor</w:t>
      </w:r>
      <w:r w:rsidR="00D5664A">
        <w:t>, ISI,</w:t>
      </w:r>
      <w:r w:rsidRPr="001A3D2B">
        <w:t xml:space="preserve"> Journals, Policy, Practice, PRCS, Prevention, Public Health, Publications, Range, Research, Review, Tracking, Utility</w:t>
      </w:r>
    </w:p>
    <w:p w:rsidR="00D77EB2" w:rsidRDefault="00D77EB2" w:rsidP="00D77EB2">
      <w:pPr>
        <w:pStyle w:val="a3"/>
        <w:rPr>
          <w:kern w:val="0"/>
        </w:rPr>
      </w:pPr>
      <w:r>
        <w:rPr>
          <w:rFonts w:hint="eastAsia"/>
          <w:kern w:val="0"/>
        </w:rPr>
        <w:t xml:space="preserve">? </w:t>
      </w:r>
      <w:r>
        <w:rPr>
          <w:kern w:val="0"/>
        </w:rPr>
        <w:t>Kremers, S.P.J., de Bruijn, G.J., Droomers, M., van Lenthe, F.</w:t>
      </w:r>
      <w:r w:rsidR="005853A9">
        <w:rPr>
          <w:kern w:val="0"/>
        </w:rPr>
        <w:t xml:space="preserve"> and </w:t>
      </w:r>
      <w:r>
        <w:rPr>
          <w:kern w:val="0"/>
        </w:rPr>
        <w:t>Brug, J. (2007), Moderators</w:t>
      </w:r>
      <w:r w:rsidR="00427468">
        <w:rPr>
          <w:kern w:val="0"/>
        </w:rPr>
        <w:t xml:space="preserve"> of </w:t>
      </w:r>
      <w:r>
        <w:rPr>
          <w:kern w:val="0"/>
        </w:rPr>
        <w:t>environmental intervention effects on diet</w:t>
      </w:r>
      <w:r w:rsidR="005853A9">
        <w:rPr>
          <w:kern w:val="0"/>
        </w:rPr>
        <w:t xml:space="preserve"> and </w:t>
      </w:r>
      <w:r>
        <w:rPr>
          <w:kern w:val="0"/>
        </w:rPr>
        <w:t xml:space="preserve">activity in youth. </w:t>
      </w:r>
      <w:r>
        <w:rPr>
          <w:i/>
          <w:iCs/>
          <w:kern w:val="0"/>
        </w:rPr>
        <w:t>American Journal</w:t>
      </w:r>
      <w:r w:rsidR="00427468">
        <w:rPr>
          <w:i/>
          <w:iCs/>
          <w:kern w:val="0"/>
        </w:rPr>
        <w:t xml:space="preserve"> of </w:t>
      </w:r>
      <w:r>
        <w:rPr>
          <w:i/>
          <w:iCs/>
          <w:kern w:val="0"/>
        </w:rPr>
        <w:t>Preventive Medicine</w:t>
      </w:r>
      <w:r>
        <w:rPr>
          <w:kern w:val="0"/>
        </w:rPr>
        <w:t xml:space="preserve">, </w:t>
      </w:r>
      <w:r>
        <w:rPr>
          <w:b/>
          <w:bCs/>
          <w:kern w:val="0"/>
        </w:rPr>
        <w:t>32</w:t>
      </w:r>
      <w:r>
        <w:rPr>
          <w:kern w:val="0"/>
        </w:rPr>
        <w:t xml:space="preserve"> (2), 163-172.</w:t>
      </w:r>
    </w:p>
    <w:p w:rsidR="00276839" w:rsidRPr="001A3D2B" w:rsidRDefault="00276839" w:rsidP="00276839">
      <w:pPr>
        <w:pStyle w:val="a3"/>
      </w:pPr>
      <w:r w:rsidRPr="001A3D2B">
        <w:t xml:space="preserve">Full Text: </w:t>
      </w:r>
      <w:hyperlink r:id="rId593" w:history="1">
        <w:r w:rsidRPr="003469AE">
          <w:rPr>
            <w:rStyle w:val="a5"/>
          </w:rPr>
          <w:t>2007\Ame J Pre Med32, 163.pdf</w:t>
        </w:r>
      </w:hyperlink>
    </w:p>
    <w:p w:rsidR="00D77EB2" w:rsidRDefault="00D77EB2" w:rsidP="00D77EB2">
      <w:pPr>
        <w:pStyle w:val="a3"/>
        <w:rPr>
          <w:kern w:val="0"/>
        </w:rPr>
      </w:pPr>
      <w:r>
        <w:rPr>
          <w:kern w:val="0"/>
        </w:rPr>
        <w:t>Abstract: Background:</w:t>
      </w:r>
      <w:r w:rsidR="003A1917">
        <w:rPr>
          <w:kern w:val="0"/>
        </w:rPr>
        <w:t xml:space="preserve"> the </w:t>
      </w:r>
      <w:r>
        <w:rPr>
          <w:kern w:val="0"/>
        </w:rPr>
        <w:t>complexity</w:t>
      </w:r>
      <w:r w:rsidR="00427468">
        <w:rPr>
          <w:kern w:val="0"/>
        </w:rPr>
        <w:t xml:space="preserve"> of </w:t>
      </w:r>
      <w:r w:rsidR="003A1917">
        <w:rPr>
          <w:kern w:val="0"/>
        </w:rPr>
        <w:t xml:space="preserve">the </w:t>
      </w:r>
      <w:r>
        <w:rPr>
          <w:kern w:val="0"/>
        </w:rPr>
        <w:t>relationship between environmental factors on</w:t>
      </w:r>
      <w:r w:rsidR="003A1917">
        <w:rPr>
          <w:kern w:val="0"/>
        </w:rPr>
        <w:t xml:space="preserve"> the </w:t>
      </w:r>
      <w:r>
        <w:rPr>
          <w:kern w:val="0"/>
        </w:rPr>
        <w:t>one hand</w:t>
      </w:r>
      <w:r w:rsidR="005853A9">
        <w:rPr>
          <w:kern w:val="0"/>
        </w:rPr>
        <w:t xml:space="preserve"> and </w:t>
      </w:r>
      <w:r>
        <w:rPr>
          <w:kern w:val="0"/>
        </w:rPr>
        <w:t>dietary behavior</w:t>
      </w:r>
      <w:r w:rsidR="005853A9">
        <w:rPr>
          <w:kern w:val="0"/>
        </w:rPr>
        <w:t xml:space="preserve"> and </w:t>
      </w:r>
      <w:r>
        <w:rPr>
          <w:kern w:val="0"/>
        </w:rPr>
        <w:t>physical activity on</w:t>
      </w:r>
      <w:r w:rsidR="003A1917">
        <w:rPr>
          <w:kern w:val="0"/>
        </w:rPr>
        <w:t xml:space="preserve"> the </w:t>
      </w:r>
      <w:r>
        <w:rPr>
          <w:kern w:val="0"/>
        </w:rPr>
        <w:t>other necessitates</w:t>
      </w:r>
      <w:r w:rsidR="003A1917">
        <w:rPr>
          <w:kern w:val="0"/>
        </w:rPr>
        <w:t xml:space="preserve"> the </w:t>
      </w:r>
      <w:r>
        <w:rPr>
          <w:kern w:val="0"/>
        </w:rPr>
        <w:t>search for moderators</w:t>
      </w:r>
      <w:r w:rsidR="00427468">
        <w:rPr>
          <w:kern w:val="0"/>
        </w:rPr>
        <w:t xml:space="preserve"> of </w:t>
      </w:r>
      <w:r>
        <w:rPr>
          <w:kern w:val="0"/>
        </w:rPr>
        <w:t>environmental influences</w:t>
      </w:r>
      <w:r w:rsidR="00A37C1D">
        <w:rPr>
          <w:kern w:val="0"/>
        </w:rPr>
        <w:t>. The</w:t>
      </w:r>
      <w:r w:rsidR="003A1917">
        <w:rPr>
          <w:kern w:val="0"/>
        </w:rPr>
        <w:t xml:space="preserve"> </w:t>
      </w:r>
      <w:r>
        <w:rPr>
          <w:kern w:val="0"/>
        </w:rPr>
        <w:t>current evidence base is reviewed regarding potential moderating factors in</w:t>
      </w:r>
      <w:r w:rsidR="003A1917">
        <w:rPr>
          <w:kern w:val="0"/>
        </w:rPr>
        <w:t xml:space="preserve"> the </w:t>
      </w:r>
      <w:r>
        <w:rPr>
          <w:kern w:val="0"/>
        </w:rPr>
        <w:t>effectiveness</w:t>
      </w:r>
      <w:r w:rsidR="00427468">
        <w:rPr>
          <w:kern w:val="0"/>
        </w:rPr>
        <w:t xml:space="preserve"> of </w:t>
      </w:r>
      <w:r>
        <w:rPr>
          <w:kern w:val="0"/>
        </w:rPr>
        <w:t>environmental interventions aimed at diet and/or physical activity</w:t>
      </w:r>
      <w:r w:rsidR="00427468">
        <w:rPr>
          <w:kern w:val="0"/>
        </w:rPr>
        <w:t xml:space="preserve"> of </w:t>
      </w:r>
      <w:r>
        <w:rPr>
          <w:kern w:val="0"/>
        </w:rPr>
        <w:t>children</w:t>
      </w:r>
      <w:r w:rsidR="005853A9">
        <w:rPr>
          <w:kern w:val="0"/>
        </w:rPr>
        <w:t xml:space="preserve"> and </w:t>
      </w:r>
      <w:r>
        <w:rPr>
          <w:kern w:val="0"/>
        </w:rPr>
        <w:t>adolescents. Methods:</w:t>
      </w:r>
      <w:r w:rsidR="003A1917">
        <w:rPr>
          <w:kern w:val="0"/>
        </w:rPr>
        <w:t xml:space="preserve"> the </w:t>
      </w:r>
      <w:r>
        <w:rPr>
          <w:kern w:val="0"/>
        </w:rPr>
        <w:t xml:space="preserve">following databases were used: (1) </w:t>
      </w:r>
      <w:r w:rsidR="00D5664A">
        <w:rPr>
          <w:kern w:val="0"/>
        </w:rPr>
        <w:t>MEDLINE</w:t>
      </w:r>
      <w:r>
        <w:rPr>
          <w:kern w:val="0"/>
        </w:rPr>
        <w:t xml:space="preserve">, (2) </w:t>
      </w:r>
      <w:r w:rsidR="002C12F0">
        <w:rPr>
          <w:kern w:val="0"/>
        </w:rPr>
        <w:t>PUBMED</w:t>
      </w:r>
      <w:r>
        <w:rPr>
          <w:kern w:val="0"/>
        </w:rPr>
        <w:t xml:space="preserve">, (3) PsychInfo, (4)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(5) ERIC. Additionally, all potentially relevant references in recent reviews were checked. Results:</w:t>
      </w:r>
      <w:r w:rsidR="00427468">
        <w:rPr>
          <w:kern w:val="0"/>
        </w:rPr>
        <w:t xml:space="preserve"> of </w:t>
      </w:r>
      <w:r w:rsidR="003A1917">
        <w:rPr>
          <w:kern w:val="0"/>
        </w:rPr>
        <w:t xml:space="preserve">the </w:t>
      </w:r>
      <w:r>
        <w:rPr>
          <w:kern w:val="0"/>
        </w:rPr>
        <w:t>41 studies included in</w:t>
      </w:r>
      <w:r w:rsidR="003A1917">
        <w:rPr>
          <w:kern w:val="0"/>
        </w:rPr>
        <w:t xml:space="preserve"> the </w:t>
      </w:r>
      <w:r>
        <w:rPr>
          <w:kern w:val="0"/>
        </w:rPr>
        <w:t>review, only seven studies (17%) were identified that reported tests</w:t>
      </w:r>
      <w:r w:rsidR="00427468">
        <w:rPr>
          <w:kern w:val="0"/>
        </w:rPr>
        <w:t xml:space="preserve"> of </w:t>
      </w:r>
      <w:r>
        <w:rPr>
          <w:kern w:val="0"/>
        </w:rPr>
        <w:t>potential moderators</w:t>
      </w:r>
      <w:r w:rsidR="00427468">
        <w:rPr>
          <w:kern w:val="0"/>
        </w:rPr>
        <w:t xml:space="preserve"> of </w:t>
      </w:r>
      <w:r>
        <w:rPr>
          <w:kern w:val="0"/>
        </w:rPr>
        <w:t>intervention effects. Gender proved to be</w:t>
      </w:r>
      <w:r w:rsidR="003A1917">
        <w:rPr>
          <w:kern w:val="0"/>
        </w:rPr>
        <w:t xml:space="preserve"> the </w:t>
      </w:r>
      <w:r>
        <w:rPr>
          <w:kern w:val="0"/>
        </w:rPr>
        <w:t>most frequently studied potential moderator. Additionally, race, age,</w:t>
      </w:r>
      <w:r w:rsidR="005853A9">
        <w:rPr>
          <w:kern w:val="0"/>
        </w:rPr>
        <w:t xml:space="preserve"> and </w:t>
      </w:r>
      <w:r>
        <w:rPr>
          <w:kern w:val="0"/>
        </w:rPr>
        <w:t>site have been studied regarding their potential role in modifying</w:t>
      </w:r>
      <w:r w:rsidR="003A1917">
        <w:rPr>
          <w:kern w:val="0"/>
        </w:rPr>
        <w:t xml:space="preserve"> the </w:t>
      </w:r>
      <w:r>
        <w:rPr>
          <w:kern w:val="0"/>
        </w:rPr>
        <w:t>effect</w:t>
      </w:r>
      <w:r w:rsidR="00427468">
        <w:rPr>
          <w:kern w:val="0"/>
        </w:rPr>
        <w:t xml:space="preserve"> of </w:t>
      </w:r>
      <w:r>
        <w:rPr>
          <w:kern w:val="0"/>
        </w:rPr>
        <w:t>environmental interventions. Discussion:</w:t>
      </w:r>
      <w:r w:rsidR="003A1917">
        <w:rPr>
          <w:kern w:val="0"/>
        </w:rPr>
        <w:t xml:space="preserve"> the </w:t>
      </w:r>
      <w:r>
        <w:rPr>
          <w:kern w:val="0"/>
        </w:rPr>
        <w:t>small number</w:t>
      </w:r>
      <w:r w:rsidR="00427468">
        <w:rPr>
          <w:kern w:val="0"/>
        </w:rPr>
        <w:t xml:space="preserve"> of </w:t>
      </w:r>
      <w:r>
        <w:rPr>
          <w:kern w:val="0"/>
        </w:rPr>
        <w:t>studies identified in this review prohibited us from attempting to formulate a conclusion on differential environment-behavior relationships in distinct subgroups. Rather than being an exception, it is argued that tests</w:t>
      </w:r>
      <w:r w:rsidR="00427468">
        <w:rPr>
          <w:kern w:val="0"/>
        </w:rPr>
        <w:t xml:space="preserve"> of </w:t>
      </w:r>
      <w:r>
        <w:rPr>
          <w:kern w:val="0"/>
        </w:rPr>
        <w:t>effect modifiers should become common practice in behavioral nutrition</w:t>
      </w:r>
      <w:r w:rsidR="005853A9">
        <w:rPr>
          <w:kern w:val="0"/>
        </w:rPr>
        <w:t xml:space="preserve"> and </w:t>
      </w:r>
      <w:r>
        <w:rPr>
          <w:kern w:val="0"/>
        </w:rPr>
        <w:t>physical activity research to increase our understanding</w:t>
      </w:r>
      <w:r w:rsidR="00427468">
        <w:rPr>
          <w:kern w:val="0"/>
        </w:rPr>
        <w:t xml:space="preserve"> of </w:t>
      </w:r>
      <w:r>
        <w:rPr>
          <w:kern w:val="0"/>
        </w:rPr>
        <w:t>mechanisms</w:t>
      </w:r>
      <w:r w:rsidR="00427468">
        <w:rPr>
          <w:kern w:val="0"/>
        </w:rPr>
        <w:t xml:space="preserve"> of </w:t>
      </w:r>
      <w:r>
        <w:rPr>
          <w:kern w:val="0"/>
        </w:rPr>
        <w:t>behavior change</w:t>
      </w:r>
      <w:r w:rsidR="005853A9">
        <w:rPr>
          <w:kern w:val="0"/>
        </w:rPr>
        <w:t xml:space="preserve"> and </w:t>
      </w:r>
      <w:r>
        <w:rPr>
          <w:kern w:val="0"/>
        </w:rPr>
        <w:t>to optimize interventions.</w:t>
      </w:r>
    </w:p>
    <w:p w:rsidR="00D77EB2" w:rsidRDefault="00D77EB2" w:rsidP="00D77EB2">
      <w:pPr>
        <w:pStyle w:val="a3"/>
        <w:rPr>
          <w:kern w:val="0"/>
        </w:rPr>
      </w:pPr>
      <w:r>
        <w:rPr>
          <w:kern w:val="0"/>
        </w:rPr>
        <w:t xml:space="preserve">Keywords: Adolescents, Cardiovascular Health, Childhood Obesity, Children, Databases, Effectiveness, Elementary-School-Children, Environmental, Gender, Intervention, Interventions, Methods, Multiple-Regression, Neighborhood </w:t>
      </w:r>
      <w:r>
        <w:rPr>
          <w:kern w:val="0"/>
        </w:rPr>
        <w:lastRenderedPageBreak/>
        <w:t xml:space="preserve">Environment, Nutrition, Nutrition Education, Physical Activity, Practice, Pricing Strategy, Promote Physical-Activity, </w:t>
      </w:r>
      <w:r w:rsidR="002C12F0">
        <w:rPr>
          <w:kern w:val="0"/>
        </w:rPr>
        <w:t>PUBMED</w:t>
      </w:r>
      <w:r>
        <w:rPr>
          <w:kern w:val="0"/>
        </w:rPr>
        <w:t xml:space="preserve">, Race, Randomized Controlled-Trial, Research, Review, Science, Vegetable Consumption, </w:t>
      </w:r>
      <w:r w:rsidR="00D5664A">
        <w:rPr>
          <w:kern w:val="0"/>
        </w:rPr>
        <w:t>Web</w:t>
      </w:r>
      <w:r w:rsidR="00427468">
        <w:rPr>
          <w:kern w:val="0"/>
        </w:rPr>
        <w:t xml:space="preserve"> of </w:t>
      </w:r>
      <w:r w:rsidR="00D5664A">
        <w:rPr>
          <w:kern w:val="0"/>
        </w:rPr>
        <w:t>Science</w:t>
      </w:r>
      <w:r>
        <w:rPr>
          <w:kern w:val="0"/>
        </w:rPr>
        <w:t>, Youth</w:t>
      </w:r>
    </w:p>
    <w:p w:rsidR="00D77EB2" w:rsidRDefault="00D77EB2" w:rsidP="00D77EB2">
      <w:pPr>
        <w:pStyle w:val="a3"/>
        <w:rPr>
          <w:kern w:val="0"/>
        </w:rPr>
      </w:pPr>
      <w:r>
        <w:rPr>
          <w:rFonts w:hint="eastAsia"/>
          <w:kern w:val="0"/>
        </w:rPr>
        <w:t xml:space="preserve">? </w:t>
      </w:r>
      <w:r>
        <w:rPr>
          <w:kern w:val="0"/>
        </w:rPr>
        <w:t>Vandelanotte, C., Spathonis, K.M., Eakin, E.G.</w:t>
      </w:r>
      <w:r w:rsidR="005853A9">
        <w:rPr>
          <w:kern w:val="0"/>
        </w:rPr>
        <w:t xml:space="preserve"> and </w:t>
      </w:r>
      <w:r>
        <w:rPr>
          <w:kern w:val="0"/>
        </w:rPr>
        <w:t>Owen, N. (2007), Website-delivered physical activity interventions</w:t>
      </w:r>
      <w:r w:rsidR="00276839">
        <w:rPr>
          <w:rFonts w:hint="eastAsia"/>
          <w:kern w:val="0"/>
        </w:rPr>
        <w:t>:</w:t>
      </w:r>
      <w:r>
        <w:rPr>
          <w:kern w:val="0"/>
        </w:rPr>
        <w:t xml:space="preserve"> A review</w:t>
      </w:r>
      <w:r w:rsidR="00427468">
        <w:rPr>
          <w:kern w:val="0"/>
        </w:rPr>
        <w:t xml:space="preserve"> of </w:t>
      </w:r>
      <w:r w:rsidR="003A1917">
        <w:rPr>
          <w:kern w:val="0"/>
        </w:rPr>
        <w:t xml:space="preserve">the </w:t>
      </w:r>
      <w:r>
        <w:rPr>
          <w:kern w:val="0"/>
        </w:rPr>
        <w:t xml:space="preserve">literature. </w:t>
      </w:r>
      <w:r>
        <w:rPr>
          <w:i/>
          <w:iCs/>
          <w:kern w:val="0"/>
        </w:rPr>
        <w:t>American Journal</w:t>
      </w:r>
      <w:r w:rsidR="00427468">
        <w:rPr>
          <w:i/>
          <w:iCs/>
          <w:kern w:val="0"/>
        </w:rPr>
        <w:t xml:space="preserve"> of </w:t>
      </w:r>
      <w:r>
        <w:rPr>
          <w:i/>
          <w:iCs/>
          <w:kern w:val="0"/>
        </w:rPr>
        <w:t>Preventive Medicine</w:t>
      </w:r>
      <w:r>
        <w:rPr>
          <w:kern w:val="0"/>
        </w:rPr>
        <w:t xml:space="preserve">, </w:t>
      </w:r>
      <w:r>
        <w:rPr>
          <w:b/>
          <w:bCs/>
          <w:kern w:val="0"/>
        </w:rPr>
        <w:t>33</w:t>
      </w:r>
      <w:r>
        <w:rPr>
          <w:kern w:val="0"/>
        </w:rPr>
        <w:t xml:space="preserve"> (1), 54-64.</w:t>
      </w:r>
    </w:p>
    <w:p w:rsidR="00276839" w:rsidRPr="001A3D2B" w:rsidRDefault="00276839" w:rsidP="00276839">
      <w:pPr>
        <w:pStyle w:val="a3"/>
      </w:pPr>
      <w:r w:rsidRPr="001A3D2B">
        <w:t xml:space="preserve">Full Text: </w:t>
      </w:r>
      <w:hyperlink r:id="rId594" w:history="1">
        <w:r w:rsidRPr="003469AE">
          <w:rPr>
            <w:rStyle w:val="a5"/>
          </w:rPr>
          <w:t>2007\Ame J Pre Med33, 54.pdf</w:t>
        </w:r>
      </w:hyperlink>
    </w:p>
    <w:p w:rsidR="00D77EB2" w:rsidRDefault="00D77EB2" w:rsidP="00D77EB2">
      <w:pPr>
        <w:pStyle w:val="a3"/>
        <w:rPr>
          <w:kern w:val="0"/>
        </w:rPr>
      </w:pPr>
      <w:r>
        <w:rPr>
          <w:kern w:val="0"/>
        </w:rPr>
        <w:t>Abstract: Background: Evidence-based physical activity interventions that can be delivered to large numbers</w:t>
      </w:r>
      <w:r w:rsidR="00427468">
        <w:rPr>
          <w:kern w:val="0"/>
        </w:rPr>
        <w:t xml:space="preserve"> of </w:t>
      </w:r>
      <w:r>
        <w:rPr>
          <w:kern w:val="0"/>
        </w:rPr>
        <w:t>adults at an acceptable cost are a public health priority; website-delivered programs have this potential</w:t>
      </w:r>
      <w:r w:rsidR="00A37C1D">
        <w:rPr>
          <w:kern w:val="0"/>
        </w:rPr>
        <w:t>. The</w:t>
      </w:r>
      <w:r w:rsidR="003A1917">
        <w:rPr>
          <w:kern w:val="0"/>
        </w:rPr>
        <w:t xml:space="preserve"> </w:t>
      </w:r>
      <w:r>
        <w:rPr>
          <w:kern w:val="0"/>
        </w:rPr>
        <w:t>purpose</w:t>
      </w:r>
      <w:r w:rsidR="00427468">
        <w:rPr>
          <w:kern w:val="0"/>
        </w:rPr>
        <w:t xml:space="preserve"> of </w:t>
      </w:r>
      <w:r>
        <w:rPr>
          <w:kern w:val="0"/>
        </w:rPr>
        <w:t>this study was to systematically review</w:t>
      </w:r>
      <w:r w:rsidR="003A1917">
        <w:rPr>
          <w:kern w:val="0"/>
        </w:rPr>
        <w:t xml:space="preserve"> the </w:t>
      </w:r>
      <w:r>
        <w:rPr>
          <w:kern w:val="0"/>
        </w:rPr>
        <w:t>research findings</w:t>
      </w:r>
      <w:r w:rsidR="005853A9">
        <w:rPr>
          <w:kern w:val="0"/>
        </w:rPr>
        <w:t xml:space="preserve"> and </w:t>
      </w:r>
      <w:r>
        <w:rPr>
          <w:kern w:val="0"/>
        </w:rPr>
        <w:t>outcomes</w:t>
      </w:r>
      <w:r w:rsidR="00427468">
        <w:rPr>
          <w:kern w:val="0"/>
        </w:rPr>
        <w:t xml:space="preserve"> of </w:t>
      </w:r>
      <w:r>
        <w:rPr>
          <w:kern w:val="0"/>
        </w:rPr>
        <w:t>website-delivered physical activity interventions</w:t>
      </w:r>
      <w:r w:rsidR="005853A9">
        <w:rPr>
          <w:kern w:val="0"/>
        </w:rPr>
        <w:t xml:space="preserve"> and </w:t>
      </w:r>
      <w:r>
        <w:rPr>
          <w:kern w:val="0"/>
        </w:rPr>
        <w:t>to identify relationships</w:t>
      </w:r>
      <w:r w:rsidR="00427468">
        <w:rPr>
          <w:kern w:val="0"/>
        </w:rPr>
        <w:t xml:space="preserve"> of </w:t>
      </w:r>
      <w:r>
        <w:rPr>
          <w:kern w:val="0"/>
        </w:rPr>
        <w:t>intervention attributes with behavioral outcomes. Methods: A structured search</w:t>
      </w:r>
      <w:r w:rsidR="00427468">
        <w:rPr>
          <w:kern w:val="0"/>
        </w:rPr>
        <w:t xml:space="preserve"> of </w:t>
      </w:r>
      <w:r w:rsidR="002C12F0">
        <w:rPr>
          <w:kern w:val="0"/>
        </w:rPr>
        <w:t>PUBMED</w:t>
      </w:r>
      <w:r>
        <w:rPr>
          <w:kern w:val="0"/>
        </w:rPr>
        <w:t xml:space="preserve">, </w:t>
      </w:r>
      <w:r w:rsidR="00D5664A">
        <w:rPr>
          <w:kern w:val="0"/>
        </w:rPr>
        <w:t>MEDLINE</w:t>
      </w:r>
      <w:r>
        <w:rPr>
          <w:kern w:val="0"/>
        </w:rPr>
        <w:t>, PsycInfo,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was conducted for intervention studies published up to July 2006. Studies included in</w:t>
      </w:r>
      <w:r w:rsidR="003A1917">
        <w:rPr>
          <w:kern w:val="0"/>
        </w:rPr>
        <w:t xml:space="preserve"> the </w:t>
      </w:r>
      <w:r>
        <w:rPr>
          <w:kern w:val="0"/>
        </w:rPr>
        <w:t>review were those that (1) used websites or e-mail, (2) had physical activity behavior as an outcome measure, (3) had randomized controlled or quasi-experimental designs, (4) targeted adults,</w:t>
      </w:r>
      <w:r w:rsidR="005853A9">
        <w:rPr>
          <w:kern w:val="0"/>
        </w:rPr>
        <w:t xml:space="preserve"> and </w:t>
      </w:r>
      <w:r>
        <w:rPr>
          <w:kern w:val="0"/>
        </w:rPr>
        <w:t>(5) were published in English. Results:</w:t>
      </w:r>
      <w:r w:rsidR="00427468">
        <w:rPr>
          <w:kern w:val="0"/>
        </w:rPr>
        <w:t xml:space="preserve"> of </w:t>
      </w:r>
      <w:r w:rsidR="003A1917">
        <w:rPr>
          <w:kern w:val="0"/>
        </w:rPr>
        <w:t xml:space="preserve">the </w:t>
      </w:r>
      <w:r>
        <w:rPr>
          <w:kern w:val="0"/>
        </w:rPr>
        <w:t>fifteen studies reviewed, improvement in physical activity was reported in eight. Better outcomes were identified when interventions had more than five contacts with participants</w:t>
      </w:r>
      <w:r w:rsidR="005853A9">
        <w:rPr>
          <w:kern w:val="0"/>
        </w:rPr>
        <w:t xml:space="preserve"> and </w:t>
      </w:r>
      <w:r>
        <w:rPr>
          <w:kern w:val="0"/>
        </w:rPr>
        <w:t>when</w:t>
      </w:r>
      <w:r w:rsidR="003A1917">
        <w:rPr>
          <w:kern w:val="0"/>
        </w:rPr>
        <w:t xml:space="preserve"> the </w:t>
      </w:r>
      <w:r>
        <w:rPr>
          <w:kern w:val="0"/>
        </w:rPr>
        <w:t>time to follow-up was short (&lt;= 3 months; 60% positive outcomes), compared to medium-term (3-6 months, 50%)</w:t>
      </w:r>
      <w:r w:rsidR="005853A9">
        <w:rPr>
          <w:kern w:val="0"/>
        </w:rPr>
        <w:t xml:space="preserve"> and </w:t>
      </w:r>
      <w:r>
        <w:rPr>
          <w:kern w:val="0"/>
        </w:rPr>
        <w:t>long-term (&gt; 6 months, 40%) follow-up</w:t>
      </w:r>
      <w:r w:rsidR="00A37C1D">
        <w:rPr>
          <w:kern w:val="0"/>
        </w:rPr>
        <w:t>. The</w:t>
      </w:r>
      <w:r>
        <w:rPr>
          <w:kern w:val="0"/>
        </w:rPr>
        <w:t>re were no clear associations</w:t>
      </w:r>
      <w:r w:rsidR="00427468">
        <w:rPr>
          <w:kern w:val="0"/>
        </w:rPr>
        <w:t xml:space="preserve"> of </w:t>
      </w:r>
      <w:r>
        <w:rPr>
          <w:kern w:val="0"/>
        </w:rPr>
        <w:t>outcomes with other intervention attributes. Conclusions: A little over half</w:t>
      </w:r>
      <w:r w:rsidR="00427468">
        <w:rPr>
          <w:kern w:val="0"/>
        </w:rPr>
        <w:t xml:space="preserve"> of </w:t>
      </w:r>
      <w:r w:rsidR="003A1917">
        <w:rPr>
          <w:kern w:val="0"/>
        </w:rPr>
        <w:t xml:space="preserve">the </w:t>
      </w:r>
      <w:r>
        <w:rPr>
          <w:kern w:val="0"/>
        </w:rPr>
        <w:t>controlled trials</w:t>
      </w:r>
      <w:r w:rsidR="00427468">
        <w:rPr>
          <w:kern w:val="0"/>
        </w:rPr>
        <w:t xml:space="preserve"> of </w:t>
      </w:r>
      <w:r>
        <w:rPr>
          <w:kern w:val="0"/>
        </w:rPr>
        <w:t>website-delivered physical activity interventions have reported positive behavioral outcomes. However, intervention effects were short lived,</w:t>
      </w:r>
      <w:r w:rsidR="005853A9">
        <w:rPr>
          <w:kern w:val="0"/>
        </w:rPr>
        <w:t xml:space="preserve"> and </w:t>
      </w:r>
      <w:r>
        <w:rPr>
          <w:kern w:val="0"/>
        </w:rPr>
        <w:t>there was limited evidence</w:t>
      </w:r>
      <w:r w:rsidR="00427468">
        <w:rPr>
          <w:kern w:val="0"/>
        </w:rPr>
        <w:t xml:space="preserve"> of </w:t>
      </w:r>
      <w:r>
        <w:rPr>
          <w:kern w:val="0"/>
        </w:rPr>
        <w:t>maintenance</w:t>
      </w:r>
      <w:r w:rsidR="00427468">
        <w:rPr>
          <w:kern w:val="0"/>
        </w:rPr>
        <w:t xml:space="preserve"> of </w:t>
      </w:r>
      <w:r>
        <w:rPr>
          <w:kern w:val="0"/>
        </w:rPr>
        <w:t>physical activity changes. Research is needed to identify elements that can improve behavioral outcomes,</w:t>
      </w:r>
      <w:r w:rsidR="003A1917">
        <w:rPr>
          <w:kern w:val="0"/>
        </w:rPr>
        <w:t xml:space="preserve"> the </w:t>
      </w:r>
      <w:r>
        <w:rPr>
          <w:kern w:val="0"/>
        </w:rPr>
        <w:t>maintenance</w:t>
      </w:r>
      <w:r w:rsidR="00427468">
        <w:rPr>
          <w:kern w:val="0"/>
        </w:rPr>
        <w:t xml:space="preserve"> of </w:t>
      </w:r>
      <w:r>
        <w:rPr>
          <w:kern w:val="0"/>
        </w:rPr>
        <w:t>change</w:t>
      </w:r>
      <w:r w:rsidR="005853A9">
        <w:rPr>
          <w:kern w:val="0"/>
        </w:rPr>
        <w:t xml:space="preserve"> and </w:t>
      </w:r>
      <w:r w:rsidR="003A1917">
        <w:rPr>
          <w:kern w:val="0"/>
        </w:rPr>
        <w:t xml:space="preserve">the </w:t>
      </w:r>
      <w:r>
        <w:rPr>
          <w:kern w:val="0"/>
        </w:rPr>
        <w:t>engagement</w:t>
      </w:r>
      <w:r w:rsidR="005853A9">
        <w:rPr>
          <w:kern w:val="0"/>
        </w:rPr>
        <w:t xml:space="preserve"> and </w:t>
      </w:r>
      <w:r>
        <w:rPr>
          <w:kern w:val="0"/>
        </w:rPr>
        <w:t>retention</w:t>
      </w:r>
      <w:r w:rsidR="00427468">
        <w:rPr>
          <w:kern w:val="0"/>
        </w:rPr>
        <w:t xml:space="preserve"> of </w:t>
      </w:r>
      <w:r>
        <w:rPr>
          <w:kern w:val="0"/>
        </w:rPr>
        <w:t>participants; larger</w:t>
      </w:r>
      <w:r w:rsidR="005853A9">
        <w:rPr>
          <w:kern w:val="0"/>
        </w:rPr>
        <w:t xml:space="preserve"> and </w:t>
      </w:r>
      <w:r>
        <w:rPr>
          <w:kern w:val="0"/>
        </w:rPr>
        <w:t>more representative study samples are also needed.</w:t>
      </w:r>
    </w:p>
    <w:p w:rsidR="00D77EB2" w:rsidRDefault="00D77EB2" w:rsidP="00D77EB2">
      <w:pPr>
        <w:pStyle w:val="a3"/>
        <w:rPr>
          <w:kern w:val="0"/>
        </w:rPr>
      </w:pPr>
      <w:r>
        <w:rPr>
          <w:kern w:val="0"/>
        </w:rPr>
        <w:t>Keywords: Activity Motivational Program, Adults, Behavior-Change, Computer, Follow</w:t>
      </w:r>
      <w:r w:rsidR="0062028A">
        <w:rPr>
          <w:kern w:val="0"/>
        </w:rPr>
        <w:t>-up,</w:t>
      </w:r>
      <w:r>
        <w:rPr>
          <w:kern w:val="0"/>
        </w:rPr>
        <w:t xml:space="preserve"> Health, Information-Technology, Internet Support, Intervention, Intervention Studies, Interventions, Literature, Methods, Outcome, Outcomes, Physical Activity, Preventive Medicine, Public Health, </w:t>
      </w:r>
      <w:r w:rsidR="002C12F0">
        <w:rPr>
          <w:kern w:val="0"/>
        </w:rPr>
        <w:t>PUBMED</w:t>
      </w:r>
      <w:r>
        <w:rPr>
          <w:kern w:val="0"/>
        </w:rPr>
        <w:t xml:space="preserve">, Randomized-Trial, Research, Review, Science, Tailored Interventions, </w:t>
      </w:r>
      <w:r w:rsidR="00D5664A">
        <w:rPr>
          <w:kern w:val="0"/>
        </w:rPr>
        <w:t>Web</w:t>
      </w:r>
      <w:r w:rsidR="00427468">
        <w:rPr>
          <w:kern w:val="0"/>
        </w:rPr>
        <w:t xml:space="preserve"> of </w:t>
      </w:r>
      <w:r w:rsidR="00D5664A">
        <w:rPr>
          <w:kern w:val="0"/>
        </w:rPr>
        <w:t>Science</w:t>
      </w:r>
      <w:r>
        <w:rPr>
          <w:kern w:val="0"/>
        </w:rPr>
        <w:t>, Websites, Weight-Loss</w:t>
      </w:r>
    </w:p>
    <w:p w:rsidR="003E631D" w:rsidRPr="001A3D2B" w:rsidRDefault="003E631D" w:rsidP="003E631D">
      <w:pPr>
        <w:pStyle w:val="a3"/>
        <w:rPr>
          <w:kern w:val="0"/>
          <w:szCs w:val="24"/>
        </w:rPr>
      </w:pPr>
      <w:r w:rsidRPr="001A3D2B">
        <w:rPr>
          <w:kern w:val="0"/>
          <w:szCs w:val="24"/>
        </w:rPr>
        <w:t>? Ottoson, J.M., Green, L.W., Beery, W.L., Senter, S.K., Cahill, C.L., Pearson, D.C., Greenwald, H.P., Hamre, R.</w:t>
      </w:r>
      <w:r w:rsidR="005853A9">
        <w:rPr>
          <w:kern w:val="0"/>
          <w:szCs w:val="24"/>
        </w:rPr>
        <w:t xml:space="preserve"> and </w:t>
      </w:r>
      <w:r w:rsidRPr="001A3D2B">
        <w:rPr>
          <w:kern w:val="0"/>
          <w:szCs w:val="24"/>
        </w:rPr>
        <w:t>Leviton, L. (2009), Policy-contribution assessment</w:t>
      </w:r>
      <w:r w:rsidR="005853A9">
        <w:rPr>
          <w:kern w:val="0"/>
          <w:szCs w:val="24"/>
        </w:rPr>
        <w:t xml:space="preserve"> and </w:t>
      </w:r>
      <w:r w:rsidRPr="001A3D2B">
        <w:rPr>
          <w:kern w:val="0"/>
          <w:szCs w:val="24"/>
        </w:rPr>
        <w:t>field-building analysis</w:t>
      </w:r>
      <w:r w:rsidR="00427468">
        <w:rPr>
          <w:kern w:val="0"/>
          <w:szCs w:val="24"/>
        </w:rPr>
        <w:t xml:space="preserve"> of </w:t>
      </w:r>
      <w:r w:rsidR="003A1917">
        <w:rPr>
          <w:kern w:val="0"/>
          <w:szCs w:val="24"/>
        </w:rPr>
        <w:t xml:space="preserve">the </w:t>
      </w:r>
      <w:r w:rsidRPr="001A3D2B">
        <w:rPr>
          <w:kern w:val="0"/>
          <w:szCs w:val="24"/>
        </w:rPr>
        <w:t>Robert Wood Johnson Foundation</w:t>
      </w:r>
      <w:r w:rsidR="00700038">
        <w:rPr>
          <w:kern w:val="0"/>
          <w:szCs w:val="24"/>
        </w:rPr>
        <w:t>’</w:t>
      </w:r>
      <w:r w:rsidR="00C13DDC">
        <w:rPr>
          <w:kern w:val="0"/>
          <w:szCs w:val="24"/>
        </w:rPr>
        <w:t>s</w:t>
      </w:r>
      <w:r w:rsidRPr="001A3D2B">
        <w:rPr>
          <w:kern w:val="0"/>
          <w:szCs w:val="24"/>
        </w:rPr>
        <w:t xml:space="preserve"> Active Living Research Program. </w:t>
      </w:r>
      <w:r w:rsidRPr="001A3D2B">
        <w:rPr>
          <w:i/>
          <w:iCs/>
          <w:kern w:val="0"/>
          <w:szCs w:val="24"/>
        </w:rPr>
        <w:t>American Journal</w:t>
      </w:r>
      <w:r w:rsidR="00427468">
        <w:rPr>
          <w:i/>
          <w:iCs/>
          <w:kern w:val="0"/>
          <w:szCs w:val="24"/>
        </w:rPr>
        <w:t xml:space="preserve"> of </w:t>
      </w:r>
      <w:r w:rsidRPr="001A3D2B">
        <w:rPr>
          <w:i/>
          <w:iCs/>
          <w:kern w:val="0"/>
          <w:szCs w:val="24"/>
        </w:rPr>
        <w:t>Preventive Medicine</w:t>
      </w:r>
      <w:r w:rsidRPr="001A3D2B">
        <w:rPr>
          <w:kern w:val="0"/>
          <w:szCs w:val="24"/>
        </w:rPr>
        <w:t xml:space="preserve">, </w:t>
      </w:r>
      <w:r w:rsidRPr="001A3D2B">
        <w:rPr>
          <w:b/>
          <w:bCs/>
          <w:kern w:val="0"/>
          <w:szCs w:val="24"/>
        </w:rPr>
        <w:t>36</w:t>
      </w:r>
      <w:r w:rsidRPr="001A3D2B">
        <w:rPr>
          <w:kern w:val="0"/>
          <w:szCs w:val="24"/>
        </w:rPr>
        <w:t xml:space="preserve"> (2), S34-S43.</w:t>
      </w:r>
    </w:p>
    <w:p w:rsidR="003E631D" w:rsidRPr="001A3D2B" w:rsidRDefault="003E631D" w:rsidP="003E631D">
      <w:pPr>
        <w:pStyle w:val="a3"/>
      </w:pPr>
      <w:r w:rsidRPr="001A3D2B">
        <w:lastRenderedPageBreak/>
        <w:t xml:space="preserve">Full Text: </w:t>
      </w:r>
      <w:hyperlink r:id="rId595" w:history="1">
        <w:r w:rsidRPr="001A3D2B">
          <w:rPr>
            <w:rStyle w:val="a5"/>
          </w:rPr>
          <w:t>2009\Ame J Pre Med36, S34.pdf</w:t>
        </w:r>
      </w:hyperlink>
    </w:p>
    <w:p w:rsidR="003E631D" w:rsidRPr="001A3D2B" w:rsidRDefault="003E631D" w:rsidP="003E631D">
      <w:pPr>
        <w:pStyle w:val="a3"/>
        <w:rPr>
          <w:kern w:val="0"/>
          <w:szCs w:val="24"/>
        </w:rPr>
      </w:pPr>
      <w:r w:rsidRPr="001A3D2B">
        <w:rPr>
          <w:kern w:val="0"/>
          <w:szCs w:val="24"/>
        </w:rPr>
        <w:t>Abstract: Background:</w:t>
      </w:r>
      <w:r w:rsidR="003A1917">
        <w:rPr>
          <w:kern w:val="0"/>
          <w:szCs w:val="24"/>
        </w:rPr>
        <w:t xml:space="preserve"> the </w:t>
      </w:r>
      <w:r w:rsidRPr="001A3D2B">
        <w:rPr>
          <w:kern w:val="0"/>
          <w:szCs w:val="24"/>
        </w:rPr>
        <w:t>Robert Wood Johnson Foundation requested this utilization-focused evaluation</w:t>
      </w:r>
      <w:r w:rsidR="00427468">
        <w:rPr>
          <w:kern w:val="0"/>
          <w:szCs w:val="24"/>
        </w:rPr>
        <w:t xml:space="preserve"> of </w:t>
      </w:r>
      <w:r w:rsidRPr="001A3D2B">
        <w:rPr>
          <w:kern w:val="0"/>
          <w:szCs w:val="24"/>
        </w:rPr>
        <w:t>its Active Living Research (ALR) program. This evaluation reports on</w:t>
      </w:r>
      <w:r w:rsidR="003A1917">
        <w:rPr>
          <w:kern w:val="0"/>
          <w:szCs w:val="24"/>
        </w:rPr>
        <w:t xml:space="preserve"> the </w:t>
      </w:r>
      <w:r w:rsidRPr="001A3D2B">
        <w:rPr>
          <w:kern w:val="0"/>
          <w:szCs w:val="24"/>
        </w:rPr>
        <w:t>trajectory</w:t>
      </w:r>
      <w:r w:rsidR="00427468">
        <w:rPr>
          <w:kern w:val="0"/>
          <w:szCs w:val="24"/>
        </w:rPr>
        <w:t xml:space="preserve"> of </w:t>
      </w:r>
      <w:r w:rsidRPr="001A3D2B">
        <w:rPr>
          <w:kern w:val="0"/>
          <w:szCs w:val="24"/>
        </w:rPr>
        <w:t>influence</w:t>
      </w:r>
      <w:r w:rsidR="00427468">
        <w:rPr>
          <w:kern w:val="0"/>
          <w:szCs w:val="24"/>
        </w:rPr>
        <w:t xml:space="preserve"> of </w:t>
      </w:r>
      <w:r w:rsidRPr="001A3D2B">
        <w:rPr>
          <w:kern w:val="0"/>
          <w:szCs w:val="24"/>
        </w:rPr>
        <w:t>past</w:t>
      </w:r>
      <w:r w:rsidR="005853A9">
        <w:rPr>
          <w:kern w:val="0"/>
          <w:szCs w:val="24"/>
        </w:rPr>
        <w:t xml:space="preserve"> and </w:t>
      </w:r>
      <w:r w:rsidRPr="001A3D2B">
        <w:rPr>
          <w:kern w:val="0"/>
          <w:szCs w:val="24"/>
        </w:rPr>
        <w:t>future ALR outcomes on field-building</w:t>
      </w:r>
      <w:r w:rsidR="005853A9">
        <w:rPr>
          <w:kern w:val="0"/>
          <w:szCs w:val="24"/>
        </w:rPr>
        <w:t xml:space="preserve"> and </w:t>
      </w:r>
      <w:r w:rsidRPr="001A3D2B">
        <w:rPr>
          <w:kern w:val="0"/>
          <w:szCs w:val="24"/>
        </w:rPr>
        <w:t>policy contributions as well as on possible users</w:t>
      </w:r>
      <w:r w:rsidR="00427468">
        <w:rPr>
          <w:kern w:val="0"/>
          <w:szCs w:val="24"/>
        </w:rPr>
        <w:t xml:space="preserve"> of </w:t>
      </w:r>
      <w:r w:rsidRPr="001A3D2B">
        <w:rPr>
          <w:kern w:val="0"/>
          <w:szCs w:val="24"/>
        </w:rPr>
        <w:t>completed</w:t>
      </w:r>
      <w:r w:rsidR="005853A9">
        <w:rPr>
          <w:kern w:val="0"/>
          <w:szCs w:val="24"/>
        </w:rPr>
        <w:t xml:space="preserve"> and </w:t>
      </w:r>
      <w:r w:rsidRPr="001A3D2B">
        <w:rPr>
          <w:kern w:val="0"/>
          <w:szCs w:val="24"/>
        </w:rPr>
        <w:t>disseminated ALR products. Methods: In 2006</w:t>
      </w:r>
      <w:r w:rsidR="005853A9">
        <w:rPr>
          <w:kern w:val="0"/>
          <w:szCs w:val="24"/>
        </w:rPr>
        <w:t xml:space="preserve"> and </w:t>
      </w:r>
      <w:r w:rsidRPr="001A3D2B">
        <w:rPr>
          <w:kern w:val="0"/>
          <w:szCs w:val="24"/>
        </w:rPr>
        <w:t>2007, key-informat interviews were conducted with 136 representatives</w:t>
      </w:r>
      <w:r w:rsidR="00427468">
        <w:rPr>
          <w:kern w:val="0"/>
          <w:szCs w:val="24"/>
        </w:rPr>
        <w:t xml:space="preserve"> of </w:t>
      </w:r>
      <w:r w:rsidRPr="001A3D2B">
        <w:rPr>
          <w:kern w:val="0"/>
          <w:szCs w:val="24"/>
        </w:rPr>
        <w:t>first-line potential users</w:t>
      </w:r>
      <w:r w:rsidR="00427468">
        <w:rPr>
          <w:kern w:val="0"/>
          <w:szCs w:val="24"/>
        </w:rPr>
        <w:t xml:space="preserve"> of </w:t>
      </w:r>
      <w:r w:rsidRPr="001A3D2B">
        <w:rPr>
          <w:kern w:val="0"/>
          <w:szCs w:val="24"/>
        </w:rPr>
        <w:t>ALR research products, including state physical activity</w:t>
      </w:r>
      <w:r w:rsidR="005853A9">
        <w:rPr>
          <w:kern w:val="0"/>
          <w:szCs w:val="24"/>
        </w:rPr>
        <w:t xml:space="preserve"> and </w:t>
      </w:r>
      <w:r w:rsidRPr="001A3D2B">
        <w:rPr>
          <w:kern w:val="0"/>
          <w:szCs w:val="24"/>
        </w:rPr>
        <w:t>nutrition program coordinators, policymakers, scientists,</w:t>
      </w:r>
      <w:r w:rsidR="005853A9">
        <w:rPr>
          <w:kern w:val="0"/>
          <w:szCs w:val="24"/>
        </w:rPr>
        <w:t xml:space="preserve"> and </w:t>
      </w:r>
      <w:r w:rsidRPr="001A3D2B">
        <w:rPr>
          <w:kern w:val="0"/>
          <w:szCs w:val="24"/>
        </w:rPr>
        <w:t>funders. Literature reviews, bibliometric analyses,</w:t>
      </w:r>
      <w:r w:rsidR="005853A9">
        <w:rPr>
          <w:kern w:val="0"/>
          <w:szCs w:val="24"/>
        </w:rPr>
        <w:t xml:space="preserve"> and </w:t>
      </w:r>
      <w:r w:rsidRPr="001A3D2B">
        <w:rPr>
          <w:kern w:val="0"/>
          <w:szCs w:val="24"/>
        </w:rPr>
        <w:t>document reviews served to describe</w:t>
      </w:r>
      <w:r w:rsidR="003A1917">
        <w:rPr>
          <w:kern w:val="0"/>
          <w:szCs w:val="24"/>
        </w:rPr>
        <w:t xml:space="preserve"> the </w:t>
      </w:r>
      <w:r w:rsidRPr="001A3D2B">
        <w:rPr>
          <w:kern w:val="0"/>
          <w:szCs w:val="24"/>
        </w:rPr>
        <w:t>context for ALR</w:t>
      </w:r>
      <w:r w:rsidR="00700038">
        <w:rPr>
          <w:kern w:val="0"/>
          <w:szCs w:val="24"/>
        </w:rPr>
        <w:t>’</w:t>
      </w:r>
      <w:r w:rsidR="00C13DDC">
        <w:rPr>
          <w:kern w:val="0"/>
          <w:szCs w:val="24"/>
        </w:rPr>
        <w:t>s</w:t>
      </w:r>
      <w:r w:rsidRPr="001A3D2B">
        <w:rPr>
          <w:kern w:val="0"/>
          <w:szCs w:val="24"/>
        </w:rPr>
        <w:t xml:space="preserve"> work</w:t>
      </w:r>
      <w:r w:rsidR="005853A9">
        <w:rPr>
          <w:kern w:val="0"/>
          <w:szCs w:val="24"/>
        </w:rPr>
        <w:t xml:space="preserve"> and </w:t>
      </w:r>
      <w:r w:rsidR="003A1917">
        <w:rPr>
          <w:kern w:val="0"/>
          <w:szCs w:val="24"/>
        </w:rPr>
        <w:t xml:space="preserve">the </w:t>
      </w:r>
      <w:r w:rsidRPr="001A3D2B">
        <w:rPr>
          <w:kern w:val="0"/>
          <w:szCs w:val="24"/>
        </w:rPr>
        <w:t>ways it could enhance its utility for field building</w:t>
      </w:r>
      <w:r w:rsidR="005853A9">
        <w:rPr>
          <w:kern w:val="0"/>
          <w:szCs w:val="24"/>
        </w:rPr>
        <w:t xml:space="preserve"> and </w:t>
      </w:r>
      <w:r w:rsidRPr="001A3D2B">
        <w:rPr>
          <w:kern w:val="0"/>
          <w:szCs w:val="24"/>
        </w:rPr>
        <w:t>policymaking. Results:</w:t>
      </w:r>
      <w:r w:rsidR="003A1917">
        <w:rPr>
          <w:kern w:val="0"/>
          <w:szCs w:val="24"/>
        </w:rPr>
        <w:t xml:space="preserve"> the </w:t>
      </w:r>
      <w:r w:rsidRPr="001A3D2B">
        <w:rPr>
          <w:kern w:val="0"/>
          <w:szCs w:val="24"/>
        </w:rPr>
        <w:t>contributions</w:t>
      </w:r>
      <w:r w:rsidR="00427468">
        <w:rPr>
          <w:kern w:val="0"/>
          <w:szCs w:val="24"/>
        </w:rPr>
        <w:t xml:space="preserve"> of </w:t>
      </w:r>
      <w:r w:rsidRPr="001A3D2B">
        <w:rPr>
          <w:kern w:val="0"/>
          <w:szCs w:val="24"/>
        </w:rPr>
        <w:t>ALR to</w:t>
      </w:r>
      <w:r w:rsidR="003A1917">
        <w:rPr>
          <w:kern w:val="0"/>
          <w:szCs w:val="24"/>
        </w:rPr>
        <w:t xml:space="preserve"> the </w:t>
      </w:r>
      <w:r w:rsidRPr="001A3D2B">
        <w:rPr>
          <w:kern w:val="0"/>
          <w:szCs w:val="24"/>
        </w:rPr>
        <w:t>emerging transdisciplinary field included leadership in</w:t>
      </w:r>
      <w:r w:rsidR="003A1917">
        <w:rPr>
          <w:kern w:val="0"/>
          <w:szCs w:val="24"/>
        </w:rPr>
        <w:t xml:space="preserve"> the </w:t>
      </w:r>
      <w:r w:rsidRPr="001A3D2B">
        <w:rPr>
          <w:kern w:val="0"/>
          <w:szCs w:val="24"/>
        </w:rPr>
        <w:t>development</w:t>
      </w:r>
      <w:r w:rsidR="00427468">
        <w:rPr>
          <w:kern w:val="0"/>
          <w:szCs w:val="24"/>
        </w:rPr>
        <w:t xml:space="preserve"> of </w:t>
      </w:r>
      <w:r w:rsidRPr="001A3D2B">
        <w:rPr>
          <w:kern w:val="0"/>
          <w:szCs w:val="24"/>
        </w:rPr>
        <w:t>measurement tools, epidemiologic studies, implementation research,</w:t>
      </w:r>
      <w:r w:rsidR="003A1917">
        <w:rPr>
          <w:kern w:val="0"/>
          <w:szCs w:val="24"/>
        </w:rPr>
        <w:t xml:space="preserve"> the </w:t>
      </w:r>
      <w:r w:rsidRPr="001A3D2B">
        <w:rPr>
          <w:kern w:val="0"/>
          <w:szCs w:val="24"/>
        </w:rPr>
        <w:t>translation</w:t>
      </w:r>
      <w:r w:rsidR="00427468">
        <w:rPr>
          <w:kern w:val="0"/>
          <w:szCs w:val="24"/>
        </w:rPr>
        <w:t xml:space="preserve"> of </w:t>
      </w:r>
      <w:r w:rsidRPr="001A3D2B">
        <w:rPr>
          <w:kern w:val="0"/>
          <w:szCs w:val="24"/>
        </w:rPr>
        <w:t>research to practice,</w:t>
      </w:r>
      <w:r w:rsidR="005853A9">
        <w:rPr>
          <w:kern w:val="0"/>
          <w:szCs w:val="24"/>
        </w:rPr>
        <w:t xml:space="preserve"> and </w:t>
      </w:r>
      <w:r w:rsidR="003A1917">
        <w:rPr>
          <w:kern w:val="0"/>
          <w:szCs w:val="24"/>
        </w:rPr>
        <w:t xml:space="preserve">the </w:t>
      </w:r>
      <w:r w:rsidRPr="001A3D2B">
        <w:rPr>
          <w:kern w:val="0"/>
          <w:szCs w:val="24"/>
        </w:rPr>
        <w:t>communication</w:t>
      </w:r>
      <w:r w:rsidR="00427468">
        <w:rPr>
          <w:kern w:val="0"/>
          <w:szCs w:val="24"/>
        </w:rPr>
        <w:t xml:space="preserve"> of </w:t>
      </w:r>
      <w:r w:rsidRPr="001A3D2B">
        <w:rPr>
          <w:kern w:val="0"/>
          <w:szCs w:val="24"/>
        </w:rPr>
        <w:t>learned lessons to diverse audiences. ALR</w:t>
      </w:r>
      <w:r w:rsidR="00700038">
        <w:rPr>
          <w:kern w:val="0"/>
          <w:szCs w:val="24"/>
        </w:rPr>
        <w:t>’</w:t>
      </w:r>
      <w:r w:rsidR="00C13DDC">
        <w:rPr>
          <w:kern w:val="0"/>
          <w:szCs w:val="24"/>
        </w:rPr>
        <w:t>s</w:t>
      </w:r>
      <w:r w:rsidRPr="001A3D2B">
        <w:rPr>
          <w:kern w:val="0"/>
          <w:szCs w:val="24"/>
        </w:rPr>
        <w:t xml:space="preserve"> contributions to policy discussions were found across a spectrum</w:t>
      </w:r>
      <w:r w:rsidR="00427468">
        <w:rPr>
          <w:kern w:val="0"/>
          <w:szCs w:val="24"/>
        </w:rPr>
        <w:t xml:space="preserve"> of </w:t>
      </w:r>
      <w:r w:rsidRPr="001A3D2B">
        <w:rPr>
          <w:kern w:val="0"/>
          <w:szCs w:val="24"/>
        </w:rPr>
        <w:t>policy-development phases that included describing</w:t>
      </w:r>
      <w:r w:rsidR="003A1917">
        <w:rPr>
          <w:kern w:val="0"/>
          <w:szCs w:val="24"/>
        </w:rPr>
        <w:t xml:space="preserve"> the </w:t>
      </w:r>
      <w:r w:rsidRPr="001A3D2B">
        <w:rPr>
          <w:kern w:val="0"/>
          <w:szCs w:val="24"/>
        </w:rPr>
        <w:t>problem, raising awareness</w:t>
      </w:r>
      <w:r w:rsidR="00427468">
        <w:rPr>
          <w:kern w:val="0"/>
          <w:szCs w:val="24"/>
        </w:rPr>
        <w:t xml:space="preserve"> of </w:t>
      </w:r>
      <w:r w:rsidRPr="001A3D2B">
        <w:rPr>
          <w:kern w:val="0"/>
          <w:szCs w:val="24"/>
        </w:rPr>
        <w:t>alternative strategies for increasing physical activity, convening nontraditional partners,</w:t>
      </w:r>
      <w:r w:rsidR="005853A9">
        <w:rPr>
          <w:kern w:val="0"/>
          <w:szCs w:val="24"/>
        </w:rPr>
        <w:t xml:space="preserve"> and </w:t>
      </w:r>
      <w:r w:rsidRPr="001A3D2B">
        <w:rPr>
          <w:kern w:val="0"/>
          <w:szCs w:val="24"/>
        </w:rPr>
        <w:t>evaluating policy implementation. Conclusions: Policy-relevant research can make contributions to policymakers</w:t>
      </w:r>
      <w:r w:rsidR="00700038">
        <w:rPr>
          <w:kern w:val="0"/>
          <w:szCs w:val="24"/>
        </w:rPr>
        <w:t>’</w:t>
      </w:r>
      <w:r w:rsidRPr="001A3D2B">
        <w:rPr>
          <w:kern w:val="0"/>
          <w:szCs w:val="24"/>
        </w:rPr>
        <w:t xml:space="preserve"> thinking but almost never causes a change by itself. Five years after</w:t>
      </w:r>
      <w:r w:rsidR="003A1917">
        <w:rPr>
          <w:kern w:val="0"/>
          <w:szCs w:val="24"/>
        </w:rPr>
        <w:t xml:space="preserve"> the </w:t>
      </w:r>
      <w:r w:rsidRPr="001A3D2B">
        <w:rPr>
          <w:kern w:val="0"/>
          <w:szCs w:val="24"/>
        </w:rPr>
        <w:t>original authorization</w:t>
      </w:r>
      <w:r w:rsidR="00427468">
        <w:rPr>
          <w:kern w:val="0"/>
          <w:szCs w:val="24"/>
        </w:rPr>
        <w:t xml:space="preserve"> of </w:t>
      </w:r>
      <w:r w:rsidRPr="001A3D2B">
        <w:rPr>
          <w:kern w:val="0"/>
          <w:szCs w:val="24"/>
        </w:rPr>
        <w:t>ALR, there is ample evidence</w:t>
      </w:r>
      <w:r w:rsidR="00427468">
        <w:rPr>
          <w:kern w:val="0"/>
          <w:szCs w:val="24"/>
        </w:rPr>
        <w:t xml:space="preserve"> of </w:t>
      </w:r>
      <w:r w:rsidRPr="001A3D2B">
        <w:rPr>
          <w:kern w:val="0"/>
          <w:szCs w:val="24"/>
        </w:rPr>
        <w:t>its recognition as a resource by key players, its field-building influence,</w:t>
      </w:r>
      <w:r w:rsidR="005853A9">
        <w:rPr>
          <w:kern w:val="0"/>
          <w:szCs w:val="24"/>
        </w:rPr>
        <w:t xml:space="preserve"> and </w:t>
      </w:r>
      <w:r w:rsidRPr="001A3D2B">
        <w:rPr>
          <w:kern w:val="0"/>
          <w:szCs w:val="24"/>
        </w:rPr>
        <w:t>its contributions to policy discussions. All these bear promise for a broader contribution to obesity prevention. Recommendations for increasing ALR</w:t>
      </w:r>
      <w:r w:rsidR="00700038">
        <w:rPr>
          <w:kern w:val="0"/>
          <w:szCs w:val="24"/>
        </w:rPr>
        <w:t>’</w:t>
      </w:r>
      <w:r w:rsidR="00C13DDC">
        <w:rPr>
          <w:kern w:val="0"/>
          <w:szCs w:val="24"/>
        </w:rPr>
        <w:t>s</w:t>
      </w:r>
      <w:r w:rsidRPr="001A3D2B">
        <w:rPr>
          <w:kern w:val="0"/>
          <w:szCs w:val="24"/>
        </w:rPr>
        <w:t xml:space="preserve"> impact on policy</w:t>
      </w:r>
      <w:r w:rsidR="005853A9">
        <w:rPr>
          <w:kern w:val="0"/>
          <w:szCs w:val="24"/>
        </w:rPr>
        <w:t xml:space="preserve"> and </w:t>
      </w:r>
      <w:r w:rsidRPr="001A3D2B">
        <w:rPr>
          <w:kern w:val="0"/>
          <w:szCs w:val="24"/>
        </w:rPr>
        <w:t>practice are offered. (Am J Prev Med 2009;36(2S):S34-S43) (C) 2009 American journal</w:t>
      </w:r>
      <w:r w:rsidR="00427468">
        <w:rPr>
          <w:kern w:val="0"/>
          <w:szCs w:val="24"/>
        </w:rPr>
        <w:t xml:space="preserve"> of </w:t>
      </w:r>
      <w:r w:rsidRPr="001A3D2B">
        <w:rPr>
          <w:kern w:val="0"/>
          <w:szCs w:val="24"/>
        </w:rPr>
        <w:t>Preventive Medicine.</w:t>
      </w:r>
    </w:p>
    <w:p w:rsidR="003E631D" w:rsidRPr="001A3D2B" w:rsidRDefault="003E631D" w:rsidP="003E631D">
      <w:pPr>
        <w:pStyle w:val="a3"/>
        <w:rPr>
          <w:kern w:val="0"/>
          <w:szCs w:val="24"/>
        </w:rPr>
      </w:pPr>
      <w:r w:rsidRPr="001A3D2B">
        <w:rPr>
          <w:kern w:val="0"/>
          <w:szCs w:val="24"/>
        </w:rPr>
        <w:t>Keywords: Activity, Alternative, American, Analyses, Awareness, Bear, Bibliometric, Bibliometric Analyses, Building, Change, Communication, Context, Contribution, Development, Emerging, Evaluation, Evidence, Field, Impact, Implementation, Influence, Interventions, Interviews, Journal, Leadership, Living, Measurement, Nutrition, Obesity, Obesity Prevention, Outcomes, Physical, Physical Activity, Physical-Activity, Policy, Policy Development, Policy Implementation, Potential, Practice, Prevention, Problem, Recognition, Research, Reviews, State, Trajectory, Transdisciplinary, Translation, Utility, Wood, Work</w:t>
      </w:r>
    </w:p>
    <w:p w:rsidR="006125C8" w:rsidRPr="00F219CA" w:rsidRDefault="006125C8" w:rsidP="006125C8">
      <w:pPr>
        <w:pStyle w:val="a3"/>
        <w:rPr>
          <w:kern w:val="0"/>
          <w:szCs w:val="24"/>
        </w:rPr>
      </w:pPr>
      <w:r w:rsidRPr="00F219CA">
        <w:t xml:space="preserve">? </w:t>
      </w:r>
      <w:r>
        <w:t>Yen</w:t>
      </w:r>
      <w:r>
        <w:rPr>
          <w:rFonts w:hint="eastAsia"/>
        </w:rPr>
        <w:t>,</w:t>
      </w:r>
      <w:r>
        <w:t xml:space="preserve"> I</w:t>
      </w:r>
      <w:r>
        <w:rPr>
          <w:rFonts w:hint="eastAsia"/>
        </w:rPr>
        <w:t>.</w:t>
      </w:r>
      <w:r>
        <w:t>H</w:t>
      </w:r>
      <w:r>
        <w:rPr>
          <w:rFonts w:hint="eastAsia"/>
        </w:rPr>
        <w:t>.,</w:t>
      </w:r>
      <w:r>
        <w:t xml:space="preserve"> Michael</w:t>
      </w:r>
      <w:r>
        <w:rPr>
          <w:rFonts w:hint="eastAsia"/>
        </w:rPr>
        <w:t>,</w:t>
      </w:r>
      <w:r>
        <w:t xml:space="preserve"> Y</w:t>
      </w:r>
      <w:r>
        <w:rPr>
          <w:rFonts w:hint="eastAsia"/>
        </w:rPr>
        <w:t>.</w:t>
      </w:r>
      <w:r>
        <w:t>L</w:t>
      </w:r>
      <w:r>
        <w:rPr>
          <w:rFonts w:hint="eastAsia"/>
        </w:rPr>
        <w:t>.</w:t>
      </w:r>
      <w:r w:rsidR="005853A9">
        <w:rPr>
          <w:rFonts w:hint="eastAsia"/>
        </w:rPr>
        <w:t xml:space="preserve"> and </w:t>
      </w:r>
      <w:r>
        <w:t>Perdue</w:t>
      </w:r>
      <w:r>
        <w:rPr>
          <w:rFonts w:hint="eastAsia"/>
        </w:rPr>
        <w:t>,</w:t>
      </w:r>
      <w:r>
        <w:t xml:space="preserve"> L</w:t>
      </w:r>
      <w:r>
        <w:rPr>
          <w:rFonts w:hint="eastAsia"/>
        </w:rPr>
        <w:t>.</w:t>
      </w:r>
      <w:r w:rsidRPr="00F219CA">
        <w:rPr>
          <w:kern w:val="0"/>
          <w:szCs w:val="24"/>
        </w:rPr>
        <w:t xml:space="preserve"> (2009), </w:t>
      </w:r>
      <w:r>
        <w:t>Neighborhood environment in studies</w:t>
      </w:r>
      <w:r w:rsidR="00427468">
        <w:t xml:space="preserve"> of </w:t>
      </w:r>
      <w:r>
        <w:t>health</w:t>
      </w:r>
      <w:r w:rsidR="00427468">
        <w:t xml:space="preserve"> of </w:t>
      </w:r>
      <w:r>
        <w:t>older adults</w:t>
      </w:r>
      <w:r>
        <w:rPr>
          <w:rFonts w:hint="eastAsia"/>
        </w:rPr>
        <w:t>:</w:t>
      </w:r>
      <w:r>
        <w:t xml:space="preserve"> </w:t>
      </w:r>
      <w:r>
        <w:rPr>
          <w:rFonts w:hint="eastAsia"/>
        </w:rPr>
        <w:t>A</w:t>
      </w:r>
      <w:r>
        <w:t xml:space="preserve"> systematic review</w:t>
      </w:r>
      <w:r w:rsidRPr="00F219CA">
        <w:rPr>
          <w:kern w:val="0"/>
          <w:szCs w:val="24"/>
        </w:rPr>
        <w:t xml:space="preserve">. </w:t>
      </w:r>
      <w:r w:rsidRPr="00F219CA">
        <w:rPr>
          <w:i/>
          <w:iCs/>
          <w:kern w:val="0"/>
          <w:szCs w:val="24"/>
        </w:rPr>
        <w:t>American Journal</w:t>
      </w:r>
      <w:r w:rsidR="00427468">
        <w:rPr>
          <w:i/>
          <w:iCs/>
          <w:kern w:val="0"/>
          <w:szCs w:val="24"/>
        </w:rPr>
        <w:t xml:space="preserve"> of </w:t>
      </w:r>
      <w:r w:rsidRPr="00F219CA">
        <w:rPr>
          <w:i/>
          <w:iCs/>
          <w:kern w:val="0"/>
          <w:szCs w:val="24"/>
        </w:rPr>
        <w:t>Preventive Medicine</w:t>
      </w:r>
      <w:r w:rsidRPr="00F219CA">
        <w:rPr>
          <w:kern w:val="0"/>
          <w:szCs w:val="24"/>
        </w:rPr>
        <w:t xml:space="preserve">, </w:t>
      </w:r>
      <w:r w:rsidRPr="00F219CA">
        <w:rPr>
          <w:b/>
          <w:bCs/>
          <w:kern w:val="0"/>
          <w:szCs w:val="24"/>
        </w:rPr>
        <w:t>3</w:t>
      </w:r>
      <w:r>
        <w:rPr>
          <w:rFonts w:hint="eastAsia"/>
          <w:b/>
          <w:bCs/>
          <w:kern w:val="0"/>
          <w:szCs w:val="24"/>
        </w:rPr>
        <w:t>7</w:t>
      </w:r>
      <w:r w:rsidRPr="00F219CA">
        <w:rPr>
          <w:kern w:val="0"/>
          <w:szCs w:val="24"/>
        </w:rPr>
        <w:t xml:space="preserve"> (</w:t>
      </w:r>
      <w:r>
        <w:rPr>
          <w:rFonts w:hint="eastAsia"/>
          <w:kern w:val="0"/>
          <w:szCs w:val="24"/>
        </w:rPr>
        <w:t>5</w:t>
      </w:r>
      <w:r w:rsidRPr="00F219CA">
        <w:rPr>
          <w:kern w:val="0"/>
          <w:szCs w:val="24"/>
        </w:rPr>
        <w:t xml:space="preserve">), </w:t>
      </w:r>
      <w:r>
        <w:t>455-463</w:t>
      </w:r>
      <w:r w:rsidRPr="00F219CA">
        <w:rPr>
          <w:kern w:val="0"/>
          <w:szCs w:val="24"/>
        </w:rPr>
        <w:t>.</w:t>
      </w:r>
    </w:p>
    <w:p w:rsidR="006125C8" w:rsidRDefault="006125C8" w:rsidP="006125C8">
      <w:pPr>
        <w:pStyle w:val="a3"/>
      </w:pPr>
      <w:r w:rsidRPr="001A3D2B">
        <w:t xml:space="preserve">Full Text: </w:t>
      </w:r>
      <w:hyperlink r:id="rId596" w:history="1">
        <w:r w:rsidR="00E90007" w:rsidRPr="00E90007">
          <w:rPr>
            <w:rStyle w:val="a5"/>
          </w:rPr>
          <w:t>2009\Ame J Pre Med37, 455.pdf</w:t>
        </w:r>
      </w:hyperlink>
    </w:p>
    <w:p w:rsidR="006125C8" w:rsidRDefault="006125C8" w:rsidP="006125C8">
      <w:pPr>
        <w:pStyle w:val="a3"/>
      </w:pPr>
      <w:r>
        <w:t>Abstract: Context: Epidemiologists</w:t>
      </w:r>
      <w:r w:rsidR="005853A9">
        <w:t xml:space="preserve"> and </w:t>
      </w:r>
      <w:r>
        <w:t xml:space="preserve">public health researchers are studying </w:t>
      </w:r>
      <w:r>
        <w:lastRenderedPageBreak/>
        <w:t>neighborhood</w:t>
      </w:r>
      <w:r w:rsidR="00700038">
        <w:t>’</w:t>
      </w:r>
      <w:r w:rsidR="00C13DDC">
        <w:t>s</w:t>
      </w:r>
      <w:r>
        <w:t xml:space="preserve"> effect on individual health</w:t>
      </w:r>
      <w:r w:rsidR="00A37C1D">
        <w:t>. The</w:t>
      </w:r>
      <w:r w:rsidR="003A1917">
        <w:t xml:space="preserve"> </w:t>
      </w:r>
      <w:r>
        <w:t>health</w:t>
      </w:r>
      <w:r w:rsidR="00427468">
        <w:t xml:space="preserve"> of </w:t>
      </w:r>
      <w:r>
        <w:t>older adults may be more influenced by their neighborhoods as a result</w:t>
      </w:r>
      <w:r w:rsidR="00427468">
        <w:t xml:space="preserve"> of </w:t>
      </w:r>
      <w:r>
        <w:t>decreased mobility. However, research on neighborhood</w:t>
      </w:r>
      <w:r w:rsidR="00700038">
        <w:t>’</w:t>
      </w:r>
      <w:r w:rsidR="00C13DDC">
        <w:t>s</w:t>
      </w:r>
      <w:r>
        <w:t xml:space="preserve"> influence on older adults</w:t>
      </w:r>
      <w:r w:rsidR="00700038">
        <w:t>’</w:t>
      </w:r>
      <w:r>
        <w:t xml:space="preserve"> health, specifically, is limited.</w:t>
      </w:r>
    </w:p>
    <w:p w:rsidR="006125C8" w:rsidRDefault="006125C8" w:rsidP="006125C8">
      <w:pPr>
        <w:pStyle w:val="a3"/>
      </w:pPr>
      <w:r>
        <w:t>Evidence acquisition: Recent studies on neighborhood</w:t>
      </w:r>
      <w:r w:rsidR="005853A9">
        <w:t xml:space="preserve"> and </w:t>
      </w:r>
      <w:r>
        <w:t>health for older adults were identified. Studies were identified through searches</w:t>
      </w:r>
      <w:r w:rsidR="00427468">
        <w:t xml:space="preserve"> of </w:t>
      </w:r>
      <w:r>
        <w:t xml:space="preserve">databases including PsycINFO, CINAHL, </w:t>
      </w:r>
      <w:r w:rsidR="002C12F0">
        <w:t>PUBMED</w:t>
      </w:r>
      <w:r>
        <w:t>, Academic Search Premier, Ageline, Social Science Citation Index,</w:t>
      </w:r>
      <w:r w:rsidR="005853A9">
        <w:t xml:space="preserve"> and </w:t>
      </w:r>
      <w:r>
        <w:t>Health Source. Criteria for inclusion were as follows: human studies; English language; study sample included adults aged &gt;= 55 years; health outcomes, including mental health, health behaviors, morbidity,</w:t>
      </w:r>
      <w:r w:rsidR="005853A9">
        <w:t xml:space="preserve"> and </w:t>
      </w:r>
      <w:r>
        <w:t>mortality; neighborhood as</w:t>
      </w:r>
      <w:r w:rsidR="003A1917">
        <w:t xml:space="preserve"> the </w:t>
      </w:r>
      <w:r>
        <w:t>primary exposure variable</w:t>
      </w:r>
      <w:r w:rsidR="00427468">
        <w:t xml:space="preserve"> of </w:t>
      </w:r>
      <w:r>
        <w:t>interest; empirical research;</w:t>
      </w:r>
      <w:r w:rsidR="005853A9">
        <w:t xml:space="preserve"> and </w:t>
      </w:r>
      <w:r>
        <w:t>studies that included &gt;= 10 neighborhoods. Air pollution studies were excluded. Five hundred thirty-eight relevant articles were published during 19972007; a total</w:t>
      </w:r>
      <w:r w:rsidR="00427468">
        <w:t xml:space="preserve"> of </w:t>
      </w:r>
      <w:r>
        <w:t>33</w:t>
      </w:r>
      <w:r w:rsidR="00427468">
        <w:t xml:space="preserve"> of </w:t>
      </w:r>
      <w:r>
        <w:t>these articles met inclusion criteria.</w:t>
      </w:r>
    </w:p>
    <w:p w:rsidR="006125C8" w:rsidRDefault="006125C8" w:rsidP="006125C8">
      <w:pPr>
        <w:pStyle w:val="a3"/>
      </w:pPr>
      <w:r>
        <w:t>Evidence synthesis:</w:t>
      </w:r>
      <w:r w:rsidR="003A1917">
        <w:t xml:space="preserve"> the </w:t>
      </w:r>
      <w:r>
        <w:t>measures</w:t>
      </w:r>
      <w:r w:rsidR="00427468">
        <w:t xml:space="preserve"> of </w:t>
      </w:r>
      <w:r>
        <w:t>objective</w:t>
      </w:r>
      <w:r w:rsidR="005853A9">
        <w:t xml:space="preserve"> and </w:t>
      </w:r>
      <w:r>
        <w:t>perceived aspects</w:t>
      </w:r>
      <w:r w:rsidR="00427468">
        <w:t xml:space="preserve"> of </w:t>
      </w:r>
      <w:r>
        <w:t>neighborhood were summarized. Neighborhood was primarily operationalized using census-defined boundaries. Measures</w:t>
      </w:r>
      <w:r w:rsidR="00427468">
        <w:t xml:space="preserve"> of </w:t>
      </w:r>
      <w:r>
        <w:t>neighborhood were principally derived from objective sources</w:t>
      </w:r>
      <w:r w:rsidR="00427468">
        <w:t xml:space="preserve"> of </w:t>
      </w:r>
      <w:r>
        <w:t>data; eight studies assessed perceived neighborhood alone or in combination with objective measures. Six categories</w:t>
      </w:r>
      <w:r w:rsidR="00427468">
        <w:t xml:space="preserve"> of </w:t>
      </w:r>
      <w:r>
        <w:t>neighborhood characteristics were socioeconomic composition, racial composition, demographics, perceived resources and/or problems, physical environment,</w:t>
      </w:r>
      <w:r w:rsidR="005853A9">
        <w:t xml:space="preserve"> and </w:t>
      </w:r>
      <w:r>
        <w:t>social environment</w:t>
      </w:r>
      <w:r w:rsidR="00A37C1D">
        <w:t>. The</w:t>
      </w:r>
      <w:r w:rsidR="003A1917">
        <w:t xml:space="preserve"> </w:t>
      </w:r>
      <w:r>
        <w:t>studies are primarily cross-sectional</w:t>
      </w:r>
      <w:r w:rsidR="005853A9">
        <w:t xml:space="preserve"> and </w:t>
      </w:r>
      <w:r>
        <w:t>use administrative data to characterize neighborhood.</w:t>
      </w:r>
    </w:p>
    <w:p w:rsidR="006125C8" w:rsidRDefault="006125C8" w:rsidP="006125C8">
      <w:pPr>
        <w:pStyle w:val="a3"/>
      </w:pPr>
      <w:r>
        <w:t>Conclusions: These studies suggest that neighborhood environment is important for older adults</w:t>
      </w:r>
      <w:r w:rsidR="00700038">
        <w:t>’</w:t>
      </w:r>
      <w:r>
        <w:t xml:space="preserve"> health</w:t>
      </w:r>
      <w:r w:rsidR="005853A9">
        <w:t xml:space="preserve"> and </w:t>
      </w:r>
      <w:r>
        <w:t>functioning. (Am J Prev Med 2009;37(5):455-463) (C) 2009 American Journal</w:t>
      </w:r>
      <w:r w:rsidR="00427468">
        <w:t xml:space="preserve"> of </w:t>
      </w:r>
      <w:r>
        <w:t>Preventive Medicine</w:t>
      </w:r>
    </w:p>
    <w:p w:rsidR="006125C8" w:rsidRPr="001A3D2B" w:rsidRDefault="006125C8" w:rsidP="006125C8">
      <w:pPr>
        <w:pStyle w:val="a3"/>
      </w:pPr>
      <w:r>
        <w:t>Keywords: Coronary-Heart-Disease, Quality</w:t>
      </w:r>
      <w:r w:rsidR="00434900">
        <w:t>-of-</w:t>
      </w:r>
      <w:r>
        <w:t>Life, Self-Rated Health, Population-Based Cohort, Physical-Activity, Socioeconomic-Status, Built Environment, Depressive Symptoms, United-States, Multilevel Analysis</w:t>
      </w:r>
    </w:p>
    <w:p w:rsidR="0069059E" w:rsidRDefault="0069059E" w:rsidP="0069059E">
      <w:pPr>
        <w:pStyle w:val="a3"/>
        <w:rPr>
          <w:kern w:val="0"/>
        </w:rPr>
      </w:pPr>
      <w:r>
        <w:rPr>
          <w:rFonts w:hint="eastAsia"/>
          <w:kern w:val="0"/>
        </w:rPr>
        <w:t xml:space="preserve">? </w:t>
      </w:r>
      <w:r>
        <w:rPr>
          <w:kern w:val="0"/>
        </w:rPr>
        <w:t>Cohen, J.E., Chaiton, M.O.</w:t>
      </w:r>
      <w:r w:rsidR="005853A9">
        <w:rPr>
          <w:kern w:val="0"/>
        </w:rPr>
        <w:t xml:space="preserve"> and </w:t>
      </w:r>
      <w:r>
        <w:rPr>
          <w:kern w:val="0"/>
        </w:rPr>
        <w:t>Planinac, L.C. (2010), Taking stock a bibliometric analysis</w:t>
      </w:r>
      <w:r w:rsidR="00427468">
        <w:rPr>
          <w:kern w:val="0"/>
        </w:rPr>
        <w:t xml:space="preserve"> of </w:t>
      </w:r>
      <w:r w:rsidR="003A1917">
        <w:rPr>
          <w:kern w:val="0"/>
        </w:rPr>
        <w:t xml:space="preserve">the </w:t>
      </w:r>
      <w:r>
        <w:rPr>
          <w:kern w:val="0"/>
        </w:rPr>
        <w:t>focus</w:t>
      </w:r>
      <w:r w:rsidR="00427468">
        <w:rPr>
          <w:kern w:val="0"/>
        </w:rPr>
        <w:t xml:space="preserve"> of </w:t>
      </w:r>
      <w:r>
        <w:rPr>
          <w:kern w:val="0"/>
        </w:rPr>
        <w:t>tobacco research from</w:t>
      </w:r>
      <w:r w:rsidR="003A1917">
        <w:rPr>
          <w:kern w:val="0"/>
        </w:rPr>
        <w:t xml:space="preserve"> the </w:t>
      </w:r>
      <w:r>
        <w:rPr>
          <w:kern w:val="0"/>
        </w:rPr>
        <w:t>1980s to</w:t>
      </w:r>
      <w:r w:rsidR="003A1917">
        <w:rPr>
          <w:kern w:val="0"/>
        </w:rPr>
        <w:t xml:space="preserve"> the </w:t>
      </w:r>
      <w:r>
        <w:rPr>
          <w:kern w:val="0"/>
        </w:rPr>
        <w:t xml:space="preserve">2000s. </w:t>
      </w:r>
      <w:r>
        <w:rPr>
          <w:i/>
          <w:iCs/>
          <w:kern w:val="0"/>
        </w:rPr>
        <w:t>American Journal</w:t>
      </w:r>
      <w:r w:rsidR="00427468">
        <w:rPr>
          <w:i/>
          <w:iCs/>
          <w:kern w:val="0"/>
        </w:rPr>
        <w:t xml:space="preserve"> of </w:t>
      </w:r>
      <w:r>
        <w:rPr>
          <w:i/>
          <w:iCs/>
          <w:kern w:val="0"/>
        </w:rPr>
        <w:t>Preventive Medicine</w:t>
      </w:r>
      <w:r>
        <w:rPr>
          <w:kern w:val="0"/>
        </w:rPr>
        <w:t xml:space="preserve">, </w:t>
      </w:r>
      <w:r>
        <w:rPr>
          <w:b/>
          <w:bCs/>
          <w:kern w:val="0"/>
        </w:rPr>
        <w:t>39</w:t>
      </w:r>
      <w:r>
        <w:rPr>
          <w:kern w:val="0"/>
        </w:rPr>
        <w:t xml:space="preserve"> (4), 352-356.</w:t>
      </w:r>
    </w:p>
    <w:p w:rsidR="0069059E" w:rsidRDefault="0069059E" w:rsidP="0069059E">
      <w:pPr>
        <w:pStyle w:val="a3"/>
      </w:pPr>
      <w:r w:rsidRPr="001A3D2B">
        <w:t xml:space="preserve">Full Text: </w:t>
      </w:r>
      <w:hyperlink r:id="rId597" w:history="1">
        <w:r w:rsidRPr="0069059E">
          <w:rPr>
            <w:rStyle w:val="a5"/>
          </w:rPr>
          <w:t>2010\Ame J Pre Med39, 352.pdf</w:t>
        </w:r>
      </w:hyperlink>
    </w:p>
    <w:p w:rsidR="0069059E" w:rsidRDefault="0069059E" w:rsidP="0069059E">
      <w:pPr>
        <w:pStyle w:val="a3"/>
        <w:rPr>
          <w:kern w:val="0"/>
        </w:rPr>
      </w:pPr>
      <w:r>
        <w:rPr>
          <w:kern w:val="0"/>
        </w:rPr>
        <w:t>Abstract: Background: Little is known about</w:t>
      </w:r>
      <w:r w:rsidR="003A1917">
        <w:rPr>
          <w:kern w:val="0"/>
        </w:rPr>
        <w:t xml:space="preserve"> the </w:t>
      </w:r>
      <w:r>
        <w:rPr>
          <w:kern w:val="0"/>
        </w:rPr>
        <w:t>body</w:t>
      </w:r>
      <w:r w:rsidR="00427468">
        <w:rPr>
          <w:kern w:val="0"/>
        </w:rPr>
        <w:t xml:space="preserve"> of </w:t>
      </w:r>
      <w:r>
        <w:rPr>
          <w:kern w:val="0"/>
        </w:rPr>
        <w:t>tobacco research as a whole. Purpose: This paper examines</w:t>
      </w:r>
      <w:r w:rsidR="003A1917">
        <w:rPr>
          <w:kern w:val="0"/>
        </w:rPr>
        <w:t xml:space="preserve"> the </w:t>
      </w:r>
      <w:r>
        <w:rPr>
          <w:kern w:val="0"/>
        </w:rPr>
        <w:t>changes in literature focus (1980s to 2000s)</w:t>
      </w:r>
      <w:r w:rsidR="005853A9">
        <w:rPr>
          <w:kern w:val="0"/>
        </w:rPr>
        <w:t xml:space="preserve"> and </w:t>
      </w:r>
      <w:r>
        <w:rPr>
          <w:kern w:val="0"/>
        </w:rPr>
        <w:t>identifies areas in need</w:t>
      </w:r>
      <w:r w:rsidR="00427468">
        <w:rPr>
          <w:kern w:val="0"/>
        </w:rPr>
        <w:t xml:space="preserve"> of </w:t>
      </w:r>
      <w:r>
        <w:rPr>
          <w:kern w:val="0"/>
        </w:rPr>
        <w:t>increased attention. Methods: Tobacco articles randomly selected from searches</w:t>
      </w:r>
      <w:r w:rsidR="00427468">
        <w:rPr>
          <w:kern w:val="0"/>
        </w:rPr>
        <w:t xml:space="preserve"> of </w:t>
      </w:r>
      <w:r w:rsidR="003A1917">
        <w:rPr>
          <w:kern w:val="0"/>
        </w:rPr>
        <w:t xml:space="preserve">the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were coded according to (1) epidemiologic framework component; (2) study focus;</w:t>
      </w:r>
      <w:r w:rsidR="005853A9">
        <w:rPr>
          <w:kern w:val="0"/>
        </w:rPr>
        <w:t xml:space="preserve"> and </w:t>
      </w:r>
      <w:r>
        <w:rPr>
          <w:kern w:val="0"/>
        </w:rPr>
        <w:t>(3) form</w:t>
      </w:r>
      <w:r w:rsidR="00427468">
        <w:rPr>
          <w:kern w:val="0"/>
        </w:rPr>
        <w:t xml:space="preserve"> of </w:t>
      </w:r>
      <w:r>
        <w:rPr>
          <w:kern w:val="0"/>
        </w:rPr>
        <w:t>tobacco. Frequencies, cross-tabulations,</w:t>
      </w:r>
      <w:r w:rsidR="005853A9">
        <w:rPr>
          <w:kern w:val="0"/>
        </w:rPr>
        <w:t xml:space="preserve"> and </w:t>
      </w:r>
      <w:r>
        <w:rPr>
          <w:kern w:val="0"/>
        </w:rPr>
        <w:t>tests</w:t>
      </w:r>
      <w:r w:rsidR="00427468">
        <w:rPr>
          <w:kern w:val="0"/>
        </w:rPr>
        <w:t xml:space="preserve"> of </w:t>
      </w:r>
      <w:r>
        <w:rPr>
          <w:kern w:val="0"/>
        </w:rPr>
        <w:t>proportions were conducted</w:t>
      </w:r>
      <w:r w:rsidR="00A37C1D">
        <w:rPr>
          <w:kern w:val="0"/>
        </w:rPr>
        <w:t>. The</w:t>
      </w:r>
      <w:r w:rsidR="003A1917">
        <w:rPr>
          <w:kern w:val="0"/>
        </w:rPr>
        <w:t xml:space="preserve"> </w:t>
      </w:r>
      <w:r>
        <w:rPr>
          <w:kern w:val="0"/>
        </w:rPr>
        <w:t>analysis was conducted in 2009. Results: From</w:t>
      </w:r>
      <w:r w:rsidR="003A1917">
        <w:rPr>
          <w:kern w:val="0"/>
        </w:rPr>
        <w:t xml:space="preserve"> the </w:t>
      </w:r>
      <w:r>
        <w:rPr>
          <w:kern w:val="0"/>
        </w:rPr>
        <w:t>1980s to</w:t>
      </w:r>
      <w:r w:rsidR="003A1917">
        <w:rPr>
          <w:kern w:val="0"/>
        </w:rPr>
        <w:t xml:space="preserve"> the </w:t>
      </w:r>
      <w:r>
        <w:rPr>
          <w:kern w:val="0"/>
        </w:rPr>
        <w:t xml:space="preserve">2000s, there was </w:t>
      </w:r>
      <w:r>
        <w:rPr>
          <w:kern w:val="0"/>
        </w:rPr>
        <w:lastRenderedPageBreak/>
        <w:t>a significant decrease in tobacco-related articles focusing on</w:t>
      </w:r>
      <w:r w:rsidR="003A1917">
        <w:rPr>
          <w:kern w:val="0"/>
        </w:rPr>
        <w:t xml:space="preserve"> the </w:t>
      </w:r>
      <w:r w:rsidR="00B5188C">
        <w:rPr>
          <w:kern w:val="0"/>
        </w:rPr>
        <w:t>“</w:t>
      </w:r>
      <w:r>
        <w:rPr>
          <w:kern w:val="0"/>
        </w:rPr>
        <w:t>agent</w:t>
      </w:r>
      <w:r w:rsidR="00B5188C">
        <w:rPr>
          <w:kern w:val="0"/>
        </w:rPr>
        <w:t>”</w:t>
      </w:r>
      <w:r w:rsidR="005853A9">
        <w:rPr>
          <w:kern w:val="0"/>
        </w:rPr>
        <w:t xml:space="preserve"> and </w:t>
      </w:r>
      <w:r>
        <w:rPr>
          <w:kern w:val="0"/>
        </w:rPr>
        <w:t>an increase in articles focusing on</w:t>
      </w:r>
      <w:r w:rsidR="003A1917">
        <w:rPr>
          <w:kern w:val="0"/>
        </w:rPr>
        <w:t xml:space="preserve"> the </w:t>
      </w:r>
      <w:r w:rsidR="00B5188C">
        <w:rPr>
          <w:kern w:val="0"/>
        </w:rPr>
        <w:t>“</w:t>
      </w:r>
      <w:r>
        <w:rPr>
          <w:kern w:val="0"/>
        </w:rPr>
        <w:t>host.</w:t>
      </w:r>
      <w:r w:rsidR="00B5188C">
        <w:rPr>
          <w:kern w:val="0"/>
        </w:rPr>
        <w:t>”</w:t>
      </w:r>
      <w:r>
        <w:rPr>
          <w:kern w:val="0"/>
        </w:rPr>
        <w:t xml:space="preserve"> Few articles in either decade focused on</w:t>
      </w:r>
      <w:r w:rsidR="003A1917">
        <w:rPr>
          <w:kern w:val="0"/>
        </w:rPr>
        <w:t xml:space="preserve"> the </w:t>
      </w:r>
      <w:r w:rsidR="00B5188C">
        <w:rPr>
          <w:kern w:val="0"/>
        </w:rPr>
        <w:t>“</w:t>
      </w:r>
      <w:r>
        <w:rPr>
          <w:kern w:val="0"/>
        </w:rPr>
        <w:t>environment</w:t>
      </w:r>
      <w:r w:rsidR="00B5188C">
        <w:rPr>
          <w:kern w:val="0"/>
        </w:rPr>
        <w:t>”</w:t>
      </w:r>
      <w:r>
        <w:rPr>
          <w:kern w:val="0"/>
        </w:rPr>
        <w:t xml:space="preserve"> or on</w:t>
      </w:r>
      <w:r w:rsidR="003A1917">
        <w:rPr>
          <w:kern w:val="0"/>
        </w:rPr>
        <w:t xml:space="preserve"> the </w:t>
      </w:r>
      <w:r w:rsidR="00B5188C">
        <w:rPr>
          <w:kern w:val="0"/>
        </w:rPr>
        <w:t>“</w:t>
      </w:r>
      <w:r>
        <w:rPr>
          <w:kern w:val="0"/>
        </w:rPr>
        <w:t>vector</w:t>
      </w:r>
      <w:r w:rsidR="00B5188C">
        <w:rPr>
          <w:kern w:val="0"/>
        </w:rPr>
        <w:t>”</w:t>
      </w:r>
      <w:r>
        <w:rPr>
          <w:kern w:val="0"/>
        </w:rPr>
        <w:t xml:space="preserve"> (&lt;10%)</w:t>
      </w:r>
      <w:r w:rsidR="00A37C1D">
        <w:rPr>
          <w:kern w:val="0"/>
        </w:rPr>
        <w:t>. The</w:t>
      </w:r>
      <w:r w:rsidR="003A1917">
        <w:rPr>
          <w:kern w:val="0"/>
        </w:rPr>
        <w:t xml:space="preserve"> </w:t>
      </w:r>
      <w:r>
        <w:rPr>
          <w:kern w:val="0"/>
        </w:rPr>
        <w:t>percentage</w:t>
      </w:r>
      <w:r w:rsidR="00427468">
        <w:rPr>
          <w:kern w:val="0"/>
        </w:rPr>
        <w:t xml:space="preserve"> of </w:t>
      </w:r>
      <w:r>
        <w:rPr>
          <w:kern w:val="0"/>
        </w:rPr>
        <w:t>study foci addressing health effects decreased, whereas prevalence, use</w:t>
      </w:r>
      <w:r w:rsidR="005853A9">
        <w:rPr>
          <w:kern w:val="0"/>
        </w:rPr>
        <w:t xml:space="preserve"> and </w:t>
      </w:r>
      <w:r>
        <w:rPr>
          <w:kern w:val="0"/>
        </w:rPr>
        <w:t>cessation foci increased. Approximately two thirds</w:t>
      </w:r>
      <w:r w:rsidR="00427468">
        <w:rPr>
          <w:kern w:val="0"/>
        </w:rPr>
        <w:t xml:space="preserve"> of </w:t>
      </w:r>
      <w:r>
        <w:rPr>
          <w:kern w:val="0"/>
        </w:rPr>
        <w:t>articles focused on</w:t>
      </w:r>
      <w:r w:rsidR="003A1917">
        <w:rPr>
          <w:kern w:val="0"/>
        </w:rPr>
        <w:t xml:space="preserve"> the </w:t>
      </w:r>
      <w:r>
        <w:rPr>
          <w:kern w:val="0"/>
        </w:rPr>
        <w:t>cigarette. Conclusions:</w:t>
      </w:r>
      <w:r w:rsidR="003A1917">
        <w:rPr>
          <w:kern w:val="0"/>
        </w:rPr>
        <w:t xml:space="preserve"> the </w:t>
      </w:r>
      <w:r>
        <w:rPr>
          <w:kern w:val="0"/>
        </w:rPr>
        <w:t>nature</w:t>
      </w:r>
      <w:r w:rsidR="00427468">
        <w:rPr>
          <w:kern w:val="0"/>
        </w:rPr>
        <w:t xml:space="preserve"> of </w:t>
      </w:r>
      <w:r>
        <w:rPr>
          <w:kern w:val="0"/>
        </w:rPr>
        <w:t>tobacco research has shifted from examining</w:t>
      </w:r>
      <w:r w:rsidR="003A1917">
        <w:rPr>
          <w:kern w:val="0"/>
        </w:rPr>
        <w:t xml:space="preserve"> the </w:t>
      </w:r>
      <w:r>
        <w:rPr>
          <w:kern w:val="0"/>
        </w:rPr>
        <w:t>links between cigarettes</w:t>
      </w:r>
      <w:r w:rsidR="005853A9">
        <w:rPr>
          <w:kern w:val="0"/>
        </w:rPr>
        <w:t xml:space="preserve"> and </w:t>
      </w:r>
      <w:r>
        <w:rPr>
          <w:kern w:val="0"/>
        </w:rPr>
        <w:t>disease to understanding why people smoke</w:t>
      </w:r>
      <w:r w:rsidR="005853A9">
        <w:rPr>
          <w:kern w:val="0"/>
        </w:rPr>
        <w:t xml:space="preserve"> and </w:t>
      </w:r>
      <w:r>
        <w:rPr>
          <w:kern w:val="0"/>
        </w:rPr>
        <w:t>how to help them quit. Proportionately more research could focus on</w:t>
      </w:r>
      <w:r w:rsidR="003A1917">
        <w:rPr>
          <w:kern w:val="0"/>
        </w:rPr>
        <w:t xml:space="preserve"> the </w:t>
      </w:r>
      <w:r>
        <w:rPr>
          <w:kern w:val="0"/>
        </w:rPr>
        <w:t>environment</w:t>
      </w:r>
      <w:r w:rsidR="005853A9">
        <w:rPr>
          <w:kern w:val="0"/>
        </w:rPr>
        <w:t xml:space="preserve"> and </w:t>
      </w:r>
      <w:r>
        <w:rPr>
          <w:kern w:val="0"/>
        </w:rPr>
        <w:t>vector components</w:t>
      </w:r>
      <w:r w:rsidR="00427468">
        <w:rPr>
          <w:kern w:val="0"/>
        </w:rPr>
        <w:t xml:space="preserve"> of </w:t>
      </w:r>
      <w:r w:rsidR="003A1917">
        <w:rPr>
          <w:kern w:val="0"/>
        </w:rPr>
        <w:t xml:space="preserve">the </w:t>
      </w:r>
      <w:r>
        <w:rPr>
          <w:kern w:val="0"/>
        </w:rPr>
        <w:t>epidemiologic framework, to expand strategies for reducing tobacco-related disease. (Am J Prev Med 2010;39(4):352-356) (C) 2010 American Journal</w:t>
      </w:r>
      <w:r w:rsidR="00427468">
        <w:rPr>
          <w:kern w:val="0"/>
        </w:rPr>
        <w:t xml:space="preserve"> of </w:t>
      </w:r>
      <w:r>
        <w:rPr>
          <w:kern w:val="0"/>
        </w:rPr>
        <w:t>Preventive Medicine.</w:t>
      </w:r>
    </w:p>
    <w:p w:rsidR="00D23E09" w:rsidRDefault="00D23E09" w:rsidP="00D23E09">
      <w:pPr>
        <w:pStyle w:val="a3"/>
        <w:rPr>
          <w:kern w:val="0"/>
        </w:rPr>
      </w:pPr>
      <w:r>
        <w:rPr>
          <w:kern w:val="0"/>
        </w:rPr>
        <w:t xml:space="preserve">Keywords: Alcohol, Bibliometric, Databases, Drug, Environment, Journal, Literature, </w:t>
      </w:r>
      <w:r w:rsidR="00D5664A">
        <w:rPr>
          <w:kern w:val="0"/>
        </w:rPr>
        <w:t>MEDLINE</w:t>
      </w:r>
      <w:r>
        <w:rPr>
          <w:kern w:val="0"/>
        </w:rPr>
        <w:t xml:space="preserve">, Model, Research, Science, Tobacco, </w:t>
      </w:r>
      <w:r w:rsidR="00D5664A">
        <w:rPr>
          <w:kern w:val="0"/>
        </w:rPr>
        <w:t>Web</w:t>
      </w:r>
      <w:r w:rsidR="00427468">
        <w:rPr>
          <w:kern w:val="0"/>
        </w:rPr>
        <w:t xml:space="preserve"> of </w:t>
      </w:r>
      <w:r w:rsidR="00D5664A">
        <w:rPr>
          <w:kern w:val="0"/>
        </w:rPr>
        <w:t>Science</w:t>
      </w:r>
    </w:p>
    <w:p w:rsidR="00D77EB2" w:rsidRDefault="00D77EB2" w:rsidP="00D77EB2">
      <w:pPr>
        <w:pStyle w:val="a3"/>
        <w:rPr>
          <w:kern w:val="0"/>
        </w:rPr>
      </w:pPr>
      <w:r>
        <w:rPr>
          <w:rFonts w:hint="eastAsia"/>
          <w:kern w:val="0"/>
        </w:rPr>
        <w:t xml:space="preserve">? </w:t>
      </w:r>
      <w:r>
        <w:rPr>
          <w:kern w:val="0"/>
        </w:rPr>
        <w:t>van Uffelen, J.G.Z., Wong, J., Chau, J.Y., van der Ploeg, H.P., Riphagen, I., Gilson, N.D., Burton, N.W., Healy, G.N., Thorp, A.A., Clark, B.K., Gardiner, P.A., Dunstan, D.W., Bauman, A., Owen, N.</w:t>
      </w:r>
      <w:r w:rsidR="005853A9">
        <w:rPr>
          <w:kern w:val="0"/>
        </w:rPr>
        <w:t xml:space="preserve"> and </w:t>
      </w:r>
      <w:r>
        <w:rPr>
          <w:kern w:val="0"/>
        </w:rPr>
        <w:t>Brown, W.J. (2010), Occupational sitting</w:t>
      </w:r>
      <w:r w:rsidR="005853A9">
        <w:rPr>
          <w:kern w:val="0"/>
        </w:rPr>
        <w:t xml:space="preserve"> and </w:t>
      </w:r>
      <w:r>
        <w:rPr>
          <w:kern w:val="0"/>
        </w:rPr>
        <w:t xml:space="preserve">health risks a systematic review. </w:t>
      </w:r>
      <w:r>
        <w:rPr>
          <w:i/>
          <w:iCs/>
          <w:kern w:val="0"/>
        </w:rPr>
        <w:t>American Journal</w:t>
      </w:r>
      <w:r w:rsidR="00427468">
        <w:rPr>
          <w:i/>
          <w:iCs/>
          <w:kern w:val="0"/>
        </w:rPr>
        <w:t xml:space="preserve"> of </w:t>
      </w:r>
      <w:r>
        <w:rPr>
          <w:i/>
          <w:iCs/>
          <w:kern w:val="0"/>
        </w:rPr>
        <w:t>Preventive Medicine</w:t>
      </w:r>
      <w:r>
        <w:rPr>
          <w:kern w:val="0"/>
        </w:rPr>
        <w:t xml:space="preserve">, </w:t>
      </w:r>
      <w:r>
        <w:rPr>
          <w:b/>
          <w:bCs/>
          <w:kern w:val="0"/>
        </w:rPr>
        <w:t>39</w:t>
      </w:r>
      <w:r>
        <w:rPr>
          <w:kern w:val="0"/>
        </w:rPr>
        <w:t xml:space="preserve"> (4), 379-388.</w:t>
      </w:r>
    </w:p>
    <w:p w:rsidR="00D77EB2" w:rsidRPr="001A3D2B" w:rsidRDefault="00D77EB2" w:rsidP="00D77EB2">
      <w:pPr>
        <w:pStyle w:val="a3"/>
      </w:pPr>
      <w:r w:rsidRPr="001A3D2B">
        <w:t xml:space="preserve">Full Text: </w:t>
      </w:r>
      <w:hyperlink r:id="rId598" w:history="1">
        <w:r w:rsidR="00276839" w:rsidRPr="00276839">
          <w:rPr>
            <w:rStyle w:val="a5"/>
          </w:rPr>
          <w:t>2010\Ame J Pre Med39, 379.pdf</w:t>
        </w:r>
      </w:hyperlink>
    </w:p>
    <w:p w:rsidR="00D77EB2" w:rsidRDefault="00D77EB2" w:rsidP="00D77EB2">
      <w:pPr>
        <w:pStyle w:val="a3"/>
        <w:rPr>
          <w:kern w:val="0"/>
        </w:rPr>
      </w:pPr>
      <w:r>
        <w:rPr>
          <w:kern w:val="0"/>
        </w:rPr>
        <w:t>Abstract: Context: Emerging evidence suggests that sedentary behavior (i.e., time spent sitting) may be negatively associated with health</w:t>
      </w:r>
      <w:r w:rsidR="00A37C1D">
        <w:rPr>
          <w:kern w:val="0"/>
        </w:rPr>
        <w:t>. The</w:t>
      </w:r>
      <w:r w:rsidR="003A1917">
        <w:rPr>
          <w:kern w:val="0"/>
        </w:rPr>
        <w:t xml:space="preserve"> </w:t>
      </w:r>
      <w:r>
        <w:rPr>
          <w:kern w:val="0"/>
        </w:rPr>
        <w:t>aim</w:t>
      </w:r>
      <w:r w:rsidR="00427468">
        <w:rPr>
          <w:kern w:val="0"/>
        </w:rPr>
        <w:t xml:space="preserve"> of </w:t>
      </w:r>
      <w:r>
        <w:rPr>
          <w:kern w:val="0"/>
        </w:rPr>
        <w:t>this study was to systematically review</w:t>
      </w:r>
      <w:r w:rsidR="003A1917">
        <w:rPr>
          <w:kern w:val="0"/>
        </w:rPr>
        <w:t xml:space="preserve"> the </w:t>
      </w:r>
      <w:r>
        <w:rPr>
          <w:kern w:val="0"/>
        </w:rPr>
        <w:t>evidence on associations between occupational sitting</w:t>
      </w:r>
      <w:r w:rsidR="005853A9">
        <w:rPr>
          <w:kern w:val="0"/>
        </w:rPr>
        <w:t xml:space="preserve"> and </w:t>
      </w:r>
      <w:r>
        <w:rPr>
          <w:kern w:val="0"/>
        </w:rPr>
        <w:t xml:space="preserve">health risks. Evidence acquisition: Studies were identified in March-April 2009 by literature searches in </w:t>
      </w:r>
      <w:r w:rsidR="002C12F0">
        <w:rPr>
          <w:kern w:val="0"/>
        </w:rPr>
        <w:t>PUBMED</w:t>
      </w:r>
      <w:r>
        <w:rPr>
          <w:kern w:val="0"/>
        </w:rPr>
        <w:t>, PsycINFO, CENTRAL, CINAHL, EMBASE,</w:t>
      </w:r>
      <w:r w:rsidR="005853A9">
        <w:rPr>
          <w:kern w:val="0"/>
        </w:rPr>
        <w:t xml:space="preserve"> and </w:t>
      </w:r>
      <w:r>
        <w:rPr>
          <w:kern w:val="0"/>
        </w:rPr>
        <w:t xml:space="preserve">PEDro, with subsequent related-article searches in </w:t>
      </w:r>
      <w:r w:rsidR="002C12F0">
        <w:rPr>
          <w:kern w:val="0"/>
        </w:rPr>
        <w:t>PUBMED</w:t>
      </w:r>
      <w:r w:rsidR="005853A9">
        <w:rPr>
          <w:kern w:val="0"/>
        </w:rPr>
        <w:t xml:space="preserve"> and </w:t>
      </w:r>
      <w:r>
        <w:rPr>
          <w:kern w:val="0"/>
        </w:rPr>
        <w:t xml:space="preserve">citation searches in </w:t>
      </w:r>
      <w:r w:rsidR="00D5664A">
        <w:rPr>
          <w:kern w:val="0"/>
        </w:rPr>
        <w:t>Web</w:t>
      </w:r>
      <w:r w:rsidR="00427468">
        <w:rPr>
          <w:kern w:val="0"/>
        </w:rPr>
        <w:t xml:space="preserve"> of </w:t>
      </w:r>
      <w:r w:rsidR="00D5664A">
        <w:rPr>
          <w:kern w:val="0"/>
        </w:rPr>
        <w:t>Science</w:t>
      </w:r>
      <w:r>
        <w:rPr>
          <w:kern w:val="0"/>
        </w:rPr>
        <w:t>. Identified studies were categorized by health outcome. Two independent reviewers assessed methodologic quality using a 15-item quality rating list (score range 0-15 points, higher score indicating better quality). Data on study design, study population, measures</w:t>
      </w:r>
      <w:r w:rsidR="00427468">
        <w:rPr>
          <w:kern w:val="0"/>
        </w:rPr>
        <w:t xml:space="preserve"> of </w:t>
      </w:r>
      <w:r>
        <w:rPr>
          <w:kern w:val="0"/>
        </w:rPr>
        <w:t>occupational sitting, health risks, analyses,</w:t>
      </w:r>
      <w:r w:rsidR="005853A9">
        <w:rPr>
          <w:kern w:val="0"/>
        </w:rPr>
        <w:t xml:space="preserve"> and </w:t>
      </w:r>
      <w:r>
        <w:rPr>
          <w:kern w:val="0"/>
        </w:rPr>
        <w:t>results were extracted. Evidence synthesis: 43 papers met</w:t>
      </w:r>
      <w:r w:rsidR="003A1917">
        <w:rPr>
          <w:kern w:val="0"/>
        </w:rPr>
        <w:t xml:space="preserve"> the </w:t>
      </w:r>
      <w:r>
        <w:rPr>
          <w:kern w:val="0"/>
        </w:rPr>
        <w:t>inclusion criteria(21% cross-sectional, 14% case-control, 65% prospective); they examined</w:t>
      </w:r>
      <w:r w:rsidR="003A1917">
        <w:rPr>
          <w:kern w:val="0"/>
        </w:rPr>
        <w:t xml:space="preserve"> the </w:t>
      </w:r>
      <w:r>
        <w:rPr>
          <w:kern w:val="0"/>
        </w:rPr>
        <w:t>associations between occupational sitting</w:t>
      </w:r>
      <w:r w:rsidR="005853A9">
        <w:rPr>
          <w:kern w:val="0"/>
        </w:rPr>
        <w:t xml:space="preserve"> and </w:t>
      </w:r>
      <w:r>
        <w:rPr>
          <w:kern w:val="0"/>
        </w:rPr>
        <w:t>BMI (n = 12); cancer (n = 17); cardiovascular disease (CVD, n = 8); diabetes mellitus (DM, n = 4);</w:t>
      </w:r>
      <w:r w:rsidR="005853A9">
        <w:rPr>
          <w:kern w:val="0"/>
        </w:rPr>
        <w:t xml:space="preserve"> and </w:t>
      </w:r>
      <w:r>
        <w:rPr>
          <w:kern w:val="0"/>
        </w:rPr>
        <w:t>mortality (n = 6)</w:t>
      </w:r>
      <w:r w:rsidR="00A37C1D">
        <w:rPr>
          <w:kern w:val="0"/>
        </w:rPr>
        <w:t>. The</w:t>
      </w:r>
      <w:r w:rsidR="003A1917">
        <w:rPr>
          <w:kern w:val="0"/>
        </w:rPr>
        <w:t xml:space="preserve"> </w:t>
      </w:r>
      <w:r>
        <w:rPr>
          <w:kern w:val="0"/>
        </w:rPr>
        <w:t>median study-quality score was 12 points. Half</w:t>
      </w:r>
      <w:r w:rsidR="003A1917">
        <w:rPr>
          <w:kern w:val="0"/>
        </w:rPr>
        <w:t xml:space="preserve"> the </w:t>
      </w:r>
      <w:r>
        <w:rPr>
          <w:kern w:val="0"/>
        </w:rPr>
        <w:t>cross-sectional studies showed a positive association between occupational sitting</w:t>
      </w:r>
      <w:r w:rsidR="005853A9">
        <w:rPr>
          <w:kern w:val="0"/>
        </w:rPr>
        <w:t xml:space="preserve"> and </w:t>
      </w:r>
      <w:r>
        <w:rPr>
          <w:kern w:val="0"/>
        </w:rPr>
        <w:t>BMI, but prospective studies failed to confirm a ca</w:t>
      </w:r>
      <w:r w:rsidR="00D5664A">
        <w:rPr>
          <w:kern w:val="0"/>
        </w:rPr>
        <w:t>USA</w:t>
      </w:r>
      <w:r>
        <w:rPr>
          <w:kern w:val="0"/>
        </w:rPr>
        <w:t>l relationship</w:t>
      </w:r>
      <w:r w:rsidR="00A37C1D">
        <w:rPr>
          <w:kern w:val="0"/>
        </w:rPr>
        <w:t>. The</w:t>
      </w:r>
      <w:r>
        <w:rPr>
          <w:kern w:val="0"/>
        </w:rPr>
        <w:t>re was some case-control evidence for a positive association between occupational sitting</w:t>
      </w:r>
      <w:r w:rsidR="005853A9">
        <w:rPr>
          <w:kern w:val="0"/>
        </w:rPr>
        <w:t xml:space="preserve"> and </w:t>
      </w:r>
      <w:r>
        <w:rPr>
          <w:kern w:val="0"/>
        </w:rPr>
        <w:t>cancer; however, this was generally not supported by prospective studies</w:t>
      </w:r>
      <w:r w:rsidR="00A37C1D">
        <w:rPr>
          <w:kern w:val="0"/>
        </w:rPr>
        <w:t>. The</w:t>
      </w:r>
      <w:r w:rsidR="003A1917">
        <w:rPr>
          <w:kern w:val="0"/>
        </w:rPr>
        <w:t xml:space="preserve"> </w:t>
      </w:r>
      <w:r>
        <w:rPr>
          <w:kern w:val="0"/>
        </w:rPr>
        <w:t>majority</w:t>
      </w:r>
      <w:r w:rsidR="00427468">
        <w:rPr>
          <w:kern w:val="0"/>
        </w:rPr>
        <w:t xml:space="preserve"> of </w:t>
      </w:r>
      <w:r>
        <w:rPr>
          <w:kern w:val="0"/>
        </w:rPr>
        <w:t>prospective studies found that occupational sitting was associated with a higher risk</w:t>
      </w:r>
      <w:r w:rsidR="00427468">
        <w:rPr>
          <w:kern w:val="0"/>
        </w:rPr>
        <w:t xml:space="preserve"> of </w:t>
      </w:r>
      <w:r>
        <w:rPr>
          <w:kern w:val="0"/>
        </w:rPr>
        <w:t>DM</w:t>
      </w:r>
      <w:r w:rsidR="005853A9">
        <w:rPr>
          <w:kern w:val="0"/>
        </w:rPr>
        <w:t xml:space="preserve"> and </w:t>
      </w:r>
      <w:r>
        <w:rPr>
          <w:kern w:val="0"/>
        </w:rPr>
        <w:t xml:space="preserve">mortality. </w:t>
      </w:r>
      <w:r>
        <w:rPr>
          <w:kern w:val="0"/>
        </w:rPr>
        <w:lastRenderedPageBreak/>
        <w:t>Conclusions: Limited evidence was found to support a positive relationship between occupational sitting</w:t>
      </w:r>
      <w:r w:rsidR="005853A9">
        <w:rPr>
          <w:kern w:val="0"/>
        </w:rPr>
        <w:t xml:space="preserve"> and </w:t>
      </w:r>
      <w:r>
        <w:rPr>
          <w:kern w:val="0"/>
        </w:rPr>
        <w:t>health risks</w:t>
      </w:r>
      <w:r w:rsidR="00A37C1D">
        <w:rPr>
          <w:kern w:val="0"/>
        </w:rPr>
        <w:t>. The</w:t>
      </w:r>
      <w:r w:rsidR="003A1917">
        <w:rPr>
          <w:kern w:val="0"/>
        </w:rPr>
        <w:t xml:space="preserve"> </w:t>
      </w:r>
      <w:r>
        <w:rPr>
          <w:kern w:val="0"/>
        </w:rPr>
        <w:t>heterogeneity</w:t>
      </w:r>
      <w:r w:rsidR="00427468">
        <w:rPr>
          <w:kern w:val="0"/>
        </w:rPr>
        <w:t xml:space="preserve"> of </w:t>
      </w:r>
      <w:r>
        <w:rPr>
          <w:kern w:val="0"/>
        </w:rPr>
        <w:t>study designs, measures,</w:t>
      </w:r>
      <w:r w:rsidR="005853A9">
        <w:rPr>
          <w:kern w:val="0"/>
        </w:rPr>
        <w:t xml:space="preserve"> and </w:t>
      </w:r>
      <w:r>
        <w:rPr>
          <w:kern w:val="0"/>
        </w:rPr>
        <w:t>findings makes it difficult to draw definitive conclusions at this time. (Am J Prev Med 2010;39(4):379-388) (C) 2010 American Journal</w:t>
      </w:r>
      <w:r w:rsidR="00427468">
        <w:rPr>
          <w:kern w:val="0"/>
        </w:rPr>
        <w:t xml:space="preserve"> of </w:t>
      </w:r>
      <w:r>
        <w:rPr>
          <w:kern w:val="0"/>
        </w:rPr>
        <w:t>Preventive Medicine.</w:t>
      </w:r>
    </w:p>
    <w:p w:rsidR="00D77EB2" w:rsidRDefault="00D77EB2" w:rsidP="00D77EB2">
      <w:pPr>
        <w:pStyle w:val="a3"/>
        <w:rPr>
          <w:kern w:val="0"/>
        </w:rPr>
      </w:pPr>
      <w:r>
        <w:rPr>
          <w:kern w:val="0"/>
        </w:rPr>
        <w:t xml:space="preserve">Keywords: Acute Myocardial-Infarction, Aged Finnish Men, Bmi, Body-Mass Index, Breast-Cancer, Cancer, Cardiovascular, Cardiovascular Disease, Cardiovascular-Disease, Citation, Diabetes, Diabetes Mellitus, Disease, Embase, Health, Health Risks, Ischemic Heart-Disease, Journal, Leisure-Time, Literature, Mortality, Occupational, Outcome, Papers, Points, Prospective Studies, </w:t>
      </w:r>
      <w:r w:rsidR="002C12F0">
        <w:rPr>
          <w:kern w:val="0"/>
        </w:rPr>
        <w:t>PUBMED</w:t>
      </w:r>
      <w:r>
        <w:rPr>
          <w:kern w:val="0"/>
        </w:rPr>
        <w:t xml:space="preserve">, Renal-Cell Cancer, Review, Risk, Science, Sedentary Behaviors, Systematic, Systematic Review, Time Physical-Activity, </w:t>
      </w:r>
      <w:r w:rsidR="00D5664A">
        <w:rPr>
          <w:kern w:val="0"/>
        </w:rPr>
        <w:t>Web</w:t>
      </w:r>
      <w:r w:rsidR="00427468">
        <w:rPr>
          <w:kern w:val="0"/>
        </w:rPr>
        <w:t xml:space="preserve"> of </w:t>
      </w:r>
      <w:r w:rsidR="00D5664A">
        <w:rPr>
          <w:kern w:val="0"/>
        </w:rPr>
        <w:t>Science</w:t>
      </w:r>
    </w:p>
    <w:p w:rsidR="00D77EB2" w:rsidRDefault="00D77EB2" w:rsidP="00D77EB2">
      <w:pPr>
        <w:pStyle w:val="a3"/>
        <w:rPr>
          <w:kern w:val="0"/>
        </w:rPr>
      </w:pPr>
      <w:r>
        <w:rPr>
          <w:rFonts w:hint="eastAsia"/>
          <w:kern w:val="0"/>
        </w:rPr>
        <w:t xml:space="preserve">? </w:t>
      </w:r>
      <w:r>
        <w:rPr>
          <w:kern w:val="0"/>
        </w:rPr>
        <w:t>Thorp, A.A., Owen, N., Neuhaus, M.</w:t>
      </w:r>
      <w:r w:rsidR="005853A9">
        <w:rPr>
          <w:kern w:val="0"/>
        </w:rPr>
        <w:t xml:space="preserve"> and </w:t>
      </w:r>
      <w:r>
        <w:rPr>
          <w:kern w:val="0"/>
        </w:rPr>
        <w:t>Dunstan, D.W. (2011), Sedentary behaviors</w:t>
      </w:r>
      <w:r w:rsidR="005853A9">
        <w:rPr>
          <w:kern w:val="0"/>
        </w:rPr>
        <w:t xml:space="preserve"> and </w:t>
      </w:r>
      <w:r>
        <w:rPr>
          <w:kern w:val="0"/>
        </w:rPr>
        <w:t>subsequent health outcomes in adults a systematic review</w:t>
      </w:r>
      <w:r w:rsidR="00427468">
        <w:rPr>
          <w:kern w:val="0"/>
        </w:rPr>
        <w:t xml:space="preserve"> of </w:t>
      </w:r>
      <w:r>
        <w:rPr>
          <w:kern w:val="0"/>
        </w:rPr>
        <w:t xml:space="preserve">longitudinal studies, 1996-2011. </w:t>
      </w:r>
      <w:r>
        <w:rPr>
          <w:i/>
          <w:iCs/>
          <w:kern w:val="0"/>
        </w:rPr>
        <w:t>American Journal</w:t>
      </w:r>
      <w:r w:rsidR="00427468">
        <w:rPr>
          <w:i/>
          <w:iCs/>
          <w:kern w:val="0"/>
        </w:rPr>
        <w:t xml:space="preserve"> of </w:t>
      </w:r>
      <w:r>
        <w:rPr>
          <w:i/>
          <w:iCs/>
          <w:kern w:val="0"/>
        </w:rPr>
        <w:t>Preventive Medicine</w:t>
      </w:r>
      <w:r>
        <w:rPr>
          <w:kern w:val="0"/>
        </w:rPr>
        <w:t xml:space="preserve">, </w:t>
      </w:r>
      <w:r>
        <w:rPr>
          <w:b/>
          <w:bCs/>
          <w:kern w:val="0"/>
        </w:rPr>
        <w:t>41</w:t>
      </w:r>
      <w:r>
        <w:rPr>
          <w:kern w:val="0"/>
        </w:rPr>
        <w:t xml:space="preserve"> (2), 207-215.</w:t>
      </w:r>
    </w:p>
    <w:p w:rsidR="00276839" w:rsidRPr="001A3D2B" w:rsidRDefault="00276839" w:rsidP="00276839">
      <w:pPr>
        <w:pStyle w:val="a3"/>
      </w:pPr>
      <w:r w:rsidRPr="001A3D2B">
        <w:t xml:space="preserve">Full Text: </w:t>
      </w:r>
      <w:hyperlink r:id="rId599" w:history="1">
        <w:r w:rsidRPr="003469AE">
          <w:rPr>
            <w:rStyle w:val="a5"/>
          </w:rPr>
          <w:t>2011\Ame J Pre Med41, 207.pdf</w:t>
        </w:r>
      </w:hyperlink>
    </w:p>
    <w:p w:rsidR="00D77EB2" w:rsidRDefault="00D77EB2" w:rsidP="00D77EB2">
      <w:pPr>
        <w:pStyle w:val="a3"/>
        <w:rPr>
          <w:kern w:val="0"/>
        </w:rPr>
      </w:pPr>
      <w:r>
        <w:rPr>
          <w:kern w:val="0"/>
        </w:rPr>
        <w:t>Abstract: Context: To systematically review</w:t>
      </w:r>
      <w:r w:rsidR="005853A9">
        <w:rPr>
          <w:kern w:val="0"/>
        </w:rPr>
        <w:t xml:space="preserve"> and </w:t>
      </w:r>
      <w:r>
        <w:rPr>
          <w:kern w:val="0"/>
        </w:rPr>
        <w:t>provide an informative synthesis</w:t>
      </w:r>
      <w:r w:rsidR="00427468">
        <w:rPr>
          <w:kern w:val="0"/>
        </w:rPr>
        <w:t xml:space="preserve"> of </w:t>
      </w:r>
      <w:r>
        <w:rPr>
          <w:kern w:val="0"/>
        </w:rPr>
        <w:t>findings from longitudinal studies published since 1996 reporting on relationships between self-reported sedentary behavior</w:t>
      </w:r>
      <w:r w:rsidR="005853A9">
        <w:rPr>
          <w:kern w:val="0"/>
        </w:rPr>
        <w:t xml:space="preserve"> and </w:t>
      </w:r>
      <w:r>
        <w:rPr>
          <w:kern w:val="0"/>
        </w:rPr>
        <w:t>device-based measures</w:t>
      </w:r>
      <w:r w:rsidR="00427468">
        <w:rPr>
          <w:kern w:val="0"/>
        </w:rPr>
        <w:t xml:space="preserve"> of </w:t>
      </w:r>
      <w:r>
        <w:rPr>
          <w:kern w:val="0"/>
        </w:rPr>
        <w:t>sedentary time with health-related outcomes in adults. Evidence acquisition: Studies published between 1996</w:t>
      </w:r>
      <w:r w:rsidR="005853A9">
        <w:rPr>
          <w:kern w:val="0"/>
        </w:rPr>
        <w:t xml:space="preserve"> and </w:t>
      </w:r>
      <w:r>
        <w:rPr>
          <w:kern w:val="0"/>
        </w:rPr>
        <w:t>January 2011 were identified by examining existing literature reviews</w:t>
      </w:r>
      <w:r w:rsidR="005853A9">
        <w:rPr>
          <w:kern w:val="0"/>
        </w:rPr>
        <w:t xml:space="preserve"> and </w:t>
      </w:r>
      <w:r>
        <w:rPr>
          <w:kern w:val="0"/>
        </w:rPr>
        <w:t xml:space="preserve">by systematic searches in </w:t>
      </w:r>
      <w:r w:rsidR="00D5664A">
        <w:rPr>
          <w:kern w:val="0"/>
        </w:rPr>
        <w:t>Web</w:t>
      </w:r>
      <w:r w:rsidR="00427468">
        <w:rPr>
          <w:kern w:val="0"/>
        </w:rPr>
        <w:t xml:space="preserve"> of </w:t>
      </w:r>
      <w:r w:rsidR="00D5664A">
        <w:rPr>
          <w:kern w:val="0"/>
        </w:rPr>
        <w:t>Science</w:t>
      </w:r>
      <w:r>
        <w:rPr>
          <w:kern w:val="0"/>
        </w:rPr>
        <w:t xml:space="preserve">, </w:t>
      </w:r>
      <w:r w:rsidR="00D5664A">
        <w:rPr>
          <w:kern w:val="0"/>
        </w:rPr>
        <w:t>MEDLINE</w:t>
      </w:r>
      <w:r>
        <w:rPr>
          <w:kern w:val="0"/>
        </w:rPr>
        <w:t xml:space="preserve">, </w:t>
      </w:r>
      <w:r w:rsidR="002C12F0">
        <w:rPr>
          <w:kern w:val="0"/>
        </w:rPr>
        <w:t>PUBMED</w:t>
      </w:r>
      <w:r>
        <w:rPr>
          <w:kern w:val="0"/>
        </w:rPr>
        <w:t>,</w:t>
      </w:r>
      <w:r w:rsidR="005853A9">
        <w:rPr>
          <w:kern w:val="0"/>
        </w:rPr>
        <w:t xml:space="preserve"> and </w:t>
      </w:r>
      <w:r>
        <w:rPr>
          <w:kern w:val="0"/>
        </w:rPr>
        <w:t>PsycINFO. English-written articles were selected according to study design, targeted behavior,</w:t>
      </w:r>
      <w:r w:rsidR="005853A9">
        <w:rPr>
          <w:kern w:val="0"/>
        </w:rPr>
        <w:t xml:space="preserve"> and </w:t>
      </w:r>
      <w:r>
        <w:rPr>
          <w:kern w:val="0"/>
        </w:rPr>
        <w:t>health outcome. Evidence synthesis: Forty-eight articles met</w:t>
      </w:r>
      <w:r w:rsidR="003A1917">
        <w:rPr>
          <w:kern w:val="0"/>
        </w:rPr>
        <w:t xml:space="preserve"> the </w:t>
      </w:r>
      <w:r>
        <w:rPr>
          <w:kern w:val="0"/>
        </w:rPr>
        <w:t>inclusion criteria;</w:t>
      </w:r>
      <w:r w:rsidR="00427468">
        <w:rPr>
          <w:kern w:val="0"/>
        </w:rPr>
        <w:t xml:space="preserve"> of </w:t>
      </w:r>
      <w:r>
        <w:rPr>
          <w:kern w:val="0"/>
        </w:rPr>
        <w:t>these, 46 incorporated self-reported measures including total sitting time; TV viewing time only; TV viewing time</w:t>
      </w:r>
      <w:r w:rsidR="005853A9">
        <w:rPr>
          <w:kern w:val="0"/>
        </w:rPr>
        <w:t xml:space="preserve"> and </w:t>
      </w:r>
      <w:r>
        <w:rPr>
          <w:kern w:val="0"/>
        </w:rPr>
        <w:t>other screen-time behaviors;</w:t>
      </w:r>
      <w:r w:rsidR="005853A9">
        <w:rPr>
          <w:kern w:val="0"/>
        </w:rPr>
        <w:t xml:space="preserve"> and </w:t>
      </w:r>
      <w:r>
        <w:rPr>
          <w:kern w:val="0"/>
        </w:rPr>
        <w:t>TV viewing time plus other sedentary behaviors. Findings indicate a consistent relationship</w:t>
      </w:r>
      <w:r w:rsidR="00427468">
        <w:rPr>
          <w:kern w:val="0"/>
        </w:rPr>
        <w:t xml:space="preserve"> of </w:t>
      </w:r>
      <w:r>
        <w:rPr>
          <w:kern w:val="0"/>
        </w:rPr>
        <w:t>self-reported sedentary behavior with mortality</w:t>
      </w:r>
      <w:r w:rsidR="005853A9">
        <w:rPr>
          <w:kern w:val="0"/>
        </w:rPr>
        <w:t xml:space="preserve"> and </w:t>
      </w:r>
      <w:r>
        <w:rPr>
          <w:kern w:val="0"/>
        </w:rPr>
        <w:t>with weight gain from childhood to</w:t>
      </w:r>
      <w:r w:rsidR="003A1917">
        <w:rPr>
          <w:kern w:val="0"/>
        </w:rPr>
        <w:t xml:space="preserve"> the </w:t>
      </w:r>
      <w:r>
        <w:rPr>
          <w:kern w:val="0"/>
        </w:rPr>
        <w:t>adult years. However, findings were mixed for associations with disease incidence, weight gain during adulthood,</w:t>
      </w:r>
      <w:r w:rsidR="005853A9">
        <w:rPr>
          <w:kern w:val="0"/>
        </w:rPr>
        <w:t xml:space="preserve"> and </w:t>
      </w:r>
      <w:r>
        <w:rPr>
          <w:kern w:val="0"/>
        </w:rPr>
        <w:t>cardiometabolic risk.</w:t>
      </w:r>
      <w:r w:rsidR="00427468">
        <w:rPr>
          <w:kern w:val="0"/>
        </w:rPr>
        <w:t xml:space="preserve"> of </w:t>
      </w:r>
      <w:r w:rsidR="003A1917">
        <w:rPr>
          <w:kern w:val="0"/>
        </w:rPr>
        <w:t xml:space="preserve">the </w:t>
      </w:r>
      <w:r>
        <w:rPr>
          <w:kern w:val="0"/>
        </w:rPr>
        <w:t>three studies that used device-based measures</w:t>
      </w:r>
      <w:r w:rsidR="00427468">
        <w:rPr>
          <w:kern w:val="0"/>
        </w:rPr>
        <w:t xml:space="preserve"> of </w:t>
      </w:r>
      <w:r>
        <w:rPr>
          <w:kern w:val="0"/>
        </w:rPr>
        <w:t>sedentary time, one showed that markers</w:t>
      </w:r>
      <w:r w:rsidR="00427468">
        <w:rPr>
          <w:kern w:val="0"/>
        </w:rPr>
        <w:t xml:space="preserve"> of </w:t>
      </w:r>
      <w:r>
        <w:rPr>
          <w:kern w:val="0"/>
        </w:rPr>
        <w:t>obesity predicted sedentary time, whereas in conclusive findings have been observed for markers</w:t>
      </w:r>
      <w:r w:rsidR="00427468">
        <w:rPr>
          <w:kern w:val="0"/>
        </w:rPr>
        <w:t xml:space="preserve"> of </w:t>
      </w:r>
      <w:r>
        <w:rPr>
          <w:kern w:val="0"/>
        </w:rPr>
        <w:t>insulin resistance. Conclusions: There is a growing body</w:t>
      </w:r>
      <w:r w:rsidR="00427468">
        <w:rPr>
          <w:kern w:val="0"/>
        </w:rPr>
        <w:t xml:space="preserve"> of </w:t>
      </w:r>
      <w:r>
        <w:rPr>
          <w:kern w:val="0"/>
        </w:rPr>
        <w:t>evidence that sedentary behavior may be a distinct risk factor, independent</w:t>
      </w:r>
      <w:r w:rsidR="00427468">
        <w:rPr>
          <w:kern w:val="0"/>
        </w:rPr>
        <w:t xml:space="preserve"> of </w:t>
      </w:r>
      <w:r>
        <w:rPr>
          <w:kern w:val="0"/>
        </w:rPr>
        <w:t>physical activity, for multiple adverse health outcomes in adults. Prospective studies using device-based measures are required to provide a clearer understanding</w:t>
      </w:r>
      <w:r w:rsidR="00427468">
        <w:rPr>
          <w:kern w:val="0"/>
        </w:rPr>
        <w:t xml:space="preserve"> of </w:t>
      </w:r>
      <w:r w:rsidR="003A1917">
        <w:rPr>
          <w:kern w:val="0"/>
        </w:rPr>
        <w:t xml:space="preserve">the </w:t>
      </w:r>
      <w:r>
        <w:rPr>
          <w:kern w:val="0"/>
        </w:rPr>
        <w:t>impact</w:t>
      </w:r>
      <w:r w:rsidR="00427468">
        <w:rPr>
          <w:kern w:val="0"/>
        </w:rPr>
        <w:t xml:space="preserve"> of </w:t>
      </w:r>
      <w:r>
        <w:rPr>
          <w:kern w:val="0"/>
        </w:rPr>
        <w:t>sedentary time on health outcomes. (Am J Prev Med 2011;41(2):207-215) (C) 2011 American Journal</w:t>
      </w:r>
      <w:r w:rsidR="00427468">
        <w:rPr>
          <w:kern w:val="0"/>
        </w:rPr>
        <w:t xml:space="preserve"> of </w:t>
      </w:r>
      <w:r>
        <w:rPr>
          <w:kern w:val="0"/>
        </w:rPr>
        <w:t>Preventive Medicine.</w:t>
      </w:r>
    </w:p>
    <w:p w:rsidR="00D77EB2" w:rsidRDefault="00D77EB2" w:rsidP="00D77EB2">
      <w:pPr>
        <w:pStyle w:val="a3"/>
        <w:rPr>
          <w:kern w:val="0"/>
        </w:rPr>
      </w:pPr>
      <w:r>
        <w:rPr>
          <w:kern w:val="0"/>
        </w:rPr>
        <w:t xml:space="preserve">Keywords: Adult, Adults, Cardiovascular-Disease, Disease, Endometrial Cancer, Health, </w:t>
      </w:r>
      <w:r>
        <w:rPr>
          <w:kern w:val="0"/>
        </w:rPr>
        <w:lastRenderedPageBreak/>
        <w:t xml:space="preserve">Health Outcomes, Impact, Insulin, Journal, Lipoprotein-Lipase Activity, Literature, Longitudinal Studies, </w:t>
      </w:r>
      <w:r w:rsidR="00D5664A">
        <w:rPr>
          <w:kern w:val="0"/>
        </w:rPr>
        <w:t>MEDLINE</w:t>
      </w:r>
      <w:r>
        <w:rPr>
          <w:kern w:val="0"/>
        </w:rPr>
        <w:t xml:space="preserve">, Mortality, NIH-AARP Diet, Obesity, Outcome, Outcomes, Physical Activity, Population-Based Cohort, Prospective Studies, </w:t>
      </w:r>
      <w:r w:rsidR="002C12F0">
        <w:rPr>
          <w:kern w:val="0"/>
        </w:rPr>
        <w:t>PUBMED</w:t>
      </w:r>
      <w:r>
        <w:rPr>
          <w:kern w:val="0"/>
        </w:rPr>
        <w:t xml:space="preserve">, Recreational Physical-Activity, Resistance, Review, Risk, Science, Sitting Time, Systematic, Systematic Review, Television Viewing Time, Type-2 Diabetes-Mellitus, </w:t>
      </w:r>
      <w:r w:rsidR="00D5664A">
        <w:rPr>
          <w:kern w:val="0"/>
        </w:rPr>
        <w:t>Web</w:t>
      </w:r>
      <w:r w:rsidR="00427468">
        <w:rPr>
          <w:kern w:val="0"/>
        </w:rPr>
        <w:t xml:space="preserve"> of </w:t>
      </w:r>
      <w:r w:rsidR="00D5664A">
        <w:rPr>
          <w:kern w:val="0"/>
        </w:rPr>
        <w:t>Science</w:t>
      </w:r>
      <w:r>
        <w:rPr>
          <w:kern w:val="0"/>
        </w:rPr>
        <w:t>, Weight-Gain</w:t>
      </w:r>
    </w:p>
    <w:p w:rsidR="00A24701" w:rsidRDefault="00A24701" w:rsidP="00A24701">
      <w:pPr>
        <w:pStyle w:val="a3"/>
        <w:rPr>
          <w:kern w:val="0"/>
        </w:rPr>
      </w:pPr>
      <w:r>
        <w:rPr>
          <w:rFonts w:hint="eastAsia"/>
          <w:kern w:val="0"/>
        </w:rPr>
        <w:t xml:space="preserve">? </w:t>
      </w:r>
      <w:r>
        <w:rPr>
          <w:kern w:val="0"/>
        </w:rPr>
        <w:t>Ding, D., Sallis, J.F., Kerr, J., Lee, S.</w:t>
      </w:r>
      <w:r w:rsidR="005853A9">
        <w:rPr>
          <w:kern w:val="0"/>
        </w:rPr>
        <w:t xml:space="preserve"> and </w:t>
      </w:r>
      <w:r>
        <w:rPr>
          <w:kern w:val="0"/>
        </w:rPr>
        <w:t>Rosenberg, D.E. (2011), Neighborhood environment</w:t>
      </w:r>
      <w:r w:rsidR="005853A9">
        <w:rPr>
          <w:kern w:val="0"/>
        </w:rPr>
        <w:t xml:space="preserve"> and </w:t>
      </w:r>
      <w:r>
        <w:rPr>
          <w:kern w:val="0"/>
        </w:rPr>
        <w:t>physical activity among youth</w:t>
      </w:r>
      <w:r>
        <w:rPr>
          <w:rFonts w:hint="eastAsia"/>
          <w:kern w:val="0"/>
        </w:rPr>
        <w:t>:</w:t>
      </w:r>
      <w:r>
        <w:rPr>
          <w:kern w:val="0"/>
        </w:rPr>
        <w:t xml:space="preserve"> A review. </w:t>
      </w:r>
      <w:r>
        <w:rPr>
          <w:i/>
          <w:iCs/>
          <w:kern w:val="0"/>
        </w:rPr>
        <w:t>American Journal</w:t>
      </w:r>
      <w:r w:rsidR="00427468">
        <w:rPr>
          <w:i/>
          <w:iCs/>
          <w:kern w:val="0"/>
        </w:rPr>
        <w:t xml:space="preserve"> of </w:t>
      </w:r>
      <w:r>
        <w:rPr>
          <w:i/>
          <w:iCs/>
          <w:kern w:val="0"/>
        </w:rPr>
        <w:t>Preventive Medicine</w:t>
      </w:r>
      <w:r>
        <w:rPr>
          <w:kern w:val="0"/>
        </w:rPr>
        <w:t xml:space="preserve">, </w:t>
      </w:r>
      <w:r>
        <w:rPr>
          <w:b/>
          <w:bCs/>
          <w:kern w:val="0"/>
        </w:rPr>
        <w:t>41</w:t>
      </w:r>
      <w:r>
        <w:rPr>
          <w:kern w:val="0"/>
        </w:rPr>
        <w:t xml:space="preserve"> (4), 442-455.</w:t>
      </w:r>
    </w:p>
    <w:p w:rsidR="00A24701" w:rsidRPr="001A3D2B" w:rsidRDefault="00A24701" w:rsidP="00A24701">
      <w:pPr>
        <w:pStyle w:val="a3"/>
      </w:pPr>
      <w:r w:rsidRPr="001A3D2B">
        <w:t xml:space="preserve">Full Text: </w:t>
      </w:r>
      <w:hyperlink r:id="rId600" w:history="1">
        <w:r w:rsidRPr="00845364">
          <w:rPr>
            <w:rStyle w:val="a5"/>
          </w:rPr>
          <w:t>2011\Ame J Pre Med41, 442.pdf</w:t>
        </w:r>
      </w:hyperlink>
    </w:p>
    <w:p w:rsidR="00A24701" w:rsidRDefault="00A24701" w:rsidP="00A24701">
      <w:pPr>
        <w:pStyle w:val="a3"/>
        <w:rPr>
          <w:kern w:val="0"/>
        </w:rPr>
      </w:pPr>
      <w:r>
        <w:rPr>
          <w:kern w:val="0"/>
        </w:rPr>
        <w:t>Abstract: Context: Research examining</w:t>
      </w:r>
      <w:r w:rsidR="003A1917">
        <w:rPr>
          <w:kern w:val="0"/>
        </w:rPr>
        <w:t xml:space="preserve"> the </w:t>
      </w:r>
      <w:r>
        <w:rPr>
          <w:kern w:val="0"/>
        </w:rPr>
        <w:t>association between environmental attributes</w:t>
      </w:r>
      <w:r w:rsidR="005853A9">
        <w:rPr>
          <w:kern w:val="0"/>
        </w:rPr>
        <w:t xml:space="preserve"> and </w:t>
      </w:r>
      <w:r>
        <w:rPr>
          <w:kern w:val="0"/>
        </w:rPr>
        <w:t>physical activity among youth is growing. An updated review</w:t>
      </w:r>
      <w:r w:rsidR="00427468">
        <w:rPr>
          <w:kern w:val="0"/>
        </w:rPr>
        <w:t xml:space="preserve"> of </w:t>
      </w:r>
      <w:r>
        <w:rPr>
          <w:kern w:val="0"/>
        </w:rPr>
        <w:t>literature is needed to summarize</w:t>
      </w:r>
      <w:r w:rsidR="003A1917">
        <w:rPr>
          <w:kern w:val="0"/>
        </w:rPr>
        <w:t xml:space="preserve"> the </w:t>
      </w:r>
      <w:r>
        <w:rPr>
          <w:kern w:val="0"/>
        </w:rPr>
        <w:t>current evidence base,</w:t>
      </w:r>
      <w:r w:rsidR="005853A9">
        <w:rPr>
          <w:kern w:val="0"/>
        </w:rPr>
        <w:t xml:space="preserve"> and </w:t>
      </w:r>
      <w:r>
        <w:rPr>
          <w:kern w:val="0"/>
        </w:rPr>
        <w:t>to inform policies</w:t>
      </w:r>
      <w:r w:rsidR="005853A9">
        <w:rPr>
          <w:kern w:val="0"/>
        </w:rPr>
        <w:t xml:space="preserve"> and </w:t>
      </w:r>
      <w:r>
        <w:rPr>
          <w:kern w:val="0"/>
        </w:rPr>
        <w:t>environmental interventions to promote active lifestyles among young people. Evidence acquisition: A literature search was conducted using</w:t>
      </w:r>
      <w:r w:rsidR="003A1917">
        <w:rPr>
          <w:kern w:val="0"/>
        </w:rPr>
        <w:t xml:space="preserve"> the </w:t>
      </w:r>
      <w:r>
        <w:rPr>
          <w:kern w:val="0"/>
        </w:rPr>
        <w:t>Active Living Research (ALR) literature database, an online database that codes study characteristics</w:t>
      </w:r>
      <w:r w:rsidR="005853A9">
        <w:rPr>
          <w:kern w:val="0"/>
        </w:rPr>
        <w:t xml:space="preserve"> and </w:t>
      </w:r>
      <w:r>
        <w:rPr>
          <w:kern w:val="0"/>
        </w:rPr>
        <w:t>results</w:t>
      </w:r>
      <w:r w:rsidR="00427468">
        <w:rPr>
          <w:kern w:val="0"/>
        </w:rPr>
        <w:t xml:space="preserve"> of </w:t>
      </w:r>
      <w:r>
        <w:rPr>
          <w:kern w:val="0"/>
        </w:rPr>
        <w:t>published papers on built/social environment</w:t>
      </w:r>
      <w:r w:rsidR="005853A9">
        <w:rPr>
          <w:kern w:val="0"/>
        </w:rPr>
        <w:t xml:space="preserve"> and </w:t>
      </w:r>
      <w:r>
        <w:rPr>
          <w:kern w:val="0"/>
        </w:rPr>
        <w:t>physical activity/obesity/sedentary behavior. Papers in</w:t>
      </w:r>
      <w:r w:rsidR="003A1917">
        <w:rPr>
          <w:kern w:val="0"/>
        </w:rPr>
        <w:t xml:space="preserve"> the </w:t>
      </w:r>
      <w:r>
        <w:rPr>
          <w:kern w:val="0"/>
        </w:rPr>
        <w:t xml:space="preserve">ALR database were identified through PubMed,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SPORT Discus using systematically developed</w:t>
      </w:r>
      <w:r w:rsidR="005853A9">
        <w:rPr>
          <w:kern w:val="0"/>
        </w:rPr>
        <w:t xml:space="preserve"> and </w:t>
      </w:r>
      <w:r>
        <w:rPr>
          <w:kern w:val="0"/>
        </w:rPr>
        <w:t>expert-validated search protocols. For</w:t>
      </w:r>
      <w:r w:rsidR="003A1917">
        <w:rPr>
          <w:kern w:val="0"/>
        </w:rPr>
        <w:t xml:space="preserve"> the </w:t>
      </w:r>
      <w:r>
        <w:rPr>
          <w:kern w:val="0"/>
        </w:rPr>
        <w:t>current review, additional inclusion criteria were used to select observational, quantitative studies among youth aged 3-18 years. Evidence synthesis: Papers were categorized by design features, sample characteristics,</w:t>
      </w:r>
      <w:r w:rsidR="005853A9">
        <w:rPr>
          <w:kern w:val="0"/>
        </w:rPr>
        <w:t xml:space="preserve"> and </w:t>
      </w:r>
      <w:r>
        <w:rPr>
          <w:kern w:val="0"/>
        </w:rPr>
        <w:t>measurement mode. Relevant results were summarized, stratified by age (children or adolescents)</w:t>
      </w:r>
      <w:r w:rsidR="005853A9">
        <w:rPr>
          <w:kern w:val="0"/>
        </w:rPr>
        <w:t xml:space="preserve"> and </w:t>
      </w:r>
      <w:r>
        <w:rPr>
          <w:kern w:val="0"/>
        </w:rPr>
        <w:t>mode</w:t>
      </w:r>
      <w:r w:rsidR="00427468">
        <w:rPr>
          <w:kern w:val="0"/>
        </w:rPr>
        <w:t xml:space="preserve"> of </w:t>
      </w:r>
      <w:r>
        <w:rPr>
          <w:kern w:val="0"/>
        </w:rPr>
        <w:t>measurement (objective or perceived) for environmental attributes</w:t>
      </w:r>
      <w:r w:rsidR="005853A9">
        <w:rPr>
          <w:kern w:val="0"/>
        </w:rPr>
        <w:t xml:space="preserve"> and </w:t>
      </w:r>
      <w:r>
        <w:rPr>
          <w:kern w:val="0"/>
        </w:rPr>
        <w:t>physical activity. Percentage</w:t>
      </w:r>
      <w:r w:rsidR="00427468">
        <w:rPr>
          <w:kern w:val="0"/>
        </w:rPr>
        <w:t xml:space="preserve"> of </w:t>
      </w:r>
      <w:r>
        <w:rPr>
          <w:kern w:val="0"/>
        </w:rPr>
        <w:t>significant results was calculated. Conclusions: Mode</w:t>
      </w:r>
      <w:r w:rsidR="00427468">
        <w:rPr>
          <w:kern w:val="0"/>
        </w:rPr>
        <w:t xml:space="preserve"> of </w:t>
      </w:r>
      <w:r>
        <w:rPr>
          <w:kern w:val="0"/>
        </w:rPr>
        <w:t>measurement greatly influenced</w:t>
      </w:r>
      <w:r w:rsidR="003A1917">
        <w:rPr>
          <w:kern w:val="0"/>
        </w:rPr>
        <w:t xml:space="preserve"> the </w:t>
      </w:r>
      <w:r>
        <w:rPr>
          <w:kern w:val="0"/>
        </w:rPr>
        <w:t>consistency</w:t>
      </w:r>
      <w:r w:rsidR="00427468">
        <w:rPr>
          <w:kern w:val="0"/>
        </w:rPr>
        <w:t xml:space="preserve"> of </w:t>
      </w:r>
      <w:r>
        <w:rPr>
          <w:kern w:val="0"/>
        </w:rPr>
        <w:t>associations between environmental attributes</w:t>
      </w:r>
      <w:r w:rsidR="005853A9">
        <w:rPr>
          <w:kern w:val="0"/>
        </w:rPr>
        <w:t xml:space="preserve"> and </w:t>
      </w:r>
      <w:r>
        <w:rPr>
          <w:kern w:val="0"/>
        </w:rPr>
        <w:t>youth physical activity. For both children</w:t>
      </w:r>
      <w:r w:rsidR="005853A9">
        <w:rPr>
          <w:kern w:val="0"/>
        </w:rPr>
        <w:t xml:space="preserve"> and </w:t>
      </w:r>
      <w:r>
        <w:rPr>
          <w:kern w:val="0"/>
        </w:rPr>
        <w:t>adolescents,</w:t>
      </w:r>
      <w:r w:rsidR="003A1917">
        <w:rPr>
          <w:kern w:val="0"/>
        </w:rPr>
        <w:t xml:space="preserve"> the </w:t>
      </w:r>
      <w:r>
        <w:rPr>
          <w:kern w:val="0"/>
        </w:rPr>
        <w:t>most consistent associations involved objectively measured environmental attributes</w:t>
      </w:r>
      <w:r w:rsidR="005853A9">
        <w:rPr>
          <w:kern w:val="0"/>
        </w:rPr>
        <w:t xml:space="preserve"> and </w:t>
      </w:r>
      <w:r>
        <w:rPr>
          <w:kern w:val="0"/>
        </w:rPr>
        <w:t>reported physical activity</w:t>
      </w:r>
      <w:r w:rsidR="00A37C1D">
        <w:rPr>
          <w:kern w:val="0"/>
        </w:rPr>
        <w:t>. The</w:t>
      </w:r>
      <w:r w:rsidR="003A1917">
        <w:rPr>
          <w:kern w:val="0"/>
        </w:rPr>
        <w:t xml:space="preserve"> </w:t>
      </w:r>
      <w:r>
        <w:rPr>
          <w:kern w:val="0"/>
        </w:rPr>
        <w:t>most supported correlates for children were walkability, traffic speed/volume, access/proximity to recreation facilities, land-use mix,</w:t>
      </w:r>
      <w:r w:rsidR="005853A9">
        <w:rPr>
          <w:kern w:val="0"/>
        </w:rPr>
        <w:t xml:space="preserve"> and </w:t>
      </w:r>
      <w:r>
        <w:rPr>
          <w:kern w:val="0"/>
        </w:rPr>
        <w:t>residential density</w:t>
      </w:r>
      <w:r w:rsidR="00A37C1D">
        <w:rPr>
          <w:kern w:val="0"/>
        </w:rPr>
        <w:t>. The</w:t>
      </w:r>
      <w:r w:rsidR="003A1917">
        <w:rPr>
          <w:kern w:val="0"/>
        </w:rPr>
        <w:t xml:space="preserve"> </w:t>
      </w:r>
      <w:r>
        <w:rPr>
          <w:kern w:val="0"/>
        </w:rPr>
        <w:t>most supported correlates for adolescents were land-use mix</w:t>
      </w:r>
      <w:r w:rsidR="005853A9">
        <w:rPr>
          <w:kern w:val="0"/>
        </w:rPr>
        <w:t xml:space="preserve"> and </w:t>
      </w:r>
      <w:r>
        <w:rPr>
          <w:kern w:val="0"/>
        </w:rPr>
        <w:t>residential density</w:t>
      </w:r>
      <w:r w:rsidR="00A37C1D">
        <w:rPr>
          <w:kern w:val="0"/>
        </w:rPr>
        <w:t>. The</w:t>
      </w:r>
      <w:r>
        <w:rPr>
          <w:kern w:val="0"/>
        </w:rPr>
        <w:t>se findings support several recommendations for policy</w:t>
      </w:r>
      <w:r w:rsidR="005853A9">
        <w:rPr>
          <w:kern w:val="0"/>
        </w:rPr>
        <w:t xml:space="preserve"> and </w:t>
      </w:r>
      <w:r>
        <w:rPr>
          <w:kern w:val="0"/>
        </w:rPr>
        <w:t>environmental change from such groups as</w:t>
      </w:r>
      <w:r w:rsidR="003A1917">
        <w:rPr>
          <w:kern w:val="0"/>
        </w:rPr>
        <w:t xml:space="preserve"> the </w:t>
      </w:r>
      <w:r>
        <w:rPr>
          <w:kern w:val="0"/>
        </w:rPr>
        <w:t>IOM</w:t>
      </w:r>
      <w:r w:rsidR="005853A9">
        <w:rPr>
          <w:kern w:val="0"/>
        </w:rPr>
        <w:t xml:space="preserve"> and </w:t>
      </w:r>
      <w:r>
        <w:rPr>
          <w:kern w:val="0"/>
        </w:rPr>
        <w:t>National Physical Activity Plan. (Am J Prev Med 2011;41(4):442-455) (C) 2011 American Journal</w:t>
      </w:r>
      <w:r w:rsidR="00427468">
        <w:rPr>
          <w:kern w:val="0"/>
        </w:rPr>
        <w:t xml:space="preserve"> of </w:t>
      </w:r>
      <w:r>
        <w:rPr>
          <w:kern w:val="0"/>
        </w:rPr>
        <w:t>Preventive Medicine.</w:t>
      </w:r>
    </w:p>
    <w:p w:rsidR="00A24701" w:rsidRDefault="00A24701" w:rsidP="00A24701">
      <w:pPr>
        <w:pStyle w:val="a3"/>
        <w:rPr>
          <w:kern w:val="0"/>
        </w:rPr>
      </w:pPr>
      <w:r>
        <w:rPr>
          <w:kern w:val="0"/>
        </w:rPr>
        <w:t xml:space="preserve">Keywords: Adolescent Girls, Adolescents, Aged, Author, Behavior, Built Environment, Children, Correlates, Cross-Sectional Survey, Design, Elementary-School, Environment, Environmental, Interventions, Journal, Literature, Local Neighborhood, </w:t>
      </w:r>
      <w:r>
        <w:rPr>
          <w:kern w:val="0"/>
        </w:rPr>
        <w:lastRenderedPageBreak/>
        <w:t xml:space="preserve">Measurement, Observational, Papers, Physical Activity, Policies, Policy, Pubmed, Quantitative, Recommendations, Recreational Facilities, Research, Residential, Review, School-Aged Children, Science, Socioeconomic-Status, Sport, Synthesis, Urban Form, US Children,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r>
        <w:rPr>
          <w:kern w:val="0"/>
        </w:rPr>
        <w:t>, Youth</w:t>
      </w:r>
    </w:p>
    <w:p w:rsidR="008F5025" w:rsidRDefault="008F5025" w:rsidP="008F5025">
      <w:pPr>
        <w:pStyle w:val="a3"/>
        <w:rPr>
          <w:kern w:val="0"/>
        </w:rPr>
      </w:pPr>
      <w:r>
        <w:rPr>
          <w:rFonts w:hint="eastAsia"/>
          <w:kern w:val="0"/>
        </w:rPr>
        <w:t>? Hall, K.L., Stokols, D., Stipelman, B.A., Vogel, A.L., Feng, A., Masimore, B., Morgan, G., Moser, R.P., Marcus, S.E.</w:t>
      </w:r>
      <w:r w:rsidR="005853A9">
        <w:rPr>
          <w:rFonts w:hint="eastAsia"/>
          <w:kern w:val="0"/>
        </w:rPr>
        <w:t xml:space="preserve"> and </w:t>
      </w:r>
      <w:r>
        <w:rPr>
          <w:rFonts w:hint="eastAsia"/>
          <w:kern w:val="0"/>
        </w:rPr>
        <w:t>Berrigan, D. (2012), Assessing</w:t>
      </w:r>
      <w:r w:rsidR="003A1917">
        <w:rPr>
          <w:rFonts w:hint="eastAsia"/>
          <w:kern w:val="0"/>
        </w:rPr>
        <w:t xml:space="preserve"> the </w:t>
      </w:r>
      <w:r>
        <w:rPr>
          <w:rFonts w:hint="eastAsia"/>
          <w:kern w:val="0"/>
        </w:rPr>
        <w:t>value</w:t>
      </w:r>
      <w:r w:rsidR="00427468">
        <w:rPr>
          <w:rFonts w:hint="eastAsia"/>
          <w:kern w:val="0"/>
        </w:rPr>
        <w:t xml:space="preserve"> of </w:t>
      </w:r>
      <w:r>
        <w:rPr>
          <w:rFonts w:hint="eastAsia"/>
          <w:kern w:val="0"/>
        </w:rPr>
        <w:t>team science a study comparing center-</w:t>
      </w:r>
      <w:r w:rsidR="005853A9">
        <w:rPr>
          <w:rFonts w:hint="eastAsia"/>
          <w:kern w:val="0"/>
        </w:rPr>
        <w:t xml:space="preserve"> and </w:t>
      </w:r>
      <w:r>
        <w:rPr>
          <w:rFonts w:hint="eastAsia"/>
          <w:kern w:val="0"/>
        </w:rPr>
        <w:t xml:space="preserve">investigator-initiated grants. </w:t>
      </w:r>
      <w:r>
        <w:rPr>
          <w:rFonts w:hint="eastAsia"/>
          <w:i/>
          <w:iCs/>
          <w:kern w:val="0"/>
        </w:rPr>
        <w:t>American Journal</w:t>
      </w:r>
      <w:r w:rsidR="00427468">
        <w:rPr>
          <w:rFonts w:hint="eastAsia"/>
          <w:i/>
          <w:iCs/>
          <w:kern w:val="0"/>
        </w:rPr>
        <w:t xml:space="preserve"> of </w:t>
      </w:r>
      <w:r>
        <w:rPr>
          <w:rFonts w:hint="eastAsia"/>
          <w:i/>
          <w:iCs/>
          <w:kern w:val="0"/>
        </w:rPr>
        <w:t>Preventive Medicine</w:t>
      </w:r>
      <w:r>
        <w:rPr>
          <w:rFonts w:hint="eastAsia"/>
          <w:kern w:val="0"/>
        </w:rPr>
        <w:t xml:space="preserve">, </w:t>
      </w:r>
      <w:r>
        <w:rPr>
          <w:rFonts w:hint="eastAsia"/>
          <w:b/>
          <w:bCs/>
          <w:kern w:val="0"/>
        </w:rPr>
        <w:t>42</w:t>
      </w:r>
      <w:r>
        <w:rPr>
          <w:rFonts w:hint="eastAsia"/>
          <w:kern w:val="0"/>
        </w:rPr>
        <w:t xml:space="preserve"> (2), 157-163.</w:t>
      </w:r>
    </w:p>
    <w:p w:rsidR="008F5025" w:rsidRDefault="008F5025" w:rsidP="008F5025">
      <w:pPr>
        <w:pStyle w:val="a3"/>
        <w:rPr>
          <w:kern w:val="2"/>
        </w:rPr>
      </w:pPr>
      <w:r>
        <w:rPr>
          <w:rFonts w:hint="eastAsia"/>
        </w:rPr>
        <w:t xml:space="preserve">Full Text: </w:t>
      </w:r>
      <w:hyperlink r:id="rId601" w:history="1">
        <w:r>
          <w:rPr>
            <w:rStyle w:val="a5"/>
            <w:rFonts w:hint="eastAsia"/>
          </w:rPr>
          <w:t>2012\Ame J Pre Med42, 157.pdf</w:t>
        </w:r>
      </w:hyperlink>
    </w:p>
    <w:p w:rsidR="008F5025" w:rsidRDefault="008F5025" w:rsidP="008F5025">
      <w:pPr>
        <w:pStyle w:val="a3"/>
        <w:rPr>
          <w:kern w:val="0"/>
        </w:rPr>
      </w:pPr>
      <w:r>
        <w:rPr>
          <w:rFonts w:hint="eastAsia"/>
          <w:kern w:val="0"/>
        </w:rPr>
        <w:t>Abstract: Background: Large cross-disciplinary scientific teams are becoming increasingly prominent in</w:t>
      </w:r>
      <w:r w:rsidR="003A1917">
        <w:rPr>
          <w:rFonts w:hint="eastAsia"/>
          <w:kern w:val="0"/>
        </w:rPr>
        <w:t xml:space="preserve"> the </w:t>
      </w:r>
      <w:r>
        <w:rPr>
          <w:rFonts w:hint="eastAsia"/>
          <w:kern w:val="0"/>
        </w:rPr>
        <w:t>conduct</w:t>
      </w:r>
      <w:r w:rsidR="00427468">
        <w:rPr>
          <w:rFonts w:hint="eastAsia"/>
          <w:kern w:val="0"/>
        </w:rPr>
        <w:t xml:space="preserve"> of </w:t>
      </w:r>
      <w:r>
        <w:rPr>
          <w:rFonts w:hint="eastAsia"/>
          <w:kern w:val="0"/>
        </w:rPr>
        <w:t>research. Purpose: This paper reports on a quasi-experimental longitudinal study conducted to compare bibliometric indicators</w:t>
      </w:r>
      <w:r w:rsidR="00427468">
        <w:rPr>
          <w:rFonts w:hint="eastAsia"/>
          <w:kern w:val="0"/>
        </w:rPr>
        <w:t xml:space="preserve"> of </w:t>
      </w:r>
      <w:r>
        <w:rPr>
          <w:rFonts w:hint="eastAsia"/>
          <w:kern w:val="0"/>
        </w:rPr>
        <w:t>scientific collaboration, productivity,</w:t>
      </w:r>
      <w:r w:rsidR="005853A9">
        <w:rPr>
          <w:rFonts w:hint="eastAsia"/>
          <w:kern w:val="0"/>
        </w:rPr>
        <w:t xml:space="preserve"> and </w:t>
      </w:r>
      <w:r>
        <w:rPr>
          <w:rFonts w:hint="eastAsia"/>
          <w:kern w:val="0"/>
        </w:rPr>
        <w:t>impact</w:t>
      </w:r>
      <w:r w:rsidR="00427468">
        <w:rPr>
          <w:rFonts w:hint="eastAsia"/>
          <w:kern w:val="0"/>
        </w:rPr>
        <w:t xml:space="preserve"> of </w:t>
      </w:r>
      <w:r>
        <w:rPr>
          <w:rFonts w:hint="eastAsia"/>
          <w:kern w:val="0"/>
        </w:rPr>
        <w:t>center-based transdisciplinary team science initiatives</w:t>
      </w:r>
      <w:r w:rsidR="005853A9">
        <w:rPr>
          <w:rFonts w:hint="eastAsia"/>
          <w:kern w:val="0"/>
        </w:rPr>
        <w:t xml:space="preserve"> and </w:t>
      </w:r>
      <w:r>
        <w:rPr>
          <w:rFonts w:hint="eastAsia"/>
          <w:kern w:val="0"/>
        </w:rPr>
        <w:t>traditional investigator-initiated grants in</w:t>
      </w:r>
      <w:r w:rsidR="003A1917">
        <w:rPr>
          <w:rFonts w:hint="eastAsia"/>
          <w:kern w:val="0"/>
        </w:rPr>
        <w:t xml:space="preserve"> the </w:t>
      </w:r>
      <w:r>
        <w:rPr>
          <w:rFonts w:hint="eastAsia"/>
          <w:kern w:val="0"/>
        </w:rPr>
        <w:t>same field. Methods: All grants began between 1994</w:t>
      </w:r>
      <w:r w:rsidR="005853A9">
        <w:rPr>
          <w:rFonts w:hint="eastAsia"/>
          <w:kern w:val="0"/>
        </w:rPr>
        <w:t xml:space="preserve"> and </w:t>
      </w:r>
      <w:r>
        <w:rPr>
          <w:rFonts w:hint="eastAsia"/>
          <w:kern w:val="0"/>
        </w:rPr>
        <w:t>2004</w:t>
      </w:r>
      <w:r w:rsidR="005853A9">
        <w:rPr>
          <w:rFonts w:hint="eastAsia"/>
          <w:kern w:val="0"/>
        </w:rPr>
        <w:t xml:space="preserve"> and </w:t>
      </w:r>
      <w:r>
        <w:rPr>
          <w:rFonts w:hint="eastAsia"/>
          <w:kern w:val="0"/>
        </w:rPr>
        <w:t>up to 10 years</w:t>
      </w:r>
      <w:r w:rsidR="00427468">
        <w:rPr>
          <w:rFonts w:hint="eastAsia"/>
          <w:kern w:val="0"/>
        </w:rPr>
        <w:t xml:space="preserve"> of </w:t>
      </w:r>
      <w:r>
        <w:rPr>
          <w:rFonts w:hint="eastAsia"/>
          <w:kern w:val="0"/>
        </w:rPr>
        <w:t>publication data were collected for each grant. Publication information was compiled</w:t>
      </w:r>
      <w:r w:rsidR="005853A9">
        <w:rPr>
          <w:rFonts w:hint="eastAsia"/>
          <w:kern w:val="0"/>
        </w:rPr>
        <w:t xml:space="preserve"> and </w:t>
      </w:r>
      <w:r>
        <w:rPr>
          <w:rFonts w:hint="eastAsia"/>
          <w:kern w:val="0"/>
        </w:rPr>
        <w:t>analyzed during</w:t>
      </w:r>
      <w:r w:rsidR="003A1917">
        <w:rPr>
          <w:rFonts w:hint="eastAsia"/>
          <w:kern w:val="0"/>
        </w:rPr>
        <w:t xml:space="preserve"> the </w:t>
      </w:r>
      <w:r>
        <w:rPr>
          <w:rFonts w:hint="eastAsia"/>
          <w:kern w:val="0"/>
        </w:rPr>
        <w:t>spring</w:t>
      </w:r>
      <w:r w:rsidR="005853A9">
        <w:rPr>
          <w:rFonts w:hint="eastAsia"/>
          <w:kern w:val="0"/>
        </w:rPr>
        <w:t xml:space="preserve"> and </w:t>
      </w:r>
      <w:r>
        <w:rPr>
          <w:rFonts w:hint="eastAsia"/>
          <w:kern w:val="0"/>
        </w:rPr>
        <w:t>summer</w:t>
      </w:r>
      <w:r w:rsidR="00427468">
        <w:rPr>
          <w:rFonts w:hint="eastAsia"/>
          <w:kern w:val="0"/>
        </w:rPr>
        <w:t xml:space="preserve"> of </w:t>
      </w:r>
      <w:r>
        <w:rPr>
          <w:rFonts w:hint="eastAsia"/>
          <w:kern w:val="0"/>
        </w:rPr>
        <w:t>2010. Results: Following an initial lag period,</w:t>
      </w:r>
      <w:r w:rsidR="003A1917">
        <w:rPr>
          <w:rFonts w:hint="eastAsia"/>
          <w:kern w:val="0"/>
        </w:rPr>
        <w:t xml:space="preserve"> the </w:t>
      </w:r>
      <w:r>
        <w:rPr>
          <w:rFonts w:hint="eastAsia"/>
          <w:kern w:val="0"/>
        </w:rPr>
        <w:t>transdisciplinary research center grants had higher overall publication rates than</w:t>
      </w:r>
      <w:r w:rsidR="003A1917">
        <w:rPr>
          <w:rFonts w:hint="eastAsia"/>
          <w:kern w:val="0"/>
        </w:rPr>
        <w:t xml:space="preserve"> the </w:t>
      </w:r>
      <w:r>
        <w:rPr>
          <w:rFonts w:hint="eastAsia"/>
          <w:kern w:val="0"/>
        </w:rPr>
        <w:t>investigator-initiated R01 (NIH Research Project Grant Program) grants</w:t>
      </w:r>
      <w:r w:rsidR="00A37C1D">
        <w:rPr>
          <w:rFonts w:hint="eastAsia"/>
          <w:kern w:val="0"/>
        </w:rPr>
        <w:t>. The</w:t>
      </w:r>
      <w:r>
        <w:rPr>
          <w:rFonts w:hint="eastAsia"/>
          <w:kern w:val="0"/>
        </w:rPr>
        <w:t>re were relatively uniform publication rates across</w:t>
      </w:r>
      <w:r w:rsidR="003A1917">
        <w:rPr>
          <w:rFonts w:hint="eastAsia"/>
          <w:kern w:val="0"/>
        </w:rPr>
        <w:t xml:space="preserve"> the </w:t>
      </w:r>
      <w:r>
        <w:rPr>
          <w:rFonts w:hint="eastAsia"/>
          <w:kern w:val="0"/>
        </w:rPr>
        <w:t>research center grants compared to dramatically dispersed publication rates among</w:t>
      </w:r>
      <w:r w:rsidR="003A1917">
        <w:rPr>
          <w:rFonts w:hint="eastAsia"/>
          <w:kern w:val="0"/>
        </w:rPr>
        <w:t xml:space="preserve"> the </w:t>
      </w:r>
      <w:r>
        <w:rPr>
          <w:rFonts w:hint="eastAsia"/>
          <w:kern w:val="0"/>
        </w:rPr>
        <w:t>R01 grants. On average, publications produced by</w:t>
      </w:r>
      <w:r w:rsidR="003A1917">
        <w:rPr>
          <w:rFonts w:hint="eastAsia"/>
          <w:kern w:val="0"/>
        </w:rPr>
        <w:t xml:space="preserve"> the </w:t>
      </w:r>
      <w:r>
        <w:rPr>
          <w:rFonts w:hint="eastAsia"/>
          <w:kern w:val="0"/>
        </w:rPr>
        <w:t>research center grants had greater numbers</w:t>
      </w:r>
      <w:r w:rsidR="00427468">
        <w:rPr>
          <w:rFonts w:hint="eastAsia"/>
          <w:kern w:val="0"/>
        </w:rPr>
        <w:t xml:space="preserve"> of </w:t>
      </w:r>
      <w:r>
        <w:rPr>
          <w:rFonts w:hint="eastAsia"/>
          <w:kern w:val="0"/>
        </w:rPr>
        <w:t>coauthors but similar journal impact factors compared with publications produced by</w:t>
      </w:r>
      <w:r w:rsidR="003A1917">
        <w:rPr>
          <w:rFonts w:hint="eastAsia"/>
          <w:kern w:val="0"/>
        </w:rPr>
        <w:t xml:space="preserve"> the </w:t>
      </w:r>
      <w:r>
        <w:rPr>
          <w:rFonts w:hint="eastAsia"/>
          <w:kern w:val="0"/>
        </w:rPr>
        <w:t>R01 grants. Conclusions:</w:t>
      </w:r>
      <w:r w:rsidR="003A1917">
        <w:rPr>
          <w:rFonts w:hint="eastAsia"/>
          <w:kern w:val="0"/>
        </w:rPr>
        <w:t xml:space="preserve"> the </w:t>
      </w:r>
      <w:r>
        <w:rPr>
          <w:rFonts w:hint="eastAsia"/>
          <w:kern w:val="0"/>
        </w:rPr>
        <w:t>lag in productivity among</w:t>
      </w:r>
      <w:r w:rsidR="003A1917">
        <w:rPr>
          <w:rFonts w:hint="eastAsia"/>
          <w:kern w:val="0"/>
        </w:rPr>
        <w:t xml:space="preserve"> the </w:t>
      </w:r>
      <w:r>
        <w:rPr>
          <w:rFonts w:hint="eastAsia"/>
          <w:kern w:val="0"/>
        </w:rPr>
        <w:t>transdisciplinary center grants was offset by their overall higher publication rates</w:t>
      </w:r>
      <w:r w:rsidR="005853A9">
        <w:rPr>
          <w:rFonts w:hint="eastAsia"/>
          <w:kern w:val="0"/>
        </w:rPr>
        <w:t xml:space="preserve"> and </w:t>
      </w:r>
      <w:r>
        <w:rPr>
          <w:rFonts w:hint="eastAsia"/>
          <w:kern w:val="0"/>
        </w:rPr>
        <w:t>average number</w:t>
      </w:r>
      <w:r w:rsidR="00427468">
        <w:rPr>
          <w:rFonts w:hint="eastAsia"/>
          <w:kern w:val="0"/>
        </w:rPr>
        <w:t xml:space="preserve"> of </w:t>
      </w:r>
      <w:r>
        <w:rPr>
          <w:rFonts w:hint="eastAsia"/>
          <w:kern w:val="0"/>
        </w:rPr>
        <w:t>coauthors per publication, relative to investigator-initiated grants, over</w:t>
      </w:r>
      <w:r w:rsidR="003A1917">
        <w:rPr>
          <w:rFonts w:hint="eastAsia"/>
          <w:kern w:val="0"/>
        </w:rPr>
        <w:t xml:space="preserve"> the </w:t>
      </w:r>
      <w:r>
        <w:rPr>
          <w:rFonts w:hint="eastAsia"/>
          <w:kern w:val="0"/>
        </w:rPr>
        <w:t>10-year comparison period</w:t>
      </w:r>
      <w:r w:rsidR="00A37C1D">
        <w:rPr>
          <w:rFonts w:hint="eastAsia"/>
          <w:kern w:val="0"/>
        </w:rPr>
        <w:t>. The</w:t>
      </w:r>
      <w:r w:rsidR="003A1917">
        <w:rPr>
          <w:rFonts w:hint="eastAsia"/>
          <w:kern w:val="0"/>
        </w:rPr>
        <w:t xml:space="preserve"> </w:t>
      </w:r>
      <w:r>
        <w:rPr>
          <w:rFonts w:hint="eastAsia"/>
          <w:kern w:val="0"/>
        </w:rPr>
        <w:t>findings suggest that transdisciplinary center grants create benefits for both scientific productivity</w:t>
      </w:r>
      <w:r w:rsidR="005853A9">
        <w:rPr>
          <w:rFonts w:hint="eastAsia"/>
          <w:kern w:val="0"/>
        </w:rPr>
        <w:t xml:space="preserve"> and </w:t>
      </w:r>
      <w:r>
        <w:rPr>
          <w:rFonts w:hint="eastAsia"/>
          <w:kern w:val="0"/>
        </w:rPr>
        <w:t>collaboration. (Am J Prev Med 2012; 42(2): 157-163) Published by Elsevier Inc. on behalf</w:t>
      </w:r>
      <w:r w:rsidR="00427468">
        <w:rPr>
          <w:rFonts w:hint="eastAsia"/>
          <w:kern w:val="0"/>
        </w:rPr>
        <w:t xml:space="preserve"> of </w:t>
      </w:r>
      <w:r>
        <w:rPr>
          <w:rFonts w:hint="eastAsia"/>
          <w:kern w:val="0"/>
        </w:rPr>
        <w:t>American Journal</w:t>
      </w:r>
      <w:r w:rsidR="00427468">
        <w:rPr>
          <w:rFonts w:hint="eastAsia"/>
          <w:kern w:val="0"/>
        </w:rPr>
        <w:t xml:space="preserve"> of </w:t>
      </w:r>
      <w:r>
        <w:rPr>
          <w:rFonts w:hint="eastAsia"/>
          <w:kern w:val="0"/>
        </w:rPr>
        <w:t>Preventive Medicine.</w:t>
      </w:r>
    </w:p>
    <w:p w:rsidR="008F5025" w:rsidRDefault="008F5025" w:rsidP="008F5025">
      <w:pPr>
        <w:pStyle w:val="a3"/>
        <w:rPr>
          <w:kern w:val="0"/>
        </w:rPr>
      </w:pPr>
      <w:r>
        <w:rPr>
          <w:rFonts w:hint="eastAsia"/>
          <w:kern w:val="0"/>
        </w:rPr>
        <w:t>Keywords: Address, Bibliometric, Bibliometric Indicators, Collaboration, Health, Impact, Impact Factors, Indicators, Information, Journal, Journal Impact, Journal Impact Factors, Longitudinal Study, Methods, NIH, Outcomes, Productivity, Publication, Publications, Readiness, Research, Science, Scientific Collaboration, Scientific Productivity, Traditional, Transdisciplinary Research, Value</w:t>
      </w:r>
    </w:p>
    <w:p w:rsidR="001A6521" w:rsidRDefault="001A6521" w:rsidP="001A6521">
      <w:pPr>
        <w:pStyle w:val="a3"/>
        <w:rPr>
          <w:kern w:val="0"/>
        </w:rPr>
      </w:pPr>
      <w:r>
        <w:rPr>
          <w:rFonts w:hint="eastAsia"/>
          <w:kern w:val="0"/>
        </w:rPr>
        <w:t xml:space="preserve">? </w:t>
      </w:r>
      <w:r>
        <w:rPr>
          <w:kern w:val="0"/>
        </w:rPr>
        <w:t xml:space="preserve">Pitts, S.I., Maruthur, N.M., Millar, K.R., Perl, T.M. and Segal, J. (2014), A systematic review of mandatory influenza vaccination in healthcare personnel. </w:t>
      </w:r>
      <w:r>
        <w:rPr>
          <w:i/>
          <w:iCs/>
          <w:kern w:val="0"/>
        </w:rPr>
        <w:t>American Journal of Preventive Medicine</w:t>
      </w:r>
      <w:r>
        <w:rPr>
          <w:kern w:val="0"/>
        </w:rPr>
        <w:t xml:space="preserve">, </w:t>
      </w:r>
      <w:r>
        <w:rPr>
          <w:b/>
          <w:bCs/>
          <w:kern w:val="0"/>
        </w:rPr>
        <w:t>47</w:t>
      </w:r>
      <w:r>
        <w:rPr>
          <w:kern w:val="0"/>
        </w:rPr>
        <w:t xml:space="preserve"> (3), 330-340.</w:t>
      </w:r>
    </w:p>
    <w:p w:rsidR="001A6521" w:rsidRDefault="001A6521" w:rsidP="001A6521">
      <w:pPr>
        <w:pStyle w:val="a3"/>
      </w:pPr>
      <w:r>
        <w:t xml:space="preserve">Full Text: </w:t>
      </w:r>
      <w:hyperlink r:id="rId602" w:history="1">
        <w:r w:rsidRPr="007B27B2">
          <w:rPr>
            <w:rStyle w:val="a5"/>
          </w:rPr>
          <w:t>2014\Ame J Pre Med47, 330.pdf</w:t>
        </w:r>
      </w:hyperlink>
    </w:p>
    <w:p w:rsidR="001A6521" w:rsidRDefault="001A6521" w:rsidP="001A6521">
      <w:pPr>
        <w:pStyle w:val="a3"/>
        <w:rPr>
          <w:kern w:val="0"/>
        </w:rPr>
      </w:pPr>
      <w:r>
        <w:rPr>
          <w:kern w:val="0"/>
        </w:rPr>
        <w:lastRenderedPageBreak/>
        <w:t>Abstract: Context: Influenza is a major cause of patient morbidity. Mandatory influenza vaccination of healthcare personnel (HCP) is increasingly common yet has uncertain clinical impact. This study systematically examines published evidence of the benefits and harm of influenza vaccine mandates. Evidence acquisition: MEDLINE, Embase, the Cochrane Library, Cumulative Index to Nursing and Allied Health Literature, Science Citation Index Expanded, and Conference Proceedings Citations Index were searched and analyzed in 2013. Studies must have assessed the effect of a requirement of influenza vaccination among HCP for continued employment or clinical practice. Studies were not limited by comparison group, outcome, language, or study design. Two reviewers independently abstracted data and assessed bias risk. Evidence synthesis: Twelve observational studies were included in the study from 778 citations. Following implementation of a vaccine mandate, vaccination rates increased in all eight studies reporting this outcome, exceeding 94%. Three studies documented increased vaccination rates in hospitals with mandates compared to those without (p &lt; 0.001 for all comparisons). Two single-institution studies reported limited, inconclusive results on absenteeism among HCP. No studies reported on clinical outcomes among patients. Medical and religious exemptions and terminations or voluntary resignations were rare. Conclusions: Evidence from observational studies suggests that a vaccine mandate increases vaccination rates, but evidence on clinical outcomes is lacking. Although challenging, large healthcare employers planning to implement a mandate should develop a strategy to evaluate HCP and patient outcomes. Further studies documenting the impact of HCP influenza vaccination on clinical outcomes would inform decisions on the use of mandatory vaccine policies in HCP. (Am J Prey Med 2014;47(3):330-340) (C) 2014 American Journal of Preventive Medicine.</w:t>
      </w:r>
    </w:p>
    <w:p w:rsidR="001A6521" w:rsidRDefault="001A6521" w:rsidP="001A6521">
      <w:pPr>
        <w:pStyle w:val="a3"/>
        <w:rPr>
          <w:kern w:val="0"/>
        </w:rPr>
      </w:pPr>
      <w:r>
        <w:rPr>
          <w:kern w:val="0"/>
        </w:rPr>
        <w:t>Keywords: Benefits, Bias, Citation, Citations, Clinical, Clinical Impact, Clinical Outcomes, Clinical Practice, Comparison, Conference, Data, Design, Employment, Evidence, Exemptions, Health, Healthcare, Hospitals, Impact, Implementation, Influenza, Journal, Language, Literature, Mandatory, Medical, Medicine, Medline, Morbidity, Nursing, Observational, Observational Studies, Outcome, Outcomes, Patient Safety, Patients, Personnel, Planning, Policies, Policy, Practice, Proceedings, Rates, Reporting, Requirement, Review, Reviewers, Risk, Science, Science Citation Index, Science Citation Index Expanded, Seasonal Influenza, Strategy, Study Design, Synthesis, Systematic, Systematic Review, United-States, Vaccination, Vaccine, Workers</w:t>
      </w:r>
    </w:p>
    <w:p w:rsidR="00705F3E" w:rsidRDefault="00705F3E" w:rsidP="00705F3E">
      <w:pPr>
        <w:pStyle w:val="a3"/>
        <w:rPr>
          <w:kern w:val="0"/>
        </w:rPr>
      </w:pPr>
      <w:r>
        <w:rPr>
          <w:kern w:val="0"/>
        </w:rPr>
        <w:t xml:space="preserve">? Khalil, G.M. and Crawford, C.A.G. (2015), A bibliometric analysis of US-based research on the behavioral risk factor surveillance system. </w:t>
      </w:r>
      <w:r>
        <w:rPr>
          <w:i/>
          <w:iCs/>
          <w:kern w:val="0"/>
        </w:rPr>
        <w:t>American Journal of Preventive Medicine</w:t>
      </w:r>
      <w:r>
        <w:rPr>
          <w:kern w:val="0"/>
        </w:rPr>
        <w:t xml:space="preserve">, </w:t>
      </w:r>
      <w:r>
        <w:rPr>
          <w:b/>
          <w:bCs/>
          <w:kern w:val="0"/>
        </w:rPr>
        <w:t>48</w:t>
      </w:r>
      <w:r>
        <w:rPr>
          <w:kern w:val="0"/>
        </w:rPr>
        <w:t xml:space="preserve"> (1), 50-57.</w:t>
      </w:r>
    </w:p>
    <w:p w:rsidR="00705F3E" w:rsidRDefault="00705F3E" w:rsidP="00705F3E">
      <w:pPr>
        <w:pStyle w:val="a3"/>
      </w:pPr>
      <w:r>
        <w:t xml:space="preserve">Full Text: </w:t>
      </w:r>
      <w:hyperlink r:id="rId603" w:history="1">
        <w:r w:rsidRPr="00494297">
          <w:rPr>
            <w:rStyle w:val="a5"/>
          </w:rPr>
          <w:t>2015\Ame J Pre Med48, 50.pdf</w:t>
        </w:r>
      </w:hyperlink>
    </w:p>
    <w:p w:rsidR="00705F3E" w:rsidRDefault="00705F3E" w:rsidP="00705F3E">
      <w:pPr>
        <w:pStyle w:val="a3"/>
        <w:rPr>
          <w:kern w:val="0"/>
        </w:rPr>
      </w:pPr>
      <w:r>
        <w:rPr>
          <w:kern w:val="0"/>
        </w:rPr>
        <w:lastRenderedPageBreak/>
        <w:t>Abstract: Background: Since Alan Pritchard defined bibliometrics as “the application of statistical methods to media of communication” in 1969, bibliometric analyses have become widespread. To date, however, bibliometrics has not been used to analyze publications related to the U.S. Behavioral Risk Factor Surveillance System (BRFSS). Purpose: To determine the most frequently cited BRFSS-related topical areas, institutions, and journals. Methods: A search of the Web of Knowledge database in 2013 identified U.S.-published studies related to BRFSS, from its start in 1984 through 2012. Search terms were BRFSS, Behavioral Risk Factor Surveillance System, or Behavioral Risk Survey. The resulting 1,387 articles were analyzed descriptively and produced data for VOSviewer, a computer program that plotted a relevance distance-based map and clustered keywords from text in titles and abstracts. Results: Topics, journals, and publishing institutions ranged widely. Most research was clustered by content area, such as cancer screening, access to care, heart health, and quality of life. The American Journal of Preventive Medicine and American Journal of Public Health published the most BRFSS-related papers (95 and 70, respectively). Conclusions: Bibliometrics can help identify the most frequently published BRFSS-related topics, publishing journals, and publishing institutions. BRFSS data are widely used, particularly by CDC and academic institutions such as the University of Washington and other universities hosting top-ranked schools of public health. Bibliometric analysis and mapping provides an innovative way of quantifying and visualizing the plethora of research conducted using BRFSS data and summarizing the contribution of this surveillance system to public health. (C) 2015 American Journal of Preventive Medicine. All rights reserved.</w:t>
      </w:r>
    </w:p>
    <w:p w:rsidR="00705F3E" w:rsidRDefault="00705F3E" w:rsidP="00705F3E">
      <w:pPr>
        <w:pStyle w:val="a3"/>
        <w:rPr>
          <w:kern w:val="0"/>
        </w:rPr>
      </w:pPr>
      <w:r>
        <w:rPr>
          <w:kern w:val="0"/>
        </w:rPr>
        <w:t>Keywords: Access, Analyses, Analysis, Application, Articles, Bibliometric, Bibliometric Analyses, Bibliometric Analysis, Bibliometrics, Cancer, Cancer Screening, Care, Content, Contribution, Data, Database, From, Health, Heart, Institutions, Journal, Journals, Knowledge, Life, Mapping, Media, Medicine, Methods, Papers, Public, Public Health, Publications, Publishing, Quality, Quality Of, Quality Of Life, Relevance, Research, Results, Rights, Risk, Screening, Search, Surveillance, Survey, Topical, Topics, Trends, Universities, University, Vosviewer, Washington, Web, Web Of Knowledge</w:t>
      </w:r>
    </w:p>
    <w:p w:rsidR="00485005" w:rsidRDefault="00485005" w:rsidP="00485005">
      <w:pPr>
        <w:pStyle w:val="a3"/>
        <w:rPr>
          <w:kern w:val="0"/>
        </w:rPr>
      </w:pPr>
      <w:r>
        <w:rPr>
          <w:rFonts w:hint="eastAsia"/>
          <w:kern w:val="0"/>
        </w:rPr>
        <w:t xml:space="preserve">? </w:t>
      </w:r>
      <w:r>
        <w:rPr>
          <w:kern w:val="0"/>
        </w:rPr>
        <w:t>Suglia, S.F., Sapra, K.J. and Koenen, K.C. (2015), Violence and cardiovascular health</w:t>
      </w:r>
      <w:r>
        <w:rPr>
          <w:rFonts w:hint="eastAsia"/>
          <w:kern w:val="0"/>
        </w:rPr>
        <w:t>:</w:t>
      </w:r>
      <w:r>
        <w:rPr>
          <w:kern w:val="0"/>
        </w:rPr>
        <w:t xml:space="preserve"> A systematic review. </w:t>
      </w:r>
      <w:r>
        <w:rPr>
          <w:i/>
          <w:iCs/>
          <w:kern w:val="0"/>
        </w:rPr>
        <w:t>American Journal of Preventive Medicine</w:t>
      </w:r>
      <w:r>
        <w:rPr>
          <w:kern w:val="0"/>
        </w:rPr>
        <w:t xml:space="preserve">, </w:t>
      </w:r>
      <w:r>
        <w:rPr>
          <w:b/>
          <w:bCs/>
          <w:kern w:val="0"/>
        </w:rPr>
        <w:t>48</w:t>
      </w:r>
      <w:r>
        <w:rPr>
          <w:kern w:val="0"/>
        </w:rPr>
        <w:t xml:space="preserve"> (2), 205-212.</w:t>
      </w:r>
    </w:p>
    <w:p w:rsidR="00485005" w:rsidRDefault="00485005" w:rsidP="00485005">
      <w:pPr>
        <w:pStyle w:val="a3"/>
      </w:pPr>
      <w:r>
        <w:t xml:space="preserve">Full Text: </w:t>
      </w:r>
      <w:hyperlink r:id="rId604" w:history="1">
        <w:r w:rsidRPr="00485005">
          <w:rPr>
            <w:rStyle w:val="a5"/>
          </w:rPr>
          <w:t>2015\Ame J Pre Med48, 205.pdf</w:t>
        </w:r>
      </w:hyperlink>
    </w:p>
    <w:p w:rsidR="00485005" w:rsidRDefault="00485005" w:rsidP="00485005">
      <w:pPr>
        <w:pStyle w:val="a3"/>
        <w:rPr>
          <w:kern w:val="0"/>
        </w:rPr>
      </w:pPr>
      <w:r>
        <w:rPr>
          <w:kern w:val="0"/>
        </w:rPr>
        <w:t xml:space="preserve">Abstract: Context: Violence, experienced in either childhood or adulthood, has been associated with physical health outcomes, including cardiovascular disease. However, the consistency of the existing literature has not been evaluated. Evidence acquisition: In 2013, the authors conducted a Pub Med and Web of Science review of peer-reviewed articles published prior to August 2013 on the relation between </w:t>
      </w:r>
      <w:r>
        <w:rPr>
          <w:kern w:val="0"/>
        </w:rPr>
        <w:lastRenderedPageBreak/>
        <w:t>violence exposure, experienced in either childhood or adulthood, and cardiovascular outcomes. To meet inclusion criteria, articles had to present estimates for the relation between violence exposure and cardiovascular outcomes (e.g., hypertension, blood pressure, stroke, coronary disease, or myocardial infarction) adjusted for demographic factors. Articles focusing on violence from television, video games, natural disasters, terrorism, or war were excluded. Evidence synthesis: The initial search yielded 2,273 articles; after removing duplicates and applying inclusion and exclusion criteria, 30 articles were selected for review. A consistent positive relation was noted on the association between violence experienced during childhood and cardiovascular outcomes in adulthood (i.e., hypertension, coronary heart disease,. and myocardial infarction). Associations across genders with varying types of violence exposure were also noted. By contrast, findings were mixed on the relation between adult violence exposure and cardiovascular outcome. Conclusions: Despite varying definitions of violence exposure and cardiovascular endpoints, a consistent relation exists between childhood violence exposure, largely assessed retrospectively, and cardiovascular endpoints. Findings are mixed for the adult violence cardiovascular health relation. The cross-sectional nature of most adult studies and the reliance of self-reported outcomes can potentially be attributed to the lack of findings among adult violence exposure studies. (C) 2015 American Journal of Preventive Medicine.</w:t>
      </w:r>
    </w:p>
    <w:p w:rsidR="00485005" w:rsidRDefault="00485005" w:rsidP="00485005">
      <w:pPr>
        <w:pStyle w:val="a3"/>
        <w:rPr>
          <w:kern w:val="0"/>
        </w:rPr>
      </w:pPr>
      <w:r>
        <w:rPr>
          <w:kern w:val="0"/>
        </w:rPr>
        <w:t>Keywords: Adult, Adverse Childhood Experiences, Articles, Association, Authors, Blood, Blood Pressure, Blood-Pressure, Cardiovascular, Cardiovascular Disease, Childhood, Consistency, Coronary Disease, Coronary Heart Disease, Criteria, Cross-Sectional, Disasters, Disease, Estimates, Evidence, Evidence Synthesis, Exposure, Factors, From, Health, Health Outcomes, Heart, Heart-Disease, Hypertension, Infarction, Intimate Partner Violence, Journal, Literature, Medicine, Myocardial Infarction, Natural, Outcome, Outcomes, Peer-Reviewed, Physical, Physical Health, Population-Based Sample, Pressure, Psychiatric-Disorders, Pub Med, Review, Risk-Factor, Science, Sexual-Abuse, Stroke, Synthesis, Systematic, Systematic Review, Television, Terrorism, Video, Video Games, Violence, War, Web, Web Of Science, Women</w:t>
      </w:r>
    </w:p>
    <w:p w:rsidR="003474F2" w:rsidRPr="001A3D2B" w:rsidRDefault="003474F2" w:rsidP="003474F2">
      <w:pPr>
        <w:pStyle w:val="1"/>
      </w:pPr>
      <w:r w:rsidRPr="001A3D2B">
        <w:br w:type="page"/>
      </w:r>
      <w:bookmarkStart w:id="321" w:name="_Toc420814423"/>
      <w:r w:rsidRPr="001A3D2B">
        <w:lastRenderedPageBreak/>
        <w:t xml:space="preserve">Title: </w:t>
      </w:r>
      <w:r w:rsidRPr="001A3D2B">
        <w:rPr>
          <w:szCs w:val="19"/>
        </w:rPr>
        <w:t>American Journal</w:t>
      </w:r>
      <w:r w:rsidR="00427468">
        <w:rPr>
          <w:szCs w:val="19"/>
        </w:rPr>
        <w:t xml:space="preserve"> of </w:t>
      </w:r>
      <w:r w:rsidRPr="001A3D2B">
        <w:rPr>
          <w:szCs w:val="19"/>
        </w:rPr>
        <w:t>Primatology</w:t>
      </w:r>
      <w:bookmarkEnd w:id="321"/>
    </w:p>
    <w:p w:rsidR="003474F2" w:rsidRPr="001A3D2B" w:rsidRDefault="003474F2" w:rsidP="003474F2">
      <w:pPr>
        <w:pStyle w:val="12"/>
      </w:pPr>
      <w:r w:rsidRPr="001A3D2B">
        <w:t>Full Journal Title: American Journal</w:t>
      </w:r>
      <w:r w:rsidR="00427468">
        <w:t xml:space="preserve"> of </w:t>
      </w:r>
      <w:r w:rsidRPr="001A3D2B">
        <w:t>Primatology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0275-2565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rPr>
          <w:szCs w:val="19"/>
        </w:rPr>
        <w:t>? Sarringhaus, L.A., McGrew, W.C.</w:t>
      </w:r>
      <w:r w:rsidR="005853A9">
        <w:rPr>
          <w:szCs w:val="19"/>
        </w:rPr>
        <w:t xml:space="preserve"> and </w:t>
      </w:r>
      <w:r w:rsidRPr="001A3D2B">
        <w:rPr>
          <w:szCs w:val="19"/>
        </w:rPr>
        <w:t>Marchant, L.F.</w:t>
      </w:r>
      <w:r w:rsidRPr="001A3D2B">
        <w:t xml:space="preserve"> (2005), </w:t>
      </w:r>
      <w:r w:rsidRPr="001A3D2B">
        <w:rPr>
          <w:szCs w:val="19"/>
        </w:rPr>
        <w:t>Misuse</w:t>
      </w:r>
      <w:r w:rsidR="00427468">
        <w:rPr>
          <w:szCs w:val="19"/>
        </w:rPr>
        <w:t xml:space="preserve"> of </w:t>
      </w:r>
      <w:r w:rsidRPr="001A3D2B">
        <w:rPr>
          <w:szCs w:val="19"/>
        </w:rPr>
        <w:t>anecdotes in primatology: Lessons from citation analysis</w:t>
      </w:r>
      <w:r w:rsidRPr="001A3D2B">
        <w:t xml:space="preserve">. </w:t>
      </w:r>
      <w:r w:rsidRPr="001A3D2B">
        <w:rPr>
          <w:i/>
          <w:szCs w:val="19"/>
        </w:rPr>
        <w:t>American Journal</w:t>
      </w:r>
      <w:r w:rsidR="00427468">
        <w:rPr>
          <w:i/>
          <w:szCs w:val="19"/>
        </w:rPr>
        <w:t xml:space="preserve"> of </w:t>
      </w:r>
      <w:r w:rsidRPr="001A3D2B">
        <w:rPr>
          <w:i/>
          <w:szCs w:val="19"/>
        </w:rPr>
        <w:t>Primatology</w:t>
      </w:r>
      <w:r w:rsidRPr="001A3D2B">
        <w:t xml:space="preserve">, </w:t>
      </w:r>
      <w:r w:rsidRPr="001A3D2B">
        <w:rPr>
          <w:b/>
          <w:bCs/>
        </w:rPr>
        <w:t>65</w:t>
      </w:r>
      <w:r w:rsidRPr="001A3D2B">
        <w:t xml:space="preserve"> (3), </w:t>
      </w:r>
      <w:r w:rsidRPr="001A3D2B">
        <w:rPr>
          <w:szCs w:val="19"/>
        </w:rPr>
        <w:t>283-288</w:t>
      </w:r>
      <w:r w:rsidRPr="001A3D2B">
        <w:t>.</w:t>
      </w:r>
    </w:p>
    <w:p w:rsidR="003474F2" w:rsidRPr="001A3D2B" w:rsidRDefault="003474F2" w:rsidP="003474F2">
      <w:pPr>
        <w:pStyle w:val="a3"/>
      </w:pPr>
      <w:r w:rsidRPr="001A3D2B">
        <w:t xml:space="preserve">Full Text: </w:t>
      </w:r>
      <w:hyperlink r:id="rId605" w:history="1">
        <w:r w:rsidRPr="001A3D2B">
          <w:rPr>
            <w:rStyle w:val="a5"/>
          </w:rPr>
          <w:t>2005\Ame J Pri65, 283.pdf</w:t>
        </w:r>
      </w:hyperlink>
    </w:p>
    <w:p w:rsidR="003474F2" w:rsidRPr="001A3D2B" w:rsidRDefault="003474F2" w:rsidP="003474F2">
      <w:pPr>
        <w:pStyle w:val="a3"/>
        <w:rPr>
          <w:szCs w:val="19"/>
        </w:rPr>
      </w:pPr>
      <w:r w:rsidRPr="001A3D2B">
        <w:t>Abstract:</w:t>
      </w:r>
      <w:r w:rsidRPr="001A3D2B">
        <w:rPr>
          <w:szCs w:val="19"/>
        </w:rPr>
        <w:t xml:space="preserve"> This study analyzes</w:t>
      </w:r>
      <w:r w:rsidR="003A1917">
        <w:rPr>
          <w:szCs w:val="19"/>
        </w:rPr>
        <w:t xml:space="preserve"> the </w:t>
      </w:r>
      <w:r w:rsidRPr="001A3D2B">
        <w:rPr>
          <w:szCs w:val="19"/>
        </w:rPr>
        <w:t>accuracy</w:t>
      </w:r>
      <w:r w:rsidR="00427468">
        <w:rPr>
          <w:szCs w:val="19"/>
        </w:rPr>
        <w:t xml:space="preserve"> of </w:t>
      </w:r>
      <w:r w:rsidRPr="001A3D2B">
        <w:rPr>
          <w:szCs w:val="19"/>
        </w:rPr>
        <w:t>anecdotes cited in behavioral primatology publications. Anecdotes (n = 1 cases) recounting tool use were sought in</w:t>
      </w:r>
      <w:r w:rsidR="003A1917">
        <w:rPr>
          <w:szCs w:val="19"/>
        </w:rPr>
        <w:t xml:space="preserve"> the </w:t>
      </w:r>
      <w:r w:rsidRPr="001A3D2B">
        <w:rPr>
          <w:szCs w:val="19"/>
        </w:rPr>
        <w:t>four main primatological journals. Citations</w:t>
      </w:r>
      <w:r w:rsidR="00427468">
        <w:rPr>
          <w:szCs w:val="19"/>
        </w:rPr>
        <w:t xml:space="preserve"> of </w:t>
      </w:r>
      <w:r w:rsidRPr="001A3D2B">
        <w:rPr>
          <w:szCs w:val="19"/>
        </w:rPr>
        <w:t>anecdotes in</w:t>
      </w:r>
      <w:r w:rsidR="003A1917">
        <w:rPr>
          <w:szCs w:val="19"/>
        </w:rPr>
        <w:t xml:space="preserve"> the </w:t>
      </w:r>
      <w:r w:rsidRPr="001A3D2B">
        <w:rPr>
          <w:szCs w:val="19"/>
        </w:rPr>
        <w:t>scientific literature that met three criteria were systematically coded for recognition</w:t>
      </w:r>
      <w:r w:rsidR="005853A9">
        <w:rPr>
          <w:szCs w:val="19"/>
        </w:rPr>
        <w:t xml:space="preserve"> and </w:t>
      </w:r>
      <w:r w:rsidRPr="001A3D2B">
        <w:rPr>
          <w:szCs w:val="19"/>
        </w:rPr>
        <w:t>accuracy</w:t>
      </w:r>
      <w:r w:rsidR="00A37C1D">
        <w:rPr>
          <w:szCs w:val="19"/>
        </w:rPr>
        <w:t>. The</w:t>
      </w:r>
      <w:r w:rsidR="003A1917">
        <w:rPr>
          <w:szCs w:val="19"/>
        </w:rPr>
        <w:t xml:space="preserve"> </w:t>
      </w:r>
      <w:r w:rsidRPr="001A3D2B">
        <w:rPr>
          <w:szCs w:val="19"/>
        </w:rPr>
        <w:t>results showed that 60%</w:t>
      </w:r>
      <w:r w:rsidR="00427468">
        <w:rPr>
          <w:szCs w:val="19"/>
        </w:rPr>
        <w:t xml:space="preserve"> of </w:t>
      </w:r>
      <w:r w:rsidR="003A1917">
        <w:rPr>
          <w:szCs w:val="19"/>
        </w:rPr>
        <w:t xml:space="preserve">the </w:t>
      </w:r>
      <w:r w:rsidRPr="001A3D2B">
        <w:rPr>
          <w:szCs w:val="19"/>
        </w:rPr>
        <w:t>time, authors who cited anecdotes did not explicitly acknowledge them as such. To a lesser extent,</w:t>
      </w:r>
      <w:r w:rsidR="003A1917">
        <w:rPr>
          <w:szCs w:val="19"/>
        </w:rPr>
        <w:t xml:space="preserve"> the </w:t>
      </w:r>
      <w:r w:rsidRPr="001A3D2B">
        <w:rPr>
          <w:szCs w:val="19"/>
        </w:rPr>
        <w:t>citations exaggerated</w:t>
      </w:r>
      <w:r w:rsidR="003A1917">
        <w:rPr>
          <w:szCs w:val="19"/>
        </w:rPr>
        <w:t xml:space="preserve"> the </w:t>
      </w:r>
      <w:r w:rsidRPr="001A3D2B">
        <w:rPr>
          <w:szCs w:val="19"/>
        </w:rPr>
        <w:t>frequency</w:t>
      </w:r>
      <w:r w:rsidR="00427468">
        <w:rPr>
          <w:szCs w:val="19"/>
        </w:rPr>
        <w:t xml:space="preserve"> of </w:t>
      </w:r>
      <w:r w:rsidRPr="001A3D2B">
        <w:rPr>
          <w:szCs w:val="19"/>
        </w:rPr>
        <w:t>anecdotal events or misrepresented their status. For tool use specifically,</w:t>
      </w:r>
      <w:r w:rsidR="003A1917">
        <w:rPr>
          <w:szCs w:val="19"/>
        </w:rPr>
        <w:t xml:space="preserve"> the </w:t>
      </w:r>
      <w:r w:rsidRPr="001A3D2B">
        <w:rPr>
          <w:szCs w:val="19"/>
        </w:rPr>
        <w:t>actor was misreported more often than</w:t>
      </w:r>
      <w:r w:rsidR="003A1917">
        <w:rPr>
          <w:szCs w:val="19"/>
        </w:rPr>
        <w:t xml:space="preserve"> the </w:t>
      </w:r>
      <w:r w:rsidRPr="001A3D2B">
        <w:rPr>
          <w:szCs w:val="19"/>
        </w:rPr>
        <w:t>tool or its target. Multiple citations were incorrect more often than single citations. Overall, it seems that citation</w:t>
      </w:r>
      <w:r w:rsidR="00427468">
        <w:rPr>
          <w:szCs w:val="19"/>
        </w:rPr>
        <w:t xml:space="preserve"> of </w:t>
      </w:r>
      <w:r w:rsidRPr="001A3D2B">
        <w:rPr>
          <w:szCs w:val="19"/>
        </w:rPr>
        <w:t>anecdotes is problematic</w:t>
      </w:r>
      <w:r w:rsidR="005853A9">
        <w:rPr>
          <w:szCs w:val="19"/>
        </w:rPr>
        <w:t xml:space="preserve"> and </w:t>
      </w:r>
      <w:r w:rsidRPr="001A3D2B">
        <w:rPr>
          <w:szCs w:val="19"/>
        </w:rPr>
        <w:t>may have far-reaching implications in terms</w:t>
      </w:r>
      <w:r w:rsidR="00427468">
        <w:rPr>
          <w:szCs w:val="19"/>
        </w:rPr>
        <w:t xml:space="preserve"> of </w:t>
      </w:r>
      <w:r w:rsidRPr="001A3D2B">
        <w:rPr>
          <w:szCs w:val="19"/>
        </w:rPr>
        <w:t>misleading overgeneralizations. Primatologists should take care in citing singular or rare events. (c) 2005 Wiley-Liss, Inc.</w:t>
      </w:r>
    </w:p>
    <w:p w:rsidR="003474F2" w:rsidRPr="001A3D2B" w:rsidRDefault="003474F2" w:rsidP="003474F2">
      <w:pPr>
        <w:pStyle w:val="a3"/>
        <w:rPr>
          <w:szCs w:val="19"/>
        </w:rPr>
      </w:pPr>
      <w:r w:rsidRPr="001A3D2B">
        <w:t>Keywords:</w:t>
      </w:r>
      <w:r w:rsidRPr="001A3D2B">
        <w:rPr>
          <w:szCs w:val="19"/>
        </w:rPr>
        <w:t xml:space="preserve"> Citation Accuracy, Anecdote, Tool Use, Methodology, Chimpanzee, Capuchin Monkey</w:t>
      </w:r>
      <w:r w:rsidRPr="001A3D2B">
        <w:t xml:space="preserve">, </w:t>
      </w:r>
      <w:r w:rsidRPr="001A3D2B">
        <w:rPr>
          <w:szCs w:val="19"/>
        </w:rPr>
        <w:t>Tool-Set, Chimpanzees, Anthropomorphism, Predation, Capuchin</w:t>
      </w:r>
    </w:p>
    <w:p w:rsidR="003474F2" w:rsidRPr="001A3D2B" w:rsidRDefault="003474F2" w:rsidP="003474F2">
      <w:pPr>
        <w:pStyle w:val="1"/>
      </w:pPr>
      <w:r w:rsidRPr="001A3D2B">
        <w:br w:type="page"/>
      </w:r>
      <w:bookmarkStart w:id="322" w:name="_Toc420814424"/>
      <w:r w:rsidRPr="001A3D2B">
        <w:lastRenderedPageBreak/>
        <w:t>Title: American Journal</w:t>
      </w:r>
      <w:r w:rsidR="00427468">
        <w:t xml:space="preserve"> of </w:t>
      </w:r>
      <w:r w:rsidRPr="001A3D2B">
        <w:t>Psychia</w:t>
      </w:r>
      <w:bookmarkStart w:id="323" w:name="_Toc210502934"/>
      <w:r w:rsidRPr="001A3D2B">
        <w:t>try</w:t>
      </w:r>
      <w:bookmarkEnd w:id="322"/>
    </w:p>
    <w:p w:rsidR="003474F2" w:rsidRPr="001A3D2B" w:rsidRDefault="003474F2" w:rsidP="003474F2">
      <w:pPr>
        <w:pStyle w:val="12"/>
      </w:pPr>
      <w:r w:rsidRPr="001A3D2B">
        <w:t xml:space="preserve">Full Journal Title: </w:t>
      </w:r>
      <w:r w:rsidR="00206C8A">
        <w:fldChar w:fldCharType="begin"/>
      </w:r>
      <w:r w:rsidR="00FD158B">
        <w:instrText>HYPERLINK "h</w:instrText>
      </w:r>
      <w:bookmarkEnd w:id="323"/>
      <w:r w:rsidR="00FD158B">
        <w:instrText>ttp://global.umi.com/pqdweb?TS=0&amp;JSEnabled=1&amp;RQT=317&amp;SK=2&amp;ScQ=000028648&amp;TS=1030081"</w:instrText>
      </w:r>
      <w:r w:rsidR="00206C8A">
        <w:fldChar w:fldCharType="separate"/>
      </w:r>
      <w:r w:rsidRPr="001A3D2B">
        <w:rPr>
          <w:rStyle w:val="a5"/>
        </w:rPr>
        <w:t>American Journal</w:t>
      </w:r>
      <w:r w:rsidR="00427468">
        <w:rPr>
          <w:rStyle w:val="a5"/>
        </w:rPr>
        <w:t xml:space="preserve"> of </w:t>
      </w:r>
      <w:r w:rsidRPr="001A3D2B">
        <w:rPr>
          <w:rStyle w:val="a5"/>
        </w:rPr>
        <w:t>Psychiatry</w:t>
      </w:r>
      <w:r w:rsidR="00206C8A">
        <w:fldChar w:fldCharType="end"/>
      </w:r>
    </w:p>
    <w:p w:rsidR="003474F2" w:rsidRPr="001A3D2B" w:rsidRDefault="003474F2" w:rsidP="003474F2">
      <w:pPr>
        <w:pStyle w:val="12"/>
      </w:pPr>
      <w:r w:rsidRPr="001A3D2B">
        <w:t>ISO Abbreviated Title: Am. J. Psychiat.</w:t>
      </w:r>
    </w:p>
    <w:p w:rsidR="003474F2" w:rsidRPr="001A3D2B" w:rsidRDefault="003474F2" w:rsidP="003474F2">
      <w:pPr>
        <w:pStyle w:val="12"/>
      </w:pPr>
      <w:r w:rsidRPr="001A3D2B">
        <w:t>JCR Abbreviated Title: Am J Psychiat</w:t>
      </w:r>
    </w:p>
    <w:p w:rsidR="003474F2" w:rsidRPr="001A3D2B" w:rsidRDefault="003474F2" w:rsidP="003474F2">
      <w:pPr>
        <w:pStyle w:val="12"/>
      </w:pPr>
      <w:r w:rsidRPr="001A3D2B">
        <w:t>ISSN: 0002-953X</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Psychiatric Press, Inc</w:t>
      </w:r>
    </w:p>
    <w:p w:rsidR="003474F2" w:rsidRPr="001A3D2B" w:rsidRDefault="003474F2" w:rsidP="003474F2">
      <w:pPr>
        <w:pStyle w:val="12"/>
      </w:pPr>
      <w:r w:rsidRPr="001A3D2B">
        <w:t xml:space="preserve">Publisher Address: 1400 K ST, N W, Ste 1101, Washington, DC </w:t>
      </w:r>
      <w:smartTag w:uri="urn:schemas-microsoft-com:office:smarttags" w:element="PostalCode">
        <w:r w:rsidRPr="001A3D2B">
          <w:t>20005</w:t>
        </w:r>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Psychiatry: Impact Factor </w:t>
      </w:r>
    </w:p>
    <w:p w:rsidR="00DD55F7" w:rsidRDefault="00DD55F7" w:rsidP="00DD55F7">
      <w:pPr>
        <w:pStyle w:val="a3"/>
        <w:rPr>
          <w:kern w:val="0"/>
        </w:rPr>
      </w:pPr>
      <w:r>
        <w:rPr>
          <w:rFonts w:hint="eastAsia"/>
          <w:kern w:val="0"/>
        </w:rPr>
        <w:t xml:space="preserve">? </w:t>
      </w:r>
      <w:r>
        <w:rPr>
          <w:kern w:val="0"/>
        </w:rPr>
        <w:t xml:space="preserve">Fishbein, M. (1952), Gobbledygook in Psychiatric Writing. </w:t>
      </w:r>
      <w:r>
        <w:rPr>
          <w:i/>
          <w:iCs/>
          <w:kern w:val="0"/>
        </w:rPr>
        <w:t>American Journal</w:t>
      </w:r>
      <w:r w:rsidR="00427468">
        <w:rPr>
          <w:i/>
          <w:iCs/>
          <w:kern w:val="0"/>
        </w:rPr>
        <w:t xml:space="preserve"> of </w:t>
      </w:r>
      <w:r>
        <w:rPr>
          <w:i/>
          <w:iCs/>
          <w:kern w:val="0"/>
        </w:rPr>
        <w:t>Psychiatry</w:t>
      </w:r>
      <w:r>
        <w:rPr>
          <w:kern w:val="0"/>
        </w:rPr>
        <w:t xml:space="preserve">, </w:t>
      </w:r>
      <w:r>
        <w:rPr>
          <w:b/>
          <w:bCs/>
          <w:kern w:val="0"/>
        </w:rPr>
        <w:t>108</w:t>
      </w:r>
      <w:r>
        <w:rPr>
          <w:kern w:val="0"/>
        </w:rPr>
        <w:t xml:space="preserve"> (9), 705</w:t>
      </w:r>
      <w:r>
        <w:rPr>
          <w:rFonts w:hint="eastAsia"/>
          <w:kern w:val="0"/>
        </w:rPr>
        <w:t>.</w:t>
      </w:r>
    </w:p>
    <w:p w:rsidR="00DD55F7" w:rsidRPr="001A3D2B" w:rsidRDefault="00DD55F7" w:rsidP="00DD55F7">
      <w:pPr>
        <w:pStyle w:val="a3"/>
      </w:pPr>
      <w:r w:rsidRPr="001A3D2B">
        <w:t xml:space="preserve">Full Text: </w:t>
      </w:r>
      <w:r>
        <w:rPr>
          <w:rFonts w:hint="eastAsia"/>
        </w:rPr>
        <w:t>-1959\</w:t>
      </w:r>
      <w:r w:rsidRPr="001A3D2B">
        <w:t>Ame J Psy</w:t>
      </w:r>
      <w:r>
        <w:rPr>
          <w:rFonts w:hint="eastAsia"/>
        </w:rPr>
        <w:t>108</w:t>
      </w:r>
      <w:r w:rsidRPr="001A3D2B">
        <w:t xml:space="preserve">, </w:t>
      </w:r>
      <w:r>
        <w:rPr>
          <w:rFonts w:hint="eastAsia"/>
        </w:rPr>
        <w:t>705</w:t>
      </w:r>
      <w:r w:rsidRPr="001A3D2B">
        <w:t>.pdf</w:t>
      </w:r>
    </w:p>
    <w:p w:rsidR="00DD55F7" w:rsidRDefault="00DD55F7" w:rsidP="00DD55F7">
      <w:pPr>
        <w:pStyle w:val="a3"/>
        <w:rPr>
          <w:kern w:val="0"/>
        </w:rPr>
      </w:pPr>
      <w:r>
        <w:rPr>
          <w:rFonts w:hint="eastAsia"/>
          <w:kern w:val="0"/>
        </w:rPr>
        <w:t xml:space="preserve">? </w:t>
      </w:r>
      <w:r>
        <w:rPr>
          <w:kern w:val="0"/>
        </w:rPr>
        <w:t>Brady, J.P. (1962), Publication trends in American</w:t>
      </w:r>
      <w:r>
        <w:rPr>
          <w:rFonts w:hint="eastAsia"/>
          <w:kern w:val="0"/>
        </w:rPr>
        <w:t xml:space="preserve"> </w:t>
      </w:r>
      <w:r>
        <w:rPr>
          <w:kern w:val="0"/>
        </w:rPr>
        <w:t>psychiatry</w:t>
      </w:r>
      <w:r>
        <w:rPr>
          <w:rFonts w:hint="eastAsia"/>
          <w:kern w:val="0"/>
        </w:rPr>
        <w:t>:</w:t>
      </w:r>
      <w:r>
        <w:rPr>
          <w:kern w:val="0"/>
        </w:rPr>
        <w:t xml:space="preserve"> 1844-1960.</w:t>
      </w:r>
      <w:r>
        <w:rPr>
          <w:rFonts w:hint="eastAsia"/>
          <w:kern w:val="0"/>
        </w:rPr>
        <w:t xml:space="preserve"> </w:t>
      </w:r>
      <w:r>
        <w:rPr>
          <w:kern w:val="0"/>
        </w:rPr>
        <w:t>1. General subject category</w:t>
      </w:r>
      <w:r w:rsidR="005853A9">
        <w:rPr>
          <w:kern w:val="0"/>
        </w:rPr>
        <w:t xml:space="preserve"> and </w:t>
      </w:r>
      <w:r>
        <w:rPr>
          <w:kern w:val="0"/>
        </w:rPr>
        <w:t xml:space="preserve">etiology. </w:t>
      </w:r>
      <w:r>
        <w:rPr>
          <w:i/>
          <w:iCs/>
          <w:kern w:val="0"/>
        </w:rPr>
        <w:t>American Journal</w:t>
      </w:r>
      <w:r w:rsidR="00427468">
        <w:rPr>
          <w:i/>
          <w:iCs/>
          <w:kern w:val="0"/>
        </w:rPr>
        <w:t xml:space="preserve"> of </w:t>
      </w:r>
      <w:r>
        <w:rPr>
          <w:i/>
          <w:iCs/>
          <w:kern w:val="0"/>
        </w:rPr>
        <w:t>Psychiatry</w:t>
      </w:r>
      <w:r>
        <w:rPr>
          <w:kern w:val="0"/>
        </w:rPr>
        <w:t xml:space="preserve">, </w:t>
      </w:r>
      <w:r>
        <w:rPr>
          <w:b/>
          <w:bCs/>
          <w:kern w:val="0"/>
        </w:rPr>
        <w:t>118</w:t>
      </w:r>
      <w:r>
        <w:rPr>
          <w:kern w:val="0"/>
        </w:rPr>
        <w:t xml:space="preserve"> (12), 1069-</w:t>
      </w:r>
      <w:r>
        <w:rPr>
          <w:rFonts w:hint="eastAsia"/>
          <w:kern w:val="0"/>
        </w:rPr>
        <w:t>1077.</w:t>
      </w:r>
    </w:p>
    <w:p w:rsidR="00DD55F7" w:rsidRPr="001A3D2B" w:rsidRDefault="00DD55F7" w:rsidP="00DD55F7">
      <w:pPr>
        <w:pStyle w:val="a3"/>
      </w:pPr>
      <w:r w:rsidRPr="001A3D2B">
        <w:t xml:space="preserve">Full Text: </w:t>
      </w:r>
      <w:r>
        <w:rPr>
          <w:rFonts w:hint="eastAsia"/>
        </w:rPr>
        <w:t>-1959\</w:t>
      </w:r>
      <w:r w:rsidRPr="001A3D2B">
        <w:t>Ame J Psy1</w:t>
      </w:r>
      <w:r>
        <w:rPr>
          <w:rFonts w:hint="eastAsia"/>
        </w:rPr>
        <w:t>18</w:t>
      </w:r>
      <w:r w:rsidRPr="001A3D2B">
        <w:t xml:space="preserve">, </w:t>
      </w:r>
      <w:r>
        <w:rPr>
          <w:rFonts w:hint="eastAsia"/>
        </w:rPr>
        <w:t>1069</w:t>
      </w:r>
      <w:r w:rsidRPr="001A3D2B">
        <w:t>.pdf</w:t>
      </w:r>
    </w:p>
    <w:p w:rsidR="0026521A" w:rsidRDefault="0026521A" w:rsidP="0026521A">
      <w:pPr>
        <w:pStyle w:val="a3"/>
        <w:rPr>
          <w:kern w:val="0"/>
        </w:rPr>
      </w:pPr>
      <w:r>
        <w:rPr>
          <w:kern w:val="0"/>
        </w:rPr>
        <w:t>Keywords: Trends</w:t>
      </w:r>
    </w:p>
    <w:p w:rsidR="003474F2" w:rsidRPr="001A3D2B" w:rsidRDefault="003474F2" w:rsidP="003474F2">
      <w:pPr>
        <w:pStyle w:val="a3"/>
      </w:pPr>
      <w:r w:rsidRPr="001A3D2B">
        <w:t>? Crawford, J.W.</w:t>
      </w:r>
      <w:r w:rsidR="005853A9">
        <w:t xml:space="preserve"> and </w:t>
      </w:r>
      <w:r w:rsidRPr="001A3D2B">
        <w:t xml:space="preserve">Crawford, S. (1980), Research in psychiatry - Co-citation analysis. </w:t>
      </w:r>
      <w:r w:rsidRPr="001A3D2B">
        <w:rPr>
          <w:i/>
          <w:iCs/>
        </w:rPr>
        <w:t>American Journal</w:t>
      </w:r>
      <w:r w:rsidR="00427468">
        <w:rPr>
          <w:i/>
          <w:iCs/>
        </w:rPr>
        <w:t xml:space="preserve"> of </w:t>
      </w:r>
      <w:r w:rsidRPr="001A3D2B">
        <w:rPr>
          <w:i/>
          <w:iCs/>
        </w:rPr>
        <w:t>Psychiatry</w:t>
      </w:r>
      <w:r w:rsidRPr="001A3D2B">
        <w:t xml:space="preserve">, </w:t>
      </w:r>
      <w:r w:rsidRPr="001A3D2B">
        <w:rPr>
          <w:b/>
          <w:bCs/>
        </w:rPr>
        <w:t>137</w:t>
      </w:r>
      <w:r w:rsidRPr="001A3D2B">
        <w:t xml:space="preserve"> (1), 52-55.</w:t>
      </w:r>
    </w:p>
    <w:p w:rsidR="003474F2" w:rsidRPr="001A3D2B" w:rsidRDefault="003474F2" w:rsidP="003474F2">
      <w:pPr>
        <w:pStyle w:val="a3"/>
      </w:pPr>
      <w:r w:rsidRPr="001A3D2B">
        <w:t>Full Text: Ame J Psy137, 52.pdf</w:t>
      </w:r>
    </w:p>
    <w:p w:rsidR="003474F2" w:rsidRPr="001A3D2B" w:rsidRDefault="003474F2" w:rsidP="003474F2">
      <w:pPr>
        <w:pStyle w:val="a3"/>
      </w:pPr>
      <w:r w:rsidRPr="001A3D2B">
        <w:t>? Cox, B.J., Wessel, I., Norton, G.R.</w:t>
      </w:r>
      <w:r w:rsidR="005853A9">
        <w:t xml:space="preserve"> and </w:t>
      </w:r>
      <w:r w:rsidRPr="001A3D2B">
        <w:t>Swinson, R.P. (1994), Citation patterns in anxiety disorders research in 14 journals</w:t>
      </w:r>
      <w:r w:rsidR="00416FAC">
        <w:rPr>
          <w:rFonts w:hint="eastAsia"/>
        </w:rPr>
        <w:t>:</w:t>
      </w:r>
      <w:r w:rsidRPr="001A3D2B">
        <w:t xml:space="preserve"> 1990-1991. </w:t>
      </w:r>
      <w:r w:rsidRPr="001A3D2B">
        <w:rPr>
          <w:i/>
        </w:rPr>
        <w:t>American Journal</w:t>
      </w:r>
      <w:r w:rsidR="00427468">
        <w:rPr>
          <w:i/>
        </w:rPr>
        <w:t xml:space="preserve"> of </w:t>
      </w:r>
      <w:r w:rsidRPr="001A3D2B">
        <w:rPr>
          <w:i/>
        </w:rPr>
        <w:t>Psychiatry</w:t>
      </w:r>
      <w:r w:rsidRPr="001A3D2B">
        <w:t xml:space="preserve">, </w:t>
      </w:r>
      <w:r w:rsidRPr="001A3D2B">
        <w:rPr>
          <w:b/>
        </w:rPr>
        <w:t>151</w:t>
      </w:r>
      <w:r w:rsidRPr="001A3D2B">
        <w:t xml:space="preserve"> (6), 933-936.</w:t>
      </w:r>
    </w:p>
    <w:p w:rsidR="003474F2" w:rsidRPr="001A3D2B" w:rsidRDefault="003474F2" w:rsidP="003474F2">
      <w:pPr>
        <w:pStyle w:val="a3"/>
      </w:pPr>
      <w:r w:rsidRPr="001A3D2B">
        <w:t xml:space="preserve">Full Text: </w:t>
      </w:r>
      <w:r w:rsidR="00416FAC">
        <w:rPr>
          <w:rFonts w:hint="eastAsia"/>
        </w:rPr>
        <w:t>1994\</w:t>
      </w:r>
      <w:r w:rsidRPr="001A3D2B">
        <w:t>Ame J Psy151, 933.pdf</w:t>
      </w:r>
    </w:p>
    <w:p w:rsidR="003474F2" w:rsidRPr="001A3D2B" w:rsidRDefault="003474F2" w:rsidP="003474F2">
      <w:pPr>
        <w:pStyle w:val="a3"/>
      </w:pPr>
      <w:r w:rsidRPr="001A3D2B">
        <w:t>Abstract:</w:t>
      </w:r>
      <w:r w:rsidR="003A1917">
        <w:t xml:space="preserve"> the </w:t>
      </w:r>
      <w:r w:rsidRPr="001A3D2B">
        <w:t>authors reviewed</w:t>
      </w:r>
      <w:r w:rsidR="003A1917">
        <w:t xml:space="preserve"> the </w:t>
      </w:r>
      <w:r w:rsidRPr="001A3D2B">
        <w:t>distribution</w:t>
      </w:r>
      <w:r w:rsidR="00427468">
        <w:t xml:space="preserve"> of </w:t>
      </w:r>
      <w:r w:rsidRPr="001A3D2B">
        <w:t>citations in 278 anxiety disorder studies published in 14 journals in 1990</w:t>
      </w:r>
      <w:r w:rsidR="005853A9">
        <w:t xml:space="preserve"> and </w:t>
      </w:r>
      <w:r w:rsidRPr="001A3D2B">
        <w:t>1991. Although both psychiatrists</w:t>
      </w:r>
      <w:r w:rsidR="005853A9">
        <w:t xml:space="preserve"> and </w:t>
      </w:r>
      <w:r w:rsidRPr="001A3D2B">
        <w:t>psychologists frequently authored studies, few journals showed evidence</w:t>
      </w:r>
      <w:r w:rsidR="00427468">
        <w:t xml:space="preserve"> of </w:t>
      </w:r>
      <w:r w:rsidRPr="001A3D2B">
        <w:t>a substantial interdisciplinary perspective</w:t>
      </w:r>
      <w:r w:rsidR="00A37C1D">
        <w:t>. The</w:t>
      </w:r>
      <w:r w:rsidR="003A1917">
        <w:t xml:space="preserve"> </w:t>
      </w:r>
      <w:r w:rsidRPr="001A3D2B">
        <w:t>278 anxiety disorder studies contained 3,199 references to articles in</w:t>
      </w:r>
      <w:r w:rsidR="003A1917">
        <w:t xml:space="preserve"> the </w:t>
      </w:r>
      <w:r w:rsidRPr="001A3D2B">
        <w:t>14 journals</w:t>
      </w:r>
      <w:r w:rsidR="00A37C1D">
        <w:t>. The</w:t>
      </w:r>
      <w:r w:rsidRPr="001A3D2B">
        <w:t>re was a high percentage</w:t>
      </w:r>
      <w:r w:rsidR="00427468">
        <w:t xml:space="preserve"> of </w:t>
      </w:r>
      <w:r w:rsidR="00B5188C">
        <w:t>“</w:t>
      </w:r>
      <w:r w:rsidRPr="001A3D2B">
        <w:t>self-citation</w:t>
      </w:r>
      <w:r w:rsidR="00B5188C">
        <w:t>”</w:t>
      </w:r>
      <w:r w:rsidRPr="001A3D2B">
        <w:t xml:space="preserve"> in some</w:t>
      </w:r>
      <w:r w:rsidR="00427468">
        <w:t xml:space="preserve"> of </w:t>
      </w:r>
      <w:r w:rsidR="003A1917">
        <w:t xml:space="preserve">the </w:t>
      </w:r>
      <w:r w:rsidRPr="001A3D2B">
        <w:t>journals</w:t>
      </w:r>
      <w:r w:rsidR="005853A9">
        <w:t xml:space="preserve"> and </w:t>
      </w:r>
      <w:r w:rsidRPr="001A3D2B">
        <w:t>only limited evidence</w:t>
      </w:r>
      <w:r w:rsidR="00427468">
        <w:t xml:space="preserve"> of </w:t>
      </w:r>
      <w:r w:rsidRPr="001A3D2B">
        <w:t>citations across journal</w:t>
      </w:r>
      <w:r w:rsidR="005853A9">
        <w:t xml:space="preserve"> and </w:t>
      </w:r>
      <w:r w:rsidRPr="001A3D2B">
        <w:t>author disciplines</w:t>
      </w:r>
      <w:r w:rsidR="00A37C1D">
        <w:t>. The</w:t>
      </w:r>
      <w:r w:rsidRPr="001A3D2B">
        <w:t>se findings suggest that anxiety disorder research findings are often not widely disseminated across disciplines.</w:t>
      </w:r>
    </w:p>
    <w:p w:rsidR="008D7D2B" w:rsidRDefault="008D7D2B" w:rsidP="008D7D2B">
      <w:pPr>
        <w:pStyle w:val="a3"/>
        <w:rPr>
          <w:kern w:val="0"/>
        </w:rPr>
      </w:pPr>
      <w:r>
        <w:rPr>
          <w:kern w:val="0"/>
        </w:rPr>
        <w:t>Keywords: Author, Citation, Citations, General Psychiatric Journals, Journals, Psychology, Research, Trends</w:t>
      </w:r>
    </w:p>
    <w:p w:rsidR="003474F2" w:rsidRPr="001A3D2B" w:rsidRDefault="003474F2" w:rsidP="003474F2">
      <w:pPr>
        <w:pStyle w:val="1"/>
      </w:pPr>
      <w:r w:rsidRPr="001A3D2B">
        <w:br w:type="page"/>
      </w:r>
      <w:bookmarkStart w:id="324" w:name="_Toc420814425"/>
      <w:r w:rsidRPr="001A3D2B">
        <w:lastRenderedPageBreak/>
        <w:t xml:space="preserve">Title: </w:t>
      </w:r>
      <w:r w:rsidRPr="001A3D2B">
        <w:rPr>
          <w:szCs w:val="19"/>
        </w:rPr>
        <w:t>American Journal</w:t>
      </w:r>
      <w:r w:rsidR="00427468">
        <w:rPr>
          <w:szCs w:val="19"/>
        </w:rPr>
        <w:t xml:space="preserve"> of </w:t>
      </w:r>
      <w:r w:rsidRPr="001A3D2B">
        <w:rPr>
          <w:szCs w:val="19"/>
        </w:rPr>
        <w:t>Psychology</w:t>
      </w:r>
      <w:bookmarkEnd w:id="324"/>
    </w:p>
    <w:p w:rsidR="003474F2" w:rsidRPr="001A3D2B" w:rsidRDefault="003474F2" w:rsidP="003474F2">
      <w:pPr>
        <w:pStyle w:val="12"/>
      </w:pPr>
      <w:r w:rsidRPr="001A3D2B">
        <w:t xml:space="preserve">Full Journal Title: </w:t>
      </w:r>
      <w:hyperlink r:id="rId606" w:history="1">
        <w:r w:rsidRPr="001A3D2B">
          <w:rPr>
            <w:rStyle w:val="a5"/>
          </w:rPr>
          <w:t>American Journal</w:t>
        </w:r>
        <w:r w:rsidR="00427468">
          <w:rPr>
            <w:rStyle w:val="a5"/>
          </w:rPr>
          <w:t xml:space="preserve"> of </w:t>
        </w:r>
        <w:r w:rsidRPr="001A3D2B">
          <w:rPr>
            <w:rStyle w:val="a5"/>
          </w:rPr>
          <w:t>Psychology</w:t>
        </w:r>
      </w:hyperlink>
      <w:r w:rsidRPr="001A3D2B">
        <w:t xml:space="preserve">; </w:t>
      </w:r>
      <w:hyperlink r:id="rId607" w:history="1">
        <w:r w:rsidRPr="001A3D2B">
          <w:rPr>
            <w:rStyle w:val="a5"/>
          </w:rPr>
          <w:t>American Journal</w:t>
        </w:r>
        <w:r w:rsidR="00427468">
          <w:rPr>
            <w:rStyle w:val="a5"/>
          </w:rPr>
          <w:t xml:space="preserve"> of </w:t>
        </w:r>
        <w:r w:rsidRPr="001A3D2B">
          <w:rPr>
            <w:rStyle w:val="a5"/>
          </w:rPr>
          <w:t>Psychology</w:t>
        </w:r>
      </w:hyperlink>
      <w:r w:rsidRPr="001A3D2B">
        <w:t xml:space="preserve">; </w:t>
      </w:r>
      <w:hyperlink r:id="rId608" w:history="1">
        <w:r w:rsidRPr="001A3D2B">
          <w:rPr>
            <w:rStyle w:val="a5"/>
          </w:rPr>
          <w:t>American Journal</w:t>
        </w:r>
        <w:r w:rsidR="00427468">
          <w:rPr>
            <w:rStyle w:val="a5"/>
          </w:rPr>
          <w:t xml:space="preserve"> of </w:t>
        </w:r>
        <w:r w:rsidRPr="001A3D2B">
          <w:rPr>
            <w:rStyle w:val="a5"/>
          </w:rPr>
          <w:t>Psychology</w:t>
        </w:r>
      </w:hyperlink>
      <w:r w:rsidRPr="001A3D2B">
        <w:t xml:space="preserve">; </w:t>
      </w:r>
      <w:hyperlink r:id="rId609" w:history="1">
        <w:r w:rsidRPr="001A3D2B">
          <w:rPr>
            <w:rStyle w:val="a5"/>
          </w:rPr>
          <w:t>American Journal</w:t>
        </w:r>
        <w:r w:rsidR="00427468">
          <w:rPr>
            <w:rStyle w:val="a5"/>
          </w:rPr>
          <w:t xml:space="preserve"> of </w:t>
        </w:r>
        <w:r w:rsidRPr="001A3D2B">
          <w:rPr>
            <w:rStyle w:val="a5"/>
          </w:rPr>
          <w:t>Psychology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0002-9556</w:t>
      </w:r>
    </w:p>
    <w:p w:rsidR="003474F2" w:rsidRPr="001A3D2B" w:rsidRDefault="003474F2" w:rsidP="003474F2">
      <w:pPr>
        <w:pStyle w:val="12"/>
      </w:pPr>
      <w:r w:rsidRPr="001A3D2B">
        <w:t xml:space="preserve">Issues/Year: </w:t>
      </w:r>
    </w:p>
    <w:p w:rsidR="003474F2" w:rsidRPr="001A3D2B" w:rsidRDefault="003474F2" w:rsidP="003474F2">
      <w:pPr>
        <w:pStyle w:val="12"/>
      </w:pPr>
      <w:r w:rsidRPr="001A3D2B">
        <w:t>Journal Country/Territory:</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Notes: MModel</w:t>
      </w:r>
    </w:p>
    <w:p w:rsidR="003474F2" w:rsidRPr="001A3D2B" w:rsidRDefault="003474F2" w:rsidP="003474F2">
      <w:pPr>
        <w:pStyle w:val="a3"/>
      </w:pPr>
      <w:r w:rsidRPr="001A3D2B">
        <w:t>? Zipf, G.K. (</w:t>
      </w:r>
      <w:r w:rsidRPr="001A3D2B">
        <w:rPr>
          <w:szCs w:val="19"/>
        </w:rPr>
        <w:t>1945</w:t>
      </w:r>
      <w:r w:rsidRPr="001A3D2B">
        <w:t xml:space="preserve">), </w:t>
      </w:r>
      <w:r w:rsidRPr="001A3D2B">
        <w:rPr>
          <w:szCs w:val="19"/>
        </w:rPr>
        <w:t>Some psychological determinants</w:t>
      </w:r>
      <w:r w:rsidR="00427468">
        <w:rPr>
          <w:szCs w:val="19"/>
        </w:rPr>
        <w:t xml:space="preserve"> of </w:t>
      </w:r>
      <w:r w:rsidR="003A1917">
        <w:rPr>
          <w:szCs w:val="19"/>
        </w:rPr>
        <w:t xml:space="preserve">the </w:t>
      </w:r>
      <w:r w:rsidRPr="001A3D2B">
        <w:rPr>
          <w:szCs w:val="19"/>
        </w:rPr>
        <w:t>structure</w:t>
      </w:r>
      <w:r w:rsidR="00427468">
        <w:rPr>
          <w:szCs w:val="19"/>
        </w:rPr>
        <w:t xml:space="preserve"> of </w:t>
      </w:r>
      <w:r w:rsidRPr="001A3D2B">
        <w:rPr>
          <w:szCs w:val="19"/>
        </w:rPr>
        <w:t>publications</w:t>
      </w:r>
      <w:r w:rsidRPr="001A3D2B">
        <w:t xml:space="preserve">. </w:t>
      </w:r>
      <w:r w:rsidRPr="001A3D2B">
        <w:rPr>
          <w:i/>
          <w:szCs w:val="19"/>
        </w:rPr>
        <w:t>American Journal</w:t>
      </w:r>
      <w:r w:rsidR="00427468">
        <w:rPr>
          <w:i/>
          <w:szCs w:val="19"/>
        </w:rPr>
        <w:t xml:space="preserve"> of </w:t>
      </w:r>
      <w:r w:rsidRPr="001A3D2B">
        <w:rPr>
          <w:i/>
          <w:szCs w:val="19"/>
        </w:rPr>
        <w:t>Psychology</w:t>
      </w:r>
      <w:r w:rsidRPr="001A3D2B">
        <w:t xml:space="preserve">, </w:t>
      </w:r>
      <w:r w:rsidRPr="001A3D2B">
        <w:rPr>
          <w:b/>
        </w:rPr>
        <w:t>58</w:t>
      </w:r>
      <w:r w:rsidRPr="001A3D2B">
        <w:t xml:space="preserve"> (4), </w:t>
      </w:r>
      <w:r w:rsidRPr="001A3D2B">
        <w:rPr>
          <w:szCs w:val="19"/>
        </w:rPr>
        <w:t>425-442</w:t>
      </w:r>
      <w:r w:rsidRPr="001A3D2B">
        <w:t>.</w:t>
      </w:r>
    </w:p>
    <w:p w:rsidR="003474F2" w:rsidRPr="001A3D2B" w:rsidRDefault="003474F2" w:rsidP="003474F2">
      <w:pPr>
        <w:pStyle w:val="a3"/>
      </w:pPr>
      <w:r w:rsidRPr="001A3D2B">
        <w:t xml:space="preserve">Full Text: </w:t>
      </w:r>
      <w:hyperlink r:id="rId610" w:history="1">
        <w:r w:rsidRPr="001A3D2B">
          <w:rPr>
            <w:rStyle w:val="a5"/>
          </w:rPr>
          <w:t>-1959\Ame J Psy58, 425.pdf</w:t>
        </w:r>
      </w:hyperlink>
    </w:p>
    <w:p w:rsidR="003474F2" w:rsidRPr="001A3D2B" w:rsidRDefault="003474F2" w:rsidP="003474F2">
      <w:pPr>
        <w:pStyle w:val="a3"/>
      </w:pPr>
      <w:r w:rsidRPr="001A3D2B">
        <w:t>? Zipf, G.K. (</w:t>
      </w:r>
      <w:r w:rsidRPr="001A3D2B">
        <w:rPr>
          <w:szCs w:val="19"/>
        </w:rPr>
        <w:t>1946</w:t>
      </w:r>
      <w:r w:rsidRPr="001A3D2B">
        <w:t xml:space="preserve">), </w:t>
      </w:r>
      <w:r w:rsidRPr="001A3D2B">
        <w:rPr>
          <w:szCs w:val="19"/>
        </w:rPr>
        <w:t>Some determinants</w:t>
      </w:r>
      <w:r w:rsidR="00427468">
        <w:rPr>
          <w:szCs w:val="19"/>
        </w:rPr>
        <w:t xml:space="preserve"> of </w:t>
      </w:r>
      <w:r w:rsidR="003A1917">
        <w:rPr>
          <w:szCs w:val="19"/>
        </w:rPr>
        <w:t xml:space="preserve">the </w:t>
      </w:r>
      <w:r w:rsidRPr="001A3D2B">
        <w:rPr>
          <w:szCs w:val="19"/>
        </w:rPr>
        <w:t>circulation</w:t>
      </w:r>
      <w:r w:rsidR="00427468">
        <w:rPr>
          <w:szCs w:val="19"/>
        </w:rPr>
        <w:t xml:space="preserve"> of </w:t>
      </w:r>
      <w:r w:rsidRPr="001A3D2B">
        <w:rPr>
          <w:szCs w:val="19"/>
        </w:rPr>
        <w:t>information</w:t>
      </w:r>
      <w:r w:rsidRPr="001A3D2B">
        <w:t xml:space="preserve">. </w:t>
      </w:r>
      <w:r w:rsidRPr="001A3D2B">
        <w:rPr>
          <w:i/>
          <w:szCs w:val="19"/>
        </w:rPr>
        <w:t>American Journal</w:t>
      </w:r>
      <w:r w:rsidR="00427468">
        <w:rPr>
          <w:i/>
          <w:szCs w:val="19"/>
        </w:rPr>
        <w:t xml:space="preserve"> of </w:t>
      </w:r>
      <w:r w:rsidRPr="001A3D2B">
        <w:rPr>
          <w:i/>
          <w:szCs w:val="19"/>
        </w:rPr>
        <w:t>Psychology</w:t>
      </w:r>
      <w:r w:rsidRPr="001A3D2B">
        <w:t xml:space="preserve">, </w:t>
      </w:r>
      <w:r w:rsidRPr="001A3D2B">
        <w:rPr>
          <w:b/>
        </w:rPr>
        <w:t>59</w:t>
      </w:r>
      <w:r w:rsidRPr="001A3D2B">
        <w:t xml:space="preserve"> (3), </w:t>
      </w:r>
      <w:r w:rsidRPr="001A3D2B">
        <w:rPr>
          <w:szCs w:val="19"/>
        </w:rPr>
        <w:t>401-421</w:t>
      </w:r>
      <w:r w:rsidRPr="001A3D2B">
        <w:t>.</w:t>
      </w:r>
    </w:p>
    <w:p w:rsidR="003474F2" w:rsidRPr="001A3D2B" w:rsidRDefault="003474F2" w:rsidP="003474F2">
      <w:pPr>
        <w:pStyle w:val="a3"/>
      </w:pPr>
      <w:r w:rsidRPr="001A3D2B">
        <w:t xml:space="preserve">Full Text: </w:t>
      </w:r>
      <w:hyperlink r:id="rId611" w:history="1">
        <w:r w:rsidRPr="001A3D2B">
          <w:rPr>
            <w:rStyle w:val="a5"/>
          </w:rPr>
          <w:t>-1959\Ame J Psy59, 401.pdf</w:t>
        </w:r>
      </w:hyperlink>
    </w:p>
    <w:p w:rsidR="003474F2" w:rsidRPr="001A3D2B" w:rsidRDefault="003474F2" w:rsidP="003474F2">
      <w:pPr>
        <w:pStyle w:val="a3"/>
      </w:pPr>
      <w:r w:rsidRPr="001A3D2B">
        <w:t>? Zipf, G.K. (1947), On Dr. Miller</w:t>
      </w:r>
      <w:r w:rsidR="00700038">
        <w:t>’</w:t>
      </w:r>
      <w:r w:rsidR="00C13DDC">
        <w:t>s</w:t>
      </w:r>
      <w:r w:rsidRPr="001A3D2B">
        <w:t xml:space="preserve"> contribution to</w:t>
      </w:r>
      <w:r w:rsidR="003A1917">
        <w:t xml:space="preserve"> the </w:t>
      </w:r>
      <w:r w:rsidRPr="001A3D2B">
        <w:t xml:space="preserve">P1P2/D hypothesis. </w:t>
      </w:r>
      <w:r w:rsidRPr="001A3D2B">
        <w:rPr>
          <w:i/>
          <w:iCs/>
        </w:rPr>
        <w:t>American Journal</w:t>
      </w:r>
      <w:r w:rsidR="00427468">
        <w:rPr>
          <w:i/>
          <w:iCs/>
        </w:rPr>
        <w:t xml:space="preserve"> of </w:t>
      </w:r>
      <w:r w:rsidRPr="001A3D2B">
        <w:rPr>
          <w:i/>
          <w:iCs/>
        </w:rPr>
        <w:t>Psychology</w:t>
      </w:r>
      <w:r w:rsidRPr="001A3D2B">
        <w:t xml:space="preserve">, </w:t>
      </w:r>
      <w:r w:rsidRPr="001A3D2B">
        <w:rPr>
          <w:b/>
          <w:bCs/>
        </w:rPr>
        <w:t>60</w:t>
      </w:r>
      <w:r w:rsidRPr="001A3D2B">
        <w:t xml:space="preserve"> (2), 284-287.</w:t>
      </w:r>
    </w:p>
    <w:p w:rsidR="003474F2" w:rsidRPr="001A3D2B" w:rsidRDefault="003474F2" w:rsidP="003474F2">
      <w:pPr>
        <w:pStyle w:val="a3"/>
      </w:pPr>
      <w:r w:rsidRPr="001A3D2B">
        <w:t xml:space="preserve">Full Text: </w:t>
      </w:r>
      <w:hyperlink r:id="rId612" w:history="1">
        <w:r w:rsidRPr="001A3D2B">
          <w:rPr>
            <w:rStyle w:val="a5"/>
          </w:rPr>
          <w:t>-1959\Ame J Psy60, 284.pdf</w:t>
        </w:r>
      </w:hyperlink>
    </w:p>
    <w:p w:rsidR="003474F2" w:rsidRPr="001A3D2B" w:rsidRDefault="003474F2" w:rsidP="003474F2">
      <w:pPr>
        <w:pStyle w:val="a3"/>
      </w:pPr>
      <w:r w:rsidRPr="001A3D2B">
        <w:t>? Zipf, G.K. (1948), On</w:t>
      </w:r>
      <w:r w:rsidR="003A1917">
        <w:t xml:space="preserve"> the </w:t>
      </w:r>
      <w:r w:rsidRPr="001A3D2B">
        <w:t>number, circulation-sizes,</w:t>
      </w:r>
      <w:r w:rsidR="005853A9">
        <w:t xml:space="preserve"> and </w:t>
      </w:r>
      <w:r w:rsidR="003A1917">
        <w:t xml:space="preserve">the </w:t>
      </w:r>
      <w:r w:rsidRPr="001A3D2B">
        <w:t>probable purchasers</w:t>
      </w:r>
      <w:r w:rsidR="00427468">
        <w:t xml:space="preserve"> of </w:t>
      </w:r>
      <w:r w:rsidRPr="001A3D2B">
        <w:t xml:space="preserve">newspapers. </w:t>
      </w:r>
      <w:r w:rsidRPr="001A3D2B">
        <w:rPr>
          <w:i/>
          <w:iCs/>
        </w:rPr>
        <w:t>American Journal</w:t>
      </w:r>
      <w:r w:rsidR="00427468">
        <w:rPr>
          <w:i/>
          <w:iCs/>
        </w:rPr>
        <w:t xml:space="preserve"> of </w:t>
      </w:r>
      <w:r w:rsidRPr="001A3D2B">
        <w:rPr>
          <w:i/>
          <w:iCs/>
        </w:rPr>
        <w:t>Psychology</w:t>
      </w:r>
      <w:r w:rsidRPr="001A3D2B">
        <w:t xml:space="preserve">, </w:t>
      </w:r>
      <w:r w:rsidRPr="001A3D2B">
        <w:rPr>
          <w:b/>
          <w:bCs/>
        </w:rPr>
        <w:t>61</w:t>
      </w:r>
      <w:r w:rsidRPr="001A3D2B">
        <w:t xml:space="preserve"> (1), 79-89.</w:t>
      </w:r>
    </w:p>
    <w:p w:rsidR="003474F2" w:rsidRPr="001A3D2B" w:rsidRDefault="003474F2" w:rsidP="003474F2">
      <w:pPr>
        <w:pStyle w:val="a3"/>
      </w:pPr>
      <w:r w:rsidRPr="001A3D2B">
        <w:t xml:space="preserve">Full Text: </w:t>
      </w:r>
      <w:hyperlink r:id="rId613" w:history="1">
        <w:r w:rsidRPr="001A3D2B">
          <w:rPr>
            <w:rStyle w:val="a5"/>
          </w:rPr>
          <w:t>-1959\Ame J Psy61, 79.pdf</w:t>
        </w:r>
      </w:hyperlink>
    </w:p>
    <w:p w:rsidR="003474F2" w:rsidRPr="001A3D2B" w:rsidRDefault="003474F2" w:rsidP="003474F2">
      <w:pPr>
        <w:pStyle w:val="a3"/>
      </w:pPr>
      <w:r w:rsidRPr="001A3D2B">
        <w:t>? Zipf, G.K. (1950), Brand names</w:t>
      </w:r>
      <w:r w:rsidR="005853A9">
        <w:t xml:space="preserve"> and </w:t>
      </w:r>
      <w:r w:rsidRPr="001A3D2B">
        <w:t xml:space="preserve">related social phenomena. </w:t>
      </w:r>
      <w:r w:rsidRPr="001A3D2B">
        <w:rPr>
          <w:i/>
          <w:iCs/>
        </w:rPr>
        <w:t>American Journal</w:t>
      </w:r>
      <w:r w:rsidR="00427468">
        <w:rPr>
          <w:i/>
          <w:iCs/>
        </w:rPr>
        <w:t xml:space="preserve"> of </w:t>
      </w:r>
      <w:r w:rsidRPr="001A3D2B">
        <w:rPr>
          <w:i/>
          <w:iCs/>
        </w:rPr>
        <w:t>Psychology</w:t>
      </w:r>
      <w:r w:rsidRPr="001A3D2B">
        <w:t xml:space="preserve">, </w:t>
      </w:r>
      <w:r w:rsidRPr="001A3D2B">
        <w:rPr>
          <w:b/>
          <w:bCs/>
        </w:rPr>
        <w:t>63</w:t>
      </w:r>
      <w:r w:rsidRPr="001A3D2B">
        <w:t xml:space="preserve"> (3), 342-366.</w:t>
      </w:r>
    </w:p>
    <w:p w:rsidR="003474F2" w:rsidRPr="001A3D2B" w:rsidRDefault="003474F2" w:rsidP="003474F2">
      <w:pPr>
        <w:pStyle w:val="a3"/>
      </w:pPr>
      <w:r w:rsidRPr="001A3D2B">
        <w:t xml:space="preserve">Full Text: </w:t>
      </w:r>
      <w:hyperlink r:id="rId614" w:history="1">
        <w:r w:rsidRPr="001A3D2B">
          <w:rPr>
            <w:rStyle w:val="a5"/>
          </w:rPr>
          <w:t>-1959\Ame J Psy63, 342.pdf</w:t>
        </w:r>
      </w:hyperlink>
    </w:p>
    <w:p w:rsidR="003474F2" w:rsidRPr="001A3D2B" w:rsidRDefault="003474F2" w:rsidP="003474F2">
      <w:pPr>
        <w:pStyle w:val="a3"/>
      </w:pPr>
      <w:r w:rsidRPr="001A3D2B">
        <w:t xml:space="preserve">? Howes, D. (1968), </w:t>
      </w:r>
      <w:r w:rsidRPr="001A3D2B">
        <w:rPr>
          <w:szCs w:val="19"/>
        </w:rPr>
        <w:t>Zipf</w:t>
      </w:r>
      <w:r w:rsidR="00700038">
        <w:rPr>
          <w:szCs w:val="19"/>
        </w:rPr>
        <w:t>’</w:t>
      </w:r>
      <w:r w:rsidR="00C13DDC">
        <w:rPr>
          <w:szCs w:val="19"/>
        </w:rPr>
        <w:t>s</w:t>
      </w:r>
      <w:r w:rsidRPr="001A3D2B">
        <w:rPr>
          <w:szCs w:val="19"/>
        </w:rPr>
        <w:t xml:space="preserve"> law</w:t>
      </w:r>
      <w:r w:rsidR="005853A9">
        <w:rPr>
          <w:szCs w:val="19"/>
        </w:rPr>
        <w:t xml:space="preserve"> and </w:t>
      </w:r>
      <w:r w:rsidRPr="001A3D2B">
        <w:rPr>
          <w:szCs w:val="19"/>
        </w:rPr>
        <w:t>Miller</w:t>
      </w:r>
      <w:r w:rsidR="00700038">
        <w:rPr>
          <w:szCs w:val="19"/>
        </w:rPr>
        <w:t>’</w:t>
      </w:r>
      <w:r w:rsidR="00C13DDC">
        <w:rPr>
          <w:szCs w:val="19"/>
        </w:rPr>
        <w:t>s</w:t>
      </w:r>
      <w:r w:rsidRPr="001A3D2B">
        <w:rPr>
          <w:szCs w:val="19"/>
        </w:rPr>
        <w:t xml:space="preserve"> random-monkey model</w:t>
      </w:r>
      <w:r w:rsidRPr="001A3D2B">
        <w:t xml:space="preserve">. </w:t>
      </w:r>
      <w:r w:rsidRPr="001A3D2B">
        <w:rPr>
          <w:i/>
          <w:iCs/>
        </w:rPr>
        <w:t>American Journal</w:t>
      </w:r>
      <w:r w:rsidR="00427468">
        <w:rPr>
          <w:i/>
          <w:iCs/>
        </w:rPr>
        <w:t xml:space="preserve"> of </w:t>
      </w:r>
      <w:r w:rsidRPr="001A3D2B">
        <w:rPr>
          <w:i/>
          <w:iCs/>
        </w:rPr>
        <w:t>Psychology</w:t>
      </w:r>
      <w:r w:rsidRPr="001A3D2B">
        <w:t xml:space="preserve">, </w:t>
      </w:r>
      <w:r w:rsidRPr="001A3D2B">
        <w:rPr>
          <w:b/>
          <w:bCs/>
        </w:rPr>
        <w:t>81</w:t>
      </w:r>
      <w:r w:rsidRPr="001A3D2B">
        <w:t xml:space="preserve"> (2), </w:t>
      </w:r>
      <w:r w:rsidRPr="001A3D2B">
        <w:rPr>
          <w:szCs w:val="19"/>
        </w:rPr>
        <w:t>269-272</w:t>
      </w:r>
      <w:r w:rsidRPr="001A3D2B">
        <w:t>.</w:t>
      </w:r>
    </w:p>
    <w:p w:rsidR="0039485A" w:rsidRPr="00F219CA" w:rsidRDefault="0039485A" w:rsidP="0039485A">
      <w:pPr>
        <w:pStyle w:val="a3"/>
      </w:pPr>
      <w:r w:rsidRPr="00F219CA">
        <w:t xml:space="preserve">Full Text: </w:t>
      </w:r>
      <w:hyperlink r:id="rId615" w:history="1">
        <w:r w:rsidRPr="00F567F1">
          <w:rPr>
            <w:rStyle w:val="a5"/>
          </w:rPr>
          <w:t>1960-80\Ame J Psy81, 269.pdf</w:t>
        </w:r>
      </w:hyperlink>
    </w:p>
    <w:p w:rsidR="00D31B4C" w:rsidRDefault="00D31B4C" w:rsidP="00D31B4C">
      <w:pPr>
        <w:pStyle w:val="a3"/>
        <w:rPr>
          <w:kern w:val="0"/>
        </w:rPr>
      </w:pPr>
      <w:r>
        <w:rPr>
          <w:rFonts w:hint="eastAsia"/>
          <w:kern w:val="0"/>
        </w:rPr>
        <w:t xml:space="preserve">? </w:t>
      </w:r>
      <w:r>
        <w:rPr>
          <w:kern w:val="0"/>
        </w:rPr>
        <w:t xml:space="preserve">Mounts, J.R.W. (2012), From classic to current: A look back on attention research in </w:t>
      </w:r>
      <w:r w:rsidRPr="005E7DCC">
        <w:rPr>
          <w:i/>
          <w:kern w:val="0"/>
        </w:rPr>
        <w:t>the</w:t>
      </w:r>
      <w:r>
        <w:rPr>
          <w:kern w:val="0"/>
        </w:rPr>
        <w:t xml:space="preserve"> </w:t>
      </w:r>
      <w:r w:rsidRPr="006000AA">
        <w:rPr>
          <w:i/>
          <w:kern w:val="0"/>
        </w:rPr>
        <w:t>American Journal</w:t>
      </w:r>
      <w:r w:rsidR="00427468">
        <w:rPr>
          <w:i/>
          <w:kern w:val="0"/>
        </w:rPr>
        <w:t xml:space="preserve"> of </w:t>
      </w:r>
      <w:r w:rsidRPr="006000AA">
        <w:rPr>
          <w:i/>
          <w:kern w:val="0"/>
        </w:rPr>
        <w:t>Psychology</w:t>
      </w:r>
      <w:r>
        <w:rPr>
          <w:kern w:val="0"/>
        </w:rPr>
        <w:t xml:space="preserve">. </w:t>
      </w:r>
      <w:r>
        <w:rPr>
          <w:i/>
          <w:iCs/>
          <w:kern w:val="0"/>
        </w:rPr>
        <w:t>American Journal</w:t>
      </w:r>
      <w:r w:rsidR="00427468">
        <w:rPr>
          <w:i/>
          <w:iCs/>
          <w:kern w:val="0"/>
        </w:rPr>
        <w:t xml:space="preserve"> of </w:t>
      </w:r>
      <w:r>
        <w:rPr>
          <w:i/>
          <w:iCs/>
          <w:kern w:val="0"/>
        </w:rPr>
        <w:t>Psychology</w:t>
      </w:r>
      <w:r>
        <w:rPr>
          <w:kern w:val="0"/>
        </w:rPr>
        <w:t xml:space="preserve">, </w:t>
      </w:r>
      <w:r>
        <w:rPr>
          <w:b/>
          <w:bCs/>
          <w:kern w:val="0"/>
        </w:rPr>
        <w:t>125</w:t>
      </w:r>
      <w:r>
        <w:rPr>
          <w:kern w:val="0"/>
        </w:rPr>
        <w:t xml:space="preserve"> (4), 423-434.</w:t>
      </w:r>
    </w:p>
    <w:p w:rsidR="005E7DCC" w:rsidRPr="00F219CA" w:rsidRDefault="005E7DCC" w:rsidP="005E7DCC">
      <w:pPr>
        <w:pStyle w:val="a3"/>
      </w:pPr>
      <w:r w:rsidRPr="00F219CA">
        <w:t xml:space="preserve">Full Text: </w:t>
      </w:r>
      <w:hyperlink r:id="rId616" w:history="1">
        <w:r w:rsidRPr="00700FE6">
          <w:rPr>
            <w:rStyle w:val="a5"/>
          </w:rPr>
          <w:t>2012\Ame J Psy125, 423.pdf</w:t>
        </w:r>
      </w:hyperlink>
    </w:p>
    <w:p w:rsidR="00D31B4C" w:rsidRDefault="00D31B4C" w:rsidP="00D31B4C">
      <w:pPr>
        <w:pStyle w:val="a3"/>
        <w:rPr>
          <w:kern w:val="0"/>
        </w:rPr>
      </w:pPr>
      <w:r>
        <w:rPr>
          <w:kern w:val="0"/>
        </w:rPr>
        <w:t>Abstract: This review examines attention research appearing in The American Journal</w:t>
      </w:r>
      <w:r w:rsidR="00427468">
        <w:rPr>
          <w:kern w:val="0"/>
        </w:rPr>
        <w:t xml:space="preserve"> </w:t>
      </w:r>
      <w:r w:rsidR="00427468">
        <w:rPr>
          <w:kern w:val="0"/>
        </w:rPr>
        <w:lastRenderedPageBreak/>
        <w:t xml:space="preserve">of </w:t>
      </w:r>
      <w:r>
        <w:rPr>
          <w:kern w:val="0"/>
        </w:rPr>
        <w:t>Psychology over the journal</w:t>
      </w:r>
      <w:r w:rsidR="00700038">
        <w:rPr>
          <w:kern w:val="0"/>
        </w:rPr>
        <w:t>’</w:t>
      </w:r>
      <w:r>
        <w:rPr>
          <w:kern w:val="0"/>
        </w:rPr>
        <w:t>s rich 125-year history. In particular, the review examines studies focused on selective attention</w:t>
      </w:r>
      <w:r w:rsidR="00700038">
        <w:rPr>
          <w:kern w:val="0"/>
        </w:rPr>
        <w:t>’</w:t>
      </w:r>
      <w:r>
        <w:rPr>
          <w:kern w:val="0"/>
        </w:rPr>
        <w:t>s role in modulating the influence</w:t>
      </w:r>
      <w:r w:rsidR="00427468">
        <w:rPr>
          <w:kern w:val="0"/>
        </w:rPr>
        <w:t xml:space="preserve"> of </w:t>
      </w:r>
      <w:r>
        <w:rPr>
          <w:kern w:val="0"/>
        </w:rPr>
        <w:t>distraction</w:t>
      </w:r>
      <w:r w:rsidR="005853A9">
        <w:rPr>
          <w:kern w:val="0"/>
        </w:rPr>
        <w:t xml:space="preserve"> and </w:t>
      </w:r>
      <w:r>
        <w:rPr>
          <w:kern w:val="0"/>
        </w:rPr>
        <w:t>the methods used to capture the nature</w:t>
      </w:r>
      <w:r w:rsidR="00427468">
        <w:rPr>
          <w:kern w:val="0"/>
        </w:rPr>
        <w:t xml:space="preserve"> of </w:t>
      </w:r>
      <w:r>
        <w:rPr>
          <w:kern w:val="0"/>
        </w:rPr>
        <w:t>selective attention. Special attention is given to classic articles by Treisman (1964a, 1964b), Neisser (1963),</w:t>
      </w:r>
      <w:r w:rsidR="005853A9">
        <w:rPr>
          <w:kern w:val="0"/>
        </w:rPr>
        <w:t xml:space="preserve"> and </w:t>
      </w:r>
      <w:r>
        <w:rPr>
          <w:kern w:val="0"/>
        </w:rPr>
        <w:t>Eriksen</w:t>
      </w:r>
      <w:r w:rsidR="005853A9">
        <w:rPr>
          <w:kern w:val="0"/>
        </w:rPr>
        <w:t xml:space="preserve"> and </w:t>
      </w:r>
      <w:r>
        <w:rPr>
          <w:kern w:val="0"/>
        </w:rPr>
        <w:t>Rohrbaugh (1970), whose methods</w:t>
      </w:r>
      <w:r w:rsidR="005853A9">
        <w:rPr>
          <w:kern w:val="0"/>
        </w:rPr>
        <w:t xml:space="preserve"> and </w:t>
      </w:r>
      <w:r>
        <w:rPr>
          <w:kern w:val="0"/>
        </w:rPr>
        <w:t>results are examined in detail in light</w:t>
      </w:r>
      <w:r w:rsidR="00427468">
        <w:rPr>
          <w:kern w:val="0"/>
        </w:rPr>
        <w:t xml:space="preserve"> of </w:t>
      </w:r>
      <w:r>
        <w:rPr>
          <w:kern w:val="0"/>
        </w:rPr>
        <w:t>current theory</w:t>
      </w:r>
      <w:r w:rsidR="005853A9">
        <w:rPr>
          <w:kern w:val="0"/>
        </w:rPr>
        <w:t xml:space="preserve"> and </w:t>
      </w:r>
      <w:r>
        <w:rPr>
          <w:kern w:val="0"/>
        </w:rPr>
        <w:t>research in selective attention.</w:t>
      </w:r>
    </w:p>
    <w:p w:rsidR="00D31B4C" w:rsidRDefault="00D31B4C" w:rsidP="00D31B4C">
      <w:pPr>
        <w:pStyle w:val="a3"/>
        <w:rPr>
          <w:kern w:val="0"/>
        </w:rPr>
      </w:pPr>
      <w:r>
        <w:rPr>
          <w:kern w:val="0"/>
        </w:rPr>
        <w:t>Keywords: Asymmetries, Determinant, Efficiency, History, Intensity, Journal, Locus, Methods, Perceptual Load, Research, Review, Role, Selective Attention, Stimulus, Theory, Vision, Visual-Search</w:t>
      </w:r>
    </w:p>
    <w:p w:rsidR="003474F2" w:rsidRPr="001A3D2B" w:rsidRDefault="003474F2" w:rsidP="003474F2">
      <w:pPr>
        <w:pStyle w:val="1"/>
      </w:pPr>
      <w:r w:rsidRPr="001A3D2B">
        <w:br w:type="page"/>
      </w:r>
      <w:bookmarkStart w:id="325" w:name="_Toc420814426"/>
      <w:r w:rsidRPr="001A3D2B">
        <w:lastRenderedPageBreak/>
        <w:t>Title: American Journal</w:t>
      </w:r>
      <w:r w:rsidR="00427468">
        <w:t xml:space="preserve"> of </w:t>
      </w:r>
      <w:r w:rsidRPr="001A3D2B">
        <w:t xml:space="preserve">Public </w:t>
      </w:r>
      <w:bookmarkStart w:id="326" w:name="_Toc455569304"/>
      <w:bookmarkStart w:id="327" w:name="_Toc487190479"/>
      <w:bookmarkStart w:id="328" w:name="_Toc487881975"/>
      <w:bookmarkStart w:id="329" w:name="_Toc490687610"/>
      <w:bookmarkStart w:id="330" w:name="_Toc492777854"/>
      <w:bookmarkStart w:id="331" w:name="_Toc61945952"/>
      <w:bookmarkStart w:id="332" w:name="_Toc81215595"/>
      <w:r w:rsidRPr="001A3D2B">
        <w:t>Health</w:t>
      </w:r>
      <w:bookmarkEnd w:id="325"/>
    </w:p>
    <w:p w:rsidR="0060114A" w:rsidRPr="00F219CA" w:rsidRDefault="0060114A" w:rsidP="0060114A">
      <w:pPr>
        <w:pStyle w:val="12"/>
      </w:pPr>
      <w:r w:rsidRPr="00F219CA">
        <w:t xml:space="preserve">Full Journal Title: </w:t>
      </w:r>
      <w:r w:rsidRPr="0060114A">
        <w:t>American Jour</w:t>
      </w:r>
      <w:bookmarkEnd w:id="326"/>
      <w:bookmarkEnd w:id="327"/>
      <w:bookmarkEnd w:id="328"/>
      <w:bookmarkEnd w:id="329"/>
      <w:bookmarkEnd w:id="330"/>
      <w:bookmarkEnd w:id="331"/>
      <w:bookmarkEnd w:id="332"/>
      <w:r w:rsidRPr="0060114A">
        <w:t>nal</w:t>
      </w:r>
      <w:r w:rsidR="00427468">
        <w:t xml:space="preserve"> of </w:t>
      </w:r>
      <w:r w:rsidRPr="0060114A">
        <w:t>Public Health</w:t>
      </w:r>
    </w:p>
    <w:p w:rsidR="003474F2" w:rsidRPr="001A3D2B" w:rsidRDefault="003474F2" w:rsidP="003474F2">
      <w:pPr>
        <w:pStyle w:val="12"/>
      </w:pPr>
      <w:r w:rsidRPr="001A3D2B">
        <w:t>ISO Abbreviated Title: Am. J. Public Health</w:t>
      </w:r>
    </w:p>
    <w:p w:rsidR="003474F2" w:rsidRPr="001A3D2B" w:rsidRDefault="003474F2" w:rsidP="003474F2">
      <w:pPr>
        <w:pStyle w:val="12"/>
      </w:pPr>
      <w:r w:rsidRPr="001A3D2B">
        <w:t>JCR Abbreviated Title: Am J Public Health</w:t>
      </w:r>
    </w:p>
    <w:p w:rsidR="003474F2" w:rsidRPr="001A3D2B" w:rsidRDefault="003474F2" w:rsidP="003474F2">
      <w:pPr>
        <w:pStyle w:val="12"/>
      </w:pPr>
      <w:r w:rsidRPr="001A3D2B">
        <w:t>ISSN: 0090-0036</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Public Health Assoc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1015 Fifteenth St NW</w:t>
          </w:r>
        </w:smartTag>
        <w:r w:rsidRPr="001A3D2B">
          <w:t xml:space="preserve">, </w:t>
        </w:r>
        <w:smartTag w:uri="urn:schemas-microsoft-com:office:smarttags" w:element="City">
          <w:r w:rsidRPr="001A3D2B">
            <w:t>Washington</w:t>
          </w:r>
        </w:smartTag>
        <w:r w:rsidRPr="001A3D2B">
          <w:t xml:space="preserve">, </w:t>
        </w:r>
        <w:smartTag w:uri="urn:schemas-microsoft-com:office:smarttags" w:element="State">
          <w:r w:rsidRPr="001A3D2B">
            <w:t>DC</w:t>
          </w:r>
        </w:smartTag>
        <w:r w:rsidRPr="001A3D2B">
          <w:t xml:space="preserve"> </w:t>
        </w:r>
        <w:smartTag w:uri="urn:schemas-microsoft-com:office:smarttags" w:element="PostalCode">
          <w:r w:rsidRPr="001A3D2B">
            <w:t>20005</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Public, Environmental &amp; Occupational Health: Impact Factor, 3.015, 7/85 (1999)</w:t>
      </w:r>
    </w:p>
    <w:p w:rsidR="003474F2" w:rsidRPr="001A3D2B" w:rsidRDefault="003474F2" w:rsidP="003474F2">
      <w:pPr>
        <w:pStyle w:val="a3"/>
      </w:pPr>
      <w:r w:rsidRPr="001A3D2B">
        <w:t>? Eichorn, P.</w:t>
      </w:r>
      <w:r w:rsidR="005853A9">
        <w:t xml:space="preserve"> and </w:t>
      </w:r>
      <w:r w:rsidRPr="001A3D2B">
        <w:t>Yankauer, A. (1987), Do authors check their references: A survey</w:t>
      </w:r>
      <w:r w:rsidR="00427468">
        <w:t xml:space="preserve"> of </w:t>
      </w:r>
      <w:r w:rsidRPr="001A3D2B">
        <w:t>accuracy</w:t>
      </w:r>
      <w:r w:rsidR="00427468">
        <w:t xml:space="preserve"> of </w:t>
      </w:r>
      <w:r w:rsidRPr="001A3D2B">
        <w:t xml:space="preserve">references in 3 public-health journals. </w:t>
      </w:r>
      <w:r w:rsidRPr="001A3D2B">
        <w:rPr>
          <w:i/>
        </w:rPr>
        <w:t>American Journal</w:t>
      </w:r>
      <w:r w:rsidR="00427468">
        <w:rPr>
          <w:i/>
        </w:rPr>
        <w:t xml:space="preserve"> of </w:t>
      </w:r>
      <w:r w:rsidRPr="001A3D2B">
        <w:rPr>
          <w:i/>
        </w:rPr>
        <w:t>Public Health</w:t>
      </w:r>
      <w:r w:rsidRPr="001A3D2B">
        <w:t xml:space="preserve">, </w:t>
      </w:r>
      <w:r w:rsidRPr="001A3D2B">
        <w:rPr>
          <w:b/>
          <w:bCs/>
        </w:rPr>
        <w:t>77</w:t>
      </w:r>
      <w:r w:rsidRPr="001A3D2B">
        <w:t xml:space="preserve"> (8), 1011-1012.</w:t>
      </w:r>
    </w:p>
    <w:p w:rsidR="003474F2" w:rsidRPr="001A3D2B" w:rsidRDefault="003474F2" w:rsidP="003474F2">
      <w:pPr>
        <w:pStyle w:val="a3"/>
      </w:pPr>
      <w:r w:rsidRPr="001A3D2B">
        <w:t xml:space="preserve">Full Text: </w:t>
      </w:r>
      <w:hyperlink r:id="rId617" w:history="1">
        <w:r w:rsidRPr="001A3D2B">
          <w:rPr>
            <w:rStyle w:val="a5"/>
          </w:rPr>
          <w:t>1987\Ame J Pub Hea77, 1011.pdf</w:t>
        </w:r>
      </w:hyperlink>
    </w:p>
    <w:p w:rsidR="005A16F5" w:rsidRPr="00F219CA" w:rsidRDefault="005A16F5" w:rsidP="005A16F5">
      <w:pPr>
        <w:pStyle w:val="a3"/>
      </w:pPr>
      <w:r>
        <w:rPr>
          <w:rFonts w:hint="eastAsia"/>
        </w:rPr>
        <w:t>?</w:t>
      </w:r>
      <w:r w:rsidRPr="00D12987">
        <w:t xml:space="preserve"> </w:t>
      </w:r>
      <w:r>
        <w:t>Mackenzie, S</w:t>
      </w:r>
      <w:r>
        <w:rPr>
          <w:rFonts w:hint="eastAsia"/>
        </w:rPr>
        <w:t>.</w:t>
      </w:r>
      <w:r w:rsidRPr="00F219CA">
        <w:t xml:space="preserve"> (200</w:t>
      </w:r>
      <w:r>
        <w:rPr>
          <w:rFonts w:hint="eastAsia"/>
        </w:rPr>
        <w:t>0</w:t>
      </w:r>
      <w:r w:rsidRPr="00F219CA">
        <w:t xml:space="preserve">), </w:t>
      </w:r>
      <w:r>
        <w:t>Scientific silence: AIDS and African Americans in the medical literature</w:t>
      </w:r>
      <w:r w:rsidRPr="00F219CA">
        <w:t xml:space="preserve">. </w:t>
      </w:r>
      <w:r w:rsidRPr="00F219CA">
        <w:rPr>
          <w:i/>
        </w:rPr>
        <w:t>American Journal</w:t>
      </w:r>
      <w:r>
        <w:rPr>
          <w:i/>
        </w:rPr>
        <w:t xml:space="preserve"> of </w:t>
      </w:r>
      <w:r w:rsidRPr="00F219CA">
        <w:rPr>
          <w:i/>
        </w:rPr>
        <w:t>Public Health</w:t>
      </w:r>
      <w:r w:rsidRPr="00F219CA">
        <w:t xml:space="preserve">, </w:t>
      </w:r>
      <w:r w:rsidRPr="00F219CA">
        <w:rPr>
          <w:b/>
          <w:bCs/>
        </w:rPr>
        <w:t>9</w:t>
      </w:r>
      <w:r>
        <w:rPr>
          <w:rFonts w:hint="eastAsia"/>
          <w:b/>
          <w:bCs/>
        </w:rPr>
        <w:t>0</w:t>
      </w:r>
      <w:r w:rsidRPr="00F219CA">
        <w:t xml:space="preserve"> (</w:t>
      </w:r>
      <w:r>
        <w:rPr>
          <w:rFonts w:hint="eastAsia"/>
        </w:rPr>
        <w:t>7</w:t>
      </w:r>
      <w:r w:rsidRPr="00F219CA">
        <w:t xml:space="preserve">), </w:t>
      </w:r>
      <w:r>
        <w:t>1145-1146</w:t>
      </w:r>
      <w:r w:rsidRPr="00F219CA">
        <w:t>.</w:t>
      </w:r>
    </w:p>
    <w:p w:rsidR="005A16F5" w:rsidRDefault="005A16F5" w:rsidP="005A16F5">
      <w:pPr>
        <w:pStyle w:val="a3"/>
      </w:pPr>
      <w:r w:rsidRPr="00F219CA">
        <w:t xml:space="preserve">Full Text: </w:t>
      </w:r>
      <w:hyperlink r:id="rId618" w:history="1">
        <w:r w:rsidRPr="00D12987">
          <w:rPr>
            <w:rStyle w:val="a5"/>
          </w:rPr>
          <w:t>2000\Ame J Pub Hea90, 1145.pdf</w:t>
        </w:r>
      </w:hyperlink>
    </w:p>
    <w:p w:rsidR="003474F2" w:rsidRPr="001A3D2B" w:rsidRDefault="003474F2" w:rsidP="003474F2">
      <w:pPr>
        <w:pStyle w:val="a3"/>
      </w:pPr>
      <w:r w:rsidRPr="001A3D2B">
        <w:t>Almeida-Filho, N., Kawachi, I., Pellegrini, A.</w:t>
      </w:r>
      <w:r w:rsidR="005853A9">
        <w:t xml:space="preserve"> and </w:t>
      </w:r>
      <w:r w:rsidRPr="001A3D2B">
        <w:t>Dachs, J.N.W. (2003), Research on health inequalities in Latin America</w:t>
      </w:r>
      <w:r w:rsidR="005853A9">
        <w:t xml:space="preserve"> and </w:t>
      </w:r>
      <w:r w:rsidR="003A1917">
        <w:t xml:space="preserve">the </w:t>
      </w:r>
      <w:r w:rsidRPr="001A3D2B">
        <w:t>Caribbean: Bibliometric analysis (1971-2000)</w:t>
      </w:r>
      <w:r w:rsidR="005853A9">
        <w:t xml:space="preserve"> and </w:t>
      </w:r>
      <w:r w:rsidRPr="001A3D2B">
        <w:t xml:space="preserve">descriptive content analysis (1971-1995). </w:t>
      </w:r>
      <w:r w:rsidRPr="001A3D2B">
        <w:rPr>
          <w:i/>
        </w:rPr>
        <w:t>American Journal</w:t>
      </w:r>
      <w:r w:rsidR="00427468">
        <w:rPr>
          <w:i/>
        </w:rPr>
        <w:t xml:space="preserve"> of </w:t>
      </w:r>
      <w:r w:rsidRPr="001A3D2B">
        <w:rPr>
          <w:i/>
        </w:rPr>
        <w:t>Public Health</w:t>
      </w:r>
      <w:r w:rsidRPr="001A3D2B">
        <w:t xml:space="preserve">, </w:t>
      </w:r>
      <w:r w:rsidRPr="001A3D2B">
        <w:rPr>
          <w:b/>
          <w:bCs/>
        </w:rPr>
        <w:t>93</w:t>
      </w:r>
      <w:r w:rsidRPr="001A3D2B">
        <w:t xml:space="preserve"> (12), 2037-2043.</w:t>
      </w:r>
    </w:p>
    <w:p w:rsidR="003474F2" w:rsidRPr="001A3D2B" w:rsidRDefault="003474F2" w:rsidP="003474F2">
      <w:pPr>
        <w:pStyle w:val="a3"/>
      </w:pPr>
      <w:r w:rsidRPr="001A3D2B">
        <w:t xml:space="preserve">Full Text: </w:t>
      </w:r>
      <w:hyperlink r:id="rId619" w:history="1">
        <w:r w:rsidRPr="001A3D2B">
          <w:rPr>
            <w:rStyle w:val="a5"/>
          </w:rPr>
          <w:t>2003\Ame J Pub Hea93, 2037.pdf</w:t>
        </w:r>
      </w:hyperlink>
    </w:p>
    <w:p w:rsidR="003474F2" w:rsidRPr="001A3D2B" w:rsidRDefault="003474F2" w:rsidP="003474F2">
      <w:pPr>
        <w:pStyle w:val="a3"/>
      </w:pPr>
      <w:r w:rsidRPr="001A3D2B">
        <w:t>Abstract: We conducted a bibliometric</w:t>
      </w:r>
      <w:r w:rsidR="005853A9">
        <w:t xml:space="preserve"> and </w:t>
      </w:r>
      <w:r w:rsidRPr="001A3D2B">
        <w:t>content analysis</w:t>
      </w:r>
      <w:r w:rsidR="00427468">
        <w:t xml:space="preserve"> of </w:t>
      </w:r>
      <w:r w:rsidRPr="001A3D2B">
        <w:t>research on health inequalities produced in Latin American</w:t>
      </w:r>
      <w:r w:rsidR="005853A9">
        <w:t xml:space="preserve"> and </w:t>
      </w:r>
      <w:r w:rsidRPr="001A3D2B">
        <w:t>Caribbean countries. In our bibliometric analysis (n = 576), we used indexed material published between 1971</w:t>
      </w:r>
      <w:r w:rsidR="005853A9">
        <w:t xml:space="preserve"> and </w:t>
      </w:r>
      <w:r w:rsidRPr="001A3D2B">
        <w:t>2000</w:t>
      </w:r>
      <w:r w:rsidR="00A37C1D">
        <w:t>. The</w:t>
      </w:r>
      <w:r w:rsidR="003A1917">
        <w:t xml:space="preserve"> </w:t>
      </w:r>
      <w:r w:rsidRPr="001A3D2B">
        <w:t>content analysis (n = 269) covered</w:t>
      </w:r>
      <w:r w:rsidR="003A1917">
        <w:t xml:space="preserve"> the </w:t>
      </w:r>
      <w:r w:rsidRPr="001A3D2B">
        <w:t>period 1971 to 1995</w:t>
      </w:r>
      <w:r w:rsidR="005853A9">
        <w:t xml:space="preserve"> and </w:t>
      </w:r>
      <w:r w:rsidRPr="001A3D2B">
        <w:t>included unpublished material.</w:t>
      </w:r>
    </w:p>
    <w:p w:rsidR="003474F2" w:rsidRPr="001A3D2B" w:rsidRDefault="003474F2" w:rsidP="003474F2">
      <w:pPr>
        <w:pStyle w:val="a3"/>
      </w:pPr>
      <w:r w:rsidRPr="001A3D2B">
        <w:t xml:space="preserve">We found recent rapid growth in overall output. </w:t>
      </w:r>
      <w:smartTag w:uri="urn:schemas-microsoft-com:office:smarttags" w:element="country-region">
        <w:r w:rsidRPr="001A3D2B">
          <w:t>Brazil</w:t>
        </w:r>
      </w:smartTag>
      <w:r w:rsidRPr="001A3D2B">
        <w:t xml:space="preserve">, </w:t>
      </w:r>
      <w:smartTag w:uri="urn:schemas-microsoft-com:office:smarttags" w:element="country-region">
        <w:r w:rsidRPr="001A3D2B">
          <w:t>Chile</w:t>
        </w:r>
      </w:smartTag>
      <w:r w:rsidRPr="001A3D2B">
        <w:t>,</w:t>
      </w:r>
      <w:r w:rsidR="005853A9">
        <w:t xml:space="preserve"> and </w:t>
      </w:r>
      <w:r w:rsidRPr="001A3D2B">
        <w:t>Mexico contributed mostly empirical research, while Ecuador</w:t>
      </w:r>
      <w:r w:rsidR="005853A9">
        <w:t xml:space="preserve"> and </w:t>
      </w:r>
      <w:r w:rsidRPr="001A3D2B">
        <w:t>Argentina produced more conceptual studies.</w:t>
      </w:r>
    </w:p>
    <w:p w:rsidR="003474F2" w:rsidRPr="001A3D2B" w:rsidRDefault="003474F2" w:rsidP="003474F2">
      <w:pPr>
        <w:pStyle w:val="a3"/>
      </w:pPr>
      <w:r w:rsidRPr="001A3D2B">
        <w:t>We found, in</w:t>
      </w:r>
      <w:r w:rsidR="003A1917">
        <w:t xml:space="preserve"> the </w:t>
      </w:r>
      <w:r w:rsidRPr="001A3D2B">
        <w:t>literature reviewed, a relative neglect</w:t>
      </w:r>
      <w:r w:rsidR="00427468">
        <w:t xml:space="preserve"> of </w:t>
      </w:r>
      <w:r w:rsidRPr="001A3D2B">
        <w:t>gender, race,</w:t>
      </w:r>
      <w:r w:rsidR="005853A9">
        <w:t xml:space="preserve"> and </w:t>
      </w:r>
      <w:r w:rsidRPr="001A3D2B">
        <w:t>ethnicity issues. We also found remarkable diversity in research designs, however, along with strong consideration</w:t>
      </w:r>
      <w:r w:rsidR="00427468">
        <w:t xml:space="preserve"> of </w:t>
      </w:r>
      <w:r w:rsidRPr="001A3D2B">
        <w:t>ecological</w:t>
      </w:r>
      <w:r w:rsidR="005853A9">
        <w:t xml:space="preserve"> and </w:t>
      </w:r>
      <w:r w:rsidRPr="001A3D2B">
        <w:t>ethnographic methods absent in other research traditions.</w:t>
      </w:r>
    </w:p>
    <w:p w:rsidR="003474F2" w:rsidRPr="001A3D2B" w:rsidRDefault="003474F2" w:rsidP="003474F2">
      <w:pPr>
        <w:pStyle w:val="a3"/>
      </w:pPr>
      <w:r w:rsidRPr="001A3D2B">
        <w:t xml:space="preserve">Keywords: Social </w:t>
      </w:r>
      <w:smartTag w:uri="urn:schemas-microsoft-com:office:smarttags" w:element="place">
        <w:smartTag w:uri="urn:schemas-microsoft-com:office:smarttags" w:element="City">
          <w:r w:rsidRPr="001A3D2B">
            <w:t>Medicine</w:t>
          </w:r>
        </w:smartTag>
        <w:r w:rsidRPr="001A3D2B">
          <w:t xml:space="preserve">, </w:t>
        </w:r>
        <w:smartTag w:uri="urn:schemas-microsoft-com:office:smarttags" w:element="country-region">
          <w:r w:rsidRPr="001A3D2B">
            <w:t>Brazil</w:t>
          </w:r>
        </w:smartTag>
      </w:smartTag>
    </w:p>
    <w:p w:rsidR="003474F2" w:rsidRPr="001A3D2B" w:rsidRDefault="003474F2" w:rsidP="003474F2">
      <w:pPr>
        <w:pStyle w:val="a3"/>
      </w:pPr>
      <w:r w:rsidRPr="001A3D2B">
        <w:lastRenderedPageBreak/>
        <w:t>? Rock, M. (2005), Diabetes portrayals in north American print media: A qualitative</w:t>
      </w:r>
      <w:r w:rsidR="005853A9">
        <w:t xml:space="preserve"> and </w:t>
      </w:r>
      <w:r w:rsidRPr="001A3D2B">
        <w:t xml:space="preserve">quantitative analysis. </w:t>
      </w:r>
      <w:r w:rsidRPr="001A3D2B">
        <w:rPr>
          <w:i/>
        </w:rPr>
        <w:t>American Journal</w:t>
      </w:r>
      <w:r w:rsidR="00427468">
        <w:rPr>
          <w:i/>
        </w:rPr>
        <w:t xml:space="preserve"> of </w:t>
      </w:r>
      <w:r w:rsidRPr="001A3D2B">
        <w:rPr>
          <w:i/>
        </w:rPr>
        <w:t>Public Health</w:t>
      </w:r>
      <w:r w:rsidRPr="001A3D2B">
        <w:t xml:space="preserve">, </w:t>
      </w:r>
      <w:r w:rsidRPr="001A3D2B">
        <w:rPr>
          <w:b/>
        </w:rPr>
        <w:t>95</w:t>
      </w:r>
      <w:r w:rsidRPr="001A3D2B">
        <w:t xml:space="preserve"> (10), 1832-1838.</w:t>
      </w:r>
    </w:p>
    <w:p w:rsidR="003474F2" w:rsidRPr="001A3D2B" w:rsidRDefault="003474F2" w:rsidP="003474F2">
      <w:pPr>
        <w:pStyle w:val="a3"/>
      </w:pPr>
      <w:r w:rsidRPr="001A3D2B">
        <w:t xml:space="preserve">Full Text: </w:t>
      </w:r>
      <w:hyperlink r:id="rId620" w:history="1">
        <w:r w:rsidRPr="001A3D2B">
          <w:rPr>
            <w:rStyle w:val="a5"/>
          </w:rPr>
          <w:t>2005\Ame J Pub Hea95, 1832.pdf</w:t>
        </w:r>
      </w:hyperlink>
    </w:p>
    <w:p w:rsidR="003474F2" w:rsidRPr="001A3D2B" w:rsidRDefault="003474F2" w:rsidP="003474F2">
      <w:pPr>
        <w:pStyle w:val="a3"/>
      </w:pPr>
      <w:r w:rsidRPr="001A3D2B">
        <w:t>Abstract: Objectives. This study investigated how media coverage has portrayed diabetes as newsworthy. Methods</w:t>
      </w:r>
      <w:r w:rsidR="00A37C1D">
        <w:t>. The</w:t>
      </w:r>
      <w:r w:rsidR="003A1917">
        <w:t xml:space="preserve"> </w:t>
      </w:r>
      <w:r w:rsidRPr="001A3D2B">
        <w:t>quantitative component involved tabulating diabetes coverage in 2 major Canadian newspapers, 1988-2001</w:t>
      </w:r>
      <w:r w:rsidR="005853A9">
        <w:t xml:space="preserve"> and </w:t>
      </w:r>
      <w:r w:rsidRPr="001A3D2B">
        <w:t>1991-2001</w:t>
      </w:r>
      <w:r w:rsidR="00A37C1D">
        <w:t>. The</w:t>
      </w:r>
      <w:r w:rsidR="003A1917">
        <w:t xml:space="preserve"> </w:t>
      </w:r>
      <w:r w:rsidRPr="001A3D2B">
        <w:t>qualitative component focused on high-profile coverage in 2 major US magazines</w:t>
      </w:r>
      <w:r w:rsidR="005853A9">
        <w:t xml:space="preserve"> and </w:t>
      </w:r>
      <w:r w:rsidRPr="001A3D2B">
        <w:t>2 major Canadian newspapers, 1998-2000. Results. Although coverage did not consistently increase,</w:t>
      </w:r>
      <w:r w:rsidR="003A1917">
        <w:t xml:space="preserve"> the </w:t>
      </w:r>
      <w:r w:rsidRPr="001A3D2B">
        <w:t>quantitative results suggest an emphasis on linking diabetes with heart disease</w:t>
      </w:r>
      <w:r w:rsidR="005853A9">
        <w:t xml:space="preserve"> and </w:t>
      </w:r>
      <w:r w:rsidRPr="001A3D2B">
        <w:t>mortality to convey its seriousness</w:t>
      </w:r>
      <w:r w:rsidR="00A37C1D">
        <w:t>. The</w:t>
      </w:r>
      <w:r w:rsidR="003A1917">
        <w:t xml:space="preserve"> </w:t>
      </w:r>
      <w:r w:rsidRPr="001A3D2B">
        <w:t>qualitative component identified 3 main ways</w:t>
      </w:r>
      <w:r w:rsidR="00427468">
        <w:t xml:space="preserve"> of </w:t>
      </w:r>
      <w:r w:rsidRPr="001A3D2B">
        <w:t>portraying type 2 diabetes: as an insidious problem, as a problem associated with particular populations,</w:t>
      </w:r>
      <w:r w:rsidR="005853A9">
        <w:t xml:space="preserve"> and </w:t>
      </w:r>
      <w:r w:rsidRPr="001A3D2B">
        <w:t>as a medical problem. Conclusions. Overall,</w:t>
      </w:r>
      <w:r w:rsidR="003A1917">
        <w:t xml:space="preserve"> the </w:t>
      </w:r>
      <w:r w:rsidRPr="001A3D2B">
        <w:t>results suggest that when communicating with journalists, researchers</w:t>
      </w:r>
      <w:r w:rsidR="005853A9">
        <w:t xml:space="preserve"> and </w:t>
      </w:r>
      <w:r w:rsidRPr="001A3D2B">
        <w:t>advocates have stressed that diabetes maims</w:t>
      </w:r>
      <w:r w:rsidR="005853A9">
        <w:t xml:space="preserve"> and </w:t>
      </w:r>
      <w:r w:rsidRPr="001A3D2B">
        <w:t>kills. Yet even when media coverage acknowledged societal forces</w:t>
      </w:r>
      <w:r w:rsidR="005853A9">
        <w:t xml:space="preserve"> and </w:t>
      </w:r>
      <w:r w:rsidRPr="001A3D2B">
        <w:t>circumstances as causes,</w:t>
      </w:r>
      <w:r w:rsidR="003A1917">
        <w:t xml:space="preserve"> the </w:t>
      </w:r>
      <w:r w:rsidRPr="001A3D2B">
        <w:t>proposed remedies did not always include or stress modifications to social contexts. Neither</w:t>
      </w:r>
      <w:r w:rsidR="003A1917">
        <w:t xml:space="preserve"> the </w:t>
      </w:r>
      <w:r w:rsidRPr="001A3D2B">
        <w:t>societal causes</w:t>
      </w:r>
      <w:r w:rsidR="00427468">
        <w:t xml:space="preserve"> of </w:t>
      </w:r>
      <w:r w:rsidRPr="001A3D2B">
        <w:t>public health problems nor possible societal remedies automatically received attention from researchers or from journalists. Skilled advocacy is needed to put societal causes</w:t>
      </w:r>
      <w:r w:rsidR="005853A9">
        <w:t xml:space="preserve"> and </w:t>
      </w:r>
      <w:r w:rsidRPr="001A3D2B">
        <w:t>solutions on public agendas.</w:t>
      </w:r>
    </w:p>
    <w:p w:rsidR="003474F2" w:rsidRPr="001A3D2B" w:rsidRDefault="003474F2" w:rsidP="003474F2">
      <w:pPr>
        <w:pStyle w:val="a3"/>
      </w:pPr>
      <w:r w:rsidRPr="001A3D2B">
        <w:t>Keywords: Advocacy, Analysis, Coverage, Diabetes, Health, Heart, Journalists, Media, Medical, Mortality, Populations, Public, Public Health, Qualitative, Quantitative Analysis, Social, Solutions, Stress, Type 2 Diabetes, US</w:t>
      </w:r>
    </w:p>
    <w:p w:rsidR="00D13B9B" w:rsidRDefault="00D13B9B" w:rsidP="00D13B9B">
      <w:pPr>
        <w:pStyle w:val="a3"/>
        <w:rPr>
          <w:kern w:val="0"/>
        </w:rPr>
      </w:pPr>
      <w:r>
        <w:rPr>
          <w:rFonts w:hint="eastAsia"/>
          <w:kern w:val="0"/>
        </w:rPr>
        <w:t xml:space="preserve">? </w:t>
      </w:r>
      <w:r>
        <w:rPr>
          <w:kern w:val="0"/>
        </w:rPr>
        <w:t>Kulkarni, S.P., Shah, K.R., Sarma, K.V. and Mahajan, A.P. (2013), Clinical uncertainties, health service challenges, and ethical complexities</w:t>
      </w:r>
      <w:r w:rsidR="00427468">
        <w:rPr>
          <w:kern w:val="0"/>
        </w:rPr>
        <w:t xml:space="preserve"> of </w:t>
      </w:r>
      <w:r>
        <w:rPr>
          <w:kern w:val="0"/>
        </w:rPr>
        <w:t xml:space="preserve">HIV “test-and-treat”: A systematic review. </w:t>
      </w:r>
      <w:r>
        <w:rPr>
          <w:i/>
          <w:iCs/>
          <w:kern w:val="0"/>
        </w:rPr>
        <w:t>American Journal</w:t>
      </w:r>
      <w:r w:rsidR="00427468">
        <w:rPr>
          <w:i/>
          <w:iCs/>
          <w:kern w:val="0"/>
        </w:rPr>
        <w:t xml:space="preserve"> of </w:t>
      </w:r>
      <w:r>
        <w:rPr>
          <w:i/>
          <w:iCs/>
          <w:kern w:val="0"/>
        </w:rPr>
        <w:t>Public Health</w:t>
      </w:r>
      <w:r>
        <w:rPr>
          <w:kern w:val="0"/>
        </w:rPr>
        <w:t xml:space="preserve">, </w:t>
      </w:r>
      <w:r>
        <w:rPr>
          <w:b/>
          <w:bCs/>
          <w:kern w:val="0"/>
        </w:rPr>
        <w:t>103</w:t>
      </w:r>
      <w:r>
        <w:rPr>
          <w:kern w:val="0"/>
        </w:rPr>
        <w:t xml:space="preserve"> (6), E14-E23.</w:t>
      </w:r>
    </w:p>
    <w:p w:rsidR="00D13B9B" w:rsidRPr="00F219CA" w:rsidRDefault="00D13B9B" w:rsidP="00D13B9B">
      <w:pPr>
        <w:pStyle w:val="a3"/>
      </w:pPr>
      <w:r w:rsidRPr="00F219CA">
        <w:t xml:space="preserve">Full Text: </w:t>
      </w:r>
      <w:hyperlink r:id="rId621" w:history="1">
        <w:r w:rsidRPr="00D13B9B">
          <w:rPr>
            <w:rStyle w:val="a5"/>
          </w:rPr>
          <w:t>2013\Ame J Pub Hea103, E14.pdf</w:t>
        </w:r>
      </w:hyperlink>
    </w:p>
    <w:p w:rsidR="00D13B9B" w:rsidRDefault="00D13B9B" w:rsidP="00D13B9B">
      <w:pPr>
        <w:pStyle w:val="a3"/>
        <w:rPr>
          <w:kern w:val="0"/>
        </w:rPr>
      </w:pPr>
      <w:r>
        <w:rPr>
          <w:kern w:val="0"/>
        </w:rPr>
        <w:t>Abstract: Despite the HIV “test-and-treat” strategy</w:t>
      </w:r>
      <w:r w:rsidR="00700038">
        <w:rPr>
          <w:kern w:val="0"/>
        </w:rPr>
        <w:t>’</w:t>
      </w:r>
      <w:r>
        <w:rPr>
          <w:kern w:val="0"/>
        </w:rPr>
        <w:t>s promise, questions about its clinical rationale, operational feasibility, and ethical appropriateness have led to vigorous debate in the global HIV community. We performed a systematic review</w:t>
      </w:r>
      <w:r w:rsidR="00427468">
        <w:rPr>
          <w:kern w:val="0"/>
        </w:rPr>
        <w:t xml:space="preserve"> of </w:t>
      </w:r>
      <w:r>
        <w:rPr>
          <w:kern w:val="0"/>
        </w:rPr>
        <w:t>the literature published between January 2009 and May 2012 using PubMed, SCOPUS, Global Health, Web</w:t>
      </w:r>
      <w:r w:rsidR="00427468">
        <w:rPr>
          <w:kern w:val="0"/>
        </w:rPr>
        <w:t xml:space="preserve"> of </w:t>
      </w:r>
      <w:r>
        <w:rPr>
          <w:kern w:val="0"/>
        </w:rPr>
        <w:t>Science, BIOSIS, Cochrane CENTRAL, EBSCO Africa-Wide Information, and EBSCO CINAHL Plus databases to summarize clinical uncertainties, health service challenges, and ethical complexities that may affect the test-and-treat strategy</w:t>
      </w:r>
      <w:r w:rsidR="00700038">
        <w:rPr>
          <w:kern w:val="0"/>
        </w:rPr>
        <w:t>’</w:t>
      </w:r>
      <w:r>
        <w:rPr>
          <w:kern w:val="0"/>
        </w:rPr>
        <w:t>s success. A thoughtful approach to research and implementation to address clinical and health service questions and meaningful community engagement regarding ethical complexities may bring us closer to safe, feasible, and effective test-and-treat implementation.</w:t>
      </w:r>
    </w:p>
    <w:p w:rsidR="00D13B9B" w:rsidRDefault="00D13B9B" w:rsidP="00D13B9B">
      <w:pPr>
        <w:pStyle w:val="a3"/>
        <w:rPr>
          <w:kern w:val="0"/>
        </w:rPr>
      </w:pPr>
      <w:r>
        <w:rPr>
          <w:kern w:val="0"/>
        </w:rPr>
        <w:t xml:space="preserve">Keywords: Active Antiretroviral Treatment, Approach, Clinical, Community, Databases, </w:t>
      </w:r>
      <w:r>
        <w:rPr>
          <w:kern w:val="0"/>
        </w:rPr>
        <w:lastRenderedPageBreak/>
        <w:t>Drug-Users, Engagement, Ethical, Feasibility, Global, Health, HIV, HPTN 052, Implementation, Information, Literature, Preserving Human-Rights, Public-Health, Pubmed, Research, Review, Riskier Routes, Science, Scopus, Service, Sub-Saharan Africa, Systematic Review, Treatment Strategies, Treatment-As-Prevention, Uncertainties, Viral Load, Web</w:t>
      </w:r>
      <w:r w:rsidR="00427468">
        <w:rPr>
          <w:kern w:val="0"/>
        </w:rPr>
        <w:t xml:space="preserve"> of </w:t>
      </w:r>
      <w:r>
        <w:rPr>
          <w:kern w:val="0"/>
        </w:rPr>
        <w:t>Science</w:t>
      </w:r>
    </w:p>
    <w:p w:rsidR="00445DA2" w:rsidRDefault="00445DA2" w:rsidP="00445DA2">
      <w:pPr>
        <w:pStyle w:val="a3"/>
        <w:rPr>
          <w:kern w:val="0"/>
        </w:rPr>
      </w:pPr>
      <w:r>
        <w:rPr>
          <w:rFonts w:hint="eastAsia"/>
          <w:kern w:val="0"/>
        </w:rPr>
        <w:t xml:space="preserve">? </w:t>
      </w:r>
      <w:r>
        <w:rPr>
          <w:kern w:val="0"/>
        </w:rPr>
        <w:t xml:space="preserve">George, S., Duran, N. and Norris, K. (2014), A systematic review of barriers and facilitators to minority research participation among African Americans, Latinos, Asian Americans, and pacific islanders. </w:t>
      </w:r>
      <w:r>
        <w:rPr>
          <w:i/>
          <w:iCs/>
          <w:kern w:val="0"/>
        </w:rPr>
        <w:t>American Journal of Public Health</w:t>
      </w:r>
      <w:r>
        <w:rPr>
          <w:kern w:val="0"/>
        </w:rPr>
        <w:t xml:space="preserve">, </w:t>
      </w:r>
      <w:r>
        <w:rPr>
          <w:b/>
          <w:bCs/>
          <w:kern w:val="0"/>
        </w:rPr>
        <w:t>104</w:t>
      </w:r>
      <w:r>
        <w:rPr>
          <w:kern w:val="0"/>
        </w:rPr>
        <w:t xml:space="preserve"> (2), E16-E31.</w:t>
      </w:r>
    </w:p>
    <w:p w:rsidR="00445DA2" w:rsidRPr="00F219CA" w:rsidRDefault="00445DA2" w:rsidP="00445DA2">
      <w:pPr>
        <w:pStyle w:val="a3"/>
      </w:pPr>
      <w:r w:rsidRPr="00F219CA">
        <w:t xml:space="preserve">Full Text: </w:t>
      </w:r>
      <w:hyperlink r:id="rId622" w:history="1">
        <w:r w:rsidRPr="00445DA2">
          <w:rPr>
            <w:rStyle w:val="a5"/>
          </w:rPr>
          <w:t>2014\Ame J Pub Hea104, E16.pdf</w:t>
        </w:r>
      </w:hyperlink>
    </w:p>
    <w:p w:rsidR="00445DA2" w:rsidRDefault="00445DA2" w:rsidP="00445DA2">
      <w:pPr>
        <w:pStyle w:val="a3"/>
        <w:rPr>
          <w:kern w:val="0"/>
        </w:rPr>
      </w:pPr>
      <w:r>
        <w:rPr>
          <w:kern w:val="0"/>
        </w:rPr>
        <w:t>Abstract: To assess the experienced or perceived barriers and facilitators to health research participation for major US racial/ethnic minority populations, we conducted a systematic review of qualitative and quantitative studies from a search on PubMed and Web of Science from January 2000 to December 2011. With 44 articles included in the review, we found distinct and shared barriers and facilitators. Despite different expressions of mistrust, all groups represented in these studies were willing to participate for altruistic reasons embedded in cultural and community priorities. Greater comparative understanding of barriers and facilitators to racial/ethnic minorities’ research participation can improve population-specific recruitment and retention strategies and could better inform future large-scale prospective quantitative and in-depth ethnographic studies.</w:t>
      </w:r>
    </w:p>
    <w:p w:rsidR="00445DA2" w:rsidRDefault="00445DA2" w:rsidP="00445DA2">
      <w:pPr>
        <w:pStyle w:val="a3"/>
        <w:rPr>
          <w:kern w:val="0"/>
        </w:rPr>
      </w:pPr>
      <w:r>
        <w:rPr>
          <w:kern w:val="0"/>
        </w:rPr>
        <w:t>Keywords: African Americans, African-Americans, Articles, Asian, Barriers, Breast-Cancer, Cancer Clinical-Trials, Community, Cultural, Cultural Competence, Facilitators, Groups, Health, Health Research, Health-Care, Informed-Consent, Latinos, Medical-Research, Minorities, Participation, Populations, Prospective, Pubmed, Qualitative, Quantitative Studies, Racial, Ethnic Groups, Recruitment, Research, Retention, Review, Science, Socioeconomic-Status, Systematic, Systematic Review, Tuskegee Syphilis, Underrepresented Populations, Understanding, Us, Web Of Science</w:t>
      </w:r>
    </w:p>
    <w:p w:rsidR="008F1AE9" w:rsidRPr="001A3D2B" w:rsidRDefault="008F1AE9" w:rsidP="008F1AE9">
      <w:pPr>
        <w:pStyle w:val="1"/>
      </w:pPr>
      <w:r w:rsidRPr="001A3D2B">
        <w:br w:type="page"/>
      </w:r>
      <w:bookmarkStart w:id="333" w:name="_Toc420814427"/>
      <w:r w:rsidRPr="001A3D2B">
        <w:lastRenderedPageBreak/>
        <w:t xml:space="preserve">Title: </w:t>
      </w:r>
      <w:r w:rsidRPr="008F1AE9">
        <w:t>American Journal of Reproductive Immunology</w:t>
      </w:r>
      <w:bookmarkEnd w:id="333"/>
    </w:p>
    <w:p w:rsidR="008F1AE9" w:rsidRPr="001A3D2B" w:rsidRDefault="008F1AE9" w:rsidP="008F1AE9">
      <w:pPr>
        <w:pStyle w:val="12"/>
      </w:pPr>
      <w:r w:rsidRPr="001A3D2B">
        <w:t xml:space="preserve">Full Journal Title: </w:t>
      </w:r>
      <w:r w:rsidRPr="008F1AE9">
        <w:rPr>
          <w:iCs/>
          <w:kern w:val="0"/>
        </w:rPr>
        <w:t>American Journal of Reproductive Immunology</w:t>
      </w:r>
    </w:p>
    <w:p w:rsidR="008F1AE9" w:rsidRPr="001A3D2B" w:rsidRDefault="008F1AE9" w:rsidP="008F1AE9">
      <w:pPr>
        <w:pStyle w:val="12"/>
      </w:pPr>
      <w:r w:rsidRPr="001A3D2B">
        <w:t xml:space="preserve">ISO Abbreviated Title: </w:t>
      </w:r>
    </w:p>
    <w:p w:rsidR="008F1AE9" w:rsidRPr="001A3D2B" w:rsidRDefault="008F1AE9" w:rsidP="008F1AE9">
      <w:pPr>
        <w:pStyle w:val="12"/>
      </w:pPr>
      <w:r w:rsidRPr="001A3D2B">
        <w:t xml:space="preserve">JCR Abbreviated Title: </w:t>
      </w:r>
    </w:p>
    <w:p w:rsidR="008F1AE9" w:rsidRPr="001A3D2B" w:rsidRDefault="008F1AE9" w:rsidP="008F1AE9">
      <w:pPr>
        <w:pStyle w:val="12"/>
      </w:pPr>
      <w:r>
        <w:t xml:space="preserve">ISSN: </w:t>
      </w:r>
    </w:p>
    <w:p w:rsidR="008F1AE9" w:rsidRPr="001A3D2B" w:rsidRDefault="008F1AE9" w:rsidP="008F1AE9">
      <w:pPr>
        <w:pStyle w:val="12"/>
      </w:pPr>
      <w:r w:rsidRPr="001A3D2B">
        <w:t xml:space="preserve">Issues/Year: </w:t>
      </w:r>
    </w:p>
    <w:p w:rsidR="008F1AE9" w:rsidRPr="001A3D2B" w:rsidRDefault="008F1AE9" w:rsidP="008F1AE9">
      <w:pPr>
        <w:pStyle w:val="12"/>
      </w:pPr>
      <w:r w:rsidRPr="001A3D2B">
        <w:t xml:space="preserve">Journal Country/Territory: </w:t>
      </w:r>
    </w:p>
    <w:p w:rsidR="008F1AE9" w:rsidRPr="001A3D2B" w:rsidRDefault="008F1AE9" w:rsidP="008F1AE9">
      <w:pPr>
        <w:pStyle w:val="12"/>
      </w:pPr>
      <w:r w:rsidRPr="001A3D2B">
        <w:t xml:space="preserve">Language: </w:t>
      </w:r>
    </w:p>
    <w:p w:rsidR="008F1AE9" w:rsidRPr="001A3D2B" w:rsidRDefault="008F1AE9" w:rsidP="008F1AE9">
      <w:pPr>
        <w:pStyle w:val="12"/>
      </w:pPr>
      <w:r w:rsidRPr="001A3D2B">
        <w:t xml:space="preserve">Publisher: </w:t>
      </w:r>
    </w:p>
    <w:p w:rsidR="008F1AE9" w:rsidRPr="001A3D2B" w:rsidRDefault="008F1AE9" w:rsidP="008F1AE9">
      <w:pPr>
        <w:pStyle w:val="12"/>
      </w:pPr>
      <w:r w:rsidRPr="001A3D2B">
        <w:t xml:space="preserve">Publisher Address: </w:t>
      </w:r>
    </w:p>
    <w:p w:rsidR="008F1AE9" w:rsidRPr="001A3D2B" w:rsidRDefault="008F1AE9" w:rsidP="008F1AE9">
      <w:pPr>
        <w:pStyle w:val="12"/>
      </w:pPr>
      <w:r w:rsidRPr="001A3D2B">
        <w:t xml:space="preserve">Subject Categories: </w:t>
      </w:r>
    </w:p>
    <w:p w:rsidR="008F1AE9" w:rsidRPr="001A3D2B" w:rsidRDefault="008F1AE9" w:rsidP="008F1AE9">
      <w:pPr>
        <w:pStyle w:val="12"/>
      </w:pPr>
      <w:r w:rsidRPr="001A3D2B">
        <w:t xml:space="preserve">: Impact Factor </w:t>
      </w:r>
    </w:p>
    <w:p w:rsidR="008F1AE9" w:rsidRDefault="008F1AE9" w:rsidP="008F1AE9">
      <w:pPr>
        <w:pStyle w:val="a3"/>
        <w:rPr>
          <w:kern w:val="0"/>
        </w:rPr>
      </w:pPr>
      <w:r>
        <w:rPr>
          <w:rFonts w:hint="eastAsia"/>
          <w:kern w:val="0"/>
        </w:rPr>
        <w:t xml:space="preserve">? </w:t>
      </w:r>
      <w:r>
        <w:rPr>
          <w:kern w:val="0"/>
        </w:rPr>
        <w:t xml:space="preserve">Yang, Y., Su, X.W., Xu, W.M. and Zhou, R. (2014), Interleukin-18 and interferon gamma levels in preeclampsia: A systematic review and meta-analysis. </w:t>
      </w:r>
      <w:r w:rsidRPr="008F1AE9">
        <w:rPr>
          <w:i/>
          <w:iCs/>
          <w:kern w:val="0"/>
        </w:rPr>
        <w:t>American Journal of Reproductive Immunology</w:t>
      </w:r>
      <w:r>
        <w:rPr>
          <w:kern w:val="0"/>
        </w:rPr>
        <w:t xml:space="preserve">, </w:t>
      </w:r>
      <w:r>
        <w:rPr>
          <w:b/>
          <w:bCs/>
          <w:kern w:val="0"/>
        </w:rPr>
        <w:t>72</w:t>
      </w:r>
      <w:r>
        <w:rPr>
          <w:kern w:val="0"/>
        </w:rPr>
        <w:t xml:space="preserve"> (5), 504-514.</w:t>
      </w:r>
    </w:p>
    <w:p w:rsidR="008F1AE9" w:rsidRPr="00F219CA" w:rsidRDefault="008F1AE9" w:rsidP="008F1AE9">
      <w:pPr>
        <w:pStyle w:val="a3"/>
      </w:pPr>
      <w:r w:rsidRPr="00F219CA">
        <w:t xml:space="preserve">Full Text: </w:t>
      </w:r>
      <w:hyperlink r:id="rId623" w:history="1">
        <w:r w:rsidRPr="008F1AE9">
          <w:rPr>
            <w:rStyle w:val="a5"/>
          </w:rPr>
          <w:t>2014\Ame J Rep Imm72, 504.pdf</w:t>
        </w:r>
      </w:hyperlink>
    </w:p>
    <w:p w:rsidR="008F1AE9" w:rsidRDefault="008F1AE9" w:rsidP="008F1AE9">
      <w:pPr>
        <w:pStyle w:val="a3"/>
        <w:rPr>
          <w:kern w:val="0"/>
        </w:rPr>
      </w:pPr>
      <w:r>
        <w:rPr>
          <w:kern w:val="0"/>
        </w:rPr>
        <w:t>Abstract: ProblemThis systematic review and meta-analysis aimed to investigate the relationship between preeclampsia (PE) and circulating interleukin-18 (IL-18) and interferon gamma (IFN-). Method of studyThree electronic databases (PubMed, EMBASE, and Web of Science) were searched. ResultsEleven studies with 947 participants reporting IL-18 and 16 studies with 2230 subjects reporting IFN- were included. There was no significant difference in the IL-18 levels in PE patients compared with controls. However, IFN- was found to be significantly higher in women with PE than that in normotensive pregnant women (standardized mean difference=0.93; 95% confident interval: 0.07, 1.79). Furthermore, stratification by specimen type, quality score, method of estimation of mean and standard deviation, and whether sampling not in labor/premature rupture of membrane/infection also showed significant differences in standardized mean difference of IL-18, as well as IFN-. ConclusionThis meta-analysis suggests that circulating higher IFN- levels may be associated with preeclampsia.</w:t>
      </w:r>
    </w:p>
    <w:p w:rsidR="008F1AE9" w:rsidRDefault="008F1AE9" w:rsidP="008F1AE9">
      <w:pPr>
        <w:pStyle w:val="a3"/>
        <w:rPr>
          <w:kern w:val="0"/>
        </w:rPr>
      </w:pPr>
      <w:r>
        <w:rPr>
          <w:kern w:val="0"/>
        </w:rPr>
        <w:t>Keywords: Biomarkers, Blood Specimen Collection, Cytokine Secretion, Databases, Embase, Gamma, Human-Pregnancy, Ifn-, Ifn-Gamma, Il-18, Inflammation, Interferon, Interferon-Gamma, Interleukin-18, Interval, Meta Analysis, Meta-Analysis, Metaanalysis, NK Cells, Nov, Patients, Peripheral-Blood, Plasma, Preeclampsia, Pregnant, Pregnant Women, Pubmed, Quality, Reporting, Review, Rupture, Sampling, Science, Serum, Standard, Stratification, Systematic, Systematic Review, Th1, Web Of Science, Women</w:t>
      </w:r>
    </w:p>
    <w:p w:rsidR="003474F2" w:rsidRPr="001A3D2B" w:rsidRDefault="003474F2" w:rsidP="003474F2">
      <w:pPr>
        <w:pStyle w:val="1"/>
      </w:pPr>
      <w:r w:rsidRPr="001A3D2B">
        <w:br w:type="page"/>
      </w:r>
      <w:bookmarkStart w:id="334" w:name="_Toc420814428"/>
      <w:r w:rsidRPr="001A3D2B">
        <w:lastRenderedPageBreak/>
        <w:t>Title: American Journal</w:t>
      </w:r>
      <w:r w:rsidR="00427468">
        <w:t xml:space="preserve"> of </w:t>
      </w:r>
      <w:r w:rsidRPr="001A3D2B">
        <w:t>Respiratory</w:t>
      </w:r>
      <w:r w:rsidR="005853A9">
        <w:t xml:space="preserve"> and </w:t>
      </w:r>
      <w:r w:rsidRPr="001A3D2B">
        <w:t>Critical Care Medicine</w:t>
      </w:r>
      <w:bookmarkEnd w:id="334"/>
    </w:p>
    <w:p w:rsidR="003474F2" w:rsidRPr="001A3D2B" w:rsidRDefault="003474F2" w:rsidP="003474F2">
      <w:pPr>
        <w:pStyle w:val="12"/>
      </w:pPr>
      <w:r w:rsidRPr="001A3D2B">
        <w:t xml:space="preserve">Full Journal Title: </w:t>
      </w:r>
      <w:hyperlink r:id="rId624" w:history="1">
        <w:r w:rsidRPr="001A3D2B">
          <w:rPr>
            <w:rStyle w:val="a5"/>
          </w:rPr>
          <w:t>American Journal</w:t>
        </w:r>
        <w:r w:rsidR="00427468">
          <w:rPr>
            <w:rStyle w:val="a5"/>
          </w:rPr>
          <w:t xml:space="preserve"> of </w:t>
        </w:r>
        <w:r w:rsidRPr="001A3D2B">
          <w:rPr>
            <w:rStyle w:val="a5"/>
          </w:rPr>
          <w:t>Respiratory</w:t>
        </w:r>
        <w:r w:rsidR="005853A9">
          <w:rPr>
            <w:rStyle w:val="a5"/>
          </w:rPr>
          <w:t xml:space="preserve"> and </w:t>
        </w:r>
        <w:r w:rsidRPr="001A3D2B">
          <w:rPr>
            <w:rStyle w:val="a5"/>
          </w:rPr>
          <w:t>Critical Care Medicine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1073-449X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Hoppin, Jr., F.G. (2002), How I review an original scientific article? </w:t>
      </w:r>
      <w:r w:rsidRPr="001A3D2B">
        <w:rPr>
          <w:i/>
        </w:rPr>
        <w:t>American Journal</w:t>
      </w:r>
      <w:r w:rsidR="00427468">
        <w:rPr>
          <w:i/>
        </w:rPr>
        <w:t xml:space="preserve"> of </w:t>
      </w:r>
      <w:r w:rsidRPr="001A3D2B">
        <w:rPr>
          <w:i/>
        </w:rPr>
        <w:t>Respiratory</w:t>
      </w:r>
      <w:r w:rsidR="005853A9">
        <w:rPr>
          <w:i/>
        </w:rPr>
        <w:t xml:space="preserve"> and </w:t>
      </w:r>
      <w:r w:rsidRPr="001A3D2B">
        <w:rPr>
          <w:i/>
        </w:rPr>
        <w:t>Critical Care Medicine</w:t>
      </w:r>
      <w:r w:rsidRPr="001A3D2B">
        <w:t xml:space="preserve">, </w:t>
      </w:r>
      <w:r w:rsidRPr="001A3D2B">
        <w:rPr>
          <w:b/>
        </w:rPr>
        <w:t>166</w:t>
      </w:r>
      <w:r w:rsidRPr="001A3D2B">
        <w:rPr>
          <w:bCs/>
        </w:rPr>
        <w:t xml:space="preserve"> (8)</w:t>
      </w:r>
      <w:r w:rsidRPr="001A3D2B">
        <w:t>, 1019-1023.</w:t>
      </w:r>
    </w:p>
    <w:p w:rsidR="003474F2" w:rsidRPr="001A3D2B" w:rsidRDefault="003474F2" w:rsidP="003474F2">
      <w:pPr>
        <w:pStyle w:val="a3"/>
      </w:pPr>
      <w:r w:rsidRPr="001A3D2B">
        <w:t xml:space="preserve">Full Text: </w:t>
      </w:r>
      <w:hyperlink r:id="rId625" w:history="1">
        <w:r w:rsidRPr="001A3D2B">
          <w:rPr>
            <w:rStyle w:val="a5"/>
          </w:rPr>
          <w:t>2002\Ame J Res Cri Car Med166, 1019.pdf</w:t>
        </w:r>
      </w:hyperlink>
    </w:p>
    <w:p w:rsidR="003474F2" w:rsidRPr="001A3D2B" w:rsidRDefault="003474F2" w:rsidP="003474F2">
      <w:pPr>
        <w:pStyle w:val="a3"/>
      </w:pPr>
      <w:r w:rsidRPr="001A3D2B">
        <w:t>Keywords: Peer, Quality</w:t>
      </w:r>
    </w:p>
    <w:p w:rsidR="003474F2" w:rsidRPr="001A3D2B" w:rsidRDefault="003474F2" w:rsidP="003474F2">
      <w:pPr>
        <w:pStyle w:val="a3"/>
      </w:pPr>
      <w:r w:rsidRPr="001A3D2B">
        <w:t>? Tobin, M.J. (2004), Thirty years</w:t>
      </w:r>
      <w:r w:rsidR="00427468">
        <w:t xml:space="preserve"> of </w:t>
      </w:r>
      <w:r w:rsidRPr="001A3D2B">
        <w:t>impact factor</w:t>
      </w:r>
      <w:r w:rsidR="005853A9">
        <w:t xml:space="preserve"> and </w:t>
      </w:r>
      <w:r w:rsidR="003A1917">
        <w:t xml:space="preserve">the </w:t>
      </w:r>
      <w:r w:rsidRPr="001A3D2B">
        <w:t xml:space="preserve">journal. </w:t>
      </w:r>
      <w:r w:rsidRPr="001A3D2B">
        <w:rPr>
          <w:i/>
        </w:rPr>
        <w:t>American Journal</w:t>
      </w:r>
      <w:r w:rsidR="00427468">
        <w:rPr>
          <w:i/>
        </w:rPr>
        <w:t xml:space="preserve"> of </w:t>
      </w:r>
      <w:r w:rsidRPr="001A3D2B">
        <w:rPr>
          <w:i/>
        </w:rPr>
        <w:t>Respiratory</w:t>
      </w:r>
      <w:r w:rsidR="005853A9">
        <w:rPr>
          <w:i/>
        </w:rPr>
        <w:t xml:space="preserve"> and </w:t>
      </w:r>
      <w:r w:rsidRPr="001A3D2B">
        <w:rPr>
          <w:i/>
        </w:rPr>
        <w:t>Critical Care Medicine</w:t>
      </w:r>
      <w:r w:rsidRPr="001A3D2B">
        <w:t xml:space="preserve">, </w:t>
      </w:r>
      <w:r w:rsidRPr="001A3D2B">
        <w:rPr>
          <w:b/>
        </w:rPr>
        <w:t>170</w:t>
      </w:r>
      <w:r w:rsidRPr="001A3D2B">
        <w:t xml:space="preserve"> (4), 351-352.</w:t>
      </w:r>
    </w:p>
    <w:p w:rsidR="003474F2" w:rsidRPr="001A3D2B" w:rsidRDefault="003474F2" w:rsidP="003474F2">
      <w:pPr>
        <w:pStyle w:val="a3"/>
      </w:pPr>
      <w:r w:rsidRPr="001A3D2B">
        <w:t xml:space="preserve">Full Text: </w:t>
      </w:r>
      <w:hyperlink r:id="rId626" w:history="1">
        <w:r w:rsidRPr="001A3D2B">
          <w:rPr>
            <w:rStyle w:val="a5"/>
          </w:rPr>
          <w:t>2004\Ame J Res Cri Car Med170, 351.pdf</w:t>
        </w:r>
      </w:hyperlink>
    </w:p>
    <w:p w:rsidR="003474F2" w:rsidRPr="001A3D2B" w:rsidRDefault="003474F2" w:rsidP="003474F2">
      <w:pPr>
        <w:pStyle w:val="a3"/>
      </w:pPr>
      <w:r w:rsidRPr="001A3D2B">
        <w:t>Keywords: Impact, Impact Factor</w:t>
      </w:r>
    </w:p>
    <w:p w:rsidR="00830BC0" w:rsidRPr="00F219CA" w:rsidRDefault="00830BC0" w:rsidP="00830BC0">
      <w:pPr>
        <w:pStyle w:val="1"/>
      </w:pPr>
      <w:r w:rsidRPr="00F219CA">
        <w:br w:type="page"/>
      </w:r>
      <w:bookmarkStart w:id="335" w:name="_Toc420814429"/>
      <w:r w:rsidRPr="00F219CA">
        <w:lastRenderedPageBreak/>
        <w:t xml:space="preserve">Title: </w:t>
      </w:r>
      <w:r w:rsidRPr="00273264">
        <w:rPr>
          <w:iCs w:val="0"/>
        </w:rPr>
        <w:t>American Journal</w:t>
      </w:r>
      <w:r w:rsidR="00427468">
        <w:rPr>
          <w:iCs w:val="0"/>
        </w:rPr>
        <w:t xml:space="preserve"> of </w:t>
      </w:r>
      <w:r w:rsidRPr="00273264">
        <w:rPr>
          <w:iCs w:val="0"/>
        </w:rPr>
        <w:t>Rhinology</w:t>
      </w:r>
      <w:bookmarkEnd w:id="335"/>
    </w:p>
    <w:p w:rsidR="00830BC0" w:rsidRDefault="00830BC0" w:rsidP="00830BC0">
      <w:pPr>
        <w:pStyle w:val="12"/>
      </w:pPr>
      <w:r w:rsidRPr="00F219CA">
        <w:t xml:space="preserve">Full Journal Title: </w:t>
      </w:r>
      <w:r w:rsidRPr="00273264">
        <w:rPr>
          <w:iCs/>
          <w:kern w:val="0"/>
        </w:rPr>
        <w:t>American Journal</w:t>
      </w:r>
      <w:r w:rsidR="00427468">
        <w:rPr>
          <w:iCs/>
          <w:kern w:val="0"/>
        </w:rPr>
        <w:t xml:space="preserve"> of </w:t>
      </w:r>
      <w:r w:rsidRPr="00273264">
        <w:rPr>
          <w:iCs/>
          <w:kern w:val="0"/>
        </w:rPr>
        <w:t>Rhinology</w:t>
      </w:r>
    </w:p>
    <w:p w:rsidR="00830BC0" w:rsidRPr="00F219CA" w:rsidRDefault="00830BC0" w:rsidP="00830BC0">
      <w:pPr>
        <w:pStyle w:val="12"/>
      </w:pPr>
      <w:r w:rsidRPr="00F219CA">
        <w:t xml:space="preserve">ISO Abbreviated Title: </w:t>
      </w:r>
    </w:p>
    <w:p w:rsidR="00830BC0" w:rsidRPr="00F219CA" w:rsidRDefault="00830BC0" w:rsidP="00830BC0">
      <w:pPr>
        <w:pStyle w:val="12"/>
      </w:pPr>
      <w:r w:rsidRPr="00F219CA">
        <w:t xml:space="preserve">JCR Abbreviated Title: </w:t>
      </w:r>
    </w:p>
    <w:p w:rsidR="00830BC0" w:rsidRPr="00F219CA" w:rsidRDefault="00830BC0" w:rsidP="00830BC0">
      <w:pPr>
        <w:pStyle w:val="12"/>
      </w:pPr>
      <w:r>
        <w:t xml:space="preserve">ISSN: </w:t>
      </w:r>
    </w:p>
    <w:p w:rsidR="00830BC0" w:rsidRPr="00F219CA" w:rsidRDefault="00830BC0" w:rsidP="00830BC0">
      <w:pPr>
        <w:pStyle w:val="12"/>
      </w:pPr>
      <w:r w:rsidRPr="00F219CA">
        <w:t xml:space="preserve">Issues/Year: </w:t>
      </w:r>
    </w:p>
    <w:p w:rsidR="00830BC0" w:rsidRPr="00F219CA" w:rsidRDefault="00830BC0" w:rsidP="00830BC0">
      <w:pPr>
        <w:pStyle w:val="12"/>
      </w:pPr>
      <w:r w:rsidRPr="00F219CA">
        <w:t xml:space="preserve">Journal Country/Territory: </w:t>
      </w:r>
    </w:p>
    <w:p w:rsidR="00830BC0" w:rsidRPr="00F219CA" w:rsidRDefault="00830BC0" w:rsidP="00830BC0">
      <w:pPr>
        <w:pStyle w:val="12"/>
      </w:pPr>
      <w:r w:rsidRPr="00F219CA">
        <w:t xml:space="preserve">Language: </w:t>
      </w:r>
    </w:p>
    <w:p w:rsidR="00830BC0" w:rsidRPr="00F219CA" w:rsidRDefault="00830BC0" w:rsidP="00830BC0">
      <w:pPr>
        <w:pStyle w:val="12"/>
      </w:pPr>
      <w:r w:rsidRPr="00F219CA">
        <w:t xml:space="preserve">Publisher: </w:t>
      </w:r>
    </w:p>
    <w:p w:rsidR="00830BC0" w:rsidRPr="00F219CA" w:rsidRDefault="00830BC0" w:rsidP="00830BC0">
      <w:pPr>
        <w:pStyle w:val="12"/>
      </w:pPr>
      <w:r w:rsidRPr="00F219CA">
        <w:t xml:space="preserve">Publisher Address: </w:t>
      </w:r>
    </w:p>
    <w:p w:rsidR="00830BC0" w:rsidRPr="00F219CA" w:rsidRDefault="00830BC0" w:rsidP="00830BC0">
      <w:pPr>
        <w:pStyle w:val="12"/>
      </w:pPr>
      <w:r w:rsidRPr="00F219CA">
        <w:t xml:space="preserve">Subject Categories: </w:t>
      </w:r>
    </w:p>
    <w:p w:rsidR="00830BC0" w:rsidRPr="00F219CA" w:rsidRDefault="00830BC0" w:rsidP="00830BC0">
      <w:pPr>
        <w:pStyle w:val="12"/>
      </w:pPr>
      <w:r w:rsidRPr="00F219CA">
        <w:t xml:space="preserve">: Impact Factor </w:t>
      </w:r>
    </w:p>
    <w:p w:rsidR="00830BC0" w:rsidRDefault="00830BC0" w:rsidP="00830BC0">
      <w:pPr>
        <w:pStyle w:val="a3"/>
        <w:rPr>
          <w:kern w:val="0"/>
        </w:rPr>
      </w:pPr>
      <w:r>
        <w:rPr>
          <w:rFonts w:hint="eastAsia"/>
          <w:kern w:val="0"/>
        </w:rPr>
        <w:t xml:space="preserve">? </w:t>
      </w:r>
      <w:r>
        <w:rPr>
          <w:kern w:val="0"/>
        </w:rPr>
        <w:t>Dalziel, K., Stein, K., Round, A., Garside, R.</w:t>
      </w:r>
      <w:r w:rsidR="005853A9">
        <w:rPr>
          <w:kern w:val="0"/>
        </w:rPr>
        <w:t xml:space="preserve"> and </w:t>
      </w:r>
      <w:r>
        <w:rPr>
          <w:kern w:val="0"/>
        </w:rPr>
        <w:t>Royle, P. (2006), Endoscopic sinus surgery for</w:t>
      </w:r>
      <w:r w:rsidR="003A1917">
        <w:rPr>
          <w:kern w:val="0"/>
        </w:rPr>
        <w:t xml:space="preserve"> the </w:t>
      </w:r>
      <w:r>
        <w:rPr>
          <w:kern w:val="0"/>
        </w:rPr>
        <w:t>excision</w:t>
      </w:r>
      <w:r w:rsidR="00427468">
        <w:rPr>
          <w:kern w:val="0"/>
        </w:rPr>
        <w:t xml:space="preserve"> of </w:t>
      </w:r>
      <w:r>
        <w:rPr>
          <w:kern w:val="0"/>
        </w:rPr>
        <w:t>nasal polyps: A systematic review</w:t>
      </w:r>
      <w:r w:rsidR="00427468">
        <w:rPr>
          <w:kern w:val="0"/>
        </w:rPr>
        <w:t xml:space="preserve"> of </w:t>
      </w:r>
      <w:r>
        <w:rPr>
          <w:kern w:val="0"/>
        </w:rPr>
        <w:t>safety</w:t>
      </w:r>
      <w:r w:rsidR="005853A9">
        <w:rPr>
          <w:kern w:val="0"/>
        </w:rPr>
        <w:t xml:space="preserve"> and </w:t>
      </w:r>
      <w:r>
        <w:rPr>
          <w:kern w:val="0"/>
        </w:rPr>
        <w:t xml:space="preserve">effectiveness. </w:t>
      </w:r>
      <w:r w:rsidRPr="00273264">
        <w:rPr>
          <w:i/>
          <w:iCs/>
          <w:kern w:val="0"/>
        </w:rPr>
        <w:t>American Journal</w:t>
      </w:r>
      <w:r w:rsidR="00427468">
        <w:rPr>
          <w:i/>
          <w:iCs/>
          <w:kern w:val="0"/>
        </w:rPr>
        <w:t xml:space="preserve"> of </w:t>
      </w:r>
      <w:r w:rsidRPr="00273264">
        <w:rPr>
          <w:i/>
          <w:iCs/>
          <w:kern w:val="0"/>
        </w:rPr>
        <w:t>Rhinology</w:t>
      </w:r>
      <w:r>
        <w:rPr>
          <w:kern w:val="0"/>
        </w:rPr>
        <w:t xml:space="preserve">, </w:t>
      </w:r>
      <w:r>
        <w:rPr>
          <w:b/>
          <w:bCs/>
          <w:kern w:val="0"/>
        </w:rPr>
        <w:t>20</w:t>
      </w:r>
      <w:r>
        <w:rPr>
          <w:kern w:val="0"/>
        </w:rPr>
        <w:t xml:space="preserve"> (5), 506-519.</w:t>
      </w:r>
    </w:p>
    <w:p w:rsidR="00830BC0" w:rsidRDefault="00830BC0" w:rsidP="00830BC0">
      <w:pPr>
        <w:pStyle w:val="a3"/>
        <w:rPr>
          <w:kern w:val="0"/>
        </w:rPr>
      </w:pPr>
      <w:r>
        <w:rPr>
          <w:kern w:val="0"/>
        </w:rPr>
        <w:t>Abstract: Background: Functional endoscopic sinus surgery (FESS) has been used for &gt; 20 years for</w:t>
      </w:r>
      <w:r w:rsidR="003A1917">
        <w:rPr>
          <w:kern w:val="0"/>
        </w:rPr>
        <w:t xml:space="preserve"> the </w:t>
      </w:r>
      <w:r>
        <w:rPr>
          <w:kern w:val="0"/>
        </w:rPr>
        <w:t>management</w:t>
      </w:r>
      <w:r w:rsidR="00427468">
        <w:rPr>
          <w:kern w:val="0"/>
        </w:rPr>
        <w:t xml:space="preserve"> of </w:t>
      </w:r>
      <w:r>
        <w:rPr>
          <w:kern w:val="0"/>
        </w:rPr>
        <w:t>sinus disease including</w:t>
      </w:r>
      <w:r w:rsidR="003A1917">
        <w:rPr>
          <w:kern w:val="0"/>
        </w:rPr>
        <w:t xml:space="preserve"> the </w:t>
      </w:r>
      <w:r>
        <w:rPr>
          <w:kern w:val="0"/>
        </w:rPr>
        <w:t>excision</w:t>
      </w:r>
      <w:r w:rsidR="00427468">
        <w:rPr>
          <w:kern w:val="0"/>
        </w:rPr>
        <w:t xml:space="preserve"> of </w:t>
      </w:r>
      <w:r>
        <w:rPr>
          <w:kern w:val="0"/>
        </w:rPr>
        <w:t>nasal polyps. Our objective was to perform a systematic review</w:t>
      </w:r>
      <w:r w:rsidR="00427468">
        <w:rPr>
          <w:kern w:val="0"/>
        </w:rPr>
        <w:t xml:space="preserve"> of </w:t>
      </w:r>
      <w:r>
        <w:rPr>
          <w:kern w:val="0"/>
        </w:rPr>
        <w:t>safety</w:t>
      </w:r>
      <w:r w:rsidR="005853A9">
        <w:rPr>
          <w:kern w:val="0"/>
        </w:rPr>
        <w:t xml:space="preserve"> and </w:t>
      </w:r>
      <w:r>
        <w:rPr>
          <w:kern w:val="0"/>
        </w:rPr>
        <w:t>effectiveness</w:t>
      </w:r>
      <w:r w:rsidR="00427468">
        <w:rPr>
          <w:kern w:val="0"/>
        </w:rPr>
        <w:t xml:space="preserve"> of </w:t>
      </w:r>
      <w:r>
        <w:rPr>
          <w:kern w:val="0"/>
        </w:rPr>
        <w:t>FESS for</w:t>
      </w:r>
      <w:r w:rsidR="003A1917">
        <w:rPr>
          <w:kern w:val="0"/>
        </w:rPr>
        <w:t xml:space="preserve"> the </w:t>
      </w:r>
      <w:r>
        <w:rPr>
          <w:kern w:val="0"/>
        </w:rPr>
        <w:t>removal</w:t>
      </w:r>
      <w:r w:rsidR="00427468">
        <w:rPr>
          <w:kern w:val="0"/>
        </w:rPr>
        <w:t xml:space="preserve"> of </w:t>
      </w:r>
      <w:r>
        <w:rPr>
          <w:kern w:val="0"/>
        </w:rPr>
        <w:t>nasal polyps. Methods:</w:t>
      </w:r>
      <w:r w:rsidR="003A1917">
        <w:rPr>
          <w:kern w:val="0"/>
        </w:rPr>
        <w:t xml:space="preserve"> the </w:t>
      </w:r>
      <w:r>
        <w:rPr>
          <w:kern w:val="0"/>
        </w:rPr>
        <w:t xml:space="preserve">Cochrane Library, </w:t>
      </w:r>
      <w:r w:rsidR="00D5664A">
        <w:rPr>
          <w:kern w:val="0"/>
        </w:rPr>
        <w:t>MEDLINE</w:t>
      </w:r>
      <w:r>
        <w:rPr>
          <w:kern w:val="0"/>
        </w:rPr>
        <w:t>, Embase, Science Citation Index, other databases,</w:t>
      </w:r>
      <w:r w:rsidR="005853A9">
        <w:rPr>
          <w:kern w:val="0"/>
        </w:rPr>
        <w:t xml:space="preserve"> and </w:t>
      </w:r>
      <w:r>
        <w:rPr>
          <w:kern w:val="0"/>
        </w:rPr>
        <w:t>websites were searched in January</w:t>
      </w:r>
      <w:r w:rsidR="005853A9">
        <w:rPr>
          <w:kern w:val="0"/>
        </w:rPr>
        <w:t xml:space="preserve"> and </w:t>
      </w:r>
      <w:r>
        <w:rPr>
          <w:kern w:val="0"/>
        </w:rPr>
        <w:t>December 2005 using key words for nasal polyps</w:t>
      </w:r>
      <w:r w:rsidR="005853A9">
        <w:rPr>
          <w:kern w:val="0"/>
        </w:rPr>
        <w:t xml:space="preserve"> and </w:t>
      </w:r>
      <w:r>
        <w:rPr>
          <w:kern w:val="0"/>
        </w:rPr>
        <w:t>endoscopic surgery. All randomized controlled trials, nonrandomized comparative studies,</w:t>
      </w:r>
      <w:r w:rsidR="005853A9">
        <w:rPr>
          <w:kern w:val="0"/>
        </w:rPr>
        <w:t xml:space="preserve"> and </w:t>
      </w:r>
      <w:r>
        <w:rPr>
          <w:kern w:val="0"/>
        </w:rPr>
        <w:t>case series studies that described outcomes associated with FESS for</w:t>
      </w:r>
      <w:r w:rsidR="003A1917">
        <w:rPr>
          <w:kern w:val="0"/>
        </w:rPr>
        <w:t xml:space="preserve"> the </w:t>
      </w:r>
      <w:r>
        <w:rPr>
          <w:kern w:val="0"/>
        </w:rPr>
        <w:t>excision</w:t>
      </w:r>
      <w:r w:rsidR="00427468">
        <w:rPr>
          <w:kern w:val="0"/>
        </w:rPr>
        <w:t xml:space="preserve"> of </w:t>
      </w:r>
      <w:r>
        <w:rPr>
          <w:kern w:val="0"/>
        </w:rPr>
        <w:t>nasal polyps were included. Forty-two publications were included from</w:t>
      </w:r>
      <w:r w:rsidR="003A1917">
        <w:rPr>
          <w:kern w:val="0"/>
        </w:rPr>
        <w:t xml:space="preserve"> the </w:t>
      </w:r>
      <w:r>
        <w:rPr>
          <w:kern w:val="0"/>
        </w:rPr>
        <w:t>632 (6.6%) articles initially identified. Two reviewers assessed validity</w:t>
      </w:r>
      <w:r w:rsidR="00427468">
        <w:rPr>
          <w:kern w:val="0"/>
        </w:rPr>
        <w:t xml:space="preserve"> of </w:t>
      </w:r>
      <w:r>
        <w:rPr>
          <w:kern w:val="0"/>
        </w:rPr>
        <w:t>included,studies</w:t>
      </w:r>
      <w:r w:rsidR="005853A9">
        <w:rPr>
          <w:kern w:val="0"/>
        </w:rPr>
        <w:t xml:space="preserve"> and </w:t>
      </w:r>
      <w:r>
        <w:rPr>
          <w:kern w:val="0"/>
        </w:rPr>
        <w:t>extracted relevant data. Results: Three randomized controlled trials, 4 nonrandomized comparative studies,</w:t>
      </w:r>
      <w:r w:rsidR="005853A9">
        <w:rPr>
          <w:kern w:val="0"/>
        </w:rPr>
        <w:t xml:space="preserve"> and </w:t>
      </w:r>
      <w:r>
        <w:rPr>
          <w:kern w:val="0"/>
        </w:rPr>
        <w:t>35 case series studies were included in</w:t>
      </w:r>
      <w:r w:rsidR="003A1917">
        <w:rPr>
          <w:kern w:val="0"/>
        </w:rPr>
        <w:t xml:space="preserve"> the </w:t>
      </w:r>
      <w:r>
        <w:rPr>
          <w:kern w:val="0"/>
        </w:rPr>
        <w:t>review. FESS was compared with endoscopic polypectomy, Caldwell-Luc, radical nasalization,</w:t>
      </w:r>
      <w:r w:rsidR="005853A9">
        <w:rPr>
          <w:kern w:val="0"/>
        </w:rPr>
        <w:t xml:space="preserve"> and </w:t>
      </w:r>
      <w:r>
        <w:rPr>
          <w:kern w:val="0"/>
        </w:rPr>
        <w:t>intranasal ethmoidectomy. In general, studies were</w:t>
      </w:r>
      <w:r w:rsidR="00427468">
        <w:rPr>
          <w:kern w:val="0"/>
        </w:rPr>
        <w:t xml:space="preserve"> of </w:t>
      </w:r>
      <w:r>
        <w:rPr>
          <w:kern w:val="0"/>
        </w:rPr>
        <w:t>poor quality</w:t>
      </w:r>
      <w:r w:rsidR="005853A9">
        <w:rPr>
          <w:kern w:val="0"/>
        </w:rPr>
        <w:t xml:space="preserve"> and </w:t>
      </w:r>
      <w:r>
        <w:rPr>
          <w:kern w:val="0"/>
        </w:rPr>
        <w:t>lacked description</w:t>
      </w:r>
      <w:r w:rsidR="00427468">
        <w:rPr>
          <w:kern w:val="0"/>
        </w:rPr>
        <w:t xml:space="preserve"> of </w:t>
      </w:r>
      <w:r>
        <w:rPr>
          <w:kern w:val="0"/>
        </w:rPr>
        <w:t>important variables influencing surgical outcome. Overall complications for FESS from case series studies ranged from 0.3 to 22.4% (median, 7.0%). Major complications ranged from 0 to 1.5% (median, 0%)</w:t>
      </w:r>
      <w:r w:rsidR="005853A9">
        <w:rPr>
          <w:kern w:val="0"/>
        </w:rPr>
        <w:t xml:space="preserve"> and </w:t>
      </w:r>
      <w:r>
        <w:rPr>
          <w:kern w:val="0"/>
        </w:rPr>
        <w:t>minor complications ranged from 1.1 to 20.8% (median, 7.5%)</w:t>
      </w:r>
      <w:r w:rsidR="00A37C1D">
        <w:rPr>
          <w:kern w:val="0"/>
        </w:rPr>
        <w:t>. The</w:t>
      </w:r>
      <w:r w:rsidR="003A1917">
        <w:rPr>
          <w:kern w:val="0"/>
        </w:rPr>
        <w:t xml:space="preserve"> </w:t>
      </w:r>
      <w:r>
        <w:rPr>
          <w:kern w:val="0"/>
        </w:rPr>
        <w:t>potentially most serious complications were cerebrospinal fluid leaks, injury to</w:t>
      </w:r>
      <w:r w:rsidR="003A1917">
        <w:rPr>
          <w:kern w:val="0"/>
        </w:rPr>
        <w:t xml:space="preserve"> the </w:t>
      </w:r>
      <w:r>
        <w:rPr>
          <w:kern w:val="0"/>
        </w:rPr>
        <w:t>internal carotid artery, dural exposure, meningitis, bleeding requiring transfusion, periorbital/orbital fat exposure,</w:t>
      </w:r>
      <w:r w:rsidR="005853A9">
        <w:rPr>
          <w:kern w:val="0"/>
        </w:rPr>
        <w:t xml:space="preserve"> and </w:t>
      </w:r>
      <w:r>
        <w:rPr>
          <w:kern w:val="0"/>
        </w:rPr>
        <w:t xml:space="preserve">orbital penetration. Symptomatic improvement ranged from 78 to 88% for FESS compared with 43 to 84% for comparative </w:t>
      </w:r>
      <w:r>
        <w:rPr>
          <w:kern w:val="0"/>
        </w:rPr>
        <w:lastRenderedPageBreak/>
        <w:t>procedures. From case series, symptomatic improvement ranged from 40 to 98% (median, 88%). Conclusion: FESS may offer some advantages in safety</w:t>
      </w:r>
      <w:r w:rsidR="005853A9">
        <w:rPr>
          <w:kern w:val="0"/>
        </w:rPr>
        <w:t xml:space="preserve"> and </w:t>
      </w:r>
      <w:r>
        <w:rPr>
          <w:kern w:val="0"/>
        </w:rPr>
        <w:t>effectiveness over comparative techniques, but wide variation in reported results</w:t>
      </w:r>
      <w:r w:rsidR="005853A9">
        <w:rPr>
          <w:kern w:val="0"/>
        </w:rPr>
        <w:t xml:space="preserve"> and </w:t>
      </w:r>
      <w:r>
        <w:rPr>
          <w:kern w:val="0"/>
        </w:rPr>
        <w:t>methodological shortcomings</w:t>
      </w:r>
      <w:r w:rsidR="00427468">
        <w:rPr>
          <w:kern w:val="0"/>
        </w:rPr>
        <w:t xml:space="preserve"> of </w:t>
      </w:r>
      <w:r>
        <w:rPr>
          <w:kern w:val="0"/>
        </w:rPr>
        <w:t>studies limit</w:t>
      </w:r>
      <w:r w:rsidR="003A1917">
        <w:rPr>
          <w:kern w:val="0"/>
        </w:rPr>
        <w:t xml:space="preserve"> the </w:t>
      </w:r>
      <w:r>
        <w:rPr>
          <w:kern w:val="0"/>
        </w:rPr>
        <w:t>certainty</w:t>
      </w:r>
      <w:r w:rsidR="00427468">
        <w:rPr>
          <w:kern w:val="0"/>
        </w:rPr>
        <w:t xml:space="preserve"> of </w:t>
      </w:r>
      <w:r>
        <w:rPr>
          <w:kern w:val="0"/>
        </w:rPr>
        <w:t>these conclusions. Wide variation in complication rates suggests</w:t>
      </w:r>
      <w:r w:rsidR="003A1917">
        <w:rPr>
          <w:kern w:val="0"/>
        </w:rPr>
        <w:t xml:space="preserve"> the </w:t>
      </w:r>
      <w:r>
        <w:rPr>
          <w:kern w:val="0"/>
        </w:rPr>
        <w:t>need for audit</w:t>
      </w:r>
      <w:r w:rsidR="00427468">
        <w:rPr>
          <w:kern w:val="0"/>
        </w:rPr>
        <w:t xml:space="preserve"> of </w:t>
      </w:r>
      <w:r>
        <w:rPr>
          <w:kern w:val="0"/>
        </w:rPr>
        <w:t>existing practice. Additional high-quality studies with a fuller description</w:t>
      </w:r>
      <w:r w:rsidR="00427468">
        <w:rPr>
          <w:kern w:val="0"/>
        </w:rPr>
        <w:t xml:space="preserve"> of </w:t>
      </w:r>
      <w:r>
        <w:rPr>
          <w:kern w:val="0"/>
        </w:rPr>
        <w:t>potential confounding factors</w:t>
      </w:r>
      <w:r w:rsidR="005853A9">
        <w:rPr>
          <w:kern w:val="0"/>
        </w:rPr>
        <w:t xml:space="preserve"> and </w:t>
      </w:r>
      <w:r>
        <w:rPr>
          <w:kern w:val="0"/>
        </w:rPr>
        <w:t>effect modifiers will help to define</w:t>
      </w:r>
      <w:r w:rsidR="003A1917">
        <w:rPr>
          <w:kern w:val="0"/>
        </w:rPr>
        <w:t xml:space="preserve"> the </w:t>
      </w:r>
      <w:r>
        <w:rPr>
          <w:kern w:val="0"/>
        </w:rPr>
        <w:t>effectiveness</w:t>
      </w:r>
      <w:r w:rsidR="00427468">
        <w:rPr>
          <w:kern w:val="0"/>
        </w:rPr>
        <w:t xml:space="preserve"> of </w:t>
      </w:r>
      <w:r>
        <w:rPr>
          <w:kern w:val="0"/>
        </w:rPr>
        <w:t>FESS more clearly.</w:t>
      </w:r>
    </w:p>
    <w:p w:rsidR="00830BC0" w:rsidRDefault="00830BC0" w:rsidP="00830BC0">
      <w:pPr>
        <w:pStyle w:val="a3"/>
        <w:rPr>
          <w:kern w:val="0"/>
        </w:rPr>
      </w:pPr>
      <w:r>
        <w:rPr>
          <w:kern w:val="0"/>
        </w:rPr>
        <w:t>Keywords: Articles, Case Series, Chronic Rhinosinusitis, Citation, Complications, Databases, Diffuse, Effectiveness, Follow</w:t>
      </w:r>
      <w:r w:rsidR="0062028A">
        <w:rPr>
          <w:kern w:val="0"/>
        </w:rPr>
        <w:t>-up,</w:t>
      </w:r>
      <w:r>
        <w:rPr>
          <w:kern w:val="0"/>
        </w:rPr>
        <w:t xml:space="preserve"> Intranasal Ethmoidectomy, Management, </w:t>
      </w:r>
      <w:r w:rsidR="00D5664A">
        <w:rPr>
          <w:kern w:val="0"/>
        </w:rPr>
        <w:t>MEDLINE</w:t>
      </w:r>
      <w:r>
        <w:rPr>
          <w:kern w:val="0"/>
        </w:rPr>
        <w:t>, Mucosa, Operation, Outcomes, Publications, Rates, Removal, Review, Science, Science Citation Index, Surgery, Systematic Review, Techniques, Validity</w:t>
      </w:r>
    </w:p>
    <w:p w:rsidR="00935D80" w:rsidRPr="00F219CA" w:rsidRDefault="00935D80" w:rsidP="00935D80">
      <w:pPr>
        <w:pStyle w:val="1"/>
      </w:pPr>
      <w:r w:rsidRPr="00F219CA">
        <w:br w:type="page"/>
      </w:r>
      <w:bookmarkStart w:id="336" w:name="_Toc420814430"/>
      <w:r w:rsidRPr="00F219CA">
        <w:lastRenderedPageBreak/>
        <w:t xml:space="preserve">Title: </w:t>
      </w:r>
      <w:r w:rsidRPr="00935D80">
        <w:rPr>
          <w:iCs w:val="0"/>
        </w:rPr>
        <w:t>American Journal</w:t>
      </w:r>
      <w:r w:rsidR="00427468">
        <w:rPr>
          <w:iCs w:val="0"/>
        </w:rPr>
        <w:t xml:space="preserve"> of </w:t>
      </w:r>
      <w:r w:rsidRPr="00935D80">
        <w:rPr>
          <w:iCs w:val="0"/>
        </w:rPr>
        <w:t>Rhinology &amp; Allergy</w:t>
      </w:r>
      <w:bookmarkEnd w:id="336"/>
    </w:p>
    <w:p w:rsidR="00935D80" w:rsidRDefault="00935D80" w:rsidP="00935D80">
      <w:pPr>
        <w:pStyle w:val="12"/>
      </w:pPr>
      <w:r w:rsidRPr="00F219CA">
        <w:t xml:space="preserve">Full Journal Title: </w:t>
      </w:r>
      <w:r w:rsidRPr="00935D80">
        <w:rPr>
          <w:iCs/>
          <w:kern w:val="0"/>
        </w:rPr>
        <w:t>American Journal</w:t>
      </w:r>
      <w:r w:rsidR="00427468">
        <w:rPr>
          <w:iCs/>
          <w:kern w:val="0"/>
        </w:rPr>
        <w:t xml:space="preserve"> of </w:t>
      </w:r>
      <w:r w:rsidRPr="00935D80">
        <w:rPr>
          <w:iCs/>
          <w:kern w:val="0"/>
        </w:rPr>
        <w:t>Rhinology &amp; Allergy</w:t>
      </w:r>
    </w:p>
    <w:p w:rsidR="00935D80" w:rsidRPr="00F219CA" w:rsidRDefault="00935D80" w:rsidP="00935D80">
      <w:pPr>
        <w:pStyle w:val="12"/>
      </w:pPr>
      <w:r w:rsidRPr="00F219CA">
        <w:t xml:space="preserve">ISO Abbreviated Title: </w:t>
      </w:r>
    </w:p>
    <w:p w:rsidR="00935D80" w:rsidRPr="00F219CA" w:rsidRDefault="00935D80" w:rsidP="00935D80">
      <w:pPr>
        <w:pStyle w:val="12"/>
      </w:pPr>
      <w:r w:rsidRPr="00F219CA">
        <w:t xml:space="preserve">JCR Abbreviated Title: </w:t>
      </w:r>
    </w:p>
    <w:p w:rsidR="00935D80" w:rsidRPr="00F219CA" w:rsidRDefault="00935D80" w:rsidP="00935D80">
      <w:pPr>
        <w:pStyle w:val="12"/>
      </w:pPr>
      <w:r>
        <w:t xml:space="preserve">ISSN: </w:t>
      </w:r>
    </w:p>
    <w:p w:rsidR="00935D80" w:rsidRPr="00F219CA" w:rsidRDefault="00935D80" w:rsidP="00935D80">
      <w:pPr>
        <w:pStyle w:val="12"/>
      </w:pPr>
      <w:r w:rsidRPr="00F219CA">
        <w:t xml:space="preserve">Issues/Year: </w:t>
      </w:r>
    </w:p>
    <w:p w:rsidR="00935D80" w:rsidRPr="00F219CA" w:rsidRDefault="00935D80" w:rsidP="00935D80">
      <w:pPr>
        <w:pStyle w:val="12"/>
      </w:pPr>
      <w:r w:rsidRPr="00F219CA">
        <w:t xml:space="preserve">Journal Country/Territory: </w:t>
      </w:r>
    </w:p>
    <w:p w:rsidR="00935D80" w:rsidRPr="00F219CA" w:rsidRDefault="00935D80" w:rsidP="00935D80">
      <w:pPr>
        <w:pStyle w:val="12"/>
      </w:pPr>
      <w:r w:rsidRPr="00F219CA">
        <w:t xml:space="preserve">Language: </w:t>
      </w:r>
    </w:p>
    <w:p w:rsidR="00935D80" w:rsidRPr="00F219CA" w:rsidRDefault="00935D80" w:rsidP="00935D80">
      <w:pPr>
        <w:pStyle w:val="12"/>
      </w:pPr>
      <w:r w:rsidRPr="00F219CA">
        <w:t xml:space="preserve">Publisher: </w:t>
      </w:r>
    </w:p>
    <w:p w:rsidR="00935D80" w:rsidRPr="00F219CA" w:rsidRDefault="00935D80" w:rsidP="00935D80">
      <w:pPr>
        <w:pStyle w:val="12"/>
      </w:pPr>
      <w:r w:rsidRPr="00F219CA">
        <w:t xml:space="preserve">Publisher Address: </w:t>
      </w:r>
    </w:p>
    <w:p w:rsidR="00935D80" w:rsidRPr="00F219CA" w:rsidRDefault="00935D80" w:rsidP="00935D80">
      <w:pPr>
        <w:pStyle w:val="12"/>
      </w:pPr>
      <w:r w:rsidRPr="00F219CA">
        <w:t xml:space="preserve">Subject Categories: </w:t>
      </w:r>
    </w:p>
    <w:p w:rsidR="00935D80" w:rsidRPr="00F219CA" w:rsidRDefault="00935D80" w:rsidP="00935D80">
      <w:pPr>
        <w:pStyle w:val="12"/>
      </w:pPr>
      <w:r w:rsidRPr="00F219CA">
        <w:t xml:space="preserve">: Impact Factor </w:t>
      </w:r>
    </w:p>
    <w:p w:rsidR="00935D80" w:rsidRDefault="00935D80" w:rsidP="00935D80">
      <w:pPr>
        <w:pStyle w:val="a3"/>
        <w:rPr>
          <w:kern w:val="0"/>
        </w:rPr>
      </w:pPr>
      <w:r>
        <w:rPr>
          <w:kern w:val="0"/>
        </w:rPr>
        <w:t>? Svider, P.F., Blake, D.M., Setzen, M., Folbe, A.J., Baredes, S.</w:t>
      </w:r>
      <w:r w:rsidR="005853A9">
        <w:rPr>
          <w:kern w:val="0"/>
        </w:rPr>
        <w:t xml:space="preserve"> and </w:t>
      </w:r>
      <w:r>
        <w:rPr>
          <w:kern w:val="0"/>
        </w:rPr>
        <w:t>Eloy, J.A. (2013), Rhinology fellowship training</w:t>
      </w:r>
      <w:r w:rsidR="005853A9">
        <w:rPr>
          <w:kern w:val="0"/>
        </w:rPr>
        <w:t xml:space="preserve"> and </w:t>
      </w:r>
      <w:r>
        <w:rPr>
          <w:kern w:val="0"/>
        </w:rPr>
        <w:t xml:space="preserve">its scholarly impact. </w:t>
      </w:r>
      <w:r w:rsidRPr="00935D80">
        <w:rPr>
          <w:i/>
          <w:iCs/>
          <w:kern w:val="0"/>
        </w:rPr>
        <w:t>American Journal</w:t>
      </w:r>
      <w:r w:rsidR="00427468">
        <w:rPr>
          <w:i/>
          <w:iCs/>
          <w:kern w:val="0"/>
        </w:rPr>
        <w:t xml:space="preserve"> of </w:t>
      </w:r>
      <w:r w:rsidRPr="00935D80">
        <w:rPr>
          <w:i/>
          <w:iCs/>
          <w:kern w:val="0"/>
        </w:rPr>
        <w:t>Rhinology &amp; Allergy</w:t>
      </w:r>
      <w:r>
        <w:rPr>
          <w:kern w:val="0"/>
        </w:rPr>
        <w:t xml:space="preserve">, </w:t>
      </w:r>
      <w:r>
        <w:rPr>
          <w:b/>
          <w:bCs/>
          <w:kern w:val="0"/>
        </w:rPr>
        <w:t>27</w:t>
      </w:r>
      <w:r>
        <w:rPr>
          <w:kern w:val="0"/>
        </w:rPr>
        <w:t xml:space="preserve"> (5), E131-E134.</w:t>
      </w:r>
    </w:p>
    <w:p w:rsidR="00935D80" w:rsidRDefault="00935D80" w:rsidP="00935D80">
      <w:pPr>
        <w:pStyle w:val="a3"/>
        <w:rPr>
          <w:kern w:val="0"/>
        </w:rPr>
      </w:pPr>
      <w:r>
        <w:rPr>
          <w:rFonts w:hint="eastAsia"/>
          <w:kern w:val="0"/>
        </w:rPr>
        <w:t xml:space="preserve">Full Text: </w:t>
      </w:r>
      <w:hyperlink r:id="rId627" w:history="1">
        <w:r w:rsidRPr="0023765C">
          <w:rPr>
            <w:rStyle w:val="a5"/>
            <w:kern w:val="0"/>
          </w:rPr>
          <w:t>2013\Ame J Rhi All27, E131.pdf</w:t>
        </w:r>
      </w:hyperlink>
    </w:p>
    <w:p w:rsidR="00935D80" w:rsidRDefault="00935D80" w:rsidP="00935D80">
      <w:pPr>
        <w:pStyle w:val="a3"/>
        <w:rPr>
          <w:kern w:val="0"/>
        </w:rPr>
      </w:pPr>
      <w:r>
        <w:rPr>
          <w:kern w:val="0"/>
        </w:rPr>
        <w:t>Abstract: Background: Previous examination</w:t>
      </w:r>
      <w:r w:rsidR="00427468">
        <w:rPr>
          <w:kern w:val="0"/>
        </w:rPr>
        <w:t xml:space="preserve"> of </w:t>
      </w:r>
      <w:r>
        <w:rPr>
          <w:kern w:val="0"/>
        </w:rPr>
        <w:t>the impact</w:t>
      </w:r>
      <w:r w:rsidR="00427468">
        <w:rPr>
          <w:kern w:val="0"/>
        </w:rPr>
        <w:t xml:space="preserve"> of </w:t>
      </w:r>
      <w:r>
        <w:rPr>
          <w:kern w:val="0"/>
        </w:rPr>
        <w:t>fellowship training on scholarly productivity among otolaryngologists found that head</w:t>
      </w:r>
      <w:r w:rsidR="005853A9">
        <w:rPr>
          <w:kern w:val="0"/>
        </w:rPr>
        <w:t xml:space="preserve"> and </w:t>
      </w:r>
      <w:r>
        <w:rPr>
          <w:kern w:val="0"/>
        </w:rPr>
        <w:t>neck surgeons</w:t>
      </w:r>
      <w:r w:rsidR="005853A9">
        <w:rPr>
          <w:kern w:val="0"/>
        </w:rPr>
        <w:t xml:space="preserve"> and </w:t>
      </w:r>
      <w:r>
        <w:rPr>
          <w:kern w:val="0"/>
        </w:rPr>
        <w:t xml:space="preserve">otologists had a higher mean </w:t>
      </w:r>
      <w:r w:rsidR="00D5664A">
        <w:rPr>
          <w:kern w:val="0"/>
        </w:rPr>
        <w:t>h-Index</w:t>
      </w:r>
      <w:r>
        <w:rPr>
          <w:kern w:val="0"/>
        </w:rPr>
        <w:t xml:space="preserve"> than fellowship-trained rhinologists. Because fellowship training in rhinology is a historically newer trend, the objectives</w:t>
      </w:r>
      <w:r w:rsidR="00427468">
        <w:rPr>
          <w:kern w:val="0"/>
        </w:rPr>
        <w:t xml:space="preserve"> of </w:t>
      </w:r>
      <w:r>
        <w:rPr>
          <w:kern w:val="0"/>
        </w:rPr>
        <w:t>the present analysis were to further characterize research productivity among fellowship-trained academic rhinologists, including geographic</w:t>
      </w:r>
      <w:r w:rsidR="005853A9">
        <w:rPr>
          <w:kern w:val="0"/>
        </w:rPr>
        <w:t xml:space="preserve"> and </w:t>
      </w:r>
      <w:r>
        <w:rPr>
          <w:kern w:val="0"/>
        </w:rPr>
        <w:t>temporal trends, to gain insight into the future direction</w:t>
      </w:r>
      <w:r w:rsidR="00427468">
        <w:rPr>
          <w:kern w:val="0"/>
        </w:rPr>
        <w:t xml:space="preserve"> of </w:t>
      </w:r>
      <w:r>
        <w:rPr>
          <w:kern w:val="0"/>
        </w:rPr>
        <w:t>scholarly pursuits within the field. Methods: Fellowship-trained rhinologists in academic practices were identified from the American Rhinologic Society online listings</w:t>
      </w:r>
      <w:r w:rsidR="005853A9">
        <w:rPr>
          <w:kern w:val="0"/>
        </w:rPr>
        <w:t xml:space="preserve"> and </w:t>
      </w:r>
      <w:r>
        <w:rPr>
          <w:kern w:val="0"/>
        </w:rPr>
        <w:t>organized by academic rank, number</w:t>
      </w:r>
      <w:r w:rsidR="00427468">
        <w:rPr>
          <w:kern w:val="0"/>
        </w:rPr>
        <w:t xml:space="preserve"> of </w:t>
      </w:r>
      <w:r>
        <w:rPr>
          <w:kern w:val="0"/>
        </w:rPr>
        <w:t>years in practice, location,</w:t>
      </w:r>
      <w:r w:rsidR="005853A9">
        <w:rPr>
          <w:kern w:val="0"/>
        </w:rPr>
        <w:t xml:space="preserve"> and </w:t>
      </w:r>
      <w:r w:rsidR="00D5664A">
        <w:rPr>
          <w:kern w:val="0"/>
        </w:rPr>
        <w:t>h-Index</w:t>
      </w:r>
      <w:r>
        <w:rPr>
          <w:kern w:val="0"/>
        </w:rPr>
        <w:t xml:space="preserve">, as calculated using the Scopus database. Results: Mean </w:t>
      </w:r>
      <w:r w:rsidR="00D5664A">
        <w:rPr>
          <w:kern w:val="0"/>
        </w:rPr>
        <w:t>h-Index</w:t>
      </w:r>
      <w:r>
        <w:rPr>
          <w:kern w:val="0"/>
        </w:rPr>
        <w:t xml:space="preserve"> rose with increasing years in practice after fellowship</w:t>
      </w:r>
      <w:r w:rsidR="00A37C1D">
        <w:rPr>
          <w:kern w:val="0"/>
        </w:rPr>
        <w:t>. The</w:t>
      </w:r>
      <w:r>
        <w:rPr>
          <w:kern w:val="0"/>
        </w:rPr>
        <w:t xml:space="preserve"> </w:t>
      </w:r>
      <w:r w:rsidR="00D5664A">
        <w:rPr>
          <w:kern w:val="0"/>
        </w:rPr>
        <w:t>h-Index</w:t>
      </w:r>
      <w:r>
        <w:rPr>
          <w:kern w:val="0"/>
        </w:rPr>
        <w:t>, number</w:t>
      </w:r>
      <w:r w:rsidR="00427468">
        <w:rPr>
          <w:kern w:val="0"/>
        </w:rPr>
        <w:t xml:space="preserve"> of </w:t>
      </w:r>
      <w:r>
        <w:rPr>
          <w:kern w:val="0"/>
        </w:rPr>
        <w:t>publications,</w:t>
      </w:r>
      <w:r w:rsidR="005853A9">
        <w:rPr>
          <w:kern w:val="0"/>
        </w:rPr>
        <w:t xml:space="preserve"> and </w:t>
      </w:r>
      <w:r>
        <w:rPr>
          <w:kern w:val="0"/>
        </w:rPr>
        <w:t>the E-factor (a newly described bibliometric) increased with successive academic rank</w:t>
      </w:r>
      <w:r w:rsidR="00A37C1D">
        <w:rPr>
          <w:kern w:val="0"/>
        </w:rPr>
        <w:t>. The</w:t>
      </w:r>
      <w:r>
        <w:rPr>
          <w:kern w:val="0"/>
        </w:rPr>
        <w:t xml:space="preserve"> E-factor for rhinologists in this current analysis was not statistically different from the values calculated for other otolaryngology subspecialties (p &gt; 0.05). Conclusion: Fellowship-training in rhinology is a relatively recent development, with half</w:t>
      </w:r>
      <w:r w:rsidR="00427468">
        <w:rPr>
          <w:kern w:val="0"/>
        </w:rPr>
        <w:t xml:space="preserve"> of </w:t>
      </w:r>
      <w:r>
        <w:rPr>
          <w:kern w:val="0"/>
        </w:rPr>
        <w:t>the academic rhinologists included in this analysis having completed fellowship training within the past 5 years. Scholarly productivity among academic rhinologists increases with academic seniority. As the current cohort</w:t>
      </w:r>
      <w:r w:rsidR="00427468">
        <w:rPr>
          <w:kern w:val="0"/>
        </w:rPr>
        <w:t xml:space="preserve"> of </w:t>
      </w:r>
      <w:r>
        <w:rPr>
          <w:kern w:val="0"/>
        </w:rPr>
        <w:t>fellowship-trained rhinologists progress in their academic careers, previously described deficits in scholarly productivity relative to other subspecialties are expected to diminish.</w:t>
      </w:r>
    </w:p>
    <w:p w:rsidR="00935D80" w:rsidRDefault="00935D80" w:rsidP="00935D80">
      <w:pPr>
        <w:pStyle w:val="a3"/>
        <w:rPr>
          <w:kern w:val="0"/>
        </w:rPr>
      </w:pPr>
      <w:r>
        <w:rPr>
          <w:kern w:val="0"/>
        </w:rPr>
        <w:lastRenderedPageBreak/>
        <w:t xml:space="preserve">Keywords: Academic Otolaryngology, Analysis, Bibliometric, Careers, Cohort, Database, Development, Examination, Fellowship, Field, </w:t>
      </w:r>
      <w:r w:rsidR="00D5664A">
        <w:rPr>
          <w:rFonts w:hint="eastAsia"/>
          <w:kern w:val="0"/>
        </w:rPr>
        <w:t>h Index</w:t>
      </w:r>
      <w:r>
        <w:rPr>
          <w:kern w:val="0"/>
        </w:rPr>
        <w:t xml:space="preserve">, </w:t>
      </w:r>
      <w:r w:rsidR="00D5664A">
        <w:rPr>
          <w:rFonts w:hint="eastAsia"/>
          <w:kern w:val="0"/>
        </w:rPr>
        <w:t>h-Index</w:t>
      </w:r>
      <w:r>
        <w:rPr>
          <w:kern w:val="0"/>
        </w:rPr>
        <w:t>, Head, Impact, Location, Methods, Neck, Online, Otolaryngology, Practice, Practices, Productivity, Progress, Publications, Rank, Recent, Research, Research Productivity, Results, Scholarly Impact, Scopus, Scopus Database, Society, Surgeons, Temporal, Training, Trend, Trends</w:t>
      </w:r>
    </w:p>
    <w:p w:rsidR="003D2E7C" w:rsidRDefault="003D2E7C" w:rsidP="003D2E7C">
      <w:pPr>
        <w:pStyle w:val="a3"/>
        <w:rPr>
          <w:kern w:val="0"/>
        </w:rPr>
      </w:pPr>
      <w:r>
        <w:rPr>
          <w:kern w:val="0"/>
        </w:rPr>
        <w:t xml:space="preserve">? Yip, J., Yao, C.M. and Lee, J.M. (2014), State of the art: A systematic review of the surgical management of aspirin exacerbated respiratory disease. </w:t>
      </w:r>
      <w:r>
        <w:rPr>
          <w:i/>
          <w:iCs/>
          <w:kern w:val="0"/>
        </w:rPr>
        <w:t>American Journal of Rhinology &amp; Allergy</w:t>
      </w:r>
      <w:r>
        <w:rPr>
          <w:kern w:val="0"/>
        </w:rPr>
        <w:t xml:space="preserve">, </w:t>
      </w:r>
      <w:r>
        <w:rPr>
          <w:b/>
          <w:bCs/>
          <w:kern w:val="0"/>
        </w:rPr>
        <w:t>28</w:t>
      </w:r>
      <w:r>
        <w:rPr>
          <w:kern w:val="0"/>
        </w:rPr>
        <w:t xml:space="preserve"> (6), 493-501.</w:t>
      </w:r>
    </w:p>
    <w:p w:rsidR="003D2E7C" w:rsidRDefault="003D2E7C" w:rsidP="003D2E7C">
      <w:pPr>
        <w:pStyle w:val="a3"/>
        <w:rPr>
          <w:kern w:val="0"/>
        </w:rPr>
      </w:pPr>
      <w:r>
        <w:rPr>
          <w:rFonts w:hint="eastAsia"/>
          <w:kern w:val="0"/>
        </w:rPr>
        <w:t xml:space="preserve">Full Text: </w:t>
      </w:r>
      <w:r w:rsidRPr="00C3585C">
        <w:rPr>
          <w:kern w:val="0"/>
        </w:rPr>
        <w:t>201</w:t>
      </w:r>
      <w:r>
        <w:rPr>
          <w:rFonts w:hint="eastAsia"/>
          <w:kern w:val="0"/>
        </w:rPr>
        <w:t>4</w:t>
      </w:r>
      <w:r w:rsidRPr="00C3585C">
        <w:rPr>
          <w:kern w:val="0"/>
        </w:rPr>
        <w:t>\Ame J Rhi All2</w:t>
      </w:r>
      <w:r>
        <w:rPr>
          <w:rFonts w:hint="eastAsia"/>
          <w:kern w:val="0"/>
        </w:rPr>
        <w:t>8</w:t>
      </w:r>
      <w:r w:rsidRPr="00C3585C">
        <w:rPr>
          <w:kern w:val="0"/>
        </w:rPr>
        <w:t xml:space="preserve">, </w:t>
      </w:r>
      <w:r>
        <w:rPr>
          <w:kern w:val="0"/>
        </w:rPr>
        <w:t>493</w:t>
      </w:r>
      <w:r w:rsidRPr="00C3585C">
        <w:rPr>
          <w:kern w:val="0"/>
        </w:rPr>
        <w:t>.pdf</w:t>
      </w:r>
    </w:p>
    <w:p w:rsidR="003D2E7C" w:rsidRDefault="003D2E7C" w:rsidP="003D2E7C">
      <w:pPr>
        <w:pStyle w:val="a3"/>
        <w:rPr>
          <w:kern w:val="0"/>
        </w:rPr>
      </w:pPr>
      <w:r>
        <w:rPr>
          <w:kern w:val="0"/>
        </w:rPr>
        <w:t>Abstract: Background: Endoscopic sinus surgery is an important modality to the armamentarium of the otolaryngologist managing chronic rhinosinusitis (CRS). Within the spectrum of CRS, there exists a subset of patients who are recalcitrant to conventional treatment strategies, including those with aspirin-exacerbated respiratory disease (AERD). Although surgery is frequently undertaken in this group, there has been no general consensus on the efficacy or optimal extent of surgery. Methods: Following the Preferred Reporting Items for Systematic Reviews and Meta-Analyses (PRISMA) guidelines, a systematic review of published studies was conducted. Inclusion criteria included original publications of adult patients with AERD undergoing surgery, cohorts of greater than five subjects, a minimum follow-up of 3 months, and measurable clinical outcomes. An electronic search was performed using OVID MEDLINE, EMBASE, Cochrane Central Register of Controlled Trials, and Web of Science. Results: Sixteen studies met the criteria for analysis. For our primary objective, sinus surgery appeared to improve patient-reported quality of life (QoL) and symptom profile in AERD. Overall, most studies reported a decrease in radiographic grading, endoscopy scores, and asthma severity. Compared with aspirin-tolerant asthmatic patients, AERD patients may have worse objective measures of disease severity both pre-and postoperatively; however, patient-reported QoL and symptom improvement may be similar after sinus surgery. Finally, this review showed that patients with AERD required revision surgeries sooner and more frequently compared with other subtypes of CRS. We also discussed the role of maximal surgical techniques and additional benefit of postoperative adjunctive therapies in the management of this disease entity. Conclusion: The state of the art in the management of AERD patients suggests that surgery does play an important role in helping establish symptomatic control. In the future, more rigorous studies evaluating the comprehensiveness of surgery and postoperative adjuncts are required to understand their impact on long-term patient outcomes.</w:t>
      </w:r>
    </w:p>
    <w:p w:rsidR="003D2E7C" w:rsidRDefault="003D2E7C" w:rsidP="003D2E7C">
      <w:pPr>
        <w:pStyle w:val="a3"/>
        <w:rPr>
          <w:kern w:val="0"/>
        </w:rPr>
      </w:pPr>
      <w:r>
        <w:rPr>
          <w:kern w:val="0"/>
        </w:rPr>
        <w:t xml:space="preserve">Keywords: Adult, Analysis, Art, Aspirin, Asthma, Asthmatic, Asthmatic-Patients, </w:t>
      </w:r>
      <w:r>
        <w:rPr>
          <w:kern w:val="0"/>
        </w:rPr>
        <w:lastRenderedPageBreak/>
        <w:t>Chronic, Chronic Rhinosinusitis, Clinical, Clinical Outcomes, Consensus, Control, Conventional, Cr, Criteria, Desensitization, Disease, Efficacy, Embase, Endoscopic, Endoscopic Sinus Surgery, Endoscopy, Follow-Up, General, Guidelines, Impact, Improvement, Inflammation, Life, Long Term, Long-Term, Management, Measures, Medline, Metaanalysis, Methods, Minimum, Nasal Polyps, Outcome Analysis, Outcomes, Patients, Postoperative, Primary, Publications, Quality, Quality Of, Quality Of Life, Respiratory Disease, Results, Review, Rhinosinusitis, Role, Samters Triad, Science, State, State-Of-The-Art, Surgery, Surgical Management, Surgical Techniques, Systematic, Systematic Review, Systematic Reviews, Techniques, Tolerant, Treatment, Web, Web Of Science</w:t>
      </w:r>
    </w:p>
    <w:p w:rsidR="003474F2" w:rsidRPr="001A3D2B" w:rsidRDefault="003474F2" w:rsidP="003474F2">
      <w:pPr>
        <w:pStyle w:val="1"/>
      </w:pPr>
      <w:r w:rsidRPr="001A3D2B">
        <w:br w:type="page"/>
      </w:r>
      <w:bookmarkStart w:id="337" w:name="_Toc420814431"/>
      <w:r w:rsidRPr="001A3D2B">
        <w:lastRenderedPageBreak/>
        <w:t>Title: American Journal</w:t>
      </w:r>
      <w:r w:rsidR="00427468">
        <w:t xml:space="preserve"> of </w:t>
      </w:r>
      <w:r w:rsidRPr="001A3D2B">
        <w:t>Roentge</w:t>
      </w:r>
      <w:bookmarkStart w:id="338" w:name="_Toc44845738"/>
      <w:bookmarkStart w:id="339" w:name="_Toc81215596"/>
      <w:r w:rsidRPr="001A3D2B">
        <w:t>nology</w:t>
      </w:r>
      <w:bookmarkEnd w:id="337"/>
    </w:p>
    <w:p w:rsidR="003474F2" w:rsidRPr="001A3D2B" w:rsidRDefault="003474F2" w:rsidP="003474F2">
      <w:pPr>
        <w:pStyle w:val="12"/>
      </w:pPr>
      <w:r w:rsidRPr="001A3D2B">
        <w:t xml:space="preserve">Full Journal Title: </w:t>
      </w:r>
      <w:r w:rsidR="00206C8A">
        <w:fldChar w:fldCharType="begin"/>
      </w:r>
      <w:r w:rsidR="00FD158B">
        <w:instrText>HYPERLINK "h</w:instrText>
      </w:r>
      <w:bookmarkEnd w:id="338"/>
      <w:bookmarkEnd w:id="339"/>
      <w:r w:rsidR="00FD158B">
        <w:instrText>ttp://www.ajronline.org/"</w:instrText>
      </w:r>
      <w:r w:rsidR="00206C8A">
        <w:fldChar w:fldCharType="separate"/>
      </w:r>
      <w:r w:rsidRPr="001A3D2B">
        <w:rPr>
          <w:rStyle w:val="a5"/>
        </w:rPr>
        <w:t>American Journal</w:t>
      </w:r>
      <w:r w:rsidR="00427468">
        <w:rPr>
          <w:rStyle w:val="a5"/>
        </w:rPr>
        <w:t xml:space="preserve"> of </w:t>
      </w:r>
      <w:r w:rsidRPr="001A3D2B">
        <w:rPr>
          <w:rStyle w:val="a5"/>
        </w:rPr>
        <w:t>Roentgenology</w:t>
      </w:r>
      <w:r w:rsidR="00206C8A">
        <w:fldChar w:fldCharType="end"/>
      </w:r>
    </w:p>
    <w:p w:rsidR="003474F2" w:rsidRPr="001A3D2B" w:rsidRDefault="003474F2" w:rsidP="003474F2">
      <w:pPr>
        <w:pStyle w:val="12"/>
      </w:pPr>
      <w:r w:rsidRPr="001A3D2B">
        <w:t>ISO Abbreviated Title: Am. J. Roentgenol.</w:t>
      </w:r>
    </w:p>
    <w:p w:rsidR="003474F2" w:rsidRPr="001A3D2B" w:rsidRDefault="003474F2" w:rsidP="003474F2">
      <w:pPr>
        <w:pStyle w:val="12"/>
      </w:pPr>
      <w:r w:rsidRPr="001A3D2B">
        <w:t>JCR Abbreviated Title: Am J Roentgenol</w:t>
      </w:r>
    </w:p>
    <w:p w:rsidR="003474F2" w:rsidRPr="001A3D2B" w:rsidRDefault="003474F2" w:rsidP="003474F2">
      <w:pPr>
        <w:pStyle w:val="12"/>
      </w:pPr>
      <w:r w:rsidRPr="001A3D2B">
        <w:t>ISSN: 0361-803X</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Roentgen Ray Soc</w:t>
      </w:r>
    </w:p>
    <w:p w:rsidR="003474F2" w:rsidRPr="001A3D2B" w:rsidRDefault="003474F2" w:rsidP="003474F2">
      <w:pPr>
        <w:pStyle w:val="12"/>
      </w:pPr>
      <w:r w:rsidRPr="001A3D2B">
        <w:t xml:space="preserve">Publisher Address: </w:t>
      </w:r>
      <w:smartTag w:uri="urn:schemas-microsoft-com:office:smarttags" w:element="Street">
        <w:smartTag w:uri="urn:schemas-microsoft-com:office:smarttags" w:element="address">
          <w:r w:rsidRPr="001A3D2B">
            <w:t>1891 Preston White Dr</w:t>
          </w:r>
        </w:smartTag>
      </w:smartTag>
      <w:r w:rsidRPr="001A3D2B">
        <w:t xml:space="preserve">, Subscription Fulfillment, </w:t>
      </w:r>
      <w:smartTag w:uri="urn:schemas-microsoft-com:office:smarttags" w:element="place">
        <w:smartTag w:uri="urn:schemas-microsoft-com:office:smarttags" w:element="City">
          <w:r w:rsidRPr="001A3D2B">
            <w:t>Reston</w:t>
          </w:r>
        </w:smartTag>
        <w:r w:rsidRPr="001A3D2B">
          <w:t xml:space="preserve">, </w:t>
        </w:r>
        <w:smartTag w:uri="urn:schemas-microsoft-com:office:smarttags" w:element="State">
          <w:r w:rsidRPr="001A3D2B">
            <w:t>VA</w:t>
          </w:r>
        </w:smartTag>
        <w:r w:rsidRPr="001A3D2B">
          <w:t xml:space="preserve"> </w:t>
        </w:r>
        <w:smartTag w:uri="urn:schemas-microsoft-com:office:smarttags" w:element="PostalCode">
          <w:r w:rsidRPr="001A3D2B">
            <w:t>22091</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Radiology, Nuclear Medicine &amp; Medical Imaging: Impact Factor 1.998, (2001)</w:t>
      </w:r>
    </w:p>
    <w:p w:rsidR="000D7D3C" w:rsidRPr="00F219CA" w:rsidRDefault="000D7D3C" w:rsidP="000D7D3C">
      <w:pPr>
        <w:pStyle w:val="a3"/>
      </w:pPr>
      <w:r w:rsidRPr="00F219CA">
        <w:t xml:space="preserve">? </w:t>
      </w:r>
      <w:r>
        <w:t>Allan, N</w:t>
      </w:r>
      <w:r>
        <w:rPr>
          <w:rFonts w:hint="eastAsia"/>
        </w:rPr>
        <w:t>.</w:t>
      </w:r>
      <w:r>
        <w:t>K</w:t>
      </w:r>
      <w:r>
        <w:rPr>
          <w:rFonts w:hint="eastAsia"/>
        </w:rPr>
        <w:t>.</w:t>
      </w:r>
      <w:r w:rsidRPr="00F219CA">
        <w:t xml:space="preserve"> (19</w:t>
      </w:r>
      <w:r>
        <w:rPr>
          <w:rFonts w:hint="eastAsia"/>
        </w:rPr>
        <w:t>79</w:t>
      </w:r>
      <w:r w:rsidRPr="00F219CA">
        <w:t xml:space="preserve">), </w:t>
      </w:r>
      <w:r>
        <w:t>Uniform requirements for manuscripts submitted to biomedical journals</w:t>
      </w:r>
      <w:r w:rsidRPr="00F219CA">
        <w:t xml:space="preserve">. </w:t>
      </w:r>
      <w:r w:rsidRPr="00F219CA">
        <w:rPr>
          <w:i/>
          <w:iCs/>
          <w:szCs w:val="27"/>
        </w:rPr>
        <w:t>American Journal</w:t>
      </w:r>
      <w:r w:rsidR="00427468">
        <w:rPr>
          <w:i/>
          <w:iCs/>
          <w:szCs w:val="27"/>
        </w:rPr>
        <w:t xml:space="preserve"> of </w:t>
      </w:r>
      <w:r w:rsidRPr="00F219CA">
        <w:rPr>
          <w:i/>
          <w:iCs/>
          <w:szCs w:val="27"/>
        </w:rPr>
        <w:t>Roentgenology</w:t>
      </w:r>
      <w:r w:rsidRPr="00F219CA">
        <w:t xml:space="preserve">, </w:t>
      </w:r>
      <w:r w:rsidRPr="00F219CA">
        <w:rPr>
          <w:b/>
        </w:rPr>
        <w:t>1</w:t>
      </w:r>
      <w:r>
        <w:rPr>
          <w:rFonts w:hint="eastAsia"/>
          <w:b/>
        </w:rPr>
        <w:t>33</w:t>
      </w:r>
      <w:r w:rsidRPr="00F219CA">
        <w:rPr>
          <w:bCs/>
        </w:rPr>
        <w:t xml:space="preserve"> (</w:t>
      </w:r>
      <w:r>
        <w:rPr>
          <w:rFonts w:hint="eastAsia"/>
          <w:bCs/>
        </w:rPr>
        <w:t>3</w:t>
      </w:r>
      <w:r w:rsidRPr="00F219CA">
        <w:rPr>
          <w:bCs/>
        </w:rPr>
        <w:t>)</w:t>
      </w:r>
      <w:r w:rsidRPr="00F219CA">
        <w:t xml:space="preserve">, </w:t>
      </w:r>
      <w:r>
        <w:t>564</w:t>
      </w:r>
      <w:r w:rsidRPr="00F219CA">
        <w:t>.</w:t>
      </w:r>
    </w:p>
    <w:p w:rsidR="000D7D3C" w:rsidRDefault="000D7D3C" w:rsidP="000D7D3C">
      <w:pPr>
        <w:pStyle w:val="a3"/>
      </w:pPr>
      <w:r w:rsidRPr="00F219CA">
        <w:t xml:space="preserve">Full Text: </w:t>
      </w:r>
      <w:r>
        <w:rPr>
          <w:rFonts w:hint="eastAsia"/>
        </w:rPr>
        <w:t>-</w:t>
      </w:r>
      <w:r w:rsidRPr="00245B44">
        <w:t>19</w:t>
      </w:r>
      <w:r>
        <w:rPr>
          <w:rFonts w:hint="eastAsia"/>
        </w:rPr>
        <w:t>59</w:t>
      </w:r>
      <w:r w:rsidRPr="00245B44">
        <w:t>\Ame J Roe1</w:t>
      </w:r>
      <w:r>
        <w:rPr>
          <w:rFonts w:hint="eastAsia"/>
        </w:rPr>
        <w:t>33</w:t>
      </w:r>
      <w:r w:rsidRPr="00245B44">
        <w:t xml:space="preserve">, </w:t>
      </w:r>
      <w:r>
        <w:t>564</w:t>
      </w:r>
      <w:r w:rsidRPr="00245B44">
        <w:t>.pdf</w:t>
      </w:r>
    </w:p>
    <w:p w:rsidR="003474F2" w:rsidRPr="001A3D2B" w:rsidRDefault="003474F2" w:rsidP="003474F2">
      <w:pPr>
        <w:pStyle w:val="a3"/>
      </w:pPr>
      <w:r w:rsidRPr="001A3D2B">
        <w:t>? Kaude, J.V., Williams, C.M., Millner, M.R., Scott, K.N.</w:t>
      </w:r>
      <w:r w:rsidR="005853A9">
        <w:t xml:space="preserve"> and </w:t>
      </w:r>
      <w:r w:rsidRPr="001A3D2B">
        <w:t>Finlayson, B. (1985), Renal morphology</w:t>
      </w:r>
      <w:r w:rsidR="005853A9">
        <w:t xml:space="preserve"> and </w:t>
      </w:r>
      <w:r w:rsidRPr="001A3D2B">
        <w:t xml:space="preserve">function immediately after extracorporeal shock-wave lithotripsy. </w:t>
      </w:r>
      <w:r w:rsidRPr="001A3D2B">
        <w:rPr>
          <w:i/>
          <w:iCs/>
          <w:szCs w:val="27"/>
        </w:rPr>
        <w:t>American Journal</w:t>
      </w:r>
      <w:r w:rsidR="00427468">
        <w:rPr>
          <w:i/>
          <w:iCs/>
          <w:szCs w:val="27"/>
        </w:rPr>
        <w:t xml:space="preserve"> of </w:t>
      </w:r>
      <w:r w:rsidRPr="001A3D2B">
        <w:rPr>
          <w:i/>
          <w:iCs/>
          <w:szCs w:val="27"/>
        </w:rPr>
        <w:t>Roentgenology</w:t>
      </w:r>
      <w:r w:rsidRPr="001A3D2B">
        <w:t xml:space="preserve">, </w:t>
      </w:r>
      <w:r w:rsidRPr="001A3D2B">
        <w:rPr>
          <w:b/>
        </w:rPr>
        <w:t>145</w:t>
      </w:r>
      <w:r w:rsidRPr="001A3D2B">
        <w:rPr>
          <w:bCs/>
        </w:rPr>
        <w:t xml:space="preserve"> (2)</w:t>
      </w:r>
      <w:r w:rsidRPr="001A3D2B">
        <w:t>, 305-313.</w:t>
      </w:r>
    </w:p>
    <w:p w:rsidR="003474F2" w:rsidRPr="001A3D2B" w:rsidRDefault="003474F2" w:rsidP="003474F2">
      <w:pPr>
        <w:pStyle w:val="a3"/>
      </w:pPr>
      <w:r w:rsidRPr="001A3D2B">
        <w:t xml:space="preserve">Full Text: </w:t>
      </w:r>
      <w:hyperlink r:id="rId628" w:history="1">
        <w:r w:rsidRPr="001A3D2B">
          <w:rPr>
            <w:rStyle w:val="a5"/>
          </w:rPr>
          <w:t>1985\Ame J Roe145, 305.pdf</w:t>
        </w:r>
      </w:hyperlink>
    </w:p>
    <w:p w:rsidR="003474F2" w:rsidRPr="001A3D2B" w:rsidRDefault="003474F2" w:rsidP="003474F2">
      <w:pPr>
        <w:pStyle w:val="a3"/>
      </w:pPr>
      <w:r w:rsidRPr="001A3D2B">
        <w:t>? Chew, F.S.</w:t>
      </w:r>
      <w:r w:rsidR="005853A9">
        <w:t xml:space="preserve"> and </w:t>
      </w:r>
      <w:r w:rsidRPr="001A3D2B">
        <w:t>Relyeachew, A. (1988), How research becomes knowledge in radiology: An analysis</w:t>
      </w:r>
      <w:r w:rsidR="00427468">
        <w:t xml:space="preserve"> of </w:t>
      </w:r>
      <w:r w:rsidRPr="001A3D2B">
        <w:t xml:space="preserve">citations to published papers. </w:t>
      </w:r>
      <w:r w:rsidRPr="001A3D2B">
        <w:rPr>
          <w:i/>
          <w:iCs/>
          <w:szCs w:val="27"/>
        </w:rPr>
        <w:t>American Journal</w:t>
      </w:r>
      <w:r w:rsidR="00427468">
        <w:rPr>
          <w:i/>
          <w:iCs/>
          <w:szCs w:val="27"/>
        </w:rPr>
        <w:t xml:space="preserve"> of </w:t>
      </w:r>
      <w:r w:rsidRPr="001A3D2B">
        <w:rPr>
          <w:i/>
          <w:iCs/>
          <w:szCs w:val="27"/>
        </w:rPr>
        <w:t>Roentgenology</w:t>
      </w:r>
      <w:r w:rsidRPr="001A3D2B">
        <w:t xml:space="preserve">, </w:t>
      </w:r>
      <w:r w:rsidRPr="001A3D2B">
        <w:rPr>
          <w:b/>
        </w:rPr>
        <w:t>150</w:t>
      </w:r>
      <w:r w:rsidRPr="001A3D2B">
        <w:rPr>
          <w:bCs/>
        </w:rPr>
        <w:t xml:space="preserve"> (1)</w:t>
      </w:r>
      <w:r w:rsidRPr="001A3D2B">
        <w:t>, 31-37.</w:t>
      </w:r>
    </w:p>
    <w:p w:rsidR="003474F2" w:rsidRPr="001A3D2B" w:rsidRDefault="003474F2" w:rsidP="003474F2">
      <w:pPr>
        <w:pStyle w:val="a3"/>
      </w:pPr>
      <w:r w:rsidRPr="001A3D2B">
        <w:t xml:space="preserve">Full Text: </w:t>
      </w:r>
      <w:hyperlink r:id="rId629" w:history="1">
        <w:r w:rsidRPr="001A3D2B">
          <w:rPr>
            <w:rStyle w:val="a5"/>
          </w:rPr>
          <w:t>1988\Ame J Roe150, 31.pdf</w:t>
        </w:r>
      </w:hyperlink>
    </w:p>
    <w:p w:rsidR="000A3CB1" w:rsidRDefault="000A3CB1" w:rsidP="000A3CB1">
      <w:pPr>
        <w:pStyle w:val="a3"/>
        <w:rPr>
          <w:kern w:val="0"/>
        </w:rPr>
      </w:pPr>
      <w:r>
        <w:rPr>
          <w:rFonts w:hint="eastAsia"/>
          <w:kern w:val="0"/>
        </w:rPr>
        <w:t xml:space="preserve">? </w:t>
      </w:r>
      <w:r>
        <w:rPr>
          <w:kern w:val="0"/>
        </w:rPr>
        <w:t xml:space="preserve">Chew, F.S. (1988), </w:t>
      </w:r>
      <w:r w:rsidRPr="00B23603">
        <w:rPr>
          <w:i/>
          <w:kern w:val="0"/>
        </w:rPr>
        <w:t>AJR</w:t>
      </w:r>
      <w:r w:rsidR="00B23603">
        <w:rPr>
          <w:rFonts w:hint="eastAsia"/>
          <w:kern w:val="0"/>
        </w:rPr>
        <w:t>:</w:t>
      </w:r>
      <w:r w:rsidR="003A1917">
        <w:rPr>
          <w:kern w:val="0"/>
        </w:rPr>
        <w:t xml:space="preserve"> the </w:t>
      </w:r>
      <w:r>
        <w:rPr>
          <w:kern w:val="0"/>
        </w:rPr>
        <w:t>50 most frequently cited papers in</w:t>
      </w:r>
      <w:r w:rsidR="003A1917">
        <w:rPr>
          <w:kern w:val="0"/>
        </w:rPr>
        <w:t xml:space="preserve"> the </w:t>
      </w:r>
      <w:r>
        <w:rPr>
          <w:kern w:val="0"/>
        </w:rPr>
        <w:t xml:space="preserve">past 50 years. </w:t>
      </w:r>
      <w:r>
        <w:rPr>
          <w:i/>
          <w:iCs/>
          <w:kern w:val="0"/>
        </w:rPr>
        <w:t>American Journal</w:t>
      </w:r>
      <w:r w:rsidR="00427468">
        <w:rPr>
          <w:i/>
          <w:iCs/>
          <w:kern w:val="0"/>
        </w:rPr>
        <w:t xml:space="preserve"> of </w:t>
      </w:r>
      <w:r>
        <w:rPr>
          <w:i/>
          <w:iCs/>
          <w:kern w:val="0"/>
        </w:rPr>
        <w:t>Roentgenology</w:t>
      </w:r>
      <w:r>
        <w:rPr>
          <w:kern w:val="0"/>
        </w:rPr>
        <w:t xml:space="preserve">, </w:t>
      </w:r>
      <w:r>
        <w:rPr>
          <w:b/>
          <w:bCs/>
          <w:kern w:val="0"/>
        </w:rPr>
        <w:t>150</w:t>
      </w:r>
      <w:r>
        <w:rPr>
          <w:kern w:val="0"/>
        </w:rPr>
        <w:t xml:space="preserve"> (2), 227-233</w:t>
      </w:r>
      <w:r>
        <w:rPr>
          <w:rFonts w:hint="eastAsia"/>
          <w:kern w:val="0"/>
        </w:rPr>
        <w:t>.</w:t>
      </w:r>
    </w:p>
    <w:p w:rsidR="000A3CB1" w:rsidRPr="001A3D2B" w:rsidRDefault="000A3CB1" w:rsidP="000A3CB1">
      <w:pPr>
        <w:pStyle w:val="a3"/>
      </w:pPr>
      <w:r w:rsidRPr="001A3D2B">
        <w:t xml:space="preserve">Full Text: </w:t>
      </w:r>
      <w:hyperlink r:id="rId630" w:history="1">
        <w:r w:rsidRPr="008C5D92">
          <w:rPr>
            <w:rStyle w:val="a5"/>
          </w:rPr>
          <w:t>1988\Ame J Roe150, 227.pdf</w:t>
        </w:r>
      </w:hyperlink>
    </w:p>
    <w:p w:rsidR="009D2A6D" w:rsidRPr="001A3D2B" w:rsidRDefault="009D2A6D" w:rsidP="009D2A6D">
      <w:pPr>
        <w:pStyle w:val="a3"/>
      </w:pPr>
      <w:r w:rsidRPr="001A3D2B">
        <w:t>? Armstrong, J.D. (1993), Plagiarism - What is it, whom does it offend,</w:t>
      </w:r>
      <w:r w:rsidR="005853A9">
        <w:t xml:space="preserve"> and </w:t>
      </w:r>
      <w:r w:rsidRPr="001A3D2B">
        <w:t xml:space="preserve">how does one deal with it. </w:t>
      </w:r>
      <w:r w:rsidRPr="001A3D2B">
        <w:rPr>
          <w:i/>
          <w:iCs/>
        </w:rPr>
        <w:t>American Journal</w:t>
      </w:r>
      <w:r w:rsidR="00427468">
        <w:rPr>
          <w:i/>
          <w:iCs/>
        </w:rPr>
        <w:t xml:space="preserve"> of </w:t>
      </w:r>
      <w:r w:rsidRPr="001A3D2B">
        <w:rPr>
          <w:i/>
          <w:iCs/>
        </w:rPr>
        <w:t>Roentgenology</w:t>
      </w:r>
      <w:r w:rsidRPr="001A3D2B">
        <w:t xml:space="preserve">, </w:t>
      </w:r>
      <w:r w:rsidRPr="001A3D2B">
        <w:rPr>
          <w:b/>
          <w:bCs/>
        </w:rPr>
        <w:t>161</w:t>
      </w:r>
      <w:r w:rsidRPr="001A3D2B">
        <w:t xml:space="preserve"> (3), 479-484.</w:t>
      </w:r>
    </w:p>
    <w:p w:rsidR="009D2A6D" w:rsidRPr="001A3D2B" w:rsidRDefault="009D2A6D" w:rsidP="009D2A6D">
      <w:pPr>
        <w:pStyle w:val="a3"/>
      </w:pPr>
      <w:r w:rsidRPr="001A3D2B">
        <w:t xml:space="preserve">Full Text: </w:t>
      </w:r>
      <w:hyperlink r:id="rId631" w:history="1">
        <w:r w:rsidRPr="001A3D2B">
          <w:rPr>
            <w:rStyle w:val="a5"/>
          </w:rPr>
          <w:t>1993\Ame J Roe161, 479.pdf</w:t>
        </w:r>
      </w:hyperlink>
    </w:p>
    <w:p w:rsidR="009D2A6D" w:rsidRPr="001A3D2B" w:rsidRDefault="009D2A6D" w:rsidP="009D2A6D">
      <w:pPr>
        <w:pStyle w:val="a3"/>
      </w:pPr>
      <w:r w:rsidRPr="001A3D2B">
        <w:t>Abstract: Academic plagiarism is a thorny ethical</w:t>
      </w:r>
      <w:r w:rsidR="005853A9">
        <w:t xml:space="preserve"> and </w:t>
      </w:r>
      <w:r w:rsidRPr="001A3D2B">
        <w:t>practical problem. Perhaps readers have never personally encountered or recognized a case</w:t>
      </w:r>
      <w:r w:rsidR="00427468">
        <w:t xml:space="preserve"> of </w:t>
      </w:r>
      <w:r w:rsidRPr="001A3D2B">
        <w:t>plagiarism so its immediate interest</w:t>
      </w:r>
      <w:r w:rsidR="005853A9">
        <w:t xml:space="preserve"> and </w:t>
      </w:r>
      <w:r w:rsidRPr="001A3D2B">
        <w:t>relevance may be obscure. A short case history may provide evidence that</w:t>
      </w:r>
      <w:r w:rsidR="003A1917">
        <w:t xml:space="preserve"> the </w:t>
      </w:r>
      <w:r w:rsidRPr="001A3D2B">
        <w:t>issue</w:t>
      </w:r>
      <w:r w:rsidR="00427468">
        <w:t xml:space="preserve"> of </w:t>
      </w:r>
      <w:r w:rsidRPr="001A3D2B">
        <w:t>plagiarism is germane to</w:t>
      </w:r>
      <w:r w:rsidR="003A1917">
        <w:t xml:space="preserve"> the </w:t>
      </w:r>
      <w:r w:rsidRPr="001A3D2B">
        <w:t>contemporary academic endeavor. A young university radiologist recognized his own writing in a professional journal under another</w:t>
      </w:r>
      <w:r w:rsidR="00700038">
        <w:t>’</w:t>
      </w:r>
      <w:r w:rsidR="00C13DDC">
        <w:t>s</w:t>
      </w:r>
      <w:r w:rsidRPr="001A3D2B">
        <w:t xml:space="preserve"> authorship, without attribution to himself,</w:t>
      </w:r>
      <w:r w:rsidR="005853A9">
        <w:t xml:space="preserve"> and </w:t>
      </w:r>
      <w:r w:rsidRPr="001A3D2B">
        <w:t>had no idea what to do about it. He finally wrote to</w:t>
      </w:r>
      <w:r w:rsidR="003A1917">
        <w:t xml:space="preserve"> the </w:t>
      </w:r>
      <w:r w:rsidRPr="001A3D2B">
        <w:t>author</w:t>
      </w:r>
      <w:r w:rsidR="00427468">
        <w:t xml:space="preserve"> of </w:t>
      </w:r>
      <w:r w:rsidR="003A1917">
        <w:t xml:space="preserve">the </w:t>
      </w:r>
      <w:r w:rsidRPr="001A3D2B">
        <w:t>article who answered something to</w:t>
      </w:r>
      <w:r w:rsidR="003A1917">
        <w:t xml:space="preserve"> the </w:t>
      </w:r>
      <w:r w:rsidRPr="001A3D2B">
        <w:t xml:space="preserve">effect that it was indeed a </w:t>
      </w:r>
      <w:r w:rsidR="00B5188C">
        <w:t>“</w:t>
      </w:r>
      <w:r w:rsidRPr="001A3D2B">
        <w:t>remarkable coincidence</w:t>
      </w:r>
      <w:r w:rsidR="00B5188C">
        <w:t>”</w:t>
      </w:r>
      <w:r w:rsidR="005853A9">
        <w:t xml:space="preserve"> and </w:t>
      </w:r>
      <w:r w:rsidRPr="001A3D2B">
        <w:lastRenderedPageBreak/>
        <w:t xml:space="preserve">that </w:t>
      </w:r>
      <w:r w:rsidR="00B5188C">
        <w:t>“</w:t>
      </w:r>
      <w:r w:rsidRPr="001A3D2B">
        <w:t>great minds think alike.</w:t>
      </w:r>
      <w:r w:rsidR="00B5188C">
        <w:t>”</w:t>
      </w:r>
      <w:r w:rsidRPr="001A3D2B">
        <w:t xml:space="preserve"> Unsatisfied with</w:t>
      </w:r>
      <w:r w:rsidR="003A1917">
        <w:t xml:space="preserve"> the </w:t>
      </w:r>
      <w:r w:rsidRPr="001A3D2B">
        <w:t>response, he considered reporting</w:t>
      </w:r>
      <w:r w:rsidR="003A1917">
        <w:t xml:space="preserve"> the </w:t>
      </w:r>
      <w:r w:rsidRPr="001A3D2B">
        <w:t>matter to</w:t>
      </w:r>
      <w:r w:rsidR="003A1917">
        <w:t xml:space="preserve"> the </w:t>
      </w:r>
      <w:r w:rsidRPr="001A3D2B">
        <w:t>journal editor, but he was a junior faculty member while</w:t>
      </w:r>
      <w:r w:rsidR="003A1917">
        <w:t xml:space="preserve"> the </w:t>
      </w:r>
      <w:r w:rsidRPr="001A3D2B">
        <w:t>plagiarist was a revered figure in his subspecialty. He chose not to pursue</w:t>
      </w:r>
      <w:r w:rsidR="003A1917">
        <w:t xml:space="preserve"> the </w:t>
      </w:r>
      <w:r w:rsidRPr="001A3D2B">
        <w:t>issue further because he was afraid that</w:t>
      </w:r>
      <w:r w:rsidR="003A1917">
        <w:t xml:space="preserve"> the </w:t>
      </w:r>
      <w:r w:rsidRPr="001A3D2B">
        <w:t>plagiarist would harm him professionally [1].</w:t>
      </w:r>
    </w:p>
    <w:p w:rsidR="009D2A6D" w:rsidRPr="001A3D2B" w:rsidRDefault="009D2A6D" w:rsidP="009D2A6D">
      <w:pPr>
        <w:pStyle w:val="a3"/>
      </w:pPr>
      <w:r w:rsidRPr="001A3D2B">
        <w:t>Keywords: Publication</w:t>
      </w:r>
    </w:p>
    <w:p w:rsidR="003F79A1" w:rsidRPr="00F219CA" w:rsidRDefault="003F79A1" w:rsidP="003F79A1">
      <w:pPr>
        <w:pStyle w:val="a3"/>
      </w:pPr>
      <w:r w:rsidRPr="00F219CA">
        <w:t xml:space="preserve">? </w:t>
      </w:r>
      <w:r>
        <w:t>Mussurakis, S</w:t>
      </w:r>
      <w:r w:rsidRPr="00F219CA">
        <w:t xml:space="preserve">. (1993), </w:t>
      </w:r>
      <w:r>
        <w:t>Do citation conventions influence coauthorship patterns</w:t>
      </w:r>
      <w:r w:rsidRPr="00F219CA">
        <w:t xml:space="preserve">. </w:t>
      </w:r>
      <w:r w:rsidRPr="00F219CA">
        <w:rPr>
          <w:i/>
          <w:iCs/>
        </w:rPr>
        <w:t>American Journal</w:t>
      </w:r>
      <w:r w:rsidR="00427468">
        <w:rPr>
          <w:i/>
          <w:iCs/>
        </w:rPr>
        <w:t xml:space="preserve"> of </w:t>
      </w:r>
      <w:r w:rsidRPr="00F219CA">
        <w:rPr>
          <w:i/>
          <w:iCs/>
        </w:rPr>
        <w:t>Roentgenology</w:t>
      </w:r>
      <w:r w:rsidRPr="00F219CA">
        <w:t xml:space="preserve">, </w:t>
      </w:r>
      <w:r w:rsidRPr="00F219CA">
        <w:rPr>
          <w:b/>
          <w:bCs/>
        </w:rPr>
        <w:t>161</w:t>
      </w:r>
      <w:r w:rsidRPr="00F219CA">
        <w:t xml:space="preserve"> (</w:t>
      </w:r>
      <w:r>
        <w:rPr>
          <w:rFonts w:hint="eastAsia"/>
        </w:rPr>
        <w:t>6</w:t>
      </w:r>
      <w:r w:rsidRPr="00F219CA">
        <w:t xml:space="preserve">), </w:t>
      </w:r>
      <w:r>
        <w:t>1317-1319</w:t>
      </w:r>
      <w:r w:rsidRPr="00F219CA">
        <w:t>.</w:t>
      </w:r>
    </w:p>
    <w:p w:rsidR="003F79A1" w:rsidRDefault="003F79A1" w:rsidP="003F79A1">
      <w:pPr>
        <w:pStyle w:val="a3"/>
      </w:pPr>
      <w:r w:rsidRPr="00F219CA">
        <w:t xml:space="preserve">Full Text: </w:t>
      </w:r>
      <w:hyperlink r:id="rId632" w:history="1">
        <w:r w:rsidRPr="00970F78">
          <w:rPr>
            <w:rStyle w:val="a5"/>
          </w:rPr>
          <w:t>1993\Ame J Roe161, 1317.pdf</w:t>
        </w:r>
      </w:hyperlink>
    </w:p>
    <w:p w:rsidR="003F79A1" w:rsidRDefault="003F79A1" w:rsidP="003F79A1">
      <w:pPr>
        <w:pStyle w:val="a3"/>
      </w:pPr>
      <w:r>
        <w:t>Abstract:</w:t>
      </w:r>
      <w:r w:rsidR="003A1917">
        <w:t xml:space="preserve"> the </w:t>
      </w:r>
      <w:r>
        <w:t>main purpose</w:t>
      </w:r>
      <w:r w:rsidR="00427468">
        <w:t xml:space="preserve"> of </w:t>
      </w:r>
      <w:r>
        <w:t>contributing to radiologic publications should be to advance</w:t>
      </w:r>
      <w:r w:rsidR="003A1917">
        <w:t xml:space="preserve"> the </w:t>
      </w:r>
      <w:r>
        <w:t>state</w:t>
      </w:r>
      <w:r w:rsidR="00427468">
        <w:t xml:space="preserve"> of </w:t>
      </w:r>
      <w:r>
        <w:t>knowledge or increase awareness</w:t>
      </w:r>
      <w:r w:rsidR="00427468">
        <w:t xml:space="preserve"> of </w:t>
      </w:r>
      <w:r>
        <w:t>issues useful in radiologic practice</w:t>
      </w:r>
      <w:r w:rsidR="005853A9">
        <w:t xml:space="preserve"> and </w:t>
      </w:r>
      <w:r>
        <w:t>research. According to experts on medical writing, however,</w:t>
      </w:r>
      <w:r w:rsidR="003A1917">
        <w:t xml:space="preserve"> the </w:t>
      </w:r>
      <w:r>
        <w:t>pride</w:t>
      </w:r>
      <w:r w:rsidR="00427468">
        <w:t xml:space="preserve"> of </w:t>
      </w:r>
      <w:r>
        <w:t>discovery</w:t>
      </w:r>
      <w:r w:rsidR="005853A9">
        <w:t xml:space="preserve"> and </w:t>
      </w:r>
      <w:r w:rsidR="003A1917">
        <w:t xml:space="preserve">the </w:t>
      </w:r>
      <w:r>
        <w:t>communication</w:t>
      </w:r>
      <w:r w:rsidR="00427468">
        <w:t xml:space="preserve"> of </w:t>
      </w:r>
      <w:r>
        <w:t>scientific information for</w:t>
      </w:r>
      <w:r w:rsidR="003A1917">
        <w:t xml:space="preserve"> the </w:t>
      </w:r>
      <w:r>
        <w:t>enrichment</w:t>
      </w:r>
      <w:r w:rsidR="00427468">
        <w:t xml:space="preserve"> of </w:t>
      </w:r>
      <w:r>
        <w:t>public knowledge are not</w:t>
      </w:r>
      <w:r w:rsidR="003A1917">
        <w:t xml:space="preserve"> the </w:t>
      </w:r>
      <w:r>
        <w:t>sole motives</w:t>
      </w:r>
      <w:r w:rsidR="00427468">
        <w:t xml:space="preserve"> of </w:t>
      </w:r>
      <w:r>
        <w:t>authors [1]. Success in</w:t>
      </w:r>
      <w:r w:rsidR="003A1917">
        <w:t xml:space="preserve"> the </w:t>
      </w:r>
      <w:r>
        <w:t>profession, prestige,</w:t>
      </w:r>
      <w:r w:rsidR="005853A9">
        <w:t xml:space="preserve"> and </w:t>
      </w:r>
      <w:r>
        <w:t>tenure have long been associated with prolific publishing in peer-reviewed journals. A proof</w:t>
      </w:r>
      <w:r w:rsidR="00427468">
        <w:t xml:space="preserve"> of </w:t>
      </w:r>
      <w:r>
        <w:t>this association is</w:t>
      </w:r>
      <w:r w:rsidR="003A1917">
        <w:t xml:space="preserve"> the </w:t>
      </w:r>
      <w:r>
        <w:t>documented rise through recent years in</w:t>
      </w:r>
      <w:r w:rsidR="003A1917">
        <w:t xml:space="preserve"> the </w:t>
      </w:r>
      <w:r>
        <w:t>number</w:t>
      </w:r>
      <w:r w:rsidR="00427468">
        <w:t xml:space="preserve"> of </w:t>
      </w:r>
      <w:r>
        <w:t>authors per paper [2, 3]</w:t>
      </w:r>
      <w:r w:rsidR="00A37C1D">
        <w:t>. The</w:t>
      </w:r>
      <w:r w:rsidR="003A1917">
        <w:t xml:space="preserve"> </w:t>
      </w:r>
      <w:r>
        <w:t>phenomenon has been attributed in part to</w:t>
      </w:r>
      <w:r w:rsidR="003A1917">
        <w:t xml:space="preserve"> the </w:t>
      </w:r>
      <w:r>
        <w:t>increasing complexity</w:t>
      </w:r>
      <w:r w:rsidR="005853A9">
        <w:t xml:space="preserve"> and </w:t>
      </w:r>
      <w:r>
        <w:t>labor intensiveness</w:t>
      </w:r>
      <w:r w:rsidR="00427468">
        <w:t xml:space="preserve"> of </w:t>
      </w:r>
      <w:r>
        <w:t>biomedical research, but this speculation remains unproved,</w:t>
      </w:r>
      <w:r w:rsidR="005853A9">
        <w:t xml:space="preserve"> and </w:t>
      </w:r>
      <w:r>
        <w:t>it is believed that often</w:t>
      </w:r>
      <w:r w:rsidR="003A1917">
        <w:t xml:space="preserve"> the </w:t>
      </w:r>
      <w:r>
        <w:t>allocation</w:t>
      </w:r>
      <w:r w:rsidR="00427468">
        <w:t xml:space="preserve"> of </w:t>
      </w:r>
      <w:r>
        <w:t>authorship has a volitional component [4].</w:t>
      </w:r>
    </w:p>
    <w:p w:rsidR="003F79A1" w:rsidRPr="00F219CA" w:rsidRDefault="003F79A1" w:rsidP="003F79A1">
      <w:pPr>
        <w:pStyle w:val="a3"/>
      </w:pPr>
      <w:r>
        <w:t>Keywords: Radiology</w:t>
      </w:r>
    </w:p>
    <w:p w:rsidR="003474F2" w:rsidRPr="001A3D2B" w:rsidRDefault="003474F2" w:rsidP="003474F2">
      <w:pPr>
        <w:pStyle w:val="a3"/>
      </w:pPr>
      <w:r w:rsidRPr="001A3D2B">
        <w:t>Notes: JJournal</w:t>
      </w:r>
    </w:p>
    <w:p w:rsidR="003474F2" w:rsidRPr="001A3D2B" w:rsidRDefault="003474F2" w:rsidP="003474F2">
      <w:pPr>
        <w:pStyle w:val="a3"/>
      </w:pPr>
      <w:r w:rsidRPr="001A3D2B">
        <w:t>? Elster, A.D.</w:t>
      </w:r>
      <w:r w:rsidR="005853A9">
        <w:t xml:space="preserve"> and </w:t>
      </w:r>
      <w:r w:rsidRPr="001A3D2B">
        <w:t>Chen, M.Y.M. (1994</w:t>
      </w:r>
      <w:r w:rsidR="00F42EAC">
        <w:t>), The</w:t>
      </w:r>
      <w:r w:rsidR="003A1917">
        <w:t xml:space="preserve"> </w:t>
      </w:r>
      <w:r w:rsidRPr="001A3D2B">
        <w:t>Internationalization</w:t>
      </w:r>
      <w:r w:rsidR="00427468">
        <w:t xml:space="preserve"> of </w:t>
      </w:r>
      <w:r w:rsidR="003A1917">
        <w:t xml:space="preserve">the </w:t>
      </w:r>
      <w:r w:rsidRPr="001A3D2B">
        <w:rPr>
          <w:i/>
        </w:rPr>
        <w:t>American Journal</w:t>
      </w:r>
      <w:r w:rsidR="00427468">
        <w:rPr>
          <w:i/>
        </w:rPr>
        <w:t xml:space="preserve"> of </w:t>
      </w:r>
      <w:r w:rsidRPr="001A3D2B">
        <w:rPr>
          <w:i/>
        </w:rPr>
        <w:t>Roentgenology</w:t>
      </w:r>
      <w:r w:rsidRPr="001A3D2B">
        <w:t xml:space="preserve">: 1980-1992. </w:t>
      </w:r>
      <w:r w:rsidRPr="001A3D2B">
        <w:rPr>
          <w:i/>
          <w:iCs/>
        </w:rPr>
        <w:t>American Journal</w:t>
      </w:r>
      <w:r w:rsidR="00427468">
        <w:rPr>
          <w:i/>
          <w:iCs/>
        </w:rPr>
        <w:t xml:space="preserve"> of </w:t>
      </w:r>
      <w:r w:rsidRPr="001A3D2B">
        <w:rPr>
          <w:i/>
          <w:iCs/>
        </w:rPr>
        <w:t>Roentgenology</w:t>
      </w:r>
      <w:r w:rsidRPr="001A3D2B">
        <w:t xml:space="preserve">, </w:t>
      </w:r>
      <w:r w:rsidRPr="001A3D2B">
        <w:rPr>
          <w:b/>
          <w:bCs/>
        </w:rPr>
        <w:t>162</w:t>
      </w:r>
      <w:r w:rsidRPr="001A3D2B">
        <w:t xml:space="preserve"> (3), 519-522.</w:t>
      </w:r>
    </w:p>
    <w:p w:rsidR="003474F2" w:rsidRPr="001A3D2B" w:rsidRDefault="003474F2" w:rsidP="003474F2">
      <w:pPr>
        <w:pStyle w:val="a3"/>
      </w:pPr>
      <w:r w:rsidRPr="001A3D2B">
        <w:t xml:space="preserve">Full Text: </w:t>
      </w:r>
      <w:hyperlink r:id="rId633" w:history="1">
        <w:r w:rsidRPr="001A3D2B">
          <w:rPr>
            <w:rStyle w:val="a5"/>
          </w:rPr>
          <w:t>1994\Ame J Roe162, 519.pdf</w:t>
        </w:r>
      </w:hyperlink>
    </w:p>
    <w:p w:rsidR="003474F2" w:rsidRPr="001A3D2B" w:rsidRDefault="003474F2" w:rsidP="003474F2">
      <w:pPr>
        <w:pStyle w:val="a3"/>
      </w:pPr>
      <w:r w:rsidRPr="001A3D2B">
        <w:t>Abstract: OBJECTIVE,</w:t>
      </w:r>
      <w:r w:rsidR="003A1917">
        <w:t xml:space="preserve"> the </w:t>
      </w:r>
      <w:r w:rsidRPr="001A3D2B">
        <w:t>purpose</w:t>
      </w:r>
      <w:r w:rsidR="00427468">
        <w:t xml:space="preserve"> of </w:t>
      </w:r>
      <w:r w:rsidRPr="001A3D2B">
        <w:t>this study was to determine whether significant changes have occurred in</w:t>
      </w:r>
      <w:r w:rsidR="003A1917">
        <w:t xml:space="preserve"> the </w:t>
      </w:r>
      <w:r w:rsidRPr="001A3D2B">
        <w:t>number</w:t>
      </w:r>
      <w:r w:rsidR="00427468">
        <w:t xml:space="preserve"> of </w:t>
      </w:r>
      <w:r w:rsidRPr="001A3D2B">
        <w:t>foreign articles published in</w:t>
      </w:r>
      <w:r w:rsidR="003A1917">
        <w:t xml:space="preserve"> the </w:t>
      </w:r>
      <w:r w:rsidRPr="001A3D2B">
        <w:t>American Journal</w:t>
      </w:r>
      <w:r w:rsidR="00427468">
        <w:t xml:space="preserve"> of </w:t>
      </w:r>
      <w:r w:rsidRPr="001A3D2B">
        <w:t>Roentgenology since 1980. MATERIALS</w:t>
      </w:r>
      <w:r w:rsidR="005853A9">
        <w:t xml:space="preserve"> and </w:t>
      </w:r>
      <w:r w:rsidRPr="001A3D2B">
        <w:t>METHODS, A total</w:t>
      </w:r>
      <w:r w:rsidR="00427468">
        <w:t xml:space="preserve"> of </w:t>
      </w:r>
      <w:r w:rsidRPr="001A3D2B">
        <w:t>3398 articles published in AJR during two 3-year periods (1980-1982</w:t>
      </w:r>
      <w:r w:rsidR="005853A9">
        <w:t xml:space="preserve"> and </w:t>
      </w:r>
      <w:r w:rsidRPr="001A3D2B">
        <w:t>1990-1992) were classified by type, subject, radiologic technique, organ system,</w:t>
      </w:r>
      <w:r w:rsidR="005853A9">
        <w:t xml:space="preserve"> and </w:t>
      </w:r>
      <w:r w:rsidRPr="001A3D2B">
        <w:t>national origin. Additionally, 2865 manuscripts submitted to AJR from 1990 to 1992 were analyzed to determine</w:t>
      </w:r>
      <w:r w:rsidR="003A1917">
        <w:t xml:space="preserve"> the </w:t>
      </w:r>
      <w:r w:rsidRPr="001A3D2B">
        <w:t>probability</w:t>
      </w:r>
      <w:r w:rsidR="00427468">
        <w:t xml:space="preserve"> of </w:t>
      </w:r>
      <w:r w:rsidRPr="001A3D2B">
        <w:t>manuscript acceptance based on country</w:t>
      </w:r>
      <w:r w:rsidR="00427468">
        <w:t xml:space="preserve"> of </w:t>
      </w:r>
      <w:r w:rsidRPr="001A3D2B">
        <w:t>origin. RESULTS. From 1980 to 1982, 158 (10%)</w:t>
      </w:r>
      <w:r w:rsidR="00427468">
        <w:t xml:space="preserve"> of </w:t>
      </w:r>
      <w:r w:rsidRPr="001A3D2B">
        <w:t>1610 articles published in AJR originated from institutions outside</w:t>
      </w:r>
      <w:r w:rsidR="003A1917">
        <w:t xml:space="preserve"> the </w:t>
      </w:r>
      <w:r w:rsidRPr="001A3D2B">
        <w:t>United States. By 1990-1992, international articles accounted for 441 (25%)</w:t>
      </w:r>
      <w:r w:rsidR="00427468">
        <w:t xml:space="preserve"> of </w:t>
      </w:r>
      <w:r w:rsidRPr="001A3D2B">
        <w:t>1788 published papers (p &lt; .00001). Although</w:t>
      </w:r>
      <w:r w:rsidR="003A1917">
        <w:t xml:space="preserve"> the </w:t>
      </w:r>
      <w:r w:rsidRPr="001A3D2B">
        <w:t>total number</w:t>
      </w:r>
      <w:r w:rsidR="00427468">
        <w:t xml:space="preserve"> of </w:t>
      </w:r>
      <w:r w:rsidRPr="001A3D2B">
        <w:t>published articles from most nations increased during</w:t>
      </w:r>
      <w:r w:rsidR="003A1917">
        <w:t xml:space="preserve"> the </w:t>
      </w:r>
      <w:r w:rsidRPr="001A3D2B">
        <w:t>decade, Korea, Japan,</w:t>
      </w:r>
      <w:r w:rsidR="005853A9">
        <w:t xml:space="preserve"> and </w:t>
      </w:r>
      <w:r w:rsidRPr="001A3D2B">
        <w:t>Germany made</w:t>
      </w:r>
      <w:r w:rsidR="003A1917">
        <w:t xml:space="preserve"> the </w:t>
      </w:r>
      <w:r w:rsidRPr="001A3D2B">
        <w:t>largest advances. International contributions in</w:t>
      </w:r>
      <w:r w:rsidR="003A1917">
        <w:t xml:space="preserve"> the </w:t>
      </w:r>
      <w:r w:rsidRPr="001A3D2B">
        <w:t>1990s were most numerous in</w:t>
      </w:r>
      <w:r w:rsidR="003A1917">
        <w:t xml:space="preserve"> the </w:t>
      </w:r>
      <w:r w:rsidRPr="001A3D2B">
        <w:t>following areas: adult radiology, abdominal/gastrointestinal imaging, pulmonary/thoracic imaging, sonography,</w:t>
      </w:r>
      <w:r w:rsidR="005853A9">
        <w:t xml:space="preserve"> and </w:t>
      </w:r>
      <w:r w:rsidRPr="001A3D2B">
        <w:lastRenderedPageBreak/>
        <w:t>interventional radiology. Notwithstanding these trends, manuscripts submitted from international sources are somewhat less likely to be accepted for publication than those originating from</w:t>
      </w:r>
      <w:r w:rsidR="003A1917">
        <w:t xml:space="preserve"> the </w:t>
      </w:r>
      <w:r w:rsidRPr="001A3D2B">
        <w:t>United States (acceptance rate for major papers 27% vs 33%, p = .01). CONCLUSION</w:t>
      </w:r>
      <w:r w:rsidR="00A37C1D">
        <w:t>. The</w:t>
      </w:r>
      <w:r w:rsidR="003A1917">
        <w:t xml:space="preserve"> </w:t>
      </w:r>
      <w:r w:rsidRPr="001A3D2B">
        <w:t>American Journal</w:t>
      </w:r>
      <w:r w:rsidR="00427468">
        <w:t xml:space="preserve"> of </w:t>
      </w:r>
      <w:r w:rsidRPr="001A3D2B">
        <w:t>Roentgenology is becoming increasingly internationalized, with Korea, Japan,</w:t>
      </w:r>
      <w:r w:rsidR="005853A9">
        <w:t xml:space="preserve"> and </w:t>
      </w:r>
      <w:r w:rsidRPr="001A3D2B">
        <w:t>Germany making particularly striking advances in</w:t>
      </w:r>
      <w:r w:rsidR="003A1917">
        <w:t xml:space="preserve"> the </w:t>
      </w:r>
      <w:r w:rsidRPr="001A3D2B">
        <w:t>past decade.</w:t>
      </w:r>
    </w:p>
    <w:p w:rsidR="003474F2" w:rsidRPr="001A3D2B" w:rsidRDefault="003474F2" w:rsidP="003474F2">
      <w:pPr>
        <w:pStyle w:val="a3"/>
      </w:pPr>
      <w:r w:rsidRPr="001A3D2B">
        <w:t>Keywords: Acceptance, Adult, Advances, Changes, Country, Country</w:t>
      </w:r>
      <w:r w:rsidR="00427468">
        <w:t xml:space="preserve"> of </w:t>
      </w:r>
      <w:r w:rsidRPr="001A3D2B">
        <w:t>Origin, Germany, Institutions, International, Japan, Korea, Methods, Nations, Origin, Papers, Publication, Purpose, Radiology, Sonography, Sources, Trends, United States</w:t>
      </w:r>
    </w:p>
    <w:p w:rsidR="003474F2" w:rsidRPr="001A3D2B" w:rsidRDefault="003474F2" w:rsidP="003474F2">
      <w:pPr>
        <w:pStyle w:val="a3"/>
      </w:pPr>
      <w:r w:rsidRPr="001A3D2B">
        <w:t>? Hansen, M.E.</w:t>
      </w:r>
      <w:r w:rsidR="005853A9">
        <w:t xml:space="preserve"> and </w:t>
      </w:r>
      <w:r w:rsidRPr="001A3D2B">
        <w:t>Mcintire, D.D. (1994), Reference citations in radiology: Accuracy</w:t>
      </w:r>
      <w:r w:rsidR="005853A9">
        <w:t xml:space="preserve"> and </w:t>
      </w:r>
      <w:r w:rsidRPr="001A3D2B">
        <w:t>appropriateness</w:t>
      </w:r>
      <w:r w:rsidR="00427468">
        <w:t xml:space="preserve"> of </w:t>
      </w:r>
      <w:r w:rsidRPr="001A3D2B">
        <w:t xml:space="preserve">use in two major journals. </w:t>
      </w:r>
      <w:r w:rsidRPr="001A3D2B">
        <w:rPr>
          <w:i/>
          <w:iCs/>
          <w:szCs w:val="27"/>
        </w:rPr>
        <w:t>American Journal</w:t>
      </w:r>
      <w:r w:rsidR="00427468">
        <w:rPr>
          <w:i/>
          <w:iCs/>
          <w:szCs w:val="27"/>
        </w:rPr>
        <w:t xml:space="preserve"> of </w:t>
      </w:r>
      <w:r w:rsidRPr="001A3D2B">
        <w:rPr>
          <w:i/>
          <w:iCs/>
          <w:szCs w:val="27"/>
        </w:rPr>
        <w:t>Roentgenology</w:t>
      </w:r>
      <w:r w:rsidRPr="001A3D2B">
        <w:t xml:space="preserve">, </w:t>
      </w:r>
      <w:r w:rsidRPr="001A3D2B">
        <w:rPr>
          <w:b/>
          <w:bCs/>
        </w:rPr>
        <w:t>163</w:t>
      </w:r>
      <w:r w:rsidRPr="001A3D2B">
        <w:t xml:space="preserve"> (3), 719-723.</w:t>
      </w:r>
    </w:p>
    <w:p w:rsidR="003474F2" w:rsidRPr="001A3D2B" w:rsidRDefault="003474F2" w:rsidP="003474F2">
      <w:pPr>
        <w:pStyle w:val="a3"/>
      </w:pPr>
      <w:r w:rsidRPr="001A3D2B">
        <w:t xml:space="preserve">Full Text: </w:t>
      </w:r>
      <w:hyperlink r:id="rId634" w:history="1">
        <w:r w:rsidRPr="001A3D2B">
          <w:rPr>
            <w:rStyle w:val="a5"/>
          </w:rPr>
          <w:t>1994\Ame J Roe163, 719.pdf</w:t>
        </w:r>
      </w:hyperlink>
    </w:p>
    <w:p w:rsidR="003474F2" w:rsidRPr="001A3D2B" w:rsidRDefault="003474F2" w:rsidP="003474F2">
      <w:pPr>
        <w:pStyle w:val="a3"/>
      </w:pPr>
      <w:r w:rsidRPr="001A3D2B">
        <w:t>Abstract: OBJECTIVE. Errors in reference citation</w:t>
      </w:r>
      <w:r w:rsidR="005853A9">
        <w:t xml:space="preserve"> and </w:t>
      </w:r>
      <w:r w:rsidRPr="001A3D2B">
        <w:t>use are common in</w:t>
      </w:r>
      <w:r w:rsidR="003A1917">
        <w:t xml:space="preserve"> the </w:t>
      </w:r>
      <w:r w:rsidRPr="001A3D2B">
        <w:t>medical</w:t>
      </w:r>
      <w:r w:rsidR="005853A9">
        <w:t xml:space="preserve"> and </w:t>
      </w:r>
      <w:r w:rsidRPr="001A3D2B">
        <w:t>scientific literature</w:t>
      </w:r>
      <w:r w:rsidR="00A37C1D">
        <w:t>. The</w:t>
      </w:r>
      <w:r w:rsidR="003A1917">
        <w:t xml:space="preserve"> </w:t>
      </w:r>
      <w:r w:rsidRPr="001A3D2B">
        <w:t>prevalence</w:t>
      </w:r>
      <w:r w:rsidR="00427468">
        <w:t xml:space="preserve"> of </w:t>
      </w:r>
      <w:r w:rsidRPr="001A3D2B">
        <w:t>such errors in</w:t>
      </w:r>
      <w:r w:rsidR="003A1917">
        <w:t xml:space="preserve"> the </w:t>
      </w:r>
      <w:r w:rsidRPr="001A3D2B">
        <w:t>radiology literature has not been reported. We did a study to assess</w:t>
      </w:r>
      <w:r w:rsidR="003A1917">
        <w:t xml:space="preserve"> the </w:t>
      </w:r>
      <w:r w:rsidRPr="001A3D2B">
        <w:t>accuracy</w:t>
      </w:r>
      <w:r w:rsidR="005853A9">
        <w:t xml:space="preserve"> and </w:t>
      </w:r>
      <w:r w:rsidRPr="001A3D2B">
        <w:t>appropriateness</w:t>
      </w:r>
      <w:r w:rsidR="00427468">
        <w:t xml:space="preserve"> of </w:t>
      </w:r>
      <w:r w:rsidRPr="001A3D2B">
        <w:t>use</w:t>
      </w:r>
      <w:r w:rsidR="00427468">
        <w:t xml:space="preserve"> of </w:t>
      </w:r>
      <w:r w:rsidRPr="001A3D2B">
        <w:t>references cited in two general radiology journals. MATERIALS</w:t>
      </w:r>
      <w:r w:rsidR="005853A9">
        <w:t xml:space="preserve"> and </w:t>
      </w:r>
      <w:r w:rsidRPr="001A3D2B">
        <w:t>METHODS. All references cited in</w:t>
      </w:r>
      <w:r w:rsidR="003A1917">
        <w:t xml:space="preserve"> the </w:t>
      </w:r>
      <w:r w:rsidRPr="001A3D2B">
        <w:t>June 1993 issues</w:t>
      </w:r>
      <w:r w:rsidR="00427468">
        <w:t xml:space="preserve"> of </w:t>
      </w:r>
      <w:r w:rsidR="003A1917">
        <w:t xml:space="preserve">the </w:t>
      </w:r>
      <w:r w:rsidRPr="001A3D2B">
        <w:t>American Journal</w:t>
      </w:r>
      <w:r w:rsidR="00427468">
        <w:t xml:space="preserve"> of </w:t>
      </w:r>
      <w:r w:rsidRPr="001A3D2B">
        <w:t>Roentgenology</w:t>
      </w:r>
      <w:r w:rsidR="005853A9">
        <w:t xml:space="preserve"> and </w:t>
      </w:r>
      <w:r w:rsidRPr="001A3D2B">
        <w:t>Radiology were numbered consecutively. Fifty references were chosen at random from each journal,</w:t>
      </w:r>
      <w:r w:rsidR="005853A9">
        <w:t xml:space="preserve"> and </w:t>
      </w:r>
      <w:r w:rsidRPr="001A3D2B">
        <w:t>copies</w:t>
      </w:r>
      <w:r w:rsidR="00427468">
        <w:t xml:space="preserve"> of </w:t>
      </w:r>
      <w:r w:rsidR="003A1917">
        <w:t xml:space="preserve">the </w:t>
      </w:r>
      <w:r w:rsidRPr="001A3D2B">
        <w:t>original publications were obtained from</w:t>
      </w:r>
      <w:r w:rsidR="003A1917">
        <w:t xml:space="preserve"> the </w:t>
      </w:r>
      <w:r w:rsidRPr="001A3D2B">
        <w:t>medical library at our institution or through interlibrary loan. Each reference was studied for accuracy</w:t>
      </w:r>
      <w:r w:rsidR="005853A9">
        <w:t xml:space="preserve"> and </w:t>
      </w:r>
      <w:r w:rsidRPr="001A3D2B">
        <w:t>appropriateness</w:t>
      </w:r>
      <w:r w:rsidR="00427468">
        <w:t xml:space="preserve"> of </w:t>
      </w:r>
      <w:r w:rsidRPr="001A3D2B">
        <w:t>its citation in</w:t>
      </w:r>
      <w:r w:rsidR="003A1917">
        <w:t xml:space="preserve"> the </w:t>
      </w:r>
      <w:r w:rsidRPr="001A3D2B">
        <w:t xml:space="preserve">June 1993 journal article (the </w:t>
      </w:r>
      <w:r w:rsidR="00B5188C">
        <w:t>“</w:t>
      </w:r>
      <w:r w:rsidRPr="001A3D2B">
        <w:t>index article</w:t>
      </w:r>
      <w:r w:rsidR="00B5188C">
        <w:t>”</w:t>
      </w:r>
      <w:r w:rsidRPr="001A3D2B">
        <w:t>). Errors were classified as major or minor in each category. Data were analyzed with</w:t>
      </w:r>
      <w:r w:rsidR="003A1917">
        <w:t xml:space="preserve"> the </w:t>
      </w:r>
      <w:r w:rsidRPr="001A3D2B">
        <w:t>SAS statistical package. RESULTS. Forty-seven (94%)</w:t>
      </w:r>
      <w:r w:rsidR="00427468">
        <w:t xml:space="preserve"> of </w:t>
      </w:r>
      <w:r w:rsidRPr="001A3D2B">
        <w:t>50 references were obtained from AJR,</w:t>
      </w:r>
      <w:r w:rsidR="005853A9">
        <w:t xml:space="preserve"> and </w:t>
      </w:r>
      <w:r w:rsidRPr="001A3D2B">
        <w:t>48 (96%)</w:t>
      </w:r>
      <w:r w:rsidR="00427468">
        <w:t xml:space="preserve"> of </w:t>
      </w:r>
      <w:r w:rsidRPr="001A3D2B">
        <w:t>50 from Radiology.</w:t>
      </w:r>
      <w:r w:rsidR="00427468">
        <w:t xml:space="preserve"> of </w:t>
      </w:r>
      <w:r w:rsidR="003A1917">
        <w:t xml:space="preserve">the </w:t>
      </w:r>
      <w:r w:rsidRPr="001A3D2B">
        <w:t>47 from</w:t>
      </w:r>
      <w:r w:rsidR="003A1917">
        <w:t xml:space="preserve"> the </w:t>
      </w:r>
      <w:r w:rsidRPr="001A3D2B">
        <w:t>AJR, one (2%) had a major error</w:t>
      </w:r>
      <w:r w:rsidR="005853A9">
        <w:t xml:space="preserve"> and </w:t>
      </w:r>
      <w:r w:rsidRPr="001A3D2B">
        <w:t>21 (45%) had a minor error in accuracy.</w:t>
      </w:r>
      <w:r w:rsidR="00427468">
        <w:t xml:space="preserve"> of </w:t>
      </w:r>
      <w:r w:rsidR="003A1917">
        <w:t xml:space="preserve">the </w:t>
      </w:r>
      <w:r w:rsidRPr="001A3D2B">
        <w:t>48 from Radiology, two (4%) had a major error</w:t>
      </w:r>
      <w:r w:rsidR="005853A9">
        <w:t xml:space="preserve"> and </w:t>
      </w:r>
      <w:r w:rsidRPr="001A3D2B">
        <w:t>11 (23%) had a minor error in accuracy</w:t>
      </w:r>
      <w:r w:rsidR="00A37C1D">
        <w:t>. The</w:t>
      </w:r>
      <w:r w:rsidRPr="001A3D2B">
        <w:t>se Values were significantly different for minor errors (p = .0188), but not for major ones (p = 1.000). When we adjusted for index article type, error rates for</w:t>
      </w:r>
      <w:r w:rsidR="003A1917">
        <w:t xml:space="preserve"> the </w:t>
      </w:r>
      <w:r w:rsidRPr="001A3D2B">
        <w:t>two journals were not significantly different (p = .0612). We found four major errors (9%)</w:t>
      </w:r>
      <w:r w:rsidR="005853A9">
        <w:t xml:space="preserve"> and </w:t>
      </w:r>
      <w:r w:rsidRPr="001A3D2B">
        <w:t>two minor errors (4%) in appropriateness</w:t>
      </w:r>
      <w:r w:rsidR="00427468">
        <w:t xml:space="preserve"> of </w:t>
      </w:r>
      <w:r w:rsidRPr="001A3D2B">
        <w:t>citation in</w:t>
      </w:r>
      <w:r w:rsidR="003A1917">
        <w:t xml:space="preserve"> the </w:t>
      </w:r>
      <w:r w:rsidRPr="001A3D2B">
        <w:t>AJR references we studied. Three references (6%) from Radiology contained major errors in appropriateness</w:t>
      </w:r>
      <w:r w:rsidR="00427468">
        <w:t xml:space="preserve"> of </w:t>
      </w:r>
      <w:r w:rsidRPr="001A3D2B">
        <w:t>use; we found no minor errors</w:t>
      </w:r>
      <w:r w:rsidR="00427468">
        <w:t xml:space="preserve"> of </w:t>
      </w:r>
      <w:r w:rsidRPr="001A3D2B">
        <w:t>that type</w:t>
      </w:r>
      <w:r w:rsidR="00A37C1D">
        <w:t>. The</w:t>
      </w:r>
      <w:r w:rsidRPr="001A3D2B">
        <w:t>se values were not significantly different (p = .232 for minor errors; p = .709 for major errors). One error in accuracy prevented location</w:t>
      </w:r>
      <w:r w:rsidR="00427468">
        <w:t xml:space="preserve"> of </w:t>
      </w:r>
      <w:r w:rsidR="003A1917">
        <w:t xml:space="preserve">the </w:t>
      </w:r>
      <w:r w:rsidRPr="001A3D2B">
        <w:t>original reference. Errors were not related to</w:t>
      </w:r>
      <w:r w:rsidR="003A1917">
        <w:t xml:space="preserve"> the </w:t>
      </w:r>
      <w:r w:rsidRPr="001A3D2B">
        <w:t>number</w:t>
      </w:r>
      <w:r w:rsidR="00427468">
        <w:t xml:space="preserve"> of </w:t>
      </w:r>
      <w:r w:rsidRPr="001A3D2B">
        <w:t>references cited in an index article (p = .528 for accuracy; p = .092 for appropriateness). CONCLUSION</w:t>
      </w:r>
      <w:r w:rsidR="00A37C1D">
        <w:t>. The</w:t>
      </w:r>
      <w:r w:rsidR="003A1917">
        <w:t xml:space="preserve"> </w:t>
      </w:r>
      <w:r w:rsidRPr="001A3D2B">
        <w:t>rate</w:t>
      </w:r>
      <w:r w:rsidR="00427468">
        <w:t xml:space="preserve"> of </w:t>
      </w:r>
      <w:r w:rsidRPr="001A3D2B">
        <w:t>minor errors in accuracy</w:t>
      </w:r>
      <w:r w:rsidR="00427468">
        <w:t xml:space="preserve"> of </w:t>
      </w:r>
      <w:r w:rsidRPr="001A3D2B">
        <w:t>references is fairly high in</w:t>
      </w:r>
      <w:r w:rsidR="003A1917">
        <w:t xml:space="preserve"> the </w:t>
      </w:r>
      <w:r w:rsidRPr="001A3D2B">
        <w:t>two journals studied</w:t>
      </w:r>
      <w:r w:rsidR="005853A9">
        <w:t xml:space="preserve"> and </w:t>
      </w:r>
      <w:r w:rsidRPr="001A3D2B">
        <w:t>is comparable to rates previously reported for other types</w:t>
      </w:r>
      <w:r w:rsidR="00427468">
        <w:t xml:space="preserve"> of </w:t>
      </w:r>
      <w:r w:rsidRPr="001A3D2B">
        <w:t>journals</w:t>
      </w:r>
      <w:r w:rsidR="00A37C1D">
        <w:t xml:space="preserve">. </w:t>
      </w:r>
      <w:r w:rsidR="00A37C1D">
        <w:lastRenderedPageBreak/>
        <w:t>The</w:t>
      </w:r>
      <w:r w:rsidR="003A1917">
        <w:t xml:space="preserve"> </w:t>
      </w:r>
      <w:r w:rsidRPr="001A3D2B">
        <w:t>rate</w:t>
      </w:r>
      <w:r w:rsidR="00427468">
        <w:t xml:space="preserve"> of </w:t>
      </w:r>
      <w:r w:rsidRPr="001A3D2B">
        <w:t>major errors in accuracy</w:t>
      </w:r>
      <w:r w:rsidR="00427468">
        <w:t xml:space="preserve"> of </w:t>
      </w:r>
      <w:r w:rsidRPr="001A3D2B">
        <w:t>references is slightly lower than rates for other types</w:t>
      </w:r>
      <w:r w:rsidR="00427468">
        <w:t xml:space="preserve"> of </w:t>
      </w:r>
      <w:r w:rsidRPr="001A3D2B">
        <w:t>journals</w:t>
      </w:r>
      <w:r w:rsidR="00A37C1D">
        <w:t>. The</w:t>
      </w:r>
      <w:r w:rsidR="003A1917">
        <w:t xml:space="preserve"> </w:t>
      </w:r>
      <w:r w:rsidRPr="001A3D2B">
        <w:t>percentage</w:t>
      </w:r>
      <w:r w:rsidR="00427468">
        <w:t xml:space="preserve"> of </w:t>
      </w:r>
      <w:r w:rsidRPr="001A3D2B">
        <w:t>cited references that could not be located was also smaller than in previous reports. Errors in citation appropriateness were less common as well. Given</w:t>
      </w:r>
      <w:r w:rsidR="003A1917">
        <w:t xml:space="preserve"> the </w:t>
      </w:r>
      <w:r w:rsidRPr="001A3D2B">
        <w:t>small number</w:t>
      </w:r>
      <w:r w:rsidR="00427468">
        <w:t xml:space="preserve"> of </w:t>
      </w:r>
      <w:r w:rsidRPr="001A3D2B">
        <w:t>errors that prevented references from being located, significant expenditure</w:t>
      </w:r>
      <w:r w:rsidR="00427468">
        <w:t xml:space="preserve"> of </w:t>
      </w:r>
      <w:r w:rsidRPr="001A3D2B">
        <w:t>time</w:t>
      </w:r>
      <w:r w:rsidR="005853A9">
        <w:t xml:space="preserve"> and </w:t>
      </w:r>
      <w:r w:rsidRPr="001A3D2B">
        <w:t>money by journal staff members in checking references is probably not justified. However, authors should be encouraged to exercise greater care in checking all</w:t>
      </w:r>
      <w:r w:rsidR="00427468">
        <w:t xml:space="preserve"> of </w:t>
      </w:r>
      <w:r w:rsidRPr="001A3D2B">
        <w:t>their references for both accuracy</w:t>
      </w:r>
      <w:r w:rsidR="005853A9">
        <w:t xml:space="preserve"> and </w:t>
      </w:r>
      <w:r w:rsidRPr="001A3D2B">
        <w:t>appropriateness</w:t>
      </w:r>
      <w:r w:rsidR="00427468">
        <w:t xml:space="preserve"> of </w:t>
      </w:r>
      <w:r w:rsidRPr="001A3D2B">
        <w:t>use. Differences in error rates between AJR</w:t>
      </w:r>
      <w:r w:rsidR="005853A9">
        <w:t xml:space="preserve"> and </w:t>
      </w:r>
      <w:r w:rsidRPr="001A3D2B">
        <w:t>Radiology may have resulted in part from</w:t>
      </w:r>
      <w:r w:rsidR="003A1917">
        <w:t xml:space="preserve"> the </w:t>
      </w:r>
      <w:r w:rsidRPr="001A3D2B">
        <w:t>random sampling method, which produced different mixtures</w:t>
      </w:r>
      <w:r w:rsidR="00427468">
        <w:t xml:space="preserve"> of </w:t>
      </w:r>
      <w:r w:rsidRPr="001A3D2B">
        <w:t>index articles for</w:t>
      </w:r>
      <w:r w:rsidR="003A1917">
        <w:t xml:space="preserve"> the </w:t>
      </w:r>
      <w:r w:rsidRPr="001A3D2B">
        <w:t>two journals.</w:t>
      </w:r>
    </w:p>
    <w:p w:rsidR="003474F2" w:rsidRPr="001A3D2B" w:rsidRDefault="003474F2" w:rsidP="003474F2">
      <w:pPr>
        <w:pStyle w:val="a3"/>
      </w:pPr>
      <w:r w:rsidRPr="001A3D2B">
        <w:t>Keywords: Accuracy, Care, Citation, Error, Errors, Exercise, General, Index, Journal, Journal Article, Journals, Literature, Location, Medical, Methods, Minor, Prevalence, Publications, Radiology, Rates, Sampling, Scientific Literature, Small</w:t>
      </w:r>
    </w:p>
    <w:p w:rsidR="003474F2" w:rsidRPr="001A3D2B" w:rsidRDefault="003474F2" w:rsidP="003474F2">
      <w:pPr>
        <w:pStyle w:val="a3"/>
      </w:pPr>
      <w:r w:rsidRPr="001A3D2B">
        <w:t>? Obuchowski, N.A.</w:t>
      </w:r>
      <w:r w:rsidR="005853A9">
        <w:t xml:space="preserve"> and </w:t>
      </w:r>
      <w:r w:rsidRPr="001A3D2B">
        <w:t xml:space="preserve">Zepp, R.C. (1996), Simple steps for improving multiple-reader studies in radiology. </w:t>
      </w:r>
      <w:r w:rsidRPr="001A3D2B">
        <w:rPr>
          <w:i/>
          <w:iCs/>
        </w:rPr>
        <w:t>American Journal</w:t>
      </w:r>
      <w:r w:rsidR="00427468">
        <w:rPr>
          <w:i/>
          <w:iCs/>
        </w:rPr>
        <w:t xml:space="preserve"> of </w:t>
      </w:r>
      <w:r w:rsidRPr="001A3D2B">
        <w:rPr>
          <w:i/>
          <w:iCs/>
        </w:rPr>
        <w:t>Roentgenology</w:t>
      </w:r>
      <w:r w:rsidRPr="001A3D2B">
        <w:t xml:space="preserve">, </w:t>
      </w:r>
      <w:r w:rsidRPr="001A3D2B">
        <w:rPr>
          <w:b/>
          <w:bCs/>
        </w:rPr>
        <w:t>166</w:t>
      </w:r>
      <w:r w:rsidRPr="001A3D2B">
        <w:t xml:space="preserve"> (3), 517-521.</w:t>
      </w:r>
    </w:p>
    <w:p w:rsidR="003474F2" w:rsidRPr="001A3D2B" w:rsidRDefault="003474F2" w:rsidP="003474F2">
      <w:pPr>
        <w:pStyle w:val="a3"/>
      </w:pPr>
      <w:r w:rsidRPr="001A3D2B">
        <w:t xml:space="preserve">Full Text: </w:t>
      </w:r>
      <w:hyperlink r:id="rId635" w:history="1">
        <w:r w:rsidRPr="001A3D2B">
          <w:rPr>
            <w:rStyle w:val="a5"/>
          </w:rPr>
          <w:t>1996\Ame J Roe166, 517.pdf</w:t>
        </w:r>
      </w:hyperlink>
    </w:p>
    <w:p w:rsidR="003474F2" w:rsidRPr="001A3D2B" w:rsidRDefault="003474F2" w:rsidP="003474F2">
      <w:pPr>
        <w:pStyle w:val="a3"/>
      </w:pPr>
      <w:r w:rsidRPr="001A3D2B">
        <w:t>Abstract: Multiple-reader study designs have become popular in</w:t>
      </w:r>
      <w:r w:rsidR="003A1917">
        <w:t xml:space="preserve"> the </w:t>
      </w:r>
      <w:r w:rsidRPr="001A3D2B">
        <w:t>radiology literature. We reviewed</w:t>
      </w:r>
      <w:r w:rsidR="003A1917">
        <w:t xml:space="preserve"> the </w:t>
      </w:r>
      <w:r w:rsidRPr="001A3D2B">
        <w:t>major papers published in</w:t>
      </w:r>
      <w:r w:rsidR="003A1917">
        <w:t xml:space="preserve"> the </w:t>
      </w:r>
      <w:r w:rsidRPr="001A3D2B">
        <w:t>American Journal</w:t>
      </w:r>
      <w:r w:rsidR="00427468">
        <w:t xml:space="preserve"> of </w:t>
      </w:r>
      <w:r w:rsidRPr="001A3D2B">
        <w:t>Roentgenology in</w:t>
      </w:r>
      <w:r w:rsidR="003A1917">
        <w:t xml:space="preserve"> the </w:t>
      </w:r>
      <w:r w:rsidRPr="001A3D2B">
        <w:t>first 4 months</w:t>
      </w:r>
      <w:r w:rsidR="00427468">
        <w:t xml:space="preserve"> of </w:t>
      </w:r>
      <w:r w:rsidRPr="001A3D2B">
        <w:t>each</w:t>
      </w:r>
      <w:r w:rsidR="00427468">
        <w:t xml:space="preserve"> of </w:t>
      </w:r>
      <w:r w:rsidR="003A1917">
        <w:t xml:space="preserve">the </w:t>
      </w:r>
      <w:r w:rsidRPr="001A3D2B">
        <w:t>years 1990</w:t>
      </w:r>
      <w:r w:rsidR="005853A9">
        <w:t xml:space="preserve"> and </w:t>
      </w:r>
      <w:r w:rsidRPr="001A3D2B">
        <w:t>1995</w:t>
      </w:r>
      <w:r w:rsidR="00A37C1D">
        <w:t>. The</w:t>
      </w:r>
      <w:r w:rsidR="003A1917">
        <w:t xml:space="preserve"> </w:t>
      </w:r>
      <w:r w:rsidRPr="001A3D2B">
        <w:t>review was restricted to prospective studies</w:t>
      </w:r>
      <w:r w:rsidR="00427468">
        <w:t xml:space="preserve"> of </w:t>
      </w:r>
      <w:r w:rsidRPr="001A3D2B">
        <w:t>image interpretation. In</w:t>
      </w:r>
      <w:r w:rsidR="003A1917">
        <w:t xml:space="preserve"> the </w:t>
      </w:r>
      <w:r w:rsidRPr="001A3D2B">
        <w:t>1990 literature, we noted eight multiple-reader</w:t>
      </w:r>
      <w:r w:rsidR="005853A9">
        <w:t xml:space="preserve"> and </w:t>
      </w:r>
      <w:r w:rsidRPr="001A3D2B">
        <w:t>18 single-reader studies; in contrast, in</w:t>
      </w:r>
      <w:r w:rsidR="003A1917">
        <w:t xml:space="preserve"> the </w:t>
      </w:r>
      <w:r w:rsidRPr="001A3D2B">
        <w:t>1995 literature, we found 29 multiple-reader</w:t>
      </w:r>
      <w:r w:rsidR="005853A9">
        <w:t xml:space="preserve"> and </w:t>
      </w:r>
      <w:r w:rsidRPr="001A3D2B">
        <w:t>eight single-reader studies. This trend reflects an increased awareness</w:t>
      </w:r>
      <w:r w:rsidR="00427468">
        <w:t xml:space="preserve"> of </w:t>
      </w:r>
      <w:r w:rsidR="003A1917">
        <w:t xml:space="preserve">the </w:t>
      </w:r>
      <w:r w:rsidRPr="001A3D2B">
        <w:t>importance</w:t>
      </w:r>
      <w:r w:rsidR="00427468">
        <w:t xml:space="preserve"> of </w:t>
      </w:r>
      <w:r w:rsidRPr="001A3D2B">
        <w:t>multiple-reader studies. We examined</w:t>
      </w:r>
      <w:r w:rsidR="003A1917">
        <w:t xml:space="preserve"> the </w:t>
      </w:r>
      <w:r w:rsidRPr="001A3D2B">
        <w:t>Results sections</w:t>
      </w:r>
      <w:r w:rsidR="00427468">
        <w:t xml:space="preserve"> of </w:t>
      </w:r>
      <w:r w:rsidR="003A1917">
        <w:t xml:space="preserve">the </w:t>
      </w:r>
      <w:r w:rsidRPr="001A3D2B">
        <w:t>29 multiple-reader studies from 1995 to assess</w:t>
      </w:r>
      <w:r w:rsidR="003A1917">
        <w:t xml:space="preserve"> the </w:t>
      </w:r>
      <w:r w:rsidRPr="001A3D2B">
        <w:t>authors</w:t>
      </w:r>
      <w:r w:rsidR="00700038">
        <w:t>’</w:t>
      </w:r>
      <w:r w:rsidRPr="001A3D2B">
        <w:t xml:space="preserve"> motives for incorporating such a design. In 16 studies (55%), readers independently interpreted all images. However,</w:t>
      </w:r>
      <w:r w:rsidR="003A1917">
        <w:t xml:space="preserve"> the </w:t>
      </w:r>
      <w:r w:rsidRPr="001A3D2B">
        <w:t>authors usually reported only</w:t>
      </w:r>
      <w:r w:rsidR="003A1917">
        <w:t xml:space="preserve"> the </w:t>
      </w:r>
      <w:r w:rsidRPr="001A3D2B">
        <w:t>average interpretation</w:t>
      </w:r>
      <w:r w:rsidR="00427468">
        <w:t xml:space="preserve"> of </w:t>
      </w:r>
      <w:r w:rsidR="003A1917">
        <w:t xml:space="preserve">the </w:t>
      </w:r>
      <w:r w:rsidRPr="001A3D2B">
        <w:t>readers; in only seven</w:t>
      </w:r>
      <w:r w:rsidR="00427468">
        <w:t xml:space="preserve"> of </w:t>
      </w:r>
      <w:r w:rsidR="003A1917">
        <w:t xml:space="preserve">the </w:t>
      </w:r>
      <w:r w:rsidRPr="001A3D2B">
        <w:t>29 studies (24%) did</w:t>
      </w:r>
      <w:r w:rsidR="003A1917">
        <w:t xml:space="preserve"> the </w:t>
      </w:r>
      <w:r w:rsidRPr="001A3D2B">
        <w:t>authors describe differences among readers</w:t>
      </w:r>
      <w:r w:rsidR="00700038">
        <w:t>’</w:t>
      </w:r>
      <w:r w:rsidRPr="001A3D2B">
        <w:t xml:space="preserve"> interpretations. In 13 studies, interpretations were performed exclusively through </w:t>
      </w:r>
      <w:r w:rsidR="00B5188C">
        <w:t>“</w:t>
      </w:r>
      <w:r w:rsidRPr="001A3D2B">
        <w:t>consensus reading.</w:t>
      </w:r>
      <w:r w:rsidR="00B5188C">
        <w:t>”</w:t>
      </w:r>
      <w:r w:rsidR="003A1917">
        <w:t xml:space="preserve"> the </w:t>
      </w:r>
      <w:r w:rsidRPr="001A3D2B">
        <w:t>method(s) used to achieve a consensus often were not explained. Only two</w:t>
      </w:r>
      <w:r w:rsidR="00427468">
        <w:t xml:space="preserve"> of </w:t>
      </w:r>
      <w:r w:rsidR="003A1917">
        <w:t xml:space="preserve">the </w:t>
      </w:r>
      <w:r w:rsidRPr="001A3D2B">
        <w:t>29 studies had more than three readers. In contrast, all</w:t>
      </w:r>
      <w:r w:rsidR="00427468">
        <w:t xml:space="preserve"> of </w:t>
      </w:r>
      <w:r w:rsidRPr="001A3D2B">
        <w:t>these studies included multiple patients</w:t>
      </w:r>
      <w:r w:rsidR="00A37C1D">
        <w:t>. The</w:t>
      </w:r>
      <w:r w:rsidR="003A1917">
        <w:t xml:space="preserve"> </w:t>
      </w:r>
      <w:r w:rsidRPr="001A3D2B">
        <w:t>average patient sample size was 45. Furthermore, differences observed among patients were routinely reported and/or depicted.</w:t>
      </w:r>
    </w:p>
    <w:p w:rsidR="003474F2" w:rsidRPr="001A3D2B" w:rsidRDefault="003474F2" w:rsidP="003474F2">
      <w:pPr>
        <w:pStyle w:val="a3"/>
      </w:pPr>
      <w:r w:rsidRPr="001A3D2B">
        <w:t>Keywords: Consensus, Design, First, Literature, Papers, Patients, Prospective, Prospective Studies, Radiology, Review, Sample Size, Size, Trend</w:t>
      </w:r>
    </w:p>
    <w:p w:rsidR="006C0532" w:rsidRPr="001A3D2B" w:rsidRDefault="006C0532" w:rsidP="006C0532">
      <w:pPr>
        <w:pStyle w:val="a3"/>
      </w:pPr>
      <w:r w:rsidRPr="001A3D2B">
        <w:t xml:space="preserve">? </w:t>
      </w:r>
      <w:r w:rsidR="00FF7661">
        <w:t>Slone, R</w:t>
      </w:r>
      <w:r w:rsidR="00FF7661">
        <w:rPr>
          <w:rFonts w:hint="eastAsia"/>
        </w:rPr>
        <w:t>.</w:t>
      </w:r>
      <w:r w:rsidR="00FF7661">
        <w:t>M</w:t>
      </w:r>
      <w:r w:rsidR="00FF7661">
        <w:rPr>
          <w:rFonts w:hint="eastAsia"/>
        </w:rPr>
        <w:t>.</w:t>
      </w:r>
      <w:r w:rsidRPr="001A3D2B">
        <w:t xml:space="preserve"> (1996), </w:t>
      </w:r>
      <w:r w:rsidR="00FF7661">
        <w:t>Coauthors</w:t>
      </w:r>
      <w:r w:rsidR="00700038">
        <w:t>’</w:t>
      </w:r>
      <w:r w:rsidR="00FF7661">
        <w:t xml:space="preserve"> contributions to major papers published in</w:t>
      </w:r>
      <w:r w:rsidR="003A1917">
        <w:t xml:space="preserve"> the </w:t>
      </w:r>
      <w:r w:rsidR="00FF7661" w:rsidRPr="00FF7661">
        <w:rPr>
          <w:i/>
        </w:rPr>
        <w:t>AJR</w:t>
      </w:r>
      <w:r w:rsidR="00FF7661">
        <w:t>: Frequency</w:t>
      </w:r>
      <w:r w:rsidR="00427468">
        <w:t xml:space="preserve"> of </w:t>
      </w:r>
      <w:r w:rsidR="00FF7661">
        <w:t>undeserved coauthorship</w:t>
      </w:r>
      <w:r w:rsidRPr="001A3D2B">
        <w:t xml:space="preserve">. </w:t>
      </w:r>
      <w:r w:rsidRPr="001A3D2B">
        <w:rPr>
          <w:i/>
          <w:iCs/>
        </w:rPr>
        <w:t>American Journal</w:t>
      </w:r>
      <w:r w:rsidR="00427468">
        <w:rPr>
          <w:i/>
          <w:iCs/>
        </w:rPr>
        <w:t xml:space="preserve"> of </w:t>
      </w:r>
      <w:r w:rsidRPr="001A3D2B">
        <w:rPr>
          <w:i/>
          <w:iCs/>
        </w:rPr>
        <w:t>Roentgenology</w:t>
      </w:r>
      <w:r w:rsidRPr="001A3D2B">
        <w:t xml:space="preserve">, </w:t>
      </w:r>
      <w:r w:rsidRPr="001A3D2B">
        <w:rPr>
          <w:b/>
          <w:bCs/>
        </w:rPr>
        <w:t>16</w:t>
      </w:r>
      <w:r w:rsidR="00FF7661">
        <w:rPr>
          <w:rFonts w:hint="eastAsia"/>
          <w:b/>
          <w:bCs/>
        </w:rPr>
        <w:t>7</w:t>
      </w:r>
      <w:r w:rsidRPr="001A3D2B">
        <w:t xml:space="preserve"> (3), </w:t>
      </w:r>
      <w:r w:rsidR="00FF7661">
        <w:t>571-579</w:t>
      </w:r>
      <w:r w:rsidRPr="001A3D2B">
        <w:t>.</w:t>
      </w:r>
    </w:p>
    <w:p w:rsidR="006C0532" w:rsidRDefault="006C0532" w:rsidP="006C0532">
      <w:pPr>
        <w:pStyle w:val="a3"/>
      </w:pPr>
      <w:r w:rsidRPr="001A3D2B">
        <w:t xml:space="preserve">Full Text: </w:t>
      </w:r>
      <w:hyperlink r:id="rId636" w:history="1">
        <w:r w:rsidR="00FF7661" w:rsidRPr="00FF7661">
          <w:rPr>
            <w:rStyle w:val="a5"/>
          </w:rPr>
          <w:t>1996\Ame J Roe167, 571.pdf</w:t>
        </w:r>
      </w:hyperlink>
    </w:p>
    <w:p w:rsidR="00FF7661" w:rsidRDefault="00FF7661" w:rsidP="00FF7661">
      <w:pPr>
        <w:pStyle w:val="a3"/>
      </w:pPr>
      <w:r>
        <w:lastRenderedPageBreak/>
        <w:t>Abstract: OBJECTIVE. Over half</w:t>
      </w:r>
      <w:r w:rsidR="00427468">
        <w:t xml:space="preserve"> of </w:t>
      </w:r>
      <w:r w:rsidR="003A1917">
        <w:t xml:space="preserve">the </w:t>
      </w:r>
      <w:r>
        <w:t>major papers published in</w:t>
      </w:r>
      <w:r w:rsidR="003A1917">
        <w:t xml:space="preserve"> the </w:t>
      </w:r>
      <w:r>
        <w:t>American Journal</w:t>
      </w:r>
      <w:r w:rsidR="00427468">
        <w:t xml:space="preserve"> of </w:t>
      </w:r>
      <w:r>
        <w:t>Roentgenology (AJR) have five or more coauthors. This project was designed to evaluate</w:t>
      </w:r>
      <w:r w:rsidR="003A1917">
        <w:t xml:space="preserve"> the </w:t>
      </w:r>
      <w:r>
        <w:t>specific contributions</w:t>
      </w:r>
      <w:r w:rsidR="00427468">
        <w:t xml:space="preserve"> of </w:t>
      </w:r>
      <w:r>
        <w:t>coauthors</w:t>
      </w:r>
      <w:r w:rsidR="005853A9">
        <w:t xml:space="preserve"> and </w:t>
      </w:r>
      <w:r w:rsidR="003A1917">
        <w:t xml:space="preserve">the </w:t>
      </w:r>
      <w:r>
        <w:t>prevalence</w:t>
      </w:r>
      <w:r w:rsidR="00427468">
        <w:t xml:space="preserve"> of </w:t>
      </w:r>
      <w:r>
        <w:t>undeserved authorship in major papers from institutions in</w:t>
      </w:r>
      <w:r w:rsidR="003A1917">
        <w:t xml:space="preserve"> the </w:t>
      </w:r>
      <w:r>
        <w:t>United States.</w:t>
      </w:r>
    </w:p>
    <w:p w:rsidR="00FF7661" w:rsidRDefault="00FF7661" w:rsidP="00FF7661">
      <w:pPr>
        <w:pStyle w:val="a3"/>
      </w:pPr>
      <w:r>
        <w:t>MATERIALS</w:t>
      </w:r>
      <w:r w:rsidR="005853A9">
        <w:t xml:space="preserve"> and </w:t>
      </w:r>
      <w:r>
        <w:t>METHODS. Questionnaires were mailed to</w:t>
      </w:r>
      <w:r w:rsidR="003A1917">
        <w:t xml:space="preserve"> the </w:t>
      </w:r>
      <w:r>
        <w:t>first author</w:t>
      </w:r>
      <w:r w:rsidR="00427468">
        <w:t xml:space="preserve"> of </w:t>
      </w:r>
      <w:r>
        <w:t>275 major papers from institutions in</w:t>
      </w:r>
      <w:r w:rsidR="003A1917">
        <w:t xml:space="preserve"> the </w:t>
      </w:r>
      <w:r>
        <w:t>United States that were published in</w:t>
      </w:r>
      <w:r w:rsidR="003A1917">
        <w:t xml:space="preserve"> the </w:t>
      </w:r>
      <w:r>
        <w:t>AJR in 1992</w:t>
      </w:r>
      <w:r w:rsidR="005853A9">
        <w:t xml:space="preserve"> and </w:t>
      </w:r>
      <w:r>
        <w:t>1993. Questions focused on coauthors</w:t>
      </w:r>
      <w:r w:rsidR="00700038">
        <w:t>’</w:t>
      </w:r>
      <w:r>
        <w:t xml:space="preserve"> contributions to research design, data collection, data analysis,</w:t>
      </w:r>
      <w:r w:rsidR="005853A9">
        <w:t xml:space="preserve"> and </w:t>
      </w:r>
      <w:r>
        <w:t>manuscript preparation,</w:t>
      </w:r>
      <w:r w:rsidR="005853A9">
        <w:t xml:space="preserve"> and </w:t>
      </w:r>
      <w:r>
        <w:t>on undeserving authorship.</w:t>
      </w:r>
    </w:p>
    <w:p w:rsidR="00FF7661" w:rsidRDefault="00FF7661" w:rsidP="00FF7661">
      <w:pPr>
        <w:pStyle w:val="a3"/>
      </w:pPr>
      <w:r>
        <w:t>RESULTS. One hundred ninety-six (72%)</w:t>
      </w:r>
      <w:r w:rsidR="00427468">
        <w:t xml:space="preserve"> of </w:t>
      </w:r>
      <w:r w:rsidR="003A1917">
        <w:t xml:space="preserve">the </w:t>
      </w:r>
      <w:r>
        <w:t>surveys were returned. Ninety-nine percent</w:t>
      </w:r>
      <w:r w:rsidR="00427468">
        <w:t xml:space="preserve"> of </w:t>
      </w:r>
      <w:r>
        <w:t>first authors, 75%</w:t>
      </w:r>
      <w:r w:rsidR="00427468">
        <w:t xml:space="preserve"> of </w:t>
      </w:r>
      <w:r>
        <w:t>second authors, fewer than half</w:t>
      </w:r>
      <w:r w:rsidR="00427468">
        <w:t xml:space="preserve"> of </w:t>
      </w:r>
      <w:r>
        <w:t>third authors,</w:t>
      </w:r>
      <w:r w:rsidR="005853A9">
        <w:t xml:space="preserve"> and </w:t>
      </w:r>
      <w:r>
        <w:t>one third</w:t>
      </w:r>
      <w:r w:rsidR="00427468">
        <w:t xml:space="preserve"> of </w:t>
      </w:r>
      <w:r>
        <w:t>fourth authors</w:t>
      </w:r>
      <w:r w:rsidR="005853A9">
        <w:t xml:space="preserve"> and </w:t>
      </w:r>
      <w:r>
        <w:t>beyond were said to have contributed to at least three</w:t>
      </w:r>
      <w:r w:rsidR="00427468">
        <w:t xml:space="preserve"> of </w:t>
      </w:r>
      <w:r w:rsidR="003A1917">
        <w:t xml:space="preserve">the </w:t>
      </w:r>
      <w:r>
        <w:t>following: research design, data collection, data analysis,</w:t>
      </w:r>
      <w:r w:rsidR="005853A9">
        <w:t xml:space="preserve"> and </w:t>
      </w:r>
      <w:r>
        <w:t>manuscript preparation (p &lt; .02). A strong correlation was indicated between authorship position</w:t>
      </w:r>
      <w:r w:rsidR="005853A9">
        <w:t xml:space="preserve"> and </w:t>
      </w:r>
      <w:r>
        <w:t>contribution (r = -.69, p &lt; .001), with a mean overall contribution</w:t>
      </w:r>
      <w:r w:rsidR="00427468">
        <w:t xml:space="preserve"> of </w:t>
      </w:r>
      <w:r>
        <w:t>63 +/- 17% (mean +/- SD) for</w:t>
      </w:r>
      <w:r w:rsidR="003A1917">
        <w:t xml:space="preserve"> the </w:t>
      </w:r>
      <w:r>
        <w:t>first author, 20 +/- 12% for</w:t>
      </w:r>
      <w:r w:rsidR="003A1917">
        <w:t xml:space="preserve"> the </w:t>
      </w:r>
      <w:r>
        <w:t>second author, 10 +/- 7% for</w:t>
      </w:r>
      <w:r w:rsidR="003A1917">
        <w:t xml:space="preserve"> the </w:t>
      </w:r>
      <w:r>
        <w:t>third author, 7 +/- 6% for</w:t>
      </w:r>
      <w:r w:rsidR="003A1917">
        <w:t xml:space="preserve"> the </w:t>
      </w:r>
      <w:r>
        <w:t>fourth author,</w:t>
      </w:r>
      <w:r w:rsidR="005853A9">
        <w:t xml:space="preserve"> and </w:t>
      </w:r>
      <w:r>
        <w:t>5 +/- 5% for all other authors. Coauthors were listed in decreasing order</w:t>
      </w:r>
      <w:r w:rsidR="00427468">
        <w:t xml:space="preserve"> of </w:t>
      </w:r>
      <w:r>
        <w:t>contribution in 70%</w:t>
      </w:r>
      <w:r w:rsidR="00427468">
        <w:t xml:space="preserve"> of </w:t>
      </w:r>
      <w:r>
        <w:t>articles. However,</w:t>
      </w:r>
      <w:r w:rsidR="003A1917">
        <w:t xml:space="preserve"> the </w:t>
      </w:r>
      <w:r>
        <w:t>last author was</w:t>
      </w:r>
      <w:r w:rsidR="003A1917">
        <w:t xml:space="preserve"> the </w:t>
      </w:r>
      <w:r>
        <w:t>second major contributor in 10%</w:t>
      </w:r>
      <w:r w:rsidR="00427468">
        <w:t xml:space="preserve"> of </w:t>
      </w:r>
      <w:r>
        <w:t>articles with three or more authors.</w:t>
      </w:r>
    </w:p>
    <w:p w:rsidR="00FF7661" w:rsidRDefault="00FF7661" w:rsidP="00FF7661">
      <w:pPr>
        <w:pStyle w:val="a3"/>
      </w:pPr>
      <w:r>
        <w:t>The incidence</w:t>
      </w:r>
      <w:r w:rsidR="00427468">
        <w:t xml:space="preserve"> of </w:t>
      </w:r>
      <w:r w:rsidR="00700038">
        <w:t>‘‘</w:t>
      </w:r>
      <w:r>
        <w:t>undeserved</w:t>
      </w:r>
      <w:r w:rsidR="00700038">
        <w:t>’’</w:t>
      </w:r>
      <w:r>
        <w:t xml:space="preserve"> coauthors increased from 9% on papers with three authors to 30% on papers with more than six authors (mean, 17%; r = .97; p &lt; .001). Undeserved authorship was attributed largely to individuals who contributed only cases (29%) or who created a sense</w:t>
      </w:r>
      <w:r w:rsidR="00427468">
        <w:t xml:space="preserve"> of </w:t>
      </w:r>
      <w:r>
        <w:t>obligation or fear in</w:t>
      </w:r>
      <w:r w:rsidR="003A1917">
        <w:t xml:space="preserve"> the </w:t>
      </w:r>
      <w:r>
        <w:t>first author (40%). Manuscripts were more likely to include an undeserved coauthor when</w:t>
      </w:r>
      <w:r w:rsidR="003A1917">
        <w:t xml:space="preserve"> the </w:t>
      </w:r>
      <w:r>
        <w:t>first author was a nontenured staff member (45%) than when he or she was tenured faculty (28%) (p &lt; .02). When decisions about authorship were made at project conception, there were fewer coauthors (3.9 versus 5.4, p &lt; .02)</w:t>
      </w:r>
      <w:r w:rsidR="005853A9">
        <w:t xml:space="preserve"> and </w:t>
      </w:r>
      <w:r>
        <w:t>a lower incidence</w:t>
      </w:r>
      <w:r w:rsidR="00427468">
        <w:t xml:space="preserve"> of </w:t>
      </w:r>
      <w:r>
        <w:t>manuscripts with undeserving coauthors (23% versus 47%, p &lt; .01)</w:t>
      </w:r>
      <w:r w:rsidR="00A37C1D">
        <w:t>. The</w:t>
      </w:r>
      <w:r w:rsidR="003A1917">
        <w:t xml:space="preserve"> </w:t>
      </w:r>
      <w:r>
        <w:t>final manuscript was read by all coauthors in 80%</w:t>
      </w:r>
      <w:r w:rsidR="00427468">
        <w:t xml:space="preserve"> of </w:t>
      </w:r>
      <w:r>
        <w:t>manuscripts,</w:t>
      </w:r>
      <w:r w:rsidR="005853A9">
        <w:t xml:space="preserve"> and </w:t>
      </w:r>
      <w:r>
        <w:t>all coauthors were thought to understand</w:t>
      </w:r>
      <w:r w:rsidR="003A1917">
        <w:t xml:space="preserve"> the </w:t>
      </w:r>
      <w:r>
        <w:t>manuscript to</w:t>
      </w:r>
      <w:r w:rsidR="003A1917">
        <w:t xml:space="preserve"> the </w:t>
      </w:r>
      <w:r>
        <w:t>extent they could publicly defend it in 78%</w:t>
      </w:r>
      <w:r w:rsidR="00427468">
        <w:t xml:space="preserve"> of </w:t>
      </w:r>
      <w:r>
        <w:t>manuscripts</w:t>
      </w:r>
      <w:r w:rsidR="00A37C1D">
        <w:t>. The</w:t>
      </w:r>
      <w:r w:rsidR="003A1917">
        <w:t xml:space="preserve"> </w:t>
      </w:r>
      <w:r>
        <w:t>most commonly cited reason that otherwise honest individuals accept undeserved authorship was academic promotion.</w:t>
      </w:r>
    </w:p>
    <w:p w:rsidR="00FF7661" w:rsidRDefault="00FF7661" w:rsidP="00FF7661">
      <w:pPr>
        <w:pStyle w:val="a3"/>
      </w:pPr>
      <w:r>
        <w:t>CONCLUSION. Undeserved authorship is a common</w:t>
      </w:r>
      <w:r w:rsidR="005853A9">
        <w:t xml:space="preserve"> and </w:t>
      </w:r>
      <w:r>
        <w:t>serious problem that is motivated primarily by academic promotion policies</w:t>
      </w:r>
      <w:r w:rsidR="00A37C1D">
        <w:t>. The</w:t>
      </w:r>
      <w:r w:rsidR="003A1917">
        <w:t xml:space="preserve"> </w:t>
      </w:r>
      <w:r>
        <w:t>first two authors are said to account for</w:t>
      </w:r>
      <w:r w:rsidR="003A1917">
        <w:t xml:space="preserve"> the </w:t>
      </w:r>
      <w:r>
        <w:t>preponderance</w:t>
      </w:r>
      <w:r w:rsidR="00427468">
        <w:t xml:space="preserve"> of </w:t>
      </w:r>
      <w:r>
        <w:t>work in almost all major papers.</w:t>
      </w:r>
    </w:p>
    <w:p w:rsidR="00FF7661" w:rsidRPr="001A3D2B" w:rsidRDefault="00FF7661" w:rsidP="00FF7661">
      <w:pPr>
        <w:pStyle w:val="a3"/>
      </w:pPr>
      <w:r>
        <w:t>Keywords: Authorship, Journals, Radiology, Fraud, Publication, Standards, Readers, Science, Trends, Perish</w:t>
      </w:r>
    </w:p>
    <w:p w:rsidR="003474F2" w:rsidRPr="001A3D2B" w:rsidRDefault="003474F2" w:rsidP="003474F2">
      <w:pPr>
        <w:pStyle w:val="a3"/>
      </w:pPr>
      <w:r w:rsidRPr="001A3D2B">
        <w:t>Lee, F.R. (2002), Impact factor:</w:t>
      </w:r>
      <w:r w:rsidR="003A1917">
        <w:t xml:space="preserve"> the </w:t>
      </w:r>
      <w:r w:rsidRPr="001A3D2B">
        <w:t xml:space="preserve">numbers game. </w:t>
      </w:r>
      <w:r w:rsidRPr="001A3D2B">
        <w:rPr>
          <w:i/>
          <w:iCs/>
          <w:szCs w:val="27"/>
        </w:rPr>
        <w:t>American Journal</w:t>
      </w:r>
      <w:r w:rsidR="00427468">
        <w:rPr>
          <w:i/>
          <w:iCs/>
          <w:szCs w:val="27"/>
        </w:rPr>
        <w:t xml:space="preserve"> of </w:t>
      </w:r>
      <w:r w:rsidRPr="001A3D2B">
        <w:rPr>
          <w:i/>
          <w:iCs/>
          <w:szCs w:val="27"/>
        </w:rPr>
        <w:t>Roentgenology</w:t>
      </w:r>
      <w:r w:rsidRPr="001A3D2B">
        <w:t xml:space="preserve">, </w:t>
      </w:r>
      <w:r w:rsidRPr="001A3D2B">
        <w:rPr>
          <w:b/>
        </w:rPr>
        <w:lastRenderedPageBreak/>
        <w:t>178</w:t>
      </w:r>
      <w:r w:rsidRPr="001A3D2B">
        <w:rPr>
          <w:bCs/>
        </w:rPr>
        <w:t xml:space="preserve"> (3)</w:t>
      </w:r>
      <w:r w:rsidRPr="001A3D2B">
        <w:t>, 541-542.</w:t>
      </w:r>
    </w:p>
    <w:p w:rsidR="003474F2" w:rsidRPr="001A3D2B" w:rsidRDefault="003474F2" w:rsidP="003474F2">
      <w:pPr>
        <w:pStyle w:val="a3"/>
      </w:pPr>
      <w:r w:rsidRPr="001A3D2B">
        <w:t xml:space="preserve">Full Text: </w:t>
      </w:r>
      <w:hyperlink r:id="rId637" w:history="1">
        <w:r w:rsidRPr="001A3D2B">
          <w:rPr>
            <w:rStyle w:val="a5"/>
          </w:rPr>
          <w:t>2002\Ame J Roe178, 541.pdf</w:t>
        </w:r>
      </w:hyperlink>
    </w:p>
    <w:p w:rsidR="003474F2" w:rsidRPr="001A3D2B" w:rsidRDefault="003474F2" w:rsidP="003474F2">
      <w:pPr>
        <w:pStyle w:val="a3"/>
      </w:pPr>
      <w:r w:rsidRPr="001A3D2B">
        <w:t>Notes: JJournal</w:t>
      </w:r>
    </w:p>
    <w:p w:rsidR="003474F2" w:rsidRPr="001A3D2B" w:rsidRDefault="003474F2" w:rsidP="003474F2">
      <w:pPr>
        <w:pStyle w:val="a3"/>
      </w:pPr>
      <w:r w:rsidRPr="001A3D2B">
        <w:t>Chen, M.Y., Jenkins, C.B.</w:t>
      </w:r>
      <w:r w:rsidR="005853A9">
        <w:t xml:space="preserve"> and </w:t>
      </w:r>
      <w:r w:rsidRPr="001A3D2B">
        <w:t>Elster, A.D. (2003), Internationalization</w:t>
      </w:r>
      <w:r w:rsidR="00427468">
        <w:t xml:space="preserve"> of </w:t>
      </w:r>
      <w:r w:rsidR="003A1917">
        <w:t xml:space="preserve">the </w:t>
      </w:r>
      <w:r w:rsidRPr="001A3D2B">
        <w:rPr>
          <w:i/>
        </w:rPr>
        <w:t>American Journal</w:t>
      </w:r>
      <w:r w:rsidR="00427468">
        <w:rPr>
          <w:i/>
        </w:rPr>
        <w:t xml:space="preserve"> of </w:t>
      </w:r>
      <w:r w:rsidRPr="001A3D2B">
        <w:rPr>
          <w:i/>
        </w:rPr>
        <w:t>Roentgenology</w:t>
      </w:r>
      <w:r w:rsidRPr="001A3D2B">
        <w:t xml:space="preserve">: 1980-2002. </w:t>
      </w:r>
      <w:r w:rsidRPr="001A3D2B">
        <w:rPr>
          <w:i/>
          <w:iCs/>
          <w:szCs w:val="27"/>
        </w:rPr>
        <w:t>American Journal</w:t>
      </w:r>
      <w:r w:rsidR="00427468">
        <w:rPr>
          <w:i/>
          <w:iCs/>
          <w:szCs w:val="27"/>
        </w:rPr>
        <w:t xml:space="preserve"> of </w:t>
      </w:r>
      <w:r w:rsidRPr="001A3D2B">
        <w:rPr>
          <w:i/>
          <w:iCs/>
          <w:szCs w:val="27"/>
        </w:rPr>
        <w:t>Roentgenology</w:t>
      </w:r>
      <w:r w:rsidRPr="001A3D2B">
        <w:t xml:space="preserve">, </w:t>
      </w:r>
      <w:r w:rsidRPr="001A3D2B">
        <w:rPr>
          <w:b/>
        </w:rPr>
        <w:t>181</w:t>
      </w:r>
      <w:r w:rsidRPr="001A3D2B">
        <w:rPr>
          <w:bCs/>
        </w:rPr>
        <w:t xml:space="preserve"> (4)</w:t>
      </w:r>
      <w:r w:rsidRPr="001A3D2B">
        <w:t>, 907-912.</w:t>
      </w:r>
    </w:p>
    <w:p w:rsidR="003474F2" w:rsidRPr="001A3D2B" w:rsidRDefault="003474F2" w:rsidP="003474F2">
      <w:pPr>
        <w:pStyle w:val="a3"/>
      </w:pPr>
      <w:r w:rsidRPr="001A3D2B">
        <w:t xml:space="preserve">Full Text: </w:t>
      </w:r>
      <w:hyperlink r:id="rId638" w:history="1">
        <w:r w:rsidRPr="001A3D2B">
          <w:rPr>
            <w:rStyle w:val="a5"/>
          </w:rPr>
          <w:t>2003\Ame J Roe181, 907.pdf</w:t>
        </w:r>
      </w:hyperlink>
    </w:p>
    <w:p w:rsidR="003474F2" w:rsidRPr="001A3D2B" w:rsidRDefault="003474F2" w:rsidP="003474F2">
      <w:pPr>
        <w:pStyle w:val="a3"/>
      </w:pPr>
      <w:r w:rsidRPr="001A3D2B">
        <w:t>Abstract: Objective</w:t>
      </w:r>
      <w:r w:rsidR="00A37C1D">
        <w:t>. The</w:t>
      </w:r>
      <w:r w:rsidR="003A1917">
        <w:t xml:space="preserve"> </w:t>
      </w:r>
      <w:r w:rsidRPr="001A3D2B">
        <w:t>objective</w:t>
      </w:r>
      <w:r w:rsidR="00427468">
        <w:t xml:space="preserve"> of </w:t>
      </w:r>
      <w:r w:rsidRPr="001A3D2B">
        <w:t>this study was to analyze trends in</w:t>
      </w:r>
      <w:r w:rsidR="003A1917">
        <w:t xml:space="preserve"> the </w:t>
      </w:r>
      <w:r w:rsidRPr="001A3D2B">
        <w:t>number</w:t>
      </w:r>
      <w:r w:rsidR="00427468">
        <w:t xml:space="preserve"> of </w:t>
      </w:r>
      <w:r w:rsidRPr="001A3D2B">
        <w:t>articles from international authors submitted to or published by</w:t>
      </w:r>
      <w:r w:rsidR="003A1917">
        <w:t xml:space="preserve"> the </w:t>
      </w:r>
      <w:r w:rsidRPr="001A3D2B">
        <w:t>American Journal</w:t>
      </w:r>
      <w:r w:rsidR="00427468">
        <w:t xml:space="preserve"> of </w:t>
      </w:r>
      <w:r w:rsidRPr="001A3D2B">
        <w:t>Roentgenology (AJR) between 1980</w:t>
      </w:r>
      <w:r w:rsidR="005853A9">
        <w:t xml:space="preserve"> and </w:t>
      </w:r>
      <w:r w:rsidRPr="001A3D2B">
        <w:t>2002.</w:t>
      </w:r>
    </w:p>
    <w:p w:rsidR="003474F2" w:rsidRPr="001A3D2B" w:rsidRDefault="003474F2" w:rsidP="003474F2">
      <w:pPr>
        <w:pStyle w:val="a3"/>
      </w:pPr>
      <w:r w:rsidRPr="001A3D2B">
        <w:t>Materials</w:t>
      </w:r>
      <w:r w:rsidR="005853A9">
        <w:t xml:space="preserve"> and </w:t>
      </w:r>
      <w:r w:rsidRPr="001A3D2B">
        <w:t>Methods. More than 5000 articles published by</w:t>
      </w:r>
      <w:r w:rsidR="003A1917">
        <w:t xml:space="preserve"> the </w:t>
      </w:r>
      <w:r w:rsidRPr="001A3D2B">
        <w:t>AJR during three 3-year periods (1980-1982, 1990-1992,</w:t>
      </w:r>
      <w:r w:rsidR="005853A9">
        <w:t xml:space="preserve"> and </w:t>
      </w:r>
      <w:r w:rsidRPr="001A3D2B">
        <w:t>2000-2002) were categorized by country</w:t>
      </w:r>
      <w:r w:rsidR="00427468">
        <w:t xml:space="preserve"> of </w:t>
      </w:r>
      <w:r w:rsidRPr="001A3D2B">
        <w:t>residence</w:t>
      </w:r>
      <w:r w:rsidR="00427468">
        <w:t xml:space="preserve"> of </w:t>
      </w:r>
      <w:r w:rsidR="003A1917">
        <w:t xml:space="preserve">the </w:t>
      </w:r>
      <w:r w:rsidRPr="001A3D2B">
        <w:t>corresponding author, type</w:t>
      </w:r>
      <w:r w:rsidR="00427468">
        <w:t xml:space="preserve"> of </w:t>
      </w:r>
      <w:r w:rsidRPr="001A3D2B">
        <w:t>article, subject matter</w:t>
      </w:r>
      <w:r w:rsidR="005853A9">
        <w:t xml:space="preserve"> and </w:t>
      </w:r>
      <w:r w:rsidRPr="001A3D2B">
        <w:t>age</w:t>
      </w:r>
      <w:r w:rsidR="00427468">
        <w:t xml:space="preserve"> of </w:t>
      </w:r>
      <w:r w:rsidRPr="001A3D2B">
        <w:t>patients, organ system,</w:t>
      </w:r>
      <w:r w:rsidR="005853A9">
        <w:t xml:space="preserve"> and </w:t>
      </w:r>
      <w:r w:rsidRPr="001A3D2B">
        <w:t>radiologic technique. Additionally, 6202 manuscripts submitted to</w:t>
      </w:r>
      <w:r w:rsidR="003A1917">
        <w:t xml:space="preserve"> the </w:t>
      </w:r>
      <w:r w:rsidRPr="001A3D2B">
        <w:t>AJR (19911992</w:t>
      </w:r>
      <w:r w:rsidR="005853A9">
        <w:t xml:space="preserve"> and </w:t>
      </w:r>
      <w:r w:rsidRPr="001A3D2B">
        <w:t>2001-2002) were used to calculate</w:t>
      </w:r>
      <w:r w:rsidR="003A1917">
        <w:t xml:space="preserve"> the </w:t>
      </w:r>
      <w:r w:rsidRPr="001A3D2B">
        <w:t>acceptance rates for</w:t>
      </w:r>
      <w:r w:rsidR="003A1917">
        <w:t xml:space="preserve"> the </w:t>
      </w:r>
      <w:r w:rsidRPr="001A3D2B">
        <w:t>two 2-year periods.</w:t>
      </w:r>
    </w:p>
    <w:p w:rsidR="003474F2" w:rsidRPr="001A3D2B" w:rsidRDefault="003474F2" w:rsidP="003474F2">
      <w:pPr>
        <w:pStyle w:val="a3"/>
      </w:pPr>
      <w:r w:rsidRPr="001A3D2B">
        <w:t>Results</w:t>
      </w:r>
      <w:r w:rsidR="00A37C1D">
        <w:t>. The</w:t>
      </w:r>
      <w:r w:rsidR="003A1917">
        <w:t xml:space="preserve"> </w:t>
      </w:r>
      <w:r w:rsidRPr="001A3D2B">
        <w:t>percentage</w:t>
      </w:r>
      <w:r w:rsidR="00427468">
        <w:t xml:space="preserve"> of </w:t>
      </w:r>
      <w:r w:rsidRPr="001A3D2B">
        <w:t>articles published by</w:t>
      </w:r>
      <w:r w:rsidR="003A1917">
        <w:t xml:space="preserve"> the </w:t>
      </w:r>
      <w:r w:rsidRPr="001A3D2B">
        <w:t>AJR from international authors was 10% (158/1610) in 1980-1982, 25% (441/1788) in 1990-1992,</w:t>
      </w:r>
      <w:r w:rsidR="005853A9">
        <w:t xml:space="preserve"> and </w:t>
      </w:r>
      <w:r w:rsidRPr="001A3D2B">
        <w:t>37% (602/1624) in 2000-2002 (p&lt;0.0001). Japanese, South Korean,</w:t>
      </w:r>
      <w:r w:rsidR="005853A9">
        <w:t xml:space="preserve"> and </w:t>
      </w:r>
      <w:r w:rsidRPr="001A3D2B">
        <w:t>German authors achieved</w:t>
      </w:r>
      <w:r w:rsidR="003A1917">
        <w:t xml:space="preserve"> the </w:t>
      </w:r>
      <w:r w:rsidRPr="001A3D2B">
        <w:t>largest increases during</w:t>
      </w:r>
      <w:r w:rsidR="003A1917">
        <w:t xml:space="preserve"> the </w:t>
      </w:r>
      <w:r w:rsidRPr="001A3D2B">
        <w:t>22 years covered by our research,</w:t>
      </w:r>
      <w:r w:rsidR="005853A9">
        <w:t xml:space="preserve"> and </w:t>
      </w:r>
      <w:r w:rsidRPr="001A3D2B">
        <w:t>Canada had</w:t>
      </w:r>
      <w:r w:rsidR="003A1917">
        <w:t xml:space="preserve"> the </w:t>
      </w:r>
      <w:r w:rsidRPr="001A3D2B">
        <w:t>largest decrease</w:t>
      </w:r>
      <w:r w:rsidR="00A37C1D">
        <w:t>. The</w:t>
      </w:r>
      <w:r w:rsidR="003A1917">
        <w:t xml:space="preserve"> </w:t>
      </w:r>
      <w:r w:rsidRPr="001A3D2B">
        <w:t>increase in international articles at</w:t>
      </w:r>
      <w:r w:rsidR="003A1917">
        <w:t xml:space="preserve"> the </w:t>
      </w:r>
      <w:r w:rsidRPr="001A3D2B">
        <w:t>AJR was accompanied by an absolute decrease in publications from authors in</w:t>
      </w:r>
      <w:r w:rsidR="003A1917">
        <w:t xml:space="preserve"> the </w:t>
      </w:r>
      <w:r w:rsidRPr="001A3D2B">
        <w:t>United States. Nonetheless, during 2000-2002,</w:t>
      </w:r>
      <w:r w:rsidR="003A1917">
        <w:t xml:space="preserve"> the </w:t>
      </w:r>
      <w:r w:rsidRPr="001A3D2B">
        <w:t>acceptance rate for major papers from authors in</w:t>
      </w:r>
      <w:r w:rsidR="003A1917">
        <w:t xml:space="preserve"> the </w:t>
      </w:r>
      <w:r w:rsidRPr="001A3D2B">
        <w:t>United States was 45%</w:t>
      </w:r>
      <w:r w:rsidR="005853A9">
        <w:t xml:space="preserve"> and </w:t>
      </w:r>
      <w:r w:rsidR="003A1917">
        <w:t xml:space="preserve">the </w:t>
      </w:r>
      <w:r w:rsidRPr="001A3D2B">
        <w:t>acceptance rate for foreign authors was 31%. During 1990-1992,</w:t>
      </w:r>
      <w:r w:rsidR="003A1917">
        <w:t xml:space="preserve"> the </w:t>
      </w:r>
      <w:r w:rsidRPr="001A3D2B">
        <w:t>acceptance rates for major papers were 33%</w:t>
      </w:r>
      <w:r w:rsidR="005853A9">
        <w:t xml:space="preserve"> and </w:t>
      </w:r>
      <w:r w:rsidRPr="001A3D2B">
        <w:t>27%, respectively.</w:t>
      </w:r>
    </w:p>
    <w:p w:rsidR="003474F2" w:rsidRPr="001A3D2B" w:rsidRDefault="003474F2" w:rsidP="003474F2">
      <w:pPr>
        <w:pStyle w:val="a3"/>
      </w:pPr>
      <w:r w:rsidRPr="001A3D2B">
        <w:t>Conclusion</w:t>
      </w:r>
      <w:r w:rsidR="00A37C1D">
        <w:t>. The</w:t>
      </w:r>
      <w:r w:rsidR="003A1917">
        <w:t xml:space="preserve"> </w:t>
      </w:r>
      <w:r w:rsidRPr="001A3D2B">
        <w:t>contents</w:t>
      </w:r>
      <w:r w:rsidR="00427468">
        <w:t xml:space="preserve"> of </w:t>
      </w:r>
      <w:r w:rsidR="003A1917">
        <w:t xml:space="preserve">the </w:t>
      </w:r>
      <w:r w:rsidRPr="001A3D2B">
        <w:t>AJR reflect a continually increasing number</w:t>
      </w:r>
      <w:r w:rsidR="00427468">
        <w:t xml:space="preserve"> of </w:t>
      </w:r>
      <w:r w:rsidRPr="001A3D2B">
        <w:t>international. articles during</w:t>
      </w:r>
      <w:r w:rsidR="003A1917">
        <w:t xml:space="preserve"> the </w:t>
      </w:r>
      <w:r w:rsidRPr="001A3D2B">
        <w:t>past two decades.</w:t>
      </w:r>
    </w:p>
    <w:p w:rsidR="003474F2" w:rsidRPr="001A3D2B" w:rsidRDefault="003474F2" w:rsidP="003474F2">
      <w:pPr>
        <w:pStyle w:val="a3"/>
      </w:pPr>
      <w:r w:rsidRPr="001A3D2B">
        <w:t>Keywords: AJR</w:t>
      </w:r>
    </w:p>
    <w:p w:rsidR="0071680C" w:rsidRPr="001A3D2B" w:rsidRDefault="0071680C" w:rsidP="0071680C">
      <w:pPr>
        <w:pStyle w:val="a3"/>
        <w:rPr>
          <w:kern w:val="0"/>
        </w:rPr>
      </w:pPr>
      <w:r w:rsidRPr="001A3D2B">
        <w:rPr>
          <w:kern w:val="0"/>
        </w:rPr>
        <w:t>? Bui-Mansfield, L.T. (2005), Whatever happened to</w:t>
      </w:r>
      <w:r w:rsidR="003A1917">
        <w:rPr>
          <w:kern w:val="0"/>
        </w:rPr>
        <w:t xml:space="preserve"> the </w:t>
      </w:r>
      <w:r w:rsidRPr="001A3D2B">
        <w:rPr>
          <w:kern w:val="0"/>
        </w:rPr>
        <w:t xml:space="preserve">50 most frequently cited articles published in </w:t>
      </w:r>
      <w:r w:rsidRPr="00E1775D">
        <w:rPr>
          <w:i/>
          <w:kern w:val="0"/>
        </w:rPr>
        <w:t>AJR</w:t>
      </w:r>
      <w:r w:rsidRPr="001A3D2B">
        <w:rPr>
          <w:kern w:val="0"/>
        </w:rPr>
        <w:t xml:space="preserve">? </w:t>
      </w:r>
      <w:r w:rsidRPr="001A3D2B">
        <w:rPr>
          <w:i/>
          <w:iCs/>
          <w:kern w:val="0"/>
        </w:rPr>
        <w:t>American Journal</w:t>
      </w:r>
      <w:r w:rsidR="00427468">
        <w:rPr>
          <w:i/>
          <w:iCs/>
          <w:kern w:val="0"/>
        </w:rPr>
        <w:t xml:space="preserve"> of </w:t>
      </w:r>
      <w:r w:rsidRPr="001A3D2B">
        <w:rPr>
          <w:i/>
          <w:iCs/>
          <w:kern w:val="0"/>
        </w:rPr>
        <w:t>Roentgenology</w:t>
      </w:r>
      <w:r w:rsidRPr="001A3D2B">
        <w:rPr>
          <w:kern w:val="0"/>
        </w:rPr>
        <w:t xml:space="preserve">, </w:t>
      </w:r>
      <w:r w:rsidRPr="001A3D2B">
        <w:rPr>
          <w:b/>
          <w:bCs/>
          <w:kern w:val="0"/>
        </w:rPr>
        <w:t>185</w:t>
      </w:r>
      <w:r w:rsidRPr="001A3D2B">
        <w:rPr>
          <w:kern w:val="0"/>
        </w:rPr>
        <w:t xml:space="preserve"> (3), 597-601</w:t>
      </w:r>
      <w:r w:rsidR="00E37517" w:rsidRPr="001A3D2B">
        <w:rPr>
          <w:kern w:val="0"/>
        </w:rPr>
        <w:t>.</w:t>
      </w:r>
    </w:p>
    <w:p w:rsidR="0071680C" w:rsidRPr="001A3D2B" w:rsidRDefault="0071680C" w:rsidP="0071680C">
      <w:pPr>
        <w:pStyle w:val="a3"/>
      </w:pPr>
      <w:r w:rsidRPr="001A3D2B">
        <w:t xml:space="preserve">Full Text: </w:t>
      </w:r>
      <w:hyperlink r:id="rId639" w:history="1">
        <w:r w:rsidRPr="001A3D2B">
          <w:rPr>
            <w:rStyle w:val="a5"/>
          </w:rPr>
          <w:t>2005\Ame J Roe185, 597.pdf</w:t>
        </w:r>
      </w:hyperlink>
    </w:p>
    <w:p w:rsidR="0071680C" w:rsidRPr="001A3D2B" w:rsidRDefault="0071680C" w:rsidP="0071680C">
      <w:pPr>
        <w:pStyle w:val="a3"/>
        <w:rPr>
          <w:kern w:val="0"/>
        </w:rPr>
      </w:pPr>
      <w:r w:rsidRPr="001A3D2B">
        <w:rPr>
          <w:kern w:val="0"/>
        </w:rPr>
        <w:t>Keywords: Computed-Tomography, Diagnosis</w:t>
      </w:r>
    </w:p>
    <w:p w:rsidR="00017178" w:rsidRDefault="00017178" w:rsidP="00017178">
      <w:pPr>
        <w:pStyle w:val="a3"/>
        <w:rPr>
          <w:kern w:val="0"/>
        </w:rPr>
      </w:pPr>
      <w:r>
        <w:rPr>
          <w:rFonts w:hint="eastAsia"/>
          <w:kern w:val="0"/>
        </w:rPr>
        <w:t xml:space="preserve">? </w:t>
      </w:r>
      <w:r>
        <w:rPr>
          <w:kern w:val="0"/>
        </w:rPr>
        <w:t>Bui-Mansfield, L.T. (2006), Top 100 cited AJR articles at</w:t>
      </w:r>
      <w:r w:rsidR="003A1917">
        <w:rPr>
          <w:kern w:val="0"/>
        </w:rPr>
        <w:t xml:space="preserve"> the </w:t>
      </w:r>
      <w:r>
        <w:rPr>
          <w:kern w:val="0"/>
        </w:rPr>
        <w:t>AJR</w:t>
      </w:r>
      <w:r w:rsidR="00700038">
        <w:rPr>
          <w:kern w:val="0"/>
        </w:rPr>
        <w:t>’</w:t>
      </w:r>
      <w:r w:rsidR="00C13DDC">
        <w:rPr>
          <w:kern w:val="0"/>
        </w:rPr>
        <w:t>s</w:t>
      </w:r>
      <w:r>
        <w:rPr>
          <w:kern w:val="0"/>
        </w:rPr>
        <w:t xml:space="preserve"> centennial. </w:t>
      </w:r>
      <w:r>
        <w:rPr>
          <w:i/>
          <w:iCs/>
          <w:kern w:val="0"/>
        </w:rPr>
        <w:t>American Journal</w:t>
      </w:r>
      <w:r w:rsidR="00427468">
        <w:rPr>
          <w:i/>
          <w:iCs/>
          <w:kern w:val="0"/>
        </w:rPr>
        <w:t xml:space="preserve"> of </w:t>
      </w:r>
      <w:r>
        <w:rPr>
          <w:i/>
          <w:iCs/>
          <w:kern w:val="0"/>
        </w:rPr>
        <w:t>Roentgenology</w:t>
      </w:r>
      <w:r>
        <w:rPr>
          <w:kern w:val="0"/>
        </w:rPr>
        <w:t xml:space="preserve">, </w:t>
      </w:r>
      <w:r>
        <w:rPr>
          <w:b/>
          <w:bCs/>
          <w:kern w:val="0"/>
        </w:rPr>
        <w:t>186</w:t>
      </w:r>
      <w:r>
        <w:rPr>
          <w:kern w:val="0"/>
        </w:rPr>
        <w:t xml:space="preserve"> (1), 3-6</w:t>
      </w:r>
      <w:r w:rsidR="001A1B8B">
        <w:rPr>
          <w:rFonts w:hint="eastAsia"/>
          <w:kern w:val="0"/>
        </w:rPr>
        <w:t>.</w:t>
      </w:r>
    </w:p>
    <w:p w:rsidR="00017178" w:rsidRPr="001A3D2B" w:rsidRDefault="00017178" w:rsidP="00017178">
      <w:pPr>
        <w:pStyle w:val="a3"/>
      </w:pPr>
      <w:r w:rsidRPr="001A3D2B">
        <w:t xml:space="preserve">Full Text: </w:t>
      </w:r>
      <w:hyperlink r:id="rId640" w:history="1">
        <w:r w:rsidRPr="00017178">
          <w:rPr>
            <w:rStyle w:val="a5"/>
          </w:rPr>
          <w:t>2006\Ame J Roe186, 3.pdf</w:t>
        </w:r>
      </w:hyperlink>
    </w:p>
    <w:p w:rsidR="00017178" w:rsidRDefault="00017178" w:rsidP="00017178">
      <w:pPr>
        <w:pStyle w:val="a3"/>
        <w:rPr>
          <w:kern w:val="0"/>
        </w:rPr>
      </w:pPr>
      <w:r>
        <w:rPr>
          <w:kern w:val="0"/>
        </w:rPr>
        <w:t xml:space="preserve">Keywords: Abdominal Abscesses, AJR Centennial, Arterial Occlusions, Articles, Computed-Tomography, Contrast-Media, Digital Subtraction, Education, Gadolinium-Dtpa Complex, History, </w:t>
      </w:r>
      <w:r w:rsidR="00F14A6C">
        <w:rPr>
          <w:kern w:val="0"/>
        </w:rPr>
        <w:t>MR</w:t>
      </w:r>
      <w:r>
        <w:rPr>
          <w:kern w:val="0"/>
        </w:rPr>
        <w:t xml:space="preserve">-Angiography, Needle Aspiration Biopsy, </w:t>
      </w:r>
      <w:r>
        <w:rPr>
          <w:kern w:val="0"/>
        </w:rPr>
        <w:lastRenderedPageBreak/>
        <w:t>Publishing, Pulmonary-Embolism, Radiation-Therapy, Research</w:t>
      </w:r>
    </w:p>
    <w:p w:rsidR="00F14A6C" w:rsidRDefault="00F14A6C" w:rsidP="00F14A6C">
      <w:pPr>
        <w:pStyle w:val="a3"/>
        <w:rPr>
          <w:kern w:val="0"/>
        </w:rPr>
      </w:pPr>
      <w:r>
        <w:rPr>
          <w:rFonts w:hint="eastAsia"/>
          <w:kern w:val="0"/>
        </w:rPr>
        <w:t xml:space="preserve">? </w:t>
      </w:r>
      <w:r>
        <w:rPr>
          <w:kern w:val="0"/>
        </w:rPr>
        <w:t>Krishan, S., Pandiratne, N., Verma, R.</w:t>
      </w:r>
      <w:r w:rsidR="005853A9">
        <w:rPr>
          <w:kern w:val="0"/>
        </w:rPr>
        <w:t xml:space="preserve"> and </w:t>
      </w:r>
      <w:r>
        <w:rPr>
          <w:kern w:val="0"/>
        </w:rPr>
        <w:t>Robertson, R. (2011), Incremental value</w:t>
      </w:r>
      <w:r w:rsidR="00427468">
        <w:rPr>
          <w:kern w:val="0"/>
        </w:rPr>
        <w:t xml:space="preserve"> of </w:t>
      </w:r>
      <w:r>
        <w:rPr>
          <w:kern w:val="0"/>
        </w:rPr>
        <w:t>ct venography combined with pulmonary CT angiography for</w:t>
      </w:r>
      <w:r w:rsidR="003A1917">
        <w:rPr>
          <w:kern w:val="0"/>
        </w:rPr>
        <w:t xml:space="preserve"> the </w:t>
      </w:r>
      <w:r>
        <w:rPr>
          <w:kern w:val="0"/>
        </w:rPr>
        <w:t>detection</w:t>
      </w:r>
      <w:r w:rsidR="00427468">
        <w:rPr>
          <w:kern w:val="0"/>
        </w:rPr>
        <w:t xml:space="preserve"> of </w:t>
      </w:r>
      <w:r>
        <w:rPr>
          <w:kern w:val="0"/>
        </w:rPr>
        <w:t>thromboembolic disease: Systematic review</w:t>
      </w:r>
      <w:r w:rsidR="005853A9">
        <w:rPr>
          <w:kern w:val="0"/>
        </w:rPr>
        <w:t xml:space="preserve"> and </w:t>
      </w:r>
      <w:r>
        <w:rPr>
          <w:kern w:val="0"/>
        </w:rPr>
        <w:t xml:space="preserve">meta-analysis. </w:t>
      </w:r>
      <w:r>
        <w:rPr>
          <w:i/>
          <w:iCs/>
          <w:kern w:val="0"/>
        </w:rPr>
        <w:t>American Journal</w:t>
      </w:r>
      <w:r w:rsidR="00427468">
        <w:rPr>
          <w:i/>
          <w:iCs/>
          <w:kern w:val="0"/>
        </w:rPr>
        <w:t xml:space="preserve"> of </w:t>
      </w:r>
      <w:r>
        <w:rPr>
          <w:i/>
          <w:iCs/>
          <w:kern w:val="0"/>
        </w:rPr>
        <w:t>Roentgenology</w:t>
      </w:r>
      <w:r>
        <w:rPr>
          <w:kern w:val="0"/>
        </w:rPr>
        <w:t xml:space="preserve">, </w:t>
      </w:r>
      <w:r>
        <w:rPr>
          <w:b/>
          <w:bCs/>
          <w:kern w:val="0"/>
        </w:rPr>
        <w:t>196</w:t>
      </w:r>
      <w:r>
        <w:rPr>
          <w:kern w:val="0"/>
        </w:rPr>
        <w:t xml:space="preserve"> (5), 1065-1072.</w:t>
      </w:r>
    </w:p>
    <w:p w:rsidR="00F14A6C" w:rsidRPr="001A3D2B" w:rsidRDefault="00F14A6C" w:rsidP="00F14A6C">
      <w:pPr>
        <w:pStyle w:val="a3"/>
      </w:pPr>
      <w:r w:rsidRPr="001A3D2B">
        <w:t xml:space="preserve">Full Text: </w:t>
      </w:r>
      <w:hyperlink r:id="rId641" w:history="1">
        <w:r w:rsidR="00505265" w:rsidRPr="00505265">
          <w:rPr>
            <w:rStyle w:val="a5"/>
          </w:rPr>
          <w:t>2011\Ame J Roe196, 1065.pdf</w:t>
        </w:r>
      </w:hyperlink>
    </w:p>
    <w:p w:rsidR="00F14A6C" w:rsidRDefault="00F14A6C" w:rsidP="00F14A6C">
      <w:pPr>
        <w:pStyle w:val="a3"/>
        <w:rPr>
          <w:kern w:val="0"/>
        </w:rPr>
      </w:pPr>
      <w:r>
        <w:rPr>
          <w:kern w:val="0"/>
        </w:rPr>
        <w:t>Abstract: OBJECTIVE</w:t>
      </w:r>
      <w:r w:rsidR="00A37C1D">
        <w:rPr>
          <w:kern w:val="0"/>
        </w:rPr>
        <w:t>. The</w:t>
      </w:r>
      <w:r w:rsidR="003A1917">
        <w:rPr>
          <w:kern w:val="0"/>
        </w:rPr>
        <w:t xml:space="preserve"> </w:t>
      </w:r>
      <w:r>
        <w:rPr>
          <w:kern w:val="0"/>
        </w:rPr>
        <w:t>objective</w:t>
      </w:r>
      <w:r w:rsidR="00427468">
        <w:rPr>
          <w:kern w:val="0"/>
        </w:rPr>
        <w:t xml:space="preserve"> of </w:t>
      </w:r>
      <w:r>
        <w:rPr>
          <w:kern w:val="0"/>
        </w:rPr>
        <w:t>our study was to assess</w:t>
      </w:r>
      <w:r w:rsidR="003A1917">
        <w:rPr>
          <w:kern w:val="0"/>
        </w:rPr>
        <w:t xml:space="preserve"> the </w:t>
      </w:r>
      <w:r>
        <w:rPr>
          <w:kern w:val="0"/>
        </w:rPr>
        <w:t>incremental role</w:t>
      </w:r>
      <w:r w:rsidR="00427468">
        <w:rPr>
          <w:kern w:val="0"/>
        </w:rPr>
        <w:t xml:space="preserve"> of </w:t>
      </w:r>
      <w:r>
        <w:rPr>
          <w:kern w:val="0"/>
        </w:rPr>
        <w:t>CT venography (CTV) combined with pulmonary CT angiography (CTA) in detecting venous thromboembolic disease with a systematic review</w:t>
      </w:r>
      <w:r w:rsidR="005853A9">
        <w:rPr>
          <w:kern w:val="0"/>
        </w:rPr>
        <w:t xml:space="preserve"> and </w:t>
      </w:r>
      <w:r>
        <w:rPr>
          <w:kern w:val="0"/>
        </w:rPr>
        <w:t>meta-analysis</w:t>
      </w:r>
      <w:r w:rsidR="00427468">
        <w:rPr>
          <w:kern w:val="0"/>
        </w:rPr>
        <w:t xml:space="preserve"> of </w:t>
      </w:r>
      <w:r w:rsidR="003A1917">
        <w:rPr>
          <w:kern w:val="0"/>
        </w:rPr>
        <w:t xml:space="preserve">the </w:t>
      </w:r>
      <w:r>
        <w:rPr>
          <w:kern w:val="0"/>
        </w:rPr>
        <w:t>literature. MATERIALS</w:t>
      </w:r>
      <w:r w:rsidR="005853A9">
        <w:rPr>
          <w:kern w:val="0"/>
        </w:rPr>
        <w:t xml:space="preserve"> and </w:t>
      </w:r>
      <w:r>
        <w:rPr>
          <w:kern w:val="0"/>
        </w:rPr>
        <w:t xml:space="preserve">METHODS.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for relevant original articles published from January 1, 1995, to December 31, 2009. A random-effects model was used to obtain</w:t>
      </w:r>
      <w:r w:rsidR="003A1917">
        <w:rPr>
          <w:kern w:val="0"/>
        </w:rPr>
        <w:t xml:space="preserve"> the </w:t>
      </w:r>
      <w:r>
        <w:rPr>
          <w:kern w:val="0"/>
        </w:rPr>
        <w:t>incremental value</w:t>
      </w:r>
      <w:r w:rsidR="00427468">
        <w:rPr>
          <w:kern w:val="0"/>
        </w:rPr>
        <w:t xml:space="preserve"> of </w:t>
      </w:r>
      <w:r>
        <w:rPr>
          <w:kern w:val="0"/>
        </w:rPr>
        <w:t>CTV in detecting thromboembolic disease. RESULTS. Twenty-four studies, which included 17,373 patients, met our inclusion criteria. A meta-analysis showed that CTV increased detection rates</w:t>
      </w:r>
      <w:r w:rsidR="00427468">
        <w:rPr>
          <w:kern w:val="0"/>
        </w:rPr>
        <w:t xml:space="preserve"> of </w:t>
      </w:r>
      <w:r>
        <w:rPr>
          <w:kern w:val="0"/>
        </w:rPr>
        <w:t>venous thromboembolic disease by identifying an additional 3%</w:t>
      </w:r>
      <w:r w:rsidR="00427468">
        <w:rPr>
          <w:kern w:val="0"/>
        </w:rPr>
        <w:t xml:space="preserve"> of </w:t>
      </w:r>
      <w:r>
        <w:rPr>
          <w:kern w:val="0"/>
        </w:rPr>
        <w:t>cases (95% CI, 2-4%)</w:t>
      </w:r>
      <w:r w:rsidR="00427468">
        <w:rPr>
          <w:kern w:val="0"/>
        </w:rPr>
        <w:t xml:space="preserve"> of </w:t>
      </w:r>
      <w:r>
        <w:rPr>
          <w:kern w:val="0"/>
        </w:rPr>
        <w:t>isolated deep venous thrombosis (DVT). A subgroup analysis</w:t>
      </w:r>
      <w:r w:rsidR="00427468">
        <w:rPr>
          <w:kern w:val="0"/>
        </w:rPr>
        <w:t xml:space="preserve"> of </w:t>
      </w:r>
      <w:r>
        <w:rPr>
          <w:kern w:val="0"/>
        </w:rPr>
        <w:t>a high-risk group did not show any difference in</w:t>
      </w:r>
      <w:r w:rsidR="003A1917">
        <w:rPr>
          <w:kern w:val="0"/>
        </w:rPr>
        <w:t xml:space="preserve"> the </w:t>
      </w:r>
      <w:r>
        <w:rPr>
          <w:kern w:val="0"/>
        </w:rPr>
        <w:t>detection</w:t>
      </w:r>
      <w:r w:rsidR="00427468">
        <w:rPr>
          <w:kern w:val="0"/>
        </w:rPr>
        <w:t xml:space="preserve"> of </w:t>
      </w:r>
      <w:r>
        <w:rPr>
          <w:kern w:val="0"/>
        </w:rPr>
        <w:t>isolated DVT. CONCLUSION</w:t>
      </w:r>
      <w:r w:rsidR="00A37C1D">
        <w:rPr>
          <w:kern w:val="0"/>
        </w:rPr>
        <w:t>. The</w:t>
      </w:r>
      <w:r w:rsidR="003A1917">
        <w:rPr>
          <w:kern w:val="0"/>
        </w:rPr>
        <w:t xml:space="preserve"> </w:t>
      </w:r>
      <w:r>
        <w:rPr>
          <w:kern w:val="0"/>
        </w:rPr>
        <w:t>addition</w:t>
      </w:r>
      <w:r w:rsidR="00427468">
        <w:rPr>
          <w:kern w:val="0"/>
        </w:rPr>
        <w:t xml:space="preserve"> of </w:t>
      </w:r>
      <w:r>
        <w:rPr>
          <w:kern w:val="0"/>
        </w:rPr>
        <w:t>CTV results in</w:t>
      </w:r>
      <w:r w:rsidR="003A1917">
        <w:rPr>
          <w:kern w:val="0"/>
        </w:rPr>
        <w:t xml:space="preserve"> the </w:t>
      </w:r>
      <w:r>
        <w:rPr>
          <w:kern w:val="0"/>
        </w:rPr>
        <w:t>increased detection</w:t>
      </w:r>
      <w:r w:rsidR="00427468">
        <w:rPr>
          <w:kern w:val="0"/>
        </w:rPr>
        <w:t xml:space="preserve"> of </w:t>
      </w:r>
      <w:r>
        <w:rPr>
          <w:kern w:val="0"/>
        </w:rPr>
        <w:t>thromboembolic disease. CTV combined with pulmonary CTA has a promising role as a quick</w:t>
      </w:r>
      <w:r w:rsidR="005853A9">
        <w:rPr>
          <w:kern w:val="0"/>
        </w:rPr>
        <w:t xml:space="preserve"> and </w:t>
      </w:r>
      <w:r>
        <w:rPr>
          <w:kern w:val="0"/>
        </w:rPr>
        <w:t>efficient test for venous thromboembolism.</w:t>
      </w:r>
    </w:p>
    <w:p w:rsidR="00F14A6C" w:rsidRDefault="00F14A6C" w:rsidP="00F14A6C">
      <w:pPr>
        <w:pStyle w:val="a3"/>
        <w:rPr>
          <w:kern w:val="0"/>
        </w:rPr>
      </w:pPr>
      <w:r>
        <w:rPr>
          <w:kern w:val="0"/>
        </w:rPr>
        <w:t xml:space="preserve">Keywords: Analysis, Care-Unit Patients, Clinically Sound Treatment, Computed-Tomography Venography, CT, Deep Vein Thrombosis, Deep Venous Thrombosis, Diagnostic Pathways, Disease, Emergency-Departments, Interobserver Agreement, Literature, </w:t>
      </w:r>
      <w:r w:rsidR="00D5664A">
        <w:rPr>
          <w:kern w:val="0"/>
        </w:rPr>
        <w:t>MEDLINE</w:t>
      </w:r>
      <w:r>
        <w:rPr>
          <w:kern w:val="0"/>
        </w:rPr>
        <w:t xml:space="preserve">, Meta-Analysis, Model, Pioped-II Investigators, Pulmonary Embolism, Review, Science, Search Strategies, Systematic, Systematic Review, Thrombosis, Vein Thrombosis, Venous Thromboembolic Disease, Venous Thrombosis, </w:t>
      </w:r>
      <w:r w:rsidR="00D5664A">
        <w:rPr>
          <w:kern w:val="0"/>
        </w:rPr>
        <w:t>Web</w:t>
      </w:r>
      <w:r w:rsidR="00427468">
        <w:rPr>
          <w:kern w:val="0"/>
        </w:rPr>
        <w:t xml:space="preserve"> of </w:t>
      </w:r>
      <w:r w:rsidR="00D5664A">
        <w:rPr>
          <w:kern w:val="0"/>
        </w:rPr>
        <w:t>Science</w:t>
      </w:r>
    </w:p>
    <w:p w:rsidR="005070A9" w:rsidRDefault="005070A9" w:rsidP="005070A9">
      <w:pPr>
        <w:pStyle w:val="a3"/>
        <w:rPr>
          <w:kern w:val="0"/>
        </w:rPr>
      </w:pPr>
      <w:r>
        <w:rPr>
          <w:rFonts w:hint="eastAsia"/>
          <w:kern w:val="0"/>
        </w:rPr>
        <w:t xml:space="preserve">? </w:t>
      </w:r>
      <w:r>
        <w:rPr>
          <w:kern w:val="0"/>
        </w:rPr>
        <w:t>Bonekamp, S., Halappa, V.G., Corona-Villalobos, C.P., Mensa, M., Eng, J., Lewin, J.S.</w:t>
      </w:r>
      <w:r w:rsidR="005853A9">
        <w:rPr>
          <w:kern w:val="0"/>
        </w:rPr>
        <w:t xml:space="preserve"> and </w:t>
      </w:r>
      <w:r>
        <w:rPr>
          <w:kern w:val="0"/>
        </w:rPr>
        <w:t>Kamel, I.R. (2012), Prevalence</w:t>
      </w:r>
      <w:r w:rsidR="00427468">
        <w:rPr>
          <w:kern w:val="0"/>
        </w:rPr>
        <w:t xml:space="preserve"> of </w:t>
      </w:r>
      <w:r>
        <w:rPr>
          <w:kern w:val="0"/>
        </w:rPr>
        <w:t xml:space="preserve">honorary coauthorship in the </w:t>
      </w:r>
      <w:r w:rsidRPr="000E1EC0">
        <w:rPr>
          <w:i/>
          <w:kern w:val="0"/>
        </w:rPr>
        <w:t>American Journal</w:t>
      </w:r>
      <w:r w:rsidR="00427468">
        <w:rPr>
          <w:i/>
          <w:kern w:val="0"/>
        </w:rPr>
        <w:t xml:space="preserve"> of </w:t>
      </w:r>
      <w:r w:rsidRPr="000E1EC0">
        <w:rPr>
          <w:i/>
          <w:kern w:val="0"/>
        </w:rPr>
        <w:t>Roentgenology</w:t>
      </w:r>
      <w:r>
        <w:rPr>
          <w:kern w:val="0"/>
        </w:rPr>
        <w:t xml:space="preserve">. </w:t>
      </w:r>
      <w:r>
        <w:rPr>
          <w:i/>
          <w:iCs/>
          <w:kern w:val="0"/>
        </w:rPr>
        <w:t>American Journal</w:t>
      </w:r>
      <w:r w:rsidR="00427468">
        <w:rPr>
          <w:i/>
          <w:iCs/>
          <w:kern w:val="0"/>
        </w:rPr>
        <w:t xml:space="preserve"> of </w:t>
      </w:r>
      <w:r>
        <w:rPr>
          <w:i/>
          <w:iCs/>
          <w:kern w:val="0"/>
        </w:rPr>
        <w:t>Roentgenology</w:t>
      </w:r>
      <w:r>
        <w:rPr>
          <w:kern w:val="0"/>
        </w:rPr>
        <w:t xml:space="preserve">, </w:t>
      </w:r>
      <w:r>
        <w:rPr>
          <w:b/>
          <w:bCs/>
          <w:kern w:val="0"/>
        </w:rPr>
        <w:t>198</w:t>
      </w:r>
      <w:r>
        <w:rPr>
          <w:kern w:val="0"/>
        </w:rPr>
        <w:t xml:space="preserve"> (6), 1247-1255.</w:t>
      </w:r>
    </w:p>
    <w:p w:rsidR="005070A9" w:rsidRPr="001A3D2B" w:rsidRDefault="005070A9" w:rsidP="005070A9">
      <w:pPr>
        <w:pStyle w:val="a3"/>
      </w:pPr>
      <w:r w:rsidRPr="001A3D2B">
        <w:t xml:space="preserve">Full Text: </w:t>
      </w:r>
      <w:hyperlink r:id="rId642" w:history="1">
        <w:r w:rsidRPr="00FE45B5">
          <w:rPr>
            <w:rStyle w:val="a5"/>
          </w:rPr>
          <w:t>2012\Ame J Roe198, 1247.pdf</w:t>
        </w:r>
      </w:hyperlink>
    </w:p>
    <w:p w:rsidR="005070A9" w:rsidRDefault="005070A9" w:rsidP="005070A9">
      <w:pPr>
        <w:pStyle w:val="a3"/>
        <w:rPr>
          <w:kern w:val="0"/>
        </w:rPr>
      </w:pPr>
      <w:r>
        <w:rPr>
          <w:kern w:val="0"/>
        </w:rPr>
        <w:t>Abstract: OBJECTIVE</w:t>
      </w:r>
      <w:r w:rsidR="00A37C1D">
        <w:rPr>
          <w:kern w:val="0"/>
        </w:rPr>
        <w:t>. The</w:t>
      </w:r>
      <w:r>
        <w:rPr>
          <w:kern w:val="0"/>
        </w:rPr>
        <w:t xml:space="preserve"> objective</w:t>
      </w:r>
      <w:r w:rsidR="00427468">
        <w:rPr>
          <w:kern w:val="0"/>
        </w:rPr>
        <w:t xml:space="preserve"> of </w:t>
      </w:r>
      <w:r>
        <w:rPr>
          <w:kern w:val="0"/>
        </w:rPr>
        <w:t>our study was to determine the prevalence</w:t>
      </w:r>
      <w:r w:rsidR="00427468">
        <w:rPr>
          <w:kern w:val="0"/>
        </w:rPr>
        <w:t xml:space="preserve"> of </w:t>
      </w:r>
      <w:r>
        <w:rPr>
          <w:kern w:val="0"/>
        </w:rPr>
        <w:t>honorary authorship in articles published in the American Journal</w:t>
      </w:r>
      <w:r w:rsidR="00427468">
        <w:rPr>
          <w:kern w:val="0"/>
        </w:rPr>
        <w:t xml:space="preserve"> of </w:t>
      </w:r>
      <w:r>
        <w:rPr>
          <w:kern w:val="0"/>
        </w:rPr>
        <w:t>Roentgenology (AJR)</w:t>
      </w:r>
      <w:r w:rsidR="005853A9">
        <w:rPr>
          <w:kern w:val="0"/>
        </w:rPr>
        <w:t xml:space="preserve"> and </w:t>
      </w:r>
      <w:r>
        <w:rPr>
          <w:kern w:val="0"/>
        </w:rPr>
        <w:t>to evaluate the factors that might influence the perception</w:t>
      </w:r>
      <w:r w:rsidR="00427468">
        <w:rPr>
          <w:kern w:val="0"/>
        </w:rPr>
        <w:t xml:space="preserve"> of </w:t>
      </w:r>
      <w:r>
        <w:rPr>
          <w:kern w:val="0"/>
        </w:rPr>
        <w:t>honorary authorship. MATERIALS</w:t>
      </w:r>
      <w:r w:rsidR="005853A9">
        <w:rPr>
          <w:kern w:val="0"/>
        </w:rPr>
        <w:t xml:space="preserve"> and </w:t>
      </w:r>
      <w:r>
        <w:rPr>
          <w:kern w:val="0"/>
        </w:rPr>
        <w:t>METHODS. Corresponding authors</w:t>
      </w:r>
      <w:r w:rsidR="00427468">
        <w:rPr>
          <w:kern w:val="0"/>
        </w:rPr>
        <w:t xml:space="preserve"> of </w:t>
      </w:r>
      <w:r>
        <w:rPr>
          <w:kern w:val="0"/>
        </w:rPr>
        <w:t>1333 Original Research articles published in AJR between 2003</w:t>
      </w:r>
      <w:r w:rsidR="005853A9">
        <w:rPr>
          <w:kern w:val="0"/>
        </w:rPr>
        <w:t xml:space="preserve"> and </w:t>
      </w:r>
      <w:r>
        <w:rPr>
          <w:kern w:val="0"/>
        </w:rPr>
        <w:t>2010 were invited by e-mail to complete a Web-based, self-administered survey. Univariable analysis</w:t>
      </w:r>
      <w:r w:rsidR="00427468">
        <w:rPr>
          <w:kern w:val="0"/>
        </w:rPr>
        <w:t xml:space="preserve"> of </w:t>
      </w:r>
      <w:r>
        <w:rPr>
          <w:kern w:val="0"/>
        </w:rPr>
        <w:t xml:space="preserve">sample proportions was performed using the chi-square test. Multivariable logistic </w:t>
      </w:r>
      <w:r>
        <w:rPr>
          <w:kern w:val="0"/>
        </w:rPr>
        <w:lastRenderedPageBreak/>
        <w:t>regression models were used to assess the independent factors that were associated with the probability</w:t>
      </w:r>
      <w:r w:rsidR="00427468">
        <w:rPr>
          <w:kern w:val="0"/>
        </w:rPr>
        <w:t xml:space="preserve"> of </w:t>
      </w:r>
      <w:r>
        <w:rPr>
          <w:kern w:val="0"/>
        </w:rPr>
        <w:t>honorary authorship. RESULTS. Responses were received from authors</w:t>
      </w:r>
      <w:r w:rsidR="00427468">
        <w:rPr>
          <w:kern w:val="0"/>
        </w:rPr>
        <w:t xml:space="preserve"> of </w:t>
      </w:r>
      <w:r>
        <w:rPr>
          <w:kern w:val="0"/>
        </w:rPr>
        <w:t>490 articles (36.8% response rate). Most respondents were aware</w:t>
      </w:r>
      <w:r w:rsidR="00427468">
        <w:rPr>
          <w:kern w:val="0"/>
        </w:rPr>
        <w:t xml:space="preserve"> of </w:t>
      </w:r>
      <w:r>
        <w:rPr>
          <w:kern w:val="0"/>
        </w:rPr>
        <w:t>the authorship guidelines proposed by the International Committee</w:t>
      </w:r>
      <w:r w:rsidR="00427468">
        <w:rPr>
          <w:kern w:val="0"/>
        </w:rPr>
        <w:t xml:space="preserve"> of </w:t>
      </w:r>
      <w:r>
        <w:rPr>
          <w:kern w:val="0"/>
        </w:rPr>
        <w:t>Medical Journal Editors (n = 399, 81.4%)</w:t>
      </w:r>
      <w:r w:rsidR="005853A9">
        <w:rPr>
          <w:kern w:val="0"/>
        </w:rPr>
        <w:t xml:space="preserve"> and </w:t>
      </w:r>
      <w:r>
        <w:rPr>
          <w:kern w:val="0"/>
        </w:rPr>
        <w:t>the issue</w:t>
      </w:r>
      <w:r w:rsidR="00427468">
        <w:rPr>
          <w:kern w:val="0"/>
        </w:rPr>
        <w:t xml:space="preserve"> of </w:t>
      </w:r>
      <w:r>
        <w:rPr>
          <w:kern w:val="0"/>
        </w:rPr>
        <w:t>honorary authorship (n = 353, 72.0%). Authorship was most commonly decided by the first author (n = 256, 52.2%). One hundred twenty-one authors (24.7%) perceived that one or more coauthors listed for the respective article did not make sufficient contributions. Factors most strongly associated with honorary authorship included a work environment where a senior department member was automatically listed (odds ratio [OR], 1.33), the suggestion that an honorary author should be included (OR, 5.96),</w:t>
      </w:r>
      <w:r w:rsidR="005853A9">
        <w:rPr>
          <w:kern w:val="0"/>
        </w:rPr>
        <w:t xml:space="preserve"> and </w:t>
      </w:r>
      <w:r>
        <w:rPr>
          <w:kern w:val="0"/>
        </w:rPr>
        <w:t>the perception that a coauthor performed only a single nonauthor task (i.e., reviewing the manuscript: OR, 1.54). CONCLUSION. A substantial proportion</w:t>
      </w:r>
      <w:r w:rsidR="00427468">
        <w:rPr>
          <w:kern w:val="0"/>
        </w:rPr>
        <w:t xml:space="preserve"> of </w:t>
      </w:r>
      <w:r>
        <w:rPr>
          <w:kern w:val="0"/>
        </w:rPr>
        <w:t>articles had evidence</w:t>
      </w:r>
      <w:r w:rsidR="00427468">
        <w:rPr>
          <w:kern w:val="0"/>
        </w:rPr>
        <w:t xml:space="preserve"> of </w:t>
      </w:r>
      <w:r>
        <w:rPr>
          <w:kern w:val="0"/>
        </w:rPr>
        <w:t>honorary authorship</w:t>
      </w:r>
      <w:r w:rsidR="00A37C1D">
        <w:rPr>
          <w:kern w:val="0"/>
        </w:rPr>
        <w:t>. The</w:t>
      </w:r>
      <w:r>
        <w:rPr>
          <w:kern w:val="0"/>
        </w:rPr>
        <w:t xml:space="preserve"> rate</w:t>
      </w:r>
      <w:r w:rsidR="00427468">
        <w:rPr>
          <w:kern w:val="0"/>
        </w:rPr>
        <w:t xml:space="preserve"> of </w:t>
      </w:r>
      <w:r>
        <w:rPr>
          <w:kern w:val="0"/>
        </w:rPr>
        <w:t>honorary authors was higher among authors who worked in an environment where senior members were routinely added to all manuscripts submitted for publication, authors who perceived that a coauthor listed had only reviewed the manuscript,</w:t>
      </w:r>
      <w:r w:rsidR="005853A9">
        <w:rPr>
          <w:kern w:val="0"/>
        </w:rPr>
        <w:t xml:space="preserve"> and </w:t>
      </w:r>
      <w:r>
        <w:rPr>
          <w:kern w:val="0"/>
        </w:rPr>
        <w:t>authors who reported that someone suggested they should include an honorary author.</w:t>
      </w:r>
    </w:p>
    <w:p w:rsidR="005070A9" w:rsidRDefault="005070A9" w:rsidP="005070A9">
      <w:pPr>
        <w:pStyle w:val="a3"/>
        <w:rPr>
          <w:kern w:val="0"/>
        </w:rPr>
      </w:pPr>
      <w:r>
        <w:rPr>
          <w:kern w:val="0"/>
        </w:rPr>
        <w:t>Keywords: Analysis, Authors, Authorship, Authorship, Chi-Square, Coauthorship, Complete, Editors, Environment, Ethics, Evidence, First, Guidelines, Honorary Authorship, Influence, Journal, Logistic Regression, Medical, Methods, Models, Odds Ratio, Perception, Prevalence, Publication, Radiology, Regression, Research, Suggestion, Survey, Work, Work Environment</w:t>
      </w:r>
    </w:p>
    <w:p w:rsidR="00B136D2" w:rsidRDefault="00B136D2" w:rsidP="00B136D2">
      <w:pPr>
        <w:pStyle w:val="a3"/>
        <w:rPr>
          <w:kern w:val="0"/>
        </w:rPr>
      </w:pPr>
      <w:r>
        <w:rPr>
          <w:rFonts w:hint="eastAsia"/>
          <w:kern w:val="0"/>
        </w:rPr>
        <w:t xml:space="preserve">? </w:t>
      </w:r>
      <w:r>
        <w:rPr>
          <w:kern w:val="0"/>
        </w:rPr>
        <w:t>Yun, E.J., Yoon, D.Y., Kim, B.Y., Kim, Y.J., Baek, S., Lim, K.J.</w:t>
      </w:r>
      <w:r w:rsidR="005853A9">
        <w:rPr>
          <w:kern w:val="0"/>
        </w:rPr>
        <w:t xml:space="preserve"> and </w:t>
      </w:r>
      <w:r>
        <w:rPr>
          <w:kern w:val="0"/>
        </w:rPr>
        <w:t>Seo, Y.L. (2013), Where do radiologists publish their work? A comparative analysis</w:t>
      </w:r>
      <w:r w:rsidR="00427468">
        <w:rPr>
          <w:kern w:val="0"/>
        </w:rPr>
        <w:t xml:space="preserve"> of </w:t>
      </w:r>
      <w:r>
        <w:rPr>
          <w:kern w:val="0"/>
        </w:rPr>
        <w:t>publications by radiologists in nonradiology journals in 2000</w:t>
      </w:r>
      <w:r w:rsidR="005853A9">
        <w:rPr>
          <w:kern w:val="0"/>
        </w:rPr>
        <w:t xml:space="preserve"> and </w:t>
      </w:r>
      <w:r>
        <w:rPr>
          <w:kern w:val="0"/>
        </w:rPr>
        <w:t xml:space="preserve">2010. </w:t>
      </w:r>
      <w:r>
        <w:rPr>
          <w:i/>
          <w:iCs/>
          <w:kern w:val="0"/>
        </w:rPr>
        <w:t>American Journal</w:t>
      </w:r>
      <w:r w:rsidR="00427468">
        <w:rPr>
          <w:i/>
          <w:iCs/>
          <w:kern w:val="0"/>
        </w:rPr>
        <w:t xml:space="preserve"> of </w:t>
      </w:r>
      <w:r>
        <w:rPr>
          <w:i/>
          <w:iCs/>
          <w:kern w:val="0"/>
        </w:rPr>
        <w:t>Roentgenology</w:t>
      </w:r>
      <w:r>
        <w:rPr>
          <w:kern w:val="0"/>
        </w:rPr>
        <w:t xml:space="preserve">, </w:t>
      </w:r>
      <w:r>
        <w:rPr>
          <w:b/>
          <w:bCs/>
          <w:kern w:val="0"/>
        </w:rPr>
        <w:t>200</w:t>
      </w:r>
      <w:r>
        <w:rPr>
          <w:kern w:val="0"/>
        </w:rPr>
        <w:t xml:space="preserve"> (6), W560-W565.</w:t>
      </w:r>
    </w:p>
    <w:p w:rsidR="00B136D2" w:rsidRPr="001A3D2B" w:rsidRDefault="00B136D2" w:rsidP="00B136D2">
      <w:pPr>
        <w:pStyle w:val="a3"/>
      </w:pPr>
      <w:r w:rsidRPr="001A3D2B">
        <w:t xml:space="preserve">Full Text: </w:t>
      </w:r>
      <w:hyperlink r:id="rId643" w:history="1">
        <w:r w:rsidRPr="00B136D2">
          <w:rPr>
            <w:rStyle w:val="a5"/>
          </w:rPr>
          <w:t>2013\Ame J Roe200, W560.pdf</w:t>
        </w:r>
      </w:hyperlink>
    </w:p>
    <w:p w:rsidR="00B136D2" w:rsidRDefault="00B136D2" w:rsidP="00B136D2">
      <w:pPr>
        <w:pStyle w:val="a3"/>
        <w:rPr>
          <w:kern w:val="0"/>
        </w:rPr>
      </w:pPr>
      <w:r>
        <w:rPr>
          <w:kern w:val="0"/>
        </w:rPr>
        <w:t>Abstract: OBJECTIVE. We performed a comparative bibliometric study</w:t>
      </w:r>
      <w:r w:rsidR="00427468">
        <w:rPr>
          <w:kern w:val="0"/>
        </w:rPr>
        <w:t xml:space="preserve"> of </w:t>
      </w:r>
      <w:r>
        <w:rPr>
          <w:kern w:val="0"/>
        </w:rPr>
        <w:t>the scientific publications by radiologists in radiology</w:t>
      </w:r>
      <w:r w:rsidR="005853A9">
        <w:rPr>
          <w:kern w:val="0"/>
        </w:rPr>
        <w:t xml:space="preserve"> and </w:t>
      </w:r>
      <w:r>
        <w:rPr>
          <w:kern w:val="0"/>
        </w:rPr>
        <w:t>nonradiology journals in 2000</w:t>
      </w:r>
      <w:r w:rsidR="005853A9">
        <w:rPr>
          <w:kern w:val="0"/>
        </w:rPr>
        <w:t xml:space="preserve"> and </w:t>
      </w:r>
      <w:r>
        <w:rPr>
          <w:kern w:val="0"/>
        </w:rPr>
        <w:t>2010. MATERIALS</w:t>
      </w:r>
      <w:r w:rsidR="005853A9">
        <w:rPr>
          <w:kern w:val="0"/>
        </w:rPr>
        <w:t xml:space="preserve"> and </w:t>
      </w:r>
      <w:r>
        <w:rPr>
          <w:kern w:val="0"/>
        </w:rPr>
        <w:t>METHODS. A PubMed database search was conducted for all articles published by radiologists in journals indexed by Science Citation Index</w:t>
      </w:r>
      <w:r w:rsidR="005853A9">
        <w:rPr>
          <w:kern w:val="0"/>
        </w:rPr>
        <w:t xml:space="preserve"> and </w:t>
      </w:r>
      <w:r>
        <w:rPr>
          <w:kern w:val="0"/>
        </w:rPr>
        <w:t>Science Citation Index Expanded in 2000</w:t>
      </w:r>
      <w:r w:rsidR="005853A9">
        <w:rPr>
          <w:kern w:val="0"/>
        </w:rPr>
        <w:t xml:space="preserve"> and </w:t>
      </w:r>
      <w:r>
        <w:rPr>
          <w:kern w:val="0"/>
        </w:rPr>
        <w:t>2010 by using the search term “radiol*” or “imag*” in the first author</w:t>
      </w:r>
      <w:r w:rsidR="00700038">
        <w:rPr>
          <w:kern w:val="0"/>
        </w:rPr>
        <w:t>’</w:t>
      </w:r>
      <w:r>
        <w:rPr>
          <w:kern w:val="0"/>
        </w:rPr>
        <w:t>s affiliation field. Subject categories</w:t>
      </w:r>
      <w:r w:rsidR="005853A9">
        <w:rPr>
          <w:kern w:val="0"/>
        </w:rPr>
        <w:t xml:space="preserve"> and </w:t>
      </w:r>
      <w:r>
        <w:rPr>
          <w:kern w:val="0"/>
        </w:rPr>
        <w:t>the impact factor (IF)</w:t>
      </w:r>
      <w:r w:rsidR="00427468">
        <w:rPr>
          <w:kern w:val="0"/>
        </w:rPr>
        <w:t xml:space="preserve"> of </w:t>
      </w:r>
      <w:r>
        <w:rPr>
          <w:kern w:val="0"/>
        </w:rPr>
        <w:t>the publishing journal, which were based on information contained in the Institute for Scientific Information</w:t>
      </w:r>
      <w:r w:rsidR="00700038">
        <w:rPr>
          <w:kern w:val="0"/>
        </w:rPr>
        <w:t>’</w:t>
      </w:r>
      <w:r>
        <w:rPr>
          <w:kern w:val="0"/>
        </w:rPr>
        <w:t>s Web</w:t>
      </w:r>
      <w:r w:rsidR="00427468">
        <w:rPr>
          <w:kern w:val="0"/>
        </w:rPr>
        <w:t xml:space="preserve"> of </w:t>
      </w:r>
      <w:r>
        <w:rPr>
          <w:kern w:val="0"/>
        </w:rPr>
        <w:t>Knowledge Journal Citation Reports, were assigned to each article. We compared the number</w:t>
      </w:r>
      <w:r w:rsidR="005853A9">
        <w:rPr>
          <w:kern w:val="0"/>
        </w:rPr>
        <w:t xml:space="preserve"> and </w:t>
      </w:r>
      <w:r>
        <w:rPr>
          <w:kern w:val="0"/>
        </w:rPr>
        <w:t>proportion</w:t>
      </w:r>
      <w:r w:rsidR="00427468">
        <w:rPr>
          <w:kern w:val="0"/>
        </w:rPr>
        <w:t xml:space="preserve"> of </w:t>
      </w:r>
      <w:r>
        <w:rPr>
          <w:kern w:val="0"/>
        </w:rPr>
        <w:t>articles published</w:t>
      </w:r>
      <w:r w:rsidR="005853A9">
        <w:rPr>
          <w:kern w:val="0"/>
        </w:rPr>
        <w:t xml:space="preserve"> and </w:t>
      </w:r>
      <w:r>
        <w:rPr>
          <w:kern w:val="0"/>
        </w:rPr>
        <w:t>the IF</w:t>
      </w:r>
      <w:r w:rsidR="00427468">
        <w:rPr>
          <w:kern w:val="0"/>
        </w:rPr>
        <w:t xml:space="preserve"> of </w:t>
      </w:r>
      <w:r>
        <w:rPr>
          <w:kern w:val="0"/>
        </w:rPr>
        <w:t>radiology</w:t>
      </w:r>
      <w:r w:rsidR="005853A9">
        <w:rPr>
          <w:kern w:val="0"/>
        </w:rPr>
        <w:t xml:space="preserve"> and </w:t>
      </w:r>
      <w:r>
        <w:rPr>
          <w:kern w:val="0"/>
        </w:rPr>
        <w:t>nonradiology journals. RESULTS.</w:t>
      </w:r>
      <w:r w:rsidR="00427468">
        <w:rPr>
          <w:kern w:val="0"/>
        </w:rPr>
        <w:t xml:space="preserve"> of </w:t>
      </w:r>
      <w:r>
        <w:rPr>
          <w:kern w:val="0"/>
        </w:rPr>
        <w:t>the articles published by radiologists, 25.4% (1677/6598) in 2000</w:t>
      </w:r>
      <w:r w:rsidR="005853A9">
        <w:rPr>
          <w:kern w:val="0"/>
        </w:rPr>
        <w:t xml:space="preserve"> and </w:t>
      </w:r>
      <w:r>
        <w:rPr>
          <w:kern w:val="0"/>
        </w:rPr>
        <w:lastRenderedPageBreak/>
        <w:t>35.7% (4479/12,559) in 2010 were published in nonradiology journals</w:t>
      </w:r>
      <w:r w:rsidR="00A37C1D">
        <w:rPr>
          <w:kern w:val="0"/>
        </w:rPr>
        <w:t>. The</w:t>
      </w:r>
      <w:r>
        <w:rPr>
          <w:kern w:val="0"/>
        </w:rPr>
        <w:t xml:space="preserve"> articles were published in 552</w:t>
      </w:r>
      <w:r w:rsidR="005853A9">
        <w:rPr>
          <w:kern w:val="0"/>
        </w:rPr>
        <w:t xml:space="preserve"> and </w:t>
      </w:r>
      <w:r>
        <w:rPr>
          <w:kern w:val="0"/>
        </w:rPr>
        <w:t>1329 nonradiology journals in 2000</w:t>
      </w:r>
      <w:r w:rsidR="005853A9">
        <w:rPr>
          <w:kern w:val="0"/>
        </w:rPr>
        <w:t xml:space="preserve"> and </w:t>
      </w:r>
      <w:r>
        <w:rPr>
          <w:kern w:val="0"/>
        </w:rPr>
        <w:t>2010, respectively</w:t>
      </w:r>
      <w:r w:rsidR="00A37C1D">
        <w:rPr>
          <w:kern w:val="0"/>
        </w:rPr>
        <w:t>. The</w:t>
      </w:r>
      <w:r>
        <w:rPr>
          <w:kern w:val="0"/>
        </w:rPr>
        <w:t xml:space="preserve"> IFs</w:t>
      </w:r>
      <w:r w:rsidR="00427468">
        <w:rPr>
          <w:kern w:val="0"/>
        </w:rPr>
        <w:t xml:space="preserve"> of </w:t>
      </w:r>
      <w:r>
        <w:rPr>
          <w:kern w:val="0"/>
        </w:rPr>
        <w:t>the nonradiology journals were significantly higher than those</w:t>
      </w:r>
      <w:r w:rsidR="00427468">
        <w:rPr>
          <w:kern w:val="0"/>
        </w:rPr>
        <w:t xml:space="preserve"> of </w:t>
      </w:r>
      <w:r>
        <w:rPr>
          <w:kern w:val="0"/>
        </w:rPr>
        <w:t>the radiology journals (2.4 +/- 3.0 vs 1.5 +/- 1.2 in 2000</w:t>
      </w:r>
      <w:r w:rsidR="005853A9">
        <w:rPr>
          <w:kern w:val="0"/>
        </w:rPr>
        <w:t xml:space="preserve"> and </w:t>
      </w:r>
      <w:r>
        <w:rPr>
          <w:kern w:val="0"/>
        </w:rPr>
        <w:t>3.2 +/- 3.8 vs 2.3 +/- 1.4 in 2010; p &lt; 0.0001). When we considered the subject categories, “Oncology,”“Surgery,”and “Neurosciences”accounted for the highest proportion</w:t>
      </w:r>
      <w:r w:rsidR="00427468">
        <w:rPr>
          <w:kern w:val="0"/>
        </w:rPr>
        <w:t xml:space="preserve"> of </w:t>
      </w:r>
      <w:r>
        <w:rPr>
          <w:kern w:val="0"/>
        </w:rPr>
        <w:t>radiologic publications. CONCLUSION. Radiologic publications in nonradiology journals have increased in terms</w:t>
      </w:r>
      <w:r w:rsidR="00427468">
        <w:rPr>
          <w:kern w:val="0"/>
        </w:rPr>
        <w:t xml:space="preserve"> of </w:t>
      </w:r>
      <w:r>
        <w:rPr>
          <w:kern w:val="0"/>
        </w:rPr>
        <w:t>number, percentage, journal IF,</w:t>
      </w:r>
      <w:r w:rsidR="005853A9">
        <w:rPr>
          <w:kern w:val="0"/>
        </w:rPr>
        <w:t xml:space="preserve"> and </w:t>
      </w:r>
      <w:r>
        <w:rPr>
          <w:kern w:val="0"/>
        </w:rPr>
        <w:t>range</w:t>
      </w:r>
      <w:r w:rsidR="00427468">
        <w:rPr>
          <w:kern w:val="0"/>
        </w:rPr>
        <w:t xml:space="preserve"> of </w:t>
      </w:r>
      <w:r>
        <w:rPr>
          <w:kern w:val="0"/>
        </w:rPr>
        <w:t>contributions.</w:t>
      </w:r>
    </w:p>
    <w:p w:rsidR="00B136D2" w:rsidRDefault="00B136D2" w:rsidP="00B136D2">
      <w:pPr>
        <w:pStyle w:val="a3"/>
        <w:rPr>
          <w:kern w:val="0"/>
        </w:rPr>
      </w:pPr>
      <w:r>
        <w:rPr>
          <w:kern w:val="0"/>
        </w:rPr>
        <w:t>Keywords: Affiliation, Ajr, Bibliometric, Bibliometric Study, Citation, Citation Analysis, Database, Fate, Field, First, Impact, Impact Factor, Information, Journal, Journal Citation Reports, Journals, Knowledge, Methods, Publication, Publications, Publishing, Pubmed, Radiologists, Radiology, Science, Science Citation Index, Science Citation Index Expanded, Scientific Publications, Subject Categories, Term, Web</w:t>
      </w:r>
      <w:r w:rsidR="00427468">
        <w:rPr>
          <w:kern w:val="0"/>
        </w:rPr>
        <w:t xml:space="preserve"> of </w:t>
      </w:r>
      <w:r>
        <w:rPr>
          <w:kern w:val="0"/>
        </w:rPr>
        <w:t>Knowledge</w:t>
      </w:r>
    </w:p>
    <w:p w:rsidR="00B1399A" w:rsidRDefault="00B1399A" w:rsidP="00B1399A">
      <w:pPr>
        <w:pStyle w:val="a3"/>
        <w:rPr>
          <w:kern w:val="0"/>
        </w:rPr>
      </w:pPr>
      <w:r>
        <w:rPr>
          <w:rFonts w:hint="eastAsia"/>
          <w:kern w:val="0"/>
        </w:rPr>
        <w:t xml:space="preserve">? </w:t>
      </w:r>
      <w:r>
        <w:rPr>
          <w:kern w:val="0"/>
        </w:rPr>
        <w:t>Yoon, D.Y., Yun, E.J., Ku, Y.J., Baek, S., Lim, K.J., Seo, Y.L.</w:t>
      </w:r>
      <w:r w:rsidR="005853A9">
        <w:rPr>
          <w:kern w:val="0"/>
        </w:rPr>
        <w:t xml:space="preserve"> and </w:t>
      </w:r>
      <w:r>
        <w:rPr>
          <w:kern w:val="0"/>
        </w:rPr>
        <w:t xml:space="preserve">Yie, M. (2013), Citation classics in radiology journals: The 100 top-cited articles, 1945-2012. </w:t>
      </w:r>
      <w:r>
        <w:rPr>
          <w:i/>
          <w:iCs/>
          <w:kern w:val="0"/>
        </w:rPr>
        <w:t>American Journal</w:t>
      </w:r>
      <w:r w:rsidR="00427468">
        <w:rPr>
          <w:i/>
          <w:iCs/>
          <w:kern w:val="0"/>
        </w:rPr>
        <w:t xml:space="preserve"> of </w:t>
      </w:r>
      <w:r>
        <w:rPr>
          <w:i/>
          <w:iCs/>
          <w:kern w:val="0"/>
        </w:rPr>
        <w:t>Roentgenology</w:t>
      </w:r>
      <w:r>
        <w:rPr>
          <w:kern w:val="0"/>
        </w:rPr>
        <w:t xml:space="preserve">, </w:t>
      </w:r>
      <w:r>
        <w:rPr>
          <w:b/>
          <w:bCs/>
          <w:kern w:val="0"/>
        </w:rPr>
        <w:t>201</w:t>
      </w:r>
      <w:r>
        <w:rPr>
          <w:kern w:val="0"/>
        </w:rPr>
        <w:t xml:space="preserve"> (3), 471-481.</w:t>
      </w:r>
    </w:p>
    <w:p w:rsidR="00B1399A" w:rsidRPr="001A3D2B" w:rsidRDefault="00B1399A" w:rsidP="00B1399A">
      <w:pPr>
        <w:pStyle w:val="a3"/>
      </w:pPr>
      <w:r w:rsidRPr="001A3D2B">
        <w:t xml:space="preserve">Full Text: </w:t>
      </w:r>
      <w:r w:rsidRPr="006D19EC">
        <w:t>2013\Ame J Roe201, 471.pdf</w:t>
      </w:r>
    </w:p>
    <w:p w:rsidR="00B1399A" w:rsidRDefault="00B1399A" w:rsidP="00B1399A">
      <w:pPr>
        <w:pStyle w:val="a3"/>
        <w:rPr>
          <w:kern w:val="0"/>
        </w:rPr>
      </w:pPr>
      <w:r>
        <w:rPr>
          <w:kern w:val="0"/>
        </w:rPr>
        <w:t>Abstract: OBJECTIVE</w:t>
      </w:r>
      <w:r w:rsidR="00A37C1D">
        <w:rPr>
          <w:kern w:val="0"/>
        </w:rPr>
        <w:t>. The</w:t>
      </w:r>
      <w:r>
        <w:rPr>
          <w:kern w:val="0"/>
        </w:rPr>
        <w:t xml:space="preserve"> number</w:t>
      </w:r>
      <w:r w:rsidR="00427468">
        <w:rPr>
          <w:kern w:val="0"/>
        </w:rPr>
        <w:t xml:space="preserve"> of </w:t>
      </w:r>
      <w:r>
        <w:rPr>
          <w:kern w:val="0"/>
        </w:rPr>
        <w:t>citations an article receives after its publication reflects its impact in the scientific community</w:t>
      </w:r>
      <w:r w:rsidR="00A37C1D">
        <w:rPr>
          <w:kern w:val="0"/>
        </w:rPr>
        <w:t>. The</w:t>
      </w:r>
      <w:r>
        <w:rPr>
          <w:kern w:val="0"/>
        </w:rPr>
        <w:t xml:space="preserve"> aim</w:t>
      </w:r>
      <w:r w:rsidR="00427468">
        <w:rPr>
          <w:kern w:val="0"/>
        </w:rPr>
        <w:t xml:space="preserve"> of </w:t>
      </w:r>
      <w:r>
        <w:rPr>
          <w:kern w:val="0"/>
        </w:rPr>
        <w:t>this study was to identify</w:t>
      </w:r>
      <w:r w:rsidR="005853A9">
        <w:rPr>
          <w:kern w:val="0"/>
        </w:rPr>
        <w:t xml:space="preserve"> and </w:t>
      </w:r>
      <w:r>
        <w:rPr>
          <w:kern w:val="0"/>
        </w:rPr>
        <w:t>characterize the 100 top-cited articles published in radiology journals. MATERIALS</w:t>
      </w:r>
      <w:r w:rsidR="005853A9">
        <w:rPr>
          <w:kern w:val="0"/>
        </w:rPr>
        <w:t xml:space="preserve"> and </w:t>
      </w:r>
      <w:r>
        <w:rPr>
          <w:kern w:val="0"/>
        </w:rPr>
        <w:t>METHODS</w:t>
      </w:r>
      <w:r w:rsidR="00A37C1D">
        <w:rPr>
          <w:kern w:val="0"/>
        </w:rPr>
        <w:t>. The</w:t>
      </w:r>
      <w:r>
        <w:rPr>
          <w:kern w:val="0"/>
        </w:rPr>
        <w:t xml:space="preserve"> top-cited articles published in 12 radiology journals were identified using the database</w:t>
      </w:r>
      <w:r w:rsidR="00427468">
        <w:rPr>
          <w:kern w:val="0"/>
        </w:rPr>
        <w:t xml:space="preserve"> of </w:t>
      </w:r>
      <w:r>
        <w:rPr>
          <w:kern w:val="0"/>
        </w:rPr>
        <w:t>Science Citation Index Expanded (1945-2012)</w:t>
      </w:r>
      <w:r w:rsidR="00A37C1D">
        <w:rPr>
          <w:kern w:val="0"/>
        </w:rPr>
        <w:t>. The</w:t>
      </w:r>
      <w:r>
        <w:rPr>
          <w:kern w:val="0"/>
        </w:rPr>
        <w:t xml:space="preserve"> 100 top-cited articles were selected</w:t>
      </w:r>
      <w:r w:rsidR="005853A9">
        <w:rPr>
          <w:kern w:val="0"/>
        </w:rPr>
        <w:t xml:space="preserve"> and </w:t>
      </w:r>
      <w:r>
        <w:rPr>
          <w:kern w:val="0"/>
        </w:rPr>
        <w:t>analyzed with regard to the number</w:t>
      </w:r>
      <w:r w:rsidR="00427468">
        <w:rPr>
          <w:kern w:val="0"/>
        </w:rPr>
        <w:t xml:space="preserve"> of </w:t>
      </w:r>
      <w:r>
        <w:rPr>
          <w:kern w:val="0"/>
        </w:rPr>
        <w:t>citations, year</w:t>
      </w:r>
      <w:r w:rsidR="00427468">
        <w:rPr>
          <w:kern w:val="0"/>
        </w:rPr>
        <w:t xml:space="preserve"> of </w:t>
      </w:r>
      <w:r>
        <w:rPr>
          <w:kern w:val="0"/>
        </w:rPr>
        <w:t>publication, publishing journal, authorship, institution</w:t>
      </w:r>
      <w:r w:rsidR="005853A9">
        <w:rPr>
          <w:kern w:val="0"/>
        </w:rPr>
        <w:t xml:space="preserve"> and </w:t>
      </w:r>
      <w:r>
        <w:rPr>
          <w:kern w:val="0"/>
        </w:rPr>
        <w:t>country</w:t>
      </w:r>
      <w:r w:rsidR="00427468">
        <w:rPr>
          <w:kern w:val="0"/>
        </w:rPr>
        <w:t xml:space="preserve"> of </w:t>
      </w:r>
      <w:r>
        <w:rPr>
          <w:kern w:val="0"/>
        </w:rPr>
        <w:t>origin, type</w:t>
      </w:r>
      <w:r w:rsidR="00427468">
        <w:rPr>
          <w:kern w:val="0"/>
        </w:rPr>
        <w:t xml:space="preserve"> of </w:t>
      </w:r>
      <w:r>
        <w:rPr>
          <w:kern w:val="0"/>
        </w:rPr>
        <w:t>article, radiologic subspecialty, main topic,</w:t>
      </w:r>
      <w:r w:rsidR="005853A9">
        <w:rPr>
          <w:kern w:val="0"/>
        </w:rPr>
        <w:t xml:space="preserve"> and </w:t>
      </w:r>
      <w:r>
        <w:rPr>
          <w:kern w:val="0"/>
        </w:rPr>
        <w:t>radiologic technique. RESULTS</w:t>
      </w:r>
      <w:r w:rsidR="00A37C1D">
        <w:rPr>
          <w:kern w:val="0"/>
        </w:rPr>
        <w:t>. The</w:t>
      </w:r>
      <w:r>
        <w:rPr>
          <w:kern w:val="0"/>
        </w:rPr>
        <w:t xml:space="preserve"> 100 top-cited articles were published in eight radiology journals, led by Radiology (n = 67)</w:t>
      </w:r>
      <w:r w:rsidR="005853A9">
        <w:rPr>
          <w:kern w:val="0"/>
        </w:rPr>
        <w:t xml:space="preserve"> and </w:t>
      </w:r>
      <w:r>
        <w:rPr>
          <w:kern w:val="0"/>
        </w:rPr>
        <w:t>followed by the American Journal</w:t>
      </w:r>
      <w:r w:rsidR="00427468">
        <w:rPr>
          <w:kern w:val="0"/>
        </w:rPr>
        <w:t xml:space="preserve"> of </w:t>
      </w:r>
      <w:r>
        <w:rPr>
          <w:kern w:val="0"/>
        </w:rPr>
        <w:t>Roentgenology (n = 11)</w:t>
      </w:r>
      <w:r w:rsidR="00A37C1D">
        <w:rPr>
          <w:kern w:val="0"/>
        </w:rPr>
        <w:t>. The</w:t>
      </w:r>
      <w:r>
        <w:rPr>
          <w:kern w:val="0"/>
        </w:rPr>
        <w:t>se articles were published between 1939</w:t>
      </w:r>
      <w:r w:rsidR="005853A9">
        <w:rPr>
          <w:kern w:val="0"/>
        </w:rPr>
        <w:t xml:space="preserve"> and </w:t>
      </w:r>
      <w:r>
        <w:rPr>
          <w:kern w:val="0"/>
        </w:rPr>
        <w:t>2006 with a mean</w:t>
      </w:r>
      <w:r w:rsidR="00427468">
        <w:rPr>
          <w:kern w:val="0"/>
        </w:rPr>
        <w:t xml:space="preserve"> of </w:t>
      </w:r>
      <w:r>
        <w:rPr>
          <w:kern w:val="0"/>
        </w:rPr>
        <w:t>664.3 citations per article (range, 371-6931). Seventy-eight articles were published after 1979, 57 originated from the United States,</w:t>
      </w:r>
      <w:r w:rsidR="005853A9">
        <w:rPr>
          <w:kern w:val="0"/>
        </w:rPr>
        <w:t xml:space="preserve"> and </w:t>
      </w:r>
      <w:r>
        <w:rPr>
          <w:kern w:val="0"/>
        </w:rPr>
        <w:t>69 were original articles</w:t>
      </w:r>
      <w:r w:rsidR="00A37C1D">
        <w:rPr>
          <w:kern w:val="0"/>
        </w:rPr>
        <w:t>. The</w:t>
      </w:r>
      <w:r>
        <w:rPr>
          <w:kern w:val="0"/>
        </w:rPr>
        <w:t xml:space="preserve"> most common subspecialties</w:t>
      </w:r>
      <w:r w:rsidR="00427468">
        <w:rPr>
          <w:kern w:val="0"/>
        </w:rPr>
        <w:t xml:space="preserve"> of </w:t>
      </w:r>
      <w:r>
        <w:rPr>
          <w:kern w:val="0"/>
        </w:rPr>
        <w:t>study were interventional radiology (n = 19), neuroradiology (n = 15),</w:t>
      </w:r>
      <w:r w:rsidR="005853A9">
        <w:rPr>
          <w:kern w:val="0"/>
        </w:rPr>
        <w:t xml:space="preserve"> and </w:t>
      </w:r>
      <w:r>
        <w:rPr>
          <w:kern w:val="0"/>
        </w:rPr>
        <w:t>breast imaging (n = 11)</w:t>
      </w:r>
      <w:r w:rsidR="00A37C1D">
        <w:rPr>
          <w:kern w:val="0"/>
        </w:rPr>
        <w:t>. The</w:t>
      </w:r>
      <w:r>
        <w:rPr>
          <w:kern w:val="0"/>
        </w:rPr>
        <w:t xml:space="preserve"> main topics</w:t>
      </w:r>
      <w:r w:rsidR="00427468">
        <w:rPr>
          <w:kern w:val="0"/>
        </w:rPr>
        <w:t xml:space="preserve"> of </w:t>
      </w:r>
      <w:r>
        <w:rPr>
          <w:kern w:val="0"/>
        </w:rPr>
        <w:t>articles were radiofrequency ablation</w:t>
      </w:r>
      <w:r w:rsidR="00427468">
        <w:rPr>
          <w:kern w:val="0"/>
        </w:rPr>
        <w:t xml:space="preserve"> of </w:t>
      </w:r>
      <w:r>
        <w:rPr>
          <w:kern w:val="0"/>
        </w:rPr>
        <w:t>hepatic tumors (n = 9), followed by receiver operating characteristic curves (n = 6). CONCLUSION. Our study presents a detailed list</w:t>
      </w:r>
      <w:r w:rsidR="005853A9">
        <w:rPr>
          <w:kern w:val="0"/>
        </w:rPr>
        <w:t xml:space="preserve"> and </w:t>
      </w:r>
      <w:r>
        <w:rPr>
          <w:kern w:val="0"/>
        </w:rPr>
        <w:t>analysis</w:t>
      </w:r>
      <w:r w:rsidR="00427468">
        <w:rPr>
          <w:kern w:val="0"/>
        </w:rPr>
        <w:t xml:space="preserve"> of </w:t>
      </w:r>
      <w:r>
        <w:rPr>
          <w:kern w:val="0"/>
        </w:rPr>
        <w:t>the 100 top-cited articles published in radiology journals, which provides insight into historical developments in the field</w:t>
      </w:r>
      <w:r w:rsidR="00427468">
        <w:rPr>
          <w:kern w:val="0"/>
        </w:rPr>
        <w:t xml:space="preserve"> of </w:t>
      </w:r>
      <w:r>
        <w:rPr>
          <w:kern w:val="0"/>
        </w:rPr>
        <w:t>radiology.</w:t>
      </w:r>
    </w:p>
    <w:p w:rsidR="00B1399A" w:rsidRDefault="00B1399A" w:rsidP="00B1399A">
      <w:pPr>
        <w:pStyle w:val="a3"/>
        <w:rPr>
          <w:kern w:val="0"/>
        </w:rPr>
      </w:pPr>
      <w:r>
        <w:rPr>
          <w:kern w:val="0"/>
        </w:rPr>
        <w:t xml:space="preserve">Keywords: AJR, Analysis, Articles, Authorship, Bias, Cancer, Citation, Citation </w:t>
      </w:r>
      <w:r>
        <w:rPr>
          <w:kern w:val="0"/>
        </w:rPr>
        <w:lastRenderedPageBreak/>
        <w:t>Analysis, Citation Classics, Citations, Community, Country, Country</w:t>
      </w:r>
      <w:r w:rsidR="00427468">
        <w:rPr>
          <w:kern w:val="0"/>
        </w:rPr>
        <w:t xml:space="preserve"> of </w:t>
      </w:r>
      <w:r>
        <w:rPr>
          <w:kern w:val="0"/>
        </w:rPr>
        <w:t>Origin, Database, Field, Hepatic Tumors, Imaging, Impact, Impact Factors, Journal, Journals, Methods, Origin, Publication, Publishing, Radiology, Rates, Science, Science Citation Index, Science Citation Index Expanded, Topic, Tumors, United States</w:t>
      </w:r>
    </w:p>
    <w:p w:rsidR="00823659" w:rsidRDefault="00823659" w:rsidP="00823659">
      <w:pPr>
        <w:pStyle w:val="a3"/>
        <w:rPr>
          <w:kern w:val="0"/>
        </w:rPr>
      </w:pPr>
      <w:r>
        <w:rPr>
          <w:rFonts w:hint="eastAsia"/>
          <w:kern w:val="0"/>
        </w:rPr>
        <w:t xml:space="preserve">? </w:t>
      </w:r>
      <w:r>
        <w:rPr>
          <w:kern w:val="0"/>
        </w:rPr>
        <w:t xml:space="preserve">Ha, R., Chow, D. and Wynn, R. (2014), Global trend in breast cancer imaging research 1992-2012: Bibliometric study. </w:t>
      </w:r>
      <w:r>
        <w:rPr>
          <w:i/>
          <w:iCs/>
          <w:kern w:val="0"/>
        </w:rPr>
        <w:t>American Journal</w:t>
      </w:r>
      <w:r w:rsidR="00427468">
        <w:rPr>
          <w:i/>
          <w:iCs/>
          <w:kern w:val="0"/>
        </w:rPr>
        <w:t xml:space="preserve"> of </w:t>
      </w:r>
      <w:r>
        <w:rPr>
          <w:i/>
          <w:iCs/>
          <w:kern w:val="0"/>
        </w:rPr>
        <w:t>Roentgenology</w:t>
      </w:r>
      <w:r>
        <w:rPr>
          <w:kern w:val="0"/>
        </w:rPr>
        <w:t xml:space="preserve">, </w:t>
      </w:r>
      <w:r>
        <w:rPr>
          <w:b/>
          <w:bCs/>
          <w:kern w:val="0"/>
        </w:rPr>
        <w:t>202</w:t>
      </w:r>
      <w:r>
        <w:rPr>
          <w:kern w:val="0"/>
        </w:rPr>
        <w:t xml:space="preserve"> (3), 696-697</w:t>
      </w:r>
      <w:r w:rsidR="004A0D44">
        <w:rPr>
          <w:rFonts w:hint="eastAsia"/>
          <w:kern w:val="0"/>
        </w:rPr>
        <w:t>.</w:t>
      </w:r>
    </w:p>
    <w:p w:rsidR="00823659" w:rsidRPr="001A3D2B" w:rsidRDefault="00823659" w:rsidP="00823659">
      <w:pPr>
        <w:pStyle w:val="a3"/>
      </w:pPr>
      <w:r w:rsidRPr="001A3D2B">
        <w:t xml:space="preserve">Full Text: </w:t>
      </w:r>
      <w:r w:rsidRPr="006D19EC">
        <w:t>201</w:t>
      </w:r>
      <w:r>
        <w:rPr>
          <w:rFonts w:hint="eastAsia"/>
        </w:rPr>
        <w:t>4</w:t>
      </w:r>
      <w:r w:rsidRPr="006D19EC">
        <w:t>\Ame J Roe20</w:t>
      </w:r>
      <w:r>
        <w:rPr>
          <w:rFonts w:hint="eastAsia"/>
        </w:rPr>
        <w:t>2</w:t>
      </w:r>
      <w:r w:rsidRPr="006D19EC">
        <w:t xml:space="preserve">, </w:t>
      </w:r>
      <w:r>
        <w:rPr>
          <w:rFonts w:hint="eastAsia"/>
        </w:rPr>
        <w:t>696</w:t>
      </w:r>
      <w:r w:rsidRPr="006D19EC">
        <w:t>.pdf</w:t>
      </w:r>
    </w:p>
    <w:p w:rsidR="00823659" w:rsidRDefault="00823659" w:rsidP="00823659">
      <w:pPr>
        <w:pStyle w:val="a3"/>
        <w:rPr>
          <w:kern w:val="0"/>
        </w:rPr>
      </w:pPr>
      <w:r>
        <w:rPr>
          <w:kern w:val="0"/>
        </w:rPr>
        <w:t>Keywords: Bibliometric, Bibliometric Study, Breast, Breast Cancer, Cancer, Global Trend, Imaging, Mar, Research</w:t>
      </w:r>
    </w:p>
    <w:p w:rsidR="004F3E0E" w:rsidRDefault="004F3E0E" w:rsidP="004F3E0E">
      <w:pPr>
        <w:pStyle w:val="a3"/>
        <w:rPr>
          <w:kern w:val="0"/>
        </w:rPr>
      </w:pPr>
      <w:r>
        <w:rPr>
          <w:rFonts w:hint="eastAsia"/>
          <w:kern w:val="0"/>
        </w:rPr>
        <w:t xml:space="preserve">? </w:t>
      </w:r>
      <w:r>
        <w:rPr>
          <w:kern w:val="0"/>
        </w:rPr>
        <w:t xml:space="preserve">Chow, D.S., Ha, R. and Filippi, C.G. (2015), Increased rates of authorship in radiology publications: A bibliometric analysis of 142,576 articles published worldwide by radiologists between 1991 and 2012. </w:t>
      </w:r>
      <w:r>
        <w:rPr>
          <w:i/>
          <w:iCs/>
          <w:kern w:val="0"/>
        </w:rPr>
        <w:t>American Journal of Roentgenology</w:t>
      </w:r>
      <w:r>
        <w:rPr>
          <w:kern w:val="0"/>
        </w:rPr>
        <w:t xml:space="preserve">, </w:t>
      </w:r>
      <w:r>
        <w:rPr>
          <w:b/>
          <w:bCs/>
          <w:kern w:val="0"/>
        </w:rPr>
        <w:t>204</w:t>
      </w:r>
      <w:r>
        <w:rPr>
          <w:kern w:val="0"/>
        </w:rPr>
        <w:t xml:space="preserve"> (1), W52-W57.</w:t>
      </w:r>
    </w:p>
    <w:p w:rsidR="004F3E0E" w:rsidRPr="001A3D2B" w:rsidRDefault="004F3E0E" w:rsidP="004F3E0E">
      <w:pPr>
        <w:pStyle w:val="a3"/>
      </w:pPr>
      <w:r w:rsidRPr="001A3D2B">
        <w:t xml:space="preserve">Full Text: </w:t>
      </w:r>
      <w:r w:rsidRPr="006D19EC">
        <w:t>201</w:t>
      </w:r>
      <w:r>
        <w:rPr>
          <w:rFonts w:hint="eastAsia"/>
        </w:rPr>
        <w:t>5</w:t>
      </w:r>
      <w:r w:rsidRPr="006D19EC">
        <w:t>\Ame J Roe20</w:t>
      </w:r>
      <w:r>
        <w:rPr>
          <w:rFonts w:hint="eastAsia"/>
        </w:rPr>
        <w:t>4</w:t>
      </w:r>
      <w:r w:rsidRPr="006D19EC">
        <w:t xml:space="preserve">, </w:t>
      </w:r>
      <w:r>
        <w:rPr>
          <w:rFonts w:hint="eastAsia"/>
        </w:rPr>
        <w:t>W52</w:t>
      </w:r>
      <w:r w:rsidRPr="006D19EC">
        <w:t>.pdf</w:t>
      </w:r>
    </w:p>
    <w:p w:rsidR="004F3E0E" w:rsidRDefault="004F3E0E" w:rsidP="004F3E0E">
      <w:pPr>
        <w:pStyle w:val="a3"/>
        <w:rPr>
          <w:kern w:val="0"/>
        </w:rPr>
      </w:pPr>
      <w:r>
        <w:rPr>
          <w:kern w:val="0"/>
        </w:rPr>
        <w:t>Abstract: OBJECTIVE. There is evidence in academic medicine that the number of authors per paper has increased over time. The goal of this study was to quantitatively analyze authorship trends in the field of radiology over 20 years. MATERIALS AND METHODS. A search of the National Library of Medicine MEDLINE database was conducted to identify articles published by radiology departments between 1991 and 2012. Country of origin, article study design, and journal impact factor were recorded. The increase in number of authors per paper was assessed by linear and nonlinear regression. Pearson correlation was used to assess the relation between journal impact factor and number of authors. RESULTS. A total of 142,576 articles and 699,257 authors were identified during the study period. The mean number of authors per paper displayed linear growth from 3.9 to 5.7 (p &lt; 0.0001). The proportion of single authors declined from 11% in 1991 to 4.4% in 2012. The number of clinical trials increased in a linear pattern, review articles in an exponential pattern, and case reports in a logistic pattern (p &lt; 0.0001 for each). Countries with the highest number of authors per paper were Japan, Italy, and Germany. The number of articles funded by the U. S. National Institutes of Health (NIH) displayed exponential growth and of non-NIH- funded articles displayed linear growth (p &lt; 0.0001 for each). A negligible relation was observed between journal impact factor and number of authors (Pearson r = 0.1066). CONCLUSION. Radiology has had a steady increase in mean number of authors per paper since the early 1990s that has varied by study design. The increase is probably multifactorial and includes components of author inflation and increasing complexity of research. Findings support the need for reemphasis of authorship criteria to preserve authorship value and accountability.</w:t>
      </w:r>
    </w:p>
    <w:p w:rsidR="004F3E0E" w:rsidRDefault="004F3E0E" w:rsidP="004F3E0E">
      <w:pPr>
        <w:pStyle w:val="a3"/>
        <w:rPr>
          <w:kern w:val="0"/>
        </w:rPr>
      </w:pPr>
      <w:r>
        <w:rPr>
          <w:kern w:val="0"/>
        </w:rPr>
        <w:lastRenderedPageBreak/>
        <w:t>Keywords: Accountability, Analysis, Article, Articles, Authors, Authorship, Bibliometric, Bibliometric Analysis, Case Reports, Clinical, Clinical Trials, Coauthorship, Complexity, Correlation, Countries, Country, Criteria, Database, Design, Evidence, Field, Focus, Frequency, From, Germany, Growth, Health, Impact, Impact Factor, Italy, Japan, Journal, Journal Impact, Journal Impact Factor, Journals, Medicine, Medline, Methods, National Institutes Of Health, New York, Nih, Nonlinear, Nonlinear Regression, Origin, Pattern, Productivity, Publications, Radiology, Regression, Research, Review, S, Study Design, Support, Trends, U, Usa, Value</w:t>
      </w:r>
    </w:p>
    <w:p w:rsidR="003474F2" w:rsidRPr="001A3D2B" w:rsidRDefault="003474F2" w:rsidP="003474F2">
      <w:pPr>
        <w:pStyle w:val="1"/>
      </w:pPr>
      <w:r w:rsidRPr="001A3D2B">
        <w:br w:type="page"/>
      </w:r>
      <w:bookmarkStart w:id="340" w:name="_Toc420814432"/>
      <w:r w:rsidRPr="001A3D2B">
        <w:lastRenderedPageBreak/>
        <w:t>Title: American Journal</w:t>
      </w:r>
      <w:r w:rsidR="00427468">
        <w:t xml:space="preserve"> of </w:t>
      </w:r>
      <w:r w:rsidRPr="001A3D2B">
        <w:t>Science</w:t>
      </w:r>
      <w:bookmarkEnd w:id="340"/>
    </w:p>
    <w:p w:rsidR="003474F2" w:rsidRPr="001A3D2B" w:rsidRDefault="003474F2" w:rsidP="003474F2">
      <w:pPr>
        <w:pStyle w:val="12"/>
      </w:pPr>
      <w:r w:rsidRPr="001A3D2B">
        <w:t>Full Journal Title: American Journal</w:t>
      </w:r>
      <w:r w:rsidR="00427468">
        <w:t xml:space="preserve"> of </w:t>
      </w:r>
      <w:r w:rsidRPr="001A3D2B">
        <w:t>Science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Lotka, A.J. (1907), Studys on</w:t>
      </w:r>
      <w:r w:rsidR="003A1917">
        <w:t xml:space="preserve"> the </w:t>
      </w:r>
      <w:r w:rsidRPr="001A3D2B">
        <w:t>mode</w:t>
      </w:r>
      <w:r w:rsidR="00427468">
        <w:t xml:space="preserve"> of </w:t>
      </w:r>
      <w:r w:rsidRPr="001A3D2B">
        <w:t>growth</w:t>
      </w:r>
      <w:r w:rsidR="00427468">
        <w:t xml:space="preserve"> of </w:t>
      </w:r>
      <w:r w:rsidRPr="001A3D2B">
        <w:t xml:space="preserve">maternal aggregates. </w:t>
      </w:r>
      <w:r w:rsidRPr="001A3D2B">
        <w:rPr>
          <w:i/>
          <w:iCs/>
        </w:rPr>
        <w:t>American Journal</w:t>
      </w:r>
      <w:r w:rsidR="00427468">
        <w:rPr>
          <w:i/>
          <w:iCs/>
        </w:rPr>
        <w:t xml:space="preserve"> of </w:t>
      </w:r>
      <w:r w:rsidRPr="001A3D2B">
        <w:rPr>
          <w:i/>
          <w:iCs/>
        </w:rPr>
        <w:t>Science</w:t>
      </w:r>
      <w:r w:rsidRPr="001A3D2B">
        <w:t xml:space="preserve">, </w:t>
      </w:r>
      <w:r w:rsidRPr="001A3D2B">
        <w:rPr>
          <w:b/>
          <w:bCs/>
        </w:rPr>
        <w:t>24</w:t>
      </w:r>
      <w:r w:rsidRPr="001A3D2B">
        <w:t xml:space="preserve"> (141), 199-216.</w:t>
      </w:r>
    </w:p>
    <w:p w:rsidR="003474F2" w:rsidRPr="001A3D2B" w:rsidRDefault="003474F2" w:rsidP="003474F2">
      <w:pPr>
        <w:pStyle w:val="a3"/>
      </w:pPr>
      <w:r w:rsidRPr="001A3D2B">
        <w:t xml:space="preserve">Full Text: </w:t>
      </w:r>
      <w:hyperlink r:id="rId644" w:history="1">
        <w:r w:rsidRPr="001A3D2B">
          <w:rPr>
            <w:rStyle w:val="a5"/>
          </w:rPr>
          <w:t>-1959\Ame J Sci24, 199.pdf</w:t>
        </w:r>
      </w:hyperlink>
    </w:p>
    <w:p w:rsidR="007162C3" w:rsidRPr="00F219CA" w:rsidRDefault="007162C3" w:rsidP="007162C3">
      <w:pPr>
        <w:pStyle w:val="1"/>
      </w:pPr>
      <w:r w:rsidRPr="00F219CA">
        <w:br w:type="page"/>
      </w:r>
      <w:bookmarkStart w:id="341" w:name="_Toc420814433"/>
      <w:r w:rsidRPr="00F219CA">
        <w:lastRenderedPageBreak/>
        <w:t xml:space="preserve">Title: </w:t>
      </w:r>
      <w:r w:rsidRPr="007162C3">
        <w:t>American Journal</w:t>
      </w:r>
      <w:r w:rsidR="00427468">
        <w:t xml:space="preserve"> of </w:t>
      </w:r>
      <w:r w:rsidRPr="007162C3">
        <w:t>Sociology</w:t>
      </w:r>
      <w:bookmarkEnd w:id="341"/>
    </w:p>
    <w:p w:rsidR="00BD0A12" w:rsidRPr="00F219CA" w:rsidRDefault="00BD0A12" w:rsidP="00BD0A12">
      <w:pPr>
        <w:pStyle w:val="12"/>
      </w:pPr>
      <w:r w:rsidRPr="00F219CA">
        <w:t xml:space="preserve">Full Journal Title: </w:t>
      </w:r>
      <w:r w:rsidRPr="007162C3">
        <w:t>American Journal</w:t>
      </w:r>
      <w:r w:rsidR="00427468">
        <w:t xml:space="preserve"> of </w:t>
      </w:r>
      <w:r w:rsidRPr="007162C3">
        <w:t>Sociology</w:t>
      </w:r>
    </w:p>
    <w:p w:rsidR="00BD0A12" w:rsidRDefault="00BD0A12" w:rsidP="00BD0A12">
      <w:pPr>
        <w:pStyle w:val="12"/>
      </w:pPr>
      <w:r>
        <w:t>ISO Abbrev. Title: Am. J. Sociol.</w:t>
      </w:r>
    </w:p>
    <w:p w:rsidR="00BD0A12" w:rsidRDefault="00BD0A12" w:rsidP="00BD0A12">
      <w:pPr>
        <w:pStyle w:val="12"/>
      </w:pPr>
      <w:r>
        <w:t>JCR Abbrev. Title: Am J Sociol</w:t>
      </w:r>
    </w:p>
    <w:p w:rsidR="00BD0A12" w:rsidRDefault="00BD0A12" w:rsidP="00BD0A12">
      <w:pPr>
        <w:pStyle w:val="12"/>
      </w:pPr>
      <w:r>
        <w:t>ISSN: 0002-9602</w:t>
      </w:r>
    </w:p>
    <w:p w:rsidR="00BD0A12" w:rsidRDefault="00BD0A12" w:rsidP="00BD0A12">
      <w:pPr>
        <w:pStyle w:val="12"/>
      </w:pPr>
      <w:r>
        <w:t>Issues/Year: 6</w:t>
      </w:r>
    </w:p>
    <w:p w:rsidR="00BD0A12" w:rsidRDefault="00BD0A12" w:rsidP="00BD0A12">
      <w:pPr>
        <w:pStyle w:val="12"/>
      </w:pPr>
      <w:r>
        <w:t>Language: English</w:t>
      </w:r>
    </w:p>
    <w:p w:rsidR="00BD0A12" w:rsidRDefault="00BD0A12" w:rsidP="00BD0A12">
      <w:pPr>
        <w:pStyle w:val="12"/>
      </w:pPr>
      <w:r>
        <w:t>Journal Country/Territory: United States</w:t>
      </w:r>
    </w:p>
    <w:p w:rsidR="00BD0A12" w:rsidRDefault="00BD0A12" w:rsidP="00BD0A12">
      <w:pPr>
        <w:pStyle w:val="12"/>
      </w:pPr>
      <w:r>
        <w:t>Publisher: Univ Chicago Press</w:t>
      </w:r>
    </w:p>
    <w:p w:rsidR="00BD0A12" w:rsidRDefault="00BD0A12" w:rsidP="00BD0A12">
      <w:pPr>
        <w:pStyle w:val="12"/>
      </w:pPr>
      <w:r>
        <w:t>Publisher Address: 1427 E 60th St, Chicago, IL 60637-2954</w:t>
      </w:r>
    </w:p>
    <w:p w:rsidR="00BD0A12" w:rsidRDefault="00BD0A12" w:rsidP="00BD0A12">
      <w:pPr>
        <w:pStyle w:val="12"/>
      </w:pPr>
      <w:r>
        <w:t>Subject Categories:</w:t>
      </w:r>
    </w:p>
    <w:p w:rsidR="00BD0A12" w:rsidRPr="00F219CA" w:rsidRDefault="00BD0A12" w:rsidP="00BD0A12">
      <w:pPr>
        <w:pStyle w:val="12"/>
      </w:pPr>
      <w:r>
        <w:t>Sociology</w:t>
      </w:r>
      <w:r w:rsidRPr="00F219CA">
        <w:t>: Impact Factor</w:t>
      </w:r>
      <w:r>
        <w:rPr>
          <w:rFonts w:hint="eastAsia"/>
        </w:rPr>
        <w:t xml:space="preserve"> 3.358, 3/132 (2010)</w:t>
      </w:r>
    </w:p>
    <w:p w:rsidR="00F462A3" w:rsidRDefault="00F462A3" w:rsidP="00F462A3">
      <w:pPr>
        <w:pStyle w:val="a3"/>
      </w:pPr>
      <w:r>
        <w:rPr>
          <w:rFonts w:hint="eastAsia"/>
          <w:kern w:val="0"/>
        </w:rPr>
        <w:t xml:space="preserve">? </w:t>
      </w:r>
      <w:r w:rsidRPr="007162C3">
        <w:rPr>
          <w:kern w:val="0"/>
        </w:rPr>
        <w:t>Zuckerman</w:t>
      </w:r>
      <w:r>
        <w:rPr>
          <w:kern w:val="0"/>
        </w:rPr>
        <w:t>, H.</w:t>
      </w:r>
      <w:r w:rsidRPr="007162C3">
        <w:rPr>
          <w:kern w:val="0"/>
        </w:rPr>
        <w:t>A.</w:t>
      </w:r>
      <w:r>
        <w:rPr>
          <w:kern w:val="0"/>
        </w:rPr>
        <w:t xml:space="preserve"> (</w:t>
      </w:r>
      <w:r>
        <w:rPr>
          <w:rFonts w:hint="eastAsia"/>
          <w:kern w:val="0"/>
        </w:rPr>
        <w:t>1968</w:t>
      </w:r>
      <w:r>
        <w:rPr>
          <w:kern w:val="0"/>
        </w:rPr>
        <w:t xml:space="preserve">), </w:t>
      </w:r>
      <w:r w:rsidRPr="007162C3">
        <w:rPr>
          <w:kern w:val="0"/>
        </w:rPr>
        <w:t>Patterns</w:t>
      </w:r>
      <w:r w:rsidR="00427468">
        <w:rPr>
          <w:kern w:val="0"/>
        </w:rPr>
        <w:t xml:space="preserve"> of </w:t>
      </w:r>
      <w:r w:rsidRPr="007162C3">
        <w:rPr>
          <w:kern w:val="0"/>
        </w:rPr>
        <w:t>name ordering among</w:t>
      </w:r>
      <w:r>
        <w:rPr>
          <w:rFonts w:hint="eastAsia"/>
          <w:kern w:val="0"/>
        </w:rPr>
        <w:t xml:space="preserve"> </w:t>
      </w:r>
      <w:r w:rsidRPr="007162C3">
        <w:rPr>
          <w:kern w:val="0"/>
        </w:rPr>
        <w:t>authors</w:t>
      </w:r>
      <w:r w:rsidR="00427468">
        <w:rPr>
          <w:kern w:val="0"/>
        </w:rPr>
        <w:t xml:space="preserve"> of </w:t>
      </w:r>
      <w:r w:rsidRPr="007162C3">
        <w:rPr>
          <w:kern w:val="0"/>
        </w:rPr>
        <w:t>scientific papers: A study</w:t>
      </w:r>
      <w:r w:rsidR="00427468">
        <w:rPr>
          <w:kern w:val="0"/>
        </w:rPr>
        <w:t xml:space="preserve"> of </w:t>
      </w:r>
      <w:r w:rsidRPr="007162C3">
        <w:rPr>
          <w:kern w:val="0"/>
        </w:rPr>
        <w:t>social symbolism</w:t>
      </w:r>
      <w:r w:rsidR="005853A9">
        <w:rPr>
          <w:rFonts w:hint="eastAsia"/>
          <w:kern w:val="0"/>
        </w:rPr>
        <w:t xml:space="preserve"> and </w:t>
      </w:r>
      <w:r w:rsidRPr="007162C3">
        <w:rPr>
          <w:kern w:val="0"/>
        </w:rPr>
        <w:t>its ambiguity</w:t>
      </w:r>
      <w:r>
        <w:rPr>
          <w:kern w:val="0"/>
        </w:rPr>
        <w:t>.</w:t>
      </w:r>
      <w:r w:rsidRPr="007162C3">
        <w:t xml:space="preserve"> </w:t>
      </w:r>
      <w:r w:rsidRPr="007162C3">
        <w:rPr>
          <w:i/>
        </w:rPr>
        <w:t>American Journal</w:t>
      </w:r>
      <w:r w:rsidR="00427468">
        <w:rPr>
          <w:i/>
        </w:rPr>
        <w:t xml:space="preserve"> of </w:t>
      </w:r>
      <w:r w:rsidRPr="007162C3">
        <w:rPr>
          <w:i/>
        </w:rPr>
        <w:t>Sociology</w:t>
      </w:r>
      <w:r w:rsidRPr="007162C3">
        <w:t>,</w:t>
      </w:r>
      <w:r w:rsidRPr="007162C3">
        <w:rPr>
          <w:rFonts w:hint="eastAsia"/>
        </w:rPr>
        <w:t xml:space="preserve"> </w:t>
      </w:r>
      <w:r w:rsidRPr="00B95F9A">
        <w:rPr>
          <w:b/>
        </w:rPr>
        <w:t>74</w:t>
      </w:r>
      <w:r>
        <w:rPr>
          <w:rFonts w:hint="eastAsia"/>
        </w:rPr>
        <w:t xml:space="preserve"> (3),</w:t>
      </w:r>
      <w:r w:rsidRPr="007162C3">
        <w:t xml:space="preserve"> 276-291</w:t>
      </w:r>
      <w:r w:rsidRPr="007162C3">
        <w:rPr>
          <w:rFonts w:hint="eastAsia"/>
        </w:rPr>
        <w:t>.</w:t>
      </w:r>
    </w:p>
    <w:p w:rsidR="0049737D" w:rsidRDefault="0049737D" w:rsidP="0049737D">
      <w:pPr>
        <w:pStyle w:val="a3"/>
      </w:pPr>
      <w:r>
        <w:rPr>
          <w:rFonts w:hint="eastAsia"/>
        </w:rPr>
        <w:t xml:space="preserve">Full Text: </w:t>
      </w:r>
      <w:hyperlink r:id="rId645" w:history="1">
        <w:r w:rsidRPr="00B95F9A">
          <w:rPr>
            <w:rStyle w:val="a5"/>
          </w:rPr>
          <w:t>1960-80\Ame J Soc74, 276.pdf</w:t>
        </w:r>
      </w:hyperlink>
    </w:p>
    <w:p w:rsidR="001669DF" w:rsidRDefault="001669DF" w:rsidP="001669DF">
      <w:pPr>
        <w:pStyle w:val="a3"/>
        <w:rPr>
          <w:kern w:val="0"/>
        </w:rPr>
      </w:pPr>
      <w:r>
        <w:rPr>
          <w:rFonts w:hint="eastAsia"/>
        </w:rPr>
        <w:t xml:space="preserve">Abstract: </w:t>
      </w:r>
      <w:r w:rsidRPr="0049737D">
        <w:t>With increasing scientific collaboration, visibility</w:t>
      </w:r>
      <w:r w:rsidR="00427468">
        <w:t xml:space="preserve"> of </w:t>
      </w:r>
      <w:r w:rsidRPr="0049737D">
        <w:t>individ</w:t>
      </w:r>
      <w:r>
        <w:t>ual role-performance has dimin</w:t>
      </w:r>
      <w:r w:rsidRPr="0049737D">
        <w:t>ished. Ordering</w:t>
      </w:r>
      <w:r w:rsidR="00427468">
        <w:t xml:space="preserve"> of </w:t>
      </w:r>
      <w:r w:rsidRPr="0049737D">
        <w:t>authors</w:t>
      </w:r>
      <w:r w:rsidR="00700038">
        <w:t>’</w:t>
      </w:r>
      <w:r w:rsidRPr="0049737D">
        <w:t xml:space="preserve"> names is an adaptive device which sy</w:t>
      </w:r>
      <w:r>
        <w:t>mbolizes their relative contri</w:t>
      </w:r>
      <w:r w:rsidRPr="0049737D">
        <w:t>butions to research. Interviews with Nobel laureates</w:t>
      </w:r>
      <w:r w:rsidR="005853A9">
        <w:t xml:space="preserve"> and </w:t>
      </w:r>
      <w:r w:rsidRPr="0049737D">
        <w:t>comparisons</w:t>
      </w:r>
      <w:r w:rsidR="00427468">
        <w:t xml:space="preserve"> of </w:t>
      </w:r>
      <w:r w:rsidRPr="0049737D">
        <w:t>their name-order practices to those</w:t>
      </w:r>
      <w:r w:rsidR="00427468">
        <w:t xml:space="preserve"> of </w:t>
      </w:r>
      <w:r w:rsidRPr="0049737D">
        <w:t>other scientists suggest that this symbol</w:t>
      </w:r>
      <w:r>
        <w:t xml:space="preserve"> is ambiguous</w:t>
      </w:r>
      <w:r w:rsidR="005853A9">
        <w:t xml:space="preserve"> and </w:t>
      </w:r>
      <w:r>
        <w:t>makes evalua</w:t>
      </w:r>
      <w:r w:rsidRPr="0049737D">
        <w:t>tion</w:t>
      </w:r>
      <w:r w:rsidR="00427468">
        <w:t xml:space="preserve"> of </w:t>
      </w:r>
      <w:r w:rsidRPr="0049737D">
        <w:t>individual role-performance difficult. A probability model</w:t>
      </w:r>
      <w:r w:rsidR="00427468">
        <w:t xml:space="preserve"> of </w:t>
      </w:r>
      <w:r w:rsidRPr="0049737D">
        <w:t>expected distributions</w:t>
      </w:r>
      <w:r w:rsidR="00427468">
        <w:t xml:space="preserve"> of </w:t>
      </w:r>
      <w:r w:rsidRPr="0049737D">
        <w:t>name orders is used in measuring preferences for particular sequences,</w:t>
      </w:r>
      <w:r w:rsidR="005853A9">
        <w:t xml:space="preserve"> and </w:t>
      </w:r>
      <w:r w:rsidRPr="0049737D">
        <w:t>these preferences vary with</w:t>
      </w:r>
      <w:r w:rsidR="003A1917">
        <w:t xml:space="preserve"> the </w:t>
      </w:r>
      <w:r w:rsidRPr="0049737D">
        <w:t>authors</w:t>
      </w:r>
      <w:r w:rsidR="00700038">
        <w:t>’</w:t>
      </w:r>
      <w:r w:rsidRPr="0049737D">
        <w:t xml:space="preserve"> eminence. On</w:t>
      </w:r>
      <w:r w:rsidR="003A1917">
        <w:t xml:space="preserve"> the </w:t>
      </w:r>
      <w:r w:rsidRPr="0049737D">
        <w:t>assumption that authors</w:t>
      </w:r>
      <w:r w:rsidR="00700038">
        <w:t>’</w:t>
      </w:r>
      <w:r w:rsidRPr="0049737D">
        <w:t xml:space="preserve"> names are listed in order</w:t>
      </w:r>
      <w:r w:rsidR="00427468">
        <w:t xml:space="preserve"> of </w:t>
      </w:r>
      <w:r w:rsidR="003A1917">
        <w:t xml:space="preserve">the </w:t>
      </w:r>
      <w:r w:rsidRPr="0049737D">
        <w:t>value</w:t>
      </w:r>
      <w:r w:rsidR="00427468">
        <w:t xml:space="preserve"> of </w:t>
      </w:r>
      <w:r w:rsidRPr="0049737D">
        <w:t>their contributions, laureates should be first-autho</w:t>
      </w:r>
      <w:r>
        <w:t>rs more often than other scien</w:t>
      </w:r>
      <w:r w:rsidRPr="0049737D">
        <w:t>tists; in fact, they are not. Instead, they exercise their noblesse oblige by giving credit to less eminent co-workers increasingly as their eminence grows</w:t>
      </w:r>
      <w:r w:rsidR="00A37C1D">
        <w:t>. The</w:t>
      </w:r>
      <w:r w:rsidRPr="0049737D">
        <w:t>y do so more often after</w:t>
      </w:r>
      <w:r w:rsidR="003A1917">
        <w:t xml:space="preserve"> the </w:t>
      </w:r>
      <w:r w:rsidRPr="0049737D">
        <w:t>prize,</w:t>
      </w:r>
      <w:r w:rsidR="005853A9">
        <w:t xml:space="preserve"> and </w:t>
      </w:r>
      <w:r w:rsidRPr="0049737D">
        <w:t>eminent laureates-to-be forego first-authorship more often than those as yet unrecognized. This noblesse oblige, however, has its limits; laureates</w:t>
      </w:r>
      <w:r w:rsidR="00700038">
        <w:t>’</w:t>
      </w:r>
      <w:r w:rsidRPr="0049737D">
        <w:t xml:space="preserve"> contributions to prize-winning research are more visible than contributions to their other research.</w:t>
      </w:r>
    </w:p>
    <w:p w:rsidR="00F31CE5" w:rsidRPr="00F219CA" w:rsidRDefault="00F31CE5" w:rsidP="00F31CE5">
      <w:pPr>
        <w:pStyle w:val="1"/>
      </w:pPr>
      <w:r w:rsidRPr="00F219CA">
        <w:br w:type="page"/>
      </w:r>
      <w:bookmarkStart w:id="342" w:name="_Toc420814434"/>
      <w:r w:rsidRPr="00F219CA">
        <w:lastRenderedPageBreak/>
        <w:t xml:space="preserve">Title: </w:t>
      </w:r>
      <w:r w:rsidRPr="00F31CE5">
        <w:rPr>
          <w:szCs w:val="24"/>
        </w:rPr>
        <w:t>American Journal</w:t>
      </w:r>
      <w:r w:rsidR="00427468">
        <w:rPr>
          <w:szCs w:val="24"/>
        </w:rPr>
        <w:t xml:space="preserve"> of </w:t>
      </w:r>
      <w:r w:rsidRPr="00F31CE5">
        <w:rPr>
          <w:szCs w:val="24"/>
        </w:rPr>
        <w:t>Sports Medicine</w:t>
      </w:r>
      <w:bookmarkEnd w:id="342"/>
    </w:p>
    <w:p w:rsidR="00F31CE5" w:rsidRPr="00F219CA" w:rsidRDefault="00F31CE5" w:rsidP="00F31CE5">
      <w:pPr>
        <w:pStyle w:val="12"/>
      </w:pPr>
      <w:r w:rsidRPr="00F219CA">
        <w:t xml:space="preserve">Full Journal Title: </w:t>
      </w:r>
      <w:r w:rsidRPr="00F31CE5">
        <w:rPr>
          <w:iCs/>
          <w:kern w:val="0"/>
        </w:rPr>
        <w:t>American Journal</w:t>
      </w:r>
      <w:r w:rsidR="00427468">
        <w:rPr>
          <w:iCs/>
          <w:kern w:val="0"/>
        </w:rPr>
        <w:t xml:space="preserve"> of </w:t>
      </w:r>
      <w:r w:rsidRPr="00F31CE5">
        <w:rPr>
          <w:iCs/>
          <w:kern w:val="0"/>
        </w:rPr>
        <w:t>Sports Medicine</w:t>
      </w:r>
    </w:p>
    <w:p w:rsidR="00F31CE5" w:rsidRPr="00F219CA" w:rsidRDefault="00F31CE5" w:rsidP="00F31CE5">
      <w:pPr>
        <w:pStyle w:val="12"/>
      </w:pPr>
      <w:r w:rsidRPr="00F219CA">
        <w:t xml:space="preserve">ISO Abbreviated Title: </w:t>
      </w:r>
    </w:p>
    <w:p w:rsidR="00F31CE5" w:rsidRPr="00F219CA" w:rsidRDefault="00F31CE5" w:rsidP="00F31CE5">
      <w:pPr>
        <w:pStyle w:val="12"/>
      </w:pPr>
      <w:r w:rsidRPr="00F219CA">
        <w:t xml:space="preserve">JCR Abbreviated Title: </w:t>
      </w:r>
    </w:p>
    <w:p w:rsidR="00F31CE5" w:rsidRPr="00F219CA" w:rsidRDefault="00F31CE5" w:rsidP="00F31CE5">
      <w:pPr>
        <w:pStyle w:val="12"/>
      </w:pPr>
      <w:r w:rsidRPr="00F219CA">
        <w:t xml:space="preserve">ISSN: </w:t>
      </w:r>
    </w:p>
    <w:p w:rsidR="00F31CE5" w:rsidRPr="00F219CA" w:rsidRDefault="00F31CE5" w:rsidP="00F31CE5">
      <w:pPr>
        <w:pStyle w:val="12"/>
      </w:pPr>
      <w:r w:rsidRPr="00F219CA">
        <w:t xml:space="preserve">Issues/Year: </w:t>
      </w:r>
    </w:p>
    <w:p w:rsidR="00F31CE5" w:rsidRPr="00F219CA" w:rsidRDefault="00F31CE5" w:rsidP="00F31CE5">
      <w:pPr>
        <w:pStyle w:val="12"/>
      </w:pPr>
      <w:r w:rsidRPr="00F219CA">
        <w:t xml:space="preserve">Journal Country/Territory: </w:t>
      </w:r>
    </w:p>
    <w:p w:rsidR="00F31CE5" w:rsidRPr="00F219CA" w:rsidRDefault="00F31CE5" w:rsidP="00F31CE5">
      <w:pPr>
        <w:pStyle w:val="12"/>
      </w:pPr>
      <w:r w:rsidRPr="00F219CA">
        <w:t xml:space="preserve">Language: </w:t>
      </w:r>
    </w:p>
    <w:p w:rsidR="00F31CE5" w:rsidRPr="00F219CA" w:rsidRDefault="00F31CE5" w:rsidP="00F31CE5">
      <w:pPr>
        <w:pStyle w:val="12"/>
      </w:pPr>
      <w:r w:rsidRPr="00F219CA">
        <w:t xml:space="preserve">Publisher: </w:t>
      </w:r>
    </w:p>
    <w:p w:rsidR="00F31CE5" w:rsidRPr="00F219CA" w:rsidRDefault="00F31CE5" w:rsidP="00F31CE5">
      <w:pPr>
        <w:pStyle w:val="12"/>
      </w:pPr>
      <w:r w:rsidRPr="00F219CA">
        <w:t xml:space="preserve">Publisher Address: </w:t>
      </w:r>
    </w:p>
    <w:p w:rsidR="00F31CE5" w:rsidRPr="00F219CA" w:rsidRDefault="00F31CE5" w:rsidP="00F31CE5">
      <w:pPr>
        <w:pStyle w:val="12"/>
      </w:pPr>
      <w:r w:rsidRPr="00F219CA">
        <w:t>Subject Categories:</w:t>
      </w:r>
    </w:p>
    <w:p w:rsidR="00F31CE5" w:rsidRPr="00F219CA" w:rsidRDefault="00F31CE5" w:rsidP="00F31CE5">
      <w:pPr>
        <w:pStyle w:val="12"/>
      </w:pPr>
      <w:r w:rsidRPr="00F219CA">
        <w:t>: Impact Factor</w:t>
      </w:r>
    </w:p>
    <w:p w:rsidR="00F31CE5" w:rsidRDefault="00F31CE5" w:rsidP="00F31CE5">
      <w:pPr>
        <w:pStyle w:val="a3"/>
        <w:rPr>
          <w:kern w:val="0"/>
          <w:szCs w:val="24"/>
        </w:rPr>
      </w:pPr>
      <w:r>
        <w:rPr>
          <w:rFonts w:hint="eastAsia"/>
          <w:kern w:val="0"/>
          <w:szCs w:val="24"/>
        </w:rPr>
        <w:t xml:space="preserve">? </w:t>
      </w:r>
      <w:r>
        <w:rPr>
          <w:kern w:val="0"/>
          <w:szCs w:val="24"/>
        </w:rPr>
        <w:t xml:space="preserve">Reider, B. (2010), Under surveillance. </w:t>
      </w:r>
      <w:r w:rsidRPr="00F31CE5">
        <w:rPr>
          <w:i/>
          <w:iCs/>
          <w:kern w:val="0"/>
          <w:szCs w:val="24"/>
        </w:rPr>
        <w:t>American Journal</w:t>
      </w:r>
      <w:r w:rsidR="00427468">
        <w:rPr>
          <w:i/>
          <w:iCs/>
          <w:kern w:val="0"/>
          <w:szCs w:val="24"/>
        </w:rPr>
        <w:t xml:space="preserve"> of </w:t>
      </w:r>
      <w:r w:rsidRPr="00F31CE5">
        <w:rPr>
          <w:i/>
          <w:iCs/>
          <w:kern w:val="0"/>
          <w:szCs w:val="24"/>
        </w:rPr>
        <w:t>Sports Medicine</w:t>
      </w:r>
      <w:r>
        <w:rPr>
          <w:kern w:val="0"/>
          <w:szCs w:val="24"/>
        </w:rPr>
        <w:t xml:space="preserve">, </w:t>
      </w:r>
      <w:r>
        <w:rPr>
          <w:b/>
          <w:bCs/>
          <w:kern w:val="0"/>
          <w:szCs w:val="24"/>
        </w:rPr>
        <w:t>38</w:t>
      </w:r>
      <w:r>
        <w:rPr>
          <w:kern w:val="0"/>
          <w:szCs w:val="24"/>
        </w:rPr>
        <w:t xml:space="preserve"> (12), 2391-2393</w:t>
      </w:r>
      <w:r>
        <w:rPr>
          <w:rFonts w:hint="eastAsia"/>
          <w:kern w:val="0"/>
          <w:szCs w:val="24"/>
        </w:rPr>
        <w:t>.</w:t>
      </w:r>
    </w:p>
    <w:p w:rsidR="00F31CE5" w:rsidRDefault="00F31CE5" w:rsidP="00F31CE5">
      <w:pPr>
        <w:pStyle w:val="a3"/>
        <w:jc w:val="left"/>
        <w:rPr>
          <w:kern w:val="0"/>
          <w:szCs w:val="24"/>
        </w:rPr>
      </w:pPr>
      <w:r>
        <w:rPr>
          <w:rFonts w:hint="eastAsia"/>
          <w:kern w:val="0"/>
          <w:szCs w:val="24"/>
        </w:rPr>
        <w:t xml:space="preserve">Full Text: </w:t>
      </w:r>
      <w:hyperlink r:id="rId646" w:history="1">
        <w:r w:rsidRPr="00F31CE5">
          <w:rPr>
            <w:rStyle w:val="a5"/>
            <w:kern w:val="0"/>
            <w:szCs w:val="24"/>
          </w:rPr>
          <w:t>2010\Ame J Spo Med38, 2391.pdf</w:t>
        </w:r>
      </w:hyperlink>
    </w:p>
    <w:p w:rsidR="00F31CE5" w:rsidRDefault="00F31CE5" w:rsidP="00F31CE5">
      <w:pPr>
        <w:pStyle w:val="a3"/>
        <w:rPr>
          <w:kern w:val="0"/>
          <w:szCs w:val="24"/>
        </w:rPr>
      </w:pPr>
      <w:r>
        <w:rPr>
          <w:kern w:val="0"/>
          <w:szCs w:val="24"/>
        </w:rPr>
        <w:t>Keywords: Duplicate Publication, Editors, Plagiarism</w:t>
      </w:r>
    </w:p>
    <w:p w:rsidR="00830BC0" w:rsidRPr="00F219CA" w:rsidRDefault="00830BC0" w:rsidP="00830BC0">
      <w:pPr>
        <w:pStyle w:val="1"/>
      </w:pPr>
      <w:r w:rsidRPr="00F219CA">
        <w:br w:type="page"/>
      </w:r>
      <w:bookmarkStart w:id="343" w:name="_Toc420814435"/>
      <w:r w:rsidRPr="00F219CA">
        <w:lastRenderedPageBreak/>
        <w:t>Title: American Journal</w:t>
      </w:r>
      <w:r w:rsidR="00427468">
        <w:t xml:space="preserve"> of </w:t>
      </w:r>
      <w:r w:rsidRPr="00F219CA">
        <w:t>Surgery</w:t>
      </w:r>
      <w:bookmarkStart w:id="344" w:name="_Toc262828793"/>
      <w:bookmarkEnd w:id="343"/>
    </w:p>
    <w:p w:rsidR="00830BC0" w:rsidRPr="00F219CA" w:rsidRDefault="00830BC0" w:rsidP="00830BC0">
      <w:pPr>
        <w:pStyle w:val="12"/>
      </w:pPr>
      <w:r w:rsidRPr="00F219CA">
        <w:t xml:space="preserve">Full Journal Title: </w:t>
      </w:r>
      <w:r w:rsidR="00206C8A">
        <w:fldChar w:fldCharType="begin"/>
      </w:r>
      <w:r w:rsidR="00FD158B">
        <w:instrText>HYPERLINK "h</w:instrText>
      </w:r>
      <w:bookmarkEnd w:id="344"/>
      <w:r w:rsidR="00FD158B">
        <w:instrText>ttp://www.sciencedirect.com/science/journal/00029610"</w:instrText>
      </w:r>
      <w:r w:rsidR="00206C8A">
        <w:fldChar w:fldCharType="separate"/>
      </w:r>
      <w:r w:rsidRPr="00273264">
        <w:rPr>
          <w:rStyle w:val="a5"/>
        </w:rPr>
        <w:t>American Journal</w:t>
      </w:r>
      <w:r w:rsidR="00427468">
        <w:rPr>
          <w:rStyle w:val="a5"/>
        </w:rPr>
        <w:t xml:space="preserve"> of </w:t>
      </w:r>
      <w:r w:rsidRPr="00273264">
        <w:rPr>
          <w:rStyle w:val="a5"/>
        </w:rPr>
        <w:t>Surgery</w:t>
      </w:r>
      <w:r w:rsidR="00206C8A">
        <w:fldChar w:fldCharType="end"/>
      </w:r>
    </w:p>
    <w:p w:rsidR="00830BC0" w:rsidRPr="00F219CA" w:rsidRDefault="00830BC0" w:rsidP="00830BC0">
      <w:pPr>
        <w:pStyle w:val="12"/>
      </w:pPr>
      <w:r w:rsidRPr="00F219CA">
        <w:t xml:space="preserve">ISO Abbreviated Title: </w:t>
      </w:r>
    </w:p>
    <w:p w:rsidR="00830BC0" w:rsidRPr="00F219CA" w:rsidRDefault="00830BC0" w:rsidP="00830BC0">
      <w:pPr>
        <w:pStyle w:val="12"/>
      </w:pPr>
      <w:r w:rsidRPr="00F219CA">
        <w:t xml:space="preserve">JCR Abbreviated Title: </w:t>
      </w:r>
    </w:p>
    <w:p w:rsidR="00830BC0" w:rsidRPr="00F219CA" w:rsidRDefault="00830BC0" w:rsidP="00830BC0">
      <w:pPr>
        <w:pStyle w:val="12"/>
      </w:pPr>
      <w:r w:rsidRPr="00F219CA">
        <w:t xml:space="preserve">ISSN: </w:t>
      </w:r>
    </w:p>
    <w:p w:rsidR="00830BC0" w:rsidRPr="00F219CA" w:rsidRDefault="00830BC0" w:rsidP="00830BC0">
      <w:pPr>
        <w:pStyle w:val="12"/>
      </w:pPr>
      <w:r w:rsidRPr="00F219CA">
        <w:t xml:space="preserve">Issues/Year: </w:t>
      </w:r>
    </w:p>
    <w:p w:rsidR="00830BC0" w:rsidRPr="00F219CA" w:rsidRDefault="00830BC0" w:rsidP="00830BC0">
      <w:pPr>
        <w:pStyle w:val="12"/>
      </w:pPr>
      <w:r w:rsidRPr="00F219CA">
        <w:t xml:space="preserve">Journal Country/Territory: </w:t>
      </w:r>
    </w:p>
    <w:p w:rsidR="00830BC0" w:rsidRPr="00F219CA" w:rsidRDefault="00830BC0" w:rsidP="00830BC0">
      <w:pPr>
        <w:pStyle w:val="12"/>
      </w:pPr>
      <w:r w:rsidRPr="00F219CA">
        <w:t xml:space="preserve">Language: </w:t>
      </w:r>
    </w:p>
    <w:p w:rsidR="00830BC0" w:rsidRPr="00F219CA" w:rsidRDefault="00830BC0" w:rsidP="00830BC0">
      <w:pPr>
        <w:pStyle w:val="12"/>
      </w:pPr>
      <w:r w:rsidRPr="00F219CA">
        <w:t xml:space="preserve">Publisher: </w:t>
      </w:r>
    </w:p>
    <w:p w:rsidR="00830BC0" w:rsidRPr="00F219CA" w:rsidRDefault="00830BC0" w:rsidP="00830BC0">
      <w:pPr>
        <w:pStyle w:val="12"/>
      </w:pPr>
      <w:r w:rsidRPr="00F219CA">
        <w:t xml:space="preserve">Publisher Address: </w:t>
      </w:r>
    </w:p>
    <w:p w:rsidR="00830BC0" w:rsidRPr="00F219CA" w:rsidRDefault="00830BC0" w:rsidP="00830BC0">
      <w:pPr>
        <w:pStyle w:val="12"/>
      </w:pPr>
      <w:r w:rsidRPr="00F219CA">
        <w:t>Subject Categories:</w:t>
      </w:r>
    </w:p>
    <w:p w:rsidR="00830BC0" w:rsidRPr="00F219CA" w:rsidRDefault="00830BC0" w:rsidP="00830BC0">
      <w:pPr>
        <w:pStyle w:val="12"/>
      </w:pPr>
      <w:r w:rsidRPr="00F219CA">
        <w:t>: Impact Factor</w:t>
      </w:r>
    </w:p>
    <w:p w:rsidR="00830BC0" w:rsidRDefault="00830BC0" w:rsidP="00830BC0">
      <w:pPr>
        <w:pStyle w:val="a3"/>
        <w:rPr>
          <w:kern w:val="0"/>
        </w:rPr>
      </w:pPr>
      <w:r>
        <w:rPr>
          <w:rFonts w:hint="eastAsia"/>
          <w:kern w:val="0"/>
        </w:rPr>
        <w:t xml:space="preserve">? </w:t>
      </w:r>
      <w:r>
        <w:rPr>
          <w:kern w:val="0"/>
        </w:rPr>
        <w:t>Memon, M.A., Hassaballa, H.</w:t>
      </w:r>
      <w:r w:rsidR="005853A9">
        <w:rPr>
          <w:kern w:val="0"/>
        </w:rPr>
        <w:t xml:space="preserve"> and </w:t>
      </w:r>
      <w:r>
        <w:rPr>
          <w:kern w:val="0"/>
        </w:rPr>
        <w:t>Memon, M.I. (2000), Laparoscopic common bile duct exploration:</w:t>
      </w:r>
      <w:r w:rsidR="003A1917">
        <w:rPr>
          <w:kern w:val="0"/>
        </w:rPr>
        <w:t xml:space="preserve"> </w:t>
      </w:r>
      <w:r w:rsidR="00935D80">
        <w:rPr>
          <w:kern w:val="0"/>
        </w:rPr>
        <w:t xml:space="preserve">The </w:t>
      </w:r>
      <w:r>
        <w:rPr>
          <w:kern w:val="0"/>
        </w:rPr>
        <w:t>past,</w:t>
      </w:r>
      <w:r w:rsidR="003A1917">
        <w:rPr>
          <w:kern w:val="0"/>
        </w:rPr>
        <w:t xml:space="preserve"> the </w:t>
      </w:r>
      <w:r>
        <w:rPr>
          <w:kern w:val="0"/>
        </w:rPr>
        <w:t>present,</w:t>
      </w:r>
      <w:r w:rsidR="005853A9">
        <w:rPr>
          <w:kern w:val="0"/>
        </w:rPr>
        <w:t xml:space="preserve"> and </w:t>
      </w:r>
      <w:r w:rsidR="003A1917">
        <w:rPr>
          <w:kern w:val="0"/>
        </w:rPr>
        <w:t xml:space="preserve">the </w:t>
      </w:r>
      <w:r>
        <w:rPr>
          <w:kern w:val="0"/>
        </w:rPr>
        <w:t xml:space="preserve">future. </w:t>
      </w:r>
      <w:r>
        <w:rPr>
          <w:i/>
          <w:iCs/>
          <w:kern w:val="0"/>
        </w:rPr>
        <w:t>American Journal</w:t>
      </w:r>
      <w:r w:rsidR="00427468">
        <w:rPr>
          <w:i/>
          <w:iCs/>
          <w:kern w:val="0"/>
        </w:rPr>
        <w:t xml:space="preserve"> of </w:t>
      </w:r>
      <w:r>
        <w:rPr>
          <w:i/>
          <w:iCs/>
          <w:kern w:val="0"/>
        </w:rPr>
        <w:t>Surgery</w:t>
      </w:r>
      <w:r>
        <w:rPr>
          <w:kern w:val="0"/>
        </w:rPr>
        <w:t xml:space="preserve">, </w:t>
      </w:r>
      <w:r>
        <w:rPr>
          <w:b/>
          <w:bCs/>
          <w:kern w:val="0"/>
        </w:rPr>
        <w:t>179</w:t>
      </w:r>
      <w:r>
        <w:rPr>
          <w:kern w:val="0"/>
        </w:rPr>
        <w:t xml:space="preserve"> (4), 309-315.</w:t>
      </w:r>
    </w:p>
    <w:p w:rsidR="00830BC0" w:rsidRPr="00F219CA" w:rsidRDefault="00830BC0" w:rsidP="00830BC0">
      <w:pPr>
        <w:pStyle w:val="a3"/>
        <w:rPr>
          <w:kern w:val="0"/>
        </w:rPr>
      </w:pPr>
      <w:r w:rsidRPr="00F219CA">
        <w:rPr>
          <w:kern w:val="0"/>
        </w:rPr>
        <w:t xml:space="preserve">Full Text: </w:t>
      </w:r>
      <w:hyperlink r:id="rId647" w:history="1">
        <w:r w:rsidRPr="00273264">
          <w:rPr>
            <w:rStyle w:val="a5"/>
            <w:kern w:val="0"/>
          </w:rPr>
          <w:t>2000\Ame J Sur179, 309.pdf</w:t>
        </w:r>
      </w:hyperlink>
    </w:p>
    <w:p w:rsidR="00830BC0" w:rsidRDefault="00830BC0" w:rsidP="00830BC0">
      <w:pPr>
        <w:pStyle w:val="a3"/>
        <w:rPr>
          <w:kern w:val="0"/>
        </w:rPr>
      </w:pPr>
      <w:r>
        <w:rPr>
          <w:kern w:val="0"/>
        </w:rPr>
        <w:t>Abstract: BACKGROUND:</w:t>
      </w:r>
      <w:r w:rsidR="003A1917">
        <w:rPr>
          <w:kern w:val="0"/>
        </w:rPr>
        <w:t xml:space="preserve"> the </w:t>
      </w:r>
      <w:r>
        <w:rPr>
          <w:kern w:val="0"/>
        </w:rPr>
        <w:t>advent</w:t>
      </w:r>
      <w:r w:rsidR="00427468">
        <w:rPr>
          <w:kern w:val="0"/>
        </w:rPr>
        <w:t xml:space="preserve"> of </w:t>
      </w:r>
      <w:r>
        <w:rPr>
          <w:kern w:val="0"/>
        </w:rPr>
        <w:t>laparoscopic cholecystectomy (LC) has created a dilemma for treating patients with known or suspected choledocholithiasis, With rapid technologic growth</w:t>
      </w:r>
      <w:r w:rsidR="005853A9">
        <w:rPr>
          <w:kern w:val="0"/>
        </w:rPr>
        <w:t xml:space="preserve"> and </w:t>
      </w:r>
      <w:r>
        <w:rPr>
          <w:kern w:val="0"/>
        </w:rPr>
        <w:t>experience in laparoscopic skills, many surgeons are now routinely performing laparoscopic common bile duct exploration (LCBDE)</w:t>
      </w:r>
      <w:r w:rsidR="005853A9">
        <w:rPr>
          <w:kern w:val="0"/>
        </w:rPr>
        <w:t xml:space="preserve"> and </w:t>
      </w:r>
      <w:r>
        <w:rPr>
          <w:kern w:val="0"/>
        </w:rPr>
        <w:t>questioning</w:t>
      </w:r>
      <w:r w:rsidR="003A1917">
        <w:rPr>
          <w:kern w:val="0"/>
        </w:rPr>
        <w:t xml:space="preserve"> the </w:t>
      </w:r>
      <w:r>
        <w:rPr>
          <w:kern w:val="0"/>
        </w:rPr>
        <w:t>wisdom</w:t>
      </w:r>
      <w:r w:rsidR="00427468">
        <w:rPr>
          <w:kern w:val="0"/>
        </w:rPr>
        <w:t xml:space="preserve"> of </w:t>
      </w:r>
      <w:r>
        <w:rPr>
          <w:kern w:val="0"/>
        </w:rPr>
        <w:t>preoperative endoscopic retrograde cholangiography (ERC) with or without endoscopic sphincterotomy</w:t>
      </w:r>
      <w:r w:rsidR="00A37C1D">
        <w:rPr>
          <w:kern w:val="0"/>
        </w:rPr>
        <w:t>. The</w:t>
      </w:r>
      <w:r w:rsidR="003A1917">
        <w:rPr>
          <w:kern w:val="0"/>
        </w:rPr>
        <w:t xml:space="preserve"> </w:t>
      </w:r>
      <w:r>
        <w:rPr>
          <w:kern w:val="0"/>
        </w:rPr>
        <w:t>purpose</w:t>
      </w:r>
      <w:r w:rsidR="00427468">
        <w:rPr>
          <w:kern w:val="0"/>
        </w:rPr>
        <w:t xml:space="preserve"> of </w:t>
      </w:r>
      <w:r>
        <w:rPr>
          <w:kern w:val="0"/>
        </w:rPr>
        <w:t>this article is to review</w:t>
      </w:r>
      <w:r w:rsidR="003A1917">
        <w:rPr>
          <w:kern w:val="0"/>
        </w:rPr>
        <w:t xml:space="preserve"> the </w:t>
      </w:r>
      <w:r>
        <w:rPr>
          <w:kern w:val="0"/>
        </w:rPr>
        <w:t>current literature on</w:t>
      </w:r>
      <w:r w:rsidR="003A1917">
        <w:rPr>
          <w:kern w:val="0"/>
        </w:rPr>
        <w:t xml:space="preserve"> the </w:t>
      </w:r>
      <w:r>
        <w:rPr>
          <w:kern w:val="0"/>
        </w:rPr>
        <w:t>subject</w:t>
      </w:r>
      <w:r w:rsidR="00427468">
        <w:rPr>
          <w:kern w:val="0"/>
        </w:rPr>
        <w:t xml:space="preserve"> of </w:t>
      </w:r>
      <w:r>
        <w:rPr>
          <w:kern w:val="0"/>
        </w:rPr>
        <w:t>LCBDE</w:t>
      </w:r>
      <w:r w:rsidR="005853A9">
        <w:rPr>
          <w:kern w:val="0"/>
        </w:rPr>
        <w:t xml:space="preserve"> and </w:t>
      </w:r>
      <w:r>
        <w:rPr>
          <w:kern w:val="0"/>
        </w:rPr>
        <w:t>critically evaluate</w:t>
      </w:r>
      <w:r w:rsidR="003A1917">
        <w:rPr>
          <w:kern w:val="0"/>
        </w:rPr>
        <w:t xml:space="preserve"> the </w:t>
      </w:r>
      <w:r>
        <w:rPr>
          <w:kern w:val="0"/>
        </w:rPr>
        <w:t>clinical results</w:t>
      </w:r>
      <w:r w:rsidR="00427468">
        <w:rPr>
          <w:kern w:val="0"/>
        </w:rPr>
        <w:t xml:space="preserve"> of </w:t>
      </w:r>
      <w:r>
        <w:rPr>
          <w:kern w:val="0"/>
        </w:rPr>
        <w:t xml:space="preserve">this emerging technology. METHODS: </w:t>
      </w:r>
      <w:r w:rsidR="00D5664A">
        <w:rPr>
          <w:kern w:val="0"/>
        </w:rPr>
        <w:t>MEDLINE</w:t>
      </w:r>
      <w:r w:rsidR="005853A9">
        <w:rPr>
          <w:kern w:val="0"/>
        </w:rPr>
        <w:t xml:space="preserve"> and </w:t>
      </w:r>
      <w:r>
        <w:rPr>
          <w:kern w:val="0"/>
        </w:rPr>
        <w:t>Science Citation Index databases were used to search English language articles published on LCBDE since 1989, RESULTS: Transcystic common bile duct exploration has a better clearance rate,</w:t>
      </w:r>
      <w:r w:rsidR="005853A9">
        <w:rPr>
          <w:kern w:val="0"/>
        </w:rPr>
        <w:t xml:space="preserve"> and </w:t>
      </w:r>
      <w:r>
        <w:rPr>
          <w:kern w:val="0"/>
        </w:rPr>
        <w:t>carries less morbidity</w:t>
      </w:r>
      <w:r w:rsidR="005853A9">
        <w:rPr>
          <w:kern w:val="0"/>
        </w:rPr>
        <w:t xml:space="preserve"> and </w:t>
      </w:r>
      <w:r>
        <w:rPr>
          <w:kern w:val="0"/>
        </w:rPr>
        <w:t>mortality compared with laparoscopic choledochotomy. Compared with two-stage ERCP</w:t>
      </w:r>
      <w:r w:rsidR="005853A9">
        <w:rPr>
          <w:kern w:val="0"/>
        </w:rPr>
        <w:t xml:space="preserve"> and </w:t>
      </w:r>
      <w:r>
        <w:rPr>
          <w:kern w:val="0"/>
        </w:rPr>
        <w:t>LC, one-stage LC</w:t>
      </w:r>
      <w:r w:rsidR="005853A9">
        <w:rPr>
          <w:kern w:val="0"/>
        </w:rPr>
        <w:t xml:space="preserve"> and </w:t>
      </w:r>
      <w:r>
        <w:rPr>
          <w:kern w:val="0"/>
        </w:rPr>
        <w:t>LCBDE seems to be associated with a shorter hospital stay, a quicker recovery, less expense,</w:t>
      </w:r>
      <w:r w:rsidR="005853A9">
        <w:rPr>
          <w:kern w:val="0"/>
        </w:rPr>
        <w:t xml:space="preserve"> and </w:t>
      </w:r>
      <w:r>
        <w:rPr>
          <w:kern w:val="0"/>
        </w:rPr>
        <w:t>less morbidity</w:t>
      </w:r>
      <w:r w:rsidR="005853A9">
        <w:rPr>
          <w:kern w:val="0"/>
        </w:rPr>
        <w:t xml:space="preserve"> and </w:t>
      </w:r>
      <w:r>
        <w:rPr>
          <w:kern w:val="0"/>
        </w:rPr>
        <w:t>mortality. CONCLUSIONS: LCBDE is a feasible, safe</w:t>
      </w:r>
      <w:r w:rsidR="005853A9">
        <w:rPr>
          <w:kern w:val="0"/>
        </w:rPr>
        <w:t xml:space="preserve"> and </w:t>
      </w:r>
      <w:r>
        <w:rPr>
          <w:kern w:val="0"/>
        </w:rPr>
        <w:t>effective procedure that carries a low morbidity</w:t>
      </w:r>
      <w:r w:rsidR="005853A9">
        <w:rPr>
          <w:kern w:val="0"/>
        </w:rPr>
        <w:t xml:space="preserve"> and </w:t>
      </w:r>
      <w:r>
        <w:rPr>
          <w:kern w:val="0"/>
        </w:rPr>
        <w:t>mortality</w:t>
      </w:r>
      <w:r w:rsidR="005853A9">
        <w:rPr>
          <w:kern w:val="0"/>
        </w:rPr>
        <w:t xml:space="preserve"> and </w:t>
      </w:r>
      <w:r>
        <w:rPr>
          <w:kern w:val="0"/>
        </w:rPr>
        <w:t>will decrease</w:t>
      </w:r>
      <w:r w:rsidR="003A1917">
        <w:rPr>
          <w:kern w:val="0"/>
        </w:rPr>
        <w:t xml:space="preserve"> the </w:t>
      </w:r>
      <w:r>
        <w:rPr>
          <w:kern w:val="0"/>
        </w:rPr>
        <w:t>need for unnecessary ERC in</w:t>
      </w:r>
      <w:r w:rsidR="003A1917">
        <w:rPr>
          <w:kern w:val="0"/>
        </w:rPr>
        <w:t xml:space="preserve"> the </w:t>
      </w:r>
      <w:r>
        <w:rPr>
          <w:kern w:val="0"/>
        </w:rPr>
        <w:t>future for suspected or proved choledocholithiasis, Am J Surg. 2000;179:309-315, (C) 2000 by Excerpta Medica, Inc.</w:t>
      </w:r>
    </w:p>
    <w:p w:rsidR="00830BC0" w:rsidRDefault="00830BC0" w:rsidP="00830BC0">
      <w:pPr>
        <w:pStyle w:val="a3"/>
        <w:rPr>
          <w:kern w:val="0"/>
        </w:rPr>
      </w:pPr>
      <w:r>
        <w:rPr>
          <w:kern w:val="0"/>
        </w:rPr>
        <w:t>Keywords: Antegrade Sphincterotomy, Articles, Calculi, Cholecystectomy, Choledocholithiasis, Choledochoscopy, Citation, Databases, Endoscopic Sphincterotomy, English, Follow</w:t>
      </w:r>
      <w:r w:rsidR="0062028A">
        <w:rPr>
          <w:kern w:val="0"/>
        </w:rPr>
        <w:t>-up,</w:t>
      </w:r>
      <w:r>
        <w:rPr>
          <w:kern w:val="0"/>
        </w:rPr>
        <w:t xml:space="preserve"> Growth, Language, Literature, Management, </w:t>
      </w:r>
      <w:r w:rsidR="00D5664A">
        <w:rPr>
          <w:kern w:val="0"/>
        </w:rPr>
        <w:lastRenderedPageBreak/>
        <w:t>MEDLINE</w:t>
      </w:r>
      <w:r>
        <w:rPr>
          <w:kern w:val="0"/>
        </w:rPr>
        <w:t>, Randomized Trial, Recovery, Review, Science, Science Citation Index, Stones, Technology</w:t>
      </w:r>
    </w:p>
    <w:p w:rsidR="00935D80" w:rsidRDefault="00935D80" w:rsidP="00935D80">
      <w:pPr>
        <w:pStyle w:val="a3"/>
        <w:rPr>
          <w:kern w:val="0"/>
        </w:rPr>
      </w:pPr>
      <w:r>
        <w:rPr>
          <w:kern w:val="0"/>
        </w:rPr>
        <w:t>? Cucchetti, A., Mazzotti, F., Pellegrini, S., Cescon, M., Maroni, L., Ercolani, G.</w:t>
      </w:r>
      <w:r w:rsidR="005853A9">
        <w:rPr>
          <w:kern w:val="0"/>
        </w:rPr>
        <w:t xml:space="preserve"> and </w:t>
      </w:r>
      <w:r>
        <w:rPr>
          <w:kern w:val="0"/>
        </w:rPr>
        <w:t>Pinna, A.D. (2013), The use</w:t>
      </w:r>
      <w:r w:rsidR="00427468">
        <w:rPr>
          <w:kern w:val="0"/>
        </w:rPr>
        <w:t xml:space="preserve"> of </w:t>
      </w:r>
      <w:r>
        <w:rPr>
          <w:kern w:val="0"/>
        </w:rPr>
        <w:t>the Hirsc</w:t>
      </w:r>
      <w:r w:rsidR="00D5664A">
        <w:rPr>
          <w:kern w:val="0"/>
        </w:rPr>
        <w:t>h Index</w:t>
      </w:r>
      <w:r>
        <w:rPr>
          <w:kern w:val="0"/>
        </w:rPr>
        <w:t xml:space="preserve"> in benchmarking hepatic surgery research. </w:t>
      </w:r>
      <w:r>
        <w:rPr>
          <w:i/>
          <w:iCs/>
          <w:kern w:val="0"/>
        </w:rPr>
        <w:t>American Journal</w:t>
      </w:r>
      <w:r w:rsidR="00427468">
        <w:rPr>
          <w:i/>
          <w:iCs/>
          <w:kern w:val="0"/>
        </w:rPr>
        <w:t xml:space="preserve"> of </w:t>
      </w:r>
      <w:r>
        <w:rPr>
          <w:i/>
          <w:iCs/>
          <w:kern w:val="0"/>
        </w:rPr>
        <w:t>Surgery</w:t>
      </w:r>
      <w:r>
        <w:rPr>
          <w:kern w:val="0"/>
        </w:rPr>
        <w:t xml:space="preserve">, </w:t>
      </w:r>
      <w:r>
        <w:rPr>
          <w:b/>
          <w:bCs/>
          <w:kern w:val="0"/>
        </w:rPr>
        <w:t>206</w:t>
      </w:r>
      <w:r>
        <w:rPr>
          <w:kern w:val="0"/>
        </w:rPr>
        <w:t xml:space="preserve"> (4), 560-566.</w:t>
      </w:r>
    </w:p>
    <w:p w:rsidR="00935D80" w:rsidRDefault="00935D80" w:rsidP="00935D80">
      <w:pPr>
        <w:pStyle w:val="a3"/>
        <w:rPr>
          <w:kern w:val="0"/>
        </w:rPr>
      </w:pPr>
      <w:r w:rsidRPr="00F219CA">
        <w:rPr>
          <w:kern w:val="0"/>
        </w:rPr>
        <w:t xml:space="preserve">Full Text: </w:t>
      </w:r>
      <w:hyperlink r:id="rId648" w:history="1">
        <w:r w:rsidRPr="0023765C">
          <w:rPr>
            <w:rStyle w:val="a5"/>
            <w:kern w:val="0"/>
          </w:rPr>
          <w:t>2013\Ame J Sur206, 560.pdf</w:t>
        </w:r>
      </w:hyperlink>
    </w:p>
    <w:p w:rsidR="00935D80" w:rsidRDefault="00935D80" w:rsidP="00935D80">
      <w:pPr>
        <w:pStyle w:val="a3"/>
        <w:rPr>
          <w:kern w:val="0"/>
        </w:rPr>
      </w:pPr>
      <w:r>
        <w:rPr>
          <w:kern w:val="0"/>
        </w:rPr>
        <w:t>Abstract: BACKGROUND: The Hirsc</w:t>
      </w:r>
      <w:r w:rsidR="00D5664A">
        <w:rPr>
          <w:kern w:val="0"/>
        </w:rPr>
        <w:t>h Index</w:t>
      </w:r>
      <w:r>
        <w:rPr>
          <w:kern w:val="0"/>
        </w:rPr>
        <w:t xml:space="preserve"> (</w:t>
      </w:r>
      <w:r w:rsidR="00D5664A">
        <w:rPr>
          <w:kern w:val="0"/>
        </w:rPr>
        <w:t>h-Index</w:t>
      </w:r>
      <w:r>
        <w:rPr>
          <w:kern w:val="0"/>
        </w:rPr>
        <w:t>) is recognized as an effective way to summarize an individual</w:t>
      </w:r>
      <w:r w:rsidR="00700038">
        <w:rPr>
          <w:kern w:val="0"/>
        </w:rPr>
        <w:t>’</w:t>
      </w:r>
      <w:r>
        <w:rPr>
          <w:kern w:val="0"/>
        </w:rPr>
        <w:t>s scientific research output. However, a benchmark for evaluating surgeon scientists in the field</w:t>
      </w:r>
      <w:r w:rsidR="00427468">
        <w:rPr>
          <w:kern w:val="0"/>
        </w:rPr>
        <w:t xml:space="preserve"> of </w:t>
      </w:r>
      <w:r>
        <w:rPr>
          <w:kern w:val="0"/>
        </w:rPr>
        <w:t>hepatic surgery is still not available. METHODS: A total</w:t>
      </w:r>
      <w:r w:rsidR="00427468">
        <w:rPr>
          <w:kern w:val="0"/>
        </w:rPr>
        <w:t xml:space="preserve"> of </w:t>
      </w:r>
      <w:r>
        <w:rPr>
          <w:kern w:val="0"/>
        </w:rPr>
        <w:t>3,251 authors who published between 1949</w:t>
      </w:r>
      <w:r w:rsidR="005853A9">
        <w:rPr>
          <w:kern w:val="0"/>
        </w:rPr>
        <w:t xml:space="preserve"> and </w:t>
      </w:r>
      <w:r>
        <w:rPr>
          <w:kern w:val="0"/>
        </w:rPr>
        <w:t>2011 were identified using the Scopus identification number</w:t>
      </w:r>
      <w:r w:rsidR="00A37C1D">
        <w:rPr>
          <w:kern w:val="0"/>
        </w:rPr>
        <w:t>. The</w:t>
      </w:r>
      <w:r>
        <w:rPr>
          <w:kern w:val="0"/>
        </w:rPr>
        <w:t xml:space="preserve"> </w:t>
      </w:r>
      <w:r w:rsidR="00D5664A">
        <w:rPr>
          <w:kern w:val="0"/>
        </w:rPr>
        <w:t>h-Index</w:t>
      </w:r>
      <w:r>
        <w:rPr>
          <w:kern w:val="0"/>
        </w:rPr>
        <w:t>, the total number</w:t>
      </w:r>
      <w:r w:rsidR="00427468">
        <w:rPr>
          <w:kern w:val="0"/>
        </w:rPr>
        <w:t xml:space="preserve"> of </w:t>
      </w:r>
      <w:r>
        <w:rPr>
          <w:kern w:val="0"/>
        </w:rPr>
        <w:t>cited document, the total number</w:t>
      </w:r>
      <w:r w:rsidR="00427468">
        <w:rPr>
          <w:kern w:val="0"/>
        </w:rPr>
        <w:t xml:space="preserve"> of </w:t>
      </w:r>
      <w:r>
        <w:rPr>
          <w:kern w:val="0"/>
        </w:rPr>
        <w:t>citations,</w:t>
      </w:r>
      <w:r w:rsidR="005853A9">
        <w:rPr>
          <w:kern w:val="0"/>
        </w:rPr>
        <w:t xml:space="preserve"> and </w:t>
      </w:r>
      <w:r>
        <w:rPr>
          <w:kern w:val="0"/>
        </w:rPr>
        <w:t>the scientific age were calculated for each author using both Scopus</w:t>
      </w:r>
      <w:r w:rsidR="005853A9">
        <w:rPr>
          <w:kern w:val="0"/>
        </w:rPr>
        <w:t xml:space="preserve"> and </w:t>
      </w:r>
      <w:r>
        <w:rPr>
          <w:kern w:val="0"/>
        </w:rPr>
        <w:t xml:space="preserve">Google Scholar. RESULTS: The median </w:t>
      </w:r>
      <w:r w:rsidR="00D5664A">
        <w:rPr>
          <w:kern w:val="0"/>
        </w:rPr>
        <w:t>h-Index</w:t>
      </w:r>
      <w:r>
        <w:rPr>
          <w:kern w:val="0"/>
        </w:rPr>
        <w:t xml:space="preserve"> was 6</w:t>
      </w:r>
      <w:r w:rsidR="005853A9">
        <w:rPr>
          <w:kern w:val="0"/>
        </w:rPr>
        <w:t xml:space="preserve"> and </w:t>
      </w:r>
      <w:r>
        <w:rPr>
          <w:kern w:val="0"/>
        </w:rPr>
        <w:t>the median scientific age, assessed with Google Scholar, was 19 years</w:t>
      </w:r>
      <w:r w:rsidR="00A37C1D">
        <w:rPr>
          <w:kern w:val="0"/>
        </w:rPr>
        <w:t>. The</w:t>
      </w:r>
      <w:r>
        <w:rPr>
          <w:kern w:val="0"/>
        </w:rPr>
        <w:t xml:space="preserve"> numbers</w:t>
      </w:r>
      <w:r w:rsidR="00427468">
        <w:rPr>
          <w:kern w:val="0"/>
        </w:rPr>
        <w:t xml:space="preserve"> of </w:t>
      </w:r>
      <w:r>
        <w:rPr>
          <w:kern w:val="0"/>
        </w:rPr>
        <w:t>cited documents, numbers</w:t>
      </w:r>
      <w:r w:rsidR="00427468">
        <w:rPr>
          <w:kern w:val="0"/>
        </w:rPr>
        <w:t xml:space="preserve"> of </w:t>
      </w:r>
      <w:r>
        <w:rPr>
          <w:kern w:val="0"/>
        </w:rPr>
        <w:t>citations,</w:t>
      </w:r>
      <w:r w:rsidR="005853A9">
        <w:rPr>
          <w:kern w:val="0"/>
        </w:rPr>
        <w:t xml:space="preserve"> and </w:t>
      </w:r>
      <w:r w:rsidR="00D5664A">
        <w:rPr>
          <w:kern w:val="0"/>
        </w:rPr>
        <w:t>h-Index</w:t>
      </w:r>
      <w:r>
        <w:rPr>
          <w:kern w:val="0"/>
        </w:rPr>
        <w:t>es obtained from Scopus</w:t>
      </w:r>
      <w:r w:rsidR="005853A9">
        <w:rPr>
          <w:kern w:val="0"/>
        </w:rPr>
        <w:t xml:space="preserve"> and </w:t>
      </w:r>
      <w:r>
        <w:rPr>
          <w:kern w:val="0"/>
        </w:rPr>
        <w:t xml:space="preserve">Google Scholar showed good correlation with one another; however, the results from the 2 databases were modified in different ways by scientific age. By plotting scientific age against </w:t>
      </w:r>
      <w:r w:rsidR="00D5664A">
        <w:rPr>
          <w:kern w:val="0"/>
        </w:rPr>
        <w:t>h-Index</w:t>
      </w:r>
      <w:r>
        <w:rPr>
          <w:kern w:val="0"/>
        </w:rPr>
        <w:t xml:space="preserve"> percentiles an </w:t>
      </w:r>
      <w:r w:rsidR="00D5664A">
        <w:rPr>
          <w:kern w:val="0"/>
        </w:rPr>
        <w:t>h-Index</w:t>
      </w:r>
      <w:r>
        <w:rPr>
          <w:kern w:val="0"/>
        </w:rPr>
        <w:t xml:space="preserve"> growth chart for both Scopus database</w:t>
      </w:r>
      <w:r w:rsidR="005853A9">
        <w:rPr>
          <w:kern w:val="0"/>
        </w:rPr>
        <w:t xml:space="preserve"> and </w:t>
      </w:r>
      <w:r>
        <w:rPr>
          <w:kern w:val="0"/>
        </w:rPr>
        <w:t>Google Scholar was provided. CONCLUSIONS: This analysis provides a first benchmark to assess surgeon scientists</w:t>
      </w:r>
      <w:r w:rsidR="00700038">
        <w:rPr>
          <w:kern w:val="0"/>
        </w:rPr>
        <w:t>’</w:t>
      </w:r>
      <w:r>
        <w:rPr>
          <w:kern w:val="0"/>
        </w:rPr>
        <w:t xml:space="preserve"> productivity in the field</w:t>
      </w:r>
      <w:r w:rsidR="00427468">
        <w:rPr>
          <w:kern w:val="0"/>
        </w:rPr>
        <w:t xml:space="preserve"> of </w:t>
      </w:r>
      <w:r>
        <w:rPr>
          <w:kern w:val="0"/>
        </w:rPr>
        <w:t>liver surgery. (C) 2013 Elsevier Inc. All rights reserved.</w:t>
      </w:r>
    </w:p>
    <w:p w:rsidR="00935D80" w:rsidRDefault="00935D80" w:rsidP="00935D80">
      <w:pPr>
        <w:pStyle w:val="a3"/>
        <w:rPr>
          <w:kern w:val="0"/>
        </w:rPr>
      </w:pPr>
      <w:r>
        <w:rPr>
          <w:kern w:val="0"/>
        </w:rPr>
        <w:t xml:space="preserve">Keywords: Academic Research, Age, Analysis, Authors, Background, Benchmarking, Bibliometric Measures, Citations, Conclusions, Correlation, Database, Databases, Field, First, Google, Google Scholar, Growth, </w:t>
      </w:r>
      <w:r w:rsidR="00D5664A">
        <w:rPr>
          <w:rFonts w:hint="eastAsia"/>
          <w:kern w:val="0"/>
        </w:rPr>
        <w:t>h Index</w:t>
      </w:r>
      <w:r>
        <w:rPr>
          <w:kern w:val="0"/>
        </w:rPr>
        <w:t xml:space="preserve">, </w:t>
      </w:r>
      <w:r w:rsidR="00D5664A">
        <w:rPr>
          <w:rFonts w:hint="eastAsia"/>
          <w:kern w:val="0"/>
        </w:rPr>
        <w:t>h-Index</w:t>
      </w:r>
      <w:r>
        <w:rPr>
          <w:kern w:val="0"/>
        </w:rPr>
        <w:t xml:space="preserve">, </w:t>
      </w:r>
      <w:r w:rsidR="00D5664A">
        <w:rPr>
          <w:rFonts w:hint="eastAsia"/>
          <w:kern w:val="0"/>
        </w:rPr>
        <w:t>h-Index</w:t>
      </w:r>
      <w:r>
        <w:rPr>
          <w:kern w:val="0"/>
        </w:rPr>
        <w:t>, Hepatic Surgery, Hirsch, Hirsc</w:t>
      </w:r>
      <w:r w:rsidR="00D5664A">
        <w:rPr>
          <w:kern w:val="0"/>
        </w:rPr>
        <w:t>h Index</w:t>
      </w:r>
      <w:r>
        <w:rPr>
          <w:kern w:val="0"/>
        </w:rPr>
        <w:t>, Hirsc</w:t>
      </w:r>
      <w:r w:rsidR="00D5664A">
        <w:rPr>
          <w:kern w:val="0"/>
        </w:rPr>
        <w:t>h-Index</w:t>
      </w:r>
      <w:r>
        <w:rPr>
          <w:kern w:val="0"/>
        </w:rPr>
        <w:t>, Identification, Index, Indicators, Liver, Methods, Modified, Percentiles, Productivity, Ranking, Research, Research Output, Rights, Scientific Research, Scientists, Scopus, Scopus Database, Surgery, Surgical Therapy</w:t>
      </w:r>
    </w:p>
    <w:p w:rsidR="00AE4CB7" w:rsidRDefault="00AE4CB7" w:rsidP="00AE4CB7">
      <w:pPr>
        <w:pStyle w:val="a3"/>
        <w:rPr>
          <w:kern w:val="0"/>
        </w:rPr>
      </w:pPr>
      <w:r>
        <w:rPr>
          <w:kern w:val="0"/>
        </w:rPr>
        <w:t xml:space="preserve">? </w:t>
      </w:r>
      <w:r w:rsidRPr="007012C1">
        <w:t>Long,</w:t>
      </w:r>
      <w:r>
        <w:rPr>
          <w:rFonts w:hint="eastAsia"/>
        </w:rPr>
        <w:t xml:space="preserve"> X.,</w:t>
      </w:r>
      <w:r w:rsidRPr="007012C1">
        <w:t xml:space="preserve"> Huang</w:t>
      </w:r>
      <w:r>
        <w:rPr>
          <w:rFonts w:hint="eastAsia"/>
        </w:rPr>
        <w:t>, J.Z</w:t>
      </w:r>
      <w:r>
        <w:rPr>
          <w:kern w:val="0"/>
        </w:rPr>
        <w:t xml:space="preserve"> and </w:t>
      </w:r>
      <w:r>
        <w:rPr>
          <w:rFonts w:hint="eastAsia"/>
          <w:kern w:val="0"/>
        </w:rPr>
        <w:t>Ho</w:t>
      </w:r>
      <w:r>
        <w:rPr>
          <w:kern w:val="0"/>
        </w:rPr>
        <w:t xml:space="preserve">, </w:t>
      </w:r>
      <w:r>
        <w:rPr>
          <w:rFonts w:hint="eastAsia"/>
          <w:kern w:val="0"/>
        </w:rPr>
        <w:t>Y.S</w:t>
      </w:r>
      <w:r>
        <w:rPr>
          <w:kern w:val="0"/>
        </w:rPr>
        <w:t>. (201</w:t>
      </w:r>
      <w:r>
        <w:rPr>
          <w:rFonts w:hint="eastAsia"/>
          <w:kern w:val="0"/>
        </w:rPr>
        <w:t>4</w:t>
      </w:r>
      <w:r>
        <w:rPr>
          <w:kern w:val="0"/>
        </w:rPr>
        <w:t xml:space="preserve">), </w:t>
      </w:r>
      <w:r w:rsidRPr="007012C1">
        <w:t>A historical review of classic articles in surgery field</w:t>
      </w:r>
      <w:r>
        <w:rPr>
          <w:kern w:val="0"/>
        </w:rPr>
        <w:t xml:space="preserve">. </w:t>
      </w:r>
      <w:r>
        <w:rPr>
          <w:i/>
          <w:iCs/>
          <w:kern w:val="0"/>
        </w:rPr>
        <w:t>American Journal of Surgery</w:t>
      </w:r>
      <w:r>
        <w:rPr>
          <w:kern w:val="0"/>
        </w:rPr>
        <w:t xml:space="preserve">, </w:t>
      </w:r>
      <w:r>
        <w:rPr>
          <w:rFonts w:hint="eastAsia"/>
          <w:b/>
          <w:bCs/>
          <w:kern w:val="0"/>
        </w:rPr>
        <w:t>208</w:t>
      </w:r>
      <w:r>
        <w:rPr>
          <w:kern w:val="0"/>
        </w:rPr>
        <w:t xml:space="preserve"> (</w:t>
      </w:r>
      <w:r>
        <w:rPr>
          <w:rFonts w:hint="eastAsia"/>
          <w:kern w:val="0"/>
        </w:rPr>
        <w:t>5</w:t>
      </w:r>
      <w:r>
        <w:rPr>
          <w:kern w:val="0"/>
        </w:rPr>
        <w:t xml:space="preserve">), </w:t>
      </w:r>
      <w:r>
        <w:rPr>
          <w:rFonts w:hint="eastAsia"/>
          <w:kern w:val="0"/>
        </w:rPr>
        <w:t>841-849.</w:t>
      </w:r>
    </w:p>
    <w:p w:rsidR="00AE4CB7" w:rsidRDefault="00AE4CB7" w:rsidP="00AE4CB7">
      <w:pPr>
        <w:pStyle w:val="a3"/>
        <w:rPr>
          <w:kern w:val="0"/>
        </w:rPr>
      </w:pPr>
      <w:r w:rsidRPr="00F219CA">
        <w:rPr>
          <w:kern w:val="0"/>
        </w:rPr>
        <w:t>Full Text:</w:t>
      </w:r>
      <w:r>
        <w:rPr>
          <w:rFonts w:hint="eastAsia"/>
          <w:kern w:val="0"/>
        </w:rPr>
        <w:t xml:space="preserve"> </w:t>
      </w:r>
      <w:hyperlink r:id="rId649" w:history="1">
        <w:r w:rsidRPr="006555BB">
          <w:rPr>
            <w:rStyle w:val="a5"/>
            <w:kern w:val="0"/>
          </w:rPr>
          <w:t>2014\Ame J Sur208, 841.pdf</w:t>
        </w:r>
      </w:hyperlink>
      <w:r>
        <w:rPr>
          <w:rFonts w:hint="eastAsia"/>
          <w:kern w:val="0"/>
        </w:rPr>
        <w:t>;</w:t>
      </w:r>
      <w:r w:rsidRPr="00F219CA">
        <w:rPr>
          <w:kern w:val="0"/>
        </w:rPr>
        <w:t xml:space="preserve"> </w:t>
      </w:r>
      <w:hyperlink r:id="rId650" w:history="1">
        <w:r w:rsidRPr="00B7467A">
          <w:rPr>
            <w:rStyle w:val="a5"/>
            <w:kern w:val="0"/>
          </w:rPr>
          <w:t>2014\Ame J Sur-Long.pdf</w:t>
        </w:r>
      </w:hyperlink>
    </w:p>
    <w:p w:rsidR="00702E10" w:rsidRPr="007012C1" w:rsidRDefault="00702E10" w:rsidP="00702E10">
      <w:pPr>
        <w:pStyle w:val="a3"/>
      </w:pPr>
      <w:r w:rsidRPr="007012C1">
        <w:t>Abstract</w:t>
      </w:r>
      <w:r>
        <w:rPr>
          <w:rFonts w:hint="eastAsia"/>
        </w:rPr>
        <w:t xml:space="preserve">: </w:t>
      </w:r>
      <w:r w:rsidRPr="007012C1">
        <w:t>Surgery is one of the most</w:t>
      </w:r>
      <w:r>
        <w:t xml:space="preserve"> rapidly developing </w:t>
      </w:r>
      <w:r w:rsidRPr="007012C1">
        <w:t>s</w:t>
      </w:r>
      <w:r>
        <w:t>pecialties</w:t>
      </w:r>
      <w:r w:rsidRPr="007012C1">
        <w:t xml:space="preserve"> in the past century. </w:t>
      </w:r>
      <w:r>
        <w:t>T</w:t>
      </w:r>
      <w:r w:rsidRPr="007012C1">
        <w:t xml:space="preserve">he articles in the field of surgery have been cited </w:t>
      </w:r>
      <w:r>
        <w:rPr>
          <w:rFonts w:hint="eastAsia"/>
        </w:rPr>
        <w:t>at least</w:t>
      </w:r>
      <w:r w:rsidRPr="007012C1">
        <w:t xml:space="preserve"> 1,000 times since its publication to 2011</w:t>
      </w:r>
      <w:r>
        <w:t xml:space="preserve"> were analyzed</w:t>
      </w:r>
      <w:r w:rsidRPr="007012C1">
        <w:t xml:space="preserve">. By </w:t>
      </w:r>
      <w:r>
        <w:t>categorizing</w:t>
      </w:r>
      <w:r w:rsidRPr="007012C1">
        <w:t xml:space="preserve"> the publi</w:t>
      </w:r>
      <w:r>
        <w:t xml:space="preserve">cation year, journals, authors, </w:t>
      </w:r>
      <w:r w:rsidRPr="007012C1">
        <w:t>institutions, countries, life citation cycles, level of evidence provided and characteristics of the topmost articles, we intended to determine what qualities make the arti</w:t>
      </w:r>
      <w:r>
        <w:t>cles important to the specialty</w:t>
      </w:r>
      <w:r w:rsidRPr="007012C1">
        <w:t xml:space="preserve">. </w:t>
      </w:r>
      <w:r>
        <w:t>T</w:t>
      </w:r>
      <w:r w:rsidRPr="007012C1">
        <w:t xml:space="preserve">opmost articles covered </w:t>
      </w:r>
      <w:r>
        <w:rPr>
          <w:rFonts w:hint="eastAsia"/>
        </w:rPr>
        <w:t>eight</w:t>
      </w:r>
      <w:r w:rsidRPr="007012C1">
        <w:t xml:space="preserve"> subspecialties of surgery</w:t>
      </w:r>
      <w:r>
        <w:t xml:space="preserve"> and were </w:t>
      </w:r>
      <w:r>
        <w:rPr>
          <w:rFonts w:hint="eastAsia"/>
        </w:rPr>
        <w:t>published in 17 journals.</w:t>
      </w:r>
      <w:r w:rsidRPr="007012C1">
        <w:rPr>
          <w:color w:val="FF0000"/>
        </w:rPr>
        <w:t xml:space="preserve"> </w:t>
      </w:r>
      <w:r w:rsidRPr="007012C1">
        <w:t xml:space="preserve">The publication year varied from </w:t>
      </w:r>
      <w:r w:rsidRPr="007012C1">
        <w:lastRenderedPageBreak/>
        <w:t>1940-</w:t>
      </w:r>
      <w:r>
        <w:rPr>
          <w:rFonts w:hint="eastAsia"/>
        </w:rPr>
        <w:t>1999</w:t>
      </w:r>
      <w:r>
        <w:t xml:space="preserve"> and</w:t>
      </w:r>
      <w:r w:rsidRPr="007012C1">
        <w:t xml:space="preserve"> </w:t>
      </w:r>
      <w:r>
        <w:t xml:space="preserve">the articles </w:t>
      </w:r>
      <w:r w:rsidRPr="007012C1">
        <w:t xml:space="preserve">provided different level of evidence, most of which are retrospective studies of case series. </w:t>
      </w:r>
      <w:r>
        <w:rPr>
          <w:rFonts w:hint="eastAsia"/>
        </w:rPr>
        <w:t>Six</w:t>
      </w:r>
      <w:r w:rsidRPr="007012C1">
        <w:t xml:space="preserve"> articles were research articles including animal model, histology analysis</w:t>
      </w:r>
      <w:r>
        <w:rPr>
          <w:rFonts w:hint="eastAsia"/>
        </w:rPr>
        <w:t>,</w:t>
      </w:r>
      <w:r w:rsidRPr="007012C1">
        <w:t xml:space="preserve"> and lab research. The others were clinical articles.</w:t>
      </w:r>
      <w:r w:rsidRPr="0034663C">
        <w:t xml:space="preserve"> </w:t>
      </w:r>
      <w:r w:rsidRPr="007012C1">
        <w:t xml:space="preserve">The introduction of a commonly used classification or scoring system is a major factor in propelling citation by other authors. The most cited articles in surgery present their long academic life in spite of their level of evidence and journal impact factor </w:t>
      </w:r>
      <w:r>
        <w:t xml:space="preserve">in which </w:t>
      </w:r>
      <w:r w:rsidRPr="007012C1">
        <w:t>they were published.</w:t>
      </w:r>
    </w:p>
    <w:p w:rsidR="00A43071" w:rsidRDefault="00A43071" w:rsidP="00A43071">
      <w:pPr>
        <w:pStyle w:val="a3"/>
        <w:rPr>
          <w:kern w:val="0"/>
          <w:szCs w:val="24"/>
        </w:rPr>
      </w:pPr>
      <w:r>
        <w:rPr>
          <w:kern w:val="0"/>
          <w:szCs w:val="24"/>
        </w:rPr>
        <w:t>Keywords: Advances, Analysis, Animal Model, Article Life, Articles, Authors, Background, Bibliometric, Characteristics, Citation, Citation Analysis, Citation-Classics, Citations, Classic Papers, Classification, Clinical, Community, Database, Developing, Diseases, Evidence, Field, From, Histology, Historical Review, History, Impact, Impact Factor, Institutions, Intervention, Intracranial Aneurysms, Journal, Journal Citation Reports, Journal Impact, Journal Impact Factor, Journals, Knowledge, Laboratory, Level Of Evidence, Life, Medical, Medicine, Methodology, Methods, Model, Most Cited Articles, Nov, Operation, Orthopedic-Surgery, Papers, Plastic-Surgery, Publication, References, Research, Retrospective Studies, Review, Rights, Science, Science Citation Index, Science Citation Index Expanded, Scientific Community, Scoring System, Specialty, Standard, Surgery, Surgical Journals, Thomson Reuters, Thomson-Reuters, Top Cited Articles, Top-Cited Articles, Total Hip-Replacement, Web, Web Of Science, Work, World</w:t>
      </w:r>
    </w:p>
    <w:p w:rsidR="003474F2" w:rsidRPr="001A3D2B" w:rsidRDefault="003474F2" w:rsidP="003474F2">
      <w:pPr>
        <w:pStyle w:val="1"/>
      </w:pPr>
      <w:r w:rsidRPr="001A3D2B">
        <w:br w:type="page"/>
      </w:r>
      <w:bookmarkStart w:id="345" w:name="_Toc420814436"/>
      <w:r w:rsidRPr="001A3D2B">
        <w:lastRenderedPageBreak/>
        <w:t>Title: American Journal</w:t>
      </w:r>
      <w:r w:rsidR="00427468">
        <w:t xml:space="preserve"> of </w:t>
      </w:r>
      <w:r w:rsidRPr="001A3D2B">
        <w:t>Therapeutics</w:t>
      </w:r>
      <w:bookmarkEnd w:id="345"/>
    </w:p>
    <w:p w:rsidR="003474F2" w:rsidRPr="001A3D2B" w:rsidRDefault="003474F2" w:rsidP="003474F2">
      <w:pPr>
        <w:pStyle w:val="12"/>
      </w:pPr>
      <w:r w:rsidRPr="001A3D2B">
        <w:t xml:space="preserve">Full Journal Title: </w:t>
      </w:r>
      <w:hyperlink r:id="rId651" w:history="1">
        <w:r w:rsidRPr="001A3D2B">
          <w:rPr>
            <w:rStyle w:val="a5"/>
          </w:rPr>
          <w:t>American Journal</w:t>
        </w:r>
        <w:r w:rsidR="00427468">
          <w:rPr>
            <w:rStyle w:val="a5"/>
          </w:rPr>
          <w:t xml:space="preserve"> of </w:t>
        </w:r>
        <w:r w:rsidRPr="001A3D2B">
          <w:rPr>
            <w:rStyle w:val="a5"/>
          </w:rPr>
          <w:t>Therapeutics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1075-2765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Silva, H., Sungar, E., Kleinstiver, S.J.</w:t>
      </w:r>
      <w:r w:rsidR="005853A9">
        <w:t xml:space="preserve"> and </w:t>
      </w:r>
      <w:r w:rsidRPr="001A3D2B">
        <w:t>Rubin, R.H. (2006), Opportunities</w:t>
      </w:r>
      <w:r w:rsidR="005853A9">
        <w:t xml:space="preserve"> and </w:t>
      </w:r>
      <w:r w:rsidRPr="001A3D2B">
        <w:t>challenges for clinical</w:t>
      </w:r>
      <w:r w:rsidR="005853A9">
        <w:t xml:space="preserve"> and </w:t>
      </w:r>
      <w:r w:rsidRPr="001A3D2B">
        <w:t xml:space="preserve">cardiovascular research in Latin America. </w:t>
      </w:r>
      <w:r w:rsidRPr="001A3D2B">
        <w:rPr>
          <w:i/>
        </w:rPr>
        <w:t>American Journal</w:t>
      </w:r>
      <w:r w:rsidR="00427468">
        <w:rPr>
          <w:i/>
        </w:rPr>
        <w:t xml:space="preserve"> of </w:t>
      </w:r>
      <w:r w:rsidRPr="001A3D2B">
        <w:rPr>
          <w:i/>
        </w:rPr>
        <w:t>Therapeutics</w:t>
      </w:r>
      <w:r w:rsidRPr="001A3D2B">
        <w:t xml:space="preserve">, </w:t>
      </w:r>
      <w:r w:rsidRPr="001A3D2B">
        <w:rPr>
          <w:b/>
          <w:bCs/>
        </w:rPr>
        <w:t>13</w:t>
      </w:r>
      <w:r w:rsidRPr="001A3D2B">
        <w:t xml:space="preserve"> (4), 309-314.</w:t>
      </w:r>
    </w:p>
    <w:p w:rsidR="004B7BD8" w:rsidRPr="001A3D2B" w:rsidRDefault="004B7BD8" w:rsidP="004B7BD8">
      <w:pPr>
        <w:pStyle w:val="a3"/>
      </w:pPr>
      <w:r w:rsidRPr="001A3D2B">
        <w:t xml:space="preserve">Full Text: </w:t>
      </w:r>
      <w:hyperlink r:id="rId652" w:history="1">
        <w:r w:rsidRPr="001A3D2B">
          <w:rPr>
            <w:rStyle w:val="a5"/>
          </w:rPr>
          <w:t>2006\Ame J The13, 309.pdf</w:t>
        </w:r>
      </w:hyperlink>
    </w:p>
    <w:p w:rsidR="003474F2" w:rsidRPr="001A3D2B" w:rsidRDefault="003474F2" w:rsidP="003474F2">
      <w:pPr>
        <w:pStyle w:val="a3"/>
      </w:pPr>
      <w:r w:rsidRPr="001A3D2B">
        <w:t>Abstract: Latin America in</w:t>
      </w:r>
      <w:r w:rsidR="003A1917">
        <w:t xml:space="preserve"> the </w:t>
      </w:r>
      <w:r w:rsidRPr="001A3D2B">
        <w:t>past two decades has increasingly become a significant contributor</w:t>
      </w:r>
      <w:r w:rsidR="00427468">
        <w:t xml:space="preserve"> of </w:t>
      </w:r>
      <w:r w:rsidRPr="001A3D2B">
        <w:t>clinical research</w:t>
      </w:r>
      <w:r w:rsidR="00A37C1D">
        <w:t>. The</w:t>
      </w:r>
      <w:r w:rsidR="003A1917">
        <w:t xml:space="preserve"> </w:t>
      </w:r>
      <w:r w:rsidRPr="001A3D2B">
        <w:t>future capacity</w:t>
      </w:r>
      <w:r w:rsidR="00427468">
        <w:t xml:space="preserve"> of </w:t>
      </w:r>
      <w:r w:rsidRPr="001A3D2B">
        <w:t>clinical</w:t>
      </w:r>
      <w:r w:rsidR="005853A9">
        <w:t xml:space="preserve"> and </w:t>
      </w:r>
      <w:r w:rsidRPr="001A3D2B">
        <w:t>specifically cardiovascular research has</w:t>
      </w:r>
      <w:r w:rsidR="003A1917">
        <w:t xml:space="preserve"> the </w:t>
      </w:r>
      <w:r w:rsidRPr="001A3D2B">
        <w:t>potential to positively affect human health in</w:t>
      </w:r>
      <w:r w:rsidR="003A1917">
        <w:t xml:space="preserve"> the </w:t>
      </w:r>
      <w:r w:rsidRPr="001A3D2B">
        <w:t>region</w:t>
      </w:r>
      <w:r w:rsidR="005853A9">
        <w:t xml:space="preserve"> and </w:t>
      </w:r>
      <w:r w:rsidRPr="001A3D2B">
        <w:t>foster economic growth. However,</w:t>
      </w:r>
      <w:r w:rsidR="003A1917">
        <w:t xml:space="preserve"> the </w:t>
      </w:r>
      <w:r w:rsidRPr="001A3D2B">
        <w:t>challenges</w:t>
      </w:r>
      <w:r w:rsidR="00427468">
        <w:t xml:space="preserve"> of </w:t>
      </w:r>
      <w:r w:rsidRPr="001A3D2B">
        <w:t>conducting clinical research in Latin America include a need for logistical support from local governments, continued commitment to education</w:t>
      </w:r>
      <w:r w:rsidR="00427468">
        <w:t xml:space="preserve"> of </w:t>
      </w:r>
      <w:r w:rsidRPr="001A3D2B">
        <w:t>physicians</w:t>
      </w:r>
      <w:r w:rsidR="005853A9">
        <w:t xml:space="preserve"> and </w:t>
      </w:r>
      <w:r w:rsidRPr="001A3D2B">
        <w:t>ethics committees,</w:t>
      </w:r>
      <w:r w:rsidR="005853A9">
        <w:t xml:space="preserve"> and </w:t>
      </w:r>
      <w:r w:rsidRPr="001A3D2B">
        <w:t>creation</w:t>
      </w:r>
      <w:r w:rsidR="00427468">
        <w:t xml:space="preserve"> of </w:t>
      </w:r>
      <w:r w:rsidRPr="001A3D2B">
        <w:t>oversight bodies to guarantee</w:t>
      </w:r>
      <w:r w:rsidR="003A1917">
        <w:t xml:space="preserve"> the </w:t>
      </w:r>
      <w:r w:rsidRPr="001A3D2B">
        <w:t>highest quality</w:t>
      </w:r>
      <w:r w:rsidR="00427468">
        <w:t xml:space="preserve"> of </w:t>
      </w:r>
      <w:r w:rsidRPr="001A3D2B">
        <w:t>research. Bibliometric analyses were conducted to assess trends in clinical research. Latin American investigators demonstrated a tendency to publish clinical results in local</w:t>
      </w:r>
      <w:r w:rsidR="005853A9">
        <w:t xml:space="preserve"> and </w:t>
      </w:r>
      <w:r w:rsidRPr="001A3D2B">
        <w:t>regional journals</w:t>
      </w:r>
      <w:r w:rsidR="00A37C1D">
        <w:t>. The</w:t>
      </w:r>
      <w:r w:rsidR="003A1917">
        <w:t xml:space="preserve"> </w:t>
      </w:r>
      <w:r w:rsidRPr="001A3D2B">
        <w:t>region offers many opportunities for clinical research including large treatment-naive patient populations</w:t>
      </w:r>
      <w:r w:rsidR="005853A9">
        <w:t xml:space="preserve"> and </w:t>
      </w:r>
      <w:r w:rsidRPr="001A3D2B">
        <w:t>most importantly motivated investigators capable</w:t>
      </w:r>
      <w:r w:rsidR="00427468">
        <w:t xml:space="preserve"> of </w:t>
      </w:r>
      <w:r w:rsidRPr="001A3D2B">
        <w:t>producing high-quality results. Strategies to foster clinical research in Latin America must be based on development</w:t>
      </w:r>
      <w:r w:rsidR="00427468">
        <w:t xml:space="preserve"> of </w:t>
      </w:r>
      <w:r w:rsidRPr="001A3D2B">
        <w:t>a positive regulatory environment, leveraged protection</w:t>
      </w:r>
      <w:r w:rsidR="00427468">
        <w:t xml:space="preserve"> of </w:t>
      </w:r>
      <w:r w:rsidRPr="001A3D2B">
        <w:t>intellectual property, creation</w:t>
      </w:r>
      <w:r w:rsidR="00427468">
        <w:t xml:space="preserve"> of </w:t>
      </w:r>
      <w:r w:rsidRPr="001A3D2B">
        <w:t>alliances between private</w:t>
      </w:r>
      <w:r w:rsidR="005853A9">
        <w:t xml:space="preserve"> and </w:t>
      </w:r>
      <w:r w:rsidRPr="001A3D2B">
        <w:t>public sectors with incentives for investment in science</w:t>
      </w:r>
      <w:r w:rsidR="005853A9">
        <w:t xml:space="preserve"> and </w:t>
      </w:r>
      <w:r w:rsidRPr="001A3D2B">
        <w:t>technology,</w:t>
      </w:r>
      <w:r w:rsidR="005853A9">
        <w:t xml:space="preserve"> and </w:t>
      </w:r>
      <w:r w:rsidRPr="001A3D2B">
        <w:t>finally focus on areas</w:t>
      </w:r>
      <w:r w:rsidR="00427468">
        <w:t xml:space="preserve"> of </w:t>
      </w:r>
      <w:r w:rsidRPr="001A3D2B">
        <w:t>clinical expertise such as cardiovascular disease, epidemiology, gastroenterology,</w:t>
      </w:r>
      <w:r w:rsidR="005853A9">
        <w:t xml:space="preserve"> and </w:t>
      </w:r>
      <w:r w:rsidRPr="001A3D2B">
        <w:t>infectious diseases. Fostering</w:t>
      </w:r>
      <w:r w:rsidR="003A1917">
        <w:t xml:space="preserve"> the </w:t>
      </w:r>
      <w:r w:rsidRPr="001A3D2B">
        <w:t>creation</w:t>
      </w:r>
      <w:r w:rsidR="00427468">
        <w:t xml:space="preserve"> of </w:t>
      </w:r>
      <w:r w:rsidRPr="001A3D2B">
        <w:t>research alliances across</w:t>
      </w:r>
      <w:r w:rsidR="005853A9">
        <w:t xml:space="preserve"> and </w:t>
      </w:r>
      <w:r w:rsidRPr="001A3D2B">
        <w:t>between continents will help in establishing</w:t>
      </w:r>
      <w:r w:rsidR="003A1917">
        <w:t xml:space="preserve"> the </w:t>
      </w:r>
      <w:r w:rsidRPr="001A3D2B">
        <w:t>supportive environment for dissemination</w:t>
      </w:r>
      <w:r w:rsidR="00427468">
        <w:t xml:space="preserve"> of </w:t>
      </w:r>
      <w:r w:rsidRPr="001A3D2B">
        <w:t>important ethical clinical research in</w:t>
      </w:r>
      <w:r w:rsidR="003A1917">
        <w:t xml:space="preserve"> the </w:t>
      </w:r>
      <w:r w:rsidRPr="001A3D2B">
        <w:t>region.</w:t>
      </w:r>
    </w:p>
    <w:p w:rsidR="003474F2" w:rsidRPr="001A3D2B" w:rsidRDefault="003474F2" w:rsidP="003474F2">
      <w:pPr>
        <w:pStyle w:val="a3"/>
      </w:pPr>
      <w:r w:rsidRPr="001A3D2B">
        <w:t xml:space="preserve">Keywords: Analyses, Bodies, Capacity, Cardiovascular, Cardiovascular Disease, </w:t>
      </w:r>
      <w:r w:rsidRPr="001A3D2B">
        <w:lastRenderedPageBreak/>
        <w:t>Clinical, Clinical Research, Commitment, Development, Diseases, Economic, Education, Environment, Epidemiology, Ethical, Ethics, Gastroenterology, Growth, Health, Human, Human Health, Incentives, Infectious Diseases, Intellectual Property, Journals, Latin America, Local, Physicians, Populations, Potential, Protection, Public, Quality, Quality of, Regional, Research, Science, Science</w:t>
      </w:r>
      <w:r w:rsidR="005853A9">
        <w:t xml:space="preserve"> and </w:t>
      </w:r>
      <w:r w:rsidRPr="001A3D2B">
        <w:t>Technology, Support, Technology, Trends</w:t>
      </w:r>
    </w:p>
    <w:p w:rsidR="00D94F10" w:rsidRDefault="00D94F10" w:rsidP="00D94F10">
      <w:pPr>
        <w:pStyle w:val="a3"/>
        <w:rPr>
          <w:kern w:val="0"/>
        </w:rPr>
      </w:pPr>
      <w:r>
        <w:rPr>
          <w:rFonts w:hint="eastAsia"/>
          <w:kern w:val="0"/>
        </w:rPr>
        <w:t xml:space="preserve">? </w:t>
      </w:r>
      <w:r>
        <w:rPr>
          <w:kern w:val="0"/>
        </w:rPr>
        <w:t xml:space="preserve">Yang, A.F. and Wang, B. (2015), Sirolimus versus tacrolimus in kidney transplant recipients receiving mycophenolate mofetil and steroids: Focus on acute rejection, patient and graft survival. </w:t>
      </w:r>
      <w:r>
        <w:rPr>
          <w:i/>
          <w:iCs/>
          <w:kern w:val="0"/>
        </w:rPr>
        <w:t>American Journal of Therapeutics</w:t>
      </w:r>
      <w:r>
        <w:rPr>
          <w:kern w:val="0"/>
        </w:rPr>
        <w:t xml:space="preserve">, </w:t>
      </w:r>
      <w:r>
        <w:rPr>
          <w:b/>
          <w:bCs/>
          <w:kern w:val="0"/>
        </w:rPr>
        <w:t>22</w:t>
      </w:r>
      <w:r>
        <w:rPr>
          <w:kern w:val="0"/>
        </w:rPr>
        <w:t xml:space="preserve"> (2), 98-104.</w:t>
      </w:r>
    </w:p>
    <w:p w:rsidR="00D94F10" w:rsidRPr="001A3D2B" w:rsidRDefault="00D94F10" w:rsidP="00D94F10">
      <w:pPr>
        <w:pStyle w:val="a3"/>
      </w:pPr>
      <w:r w:rsidRPr="001A3D2B">
        <w:t xml:space="preserve">Full Text: </w:t>
      </w:r>
      <w:r w:rsidRPr="00E37677">
        <w:t>20</w:t>
      </w:r>
      <w:r>
        <w:rPr>
          <w:rFonts w:hint="eastAsia"/>
        </w:rPr>
        <w:t>15</w:t>
      </w:r>
      <w:r w:rsidRPr="00E37677">
        <w:t>\Ame J The</w:t>
      </w:r>
      <w:r>
        <w:rPr>
          <w:rFonts w:hint="eastAsia"/>
        </w:rPr>
        <w:t>22</w:t>
      </w:r>
      <w:r w:rsidRPr="00E37677">
        <w:t xml:space="preserve">, </w:t>
      </w:r>
      <w:r>
        <w:rPr>
          <w:rFonts w:hint="eastAsia"/>
        </w:rPr>
        <w:t>98</w:t>
      </w:r>
      <w:r w:rsidRPr="00E37677">
        <w:t>.pdf</w:t>
      </w:r>
    </w:p>
    <w:p w:rsidR="00D94F10" w:rsidRDefault="00D94F10" w:rsidP="00D94F10">
      <w:pPr>
        <w:pStyle w:val="a3"/>
        <w:rPr>
          <w:kern w:val="0"/>
        </w:rPr>
      </w:pPr>
      <w:r>
        <w:rPr>
          <w:kern w:val="0"/>
        </w:rPr>
        <w:t>Abstract: The study aims to conduct a meta-analysis of randomized controlled trials to compare the efficacy of tacrolimus (TAC)/mycophenolate mofetil (MMF)/corticosteroids (CSs) with sirolimus (SRL)/MMF/CSs in renal transplant recipients: Research 2 databases, PubMed, and Web of Science, selecting relevant articles. Data were selected for acute rejection and patient and graft survival. Statistical value relative risk (RR) and 95% confidence intervals (CIs) were recorded. Six randomized controlled trials involving 885 patients were included. There was a significant difference in acute rejection (P = 0.001, RR = 1.69, 95% CI, 1.23-2.34). Two groups, patient survival (P = 0.96, RR = 1.02, 95% CI, 0.54-1.91) and graft survival (P = 0.09, RR = 1.56, 95% CI, 0.93-2.60), had no statistical difference. Acute rejection by those taking SRL/MMF/CSs is worse than those taking TAC/MMF/CSs. Patient and graft survival in TAC/MMF/CSs is similar to that in SRL/MMF/CSs.</w:t>
      </w:r>
    </w:p>
    <w:p w:rsidR="00D94F10" w:rsidRDefault="00D94F10" w:rsidP="00D94F10">
      <w:pPr>
        <w:pStyle w:val="a3"/>
        <w:rPr>
          <w:kern w:val="0"/>
        </w:rPr>
      </w:pPr>
      <w:r>
        <w:rPr>
          <w:kern w:val="0"/>
        </w:rPr>
        <w:t>Keywords: Articles, Calcineurin Inhibitors, Confidence, Confidence Intervals, Data, Databases, Efficacy, Graft, Graft Survival, Groups, Immunosuppressant, Immunosuppressive Regimens, Intervals, Meta Analysis, Meta-Analysis, Metaanalysis, Mycophenolate Mofetil, P, Patient, Patients, Pubmed, Randomized, Randomized Controlled Trials, Rejection, Relative Risk, Renal, Renal Transplant, Renal Transplant Recipients, Renal Transplantation, Renal-Allograft Recipients, Research, Risk, Science, Sirolimus, Steroids, Survival, Tacrolimus, Value, Web, Web Of Science</w:t>
      </w:r>
    </w:p>
    <w:p w:rsidR="00454570" w:rsidRPr="001A3D2B" w:rsidRDefault="00454570" w:rsidP="00454570">
      <w:pPr>
        <w:pStyle w:val="1"/>
      </w:pPr>
      <w:r w:rsidRPr="001A3D2B">
        <w:br w:type="page"/>
      </w:r>
      <w:bookmarkStart w:id="346" w:name="_Toc420814437"/>
      <w:r w:rsidRPr="001A3D2B">
        <w:lastRenderedPageBreak/>
        <w:t>Title: American Journal</w:t>
      </w:r>
      <w:r w:rsidR="00427468">
        <w:t xml:space="preserve"> of </w:t>
      </w:r>
      <w:r w:rsidRPr="001A3D2B">
        <w:t>Transplantation</w:t>
      </w:r>
      <w:bookmarkEnd w:id="346"/>
    </w:p>
    <w:p w:rsidR="00454570" w:rsidRPr="001A3D2B" w:rsidRDefault="00454570" w:rsidP="00454570">
      <w:pPr>
        <w:pStyle w:val="12"/>
      </w:pPr>
      <w:r w:rsidRPr="001A3D2B">
        <w:t xml:space="preserve">Full Journal Title: </w:t>
      </w:r>
      <w:hyperlink r:id="rId653" w:history="1">
        <w:r w:rsidRPr="001A3D2B">
          <w:rPr>
            <w:rStyle w:val="a5"/>
            <w:iCs/>
            <w:kern w:val="0"/>
          </w:rPr>
          <w:t>American Journal</w:t>
        </w:r>
        <w:r w:rsidR="00427468">
          <w:rPr>
            <w:rStyle w:val="a5"/>
            <w:iCs/>
            <w:kern w:val="0"/>
          </w:rPr>
          <w:t xml:space="preserve"> of </w:t>
        </w:r>
        <w:r w:rsidRPr="001A3D2B">
          <w:rPr>
            <w:rStyle w:val="a5"/>
            <w:iCs/>
            <w:kern w:val="0"/>
          </w:rPr>
          <w:t>Transplantation</w:t>
        </w:r>
      </w:hyperlink>
      <w:r w:rsidR="007F4E97" w:rsidRPr="001A3D2B">
        <w:rPr>
          <w:iCs/>
          <w:kern w:val="0"/>
        </w:rPr>
        <w:t xml:space="preserve">; </w:t>
      </w:r>
      <w:hyperlink r:id="rId654" w:anchor="db=a9h&amp;jid=HXS" w:history="1">
        <w:r w:rsidR="007F4E97" w:rsidRPr="001A3D2B">
          <w:rPr>
            <w:rStyle w:val="a5"/>
            <w:iCs/>
            <w:kern w:val="0"/>
          </w:rPr>
          <w:t>American Journal</w:t>
        </w:r>
        <w:r w:rsidR="00427468">
          <w:rPr>
            <w:rStyle w:val="a5"/>
            <w:iCs/>
            <w:kern w:val="0"/>
          </w:rPr>
          <w:t xml:space="preserve"> of </w:t>
        </w:r>
        <w:r w:rsidR="007F4E97" w:rsidRPr="001A3D2B">
          <w:rPr>
            <w:rStyle w:val="a5"/>
            <w:iCs/>
            <w:kern w:val="0"/>
          </w:rPr>
          <w:t>Transplantation</w:t>
        </w:r>
      </w:hyperlink>
    </w:p>
    <w:p w:rsidR="00454570" w:rsidRPr="001A3D2B" w:rsidRDefault="00454570" w:rsidP="00454570">
      <w:pPr>
        <w:pStyle w:val="12"/>
      </w:pPr>
      <w:r w:rsidRPr="001A3D2B">
        <w:t xml:space="preserve">ISO Abbreviated Title: </w:t>
      </w:r>
    </w:p>
    <w:p w:rsidR="00454570" w:rsidRPr="001A3D2B" w:rsidRDefault="00454570" w:rsidP="00454570">
      <w:pPr>
        <w:pStyle w:val="12"/>
      </w:pPr>
      <w:r w:rsidRPr="001A3D2B">
        <w:t xml:space="preserve">JCR Abbreviated Title: </w:t>
      </w:r>
    </w:p>
    <w:p w:rsidR="00454570" w:rsidRPr="001A3D2B" w:rsidRDefault="00454570" w:rsidP="00454570">
      <w:pPr>
        <w:pStyle w:val="12"/>
      </w:pPr>
      <w:r w:rsidRPr="001A3D2B">
        <w:t xml:space="preserve">ISSN: </w:t>
      </w:r>
    </w:p>
    <w:p w:rsidR="00454570" w:rsidRPr="001A3D2B" w:rsidRDefault="00454570" w:rsidP="00454570">
      <w:pPr>
        <w:pStyle w:val="12"/>
      </w:pPr>
      <w:r w:rsidRPr="001A3D2B">
        <w:t xml:space="preserve">Issues/Year: </w:t>
      </w:r>
    </w:p>
    <w:p w:rsidR="00454570" w:rsidRPr="001A3D2B" w:rsidRDefault="00AA25A4" w:rsidP="00454570">
      <w:pPr>
        <w:pStyle w:val="12"/>
      </w:pPr>
      <w:r w:rsidRPr="001A3D2B">
        <w:t>Journal Country/Territory:</w:t>
      </w:r>
      <w:r w:rsidR="00454570" w:rsidRPr="001A3D2B">
        <w:t xml:space="preserve"> </w:t>
      </w:r>
    </w:p>
    <w:p w:rsidR="00454570" w:rsidRPr="001A3D2B" w:rsidRDefault="00454570" w:rsidP="00454570">
      <w:pPr>
        <w:pStyle w:val="12"/>
      </w:pPr>
      <w:r w:rsidRPr="001A3D2B">
        <w:t xml:space="preserve">Language: </w:t>
      </w:r>
    </w:p>
    <w:p w:rsidR="00454570" w:rsidRPr="001A3D2B" w:rsidRDefault="00454570" w:rsidP="00454570">
      <w:pPr>
        <w:pStyle w:val="12"/>
      </w:pPr>
      <w:r w:rsidRPr="001A3D2B">
        <w:t xml:space="preserve">Publisher: </w:t>
      </w:r>
    </w:p>
    <w:p w:rsidR="00454570" w:rsidRPr="001A3D2B" w:rsidRDefault="00454570" w:rsidP="00454570">
      <w:pPr>
        <w:pStyle w:val="12"/>
      </w:pPr>
      <w:r w:rsidRPr="001A3D2B">
        <w:t xml:space="preserve">Publisher Address: </w:t>
      </w:r>
    </w:p>
    <w:p w:rsidR="00454570" w:rsidRPr="001A3D2B" w:rsidRDefault="00454570" w:rsidP="00454570">
      <w:pPr>
        <w:pStyle w:val="12"/>
      </w:pPr>
      <w:r w:rsidRPr="001A3D2B">
        <w:t>Subject Categories:</w:t>
      </w:r>
    </w:p>
    <w:p w:rsidR="00454570" w:rsidRPr="001A3D2B" w:rsidRDefault="00454570" w:rsidP="00454570">
      <w:pPr>
        <w:pStyle w:val="12"/>
      </w:pPr>
      <w:r w:rsidRPr="001A3D2B">
        <w:t>: Impact Factor</w:t>
      </w:r>
    </w:p>
    <w:p w:rsidR="00F14A6C" w:rsidRDefault="00F14A6C" w:rsidP="00F14A6C">
      <w:pPr>
        <w:pStyle w:val="a3"/>
        <w:rPr>
          <w:kern w:val="0"/>
        </w:rPr>
      </w:pPr>
      <w:r>
        <w:rPr>
          <w:rFonts w:hint="eastAsia"/>
          <w:kern w:val="0"/>
        </w:rPr>
        <w:t xml:space="preserve">? </w:t>
      </w:r>
      <w:r>
        <w:rPr>
          <w:kern w:val="0"/>
        </w:rPr>
        <w:t>Clemens, K.K., Thiessen-Philbrook, H., Parikh, C.R., Yang, R.C., Karley, M.L., Boudville, N., Prasad, G.V.R.</w:t>
      </w:r>
      <w:r w:rsidR="005853A9">
        <w:rPr>
          <w:kern w:val="0"/>
        </w:rPr>
        <w:t xml:space="preserve"> and </w:t>
      </w:r>
      <w:r>
        <w:rPr>
          <w:kern w:val="0"/>
        </w:rPr>
        <w:t>Garg, A.X. (2006), Psychosocial health</w:t>
      </w:r>
      <w:r w:rsidR="00427468">
        <w:rPr>
          <w:kern w:val="0"/>
        </w:rPr>
        <w:t xml:space="preserve"> of </w:t>
      </w:r>
      <w:r>
        <w:rPr>
          <w:kern w:val="0"/>
        </w:rPr>
        <w:t xml:space="preserve">living kidney donors: A systematic review. </w:t>
      </w:r>
      <w:r>
        <w:rPr>
          <w:i/>
          <w:iCs/>
          <w:kern w:val="0"/>
        </w:rPr>
        <w:t>American Journal</w:t>
      </w:r>
      <w:r w:rsidR="00427468">
        <w:rPr>
          <w:i/>
          <w:iCs/>
          <w:kern w:val="0"/>
        </w:rPr>
        <w:t xml:space="preserve"> of </w:t>
      </w:r>
      <w:r>
        <w:rPr>
          <w:i/>
          <w:iCs/>
          <w:kern w:val="0"/>
        </w:rPr>
        <w:t>Transplantation</w:t>
      </w:r>
      <w:r>
        <w:rPr>
          <w:kern w:val="0"/>
        </w:rPr>
        <w:t xml:space="preserve">, </w:t>
      </w:r>
      <w:r>
        <w:rPr>
          <w:b/>
          <w:bCs/>
          <w:kern w:val="0"/>
        </w:rPr>
        <w:t>6</w:t>
      </w:r>
      <w:r>
        <w:rPr>
          <w:kern w:val="0"/>
        </w:rPr>
        <w:t xml:space="preserve"> (12), 2965-2977.</w:t>
      </w:r>
    </w:p>
    <w:p w:rsidR="00F14A6C" w:rsidRPr="001A3D2B" w:rsidRDefault="00F14A6C" w:rsidP="00F14A6C">
      <w:pPr>
        <w:pStyle w:val="a3"/>
        <w:rPr>
          <w:kern w:val="0"/>
        </w:rPr>
      </w:pPr>
      <w:r w:rsidRPr="001A3D2B">
        <w:rPr>
          <w:kern w:val="0"/>
        </w:rPr>
        <w:t xml:space="preserve">Full Text: </w:t>
      </w:r>
      <w:r>
        <w:rPr>
          <w:kern w:val="0"/>
        </w:rPr>
        <w:t>200</w:t>
      </w:r>
      <w:r>
        <w:rPr>
          <w:rFonts w:hint="eastAsia"/>
          <w:kern w:val="0"/>
        </w:rPr>
        <w:t>6</w:t>
      </w:r>
      <w:r>
        <w:rPr>
          <w:kern w:val="0"/>
        </w:rPr>
        <w:t>\Ame J Tra</w:t>
      </w:r>
      <w:r>
        <w:rPr>
          <w:rFonts w:hint="eastAsia"/>
          <w:kern w:val="0"/>
        </w:rPr>
        <w:t>6</w:t>
      </w:r>
      <w:r>
        <w:rPr>
          <w:kern w:val="0"/>
        </w:rPr>
        <w:t xml:space="preserve">, </w:t>
      </w:r>
      <w:r>
        <w:rPr>
          <w:rFonts w:hint="eastAsia"/>
          <w:kern w:val="0"/>
        </w:rPr>
        <w:t>2965</w:t>
      </w:r>
      <w:r w:rsidRPr="004D6139">
        <w:rPr>
          <w:kern w:val="0"/>
        </w:rPr>
        <w:t>.pdf</w:t>
      </w:r>
    </w:p>
    <w:p w:rsidR="00F14A6C" w:rsidRDefault="00F14A6C" w:rsidP="00F14A6C">
      <w:pPr>
        <w:pStyle w:val="a3"/>
        <w:rPr>
          <w:kern w:val="0"/>
        </w:rPr>
      </w:pPr>
      <w:r>
        <w:rPr>
          <w:kern w:val="0"/>
        </w:rPr>
        <w:t>Abstract: Knowledge</w:t>
      </w:r>
      <w:r w:rsidR="00427468">
        <w:rPr>
          <w:kern w:val="0"/>
        </w:rPr>
        <w:t xml:space="preserve"> of </w:t>
      </w:r>
      <w:r w:rsidR="003A1917">
        <w:rPr>
          <w:kern w:val="0"/>
        </w:rPr>
        <w:t xml:space="preserve">the </w:t>
      </w:r>
      <w:r>
        <w:rPr>
          <w:kern w:val="0"/>
        </w:rPr>
        <w:t>psychosocial benefits</w:t>
      </w:r>
      <w:r w:rsidR="005853A9">
        <w:rPr>
          <w:kern w:val="0"/>
        </w:rPr>
        <w:t xml:space="preserve"> and </w:t>
      </w:r>
      <w:r>
        <w:rPr>
          <w:kern w:val="0"/>
        </w:rPr>
        <w:t>harms faced by living kidney donors is necessary for informed consent</w:t>
      </w:r>
      <w:r w:rsidR="005853A9">
        <w:rPr>
          <w:kern w:val="0"/>
        </w:rPr>
        <w:t xml:space="preserve"> and </w:t>
      </w:r>
      <w:r>
        <w:rPr>
          <w:kern w:val="0"/>
        </w:rPr>
        <w:t xml:space="preserve">follow-up. We reviewed any English language study where psychosocial function was assessed using questionnaires in 10 or more donors after nephrectomy. We searched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 Psych INFO, Sociological Abstracts</w:t>
      </w:r>
      <w:r w:rsidR="005853A9">
        <w:rPr>
          <w:kern w:val="0"/>
        </w:rPr>
        <w:t xml:space="preserve"> and </w:t>
      </w:r>
      <w:r>
        <w:rPr>
          <w:kern w:val="0"/>
        </w:rPr>
        <w:t>CINAHL databases</w:t>
      </w:r>
      <w:r w:rsidR="005853A9">
        <w:rPr>
          <w:kern w:val="0"/>
        </w:rPr>
        <w:t xml:space="preserve"> and </w:t>
      </w:r>
      <w:r>
        <w:rPr>
          <w:kern w:val="0"/>
        </w:rPr>
        <w:t>reviewed reference lists from 1969 through July 2006. Independently, two reviewers abstracted data on study, donor</w:t>
      </w:r>
      <w:r w:rsidR="005853A9">
        <w:rPr>
          <w:kern w:val="0"/>
        </w:rPr>
        <w:t xml:space="preserve"> and </w:t>
      </w:r>
      <w:r>
        <w:rPr>
          <w:kern w:val="0"/>
        </w:rPr>
        <w:t>control group characteristics, psychosocial measurements</w:t>
      </w:r>
      <w:r w:rsidR="005853A9">
        <w:rPr>
          <w:kern w:val="0"/>
        </w:rPr>
        <w:t xml:space="preserve"> and </w:t>
      </w:r>
      <w:r>
        <w:rPr>
          <w:kern w:val="0"/>
        </w:rPr>
        <w:t>their outcomes. Fifty-one studies examined 5139 donors who were assessed an average</w:t>
      </w:r>
      <w:r w:rsidR="00427468">
        <w:rPr>
          <w:kern w:val="0"/>
        </w:rPr>
        <w:t xml:space="preserve"> of </w:t>
      </w:r>
      <w:r>
        <w:rPr>
          <w:kern w:val="0"/>
        </w:rPr>
        <w:t>4 years after nephrectomy</w:t>
      </w:r>
      <w:r w:rsidR="00A37C1D">
        <w:rPr>
          <w:kern w:val="0"/>
        </w:rPr>
        <w:t>. The</w:t>
      </w:r>
      <w:r w:rsidR="003A1917">
        <w:rPr>
          <w:kern w:val="0"/>
        </w:rPr>
        <w:t xml:space="preserve"> </w:t>
      </w:r>
      <w:r>
        <w:rPr>
          <w:kern w:val="0"/>
        </w:rPr>
        <w:t>majority experienced no depression (77-95%) or anxiety (86-94%), with questionnaire scores similar to controls</w:t>
      </w:r>
      <w:r w:rsidR="00A37C1D">
        <w:rPr>
          <w:kern w:val="0"/>
        </w:rPr>
        <w:t>. The</w:t>
      </w:r>
      <w:r w:rsidR="003A1917">
        <w:rPr>
          <w:kern w:val="0"/>
        </w:rPr>
        <w:t xml:space="preserve"> </w:t>
      </w:r>
      <w:r>
        <w:rPr>
          <w:kern w:val="0"/>
        </w:rPr>
        <w:t>majority reported no change or an improved relationship with their recipient (86-100%), spouse (82-98%), family members (83-100%)</w:t>
      </w:r>
      <w:r w:rsidR="005853A9">
        <w:rPr>
          <w:kern w:val="0"/>
        </w:rPr>
        <w:t xml:space="preserve"> and </w:t>
      </w:r>
      <w:r>
        <w:rPr>
          <w:kern w:val="0"/>
        </w:rPr>
        <w:t>nonrecipient children (95-100%). Some experienced an increase in self-esteem. A majority (83-93%) expressed no change in their attractiveness. Although many scored high on quality</w:t>
      </w:r>
      <w:r w:rsidR="00427468">
        <w:rPr>
          <w:kern w:val="0"/>
        </w:rPr>
        <w:t xml:space="preserve"> of </w:t>
      </w:r>
      <w:r>
        <w:rPr>
          <w:kern w:val="0"/>
        </w:rPr>
        <w:t>life measures, some prospective studies described a decrease after donation. A small proportion</w:t>
      </w:r>
      <w:r w:rsidR="00427468">
        <w:rPr>
          <w:kern w:val="0"/>
        </w:rPr>
        <w:t xml:space="preserve"> of </w:t>
      </w:r>
      <w:r>
        <w:rPr>
          <w:kern w:val="0"/>
        </w:rPr>
        <w:t>donors had adverse psychosocial outcomes. Most kidney donors experience no change or an improvement in their psychosocial health after donation. Harms may be minimized through careful selection</w:t>
      </w:r>
      <w:r w:rsidR="005853A9">
        <w:rPr>
          <w:kern w:val="0"/>
        </w:rPr>
        <w:t xml:space="preserve"> and </w:t>
      </w:r>
      <w:r>
        <w:rPr>
          <w:kern w:val="0"/>
        </w:rPr>
        <w:t>follow-up.</w:t>
      </w:r>
    </w:p>
    <w:p w:rsidR="00F14A6C" w:rsidRDefault="00F14A6C" w:rsidP="00F14A6C">
      <w:pPr>
        <w:pStyle w:val="a3"/>
        <w:rPr>
          <w:kern w:val="0"/>
        </w:rPr>
      </w:pPr>
      <w:r>
        <w:rPr>
          <w:kern w:val="0"/>
        </w:rPr>
        <w:t xml:space="preserve">Keywords: Anxiety, Children, Control, Databases, Depression, Donation, Embase, </w:t>
      </w:r>
      <w:r>
        <w:rPr>
          <w:kern w:val="0"/>
        </w:rPr>
        <w:lastRenderedPageBreak/>
        <w:t>Flank Incision, Follow</w:t>
      </w:r>
      <w:r w:rsidR="0062028A">
        <w:rPr>
          <w:kern w:val="0"/>
        </w:rPr>
        <w:t>-up,</w:t>
      </w:r>
      <w:r>
        <w:rPr>
          <w:kern w:val="0"/>
        </w:rPr>
        <w:t xml:space="preserve"> Impact, Informed Consent, Knowledge, Living Kidney Donors, Long-Term, </w:t>
      </w:r>
      <w:r w:rsidR="00D5664A">
        <w:rPr>
          <w:kern w:val="0"/>
        </w:rPr>
        <w:t>MEDLINE</w:t>
      </w:r>
      <w:r>
        <w:rPr>
          <w:kern w:val="0"/>
        </w:rPr>
        <w:t>, Mini-Incision, Nephrectomy, Outcomes, Prospective Studies, Psychosocial, Quality</w:t>
      </w:r>
      <w:r w:rsidR="00427468">
        <w:rPr>
          <w:kern w:val="0"/>
        </w:rPr>
        <w:t xml:space="preserve"> of </w:t>
      </w:r>
      <w:r>
        <w:rPr>
          <w:kern w:val="0"/>
        </w:rPr>
        <w:t>Life, Quality</w:t>
      </w:r>
      <w:r w:rsidR="00434900">
        <w:rPr>
          <w:kern w:val="0"/>
        </w:rPr>
        <w:t>-of-</w:t>
      </w:r>
      <w:r>
        <w:rPr>
          <w:kern w:val="0"/>
        </w:rPr>
        <w:t>Life, Questionnaire, Questionnaires, Renal-Transplantation, Review, Science, Short Form-36, Systematic, Systematic Review, Term-Follow</w:t>
      </w:r>
      <w:r w:rsidR="0062028A">
        <w:rPr>
          <w:kern w:val="0"/>
        </w:rPr>
        <w:t>-up,</w:t>
      </w:r>
      <w:r>
        <w:rPr>
          <w:kern w:val="0"/>
        </w:rPr>
        <w:t xml:space="preserve"> </w:t>
      </w:r>
      <w:r w:rsidR="00D5664A">
        <w:rPr>
          <w:kern w:val="0"/>
        </w:rPr>
        <w:t>Web</w:t>
      </w:r>
      <w:r w:rsidR="00427468">
        <w:rPr>
          <w:kern w:val="0"/>
        </w:rPr>
        <w:t xml:space="preserve"> of </w:t>
      </w:r>
      <w:r w:rsidR="00D5664A">
        <w:rPr>
          <w:kern w:val="0"/>
        </w:rPr>
        <w:t>Science</w:t>
      </w:r>
    </w:p>
    <w:p w:rsidR="00063FB3" w:rsidRDefault="00063FB3" w:rsidP="00063FB3">
      <w:pPr>
        <w:pStyle w:val="a3"/>
        <w:rPr>
          <w:kern w:val="0"/>
        </w:rPr>
      </w:pPr>
      <w:r>
        <w:rPr>
          <w:rFonts w:hint="eastAsia"/>
          <w:kern w:val="0"/>
        </w:rPr>
        <w:t xml:space="preserve">? </w:t>
      </w:r>
      <w:r>
        <w:rPr>
          <w:kern w:val="0"/>
        </w:rPr>
        <w:t>Ellis, M.J., Parikh, C.R., Inrig, J.K., Kambay, M.</w:t>
      </w:r>
      <w:r w:rsidR="005853A9">
        <w:rPr>
          <w:kern w:val="0"/>
        </w:rPr>
        <w:t xml:space="preserve"> and </w:t>
      </w:r>
      <w:r>
        <w:rPr>
          <w:kern w:val="0"/>
        </w:rPr>
        <w:t xml:space="preserve">Patel, U.D. (2008), Chronic kidney disease after hematopoietic cell transplantation: A systematic review. </w:t>
      </w:r>
      <w:r>
        <w:rPr>
          <w:i/>
          <w:iCs/>
          <w:kern w:val="0"/>
        </w:rPr>
        <w:t>American Journal</w:t>
      </w:r>
      <w:r w:rsidR="00427468">
        <w:rPr>
          <w:i/>
          <w:iCs/>
          <w:kern w:val="0"/>
        </w:rPr>
        <w:t xml:space="preserve"> of </w:t>
      </w:r>
      <w:r>
        <w:rPr>
          <w:i/>
          <w:iCs/>
          <w:kern w:val="0"/>
        </w:rPr>
        <w:t>Transplantation</w:t>
      </w:r>
      <w:r>
        <w:rPr>
          <w:kern w:val="0"/>
        </w:rPr>
        <w:t xml:space="preserve">, </w:t>
      </w:r>
      <w:r>
        <w:rPr>
          <w:b/>
          <w:bCs/>
          <w:kern w:val="0"/>
        </w:rPr>
        <w:t>8</w:t>
      </w:r>
      <w:r>
        <w:rPr>
          <w:kern w:val="0"/>
        </w:rPr>
        <w:t xml:space="preserve"> (11), 2378-2390.</w:t>
      </w:r>
    </w:p>
    <w:p w:rsidR="00B96150" w:rsidRPr="001A3D2B" w:rsidRDefault="00B96150" w:rsidP="00B96150">
      <w:pPr>
        <w:pStyle w:val="a3"/>
        <w:rPr>
          <w:kern w:val="0"/>
        </w:rPr>
      </w:pPr>
      <w:r w:rsidRPr="001A3D2B">
        <w:rPr>
          <w:kern w:val="0"/>
        </w:rPr>
        <w:t xml:space="preserve">Full Text: </w:t>
      </w:r>
      <w:hyperlink r:id="rId655" w:history="1">
        <w:r w:rsidRPr="00240C45">
          <w:rPr>
            <w:rStyle w:val="a5"/>
            <w:kern w:val="0"/>
          </w:rPr>
          <w:t>2008\Ame J Tra8, 2378.pdf</w:t>
        </w:r>
      </w:hyperlink>
    </w:p>
    <w:p w:rsidR="00063FB3" w:rsidRDefault="00063FB3" w:rsidP="00063FB3">
      <w:pPr>
        <w:pStyle w:val="a3"/>
        <w:rPr>
          <w:kern w:val="0"/>
        </w:rPr>
      </w:pPr>
      <w:r>
        <w:rPr>
          <w:kern w:val="0"/>
        </w:rPr>
        <w:t>Abstract: Advances in hematopoietic cell transplantation (HCT) have broadened its indications for use</w:t>
      </w:r>
      <w:r w:rsidR="005853A9">
        <w:rPr>
          <w:kern w:val="0"/>
        </w:rPr>
        <w:t xml:space="preserve"> and </w:t>
      </w:r>
      <w:r>
        <w:rPr>
          <w:kern w:val="0"/>
        </w:rPr>
        <w:t>resulted in more long-term HCT survivors. Some survivors develop chronic kidney disease (CKD); however,</w:t>
      </w:r>
      <w:r w:rsidR="003A1917">
        <w:rPr>
          <w:kern w:val="0"/>
        </w:rPr>
        <w:t xml:space="preserve"> the </w:t>
      </w:r>
      <w:r>
        <w:rPr>
          <w:kern w:val="0"/>
        </w:rPr>
        <w:t>incidence</w:t>
      </w:r>
      <w:r w:rsidR="005853A9">
        <w:rPr>
          <w:kern w:val="0"/>
        </w:rPr>
        <w:t xml:space="preserve"> and </w:t>
      </w:r>
      <w:r>
        <w:rPr>
          <w:kern w:val="0"/>
        </w:rPr>
        <w:t>risk factors are unclear. We performed a systematic review</w:t>
      </w:r>
      <w:r w:rsidR="00427468">
        <w:rPr>
          <w:kern w:val="0"/>
        </w:rPr>
        <w:t xml:space="preserve"> of </w:t>
      </w:r>
      <w:r>
        <w:rPr>
          <w:kern w:val="0"/>
        </w:rPr>
        <w:t>studies identified from databases (</w:t>
      </w:r>
      <w:r w:rsidR="00D5664A">
        <w:rPr>
          <w:kern w:val="0"/>
        </w:rPr>
        <w:t>MEDLINE</w:t>
      </w:r>
      <w:r>
        <w:rPr>
          <w:kern w:val="0"/>
        </w:rPr>
        <w:t>, EMBASE, Science Citation Index), conference abstracts</w:t>
      </w:r>
      <w:r w:rsidR="005853A9">
        <w:rPr>
          <w:kern w:val="0"/>
        </w:rPr>
        <w:t xml:space="preserve"> and </w:t>
      </w:r>
      <w:r>
        <w:rPr>
          <w:kern w:val="0"/>
        </w:rPr>
        <w:t>reference lists from selected manuscripts. From 927 manuscripts, 28 patient cohorts were identified in which 9317 adults</w:t>
      </w:r>
      <w:r w:rsidR="005853A9">
        <w:rPr>
          <w:kern w:val="0"/>
        </w:rPr>
        <w:t xml:space="preserve"> and </w:t>
      </w:r>
      <w:r>
        <w:rPr>
          <w:kern w:val="0"/>
        </w:rPr>
        <w:t>children underwent HCT</w:t>
      </w:r>
      <w:r w:rsidR="005853A9">
        <w:rPr>
          <w:kern w:val="0"/>
        </w:rPr>
        <w:t xml:space="preserve"> and </w:t>
      </w:r>
      <w:r>
        <w:rPr>
          <w:kern w:val="0"/>
        </w:rPr>
        <w:t>7317 (79%) survived to at least 100 days, permitting inclusion</w:t>
      </w:r>
      <w:r w:rsidR="00427468">
        <w:rPr>
          <w:kern w:val="0"/>
        </w:rPr>
        <w:t xml:space="preserve"> of </w:t>
      </w:r>
      <w:r>
        <w:rPr>
          <w:kern w:val="0"/>
        </w:rPr>
        <w:t>5337 (73%</w:t>
      </w:r>
      <w:r w:rsidR="00427468">
        <w:rPr>
          <w:kern w:val="0"/>
        </w:rPr>
        <w:t xml:space="preserve"> of </w:t>
      </w:r>
      <w:r>
        <w:rPr>
          <w:kern w:val="0"/>
        </w:rPr>
        <w:t>survivors) in quantitative analyses. Although definitions</w:t>
      </w:r>
      <w:r w:rsidR="005853A9">
        <w:rPr>
          <w:kern w:val="0"/>
        </w:rPr>
        <w:t xml:space="preserve"> and </w:t>
      </w:r>
      <w:r>
        <w:rPr>
          <w:kern w:val="0"/>
        </w:rPr>
        <w:t>measurements varied widely, approximately 16.6%</w:t>
      </w:r>
      <w:r w:rsidR="00427468">
        <w:rPr>
          <w:kern w:val="0"/>
        </w:rPr>
        <w:t xml:space="preserve"> of </w:t>
      </w:r>
      <w:r>
        <w:rPr>
          <w:kern w:val="0"/>
        </w:rPr>
        <w:t>HCT patients developed CKD</w:t>
      </w:r>
      <w:r w:rsidR="005853A9">
        <w:rPr>
          <w:kern w:val="0"/>
        </w:rPr>
        <w:t xml:space="preserve"> and </w:t>
      </w:r>
      <w:r>
        <w:rPr>
          <w:kern w:val="0"/>
        </w:rPr>
        <w:t>estimated glomerular filtration rate (eGFR in mL/min/1.73 m(2)) decreased by 24.5 after 24 months. This decrease was greater amongst patients undergoing allogeneic HCT (Delta eGFR = -40.0 versus -18.6 for autologous transplants). Several commonly reported risk factors for CKD were investigated, including acute renal failure, total body irradiation, graft versus host disease</w:t>
      </w:r>
      <w:r w:rsidR="005853A9">
        <w:rPr>
          <w:kern w:val="0"/>
        </w:rPr>
        <w:t xml:space="preserve"> and </w:t>
      </w:r>
      <w:r>
        <w:rPr>
          <w:kern w:val="0"/>
        </w:rPr>
        <w:t>long-term cyclosporine use. In conclusion, CKD following HCT is likely to be common; however, prospective studies with uniform definitions</w:t>
      </w:r>
      <w:r w:rsidR="00427468">
        <w:rPr>
          <w:kern w:val="0"/>
        </w:rPr>
        <w:t xml:space="preserve"> of </w:t>
      </w:r>
      <w:r>
        <w:rPr>
          <w:kern w:val="0"/>
        </w:rPr>
        <w:t>CKD</w:t>
      </w:r>
      <w:r w:rsidR="005853A9">
        <w:rPr>
          <w:kern w:val="0"/>
        </w:rPr>
        <w:t xml:space="preserve"> and </w:t>
      </w:r>
      <w:r>
        <w:rPr>
          <w:kern w:val="0"/>
        </w:rPr>
        <w:t>risk factors are needed to confirm these findings</w:t>
      </w:r>
      <w:r w:rsidR="005853A9">
        <w:rPr>
          <w:kern w:val="0"/>
        </w:rPr>
        <w:t xml:space="preserve"> and </w:t>
      </w:r>
      <w:r>
        <w:rPr>
          <w:kern w:val="0"/>
        </w:rPr>
        <w:t>better define</w:t>
      </w:r>
      <w:r w:rsidR="003A1917">
        <w:rPr>
          <w:kern w:val="0"/>
        </w:rPr>
        <w:t xml:space="preserve"> the </w:t>
      </w:r>
      <w:r>
        <w:rPr>
          <w:kern w:val="0"/>
        </w:rPr>
        <w:t>underlying mechanisms to promote therapies that prevent this complication.</w:t>
      </w:r>
    </w:p>
    <w:p w:rsidR="00063FB3" w:rsidRDefault="00063FB3" w:rsidP="00063FB3">
      <w:pPr>
        <w:pStyle w:val="a3"/>
        <w:rPr>
          <w:kern w:val="0"/>
        </w:rPr>
      </w:pPr>
      <w:r>
        <w:rPr>
          <w:kern w:val="0"/>
        </w:rPr>
        <w:t xml:space="preserve">Keywords: Bone-Marrow-Transplantation, Chronic Kidney Disease (Ckd), Citation, Complications, Creatinine Clearance, Databases, Embase, Glomerular-Filtration-Rate, Hematopoietic Stem Cell Transplantation, Hemolytic-Uremic Syndrome, Irradiation, Liver-Disease, Long-Term Survivors, Mechanisms, </w:t>
      </w:r>
      <w:r w:rsidR="00D5664A">
        <w:rPr>
          <w:kern w:val="0"/>
        </w:rPr>
        <w:t>MEDLINE</w:t>
      </w:r>
      <w:r>
        <w:rPr>
          <w:kern w:val="0"/>
        </w:rPr>
        <w:t>, Meta-Analysis, Patient, Risk Factor, Risk-Factors, Science, Science Citation Index, Stage Renal-Disease, Systematic Review, Total-Body Irradiation, Versus-Host-Disease</w:t>
      </w:r>
    </w:p>
    <w:p w:rsidR="00454570" w:rsidRPr="001A3D2B" w:rsidRDefault="00454570" w:rsidP="00454570">
      <w:pPr>
        <w:pStyle w:val="a3"/>
        <w:rPr>
          <w:kern w:val="0"/>
        </w:rPr>
      </w:pPr>
      <w:r w:rsidRPr="001A3D2B">
        <w:rPr>
          <w:kern w:val="0"/>
        </w:rPr>
        <w:t>? Bekker, J., Ploem, S.</w:t>
      </w:r>
      <w:r w:rsidR="005853A9">
        <w:rPr>
          <w:kern w:val="0"/>
        </w:rPr>
        <w:t xml:space="preserve"> and </w:t>
      </w:r>
      <w:r w:rsidRPr="001A3D2B">
        <w:rPr>
          <w:kern w:val="0"/>
        </w:rPr>
        <w:t>de Jong, K.P. (2009), Early hepatic artery thrombosis after liver transplantation: A systematic review</w:t>
      </w:r>
      <w:r w:rsidR="00427468">
        <w:rPr>
          <w:kern w:val="0"/>
        </w:rPr>
        <w:t xml:space="preserve"> of </w:t>
      </w:r>
      <w:r w:rsidR="003A1917">
        <w:rPr>
          <w:kern w:val="0"/>
        </w:rPr>
        <w:t xml:space="preserve">the </w:t>
      </w:r>
      <w:r w:rsidRPr="001A3D2B">
        <w:rPr>
          <w:kern w:val="0"/>
        </w:rPr>
        <w:t>incidence, outcome</w:t>
      </w:r>
      <w:r w:rsidR="005853A9">
        <w:rPr>
          <w:kern w:val="0"/>
        </w:rPr>
        <w:t xml:space="preserve"> and </w:t>
      </w:r>
      <w:r w:rsidRPr="001A3D2B">
        <w:rPr>
          <w:kern w:val="0"/>
        </w:rPr>
        <w:t xml:space="preserve">risk factors. </w:t>
      </w:r>
      <w:r w:rsidRPr="001A3D2B">
        <w:rPr>
          <w:i/>
          <w:iCs/>
          <w:kern w:val="0"/>
        </w:rPr>
        <w:t>American Journal</w:t>
      </w:r>
      <w:r w:rsidR="00427468">
        <w:rPr>
          <w:i/>
          <w:iCs/>
          <w:kern w:val="0"/>
        </w:rPr>
        <w:t xml:space="preserve"> of </w:t>
      </w:r>
      <w:r w:rsidRPr="001A3D2B">
        <w:rPr>
          <w:i/>
          <w:iCs/>
          <w:kern w:val="0"/>
        </w:rPr>
        <w:t>Transplantation</w:t>
      </w:r>
      <w:r w:rsidRPr="001A3D2B">
        <w:rPr>
          <w:kern w:val="0"/>
        </w:rPr>
        <w:t xml:space="preserve">, </w:t>
      </w:r>
      <w:r w:rsidRPr="001A3D2B">
        <w:rPr>
          <w:b/>
          <w:bCs/>
          <w:kern w:val="0"/>
        </w:rPr>
        <w:t>9</w:t>
      </w:r>
      <w:r w:rsidRPr="001A3D2B">
        <w:rPr>
          <w:kern w:val="0"/>
        </w:rPr>
        <w:t xml:space="preserve"> (4), 746-757.</w:t>
      </w:r>
    </w:p>
    <w:p w:rsidR="007F4E97" w:rsidRPr="001A3D2B" w:rsidRDefault="007F4E97" w:rsidP="007F4E97">
      <w:pPr>
        <w:pStyle w:val="a3"/>
        <w:rPr>
          <w:kern w:val="0"/>
        </w:rPr>
      </w:pPr>
      <w:r w:rsidRPr="001A3D2B">
        <w:rPr>
          <w:kern w:val="0"/>
        </w:rPr>
        <w:t xml:space="preserve">Full Text: </w:t>
      </w:r>
      <w:hyperlink r:id="rId656" w:history="1">
        <w:r w:rsidRPr="001A3D2B">
          <w:rPr>
            <w:rStyle w:val="a5"/>
            <w:kern w:val="0"/>
          </w:rPr>
          <w:t>2009\Ame J Tra9, 746.pdf</w:t>
        </w:r>
      </w:hyperlink>
    </w:p>
    <w:p w:rsidR="00454570" w:rsidRPr="001A3D2B" w:rsidRDefault="00454570" w:rsidP="00454570">
      <w:pPr>
        <w:pStyle w:val="a3"/>
        <w:rPr>
          <w:kern w:val="0"/>
        </w:rPr>
      </w:pPr>
      <w:r w:rsidRPr="001A3D2B">
        <w:rPr>
          <w:kern w:val="0"/>
        </w:rPr>
        <w:lastRenderedPageBreak/>
        <w:t>Abstract: To clarify inconsistencies in</w:t>
      </w:r>
      <w:r w:rsidR="003A1917">
        <w:rPr>
          <w:kern w:val="0"/>
        </w:rPr>
        <w:t xml:space="preserve"> the </w:t>
      </w:r>
      <w:r w:rsidRPr="001A3D2B">
        <w:rPr>
          <w:kern w:val="0"/>
        </w:rPr>
        <w:t>literature we performed a systematic review to identify</w:t>
      </w:r>
      <w:r w:rsidR="003A1917">
        <w:rPr>
          <w:kern w:val="0"/>
        </w:rPr>
        <w:t xml:space="preserve"> the </w:t>
      </w:r>
      <w:r w:rsidRPr="001A3D2B">
        <w:rPr>
          <w:kern w:val="0"/>
        </w:rPr>
        <w:t>incidence, risk factors</w:t>
      </w:r>
      <w:r w:rsidR="005853A9">
        <w:rPr>
          <w:kern w:val="0"/>
        </w:rPr>
        <w:t xml:space="preserve"> and </w:t>
      </w:r>
      <w:r w:rsidRPr="001A3D2B">
        <w:rPr>
          <w:kern w:val="0"/>
        </w:rPr>
        <w:t>outcome</w:t>
      </w:r>
      <w:r w:rsidR="00427468">
        <w:rPr>
          <w:kern w:val="0"/>
        </w:rPr>
        <w:t xml:space="preserve"> of </w:t>
      </w:r>
      <w:r w:rsidRPr="001A3D2B">
        <w:rPr>
          <w:kern w:val="0"/>
        </w:rPr>
        <w:t>early hepatic artery thrombosis (eHAT) after liver transplantation. We searched studies identified from databases (</w:t>
      </w:r>
      <w:r w:rsidR="00D5664A">
        <w:rPr>
          <w:kern w:val="0"/>
        </w:rPr>
        <w:t>MEDLINE</w:t>
      </w:r>
      <w:r w:rsidRPr="001A3D2B">
        <w:rPr>
          <w:kern w:val="0"/>
        </w:rPr>
        <w:t>, EMBASE, Science Citation Index)</w:t>
      </w:r>
      <w:r w:rsidR="005853A9">
        <w:rPr>
          <w:kern w:val="0"/>
        </w:rPr>
        <w:t xml:space="preserve"> and </w:t>
      </w:r>
      <w:r w:rsidRPr="001A3D2B">
        <w:rPr>
          <w:kern w:val="0"/>
        </w:rPr>
        <w:t>references</w:t>
      </w:r>
      <w:r w:rsidR="00427468">
        <w:rPr>
          <w:kern w:val="0"/>
        </w:rPr>
        <w:t xml:space="preserve"> of </w:t>
      </w:r>
      <w:r w:rsidRPr="001A3D2B">
        <w:rPr>
          <w:kern w:val="0"/>
        </w:rPr>
        <w:t>identified studies. Seventy-one studies out</w:t>
      </w:r>
      <w:r w:rsidR="00427468">
        <w:rPr>
          <w:kern w:val="0"/>
        </w:rPr>
        <w:t xml:space="preserve"> of </w:t>
      </w:r>
      <w:r w:rsidRPr="001A3D2B">
        <w:rPr>
          <w:kern w:val="0"/>
        </w:rPr>
        <w:t>999 screened abstracts were eligible for this systematic review</w:t>
      </w:r>
      <w:r w:rsidR="00A37C1D">
        <w:rPr>
          <w:kern w:val="0"/>
        </w:rPr>
        <w:t>. The</w:t>
      </w:r>
      <w:r w:rsidR="003A1917">
        <w:rPr>
          <w:kern w:val="0"/>
        </w:rPr>
        <w:t xml:space="preserve"> </w:t>
      </w:r>
      <w:r w:rsidRPr="001A3D2B">
        <w:rPr>
          <w:kern w:val="0"/>
        </w:rPr>
        <w:t>incidence</w:t>
      </w:r>
      <w:r w:rsidR="00427468">
        <w:rPr>
          <w:kern w:val="0"/>
        </w:rPr>
        <w:t xml:space="preserve"> of </w:t>
      </w:r>
      <w:r w:rsidRPr="001A3D2B">
        <w:rPr>
          <w:kern w:val="0"/>
        </w:rPr>
        <w:t>eHAT was 4.4% (843/21, 822); in children 8.3%</w:t>
      </w:r>
      <w:r w:rsidR="005853A9">
        <w:rPr>
          <w:kern w:val="0"/>
        </w:rPr>
        <w:t xml:space="preserve"> and </w:t>
      </w:r>
      <w:r w:rsidRPr="001A3D2B">
        <w:rPr>
          <w:kern w:val="0"/>
        </w:rPr>
        <w:t xml:space="preserve">2.9% in adults (p &lt; 0.001). Doppler ultrasound screening (DUS) protocols varied from </w:t>
      </w:r>
      <w:r w:rsidR="00700038">
        <w:rPr>
          <w:kern w:val="0"/>
        </w:rPr>
        <w:t>‘</w:t>
      </w:r>
      <w:r w:rsidRPr="001A3D2B">
        <w:rPr>
          <w:kern w:val="0"/>
        </w:rPr>
        <w:t>no routine</w:t>
      </w:r>
      <w:r w:rsidR="00700038">
        <w:rPr>
          <w:kern w:val="0"/>
        </w:rPr>
        <w:t>’</w:t>
      </w:r>
      <w:r w:rsidRPr="001A3D2B">
        <w:rPr>
          <w:kern w:val="0"/>
        </w:rPr>
        <w:t xml:space="preserve"> to </w:t>
      </w:r>
      <w:r w:rsidR="00700038">
        <w:rPr>
          <w:kern w:val="0"/>
        </w:rPr>
        <w:t>‘</w:t>
      </w:r>
      <w:r w:rsidRPr="001A3D2B">
        <w:rPr>
          <w:kern w:val="0"/>
        </w:rPr>
        <w:t>three times a day.</w:t>
      </w:r>
      <w:r w:rsidR="00700038">
        <w:rPr>
          <w:kern w:val="0"/>
        </w:rPr>
        <w:t>’</w:t>
      </w:r>
      <w:r w:rsidR="003A1917">
        <w:rPr>
          <w:kern w:val="0"/>
        </w:rPr>
        <w:t xml:space="preserve"> the </w:t>
      </w:r>
      <w:r w:rsidRPr="001A3D2B">
        <w:rPr>
          <w:kern w:val="0"/>
        </w:rPr>
        <w:t>median time to detection was at day seven</w:t>
      </w:r>
      <w:r w:rsidR="00A37C1D">
        <w:rPr>
          <w:kern w:val="0"/>
        </w:rPr>
        <w:t>. The</w:t>
      </w:r>
      <w:r w:rsidR="003A1917">
        <w:rPr>
          <w:kern w:val="0"/>
        </w:rPr>
        <w:t xml:space="preserve"> </w:t>
      </w:r>
      <w:r w:rsidRPr="001A3D2B">
        <w:rPr>
          <w:kern w:val="0"/>
        </w:rPr>
        <w:t>overall retransplantation rate was 53.1%</w:t>
      </w:r>
      <w:r w:rsidR="005853A9">
        <w:rPr>
          <w:kern w:val="0"/>
        </w:rPr>
        <w:t xml:space="preserve"> and </w:t>
      </w:r>
      <w:r w:rsidRPr="001A3D2B">
        <w:rPr>
          <w:kern w:val="0"/>
        </w:rPr>
        <w:t>was higher in children (61.9%) than in adults (50%, p &lt; 0.03)</w:t>
      </w:r>
      <w:r w:rsidR="00A37C1D">
        <w:rPr>
          <w:kern w:val="0"/>
        </w:rPr>
        <w:t>. The</w:t>
      </w:r>
      <w:r w:rsidR="003A1917">
        <w:rPr>
          <w:kern w:val="0"/>
        </w:rPr>
        <w:t xml:space="preserve"> </w:t>
      </w:r>
      <w:r w:rsidRPr="001A3D2B">
        <w:rPr>
          <w:kern w:val="0"/>
        </w:rPr>
        <w:t>overall mortality rate</w:t>
      </w:r>
      <w:r w:rsidR="00427468">
        <w:rPr>
          <w:kern w:val="0"/>
        </w:rPr>
        <w:t xml:space="preserve"> of </w:t>
      </w:r>
      <w:r w:rsidRPr="001A3D2B">
        <w:rPr>
          <w:kern w:val="0"/>
        </w:rPr>
        <w:t>patients with eHAT was 33.3% (range: 0-80%). Mortality in adults (34.3%) was higher than in children (25%, p &lt; 0.03)</w:t>
      </w:r>
      <w:r w:rsidR="00A37C1D">
        <w:rPr>
          <w:kern w:val="0"/>
        </w:rPr>
        <w:t>. The</w:t>
      </w:r>
      <w:r w:rsidR="003A1917">
        <w:rPr>
          <w:kern w:val="0"/>
        </w:rPr>
        <w:t xml:space="preserve"> </w:t>
      </w:r>
      <w:r w:rsidRPr="001A3D2B">
        <w:rPr>
          <w:kern w:val="0"/>
        </w:rPr>
        <w:t>reported risk factors for eHAT were, cytomegalovirus mismatch (seropositive donor liver in seronegative recipient), retransplantation, arterial conduits, prolonged operation time, low recipient weight, variant arterial anatomy,</w:t>
      </w:r>
      <w:r w:rsidR="005853A9">
        <w:rPr>
          <w:kern w:val="0"/>
        </w:rPr>
        <w:t xml:space="preserve"> and </w:t>
      </w:r>
      <w:r w:rsidRPr="001A3D2B">
        <w:rPr>
          <w:kern w:val="0"/>
        </w:rPr>
        <w:t>low volume transplantation centers. eHAT is associated with significant graft loss</w:t>
      </w:r>
      <w:r w:rsidR="005853A9">
        <w:rPr>
          <w:kern w:val="0"/>
        </w:rPr>
        <w:t xml:space="preserve"> and </w:t>
      </w:r>
      <w:r w:rsidRPr="001A3D2B">
        <w:rPr>
          <w:kern w:val="0"/>
        </w:rPr>
        <w:t>mortality. Uniform definitions</w:t>
      </w:r>
      <w:r w:rsidR="00427468">
        <w:rPr>
          <w:kern w:val="0"/>
        </w:rPr>
        <w:t xml:space="preserve"> of </w:t>
      </w:r>
      <w:r w:rsidRPr="001A3D2B">
        <w:rPr>
          <w:kern w:val="0"/>
        </w:rPr>
        <w:t>eHAT</w:t>
      </w:r>
      <w:r w:rsidR="005853A9">
        <w:rPr>
          <w:kern w:val="0"/>
        </w:rPr>
        <w:t xml:space="preserve"> and </w:t>
      </w:r>
      <w:r w:rsidRPr="001A3D2B">
        <w:rPr>
          <w:kern w:val="0"/>
        </w:rPr>
        <w:t>uniform treatment modalities are obligatory to confirm these results</w:t>
      </w:r>
      <w:r w:rsidR="005853A9">
        <w:rPr>
          <w:kern w:val="0"/>
        </w:rPr>
        <w:t xml:space="preserve"> and </w:t>
      </w:r>
      <w:r w:rsidRPr="001A3D2B">
        <w:rPr>
          <w:kern w:val="0"/>
        </w:rPr>
        <w:t>to obtain a better understanding</w:t>
      </w:r>
      <w:r w:rsidR="00427468">
        <w:rPr>
          <w:kern w:val="0"/>
        </w:rPr>
        <w:t xml:space="preserve"> of </w:t>
      </w:r>
      <w:r w:rsidRPr="001A3D2B">
        <w:rPr>
          <w:kern w:val="0"/>
        </w:rPr>
        <w:t>this disastrous complication.</w:t>
      </w:r>
    </w:p>
    <w:p w:rsidR="00454570" w:rsidRPr="001A3D2B" w:rsidRDefault="00454570" w:rsidP="00454570">
      <w:pPr>
        <w:pStyle w:val="a3"/>
        <w:rPr>
          <w:kern w:val="0"/>
        </w:rPr>
      </w:pPr>
      <w:r w:rsidRPr="001A3D2B">
        <w:rPr>
          <w:kern w:val="0"/>
        </w:rPr>
        <w:t>Keywords: Biliary Complications, Blood-Flow, Clinical Presentation, Complications, Hepatic Artery, Hepatic Artery Thrombosis, Implantable Doppler Probe, Liver Graft Survival, Liver Transplantation, Living-Related Donors, Mortality, Outcomes, Reduced-Size, Risk Factor, Risk Factors, Single-Center Experience, Solid Organ Transplantation, Systematic Review, Thrombosis, Thrombotic Complications, Thrombus, United-States, Urgent Revascularization, Vascular Complications</w:t>
      </w:r>
    </w:p>
    <w:p w:rsidR="00F14A6C" w:rsidRPr="00F219CA" w:rsidRDefault="00F14A6C" w:rsidP="00F14A6C">
      <w:pPr>
        <w:pStyle w:val="1"/>
      </w:pPr>
      <w:r w:rsidRPr="00F219CA">
        <w:br w:type="page"/>
      </w:r>
      <w:bookmarkStart w:id="347" w:name="_Toc420814438"/>
      <w:r w:rsidRPr="00F219CA">
        <w:lastRenderedPageBreak/>
        <w:t>Title: American Journal</w:t>
      </w:r>
      <w:r w:rsidR="00427468">
        <w:t xml:space="preserve"> of </w:t>
      </w:r>
      <w:r w:rsidRPr="00F219CA">
        <w:t>Tropica</w:t>
      </w:r>
      <w:bookmarkStart w:id="348" w:name="_Toc302218396"/>
      <w:r w:rsidRPr="00F219CA">
        <w:t>l Medicine</w:t>
      </w:r>
      <w:r w:rsidR="005853A9">
        <w:t xml:space="preserve"> and </w:t>
      </w:r>
      <w:r w:rsidRPr="00F219CA">
        <w:t>Hygiene</w:t>
      </w:r>
      <w:bookmarkEnd w:id="347"/>
    </w:p>
    <w:p w:rsidR="00F14A6C" w:rsidRPr="00F219CA" w:rsidRDefault="00F14A6C" w:rsidP="00F14A6C">
      <w:pPr>
        <w:pStyle w:val="12"/>
      </w:pPr>
      <w:r w:rsidRPr="00F219CA">
        <w:t>Full Journal Title: American Jour</w:t>
      </w:r>
      <w:bookmarkEnd w:id="348"/>
      <w:r w:rsidRPr="00F219CA">
        <w:t>nal</w:t>
      </w:r>
      <w:r w:rsidR="00427468">
        <w:t xml:space="preserve"> of </w:t>
      </w:r>
      <w:r w:rsidRPr="00F219CA">
        <w:t>Tropical Medicine</w:t>
      </w:r>
      <w:r w:rsidR="005853A9">
        <w:t xml:space="preserve"> and </w:t>
      </w:r>
      <w:r w:rsidRPr="00F219CA">
        <w:t>Hygiene</w:t>
      </w:r>
    </w:p>
    <w:p w:rsidR="00F14A6C" w:rsidRPr="00F219CA" w:rsidRDefault="00F14A6C" w:rsidP="00F14A6C">
      <w:pPr>
        <w:pStyle w:val="12"/>
      </w:pPr>
      <w:r w:rsidRPr="00F219CA">
        <w:t>ISO Abbreviated Title: Am. J. Trop. Med. Hyg.</w:t>
      </w:r>
    </w:p>
    <w:p w:rsidR="00F14A6C" w:rsidRPr="00F219CA" w:rsidRDefault="00F14A6C" w:rsidP="00F14A6C">
      <w:pPr>
        <w:pStyle w:val="12"/>
      </w:pPr>
      <w:r w:rsidRPr="00F219CA">
        <w:t>JCR Abbreviated Title: Am J Trop Med Hyg</w:t>
      </w:r>
    </w:p>
    <w:p w:rsidR="00F14A6C" w:rsidRPr="00F219CA" w:rsidRDefault="00F14A6C" w:rsidP="00F14A6C">
      <w:pPr>
        <w:pStyle w:val="12"/>
      </w:pPr>
      <w:r w:rsidRPr="00F219CA">
        <w:t>ISSN: 0002-9637</w:t>
      </w:r>
    </w:p>
    <w:p w:rsidR="00F14A6C" w:rsidRPr="00F219CA" w:rsidRDefault="00F14A6C" w:rsidP="00F14A6C">
      <w:pPr>
        <w:pStyle w:val="12"/>
      </w:pPr>
      <w:r w:rsidRPr="00F219CA">
        <w:t>Issues/Year: 12</w:t>
      </w:r>
    </w:p>
    <w:p w:rsidR="00F14A6C" w:rsidRPr="00F219CA" w:rsidRDefault="00F14A6C" w:rsidP="00F14A6C">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F14A6C" w:rsidRPr="00F219CA" w:rsidRDefault="00F14A6C" w:rsidP="00F14A6C">
      <w:pPr>
        <w:pStyle w:val="12"/>
      </w:pPr>
      <w:r w:rsidRPr="00F219CA">
        <w:t>Language: English</w:t>
      </w:r>
    </w:p>
    <w:p w:rsidR="00F14A6C" w:rsidRPr="00F219CA" w:rsidRDefault="00F14A6C" w:rsidP="00F14A6C">
      <w:pPr>
        <w:pStyle w:val="12"/>
      </w:pPr>
      <w:r w:rsidRPr="00F219CA">
        <w:t>Publisher: Amer Soc Trop Med &amp; Hygiene</w:t>
      </w:r>
    </w:p>
    <w:p w:rsidR="00F14A6C" w:rsidRPr="00F219CA" w:rsidRDefault="00F14A6C" w:rsidP="00F14A6C">
      <w:pPr>
        <w:pStyle w:val="12"/>
      </w:pPr>
      <w:r w:rsidRPr="00F219CA">
        <w:t xml:space="preserve">Publisher Address: 8000 Westpark Drive Suite 130, Mclean, VA </w:t>
      </w:r>
      <w:smartTag w:uri="urn:schemas-microsoft-com:office:smarttags" w:element="PostalCode">
        <w:r w:rsidRPr="00F219CA">
          <w:t>22101</w:t>
        </w:r>
      </w:smartTag>
    </w:p>
    <w:p w:rsidR="00F14A6C" w:rsidRPr="00F219CA" w:rsidRDefault="00F14A6C" w:rsidP="00F14A6C">
      <w:pPr>
        <w:pStyle w:val="12"/>
      </w:pPr>
      <w:r w:rsidRPr="00F219CA">
        <w:t xml:space="preserve">Subject Categories: </w:t>
      </w:r>
    </w:p>
    <w:p w:rsidR="00F14A6C" w:rsidRPr="00F219CA" w:rsidRDefault="00F14A6C" w:rsidP="00F14A6C">
      <w:pPr>
        <w:pStyle w:val="12"/>
      </w:pPr>
      <w:r w:rsidRPr="00F219CA">
        <w:t>Public, Environmental &amp; Occupational Health: Impact Factor 1.932, 18/85 (2000); Impact Factor 2.126, 15/88 (2001)</w:t>
      </w:r>
    </w:p>
    <w:p w:rsidR="00F14A6C" w:rsidRPr="00F219CA" w:rsidRDefault="00F14A6C" w:rsidP="00F14A6C">
      <w:pPr>
        <w:pStyle w:val="12"/>
      </w:pPr>
      <w:r w:rsidRPr="00F219CA">
        <w:t>Tropical Medicine: Impact Factor 1.932 (2000); Impact Factor 2.126, 1/12 (2001)</w:t>
      </w:r>
    </w:p>
    <w:p w:rsidR="00F14A6C" w:rsidRDefault="00F14A6C" w:rsidP="00F14A6C">
      <w:pPr>
        <w:pStyle w:val="a3"/>
        <w:rPr>
          <w:kern w:val="0"/>
        </w:rPr>
      </w:pPr>
      <w:r>
        <w:rPr>
          <w:rFonts w:hint="eastAsia"/>
          <w:kern w:val="0"/>
        </w:rPr>
        <w:t xml:space="preserve">? </w:t>
      </w:r>
      <w:r>
        <w:rPr>
          <w:kern w:val="0"/>
        </w:rPr>
        <w:t>Amato, V.S., Tuon, F.F., Siqueira, A.M., Nicodemo, A.C.</w:t>
      </w:r>
      <w:r w:rsidR="005853A9">
        <w:rPr>
          <w:kern w:val="0"/>
        </w:rPr>
        <w:t xml:space="preserve"> and </w:t>
      </w:r>
      <w:r>
        <w:rPr>
          <w:kern w:val="0"/>
        </w:rPr>
        <w:t>Neto, V.A. (2007), Treatment</w:t>
      </w:r>
      <w:r w:rsidR="00427468">
        <w:rPr>
          <w:kern w:val="0"/>
        </w:rPr>
        <w:t xml:space="preserve"> of </w:t>
      </w:r>
      <w:r>
        <w:rPr>
          <w:kern w:val="0"/>
        </w:rPr>
        <w:t xml:space="preserve">mucosal leishmaniasis in Latin america: Systematic review. </w:t>
      </w:r>
      <w:r>
        <w:rPr>
          <w:i/>
          <w:iCs/>
          <w:kern w:val="0"/>
        </w:rPr>
        <w:t>American Journal</w:t>
      </w:r>
      <w:r w:rsidR="00427468">
        <w:rPr>
          <w:i/>
          <w:iCs/>
          <w:kern w:val="0"/>
        </w:rPr>
        <w:t xml:space="preserve"> of </w:t>
      </w:r>
      <w:r>
        <w:rPr>
          <w:i/>
          <w:iCs/>
          <w:kern w:val="0"/>
        </w:rPr>
        <w:t>Tropical Medicine</w:t>
      </w:r>
      <w:r w:rsidR="005853A9">
        <w:rPr>
          <w:i/>
          <w:iCs/>
          <w:kern w:val="0"/>
        </w:rPr>
        <w:t xml:space="preserve"> and </w:t>
      </w:r>
      <w:r>
        <w:rPr>
          <w:i/>
          <w:iCs/>
          <w:kern w:val="0"/>
        </w:rPr>
        <w:t>Hygiene</w:t>
      </w:r>
      <w:r>
        <w:rPr>
          <w:kern w:val="0"/>
        </w:rPr>
        <w:t xml:space="preserve">, </w:t>
      </w:r>
      <w:r>
        <w:rPr>
          <w:b/>
          <w:bCs/>
          <w:kern w:val="0"/>
        </w:rPr>
        <w:t>77</w:t>
      </w:r>
      <w:r>
        <w:rPr>
          <w:kern w:val="0"/>
        </w:rPr>
        <w:t xml:space="preserve"> (2), 266-274.</w:t>
      </w:r>
    </w:p>
    <w:p w:rsidR="00F14A6C" w:rsidRDefault="00F14A6C" w:rsidP="00F14A6C">
      <w:pPr>
        <w:pStyle w:val="a3"/>
        <w:rPr>
          <w:kern w:val="0"/>
        </w:rPr>
      </w:pPr>
      <w:r>
        <w:rPr>
          <w:kern w:val="0"/>
        </w:rPr>
        <w:t>Abstract: Mucosal leishmaniasis (ML) is an important endemic disease</w:t>
      </w:r>
      <w:r w:rsidR="005853A9">
        <w:rPr>
          <w:kern w:val="0"/>
        </w:rPr>
        <w:t xml:space="preserve"> and </w:t>
      </w:r>
      <w:r>
        <w:rPr>
          <w:kern w:val="0"/>
        </w:rPr>
        <w:t>public-health problem in underdeveloped countries because</w:t>
      </w:r>
      <w:r w:rsidR="00427468">
        <w:rPr>
          <w:kern w:val="0"/>
        </w:rPr>
        <w:t xml:space="preserve"> of </w:t>
      </w:r>
      <w:r>
        <w:rPr>
          <w:kern w:val="0"/>
        </w:rPr>
        <w:t>its significant morbidity</w:t>
      </w:r>
      <w:r w:rsidR="005853A9">
        <w:rPr>
          <w:kern w:val="0"/>
        </w:rPr>
        <w:t xml:space="preserve"> and </w:t>
      </w:r>
      <w:r>
        <w:rPr>
          <w:kern w:val="0"/>
        </w:rPr>
        <w:t>mortality. Increases in ecological tourism have extended this problem to developed countries. This form</w:t>
      </w:r>
      <w:r w:rsidR="00427468">
        <w:rPr>
          <w:kern w:val="0"/>
        </w:rPr>
        <w:t xml:space="preserve"> of </w:t>
      </w:r>
      <w:r>
        <w:rPr>
          <w:kern w:val="0"/>
        </w:rPr>
        <w:t>leishmaniasis, caused by reactivation after primary cutaneous lesion, has a natural history</w:t>
      </w:r>
      <w:r w:rsidR="00427468">
        <w:rPr>
          <w:kern w:val="0"/>
        </w:rPr>
        <w:t xml:space="preserve"> of </w:t>
      </w:r>
      <w:r>
        <w:rPr>
          <w:kern w:val="0"/>
        </w:rPr>
        <w:t>progressive destruction</w:t>
      </w:r>
      <w:r w:rsidR="00427468">
        <w:rPr>
          <w:kern w:val="0"/>
        </w:rPr>
        <w:t xml:space="preserve"> of </w:t>
      </w:r>
      <w:r w:rsidR="003A1917">
        <w:rPr>
          <w:kern w:val="0"/>
        </w:rPr>
        <w:t xml:space="preserve">the </w:t>
      </w:r>
      <w:r>
        <w:rPr>
          <w:kern w:val="0"/>
        </w:rPr>
        <w:t>nasal septa</w:t>
      </w:r>
      <w:r w:rsidR="005853A9">
        <w:rPr>
          <w:kern w:val="0"/>
        </w:rPr>
        <w:t xml:space="preserve"> and </w:t>
      </w:r>
      <w:r>
        <w:rPr>
          <w:kern w:val="0"/>
        </w:rPr>
        <w:t>soft</w:t>
      </w:r>
      <w:r w:rsidR="005853A9">
        <w:rPr>
          <w:kern w:val="0"/>
        </w:rPr>
        <w:t xml:space="preserve"> and </w:t>
      </w:r>
      <w:r>
        <w:rPr>
          <w:kern w:val="0"/>
        </w:rPr>
        <w:t>hard palates, causing facial disfiguration</w:t>
      </w:r>
      <w:r w:rsidR="005853A9">
        <w:rPr>
          <w:kern w:val="0"/>
        </w:rPr>
        <w:t xml:space="preserve"> and </w:t>
      </w:r>
      <w:r>
        <w:rPr>
          <w:kern w:val="0"/>
        </w:rPr>
        <w:t>leading to respiratory disturbances. Treatment</w:t>
      </w:r>
      <w:r w:rsidR="00427468">
        <w:rPr>
          <w:kern w:val="0"/>
        </w:rPr>
        <w:t xml:space="preserve"> of </w:t>
      </w:r>
      <w:r>
        <w:rPr>
          <w:kern w:val="0"/>
        </w:rPr>
        <w:t>ML, based on several therapies, depends on use</w:t>
      </w:r>
      <w:r w:rsidR="00427468">
        <w:rPr>
          <w:kern w:val="0"/>
        </w:rPr>
        <w:t xml:space="preserve"> of </w:t>
      </w:r>
      <w:r>
        <w:rPr>
          <w:kern w:val="0"/>
        </w:rPr>
        <w:t>toxic compounds,</w:t>
      </w:r>
      <w:r w:rsidR="005853A9">
        <w:rPr>
          <w:kern w:val="0"/>
        </w:rPr>
        <w:t xml:space="preserve"> and </w:t>
      </w:r>
      <w:r>
        <w:rPr>
          <w:kern w:val="0"/>
        </w:rPr>
        <w:t>few drugs have emerged over</w:t>
      </w:r>
      <w:r w:rsidR="003A1917">
        <w:rPr>
          <w:kern w:val="0"/>
        </w:rPr>
        <w:t xml:space="preserve"> the </w:t>
      </w:r>
      <w:r>
        <w:rPr>
          <w:kern w:val="0"/>
        </w:rPr>
        <w:t>past 40 years. Drug resistance has increased,</w:t>
      </w:r>
      <w:r w:rsidR="005853A9">
        <w:rPr>
          <w:kern w:val="0"/>
        </w:rPr>
        <w:t xml:space="preserve"> and </w:t>
      </w:r>
      <w:r w:rsidR="003A1917">
        <w:rPr>
          <w:kern w:val="0"/>
        </w:rPr>
        <w:t xml:space="preserve">the </w:t>
      </w:r>
      <w:r>
        <w:rPr>
          <w:kern w:val="0"/>
        </w:rPr>
        <w:t>cure rate is no better than 70% in</w:t>
      </w:r>
      <w:r w:rsidR="003A1917">
        <w:rPr>
          <w:kern w:val="0"/>
        </w:rPr>
        <w:t xml:space="preserve"> the </w:t>
      </w:r>
      <w:r>
        <w:rPr>
          <w:kern w:val="0"/>
        </w:rPr>
        <w:t>largest studies. Despite these data, there has been no systematic review</w:t>
      </w:r>
      <w:r w:rsidR="00427468">
        <w:rPr>
          <w:kern w:val="0"/>
        </w:rPr>
        <w:t xml:space="preserve"> of </w:t>
      </w:r>
      <w:r>
        <w:rPr>
          <w:kern w:val="0"/>
        </w:rPr>
        <w:t>therapies used to treat this important tropical disease</w:t>
      </w:r>
      <w:r w:rsidR="00A37C1D">
        <w:rPr>
          <w:kern w:val="0"/>
        </w:rPr>
        <w:t>. The</w:t>
      </w:r>
      <w:r w:rsidR="003A1917">
        <w:rPr>
          <w:kern w:val="0"/>
        </w:rPr>
        <w:t xml:space="preserve"> </w:t>
      </w:r>
      <w:r>
        <w:rPr>
          <w:kern w:val="0"/>
        </w:rPr>
        <w:t>aim</w:t>
      </w:r>
      <w:r w:rsidR="00427468">
        <w:rPr>
          <w:kern w:val="0"/>
        </w:rPr>
        <w:t xml:space="preserve"> of </w:t>
      </w:r>
      <w:r>
        <w:rPr>
          <w:kern w:val="0"/>
        </w:rPr>
        <w:t>this study is to determine</w:t>
      </w:r>
      <w:r w:rsidR="003A1917">
        <w:rPr>
          <w:kern w:val="0"/>
        </w:rPr>
        <w:t xml:space="preserve"> the </w:t>
      </w:r>
      <w:r>
        <w:rPr>
          <w:kern w:val="0"/>
        </w:rPr>
        <w:t>best drug management for treatment</w:t>
      </w:r>
      <w:r w:rsidR="00427468">
        <w:rPr>
          <w:kern w:val="0"/>
        </w:rPr>
        <w:t xml:space="preserve"> of </w:t>
      </w:r>
      <w:r>
        <w:rPr>
          <w:kern w:val="0"/>
        </w:rPr>
        <w:t>ML in Latin America based on</w:t>
      </w:r>
      <w:r w:rsidR="003A1917">
        <w:rPr>
          <w:kern w:val="0"/>
        </w:rPr>
        <w:t xml:space="preserve"> the </w:t>
      </w:r>
      <w:r>
        <w:rPr>
          <w:kern w:val="0"/>
        </w:rPr>
        <w:t>best studies offered by</w:t>
      </w:r>
      <w:r w:rsidR="003A1917">
        <w:rPr>
          <w:kern w:val="0"/>
        </w:rPr>
        <w:t xml:space="preserve"> the </w:t>
      </w:r>
      <w:r>
        <w:rPr>
          <w:kern w:val="0"/>
        </w:rPr>
        <w:t>medical literature</w:t>
      </w:r>
      <w:r w:rsidR="00A37C1D">
        <w:rPr>
          <w:kern w:val="0"/>
        </w:rPr>
        <w:t>. The</w:t>
      </w:r>
      <w:r w:rsidR="003A1917">
        <w:rPr>
          <w:kern w:val="0"/>
        </w:rPr>
        <w:t xml:space="preserve"> </w:t>
      </w:r>
      <w:r w:rsidR="00D5664A">
        <w:rPr>
          <w:kern w:val="0"/>
        </w:rPr>
        <w:t>MEDLINE</w:t>
      </w:r>
      <w:r>
        <w:rPr>
          <w:kern w:val="0"/>
        </w:rPr>
        <w:t xml:space="preserve">, LILACS,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Cochrane Library databases were searched to identify articles related to ML</w:t>
      </w:r>
      <w:r w:rsidR="005853A9">
        <w:rPr>
          <w:kern w:val="0"/>
        </w:rPr>
        <w:t xml:space="preserve"> and </w:t>
      </w:r>
      <w:r>
        <w:rPr>
          <w:kern w:val="0"/>
        </w:rPr>
        <w:t>therapy</w:t>
      </w:r>
      <w:r w:rsidR="00A37C1D">
        <w:rPr>
          <w:kern w:val="0"/>
        </w:rPr>
        <w:t>. The</w:t>
      </w:r>
      <w:r w:rsidR="003A1917">
        <w:rPr>
          <w:kern w:val="0"/>
        </w:rPr>
        <w:t xml:space="preserve"> </w:t>
      </w:r>
      <w:r>
        <w:rPr>
          <w:kern w:val="0"/>
        </w:rPr>
        <w:t>studies were independently selected by 2 authors. Articles with sufficient data for cure</w:t>
      </w:r>
      <w:r w:rsidR="005853A9">
        <w:rPr>
          <w:kern w:val="0"/>
        </w:rPr>
        <w:t xml:space="preserve"> and </w:t>
      </w:r>
      <w:r>
        <w:rPr>
          <w:kern w:val="0"/>
        </w:rPr>
        <w:t>treatment failures, internal</w:t>
      </w:r>
      <w:r w:rsidR="005853A9">
        <w:rPr>
          <w:kern w:val="0"/>
        </w:rPr>
        <w:t xml:space="preserve"> and </w:t>
      </w:r>
      <w:r>
        <w:rPr>
          <w:kern w:val="0"/>
        </w:rPr>
        <w:t>external validity information,</w:t>
      </w:r>
      <w:r w:rsidR="005853A9">
        <w:rPr>
          <w:kern w:val="0"/>
        </w:rPr>
        <w:t xml:space="preserve"> and </w:t>
      </w:r>
      <w:r>
        <w:rPr>
          <w:kern w:val="0"/>
        </w:rPr>
        <w:t>&gt; 4 patients in each treatment were included. Validation</w:t>
      </w:r>
      <w:r w:rsidR="00427468">
        <w:rPr>
          <w:kern w:val="0"/>
        </w:rPr>
        <w:t xml:space="preserve"> of </w:t>
      </w:r>
      <w:r>
        <w:rPr>
          <w:kern w:val="0"/>
        </w:rPr>
        <w:t>this systematic review was based on guidelines to guarantee quality; 22 articles met our inclusion criteria. Stibogluconate achieved a 51% cure rate (76/150 patients),</w:t>
      </w:r>
      <w:r w:rsidR="005853A9">
        <w:rPr>
          <w:kern w:val="0"/>
        </w:rPr>
        <w:t xml:space="preserve"> and </w:t>
      </w:r>
      <w:r>
        <w:rPr>
          <w:kern w:val="0"/>
        </w:rPr>
        <w:t>88%</w:t>
      </w:r>
      <w:r w:rsidR="00427468">
        <w:rPr>
          <w:kern w:val="0"/>
        </w:rPr>
        <w:t xml:space="preserve"> of </w:t>
      </w:r>
      <w:r>
        <w:rPr>
          <w:kern w:val="0"/>
        </w:rPr>
        <w:t>patients treated with meglumine were cured (121 patients). Pentamidine</w:t>
      </w:r>
      <w:r w:rsidR="005853A9">
        <w:rPr>
          <w:kern w:val="0"/>
        </w:rPr>
        <w:t xml:space="preserve"> and </w:t>
      </w:r>
      <w:r>
        <w:rPr>
          <w:kern w:val="0"/>
        </w:rPr>
        <w:t xml:space="preserve">amphotericin </w:t>
      </w:r>
      <w:r>
        <w:rPr>
          <w:kern w:val="0"/>
        </w:rPr>
        <w:lastRenderedPageBreak/>
        <w:t>were as effective as meglumine. Use</w:t>
      </w:r>
      <w:r w:rsidR="00427468">
        <w:rPr>
          <w:kern w:val="0"/>
        </w:rPr>
        <w:t xml:space="preserve"> of </w:t>
      </w:r>
      <w:r>
        <w:rPr>
          <w:kern w:val="0"/>
        </w:rPr>
        <w:t>itraconazole</w:t>
      </w:r>
      <w:r w:rsidR="005853A9">
        <w:rPr>
          <w:kern w:val="0"/>
        </w:rPr>
        <w:t xml:space="preserve"> and </w:t>
      </w:r>
      <w:r>
        <w:rPr>
          <w:kern w:val="0"/>
        </w:rPr>
        <w:t>other therapies (pentoxifylline, allopurinol, or interferon-gamma) was controversial,</w:t>
      </w:r>
      <w:r w:rsidR="005853A9">
        <w:rPr>
          <w:kern w:val="0"/>
        </w:rPr>
        <w:t xml:space="preserve"> and </w:t>
      </w:r>
      <w:r>
        <w:rPr>
          <w:kern w:val="0"/>
        </w:rPr>
        <w:t>numbers</w:t>
      </w:r>
      <w:r w:rsidR="00427468">
        <w:rPr>
          <w:kern w:val="0"/>
        </w:rPr>
        <w:t xml:space="preserve"> of </w:t>
      </w:r>
      <w:r>
        <w:rPr>
          <w:kern w:val="0"/>
        </w:rPr>
        <w:t>patients in some studies were insufficient for statistical analysis. Meglumine may be</w:t>
      </w:r>
      <w:r w:rsidR="003A1917">
        <w:rPr>
          <w:kern w:val="0"/>
        </w:rPr>
        <w:t xml:space="preserve"> the </w:t>
      </w:r>
      <w:r>
        <w:rPr>
          <w:kern w:val="0"/>
        </w:rPr>
        <w:t>drug</w:t>
      </w:r>
      <w:r w:rsidR="00427468">
        <w:rPr>
          <w:kern w:val="0"/>
        </w:rPr>
        <w:t xml:space="preserve"> of </w:t>
      </w:r>
      <w:r>
        <w:rPr>
          <w:kern w:val="0"/>
        </w:rPr>
        <w:t>choice in</w:t>
      </w:r>
      <w:r w:rsidR="003A1917">
        <w:rPr>
          <w:kern w:val="0"/>
        </w:rPr>
        <w:t xml:space="preserve"> the </w:t>
      </w:r>
      <w:r>
        <w:rPr>
          <w:kern w:val="0"/>
        </w:rPr>
        <w:t>treatment</w:t>
      </w:r>
      <w:r w:rsidR="00427468">
        <w:rPr>
          <w:kern w:val="0"/>
        </w:rPr>
        <w:t xml:space="preserve"> of </w:t>
      </w:r>
      <w:r>
        <w:rPr>
          <w:kern w:val="0"/>
        </w:rPr>
        <w:t>ML, as it offers similar cure rates when compared with amphotericin B</w:t>
      </w:r>
      <w:r w:rsidR="005853A9">
        <w:rPr>
          <w:kern w:val="0"/>
        </w:rPr>
        <w:t xml:space="preserve"> and </w:t>
      </w:r>
      <w:r>
        <w:rPr>
          <w:kern w:val="0"/>
        </w:rPr>
        <w:t>pentamidine. Cost, adverse effects, local experience,</w:t>
      </w:r>
      <w:r w:rsidR="005853A9">
        <w:rPr>
          <w:kern w:val="0"/>
        </w:rPr>
        <w:t xml:space="preserve"> and </w:t>
      </w:r>
      <w:r>
        <w:rPr>
          <w:kern w:val="0"/>
        </w:rPr>
        <w:t>availability</w:t>
      </w:r>
      <w:r w:rsidR="00427468">
        <w:rPr>
          <w:kern w:val="0"/>
        </w:rPr>
        <w:t xml:space="preserve"> of </w:t>
      </w:r>
      <w:r>
        <w:rPr>
          <w:kern w:val="0"/>
        </w:rPr>
        <w:t>drugs to treat ML are strong points to be considered before determining</w:t>
      </w:r>
      <w:r w:rsidR="003A1917">
        <w:rPr>
          <w:kern w:val="0"/>
        </w:rPr>
        <w:t xml:space="preserve"> the </w:t>
      </w:r>
      <w:r>
        <w:rPr>
          <w:kern w:val="0"/>
        </w:rPr>
        <w:t>best management</w:t>
      </w:r>
      <w:r w:rsidR="00427468">
        <w:rPr>
          <w:kern w:val="0"/>
        </w:rPr>
        <w:t xml:space="preserve"> of </w:t>
      </w:r>
      <w:r>
        <w:rPr>
          <w:kern w:val="0"/>
        </w:rPr>
        <w:t>this disease, especially in developing countries.</w:t>
      </w:r>
    </w:p>
    <w:p w:rsidR="00F14A6C" w:rsidRDefault="00F14A6C" w:rsidP="00F14A6C">
      <w:pPr>
        <w:pStyle w:val="a3"/>
        <w:rPr>
          <w:kern w:val="0"/>
        </w:rPr>
      </w:pPr>
      <w:r>
        <w:rPr>
          <w:kern w:val="0"/>
        </w:rPr>
        <w:t xml:space="preserve">Keywords: Adverse Effects, Allopurinol, Amphotericin-B, Analysis, Articles, Authors, Braziliensis-Braziliensis, Cochrane, Cutaneous Leishmaniasis, Databases, Developing Countries, Disease, Drug, Drug Resistance, Efficacy, Embase, Guidelines, History, Information, Itraconazole, Latin America, Literature, Management, Medical, </w:t>
      </w:r>
      <w:r w:rsidR="00D5664A">
        <w:rPr>
          <w:kern w:val="0"/>
        </w:rPr>
        <w:t>MEDLINE</w:t>
      </w:r>
      <w:r>
        <w:rPr>
          <w:kern w:val="0"/>
        </w:rPr>
        <w:t xml:space="preserve">, Meglumine Antimoniate, Morbidity, Mortality, Mucocutaneous Leishmaniasis, Points, Primary, Public Health, Resistance, Review, Science, Sodium Stibogluconate, Statistical, Systematic, Systematic Review, Therapy, Transplant Recipient, Treatment, Validation, Validity, </w:t>
      </w:r>
      <w:r w:rsidR="00D5664A">
        <w:rPr>
          <w:kern w:val="0"/>
        </w:rPr>
        <w:t>Web</w:t>
      </w:r>
      <w:r w:rsidR="00427468">
        <w:rPr>
          <w:kern w:val="0"/>
        </w:rPr>
        <w:t xml:space="preserve"> of </w:t>
      </w:r>
      <w:r w:rsidR="00D5664A">
        <w:rPr>
          <w:kern w:val="0"/>
        </w:rPr>
        <w:t>Science</w:t>
      </w:r>
    </w:p>
    <w:p w:rsidR="003A4CEB" w:rsidRPr="00F219CA" w:rsidRDefault="003A4CEB" w:rsidP="003A4CEB">
      <w:pPr>
        <w:pStyle w:val="1"/>
      </w:pPr>
      <w:r w:rsidRPr="00F219CA">
        <w:br w:type="page"/>
      </w:r>
      <w:bookmarkStart w:id="349" w:name="_Toc360405981"/>
      <w:bookmarkStart w:id="350" w:name="_Toc420814439"/>
      <w:r w:rsidRPr="00F219CA">
        <w:lastRenderedPageBreak/>
        <w:t>Title: American Mineralogist</w:t>
      </w:r>
      <w:bookmarkEnd w:id="349"/>
      <w:bookmarkEnd w:id="350"/>
    </w:p>
    <w:p w:rsidR="003A4CEB" w:rsidRPr="00F219CA" w:rsidRDefault="003A4CEB" w:rsidP="003A4CEB">
      <w:pPr>
        <w:pStyle w:val="12"/>
      </w:pPr>
      <w:r w:rsidRPr="00F219CA">
        <w:t>Full Journal Title: American Mineralogist</w:t>
      </w:r>
    </w:p>
    <w:p w:rsidR="003A4CEB" w:rsidRPr="00F219CA" w:rsidRDefault="003A4CEB" w:rsidP="003A4CEB">
      <w:pPr>
        <w:pStyle w:val="12"/>
      </w:pPr>
      <w:r w:rsidRPr="00F219CA">
        <w:t xml:space="preserve">ISO Abbreviated Title: </w:t>
      </w:r>
    </w:p>
    <w:p w:rsidR="003A4CEB" w:rsidRPr="00F219CA" w:rsidRDefault="003A4CEB" w:rsidP="003A4CEB">
      <w:pPr>
        <w:pStyle w:val="12"/>
      </w:pPr>
      <w:r w:rsidRPr="00F219CA">
        <w:t xml:space="preserve">JCR Abbreviated Title: </w:t>
      </w:r>
    </w:p>
    <w:p w:rsidR="003A4CEB" w:rsidRPr="00F219CA" w:rsidRDefault="003A4CEB" w:rsidP="003A4CEB">
      <w:pPr>
        <w:pStyle w:val="12"/>
      </w:pPr>
      <w:r w:rsidRPr="00F219CA">
        <w:t>ISSN: 0003-004X</w:t>
      </w:r>
    </w:p>
    <w:p w:rsidR="003A4CEB" w:rsidRPr="00F219CA" w:rsidRDefault="003A4CEB" w:rsidP="003A4CEB">
      <w:pPr>
        <w:pStyle w:val="12"/>
      </w:pPr>
      <w:r w:rsidRPr="00F219CA">
        <w:t xml:space="preserve">Issues/Year: </w:t>
      </w:r>
    </w:p>
    <w:p w:rsidR="003A4CEB" w:rsidRPr="00F219CA" w:rsidRDefault="003A4CEB" w:rsidP="003A4CEB">
      <w:pPr>
        <w:pStyle w:val="12"/>
      </w:pPr>
      <w:r w:rsidRPr="00F219CA">
        <w:t xml:space="preserve">Journal Country/Territory: </w:t>
      </w:r>
    </w:p>
    <w:p w:rsidR="003A4CEB" w:rsidRPr="00F219CA" w:rsidRDefault="003A4CEB" w:rsidP="003A4CEB">
      <w:pPr>
        <w:pStyle w:val="12"/>
      </w:pPr>
      <w:r w:rsidRPr="00F219CA">
        <w:t xml:space="preserve">Language: </w:t>
      </w:r>
    </w:p>
    <w:p w:rsidR="003A4CEB" w:rsidRPr="00F219CA" w:rsidRDefault="003A4CEB" w:rsidP="003A4CEB">
      <w:pPr>
        <w:pStyle w:val="12"/>
      </w:pPr>
      <w:r w:rsidRPr="00F219CA">
        <w:t xml:space="preserve">Publisher: </w:t>
      </w:r>
    </w:p>
    <w:p w:rsidR="003A4CEB" w:rsidRPr="00F219CA" w:rsidRDefault="003A4CEB" w:rsidP="003A4CEB">
      <w:pPr>
        <w:pStyle w:val="12"/>
      </w:pPr>
      <w:r w:rsidRPr="00F219CA">
        <w:t xml:space="preserve">Publisher Address: </w:t>
      </w:r>
    </w:p>
    <w:p w:rsidR="003A4CEB" w:rsidRPr="00F219CA" w:rsidRDefault="003A4CEB" w:rsidP="003A4CEB">
      <w:pPr>
        <w:pStyle w:val="12"/>
      </w:pPr>
      <w:r w:rsidRPr="00F219CA">
        <w:t xml:space="preserve">Subject Categories: </w:t>
      </w:r>
    </w:p>
    <w:p w:rsidR="003A4CEB" w:rsidRPr="00F219CA" w:rsidRDefault="003A4CEB" w:rsidP="003A4CEB">
      <w:pPr>
        <w:pStyle w:val="12"/>
      </w:pPr>
      <w:r w:rsidRPr="00F219CA">
        <w:t xml:space="preserve">: Impact Factor </w:t>
      </w:r>
    </w:p>
    <w:p w:rsidR="003A4CEB" w:rsidRDefault="003A4CEB" w:rsidP="003A4CEB">
      <w:pPr>
        <w:pStyle w:val="a3"/>
        <w:rPr>
          <w:kern w:val="0"/>
        </w:rPr>
      </w:pPr>
      <w:r>
        <w:rPr>
          <w:rFonts w:hint="eastAsia"/>
          <w:kern w:val="0"/>
        </w:rPr>
        <w:t xml:space="preserve">? </w:t>
      </w:r>
      <w:r>
        <w:rPr>
          <w:kern w:val="0"/>
        </w:rPr>
        <w:t>Putirka, K., Kunz, M., Swainson, I.</w:t>
      </w:r>
      <w:r w:rsidR="005853A9">
        <w:rPr>
          <w:kern w:val="0"/>
        </w:rPr>
        <w:t xml:space="preserve"> and </w:t>
      </w:r>
      <w:r>
        <w:rPr>
          <w:kern w:val="0"/>
        </w:rPr>
        <w:t>Thomson, J. (2013), Journal Impact Factors: Their relevance</w:t>
      </w:r>
      <w:r w:rsidR="005853A9">
        <w:rPr>
          <w:kern w:val="0"/>
        </w:rPr>
        <w:t xml:space="preserve"> and </w:t>
      </w:r>
      <w:r>
        <w:rPr>
          <w:kern w:val="0"/>
        </w:rPr>
        <w:t xml:space="preserve">their influence on society-published scientific journals. </w:t>
      </w:r>
      <w:r>
        <w:rPr>
          <w:i/>
          <w:iCs/>
          <w:kern w:val="0"/>
        </w:rPr>
        <w:t>American Mineralogist</w:t>
      </w:r>
      <w:r>
        <w:rPr>
          <w:kern w:val="0"/>
        </w:rPr>
        <w:t xml:space="preserve">, </w:t>
      </w:r>
      <w:r>
        <w:rPr>
          <w:b/>
          <w:bCs/>
          <w:kern w:val="0"/>
        </w:rPr>
        <w:t>98</w:t>
      </w:r>
      <w:r>
        <w:rPr>
          <w:kern w:val="0"/>
        </w:rPr>
        <w:t xml:space="preserve"> (5-6), 1055-1065.</w:t>
      </w:r>
    </w:p>
    <w:p w:rsidR="003A4CEB" w:rsidRDefault="003A4CEB" w:rsidP="003A4CEB">
      <w:pPr>
        <w:pStyle w:val="a3"/>
        <w:rPr>
          <w:kern w:val="0"/>
        </w:rPr>
      </w:pPr>
      <w:r>
        <w:rPr>
          <w:rFonts w:hint="eastAsia"/>
          <w:kern w:val="0"/>
        </w:rPr>
        <w:t xml:space="preserve">Full Text: </w:t>
      </w:r>
      <w:hyperlink r:id="rId657" w:history="1">
        <w:r w:rsidRPr="00B22C6F">
          <w:rPr>
            <w:rStyle w:val="a5"/>
            <w:kern w:val="0"/>
          </w:rPr>
          <w:t>2013\Ame Min98, 1055.pdf</w:t>
        </w:r>
      </w:hyperlink>
    </w:p>
    <w:p w:rsidR="003A4CEB" w:rsidRDefault="003A4CEB" w:rsidP="003A4CEB">
      <w:pPr>
        <w:pStyle w:val="a3"/>
        <w:rPr>
          <w:kern w:val="0"/>
        </w:rPr>
      </w:pPr>
      <w:r>
        <w:rPr>
          <w:kern w:val="0"/>
        </w:rPr>
        <w:t>Abstract: We examine the nature</w:t>
      </w:r>
      <w:r w:rsidR="005853A9">
        <w:rPr>
          <w:kern w:val="0"/>
        </w:rPr>
        <w:t xml:space="preserve"> and </w:t>
      </w:r>
      <w:r>
        <w:rPr>
          <w:kern w:val="0"/>
        </w:rPr>
        <w:t>temporal trends</w:t>
      </w:r>
      <w:r w:rsidR="00427468">
        <w:rPr>
          <w:kern w:val="0"/>
        </w:rPr>
        <w:t xml:space="preserve"> of </w:t>
      </w:r>
      <w:r>
        <w:rPr>
          <w:kern w:val="0"/>
        </w:rPr>
        <w:t>science journal publishing,</w:t>
      </w:r>
      <w:r w:rsidR="005853A9">
        <w:rPr>
          <w:kern w:val="0"/>
        </w:rPr>
        <w:t xml:space="preserve"> and </w:t>
      </w:r>
      <w:r>
        <w:rPr>
          <w:kern w:val="0"/>
        </w:rPr>
        <w:t>seek to explain why some journals have higher Journal Impact Factors (JIF) than others</w:t>
      </w:r>
      <w:r w:rsidR="00A37C1D">
        <w:rPr>
          <w:kern w:val="0"/>
        </w:rPr>
        <w:t>. The</w:t>
      </w:r>
      <w:r>
        <w:rPr>
          <w:kern w:val="0"/>
        </w:rPr>
        <w:t xml:space="preserve"> investigation has implications for how we assess the importance</w:t>
      </w:r>
      <w:r w:rsidR="00427468">
        <w:rPr>
          <w:kern w:val="0"/>
        </w:rPr>
        <w:t xml:space="preserve"> of </w:t>
      </w:r>
      <w:r>
        <w:rPr>
          <w:kern w:val="0"/>
        </w:rPr>
        <w:t>scientific contributions. National Laboratories run by the U.S. Department</w:t>
      </w:r>
      <w:r w:rsidR="00427468">
        <w:rPr>
          <w:kern w:val="0"/>
        </w:rPr>
        <w:t xml:space="preserve"> of </w:t>
      </w:r>
      <w:r>
        <w:rPr>
          <w:kern w:val="0"/>
        </w:rPr>
        <w:t>Energy, for example, compare JIF across disciplines, while some academic institutions look at JIF when evaluating publication records. Problematic to these policies are several results, which have long been known in the medical</w:t>
      </w:r>
      <w:r w:rsidR="005853A9">
        <w:rPr>
          <w:kern w:val="0"/>
        </w:rPr>
        <w:t xml:space="preserve"> and </w:t>
      </w:r>
      <w:r>
        <w:rPr>
          <w:kern w:val="0"/>
        </w:rPr>
        <w:t>biological sciences,</w:t>
      </w:r>
      <w:r w:rsidR="005853A9">
        <w:rPr>
          <w:kern w:val="0"/>
        </w:rPr>
        <w:t xml:space="preserve"> and </w:t>
      </w:r>
      <w:r>
        <w:rPr>
          <w:kern w:val="0"/>
        </w:rPr>
        <w:t>are shown here to apply to the Earth sciences as well. In particular, citations are distributed almost logarithmically in any given issue</w:t>
      </w:r>
      <w:r w:rsidR="00427468">
        <w:rPr>
          <w:kern w:val="0"/>
        </w:rPr>
        <w:t xml:space="preserve"> of </w:t>
      </w:r>
      <w:r>
        <w:rPr>
          <w:kern w:val="0"/>
        </w:rPr>
        <w:t>a journal,</w:t>
      </w:r>
      <w:r w:rsidR="005853A9">
        <w:rPr>
          <w:kern w:val="0"/>
        </w:rPr>
        <w:t xml:space="preserve"> and </w:t>
      </w:r>
      <w:r>
        <w:rPr>
          <w:kern w:val="0"/>
        </w:rPr>
        <w:t>so JIFs say nothing about the actual number</w:t>
      </w:r>
      <w:r w:rsidR="00427468">
        <w:rPr>
          <w:kern w:val="0"/>
        </w:rPr>
        <w:t xml:space="preserve"> of </w:t>
      </w:r>
      <w:r>
        <w:rPr>
          <w:kern w:val="0"/>
        </w:rPr>
        <w:t>citations acquired by any given paper. In the area</w:t>
      </w:r>
      <w:r w:rsidR="00427468">
        <w:rPr>
          <w:kern w:val="0"/>
        </w:rPr>
        <w:t xml:space="preserve"> of </w:t>
      </w:r>
      <w:r>
        <w:rPr>
          <w:kern w:val="0"/>
        </w:rPr>
        <w:t>mineralogy</w:t>
      </w:r>
      <w:r w:rsidR="005853A9">
        <w:rPr>
          <w:kern w:val="0"/>
        </w:rPr>
        <w:t xml:space="preserve"> and </w:t>
      </w:r>
      <w:r>
        <w:rPr>
          <w:kern w:val="0"/>
        </w:rPr>
        <w:t>petrology, for example, 25%</w:t>
      </w:r>
      <w:r w:rsidR="00427468">
        <w:rPr>
          <w:kern w:val="0"/>
        </w:rPr>
        <w:t xml:space="preserve"> of </w:t>
      </w:r>
      <w:r>
        <w:rPr>
          <w:kern w:val="0"/>
        </w:rPr>
        <w:t>articles in a typical issue will capture &gt;50%</w:t>
      </w:r>
      <w:r w:rsidR="00427468">
        <w:rPr>
          <w:kern w:val="0"/>
        </w:rPr>
        <w:t xml:space="preserve"> of </w:t>
      </w:r>
      <w:r>
        <w:rPr>
          <w:kern w:val="0"/>
        </w:rPr>
        <w:t>all citations that accrue to that issue. For some issues the asymmetry is greater; we use such citation asymmetry to develop a classification for journals as “super elite,” “elite,” “influential,”</w:t>
      </w:r>
      <w:r w:rsidR="005853A9">
        <w:rPr>
          <w:kern w:val="0"/>
        </w:rPr>
        <w:t xml:space="preserve"> and </w:t>
      </w:r>
      <w:r>
        <w:rPr>
          <w:kern w:val="0"/>
        </w:rPr>
        <w:t>“minor.” We also find that JIFs are inherently larger for large disciplines, in part because as the size</w:t>
      </w:r>
      <w:r w:rsidR="00427468">
        <w:rPr>
          <w:kern w:val="0"/>
        </w:rPr>
        <w:t xml:space="preserve"> of </w:t>
      </w:r>
      <w:r>
        <w:rPr>
          <w:kern w:val="0"/>
        </w:rPr>
        <w:t>a discipline increases (as measured by total papers published), the top journals benefit to a greater extent than other journals. For this</w:t>
      </w:r>
      <w:r w:rsidR="005853A9">
        <w:rPr>
          <w:kern w:val="0"/>
        </w:rPr>
        <w:t xml:space="preserve"> and </w:t>
      </w:r>
      <w:r>
        <w:rPr>
          <w:kern w:val="0"/>
        </w:rPr>
        <w:t>other reasons, JIF cannot be compared across disciplines. A heretofore unknown</w:t>
      </w:r>
      <w:r w:rsidR="005853A9">
        <w:rPr>
          <w:kern w:val="0"/>
        </w:rPr>
        <w:t xml:space="preserve"> and </w:t>
      </w:r>
      <w:r>
        <w:rPr>
          <w:kern w:val="0"/>
        </w:rPr>
        <w:t>disconcerting result is the incredible growth in JIFs for commercially published journals compared to their society-published counterparts a growth that coincides with the advent</w:t>
      </w:r>
      <w:r w:rsidR="00427468">
        <w:rPr>
          <w:kern w:val="0"/>
        </w:rPr>
        <w:t xml:space="preserve"> of </w:t>
      </w:r>
      <w:r>
        <w:rPr>
          <w:kern w:val="0"/>
        </w:rPr>
        <w:t>electronic distribution models (e.g., bundling) that were instituted by commercial publishers at the beginning</w:t>
      </w:r>
      <w:r w:rsidR="00427468">
        <w:rPr>
          <w:kern w:val="0"/>
        </w:rPr>
        <w:t xml:space="preserve"> of </w:t>
      </w:r>
      <w:r>
        <w:rPr>
          <w:kern w:val="0"/>
        </w:rPr>
        <w:t xml:space="preserve">the 21st </w:t>
      </w:r>
      <w:r>
        <w:rPr>
          <w:kern w:val="0"/>
        </w:rPr>
        <w:lastRenderedPageBreak/>
        <w:t>century. Journals, which only a decade ago had similar JIFs,</w:t>
      </w:r>
      <w:r w:rsidR="005853A9">
        <w:rPr>
          <w:kern w:val="0"/>
        </w:rPr>
        <w:t xml:space="preserve"> and </w:t>
      </w:r>
      <w:r>
        <w:rPr>
          <w:kern w:val="0"/>
        </w:rPr>
        <w:t>were viewed as being scientifically equivalent, now have very different JIFs</w:t>
      </w:r>
      <w:r w:rsidR="00A37C1D">
        <w:rPr>
          <w:kern w:val="0"/>
        </w:rPr>
        <w:t>. The</w:t>
      </w:r>
      <w:r>
        <w:rPr>
          <w:kern w:val="0"/>
        </w:rPr>
        <w:t>se contrasts may nucleate feedback loops (as authors look to higher JIF journals in which to publish) that threaten the health</w:t>
      </w:r>
      <w:r w:rsidR="00427468">
        <w:rPr>
          <w:kern w:val="0"/>
        </w:rPr>
        <w:t xml:space="preserve"> of </w:t>
      </w:r>
      <w:r>
        <w:rPr>
          <w:kern w:val="0"/>
        </w:rPr>
        <w:t>society-published journals. Our analysis however, shows that in spite</w:t>
      </w:r>
      <w:r w:rsidR="00427468">
        <w:rPr>
          <w:kern w:val="0"/>
        </w:rPr>
        <w:t xml:space="preserve"> of </w:t>
      </w:r>
      <w:r>
        <w:rPr>
          <w:kern w:val="0"/>
        </w:rPr>
        <w:t>growing contrasts in JIF, many society-published journals still provide a greater value (JIF/cost) compared to their commercially published counterparts. While we acknowledge that citations</w:t>
      </w:r>
      <w:r w:rsidR="005853A9">
        <w:rPr>
          <w:kern w:val="0"/>
        </w:rPr>
        <w:t xml:space="preserve"> and </w:t>
      </w:r>
      <w:r>
        <w:rPr>
          <w:kern w:val="0"/>
        </w:rPr>
        <w:t>citation rates can be useful tools to compare scientific influence</w:t>
      </w:r>
      <w:r w:rsidR="005853A9">
        <w:rPr>
          <w:kern w:val="0"/>
        </w:rPr>
        <w:t xml:space="preserve"> and </w:t>
      </w:r>
      <w:r>
        <w:rPr>
          <w:kern w:val="0"/>
        </w:rPr>
        <w:t>importance, the results</w:t>
      </w:r>
      <w:r w:rsidR="00427468">
        <w:rPr>
          <w:kern w:val="0"/>
        </w:rPr>
        <w:t xml:space="preserve"> of </w:t>
      </w:r>
      <w:r>
        <w:rPr>
          <w:kern w:val="0"/>
        </w:rPr>
        <w:t>this</w:t>
      </w:r>
      <w:r w:rsidR="005853A9">
        <w:rPr>
          <w:kern w:val="0"/>
        </w:rPr>
        <w:t xml:space="preserve"> and </w:t>
      </w:r>
      <w:r>
        <w:rPr>
          <w:kern w:val="0"/>
        </w:rPr>
        <w:t>other bibliometric studies cause us to conclude that in the evaluation</w:t>
      </w:r>
      <w:r w:rsidR="00427468">
        <w:rPr>
          <w:kern w:val="0"/>
        </w:rPr>
        <w:t xml:space="preserve"> of </w:t>
      </w:r>
      <w:r>
        <w:rPr>
          <w:kern w:val="0"/>
        </w:rPr>
        <w:t>science</w:t>
      </w:r>
      <w:r w:rsidR="005853A9">
        <w:rPr>
          <w:kern w:val="0"/>
        </w:rPr>
        <w:t xml:space="preserve"> and </w:t>
      </w:r>
      <w:r>
        <w:rPr>
          <w:kern w:val="0"/>
        </w:rPr>
        <w:t>scientists, it is a grave error to substitute numerical values for human judgment.</w:t>
      </w:r>
      <w:r w:rsidR="005853A9">
        <w:rPr>
          <w:kern w:val="0"/>
        </w:rPr>
        <w:t xml:space="preserve"> and </w:t>
      </w:r>
      <w:r>
        <w:rPr>
          <w:kern w:val="0"/>
        </w:rPr>
        <w:t>if professional societies are to continue to play a significant role in science publication, it is incumbent upon scientists-now more than ever-to send their best works to society-published journals. Keywords: Impact factor, bibliometrics, mineralogy, petrology, geochemistry.</w:t>
      </w:r>
    </w:p>
    <w:p w:rsidR="003A4CEB" w:rsidRDefault="003A4CEB" w:rsidP="003A4CEB">
      <w:pPr>
        <w:pStyle w:val="a3"/>
        <w:rPr>
          <w:kern w:val="0"/>
        </w:rPr>
      </w:pPr>
      <w:r>
        <w:rPr>
          <w:kern w:val="0"/>
        </w:rPr>
        <w:t>Keywords: Analysis, Asymmetry, Authors, Bibliometric, Bibliometric Studies, Bibliometrics, Biological, Biological Sciences, Citation, Citation Rates, Citations, Classification, Distributed, Distribution, Energy, Error, Evaluation, Geochemistry, Growth, Health, History, Human, Impact, Impact Factor, Influence, Institutions, Investigation, Journal, Journals, Keywords, Medical, Mineralogy, Models, Papers, Petrology, Policies, Publication, Publishing, Rates, Records, Relevance, Role, Science, Sciences, Scientific Journals, Scientists, Size, Temporal, Trends, Value</w:t>
      </w:r>
    </w:p>
    <w:p w:rsidR="003474F2" w:rsidRPr="001A3D2B" w:rsidRDefault="003474F2" w:rsidP="003474F2">
      <w:pPr>
        <w:pStyle w:val="1"/>
      </w:pPr>
      <w:r w:rsidRPr="001A3D2B">
        <w:br w:type="page"/>
      </w:r>
      <w:bookmarkStart w:id="351" w:name="_Toc420814440"/>
      <w:r w:rsidRPr="001A3D2B">
        <w:lastRenderedPageBreak/>
        <w:t xml:space="preserve">Title: </w:t>
      </w:r>
      <w:r w:rsidR="00727AFC" w:rsidRPr="00727AFC">
        <w:t>American Psychologist</w:t>
      </w:r>
      <w:bookmarkEnd w:id="351"/>
    </w:p>
    <w:p w:rsidR="007F4E97" w:rsidRPr="001A3D2B" w:rsidRDefault="007F4E97" w:rsidP="007F4E97">
      <w:pPr>
        <w:pStyle w:val="12"/>
      </w:pPr>
      <w:r w:rsidRPr="001A3D2B">
        <w:t xml:space="preserve">Full </w:t>
      </w:r>
      <w:bookmarkStart w:id="352" w:name="_Toc81215597"/>
      <w:r w:rsidRPr="001A3D2B">
        <w:t>Journal</w:t>
      </w:r>
      <w:bookmarkEnd w:id="352"/>
      <w:r w:rsidRPr="001A3D2B">
        <w:t xml:space="preserve"> Title: </w:t>
      </w:r>
      <w:hyperlink r:id="rId658" w:history="1">
        <w:r w:rsidRPr="001A3D2B">
          <w:rPr>
            <w:rStyle w:val="a5"/>
          </w:rPr>
          <w:t>American Psychologist</w:t>
        </w:r>
      </w:hyperlink>
    </w:p>
    <w:p w:rsidR="007F4E97" w:rsidRPr="001A3D2B" w:rsidRDefault="007F4E97" w:rsidP="007F4E97">
      <w:pPr>
        <w:pStyle w:val="12"/>
      </w:pPr>
      <w:r w:rsidRPr="001A3D2B">
        <w:t>ISO Abbreviated Title: Am. Psychol.</w:t>
      </w:r>
    </w:p>
    <w:p w:rsidR="007F4E97" w:rsidRPr="001A3D2B" w:rsidRDefault="007F4E97" w:rsidP="007F4E97">
      <w:pPr>
        <w:pStyle w:val="12"/>
      </w:pPr>
      <w:r w:rsidRPr="001A3D2B">
        <w:t>JCR Abbreviated Title: Am Psychol</w:t>
      </w:r>
    </w:p>
    <w:p w:rsidR="007F4E97" w:rsidRPr="001A3D2B" w:rsidRDefault="007F4E97" w:rsidP="007F4E97">
      <w:pPr>
        <w:pStyle w:val="12"/>
      </w:pPr>
      <w:r w:rsidRPr="001A3D2B">
        <w:t>ISSN: 0003-066X</w:t>
      </w:r>
    </w:p>
    <w:p w:rsidR="007F4E97" w:rsidRPr="001A3D2B" w:rsidRDefault="007F4E97" w:rsidP="007F4E97">
      <w:pPr>
        <w:pStyle w:val="12"/>
      </w:pPr>
      <w:r w:rsidRPr="001A3D2B">
        <w:t>Issues/Year: 12</w:t>
      </w:r>
    </w:p>
    <w:p w:rsidR="007F4E97" w:rsidRPr="001A3D2B" w:rsidRDefault="007F4E97" w:rsidP="007F4E97">
      <w:pPr>
        <w:pStyle w:val="12"/>
      </w:pPr>
      <w:r w:rsidRPr="001A3D2B">
        <w:t>Journal Country/Territory: United States</w:t>
      </w:r>
    </w:p>
    <w:p w:rsidR="007F4E97" w:rsidRPr="001A3D2B" w:rsidRDefault="007F4E97" w:rsidP="007F4E97">
      <w:pPr>
        <w:pStyle w:val="12"/>
      </w:pPr>
      <w:r w:rsidRPr="001A3D2B">
        <w:t>Language: English</w:t>
      </w:r>
    </w:p>
    <w:p w:rsidR="007F4E97" w:rsidRPr="001A3D2B" w:rsidRDefault="007F4E97" w:rsidP="007F4E97">
      <w:pPr>
        <w:pStyle w:val="12"/>
      </w:pPr>
      <w:r w:rsidRPr="001A3D2B">
        <w:t>Publisher: Amer Psychological Assoc</w:t>
      </w:r>
    </w:p>
    <w:p w:rsidR="007F4E97" w:rsidRPr="001A3D2B" w:rsidRDefault="007F4E97" w:rsidP="007F4E97">
      <w:pPr>
        <w:pStyle w:val="12"/>
      </w:pPr>
      <w:r w:rsidRPr="001A3D2B">
        <w:t>Publisher Address: 750 First St NE, Washington, DC 20002-4242</w:t>
      </w:r>
    </w:p>
    <w:p w:rsidR="007F4E97" w:rsidRPr="001A3D2B" w:rsidRDefault="007F4E97" w:rsidP="007F4E97">
      <w:pPr>
        <w:pStyle w:val="12"/>
      </w:pPr>
      <w:r w:rsidRPr="001A3D2B">
        <w:t xml:space="preserve">Subject Categories: </w:t>
      </w:r>
    </w:p>
    <w:p w:rsidR="007F4E97" w:rsidRPr="001A3D2B" w:rsidRDefault="007F4E97" w:rsidP="007F4E97">
      <w:pPr>
        <w:pStyle w:val="12"/>
      </w:pPr>
      <w:r w:rsidRPr="001A3D2B">
        <w:t>Psychology, Multidisciplinary: Impact Factor 5.981, / (2002)</w:t>
      </w:r>
    </w:p>
    <w:p w:rsidR="00F83D65" w:rsidRPr="001A3D2B" w:rsidRDefault="00F83D65" w:rsidP="00F83D65">
      <w:pPr>
        <w:pStyle w:val="a3"/>
      </w:pPr>
      <w:r w:rsidRPr="001A3D2B">
        <w:t xml:space="preserve">? </w:t>
      </w:r>
      <w:r>
        <w:t>Over, R</w:t>
      </w:r>
      <w:r>
        <w:rPr>
          <w:rFonts w:hint="eastAsia"/>
        </w:rPr>
        <w:t>.</w:t>
      </w:r>
      <w:r w:rsidR="005853A9">
        <w:rPr>
          <w:rFonts w:hint="eastAsia"/>
        </w:rPr>
        <w:t xml:space="preserve"> and </w:t>
      </w:r>
      <w:r>
        <w:t>Smallman, S</w:t>
      </w:r>
      <w:r>
        <w:rPr>
          <w:rFonts w:hint="eastAsia"/>
        </w:rPr>
        <w:t>.</w:t>
      </w:r>
      <w:r>
        <w:t xml:space="preserve"> </w:t>
      </w:r>
      <w:r w:rsidRPr="001A3D2B">
        <w:t xml:space="preserve">(1973), </w:t>
      </w:r>
      <w:r>
        <w:t>Maintenance</w:t>
      </w:r>
      <w:r w:rsidR="00427468">
        <w:t xml:space="preserve"> of </w:t>
      </w:r>
      <w:r>
        <w:t>individual visibility in publication</w:t>
      </w:r>
      <w:r w:rsidR="00427468">
        <w:t xml:space="preserve"> of </w:t>
      </w:r>
      <w:r>
        <w:t>collaborative research by psychologists</w:t>
      </w:r>
      <w:r w:rsidRPr="001A3D2B">
        <w:t xml:space="preserve">. </w:t>
      </w:r>
      <w:r w:rsidRPr="00727AFC">
        <w:rPr>
          <w:i/>
          <w:iCs/>
        </w:rPr>
        <w:t>American Psychologist</w:t>
      </w:r>
      <w:r w:rsidRPr="001A3D2B">
        <w:t xml:space="preserve">, </w:t>
      </w:r>
      <w:r w:rsidRPr="001A3D2B">
        <w:rPr>
          <w:b/>
          <w:bCs/>
        </w:rPr>
        <w:t>28</w:t>
      </w:r>
      <w:r w:rsidRPr="001A3D2B">
        <w:t xml:space="preserve"> (</w:t>
      </w:r>
      <w:r>
        <w:rPr>
          <w:rFonts w:hint="eastAsia"/>
        </w:rPr>
        <w:t>2</w:t>
      </w:r>
      <w:r w:rsidRPr="001A3D2B">
        <w:t xml:space="preserve">), </w:t>
      </w:r>
      <w:r>
        <w:t>161-166</w:t>
      </w:r>
      <w:r w:rsidRPr="001A3D2B">
        <w:t>.</w:t>
      </w:r>
    </w:p>
    <w:p w:rsidR="00F83D65" w:rsidRDefault="00F83D65" w:rsidP="00F83D65">
      <w:pPr>
        <w:pStyle w:val="a3"/>
      </w:pPr>
      <w:r w:rsidRPr="00F219CA">
        <w:t xml:space="preserve">Full Text: </w:t>
      </w:r>
      <w:hyperlink r:id="rId659" w:history="1">
        <w:r w:rsidRPr="00F83D65">
          <w:rPr>
            <w:rStyle w:val="a5"/>
          </w:rPr>
          <w:t>1960-80\Ame Psy28, 161.pdf</w:t>
        </w:r>
      </w:hyperlink>
    </w:p>
    <w:p w:rsidR="00F83D65" w:rsidRPr="001A3D2B" w:rsidRDefault="00F83D65" w:rsidP="00F83D65">
      <w:pPr>
        <w:pStyle w:val="a3"/>
      </w:pPr>
      <w:r w:rsidRPr="001A3D2B">
        <w:t>? Markley, R.P.</w:t>
      </w:r>
      <w:r w:rsidR="005853A9">
        <w:t xml:space="preserve"> and </w:t>
      </w:r>
      <w:r w:rsidRPr="001A3D2B">
        <w:t xml:space="preserve">Adams, R.M. (1973), Science Citation Index. </w:t>
      </w:r>
      <w:r w:rsidRPr="00727AFC">
        <w:rPr>
          <w:i/>
          <w:iCs/>
        </w:rPr>
        <w:t>American Psychologist</w:t>
      </w:r>
      <w:r w:rsidRPr="001A3D2B">
        <w:t xml:space="preserve">, </w:t>
      </w:r>
      <w:r w:rsidRPr="001A3D2B">
        <w:rPr>
          <w:b/>
          <w:bCs/>
        </w:rPr>
        <w:t>28</w:t>
      </w:r>
      <w:r w:rsidRPr="001A3D2B">
        <w:t xml:space="preserve"> (6), 534.</w:t>
      </w:r>
    </w:p>
    <w:p w:rsidR="00F83D65" w:rsidRPr="00F219CA" w:rsidRDefault="00F83D65" w:rsidP="00F83D65">
      <w:pPr>
        <w:pStyle w:val="a3"/>
      </w:pPr>
      <w:r w:rsidRPr="00F219CA">
        <w:t xml:space="preserve">Full Text: </w:t>
      </w:r>
      <w:hyperlink r:id="rId660" w:history="1">
        <w:r w:rsidRPr="00F83D65">
          <w:rPr>
            <w:rStyle w:val="a5"/>
          </w:rPr>
          <w:t>1960-80\Ame Psy28, 534.pdf</w:t>
        </w:r>
      </w:hyperlink>
    </w:p>
    <w:p w:rsidR="003474F2" w:rsidRPr="001A3D2B" w:rsidRDefault="003474F2" w:rsidP="003474F2">
      <w:pPr>
        <w:pStyle w:val="a3"/>
      </w:pPr>
      <w:r w:rsidRPr="001A3D2B">
        <w:t>Abstract: Two recent comments have discussed</w:t>
      </w:r>
      <w:r w:rsidR="003A1917">
        <w:t xml:space="preserve"> the </w:t>
      </w:r>
      <w:r w:rsidRPr="001A3D2B">
        <w:t>problems</w:t>
      </w:r>
      <w:r w:rsidR="00427468">
        <w:t xml:space="preserve"> of </w:t>
      </w:r>
      <w:r w:rsidRPr="001A3D2B">
        <w:t>assuring relative completeness in</w:t>
      </w:r>
      <w:r w:rsidR="003A1917">
        <w:t xml:space="preserve"> the </w:t>
      </w:r>
      <w:r w:rsidRPr="001A3D2B">
        <w:t>conduct</w:t>
      </w:r>
      <w:r w:rsidR="00427468">
        <w:t xml:space="preserve"> of </w:t>
      </w:r>
      <w:r w:rsidRPr="001A3D2B">
        <w:t>a literature search (see records 1990-56978-001</w:t>
      </w:r>
      <w:r w:rsidR="005853A9">
        <w:t xml:space="preserve"> and </w:t>
      </w:r>
      <w:r w:rsidRPr="001A3D2B">
        <w:t>1990-58219-001). Both letters failed to mention</w:t>
      </w:r>
      <w:r w:rsidR="003A1917">
        <w:t xml:space="preserve"> the </w:t>
      </w:r>
      <w:r w:rsidRPr="001A3D2B">
        <w:t>Science Citation Index, which can be found in most major university libraries</w:t>
      </w:r>
      <w:r w:rsidR="00A37C1D">
        <w:t>. The</w:t>
      </w:r>
      <w:r w:rsidR="003A1917">
        <w:t xml:space="preserve"> </w:t>
      </w:r>
      <w:r w:rsidRPr="001A3D2B">
        <w:t>SCI lists for any particular source article all or nearly all subsequent papers that have cited or referenced</w:t>
      </w:r>
      <w:r w:rsidR="003A1917">
        <w:t xml:space="preserve"> the </w:t>
      </w:r>
      <w:r w:rsidRPr="001A3D2B">
        <w:t>source. All older references used in recent periodicals are included</w:t>
      </w:r>
      <w:r w:rsidR="00A37C1D">
        <w:t>. The</w:t>
      </w:r>
      <w:r w:rsidR="003A1917">
        <w:t xml:space="preserve"> </w:t>
      </w:r>
      <w:r w:rsidRPr="001A3D2B">
        <w:t>use</w:t>
      </w:r>
      <w:r w:rsidR="00427468">
        <w:t xml:space="preserve"> of </w:t>
      </w:r>
      <w:r w:rsidR="003A1917">
        <w:t xml:space="preserve">the </w:t>
      </w:r>
      <w:r w:rsidRPr="001A3D2B">
        <w:t>SCI in conjunction with</w:t>
      </w:r>
      <w:r w:rsidR="003A1917">
        <w:t xml:space="preserve"> the </w:t>
      </w:r>
      <w:r w:rsidRPr="001A3D2B">
        <w:t>hierarchal search procedure suggested by Goldsamt would seem to be an obvious advantage. (PsycINFO Database Record (c) 2006 APA, all rights reserved)</w:t>
      </w:r>
    </w:p>
    <w:p w:rsidR="003474F2" w:rsidRPr="001A3D2B" w:rsidRDefault="003474F2" w:rsidP="003474F2">
      <w:pPr>
        <w:pStyle w:val="a3"/>
      </w:pPr>
      <w:r w:rsidRPr="001A3D2B">
        <w:t>Keywords: Science Citation Index, Automated Information Retrieval, Literature Review, Psychology, Scientific Communication, Information Services, Libraries</w:t>
      </w:r>
    </w:p>
    <w:p w:rsidR="003474F2" w:rsidRPr="001A3D2B" w:rsidRDefault="003474F2" w:rsidP="003474F2">
      <w:pPr>
        <w:pStyle w:val="a3"/>
      </w:pPr>
      <w:r w:rsidRPr="001A3D2B">
        <w:rPr>
          <w:szCs w:val="24"/>
        </w:rPr>
        <w:t>? Rushton, J.P.</w:t>
      </w:r>
      <w:r w:rsidR="005853A9">
        <w:rPr>
          <w:szCs w:val="24"/>
        </w:rPr>
        <w:t xml:space="preserve"> and </w:t>
      </w:r>
      <w:r w:rsidRPr="001A3D2B">
        <w:rPr>
          <w:szCs w:val="24"/>
        </w:rPr>
        <w:t>Roediger, H.L. (1978), Evaluation</w:t>
      </w:r>
      <w:r w:rsidR="00427468">
        <w:rPr>
          <w:szCs w:val="24"/>
        </w:rPr>
        <w:t xml:space="preserve"> of </w:t>
      </w:r>
      <w:r w:rsidRPr="001A3D2B">
        <w:rPr>
          <w:szCs w:val="24"/>
        </w:rPr>
        <w:t xml:space="preserve">80 psychology journals based on Science Citation Index. </w:t>
      </w:r>
      <w:r w:rsidRPr="001A3D2B">
        <w:rPr>
          <w:i/>
          <w:iCs/>
        </w:rPr>
        <w:t>American Psychologist</w:t>
      </w:r>
      <w:r w:rsidRPr="001A3D2B">
        <w:t xml:space="preserve">, </w:t>
      </w:r>
      <w:r w:rsidRPr="001A3D2B">
        <w:rPr>
          <w:b/>
          <w:bCs/>
        </w:rPr>
        <w:t>33</w:t>
      </w:r>
      <w:r w:rsidRPr="001A3D2B">
        <w:t xml:space="preserve"> (5), 520-523.</w:t>
      </w:r>
    </w:p>
    <w:p w:rsidR="0039485A" w:rsidRPr="00F219CA" w:rsidRDefault="0039485A" w:rsidP="0039485A">
      <w:pPr>
        <w:pStyle w:val="a3"/>
      </w:pPr>
      <w:r w:rsidRPr="00F219CA">
        <w:t xml:space="preserve">Full Text: </w:t>
      </w:r>
      <w:hyperlink r:id="rId661" w:history="1">
        <w:r w:rsidRPr="00F219CA">
          <w:rPr>
            <w:rStyle w:val="a5"/>
          </w:rPr>
          <w:t>1960-80\Ame Psy33, 520.pdf</w:t>
        </w:r>
      </w:hyperlink>
    </w:p>
    <w:p w:rsidR="003474F2" w:rsidRPr="001A3D2B" w:rsidRDefault="003474F2" w:rsidP="003474F2">
      <w:pPr>
        <w:pStyle w:val="a3"/>
        <w:rPr>
          <w:szCs w:val="24"/>
        </w:rPr>
      </w:pPr>
      <w:r w:rsidRPr="001A3D2B">
        <w:rPr>
          <w:szCs w:val="24"/>
        </w:rPr>
        <w:t>Abstract: Ranked 80 psychology journals</w:t>
      </w:r>
      <w:r w:rsidR="005853A9">
        <w:rPr>
          <w:szCs w:val="24"/>
        </w:rPr>
        <w:t xml:space="preserve"> and </w:t>
      </w:r>
      <w:r w:rsidRPr="001A3D2B">
        <w:rPr>
          <w:szCs w:val="24"/>
        </w:rPr>
        <w:t>those from closely related fields in terms</w:t>
      </w:r>
      <w:r w:rsidR="00427468">
        <w:rPr>
          <w:szCs w:val="24"/>
        </w:rPr>
        <w:t xml:space="preserve"> of </w:t>
      </w:r>
      <w:r w:rsidRPr="001A3D2B">
        <w:rPr>
          <w:szCs w:val="24"/>
        </w:rPr>
        <w:t>their impact factors (average citations per article) where</w:t>
      </w:r>
      <w:r w:rsidR="003A1917">
        <w:rPr>
          <w:szCs w:val="24"/>
        </w:rPr>
        <w:t xml:space="preserve"> the </w:t>
      </w:r>
      <w:r w:rsidRPr="001A3D2B">
        <w:rPr>
          <w:szCs w:val="24"/>
        </w:rPr>
        <w:t>numerator for</w:t>
      </w:r>
      <w:r w:rsidR="003A1917">
        <w:rPr>
          <w:szCs w:val="24"/>
        </w:rPr>
        <w:t xml:space="preserve"> the </w:t>
      </w:r>
      <w:r w:rsidRPr="001A3D2B">
        <w:rPr>
          <w:szCs w:val="24"/>
        </w:rPr>
        <w:t>impact factor was based on</w:t>
      </w:r>
      <w:r w:rsidR="003A1917">
        <w:rPr>
          <w:szCs w:val="24"/>
        </w:rPr>
        <w:t xml:space="preserve"> the </w:t>
      </w:r>
      <w:r w:rsidRPr="001A3D2B">
        <w:rPr>
          <w:szCs w:val="24"/>
        </w:rPr>
        <w:t>total number</w:t>
      </w:r>
      <w:r w:rsidR="00427468">
        <w:rPr>
          <w:szCs w:val="24"/>
        </w:rPr>
        <w:t xml:space="preserve"> of </w:t>
      </w:r>
      <w:r w:rsidRPr="001A3D2B">
        <w:rPr>
          <w:szCs w:val="24"/>
        </w:rPr>
        <w:t>citations accruing to 1972-1973 articles in that journal in</w:t>
      </w:r>
      <w:r w:rsidR="003A1917">
        <w:rPr>
          <w:szCs w:val="24"/>
        </w:rPr>
        <w:t xml:space="preserve"> the </w:t>
      </w:r>
      <w:r w:rsidRPr="001A3D2B">
        <w:rPr>
          <w:szCs w:val="24"/>
        </w:rPr>
        <w:t>1974 Science Citation Index</w:t>
      </w:r>
      <w:r w:rsidR="00A37C1D">
        <w:rPr>
          <w:szCs w:val="24"/>
        </w:rPr>
        <w:t>. The</w:t>
      </w:r>
      <w:r w:rsidR="003A1917">
        <w:rPr>
          <w:szCs w:val="24"/>
        </w:rPr>
        <w:t xml:space="preserve"> </w:t>
      </w:r>
      <w:r w:rsidRPr="001A3D2B">
        <w:rPr>
          <w:szCs w:val="24"/>
        </w:rPr>
        <w:t>top 3 journals were Psychological Review, Cognitive Psychology,</w:t>
      </w:r>
      <w:r w:rsidR="005853A9">
        <w:rPr>
          <w:szCs w:val="24"/>
        </w:rPr>
        <w:t xml:space="preserve"> and </w:t>
      </w:r>
      <w:r w:rsidRPr="001A3D2B">
        <w:rPr>
          <w:szCs w:val="24"/>
        </w:rPr>
        <w:t xml:space="preserve">Psychological Bulletin. </w:t>
      </w:r>
      <w:r w:rsidRPr="001A3D2B">
        <w:rPr>
          <w:szCs w:val="24"/>
        </w:rPr>
        <w:lastRenderedPageBreak/>
        <w:t>Comparisons are made with a ranking study conducted by M. J. White</w:t>
      </w:r>
      <w:r w:rsidR="005853A9">
        <w:rPr>
          <w:szCs w:val="24"/>
        </w:rPr>
        <w:t xml:space="preserve"> and </w:t>
      </w:r>
      <w:r w:rsidRPr="001A3D2B">
        <w:rPr>
          <w:szCs w:val="24"/>
        </w:rPr>
        <w:t>K. G. White (1977). For related article, see PA, Vol 56:4649. (PsycINFO Database Record (c) 2006 APA, all rights reserved)</w:t>
      </w:r>
    </w:p>
    <w:p w:rsidR="003474F2" w:rsidRPr="001A3D2B" w:rsidRDefault="003474F2" w:rsidP="003474F2">
      <w:pPr>
        <w:pStyle w:val="a3"/>
        <w:rPr>
          <w:szCs w:val="24"/>
        </w:rPr>
      </w:pPr>
      <w:r w:rsidRPr="001A3D2B">
        <w:rPr>
          <w:szCs w:val="24"/>
        </w:rPr>
        <w:t>Keywords: Evaluation, Science Citation Index, Citation Analysis for Relative Impact</w:t>
      </w:r>
      <w:r w:rsidR="00427468">
        <w:rPr>
          <w:szCs w:val="24"/>
        </w:rPr>
        <w:t xml:space="preserve"> of </w:t>
      </w:r>
      <w:r w:rsidRPr="001A3D2B">
        <w:rPr>
          <w:szCs w:val="24"/>
        </w:rPr>
        <w:t>Psychology Journals</w:t>
      </w:r>
    </w:p>
    <w:p w:rsidR="003474F2" w:rsidRPr="001A3D2B" w:rsidRDefault="003474F2" w:rsidP="003474F2">
      <w:pPr>
        <w:pStyle w:val="a3"/>
      </w:pPr>
      <w:r w:rsidRPr="001A3D2B">
        <w:t>? Daniel, R.S. (1979), Bibliometrics</w:t>
      </w:r>
      <w:r w:rsidR="005853A9">
        <w:t xml:space="preserve"> and </w:t>
      </w:r>
      <w:r w:rsidRPr="001A3D2B">
        <w:t xml:space="preserve">scholarly impact. </w:t>
      </w:r>
      <w:r w:rsidRPr="001A3D2B">
        <w:rPr>
          <w:i/>
          <w:iCs/>
        </w:rPr>
        <w:t>American Psychologist</w:t>
      </w:r>
      <w:r w:rsidRPr="001A3D2B">
        <w:t xml:space="preserve">, </w:t>
      </w:r>
      <w:r w:rsidRPr="001A3D2B">
        <w:rPr>
          <w:b/>
          <w:bCs/>
        </w:rPr>
        <w:t>34</w:t>
      </w:r>
      <w:r w:rsidRPr="001A3D2B">
        <w:t xml:space="preserve"> (8), 725-726.</w:t>
      </w:r>
    </w:p>
    <w:p w:rsidR="0039485A" w:rsidRPr="00F219CA" w:rsidRDefault="0039485A" w:rsidP="0039485A">
      <w:pPr>
        <w:pStyle w:val="a3"/>
      </w:pPr>
      <w:r w:rsidRPr="00F219CA">
        <w:t xml:space="preserve">Full Text: </w:t>
      </w:r>
      <w:hyperlink r:id="rId662" w:history="1">
        <w:r w:rsidRPr="00F567F1">
          <w:rPr>
            <w:rStyle w:val="a5"/>
          </w:rPr>
          <w:t>1960-80\Ame Psy34, 725.pdf</w:t>
        </w:r>
      </w:hyperlink>
    </w:p>
    <w:p w:rsidR="00FB61B8" w:rsidRPr="00F219CA" w:rsidRDefault="00FB61B8" w:rsidP="00FB61B8">
      <w:pPr>
        <w:pStyle w:val="a3"/>
        <w:rPr>
          <w:kern w:val="0"/>
        </w:rPr>
      </w:pPr>
      <w:r w:rsidRPr="00F219CA">
        <w:t xml:space="preserve">? </w:t>
      </w:r>
      <w:r>
        <w:t>Boor</w:t>
      </w:r>
      <w:r>
        <w:rPr>
          <w:rFonts w:hint="eastAsia"/>
        </w:rPr>
        <w:t>,</w:t>
      </w:r>
      <w:r>
        <w:t xml:space="preserve"> M</w:t>
      </w:r>
      <w:r>
        <w:rPr>
          <w:rFonts w:hint="eastAsia"/>
        </w:rPr>
        <w:t>.</w:t>
      </w:r>
      <w:r w:rsidRPr="00F219CA">
        <w:rPr>
          <w:kern w:val="0"/>
        </w:rPr>
        <w:t xml:space="preserve"> (19</w:t>
      </w:r>
      <w:r>
        <w:rPr>
          <w:rFonts w:hint="eastAsia"/>
          <w:kern w:val="0"/>
        </w:rPr>
        <w:t>82</w:t>
      </w:r>
      <w:r w:rsidR="00F42EAC">
        <w:rPr>
          <w:kern w:val="0"/>
        </w:rPr>
        <w:t>), The</w:t>
      </w:r>
      <w:r w:rsidR="003A1917">
        <w:rPr>
          <w:kern w:val="0"/>
        </w:rPr>
        <w:t xml:space="preserve"> </w:t>
      </w:r>
      <w:r>
        <w:t>citation impact factor - Another dubious index</w:t>
      </w:r>
      <w:r w:rsidR="00427468">
        <w:t xml:space="preserve"> of </w:t>
      </w:r>
      <w:r>
        <w:t>journal quality</w:t>
      </w:r>
      <w:r w:rsidRPr="00F219CA">
        <w:rPr>
          <w:kern w:val="0"/>
        </w:rPr>
        <w:t xml:space="preserve">. </w:t>
      </w:r>
      <w:r w:rsidRPr="00F219CA">
        <w:rPr>
          <w:i/>
          <w:iCs/>
          <w:kern w:val="0"/>
        </w:rPr>
        <w:t>American Psychologist</w:t>
      </w:r>
      <w:r w:rsidRPr="00F219CA">
        <w:rPr>
          <w:kern w:val="0"/>
        </w:rPr>
        <w:t xml:space="preserve">, </w:t>
      </w:r>
      <w:r w:rsidRPr="00F219CA">
        <w:rPr>
          <w:b/>
          <w:bCs/>
          <w:kern w:val="0"/>
        </w:rPr>
        <w:t>3</w:t>
      </w:r>
      <w:r>
        <w:rPr>
          <w:rFonts w:hint="eastAsia"/>
          <w:b/>
          <w:bCs/>
          <w:kern w:val="0"/>
        </w:rPr>
        <w:t>7</w:t>
      </w:r>
      <w:r w:rsidRPr="00F219CA">
        <w:rPr>
          <w:kern w:val="0"/>
        </w:rPr>
        <w:t xml:space="preserve"> (8), </w:t>
      </w:r>
      <w:r>
        <w:t>975-977</w:t>
      </w:r>
      <w:r w:rsidRPr="00F219CA">
        <w:rPr>
          <w:kern w:val="0"/>
        </w:rPr>
        <w:t>.</w:t>
      </w:r>
    </w:p>
    <w:p w:rsidR="00FB61B8" w:rsidRDefault="00FB61B8" w:rsidP="00FB61B8">
      <w:pPr>
        <w:pStyle w:val="a3"/>
      </w:pPr>
      <w:r w:rsidRPr="00F219CA">
        <w:t xml:space="preserve">Full Text: </w:t>
      </w:r>
      <w:hyperlink r:id="rId663" w:history="1">
        <w:r w:rsidRPr="00482B4A">
          <w:rPr>
            <w:rStyle w:val="a5"/>
          </w:rPr>
          <w:t>1982\Ame Psy37, 975.pdf</w:t>
        </w:r>
      </w:hyperlink>
    </w:p>
    <w:p w:rsidR="003474F2" w:rsidRPr="001A3D2B" w:rsidRDefault="003474F2" w:rsidP="003474F2">
      <w:pPr>
        <w:pStyle w:val="a3"/>
      </w:pPr>
      <w:r w:rsidRPr="001A3D2B">
        <w:t>? Friman, P.C., Allen, K.D., Kerwin, M.L.E.</w:t>
      </w:r>
      <w:r w:rsidR="005853A9">
        <w:t xml:space="preserve"> and </w:t>
      </w:r>
      <w:r w:rsidRPr="001A3D2B">
        <w:t>Larzelere, R. (1993), Changes in modern psychology: A citation analysis</w:t>
      </w:r>
      <w:r w:rsidR="00427468">
        <w:t xml:space="preserve"> of </w:t>
      </w:r>
      <w:r w:rsidR="003A1917">
        <w:t xml:space="preserve">the </w:t>
      </w:r>
      <w:r w:rsidRPr="001A3D2B">
        <w:t xml:space="preserve">Kuhnian displacement thesis. </w:t>
      </w:r>
      <w:r w:rsidRPr="001A3D2B">
        <w:rPr>
          <w:i/>
          <w:iCs/>
        </w:rPr>
        <w:t>American Psychologist</w:t>
      </w:r>
      <w:r w:rsidRPr="001A3D2B">
        <w:t xml:space="preserve">, </w:t>
      </w:r>
      <w:r w:rsidRPr="001A3D2B">
        <w:rPr>
          <w:b/>
          <w:bCs/>
        </w:rPr>
        <w:t>48</w:t>
      </w:r>
      <w:r w:rsidRPr="001A3D2B">
        <w:t xml:space="preserve"> (6), 658-664.</w:t>
      </w:r>
    </w:p>
    <w:p w:rsidR="003474F2" w:rsidRPr="001A3D2B" w:rsidRDefault="003474F2" w:rsidP="003474F2">
      <w:pPr>
        <w:pStyle w:val="a3"/>
      </w:pPr>
      <w:r w:rsidRPr="001A3D2B">
        <w:t xml:space="preserve">Full Text: </w:t>
      </w:r>
      <w:hyperlink r:id="rId664" w:history="1">
        <w:r w:rsidRPr="001A3D2B">
          <w:rPr>
            <w:rStyle w:val="a5"/>
          </w:rPr>
          <w:t>1993\Ame Psy48, 658.pdf</w:t>
        </w:r>
      </w:hyperlink>
    </w:p>
    <w:p w:rsidR="003474F2" w:rsidRPr="001A3D2B" w:rsidRDefault="003474F2" w:rsidP="003474F2">
      <w:pPr>
        <w:pStyle w:val="a3"/>
      </w:pPr>
      <w:r w:rsidRPr="001A3D2B">
        <w:t>Abstract: Many psychologists believe a Kuhnian revolution-a competitive event between incommensurate paradigms in which a winner displaces losers after chaotic upheaval-has occurred in psychology. Cognitive psychology is said to be displacing behavioral psychology</w:t>
      </w:r>
      <w:r w:rsidR="005853A9">
        <w:t xml:space="preserve"> and </w:t>
      </w:r>
      <w:r w:rsidRPr="001A3D2B">
        <w:t>psychoanalysis, but few published data support this thesis. Social science citation records from</w:t>
      </w:r>
      <w:r w:rsidR="003A1917">
        <w:t xml:space="preserve"> the </w:t>
      </w:r>
      <w:r w:rsidRPr="001A3D2B">
        <w:t>leading journals in cognitive psychology, behavioral psychology,</w:t>
      </w:r>
      <w:r w:rsidR="005853A9">
        <w:t xml:space="preserve"> and </w:t>
      </w:r>
      <w:r w:rsidRPr="001A3D2B">
        <w:t>psychoanalysis between 1979</w:t>
      </w:r>
      <w:r w:rsidR="005853A9">
        <w:t xml:space="preserve"> and </w:t>
      </w:r>
      <w:r w:rsidRPr="001A3D2B">
        <w:t>1988 were analyzed. Results show an increasing trend for cognitive psychology but also high citation rates with no downward trends for behavioral psychology. Citation rates for psychoanalysis are not as high, but indications</w:t>
      </w:r>
      <w:r w:rsidR="00427468">
        <w:t xml:space="preserve"> of </w:t>
      </w:r>
      <w:r w:rsidRPr="001A3D2B">
        <w:t>decline are marginal</w:t>
      </w:r>
      <w:r w:rsidR="00A37C1D">
        <w:t>. The</w:t>
      </w:r>
      <w:r w:rsidRPr="001A3D2B">
        <w:t>se findings do not support</w:t>
      </w:r>
      <w:r w:rsidR="003A1917">
        <w:t xml:space="preserve"> the </w:t>
      </w:r>
      <w:r w:rsidRPr="001A3D2B">
        <w:t>Kuhnian displacement thesis on changes in modern psychology.</w:t>
      </w:r>
    </w:p>
    <w:p w:rsidR="00082F91" w:rsidRDefault="00082F91" w:rsidP="00082F91">
      <w:pPr>
        <w:pStyle w:val="a3"/>
        <w:rPr>
          <w:kern w:val="0"/>
        </w:rPr>
      </w:pPr>
      <w:r>
        <w:rPr>
          <w:rFonts w:hint="eastAsia"/>
          <w:kern w:val="0"/>
        </w:rPr>
        <w:t xml:space="preserve">? </w:t>
      </w:r>
      <w:r>
        <w:rPr>
          <w:kern w:val="0"/>
        </w:rPr>
        <w:t>Fine, M.A.</w:t>
      </w:r>
      <w:r w:rsidR="005853A9">
        <w:rPr>
          <w:kern w:val="0"/>
        </w:rPr>
        <w:t xml:space="preserve"> and </w:t>
      </w:r>
      <w:r>
        <w:rPr>
          <w:kern w:val="0"/>
        </w:rPr>
        <w:t>Kurdek, L.A. (1993), Reflections on determining authorship credit</w:t>
      </w:r>
      <w:r w:rsidR="005853A9">
        <w:rPr>
          <w:kern w:val="0"/>
        </w:rPr>
        <w:t xml:space="preserve"> and </w:t>
      </w:r>
      <w:r>
        <w:rPr>
          <w:kern w:val="0"/>
        </w:rPr>
        <w:t xml:space="preserve">authorship order on faculty student collaborations. </w:t>
      </w:r>
      <w:r>
        <w:rPr>
          <w:i/>
          <w:iCs/>
          <w:kern w:val="0"/>
        </w:rPr>
        <w:t>American Psychologist</w:t>
      </w:r>
      <w:r>
        <w:rPr>
          <w:kern w:val="0"/>
        </w:rPr>
        <w:t xml:space="preserve">, </w:t>
      </w:r>
      <w:r>
        <w:rPr>
          <w:b/>
          <w:bCs/>
          <w:kern w:val="0"/>
        </w:rPr>
        <w:t>48</w:t>
      </w:r>
      <w:r>
        <w:rPr>
          <w:kern w:val="0"/>
        </w:rPr>
        <w:t xml:space="preserve"> (11), 1141-1147.</w:t>
      </w:r>
    </w:p>
    <w:p w:rsidR="00082F91" w:rsidRPr="00F219CA" w:rsidRDefault="00082F91" w:rsidP="00082F91">
      <w:pPr>
        <w:pStyle w:val="a3"/>
      </w:pPr>
      <w:r w:rsidRPr="00F219CA">
        <w:t xml:space="preserve">Full Text: </w:t>
      </w:r>
      <w:hyperlink r:id="rId665" w:history="1">
        <w:r w:rsidRPr="008F0265">
          <w:rPr>
            <w:rStyle w:val="a5"/>
          </w:rPr>
          <w:t>1993\Ame Psy48, 1141.pdf</w:t>
        </w:r>
      </w:hyperlink>
    </w:p>
    <w:p w:rsidR="00082F91" w:rsidRDefault="00082F91" w:rsidP="00082F91">
      <w:pPr>
        <w:pStyle w:val="a3"/>
        <w:rPr>
          <w:kern w:val="0"/>
        </w:rPr>
      </w:pPr>
      <w:r>
        <w:rPr>
          <w:kern w:val="0"/>
        </w:rPr>
        <w:t>Abstract:</w:t>
      </w:r>
      <w:r w:rsidR="003A1917">
        <w:rPr>
          <w:kern w:val="0"/>
        </w:rPr>
        <w:t xml:space="preserve"> the </w:t>
      </w:r>
      <w:r>
        <w:rPr>
          <w:kern w:val="0"/>
        </w:rPr>
        <w:t>purpose</w:t>
      </w:r>
      <w:r w:rsidR="00427468">
        <w:rPr>
          <w:kern w:val="0"/>
        </w:rPr>
        <w:t xml:space="preserve"> of </w:t>
      </w:r>
      <w:r>
        <w:rPr>
          <w:kern w:val="0"/>
        </w:rPr>
        <w:t>this article is to explore</w:t>
      </w:r>
      <w:r w:rsidR="003A1917">
        <w:rPr>
          <w:kern w:val="0"/>
        </w:rPr>
        <w:t xml:space="preserve"> the </w:t>
      </w:r>
      <w:r>
        <w:rPr>
          <w:kern w:val="0"/>
        </w:rPr>
        <w:t>process</w:t>
      </w:r>
      <w:r w:rsidR="00427468">
        <w:rPr>
          <w:kern w:val="0"/>
        </w:rPr>
        <w:t xml:space="preserve"> of </w:t>
      </w:r>
      <w:r>
        <w:rPr>
          <w:kern w:val="0"/>
        </w:rPr>
        <w:t>determining authorship credit</w:t>
      </w:r>
      <w:r w:rsidR="005853A9">
        <w:rPr>
          <w:kern w:val="0"/>
        </w:rPr>
        <w:t xml:space="preserve"> and </w:t>
      </w:r>
      <w:r>
        <w:rPr>
          <w:kern w:val="0"/>
        </w:rPr>
        <w:t>authorship order on collaborative publications with students</w:t>
      </w:r>
      <w:r w:rsidR="00A37C1D">
        <w:rPr>
          <w:kern w:val="0"/>
        </w:rPr>
        <w:t>. The</w:t>
      </w:r>
      <w:r w:rsidR="003A1917">
        <w:rPr>
          <w:kern w:val="0"/>
        </w:rPr>
        <w:t xml:space="preserve"> </w:t>
      </w:r>
      <w:r>
        <w:rPr>
          <w:kern w:val="0"/>
        </w:rPr>
        <w:t>article presents hypothetical cases that describe relevant ethical issues, highlights ethical principles that could provide assistance in addressing these dilemmas,</w:t>
      </w:r>
      <w:r w:rsidR="005853A9">
        <w:rPr>
          <w:kern w:val="0"/>
        </w:rPr>
        <w:t xml:space="preserve"> and </w:t>
      </w:r>
      <w:r>
        <w:rPr>
          <w:kern w:val="0"/>
        </w:rPr>
        <w:t>makes recommendations to faculty who collaborate with students on scholarly projects. It is proposed that authorship credit</w:t>
      </w:r>
      <w:r w:rsidR="005853A9">
        <w:rPr>
          <w:kern w:val="0"/>
        </w:rPr>
        <w:t xml:space="preserve"> and </w:t>
      </w:r>
      <w:r>
        <w:rPr>
          <w:kern w:val="0"/>
        </w:rPr>
        <w:t>order decisions should be based on</w:t>
      </w:r>
      <w:r w:rsidR="003A1917">
        <w:rPr>
          <w:kern w:val="0"/>
        </w:rPr>
        <w:t xml:space="preserve"> the </w:t>
      </w:r>
      <w:r>
        <w:rPr>
          <w:kern w:val="0"/>
        </w:rPr>
        <w:t>relative scholarly abilities</w:t>
      </w:r>
      <w:r w:rsidR="005853A9">
        <w:rPr>
          <w:kern w:val="0"/>
        </w:rPr>
        <w:t xml:space="preserve"> and </w:t>
      </w:r>
      <w:r>
        <w:rPr>
          <w:kern w:val="0"/>
        </w:rPr>
        <w:t>professional contributions</w:t>
      </w:r>
      <w:r w:rsidR="00427468">
        <w:rPr>
          <w:kern w:val="0"/>
        </w:rPr>
        <w:t xml:space="preserve"> of </w:t>
      </w:r>
      <w:r w:rsidR="003A1917">
        <w:rPr>
          <w:kern w:val="0"/>
        </w:rPr>
        <w:t xml:space="preserve">the </w:t>
      </w:r>
      <w:r>
        <w:rPr>
          <w:kern w:val="0"/>
        </w:rPr>
        <w:t>collaborators. Furthermore, it is recommended that both faculty</w:t>
      </w:r>
      <w:r w:rsidR="005853A9">
        <w:rPr>
          <w:kern w:val="0"/>
        </w:rPr>
        <w:t xml:space="preserve"> and </w:t>
      </w:r>
      <w:r>
        <w:rPr>
          <w:kern w:val="0"/>
        </w:rPr>
        <w:t>students participate in</w:t>
      </w:r>
      <w:r w:rsidR="003A1917">
        <w:rPr>
          <w:kern w:val="0"/>
        </w:rPr>
        <w:t xml:space="preserve"> the </w:t>
      </w:r>
      <w:r>
        <w:rPr>
          <w:kern w:val="0"/>
        </w:rPr>
        <w:t>authorship decision-making process early in</w:t>
      </w:r>
      <w:r w:rsidR="003A1917">
        <w:rPr>
          <w:kern w:val="0"/>
        </w:rPr>
        <w:t xml:space="preserve"> the </w:t>
      </w:r>
      <w:r>
        <w:rPr>
          <w:kern w:val="0"/>
        </w:rPr>
        <w:t>collaborative endeavor.</w:t>
      </w:r>
    </w:p>
    <w:p w:rsidR="00082F91" w:rsidRDefault="00082F91" w:rsidP="00082F91">
      <w:pPr>
        <w:pStyle w:val="a3"/>
        <w:rPr>
          <w:kern w:val="0"/>
        </w:rPr>
      </w:pPr>
      <w:r>
        <w:rPr>
          <w:kern w:val="0"/>
        </w:rPr>
        <w:lastRenderedPageBreak/>
        <w:t>Keywords: Authorship, Ethics, Psychologists, Publications</w:t>
      </w:r>
    </w:p>
    <w:p w:rsidR="00AB6E3D" w:rsidRDefault="00AB6E3D" w:rsidP="00AB6E3D">
      <w:pPr>
        <w:pStyle w:val="a3"/>
        <w:rPr>
          <w:kern w:val="0"/>
        </w:rPr>
      </w:pPr>
      <w:r>
        <w:rPr>
          <w:rFonts w:hint="eastAsia"/>
          <w:kern w:val="0"/>
        </w:rPr>
        <w:t xml:space="preserve">? </w:t>
      </w:r>
      <w:r>
        <w:rPr>
          <w:kern w:val="0"/>
        </w:rPr>
        <w:t>Thompson, B. (1994</w:t>
      </w:r>
      <w:r w:rsidR="00F42EAC">
        <w:rPr>
          <w:kern w:val="0"/>
        </w:rPr>
        <w:t>), The</w:t>
      </w:r>
      <w:r w:rsidR="003A1917">
        <w:rPr>
          <w:kern w:val="0"/>
        </w:rPr>
        <w:t xml:space="preserve"> </w:t>
      </w:r>
      <w:r>
        <w:rPr>
          <w:kern w:val="0"/>
        </w:rPr>
        <w:t xml:space="preserve">big picture(s) in deciding authorship order. </w:t>
      </w:r>
      <w:r>
        <w:rPr>
          <w:i/>
          <w:iCs/>
          <w:kern w:val="0"/>
        </w:rPr>
        <w:t>American Psychologist</w:t>
      </w:r>
      <w:r>
        <w:rPr>
          <w:kern w:val="0"/>
        </w:rPr>
        <w:t xml:space="preserve">, </w:t>
      </w:r>
      <w:r>
        <w:rPr>
          <w:b/>
          <w:bCs/>
          <w:kern w:val="0"/>
        </w:rPr>
        <w:t>49</w:t>
      </w:r>
      <w:r>
        <w:rPr>
          <w:kern w:val="0"/>
        </w:rPr>
        <w:t xml:space="preserve"> (12), 1095-1096</w:t>
      </w:r>
      <w:r>
        <w:rPr>
          <w:rFonts w:hint="eastAsia"/>
          <w:kern w:val="0"/>
        </w:rPr>
        <w:t>.</w:t>
      </w:r>
    </w:p>
    <w:p w:rsidR="00AB6E3D" w:rsidRPr="001A3D2B" w:rsidRDefault="00AB6E3D" w:rsidP="00AB6E3D">
      <w:pPr>
        <w:pStyle w:val="a3"/>
      </w:pPr>
      <w:r w:rsidRPr="001A3D2B">
        <w:t xml:space="preserve">Full Text: </w:t>
      </w:r>
      <w:hyperlink r:id="rId666" w:history="1">
        <w:r w:rsidRPr="00AB6E3D">
          <w:rPr>
            <w:rStyle w:val="a5"/>
          </w:rPr>
          <w:t>1994\Ame Psy49, 1095.pdf</w:t>
        </w:r>
      </w:hyperlink>
    </w:p>
    <w:p w:rsidR="00AB6E3D" w:rsidRDefault="00AB6E3D" w:rsidP="00AB6E3D">
      <w:pPr>
        <w:pStyle w:val="a3"/>
        <w:rPr>
          <w:kern w:val="0"/>
        </w:rPr>
      </w:pPr>
      <w:r>
        <w:rPr>
          <w:kern w:val="0"/>
        </w:rPr>
        <w:t>Keywords: Authorship</w:t>
      </w:r>
    </w:p>
    <w:p w:rsidR="003474F2" w:rsidRPr="001A3D2B" w:rsidRDefault="003474F2" w:rsidP="003474F2">
      <w:pPr>
        <w:pStyle w:val="a3"/>
      </w:pPr>
      <w:r w:rsidRPr="001A3D2B">
        <w:t xml:space="preserve">? Gibson, K.R. (2000), Corroboration. </w:t>
      </w:r>
      <w:r w:rsidRPr="001A3D2B">
        <w:rPr>
          <w:i/>
          <w:iCs/>
        </w:rPr>
        <w:t>American Psychologist</w:t>
      </w:r>
      <w:r w:rsidRPr="001A3D2B">
        <w:t xml:space="preserve">, </w:t>
      </w:r>
      <w:r w:rsidRPr="001A3D2B">
        <w:rPr>
          <w:b/>
          <w:bCs/>
        </w:rPr>
        <w:t>55</w:t>
      </w:r>
      <w:r w:rsidRPr="001A3D2B">
        <w:t xml:space="preserve"> (2), 271-272.</w:t>
      </w:r>
    </w:p>
    <w:p w:rsidR="003474F2" w:rsidRPr="001A3D2B" w:rsidRDefault="003474F2" w:rsidP="003474F2">
      <w:pPr>
        <w:pStyle w:val="a3"/>
      </w:pPr>
      <w:r w:rsidRPr="001A3D2B">
        <w:t xml:space="preserve">Full Text: </w:t>
      </w:r>
      <w:hyperlink r:id="rId667" w:history="1">
        <w:r w:rsidRPr="001A3D2B">
          <w:rPr>
            <w:rStyle w:val="a5"/>
          </w:rPr>
          <w:t>2000\Ame Psy55, 271.pdf</w:t>
        </w:r>
      </w:hyperlink>
    </w:p>
    <w:p w:rsidR="003474F2" w:rsidRPr="001A3D2B" w:rsidRDefault="003474F2" w:rsidP="003474F2">
      <w:pPr>
        <w:pStyle w:val="a3"/>
      </w:pPr>
      <w:r w:rsidRPr="001A3D2B">
        <w:t xml:space="preserve">? Martens, M.P. (2000), Difficulties in analyzing trends in psychology. </w:t>
      </w:r>
      <w:r w:rsidRPr="001A3D2B">
        <w:rPr>
          <w:i/>
        </w:rPr>
        <w:t>American Psychologist</w:t>
      </w:r>
      <w:r w:rsidRPr="001A3D2B">
        <w:t xml:space="preserve">, </w:t>
      </w:r>
      <w:r w:rsidRPr="001A3D2B">
        <w:rPr>
          <w:b/>
          <w:bCs/>
        </w:rPr>
        <w:t>55</w:t>
      </w:r>
      <w:r w:rsidRPr="001A3D2B">
        <w:t xml:space="preserve"> (2), 272-273.</w:t>
      </w:r>
    </w:p>
    <w:p w:rsidR="003474F2" w:rsidRPr="001A3D2B" w:rsidRDefault="003474F2" w:rsidP="003474F2">
      <w:pPr>
        <w:pStyle w:val="a3"/>
      </w:pPr>
      <w:r w:rsidRPr="001A3D2B">
        <w:t xml:space="preserve">Full Text: </w:t>
      </w:r>
      <w:hyperlink r:id="rId668" w:history="1">
        <w:r w:rsidRPr="001A3D2B">
          <w:rPr>
            <w:rStyle w:val="a5"/>
          </w:rPr>
          <w:t>2000\Ame Psy55, 272.pdf</w:t>
        </w:r>
      </w:hyperlink>
    </w:p>
    <w:p w:rsidR="003474F2" w:rsidRPr="001A3D2B" w:rsidRDefault="003474F2" w:rsidP="003474F2">
      <w:pPr>
        <w:pStyle w:val="a3"/>
      </w:pPr>
      <w:r w:rsidRPr="001A3D2B">
        <w:t>Keywords: Psychology, Trends</w:t>
      </w:r>
    </w:p>
    <w:p w:rsidR="003474F2" w:rsidRPr="001A3D2B" w:rsidRDefault="003474F2" w:rsidP="003474F2">
      <w:pPr>
        <w:pStyle w:val="a3"/>
        <w:rPr>
          <w:rStyle w:val="a4"/>
        </w:rPr>
      </w:pPr>
      <w:r w:rsidRPr="001A3D2B">
        <w:t>? Friman, P.C., Allen, K.D., Kerwin, M.L.E.</w:t>
      </w:r>
      <w:r w:rsidR="005853A9">
        <w:t xml:space="preserve"> and </w:t>
      </w:r>
      <w:r w:rsidRPr="001A3D2B">
        <w:t xml:space="preserve">Larzelere, R. (2000), Questionable validity, not vitality. </w:t>
      </w:r>
      <w:r w:rsidRPr="001A3D2B">
        <w:rPr>
          <w:i/>
          <w:iCs/>
        </w:rPr>
        <w:t>American Psychologist</w:t>
      </w:r>
      <w:r w:rsidRPr="001A3D2B">
        <w:rPr>
          <w:rStyle w:val="a4"/>
        </w:rPr>
        <w:t xml:space="preserve">, </w:t>
      </w:r>
      <w:r w:rsidRPr="001A3D2B">
        <w:rPr>
          <w:b/>
          <w:bCs/>
        </w:rPr>
        <w:t>55</w:t>
      </w:r>
      <w:r w:rsidRPr="001A3D2B">
        <w:rPr>
          <w:rStyle w:val="a4"/>
        </w:rPr>
        <w:t xml:space="preserve"> (2), 274-275.</w:t>
      </w:r>
    </w:p>
    <w:p w:rsidR="003474F2" w:rsidRPr="001A3D2B" w:rsidRDefault="003474F2" w:rsidP="003474F2">
      <w:pPr>
        <w:pStyle w:val="a3"/>
      </w:pPr>
      <w:r w:rsidRPr="001A3D2B">
        <w:t xml:space="preserve">Full Text: </w:t>
      </w:r>
      <w:hyperlink r:id="rId669" w:history="1">
        <w:r w:rsidRPr="001A3D2B">
          <w:rPr>
            <w:rStyle w:val="a5"/>
          </w:rPr>
          <w:t>2000\Ame Psy55, 274.pdf</w:t>
        </w:r>
      </w:hyperlink>
    </w:p>
    <w:p w:rsidR="003474F2" w:rsidRPr="001A3D2B" w:rsidRDefault="003474F2" w:rsidP="003474F2">
      <w:pPr>
        <w:pStyle w:val="a3"/>
      </w:pPr>
      <w:r w:rsidRPr="001A3D2B">
        <w:t>Keywords: Validity</w:t>
      </w:r>
    </w:p>
    <w:p w:rsidR="003474F2" w:rsidRPr="001A3D2B" w:rsidRDefault="003474F2" w:rsidP="003474F2">
      <w:pPr>
        <w:pStyle w:val="a3"/>
      </w:pPr>
      <w:r w:rsidRPr="001A3D2B">
        <w:t>? Marin, G.N. (2000</w:t>
      </w:r>
      <w:r w:rsidR="00F42EAC">
        <w:t>), The</w:t>
      </w:r>
      <w:r w:rsidRPr="001A3D2B">
        <w:t>re</w:t>
      </w:r>
      <w:r w:rsidR="00700038">
        <w:t>’</w:t>
      </w:r>
      <w:r w:rsidR="00C13DDC">
        <w:t>s</w:t>
      </w:r>
      <w:r w:rsidRPr="001A3D2B">
        <w:t xml:space="preserve"> more neuroscience. </w:t>
      </w:r>
      <w:r w:rsidRPr="001A3D2B">
        <w:rPr>
          <w:i/>
          <w:iCs/>
        </w:rPr>
        <w:t>American Psychologist</w:t>
      </w:r>
      <w:r w:rsidRPr="001A3D2B">
        <w:t xml:space="preserve">, </w:t>
      </w:r>
      <w:r w:rsidRPr="001A3D2B">
        <w:rPr>
          <w:b/>
          <w:bCs/>
        </w:rPr>
        <w:t>55</w:t>
      </w:r>
      <w:r w:rsidRPr="001A3D2B">
        <w:t xml:space="preserve"> (2), 275-276.</w:t>
      </w:r>
    </w:p>
    <w:p w:rsidR="003474F2" w:rsidRPr="001A3D2B" w:rsidRDefault="003474F2" w:rsidP="003474F2">
      <w:pPr>
        <w:pStyle w:val="a3"/>
      </w:pPr>
      <w:r w:rsidRPr="001A3D2B">
        <w:t xml:space="preserve">Full Text: </w:t>
      </w:r>
      <w:hyperlink r:id="rId670" w:history="1">
        <w:r w:rsidRPr="001A3D2B">
          <w:rPr>
            <w:rStyle w:val="a5"/>
          </w:rPr>
          <w:t>2000\Ame Psy55, 275.pdf</w:t>
        </w:r>
      </w:hyperlink>
    </w:p>
    <w:p w:rsidR="003474F2" w:rsidRPr="001A3D2B" w:rsidRDefault="003474F2" w:rsidP="003474F2">
      <w:pPr>
        <w:pStyle w:val="a3"/>
      </w:pPr>
      <w:r w:rsidRPr="001A3D2B">
        <w:t>? Robins, R.W., Gosling, S.D.</w:t>
      </w:r>
      <w:r w:rsidR="005853A9">
        <w:t xml:space="preserve"> and </w:t>
      </w:r>
      <w:r w:rsidRPr="001A3D2B">
        <w:t xml:space="preserve">Craik, K.H. (2000), Trends in psychology: An empirical issue. </w:t>
      </w:r>
      <w:r w:rsidRPr="001A3D2B">
        <w:rPr>
          <w:i/>
          <w:iCs/>
        </w:rPr>
        <w:t>American Psychologist</w:t>
      </w:r>
      <w:r w:rsidRPr="001A3D2B">
        <w:t xml:space="preserve">, </w:t>
      </w:r>
      <w:r w:rsidRPr="001A3D2B">
        <w:rPr>
          <w:b/>
          <w:bCs/>
        </w:rPr>
        <w:t>55</w:t>
      </w:r>
      <w:r w:rsidRPr="001A3D2B">
        <w:t xml:space="preserve"> (2), 276-277.</w:t>
      </w:r>
    </w:p>
    <w:p w:rsidR="003474F2" w:rsidRPr="001A3D2B" w:rsidRDefault="003474F2" w:rsidP="003474F2">
      <w:pPr>
        <w:pStyle w:val="a3"/>
      </w:pPr>
      <w:r w:rsidRPr="001A3D2B">
        <w:t xml:space="preserve">Full Text: </w:t>
      </w:r>
      <w:hyperlink r:id="rId671" w:history="1">
        <w:r w:rsidRPr="001A3D2B">
          <w:rPr>
            <w:rStyle w:val="a5"/>
          </w:rPr>
          <w:t>2000\Ame Psy55, 276.pdf</w:t>
        </w:r>
      </w:hyperlink>
    </w:p>
    <w:p w:rsidR="003474F2" w:rsidRPr="001A3D2B" w:rsidRDefault="003474F2" w:rsidP="003474F2">
      <w:pPr>
        <w:pStyle w:val="a3"/>
      </w:pPr>
      <w:r w:rsidRPr="001A3D2B">
        <w:t>Keywords: Psychology</w:t>
      </w:r>
    </w:p>
    <w:p w:rsidR="008D7D2B" w:rsidRDefault="008D7D2B" w:rsidP="008D7D2B">
      <w:pPr>
        <w:pStyle w:val="a3"/>
        <w:rPr>
          <w:kern w:val="0"/>
        </w:rPr>
      </w:pPr>
      <w:r>
        <w:rPr>
          <w:rFonts w:hint="eastAsia"/>
          <w:kern w:val="0"/>
        </w:rPr>
        <w:t xml:space="preserve">? </w:t>
      </w:r>
      <w:r>
        <w:rPr>
          <w:kern w:val="0"/>
        </w:rPr>
        <w:t>Anseel, F., Duyck, W., De Baene, W.</w:t>
      </w:r>
      <w:r w:rsidR="005853A9">
        <w:rPr>
          <w:kern w:val="0"/>
        </w:rPr>
        <w:t xml:space="preserve"> and </w:t>
      </w:r>
      <w:r>
        <w:rPr>
          <w:kern w:val="0"/>
        </w:rPr>
        <w:t>Brysbaert, M. (2004), Journal impact factors</w:t>
      </w:r>
      <w:r w:rsidR="005853A9">
        <w:rPr>
          <w:kern w:val="0"/>
        </w:rPr>
        <w:t xml:space="preserve"> and </w:t>
      </w:r>
      <w:r>
        <w:rPr>
          <w:kern w:val="0"/>
        </w:rPr>
        <w:t xml:space="preserve">self-citations: Implications for psychology journals. </w:t>
      </w:r>
      <w:r>
        <w:rPr>
          <w:i/>
          <w:iCs/>
          <w:kern w:val="0"/>
        </w:rPr>
        <w:t>American Psychologist</w:t>
      </w:r>
      <w:r>
        <w:rPr>
          <w:kern w:val="0"/>
        </w:rPr>
        <w:t xml:space="preserve">, </w:t>
      </w:r>
      <w:r>
        <w:rPr>
          <w:b/>
          <w:bCs/>
          <w:kern w:val="0"/>
        </w:rPr>
        <w:t>59</w:t>
      </w:r>
      <w:r>
        <w:rPr>
          <w:kern w:val="0"/>
        </w:rPr>
        <w:t xml:space="preserve"> (1), 49-51</w:t>
      </w:r>
    </w:p>
    <w:p w:rsidR="008D7D2B" w:rsidRPr="00F219CA" w:rsidRDefault="008D7D2B" w:rsidP="008D7D2B">
      <w:pPr>
        <w:pStyle w:val="a3"/>
      </w:pPr>
      <w:r w:rsidRPr="00F219CA">
        <w:t xml:space="preserve">Full Text: </w:t>
      </w:r>
      <w:hyperlink r:id="rId672" w:history="1">
        <w:r w:rsidRPr="00AB307E">
          <w:rPr>
            <w:rStyle w:val="a5"/>
          </w:rPr>
          <w:t>2004\Ame Psy59, 49.pdf</w:t>
        </w:r>
      </w:hyperlink>
    </w:p>
    <w:p w:rsidR="008D7D2B" w:rsidRDefault="008D7D2B" w:rsidP="008D7D2B">
      <w:pPr>
        <w:pStyle w:val="a3"/>
        <w:rPr>
          <w:kern w:val="0"/>
        </w:rPr>
      </w:pPr>
      <w:r>
        <w:rPr>
          <w:kern w:val="0"/>
        </w:rPr>
        <w:t>Keywords: Journals, Quality, Self-Citations</w:t>
      </w:r>
    </w:p>
    <w:p w:rsidR="005E5262" w:rsidRPr="001A3D2B" w:rsidRDefault="005E5262" w:rsidP="005E5262">
      <w:pPr>
        <w:pStyle w:val="a3"/>
      </w:pPr>
      <w:r w:rsidRPr="001A3D2B">
        <w:t xml:space="preserve">? </w:t>
      </w:r>
      <w:r>
        <w:t>Stroebe</w:t>
      </w:r>
      <w:r>
        <w:rPr>
          <w:rFonts w:hint="eastAsia"/>
        </w:rPr>
        <w:t>,</w:t>
      </w:r>
      <w:r>
        <w:t xml:space="preserve"> W</w:t>
      </w:r>
      <w:r>
        <w:rPr>
          <w:rFonts w:hint="eastAsia"/>
        </w:rPr>
        <w:t>.</w:t>
      </w:r>
      <w:r w:rsidRPr="001A3D2B">
        <w:t xml:space="preserve"> (2000</w:t>
      </w:r>
      <w:r w:rsidR="00F42EAC">
        <w:t>), The</w:t>
      </w:r>
      <w:r w:rsidR="003A1917">
        <w:t xml:space="preserve"> </w:t>
      </w:r>
      <w:r>
        <w:t>graying</w:t>
      </w:r>
      <w:r w:rsidR="00427468">
        <w:t xml:space="preserve"> of </w:t>
      </w:r>
      <w:r>
        <w:t>academia will it reduce scientific productivity?</w:t>
      </w:r>
      <w:r w:rsidRPr="001A3D2B">
        <w:t xml:space="preserve"> </w:t>
      </w:r>
      <w:r w:rsidRPr="001A3D2B">
        <w:rPr>
          <w:i/>
          <w:iCs/>
        </w:rPr>
        <w:t>American Psychologist</w:t>
      </w:r>
      <w:r w:rsidRPr="001A3D2B">
        <w:t xml:space="preserve">, </w:t>
      </w:r>
      <w:r>
        <w:rPr>
          <w:rFonts w:hint="eastAsia"/>
          <w:b/>
          <w:bCs/>
        </w:rPr>
        <w:t>6</w:t>
      </w:r>
      <w:r w:rsidRPr="001A3D2B">
        <w:rPr>
          <w:b/>
          <w:bCs/>
        </w:rPr>
        <w:t>5</w:t>
      </w:r>
      <w:r w:rsidRPr="001A3D2B">
        <w:t xml:space="preserve"> (</w:t>
      </w:r>
      <w:r>
        <w:rPr>
          <w:rFonts w:hint="eastAsia"/>
        </w:rPr>
        <w:t>7</w:t>
      </w:r>
      <w:r w:rsidRPr="001A3D2B">
        <w:t xml:space="preserve">), </w:t>
      </w:r>
      <w:r>
        <w:t>660-673</w:t>
      </w:r>
      <w:r w:rsidRPr="001A3D2B">
        <w:t>.</w:t>
      </w:r>
    </w:p>
    <w:p w:rsidR="005E5262" w:rsidRDefault="005E5262" w:rsidP="005E5262">
      <w:pPr>
        <w:pStyle w:val="a3"/>
      </w:pPr>
      <w:r w:rsidRPr="001A3D2B">
        <w:t xml:space="preserve">Full Text: </w:t>
      </w:r>
      <w:hyperlink r:id="rId673" w:history="1">
        <w:r w:rsidRPr="005E5262">
          <w:rPr>
            <w:rStyle w:val="a5"/>
          </w:rPr>
          <w:t>2010\Ame Psy65, 660.pdf</w:t>
        </w:r>
      </w:hyperlink>
    </w:p>
    <w:p w:rsidR="005E5262" w:rsidRDefault="005E5262" w:rsidP="005E5262">
      <w:pPr>
        <w:pStyle w:val="a3"/>
      </w:pPr>
      <w:r>
        <w:t>Abstract:</w:t>
      </w:r>
      <w:r w:rsidR="003A1917">
        <w:t xml:space="preserve"> the </w:t>
      </w:r>
      <w:r>
        <w:t>belief that science is a young person</w:t>
      </w:r>
      <w:r w:rsidR="00700038">
        <w:t>’</w:t>
      </w:r>
      <w:r w:rsidR="00C13DDC">
        <w:t>s</w:t>
      </w:r>
      <w:r>
        <w:t xml:space="preserve"> game</w:t>
      </w:r>
      <w:r w:rsidR="005853A9">
        <w:t xml:space="preserve"> and </w:t>
      </w:r>
      <w:r>
        <w:t>that only young scientists can be productive</w:t>
      </w:r>
      <w:r w:rsidR="005853A9">
        <w:t xml:space="preserve"> and </w:t>
      </w:r>
      <w:r>
        <w:t>publish high-quality research is still widely shared by university administrators</w:t>
      </w:r>
      <w:r w:rsidR="005853A9">
        <w:t xml:space="preserve"> and </w:t>
      </w:r>
      <w:r>
        <w:t>members</w:t>
      </w:r>
      <w:r w:rsidR="00427468">
        <w:t xml:space="preserve"> of </w:t>
      </w:r>
      <w:r w:rsidR="003A1917">
        <w:t xml:space="preserve">the </w:t>
      </w:r>
      <w:r>
        <w:t>scientific community. Since</w:t>
      </w:r>
      <w:r w:rsidR="003A1917">
        <w:t xml:space="preserve"> the </w:t>
      </w:r>
      <w:r>
        <w:t>average age</w:t>
      </w:r>
      <w:r w:rsidR="00427468">
        <w:t xml:space="preserve"> of </w:t>
      </w:r>
      <w:r>
        <w:t>university faculties is increasing not only in</w:t>
      </w:r>
      <w:r w:rsidR="003A1917">
        <w:t xml:space="preserve"> the </w:t>
      </w:r>
      <w:r>
        <w:t>United States but also in Europe,</w:t>
      </w:r>
      <w:r w:rsidR="003A1917">
        <w:t xml:space="preserve"> the </w:t>
      </w:r>
      <w:r>
        <w:t>question arises as to whether this belief is correct. If it were valid,</w:t>
      </w:r>
      <w:r w:rsidR="003A1917">
        <w:t xml:space="preserve"> the </w:t>
      </w:r>
      <w:r>
        <w:t>abolition</w:t>
      </w:r>
      <w:r w:rsidR="00427468">
        <w:t xml:space="preserve"> of </w:t>
      </w:r>
      <w:r>
        <w:t>compulsory retirement in</w:t>
      </w:r>
      <w:r w:rsidR="003A1917">
        <w:t xml:space="preserve"> the </w:t>
      </w:r>
      <w:r>
        <w:t>United States</w:t>
      </w:r>
      <w:r w:rsidR="005853A9">
        <w:t xml:space="preserve"> and </w:t>
      </w:r>
      <w:r>
        <w:t>some parts</w:t>
      </w:r>
      <w:r w:rsidR="00427468">
        <w:t xml:space="preserve"> of </w:t>
      </w:r>
      <w:r>
        <w:t>Canada would lower</w:t>
      </w:r>
      <w:r w:rsidR="003A1917">
        <w:t xml:space="preserve"> the </w:t>
      </w:r>
      <w:r>
        <w:t>productivity</w:t>
      </w:r>
      <w:r w:rsidR="00427468">
        <w:t xml:space="preserve"> of </w:t>
      </w:r>
      <w:r>
        <w:t>these university systems. To address this question, this article reviews research on</w:t>
      </w:r>
      <w:r w:rsidR="003A1917">
        <w:t xml:space="preserve"> the </w:t>
      </w:r>
      <w:r>
        <w:t>association</w:t>
      </w:r>
      <w:r w:rsidR="00427468">
        <w:t xml:space="preserve"> of </w:t>
      </w:r>
      <w:r>
        <w:t>age</w:t>
      </w:r>
      <w:r w:rsidR="005853A9">
        <w:t xml:space="preserve"> and </w:t>
      </w:r>
      <w:r>
        <w:t>scientific productivity conducted during</w:t>
      </w:r>
      <w:r w:rsidR="003A1917">
        <w:t xml:space="preserve"> the </w:t>
      </w:r>
      <w:r>
        <w:t>last four decades in North America</w:t>
      </w:r>
      <w:r w:rsidR="005853A9">
        <w:t xml:space="preserve"> and </w:t>
      </w:r>
      <w:r>
        <w:t xml:space="preserve">Europe. Whereas early </w:t>
      </w:r>
      <w:r>
        <w:lastRenderedPageBreak/>
        <w:t>research typically showed a decline in productivity after</w:t>
      </w:r>
      <w:r w:rsidR="003A1917">
        <w:t xml:space="preserve"> the </w:t>
      </w:r>
      <w:r>
        <w:t>ages</w:t>
      </w:r>
      <w:r w:rsidR="00427468">
        <w:t xml:space="preserve"> of </w:t>
      </w:r>
      <w:r>
        <w:t>40 to 45 years, this decline has been absent in more recent studies. Explanations for this change are discussed.</w:t>
      </w:r>
    </w:p>
    <w:p w:rsidR="005E5262" w:rsidRPr="001A3D2B" w:rsidRDefault="005E5262" w:rsidP="005E5262">
      <w:pPr>
        <w:pStyle w:val="a3"/>
      </w:pPr>
      <w:r>
        <w:t>Keywords: Academic Productivity, Scientific Achievement, Age Discrimination, Creative Potential, Cum Laude Doctorates, Bibliometric Indicators, Mandatory Retirement, Brainstorming Groups, Faculty Retirement, Age, Impact, Psychologists, Personality, Performance</w:t>
      </w:r>
    </w:p>
    <w:p w:rsidR="000C5143" w:rsidRPr="001A3D2B" w:rsidRDefault="000C5143" w:rsidP="000C5143">
      <w:pPr>
        <w:pStyle w:val="1"/>
      </w:pPr>
      <w:r w:rsidRPr="001A3D2B">
        <w:br w:type="page"/>
      </w:r>
      <w:bookmarkStart w:id="353" w:name="_Toc420814441"/>
      <w:r w:rsidRPr="001A3D2B">
        <w:lastRenderedPageBreak/>
        <w:t xml:space="preserve">Title: </w:t>
      </w:r>
      <w:r w:rsidRPr="000C5143">
        <w:t>American Review</w:t>
      </w:r>
      <w:r w:rsidR="00427468">
        <w:t xml:space="preserve"> of </w:t>
      </w:r>
      <w:r w:rsidRPr="000C5143">
        <w:t>Public Administration</w:t>
      </w:r>
      <w:bookmarkEnd w:id="353"/>
    </w:p>
    <w:p w:rsidR="000C5143" w:rsidRPr="001A3D2B" w:rsidRDefault="000C5143" w:rsidP="000C5143">
      <w:pPr>
        <w:pStyle w:val="12"/>
      </w:pPr>
      <w:r w:rsidRPr="001A3D2B">
        <w:t xml:space="preserve">Full Journal Title: </w:t>
      </w:r>
      <w:r w:rsidRPr="000C5143">
        <w:rPr>
          <w:iCs/>
          <w:kern w:val="0"/>
        </w:rPr>
        <w:t>American Review</w:t>
      </w:r>
      <w:r w:rsidR="00427468">
        <w:rPr>
          <w:iCs/>
          <w:kern w:val="0"/>
        </w:rPr>
        <w:t xml:space="preserve"> of </w:t>
      </w:r>
      <w:r w:rsidRPr="000C5143">
        <w:rPr>
          <w:iCs/>
          <w:kern w:val="0"/>
        </w:rPr>
        <w:t>Public Administration</w:t>
      </w:r>
    </w:p>
    <w:p w:rsidR="000C5143" w:rsidRPr="001A3D2B" w:rsidRDefault="000C5143" w:rsidP="000C5143">
      <w:pPr>
        <w:pStyle w:val="12"/>
      </w:pPr>
      <w:r w:rsidRPr="001A3D2B">
        <w:t xml:space="preserve">ISO Abbreviated Title: </w:t>
      </w:r>
    </w:p>
    <w:p w:rsidR="000C5143" w:rsidRPr="001A3D2B" w:rsidRDefault="000C5143" w:rsidP="000C5143">
      <w:pPr>
        <w:pStyle w:val="12"/>
      </w:pPr>
      <w:r w:rsidRPr="001A3D2B">
        <w:t xml:space="preserve">JCR Abbreviated Title: </w:t>
      </w:r>
    </w:p>
    <w:p w:rsidR="000C5143" w:rsidRPr="001A3D2B" w:rsidRDefault="000C5143" w:rsidP="000C5143">
      <w:pPr>
        <w:pStyle w:val="12"/>
      </w:pPr>
      <w:r w:rsidRPr="001A3D2B">
        <w:t xml:space="preserve">ISSN: </w:t>
      </w:r>
    </w:p>
    <w:p w:rsidR="000C5143" w:rsidRPr="001A3D2B" w:rsidRDefault="000C5143" w:rsidP="000C5143">
      <w:pPr>
        <w:pStyle w:val="12"/>
      </w:pPr>
      <w:r w:rsidRPr="001A3D2B">
        <w:t xml:space="preserve">Issues/Year: </w:t>
      </w:r>
    </w:p>
    <w:p w:rsidR="000C5143" w:rsidRPr="001A3D2B" w:rsidRDefault="000C5143" w:rsidP="000C5143">
      <w:pPr>
        <w:pStyle w:val="12"/>
      </w:pPr>
      <w:r w:rsidRPr="001A3D2B">
        <w:t xml:space="preserve">Journal Country/Territory: </w:t>
      </w:r>
    </w:p>
    <w:p w:rsidR="000C5143" w:rsidRPr="001A3D2B" w:rsidRDefault="000C5143" w:rsidP="000C5143">
      <w:pPr>
        <w:pStyle w:val="12"/>
      </w:pPr>
      <w:r w:rsidRPr="001A3D2B">
        <w:t xml:space="preserve">Language: </w:t>
      </w:r>
    </w:p>
    <w:p w:rsidR="000C5143" w:rsidRPr="001A3D2B" w:rsidRDefault="000C5143" w:rsidP="000C5143">
      <w:pPr>
        <w:pStyle w:val="12"/>
      </w:pPr>
      <w:r w:rsidRPr="001A3D2B">
        <w:t xml:space="preserve">Publisher: </w:t>
      </w:r>
    </w:p>
    <w:p w:rsidR="000C5143" w:rsidRPr="001A3D2B" w:rsidRDefault="000C5143" w:rsidP="000C5143">
      <w:pPr>
        <w:pStyle w:val="12"/>
      </w:pPr>
      <w:r w:rsidRPr="001A3D2B">
        <w:t xml:space="preserve">Publisher Address: </w:t>
      </w:r>
    </w:p>
    <w:p w:rsidR="000C5143" w:rsidRPr="001A3D2B" w:rsidRDefault="000C5143" w:rsidP="000C5143">
      <w:pPr>
        <w:pStyle w:val="12"/>
      </w:pPr>
      <w:r w:rsidRPr="001A3D2B">
        <w:t xml:space="preserve">Subject Categories: </w:t>
      </w:r>
    </w:p>
    <w:p w:rsidR="000C5143" w:rsidRPr="001A3D2B" w:rsidRDefault="000C5143" w:rsidP="000C5143">
      <w:pPr>
        <w:pStyle w:val="12"/>
      </w:pPr>
      <w:r w:rsidRPr="001A3D2B">
        <w:t xml:space="preserve">: Impact Factor </w:t>
      </w:r>
    </w:p>
    <w:p w:rsidR="000C5143" w:rsidRDefault="000C5143" w:rsidP="000C5143">
      <w:pPr>
        <w:pStyle w:val="a3"/>
        <w:rPr>
          <w:kern w:val="0"/>
        </w:rPr>
      </w:pPr>
      <w:r>
        <w:rPr>
          <w:rFonts w:hint="eastAsia"/>
          <w:kern w:val="0"/>
        </w:rPr>
        <w:t xml:space="preserve">? </w:t>
      </w:r>
      <w:r>
        <w:rPr>
          <w:kern w:val="0"/>
        </w:rPr>
        <w:t>Walker, R.M., Brewer, G.A. and Choi, Y. (2014), Public administration research in east and southeast Asia: A review</w:t>
      </w:r>
      <w:r w:rsidR="00427468">
        <w:rPr>
          <w:kern w:val="0"/>
        </w:rPr>
        <w:t xml:space="preserve"> of </w:t>
      </w:r>
      <w:r>
        <w:rPr>
          <w:kern w:val="0"/>
        </w:rPr>
        <w:t xml:space="preserve">the English language evidence, 1999-2009. </w:t>
      </w:r>
      <w:r w:rsidRPr="000C5143">
        <w:rPr>
          <w:i/>
          <w:iCs/>
          <w:kern w:val="0"/>
        </w:rPr>
        <w:t>American Review</w:t>
      </w:r>
      <w:r w:rsidR="00427468">
        <w:rPr>
          <w:i/>
          <w:iCs/>
          <w:kern w:val="0"/>
        </w:rPr>
        <w:t xml:space="preserve"> of </w:t>
      </w:r>
      <w:r w:rsidRPr="000C5143">
        <w:rPr>
          <w:i/>
          <w:iCs/>
          <w:kern w:val="0"/>
        </w:rPr>
        <w:t>Public Administration</w:t>
      </w:r>
      <w:r>
        <w:rPr>
          <w:kern w:val="0"/>
        </w:rPr>
        <w:t xml:space="preserve">, </w:t>
      </w:r>
      <w:r>
        <w:rPr>
          <w:b/>
          <w:bCs/>
          <w:kern w:val="0"/>
        </w:rPr>
        <w:t>44</w:t>
      </w:r>
      <w:r>
        <w:rPr>
          <w:kern w:val="0"/>
        </w:rPr>
        <w:t xml:space="preserve"> (2), 131-150.</w:t>
      </w:r>
    </w:p>
    <w:p w:rsidR="000C5143" w:rsidRDefault="000C5143" w:rsidP="000C5143">
      <w:pPr>
        <w:pStyle w:val="a3"/>
        <w:rPr>
          <w:kern w:val="0"/>
        </w:rPr>
      </w:pPr>
      <w:r>
        <w:rPr>
          <w:rFonts w:hint="eastAsia"/>
          <w:kern w:val="0"/>
        </w:rPr>
        <w:t xml:space="preserve">Full Text: </w:t>
      </w:r>
      <w:hyperlink r:id="rId674" w:history="1">
        <w:r w:rsidRPr="000C5143">
          <w:rPr>
            <w:rStyle w:val="a5"/>
            <w:kern w:val="0"/>
          </w:rPr>
          <w:t>2014\Ame Rev Pub Adm44, 131.pdf</w:t>
        </w:r>
      </w:hyperlink>
    </w:p>
    <w:p w:rsidR="000C5143" w:rsidRDefault="000C5143" w:rsidP="000C5143">
      <w:pPr>
        <w:pStyle w:val="a3"/>
        <w:rPr>
          <w:kern w:val="0"/>
        </w:rPr>
      </w:pPr>
      <w:r>
        <w:rPr>
          <w:kern w:val="0"/>
        </w:rPr>
        <w:t>Abstract: In this article, we describe and explore the topics, methods, and author arrangements</w:t>
      </w:r>
      <w:r w:rsidR="00427468">
        <w:rPr>
          <w:kern w:val="0"/>
        </w:rPr>
        <w:t xml:space="preserve"> of </w:t>
      </w:r>
      <w:r>
        <w:rPr>
          <w:kern w:val="0"/>
        </w:rPr>
        <w:t>the English language literature on public administration in East and Southeast Asia. Articles in the review are for the period 1999-2009 and were identified in the Web</w:t>
      </w:r>
      <w:r w:rsidR="00427468">
        <w:rPr>
          <w:kern w:val="0"/>
        </w:rPr>
        <w:t xml:space="preserve"> of </w:t>
      </w:r>
      <w:r>
        <w:rPr>
          <w:kern w:val="0"/>
        </w:rPr>
        <w:t>Science. Searches identified 309 articles in the disciplinary area</w:t>
      </w:r>
      <w:r w:rsidR="00427468">
        <w:rPr>
          <w:kern w:val="0"/>
        </w:rPr>
        <w:t xml:space="preserve"> of </w:t>
      </w:r>
      <w:r>
        <w:rPr>
          <w:kern w:val="0"/>
        </w:rPr>
        <w:t>public administration</w:t>
      </w:r>
      <w:r w:rsidR="00A37C1D">
        <w:rPr>
          <w:kern w:val="0"/>
        </w:rPr>
        <w:t>. The</w:t>
      </w:r>
      <w:r>
        <w:rPr>
          <w:kern w:val="0"/>
        </w:rPr>
        <w:t xml:space="preserve"> emphasis</w:t>
      </w:r>
      <w:r w:rsidR="00427468">
        <w:rPr>
          <w:kern w:val="0"/>
        </w:rPr>
        <w:t xml:space="preserve"> of </w:t>
      </w:r>
      <w:r>
        <w:rPr>
          <w:kern w:val="0"/>
        </w:rPr>
        <w:t>scholarly attention is on East AsiaChina, Japan, Hong Kong, Taiwan, and South Korea. Four major characteristics</w:t>
      </w:r>
      <w:r w:rsidR="00427468">
        <w:rPr>
          <w:kern w:val="0"/>
        </w:rPr>
        <w:t xml:space="preserve"> of </w:t>
      </w:r>
      <w:r>
        <w:rPr>
          <w:kern w:val="0"/>
        </w:rPr>
        <w:t>this literature are noted. First, it is comparative in nature. Second, it focuses on system and regime change, as well as policies, as the major topics and units</w:t>
      </w:r>
      <w:r w:rsidR="00427468">
        <w:rPr>
          <w:kern w:val="0"/>
        </w:rPr>
        <w:t xml:space="preserve"> of </w:t>
      </w:r>
      <w:r>
        <w:rPr>
          <w:kern w:val="0"/>
        </w:rPr>
        <w:t>analysis. Thirdly, it is primarily based on normative argumentation, and where it is empirical, it typically relies on secondary data. Fourth, it is largely interdisciplinary in nature, drawing on many disciplines and scholars from around the globe, but it is dominated by scholars based in English language speaking countries. In conclusion, we discuss the implications</w:t>
      </w:r>
      <w:r w:rsidR="00427468">
        <w:rPr>
          <w:kern w:val="0"/>
        </w:rPr>
        <w:t xml:space="preserve"> of </w:t>
      </w:r>
      <w:r>
        <w:rPr>
          <w:kern w:val="0"/>
        </w:rPr>
        <w:t>these findings for the public administration discipline and research in the region.</w:t>
      </w:r>
    </w:p>
    <w:p w:rsidR="000C5143" w:rsidRDefault="000C5143" w:rsidP="000C5143">
      <w:pPr>
        <w:pStyle w:val="a3"/>
        <w:rPr>
          <w:kern w:val="0"/>
        </w:rPr>
      </w:pPr>
      <w:r>
        <w:rPr>
          <w:kern w:val="0"/>
        </w:rPr>
        <w:t>Keywords: Administration, Analysis, Articles, Asia, Attention, Characteristics, China, Collaboration, Data, Disciplines, East And South East Asia, Evidence, Germany, Government, Hong Kong, Hong-Kong, Interdisciplinary, Japan, Korea, Language, Literature, Management, Mar, Methodology, Methods, Perspective, Policies, Public, Public Administration, Region, Research, Review, Science, Social-Policy, South Korea, Southeast Asia, State, Taiwan, Web</w:t>
      </w:r>
      <w:r w:rsidR="00427468">
        <w:rPr>
          <w:kern w:val="0"/>
        </w:rPr>
        <w:t xml:space="preserve"> of </w:t>
      </w:r>
      <w:r>
        <w:rPr>
          <w:kern w:val="0"/>
        </w:rPr>
        <w:t>Science</w:t>
      </w:r>
    </w:p>
    <w:p w:rsidR="000C5143" w:rsidRDefault="000C5143" w:rsidP="000C5143">
      <w:pPr>
        <w:pStyle w:val="a3"/>
        <w:rPr>
          <w:kern w:val="0"/>
        </w:rPr>
      </w:pPr>
      <w:r>
        <w:rPr>
          <w:rFonts w:hint="eastAsia"/>
          <w:kern w:val="0"/>
        </w:rPr>
        <w:t xml:space="preserve">? </w:t>
      </w:r>
      <w:r>
        <w:rPr>
          <w:kern w:val="0"/>
        </w:rPr>
        <w:t xml:space="preserve">Walker, R.M. (2014), Public administration research in east and southeast Asia: </w:t>
      </w:r>
      <w:r>
        <w:rPr>
          <w:kern w:val="0"/>
        </w:rPr>
        <w:lastRenderedPageBreak/>
        <w:t xml:space="preserve">Concluding symposium remarks. </w:t>
      </w:r>
      <w:r>
        <w:rPr>
          <w:i/>
          <w:iCs/>
          <w:kern w:val="0"/>
        </w:rPr>
        <w:t>American Review</w:t>
      </w:r>
      <w:r w:rsidR="00427468">
        <w:rPr>
          <w:i/>
          <w:iCs/>
          <w:kern w:val="0"/>
        </w:rPr>
        <w:t xml:space="preserve"> of </w:t>
      </w:r>
      <w:r>
        <w:rPr>
          <w:i/>
          <w:iCs/>
          <w:kern w:val="0"/>
        </w:rPr>
        <w:t>Public Administration</w:t>
      </w:r>
      <w:r>
        <w:rPr>
          <w:kern w:val="0"/>
        </w:rPr>
        <w:t xml:space="preserve">, </w:t>
      </w:r>
      <w:r>
        <w:rPr>
          <w:b/>
          <w:bCs/>
          <w:kern w:val="0"/>
        </w:rPr>
        <w:t>44</w:t>
      </w:r>
      <w:r>
        <w:rPr>
          <w:kern w:val="0"/>
        </w:rPr>
        <w:t xml:space="preserve"> (2), 203-209.</w:t>
      </w:r>
    </w:p>
    <w:p w:rsidR="000C5143" w:rsidRDefault="000C5143" w:rsidP="000C5143">
      <w:pPr>
        <w:pStyle w:val="a3"/>
        <w:rPr>
          <w:kern w:val="0"/>
        </w:rPr>
      </w:pPr>
      <w:r>
        <w:rPr>
          <w:rFonts w:hint="eastAsia"/>
          <w:kern w:val="0"/>
        </w:rPr>
        <w:t xml:space="preserve">Full Text: </w:t>
      </w:r>
      <w:hyperlink r:id="rId675" w:history="1">
        <w:r w:rsidRPr="00F25334">
          <w:rPr>
            <w:rStyle w:val="a5"/>
            <w:kern w:val="0"/>
          </w:rPr>
          <w:t>2014\Ame Rev Pub Adm44, 203.pdf</w:t>
        </w:r>
      </w:hyperlink>
    </w:p>
    <w:p w:rsidR="000C5143" w:rsidRDefault="000C5143" w:rsidP="000C5143">
      <w:pPr>
        <w:pStyle w:val="a3"/>
        <w:rPr>
          <w:kern w:val="0"/>
        </w:rPr>
      </w:pPr>
      <w:r>
        <w:rPr>
          <w:kern w:val="0"/>
        </w:rPr>
        <w:t>Abstract: An integration</w:t>
      </w:r>
      <w:r w:rsidR="00427468">
        <w:rPr>
          <w:kern w:val="0"/>
        </w:rPr>
        <w:t xml:space="preserve"> of </w:t>
      </w:r>
      <w:r>
        <w:rPr>
          <w:kern w:val="0"/>
        </w:rPr>
        <w:t>the research reported in the American Review</w:t>
      </w:r>
      <w:r w:rsidR="00427468">
        <w:rPr>
          <w:kern w:val="0"/>
        </w:rPr>
        <w:t xml:space="preserve"> of </w:t>
      </w:r>
      <w:r>
        <w:rPr>
          <w:kern w:val="0"/>
        </w:rPr>
        <w:t>Public Administration symposium on public administration scholarship in East and Southeast Asia is offered</w:t>
      </w:r>
      <w:r w:rsidR="00A37C1D">
        <w:rPr>
          <w:kern w:val="0"/>
        </w:rPr>
        <w:t>. The</w:t>
      </w:r>
      <w:r>
        <w:rPr>
          <w:kern w:val="0"/>
        </w:rPr>
        <w:t xml:space="preserve"> overview finds that the extent</w:t>
      </w:r>
      <w:r w:rsidR="00427468">
        <w:rPr>
          <w:kern w:val="0"/>
        </w:rPr>
        <w:t xml:space="preserve"> of </w:t>
      </w:r>
      <w:r>
        <w:rPr>
          <w:kern w:val="0"/>
        </w:rPr>
        <w:t>the English language research published in public administration journals as listed in the Social Science Citation Index (SSCI) is limited and largely focused on East Asia. However, a review</w:t>
      </w:r>
      <w:r w:rsidR="00427468">
        <w:rPr>
          <w:kern w:val="0"/>
        </w:rPr>
        <w:t xml:space="preserve"> of </w:t>
      </w:r>
      <w:r>
        <w:rPr>
          <w:kern w:val="0"/>
        </w:rPr>
        <w:t>studies published in the native languages</w:t>
      </w:r>
      <w:r w:rsidR="00427468">
        <w:rPr>
          <w:kern w:val="0"/>
        </w:rPr>
        <w:t xml:space="preserve"> of </w:t>
      </w:r>
      <w:r>
        <w:rPr>
          <w:kern w:val="0"/>
        </w:rPr>
        <w:t>Hong Kong, Macau, Mainland China, South Korea, and Taiwan points to a robust and healthy community that actively publishes on topics</w:t>
      </w:r>
      <w:r w:rsidR="00427468">
        <w:rPr>
          <w:kern w:val="0"/>
        </w:rPr>
        <w:t xml:space="preserve"> of </w:t>
      </w:r>
      <w:r>
        <w:rPr>
          <w:kern w:val="0"/>
        </w:rPr>
        <w:t>administration and policy</w:t>
      </w:r>
      <w:r w:rsidR="00A37C1D">
        <w:rPr>
          <w:kern w:val="0"/>
        </w:rPr>
        <w:t>. The</w:t>
      </w:r>
      <w:r>
        <w:rPr>
          <w:kern w:val="0"/>
        </w:rPr>
        <w:t xml:space="preserve"> topics studied reflect international trends in research on management reform and social policy but show distinct differences at the country level, where local debates are more</w:t>
      </w:r>
      <w:r w:rsidR="00427468">
        <w:rPr>
          <w:kern w:val="0"/>
        </w:rPr>
        <w:t xml:space="preserve"> of </w:t>
      </w:r>
      <w:r>
        <w:rPr>
          <w:kern w:val="0"/>
        </w:rPr>
        <w:t>an influence on academic writing</w:t>
      </w:r>
      <w:r w:rsidR="00A37C1D">
        <w:rPr>
          <w:kern w:val="0"/>
        </w:rPr>
        <w:t>. The</w:t>
      </w:r>
      <w:r>
        <w:rPr>
          <w:kern w:val="0"/>
        </w:rPr>
        <w:t xml:space="preserve"> scholarship tends toward the descriptive, and much needs to be done to improve the methodology</w:t>
      </w:r>
      <w:r w:rsidR="00A37C1D">
        <w:rPr>
          <w:kern w:val="0"/>
        </w:rPr>
        <w:t>. The</w:t>
      </w:r>
      <w:r>
        <w:rPr>
          <w:kern w:val="0"/>
        </w:rPr>
        <w:t>re is evidence that approaches to research are changing, and a shift in focus toward explanatory work and theory testing is occurring.</w:t>
      </w:r>
    </w:p>
    <w:p w:rsidR="000C5143" w:rsidRDefault="000C5143" w:rsidP="000C5143">
      <w:pPr>
        <w:pStyle w:val="a3"/>
        <w:rPr>
          <w:kern w:val="0"/>
        </w:rPr>
      </w:pPr>
      <w:r>
        <w:rPr>
          <w:kern w:val="0"/>
        </w:rPr>
        <w:t>Keywords: Administration, Asia, China, Citation, Community, Country, East Asia, Evidence, Hong Kong, Influence, Integration, International, Journals, Korea, Language, Languages, Local, Mainland China, Management, Mar, Methodology, Needs, Policy, Public, Public Administration, Reform, Research, Review, Scholarship, Science, Science Citation Index, Social, Social Policy, Social Science Citation Index, South East Asia, South Korea, Southeast Asia, SSCI, Taiwan, Testing, Theory, Trends, Work</w:t>
      </w:r>
    </w:p>
    <w:p w:rsidR="004A5CBB" w:rsidRDefault="004A5CBB" w:rsidP="004A5CBB">
      <w:pPr>
        <w:pStyle w:val="a3"/>
        <w:rPr>
          <w:kern w:val="0"/>
        </w:rPr>
      </w:pPr>
      <w:r>
        <w:rPr>
          <w:rFonts w:hint="eastAsia"/>
          <w:kern w:val="0"/>
        </w:rPr>
        <w:t xml:space="preserve">? </w:t>
      </w:r>
      <w:r>
        <w:rPr>
          <w:kern w:val="0"/>
        </w:rPr>
        <w:t xml:space="preserve">Vogel, R. (2014), What happened to the public organization? A bibliometric analysis of public administration and organization studies. </w:t>
      </w:r>
      <w:r>
        <w:rPr>
          <w:i/>
          <w:iCs/>
          <w:kern w:val="0"/>
        </w:rPr>
        <w:t>American Review of Public Administration</w:t>
      </w:r>
      <w:r>
        <w:rPr>
          <w:kern w:val="0"/>
        </w:rPr>
        <w:t xml:space="preserve">, </w:t>
      </w:r>
      <w:r>
        <w:rPr>
          <w:b/>
          <w:bCs/>
          <w:kern w:val="0"/>
        </w:rPr>
        <w:t>44</w:t>
      </w:r>
      <w:r>
        <w:rPr>
          <w:kern w:val="0"/>
        </w:rPr>
        <w:t xml:space="preserve"> (4), 383-408.</w:t>
      </w:r>
    </w:p>
    <w:p w:rsidR="004A5CBB" w:rsidRDefault="004A5CBB" w:rsidP="004A5CBB">
      <w:pPr>
        <w:pStyle w:val="a3"/>
        <w:rPr>
          <w:kern w:val="0"/>
        </w:rPr>
      </w:pPr>
      <w:r>
        <w:rPr>
          <w:rFonts w:hint="eastAsia"/>
          <w:kern w:val="0"/>
        </w:rPr>
        <w:t xml:space="preserve">Full Text: </w:t>
      </w:r>
      <w:hyperlink r:id="rId676" w:history="1">
        <w:r w:rsidRPr="0081262A">
          <w:rPr>
            <w:rStyle w:val="a5"/>
            <w:kern w:val="0"/>
          </w:rPr>
          <w:t>2014\Ame Rev Pub Adm44, 383.pdf</w:t>
        </w:r>
      </w:hyperlink>
    </w:p>
    <w:p w:rsidR="004A5CBB" w:rsidRDefault="004A5CBB" w:rsidP="004A5CBB">
      <w:pPr>
        <w:pStyle w:val="a3"/>
        <w:rPr>
          <w:kern w:val="0"/>
        </w:rPr>
      </w:pPr>
      <w:r>
        <w:rPr>
          <w:kern w:val="0"/>
        </w:rPr>
        <w:t xml:space="preserve">Abstract: Despite their common roots in the early theories of organization, public administration and organization studies have evolved separately. This article explores the conditions that favor and initiate the cross-boundary exchange of knowledge between these two fields. The study applies bibliometric methodology and advances standard methods of science-mapping by combining different levels of analysis in a two-mode network, drawing on citation data from 16 European and North American top journals in organization studies and public administration, spanning the period 2000 to 2010. None of the 18 clusters of current research extracted from these data can be traced in both organization studies and public administration, however closer analysis reveals two strong links between these fields and indicates that the boundaries between them are semipermeable, allowing the </w:t>
      </w:r>
      <w:r>
        <w:rPr>
          <w:kern w:val="0"/>
        </w:rPr>
        <w:lastRenderedPageBreak/>
        <w:t>unidirectional, rather than bidirectional, transfer of knowledge from organization studies to public administration. This study argues for greater rapprochement between these two fields and suggests ways in which this could be achieved.</w:t>
      </w:r>
    </w:p>
    <w:p w:rsidR="004A5CBB" w:rsidRDefault="004A5CBB" w:rsidP="004A5CBB">
      <w:pPr>
        <w:pStyle w:val="a3"/>
        <w:rPr>
          <w:kern w:val="0"/>
        </w:rPr>
      </w:pPr>
      <w:r>
        <w:rPr>
          <w:kern w:val="0"/>
        </w:rPr>
        <w:t>Keywords: Administration, Advances, Agencies, Analysis, Article, Bibliometric, Bibliometric Analysis, Bibliometric Methodology, Boundaries, Capabilities, Citation, Co-Citation Analysis, Cocitation, Combining, Data, Embeddedness, Firm, Journals, Knowledge, Methodology, Methods, Network, Network Analysis, Networks, North, Organization, Performance, Public, Public Administration, Public Organization, Research, Science Mapping, Social-Structure, Standard, Top Management Team, Two-Mode Network</w:t>
      </w:r>
    </w:p>
    <w:p w:rsidR="00B94950" w:rsidRPr="001A3D2B" w:rsidRDefault="00B94950" w:rsidP="00B94950">
      <w:pPr>
        <w:pStyle w:val="1"/>
      </w:pPr>
      <w:r w:rsidRPr="001A3D2B">
        <w:br w:type="page"/>
      </w:r>
      <w:bookmarkStart w:id="354" w:name="_Toc420814442"/>
      <w:r w:rsidRPr="001A3D2B">
        <w:lastRenderedPageBreak/>
        <w:t>Title: American Scientist</w:t>
      </w:r>
      <w:bookmarkEnd w:id="354"/>
    </w:p>
    <w:p w:rsidR="00B94950" w:rsidRPr="001A3D2B" w:rsidRDefault="00B94950" w:rsidP="00B94950">
      <w:pPr>
        <w:pStyle w:val="12"/>
      </w:pPr>
      <w:r w:rsidRPr="001A3D2B">
        <w:t xml:space="preserve">Full Journal Title: </w:t>
      </w:r>
      <w:hyperlink r:id="rId677" w:history="1">
        <w:r w:rsidRPr="001A3D2B">
          <w:rPr>
            <w:rStyle w:val="a5"/>
          </w:rPr>
          <w:t>American Scientist</w:t>
        </w:r>
      </w:hyperlink>
      <w:r w:rsidRPr="001A3D2B">
        <w:t xml:space="preserve">; </w:t>
      </w:r>
      <w:hyperlink r:id="rId678" w:anchor="db=aph&amp;jid=ASI" w:history="1">
        <w:r w:rsidRPr="001A3D2B">
          <w:rPr>
            <w:rStyle w:val="a5"/>
            <w:iCs/>
          </w:rPr>
          <w:t>American Scientist</w:t>
        </w:r>
      </w:hyperlink>
    </w:p>
    <w:p w:rsidR="00B94950" w:rsidRPr="001A3D2B" w:rsidRDefault="00B94950" w:rsidP="00B94950">
      <w:pPr>
        <w:pStyle w:val="12"/>
      </w:pPr>
      <w:r w:rsidRPr="001A3D2B">
        <w:t xml:space="preserve">ISO Abbreviated Title: </w:t>
      </w:r>
    </w:p>
    <w:p w:rsidR="00B94950" w:rsidRPr="001A3D2B" w:rsidRDefault="00B94950" w:rsidP="00B94950">
      <w:pPr>
        <w:pStyle w:val="12"/>
      </w:pPr>
      <w:r w:rsidRPr="001A3D2B">
        <w:t xml:space="preserve">JCR Abbreviated Title: </w:t>
      </w:r>
    </w:p>
    <w:p w:rsidR="00B94950" w:rsidRPr="001A3D2B" w:rsidRDefault="00B94950" w:rsidP="00B94950">
      <w:pPr>
        <w:pStyle w:val="12"/>
      </w:pPr>
      <w:r w:rsidRPr="001A3D2B">
        <w:t xml:space="preserve">ISSN: </w:t>
      </w:r>
    </w:p>
    <w:p w:rsidR="00B94950" w:rsidRPr="001A3D2B" w:rsidRDefault="00B94950" w:rsidP="00B94950">
      <w:pPr>
        <w:pStyle w:val="12"/>
      </w:pPr>
      <w:r w:rsidRPr="001A3D2B">
        <w:t xml:space="preserve">Issues/Year: </w:t>
      </w:r>
    </w:p>
    <w:p w:rsidR="00B94950" w:rsidRPr="001A3D2B" w:rsidRDefault="00B94950" w:rsidP="00B94950">
      <w:pPr>
        <w:pStyle w:val="12"/>
      </w:pPr>
      <w:r w:rsidRPr="001A3D2B">
        <w:t xml:space="preserve">Journal Country/Territory: </w:t>
      </w:r>
    </w:p>
    <w:p w:rsidR="00B94950" w:rsidRPr="001A3D2B" w:rsidRDefault="00B94950" w:rsidP="00B94950">
      <w:pPr>
        <w:pStyle w:val="12"/>
      </w:pPr>
      <w:r w:rsidRPr="001A3D2B">
        <w:t xml:space="preserve">Language: </w:t>
      </w:r>
    </w:p>
    <w:p w:rsidR="00B94950" w:rsidRPr="001A3D2B" w:rsidRDefault="00B94950" w:rsidP="00B94950">
      <w:pPr>
        <w:pStyle w:val="12"/>
      </w:pPr>
      <w:r w:rsidRPr="001A3D2B">
        <w:t xml:space="preserve">Publisher: </w:t>
      </w:r>
    </w:p>
    <w:p w:rsidR="00B94950" w:rsidRPr="001A3D2B" w:rsidRDefault="00B94950" w:rsidP="00B94950">
      <w:pPr>
        <w:pStyle w:val="12"/>
      </w:pPr>
      <w:r w:rsidRPr="001A3D2B">
        <w:t xml:space="preserve">Publisher Address: </w:t>
      </w:r>
    </w:p>
    <w:p w:rsidR="00B94950" w:rsidRPr="001A3D2B" w:rsidRDefault="00B94950" w:rsidP="00B94950">
      <w:pPr>
        <w:pStyle w:val="12"/>
      </w:pPr>
      <w:r w:rsidRPr="001A3D2B">
        <w:t xml:space="preserve">Subject Categories: </w:t>
      </w:r>
    </w:p>
    <w:p w:rsidR="00B94950" w:rsidRPr="001A3D2B" w:rsidRDefault="00B94950" w:rsidP="00B94950">
      <w:pPr>
        <w:pStyle w:val="12"/>
      </w:pPr>
      <w:r w:rsidRPr="001A3D2B">
        <w:t xml:space="preserve">: Impact Factor </w:t>
      </w:r>
    </w:p>
    <w:p w:rsidR="00B94950" w:rsidRPr="001A3D2B" w:rsidRDefault="00B94950" w:rsidP="00B94950">
      <w:pPr>
        <w:pStyle w:val="a3"/>
      </w:pPr>
      <w:r w:rsidRPr="001A3D2B">
        <w:t>? Galvez, A., Maqueda, M., Martinez-Bueno, M.</w:t>
      </w:r>
      <w:r w:rsidR="005853A9">
        <w:t xml:space="preserve"> and </w:t>
      </w:r>
      <w:r w:rsidRPr="001A3D2B">
        <w:t>Valdivia, E. (2000), Scientific publication trends</w:t>
      </w:r>
      <w:r w:rsidR="005853A9">
        <w:t xml:space="preserve"> and </w:t>
      </w:r>
      <w:r w:rsidR="003A1917">
        <w:t xml:space="preserve">the </w:t>
      </w:r>
      <w:r w:rsidRPr="001A3D2B">
        <w:t>developing world - What can</w:t>
      </w:r>
      <w:r w:rsidR="003A1917">
        <w:t xml:space="preserve"> the </w:t>
      </w:r>
      <w:r w:rsidRPr="001A3D2B">
        <w:t>volume</w:t>
      </w:r>
      <w:r w:rsidR="005853A9">
        <w:t xml:space="preserve"> and </w:t>
      </w:r>
      <w:r w:rsidRPr="001A3D2B">
        <w:t>authorship</w:t>
      </w:r>
      <w:r w:rsidR="00427468">
        <w:t xml:space="preserve"> of </w:t>
      </w:r>
      <w:r w:rsidRPr="001A3D2B">
        <w:t xml:space="preserve">scientific articles tell us about scientific progress in various regions? </w:t>
      </w:r>
      <w:r w:rsidRPr="001A3D2B">
        <w:rPr>
          <w:i/>
          <w:iCs/>
        </w:rPr>
        <w:t>American Scientist</w:t>
      </w:r>
      <w:r w:rsidRPr="001A3D2B">
        <w:t xml:space="preserve">, </w:t>
      </w:r>
      <w:r w:rsidRPr="001A3D2B">
        <w:rPr>
          <w:b/>
          <w:bCs/>
        </w:rPr>
        <w:t>88</w:t>
      </w:r>
      <w:r w:rsidRPr="001A3D2B">
        <w:t xml:space="preserve"> (6), 526-533.</w:t>
      </w:r>
    </w:p>
    <w:p w:rsidR="00B94950" w:rsidRPr="001A3D2B" w:rsidRDefault="00B94950" w:rsidP="00B94950">
      <w:pPr>
        <w:pStyle w:val="a3"/>
      </w:pPr>
      <w:r w:rsidRPr="001A3D2B">
        <w:t>Full Text: Ame Sci88, 526.pdf</w:t>
      </w:r>
    </w:p>
    <w:p w:rsidR="00B94950" w:rsidRPr="001A3D2B" w:rsidRDefault="00B94950" w:rsidP="00B94950">
      <w:pPr>
        <w:pStyle w:val="a3"/>
      </w:pPr>
      <w:r w:rsidRPr="001A3D2B">
        <w:t>Keywords: Authorship, Developing, Developing World, Publication, Scientific Progress, Trends, Volume, World</w:t>
      </w:r>
    </w:p>
    <w:p w:rsidR="00E65EDA" w:rsidRPr="00F219CA" w:rsidRDefault="00E65EDA" w:rsidP="00E65EDA">
      <w:pPr>
        <w:pStyle w:val="1"/>
      </w:pPr>
      <w:r w:rsidRPr="00F219CA">
        <w:br w:type="page"/>
      </w:r>
      <w:bookmarkStart w:id="355" w:name="_Toc420814443"/>
      <w:r w:rsidRPr="00F219CA">
        <w:lastRenderedPageBreak/>
        <w:t xml:space="preserve">Title: </w:t>
      </w:r>
      <w:r>
        <w:t>American Sociological Review</w:t>
      </w:r>
      <w:bookmarkEnd w:id="355"/>
    </w:p>
    <w:p w:rsidR="00E65EDA" w:rsidRPr="00F219CA" w:rsidRDefault="00E65EDA" w:rsidP="00E65EDA">
      <w:pPr>
        <w:pStyle w:val="12"/>
      </w:pPr>
      <w:r w:rsidRPr="00F219CA">
        <w:t xml:space="preserve">Full Journal Title: </w:t>
      </w:r>
      <w:r>
        <w:t>American Sociological Review</w:t>
      </w:r>
    </w:p>
    <w:p w:rsidR="00E65EDA" w:rsidRPr="00F219CA" w:rsidRDefault="00E65EDA" w:rsidP="00E65EDA">
      <w:pPr>
        <w:pStyle w:val="12"/>
      </w:pPr>
      <w:r w:rsidRPr="00F219CA">
        <w:t xml:space="preserve">ISO Abbreviated Title: </w:t>
      </w:r>
    </w:p>
    <w:p w:rsidR="00E65EDA" w:rsidRPr="00F219CA" w:rsidRDefault="00E65EDA" w:rsidP="00E65EDA">
      <w:pPr>
        <w:pStyle w:val="12"/>
      </w:pPr>
      <w:r w:rsidRPr="00F219CA">
        <w:t xml:space="preserve">JCR Abbreviated Title: </w:t>
      </w:r>
    </w:p>
    <w:p w:rsidR="00E65EDA" w:rsidRPr="00F219CA" w:rsidRDefault="00E65EDA" w:rsidP="00E65EDA">
      <w:pPr>
        <w:pStyle w:val="12"/>
      </w:pPr>
      <w:r w:rsidRPr="00F219CA">
        <w:t xml:space="preserve">ISSN: </w:t>
      </w:r>
    </w:p>
    <w:p w:rsidR="00E65EDA" w:rsidRPr="00F219CA" w:rsidRDefault="00E65EDA" w:rsidP="00E65EDA">
      <w:pPr>
        <w:pStyle w:val="12"/>
      </w:pPr>
      <w:r w:rsidRPr="00F219CA">
        <w:t xml:space="preserve">Issues/Year: </w:t>
      </w:r>
    </w:p>
    <w:p w:rsidR="00E65EDA" w:rsidRPr="00F219CA" w:rsidRDefault="00E65EDA" w:rsidP="00E65EDA">
      <w:pPr>
        <w:pStyle w:val="12"/>
      </w:pPr>
      <w:r w:rsidRPr="00F219CA">
        <w:t xml:space="preserve">Journal Country/Territory: </w:t>
      </w:r>
    </w:p>
    <w:p w:rsidR="00E65EDA" w:rsidRPr="00F219CA" w:rsidRDefault="00E65EDA" w:rsidP="00E65EDA">
      <w:pPr>
        <w:pStyle w:val="12"/>
      </w:pPr>
      <w:r w:rsidRPr="00F219CA">
        <w:t xml:space="preserve">Language: </w:t>
      </w:r>
    </w:p>
    <w:p w:rsidR="00E65EDA" w:rsidRPr="00F219CA" w:rsidRDefault="00E65EDA" w:rsidP="00E65EDA">
      <w:pPr>
        <w:pStyle w:val="12"/>
      </w:pPr>
      <w:r w:rsidRPr="00F219CA">
        <w:t xml:space="preserve">Publisher: </w:t>
      </w:r>
    </w:p>
    <w:p w:rsidR="00E65EDA" w:rsidRPr="00F219CA" w:rsidRDefault="00E65EDA" w:rsidP="00E65EDA">
      <w:pPr>
        <w:pStyle w:val="12"/>
      </w:pPr>
      <w:r w:rsidRPr="00F219CA">
        <w:t xml:space="preserve">Publisher Address: </w:t>
      </w:r>
    </w:p>
    <w:p w:rsidR="00E65EDA" w:rsidRPr="00F219CA" w:rsidRDefault="00E65EDA" w:rsidP="00E65EDA">
      <w:pPr>
        <w:pStyle w:val="12"/>
      </w:pPr>
      <w:r w:rsidRPr="00F219CA">
        <w:t xml:space="preserve">Subject Categories: </w:t>
      </w:r>
    </w:p>
    <w:p w:rsidR="00E65EDA" w:rsidRPr="00F219CA" w:rsidRDefault="00E65EDA" w:rsidP="00E65EDA">
      <w:pPr>
        <w:pStyle w:val="12"/>
      </w:pPr>
      <w:r w:rsidRPr="00F219CA">
        <w:t xml:space="preserve">: Impact Factor </w:t>
      </w:r>
    </w:p>
    <w:p w:rsidR="00E65EDA" w:rsidRDefault="00E65EDA" w:rsidP="00E65EDA">
      <w:pPr>
        <w:pStyle w:val="a3"/>
      </w:pPr>
      <w:r w:rsidRPr="001A3D2B">
        <w:t xml:space="preserve">? </w:t>
      </w:r>
      <w:r>
        <w:t>Baldi</w:t>
      </w:r>
      <w:r>
        <w:rPr>
          <w:rFonts w:hint="eastAsia"/>
        </w:rPr>
        <w:t>,</w:t>
      </w:r>
      <w:r>
        <w:t xml:space="preserve"> S</w:t>
      </w:r>
      <w:r>
        <w:rPr>
          <w:rFonts w:hint="eastAsia"/>
        </w:rPr>
        <w:t>.</w:t>
      </w:r>
      <w:r w:rsidRPr="001A3D2B">
        <w:t xml:space="preserve"> (19</w:t>
      </w:r>
      <w:r>
        <w:rPr>
          <w:rFonts w:hint="eastAsia"/>
        </w:rPr>
        <w:t>98</w:t>
      </w:r>
      <w:r w:rsidRPr="001A3D2B">
        <w:t xml:space="preserve">), </w:t>
      </w:r>
      <w:r>
        <w:t>Normative versus social constructivist processes in</w:t>
      </w:r>
      <w:r w:rsidR="003A1917">
        <w:t xml:space="preserve"> the </w:t>
      </w:r>
      <w:r>
        <w:t>allocation</w:t>
      </w:r>
      <w:r w:rsidR="00427468">
        <w:t xml:space="preserve"> of </w:t>
      </w:r>
      <w:r>
        <w:t>citations: A network-analytic model</w:t>
      </w:r>
      <w:r w:rsidRPr="001A3D2B">
        <w:t xml:space="preserve">. </w:t>
      </w:r>
      <w:r w:rsidRPr="00EA0809">
        <w:rPr>
          <w:i/>
        </w:rPr>
        <w:t>American Sociological Review</w:t>
      </w:r>
      <w:r w:rsidRPr="001A3D2B">
        <w:t xml:space="preserve">, </w:t>
      </w:r>
      <w:r w:rsidRPr="001A3D2B">
        <w:rPr>
          <w:b/>
          <w:bCs/>
        </w:rPr>
        <w:t>6</w:t>
      </w:r>
      <w:r>
        <w:rPr>
          <w:rFonts w:hint="eastAsia"/>
          <w:b/>
          <w:bCs/>
        </w:rPr>
        <w:t>3</w:t>
      </w:r>
      <w:r w:rsidRPr="001A3D2B">
        <w:t xml:space="preserve"> (</w:t>
      </w:r>
      <w:r>
        <w:rPr>
          <w:rFonts w:hint="eastAsia"/>
        </w:rPr>
        <w:t>6</w:t>
      </w:r>
      <w:r w:rsidRPr="001A3D2B">
        <w:t xml:space="preserve">), </w:t>
      </w:r>
      <w:r>
        <w:t>829-846</w:t>
      </w:r>
      <w:r w:rsidRPr="001A3D2B">
        <w:t>.</w:t>
      </w:r>
    </w:p>
    <w:p w:rsidR="008D7D2B" w:rsidRDefault="008D7D2B" w:rsidP="008D7D2B">
      <w:pPr>
        <w:pStyle w:val="a3"/>
      </w:pPr>
      <w:r>
        <w:rPr>
          <w:rFonts w:hint="eastAsia"/>
        </w:rPr>
        <w:t xml:space="preserve">Full Text: </w:t>
      </w:r>
      <w:hyperlink r:id="rId679" w:history="1">
        <w:r w:rsidRPr="00AB307E">
          <w:rPr>
            <w:rStyle w:val="a5"/>
          </w:rPr>
          <w:t>1998\Ame Soc Rev63, 829.pdf</w:t>
        </w:r>
      </w:hyperlink>
    </w:p>
    <w:p w:rsidR="00E65EDA" w:rsidRDefault="00E65EDA" w:rsidP="00E65EDA">
      <w:pPr>
        <w:pStyle w:val="a3"/>
      </w:pPr>
      <w:r>
        <w:t>Abstract: I assess competing arguments on</w:t>
      </w:r>
      <w:r w:rsidR="003A1917">
        <w:t xml:space="preserve"> the </w:t>
      </w:r>
      <w:r>
        <w:t>determinants</w:t>
      </w:r>
      <w:r w:rsidR="00427468">
        <w:t xml:space="preserve"> of </w:t>
      </w:r>
      <w:r>
        <w:t>scientists</w:t>
      </w:r>
      <w:r w:rsidR="00700038">
        <w:t>’</w:t>
      </w:r>
      <w:r>
        <w:t xml:space="preserve"> citation patterns by developing a new approach to</w:t>
      </w:r>
      <w:r w:rsidR="003A1917">
        <w:t xml:space="preserve"> the </w:t>
      </w:r>
      <w:r>
        <w:t>multivariate study</w:t>
      </w:r>
      <w:r w:rsidR="00427468">
        <w:t xml:space="preserve"> of </w:t>
      </w:r>
      <w:r>
        <w:t>citations that builds upon a network-analytic model. Using data on articles about celestial masers, an astrophysics research area, logistic regressions with robust standard errors examine</w:t>
      </w:r>
      <w:r w:rsidR="003A1917">
        <w:t xml:space="preserve"> the </w:t>
      </w:r>
      <w:r>
        <w:t>extent to which characteristics</w:t>
      </w:r>
      <w:r w:rsidR="00427468">
        <w:t xml:space="preserve"> of </w:t>
      </w:r>
      <w:r>
        <w:t>both potentially citing</w:t>
      </w:r>
      <w:r w:rsidR="005853A9">
        <w:t xml:space="preserve"> and </w:t>
      </w:r>
      <w:r>
        <w:t>potentially cited papers influence</w:t>
      </w:r>
      <w:r w:rsidR="003A1917">
        <w:t xml:space="preserve"> the </w:t>
      </w:r>
      <w:r>
        <w:t>probability that a citation exists between</w:t>
      </w:r>
      <w:r w:rsidR="003A1917">
        <w:t xml:space="preserve"> the </w:t>
      </w:r>
      <w:r>
        <w:t>papers</w:t>
      </w:r>
      <w:r w:rsidR="00A37C1D">
        <w:t>. The</w:t>
      </w:r>
      <w:r w:rsidR="003A1917">
        <w:t xml:space="preserve"> </w:t>
      </w:r>
      <w:r>
        <w:t>results identify significant positive, effects</w:t>
      </w:r>
      <w:r w:rsidR="00427468">
        <w:t xml:space="preserve"> of </w:t>
      </w:r>
      <w:r>
        <w:t>cited article cognitive content</w:t>
      </w:r>
      <w:r w:rsidR="005853A9">
        <w:t xml:space="preserve"> and </w:t>
      </w:r>
      <w:r>
        <w:t>cited article quality, providing support for a normative interpretation</w:t>
      </w:r>
      <w:r w:rsidR="00427468">
        <w:t xml:space="preserve"> of </w:t>
      </w:r>
      <w:r w:rsidR="003A1917">
        <w:t xml:space="preserve">the </w:t>
      </w:r>
      <w:r>
        <w:t>allocation</w:t>
      </w:r>
      <w:r w:rsidR="00427468">
        <w:t xml:space="preserve"> of </w:t>
      </w:r>
      <w:r>
        <w:t>citations in which citations reflect payment</w:t>
      </w:r>
      <w:r w:rsidR="00427468">
        <w:t xml:space="preserve"> of </w:t>
      </w:r>
      <w:r>
        <w:t>intellectual debt. In contrast, indicators</w:t>
      </w:r>
      <w:r w:rsidR="00427468">
        <w:t xml:space="preserve"> of </w:t>
      </w:r>
      <w:r>
        <w:t>an author</w:t>
      </w:r>
      <w:r w:rsidR="00700038">
        <w:t>’</w:t>
      </w:r>
      <w:r w:rsidR="00C13DDC">
        <w:t>s</w:t>
      </w:r>
      <w:r>
        <w:t xml:space="preserve"> position within</w:t>
      </w:r>
      <w:r w:rsidR="003A1917">
        <w:t xml:space="preserve"> the </w:t>
      </w:r>
      <w:r>
        <w:t>stratification structure</w:t>
      </w:r>
      <w:r w:rsidR="00427468">
        <w:t xml:space="preserve"> of </w:t>
      </w:r>
      <w:r>
        <w:t>science fail to significantly improve</w:t>
      </w:r>
      <w:r w:rsidR="003A1917">
        <w:t xml:space="preserve"> the </w:t>
      </w:r>
      <w:r>
        <w:t>fit</w:t>
      </w:r>
      <w:r w:rsidR="00427468">
        <w:t xml:space="preserve"> of </w:t>
      </w:r>
      <w:r w:rsidR="003A1917">
        <w:t xml:space="preserve">the </w:t>
      </w:r>
      <w:r>
        <w:t>model,</w:t>
      </w:r>
      <w:r w:rsidR="005853A9">
        <w:t xml:space="preserve"> and </w:t>
      </w:r>
      <w:r>
        <w:t>thus provide no support for</w:t>
      </w:r>
      <w:r w:rsidR="003A1917">
        <w:t xml:space="preserve"> the </w:t>
      </w:r>
      <w:r>
        <w:t>social constructivist claim that citations are rhetorical tools</w:t>
      </w:r>
      <w:r w:rsidR="00427468">
        <w:t xml:space="preserve"> of </w:t>
      </w:r>
      <w:r>
        <w:t>persuasion. Furthermore,</w:t>
      </w:r>
      <w:r w:rsidR="003A1917">
        <w:t xml:space="preserve"> the </w:t>
      </w:r>
      <w:r>
        <w:t>lack</w:t>
      </w:r>
      <w:r w:rsidR="00427468">
        <w:t xml:space="preserve"> of </w:t>
      </w:r>
      <w:r>
        <w:t>effects</w:t>
      </w:r>
      <w:r w:rsidR="00427468">
        <w:t xml:space="preserve"> of </w:t>
      </w:r>
      <w:r>
        <w:t>social ties between citing</w:t>
      </w:r>
      <w:r w:rsidR="005853A9">
        <w:t xml:space="preserve"> and </w:t>
      </w:r>
      <w:r>
        <w:t>cited authors provides little support for</w:t>
      </w:r>
      <w:r w:rsidR="003A1917">
        <w:t xml:space="preserve"> the </w:t>
      </w:r>
      <w:r>
        <w:t>argument that authors who know one another are more likely to cite one another</w:t>
      </w:r>
      <w:r w:rsidR="00700038">
        <w:t>’</w:t>
      </w:r>
      <w:r w:rsidR="00C13DDC">
        <w:t>s</w:t>
      </w:r>
      <w:r>
        <w:t xml:space="preserve"> work. Overall, these results suggest that authors are likely to cite those articles most relevant to their work in terms</w:t>
      </w:r>
      <w:r w:rsidR="00427468">
        <w:t xml:space="preserve"> of </w:t>
      </w:r>
      <w:r>
        <w:t>intellectual content,</w:t>
      </w:r>
      <w:r w:rsidR="005853A9">
        <w:t xml:space="preserve"> and </w:t>
      </w:r>
      <w:r>
        <w:t>seem little concerned with</w:t>
      </w:r>
      <w:r w:rsidR="003A1917">
        <w:t xml:space="preserve"> the </w:t>
      </w:r>
      <w:r>
        <w:t>characteristics</w:t>
      </w:r>
      <w:r w:rsidR="00427468">
        <w:t xml:space="preserve"> of </w:t>
      </w:r>
      <w:r>
        <w:t>authors who write them.</w:t>
      </w:r>
    </w:p>
    <w:p w:rsidR="00E65EDA" w:rsidRPr="001A3D2B" w:rsidRDefault="00E65EDA" w:rsidP="00E65EDA">
      <w:pPr>
        <w:pStyle w:val="a3"/>
      </w:pPr>
      <w:r>
        <w:t>Keywords: Self-Citations, Index</w:t>
      </w:r>
    </w:p>
    <w:p w:rsidR="003474F2" w:rsidRPr="001A3D2B" w:rsidRDefault="003474F2" w:rsidP="003474F2">
      <w:pPr>
        <w:pStyle w:val="1"/>
      </w:pPr>
      <w:r w:rsidRPr="001A3D2B">
        <w:br w:type="page"/>
      </w:r>
      <w:bookmarkStart w:id="356" w:name="_Toc420814444"/>
      <w:r w:rsidRPr="001A3D2B">
        <w:lastRenderedPageBreak/>
        <w:t xml:space="preserve">Title: </w:t>
      </w:r>
      <w:r w:rsidRPr="001A3D2B">
        <w:rPr>
          <w:iCs w:val="0"/>
        </w:rPr>
        <w:t>American Sociologist</w:t>
      </w:r>
      <w:bookmarkEnd w:id="356"/>
    </w:p>
    <w:p w:rsidR="00E629C0" w:rsidRPr="001A3D2B" w:rsidRDefault="00E629C0" w:rsidP="00E629C0">
      <w:pPr>
        <w:pStyle w:val="12"/>
      </w:pPr>
      <w:r w:rsidRPr="001A3D2B">
        <w:t xml:space="preserve">Full Journal Title: </w:t>
      </w:r>
      <w:hyperlink r:id="rId680" w:history="1">
        <w:r w:rsidRPr="001A3D2B">
          <w:rPr>
            <w:rStyle w:val="a5"/>
          </w:rPr>
          <w:t>American Sociologist</w:t>
        </w:r>
      </w:hyperlink>
      <w:r w:rsidRPr="001A3D2B">
        <w:t xml:space="preserve">; </w:t>
      </w:r>
      <w:hyperlink r:id="rId681" w:history="1">
        <w:r w:rsidRPr="001A3D2B">
          <w:rPr>
            <w:rStyle w:val="a5"/>
          </w:rPr>
          <w:t>American Sociologist</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0003-1232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B41855" w:rsidRDefault="00B41855" w:rsidP="00B41855">
      <w:pPr>
        <w:pStyle w:val="a3"/>
        <w:rPr>
          <w:kern w:val="0"/>
        </w:rPr>
      </w:pPr>
      <w:r>
        <w:rPr>
          <w:rFonts w:hint="eastAsia"/>
          <w:kern w:val="0"/>
        </w:rPr>
        <w:t xml:space="preserve">? </w:t>
      </w:r>
      <w:r>
        <w:rPr>
          <w:kern w:val="0"/>
        </w:rPr>
        <w:t>Oromaner, M.J. (1968), Most cited sociologists</w:t>
      </w:r>
      <w:r>
        <w:rPr>
          <w:rFonts w:hint="eastAsia"/>
          <w:kern w:val="0"/>
        </w:rPr>
        <w:t>:</w:t>
      </w:r>
      <w:r>
        <w:rPr>
          <w:kern w:val="0"/>
        </w:rPr>
        <w:t xml:space="preserve"> Analysis</w:t>
      </w:r>
      <w:r w:rsidR="00427468">
        <w:rPr>
          <w:kern w:val="0"/>
        </w:rPr>
        <w:t xml:space="preserve"> of </w:t>
      </w:r>
      <w:r>
        <w:rPr>
          <w:kern w:val="0"/>
        </w:rPr>
        <w:t xml:space="preserve">introductory text citations. </w:t>
      </w:r>
      <w:r>
        <w:rPr>
          <w:i/>
          <w:iCs/>
          <w:kern w:val="0"/>
        </w:rPr>
        <w:t>American Sociologist</w:t>
      </w:r>
      <w:r>
        <w:rPr>
          <w:kern w:val="0"/>
        </w:rPr>
        <w:t xml:space="preserve">, </w:t>
      </w:r>
      <w:r>
        <w:rPr>
          <w:b/>
          <w:bCs/>
          <w:kern w:val="0"/>
        </w:rPr>
        <w:t>3</w:t>
      </w:r>
      <w:r>
        <w:rPr>
          <w:kern w:val="0"/>
        </w:rPr>
        <w:t xml:space="preserve"> (2), 124-126</w:t>
      </w:r>
      <w:r>
        <w:rPr>
          <w:rFonts w:hint="eastAsia"/>
          <w:kern w:val="0"/>
        </w:rPr>
        <w:t>.</w:t>
      </w:r>
    </w:p>
    <w:p w:rsidR="00B41855" w:rsidRDefault="00B41855" w:rsidP="00B41855">
      <w:pPr>
        <w:pStyle w:val="a3"/>
        <w:rPr>
          <w:kern w:val="0"/>
        </w:rPr>
      </w:pPr>
      <w:r>
        <w:rPr>
          <w:rFonts w:hint="eastAsia"/>
          <w:kern w:val="0"/>
        </w:rPr>
        <w:t xml:space="preserve">Full Text: </w:t>
      </w:r>
      <w:hyperlink r:id="rId682" w:history="1">
        <w:r w:rsidRPr="00B41855">
          <w:rPr>
            <w:rStyle w:val="a5"/>
            <w:kern w:val="0"/>
          </w:rPr>
          <w:t>1960-80\Ame Soc3, 124.pdf</w:t>
        </w:r>
      </w:hyperlink>
    </w:p>
    <w:p w:rsidR="00B41855" w:rsidRDefault="00B41855" w:rsidP="00B41855">
      <w:pPr>
        <w:pStyle w:val="a3"/>
        <w:rPr>
          <w:kern w:val="0"/>
        </w:rPr>
      </w:pPr>
      <w:r>
        <w:rPr>
          <w:kern w:val="0"/>
        </w:rPr>
        <w:t>Keywords: Citations</w:t>
      </w:r>
    </w:p>
    <w:p w:rsidR="003474F2" w:rsidRPr="001A3D2B" w:rsidRDefault="003474F2" w:rsidP="003474F2">
      <w:pPr>
        <w:pStyle w:val="a3"/>
      </w:pPr>
      <w:r w:rsidRPr="001A3D2B">
        <w:t>? Cole, J.</w:t>
      </w:r>
      <w:r w:rsidR="005853A9">
        <w:t xml:space="preserve"> and </w:t>
      </w:r>
      <w:r w:rsidRPr="001A3D2B">
        <w:t>Cole, S. (1971), Measuring Quality</w:t>
      </w:r>
      <w:r w:rsidR="00427468">
        <w:t xml:space="preserve"> of </w:t>
      </w:r>
      <w:r w:rsidRPr="001A3D2B">
        <w:t>Sociological Research - Problems in Use</w:t>
      </w:r>
      <w:r w:rsidR="00427468">
        <w:t xml:space="preserve"> of </w:t>
      </w:r>
      <w:r w:rsidRPr="001A3D2B">
        <w:t xml:space="preserve">Science Citation Index. </w:t>
      </w:r>
      <w:r w:rsidRPr="001A3D2B">
        <w:rPr>
          <w:i/>
          <w:iCs/>
        </w:rPr>
        <w:t>American Sociologist</w:t>
      </w:r>
      <w:r w:rsidRPr="001A3D2B">
        <w:t xml:space="preserve">, </w:t>
      </w:r>
      <w:r w:rsidRPr="001A3D2B">
        <w:rPr>
          <w:b/>
          <w:bCs/>
        </w:rPr>
        <w:t>6</w:t>
      </w:r>
      <w:r w:rsidRPr="001A3D2B">
        <w:t xml:space="preserve"> (1), 23-??.</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Chubin, D. (1973), Use</w:t>
      </w:r>
      <w:r w:rsidR="00427468">
        <w:t xml:space="preserve"> of </w:t>
      </w:r>
      <w:r w:rsidRPr="001A3D2B">
        <w:t xml:space="preserve">Science Citation Index in Sociology. </w:t>
      </w:r>
      <w:r w:rsidRPr="001A3D2B">
        <w:rPr>
          <w:i/>
          <w:iCs/>
        </w:rPr>
        <w:t>American Sociologist</w:t>
      </w:r>
      <w:r w:rsidRPr="001A3D2B">
        <w:t xml:space="preserve">, </w:t>
      </w:r>
      <w:r w:rsidRPr="001A3D2B">
        <w:rPr>
          <w:b/>
          <w:bCs/>
        </w:rPr>
        <w:t>8</w:t>
      </w:r>
      <w:r w:rsidRPr="001A3D2B">
        <w:t xml:space="preserve"> (4), 187-191.</w:t>
      </w:r>
    </w:p>
    <w:p w:rsidR="003474F2" w:rsidRPr="001A3D2B" w:rsidRDefault="003474F2" w:rsidP="003474F2">
      <w:pPr>
        <w:pStyle w:val="a3"/>
      </w:pPr>
      <w:r w:rsidRPr="001A3D2B">
        <w:t>Keywords: Citation, Science Citation Index</w:t>
      </w:r>
    </w:p>
    <w:p w:rsidR="00E629C0" w:rsidRPr="001A3D2B" w:rsidRDefault="00E629C0" w:rsidP="00E629C0">
      <w:pPr>
        <w:pStyle w:val="a3"/>
      </w:pPr>
      <w:r w:rsidRPr="001A3D2B">
        <w:t xml:space="preserve">? Garfield, E. (1974), Social Sciences Citation Index. </w:t>
      </w:r>
      <w:r w:rsidRPr="001A3D2B">
        <w:rPr>
          <w:i/>
          <w:iCs/>
        </w:rPr>
        <w:t>American Sociologist</w:t>
      </w:r>
      <w:r w:rsidRPr="001A3D2B">
        <w:t xml:space="preserve">, </w:t>
      </w:r>
      <w:r w:rsidRPr="001A3D2B">
        <w:rPr>
          <w:b/>
          <w:bCs/>
        </w:rPr>
        <w:t>9</w:t>
      </w:r>
      <w:r w:rsidRPr="001A3D2B">
        <w:t xml:space="preserve"> (3), 164-165.</w:t>
      </w:r>
    </w:p>
    <w:p w:rsidR="00E629C0" w:rsidRPr="001A3D2B" w:rsidRDefault="00E629C0" w:rsidP="00E629C0">
      <w:pPr>
        <w:pStyle w:val="a3"/>
      </w:pPr>
      <w:r w:rsidRPr="001A3D2B">
        <w:t xml:space="preserve">Full Text: </w:t>
      </w:r>
      <w:r w:rsidRPr="001A3D2B">
        <w:rPr>
          <w:iCs/>
        </w:rPr>
        <w:t>Ame Soc</w:t>
      </w:r>
      <w:r w:rsidRPr="001A3D2B">
        <w:rPr>
          <w:bCs/>
        </w:rPr>
        <w:t>9</w:t>
      </w:r>
      <w:r w:rsidRPr="001A3D2B">
        <w:t>, 164.pdf</w:t>
      </w:r>
    </w:p>
    <w:p w:rsidR="00E629C0" w:rsidRPr="001A3D2B" w:rsidRDefault="00E629C0" w:rsidP="00E629C0">
      <w:pPr>
        <w:pStyle w:val="a3"/>
      </w:pPr>
      <w:r w:rsidRPr="001A3D2B">
        <w:t xml:space="preserve">? Chubin, D. (1974), Social Sciences Citation Index - Reply. </w:t>
      </w:r>
      <w:r w:rsidRPr="001A3D2B">
        <w:rPr>
          <w:i/>
          <w:iCs/>
        </w:rPr>
        <w:t>American Sociologist</w:t>
      </w:r>
      <w:r w:rsidRPr="001A3D2B">
        <w:t xml:space="preserve">, </w:t>
      </w:r>
      <w:r w:rsidRPr="001A3D2B">
        <w:rPr>
          <w:b/>
          <w:bCs/>
        </w:rPr>
        <w:t>9</w:t>
      </w:r>
      <w:r w:rsidRPr="001A3D2B">
        <w:t xml:space="preserve"> (3), 165.</w:t>
      </w:r>
    </w:p>
    <w:p w:rsidR="00E629C0" w:rsidRPr="001A3D2B" w:rsidRDefault="00E629C0" w:rsidP="00E629C0">
      <w:pPr>
        <w:pStyle w:val="a3"/>
      </w:pPr>
      <w:r w:rsidRPr="001A3D2B">
        <w:t xml:space="preserve">Full Text: </w:t>
      </w:r>
      <w:r w:rsidRPr="001A3D2B">
        <w:rPr>
          <w:iCs/>
        </w:rPr>
        <w:t>Ame Soc</w:t>
      </w:r>
      <w:r w:rsidRPr="001A3D2B">
        <w:rPr>
          <w:bCs/>
        </w:rPr>
        <w:t>9</w:t>
      </w:r>
      <w:r w:rsidRPr="001A3D2B">
        <w:t>, 165.pdf</w:t>
      </w:r>
    </w:p>
    <w:p w:rsidR="003474F2" w:rsidRPr="001A3D2B" w:rsidRDefault="003474F2" w:rsidP="003474F2">
      <w:pPr>
        <w:pStyle w:val="1"/>
      </w:pPr>
      <w:r w:rsidRPr="001A3D2B">
        <w:br w:type="page"/>
      </w:r>
      <w:bookmarkStart w:id="357" w:name="_Toc420814445"/>
      <w:r w:rsidRPr="001A3D2B">
        <w:lastRenderedPageBreak/>
        <w:t>Title: American Statistician</w:t>
      </w:r>
      <w:bookmarkEnd w:id="357"/>
    </w:p>
    <w:p w:rsidR="003474F2" w:rsidRPr="001A3D2B" w:rsidRDefault="003474F2" w:rsidP="003474F2">
      <w:pPr>
        <w:pStyle w:val="12"/>
      </w:pPr>
      <w:r w:rsidRPr="001A3D2B">
        <w:t xml:space="preserve">Full </w:t>
      </w:r>
      <w:bookmarkStart w:id="358" w:name="_Toc81215598"/>
      <w:r w:rsidRPr="001A3D2B">
        <w:t xml:space="preserve">Journal Title: </w:t>
      </w:r>
      <w:r w:rsidR="00206C8A">
        <w:fldChar w:fldCharType="begin"/>
      </w:r>
      <w:r w:rsidR="00FD158B">
        <w:instrText>HYPERLINK "h</w:instrText>
      </w:r>
      <w:bookmarkEnd w:id="358"/>
      <w:r w:rsidR="00FD158B">
        <w:instrText>ttp://uk.jstor.org/journals/00031305.html"</w:instrText>
      </w:r>
      <w:r w:rsidR="00206C8A">
        <w:fldChar w:fldCharType="separate"/>
      </w:r>
      <w:r w:rsidRPr="001A3D2B">
        <w:rPr>
          <w:rStyle w:val="a5"/>
          <w:rFonts w:eastAsia="新細明體"/>
          <w:szCs w:val="16"/>
        </w:rPr>
        <w:t>American Statistician</w:t>
      </w:r>
      <w:r w:rsidR="00206C8A">
        <w:fldChar w:fldCharType="end"/>
      </w:r>
      <w:r w:rsidRPr="001A3D2B">
        <w:t xml:space="preserve">; </w:t>
      </w:r>
      <w:hyperlink r:id="rId683" w:history="1">
        <w:r w:rsidRPr="001A3D2B">
          <w:rPr>
            <w:rStyle w:val="a5"/>
            <w:rFonts w:eastAsia="新細明體"/>
            <w:szCs w:val="16"/>
          </w:rPr>
          <w:t>American Statistician</w:t>
        </w:r>
      </w:hyperlink>
      <w:r w:rsidRPr="001A3D2B">
        <w:t xml:space="preserve">; </w:t>
      </w:r>
      <w:hyperlink r:id="rId684" w:history="1">
        <w:r w:rsidRPr="001A3D2B">
          <w:rPr>
            <w:rStyle w:val="a5"/>
            <w:rFonts w:eastAsia="新細明體"/>
            <w:szCs w:val="16"/>
          </w:rPr>
          <w:t>American Statistician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0003-1305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(1963), Recent developments in statistical bibliography. </w:t>
      </w:r>
      <w:r w:rsidRPr="001A3D2B">
        <w:rPr>
          <w:i/>
          <w:iCs/>
        </w:rPr>
        <w:t>American Statistician</w:t>
      </w:r>
      <w:r w:rsidRPr="001A3D2B">
        <w:t xml:space="preserve">, </w:t>
      </w:r>
      <w:r w:rsidRPr="001A3D2B">
        <w:rPr>
          <w:b/>
          <w:bCs/>
        </w:rPr>
        <w:t>17</w:t>
      </w:r>
      <w:r w:rsidRPr="001A3D2B">
        <w:t xml:space="preserve"> (1), 25.</w:t>
      </w:r>
    </w:p>
    <w:p w:rsidR="0039485A" w:rsidRPr="00F219CA" w:rsidRDefault="0039485A" w:rsidP="0039485A">
      <w:pPr>
        <w:pStyle w:val="a3"/>
      </w:pPr>
      <w:r w:rsidRPr="00F219CA">
        <w:t xml:space="preserve">Full Text: </w:t>
      </w:r>
      <w:hyperlink r:id="rId685" w:history="1">
        <w:r w:rsidRPr="00F567F1">
          <w:rPr>
            <w:rStyle w:val="a5"/>
          </w:rPr>
          <w:t>1960-80\Ame Sta17, 25.pdf</w:t>
        </w:r>
      </w:hyperlink>
    </w:p>
    <w:p w:rsidR="0039485A" w:rsidRPr="00F219CA" w:rsidRDefault="0039485A" w:rsidP="0039485A">
      <w:pPr>
        <w:pStyle w:val="a3"/>
      </w:pPr>
      <w:r w:rsidRPr="00F219CA">
        <w:t xml:space="preserve">? Rubin, E. (1964), Developments in statistical bibliography, 1963. </w:t>
      </w:r>
      <w:r w:rsidRPr="00F219CA">
        <w:rPr>
          <w:i/>
          <w:iCs/>
        </w:rPr>
        <w:t>American Statistician</w:t>
      </w:r>
      <w:r w:rsidRPr="00F219CA">
        <w:t xml:space="preserve">, </w:t>
      </w:r>
      <w:r w:rsidRPr="00F219CA">
        <w:rPr>
          <w:b/>
          <w:bCs/>
        </w:rPr>
        <w:t>18</w:t>
      </w:r>
      <w:r w:rsidRPr="00F219CA">
        <w:t xml:space="preserve"> (1), 24-25.</w:t>
      </w:r>
    </w:p>
    <w:p w:rsidR="0039485A" w:rsidRPr="00F219CA" w:rsidRDefault="0039485A" w:rsidP="0039485A">
      <w:pPr>
        <w:pStyle w:val="a3"/>
      </w:pPr>
      <w:r w:rsidRPr="00F219CA">
        <w:t xml:space="preserve">Full Text: </w:t>
      </w:r>
      <w:hyperlink r:id="rId686" w:history="1">
        <w:r w:rsidRPr="00F567F1">
          <w:rPr>
            <w:rStyle w:val="a5"/>
          </w:rPr>
          <w:t>1960-80\Ame Sta18, 24.pdf</w:t>
        </w:r>
      </w:hyperlink>
    </w:p>
    <w:p w:rsidR="003474F2" w:rsidRPr="001A3D2B" w:rsidRDefault="003474F2" w:rsidP="003474F2">
      <w:pPr>
        <w:pStyle w:val="a3"/>
      </w:pPr>
      <w:r w:rsidRPr="001A3D2B">
        <w:t>Leemis, L.M., Schmeiser, B.W.</w:t>
      </w:r>
      <w:r w:rsidR="005853A9">
        <w:t xml:space="preserve"> and </w:t>
      </w:r>
      <w:r w:rsidRPr="001A3D2B">
        <w:t>Evans, D.L. (2000), Survival distributions satisfying Benford</w:t>
      </w:r>
      <w:r w:rsidR="00700038">
        <w:t>’</w:t>
      </w:r>
      <w:r w:rsidR="00C13DDC">
        <w:t>s</w:t>
      </w:r>
      <w:r w:rsidRPr="001A3D2B">
        <w:t xml:space="preserve"> law. American Statistician, </w:t>
      </w:r>
      <w:r w:rsidRPr="001A3D2B">
        <w:rPr>
          <w:b/>
        </w:rPr>
        <w:t>54</w:t>
      </w:r>
      <w:r w:rsidRPr="001A3D2B">
        <w:t xml:space="preserve"> (4), 236-241.</w:t>
      </w:r>
    </w:p>
    <w:p w:rsidR="003474F2" w:rsidRPr="001A3D2B" w:rsidRDefault="003474F2" w:rsidP="003474F2">
      <w:pPr>
        <w:pStyle w:val="a3"/>
      </w:pPr>
      <w:r w:rsidRPr="001A3D2B">
        <w:t xml:space="preserve">Full Text: </w:t>
      </w:r>
      <w:hyperlink r:id="rId687" w:history="1">
        <w:r w:rsidRPr="001A3D2B">
          <w:rPr>
            <w:rStyle w:val="a5"/>
          </w:rPr>
          <w:t>2000\Ame Sta54, 1.pdf</w:t>
        </w:r>
      </w:hyperlink>
    </w:p>
    <w:p w:rsidR="003474F2" w:rsidRPr="001A3D2B" w:rsidRDefault="003474F2" w:rsidP="003474F2">
      <w:pPr>
        <w:pStyle w:val="a3"/>
      </w:pPr>
      <w:r w:rsidRPr="001A3D2B">
        <w:t xml:space="preserve">Abstract: Hill stated that </w:t>
      </w:r>
      <w:r w:rsidR="00700038">
        <w:t>‘</w:t>
      </w:r>
      <w:r w:rsidRPr="001A3D2B">
        <w:t>An interesting open problem is to determine which common distributions (or mixtures thereof) satisfy Benford</w:t>
      </w:r>
      <w:r w:rsidR="00700038">
        <w:t>’</w:t>
      </w:r>
      <w:r w:rsidR="00C13DDC">
        <w:t>s</w:t>
      </w:r>
      <w:r w:rsidRPr="001A3D2B">
        <w:t xml:space="preserve"> law ….</w:t>
      </w:r>
      <w:r w:rsidR="00700038">
        <w:t>’</w:t>
      </w:r>
      <w:r w:rsidRPr="001A3D2B">
        <w:t xml:space="preserve"> This article quanties compliance with Benford</w:t>
      </w:r>
      <w:r w:rsidR="00700038">
        <w:t>’</w:t>
      </w:r>
      <w:r w:rsidR="00C13DDC">
        <w:t>s</w:t>
      </w:r>
      <w:r w:rsidRPr="001A3D2B">
        <w:t xml:space="preserve"> law for several popular survival distributions</w:t>
      </w:r>
      <w:r w:rsidR="00A37C1D">
        <w:t>. The</w:t>
      </w:r>
      <w:r w:rsidR="003A1917">
        <w:t xml:space="preserve"> </w:t>
      </w:r>
      <w:r w:rsidRPr="001A3D2B">
        <w:t>traditional analysis</w:t>
      </w:r>
      <w:r w:rsidR="00427468">
        <w:t xml:space="preserve"> of </w:t>
      </w:r>
      <w:r w:rsidRPr="001A3D2B">
        <w:t>Benford</w:t>
      </w:r>
      <w:r w:rsidR="00700038">
        <w:t>’</w:t>
      </w:r>
      <w:r w:rsidR="00C13DDC">
        <w:t>s</w:t>
      </w:r>
      <w:r w:rsidRPr="001A3D2B">
        <w:t xml:space="preserve"> law considers its applicability to datasets. This article switches</w:t>
      </w:r>
      <w:r w:rsidR="003A1917">
        <w:t xml:space="preserve"> the </w:t>
      </w:r>
      <w:r w:rsidRPr="001A3D2B">
        <w:t>emphasis to probability distributions that obey Benford</w:t>
      </w:r>
      <w:r w:rsidR="00700038">
        <w:t>’</w:t>
      </w:r>
      <w:r w:rsidR="00C13DDC">
        <w:t>s</w:t>
      </w:r>
      <w:r w:rsidRPr="001A3D2B">
        <w:t xml:space="preserve"> law.</w:t>
      </w:r>
    </w:p>
    <w:p w:rsidR="003474F2" w:rsidRPr="001A3D2B" w:rsidRDefault="003474F2" w:rsidP="003474F2">
      <w:pPr>
        <w:pStyle w:val="a3"/>
      </w:pPr>
      <w:r w:rsidRPr="001A3D2B">
        <w:t>Keywords: Lifetimes, Random Variables, Variate Generation</w:t>
      </w:r>
    </w:p>
    <w:p w:rsidR="003474F2" w:rsidRPr="001A3D2B" w:rsidRDefault="003474F2" w:rsidP="003474F2">
      <w:pPr>
        <w:pStyle w:val="1"/>
      </w:pPr>
      <w:r w:rsidRPr="001A3D2B">
        <w:br w:type="page"/>
      </w:r>
      <w:bookmarkStart w:id="359" w:name="_Toc420814446"/>
      <w:r w:rsidRPr="001A3D2B">
        <w:lastRenderedPageBreak/>
        <w:t>Title: American Surgeon</w:t>
      </w:r>
      <w:bookmarkEnd w:id="359"/>
    </w:p>
    <w:p w:rsidR="00E629C0" w:rsidRPr="001A3D2B" w:rsidRDefault="00E629C0" w:rsidP="00E629C0">
      <w:pPr>
        <w:pStyle w:val="12"/>
      </w:pPr>
      <w:r w:rsidRPr="001A3D2B">
        <w:t xml:space="preserve">Full Journal Title: </w:t>
      </w:r>
      <w:hyperlink r:id="rId688" w:anchor="db=a9h&amp;jid=AUR" w:history="1">
        <w:r w:rsidRPr="001A3D2B">
          <w:rPr>
            <w:rStyle w:val="a5"/>
          </w:rPr>
          <w:t>American Surgeon</w:t>
        </w:r>
      </w:hyperlink>
      <w:r w:rsidRPr="001A3D2B">
        <w:t>;</w:t>
      </w:r>
      <w:r w:rsidRPr="001A3D2B">
        <w:rPr>
          <w:iCs/>
        </w:rPr>
        <w:t xml:space="preserve"> </w:t>
      </w:r>
      <w:hyperlink r:id="rId689" w:history="1">
        <w:r w:rsidRPr="001A3D2B">
          <w:rPr>
            <w:rStyle w:val="a5"/>
            <w:iCs/>
          </w:rPr>
          <w:t>American Surgeon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0003-1348</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Mittal, V., </w:t>
      </w:r>
      <w:smartTag w:uri="urn:schemas-microsoft-com:office:smarttags" w:element="place">
        <w:smartTag w:uri="urn:schemas-microsoft-com:office:smarttags" w:element="City">
          <w:r w:rsidRPr="001A3D2B">
            <w:t>Salem</w:t>
          </w:r>
        </w:smartTag>
      </w:smartTag>
      <w:r w:rsidRPr="001A3D2B">
        <w:t>, M., Tyburski, J., Brocato, J., Lloyd, L., Silva, Y., Silbergleit, A., Shanley, C.</w:t>
      </w:r>
      <w:r w:rsidR="005853A9">
        <w:t xml:space="preserve"> and </w:t>
      </w:r>
      <w:r w:rsidRPr="001A3D2B">
        <w:t>Remine, S. (2004), Residents</w:t>
      </w:r>
      <w:r w:rsidR="00700038">
        <w:t>’</w:t>
      </w:r>
      <w:r w:rsidRPr="001A3D2B">
        <w:t xml:space="preserve"> working hours in a consortium-wide surgical education program. </w:t>
      </w:r>
      <w:r w:rsidRPr="001A3D2B">
        <w:rPr>
          <w:i/>
          <w:iCs/>
        </w:rPr>
        <w:t>American Surgeon</w:t>
      </w:r>
      <w:r w:rsidRPr="001A3D2B">
        <w:t xml:space="preserve">, </w:t>
      </w:r>
      <w:r w:rsidRPr="001A3D2B">
        <w:rPr>
          <w:b/>
          <w:bCs/>
        </w:rPr>
        <w:t>70</w:t>
      </w:r>
      <w:r w:rsidRPr="001A3D2B">
        <w:t xml:space="preserve"> (2), 127-131.</w:t>
      </w:r>
    </w:p>
    <w:p w:rsidR="00E629C0" w:rsidRPr="001A3D2B" w:rsidRDefault="00E629C0" w:rsidP="003474F2">
      <w:pPr>
        <w:pStyle w:val="a3"/>
      </w:pPr>
      <w:r w:rsidRPr="001A3D2B">
        <w:t xml:space="preserve">Full Text: </w:t>
      </w:r>
      <w:hyperlink r:id="rId690" w:history="1">
        <w:r w:rsidRPr="001A3D2B">
          <w:rPr>
            <w:rStyle w:val="a5"/>
          </w:rPr>
          <w:t>2004\Ame Sur70, 127.pdf</w:t>
        </w:r>
      </w:hyperlink>
    </w:p>
    <w:p w:rsidR="003474F2" w:rsidRPr="001A3D2B" w:rsidRDefault="003474F2" w:rsidP="003474F2">
      <w:pPr>
        <w:pStyle w:val="a3"/>
      </w:pPr>
      <w:r w:rsidRPr="001A3D2B">
        <w:t>Abstract: Traditional work schedules</w:t>
      </w:r>
      <w:r w:rsidR="00427468">
        <w:t xml:space="preserve"> of </w:t>
      </w:r>
      <w:r w:rsidRPr="001A3D2B">
        <w:t>surgical residents have been cited as a factor that negatively influences education</w:t>
      </w:r>
      <w:r w:rsidR="005853A9">
        <w:t xml:space="preserve"> and </w:t>
      </w:r>
      <w:r w:rsidR="003A1917">
        <w:t xml:space="preserve">the </w:t>
      </w:r>
      <w:r w:rsidRPr="001A3D2B">
        <w:t>quality</w:t>
      </w:r>
      <w:r w:rsidR="00427468">
        <w:t xml:space="preserve"> of </w:t>
      </w:r>
      <w:r w:rsidRPr="001A3D2B">
        <w:t>patient care. Demands by federal</w:t>
      </w:r>
      <w:r w:rsidR="005853A9">
        <w:t xml:space="preserve"> and </w:t>
      </w:r>
      <w:r w:rsidRPr="001A3D2B">
        <w:t>state legislators as well as</w:t>
      </w:r>
      <w:r w:rsidR="003A1917">
        <w:t xml:space="preserve"> the </w:t>
      </w:r>
      <w:r w:rsidRPr="001A3D2B">
        <w:t>general public have forced a re-evaluation</w:t>
      </w:r>
      <w:r w:rsidR="00427468">
        <w:t xml:space="preserve"> of </w:t>
      </w:r>
      <w:r w:rsidR="003A1917">
        <w:t xml:space="preserve">the </w:t>
      </w:r>
      <w:r w:rsidRPr="001A3D2B">
        <w:t>issue. Long working hours</w:t>
      </w:r>
      <w:r w:rsidR="005853A9">
        <w:t xml:space="preserve"> and </w:t>
      </w:r>
      <w:r w:rsidRPr="001A3D2B">
        <w:t>resulting sleep deprivation affect</w:t>
      </w:r>
      <w:r w:rsidR="003A1917">
        <w:t xml:space="preserve"> the </w:t>
      </w:r>
      <w:r w:rsidRPr="001A3D2B">
        <w:t>lives</w:t>
      </w:r>
      <w:r w:rsidR="00427468">
        <w:t xml:space="preserve"> of </w:t>
      </w:r>
      <w:r w:rsidRPr="001A3D2B">
        <w:t>residents profoundly, but</w:t>
      </w:r>
      <w:r w:rsidR="003A1917">
        <w:t xml:space="preserve"> the </w:t>
      </w:r>
      <w:r w:rsidRPr="001A3D2B">
        <w:t>question remains does it lower</w:t>
      </w:r>
      <w:r w:rsidR="003A1917">
        <w:t xml:space="preserve"> the </w:t>
      </w:r>
      <w:r w:rsidRPr="001A3D2B">
        <w:t>quality</w:t>
      </w:r>
      <w:r w:rsidR="00427468">
        <w:t xml:space="preserve"> of </w:t>
      </w:r>
      <w:r w:rsidRPr="001A3D2B">
        <w:t>medical care?</w:t>
      </w:r>
      <w:r w:rsidR="003A1917">
        <w:t xml:space="preserve"> the </w:t>
      </w:r>
      <w:r w:rsidRPr="001A3D2B">
        <w:t>justification for</w:t>
      </w:r>
      <w:r w:rsidR="003A1917">
        <w:t xml:space="preserve"> the </w:t>
      </w:r>
      <w:r w:rsidRPr="001A3D2B">
        <w:t>long hours is that they are vital to medical education, but residents are so drained by their schedules that they are rarely in</w:t>
      </w:r>
      <w:r w:rsidR="003A1917">
        <w:t xml:space="preserve"> the </w:t>
      </w:r>
      <w:r w:rsidRPr="001A3D2B">
        <w:t>best state</w:t>
      </w:r>
      <w:r w:rsidR="00427468">
        <w:t xml:space="preserve"> of </w:t>
      </w:r>
      <w:r w:rsidRPr="001A3D2B">
        <w:t>mind to learn from their experiences. Under</w:t>
      </w:r>
      <w:r w:rsidR="003A1917">
        <w:t xml:space="preserve"> the </w:t>
      </w:r>
      <w:r w:rsidRPr="001A3D2B">
        <w:t>scrutiny</w:t>
      </w:r>
      <w:r w:rsidR="00427468">
        <w:t xml:space="preserve"> of </w:t>
      </w:r>
      <w:r w:rsidR="003A1917">
        <w:t xml:space="preserve">the </w:t>
      </w:r>
      <w:r w:rsidRPr="001A3D2B">
        <w:t>Resident Review Committee (RRC), many programs</w:t>
      </w:r>
      <w:r w:rsidR="005853A9">
        <w:t xml:space="preserve"> and </w:t>
      </w:r>
      <w:r w:rsidRPr="001A3D2B">
        <w:t>institutions have been cited in</w:t>
      </w:r>
      <w:r w:rsidR="003A1917">
        <w:t xml:space="preserve"> the </w:t>
      </w:r>
      <w:r w:rsidRPr="001A3D2B">
        <w:t>recent past in violation</w:t>
      </w:r>
      <w:r w:rsidR="00427468">
        <w:t xml:space="preserve"> of </w:t>
      </w:r>
      <w:r w:rsidRPr="001A3D2B">
        <w:t>resident working hour requirements. As a result, many institutions have implemented reforms, thereby reducing</w:t>
      </w:r>
      <w:r w:rsidR="003A1917">
        <w:t xml:space="preserve"> the </w:t>
      </w:r>
      <w:r w:rsidRPr="001A3D2B">
        <w:t>number</w:t>
      </w:r>
      <w:r w:rsidR="00427468">
        <w:t xml:space="preserve"> of </w:t>
      </w:r>
      <w:r w:rsidRPr="001A3D2B">
        <w:t>citations they received. In spite</w:t>
      </w:r>
      <w:r w:rsidR="00427468">
        <w:t xml:space="preserve"> of </w:t>
      </w:r>
      <w:r w:rsidRPr="001A3D2B">
        <w:t>having</w:t>
      </w:r>
      <w:r w:rsidR="003A1917">
        <w:t xml:space="preserve"> the </w:t>
      </w:r>
      <w:r w:rsidRPr="001A3D2B">
        <w:t>highest number</w:t>
      </w:r>
      <w:r w:rsidR="00427468">
        <w:t xml:space="preserve"> of </w:t>
      </w:r>
      <w:r w:rsidRPr="001A3D2B">
        <w:t>citations,</w:t>
      </w:r>
      <w:r w:rsidR="003A1917">
        <w:t xml:space="preserve"> the </w:t>
      </w:r>
      <w:r w:rsidRPr="001A3D2B">
        <w:t>field</w:t>
      </w:r>
      <w:r w:rsidR="00427468">
        <w:t xml:space="preserve"> of </w:t>
      </w:r>
      <w:r w:rsidRPr="001A3D2B">
        <w:t>general surgery has failed to show any improvement</w:t>
      </w:r>
      <w:r w:rsidR="00A37C1D">
        <w:t>. The</w:t>
      </w:r>
      <w:r w:rsidR="003A1917">
        <w:t xml:space="preserve"> </w:t>
      </w:r>
      <w:r w:rsidRPr="001A3D2B">
        <w:t>Oakland Health Education Programme Center for Medical Education (OHEP), a consortium</w:t>
      </w:r>
      <w:r w:rsidR="00427468">
        <w:t xml:space="preserve"> of </w:t>
      </w:r>
      <w:r w:rsidRPr="001A3D2B">
        <w:t>16 teaching hospitals in</w:t>
      </w:r>
      <w:r w:rsidR="003A1917">
        <w:t xml:space="preserve"> the </w:t>
      </w:r>
      <w:r w:rsidRPr="001A3D2B">
        <w:t>State</w:t>
      </w:r>
      <w:r w:rsidR="00427468">
        <w:t xml:space="preserve"> of </w:t>
      </w:r>
      <w:r w:rsidRPr="001A3D2B">
        <w:t>Michigan, set out to review</w:t>
      </w:r>
      <w:r w:rsidR="003A1917">
        <w:t xml:space="preserve"> the </w:t>
      </w:r>
      <w:r w:rsidRPr="001A3D2B">
        <w:t>components</w:t>
      </w:r>
      <w:r w:rsidR="00427468">
        <w:t xml:space="preserve"> of </w:t>
      </w:r>
      <w:r w:rsidRPr="001A3D2B">
        <w:t>general surgery residency training in order to be able to make recommendations that might assist program directors in making appropriate changes where necessary to enhance resident education</w:t>
      </w:r>
      <w:r w:rsidR="005853A9">
        <w:t xml:space="preserve"> and </w:t>
      </w:r>
      <w:r w:rsidR="003A1917">
        <w:t xml:space="preserve">the </w:t>
      </w:r>
      <w:r w:rsidRPr="001A3D2B">
        <w:t>quality</w:t>
      </w:r>
      <w:r w:rsidR="00427468">
        <w:t xml:space="preserve"> of </w:t>
      </w:r>
      <w:r w:rsidRPr="001A3D2B">
        <w:t>patient care as well as to meet</w:t>
      </w:r>
      <w:r w:rsidR="003A1917">
        <w:t xml:space="preserve"> the </w:t>
      </w:r>
      <w:r w:rsidRPr="001A3D2B">
        <w:t>personal demands</w:t>
      </w:r>
      <w:r w:rsidR="00427468">
        <w:t xml:space="preserve"> of </w:t>
      </w:r>
      <w:r w:rsidRPr="001A3D2B">
        <w:t>residents. Questionnaires on residents</w:t>
      </w:r>
      <w:r w:rsidR="00700038">
        <w:t>’</w:t>
      </w:r>
      <w:r w:rsidRPr="001A3D2B">
        <w:t xml:space="preserve"> attitudes concerning their working hours</w:t>
      </w:r>
      <w:r w:rsidR="005853A9">
        <w:t xml:space="preserve"> and </w:t>
      </w:r>
      <w:r w:rsidRPr="001A3D2B">
        <w:t>possible reforms were sent to all general surgery residency programs in</w:t>
      </w:r>
      <w:r w:rsidR="003A1917">
        <w:t xml:space="preserve"> the </w:t>
      </w:r>
      <w:r w:rsidRPr="001A3D2B">
        <w:t>OHEP consortium</w:t>
      </w:r>
      <w:r w:rsidR="00A37C1D">
        <w:t>. The</w:t>
      </w:r>
      <w:r w:rsidR="003A1917">
        <w:t xml:space="preserve"> </w:t>
      </w:r>
      <w:r w:rsidRPr="001A3D2B">
        <w:t>questionnaire consisted</w:t>
      </w:r>
      <w:r w:rsidR="00427468">
        <w:t xml:space="preserve"> of </w:t>
      </w:r>
      <w:r w:rsidRPr="001A3D2B">
        <w:t>25 questions divided into three major sections:</w:t>
      </w:r>
      <w:r w:rsidR="003A1917">
        <w:t xml:space="preserve"> the </w:t>
      </w:r>
      <w:r w:rsidRPr="001A3D2B">
        <w:lastRenderedPageBreak/>
        <w:t>first section encompassed demographic information including current work hours</w:t>
      </w:r>
      <w:r w:rsidR="005853A9">
        <w:t xml:space="preserve"> and </w:t>
      </w:r>
      <w:r w:rsidRPr="001A3D2B">
        <w:t>on-call schedules</w:t>
      </w:r>
      <w:r w:rsidR="00A37C1D">
        <w:t>. The</w:t>
      </w:r>
      <w:r w:rsidR="003A1917">
        <w:t xml:space="preserve"> </w:t>
      </w:r>
      <w:r w:rsidRPr="001A3D2B">
        <w:t>second section consisted</w:t>
      </w:r>
      <w:r w:rsidR="00427468">
        <w:t xml:space="preserve"> of </w:t>
      </w:r>
      <w:r w:rsidRPr="001A3D2B">
        <w:t>questions relating to attitudes toward work hours</w:t>
      </w:r>
      <w:r w:rsidR="005853A9">
        <w:t xml:space="preserve"> and </w:t>
      </w:r>
      <w:r w:rsidR="003A1917">
        <w:t xml:space="preserve">the </w:t>
      </w:r>
      <w:r w:rsidRPr="001A3D2B">
        <w:t>options for change</w:t>
      </w:r>
      <w:r w:rsidR="00A37C1D">
        <w:t>. The</w:t>
      </w:r>
      <w:r w:rsidR="003A1917">
        <w:t xml:space="preserve"> </w:t>
      </w:r>
      <w:r w:rsidRPr="001A3D2B">
        <w:t>third section consisted</w:t>
      </w:r>
      <w:r w:rsidR="00427468">
        <w:t xml:space="preserve"> of </w:t>
      </w:r>
      <w:r w:rsidRPr="001A3D2B">
        <w:t>questions that viewed</w:t>
      </w:r>
      <w:r w:rsidR="003A1917">
        <w:t xml:space="preserve"> the </w:t>
      </w:r>
      <w:r w:rsidRPr="001A3D2B">
        <w:t>perceived effects</w:t>
      </w:r>
      <w:r w:rsidR="00427468">
        <w:t xml:space="preserve"> of </w:t>
      </w:r>
      <w:r w:rsidRPr="001A3D2B">
        <w:t>limited work hours. From</w:t>
      </w:r>
      <w:r w:rsidR="003A1917">
        <w:t xml:space="preserve"> the </w:t>
      </w:r>
      <w:r w:rsidRPr="001A3D2B">
        <w:t>seven participating hospitals with surgery residency programs in OHEP, 92 residents responded to our survey</w:t>
      </w:r>
      <w:r w:rsidR="00A37C1D">
        <w:t>. The</w:t>
      </w:r>
      <w:r w:rsidR="003A1917">
        <w:t xml:space="preserve"> </w:t>
      </w:r>
      <w:r w:rsidRPr="001A3D2B">
        <w:t>majority</w:t>
      </w:r>
      <w:r w:rsidR="00427468">
        <w:t xml:space="preserve"> of </w:t>
      </w:r>
      <w:r w:rsidRPr="001A3D2B">
        <w:t>residents were in</w:t>
      </w:r>
      <w:r w:rsidR="003A1917">
        <w:t xml:space="preserve"> the </w:t>
      </w:r>
      <w:r w:rsidRPr="001A3D2B">
        <w:t>first 3 years</w:t>
      </w:r>
      <w:r w:rsidR="00427468">
        <w:t xml:space="preserve"> of </w:t>
      </w:r>
      <w:r w:rsidRPr="001A3D2B">
        <w:t>postgraduate training</w:t>
      </w:r>
      <w:r w:rsidR="00A37C1D">
        <w:t>. The</w:t>
      </w:r>
      <w:r w:rsidR="003A1917">
        <w:t xml:space="preserve"> </w:t>
      </w:r>
      <w:r w:rsidRPr="001A3D2B">
        <w:t>mean age</w:t>
      </w:r>
      <w:r w:rsidR="00427468">
        <w:t xml:space="preserve"> of </w:t>
      </w:r>
      <w:r w:rsidRPr="001A3D2B">
        <w:t>residents was 30 years old. Sixty-four per cent</w:t>
      </w:r>
      <w:r w:rsidR="00427468">
        <w:t xml:space="preserve"> of </w:t>
      </w:r>
      <w:r w:rsidRPr="001A3D2B">
        <w:t>respondents were male,</w:t>
      </w:r>
      <w:r w:rsidR="005853A9">
        <w:t xml:space="preserve"> and </w:t>
      </w:r>
      <w:r w:rsidRPr="001A3D2B">
        <w:t>18 per cent were female. Residents reported an average</w:t>
      </w:r>
      <w:r w:rsidR="00427468">
        <w:t xml:space="preserve"> of </w:t>
      </w:r>
      <w:r w:rsidRPr="001A3D2B">
        <w:t>56 with a range</w:t>
      </w:r>
      <w:r w:rsidR="00427468">
        <w:t xml:space="preserve"> of </w:t>
      </w:r>
      <w:r w:rsidRPr="001A3D2B">
        <w:t>0 to 110 hours on call. Variations in</w:t>
      </w:r>
      <w:r w:rsidR="003A1917">
        <w:t xml:space="preserve"> the </w:t>
      </w:r>
      <w:r w:rsidRPr="001A3D2B">
        <w:t>number</w:t>
      </w:r>
      <w:r w:rsidR="00427468">
        <w:t xml:space="preserve"> of </w:t>
      </w:r>
      <w:r w:rsidRPr="001A3D2B">
        <w:t>hours had to do with</w:t>
      </w:r>
      <w:r w:rsidR="003A1917">
        <w:t xml:space="preserve"> the </w:t>
      </w:r>
      <w:r w:rsidRPr="001A3D2B">
        <w:t>various rotations residents were on, in that during certain elective rotations, residents were not assigned to any call</w:t>
      </w:r>
      <w:r w:rsidR="00A37C1D">
        <w:t>. The</w:t>
      </w:r>
      <w:r w:rsidR="003A1917">
        <w:t xml:space="preserve"> </w:t>
      </w:r>
      <w:r w:rsidRPr="001A3D2B">
        <w:t>on-call schedule varied; alternate nights were reported by 11 per cent, every third night by 33 per cent,</w:t>
      </w:r>
      <w:r w:rsidR="005853A9">
        <w:t xml:space="preserve"> and </w:t>
      </w:r>
      <w:r w:rsidRPr="001A3D2B">
        <w:t>every fourth night or more by 53 per cent</w:t>
      </w:r>
      <w:r w:rsidR="00A37C1D">
        <w:t>. The</w:t>
      </w:r>
      <w:r w:rsidR="003A1917">
        <w:t xml:space="preserve"> </w:t>
      </w:r>
      <w:r w:rsidRPr="001A3D2B">
        <w:t>majority</w:t>
      </w:r>
      <w:r w:rsidR="00427468">
        <w:t xml:space="preserve"> of </w:t>
      </w:r>
      <w:r w:rsidRPr="001A3D2B">
        <w:t>surgical residents did express</w:t>
      </w:r>
      <w:r w:rsidR="003A1917">
        <w:t xml:space="preserve"> the </w:t>
      </w:r>
      <w:r w:rsidRPr="001A3D2B">
        <w:t>need for reform</w:t>
      </w:r>
      <w:r w:rsidR="005853A9">
        <w:t xml:space="preserve"> and </w:t>
      </w:r>
      <w:r w:rsidRPr="001A3D2B">
        <w:t>did not feel that reforms would affect</w:t>
      </w:r>
      <w:r w:rsidR="003A1917">
        <w:t xml:space="preserve"> the </w:t>
      </w:r>
      <w:r w:rsidRPr="001A3D2B">
        <w:t>quality</w:t>
      </w:r>
      <w:r w:rsidR="00427468">
        <w:t xml:space="preserve"> of </w:t>
      </w:r>
      <w:r w:rsidRPr="001A3D2B">
        <w:t>resident education. However, residents did not want to lengthen residency training beyond</w:t>
      </w:r>
      <w:r w:rsidR="003A1917">
        <w:t xml:space="preserve"> the </w:t>
      </w:r>
      <w:r w:rsidRPr="001A3D2B">
        <w:t>5 years</w:t>
      </w:r>
      <w:r w:rsidR="00A37C1D">
        <w:t>. The</w:t>
      </w:r>
      <w:r w:rsidR="003A1917">
        <w:t xml:space="preserve"> </w:t>
      </w:r>
      <w:r w:rsidRPr="001A3D2B">
        <w:t>results</w:t>
      </w:r>
      <w:r w:rsidR="00427468">
        <w:t xml:space="preserve"> of </w:t>
      </w:r>
      <w:r w:rsidRPr="001A3D2B">
        <w:t>our study indicates that</w:t>
      </w:r>
      <w:r w:rsidR="003A1917">
        <w:t xml:space="preserve"> the </w:t>
      </w:r>
      <w:r w:rsidRPr="001A3D2B">
        <w:t>majority</w:t>
      </w:r>
      <w:r w:rsidR="00427468">
        <w:t xml:space="preserve"> of </w:t>
      </w:r>
      <w:r w:rsidRPr="001A3D2B">
        <w:t xml:space="preserve">residents in general surgery programs in </w:t>
      </w:r>
      <w:smartTag w:uri="urn:schemas-microsoft-com:office:smarttags" w:element="place">
        <w:smartTag w:uri="urn:schemas-microsoft-com:office:smarttags" w:element="State">
          <w:r w:rsidRPr="001A3D2B">
            <w:t>Michigan</w:t>
          </w:r>
        </w:smartTag>
      </w:smartTag>
      <w:r w:rsidRPr="001A3D2B">
        <w:t xml:space="preserve"> perceive a need for reform</w:t>
      </w:r>
      <w:r w:rsidR="00427468">
        <w:t xml:space="preserve"> of </w:t>
      </w:r>
      <w:r w:rsidRPr="001A3D2B">
        <w:t>work schedules. Surgical educators may have underestimated this need in</w:t>
      </w:r>
      <w:r w:rsidR="003A1917">
        <w:t xml:space="preserve"> the </w:t>
      </w:r>
      <w:r w:rsidRPr="001A3D2B">
        <w:t>past. Most residents thought that long hours impaired their educational experience</w:t>
      </w:r>
      <w:r w:rsidR="005853A9">
        <w:t xml:space="preserve"> and </w:t>
      </w:r>
      <w:r w:rsidRPr="001A3D2B">
        <w:t>at times compromised their clinical care.</w:t>
      </w:r>
    </w:p>
    <w:p w:rsidR="00116069" w:rsidRDefault="00116069" w:rsidP="00116069">
      <w:pPr>
        <w:pStyle w:val="a3"/>
        <w:rPr>
          <w:kern w:val="0"/>
        </w:rPr>
      </w:pPr>
      <w:r>
        <w:rPr>
          <w:rFonts w:hint="eastAsia"/>
          <w:kern w:val="0"/>
        </w:rPr>
        <w:t xml:space="preserve">? </w:t>
      </w:r>
      <w:r>
        <w:rPr>
          <w:kern w:val="0"/>
        </w:rPr>
        <w:t xml:space="preserve">Zheng, L.J., Ding, W.X., Zhou, D.L., Lu, L.S. and Yao, L. (2014), Laparoscopic versus open resection for gastric gastrointestinal stromal tumors: A meta-analysis. </w:t>
      </w:r>
      <w:r>
        <w:rPr>
          <w:i/>
          <w:iCs/>
          <w:kern w:val="0"/>
        </w:rPr>
        <w:t>American Surgeon</w:t>
      </w:r>
      <w:r>
        <w:rPr>
          <w:kern w:val="0"/>
        </w:rPr>
        <w:t xml:space="preserve">, </w:t>
      </w:r>
      <w:r>
        <w:rPr>
          <w:b/>
          <w:bCs/>
          <w:kern w:val="0"/>
        </w:rPr>
        <w:t>80</w:t>
      </w:r>
      <w:r>
        <w:rPr>
          <w:kern w:val="0"/>
        </w:rPr>
        <w:t xml:space="preserve"> (1), 48-56.</w:t>
      </w:r>
    </w:p>
    <w:p w:rsidR="00116069" w:rsidRPr="001A3D2B" w:rsidRDefault="00116069" w:rsidP="00116069">
      <w:pPr>
        <w:pStyle w:val="a3"/>
      </w:pPr>
      <w:r w:rsidRPr="001A3D2B">
        <w:t xml:space="preserve">Full Text: </w:t>
      </w:r>
      <w:hyperlink r:id="rId691" w:history="1">
        <w:r w:rsidRPr="00CB109C">
          <w:rPr>
            <w:rStyle w:val="a5"/>
          </w:rPr>
          <w:t>2014\Ame Sur80, 49.pdf</w:t>
        </w:r>
      </w:hyperlink>
    </w:p>
    <w:p w:rsidR="00116069" w:rsidRDefault="00116069" w:rsidP="00116069">
      <w:pPr>
        <w:pStyle w:val="a3"/>
        <w:rPr>
          <w:kern w:val="0"/>
        </w:rPr>
      </w:pPr>
      <w:r>
        <w:rPr>
          <w:kern w:val="0"/>
        </w:rPr>
        <w:t xml:space="preserve">Abstract: We conducted our meta-analysis to compare outcomes between laparoscopic resection and open resection for gastric gastrointestinal stromal tumors (GISTs) from all published comparative studies in the literature. Databases, including PubMed, Embase, Cochrane Library, Ovid, Web of Science, and CNKI, were searched to identify studies comparing outcomes after laparoscopic resection and open resection for gastric GISTs. The meta-analysis was performed by RevMan 5.1. Eleven comparative studies comprising 495 patients were identified. Patients undergoing laparoscopic resection of gastric GISTs were found to have similar operative time (weighted mean difference [WMD], 2.29; 95% confidence interval [CI], -16.01 to 11.43; P &lt; 0.74) and complications rate (odds ratio [OR], 0.76; 95% CI, 0.36 to 1.58; P &lt; 0.46). Less intraoperative blood loss (WMD, -55.91; 95% CI, -90.26 to -21.56; P &lt; 0.001), earlier passing first flatus (WMD, -0.89, 95% CI, -1.60 to -0.18; P &lt; 0.01), earlier having the first liquid diet (WMD, -1.54; 95% CI, -2.44 to -0.64; P &lt; 0.0008), and shorter hospital stay (WMD, -4.25; 95% CI, -5.63 to -2.88; P = 0.00001) were observed in the laparoscopic resection group. The recurrence rate was higher in the </w:t>
      </w:r>
      <w:r>
        <w:rPr>
          <w:kern w:val="0"/>
        </w:rPr>
        <w:lastRenderedPageBreak/>
        <w:t>group of open resection compared with the group of laparoscopic resection (OR, 0.26; 95% CI, 0.09 to 0.75; P &lt; 0.01). Laparoscopic resection is safe and efficient in the treatment of patients with gastric GISTs as compared with open resection procedure. Laparoscopic resection may be a preferred treatment for gastric GISTs.</w:t>
      </w:r>
    </w:p>
    <w:p w:rsidR="00116069" w:rsidRDefault="00116069" w:rsidP="00116069">
      <w:pPr>
        <w:pStyle w:val="a3"/>
        <w:rPr>
          <w:kern w:val="0"/>
        </w:rPr>
      </w:pPr>
      <w:r>
        <w:rPr>
          <w:kern w:val="0"/>
        </w:rPr>
        <w:t>Keywords: Blood, Blood Loss, Complications, Confidence, Criteria, Databases, Diagnosis, Diet, Experience, First, Flatus, Gastric, Gastrointestinal, Gist, Hospital, Hospital Stay, Interval, Intraoperative Blood Loss, Laparoscopic, Liquid, Literature, Management, Meta Analysis, Meta-Analysis, Metaanalysis, Odds Ratio, Open, Operative, Operative Time, Outcomes, P, Pathology, Patients, Procedure, Prognostic-Factors, Pubmed, Recurrence, Risk Stratification, Science, Stomach, Treatment, Vs.</w:t>
      </w:r>
      <w:r>
        <w:rPr>
          <w:rFonts w:hint="eastAsia"/>
          <w:kern w:val="0"/>
        </w:rPr>
        <w:t xml:space="preserve"> </w:t>
      </w:r>
      <w:r>
        <w:rPr>
          <w:kern w:val="0"/>
        </w:rPr>
        <w:t>Open Resection, Web Of Science</w:t>
      </w:r>
    </w:p>
    <w:p w:rsidR="003474F2" w:rsidRPr="001A3D2B" w:rsidRDefault="003474F2" w:rsidP="003474F2">
      <w:pPr>
        <w:pStyle w:val="1"/>
      </w:pPr>
      <w:r w:rsidRPr="001A3D2B">
        <w:br w:type="page"/>
      </w:r>
      <w:bookmarkStart w:id="360" w:name="_Toc420814447"/>
      <w:r w:rsidRPr="001A3D2B">
        <w:lastRenderedPageBreak/>
        <w:t>Title: American Zoologist</w:t>
      </w:r>
      <w:bookmarkEnd w:id="360"/>
    </w:p>
    <w:p w:rsidR="003474F2" w:rsidRPr="001A3D2B" w:rsidRDefault="003474F2" w:rsidP="003474F2">
      <w:pPr>
        <w:pStyle w:val="12"/>
      </w:pPr>
      <w:r w:rsidRPr="001A3D2B">
        <w:t xml:space="preserve">Full Journal Title: </w:t>
      </w:r>
      <w:hyperlink r:id="rId692" w:history="1">
        <w:r w:rsidRPr="001A3D2B">
          <w:rPr>
            <w:rStyle w:val="a5"/>
          </w:rPr>
          <w:t>American Zoologist</w:t>
        </w:r>
      </w:hyperlink>
      <w:r w:rsidR="00E629C0" w:rsidRPr="001A3D2B">
        <w:t xml:space="preserve">; </w:t>
      </w:r>
      <w:hyperlink r:id="rId693" w:history="1">
        <w:r w:rsidR="00E629C0" w:rsidRPr="001A3D2B">
          <w:rPr>
            <w:rStyle w:val="a5"/>
          </w:rPr>
          <w:t>American Zoologist</w:t>
        </w:r>
      </w:hyperlink>
      <w:r w:rsidR="00E629C0" w:rsidRPr="001A3D2B">
        <w:t xml:space="preserve">; </w:t>
      </w:r>
      <w:hyperlink r:id="rId694" w:history="1">
        <w:r w:rsidR="00E629C0" w:rsidRPr="001A3D2B">
          <w:rPr>
            <w:rStyle w:val="a5"/>
          </w:rPr>
          <w:t>American Zoologist</w:t>
        </w:r>
      </w:hyperlink>
      <w:r w:rsidR="00E629C0" w:rsidRPr="001A3D2B">
        <w:t xml:space="preserve">; </w:t>
      </w:r>
      <w:hyperlink r:id="rId695" w:history="1">
        <w:r w:rsidR="00E629C0" w:rsidRPr="001A3D2B">
          <w:rPr>
            <w:rStyle w:val="a5"/>
          </w:rPr>
          <w:t>American Zoologist</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0003-1569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Sower, </w:t>
      </w:r>
      <w:smartTag w:uri="urn:schemas-microsoft-com:office:smarttags" w:element="place">
        <w:smartTag w:uri="urn:schemas-microsoft-com:office:smarttags" w:element="country-region">
          <w:r w:rsidRPr="001A3D2B">
            <w:t>S.A.</w:t>
          </w:r>
        </w:smartTag>
      </w:smartTag>
      <w:r w:rsidRPr="001A3D2B">
        <w:t>, Suzuki, K.</w:t>
      </w:r>
      <w:r w:rsidR="005853A9">
        <w:t xml:space="preserve"> and </w:t>
      </w:r>
      <w:r w:rsidRPr="001A3D2B">
        <w:t>Reed, K.L. (2000), Perspective: Research activity</w:t>
      </w:r>
      <w:r w:rsidR="00427468">
        <w:t xml:space="preserve"> of </w:t>
      </w:r>
      <w:r w:rsidRPr="001A3D2B">
        <w:t>enteropancreatic</w:t>
      </w:r>
      <w:r w:rsidR="005853A9">
        <w:t xml:space="preserve"> and </w:t>
      </w:r>
      <w:r w:rsidRPr="001A3D2B">
        <w:t>brain/central nervous system hormones across invertebrates</w:t>
      </w:r>
      <w:r w:rsidR="005853A9">
        <w:t xml:space="preserve"> and </w:t>
      </w:r>
      <w:r w:rsidRPr="001A3D2B">
        <w:t xml:space="preserve">vertebrates. </w:t>
      </w:r>
      <w:r w:rsidRPr="001A3D2B">
        <w:rPr>
          <w:i/>
          <w:iCs/>
        </w:rPr>
        <w:t>American Zoologist</w:t>
      </w:r>
      <w:r w:rsidRPr="001A3D2B">
        <w:t xml:space="preserve">, </w:t>
      </w:r>
      <w:r w:rsidRPr="001A3D2B">
        <w:rPr>
          <w:b/>
          <w:bCs/>
        </w:rPr>
        <w:t>40</w:t>
      </w:r>
      <w:r w:rsidRPr="001A3D2B">
        <w:t xml:space="preserve"> (2), 165-178.</w:t>
      </w:r>
    </w:p>
    <w:p w:rsidR="003474F2" w:rsidRPr="001A3D2B" w:rsidRDefault="003474F2" w:rsidP="003474F2">
      <w:pPr>
        <w:pStyle w:val="a3"/>
      </w:pPr>
      <w:r w:rsidRPr="001A3D2B">
        <w:t xml:space="preserve">Full Text: </w:t>
      </w:r>
      <w:hyperlink r:id="rId696" w:history="1">
        <w:r w:rsidRPr="001A3D2B">
          <w:rPr>
            <w:rStyle w:val="a5"/>
          </w:rPr>
          <w:t>2000\Ame Zoo40, 165.pdf</w:t>
        </w:r>
      </w:hyperlink>
    </w:p>
    <w:p w:rsidR="003474F2" w:rsidRPr="001A3D2B" w:rsidRDefault="003474F2" w:rsidP="003474F2">
      <w:pPr>
        <w:pStyle w:val="a3"/>
      </w:pPr>
      <w:r w:rsidRPr="001A3D2B">
        <w:t>Abstract: During</w:t>
      </w:r>
      <w:r w:rsidR="003A1917">
        <w:t xml:space="preserve"> the </w:t>
      </w:r>
      <w:r w:rsidRPr="001A3D2B">
        <w:t>past two decades there have been rapid advances in our knowledge</w:t>
      </w:r>
      <w:r w:rsidR="00427468">
        <w:t xml:space="preserve"> of </w:t>
      </w:r>
      <w:r w:rsidR="003A1917">
        <w:t xml:space="preserve">the </w:t>
      </w:r>
      <w:r w:rsidRPr="001A3D2B">
        <w:t>structure</w:t>
      </w:r>
      <w:r w:rsidR="005853A9">
        <w:t xml:space="preserve"> and </w:t>
      </w:r>
      <w:r w:rsidRPr="001A3D2B">
        <w:t>function</w:t>
      </w:r>
      <w:r w:rsidR="00427468">
        <w:t xml:space="preserve"> of </w:t>
      </w:r>
      <w:r w:rsidR="003A1917">
        <w:t xml:space="preserve">the </w:t>
      </w:r>
      <w:r w:rsidRPr="001A3D2B">
        <w:t>protein hormones in</w:t>
      </w:r>
      <w:r w:rsidR="003A1917">
        <w:t xml:space="preserve"> the </w:t>
      </w:r>
      <w:r w:rsidRPr="001A3D2B">
        <w:t>brain</w:t>
      </w:r>
      <w:r w:rsidR="005853A9">
        <w:t xml:space="preserve"> and </w:t>
      </w:r>
      <w:r w:rsidRPr="001A3D2B">
        <w:t>gastroenteropancreatic system (GEP). Many published articles have highlighted</w:t>
      </w:r>
      <w:r w:rsidR="003A1917">
        <w:t xml:space="preserve"> the </w:t>
      </w:r>
      <w:r w:rsidRPr="001A3D2B">
        <w:t>superfamily</w:t>
      </w:r>
      <w:r w:rsidR="00427468">
        <w:t xml:space="preserve"> of </w:t>
      </w:r>
      <w:r w:rsidRPr="001A3D2B">
        <w:t>hormonal peptides, specifically,</w:t>
      </w:r>
      <w:r w:rsidR="003A1917">
        <w:t xml:space="preserve"> the </w:t>
      </w:r>
      <w:r w:rsidRPr="001A3D2B">
        <w:t>mechanisms</w:t>
      </w:r>
      <w:r w:rsidR="005853A9">
        <w:t xml:space="preserve"> and </w:t>
      </w:r>
      <w:r w:rsidRPr="001A3D2B">
        <w:t>control</w:t>
      </w:r>
      <w:r w:rsidR="00427468">
        <w:t xml:space="preserve"> of </w:t>
      </w:r>
      <w:r w:rsidRPr="001A3D2B">
        <w:t>peptide synthesis in neural</w:t>
      </w:r>
      <w:r w:rsidR="005853A9">
        <w:t xml:space="preserve"> and </w:t>
      </w:r>
      <w:r w:rsidRPr="001A3D2B">
        <w:t>non-neural tissues,</w:t>
      </w:r>
      <w:r w:rsidR="005853A9">
        <w:t xml:space="preserve"> and </w:t>
      </w:r>
      <w:r w:rsidRPr="001A3D2B">
        <w:t>gene structure. Here we present an analysis</w:t>
      </w:r>
      <w:r w:rsidR="00427468">
        <w:t xml:space="preserve"> of </w:t>
      </w:r>
      <w:r w:rsidR="003A1917">
        <w:t xml:space="preserve">the </w:t>
      </w:r>
      <w:r w:rsidRPr="001A3D2B">
        <w:t>annual trends, between 1980</w:t>
      </w:r>
      <w:r w:rsidR="005853A9">
        <w:t xml:space="preserve"> and </w:t>
      </w:r>
      <w:r w:rsidRPr="001A3D2B">
        <w:t>1997,</w:t>
      </w:r>
      <w:r w:rsidR="00427468">
        <w:t xml:space="preserve"> of </w:t>
      </w:r>
      <w:r w:rsidRPr="001A3D2B">
        <w:t>research emphasis on six protein/peptide hormones, as reflected by their individual frequency</w:t>
      </w:r>
      <w:r w:rsidR="00427468">
        <w:t xml:space="preserve"> of </w:t>
      </w:r>
      <w:r w:rsidRPr="001A3D2B">
        <w:t>publication per year. Although this symposium is focused on</w:t>
      </w:r>
      <w:r w:rsidR="003A1917">
        <w:t xml:space="preserve"> the </w:t>
      </w:r>
      <w:r w:rsidRPr="001A3D2B">
        <w:t>GEP hormones, we provide herein a perspective on</w:t>
      </w:r>
      <w:r w:rsidR="003A1917">
        <w:t xml:space="preserve"> the </w:t>
      </w:r>
      <w:r w:rsidRPr="001A3D2B">
        <w:t>level</w:t>
      </w:r>
      <w:r w:rsidR="00427468">
        <w:t xml:space="preserve"> of </w:t>
      </w:r>
      <w:r w:rsidRPr="001A3D2B">
        <w:t>research activity</w:t>
      </w:r>
      <w:r w:rsidR="00427468">
        <w:t xml:space="preserve"> of </w:t>
      </w:r>
      <w:r w:rsidR="003A1917">
        <w:t xml:space="preserve">the </w:t>
      </w:r>
      <w:r w:rsidRPr="001A3D2B">
        <w:t>hormones Insulin, glucagon, cholecystokinin, insulin-like growth factor-I</w:t>
      </w:r>
      <w:r w:rsidR="005853A9">
        <w:t xml:space="preserve"> and </w:t>
      </w:r>
      <w:r w:rsidR="008C1C37">
        <w:t xml:space="preserve">-II, </w:t>
      </w:r>
      <w:r w:rsidRPr="001A3D2B">
        <w:t>neuropeptide Y</w:t>
      </w:r>
      <w:r w:rsidR="005853A9">
        <w:t xml:space="preserve"> and </w:t>
      </w:r>
      <w:r w:rsidRPr="001A3D2B">
        <w:t>somatostatin in</w:t>
      </w:r>
      <w:r w:rsidR="003A1917">
        <w:t xml:space="preserve"> the </w:t>
      </w:r>
      <w:r w:rsidRPr="001A3D2B">
        <w:t>brain/gut systems throughout</w:t>
      </w:r>
      <w:r w:rsidR="003A1917">
        <w:t xml:space="preserve"> the </w:t>
      </w:r>
      <w:r w:rsidRPr="001A3D2B">
        <w:t>vertebrates</w:t>
      </w:r>
      <w:r w:rsidR="005853A9">
        <w:t xml:space="preserve"> and </w:t>
      </w:r>
      <w:r w:rsidRPr="001A3D2B">
        <w:t>invertebrates. Many publications deal with</w:t>
      </w:r>
      <w:r w:rsidR="003A1917">
        <w:t xml:space="preserve"> the </w:t>
      </w:r>
      <w:r w:rsidRPr="001A3D2B">
        <w:t>evolution</w:t>
      </w:r>
      <w:r w:rsidR="00427468">
        <w:t xml:space="preserve"> of </w:t>
      </w:r>
      <w:r w:rsidRPr="001A3D2B">
        <w:t>these peptides</w:t>
      </w:r>
      <w:r w:rsidR="005853A9">
        <w:t xml:space="preserve"> and </w:t>
      </w:r>
      <w:r w:rsidRPr="001A3D2B">
        <w:t>their superfamilies, yet as noted in this review, there are relatively few references to these peptides in invertebrates</w:t>
      </w:r>
      <w:r w:rsidR="005853A9">
        <w:t xml:space="preserve"> and </w:t>
      </w:r>
      <w:r w:rsidRPr="001A3D2B">
        <w:t>non-mammalian species. Typically in invertebrates,</w:t>
      </w:r>
      <w:r w:rsidR="003A1917">
        <w:t xml:space="preserve"> the </w:t>
      </w:r>
      <w:r w:rsidRPr="001A3D2B">
        <w:t>number</w:t>
      </w:r>
      <w:r w:rsidR="00427468">
        <w:t xml:space="preserve"> of </w:t>
      </w:r>
      <w:r w:rsidRPr="001A3D2B">
        <w:t>citations is low</w:t>
      </w:r>
      <w:r w:rsidR="005853A9">
        <w:t xml:space="preserve"> and </w:t>
      </w:r>
      <w:r w:rsidRPr="001A3D2B">
        <w:t>mostly focused on three phyla,</w:t>
      </w:r>
      <w:r w:rsidR="003A1917">
        <w:t xml:space="preserve"> the </w:t>
      </w:r>
      <w:r w:rsidRPr="001A3D2B">
        <w:t>arthropods, mollusks</w:t>
      </w:r>
      <w:r w:rsidR="005853A9">
        <w:t xml:space="preserve"> and </w:t>
      </w:r>
      <w:r w:rsidRPr="001A3D2B">
        <w:t>helminths. Generally, in</w:t>
      </w:r>
      <w:r w:rsidR="003A1917">
        <w:t xml:space="preserve"> the </w:t>
      </w:r>
      <w:r w:rsidRPr="001A3D2B">
        <w:t>vertebrates</w:t>
      </w:r>
      <w:r w:rsidR="003A1917">
        <w:t xml:space="preserve"> the </w:t>
      </w:r>
      <w:r w:rsidRPr="001A3D2B">
        <w:t>smallest number</w:t>
      </w:r>
      <w:r w:rsidR="00427468">
        <w:t xml:space="preserve"> of </w:t>
      </w:r>
      <w:r w:rsidRPr="001A3D2B">
        <w:t>citations is in</w:t>
      </w:r>
      <w:r w:rsidR="003A1917">
        <w:t xml:space="preserve"> the </w:t>
      </w:r>
      <w:r w:rsidRPr="001A3D2B">
        <w:t>cyclostomes</w:t>
      </w:r>
      <w:r w:rsidR="005853A9">
        <w:t xml:space="preserve"> and </w:t>
      </w:r>
      <w:r w:rsidRPr="001A3D2B">
        <w:t>elasmobranchs. Because most groups</w:t>
      </w:r>
      <w:r w:rsidR="00427468">
        <w:t xml:space="preserve"> of </w:t>
      </w:r>
      <w:r w:rsidRPr="001A3D2B">
        <w:t>invertebrates</w:t>
      </w:r>
      <w:r w:rsidR="005853A9">
        <w:t xml:space="preserve"> and </w:t>
      </w:r>
      <w:r w:rsidRPr="001A3D2B">
        <w:t>vertebrates have received scant attention, phylogenetic comparisons are limited. Evolutionary information concerning Important groups</w:t>
      </w:r>
      <w:r w:rsidR="00427468">
        <w:t xml:space="preserve"> of </w:t>
      </w:r>
      <w:r w:rsidRPr="001A3D2B">
        <w:t>animals, such as helminths, mollusks, protochordates</w:t>
      </w:r>
      <w:r w:rsidR="005853A9">
        <w:t xml:space="preserve"> and </w:t>
      </w:r>
      <w:r w:rsidRPr="001A3D2B">
        <w:t xml:space="preserve">cyclostomes, is essential to </w:t>
      </w:r>
      <w:r w:rsidRPr="001A3D2B">
        <w:lastRenderedPageBreak/>
        <w:t>establish</w:t>
      </w:r>
      <w:r w:rsidR="003A1917">
        <w:t xml:space="preserve"> the </w:t>
      </w:r>
      <w:r w:rsidRPr="001A3D2B">
        <w:t>phylogenetic histories</w:t>
      </w:r>
      <w:r w:rsidR="00427468">
        <w:t xml:space="preserve"> of </w:t>
      </w:r>
      <w:r w:rsidR="003A1917">
        <w:t xml:space="preserve">the </w:t>
      </w:r>
      <w:r w:rsidRPr="001A3D2B">
        <w:t>hormonal peptides</w:t>
      </w:r>
      <w:r w:rsidR="00A37C1D">
        <w:t>. The</w:t>
      </w:r>
      <w:r w:rsidR="003A1917">
        <w:t xml:space="preserve"> </w:t>
      </w:r>
      <w:r w:rsidRPr="001A3D2B">
        <w:t>challenge to comparative endocrinologists is to examine species in key evolutionary positions in order to gain an understanding</w:t>
      </w:r>
      <w:r w:rsidR="00427468">
        <w:t xml:space="preserve"> of </w:t>
      </w:r>
      <w:r w:rsidR="003A1917">
        <w:t xml:space="preserve">the </w:t>
      </w:r>
      <w:r w:rsidRPr="001A3D2B">
        <w:t>diversity</w:t>
      </w:r>
      <w:r w:rsidR="005853A9">
        <w:t xml:space="preserve"> and </w:t>
      </w:r>
      <w:r w:rsidRPr="001A3D2B">
        <w:t>function</w:t>
      </w:r>
      <w:r w:rsidR="00427468">
        <w:t xml:space="preserve"> of </w:t>
      </w:r>
      <w:r w:rsidR="003A1917">
        <w:t xml:space="preserve">the </w:t>
      </w:r>
      <w:r w:rsidRPr="001A3D2B">
        <w:t>hormones</w:t>
      </w:r>
      <w:r w:rsidR="005853A9">
        <w:t xml:space="preserve"> and </w:t>
      </w:r>
      <w:r w:rsidRPr="001A3D2B">
        <w:t>to determine</w:t>
      </w:r>
      <w:r w:rsidR="003A1917">
        <w:t xml:space="preserve"> the </w:t>
      </w:r>
      <w:r w:rsidRPr="001A3D2B">
        <w:t>molecular features that form clues to their phyletic interrelationships</w:t>
      </w:r>
      <w:r w:rsidR="005853A9">
        <w:t xml:space="preserve"> and </w:t>
      </w:r>
      <w:r w:rsidRPr="001A3D2B">
        <w:t>progression.</w:t>
      </w:r>
    </w:p>
    <w:p w:rsidR="003474F2" w:rsidRPr="001A3D2B" w:rsidRDefault="003474F2" w:rsidP="003474F2">
      <w:pPr>
        <w:pStyle w:val="a3"/>
      </w:pPr>
      <w:r w:rsidRPr="001A3D2B">
        <w:t>Keywords: Brain, Evolution, Glucagon-Like Peptides, Growth-Factors, Insulin, Neuropeptide-Y, Phylogeny, Polypeptide, Publications, Receptors, Research</w:t>
      </w:r>
    </w:p>
    <w:p w:rsidR="00454570" w:rsidRPr="001A3D2B" w:rsidRDefault="00454570" w:rsidP="00454570">
      <w:pPr>
        <w:pStyle w:val="1"/>
      </w:pPr>
      <w:r w:rsidRPr="001A3D2B">
        <w:br w:type="page"/>
      </w:r>
      <w:bookmarkStart w:id="361" w:name="_Toc420814448"/>
      <w:r w:rsidRPr="001A3D2B">
        <w:lastRenderedPageBreak/>
        <w:t>Title: Amfiteatru Economic</w:t>
      </w:r>
      <w:bookmarkEnd w:id="361"/>
    </w:p>
    <w:p w:rsidR="00454570" w:rsidRPr="001A3D2B" w:rsidRDefault="00454570" w:rsidP="00454570">
      <w:pPr>
        <w:pStyle w:val="12"/>
      </w:pPr>
      <w:r w:rsidRPr="001A3D2B">
        <w:t xml:space="preserve">Full Journal Title: </w:t>
      </w:r>
      <w:r w:rsidRPr="001A3D2B">
        <w:rPr>
          <w:iCs/>
          <w:kern w:val="0"/>
        </w:rPr>
        <w:t>Amfiteatru Economic</w:t>
      </w:r>
    </w:p>
    <w:p w:rsidR="00454570" w:rsidRPr="001A3D2B" w:rsidRDefault="00454570" w:rsidP="00454570">
      <w:pPr>
        <w:pStyle w:val="12"/>
      </w:pPr>
      <w:r w:rsidRPr="001A3D2B">
        <w:t xml:space="preserve">ISO Abbreviated Title: </w:t>
      </w:r>
    </w:p>
    <w:p w:rsidR="00454570" w:rsidRPr="001A3D2B" w:rsidRDefault="00454570" w:rsidP="00454570">
      <w:pPr>
        <w:pStyle w:val="12"/>
      </w:pPr>
      <w:r w:rsidRPr="001A3D2B">
        <w:t xml:space="preserve">JCR Abbreviated Title: </w:t>
      </w:r>
    </w:p>
    <w:p w:rsidR="00454570" w:rsidRPr="001A3D2B" w:rsidRDefault="00454570" w:rsidP="00454570">
      <w:pPr>
        <w:pStyle w:val="12"/>
      </w:pPr>
      <w:r w:rsidRPr="001A3D2B">
        <w:t xml:space="preserve">ISSN: </w:t>
      </w:r>
    </w:p>
    <w:p w:rsidR="00454570" w:rsidRPr="001A3D2B" w:rsidRDefault="00454570" w:rsidP="00454570">
      <w:pPr>
        <w:pStyle w:val="12"/>
      </w:pPr>
      <w:r w:rsidRPr="001A3D2B">
        <w:t xml:space="preserve">Issues/Year: </w:t>
      </w:r>
    </w:p>
    <w:p w:rsidR="00454570" w:rsidRPr="001A3D2B" w:rsidRDefault="00AA25A4" w:rsidP="00454570">
      <w:pPr>
        <w:pStyle w:val="12"/>
      </w:pPr>
      <w:r w:rsidRPr="001A3D2B">
        <w:t>Journal Country/Territory:</w:t>
      </w:r>
      <w:r w:rsidR="00454570" w:rsidRPr="001A3D2B">
        <w:t xml:space="preserve"> </w:t>
      </w:r>
    </w:p>
    <w:p w:rsidR="00454570" w:rsidRPr="001A3D2B" w:rsidRDefault="00454570" w:rsidP="00454570">
      <w:pPr>
        <w:pStyle w:val="12"/>
      </w:pPr>
      <w:r w:rsidRPr="001A3D2B">
        <w:t xml:space="preserve">Language: </w:t>
      </w:r>
    </w:p>
    <w:p w:rsidR="00454570" w:rsidRPr="001A3D2B" w:rsidRDefault="00454570" w:rsidP="00454570">
      <w:pPr>
        <w:pStyle w:val="12"/>
      </w:pPr>
      <w:r w:rsidRPr="001A3D2B">
        <w:t xml:space="preserve">Publisher: </w:t>
      </w:r>
    </w:p>
    <w:p w:rsidR="00454570" w:rsidRPr="001A3D2B" w:rsidRDefault="00454570" w:rsidP="00454570">
      <w:pPr>
        <w:pStyle w:val="12"/>
      </w:pPr>
      <w:r w:rsidRPr="001A3D2B">
        <w:t xml:space="preserve">Publisher Address: </w:t>
      </w:r>
    </w:p>
    <w:p w:rsidR="00454570" w:rsidRPr="001A3D2B" w:rsidRDefault="00454570" w:rsidP="00454570">
      <w:pPr>
        <w:pStyle w:val="12"/>
      </w:pPr>
      <w:r w:rsidRPr="001A3D2B">
        <w:t xml:space="preserve">Subject Categories: </w:t>
      </w:r>
    </w:p>
    <w:p w:rsidR="00454570" w:rsidRPr="001A3D2B" w:rsidRDefault="00454570" w:rsidP="00454570">
      <w:pPr>
        <w:pStyle w:val="12"/>
      </w:pPr>
      <w:r w:rsidRPr="001A3D2B">
        <w:t xml:space="preserve">: Impact Factor </w:t>
      </w:r>
    </w:p>
    <w:p w:rsidR="00454570" w:rsidRDefault="00454570" w:rsidP="00454570">
      <w:pPr>
        <w:pStyle w:val="a3"/>
        <w:rPr>
          <w:kern w:val="0"/>
        </w:rPr>
      </w:pPr>
      <w:r w:rsidRPr="001A3D2B">
        <w:rPr>
          <w:kern w:val="0"/>
        </w:rPr>
        <w:t>? Bogdan, I., Iuliana, I., Valentin, D.</w:t>
      </w:r>
      <w:r w:rsidR="005853A9">
        <w:rPr>
          <w:kern w:val="0"/>
        </w:rPr>
        <w:t xml:space="preserve"> and </w:t>
      </w:r>
      <w:r w:rsidRPr="001A3D2B">
        <w:rPr>
          <w:kern w:val="0"/>
        </w:rPr>
        <w:t>Vasile, G. (2009</w:t>
      </w:r>
      <w:r w:rsidR="00F42EAC">
        <w:rPr>
          <w:kern w:val="0"/>
        </w:rPr>
        <w:t>), The</w:t>
      </w:r>
      <w:r w:rsidR="003A1917">
        <w:rPr>
          <w:kern w:val="0"/>
        </w:rPr>
        <w:t xml:space="preserve"> </w:t>
      </w:r>
      <w:r w:rsidRPr="001A3D2B">
        <w:rPr>
          <w:kern w:val="0"/>
        </w:rPr>
        <w:t>quality management</w:t>
      </w:r>
      <w:r w:rsidR="00427468">
        <w:rPr>
          <w:kern w:val="0"/>
        </w:rPr>
        <w:t xml:space="preserve"> of </w:t>
      </w:r>
      <w:r w:rsidR="003A1917">
        <w:rPr>
          <w:kern w:val="0"/>
        </w:rPr>
        <w:t xml:space="preserve">the </w:t>
      </w:r>
      <w:r w:rsidRPr="001A3D2B">
        <w:rPr>
          <w:kern w:val="0"/>
        </w:rPr>
        <w:t>services</w:t>
      </w:r>
      <w:r w:rsidR="00427468">
        <w:rPr>
          <w:kern w:val="0"/>
        </w:rPr>
        <w:t xml:space="preserve"> of </w:t>
      </w:r>
      <w:r w:rsidRPr="001A3D2B">
        <w:rPr>
          <w:kern w:val="0"/>
        </w:rPr>
        <w:t>scientometric quantification</w:t>
      </w:r>
      <w:r w:rsidR="00427468">
        <w:rPr>
          <w:kern w:val="0"/>
        </w:rPr>
        <w:t xml:space="preserve"> of </w:t>
      </w:r>
      <w:r w:rsidR="003A1917">
        <w:rPr>
          <w:kern w:val="0"/>
        </w:rPr>
        <w:t xml:space="preserve">the </w:t>
      </w:r>
      <w:r w:rsidRPr="001A3D2B">
        <w:rPr>
          <w:kern w:val="0"/>
        </w:rPr>
        <w:t>research</w:t>
      </w:r>
      <w:r w:rsidR="00427468">
        <w:rPr>
          <w:kern w:val="0"/>
        </w:rPr>
        <w:t xml:space="preserve"> of </w:t>
      </w:r>
      <w:r w:rsidR="003A1917">
        <w:rPr>
          <w:kern w:val="0"/>
        </w:rPr>
        <w:t xml:space="preserve">the </w:t>
      </w:r>
      <w:r w:rsidRPr="001A3D2B">
        <w:rPr>
          <w:kern w:val="0"/>
        </w:rPr>
        <w:t>members</w:t>
      </w:r>
      <w:r w:rsidR="00427468">
        <w:rPr>
          <w:kern w:val="0"/>
        </w:rPr>
        <w:t xml:space="preserve"> of </w:t>
      </w:r>
      <w:r w:rsidR="003A1917">
        <w:rPr>
          <w:kern w:val="0"/>
        </w:rPr>
        <w:t xml:space="preserve">the </w:t>
      </w:r>
      <w:r w:rsidRPr="001A3D2B">
        <w:rPr>
          <w:kern w:val="0"/>
        </w:rPr>
        <w:t>university community deployed within</w:t>
      </w:r>
      <w:r w:rsidR="003A1917">
        <w:rPr>
          <w:kern w:val="0"/>
        </w:rPr>
        <w:t xml:space="preserve"> the </w:t>
      </w:r>
      <w:r w:rsidR="00B5188C">
        <w:rPr>
          <w:kern w:val="0"/>
        </w:rPr>
        <w:t>“</w:t>
      </w:r>
      <w:r w:rsidRPr="001A3D2B">
        <w:rPr>
          <w:kern w:val="0"/>
        </w:rPr>
        <w:t>E-Univroscient</w:t>
      </w:r>
      <w:r w:rsidR="00B5188C">
        <w:rPr>
          <w:kern w:val="0"/>
        </w:rPr>
        <w:t>”</w:t>
      </w:r>
      <w:r w:rsidRPr="001A3D2B">
        <w:rPr>
          <w:kern w:val="0"/>
        </w:rPr>
        <w:t xml:space="preserve"> concept. </w:t>
      </w:r>
      <w:r w:rsidRPr="001A3D2B">
        <w:rPr>
          <w:i/>
          <w:iCs/>
          <w:kern w:val="0"/>
        </w:rPr>
        <w:t>Amfiteatru Economic</w:t>
      </w:r>
      <w:r w:rsidRPr="001A3D2B">
        <w:rPr>
          <w:kern w:val="0"/>
        </w:rPr>
        <w:t xml:space="preserve">, </w:t>
      </w:r>
      <w:r w:rsidRPr="001A3D2B">
        <w:rPr>
          <w:b/>
          <w:bCs/>
          <w:kern w:val="0"/>
        </w:rPr>
        <w:t>11</w:t>
      </w:r>
      <w:r w:rsidRPr="001A3D2B">
        <w:rPr>
          <w:kern w:val="0"/>
        </w:rPr>
        <w:t xml:space="preserve"> (26), 429-440.</w:t>
      </w:r>
    </w:p>
    <w:p w:rsidR="007B3E55" w:rsidRPr="001A3D2B" w:rsidRDefault="007B3E55" w:rsidP="00454570">
      <w:pPr>
        <w:pStyle w:val="a3"/>
        <w:rPr>
          <w:kern w:val="0"/>
        </w:rPr>
      </w:pPr>
      <w:r>
        <w:rPr>
          <w:rFonts w:hint="eastAsia"/>
          <w:kern w:val="0"/>
        </w:rPr>
        <w:t xml:space="preserve">Full Text: </w:t>
      </w:r>
      <w:hyperlink r:id="rId697" w:history="1">
        <w:r w:rsidRPr="007B3E55">
          <w:rPr>
            <w:rStyle w:val="a5"/>
            <w:kern w:val="0"/>
          </w:rPr>
          <w:t>2009\Amf Eco11, 429.pdf</w:t>
        </w:r>
      </w:hyperlink>
    </w:p>
    <w:p w:rsidR="00454570" w:rsidRPr="001A3D2B" w:rsidRDefault="00454570" w:rsidP="00454570">
      <w:pPr>
        <w:pStyle w:val="a3"/>
        <w:rPr>
          <w:kern w:val="0"/>
        </w:rPr>
      </w:pPr>
      <w:r w:rsidRPr="001A3D2B">
        <w:rPr>
          <w:kern w:val="0"/>
        </w:rPr>
        <w:t>Abstract:</w:t>
      </w:r>
      <w:r w:rsidR="003A1917">
        <w:rPr>
          <w:kern w:val="0"/>
        </w:rPr>
        <w:t xml:space="preserve"> the </w:t>
      </w:r>
      <w:r w:rsidRPr="001A3D2B">
        <w:rPr>
          <w:kern w:val="0"/>
        </w:rPr>
        <w:t xml:space="preserve">concept called </w:t>
      </w:r>
      <w:r w:rsidR="00B5188C">
        <w:rPr>
          <w:kern w:val="0"/>
        </w:rPr>
        <w:t>“</w:t>
      </w:r>
      <w:r w:rsidRPr="001A3D2B">
        <w:rPr>
          <w:kern w:val="0"/>
        </w:rPr>
        <w:t>e-UnivRoScient</w:t>
      </w:r>
      <w:r w:rsidR="00B5188C">
        <w:rPr>
          <w:kern w:val="0"/>
        </w:rPr>
        <w:t>”</w:t>
      </w:r>
      <w:r w:rsidRPr="001A3D2B">
        <w:rPr>
          <w:kern w:val="0"/>
        </w:rPr>
        <w:t xml:space="preserve"> (e-University Romanian Scient) proposes</w:t>
      </w:r>
      <w:r w:rsidR="003A1917">
        <w:rPr>
          <w:kern w:val="0"/>
        </w:rPr>
        <w:t xml:space="preserve"> the </w:t>
      </w:r>
      <w:r w:rsidRPr="001A3D2B">
        <w:rPr>
          <w:kern w:val="0"/>
        </w:rPr>
        <w:t>search</w:t>
      </w:r>
      <w:r w:rsidR="00427468">
        <w:rPr>
          <w:kern w:val="0"/>
        </w:rPr>
        <w:t xml:space="preserve"> of </w:t>
      </w:r>
      <w:r w:rsidRPr="001A3D2B">
        <w:rPr>
          <w:kern w:val="0"/>
        </w:rPr>
        <w:t>new opportunities</w:t>
      </w:r>
      <w:r w:rsidR="00427468">
        <w:rPr>
          <w:kern w:val="0"/>
        </w:rPr>
        <w:t xml:space="preserve"> of </w:t>
      </w:r>
      <w:r w:rsidRPr="001A3D2B">
        <w:rPr>
          <w:kern w:val="0"/>
        </w:rPr>
        <w:t>information</w:t>
      </w:r>
      <w:r w:rsidR="005853A9">
        <w:rPr>
          <w:kern w:val="0"/>
        </w:rPr>
        <w:t xml:space="preserve"> and </w:t>
      </w:r>
      <w:r w:rsidRPr="001A3D2B">
        <w:rPr>
          <w:kern w:val="0"/>
        </w:rPr>
        <w:t>documentation, at</w:t>
      </w:r>
      <w:r w:rsidR="003A1917">
        <w:rPr>
          <w:kern w:val="0"/>
        </w:rPr>
        <w:t xml:space="preserve"> the </w:t>
      </w:r>
      <w:r w:rsidRPr="001A3D2B">
        <w:rPr>
          <w:kern w:val="0"/>
        </w:rPr>
        <w:t>basis level</w:t>
      </w:r>
      <w:r w:rsidR="00427468">
        <w:rPr>
          <w:kern w:val="0"/>
        </w:rPr>
        <w:t xml:space="preserve"> of </w:t>
      </w:r>
      <w:r w:rsidRPr="001A3D2B">
        <w:rPr>
          <w:kern w:val="0"/>
        </w:rPr>
        <w:t>structuring in</w:t>
      </w:r>
      <w:r w:rsidR="003A1917">
        <w:rPr>
          <w:kern w:val="0"/>
        </w:rPr>
        <w:t xml:space="preserve"> the </w:t>
      </w:r>
      <w:r w:rsidRPr="001A3D2B">
        <w:rPr>
          <w:kern w:val="0"/>
        </w:rPr>
        <w:t>university scientific research -</w:t>
      </w:r>
      <w:r w:rsidR="003A1917">
        <w:rPr>
          <w:kern w:val="0"/>
        </w:rPr>
        <w:t xml:space="preserve"> the </w:t>
      </w:r>
      <w:r w:rsidRPr="001A3D2B">
        <w:rPr>
          <w:kern w:val="0"/>
        </w:rPr>
        <w:t>individual,</w:t>
      </w:r>
      <w:r w:rsidR="003A1917">
        <w:rPr>
          <w:kern w:val="0"/>
        </w:rPr>
        <w:t xml:space="preserve"> the </w:t>
      </w:r>
      <w:r w:rsidRPr="001A3D2B">
        <w:rPr>
          <w:kern w:val="0"/>
        </w:rPr>
        <w:t>collectivity,</w:t>
      </w:r>
      <w:r w:rsidR="003A1917">
        <w:rPr>
          <w:kern w:val="0"/>
        </w:rPr>
        <w:t xml:space="preserve"> the </w:t>
      </w:r>
      <w:r w:rsidRPr="001A3D2B">
        <w:rPr>
          <w:kern w:val="0"/>
        </w:rPr>
        <w:t>chair or</w:t>
      </w:r>
      <w:r w:rsidR="003A1917">
        <w:rPr>
          <w:kern w:val="0"/>
        </w:rPr>
        <w:t xml:space="preserve"> the </w:t>
      </w:r>
      <w:r w:rsidRPr="001A3D2B">
        <w:rPr>
          <w:kern w:val="0"/>
        </w:rPr>
        <w:t>department. By deploying</w:t>
      </w:r>
      <w:r w:rsidR="003A1917">
        <w:rPr>
          <w:kern w:val="0"/>
        </w:rPr>
        <w:t xml:space="preserve"> the </w:t>
      </w:r>
      <w:r w:rsidRPr="001A3D2B">
        <w:rPr>
          <w:kern w:val="0"/>
        </w:rPr>
        <w:t>concept e-UnivRoScient in an on line database it permits to obtain a harmonious relationship between</w:t>
      </w:r>
      <w:r w:rsidR="003A1917">
        <w:rPr>
          <w:kern w:val="0"/>
        </w:rPr>
        <w:t xml:space="preserve"> the </w:t>
      </w:r>
      <w:r w:rsidRPr="001A3D2B">
        <w:rPr>
          <w:kern w:val="0"/>
        </w:rPr>
        <w:t>creators</w:t>
      </w:r>
      <w:r w:rsidR="00427468">
        <w:rPr>
          <w:kern w:val="0"/>
        </w:rPr>
        <w:t xml:space="preserve"> of </w:t>
      </w:r>
      <w:r w:rsidRPr="001A3D2B">
        <w:rPr>
          <w:kern w:val="0"/>
        </w:rPr>
        <w:t>scientific information from</w:t>
      </w:r>
      <w:r w:rsidR="003A1917">
        <w:rPr>
          <w:kern w:val="0"/>
        </w:rPr>
        <w:t xml:space="preserve"> the </w:t>
      </w:r>
      <w:r w:rsidRPr="001A3D2B">
        <w:rPr>
          <w:kern w:val="0"/>
        </w:rPr>
        <w:t>level</w:t>
      </w:r>
      <w:r w:rsidR="00427468">
        <w:rPr>
          <w:kern w:val="0"/>
        </w:rPr>
        <w:t xml:space="preserve"> of </w:t>
      </w:r>
      <w:r w:rsidR="003A1917">
        <w:rPr>
          <w:kern w:val="0"/>
        </w:rPr>
        <w:t xml:space="preserve">the </w:t>
      </w:r>
      <w:r w:rsidRPr="001A3D2B">
        <w:rPr>
          <w:kern w:val="0"/>
        </w:rPr>
        <w:t>university degree units</w:t>
      </w:r>
      <w:r w:rsidR="005853A9">
        <w:rPr>
          <w:kern w:val="0"/>
        </w:rPr>
        <w:t xml:space="preserve"> and </w:t>
      </w:r>
      <w:r w:rsidRPr="001A3D2B">
        <w:rPr>
          <w:kern w:val="0"/>
        </w:rPr>
        <w:t>its consumers, through</w:t>
      </w:r>
      <w:r w:rsidR="003A1917">
        <w:rPr>
          <w:kern w:val="0"/>
        </w:rPr>
        <w:t xml:space="preserve"> the </w:t>
      </w:r>
      <w:r w:rsidRPr="001A3D2B">
        <w:rPr>
          <w:kern w:val="0"/>
        </w:rPr>
        <w:t>achievement</w:t>
      </w:r>
      <w:r w:rsidR="00427468">
        <w:rPr>
          <w:kern w:val="0"/>
        </w:rPr>
        <w:t xml:space="preserve"> of </w:t>
      </w:r>
      <w:r w:rsidRPr="001A3D2B">
        <w:rPr>
          <w:kern w:val="0"/>
        </w:rPr>
        <w:t>an informational system with visible database at</w:t>
      </w:r>
      <w:r w:rsidR="003A1917">
        <w:rPr>
          <w:kern w:val="0"/>
        </w:rPr>
        <w:t xml:space="preserve"> the </w:t>
      </w:r>
      <w:r w:rsidRPr="001A3D2B">
        <w:rPr>
          <w:kern w:val="0"/>
        </w:rPr>
        <w:t>national level, which will present</w:t>
      </w:r>
      <w:r w:rsidR="003A1917">
        <w:rPr>
          <w:kern w:val="0"/>
        </w:rPr>
        <w:t xml:space="preserve"> the </w:t>
      </w:r>
      <w:r w:rsidRPr="001A3D2B">
        <w:rPr>
          <w:kern w:val="0"/>
        </w:rPr>
        <w:t>scientific preoccupations</w:t>
      </w:r>
      <w:r w:rsidR="00427468">
        <w:rPr>
          <w:kern w:val="0"/>
        </w:rPr>
        <w:t xml:space="preserve"> of </w:t>
      </w:r>
      <w:r w:rsidR="003A1917">
        <w:rPr>
          <w:kern w:val="0"/>
        </w:rPr>
        <w:t xml:space="preserve">the </w:t>
      </w:r>
      <w:r w:rsidRPr="001A3D2B">
        <w:rPr>
          <w:kern w:val="0"/>
        </w:rPr>
        <w:t>university researchers under all</w:t>
      </w:r>
      <w:r w:rsidR="003A1917">
        <w:rPr>
          <w:kern w:val="0"/>
        </w:rPr>
        <w:t xml:space="preserve"> the </w:t>
      </w:r>
      <w:r w:rsidRPr="001A3D2B">
        <w:rPr>
          <w:kern w:val="0"/>
        </w:rPr>
        <w:t>aspects</w:t>
      </w:r>
      <w:r w:rsidR="005853A9">
        <w:rPr>
          <w:kern w:val="0"/>
        </w:rPr>
        <w:t xml:space="preserve"> and </w:t>
      </w:r>
      <w:r w:rsidRPr="001A3D2B">
        <w:rPr>
          <w:kern w:val="0"/>
        </w:rPr>
        <w:t>components</w:t>
      </w:r>
      <w:r w:rsidR="00427468">
        <w:rPr>
          <w:kern w:val="0"/>
        </w:rPr>
        <w:t xml:space="preserve"> of </w:t>
      </w:r>
      <w:r w:rsidR="003A1917">
        <w:rPr>
          <w:kern w:val="0"/>
        </w:rPr>
        <w:t xml:space="preserve">the </w:t>
      </w:r>
      <w:r w:rsidRPr="001A3D2B">
        <w:rPr>
          <w:kern w:val="0"/>
        </w:rPr>
        <w:t>research activity. By synthesizing</w:t>
      </w:r>
      <w:r w:rsidR="005853A9">
        <w:rPr>
          <w:kern w:val="0"/>
        </w:rPr>
        <w:t xml:space="preserve"> and </w:t>
      </w:r>
      <w:r w:rsidRPr="001A3D2B">
        <w:rPr>
          <w:kern w:val="0"/>
        </w:rPr>
        <w:t>weighting all</w:t>
      </w:r>
      <w:r w:rsidR="003A1917">
        <w:rPr>
          <w:kern w:val="0"/>
        </w:rPr>
        <w:t xml:space="preserve"> the </w:t>
      </w:r>
      <w:r w:rsidRPr="001A3D2B">
        <w:rPr>
          <w:kern w:val="0"/>
        </w:rPr>
        <w:t>components</w:t>
      </w:r>
      <w:r w:rsidR="00427468">
        <w:rPr>
          <w:kern w:val="0"/>
        </w:rPr>
        <w:t xml:space="preserve"> of </w:t>
      </w:r>
      <w:r w:rsidR="003A1917">
        <w:rPr>
          <w:kern w:val="0"/>
        </w:rPr>
        <w:t xml:space="preserve">the </w:t>
      </w:r>
      <w:r w:rsidRPr="001A3D2B">
        <w:rPr>
          <w:kern w:val="0"/>
        </w:rPr>
        <w:t>research activity it can be obtained</w:t>
      </w:r>
      <w:r w:rsidR="003A1917">
        <w:rPr>
          <w:kern w:val="0"/>
        </w:rPr>
        <w:t xml:space="preserve"> the </w:t>
      </w:r>
      <w:r w:rsidRPr="001A3D2B">
        <w:rPr>
          <w:kern w:val="0"/>
        </w:rPr>
        <w:t>profile</w:t>
      </w:r>
      <w:r w:rsidR="00427468">
        <w:rPr>
          <w:kern w:val="0"/>
        </w:rPr>
        <w:t xml:space="preserve"> of </w:t>
      </w:r>
      <w:r w:rsidRPr="001A3D2B">
        <w:rPr>
          <w:kern w:val="0"/>
        </w:rPr>
        <w:t>a researcher which activates in</w:t>
      </w:r>
      <w:r w:rsidR="003A1917">
        <w:rPr>
          <w:kern w:val="0"/>
        </w:rPr>
        <w:t xml:space="preserve"> the </w:t>
      </w:r>
      <w:r w:rsidRPr="001A3D2B">
        <w:rPr>
          <w:kern w:val="0"/>
        </w:rPr>
        <w:t>university environment, joining normative assessment rules for</w:t>
      </w:r>
      <w:r w:rsidR="003A1917">
        <w:rPr>
          <w:kern w:val="0"/>
        </w:rPr>
        <w:t xml:space="preserve"> the </w:t>
      </w:r>
      <w:r w:rsidRPr="001A3D2B">
        <w:rPr>
          <w:kern w:val="0"/>
        </w:rPr>
        <w:t>evaluation</w:t>
      </w:r>
      <w:r w:rsidR="00427468">
        <w:rPr>
          <w:kern w:val="0"/>
        </w:rPr>
        <w:t xml:space="preserve"> of </w:t>
      </w:r>
      <w:r w:rsidRPr="001A3D2B">
        <w:rPr>
          <w:kern w:val="0"/>
        </w:rPr>
        <w:t>scientific activity with rules resulted from an empirical research. This concept will approach</w:t>
      </w:r>
      <w:r w:rsidR="003A1917">
        <w:rPr>
          <w:kern w:val="0"/>
        </w:rPr>
        <w:t xml:space="preserve"> the </w:t>
      </w:r>
      <w:r w:rsidRPr="001A3D2B">
        <w:rPr>
          <w:kern w:val="0"/>
        </w:rPr>
        <w:t>university research on</w:t>
      </w:r>
      <w:r w:rsidR="003A1917">
        <w:rPr>
          <w:kern w:val="0"/>
        </w:rPr>
        <w:t xml:space="preserve"> the </w:t>
      </w:r>
      <w:r w:rsidRPr="001A3D2B">
        <w:rPr>
          <w:kern w:val="0"/>
        </w:rPr>
        <w:t>principle</w:t>
      </w:r>
      <w:r w:rsidR="00427468">
        <w:rPr>
          <w:kern w:val="0"/>
        </w:rPr>
        <w:t xml:space="preserve"> of </w:t>
      </w:r>
      <w:r w:rsidRPr="001A3D2B">
        <w:rPr>
          <w:kern w:val="0"/>
        </w:rPr>
        <w:t>a scientific exchange in which</w:t>
      </w:r>
      <w:r w:rsidR="003A1917">
        <w:rPr>
          <w:kern w:val="0"/>
        </w:rPr>
        <w:t xml:space="preserve"> the </w:t>
      </w:r>
      <w:r w:rsidRPr="001A3D2B">
        <w:rPr>
          <w:kern w:val="0"/>
        </w:rPr>
        <w:t>academic community will participate</w:t>
      </w:r>
      <w:r w:rsidR="00A37C1D">
        <w:rPr>
          <w:kern w:val="0"/>
        </w:rPr>
        <w:t>. The</w:t>
      </w:r>
      <w:r w:rsidR="003A1917">
        <w:rPr>
          <w:kern w:val="0"/>
        </w:rPr>
        <w:t xml:space="preserve"> </w:t>
      </w:r>
      <w:r w:rsidRPr="001A3D2B">
        <w:rPr>
          <w:kern w:val="0"/>
        </w:rPr>
        <w:t>aspects presented in this paper have an original character</w:t>
      </w:r>
      <w:r w:rsidR="005853A9">
        <w:rPr>
          <w:kern w:val="0"/>
        </w:rPr>
        <w:t xml:space="preserve"> and </w:t>
      </w:r>
      <w:r w:rsidRPr="001A3D2B">
        <w:rPr>
          <w:kern w:val="0"/>
        </w:rPr>
        <w:t>fulfill in</w:t>
      </w:r>
      <w:r w:rsidR="003A1917">
        <w:rPr>
          <w:kern w:val="0"/>
        </w:rPr>
        <w:t xml:space="preserve"> the </w:t>
      </w:r>
      <w:r w:rsidRPr="001A3D2B">
        <w:rPr>
          <w:kern w:val="0"/>
        </w:rPr>
        <w:t>opinion</w:t>
      </w:r>
      <w:r w:rsidR="00427468">
        <w:rPr>
          <w:kern w:val="0"/>
        </w:rPr>
        <w:t xml:space="preserve"> of </w:t>
      </w:r>
      <w:r w:rsidR="003A1917">
        <w:rPr>
          <w:kern w:val="0"/>
        </w:rPr>
        <w:t xml:space="preserve">the </w:t>
      </w:r>
      <w:r w:rsidRPr="001A3D2B">
        <w:rPr>
          <w:kern w:val="0"/>
        </w:rPr>
        <w:t>authors with qualitative elements</w:t>
      </w:r>
      <w:r w:rsidR="003A1917">
        <w:rPr>
          <w:kern w:val="0"/>
        </w:rPr>
        <w:t xml:space="preserve"> the </w:t>
      </w:r>
      <w:r w:rsidRPr="001A3D2B">
        <w:rPr>
          <w:kern w:val="0"/>
        </w:rPr>
        <w:t>scientometric quantification</w:t>
      </w:r>
      <w:r w:rsidR="00427468">
        <w:rPr>
          <w:kern w:val="0"/>
        </w:rPr>
        <w:t xml:space="preserve"> of </w:t>
      </w:r>
      <w:r w:rsidR="003A1917">
        <w:rPr>
          <w:kern w:val="0"/>
        </w:rPr>
        <w:t xml:space="preserve">the </w:t>
      </w:r>
      <w:r w:rsidRPr="001A3D2B">
        <w:rPr>
          <w:kern w:val="0"/>
        </w:rPr>
        <w:t>scientific research management.</w:t>
      </w:r>
    </w:p>
    <w:p w:rsidR="00454570" w:rsidRPr="001A3D2B" w:rsidRDefault="00454570" w:rsidP="00454570">
      <w:pPr>
        <w:pStyle w:val="a3"/>
        <w:rPr>
          <w:kern w:val="0"/>
        </w:rPr>
      </w:pPr>
      <w:r w:rsidRPr="001A3D2B">
        <w:rPr>
          <w:kern w:val="0"/>
        </w:rPr>
        <w:t>Keywords: Management, Online Database, Research, Research Scientific Portfolio, Researcher</w:t>
      </w:r>
      <w:r w:rsidR="00700038">
        <w:rPr>
          <w:kern w:val="0"/>
        </w:rPr>
        <w:t>’</w:t>
      </w:r>
      <w:r w:rsidR="00C13DDC">
        <w:rPr>
          <w:kern w:val="0"/>
        </w:rPr>
        <w:t>s</w:t>
      </w:r>
      <w:r w:rsidRPr="001A3D2B">
        <w:rPr>
          <w:kern w:val="0"/>
        </w:rPr>
        <w:t xml:space="preserve"> Profile, Scientific Research, Scientometrics</w:t>
      </w:r>
    </w:p>
    <w:p w:rsidR="00E72621" w:rsidRPr="001A3D2B" w:rsidRDefault="00E72621" w:rsidP="00E72621">
      <w:pPr>
        <w:pStyle w:val="1"/>
      </w:pPr>
      <w:r w:rsidRPr="001A3D2B">
        <w:br w:type="page"/>
      </w:r>
      <w:bookmarkStart w:id="362" w:name="_Toc420814449"/>
      <w:r w:rsidRPr="001A3D2B">
        <w:lastRenderedPageBreak/>
        <w:t xml:space="preserve">Title: </w:t>
      </w:r>
      <w:r w:rsidRPr="00E72621">
        <w:t>Anadolu Kardiyoloji Dergisi-the Anatolian Journal</w:t>
      </w:r>
      <w:r w:rsidR="00427468">
        <w:t xml:space="preserve"> of </w:t>
      </w:r>
      <w:r w:rsidRPr="00E72621">
        <w:t>Cardiology</w:t>
      </w:r>
      <w:bookmarkEnd w:id="362"/>
    </w:p>
    <w:p w:rsidR="00E72621" w:rsidRPr="001A3D2B" w:rsidRDefault="00E72621" w:rsidP="00E72621">
      <w:pPr>
        <w:pStyle w:val="12"/>
      </w:pPr>
      <w:r w:rsidRPr="001A3D2B">
        <w:t xml:space="preserve">Full Journal Title: </w:t>
      </w:r>
      <w:r w:rsidRPr="00E72621">
        <w:rPr>
          <w:iCs/>
          <w:kern w:val="0"/>
        </w:rPr>
        <w:t>Anadolu Kardiyoloji Dergisi-the Anatolian Journal</w:t>
      </w:r>
      <w:r w:rsidR="00427468">
        <w:rPr>
          <w:iCs/>
          <w:kern w:val="0"/>
        </w:rPr>
        <w:t xml:space="preserve"> of </w:t>
      </w:r>
      <w:r w:rsidRPr="00E72621">
        <w:rPr>
          <w:iCs/>
          <w:kern w:val="0"/>
        </w:rPr>
        <w:t>Cardiology</w:t>
      </w:r>
    </w:p>
    <w:p w:rsidR="00E72621" w:rsidRPr="001A3D2B" w:rsidRDefault="00E72621" w:rsidP="00E72621">
      <w:pPr>
        <w:pStyle w:val="12"/>
      </w:pPr>
      <w:r w:rsidRPr="001A3D2B">
        <w:t xml:space="preserve">ISO Abbreviated Title: </w:t>
      </w:r>
    </w:p>
    <w:p w:rsidR="00E72621" w:rsidRPr="001A3D2B" w:rsidRDefault="00E72621" w:rsidP="00E72621">
      <w:pPr>
        <w:pStyle w:val="12"/>
      </w:pPr>
      <w:r w:rsidRPr="001A3D2B">
        <w:t xml:space="preserve">JCR Abbreviated Title: </w:t>
      </w:r>
    </w:p>
    <w:p w:rsidR="00E72621" w:rsidRPr="001A3D2B" w:rsidRDefault="00E72621" w:rsidP="00E72621">
      <w:pPr>
        <w:pStyle w:val="12"/>
      </w:pPr>
      <w:r w:rsidRPr="001A3D2B">
        <w:t xml:space="preserve">ISSN: </w:t>
      </w:r>
    </w:p>
    <w:p w:rsidR="00E72621" w:rsidRPr="001A3D2B" w:rsidRDefault="00E72621" w:rsidP="00E72621">
      <w:pPr>
        <w:pStyle w:val="12"/>
      </w:pPr>
      <w:r w:rsidRPr="001A3D2B">
        <w:t xml:space="preserve">Issues/Year: </w:t>
      </w:r>
    </w:p>
    <w:p w:rsidR="00E72621" w:rsidRPr="001A3D2B" w:rsidRDefault="00E72621" w:rsidP="00E72621">
      <w:pPr>
        <w:pStyle w:val="12"/>
      </w:pPr>
      <w:r w:rsidRPr="001A3D2B">
        <w:t xml:space="preserve">Journal Country/Territory: </w:t>
      </w:r>
    </w:p>
    <w:p w:rsidR="00E72621" w:rsidRPr="001A3D2B" w:rsidRDefault="00E72621" w:rsidP="00E72621">
      <w:pPr>
        <w:pStyle w:val="12"/>
      </w:pPr>
      <w:r w:rsidRPr="001A3D2B">
        <w:t xml:space="preserve">Language: </w:t>
      </w:r>
    </w:p>
    <w:p w:rsidR="00E72621" w:rsidRPr="001A3D2B" w:rsidRDefault="00E72621" w:rsidP="00E72621">
      <w:pPr>
        <w:pStyle w:val="12"/>
      </w:pPr>
      <w:r w:rsidRPr="001A3D2B">
        <w:t xml:space="preserve">Publisher: </w:t>
      </w:r>
    </w:p>
    <w:p w:rsidR="00E72621" w:rsidRPr="001A3D2B" w:rsidRDefault="00E72621" w:rsidP="00E72621">
      <w:pPr>
        <w:pStyle w:val="12"/>
      </w:pPr>
      <w:r w:rsidRPr="001A3D2B">
        <w:t xml:space="preserve">Publisher Address: </w:t>
      </w:r>
    </w:p>
    <w:p w:rsidR="00E72621" w:rsidRPr="001A3D2B" w:rsidRDefault="00E72621" w:rsidP="00E72621">
      <w:pPr>
        <w:pStyle w:val="12"/>
      </w:pPr>
      <w:r w:rsidRPr="001A3D2B">
        <w:t xml:space="preserve">Subject Categories: </w:t>
      </w:r>
    </w:p>
    <w:p w:rsidR="00E72621" w:rsidRPr="001A3D2B" w:rsidRDefault="00E72621" w:rsidP="00E72621">
      <w:pPr>
        <w:pStyle w:val="12"/>
      </w:pPr>
      <w:r w:rsidRPr="001A3D2B">
        <w:t xml:space="preserve">: Impact Factor </w:t>
      </w:r>
    </w:p>
    <w:p w:rsidR="00E72621" w:rsidRDefault="00E72621" w:rsidP="00E72621">
      <w:pPr>
        <w:pStyle w:val="a3"/>
        <w:rPr>
          <w:kern w:val="0"/>
        </w:rPr>
      </w:pPr>
      <w:r>
        <w:rPr>
          <w:rFonts w:hint="eastAsia"/>
          <w:kern w:val="0"/>
        </w:rPr>
        <w:t xml:space="preserve">? </w:t>
      </w:r>
      <w:r>
        <w:rPr>
          <w:kern w:val="0"/>
        </w:rPr>
        <w:t>Yildiz, B.S., Alkan, M.B., Gungor, H., Gul, I., Bilgin, M., Akin, M., Nalbantgil, S.</w:t>
      </w:r>
      <w:r w:rsidR="005853A9">
        <w:rPr>
          <w:kern w:val="0"/>
        </w:rPr>
        <w:t xml:space="preserve"> and </w:t>
      </w:r>
      <w:r>
        <w:rPr>
          <w:kern w:val="0"/>
        </w:rPr>
        <w:t>Zoghi, M. (2011), A survey for</w:t>
      </w:r>
      <w:r w:rsidR="003A1917">
        <w:rPr>
          <w:kern w:val="0"/>
        </w:rPr>
        <w:t xml:space="preserve"> the </w:t>
      </w:r>
      <w:r>
        <w:rPr>
          <w:kern w:val="0"/>
        </w:rPr>
        <w:t>evaluation</w:t>
      </w:r>
      <w:r w:rsidR="00427468">
        <w:rPr>
          <w:kern w:val="0"/>
        </w:rPr>
        <w:t xml:space="preserve"> of </w:t>
      </w:r>
      <w:r w:rsidR="003A1917">
        <w:rPr>
          <w:kern w:val="0"/>
        </w:rPr>
        <w:t xml:space="preserve">the </w:t>
      </w:r>
      <w:r>
        <w:rPr>
          <w:kern w:val="0"/>
        </w:rPr>
        <w:t>training period</w:t>
      </w:r>
      <w:r w:rsidR="00427468">
        <w:rPr>
          <w:kern w:val="0"/>
        </w:rPr>
        <w:t xml:space="preserve"> of </w:t>
      </w:r>
      <w:r>
        <w:rPr>
          <w:kern w:val="0"/>
        </w:rPr>
        <w:t xml:space="preserve">cardiology specialists in Turkey. </w:t>
      </w:r>
      <w:r w:rsidRPr="00E72621">
        <w:rPr>
          <w:i/>
          <w:iCs/>
          <w:kern w:val="0"/>
        </w:rPr>
        <w:t>Anadolu Kardiyoloji Dergisi-the Anatolian Journal</w:t>
      </w:r>
      <w:r w:rsidR="00427468">
        <w:rPr>
          <w:i/>
          <w:iCs/>
          <w:kern w:val="0"/>
        </w:rPr>
        <w:t xml:space="preserve"> of </w:t>
      </w:r>
      <w:r w:rsidRPr="00E72621">
        <w:rPr>
          <w:i/>
          <w:iCs/>
          <w:kern w:val="0"/>
        </w:rPr>
        <w:t>Cardiology</w:t>
      </w:r>
      <w:r>
        <w:rPr>
          <w:kern w:val="0"/>
        </w:rPr>
        <w:t xml:space="preserve">, </w:t>
      </w:r>
      <w:r>
        <w:rPr>
          <w:b/>
          <w:bCs/>
          <w:kern w:val="0"/>
        </w:rPr>
        <w:t>11</w:t>
      </w:r>
      <w:r>
        <w:rPr>
          <w:kern w:val="0"/>
        </w:rPr>
        <w:t xml:space="preserve"> (8), 661-665.</w:t>
      </w:r>
    </w:p>
    <w:p w:rsidR="00E72621" w:rsidRDefault="00E72621" w:rsidP="00E72621">
      <w:pPr>
        <w:pStyle w:val="a3"/>
        <w:rPr>
          <w:kern w:val="0"/>
        </w:rPr>
      </w:pPr>
      <w:r>
        <w:rPr>
          <w:rFonts w:hint="eastAsia"/>
          <w:kern w:val="0"/>
        </w:rPr>
        <w:t xml:space="preserve">Full Text: </w:t>
      </w:r>
      <w:hyperlink r:id="rId698" w:history="1">
        <w:r w:rsidR="007B1884" w:rsidRPr="007B1884">
          <w:rPr>
            <w:rStyle w:val="a5"/>
            <w:kern w:val="0"/>
          </w:rPr>
          <w:t>2011\Ana Kar Der Ana J Car11, 661.pdf</w:t>
        </w:r>
      </w:hyperlink>
    </w:p>
    <w:p w:rsidR="00E72621" w:rsidRDefault="00E72621" w:rsidP="00E72621">
      <w:pPr>
        <w:pStyle w:val="a3"/>
        <w:rPr>
          <w:kern w:val="0"/>
        </w:rPr>
      </w:pPr>
      <w:r>
        <w:rPr>
          <w:kern w:val="0"/>
        </w:rPr>
        <w:t>Abstract: Objective: To evaluate postgraduate training period, social life</w:t>
      </w:r>
      <w:r w:rsidR="005853A9">
        <w:rPr>
          <w:kern w:val="0"/>
        </w:rPr>
        <w:t xml:space="preserve"> and </w:t>
      </w:r>
      <w:r>
        <w:rPr>
          <w:kern w:val="0"/>
        </w:rPr>
        <w:t>problems</w:t>
      </w:r>
      <w:r w:rsidR="00427468">
        <w:rPr>
          <w:kern w:val="0"/>
        </w:rPr>
        <w:t xml:space="preserve"> of </w:t>
      </w:r>
      <w:r>
        <w:rPr>
          <w:kern w:val="0"/>
        </w:rPr>
        <w:t>cardiology residents in Turkey by using a questionnaire form</w:t>
      </w:r>
      <w:r w:rsidR="005853A9">
        <w:rPr>
          <w:kern w:val="0"/>
        </w:rPr>
        <w:t xml:space="preserve"> and </w:t>
      </w:r>
      <w:r>
        <w:rPr>
          <w:kern w:val="0"/>
        </w:rPr>
        <w:t>to compare with</w:t>
      </w:r>
      <w:r w:rsidR="003A1917">
        <w:rPr>
          <w:kern w:val="0"/>
        </w:rPr>
        <w:t xml:space="preserve"> the </w:t>
      </w:r>
      <w:r>
        <w:rPr>
          <w:kern w:val="0"/>
        </w:rPr>
        <w:t>core curriculum</w:t>
      </w:r>
      <w:r w:rsidR="00427468">
        <w:rPr>
          <w:kern w:val="0"/>
        </w:rPr>
        <w:t xml:space="preserve"> of </w:t>
      </w:r>
      <w:r>
        <w:rPr>
          <w:kern w:val="0"/>
        </w:rPr>
        <w:t>European Society</w:t>
      </w:r>
      <w:r w:rsidR="00427468">
        <w:rPr>
          <w:kern w:val="0"/>
        </w:rPr>
        <w:t xml:space="preserve"> of </w:t>
      </w:r>
      <w:r>
        <w:rPr>
          <w:kern w:val="0"/>
        </w:rPr>
        <w:t>Cardiology for general cardiology. Methods: Overall, 529 residents</w:t>
      </w:r>
      <w:r w:rsidR="00427468">
        <w:rPr>
          <w:kern w:val="0"/>
        </w:rPr>
        <w:t xml:space="preserve"> of </w:t>
      </w:r>
      <w:r>
        <w:rPr>
          <w:kern w:val="0"/>
        </w:rPr>
        <w:t>cardiology ages in range</w:t>
      </w:r>
      <w:r w:rsidR="00427468">
        <w:rPr>
          <w:kern w:val="0"/>
        </w:rPr>
        <w:t xml:space="preserve"> of </w:t>
      </w:r>
      <w:r>
        <w:rPr>
          <w:kern w:val="0"/>
        </w:rPr>
        <w:t>24-35 years (mean age: 26.5 +/- 2.0 years, 81.4% male) participated as volunteers in this cross-sectional survey study. An 86-item questionnaire form was used to evaluate</w:t>
      </w:r>
      <w:r w:rsidR="003A1917">
        <w:rPr>
          <w:kern w:val="0"/>
        </w:rPr>
        <w:t xml:space="preserve"> the </w:t>
      </w:r>
      <w:r>
        <w:rPr>
          <w:kern w:val="0"/>
        </w:rPr>
        <w:t>education process, capacity</w:t>
      </w:r>
      <w:r w:rsidR="00427468">
        <w:rPr>
          <w:kern w:val="0"/>
        </w:rPr>
        <w:t xml:space="preserve"> of </w:t>
      </w:r>
      <w:r>
        <w:rPr>
          <w:kern w:val="0"/>
        </w:rPr>
        <w:t>knowledge</w:t>
      </w:r>
      <w:r w:rsidR="005853A9">
        <w:rPr>
          <w:kern w:val="0"/>
        </w:rPr>
        <w:t xml:space="preserve"> and </w:t>
      </w:r>
      <w:r>
        <w:rPr>
          <w:kern w:val="0"/>
        </w:rPr>
        <w:t>skill</w:t>
      </w:r>
      <w:r w:rsidR="005853A9">
        <w:rPr>
          <w:kern w:val="0"/>
        </w:rPr>
        <w:t xml:space="preserve"> and </w:t>
      </w:r>
      <w:r>
        <w:rPr>
          <w:kern w:val="0"/>
        </w:rPr>
        <w:t>social effectiveness level</w:t>
      </w:r>
      <w:r w:rsidR="00427468">
        <w:rPr>
          <w:kern w:val="0"/>
        </w:rPr>
        <w:t xml:space="preserve"> of </w:t>
      </w:r>
      <w:r>
        <w:rPr>
          <w:kern w:val="0"/>
        </w:rPr>
        <w:t>participants</w:t>
      </w:r>
      <w:r w:rsidR="00A37C1D">
        <w:rPr>
          <w:kern w:val="0"/>
        </w:rPr>
        <w:t>. The</w:t>
      </w:r>
      <w:r w:rsidR="003A1917">
        <w:rPr>
          <w:kern w:val="0"/>
        </w:rPr>
        <w:t xml:space="preserve"> </w:t>
      </w:r>
      <w:r>
        <w:rPr>
          <w:kern w:val="0"/>
        </w:rPr>
        <w:t>questionnaire were composed both closed-</w:t>
      </w:r>
      <w:r w:rsidR="005853A9">
        <w:rPr>
          <w:kern w:val="0"/>
        </w:rPr>
        <w:t xml:space="preserve"> and </w:t>
      </w:r>
      <w:r>
        <w:rPr>
          <w:kern w:val="0"/>
        </w:rPr>
        <w:t>open-ended questions</w:t>
      </w:r>
      <w:r w:rsidR="00A37C1D">
        <w:rPr>
          <w:kern w:val="0"/>
        </w:rPr>
        <w:t>. The</w:t>
      </w:r>
      <w:r w:rsidR="003A1917">
        <w:rPr>
          <w:kern w:val="0"/>
        </w:rPr>
        <w:t xml:space="preserve"> </w:t>
      </w:r>
      <w:r>
        <w:rPr>
          <w:kern w:val="0"/>
        </w:rPr>
        <w:t>questionnaire form was filled in with</w:t>
      </w:r>
      <w:r w:rsidR="003A1917">
        <w:rPr>
          <w:kern w:val="0"/>
        </w:rPr>
        <w:t xml:space="preserve"> the </w:t>
      </w:r>
      <w:r>
        <w:rPr>
          <w:kern w:val="0"/>
        </w:rPr>
        <w:t>face-to-face communication method</w:t>
      </w:r>
      <w:r w:rsidR="00A37C1D">
        <w:rPr>
          <w:kern w:val="0"/>
        </w:rPr>
        <w:t>. The</w:t>
      </w:r>
      <w:r w:rsidR="003A1917">
        <w:rPr>
          <w:kern w:val="0"/>
        </w:rPr>
        <w:t xml:space="preserve"> </w:t>
      </w:r>
      <w:r>
        <w:rPr>
          <w:kern w:val="0"/>
        </w:rPr>
        <w:t>data</w:t>
      </w:r>
      <w:r w:rsidR="00427468">
        <w:rPr>
          <w:kern w:val="0"/>
        </w:rPr>
        <w:t xml:space="preserve"> of </w:t>
      </w:r>
      <w:r>
        <w:rPr>
          <w:kern w:val="0"/>
        </w:rPr>
        <w:t>survey were compared with</w:t>
      </w:r>
      <w:r w:rsidR="003A1917">
        <w:rPr>
          <w:kern w:val="0"/>
        </w:rPr>
        <w:t xml:space="preserve"> the </w:t>
      </w:r>
      <w:r>
        <w:rPr>
          <w:kern w:val="0"/>
        </w:rPr>
        <w:t>core curriculum</w:t>
      </w:r>
      <w:r w:rsidR="00427468">
        <w:rPr>
          <w:kern w:val="0"/>
        </w:rPr>
        <w:t xml:space="preserve"> of </w:t>
      </w:r>
      <w:r>
        <w:rPr>
          <w:kern w:val="0"/>
        </w:rPr>
        <w:t>European Society</w:t>
      </w:r>
      <w:r w:rsidR="00427468">
        <w:rPr>
          <w:kern w:val="0"/>
        </w:rPr>
        <w:t xml:space="preserve"> of </w:t>
      </w:r>
      <w:r>
        <w:rPr>
          <w:kern w:val="0"/>
        </w:rPr>
        <w:t>Cardiology for general cardiology training period. Chi-square or Fischer exact test was used for statistical analysis. Results:</w:t>
      </w:r>
      <w:r w:rsidR="003A1917">
        <w:rPr>
          <w:kern w:val="0"/>
        </w:rPr>
        <w:t xml:space="preserve"> the </w:t>
      </w:r>
      <w:r>
        <w:rPr>
          <w:kern w:val="0"/>
        </w:rPr>
        <w:t>participants were working in various university hospitals (70.3%)</w:t>
      </w:r>
      <w:r w:rsidR="005853A9">
        <w:rPr>
          <w:kern w:val="0"/>
        </w:rPr>
        <w:t xml:space="preserve"> and </w:t>
      </w:r>
      <w:r>
        <w:rPr>
          <w:kern w:val="0"/>
        </w:rPr>
        <w:t>training-research (state) hospitals in 31 different provinces in Turkey (40.8% in Marmara region)</w:t>
      </w:r>
      <w:r w:rsidR="00A37C1D">
        <w:rPr>
          <w:kern w:val="0"/>
        </w:rPr>
        <w:t>. The</w:t>
      </w:r>
      <w:r>
        <w:rPr>
          <w:kern w:val="0"/>
        </w:rPr>
        <w:t>y visited 40 +/- 10 outpatients</w:t>
      </w:r>
      <w:r w:rsidR="005853A9">
        <w:rPr>
          <w:kern w:val="0"/>
        </w:rPr>
        <w:t xml:space="preserve"> and </w:t>
      </w:r>
      <w:r>
        <w:rPr>
          <w:kern w:val="0"/>
        </w:rPr>
        <w:t>10 +/- 5 hospitalized pts daily in</w:t>
      </w:r>
      <w:r w:rsidR="003A1917">
        <w:rPr>
          <w:kern w:val="0"/>
        </w:rPr>
        <w:t xml:space="preserve"> the </w:t>
      </w:r>
      <w:r>
        <w:rPr>
          <w:kern w:val="0"/>
        </w:rPr>
        <w:t>clinics</w:t>
      </w:r>
      <w:r w:rsidR="00A37C1D">
        <w:rPr>
          <w:kern w:val="0"/>
        </w:rPr>
        <w:t>. The</w:t>
      </w:r>
      <w:r w:rsidR="003A1917">
        <w:rPr>
          <w:kern w:val="0"/>
        </w:rPr>
        <w:t xml:space="preserve"> </w:t>
      </w:r>
      <w:r>
        <w:rPr>
          <w:kern w:val="0"/>
        </w:rPr>
        <w:t>3-5 residents worked at</w:t>
      </w:r>
      <w:r w:rsidR="003A1917">
        <w:rPr>
          <w:kern w:val="0"/>
        </w:rPr>
        <w:t xml:space="preserve"> the </w:t>
      </w:r>
      <w:r>
        <w:rPr>
          <w:kern w:val="0"/>
        </w:rPr>
        <w:t>clinic on night shifts</w:t>
      </w:r>
      <w:r w:rsidR="005853A9">
        <w:rPr>
          <w:kern w:val="0"/>
        </w:rPr>
        <w:t xml:space="preserve"> and </w:t>
      </w:r>
      <w:r>
        <w:rPr>
          <w:kern w:val="0"/>
        </w:rPr>
        <w:t>mostly (89%) 8 or more night shifts per month were held in their first training years. During first three-years</w:t>
      </w:r>
      <w:r w:rsidR="00427468">
        <w:rPr>
          <w:kern w:val="0"/>
        </w:rPr>
        <w:t xml:space="preserve"> of </w:t>
      </w:r>
      <w:r>
        <w:rPr>
          <w:kern w:val="0"/>
        </w:rPr>
        <w:t>training 76%</w:t>
      </w:r>
      <w:r w:rsidR="00427468">
        <w:rPr>
          <w:kern w:val="0"/>
        </w:rPr>
        <w:t xml:space="preserve"> of </w:t>
      </w:r>
      <w:r>
        <w:rPr>
          <w:kern w:val="0"/>
        </w:rPr>
        <w:t>residents have performed echocardiography, 40.8%-transesophageal echocardiography</w:t>
      </w:r>
      <w:r w:rsidR="005853A9">
        <w:rPr>
          <w:kern w:val="0"/>
        </w:rPr>
        <w:t xml:space="preserve"> and </w:t>
      </w:r>
      <w:r>
        <w:rPr>
          <w:kern w:val="0"/>
        </w:rPr>
        <w:t>10%-intraoperative echocardiography</w:t>
      </w:r>
      <w:r w:rsidR="00A37C1D">
        <w:rPr>
          <w:kern w:val="0"/>
        </w:rPr>
        <w:t>. The</w:t>
      </w:r>
      <w:r w:rsidR="003A1917">
        <w:rPr>
          <w:kern w:val="0"/>
        </w:rPr>
        <w:t xml:space="preserve"> </w:t>
      </w:r>
      <w:r>
        <w:rPr>
          <w:kern w:val="0"/>
        </w:rPr>
        <w:t>84.3%</w:t>
      </w:r>
      <w:r w:rsidR="00427468">
        <w:rPr>
          <w:kern w:val="0"/>
        </w:rPr>
        <w:t xml:space="preserve"> of </w:t>
      </w:r>
      <w:r>
        <w:rPr>
          <w:kern w:val="0"/>
        </w:rPr>
        <w:t xml:space="preserve">them evaluated exercise tests, </w:t>
      </w:r>
      <w:r>
        <w:rPr>
          <w:kern w:val="0"/>
        </w:rPr>
        <w:lastRenderedPageBreak/>
        <w:t>76.4%-Holter electrocardiography</w:t>
      </w:r>
      <w:r w:rsidR="005853A9">
        <w:rPr>
          <w:kern w:val="0"/>
        </w:rPr>
        <w:t xml:space="preserve"> and </w:t>
      </w:r>
      <w:r>
        <w:rPr>
          <w:kern w:val="0"/>
        </w:rPr>
        <w:t>53.3%-tilt-table tests</w:t>
      </w:r>
      <w:r w:rsidR="00A37C1D">
        <w:rPr>
          <w:kern w:val="0"/>
        </w:rPr>
        <w:t>. The</w:t>
      </w:r>
      <w:r w:rsidR="003A1917">
        <w:rPr>
          <w:kern w:val="0"/>
        </w:rPr>
        <w:t xml:space="preserve"> </w:t>
      </w:r>
      <w:r>
        <w:rPr>
          <w:kern w:val="0"/>
        </w:rPr>
        <w:t>rate</w:t>
      </w:r>
      <w:r w:rsidR="00427468">
        <w:rPr>
          <w:kern w:val="0"/>
        </w:rPr>
        <w:t xml:space="preserve"> of </w:t>
      </w:r>
      <w:r>
        <w:rPr>
          <w:kern w:val="0"/>
        </w:rPr>
        <w:t>residents working in coronary angiography laboratories was 54.3%</w:t>
      </w:r>
      <w:r w:rsidR="00A37C1D">
        <w:rPr>
          <w:kern w:val="0"/>
        </w:rPr>
        <w:t>. The</w:t>
      </w:r>
      <w:r w:rsidR="003A1917">
        <w:rPr>
          <w:kern w:val="0"/>
        </w:rPr>
        <w:t xml:space="preserve"> </w:t>
      </w:r>
      <w:r>
        <w:rPr>
          <w:kern w:val="0"/>
        </w:rPr>
        <w:t>53.7%</w:t>
      </w:r>
      <w:r w:rsidR="00427468">
        <w:rPr>
          <w:kern w:val="0"/>
        </w:rPr>
        <w:t xml:space="preserve"> of </w:t>
      </w:r>
      <w:r>
        <w:rPr>
          <w:kern w:val="0"/>
        </w:rPr>
        <w:t>residents performed coronary angiography</w:t>
      </w:r>
      <w:r w:rsidR="005853A9">
        <w:rPr>
          <w:kern w:val="0"/>
        </w:rPr>
        <w:t xml:space="preserve"> and </w:t>
      </w:r>
      <w:r>
        <w:rPr>
          <w:kern w:val="0"/>
        </w:rPr>
        <w:t>64%-only in</w:t>
      </w:r>
      <w:r w:rsidR="003A1917">
        <w:rPr>
          <w:kern w:val="0"/>
        </w:rPr>
        <w:t xml:space="preserve"> the </w:t>
      </w:r>
      <w:r>
        <w:rPr>
          <w:kern w:val="0"/>
        </w:rPr>
        <w:t>4th year</w:t>
      </w:r>
      <w:r w:rsidR="00427468">
        <w:rPr>
          <w:kern w:val="0"/>
        </w:rPr>
        <w:t xml:space="preserve"> of </w:t>
      </w:r>
      <w:r>
        <w:rPr>
          <w:kern w:val="0"/>
        </w:rPr>
        <w:t>their training</w:t>
      </w:r>
      <w:r w:rsidR="00A37C1D">
        <w:rPr>
          <w:kern w:val="0"/>
        </w:rPr>
        <w:t>. The</w:t>
      </w:r>
      <w:r w:rsidR="003A1917">
        <w:rPr>
          <w:kern w:val="0"/>
        </w:rPr>
        <w:t xml:space="preserve"> </w:t>
      </w:r>
      <w:r>
        <w:rPr>
          <w:kern w:val="0"/>
        </w:rPr>
        <w:t>number</w:t>
      </w:r>
      <w:r w:rsidR="00427468">
        <w:rPr>
          <w:kern w:val="0"/>
        </w:rPr>
        <w:t xml:space="preserve"> of </w:t>
      </w:r>
      <w:r>
        <w:rPr>
          <w:kern w:val="0"/>
        </w:rPr>
        <w:t>coronary angiography performance was under expected when compared with European Society</w:t>
      </w:r>
      <w:r w:rsidR="00427468">
        <w:rPr>
          <w:kern w:val="0"/>
        </w:rPr>
        <w:t xml:space="preserve"> of </w:t>
      </w:r>
      <w:r>
        <w:rPr>
          <w:kern w:val="0"/>
        </w:rPr>
        <w:t>Cardiology curriculum</w:t>
      </w:r>
      <w:r w:rsidR="00A37C1D">
        <w:rPr>
          <w:kern w:val="0"/>
        </w:rPr>
        <w:t>. The</w:t>
      </w:r>
      <w:r w:rsidR="003A1917">
        <w:rPr>
          <w:kern w:val="0"/>
        </w:rPr>
        <w:t xml:space="preserve"> </w:t>
      </w:r>
      <w:r>
        <w:rPr>
          <w:kern w:val="0"/>
        </w:rPr>
        <w:t>18.5%</w:t>
      </w:r>
      <w:r w:rsidR="00427468">
        <w:rPr>
          <w:kern w:val="0"/>
        </w:rPr>
        <w:t xml:space="preserve"> of </w:t>
      </w:r>
      <w:r>
        <w:rPr>
          <w:kern w:val="0"/>
        </w:rPr>
        <w:t>residents were participated as assistant researcher in an international multi-center study</w:t>
      </w:r>
      <w:r w:rsidR="005853A9">
        <w:rPr>
          <w:kern w:val="0"/>
        </w:rPr>
        <w:t xml:space="preserve"> and </w:t>
      </w:r>
      <w:r>
        <w:rPr>
          <w:kern w:val="0"/>
        </w:rPr>
        <w:t>only 10% had an article published in national journals (4.3% published in Science Citation Index)</w:t>
      </w:r>
      <w:r w:rsidR="00A37C1D">
        <w:rPr>
          <w:kern w:val="0"/>
        </w:rPr>
        <w:t>. The</w:t>
      </w:r>
      <w:r w:rsidR="003A1917">
        <w:rPr>
          <w:kern w:val="0"/>
        </w:rPr>
        <w:t xml:space="preserve"> </w:t>
      </w:r>
      <w:r>
        <w:rPr>
          <w:kern w:val="0"/>
        </w:rPr>
        <w:t>30.6% considered</w:t>
      </w:r>
      <w:r w:rsidR="003A1917">
        <w:rPr>
          <w:kern w:val="0"/>
        </w:rPr>
        <w:t xml:space="preserve"> the </w:t>
      </w:r>
      <w:r>
        <w:rPr>
          <w:kern w:val="0"/>
        </w:rPr>
        <w:t>cardiology training period in their centers to be insufficient, whereas 37.4% found it partially sufficient</w:t>
      </w:r>
      <w:r w:rsidR="005853A9">
        <w:rPr>
          <w:kern w:val="0"/>
        </w:rPr>
        <w:t xml:space="preserve"> and </w:t>
      </w:r>
      <w:r>
        <w:rPr>
          <w:kern w:val="0"/>
        </w:rPr>
        <w:t>31.9% sufficient. Only 32.9%</w:t>
      </w:r>
      <w:r w:rsidR="00427468">
        <w:rPr>
          <w:kern w:val="0"/>
        </w:rPr>
        <w:t xml:space="preserve"> of </w:t>
      </w:r>
      <w:r>
        <w:rPr>
          <w:kern w:val="0"/>
        </w:rPr>
        <w:t>participants could dedicate time for social activities. Conclusion: According to</w:t>
      </w:r>
      <w:r w:rsidR="003A1917">
        <w:rPr>
          <w:kern w:val="0"/>
        </w:rPr>
        <w:t xml:space="preserve"> the </w:t>
      </w:r>
      <w:r>
        <w:rPr>
          <w:kern w:val="0"/>
        </w:rPr>
        <w:t>referred core curriculum</w:t>
      </w:r>
      <w:r w:rsidR="00427468">
        <w:rPr>
          <w:kern w:val="0"/>
        </w:rPr>
        <w:t xml:space="preserve"> of </w:t>
      </w:r>
      <w:r>
        <w:rPr>
          <w:kern w:val="0"/>
        </w:rPr>
        <w:t>ESC for general cardiology</w:t>
      </w:r>
      <w:r w:rsidR="003A1917">
        <w:rPr>
          <w:kern w:val="0"/>
        </w:rPr>
        <w:t xml:space="preserve"> the </w:t>
      </w:r>
      <w:r>
        <w:rPr>
          <w:kern w:val="0"/>
        </w:rPr>
        <w:t>training</w:t>
      </w:r>
      <w:r w:rsidR="00427468">
        <w:rPr>
          <w:kern w:val="0"/>
        </w:rPr>
        <w:t xml:space="preserve"> of </w:t>
      </w:r>
      <w:r>
        <w:rPr>
          <w:kern w:val="0"/>
        </w:rPr>
        <w:t>cardiology residents in non-invasive applications is adequate however coronary angiography applications are slightly insufficient in Turkey. In addition,</w:t>
      </w:r>
      <w:r w:rsidR="003A1917">
        <w:rPr>
          <w:kern w:val="0"/>
        </w:rPr>
        <w:t xml:space="preserve"> the </w:t>
      </w:r>
      <w:r>
        <w:rPr>
          <w:kern w:val="0"/>
        </w:rPr>
        <w:t>number</w:t>
      </w:r>
      <w:r w:rsidR="00427468">
        <w:rPr>
          <w:kern w:val="0"/>
        </w:rPr>
        <w:t xml:space="preserve"> of </w:t>
      </w:r>
      <w:r>
        <w:rPr>
          <w:kern w:val="0"/>
        </w:rPr>
        <w:t>publications per capita is quiet low. (Anadolu Kardiyol Derg 2011; 11: 661-5).</w:t>
      </w:r>
    </w:p>
    <w:p w:rsidR="00E72621" w:rsidRDefault="00E72621" w:rsidP="00E72621">
      <w:pPr>
        <w:pStyle w:val="a3"/>
        <w:rPr>
          <w:kern w:val="0"/>
        </w:rPr>
      </w:pPr>
      <w:r>
        <w:rPr>
          <w:kern w:val="0"/>
        </w:rPr>
        <w:t>Keywords: Activities, Analysis, Capacity, Cardiology, Citation, Communication, Education, Effectiveness, Evaluation, Exercise, Hospitals, Journals, Knowledge, Low, Male, Medicine, Methods, Process, Publications, Questionnaire, Resident Physicians, Residents, Science, Science Citation Index, Social, Statistical, Surgical Residents, Survey, Training, Turkey, University</w:t>
      </w:r>
    </w:p>
    <w:p w:rsidR="00116069" w:rsidRDefault="00116069" w:rsidP="00116069">
      <w:pPr>
        <w:pStyle w:val="a3"/>
        <w:rPr>
          <w:kern w:val="0"/>
        </w:rPr>
      </w:pPr>
      <w:r>
        <w:rPr>
          <w:rFonts w:hint="eastAsia"/>
          <w:kern w:val="0"/>
        </w:rPr>
        <w:t xml:space="preserve">? </w:t>
      </w:r>
      <w:r>
        <w:rPr>
          <w:kern w:val="0"/>
        </w:rPr>
        <w:t xml:space="preserve">Huang, Q.J., Liu, J., Chen, M.H. and Li, J.J. (2014), Relation of diabetes to coronary artery ectasia: A meta-analysis study. </w:t>
      </w:r>
      <w:r>
        <w:rPr>
          <w:i/>
          <w:iCs/>
          <w:kern w:val="0"/>
        </w:rPr>
        <w:t>Anadolu Kardiyoloji Dergisi-the Anatolian Journal of Cardiology</w:t>
      </w:r>
      <w:r>
        <w:rPr>
          <w:kern w:val="0"/>
        </w:rPr>
        <w:t xml:space="preserve">, </w:t>
      </w:r>
      <w:r>
        <w:rPr>
          <w:b/>
          <w:bCs/>
          <w:kern w:val="0"/>
        </w:rPr>
        <w:t>14</w:t>
      </w:r>
      <w:r>
        <w:rPr>
          <w:kern w:val="0"/>
        </w:rPr>
        <w:t xml:space="preserve"> (4), 322-327.</w:t>
      </w:r>
    </w:p>
    <w:p w:rsidR="00116069" w:rsidRDefault="00116069" w:rsidP="00116069">
      <w:pPr>
        <w:pStyle w:val="a3"/>
        <w:rPr>
          <w:kern w:val="0"/>
        </w:rPr>
      </w:pPr>
      <w:r>
        <w:rPr>
          <w:rFonts w:hint="eastAsia"/>
          <w:kern w:val="0"/>
        </w:rPr>
        <w:t xml:space="preserve">Full Text: </w:t>
      </w:r>
      <w:hyperlink r:id="rId699" w:history="1">
        <w:r w:rsidRPr="00F15666">
          <w:rPr>
            <w:rStyle w:val="a5"/>
            <w:kern w:val="0"/>
          </w:rPr>
          <w:t>2014\Ana Kar Der Ana J Car14, 332.pdf</w:t>
        </w:r>
      </w:hyperlink>
    </w:p>
    <w:p w:rsidR="00116069" w:rsidRDefault="00116069" w:rsidP="00116069">
      <w:pPr>
        <w:pStyle w:val="a3"/>
        <w:rPr>
          <w:kern w:val="0"/>
        </w:rPr>
      </w:pPr>
      <w:r>
        <w:rPr>
          <w:kern w:val="0"/>
        </w:rPr>
        <w:t xml:space="preserve">Abstract: Objective: Previous studies have shown a significant negative association between diabetes and abdominal aortic aneurysm. However, the relation of diabetes to coronary artery ectasia (CAE) has not well established. The aim of the current study was to conduct a systemic review for evaluating the relationship between diabetes and CAE. Methods: A systemic search of electronic databases (PUBMED, EMBASE, OVID, WEB OF SCIENCE, THE COCHRANCE LIBRARY) from 1970 to March 2013 was performed. Additionally, checking reference lists from identified articles, reviews, and the abstracts presented at related scientific meetings were also carried out. All case-control studies investigating appropriate prevalence data were included. Results: Among 328 articles, 10 case-control studies were finally identified. The prevalence of diabetes in studied patients with CAE was 8% to 33%, while in those without CAE was ranged from 13.5% to 35%. Pooled analysis showed a reduced rate of diabetes amongst patients with CAE compared to those without (OR 0.65, 0.54-0.77, p&lt;0.0001). Conclusion: Our findings suggested that diabetes might play a protective role for the development of CAE, indicating that further study is needed to evaluate the association diabetes and CAE including underlying </w:t>
      </w:r>
      <w:r>
        <w:rPr>
          <w:kern w:val="0"/>
        </w:rPr>
        <w:lastRenderedPageBreak/>
        <w:t>mechanisms and future medical interventional strategies.</w:t>
      </w:r>
    </w:p>
    <w:p w:rsidR="00116069" w:rsidRDefault="00116069" w:rsidP="00116069">
      <w:pPr>
        <w:pStyle w:val="a3"/>
        <w:rPr>
          <w:kern w:val="0"/>
        </w:rPr>
      </w:pPr>
      <w:r>
        <w:rPr>
          <w:kern w:val="0"/>
        </w:rPr>
        <w:t>Keywords: Abdominal, Abdominal Aortic Aneurysm, Abdominal Aortic-Aneurysms, Analysis, Aneurysm, Artery, Articles, Association, Atherosclerosis, Case-Control, Case-Control Studies, Coronary Artery, Coronary Artery Ectasia, Data, Databases, Development, Diabetes, Embase, Expression, Glycation End-Products, Kawasaki-Disease, Libraries, Library, Matrix Metalloproteinases, Mechanisms, Medical, Mellitus, Meta Analysis, Meta-Analysis, Metaanalysis, Methods, Natural-History, Of-Science, Patients, Prevalence, Reference, Reference Lists, Results, Review, Reviews, Risk-Factors, Role, Science, Systemic Review, Web, Web-Of-Science</w:t>
      </w:r>
    </w:p>
    <w:p w:rsidR="003474F2" w:rsidRPr="001A3D2B" w:rsidRDefault="003474F2" w:rsidP="003474F2">
      <w:pPr>
        <w:pStyle w:val="1"/>
      </w:pPr>
      <w:r w:rsidRPr="001A3D2B">
        <w:br w:type="page"/>
      </w:r>
      <w:bookmarkStart w:id="363" w:name="_Toc420814450"/>
      <w:r w:rsidRPr="001A3D2B">
        <w:lastRenderedPageBreak/>
        <w:t>Title: Anaesthesia</w:t>
      </w:r>
      <w:bookmarkEnd w:id="363"/>
    </w:p>
    <w:p w:rsidR="003474F2" w:rsidRPr="001A3D2B" w:rsidRDefault="003474F2" w:rsidP="003474F2">
      <w:pPr>
        <w:pStyle w:val="12"/>
      </w:pPr>
      <w:r w:rsidRPr="001A3D2B">
        <w:t>Full Journal Ti</w:t>
      </w:r>
      <w:bookmarkStart w:id="364" w:name="_Toc81215599"/>
      <w:r w:rsidRPr="001A3D2B">
        <w:t xml:space="preserve">tle: </w:t>
      </w:r>
      <w:r w:rsidR="00206C8A">
        <w:fldChar w:fldCharType="begin"/>
      </w:r>
      <w:r w:rsidR="00FD158B">
        <w:instrText>HYPERLINK "h</w:instrText>
      </w:r>
      <w:bookmarkEnd w:id="364"/>
      <w:r w:rsidR="00FD158B">
        <w:instrText>ttp://www.ingentaconnect.com/content/bsc/anae;jsessionid=5r5dr0q7o0q9g.victoria"</w:instrText>
      </w:r>
      <w:r w:rsidR="00206C8A">
        <w:fldChar w:fldCharType="separate"/>
      </w:r>
      <w:r w:rsidRPr="001A3D2B">
        <w:rPr>
          <w:rStyle w:val="a5"/>
        </w:rPr>
        <w:t>Anaesthesia</w:t>
      </w:r>
      <w:r w:rsidR="00206C8A">
        <w:fldChar w:fldCharType="end"/>
      </w:r>
      <w:r w:rsidRPr="001A3D2B">
        <w:t xml:space="preserve">; </w:t>
      </w:r>
      <w:hyperlink r:id="rId700" w:history="1">
        <w:r w:rsidRPr="001A3D2B">
          <w:rPr>
            <w:rStyle w:val="a5"/>
          </w:rPr>
          <w:t>Anaesthesia</w:t>
        </w:r>
      </w:hyperlink>
    </w:p>
    <w:p w:rsidR="003474F2" w:rsidRPr="001A3D2B" w:rsidRDefault="003474F2" w:rsidP="003474F2">
      <w:pPr>
        <w:pStyle w:val="12"/>
      </w:pPr>
      <w:r w:rsidRPr="001A3D2B">
        <w:t>ISO Abbreviated Title: Anaesthesia</w:t>
      </w:r>
    </w:p>
    <w:p w:rsidR="003474F2" w:rsidRPr="001A3D2B" w:rsidRDefault="003474F2" w:rsidP="003474F2">
      <w:pPr>
        <w:pStyle w:val="12"/>
      </w:pPr>
      <w:r w:rsidRPr="001A3D2B">
        <w:t>JCR Abbreviated Title: Anaesthesia</w:t>
      </w:r>
    </w:p>
    <w:p w:rsidR="003474F2" w:rsidRPr="001A3D2B" w:rsidRDefault="003474F2" w:rsidP="003474F2">
      <w:pPr>
        <w:pStyle w:val="12"/>
      </w:pPr>
      <w:r w:rsidRPr="001A3D2B">
        <w:t>ISSN: 0003-2417</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Germany</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Springer Verlag</w:t>
      </w:r>
    </w:p>
    <w:p w:rsidR="003474F2" w:rsidRPr="001A3D2B" w:rsidRDefault="003474F2" w:rsidP="003474F2">
      <w:pPr>
        <w:pStyle w:val="12"/>
      </w:pPr>
      <w:r w:rsidRPr="001A3D2B">
        <w:t>Publisher Address: 175 Fifth Ave, New York, NY 10010</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Anesthesiology: Impact Factor </w:t>
      </w:r>
    </w:p>
    <w:p w:rsidR="003474F2" w:rsidRPr="001A3D2B" w:rsidRDefault="003474F2" w:rsidP="003474F2">
      <w:pPr>
        <w:pStyle w:val="a3"/>
      </w:pPr>
      <w:r w:rsidRPr="001A3D2B">
        <w:t>? Asano, M., Mikawa, K., Nishina, K., Maekawa, N.</w:t>
      </w:r>
      <w:r w:rsidR="005853A9">
        <w:t xml:space="preserve"> and </w:t>
      </w:r>
      <w:r w:rsidRPr="001A3D2B">
        <w:t>Obara, H. (1995</w:t>
      </w:r>
      <w:r w:rsidR="00F42EAC">
        <w:t>), The</w:t>
      </w:r>
      <w:r w:rsidR="003A1917">
        <w:t xml:space="preserve"> </w:t>
      </w:r>
      <w:r w:rsidRPr="001A3D2B">
        <w:t>accuracy</w:t>
      </w:r>
      <w:r w:rsidR="00427468">
        <w:t xml:space="preserve"> of </w:t>
      </w:r>
      <w:r w:rsidRPr="001A3D2B">
        <w:t xml:space="preserve">references in </w:t>
      </w:r>
      <w:r w:rsidRPr="001A3D2B">
        <w:rPr>
          <w:i/>
          <w:iCs/>
        </w:rPr>
        <w:t>Anesthesia</w:t>
      </w:r>
      <w:r w:rsidRPr="001A3D2B">
        <w:t xml:space="preserve">. </w:t>
      </w:r>
      <w:r w:rsidRPr="001A3D2B">
        <w:rPr>
          <w:i/>
          <w:iCs/>
        </w:rPr>
        <w:t>Anaesthesia</w:t>
      </w:r>
      <w:r w:rsidRPr="001A3D2B">
        <w:t xml:space="preserve">, </w:t>
      </w:r>
      <w:r w:rsidRPr="001A3D2B">
        <w:rPr>
          <w:b/>
          <w:bCs/>
        </w:rPr>
        <w:t>50</w:t>
      </w:r>
      <w:r w:rsidRPr="001A3D2B">
        <w:t xml:space="preserve"> (12), 1080-1082.</w:t>
      </w:r>
    </w:p>
    <w:p w:rsidR="005744D7" w:rsidRPr="001A3D2B" w:rsidRDefault="005744D7" w:rsidP="005744D7">
      <w:pPr>
        <w:pStyle w:val="a3"/>
      </w:pPr>
      <w:r w:rsidRPr="001A3D2B">
        <w:t xml:space="preserve">Full Text: </w:t>
      </w:r>
      <w:hyperlink r:id="rId701" w:history="1">
        <w:r w:rsidRPr="001A3D2B">
          <w:rPr>
            <w:rStyle w:val="a5"/>
          </w:rPr>
          <w:t>1995\Anaesthesia50, 1080.pdf</w:t>
        </w:r>
      </w:hyperlink>
    </w:p>
    <w:p w:rsidR="003474F2" w:rsidRPr="001A3D2B" w:rsidRDefault="003474F2" w:rsidP="003474F2">
      <w:pPr>
        <w:pStyle w:val="a3"/>
      </w:pPr>
      <w:r w:rsidRPr="001A3D2B">
        <w:t>Abstract: We reviewed all</w:t>
      </w:r>
      <w:r w:rsidR="003A1917">
        <w:t xml:space="preserve"> the </w:t>
      </w:r>
      <w:r w:rsidRPr="001A3D2B">
        <w:t>references quoted in Volume 45 (1990)(n = 3967)</w:t>
      </w:r>
      <w:r w:rsidR="005853A9">
        <w:t xml:space="preserve"> and </w:t>
      </w:r>
      <w:r w:rsidRPr="001A3D2B">
        <w:t>half</w:t>
      </w:r>
      <w:r w:rsidR="003A1917">
        <w:t xml:space="preserve"> the </w:t>
      </w:r>
      <w:r w:rsidRPr="001A3D2B">
        <w:t>references quoted in Volume 49(1994)(n = 2183)</w:t>
      </w:r>
      <w:r w:rsidR="00427468">
        <w:t xml:space="preserve"> of </w:t>
      </w:r>
      <w:r w:rsidRPr="001A3D2B">
        <w:t>Anaesthesia</w:t>
      </w:r>
      <w:r w:rsidR="00A37C1D">
        <w:t>. The</w:t>
      </w:r>
      <w:r w:rsidR="003A1917">
        <w:t xml:space="preserve"> </w:t>
      </w:r>
      <w:r w:rsidRPr="001A3D2B">
        <w:t>references were numbered sequentially</w:t>
      </w:r>
      <w:r w:rsidR="005853A9">
        <w:t xml:space="preserve"> and </w:t>
      </w:r>
      <w:r w:rsidRPr="001A3D2B">
        <w:t>100 references from each year were randomly selected. Citations</w:t>
      </w:r>
      <w:r w:rsidR="00427468">
        <w:t xml:space="preserve"> of </w:t>
      </w:r>
      <w:r w:rsidRPr="001A3D2B">
        <w:t>non-journal articles were omitted leaving 197 citations for careful scrutiny</w:t>
      </w:r>
      <w:r w:rsidR="00A37C1D">
        <w:t>. The</w:t>
      </w:r>
      <w:r w:rsidR="003A1917">
        <w:t xml:space="preserve"> </w:t>
      </w:r>
      <w:r w:rsidRPr="001A3D2B">
        <w:t>authors</w:t>
      </w:r>
      <w:r w:rsidR="00700038">
        <w:t>’</w:t>
      </w:r>
      <w:r w:rsidRPr="001A3D2B">
        <w:t xml:space="preserve"> names, article title, journal title, volume number, page numbers,</w:t>
      </w:r>
      <w:r w:rsidR="005853A9">
        <w:t xml:space="preserve"> and </w:t>
      </w:r>
      <w:r w:rsidRPr="001A3D2B">
        <w:t>year were examined in each selected reference. A reference was deemed correct if each element</w:t>
      </w:r>
      <w:r w:rsidR="00427468">
        <w:t xml:space="preserve"> of </w:t>
      </w:r>
      <w:r w:rsidR="003A1917">
        <w:t xml:space="preserve">the </w:t>
      </w:r>
      <w:r w:rsidRPr="001A3D2B">
        <w:t>citation was identical to its source.</w:t>
      </w:r>
      <w:r w:rsidR="00427468">
        <w:t xml:space="preserve"> of </w:t>
      </w:r>
      <w:r w:rsidR="003A1917">
        <w:t xml:space="preserve">the </w:t>
      </w:r>
      <w:r w:rsidRPr="001A3D2B">
        <w:t>references examined, 32%</w:t>
      </w:r>
      <w:r w:rsidR="005853A9">
        <w:t xml:space="preserve"> and </w:t>
      </w:r>
      <w:r w:rsidRPr="001A3D2B">
        <w:t>41% contained one or more errors in 1990</w:t>
      </w:r>
      <w:r w:rsidR="005853A9">
        <w:t xml:space="preserve"> and </w:t>
      </w:r>
      <w:r w:rsidRPr="001A3D2B">
        <w:t>1994, respectively</w:t>
      </w:r>
      <w:r w:rsidR="00A37C1D">
        <w:t>. The</w:t>
      </w:r>
      <w:r w:rsidR="003A1917">
        <w:t xml:space="preserve"> </w:t>
      </w:r>
      <w:r w:rsidRPr="001A3D2B">
        <w:t>elements most likely to be inaccurate were, in descending order</w:t>
      </w:r>
      <w:r w:rsidR="00427468">
        <w:t xml:space="preserve"> of </w:t>
      </w:r>
      <w:r w:rsidRPr="001A3D2B">
        <w:t>frequency, article title, author,</w:t>
      </w:r>
      <w:r w:rsidR="005853A9">
        <w:t xml:space="preserve"> and </w:t>
      </w:r>
      <w:r w:rsidRPr="001A3D2B">
        <w:t>page number</w:t>
      </w:r>
      <w:r w:rsidR="00A37C1D">
        <w:t>. The</w:t>
      </w:r>
      <w:r w:rsidRPr="001A3D2B">
        <w:t>re was no significant difference in</w:t>
      </w:r>
      <w:r w:rsidR="003A1917">
        <w:t xml:space="preserve"> the </w:t>
      </w:r>
      <w:r w:rsidRPr="001A3D2B">
        <w:t>error rate between</w:t>
      </w:r>
      <w:r w:rsidR="003A1917">
        <w:t xml:space="preserve"> the </w:t>
      </w:r>
      <w:r w:rsidRPr="001A3D2B">
        <w:t>2 years. It is</w:t>
      </w:r>
      <w:r w:rsidR="003A1917">
        <w:t xml:space="preserve"> the </w:t>
      </w:r>
      <w:r w:rsidRPr="001A3D2B">
        <w:t>responsibility</w:t>
      </w:r>
      <w:r w:rsidR="00427468">
        <w:t xml:space="preserve"> of </w:t>
      </w:r>
      <w:r w:rsidRPr="001A3D2B">
        <w:t>contributors to ensure that all references are carefully checked.</w:t>
      </w:r>
    </w:p>
    <w:p w:rsidR="003474F2" w:rsidRPr="001A3D2B" w:rsidRDefault="003474F2" w:rsidP="003474F2">
      <w:pPr>
        <w:pStyle w:val="a3"/>
      </w:pPr>
      <w:r w:rsidRPr="001A3D2B">
        <w:t>Keywords: Anesthesia, Publications, Documentation, Citation, Citations, Error, Errors, Journal, Responsibility, Source, Volume</w:t>
      </w:r>
    </w:p>
    <w:p w:rsidR="003474F2" w:rsidRPr="001A3D2B" w:rsidRDefault="003474F2" w:rsidP="003474F2">
      <w:pPr>
        <w:pStyle w:val="a3"/>
      </w:pPr>
      <w:r w:rsidRPr="001A3D2B">
        <w:t>Arrowsmith, J.E. (1996</w:t>
      </w:r>
      <w:r w:rsidR="00F42EAC">
        <w:t>), The</w:t>
      </w:r>
      <w:r w:rsidR="003A1917">
        <w:t xml:space="preserve"> </w:t>
      </w:r>
      <w:r w:rsidRPr="001A3D2B">
        <w:t>accuracy</w:t>
      </w:r>
      <w:r w:rsidR="00427468">
        <w:t xml:space="preserve"> of </w:t>
      </w:r>
      <w:r w:rsidRPr="001A3D2B">
        <w:t xml:space="preserve">references in journal articles. </w:t>
      </w:r>
      <w:r w:rsidRPr="001A3D2B">
        <w:rPr>
          <w:i/>
          <w:iCs/>
        </w:rPr>
        <w:t>Anaesthesia</w:t>
      </w:r>
      <w:r w:rsidRPr="001A3D2B">
        <w:t xml:space="preserve">, </w:t>
      </w:r>
      <w:r w:rsidRPr="001A3D2B">
        <w:rPr>
          <w:b/>
          <w:bCs/>
        </w:rPr>
        <w:t>51</w:t>
      </w:r>
      <w:r w:rsidRPr="001A3D2B">
        <w:t xml:space="preserve"> (5), 517-518.</w:t>
      </w:r>
    </w:p>
    <w:p w:rsidR="003474F2" w:rsidRPr="001A3D2B" w:rsidRDefault="003474F2" w:rsidP="003474F2">
      <w:pPr>
        <w:pStyle w:val="a3"/>
      </w:pPr>
      <w:r w:rsidRPr="001A3D2B">
        <w:t xml:space="preserve">Full Text: </w:t>
      </w:r>
      <w:hyperlink r:id="rId702" w:history="1">
        <w:r w:rsidRPr="001A3D2B">
          <w:rPr>
            <w:rStyle w:val="a5"/>
          </w:rPr>
          <w:t>1996\Anesthesia51, 517.pdf</w:t>
        </w:r>
      </w:hyperlink>
    </w:p>
    <w:p w:rsidR="003474F2" w:rsidRPr="001A3D2B" w:rsidRDefault="003474F2" w:rsidP="003474F2">
      <w:pPr>
        <w:pStyle w:val="a3"/>
      </w:pPr>
      <w:r w:rsidRPr="001A3D2B">
        <w:t>Keywords: Accuracy, Journal, Journal Articles</w:t>
      </w:r>
    </w:p>
    <w:p w:rsidR="003474F2" w:rsidRPr="001A3D2B" w:rsidRDefault="003474F2" w:rsidP="003474F2">
      <w:pPr>
        <w:pStyle w:val="a3"/>
      </w:pPr>
      <w:r w:rsidRPr="001A3D2B">
        <w:t>Asai, T.</w:t>
      </w:r>
      <w:r w:rsidR="005853A9">
        <w:t xml:space="preserve"> and </w:t>
      </w:r>
      <w:r w:rsidRPr="001A3D2B">
        <w:t xml:space="preserve">Shingu, K. (1999), Ethical considerations in anaesthesia journals. </w:t>
      </w:r>
      <w:r w:rsidRPr="001A3D2B">
        <w:rPr>
          <w:i/>
          <w:iCs/>
        </w:rPr>
        <w:t>Anaesthesia</w:t>
      </w:r>
      <w:r w:rsidRPr="001A3D2B">
        <w:t xml:space="preserve">, </w:t>
      </w:r>
      <w:r w:rsidRPr="001A3D2B">
        <w:rPr>
          <w:b/>
          <w:bCs/>
        </w:rPr>
        <w:t>54</w:t>
      </w:r>
      <w:r w:rsidRPr="001A3D2B">
        <w:t xml:space="preserve"> (2), 192-197.</w:t>
      </w:r>
    </w:p>
    <w:p w:rsidR="003474F2" w:rsidRPr="001A3D2B" w:rsidRDefault="003474F2" w:rsidP="003474F2">
      <w:pPr>
        <w:pStyle w:val="a3"/>
      </w:pPr>
      <w:r w:rsidRPr="001A3D2B">
        <w:t xml:space="preserve">Full Text: </w:t>
      </w:r>
      <w:hyperlink r:id="rId703" w:history="1">
        <w:r w:rsidRPr="001A3D2B">
          <w:rPr>
            <w:rStyle w:val="a5"/>
          </w:rPr>
          <w:t>1999\Anesthesia54, 192.pdf</w:t>
        </w:r>
      </w:hyperlink>
    </w:p>
    <w:p w:rsidR="003474F2" w:rsidRPr="001A3D2B" w:rsidRDefault="003474F2" w:rsidP="003474F2">
      <w:pPr>
        <w:pStyle w:val="a3"/>
      </w:pPr>
      <w:r w:rsidRPr="001A3D2B">
        <w:t xml:space="preserve">Abstract: It has been shown that instructions to authors in nonanaesthesia biomedical </w:t>
      </w:r>
      <w:r w:rsidRPr="001A3D2B">
        <w:lastRenderedPageBreak/>
        <w:t>journals often fail to require authors to state that</w:t>
      </w:r>
      <w:r w:rsidR="003A1917">
        <w:t xml:space="preserve"> the </w:t>
      </w:r>
      <w:r w:rsidRPr="001A3D2B">
        <w:t>study was approved by an ethics committee</w:t>
      </w:r>
      <w:r w:rsidR="005853A9">
        <w:t xml:space="preserve"> and </w:t>
      </w:r>
      <w:r w:rsidRPr="001A3D2B">
        <w:t>informed consent obtained from participants; articles also often omit mentioning these points. We examined 11 English-language journals, which are listed in</w:t>
      </w:r>
      <w:r w:rsidR="003A1917">
        <w:t xml:space="preserve"> the </w:t>
      </w:r>
      <w:r w:rsidR="00700038">
        <w:t>‘</w:t>
      </w:r>
      <w:r w:rsidRPr="001A3D2B">
        <w:t>Anesthesiology</w:t>
      </w:r>
      <w:r w:rsidR="00700038">
        <w:t>’</w:t>
      </w:r>
      <w:r w:rsidRPr="001A3D2B">
        <w:t xml:space="preserve"> category</w:t>
      </w:r>
      <w:r w:rsidR="00427468">
        <w:t xml:space="preserve"> of </w:t>
      </w:r>
      <w:r w:rsidRPr="001A3D2B">
        <w:t xml:space="preserve">1995 </w:t>
      </w:r>
      <w:r w:rsidRPr="001A3D2B">
        <w:rPr>
          <w:i/>
        </w:rPr>
        <w:t>SCI Journal Citation Reports</w:t>
      </w:r>
      <w:r w:rsidRPr="001A3D2B">
        <w:t>, to see whether</w:t>
      </w:r>
      <w:r w:rsidR="003A1917">
        <w:t xml:space="preserve"> the </w:t>
      </w:r>
      <w:r w:rsidRPr="001A3D2B">
        <w:t>instructions to authors</w:t>
      </w:r>
      <w:r w:rsidR="00427468">
        <w:t xml:space="preserve"> of </w:t>
      </w:r>
      <w:r w:rsidRPr="001A3D2B">
        <w:t>anaesthesia journals mention</w:t>
      </w:r>
      <w:r w:rsidR="003A1917">
        <w:t xml:space="preserve"> the </w:t>
      </w:r>
      <w:r w:rsidRPr="001A3D2B">
        <w:t>following ethical factors: approval</w:t>
      </w:r>
      <w:r w:rsidR="00427468">
        <w:t xml:space="preserve"> of </w:t>
      </w:r>
      <w:r w:rsidR="003A1917">
        <w:t xml:space="preserve">the </w:t>
      </w:r>
      <w:r w:rsidRPr="001A3D2B">
        <w:t>study by an ethics committee, informed consent, redundant publication, fraud, authorship, conflict</w:t>
      </w:r>
      <w:r w:rsidR="00427468">
        <w:t xml:space="preserve"> of </w:t>
      </w:r>
      <w:r w:rsidRPr="001A3D2B">
        <w:t>interest</w:t>
      </w:r>
      <w:r w:rsidR="005853A9">
        <w:t xml:space="preserve"> and </w:t>
      </w:r>
      <w:r w:rsidRPr="001A3D2B">
        <w:t>protection</w:t>
      </w:r>
      <w:r w:rsidR="00427468">
        <w:t xml:space="preserve"> of </w:t>
      </w:r>
      <w:r w:rsidRPr="001A3D2B">
        <w:t>patients</w:t>
      </w:r>
      <w:r w:rsidR="00700038">
        <w:t>’</w:t>
      </w:r>
      <w:r w:rsidRPr="001A3D2B">
        <w:t xml:space="preserve"> privacy. We also examined 673 articles which appeared in these anaesthesia journals (July to December issues</w:t>
      </w:r>
      <w:r w:rsidR="00427468">
        <w:t xml:space="preserve"> of </w:t>
      </w:r>
      <w:r w:rsidRPr="001A3D2B">
        <w:t>1996) to see whether they stated acquirement</w:t>
      </w:r>
      <w:r w:rsidR="00427468">
        <w:t xml:space="preserve"> of </w:t>
      </w:r>
      <w:r w:rsidRPr="001A3D2B">
        <w:t>ethics committee approval</w:t>
      </w:r>
      <w:r w:rsidR="005853A9">
        <w:t xml:space="preserve"> and </w:t>
      </w:r>
      <w:r w:rsidRPr="001A3D2B">
        <w:t>informed consent. All journals addressed</w:t>
      </w:r>
      <w:r w:rsidR="003A1917">
        <w:t xml:space="preserve"> the </w:t>
      </w:r>
      <w:r w:rsidRPr="001A3D2B">
        <w:t>avoidance</w:t>
      </w:r>
      <w:r w:rsidR="00427468">
        <w:t xml:space="preserve"> of </w:t>
      </w:r>
      <w:r w:rsidRPr="001A3D2B">
        <w:t>redundant publications</w:t>
      </w:r>
      <w:r w:rsidR="005853A9">
        <w:t xml:space="preserve"> and </w:t>
      </w:r>
      <w:r w:rsidRPr="001A3D2B">
        <w:t>unjustifiable authorship. Ten journals required approval</w:t>
      </w:r>
      <w:r w:rsidR="00427468">
        <w:t xml:space="preserve"> of </w:t>
      </w:r>
      <w:r w:rsidRPr="001A3D2B">
        <w:t>studies</w:t>
      </w:r>
      <w:r w:rsidR="005853A9">
        <w:t xml:space="preserve"> and </w:t>
      </w:r>
      <w:r w:rsidRPr="001A3D2B">
        <w:t>signatures from all authors, eight journals mentioned informed consent. Only seven required</w:t>
      </w:r>
      <w:r w:rsidR="003A1917">
        <w:t xml:space="preserve"> the </w:t>
      </w:r>
      <w:r w:rsidRPr="001A3D2B">
        <w:t>disclosure</w:t>
      </w:r>
      <w:r w:rsidR="00427468">
        <w:t xml:space="preserve"> of </w:t>
      </w:r>
      <w:r w:rsidRPr="001A3D2B">
        <w:t>any conflict</w:t>
      </w:r>
      <w:r w:rsidR="00427468">
        <w:t xml:space="preserve"> of </w:t>
      </w:r>
      <w:r w:rsidRPr="001A3D2B">
        <w:t>interest</w:t>
      </w:r>
      <w:r w:rsidR="005853A9">
        <w:t xml:space="preserve"> and </w:t>
      </w:r>
      <w:r w:rsidR="003A1917">
        <w:t xml:space="preserve">the </w:t>
      </w:r>
      <w:r w:rsidRPr="001A3D2B">
        <w:t>protection</w:t>
      </w:r>
      <w:r w:rsidR="00427468">
        <w:t xml:space="preserve"> of </w:t>
      </w:r>
      <w:r w:rsidRPr="001A3D2B">
        <w:t>patients</w:t>
      </w:r>
      <w:r w:rsidR="00700038">
        <w:t>’</w:t>
      </w:r>
      <w:r w:rsidRPr="001A3D2B">
        <w:t xml:space="preserve"> privacy. More than 90%</w:t>
      </w:r>
      <w:r w:rsidR="00427468">
        <w:t xml:space="preserve"> of </w:t>
      </w:r>
      <w:r w:rsidR="003A1917">
        <w:t xml:space="preserve">the </w:t>
      </w:r>
      <w:r w:rsidRPr="001A3D2B">
        <w:t>articles stated that</w:t>
      </w:r>
      <w:r w:rsidR="003A1917">
        <w:t xml:space="preserve"> the </w:t>
      </w:r>
      <w:r w:rsidRPr="001A3D2B">
        <w:t>study was approved</w:t>
      </w:r>
      <w:r w:rsidR="005853A9">
        <w:t xml:space="preserve"> and </w:t>
      </w:r>
      <w:r w:rsidRPr="001A3D2B">
        <w:t>informed consent obtained.</w:t>
      </w:r>
    </w:p>
    <w:p w:rsidR="003474F2" w:rsidRPr="001A3D2B" w:rsidRDefault="003474F2" w:rsidP="003474F2">
      <w:pPr>
        <w:pStyle w:val="a3"/>
      </w:pPr>
      <w:r w:rsidRPr="001A3D2B">
        <w:t>? Mason, R.A. (2001</w:t>
      </w:r>
      <w:r w:rsidR="00F42EAC">
        <w:t>), The</w:t>
      </w:r>
      <w:r w:rsidR="003A1917">
        <w:t xml:space="preserve"> </w:t>
      </w:r>
      <w:r w:rsidRPr="001A3D2B">
        <w:t xml:space="preserve">case report - an endangered species? </w:t>
      </w:r>
      <w:r w:rsidRPr="001A3D2B">
        <w:rPr>
          <w:i/>
        </w:rPr>
        <w:t>Anaesthesia</w:t>
      </w:r>
      <w:r w:rsidRPr="001A3D2B">
        <w:t xml:space="preserve">, </w:t>
      </w:r>
      <w:r w:rsidRPr="001A3D2B">
        <w:rPr>
          <w:b/>
        </w:rPr>
        <w:t>56</w:t>
      </w:r>
      <w:r w:rsidRPr="001A3D2B">
        <w:t xml:space="preserve"> (2), 99-102.</w:t>
      </w:r>
    </w:p>
    <w:p w:rsidR="003474F2" w:rsidRPr="001A3D2B" w:rsidRDefault="003474F2" w:rsidP="003474F2">
      <w:pPr>
        <w:pStyle w:val="a3"/>
      </w:pPr>
      <w:r w:rsidRPr="001A3D2B">
        <w:t xml:space="preserve">Full Text: </w:t>
      </w:r>
      <w:hyperlink r:id="rId704" w:history="1">
        <w:r w:rsidRPr="001A3D2B">
          <w:rPr>
            <w:rStyle w:val="a5"/>
          </w:rPr>
          <w:t>2001\Anesthesia56, 99.pdf</w:t>
        </w:r>
      </w:hyperlink>
    </w:p>
    <w:p w:rsidR="003474F2" w:rsidRPr="001A3D2B" w:rsidRDefault="003474F2" w:rsidP="003474F2">
      <w:pPr>
        <w:pStyle w:val="a3"/>
      </w:pPr>
      <w:r w:rsidRPr="001A3D2B">
        <w:t>Keywords: Case Report, Endangered Species, Species</w:t>
      </w:r>
    </w:p>
    <w:p w:rsidR="003474F2" w:rsidRPr="001A3D2B" w:rsidRDefault="003474F2" w:rsidP="003474F2">
      <w:pPr>
        <w:pStyle w:val="a3"/>
      </w:pPr>
      <w:r w:rsidRPr="001A3D2B">
        <w:t>Tiefenthaler, W., Hohlrieder, M., Hauffe, H., Heidegger, Th.</w:t>
      </w:r>
      <w:r w:rsidR="005853A9">
        <w:t xml:space="preserve"> and </w:t>
      </w:r>
      <w:r w:rsidRPr="001A3D2B">
        <w:t>Benzer, A. (2004), Proposal for a different ranking</w:t>
      </w:r>
      <w:r w:rsidR="00427468">
        <w:t xml:space="preserve"> of </w:t>
      </w:r>
      <w:r w:rsidRPr="001A3D2B">
        <w:t xml:space="preserve">anaesthesia journals. </w:t>
      </w:r>
      <w:r w:rsidRPr="001A3D2B">
        <w:rPr>
          <w:i/>
          <w:iCs/>
        </w:rPr>
        <w:t>Anaesthesia</w:t>
      </w:r>
      <w:r w:rsidRPr="001A3D2B">
        <w:t xml:space="preserve">, </w:t>
      </w:r>
      <w:r w:rsidRPr="001A3D2B">
        <w:rPr>
          <w:b/>
          <w:bCs/>
        </w:rPr>
        <w:t>59</w:t>
      </w:r>
      <w:r w:rsidRPr="001A3D2B">
        <w:t xml:space="preserve"> (8), 831-832.</w:t>
      </w:r>
    </w:p>
    <w:p w:rsidR="003474F2" w:rsidRPr="001A3D2B" w:rsidRDefault="003474F2" w:rsidP="003474F2">
      <w:pPr>
        <w:pStyle w:val="a3"/>
      </w:pPr>
      <w:r w:rsidRPr="001A3D2B">
        <w:t xml:space="preserve">Full Text: </w:t>
      </w:r>
      <w:hyperlink r:id="rId705" w:history="1">
        <w:r w:rsidRPr="001A3D2B">
          <w:rPr>
            <w:rStyle w:val="a5"/>
          </w:rPr>
          <w:t>2004\Anesthesia59, 831.pdf</w:t>
        </w:r>
      </w:hyperlink>
    </w:p>
    <w:p w:rsidR="003474F2" w:rsidRPr="001A3D2B" w:rsidRDefault="003474F2" w:rsidP="003474F2">
      <w:pPr>
        <w:pStyle w:val="a3"/>
      </w:pPr>
      <w:r w:rsidRPr="001A3D2B">
        <w:t>Schreiber, K., Girard, T.</w:t>
      </w:r>
      <w:r w:rsidR="005853A9">
        <w:t xml:space="preserve"> and </w:t>
      </w:r>
      <w:r w:rsidRPr="001A3D2B">
        <w:t>Kindler, C.H. (2004), Bibliometric analysis</w:t>
      </w:r>
      <w:r w:rsidR="00427468">
        <w:t xml:space="preserve"> of </w:t>
      </w:r>
      <w:r w:rsidRPr="001A3D2B">
        <w:t xml:space="preserve">original molecular biology research in anaesthesia. </w:t>
      </w:r>
      <w:r w:rsidRPr="001A3D2B">
        <w:rPr>
          <w:i/>
        </w:rPr>
        <w:t>Anesthesia</w:t>
      </w:r>
      <w:r w:rsidRPr="001A3D2B">
        <w:t xml:space="preserve">, </w:t>
      </w:r>
      <w:r w:rsidRPr="001A3D2B">
        <w:rPr>
          <w:b/>
        </w:rPr>
        <w:t>59</w:t>
      </w:r>
      <w:r w:rsidRPr="001A3D2B">
        <w:t xml:space="preserve"> (10), 1002-1007.</w:t>
      </w:r>
    </w:p>
    <w:p w:rsidR="003474F2" w:rsidRPr="001A3D2B" w:rsidRDefault="003474F2" w:rsidP="003474F2">
      <w:pPr>
        <w:pStyle w:val="a3"/>
      </w:pPr>
      <w:r w:rsidRPr="001A3D2B">
        <w:t xml:space="preserve">Full Text: </w:t>
      </w:r>
      <w:hyperlink r:id="rId706" w:history="1">
        <w:r w:rsidRPr="001A3D2B">
          <w:rPr>
            <w:rStyle w:val="a5"/>
          </w:rPr>
          <w:t>2004\Anesthesia59, 1002.pdf</w:t>
        </w:r>
      </w:hyperlink>
    </w:p>
    <w:p w:rsidR="003474F2" w:rsidRPr="001A3D2B" w:rsidRDefault="003474F2" w:rsidP="003474F2">
      <w:pPr>
        <w:pStyle w:val="a3"/>
      </w:pPr>
      <w:r w:rsidRPr="001A3D2B">
        <w:t>Abstract: Molecular biology has expanded</w:t>
      </w:r>
      <w:r w:rsidR="003A1917">
        <w:t xml:space="preserve"> the </w:t>
      </w:r>
      <w:r w:rsidRPr="001A3D2B">
        <w:t>horizons</w:t>
      </w:r>
      <w:r w:rsidR="00427468">
        <w:t xml:space="preserve"> of </w:t>
      </w:r>
      <w:r w:rsidRPr="001A3D2B">
        <w:t>anaesthesia during</w:t>
      </w:r>
      <w:r w:rsidR="003A1917">
        <w:t xml:space="preserve"> the </w:t>
      </w:r>
      <w:r w:rsidRPr="001A3D2B">
        <w:t>last 20 years</w:t>
      </w:r>
      <w:r w:rsidR="005853A9">
        <w:t xml:space="preserve"> and </w:t>
      </w:r>
      <w:r w:rsidRPr="001A3D2B">
        <w:t>has led to an increase</w:t>
      </w:r>
      <w:r w:rsidR="00427468">
        <w:t xml:space="preserve"> of </w:t>
      </w:r>
      <w:r w:rsidRPr="001A3D2B">
        <w:t>basic science articles that are published in</w:t>
      </w:r>
      <w:r w:rsidR="003A1917">
        <w:t xml:space="preserve"> the </w:t>
      </w:r>
      <w:r w:rsidRPr="001A3D2B">
        <w:t>specialised anaesthetic journals or originate in anaesthetic institutions. We searched for</w:t>
      </w:r>
      <w:r w:rsidR="005853A9">
        <w:t xml:space="preserve"> and </w:t>
      </w:r>
      <w:r w:rsidRPr="001A3D2B">
        <w:t>analysed</w:t>
      </w:r>
      <w:r w:rsidR="003A1917">
        <w:t xml:space="preserve"> the </w:t>
      </w:r>
      <w:r w:rsidRPr="001A3D2B">
        <w:t>specific features, such as year</w:t>
      </w:r>
      <w:r w:rsidR="00427468">
        <w:t xml:space="preserve"> of </w:t>
      </w:r>
      <w:r w:rsidRPr="001A3D2B">
        <w:t>publication, publishing journal,</w:t>
      </w:r>
      <w:r w:rsidR="005853A9">
        <w:t xml:space="preserve"> and </w:t>
      </w:r>
      <w:r w:rsidRPr="001A3D2B">
        <w:t>country</w:t>
      </w:r>
      <w:r w:rsidR="00427468">
        <w:t xml:space="preserve"> of </w:t>
      </w:r>
      <w:r w:rsidRPr="001A3D2B">
        <w:t>origin,</w:t>
      </w:r>
      <w:r w:rsidR="00427468">
        <w:t xml:space="preserve"> of </w:t>
      </w:r>
      <w:r w:rsidRPr="001A3D2B">
        <w:t>all such molecular biology articles stored in</w:t>
      </w:r>
      <w:r w:rsidR="003A1917">
        <w:t xml:space="preserve"> the </w:t>
      </w:r>
      <w:r w:rsidR="00D5664A">
        <w:t>MEDLINE</w:t>
      </w:r>
      <w:r w:rsidRPr="001A3D2B">
        <w:t xml:space="preserve"> database during</w:t>
      </w:r>
      <w:r w:rsidR="003A1917">
        <w:t xml:space="preserve"> the </w:t>
      </w:r>
      <w:r w:rsidRPr="001A3D2B">
        <w:t>period 1986–2002. We identified 1265 original articles that used molecular biology techniques; 223 (18%)</w:t>
      </w:r>
      <w:r w:rsidR="00427468">
        <w:t xml:space="preserve"> of </w:t>
      </w:r>
      <w:r w:rsidRPr="001A3D2B">
        <w:t>these articles were published in anaesthetic journals</w:t>
      </w:r>
      <w:r w:rsidR="005853A9">
        <w:t xml:space="preserve"> and </w:t>
      </w:r>
      <w:r w:rsidRPr="001A3D2B">
        <w:t>1042 (82%) articles in 556 other biomedical journals. While in</w:t>
      </w:r>
      <w:r w:rsidR="003A1917">
        <w:t xml:space="preserve"> the </w:t>
      </w:r>
      <w:r w:rsidRPr="001A3D2B">
        <w:t>late 1980s only a few molecular biology articles were published each year by anaesthetic institutions, worldwide this number reached approximately 200 basic science articles by</w:t>
      </w:r>
      <w:r w:rsidR="003A1917">
        <w:t xml:space="preserve"> the </w:t>
      </w:r>
      <w:r w:rsidRPr="001A3D2B">
        <w:t>end</w:t>
      </w:r>
      <w:r w:rsidR="00427468">
        <w:t xml:space="preserve"> of </w:t>
      </w:r>
      <w:r w:rsidRPr="001A3D2B">
        <w:t>2002</w:t>
      </w:r>
      <w:r w:rsidR="00A37C1D">
        <w:t>. The</w:t>
      </w:r>
      <w:r w:rsidR="003A1917">
        <w:t xml:space="preserve"> </w:t>
      </w:r>
      <w:r w:rsidR="00D5664A">
        <w:t>USA</w:t>
      </w:r>
      <w:r w:rsidRPr="001A3D2B">
        <w:t xml:space="preserve"> clearly dominates</w:t>
      </w:r>
      <w:r w:rsidR="003A1917">
        <w:t xml:space="preserve"> the </w:t>
      </w:r>
      <w:r w:rsidRPr="001A3D2B">
        <w:t>field</w:t>
      </w:r>
      <w:r w:rsidR="00427468">
        <w:t xml:space="preserve"> of </w:t>
      </w:r>
      <w:r w:rsidRPr="001A3D2B">
        <w:t>anaesthesia with respect to molecular biology research with 839 (66%) such articles.</w:t>
      </w:r>
    </w:p>
    <w:p w:rsidR="003474F2" w:rsidRPr="001A3D2B" w:rsidRDefault="003474F2" w:rsidP="003474F2">
      <w:pPr>
        <w:pStyle w:val="a3"/>
      </w:pPr>
      <w:r w:rsidRPr="001A3D2B">
        <w:t xml:space="preserve">Keywords: Information Science, Publishing, Molecular Biology, Academic Anesthesia, </w:t>
      </w:r>
      <w:smartTag w:uri="urn:schemas-microsoft-com:office:smarttags" w:element="place">
        <w:r w:rsidRPr="001A3D2B">
          <w:lastRenderedPageBreak/>
          <w:t>Europe</w:t>
        </w:r>
      </w:smartTag>
      <w:r w:rsidRPr="001A3D2B">
        <w:t>, Countries, Journals, Medicine, Publication, Millennium, Primer, Life</w:t>
      </w:r>
    </w:p>
    <w:p w:rsidR="003474F2" w:rsidRPr="001A3D2B" w:rsidRDefault="003474F2" w:rsidP="003474F2">
      <w:pPr>
        <w:pStyle w:val="a3"/>
      </w:pPr>
      <w:r w:rsidRPr="001A3D2B">
        <w:t>? Pandit, J.J. (2008), Anaesthetic research in</w:t>
      </w:r>
      <w:r w:rsidR="003A1917">
        <w:t xml:space="preserve"> the </w:t>
      </w:r>
      <w:r w:rsidRPr="001A3D2B">
        <w:t xml:space="preserve">United Kingdom: publishing or perishing? </w:t>
      </w:r>
      <w:r w:rsidRPr="001A3D2B">
        <w:rPr>
          <w:i/>
          <w:iCs/>
        </w:rPr>
        <w:t>Anaesthesia</w:t>
      </w:r>
      <w:r w:rsidRPr="001A3D2B">
        <w:t xml:space="preserve">, </w:t>
      </w:r>
      <w:r w:rsidRPr="001A3D2B">
        <w:rPr>
          <w:b/>
          <w:bCs/>
        </w:rPr>
        <w:t>63</w:t>
      </w:r>
      <w:r w:rsidRPr="001A3D2B">
        <w:t xml:space="preserve"> (3), 225-227.</w:t>
      </w:r>
    </w:p>
    <w:p w:rsidR="00E629C0" w:rsidRPr="001A3D2B" w:rsidRDefault="00E629C0" w:rsidP="00E629C0">
      <w:pPr>
        <w:pStyle w:val="a3"/>
      </w:pPr>
      <w:r w:rsidRPr="001A3D2B">
        <w:t xml:space="preserve">Full Text: </w:t>
      </w:r>
      <w:hyperlink r:id="rId707" w:history="1">
        <w:r w:rsidRPr="001A3D2B">
          <w:rPr>
            <w:rStyle w:val="a5"/>
          </w:rPr>
          <w:t>2008\Anaesthesia63, 225.pdf</w:t>
        </w:r>
      </w:hyperlink>
    </w:p>
    <w:p w:rsidR="00E629C0" w:rsidRPr="001A3D2B" w:rsidRDefault="00E629C0" w:rsidP="00E629C0">
      <w:pPr>
        <w:pStyle w:val="a3"/>
      </w:pPr>
      <w:r w:rsidRPr="001A3D2B">
        <w:t>Keywords: Publishing, Research, United Kingdom</w:t>
      </w:r>
    </w:p>
    <w:p w:rsidR="00E629C0" w:rsidRPr="001A3D2B" w:rsidRDefault="00E629C0" w:rsidP="00E629C0">
      <w:pPr>
        <w:pStyle w:val="a3"/>
      </w:pPr>
      <w:r w:rsidRPr="001A3D2B">
        <w:t>Notes: CCountry</w:t>
      </w:r>
    </w:p>
    <w:p w:rsidR="00E629C0" w:rsidRPr="001A3D2B" w:rsidRDefault="00E629C0" w:rsidP="00E629C0">
      <w:pPr>
        <w:pStyle w:val="a3"/>
      </w:pPr>
      <w:r w:rsidRPr="001A3D2B">
        <w:t>? Feneck, R.O., Natarajan, N., Sebastian, R.</w:t>
      </w:r>
      <w:r w:rsidR="005853A9">
        <w:t xml:space="preserve"> and </w:t>
      </w:r>
      <w:r w:rsidRPr="001A3D2B">
        <w:t>Naughton, C. (2008), Decline in research publications from</w:t>
      </w:r>
      <w:r w:rsidR="003A1917">
        <w:t xml:space="preserve"> the </w:t>
      </w:r>
      <w:r w:rsidRPr="001A3D2B">
        <w:t xml:space="preserve">United Kingdom in anaesthesia journals from 1997 to 2006. </w:t>
      </w:r>
      <w:r w:rsidRPr="001A3D2B">
        <w:rPr>
          <w:i/>
          <w:iCs/>
        </w:rPr>
        <w:t>Anaesthesia</w:t>
      </w:r>
      <w:r w:rsidRPr="001A3D2B">
        <w:t xml:space="preserve">, </w:t>
      </w:r>
      <w:r w:rsidRPr="001A3D2B">
        <w:rPr>
          <w:b/>
          <w:bCs/>
        </w:rPr>
        <w:t>63</w:t>
      </w:r>
      <w:r w:rsidRPr="001A3D2B">
        <w:t xml:space="preserve"> (3), 270-275.</w:t>
      </w:r>
    </w:p>
    <w:p w:rsidR="00E629C0" w:rsidRPr="001A3D2B" w:rsidRDefault="00E629C0" w:rsidP="00E629C0">
      <w:pPr>
        <w:pStyle w:val="a3"/>
      </w:pPr>
      <w:r w:rsidRPr="001A3D2B">
        <w:t xml:space="preserve">Full Text: </w:t>
      </w:r>
      <w:hyperlink r:id="rId708" w:history="1">
        <w:r w:rsidR="006C060E" w:rsidRPr="006C060E">
          <w:rPr>
            <w:rStyle w:val="a5"/>
          </w:rPr>
          <w:t>2008\Anaesthesia63, 270.pdf</w:t>
        </w:r>
      </w:hyperlink>
    </w:p>
    <w:p w:rsidR="003474F2" w:rsidRPr="001A3D2B" w:rsidRDefault="003474F2" w:rsidP="003474F2">
      <w:pPr>
        <w:pStyle w:val="a3"/>
      </w:pPr>
      <w:r w:rsidRPr="001A3D2B">
        <w:t>Abstract: We undertook this survey to identify</w:t>
      </w:r>
      <w:r w:rsidR="003A1917">
        <w:t xml:space="preserve"> the </w:t>
      </w:r>
      <w:r w:rsidRPr="001A3D2B">
        <w:t>trend in</w:t>
      </w:r>
      <w:r w:rsidR="003A1917">
        <w:t xml:space="preserve"> the </w:t>
      </w:r>
      <w:r w:rsidRPr="001A3D2B">
        <w:t>published output</w:t>
      </w:r>
      <w:r w:rsidR="00427468">
        <w:t xml:space="preserve"> of </w:t>
      </w:r>
      <w:r w:rsidRPr="001A3D2B">
        <w:t>original research in anaesthesia emanating from</w:t>
      </w:r>
      <w:r w:rsidR="003A1917">
        <w:t xml:space="preserve"> the </w:t>
      </w:r>
      <w:r w:rsidRPr="001A3D2B">
        <w:t>United Kingdom (UK) in a 10-year period from 1997 to 2006, inclusive. We examined seven major anaesthetic journals for each</w:t>
      </w:r>
      <w:r w:rsidR="00427468">
        <w:t xml:space="preserve"> of </w:t>
      </w:r>
      <w:r w:rsidR="003A1917">
        <w:t xml:space="preserve">the </w:t>
      </w:r>
      <w:r w:rsidRPr="001A3D2B">
        <w:t>10 years,</w:t>
      </w:r>
      <w:r w:rsidR="005853A9">
        <w:t xml:space="preserve"> and </w:t>
      </w:r>
      <w:r w:rsidRPr="001A3D2B">
        <w:t>four other specialist journals for</w:t>
      </w:r>
      <w:r w:rsidR="003A1917">
        <w:t xml:space="preserve"> the </w:t>
      </w:r>
      <w:r w:rsidRPr="001A3D2B">
        <w:t>years 1997, 2000, 2003</w:t>
      </w:r>
      <w:r w:rsidR="005853A9">
        <w:t xml:space="preserve"> and </w:t>
      </w:r>
      <w:r w:rsidRPr="001A3D2B">
        <w:t>2006. We included papers on experimental research, randomised controlled clinical trials, large observational studies</w:t>
      </w:r>
      <w:r w:rsidR="005853A9">
        <w:t xml:space="preserve"> and </w:t>
      </w:r>
      <w:r w:rsidRPr="001A3D2B">
        <w:t>case series, formal equipment</w:t>
      </w:r>
      <w:r w:rsidR="005853A9">
        <w:t xml:space="preserve"> and </w:t>
      </w:r>
      <w:r w:rsidRPr="001A3D2B">
        <w:t>apparatus assessments, but we excluded editorials, comments, reviews including systematic reviews, special articles, small case series</w:t>
      </w:r>
      <w:r w:rsidR="005853A9">
        <w:t xml:space="preserve"> and </w:t>
      </w:r>
      <w:r w:rsidRPr="001A3D2B">
        <w:t>case reports, questionnaire surveys</w:t>
      </w:r>
      <w:r w:rsidR="00427468">
        <w:t xml:space="preserve"> of </w:t>
      </w:r>
      <w:r w:rsidRPr="001A3D2B">
        <w:t>clinical practice</w:t>
      </w:r>
      <w:r w:rsidR="005853A9">
        <w:t xml:space="preserve"> and </w:t>
      </w:r>
      <w:r w:rsidRPr="001A3D2B">
        <w:t>correspondence. We found a highly significant reduction in published research output from</w:t>
      </w:r>
      <w:r w:rsidR="003A1917">
        <w:t xml:space="preserve"> the </w:t>
      </w:r>
      <w:r w:rsidRPr="001A3D2B">
        <w:t>UK in</w:t>
      </w:r>
      <w:r w:rsidR="003A1917">
        <w:t xml:space="preserve"> the </w:t>
      </w:r>
      <w:r w:rsidRPr="001A3D2B">
        <w:t>period under study (% change per year; -5.7 (95% CI -7.4 to -4.0), a trend which was significantly different (p &lt; 0.001) from</w:t>
      </w:r>
      <w:r w:rsidR="003A1917">
        <w:t xml:space="preserve"> the </w:t>
      </w:r>
      <w:r w:rsidRPr="001A3D2B">
        <w:t>trend</w:t>
      </w:r>
      <w:r w:rsidR="00427468">
        <w:t xml:space="preserve"> of </w:t>
      </w:r>
      <w:r w:rsidRPr="001A3D2B">
        <w:t>changes in research publications worldwide (-1.0% change per year; 95% CI -1.7 to 0.0). We discuss</w:t>
      </w:r>
      <w:r w:rsidR="003A1917">
        <w:t xml:space="preserve"> the </w:t>
      </w:r>
      <w:r w:rsidRPr="001A3D2B">
        <w:t>implications</w:t>
      </w:r>
      <w:r w:rsidR="00427468">
        <w:t xml:space="preserve"> of </w:t>
      </w:r>
      <w:r w:rsidRPr="001A3D2B">
        <w:t>these findings for UK anaesthesia research strategy.</w:t>
      </w:r>
    </w:p>
    <w:p w:rsidR="003474F2" w:rsidRPr="001A3D2B" w:rsidRDefault="003474F2" w:rsidP="003474F2">
      <w:pPr>
        <w:pStyle w:val="a3"/>
      </w:pPr>
      <w:r w:rsidRPr="001A3D2B">
        <w:t>Keywords: Anaesthesia, Assessments, Case Reports, Changes, Clinical, Clinical Practice, Clinical Trials, Equipment, Experimental, Journals, Observational, Observational Studies, Papers, Practice, Publications, Questionnaire, Randomised, Reduction, Research, Reviews, Small, Survey, Surveys, Systematic Reviews, Trend</w:t>
      </w:r>
      <w:r w:rsidR="00D5664A">
        <w:t>, UK,</w:t>
      </w:r>
      <w:r w:rsidRPr="001A3D2B">
        <w:t xml:space="preserve"> United Kingdom</w:t>
      </w:r>
    </w:p>
    <w:p w:rsidR="003474F2" w:rsidRPr="001A3D2B" w:rsidRDefault="003474F2" w:rsidP="003474F2">
      <w:pPr>
        <w:pStyle w:val="a3"/>
        <w:rPr>
          <w:rStyle w:val="a4"/>
        </w:rPr>
      </w:pPr>
      <w:r w:rsidRPr="001A3D2B">
        <w:t>? White, S.M.</w:t>
      </w:r>
      <w:r w:rsidR="005853A9">
        <w:t xml:space="preserve"> and </w:t>
      </w:r>
      <w:r w:rsidRPr="001A3D2B">
        <w:t xml:space="preserve">Walker, E. (2008), Difficulties faced by </w:t>
      </w:r>
      <w:r w:rsidR="00700038">
        <w:t>‘</w:t>
      </w:r>
      <w:r w:rsidRPr="001A3D2B">
        <w:t>non-academic</w:t>
      </w:r>
      <w:r w:rsidR="00700038">
        <w:t>’</w:t>
      </w:r>
      <w:r w:rsidRPr="001A3D2B">
        <w:t xml:space="preserve"> researchers. </w:t>
      </w:r>
      <w:r w:rsidRPr="001A3D2B">
        <w:rPr>
          <w:i/>
          <w:iCs/>
        </w:rPr>
        <w:t>Anaesthesia</w:t>
      </w:r>
      <w:r w:rsidRPr="001A3D2B">
        <w:rPr>
          <w:rStyle w:val="a4"/>
        </w:rPr>
        <w:t xml:space="preserve">, </w:t>
      </w:r>
      <w:r w:rsidRPr="001A3D2B">
        <w:rPr>
          <w:b/>
          <w:bCs/>
        </w:rPr>
        <w:t>63</w:t>
      </w:r>
      <w:r w:rsidRPr="001A3D2B">
        <w:rPr>
          <w:rStyle w:val="a4"/>
        </w:rPr>
        <w:t xml:space="preserve"> (9), 1017.</w:t>
      </w:r>
    </w:p>
    <w:p w:rsidR="003474F2" w:rsidRPr="001A3D2B" w:rsidRDefault="003474F2" w:rsidP="003474F2">
      <w:pPr>
        <w:pStyle w:val="a3"/>
      </w:pPr>
      <w:r w:rsidRPr="001A3D2B">
        <w:t xml:space="preserve">Full Text: </w:t>
      </w:r>
      <w:hyperlink r:id="rId709" w:history="1">
        <w:r w:rsidRPr="001A3D2B">
          <w:rPr>
            <w:rStyle w:val="a5"/>
          </w:rPr>
          <w:t>2008\Anesthesia63, 1017.pdf</w:t>
        </w:r>
      </w:hyperlink>
    </w:p>
    <w:p w:rsidR="00454570" w:rsidRPr="001A3D2B" w:rsidRDefault="00454570" w:rsidP="00454570">
      <w:pPr>
        <w:pStyle w:val="a3"/>
        <w:rPr>
          <w:kern w:val="0"/>
        </w:rPr>
      </w:pPr>
      <w:r w:rsidRPr="001A3D2B">
        <w:rPr>
          <w:kern w:val="0"/>
        </w:rPr>
        <w:t>? Walker, E., Hankins, M.C.</w:t>
      </w:r>
      <w:r w:rsidR="005853A9">
        <w:rPr>
          <w:kern w:val="0"/>
        </w:rPr>
        <w:t xml:space="preserve"> and </w:t>
      </w:r>
      <w:r w:rsidRPr="001A3D2B">
        <w:rPr>
          <w:kern w:val="0"/>
        </w:rPr>
        <w:t>White, S.M. (2009</w:t>
      </w:r>
      <w:r w:rsidR="00F42EAC">
        <w:rPr>
          <w:kern w:val="0"/>
        </w:rPr>
        <w:t>), The</w:t>
      </w:r>
      <w:r w:rsidR="003A1917">
        <w:rPr>
          <w:kern w:val="0"/>
        </w:rPr>
        <w:t xml:space="preserve"> </w:t>
      </w:r>
      <w:r w:rsidRPr="001A3D2B">
        <w:rPr>
          <w:kern w:val="0"/>
        </w:rPr>
        <w:t>effect</w:t>
      </w:r>
      <w:r w:rsidR="00427468">
        <w:rPr>
          <w:kern w:val="0"/>
        </w:rPr>
        <w:t xml:space="preserve"> of </w:t>
      </w:r>
      <w:r w:rsidR="003A1917">
        <w:rPr>
          <w:kern w:val="0"/>
        </w:rPr>
        <w:t xml:space="preserve">the </w:t>
      </w:r>
      <w:r w:rsidRPr="001A3D2B">
        <w:rPr>
          <w:kern w:val="0"/>
        </w:rPr>
        <w:t xml:space="preserve">European Clinical Trials Directive on published drug research in anaesthesia. </w:t>
      </w:r>
      <w:r w:rsidRPr="001A3D2B">
        <w:rPr>
          <w:i/>
          <w:iCs/>
          <w:kern w:val="0"/>
        </w:rPr>
        <w:t>Anaesthesia</w:t>
      </w:r>
      <w:r w:rsidRPr="001A3D2B">
        <w:rPr>
          <w:kern w:val="0"/>
        </w:rPr>
        <w:t xml:space="preserve">, </w:t>
      </w:r>
      <w:r w:rsidRPr="001A3D2B">
        <w:rPr>
          <w:b/>
          <w:bCs/>
          <w:kern w:val="0"/>
        </w:rPr>
        <w:t>64</w:t>
      </w:r>
      <w:r w:rsidRPr="001A3D2B">
        <w:rPr>
          <w:kern w:val="0"/>
        </w:rPr>
        <w:t xml:space="preserve"> (9), 984-989.</w:t>
      </w:r>
    </w:p>
    <w:p w:rsidR="00E629C0" w:rsidRPr="001A3D2B" w:rsidRDefault="00E629C0" w:rsidP="00E629C0">
      <w:pPr>
        <w:pStyle w:val="a3"/>
      </w:pPr>
      <w:r w:rsidRPr="001A3D2B">
        <w:t xml:space="preserve">Full Text: </w:t>
      </w:r>
      <w:hyperlink r:id="rId710" w:history="1">
        <w:r w:rsidRPr="001A3D2B">
          <w:rPr>
            <w:rStyle w:val="a5"/>
          </w:rPr>
          <w:t>2009\Anesthesia64, 984.pdf</w:t>
        </w:r>
      </w:hyperlink>
    </w:p>
    <w:p w:rsidR="00454570" w:rsidRPr="001A3D2B" w:rsidRDefault="00454570" w:rsidP="00454570">
      <w:pPr>
        <w:pStyle w:val="a3"/>
        <w:rPr>
          <w:kern w:val="0"/>
        </w:rPr>
      </w:pPr>
      <w:r w:rsidRPr="001A3D2B">
        <w:rPr>
          <w:kern w:val="0"/>
        </w:rPr>
        <w:t>Abstract: P&gt;The clinical indications for anaesthetic drugs are developed through peer-reviewed publication</w:t>
      </w:r>
      <w:r w:rsidR="00427468">
        <w:rPr>
          <w:kern w:val="0"/>
        </w:rPr>
        <w:t xml:space="preserve"> of </w:t>
      </w:r>
      <w:r w:rsidRPr="001A3D2B">
        <w:rPr>
          <w:kern w:val="0"/>
        </w:rPr>
        <w:t>clinical trials. We performed a bibliometric analysis</w:t>
      </w:r>
      <w:r w:rsidR="00427468">
        <w:rPr>
          <w:kern w:val="0"/>
        </w:rPr>
        <w:t xml:space="preserve"> of </w:t>
      </w:r>
      <w:r w:rsidRPr="001A3D2B">
        <w:rPr>
          <w:kern w:val="0"/>
        </w:rPr>
        <w:t xml:space="preserve">all human research papers reported in nine general anaesthesia journals over 6 years </w:t>
      </w:r>
      <w:r w:rsidRPr="001A3D2B">
        <w:rPr>
          <w:kern w:val="0"/>
        </w:rPr>
        <w:lastRenderedPageBreak/>
        <w:t>(n = 6489), to determine any effects</w:t>
      </w:r>
      <w:r w:rsidR="00427468">
        <w:rPr>
          <w:kern w:val="0"/>
        </w:rPr>
        <w:t xml:space="preserve"> of </w:t>
      </w:r>
      <w:r w:rsidR="003A1917">
        <w:rPr>
          <w:kern w:val="0"/>
        </w:rPr>
        <w:t xml:space="preserve">the </w:t>
      </w:r>
      <w:r w:rsidRPr="001A3D2B">
        <w:rPr>
          <w:kern w:val="0"/>
        </w:rPr>
        <w:t>2004 European Clinical Trials Directive on reported drug research in anaesthesia originating from Europe</w:t>
      </w:r>
      <w:r w:rsidR="005853A9">
        <w:rPr>
          <w:kern w:val="0"/>
        </w:rPr>
        <w:t xml:space="preserve"> and </w:t>
      </w:r>
      <w:r w:rsidR="003A1917">
        <w:rPr>
          <w:kern w:val="0"/>
        </w:rPr>
        <w:t xml:space="preserve">the </w:t>
      </w:r>
      <w:r w:rsidRPr="001A3D2B">
        <w:rPr>
          <w:kern w:val="0"/>
        </w:rPr>
        <w:t>United Kingdom. We found 89% studies involved patients</w:t>
      </w:r>
      <w:r w:rsidR="005853A9">
        <w:rPr>
          <w:kern w:val="0"/>
        </w:rPr>
        <w:t xml:space="preserve"> and </w:t>
      </w:r>
      <w:r w:rsidRPr="001A3D2B">
        <w:rPr>
          <w:kern w:val="0"/>
        </w:rPr>
        <w:t>11% volunteers.</w:t>
      </w:r>
      <w:r w:rsidR="00427468">
        <w:rPr>
          <w:kern w:val="0"/>
        </w:rPr>
        <w:t xml:space="preserve"> of </w:t>
      </w:r>
      <w:r w:rsidRPr="001A3D2B">
        <w:rPr>
          <w:kern w:val="0"/>
        </w:rPr>
        <w:t>3234 (50%) drug studies, 96% were phase IV (post-marketing) trials. Worldwide,</w:t>
      </w:r>
      <w:r w:rsidR="003A1917">
        <w:rPr>
          <w:kern w:val="0"/>
        </w:rPr>
        <w:t xml:space="preserve"> the </w:t>
      </w:r>
      <w:r w:rsidRPr="001A3D2B">
        <w:rPr>
          <w:kern w:val="0"/>
        </w:rPr>
        <w:t>number</w:t>
      </w:r>
      <w:r w:rsidR="00427468">
        <w:rPr>
          <w:kern w:val="0"/>
        </w:rPr>
        <w:t xml:space="preserve"> of </w:t>
      </w:r>
      <w:r w:rsidRPr="001A3D2B">
        <w:rPr>
          <w:kern w:val="0"/>
        </w:rPr>
        <w:t>research papers fell by 3.6% (p &lt; 0.004) in</w:t>
      </w:r>
      <w:r w:rsidR="003A1917">
        <w:rPr>
          <w:kern w:val="0"/>
        </w:rPr>
        <w:t xml:space="preserve"> the </w:t>
      </w:r>
      <w:r w:rsidRPr="001A3D2B">
        <w:rPr>
          <w:kern w:val="0"/>
        </w:rPr>
        <w:t>3 years following introduction</w:t>
      </w:r>
      <w:r w:rsidR="00427468">
        <w:rPr>
          <w:kern w:val="0"/>
        </w:rPr>
        <w:t xml:space="preserve"> of </w:t>
      </w:r>
      <w:r w:rsidR="003A1917">
        <w:rPr>
          <w:kern w:val="0"/>
        </w:rPr>
        <w:t xml:space="preserve">the </w:t>
      </w:r>
      <w:r w:rsidRPr="001A3D2B">
        <w:rPr>
          <w:kern w:val="0"/>
        </w:rPr>
        <w:t>European Clinical Trials Directive (5% Europe, 18% United Kingdom),</w:t>
      </w:r>
      <w:r w:rsidR="005853A9">
        <w:rPr>
          <w:kern w:val="0"/>
        </w:rPr>
        <w:t xml:space="preserve"> and </w:t>
      </w:r>
      <w:r w:rsidRPr="001A3D2B">
        <w:rPr>
          <w:kern w:val="0"/>
        </w:rPr>
        <w:t>drug research papers fell by 12% (p &lt; 0.001; 15% Europe, 29% United Kingdom)</w:t>
      </w:r>
      <w:r w:rsidR="00A37C1D">
        <w:rPr>
          <w:kern w:val="0"/>
        </w:rPr>
        <w:t>. The</w:t>
      </w:r>
      <w:r w:rsidR="003A1917">
        <w:rPr>
          <w:kern w:val="0"/>
        </w:rPr>
        <w:t xml:space="preserve"> </w:t>
      </w:r>
      <w:r w:rsidRPr="001A3D2B">
        <w:rPr>
          <w:kern w:val="0"/>
        </w:rPr>
        <w:t>introduction</w:t>
      </w:r>
      <w:r w:rsidR="00427468">
        <w:rPr>
          <w:kern w:val="0"/>
        </w:rPr>
        <w:t xml:space="preserve"> of </w:t>
      </w:r>
      <w:r w:rsidR="003A1917">
        <w:rPr>
          <w:kern w:val="0"/>
        </w:rPr>
        <w:t xml:space="preserve">the </w:t>
      </w:r>
      <w:r w:rsidRPr="001A3D2B">
        <w:rPr>
          <w:kern w:val="0"/>
        </w:rPr>
        <w:t>Clinical Trials Directive has therefore coincided with a decline in European drug research, particularly that originating from</w:t>
      </w:r>
      <w:r w:rsidR="003A1917">
        <w:rPr>
          <w:kern w:val="0"/>
        </w:rPr>
        <w:t xml:space="preserve"> the </w:t>
      </w:r>
      <w:r w:rsidRPr="001A3D2B">
        <w:rPr>
          <w:kern w:val="0"/>
        </w:rPr>
        <w:t>United Kingdom. We suggest a number</w:t>
      </w:r>
      <w:r w:rsidR="00427468">
        <w:rPr>
          <w:kern w:val="0"/>
        </w:rPr>
        <w:t xml:space="preserve"> of </w:t>
      </w:r>
      <w:r w:rsidRPr="001A3D2B">
        <w:rPr>
          <w:kern w:val="0"/>
        </w:rPr>
        <w:t>measures researchers could take in response,</w:t>
      </w:r>
      <w:r w:rsidR="005853A9">
        <w:rPr>
          <w:kern w:val="0"/>
        </w:rPr>
        <w:t xml:space="preserve"> and </w:t>
      </w:r>
      <w:r w:rsidRPr="001A3D2B">
        <w:rPr>
          <w:kern w:val="0"/>
        </w:rPr>
        <w:t>we propose a simplification</w:t>
      </w:r>
      <w:r w:rsidR="00427468">
        <w:rPr>
          <w:kern w:val="0"/>
        </w:rPr>
        <w:t xml:space="preserve"> of </w:t>
      </w:r>
      <w:r w:rsidR="003A1917">
        <w:rPr>
          <w:kern w:val="0"/>
        </w:rPr>
        <w:t xml:space="preserve">the </w:t>
      </w:r>
      <w:r w:rsidRPr="001A3D2B">
        <w:rPr>
          <w:kern w:val="0"/>
        </w:rPr>
        <w:t>application process for phase IV clinical trials, emphasising patient risk assessment.</w:t>
      </w:r>
    </w:p>
    <w:p w:rsidR="00454570" w:rsidRPr="001A3D2B" w:rsidRDefault="00454570" w:rsidP="00454570">
      <w:pPr>
        <w:pStyle w:val="a3"/>
        <w:rPr>
          <w:kern w:val="0"/>
        </w:rPr>
      </w:pPr>
      <w:r w:rsidRPr="001A3D2B">
        <w:rPr>
          <w:kern w:val="0"/>
        </w:rPr>
        <w:t>Keywords: Bibliometric Analysis, Cancer, Conduct, Future, Impact, Long, Medical-Journal-Editors, Publications, Registration, Research</w:t>
      </w:r>
      <w:r w:rsidR="00D5664A">
        <w:rPr>
          <w:kern w:val="0"/>
        </w:rPr>
        <w:t>, UK,</w:t>
      </w:r>
      <w:r w:rsidRPr="001A3D2B">
        <w:rPr>
          <w:kern w:val="0"/>
        </w:rPr>
        <w:t xml:space="preserve"> United-Kingdom</w:t>
      </w:r>
    </w:p>
    <w:p w:rsidR="0050689D" w:rsidRDefault="0050689D" w:rsidP="0050689D">
      <w:pPr>
        <w:pStyle w:val="a3"/>
        <w:rPr>
          <w:kern w:val="0"/>
        </w:rPr>
      </w:pPr>
      <w:r>
        <w:rPr>
          <w:rFonts w:hint="eastAsia"/>
          <w:kern w:val="0"/>
        </w:rPr>
        <w:t xml:space="preserve">? </w:t>
      </w:r>
      <w:r>
        <w:rPr>
          <w:kern w:val="0"/>
        </w:rPr>
        <w:t>Bould, M.D., Boet, S., Riem, N., Kasanda, C., Sossou, A.</w:t>
      </w:r>
      <w:r w:rsidR="005853A9">
        <w:rPr>
          <w:kern w:val="0"/>
        </w:rPr>
        <w:t xml:space="preserve"> and </w:t>
      </w:r>
      <w:r>
        <w:rPr>
          <w:kern w:val="0"/>
        </w:rPr>
        <w:t>Bruppacher, H.R. (2010), National representation in</w:t>
      </w:r>
      <w:r w:rsidR="003A1917">
        <w:rPr>
          <w:kern w:val="0"/>
        </w:rPr>
        <w:t xml:space="preserve"> the </w:t>
      </w:r>
      <w:r>
        <w:rPr>
          <w:kern w:val="0"/>
        </w:rPr>
        <w:t>anaesthesia literature: A bibliometric analysis</w:t>
      </w:r>
      <w:r w:rsidR="00427468">
        <w:rPr>
          <w:kern w:val="0"/>
        </w:rPr>
        <w:t xml:space="preserve"> of </w:t>
      </w:r>
      <w:r>
        <w:rPr>
          <w:kern w:val="0"/>
        </w:rPr>
        <w:t xml:space="preserve">highly cited </w:t>
      </w:r>
      <w:r>
        <w:rPr>
          <w:i/>
          <w:iCs/>
          <w:kern w:val="0"/>
        </w:rPr>
        <w:t>Anaesthesia</w:t>
      </w:r>
      <w:r>
        <w:rPr>
          <w:kern w:val="0"/>
        </w:rPr>
        <w:t xml:space="preserve"> journals. </w:t>
      </w:r>
      <w:r>
        <w:rPr>
          <w:i/>
          <w:iCs/>
          <w:kern w:val="0"/>
        </w:rPr>
        <w:t>Anaesthesia</w:t>
      </w:r>
      <w:r>
        <w:rPr>
          <w:kern w:val="0"/>
        </w:rPr>
        <w:t xml:space="preserve">, </w:t>
      </w:r>
      <w:r>
        <w:rPr>
          <w:b/>
          <w:bCs/>
          <w:kern w:val="0"/>
        </w:rPr>
        <w:t>65</w:t>
      </w:r>
      <w:r>
        <w:rPr>
          <w:kern w:val="0"/>
        </w:rPr>
        <w:t xml:space="preserve"> (8), 799-804.</w:t>
      </w:r>
    </w:p>
    <w:p w:rsidR="0050689D" w:rsidRPr="001A3D2B" w:rsidRDefault="0050689D" w:rsidP="0050689D">
      <w:pPr>
        <w:pStyle w:val="a3"/>
      </w:pPr>
      <w:r w:rsidRPr="001A3D2B">
        <w:t xml:space="preserve">Full Text: </w:t>
      </w:r>
      <w:hyperlink r:id="rId711" w:history="1">
        <w:r w:rsidRPr="0050689D">
          <w:rPr>
            <w:rStyle w:val="a5"/>
          </w:rPr>
          <w:t>2010\Anesthesia65, 799.pdf</w:t>
        </w:r>
      </w:hyperlink>
    </w:p>
    <w:p w:rsidR="0050689D" w:rsidRDefault="00944506" w:rsidP="0050689D">
      <w:pPr>
        <w:pStyle w:val="a3"/>
        <w:rPr>
          <w:kern w:val="0"/>
        </w:rPr>
      </w:pPr>
      <w:r>
        <w:rPr>
          <w:kern w:val="0"/>
        </w:rPr>
        <w:t xml:space="preserve">Abstract: </w:t>
      </w:r>
      <w:r w:rsidR="0050689D">
        <w:rPr>
          <w:kern w:val="0"/>
        </w:rPr>
        <w:t>While previous studies have investigated</w:t>
      </w:r>
      <w:r w:rsidR="003A1917">
        <w:rPr>
          <w:kern w:val="0"/>
        </w:rPr>
        <w:t xml:space="preserve"> the </w:t>
      </w:r>
      <w:r w:rsidR="0050689D">
        <w:rPr>
          <w:kern w:val="0"/>
        </w:rPr>
        <w:t>country</w:t>
      </w:r>
      <w:r w:rsidR="00427468">
        <w:rPr>
          <w:kern w:val="0"/>
        </w:rPr>
        <w:t xml:space="preserve"> of </w:t>
      </w:r>
      <w:r w:rsidR="0050689D">
        <w:rPr>
          <w:kern w:val="0"/>
        </w:rPr>
        <w:t>origin</w:t>
      </w:r>
      <w:r w:rsidR="00427468">
        <w:rPr>
          <w:kern w:val="0"/>
        </w:rPr>
        <w:t xml:space="preserve"> of </w:t>
      </w:r>
      <w:r w:rsidR="0050689D">
        <w:rPr>
          <w:kern w:val="0"/>
        </w:rPr>
        <w:t xml:space="preserve">anaesthetic publications, they have generally used a </w:t>
      </w:r>
      <w:r w:rsidR="00D5664A">
        <w:rPr>
          <w:kern w:val="0"/>
        </w:rPr>
        <w:t>MEDLINE</w:t>
      </w:r>
      <w:r w:rsidR="0050689D">
        <w:rPr>
          <w:kern w:val="0"/>
        </w:rPr>
        <w:t xml:space="preserve"> computer search to identify original articles</w:t>
      </w:r>
      <w:r w:rsidR="005853A9">
        <w:rPr>
          <w:kern w:val="0"/>
        </w:rPr>
        <w:t xml:space="preserve"> and </w:t>
      </w:r>
      <w:r w:rsidR="0050689D">
        <w:rPr>
          <w:kern w:val="0"/>
        </w:rPr>
        <w:t>have often excluded non-English language articles. We undertook a hand-search</w:t>
      </w:r>
      <w:r w:rsidR="00427468">
        <w:rPr>
          <w:kern w:val="0"/>
        </w:rPr>
        <w:t xml:space="preserve"> of </w:t>
      </w:r>
      <w:r w:rsidR="0050689D">
        <w:rPr>
          <w:kern w:val="0"/>
        </w:rPr>
        <w:t>journals in</w:t>
      </w:r>
      <w:r w:rsidR="003A1917">
        <w:rPr>
          <w:kern w:val="0"/>
        </w:rPr>
        <w:t xml:space="preserve"> the </w:t>
      </w:r>
      <w:r w:rsidR="0050689D">
        <w:rPr>
          <w:kern w:val="0"/>
        </w:rPr>
        <w:t>Journal Citation Reports (R) using</w:t>
      </w:r>
      <w:r w:rsidR="003A1917">
        <w:rPr>
          <w:kern w:val="0"/>
        </w:rPr>
        <w:t xml:space="preserve"> the </w:t>
      </w:r>
      <w:r w:rsidR="0050689D">
        <w:rPr>
          <w:kern w:val="0"/>
        </w:rPr>
        <w:t>subject category</w:t>
      </w:r>
      <w:r w:rsidR="00427468">
        <w:rPr>
          <w:kern w:val="0"/>
        </w:rPr>
        <w:t xml:space="preserve"> of </w:t>
      </w:r>
      <w:r w:rsidR="0050689D">
        <w:rPr>
          <w:kern w:val="0"/>
        </w:rPr>
        <w:t>Anesthesiology. We quantified</w:t>
      </w:r>
      <w:r w:rsidR="003A1917">
        <w:rPr>
          <w:kern w:val="0"/>
        </w:rPr>
        <w:t xml:space="preserve"> the </w:t>
      </w:r>
      <w:r w:rsidR="0050689D">
        <w:rPr>
          <w:kern w:val="0"/>
        </w:rPr>
        <w:t>number</w:t>
      </w:r>
      <w:r w:rsidR="00427468">
        <w:rPr>
          <w:kern w:val="0"/>
        </w:rPr>
        <w:t xml:space="preserve"> of </w:t>
      </w:r>
      <w:r w:rsidR="0050689D">
        <w:rPr>
          <w:kern w:val="0"/>
        </w:rPr>
        <w:t>original articles, editorials, review articles, case reports</w:t>
      </w:r>
      <w:r w:rsidR="005853A9">
        <w:rPr>
          <w:kern w:val="0"/>
        </w:rPr>
        <w:t xml:space="preserve"> and </w:t>
      </w:r>
      <w:r w:rsidR="0050689D">
        <w:rPr>
          <w:kern w:val="0"/>
        </w:rPr>
        <w:t>correspondence attributed to each country. We also calculated</w:t>
      </w:r>
      <w:r w:rsidR="003A1917">
        <w:rPr>
          <w:kern w:val="0"/>
        </w:rPr>
        <w:t xml:space="preserve"> the </w:t>
      </w:r>
      <w:r w:rsidR="0050689D">
        <w:rPr>
          <w:kern w:val="0"/>
        </w:rPr>
        <w:t>proportion</w:t>
      </w:r>
      <w:r w:rsidR="00427468">
        <w:rPr>
          <w:kern w:val="0"/>
        </w:rPr>
        <w:t xml:space="preserve"> of </w:t>
      </w:r>
      <w:r w:rsidR="0050689D">
        <w:rPr>
          <w:kern w:val="0"/>
        </w:rPr>
        <w:t>articles</w:t>
      </w:r>
      <w:r w:rsidR="00427468">
        <w:rPr>
          <w:kern w:val="0"/>
        </w:rPr>
        <w:t xml:space="preserve"> of </w:t>
      </w:r>
      <w:r w:rsidR="0050689D">
        <w:rPr>
          <w:kern w:val="0"/>
        </w:rPr>
        <w:t>each type from countries</w:t>
      </w:r>
      <w:r w:rsidR="00427468">
        <w:rPr>
          <w:kern w:val="0"/>
        </w:rPr>
        <w:t xml:space="preserve"> of </w:t>
      </w:r>
      <w:r w:rsidR="0050689D">
        <w:rPr>
          <w:kern w:val="0"/>
        </w:rPr>
        <w:t>each national income category. We analysed 9684 articles published in 2007</w:t>
      </w:r>
      <w:r w:rsidR="005853A9">
        <w:rPr>
          <w:kern w:val="0"/>
        </w:rPr>
        <w:t xml:space="preserve"> and </w:t>
      </w:r>
      <w:r w:rsidR="0050689D">
        <w:rPr>
          <w:kern w:val="0"/>
        </w:rPr>
        <w:t>2008</w:t>
      </w:r>
      <w:r w:rsidR="00A37C1D">
        <w:rPr>
          <w:kern w:val="0"/>
        </w:rPr>
        <w:t>. The</w:t>
      </w:r>
      <w:r w:rsidR="003A1917">
        <w:rPr>
          <w:kern w:val="0"/>
        </w:rPr>
        <w:t xml:space="preserve"> </w:t>
      </w:r>
      <w:r w:rsidR="0050689D">
        <w:rPr>
          <w:kern w:val="0"/>
        </w:rPr>
        <w:t>United States published more original articles than any other country. High-income countries published 89.2%</w:t>
      </w:r>
      <w:r w:rsidR="00427468">
        <w:rPr>
          <w:kern w:val="0"/>
        </w:rPr>
        <w:t xml:space="preserve"> of </w:t>
      </w:r>
      <w:r w:rsidR="0050689D">
        <w:rPr>
          <w:kern w:val="0"/>
        </w:rPr>
        <w:t>original articles, middle-income countries 10.5%,</w:t>
      </w:r>
      <w:r w:rsidR="005853A9">
        <w:rPr>
          <w:kern w:val="0"/>
        </w:rPr>
        <w:t xml:space="preserve"> and </w:t>
      </w:r>
      <w:r w:rsidR="0050689D">
        <w:rPr>
          <w:kern w:val="0"/>
        </w:rPr>
        <w:t>low-income countries just 0.3%</w:t>
      </w:r>
      <w:r w:rsidR="00A37C1D">
        <w:rPr>
          <w:kern w:val="0"/>
        </w:rPr>
        <w:t>. The</w:t>
      </w:r>
      <w:r w:rsidR="0050689D">
        <w:rPr>
          <w:kern w:val="0"/>
        </w:rPr>
        <w:t>re were more articles published by middle-income countries during</w:t>
      </w:r>
      <w:r w:rsidR="003A1917">
        <w:rPr>
          <w:kern w:val="0"/>
        </w:rPr>
        <w:t xml:space="preserve"> the </w:t>
      </w:r>
      <w:r w:rsidR="0050689D">
        <w:rPr>
          <w:kern w:val="0"/>
        </w:rPr>
        <w:t>study period than a decade earlier, notably from Turkey, China</w:t>
      </w:r>
      <w:r w:rsidR="005853A9">
        <w:rPr>
          <w:kern w:val="0"/>
        </w:rPr>
        <w:t xml:space="preserve"> and </w:t>
      </w:r>
      <w:r w:rsidR="0050689D">
        <w:rPr>
          <w:kern w:val="0"/>
        </w:rPr>
        <w:t>India. We discuss barriers to publications from low-income countries.</w:t>
      </w:r>
    </w:p>
    <w:p w:rsidR="0050689D" w:rsidRDefault="0050689D" w:rsidP="0050689D">
      <w:pPr>
        <w:pStyle w:val="a3"/>
        <w:rPr>
          <w:kern w:val="0"/>
        </w:rPr>
      </w:pPr>
      <w:r>
        <w:rPr>
          <w:kern w:val="0"/>
        </w:rPr>
        <w:t>Keywords: Bias, Departments, Developing-Countries, India, Publications</w:t>
      </w:r>
    </w:p>
    <w:p w:rsidR="007E68F3" w:rsidRDefault="007E68F3" w:rsidP="007E68F3">
      <w:pPr>
        <w:pStyle w:val="a3"/>
        <w:rPr>
          <w:kern w:val="0"/>
        </w:rPr>
      </w:pPr>
      <w:r>
        <w:rPr>
          <w:rFonts w:hint="eastAsia"/>
          <w:kern w:val="0"/>
        </w:rPr>
        <w:t xml:space="preserve">? </w:t>
      </w:r>
      <w:r>
        <w:rPr>
          <w:kern w:val="0"/>
        </w:rPr>
        <w:t xml:space="preserve">White, S.M. (2011), Self-plagiarism. </w:t>
      </w:r>
      <w:r>
        <w:rPr>
          <w:i/>
          <w:iCs/>
          <w:kern w:val="0"/>
        </w:rPr>
        <w:t>Anaesthesia</w:t>
      </w:r>
      <w:r>
        <w:rPr>
          <w:kern w:val="0"/>
        </w:rPr>
        <w:t xml:space="preserve">, </w:t>
      </w:r>
      <w:r>
        <w:rPr>
          <w:b/>
          <w:bCs/>
          <w:kern w:val="0"/>
        </w:rPr>
        <w:t>66</w:t>
      </w:r>
      <w:r>
        <w:rPr>
          <w:kern w:val="0"/>
        </w:rPr>
        <w:t xml:space="preserve"> (3), 220-221</w:t>
      </w:r>
      <w:r w:rsidR="00E11B22">
        <w:rPr>
          <w:rFonts w:hint="eastAsia"/>
          <w:kern w:val="0"/>
        </w:rPr>
        <w:t>.</w:t>
      </w:r>
    </w:p>
    <w:p w:rsidR="007E68F3" w:rsidRPr="001A3D2B" w:rsidRDefault="007E68F3" w:rsidP="007E68F3">
      <w:pPr>
        <w:pStyle w:val="a3"/>
      </w:pPr>
      <w:r w:rsidRPr="001A3D2B">
        <w:t xml:space="preserve">Full Text: </w:t>
      </w:r>
      <w:hyperlink r:id="rId712" w:history="1">
        <w:r w:rsidRPr="007E68F3">
          <w:rPr>
            <w:rStyle w:val="a5"/>
          </w:rPr>
          <w:t>2011\Anesthesia66, 220.pdf</w:t>
        </w:r>
      </w:hyperlink>
    </w:p>
    <w:p w:rsidR="007E68F3" w:rsidRDefault="007E68F3" w:rsidP="007E68F3">
      <w:pPr>
        <w:pStyle w:val="a3"/>
        <w:rPr>
          <w:kern w:val="0"/>
        </w:rPr>
      </w:pPr>
      <w:r>
        <w:rPr>
          <w:kern w:val="0"/>
        </w:rPr>
        <w:t>Keywords: Anesthesia, Consent, Ethics</w:t>
      </w:r>
    </w:p>
    <w:p w:rsidR="00E11B22" w:rsidRDefault="00E11B22" w:rsidP="00E11B22">
      <w:pPr>
        <w:pStyle w:val="a3"/>
        <w:rPr>
          <w:kern w:val="0"/>
        </w:rPr>
      </w:pPr>
      <w:r>
        <w:rPr>
          <w:rFonts w:hint="eastAsia"/>
          <w:kern w:val="0"/>
        </w:rPr>
        <w:t xml:space="preserve">? </w:t>
      </w:r>
      <w:r>
        <w:rPr>
          <w:kern w:val="0"/>
        </w:rPr>
        <w:t>Pagel, P.S.</w:t>
      </w:r>
      <w:r w:rsidR="005853A9">
        <w:rPr>
          <w:kern w:val="0"/>
        </w:rPr>
        <w:t xml:space="preserve"> and </w:t>
      </w:r>
      <w:r>
        <w:rPr>
          <w:kern w:val="0"/>
        </w:rPr>
        <w:t>Hudetz, J.A. (2011), An analysis</w:t>
      </w:r>
      <w:r w:rsidR="00427468">
        <w:rPr>
          <w:kern w:val="0"/>
        </w:rPr>
        <w:t xml:space="preserve"> of </w:t>
      </w:r>
      <w:r>
        <w:rPr>
          <w:kern w:val="0"/>
        </w:rPr>
        <w:t xml:space="preserve">scholarly productivity in United States academic anaesthesiologists by citation bibliometrics. </w:t>
      </w:r>
      <w:r>
        <w:rPr>
          <w:i/>
          <w:iCs/>
          <w:kern w:val="0"/>
        </w:rPr>
        <w:t>Anaesthesia</w:t>
      </w:r>
      <w:r>
        <w:rPr>
          <w:kern w:val="0"/>
        </w:rPr>
        <w:t xml:space="preserve">, </w:t>
      </w:r>
      <w:r>
        <w:rPr>
          <w:b/>
          <w:bCs/>
          <w:kern w:val="0"/>
        </w:rPr>
        <w:t>66</w:t>
      </w:r>
      <w:r>
        <w:rPr>
          <w:kern w:val="0"/>
        </w:rPr>
        <w:t xml:space="preserve"> (10), 873-878.</w:t>
      </w:r>
    </w:p>
    <w:p w:rsidR="00E11B22" w:rsidRPr="001A3D2B" w:rsidRDefault="00E11B22" w:rsidP="00E11B22">
      <w:pPr>
        <w:pStyle w:val="a3"/>
      </w:pPr>
      <w:r w:rsidRPr="001A3D2B">
        <w:lastRenderedPageBreak/>
        <w:t xml:space="preserve">Full Text: </w:t>
      </w:r>
      <w:hyperlink r:id="rId713" w:history="1">
        <w:r w:rsidRPr="00CD67EB">
          <w:rPr>
            <w:rStyle w:val="a5"/>
          </w:rPr>
          <w:t>2011\Anesthesia66, 873.pdf</w:t>
        </w:r>
      </w:hyperlink>
    </w:p>
    <w:p w:rsidR="00E11B22" w:rsidRDefault="00E11B22" w:rsidP="00E11B22">
      <w:pPr>
        <w:pStyle w:val="a3"/>
        <w:rPr>
          <w:kern w:val="0"/>
        </w:rPr>
      </w:pPr>
      <w:r>
        <w:rPr>
          <w:kern w:val="0"/>
        </w:rPr>
        <w:t>Abstract:</w:t>
      </w:r>
      <w:r w:rsidR="003A1917">
        <w:rPr>
          <w:kern w:val="0"/>
        </w:rPr>
        <w:t xml:space="preserve"> the </w:t>
      </w:r>
      <w:r w:rsidR="00D5664A">
        <w:rPr>
          <w:kern w:val="0"/>
        </w:rPr>
        <w:t>h-Index</w:t>
      </w:r>
      <w:r>
        <w:rPr>
          <w:kern w:val="0"/>
        </w:rPr>
        <w:t xml:space="preserve"> is used to evaluate scholarly productivity in academic medicine, but has not been extensively used in anaesthesia. We analysed</w:t>
      </w:r>
      <w:r w:rsidR="003A1917">
        <w:rPr>
          <w:kern w:val="0"/>
        </w:rPr>
        <w:t xml:space="preserve"> the </w:t>
      </w:r>
      <w:r>
        <w:rPr>
          <w:kern w:val="0"/>
        </w:rPr>
        <w:t>publications, citations, citations per publication</w:t>
      </w:r>
      <w:r w:rsidR="005853A9">
        <w:rPr>
          <w:kern w:val="0"/>
        </w:rPr>
        <w:t xml:space="preserve"> and </w:t>
      </w:r>
      <w:r w:rsidR="00D5664A">
        <w:rPr>
          <w:kern w:val="0"/>
        </w:rPr>
        <w:t>h-Index</w:t>
      </w:r>
      <w:r>
        <w:rPr>
          <w:kern w:val="0"/>
        </w:rPr>
        <w:t xml:space="preserve"> from 1996 to date using</w:t>
      </w:r>
      <w:r w:rsidR="003A1917">
        <w:rPr>
          <w:kern w:val="0"/>
        </w:rPr>
        <w:t xml:space="preserve"> the </w:t>
      </w:r>
      <w:r>
        <w:rPr>
          <w:kern w:val="0"/>
        </w:rPr>
        <w:t>Scopus (R) database for 1630 (1120 men, 510 women) for faculty members from 24 randomly selected US academic anaesthesiology departments</w:t>
      </w:r>
      <w:r w:rsidR="003A1917">
        <w:rPr>
          <w:kern w:val="0"/>
        </w:rPr>
        <w:t xml:space="preserve"> the </w:t>
      </w:r>
      <w:r>
        <w:rPr>
          <w:kern w:val="0"/>
        </w:rPr>
        <w:t xml:space="preserve">median (interquartile range [range]) </w:t>
      </w:r>
      <w:r w:rsidR="00D5664A">
        <w:rPr>
          <w:kern w:val="0"/>
        </w:rPr>
        <w:t>h-Index</w:t>
      </w:r>
      <w:r w:rsidR="00427468">
        <w:rPr>
          <w:kern w:val="0"/>
        </w:rPr>
        <w:t xml:space="preserve"> of </w:t>
      </w:r>
      <w:r>
        <w:rPr>
          <w:kern w:val="0"/>
        </w:rPr>
        <w:t>US academic anaesthesiologists was 1 [0-5 (0-44)] with 3 [0-18 (0-398)] total publications, 24 [0-187 (0-8515)] total citations,</w:t>
      </w:r>
      <w:r w:rsidR="005853A9">
        <w:rPr>
          <w:kern w:val="0"/>
        </w:rPr>
        <w:t xml:space="preserve"> and </w:t>
      </w:r>
      <w:r>
        <w:rPr>
          <w:kern w:val="0"/>
        </w:rPr>
        <w:t>5 [0-14 (0-252)] citations per publication. Faculty members in departments with National Institutes</w:t>
      </w:r>
      <w:r w:rsidR="00427468">
        <w:rPr>
          <w:kern w:val="0"/>
        </w:rPr>
        <w:t xml:space="preserve"> of </w:t>
      </w:r>
      <w:r>
        <w:rPr>
          <w:kern w:val="0"/>
        </w:rPr>
        <w:t>Health funding were more productive than colleagues in departments with little or no government funding</w:t>
      </w:r>
      <w:r w:rsidR="00A37C1D">
        <w:rPr>
          <w:kern w:val="0"/>
        </w:rPr>
        <w:t>. The</w:t>
      </w:r>
      <w:r w:rsidR="003A1917">
        <w:rPr>
          <w:kern w:val="0"/>
        </w:rPr>
        <w:t xml:space="preserve"> </w:t>
      </w:r>
      <w:r w:rsidR="00D5664A">
        <w:rPr>
          <w:kern w:val="0"/>
        </w:rPr>
        <w:t>h-Index</w:t>
      </w:r>
      <w:r>
        <w:rPr>
          <w:kern w:val="0"/>
        </w:rPr>
        <w:t xml:space="preserve"> increased significantly between successive academic ranks concomitant with increases in</w:t>
      </w:r>
      <w:r w:rsidR="003A1917">
        <w:rPr>
          <w:kern w:val="0"/>
        </w:rPr>
        <w:t xml:space="preserve"> the </w:t>
      </w:r>
      <w:r>
        <w:rPr>
          <w:kern w:val="0"/>
        </w:rPr>
        <w:t>number</w:t>
      </w:r>
      <w:r w:rsidR="00427468">
        <w:rPr>
          <w:kern w:val="0"/>
        </w:rPr>
        <w:t xml:space="preserve"> of </w:t>
      </w:r>
      <w:r>
        <w:rPr>
          <w:kern w:val="0"/>
        </w:rPr>
        <w:t>publications</w:t>
      </w:r>
      <w:r w:rsidR="005853A9">
        <w:rPr>
          <w:kern w:val="0"/>
        </w:rPr>
        <w:t xml:space="preserve"> and </w:t>
      </w:r>
      <w:r>
        <w:rPr>
          <w:kern w:val="0"/>
        </w:rPr>
        <w:t xml:space="preserve">total citations. Men had higher median </w:t>
      </w:r>
      <w:r w:rsidR="00D5664A">
        <w:rPr>
          <w:kern w:val="0"/>
        </w:rPr>
        <w:t>h-Index</w:t>
      </w:r>
      <w:r>
        <w:rPr>
          <w:kern w:val="0"/>
        </w:rPr>
        <w:t xml:space="preserve"> than women concomitant with more publications</w:t>
      </w:r>
      <w:r w:rsidR="005853A9">
        <w:rPr>
          <w:kern w:val="0"/>
        </w:rPr>
        <w:t xml:space="preserve"> and </w:t>
      </w:r>
      <w:r>
        <w:rPr>
          <w:kern w:val="0"/>
        </w:rPr>
        <w:t>citations, but</w:t>
      </w:r>
      <w:r w:rsidR="003A1917">
        <w:rPr>
          <w:kern w:val="0"/>
        </w:rPr>
        <w:t xml:space="preserve"> the </w:t>
      </w:r>
      <w:r>
        <w:rPr>
          <w:kern w:val="0"/>
        </w:rPr>
        <w:t>number</w:t>
      </w:r>
      <w:r w:rsidR="00427468">
        <w:rPr>
          <w:kern w:val="0"/>
        </w:rPr>
        <w:t xml:space="preserve"> of </w:t>
      </w:r>
      <w:r>
        <w:rPr>
          <w:kern w:val="0"/>
        </w:rPr>
        <w:t xml:space="preserve">citations per publication was similar between groups. Our results suggest that </w:t>
      </w:r>
      <w:r w:rsidR="00D5664A">
        <w:rPr>
          <w:kern w:val="0"/>
        </w:rPr>
        <w:t>h-Index</w:t>
      </w:r>
      <w:r>
        <w:rPr>
          <w:kern w:val="0"/>
        </w:rPr>
        <w:t xml:space="preserve"> is a reasonable indicator</w:t>
      </w:r>
      <w:r w:rsidR="00427468">
        <w:rPr>
          <w:kern w:val="0"/>
        </w:rPr>
        <w:t xml:space="preserve"> of </w:t>
      </w:r>
      <w:r>
        <w:rPr>
          <w:kern w:val="0"/>
        </w:rPr>
        <w:t>scholarly productivity in anaesthesia</w:t>
      </w:r>
      <w:r w:rsidR="00A37C1D">
        <w:rPr>
          <w:kern w:val="0"/>
        </w:rPr>
        <w:t>. The</w:t>
      </w:r>
      <w:r w:rsidR="003A1917">
        <w:rPr>
          <w:kern w:val="0"/>
        </w:rPr>
        <w:t xml:space="preserve"> </w:t>
      </w:r>
      <w:r>
        <w:rPr>
          <w:kern w:val="0"/>
        </w:rPr>
        <w:t>results may help comparisons</w:t>
      </w:r>
      <w:r w:rsidR="00427468">
        <w:rPr>
          <w:kern w:val="0"/>
        </w:rPr>
        <w:t xml:space="preserve"> of </w:t>
      </w:r>
      <w:r>
        <w:rPr>
          <w:kern w:val="0"/>
        </w:rPr>
        <w:t>academic productivity across countries</w:t>
      </w:r>
      <w:r w:rsidR="005853A9">
        <w:rPr>
          <w:kern w:val="0"/>
        </w:rPr>
        <w:t xml:space="preserve"> and </w:t>
      </w:r>
      <w:r>
        <w:rPr>
          <w:kern w:val="0"/>
        </w:rPr>
        <w:t>may be used to assess whether new initiatives designed to reverse recent declines in academic anaesthetic are working.</w:t>
      </w:r>
    </w:p>
    <w:p w:rsidR="00E11B22" w:rsidRDefault="00E11B22" w:rsidP="00E11B22">
      <w:pPr>
        <w:pStyle w:val="a3"/>
        <w:rPr>
          <w:kern w:val="0"/>
        </w:rPr>
      </w:pPr>
      <w:r>
        <w:rPr>
          <w:kern w:val="0"/>
        </w:rPr>
        <w:t xml:space="preserve">Keywords: Anaesthesia, Anaesthesiology, Analysis, Bibliometrics, Citation, Citations, Faculty, Funding, </w:t>
      </w:r>
      <w:r w:rsidR="00D5664A">
        <w:rPr>
          <w:rFonts w:hint="eastAsia"/>
          <w:kern w:val="0"/>
        </w:rPr>
        <w:t>h Index</w:t>
      </w:r>
      <w:r>
        <w:rPr>
          <w:kern w:val="0"/>
        </w:rPr>
        <w:t xml:space="preserve">, </w:t>
      </w:r>
      <w:r w:rsidR="00D5664A">
        <w:rPr>
          <w:rFonts w:hint="eastAsia"/>
          <w:kern w:val="0"/>
        </w:rPr>
        <w:t>h-Index</w:t>
      </w:r>
      <w:r>
        <w:rPr>
          <w:kern w:val="0"/>
        </w:rPr>
        <w:t>, Health, Impact, Journals, Kingdom, Medicine, Men, Physician Scientists, Productivity, Publication, Publications, Radiology, Scopus, Time, US, Women</w:t>
      </w:r>
    </w:p>
    <w:p w:rsidR="008F5025" w:rsidRDefault="008F5025" w:rsidP="008F5025">
      <w:pPr>
        <w:pStyle w:val="a3"/>
        <w:rPr>
          <w:kern w:val="0"/>
        </w:rPr>
      </w:pPr>
      <w:r>
        <w:rPr>
          <w:rFonts w:hint="eastAsia"/>
          <w:kern w:val="0"/>
        </w:rPr>
        <w:t xml:space="preserve">? Moppett, I.K. (2012), Measuring academic productivity. </w:t>
      </w:r>
      <w:r>
        <w:rPr>
          <w:rFonts w:hint="eastAsia"/>
          <w:i/>
          <w:iCs/>
          <w:kern w:val="0"/>
        </w:rPr>
        <w:t>Anaesthesia</w:t>
      </w:r>
      <w:r>
        <w:rPr>
          <w:rFonts w:hint="eastAsia"/>
          <w:kern w:val="0"/>
        </w:rPr>
        <w:t xml:space="preserve">, </w:t>
      </w:r>
      <w:r>
        <w:rPr>
          <w:rFonts w:hint="eastAsia"/>
          <w:b/>
          <w:bCs/>
          <w:kern w:val="0"/>
        </w:rPr>
        <w:t>67</w:t>
      </w:r>
      <w:r>
        <w:rPr>
          <w:rFonts w:hint="eastAsia"/>
          <w:kern w:val="0"/>
        </w:rPr>
        <w:t xml:space="preserve"> (2), 185.</w:t>
      </w:r>
    </w:p>
    <w:p w:rsidR="008F5025" w:rsidRDefault="008F5025" w:rsidP="008F5025">
      <w:pPr>
        <w:pStyle w:val="a3"/>
      </w:pPr>
      <w:r>
        <w:rPr>
          <w:rFonts w:hint="eastAsia"/>
        </w:rPr>
        <w:t xml:space="preserve">Full Text: </w:t>
      </w:r>
      <w:hyperlink r:id="rId714" w:history="1">
        <w:r w:rsidRPr="008F5025">
          <w:rPr>
            <w:rStyle w:val="a5"/>
          </w:rPr>
          <w:t>2012\Anesthesia67, 185.pdf</w:t>
        </w:r>
      </w:hyperlink>
    </w:p>
    <w:p w:rsidR="008F5025" w:rsidRDefault="008F5025" w:rsidP="008F5025">
      <w:pPr>
        <w:pStyle w:val="a3"/>
        <w:ind w:left="0" w:firstLine="0"/>
        <w:rPr>
          <w:kern w:val="0"/>
        </w:rPr>
      </w:pPr>
      <w:r>
        <w:rPr>
          <w:rFonts w:hint="eastAsia"/>
          <w:kern w:val="0"/>
        </w:rPr>
        <w:t>Keywords: Bibliometrics, Productivity</w:t>
      </w:r>
    </w:p>
    <w:p w:rsidR="008F5025" w:rsidRDefault="008F5025" w:rsidP="008F5025">
      <w:pPr>
        <w:pStyle w:val="a3"/>
        <w:rPr>
          <w:kern w:val="0"/>
        </w:rPr>
      </w:pPr>
      <w:r>
        <w:rPr>
          <w:rFonts w:hint="eastAsia"/>
          <w:kern w:val="0"/>
        </w:rPr>
        <w:t>? Ward, D.S.</w:t>
      </w:r>
      <w:r w:rsidR="005853A9">
        <w:rPr>
          <w:rFonts w:hint="eastAsia"/>
          <w:kern w:val="0"/>
        </w:rPr>
        <w:t xml:space="preserve"> and </w:t>
      </w:r>
      <w:r>
        <w:rPr>
          <w:rFonts w:hint="eastAsia"/>
          <w:kern w:val="0"/>
        </w:rPr>
        <w:t>Wu, C.L. (2012), Don</w:t>
      </w:r>
      <w:r w:rsidR="00700038">
        <w:rPr>
          <w:kern w:val="0"/>
        </w:rPr>
        <w:t>’</w:t>
      </w:r>
      <w:r>
        <w:rPr>
          <w:rFonts w:hint="eastAsia"/>
          <w:kern w:val="0"/>
        </w:rPr>
        <w:t xml:space="preserve">t forget mentoring. </w:t>
      </w:r>
      <w:r>
        <w:rPr>
          <w:rFonts w:hint="eastAsia"/>
          <w:i/>
          <w:iCs/>
          <w:kern w:val="0"/>
        </w:rPr>
        <w:t>Anaesthesia</w:t>
      </w:r>
      <w:r>
        <w:rPr>
          <w:rFonts w:hint="eastAsia"/>
          <w:kern w:val="0"/>
        </w:rPr>
        <w:t xml:space="preserve">, </w:t>
      </w:r>
      <w:r>
        <w:rPr>
          <w:rFonts w:hint="eastAsia"/>
          <w:b/>
          <w:bCs/>
          <w:kern w:val="0"/>
        </w:rPr>
        <w:t>67</w:t>
      </w:r>
      <w:r>
        <w:rPr>
          <w:rFonts w:hint="eastAsia"/>
          <w:kern w:val="0"/>
        </w:rPr>
        <w:t xml:space="preserve"> (2), 186-187.</w:t>
      </w:r>
    </w:p>
    <w:p w:rsidR="008F5025" w:rsidRDefault="008F5025" w:rsidP="008F5025">
      <w:pPr>
        <w:pStyle w:val="a3"/>
      </w:pPr>
      <w:r>
        <w:rPr>
          <w:rFonts w:hint="eastAsia"/>
        </w:rPr>
        <w:t xml:space="preserve">Full Text: </w:t>
      </w:r>
      <w:hyperlink r:id="rId715" w:history="1">
        <w:r>
          <w:rPr>
            <w:rStyle w:val="a5"/>
            <w:rFonts w:hint="eastAsia"/>
          </w:rPr>
          <w:t>2012\Anesthesia67, 186.pdf</w:t>
        </w:r>
      </w:hyperlink>
    </w:p>
    <w:p w:rsidR="008F5025" w:rsidRDefault="008F5025" w:rsidP="008F5025">
      <w:pPr>
        <w:pStyle w:val="a3"/>
        <w:rPr>
          <w:kern w:val="0"/>
        </w:rPr>
      </w:pPr>
      <w:r>
        <w:rPr>
          <w:rFonts w:hint="eastAsia"/>
          <w:kern w:val="0"/>
        </w:rPr>
        <w:t>Keywords: Academic Productivity, Bibliometrics, Career Choice, Impact, Medicine, Scholarly Productivity</w:t>
      </w:r>
    </w:p>
    <w:p w:rsidR="00D777D6" w:rsidRDefault="00D777D6" w:rsidP="00D777D6">
      <w:pPr>
        <w:pStyle w:val="a3"/>
        <w:rPr>
          <w:kern w:val="0"/>
        </w:rPr>
      </w:pPr>
      <w:r>
        <w:rPr>
          <w:rFonts w:hint="eastAsia"/>
          <w:kern w:val="0"/>
        </w:rPr>
        <w:t xml:space="preserve">? </w:t>
      </w:r>
      <w:r>
        <w:rPr>
          <w:kern w:val="0"/>
        </w:rPr>
        <w:t>Partridge, J.S.L., Harari, D., Martin, F.C.</w:t>
      </w:r>
      <w:r w:rsidR="005853A9">
        <w:rPr>
          <w:kern w:val="0"/>
        </w:rPr>
        <w:t xml:space="preserve"> and </w:t>
      </w:r>
      <w:r>
        <w:rPr>
          <w:kern w:val="0"/>
        </w:rPr>
        <w:t>Dhesi, J.K. (2014), The impact</w:t>
      </w:r>
      <w:r w:rsidR="00427468">
        <w:rPr>
          <w:kern w:val="0"/>
        </w:rPr>
        <w:t xml:space="preserve"> of </w:t>
      </w:r>
      <w:r>
        <w:rPr>
          <w:kern w:val="0"/>
        </w:rPr>
        <w:t xml:space="preserve">pre-operative comprehensive geriatric assessment on postoperative outcomes in older patients undergoing scheduled surgery: A systematic review. </w:t>
      </w:r>
      <w:r>
        <w:rPr>
          <w:i/>
          <w:iCs/>
          <w:kern w:val="0"/>
        </w:rPr>
        <w:t>Anaesthesia</w:t>
      </w:r>
      <w:r>
        <w:rPr>
          <w:kern w:val="0"/>
        </w:rPr>
        <w:t xml:space="preserve">, </w:t>
      </w:r>
      <w:r>
        <w:rPr>
          <w:b/>
          <w:bCs/>
          <w:kern w:val="0"/>
        </w:rPr>
        <w:t>69</w:t>
      </w:r>
      <w:r>
        <w:rPr>
          <w:kern w:val="0"/>
        </w:rPr>
        <w:t>, 8-16.</w:t>
      </w:r>
    </w:p>
    <w:p w:rsidR="0087245C" w:rsidRDefault="0087245C" w:rsidP="0087245C">
      <w:pPr>
        <w:pStyle w:val="a3"/>
      </w:pPr>
      <w:r>
        <w:t xml:space="preserve">Full Text: </w:t>
      </w:r>
      <w:hyperlink r:id="rId716" w:history="1">
        <w:r w:rsidRPr="00087A1A">
          <w:rPr>
            <w:rStyle w:val="a5"/>
          </w:rPr>
          <w:t>2014\Anesthesia69, 8.pdf</w:t>
        </w:r>
      </w:hyperlink>
    </w:p>
    <w:p w:rsidR="00D777D6" w:rsidRDefault="00D777D6" w:rsidP="00D777D6">
      <w:pPr>
        <w:pStyle w:val="a3"/>
        <w:rPr>
          <w:kern w:val="0"/>
        </w:rPr>
      </w:pPr>
      <w:r>
        <w:rPr>
          <w:kern w:val="0"/>
        </w:rPr>
        <w:t>Abstract: Comprehensive geriatric assessment is an established clinical approach. It reduces mortality</w:t>
      </w:r>
      <w:r w:rsidR="005853A9">
        <w:rPr>
          <w:kern w:val="0"/>
        </w:rPr>
        <w:t xml:space="preserve"> and </w:t>
      </w:r>
      <w:r>
        <w:rPr>
          <w:kern w:val="0"/>
        </w:rPr>
        <w:t>improves the physical wellbeing</w:t>
      </w:r>
      <w:r w:rsidR="00427468">
        <w:rPr>
          <w:kern w:val="0"/>
        </w:rPr>
        <w:t xml:space="preserve"> of </w:t>
      </w:r>
      <w:r>
        <w:rPr>
          <w:kern w:val="0"/>
        </w:rPr>
        <w:t xml:space="preserve">older people in the community or hospitalised for medical reasons. Pre-operative comprehensive geriatric assessment seems a plausible method for reducing adverse postoperative </w:t>
      </w:r>
      <w:r>
        <w:rPr>
          <w:kern w:val="0"/>
        </w:rPr>
        <w:lastRenderedPageBreak/>
        <w:t>outcomes</w:t>
      </w:r>
      <w:r w:rsidR="00A37C1D">
        <w:rPr>
          <w:kern w:val="0"/>
        </w:rPr>
        <w:t>. The</w:t>
      </w:r>
      <w:r>
        <w:rPr>
          <w:kern w:val="0"/>
        </w:rPr>
        <w:t xml:space="preserve"> objectives</w:t>
      </w:r>
      <w:r w:rsidR="00427468">
        <w:rPr>
          <w:kern w:val="0"/>
        </w:rPr>
        <w:t xml:space="preserve"> of </w:t>
      </w:r>
      <w:r>
        <w:rPr>
          <w:kern w:val="0"/>
        </w:rPr>
        <w:t>this systematic review</w:t>
      </w:r>
      <w:r w:rsidR="005853A9">
        <w:rPr>
          <w:kern w:val="0"/>
        </w:rPr>
        <w:t xml:space="preserve"> and </w:t>
      </w:r>
      <w:r>
        <w:rPr>
          <w:kern w:val="0"/>
        </w:rPr>
        <w:t>narrative synthesis are to describe how pre-operative comprehensive geriatric assessment has been used in surgical patients</w:t>
      </w:r>
      <w:r w:rsidR="005853A9">
        <w:rPr>
          <w:kern w:val="0"/>
        </w:rPr>
        <w:t xml:space="preserve"> and </w:t>
      </w:r>
      <w:r>
        <w:rPr>
          <w:kern w:val="0"/>
        </w:rPr>
        <w:t>to examine the impact</w:t>
      </w:r>
      <w:r w:rsidR="00427468">
        <w:rPr>
          <w:kern w:val="0"/>
        </w:rPr>
        <w:t xml:space="preserve"> of </w:t>
      </w:r>
      <w:r>
        <w:rPr>
          <w:kern w:val="0"/>
        </w:rPr>
        <w:t xml:space="preserve">comprehensive geriatric assessment on postoperative outcomes in older patients undergoing scheduled surgery. We searched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1980 to 2013 (week 26). We included five studies: two randomised controlled trials</w:t>
      </w:r>
      <w:r w:rsidR="005853A9">
        <w:rPr>
          <w:kern w:val="0"/>
        </w:rPr>
        <w:t xml:space="preserve"> and </w:t>
      </w:r>
      <w:r>
        <w:rPr>
          <w:kern w:val="0"/>
        </w:rPr>
        <w:t>three before-and-after intervention quasi-experimental studies. Patient populations, interventions</w:t>
      </w:r>
      <w:r w:rsidR="005853A9">
        <w:rPr>
          <w:kern w:val="0"/>
        </w:rPr>
        <w:t xml:space="preserve"> and </w:t>
      </w:r>
      <w:r>
        <w:rPr>
          <w:kern w:val="0"/>
        </w:rPr>
        <w:t>outcome measures varied between studies. Both the randomised trials showed benefit on postoperative outcomes, including medical complications. Two</w:t>
      </w:r>
      <w:r w:rsidR="00427468">
        <w:rPr>
          <w:kern w:val="0"/>
        </w:rPr>
        <w:t xml:space="preserve"> of </w:t>
      </w:r>
      <w:r>
        <w:rPr>
          <w:kern w:val="0"/>
        </w:rPr>
        <w:t>the before-and-after studies reported a positive impact on postoperative length</w:t>
      </w:r>
      <w:r w:rsidR="00427468">
        <w:rPr>
          <w:kern w:val="0"/>
        </w:rPr>
        <w:t xml:space="preserve"> of </w:t>
      </w:r>
      <w:r>
        <w:rPr>
          <w:kern w:val="0"/>
        </w:rPr>
        <w:t>stay</w:t>
      </w:r>
      <w:r w:rsidR="005853A9">
        <w:rPr>
          <w:kern w:val="0"/>
        </w:rPr>
        <w:t xml:space="preserve"> and </w:t>
      </w:r>
      <w:r>
        <w:rPr>
          <w:kern w:val="0"/>
        </w:rPr>
        <w:t>other outcomes</w:t>
      </w:r>
      <w:r w:rsidR="00A37C1D">
        <w:rPr>
          <w:kern w:val="0"/>
        </w:rPr>
        <w:t>. The</w:t>
      </w:r>
      <w:r>
        <w:rPr>
          <w:kern w:val="0"/>
        </w:rPr>
        <w:t xml:space="preserve"> heterogeneity</w:t>
      </w:r>
      <w:r w:rsidR="00427468">
        <w:rPr>
          <w:kern w:val="0"/>
        </w:rPr>
        <w:t xml:space="preserve"> of </w:t>
      </w:r>
      <w:r>
        <w:rPr>
          <w:kern w:val="0"/>
        </w:rPr>
        <w:t>study methods, populations, interventions</w:t>
      </w:r>
      <w:r w:rsidR="005853A9">
        <w:rPr>
          <w:kern w:val="0"/>
        </w:rPr>
        <w:t xml:space="preserve"> and </w:t>
      </w:r>
      <w:r>
        <w:rPr>
          <w:kern w:val="0"/>
        </w:rPr>
        <w:t>outcomes precluded meta-analysis. Based on this narrative synthesis, pre-operative comprehensive geriatric assessment is likely to have a positive impact on postoperative outcomes in older patients undergoing elective surgery, but further definitive research is required. Clinical services providing pre-operative comprehensive geriatric assessment for older surgical patients should be considered.</w:t>
      </w:r>
    </w:p>
    <w:p w:rsidR="00D777D6" w:rsidRDefault="00D777D6" w:rsidP="00D777D6">
      <w:pPr>
        <w:pStyle w:val="a3"/>
        <w:rPr>
          <w:kern w:val="0"/>
        </w:rPr>
      </w:pPr>
      <w:r>
        <w:rPr>
          <w:kern w:val="0"/>
        </w:rPr>
        <w:t>Keywords: Approach, Assessment, Cancer, Care, Clinical, Community, Complications, Elective, Embase, Geriatric Assessment, Heterogeneity, Hip, Impact, Intervention, Interventions, Length, Length</w:t>
      </w:r>
      <w:r w:rsidR="00427468">
        <w:rPr>
          <w:kern w:val="0"/>
        </w:rPr>
        <w:t xml:space="preserve"> of </w:t>
      </w:r>
      <w:r>
        <w:rPr>
          <w:kern w:val="0"/>
        </w:rPr>
        <w:t xml:space="preserve">Stay, Measures, Medical, </w:t>
      </w:r>
      <w:r w:rsidR="00D5664A">
        <w:rPr>
          <w:kern w:val="0"/>
        </w:rPr>
        <w:t>MEDLINE</w:t>
      </w:r>
      <w:r>
        <w:rPr>
          <w:kern w:val="0"/>
        </w:rPr>
        <w:t xml:space="preserve">, Meta Analysis, Meta-Analysis, Metaanalysis, Methods, Mortality, Older People, Outcome, Outcome Measures, Outcomes, Patients, People, Physical, Populations, Postoperative, Preoperative, Randomised, Randomised Controlled Trials, Research, Review, Science, Service, Services, Si, Surgery, Surgical Outcomes, Synthesis, Systematic Review, Trial, </w:t>
      </w:r>
      <w:r w:rsidR="00D5664A">
        <w:rPr>
          <w:kern w:val="0"/>
        </w:rPr>
        <w:t>Web</w:t>
      </w:r>
      <w:r w:rsidR="00427468">
        <w:rPr>
          <w:kern w:val="0"/>
        </w:rPr>
        <w:t xml:space="preserve"> of </w:t>
      </w:r>
      <w:r w:rsidR="00D5664A">
        <w:rPr>
          <w:kern w:val="0"/>
        </w:rPr>
        <w:t>Science</w:t>
      </w:r>
    </w:p>
    <w:p w:rsidR="0087245C" w:rsidRDefault="0087245C" w:rsidP="0087245C">
      <w:pPr>
        <w:pStyle w:val="a3"/>
        <w:rPr>
          <w:kern w:val="0"/>
        </w:rPr>
      </w:pPr>
      <w:r>
        <w:rPr>
          <w:kern w:val="0"/>
        </w:rPr>
        <w:t xml:space="preserve">? Tsur, A. and Kalansky, A. (2014), Hypersensitivity associated with sugammadex administration: A systematic review. </w:t>
      </w:r>
      <w:r>
        <w:rPr>
          <w:i/>
          <w:iCs/>
          <w:kern w:val="0"/>
        </w:rPr>
        <w:t>Anaesthesia</w:t>
      </w:r>
      <w:r>
        <w:rPr>
          <w:kern w:val="0"/>
        </w:rPr>
        <w:t xml:space="preserve">, </w:t>
      </w:r>
      <w:r>
        <w:rPr>
          <w:b/>
          <w:bCs/>
          <w:kern w:val="0"/>
        </w:rPr>
        <w:t>69</w:t>
      </w:r>
      <w:r>
        <w:rPr>
          <w:kern w:val="0"/>
        </w:rPr>
        <w:t xml:space="preserve"> (11), 1251-1257.</w:t>
      </w:r>
    </w:p>
    <w:p w:rsidR="0087245C" w:rsidRDefault="0087245C" w:rsidP="0087245C">
      <w:pPr>
        <w:pStyle w:val="a3"/>
      </w:pPr>
      <w:r>
        <w:t xml:space="preserve">Full Text: </w:t>
      </w:r>
      <w:hyperlink r:id="rId717" w:history="1">
        <w:r w:rsidRPr="00087A1A">
          <w:rPr>
            <w:rStyle w:val="a5"/>
          </w:rPr>
          <w:t>2014\Anesthesia69, 1251.pdf</w:t>
        </w:r>
      </w:hyperlink>
    </w:p>
    <w:p w:rsidR="0087245C" w:rsidRDefault="0087245C" w:rsidP="0087245C">
      <w:pPr>
        <w:pStyle w:val="a3"/>
        <w:rPr>
          <w:kern w:val="0"/>
        </w:rPr>
      </w:pPr>
      <w:r>
        <w:rPr>
          <w:kern w:val="0"/>
        </w:rPr>
        <w:t xml:space="preserve">Abstract: Sugammadex is a drug used to reverse neuromuscular blockade induced by rocuronium or vecuronium. It has not yet been approved by the Food and Drug Administration in the USA due to concerns regarding hypersensitivity. The objective of this review was to identify similarities in the presentation of hypersensitivity reactions to sugammadex. A comprehensive search was performed in PubMed, Scopus and Web of Science for cases reporting hypersensitivity reactions to sugammadex. In addition, we contacted regulatory agencies and the company marketing the drug for unpublished reports. Reports were included if they were in English, primary investigations, lacked an alternative probable explanation for the reaction and included a comprehensive description of the hypersensitivity. We identified 15 cases of hypersensitivity following sugammadex administration. All cases that reported exact timing (14/15) occurred in 4min or less. Most of the patients </w:t>
      </w:r>
      <w:r>
        <w:rPr>
          <w:kern w:val="0"/>
        </w:rPr>
        <w:lastRenderedPageBreak/>
        <w:t>(11/15; 73%) met World Anaphylaxis Organization criteria for anaphylaxis. Awareness must be raised for the possibility of drug-induced hypersensitivity during the critical 5-min period immediately following sugammadex administration.</w:t>
      </w:r>
    </w:p>
    <w:p w:rsidR="0087245C" w:rsidRDefault="0087245C" w:rsidP="0087245C">
      <w:pPr>
        <w:pStyle w:val="a3"/>
        <w:rPr>
          <w:kern w:val="0"/>
        </w:rPr>
      </w:pPr>
      <w:r>
        <w:rPr>
          <w:kern w:val="0"/>
        </w:rPr>
        <w:t>Keywords: Administration, Alternative, Anaphylaxis, Criteria, Drug, English, Explanation, Food, Hypersensitivity, Induced, Investigations, Marketing, Nov, Patients, Presentation, Primary, Pubmed, Regulatory Agencies, Reporting, Review, Safety, Science, Scopus, Systematic, Systematic Review, Timing, USA, Web Of Science</w:t>
      </w:r>
    </w:p>
    <w:p w:rsidR="003474F2" w:rsidRPr="001A3D2B" w:rsidRDefault="003474F2" w:rsidP="003474F2">
      <w:pPr>
        <w:pStyle w:val="1"/>
      </w:pPr>
      <w:r w:rsidRPr="001A3D2B">
        <w:br w:type="page"/>
      </w:r>
      <w:bookmarkStart w:id="365" w:name="_Toc420814451"/>
      <w:r w:rsidRPr="001A3D2B">
        <w:lastRenderedPageBreak/>
        <w:t>Title: Anaesthesia</w:t>
      </w:r>
      <w:r w:rsidR="005853A9">
        <w:t xml:space="preserve"> and </w:t>
      </w:r>
      <w:r w:rsidRPr="001A3D2B">
        <w:t>Intensive Care</w:t>
      </w:r>
      <w:bookmarkEnd w:id="365"/>
    </w:p>
    <w:p w:rsidR="003474F2" w:rsidRPr="001A3D2B" w:rsidRDefault="003474F2" w:rsidP="003474F2">
      <w:pPr>
        <w:pStyle w:val="12"/>
      </w:pPr>
      <w:r w:rsidRPr="001A3D2B">
        <w:t>Full Journal Title: Anaesthesia</w:t>
      </w:r>
      <w:r w:rsidR="005853A9">
        <w:t xml:space="preserve"> and </w:t>
      </w:r>
      <w:r w:rsidRPr="001A3D2B">
        <w:t>Intensive Care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0310-057X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Teoh, D.C.A.</w:t>
      </w:r>
      <w:r w:rsidR="005853A9">
        <w:t xml:space="preserve"> and </w:t>
      </w:r>
      <w:r w:rsidRPr="001A3D2B">
        <w:t>Schramm, B. (2006), Changes in clinical research in anaesthesia</w:t>
      </w:r>
      <w:r w:rsidR="005853A9">
        <w:t xml:space="preserve"> and </w:t>
      </w:r>
      <w:r w:rsidRPr="001A3D2B">
        <w:t xml:space="preserve">intensive care from 1974-2004. </w:t>
      </w:r>
      <w:r w:rsidRPr="001A3D2B">
        <w:rPr>
          <w:i/>
          <w:iCs/>
        </w:rPr>
        <w:t>Anaesthesia</w:t>
      </w:r>
      <w:r w:rsidR="005853A9">
        <w:rPr>
          <w:i/>
          <w:iCs/>
        </w:rPr>
        <w:t xml:space="preserve"> and </w:t>
      </w:r>
      <w:r w:rsidRPr="001A3D2B">
        <w:rPr>
          <w:i/>
          <w:iCs/>
        </w:rPr>
        <w:t>Intensive Care</w:t>
      </w:r>
      <w:r w:rsidRPr="001A3D2B">
        <w:t xml:space="preserve">, </w:t>
      </w:r>
      <w:r w:rsidRPr="001A3D2B">
        <w:rPr>
          <w:b/>
          <w:bCs/>
        </w:rPr>
        <w:t>34</w:t>
      </w:r>
      <w:r w:rsidRPr="001A3D2B">
        <w:t xml:space="preserve"> (6), 753-757.</w:t>
      </w:r>
    </w:p>
    <w:p w:rsidR="00787B7E" w:rsidRPr="00F219CA" w:rsidRDefault="00787B7E" w:rsidP="00787B7E">
      <w:pPr>
        <w:pStyle w:val="a3"/>
      </w:pPr>
      <w:r w:rsidRPr="00F219CA">
        <w:t xml:space="preserve">Full Text: </w:t>
      </w:r>
      <w:hyperlink r:id="rId718" w:history="1">
        <w:r w:rsidRPr="0055362E">
          <w:rPr>
            <w:rStyle w:val="a5"/>
          </w:rPr>
          <w:t>2006\Ana Int Car34, 753.pdf</w:t>
        </w:r>
      </w:hyperlink>
    </w:p>
    <w:p w:rsidR="003474F2" w:rsidRPr="001A3D2B" w:rsidRDefault="003474F2" w:rsidP="003474F2">
      <w:pPr>
        <w:pStyle w:val="a3"/>
      </w:pPr>
      <w:r w:rsidRPr="001A3D2B">
        <w:t>Abstract:</w:t>
      </w:r>
      <w:r w:rsidR="003A1917">
        <w:t xml:space="preserve"> the </w:t>
      </w:r>
      <w:r w:rsidRPr="001A3D2B">
        <w:t>purpose was to identify how</w:t>
      </w:r>
      <w:r w:rsidR="003A1917">
        <w:t xml:space="preserve"> the </w:t>
      </w:r>
      <w:r w:rsidRPr="001A3D2B">
        <w:t>quality</w:t>
      </w:r>
      <w:r w:rsidR="00427468">
        <w:t xml:space="preserve"> of </w:t>
      </w:r>
      <w:r w:rsidRPr="001A3D2B">
        <w:t>anaesthesia research has improved from articles published in Anaesthesia</w:t>
      </w:r>
      <w:r w:rsidR="005853A9">
        <w:t xml:space="preserve"> and </w:t>
      </w:r>
      <w:r w:rsidRPr="001A3D2B">
        <w:t>Intensive Care over 25 years. Original papers were included during</w:t>
      </w:r>
      <w:r w:rsidR="003A1917">
        <w:t xml:space="preserve"> the </w:t>
      </w:r>
      <w:r w:rsidRPr="001A3D2B">
        <w:t>periods 1974-1978</w:t>
      </w:r>
      <w:r w:rsidR="005853A9">
        <w:t xml:space="preserve"> and </w:t>
      </w:r>
      <w:r w:rsidRPr="001A3D2B">
        <w:t>2000-2004. Each article was classified according to principal research designs</w:t>
      </w:r>
      <w:r w:rsidR="005853A9">
        <w:t xml:space="preserve"> and </w:t>
      </w:r>
      <w:r w:rsidR="003A1917">
        <w:t xml:space="preserve">the </w:t>
      </w:r>
      <w:r w:rsidRPr="001A3D2B">
        <w:t>two five-year periods were compared. All interventional trials were evaluated according to</w:t>
      </w:r>
      <w:r w:rsidR="003A1917">
        <w:t xml:space="preserve"> the </w:t>
      </w:r>
      <w:r w:rsidRPr="001A3D2B">
        <w:t>following a priori criteria: author number; ethics approval; informed consent; competing financial interest; eligibility criteria; sample size calculation; method</w:t>
      </w:r>
      <w:r w:rsidR="00427468">
        <w:t xml:space="preserve"> of </w:t>
      </w:r>
      <w:r w:rsidRPr="001A3D2B">
        <w:t>randomization; patients accounted for, blind assessment</w:t>
      </w:r>
      <w:r w:rsidR="00427468">
        <w:t xml:space="preserve"> of </w:t>
      </w:r>
      <w:r w:rsidRPr="001A3D2B">
        <w:t>outcome; adverse outcomes; statistical method stated; type I error; type II error;</w:t>
      </w:r>
      <w:r w:rsidR="005853A9">
        <w:t xml:space="preserve"> and </w:t>
      </w:r>
      <w:r w:rsidRPr="001A3D2B">
        <w:t>anaesthetic department</w:t>
      </w:r>
      <w:r w:rsidR="00427468">
        <w:t xml:space="preserve"> of </w:t>
      </w:r>
      <w:r w:rsidRPr="001A3D2B">
        <w:t>origin. Comparisons</w:t>
      </w:r>
      <w:r w:rsidR="00427468">
        <w:t xml:space="preserve"> of </w:t>
      </w:r>
      <w:r w:rsidRPr="001A3D2B">
        <w:t>above criteria were made between</w:t>
      </w:r>
      <w:r w:rsidR="003A1917">
        <w:t xml:space="preserve"> the </w:t>
      </w:r>
      <w:r w:rsidRPr="001A3D2B">
        <w:t>two groups rising chi-square test or Fischer</w:t>
      </w:r>
      <w:r w:rsidR="00700038">
        <w:t>’</w:t>
      </w:r>
      <w:r w:rsidR="00C13DDC">
        <w:t>s</w:t>
      </w:r>
      <w:r w:rsidRPr="001A3D2B">
        <w:t xml:space="preserve"> exact test. Two-hundred-and-ninety-two articles were reviewed in 1974-1978</w:t>
      </w:r>
      <w:r w:rsidR="005853A9">
        <w:t xml:space="preserve"> and </w:t>
      </w:r>
      <w:r w:rsidRPr="001A3D2B">
        <w:t>529 articles were reviewed in 2000-2004. Animal/laboratory articles decreased from 17.47% to 12.28% (P = 0.05). Review articles decreased from 34.35% to 10.4% (P &lt; 0.0001). Descriptive trials increased from 28.4% to 52.72% (P &lt; 0.0001). Interventional trials increased from 18.84% to 22.31% (P = 0.269). Uncontrolled clinical trials decreased from 27.27% to 12.71%, non-randomized controlled trials decreased from 50.91% to 7.63%,</w:t>
      </w:r>
      <w:r w:rsidR="005853A9">
        <w:t xml:space="preserve"> and </w:t>
      </w:r>
      <w:r w:rsidRPr="001A3D2B">
        <w:t>randomized controlled trials increased from 21.82% to 79.66% (P &lt; 0.0001). All interventional trials criteria improved</w:t>
      </w:r>
      <w:r w:rsidR="005853A9">
        <w:t xml:space="preserve"> and </w:t>
      </w:r>
      <w:r w:rsidRPr="001A3D2B">
        <w:t>were statistically significant except competing financial interest, method</w:t>
      </w:r>
      <w:r w:rsidR="00427468">
        <w:t xml:space="preserve"> of </w:t>
      </w:r>
      <w:r w:rsidRPr="001A3D2B">
        <w:t>randomization, patients accounted for,</w:t>
      </w:r>
      <w:r w:rsidR="005853A9">
        <w:t xml:space="preserve"> and </w:t>
      </w:r>
      <w:r w:rsidRPr="001A3D2B">
        <w:t>type II error:</w:t>
      </w:r>
      <w:r w:rsidR="003A1917">
        <w:t xml:space="preserve"> the </w:t>
      </w:r>
      <w:r w:rsidRPr="001A3D2B">
        <w:t>quality</w:t>
      </w:r>
      <w:r w:rsidR="00427468">
        <w:t xml:space="preserve"> of </w:t>
      </w:r>
      <w:r w:rsidRPr="001A3D2B">
        <w:t>anaesthetic research has improved in Anaesthesia</w:t>
      </w:r>
      <w:r w:rsidR="005853A9">
        <w:t xml:space="preserve"> and </w:t>
      </w:r>
      <w:r w:rsidRPr="001A3D2B">
        <w:t>Intensive Care over</w:t>
      </w:r>
      <w:r w:rsidR="003A1917">
        <w:t xml:space="preserve"> the </w:t>
      </w:r>
      <w:r w:rsidRPr="001A3D2B">
        <w:t>past 30 years. However, there is still room for improvement.</w:t>
      </w:r>
    </w:p>
    <w:p w:rsidR="003474F2" w:rsidRPr="001A3D2B" w:rsidRDefault="003474F2" w:rsidP="003474F2">
      <w:pPr>
        <w:pStyle w:val="a3"/>
      </w:pPr>
      <w:r w:rsidRPr="001A3D2B">
        <w:lastRenderedPageBreak/>
        <w:t>Keywords: Adverse Outcomes, Anaesthesia, Assessment, Calculation, Care, Chi-Square, Clinical, Clinical Research, Clinical Trials, Consent, Criteria, Error, Ethics, Improvement, Informed Consent, Intensive Care, Origin, Outcome, Outcomes, P, Papers, Patients, Purpose, Quality, Quality of, Randomization, Randomized, Randomized Controlled Trials, Research, Sample Size, Size, Type II Error</w:t>
      </w:r>
    </w:p>
    <w:p w:rsidR="001B4F45" w:rsidRDefault="001B4F45" w:rsidP="001B4F45">
      <w:pPr>
        <w:pStyle w:val="a3"/>
        <w:rPr>
          <w:kern w:val="0"/>
        </w:rPr>
      </w:pPr>
      <w:r>
        <w:rPr>
          <w:rFonts w:hint="eastAsia"/>
          <w:kern w:val="0"/>
        </w:rPr>
        <w:t xml:space="preserve">? </w:t>
      </w:r>
      <w:r>
        <w:rPr>
          <w:kern w:val="0"/>
        </w:rPr>
        <w:t>Li, Z., Qiu, L.X., Wu, F.X., Yang, L.Q., Sun, S.</w:t>
      </w:r>
      <w:r w:rsidR="005853A9">
        <w:rPr>
          <w:kern w:val="0"/>
        </w:rPr>
        <w:t xml:space="preserve"> and </w:t>
      </w:r>
      <w:r>
        <w:rPr>
          <w:kern w:val="0"/>
        </w:rPr>
        <w:t xml:space="preserve">Yu, W.F. (2011), Scientific publications in international anaesthesiology journals: A 10-year survey. </w:t>
      </w:r>
      <w:r>
        <w:rPr>
          <w:i/>
          <w:iCs/>
          <w:kern w:val="0"/>
        </w:rPr>
        <w:t>Anaesthesia</w:t>
      </w:r>
      <w:r w:rsidR="005853A9">
        <w:rPr>
          <w:i/>
          <w:iCs/>
          <w:kern w:val="0"/>
        </w:rPr>
        <w:t xml:space="preserve"> and </w:t>
      </w:r>
      <w:r>
        <w:rPr>
          <w:i/>
          <w:iCs/>
          <w:kern w:val="0"/>
        </w:rPr>
        <w:t>Intensive Care</w:t>
      </w:r>
      <w:r>
        <w:rPr>
          <w:kern w:val="0"/>
        </w:rPr>
        <w:t xml:space="preserve">, </w:t>
      </w:r>
      <w:r>
        <w:rPr>
          <w:b/>
          <w:bCs/>
          <w:kern w:val="0"/>
        </w:rPr>
        <w:t>39</w:t>
      </w:r>
      <w:r>
        <w:rPr>
          <w:kern w:val="0"/>
        </w:rPr>
        <w:t xml:space="preserve"> (2), 268-273.</w:t>
      </w:r>
    </w:p>
    <w:p w:rsidR="001B4F45" w:rsidRPr="001A3D2B" w:rsidRDefault="001B4F45" w:rsidP="001B4F45">
      <w:pPr>
        <w:pStyle w:val="a3"/>
      </w:pPr>
      <w:r w:rsidRPr="001A3D2B">
        <w:t xml:space="preserve">Full Text: </w:t>
      </w:r>
      <w:hyperlink r:id="rId719" w:history="1">
        <w:r w:rsidR="000E17D8" w:rsidRPr="000E17D8">
          <w:rPr>
            <w:rStyle w:val="a5"/>
          </w:rPr>
          <w:t>2011\Ana Int Car39, 268.pdf</w:t>
        </w:r>
      </w:hyperlink>
    </w:p>
    <w:p w:rsidR="001B4F45" w:rsidRDefault="001B4F45" w:rsidP="001B4F45">
      <w:pPr>
        <w:pStyle w:val="a3"/>
        <w:rPr>
          <w:kern w:val="0"/>
        </w:rPr>
      </w:pPr>
      <w:r>
        <w:rPr>
          <w:kern w:val="0"/>
        </w:rPr>
        <w:t>Abstract: Significant growth has been seen in</w:t>
      </w:r>
      <w:r w:rsidR="003A1917">
        <w:rPr>
          <w:kern w:val="0"/>
        </w:rPr>
        <w:t xml:space="preserve"> the </w:t>
      </w:r>
      <w:r>
        <w:rPr>
          <w:kern w:val="0"/>
        </w:rPr>
        <w:t>field</w:t>
      </w:r>
      <w:r w:rsidR="00427468">
        <w:rPr>
          <w:kern w:val="0"/>
        </w:rPr>
        <w:t xml:space="preserve"> of </w:t>
      </w:r>
      <w:r>
        <w:rPr>
          <w:kern w:val="0"/>
        </w:rPr>
        <w:t>anaesthesiology in recent decades</w:t>
      </w:r>
      <w:r w:rsidR="00A37C1D">
        <w:rPr>
          <w:kern w:val="0"/>
        </w:rPr>
        <w:t>. The</w:t>
      </w:r>
      <w:r w:rsidR="003A1917">
        <w:rPr>
          <w:kern w:val="0"/>
        </w:rPr>
        <w:t xml:space="preserve"> </w:t>
      </w:r>
      <w:r>
        <w:rPr>
          <w:kern w:val="0"/>
        </w:rPr>
        <w:t>current geographic distribution</w:t>
      </w:r>
      <w:r w:rsidR="00427468">
        <w:rPr>
          <w:kern w:val="0"/>
        </w:rPr>
        <w:t xml:space="preserve"> of </w:t>
      </w:r>
      <w:r w:rsidR="003A1917">
        <w:rPr>
          <w:kern w:val="0"/>
        </w:rPr>
        <w:t xml:space="preserve">the </w:t>
      </w:r>
      <w:r>
        <w:rPr>
          <w:kern w:val="0"/>
        </w:rPr>
        <w:t>publications on anaesthesia research may be different from ten years ago. We performed this literature survey to examine</w:t>
      </w:r>
      <w:r w:rsidR="003A1917">
        <w:rPr>
          <w:kern w:val="0"/>
        </w:rPr>
        <w:t xml:space="preserve"> the </w:t>
      </w:r>
      <w:r>
        <w:rPr>
          <w:kern w:val="0"/>
        </w:rPr>
        <w:t>national origin</w:t>
      </w:r>
      <w:r w:rsidR="00427468">
        <w:rPr>
          <w:kern w:val="0"/>
        </w:rPr>
        <w:t xml:space="preserve"> of </w:t>
      </w:r>
      <w:r>
        <w:rPr>
          <w:kern w:val="0"/>
        </w:rPr>
        <w:t>articles published in international anaesthesiology journals</w:t>
      </w:r>
      <w:r w:rsidR="005853A9">
        <w:rPr>
          <w:kern w:val="0"/>
        </w:rPr>
        <w:t xml:space="preserve"> and </w:t>
      </w:r>
      <w:r>
        <w:rPr>
          <w:kern w:val="0"/>
        </w:rPr>
        <w:t>to evaluate their contribution to anaesthesia research. Articles published in 18 major anaesthesiology journals from 2000 to 2009 were identified from</w:t>
      </w:r>
      <w:r w:rsidR="003A1917">
        <w:rPr>
          <w:kern w:val="0"/>
        </w:rPr>
        <w:t xml:space="preserve"> the </w:t>
      </w:r>
      <w:r w:rsidR="002C12F0">
        <w:rPr>
          <w:kern w:val="0"/>
        </w:rPr>
        <w:t>PUBMED</w:t>
      </w:r>
      <w:r>
        <w:rPr>
          <w:kern w:val="0"/>
        </w:rPr>
        <w:t xml:space="preserve"> database</w:t>
      </w:r>
      <w:r w:rsidR="005853A9">
        <w:rPr>
          <w:kern w:val="0"/>
        </w:rPr>
        <w:t xml:space="preserve"> and </w:t>
      </w:r>
      <w:r w:rsidR="003A1917">
        <w:rPr>
          <w:kern w:val="0"/>
        </w:rPr>
        <w:t xml:space="preserve">the </w:t>
      </w:r>
      <w:r>
        <w:rPr>
          <w:kern w:val="0"/>
        </w:rPr>
        <w:t>Science Citation Index. A total</w:t>
      </w:r>
      <w:r w:rsidR="00427468">
        <w:rPr>
          <w:kern w:val="0"/>
        </w:rPr>
        <w:t xml:space="preserve"> of </w:t>
      </w:r>
      <w:r>
        <w:rPr>
          <w:kern w:val="0"/>
        </w:rPr>
        <w:t>30,191 articles were published in</w:t>
      </w:r>
      <w:r w:rsidR="003A1917">
        <w:rPr>
          <w:kern w:val="0"/>
        </w:rPr>
        <w:t xml:space="preserve"> the </w:t>
      </w:r>
      <w:r>
        <w:rPr>
          <w:kern w:val="0"/>
        </w:rPr>
        <w:t>selected 18 journals from 2000 to 2009</w:t>
      </w:r>
      <w:r w:rsidR="00A37C1D">
        <w:rPr>
          <w:kern w:val="0"/>
        </w:rPr>
        <w:t>. The</w:t>
      </w:r>
      <w:r w:rsidR="003A1917">
        <w:rPr>
          <w:kern w:val="0"/>
        </w:rPr>
        <w:t xml:space="preserve"> </w:t>
      </w:r>
      <w:r>
        <w:rPr>
          <w:kern w:val="0"/>
        </w:rPr>
        <w:t>country responsible for</w:t>
      </w:r>
      <w:r w:rsidR="003A1917">
        <w:rPr>
          <w:kern w:val="0"/>
        </w:rPr>
        <w:t xml:space="preserve"> the </w:t>
      </w:r>
      <w:r>
        <w:rPr>
          <w:kern w:val="0"/>
        </w:rPr>
        <w:t>largest number</w:t>
      </w:r>
      <w:r w:rsidR="00427468">
        <w:rPr>
          <w:kern w:val="0"/>
        </w:rPr>
        <w:t xml:space="preserve"> of </w:t>
      </w:r>
      <w:r>
        <w:rPr>
          <w:kern w:val="0"/>
        </w:rPr>
        <w:t>articles was</w:t>
      </w:r>
      <w:r w:rsidR="003A1917">
        <w:rPr>
          <w:kern w:val="0"/>
        </w:rPr>
        <w:t xml:space="preserve"> the </w:t>
      </w:r>
      <w:r>
        <w:rPr>
          <w:kern w:val="0"/>
        </w:rPr>
        <w:t>United States</w:t>
      </w:r>
      <w:r w:rsidR="00427468">
        <w:rPr>
          <w:kern w:val="0"/>
        </w:rPr>
        <w:t xml:space="preserve"> of </w:t>
      </w:r>
      <w:r>
        <w:rPr>
          <w:kern w:val="0"/>
        </w:rPr>
        <w:t>America (29.4%), followed by</w:t>
      </w:r>
      <w:r w:rsidR="003A1917">
        <w:rPr>
          <w:kern w:val="0"/>
        </w:rPr>
        <w:t xml:space="preserve"> the </w:t>
      </w:r>
      <w:r>
        <w:rPr>
          <w:kern w:val="0"/>
        </w:rPr>
        <w:t>United Kingdom, Germany, Japan, Canada, Australia</w:t>
      </w:r>
      <w:r w:rsidR="005853A9">
        <w:rPr>
          <w:kern w:val="0"/>
        </w:rPr>
        <w:t xml:space="preserve"> and </w:t>
      </w:r>
      <w:r>
        <w:rPr>
          <w:kern w:val="0"/>
        </w:rPr>
        <w:t>France. Denmark, Switzerland</w:t>
      </w:r>
      <w:r w:rsidR="005853A9">
        <w:rPr>
          <w:kern w:val="0"/>
        </w:rPr>
        <w:t xml:space="preserve"> and </w:t>
      </w:r>
      <w:r>
        <w:rPr>
          <w:kern w:val="0"/>
        </w:rPr>
        <w:t>Finland had</w:t>
      </w:r>
      <w:r w:rsidR="003A1917">
        <w:rPr>
          <w:kern w:val="0"/>
        </w:rPr>
        <w:t xml:space="preserve"> the </w:t>
      </w:r>
      <w:r>
        <w:rPr>
          <w:kern w:val="0"/>
        </w:rPr>
        <w:t>largest number</w:t>
      </w:r>
      <w:r w:rsidR="00427468">
        <w:rPr>
          <w:kern w:val="0"/>
        </w:rPr>
        <w:t xml:space="preserve"> of </w:t>
      </w:r>
      <w:r>
        <w:rPr>
          <w:kern w:val="0"/>
        </w:rPr>
        <w:t>articles per capita. Anesthesia &amp; Analgesia published</w:t>
      </w:r>
      <w:r w:rsidR="003A1917">
        <w:rPr>
          <w:kern w:val="0"/>
        </w:rPr>
        <w:t xml:space="preserve"> the </w:t>
      </w:r>
      <w:r>
        <w:rPr>
          <w:kern w:val="0"/>
        </w:rPr>
        <w:t>most number</w:t>
      </w:r>
      <w:r w:rsidR="00427468">
        <w:rPr>
          <w:kern w:val="0"/>
        </w:rPr>
        <w:t xml:space="preserve"> of </w:t>
      </w:r>
      <w:r>
        <w:rPr>
          <w:kern w:val="0"/>
        </w:rPr>
        <w:t>articles from 2000 to 2009, followed by Anesthesiology, Pain</w:t>
      </w:r>
      <w:r w:rsidR="005853A9">
        <w:rPr>
          <w:kern w:val="0"/>
        </w:rPr>
        <w:t xml:space="preserve"> and </w:t>
      </w:r>
      <w:r w:rsidR="003A1917">
        <w:rPr>
          <w:kern w:val="0"/>
        </w:rPr>
        <w:t xml:space="preserve">the </w:t>
      </w:r>
      <w:r>
        <w:rPr>
          <w:kern w:val="0"/>
        </w:rPr>
        <w:t>British Journal</w:t>
      </w:r>
      <w:r w:rsidR="00427468">
        <w:rPr>
          <w:kern w:val="0"/>
        </w:rPr>
        <w:t xml:space="preserve"> of </w:t>
      </w:r>
      <w:r>
        <w:rPr>
          <w:kern w:val="0"/>
        </w:rPr>
        <w:t>Anaesthesia</w:t>
      </w:r>
      <w:r w:rsidR="00A37C1D">
        <w:rPr>
          <w:kern w:val="0"/>
        </w:rPr>
        <w:t>. The</w:t>
      </w:r>
      <w:r w:rsidR="003A1917">
        <w:rPr>
          <w:kern w:val="0"/>
        </w:rPr>
        <w:t xml:space="preserve"> </w:t>
      </w:r>
      <w:r>
        <w:rPr>
          <w:kern w:val="0"/>
        </w:rPr>
        <w:t>numbers</w:t>
      </w:r>
      <w:r w:rsidR="00427468">
        <w:rPr>
          <w:kern w:val="0"/>
        </w:rPr>
        <w:t xml:space="preserve"> of </w:t>
      </w:r>
      <w:r>
        <w:rPr>
          <w:kern w:val="0"/>
        </w:rPr>
        <w:t>clinical studies</w:t>
      </w:r>
      <w:r w:rsidR="005853A9">
        <w:rPr>
          <w:kern w:val="0"/>
        </w:rPr>
        <w:t xml:space="preserve"> and </w:t>
      </w:r>
      <w:r>
        <w:rPr>
          <w:kern w:val="0"/>
        </w:rPr>
        <w:t>randomised controlled trials decreased markedly from 2000 to 2009.</w:t>
      </w:r>
    </w:p>
    <w:p w:rsidR="001B4F45" w:rsidRDefault="001B4F45" w:rsidP="001B4F45">
      <w:pPr>
        <w:pStyle w:val="a3"/>
        <w:rPr>
          <w:kern w:val="0"/>
        </w:rPr>
      </w:pPr>
      <w:r>
        <w:rPr>
          <w:kern w:val="0"/>
        </w:rPr>
        <w:t xml:space="preserve">Keywords: Anaesthesia, Anaesthesiology, Articles, Australia, Bibliometric Analysis, Canada, Citation, Clinical, Clinical Studies, Country, Database, Denmark, Distribution, Field, Finland, France, Germany, Growth, International, Japan, Journal, Journals, Language, Literature, Mar, Origin, Pain, Publications, </w:t>
      </w:r>
      <w:r w:rsidR="002C12F0">
        <w:rPr>
          <w:kern w:val="0"/>
        </w:rPr>
        <w:t>PUBMED</w:t>
      </w:r>
      <w:r>
        <w:rPr>
          <w:kern w:val="0"/>
        </w:rPr>
        <w:t xml:space="preserve">, Randomised, Randomised Controlled Trials, Recent, Research, Science, Science Citation Index, Survey, Switzerland, United Kingdom, United States,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366" w:name="_Toc420814452"/>
      <w:r w:rsidRPr="001A3D2B">
        <w:lastRenderedPageBreak/>
        <w:t>Title: Anaesthesist</w:t>
      </w:r>
      <w:bookmarkEnd w:id="366"/>
    </w:p>
    <w:p w:rsidR="00CB1BB1" w:rsidRPr="00F219CA" w:rsidRDefault="00CB1BB1" w:rsidP="00CB1BB1">
      <w:pPr>
        <w:pStyle w:val="12"/>
      </w:pPr>
      <w:r w:rsidRPr="00F219CA">
        <w:t xml:space="preserve">Full Journal Title: </w:t>
      </w:r>
      <w:r w:rsidR="00206C8A">
        <w:fldChar w:fldCharType="begin"/>
      </w:r>
      <w:r w:rsidR="00FD158B">
        <w:instrText>HYPER</w:instrText>
      </w:r>
      <w:bookmarkStart w:id="367" w:name="_Toc490687617"/>
      <w:bookmarkStart w:id="368" w:name="_Toc492777861"/>
      <w:bookmarkStart w:id="369" w:name="_Toc141425560"/>
      <w:r w:rsidR="00FD158B">
        <w:instrText>LINK "http://www.in</w:instrText>
      </w:r>
      <w:bookmarkEnd w:id="367"/>
      <w:bookmarkEnd w:id="368"/>
      <w:bookmarkEnd w:id="369"/>
      <w:r w:rsidR="00FD158B">
        <w:instrText>gentaconnect.com/content/bsc/anae;jsessionid=5r5dr0q7o0q9g.victoria"</w:instrText>
      </w:r>
      <w:r w:rsidR="00206C8A">
        <w:fldChar w:fldCharType="separate"/>
      </w:r>
      <w:r w:rsidRPr="00F219CA">
        <w:rPr>
          <w:rStyle w:val="a5"/>
        </w:rPr>
        <w:t>Anaesthesia</w:t>
      </w:r>
      <w:r w:rsidR="00206C8A">
        <w:fldChar w:fldCharType="end"/>
      </w:r>
      <w:r w:rsidRPr="00F219CA">
        <w:t xml:space="preserve">; </w:t>
      </w:r>
      <w:hyperlink r:id="rId720" w:history="1">
        <w:r w:rsidRPr="00F219CA">
          <w:rPr>
            <w:rStyle w:val="a5"/>
          </w:rPr>
          <w:t>Anaesthesia</w:t>
        </w:r>
      </w:hyperlink>
    </w:p>
    <w:p w:rsidR="003474F2" w:rsidRPr="001A3D2B" w:rsidRDefault="003474F2" w:rsidP="003474F2">
      <w:pPr>
        <w:pStyle w:val="12"/>
      </w:pPr>
      <w:r w:rsidRPr="001A3D2B">
        <w:t>ISO Abbreviated Title: Anaesthesist</w:t>
      </w:r>
    </w:p>
    <w:p w:rsidR="003474F2" w:rsidRPr="001A3D2B" w:rsidRDefault="003474F2" w:rsidP="003474F2">
      <w:pPr>
        <w:pStyle w:val="12"/>
      </w:pPr>
      <w:r w:rsidRPr="001A3D2B">
        <w:t>JCR Abbreviated Title: Anaesthesist</w:t>
      </w:r>
    </w:p>
    <w:p w:rsidR="003474F2" w:rsidRPr="001A3D2B" w:rsidRDefault="003474F2" w:rsidP="003474F2">
      <w:pPr>
        <w:pStyle w:val="12"/>
      </w:pPr>
      <w:r w:rsidRPr="001A3D2B">
        <w:t>ISSN: 0003-2417</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Germany</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Springer Verlag</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175 Fifth Ave</w:t>
          </w:r>
        </w:smartTag>
        <w:r w:rsidRPr="001A3D2B">
          <w:t xml:space="preserve">, </w:t>
        </w:r>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10010</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Anesthesiology: Impact Factor </w:t>
      </w:r>
    </w:p>
    <w:p w:rsidR="003474F2" w:rsidRPr="001A3D2B" w:rsidRDefault="003474F2" w:rsidP="003474F2">
      <w:pPr>
        <w:pStyle w:val="a3"/>
      </w:pPr>
      <w:r w:rsidRPr="001A3D2B">
        <w:t xml:space="preserve">? Salomon, F. (1987), Responsible decisions: Guidelines for managing critical situations in intensive-care medicine. </w:t>
      </w:r>
      <w:r w:rsidRPr="001A3D2B">
        <w:rPr>
          <w:i/>
        </w:rPr>
        <w:t>Anaesthesist</w:t>
      </w:r>
      <w:r w:rsidRPr="001A3D2B">
        <w:t xml:space="preserve">, </w:t>
      </w:r>
      <w:r w:rsidRPr="001A3D2B">
        <w:rPr>
          <w:b/>
        </w:rPr>
        <w:t>36</w:t>
      </w:r>
      <w:r w:rsidRPr="001A3D2B">
        <w:t xml:space="preserve"> (3), 97-101.</w:t>
      </w:r>
    </w:p>
    <w:p w:rsidR="00CB1BB1" w:rsidRPr="00F219CA" w:rsidRDefault="00CB1BB1" w:rsidP="00CB1BB1">
      <w:pPr>
        <w:pStyle w:val="a3"/>
      </w:pPr>
      <w:r w:rsidRPr="00F219CA">
        <w:t xml:space="preserve">Full Text: </w:t>
      </w:r>
      <w:r>
        <w:t>19</w:t>
      </w:r>
      <w:r>
        <w:rPr>
          <w:rFonts w:hint="eastAsia"/>
        </w:rPr>
        <w:t>87</w:t>
      </w:r>
      <w:r>
        <w:t>\Anaesthesist</w:t>
      </w:r>
      <w:r>
        <w:rPr>
          <w:rFonts w:hint="eastAsia"/>
        </w:rPr>
        <w:t>36</w:t>
      </w:r>
      <w:r>
        <w:t xml:space="preserve">, </w:t>
      </w:r>
      <w:r>
        <w:rPr>
          <w:rFonts w:hint="eastAsia"/>
        </w:rPr>
        <w:t>97</w:t>
      </w:r>
      <w:r w:rsidRPr="00CB1BB1">
        <w:t>.pdf</w:t>
      </w:r>
    </w:p>
    <w:p w:rsidR="003474F2" w:rsidRPr="001A3D2B" w:rsidRDefault="003474F2" w:rsidP="003474F2">
      <w:pPr>
        <w:pStyle w:val="a3"/>
      </w:pPr>
      <w:r w:rsidRPr="001A3D2B">
        <w:t>? Lindner, U.K.</w:t>
      </w:r>
      <w:r w:rsidR="005853A9">
        <w:t xml:space="preserve"> and </w:t>
      </w:r>
      <w:r w:rsidRPr="001A3D2B">
        <w:t>Oehm, V. (1997</w:t>
      </w:r>
      <w:r w:rsidR="00F42EAC">
        <w:t>), The</w:t>
      </w:r>
      <w:r w:rsidR="003A1917">
        <w:t xml:space="preserve"> </w:t>
      </w:r>
      <w:r w:rsidRPr="001A3D2B">
        <w:t>magic</w:t>
      </w:r>
      <w:r w:rsidR="00427468">
        <w:t xml:space="preserve"> of </w:t>
      </w:r>
      <w:r w:rsidR="003A1917">
        <w:t xml:space="preserve">the </w:t>
      </w:r>
      <w:r w:rsidRPr="001A3D2B">
        <w:t>impact factor - Unmasking</w:t>
      </w:r>
      <w:r w:rsidR="00427468">
        <w:t xml:space="preserve"> of </w:t>
      </w:r>
      <w:r w:rsidRPr="001A3D2B">
        <w:t xml:space="preserve">a phenomenon. </w:t>
      </w:r>
      <w:r w:rsidRPr="001A3D2B">
        <w:rPr>
          <w:i/>
          <w:iCs/>
        </w:rPr>
        <w:t>Anaesthesist</w:t>
      </w:r>
      <w:r w:rsidRPr="001A3D2B">
        <w:t xml:space="preserve">, </w:t>
      </w:r>
      <w:r w:rsidRPr="001A3D2B">
        <w:rPr>
          <w:b/>
          <w:bCs/>
        </w:rPr>
        <w:t>46</w:t>
      </w:r>
      <w:r w:rsidRPr="001A3D2B">
        <w:t xml:space="preserve"> (1), 1-2.</w:t>
      </w:r>
    </w:p>
    <w:p w:rsidR="00CB1BB1" w:rsidRPr="00F219CA" w:rsidRDefault="00CB1BB1" w:rsidP="00CB1BB1">
      <w:pPr>
        <w:pStyle w:val="a3"/>
      </w:pPr>
      <w:r w:rsidRPr="00F219CA">
        <w:t xml:space="preserve">Full Text: </w:t>
      </w:r>
      <w:r>
        <w:t>199</w:t>
      </w:r>
      <w:r>
        <w:rPr>
          <w:rFonts w:hint="eastAsia"/>
        </w:rPr>
        <w:t>7</w:t>
      </w:r>
      <w:r>
        <w:t>\Anaesthesist4</w:t>
      </w:r>
      <w:r>
        <w:rPr>
          <w:rFonts w:hint="eastAsia"/>
        </w:rPr>
        <w:t>6</w:t>
      </w:r>
      <w:r>
        <w:t xml:space="preserve">, </w:t>
      </w:r>
      <w:r>
        <w:rPr>
          <w:rFonts w:hint="eastAsia"/>
        </w:rPr>
        <w:t>1</w:t>
      </w:r>
      <w:r w:rsidRPr="00CB1BB1">
        <w:t>.pdf</w:t>
      </w:r>
    </w:p>
    <w:p w:rsidR="003474F2" w:rsidRPr="001A3D2B" w:rsidRDefault="003474F2" w:rsidP="003474F2">
      <w:pPr>
        <w:pStyle w:val="a3"/>
      </w:pPr>
      <w:r w:rsidRPr="001A3D2B">
        <w:t>Keywords: Impact, Impact Factor</w:t>
      </w:r>
    </w:p>
    <w:p w:rsidR="00CB1BB1" w:rsidRPr="00F219CA" w:rsidRDefault="00CB1BB1" w:rsidP="00CB1BB1">
      <w:pPr>
        <w:pStyle w:val="a3"/>
      </w:pPr>
      <w:r w:rsidRPr="00F219CA">
        <w:t xml:space="preserve">? </w:t>
      </w:r>
      <w:r>
        <w:t>Garfield</w:t>
      </w:r>
      <w:r>
        <w:rPr>
          <w:rFonts w:hint="eastAsia"/>
        </w:rPr>
        <w:t>,</w:t>
      </w:r>
      <w:r>
        <w:t xml:space="preserve"> E</w:t>
      </w:r>
      <w:r>
        <w:rPr>
          <w:rFonts w:hint="eastAsia"/>
        </w:rPr>
        <w:t>.</w:t>
      </w:r>
      <w:r w:rsidRPr="00F219CA">
        <w:t xml:space="preserve"> (199</w:t>
      </w:r>
      <w:r>
        <w:rPr>
          <w:rFonts w:hint="eastAsia"/>
        </w:rPr>
        <w:t>8</w:t>
      </w:r>
      <w:r w:rsidR="00F42EAC">
        <w:t>), The</w:t>
      </w:r>
      <w:r w:rsidR="003A1917">
        <w:t xml:space="preserve"> </w:t>
      </w:r>
      <w:r>
        <w:t>Impact Factor</w:t>
      </w:r>
      <w:r w:rsidR="005853A9">
        <w:t xml:space="preserve"> and </w:t>
      </w:r>
      <w:r>
        <w:t xml:space="preserve">its correct </w:t>
      </w:r>
      <w:r w:rsidR="00D5664A">
        <w:t>USA</w:t>
      </w:r>
      <w:r>
        <w:t>ge</w:t>
      </w:r>
      <w:r w:rsidRPr="00F219CA">
        <w:t xml:space="preserve">. </w:t>
      </w:r>
      <w:r w:rsidRPr="00F219CA">
        <w:rPr>
          <w:i/>
          <w:iCs/>
        </w:rPr>
        <w:t>Anaesthesist</w:t>
      </w:r>
      <w:r w:rsidRPr="00F219CA">
        <w:t xml:space="preserve">, </w:t>
      </w:r>
      <w:r w:rsidRPr="00F219CA">
        <w:rPr>
          <w:b/>
          <w:bCs/>
        </w:rPr>
        <w:t>4</w:t>
      </w:r>
      <w:r>
        <w:rPr>
          <w:rFonts w:hint="eastAsia"/>
          <w:b/>
          <w:bCs/>
        </w:rPr>
        <w:t>7</w:t>
      </w:r>
      <w:r w:rsidRPr="00F219CA">
        <w:t xml:space="preserve"> (</w:t>
      </w:r>
      <w:r>
        <w:rPr>
          <w:rFonts w:hint="eastAsia"/>
        </w:rPr>
        <w:t>6</w:t>
      </w:r>
      <w:r w:rsidRPr="00F219CA">
        <w:t xml:space="preserve">), </w:t>
      </w:r>
      <w:r>
        <w:t>439-440</w:t>
      </w:r>
      <w:r w:rsidRPr="00F219CA">
        <w:t>.</w:t>
      </w:r>
    </w:p>
    <w:p w:rsidR="00CB1BB1" w:rsidRPr="00F219CA" w:rsidRDefault="00CB1BB1" w:rsidP="00CB1BB1">
      <w:pPr>
        <w:pStyle w:val="a3"/>
      </w:pPr>
      <w:r w:rsidRPr="00F219CA">
        <w:t xml:space="preserve">Full Text: </w:t>
      </w:r>
      <w:hyperlink r:id="rId721" w:history="1">
        <w:r w:rsidRPr="003078FE">
          <w:rPr>
            <w:rStyle w:val="a5"/>
          </w:rPr>
          <w:t>1998\Anaesthesist47, 439.pdf</w:t>
        </w:r>
      </w:hyperlink>
    </w:p>
    <w:p w:rsidR="003474F2" w:rsidRPr="001A3D2B" w:rsidRDefault="003474F2" w:rsidP="003474F2">
      <w:pPr>
        <w:pStyle w:val="a3"/>
      </w:pPr>
      <w:r w:rsidRPr="001A3D2B">
        <w:t xml:space="preserve">? Dick, W. (2000), Research - publications - Impact Factor - </w:t>
      </w:r>
      <w:r w:rsidR="00B5188C">
        <w:t>“</w:t>
      </w:r>
      <w:r w:rsidRPr="001A3D2B">
        <w:t>industry-method</w:t>
      </w:r>
      <w:r w:rsidR="00B5188C">
        <w:t>”</w:t>
      </w:r>
      <w:r w:rsidRPr="001A3D2B">
        <w:t xml:space="preserve"> corruption. Thoughts on a German phenomenon. </w:t>
      </w:r>
      <w:r w:rsidRPr="001A3D2B">
        <w:rPr>
          <w:i/>
          <w:iCs/>
        </w:rPr>
        <w:t>Anaesthesist</w:t>
      </w:r>
      <w:r w:rsidRPr="001A3D2B">
        <w:t xml:space="preserve">, </w:t>
      </w:r>
      <w:r w:rsidRPr="001A3D2B">
        <w:rPr>
          <w:b/>
          <w:bCs/>
        </w:rPr>
        <w:t>49</w:t>
      </w:r>
      <w:r w:rsidRPr="001A3D2B">
        <w:t xml:space="preserve"> (5), 371-372.</w:t>
      </w:r>
    </w:p>
    <w:p w:rsidR="003474F2" w:rsidRPr="001A3D2B" w:rsidRDefault="003474F2" w:rsidP="003474F2">
      <w:pPr>
        <w:pStyle w:val="a3"/>
      </w:pPr>
      <w:r w:rsidRPr="001A3D2B">
        <w:t xml:space="preserve">Full Text: </w:t>
      </w:r>
      <w:hyperlink r:id="rId722" w:history="1">
        <w:r w:rsidRPr="001A3D2B">
          <w:rPr>
            <w:rStyle w:val="a5"/>
          </w:rPr>
          <w:t>2000\Anaesthesist49, 371.pdf</w:t>
        </w:r>
      </w:hyperlink>
    </w:p>
    <w:p w:rsidR="003474F2" w:rsidRPr="001A3D2B" w:rsidRDefault="003474F2" w:rsidP="003474F2">
      <w:pPr>
        <w:pStyle w:val="a3"/>
      </w:pPr>
      <w:r w:rsidRPr="001A3D2B">
        <w:t>Keywords: Corruption, Publications</w:t>
      </w:r>
    </w:p>
    <w:p w:rsidR="00CA4EED" w:rsidRDefault="00CA4EED" w:rsidP="003474F2">
      <w:pPr>
        <w:pStyle w:val="a3"/>
      </w:pPr>
      <w:r>
        <w:rPr>
          <w:rFonts w:hint="eastAsia"/>
        </w:rPr>
        <w:t>Notes: CCountry</w:t>
      </w:r>
    </w:p>
    <w:p w:rsidR="003474F2" w:rsidRPr="001A3D2B" w:rsidRDefault="003474F2" w:rsidP="003474F2">
      <w:pPr>
        <w:pStyle w:val="a3"/>
      </w:pPr>
      <w:r w:rsidRPr="001A3D2B">
        <w:t>? Schreiber, K.</w:t>
      </w:r>
      <w:r w:rsidR="005853A9">
        <w:t xml:space="preserve"> and </w:t>
      </w:r>
      <w:r w:rsidRPr="001A3D2B">
        <w:t>Kindler, C.H. (2005), Bibliometric analysis</w:t>
      </w:r>
      <w:r w:rsidR="00427468">
        <w:t xml:space="preserve"> of </w:t>
      </w:r>
      <w:r w:rsidRPr="001A3D2B">
        <w:t xml:space="preserve">anaesthetic molecular biology research in </w:t>
      </w:r>
      <w:smartTag w:uri="urn:schemas-microsoft-com:office:smarttags" w:element="country-region">
        <w:r w:rsidRPr="001A3D2B">
          <w:t>Germany</w:t>
        </w:r>
      </w:smartTag>
      <w:r w:rsidRPr="001A3D2B">
        <w:t>, Austria</w:t>
      </w:r>
      <w:r w:rsidR="005853A9">
        <w:t xml:space="preserve"> and </w:t>
      </w:r>
      <w:r w:rsidRPr="001A3D2B">
        <w:t xml:space="preserve">Switzerland. </w:t>
      </w:r>
      <w:r w:rsidRPr="001A3D2B">
        <w:rPr>
          <w:i/>
          <w:iCs/>
        </w:rPr>
        <w:t>Anaesthesist</w:t>
      </w:r>
      <w:r w:rsidRPr="001A3D2B">
        <w:t xml:space="preserve">, </w:t>
      </w:r>
      <w:r w:rsidRPr="001A3D2B">
        <w:rPr>
          <w:b/>
          <w:bCs/>
        </w:rPr>
        <w:t>54</w:t>
      </w:r>
      <w:r w:rsidRPr="001A3D2B">
        <w:t xml:space="preserve"> (11), 1094-1099.</w:t>
      </w:r>
    </w:p>
    <w:p w:rsidR="003474F2" w:rsidRPr="001A3D2B" w:rsidRDefault="003474F2" w:rsidP="003474F2">
      <w:pPr>
        <w:pStyle w:val="a3"/>
      </w:pPr>
      <w:r w:rsidRPr="001A3D2B">
        <w:t xml:space="preserve">Full Text: </w:t>
      </w:r>
      <w:hyperlink r:id="rId723" w:history="1">
        <w:r w:rsidRPr="001A3D2B">
          <w:rPr>
            <w:rStyle w:val="a5"/>
          </w:rPr>
          <w:t>2005\Anaesthesist54, 1094.pdf</w:t>
        </w:r>
      </w:hyperlink>
    </w:p>
    <w:p w:rsidR="0065600F" w:rsidRPr="00F219CA" w:rsidRDefault="0065600F" w:rsidP="0065600F">
      <w:pPr>
        <w:pStyle w:val="a3"/>
        <w:rPr>
          <w:kern w:val="0"/>
        </w:rPr>
      </w:pPr>
      <w:r w:rsidRPr="00F219CA">
        <w:rPr>
          <w:kern w:val="0"/>
        </w:rPr>
        <w:t>Abstract: Back ground. In</w:t>
      </w:r>
      <w:r w:rsidR="003A1917">
        <w:rPr>
          <w:kern w:val="0"/>
        </w:rPr>
        <w:t xml:space="preserve"> the </w:t>
      </w:r>
      <w:r w:rsidRPr="00F219CA">
        <w:rPr>
          <w:kern w:val="0"/>
        </w:rPr>
        <w:t>last 20 years molecular biology has expa</w:t>
      </w:r>
      <w:r>
        <w:rPr>
          <w:kern w:val="0"/>
        </w:rPr>
        <w:t>nded</w:t>
      </w:r>
      <w:r w:rsidR="003A1917">
        <w:rPr>
          <w:kern w:val="0"/>
        </w:rPr>
        <w:t xml:space="preserve"> the </w:t>
      </w:r>
      <w:r>
        <w:rPr>
          <w:kern w:val="0"/>
        </w:rPr>
        <w:t>horizons</w:t>
      </w:r>
      <w:r w:rsidR="00427468">
        <w:rPr>
          <w:kern w:val="0"/>
        </w:rPr>
        <w:t xml:space="preserve"> of </w:t>
      </w:r>
      <w:r>
        <w:rPr>
          <w:kern w:val="0"/>
        </w:rPr>
        <w:t>medical re</w:t>
      </w:r>
      <w:r w:rsidRPr="00F219CA">
        <w:rPr>
          <w:kern w:val="0"/>
        </w:rPr>
        <w:t>search including anaesthesia. Preoperative identification</w:t>
      </w:r>
      <w:r w:rsidR="00427468">
        <w:rPr>
          <w:kern w:val="0"/>
        </w:rPr>
        <w:t xml:space="preserve"> of </w:t>
      </w:r>
      <w:r w:rsidRPr="00F219CA">
        <w:rPr>
          <w:kern w:val="0"/>
        </w:rPr>
        <w:t>genetic disorders relevant to anaesthesia or increased p</w:t>
      </w:r>
      <w:r>
        <w:rPr>
          <w:kern w:val="0"/>
        </w:rPr>
        <w:t>erioperative risk will be avail</w:t>
      </w:r>
      <w:r w:rsidRPr="00F219CA">
        <w:rPr>
          <w:kern w:val="0"/>
        </w:rPr>
        <w:t>able in</w:t>
      </w:r>
      <w:r w:rsidR="003A1917">
        <w:rPr>
          <w:kern w:val="0"/>
        </w:rPr>
        <w:t xml:space="preserve"> the </w:t>
      </w:r>
      <w:r w:rsidRPr="00F219CA">
        <w:rPr>
          <w:kern w:val="0"/>
        </w:rPr>
        <w:t>near future using molecular biology techniq</w:t>
      </w:r>
      <w:r>
        <w:rPr>
          <w:kern w:val="0"/>
        </w:rPr>
        <w:t>ues</w:t>
      </w:r>
      <w:r w:rsidR="00A37C1D">
        <w:rPr>
          <w:kern w:val="0"/>
        </w:rPr>
        <w:t>. The</w:t>
      </w:r>
      <w:r>
        <w:rPr>
          <w:kern w:val="0"/>
        </w:rPr>
        <w:t>re has been a global in</w:t>
      </w:r>
      <w:r w:rsidRPr="00F219CA">
        <w:rPr>
          <w:kern w:val="0"/>
        </w:rPr>
        <w:t>crease</w:t>
      </w:r>
      <w:r w:rsidR="00427468">
        <w:rPr>
          <w:kern w:val="0"/>
        </w:rPr>
        <w:t xml:space="preserve"> of </w:t>
      </w:r>
      <w:r w:rsidRPr="00F219CA">
        <w:rPr>
          <w:kern w:val="0"/>
        </w:rPr>
        <w:t>such publications, but</w:t>
      </w:r>
      <w:r w:rsidR="003A1917">
        <w:rPr>
          <w:kern w:val="0"/>
        </w:rPr>
        <w:t xml:space="preserve"> the </w:t>
      </w:r>
      <w:r w:rsidRPr="00F219CA">
        <w:rPr>
          <w:kern w:val="0"/>
        </w:rPr>
        <w:t>contributions from Germany, Switzerland</w:t>
      </w:r>
      <w:r w:rsidR="005853A9">
        <w:rPr>
          <w:kern w:val="0"/>
        </w:rPr>
        <w:t xml:space="preserve"> and </w:t>
      </w:r>
      <w:r w:rsidRPr="00F219CA">
        <w:rPr>
          <w:kern w:val="0"/>
        </w:rPr>
        <w:t>Austria are unknown. Material</w:t>
      </w:r>
      <w:r w:rsidR="005853A9">
        <w:rPr>
          <w:kern w:val="0"/>
        </w:rPr>
        <w:t xml:space="preserve"> and </w:t>
      </w:r>
      <w:r w:rsidRPr="00F219CA">
        <w:rPr>
          <w:kern w:val="0"/>
        </w:rPr>
        <w:t xml:space="preserve">methods. An internet-based </w:t>
      </w:r>
      <w:r w:rsidR="00D5664A">
        <w:rPr>
          <w:kern w:val="0"/>
        </w:rPr>
        <w:lastRenderedPageBreak/>
        <w:t>MEDLINE</w:t>
      </w:r>
      <w:r w:rsidRPr="00F219CA">
        <w:rPr>
          <w:kern w:val="0"/>
        </w:rPr>
        <w:t xml:space="preserve"> search was used to an a lyse specific features such as year</w:t>
      </w:r>
      <w:r w:rsidR="00427468">
        <w:rPr>
          <w:kern w:val="0"/>
        </w:rPr>
        <w:t xml:space="preserve"> of </w:t>
      </w:r>
      <w:r w:rsidRPr="00F219CA">
        <w:rPr>
          <w:kern w:val="0"/>
        </w:rPr>
        <w:t>publication, journal</w:t>
      </w:r>
      <w:r w:rsidR="005853A9">
        <w:rPr>
          <w:kern w:val="0"/>
        </w:rPr>
        <w:t xml:space="preserve"> and </w:t>
      </w:r>
      <w:r w:rsidRPr="00F219CA">
        <w:rPr>
          <w:kern w:val="0"/>
        </w:rPr>
        <w:t>origin</w:t>
      </w:r>
      <w:r w:rsidR="00427468">
        <w:rPr>
          <w:kern w:val="0"/>
        </w:rPr>
        <w:t xml:space="preserve"> of </w:t>
      </w:r>
      <w:r w:rsidRPr="00F219CA">
        <w:rPr>
          <w:kern w:val="0"/>
        </w:rPr>
        <w:t>molecular biology articles produced by German, Swiss</w:t>
      </w:r>
      <w:r w:rsidR="005853A9">
        <w:rPr>
          <w:kern w:val="0"/>
        </w:rPr>
        <w:t xml:space="preserve"> and </w:t>
      </w:r>
      <w:r w:rsidRPr="00F219CA">
        <w:rPr>
          <w:kern w:val="0"/>
        </w:rPr>
        <w:t>Austrian anaesthesia institutions from 1988 to 2002. Results. During</w:t>
      </w:r>
      <w:r w:rsidR="003A1917">
        <w:rPr>
          <w:kern w:val="0"/>
        </w:rPr>
        <w:t xml:space="preserve"> the </w:t>
      </w:r>
      <w:r w:rsidRPr="00F219CA">
        <w:rPr>
          <w:kern w:val="0"/>
        </w:rPr>
        <w:t>study period 121 articles from German institutions were published, 18 from Switzerland</w:t>
      </w:r>
      <w:r w:rsidR="005853A9">
        <w:rPr>
          <w:kern w:val="0"/>
        </w:rPr>
        <w:t xml:space="preserve"> and </w:t>
      </w:r>
      <w:r w:rsidRPr="00F219CA">
        <w:rPr>
          <w:kern w:val="0"/>
        </w:rPr>
        <w:t>5 from Austria, corresponding to 10%, 1.5%</w:t>
      </w:r>
      <w:r w:rsidR="005853A9">
        <w:rPr>
          <w:kern w:val="0"/>
        </w:rPr>
        <w:t xml:space="preserve"> and </w:t>
      </w:r>
      <w:r w:rsidRPr="00F219CA">
        <w:rPr>
          <w:kern w:val="0"/>
        </w:rPr>
        <w:t>0.4%, respectively,</w:t>
      </w:r>
      <w:r w:rsidR="00427468">
        <w:rPr>
          <w:kern w:val="0"/>
        </w:rPr>
        <w:t xml:space="preserve"> of </w:t>
      </w:r>
      <w:r w:rsidRPr="00F219CA">
        <w:rPr>
          <w:kern w:val="0"/>
        </w:rPr>
        <w:t>global publications. In Germany</w:t>
      </w:r>
      <w:r w:rsidR="003A1917">
        <w:rPr>
          <w:kern w:val="0"/>
        </w:rPr>
        <w:t xml:space="preserve"> the </w:t>
      </w:r>
      <w:r w:rsidRPr="00F219CA">
        <w:rPr>
          <w:kern w:val="0"/>
        </w:rPr>
        <w:t>number</w:t>
      </w:r>
      <w:r w:rsidR="00427468">
        <w:rPr>
          <w:kern w:val="0"/>
        </w:rPr>
        <w:t xml:space="preserve"> of </w:t>
      </w:r>
      <w:r w:rsidRPr="00F219CA">
        <w:rPr>
          <w:kern w:val="0"/>
        </w:rPr>
        <w:t>anaesthesia publications with a molecular biol</w:t>
      </w:r>
      <w:r>
        <w:rPr>
          <w:kern w:val="0"/>
        </w:rPr>
        <w:t>ogy content has continuously in</w:t>
      </w:r>
      <w:r w:rsidRPr="00F219CA">
        <w:rPr>
          <w:kern w:val="0"/>
        </w:rPr>
        <w:t>creased, but in Switzerland</w:t>
      </w:r>
      <w:r w:rsidR="005853A9">
        <w:rPr>
          <w:kern w:val="0"/>
        </w:rPr>
        <w:t xml:space="preserve"> and </w:t>
      </w:r>
      <w:r w:rsidRPr="00F219CA">
        <w:rPr>
          <w:kern w:val="0"/>
        </w:rPr>
        <w:t>Austria</w:t>
      </w:r>
      <w:r w:rsidR="003A1917">
        <w:rPr>
          <w:kern w:val="0"/>
        </w:rPr>
        <w:t xml:space="preserve"> the </w:t>
      </w:r>
      <w:r w:rsidRPr="00F219CA">
        <w:rPr>
          <w:kern w:val="0"/>
        </w:rPr>
        <w:t>numbers have remained constant</w:t>
      </w:r>
      <w:r w:rsidR="00A37C1D">
        <w:rPr>
          <w:kern w:val="0"/>
        </w:rPr>
        <w:t>. The</w:t>
      </w:r>
      <w:r w:rsidR="003A1917">
        <w:rPr>
          <w:kern w:val="0"/>
        </w:rPr>
        <w:t xml:space="preserve"> </w:t>
      </w:r>
      <w:r w:rsidRPr="00F219CA">
        <w:rPr>
          <w:kern w:val="0"/>
        </w:rPr>
        <w:t>majority</w:t>
      </w:r>
      <w:r w:rsidR="00427468">
        <w:rPr>
          <w:kern w:val="0"/>
        </w:rPr>
        <w:t xml:space="preserve"> of </w:t>
      </w:r>
      <w:r w:rsidRPr="00F219CA">
        <w:rPr>
          <w:kern w:val="0"/>
        </w:rPr>
        <w:t>articles were published in high-impact non-anaesthesia journals. Discussion</w:t>
      </w:r>
      <w:r w:rsidR="005853A9">
        <w:rPr>
          <w:kern w:val="0"/>
        </w:rPr>
        <w:t xml:space="preserve"> and </w:t>
      </w:r>
      <w:r w:rsidRPr="00F219CA">
        <w:rPr>
          <w:kern w:val="0"/>
        </w:rPr>
        <w:t>conclusion</w:t>
      </w:r>
      <w:r w:rsidR="00A37C1D">
        <w:rPr>
          <w:kern w:val="0"/>
        </w:rPr>
        <w:t>. The</w:t>
      </w:r>
      <w:r w:rsidR="003A1917">
        <w:rPr>
          <w:kern w:val="0"/>
        </w:rPr>
        <w:t xml:space="preserve"> </w:t>
      </w:r>
      <w:r w:rsidRPr="00F219CA">
        <w:rPr>
          <w:kern w:val="0"/>
        </w:rPr>
        <w:t>results</w:t>
      </w:r>
      <w:r w:rsidR="00427468">
        <w:rPr>
          <w:kern w:val="0"/>
        </w:rPr>
        <w:t xml:space="preserve"> of </w:t>
      </w:r>
      <w:r w:rsidRPr="00F219CA">
        <w:rPr>
          <w:kern w:val="0"/>
        </w:rPr>
        <w:t>this study show</w:t>
      </w:r>
      <w:r w:rsidR="003A1917">
        <w:rPr>
          <w:kern w:val="0"/>
        </w:rPr>
        <w:t xml:space="preserve"> the </w:t>
      </w:r>
      <w:r w:rsidRPr="00F219CA">
        <w:rPr>
          <w:kern w:val="0"/>
        </w:rPr>
        <w:t>quantitative deve</w:t>
      </w:r>
      <w:r>
        <w:rPr>
          <w:kern w:val="0"/>
        </w:rPr>
        <w:t>lopment</w:t>
      </w:r>
      <w:r w:rsidR="00427468">
        <w:rPr>
          <w:kern w:val="0"/>
        </w:rPr>
        <w:t xml:space="preserve"> of </w:t>
      </w:r>
      <w:r>
        <w:rPr>
          <w:kern w:val="0"/>
        </w:rPr>
        <w:t>molecular biology re</w:t>
      </w:r>
      <w:r w:rsidRPr="00F219CA">
        <w:rPr>
          <w:kern w:val="0"/>
        </w:rPr>
        <w:t>search that has been done in anaesthesia institutions in Germany, Switzerland</w:t>
      </w:r>
      <w:r w:rsidR="005853A9">
        <w:rPr>
          <w:kern w:val="0"/>
        </w:rPr>
        <w:t xml:space="preserve"> and </w:t>
      </w:r>
      <w:r w:rsidRPr="00F219CA">
        <w:rPr>
          <w:kern w:val="0"/>
        </w:rPr>
        <w:t>Austria from 1988 to 2002. A continuous increase</w:t>
      </w:r>
      <w:r w:rsidR="00427468">
        <w:rPr>
          <w:kern w:val="0"/>
        </w:rPr>
        <w:t xml:space="preserve"> of </w:t>
      </w:r>
      <w:r w:rsidRPr="00F219CA">
        <w:rPr>
          <w:kern w:val="0"/>
        </w:rPr>
        <w:t>publications with a molecular biology con tent occurred only in Germany.</w:t>
      </w:r>
    </w:p>
    <w:p w:rsidR="003474F2" w:rsidRPr="001A3D2B" w:rsidRDefault="003474F2" w:rsidP="003474F2">
      <w:pPr>
        <w:pStyle w:val="a3"/>
      </w:pPr>
      <w:r w:rsidRPr="001A3D2B">
        <w:t>Keywords: Academic Anesthesia, Anaesthesia, Bibliometric Analysis, Cardiopulmonary Bypass, Information Science, Intensive-Care, Journal, Journals, Medicine, Molecular Biology, Platelet Pl(A2) Polymorphism, Publication, Publications, Research, Risk, University Departments</w:t>
      </w:r>
    </w:p>
    <w:p w:rsidR="003474F2" w:rsidRPr="001A3D2B" w:rsidRDefault="003474F2" w:rsidP="003474F2">
      <w:pPr>
        <w:pStyle w:val="1"/>
      </w:pPr>
      <w:r w:rsidRPr="001A3D2B">
        <w:br w:type="page"/>
      </w:r>
      <w:bookmarkStart w:id="370" w:name="_Toc420814453"/>
      <w:r w:rsidRPr="001A3D2B">
        <w:lastRenderedPageBreak/>
        <w:t xml:space="preserve">Title: </w:t>
      </w:r>
      <w:r w:rsidRPr="001A3D2B">
        <w:rPr>
          <w:szCs w:val="19"/>
        </w:rPr>
        <w:t>Anais da Academia Brasileira de Ciencias</w:t>
      </w:r>
      <w:bookmarkEnd w:id="370"/>
    </w:p>
    <w:p w:rsidR="003474F2" w:rsidRPr="001A3D2B" w:rsidRDefault="003474F2" w:rsidP="003474F2">
      <w:pPr>
        <w:pStyle w:val="12"/>
      </w:pPr>
      <w:r w:rsidRPr="001A3D2B">
        <w:t xml:space="preserve">Full Journal Title: </w:t>
      </w:r>
      <w:hyperlink r:id="rId724" w:history="1">
        <w:r w:rsidRPr="001A3D2B">
          <w:rPr>
            <w:rStyle w:val="a5"/>
          </w:rPr>
          <w:t>Anais da Academia Brasileira de Ciencias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0001-3765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Packer, A.L.</w:t>
      </w:r>
      <w:r w:rsidR="005853A9">
        <w:t xml:space="preserve"> and </w:t>
      </w:r>
      <w:r w:rsidRPr="001A3D2B">
        <w:t xml:space="preserve">Meneghini, R. (2006), </w:t>
      </w:r>
      <w:r w:rsidRPr="001A3D2B">
        <w:rPr>
          <w:szCs w:val="19"/>
        </w:rPr>
        <w:t>Articles with authors affiliated to Brazilian institutions published from 1994 to 2003 with 100 or more citations: I -</w:t>
      </w:r>
      <w:r w:rsidR="003A1917">
        <w:rPr>
          <w:szCs w:val="19"/>
        </w:rPr>
        <w:t xml:space="preserve"> the </w:t>
      </w:r>
      <w:r w:rsidRPr="001A3D2B">
        <w:rPr>
          <w:szCs w:val="19"/>
        </w:rPr>
        <w:t>weight</w:t>
      </w:r>
      <w:r w:rsidR="00427468">
        <w:rPr>
          <w:szCs w:val="19"/>
        </w:rPr>
        <w:t xml:space="preserve"> of </w:t>
      </w:r>
      <w:r w:rsidRPr="001A3D2B">
        <w:rPr>
          <w:szCs w:val="19"/>
        </w:rPr>
        <w:t>international collaboration</w:t>
      </w:r>
      <w:r w:rsidR="005853A9">
        <w:rPr>
          <w:szCs w:val="19"/>
        </w:rPr>
        <w:t xml:space="preserve"> and </w:t>
      </w:r>
      <w:r w:rsidR="003A1917">
        <w:rPr>
          <w:szCs w:val="19"/>
        </w:rPr>
        <w:t xml:space="preserve">the </w:t>
      </w:r>
      <w:r w:rsidRPr="001A3D2B">
        <w:rPr>
          <w:szCs w:val="19"/>
        </w:rPr>
        <w:t>role</w:t>
      </w:r>
      <w:r w:rsidR="00427468">
        <w:rPr>
          <w:szCs w:val="19"/>
        </w:rPr>
        <w:t xml:space="preserve"> of </w:t>
      </w:r>
      <w:r w:rsidR="003A1917">
        <w:rPr>
          <w:szCs w:val="19"/>
        </w:rPr>
        <w:t xml:space="preserve">the </w:t>
      </w:r>
      <w:r w:rsidRPr="001A3D2B">
        <w:rPr>
          <w:szCs w:val="19"/>
        </w:rPr>
        <w:t>networks</w:t>
      </w:r>
      <w:r w:rsidRPr="001A3D2B">
        <w:t xml:space="preserve">. </w:t>
      </w:r>
      <w:r w:rsidRPr="001A3D2B">
        <w:rPr>
          <w:i/>
          <w:iCs/>
        </w:rPr>
        <w:t>Anais da Academia Brasileira de Ciências</w:t>
      </w:r>
      <w:r w:rsidRPr="001A3D2B">
        <w:t xml:space="preserve">, </w:t>
      </w:r>
      <w:r w:rsidRPr="001A3D2B">
        <w:rPr>
          <w:b/>
          <w:bCs/>
        </w:rPr>
        <w:t>78</w:t>
      </w:r>
      <w:r w:rsidRPr="001A3D2B">
        <w:t xml:space="preserve"> (4), </w:t>
      </w:r>
      <w:r w:rsidRPr="001A3D2B">
        <w:rPr>
          <w:szCs w:val="19"/>
        </w:rPr>
        <w:t>841-853</w:t>
      </w:r>
      <w:r w:rsidRPr="001A3D2B">
        <w:t>.</w:t>
      </w:r>
    </w:p>
    <w:p w:rsidR="003474F2" w:rsidRPr="001A3D2B" w:rsidRDefault="003474F2" w:rsidP="003474F2">
      <w:pPr>
        <w:pStyle w:val="a3"/>
      </w:pPr>
      <w:r w:rsidRPr="001A3D2B">
        <w:t xml:space="preserve">Full Text: </w:t>
      </w:r>
      <w:hyperlink r:id="rId725" w:history="1">
        <w:r w:rsidRPr="001A3D2B">
          <w:rPr>
            <w:rStyle w:val="a5"/>
          </w:rPr>
          <w:t>2006\Ana Aca Bra Cie78, 841.pdf</w:t>
        </w:r>
      </w:hyperlink>
    </w:p>
    <w:p w:rsidR="003474F2" w:rsidRPr="001A3D2B" w:rsidRDefault="003474F2" w:rsidP="003474F2">
      <w:pPr>
        <w:pStyle w:val="a3"/>
      </w:pPr>
      <w:r w:rsidRPr="001A3D2B">
        <w:t>Abstract: Articles with 100 citations or more in</w:t>
      </w:r>
      <w:r w:rsidR="003A1917">
        <w:t xml:space="preserve"> the </w:t>
      </w:r>
      <w:r w:rsidRPr="001A3D2B">
        <w:t>scientific literature</w:t>
      </w:r>
      <w:r w:rsidR="005853A9">
        <w:t xml:space="preserve"> and </w:t>
      </w:r>
      <w:r w:rsidRPr="001A3D2B">
        <w:t>with at least one author with Brazilian affiliation, were identified in</w:t>
      </w:r>
      <w:r w:rsidR="003A1917">
        <w:t xml:space="preserve"> the </w:t>
      </w:r>
      <w:r w:rsidRPr="001A3D2B">
        <w:t xml:space="preserve">Thomson-ISI (Institute for Scientific Information) </w:t>
      </w:r>
      <w:r w:rsidR="00D5664A">
        <w:t>Web</w:t>
      </w:r>
      <w:r w:rsidR="00427468">
        <w:t xml:space="preserve"> of </w:t>
      </w:r>
      <w:r w:rsidR="00D5664A">
        <w:t>Science</w:t>
      </w:r>
      <w:r w:rsidRPr="001A3D2B">
        <w:t xml:space="preserve"> bibliometric database, covering a 10-year period, from 1994 to 2003; 248 (0.23%) out</w:t>
      </w:r>
      <w:r w:rsidR="00427468">
        <w:t xml:space="preserve"> of </w:t>
      </w:r>
      <w:r w:rsidRPr="001A3D2B">
        <w:t>a total</w:t>
      </w:r>
      <w:r w:rsidR="00427468">
        <w:t xml:space="preserve"> of </w:t>
      </w:r>
      <w:r w:rsidRPr="001A3D2B">
        <w:t>109,916 articles with Brazilian affiliation were identified. This study was primarily carried out to identify thematic nuclei</w:t>
      </w:r>
      <w:r w:rsidR="00427468">
        <w:t xml:space="preserve"> of </w:t>
      </w:r>
      <w:r w:rsidRPr="001A3D2B">
        <w:t>excellence in research that had major impact in</w:t>
      </w:r>
      <w:r w:rsidR="003A1917">
        <w:t xml:space="preserve"> the </w:t>
      </w:r>
      <w:r w:rsidRPr="001A3D2B">
        <w:t>international literature (Meneghini</w:t>
      </w:r>
      <w:r w:rsidR="005853A9">
        <w:t xml:space="preserve"> and </w:t>
      </w:r>
      <w:r w:rsidRPr="001A3D2B">
        <w:t>Packer 2006)</w:t>
      </w:r>
      <w:r w:rsidR="00A37C1D">
        <w:t>. The</w:t>
      </w:r>
      <w:r w:rsidR="003A1917">
        <w:t xml:space="preserve"> </w:t>
      </w:r>
      <w:r w:rsidRPr="001A3D2B">
        <w:t>regional</w:t>
      </w:r>
      <w:r w:rsidR="005853A9">
        <w:t xml:space="preserve"> and </w:t>
      </w:r>
      <w:r w:rsidRPr="001A3D2B">
        <w:t>institutional affiliation distributions</w:t>
      </w:r>
      <w:r w:rsidR="00427468">
        <w:t xml:space="preserve"> of </w:t>
      </w:r>
      <w:r w:rsidRPr="001A3D2B">
        <w:t>these articles follow approximately that</w:t>
      </w:r>
      <w:r w:rsidR="00427468">
        <w:t xml:space="preserve"> of </w:t>
      </w:r>
      <w:r w:rsidR="003A1917">
        <w:t xml:space="preserve">the </w:t>
      </w:r>
      <w:r w:rsidRPr="001A3D2B">
        <w:t>total</w:t>
      </w:r>
      <w:r w:rsidR="00427468">
        <w:t xml:space="preserve"> of </w:t>
      </w:r>
      <w:r w:rsidRPr="001A3D2B">
        <w:t>Brazilian articles in</w:t>
      </w:r>
      <w:r w:rsidR="003A1917">
        <w:t xml:space="preserve"> the </w:t>
      </w:r>
      <w:r w:rsidRPr="001A3D2B">
        <w:t>ISI database. However, some significant deviations are observed derived from</w:t>
      </w:r>
      <w:r w:rsidR="003A1917">
        <w:t xml:space="preserve"> the </w:t>
      </w:r>
      <w:r w:rsidRPr="001A3D2B">
        <w:t>outstanding performance</w:t>
      </w:r>
      <w:r w:rsidR="00427468">
        <w:t xml:space="preserve"> of </w:t>
      </w:r>
      <w:r w:rsidRPr="001A3D2B">
        <w:t>a few groups responsible for</w:t>
      </w:r>
      <w:r w:rsidR="003A1917">
        <w:t xml:space="preserve"> the </w:t>
      </w:r>
      <w:r w:rsidRPr="001A3D2B">
        <w:t>publication</w:t>
      </w:r>
      <w:r w:rsidR="00427468">
        <w:t xml:space="preserve"> of </w:t>
      </w:r>
      <w:r w:rsidR="003A1917">
        <w:t xml:space="preserve">the </w:t>
      </w:r>
      <w:r w:rsidRPr="001A3D2B">
        <w:t>HC-ISI (Highly cited ISI) papers</w:t>
      </w:r>
      <w:r w:rsidR="00A37C1D">
        <w:t>. The</w:t>
      </w:r>
      <w:r w:rsidR="003A1917">
        <w:t xml:space="preserve"> </w:t>
      </w:r>
      <w:r w:rsidRPr="001A3D2B">
        <w:t>international collaboration</w:t>
      </w:r>
      <w:r w:rsidR="005853A9">
        <w:t xml:space="preserve"> and </w:t>
      </w:r>
      <w:r w:rsidR="003A1917">
        <w:t xml:space="preserve">the </w:t>
      </w:r>
      <w:r w:rsidRPr="001A3D2B">
        <w:t>network organization</w:t>
      </w:r>
      <w:r w:rsidR="00427468">
        <w:t xml:space="preserve"> of </w:t>
      </w:r>
      <w:r w:rsidRPr="001A3D2B">
        <w:t>work played a fundamental role in these results. It is evident that</w:t>
      </w:r>
      <w:r w:rsidR="003A1917">
        <w:t xml:space="preserve"> the </w:t>
      </w:r>
      <w:r w:rsidRPr="001A3D2B">
        <w:t>role played by organizations in research networks as well as</w:t>
      </w:r>
      <w:r w:rsidR="003A1917">
        <w:t xml:space="preserve"> the </w:t>
      </w:r>
      <w:r w:rsidRPr="001A3D2B">
        <w:t>international collaborations exerted strong influence, in</w:t>
      </w:r>
      <w:r w:rsidR="003A1917">
        <w:t xml:space="preserve"> the </w:t>
      </w:r>
      <w:r w:rsidRPr="001A3D2B">
        <w:t>impact</w:t>
      </w:r>
      <w:r w:rsidR="00427468">
        <w:t xml:space="preserve"> of </w:t>
      </w:r>
      <w:r w:rsidRPr="001A3D2B">
        <w:t>these articles, although with distinct amplitude in</w:t>
      </w:r>
      <w:r w:rsidR="003A1917">
        <w:t xml:space="preserve"> the </w:t>
      </w:r>
      <w:r w:rsidRPr="001A3D2B">
        <w:t>different fields.</w:t>
      </w:r>
    </w:p>
    <w:p w:rsidR="003474F2" w:rsidRPr="001A3D2B" w:rsidRDefault="003474F2" w:rsidP="003474F2">
      <w:pPr>
        <w:pStyle w:val="a3"/>
      </w:pPr>
      <w:r w:rsidRPr="001A3D2B">
        <w:t>Keywords: Authorship, Bibliometric, Bibliometry, Citations, Collaboration, DEC, Distributions, Editing, Statistics</w:t>
      </w:r>
      <w:r w:rsidR="005853A9">
        <w:t xml:space="preserve"> and </w:t>
      </w:r>
      <w:r w:rsidRPr="001A3D2B">
        <w:t>Numerical Data, Groups, Impact, Impact Factor, Information Service, Institute for Scientific Information, Institutions, International Collaboration</w:t>
      </w:r>
      <w:r w:rsidR="00D5664A">
        <w:t>, ISI,</w:t>
      </w:r>
      <w:r w:rsidRPr="001A3D2B">
        <w:t xml:space="preserve"> Journals, Rules, Networks, Organizations, Performance, Publication, Regional, Research, Role, Science, Scientific Collaboration, Scientific </w:t>
      </w:r>
      <w:r w:rsidRPr="001A3D2B">
        <w:lastRenderedPageBreak/>
        <w:t>Network, Scientometrics, Storage</w:t>
      </w:r>
      <w:r w:rsidR="005853A9">
        <w:t xml:space="preserve"> and </w:t>
      </w:r>
      <w:r w:rsidRPr="001A3D2B">
        <w:t xml:space="preserve">Retrieval Information, </w:t>
      </w:r>
      <w:r w:rsidR="00D5664A">
        <w:t>Web</w:t>
      </w:r>
      <w:r w:rsidR="00427468">
        <w:t xml:space="preserve"> of </w:t>
      </w:r>
      <w:r w:rsidR="00D5664A">
        <w:t>Science</w:t>
      </w:r>
    </w:p>
    <w:p w:rsidR="003474F2" w:rsidRPr="001A3D2B" w:rsidRDefault="003474F2" w:rsidP="003474F2">
      <w:pPr>
        <w:pStyle w:val="a3"/>
      </w:pPr>
      <w:r w:rsidRPr="001A3D2B">
        <w:t>? Meneghini, R.</w:t>
      </w:r>
      <w:r w:rsidR="005853A9">
        <w:t xml:space="preserve"> and </w:t>
      </w:r>
      <w:r w:rsidRPr="001A3D2B">
        <w:t xml:space="preserve">Packer, A.L. (2006), </w:t>
      </w:r>
      <w:r w:rsidRPr="001A3D2B">
        <w:rPr>
          <w:szCs w:val="19"/>
        </w:rPr>
        <w:t>Articles with authors affiliated to Brazilian institutions published from 1994 to 2003 with 100 or more citations: II - Identification</w:t>
      </w:r>
      <w:r w:rsidR="00427468">
        <w:rPr>
          <w:szCs w:val="19"/>
        </w:rPr>
        <w:t xml:space="preserve"> of </w:t>
      </w:r>
      <w:r w:rsidRPr="001A3D2B">
        <w:rPr>
          <w:szCs w:val="19"/>
        </w:rPr>
        <w:t>thematic nuclei</w:t>
      </w:r>
      <w:r w:rsidR="00427468">
        <w:rPr>
          <w:szCs w:val="19"/>
        </w:rPr>
        <w:t xml:space="preserve"> of </w:t>
      </w:r>
      <w:r w:rsidRPr="001A3D2B">
        <w:rPr>
          <w:szCs w:val="19"/>
        </w:rPr>
        <w:t>excellence in Brazilian science</w:t>
      </w:r>
      <w:r w:rsidRPr="001A3D2B">
        <w:t xml:space="preserve">. </w:t>
      </w:r>
      <w:r w:rsidRPr="001A3D2B">
        <w:rPr>
          <w:i/>
          <w:iCs/>
        </w:rPr>
        <w:t>Anais da Academia Brasileira de Ciências</w:t>
      </w:r>
      <w:r w:rsidRPr="001A3D2B">
        <w:t xml:space="preserve">, </w:t>
      </w:r>
      <w:r w:rsidRPr="001A3D2B">
        <w:rPr>
          <w:b/>
          <w:bCs/>
        </w:rPr>
        <w:t>78</w:t>
      </w:r>
      <w:r w:rsidRPr="001A3D2B">
        <w:t xml:space="preserve"> (4), </w:t>
      </w:r>
      <w:r w:rsidRPr="001A3D2B">
        <w:rPr>
          <w:szCs w:val="19"/>
        </w:rPr>
        <w:t>855-883</w:t>
      </w:r>
      <w:r w:rsidRPr="001A3D2B">
        <w:t>.</w:t>
      </w:r>
    </w:p>
    <w:p w:rsidR="003474F2" w:rsidRPr="001A3D2B" w:rsidRDefault="003474F2" w:rsidP="003474F2">
      <w:pPr>
        <w:pStyle w:val="a3"/>
      </w:pPr>
      <w:r w:rsidRPr="001A3D2B">
        <w:t xml:space="preserve">Full Text: </w:t>
      </w:r>
      <w:hyperlink r:id="rId726" w:history="1">
        <w:r w:rsidRPr="001A3D2B">
          <w:rPr>
            <w:rStyle w:val="a5"/>
          </w:rPr>
          <w:t>2006\Ana Aca Bra Cie78, 855.pdf</w:t>
        </w:r>
      </w:hyperlink>
    </w:p>
    <w:p w:rsidR="003474F2" w:rsidRPr="001A3D2B" w:rsidRDefault="003474F2" w:rsidP="003474F2">
      <w:pPr>
        <w:pStyle w:val="a3"/>
      </w:pPr>
      <w:r w:rsidRPr="001A3D2B">
        <w:t>Abstract: Articles with 100 citations or more in</w:t>
      </w:r>
      <w:r w:rsidR="003A1917">
        <w:t xml:space="preserve"> the </w:t>
      </w:r>
      <w:r w:rsidRPr="001A3D2B">
        <w:t>scientific literature</w:t>
      </w:r>
      <w:r w:rsidR="005853A9">
        <w:t xml:space="preserve"> and </w:t>
      </w:r>
      <w:r w:rsidRPr="001A3D2B">
        <w:t>with at least one author with Brazilian affiliation, were identified in</w:t>
      </w:r>
      <w:r w:rsidR="003A1917">
        <w:t xml:space="preserve"> the </w:t>
      </w:r>
      <w:r w:rsidRPr="001A3D2B">
        <w:t xml:space="preserve">Thomson-ISI (Institute for Scientific Information) </w:t>
      </w:r>
      <w:r w:rsidR="00D5664A">
        <w:t>Web</w:t>
      </w:r>
      <w:r w:rsidR="00427468">
        <w:t xml:space="preserve"> of </w:t>
      </w:r>
      <w:r w:rsidR="00D5664A">
        <w:t>Science</w:t>
      </w:r>
      <w:r w:rsidRPr="001A3D2B">
        <w:t xml:space="preserve"> bibliometric database covering a 10-year period, from 1994 to 2003 (see Packer</w:t>
      </w:r>
      <w:r w:rsidR="005853A9">
        <w:t xml:space="preserve"> and </w:t>
      </w:r>
      <w:r w:rsidRPr="001A3D2B">
        <w:t>Meneghini 2006); 248 (0.23%) out</w:t>
      </w:r>
      <w:r w:rsidR="00427468">
        <w:t xml:space="preserve"> of </w:t>
      </w:r>
      <w:r w:rsidRPr="001A3D2B">
        <w:t>a total</w:t>
      </w:r>
      <w:r w:rsidR="00427468">
        <w:t xml:space="preserve"> of </w:t>
      </w:r>
      <w:r w:rsidRPr="001A3D2B">
        <w:t>109,916 articles with Brazilian affiliation were identified. This study was primarily carried out to identify thematic nuclei</w:t>
      </w:r>
      <w:r w:rsidR="00427468">
        <w:t xml:space="preserve"> of </w:t>
      </w:r>
      <w:r w:rsidRPr="001A3D2B">
        <w:t>excellence in research that had major impact in</w:t>
      </w:r>
      <w:r w:rsidR="003A1917">
        <w:t xml:space="preserve"> the </w:t>
      </w:r>
      <w:r w:rsidRPr="001A3D2B">
        <w:t>international literature. Twelve</w:t>
      </w:r>
      <w:r w:rsidR="00427468">
        <w:t xml:space="preserve"> of </w:t>
      </w:r>
      <w:r w:rsidRPr="001A3D2B">
        <w:t>these nuclei in</w:t>
      </w:r>
      <w:r w:rsidR="003A1917">
        <w:t xml:space="preserve"> the </w:t>
      </w:r>
      <w:r w:rsidRPr="001A3D2B">
        <w:t>fields</w:t>
      </w:r>
      <w:r w:rsidR="00427468">
        <w:t xml:space="preserve"> of </w:t>
      </w:r>
      <w:r w:rsidRPr="001A3D2B">
        <w:t>Biomedicine, Medicine, Biology, Physic, Chemistry</w:t>
      </w:r>
      <w:r w:rsidR="005853A9">
        <w:t xml:space="preserve"> and </w:t>
      </w:r>
      <w:r w:rsidRPr="001A3D2B">
        <w:t>Astronomy were considered outstanding</w:t>
      </w:r>
      <w:r w:rsidR="005853A9">
        <w:t xml:space="preserve"> and </w:t>
      </w:r>
      <w:r w:rsidRPr="001A3D2B">
        <w:t>their genesis</w:t>
      </w:r>
      <w:r w:rsidR="005853A9">
        <w:t xml:space="preserve"> and </w:t>
      </w:r>
      <w:r w:rsidRPr="001A3D2B">
        <w:t>development were described</w:t>
      </w:r>
      <w:r w:rsidR="00A37C1D">
        <w:t>. The</w:t>
      </w:r>
      <w:r w:rsidR="003A1917">
        <w:t xml:space="preserve"> </w:t>
      </w:r>
      <w:r w:rsidRPr="001A3D2B">
        <w:t>weight</w:t>
      </w:r>
      <w:r w:rsidR="00427468">
        <w:t xml:space="preserve"> of </w:t>
      </w:r>
      <w:r w:rsidRPr="001A3D2B">
        <w:t>factors such as international collaboration</w:t>
      </w:r>
      <w:r w:rsidR="005853A9">
        <w:t xml:space="preserve"> and </w:t>
      </w:r>
      <w:r w:rsidRPr="001A3D2B">
        <w:t>network organization are distinct in these areas</w:t>
      </w:r>
      <w:r w:rsidR="005853A9">
        <w:t xml:space="preserve"> and </w:t>
      </w:r>
      <w:r w:rsidR="003A1917">
        <w:t xml:space="preserve">the </w:t>
      </w:r>
      <w:r w:rsidRPr="001A3D2B">
        <w:t>reasons for that are discussed.</w:t>
      </w:r>
    </w:p>
    <w:p w:rsidR="003474F2" w:rsidRPr="001A3D2B" w:rsidRDefault="003474F2" w:rsidP="003474F2">
      <w:pPr>
        <w:pStyle w:val="a3"/>
      </w:pPr>
      <w:r w:rsidRPr="001A3D2B">
        <w:t>Keywords: Bibliometric, Bibliometrics, Brazil, Citations, Collaboration, DEC, Development, Impact, Impact Factor, Indicators, Information Services, Information Storage</w:t>
      </w:r>
      <w:r w:rsidR="005853A9">
        <w:t xml:space="preserve"> and </w:t>
      </w:r>
      <w:r w:rsidRPr="001A3D2B">
        <w:t xml:space="preserve">Retrieval, Institute for Scientific Information, Institutions, International Collaboration, Journal Quality, Research, Science, Scientific Institutions, Scientific Policy, Scientometrics, </w:t>
      </w:r>
      <w:r w:rsidR="00D5664A">
        <w:t>Web</w:t>
      </w:r>
      <w:r w:rsidR="00427468">
        <w:t xml:space="preserve"> of </w:t>
      </w:r>
      <w:r w:rsidR="00D5664A">
        <w:t>Science</w:t>
      </w:r>
    </w:p>
    <w:p w:rsidR="003474F2" w:rsidRPr="001A3D2B" w:rsidRDefault="003474F2" w:rsidP="003474F2">
      <w:pPr>
        <w:pStyle w:val="a3"/>
      </w:pPr>
      <w:r w:rsidRPr="001A3D2B">
        <w:t>? Kellner, A.W.A.</w:t>
      </w:r>
      <w:r w:rsidR="005853A9">
        <w:t xml:space="preserve"> and </w:t>
      </w:r>
      <w:r w:rsidRPr="001A3D2B">
        <w:t xml:space="preserve">Ponciano, L.C.M.O. (2008), </w:t>
      </w:r>
      <w:r w:rsidR="00D5664A">
        <w:t>H-Index</w:t>
      </w:r>
      <w:r w:rsidRPr="001A3D2B">
        <w:t xml:space="preserve"> in</w:t>
      </w:r>
      <w:r w:rsidR="003A1917">
        <w:t xml:space="preserve"> the </w:t>
      </w:r>
      <w:r w:rsidRPr="001A3D2B">
        <w:t>Brazilian Academy</w:t>
      </w:r>
      <w:r w:rsidR="00427468">
        <w:t xml:space="preserve"> of </w:t>
      </w:r>
      <w:r w:rsidRPr="001A3D2B">
        <w:t>Sciences - comments</w:t>
      </w:r>
      <w:r w:rsidR="005853A9">
        <w:t xml:space="preserve"> and </w:t>
      </w:r>
      <w:r w:rsidRPr="001A3D2B">
        <w:t xml:space="preserve">concerns. </w:t>
      </w:r>
      <w:r w:rsidRPr="001A3D2B">
        <w:rPr>
          <w:i/>
          <w:iCs/>
        </w:rPr>
        <w:t>Anais da Academia Brasileira de Ciências</w:t>
      </w:r>
      <w:r w:rsidRPr="001A3D2B">
        <w:t xml:space="preserve">, </w:t>
      </w:r>
      <w:r w:rsidRPr="001A3D2B">
        <w:rPr>
          <w:b/>
          <w:bCs/>
        </w:rPr>
        <w:t>80</w:t>
      </w:r>
      <w:r w:rsidRPr="001A3D2B">
        <w:t xml:space="preserve"> (4), 771-781.</w:t>
      </w:r>
    </w:p>
    <w:p w:rsidR="003474F2" w:rsidRPr="001A3D2B" w:rsidRDefault="003474F2" w:rsidP="003474F2">
      <w:pPr>
        <w:pStyle w:val="a3"/>
      </w:pPr>
      <w:r w:rsidRPr="001A3D2B">
        <w:t xml:space="preserve">Full Text: </w:t>
      </w:r>
      <w:hyperlink r:id="rId727" w:history="1">
        <w:r w:rsidRPr="001A3D2B">
          <w:rPr>
            <w:rStyle w:val="a5"/>
          </w:rPr>
          <w:t>2008\Ana Aca Bra Cie80, 771.pdf</w:t>
        </w:r>
      </w:hyperlink>
    </w:p>
    <w:p w:rsidR="003474F2" w:rsidRPr="001A3D2B" w:rsidRDefault="003474F2" w:rsidP="003474F2">
      <w:pPr>
        <w:pStyle w:val="a3"/>
      </w:pPr>
      <w:r w:rsidRPr="001A3D2B">
        <w:t>Abstract: Bibliometric parameters have been used in order to evaluate a scientist</w:t>
      </w:r>
      <w:r w:rsidR="00700038">
        <w:t>’</w:t>
      </w:r>
      <w:r w:rsidR="00C13DDC">
        <w:t>s</w:t>
      </w:r>
      <w:r w:rsidRPr="001A3D2B">
        <w:t xml:space="preserve"> performance</w:t>
      </w:r>
      <w:r w:rsidR="00A37C1D">
        <w:t>. The</w:t>
      </w:r>
      <w:r w:rsidR="003A1917">
        <w:t xml:space="preserve"> </w:t>
      </w:r>
      <w:r w:rsidR="00D5664A">
        <w:t>h-Index</w:t>
      </w:r>
      <w:r w:rsidRPr="001A3D2B">
        <w:t xml:space="preserve"> has been gradually accepted as</w:t>
      </w:r>
      <w:r w:rsidR="003A1917">
        <w:t xml:space="preserve"> the </w:t>
      </w:r>
      <w:r w:rsidRPr="001A3D2B">
        <w:t>most adequate parameter for this purpose. To have an idea</w:t>
      </w:r>
      <w:r w:rsidR="00427468">
        <w:t xml:space="preserve"> of </w:t>
      </w:r>
      <w:r w:rsidRPr="001A3D2B">
        <w:t>this index among Brazilian scientists, we performed an analysis</w:t>
      </w:r>
      <w:r w:rsidR="00427468">
        <w:t xml:space="preserve"> of </w:t>
      </w:r>
      <w:r w:rsidRPr="001A3D2B">
        <w:t>this parameter for</w:t>
      </w:r>
      <w:r w:rsidR="003A1917">
        <w:t xml:space="preserve"> the </w:t>
      </w:r>
      <w:r w:rsidRPr="001A3D2B">
        <w:t>full members</w:t>
      </w:r>
      <w:r w:rsidR="00427468">
        <w:t xml:space="preserve"> of </w:t>
      </w:r>
      <w:r w:rsidR="003A1917">
        <w:t xml:space="preserve">the </w:t>
      </w:r>
      <w:r w:rsidRPr="001A3D2B">
        <w:t>Brazilian Academy</w:t>
      </w:r>
      <w:r w:rsidR="00427468">
        <w:t xml:space="preserve"> of </w:t>
      </w:r>
      <w:r w:rsidRPr="001A3D2B">
        <w:t>Sciences (BAS)</w:t>
      </w:r>
      <w:r w:rsidR="00A37C1D">
        <w:t>. The</w:t>
      </w:r>
      <w:r w:rsidR="003A1917">
        <w:t xml:space="preserve"> </w:t>
      </w:r>
      <w:r w:rsidR="00D5664A">
        <w:t>h-Index</w:t>
      </w:r>
      <w:r w:rsidR="00427468">
        <w:t xml:space="preserve"> of </w:t>
      </w:r>
      <w:r w:rsidRPr="001A3D2B">
        <w:t>402 members listed in 10 distinct categories by</w:t>
      </w:r>
      <w:r w:rsidR="003A1917">
        <w:t xml:space="preserve"> the </w:t>
      </w:r>
      <w:r w:rsidRPr="001A3D2B">
        <w:t>BAS was determined, cross-checked with</w:t>
      </w:r>
      <w:r w:rsidR="003A1917">
        <w:t xml:space="preserve"> the </w:t>
      </w:r>
      <w:r w:rsidRPr="001A3D2B">
        <w:t>curriculum vitae</w:t>
      </w:r>
      <w:r w:rsidR="00427468">
        <w:t xml:space="preserve"> of </w:t>
      </w:r>
      <w:r w:rsidRPr="001A3D2B">
        <w:t>each</w:t>
      </w:r>
      <w:r w:rsidR="00427468">
        <w:t xml:space="preserve"> of </w:t>
      </w:r>
      <w:r w:rsidRPr="001A3D2B">
        <w:t>them listed at</w:t>
      </w:r>
      <w:r w:rsidR="003A1917">
        <w:t xml:space="preserve"> the </w:t>
      </w:r>
      <w:r w:rsidRPr="001A3D2B">
        <w:t>Plataforma Lattes database (CVL)</w:t>
      </w:r>
      <w:r w:rsidR="005853A9">
        <w:t xml:space="preserve"> and </w:t>
      </w:r>
      <w:r w:rsidRPr="001A3D2B">
        <w:t>compared with each other. Despite</w:t>
      </w:r>
      <w:r w:rsidR="003A1917">
        <w:t xml:space="preserve"> the </w:t>
      </w:r>
      <w:r w:rsidRPr="001A3D2B">
        <w:t>large production, mostly in journals without impact factor,</w:t>
      </w:r>
      <w:r w:rsidR="003A1917">
        <w:t xml:space="preserve"> the </w:t>
      </w:r>
      <w:r w:rsidR="00D5664A">
        <w:t>h-Index</w:t>
      </w:r>
      <w:r w:rsidRPr="001A3D2B">
        <w:t>es among</w:t>
      </w:r>
      <w:r w:rsidR="003A1917">
        <w:t xml:space="preserve"> the </w:t>
      </w:r>
      <w:r w:rsidRPr="001A3D2B">
        <w:t>BAS members are comparatively low</w:t>
      </w:r>
      <w:r w:rsidR="005853A9">
        <w:t xml:space="preserve"> and </w:t>
      </w:r>
      <w:r w:rsidRPr="001A3D2B">
        <w:t>show a large variation in all</w:t>
      </w:r>
      <w:r w:rsidR="00427468">
        <w:t xml:space="preserve"> of </w:t>
      </w:r>
      <w:r w:rsidR="003A1917">
        <w:t xml:space="preserve">the </w:t>
      </w:r>
      <w:r w:rsidRPr="001A3D2B">
        <w:t>10 categories, particularly in Biomedical</w:t>
      </w:r>
      <w:r w:rsidR="005853A9">
        <w:t xml:space="preserve"> and </w:t>
      </w:r>
      <w:r w:rsidRPr="001A3D2B">
        <w:t>Physical sciences</w:t>
      </w:r>
      <w:r w:rsidR="00A37C1D">
        <w:t>. The</w:t>
      </w:r>
      <w:r w:rsidR="003A1917">
        <w:t xml:space="preserve"> </w:t>
      </w:r>
      <w:r w:rsidRPr="001A3D2B">
        <w:t>highest average</w:t>
      </w:r>
      <w:r w:rsidR="00427468">
        <w:t xml:space="preserve"> of </w:t>
      </w:r>
      <w:r w:rsidR="00D5664A">
        <w:t>h-Index</w:t>
      </w:r>
      <w:r w:rsidRPr="001A3D2B">
        <w:t xml:space="preserve"> values was found in Biomedical, Health</w:t>
      </w:r>
      <w:r w:rsidR="005853A9">
        <w:t xml:space="preserve"> and </w:t>
      </w:r>
      <w:r w:rsidRPr="001A3D2B">
        <w:t>Chemical sciences;</w:t>
      </w:r>
      <w:r w:rsidR="003A1917">
        <w:t xml:space="preserve"> the </w:t>
      </w:r>
      <w:r w:rsidRPr="001A3D2B">
        <w:t>lowest values were found in Human sciences where this index is meaningless. Several problems due to</w:t>
      </w:r>
      <w:r w:rsidR="003A1917">
        <w:t xml:space="preserve"> the </w:t>
      </w:r>
      <w:r w:rsidRPr="001A3D2B">
        <w:t>trend that new</w:t>
      </w:r>
      <w:r w:rsidR="005853A9">
        <w:t xml:space="preserve"> and </w:t>
      </w:r>
      <w:r w:rsidR="00B5188C">
        <w:t>“</w:t>
      </w:r>
      <w:r w:rsidRPr="001A3D2B">
        <w:t>fresh</w:t>
      </w:r>
      <w:r w:rsidR="00B5188C">
        <w:t>”</w:t>
      </w:r>
      <w:r w:rsidRPr="001A3D2B">
        <w:t xml:space="preserve"> </w:t>
      </w:r>
      <w:r w:rsidRPr="001A3D2B">
        <w:lastRenderedPageBreak/>
        <w:t xml:space="preserve">publications need be constantly produced (the </w:t>
      </w:r>
      <w:r w:rsidR="00B5188C">
        <w:t>“</w:t>
      </w:r>
      <w:r w:rsidRPr="001A3D2B">
        <w:t>bakery-effect</w:t>
      </w:r>
      <w:r w:rsidR="00B5188C">
        <w:t>”</w:t>
      </w:r>
      <w:r w:rsidRPr="001A3D2B">
        <w:t>) are discussed. This study points to</w:t>
      </w:r>
      <w:r w:rsidR="003A1917">
        <w:t xml:space="preserve"> the </w:t>
      </w:r>
      <w:r w:rsidRPr="001A3D2B">
        <w:t>need</w:t>
      </w:r>
      <w:r w:rsidR="00427468">
        <w:t xml:space="preserve"> of </w:t>
      </w:r>
      <w:r w:rsidRPr="001A3D2B">
        <w:t>developing countries such as Brazil to invest in national scientific journals in order to make them gradually part</w:t>
      </w:r>
      <w:r w:rsidR="00427468">
        <w:t xml:space="preserve"> of </w:t>
      </w:r>
      <w:r w:rsidR="003A1917">
        <w:t xml:space="preserve">the </w:t>
      </w:r>
      <w:r w:rsidRPr="001A3D2B">
        <w:t>mainstream journals. This would have a positive effect on bibliometric parameters</w:t>
      </w:r>
      <w:r w:rsidR="00427468">
        <w:t xml:space="preserve"> of </w:t>
      </w:r>
      <w:r w:rsidRPr="001A3D2B">
        <w:t>Brazilian researchers, including</w:t>
      </w:r>
      <w:r w:rsidR="003A1917">
        <w:t xml:space="preserve"> the </w:t>
      </w:r>
      <w:r w:rsidR="00D5664A">
        <w:t>h-Index</w:t>
      </w:r>
      <w:r w:rsidRPr="001A3D2B">
        <w:t>.</w:t>
      </w:r>
    </w:p>
    <w:p w:rsidR="003474F2" w:rsidRPr="001A3D2B" w:rsidRDefault="003474F2" w:rsidP="003474F2">
      <w:pPr>
        <w:pStyle w:val="a3"/>
      </w:pPr>
      <w:r w:rsidRPr="001A3D2B">
        <w:t>Keywords: Analysis, Articles, Bibliometric, Bibliometric Indexes, Brazil, Brazilian, Brazilian Academy</w:t>
      </w:r>
      <w:r w:rsidR="00427468">
        <w:t xml:space="preserve"> of </w:t>
      </w:r>
      <w:r w:rsidRPr="001A3D2B">
        <w:t xml:space="preserve">Sciences, Citations, Comments, Curriculum, Database, Developing, Developing Countries, </w:t>
      </w:r>
      <w:r w:rsidR="00D5664A">
        <w:t>h Index</w:t>
      </w:r>
      <w:r w:rsidRPr="001A3D2B">
        <w:t xml:space="preserve">, </w:t>
      </w:r>
      <w:r w:rsidR="00D5664A">
        <w:t>h-Index</w:t>
      </w:r>
      <w:r w:rsidRPr="001A3D2B">
        <w:t>, Impact, Impact Factor, Index, Journals, National, Performance, Production, Publications, Purpose, Sciences, Scientific Journals, Scientists, Scientometrics, Trend, Values</w:t>
      </w:r>
    </w:p>
    <w:p w:rsidR="00B06811" w:rsidRDefault="00B06811" w:rsidP="00B06811">
      <w:pPr>
        <w:pStyle w:val="a3"/>
        <w:rPr>
          <w:kern w:val="0"/>
          <w:szCs w:val="24"/>
        </w:rPr>
      </w:pPr>
      <w:r>
        <w:rPr>
          <w:rFonts w:hint="eastAsia"/>
          <w:kern w:val="0"/>
          <w:szCs w:val="24"/>
        </w:rPr>
        <w:t xml:space="preserve">? </w:t>
      </w:r>
      <w:r>
        <w:rPr>
          <w:kern w:val="0"/>
          <w:szCs w:val="24"/>
        </w:rPr>
        <w:t>Meneghini, R.</w:t>
      </w:r>
      <w:r w:rsidR="005853A9">
        <w:rPr>
          <w:kern w:val="0"/>
          <w:szCs w:val="24"/>
        </w:rPr>
        <w:t xml:space="preserve"> and </w:t>
      </w:r>
      <w:r>
        <w:rPr>
          <w:kern w:val="0"/>
          <w:szCs w:val="24"/>
        </w:rPr>
        <w:t>Gamba, E.C. (2011), Assessment</w:t>
      </w:r>
      <w:r w:rsidR="00427468">
        <w:rPr>
          <w:kern w:val="0"/>
          <w:szCs w:val="24"/>
        </w:rPr>
        <w:t xml:space="preserve"> of </w:t>
      </w:r>
      <w:r w:rsidR="003A1917">
        <w:rPr>
          <w:kern w:val="0"/>
          <w:szCs w:val="24"/>
        </w:rPr>
        <w:t xml:space="preserve">the </w:t>
      </w:r>
      <w:r>
        <w:rPr>
          <w:kern w:val="0"/>
          <w:szCs w:val="24"/>
        </w:rPr>
        <w:t>scientific-technological production in molecular biology in Brazil (1996-2007):</w:t>
      </w:r>
      <w:r w:rsidR="003A1917">
        <w:rPr>
          <w:kern w:val="0"/>
          <w:szCs w:val="24"/>
        </w:rPr>
        <w:t xml:space="preserve"> the </w:t>
      </w:r>
      <w:r>
        <w:rPr>
          <w:kern w:val="0"/>
          <w:szCs w:val="24"/>
        </w:rPr>
        <w:t>contribution</w:t>
      </w:r>
      <w:r w:rsidR="00427468">
        <w:rPr>
          <w:kern w:val="0"/>
          <w:szCs w:val="24"/>
        </w:rPr>
        <w:t xml:space="preserve"> of </w:t>
      </w:r>
      <w:r>
        <w:rPr>
          <w:kern w:val="0"/>
          <w:szCs w:val="24"/>
        </w:rPr>
        <w:t xml:space="preserve">genomics programs. </w:t>
      </w:r>
      <w:r>
        <w:rPr>
          <w:i/>
          <w:iCs/>
          <w:kern w:val="0"/>
          <w:szCs w:val="24"/>
        </w:rPr>
        <w:t>Anais da Academia Brasileira de Ciencias</w:t>
      </w:r>
      <w:r>
        <w:rPr>
          <w:kern w:val="0"/>
          <w:szCs w:val="24"/>
        </w:rPr>
        <w:t xml:space="preserve">, </w:t>
      </w:r>
      <w:r>
        <w:rPr>
          <w:b/>
          <w:bCs/>
          <w:kern w:val="0"/>
          <w:szCs w:val="24"/>
        </w:rPr>
        <w:t>83</w:t>
      </w:r>
      <w:r>
        <w:rPr>
          <w:kern w:val="0"/>
          <w:szCs w:val="24"/>
        </w:rPr>
        <w:t xml:space="preserve"> (2), 745-760.</w:t>
      </w:r>
    </w:p>
    <w:p w:rsidR="00B06811" w:rsidRPr="001A3D2B" w:rsidRDefault="00B06811" w:rsidP="00B06811">
      <w:pPr>
        <w:pStyle w:val="a3"/>
      </w:pPr>
      <w:r w:rsidRPr="001A3D2B">
        <w:t xml:space="preserve">Full Text: </w:t>
      </w:r>
      <w:hyperlink r:id="rId728" w:history="1">
        <w:r w:rsidRPr="0058153E">
          <w:rPr>
            <w:rStyle w:val="a5"/>
          </w:rPr>
          <w:t>2011\Ana Aca Bra Cie83, 745.pdf</w:t>
        </w:r>
      </w:hyperlink>
    </w:p>
    <w:p w:rsidR="00B06811" w:rsidRDefault="00B06811" w:rsidP="00B06811">
      <w:pPr>
        <w:pStyle w:val="a3"/>
        <w:rPr>
          <w:kern w:val="0"/>
          <w:szCs w:val="24"/>
        </w:rPr>
      </w:pPr>
      <w:r>
        <w:rPr>
          <w:kern w:val="0"/>
          <w:szCs w:val="24"/>
        </w:rPr>
        <w:t>Abstract: Several genome sequencing programs were launched in Brazil by</w:t>
      </w:r>
      <w:r w:rsidR="003A1917">
        <w:rPr>
          <w:kern w:val="0"/>
          <w:szCs w:val="24"/>
        </w:rPr>
        <w:t xml:space="preserve"> the </w:t>
      </w:r>
      <w:r>
        <w:rPr>
          <w:kern w:val="0"/>
          <w:szCs w:val="24"/>
        </w:rPr>
        <w:t>end</w:t>
      </w:r>
      <w:r w:rsidR="00427468">
        <w:rPr>
          <w:kern w:val="0"/>
          <w:szCs w:val="24"/>
        </w:rPr>
        <w:t xml:space="preserve"> of </w:t>
      </w:r>
      <w:r w:rsidR="003A1917">
        <w:rPr>
          <w:kern w:val="0"/>
          <w:szCs w:val="24"/>
        </w:rPr>
        <w:t xml:space="preserve">the </w:t>
      </w:r>
      <w:r>
        <w:rPr>
          <w:kern w:val="0"/>
          <w:szCs w:val="24"/>
        </w:rPr>
        <w:t>nineties</w:t>
      </w:r>
      <w:r w:rsidR="005853A9">
        <w:rPr>
          <w:kern w:val="0"/>
          <w:szCs w:val="24"/>
        </w:rPr>
        <w:t xml:space="preserve"> and </w:t>
      </w:r>
      <w:r w:rsidR="003A1917">
        <w:rPr>
          <w:kern w:val="0"/>
          <w:szCs w:val="24"/>
        </w:rPr>
        <w:t xml:space="preserve">the </w:t>
      </w:r>
      <w:r>
        <w:rPr>
          <w:kern w:val="0"/>
          <w:szCs w:val="24"/>
        </w:rPr>
        <w:t>early 2000s</w:t>
      </w:r>
      <w:r w:rsidR="00A37C1D">
        <w:rPr>
          <w:kern w:val="0"/>
          <w:szCs w:val="24"/>
        </w:rPr>
        <w:t>. The</w:t>
      </w:r>
      <w:r w:rsidR="003A1917">
        <w:rPr>
          <w:kern w:val="0"/>
          <w:szCs w:val="24"/>
        </w:rPr>
        <w:t xml:space="preserve"> </w:t>
      </w:r>
      <w:r>
        <w:rPr>
          <w:kern w:val="0"/>
          <w:szCs w:val="24"/>
        </w:rPr>
        <w:t>most important initiatives were supported by</w:t>
      </w:r>
      <w:r w:rsidR="003A1917">
        <w:rPr>
          <w:kern w:val="0"/>
          <w:szCs w:val="24"/>
        </w:rPr>
        <w:t xml:space="preserve"> the </w:t>
      </w:r>
      <w:r>
        <w:rPr>
          <w:kern w:val="0"/>
          <w:szCs w:val="24"/>
        </w:rPr>
        <w:t>ONSA program (http://watson.fapesp.br/onsa/Genoma3.htm)</w:t>
      </w:r>
      <w:r w:rsidR="005853A9">
        <w:rPr>
          <w:kern w:val="0"/>
          <w:szCs w:val="24"/>
        </w:rPr>
        <w:t xml:space="preserve"> and </w:t>
      </w:r>
      <w:r>
        <w:rPr>
          <w:kern w:val="0"/>
          <w:szCs w:val="24"/>
        </w:rPr>
        <w:t>aimed at gaining domain in genomic technology</w:t>
      </w:r>
      <w:r w:rsidR="005853A9">
        <w:rPr>
          <w:kern w:val="0"/>
          <w:szCs w:val="24"/>
        </w:rPr>
        <w:t xml:space="preserve"> and </w:t>
      </w:r>
      <w:r>
        <w:rPr>
          <w:kern w:val="0"/>
          <w:szCs w:val="24"/>
        </w:rPr>
        <w:t>bringing molecular biology to</w:t>
      </w:r>
      <w:r w:rsidR="003A1917">
        <w:rPr>
          <w:kern w:val="0"/>
          <w:szCs w:val="24"/>
        </w:rPr>
        <w:t xml:space="preserve"> the </w:t>
      </w:r>
      <w:r>
        <w:rPr>
          <w:kern w:val="0"/>
          <w:szCs w:val="24"/>
        </w:rPr>
        <w:t>state</w:t>
      </w:r>
      <w:r w:rsidR="00427468">
        <w:rPr>
          <w:kern w:val="0"/>
          <w:szCs w:val="24"/>
        </w:rPr>
        <w:t xml:space="preserve"> of </w:t>
      </w:r>
      <w:r>
        <w:rPr>
          <w:kern w:val="0"/>
          <w:szCs w:val="24"/>
        </w:rPr>
        <w:t>art. Two main sets</w:t>
      </w:r>
      <w:r w:rsidR="00427468">
        <w:rPr>
          <w:kern w:val="0"/>
          <w:szCs w:val="24"/>
        </w:rPr>
        <w:t xml:space="preserve"> of </w:t>
      </w:r>
      <w:r>
        <w:rPr>
          <w:kern w:val="0"/>
          <w:szCs w:val="24"/>
        </w:rPr>
        <w:t>data were collected in</w:t>
      </w:r>
      <w:r w:rsidR="003A1917">
        <w:rPr>
          <w:kern w:val="0"/>
          <w:szCs w:val="24"/>
        </w:rPr>
        <w:t xml:space="preserve"> the </w:t>
      </w:r>
      <w:r>
        <w:rPr>
          <w:kern w:val="0"/>
          <w:szCs w:val="24"/>
        </w:rPr>
        <w:t>1996-2007 period to evaluate</w:t>
      </w:r>
      <w:r w:rsidR="003A1917">
        <w:rPr>
          <w:kern w:val="0"/>
          <w:szCs w:val="24"/>
        </w:rPr>
        <w:t xml:space="preserve"> the </w:t>
      </w:r>
      <w:r>
        <w:rPr>
          <w:kern w:val="0"/>
          <w:szCs w:val="24"/>
        </w:rPr>
        <w:t>results</w:t>
      </w:r>
      <w:r w:rsidR="00427468">
        <w:rPr>
          <w:kern w:val="0"/>
          <w:szCs w:val="24"/>
        </w:rPr>
        <w:t xml:space="preserve"> of </w:t>
      </w:r>
      <w:r>
        <w:rPr>
          <w:kern w:val="0"/>
          <w:szCs w:val="24"/>
        </w:rPr>
        <w:t>these genome programs:</w:t>
      </w:r>
      <w:r w:rsidR="003A1917">
        <w:rPr>
          <w:kern w:val="0"/>
          <w:szCs w:val="24"/>
        </w:rPr>
        <w:t xml:space="preserve"> the </w:t>
      </w:r>
      <w:r>
        <w:rPr>
          <w:kern w:val="0"/>
          <w:szCs w:val="24"/>
        </w:rPr>
        <w:t>scientific production (Scopus</w:t>
      </w:r>
      <w:r w:rsidR="005853A9">
        <w:rPr>
          <w:kern w:val="0"/>
          <w:szCs w:val="24"/>
        </w:rPr>
        <w:t xml:space="preserve"> and </w:t>
      </w:r>
      <w:r w:rsidR="00D5664A">
        <w:rPr>
          <w:kern w:val="0"/>
          <w:szCs w:val="24"/>
        </w:rPr>
        <w:t>Web</w:t>
      </w:r>
      <w:r w:rsidR="00427468">
        <w:rPr>
          <w:kern w:val="0"/>
          <w:szCs w:val="24"/>
        </w:rPr>
        <w:t xml:space="preserve"> of </w:t>
      </w:r>
      <w:r w:rsidR="00D5664A">
        <w:rPr>
          <w:kern w:val="0"/>
          <w:szCs w:val="24"/>
        </w:rPr>
        <w:t>Science</w:t>
      </w:r>
      <w:r>
        <w:rPr>
          <w:kern w:val="0"/>
          <w:szCs w:val="24"/>
        </w:rPr>
        <w:t xml:space="preserve"> databases)</w:t>
      </w:r>
      <w:r w:rsidR="005853A9">
        <w:rPr>
          <w:kern w:val="0"/>
          <w:szCs w:val="24"/>
        </w:rPr>
        <w:t xml:space="preserve"> and </w:t>
      </w:r>
      <w:r w:rsidR="003A1917">
        <w:rPr>
          <w:kern w:val="0"/>
          <w:szCs w:val="24"/>
        </w:rPr>
        <w:t xml:space="preserve">the </w:t>
      </w:r>
      <w:r>
        <w:rPr>
          <w:kern w:val="0"/>
          <w:szCs w:val="24"/>
        </w:rPr>
        <w:t>register</w:t>
      </w:r>
      <w:r w:rsidR="00427468">
        <w:rPr>
          <w:kern w:val="0"/>
          <w:szCs w:val="24"/>
        </w:rPr>
        <w:t xml:space="preserve"> of </w:t>
      </w:r>
      <w:r>
        <w:rPr>
          <w:kern w:val="0"/>
          <w:szCs w:val="24"/>
        </w:rPr>
        <w:t>patents (US Patent</w:t>
      </w:r>
      <w:r w:rsidR="005853A9">
        <w:rPr>
          <w:kern w:val="0"/>
          <w:szCs w:val="24"/>
        </w:rPr>
        <w:t xml:space="preserve"> and </w:t>
      </w:r>
      <w:r>
        <w:rPr>
          <w:kern w:val="0"/>
          <w:szCs w:val="24"/>
        </w:rPr>
        <w:t>Trademark Office), both related to</w:t>
      </w:r>
      <w:r w:rsidR="003A1917">
        <w:rPr>
          <w:kern w:val="0"/>
          <w:szCs w:val="24"/>
        </w:rPr>
        <w:t xml:space="preserve"> the </w:t>
      </w:r>
      <w:r>
        <w:rPr>
          <w:kern w:val="0"/>
          <w:szCs w:val="24"/>
        </w:rPr>
        <w:t>progress</w:t>
      </w:r>
      <w:r w:rsidR="00427468">
        <w:rPr>
          <w:kern w:val="0"/>
          <w:szCs w:val="24"/>
        </w:rPr>
        <w:t xml:space="preserve"> of </w:t>
      </w:r>
      <w:r>
        <w:rPr>
          <w:kern w:val="0"/>
          <w:szCs w:val="24"/>
        </w:rPr>
        <w:t>molecular biology along this period. In regard to</w:t>
      </w:r>
      <w:r w:rsidR="003A1917">
        <w:rPr>
          <w:kern w:val="0"/>
          <w:szCs w:val="24"/>
        </w:rPr>
        <w:t xml:space="preserve"> the </w:t>
      </w:r>
      <w:r>
        <w:rPr>
          <w:kern w:val="0"/>
          <w:szCs w:val="24"/>
        </w:rPr>
        <w:t>former, Brazil took a great leap in comparison to 17 other developed</w:t>
      </w:r>
      <w:r w:rsidR="005853A9">
        <w:rPr>
          <w:kern w:val="0"/>
          <w:szCs w:val="24"/>
        </w:rPr>
        <w:t xml:space="preserve"> and </w:t>
      </w:r>
      <w:r>
        <w:rPr>
          <w:kern w:val="0"/>
          <w:szCs w:val="24"/>
        </w:rPr>
        <w:t>developing countries, being only surpassed by China. As to</w:t>
      </w:r>
      <w:r w:rsidR="003A1917">
        <w:rPr>
          <w:kern w:val="0"/>
          <w:szCs w:val="24"/>
        </w:rPr>
        <w:t xml:space="preserve"> the </w:t>
      </w:r>
      <w:r>
        <w:rPr>
          <w:kern w:val="0"/>
          <w:szCs w:val="24"/>
        </w:rPr>
        <w:t>register</w:t>
      </w:r>
      <w:r w:rsidR="00427468">
        <w:rPr>
          <w:kern w:val="0"/>
          <w:szCs w:val="24"/>
        </w:rPr>
        <w:t xml:space="preserve"> of </w:t>
      </w:r>
      <w:r>
        <w:rPr>
          <w:kern w:val="0"/>
          <w:szCs w:val="24"/>
        </w:rPr>
        <w:t>patents in</w:t>
      </w:r>
      <w:r w:rsidR="003A1917">
        <w:rPr>
          <w:kern w:val="0"/>
          <w:szCs w:val="24"/>
        </w:rPr>
        <w:t xml:space="preserve"> the </w:t>
      </w:r>
      <w:r>
        <w:rPr>
          <w:kern w:val="0"/>
          <w:szCs w:val="24"/>
        </w:rPr>
        <w:t>area</w:t>
      </w:r>
      <w:r w:rsidR="00427468">
        <w:rPr>
          <w:kern w:val="0"/>
          <w:szCs w:val="24"/>
        </w:rPr>
        <w:t xml:space="preserve"> of </w:t>
      </w:r>
      <w:r>
        <w:rPr>
          <w:kern w:val="0"/>
          <w:szCs w:val="24"/>
        </w:rPr>
        <w:t>molecular biology, Brazil</w:t>
      </w:r>
      <w:r w:rsidR="00700038">
        <w:rPr>
          <w:kern w:val="0"/>
          <w:szCs w:val="24"/>
        </w:rPr>
        <w:t>’</w:t>
      </w:r>
      <w:r w:rsidR="00C13DDC">
        <w:rPr>
          <w:kern w:val="0"/>
          <w:szCs w:val="24"/>
        </w:rPr>
        <w:t>s</w:t>
      </w:r>
      <w:r>
        <w:rPr>
          <w:kern w:val="0"/>
          <w:szCs w:val="24"/>
        </w:rPr>
        <w:t xml:space="preserve"> performance lags far behind most</w:t>
      </w:r>
      <w:r w:rsidR="00427468">
        <w:rPr>
          <w:kern w:val="0"/>
          <w:szCs w:val="24"/>
        </w:rPr>
        <w:t xml:space="preserve"> of </w:t>
      </w:r>
      <w:r w:rsidR="003A1917">
        <w:rPr>
          <w:kern w:val="0"/>
          <w:szCs w:val="24"/>
        </w:rPr>
        <w:t xml:space="preserve">the </w:t>
      </w:r>
      <w:r>
        <w:rPr>
          <w:kern w:val="0"/>
          <w:szCs w:val="24"/>
        </w:rPr>
        <w:t>countries focused in</w:t>
      </w:r>
      <w:r w:rsidR="003A1917">
        <w:rPr>
          <w:kern w:val="0"/>
          <w:szCs w:val="24"/>
        </w:rPr>
        <w:t xml:space="preserve"> the </w:t>
      </w:r>
      <w:r>
        <w:rPr>
          <w:kern w:val="0"/>
          <w:szCs w:val="24"/>
        </w:rPr>
        <w:t>present study, confirming</w:t>
      </w:r>
      <w:r w:rsidR="003A1917">
        <w:rPr>
          <w:kern w:val="0"/>
          <w:szCs w:val="24"/>
        </w:rPr>
        <w:t xml:space="preserve"> the </w:t>
      </w:r>
      <w:r>
        <w:rPr>
          <w:kern w:val="0"/>
          <w:szCs w:val="24"/>
        </w:rPr>
        <w:t>Brazilian long-standing tendency</w:t>
      </w:r>
      <w:r w:rsidR="00427468">
        <w:rPr>
          <w:kern w:val="0"/>
          <w:szCs w:val="24"/>
        </w:rPr>
        <w:t xml:space="preserve"> of </w:t>
      </w:r>
      <w:r>
        <w:rPr>
          <w:kern w:val="0"/>
          <w:szCs w:val="24"/>
        </w:rPr>
        <w:t>poor achievements in technological innovations when compared with scientific production. Possible solutions to surpass this inequality are discussed.</w:t>
      </w:r>
    </w:p>
    <w:p w:rsidR="00B06811" w:rsidRDefault="00B06811" w:rsidP="00B06811">
      <w:pPr>
        <w:pStyle w:val="a3"/>
        <w:rPr>
          <w:kern w:val="0"/>
          <w:szCs w:val="24"/>
        </w:rPr>
      </w:pPr>
      <w:r>
        <w:rPr>
          <w:kern w:val="0"/>
          <w:szCs w:val="24"/>
        </w:rPr>
        <w:t>Keywords: Biology, Brazil, China, Databases, Developing Countries, Genomics, Molecular Biology, Multidisciplinary, Science Assessment, Scientometrics, Scopus, Sequence</w:t>
      </w:r>
      <w:r w:rsidR="008C1C37">
        <w:rPr>
          <w:kern w:val="0"/>
          <w:szCs w:val="24"/>
        </w:rPr>
        <w:t>, US,</w:t>
      </w:r>
      <w:r>
        <w:rPr>
          <w:kern w:val="0"/>
          <w:szCs w:val="24"/>
        </w:rPr>
        <w:t xml:space="preserve"> </w:t>
      </w:r>
      <w:r w:rsidR="00D5664A">
        <w:rPr>
          <w:kern w:val="0"/>
          <w:szCs w:val="24"/>
        </w:rPr>
        <w:t>Web</w:t>
      </w:r>
      <w:r w:rsidR="00427468">
        <w:rPr>
          <w:kern w:val="0"/>
          <w:szCs w:val="24"/>
        </w:rPr>
        <w:t xml:space="preserve"> of </w:t>
      </w:r>
      <w:r w:rsidR="00D5664A">
        <w:rPr>
          <w:kern w:val="0"/>
          <w:szCs w:val="24"/>
        </w:rPr>
        <w:t>Science</w:t>
      </w:r>
    </w:p>
    <w:p w:rsidR="00A04D4B" w:rsidRDefault="00A04D4B" w:rsidP="00A04D4B">
      <w:pPr>
        <w:pStyle w:val="a3"/>
        <w:rPr>
          <w:kern w:val="0"/>
        </w:rPr>
      </w:pPr>
      <w:r>
        <w:rPr>
          <w:rFonts w:hint="eastAsia"/>
          <w:kern w:val="0"/>
        </w:rPr>
        <w:t xml:space="preserve">? </w:t>
      </w:r>
      <w:r>
        <w:rPr>
          <w:kern w:val="0"/>
        </w:rPr>
        <w:t xml:space="preserve">Barbosa, F.G. (2014), The scientific literature on </w:t>
      </w:r>
      <w:r w:rsidRPr="00AE1E70">
        <w:rPr>
          <w:i/>
          <w:kern w:val="0"/>
        </w:rPr>
        <w:t>Limnoperna fortunei</w:t>
      </w:r>
      <w:r>
        <w:rPr>
          <w:kern w:val="0"/>
        </w:rPr>
        <w:t xml:space="preserve"> (Dunker 1857) from 1982 to 2012. </w:t>
      </w:r>
      <w:r>
        <w:rPr>
          <w:i/>
          <w:iCs/>
          <w:kern w:val="0"/>
        </w:rPr>
        <w:t xml:space="preserve">Anais da Academia Brasileira de </w:t>
      </w:r>
      <w:r w:rsidRPr="00F219CA">
        <w:rPr>
          <w:i/>
          <w:iCs/>
        </w:rPr>
        <w:t>Ciências</w:t>
      </w:r>
      <w:r>
        <w:rPr>
          <w:kern w:val="0"/>
        </w:rPr>
        <w:t xml:space="preserve">, </w:t>
      </w:r>
      <w:r>
        <w:rPr>
          <w:b/>
          <w:bCs/>
          <w:kern w:val="0"/>
        </w:rPr>
        <w:t>86</w:t>
      </w:r>
      <w:r>
        <w:rPr>
          <w:kern w:val="0"/>
        </w:rPr>
        <w:t xml:space="preserve"> (3), 1373-1383.</w:t>
      </w:r>
    </w:p>
    <w:p w:rsidR="00A04D4B" w:rsidRPr="001A3D2B" w:rsidRDefault="00A04D4B" w:rsidP="00A04D4B">
      <w:pPr>
        <w:pStyle w:val="a3"/>
      </w:pPr>
      <w:r w:rsidRPr="001A3D2B">
        <w:t xml:space="preserve">Full Text: </w:t>
      </w:r>
      <w:hyperlink r:id="rId729" w:history="1">
        <w:r w:rsidRPr="00AE1E70">
          <w:rPr>
            <w:rStyle w:val="a5"/>
          </w:rPr>
          <w:t>2014\Ana Aca Bra Cie86, 1373.pdf</w:t>
        </w:r>
      </w:hyperlink>
    </w:p>
    <w:p w:rsidR="00A04D4B" w:rsidRDefault="00A04D4B" w:rsidP="00A04D4B">
      <w:pPr>
        <w:pStyle w:val="a3"/>
        <w:rPr>
          <w:kern w:val="0"/>
        </w:rPr>
      </w:pPr>
      <w:r>
        <w:rPr>
          <w:kern w:val="0"/>
        </w:rPr>
        <w:t xml:space="preserve">Abstract: Limnoperna fortunei (golden mussel) is a freshwater bivalve native to Southeast Asia, but is becoming an invasive species in several aquatic ecosystems in the world. In this study, a scientometric analysis was performed to identify the patterns, trends and gaps of knowledge for this invasive species. A survey of the published literature was conducted using the database of the Thomson Institute for </w:t>
      </w:r>
      <w:r>
        <w:rPr>
          <w:kern w:val="0"/>
        </w:rPr>
        <w:lastRenderedPageBreak/>
        <w:t>Scientific Information (ISI). A total of 107 papers were surveyed that were published between 1982 and 2012 in 60 journals. The number of papers on L. fortunei over the years has increased, especially within the last eight years of the study period. Argentina, Brazil, and Japan are the countries that contributed the most papers to the literature on invasive bivalve. The majority of papers were field-observational studies. Among some important gaps that need to be addressed are the relatively small number and/or lack of studies conducted in the native countries and in countries invaded by L. fortunei, the lack of internationally collaborative publications in these countries, as well as a low number of internationally collaborative studies.</w:t>
      </w:r>
    </w:p>
    <w:p w:rsidR="00A04D4B" w:rsidRDefault="00A04D4B" w:rsidP="00A04D4B">
      <w:pPr>
        <w:pStyle w:val="a3"/>
        <w:rPr>
          <w:kern w:val="0"/>
        </w:rPr>
      </w:pPr>
      <w:r>
        <w:rPr>
          <w:kern w:val="0"/>
        </w:rPr>
        <w:t>Keywords: Analysis, Aquatic, Aquatic Ecosystems, Argentina, Asia, Biological Invasions, Bivalvia, Brazil, Database, De-La-Plata, Ecosystems, Freshwater, From, Golden Mussel, Golden Mussel, Information, Institute For Scientific Information, Invasion Ecology, Invasive, ISI, Japan, Journals, Knowledge, Literature, Mytilidae, Nuisance Mussel, Papers, Paraguay River, Potential Spread, Publications, Scientific Literature, Scientific Production, Scientometric, Scientometric Analysis, Small, South-America, Southeast Asia, Species, Survey, Trends, World</w:t>
      </w:r>
    </w:p>
    <w:p w:rsidR="00485005" w:rsidRDefault="00485005" w:rsidP="00485005">
      <w:pPr>
        <w:pStyle w:val="a3"/>
        <w:rPr>
          <w:kern w:val="0"/>
        </w:rPr>
      </w:pPr>
      <w:r>
        <w:rPr>
          <w:rFonts w:hint="eastAsia"/>
          <w:kern w:val="0"/>
        </w:rPr>
        <w:t xml:space="preserve">? </w:t>
      </w:r>
      <w:r>
        <w:rPr>
          <w:kern w:val="0"/>
        </w:rPr>
        <w:t xml:space="preserve">Campos, F.S., Brito, D. and Sole, M. (2014), Diversity patterns, research trends and mismatches of the investigative efforts to amphibian conservation in Brazil. </w:t>
      </w:r>
      <w:r>
        <w:rPr>
          <w:i/>
          <w:iCs/>
          <w:kern w:val="0"/>
        </w:rPr>
        <w:t>Anais da Academia Brasileira de Ciencias</w:t>
      </w:r>
      <w:r>
        <w:rPr>
          <w:kern w:val="0"/>
        </w:rPr>
        <w:t xml:space="preserve">, </w:t>
      </w:r>
      <w:r>
        <w:rPr>
          <w:b/>
          <w:bCs/>
          <w:kern w:val="0"/>
        </w:rPr>
        <w:t>86</w:t>
      </w:r>
      <w:r>
        <w:rPr>
          <w:kern w:val="0"/>
        </w:rPr>
        <w:t xml:space="preserve"> (4), 1873-1886.</w:t>
      </w:r>
    </w:p>
    <w:p w:rsidR="00485005" w:rsidRPr="001A3D2B" w:rsidRDefault="00485005" w:rsidP="00485005">
      <w:pPr>
        <w:pStyle w:val="a3"/>
      </w:pPr>
      <w:r w:rsidRPr="001A3D2B">
        <w:t xml:space="preserve">Full Text: </w:t>
      </w:r>
      <w:hyperlink r:id="rId730" w:history="1">
        <w:r w:rsidRPr="00485005">
          <w:rPr>
            <w:rStyle w:val="a5"/>
          </w:rPr>
          <w:t>2014\Ana Aca Bra Cie86, 1873.pdf</w:t>
        </w:r>
      </w:hyperlink>
    </w:p>
    <w:p w:rsidR="00485005" w:rsidRDefault="00485005" w:rsidP="00485005">
      <w:pPr>
        <w:pStyle w:val="a3"/>
        <w:rPr>
          <w:kern w:val="0"/>
        </w:rPr>
      </w:pPr>
      <w:r>
        <w:rPr>
          <w:kern w:val="0"/>
        </w:rPr>
        <w:t>Abstract: The number of papers on biology of amphibians has increased in the recent years. A detailed overview of the publications on amphibians can be very useful in assessing the status of our knowledge about this taxonomic group. Due to the large number of articles published, we aimed to assess the scientific contribution of herpetological researches carried out between the years 2001 and 2010 on Brazilian amphibians, considering the diversity patterns, the threats and the research topics that have been published most often. We applied scientometric attention indexes in the reviewed studies from seven scientific databases. To examine the relationship between the numbers of species recorded locally and regionally at different spatial scales, we used an additive partitioning of diversity in three hierarchical levels (i.e., states, geographic regions and biomes). We evaluated 892 articles and 914 species, which showed that 65 % of the total diversity of Brazilian amphibian species was represented by the beta diversity among the biomes. We identified many differences in the allocation of research efforts for taxonomic groups, threats categories, geographic regions, and research topics, highlighting the main research trends conducted and the priority themes for investigation of further papers on Brazilian amphibians.</w:t>
      </w:r>
    </w:p>
    <w:p w:rsidR="00485005" w:rsidRDefault="00485005" w:rsidP="00485005">
      <w:pPr>
        <w:pStyle w:val="a3"/>
        <w:rPr>
          <w:kern w:val="0"/>
        </w:rPr>
      </w:pPr>
      <w:r>
        <w:rPr>
          <w:kern w:val="0"/>
        </w:rPr>
        <w:t xml:space="preserve">Keywords: Additive Diversity Partitioning, Allocation, American Bullfrog, Amphibians, </w:t>
      </w:r>
      <w:r>
        <w:rPr>
          <w:kern w:val="0"/>
        </w:rPr>
        <w:lastRenderedPageBreak/>
        <w:t>Anurans, Articles, Assessing, Attention, Attention Index, Biology, Brazil, Conservation, Contribution, Databases, Diversity, Extinctions, Frogs, From, Groups, Investigation, Knowledge, Lithobates-Catesbeianus, Overview, Papers, Partitioning, Population Declines, Priorities, Publications, Recent, Research, Research Trends, Scales, Scientometric, Scientometry, Species, Temporal Trend, Trends</w:t>
      </w:r>
    </w:p>
    <w:p w:rsidR="003474F2" w:rsidRPr="001A3D2B" w:rsidRDefault="003474F2" w:rsidP="003474F2">
      <w:pPr>
        <w:pStyle w:val="1"/>
      </w:pPr>
      <w:r w:rsidRPr="001A3D2B">
        <w:br w:type="page"/>
      </w:r>
      <w:bookmarkStart w:id="371" w:name="_Toc420814454"/>
      <w:r w:rsidRPr="001A3D2B">
        <w:lastRenderedPageBreak/>
        <w:t>Title: Anales Espa</w:t>
      </w:r>
      <w:r w:rsidR="00C30A18">
        <w:t>ñ</w:t>
      </w:r>
      <w:r w:rsidRPr="001A3D2B">
        <w:t>oles de Pediatria</w:t>
      </w:r>
      <w:bookmarkEnd w:id="371"/>
    </w:p>
    <w:p w:rsidR="003474F2" w:rsidRPr="001A3D2B" w:rsidRDefault="003474F2" w:rsidP="003474F2">
      <w:pPr>
        <w:pStyle w:val="12"/>
      </w:pPr>
      <w:r w:rsidRPr="001A3D2B">
        <w:t xml:space="preserve">Full Journal Title: </w:t>
      </w:r>
      <w:hyperlink r:id="rId731" w:history="1">
        <w:r w:rsidRPr="005C6431">
          <w:rPr>
            <w:rStyle w:val="a5"/>
          </w:rPr>
          <w:t>Anales Espanoles de Pediatria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xml:space="preserve">? </w:t>
      </w:r>
      <w:smartTag w:uri="urn:schemas-microsoft-com:office:smarttags" w:element="place">
        <w:smartTag w:uri="urn:schemas-microsoft-com:office:smarttags" w:element="City">
          <w:r w:rsidRPr="001A3D2B">
            <w:t>Vila</w:t>
          </w:r>
        </w:smartTag>
      </w:smartTag>
      <w:r w:rsidRPr="001A3D2B">
        <w:t>, A.G. (1978), Pediatric bibliometrics. 1. Descriptive statistics on pediatric books</w:t>
      </w:r>
      <w:r w:rsidR="005853A9">
        <w:t xml:space="preserve"> and </w:t>
      </w:r>
      <w:r w:rsidRPr="001A3D2B">
        <w:t xml:space="preserve">pamphlets. </w:t>
      </w:r>
      <w:r w:rsidRPr="001A3D2B">
        <w:rPr>
          <w:i/>
          <w:iCs/>
        </w:rPr>
        <w:t xml:space="preserve">Anales </w:t>
      </w:r>
      <w:r w:rsidR="00C30A18" w:rsidRPr="00E64737">
        <w:rPr>
          <w:i/>
          <w:iCs/>
          <w:kern w:val="0"/>
        </w:rPr>
        <w:t>Espa</w:t>
      </w:r>
      <w:r w:rsidR="00C30A18" w:rsidRPr="00E64737">
        <w:rPr>
          <w:i/>
        </w:rPr>
        <w:t>ñ</w:t>
      </w:r>
      <w:r w:rsidR="00C30A18" w:rsidRPr="00E64737">
        <w:rPr>
          <w:i/>
          <w:iCs/>
          <w:kern w:val="0"/>
        </w:rPr>
        <w:t>oles</w:t>
      </w:r>
      <w:r w:rsidR="00C30A18" w:rsidRPr="00F219CA">
        <w:rPr>
          <w:i/>
          <w:iCs/>
          <w:kern w:val="0"/>
        </w:rPr>
        <w:t xml:space="preserve"> </w:t>
      </w:r>
      <w:r w:rsidRPr="001A3D2B">
        <w:rPr>
          <w:i/>
          <w:iCs/>
        </w:rPr>
        <w:t>de Pediatria</w:t>
      </w:r>
      <w:r w:rsidRPr="001A3D2B">
        <w:t xml:space="preserve">, </w:t>
      </w:r>
      <w:r w:rsidRPr="001A3D2B">
        <w:rPr>
          <w:b/>
          <w:bCs/>
        </w:rPr>
        <w:t>11</w:t>
      </w:r>
      <w:r w:rsidRPr="001A3D2B">
        <w:t xml:space="preserve"> (4), 295-300.</w:t>
      </w:r>
    </w:p>
    <w:p w:rsidR="003474F2" w:rsidRPr="001A3D2B" w:rsidRDefault="003474F2" w:rsidP="003474F2">
      <w:pPr>
        <w:pStyle w:val="a3"/>
      </w:pPr>
      <w:r w:rsidRPr="001A3D2B">
        <w:t xml:space="preserve">? </w:t>
      </w:r>
      <w:smartTag w:uri="urn:schemas-microsoft-com:office:smarttags" w:element="place">
        <w:smartTag w:uri="urn:schemas-microsoft-com:office:smarttags" w:element="City">
          <w:r w:rsidRPr="001A3D2B">
            <w:t>Vila</w:t>
          </w:r>
        </w:smartTag>
      </w:smartTag>
      <w:r w:rsidRPr="001A3D2B">
        <w:t>, A.G. (1978), Pediatric bibliometrics. 2. Descriptive statistics on pediatric periodicals</w:t>
      </w:r>
      <w:r w:rsidR="005853A9">
        <w:t xml:space="preserve"> and </w:t>
      </w:r>
      <w:r w:rsidRPr="001A3D2B">
        <w:t xml:space="preserve">papers. </w:t>
      </w:r>
      <w:r w:rsidRPr="001A3D2B">
        <w:rPr>
          <w:i/>
          <w:iCs/>
        </w:rPr>
        <w:t xml:space="preserve">Anales </w:t>
      </w:r>
      <w:r w:rsidR="00C30A18" w:rsidRPr="00E64737">
        <w:rPr>
          <w:i/>
          <w:iCs/>
          <w:kern w:val="0"/>
        </w:rPr>
        <w:t>Espa</w:t>
      </w:r>
      <w:r w:rsidR="00C30A18" w:rsidRPr="00E64737">
        <w:rPr>
          <w:i/>
        </w:rPr>
        <w:t>ñ</w:t>
      </w:r>
      <w:r w:rsidR="00C30A18" w:rsidRPr="00E64737">
        <w:rPr>
          <w:i/>
          <w:iCs/>
          <w:kern w:val="0"/>
        </w:rPr>
        <w:t>oles</w:t>
      </w:r>
      <w:r w:rsidR="00C30A18" w:rsidRPr="00F219CA">
        <w:rPr>
          <w:i/>
          <w:iCs/>
          <w:kern w:val="0"/>
        </w:rPr>
        <w:t xml:space="preserve"> </w:t>
      </w:r>
      <w:r w:rsidRPr="001A3D2B">
        <w:rPr>
          <w:i/>
          <w:iCs/>
        </w:rPr>
        <w:t>de Pediatria</w:t>
      </w:r>
      <w:r w:rsidRPr="001A3D2B">
        <w:t xml:space="preserve">, </w:t>
      </w:r>
      <w:r w:rsidRPr="001A3D2B">
        <w:rPr>
          <w:b/>
          <w:bCs/>
        </w:rPr>
        <w:t>11</w:t>
      </w:r>
      <w:r w:rsidRPr="001A3D2B">
        <w:t xml:space="preserve"> (4), 301-318.</w:t>
      </w:r>
    </w:p>
    <w:p w:rsidR="003474F2" w:rsidRPr="001A3D2B" w:rsidRDefault="003474F2" w:rsidP="003474F2">
      <w:pPr>
        <w:pStyle w:val="a3"/>
      </w:pPr>
      <w:r w:rsidRPr="001A3D2B">
        <w:t>? Garciavila, A. (1978), Pediatric bibliometrics. 3. World circulation</w:t>
      </w:r>
      <w:r w:rsidR="00427468">
        <w:t xml:space="preserve"> of </w:t>
      </w:r>
      <w:r w:rsidRPr="001A3D2B">
        <w:t xml:space="preserve">pediatric periodicals. </w:t>
      </w:r>
      <w:r w:rsidRPr="001A3D2B">
        <w:rPr>
          <w:i/>
          <w:iCs/>
        </w:rPr>
        <w:t xml:space="preserve">Anales </w:t>
      </w:r>
      <w:r w:rsidR="00C30A18" w:rsidRPr="00E64737">
        <w:rPr>
          <w:i/>
          <w:iCs/>
          <w:kern w:val="0"/>
        </w:rPr>
        <w:t>Espa</w:t>
      </w:r>
      <w:r w:rsidR="00C30A18" w:rsidRPr="00E64737">
        <w:rPr>
          <w:i/>
        </w:rPr>
        <w:t>ñ</w:t>
      </w:r>
      <w:r w:rsidR="00C30A18" w:rsidRPr="00E64737">
        <w:rPr>
          <w:i/>
          <w:iCs/>
          <w:kern w:val="0"/>
        </w:rPr>
        <w:t>oles</w:t>
      </w:r>
      <w:r w:rsidR="00C30A18" w:rsidRPr="00F219CA">
        <w:rPr>
          <w:i/>
          <w:iCs/>
          <w:kern w:val="0"/>
        </w:rPr>
        <w:t xml:space="preserve"> </w:t>
      </w:r>
      <w:r w:rsidRPr="001A3D2B">
        <w:rPr>
          <w:i/>
          <w:iCs/>
        </w:rPr>
        <w:t>de Pediatria</w:t>
      </w:r>
      <w:r w:rsidRPr="001A3D2B">
        <w:t xml:space="preserve">, </w:t>
      </w:r>
      <w:r w:rsidRPr="001A3D2B">
        <w:rPr>
          <w:b/>
          <w:bCs/>
        </w:rPr>
        <w:t>11</w:t>
      </w:r>
      <w:r w:rsidRPr="001A3D2B">
        <w:t xml:space="preserve"> (5), 427-438.</w:t>
      </w:r>
    </w:p>
    <w:p w:rsidR="00B71929" w:rsidRPr="001A3D2B" w:rsidRDefault="00B71929" w:rsidP="00B71929">
      <w:pPr>
        <w:pStyle w:val="1"/>
      </w:pPr>
      <w:r w:rsidRPr="001A3D2B">
        <w:br w:type="page"/>
      </w:r>
      <w:bookmarkStart w:id="372" w:name="_Toc420814455"/>
      <w:r w:rsidRPr="001A3D2B">
        <w:lastRenderedPageBreak/>
        <w:t>Title: Anales de Farmacia Hospitalaria</w:t>
      </w:r>
      <w:bookmarkEnd w:id="372"/>
    </w:p>
    <w:p w:rsidR="00B71929" w:rsidRPr="001A3D2B" w:rsidRDefault="00B71929" w:rsidP="00B71929">
      <w:pPr>
        <w:pStyle w:val="12"/>
      </w:pPr>
      <w:r w:rsidRPr="001A3D2B">
        <w:t>Full Journal Title: Anales de Farmacia Hospitalaria</w:t>
      </w:r>
    </w:p>
    <w:p w:rsidR="00B71929" w:rsidRPr="001A3D2B" w:rsidRDefault="00B71929" w:rsidP="00B71929">
      <w:pPr>
        <w:pStyle w:val="12"/>
      </w:pPr>
      <w:r w:rsidRPr="001A3D2B">
        <w:t xml:space="preserve">ISO Abbreviated Title: </w:t>
      </w:r>
    </w:p>
    <w:p w:rsidR="00B71929" w:rsidRPr="001A3D2B" w:rsidRDefault="00B71929" w:rsidP="00B71929">
      <w:pPr>
        <w:pStyle w:val="12"/>
      </w:pPr>
      <w:r w:rsidRPr="001A3D2B">
        <w:t xml:space="preserve">JCR Abbreviated Title: </w:t>
      </w:r>
    </w:p>
    <w:p w:rsidR="00B71929" w:rsidRPr="001A3D2B" w:rsidRDefault="00B71929" w:rsidP="00B71929">
      <w:pPr>
        <w:pStyle w:val="12"/>
      </w:pPr>
      <w:r w:rsidRPr="001A3D2B">
        <w:t>ISSN: 1130-6343</w:t>
      </w:r>
    </w:p>
    <w:p w:rsidR="00B71929" w:rsidRPr="001A3D2B" w:rsidRDefault="00B71929" w:rsidP="00B71929">
      <w:pPr>
        <w:pStyle w:val="12"/>
      </w:pPr>
      <w:r w:rsidRPr="001A3D2B">
        <w:t xml:space="preserve">Issues/Year: </w:t>
      </w:r>
    </w:p>
    <w:p w:rsidR="00B71929" w:rsidRPr="001A3D2B" w:rsidRDefault="00B71929" w:rsidP="00B71929">
      <w:pPr>
        <w:pStyle w:val="12"/>
      </w:pPr>
      <w:r w:rsidRPr="001A3D2B">
        <w:t xml:space="preserve">Journal Country/Territory: </w:t>
      </w:r>
    </w:p>
    <w:p w:rsidR="00B71929" w:rsidRPr="001A3D2B" w:rsidRDefault="00B71929" w:rsidP="00B71929">
      <w:pPr>
        <w:pStyle w:val="12"/>
      </w:pPr>
      <w:r w:rsidRPr="001A3D2B">
        <w:t xml:space="preserve">Language: </w:t>
      </w:r>
    </w:p>
    <w:p w:rsidR="00B71929" w:rsidRPr="001A3D2B" w:rsidRDefault="00B71929" w:rsidP="00B71929">
      <w:pPr>
        <w:pStyle w:val="12"/>
      </w:pPr>
      <w:r w:rsidRPr="001A3D2B">
        <w:t>Publisher:</w:t>
      </w:r>
    </w:p>
    <w:p w:rsidR="00B71929" w:rsidRPr="001A3D2B" w:rsidRDefault="00B71929" w:rsidP="00B71929">
      <w:pPr>
        <w:pStyle w:val="12"/>
      </w:pPr>
      <w:r w:rsidRPr="001A3D2B">
        <w:t xml:space="preserve">Publisher Address: </w:t>
      </w:r>
    </w:p>
    <w:p w:rsidR="00B71929" w:rsidRPr="001A3D2B" w:rsidRDefault="00B71929" w:rsidP="00B71929">
      <w:pPr>
        <w:pStyle w:val="12"/>
      </w:pPr>
      <w:r w:rsidRPr="001A3D2B">
        <w:t>Subject Categories:</w:t>
      </w:r>
    </w:p>
    <w:p w:rsidR="00B71929" w:rsidRPr="001A3D2B" w:rsidRDefault="00B71929" w:rsidP="00B71929">
      <w:pPr>
        <w:pStyle w:val="12"/>
      </w:pPr>
      <w:r w:rsidRPr="001A3D2B">
        <w:t xml:space="preserve">: Impact Factor </w:t>
      </w:r>
    </w:p>
    <w:p w:rsidR="00B71929" w:rsidRPr="001A3D2B" w:rsidRDefault="00B71929" w:rsidP="00B71929">
      <w:pPr>
        <w:pStyle w:val="a3"/>
      </w:pPr>
      <w:r w:rsidRPr="001A3D2B">
        <w:t>? Santos Ramos, B., Artacho Criado, S., Clopes Estela, A., Guerrero Aznar, M.D., Ferriols Lisart, R., Martinez Bengoechea, M.J., Ordovas Baines, J.P.</w:t>
      </w:r>
      <w:r w:rsidR="005853A9">
        <w:t xml:space="preserve"> and </w:t>
      </w:r>
      <w:r w:rsidRPr="001A3D2B">
        <w:t>Otero Lopez, M.J. (2007</w:t>
      </w:r>
      <w:r w:rsidR="00F42EAC">
        <w:t>), The</w:t>
      </w:r>
      <w:r w:rsidR="003A1917">
        <w:t xml:space="preserve"> </w:t>
      </w:r>
      <w:r w:rsidRPr="001A3D2B">
        <w:t>international situation</w:t>
      </w:r>
      <w:r w:rsidR="005853A9">
        <w:t xml:space="preserve"> and </w:t>
      </w:r>
      <w:r w:rsidR="003A1917">
        <w:t xml:space="preserve">the </w:t>
      </w:r>
      <w:r w:rsidRPr="001A3D2B">
        <w:rPr>
          <w:i/>
          <w:iCs/>
        </w:rPr>
        <w:t>Farmacia Hospitalaria</w:t>
      </w:r>
      <w:r w:rsidRPr="001A3D2B">
        <w:t xml:space="preserve"> journal. </w:t>
      </w:r>
      <w:r w:rsidRPr="001A3D2B">
        <w:rPr>
          <w:i/>
          <w:iCs/>
        </w:rPr>
        <w:t>Anales de Farmacia Hospitalaria</w:t>
      </w:r>
      <w:r w:rsidRPr="001A3D2B">
        <w:t xml:space="preserve">, </w:t>
      </w:r>
      <w:r w:rsidRPr="001A3D2B">
        <w:rPr>
          <w:b/>
          <w:bCs/>
        </w:rPr>
        <w:t>31</w:t>
      </w:r>
      <w:r w:rsidRPr="001A3D2B">
        <w:t xml:space="preserve"> (3), 137-140.</w:t>
      </w:r>
    </w:p>
    <w:p w:rsidR="00B71929" w:rsidRPr="001A3D2B" w:rsidRDefault="00B71929" w:rsidP="00B71929">
      <w:pPr>
        <w:pStyle w:val="a3"/>
      </w:pPr>
      <w:r w:rsidRPr="001A3D2B">
        <w:t>Keywords: International</w:t>
      </w:r>
    </w:p>
    <w:p w:rsidR="003474F2" w:rsidRPr="001A3D2B" w:rsidRDefault="003474F2" w:rsidP="003474F2">
      <w:pPr>
        <w:pStyle w:val="1"/>
      </w:pPr>
      <w:r w:rsidRPr="001A3D2B">
        <w:br w:type="page"/>
      </w:r>
      <w:bookmarkStart w:id="373" w:name="_Toc420814456"/>
      <w:r w:rsidRPr="001A3D2B">
        <w:lastRenderedPageBreak/>
        <w:t>Title: Anales Otorrinolaringologicos Ibero-Americanos</w:t>
      </w:r>
      <w:bookmarkEnd w:id="373"/>
    </w:p>
    <w:p w:rsidR="003474F2" w:rsidRPr="001A3D2B" w:rsidRDefault="003474F2" w:rsidP="003474F2">
      <w:pPr>
        <w:pStyle w:val="12"/>
      </w:pPr>
      <w:r w:rsidRPr="001A3D2B">
        <w:t>Full Journal Title: Anales Otorrinolaringologicos Ibero-Americanos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Pisonero Ruiz, M.P. (1988), Statistic</w:t>
      </w:r>
      <w:r w:rsidR="005853A9">
        <w:t xml:space="preserve"> and </w:t>
      </w:r>
      <w:r w:rsidRPr="001A3D2B">
        <w:t>sociometric analysis</w:t>
      </w:r>
      <w:r w:rsidR="00427468">
        <w:t xml:space="preserve"> of </w:t>
      </w:r>
      <w:r w:rsidR="003A1917">
        <w:t xml:space="preserve">the </w:t>
      </w:r>
      <w:r w:rsidRPr="001A3D2B">
        <w:t>articles</w:t>
      </w:r>
      <w:r w:rsidR="00427468">
        <w:t xml:space="preserve"> of </w:t>
      </w:r>
      <w:r w:rsidR="003A1917">
        <w:t xml:space="preserve">the </w:t>
      </w:r>
      <w:r w:rsidRPr="001A3D2B">
        <w:t xml:space="preserve">otologic review issued from XVI century till 1932. </w:t>
      </w:r>
      <w:r w:rsidRPr="001A3D2B">
        <w:rPr>
          <w:i/>
          <w:iCs/>
        </w:rPr>
        <w:t>Anales Otorrinolaringologicos Ibero-Americanos</w:t>
      </w:r>
      <w:r w:rsidRPr="001A3D2B">
        <w:t xml:space="preserve">, </w:t>
      </w:r>
      <w:r w:rsidRPr="001A3D2B">
        <w:rPr>
          <w:b/>
          <w:bCs/>
        </w:rPr>
        <w:t>15</w:t>
      </w:r>
      <w:r w:rsidRPr="001A3D2B">
        <w:t xml:space="preserve"> (3), 307-342.</w:t>
      </w:r>
    </w:p>
    <w:p w:rsidR="003474F2" w:rsidRPr="001A3D2B" w:rsidRDefault="003474F2" w:rsidP="003474F2">
      <w:pPr>
        <w:pStyle w:val="a3"/>
      </w:pPr>
      <w:r w:rsidRPr="001A3D2B">
        <w:t>Notes: MModel</w:t>
      </w:r>
    </w:p>
    <w:p w:rsidR="003474F2" w:rsidRPr="001A3D2B" w:rsidRDefault="003474F2" w:rsidP="003474F2">
      <w:pPr>
        <w:pStyle w:val="a3"/>
      </w:pPr>
      <w:r w:rsidRPr="001A3D2B">
        <w:t>? Pisonero, R.P. (1988), Part three development</w:t>
      </w:r>
      <w:r w:rsidR="00427468">
        <w:t xml:space="preserve"> of </w:t>
      </w:r>
      <w:r w:rsidR="003A1917">
        <w:t xml:space="preserve">the </w:t>
      </w:r>
      <w:r w:rsidRPr="001A3D2B">
        <w:t>otologic literature Price</w:t>
      </w:r>
      <w:r w:rsidR="00700038">
        <w:t>’</w:t>
      </w:r>
      <w:r w:rsidR="00C13DDC">
        <w:t>s</w:t>
      </w:r>
      <w:r w:rsidRPr="001A3D2B">
        <w:t xml:space="preserve"> law. </w:t>
      </w:r>
      <w:r w:rsidRPr="001A3D2B">
        <w:rPr>
          <w:i/>
          <w:iCs/>
        </w:rPr>
        <w:t>Anales Otorrinolaringologicos Ibero-Americanos</w:t>
      </w:r>
      <w:r w:rsidRPr="001A3D2B">
        <w:t xml:space="preserve">, </w:t>
      </w:r>
      <w:r w:rsidRPr="001A3D2B">
        <w:rPr>
          <w:b/>
          <w:bCs/>
        </w:rPr>
        <w:t>15</w:t>
      </w:r>
      <w:r w:rsidRPr="001A3D2B">
        <w:t xml:space="preserve"> (4), 409-428.</w:t>
      </w:r>
    </w:p>
    <w:p w:rsidR="003474F2" w:rsidRPr="001A3D2B" w:rsidRDefault="003474F2" w:rsidP="003474F2">
      <w:pPr>
        <w:pStyle w:val="a3"/>
      </w:pPr>
      <w:r w:rsidRPr="001A3D2B">
        <w:t>Abstract:</w:t>
      </w:r>
      <w:r w:rsidR="003A1917">
        <w:t xml:space="preserve"> the </w:t>
      </w:r>
      <w:r w:rsidRPr="001A3D2B">
        <w:t>author discusses</w:t>
      </w:r>
      <w:r w:rsidR="003A1917">
        <w:t xml:space="preserve"> the </w:t>
      </w:r>
      <w:r w:rsidRPr="001A3D2B">
        <w:t>results</w:t>
      </w:r>
      <w:r w:rsidR="00427468">
        <w:t xml:space="preserve"> of </w:t>
      </w:r>
      <w:r w:rsidRPr="001A3D2B">
        <w:t>an analytic</w:t>
      </w:r>
      <w:r w:rsidR="005853A9">
        <w:t xml:space="preserve"> and </w:t>
      </w:r>
      <w:r w:rsidRPr="001A3D2B">
        <w:t>sociometric study</w:t>
      </w:r>
      <w:r w:rsidR="00427468">
        <w:t xml:space="preserve"> of </w:t>
      </w:r>
      <w:r w:rsidRPr="001A3D2B">
        <w:t>all</w:t>
      </w:r>
      <w:r w:rsidR="003A1917">
        <w:t xml:space="preserve"> the </w:t>
      </w:r>
      <w:r w:rsidRPr="001A3D2B">
        <w:t>books</w:t>
      </w:r>
      <w:r w:rsidR="005853A9">
        <w:t xml:space="preserve"> and </w:t>
      </w:r>
      <w:r w:rsidRPr="001A3D2B">
        <w:t>review articles on Otology, from</w:t>
      </w:r>
      <w:r w:rsidR="003A1917">
        <w:t xml:space="preserve"> the </w:t>
      </w:r>
      <w:r w:rsidRPr="001A3D2B">
        <w:t>XVIth century up to 1932, taking as sample all books</w:t>
      </w:r>
      <w:r w:rsidR="005853A9">
        <w:t xml:space="preserve"> and </w:t>
      </w:r>
      <w:r w:rsidRPr="001A3D2B">
        <w:t>papers indexed in</w:t>
      </w:r>
      <w:r w:rsidR="003A1917">
        <w:t xml:space="preserve"> the </w:t>
      </w:r>
      <w:r w:rsidR="00700038">
        <w:t>‘</w:t>
      </w:r>
      <w:r w:rsidRPr="001A3D2B">
        <w:t>Index-Catalogue</w:t>
      </w:r>
      <w:r w:rsidR="00427468">
        <w:t xml:space="preserve"> of </w:t>
      </w:r>
      <w:r w:rsidR="003A1917">
        <w:t xml:space="preserve">the </w:t>
      </w:r>
      <w:r w:rsidRPr="001A3D2B">
        <w:t>Library</w:t>
      </w:r>
      <w:r w:rsidR="00427468">
        <w:t xml:space="preserve"> of </w:t>
      </w:r>
      <w:r w:rsidR="003A1917">
        <w:t xml:space="preserve">the </w:t>
      </w:r>
      <w:r w:rsidRPr="001A3D2B">
        <w:t>Surgeon-General</w:t>
      </w:r>
      <w:r w:rsidR="00700038">
        <w:t>’</w:t>
      </w:r>
      <w:r w:rsidR="00C13DDC">
        <w:t>s</w:t>
      </w:r>
      <w:r w:rsidRPr="001A3D2B">
        <w:t xml:space="preserve"> Office</w:t>
      </w:r>
      <w:r w:rsidR="00700038">
        <w:t>’</w:t>
      </w:r>
      <w:r w:rsidRPr="001A3D2B">
        <w:t xml:space="preserve"> in its first three series. By creating a catalogue</w:t>
      </w:r>
      <w:r w:rsidR="00427468">
        <w:t xml:space="preserve"> of </w:t>
      </w:r>
      <w:r w:rsidRPr="001A3D2B">
        <w:t>15,605 publications using descriptive statistics</w:t>
      </w:r>
      <w:r w:rsidR="005853A9">
        <w:t xml:space="preserve"> and </w:t>
      </w:r>
      <w:r w:rsidRPr="001A3D2B">
        <w:t>bibliometrical analysis,</w:t>
      </w:r>
      <w:r w:rsidR="003A1917">
        <w:t xml:space="preserve"> the </w:t>
      </w:r>
      <w:r w:rsidRPr="001A3D2B">
        <w:t>author verified results satisfying</w:t>
      </w:r>
      <w:r w:rsidR="003A1917">
        <w:t xml:space="preserve"> the </w:t>
      </w:r>
      <w:r w:rsidRPr="001A3D2B">
        <w:t>following laws: Lotka</w:t>
      </w:r>
      <w:r w:rsidR="00700038">
        <w:t>’</w:t>
      </w:r>
      <w:r w:rsidR="00C13DDC">
        <w:t>s</w:t>
      </w:r>
      <w:r w:rsidRPr="001A3D2B">
        <w:t xml:space="preserve"> Law relating to</w:t>
      </w:r>
      <w:r w:rsidR="003A1917">
        <w:t xml:space="preserve"> the </w:t>
      </w:r>
      <w:r w:rsidRPr="001A3D2B">
        <w:t>author</w:t>
      </w:r>
      <w:r w:rsidR="00700038">
        <w:t>’</w:t>
      </w:r>
      <w:r w:rsidR="00C13DDC">
        <w:t>s</w:t>
      </w:r>
      <w:r w:rsidRPr="001A3D2B">
        <w:t xml:space="preserve"> productivity; Bradford</w:t>
      </w:r>
      <w:r w:rsidR="00700038">
        <w:t>’</w:t>
      </w:r>
      <w:r w:rsidR="00C13DDC">
        <w:t>s</w:t>
      </w:r>
      <w:r w:rsidRPr="001A3D2B">
        <w:t xml:space="preserve"> Law which measures distribution</w:t>
      </w:r>
      <w:r w:rsidR="00427468">
        <w:t xml:space="preserve"> of </w:t>
      </w:r>
      <w:r w:rsidR="003A1917">
        <w:t xml:space="preserve">the </w:t>
      </w:r>
      <w:r w:rsidRPr="001A3D2B">
        <w:t>publications</w:t>
      </w:r>
      <w:r w:rsidR="005853A9">
        <w:t xml:space="preserve"> and </w:t>
      </w:r>
      <w:r w:rsidRPr="001A3D2B">
        <w:t>finally; Price</w:t>
      </w:r>
      <w:r w:rsidR="00700038">
        <w:t>’</w:t>
      </w:r>
      <w:r w:rsidR="00C13DDC">
        <w:t>s</w:t>
      </w:r>
      <w:r w:rsidRPr="001A3D2B">
        <w:t xml:space="preserve"> Law which registers</w:t>
      </w:r>
      <w:r w:rsidR="003A1917">
        <w:t xml:space="preserve"> the </w:t>
      </w:r>
      <w:r w:rsidRPr="001A3D2B">
        <w:t>increase</w:t>
      </w:r>
      <w:r w:rsidR="00427468">
        <w:t xml:space="preserve"> of </w:t>
      </w:r>
      <w:r w:rsidRPr="001A3D2B">
        <w:t>scientific literature.</w:t>
      </w:r>
    </w:p>
    <w:p w:rsidR="005C795D" w:rsidRPr="00F219CA" w:rsidRDefault="005C795D" w:rsidP="005C795D">
      <w:pPr>
        <w:pStyle w:val="1"/>
      </w:pPr>
      <w:r w:rsidRPr="00F219CA">
        <w:br w:type="page"/>
      </w:r>
      <w:bookmarkStart w:id="374" w:name="_Toc420814457"/>
      <w:r w:rsidRPr="00F219CA">
        <w:lastRenderedPageBreak/>
        <w:t xml:space="preserve">Title: </w:t>
      </w:r>
      <w:r w:rsidRPr="00433EB0">
        <w:t>Anales de Psicologia</w:t>
      </w:r>
      <w:bookmarkEnd w:id="374"/>
    </w:p>
    <w:p w:rsidR="005C795D" w:rsidRPr="00F219CA" w:rsidRDefault="005C795D" w:rsidP="005C795D">
      <w:pPr>
        <w:pStyle w:val="12"/>
      </w:pPr>
      <w:r w:rsidRPr="00F219CA">
        <w:t xml:space="preserve">Full Journal Title: </w:t>
      </w:r>
      <w:r w:rsidRPr="00433EB0">
        <w:rPr>
          <w:iCs/>
          <w:kern w:val="0"/>
        </w:rPr>
        <w:t>Anales de Psicologia</w:t>
      </w:r>
    </w:p>
    <w:p w:rsidR="005C795D" w:rsidRPr="00F219CA" w:rsidRDefault="005C795D" w:rsidP="005C795D">
      <w:pPr>
        <w:pStyle w:val="12"/>
      </w:pPr>
      <w:r w:rsidRPr="00F219CA">
        <w:t xml:space="preserve">ISO Abbreviated Title: </w:t>
      </w:r>
    </w:p>
    <w:p w:rsidR="005C795D" w:rsidRPr="00F219CA" w:rsidRDefault="005C795D" w:rsidP="005C795D">
      <w:pPr>
        <w:pStyle w:val="12"/>
      </w:pPr>
      <w:r w:rsidRPr="00F219CA">
        <w:t xml:space="preserve">JCR Abbreviated Title: </w:t>
      </w:r>
    </w:p>
    <w:p w:rsidR="005C795D" w:rsidRPr="00F219CA" w:rsidRDefault="005C795D" w:rsidP="005C795D">
      <w:pPr>
        <w:pStyle w:val="12"/>
      </w:pPr>
      <w:r w:rsidRPr="00F219CA">
        <w:t xml:space="preserve">ISSN: </w:t>
      </w:r>
    </w:p>
    <w:p w:rsidR="005C795D" w:rsidRPr="00F219CA" w:rsidRDefault="005C795D" w:rsidP="005C795D">
      <w:pPr>
        <w:pStyle w:val="12"/>
      </w:pPr>
      <w:r w:rsidRPr="00F219CA">
        <w:t xml:space="preserve">Issues/Year: </w:t>
      </w:r>
    </w:p>
    <w:p w:rsidR="005C795D" w:rsidRPr="00F219CA" w:rsidRDefault="005C795D" w:rsidP="005C795D">
      <w:pPr>
        <w:pStyle w:val="12"/>
      </w:pPr>
      <w:r w:rsidRPr="00F219CA">
        <w:t xml:space="preserve">Journal Country/Territory: </w:t>
      </w:r>
    </w:p>
    <w:p w:rsidR="005C795D" w:rsidRPr="00F219CA" w:rsidRDefault="005C795D" w:rsidP="005C795D">
      <w:pPr>
        <w:pStyle w:val="12"/>
      </w:pPr>
      <w:r w:rsidRPr="00F219CA">
        <w:t xml:space="preserve">Language: </w:t>
      </w:r>
    </w:p>
    <w:p w:rsidR="005C795D" w:rsidRPr="00F219CA" w:rsidRDefault="005C795D" w:rsidP="005C795D">
      <w:pPr>
        <w:pStyle w:val="12"/>
      </w:pPr>
      <w:r w:rsidRPr="00F219CA">
        <w:t xml:space="preserve">Publisher: </w:t>
      </w:r>
    </w:p>
    <w:p w:rsidR="005C795D" w:rsidRPr="00F219CA" w:rsidRDefault="005C795D" w:rsidP="005C795D">
      <w:pPr>
        <w:pStyle w:val="12"/>
      </w:pPr>
      <w:r w:rsidRPr="00F219CA">
        <w:t xml:space="preserve">Publisher Address: </w:t>
      </w:r>
    </w:p>
    <w:p w:rsidR="005C795D" w:rsidRPr="00F219CA" w:rsidRDefault="005C795D" w:rsidP="005C795D">
      <w:pPr>
        <w:pStyle w:val="12"/>
      </w:pPr>
      <w:r w:rsidRPr="00F219CA">
        <w:t xml:space="preserve">Subject Categories: </w:t>
      </w:r>
    </w:p>
    <w:p w:rsidR="005C795D" w:rsidRPr="00F219CA" w:rsidRDefault="005C795D" w:rsidP="005C795D">
      <w:pPr>
        <w:pStyle w:val="12"/>
      </w:pPr>
      <w:r w:rsidRPr="00F219CA">
        <w:t>: Impact Factor</w:t>
      </w:r>
    </w:p>
    <w:p w:rsidR="005C795D" w:rsidRDefault="005C795D" w:rsidP="005C795D">
      <w:pPr>
        <w:pStyle w:val="a3"/>
        <w:rPr>
          <w:kern w:val="0"/>
        </w:rPr>
      </w:pPr>
      <w:r>
        <w:rPr>
          <w:rFonts w:hint="eastAsia"/>
          <w:kern w:val="0"/>
        </w:rPr>
        <w:t xml:space="preserve">? </w:t>
      </w:r>
      <w:r>
        <w:rPr>
          <w:kern w:val="0"/>
        </w:rPr>
        <w:t>Olivas-Avila, J.A., Musi-Lechuga, B., Guillen-Riquelme, A.</w:t>
      </w:r>
      <w:r w:rsidR="005853A9">
        <w:rPr>
          <w:kern w:val="0"/>
        </w:rPr>
        <w:t xml:space="preserve"> and </w:t>
      </w:r>
      <w:r>
        <w:rPr>
          <w:kern w:val="0"/>
        </w:rPr>
        <w:t>Castro, Á. (2012), Psychology professors research production differences in theses</w:t>
      </w:r>
      <w:r w:rsidR="005853A9">
        <w:rPr>
          <w:kern w:val="0"/>
        </w:rPr>
        <w:t xml:space="preserve"> and </w:t>
      </w:r>
      <w:r>
        <w:rPr>
          <w:kern w:val="0"/>
        </w:rPr>
        <w:t xml:space="preserve">articles in Spain by gender. </w:t>
      </w:r>
      <w:r w:rsidRPr="00433EB0">
        <w:rPr>
          <w:i/>
          <w:iCs/>
          <w:kern w:val="0"/>
        </w:rPr>
        <w:t>Anales de Psicologia</w:t>
      </w:r>
      <w:r>
        <w:rPr>
          <w:kern w:val="0"/>
        </w:rPr>
        <w:t xml:space="preserve">, </w:t>
      </w:r>
      <w:r>
        <w:rPr>
          <w:b/>
          <w:bCs/>
          <w:kern w:val="0"/>
        </w:rPr>
        <w:t>28</w:t>
      </w:r>
      <w:r>
        <w:rPr>
          <w:kern w:val="0"/>
        </w:rPr>
        <w:t xml:space="preserve"> (2), 597-603.</w:t>
      </w:r>
    </w:p>
    <w:p w:rsidR="005C795D" w:rsidRDefault="005C795D" w:rsidP="005C795D">
      <w:pPr>
        <w:pStyle w:val="a3"/>
        <w:rPr>
          <w:kern w:val="0"/>
        </w:rPr>
      </w:pPr>
      <w:r>
        <w:rPr>
          <w:rFonts w:hint="eastAsia"/>
          <w:kern w:val="0"/>
        </w:rPr>
        <w:t xml:space="preserve">Full Text: </w:t>
      </w:r>
      <w:hyperlink r:id="rId732" w:history="1">
        <w:r w:rsidRPr="00433EB0">
          <w:rPr>
            <w:rStyle w:val="a5"/>
            <w:kern w:val="0"/>
          </w:rPr>
          <w:t>2012\Ana Psi28, 597.pdf</w:t>
        </w:r>
      </w:hyperlink>
    </w:p>
    <w:p w:rsidR="005C795D" w:rsidRDefault="005C795D" w:rsidP="005C795D">
      <w:pPr>
        <w:pStyle w:val="a3"/>
        <w:rPr>
          <w:kern w:val="0"/>
        </w:rPr>
      </w:pPr>
      <w:r>
        <w:rPr>
          <w:kern w:val="0"/>
        </w:rPr>
        <w:t>Abstract:</w:t>
      </w:r>
      <w:r w:rsidR="003A1917">
        <w:rPr>
          <w:kern w:val="0"/>
        </w:rPr>
        <w:t xml:space="preserve"> the </w:t>
      </w:r>
      <w:r>
        <w:rPr>
          <w:kern w:val="0"/>
        </w:rPr>
        <w:t>aim</w:t>
      </w:r>
      <w:r w:rsidR="00427468">
        <w:rPr>
          <w:kern w:val="0"/>
        </w:rPr>
        <w:t xml:space="preserve"> of </w:t>
      </w:r>
      <w:r>
        <w:rPr>
          <w:kern w:val="0"/>
        </w:rPr>
        <w:t>this work is to analyze whether differences exist in</w:t>
      </w:r>
      <w:r w:rsidR="003A1917">
        <w:rPr>
          <w:kern w:val="0"/>
        </w:rPr>
        <w:t xml:space="preserve"> the </w:t>
      </w:r>
      <w:r>
        <w:rPr>
          <w:kern w:val="0"/>
        </w:rPr>
        <w:t>scientific research</w:t>
      </w:r>
      <w:r w:rsidR="00427468">
        <w:rPr>
          <w:kern w:val="0"/>
        </w:rPr>
        <w:t xml:space="preserve"> of </w:t>
      </w:r>
      <w:r w:rsidR="003A1917">
        <w:rPr>
          <w:kern w:val="0"/>
        </w:rPr>
        <w:t xml:space="preserve">the </w:t>
      </w:r>
      <w:r>
        <w:rPr>
          <w:kern w:val="0"/>
        </w:rPr>
        <w:t>most productive professors in Spanish psychology based on their gender. For this purpose, we analyzed</w:t>
      </w:r>
      <w:r w:rsidR="003A1917">
        <w:rPr>
          <w:kern w:val="0"/>
        </w:rPr>
        <w:t xml:space="preserve"> the </w:t>
      </w:r>
      <w:r>
        <w:rPr>
          <w:kern w:val="0"/>
        </w:rPr>
        <w:t>production</w:t>
      </w:r>
      <w:r w:rsidR="00427468">
        <w:rPr>
          <w:kern w:val="0"/>
        </w:rPr>
        <w:t xml:space="preserve"> of </w:t>
      </w:r>
      <w:r>
        <w:rPr>
          <w:kern w:val="0"/>
        </w:rPr>
        <w:t>a sample</w:t>
      </w:r>
      <w:r w:rsidR="00427468">
        <w:rPr>
          <w:kern w:val="0"/>
        </w:rPr>
        <w:t xml:space="preserve"> of </w:t>
      </w:r>
      <w:r w:rsidR="003A1917">
        <w:rPr>
          <w:kern w:val="0"/>
        </w:rPr>
        <w:t xml:space="preserve">the </w:t>
      </w:r>
      <w:r>
        <w:rPr>
          <w:kern w:val="0"/>
        </w:rPr>
        <w:t>610 most productive professors in</w:t>
      </w:r>
      <w:r w:rsidR="003A1917">
        <w:rPr>
          <w:kern w:val="0"/>
        </w:rPr>
        <w:t xml:space="preserve"> the </w:t>
      </w:r>
      <w:r>
        <w:rPr>
          <w:kern w:val="0"/>
        </w:rPr>
        <w:t>different areas</w:t>
      </w:r>
      <w:r w:rsidR="00427468">
        <w:rPr>
          <w:kern w:val="0"/>
        </w:rPr>
        <w:t xml:space="preserve"> of </w:t>
      </w:r>
      <w:r>
        <w:rPr>
          <w:kern w:val="0"/>
        </w:rPr>
        <w:t>psychology in articles published in journals</w:t>
      </w:r>
      <w:r w:rsidR="00427468">
        <w:rPr>
          <w:kern w:val="0"/>
        </w:rPr>
        <w:t xml:space="preserve"> of </w:t>
      </w:r>
      <w:r w:rsidR="003A1917">
        <w:rPr>
          <w:kern w:val="0"/>
        </w:rPr>
        <w:t xml:space="preserve">the </w:t>
      </w:r>
      <w:r>
        <w:rPr>
          <w:kern w:val="0"/>
        </w:rPr>
        <w:t>Journal Citation Reports, by citations</w:t>
      </w:r>
      <w:r w:rsidR="00427468">
        <w:rPr>
          <w:kern w:val="0"/>
        </w:rPr>
        <w:t xml:space="preserve"> of </w:t>
      </w:r>
      <w:r>
        <w:rPr>
          <w:kern w:val="0"/>
        </w:rPr>
        <w:t>these articles</w:t>
      </w:r>
      <w:r w:rsidR="005853A9">
        <w:rPr>
          <w:kern w:val="0"/>
        </w:rPr>
        <w:t xml:space="preserve"> and </w:t>
      </w:r>
      <w:r>
        <w:rPr>
          <w:kern w:val="0"/>
        </w:rPr>
        <w:t>in doctoral dissertations directed</w:t>
      </w:r>
      <w:r w:rsidR="00A37C1D">
        <w:rPr>
          <w:kern w:val="0"/>
        </w:rPr>
        <w:t>. The</w:t>
      </w:r>
      <w:r w:rsidR="003A1917">
        <w:rPr>
          <w:kern w:val="0"/>
        </w:rPr>
        <w:t xml:space="preserve"> </w:t>
      </w:r>
      <w:r>
        <w:rPr>
          <w:kern w:val="0"/>
        </w:rPr>
        <w:t>results show that</w:t>
      </w:r>
      <w:r w:rsidR="003A1917">
        <w:rPr>
          <w:kern w:val="0"/>
        </w:rPr>
        <w:t xml:space="preserve"> the </w:t>
      </w:r>
      <w:r>
        <w:rPr>
          <w:kern w:val="0"/>
        </w:rPr>
        <w:t>production</w:t>
      </w:r>
      <w:r w:rsidR="00427468">
        <w:rPr>
          <w:kern w:val="0"/>
        </w:rPr>
        <w:t xml:space="preserve"> of </w:t>
      </w:r>
      <w:r>
        <w:rPr>
          <w:kern w:val="0"/>
        </w:rPr>
        <w:t>males higher than is for women in</w:t>
      </w:r>
      <w:r w:rsidR="003A1917">
        <w:rPr>
          <w:kern w:val="0"/>
        </w:rPr>
        <w:t xml:space="preserve"> the </w:t>
      </w:r>
      <w:r>
        <w:rPr>
          <w:kern w:val="0"/>
        </w:rPr>
        <w:t>indicators analyzed, with variable differences based on psychology areas</w:t>
      </w:r>
      <w:r w:rsidR="00A37C1D">
        <w:rPr>
          <w:kern w:val="0"/>
        </w:rPr>
        <w:t>. The</w:t>
      </w:r>
      <w:r w:rsidR="003A1917">
        <w:rPr>
          <w:kern w:val="0"/>
        </w:rPr>
        <w:t xml:space="preserve"> </w:t>
      </w:r>
      <w:r>
        <w:rPr>
          <w:kern w:val="0"/>
        </w:rPr>
        <w:t>discussion examines</w:t>
      </w:r>
      <w:r w:rsidR="003A1917">
        <w:rPr>
          <w:kern w:val="0"/>
        </w:rPr>
        <w:t xml:space="preserve"> the </w:t>
      </w:r>
      <w:r>
        <w:rPr>
          <w:kern w:val="0"/>
        </w:rPr>
        <w:t>causes</w:t>
      </w:r>
      <w:r w:rsidR="00427468">
        <w:rPr>
          <w:kern w:val="0"/>
        </w:rPr>
        <w:t xml:space="preserve"> of </w:t>
      </w:r>
      <w:r>
        <w:rPr>
          <w:kern w:val="0"/>
        </w:rPr>
        <w:t>these differences, focusing in</w:t>
      </w:r>
      <w:r w:rsidR="003A1917">
        <w:rPr>
          <w:kern w:val="0"/>
        </w:rPr>
        <w:t xml:space="preserve"> the </w:t>
      </w:r>
      <w:r>
        <w:rPr>
          <w:kern w:val="0"/>
        </w:rPr>
        <w:t>later entry</w:t>
      </w:r>
      <w:r w:rsidR="00427468">
        <w:rPr>
          <w:kern w:val="0"/>
        </w:rPr>
        <w:t xml:space="preserve"> of </w:t>
      </w:r>
      <w:r>
        <w:rPr>
          <w:kern w:val="0"/>
        </w:rPr>
        <w:t>women to</w:t>
      </w:r>
      <w:r w:rsidR="003A1917">
        <w:rPr>
          <w:kern w:val="0"/>
        </w:rPr>
        <w:t xml:space="preserve"> the </w:t>
      </w:r>
      <w:r>
        <w:rPr>
          <w:kern w:val="0"/>
        </w:rPr>
        <w:t>Spanish university.</w:t>
      </w:r>
    </w:p>
    <w:p w:rsidR="005C795D" w:rsidRDefault="005C795D" w:rsidP="005C795D">
      <w:pPr>
        <w:pStyle w:val="a3"/>
        <w:rPr>
          <w:kern w:val="0"/>
        </w:rPr>
      </w:pPr>
      <w:r>
        <w:rPr>
          <w:kern w:val="0"/>
        </w:rPr>
        <w:t>Keywords: Anales-De-Psicologia, Articles, Bibliometric Analysis, Citation, Citations, Doctoral Programs, Gender, Indicators, Journal, Journal Articles, Journal Citation Reports, Journals, Performance, Professors, Psychology, Purpose, Quality Mention, Research, Science, Scientific Production, Scientific Research, Sex, Sex-Differences, Spain, Spanish Public Universities, Spanish University, University, Web, Women, Work</w:t>
      </w:r>
    </w:p>
    <w:p w:rsidR="00CC2875" w:rsidRDefault="00CC2875" w:rsidP="00CC2875">
      <w:pPr>
        <w:pStyle w:val="a3"/>
        <w:rPr>
          <w:kern w:val="0"/>
        </w:rPr>
      </w:pPr>
      <w:r>
        <w:rPr>
          <w:rFonts w:hint="eastAsia"/>
          <w:kern w:val="0"/>
        </w:rPr>
        <w:t xml:space="preserve">? </w:t>
      </w:r>
      <w:r>
        <w:rPr>
          <w:kern w:val="0"/>
        </w:rPr>
        <w:t>Aroca-Montolío, C., Lorenzo-Moledo, M.</w:t>
      </w:r>
      <w:r w:rsidR="005853A9">
        <w:rPr>
          <w:kern w:val="0"/>
        </w:rPr>
        <w:t xml:space="preserve"> and </w:t>
      </w:r>
      <w:r>
        <w:rPr>
          <w:kern w:val="0"/>
        </w:rPr>
        <w:t xml:space="preserve">Miró-Pérez, C. (2014), Violence against parents: Key factors analysis. </w:t>
      </w:r>
      <w:r>
        <w:rPr>
          <w:i/>
          <w:iCs/>
          <w:kern w:val="0"/>
        </w:rPr>
        <w:t>Anales de Psicologia</w:t>
      </w:r>
      <w:r>
        <w:rPr>
          <w:kern w:val="0"/>
        </w:rPr>
        <w:t xml:space="preserve">, </w:t>
      </w:r>
      <w:r>
        <w:rPr>
          <w:b/>
          <w:bCs/>
          <w:kern w:val="0"/>
        </w:rPr>
        <w:t>30</w:t>
      </w:r>
      <w:r>
        <w:rPr>
          <w:kern w:val="0"/>
        </w:rPr>
        <w:t xml:space="preserve"> (1), 15</w:t>
      </w:r>
      <w:r>
        <w:rPr>
          <w:rFonts w:hint="eastAsia"/>
          <w:kern w:val="0"/>
        </w:rPr>
        <w:t>7</w:t>
      </w:r>
      <w:r>
        <w:rPr>
          <w:kern w:val="0"/>
        </w:rPr>
        <w:t>-17</w:t>
      </w:r>
      <w:r>
        <w:rPr>
          <w:rFonts w:hint="eastAsia"/>
          <w:kern w:val="0"/>
        </w:rPr>
        <w:t>0</w:t>
      </w:r>
      <w:r>
        <w:rPr>
          <w:kern w:val="0"/>
        </w:rPr>
        <w:t>.</w:t>
      </w:r>
    </w:p>
    <w:p w:rsidR="00CC2875" w:rsidRDefault="00CC2875" w:rsidP="00CC2875">
      <w:pPr>
        <w:pStyle w:val="a3"/>
        <w:rPr>
          <w:kern w:val="0"/>
        </w:rPr>
      </w:pPr>
      <w:r>
        <w:rPr>
          <w:rFonts w:hint="eastAsia"/>
          <w:kern w:val="0"/>
        </w:rPr>
        <w:t xml:space="preserve">Full Text: </w:t>
      </w:r>
      <w:hyperlink r:id="rId733" w:history="1">
        <w:r w:rsidRPr="00E814DD">
          <w:rPr>
            <w:rStyle w:val="a5"/>
            <w:kern w:val="0"/>
          </w:rPr>
          <w:t>2014\Ana Psi30, 157.pdf</w:t>
        </w:r>
      </w:hyperlink>
    </w:p>
    <w:p w:rsidR="00CC2875" w:rsidRDefault="00CC2875" w:rsidP="00CC2875">
      <w:pPr>
        <w:pStyle w:val="a3"/>
        <w:rPr>
          <w:kern w:val="0"/>
        </w:rPr>
      </w:pPr>
      <w:r>
        <w:rPr>
          <w:kern w:val="0"/>
        </w:rPr>
        <w:t>Abstract: The Prosecutor</w:t>
      </w:r>
      <w:r w:rsidR="00700038">
        <w:rPr>
          <w:kern w:val="0"/>
        </w:rPr>
        <w:t>’</w:t>
      </w:r>
      <w:r>
        <w:rPr>
          <w:kern w:val="0"/>
        </w:rPr>
        <w:t>s Office</w:t>
      </w:r>
      <w:r w:rsidR="00427468">
        <w:rPr>
          <w:kern w:val="0"/>
        </w:rPr>
        <w:t xml:space="preserve"> of </w:t>
      </w:r>
      <w:r>
        <w:rPr>
          <w:kern w:val="0"/>
        </w:rPr>
        <w:t>Spain, in the 2009 October report, emphasized that the violence</w:t>
      </w:r>
      <w:r w:rsidR="00427468">
        <w:rPr>
          <w:kern w:val="0"/>
        </w:rPr>
        <w:t xml:space="preserve"> of </w:t>
      </w:r>
      <w:r>
        <w:rPr>
          <w:kern w:val="0"/>
        </w:rPr>
        <w:t>sons</w:t>
      </w:r>
      <w:r w:rsidR="005853A9">
        <w:rPr>
          <w:kern w:val="0"/>
        </w:rPr>
        <w:t xml:space="preserve"> and </w:t>
      </w:r>
      <w:r>
        <w:rPr>
          <w:kern w:val="0"/>
        </w:rPr>
        <w:t>daughters against parents was the most disturbing crime among those committed by underage adolescents because</w:t>
      </w:r>
      <w:r w:rsidR="00427468">
        <w:rPr>
          <w:kern w:val="0"/>
        </w:rPr>
        <w:t xml:space="preserve"> of </w:t>
      </w:r>
      <w:r>
        <w:rPr>
          <w:kern w:val="0"/>
        </w:rPr>
        <w:t xml:space="preserve">an increase in </w:t>
      </w:r>
      <w:r>
        <w:rPr>
          <w:kern w:val="0"/>
        </w:rPr>
        <w:lastRenderedPageBreak/>
        <w:t>prevalence</w:t>
      </w:r>
      <w:r w:rsidR="005853A9">
        <w:rPr>
          <w:kern w:val="0"/>
        </w:rPr>
        <w:t xml:space="preserve"> and </w:t>
      </w:r>
      <w:r>
        <w:rPr>
          <w:kern w:val="0"/>
        </w:rPr>
        <w:t>incidence. For this reason; it is important to understand some characteristics</w:t>
      </w:r>
      <w:r w:rsidR="00427468">
        <w:rPr>
          <w:kern w:val="0"/>
        </w:rPr>
        <w:t xml:space="preserve"> of </w:t>
      </w:r>
      <w:r>
        <w:rPr>
          <w:kern w:val="0"/>
        </w:rPr>
        <w:t>the families who suffer it</w:t>
      </w:r>
      <w:r w:rsidR="005853A9">
        <w:rPr>
          <w:kern w:val="0"/>
        </w:rPr>
        <w:t xml:space="preserve"> and </w:t>
      </w:r>
      <w:r>
        <w:rPr>
          <w:kern w:val="0"/>
        </w:rPr>
        <w:t>the children who ill-treat. To achieve these objectives, we have carried out a bibliometric review</w:t>
      </w:r>
      <w:r w:rsidR="00427468">
        <w:rPr>
          <w:kern w:val="0"/>
        </w:rPr>
        <w:t xml:space="preserve"> of </w:t>
      </w:r>
      <w:r>
        <w:rPr>
          <w:kern w:val="0"/>
        </w:rPr>
        <w:t>qualitative analyses, on the basis</w:t>
      </w:r>
      <w:r w:rsidR="00427468">
        <w:rPr>
          <w:kern w:val="0"/>
        </w:rPr>
        <w:t xml:space="preserve"> of </w:t>
      </w:r>
      <w:r>
        <w:rPr>
          <w:kern w:val="0"/>
        </w:rPr>
        <w:t>documents</w:t>
      </w:r>
      <w:r w:rsidR="005853A9">
        <w:rPr>
          <w:kern w:val="0"/>
        </w:rPr>
        <w:t xml:space="preserve"> and </w:t>
      </w:r>
      <w:r>
        <w:rPr>
          <w:kern w:val="0"/>
        </w:rPr>
        <w:t>books from 1957 until 2011, mainly from countries such as Australia, Japan, Canada, New Zealand, France, USA or Spain, from which we intend to understand: (a) what the violence against parents is, (b) the cycle</w:t>
      </w:r>
      <w:r w:rsidR="00427468">
        <w:rPr>
          <w:kern w:val="0"/>
        </w:rPr>
        <w:t xml:space="preserve"> of </w:t>
      </w:r>
      <w:r>
        <w:rPr>
          <w:kern w:val="0"/>
        </w:rPr>
        <w:t>this kind</w:t>
      </w:r>
      <w:r w:rsidR="00427468">
        <w:rPr>
          <w:kern w:val="0"/>
        </w:rPr>
        <w:t xml:space="preserve"> of </w:t>
      </w:r>
      <w:r>
        <w:rPr>
          <w:kern w:val="0"/>
        </w:rPr>
        <w:t>violence, (c) characteristics</w:t>
      </w:r>
      <w:r w:rsidR="00427468">
        <w:rPr>
          <w:kern w:val="0"/>
        </w:rPr>
        <w:t xml:space="preserve"> of </w:t>
      </w:r>
      <w:r>
        <w:rPr>
          <w:kern w:val="0"/>
        </w:rPr>
        <w:t>the families who suffer this violence,</w:t>
      </w:r>
      <w:r w:rsidR="005853A9">
        <w:rPr>
          <w:kern w:val="0"/>
        </w:rPr>
        <w:t xml:space="preserve"> and </w:t>
      </w:r>
      <w:r>
        <w:rPr>
          <w:kern w:val="0"/>
        </w:rPr>
        <w:t>(d) the characteristics</w:t>
      </w:r>
      <w:r w:rsidR="00427468">
        <w:rPr>
          <w:kern w:val="0"/>
        </w:rPr>
        <w:t xml:space="preserve"> of </w:t>
      </w:r>
      <w:r>
        <w:rPr>
          <w:kern w:val="0"/>
        </w:rPr>
        <w:t>the children who ill-treat. In the same way, with the information that emerges from this review</w:t>
      </w:r>
      <w:r w:rsidR="00427468">
        <w:rPr>
          <w:kern w:val="0"/>
        </w:rPr>
        <w:t xml:space="preserve"> of </w:t>
      </w:r>
      <w:r>
        <w:rPr>
          <w:kern w:val="0"/>
        </w:rPr>
        <w:t>research, we can know the state</w:t>
      </w:r>
      <w:r w:rsidR="00427468">
        <w:rPr>
          <w:kern w:val="0"/>
        </w:rPr>
        <w:t xml:space="preserve"> of </w:t>
      </w:r>
      <w:r>
        <w:rPr>
          <w:kern w:val="0"/>
        </w:rPr>
        <w:t>the question in order to define guidelines focused on the design</w:t>
      </w:r>
      <w:r w:rsidR="00427468">
        <w:rPr>
          <w:kern w:val="0"/>
        </w:rPr>
        <w:t xml:space="preserve"> of </w:t>
      </w:r>
      <w:r>
        <w:rPr>
          <w:kern w:val="0"/>
        </w:rPr>
        <w:t>new research</w:t>
      </w:r>
      <w:r w:rsidR="00427468">
        <w:rPr>
          <w:kern w:val="0"/>
        </w:rPr>
        <w:t xml:space="preserve"> of </w:t>
      </w:r>
      <w:r>
        <w:rPr>
          <w:kern w:val="0"/>
        </w:rPr>
        <w:t>violence</w:t>
      </w:r>
      <w:r w:rsidR="00427468">
        <w:rPr>
          <w:kern w:val="0"/>
        </w:rPr>
        <w:t xml:space="preserve"> of </w:t>
      </w:r>
      <w:r>
        <w:rPr>
          <w:kern w:val="0"/>
        </w:rPr>
        <w:t>children under age.</w:t>
      </w:r>
    </w:p>
    <w:p w:rsidR="00CC2875" w:rsidRDefault="00CC2875" w:rsidP="00CC2875">
      <w:pPr>
        <w:pStyle w:val="a3"/>
        <w:rPr>
          <w:kern w:val="0"/>
        </w:rPr>
      </w:pPr>
      <w:r>
        <w:rPr>
          <w:kern w:val="0"/>
        </w:rPr>
        <w:t>Keywords: Abuse, Adolescent Violence, Adolescents, Age, Analyses, Analysis, Australia, Battered Parents, Bibliometric, Canada, Characteristics, Child, Children, Crime, Design, Families, Family Violence, France, Guidelines, Incidence, Information, Japan, Marital Violence, Mothers, New Zealand, Parents, Physical Aggression, Prevalence, Psychological-Emotional Violence, Qualitative, Research, Review, Spain, State, Strategies, Teenage Violence, Types</w:t>
      </w:r>
      <w:r w:rsidR="00427468">
        <w:rPr>
          <w:kern w:val="0"/>
        </w:rPr>
        <w:t xml:space="preserve"> of </w:t>
      </w:r>
      <w:r>
        <w:rPr>
          <w:kern w:val="0"/>
        </w:rPr>
        <w:t>Child-Parents Violence, USA, Violence, Violence Against Parents, Violence Cycle</w:t>
      </w:r>
    </w:p>
    <w:p w:rsidR="00B50EAC" w:rsidRDefault="00B50EAC" w:rsidP="00B50EAC">
      <w:pPr>
        <w:pStyle w:val="a3"/>
        <w:rPr>
          <w:kern w:val="0"/>
        </w:rPr>
      </w:pPr>
      <w:r>
        <w:rPr>
          <w:rFonts w:hint="eastAsia"/>
          <w:kern w:val="0"/>
        </w:rPr>
        <w:t xml:space="preserve">? </w:t>
      </w:r>
      <w:r>
        <w:rPr>
          <w:kern w:val="0"/>
        </w:rPr>
        <w:t xml:space="preserve">Jeanneret, G., Ona, A., Rego, P., Vaiman, M. and Pereno, G. (2015), A bibliometric study of the scientific publications that use facial emotion recognition tests. </w:t>
      </w:r>
      <w:r>
        <w:rPr>
          <w:i/>
          <w:iCs/>
          <w:kern w:val="0"/>
        </w:rPr>
        <w:t>Anales de Psicologia</w:t>
      </w:r>
      <w:r>
        <w:rPr>
          <w:kern w:val="0"/>
        </w:rPr>
        <w:t xml:space="preserve">, </w:t>
      </w:r>
      <w:r>
        <w:rPr>
          <w:b/>
          <w:bCs/>
          <w:kern w:val="0"/>
        </w:rPr>
        <w:t>31</w:t>
      </w:r>
      <w:r>
        <w:rPr>
          <w:kern w:val="0"/>
        </w:rPr>
        <w:t xml:space="preserve"> (1), 324-337.</w:t>
      </w:r>
    </w:p>
    <w:p w:rsidR="00B50EAC" w:rsidRDefault="00B50EAC" w:rsidP="00B50EAC">
      <w:pPr>
        <w:pStyle w:val="a3"/>
        <w:rPr>
          <w:kern w:val="0"/>
        </w:rPr>
      </w:pPr>
      <w:r>
        <w:rPr>
          <w:rFonts w:hint="eastAsia"/>
          <w:kern w:val="0"/>
        </w:rPr>
        <w:t xml:space="preserve">Full Text: </w:t>
      </w:r>
      <w:r w:rsidRPr="003B38CF">
        <w:rPr>
          <w:kern w:val="0"/>
        </w:rPr>
        <w:t>201</w:t>
      </w:r>
      <w:r>
        <w:rPr>
          <w:rFonts w:hint="eastAsia"/>
          <w:kern w:val="0"/>
        </w:rPr>
        <w:t>5</w:t>
      </w:r>
      <w:r w:rsidRPr="003B38CF">
        <w:rPr>
          <w:kern w:val="0"/>
        </w:rPr>
        <w:t>\Ana Psi3</w:t>
      </w:r>
      <w:r>
        <w:rPr>
          <w:rFonts w:hint="eastAsia"/>
          <w:kern w:val="0"/>
        </w:rPr>
        <w:t>1</w:t>
      </w:r>
      <w:r w:rsidRPr="003B38CF">
        <w:rPr>
          <w:kern w:val="0"/>
        </w:rPr>
        <w:t xml:space="preserve">, </w:t>
      </w:r>
      <w:r>
        <w:rPr>
          <w:kern w:val="0"/>
        </w:rPr>
        <w:t>324</w:t>
      </w:r>
      <w:r w:rsidRPr="003B38CF">
        <w:rPr>
          <w:kern w:val="0"/>
        </w:rPr>
        <w:t>.pdf</w:t>
      </w:r>
    </w:p>
    <w:p w:rsidR="00B50EAC" w:rsidRDefault="00B50EAC" w:rsidP="00B50EAC">
      <w:pPr>
        <w:pStyle w:val="a3"/>
        <w:rPr>
          <w:kern w:val="0"/>
        </w:rPr>
      </w:pPr>
      <w:r>
        <w:rPr>
          <w:kern w:val="0"/>
        </w:rPr>
        <w:t>Abstract: This work is in line with the evolutionary theory, which supports the existence of basic and universal emotions, stress the study of his facial expression and his recognition. Though the development of FAGS in 1978 for Ekman motivated the creation of facial emotion recognition test, there is not in Argentine test that measure the above mentioned ability. The aim of this study was carry out a bibliometric study of the scientific publications that use facial emotion recognition tests published between 1976 and August, 2011. This process of systematizing offers visibility on the current condition of the science in relation to the above mentioned tests, constituting the first step for the development of a local test. In effect, there were analyzed the productivity, scientific collaboration, h-index and matter analysis indicators. These demonstrated a systematic growth increasingly in researches in facial emotions recognition. These studies use photographs as the POFA and the JACFEE in adult population of both male and female sexes, becomes more relevant the study of pathologies, mainly the schizophrenia. These results, in turn, will be able to be in use as base for successive research projects that contribute to the progress of the science.</w:t>
      </w:r>
    </w:p>
    <w:p w:rsidR="00B50EAC" w:rsidRDefault="00B50EAC" w:rsidP="00B50EAC">
      <w:pPr>
        <w:pStyle w:val="a3"/>
        <w:rPr>
          <w:kern w:val="0"/>
        </w:rPr>
      </w:pPr>
      <w:r>
        <w:rPr>
          <w:kern w:val="0"/>
        </w:rPr>
        <w:t xml:space="preserve">Keywords: Adult, Analysis, Autism, Basic, Bibliometric, Bibliometric Study, Children, </w:t>
      </w:r>
      <w:r>
        <w:rPr>
          <w:kern w:val="0"/>
        </w:rPr>
        <w:lastRenderedPageBreak/>
        <w:t>Collaboration, Development, Disorders, Ekman, Emotion, Evolutionary Theory, Expression, Expressions, Facial Emotions Recognition Test, Female, First, Growth, H Index, H-Index, Indicators, Local, Male, Measure, Perspectives, Population, Productivity, Progress, Psychology, Publications, Research, Schizophrenia, Science, Scientific Collaboration, Scientific Publications, Stress, System, Systematic, Theory, Visibility, Work</w:t>
      </w:r>
    </w:p>
    <w:p w:rsidR="000C5143" w:rsidRPr="00F219CA" w:rsidRDefault="000C5143" w:rsidP="000C5143">
      <w:pPr>
        <w:pStyle w:val="1"/>
        <w:rPr>
          <w:lang w:val="fr-FR"/>
        </w:rPr>
      </w:pPr>
      <w:r w:rsidRPr="00F219CA">
        <w:rPr>
          <w:lang w:val="fr-FR"/>
        </w:rPr>
        <w:br w:type="page"/>
      </w:r>
      <w:bookmarkStart w:id="375" w:name="_Toc420814458"/>
      <w:r w:rsidRPr="00F219CA">
        <w:rPr>
          <w:lang w:val="fr-FR"/>
        </w:rPr>
        <w:lastRenderedPageBreak/>
        <w:t xml:space="preserve">Title: </w:t>
      </w:r>
      <w:r w:rsidRPr="00BE282F">
        <w:t>Anales del Sistema Sanitario de Navarra</w:t>
      </w:r>
      <w:bookmarkEnd w:id="375"/>
    </w:p>
    <w:p w:rsidR="000C5143" w:rsidRPr="00F219CA" w:rsidRDefault="000C5143" w:rsidP="000C5143">
      <w:pPr>
        <w:pStyle w:val="12"/>
      </w:pPr>
      <w:r w:rsidRPr="00F219CA">
        <w:t xml:space="preserve">Full Journal Title: </w:t>
      </w:r>
      <w:hyperlink r:id="rId734" w:history="1">
        <w:r w:rsidRPr="00BE282F">
          <w:rPr>
            <w:rStyle w:val="a5"/>
            <w:iCs/>
            <w:kern w:val="0"/>
          </w:rPr>
          <w:t>Anales del Sistema Sanitario de Navarra</w:t>
        </w:r>
      </w:hyperlink>
    </w:p>
    <w:p w:rsidR="000C5143" w:rsidRPr="00F219CA" w:rsidRDefault="000C5143" w:rsidP="000C5143">
      <w:pPr>
        <w:pStyle w:val="12"/>
      </w:pPr>
      <w:r>
        <w:t xml:space="preserve">ISO Abbreviated Title: </w:t>
      </w:r>
    </w:p>
    <w:p w:rsidR="000C5143" w:rsidRPr="00F219CA" w:rsidRDefault="000C5143" w:rsidP="000C5143">
      <w:pPr>
        <w:pStyle w:val="12"/>
      </w:pPr>
      <w:r>
        <w:t xml:space="preserve">JCR Abbreviated Title: </w:t>
      </w:r>
    </w:p>
    <w:p w:rsidR="000C5143" w:rsidRPr="00F219CA" w:rsidRDefault="000C5143" w:rsidP="000C5143">
      <w:pPr>
        <w:pStyle w:val="12"/>
      </w:pPr>
      <w:r w:rsidRPr="00F219CA">
        <w:t xml:space="preserve">ISSN: </w:t>
      </w:r>
    </w:p>
    <w:p w:rsidR="000C5143" w:rsidRPr="00F219CA" w:rsidRDefault="000C5143" w:rsidP="000C5143">
      <w:pPr>
        <w:pStyle w:val="12"/>
      </w:pPr>
      <w:r w:rsidRPr="00F219CA">
        <w:t xml:space="preserve">Issues/Year: </w:t>
      </w:r>
    </w:p>
    <w:p w:rsidR="000C5143" w:rsidRPr="00F219CA" w:rsidRDefault="000C5143" w:rsidP="000C5143">
      <w:pPr>
        <w:pStyle w:val="12"/>
      </w:pPr>
      <w:r w:rsidRPr="00F219CA">
        <w:t xml:space="preserve">Journal Country/Territory: </w:t>
      </w:r>
    </w:p>
    <w:p w:rsidR="000C5143" w:rsidRPr="00F219CA" w:rsidRDefault="000C5143" w:rsidP="000C5143">
      <w:pPr>
        <w:pStyle w:val="12"/>
      </w:pPr>
      <w:r w:rsidRPr="00F219CA">
        <w:t xml:space="preserve">Language: </w:t>
      </w:r>
    </w:p>
    <w:p w:rsidR="000C5143" w:rsidRPr="00F219CA" w:rsidRDefault="000C5143" w:rsidP="000C5143">
      <w:pPr>
        <w:pStyle w:val="12"/>
      </w:pPr>
      <w:r w:rsidRPr="00F219CA">
        <w:t xml:space="preserve">Publisher: </w:t>
      </w:r>
    </w:p>
    <w:p w:rsidR="000C5143" w:rsidRPr="00F219CA" w:rsidRDefault="000C5143" w:rsidP="000C5143">
      <w:pPr>
        <w:pStyle w:val="12"/>
      </w:pPr>
      <w:r w:rsidRPr="00F219CA">
        <w:t xml:space="preserve">Publisher Address: </w:t>
      </w:r>
    </w:p>
    <w:p w:rsidR="000C5143" w:rsidRPr="00F219CA" w:rsidRDefault="000C5143" w:rsidP="000C5143">
      <w:pPr>
        <w:pStyle w:val="12"/>
      </w:pPr>
      <w:r w:rsidRPr="00F219CA">
        <w:t xml:space="preserve">Subject Categories: </w:t>
      </w:r>
    </w:p>
    <w:p w:rsidR="000C5143" w:rsidRPr="00F219CA" w:rsidRDefault="000C5143" w:rsidP="000C5143">
      <w:pPr>
        <w:pStyle w:val="12"/>
      </w:pPr>
      <w:r w:rsidRPr="00F219CA">
        <w:t>: Impact Factor</w:t>
      </w:r>
    </w:p>
    <w:p w:rsidR="000C5143" w:rsidRDefault="000C5143" w:rsidP="000C5143">
      <w:pPr>
        <w:pStyle w:val="a3"/>
        <w:rPr>
          <w:kern w:val="0"/>
        </w:rPr>
      </w:pPr>
      <w:r>
        <w:rPr>
          <w:rFonts w:hint="eastAsia"/>
          <w:kern w:val="0"/>
        </w:rPr>
        <w:t xml:space="preserve">? </w:t>
      </w:r>
      <w:r>
        <w:rPr>
          <w:kern w:val="0"/>
        </w:rPr>
        <w:t xml:space="preserve">Miro, O. and Burbano, P. (2013), The impact factor, the h index and other bibliometric indicators. </w:t>
      </w:r>
      <w:r w:rsidRPr="00BE282F">
        <w:rPr>
          <w:i/>
          <w:iCs/>
          <w:kern w:val="0"/>
        </w:rPr>
        <w:t>Anales del Sistema Sanitario de Navarra</w:t>
      </w:r>
      <w:r>
        <w:rPr>
          <w:kern w:val="0"/>
        </w:rPr>
        <w:t xml:space="preserve">, </w:t>
      </w:r>
      <w:r>
        <w:rPr>
          <w:b/>
          <w:bCs/>
          <w:kern w:val="0"/>
        </w:rPr>
        <w:t>36</w:t>
      </w:r>
      <w:r>
        <w:rPr>
          <w:kern w:val="0"/>
        </w:rPr>
        <w:t xml:space="preserve"> (3), 371-377</w:t>
      </w:r>
      <w:r>
        <w:rPr>
          <w:rFonts w:hint="eastAsia"/>
          <w:kern w:val="0"/>
        </w:rPr>
        <w:t>.</w:t>
      </w:r>
    </w:p>
    <w:p w:rsidR="000C5143" w:rsidRDefault="000C5143" w:rsidP="000C5143">
      <w:pPr>
        <w:pStyle w:val="a3"/>
        <w:rPr>
          <w:kern w:val="0"/>
        </w:rPr>
      </w:pPr>
      <w:r>
        <w:rPr>
          <w:rFonts w:hint="eastAsia"/>
          <w:kern w:val="0"/>
        </w:rPr>
        <w:t>Full Text: 2013\</w:t>
      </w:r>
      <w:r>
        <w:rPr>
          <w:iCs/>
          <w:kern w:val="0"/>
        </w:rPr>
        <w:t>Ana Sis San Nav</w:t>
      </w:r>
      <w:r w:rsidRPr="00EB2917">
        <w:rPr>
          <w:bCs/>
          <w:kern w:val="0"/>
        </w:rPr>
        <w:t>36</w:t>
      </w:r>
      <w:r>
        <w:rPr>
          <w:kern w:val="0"/>
        </w:rPr>
        <w:t>, 371</w:t>
      </w:r>
      <w:r>
        <w:rPr>
          <w:rFonts w:hint="eastAsia"/>
          <w:kern w:val="0"/>
        </w:rPr>
        <w:t>.pdf</w:t>
      </w:r>
    </w:p>
    <w:p w:rsidR="000C5143" w:rsidRDefault="000C5143" w:rsidP="000C5143">
      <w:pPr>
        <w:pStyle w:val="a3"/>
        <w:rPr>
          <w:kern w:val="0"/>
        </w:rPr>
      </w:pPr>
      <w:r>
        <w:rPr>
          <w:kern w:val="0"/>
        </w:rPr>
        <w:t xml:space="preserve">Keywords: Bibliometric, Bibliometric Indicators, Care, Emergency-Medicine, </w:t>
      </w:r>
      <w:r>
        <w:rPr>
          <w:rFonts w:hint="eastAsia"/>
          <w:kern w:val="0"/>
        </w:rPr>
        <w:t>h</w:t>
      </w:r>
      <w:r>
        <w:rPr>
          <w:kern w:val="0"/>
        </w:rPr>
        <w:t xml:space="preserve"> Index, H-Index, Impact, Impact Factor, Index, Indicators, Misuse, Physicians, Productivity, Research Output</w:t>
      </w:r>
    </w:p>
    <w:p w:rsidR="003474F2" w:rsidRPr="001A3D2B" w:rsidRDefault="003474F2" w:rsidP="003474F2">
      <w:pPr>
        <w:pStyle w:val="1"/>
      </w:pPr>
      <w:r w:rsidRPr="001A3D2B">
        <w:br w:type="page"/>
      </w:r>
      <w:bookmarkStart w:id="376" w:name="_Toc420814459"/>
      <w:r w:rsidRPr="001A3D2B">
        <w:lastRenderedPageBreak/>
        <w:t>Title: Analusis</w:t>
      </w:r>
      <w:bookmarkEnd w:id="376"/>
    </w:p>
    <w:p w:rsidR="003474F2" w:rsidRPr="001A3D2B" w:rsidRDefault="003474F2" w:rsidP="003474F2">
      <w:pPr>
        <w:pStyle w:val="12"/>
      </w:pPr>
      <w:r w:rsidRPr="001A3D2B">
        <w:t xml:space="preserve">Full Journal Title: </w:t>
      </w:r>
      <w:r w:rsidR="00206C8A">
        <w:fldChar w:fldCharType="begin"/>
      </w:r>
      <w:r w:rsidR="00FD158B">
        <w:instrText>HYPERLINK</w:instrText>
      </w:r>
      <w:bookmarkStart w:id="377" w:name="_Toc38335247"/>
      <w:bookmarkStart w:id="378" w:name="_Toc43634527"/>
      <w:bookmarkStart w:id="379" w:name="_Toc81215600"/>
      <w:r w:rsidR="00FD158B">
        <w:instrText xml:space="preserve"> "http://sdos.e</w:instrText>
      </w:r>
      <w:bookmarkEnd w:id="377"/>
      <w:bookmarkEnd w:id="378"/>
      <w:bookmarkEnd w:id="379"/>
      <w:r w:rsidR="00FD158B">
        <w:instrText>journal.ascc.net/cgi-bin/sciserv.pl?collection=journals&amp;journal=03654877"</w:instrText>
      </w:r>
      <w:r w:rsidR="00206C8A">
        <w:fldChar w:fldCharType="separate"/>
      </w:r>
      <w:r w:rsidRPr="001A3D2B">
        <w:rPr>
          <w:rStyle w:val="a5"/>
        </w:rPr>
        <w:t>Analusis</w:t>
      </w:r>
      <w:r w:rsidR="00206C8A">
        <w:fldChar w:fldCharType="end"/>
      </w:r>
    </w:p>
    <w:p w:rsidR="003474F2" w:rsidRPr="001A3D2B" w:rsidRDefault="003474F2" w:rsidP="003474F2">
      <w:pPr>
        <w:pStyle w:val="12"/>
      </w:pPr>
      <w:r w:rsidRPr="001A3D2B">
        <w:t>ISO Abbreviated Title: Analusis</w:t>
      </w:r>
    </w:p>
    <w:p w:rsidR="003474F2" w:rsidRPr="001A3D2B" w:rsidRDefault="003474F2" w:rsidP="003474F2">
      <w:pPr>
        <w:pStyle w:val="12"/>
      </w:pPr>
      <w:r w:rsidRPr="001A3D2B">
        <w:t>JCR Abbreviated Title: Analusis</w:t>
      </w:r>
    </w:p>
    <w:p w:rsidR="003474F2" w:rsidRPr="001A3D2B" w:rsidRDefault="003474F2" w:rsidP="003474F2">
      <w:pPr>
        <w:pStyle w:val="12"/>
      </w:pPr>
      <w:r w:rsidRPr="001A3D2B">
        <w:t>ISSN: 0365-4877</w:t>
      </w:r>
    </w:p>
    <w:p w:rsidR="003474F2" w:rsidRPr="001A3D2B" w:rsidRDefault="003474F2" w:rsidP="003474F2">
      <w:pPr>
        <w:pStyle w:val="12"/>
      </w:pPr>
      <w:r w:rsidRPr="001A3D2B">
        <w:t>Issues/Year: 10</w:t>
      </w:r>
    </w:p>
    <w:p w:rsidR="003474F2" w:rsidRPr="001A3D2B" w:rsidRDefault="00AA25A4" w:rsidP="003474F2">
      <w:pPr>
        <w:pStyle w:val="12"/>
      </w:pPr>
      <w:r w:rsidRPr="001A3D2B">
        <w:t>Journal Country/Territory:</w:t>
      </w:r>
      <w:r w:rsidR="008F46E9" w:rsidRPr="001A3D2B">
        <w:t xml:space="preserve"> </w:t>
      </w:r>
      <w:r w:rsidR="003474F2" w:rsidRPr="001A3D2B">
        <w:t>France</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E D P Sciences</w:t>
      </w:r>
    </w:p>
    <w:p w:rsidR="003474F2" w:rsidRPr="001A3D2B" w:rsidRDefault="003474F2" w:rsidP="003474F2">
      <w:pPr>
        <w:pStyle w:val="12"/>
      </w:pPr>
      <w:r w:rsidRPr="001A3D2B">
        <w:t xml:space="preserve">Publisher Address: 7, Ave DU Hoggar, Parc D Activites Courtaboeuf, BP 112, F-91944 Les </w:t>
      </w:r>
      <w:smartTag w:uri="urn:schemas-microsoft-com:office:smarttags" w:element="place">
        <w:smartTag w:uri="urn:schemas-microsoft-com:office:smarttags" w:element="City">
          <w:r w:rsidRPr="001A3D2B">
            <w:t>Ulis Cedexa</w:t>
          </w:r>
        </w:smartTag>
        <w:r w:rsidRPr="001A3D2B">
          <w:t xml:space="preserve">, </w:t>
        </w:r>
        <w:smartTag w:uri="urn:schemas-microsoft-com:office:smarttags" w:element="country-region">
          <w:r w:rsidRPr="001A3D2B">
            <w:t>France</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Chemistry, Analytical: Impact Factor 0.520,</w:t>
      </w:r>
      <w:r w:rsidR="00054020" w:rsidRPr="001A3D2B">
        <w:t xml:space="preserve"> </w:t>
      </w:r>
      <w:r w:rsidRPr="001A3D2B">
        <w:t>/</w:t>
      </w:r>
      <w:r w:rsidR="00054020" w:rsidRPr="001A3D2B">
        <w:t xml:space="preserve"> </w:t>
      </w:r>
      <w:r w:rsidRPr="001A3D2B">
        <w:t>(2001)</w:t>
      </w:r>
    </w:p>
    <w:p w:rsidR="003474F2" w:rsidRPr="001A3D2B" w:rsidRDefault="003474F2" w:rsidP="003474F2">
      <w:pPr>
        <w:pStyle w:val="a3"/>
      </w:pPr>
      <w:r w:rsidRPr="001A3D2B">
        <w:t>? Quoniam, L., Dou, H., Hassanaly, P.</w:t>
      </w:r>
      <w:r w:rsidR="005853A9">
        <w:t xml:space="preserve"> and </w:t>
      </w:r>
      <w:r w:rsidRPr="001A3D2B">
        <w:t>Mille, G. (1991), Bibliometrics</w:t>
      </w:r>
      <w:r w:rsidR="005853A9">
        <w:t xml:space="preserve"> and </w:t>
      </w:r>
      <w:r w:rsidRPr="001A3D2B">
        <w:t>chemistry - an example on fatty-acids</w:t>
      </w:r>
      <w:r w:rsidR="005853A9">
        <w:t xml:space="preserve"> and </w:t>
      </w:r>
      <w:r w:rsidRPr="001A3D2B">
        <w:t xml:space="preserve">phospholipides. </w:t>
      </w:r>
      <w:r w:rsidRPr="001A3D2B">
        <w:rPr>
          <w:i/>
          <w:iCs/>
        </w:rPr>
        <w:t>Analusis</w:t>
      </w:r>
      <w:r w:rsidRPr="001A3D2B">
        <w:t xml:space="preserve">, </w:t>
      </w:r>
      <w:r w:rsidRPr="001A3D2B">
        <w:rPr>
          <w:b/>
          <w:bCs/>
        </w:rPr>
        <w:t>19</w:t>
      </w:r>
      <w:r w:rsidRPr="001A3D2B">
        <w:t xml:space="preserve"> (1), I48-I52.</w:t>
      </w:r>
    </w:p>
    <w:p w:rsidR="003474F2" w:rsidRPr="001A3D2B" w:rsidRDefault="003474F2" w:rsidP="003474F2">
      <w:pPr>
        <w:pStyle w:val="a3"/>
      </w:pPr>
      <w:r w:rsidRPr="001A3D2B">
        <w:t>Notes: TTopic</w:t>
      </w:r>
    </w:p>
    <w:p w:rsidR="003474F2" w:rsidRPr="001A3D2B" w:rsidRDefault="003474F2" w:rsidP="003474F2">
      <w:pPr>
        <w:pStyle w:val="a3"/>
      </w:pPr>
      <w:r w:rsidRPr="001A3D2B">
        <w:t>Kister, J., Pieri, N., Quoniam, L.</w:t>
      </w:r>
      <w:r w:rsidR="005853A9">
        <w:t xml:space="preserve"> and </w:t>
      </w:r>
      <w:r w:rsidRPr="001A3D2B">
        <w:t>Dou, H. (1995), Bibliometric tools applied to analytical chemistry. Example</w:t>
      </w:r>
      <w:r w:rsidR="00427468">
        <w:t xml:space="preserve"> of </w:t>
      </w:r>
      <w:r w:rsidRPr="001A3D2B">
        <w:t xml:space="preserve">UV fluorescence spectroscopy. </w:t>
      </w:r>
      <w:r w:rsidRPr="001A3D2B">
        <w:rPr>
          <w:i/>
          <w:iCs/>
        </w:rPr>
        <w:t>Analusis</w:t>
      </w:r>
      <w:r w:rsidRPr="001A3D2B">
        <w:t xml:space="preserve">, </w:t>
      </w:r>
      <w:r w:rsidRPr="001A3D2B">
        <w:rPr>
          <w:b/>
          <w:bCs/>
        </w:rPr>
        <w:t>23</w:t>
      </w:r>
      <w:r w:rsidRPr="001A3D2B">
        <w:t xml:space="preserve"> (10), 518-522.</w:t>
      </w:r>
    </w:p>
    <w:p w:rsidR="003474F2" w:rsidRPr="001A3D2B" w:rsidRDefault="003474F2" w:rsidP="003474F2">
      <w:pPr>
        <w:pStyle w:val="a3"/>
      </w:pPr>
      <w:r w:rsidRPr="001A3D2B">
        <w:t xml:space="preserve">Full Text: </w:t>
      </w:r>
      <w:hyperlink r:id="rId735" w:history="1">
        <w:r w:rsidRPr="001A3D2B">
          <w:rPr>
            <w:rStyle w:val="a5"/>
          </w:rPr>
          <w:t>1995\Analusis23, 518.pdf</w:t>
        </w:r>
      </w:hyperlink>
    </w:p>
    <w:p w:rsidR="003474F2" w:rsidRPr="001A3D2B" w:rsidRDefault="003474F2" w:rsidP="003474F2">
      <w:pPr>
        <w:pStyle w:val="a3"/>
      </w:pPr>
      <w:r w:rsidRPr="001A3D2B">
        <w:t>Abstract: Scientific information (SI) is becoming a real strategic tool for research management. Bibliographical data analysis can be used to locate</w:t>
      </w:r>
      <w:r w:rsidR="003A1917">
        <w:t xml:space="preserve"> the </w:t>
      </w:r>
      <w:r w:rsidRPr="001A3D2B">
        <w:t>research network</w:t>
      </w:r>
      <w:r w:rsidR="00427468">
        <w:t xml:space="preserve"> of </w:t>
      </w:r>
      <w:r w:rsidRPr="001A3D2B">
        <w:t>a subject, a used methodology or a scientific approach in national, European or international scientific fields. SI appears to be one</w:t>
      </w:r>
      <w:r w:rsidR="00427468">
        <w:t xml:space="preserve"> of </w:t>
      </w:r>
      <w:r w:rsidR="003A1917">
        <w:t xml:space="preserve">the </w:t>
      </w:r>
      <w:r w:rsidRPr="001A3D2B">
        <w:t>deciding factors, including parameters such as</w:t>
      </w:r>
      <w:r w:rsidR="003A1917">
        <w:t xml:space="preserve"> the </w:t>
      </w:r>
      <w:r w:rsidRPr="001A3D2B">
        <w:t>initial investment,</w:t>
      </w:r>
      <w:r w:rsidR="003A1917">
        <w:t xml:space="preserve"> the </w:t>
      </w:r>
      <w:r w:rsidRPr="001A3D2B">
        <w:t>cost</w:t>
      </w:r>
      <w:r w:rsidR="00427468">
        <w:t xml:space="preserve"> of </w:t>
      </w:r>
      <w:r w:rsidRPr="001A3D2B">
        <w:t>use</w:t>
      </w:r>
      <w:r w:rsidR="005853A9">
        <w:t xml:space="preserve"> and </w:t>
      </w:r>
      <w:r w:rsidR="003A1917">
        <w:t xml:space="preserve">the </w:t>
      </w:r>
      <w:r w:rsidRPr="001A3D2B">
        <w:t>specification. in</w:t>
      </w:r>
      <w:r w:rsidR="003A1917">
        <w:t xml:space="preserve"> the </w:t>
      </w:r>
      <w:r w:rsidRPr="001A3D2B">
        <w:t>scope</w:t>
      </w:r>
      <w:r w:rsidR="00427468">
        <w:t xml:space="preserve"> of </w:t>
      </w:r>
      <w:r w:rsidR="003A1917">
        <w:t xml:space="preserve">the </w:t>
      </w:r>
      <w:r w:rsidRPr="001A3D2B">
        <w:t>choice or</w:t>
      </w:r>
      <w:r w:rsidR="003A1917">
        <w:t xml:space="preserve"> the </w:t>
      </w:r>
      <w:r w:rsidRPr="001A3D2B">
        <w:t>development</w:t>
      </w:r>
      <w:r w:rsidR="00427468">
        <w:t xml:space="preserve"> of </w:t>
      </w:r>
      <w:r w:rsidRPr="001A3D2B">
        <w:t>analytical techniques in chemistry. Scientific information is used to determine</w:t>
      </w:r>
      <w:r w:rsidR="003A1917">
        <w:t xml:space="preserve"> the </w:t>
      </w:r>
      <w:r w:rsidRPr="001A3D2B">
        <w:t>interest or</w:t>
      </w:r>
      <w:r w:rsidR="003A1917">
        <w:t xml:space="preserve"> the </w:t>
      </w:r>
      <w:r w:rsidRPr="001A3D2B">
        <w:t>relevance</w:t>
      </w:r>
      <w:r w:rsidR="00427468">
        <w:t xml:space="preserve"> of </w:t>
      </w:r>
      <w:r w:rsidRPr="001A3D2B">
        <w:t>a technique in laboratory topics or in</w:t>
      </w:r>
      <w:r w:rsidR="003A1917">
        <w:t xml:space="preserve"> the </w:t>
      </w:r>
      <w:r w:rsidRPr="001A3D2B">
        <w:t>relevant research institution areas (university, CNRS, itc.) A bibliographical database allows to identify local, national or international teams which develop</w:t>
      </w:r>
      <w:r w:rsidR="003A1917">
        <w:t xml:space="preserve"> the </w:t>
      </w:r>
      <w:r w:rsidRPr="001A3D2B">
        <w:t>same scientific approach in</w:t>
      </w:r>
      <w:r w:rsidR="003A1917">
        <w:t xml:space="preserve"> the </w:t>
      </w:r>
      <w:r w:rsidRPr="001A3D2B">
        <w:t>same subject or in a similar field</w:t>
      </w:r>
      <w:r w:rsidR="00427468">
        <w:t xml:space="preserve"> of </w:t>
      </w:r>
      <w:r w:rsidRPr="001A3D2B">
        <w:t>work. Analytical techniques can also be compared to</w:t>
      </w:r>
      <w:r w:rsidR="003A1917">
        <w:t xml:space="preserve"> the </w:t>
      </w:r>
      <w:r w:rsidRPr="001A3D2B">
        <w:t>other methods in terms</w:t>
      </w:r>
      <w:r w:rsidR="00427468">
        <w:t xml:space="preserve"> of </w:t>
      </w:r>
      <w:r w:rsidRPr="001A3D2B">
        <w:t>relevance, competition or as complementary tools</w:t>
      </w:r>
      <w:r w:rsidR="00A37C1D">
        <w:t>. The</w:t>
      </w:r>
      <w:r w:rsidR="003A1917">
        <w:t xml:space="preserve"> </w:t>
      </w:r>
      <w:r w:rsidRPr="001A3D2B">
        <w:t>information provided about</w:t>
      </w:r>
      <w:r w:rsidR="003A1917">
        <w:t xml:space="preserve"> the </w:t>
      </w:r>
      <w:r w:rsidRPr="001A3D2B">
        <w:t>chosen technique allows us to be situated in</w:t>
      </w:r>
      <w:r w:rsidR="003A1917">
        <w:t xml:space="preserve"> the </w:t>
      </w:r>
      <w:r w:rsidRPr="001A3D2B">
        <w:t>innovative or</w:t>
      </w:r>
      <w:r w:rsidR="003A1917">
        <w:t xml:space="preserve"> the </w:t>
      </w:r>
      <w:r w:rsidRPr="001A3D2B">
        <w:t>routine field</w:t>
      </w:r>
      <w:r w:rsidR="00A37C1D">
        <w:t>. The</w:t>
      </w:r>
      <w:r w:rsidRPr="001A3D2B">
        <w:t>refore, UV fluorescence appears to be an analytical technique well suited to</w:t>
      </w:r>
      <w:r w:rsidR="003A1917">
        <w:t xml:space="preserve"> the </w:t>
      </w:r>
      <w:r w:rsidRPr="001A3D2B">
        <w:t>study</w:t>
      </w:r>
      <w:r w:rsidR="00427468">
        <w:t xml:space="preserve"> of </w:t>
      </w:r>
      <w:r w:rsidRPr="001A3D2B">
        <w:t>polyaromatic hydrocarbons in all environmental media. As a matter</w:t>
      </w:r>
      <w:r w:rsidR="00427468">
        <w:t xml:space="preserve"> of </w:t>
      </w:r>
      <w:r w:rsidRPr="001A3D2B">
        <w:t>fact, simplified signals can be obtained from one</w:t>
      </w:r>
      <w:r w:rsidR="00427468">
        <w:t xml:space="preserve"> of </w:t>
      </w:r>
      <w:r w:rsidR="003A1917">
        <w:t xml:space="preserve">the </w:t>
      </w:r>
      <w:r w:rsidRPr="001A3D2B">
        <w:t>UV fluorescence techniques, known as</w:t>
      </w:r>
      <w:r w:rsidR="003A1917">
        <w:t xml:space="preserve"> the </w:t>
      </w:r>
      <w:r w:rsidRPr="001A3D2B">
        <w:t>synchronous UV fluorescence.</w:t>
      </w:r>
    </w:p>
    <w:p w:rsidR="003474F2" w:rsidRPr="001A3D2B" w:rsidRDefault="003474F2" w:rsidP="003474F2">
      <w:pPr>
        <w:pStyle w:val="a3"/>
        <w:rPr>
          <w:lang w:val="fr-FR"/>
        </w:rPr>
      </w:pPr>
      <w:r w:rsidRPr="001A3D2B">
        <w:rPr>
          <w:lang w:val="fr-FR"/>
        </w:rPr>
        <w:lastRenderedPageBreak/>
        <w:t>Keywords: Bibliometrics, Information Science, UV Fluorescence, Coal, Constituents, Oxidation</w:t>
      </w:r>
    </w:p>
    <w:p w:rsidR="003474F2" w:rsidRPr="001A3D2B" w:rsidRDefault="003474F2" w:rsidP="003474F2">
      <w:pPr>
        <w:pStyle w:val="a3"/>
      </w:pPr>
      <w:r w:rsidRPr="001A3D2B">
        <w:t>Baretta, A., Loigerot, J., Dos Santos, R.</w:t>
      </w:r>
      <w:r w:rsidR="005853A9">
        <w:t xml:space="preserve"> and </w:t>
      </w:r>
      <w:r w:rsidRPr="001A3D2B">
        <w:t>Dou, H. (1996), Economic intelligence</w:t>
      </w:r>
      <w:r w:rsidR="005853A9">
        <w:t xml:space="preserve"> and </w:t>
      </w:r>
      <w:r w:rsidRPr="001A3D2B">
        <w:t xml:space="preserve">bibliometric treatments in chemistry: Alkylpolyglucosides. </w:t>
      </w:r>
      <w:r w:rsidRPr="001A3D2B">
        <w:rPr>
          <w:i/>
          <w:iCs/>
        </w:rPr>
        <w:t>Analusis</w:t>
      </w:r>
      <w:r w:rsidRPr="001A3D2B">
        <w:t xml:space="preserve">, </w:t>
      </w:r>
      <w:r w:rsidRPr="001A3D2B">
        <w:rPr>
          <w:b/>
          <w:bCs/>
        </w:rPr>
        <w:t>24</w:t>
      </w:r>
      <w:r w:rsidRPr="001A3D2B">
        <w:t xml:space="preserve"> (9-10), M42-M46.</w:t>
      </w:r>
    </w:p>
    <w:p w:rsidR="003474F2" w:rsidRPr="001A3D2B" w:rsidRDefault="003474F2" w:rsidP="003474F2">
      <w:pPr>
        <w:pStyle w:val="a3"/>
      </w:pPr>
      <w:r w:rsidRPr="001A3D2B">
        <w:t xml:space="preserve">Full Text: </w:t>
      </w:r>
      <w:hyperlink r:id="rId736" w:history="1">
        <w:r w:rsidRPr="001A3D2B">
          <w:rPr>
            <w:rStyle w:val="a5"/>
          </w:rPr>
          <w:t>1996\Analusis24, M42.pdf</w:t>
        </w:r>
      </w:hyperlink>
    </w:p>
    <w:p w:rsidR="003474F2" w:rsidRPr="001A3D2B" w:rsidRDefault="003474F2" w:rsidP="003474F2">
      <w:pPr>
        <w:pStyle w:val="1"/>
      </w:pPr>
      <w:r w:rsidRPr="001A3D2B">
        <w:br w:type="page"/>
      </w:r>
      <w:bookmarkStart w:id="380" w:name="_Toc420814460"/>
      <w:r w:rsidRPr="001A3D2B">
        <w:lastRenderedPageBreak/>
        <w:t>Title: Analytica Chimica Acta</w:t>
      </w:r>
      <w:bookmarkEnd w:id="380"/>
    </w:p>
    <w:p w:rsidR="003474F2" w:rsidRPr="001A3D2B" w:rsidRDefault="003474F2" w:rsidP="003474F2">
      <w:pPr>
        <w:pStyle w:val="12"/>
      </w:pPr>
      <w:r w:rsidRPr="001A3D2B">
        <w:t>Full Journal Tit</w:t>
      </w:r>
      <w:bookmarkStart w:id="381" w:name="_Toc455569306"/>
      <w:bookmarkStart w:id="382" w:name="_Toc487190482"/>
      <w:bookmarkStart w:id="383" w:name="_Toc487881980"/>
      <w:bookmarkStart w:id="384" w:name="_Toc490687619"/>
      <w:bookmarkStart w:id="385" w:name="_Toc492777863"/>
      <w:bookmarkStart w:id="386" w:name="_Toc69566340"/>
      <w:bookmarkStart w:id="387" w:name="_Toc81215601"/>
      <w:r w:rsidRPr="001A3D2B">
        <w:t xml:space="preserve">le: </w:t>
      </w:r>
      <w:r w:rsidR="00206C8A">
        <w:fldChar w:fldCharType="begin"/>
      </w:r>
      <w:r w:rsidR="00FD158B">
        <w:instrText>HYPERLINK "http://www.sc</w:instrText>
      </w:r>
      <w:bookmarkEnd w:id="381"/>
      <w:bookmarkEnd w:id="382"/>
      <w:bookmarkEnd w:id="383"/>
      <w:bookmarkEnd w:id="384"/>
      <w:bookmarkEnd w:id="385"/>
      <w:bookmarkEnd w:id="386"/>
      <w:bookmarkEnd w:id="387"/>
      <w:r w:rsidR="00FD158B">
        <w:instrText>i</w:instrText>
      </w:r>
      <w:bookmarkStart w:id="388" w:name="Mantoura"/>
      <w:r w:rsidR="00FD158B">
        <w:instrText>encedirect.com/science?_ob=JournalURL&amp;_cdi=5216&amp;_auth=y&amp;_acct=C000050221&amp;_version=1&amp;_urlVersion=0&amp;_userid=10&amp;md5=46ce481bf3a6d69e9ef8c986b0c147ea"</w:instrText>
      </w:r>
      <w:r w:rsidR="00206C8A">
        <w:fldChar w:fldCharType="separate"/>
      </w:r>
      <w:r w:rsidRPr="001A3D2B">
        <w:rPr>
          <w:rStyle w:val="a5"/>
        </w:rPr>
        <w:t>Analytica Chimica Acta</w:t>
      </w:r>
      <w:r w:rsidR="00206C8A">
        <w:fldChar w:fldCharType="end"/>
      </w:r>
      <w:r w:rsidRPr="001A3D2B">
        <w:t xml:space="preserve">; </w:t>
      </w:r>
      <w:hyperlink r:id="rId737" w:history="1">
        <w:r w:rsidRPr="001A3D2B">
          <w:rPr>
            <w:rStyle w:val="a5"/>
          </w:rPr>
          <w:t>Analytica Chimica Acta</w:t>
        </w:r>
      </w:hyperlink>
    </w:p>
    <w:p w:rsidR="003474F2" w:rsidRPr="001A3D2B" w:rsidRDefault="003474F2" w:rsidP="003474F2">
      <w:pPr>
        <w:pStyle w:val="12"/>
      </w:pPr>
      <w:r w:rsidRPr="001A3D2B">
        <w:t>ISO Abbreviated Title: Anal. Chim. Acta</w:t>
      </w:r>
    </w:p>
    <w:p w:rsidR="003474F2" w:rsidRPr="001A3D2B" w:rsidRDefault="003474F2" w:rsidP="003474F2">
      <w:pPr>
        <w:pStyle w:val="12"/>
      </w:pPr>
      <w:r w:rsidRPr="001A3D2B">
        <w:t>JCR Abbreviated Title: Anal Chim Acta</w:t>
      </w:r>
    </w:p>
    <w:p w:rsidR="003474F2" w:rsidRPr="001A3D2B" w:rsidRDefault="003474F2" w:rsidP="003474F2">
      <w:pPr>
        <w:pStyle w:val="12"/>
      </w:pPr>
      <w:r w:rsidRPr="001A3D2B">
        <w:t>ISSN: 0003-2670</w:t>
      </w:r>
    </w:p>
    <w:p w:rsidR="003474F2" w:rsidRPr="001A3D2B" w:rsidRDefault="003474F2" w:rsidP="003474F2">
      <w:pPr>
        <w:pStyle w:val="12"/>
      </w:pPr>
      <w:r w:rsidRPr="001A3D2B">
        <w:t>Issues/Year: 52</w:t>
      </w:r>
    </w:p>
    <w:p w:rsidR="003474F2" w:rsidRPr="001A3D2B" w:rsidRDefault="00AA25A4" w:rsidP="003474F2">
      <w:pPr>
        <w:pStyle w:val="12"/>
      </w:pPr>
      <w:r w:rsidRPr="001A3D2B">
        <w:t>Journal Country/Territory:</w:t>
      </w:r>
      <w:r w:rsidR="008F46E9" w:rsidRPr="001A3D2B">
        <w:t xml:space="preserve"> </w:t>
      </w:r>
      <w:r w:rsidR="003474F2" w:rsidRPr="001A3D2B">
        <w:t>Netherlands</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Street">
        <w:smartTag w:uri="urn:schemas-microsoft-com:office:smarttags" w:element="address">
          <w:r w:rsidRPr="001A3D2B">
            <w:t>Elsevier Science BV</w:t>
          </w:r>
        </w:smartTag>
      </w:smartTag>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211</w:t>
        </w:r>
      </w:smartTag>
      <w:r w:rsidRPr="001A3D2B">
        <w:t xml:space="preserve">, 1000 AE </w:t>
      </w:r>
      <w:smartTag w:uri="urn:schemas-microsoft-com:office:smarttags" w:element="place">
        <w:smartTag w:uri="urn:schemas-microsoft-com:office:smarttags" w:element="City">
          <w:r w:rsidRPr="001A3D2B">
            <w:t>Amsterdam</w:t>
          </w:r>
        </w:smartTag>
        <w:r w:rsidRPr="001A3D2B">
          <w:t xml:space="preserve">, </w:t>
        </w:r>
        <w:smartTag w:uri="urn:schemas-microsoft-com:office:smarttags" w:element="country-region">
          <w:r w:rsidRPr="001A3D2B">
            <w:t>Netherlands</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Chemistry, Analytical: Impact Factor </w:t>
      </w:r>
    </w:p>
    <w:p w:rsidR="003474F2" w:rsidRPr="001A3D2B" w:rsidRDefault="003474F2" w:rsidP="003474F2">
      <w:pPr>
        <w:pStyle w:val="a3"/>
      </w:pPr>
      <w:smartTag w:uri="urn:schemas-microsoft-com:office:smarttags" w:element="City">
        <w:r w:rsidRPr="001A3D2B">
          <w:t>Thomaidis</w:t>
        </w:r>
      </w:smartTag>
      <w:r w:rsidRPr="001A3D2B">
        <w:t xml:space="preserve">, </w:t>
      </w:r>
      <w:smartTag w:uri="urn:schemas-microsoft-com:office:smarttags" w:element="State">
        <w:r w:rsidRPr="001A3D2B">
          <w:t>N.S.</w:t>
        </w:r>
      </w:smartTag>
      <w:r w:rsidRPr="001A3D2B">
        <w:t xml:space="preserve">, </w:t>
      </w:r>
      <w:smartTag w:uri="urn:schemas-microsoft-com:office:smarttags" w:element="City">
        <w:r w:rsidRPr="001A3D2B">
          <w:t>Georgiou</w:t>
        </w:r>
      </w:smartTag>
      <w:r w:rsidRPr="001A3D2B">
        <w:t>, C.A.</w:t>
      </w:r>
      <w:r w:rsidR="005853A9">
        <w:t xml:space="preserve"> and </w:t>
      </w:r>
      <w:r w:rsidRPr="001A3D2B">
        <w:t>Calokerino</w:t>
      </w:r>
      <w:bookmarkEnd w:id="388"/>
      <w:r w:rsidRPr="001A3D2B">
        <w:t>s, A.C. (2004), Analytical chemistry in Balkan</w:t>
      </w:r>
      <w:r w:rsidR="005853A9">
        <w:t xml:space="preserve"> and </w:t>
      </w:r>
      <w:r w:rsidRPr="001A3D2B">
        <w:t xml:space="preserve">East Mediterranean countries during 1994–2001. </w:t>
      </w:r>
      <w:r w:rsidRPr="001A3D2B">
        <w:rPr>
          <w:i/>
        </w:rPr>
        <w:t>Analytica Chimica Acta</w:t>
      </w:r>
      <w:r w:rsidRPr="001A3D2B">
        <w:t xml:space="preserve">, </w:t>
      </w:r>
      <w:r w:rsidRPr="001A3D2B">
        <w:rPr>
          <w:b/>
          <w:bCs/>
        </w:rPr>
        <w:t>505</w:t>
      </w:r>
      <w:r w:rsidRPr="001A3D2B">
        <w:t xml:space="preserve"> (1), 3-8.</w:t>
      </w:r>
    </w:p>
    <w:p w:rsidR="003474F2" w:rsidRPr="001A3D2B" w:rsidRDefault="003474F2" w:rsidP="003474F2">
      <w:pPr>
        <w:pStyle w:val="a3"/>
      </w:pPr>
      <w:r w:rsidRPr="001A3D2B">
        <w:t xml:space="preserve">Full Text: </w:t>
      </w:r>
      <w:hyperlink r:id="rId738" w:history="1">
        <w:r w:rsidRPr="001A3D2B">
          <w:rPr>
            <w:rStyle w:val="a5"/>
          </w:rPr>
          <w:t>2004\Ana Chi Act505, 3.pdf</w:t>
        </w:r>
      </w:hyperlink>
    </w:p>
    <w:p w:rsidR="003474F2" w:rsidRPr="001A3D2B" w:rsidRDefault="003474F2" w:rsidP="003474F2">
      <w:pPr>
        <w:pStyle w:val="a3"/>
      </w:pPr>
      <w:r w:rsidRPr="001A3D2B">
        <w:t>Abstract: Research activity in</w:t>
      </w:r>
      <w:r w:rsidR="003A1917">
        <w:t xml:space="preserve"> the </w:t>
      </w:r>
      <w:r w:rsidRPr="001A3D2B">
        <w:t>Balkan</w:t>
      </w:r>
      <w:r w:rsidR="005853A9">
        <w:t xml:space="preserve"> and </w:t>
      </w:r>
      <w:r w:rsidRPr="001A3D2B">
        <w:t>East Mediterranean countries was evaluated on</w:t>
      </w:r>
      <w:r w:rsidR="003A1917">
        <w:t xml:space="preserve"> the </w:t>
      </w:r>
      <w:r w:rsidRPr="001A3D2B">
        <w:t>basis</w:t>
      </w:r>
      <w:r w:rsidR="00427468">
        <w:t xml:space="preserve"> of </w:t>
      </w:r>
      <w:r w:rsidRPr="001A3D2B">
        <w:t>publications appearing in Analytical Abstracts (AA) during</w:t>
      </w:r>
      <w:r w:rsidR="003A1917">
        <w:t xml:space="preserve"> the </w:t>
      </w:r>
      <w:r w:rsidRPr="001A3D2B">
        <w:t>cumulative 8-year period</w:t>
      </w:r>
      <w:r w:rsidR="00427468">
        <w:t xml:space="preserve"> of </w:t>
      </w:r>
      <w:r w:rsidRPr="001A3D2B">
        <w:t>1994–2001. This was accomplished by assessing</w:t>
      </w:r>
      <w:r w:rsidR="003A1917">
        <w:t xml:space="preserve"> the </w:t>
      </w:r>
      <w:r w:rsidRPr="001A3D2B">
        <w:t>scientific publication productivity in analytical chemistry as</w:t>
      </w:r>
      <w:r w:rsidR="003A1917">
        <w:t xml:space="preserve"> the </w:t>
      </w:r>
      <w:r w:rsidRPr="001A3D2B">
        <w:t>number</w:t>
      </w:r>
      <w:r w:rsidR="00427468">
        <w:t xml:space="preserve"> of </w:t>
      </w:r>
      <w:r w:rsidRPr="001A3D2B">
        <w:t>publications from each country</w:t>
      </w:r>
      <w:r w:rsidR="005853A9">
        <w:t xml:space="preserve"> and </w:t>
      </w:r>
      <w:r w:rsidR="003A1917">
        <w:t xml:space="preserve">the </w:t>
      </w:r>
      <w:r w:rsidRPr="001A3D2B">
        <w:t>number</w:t>
      </w:r>
      <w:r w:rsidR="00427468">
        <w:t xml:space="preserve"> of </w:t>
      </w:r>
      <w:r w:rsidRPr="001A3D2B">
        <w:t>publications per population unit. To assess</w:t>
      </w:r>
      <w:r w:rsidR="003A1917">
        <w:t xml:space="preserve"> the </w:t>
      </w:r>
      <w:r w:rsidRPr="001A3D2B">
        <w:t>impact in</w:t>
      </w:r>
      <w:r w:rsidR="003A1917">
        <w:t xml:space="preserve"> the </w:t>
      </w:r>
      <w:r w:rsidRPr="001A3D2B">
        <w:t>scientific community,</w:t>
      </w:r>
      <w:r w:rsidR="003A1917">
        <w:t xml:space="preserve"> the </w:t>
      </w:r>
      <w:r w:rsidRPr="001A3D2B">
        <w:t>mean impact factor for each country was calculated</w:t>
      </w:r>
      <w:r w:rsidR="00A37C1D">
        <w:t>. The</w:t>
      </w:r>
      <w:r w:rsidR="003A1917">
        <w:t xml:space="preserve"> </w:t>
      </w:r>
      <w:r w:rsidRPr="001A3D2B">
        <w:t>publication productivity trend was recorded for</w:t>
      </w:r>
      <w:r w:rsidR="003A1917">
        <w:t xml:space="preserve"> the </w:t>
      </w:r>
      <w:r w:rsidRPr="001A3D2B">
        <w:t>7-year period 1994–2000. Moreover,</w:t>
      </w:r>
      <w:r w:rsidR="003A1917">
        <w:t xml:space="preserve"> the </w:t>
      </w:r>
      <w:r w:rsidRPr="001A3D2B">
        <w:t>preference to publish in specific journals per country was appraised. According to</w:t>
      </w:r>
      <w:r w:rsidR="003A1917">
        <w:t xml:space="preserve"> the </w:t>
      </w:r>
      <w:r w:rsidRPr="001A3D2B">
        <w:t>total number</w:t>
      </w:r>
      <w:r w:rsidR="00427468">
        <w:t xml:space="preserve"> of </w:t>
      </w:r>
      <w:r w:rsidRPr="001A3D2B">
        <w:t xml:space="preserve">publications, </w:t>
      </w:r>
      <w:smartTag w:uri="urn:schemas-microsoft-com:office:smarttags" w:element="country-region">
        <w:r w:rsidRPr="001A3D2B">
          <w:t>Egypt</w:t>
        </w:r>
      </w:smartTag>
      <w:r w:rsidRPr="001A3D2B">
        <w:t xml:space="preserve"> (765 publications)</w:t>
      </w:r>
      <w:r w:rsidR="005853A9">
        <w:t xml:space="preserve"> and </w:t>
      </w:r>
      <w:r w:rsidRPr="001A3D2B">
        <w:t>Greece (717 publications) are</w:t>
      </w:r>
      <w:r w:rsidR="003A1917">
        <w:t xml:space="preserve"> the </w:t>
      </w:r>
      <w:r w:rsidRPr="001A3D2B">
        <w:t xml:space="preserve">most productive countries, while </w:t>
      </w:r>
      <w:smartTag w:uri="urn:schemas-microsoft-com:office:smarttags" w:element="place">
        <w:smartTag w:uri="urn:schemas-microsoft-com:office:smarttags" w:element="country-region">
          <w:r w:rsidRPr="001A3D2B">
            <w:t>Slovenia</w:t>
          </w:r>
        </w:smartTag>
      </w:smartTag>
      <w:r w:rsidRPr="001A3D2B">
        <w:t xml:space="preserve"> shows</w:t>
      </w:r>
      <w:r w:rsidR="003A1917">
        <w:t xml:space="preserve"> the </w:t>
      </w:r>
      <w:r w:rsidRPr="001A3D2B">
        <w:t>highest number</w:t>
      </w:r>
      <w:r w:rsidR="00427468">
        <w:t xml:space="preserve"> of </w:t>
      </w:r>
      <w:r w:rsidRPr="001A3D2B">
        <w:t>publications per million</w:t>
      </w:r>
      <w:r w:rsidR="00427468">
        <w:t xml:space="preserve"> of </w:t>
      </w:r>
      <w:r w:rsidRPr="001A3D2B">
        <w:t xml:space="preserve">population (140). Scientists from </w:t>
      </w:r>
      <w:smartTag w:uri="urn:schemas-microsoft-com:office:smarttags" w:element="country-region">
        <w:r w:rsidRPr="001A3D2B">
          <w:t>Israel</w:t>
        </w:r>
      </w:smartTag>
      <w:r w:rsidRPr="001A3D2B">
        <w:t xml:space="preserve"> published their work in</w:t>
      </w:r>
      <w:r w:rsidR="003A1917">
        <w:t xml:space="preserve"> the </w:t>
      </w:r>
      <w:r w:rsidRPr="001A3D2B">
        <w:t>highest impact analytical journals with a mean impact factor</w:t>
      </w:r>
      <w:r w:rsidR="00427468">
        <w:t xml:space="preserve"> of </w:t>
      </w:r>
      <w:r w:rsidRPr="001A3D2B">
        <w:t xml:space="preserve">2.02, followed by </w:t>
      </w:r>
      <w:smartTag w:uri="urn:schemas-microsoft-com:office:smarttags" w:element="country-region">
        <w:r w:rsidRPr="001A3D2B">
          <w:t>Slovenia</w:t>
        </w:r>
      </w:smartTag>
      <w:r w:rsidRPr="001A3D2B">
        <w:t xml:space="preserve"> (mean impact factor</w:t>
      </w:r>
      <w:r w:rsidR="00427468">
        <w:t xml:space="preserve"> of </w:t>
      </w:r>
      <w:r w:rsidRPr="001A3D2B">
        <w:t>1.67)</w:t>
      </w:r>
      <w:r w:rsidR="005853A9">
        <w:t xml:space="preserve"> and </w:t>
      </w:r>
      <w:r w:rsidRPr="001A3D2B">
        <w:t>Greece (mean impact factor</w:t>
      </w:r>
      <w:r w:rsidR="00427468">
        <w:t xml:space="preserve"> of </w:t>
      </w:r>
      <w:r w:rsidRPr="001A3D2B">
        <w:t>1.53). Studies</w:t>
      </w:r>
      <w:r w:rsidR="00427468">
        <w:t xml:space="preserve"> of </w:t>
      </w:r>
      <w:r w:rsidRPr="001A3D2B">
        <w:t>scientists from different countries do not show any obvious preference to a single specific journal. It is interesting to note that preference for journals reveals</w:t>
      </w:r>
      <w:r w:rsidR="003A1917">
        <w:t xml:space="preserve"> the </w:t>
      </w:r>
      <w:r w:rsidRPr="001A3D2B">
        <w:t>research interests</w:t>
      </w:r>
      <w:r w:rsidR="00427468">
        <w:t xml:space="preserve"> of </w:t>
      </w:r>
      <w:r w:rsidRPr="001A3D2B">
        <w:t>scientists from each country for sub-fields</w:t>
      </w:r>
      <w:r w:rsidR="00427468">
        <w:t xml:space="preserve"> of </w:t>
      </w:r>
      <w:r w:rsidRPr="001A3D2B">
        <w:t>analytical chemistry.</w:t>
      </w:r>
    </w:p>
    <w:p w:rsidR="003474F2" w:rsidRPr="001A3D2B" w:rsidRDefault="003474F2" w:rsidP="003474F2">
      <w:pPr>
        <w:pStyle w:val="a3"/>
      </w:pPr>
      <w:r w:rsidRPr="001A3D2B">
        <w:t>Keywords: Assessing, Chemistry, Community, Country, Cumulative, Egypt, Greece, Impact, Impact Factor, Israel, Journal, Journals, Mediterranean, Population, Preference, Productivity, Publication, Publications, Research, Rights, Slovenia, Trend, Work</w:t>
      </w:r>
    </w:p>
    <w:p w:rsidR="00C65A5E" w:rsidRPr="001A3D2B" w:rsidRDefault="00C65A5E" w:rsidP="00C65A5E">
      <w:pPr>
        <w:pStyle w:val="1"/>
      </w:pPr>
      <w:r w:rsidRPr="001A3D2B">
        <w:br w:type="page"/>
      </w:r>
      <w:bookmarkStart w:id="389" w:name="_Toc420814461"/>
      <w:r w:rsidRPr="001A3D2B">
        <w:lastRenderedPageBreak/>
        <w:t>Title: Analytical</w:t>
      </w:r>
      <w:r w:rsidR="005853A9">
        <w:t xml:space="preserve"> and </w:t>
      </w:r>
      <w:r w:rsidRPr="001A3D2B">
        <w:t>Bioanalytical Chemistry</w:t>
      </w:r>
      <w:bookmarkEnd w:id="389"/>
    </w:p>
    <w:p w:rsidR="00C65A5E" w:rsidRPr="001A3D2B" w:rsidRDefault="00C65A5E" w:rsidP="00C65A5E">
      <w:pPr>
        <w:pStyle w:val="12"/>
      </w:pPr>
      <w:bookmarkStart w:id="390" w:name="_Toc239608882"/>
      <w:r w:rsidRPr="001A3D2B">
        <w:t xml:space="preserve">Full Journal Title: </w:t>
      </w:r>
      <w:r w:rsidR="00206C8A">
        <w:fldChar w:fldCharType="begin"/>
      </w:r>
      <w:r w:rsidR="00FD158B">
        <w:instrText>HYPERLINK "http://www.en</w:instrText>
      </w:r>
      <w:bookmarkEnd w:id="390"/>
      <w:r w:rsidR="00FD158B">
        <w:instrText>vironmental-center.com/magazine/springer/00216/"</w:instrText>
      </w:r>
      <w:r w:rsidR="00206C8A">
        <w:fldChar w:fldCharType="separate"/>
      </w:r>
      <w:r w:rsidRPr="001A3D2B">
        <w:rPr>
          <w:rStyle w:val="a5"/>
        </w:rPr>
        <w:t>Analytical</w:t>
      </w:r>
      <w:r w:rsidR="005853A9">
        <w:rPr>
          <w:rStyle w:val="a5"/>
        </w:rPr>
        <w:t xml:space="preserve"> and </w:t>
      </w:r>
      <w:r w:rsidRPr="001A3D2B">
        <w:rPr>
          <w:rStyle w:val="a5"/>
        </w:rPr>
        <w:t>Bioanalytical Chemistry</w:t>
      </w:r>
      <w:r w:rsidR="00206C8A">
        <w:fldChar w:fldCharType="end"/>
      </w:r>
      <w:r w:rsidRPr="001A3D2B">
        <w:t xml:space="preserve">; </w:t>
      </w:r>
      <w:hyperlink r:id="rId739" w:history="1">
        <w:r w:rsidRPr="001A3D2B">
          <w:rPr>
            <w:rStyle w:val="a5"/>
          </w:rPr>
          <w:t>Analytical</w:t>
        </w:r>
        <w:r w:rsidR="005853A9">
          <w:rPr>
            <w:rStyle w:val="a5"/>
          </w:rPr>
          <w:t xml:space="preserve"> and </w:t>
        </w:r>
        <w:r w:rsidRPr="001A3D2B">
          <w:rPr>
            <w:rStyle w:val="a5"/>
          </w:rPr>
          <w:t>Bioanalytical Chemistry</w:t>
        </w:r>
      </w:hyperlink>
    </w:p>
    <w:p w:rsidR="00C65A5E" w:rsidRPr="001A3D2B" w:rsidRDefault="00C65A5E" w:rsidP="00C65A5E">
      <w:pPr>
        <w:pStyle w:val="12"/>
      </w:pPr>
      <w:r w:rsidRPr="001A3D2B">
        <w:t xml:space="preserve">ISO Abbreviated Title: </w:t>
      </w:r>
    </w:p>
    <w:p w:rsidR="00C65A5E" w:rsidRPr="001A3D2B" w:rsidRDefault="00C65A5E" w:rsidP="00C65A5E">
      <w:pPr>
        <w:pStyle w:val="12"/>
      </w:pPr>
      <w:r w:rsidRPr="001A3D2B">
        <w:t xml:space="preserve">JCR Abbreviated Title: </w:t>
      </w:r>
    </w:p>
    <w:p w:rsidR="00C65A5E" w:rsidRPr="001A3D2B" w:rsidRDefault="00C65A5E" w:rsidP="00C65A5E">
      <w:pPr>
        <w:pStyle w:val="12"/>
      </w:pPr>
      <w:r w:rsidRPr="001A3D2B">
        <w:t>ISSN: 1618-2642</w:t>
      </w:r>
    </w:p>
    <w:p w:rsidR="00C65A5E" w:rsidRPr="001A3D2B" w:rsidRDefault="00C65A5E" w:rsidP="00C65A5E">
      <w:pPr>
        <w:pStyle w:val="12"/>
      </w:pPr>
      <w:r w:rsidRPr="001A3D2B">
        <w:t xml:space="preserve">Issues/Year: </w:t>
      </w:r>
    </w:p>
    <w:p w:rsidR="00C65A5E" w:rsidRPr="001A3D2B" w:rsidRDefault="00C65A5E" w:rsidP="00C65A5E">
      <w:pPr>
        <w:pStyle w:val="12"/>
      </w:pPr>
      <w:r w:rsidRPr="001A3D2B">
        <w:t xml:space="preserve">Journal Country/Territory: </w:t>
      </w:r>
    </w:p>
    <w:p w:rsidR="00C65A5E" w:rsidRPr="001A3D2B" w:rsidRDefault="00C65A5E" w:rsidP="00C65A5E">
      <w:pPr>
        <w:pStyle w:val="12"/>
      </w:pPr>
      <w:r w:rsidRPr="001A3D2B">
        <w:t xml:space="preserve">Language: </w:t>
      </w:r>
    </w:p>
    <w:p w:rsidR="00C65A5E" w:rsidRPr="001A3D2B" w:rsidRDefault="00C65A5E" w:rsidP="00C65A5E">
      <w:pPr>
        <w:pStyle w:val="12"/>
      </w:pPr>
      <w:r w:rsidRPr="001A3D2B">
        <w:t xml:space="preserve">Publisher: </w:t>
      </w:r>
    </w:p>
    <w:p w:rsidR="00C65A5E" w:rsidRPr="001A3D2B" w:rsidRDefault="00C65A5E" w:rsidP="00C65A5E">
      <w:pPr>
        <w:pStyle w:val="12"/>
      </w:pPr>
      <w:r w:rsidRPr="001A3D2B">
        <w:t xml:space="preserve">Publisher Address: </w:t>
      </w:r>
    </w:p>
    <w:p w:rsidR="00C65A5E" w:rsidRPr="001A3D2B" w:rsidRDefault="00C65A5E" w:rsidP="00C65A5E">
      <w:pPr>
        <w:pStyle w:val="12"/>
      </w:pPr>
      <w:r w:rsidRPr="001A3D2B">
        <w:t xml:space="preserve">Subject Categories: </w:t>
      </w:r>
    </w:p>
    <w:p w:rsidR="00C65A5E" w:rsidRPr="001A3D2B" w:rsidRDefault="00C65A5E" w:rsidP="00C65A5E">
      <w:pPr>
        <w:pStyle w:val="12"/>
      </w:pPr>
      <w:r w:rsidRPr="001A3D2B">
        <w:t>: Impact Factor</w:t>
      </w:r>
    </w:p>
    <w:p w:rsidR="00C65A5E" w:rsidRPr="001A3D2B" w:rsidRDefault="00C65A5E" w:rsidP="00C65A5E">
      <w:pPr>
        <w:pStyle w:val="a3"/>
        <w:rPr>
          <w:kern w:val="0"/>
        </w:rPr>
      </w:pPr>
      <w:r w:rsidRPr="001A3D2B">
        <w:rPr>
          <w:kern w:val="0"/>
        </w:rPr>
        <w:t xml:space="preserve">? Fetzer, J. (2004), Writing an eye-catching, high-impact paper. </w:t>
      </w:r>
      <w:r w:rsidRPr="001A3D2B">
        <w:rPr>
          <w:i/>
          <w:iCs/>
          <w:kern w:val="0"/>
        </w:rPr>
        <w:t>Analytical</w:t>
      </w:r>
      <w:r w:rsidR="005853A9">
        <w:rPr>
          <w:i/>
          <w:iCs/>
          <w:kern w:val="0"/>
        </w:rPr>
        <w:t xml:space="preserve"> and </w:t>
      </w:r>
      <w:r w:rsidRPr="001A3D2B">
        <w:rPr>
          <w:i/>
          <w:iCs/>
          <w:kern w:val="0"/>
        </w:rPr>
        <w:t>Bioanalytical Chemistry</w:t>
      </w:r>
      <w:r w:rsidRPr="001A3D2B">
        <w:rPr>
          <w:kern w:val="0"/>
        </w:rPr>
        <w:t xml:space="preserve">, </w:t>
      </w:r>
      <w:r w:rsidRPr="001A3D2B">
        <w:rPr>
          <w:b/>
          <w:bCs/>
          <w:kern w:val="0"/>
        </w:rPr>
        <w:t>378</w:t>
      </w:r>
      <w:r w:rsidRPr="001A3D2B">
        <w:rPr>
          <w:kern w:val="0"/>
        </w:rPr>
        <w:t xml:space="preserve"> (1), 9-10.</w:t>
      </w:r>
    </w:p>
    <w:p w:rsidR="00C65A5E" w:rsidRPr="001A3D2B" w:rsidRDefault="00C65A5E" w:rsidP="00C65A5E">
      <w:pPr>
        <w:pStyle w:val="a3"/>
      </w:pPr>
      <w:r w:rsidRPr="001A3D2B">
        <w:t xml:space="preserve">Full Text: </w:t>
      </w:r>
      <w:hyperlink r:id="rId740" w:history="1">
        <w:r w:rsidRPr="001A3D2B">
          <w:rPr>
            <w:rStyle w:val="a5"/>
          </w:rPr>
          <w:t>2004\Ana Bio Che378, 9.pdf</w:t>
        </w:r>
      </w:hyperlink>
    </w:p>
    <w:p w:rsidR="00C65A5E" w:rsidRPr="00F219CA" w:rsidRDefault="00C65A5E" w:rsidP="00C65A5E">
      <w:pPr>
        <w:pStyle w:val="a3"/>
      </w:pPr>
      <w:r>
        <w:rPr>
          <w:rFonts w:hint="eastAsia"/>
        </w:rPr>
        <w:t>?</w:t>
      </w:r>
      <w:r w:rsidRPr="006042C2">
        <w:t xml:space="preserve"> </w:t>
      </w:r>
      <w:r>
        <w:t>Robinson</w:t>
      </w:r>
      <w:r>
        <w:rPr>
          <w:rFonts w:hint="eastAsia"/>
        </w:rPr>
        <w:t>,</w:t>
      </w:r>
      <w:r>
        <w:t xml:space="preserve"> I</w:t>
      </w:r>
      <w:r>
        <w:rPr>
          <w:rFonts w:hint="eastAsia"/>
        </w:rPr>
        <w:t>.,</w:t>
      </w:r>
      <w:r>
        <w:t xml:space="preserve"> Junqua</w:t>
      </w:r>
      <w:r>
        <w:rPr>
          <w:rFonts w:hint="eastAsia"/>
        </w:rPr>
        <w:t>,</w:t>
      </w:r>
      <w:r>
        <w:t xml:space="preserve"> G</w:t>
      </w:r>
      <w:r>
        <w:rPr>
          <w:rFonts w:hint="eastAsia"/>
        </w:rPr>
        <w:t>.,</w:t>
      </w:r>
      <w:r>
        <w:t xml:space="preserve"> Van Coillie</w:t>
      </w:r>
      <w:r>
        <w:rPr>
          <w:rFonts w:hint="eastAsia"/>
        </w:rPr>
        <w:t>,</w:t>
      </w:r>
      <w:r>
        <w:t xml:space="preserve"> R</w:t>
      </w:r>
      <w:r>
        <w:rPr>
          <w:rFonts w:hint="eastAsia"/>
        </w:rPr>
        <w:t>.</w:t>
      </w:r>
      <w:r w:rsidR="005853A9">
        <w:rPr>
          <w:rFonts w:hint="eastAsia"/>
        </w:rPr>
        <w:t xml:space="preserve"> and </w:t>
      </w:r>
      <w:r>
        <w:t>Thomas</w:t>
      </w:r>
      <w:r>
        <w:rPr>
          <w:rFonts w:hint="eastAsia"/>
        </w:rPr>
        <w:t>,</w:t>
      </w:r>
      <w:r>
        <w:t xml:space="preserve"> O</w:t>
      </w:r>
      <w:r>
        <w:rPr>
          <w:rFonts w:hint="eastAsia"/>
        </w:rPr>
        <w:t>.</w:t>
      </w:r>
      <w:r w:rsidRPr="00F219CA">
        <w:t xml:space="preserve"> (200</w:t>
      </w:r>
      <w:r>
        <w:rPr>
          <w:rFonts w:hint="eastAsia"/>
        </w:rPr>
        <w:t>7</w:t>
      </w:r>
      <w:r w:rsidRPr="00F219CA">
        <w:t xml:space="preserve">), </w:t>
      </w:r>
      <w:r>
        <w:t>Trends in</w:t>
      </w:r>
      <w:r w:rsidR="003A1917">
        <w:t xml:space="preserve"> the </w:t>
      </w:r>
      <w:r>
        <w:t>detection</w:t>
      </w:r>
      <w:r w:rsidR="00427468">
        <w:t xml:space="preserve"> of </w:t>
      </w:r>
      <w:r>
        <w:t>pharmaceutical products,</w:t>
      </w:r>
      <w:r w:rsidR="005853A9">
        <w:t xml:space="preserve"> and </w:t>
      </w:r>
      <w:r>
        <w:t>their impact</w:t>
      </w:r>
      <w:r w:rsidR="005853A9">
        <w:t xml:space="preserve"> and </w:t>
      </w:r>
      <w:r>
        <w:t>mitigation in water</w:t>
      </w:r>
      <w:r w:rsidR="005853A9">
        <w:t xml:space="preserve"> and </w:t>
      </w:r>
      <w:r>
        <w:t>wastewater in North America</w:t>
      </w:r>
      <w:r w:rsidRPr="00F219CA">
        <w:t xml:space="preserve">. </w:t>
      </w:r>
      <w:r w:rsidRPr="00F219CA">
        <w:rPr>
          <w:i/>
          <w:iCs/>
        </w:rPr>
        <w:t>Analytical</w:t>
      </w:r>
      <w:r w:rsidR="005853A9">
        <w:rPr>
          <w:i/>
          <w:iCs/>
        </w:rPr>
        <w:t xml:space="preserve"> and </w:t>
      </w:r>
      <w:r w:rsidRPr="00F219CA">
        <w:rPr>
          <w:i/>
          <w:iCs/>
        </w:rPr>
        <w:t>Bioanalytical Chemistry</w:t>
      </w:r>
      <w:r w:rsidRPr="00F219CA">
        <w:t xml:space="preserve">, </w:t>
      </w:r>
      <w:r w:rsidRPr="00F219CA">
        <w:rPr>
          <w:b/>
        </w:rPr>
        <w:t>3</w:t>
      </w:r>
      <w:r>
        <w:rPr>
          <w:rFonts w:hint="eastAsia"/>
          <w:b/>
        </w:rPr>
        <w:t>87</w:t>
      </w:r>
      <w:r w:rsidRPr="00F219CA">
        <w:t xml:space="preserve"> (</w:t>
      </w:r>
      <w:r>
        <w:rPr>
          <w:rFonts w:hint="eastAsia"/>
        </w:rPr>
        <w:t>4</w:t>
      </w:r>
      <w:r w:rsidRPr="00F219CA">
        <w:t xml:space="preserve">), </w:t>
      </w:r>
      <w:r>
        <w:t>1143-1151</w:t>
      </w:r>
      <w:r w:rsidRPr="00F219CA">
        <w:t>.</w:t>
      </w:r>
    </w:p>
    <w:p w:rsidR="00C65A5E" w:rsidRDefault="00C65A5E" w:rsidP="00C65A5E">
      <w:pPr>
        <w:pStyle w:val="a3"/>
        <w:rPr>
          <w:kern w:val="2"/>
        </w:rPr>
      </w:pPr>
      <w:r w:rsidRPr="00F219CA">
        <w:t xml:space="preserve">Full Text: </w:t>
      </w:r>
      <w:hyperlink r:id="rId741" w:history="1">
        <w:r w:rsidRPr="006042C2">
          <w:rPr>
            <w:rStyle w:val="a5"/>
          </w:rPr>
          <w:t>2007\Ana Bio Che387, 1143.pdf</w:t>
        </w:r>
      </w:hyperlink>
    </w:p>
    <w:p w:rsidR="00C65A5E" w:rsidRPr="00F219CA" w:rsidRDefault="00C65A5E" w:rsidP="00C65A5E">
      <w:pPr>
        <w:pStyle w:val="a3"/>
      </w:pPr>
      <w:r>
        <w:t>Keywords: Personal Care Products, Tandem Mass-Spectrometry, Solid-Phase Extraction, US Surface Waters, Liquid-Chromatography, Estrogenic Chemicals, River Water, In-Vitro, Environment, Diclofenac</w:t>
      </w:r>
    </w:p>
    <w:p w:rsidR="005C4A33" w:rsidRDefault="005C4A33" w:rsidP="005C4A33">
      <w:pPr>
        <w:pStyle w:val="a3"/>
        <w:rPr>
          <w:kern w:val="0"/>
        </w:rPr>
      </w:pPr>
      <w:r>
        <w:rPr>
          <w:rFonts w:hint="eastAsia"/>
          <w:kern w:val="0"/>
        </w:rPr>
        <w:t>Notes: UUniversity</w:t>
      </w:r>
    </w:p>
    <w:p w:rsidR="00C65A5E" w:rsidRDefault="00C65A5E" w:rsidP="00C65A5E">
      <w:pPr>
        <w:pStyle w:val="a3"/>
        <w:rPr>
          <w:kern w:val="0"/>
        </w:rPr>
      </w:pPr>
      <w:r>
        <w:rPr>
          <w:rFonts w:hint="eastAsia"/>
          <w:kern w:val="0"/>
        </w:rPr>
        <w:t xml:space="preserve">? </w:t>
      </w:r>
      <w:r>
        <w:rPr>
          <w:kern w:val="0"/>
        </w:rPr>
        <w:t>Annibaldi, A., Truzzi, C., Illuminati, S.</w:t>
      </w:r>
      <w:r w:rsidR="005853A9">
        <w:rPr>
          <w:kern w:val="0"/>
        </w:rPr>
        <w:t xml:space="preserve"> and </w:t>
      </w:r>
      <w:r>
        <w:rPr>
          <w:kern w:val="0"/>
        </w:rPr>
        <w:t>Scarponi, G. (2010), Scientometric analysis</w:t>
      </w:r>
      <w:r w:rsidR="00427468">
        <w:rPr>
          <w:kern w:val="0"/>
        </w:rPr>
        <w:t xml:space="preserve"> of </w:t>
      </w:r>
      <w:r>
        <w:rPr>
          <w:kern w:val="0"/>
        </w:rPr>
        <w:t>national university research performance in analytical chemistry on</w:t>
      </w:r>
      <w:r w:rsidR="003A1917">
        <w:rPr>
          <w:kern w:val="0"/>
        </w:rPr>
        <w:t xml:space="preserve"> the </w:t>
      </w:r>
      <w:r>
        <w:rPr>
          <w:kern w:val="0"/>
        </w:rPr>
        <w:t>basis</w:t>
      </w:r>
      <w:r w:rsidR="00427468">
        <w:rPr>
          <w:kern w:val="0"/>
        </w:rPr>
        <w:t xml:space="preserve"> of </w:t>
      </w:r>
      <w:r>
        <w:rPr>
          <w:kern w:val="0"/>
        </w:rPr>
        <w:t xml:space="preserve">academic publications: Italy as case study. </w:t>
      </w:r>
      <w:r>
        <w:rPr>
          <w:i/>
          <w:iCs/>
          <w:kern w:val="0"/>
        </w:rPr>
        <w:t>Analytical</w:t>
      </w:r>
      <w:r w:rsidR="005853A9">
        <w:rPr>
          <w:i/>
          <w:iCs/>
          <w:kern w:val="0"/>
        </w:rPr>
        <w:t xml:space="preserve"> and </w:t>
      </w:r>
      <w:r>
        <w:rPr>
          <w:i/>
          <w:iCs/>
          <w:kern w:val="0"/>
        </w:rPr>
        <w:t>Bioanalytical Chemistry</w:t>
      </w:r>
      <w:r>
        <w:rPr>
          <w:kern w:val="0"/>
        </w:rPr>
        <w:t xml:space="preserve">, </w:t>
      </w:r>
      <w:r>
        <w:rPr>
          <w:b/>
          <w:bCs/>
          <w:kern w:val="0"/>
        </w:rPr>
        <w:t>398</w:t>
      </w:r>
      <w:r>
        <w:rPr>
          <w:kern w:val="0"/>
        </w:rPr>
        <w:t xml:space="preserve"> (1), 17-26</w:t>
      </w:r>
      <w:r w:rsidR="005C4A33">
        <w:rPr>
          <w:rFonts w:hint="eastAsia"/>
          <w:kern w:val="0"/>
        </w:rPr>
        <w:t>.</w:t>
      </w:r>
    </w:p>
    <w:p w:rsidR="00C65A5E" w:rsidRPr="001A3D2B" w:rsidRDefault="00C65A5E" w:rsidP="00C65A5E">
      <w:pPr>
        <w:pStyle w:val="a3"/>
      </w:pPr>
      <w:r w:rsidRPr="001A3D2B">
        <w:t xml:space="preserve">Full Text: </w:t>
      </w:r>
      <w:hyperlink r:id="rId742" w:history="1">
        <w:r w:rsidRPr="00133DE5">
          <w:rPr>
            <w:rStyle w:val="a5"/>
          </w:rPr>
          <w:t>2010\Ana Bio Che398, 17.pdf</w:t>
        </w:r>
      </w:hyperlink>
    </w:p>
    <w:p w:rsidR="005C4A33" w:rsidRDefault="005C4A33" w:rsidP="005C4A33">
      <w:pPr>
        <w:pStyle w:val="a3"/>
        <w:rPr>
          <w:kern w:val="0"/>
        </w:rPr>
      </w:pPr>
      <w:r>
        <w:rPr>
          <w:kern w:val="0"/>
        </w:rPr>
        <w:t>Keywords: Analysis, Bibliometric Indicators, Case Study, Chemistry, Citation, Countries, Evolution, Hirsc</w:t>
      </w:r>
      <w:r w:rsidR="00D5664A">
        <w:rPr>
          <w:kern w:val="0"/>
        </w:rPr>
        <w:t>h-Index</w:t>
      </w:r>
      <w:r>
        <w:rPr>
          <w:kern w:val="0"/>
        </w:rPr>
        <w:t>, Italy, Journals, Normalized Impact Factor, Performance, Productivity, Publications, Research, Research Performance, Scientific-Research Output, Scientometric, Subject Categories, University</w:t>
      </w:r>
    </w:p>
    <w:p w:rsidR="005C4A33" w:rsidRDefault="005C4A33" w:rsidP="00FA1CB1">
      <w:pPr>
        <w:pStyle w:val="a3"/>
        <w:rPr>
          <w:kern w:val="0"/>
        </w:rPr>
      </w:pPr>
      <w:r>
        <w:rPr>
          <w:rFonts w:hint="eastAsia"/>
          <w:kern w:val="0"/>
        </w:rPr>
        <w:t>Notes: UUniversity</w:t>
      </w:r>
    </w:p>
    <w:p w:rsidR="00FA1CB1" w:rsidRDefault="00FA1CB1" w:rsidP="00FA1CB1">
      <w:pPr>
        <w:pStyle w:val="a3"/>
        <w:rPr>
          <w:kern w:val="0"/>
        </w:rPr>
      </w:pPr>
      <w:r>
        <w:rPr>
          <w:rFonts w:hint="eastAsia"/>
          <w:kern w:val="0"/>
        </w:rPr>
        <w:t xml:space="preserve">? </w:t>
      </w:r>
      <w:r>
        <w:rPr>
          <w:kern w:val="0"/>
        </w:rPr>
        <w:t>Annibaldi, A., Truzzi, C., Illuminati, S.</w:t>
      </w:r>
      <w:r w:rsidR="005853A9">
        <w:rPr>
          <w:kern w:val="0"/>
        </w:rPr>
        <w:t xml:space="preserve"> and </w:t>
      </w:r>
      <w:r>
        <w:rPr>
          <w:kern w:val="0"/>
        </w:rPr>
        <w:t>Scarponi, G. (2010), Scientometric analysis</w:t>
      </w:r>
      <w:r w:rsidR="00427468">
        <w:rPr>
          <w:kern w:val="0"/>
        </w:rPr>
        <w:t xml:space="preserve"> of </w:t>
      </w:r>
      <w:r>
        <w:rPr>
          <w:kern w:val="0"/>
        </w:rPr>
        <w:t>national university research performance in analytical chemistry on</w:t>
      </w:r>
      <w:r w:rsidR="003A1917">
        <w:rPr>
          <w:kern w:val="0"/>
        </w:rPr>
        <w:t xml:space="preserve"> the </w:t>
      </w:r>
      <w:r>
        <w:rPr>
          <w:kern w:val="0"/>
        </w:rPr>
        <w:lastRenderedPageBreak/>
        <w:t>basis</w:t>
      </w:r>
      <w:r w:rsidR="00427468">
        <w:rPr>
          <w:kern w:val="0"/>
        </w:rPr>
        <w:t xml:space="preserve"> of </w:t>
      </w:r>
      <w:r>
        <w:rPr>
          <w:kern w:val="0"/>
        </w:rPr>
        <w:t xml:space="preserve">academic publications: Italy as case study (vol 398, pg 17, 2010). </w:t>
      </w:r>
      <w:r>
        <w:rPr>
          <w:i/>
          <w:iCs/>
          <w:kern w:val="0"/>
        </w:rPr>
        <w:t>Analytical</w:t>
      </w:r>
      <w:r w:rsidR="005853A9">
        <w:rPr>
          <w:i/>
          <w:iCs/>
          <w:kern w:val="0"/>
        </w:rPr>
        <w:t xml:space="preserve"> and </w:t>
      </w:r>
      <w:r>
        <w:rPr>
          <w:i/>
          <w:iCs/>
          <w:kern w:val="0"/>
        </w:rPr>
        <w:t>Bioanalytical Chemistry</w:t>
      </w:r>
      <w:r>
        <w:rPr>
          <w:kern w:val="0"/>
        </w:rPr>
        <w:t xml:space="preserve">, </w:t>
      </w:r>
      <w:r>
        <w:rPr>
          <w:b/>
          <w:bCs/>
          <w:kern w:val="0"/>
        </w:rPr>
        <w:t>398</w:t>
      </w:r>
      <w:r>
        <w:rPr>
          <w:kern w:val="0"/>
        </w:rPr>
        <w:t xml:space="preserve"> (7-8), 3227</w:t>
      </w:r>
      <w:r>
        <w:rPr>
          <w:rFonts w:hint="eastAsia"/>
          <w:kern w:val="0"/>
        </w:rPr>
        <w:t>.</w:t>
      </w:r>
    </w:p>
    <w:p w:rsidR="00FA1CB1" w:rsidRPr="001A3D2B" w:rsidRDefault="00FA1CB1" w:rsidP="00FA1CB1">
      <w:pPr>
        <w:pStyle w:val="a3"/>
      </w:pPr>
      <w:r w:rsidRPr="001A3D2B">
        <w:t xml:space="preserve">Full Text: </w:t>
      </w:r>
      <w:hyperlink r:id="rId743" w:history="1">
        <w:r w:rsidRPr="00554342">
          <w:rPr>
            <w:rStyle w:val="a5"/>
          </w:rPr>
          <w:t>2010\Ana Bio Che398, 3227.pdf</w:t>
        </w:r>
      </w:hyperlink>
    </w:p>
    <w:p w:rsidR="00FA1CB1" w:rsidRDefault="00FA1CB1" w:rsidP="00FA1CB1">
      <w:pPr>
        <w:pStyle w:val="a3"/>
        <w:rPr>
          <w:kern w:val="0"/>
        </w:rPr>
      </w:pPr>
      <w:r>
        <w:rPr>
          <w:kern w:val="0"/>
        </w:rPr>
        <w:t>Keywords: Analysis, Italy, Performance, Publications, Research, Research Performance</w:t>
      </w:r>
    </w:p>
    <w:p w:rsidR="003474F2" w:rsidRPr="001A3D2B" w:rsidRDefault="003474F2" w:rsidP="003474F2">
      <w:pPr>
        <w:pStyle w:val="1"/>
      </w:pPr>
      <w:r w:rsidRPr="001A3D2B">
        <w:br w:type="page"/>
      </w:r>
      <w:bookmarkStart w:id="391" w:name="_Toc420814462"/>
      <w:r w:rsidRPr="001A3D2B">
        <w:lastRenderedPageBreak/>
        <w:t>Title: Analytical Chemistry</w:t>
      </w:r>
      <w:bookmarkEnd w:id="391"/>
    </w:p>
    <w:p w:rsidR="003474F2" w:rsidRPr="001A3D2B" w:rsidRDefault="003474F2" w:rsidP="003474F2">
      <w:pPr>
        <w:pStyle w:val="12"/>
      </w:pPr>
      <w:r w:rsidRPr="001A3D2B">
        <w:t>Full Journal Title</w:t>
      </w:r>
      <w:bookmarkStart w:id="392" w:name="_Toc455569310"/>
      <w:bookmarkStart w:id="393" w:name="_Toc487190484"/>
      <w:bookmarkStart w:id="394" w:name="_Toc487881981"/>
      <w:bookmarkStart w:id="395" w:name="_Toc490687621"/>
      <w:bookmarkStart w:id="396" w:name="_Toc492777865"/>
      <w:bookmarkStart w:id="397" w:name="_Toc39065298"/>
      <w:bookmarkStart w:id="398" w:name="_Toc43634528"/>
      <w:bookmarkStart w:id="399" w:name="_Toc81215602"/>
      <w:r w:rsidRPr="001A3D2B">
        <w:t xml:space="preserve">: </w:t>
      </w:r>
      <w:r w:rsidR="00206C8A">
        <w:fldChar w:fldCharType="begin"/>
      </w:r>
      <w:r w:rsidR="00FD158B">
        <w:instrText>HYPERLINK "http://pubs3.</w:instrText>
      </w:r>
      <w:bookmarkEnd w:id="392"/>
      <w:bookmarkEnd w:id="393"/>
      <w:bookmarkEnd w:id="394"/>
      <w:bookmarkEnd w:id="395"/>
      <w:bookmarkEnd w:id="396"/>
      <w:bookmarkEnd w:id="397"/>
      <w:bookmarkEnd w:id="398"/>
      <w:bookmarkEnd w:id="399"/>
      <w:r w:rsidR="00FD158B">
        <w:instrText>acs.org/acs/journals/TOC.page?incoden=ancham&amp;indecade=&amp;involume=0&amp;inissue=0"</w:instrText>
      </w:r>
      <w:r w:rsidR="00206C8A">
        <w:fldChar w:fldCharType="separate"/>
      </w:r>
      <w:r w:rsidRPr="001A3D2B">
        <w:rPr>
          <w:rStyle w:val="a5"/>
        </w:rPr>
        <w:t>Analytical Chemistry</w:t>
      </w:r>
      <w:r w:rsidR="00206C8A">
        <w:fldChar w:fldCharType="end"/>
      </w:r>
      <w:r w:rsidRPr="001A3D2B">
        <w:t xml:space="preserve">; </w:t>
      </w:r>
      <w:hyperlink r:id="rId744" w:history="1">
        <w:r w:rsidRPr="001A3D2B">
          <w:rPr>
            <w:rStyle w:val="a5"/>
          </w:rPr>
          <w:t>Analytical Chemistry</w:t>
        </w:r>
      </w:hyperlink>
    </w:p>
    <w:p w:rsidR="003474F2" w:rsidRPr="001A3D2B" w:rsidRDefault="003474F2" w:rsidP="003474F2">
      <w:pPr>
        <w:pStyle w:val="12"/>
      </w:pPr>
      <w:r w:rsidRPr="001A3D2B">
        <w:t>ISO Abbreviated Title: Anal. Chem.</w:t>
      </w:r>
    </w:p>
    <w:p w:rsidR="003474F2" w:rsidRPr="001A3D2B" w:rsidRDefault="003474F2" w:rsidP="003474F2">
      <w:pPr>
        <w:pStyle w:val="12"/>
      </w:pPr>
      <w:r w:rsidRPr="001A3D2B">
        <w:t>JCR Abbreviated Title: Anal Chem</w:t>
      </w:r>
    </w:p>
    <w:p w:rsidR="003474F2" w:rsidRPr="001A3D2B" w:rsidRDefault="003474F2" w:rsidP="003474F2">
      <w:pPr>
        <w:pStyle w:val="12"/>
      </w:pPr>
      <w:r w:rsidRPr="001A3D2B">
        <w:t>ISSN: 0003-2700</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Chemical Soc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1155 16th St, NW</w:t>
          </w:r>
        </w:smartTag>
        <w:r w:rsidRPr="001A3D2B">
          <w:t xml:space="preserve">, </w:t>
        </w:r>
        <w:smartTag w:uri="urn:schemas-microsoft-com:office:smarttags" w:element="City">
          <w:r w:rsidRPr="001A3D2B">
            <w:t>Washington</w:t>
          </w:r>
        </w:smartTag>
        <w:r w:rsidRPr="001A3D2B">
          <w:t xml:space="preserve">, </w:t>
        </w:r>
        <w:smartTag w:uri="urn:schemas-microsoft-com:office:smarttags" w:element="State">
          <w:r w:rsidRPr="001A3D2B">
            <w:t>DC</w:t>
          </w:r>
        </w:smartTag>
        <w:r w:rsidRPr="001A3D2B">
          <w:t xml:space="preserve"> </w:t>
        </w:r>
        <w:smartTag w:uri="urn:schemas-microsoft-com:office:smarttags" w:element="PostalCode">
          <w:r w:rsidRPr="001A3D2B">
            <w:t>20036</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Chemistry, Analytical: Impact Factor 4.587, 2/65 (2000)</w:t>
      </w:r>
    </w:p>
    <w:p w:rsidR="003474F2" w:rsidRPr="001A3D2B" w:rsidRDefault="003474F2" w:rsidP="003474F2">
      <w:pPr>
        <w:pStyle w:val="a3"/>
      </w:pPr>
      <w:r w:rsidRPr="001A3D2B">
        <w:t xml:space="preserve">? </w:t>
      </w:r>
      <w:smartTag w:uri="urn:schemas-microsoft-com:office:smarttags" w:element="place">
        <w:smartTag w:uri="urn:schemas-microsoft-com:office:smarttags" w:element="City">
          <w:r w:rsidRPr="001A3D2B">
            <w:t>Edmonds</w:t>
          </w:r>
        </w:smartTag>
      </w:smartTag>
      <w:r w:rsidRPr="001A3D2B">
        <w:t>, D.</w:t>
      </w:r>
      <w:r w:rsidR="005853A9">
        <w:t xml:space="preserve"> and </w:t>
      </w:r>
      <w:r w:rsidRPr="001A3D2B">
        <w:t>Harris, W.E. (1977), Citation error</w:t>
      </w:r>
      <w:r w:rsidR="005853A9">
        <w:t xml:space="preserve"> and </w:t>
      </w:r>
      <w:r w:rsidRPr="001A3D2B">
        <w:t xml:space="preserve">one scientist. </w:t>
      </w:r>
      <w:r w:rsidRPr="001A3D2B">
        <w:rPr>
          <w:i/>
        </w:rPr>
        <w:t>Analytical Chemistry</w:t>
      </w:r>
      <w:r w:rsidRPr="001A3D2B">
        <w:t xml:space="preserve">, </w:t>
      </w:r>
      <w:r w:rsidRPr="001A3D2B">
        <w:rPr>
          <w:b/>
        </w:rPr>
        <w:t>49</w:t>
      </w:r>
      <w:r w:rsidRPr="001A3D2B">
        <w:t xml:space="preserve"> (14), A208.</w:t>
      </w:r>
    </w:p>
    <w:p w:rsidR="00E532CA" w:rsidRPr="00F219CA" w:rsidRDefault="00E532CA" w:rsidP="00E532CA">
      <w:pPr>
        <w:pStyle w:val="a3"/>
        <w:rPr>
          <w:kern w:val="2"/>
        </w:rPr>
      </w:pPr>
      <w:r w:rsidRPr="00F219CA">
        <w:t xml:space="preserve">Full Text: </w:t>
      </w:r>
      <w:hyperlink r:id="rId745" w:history="1">
        <w:r w:rsidRPr="00B606AA">
          <w:rPr>
            <w:rStyle w:val="a5"/>
          </w:rPr>
          <w:t>1960-80\Ana Che49, A208.pdf</w:t>
        </w:r>
      </w:hyperlink>
    </w:p>
    <w:p w:rsidR="00384C16" w:rsidRDefault="00384C16" w:rsidP="00384C16">
      <w:pPr>
        <w:pStyle w:val="a3"/>
        <w:rPr>
          <w:kern w:val="0"/>
        </w:rPr>
      </w:pPr>
      <w:r>
        <w:rPr>
          <w:rFonts w:hint="eastAsia"/>
          <w:kern w:val="0"/>
        </w:rPr>
        <w:t xml:space="preserve">? </w:t>
      </w:r>
      <w:r>
        <w:rPr>
          <w:kern w:val="0"/>
        </w:rPr>
        <w:t>Riordon, J., Zubritsky, E.</w:t>
      </w:r>
      <w:r w:rsidR="005853A9">
        <w:rPr>
          <w:kern w:val="0"/>
        </w:rPr>
        <w:t xml:space="preserve"> and </w:t>
      </w:r>
      <w:r>
        <w:rPr>
          <w:kern w:val="0"/>
        </w:rPr>
        <w:t xml:space="preserve">Newman, A. (2000), Top 10 articles - Analytical chemistry looks at 10 seminal papers. </w:t>
      </w:r>
      <w:r>
        <w:rPr>
          <w:i/>
          <w:iCs/>
          <w:kern w:val="0"/>
        </w:rPr>
        <w:t>Analytical Chemistry</w:t>
      </w:r>
      <w:r>
        <w:rPr>
          <w:kern w:val="0"/>
        </w:rPr>
        <w:t xml:space="preserve">, </w:t>
      </w:r>
      <w:r>
        <w:rPr>
          <w:b/>
          <w:bCs/>
          <w:kern w:val="0"/>
        </w:rPr>
        <w:t>72</w:t>
      </w:r>
      <w:r>
        <w:rPr>
          <w:kern w:val="0"/>
        </w:rPr>
        <w:t xml:space="preserve"> (9), 324A-329A</w:t>
      </w:r>
      <w:r w:rsidR="000327D8">
        <w:rPr>
          <w:rFonts w:hint="eastAsia"/>
          <w:kern w:val="0"/>
        </w:rPr>
        <w:t>.</w:t>
      </w:r>
    </w:p>
    <w:p w:rsidR="00384C16" w:rsidRPr="001A3D2B" w:rsidRDefault="00384C16" w:rsidP="00384C16">
      <w:pPr>
        <w:pStyle w:val="a3"/>
      </w:pPr>
      <w:r w:rsidRPr="001A3D2B">
        <w:t xml:space="preserve">Full Text: </w:t>
      </w:r>
      <w:hyperlink r:id="rId746" w:history="1">
        <w:r w:rsidRPr="00B606AA">
          <w:rPr>
            <w:rStyle w:val="a5"/>
          </w:rPr>
          <w:t>2000\Ana Che72, 324A.pdf</w:t>
        </w:r>
      </w:hyperlink>
    </w:p>
    <w:p w:rsidR="00384C16" w:rsidRDefault="00384C16" w:rsidP="00384C16">
      <w:pPr>
        <w:pStyle w:val="a3"/>
        <w:rPr>
          <w:kern w:val="0"/>
        </w:rPr>
      </w:pPr>
      <w:r>
        <w:rPr>
          <w:kern w:val="0"/>
        </w:rPr>
        <w:t>Keywords: Articles, Chemistry</w:t>
      </w:r>
    </w:p>
    <w:p w:rsidR="003474F2" w:rsidRPr="001A3D2B" w:rsidRDefault="003474F2" w:rsidP="003474F2">
      <w:pPr>
        <w:pStyle w:val="a3"/>
      </w:pPr>
      <w:r w:rsidRPr="001A3D2B">
        <w:t>? Kostoff, R.N.</w:t>
      </w:r>
      <w:r w:rsidR="005853A9">
        <w:t xml:space="preserve"> and </w:t>
      </w:r>
      <w:r w:rsidRPr="001A3D2B">
        <w:t>de Marco, R.A. (2001), Extracting information from</w:t>
      </w:r>
      <w:r w:rsidR="003A1917">
        <w:t xml:space="preserve"> the </w:t>
      </w:r>
      <w:r w:rsidRPr="001A3D2B">
        <w:t xml:space="preserve">literature by text mining. </w:t>
      </w:r>
      <w:r w:rsidRPr="001A3D2B">
        <w:rPr>
          <w:i/>
        </w:rPr>
        <w:t>Analytical Chemistry</w:t>
      </w:r>
      <w:r w:rsidRPr="001A3D2B">
        <w:t xml:space="preserve">, </w:t>
      </w:r>
      <w:r w:rsidRPr="001A3D2B">
        <w:rPr>
          <w:b/>
          <w:bCs/>
        </w:rPr>
        <w:t>73</w:t>
      </w:r>
      <w:r w:rsidRPr="001A3D2B">
        <w:t xml:space="preserve"> (13), </w:t>
      </w:r>
      <w:smartTag w:uri="urn:schemas-microsoft-com:office:smarttags" w:element="chmetcnv">
        <w:smartTagPr>
          <w:attr w:name="TCSC" w:val="0"/>
          <w:attr w:name="NumberType" w:val="1"/>
          <w:attr w:name="Negative" w:val="False"/>
          <w:attr w:name="HasSpace" w:val="False"/>
          <w:attr w:name="SourceValue" w:val="370"/>
          <w:attr w:name="UnitName" w:val="a"/>
        </w:smartTagPr>
        <w:r w:rsidRPr="001A3D2B">
          <w:t>370A</w:t>
        </w:r>
      </w:smartTag>
      <w:smartTag w:uri="urn:schemas-microsoft-com:office:smarttags" w:element="chmetcnv">
        <w:smartTagPr>
          <w:attr w:name="TCSC" w:val="0"/>
          <w:attr w:name="NumberType" w:val="1"/>
          <w:attr w:name="Negative" w:val="True"/>
          <w:attr w:name="HasSpace" w:val="False"/>
          <w:attr w:name="SourceValue" w:val="378"/>
          <w:attr w:name="UnitName" w:val="a"/>
        </w:smartTagPr>
        <w:r w:rsidRPr="001A3D2B">
          <w:t>-378A</w:t>
        </w:r>
      </w:smartTag>
      <w:r w:rsidRPr="001A3D2B">
        <w:t>.</w:t>
      </w:r>
    </w:p>
    <w:p w:rsidR="00E532CA" w:rsidRPr="001A3D2B" w:rsidRDefault="00E532CA" w:rsidP="00E532CA">
      <w:pPr>
        <w:pStyle w:val="a3"/>
      </w:pPr>
      <w:r w:rsidRPr="001A3D2B">
        <w:t xml:space="preserve">Full Text: </w:t>
      </w:r>
      <w:hyperlink r:id="rId747" w:history="1">
        <w:r w:rsidRPr="00B606AA">
          <w:rPr>
            <w:rStyle w:val="a5"/>
          </w:rPr>
          <w:t>2001\Ana Che73, 370A.pdf</w:t>
        </w:r>
      </w:hyperlink>
    </w:p>
    <w:p w:rsidR="003474F2" w:rsidRPr="001A3D2B" w:rsidRDefault="003474F2" w:rsidP="003474F2">
      <w:pPr>
        <w:pStyle w:val="a3"/>
      </w:pPr>
      <w:r w:rsidRPr="001A3D2B">
        <w:t>Keywords: Database Tomography, Fish-Oil, Science, Bibliometrics, Management, Discovery, Raynauds</w:t>
      </w:r>
    </w:p>
    <w:p w:rsidR="003474F2" w:rsidRPr="001A3D2B" w:rsidRDefault="003474F2" w:rsidP="003474F2">
      <w:pPr>
        <w:pStyle w:val="a3"/>
      </w:pPr>
      <w:r w:rsidRPr="001A3D2B">
        <w:t>? Braun, T., Schubert, A.</w:t>
      </w:r>
      <w:r w:rsidR="005853A9">
        <w:t xml:space="preserve"> and </w:t>
      </w:r>
      <w:r w:rsidRPr="001A3D2B">
        <w:t>Schubert, G. (2001</w:t>
      </w:r>
      <w:r w:rsidR="00F42EAC">
        <w:t>), The</w:t>
      </w:r>
      <w:r w:rsidR="003A1917">
        <w:t xml:space="preserve"> </w:t>
      </w:r>
      <w:r w:rsidRPr="001A3D2B">
        <w:t xml:space="preserve">most cited books in analytical chemistry. </w:t>
      </w:r>
      <w:r w:rsidRPr="001A3D2B">
        <w:rPr>
          <w:i/>
        </w:rPr>
        <w:t>Analytical Chemistry</w:t>
      </w:r>
      <w:r w:rsidRPr="001A3D2B">
        <w:t xml:space="preserve">, </w:t>
      </w:r>
      <w:r w:rsidRPr="001A3D2B">
        <w:rPr>
          <w:b/>
          <w:bCs/>
        </w:rPr>
        <w:t>73</w:t>
      </w:r>
      <w:r w:rsidRPr="001A3D2B">
        <w:t xml:space="preserve"> (23), </w:t>
      </w:r>
      <w:smartTag w:uri="urn:schemas-microsoft-com:office:smarttags" w:element="chmetcnv">
        <w:smartTagPr>
          <w:attr w:name="TCSC" w:val="0"/>
          <w:attr w:name="NumberType" w:val="1"/>
          <w:attr w:name="Negative" w:val="False"/>
          <w:attr w:name="HasSpace" w:val="False"/>
          <w:attr w:name="SourceValue" w:val="667"/>
          <w:attr w:name="UnitName" w:val="a"/>
        </w:smartTagPr>
        <w:r w:rsidRPr="001A3D2B">
          <w:t>667A</w:t>
        </w:r>
      </w:smartTag>
      <w:smartTag w:uri="urn:schemas-microsoft-com:office:smarttags" w:element="chmetcnv">
        <w:smartTagPr>
          <w:attr w:name="TCSC" w:val="0"/>
          <w:attr w:name="NumberType" w:val="1"/>
          <w:attr w:name="Negative" w:val="True"/>
          <w:attr w:name="HasSpace" w:val="False"/>
          <w:attr w:name="SourceValue" w:val="669"/>
          <w:attr w:name="UnitName" w:val="a"/>
        </w:smartTagPr>
        <w:r w:rsidRPr="001A3D2B">
          <w:t>-669A</w:t>
        </w:r>
      </w:smartTag>
      <w:r w:rsidRPr="001A3D2B">
        <w:t>.</w:t>
      </w:r>
    </w:p>
    <w:p w:rsidR="00E532CA" w:rsidRPr="00F219CA" w:rsidRDefault="00E532CA" w:rsidP="00E532CA">
      <w:pPr>
        <w:pStyle w:val="a3"/>
      </w:pPr>
      <w:r w:rsidRPr="00F219CA">
        <w:t xml:space="preserve">Full Text: </w:t>
      </w:r>
      <w:hyperlink r:id="rId748" w:history="1">
        <w:r w:rsidRPr="00B606AA">
          <w:rPr>
            <w:rStyle w:val="a5"/>
          </w:rPr>
          <w:t>2001\Ana Che73, 667A.pdf</w:t>
        </w:r>
      </w:hyperlink>
    </w:p>
    <w:p w:rsidR="003474F2" w:rsidRPr="001A3D2B" w:rsidRDefault="003474F2" w:rsidP="003474F2">
      <w:pPr>
        <w:pStyle w:val="a3"/>
      </w:pPr>
      <w:r w:rsidRPr="001A3D2B">
        <w:t>Notes: JJournal</w:t>
      </w:r>
    </w:p>
    <w:p w:rsidR="003474F2" w:rsidRPr="001A3D2B" w:rsidRDefault="003474F2" w:rsidP="003474F2">
      <w:pPr>
        <w:pStyle w:val="a3"/>
      </w:pPr>
      <w:r w:rsidRPr="001A3D2B">
        <w:t>Braun, T., Schubert, A.</w:t>
      </w:r>
      <w:r w:rsidR="005853A9">
        <w:t xml:space="preserve"> and </w:t>
      </w:r>
      <w:r w:rsidRPr="001A3D2B">
        <w:t>Schubert, G. (2002), Mapping</w:t>
      </w:r>
      <w:r w:rsidR="003A1917">
        <w:t xml:space="preserve"> the </w:t>
      </w:r>
      <w:r w:rsidRPr="001A3D2B">
        <w:t>world</w:t>
      </w:r>
      <w:r w:rsidR="00427468">
        <w:t xml:space="preserve"> of </w:t>
      </w:r>
      <w:r w:rsidRPr="001A3D2B">
        <w:t xml:space="preserve">analytical chemistry. </w:t>
      </w:r>
      <w:r w:rsidRPr="001A3D2B">
        <w:rPr>
          <w:i/>
        </w:rPr>
        <w:t>Analytical Chemistry</w:t>
      </w:r>
      <w:r w:rsidRPr="001A3D2B">
        <w:t xml:space="preserve">, </w:t>
      </w:r>
      <w:r w:rsidRPr="001A3D2B">
        <w:rPr>
          <w:b/>
        </w:rPr>
        <w:t>74</w:t>
      </w:r>
      <w:r w:rsidRPr="001A3D2B">
        <w:t xml:space="preserve"> (17), </w:t>
      </w:r>
      <w:smartTag w:uri="urn:schemas-microsoft-com:office:smarttags" w:element="chmetcnv">
        <w:smartTagPr>
          <w:attr w:name="TCSC" w:val="0"/>
          <w:attr w:name="NumberType" w:val="1"/>
          <w:attr w:name="Negative" w:val="False"/>
          <w:attr w:name="HasSpace" w:val="False"/>
          <w:attr w:name="SourceValue" w:val="477"/>
          <w:attr w:name="UnitName" w:val="a"/>
        </w:smartTagPr>
        <w:r w:rsidRPr="001A3D2B">
          <w:t>477A</w:t>
        </w:r>
      </w:smartTag>
      <w:smartTag w:uri="urn:schemas-microsoft-com:office:smarttags" w:element="chmetcnv">
        <w:smartTagPr>
          <w:attr w:name="TCSC" w:val="0"/>
          <w:attr w:name="NumberType" w:val="1"/>
          <w:attr w:name="Negative" w:val="True"/>
          <w:attr w:name="HasSpace" w:val="False"/>
          <w:attr w:name="SourceValue" w:val="479"/>
          <w:attr w:name="UnitName" w:val="a"/>
        </w:smartTagPr>
        <w:r w:rsidRPr="001A3D2B">
          <w:t>-479A</w:t>
        </w:r>
      </w:smartTag>
      <w:r w:rsidRPr="001A3D2B">
        <w:t>.</w:t>
      </w:r>
    </w:p>
    <w:p w:rsidR="008E7F08" w:rsidRPr="00F219CA" w:rsidRDefault="008E7F08" w:rsidP="008E7F08">
      <w:pPr>
        <w:pStyle w:val="a3"/>
      </w:pPr>
      <w:r w:rsidRPr="00F219CA">
        <w:t xml:space="preserve">Full Text: </w:t>
      </w:r>
      <w:hyperlink r:id="rId749" w:history="1">
        <w:r w:rsidRPr="00B606AA">
          <w:rPr>
            <w:rStyle w:val="a5"/>
          </w:rPr>
          <w:t>2002\Ana Che74, 477A.pdf</w:t>
        </w:r>
      </w:hyperlink>
    </w:p>
    <w:p w:rsidR="003474F2" w:rsidRPr="001A3D2B" w:rsidRDefault="003474F2" w:rsidP="003474F2">
      <w:pPr>
        <w:pStyle w:val="1"/>
      </w:pPr>
      <w:r w:rsidRPr="001A3D2B">
        <w:br w:type="page"/>
      </w:r>
      <w:bookmarkStart w:id="400" w:name="_Toc420814463"/>
      <w:r w:rsidRPr="001A3D2B">
        <w:lastRenderedPageBreak/>
        <w:t>Title: Analytical Letters</w:t>
      </w:r>
      <w:bookmarkEnd w:id="400"/>
    </w:p>
    <w:p w:rsidR="003474F2" w:rsidRPr="001A3D2B" w:rsidRDefault="003474F2" w:rsidP="003474F2">
      <w:pPr>
        <w:pStyle w:val="12"/>
      </w:pPr>
      <w:r w:rsidRPr="001A3D2B">
        <w:t xml:space="preserve">Full Journal Title: </w:t>
      </w:r>
      <w:bookmarkStart w:id="401" w:name="_Toc99152526"/>
      <w:r w:rsidR="00206C8A">
        <w:fldChar w:fldCharType="begin"/>
      </w:r>
      <w:r w:rsidR="00FD158B">
        <w:instrText>HYPERLINK "http://weblin</w:instrText>
      </w:r>
      <w:bookmarkEnd w:id="401"/>
      <w:r w:rsidR="00FD158B">
        <w:instrText>ks2.epnet.com/authHjafDetail.asp?tb=1&amp;_ua=bo+B%5F+db+aphjnh+bt+TD++%22I3D%22+8B5A&amp;_ug=sid+261C2A2F%2DA9D9%2D4324%2D920A%2D66A2C0906496%40sessionmgr2+dbs+aph+0F44&amp;_us=hd+False+sm+ES+1C03&amp;_uso=st%5B0+%2DTD++%22I3D%22+tg%5B0+%2D+db%5B0+%2Daph+op%25"</w:instrText>
      </w:r>
      <w:r w:rsidR="00206C8A">
        <w:fldChar w:fldCharType="separate"/>
      </w:r>
      <w:r w:rsidRPr="001A3D2B">
        <w:rPr>
          <w:rStyle w:val="a5"/>
        </w:rPr>
        <w:t>Analytical Letters</w:t>
      </w:r>
      <w:r w:rsidR="00206C8A">
        <w:fldChar w:fldCharType="end"/>
      </w:r>
    </w:p>
    <w:p w:rsidR="003474F2" w:rsidRPr="001A3D2B" w:rsidRDefault="003474F2" w:rsidP="003474F2">
      <w:pPr>
        <w:pStyle w:val="12"/>
      </w:pPr>
      <w:r w:rsidRPr="001A3D2B">
        <w:t>ISO Abbreviated Title: Anal. Lett.</w:t>
      </w:r>
    </w:p>
    <w:p w:rsidR="003474F2" w:rsidRPr="001A3D2B" w:rsidRDefault="003474F2" w:rsidP="003474F2">
      <w:pPr>
        <w:pStyle w:val="12"/>
      </w:pPr>
      <w:r w:rsidRPr="001A3D2B">
        <w:t>JCR Abbreviated Title: Anal Lett</w:t>
      </w:r>
    </w:p>
    <w:p w:rsidR="003474F2" w:rsidRPr="001A3D2B" w:rsidRDefault="003474F2" w:rsidP="003474F2">
      <w:pPr>
        <w:pStyle w:val="12"/>
      </w:pPr>
      <w:r w:rsidRPr="001A3D2B">
        <w:t>ISSN: 0003-2719</w:t>
      </w:r>
    </w:p>
    <w:p w:rsidR="003474F2" w:rsidRPr="001A3D2B" w:rsidRDefault="003474F2" w:rsidP="003474F2">
      <w:pPr>
        <w:pStyle w:val="12"/>
      </w:pPr>
      <w:r w:rsidRPr="001A3D2B">
        <w:t>Issues/Year: 15</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Marcel Dekker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270 Madison Ave</w:t>
          </w:r>
        </w:smartTag>
        <w:r w:rsidRPr="001A3D2B">
          <w:t xml:space="preserve">, </w:t>
        </w:r>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10016</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Chemistry, Analytical: Impact Factor 0.968,/(2000)</w:t>
      </w:r>
    </w:p>
    <w:p w:rsidR="003474F2" w:rsidRPr="001A3D2B" w:rsidRDefault="003474F2" w:rsidP="003474F2">
      <w:pPr>
        <w:pStyle w:val="a3"/>
      </w:pPr>
      <w:r w:rsidRPr="001A3D2B">
        <w:t>? Cano Paón, J.M., Garcí De Torres, A.</w:t>
      </w:r>
      <w:r w:rsidR="005853A9">
        <w:t xml:space="preserve"> and </w:t>
      </w:r>
      <w:r w:rsidRPr="001A3D2B">
        <w:t xml:space="preserve">Vereda Alonso, E. (2001), Analytical chemistry in </w:t>
      </w:r>
      <w:smartTag w:uri="urn:schemas-microsoft-com:office:smarttags" w:element="place">
        <w:smartTag w:uri="urn:schemas-microsoft-com:office:smarttags" w:element="country-region">
          <w:r w:rsidRPr="001A3D2B">
            <w:t>Spain</w:t>
          </w:r>
        </w:smartTag>
      </w:smartTag>
      <w:r w:rsidRPr="001A3D2B">
        <w:t xml:space="preserve"> in recent years</w:t>
      </w:r>
      <w:r w:rsidR="005853A9">
        <w:t xml:space="preserve"> and </w:t>
      </w:r>
      <w:r w:rsidRPr="001A3D2B">
        <w:t xml:space="preserve">at present. </w:t>
      </w:r>
      <w:r w:rsidRPr="001A3D2B">
        <w:rPr>
          <w:i/>
          <w:iCs/>
        </w:rPr>
        <w:t>Analytical Letters</w:t>
      </w:r>
      <w:r w:rsidRPr="001A3D2B">
        <w:t xml:space="preserve">, </w:t>
      </w:r>
      <w:r w:rsidRPr="001A3D2B">
        <w:rPr>
          <w:b/>
        </w:rPr>
        <w:t>34</w:t>
      </w:r>
      <w:r w:rsidRPr="001A3D2B">
        <w:rPr>
          <w:bCs/>
        </w:rPr>
        <w:t xml:space="preserve"> (2)</w:t>
      </w:r>
      <w:r w:rsidRPr="001A3D2B">
        <w:t>, 177-183.</w:t>
      </w:r>
    </w:p>
    <w:p w:rsidR="003474F2" w:rsidRPr="001A3D2B" w:rsidRDefault="003474F2" w:rsidP="003474F2">
      <w:pPr>
        <w:pStyle w:val="a3"/>
      </w:pPr>
      <w:r w:rsidRPr="001A3D2B">
        <w:t xml:space="preserve">Full Text: </w:t>
      </w:r>
      <w:hyperlink r:id="rId750" w:history="1">
        <w:r w:rsidRPr="001A3D2B">
          <w:rPr>
            <w:rStyle w:val="a5"/>
          </w:rPr>
          <w:t>2001\Ana Let34, 177.pdf</w:t>
        </w:r>
      </w:hyperlink>
    </w:p>
    <w:p w:rsidR="003474F2" w:rsidRPr="001A3D2B" w:rsidRDefault="003474F2" w:rsidP="003474F2">
      <w:pPr>
        <w:pStyle w:val="a3"/>
      </w:pPr>
      <w:r w:rsidRPr="001A3D2B">
        <w:t>Abstract: This paper analyses in depth</w:t>
      </w:r>
      <w:r w:rsidR="003A1917">
        <w:t xml:space="preserve"> the </w:t>
      </w:r>
      <w:r w:rsidRPr="001A3D2B">
        <w:t>situation</w:t>
      </w:r>
      <w:r w:rsidR="00427468">
        <w:t xml:space="preserve"> of </w:t>
      </w:r>
      <w:r w:rsidRPr="001A3D2B">
        <w:t>Spanish analytical chemistry in recent years (particularly</w:t>
      </w:r>
      <w:r w:rsidR="003A1917">
        <w:t xml:space="preserve"> the </w:t>
      </w:r>
      <w:r w:rsidRPr="001A3D2B">
        <w:t>1990–1999 period)</w:t>
      </w:r>
      <w:r w:rsidR="00A37C1D">
        <w:t>. The</w:t>
      </w:r>
      <w:r w:rsidR="003A1917">
        <w:t xml:space="preserve"> </w:t>
      </w:r>
      <w:r w:rsidRPr="001A3D2B">
        <w:t>analysis is preceded by an overview</w:t>
      </w:r>
      <w:r w:rsidR="00427468">
        <w:t xml:space="preserve"> of </w:t>
      </w:r>
      <w:r w:rsidRPr="001A3D2B">
        <w:t>Spanish scientific research in</w:t>
      </w:r>
      <w:r w:rsidR="003A1917">
        <w:t xml:space="preserve"> the </w:t>
      </w:r>
      <w:r w:rsidRPr="001A3D2B">
        <w:t>period studied, which is followed by a bibliometric study</w:t>
      </w:r>
      <w:r w:rsidR="005853A9">
        <w:t xml:space="preserve"> and </w:t>
      </w:r>
      <w:r w:rsidRPr="001A3D2B">
        <w:t>a review</w:t>
      </w:r>
      <w:r w:rsidR="00427468">
        <w:t xml:space="preserve"> of </w:t>
      </w:r>
      <w:r w:rsidR="003A1917">
        <w:t xml:space="preserve">the </w:t>
      </w:r>
      <w:r w:rsidRPr="001A3D2B">
        <w:t>work</w:t>
      </w:r>
      <w:r w:rsidR="00427468">
        <w:t xml:space="preserve"> of </w:t>
      </w:r>
      <w:r w:rsidR="003A1917">
        <w:t xml:space="preserve">the </w:t>
      </w:r>
      <w:r w:rsidRPr="001A3D2B">
        <w:t>most prominent current analytical research groups.</w:t>
      </w:r>
    </w:p>
    <w:p w:rsidR="003474F2" w:rsidRPr="001A3D2B" w:rsidRDefault="003474F2" w:rsidP="003474F2">
      <w:pPr>
        <w:pStyle w:val="1"/>
      </w:pPr>
      <w:r w:rsidRPr="001A3D2B">
        <w:br w:type="page"/>
      </w:r>
      <w:bookmarkStart w:id="402" w:name="_Toc420814464"/>
      <w:r w:rsidRPr="001A3D2B">
        <w:lastRenderedPageBreak/>
        <w:t>Title: Analytical Proceedings</w:t>
      </w:r>
      <w:bookmarkEnd w:id="402"/>
    </w:p>
    <w:p w:rsidR="003474F2" w:rsidRPr="001A3D2B" w:rsidRDefault="003474F2" w:rsidP="003474F2">
      <w:pPr>
        <w:pStyle w:val="12"/>
      </w:pPr>
      <w:r w:rsidRPr="001A3D2B">
        <w:t>Full Journal Tit</w:t>
      </w:r>
      <w:bookmarkStart w:id="403" w:name="_Toc455569312"/>
      <w:bookmarkStart w:id="404" w:name="_Toc487190485"/>
      <w:bookmarkStart w:id="405" w:name="_Toc487881982"/>
      <w:bookmarkStart w:id="406" w:name="_Toc490687622"/>
      <w:bookmarkStart w:id="407" w:name="_Toc492777866"/>
      <w:bookmarkStart w:id="408" w:name="_Toc31997084"/>
      <w:bookmarkStart w:id="409" w:name="_Toc43634529"/>
      <w:bookmarkStart w:id="410" w:name="_Toc81215603"/>
      <w:r w:rsidRPr="001A3D2B">
        <w:t xml:space="preserve">le: </w:t>
      </w:r>
      <w:r w:rsidR="00206C8A">
        <w:fldChar w:fldCharType="begin"/>
      </w:r>
      <w:r w:rsidR="00FD158B">
        <w:instrText>HYPERLINK "http://www.rs</w:instrText>
      </w:r>
      <w:bookmarkEnd w:id="403"/>
      <w:bookmarkEnd w:id="404"/>
      <w:bookmarkEnd w:id="405"/>
      <w:bookmarkEnd w:id="406"/>
      <w:bookmarkEnd w:id="407"/>
      <w:bookmarkEnd w:id="408"/>
      <w:bookmarkEnd w:id="409"/>
      <w:bookmarkEnd w:id="410"/>
      <w:r w:rsidR="00FD158B">
        <w:instrText>c.org/Publishing/Journals/AP/article.asp"</w:instrText>
      </w:r>
      <w:r w:rsidR="00206C8A">
        <w:fldChar w:fldCharType="separate"/>
      </w:r>
      <w:r w:rsidRPr="001A3D2B">
        <w:rPr>
          <w:rStyle w:val="a5"/>
        </w:rPr>
        <w:t>Analytical Proceedings</w:t>
      </w:r>
      <w:r w:rsidR="00206C8A">
        <w:fldChar w:fldCharType="end"/>
      </w:r>
      <w:r w:rsidRPr="001A3D2B">
        <w:t xml:space="preserve">; </w:t>
      </w:r>
      <w:hyperlink r:id="rId751" w:history="1">
        <w:r w:rsidRPr="001A3D2B">
          <w:rPr>
            <w:rStyle w:val="a5"/>
          </w:rPr>
          <w:t>Analytical Proceedings</w:t>
        </w:r>
      </w:hyperlink>
    </w:p>
    <w:p w:rsidR="003474F2" w:rsidRPr="001A3D2B" w:rsidRDefault="003474F2" w:rsidP="003474F2">
      <w:pPr>
        <w:pStyle w:val="12"/>
      </w:pPr>
      <w:r w:rsidRPr="001A3D2B">
        <w:t>ISO Abbreviated Title: Anal. Proc.</w:t>
      </w:r>
    </w:p>
    <w:p w:rsidR="003474F2" w:rsidRPr="001A3D2B" w:rsidRDefault="003474F2" w:rsidP="003474F2">
      <w:pPr>
        <w:pStyle w:val="12"/>
      </w:pPr>
      <w:r w:rsidRPr="001A3D2B">
        <w:t>JCR Abbreviated Title: Anal Proc</w:t>
      </w:r>
    </w:p>
    <w:p w:rsidR="003474F2" w:rsidRPr="001A3D2B" w:rsidRDefault="003474F2" w:rsidP="003474F2">
      <w:pPr>
        <w:pStyle w:val="12"/>
      </w:pPr>
      <w:r w:rsidRPr="001A3D2B">
        <w:t>ISSN: 0144-557X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Publisher: Royal Soc Chemistry</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Schubert, A.</w:t>
      </w:r>
      <w:r w:rsidR="005853A9">
        <w:t xml:space="preserve"> and </w:t>
      </w:r>
      <w:r w:rsidRPr="001A3D2B">
        <w:t>Maczelka, H. (1994), All quiet on</w:t>
      </w:r>
      <w:r w:rsidR="003A1917">
        <w:t xml:space="preserve"> the </w:t>
      </w:r>
      <w:r w:rsidRPr="001A3D2B">
        <w:t>eastern front? Analysis</w:t>
      </w:r>
      <w:r w:rsidR="00427468">
        <w:t xml:space="preserve"> of </w:t>
      </w:r>
      <w:r w:rsidR="003A1917">
        <w:t xml:space="preserve">the </w:t>
      </w:r>
      <w:r w:rsidRPr="001A3D2B">
        <w:t>publication, reference</w:t>
      </w:r>
      <w:r w:rsidR="005853A9">
        <w:t xml:space="preserve"> and </w:t>
      </w:r>
      <w:r w:rsidRPr="001A3D2B">
        <w:t>citation patterns</w:t>
      </w:r>
      <w:r w:rsidR="00427468">
        <w:t xml:space="preserve"> of </w:t>
      </w:r>
      <w:r w:rsidRPr="001A3D2B">
        <w:rPr>
          <w:i/>
        </w:rPr>
        <w:t>Zhurnal Analiticheskoy Khimii</w:t>
      </w:r>
      <w:r w:rsidRPr="001A3D2B">
        <w:t xml:space="preserve">, 1990-91 versus 1980-81. </w:t>
      </w:r>
      <w:r w:rsidRPr="001A3D2B">
        <w:rPr>
          <w:i/>
        </w:rPr>
        <w:t>Analytical Proceedings</w:t>
      </w:r>
      <w:r w:rsidRPr="001A3D2B">
        <w:t xml:space="preserve">, </w:t>
      </w:r>
      <w:r w:rsidRPr="001A3D2B">
        <w:rPr>
          <w:b/>
        </w:rPr>
        <w:t>31</w:t>
      </w:r>
      <w:r w:rsidRPr="001A3D2B">
        <w:t xml:space="preserve"> (4), 141-144.</w:t>
      </w:r>
    </w:p>
    <w:p w:rsidR="003474F2" w:rsidRPr="001A3D2B" w:rsidRDefault="003474F2" w:rsidP="003474F2">
      <w:pPr>
        <w:pStyle w:val="a3"/>
      </w:pPr>
      <w:r w:rsidRPr="001A3D2B">
        <w:t xml:space="preserve">Full Text: </w:t>
      </w:r>
      <w:hyperlink r:id="rId752" w:history="1">
        <w:r w:rsidRPr="001A3D2B">
          <w:rPr>
            <w:rStyle w:val="a5"/>
          </w:rPr>
          <w:t>1994\Ana Pro31, 141.pdf</w:t>
        </w:r>
      </w:hyperlink>
    </w:p>
    <w:p w:rsidR="003474F2" w:rsidRPr="001A3D2B" w:rsidRDefault="003474F2" w:rsidP="003474F2">
      <w:pPr>
        <w:pStyle w:val="a3"/>
      </w:pPr>
      <w:r w:rsidRPr="001A3D2B">
        <w:t>Abstract: Reflections</w:t>
      </w:r>
      <w:r w:rsidR="00427468">
        <w:t xml:space="preserve"> of </w:t>
      </w:r>
      <w:r w:rsidR="003A1917">
        <w:t xml:space="preserve">the </w:t>
      </w:r>
      <w:r w:rsidRPr="001A3D2B">
        <w:t>dramatic political, social,</w:t>
      </w:r>
      <w:r w:rsidR="005853A9">
        <w:t xml:space="preserve"> and </w:t>
      </w:r>
      <w:r w:rsidRPr="001A3D2B">
        <w:t>economic changes</w:t>
      </w:r>
      <w:r w:rsidR="00427468">
        <w:t xml:space="preserve"> of </w:t>
      </w:r>
      <w:r w:rsidR="003A1917">
        <w:t xml:space="preserve">the </w:t>
      </w:r>
      <w:r w:rsidRPr="001A3D2B">
        <w:t>eighties in</w:t>
      </w:r>
      <w:r w:rsidR="003A1917">
        <w:t xml:space="preserve"> the </w:t>
      </w:r>
      <w:r w:rsidRPr="001A3D2B">
        <w:t xml:space="preserve">former </w:t>
      </w:r>
      <w:smartTag w:uri="urn:schemas-microsoft-com:office:smarttags" w:element="place">
        <w:smartTag w:uri="urn:schemas-microsoft-com:office:smarttags" w:element="country-region">
          <w:r w:rsidRPr="001A3D2B">
            <w:t>USSR</w:t>
          </w:r>
        </w:smartTag>
      </w:smartTag>
      <w:r w:rsidRPr="001A3D2B">
        <w:t xml:space="preserve"> were sought for in</w:t>
      </w:r>
      <w:r w:rsidR="003A1917">
        <w:t xml:space="preserve"> the </w:t>
      </w:r>
      <w:r w:rsidRPr="001A3D2B">
        <w:t>publication, reference,</w:t>
      </w:r>
      <w:r w:rsidR="005853A9">
        <w:t xml:space="preserve"> and </w:t>
      </w:r>
      <w:r w:rsidRPr="001A3D2B">
        <w:t>citation patterns</w:t>
      </w:r>
      <w:r w:rsidR="00427468">
        <w:t xml:space="preserve"> of </w:t>
      </w:r>
      <w:r w:rsidRPr="001A3D2B">
        <w:t>one</w:t>
      </w:r>
      <w:r w:rsidR="00427468">
        <w:t xml:space="preserve"> of </w:t>
      </w:r>
      <w:r w:rsidR="003A1917">
        <w:t xml:space="preserve">the </w:t>
      </w:r>
      <w:r w:rsidRPr="001A3D2B">
        <w:t>leading scientific journals</w:t>
      </w:r>
      <w:r w:rsidR="00427468">
        <w:t xml:space="preserve"> of </w:t>
      </w:r>
      <w:r w:rsidR="003A1917">
        <w:t xml:space="preserve">the </w:t>
      </w:r>
      <w:r w:rsidRPr="001A3D2B">
        <w:t>country, Zhurnal Analiticheskoy Khimii. It was found that, although no spectacular changes in</w:t>
      </w:r>
      <w:r w:rsidR="003A1917">
        <w:t xml:space="preserve"> the </w:t>
      </w:r>
      <w:r w:rsidRPr="001A3D2B">
        <w:t>main scientometric indicators</w:t>
      </w:r>
      <w:r w:rsidR="005853A9">
        <w:t xml:space="preserve"> and </w:t>
      </w:r>
      <w:r w:rsidR="003A1917">
        <w:t xml:space="preserve">the </w:t>
      </w:r>
      <w:r w:rsidRPr="001A3D2B">
        <w:t>underlying publication, reference,</w:t>
      </w:r>
      <w:r w:rsidR="005853A9">
        <w:t xml:space="preserve"> and </w:t>
      </w:r>
      <w:r w:rsidRPr="001A3D2B">
        <w:t>citation patterns could be observed,</w:t>
      </w:r>
      <w:r w:rsidR="003A1917">
        <w:t xml:space="preserve"> the </w:t>
      </w:r>
      <w:r w:rsidRPr="001A3D2B">
        <w:t xml:space="preserve">journal had definitely lost impact due to an inevitable </w:t>
      </w:r>
      <w:r w:rsidR="00700038">
        <w:t>‘</w:t>
      </w:r>
      <w:r w:rsidRPr="001A3D2B">
        <w:t>dilution</w:t>
      </w:r>
      <w:r w:rsidR="00700038">
        <w:t>’</w:t>
      </w:r>
      <w:r w:rsidR="00427468">
        <w:t xml:space="preserve"> of </w:t>
      </w:r>
      <w:r w:rsidRPr="001A3D2B">
        <w:t>publications. This effect seems to be</w:t>
      </w:r>
      <w:r w:rsidR="003A1917">
        <w:t xml:space="preserve"> the </w:t>
      </w:r>
      <w:r w:rsidRPr="001A3D2B">
        <w:t>consequence</w:t>
      </w:r>
      <w:r w:rsidR="00427468">
        <w:t xml:space="preserve"> of </w:t>
      </w:r>
      <w:r w:rsidR="003A1917">
        <w:t xml:space="preserve">the </w:t>
      </w:r>
      <w:r w:rsidR="00700038">
        <w:t>‘</w:t>
      </w:r>
      <w:r w:rsidRPr="001A3D2B">
        <w:t>opening</w:t>
      </w:r>
      <w:r w:rsidR="00700038">
        <w:t>’</w:t>
      </w:r>
      <w:r w:rsidR="00427468">
        <w:t xml:space="preserve"> of </w:t>
      </w:r>
      <w:r w:rsidR="003A1917">
        <w:t xml:space="preserve">the </w:t>
      </w:r>
      <w:r w:rsidRPr="001A3D2B">
        <w:t>scientific community to foreign journals</w:t>
      </w:r>
      <w:r w:rsidR="005853A9">
        <w:t xml:space="preserve"> and </w:t>
      </w:r>
      <w:r w:rsidR="003A1917">
        <w:t xml:space="preserve">the </w:t>
      </w:r>
      <w:r w:rsidRPr="001A3D2B">
        <w:t>apparent lack</w:t>
      </w:r>
      <w:r w:rsidR="00427468">
        <w:t xml:space="preserve"> of </w:t>
      </w:r>
      <w:r w:rsidRPr="001A3D2B">
        <w:t>a sufficient strategy for Zh. Anal. Khim. to match its competitors successfully.</w:t>
      </w:r>
    </w:p>
    <w:p w:rsidR="003474F2" w:rsidRPr="001A3D2B" w:rsidRDefault="003474F2" w:rsidP="003474F2">
      <w:pPr>
        <w:pStyle w:val="1"/>
      </w:pPr>
      <w:r w:rsidRPr="001A3D2B">
        <w:br w:type="page"/>
      </w:r>
      <w:bookmarkStart w:id="411" w:name="_Toc420814465"/>
      <w:r w:rsidRPr="001A3D2B">
        <w:lastRenderedPageBreak/>
        <w:t>Title: Analytical</w:t>
      </w:r>
      <w:r w:rsidR="005853A9">
        <w:t xml:space="preserve"> and </w:t>
      </w:r>
      <w:r w:rsidRPr="001A3D2B">
        <w:t>Quantitative Cytology</w:t>
      </w:r>
      <w:r w:rsidR="005853A9">
        <w:t xml:space="preserve"> and </w:t>
      </w:r>
      <w:r w:rsidRPr="001A3D2B">
        <w:t>Histology</w:t>
      </w:r>
      <w:bookmarkEnd w:id="411"/>
    </w:p>
    <w:p w:rsidR="003474F2" w:rsidRPr="001A3D2B" w:rsidRDefault="003474F2" w:rsidP="003474F2">
      <w:pPr>
        <w:pStyle w:val="12"/>
      </w:pPr>
      <w:r w:rsidRPr="001A3D2B">
        <w:t>Full Journal Title: Analytical</w:t>
      </w:r>
      <w:r w:rsidR="005853A9">
        <w:t xml:space="preserve"> and </w:t>
      </w:r>
      <w:r w:rsidRPr="001A3D2B">
        <w:t>Quantitative Cytology</w:t>
      </w:r>
      <w:r w:rsidR="005853A9">
        <w:t xml:space="preserve"> and </w:t>
      </w:r>
      <w:r w:rsidRPr="001A3D2B">
        <w:t>Histology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0884-6812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Montironi, R.</w:t>
      </w:r>
      <w:r w:rsidR="005853A9">
        <w:t xml:space="preserve"> and </w:t>
      </w:r>
      <w:r w:rsidRPr="001A3D2B">
        <w:t>Mazzucchelli, R. (2007), Analytical</w:t>
      </w:r>
      <w:r w:rsidR="005853A9">
        <w:t xml:space="preserve"> and </w:t>
      </w:r>
      <w:r w:rsidRPr="001A3D2B">
        <w:t>quantitative cytology</w:t>
      </w:r>
      <w:r w:rsidR="005853A9">
        <w:t xml:space="preserve"> and </w:t>
      </w:r>
      <w:r w:rsidRPr="001A3D2B">
        <w:t>histology - Reflection on</w:t>
      </w:r>
      <w:r w:rsidR="003A1917">
        <w:t xml:space="preserve"> the </w:t>
      </w:r>
      <w:r w:rsidRPr="001A3D2B">
        <w:t xml:space="preserve">past 2 years. </w:t>
      </w:r>
      <w:r w:rsidRPr="001A3D2B">
        <w:rPr>
          <w:i/>
          <w:iCs/>
        </w:rPr>
        <w:t>Analytical</w:t>
      </w:r>
      <w:r w:rsidR="005853A9">
        <w:rPr>
          <w:i/>
          <w:iCs/>
        </w:rPr>
        <w:t xml:space="preserve"> and </w:t>
      </w:r>
      <w:r w:rsidRPr="001A3D2B">
        <w:rPr>
          <w:i/>
          <w:iCs/>
        </w:rPr>
        <w:t>Quantitative Cytology</w:t>
      </w:r>
      <w:r w:rsidR="005853A9">
        <w:rPr>
          <w:i/>
          <w:iCs/>
        </w:rPr>
        <w:t xml:space="preserve"> and </w:t>
      </w:r>
      <w:r w:rsidRPr="001A3D2B">
        <w:rPr>
          <w:i/>
          <w:iCs/>
        </w:rPr>
        <w:t>Histology</w:t>
      </w:r>
      <w:r w:rsidRPr="001A3D2B">
        <w:t xml:space="preserve">, </w:t>
      </w:r>
      <w:r w:rsidRPr="001A3D2B">
        <w:rPr>
          <w:b/>
          <w:bCs/>
        </w:rPr>
        <w:t>29</w:t>
      </w:r>
      <w:r w:rsidRPr="001A3D2B">
        <w:t xml:space="preserve"> (3), 123-127.</w:t>
      </w:r>
    </w:p>
    <w:p w:rsidR="003474F2" w:rsidRPr="001A3D2B" w:rsidRDefault="003474F2" w:rsidP="003474F2">
      <w:pPr>
        <w:pStyle w:val="a3"/>
      </w:pPr>
      <w:r w:rsidRPr="001A3D2B">
        <w:t>Keywords: Cytology, Histology</w:t>
      </w:r>
    </w:p>
    <w:p w:rsidR="003474F2" w:rsidRPr="001A3D2B" w:rsidRDefault="003474F2" w:rsidP="003474F2">
      <w:pPr>
        <w:pStyle w:val="1"/>
      </w:pPr>
      <w:r w:rsidRPr="001A3D2B">
        <w:br w:type="page"/>
      </w:r>
      <w:bookmarkStart w:id="412" w:name="_Toc420814466"/>
      <w:r w:rsidRPr="001A3D2B">
        <w:lastRenderedPageBreak/>
        <w:t>Title: Anasthesiologie Intensivmedizin Notfall</w:t>
      </w:r>
      <w:bookmarkStart w:id="413" w:name="_Toc81215604"/>
      <w:r w:rsidRPr="001A3D2B">
        <w:t>medizin Schmerztherapie</w:t>
      </w:r>
      <w:bookmarkEnd w:id="412"/>
    </w:p>
    <w:p w:rsidR="003474F2" w:rsidRPr="001A3D2B" w:rsidRDefault="003474F2" w:rsidP="003474F2">
      <w:pPr>
        <w:pStyle w:val="12"/>
        <w:rPr>
          <w:lang w:val="de-DE"/>
        </w:rPr>
      </w:pPr>
      <w:r w:rsidRPr="001A3D2B">
        <w:rPr>
          <w:lang w:val="de-DE"/>
        </w:rPr>
        <w:t>Full Journal Title: Anasthesiologie Intensivm</w:t>
      </w:r>
      <w:bookmarkEnd w:id="413"/>
      <w:r w:rsidRPr="001A3D2B">
        <w:rPr>
          <w:lang w:val="de-DE"/>
        </w:rPr>
        <w:t>edizin Notfallmedizin Schmerztherapie</w:t>
      </w:r>
    </w:p>
    <w:p w:rsidR="003474F2" w:rsidRPr="001A3D2B" w:rsidRDefault="003474F2" w:rsidP="003474F2">
      <w:pPr>
        <w:pStyle w:val="12"/>
      </w:pPr>
      <w:r w:rsidRPr="001A3D2B">
        <w:t>ISO Abbreviated Title: Anasthesiol. Intensivmed. Notfmed. Schmerzther.</w:t>
      </w:r>
    </w:p>
    <w:p w:rsidR="003474F2" w:rsidRPr="001A3D2B" w:rsidRDefault="003474F2" w:rsidP="003474F2">
      <w:pPr>
        <w:pStyle w:val="12"/>
      </w:pPr>
      <w:r w:rsidRPr="001A3D2B">
        <w:t>JCR Abbreviated Title: Anasth Intensiv Notf</w:t>
      </w:r>
    </w:p>
    <w:p w:rsidR="003474F2" w:rsidRPr="001A3D2B" w:rsidRDefault="003474F2" w:rsidP="003474F2">
      <w:pPr>
        <w:pStyle w:val="12"/>
      </w:pPr>
      <w:r w:rsidRPr="001A3D2B">
        <w:t>ISSN: 0939-2661</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Germany</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Georg Thieme Verlag KG</w:t>
      </w:r>
    </w:p>
    <w:p w:rsidR="003474F2" w:rsidRPr="001A3D2B" w:rsidRDefault="003474F2" w:rsidP="003474F2">
      <w:pPr>
        <w:pStyle w:val="12"/>
      </w:pPr>
      <w:r w:rsidRPr="001A3D2B">
        <w:t xml:space="preserve">Publisher Address: Rudigerstr 14, D-70469 </w:t>
      </w:r>
      <w:smartTag w:uri="urn:schemas-microsoft-com:office:smarttags" w:element="place">
        <w:smartTag w:uri="urn:schemas-microsoft-com:office:smarttags" w:element="City">
          <w:r w:rsidRPr="001A3D2B">
            <w:t>Stuttgart</w:t>
          </w:r>
        </w:smartTag>
        <w:r w:rsidRPr="001A3D2B">
          <w:t xml:space="preserve">, </w:t>
        </w:r>
        <w:smartTag w:uri="urn:schemas-microsoft-com:office:smarttags" w:element="country-region">
          <w:r w:rsidRPr="001A3D2B">
            <w:t>Germany</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Anesthesiology: Impact Factor 0.408/(2002)</w:t>
      </w:r>
    </w:p>
    <w:p w:rsidR="003474F2" w:rsidRPr="001A3D2B" w:rsidRDefault="003474F2" w:rsidP="003474F2">
      <w:pPr>
        <w:pStyle w:val="12"/>
      </w:pPr>
      <w:r w:rsidRPr="001A3D2B">
        <w:t>Critical Care Medicine: Impact Factor 0.408/(2002)</w:t>
      </w:r>
    </w:p>
    <w:p w:rsidR="003474F2" w:rsidRPr="001A3D2B" w:rsidRDefault="003474F2" w:rsidP="003474F2">
      <w:pPr>
        <w:pStyle w:val="a3"/>
      </w:pPr>
      <w:r w:rsidRPr="001A3D2B">
        <w:t>Notes: TTopic, CCountry</w:t>
      </w:r>
    </w:p>
    <w:p w:rsidR="003474F2" w:rsidRPr="001A3D2B" w:rsidRDefault="003474F2" w:rsidP="003474F2">
      <w:pPr>
        <w:pStyle w:val="a3"/>
      </w:pPr>
      <w:smartTag w:uri="urn:schemas-microsoft-com:office:smarttags" w:element="place">
        <w:smartTag w:uri="urn:schemas-microsoft-com:office:smarttags" w:element="City">
          <w:r w:rsidRPr="001A3D2B">
            <w:t>Kolbitsch</w:t>
          </w:r>
        </w:smartTag>
        <w:r w:rsidRPr="001A3D2B">
          <w:t xml:space="preserve">, </w:t>
        </w:r>
        <w:smartTag w:uri="urn:schemas-microsoft-com:office:smarttags" w:element="country-region">
          <w:r w:rsidRPr="001A3D2B">
            <w:t>Ch.</w:t>
          </w:r>
        </w:smartTag>
      </w:smartTag>
      <w:r w:rsidRPr="001A3D2B">
        <w:t>, Balogh, D., Hauffe, H., Lockinger, A.</w:t>
      </w:r>
      <w:r w:rsidR="005853A9">
        <w:t xml:space="preserve"> and </w:t>
      </w:r>
      <w:r w:rsidRPr="001A3D2B">
        <w:t xml:space="preserve">Benzer, A. (1999), National publication output in medical research. </w:t>
      </w:r>
      <w:r w:rsidRPr="001A3D2B">
        <w:rPr>
          <w:i/>
          <w:iCs/>
        </w:rPr>
        <w:t>Anasthesiologie Intensivmedizin Notfallmedizin Schmerztherapie</w:t>
      </w:r>
      <w:r w:rsidRPr="001A3D2B">
        <w:t xml:space="preserve">, </w:t>
      </w:r>
      <w:r w:rsidRPr="001A3D2B">
        <w:rPr>
          <w:b/>
        </w:rPr>
        <w:t>34</w:t>
      </w:r>
      <w:r w:rsidRPr="001A3D2B">
        <w:t xml:space="preserve"> (4), 214-217.</w:t>
      </w:r>
    </w:p>
    <w:p w:rsidR="003474F2" w:rsidRPr="001A3D2B" w:rsidRDefault="003474F2" w:rsidP="003474F2">
      <w:pPr>
        <w:pStyle w:val="a3"/>
      </w:pPr>
      <w:r w:rsidRPr="001A3D2B">
        <w:t>Abstract: Objective: Both</w:t>
      </w:r>
      <w:r w:rsidR="003A1917">
        <w:t xml:space="preserve"> the </w:t>
      </w:r>
      <w:r w:rsidRPr="001A3D2B">
        <w:t>total number</w:t>
      </w:r>
      <w:r w:rsidR="00427468">
        <w:t xml:space="preserve"> of </w:t>
      </w:r>
      <w:r w:rsidRPr="001A3D2B">
        <w:t>publications</w:t>
      </w:r>
      <w:r w:rsidR="005853A9">
        <w:t xml:space="preserve"> and </w:t>
      </w:r>
      <w:r w:rsidR="003A1917">
        <w:t xml:space="preserve">the </w:t>
      </w:r>
      <w:r w:rsidRPr="001A3D2B">
        <w:t>number</w:t>
      </w:r>
      <w:r w:rsidR="00427468">
        <w:t xml:space="preserve"> of </w:t>
      </w:r>
      <w:r w:rsidRPr="001A3D2B">
        <w:t>publications in high-ranking journals determine a country</w:t>
      </w:r>
      <w:r w:rsidR="00700038">
        <w:t>’</w:t>
      </w:r>
      <w:r w:rsidR="00C13DDC">
        <w:t>s</w:t>
      </w:r>
      <w:r w:rsidRPr="001A3D2B">
        <w:t xml:space="preserve"> reputation in scientific research. A predominance</w:t>
      </w:r>
      <w:r w:rsidR="00427468">
        <w:t xml:space="preserve"> of </w:t>
      </w:r>
      <w:r w:rsidRPr="001A3D2B">
        <w:t>national authors in a country</w:t>
      </w:r>
      <w:r w:rsidR="00700038">
        <w:t>’</w:t>
      </w:r>
      <w:r w:rsidR="00C13DDC">
        <w:t>s</w:t>
      </w:r>
      <w:r w:rsidRPr="001A3D2B">
        <w:t xml:space="preserve"> international high-ranking journals has occasionally been presumed. We therefore analysed</w:t>
      </w:r>
      <w:r w:rsidR="003A1917">
        <w:t xml:space="preserve"> the </w:t>
      </w:r>
      <w:r w:rsidRPr="001A3D2B">
        <w:t>publication output</w:t>
      </w:r>
      <w:r w:rsidR="00427468">
        <w:t xml:space="preserve"> of </w:t>
      </w:r>
      <w:r w:rsidRPr="001A3D2B">
        <w:t>various countries</w:t>
      </w:r>
      <w:r w:rsidR="005853A9">
        <w:t xml:space="preserve"> and </w:t>
      </w:r>
      <w:r w:rsidR="003A1917">
        <w:t xml:space="preserve">the </w:t>
      </w:r>
      <w:r w:rsidRPr="001A3D2B">
        <w:t>proportion</w:t>
      </w:r>
      <w:r w:rsidR="00427468">
        <w:t xml:space="preserve"> of </w:t>
      </w:r>
      <w:r w:rsidRPr="001A3D2B">
        <w:t>national authors in international high-ranking journals. Methods:</w:t>
      </w:r>
      <w:r w:rsidR="003A1917">
        <w:t xml:space="preserve"> the </w:t>
      </w:r>
      <w:r w:rsidRPr="001A3D2B">
        <w:t>database EMBASE(R) (Excerpta Medical by means</w:t>
      </w:r>
      <w:r w:rsidR="00427468">
        <w:t xml:space="preserve"> of </w:t>
      </w:r>
      <w:r w:rsidR="003A1917">
        <w:t xml:space="preserve">the </w:t>
      </w:r>
      <w:r w:rsidRPr="001A3D2B">
        <w:t>online service Dialog(R) was used to analyse</w:t>
      </w:r>
      <w:r w:rsidR="003A1917">
        <w:t xml:space="preserve"> the </w:t>
      </w:r>
      <w:r w:rsidRPr="001A3D2B">
        <w:t>national publication output</w:t>
      </w:r>
      <w:r w:rsidR="00427468">
        <w:t xml:space="preserve"> of </w:t>
      </w:r>
      <w:r w:rsidRPr="001A3D2B">
        <w:t>various countries during</w:t>
      </w:r>
      <w:r w:rsidR="003A1917">
        <w:t xml:space="preserve"> the </w:t>
      </w:r>
      <w:r w:rsidRPr="001A3D2B">
        <w:t>years 1986 to 1990</w:t>
      </w:r>
      <w:r w:rsidR="005853A9">
        <w:t xml:space="preserve"> and </w:t>
      </w:r>
      <w:r w:rsidRPr="001A3D2B">
        <w:t>1991 to 1995</w:t>
      </w:r>
      <w:r w:rsidR="005853A9">
        <w:t xml:space="preserve"> and </w:t>
      </w:r>
      <w:r w:rsidR="003A1917">
        <w:t xml:space="preserve">the </w:t>
      </w:r>
      <w:r w:rsidRPr="001A3D2B">
        <w:t>proportion</w:t>
      </w:r>
      <w:r w:rsidR="00427468">
        <w:t xml:space="preserve"> of </w:t>
      </w:r>
      <w:r w:rsidRPr="001A3D2B">
        <w:t>national authors in</w:t>
      </w:r>
      <w:r w:rsidR="003A1917">
        <w:t xml:space="preserve"> the </w:t>
      </w:r>
      <w:r w:rsidRPr="001A3D2B">
        <w:t>Lancet</w:t>
      </w:r>
      <w:r w:rsidR="005853A9">
        <w:t xml:space="preserve"> and </w:t>
      </w:r>
      <w:r w:rsidR="003A1917">
        <w:t xml:space="preserve">the </w:t>
      </w:r>
      <w:r w:rsidRPr="001A3D2B">
        <w:t>New England journal</w:t>
      </w:r>
      <w:r w:rsidR="00427468">
        <w:t xml:space="preserve"> of </w:t>
      </w:r>
      <w:r w:rsidRPr="001A3D2B">
        <w:t>Medicine (NEJM.). Results: American</w:t>
      </w:r>
      <w:r w:rsidR="005853A9">
        <w:t xml:space="preserve"> and </w:t>
      </w:r>
      <w:r w:rsidRPr="001A3D2B">
        <w:t>British publications played</w:t>
      </w:r>
      <w:r w:rsidR="003A1917">
        <w:t xml:space="preserve"> the </w:t>
      </w:r>
      <w:r w:rsidRPr="001A3D2B">
        <w:t>leading roles in</w:t>
      </w:r>
      <w:r w:rsidR="003A1917">
        <w:t xml:space="preserve"> the </w:t>
      </w:r>
      <w:r w:rsidRPr="001A3D2B">
        <w:t>total number</w:t>
      </w:r>
      <w:r w:rsidR="00427468">
        <w:t xml:space="preserve"> of </w:t>
      </w:r>
      <w:r w:rsidRPr="001A3D2B">
        <w:t>medical publications from 1986 to 1990 (35.6 %</w:t>
      </w:r>
      <w:r w:rsidR="005853A9">
        <w:t xml:space="preserve"> and </w:t>
      </w:r>
      <w:r w:rsidRPr="001A3D2B">
        <w:t>8.8 %, respectively)</w:t>
      </w:r>
      <w:r w:rsidR="005853A9">
        <w:t xml:space="preserve"> and </w:t>
      </w:r>
      <w:r w:rsidRPr="001A3D2B">
        <w:t>also from 1991 to 1995 (34.3 %</w:t>
      </w:r>
      <w:r w:rsidR="005853A9">
        <w:t xml:space="preserve"> and </w:t>
      </w:r>
      <w:r w:rsidRPr="001A3D2B">
        <w:t>9.1 %, respectively). A more detailed analysis revealed an unexpectedly high national publication output (publications per million inhabitants)</w:t>
      </w:r>
      <w:r w:rsidR="00427468">
        <w:t xml:space="preserve"> of </w:t>
      </w:r>
      <w:r w:rsidRPr="001A3D2B">
        <w:t>smaller countries, which exceeded that</w:t>
      </w:r>
      <w:r w:rsidR="00427468">
        <w:t xml:space="preserve"> of </w:t>
      </w:r>
      <w:r w:rsidRPr="001A3D2B">
        <w:t xml:space="preserve">larger nations during both periods studied (national publication output 1986-90 vs. 1991-95: </w:t>
      </w:r>
      <w:smartTag w:uri="urn:schemas-microsoft-com:office:smarttags" w:element="country-region">
        <w:r w:rsidRPr="001A3D2B">
          <w:t>Israel</w:t>
        </w:r>
      </w:smartTag>
      <w:r w:rsidRPr="001A3D2B">
        <w:t xml:space="preserve">: (3386 vs. 3447), </w:t>
      </w:r>
      <w:smartTag w:uri="urn:schemas-microsoft-com:office:smarttags" w:element="country-region">
        <w:r w:rsidRPr="001A3D2B">
          <w:t>Sweden</w:t>
        </w:r>
      </w:smartTag>
      <w:r w:rsidRPr="001A3D2B">
        <w:t xml:space="preserve">: (3303 vs. 3620), </w:t>
      </w:r>
      <w:smartTag w:uri="urn:schemas-microsoft-com:office:smarttags" w:element="country-region">
        <w:r w:rsidRPr="001A3D2B">
          <w:t>Switzerland</w:t>
        </w:r>
      </w:smartTag>
      <w:r w:rsidRPr="001A3D2B">
        <w:t xml:space="preserve">: (2930 vs. 3722), </w:t>
      </w:r>
      <w:smartTag w:uri="urn:schemas-microsoft-com:office:smarttags" w:element="country-region">
        <w:r w:rsidRPr="001A3D2B">
          <w:t>Denmark</w:t>
        </w:r>
      </w:smartTag>
      <w:r w:rsidRPr="001A3D2B">
        <w:t xml:space="preserve">: (2884 vs. 3167), </w:t>
      </w:r>
      <w:smartTag w:uri="urn:schemas-microsoft-com:office:smarttags" w:element="country-region">
        <w:r w:rsidRPr="001A3D2B">
          <w:t>UK</w:t>
        </w:r>
      </w:smartTag>
      <w:r w:rsidRPr="001A3D2B">
        <w:t xml:space="preserve">: (2186 vs. 2825), </w:t>
      </w:r>
      <w:r w:rsidR="00D5664A">
        <w:t>USA</w:t>
      </w:r>
      <w:r w:rsidRPr="001A3D2B">
        <w:t>: (2042 vs. 2388)). Furthermore,</w:t>
      </w:r>
      <w:r w:rsidR="003A1917">
        <w:t xml:space="preserve"> the </w:t>
      </w:r>
      <w:r w:rsidRPr="001A3D2B">
        <w:t>proportion</w:t>
      </w:r>
      <w:r w:rsidR="00427468">
        <w:t xml:space="preserve"> of </w:t>
      </w:r>
      <w:r w:rsidRPr="001A3D2B">
        <w:t>national authors during both periods (1986-90 vs. 1991-95) studied was 41.8% vs. 34.1 % in</w:t>
      </w:r>
      <w:r w:rsidR="003A1917">
        <w:t xml:space="preserve"> the </w:t>
      </w:r>
      <w:r w:rsidRPr="001A3D2B">
        <w:t>case</w:t>
      </w:r>
      <w:r w:rsidR="00427468">
        <w:t xml:space="preserve"> of </w:t>
      </w:r>
      <w:r w:rsidR="003A1917">
        <w:t xml:space="preserve">the </w:t>
      </w:r>
      <w:r w:rsidRPr="001A3D2B">
        <w:t>Lancet</w:t>
      </w:r>
      <w:r w:rsidR="005853A9">
        <w:t xml:space="preserve"> and </w:t>
      </w:r>
      <w:r w:rsidRPr="001A3D2B">
        <w:lastRenderedPageBreak/>
        <w:t>77.9 % vs. 69.5 % in</w:t>
      </w:r>
      <w:r w:rsidR="003A1917">
        <w:t xml:space="preserve"> the </w:t>
      </w:r>
      <w:r w:rsidRPr="001A3D2B">
        <w:t>case</w:t>
      </w:r>
      <w:r w:rsidR="00427468">
        <w:t xml:space="preserve"> of </w:t>
      </w:r>
      <w:r w:rsidR="003A1917">
        <w:t xml:space="preserve">the </w:t>
      </w:r>
      <w:r w:rsidRPr="001A3D2B">
        <w:t>New England journal</w:t>
      </w:r>
      <w:r w:rsidR="00427468">
        <w:t xml:space="preserve"> of </w:t>
      </w:r>
      <w:r w:rsidRPr="001A3D2B">
        <w:t>Medicine. Conclusions:</w:t>
      </w:r>
      <w:r w:rsidR="003A1917">
        <w:t xml:space="preserve"> the </w:t>
      </w:r>
      <w:r w:rsidRPr="001A3D2B">
        <w:t>present study found an unexpectedly high national publication output</w:t>
      </w:r>
      <w:r w:rsidR="00427468">
        <w:t xml:space="preserve"> of </w:t>
      </w:r>
      <w:r w:rsidRPr="001A3D2B">
        <w:t>smaller countries as well as a clearly disproportionate number</w:t>
      </w:r>
      <w:r w:rsidR="00427468">
        <w:t xml:space="preserve"> of </w:t>
      </w:r>
      <w:r w:rsidRPr="001A3D2B">
        <w:t>published articles from national authors in</w:t>
      </w:r>
      <w:r w:rsidR="003A1917">
        <w:t xml:space="preserve"> the </w:t>
      </w:r>
      <w:r w:rsidRPr="001A3D2B">
        <w:t>Lancet</w:t>
      </w:r>
      <w:r w:rsidR="005853A9">
        <w:t xml:space="preserve"> and </w:t>
      </w:r>
      <w:r w:rsidR="003A1917">
        <w:t xml:space="preserve">the </w:t>
      </w:r>
      <w:r w:rsidRPr="001A3D2B">
        <w:t>NEJM during</w:t>
      </w:r>
      <w:r w:rsidR="003A1917">
        <w:t xml:space="preserve"> the </w:t>
      </w:r>
      <w:r w:rsidRPr="001A3D2B">
        <w:t>years 1986 to 1990</w:t>
      </w:r>
      <w:r w:rsidR="005853A9">
        <w:t xml:space="preserve"> and </w:t>
      </w:r>
      <w:r w:rsidRPr="001A3D2B">
        <w:t>1991 to 1995.</w:t>
      </w:r>
    </w:p>
    <w:p w:rsidR="003474F2" w:rsidRPr="001A3D2B" w:rsidRDefault="003474F2" w:rsidP="003474F2">
      <w:pPr>
        <w:pStyle w:val="a3"/>
      </w:pPr>
      <w:r w:rsidRPr="001A3D2B">
        <w:t>Keywords: Publication Frequency, Publication Output, National Publication Bias, Bias</w:t>
      </w:r>
    </w:p>
    <w:p w:rsidR="003474F2" w:rsidRPr="001A3D2B" w:rsidRDefault="003474F2" w:rsidP="003474F2">
      <w:pPr>
        <w:pStyle w:val="1"/>
      </w:pPr>
      <w:r w:rsidRPr="001A3D2B">
        <w:br w:type="page"/>
      </w:r>
      <w:bookmarkStart w:id="414" w:name="_Toc420814467"/>
      <w:r w:rsidRPr="001A3D2B">
        <w:lastRenderedPageBreak/>
        <w:t>Title: Anesthesia</w:t>
      </w:r>
      <w:r w:rsidR="005853A9">
        <w:t xml:space="preserve"> and </w:t>
      </w:r>
      <w:r w:rsidRPr="001A3D2B">
        <w:t>Analgesia</w:t>
      </w:r>
      <w:bookmarkEnd w:id="414"/>
    </w:p>
    <w:p w:rsidR="003474F2" w:rsidRPr="001A3D2B" w:rsidRDefault="003474F2" w:rsidP="003474F2">
      <w:pPr>
        <w:pStyle w:val="12"/>
      </w:pPr>
      <w:r w:rsidRPr="001A3D2B">
        <w:t>Full Journal T</w:t>
      </w:r>
      <w:bookmarkStart w:id="415" w:name="_Toc81215606"/>
      <w:r w:rsidRPr="001A3D2B">
        <w:t xml:space="preserve">itle: </w:t>
      </w:r>
      <w:r w:rsidR="00206C8A">
        <w:fldChar w:fldCharType="begin"/>
      </w:r>
      <w:r w:rsidR="00FD158B">
        <w:instrText>HYPERLINK "http://www.an</w:instrText>
      </w:r>
      <w:bookmarkEnd w:id="415"/>
      <w:r w:rsidR="00FD158B">
        <w:instrText>esthesia-analgesia.org/"</w:instrText>
      </w:r>
      <w:r w:rsidR="00206C8A">
        <w:fldChar w:fldCharType="separate"/>
      </w:r>
      <w:r w:rsidRPr="001A3D2B">
        <w:rPr>
          <w:rStyle w:val="a5"/>
        </w:rPr>
        <w:t>Anesthesia</w:t>
      </w:r>
      <w:r w:rsidR="005853A9">
        <w:rPr>
          <w:rStyle w:val="a5"/>
        </w:rPr>
        <w:t xml:space="preserve"> and </w:t>
      </w:r>
      <w:r w:rsidRPr="001A3D2B">
        <w:rPr>
          <w:rStyle w:val="a5"/>
        </w:rPr>
        <w:t>Analgesia</w:t>
      </w:r>
      <w:r w:rsidR="00206C8A">
        <w:fldChar w:fldCharType="end"/>
      </w:r>
      <w:r w:rsidRPr="001A3D2B">
        <w:t xml:space="preserve">; </w:t>
      </w:r>
      <w:hyperlink r:id="rId753" w:history="1">
        <w:r w:rsidRPr="001A3D2B">
          <w:rPr>
            <w:rStyle w:val="a5"/>
          </w:rPr>
          <w:t>Anesthesia</w:t>
        </w:r>
        <w:r w:rsidR="005853A9">
          <w:rPr>
            <w:rStyle w:val="a5"/>
          </w:rPr>
          <w:t xml:space="preserve"> and </w:t>
        </w:r>
        <w:r w:rsidRPr="001A3D2B">
          <w:rPr>
            <w:rStyle w:val="a5"/>
          </w:rPr>
          <w:t>Analgesia</w:t>
        </w:r>
      </w:hyperlink>
    </w:p>
    <w:p w:rsidR="003474F2" w:rsidRPr="001A3D2B" w:rsidRDefault="003474F2" w:rsidP="003474F2">
      <w:pPr>
        <w:pStyle w:val="12"/>
      </w:pPr>
      <w:r w:rsidRPr="001A3D2B">
        <w:t>ISO Abbreviated Title: Anesth. Analg.</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0003-2999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xml:space="preserve">? Roland, C.G. (1976), Thoughts about medical writing. XXXVII. Verify your references. </w:t>
      </w:r>
      <w:r w:rsidRPr="001A3D2B">
        <w:rPr>
          <w:i/>
          <w:iCs/>
          <w:szCs w:val="27"/>
        </w:rPr>
        <w:t>Anesthesia</w:t>
      </w:r>
      <w:r w:rsidR="005853A9">
        <w:rPr>
          <w:i/>
          <w:iCs/>
          <w:szCs w:val="27"/>
        </w:rPr>
        <w:t xml:space="preserve"> and </w:t>
      </w:r>
      <w:r w:rsidRPr="001A3D2B">
        <w:rPr>
          <w:i/>
          <w:iCs/>
          <w:szCs w:val="27"/>
        </w:rPr>
        <w:t>Analgesia</w:t>
      </w:r>
      <w:r w:rsidRPr="001A3D2B">
        <w:t xml:space="preserve">, </w:t>
      </w:r>
      <w:r w:rsidRPr="001A3D2B">
        <w:rPr>
          <w:b/>
        </w:rPr>
        <w:t>55</w:t>
      </w:r>
      <w:r w:rsidRPr="001A3D2B">
        <w:rPr>
          <w:bCs/>
        </w:rPr>
        <w:t xml:space="preserve"> (5)</w:t>
      </w:r>
      <w:r w:rsidRPr="001A3D2B">
        <w:t>, 717-718.</w:t>
      </w:r>
    </w:p>
    <w:p w:rsidR="0039485A" w:rsidRPr="00F219CA" w:rsidRDefault="0039485A" w:rsidP="0039485A">
      <w:pPr>
        <w:pStyle w:val="a3"/>
      </w:pPr>
      <w:r w:rsidRPr="00F219CA">
        <w:t xml:space="preserve">Full Text: </w:t>
      </w:r>
      <w:hyperlink r:id="rId754" w:history="1">
        <w:r w:rsidRPr="00F567F1">
          <w:rPr>
            <w:rStyle w:val="a5"/>
          </w:rPr>
          <w:t>1960-80\Ane Ana55, 717.pdf</w:t>
        </w:r>
      </w:hyperlink>
    </w:p>
    <w:p w:rsidR="003474F2" w:rsidRPr="001A3D2B" w:rsidRDefault="003474F2" w:rsidP="003474F2">
      <w:pPr>
        <w:pStyle w:val="a3"/>
      </w:pPr>
      <w:r w:rsidRPr="001A3D2B">
        <w:t>? Nishina, K., Asano, M., Mikawa, K., Maekawa, N.</w:t>
      </w:r>
      <w:r w:rsidR="005853A9">
        <w:t xml:space="preserve"> and </w:t>
      </w:r>
      <w:r w:rsidRPr="001A3D2B">
        <w:t>Obara, H. (1995), Accuracy</w:t>
      </w:r>
      <w:r w:rsidR="00427468">
        <w:t xml:space="preserve"> of </w:t>
      </w:r>
      <w:r w:rsidRPr="001A3D2B">
        <w:t xml:space="preserve">references in </w:t>
      </w:r>
      <w:r w:rsidRPr="001A3D2B">
        <w:rPr>
          <w:i/>
        </w:rPr>
        <w:t>Anesthesia</w:t>
      </w:r>
      <w:r w:rsidR="005853A9">
        <w:rPr>
          <w:i/>
        </w:rPr>
        <w:t xml:space="preserve"> and </w:t>
      </w:r>
      <w:r w:rsidRPr="001A3D2B">
        <w:rPr>
          <w:i/>
        </w:rPr>
        <w:t>Analgesia</w:t>
      </w:r>
      <w:r w:rsidRPr="001A3D2B">
        <w:t xml:space="preserve"> does not improve. </w:t>
      </w:r>
      <w:r w:rsidRPr="001A3D2B">
        <w:rPr>
          <w:i/>
          <w:iCs/>
          <w:szCs w:val="27"/>
        </w:rPr>
        <w:t>Anesthesia</w:t>
      </w:r>
      <w:r w:rsidR="005853A9">
        <w:rPr>
          <w:i/>
          <w:iCs/>
          <w:szCs w:val="27"/>
        </w:rPr>
        <w:t xml:space="preserve"> and </w:t>
      </w:r>
      <w:r w:rsidRPr="001A3D2B">
        <w:rPr>
          <w:i/>
          <w:iCs/>
          <w:szCs w:val="27"/>
        </w:rPr>
        <w:t>Analgesia</w:t>
      </w:r>
      <w:r w:rsidRPr="001A3D2B">
        <w:t xml:space="preserve">, </w:t>
      </w:r>
      <w:r w:rsidRPr="001A3D2B">
        <w:rPr>
          <w:b/>
        </w:rPr>
        <w:t>80</w:t>
      </w:r>
      <w:r w:rsidRPr="001A3D2B">
        <w:rPr>
          <w:bCs/>
        </w:rPr>
        <w:t xml:space="preserve"> (3)</w:t>
      </w:r>
      <w:r w:rsidRPr="001A3D2B">
        <w:t>, 641-642.</w:t>
      </w:r>
    </w:p>
    <w:p w:rsidR="003474F2" w:rsidRPr="001A3D2B" w:rsidRDefault="003474F2" w:rsidP="003474F2">
      <w:pPr>
        <w:pStyle w:val="a3"/>
      </w:pPr>
      <w:r w:rsidRPr="001A3D2B">
        <w:t xml:space="preserve">Full Text: </w:t>
      </w:r>
      <w:hyperlink r:id="rId755" w:history="1">
        <w:r w:rsidRPr="001A3D2B">
          <w:rPr>
            <w:rStyle w:val="a5"/>
          </w:rPr>
          <w:t>1995\Ane Ana80, 641.pdf</w:t>
        </w:r>
      </w:hyperlink>
    </w:p>
    <w:p w:rsidR="003474F2" w:rsidRPr="001A3D2B" w:rsidRDefault="003474F2" w:rsidP="003474F2">
      <w:pPr>
        <w:pStyle w:val="a3"/>
      </w:pPr>
      <w:r w:rsidRPr="001A3D2B">
        <w:t>Keywords: Mar</w:t>
      </w:r>
    </w:p>
    <w:p w:rsidR="003474F2" w:rsidRPr="001A3D2B" w:rsidRDefault="003474F2" w:rsidP="003474F2">
      <w:pPr>
        <w:pStyle w:val="a3"/>
      </w:pPr>
      <w:r w:rsidRPr="001A3D2B">
        <w:t>Notes: TTopic</w:t>
      </w:r>
    </w:p>
    <w:p w:rsidR="003474F2" w:rsidRPr="001A3D2B" w:rsidRDefault="003474F2" w:rsidP="003474F2">
      <w:pPr>
        <w:pStyle w:val="a3"/>
      </w:pPr>
      <w:r w:rsidRPr="001A3D2B">
        <w:t>Asano, M., Mikawa, K., Nishina, K., Maekawa, N.</w:t>
      </w:r>
      <w:r w:rsidR="005853A9">
        <w:t xml:space="preserve"> and </w:t>
      </w:r>
      <w:r w:rsidRPr="001A3D2B">
        <w:t xml:space="preserve">Obara, H. (1996), Research activity among Japanese anesthetists. </w:t>
      </w:r>
      <w:r w:rsidRPr="001A3D2B">
        <w:rPr>
          <w:i/>
          <w:iCs/>
          <w:szCs w:val="27"/>
        </w:rPr>
        <w:t>Anesthesia</w:t>
      </w:r>
      <w:r w:rsidR="005853A9">
        <w:rPr>
          <w:i/>
          <w:iCs/>
          <w:szCs w:val="27"/>
        </w:rPr>
        <w:t xml:space="preserve"> and </w:t>
      </w:r>
      <w:r w:rsidRPr="001A3D2B">
        <w:rPr>
          <w:i/>
          <w:iCs/>
          <w:szCs w:val="27"/>
        </w:rPr>
        <w:t>Analgesia</w:t>
      </w:r>
      <w:r w:rsidRPr="001A3D2B">
        <w:t xml:space="preserve">, </w:t>
      </w:r>
      <w:r w:rsidRPr="001A3D2B">
        <w:rPr>
          <w:b/>
        </w:rPr>
        <w:t>82</w:t>
      </w:r>
      <w:r w:rsidRPr="001A3D2B">
        <w:t xml:space="preserve"> (1), 220-221.</w:t>
      </w:r>
    </w:p>
    <w:p w:rsidR="003474F2" w:rsidRPr="001A3D2B" w:rsidRDefault="003474F2" w:rsidP="003474F2">
      <w:pPr>
        <w:pStyle w:val="a3"/>
      </w:pPr>
      <w:r w:rsidRPr="001A3D2B">
        <w:t xml:space="preserve">Full Text: </w:t>
      </w:r>
      <w:hyperlink r:id="rId756" w:history="1">
        <w:r w:rsidRPr="001A3D2B">
          <w:rPr>
            <w:rStyle w:val="a5"/>
          </w:rPr>
          <w:t>1996\Ane Ana82, 220.pdf</w:t>
        </w:r>
      </w:hyperlink>
    </w:p>
    <w:p w:rsidR="003474F2" w:rsidRPr="001A3D2B" w:rsidRDefault="003474F2" w:rsidP="003474F2">
      <w:pPr>
        <w:pStyle w:val="a3"/>
      </w:pPr>
      <w:r w:rsidRPr="001A3D2B">
        <w:t xml:space="preserve">? Cross, D.A. (1996), When not to give a test dose: One more reason? </w:t>
      </w:r>
      <w:r w:rsidRPr="001A3D2B">
        <w:rPr>
          <w:i/>
          <w:iCs/>
          <w:szCs w:val="27"/>
        </w:rPr>
        <w:t>Anesthesia</w:t>
      </w:r>
      <w:r w:rsidR="005853A9">
        <w:rPr>
          <w:i/>
          <w:iCs/>
          <w:szCs w:val="27"/>
        </w:rPr>
        <w:t xml:space="preserve"> and </w:t>
      </w:r>
      <w:r w:rsidRPr="001A3D2B">
        <w:rPr>
          <w:i/>
          <w:iCs/>
          <w:szCs w:val="27"/>
        </w:rPr>
        <w:t>Analgesia</w:t>
      </w:r>
      <w:r w:rsidRPr="001A3D2B">
        <w:t xml:space="preserve">, </w:t>
      </w:r>
      <w:r w:rsidRPr="001A3D2B">
        <w:rPr>
          <w:b/>
        </w:rPr>
        <w:t>82</w:t>
      </w:r>
      <w:r w:rsidRPr="001A3D2B">
        <w:t xml:space="preserve"> (1), 221-222.</w:t>
      </w:r>
    </w:p>
    <w:p w:rsidR="003474F2" w:rsidRPr="001A3D2B" w:rsidRDefault="003474F2" w:rsidP="003474F2">
      <w:pPr>
        <w:pStyle w:val="a3"/>
      </w:pPr>
      <w:r w:rsidRPr="001A3D2B">
        <w:t xml:space="preserve">Full Text: </w:t>
      </w:r>
      <w:hyperlink r:id="rId757" w:history="1">
        <w:r w:rsidRPr="001A3D2B">
          <w:rPr>
            <w:rStyle w:val="a5"/>
          </w:rPr>
          <w:t>1996\Ane Ana82, 221.pdf</w:t>
        </w:r>
      </w:hyperlink>
    </w:p>
    <w:p w:rsidR="003474F2" w:rsidRPr="001A3D2B" w:rsidRDefault="003474F2" w:rsidP="003474F2">
      <w:pPr>
        <w:pStyle w:val="a3"/>
      </w:pPr>
      <w:r w:rsidRPr="001A3D2B">
        <w:t>? Boldt, J., Maleck, W.</w:t>
      </w:r>
      <w:r w:rsidR="005853A9">
        <w:t xml:space="preserve"> and </w:t>
      </w:r>
      <w:r w:rsidRPr="001A3D2B">
        <w:t>Koetter, K.P. (1999), Which countries publish in important anesthesia</w:t>
      </w:r>
      <w:r w:rsidR="005853A9">
        <w:t xml:space="preserve"> and </w:t>
      </w:r>
      <w:r w:rsidRPr="001A3D2B">
        <w:t xml:space="preserve">critical care journals? </w:t>
      </w:r>
      <w:r w:rsidRPr="001A3D2B">
        <w:rPr>
          <w:i/>
          <w:iCs/>
          <w:szCs w:val="27"/>
        </w:rPr>
        <w:t>Anesthesia</w:t>
      </w:r>
      <w:r w:rsidR="005853A9">
        <w:rPr>
          <w:i/>
          <w:iCs/>
          <w:szCs w:val="27"/>
        </w:rPr>
        <w:t xml:space="preserve"> and </w:t>
      </w:r>
      <w:r w:rsidRPr="001A3D2B">
        <w:rPr>
          <w:i/>
          <w:iCs/>
          <w:szCs w:val="27"/>
        </w:rPr>
        <w:t>Analgesia</w:t>
      </w:r>
      <w:r w:rsidRPr="001A3D2B">
        <w:t xml:space="preserve">, </w:t>
      </w:r>
      <w:r w:rsidRPr="001A3D2B">
        <w:rPr>
          <w:b/>
        </w:rPr>
        <w:t>88</w:t>
      </w:r>
      <w:r w:rsidRPr="001A3D2B">
        <w:t xml:space="preserve"> (5), 1175-1180.</w:t>
      </w:r>
    </w:p>
    <w:p w:rsidR="003474F2" w:rsidRPr="001A3D2B" w:rsidRDefault="003474F2" w:rsidP="003474F2">
      <w:pPr>
        <w:pStyle w:val="a3"/>
      </w:pPr>
      <w:r w:rsidRPr="001A3D2B">
        <w:t xml:space="preserve">Full Text: </w:t>
      </w:r>
      <w:hyperlink r:id="rId758" w:history="1">
        <w:r w:rsidRPr="001A3D2B">
          <w:rPr>
            <w:rStyle w:val="a5"/>
          </w:rPr>
          <w:t>1999\Ane Ana88, 1175.pdf</w:t>
        </w:r>
      </w:hyperlink>
    </w:p>
    <w:p w:rsidR="003474F2" w:rsidRPr="001A3D2B" w:rsidRDefault="003474F2" w:rsidP="003474F2">
      <w:pPr>
        <w:pStyle w:val="a3"/>
      </w:pPr>
      <w:r w:rsidRPr="001A3D2B">
        <w:t xml:space="preserve">Abstract: Using a </w:t>
      </w:r>
      <w:r w:rsidR="00D5664A">
        <w:t>MEDLINE</w:t>
      </w:r>
      <w:r w:rsidRPr="001A3D2B">
        <w:t>-based analysis, we studied</w:t>
      </w:r>
      <w:r w:rsidR="003A1917">
        <w:t xml:space="preserve"> the </w:t>
      </w:r>
      <w:r w:rsidRPr="001A3D2B">
        <w:t>national origin</w:t>
      </w:r>
      <w:r w:rsidR="00427468">
        <w:t xml:space="preserve"> of </w:t>
      </w:r>
      <w:r w:rsidRPr="001A3D2B">
        <w:t>articles published in important anesthesia, pain, critical care,</w:t>
      </w:r>
      <w:r w:rsidR="005853A9">
        <w:t xml:space="preserve"> and </w:t>
      </w:r>
      <w:r w:rsidRPr="001A3D2B">
        <w:t>emergency medicine journals. All journals in English listed in</w:t>
      </w:r>
      <w:r w:rsidR="003A1917">
        <w:t xml:space="preserve"> the </w:t>
      </w:r>
      <w:r w:rsidRPr="001A3D2B">
        <w:t>Science Citation Index (SCI)</w:t>
      </w:r>
      <w:r w:rsidR="00427468">
        <w:t xml:space="preserve"> of </w:t>
      </w:r>
      <w:r w:rsidRPr="001A3D2B">
        <w:t>Journal Citation Reports under</w:t>
      </w:r>
      <w:r w:rsidR="003A1917">
        <w:t xml:space="preserve"> the </w:t>
      </w:r>
      <w:r w:rsidRPr="001A3D2B">
        <w:t>subheadings Anesthesiology (</w:t>
      </w:r>
      <w:r w:rsidRPr="001A3D2B">
        <w:rPr>
          <w:i/>
          <w:iCs/>
        </w:rPr>
        <w:t>n</w:t>
      </w:r>
      <w:r w:rsidRPr="001A3D2B">
        <w:t xml:space="preserve"> = 17)</w:t>
      </w:r>
      <w:r w:rsidR="005853A9">
        <w:t xml:space="preserve"> and </w:t>
      </w:r>
      <w:r w:rsidRPr="001A3D2B">
        <w:t>Emergency Medicine &amp; Critical Care (</w:t>
      </w:r>
      <w:r w:rsidRPr="001A3D2B">
        <w:rPr>
          <w:i/>
          <w:iCs/>
        </w:rPr>
        <w:t>n</w:t>
      </w:r>
      <w:r w:rsidRPr="001A3D2B">
        <w:t xml:space="preserve"> = 13) were analyzed with</w:t>
      </w:r>
      <w:r w:rsidR="003A1917">
        <w:t xml:space="preserve"> the </w:t>
      </w:r>
      <w:r w:rsidRPr="001A3D2B">
        <w:t>help</w:t>
      </w:r>
      <w:r w:rsidR="00427468">
        <w:t xml:space="preserve"> of </w:t>
      </w:r>
      <w:r w:rsidR="00D5664A">
        <w:t>MEDLINE</w:t>
      </w:r>
      <w:r w:rsidRPr="001A3D2B">
        <w:t>. Issues from 1996</w:t>
      </w:r>
      <w:r w:rsidR="005853A9">
        <w:t xml:space="preserve"> and </w:t>
      </w:r>
      <w:r w:rsidRPr="001A3D2B">
        <w:t>1997 were included</w:t>
      </w:r>
      <w:r w:rsidR="005853A9">
        <w:t xml:space="preserve"> and </w:t>
      </w:r>
      <w:r w:rsidRPr="001A3D2B">
        <w:t>summarized. Letters, abstracts, editorials, meeting reports,</w:t>
      </w:r>
      <w:r w:rsidR="005853A9">
        <w:t xml:space="preserve"> and </w:t>
      </w:r>
      <w:r w:rsidRPr="001A3D2B">
        <w:t xml:space="preserve">news were not included. </w:t>
      </w:r>
      <w:r w:rsidR="00D5664A">
        <w:t>MEDLINE</w:t>
      </w:r>
      <w:r w:rsidRPr="001A3D2B">
        <w:t xml:space="preserve"> printouts were studied,</w:t>
      </w:r>
      <w:r w:rsidR="005853A9">
        <w:t xml:space="preserve"> and </w:t>
      </w:r>
      <w:r w:rsidRPr="001A3D2B">
        <w:lastRenderedPageBreak/>
        <w:t>we classified</w:t>
      </w:r>
      <w:r w:rsidR="003A1917">
        <w:t xml:space="preserve"> the </w:t>
      </w:r>
      <w:r w:rsidRPr="001A3D2B">
        <w:t>country</w:t>
      </w:r>
      <w:r w:rsidR="00427468">
        <w:t xml:space="preserve"> of </w:t>
      </w:r>
      <w:r w:rsidRPr="001A3D2B">
        <w:t>origin</w:t>
      </w:r>
      <w:r w:rsidR="00427468">
        <w:t xml:space="preserve"> of </w:t>
      </w:r>
      <w:r w:rsidR="003A1917">
        <w:t xml:space="preserve">the </w:t>
      </w:r>
      <w:r w:rsidRPr="001A3D2B">
        <w:t>first author</w:t>
      </w:r>
      <w:r w:rsidR="00A37C1D">
        <w:t>. The</w:t>
      </w:r>
      <w:r w:rsidR="003A1917">
        <w:t xml:space="preserve"> </w:t>
      </w:r>
      <w:r w:rsidRPr="001A3D2B">
        <w:t>following subsets were defined: Anesthesia, Regional Anesthesia</w:t>
      </w:r>
      <w:r w:rsidR="005853A9">
        <w:t xml:space="preserve"> and </w:t>
      </w:r>
      <w:r w:rsidRPr="001A3D2B">
        <w:t>Pain, Clinical Monitoring</w:t>
      </w:r>
      <w:r w:rsidR="005853A9">
        <w:t xml:space="preserve"> and </w:t>
      </w:r>
      <w:r w:rsidRPr="001A3D2B">
        <w:t>Computing, Intensive Care Medicine</w:t>
      </w:r>
      <w:r w:rsidR="005853A9">
        <w:t xml:space="preserve"> and </w:t>
      </w:r>
      <w:r w:rsidRPr="001A3D2B">
        <w:t>Resuscitation,</w:t>
      </w:r>
      <w:r w:rsidR="005853A9">
        <w:t xml:space="preserve"> and </w:t>
      </w:r>
      <w:r w:rsidRPr="001A3D2B">
        <w:t>Emergency Medicine</w:t>
      </w:r>
      <w:r w:rsidR="005853A9">
        <w:t xml:space="preserve"> and </w:t>
      </w:r>
      <w:r w:rsidRPr="001A3D2B">
        <w:t>Trauma. A total</w:t>
      </w:r>
      <w:r w:rsidR="00427468">
        <w:t xml:space="preserve"> of </w:t>
      </w:r>
      <w:r w:rsidRPr="001A3D2B">
        <w:t>10, 643 publications in 30 journals were published during 1996</w:t>
      </w:r>
      <w:r w:rsidR="005853A9">
        <w:t xml:space="preserve"> and </w:t>
      </w:r>
      <w:r w:rsidRPr="001A3D2B">
        <w:t>1997.</w:t>
      </w:r>
      <w:r w:rsidR="00427468">
        <w:t xml:space="preserve"> of </w:t>
      </w:r>
      <w:r w:rsidR="003A1917">
        <w:t xml:space="preserve">the </w:t>
      </w:r>
      <w:r w:rsidRPr="001A3D2B">
        <w:t>30 journals, 17 originate in</w:t>
      </w:r>
      <w:r w:rsidR="003A1917">
        <w:t xml:space="preserve"> the </w:t>
      </w:r>
      <w:r w:rsidRPr="001A3D2B">
        <w:t>United States (US)</w:t>
      </w:r>
      <w:r w:rsidR="005853A9">
        <w:t xml:space="preserve"> and </w:t>
      </w:r>
      <w:r w:rsidRPr="001A3D2B">
        <w:t>8 from United Kingdom (UK). In 14</w:t>
      </w:r>
      <w:r w:rsidR="00427468">
        <w:t xml:space="preserve"> of </w:t>
      </w:r>
      <w:r w:rsidR="003A1917">
        <w:t xml:space="preserve">the </w:t>
      </w:r>
      <w:r w:rsidRPr="001A3D2B">
        <w:t xml:space="preserve">17 </w:t>
      </w:r>
      <w:smartTag w:uri="urn:schemas-microsoft-com:office:smarttags" w:element="country-region">
        <w:r w:rsidRPr="001A3D2B">
          <w:t>US</w:t>
        </w:r>
      </w:smartTag>
      <w:r w:rsidRPr="001A3D2B">
        <w:t xml:space="preserve"> journals, &gt;50%</w:t>
      </w:r>
      <w:r w:rsidR="00427468">
        <w:t xml:space="preserve"> of </w:t>
      </w:r>
      <w:r w:rsidR="003A1917">
        <w:t xml:space="preserve">the </w:t>
      </w:r>
      <w:r w:rsidRPr="001A3D2B">
        <w:t>publications came from</w:t>
      </w:r>
      <w:r w:rsidR="003A1917">
        <w:t xml:space="preserve"> the </w:t>
      </w:r>
      <w:r w:rsidRPr="001A3D2B">
        <w:t>US</w:t>
      </w:r>
      <w:r w:rsidR="00A37C1D">
        <w:t>. The</w:t>
      </w:r>
      <w:r w:rsidR="003A1917">
        <w:t xml:space="preserve"> </w:t>
      </w:r>
      <w:r w:rsidRPr="001A3D2B">
        <w:t>US was</w:t>
      </w:r>
      <w:r w:rsidR="003A1917">
        <w:t xml:space="preserve"> the </w:t>
      </w:r>
      <w:r w:rsidRPr="001A3D2B">
        <w:t>most active nation, with a total</w:t>
      </w:r>
      <w:r w:rsidR="00427468">
        <w:t xml:space="preserve"> of </w:t>
      </w:r>
      <w:r w:rsidRPr="001A3D2B">
        <w:t>4, 283 articles (40.2%</w:t>
      </w:r>
      <w:r w:rsidR="00427468">
        <w:t xml:space="preserve"> of </w:t>
      </w:r>
      <w:r w:rsidRPr="001A3D2B">
        <w:t>all contributions), followed by</w:t>
      </w:r>
      <w:r w:rsidR="003A1917">
        <w:t xml:space="preserve"> the </w:t>
      </w:r>
      <w:r w:rsidRPr="001A3D2B">
        <w:t>UK with 1, 418 articles (13.3%). When looking at</w:t>
      </w:r>
      <w:r w:rsidR="003A1917">
        <w:t xml:space="preserve"> the </w:t>
      </w:r>
      <w:r w:rsidRPr="001A3D2B">
        <w:t>number</w:t>
      </w:r>
      <w:r w:rsidR="00427468">
        <w:t xml:space="preserve"> of </w:t>
      </w:r>
      <w:r w:rsidRPr="001A3D2B">
        <w:t>publications with regard to inhabitants or impact factor per million inhabitants, small highly industrialized nations (</w:t>
      </w:r>
      <w:smartTag w:uri="urn:schemas-microsoft-com:office:smarttags" w:element="country-region">
        <w:r w:rsidRPr="001A3D2B">
          <w:t>Finland</w:t>
        </w:r>
      </w:smartTag>
      <w:r w:rsidRPr="001A3D2B">
        <w:t xml:space="preserve"> 35.41</w:t>
      </w:r>
      <w:r w:rsidR="005853A9">
        <w:t xml:space="preserve"> and </w:t>
      </w:r>
      <w:r w:rsidRPr="001A3D2B">
        <w:t xml:space="preserve">Sweden 33.9 articles/million inhabitants) were significantly more active than large highly industrialized countries (US 16.2, </w:t>
      </w:r>
      <w:smartTag w:uri="urn:schemas-microsoft-com:office:smarttags" w:element="country-region">
        <w:r w:rsidRPr="001A3D2B">
          <w:t>Germany</w:t>
        </w:r>
      </w:smartTag>
      <w:r w:rsidRPr="001A3D2B">
        <w:t xml:space="preserve"> 6.1, </w:t>
      </w:r>
      <w:smartTag w:uri="urn:schemas-microsoft-com:office:smarttags" w:element="place">
        <w:smartTag w:uri="urn:schemas-microsoft-com:office:smarttags" w:element="country-region">
          <w:r w:rsidRPr="001A3D2B">
            <w:t>Japan</w:t>
          </w:r>
        </w:smartTag>
      </w:smartTag>
      <w:r w:rsidRPr="001A3D2B">
        <w:t xml:space="preserve"> 4.5 articles/million inhabitants). It is presumed that indicators</w:t>
      </w:r>
      <w:r w:rsidR="00427468">
        <w:t xml:space="preserve"> of </w:t>
      </w:r>
      <w:r w:rsidRPr="001A3D2B">
        <w:t>productivity in medical research are</w:t>
      </w:r>
      <w:r w:rsidR="003A1917">
        <w:t xml:space="preserve"> the </w:t>
      </w:r>
      <w:r w:rsidRPr="001A3D2B">
        <w:t>number</w:t>
      </w:r>
      <w:r w:rsidR="00427468">
        <w:t xml:space="preserve"> of </w:t>
      </w:r>
      <w:r w:rsidRPr="001A3D2B">
        <w:t>articles published</w:t>
      </w:r>
      <w:r w:rsidR="005853A9">
        <w:t xml:space="preserve"> and </w:t>
      </w:r>
      <w:r w:rsidR="003A1917">
        <w:t xml:space="preserve">the </w:t>
      </w:r>
      <w:r w:rsidRPr="001A3D2B">
        <w:t>cumulative impact factor. During 1996</w:t>
      </w:r>
      <w:r w:rsidR="005853A9">
        <w:t xml:space="preserve"> and </w:t>
      </w:r>
      <w:r w:rsidRPr="001A3D2B">
        <w:t>1997,</w:t>
      </w:r>
      <w:r w:rsidR="003A1917">
        <w:t xml:space="preserve"> the </w:t>
      </w:r>
      <w:r w:rsidRPr="001A3D2B">
        <w:t>US was</w:t>
      </w:r>
      <w:r w:rsidR="003A1917">
        <w:t xml:space="preserve"> the </w:t>
      </w:r>
      <w:r w:rsidRPr="001A3D2B">
        <w:t>most active nation with regard to publications in important journals in</w:t>
      </w:r>
      <w:r w:rsidR="003A1917">
        <w:t xml:space="preserve"> the </w:t>
      </w:r>
      <w:r w:rsidRPr="001A3D2B">
        <w:t>areas</w:t>
      </w:r>
      <w:r w:rsidR="00427468">
        <w:t xml:space="preserve"> of </w:t>
      </w:r>
      <w:r w:rsidRPr="001A3D2B">
        <w:t>anesthesia, pain, critical care,</w:t>
      </w:r>
      <w:r w:rsidR="005853A9">
        <w:t xml:space="preserve"> and </w:t>
      </w:r>
      <w:r w:rsidRPr="001A3D2B">
        <w:t>emergency medicine. Small highly industrialized nations, however, had a higher activity rate than larger countries.</w:t>
      </w:r>
    </w:p>
    <w:p w:rsidR="003474F2" w:rsidRPr="001A3D2B" w:rsidRDefault="003474F2" w:rsidP="003474F2">
      <w:pPr>
        <w:pStyle w:val="a3"/>
      </w:pPr>
      <w:r w:rsidRPr="001A3D2B">
        <w:t xml:space="preserve">Implications: In a </w:t>
      </w:r>
      <w:r w:rsidR="00D5664A">
        <w:t>MEDLINE</w:t>
      </w:r>
      <w:r w:rsidRPr="001A3D2B">
        <w:t>-based analysis, we examined</w:t>
      </w:r>
      <w:r w:rsidR="003A1917">
        <w:t xml:space="preserve"> the </w:t>
      </w:r>
      <w:r w:rsidRPr="001A3D2B">
        <w:t>number</w:t>
      </w:r>
      <w:r w:rsidR="00427468">
        <w:t xml:space="preserve"> of </w:t>
      </w:r>
      <w:r w:rsidRPr="001A3D2B">
        <w:t>publications in important anesthesia, pain, critical care,</w:t>
      </w:r>
      <w:r w:rsidR="005853A9">
        <w:t xml:space="preserve"> and </w:t>
      </w:r>
      <w:r w:rsidRPr="001A3D2B">
        <w:t>emergency medicine journals (</w:t>
      </w:r>
      <w:r w:rsidRPr="001A3D2B">
        <w:rPr>
          <w:i/>
          <w:iCs/>
        </w:rPr>
        <w:t>n</w:t>
      </w:r>
      <w:r w:rsidRPr="001A3D2B">
        <w:t xml:space="preserve"> = 30) for</w:t>
      </w:r>
      <w:r w:rsidR="003A1917">
        <w:t xml:space="preserve"> the </w:t>
      </w:r>
      <w:r w:rsidRPr="001A3D2B">
        <w:t>years 1996</w:t>
      </w:r>
      <w:r w:rsidR="005853A9">
        <w:t xml:space="preserve"> and </w:t>
      </w:r>
      <w:r w:rsidRPr="001A3D2B">
        <w:t>1997</w:t>
      </w:r>
      <w:r w:rsidR="005853A9">
        <w:t xml:space="preserve"> and </w:t>
      </w:r>
      <w:r w:rsidRPr="001A3D2B">
        <w:t>analyzed these with regard to national origin</w:t>
      </w:r>
      <w:r w:rsidR="00A37C1D">
        <w:t>. The</w:t>
      </w:r>
      <w:r w:rsidR="003A1917">
        <w:t xml:space="preserve"> </w:t>
      </w:r>
      <w:r w:rsidRPr="001A3D2B">
        <w:t>United States was by far</w:t>
      </w:r>
      <w:r w:rsidR="003A1917">
        <w:t xml:space="preserve"> the </w:t>
      </w:r>
      <w:r w:rsidRPr="001A3D2B">
        <w:t>most active nation in this medical area (4283 articles [40.2%]), followed by</w:t>
      </w:r>
      <w:r w:rsidR="003A1917">
        <w:t xml:space="preserve"> the </w:t>
      </w:r>
      <w:r w:rsidRPr="001A3D2B">
        <w:t>United Kingdom (13.3%). With regard to publications per million inhabitants, small highly industrialized nations contributed overproportionally to publications in this area.</w:t>
      </w:r>
    </w:p>
    <w:p w:rsidR="003474F2" w:rsidRPr="001A3D2B" w:rsidRDefault="003474F2" w:rsidP="003474F2">
      <w:pPr>
        <w:pStyle w:val="a3"/>
      </w:pPr>
      <w:r w:rsidRPr="001A3D2B">
        <w:t>? Hernandez-Borges, A.A., Macias-Cervi, P., Gaspar-Guardado, M.A., de Arcaya, M.L.T.A., Ruiz-Rabaza, A.</w:t>
      </w:r>
      <w:r w:rsidR="005853A9">
        <w:t xml:space="preserve"> and </w:t>
      </w:r>
      <w:r w:rsidRPr="001A3D2B">
        <w:t>Ormazabal-Ramos, C. (1999), Assessing</w:t>
      </w:r>
      <w:r w:rsidR="003A1917">
        <w:t xml:space="preserve"> the </w:t>
      </w:r>
      <w:r w:rsidRPr="001A3D2B">
        <w:t>relative quality</w:t>
      </w:r>
      <w:r w:rsidR="00427468">
        <w:t xml:space="preserve"> of </w:t>
      </w:r>
      <w:r w:rsidRPr="001A3D2B">
        <w:t>anesthesiology</w:t>
      </w:r>
      <w:r w:rsidR="005853A9">
        <w:t xml:space="preserve"> and </w:t>
      </w:r>
      <w:r w:rsidRPr="001A3D2B">
        <w:t xml:space="preserve">critical care medicine Internet mailing lists. </w:t>
      </w:r>
      <w:r w:rsidRPr="001A3D2B">
        <w:rPr>
          <w:i/>
          <w:iCs/>
          <w:szCs w:val="27"/>
        </w:rPr>
        <w:t>Anesthesia</w:t>
      </w:r>
      <w:r w:rsidR="005853A9">
        <w:rPr>
          <w:i/>
          <w:iCs/>
          <w:szCs w:val="27"/>
        </w:rPr>
        <w:t xml:space="preserve"> and </w:t>
      </w:r>
      <w:r w:rsidRPr="001A3D2B">
        <w:rPr>
          <w:i/>
          <w:iCs/>
          <w:szCs w:val="27"/>
        </w:rPr>
        <w:t>Analgesia</w:t>
      </w:r>
      <w:r w:rsidRPr="001A3D2B">
        <w:t xml:space="preserve">, </w:t>
      </w:r>
      <w:r w:rsidRPr="001A3D2B">
        <w:rPr>
          <w:b/>
        </w:rPr>
        <w:t>89</w:t>
      </w:r>
      <w:r w:rsidRPr="001A3D2B">
        <w:t xml:space="preserve"> (2), 520-525.</w:t>
      </w:r>
    </w:p>
    <w:p w:rsidR="003474F2" w:rsidRPr="001A3D2B" w:rsidRDefault="003474F2" w:rsidP="003474F2">
      <w:pPr>
        <w:pStyle w:val="a3"/>
      </w:pPr>
      <w:r w:rsidRPr="001A3D2B">
        <w:t xml:space="preserve">Full Text: </w:t>
      </w:r>
      <w:hyperlink r:id="rId759" w:history="1">
        <w:r w:rsidRPr="001A3D2B">
          <w:rPr>
            <w:rStyle w:val="a5"/>
          </w:rPr>
          <w:t>1999\Ane Ana89, 520.pdf</w:t>
        </w:r>
      </w:hyperlink>
    </w:p>
    <w:p w:rsidR="003474F2" w:rsidRPr="001A3D2B" w:rsidRDefault="003474F2" w:rsidP="003474F2">
      <w:pPr>
        <w:pStyle w:val="a3"/>
      </w:pPr>
      <w:r w:rsidRPr="001A3D2B">
        <w:t>Abstract: We studied</w:t>
      </w:r>
      <w:r w:rsidR="003A1917">
        <w:t xml:space="preserve"> the </w:t>
      </w:r>
      <w:r w:rsidRPr="001A3D2B">
        <w:t>relative quality</w:t>
      </w:r>
      <w:r w:rsidR="00427468">
        <w:t xml:space="preserve"> of </w:t>
      </w:r>
      <w:r w:rsidRPr="001A3D2B">
        <w:t>a subset</w:t>
      </w:r>
      <w:r w:rsidR="00427468">
        <w:t xml:space="preserve"> of </w:t>
      </w:r>
      <w:r w:rsidRPr="001A3D2B">
        <w:t>anesthesiology</w:t>
      </w:r>
      <w:r w:rsidR="005853A9">
        <w:t xml:space="preserve"> and </w:t>
      </w:r>
      <w:r w:rsidRPr="001A3D2B">
        <w:t>critical care medicine Internet mailing lists regarding</w:t>
      </w:r>
      <w:r w:rsidR="003A1917">
        <w:t xml:space="preserve"> the </w:t>
      </w:r>
      <w:r w:rsidRPr="001A3D2B">
        <w:t>publishing capacity</w:t>
      </w:r>
      <w:r w:rsidR="00427468">
        <w:t xml:space="preserve"> of </w:t>
      </w:r>
      <w:r w:rsidRPr="001A3D2B">
        <w:t>their members to compare them with</w:t>
      </w:r>
      <w:r w:rsidR="003A1917">
        <w:t xml:space="preserve"> the </w:t>
      </w:r>
      <w:r w:rsidRPr="001A3D2B">
        <w:t>major journals</w:t>
      </w:r>
      <w:r w:rsidR="005853A9">
        <w:t xml:space="preserve"> and </w:t>
      </w:r>
      <w:r w:rsidRPr="001A3D2B">
        <w:t xml:space="preserve">conferences regarding these specialties. Using systematic searches on </w:t>
      </w:r>
      <w:r w:rsidR="00D5664A">
        <w:t>MEDLINE</w:t>
      </w:r>
      <w:r w:rsidR="005853A9">
        <w:t xml:space="preserve"> and </w:t>
      </w:r>
      <w:r w:rsidRPr="001A3D2B">
        <w:t>according to</w:t>
      </w:r>
      <w:r w:rsidR="003A1917">
        <w:t xml:space="preserve"> the </w:t>
      </w:r>
      <w:r w:rsidRPr="001A3D2B">
        <w:t>Science Citation Index 1995, we investigated</w:t>
      </w:r>
      <w:r w:rsidR="003A1917">
        <w:t xml:space="preserve"> the </w:t>
      </w:r>
      <w:r w:rsidRPr="001A3D2B">
        <w:t>impact factor</w:t>
      </w:r>
      <w:r w:rsidR="00427468">
        <w:t xml:space="preserve"> of </w:t>
      </w:r>
      <w:r w:rsidRPr="001A3D2B">
        <w:t>mailing list subscribers,</w:t>
      </w:r>
      <w:r w:rsidR="00427468">
        <w:t xml:space="preserve"> of </w:t>
      </w:r>
      <w:r w:rsidR="003A1917">
        <w:t xml:space="preserve">the </w:t>
      </w:r>
      <w:r w:rsidRPr="001A3D2B">
        <w:t>first authors</w:t>
      </w:r>
      <w:r w:rsidR="00427468">
        <w:t xml:space="preserve"> of </w:t>
      </w:r>
      <w:r w:rsidR="003A1917">
        <w:t xml:space="preserve">the </w:t>
      </w:r>
      <w:r w:rsidRPr="001A3D2B">
        <w:t>selected articles,</w:t>
      </w:r>
      <w:r w:rsidR="005853A9">
        <w:t xml:space="preserve"> and</w:t>
      </w:r>
      <w:r w:rsidR="00427468">
        <w:t xml:space="preserve"> of </w:t>
      </w:r>
      <w:r w:rsidR="003A1917">
        <w:t xml:space="preserve">the </w:t>
      </w:r>
      <w:r w:rsidRPr="001A3D2B">
        <w:t>first authors</w:t>
      </w:r>
      <w:r w:rsidR="00427468">
        <w:t xml:space="preserve"> of </w:t>
      </w:r>
      <w:r w:rsidRPr="001A3D2B">
        <w:t>published abstracts from conferences. We studied six mailing lists, seven journals,</w:t>
      </w:r>
      <w:r w:rsidR="005853A9">
        <w:t xml:space="preserve"> and </w:t>
      </w:r>
      <w:r w:rsidRPr="001A3D2B">
        <w:t>four conferences. Journals</w:t>
      </w:r>
      <w:r w:rsidR="005853A9">
        <w:t xml:space="preserve"> and </w:t>
      </w:r>
      <w:r w:rsidRPr="001A3D2B">
        <w:t>conferences showed a higher percentage</w:t>
      </w:r>
      <w:r w:rsidR="00427468">
        <w:t xml:space="preserve"> of </w:t>
      </w:r>
      <w:r w:rsidRPr="001A3D2B">
        <w:t>published authors</w:t>
      </w:r>
      <w:r w:rsidR="005853A9">
        <w:t xml:space="preserve"> and </w:t>
      </w:r>
      <w:r w:rsidRPr="001A3D2B">
        <w:t>higher average impact factor among their first authors than</w:t>
      </w:r>
      <w:r w:rsidR="003A1917">
        <w:t xml:space="preserve"> the </w:t>
      </w:r>
      <w:r w:rsidRPr="001A3D2B">
        <w:t xml:space="preserve">mailing Lists did per </w:t>
      </w:r>
      <w:r w:rsidRPr="001A3D2B">
        <w:lastRenderedPageBreak/>
        <w:t>subscriber. However, when only</w:t>
      </w:r>
      <w:r w:rsidR="003A1917">
        <w:t xml:space="preserve"> the </w:t>
      </w:r>
      <w:r w:rsidRPr="001A3D2B">
        <w:t>subset</w:t>
      </w:r>
      <w:r w:rsidR="00427468">
        <w:t xml:space="preserve"> of </w:t>
      </w:r>
      <w:r w:rsidRPr="001A3D2B">
        <w:t>publishing authors from</w:t>
      </w:r>
      <w:r w:rsidR="003A1917">
        <w:t xml:space="preserve"> the </w:t>
      </w:r>
      <w:r w:rsidRPr="001A3D2B">
        <w:t>three media was considered, no significant differences were found. We conclude that qualified authors may be found among</w:t>
      </w:r>
      <w:r w:rsidR="003A1917">
        <w:t xml:space="preserve"> the </w:t>
      </w:r>
      <w:r w:rsidRPr="001A3D2B">
        <w:t>subscribers</w:t>
      </w:r>
      <w:r w:rsidR="00427468">
        <w:t xml:space="preserve"> of </w:t>
      </w:r>
      <w:r w:rsidRPr="001A3D2B">
        <w:t>Internet medical mailing Lists on anesthesiology</w:t>
      </w:r>
      <w:r w:rsidR="005853A9">
        <w:t xml:space="preserve"> and </w:t>
      </w:r>
      <w:r w:rsidRPr="001A3D2B">
        <w:t>critical care medicine</w:t>
      </w:r>
      <w:r w:rsidR="00A37C1D">
        <w:t>. The</w:t>
      </w:r>
      <w:r w:rsidRPr="001A3D2B">
        <w:t>se professional discussion groups could complement peer-reviewed publications</w:t>
      </w:r>
      <w:r w:rsidR="005853A9">
        <w:t xml:space="preserve"> and </w:t>
      </w:r>
      <w:r w:rsidRPr="001A3D2B">
        <w:t>conferences in professional information exchange</w:t>
      </w:r>
      <w:r w:rsidR="005853A9">
        <w:t xml:space="preserve"> and </w:t>
      </w:r>
      <w:r w:rsidRPr="001A3D2B">
        <w:t>continuing medical education. Implications: Internet publishing is not governed by rules that assure certain basic quality standards. Methods for assessing these standards are needed. We compared discussion groups with medical journals</w:t>
      </w:r>
      <w:r w:rsidR="005853A9">
        <w:t xml:space="preserve"> and </w:t>
      </w:r>
      <w:r w:rsidRPr="001A3D2B">
        <w:t>conferences on anesthesiology</w:t>
      </w:r>
      <w:r w:rsidR="005853A9">
        <w:t xml:space="preserve"> and </w:t>
      </w:r>
      <w:r w:rsidRPr="001A3D2B">
        <w:t>critical care medicine by calculating</w:t>
      </w:r>
      <w:r w:rsidR="003A1917">
        <w:t xml:space="preserve"> the </w:t>
      </w:r>
      <w:r w:rsidRPr="001A3D2B">
        <w:t>impact factor</w:t>
      </w:r>
      <w:r w:rsidR="00427468">
        <w:t xml:space="preserve"> of </w:t>
      </w:r>
      <w:r w:rsidRPr="001A3D2B">
        <w:t>their members</w:t>
      </w:r>
      <w:r w:rsidR="005853A9">
        <w:t xml:space="preserve"> and </w:t>
      </w:r>
      <w:r w:rsidRPr="001A3D2B">
        <w:t>first authors, respectively. Our study shows that qualified authors may be found in all three media.</w:t>
      </w:r>
    </w:p>
    <w:p w:rsidR="003474F2" w:rsidRPr="001A3D2B" w:rsidRDefault="003474F2" w:rsidP="003474F2">
      <w:pPr>
        <w:pStyle w:val="a3"/>
      </w:pPr>
      <w:r w:rsidRPr="001A3D2B">
        <w:t>Keywords: Clinical-Practice Issues, Newly Emerging Legal, Health Information, Journals, Impact, Communication, Pediatrics, Tool</w:t>
      </w:r>
    </w:p>
    <w:p w:rsidR="003474F2" w:rsidRPr="001A3D2B" w:rsidRDefault="003474F2" w:rsidP="003474F2">
      <w:pPr>
        <w:pStyle w:val="a3"/>
      </w:pPr>
      <w:r w:rsidRPr="001A3D2B">
        <w:t>Notes: TTopic</w:t>
      </w:r>
    </w:p>
    <w:p w:rsidR="003474F2" w:rsidRPr="001A3D2B" w:rsidRDefault="003474F2" w:rsidP="003474F2">
      <w:pPr>
        <w:pStyle w:val="a3"/>
      </w:pPr>
      <w:r w:rsidRPr="001A3D2B">
        <w:t>? Strassels, S.A., Carr, D.B., Meldrum, M.</w:t>
      </w:r>
      <w:r w:rsidR="005853A9">
        <w:t xml:space="preserve"> and </w:t>
      </w:r>
      <w:r w:rsidRPr="001A3D2B">
        <w:t>Cousins, M.J. (1999), Toward a canoe</w:t>
      </w:r>
      <w:r w:rsidR="00427468">
        <w:t xml:space="preserve"> of </w:t>
      </w:r>
      <w:r w:rsidR="003A1917">
        <w:t xml:space="preserve">the </w:t>
      </w:r>
      <w:r w:rsidRPr="001A3D2B">
        <w:t>pain</w:t>
      </w:r>
      <w:r w:rsidR="005853A9">
        <w:t xml:space="preserve"> and </w:t>
      </w:r>
      <w:r w:rsidRPr="001A3D2B">
        <w:t xml:space="preserve">analgesia literature: A citation analysis. </w:t>
      </w:r>
      <w:r w:rsidRPr="001A3D2B">
        <w:rPr>
          <w:i/>
          <w:iCs/>
          <w:szCs w:val="27"/>
        </w:rPr>
        <w:t>Anesthesia</w:t>
      </w:r>
      <w:r w:rsidR="005853A9">
        <w:rPr>
          <w:i/>
          <w:iCs/>
          <w:szCs w:val="27"/>
        </w:rPr>
        <w:t xml:space="preserve"> and </w:t>
      </w:r>
      <w:r w:rsidRPr="001A3D2B">
        <w:rPr>
          <w:i/>
          <w:iCs/>
          <w:szCs w:val="27"/>
        </w:rPr>
        <w:t>Analgesia</w:t>
      </w:r>
      <w:r w:rsidRPr="001A3D2B">
        <w:t xml:space="preserve">, </w:t>
      </w:r>
      <w:r w:rsidRPr="001A3D2B">
        <w:rPr>
          <w:b/>
        </w:rPr>
        <w:t>89</w:t>
      </w:r>
      <w:r w:rsidRPr="001A3D2B">
        <w:t xml:space="preserve"> (6), 1528-1533.</w:t>
      </w:r>
    </w:p>
    <w:p w:rsidR="003474F2" w:rsidRPr="001A3D2B" w:rsidRDefault="003474F2" w:rsidP="003474F2">
      <w:pPr>
        <w:pStyle w:val="a3"/>
      </w:pPr>
      <w:r w:rsidRPr="001A3D2B">
        <w:t xml:space="preserve">Full Text: </w:t>
      </w:r>
      <w:hyperlink r:id="rId760" w:history="1">
        <w:r w:rsidRPr="001A3D2B">
          <w:rPr>
            <w:rStyle w:val="a5"/>
          </w:rPr>
          <w:t>1999\Ane Ana89, 1528.pdf</w:t>
        </w:r>
      </w:hyperlink>
    </w:p>
    <w:p w:rsidR="003474F2" w:rsidRPr="001A3D2B" w:rsidRDefault="003474F2" w:rsidP="003474F2">
      <w:pPr>
        <w:pStyle w:val="a3"/>
      </w:pPr>
      <w:r w:rsidRPr="001A3D2B">
        <w:t>Abstract:</w:t>
      </w:r>
      <w:r w:rsidR="003A1917">
        <w:t xml:space="preserve"> the </w:t>
      </w:r>
      <w:r w:rsidRPr="001A3D2B">
        <w:t>purpose</w:t>
      </w:r>
      <w:r w:rsidR="00427468">
        <w:t xml:space="preserve"> of </w:t>
      </w:r>
      <w:r w:rsidRPr="001A3D2B">
        <w:t>this study was to use citation analysis to identify major themes</w:t>
      </w:r>
      <w:r w:rsidR="005853A9">
        <w:t xml:space="preserve"> and </w:t>
      </w:r>
      <w:r w:rsidRPr="001A3D2B">
        <w:t>contributors to</w:t>
      </w:r>
      <w:r w:rsidR="003A1917">
        <w:t xml:space="preserve"> the </w:t>
      </w:r>
      <w:r w:rsidRPr="001A3D2B">
        <w:t>pain</w:t>
      </w:r>
      <w:r w:rsidR="005853A9">
        <w:t xml:space="preserve"> and </w:t>
      </w:r>
      <w:r w:rsidRPr="001A3D2B">
        <w:t>analgesia Literature over</w:t>
      </w:r>
      <w:r w:rsidR="003A1917">
        <w:t xml:space="preserve"> the </w:t>
      </w:r>
      <w:r w:rsidRPr="001A3D2B">
        <w:t>past two decades. A citation analysis was performed on a database</w:t>
      </w:r>
      <w:r w:rsidR="00427468">
        <w:t xml:space="preserve"> of </w:t>
      </w:r>
      <w:r w:rsidRPr="001A3D2B">
        <w:t>more than 110,000 articles in</w:t>
      </w:r>
      <w:r w:rsidR="003A1917">
        <w:t xml:space="preserve"> the </w:t>
      </w:r>
      <w:r w:rsidRPr="001A3D2B">
        <w:t>biomedical literature from January 1981 through June 1997,</w:t>
      </w:r>
      <w:r w:rsidR="005853A9">
        <w:t xml:space="preserve"> and </w:t>
      </w:r>
      <w:r w:rsidRPr="001A3D2B">
        <w:t>in</w:t>
      </w:r>
      <w:r w:rsidR="003A1917">
        <w:t xml:space="preserve"> the </w:t>
      </w:r>
      <w:r w:rsidRPr="001A3D2B">
        <w:t>interval from January 1988 through June 1997. Articles</w:t>
      </w:r>
      <w:r w:rsidR="005853A9">
        <w:t xml:space="preserve"> and </w:t>
      </w:r>
      <w:r w:rsidRPr="001A3D2B">
        <w:t>authors related to pain</w:t>
      </w:r>
      <w:r w:rsidR="005853A9">
        <w:t xml:space="preserve"> and </w:t>
      </w:r>
      <w:r w:rsidRPr="001A3D2B">
        <w:t>analgesia research</w:t>
      </w:r>
      <w:r w:rsidR="005853A9">
        <w:t xml:space="preserve"> and </w:t>
      </w:r>
      <w:r w:rsidRPr="001A3D2B">
        <w:t>practice were identified by searching approximately 7,700 journals</w:t>
      </w:r>
      <w:r w:rsidR="00A37C1D">
        <w:t>. The</w:t>
      </w:r>
      <w:r w:rsidR="003A1917">
        <w:t xml:space="preserve"> </w:t>
      </w:r>
      <w:r w:rsidRPr="001A3D2B">
        <w:t>20 articles</w:t>
      </w:r>
      <w:r w:rsidR="005853A9">
        <w:t xml:space="preserve"> and </w:t>
      </w:r>
      <w:r w:rsidRPr="001A3D2B">
        <w:t>20 authors with</w:t>
      </w:r>
      <w:r w:rsidR="003A1917">
        <w:t xml:space="preserve"> the </w:t>
      </w:r>
      <w:r w:rsidRPr="001A3D2B">
        <w:t>most citations were then checked by hand to ensure relevance to pain or analgesia. Most</w:t>
      </w:r>
      <w:r w:rsidR="00427468">
        <w:t xml:space="preserve"> of </w:t>
      </w:r>
      <w:r w:rsidR="003A1917">
        <w:t xml:space="preserve">the </w:t>
      </w:r>
      <w:r w:rsidRPr="001A3D2B">
        <w:t>high-impact articles identified pertained to research on basic pain pathways. Nearly all</w:t>
      </w:r>
      <w:r w:rsidR="003A1917">
        <w:t xml:space="preserve"> the </w:t>
      </w:r>
      <w:r w:rsidRPr="001A3D2B">
        <w:t>articles concerned opioids, nonsteroidal antiinflammatory drugs,</w:t>
      </w:r>
      <w:r w:rsidR="005853A9">
        <w:t xml:space="preserve"> and </w:t>
      </w:r>
      <w:r w:rsidRPr="001A3D2B">
        <w:t>consequences</w:t>
      </w:r>
      <w:r w:rsidR="00427468">
        <w:t xml:space="preserve"> of </w:t>
      </w:r>
      <w:r w:rsidRPr="001A3D2B">
        <w:t>analgesic use. None</w:t>
      </w:r>
      <w:r w:rsidR="00427468">
        <w:t xml:space="preserve"> of </w:t>
      </w:r>
      <w:r w:rsidR="003A1917">
        <w:t xml:space="preserve">the </w:t>
      </w:r>
      <w:r w:rsidRPr="001A3D2B">
        <w:t>highest-impact articles address assessment</w:t>
      </w:r>
      <w:r w:rsidR="00427468">
        <w:t xml:space="preserve"> of </w:t>
      </w:r>
      <w:r w:rsidRPr="001A3D2B">
        <w:t>clinical pain. Few women were first authors</w:t>
      </w:r>
      <w:r w:rsidR="00427468">
        <w:t xml:space="preserve"> of </w:t>
      </w:r>
      <w:r w:rsidRPr="001A3D2B">
        <w:t>any most frequently cited paper. Citation analysis is a useful tool in identifying important contributions to</w:t>
      </w:r>
      <w:r w:rsidR="003A1917">
        <w:t xml:space="preserve"> the </w:t>
      </w:r>
      <w:r w:rsidRPr="001A3D2B">
        <w:t>biomedical literature. Recent</w:t>
      </w:r>
      <w:r w:rsidR="005853A9">
        <w:t xml:space="preserve"> and </w:t>
      </w:r>
      <w:r w:rsidRPr="001A3D2B">
        <w:t>continuing research trends include</w:t>
      </w:r>
      <w:r w:rsidR="003A1917">
        <w:t xml:space="preserve"> the </w:t>
      </w:r>
      <w:r w:rsidRPr="001A3D2B">
        <w:t>use</w:t>
      </w:r>
      <w:r w:rsidR="00427468">
        <w:t xml:space="preserve"> of </w:t>
      </w:r>
      <w:r w:rsidRPr="001A3D2B">
        <w:t>nonsteroidal antiinflammatory drugs, opioid mechanisms,</w:t>
      </w:r>
      <w:r w:rsidR="005853A9">
        <w:t xml:space="preserve"> and </w:t>
      </w:r>
      <w:r w:rsidRPr="001A3D2B">
        <w:t>persistent pain disorders. Current trends expected to become stronger include description</w:t>
      </w:r>
      <w:r w:rsidR="00427468">
        <w:t xml:space="preserve"> of </w:t>
      </w:r>
      <w:r w:rsidRPr="001A3D2B">
        <w:t>pain from</w:t>
      </w:r>
      <w:r w:rsidR="003A1917">
        <w:t xml:space="preserve"> the </w:t>
      </w:r>
      <w:r w:rsidRPr="001A3D2B">
        <w:t>patient</w:t>
      </w:r>
      <w:r w:rsidR="00700038">
        <w:t>’</w:t>
      </w:r>
      <w:r w:rsidR="00C13DDC">
        <w:t>s</w:t>
      </w:r>
      <w:r w:rsidRPr="001A3D2B">
        <w:t xml:space="preserve"> perspective</w:t>
      </w:r>
      <w:r w:rsidR="005853A9">
        <w:t xml:space="preserve"> and </w:t>
      </w:r>
      <w:r w:rsidRPr="001A3D2B">
        <w:t>mechanisms</w:t>
      </w:r>
      <w:r w:rsidR="00427468">
        <w:t xml:space="preserve"> of </w:t>
      </w:r>
      <w:r w:rsidR="003A1917">
        <w:t xml:space="preserve">the </w:t>
      </w:r>
      <w:r w:rsidRPr="001A3D2B">
        <w:t>transit-ion from acute to chronic pain. Implications: We performed a citation analysis to identify important contributions</w:t>
      </w:r>
      <w:r w:rsidR="005853A9">
        <w:t xml:space="preserve"> and </w:t>
      </w:r>
      <w:r w:rsidRPr="001A3D2B">
        <w:t>contributors to</w:t>
      </w:r>
      <w:r w:rsidR="003A1917">
        <w:t xml:space="preserve"> the </w:t>
      </w:r>
      <w:r w:rsidRPr="001A3D2B">
        <w:t>biomedical literature. Recent pain</w:t>
      </w:r>
      <w:r w:rsidR="005853A9">
        <w:t xml:space="preserve"> and </w:t>
      </w:r>
      <w:r w:rsidRPr="001A3D2B">
        <w:t>analgesia research has been focused on mechanisms</w:t>
      </w:r>
      <w:r w:rsidR="00427468">
        <w:t xml:space="preserve"> of </w:t>
      </w:r>
      <w:r w:rsidRPr="001A3D2B">
        <w:t>pain, but evidence suggests</w:t>
      </w:r>
      <w:r w:rsidR="003A1917">
        <w:t xml:space="preserve"> the </w:t>
      </w:r>
      <w:r w:rsidRPr="001A3D2B">
        <w:t>importance</w:t>
      </w:r>
      <w:r w:rsidR="00427468">
        <w:t xml:space="preserve"> of </w:t>
      </w:r>
      <w:r w:rsidRPr="001A3D2B">
        <w:t>understanding</w:t>
      </w:r>
      <w:r w:rsidR="003A1917">
        <w:t xml:space="preserve"> the </w:t>
      </w:r>
      <w:r w:rsidRPr="001A3D2B">
        <w:t xml:space="preserve">pain experience </w:t>
      </w:r>
      <w:r w:rsidRPr="001A3D2B">
        <w:lastRenderedPageBreak/>
        <w:t>from</w:t>
      </w:r>
      <w:r w:rsidR="003A1917">
        <w:t xml:space="preserve"> the </w:t>
      </w:r>
      <w:r w:rsidRPr="001A3D2B">
        <w:t>patient</w:t>
      </w:r>
      <w:r w:rsidR="00700038">
        <w:t>’</w:t>
      </w:r>
      <w:r w:rsidR="00C13DDC">
        <w:t>s</w:t>
      </w:r>
      <w:r w:rsidRPr="001A3D2B">
        <w:t xml:space="preserve"> perspective</w:t>
      </w:r>
      <w:r w:rsidR="005853A9">
        <w:t xml:space="preserve"> and </w:t>
      </w:r>
      <w:r w:rsidR="003A1917">
        <w:t xml:space="preserve">the </w:t>
      </w:r>
      <w:r w:rsidRPr="001A3D2B">
        <w:t>transition from acute to chronic pain.</w:t>
      </w:r>
    </w:p>
    <w:p w:rsidR="003474F2" w:rsidRPr="001A3D2B" w:rsidRDefault="003474F2" w:rsidP="003474F2">
      <w:pPr>
        <w:pStyle w:val="a3"/>
      </w:pPr>
      <w:r w:rsidRPr="001A3D2B">
        <w:t>Keywords: Analgesia, Analgesic, Analysis, Assessment, Biomedical, Chronic, Chronic Pain, Citation, Citation Analysis, Citations, Clinical, Database, Drugs, Evidence, Experience, First, Interval, Journals, Literature, Mechanisms, Opioid, Opioids, Pain, Pathways, Practice, Purpose, Relevance, Research, Trends, Understanding, Women</w:t>
      </w:r>
    </w:p>
    <w:p w:rsidR="00555844" w:rsidRDefault="00555844" w:rsidP="00555844">
      <w:pPr>
        <w:pStyle w:val="a3"/>
        <w:rPr>
          <w:kern w:val="0"/>
        </w:rPr>
      </w:pPr>
      <w:r>
        <w:rPr>
          <w:rFonts w:hint="eastAsia"/>
          <w:kern w:val="0"/>
        </w:rPr>
        <w:t xml:space="preserve">? </w:t>
      </w:r>
      <w:r>
        <w:rPr>
          <w:kern w:val="0"/>
        </w:rPr>
        <w:t>Wijeysundera, D.N.</w:t>
      </w:r>
      <w:r w:rsidR="005853A9">
        <w:rPr>
          <w:kern w:val="0"/>
        </w:rPr>
        <w:t xml:space="preserve"> and </w:t>
      </w:r>
      <w:r>
        <w:rPr>
          <w:kern w:val="0"/>
        </w:rPr>
        <w:t xml:space="preserve">Beattie, W.S. (2003), Calcium channel blockers for reducing cardiac morbidity after noncardiac surgery: A meta-analysis. </w:t>
      </w:r>
      <w:r>
        <w:rPr>
          <w:i/>
          <w:iCs/>
          <w:kern w:val="0"/>
        </w:rPr>
        <w:t>Anesthesia</w:t>
      </w:r>
      <w:r w:rsidR="005853A9">
        <w:rPr>
          <w:i/>
          <w:iCs/>
          <w:kern w:val="0"/>
        </w:rPr>
        <w:t xml:space="preserve"> and </w:t>
      </w:r>
      <w:r>
        <w:rPr>
          <w:i/>
          <w:iCs/>
          <w:kern w:val="0"/>
        </w:rPr>
        <w:t>Analgesia</w:t>
      </w:r>
      <w:r>
        <w:rPr>
          <w:kern w:val="0"/>
        </w:rPr>
        <w:t xml:space="preserve">, </w:t>
      </w:r>
      <w:r>
        <w:rPr>
          <w:b/>
          <w:bCs/>
          <w:kern w:val="0"/>
        </w:rPr>
        <w:t>97</w:t>
      </w:r>
      <w:r>
        <w:rPr>
          <w:kern w:val="0"/>
        </w:rPr>
        <w:t xml:space="preserve"> (3), 634-641.</w:t>
      </w:r>
    </w:p>
    <w:p w:rsidR="00555844" w:rsidRPr="001A3D2B" w:rsidRDefault="00555844" w:rsidP="00555844">
      <w:pPr>
        <w:pStyle w:val="a3"/>
      </w:pPr>
      <w:r w:rsidRPr="001A3D2B">
        <w:t xml:space="preserve">Full Text: </w:t>
      </w:r>
      <w:hyperlink r:id="rId761" w:history="1">
        <w:r w:rsidRPr="00AB3EAD">
          <w:rPr>
            <w:rStyle w:val="a5"/>
          </w:rPr>
          <w:t>2003\Ane Ana97, 634.pdf</w:t>
        </w:r>
      </w:hyperlink>
    </w:p>
    <w:p w:rsidR="00555844" w:rsidRDefault="00555844" w:rsidP="00555844">
      <w:pPr>
        <w:pStyle w:val="a3"/>
        <w:rPr>
          <w:kern w:val="0"/>
        </w:rPr>
      </w:pPr>
      <w:r>
        <w:rPr>
          <w:kern w:val="0"/>
        </w:rPr>
        <w:t>Abstract: Cardiac complications are</w:t>
      </w:r>
      <w:r w:rsidR="003A1917">
        <w:rPr>
          <w:kern w:val="0"/>
        </w:rPr>
        <w:t xml:space="preserve"> the </w:t>
      </w:r>
      <w:r>
        <w:rPr>
          <w:kern w:val="0"/>
        </w:rPr>
        <w:t>leading cause</w:t>
      </w:r>
      <w:r w:rsidR="00427468">
        <w:rPr>
          <w:kern w:val="0"/>
        </w:rPr>
        <w:t xml:space="preserve"> of </w:t>
      </w:r>
      <w:r>
        <w:rPr>
          <w:kern w:val="0"/>
        </w:rPr>
        <w:t>death after noncardiac surgery. Despite theoretical benefits, calcium channel blockers (CCB) are not widely used in</w:t>
      </w:r>
      <w:r w:rsidR="003A1917">
        <w:rPr>
          <w:kern w:val="0"/>
        </w:rPr>
        <w:t xml:space="preserve"> the </w:t>
      </w:r>
      <w:r>
        <w:rPr>
          <w:kern w:val="0"/>
        </w:rPr>
        <w:t>perioperative setting. This systematic review assessed</w:t>
      </w:r>
      <w:r w:rsidR="003A1917">
        <w:rPr>
          <w:kern w:val="0"/>
        </w:rPr>
        <w:t xml:space="preserve"> the </w:t>
      </w:r>
      <w:r>
        <w:rPr>
          <w:kern w:val="0"/>
        </w:rPr>
        <w:t>efficacy</w:t>
      </w:r>
      <w:r w:rsidR="00427468">
        <w:rPr>
          <w:kern w:val="0"/>
        </w:rPr>
        <w:t xml:space="preserve"> of </w:t>
      </w:r>
      <w:r>
        <w:rPr>
          <w:kern w:val="0"/>
        </w:rPr>
        <w:t xml:space="preserve">CCBs during noncardiac surgery. </w:t>
      </w:r>
      <w:r w:rsidR="00D5664A">
        <w:rPr>
          <w:kern w:val="0"/>
        </w:rPr>
        <w:t>MEDLINE</w:t>
      </w:r>
      <w:r>
        <w:rPr>
          <w:kern w:val="0"/>
        </w:rPr>
        <w:t xml:space="preserve">, EMBASE, Science Citation Index, </w:t>
      </w:r>
      <w:r w:rsidR="002C12F0">
        <w:rPr>
          <w:kern w:val="0"/>
        </w:rPr>
        <w:t>PUBMED</w:t>
      </w:r>
      <w:r>
        <w:rPr>
          <w:kern w:val="0"/>
        </w:rPr>
        <w:t>,</w:t>
      </w:r>
      <w:r w:rsidR="005853A9">
        <w:rPr>
          <w:kern w:val="0"/>
        </w:rPr>
        <w:t xml:space="preserve"> and </w:t>
      </w:r>
      <w:r>
        <w:rPr>
          <w:kern w:val="0"/>
        </w:rPr>
        <w:t>reference lists were searched without language restriction for randomized controlled trials (RCT) evaluating CCBs during noncardiac surgery. Two reviewers independently abstracted data on death, myocardial infarction (MI), ischemia, supraventricular tachyarrhythmia (SVT),</w:t>
      </w:r>
      <w:r w:rsidR="005853A9">
        <w:rPr>
          <w:kern w:val="0"/>
        </w:rPr>
        <w:t xml:space="preserve"> and </w:t>
      </w:r>
      <w:r>
        <w:rPr>
          <w:kern w:val="0"/>
        </w:rPr>
        <w:t>congestive heart failure (CHF). Treatment effects were calculated as relative risks (RR) with 95% confidence intervals (CI). Eleven studies (1007 patients) were included. CCBs significantly reduced ischemia (RR, 0.49; 95% CI, 0.30-0.80; P = 0.004)</w:t>
      </w:r>
      <w:r w:rsidR="005853A9">
        <w:rPr>
          <w:kern w:val="0"/>
        </w:rPr>
        <w:t xml:space="preserve"> and </w:t>
      </w:r>
      <w:r>
        <w:rPr>
          <w:kern w:val="0"/>
        </w:rPr>
        <w:t>SVT (RR, 0.52; 95% CI, 0.37-0.72; P &lt; 0.0001). CCBs were associated with trends towards reduced death</w:t>
      </w:r>
      <w:r w:rsidR="005853A9">
        <w:rPr>
          <w:kern w:val="0"/>
        </w:rPr>
        <w:t xml:space="preserve"> and </w:t>
      </w:r>
      <w:r>
        <w:rPr>
          <w:kern w:val="0"/>
        </w:rPr>
        <w:t>MI. In post hoc analyses, CCBs significantly reduced cleath/Ml (RR, 0.35; 95% CI, 0.15-0.86; P = 0.02)</w:t>
      </w:r>
      <w:r w:rsidR="005853A9">
        <w:rPr>
          <w:kern w:val="0"/>
        </w:rPr>
        <w:t xml:space="preserve"> and </w:t>
      </w:r>
      <w:r>
        <w:rPr>
          <w:kern w:val="0"/>
        </w:rPr>
        <w:t>major morbid events (MME), defined as death, MI, or CHF (RR, 0.39; 95% CI, 0.17-0.89; P = 0.02). In subgroup analyses, diltiazem significantly reduced ischemia, SVT, death/ MI,</w:t>
      </w:r>
      <w:r w:rsidR="005853A9">
        <w:rPr>
          <w:kern w:val="0"/>
        </w:rPr>
        <w:t xml:space="preserve"> and </w:t>
      </w:r>
      <w:r>
        <w:rPr>
          <w:kern w:val="0"/>
        </w:rPr>
        <w:t>MMEs. This meta-analysis shows CCBs significantly reduced ischemia, SVT,</w:t>
      </w:r>
      <w:r w:rsidR="005853A9">
        <w:rPr>
          <w:kern w:val="0"/>
        </w:rPr>
        <w:t xml:space="preserve"> and </w:t>
      </w:r>
      <w:r>
        <w:rPr>
          <w:kern w:val="0"/>
        </w:rPr>
        <w:t>combined end-points in</w:t>
      </w:r>
      <w:r w:rsidR="003A1917">
        <w:rPr>
          <w:kern w:val="0"/>
        </w:rPr>
        <w:t xml:space="preserve"> the </w:t>
      </w:r>
      <w:r>
        <w:rPr>
          <w:kern w:val="0"/>
        </w:rPr>
        <w:t>setting</w:t>
      </w:r>
      <w:r w:rsidR="00427468">
        <w:rPr>
          <w:kern w:val="0"/>
        </w:rPr>
        <w:t xml:space="preserve"> of </w:t>
      </w:r>
      <w:r>
        <w:rPr>
          <w:kern w:val="0"/>
        </w:rPr>
        <w:t>noncardiac surgery</w:t>
      </w:r>
      <w:r w:rsidR="00A37C1D">
        <w:rPr>
          <w:kern w:val="0"/>
        </w:rPr>
        <w:t>. The</w:t>
      </w:r>
      <w:r w:rsidR="003A1917">
        <w:rPr>
          <w:kern w:val="0"/>
        </w:rPr>
        <w:t xml:space="preserve"> </w:t>
      </w:r>
      <w:r>
        <w:rPr>
          <w:kern w:val="0"/>
        </w:rPr>
        <w:t>majority</w:t>
      </w:r>
      <w:r w:rsidR="00427468">
        <w:rPr>
          <w:kern w:val="0"/>
        </w:rPr>
        <w:t xml:space="preserve"> of </w:t>
      </w:r>
      <w:r>
        <w:rPr>
          <w:kern w:val="0"/>
        </w:rPr>
        <w:t>these benefits are attributable to diltiazem, suggesting</w:t>
      </w:r>
      <w:r w:rsidR="003A1917">
        <w:rPr>
          <w:kern w:val="0"/>
        </w:rPr>
        <w:t xml:space="preserve"> the </w:t>
      </w:r>
      <w:r>
        <w:rPr>
          <w:kern w:val="0"/>
        </w:rPr>
        <w:t>need for further evaluation</w:t>
      </w:r>
      <w:r w:rsidR="00427468">
        <w:rPr>
          <w:kern w:val="0"/>
        </w:rPr>
        <w:t xml:space="preserve"> of </w:t>
      </w:r>
      <w:r>
        <w:rPr>
          <w:kern w:val="0"/>
        </w:rPr>
        <w:t>this drug in a large RCT.</w:t>
      </w:r>
    </w:p>
    <w:p w:rsidR="00555844" w:rsidRDefault="00555844" w:rsidP="00555844">
      <w:pPr>
        <w:pStyle w:val="a3"/>
        <w:rPr>
          <w:kern w:val="0"/>
        </w:rPr>
      </w:pPr>
      <w:r>
        <w:rPr>
          <w:kern w:val="0"/>
        </w:rPr>
        <w:t xml:space="preserve">Keywords: Blockade, Calcium, Citation, Diltiazem, Evaluation, Language, </w:t>
      </w:r>
      <w:r w:rsidR="00D5664A">
        <w:rPr>
          <w:kern w:val="0"/>
        </w:rPr>
        <w:t>MEDLINE</w:t>
      </w:r>
      <w:r>
        <w:rPr>
          <w:kern w:val="0"/>
        </w:rPr>
        <w:t>, Meta-Analysis, Mortality, Nifedipine, Postoperative Myocardial-Ischemia, Quality, Randomized Trials, Review, Science, Science Citation Index, Surgery, Systematic Review, Therapy, Trends, Vascular-Surgery, Verapamil</w:t>
      </w:r>
    </w:p>
    <w:p w:rsidR="003474F2" w:rsidRPr="001A3D2B" w:rsidRDefault="003474F2" w:rsidP="003474F2">
      <w:pPr>
        <w:pStyle w:val="a3"/>
      </w:pPr>
      <w:r w:rsidRPr="001A3D2B">
        <w:t>Notes: JJournal</w:t>
      </w:r>
    </w:p>
    <w:p w:rsidR="003474F2" w:rsidRPr="001A3D2B" w:rsidRDefault="003474F2" w:rsidP="003474F2">
      <w:pPr>
        <w:pStyle w:val="a3"/>
      </w:pPr>
      <w:r w:rsidRPr="001A3D2B">
        <w:t>? Baltussen, A.</w:t>
      </w:r>
      <w:r w:rsidR="005853A9">
        <w:t xml:space="preserve"> and </w:t>
      </w:r>
      <w:r w:rsidRPr="001A3D2B">
        <w:t xml:space="preserve">Kindler, C.H. (2004), Citation classics in anesthetic journals. </w:t>
      </w:r>
      <w:r w:rsidRPr="001A3D2B">
        <w:rPr>
          <w:i/>
          <w:iCs/>
        </w:rPr>
        <w:t>Anesthesia</w:t>
      </w:r>
      <w:r w:rsidR="005853A9">
        <w:rPr>
          <w:i/>
          <w:iCs/>
        </w:rPr>
        <w:t xml:space="preserve"> and </w:t>
      </w:r>
      <w:r w:rsidRPr="001A3D2B">
        <w:rPr>
          <w:i/>
          <w:iCs/>
        </w:rPr>
        <w:t>Analgesia</w:t>
      </w:r>
      <w:r w:rsidRPr="001A3D2B">
        <w:t xml:space="preserve">, </w:t>
      </w:r>
      <w:r w:rsidRPr="001A3D2B">
        <w:rPr>
          <w:b/>
          <w:bCs/>
        </w:rPr>
        <w:t>98</w:t>
      </w:r>
      <w:r w:rsidRPr="001A3D2B">
        <w:t xml:space="preserve"> (2), 443-451.</w:t>
      </w:r>
    </w:p>
    <w:p w:rsidR="003474F2" w:rsidRPr="001A3D2B" w:rsidRDefault="003474F2" w:rsidP="003474F2">
      <w:pPr>
        <w:pStyle w:val="a3"/>
      </w:pPr>
      <w:r w:rsidRPr="001A3D2B">
        <w:t xml:space="preserve">Full Text: </w:t>
      </w:r>
      <w:hyperlink r:id="rId762" w:history="1">
        <w:r w:rsidRPr="001A3D2B">
          <w:rPr>
            <w:rStyle w:val="a5"/>
          </w:rPr>
          <w:t>2004\Ane Ana98, 443.pdf</w:t>
        </w:r>
      </w:hyperlink>
    </w:p>
    <w:p w:rsidR="003474F2" w:rsidRPr="001A3D2B" w:rsidRDefault="003474F2" w:rsidP="003474F2">
      <w:pPr>
        <w:pStyle w:val="a3"/>
      </w:pPr>
      <w:r w:rsidRPr="001A3D2B">
        <w:t>Abstract:</w:t>
      </w:r>
      <w:r w:rsidR="003A1917">
        <w:t xml:space="preserve"> the </w:t>
      </w:r>
      <w:r w:rsidRPr="001A3D2B">
        <w:t>number</w:t>
      </w:r>
      <w:r w:rsidR="00427468">
        <w:t xml:space="preserve"> of </w:t>
      </w:r>
      <w:r w:rsidRPr="001A3D2B">
        <w:t>citations an article receives after its publication reflects its recognition in</w:t>
      </w:r>
      <w:r w:rsidR="003A1917">
        <w:t xml:space="preserve"> the </w:t>
      </w:r>
      <w:r w:rsidRPr="001A3D2B">
        <w:t>scientific community. In</w:t>
      </w:r>
      <w:r w:rsidR="003A1917">
        <w:t xml:space="preserve"> the </w:t>
      </w:r>
      <w:r w:rsidRPr="001A3D2B">
        <w:t>present study, therefore, we identified</w:t>
      </w:r>
      <w:r w:rsidR="005853A9">
        <w:t xml:space="preserve"> and </w:t>
      </w:r>
      <w:r w:rsidRPr="001A3D2B">
        <w:t>examined</w:t>
      </w:r>
      <w:r w:rsidR="003A1917">
        <w:t xml:space="preserve"> the </w:t>
      </w:r>
      <w:r w:rsidRPr="001A3D2B">
        <w:t>characteristics</w:t>
      </w:r>
      <w:r w:rsidR="00427468">
        <w:t xml:space="preserve"> of </w:t>
      </w:r>
      <w:r w:rsidR="003A1917">
        <w:t xml:space="preserve">the </w:t>
      </w:r>
      <w:r w:rsidRPr="001A3D2B">
        <w:t xml:space="preserve">top 100 most frequently cited articles </w:t>
      </w:r>
      <w:r w:rsidRPr="001A3D2B">
        <w:lastRenderedPageBreak/>
        <w:t>published in anesthetic journals</w:t>
      </w:r>
      <w:r w:rsidR="00A37C1D">
        <w:t>. The</w:t>
      </w:r>
      <w:r w:rsidRPr="001A3D2B">
        <w:t>se articles were identified using</w:t>
      </w:r>
      <w:r w:rsidR="003A1917">
        <w:t xml:space="preserve"> the </w:t>
      </w:r>
      <w:r w:rsidRPr="001A3D2B">
        <w:t>database</w:t>
      </w:r>
      <w:r w:rsidR="00427468">
        <w:t xml:space="preserve"> of </w:t>
      </w:r>
      <w:r w:rsidR="003A1917">
        <w:t xml:space="preserve">the </w:t>
      </w:r>
      <w:r w:rsidRPr="001A3D2B">
        <w:t>Science Citation Index Expanded (SCI-EXPANDED, 1945 to present)</w:t>
      </w:r>
      <w:r w:rsidR="005853A9">
        <w:t xml:space="preserve"> and </w:t>
      </w:r>
      <w:r w:rsidR="003A1917">
        <w:t xml:space="preserve">the </w:t>
      </w:r>
      <w:r w:rsidR="00D5664A">
        <w:t>Web</w:t>
      </w:r>
      <w:r w:rsidR="00427468">
        <w:t xml:space="preserve"> of </w:t>
      </w:r>
      <w:r w:rsidR="00D5664A">
        <w:t>Science</w:t>
      </w:r>
      <w:r w:rsidRPr="001A3D2B">
        <w:t>(R)</w:t>
      </w:r>
      <w:r w:rsidR="00A37C1D">
        <w:t>. The</w:t>
      </w:r>
      <w:r w:rsidR="003A1917">
        <w:t xml:space="preserve"> </w:t>
      </w:r>
      <w:r w:rsidRPr="001A3D2B">
        <w:t>most-cited article received 707 citations</w:t>
      </w:r>
      <w:r w:rsidR="005853A9">
        <w:t xml:space="preserve"> and </w:t>
      </w:r>
      <w:r w:rsidR="003A1917">
        <w:t xml:space="preserve">the </w:t>
      </w:r>
      <w:r w:rsidRPr="001A3D2B">
        <w:t>least cited article received 197 citations, with a mean</w:t>
      </w:r>
      <w:r w:rsidR="00427468">
        <w:t xml:space="preserve"> of </w:t>
      </w:r>
      <w:r w:rsidRPr="001A3D2B">
        <w:t>283 citations per article</w:t>
      </w:r>
      <w:r w:rsidR="00A37C1D">
        <w:t>. The</w:t>
      </w:r>
      <w:r w:rsidRPr="001A3D2B">
        <w:t>se citation classics were published between 1954</w:t>
      </w:r>
      <w:r w:rsidR="005853A9">
        <w:t xml:space="preserve"> and </w:t>
      </w:r>
      <w:smartTag w:uri="urn:schemas-microsoft-com:office:smarttags" w:element="chmetcnv">
        <w:smartTagPr>
          <w:attr w:name="TCSC" w:val="0"/>
          <w:attr w:name="NumberType" w:val="1"/>
          <w:attr w:name="Negative" w:val="False"/>
          <w:attr w:name="HasSpace" w:val="True"/>
          <w:attr w:name="SourceValue" w:val="1997"/>
          <w:attr w:name="UnitName" w:val="in"/>
        </w:smartTagPr>
        <w:r w:rsidRPr="001A3D2B">
          <w:t>1997 in</w:t>
        </w:r>
      </w:smartTag>
      <w:r w:rsidRPr="001A3D2B">
        <w:t xml:space="preserve"> 5 high-impact anesthetic journals, led by Anesthesiology (73 articles) followed by Anesthesia &amp; Analgesia (10), British Journal</w:t>
      </w:r>
      <w:r w:rsidR="00427468">
        <w:t xml:space="preserve"> of </w:t>
      </w:r>
      <w:r w:rsidRPr="001A3D2B">
        <w:t>Anesthesia (10), Anesthesia (6),</w:t>
      </w:r>
      <w:r w:rsidR="005853A9">
        <w:t xml:space="preserve"> and </w:t>
      </w:r>
      <w:r w:rsidRPr="001A3D2B">
        <w:t>Acta Anaesthesiologica Scandinavica (2). Seventy-eight articles were original publications, 22 were review articles,</w:t>
      </w:r>
      <w:r w:rsidR="005853A9">
        <w:t xml:space="preserve"> and </w:t>
      </w:r>
      <w:r w:rsidRPr="001A3D2B">
        <w:t>one was an editorial</w:t>
      </w:r>
      <w:r w:rsidR="00A37C1D">
        <w:t>. The</w:t>
      </w:r>
      <w:r w:rsidRPr="001A3D2B">
        <w:t>y originated from nine countries, with</w:t>
      </w:r>
      <w:r w:rsidR="003A1917">
        <w:t xml:space="preserve"> the </w:t>
      </w:r>
      <w:r w:rsidRPr="001A3D2B">
        <w:t>United States contributing 70 articles. Within</w:t>
      </w:r>
      <w:r w:rsidR="003A1917">
        <w:t xml:space="preserve"> the </w:t>
      </w:r>
      <w:r w:rsidRPr="001A3D2B">
        <w:t xml:space="preserve">United States, </w:t>
      </w:r>
      <w:smartTag w:uri="urn:schemas-microsoft-com:office:smarttags" w:element="place">
        <w:smartTag w:uri="urn:schemas-microsoft-com:office:smarttags" w:element="State">
          <w:r w:rsidRPr="001A3D2B">
            <w:t>California</w:t>
          </w:r>
        </w:smartTag>
      </w:smartTag>
      <w:r w:rsidRPr="001A3D2B">
        <w:t xml:space="preserve"> leads</w:t>
      </w:r>
      <w:r w:rsidR="003A1917">
        <w:t xml:space="preserve"> the </w:t>
      </w:r>
      <w:r w:rsidRPr="001A3D2B">
        <w:t>list</w:t>
      </w:r>
      <w:r w:rsidR="00427468">
        <w:t xml:space="preserve"> of </w:t>
      </w:r>
      <w:r w:rsidRPr="001A3D2B">
        <w:t>citation classics with 25 articles. Twenty-nine persons authored two or more</w:t>
      </w:r>
      <w:r w:rsidR="00427468">
        <w:t xml:space="preserve"> of </w:t>
      </w:r>
      <w:r w:rsidR="003A1917">
        <w:t xml:space="preserve">the </w:t>
      </w:r>
      <w:r w:rsidRPr="001A3D2B">
        <w:t>top-cited articles</w:t>
      </w:r>
      <w:r w:rsidR="00A37C1D">
        <w:t>. The</w:t>
      </w:r>
      <w:r w:rsidR="003A1917">
        <w:t xml:space="preserve"> </w:t>
      </w:r>
      <w:r w:rsidRPr="001A3D2B">
        <w:t>main topics covered by</w:t>
      </w:r>
      <w:r w:rsidR="003A1917">
        <w:t xml:space="preserve"> the </w:t>
      </w:r>
      <w:r w:rsidRPr="001A3D2B">
        <w:t>top-cited articles are pharmacology, volatile anesthetics, circulation, regional anesthesia,</w:t>
      </w:r>
      <w:r w:rsidR="005853A9">
        <w:t xml:space="preserve"> and </w:t>
      </w:r>
      <w:r w:rsidRPr="001A3D2B">
        <w:t>lung physiology. This analysis</w:t>
      </w:r>
      <w:r w:rsidR="00427468">
        <w:t xml:space="preserve"> of </w:t>
      </w:r>
      <w:r w:rsidRPr="001A3D2B">
        <w:t>citation rates allows for</w:t>
      </w:r>
      <w:r w:rsidR="003A1917">
        <w:t xml:space="preserve"> the </w:t>
      </w:r>
      <w:r w:rsidRPr="001A3D2B">
        <w:t>recognition</w:t>
      </w:r>
      <w:r w:rsidR="00427468">
        <w:t xml:space="preserve"> of </w:t>
      </w:r>
      <w:r w:rsidRPr="001A3D2B">
        <w:t>seminal advances in anesthesia</w:t>
      </w:r>
      <w:r w:rsidR="005853A9">
        <w:t xml:space="preserve"> and </w:t>
      </w:r>
      <w:r w:rsidRPr="001A3D2B">
        <w:t>gives a historic perspective on</w:t>
      </w:r>
      <w:r w:rsidR="003A1917">
        <w:t xml:space="preserve"> the </w:t>
      </w:r>
      <w:r w:rsidRPr="001A3D2B">
        <w:t>scientific progress</w:t>
      </w:r>
      <w:r w:rsidR="00427468">
        <w:t xml:space="preserve"> of </w:t>
      </w:r>
      <w:r w:rsidRPr="001A3D2B">
        <w:t>this specialty.</w:t>
      </w:r>
    </w:p>
    <w:p w:rsidR="003474F2" w:rsidRPr="001A3D2B" w:rsidRDefault="003474F2" w:rsidP="003474F2">
      <w:pPr>
        <w:pStyle w:val="a3"/>
      </w:pPr>
      <w:r w:rsidRPr="001A3D2B">
        <w:t>Keywords: Archives, Impact Factors, Most-Cited Articles, Pain, PCO</w:t>
      </w:r>
      <w:r w:rsidRPr="001A3D2B">
        <w:rPr>
          <w:vertAlign w:val="subscript"/>
        </w:rPr>
        <w:t>2</w:t>
      </w:r>
      <w:r w:rsidRPr="001A3D2B">
        <w:t>, PO</w:t>
      </w:r>
      <w:r w:rsidRPr="001A3D2B">
        <w:rPr>
          <w:vertAlign w:val="subscript"/>
        </w:rPr>
        <w:t>2</w:t>
      </w:r>
      <w:r w:rsidRPr="001A3D2B">
        <w:t>, Temperature, Toxicity</w:t>
      </w:r>
    </w:p>
    <w:p w:rsidR="0062028A" w:rsidRDefault="0062028A" w:rsidP="0062028A">
      <w:pPr>
        <w:pStyle w:val="a3"/>
        <w:rPr>
          <w:kern w:val="0"/>
        </w:rPr>
      </w:pPr>
      <w:r>
        <w:rPr>
          <w:rFonts w:hint="eastAsia"/>
          <w:kern w:val="0"/>
        </w:rPr>
        <w:t xml:space="preserve">? </w:t>
      </w:r>
      <w:r>
        <w:rPr>
          <w:kern w:val="0"/>
        </w:rPr>
        <w:t>Herrera, F.J., Wong, J.</w:t>
      </w:r>
      <w:r w:rsidR="005853A9">
        <w:rPr>
          <w:kern w:val="0"/>
        </w:rPr>
        <w:t xml:space="preserve"> and </w:t>
      </w:r>
      <w:r>
        <w:rPr>
          <w:kern w:val="0"/>
        </w:rPr>
        <w:t>Chung, F. (2007), A systematic review</w:t>
      </w:r>
      <w:r w:rsidR="00427468">
        <w:rPr>
          <w:kern w:val="0"/>
        </w:rPr>
        <w:t xml:space="preserve"> of </w:t>
      </w:r>
      <w:r>
        <w:rPr>
          <w:kern w:val="0"/>
        </w:rPr>
        <w:t xml:space="preserve">postoperative recovery outcomes measurements after ambulatory surgery. </w:t>
      </w:r>
      <w:r>
        <w:rPr>
          <w:i/>
          <w:iCs/>
          <w:kern w:val="0"/>
        </w:rPr>
        <w:t>Anesthesia</w:t>
      </w:r>
      <w:r w:rsidR="005853A9">
        <w:rPr>
          <w:i/>
          <w:iCs/>
          <w:kern w:val="0"/>
        </w:rPr>
        <w:t xml:space="preserve"> and </w:t>
      </w:r>
      <w:r>
        <w:rPr>
          <w:i/>
          <w:iCs/>
          <w:kern w:val="0"/>
        </w:rPr>
        <w:t>Analgesia</w:t>
      </w:r>
      <w:r>
        <w:rPr>
          <w:kern w:val="0"/>
        </w:rPr>
        <w:t xml:space="preserve">, </w:t>
      </w:r>
      <w:r>
        <w:rPr>
          <w:b/>
          <w:bCs/>
          <w:kern w:val="0"/>
        </w:rPr>
        <w:t>105</w:t>
      </w:r>
      <w:r>
        <w:rPr>
          <w:kern w:val="0"/>
        </w:rPr>
        <w:t xml:space="preserve"> (1), 63-69.</w:t>
      </w:r>
    </w:p>
    <w:p w:rsidR="0062028A" w:rsidRDefault="0062028A" w:rsidP="0062028A">
      <w:pPr>
        <w:pStyle w:val="a3"/>
        <w:rPr>
          <w:kern w:val="0"/>
        </w:rPr>
      </w:pPr>
      <w:r>
        <w:rPr>
          <w:kern w:val="0"/>
        </w:rPr>
        <w:t>Abstract: BACKGROUND: Mortality</w:t>
      </w:r>
      <w:r w:rsidR="005853A9">
        <w:rPr>
          <w:kern w:val="0"/>
        </w:rPr>
        <w:t xml:space="preserve"> and </w:t>
      </w:r>
      <w:r>
        <w:rPr>
          <w:kern w:val="0"/>
        </w:rPr>
        <w:t>morbidity in ambulatory surgery are rare,</w:t>
      </w:r>
      <w:r w:rsidR="005853A9">
        <w:rPr>
          <w:kern w:val="0"/>
        </w:rPr>
        <w:t xml:space="preserve"> and </w:t>
      </w:r>
      <w:r>
        <w:rPr>
          <w:kern w:val="0"/>
        </w:rPr>
        <w:t>thus</w:t>
      </w:r>
      <w:r w:rsidR="003A1917">
        <w:rPr>
          <w:kern w:val="0"/>
        </w:rPr>
        <w:t xml:space="preserve"> the </w:t>
      </w:r>
      <w:r>
        <w:rPr>
          <w:kern w:val="0"/>
        </w:rPr>
        <w:t>patient</w:t>
      </w:r>
      <w:r w:rsidR="00700038">
        <w:rPr>
          <w:kern w:val="0"/>
        </w:rPr>
        <w:t>’</w:t>
      </w:r>
      <w:r w:rsidR="00C13DDC">
        <w:rPr>
          <w:kern w:val="0"/>
        </w:rPr>
        <w:t>s</w:t>
      </w:r>
      <w:r>
        <w:rPr>
          <w:kern w:val="0"/>
        </w:rPr>
        <w:t xml:space="preserve"> quality</w:t>
      </w:r>
      <w:r w:rsidR="00427468">
        <w:rPr>
          <w:kern w:val="0"/>
        </w:rPr>
        <w:t xml:space="preserve"> of </w:t>
      </w:r>
      <w:r>
        <w:rPr>
          <w:kern w:val="0"/>
        </w:rPr>
        <w:t>life (i.e.,</w:t>
      </w:r>
      <w:r w:rsidR="003A1917">
        <w:rPr>
          <w:kern w:val="0"/>
        </w:rPr>
        <w:t xml:space="preserve"> the </w:t>
      </w:r>
      <w:r>
        <w:rPr>
          <w:kern w:val="0"/>
        </w:rPr>
        <w:t>ability to resume normal activities after discharge home) should be considered one</w:t>
      </w:r>
      <w:r w:rsidR="00427468">
        <w:rPr>
          <w:kern w:val="0"/>
        </w:rPr>
        <w:t xml:space="preserve"> of </w:t>
      </w:r>
      <w:r w:rsidR="003A1917">
        <w:rPr>
          <w:kern w:val="0"/>
        </w:rPr>
        <w:t xml:space="preserve">the </w:t>
      </w:r>
      <w:r>
        <w:rPr>
          <w:kern w:val="0"/>
        </w:rPr>
        <w:t>principle end-points after ambulatory surgery</w:t>
      </w:r>
      <w:r w:rsidR="005853A9">
        <w:rPr>
          <w:kern w:val="0"/>
        </w:rPr>
        <w:t xml:space="preserve"> and </w:t>
      </w:r>
      <w:r>
        <w:rPr>
          <w:kern w:val="0"/>
        </w:rPr>
        <w:t>anesthesia. We conducted a systematic review</w:t>
      </w:r>
      <w:r w:rsidR="00427468">
        <w:rPr>
          <w:kern w:val="0"/>
        </w:rPr>
        <w:t xml:space="preserve"> of </w:t>
      </w:r>
      <w:r w:rsidR="003A1917">
        <w:rPr>
          <w:kern w:val="0"/>
        </w:rPr>
        <w:t xml:space="preserve">the </w:t>
      </w:r>
      <w:r>
        <w:rPr>
          <w:kern w:val="0"/>
        </w:rPr>
        <w:t>instruments to measure</w:t>
      </w:r>
      <w:r w:rsidR="003A1917">
        <w:rPr>
          <w:kern w:val="0"/>
        </w:rPr>
        <w:t xml:space="preserve"> the </w:t>
      </w:r>
      <w:r>
        <w:rPr>
          <w:kern w:val="0"/>
        </w:rPr>
        <w:t>quality</w:t>
      </w:r>
      <w:r w:rsidR="00427468">
        <w:rPr>
          <w:kern w:val="0"/>
        </w:rPr>
        <w:t xml:space="preserve"> of </w:t>
      </w:r>
      <w:r>
        <w:rPr>
          <w:kern w:val="0"/>
        </w:rPr>
        <w:t>recovery</w:t>
      </w:r>
      <w:r w:rsidR="00427468">
        <w:rPr>
          <w:kern w:val="0"/>
        </w:rPr>
        <w:t xml:space="preserve"> of </w:t>
      </w:r>
      <w:r>
        <w:rPr>
          <w:kern w:val="0"/>
        </w:rPr>
        <w:t>ambulatory surgical patients in order to advise on</w:t>
      </w:r>
      <w:r w:rsidR="003A1917">
        <w:rPr>
          <w:kern w:val="0"/>
        </w:rPr>
        <w:t xml:space="preserve"> the </w:t>
      </w:r>
      <w:r>
        <w:rPr>
          <w:kern w:val="0"/>
        </w:rPr>
        <w:t>selection</w:t>
      </w:r>
      <w:r w:rsidR="00427468">
        <w:rPr>
          <w:kern w:val="0"/>
        </w:rPr>
        <w:t xml:space="preserve"> of </w:t>
      </w:r>
      <w:r>
        <w:rPr>
          <w:kern w:val="0"/>
        </w:rPr>
        <w:t>appropriate measures for research</w:t>
      </w:r>
      <w:r w:rsidR="005853A9">
        <w:rPr>
          <w:kern w:val="0"/>
        </w:rPr>
        <w:t xml:space="preserve"> and </w:t>
      </w:r>
      <w:r>
        <w:rPr>
          <w:kern w:val="0"/>
        </w:rPr>
        <w:t>quality assurance. METHODS: A systematic literature search</w:t>
      </w:r>
      <w:r w:rsidR="00427468">
        <w:rPr>
          <w:kern w:val="0"/>
        </w:rPr>
        <w:t xml:space="preserve"> of </w:t>
      </w:r>
      <w:r w:rsidR="00D5664A">
        <w:rPr>
          <w:kern w:val="0"/>
        </w:rPr>
        <w:t>MEDLINE</w:t>
      </w:r>
      <w:r>
        <w:rPr>
          <w:kern w:val="0"/>
        </w:rPr>
        <w:t xml:space="preserve">, EMBASE, CINAHL, HAPI, PsycINFO, </w:t>
      </w:r>
      <w:r w:rsidR="00D5664A">
        <w:rPr>
          <w:kern w:val="0"/>
        </w:rPr>
        <w:t>Web</w:t>
      </w:r>
      <w:r w:rsidR="00427468">
        <w:rPr>
          <w:kern w:val="0"/>
        </w:rPr>
        <w:t xml:space="preserve"> of </w:t>
      </w:r>
      <w:r w:rsidR="00D5664A">
        <w:rPr>
          <w:kern w:val="0"/>
        </w:rPr>
        <w:t>Science</w:t>
      </w:r>
      <w:r>
        <w:rPr>
          <w:kern w:val="0"/>
        </w:rPr>
        <w:t xml:space="preserve"> Search History, Biosys Previews Search, HealthStar,</w:t>
      </w:r>
      <w:r w:rsidR="005853A9">
        <w:rPr>
          <w:kern w:val="0"/>
        </w:rPr>
        <w:t xml:space="preserve"> and </w:t>
      </w:r>
      <w:r>
        <w:rPr>
          <w:kern w:val="0"/>
        </w:rPr>
        <w:t>ASSIA was performed to identify patient-based outcome measures to assess postoperative recovery from ambulatory anesthesia</w:t>
      </w:r>
      <w:r w:rsidR="00A37C1D">
        <w:rPr>
          <w:kern w:val="0"/>
        </w:rPr>
        <w:t>. The</w:t>
      </w:r>
      <w:r w:rsidR="003A1917">
        <w:rPr>
          <w:kern w:val="0"/>
        </w:rPr>
        <w:t xml:space="preserve"> </w:t>
      </w:r>
      <w:r>
        <w:rPr>
          <w:kern w:val="0"/>
        </w:rPr>
        <w:t>instruments were assessed for eight criteria: appropriateness, reliability, validity, responsiveness, precision, interpretability, acceptability,</w:t>
      </w:r>
      <w:r w:rsidR="005853A9">
        <w:rPr>
          <w:kern w:val="0"/>
        </w:rPr>
        <w:t xml:space="preserve"> and </w:t>
      </w:r>
      <w:r>
        <w:rPr>
          <w:kern w:val="0"/>
        </w:rPr>
        <w:t>feasibility. RESULTS: Seven articles met</w:t>
      </w:r>
      <w:r w:rsidR="003A1917">
        <w:rPr>
          <w:kern w:val="0"/>
        </w:rPr>
        <w:t xml:space="preserve"> the </w:t>
      </w:r>
      <w:r>
        <w:rPr>
          <w:kern w:val="0"/>
        </w:rPr>
        <w:t>inclusion criteria set for</w:t>
      </w:r>
      <w:r w:rsidR="003A1917">
        <w:rPr>
          <w:kern w:val="0"/>
        </w:rPr>
        <w:t xml:space="preserve"> the </w:t>
      </w:r>
      <w:r>
        <w:rPr>
          <w:kern w:val="0"/>
        </w:rPr>
        <w:t>review</w:t>
      </w:r>
      <w:r w:rsidR="00A37C1D">
        <w:rPr>
          <w:kern w:val="0"/>
        </w:rPr>
        <w:t>. The</w:t>
      </w:r>
      <w:r w:rsidR="003A1917">
        <w:rPr>
          <w:kern w:val="0"/>
        </w:rPr>
        <w:t xml:space="preserve"> </w:t>
      </w:r>
      <w:r>
        <w:rPr>
          <w:kern w:val="0"/>
        </w:rPr>
        <w:t>quality</w:t>
      </w:r>
      <w:r w:rsidR="00427468">
        <w:rPr>
          <w:kern w:val="0"/>
        </w:rPr>
        <w:t xml:space="preserve"> of </w:t>
      </w:r>
      <w:r w:rsidR="003A1917">
        <w:rPr>
          <w:kern w:val="0"/>
        </w:rPr>
        <w:t xml:space="preserve">the </w:t>
      </w:r>
      <w:r>
        <w:rPr>
          <w:kern w:val="0"/>
        </w:rPr>
        <w:t>identified instruments was variable. CONCLUSION: Only one instrument, 40-item Quality</w:t>
      </w:r>
      <w:r w:rsidR="00427468">
        <w:rPr>
          <w:kern w:val="0"/>
        </w:rPr>
        <w:t xml:space="preserve"> of </w:t>
      </w:r>
      <w:r>
        <w:rPr>
          <w:kern w:val="0"/>
        </w:rPr>
        <w:t>recovery score, fulfilled all eight criteria, however this instrument was not specifically designed for ambulatory surgery</w:t>
      </w:r>
      <w:r w:rsidR="005853A9">
        <w:rPr>
          <w:kern w:val="0"/>
        </w:rPr>
        <w:t xml:space="preserve"> and </w:t>
      </w:r>
      <w:r>
        <w:rPr>
          <w:kern w:val="0"/>
        </w:rPr>
        <w:t>anesthesia.</w:t>
      </w:r>
    </w:p>
    <w:p w:rsidR="0062028A" w:rsidRDefault="0062028A" w:rsidP="0062028A">
      <w:pPr>
        <w:pStyle w:val="a3"/>
        <w:rPr>
          <w:kern w:val="0"/>
        </w:rPr>
      </w:pPr>
      <w:r>
        <w:rPr>
          <w:kern w:val="0"/>
        </w:rPr>
        <w:t xml:space="preserve">Keywords: Activities, Anesthesia, EMBASE, Endpoints, Feasibility, Health-Status, History, Literature, </w:t>
      </w:r>
      <w:r w:rsidR="00D5664A">
        <w:rPr>
          <w:kern w:val="0"/>
        </w:rPr>
        <w:t>MEDLINE</w:t>
      </w:r>
      <w:r>
        <w:rPr>
          <w:kern w:val="0"/>
        </w:rPr>
        <w:t>, Morbidity, Mortality, Normal, Outcome, Outcomes, Quality, Quality</w:t>
      </w:r>
      <w:r w:rsidR="00427468">
        <w:rPr>
          <w:kern w:val="0"/>
        </w:rPr>
        <w:t xml:space="preserve"> of </w:t>
      </w:r>
      <w:r>
        <w:rPr>
          <w:kern w:val="0"/>
        </w:rPr>
        <w:t>Life, Quality</w:t>
      </w:r>
      <w:r w:rsidR="00434900">
        <w:rPr>
          <w:kern w:val="0"/>
        </w:rPr>
        <w:t>-of-</w:t>
      </w:r>
      <w:r>
        <w:rPr>
          <w:kern w:val="0"/>
        </w:rPr>
        <w:t xml:space="preserve">Life, Reliability, Research, Review, Scales, </w:t>
      </w:r>
      <w:r>
        <w:rPr>
          <w:kern w:val="0"/>
        </w:rPr>
        <w:lastRenderedPageBreak/>
        <w:t xml:space="preserve">Science, Score, Surgery, Surgical, Systematic, Systematic Review, Tool, Validity,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Jankovic, M.P., Kaufmann, M.</w:t>
      </w:r>
      <w:r w:rsidR="005853A9">
        <w:rPr>
          <w:kern w:val="0"/>
        </w:rPr>
        <w:t xml:space="preserve"> and </w:t>
      </w:r>
      <w:r>
        <w:rPr>
          <w:kern w:val="0"/>
        </w:rPr>
        <w:t>Kindler, C.H. (2008), Active research fields in anesthesia: A document co-citation analysis</w:t>
      </w:r>
      <w:r w:rsidR="00427468">
        <w:rPr>
          <w:kern w:val="0"/>
        </w:rPr>
        <w:t xml:space="preserve"> of </w:t>
      </w:r>
      <w:r w:rsidR="003A1917">
        <w:rPr>
          <w:kern w:val="0"/>
        </w:rPr>
        <w:t xml:space="preserve">the </w:t>
      </w:r>
      <w:r>
        <w:rPr>
          <w:kern w:val="0"/>
        </w:rPr>
        <w:t xml:space="preserve">anesthetic literature. </w:t>
      </w:r>
      <w:r>
        <w:rPr>
          <w:i/>
          <w:iCs/>
          <w:kern w:val="0"/>
        </w:rPr>
        <w:t>Anesthesia</w:t>
      </w:r>
      <w:r w:rsidR="005853A9">
        <w:rPr>
          <w:i/>
          <w:iCs/>
          <w:kern w:val="0"/>
        </w:rPr>
        <w:t xml:space="preserve"> and </w:t>
      </w:r>
      <w:r>
        <w:rPr>
          <w:i/>
          <w:iCs/>
          <w:kern w:val="0"/>
        </w:rPr>
        <w:t>Analgesia</w:t>
      </w:r>
      <w:r>
        <w:rPr>
          <w:kern w:val="0"/>
        </w:rPr>
        <w:t xml:space="preserve">, </w:t>
      </w:r>
      <w:r>
        <w:rPr>
          <w:b/>
          <w:bCs/>
          <w:kern w:val="0"/>
        </w:rPr>
        <w:t>106</w:t>
      </w:r>
      <w:r>
        <w:rPr>
          <w:kern w:val="0"/>
        </w:rPr>
        <w:t xml:space="preserve"> (5), 1524-1533.</w:t>
      </w:r>
    </w:p>
    <w:p w:rsidR="006539D9" w:rsidRDefault="006539D9" w:rsidP="0062028A">
      <w:pPr>
        <w:pStyle w:val="a3"/>
        <w:rPr>
          <w:kern w:val="0"/>
        </w:rPr>
      </w:pPr>
      <w:r>
        <w:rPr>
          <w:rFonts w:hint="eastAsia"/>
          <w:kern w:val="0"/>
        </w:rPr>
        <w:t xml:space="preserve">Full Text: </w:t>
      </w:r>
      <w:hyperlink r:id="rId763" w:history="1">
        <w:r w:rsidRPr="006539D9">
          <w:rPr>
            <w:rStyle w:val="a5"/>
            <w:kern w:val="0"/>
          </w:rPr>
          <w:t>2008\Ane Ana106, 1524.pdf</w:t>
        </w:r>
      </w:hyperlink>
    </w:p>
    <w:p w:rsidR="0062028A" w:rsidRDefault="0062028A" w:rsidP="0062028A">
      <w:pPr>
        <w:pStyle w:val="a3"/>
        <w:rPr>
          <w:kern w:val="0"/>
        </w:rPr>
      </w:pPr>
      <w:r>
        <w:rPr>
          <w:kern w:val="0"/>
        </w:rPr>
        <w:t>Abstract: BACKGROUND:</w:t>
      </w:r>
      <w:r w:rsidR="003A1917">
        <w:rPr>
          <w:kern w:val="0"/>
        </w:rPr>
        <w:t xml:space="preserve"> the </w:t>
      </w:r>
      <w:r>
        <w:rPr>
          <w:kern w:val="0"/>
        </w:rPr>
        <w:t>expansion</w:t>
      </w:r>
      <w:r w:rsidR="00427468">
        <w:rPr>
          <w:kern w:val="0"/>
        </w:rPr>
        <w:t xml:space="preserve"> of </w:t>
      </w:r>
      <w:r>
        <w:rPr>
          <w:kern w:val="0"/>
        </w:rPr>
        <w:t>science has resulted in an increased information flow</w:t>
      </w:r>
      <w:r w:rsidR="005853A9">
        <w:rPr>
          <w:kern w:val="0"/>
        </w:rPr>
        <w:t xml:space="preserve"> and </w:t>
      </w:r>
      <w:r>
        <w:rPr>
          <w:kern w:val="0"/>
        </w:rPr>
        <w:t>in an exponentially growing number</w:t>
      </w:r>
      <w:r w:rsidR="00427468">
        <w:rPr>
          <w:kern w:val="0"/>
        </w:rPr>
        <w:t xml:space="preserve"> of </w:t>
      </w:r>
      <w:r>
        <w:rPr>
          <w:kern w:val="0"/>
        </w:rPr>
        <w:t>connections between knowledge in different research fields. In this study, we used methods</w:t>
      </w:r>
      <w:r w:rsidR="00427468">
        <w:rPr>
          <w:kern w:val="0"/>
        </w:rPr>
        <w:t xml:space="preserve"> of </w:t>
      </w:r>
      <w:r>
        <w:rPr>
          <w:kern w:val="0"/>
        </w:rPr>
        <w:t>scientometric analysis to obtain a conceptual network that forms</w:t>
      </w:r>
      <w:r w:rsidR="003A1917">
        <w:rPr>
          <w:kern w:val="0"/>
        </w:rPr>
        <w:t xml:space="preserve"> the </w:t>
      </w:r>
      <w:r>
        <w:rPr>
          <w:kern w:val="0"/>
        </w:rPr>
        <w:t>structure</w:t>
      </w:r>
      <w:r w:rsidR="00427468">
        <w:rPr>
          <w:kern w:val="0"/>
        </w:rPr>
        <w:t xml:space="preserve"> of </w:t>
      </w:r>
      <w:r>
        <w:rPr>
          <w:kern w:val="0"/>
        </w:rPr>
        <w:t>active scientific research fields in anesthesia. METHODS: We extracted from</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(R) (Institute for Scientific Information) all original articles (n = 3275) including their references (n = 79,972) that appeared in 2003 in all 23 journals listed in</w:t>
      </w:r>
      <w:r w:rsidR="003A1917">
        <w:rPr>
          <w:kern w:val="0"/>
        </w:rPr>
        <w:t xml:space="preserve"> the </w:t>
      </w:r>
      <w:r>
        <w:rPr>
          <w:kern w:val="0"/>
        </w:rPr>
        <w:t>Institute for Scientific Information journal Citation Reports</w:t>
      </w:r>
      <w:r w:rsidR="00700038">
        <w:rPr>
          <w:kern w:val="0"/>
        </w:rPr>
        <w:t>’</w:t>
      </w:r>
      <w:r>
        <w:rPr>
          <w:kern w:val="0"/>
        </w:rPr>
        <w:t xml:space="preserve"> under</w:t>
      </w:r>
      <w:r w:rsidR="003A1917">
        <w:rPr>
          <w:kern w:val="0"/>
        </w:rPr>
        <w:t xml:space="preserve"> the </w:t>
      </w:r>
      <w:r>
        <w:rPr>
          <w:kern w:val="0"/>
        </w:rPr>
        <w:t xml:space="preserve">subject heading </w:t>
      </w:r>
      <w:r w:rsidR="00B5188C">
        <w:rPr>
          <w:kern w:val="0"/>
        </w:rPr>
        <w:t>“</w:t>
      </w:r>
      <w:r>
        <w:rPr>
          <w:kern w:val="0"/>
        </w:rPr>
        <w:t>Anesthesiology.</w:t>
      </w:r>
      <w:r w:rsidR="00B5188C">
        <w:rPr>
          <w:kern w:val="0"/>
        </w:rPr>
        <w:t>”</w:t>
      </w:r>
      <w:r>
        <w:rPr>
          <w:kern w:val="0"/>
        </w:rPr>
        <w:t xml:space="preserve"> After identification</w:t>
      </w:r>
      <w:r w:rsidR="00427468">
        <w:rPr>
          <w:kern w:val="0"/>
        </w:rPr>
        <w:t xml:space="preserve"> of </w:t>
      </w:r>
      <w:r>
        <w:rPr>
          <w:kern w:val="0"/>
        </w:rPr>
        <w:t>highly cited references (&gt;= 5), pairs</w:t>
      </w:r>
      <w:r w:rsidR="00427468">
        <w:rPr>
          <w:kern w:val="0"/>
        </w:rPr>
        <w:t xml:space="preserve"> of </w:t>
      </w:r>
      <w:r>
        <w:rPr>
          <w:kern w:val="0"/>
        </w:rPr>
        <w:t>co-cited references were created</w:t>
      </w:r>
      <w:r w:rsidR="005853A9">
        <w:rPr>
          <w:kern w:val="0"/>
        </w:rPr>
        <w:t xml:space="preserve"> and </w:t>
      </w:r>
      <w:r>
        <w:rPr>
          <w:kern w:val="0"/>
        </w:rPr>
        <w:t>grouped into uniformly structured clusters</w:t>
      </w:r>
      <w:r w:rsidR="00427468">
        <w:rPr>
          <w:kern w:val="0"/>
        </w:rPr>
        <w:t xml:space="preserve"> of </w:t>
      </w:r>
      <w:r>
        <w:rPr>
          <w:kern w:val="0"/>
        </w:rPr>
        <w:t>documents using a single linkage</w:t>
      </w:r>
      <w:r w:rsidR="005853A9">
        <w:rPr>
          <w:kern w:val="0"/>
        </w:rPr>
        <w:t xml:space="preserve"> and </w:t>
      </w:r>
      <w:r>
        <w:rPr>
          <w:kern w:val="0"/>
        </w:rPr>
        <w:t>variable level clustering method. In addition, for each such cluster</w:t>
      </w:r>
      <w:r w:rsidR="00427468">
        <w:rPr>
          <w:kern w:val="0"/>
        </w:rPr>
        <w:t xml:space="preserve"> of </w:t>
      </w:r>
      <w:r>
        <w:rPr>
          <w:kern w:val="0"/>
        </w:rPr>
        <w:t>documents, we identified corresponding front papers published in 2003, each</w:t>
      </w:r>
      <w:r w:rsidR="00427468">
        <w:rPr>
          <w:kern w:val="0"/>
        </w:rPr>
        <w:t xml:space="preserve"> of </w:t>
      </w:r>
      <w:r>
        <w:rPr>
          <w:kern w:val="0"/>
        </w:rPr>
        <w:t>which co-cited at least two documents</w:t>
      </w:r>
      <w:r w:rsidR="00427468">
        <w:rPr>
          <w:kern w:val="0"/>
        </w:rPr>
        <w:t xml:space="preserve"> of </w:t>
      </w:r>
      <w:r w:rsidR="003A1917">
        <w:rPr>
          <w:kern w:val="0"/>
        </w:rPr>
        <w:t xml:space="preserve">the </w:t>
      </w:r>
      <w:r>
        <w:rPr>
          <w:kern w:val="0"/>
        </w:rPr>
        <w:t>cluster core. Active anesthetic research fields were then named by examining</w:t>
      </w:r>
      <w:r w:rsidR="003A1917">
        <w:rPr>
          <w:kern w:val="0"/>
        </w:rPr>
        <w:t xml:space="preserve"> the </w:t>
      </w:r>
      <w:r>
        <w:rPr>
          <w:kern w:val="0"/>
        </w:rPr>
        <w:t>titles</w:t>
      </w:r>
      <w:r w:rsidR="00427468">
        <w:rPr>
          <w:kern w:val="0"/>
        </w:rPr>
        <w:t xml:space="preserve"> of </w:t>
      </w:r>
      <w:r w:rsidR="003A1917">
        <w:rPr>
          <w:kern w:val="0"/>
        </w:rPr>
        <w:t xml:space="preserve">the </w:t>
      </w:r>
      <w:r>
        <w:rPr>
          <w:kern w:val="0"/>
        </w:rPr>
        <w:t>documents in both</w:t>
      </w:r>
      <w:r w:rsidR="003A1917">
        <w:rPr>
          <w:kern w:val="0"/>
        </w:rPr>
        <w:t xml:space="preserve"> the </w:t>
      </w:r>
      <w:r>
        <w:rPr>
          <w:kern w:val="0"/>
        </w:rPr>
        <w:t>established clusters</w:t>
      </w:r>
      <w:r w:rsidR="005853A9">
        <w:rPr>
          <w:kern w:val="0"/>
        </w:rPr>
        <w:t xml:space="preserve"> and </w:t>
      </w:r>
      <w:r>
        <w:rPr>
          <w:kern w:val="0"/>
        </w:rPr>
        <w:t>in their corresponding front papers</w:t>
      </w:r>
      <w:r w:rsidR="00A37C1D">
        <w:rPr>
          <w:kern w:val="0"/>
        </w:rPr>
        <w:t>. The</w:t>
      </w:r>
      <w:r>
        <w:rPr>
          <w:kern w:val="0"/>
        </w:rPr>
        <w:t>se research fields were sorted according to</w:t>
      </w:r>
      <w:r w:rsidR="003A1917">
        <w:rPr>
          <w:kern w:val="0"/>
        </w:rPr>
        <w:t xml:space="preserve"> the </w:t>
      </w:r>
      <w:r>
        <w:rPr>
          <w:kern w:val="0"/>
        </w:rPr>
        <w:t>proportion</w:t>
      </w:r>
      <w:r w:rsidR="00427468">
        <w:rPr>
          <w:kern w:val="0"/>
        </w:rPr>
        <w:t xml:space="preserve"> of </w:t>
      </w:r>
      <w:r>
        <w:rPr>
          <w:kern w:val="0"/>
        </w:rPr>
        <w:t>recent documents in their cluster core (immediacy index)</w:t>
      </w:r>
      <w:r w:rsidR="005853A9">
        <w:rPr>
          <w:kern w:val="0"/>
        </w:rPr>
        <w:t xml:space="preserve"> and </w:t>
      </w:r>
      <w:r>
        <w:rPr>
          <w:kern w:val="0"/>
        </w:rPr>
        <w:t>were further analyzed. RESULTS: Forty-six current anesthetic research fields were identified</w:t>
      </w:r>
      <w:r w:rsidR="00A37C1D">
        <w:rPr>
          <w:kern w:val="0"/>
        </w:rPr>
        <w:t>. The</w:t>
      </w:r>
      <w:r w:rsidR="003A1917">
        <w:rPr>
          <w:kern w:val="0"/>
        </w:rPr>
        <w:t xml:space="preserve"> </w:t>
      </w:r>
      <w:r>
        <w:rPr>
          <w:kern w:val="0"/>
        </w:rPr>
        <w:t xml:space="preserve">research field named </w:t>
      </w:r>
      <w:r w:rsidR="00B5188C">
        <w:rPr>
          <w:kern w:val="0"/>
        </w:rPr>
        <w:t>“</w:t>
      </w:r>
      <w:r>
        <w:rPr>
          <w:kern w:val="0"/>
        </w:rPr>
        <w:t>ProSeal laryngeal mask airway</w:t>
      </w:r>
      <w:r w:rsidR="00B5188C">
        <w:rPr>
          <w:kern w:val="0"/>
        </w:rPr>
        <w:t>”</w:t>
      </w:r>
      <w:r>
        <w:rPr>
          <w:kern w:val="0"/>
        </w:rPr>
        <w:t xml:space="preserve"> showed</w:t>
      </w:r>
      <w:r w:rsidR="003A1917">
        <w:rPr>
          <w:kern w:val="0"/>
        </w:rPr>
        <w:t xml:space="preserve"> the </w:t>
      </w:r>
      <w:r>
        <w:rPr>
          <w:kern w:val="0"/>
        </w:rPr>
        <w:t>highest immediacy index (100%) whereas</w:t>
      </w:r>
      <w:r w:rsidR="003A1917">
        <w:rPr>
          <w:kern w:val="0"/>
        </w:rPr>
        <w:t xml:space="preserve"> the </w:t>
      </w:r>
      <w:r>
        <w:rPr>
          <w:kern w:val="0"/>
        </w:rPr>
        <w:t xml:space="preserve">research fields </w:t>
      </w:r>
      <w:r w:rsidR="00B5188C">
        <w:rPr>
          <w:kern w:val="0"/>
        </w:rPr>
        <w:t>“</w:t>
      </w:r>
      <w:r>
        <w:rPr>
          <w:kern w:val="0"/>
        </w:rPr>
        <w:t>Experimental models</w:t>
      </w:r>
      <w:r w:rsidR="00427468">
        <w:rPr>
          <w:kern w:val="0"/>
        </w:rPr>
        <w:t xml:space="preserve"> of </w:t>
      </w:r>
      <w:r>
        <w:rPr>
          <w:kern w:val="0"/>
        </w:rPr>
        <w:t>neuropathic pain</w:t>
      </w:r>
      <w:r w:rsidR="00B5188C">
        <w:rPr>
          <w:kern w:val="0"/>
        </w:rPr>
        <w:t>”</w:t>
      </w:r>
      <w:r w:rsidR="005853A9">
        <w:rPr>
          <w:kern w:val="0"/>
        </w:rPr>
        <w:t xml:space="preserve"> and </w:t>
      </w:r>
      <w:r w:rsidR="00B5188C">
        <w:rPr>
          <w:kern w:val="0"/>
        </w:rPr>
        <w:t>“</w:t>
      </w:r>
      <w:r>
        <w:rPr>
          <w:kern w:val="0"/>
        </w:rPr>
        <w:t>Volatile anesthetic-induced cardioprotection</w:t>
      </w:r>
      <w:r w:rsidR="00B5188C">
        <w:rPr>
          <w:kern w:val="0"/>
        </w:rPr>
        <w:t>”</w:t>
      </w:r>
      <w:r>
        <w:rPr>
          <w:kern w:val="0"/>
        </w:rPr>
        <w:t xml:space="preserve"> exhibited</w:t>
      </w:r>
      <w:r w:rsidR="003A1917">
        <w:rPr>
          <w:kern w:val="0"/>
        </w:rPr>
        <w:t xml:space="preserve"> the </w:t>
      </w:r>
      <w:r>
        <w:rPr>
          <w:kern w:val="0"/>
        </w:rPr>
        <w:t>highest level</w:t>
      </w:r>
      <w:r w:rsidR="00427468">
        <w:rPr>
          <w:kern w:val="0"/>
        </w:rPr>
        <w:t xml:space="preserve"> of </w:t>
      </w:r>
      <w:r>
        <w:rPr>
          <w:kern w:val="0"/>
        </w:rPr>
        <w:t>co-citation strength (level 9)</w:t>
      </w:r>
      <w:r w:rsidR="00A37C1D">
        <w:rPr>
          <w:kern w:val="0"/>
        </w:rPr>
        <w:t>. The</w:t>
      </w:r>
      <w:r w:rsidR="003A1917">
        <w:rPr>
          <w:kern w:val="0"/>
        </w:rPr>
        <w:t xml:space="preserve"> </w:t>
      </w:r>
      <w:r>
        <w:rPr>
          <w:kern w:val="0"/>
        </w:rPr>
        <w:t>research field with</w:t>
      </w:r>
      <w:r w:rsidR="003A1917">
        <w:rPr>
          <w:kern w:val="0"/>
        </w:rPr>
        <w:t xml:space="preserve"> the </w:t>
      </w:r>
      <w:r>
        <w:rPr>
          <w:kern w:val="0"/>
        </w:rPr>
        <w:t xml:space="preserve">largest cluster core, containing 12 homogeneous papers, was </w:t>
      </w:r>
      <w:r w:rsidR="00B5188C">
        <w:rPr>
          <w:kern w:val="0"/>
        </w:rPr>
        <w:t>“</w:t>
      </w:r>
      <w:r>
        <w:rPr>
          <w:kern w:val="0"/>
        </w:rPr>
        <w:t>Postoperative nausea</w:t>
      </w:r>
      <w:r w:rsidR="005853A9">
        <w:rPr>
          <w:kern w:val="0"/>
        </w:rPr>
        <w:t xml:space="preserve"> and </w:t>
      </w:r>
      <w:r>
        <w:rPr>
          <w:kern w:val="0"/>
        </w:rPr>
        <w:t>vomiting.</w:t>
      </w:r>
      <w:r w:rsidR="00B5188C">
        <w:rPr>
          <w:kern w:val="0"/>
        </w:rPr>
        <w:t>”</w:t>
      </w:r>
      <w:r w:rsidR="003A1917">
        <w:rPr>
          <w:kern w:val="0"/>
        </w:rPr>
        <w:t xml:space="preserve"> the </w:t>
      </w:r>
      <w:r>
        <w:rPr>
          <w:kern w:val="0"/>
        </w:rPr>
        <w:t>journal Anesthesia &amp; Analgesia published most front papers while Anesthesiology published most</w:t>
      </w:r>
      <w:r w:rsidR="00427468">
        <w:rPr>
          <w:kern w:val="0"/>
        </w:rPr>
        <w:t xml:space="preserve"> of </w:t>
      </w:r>
      <w:r w:rsidR="003A1917">
        <w:rPr>
          <w:kern w:val="0"/>
        </w:rPr>
        <w:t xml:space="preserve">the </w:t>
      </w:r>
      <w:r>
        <w:rPr>
          <w:kern w:val="0"/>
        </w:rPr>
        <w:t>fundamental documents used as references in</w:t>
      </w:r>
      <w:r w:rsidR="003A1917">
        <w:rPr>
          <w:kern w:val="0"/>
        </w:rPr>
        <w:t xml:space="preserve"> the </w:t>
      </w:r>
      <w:r>
        <w:rPr>
          <w:kern w:val="0"/>
        </w:rPr>
        <w:t>front papers. CONCLUSIONS: Using co-citation analysis, we identified distinct homogenous clusters</w:t>
      </w:r>
      <w:r w:rsidR="00427468">
        <w:rPr>
          <w:kern w:val="0"/>
        </w:rPr>
        <w:t xml:space="preserve"> of </w:t>
      </w:r>
      <w:r>
        <w:rPr>
          <w:kern w:val="0"/>
        </w:rPr>
        <w:t>highly cited documents representing 46 active current anesthetic research fields</w:t>
      </w:r>
      <w:r w:rsidR="005853A9">
        <w:rPr>
          <w:kern w:val="0"/>
        </w:rPr>
        <w:t xml:space="preserve"> and </w:t>
      </w:r>
      <w:r>
        <w:rPr>
          <w:kern w:val="0"/>
        </w:rPr>
        <w:t>determined multiple nets</w:t>
      </w:r>
      <w:r w:rsidR="00427468">
        <w:rPr>
          <w:kern w:val="0"/>
        </w:rPr>
        <w:t xml:space="preserve"> of </w:t>
      </w:r>
      <w:r>
        <w:rPr>
          <w:kern w:val="0"/>
        </w:rPr>
        <w:t>knowledge among them.</w:t>
      </w:r>
    </w:p>
    <w:p w:rsidR="0062028A" w:rsidRDefault="0062028A" w:rsidP="0062028A">
      <w:pPr>
        <w:pStyle w:val="a3"/>
        <w:rPr>
          <w:kern w:val="0"/>
        </w:rPr>
      </w:pPr>
      <w:r>
        <w:rPr>
          <w:kern w:val="0"/>
        </w:rPr>
        <w:t xml:space="preserve">Keywords: Analysis, Anesthesia, Bispectral Index, Citation, Citation Analysis, Co-Citation Analysis, Cocitation, Highly-Cited, Information, Informetrics, Journal, Journals, Knowledge, Literature, Networks, Neuropathic Pain, Papers, Propofol, Rat, Remifentanil, Research, Science, Scientific Information, Scientific Research, Scientometric Analysis, Scientometrics,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lastRenderedPageBreak/>
        <w:t>? Swaminathan, M., Phillips-Bute, B.G.</w:t>
      </w:r>
      <w:r w:rsidR="005853A9">
        <w:t xml:space="preserve"> and </w:t>
      </w:r>
      <w:r w:rsidRPr="001A3D2B">
        <w:t>Grichnik, K.P. (2007), A bibliometric analysis</w:t>
      </w:r>
      <w:r w:rsidR="00427468">
        <w:t xml:space="preserve"> of </w:t>
      </w:r>
      <w:r w:rsidRPr="001A3D2B">
        <w:t xml:space="preserve">global clinical research by anesthesia departments. </w:t>
      </w:r>
      <w:r w:rsidRPr="001A3D2B">
        <w:rPr>
          <w:i/>
          <w:iCs/>
        </w:rPr>
        <w:t>Anesthesia</w:t>
      </w:r>
      <w:r w:rsidR="005853A9">
        <w:rPr>
          <w:i/>
          <w:iCs/>
        </w:rPr>
        <w:t xml:space="preserve"> and </w:t>
      </w:r>
      <w:r w:rsidRPr="001A3D2B">
        <w:rPr>
          <w:i/>
          <w:iCs/>
        </w:rPr>
        <w:t>Analgesia</w:t>
      </w:r>
      <w:r w:rsidRPr="001A3D2B">
        <w:t xml:space="preserve">, </w:t>
      </w:r>
      <w:r w:rsidRPr="001A3D2B">
        <w:rPr>
          <w:b/>
          <w:bCs/>
        </w:rPr>
        <w:t>105</w:t>
      </w:r>
      <w:r w:rsidRPr="001A3D2B">
        <w:t xml:space="preserve"> (6), 1741-1746.</w:t>
      </w:r>
    </w:p>
    <w:p w:rsidR="003474F2" w:rsidRPr="001A3D2B" w:rsidRDefault="003474F2" w:rsidP="003474F2">
      <w:pPr>
        <w:pStyle w:val="a3"/>
      </w:pPr>
      <w:r w:rsidRPr="001A3D2B">
        <w:t xml:space="preserve">Full Text: </w:t>
      </w:r>
      <w:hyperlink r:id="rId764" w:history="1">
        <w:r w:rsidRPr="001A3D2B">
          <w:rPr>
            <w:rStyle w:val="a5"/>
          </w:rPr>
          <w:t>2007\Ane Ana105, 1741.pdf</w:t>
        </w:r>
      </w:hyperlink>
    </w:p>
    <w:p w:rsidR="003474F2" w:rsidRPr="001A3D2B" w:rsidRDefault="003474F2" w:rsidP="003474F2">
      <w:pPr>
        <w:pStyle w:val="a3"/>
      </w:pPr>
      <w:r w:rsidRPr="001A3D2B">
        <w:t>Abstract: BACKGROUND: Few studies have investigated</w:t>
      </w:r>
      <w:r w:rsidR="003A1917">
        <w:t xml:space="preserve"> the </w:t>
      </w:r>
      <w:r w:rsidRPr="001A3D2B">
        <w:t xml:space="preserve">diversity in research conducted by anesthesia-based researchers. We examined global clinical research attributed to anesthesia departments using </w:t>
      </w:r>
      <w:r w:rsidR="00D5664A">
        <w:t>MEDLINE</w:t>
      </w:r>
      <w:r w:rsidRPr="001A3D2B">
        <w:t xml:space="preserve"> (R)</w:t>
      </w:r>
      <w:r w:rsidR="005853A9">
        <w:t xml:space="preserve"> and </w:t>
      </w:r>
      <w:r w:rsidRPr="001A3D2B">
        <w:t>Ovid (R) databases. We also investigated</w:t>
      </w:r>
      <w:r w:rsidR="003A1917">
        <w:t xml:space="preserve"> the </w:t>
      </w:r>
      <w:r w:rsidRPr="001A3D2B">
        <w:t>impact</w:t>
      </w:r>
      <w:r w:rsidR="00427468">
        <w:t xml:space="preserve"> of </w:t>
      </w:r>
      <w:r w:rsidRPr="001A3D2B">
        <w:t xml:space="preserve">economic development on national academic productivity. METHODS: We conducted a </w:t>
      </w:r>
      <w:r w:rsidR="00D5664A">
        <w:t>MEDLINE</w:t>
      </w:r>
      <w:r w:rsidRPr="001A3D2B">
        <w:t xml:space="preserve"> search for English-language publications from 2000 to 2005</w:t>
      </w:r>
      <w:r w:rsidR="00A37C1D">
        <w:t>. The</w:t>
      </w:r>
      <w:r w:rsidR="003A1917">
        <w:t xml:space="preserve"> </w:t>
      </w:r>
      <w:r w:rsidRPr="001A3D2B">
        <w:t>search included only clinical research in which institutional affiliation included words relating to anesthesia (e.g., anesthesiology, anesthesia, etc.). Population</w:t>
      </w:r>
      <w:r w:rsidR="005853A9">
        <w:t xml:space="preserve"> and </w:t>
      </w:r>
      <w:r w:rsidRPr="001A3D2B">
        <w:t>gross national income data were obtained from publicly available databases. Impact factors for journals were obtained from Journal Citation Reports (Thomson Scientific). RESULTS: There were 6736 publications from 64 countries in 551 journals. About 85%</w:t>
      </w:r>
      <w:r w:rsidR="00427468">
        <w:t xml:space="preserve"> of </w:t>
      </w:r>
      <w:r w:rsidRPr="001A3D2B">
        <w:t>all publications were represented by 46 journals. Randomized controlled trials constituted 4685 (70%)</w:t>
      </w:r>
      <w:r w:rsidR="00427468">
        <w:t xml:space="preserve"> of </w:t>
      </w:r>
      <w:r w:rsidRPr="001A3D2B">
        <w:t>publications. Turkey had</w:t>
      </w:r>
      <w:r w:rsidR="003A1917">
        <w:t xml:space="preserve"> the </w:t>
      </w:r>
      <w:r w:rsidRPr="001A3D2B">
        <w:t>highest percentage</w:t>
      </w:r>
      <w:r w:rsidR="00427468">
        <w:t xml:space="preserve"> of </w:t>
      </w:r>
      <w:r w:rsidRPr="001A3D2B">
        <w:t>randomized controlled trials (88%)</w:t>
      </w:r>
      <w:r w:rsidR="00A37C1D">
        <w:t>. The</w:t>
      </w:r>
      <w:r w:rsidR="003A1917">
        <w:t xml:space="preserve"> </w:t>
      </w:r>
      <w:r w:rsidRPr="001A3D2B">
        <w:t>United States led</w:t>
      </w:r>
      <w:r w:rsidR="003A1917">
        <w:t xml:space="preserve"> the </w:t>
      </w:r>
      <w:r w:rsidRPr="001A3D2B">
        <w:t>field in quantity (20%</w:t>
      </w:r>
      <w:r w:rsidR="00427468">
        <w:t xml:space="preserve"> of </w:t>
      </w:r>
      <w:r w:rsidRPr="001A3D2B">
        <w:t>total)</w:t>
      </w:r>
      <w:r w:rsidR="005853A9">
        <w:t xml:space="preserve"> and </w:t>
      </w:r>
      <w:r w:rsidRPr="001A3D2B">
        <w:t>mean impact factor (3.0)</w:t>
      </w:r>
      <w:r w:rsidR="00427468">
        <w:t xml:space="preserve"> of </w:t>
      </w:r>
      <w:r w:rsidRPr="001A3D2B">
        <w:t>publications. Finland had</w:t>
      </w:r>
      <w:r w:rsidR="003A1917">
        <w:t xml:space="preserve"> the </w:t>
      </w:r>
      <w:r w:rsidRPr="001A3D2B">
        <w:t>highest productivity when adjusted for population (36 publications per million population). Publications from</w:t>
      </w:r>
      <w:r w:rsidR="003A1917">
        <w:t xml:space="preserve"> the </w:t>
      </w:r>
      <w:r w:rsidRPr="001A3D2B">
        <w:t>United States declined from 23% in 2000 to 17% in 2005. CONCLUSIONS: Clinical research attributable to investigators in our specialty is diverse,</w:t>
      </w:r>
      <w:r w:rsidR="005853A9">
        <w:t xml:space="preserve"> and </w:t>
      </w:r>
      <w:r w:rsidRPr="001A3D2B">
        <w:t>extends beyond</w:t>
      </w:r>
      <w:r w:rsidR="003A1917">
        <w:t xml:space="preserve"> the </w:t>
      </w:r>
      <w:r w:rsidRPr="001A3D2B">
        <w:t>traditional field</w:t>
      </w:r>
      <w:r w:rsidR="00427468">
        <w:t xml:space="preserve"> of </w:t>
      </w:r>
      <w:r w:rsidRPr="001A3D2B">
        <w:t>anesthesia</w:t>
      </w:r>
      <w:r w:rsidR="005853A9">
        <w:t xml:space="preserve"> and </w:t>
      </w:r>
      <w:r w:rsidRPr="001A3D2B">
        <w:t>intensive care</w:t>
      </w:r>
      <w:r w:rsidR="00A37C1D">
        <w:t>. The</w:t>
      </w:r>
      <w:r w:rsidR="003A1917">
        <w:t xml:space="preserve"> </w:t>
      </w:r>
      <w:r w:rsidRPr="001A3D2B">
        <w:t>United States produces</w:t>
      </w:r>
      <w:r w:rsidR="003A1917">
        <w:t xml:space="preserve"> the </w:t>
      </w:r>
      <w:r w:rsidRPr="001A3D2B">
        <w:t>most clinical research, but per capita output is higher in European nations.</w:t>
      </w:r>
    </w:p>
    <w:p w:rsidR="003474F2" w:rsidRPr="001A3D2B" w:rsidRDefault="003474F2" w:rsidP="003474F2">
      <w:pPr>
        <w:pStyle w:val="a3"/>
      </w:pPr>
      <w:r w:rsidRPr="001A3D2B">
        <w:t>Keywords: Affiliation, Analysis, Anesthesia, Anesthesiology, Background, Bibliometric, Bibliometric Analysis, Care, Clinical, Clinical Research, Data, Databases, Development, Diversity, Economic, Economic Development, Field, Finland, Gross National Income, Impact, Impact Factor, Intensive Care, Journal Citation Reports, Journals, Methods, Nations, Population, Productivity, Publications, Randomized, Randomized Controlled Trials, Research, Specialty, Turkey, United States</w:t>
      </w:r>
    </w:p>
    <w:p w:rsidR="003474F2" w:rsidRPr="001A3D2B" w:rsidRDefault="003474F2" w:rsidP="003474F2">
      <w:pPr>
        <w:pStyle w:val="a3"/>
      </w:pPr>
      <w:r w:rsidRPr="001A3D2B">
        <w:t>? Jankovic, M.P., Kaufmann, M.</w:t>
      </w:r>
      <w:r w:rsidR="005853A9">
        <w:t xml:space="preserve"> and </w:t>
      </w:r>
      <w:r w:rsidRPr="001A3D2B">
        <w:t>Kindler, C.H. (2008), Active research fields in anesthesia: A document co-citation analysis</w:t>
      </w:r>
      <w:r w:rsidR="00427468">
        <w:t xml:space="preserve"> of </w:t>
      </w:r>
      <w:r w:rsidR="003A1917">
        <w:t xml:space="preserve">the </w:t>
      </w:r>
      <w:r w:rsidRPr="001A3D2B">
        <w:t xml:space="preserve">anesthetic literature. </w:t>
      </w:r>
      <w:r w:rsidRPr="001A3D2B">
        <w:rPr>
          <w:i/>
          <w:iCs/>
        </w:rPr>
        <w:t>Anesthesia</w:t>
      </w:r>
      <w:r w:rsidR="005853A9">
        <w:rPr>
          <w:i/>
          <w:iCs/>
        </w:rPr>
        <w:t xml:space="preserve"> and </w:t>
      </w:r>
      <w:r w:rsidRPr="001A3D2B">
        <w:rPr>
          <w:i/>
          <w:iCs/>
        </w:rPr>
        <w:t>Analgesia</w:t>
      </w:r>
      <w:r w:rsidRPr="001A3D2B">
        <w:t xml:space="preserve">, </w:t>
      </w:r>
      <w:r w:rsidRPr="001A3D2B">
        <w:rPr>
          <w:b/>
          <w:bCs/>
        </w:rPr>
        <w:t>106</w:t>
      </w:r>
      <w:r w:rsidRPr="001A3D2B">
        <w:t xml:space="preserve"> (5), 1524-1533.</w:t>
      </w:r>
    </w:p>
    <w:p w:rsidR="003474F2" w:rsidRPr="001A3D2B" w:rsidRDefault="003474F2" w:rsidP="003474F2">
      <w:pPr>
        <w:pStyle w:val="a3"/>
      </w:pPr>
      <w:r w:rsidRPr="001A3D2B">
        <w:t xml:space="preserve">Full Text: </w:t>
      </w:r>
      <w:hyperlink r:id="rId765" w:history="1">
        <w:r w:rsidRPr="001A3D2B">
          <w:rPr>
            <w:rStyle w:val="a5"/>
          </w:rPr>
          <w:t>2008\Ane Ana106, 1524.pdf</w:t>
        </w:r>
      </w:hyperlink>
    </w:p>
    <w:p w:rsidR="003474F2" w:rsidRPr="001A3D2B" w:rsidRDefault="003474F2" w:rsidP="003474F2">
      <w:pPr>
        <w:pStyle w:val="a3"/>
      </w:pPr>
      <w:r w:rsidRPr="001A3D2B">
        <w:t>Abstract: BACKGROUND:</w:t>
      </w:r>
      <w:r w:rsidR="003A1917">
        <w:t xml:space="preserve"> the </w:t>
      </w:r>
      <w:r w:rsidRPr="001A3D2B">
        <w:t>expansion</w:t>
      </w:r>
      <w:r w:rsidR="00427468">
        <w:t xml:space="preserve"> of </w:t>
      </w:r>
      <w:r w:rsidRPr="001A3D2B">
        <w:t>science has resulted in an increased information flow</w:t>
      </w:r>
      <w:r w:rsidR="005853A9">
        <w:t xml:space="preserve"> and </w:t>
      </w:r>
      <w:r w:rsidRPr="001A3D2B">
        <w:t>in an exponentially growing number</w:t>
      </w:r>
      <w:r w:rsidR="00427468">
        <w:t xml:space="preserve"> of </w:t>
      </w:r>
      <w:r w:rsidRPr="001A3D2B">
        <w:t>connections between knowledge in different research fields. In this study, we used methods</w:t>
      </w:r>
      <w:r w:rsidR="00427468">
        <w:t xml:space="preserve"> of </w:t>
      </w:r>
      <w:r w:rsidRPr="001A3D2B">
        <w:t>scientometric analysis to obtain a conceptual network that forms</w:t>
      </w:r>
      <w:r w:rsidR="003A1917">
        <w:t xml:space="preserve"> the </w:t>
      </w:r>
      <w:r w:rsidRPr="001A3D2B">
        <w:t>structure</w:t>
      </w:r>
      <w:r w:rsidR="00427468">
        <w:t xml:space="preserve"> of </w:t>
      </w:r>
      <w:r w:rsidRPr="001A3D2B">
        <w:t>active scientific research fields in anesthesia. METHODS: We extracted from</w:t>
      </w:r>
      <w:r w:rsidR="003A1917">
        <w:t xml:space="preserve"> the </w:t>
      </w:r>
      <w:r w:rsidR="00D5664A">
        <w:lastRenderedPageBreak/>
        <w:t>Web</w:t>
      </w:r>
      <w:r w:rsidR="00427468">
        <w:t xml:space="preserve"> of </w:t>
      </w:r>
      <w:r w:rsidR="00D5664A">
        <w:t>Science</w:t>
      </w:r>
      <w:r w:rsidRPr="001A3D2B">
        <w:t xml:space="preserve"> (R) (Institute for Scientific Information) all original articles (n = 3275) including their references (n = 79,972) that appeared in 2003 in all 23 journals listed in</w:t>
      </w:r>
      <w:r w:rsidR="003A1917">
        <w:t xml:space="preserve"> the </w:t>
      </w:r>
      <w:r w:rsidRPr="001A3D2B">
        <w:t>Institute for Scientific Information journal Citation Reports</w:t>
      </w:r>
      <w:r w:rsidR="00700038">
        <w:t>’</w:t>
      </w:r>
      <w:r w:rsidRPr="001A3D2B">
        <w:t xml:space="preserve"> under</w:t>
      </w:r>
      <w:r w:rsidR="003A1917">
        <w:t xml:space="preserve"> the </w:t>
      </w:r>
      <w:r w:rsidRPr="001A3D2B">
        <w:t xml:space="preserve">subject heading </w:t>
      </w:r>
      <w:r w:rsidR="00B5188C">
        <w:t>“</w:t>
      </w:r>
      <w:r w:rsidRPr="001A3D2B">
        <w:t>Anesthesiology.</w:t>
      </w:r>
      <w:r w:rsidR="00B5188C">
        <w:t>”</w:t>
      </w:r>
      <w:r w:rsidRPr="001A3D2B">
        <w:t xml:space="preserve"> After identification</w:t>
      </w:r>
      <w:r w:rsidR="00427468">
        <w:t xml:space="preserve"> of </w:t>
      </w:r>
      <w:r w:rsidRPr="001A3D2B">
        <w:t>highly cited references (&gt;= 5), pairs</w:t>
      </w:r>
      <w:r w:rsidR="00427468">
        <w:t xml:space="preserve"> of </w:t>
      </w:r>
      <w:r w:rsidRPr="001A3D2B">
        <w:t>co-cited references were created</w:t>
      </w:r>
      <w:r w:rsidR="005853A9">
        <w:t xml:space="preserve"> and </w:t>
      </w:r>
      <w:r w:rsidRPr="001A3D2B">
        <w:t>grouped into uniformly structured clusters</w:t>
      </w:r>
      <w:r w:rsidR="00427468">
        <w:t xml:space="preserve"> of </w:t>
      </w:r>
      <w:r w:rsidRPr="001A3D2B">
        <w:t>documents using a single linkage</w:t>
      </w:r>
      <w:r w:rsidR="005853A9">
        <w:t xml:space="preserve"> and </w:t>
      </w:r>
      <w:r w:rsidRPr="001A3D2B">
        <w:t>variable level clustering method. In addition, for each such cluster</w:t>
      </w:r>
      <w:r w:rsidR="00427468">
        <w:t xml:space="preserve"> of </w:t>
      </w:r>
      <w:r w:rsidRPr="001A3D2B">
        <w:t>documents, we identified corresponding front papers published in 2003, each</w:t>
      </w:r>
      <w:r w:rsidR="00427468">
        <w:t xml:space="preserve"> of </w:t>
      </w:r>
      <w:r w:rsidRPr="001A3D2B">
        <w:t>which co-cited at least two documents</w:t>
      </w:r>
      <w:r w:rsidR="00427468">
        <w:t xml:space="preserve"> of </w:t>
      </w:r>
      <w:r w:rsidR="003A1917">
        <w:t xml:space="preserve">the </w:t>
      </w:r>
      <w:r w:rsidRPr="001A3D2B">
        <w:t>cluster core. Active anesthetic research fields were then named by examining</w:t>
      </w:r>
      <w:r w:rsidR="003A1917">
        <w:t xml:space="preserve"> the </w:t>
      </w:r>
      <w:r w:rsidRPr="001A3D2B">
        <w:t>titles</w:t>
      </w:r>
      <w:r w:rsidR="00427468">
        <w:t xml:space="preserve"> of </w:t>
      </w:r>
      <w:r w:rsidR="003A1917">
        <w:t xml:space="preserve">the </w:t>
      </w:r>
      <w:r w:rsidRPr="001A3D2B">
        <w:t>documents in both</w:t>
      </w:r>
      <w:r w:rsidR="003A1917">
        <w:t xml:space="preserve"> the </w:t>
      </w:r>
      <w:r w:rsidRPr="001A3D2B">
        <w:t>established clusters</w:t>
      </w:r>
      <w:r w:rsidR="005853A9">
        <w:t xml:space="preserve"> and </w:t>
      </w:r>
      <w:r w:rsidRPr="001A3D2B">
        <w:t>in their corresponding front papers</w:t>
      </w:r>
      <w:r w:rsidR="00A37C1D">
        <w:t>. The</w:t>
      </w:r>
      <w:r w:rsidRPr="001A3D2B">
        <w:t>se research fields were sorted according to</w:t>
      </w:r>
      <w:r w:rsidR="003A1917">
        <w:t xml:space="preserve"> the </w:t>
      </w:r>
      <w:r w:rsidRPr="001A3D2B">
        <w:t>proportion</w:t>
      </w:r>
      <w:r w:rsidR="00427468">
        <w:t xml:space="preserve"> of </w:t>
      </w:r>
      <w:r w:rsidRPr="001A3D2B">
        <w:t>recent documents in their cluster core (immediacy index)</w:t>
      </w:r>
      <w:r w:rsidR="005853A9">
        <w:t xml:space="preserve"> and </w:t>
      </w:r>
      <w:r w:rsidRPr="001A3D2B">
        <w:t>were further analyzed. RESULTS: Forty-six current anesthetic research fields were identified</w:t>
      </w:r>
      <w:r w:rsidR="00A37C1D">
        <w:t>. The</w:t>
      </w:r>
      <w:r w:rsidR="003A1917">
        <w:t xml:space="preserve"> </w:t>
      </w:r>
      <w:r w:rsidRPr="001A3D2B">
        <w:t xml:space="preserve">research field named </w:t>
      </w:r>
      <w:r w:rsidR="00B5188C">
        <w:t>“</w:t>
      </w:r>
      <w:r w:rsidRPr="001A3D2B">
        <w:t>ProSeal laryngeal mask airway</w:t>
      </w:r>
      <w:r w:rsidR="00B5188C">
        <w:t>”</w:t>
      </w:r>
      <w:r w:rsidRPr="001A3D2B">
        <w:t xml:space="preserve"> showed</w:t>
      </w:r>
      <w:r w:rsidR="003A1917">
        <w:t xml:space="preserve"> the </w:t>
      </w:r>
      <w:r w:rsidRPr="001A3D2B">
        <w:t>highest immediacy index (100%) whereas</w:t>
      </w:r>
      <w:r w:rsidR="003A1917">
        <w:t xml:space="preserve"> the </w:t>
      </w:r>
      <w:r w:rsidRPr="001A3D2B">
        <w:t xml:space="preserve">research fields </w:t>
      </w:r>
      <w:r w:rsidR="00B5188C">
        <w:t>“</w:t>
      </w:r>
      <w:r w:rsidRPr="001A3D2B">
        <w:t>Experimental models</w:t>
      </w:r>
      <w:r w:rsidR="00427468">
        <w:t xml:space="preserve"> of </w:t>
      </w:r>
      <w:r w:rsidRPr="001A3D2B">
        <w:t>neuropathic pain</w:t>
      </w:r>
      <w:r w:rsidR="00B5188C">
        <w:t>”</w:t>
      </w:r>
      <w:r w:rsidR="005853A9">
        <w:t xml:space="preserve"> and </w:t>
      </w:r>
      <w:r w:rsidR="00B5188C">
        <w:t>“</w:t>
      </w:r>
      <w:r w:rsidRPr="001A3D2B">
        <w:t>Volatile anesthetic-induced cardioprotection</w:t>
      </w:r>
      <w:r w:rsidR="00B5188C">
        <w:t>”</w:t>
      </w:r>
      <w:r w:rsidRPr="001A3D2B">
        <w:t xml:space="preserve"> exhibited</w:t>
      </w:r>
      <w:r w:rsidR="003A1917">
        <w:t xml:space="preserve"> the </w:t>
      </w:r>
      <w:r w:rsidRPr="001A3D2B">
        <w:t>highest level</w:t>
      </w:r>
      <w:r w:rsidR="00427468">
        <w:t xml:space="preserve"> of </w:t>
      </w:r>
      <w:r w:rsidRPr="001A3D2B">
        <w:t>co-citation strength (level 9)</w:t>
      </w:r>
      <w:r w:rsidR="00A37C1D">
        <w:t>. The</w:t>
      </w:r>
      <w:r w:rsidR="003A1917">
        <w:t xml:space="preserve"> </w:t>
      </w:r>
      <w:r w:rsidRPr="001A3D2B">
        <w:t>research field with</w:t>
      </w:r>
      <w:r w:rsidR="003A1917">
        <w:t xml:space="preserve"> the </w:t>
      </w:r>
      <w:r w:rsidRPr="001A3D2B">
        <w:t xml:space="preserve">largest cluster core, containing 12 homogeneous papers, was </w:t>
      </w:r>
      <w:r w:rsidR="00B5188C">
        <w:t>“</w:t>
      </w:r>
      <w:r w:rsidRPr="001A3D2B">
        <w:t>Postoperative nausea</w:t>
      </w:r>
      <w:r w:rsidR="005853A9">
        <w:t xml:space="preserve"> and </w:t>
      </w:r>
      <w:r w:rsidRPr="001A3D2B">
        <w:t>vomiting.</w:t>
      </w:r>
      <w:r w:rsidR="00B5188C">
        <w:t>”</w:t>
      </w:r>
      <w:r w:rsidR="003A1917">
        <w:t xml:space="preserve"> the </w:t>
      </w:r>
      <w:r w:rsidRPr="001A3D2B">
        <w:t>journal Anesthesia &amp; Analgesia published most front papers while Anesthesiology published most</w:t>
      </w:r>
      <w:r w:rsidR="00427468">
        <w:t xml:space="preserve"> of </w:t>
      </w:r>
      <w:r w:rsidR="003A1917">
        <w:t xml:space="preserve">the </w:t>
      </w:r>
      <w:r w:rsidRPr="001A3D2B">
        <w:t>fundamental documents used as references in</w:t>
      </w:r>
      <w:r w:rsidR="003A1917">
        <w:t xml:space="preserve"> the </w:t>
      </w:r>
      <w:r w:rsidRPr="001A3D2B">
        <w:t>front papers. CONCLUSIONS: Using co-citation analysis, we identified distinct homogenous clusters</w:t>
      </w:r>
      <w:r w:rsidR="00427468">
        <w:t xml:space="preserve"> of </w:t>
      </w:r>
      <w:r w:rsidRPr="001A3D2B">
        <w:t>highly cited documents representing 46 active current anesthetic research fields</w:t>
      </w:r>
      <w:r w:rsidR="005853A9">
        <w:t xml:space="preserve"> and </w:t>
      </w:r>
      <w:r w:rsidRPr="001A3D2B">
        <w:t>determined multiple nets</w:t>
      </w:r>
      <w:r w:rsidR="00427468">
        <w:t xml:space="preserve"> of </w:t>
      </w:r>
      <w:r w:rsidRPr="001A3D2B">
        <w:t>knowledge among them.</w:t>
      </w:r>
    </w:p>
    <w:p w:rsidR="003474F2" w:rsidRPr="001A3D2B" w:rsidRDefault="003474F2" w:rsidP="003474F2">
      <w:pPr>
        <w:pStyle w:val="a3"/>
      </w:pPr>
      <w:r w:rsidRPr="001A3D2B">
        <w:t xml:space="preserve">Keywords: Analysis, Anesthesia, Background, Cluster, Clustering, Co-Citation, Co-Citation Analysis, Cocitation, Field, Flow, Identification, Immediacy Index, Index, Information, Institute </w:t>
      </w:r>
      <w:r w:rsidR="002F6CF5" w:rsidRPr="001A3D2B">
        <w:t xml:space="preserve">for </w:t>
      </w:r>
      <w:r w:rsidRPr="001A3D2B">
        <w:t xml:space="preserve">Scientific Information, Journal, Journals, Knowledge, Laryngeal Mask, Linkage, Literature, Methods, Models, Nausea, Network, Neuropathic, Papers, Research, Science, Scientific Research, Scientometric, Strength, Structure, </w:t>
      </w:r>
      <w:r w:rsidR="00D5664A">
        <w:t>Web</w:t>
      </w:r>
      <w:r w:rsidR="00427468">
        <w:t xml:space="preserve"> of </w:t>
      </w:r>
      <w:r w:rsidR="00D5664A">
        <w:t>Science</w:t>
      </w:r>
    </w:p>
    <w:p w:rsidR="003474F2" w:rsidRPr="001A3D2B" w:rsidRDefault="003474F2" w:rsidP="003474F2">
      <w:pPr>
        <w:pStyle w:val="a3"/>
      </w:pPr>
      <w:r w:rsidRPr="001A3D2B">
        <w:t>? Bo, L.L., Li, J.B.</w:t>
      </w:r>
      <w:r w:rsidR="005853A9">
        <w:t xml:space="preserve"> and </w:t>
      </w:r>
      <w:r w:rsidRPr="001A3D2B">
        <w:t>Deng, X.M. (2008</w:t>
      </w:r>
      <w:r w:rsidR="00F42EAC">
        <w:t>), The</w:t>
      </w:r>
      <w:r w:rsidR="003A1917">
        <w:t xml:space="preserve"> </w:t>
      </w:r>
      <w:r w:rsidRPr="001A3D2B">
        <w:t>assessment</w:t>
      </w:r>
      <w:r w:rsidR="00427468">
        <w:t xml:space="preserve"> of </w:t>
      </w:r>
      <w:r w:rsidRPr="001A3D2B">
        <w:t xml:space="preserve">publication quality. </w:t>
      </w:r>
      <w:r w:rsidRPr="001A3D2B">
        <w:rPr>
          <w:i/>
          <w:iCs/>
        </w:rPr>
        <w:t>Anesthesia</w:t>
      </w:r>
      <w:r w:rsidR="005853A9">
        <w:rPr>
          <w:i/>
          <w:iCs/>
        </w:rPr>
        <w:t xml:space="preserve"> and </w:t>
      </w:r>
      <w:r w:rsidRPr="001A3D2B">
        <w:rPr>
          <w:i/>
          <w:iCs/>
        </w:rPr>
        <w:t>Analgesia</w:t>
      </w:r>
      <w:r w:rsidRPr="001A3D2B">
        <w:t xml:space="preserve">, </w:t>
      </w:r>
      <w:r w:rsidRPr="001A3D2B">
        <w:rPr>
          <w:b/>
          <w:bCs/>
        </w:rPr>
        <w:t>106</w:t>
      </w:r>
      <w:r w:rsidRPr="001A3D2B">
        <w:t xml:space="preserve"> (5), 1589-1590</w:t>
      </w:r>
    </w:p>
    <w:p w:rsidR="003474F2" w:rsidRPr="001A3D2B" w:rsidRDefault="003474F2" w:rsidP="003474F2">
      <w:pPr>
        <w:pStyle w:val="a3"/>
      </w:pPr>
      <w:r w:rsidRPr="001A3D2B">
        <w:t xml:space="preserve">Full Text: </w:t>
      </w:r>
      <w:hyperlink r:id="rId766" w:history="1">
        <w:r w:rsidRPr="001A3D2B">
          <w:rPr>
            <w:rStyle w:val="a5"/>
          </w:rPr>
          <w:t>2008\Ane Ana106, 1589.pdf</w:t>
        </w:r>
      </w:hyperlink>
    </w:p>
    <w:p w:rsidR="003474F2" w:rsidRPr="001A3D2B" w:rsidRDefault="003474F2" w:rsidP="003474F2">
      <w:pPr>
        <w:pStyle w:val="a3"/>
      </w:pPr>
      <w:r w:rsidRPr="001A3D2B">
        <w:t>Keywords: Assessment, Publication, Quality</w:t>
      </w:r>
    </w:p>
    <w:p w:rsidR="00454570" w:rsidRPr="001A3D2B" w:rsidRDefault="00454570" w:rsidP="00454570">
      <w:pPr>
        <w:pStyle w:val="a3"/>
        <w:rPr>
          <w:kern w:val="0"/>
        </w:rPr>
      </w:pPr>
      <w:r w:rsidRPr="001A3D2B">
        <w:rPr>
          <w:kern w:val="0"/>
        </w:rPr>
        <w:t>? Ramsdell, R., Lerman, J., Pickhardt, D., Feldman, D., Foster, J.</w:t>
      </w:r>
      <w:r w:rsidR="005853A9">
        <w:rPr>
          <w:kern w:val="0"/>
        </w:rPr>
        <w:t xml:space="preserve"> and </w:t>
      </w:r>
      <w:r w:rsidRPr="001A3D2B">
        <w:rPr>
          <w:kern w:val="0"/>
        </w:rPr>
        <w:t>Houle, T.T. (2009), Subspecialty Impact Factors:</w:t>
      </w:r>
      <w:r w:rsidR="003A1917">
        <w:rPr>
          <w:kern w:val="0"/>
        </w:rPr>
        <w:t xml:space="preserve"> the </w:t>
      </w:r>
      <w:r w:rsidRPr="001A3D2B">
        <w:rPr>
          <w:kern w:val="0"/>
        </w:rPr>
        <w:t>contribution</w:t>
      </w:r>
      <w:r w:rsidR="00427468">
        <w:rPr>
          <w:kern w:val="0"/>
        </w:rPr>
        <w:t xml:space="preserve"> of </w:t>
      </w:r>
      <w:r w:rsidRPr="001A3D2B">
        <w:rPr>
          <w:kern w:val="0"/>
        </w:rPr>
        <w:t>pediatric anesthesia</w:t>
      </w:r>
      <w:r w:rsidR="005853A9">
        <w:rPr>
          <w:kern w:val="0"/>
        </w:rPr>
        <w:t xml:space="preserve"> and </w:t>
      </w:r>
      <w:r w:rsidRPr="001A3D2B">
        <w:rPr>
          <w:kern w:val="0"/>
        </w:rPr>
        <w:t xml:space="preserve">pain articles. </w:t>
      </w:r>
      <w:r w:rsidRPr="001A3D2B">
        <w:rPr>
          <w:i/>
          <w:iCs/>
          <w:kern w:val="0"/>
        </w:rPr>
        <w:t>Anesthesia</w:t>
      </w:r>
      <w:r w:rsidR="005853A9">
        <w:rPr>
          <w:i/>
          <w:iCs/>
          <w:kern w:val="0"/>
        </w:rPr>
        <w:t xml:space="preserve"> and </w:t>
      </w:r>
      <w:r w:rsidRPr="001A3D2B">
        <w:rPr>
          <w:i/>
          <w:iCs/>
          <w:kern w:val="0"/>
        </w:rPr>
        <w:t>Analgesia</w:t>
      </w:r>
      <w:r w:rsidRPr="001A3D2B">
        <w:rPr>
          <w:kern w:val="0"/>
        </w:rPr>
        <w:t xml:space="preserve">, </w:t>
      </w:r>
      <w:r w:rsidRPr="001A3D2B">
        <w:rPr>
          <w:b/>
          <w:bCs/>
          <w:kern w:val="0"/>
        </w:rPr>
        <w:t>108</w:t>
      </w:r>
      <w:r w:rsidRPr="001A3D2B">
        <w:rPr>
          <w:kern w:val="0"/>
        </w:rPr>
        <w:t xml:space="preserve"> (1), 105-110.</w:t>
      </w:r>
    </w:p>
    <w:p w:rsidR="00C4436C" w:rsidRPr="00F219CA" w:rsidRDefault="00C4436C" w:rsidP="00C4436C">
      <w:pPr>
        <w:pStyle w:val="a3"/>
      </w:pPr>
      <w:r w:rsidRPr="00F219CA">
        <w:t xml:space="preserve">Full Text: </w:t>
      </w:r>
      <w:hyperlink r:id="rId767" w:history="1">
        <w:r w:rsidRPr="00413F1D">
          <w:rPr>
            <w:rStyle w:val="a5"/>
          </w:rPr>
          <w:t>2009\Ane Ana108, 105.pdf</w:t>
        </w:r>
      </w:hyperlink>
    </w:p>
    <w:p w:rsidR="00454570" w:rsidRPr="001A3D2B" w:rsidRDefault="00454570" w:rsidP="00454570">
      <w:pPr>
        <w:pStyle w:val="a3"/>
        <w:rPr>
          <w:kern w:val="0"/>
        </w:rPr>
      </w:pPr>
      <w:r w:rsidRPr="001A3D2B">
        <w:rPr>
          <w:kern w:val="0"/>
        </w:rPr>
        <w:t>Abstract: BACKGROUND:</w:t>
      </w:r>
      <w:r w:rsidR="003A1917">
        <w:rPr>
          <w:kern w:val="0"/>
        </w:rPr>
        <w:t xml:space="preserve"> the </w:t>
      </w:r>
      <w:r w:rsidRPr="001A3D2B">
        <w:rPr>
          <w:kern w:val="0"/>
        </w:rPr>
        <w:t xml:space="preserve">Science Citation Index </w:t>
      </w:r>
      <w:r w:rsidR="00B5188C">
        <w:rPr>
          <w:kern w:val="0"/>
        </w:rPr>
        <w:t>“</w:t>
      </w:r>
      <w:r w:rsidRPr="001A3D2B">
        <w:rPr>
          <w:kern w:val="0"/>
        </w:rPr>
        <w:t>Journal Impact Factor</w:t>
      </w:r>
      <w:r w:rsidR="00B5188C">
        <w:rPr>
          <w:kern w:val="0"/>
        </w:rPr>
        <w:t>”</w:t>
      </w:r>
      <w:r w:rsidRPr="001A3D2B">
        <w:rPr>
          <w:kern w:val="0"/>
        </w:rPr>
        <w:t xml:space="preserve"> (JIF) is widely used to assess journal quality</w:t>
      </w:r>
      <w:r w:rsidR="005853A9">
        <w:rPr>
          <w:kern w:val="0"/>
        </w:rPr>
        <w:t xml:space="preserve"> and </w:t>
      </w:r>
      <w:r w:rsidRPr="001A3D2B">
        <w:rPr>
          <w:kern w:val="0"/>
        </w:rPr>
        <w:t>prestige</w:t>
      </w:r>
      <w:r w:rsidR="00A37C1D">
        <w:rPr>
          <w:kern w:val="0"/>
        </w:rPr>
        <w:t>. The</w:t>
      </w:r>
      <w:r w:rsidR="003A1917">
        <w:rPr>
          <w:kern w:val="0"/>
        </w:rPr>
        <w:t xml:space="preserve"> </w:t>
      </w:r>
      <w:r w:rsidRPr="001A3D2B">
        <w:rPr>
          <w:kern w:val="0"/>
        </w:rPr>
        <w:t>JIFs for</w:t>
      </w:r>
      <w:r w:rsidR="003A1917">
        <w:rPr>
          <w:kern w:val="0"/>
        </w:rPr>
        <w:t xml:space="preserve"> the </w:t>
      </w:r>
      <w:r w:rsidRPr="001A3D2B">
        <w:rPr>
          <w:kern w:val="0"/>
        </w:rPr>
        <w:t xml:space="preserve">specialty </w:t>
      </w:r>
      <w:r w:rsidRPr="001A3D2B">
        <w:rPr>
          <w:kern w:val="0"/>
        </w:rPr>
        <w:lastRenderedPageBreak/>
        <w:t>anesthesia are reported annually, however,</w:t>
      </w:r>
      <w:r w:rsidR="003A1917">
        <w:rPr>
          <w:kern w:val="0"/>
        </w:rPr>
        <w:t xml:space="preserve"> the </w:t>
      </w:r>
      <w:r w:rsidRPr="001A3D2B">
        <w:rPr>
          <w:kern w:val="0"/>
        </w:rPr>
        <w:t>impact factors (IFs) for subspecialties in those journals have not been reported</w:t>
      </w:r>
      <w:r w:rsidR="00A37C1D">
        <w:rPr>
          <w:kern w:val="0"/>
        </w:rPr>
        <w:t>. The</w:t>
      </w:r>
      <w:r w:rsidRPr="001A3D2B">
        <w:rPr>
          <w:kern w:val="0"/>
        </w:rPr>
        <w:t>refore, we compared</w:t>
      </w:r>
      <w:r w:rsidR="003A1917">
        <w:rPr>
          <w:kern w:val="0"/>
        </w:rPr>
        <w:t xml:space="preserve"> the </w:t>
      </w:r>
      <w:r w:rsidRPr="001A3D2B">
        <w:rPr>
          <w:kern w:val="0"/>
        </w:rPr>
        <w:t>TFs</w:t>
      </w:r>
      <w:r w:rsidR="00427468">
        <w:rPr>
          <w:kern w:val="0"/>
        </w:rPr>
        <w:t xml:space="preserve"> of </w:t>
      </w:r>
      <w:r w:rsidRPr="001A3D2B">
        <w:rPr>
          <w:kern w:val="0"/>
        </w:rPr>
        <w:t>pediatric anesthesia (Ped IFs)</w:t>
      </w:r>
      <w:r w:rsidR="005853A9">
        <w:rPr>
          <w:kern w:val="0"/>
        </w:rPr>
        <w:t xml:space="preserve"> and </w:t>
      </w:r>
      <w:r w:rsidRPr="001A3D2B">
        <w:rPr>
          <w:kern w:val="0"/>
        </w:rPr>
        <w:t xml:space="preserve">pain (Pain IFs) articles from four anesthesia journals for two epochs. METHODS: An article-by-article manual search for </w:t>
      </w:r>
      <w:r w:rsidR="00B5188C">
        <w:rPr>
          <w:kern w:val="0"/>
        </w:rPr>
        <w:t>“</w:t>
      </w:r>
      <w:r w:rsidRPr="001A3D2B">
        <w:rPr>
          <w:kern w:val="0"/>
        </w:rPr>
        <w:t>source</w:t>
      </w:r>
      <w:r w:rsidR="00B5188C">
        <w:rPr>
          <w:kern w:val="0"/>
        </w:rPr>
        <w:t>”</w:t>
      </w:r>
      <w:r w:rsidRPr="001A3D2B">
        <w:rPr>
          <w:kern w:val="0"/>
        </w:rPr>
        <w:t xml:space="preserve"> pediatric anesthesia</w:t>
      </w:r>
      <w:r w:rsidR="005853A9">
        <w:rPr>
          <w:kern w:val="0"/>
        </w:rPr>
        <w:t xml:space="preserve"> and </w:t>
      </w:r>
      <w:r w:rsidRPr="001A3D2B">
        <w:rPr>
          <w:kern w:val="0"/>
        </w:rPr>
        <w:t>pain articles published in 1998, 1999, 2003,</w:t>
      </w:r>
      <w:r w:rsidR="005853A9">
        <w:rPr>
          <w:kern w:val="0"/>
        </w:rPr>
        <w:t xml:space="preserve"> and </w:t>
      </w:r>
      <w:r w:rsidRPr="001A3D2B">
        <w:rPr>
          <w:kern w:val="0"/>
        </w:rPr>
        <w:t>2004 in Anesthesiology, Anesthesia &amp; Analgesin, British Jounal</w:t>
      </w:r>
      <w:r w:rsidR="00427468">
        <w:rPr>
          <w:kern w:val="0"/>
        </w:rPr>
        <w:t xml:space="preserve"> of </w:t>
      </w:r>
      <w:r w:rsidRPr="001A3D2B">
        <w:rPr>
          <w:kern w:val="0"/>
        </w:rPr>
        <w:t>Anaesthesia,</w:t>
      </w:r>
      <w:r w:rsidR="005853A9">
        <w:rPr>
          <w:kern w:val="0"/>
        </w:rPr>
        <w:t xml:space="preserve"> and </w:t>
      </w:r>
      <w:r w:rsidRPr="001A3D2B">
        <w:rPr>
          <w:kern w:val="0"/>
        </w:rPr>
        <w:t>Canadian Journal</w:t>
      </w:r>
      <w:r w:rsidR="00427468">
        <w:rPr>
          <w:kern w:val="0"/>
        </w:rPr>
        <w:t xml:space="preserve"> of </w:t>
      </w:r>
      <w:r w:rsidRPr="001A3D2B">
        <w:rPr>
          <w:kern w:val="0"/>
        </w:rPr>
        <w:t>Anesthesia was performed</w:t>
      </w:r>
      <w:r w:rsidR="00A37C1D">
        <w:rPr>
          <w:kern w:val="0"/>
        </w:rPr>
        <w:t>. The</w:t>
      </w:r>
      <w:r w:rsidR="003A1917">
        <w:rPr>
          <w:kern w:val="0"/>
        </w:rPr>
        <w:t xml:space="preserve"> </w:t>
      </w:r>
      <w:r w:rsidRPr="001A3D2B">
        <w:rPr>
          <w:kern w:val="0"/>
        </w:rPr>
        <w:t>citations for each</w:t>
      </w:r>
      <w:r w:rsidR="00427468">
        <w:rPr>
          <w:kern w:val="0"/>
        </w:rPr>
        <w:t xml:space="preserve"> of </w:t>
      </w:r>
      <w:r w:rsidRPr="001A3D2B">
        <w:rPr>
          <w:kern w:val="0"/>
        </w:rPr>
        <w:t>these articles in each</w:t>
      </w:r>
      <w:r w:rsidR="00427468">
        <w:rPr>
          <w:kern w:val="0"/>
        </w:rPr>
        <w:t xml:space="preserve"> of </w:t>
      </w:r>
      <w:r w:rsidR="003A1917">
        <w:rPr>
          <w:kern w:val="0"/>
        </w:rPr>
        <w:t xml:space="preserve">the </w:t>
      </w:r>
      <w:r w:rsidRPr="001A3D2B">
        <w:rPr>
          <w:kern w:val="0"/>
        </w:rPr>
        <w:t>years were surveyed in</w:t>
      </w:r>
      <w:r w:rsidR="003A1917">
        <w:rPr>
          <w:kern w:val="0"/>
        </w:rPr>
        <w:t xml:space="preserve"> the </w:t>
      </w:r>
      <w:r w:rsidR="00730B6D">
        <w:rPr>
          <w:kern w:val="0"/>
        </w:rPr>
        <w:t xml:space="preserve">ISI </w:t>
      </w:r>
      <w:r w:rsidR="00D5664A">
        <w:rPr>
          <w:kern w:val="0"/>
        </w:rPr>
        <w:t>Web</w:t>
      </w:r>
      <w:r w:rsidR="00427468">
        <w:rPr>
          <w:kern w:val="0"/>
        </w:rPr>
        <w:t xml:space="preserve"> of </w:t>
      </w:r>
      <w:r w:rsidR="00D5664A">
        <w:rPr>
          <w:kern w:val="0"/>
        </w:rPr>
        <w:t>Science</w:t>
      </w:r>
      <w:r w:rsidRPr="001A3D2B">
        <w:rPr>
          <w:kern w:val="0"/>
        </w:rPr>
        <w:t xml:space="preserve"> database. Ped IFs</w:t>
      </w:r>
      <w:r w:rsidR="005853A9">
        <w:rPr>
          <w:kern w:val="0"/>
        </w:rPr>
        <w:t xml:space="preserve"> and </w:t>
      </w:r>
      <w:r w:rsidRPr="001A3D2B">
        <w:rPr>
          <w:kern w:val="0"/>
        </w:rPr>
        <w:t>Pain IFs for</w:t>
      </w:r>
      <w:r w:rsidR="003A1917">
        <w:rPr>
          <w:kern w:val="0"/>
        </w:rPr>
        <w:t xml:space="preserve"> the </w:t>
      </w:r>
      <w:r w:rsidRPr="001A3D2B">
        <w:rPr>
          <w:kern w:val="0"/>
        </w:rPr>
        <w:t>2000</w:t>
      </w:r>
      <w:r w:rsidR="005853A9">
        <w:rPr>
          <w:kern w:val="0"/>
        </w:rPr>
        <w:t xml:space="preserve"> and </w:t>
      </w:r>
      <w:r w:rsidRPr="001A3D2B">
        <w:rPr>
          <w:kern w:val="0"/>
        </w:rPr>
        <w:t>2005 epochs were calculated</w:t>
      </w:r>
      <w:r w:rsidR="005853A9">
        <w:rPr>
          <w:kern w:val="0"/>
        </w:rPr>
        <w:t xml:space="preserve"> and </w:t>
      </w:r>
      <w:r w:rsidRPr="001A3D2B">
        <w:rPr>
          <w:kern w:val="0"/>
        </w:rPr>
        <w:t>compared with</w:t>
      </w:r>
      <w:r w:rsidR="003A1917">
        <w:rPr>
          <w:kern w:val="0"/>
        </w:rPr>
        <w:t xml:space="preserve"> the </w:t>
      </w:r>
      <w:r w:rsidRPr="001A3D2B">
        <w:rPr>
          <w:kern w:val="0"/>
        </w:rPr>
        <w:t>JIF from which they were derived</w:t>
      </w:r>
      <w:r w:rsidR="005853A9">
        <w:rPr>
          <w:kern w:val="0"/>
        </w:rPr>
        <w:t xml:space="preserve"> and </w:t>
      </w:r>
      <w:r w:rsidRPr="001A3D2B">
        <w:rPr>
          <w:kern w:val="0"/>
        </w:rPr>
        <w:t>to those</w:t>
      </w:r>
      <w:r w:rsidR="00427468">
        <w:rPr>
          <w:kern w:val="0"/>
        </w:rPr>
        <w:t xml:space="preserve"> of </w:t>
      </w:r>
      <w:r w:rsidR="003A1917">
        <w:rPr>
          <w:kern w:val="0"/>
        </w:rPr>
        <w:t xml:space="preserve">the </w:t>
      </w:r>
      <w:r w:rsidRPr="001A3D2B">
        <w:rPr>
          <w:kern w:val="0"/>
        </w:rPr>
        <w:t>journal, Pediatric Anesthesia. RESULTS: Ped IFs for</w:t>
      </w:r>
      <w:r w:rsidR="003A1917">
        <w:rPr>
          <w:kern w:val="0"/>
        </w:rPr>
        <w:t xml:space="preserve"> the </w:t>
      </w:r>
      <w:r w:rsidRPr="001A3D2B">
        <w:rPr>
          <w:kern w:val="0"/>
        </w:rPr>
        <w:t>four journals in 2005 exceeded those in 2000, whereas</w:t>
      </w:r>
      <w:r w:rsidR="003A1917">
        <w:rPr>
          <w:kern w:val="0"/>
        </w:rPr>
        <w:t xml:space="preserve"> the </w:t>
      </w:r>
      <w:r w:rsidRPr="001A3D2B">
        <w:rPr>
          <w:kern w:val="0"/>
        </w:rPr>
        <w:t>Pain IFs were unchanged. For both</w:t>
      </w:r>
      <w:r w:rsidR="003A1917">
        <w:rPr>
          <w:kern w:val="0"/>
        </w:rPr>
        <w:t xml:space="preserve"> the </w:t>
      </w:r>
      <w:r w:rsidRPr="001A3D2B">
        <w:rPr>
          <w:kern w:val="0"/>
        </w:rPr>
        <w:t>Ped IFs</w:t>
      </w:r>
      <w:r w:rsidR="005853A9">
        <w:rPr>
          <w:kern w:val="0"/>
        </w:rPr>
        <w:t xml:space="preserve"> and </w:t>
      </w:r>
      <w:r w:rsidR="003A1917">
        <w:rPr>
          <w:kern w:val="0"/>
        </w:rPr>
        <w:t xml:space="preserve">the </w:t>
      </w:r>
      <w:r w:rsidRPr="001A3D2B">
        <w:rPr>
          <w:kern w:val="0"/>
        </w:rPr>
        <w:t>Pain IFS, there was a significant effect</w:t>
      </w:r>
      <w:r w:rsidR="00427468">
        <w:rPr>
          <w:kern w:val="0"/>
        </w:rPr>
        <w:t xml:space="preserve"> of </w:t>
      </w:r>
      <w:r w:rsidR="003A1917">
        <w:rPr>
          <w:kern w:val="0"/>
        </w:rPr>
        <w:t xml:space="preserve">the </w:t>
      </w:r>
      <w:r w:rsidRPr="001A3D2B">
        <w:rPr>
          <w:kern w:val="0"/>
        </w:rPr>
        <w:t>journal</w:t>
      </w:r>
      <w:r w:rsidR="00A37C1D">
        <w:rPr>
          <w:kern w:val="0"/>
        </w:rPr>
        <w:t>. The</w:t>
      </w:r>
      <w:r w:rsidR="003A1917">
        <w:rPr>
          <w:kern w:val="0"/>
        </w:rPr>
        <w:t xml:space="preserve"> </w:t>
      </w:r>
      <w:r w:rsidRPr="001A3D2B">
        <w:rPr>
          <w:kern w:val="0"/>
        </w:rPr>
        <w:t>Pain IFs were 70%, greater than</w:t>
      </w:r>
      <w:r w:rsidR="003A1917">
        <w:rPr>
          <w:kern w:val="0"/>
        </w:rPr>
        <w:t xml:space="preserve"> the </w:t>
      </w:r>
      <w:r w:rsidRPr="001A3D2B">
        <w:rPr>
          <w:kern w:val="0"/>
        </w:rPr>
        <w:t>Ped IFs. CONCLUSIONS: Ped IFs were consistently less than</w:t>
      </w:r>
      <w:r w:rsidR="003A1917">
        <w:rPr>
          <w:kern w:val="0"/>
        </w:rPr>
        <w:t xml:space="preserve"> the </w:t>
      </w:r>
      <w:r w:rsidRPr="001A3D2B">
        <w:rPr>
          <w:kern w:val="0"/>
        </w:rPr>
        <w:t>JIFs in which they were published</w:t>
      </w:r>
      <w:r w:rsidR="005853A9">
        <w:rPr>
          <w:kern w:val="0"/>
        </w:rPr>
        <w:t xml:space="preserve"> and </w:t>
      </w:r>
      <w:r w:rsidR="003A1917">
        <w:rPr>
          <w:kern w:val="0"/>
        </w:rPr>
        <w:t xml:space="preserve">the </w:t>
      </w:r>
      <w:r w:rsidRPr="001A3D2B">
        <w:rPr>
          <w:kern w:val="0"/>
        </w:rPr>
        <w:t>Pain IFs, except for</w:t>
      </w:r>
      <w:r w:rsidR="003A1917">
        <w:rPr>
          <w:kern w:val="0"/>
        </w:rPr>
        <w:t xml:space="preserve"> the </w:t>
      </w:r>
      <w:r w:rsidRPr="001A3D2B">
        <w:rPr>
          <w:kern w:val="0"/>
        </w:rPr>
        <w:t>British Journal</w:t>
      </w:r>
      <w:r w:rsidR="00427468">
        <w:rPr>
          <w:kern w:val="0"/>
        </w:rPr>
        <w:t xml:space="preserve"> of </w:t>
      </w:r>
      <w:r w:rsidRPr="001A3D2B">
        <w:rPr>
          <w:kern w:val="0"/>
        </w:rPr>
        <w:t>Annaesthesia 2005 in</w:t>
      </w:r>
      <w:r w:rsidR="003A1917">
        <w:rPr>
          <w:kern w:val="0"/>
        </w:rPr>
        <w:t xml:space="preserve"> the </w:t>
      </w:r>
      <w:r w:rsidRPr="001A3D2B">
        <w:rPr>
          <w:kern w:val="0"/>
        </w:rPr>
        <w:t>latter case</w:t>
      </w:r>
      <w:r w:rsidR="00A37C1D">
        <w:rPr>
          <w:kern w:val="0"/>
        </w:rPr>
        <w:t>. The</w:t>
      </w:r>
      <w:r w:rsidR="003A1917">
        <w:rPr>
          <w:kern w:val="0"/>
        </w:rPr>
        <w:t xml:space="preserve"> </w:t>
      </w:r>
      <w:r w:rsidRPr="001A3D2B">
        <w:rPr>
          <w:kern w:val="0"/>
        </w:rPr>
        <w:t>numbers</w:t>
      </w:r>
      <w:r w:rsidR="00427468">
        <w:rPr>
          <w:kern w:val="0"/>
        </w:rPr>
        <w:t xml:space="preserve"> of </w:t>
      </w:r>
      <w:r w:rsidRPr="001A3D2B">
        <w:rPr>
          <w:kern w:val="0"/>
        </w:rPr>
        <w:t>citations</w:t>
      </w:r>
      <w:r w:rsidR="00427468">
        <w:rPr>
          <w:kern w:val="0"/>
        </w:rPr>
        <w:t xml:space="preserve"> of </w:t>
      </w:r>
      <w:r w:rsidRPr="001A3D2B">
        <w:rPr>
          <w:kern w:val="0"/>
        </w:rPr>
        <w:t>pediatric anesthesia articles were greater in journals with greater IFs</w:t>
      </w:r>
      <w:r w:rsidR="00A37C1D">
        <w:rPr>
          <w:kern w:val="0"/>
        </w:rPr>
        <w:t>. The</w:t>
      </w:r>
      <w:r w:rsidR="003A1917">
        <w:rPr>
          <w:kern w:val="0"/>
        </w:rPr>
        <w:t xml:space="preserve"> </w:t>
      </w:r>
      <w:r w:rsidRPr="001A3D2B">
        <w:rPr>
          <w:kern w:val="0"/>
        </w:rPr>
        <w:t>implications</w:t>
      </w:r>
      <w:r w:rsidR="00427468">
        <w:rPr>
          <w:kern w:val="0"/>
        </w:rPr>
        <w:t xml:space="preserve"> of </w:t>
      </w:r>
      <w:r w:rsidRPr="001A3D2B">
        <w:rPr>
          <w:kern w:val="0"/>
        </w:rPr>
        <w:t>subspecialty IFs warrant further consideration.</w:t>
      </w:r>
    </w:p>
    <w:p w:rsidR="00454570" w:rsidRPr="001A3D2B" w:rsidRDefault="00454570" w:rsidP="00454570">
      <w:pPr>
        <w:pStyle w:val="a3"/>
        <w:rPr>
          <w:kern w:val="0"/>
        </w:rPr>
      </w:pPr>
      <w:r w:rsidRPr="001A3D2B">
        <w:rPr>
          <w:kern w:val="0"/>
        </w:rPr>
        <w:t>Keywords: Future, Medical Journals</w:t>
      </w:r>
    </w:p>
    <w:p w:rsidR="00FE2560" w:rsidRDefault="00FE2560" w:rsidP="00FE2560">
      <w:pPr>
        <w:pStyle w:val="a3"/>
        <w:rPr>
          <w:kern w:val="0"/>
        </w:rPr>
      </w:pPr>
      <w:r>
        <w:rPr>
          <w:rFonts w:hint="eastAsia"/>
          <w:kern w:val="0"/>
        </w:rPr>
        <w:t xml:space="preserve">? </w:t>
      </w:r>
      <w:r>
        <w:rPr>
          <w:kern w:val="0"/>
        </w:rPr>
        <w:t>Chung, S.A., Yuan, H.</w:t>
      </w:r>
      <w:r w:rsidR="005853A9">
        <w:rPr>
          <w:kern w:val="0"/>
        </w:rPr>
        <w:t xml:space="preserve"> and </w:t>
      </w:r>
      <w:r>
        <w:rPr>
          <w:kern w:val="0"/>
        </w:rPr>
        <w:t>Chung, F. (2008), A systemic review</w:t>
      </w:r>
      <w:r w:rsidR="00427468">
        <w:rPr>
          <w:kern w:val="0"/>
        </w:rPr>
        <w:t xml:space="preserve"> of </w:t>
      </w:r>
      <w:r>
        <w:rPr>
          <w:kern w:val="0"/>
        </w:rPr>
        <w:t>obstructive sleep apnea</w:t>
      </w:r>
      <w:r w:rsidR="005853A9">
        <w:rPr>
          <w:kern w:val="0"/>
        </w:rPr>
        <w:t xml:space="preserve"> and </w:t>
      </w:r>
      <w:r>
        <w:rPr>
          <w:kern w:val="0"/>
        </w:rPr>
        <w:t xml:space="preserve">its implications for anesthesiologists. </w:t>
      </w:r>
      <w:r>
        <w:rPr>
          <w:i/>
          <w:iCs/>
          <w:kern w:val="0"/>
        </w:rPr>
        <w:t>Anesthesia</w:t>
      </w:r>
      <w:r w:rsidR="005853A9">
        <w:rPr>
          <w:i/>
          <w:iCs/>
          <w:kern w:val="0"/>
        </w:rPr>
        <w:t xml:space="preserve"> and </w:t>
      </w:r>
      <w:r>
        <w:rPr>
          <w:i/>
          <w:iCs/>
          <w:kern w:val="0"/>
        </w:rPr>
        <w:t>Analgesia</w:t>
      </w:r>
      <w:r>
        <w:rPr>
          <w:kern w:val="0"/>
        </w:rPr>
        <w:t xml:space="preserve">, </w:t>
      </w:r>
      <w:r>
        <w:rPr>
          <w:b/>
          <w:bCs/>
          <w:kern w:val="0"/>
        </w:rPr>
        <w:t>107</w:t>
      </w:r>
      <w:r>
        <w:rPr>
          <w:kern w:val="0"/>
        </w:rPr>
        <w:t xml:space="preserve"> (5), 1543-1563.</w:t>
      </w:r>
    </w:p>
    <w:p w:rsidR="00FE2560" w:rsidRPr="00F219CA" w:rsidRDefault="00FE2560" w:rsidP="00FE2560">
      <w:pPr>
        <w:pStyle w:val="a3"/>
      </w:pPr>
      <w:r w:rsidRPr="00F219CA">
        <w:t xml:space="preserve">Full Text: </w:t>
      </w:r>
      <w:hyperlink r:id="rId768" w:history="1">
        <w:r w:rsidRPr="007C25AB">
          <w:rPr>
            <w:rStyle w:val="a5"/>
          </w:rPr>
          <w:t>2008\Ane Ana107, 1543.pdf</w:t>
        </w:r>
      </w:hyperlink>
    </w:p>
    <w:p w:rsidR="00FE2560" w:rsidRDefault="00FE2560" w:rsidP="00FE2560">
      <w:pPr>
        <w:pStyle w:val="a3"/>
        <w:rPr>
          <w:kern w:val="0"/>
        </w:rPr>
      </w:pPr>
      <w:r>
        <w:rPr>
          <w:kern w:val="0"/>
        </w:rPr>
        <w:t>Abstract: BACKGROUND: Obstructive sleep apnea (OSA) is present in a significant proportion</w:t>
      </w:r>
      <w:r w:rsidR="00427468">
        <w:rPr>
          <w:kern w:val="0"/>
        </w:rPr>
        <w:t xml:space="preserve"> of </w:t>
      </w:r>
      <w:r w:rsidR="003A1917">
        <w:rPr>
          <w:kern w:val="0"/>
        </w:rPr>
        <w:t xml:space="preserve">the </w:t>
      </w:r>
      <w:r>
        <w:rPr>
          <w:kern w:val="0"/>
        </w:rPr>
        <w:t>population, but</w:t>
      </w:r>
      <w:r w:rsidR="003A1917">
        <w:rPr>
          <w:kern w:val="0"/>
        </w:rPr>
        <w:t xml:space="preserve"> the </w:t>
      </w:r>
      <w:r>
        <w:rPr>
          <w:kern w:val="0"/>
        </w:rPr>
        <w:t>majority</w:t>
      </w:r>
      <w:r w:rsidR="00427468">
        <w:rPr>
          <w:kern w:val="0"/>
        </w:rPr>
        <w:t xml:space="preserve"> of </w:t>
      </w:r>
      <w:r>
        <w:rPr>
          <w:kern w:val="0"/>
        </w:rPr>
        <w:t>patients remain undiagnosed. It is crucial that anesthesiologists</w:t>
      </w:r>
      <w:r w:rsidR="005853A9">
        <w:rPr>
          <w:kern w:val="0"/>
        </w:rPr>
        <w:t xml:space="preserve"> and </w:t>
      </w:r>
      <w:r>
        <w:rPr>
          <w:kern w:val="0"/>
        </w:rPr>
        <w:t>surgeons recognize</w:t>
      </w:r>
      <w:r w:rsidR="003A1917">
        <w:rPr>
          <w:kern w:val="0"/>
        </w:rPr>
        <w:t xml:space="preserve"> the </w:t>
      </w:r>
      <w:r>
        <w:rPr>
          <w:kern w:val="0"/>
        </w:rPr>
        <w:t>increased perioperative risks associated with undiagnosed OSA. We present a systematic review</w:t>
      </w:r>
      <w:r w:rsidR="00427468">
        <w:rPr>
          <w:kern w:val="0"/>
        </w:rPr>
        <w:t xml:space="preserve"> of </w:t>
      </w:r>
      <w:r w:rsidR="003A1917">
        <w:rPr>
          <w:kern w:val="0"/>
        </w:rPr>
        <w:t xml:space="preserve">the </w:t>
      </w:r>
      <w:r>
        <w:rPr>
          <w:kern w:val="0"/>
        </w:rPr>
        <w:t>literature on</w:t>
      </w:r>
      <w:r w:rsidR="003A1917">
        <w:rPr>
          <w:kern w:val="0"/>
        </w:rPr>
        <w:t xml:space="preserve"> the </w:t>
      </w:r>
      <w:r>
        <w:rPr>
          <w:kern w:val="0"/>
        </w:rPr>
        <w:t>perioperative management</w:t>
      </w:r>
      <w:r w:rsidR="00427468">
        <w:rPr>
          <w:kern w:val="0"/>
        </w:rPr>
        <w:t xml:space="preserve"> of </w:t>
      </w:r>
      <w:r>
        <w:rPr>
          <w:kern w:val="0"/>
        </w:rPr>
        <w:t>surgical patients with OSA. METHODS:</w:t>
      </w:r>
      <w:r w:rsidR="003A1917">
        <w:rPr>
          <w:kern w:val="0"/>
        </w:rPr>
        <w:t xml:space="preserve"> the </w:t>
      </w:r>
      <w:r>
        <w:rPr>
          <w:kern w:val="0"/>
        </w:rPr>
        <w:t>scope</w:t>
      </w:r>
      <w:r w:rsidR="00427468">
        <w:rPr>
          <w:kern w:val="0"/>
        </w:rPr>
        <w:t xml:space="preserve"> of </w:t>
      </w:r>
      <w:r>
        <w:rPr>
          <w:kern w:val="0"/>
        </w:rPr>
        <w:t>this review is restricted to publications in all surgical specialties</w:t>
      </w:r>
      <w:r w:rsidR="005853A9">
        <w:rPr>
          <w:kern w:val="0"/>
        </w:rPr>
        <w:t xml:space="preserve"> and </w:t>
      </w:r>
      <w:r>
        <w:rPr>
          <w:kern w:val="0"/>
        </w:rPr>
        <w:t>in</w:t>
      </w:r>
      <w:r w:rsidR="003A1917">
        <w:rPr>
          <w:kern w:val="0"/>
        </w:rPr>
        <w:t xml:space="preserve"> the </w:t>
      </w:r>
      <w:r>
        <w:rPr>
          <w:kern w:val="0"/>
        </w:rPr>
        <w:t>adult patient population</w:t>
      </w:r>
      <w:r w:rsidR="00A37C1D">
        <w:rPr>
          <w:kern w:val="0"/>
        </w:rPr>
        <w:t>. The</w:t>
      </w:r>
      <w:r w:rsidR="003A1917">
        <w:rPr>
          <w:kern w:val="0"/>
        </w:rPr>
        <w:t xml:space="preserve"> </w:t>
      </w:r>
      <w:r>
        <w:rPr>
          <w:kern w:val="0"/>
        </w:rPr>
        <w:t xml:space="preserve">main search key words were: </w:t>
      </w:r>
      <w:r w:rsidR="00B5188C">
        <w:rPr>
          <w:kern w:val="0"/>
        </w:rPr>
        <w:t>“</w:t>
      </w:r>
      <w:r>
        <w:rPr>
          <w:kern w:val="0"/>
        </w:rPr>
        <w:t>perioperative care,</w:t>
      </w:r>
      <w:r w:rsidR="00B5188C">
        <w:rPr>
          <w:kern w:val="0"/>
        </w:rPr>
        <w:t>”</w:t>
      </w:r>
      <w:r>
        <w:rPr>
          <w:kern w:val="0"/>
        </w:rPr>
        <w:t xml:space="preserve"> </w:t>
      </w:r>
      <w:r w:rsidR="00B5188C">
        <w:rPr>
          <w:kern w:val="0"/>
        </w:rPr>
        <w:t>“</w:t>
      </w:r>
      <w:r>
        <w:rPr>
          <w:kern w:val="0"/>
        </w:rPr>
        <w:t>sleep apnea,</w:t>
      </w:r>
      <w:r w:rsidR="00B5188C">
        <w:rPr>
          <w:kern w:val="0"/>
        </w:rPr>
        <w:t>”</w:t>
      </w:r>
      <w:r>
        <w:rPr>
          <w:kern w:val="0"/>
        </w:rPr>
        <w:t xml:space="preserve"> </w:t>
      </w:r>
      <w:r w:rsidR="00B5188C">
        <w:rPr>
          <w:kern w:val="0"/>
        </w:rPr>
        <w:t>“</w:t>
      </w:r>
      <w:r>
        <w:rPr>
          <w:kern w:val="0"/>
        </w:rPr>
        <w:t>obstructive sleep apnea,</w:t>
      </w:r>
      <w:r w:rsidR="00B5188C">
        <w:rPr>
          <w:kern w:val="0"/>
        </w:rPr>
        <w:t>”</w:t>
      </w:r>
      <w:r>
        <w:rPr>
          <w:kern w:val="0"/>
        </w:rPr>
        <w:t xml:space="preserve"> </w:t>
      </w:r>
      <w:r w:rsidR="00B5188C">
        <w:rPr>
          <w:kern w:val="0"/>
        </w:rPr>
        <w:t>“</w:t>
      </w:r>
      <w:r>
        <w:rPr>
          <w:kern w:val="0"/>
        </w:rPr>
        <w:t>perioperative risk,</w:t>
      </w:r>
      <w:r w:rsidR="00B5188C">
        <w:rPr>
          <w:kern w:val="0"/>
        </w:rPr>
        <w:t>”</w:t>
      </w:r>
      <w:r w:rsidR="005853A9">
        <w:rPr>
          <w:kern w:val="0"/>
        </w:rPr>
        <w:t xml:space="preserve"> and </w:t>
      </w:r>
      <w:r w:rsidR="00B5188C">
        <w:rPr>
          <w:kern w:val="0"/>
        </w:rPr>
        <w:t>“</w:t>
      </w:r>
      <w:r>
        <w:rPr>
          <w:kern w:val="0"/>
        </w:rPr>
        <w:t>perioperative care.</w:t>
      </w:r>
      <w:r w:rsidR="00B5188C">
        <w:rPr>
          <w:kern w:val="0"/>
        </w:rPr>
        <w:t>”</w:t>
      </w:r>
      <w:r w:rsidR="003A1917">
        <w:rPr>
          <w:kern w:val="0"/>
        </w:rPr>
        <w:t xml:space="preserve"> the </w:t>
      </w:r>
      <w:r>
        <w:rPr>
          <w:kern w:val="0"/>
        </w:rPr>
        <w:t xml:space="preserve">databases </w:t>
      </w:r>
      <w:r w:rsidR="00D5664A">
        <w:rPr>
          <w:kern w:val="0"/>
        </w:rPr>
        <w:t>MEDLINE</w:t>
      </w:r>
      <w:r>
        <w:rPr>
          <w:kern w:val="0"/>
        </w:rPr>
        <w:t>, Embase, Biological Abstract, Science Citation Index,</w:t>
      </w:r>
      <w:r w:rsidR="005853A9">
        <w:rPr>
          <w:kern w:val="0"/>
        </w:rPr>
        <w:t xml:space="preserve"> and </w:t>
      </w:r>
      <w:r>
        <w:rPr>
          <w:kern w:val="0"/>
        </w:rPr>
        <w:t>Healthstar were searched for relevant English language articles from 1966 to March 2007. RESULTS:</w:t>
      </w:r>
      <w:r w:rsidR="003A1917">
        <w:rPr>
          <w:kern w:val="0"/>
        </w:rPr>
        <w:t xml:space="preserve"> the </w:t>
      </w:r>
      <w:r>
        <w:rPr>
          <w:kern w:val="0"/>
        </w:rPr>
        <w:t>literature supports an increased perioperative risk in OSA patients</w:t>
      </w:r>
      <w:r w:rsidR="00A37C1D">
        <w:rPr>
          <w:kern w:val="0"/>
        </w:rPr>
        <w:t>. The</w:t>
      </w:r>
      <w:r w:rsidR="003A1917">
        <w:rPr>
          <w:kern w:val="0"/>
        </w:rPr>
        <w:t xml:space="preserve"> </w:t>
      </w:r>
      <w:r>
        <w:rPr>
          <w:kern w:val="0"/>
        </w:rPr>
        <w:t>American Society</w:t>
      </w:r>
      <w:r w:rsidR="00427468">
        <w:rPr>
          <w:kern w:val="0"/>
        </w:rPr>
        <w:t xml:space="preserve"> of </w:t>
      </w:r>
      <w:r>
        <w:rPr>
          <w:kern w:val="0"/>
        </w:rPr>
        <w:t>Anesthesiologists guidelines support</w:t>
      </w:r>
      <w:r w:rsidR="003A1917">
        <w:rPr>
          <w:kern w:val="0"/>
        </w:rPr>
        <w:t xml:space="preserve"> the </w:t>
      </w:r>
      <w:r>
        <w:rPr>
          <w:kern w:val="0"/>
        </w:rPr>
        <w:t>routine screening for OSA during preoperative asSEssment,</w:t>
      </w:r>
      <w:r w:rsidR="005853A9">
        <w:rPr>
          <w:kern w:val="0"/>
        </w:rPr>
        <w:t xml:space="preserve"> and </w:t>
      </w:r>
      <w:r>
        <w:rPr>
          <w:kern w:val="0"/>
        </w:rPr>
        <w:t>methods</w:t>
      </w:r>
      <w:r w:rsidR="00427468">
        <w:rPr>
          <w:kern w:val="0"/>
        </w:rPr>
        <w:t xml:space="preserve"> of </w:t>
      </w:r>
      <w:r>
        <w:rPr>
          <w:kern w:val="0"/>
        </w:rPr>
        <w:t>OSA screening are discussed in this review. This review suggests a number</w:t>
      </w:r>
      <w:r w:rsidR="00427468">
        <w:rPr>
          <w:kern w:val="0"/>
        </w:rPr>
        <w:t xml:space="preserve"> of </w:t>
      </w:r>
      <w:r>
        <w:rPr>
          <w:kern w:val="0"/>
        </w:rPr>
        <w:t>perioperative management strategies to reduce surgical risk in patients with OSA. However, apart from</w:t>
      </w:r>
      <w:r w:rsidR="003A1917">
        <w:rPr>
          <w:kern w:val="0"/>
        </w:rPr>
        <w:t xml:space="preserve"> the </w:t>
      </w:r>
      <w:r>
        <w:rPr>
          <w:kern w:val="0"/>
        </w:rPr>
        <w:t>consensus-based American Society</w:t>
      </w:r>
      <w:r w:rsidR="00427468">
        <w:rPr>
          <w:kern w:val="0"/>
        </w:rPr>
        <w:t xml:space="preserve"> of </w:t>
      </w:r>
      <w:r>
        <w:rPr>
          <w:kern w:val="0"/>
        </w:rPr>
        <w:lastRenderedPageBreak/>
        <w:t>Anesthesiologists guidelines, it is important to note that evidence-based recommendations are lacking in</w:t>
      </w:r>
      <w:r w:rsidR="003A1917">
        <w:rPr>
          <w:kern w:val="0"/>
        </w:rPr>
        <w:t xml:space="preserve"> the </w:t>
      </w:r>
      <w:r>
        <w:rPr>
          <w:kern w:val="0"/>
        </w:rPr>
        <w:t>literature. CONCLUSIONS: This review suggests ways to screen for OSA in</w:t>
      </w:r>
      <w:r w:rsidR="003A1917">
        <w:rPr>
          <w:kern w:val="0"/>
        </w:rPr>
        <w:t xml:space="preserve"> the </w:t>
      </w:r>
      <w:r>
        <w:rPr>
          <w:kern w:val="0"/>
        </w:rPr>
        <w:t>preoperative setting</w:t>
      </w:r>
      <w:r w:rsidR="005853A9">
        <w:rPr>
          <w:kern w:val="0"/>
        </w:rPr>
        <w:t xml:space="preserve"> and </w:t>
      </w:r>
      <w:r>
        <w:rPr>
          <w:kern w:val="0"/>
        </w:rPr>
        <w:t>proposes perioperative management strategies</w:t>
      </w:r>
      <w:r w:rsidR="00A37C1D">
        <w:rPr>
          <w:kern w:val="0"/>
        </w:rPr>
        <w:t>. The</w:t>
      </w:r>
      <w:r w:rsidR="003A1917">
        <w:rPr>
          <w:kern w:val="0"/>
        </w:rPr>
        <w:t xml:space="preserve"> </w:t>
      </w:r>
      <w:r>
        <w:rPr>
          <w:kern w:val="0"/>
        </w:rPr>
        <w:t>ultimate goal is to reduce</w:t>
      </w:r>
      <w:r w:rsidR="003A1917">
        <w:rPr>
          <w:kern w:val="0"/>
        </w:rPr>
        <w:t xml:space="preserve"> the </w:t>
      </w:r>
      <w:r>
        <w:rPr>
          <w:kern w:val="0"/>
        </w:rPr>
        <w:t>perioperative risk</w:t>
      </w:r>
      <w:r w:rsidR="00427468">
        <w:rPr>
          <w:kern w:val="0"/>
        </w:rPr>
        <w:t xml:space="preserve"> of </w:t>
      </w:r>
      <w:r>
        <w:rPr>
          <w:kern w:val="0"/>
        </w:rPr>
        <w:t>OSA patients but, to realize that goal, research will be needed to determine whether screening for OSA and/or adapting specific perioperative management approaches:. translates into a lessening</w:t>
      </w:r>
      <w:r w:rsidR="00427468">
        <w:rPr>
          <w:kern w:val="0"/>
        </w:rPr>
        <w:t xml:space="preserve"> of </w:t>
      </w:r>
      <w:r>
        <w:rPr>
          <w:kern w:val="0"/>
        </w:rPr>
        <w:t>adverse events in surgical patients with undiagnosed OSA.</w:t>
      </w:r>
    </w:p>
    <w:p w:rsidR="00FE2560" w:rsidRDefault="00FE2560" w:rsidP="00FE2560">
      <w:pPr>
        <w:pStyle w:val="a3"/>
        <w:rPr>
          <w:kern w:val="0"/>
        </w:rPr>
      </w:pPr>
      <w:r>
        <w:rPr>
          <w:kern w:val="0"/>
        </w:rPr>
        <w:t xml:space="preserve">Keywords: Articles, Blood-Pressure, Body-Mass Index, Breathing Disorders, Cardiac-Arrhythmias, Citation, Databases, Difficult Tracheal Intubation, English, Language, Literature, Management, </w:t>
      </w:r>
      <w:r w:rsidR="00D5664A">
        <w:rPr>
          <w:kern w:val="0"/>
        </w:rPr>
        <w:t>MEDLINE</w:t>
      </w:r>
      <w:r>
        <w:rPr>
          <w:kern w:val="0"/>
        </w:rPr>
        <w:t>, Methods, Oxygen Desaturation, Patient-Controlled Analgesia, Positive Airway Pressure, Publications, Randomized Controlled-Trial, Research, Review, Risk, Risk-Factor, Science, Science Citation Index, Screening, Sleep, Systematic Review</w:t>
      </w:r>
    </w:p>
    <w:p w:rsidR="00C4436C" w:rsidRDefault="00C4436C" w:rsidP="00C4436C">
      <w:pPr>
        <w:pStyle w:val="a3"/>
        <w:rPr>
          <w:kern w:val="0"/>
          <w:szCs w:val="24"/>
        </w:rPr>
      </w:pPr>
      <w:r>
        <w:rPr>
          <w:rFonts w:hint="eastAsia"/>
          <w:kern w:val="0"/>
          <w:szCs w:val="24"/>
        </w:rPr>
        <w:t xml:space="preserve">? </w:t>
      </w:r>
      <w:r>
        <w:rPr>
          <w:kern w:val="0"/>
          <w:szCs w:val="24"/>
        </w:rPr>
        <w:t>Li, Z., Shi, J., Liao, Z., Wu, F.X., Yang, L.Q.</w:t>
      </w:r>
      <w:r w:rsidR="005853A9">
        <w:rPr>
          <w:kern w:val="0"/>
          <w:szCs w:val="24"/>
        </w:rPr>
        <w:t xml:space="preserve"> and </w:t>
      </w:r>
      <w:r>
        <w:rPr>
          <w:kern w:val="0"/>
          <w:szCs w:val="24"/>
        </w:rPr>
        <w:t>Yu, W.F. (2010), Scientific publications in anesthesiology journals from Mainland China, Taiwan,</w:t>
      </w:r>
      <w:r w:rsidR="005853A9">
        <w:rPr>
          <w:kern w:val="0"/>
          <w:szCs w:val="24"/>
        </w:rPr>
        <w:t xml:space="preserve"> and </w:t>
      </w:r>
      <w:r>
        <w:rPr>
          <w:kern w:val="0"/>
          <w:szCs w:val="24"/>
        </w:rPr>
        <w:t>Hong Kong: A 10-year survey</w:t>
      </w:r>
      <w:r w:rsidR="00427468">
        <w:rPr>
          <w:kern w:val="0"/>
          <w:szCs w:val="24"/>
        </w:rPr>
        <w:t xml:space="preserve"> of </w:t>
      </w:r>
      <w:r w:rsidR="003A1917">
        <w:rPr>
          <w:kern w:val="0"/>
          <w:szCs w:val="24"/>
        </w:rPr>
        <w:t xml:space="preserve">the </w:t>
      </w:r>
      <w:r>
        <w:rPr>
          <w:kern w:val="0"/>
          <w:szCs w:val="24"/>
        </w:rPr>
        <w:t xml:space="preserve">literature. </w:t>
      </w:r>
      <w:r>
        <w:rPr>
          <w:i/>
          <w:iCs/>
          <w:kern w:val="0"/>
          <w:szCs w:val="24"/>
        </w:rPr>
        <w:t>Anesthesia</w:t>
      </w:r>
      <w:r w:rsidR="005853A9">
        <w:rPr>
          <w:i/>
          <w:iCs/>
          <w:kern w:val="0"/>
          <w:szCs w:val="24"/>
        </w:rPr>
        <w:t xml:space="preserve"> and </w:t>
      </w:r>
      <w:r>
        <w:rPr>
          <w:i/>
          <w:iCs/>
          <w:kern w:val="0"/>
          <w:szCs w:val="24"/>
        </w:rPr>
        <w:t>Analgesia</w:t>
      </w:r>
      <w:r>
        <w:rPr>
          <w:kern w:val="0"/>
          <w:szCs w:val="24"/>
        </w:rPr>
        <w:t xml:space="preserve">, </w:t>
      </w:r>
      <w:r>
        <w:rPr>
          <w:b/>
          <w:bCs/>
          <w:kern w:val="0"/>
          <w:szCs w:val="24"/>
        </w:rPr>
        <w:t>110</w:t>
      </w:r>
      <w:r>
        <w:rPr>
          <w:kern w:val="0"/>
          <w:szCs w:val="24"/>
        </w:rPr>
        <w:t xml:space="preserve"> (3), 918-921.</w:t>
      </w:r>
    </w:p>
    <w:p w:rsidR="00C4436C" w:rsidRPr="00F219CA" w:rsidRDefault="00C4436C" w:rsidP="00C4436C">
      <w:pPr>
        <w:pStyle w:val="a3"/>
      </w:pPr>
      <w:r w:rsidRPr="00F219CA">
        <w:t xml:space="preserve">Full Text: </w:t>
      </w:r>
      <w:hyperlink r:id="rId769" w:history="1">
        <w:r w:rsidR="00570FB2" w:rsidRPr="00570FB2">
          <w:rPr>
            <w:rStyle w:val="a5"/>
          </w:rPr>
          <w:t>2010\Ane Ana110, 918.pdf</w:t>
        </w:r>
      </w:hyperlink>
    </w:p>
    <w:p w:rsidR="00C4436C" w:rsidRDefault="00C4436C" w:rsidP="00C4436C">
      <w:pPr>
        <w:pStyle w:val="a3"/>
        <w:rPr>
          <w:kern w:val="0"/>
          <w:szCs w:val="24"/>
        </w:rPr>
      </w:pPr>
      <w:r>
        <w:rPr>
          <w:kern w:val="0"/>
          <w:szCs w:val="24"/>
        </w:rPr>
        <w:t>Abstract: BACKGROUND:</w:t>
      </w:r>
      <w:r w:rsidR="003A1917">
        <w:rPr>
          <w:kern w:val="0"/>
          <w:szCs w:val="24"/>
        </w:rPr>
        <w:t xml:space="preserve"> the </w:t>
      </w:r>
      <w:r>
        <w:rPr>
          <w:kern w:val="0"/>
          <w:szCs w:val="24"/>
        </w:rPr>
        <w:t>past 20 yr have seen significant growth in China</w:t>
      </w:r>
      <w:r w:rsidR="00700038">
        <w:rPr>
          <w:kern w:val="0"/>
          <w:szCs w:val="24"/>
        </w:rPr>
        <w:t>’</w:t>
      </w:r>
      <w:r w:rsidR="00C13DDC">
        <w:rPr>
          <w:kern w:val="0"/>
          <w:szCs w:val="24"/>
        </w:rPr>
        <w:t>s</w:t>
      </w:r>
      <w:r>
        <w:rPr>
          <w:kern w:val="0"/>
          <w:szCs w:val="24"/>
        </w:rPr>
        <w:t xml:space="preserve"> role in</w:t>
      </w:r>
      <w:r w:rsidR="003A1917">
        <w:rPr>
          <w:kern w:val="0"/>
          <w:szCs w:val="24"/>
        </w:rPr>
        <w:t xml:space="preserve"> the </w:t>
      </w:r>
      <w:r>
        <w:rPr>
          <w:kern w:val="0"/>
          <w:szCs w:val="24"/>
        </w:rPr>
        <w:t>international community. This same growth</w:t>
      </w:r>
      <w:r w:rsidR="005853A9">
        <w:rPr>
          <w:kern w:val="0"/>
          <w:szCs w:val="24"/>
        </w:rPr>
        <w:t xml:space="preserve"> and </w:t>
      </w:r>
      <w:r>
        <w:rPr>
          <w:kern w:val="0"/>
          <w:szCs w:val="24"/>
        </w:rPr>
        <w:t>international presence is occurring in</w:t>
      </w:r>
      <w:r w:rsidR="003A1917">
        <w:rPr>
          <w:kern w:val="0"/>
          <w:szCs w:val="24"/>
        </w:rPr>
        <w:t xml:space="preserve"> the </w:t>
      </w:r>
      <w:r>
        <w:rPr>
          <w:kern w:val="0"/>
          <w:szCs w:val="24"/>
        </w:rPr>
        <w:t>field</w:t>
      </w:r>
      <w:r w:rsidR="00427468">
        <w:rPr>
          <w:kern w:val="0"/>
          <w:szCs w:val="24"/>
        </w:rPr>
        <w:t xml:space="preserve"> of </w:t>
      </w:r>
      <w:r>
        <w:rPr>
          <w:kern w:val="0"/>
          <w:szCs w:val="24"/>
        </w:rPr>
        <w:t>anesthesiology</w:t>
      </w:r>
      <w:r w:rsidR="00A37C1D">
        <w:rPr>
          <w:kern w:val="0"/>
          <w:szCs w:val="24"/>
        </w:rPr>
        <w:t>. The</w:t>
      </w:r>
      <w:r w:rsidR="003A1917">
        <w:rPr>
          <w:kern w:val="0"/>
          <w:szCs w:val="24"/>
        </w:rPr>
        <w:t xml:space="preserve"> </w:t>
      </w:r>
      <w:r>
        <w:rPr>
          <w:kern w:val="0"/>
          <w:szCs w:val="24"/>
        </w:rPr>
        <w:t>research status in anesthesiology among Chinese individuals in</w:t>
      </w:r>
      <w:r w:rsidR="003A1917">
        <w:rPr>
          <w:kern w:val="0"/>
          <w:szCs w:val="24"/>
        </w:rPr>
        <w:t xml:space="preserve"> the </w:t>
      </w:r>
      <w:r>
        <w:rPr>
          <w:kern w:val="0"/>
          <w:szCs w:val="24"/>
        </w:rPr>
        <w:t>3 major regions</w:t>
      </w:r>
      <w:r w:rsidR="00427468">
        <w:rPr>
          <w:kern w:val="0"/>
          <w:szCs w:val="24"/>
        </w:rPr>
        <w:t xml:space="preserve"> of </w:t>
      </w:r>
      <w:r>
        <w:rPr>
          <w:kern w:val="0"/>
          <w:szCs w:val="24"/>
        </w:rPr>
        <w:t>China-mainland China, Hong Kong,</w:t>
      </w:r>
      <w:r w:rsidR="005853A9">
        <w:rPr>
          <w:kern w:val="0"/>
          <w:szCs w:val="24"/>
        </w:rPr>
        <w:t xml:space="preserve"> and </w:t>
      </w:r>
      <w:r>
        <w:rPr>
          <w:kern w:val="0"/>
          <w:szCs w:val="24"/>
        </w:rPr>
        <w:t xml:space="preserve">Taiwan-is unknown. We analyzed articles published in peer-reviewed international anesthesiology journals cited by both </w:t>
      </w:r>
      <w:r w:rsidR="002C12F0">
        <w:rPr>
          <w:kern w:val="0"/>
          <w:szCs w:val="24"/>
        </w:rPr>
        <w:t>PUBMED</w:t>
      </w:r>
      <w:r w:rsidR="005853A9">
        <w:rPr>
          <w:kern w:val="0"/>
          <w:szCs w:val="24"/>
        </w:rPr>
        <w:t xml:space="preserve"> and </w:t>
      </w:r>
      <w:r>
        <w:rPr>
          <w:kern w:val="0"/>
          <w:szCs w:val="24"/>
        </w:rPr>
        <w:t>Science Citation Index from these 3 regions. METHODS: Articles published in 21 journals in anesthesiology originating from mainland China, Taiwan,</w:t>
      </w:r>
      <w:r w:rsidR="005853A9">
        <w:rPr>
          <w:kern w:val="0"/>
          <w:szCs w:val="24"/>
        </w:rPr>
        <w:t xml:space="preserve"> and </w:t>
      </w:r>
      <w:r>
        <w:rPr>
          <w:kern w:val="0"/>
          <w:szCs w:val="24"/>
        </w:rPr>
        <w:t>Hong Kong from 1999 to 2008 were retrieved from</w:t>
      </w:r>
      <w:r w:rsidR="003A1917">
        <w:rPr>
          <w:kern w:val="0"/>
          <w:szCs w:val="24"/>
        </w:rPr>
        <w:t xml:space="preserve"> the </w:t>
      </w:r>
      <w:r w:rsidR="002C12F0">
        <w:rPr>
          <w:kern w:val="0"/>
          <w:szCs w:val="24"/>
        </w:rPr>
        <w:t>PUBMED</w:t>
      </w:r>
      <w:r>
        <w:rPr>
          <w:kern w:val="0"/>
          <w:szCs w:val="24"/>
        </w:rPr>
        <w:t xml:space="preserve"> database</w:t>
      </w:r>
      <w:r w:rsidR="005853A9">
        <w:rPr>
          <w:kern w:val="0"/>
          <w:szCs w:val="24"/>
        </w:rPr>
        <w:t xml:space="preserve"> and </w:t>
      </w:r>
      <w:r w:rsidR="003A1917">
        <w:rPr>
          <w:kern w:val="0"/>
          <w:szCs w:val="24"/>
        </w:rPr>
        <w:t xml:space="preserve">the </w:t>
      </w:r>
      <w:r>
        <w:rPr>
          <w:kern w:val="0"/>
          <w:szCs w:val="24"/>
        </w:rPr>
        <w:t>Science Citation Index</w:t>
      </w:r>
      <w:r w:rsidR="00A37C1D">
        <w:rPr>
          <w:kern w:val="0"/>
          <w:szCs w:val="24"/>
        </w:rPr>
        <w:t>. The</w:t>
      </w:r>
      <w:r w:rsidR="003A1917">
        <w:rPr>
          <w:kern w:val="0"/>
          <w:szCs w:val="24"/>
        </w:rPr>
        <w:t xml:space="preserve"> </w:t>
      </w:r>
      <w:r>
        <w:rPr>
          <w:kern w:val="0"/>
          <w:szCs w:val="24"/>
        </w:rPr>
        <w:t>number</w:t>
      </w:r>
      <w:r w:rsidR="00427468">
        <w:rPr>
          <w:kern w:val="0"/>
          <w:szCs w:val="24"/>
        </w:rPr>
        <w:t xml:space="preserve"> of </w:t>
      </w:r>
      <w:r>
        <w:rPr>
          <w:kern w:val="0"/>
          <w:szCs w:val="24"/>
        </w:rPr>
        <w:t>total articles, clinical trials, randomized controlled trials, impact factors, citations,</w:t>
      </w:r>
      <w:r w:rsidR="005853A9">
        <w:rPr>
          <w:kern w:val="0"/>
          <w:szCs w:val="24"/>
        </w:rPr>
        <w:t xml:space="preserve"> and </w:t>
      </w:r>
      <w:r>
        <w:rPr>
          <w:kern w:val="0"/>
          <w:szCs w:val="24"/>
        </w:rPr>
        <w:t xml:space="preserve">articles published in </w:t>
      </w:r>
      <w:r w:rsidR="00B5188C">
        <w:rPr>
          <w:kern w:val="0"/>
          <w:szCs w:val="24"/>
        </w:rPr>
        <w:t>“</w:t>
      </w:r>
      <w:r>
        <w:rPr>
          <w:kern w:val="0"/>
          <w:szCs w:val="24"/>
        </w:rPr>
        <w:t>high-impact</w:t>
      </w:r>
      <w:r w:rsidR="00B5188C">
        <w:rPr>
          <w:kern w:val="0"/>
          <w:szCs w:val="24"/>
        </w:rPr>
        <w:t>”</w:t>
      </w:r>
      <w:r>
        <w:rPr>
          <w:kern w:val="0"/>
          <w:szCs w:val="24"/>
        </w:rPr>
        <w:t xml:space="preserve"> journals were tabulated to assess both</w:t>
      </w:r>
      <w:r w:rsidR="003A1917">
        <w:rPr>
          <w:kern w:val="0"/>
          <w:szCs w:val="24"/>
        </w:rPr>
        <w:t xml:space="preserve"> the </w:t>
      </w:r>
      <w:r>
        <w:rPr>
          <w:kern w:val="0"/>
          <w:szCs w:val="24"/>
        </w:rPr>
        <w:t>quantity</w:t>
      </w:r>
      <w:r w:rsidR="005853A9">
        <w:rPr>
          <w:kern w:val="0"/>
          <w:szCs w:val="24"/>
        </w:rPr>
        <w:t xml:space="preserve"> and </w:t>
      </w:r>
      <w:r>
        <w:rPr>
          <w:kern w:val="0"/>
          <w:szCs w:val="24"/>
        </w:rPr>
        <w:t>quality</w:t>
      </w:r>
      <w:r w:rsidR="00427468">
        <w:rPr>
          <w:kern w:val="0"/>
          <w:szCs w:val="24"/>
        </w:rPr>
        <w:t xml:space="preserve"> of </w:t>
      </w:r>
      <w:r>
        <w:rPr>
          <w:kern w:val="0"/>
          <w:szCs w:val="24"/>
        </w:rPr>
        <w:t>research arising from China. RESULTS: From 1999 to 2008 there were 721 articles published in high-impact anesthesiology journals from China, including 204 from mainland China, 317 from Taiwan,</w:t>
      </w:r>
      <w:r w:rsidR="005853A9">
        <w:rPr>
          <w:kern w:val="0"/>
          <w:szCs w:val="24"/>
        </w:rPr>
        <w:t xml:space="preserve"> and </w:t>
      </w:r>
      <w:r>
        <w:rPr>
          <w:kern w:val="0"/>
          <w:szCs w:val="24"/>
        </w:rPr>
        <w:t>200 from Hong Kong</w:t>
      </w:r>
      <w:r w:rsidR="00A37C1D">
        <w:rPr>
          <w:kern w:val="0"/>
          <w:szCs w:val="24"/>
        </w:rPr>
        <w:t>. The</w:t>
      </w:r>
      <w:r w:rsidR="003A1917">
        <w:rPr>
          <w:kern w:val="0"/>
          <w:szCs w:val="24"/>
        </w:rPr>
        <w:t xml:space="preserve"> </w:t>
      </w:r>
      <w:r>
        <w:rPr>
          <w:kern w:val="0"/>
          <w:szCs w:val="24"/>
        </w:rPr>
        <w:t>number</w:t>
      </w:r>
      <w:r w:rsidR="00427468">
        <w:rPr>
          <w:kern w:val="0"/>
          <w:szCs w:val="24"/>
        </w:rPr>
        <w:t xml:space="preserve"> of </w:t>
      </w:r>
      <w:r>
        <w:rPr>
          <w:kern w:val="0"/>
          <w:szCs w:val="24"/>
        </w:rPr>
        <w:t>articles published each year increased from 50 published in 1999 to 101 published in 2008. From 2005 onward,</w:t>
      </w:r>
      <w:r w:rsidR="003A1917">
        <w:rPr>
          <w:kern w:val="0"/>
          <w:szCs w:val="24"/>
        </w:rPr>
        <w:t xml:space="preserve"> the </w:t>
      </w:r>
      <w:r>
        <w:rPr>
          <w:kern w:val="0"/>
          <w:szCs w:val="24"/>
        </w:rPr>
        <w:t>number</w:t>
      </w:r>
      <w:r w:rsidR="00427468">
        <w:rPr>
          <w:kern w:val="0"/>
          <w:szCs w:val="24"/>
        </w:rPr>
        <w:t xml:space="preserve"> of </w:t>
      </w:r>
      <w:r>
        <w:rPr>
          <w:kern w:val="0"/>
          <w:szCs w:val="24"/>
        </w:rPr>
        <w:t>articles published from mainland China exceeded that from Hong Kong</w:t>
      </w:r>
      <w:r w:rsidR="005853A9">
        <w:rPr>
          <w:kern w:val="0"/>
          <w:szCs w:val="24"/>
        </w:rPr>
        <w:t xml:space="preserve"> and </w:t>
      </w:r>
      <w:r>
        <w:rPr>
          <w:kern w:val="0"/>
          <w:szCs w:val="24"/>
        </w:rPr>
        <w:t>in 2008 mainland China exceeded Taiwan</w:t>
      </w:r>
      <w:r w:rsidR="00A37C1D">
        <w:rPr>
          <w:kern w:val="0"/>
          <w:szCs w:val="24"/>
        </w:rPr>
        <w:t>. The</w:t>
      </w:r>
      <w:r w:rsidR="003A1917">
        <w:rPr>
          <w:kern w:val="0"/>
          <w:szCs w:val="24"/>
        </w:rPr>
        <w:t xml:space="preserve"> </w:t>
      </w:r>
      <w:r>
        <w:rPr>
          <w:kern w:val="0"/>
          <w:szCs w:val="24"/>
        </w:rPr>
        <w:t>average impact factor</w:t>
      </w:r>
      <w:r w:rsidR="00427468">
        <w:rPr>
          <w:kern w:val="0"/>
          <w:szCs w:val="24"/>
        </w:rPr>
        <w:t xml:space="preserve"> of </w:t>
      </w:r>
      <w:r w:rsidR="003A1917">
        <w:rPr>
          <w:kern w:val="0"/>
          <w:szCs w:val="24"/>
        </w:rPr>
        <w:t xml:space="preserve">the </w:t>
      </w:r>
      <w:r>
        <w:rPr>
          <w:kern w:val="0"/>
          <w:szCs w:val="24"/>
        </w:rPr>
        <w:t>articles was similar for mainland China (2.84), Taiwan (2.41),</w:t>
      </w:r>
      <w:r w:rsidR="005853A9">
        <w:rPr>
          <w:kern w:val="0"/>
          <w:szCs w:val="24"/>
        </w:rPr>
        <w:t xml:space="preserve"> and </w:t>
      </w:r>
      <w:r>
        <w:rPr>
          <w:kern w:val="0"/>
          <w:szCs w:val="24"/>
        </w:rPr>
        <w:t>Hong Kong (2.16)</w:t>
      </w:r>
      <w:r w:rsidR="00A37C1D">
        <w:rPr>
          <w:kern w:val="0"/>
          <w:szCs w:val="24"/>
        </w:rPr>
        <w:t>. The</w:t>
      </w:r>
      <w:r w:rsidR="003A1917">
        <w:rPr>
          <w:kern w:val="0"/>
          <w:szCs w:val="24"/>
        </w:rPr>
        <w:t xml:space="preserve"> </w:t>
      </w:r>
      <w:r>
        <w:rPr>
          <w:kern w:val="0"/>
          <w:szCs w:val="24"/>
        </w:rPr>
        <w:t xml:space="preserve">total citations to articles from Taiwan (2376) exceeded citations to articles from mainland </w:t>
      </w:r>
      <w:r>
        <w:rPr>
          <w:kern w:val="0"/>
          <w:szCs w:val="24"/>
        </w:rPr>
        <w:lastRenderedPageBreak/>
        <w:t>China (1143)</w:t>
      </w:r>
      <w:r w:rsidR="005853A9">
        <w:rPr>
          <w:kern w:val="0"/>
          <w:szCs w:val="24"/>
        </w:rPr>
        <w:t xml:space="preserve"> and </w:t>
      </w:r>
      <w:r>
        <w:rPr>
          <w:kern w:val="0"/>
          <w:szCs w:val="24"/>
        </w:rPr>
        <w:t>Hong Kong (1540). Anesthesia &amp; Analgesia published more articles than any other journal from all 3 regions. CONCLUSION:</w:t>
      </w:r>
      <w:r w:rsidR="003A1917">
        <w:rPr>
          <w:kern w:val="0"/>
          <w:szCs w:val="24"/>
        </w:rPr>
        <w:t xml:space="preserve"> the </w:t>
      </w:r>
      <w:r>
        <w:rPr>
          <w:kern w:val="0"/>
          <w:szCs w:val="24"/>
        </w:rPr>
        <w:t>total number</w:t>
      </w:r>
      <w:r w:rsidR="00427468">
        <w:rPr>
          <w:kern w:val="0"/>
          <w:szCs w:val="24"/>
        </w:rPr>
        <w:t xml:space="preserve"> of </w:t>
      </w:r>
      <w:r>
        <w:rPr>
          <w:kern w:val="0"/>
          <w:szCs w:val="24"/>
        </w:rPr>
        <w:t>articles from China published in highly cited anesthesiology journals increased markedly from 1999 to 2008, with articles from mainland China increasing substantially after 2004, whereas</w:t>
      </w:r>
      <w:r w:rsidR="003A1917">
        <w:rPr>
          <w:kern w:val="0"/>
          <w:szCs w:val="24"/>
        </w:rPr>
        <w:t xml:space="preserve"> the </w:t>
      </w:r>
      <w:r>
        <w:rPr>
          <w:kern w:val="0"/>
          <w:szCs w:val="24"/>
        </w:rPr>
        <w:t>number</w:t>
      </w:r>
      <w:r w:rsidR="00427468">
        <w:rPr>
          <w:kern w:val="0"/>
          <w:szCs w:val="24"/>
        </w:rPr>
        <w:t xml:space="preserve"> of </w:t>
      </w:r>
      <w:r>
        <w:rPr>
          <w:kern w:val="0"/>
          <w:szCs w:val="24"/>
        </w:rPr>
        <w:t>publications from Hong Kong decreased</w:t>
      </w:r>
      <w:r w:rsidR="00A37C1D">
        <w:rPr>
          <w:kern w:val="0"/>
          <w:szCs w:val="24"/>
        </w:rPr>
        <w:t>. The</w:t>
      </w:r>
      <w:r w:rsidR="003A1917">
        <w:rPr>
          <w:kern w:val="0"/>
          <w:szCs w:val="24"/>
        </w:rPr>
        <w:t xml:space="preserve"> </w:t>
      </w:r>
      <w:r>
        <w:rPr>
          <w:kern w:val="0"/>
          <w:szCs w:val="24"/>
        </w:rPr>
        <w:t>average impact factor was similar for all 3 regions, ranging from 2.2 to 2.8. Anesthesia &amp; Analgesia published more articles from Chinese authors from all 3 regions than any other journal. (Anesth Analg 2010;110:918-21).</w:t>
      </w:r>
    </w:p>
    <w:p w:rsidR="00C4436C" w:rsidRDefault="00C4436C" w:rsidP="00C4436C">
      <w:pPr>
        <w:pStyle w:val="a3"/>
        <w:rPr>
          <w:kern w:val="0"/>
          <w:szCs w:val="24"/>
        </w:rPr>
      </w:pPr>
      <w:r>
        <w:rPr>
          <w:kern w:val="0"/>
          <w:szCs w:val="24"/>
        </w:rPr>
        <w:t>Keywords: Articles, China, Citation, Citations, Database, Growth, Hong Kong, Impact, Impact Factor, Impact Factors, International, Journal, Journals, Literature, Number</w:t>
      </w:r>
      <w:r w:rsidR="00427468">
        <w:rPr>
          <w:kern w:val="0"/>
          <w:szCs w:val="24"/>
        </w:rPr>
        <w:t xml:space="preserve"> of </w:t>
      </w:r>
      <w:r>
        <w:rPr>
          <w:kern w:val="0"/>
          <w:szCs w:val="24"/>
        </w:rPr>
        <w:t>Publications, Publications, Research, Science, Science Citation Index</w:t>
      </w:r>
    </w:p>
    <w:p w:rsidR="00EF498D" w:rsidRDefault="00EF498D" w:rsidP="00EF498D">
      <w:pPr>
        <w:pStyle w:val="a3"/>
        <w:rPr>
          <w:kern w:val="0"/>
          <w:szCs w:val="24"/>
        </w:rPr>
      </w:pPr>
      <w:r>
        <w:rPr>
          <w:rFonts w:hint="eastAsia"/>
          <w:kern w:val="0"/>
          <w:szCs w:val="24"/>
        </w:rPr>
        <w:t xml:space="preserve">? </w:t>
      </w:r>
      <w:r>
        <w:rPr>
          <w:kern w:val="0"/>
          <w:szCs w:val="24"/>
        </w:rPr>
        <w:t>Neuman, S.A., Long, T.R.</w:t>
      </w:r>
      <w:r w:rsidR="005853A9">
        <w:rPr>
          <w:kern w:val="0"/>
          <w:szCs w:val="24"/>
        </w:rPr>
        <w:t xml:space="preserve"> and </w:t>
      </w:r>
      <w:r>
        <w:rPr>
          <w:kern w:val="0"/>
          <w:szCs w:val="24"/>
        </w:rPr>
        <w:t xml:space="preserve">Rose, S.H. (2011), Publication misrepresentation among anesthesiology residency applicants. </w:t>
      </w:r>
      <w:r>
        <w:rPr>
          <w:i/>
          <w:iCs/>
          <w:kern w:val="0"/>
          <w:szCs w:val="24"/>
        </w:rPr>
        <w:t>Anesthesia</w:t>
      </w:r>
      <w:r w:rsidR="005853A9">
        <w:rPr>
          <w:i/>
          <w:iCs/>
          <w:kern w:val="0"/>
          <w:szCs w:val="24"/>
        </w:rPr>
        <w:t xml:space="preserve"> and </w:t>
      </w:r>
      <w:r>
        <w:rPr>
          <w:i/>
          <w:iCs/>
          <w:kern w:val="0"/>
          <w:szCs w:val="24"/>
        </w:rPr>
        <w:t>Analgesia</w:t>
      </w:r>
      <w:r>
        <w:rPr>
          <w:kern w:val="0"/>
          <w:szCs w:val="24"/>
        </w:rPr>
        <w:t xml:space="preserve">, </w:t>
      </w:r>
      <w:r>
        <w:rPr>
          <w:b/>
          <w:bCs/>
          <w:kern w:val="0"/>
          <w:szCs w:val="24"/>
        </w:rPr>
        <w:t>112</w:t>
      </w:r>
      <w:r>
        <w:rPr>
          <w:kern w:val="0"/>
          <w:szCs w:val="24"/>
        </w:rPr>
        <w:t xml:space="preserve"> (3), 674-677.</w:t>
      </w:r>
    </w:p>
    <w:p w:rsidR="00EF498D" w:rsidRPr="00F219CA" w:rsidRDefault="00EF498D" w:rsidP="00EF498D">
      <w:pPr>
        <w:pStyle w:val="a3"/>
      </w:pPr>
      <w:r w:rsidRPr="00F219CA">
        <w:t xml:space="preserve">Full Text: </w:t>
      </w:r>
      <w:hyperlink r:id="rId770" w:history="1">
        <w:r w:rsidRPr="002D3038">
          <w:rPr>
            <w:rStyle w:val="a5"/>
          </w:rPr>
          <w:t>2011\Ane Ana112, 674.pdf</w:t>
        </w:r>
      </w:hyperlink>
    </w:p>
    <w:p w:rsidR="00EF498D" w:rsidRDefault="00EF498D" w:rsidP="00EF498D">
      <w:pPr>
        <w:pStyle w:val="a3"/>
        <w:rPr>
          <w:kern w:val="0"/>
          <w:szCs w:val="24"/>
        </w:rPr>
      </w:pPr>
      <w:r>
        <w:rPr>
          <w:kern w:val="0"/>
          <w:szCs w:val="24"/>
        </w:rPr>
        <w:t>Abstract: BACKGROUND: Publication misrepresentation has been documented among applicants for residency positions in several specialties. However, these data are not available for anesthesiology applicants. Our purpose in this study was to document</w:t>
      </w:r>
      <w:r w:rsidR="003A1917">
        <w:rPr>
          <w:kern w:val="0"/>
          <w:szCs w:val="24"/>
        </w:rPr>
        <w:t xml:space="preserve"> the </w:t>
      </w:r>
      <w:r>
        <w:rPr>
          <w:kern w:val="0"/>
          <w:szCs w:val="24"/>
        </w:rPr>
        <w:t>prevalence</w:t>
      </w:r>
      <w:r w:rsidR="00427468">
        <w:rPr>
          <w:kern w:val="0"/>
          <w:szCs w:val="24"/>
        </w:rPr>
        <w:t xml:space="preserve"> of </w:t>
      </w:r>
      <w:r>
        <w:rPr>
          <w:kern w:val="0"/>
          <w:szCs w:val="24"/>
        </w:rPr>
        <w:t>publication misrepresentation among applicants to a single anesthesiology residency, to compare anesthesiology publication misrepresentation data with similar data in other specialties,</w:t>
      </w:r>
      <w:r w:rsidR="005853A9">
        <w:rPr>
          <w:kern w:val="0"/>
          <w:szCs w:val="24"/>
        </w:rPr>
        <w:t xml:space="preserve"> and </w:t>
      </w:r>
      <w:r>
        <w:rPr>
          <w:kern w:val="0"/>
          <w:szCs w:val="24"/>
        </w:rPr>
        <w:t>to determine how often publication misrepresentation leads to an unfair competitive advantage in</w:t>
      </w:r>
      <w:r w:rsidR="003A1917">
        <w:rPr>
          <w:kern w:val="0"/>
          <w:szCs w:val="24"/>
        </w:rPr>
        <w:t xml:space="preserve"> the </w:t>
      </w:r>
      <w:r>
        <w:rPr>
          <w:kern w:val="0"/>
          <w:szCs w:val="24"/>
        </w:rPr>
        <w:t>application process. METHODS: Applications to</w:t>
      </w:r>
      <w:r w:rsidR="003A1917">
        <w:rPr>
          <w:kern w:val="0"/>
          <w:szCs w:val="24"/>
        </w:rPr>
        <w:t xml:space="preserve"> the </w:t>
      </w:r>
      <w:r>
        <w:rPr>
          <w:kern w:val="0"/>
          <w:szCs w:val="24"/>
        </w:rPr>
        <w:t>Mayo School</w:t>
      </w:r>
      <w:r w:rsidR="00427468">
        <w:rPr>
          <w:kern w:val="0"/>
          <w:szCs w:val="24"/>
        </w:rPr>
        <w:t xml:space="preserve"> of </w:t>
      </w:r>
      <w:r>
        <w:rPr>
          <w:kern w:val="0"/>
          <w:szCs w:val="24"/>
        </w:rPr>
        <w:t xml:space="preserve">Graduate Medical Education anesthesiology core residency in Rochester, Minnesota, were reviewed for publication misrepresentations using </w:t>
      </w:r>
      <w:r w:rsidR="00D5664A">
        <w:rPr>
          <w:kern w:val="0"/>
          <w:szCs w:val="24"/>
        </w:rPr>
        <w:t>MEDLINE</w:t>
      </w:r>
      <w:r w:rsidR="005853A9">
        <w:rPr>
          <w:kern w:val="0"/>
          <w:szCs w:val="24"/>
        </w:rPr>
        <w:t xml:space="preserve"> and </w:t>
      </w:r>
      <w:r w:rsidR="002C12F0">
        <w:rPr>
          <w:kern w:val="0"/>
          <w:szCs w:val="24"/>
        </w:rPr>
        <w:t>PUBMED</w:t>
      </w:r>
      <w:r>
        <w:rPr>
          <w:kern w:val="0"/>
          <w:szCs w:val="24"/>
        </w:rPr>
        <w:t xml:space="preserve"> databases, Mayo Clinic library databases, and/or review by a qualified medical librarian. Misrepresented publications underwent further review to identify fraudulent publications and/or citation errors that provide an unfair competitive advantage. RESULTS:</w:t>
      </w:r>
      <w:r w:rsidR="003A1917">
        <w:rPr>
          <w:kern w:val="0"/>
          <w:szCs w:val="24"/>
        </w:rPr>
        <w:t xml:space="preserve"> the </w:t>
      </w:r>
      <w:r>
        <w:rPr>
          <w:kern w:val="0"/>
          <w:szCs w:val="24"/>
        </w:rPr>
        <w:t>authors found that 2.4%</w:t>
      </w:r>
      <w:r w:rsidR="00427468">
        <w:rPr>
          <w:kern w:val="0"/>
          <w:szCs w:val="24"/>
        </w:rPr>
        <w:t xml:space="preserve"> of </w:t>
      </w:r>
      <w:r w:rsidR="003A1917">
        <w:rPr>
          <w:kern w:val="0"/>
          <w:szCs w:val="24"/>
        </w:rPr>
        <w:t xml:space="preserve">the </w:t>
      </w:r>
      <w:r>
        <w:rPr>
          <w:kern w:val="0"/>
          <w:szCs w:val="24"/>
        </w:rPr>
        <w:t>applications (13</w:t>
      </w:r>
      <w:r w:rsidR="00427468">
        <w:rPr>
          <w:kern w:val="0"/>
          <w:szCs w:val="24"/>
        </w:rPr>
        <w:t xml:space="preserve"> of </w:t>
      </w:r>
      <w:r>
        <w:rPr>
          <w:kern w:val="0"/>
          <w:szCs w:val="24"/>
        </w:rPr>
        <w:t>532) included fraudulent publications, 6.6%</w:t>
      </w:r>
      <w:r w:rsidR="00427468">
        <w:rPr>
          <w:kern w:val="0"/>
          <w:szCs w:val="24"/>
        </w:rPr>
        <w:t xml:space="preserve"> of </w:t>
      </w:r>
      <w:r w:rsidR="003A1917">
        <w:rPr>
          <w:kern w:val="0"/>
          <w:szCs w:val="24"/>
        </w:rPr>
        <w:t xml:space="preserve">the </w:t>
      </w:r>
      <w:r>
        <w:rPr>
          <w:kern w:val="0"/>
          <w:szCs w:val="24"/>
        </w:rPr>
        <w:t>applications with at least 1 publication (13</w:t>
      </w:r>
      <w:r w:rsidR="00427468">
        <w:rPr>
          <w:kern w:val="0"/>
          <w:szCs w:val="24"/>
        </w:rPr>
        <w:t xml:space="preserve"> of </w:t>
      </w:r>
      <w:r>
        <w:rPr>
          <w:kern w:val="0"/>
          <w:szCs w:val="24"/>
        </w:rPr>
        <w:t>197) included &gt;= 1 that was fraudulent,</w:t>
      </w:r>
      <w:r w:rsidR="005853A9">
        <w:rPr>
          <w:kern w:val="0"/>
          <w:szCs w:val="24"/>
        </w:rPr>
        <w:t xml:space="preserve"> and </w:t>
      </w:r>
      <w:r>
        <w:rPr>
          <w:kern w:val="0"/>
          <w:szCs w:val="24"/>
        </w:rPr>
        <w:t>2.9%</w:t>
      </w:r>
      <w:r w:rsidR="00427468">
        <w:rPr>
          <w:kern w:val="0"/>
          <w:szCs w:val="24"/>
        </w:rPr>
        <w:t xml:space="preserve"> of </w:t>
      </w:r>
      <w:r>
        <w:rPr>
          <w:kern w:val="0"/>
          <w:szCs w:val="24"/>
        </w:rPr>
        <w:t>all cited publications (15</w:t>
      </w:r>
      <w:r w:rsidR="00427468">
        <w:rPr>
          <w:kern w:val="0"/>
          <w:szCs w:val="24"/>
        </w:rPr>
        <w:t xml:space="preserve"> of </w:t>
      </w:r>
      <w:r>
        <w:rPr>
          <w:kern w:val="0"/>
          <w:szCs w:val="24"/>
        </w:rPr>
        <w:t>522) were fraudulent. In addition, 0.9%</w:t>
      </w:r>
      <w:r w:rsidR="00427468">
        <w:rPr>
          <w:kern w:val="0"/>
          <w:szCs w:val="24"/>
        </w:rPr>
        <w:t xml:space="preserve"> of </w:t>
      </w:r>
      <w:r w:rsidR="003A1917">
        <w:rPr>
          <w:kern w:val="0"/>
          <w:szCs w:val="24"/>
        </w:rPr>
        <w:t xml:space="preserve">the </w:t>
      </w:r>
      <w:r>
        <w:rPr>
          <w:kern w:val="0"/>
          <w:szCs w:val="24"/>
        </w:rPr>
        <w:t>applications (5</w:t>
      </w:r>
      <w:r w:rsidR="00427468">
        <w:rPr>
          <w:kern w:val="0"/>
          <w:szCs w:val="24"/>
        </w:rPr>
        <w:t xml:space="preserve"> of </w:t>
      </w:r>
      <w:r>
        <w:rPr>
          <w:kern w:val="0"/>
          <w:szCs w:val="24"/>
        </w:rPr>
        <w:t>532) contained a citation error that, although not grossly fraudulent, could have favorably affected</w:t>
      </w:r>
      <w:r w:rsidR="003A1917">
        <w:rPr>
          <w:kern w:val="0"/>
          <w:szCs w:val="24"/>
        </w:rPr>
        <w:t xml:space="preserve"> the </w:t>
      </w:r>
      <w:r>
        <w:rPr>
          <w:kern w:val="0"/>
          <w:szCs w:val="24"/>
        </w:rPr>
        <w:t>applicant</w:t>
      </w:r>
      <w:r w:rsidR="00700038">
        <w:rPr>
          <w:kern w:val="0"/>
          <w:szCs w:val="24"/>
        </w:rPr>
        <w:t>’</w:t>
      </w:r>
      <w:r w:rsidR="00C13DDC">
        <w:rPr>
          <w:kern w:val="0"/>
          <w:szCs w:val="24"/>
        </w:rPr>
        <w:t>s</w:t>
      </w:r>
      <w:r>
        <w:rPr>
          <w:kern w:val="0"/>
          <w:szCs w:val="24"/>
        </w:rPr>
        <w:t xml:space="preserve"> competitiveness for a residency position. CONCLUSIONS: Misrepresented publications were fairly common among anesthesiology residency applicants. However, only a small percentage</w:t>
      </w:r>
      <w:r w:rsidR="00427468">
        <w:rPr>
          <w:kern w:val="0"/>
          <w:szCs w:val="24"/>
        </w:rPr>
        <w:t xml:space="preserve"> of </w:t>
      </w:r>
      <w:r>
        <w:rPr>
          <w:kern w:val="0"/>
          <w:szCs w:val="24"/>
        </w:rPr>
        <w:t>applicants listed misrepresented publications that were clearly fraudulent or contained a citation error that conferred a competitive advantage. Identification</w:t>
      </w:r>
      <w:r w:rsidR="00427468">
        <w:rPr>
          <w:kern w:val="0"/>
          <w:szCs w:val="24"/>
        </w:rPr>
        <w:t xml:space="preserve"> of </w:t>
      </w:r>
      <w:r>
        <w:rPr>
          <w:kern w:val="0"/>
          <w:szCs w:val="24"/>
        </w:rPr>
        <w:t>fraudulent publications on Electronic Residency Application Service applications is important to maintain</w:t>
      </w:r>
      <w:r w:rsidR="003A1917">
        <w:rPr>
          <w:kern w:val="0"/>
          <w:szCs w:val="24"/>
        </w:rPr>
        <w:t xml:space="preserve"> the </w:t>
      </w:r>
      <w:r>
        <w:rPr>
          <w:kern w:val="0"/>
          <w:szCs w:val="24"/>
        </w:rPr>
        <w:t>integrity</w:t>
      </w:r>
      <w:r w:rsidR="00427468">
        <w:rPr>
          <w:kern w:val="0"/>
          <w:szCs w:val="24"/>
        </w:rPr>
        <w:t xml:space="preserve"> of </w:t>
      </w:r>
      <w:r w:rsidR="003A1917">
        <w:rPr>
          <w:kern w:val="0"/>
          <w:szCs w:val="24"/>
        </w:rPr>
        <w:lastRenderedPageBreak/>
        <w:t xml:space="preserve">the </w:t>
      </w:r>
      <w:r>
        <w:rPr>
          <w:kern w:val="0"/>
          <w:szCs w:val="24"/>
        </w:rPr>
        <w:t>application process. (Anesth Analg 2011;112:674-7).</w:t>
      </w:r>
    </w:p>
    <w:p w:rsidR="00EF498D" w:rsidRDefault="00EF498D" w:rsidP="00EF498D">
      <w:pPr>
        <w:pStyle w:val="a3"/>
        <w:rPr>
          <w:kern w:val="0"/>
          <w:szCs w:val="24"/>
        </w:rPr>
      </w:pPr>
      <w:r>
        <w:rPr>
          <w:kern w:val="0"/>
          <w:szCs w:val="24"/>
        </w:rPr>
        <w:t xml:space="preserve">Keywords: Anesthesiology, Application, Authors, Authorship, Background, Citation, Citation Error, Citation Errors, Competitive, Data, Databases, Error, Errors, Fellowships, Mar, Medical, Methods, Prevalence, Program, Publication, Publications, </w:t>
      </w:r>
      <w:r w:rsidR="002C12F0">
        <w:rPr>
          <w:kern w:val="0"/>
          <w:szCs w:val="24"/>
        </w:rPr>
        <w:t>PUBMED</w:t>
      </w:r>
      <w:r>
        <w:rPr>
          <w:kern w:val="0"/>
          <w:szCs w:val="24"/>
        </w:rPr>
        <w:t>, Purpose, Residency, Review, Small</w:t>
      </w:r>
    </w:p>
    <w:p w:rsidR="0062028A" w:rsidRDefault="0062028A" w:rsidP="0062028A">
      <w:pPr>
        <w:pStyle w:val="a3"/>
        <w:rPr>
          <w:kern w:val="0"/>
        </w:rPr>
      </w:pPr>
      <w:r>
        <w:rPr>
          <w:rFonts w:hint="eastAsia"/>
          <w:kern w:val="0"/>
        </w:rPr>
        <w:t xml:space="preserve">? </w:t>
      </w:r>
      <w:r>
        <w:rPr>
          <w:kern w:val="0"/>
        </w:rPr>
        <w:t>Afshari, A., Brok, J., Moller, A.M.</w:t>
      </w:r>
      <w:r w:rsidR="005853A9">
        <w:rPr>
          <w:kern w:val="0"/>
        </w:rPr>
        <w:t xml:space="preserve"> and </w:t>
      </w:r>
      <w:r>
        <w:rPr>
          <w:kern w:val="0"/>
        </w:rPr>
        <w:t>Wetterslev, J. (2011), Inhaled nitric oxide for acute respiratory distress syndrome</w:t>
      </w:r>
      <w:r w:rsidR="005853A9">
        <w:rPr>
          <w:kern w:val="0"/>
        </w:rPr>
        <w:t xml:space="preserve"> and </w:t>
      </w:r>
      <w:r>
        <w:rPr>
          <w:kern w:val="0"/>
        </w:rPr>
        <w:t>acute lung injury in adults</w:t>
      </w:r>
      <w:r w:rsidR="005853A9">
        <w:rPr>
          <w:kern w:val="0"/>
        </w:rPr>
        <w:t xml:space="preserve"> and </w:t>
      </w:r>
      <w:r>
        <w:rPr>
          <w:kern w:val="0"/>
        </w:rPr>
        <w:t>children: A systematic review with meta-analysis</w:t>
      </w:r>
      <w:r w:rsidR="005853A9">
        <w:rPr>
          <w:kern w:val="0"/>
        </w:rPr>
        <w:t xml:space="preserve"> and </w:t>
      </w:r>
      <w:r>
        <w:rPr>
          <w:kern w:val="0"/>
        </w:rPr>
        <w:t xml:space="preserve">trial sequential analysis. </w:t>
      </w:r>
      <w:r>
        <w:rPr>
          <w:i/>
          <w:iCs/>
          <w:kern w:val="0"/>
        </w:rPr>
        <w:t>Anesthesia</w:t>
      </w:r>
      <w:r w:rsidR="005853A9">
        <w:rPr>
          <w:i/>
          <w:iCs/>
          <w:kern w:val="0"/>
        </w:rPr>
        <w:t xml:space="preserve"> and </w:t>
      </w:r>
      <w:r>
        <w:rPr>
          <w:i/>
          <w:iCs/>
          <w:kern w:val="0"/>
        </w:rPr>
        <w:t>Analgesia</w:t>
      </w:r>
      <w:r>
        <w:rPr>
          <w:kern w:val="0"/>
        </w:rPr>
        <w:t xml:space="preserve">, </w:t>
      </w:r>
      <w:r>
        <w:rPr>
          <w:b/>
          <w:bCs/>
          <w:kern w:val="0"/>
        </w:rPr>
        <w:t>112</w:t>
      </w:r>
      <w:r>
        <w:rPr>
          <w:kern w:val="0"/>
        </w:rPr>
        <w:t xml:space="preserve"> (6), 1411-1421.</w:t>
      </w:r>
    </w:p>
    <w:p w:rsidR="006539D9" w:rsidRDefault="006539D9" w:rsidP="006539D9">
      <w:pPr>
        <w:pStyle w:val="a3"/>
        <w:rPr>
          <w:kern w:val="0"/>
        </w:rPr>
      </w:pPr>
      <w:r>
        <w:rPr>
          <w:rFonts w:hint="eastAsia"/>
          <w:kern w:val="0"/>
        </w:rPr>
        <w:t xml:space="preserve">Full Text: </w:t>
      </w:r>
      <w:r w:rsidRPr="006F1855">
        <w:rPr>
          <w:kern w:val="0"/>
        </w:rPr>
        <w:t>2011\Ane Ana112, 1411.pdf</w:t>
      </w:r>
    </w:p>
    <w:p w:rsidR="0062028A" w:rsidRDefault="0062028A" w:rsidP="0062028A">
      <w:pPr>
        <w:pStyle w:val="a3"/>
        <w:rPr>
          <w:kern w:val="0"/>
        </w:rPr>
      </w:pPr>
      <w:r>
        <w:rPr>
          <w:kern w:val="0"/>
        </w:rPr>
        <w:t>Abstract: BACKGROUND: Acute hypoxemic respiratory failure, defined as acute lung injury</w:t>
      </w:r>
      <w:r w:rsidR="005853A9">
        <w:rPr>
          <w:kern w:val="0"/>
        </w:rPr>
        <w:t xml:space="preserve"> and </w:t>
      </w:r>
      <w:r>
        <w:rPr>
          <w:kern w:val="0"/>
        </w:rPr>
        <w:t>acute respiratory distress syndrome, are critical conditions associated with frequent mortality</w:t>
      </w:r>
      <w:r w:rsidR="005853A9">
        <w:rPr>
          <w:kern w:val="0"/>
        </w:rPr>
        <w:t xml:space="preserve"> and </w:t>
      </w:r>
      <w:r>
        <w:rPr>
          <w:kern w:val="0"/>
        </w:rPr>
        <w:t>morbidity in all ages. Inhaled nitric oxide (iNO) has been used to improve oxygenation, but its role remains controversial. We performed a systematic review with meta-analysis</w:t>
      </w:r>
      <w:r w:rsidR="005853A9">
        <w:rPr>
          <w:kern w:val="0"/>
        </w:rPr>
        <w:t xml:space="preserve"> and </w:t>
      </w:r>
      <w:r>
        <w:rPr>
          <w:kern w:val="0"/>
        </w:rPr>
        <w:t>trial sequential analysis</w:t>
      </w:r>
      <w:r w:rsidR="00427468">
        <w:rPr>
          <w:kern w:val="0"/>
        </w:rPr>
        <w:t xml:space="preserve"> of </w:t>
      </w:r>
      <w:r>
        <w:rPr>
          <w:kern w:val="0"/>
        </w:rPr>
        <w:t xml:space="preserve">randomized clinical trials (RCTs). We searched CENTRAL, </w:t>
      </w:r>
      <w:r w:rsidR="00D5664A">
        <w:rPr>
          <w:kern w:val="0"/>
        </w:rPr>
        <w:t>MEDLINE</w:t>
      </w:r>
      <w:r>
        <w:rPr>
          <w:kern w:val="0"/>
        </w:rPr>
        <w:t xml:space="preserve">, EMBASE, International </w:t>
      </w:r>
      <w:r w:rsidR="00D5664A">
        <w:rPr>
          <w:kern w:val="0"/>
        </w:rPr>
        <w:t>Web</w:t>
      </w:r>
      <w:r w:rsidR="00427468">
        <w:rPr>
          <w:kern w:val="0"/>
        </w:rPr>
        <w:t xml:space="preserve"> of </w:t>
      </w:r>
      <w:r w:rsidR="00D5664A">
        <w:rPr>
          <w:kern w:val="0"/>
        </w:rPr>
        <w:t>Science</w:t>
      </w:r>
      <w:r>
        <w:rPr>
          <w:kern w:val="0"/>
        </w:rPr>
        <w:t>, LILACS,</w:t>
      </w:r>
      <w:r w:rsidR="003A1917">
        <w:rPr>
          <w:kern w:val="0"/>
        </w:rPr>
        <w:t xml:space="preserve"> the </w:t>
      </w:r>
      <w:r>
        <w:rPr>
          <w:kern w:val="0"/>
        </w:rPr>
        <w:t>Chinese Biomedical Literature Database,</w:t>
      </w:r>
      <w:r w:rsidR="005853A9">
        <w:rPr>
          <w:kern w:val="0"/>
        </w:rPr>
        <w:t xml:space="preserve"> and </w:t>
      </w:r>
      <w:r>
        <w:rPr>
          <w:kern w:val="0"/>
        </w:rPr>
        <w:t>CINHAL (up to January 31, 2010). Additionally, we hand-searched reference lists, contacted authors</w:t>
      </w:r>
      <w:r w:rsidR="005853A9">
        <w:rPr>
          <w:kern w:val="0"/>
        </w:rPr>
        <w:t xml:space="preserve"> and </w:t>
      </w:r>
      <w:r>
        <w:rPr>
          <w:kern w:val="0"/>
        </w:rPr>
        <w:t>experts,</w:t>
      </w:r>
      <w:r w:rsidR="005853A9">
        <w:rPr>
          <w:kern w:val="0"/>
        </w:rPr>
        <w:t xml:space="preserve"> and </w:t>
      </w:r>
      <w:r>
        <w:rPr>
          <w:kern w:val="0"/>
        </w:rPr>
        <w:t>searched registers</w:t>
      </w:r>
      <w:r w:rsidR="00427468">
        <w:rPr>
          <w:kern w:val="0"/>
        </w:rPr>
        <w:t xml:space="preserve"> of </w:t>
      </w:r>
      <w:r>
        <w:rPr>
          <w:kern w:val="0"/>
        </w:rPr>
        <w:t>ongoing trials. Two reviewers independently selected all parallel group RCTs comparing iNO with placebo or no intervention</w:t>
      </w:r>
      <w:r w:rsidR="005853A9">
        <w:rPr>
          <w:kern w:val="0"/>
        </w:rPr>
        <w:t xml:space="preserve"> and </w:t>
      </w:r>
      <w:r>
        <w:rPr>
          <w:kern w:val="0"/>
        </w:rPr>
        <w:t>extracted data related to study methods, interventions, outcomes, bias risk,</w:t>
      </w:r>
      <w:r w:rsidR="005853A9">
        <w:rPr>
          <w:kern w:val="0"/>
        </w:rPr>
        <w:t xml:space="preserve"> and </w:t>
      </w:r>
      <w:r>
        <w:rPr>
          <w:kern w:val="0"/>
        </w:rPr>
        <w:t>adverse events. All trials, irrespective</w:t>
      </w:r>
      <w:r w:rsidR="00427468">
        <w:rPr>
          <w:kern w:val="0"/>
        </w:rPr>
        <w:t xml:space="preserve"> of </w:t>
      </w:r>
      <w:r>
        <w:rPr>
          <w:kern w:val="0"/>
        </w:rPr>
        <w:t>blinding or language status were included. Retrieved trials were evaluated with Cochrane methodology. Disagreements were resolved by discussion. Our primary outcome measure was all-cause mortality. We performed subgroup</w:t>
      </w:r>
      <w:r w:rsidR="005853A9">
        <w:rPr>
          <w:kern w:val="0"/>
        </w:rPr>
        <w:t xml:space="preserve"> and </w:t>
      </w:r>
      <w:r>
        <w:rPr>
          <w:kern w:val="0"/>
        </w:rPr>
        <w:t>sensitivity analyses to assess</w:t>
      </w:r>
      <w:r w:rsidR="003A1917">
        <w:rPr>
          <w:kern w:val="0"/>
        </w:rPr>
        <w:t xml:space="preserve"> the </w:t>
      </w:r>
      <w:r>
        <w:rPr>
          <w:kern w:val="0"/>
        </w:rPr>
        <w:t>effect</w:t>
      </w:r>
      <w:r w:rsidR="00427468">
        <w:rPr>
          <w:kern w:val="0"/>
        </w:rPr>
        <w:t xml:space="preserve"> of </w:t>
      </w:r>
      <w:r>
        <w:rPr>
          <w:kern w:val="0"/>
        </w:rPr>
        <w:t>iNO in adults</w:t>
      </w:r>
      <w:r w:rsidR="005853A9">
        <w:rPr>
          <w:kern w:val="0"/>
        </w:rPr>
        <w:t xml:space="preserve"> and </w:t>
      </w:r>
      <w:r>
        <w:rPr>
          <w:kern w:val="0"/>
        </w:rPr>
        <w:t>children</w:t>
      </w:r>
      <w:r w:rsidR="005853A9">
        <w:rPr>
          <w:kern w:val="0"/>
        </w:rPr>
        <w:t xml:space="preserve"> and </w:t>
      </w:r>
      <w:r>
        <w:rPr>
          <w:kern w:val="0"/>
        </w:rPr>
        <w:t>on various clinical</w:t>
      </w:r>
      <w:r w:rsidR="005853A9">
        <w:rPr>
          <w:kern w:val="0"/>
        </w:rPr>
        <w:t xml:space="preserve"> and </w:t>
      </w:r>
      <w:r>
        <w:rPr>
          <w:kern w:val="0"/>
        </w:rPr>
        <w:t>physiological outcomes. We assessed</w:t>
      </w:r>
      <w:r w:rsidR="003A1917">
        <w:rPr>
          <w:kern w:val="0"/>
        </w:rPr>
        <w:t xml:space="preserve"> the </w:t>
      </w:r>
      <w:r>
        <w:rPr>
          <w:kern w:val="0"/>
        </w:rPr>
        <w:t>risk</w:t>
      </w:r>
      <w:r w:rsidR="00427468">
        <w:rPr>
          <w:kern w:val="0"/>
        </w:rPr>
        <w:t xml:space="preserve"> of </w:t>
      </w:r>
      <w:r>
        <w:rPr>
          <w:kern w:val="0"/>
        </w:rPr>
        <w:t>bias through assessment</w:t>
      </w:r>
      <w:r w:rsidR="00427468">
        <w:rPr>
          <w:kern w:val="0"/>
        </w:rPr>
        <w:t xml:space="preserve"> of </w:t>
      </w:r>
      <w:r>
        <w:rPr>
          <w:kern w:val="0"/>
        </w:rPr>
        <w:t>trial methodological components. We assessed</w:t>
      </w:r>
      <w:r w:rsidR="003A1917">
        <w:rPr>
          <w:kern w:val="0"/>
        </w:rPr>
        <w:t xml:space="preserve"> the </w:t>
      </w:r>
      <w:r>
        <w:rPr>
          <w:kern w:val="0"/>
        </w:rPr>
        <w:t>risk</w:t>
      </w:r>
      <w:r w:rsidR="00427468">
        <w:rPr>
          <w:kern w:val="0"/>
        </w:rPr>
        <w:t xml:space="preserve"> of </w:t>
      </w:r>
      <w:r>
        <w:rPr>
          <w:kern w:val="0"/>
        </w:rPr>
        <w:t>random error by applying trial sequential analysis. RESULTS: We included 14 RCTs with a total</w:t>
      </w:r>
      <w:r w:rsidR="00427468">
        <w:rPr>
          <w:kern w:val="0"/>
        </w:rPr>
        <w:t xml:space="preserve"> of </w:t>
      </w:r>
      <w:r>
        <w:rPr>
          <w:kern w:val="0"/>
        </w:rPr>
        <w:t>1303 participants; 10</w:t>
      </w:r>
      <w:r w:rsidR="00427468">
        <w:rPr>
          <w:kern w:val="0"/>
        </w:rPr>
        <w:t xml:space="preserve"> of </w:t>
      </w:r>
      <w:r>
        <w:rPr>
          <w:kern w:val="0"/>
        </w:rPr>
        <w:t>these trials had a high risk</w:t>
      </w:r>
      <w:r w:rsidR="00427468">
        <w:rPr>
          <w:kern w:val="0"/>
        </w:rPr>
        <w:t xml:space="preserve"> of </w:t>
      </w:r>
      <w:r>
        <w:rPr>
          <w:kern w:val="0"/>
        </w:rPr>
        <w:t>bias. iNO showed no statistically significant effect on overall mortality (40.2% versus 38.6%) (relative risks [RR] 1.06, 95% confidence interval [CI] 0.93 to 1.22; I(2) = 0)</w:t>
      </w:r>
      <w:r w:rsidR="005853A9">
        <w:rPr>
          <w:kern w:val="0"/>
        </w:rPr>
        <w:t xml:space="preserve"> and </w:t>
      </w:r>
      <w:r>
        <w:rPr>
          <w:kern w:val="0"/>
        </w:rPr>
        <w:t>in several subgroup</w:t>
      </w:r>
      <w:r w:rsidR="005853A9">
        <w:rPr>
          <w:kern w:val="0"/>
        </w:rPr>
        <w:t xml:space="preserve"> and </w:t>
      </w:r>
      <w:r>
        <w:rPr>
          <w:kern w:val="0"/>
        </w:rPr>
        <w:t>sensitivity analyses, indicating robust results. Limited data demonstrated a statistically insignificant effect</w:t>
      </w:r>
      <w:r w:rsidR="00427468">
        <w:rPr>
          <w:kern w:val="0"/>
        </w:rPr>
        <w:t xml:space="preserve"> of </w:t>
      </w:r>
      <w:r>
        <w:rPr>
          <w:kern w:val="0"/>
        </w:rPr>
        <w:t>iNO on duration</w:t>
      </w:r>
      <w:r w:rsidR="00427468">
        <w:rPr>
          <w:kern w:val="0"/>
        </w:rPr>
        <w:t xml:space="preserve"> of </w:t>
      </w:r>
      <w:r>
        <w:rPr>
          <w:kern w:val="0"/>
        </w:rPr>
        <w:t>ventilation, ventilator-free days,</w:t>
      </w:r>
      <w:r w:rsidR="005853A9">
        <w:rPr>
          <w:kern w:val="0"/>
        </w:rPr>
        <w:t xml:space="preserve"> and </w:t>
      </w:r>
      <w:r>
        <w:rPr>
          <w:kern w:val="0"/>
        </w:rPr>
        <w:t>length</w:t>
      </w:r>
      <w:r w:rsidR="00427468">
        <w:rPr>
          <w:kern w:val="0"/>
        </w:rPr>
        <w:t xml:space="preserve"> of </w:t>
      </w:r>
      <w:r>
        <w:rPr>
          <w:kern w:val="0"/>
        </w:rPr>
        <w:t>stay in</w:t>
      </w:r>
      <w:r w:rsidR="003A1917">
        <w:rPr>
          <w:kern w:val="0"/>
        </w:rPr>
        <w:t xml:space="preserve"> the </w:t>
      </w:r>
      <w:r>
        <w:rPr>
          <w:kern w:val="0"/>
        </w:rPr>
        <w:t>intensive care unit</w:t>
      </w:r>
      <w:r w:rsidR="005853A9">
        <w:rPr>
          <w:kern w:val="0"/>
        </w:rPr>
        <w:t xml:space="preserve"> and </w:t>
      </w:r>
      <w:r>
        <w:rPr>
          <w:kern w:val="0"/>
        </w:rPr>
        <w:t>hospital. We found a statistically significant but transient improvement in oxygenation in</w:t>
      </w:r>
      <w:r w:rsidR="003A1917">
        <w:rPr>
          <w:kern w:val="0"/>
        </w:rPr>
        <w:t xml:space="preserve"> the </w:t>
      </w:r>
      <w:r>
        <w:rPr>
          <w:kern w:val="0"/>
        </w:rPr>
        <w:t>first 24 hours, expressed as</w:t>
      </w:r>
      <w:r w:rsidR="003A1917">
        <w:rPr>
          <w:kern w:val="0"/>
        </w:rPr>
        <w:t xml:space="preserve"> the </w:t>
      </w:r>
      <w:r>
        <w:rPr>
          <w:kern w:val="0"/>
        </w:rPr>
        <w:t>ratio</w:t>
      </w:r>
      <w:r w:rsidR="00427468">
        <w:rPr>
          <w:kern w:val="0"/>
        </w:rPr>
        <w:t xml:space="preserve"> of </w:t>
      </w:r>
      <w:r>
        <w:rPr>
          <w:kern w:val="0"/>
        </w:rPr>
        <w:t>PO(2) to fraction</w:t>
      </w:r>
      <w:r w:rsidR="00427468">
        <w:rPr>
          <w:kern w:val="0"/>
        </w:rPr>
        <w:t xml:space="preserve"> of </w:t>
      </w:r>
      <w:r>
        <w:rPr>
          <w:kern w:val="0"/>
        </w:rPr>
        <w:t>inspired oxygen (mean difference [MD] 15.91, 95% CI 8.25 to 23.56; I(2) = 25%). However, iNO appears to increase</w:t>
      </w:r>
      <w:r w:rsidR="003A1917">
        <w:rPr>
          <w:kern w:val="0"/>
        </w:rPr>
        <w:t xml:space="preserve"> the </w:t>
      </w:r>
      <w:r>
        <w:rPr>
          <w:kern w:val="0"/>
        </w:rPr>
        <w:t>risk</w:t>
      </w:r>
      <w:r w:rsidR="00427468">
        <w:rPr>
          <w:kern w:val="0"/>
        </w:rPr>
        <w:t xml:space="preserve"> of </w:t>
      </w:r>
      <w:r>
        <w:rPr>
          <w:kern w:val="0"/>
        </w:rPr>
        <w:t>renal impairment among adults (RR 1.59, 95% CI 1.17 to 2.16; I(2) = 0) but not</w:t>
      </w:r>
      <w:r w:rsidR="003A1917">
        <w:rPr>
          <w:kern w:val="0"/>
        </w:rPr>
        <w:t xml:space="preserve"> the </w:t>
      </w:r>
      <w:r>
        <w:rPr>
          <w:kern w:val="0"/>
        </w:rPr>
        <w:lastRenderedPageBreak/>
        <w:t>risk</w:t>
      </w:r>
      <w:r w:rsidR="00427468">
        <w:rPr>
          <w:kern w:val="0"/>
        </w:rPr>
        <w:t xml:space="preserve"> of </w:t>
      </w:r>
      <w:r>
        <w:rPr>
          <w:kern w:val="0"/>
        </w:rPr>
        <w:t>bleeding or methemoglobin or nitrogen dioxide formation. CONCLUSION: iNO cannot be recommended for patients with acute hypoxemic respiratory failure. iNO results in a transient improvement in oxygenation but does not reduce mortality</w:t>
      </w:r>
      <w:r w:rsidR="005853A9">
        <w:rPr>
          <w:kern w:val="0"/>
        </w:rPr>
        <w:t xml:space="preserve"> and </w:t>
      </w:r>
      <w:r>
        <w:rPr>
          <w:kern w:val="0"/>
        </w:rPr>
        <w:t>may be harmful. (Anesth Analg 2011; 112: 1411-21).</w:t>
      </w:r>
    </w:p>
    <w:p w:rsidR="0062028A" w:rsidRDefault="0062028A" w:rsidP="0062028A">
      <w:pPr>
        <w:pStyle w:val="a3"/>
        <w:rPr>
          <w:kern w:val="0"/>
        </w:rPr>
      </w:pPr>
      <w:r>
        <w:rPr>
          <w:kern w:val="0"/>
        </w:rPr>
        <w:t>Keywords: Adults, Analysis, Assessment, Authors, Bias, Children, Clinical Trials, Clinical-Trials, Cochrane, Cumulative Metaanalysis, Distress, Failure, Hospital, Inhalation, Injury, Intensive Care, Intensive Care Unit, Intervention, Interventions, Length</w:t>
      </w:r>
      <w:r w:rsidR="00427468">
        <w:rPr>
          <w:kern w:val="0"/>
        </w:rPr>
        <w:t xml:space="preserve"> of </w:t>
      </w:r>
      <w:r>
        <w:rPr>
          <w:kern w:val="0"/>
        </w:rPr>
        <w:t xml:space="preserve">Stay, Limitations, Meta-Analysis, Methodology, Monitoring Boundaries, Morbidity, Mortality, Multicenter, Outcome, Outcomes, Primary, Randomized Clinical Trials, Randomized Controlled-Trial, Ratio, Respiratory Distress Syndrome, Review, Risk, Science, Systematic, Systematic Review, Therapy, Ventilation, </w:t>
      </w:r>
      <w:r w:rsidR="00D5664A">
        <w:rPr>
          <w:kern w:val="0"/>
        </w:rPr>
        <w:t>Web</w:t>
      </w:r>
      <w:r w:rsidR="00427468">
        <w:rPr>
          <w:kern w:val="0"/>
        </w:rPr>
        <w:t xml:space="preserve"> of </w:t>
      </w:r>
      <w:r w:rsidR="00D5664A">
        <w:rPr>
          <w:kern w:val="0"/>
        </w:rPr>
        <w:t>Science</w:t>
      </w:r>
    </w:p>
    <w:p w:rsidR="00B10B74" w:rsidRDefault="00B10B74" w:rsidP="00B10B74">
      <w:pPr>
        <w:pStyle w:val="a3"/>
        <w:rPr>
          <w:kern w:val="0"/>
        </w:rPr>
      </w:pPr>
      <w:r>
        <w:rPr>
          <w:rFonts w:hint="eastAsia"/>
          <w:kern w:val="0"/>
        </w:rPr>
        <w:t xml:space="preserve">? </w:t>
      </w:r>
      <w:r>
        <w:rPr>
          <w:kern w:val="0"/>
        </w:rPr>
        <w:t>Schonberger, R.B.</w:t>
      </w:r>
      <w:r w:rsidR="005853A9">
        <w:rPr>
          <w:kern w:val="0"/>
        </w:rPr>
        <w:t xml:space="preserve"> and </w:t>
      </w:r>
      <w:r>
        <w:rPr>
          <w:kern w:val="0"/>
        </w:rPr>
        <w:t xml:space="preserve">Barash, P.G. (2012), Impact versus impact factor: Revisiting a classic article that was never cited. </w:t>
      </w:r>
      <w:r>
        <w:rPr>
          <w:i/>
          <w:iCs/>
          <w:kern w:val="0"/>
        </w:rPr>
        <w:t>Anesthesia</w:t>
      </w:r>
      <w:r w:rsidR="005853A9">
        <w:rPr>
          <w:i/>
          <w:iCs/>
          <w:kern w:val="0"/>
        </w:rPr>
        <w:t xml:space="preserve"> and </w:t>
      </w:r>
      <w:r>
        <w:rPr>
          <w:i/>
          <w:iCs/>
          <w:kern w:val="0"/>
        </w:rPr>
        <w:t>Analgesia</w:t>
      </w:r>
      <w:r>
        <w:rPr>
          <w:kern w:val="0"/>
        </w:rPr>
        <w:t xml:space="preserve">, </w:t>
      </w:r>
      <w:r>
        <w:rPr>
          <w:b/>
          <w:bCs/>
          <w:kern w:val="0"/>
        </w:rPr>
        <w:t>115</w:t>
      </w:r>
      <w:r>
        <w:rPr>
          <w:kern w:val="0"/>
        </w:rPr>
        <w:t xml:space="preserve"> (6), 1286-1287</w:t>
      </w:r>
      <w:r>
        <w:rPr>
          <w:rFonts w:hint="eastAsia"/>
          <w:kern w:val="0"/>
        </w:rPr>
        <w:t>.</w:t>
      </w:r>
    </w:p>
    <w:p w:rsidR="00B10B74" w:rsidRDefault="00B10B74" w:rsidP="00B10B74">
      <w:pPr>
        <w:pStyle w:val="a3"/>
        <w:rPr>
          <w:kern w:val="0"/>
        </w:rPr>
      </w:pPr>
      <w:r>
        <w:rPr>
          <w:rFonts w:hint="eastAsia"/>
          <w:kern w:val="0"/>
        </w:rPr>
        <w:t xml:space="preserve">Full Text: </w:t>
      </w:r>
      <w:hyperlink r:id="rId771" w:history="1">
        <w:r w:rsidRPr="00374E80">
          <w:rPr>
            <w:rStyle w:val="a5"/>
            <w:kern w:val="0"/>
          </w:rPr>
          <w:t>2012\Ane Ana115, 1286.pdf</w:t>
        </w:r>
      </w:hyperlink>
    </w:p>
    <w:p w:rsidR="00B10B74" w:rsidRDefault="00B10B74" w:rsidP="00B10B74">
      <w:pPr>
        <w:pStyle w:val="a3"/>
        <w:rPr>
          <w:kern w:val="0"/>
        </w:rPr>
      </w:pPr>
      <w:r>
        <w:rPr>
          <w:kern w:val="0"/>
        </w:rPr>
        <w:t>Keywords: Article, Impact, Impact Factor</w:t>
      </w:r>
    </w:p>
    <w:p w:rsidR="00935D80" w:rsidRDefault="00935D80" w:rsidP="00935D80">
      <w:pPr>
        <w:pStyle w:val="a3"/>
        <w:rPr>
          <w:kern w:val="0"/>
        </w:rPr>
      </w:pPr>
      <w:r>
        <w:rPr>
          <w:kern w:val="0"/>
        </w:rPr>
        <w:t>? Mihara, T., Tojo, K., Uchimoto, K., Morita, S.</w:t>
      </w:r>
      <w:r w:rsidR="005853A9">
        <w:rPr>
          <w:kern w:val="0"/>
        </w:rPr>
        <w:t xml:space="preserve"> and </w:t>
      </w:r>
      <w:r>
        <w:rPr>
          <w:kern w:val="0"/>
        </w:rPr>
        <w:t>Goto, T. (2013), Reevaluation</w:t>
      </w:r>
      <w:r w:rsidR="00427468">
        <w:rPr>
          <w:kern w:val="0"/>
        </w:rPr>
        <w:t xml:space="preserve"> of </w:t>
      </w:r>
      <w:r>
        <w:rPr>
          <w:kern w:val="0"/>
        </w:rPr>
        <w:t>the effectiveness</w:t>
      </w:r>
      <w:r w:rsidR="00427468">
        <w:rPr>
          <w:kern w:val="0"/>
        </w:rPr>
        <w:t xml:space="preserve"> of </w:t>
      </w:r>
      <w:r>
        <w:rPr>
          <w:kern w:val="0"/>
        </w:rPr>
        <w:t>Ramosetron for preventing postoperative nausea</w:t>
      </w:r>
      <w:r w:rsidR="005853A9">
        <w:rPr>
          <w:kern w:val="0"/>
        </w:rPr>
        <w:t xml:space="preserve"> and </w:t>
      </w:r>
      <w:r>
        <w:rPr>
          <w:kern w:val="0"/>
        </w:rPr>
        <w:t>vomiting: A systematic review</w:t>
      </w:r>
      <w:r w:rsidR="005853A9">
        <w:rPr>
          <w:kern w:val="0"/>
        </w:rPr>
        <w:t xml:space="preserve"> and </w:t>
      </w:r>
      <w:r>
        <w:rPr>
          <w:kern w:val="0"/>
        </w:rPr>
        <w:t xml:space="preserve">meta-analysis. </w:t>
      </w:r>
      <w:r>
        <w:rPr>
          <w:i/>
          <w:iCs/>
          <w:kern w:val="0"/>
        </w:rPr>
        <w:t>Anesthesia</w:t>
      </w:r>
      <w:r w:rsidR="005853A9">
        <w:rPr>
          <w:i/>
          <w:iCs/>
          <w:kern w:val="0"/>
        </w:rPr>
        <w:t xml:space="preserve"> and </w:t>
      </w:r>
      <w:r>
        <w:rPr>
          <w:i/>
          <w:iCs/>
          <w:kern w:val="0"/>
        </w:rPr>
        <w:t>Analgesia</w:t>
      </w:r>
      <w:r>
        <w:rPr>
          <w:kern w:val="0"/>
        </w:rPr>
        <w:t xml:space="preserve">, </w:t>
      </w:r>
      <w:r>
        <w:rPr>
          <w:b/>
          <w:bCs/>
          <w:kern w:val="0"/>
        </w:rPr>
        <w:t>117</w:t>
      </w:r>
      <w:r>
        <w:rPr>
          <w:kern w:val="0"/>
        </w:rPr>
        <w:t xml:space="preserve"> (2), 329-339.</w:t>
      </w:r>
    </w:p>
    <w:p w:rsidR="00935D80" w:rsidRDefault="00935D80" w:rsidP="00935D80">
      <w:pPr>
        <w:pStyle w:val="a3"/>
        <w:rPr>
          <w:kern w:val="0"/>
        </w:rPr>
      </w:pPr>
      <w:r>
        <w:rPr>
          <w:rFonts w:hint="eastAsia"/>
          <w:kern w:val="0"/>
        </w:rPr>
        <w:t xml:space="preserve">Full Text: </w:t>
      </w:r>
      <w:r w:rsidRPr="008973FC">
        <w:rPr>
          <w:kern w:val="0"/>
        </w:rPr>
        <w:t>201</w:t>
      </w:r>
      <w:r>
        <w:rPr>
          <w:rFonts w:hint="eastAsia"/>
          <w:kern w:val="0"/>
        </w:rPr>
        <w:t>3</w:t>
      </w:r>
      <w:r w:rsidRPr="008973FC">
        <w:rPr>
          <w:kern w:val="0"/>
        </w:rPr>
        <w:t>\Ane Ana11</w:t>
      </w:r>
      <w:r>
        <w:rPr>
          <w:rFonts w:hint="eastAsia"/>
          <w:kern w:val="0"/>
        </w:rPr>
        <w:t>7</w:t>
      </w:r>
      <w:r w:rsidRPr="008973FC">
        <w:rPr>
          <w:kern w:val="0"/>
        </w:rPr>
        <w:t xml:space="preserve">, </w:t>
      </w:r>
      <w:r>
        <w:rPr>
          <w:rFonts w:hint="eastAsia"/>
          <w:kern w:val="0"/>
        </w:rPr>
        <w:t>329</w:t>
      </w:r>
      <w:r w:rsidRPr="008973FC">
        <w:rPr>
          <w:kern w:val="0"/>
        </w:rPr>
        <w:t>.pdf</w:t>
      </w:r>
    </w:p>
    <w:p w:rsidR="00935D80" w:rsidRDefault="00935D80" w:rsidP="00935D80">
      <w:pPr>
        <w:pStyle w:val="a3"/>
        <w:rPr>
          <w:kern w:val="0"/>
        </w:rPr>
      </w:pPr>
      <w:r>
        <w:rPr>
          <w:kern w:val="0"/>
        </w:rPr>
        <w:t>Abstract: BACKGROUND: Ramosetron has been shown to have a very strong effect for preventing postoperative nausea</w:t>
      </w:r>
      <w:r w:rsidR="005853A9">
        <w:rPr>
          <w:kern w:val="0"/>
        </w:rPr>
        <w:t xml:space="preserve"> and </w:t>
      </w:r>
      <w:r>
        <w:rPr>
          <w:kern w:val="0"/>
        </w:rPr>
        <w:t>vomiting (PONV) in previous meta-analyses. However, these previous meta-analyses included a number</w:t>
      </w:r>
      <w:r w:rsidR="00427468">
        <w:rPr>
          <w:kern w:val="0"/>
        </w:rPr>
        <w:t xml:space="preserve"> of </w:t>
      </w:r>
      <w:r>
        <w:rPr>
          <w:kern w:val="0"/>
        </w:rPr>
        <w:t>studies by Fujii et al. which have now been proven to have been fabricated. In the present meta-analysis, we reevaluated the effectiveness</w:t>
      </w:r>
      <w:r w:rsidR="00427468">
        <w:rPr>
          <w:kern w:val="0"/>
        </w:rPr>
        <w:t xml:space="preserve"> of </w:t>
      </w:r>
      <w:r>
        <w:rPr>
          <w:kern w:val="0"/>
        </w:rPr>
        <w:t>ramosetron in preventing PONV after excluding Fujii et al.</w:t>
      </w:r>
      <w:r w:rsidR="00700038">
        <w:rPr>
          <w:kern w:val="0"/>
        </w:rPr>
        <w:t>’</w:t>
      </w:r>
      <w:r>
        <w:rPr>
          <w:kern w:val="0"/>
        </w:rPr>
        <w:t xml:space="preserve">s randomized controlled trials. METHODS: We searched </w:t>
      </w:r>
      <w:r w:rsidR="00D5664A">
        <w:rPr>
          <w:kern w:val="0"/>
        </w:rPr>
        <w:t>MEDLINE</w:t>
      </w:r>
      <w:r>
        <w:rPr>
          <w:kern w:val="0"/>
        </w:rPr>
        <w:t>, Cochrane Central Register</w:t>
      </w:r>
      <w:r w:rsidR="00427468">
        <w:rPr>
          <w:kern w:val="0"/>
        </w:rPr>
        <w:t xml:space="preserve"> of </w:t>
      </w:r>
      <w:r>
        <w:rPr>
          <w:kern w:val="0"/>
        </w:rPr>
        <w:t>Controlled Trials (CENTRAL),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All double-blind randomized controlled trials that tested the efficacy</w:t>
      </w:r>
      <w:r w:rsidR="00427468">
        <w:rPr>
          <w:kern w:val="0"/>
        </w:rPr>
        <w:t xml:space="preserve"> of </w:t>
      </w:r>
      <w:r>
        <w:rPr>
          <w:kern w:val="0"/>
        </w:rPr>
        <w:t>ramosetron compared with a placebo or other drugs as a control in the prophylaxis</w:t>
      </w:r>
      <w:r w:rsidR="00427468">
        <w:rPr>
          <w:kern w:val="0"/>
        </w:rPr>
        <w:t xml:space="preserve"> of </w:t>
      </w:r>
      <w:r>
        <w:rPr>
          <w:kern w:val="0"/>
        </w:rPr>
        <w:t>PONV were considered to be eligible</w:t>
      </w:r>
      <w:r w:rsidR="00A37C1D">
        <w:rPr>
          <w:kern w:val="0"/>
        </w:rPr>
        <w:t>. The</w:t>
      </w:r>
      <w:r>
        <w:rPr>
          <w:kern w:val="0"/>
        </w:rPr>
        <w:t xml:space="preserve"> first postoperative 24 hours were divided into early (0-6 hours)</w:t>
      </w:r>
      <w:r w:rsidR="005853A9">
        <w:rPr>
          <w:kern w:val="0"/>
        </w:rPr>
        <w:t xml:space="preserve"> and </w:t>
      </w:r>
      <w:r>
        <w:rPr>
          <w:kern w:val="0"/>
        </w:rPr>
        <w:t>late (6-24 hours) time periods,</w:t>
      </w:r>
      <w:r w:rsidR="005853A9">
        <w:rPr>
          <w:kern w:val="0"/>
        </w:rPr>
        <w:t xml:space="preserve"> and </w:t>
      </w:r>
      <w:r>
        <w:rPr>
          <w:kern w:val="0"/>
        </w:rPr>
        <w:t>we collected these data separately. RESULTS: A total</w:t>
      </w:r>
      <w:r w:rsidR="00427468">
        <w:rPr>
          <w:kern w:val="0"/>
        </w:rPr>
        <w:t xml:space="preserve"> of </w:t>
      </w:r>
      <w:r>
        <w:rPr>
          <w:kern w:val="0"/>
        </w:rPr>
        <w:t>1372 patients were included in the final analysis. Compared with a placebo, ramosetron reduced the incidence</w:t>
      </w:r>
      <w:r w:rsidR="00427468">
        <w:rPr>
          <w:kern w:val="0"/>
        </w:rPr>
        <w:t xml:space="preserve"> of </w:t>
      </w:r>
      <w:r>
        <w:rPr>
          <w:kern w:val="0"/>
        </w:rPr>
        <w:t>early postoperative nausea (PON) (relative risk [RR] [95% confidence interval] 0.59 [0.47-0.73]: number needed to treat [NNT] [95% confidence interval] 6.0 [4.3-9.7]), late PON (RR 0.65 [0.49-0.85]: NNT 7.2 [4.6-16.6]), early postoperative vomiting (POV) (RR 0.48 [0.31-0.74]: NNT 14.8 [8.3-70.4]),</w:t>
      </w:r>
      <w:r w:rsidR="005853A9">
        <w:rPr>
          <w:kern w:val="0"/>
        </w:rPr>
        <w:t xml:space="preserve"> and </w:t>
      </w:r>
      <w:r>
        <w:rPr>
          <w:kern w:val="0"/>
        </w:rPr>
        <w:t>late POV (RR 0.50 [0.35-0.73]: NNT 12.3 [7.1-47.6]). Compared with ondansetron, ramosetron reduces early POV (RR 0.50 [0.28-0.90]: NNT 24.1 [10.7-98.0])</w:t>
      </w:r>
      <w:r w:rsidR="005853A9">
        <w:rPr>
          <w:kern w:val="0"/>
        </w:rPr>
        <w:t xml:space="preserve"> and </w:t>
      </w:r>
      <w:r>
        <w:rPr>
          <w:kern w:val="0"/>
        </w:rPr>
        <w:t xml:space="preserve">late POV (RR 0.53 [0.34-0.81]: NNT 27.2 </w:t>
      </w:r>
      <w:r>
        <w:rPr>
          <w:kern w:val="0"/>
        </w:rPr>
        <w:lastRenderedPageBreak/>
        <w:t>[12.0-102.0]) but not PON. CONCLUSIONS: Ramosetron has a significant effect for preventing PONV compared with a placebo, but less than that reported in previous analyses. Ramosetron also has statistically significant differences in preventing early</w:t>
      </w:r>
      <w:r w:rsidR="005853A9">
        <w:rPr>
          <w:kern w:val="0"/>
        </w:rPr>
        <w:t xml:space="preserve"> and </w:t>
      </w:r>
      <w:r>
        <w:rPr>
          <w:kern w:val="0"/>
        </w:rPr>
        <w:t>late POV compared with ondansetron, but the clinical significance may be questioned because the NNTs are large.</w:t>
      </w:r>
    </w:p>
    <w:p w:rsidR="00935D80" w:rsidRDefault="00935D80" w:rsidP="00935D80">
      <w:pPr>
        <w:pStyle w:val="a3"/>
        <w:rPr>
          <w:kern w:val="0"/>
        </w:rPr>
      </w:pPr>
      <w:r>
        <w:rPr>
          <w:kern w:val="0"/>
        </w:rPr>
        <w:t xml:space="preserve">Keywords: 5-HT3 Receptor Antagonists, Analyses, Analysis, Background, Clinical, Combination, Conclusions, Confidence, Control, Data, Dexamethasone, Double-Blind, Drugs, Effectiveness, Efficacy, First, Fujii et-al., Incidence, Laparoscopic Cholecystectomy, </w:t>
      </w:r>
      <w:r w:rsidR="00D5664A">
        <w:rPr>
          <w:kern w:val="0"/>
        </w:rPr>
        <w:t>MEDLINE</w:t>
      </w:r>
      <w:r>
        <w:rPr>
          <w:kern w:val="0"/>
        </w:rPr>
        <w:t>, Meta Analysis, Meta-Analysis, Metaanalysis, Methods, Nausea, Nausea</w:t>
      </w:r>
      <w:r w:rsidR="005853A9">
        <w:rPr>
          <w:kern w:val="0"/>
        </w:rPr>
        <w:t xml:space="preserve"> and </w:t>
      </w:r>
      <w:r>
        <w:rPr>
          <w:kern w:val="0"/>
        </w:rPr>
        <w:t>Vomiting, Number Needed To Treat, Ondansetron, Patient-Controlled Analgesia, Patients, Placebo, Postoperative, Postoperative Nausea</w:t>
      </w:r>
      <w:r w:rsidR="005853A9">
        <w:rPr>
          <w:kern w:val="0"/>
        </w:rPr>
        <w:t xml:space="preserve"> and </w:t>
      </w:r>
      <w:r>
        <w:rPr>
          <w:kern w:val="0"/>
        </w:rPr>
        <w:t xml:space="preserve">Vomiting, Prophylaxis, Randomized, Randomized Controlled Trials, Randomized Controlled-Trials, Relative Risk, Review, Risk, Science, Significance, Surgery, Vomiting, </w:t>
      </w:r>
      <w:r w:rsidR="00D5664A">
        <w:rPr>
          <w:kern w:val="0"/>
        </w:rPr>
        <w:t>Web</w:t>
      </w:r>
      <w:r w:rsidR="00427468">
        <w:rPr>
          <w:kern w:val="0"/>
        </w:rPr>
        <w:t xml:space="preserve"> of </w:t>
      </w:r>
      <w:r w:rsidR="00D5664A">
        <w:rPr>
          <w:kern w:val="0"/>
        </w:rPr>
        <w:t>Science</w:t>
      </w:r>
    </w:p>
    <w:p w:rsidR="005B4629" w:rsidRDefault="005B4629" w:rsidP="005B4629">
      <w:pPr>
        <w:pStyle w:val="a3"/>
        <w:rPr>
          <w:kern w:val="0"/>
        </w:rPr>
      </w:pPr>
      <w:r>
        <w:rPr>
          <w:rFonts w:hint="eastAsia"/>
          <w:kern w:val="0"/>
        </w:rPr>
        <w:t xml:space="preserve">? </w:t>
      </w:r>
      <w:r>
        <w:rPr>
          <w:kern w:val="0"/>
        </w:rPr>
        <w:t xml:space="preserve">Hurley, R.W., Zhao, K., Tighe, P.J., Ko, P.S., Pronovost, P.J. and Wu, C.L. (2014), Examination of publications from academic anesthesiology faculty in the united states. </w:t>
      </w:r>
      <w:r>
        <w:rPr>
          <w:i/>
          <w:iCs/>
          <w:kern w:val="0"/>
        </w:rPr>
        <w:t>Anesthesia and Analgesia</w:t>
      </w:r>
      <w:r>
        <w:rPr>
          <w:kern w:val="0"/>
        </w:rPr>
        <w:t xml:space="preserve">, </w:t>
      </w:r>
      <w:r>
        <w:rPr>
          <w:b/>
          <w:bCs/>
          <w:kern w:val="0"/>
        </w:rPr>
        <w:t>118</w:t>
      </w:r>
      <w:r>
        <w:rPr>
          <w:kern w:val="0"/>
        </w:rPr>
        <w:t xml:space="preserve"> (1), 192-199.</w:t>
      </w:r>
    </w:p>
    <w:p w:rsidR="005B4629" w:rsidRDefault="005B4629" w:rsidP="005B4629">
      <w:pPr>
        <w:pStyle w:val="a3"/>
        <w:rPr>
          <w:kern w:val="0"/>
        </w:rPr>
      </w:pPr>
      <w:r>
        <w:rPr>
          <w:kern w:val="0"/>
        </w:rPr>
        <w:t>Full Text: 201</w:t>
      </w:r>
      <w:r>
        <w:rPr>
          <w:rFonts w:hint="eastAsia"/>
          <w:kern w:val="0"/>
        </w:rPr>
        <w:t>4</w:t>
      </w:r>
      <w:r>
        <w:rPr>
          <w:kern w:val="0"/>
        </w:rPr>
        <w:t>\Ane Ana11</w:t>
      </w:r>
      <w:r>
        <w:rPr>
          <w:rFonts w:hint="eastAsia"/>
          <w:kern w:val="0"/>
        </w:rPr>
        <w:t>8</w:t>
      </w:r>
      <w:r>
        <w:rPr>
          <w:kern w:val="0"/>
        </w:rPr>
        <w:t xml:space="preserve">, </w:t>
      </w:r>
      <w:r>
        <w:rPr>
          <w:rFonts w:hint="eastAsia"/>
          <w:kern w:val="0"/>
        </w:rPr>
        <w:t>192</w:t>
      </w:r>
      <w:r>
        <w:rPr>
          <w:kern w:val="0"/>
        </w:rPr>
        <w:t>.pdf</w:t>
      </w:r>
    </w:p>
    <w:p w:rsidR="005B4629" w:rsidRDefault="001E1D98" w:rsidP="005B4629">
      <w:pPr>
        <w:pStyle w:val="a3"/>
        <w:rPr>
          <w:kern w:val="0"/>
        </w:rPr>
      </w:pPr>
      <w:r>
        <w:rPr>
          <w:kern w:val="0"/>
        </w:rPr>
        <w:t>Abstract:</w:t>
      </w:r>
      <w:r w:rsidR="005B4629">
        <w:rPr>
          <w:kern w:val="0"/>
        </w:rPr>
        <w:t xml:space="preserve"> BACKGROUND: Leaders in academic anesthesiology in the United States have called for an examination of the state of scholarship within anesthesiology departments. National Institutes of Health funding and publication quality of subsets of U.S anesthesiologists have been examined; however, the publication output of and the demographic characteristics that are associated with academic anesthesiologists, defined as faculty associated with a medical college, are unknown. A database from the American Association of Medical Colleges containing demographic information of all academic anesthesiologists in the United States was used to examine the publication output and demographic characteristics of anesthesiology faculty during a 2-year period from 2006 to 2008. METHOD: All the publications found in the PubMed database for each faculty member were retrieved and included in a database containing their demographics including institution, gender, academic degree, academic rank, nature of appointment (part versus full-time), status of appointment (joint versus primary), departmental division, subspecialty certification status, and additional graduate medical education training. RESULTS: Six thousand one hundred forty-three faculty who held positions at the 108 U.S. academic anesthesiology programs published 8521 manuscripts between 2006 and 2008. Thirty-seven percent of faculty published a manuscript, and the overall median publication rate was 0</w:t>
      </w:r>
      <w:r w:rsidR="00A37C1D">
        <w:rPr>
          <w:kern w:val="0"/>
        </w:rPr>
        <w:t>. The</w:t>
      </w:r>
      <w:r w:rsidR="005B4629">
        <w:rPr>
          <w:kern w:val="0"/>
        </w:rPr>
        <w:t xml:space="preserve"> proportion of faculty with at least 1 publication was larger among faculty with higher rank (Odds Ratio [OR] for professors versus instructors = 6.4; confidence interval [CI], 4.57-8.49; P &lt; 0.0001), male gender (OR </w:t>
      </w:r>
      <w:r w:rsidR="005B4629">
        <w:rPr>
          <w:kern w:val="0"/>
        </w:rPr>
        <w:lastRenderedPageBreak/>
        <w:t>1.3; CI, 0.14-1.47; P &lt; 0.0001), possessing a courtesy appointment status (OR 2.1; CI, 1.25-3.52; P = 0.0048) and lacking postgraduate training and subspecialty certification (OR for MD versus MD w/training + certification 1.3; CI, 1.11-1.60; P = 0.0020). Those faculty with an MD had lower probablility of publishing when compared with MD/PhD or PhD faculty (OR 0.45; CI, 0.32-0.65; P &lt; 0.0001; OR 0.27; CI, 0.20-0.37; P &lt; 0.0001, respectively). Within the group of faculty who published at least 1 paper, full professor faculty had 3.8 times more publications than instructors (CI, 2.99-4.88; P &lt; 0.0001), and those who lacked postgraduate training had 1.4 times more publications than those who were trained and certified (CI, 1.16-1.78; P = 0.0009). PhD degree (P = 0.006), male gender (P = 0.013), and courtesy anesthesia appointment (P = 0.037) also were associated with higher publication rates. CONCLUSIONS: The overall publication rate of anesthesiologists associated with medical schools was low in this time period</w:t>
      </w:r>
      <w:r w:rsidR="00A37C1D">
        <w:rPr>
          <w:kern w:val="0"/>
        </w:rPr>
        <w:t>. The</w:t>
      </w:r>
      <w:r w:rsidR="005B4629">
        <w:rPr>
          <w:kern w:val="0"/>
        </w:rPr>
        <w:t>se data establish the pre-call to action baseline of scholarly activity by U.S. academic anesthesiologists for future comparisons. Increased use of structured resident and fellow research education programs as well as recruiting more MD/PhD and PhD scientists to the field may help to improve the publication productivity of academic anesthesiology departments.</w:t>
      </w:r>
    </w:p>
    <w:p w:rsidR="005B4629" w:rsidRDefault="005B4629" w:rsidP="005B4629">
      <w:pPr>
        <w:pStyle w:val="a3"/>
        <w:rPr>
          <w:kern w:val="0"/>
        </w:rPr>
      </w:pPr>
      <w:r>
        <w:rPr>
          <w:kern w:val="0"/>
        </w:rPr>
        <w:t>Keywords: Academic, Activity, Anesthesia, Anesthesiology, Association, Background, Bibliometrics, Certification, Characteristics, College, Conclusions, Confidence, Data, Database, Departments, Education, Examination, Faculty, Field, Funding, Gender, Graduate, Health, Information, Interval, Leadership, Male, Male Gender, Medical, Medical Education, Medical Schools, Medicine, National Institutes Of Health, National Institutes Of Health Funding, Odds Ratio, P, Ph</w:t>
      </w:r>
      <w:r>
        <w:rPr>
          <w:rFonts w:hint="eastAsia"/>
          <w:kern w:val="0"/>
        </w:rPr>
        <w:t>D</w:t>
      </w:r>
      <w:r>
        <w:rPr>
          <w:kern w:val="0"/>
        </w:rPr>
        <w:t>, Physician Scientists, Postgraduate Training, Primary, Productivity, Professor, Professors, Programs, Publication, Publication Productivity, Publication Rate, Publications, Publishing, Pubmed, Quality, Quality Of, Radiology, Rank, Rates, Research, Research Education, Resident, Scholarly Productivity, Scholarship, Scientists, State, Time Period, Training, United States, University, Women</w:t>
      </w:r>
    </w:p>
    <w:p w:rsidR="002E504A" w:rsidRDefault="002E504A" w:rsidP="002E504A">
      <w:pPr>
        <w:pStyle w:val="a3"/>
        <w:rPr>
          <w:kern w:val="0"/>
        </w:rPr>
      </w:pPr>
      <w:r>
        <w:rPr>
          <w:kern w:val="0"/>
        </w:rPr>
        <w:t xml:space="preserve">? Kim, S.H., Lilot, M., Murphy, L.S.L., Sidhu, K.S., Yu, Z.X., Rinehart, J. and Cannesson, M. (2014), Accuracy of continuous noninvasive hemoglobin monitoring: A systematic review and meta-analysis. </w:t>
      </w:r>
      <w:r>
        <w:rPr>
          <w:i/>
          <w:iCs/>
          <w:kern w:val="0"/>
        </w:rPr>
        <w:t>Anesthesia and Analgesia</w:t>
      </w:r>
      <w:r>
        <w:rPr>
          <w:kern w:val="0"/>
        </w:rPr>
        <w:t xml:space="preserve">, </w:t>
      </w:r>
      <w:r>
        <w:rPr>
          <w:b/>
          <w:bCs/>
          <w:kern w:val="0"/>
        </w:rPr>
        <w:t>119</w:t>
      </w:r>
      <w:r>
        <w:rPr>
          <w:kern w:val="0"/>
        </w:rPr>
        <w:t xml:space="preserve"> (2), 332-346.</w:t>
      </w:r>
    </w:p>
    <w:p w:rsidR="002E504A" w:rsidRDefault="002E504A" w:rsidP="002E504A">
      <w:pPr>
        <w:pStyle w:val="a3"/>
        <w:rPr>
          <w:kern w:val="0"/>
        </w:rPr>
      </w:pPr>
      <w:r>
        <w:rPr>
          <w:kern w:val="0"/>
        </w:rPr>
        <w:t>Full Text: 2014\Ane Ana11</w:t>
      </w:r>
      <w:r>
        <w:rPr>
          <w:rFonts w:hint="eastAsia"/>
          <w:kern w:val="0"/>
        </w:rPr>
        <w:t>9</w:t>
      </w:r>
      <w:r>
        <w:rPr>
          <w:kern w:val="0"/>
        </w:rPr>
        <w:t xml:space="preserve">, </w:t>
      </w:r>
      <w:r>
        <w:rPr>
          <w:rFonts w:hint="eastAsia"/>
          <w:kern w:val="0"/>
        </w:rPr>
        <w:t>332</w:t>
      </w:r>
      <w:r>
        <w:rPr>
          <w:kern w:val="0"/>
        </w:rPr>
        <w:t>.pdf</w:t>
      </w:r>
    </w:p>
    <w:p w:rsidR="002E504A" w:rsidRDefault="002E504A" w:rsidP="002E504A">
      <w:pPr>
        <w:pStyle w:val="a3"/>
        <w:rPr>
          <w:kern w:val="0"/>
        </w:rPr>
      </w:pPr>
      <w:r>
        <w:rPr>
          <w:kern w:val="0"/>
        </w:rPr>
        <w:t xml:space="preserve">Abstract: BACKGROUND: Noninvasive hemoglobin (Hb) monitoring devices are available in the clinical setting, but their accuracy and precision against central laboratory Hb measurements have not been evaluated in a systematic review and meta-analysis. METHODS: We conducted a comprehensive search of the literature (2005 to August 2013) with PubMed, Web of Science and the Cochrane Library, reviewed references of retrieved articles, and contacted manufactures to identify </w:t>
      </w:r>
      <w:r>
        <w:rPr>
          <w:kern w:val="0"/>
        </w:rPr>
        <w:lastRenderedPageBreak/>
        <w:t>studies assessing the accuracy of noninvasive Hb monitoring against central laboratory Hb measurements. Two independent reviewers assessed the quality of studies using recommendations for reporting guidelines and quality criteria for method comparison studies. Pooled mean difference and standard deviation (SD) (95% limits of agreement) across studies were calculated using the random-effects model. Heterogeneity was assessed using the l(2) statistic. RESULTS: A total of 32 studies (4425 subjects, median sample size of 44, ranged from 10 to 569 patients per study) were included in this meta-analysis. The overall pooled random-effects mean difference (noninvasive central laboratory) and SD were 0.10 +/- 1.37 g/dL (-2.59 to 2.80 g/dL, l(2) = 95.9% for mean difference and 95.0% for SD). In subgroup analysis, pooled mean difference and SD were 0.39 +/- 1.32 g/dL (-2.21 to 2.98 g/dL, P = 93.0%, 71.4%) in 13 studies conducted in the perioperative setting and were -0.51 +/- 1.59 g/dL (-3.63 to 2.62 g/dL, l(2) = 83.7%, 96.4%) in 5 studies performed in the intensive care unit setting. CONCLUSIONS: Although the mean difference between noninvasive Hb and central laboratory measurements was small, the wide limits of agreement mean clinicians should be cautious when making clinical decisions based on these devices.</w:t>
      </w:r>
    </w:p>
    <w:p w:rsidR="002E504A" w:rsidRDefault="002E504A" w:rsidP="002E504A">
      <w:pPr>
        <w:pStyle w:val="a3"/>
        <w:rPr>
          <w:kern w:val="0"/>
        </w:rPr>
      </w:pPr>
      <w:r>
        <w:rPr>
          <w:kern w:val="0"/>
        </w:rPr>
        <w:t>Keywords: Accuracy, Agreement, Analysis, Articles, Assessing, Automated Hematology Analyzer, Background, Blood Hemoglobin, Care, Children, Clinical, Comparison, Conclusions, Criteria, Guidelines, Hemocue(R), Hemoglobin, Intensive Care, Intensive Care Unit, Literature, Measuring Devices, Meta Analysis, Meta-Analysis, Metaanalysis, Method Comparison, Methods, Model, Monitoring, Occlusion Spectroscopy, P, Patients, Precision, Pubmed, Pulse Co-Oximetry, Quality, Quality Criteria, Quality Of, Random Effects Model, Recommendations, References, Reporting, Review, Reviewers, Sample Size, Science, Size, Small, Spectrophotometry, Spine Surgery, Standard, Systematic, Systematic Review, Web Of Science</w:t>
      </w:r>
    </w:p>
    <w:p w:rsidR="003474F2" w:rsidRPr="001A3D2B" w:rsidRDefault="003474F2" w:rsidP="003474F2">
      <w:pPr>
        <w:pStyle w:val="1"/>
      </w:pPr>
      <w:r w:rsidRPr="001A3D2B">
        <w:br w:type="page"/>
      </w:r>
      <w:bookmarkStart w:id="416" w:name="_Toc420814468"/>
      <w:r w:rsidRPr="001A3D2B">
        <w:lastRenderedPageBreak/>
        <w:t>Title: Anesthesiology</w:t>
      </w:r>
      <w:bookmarkEnd w:id="416"/>
    </w:p>
    <w:p w:rsidR="003474F2" w:rsidRPr="001A3D2B" w:rsidRDefault="003474F2" w:rsidP="003474F2">
      <w:pPr>
        <w:pStyle w:val="12"/>
      </w:pPr>
      <w:r w:rsidRPr="001A3D2B">
        <w:t xml:space="preserve">Full Journal Title: </w:t>
      </w:r>
      <w:r w:rsidR="00206C8A">
        <w:fldChar w:fldCharType="begin"/>
      </w:r>
      <w:r w:rsidR="00FD158B">
        <w:instrText>HYP</w:instrText>
      </w:r>
      <w:bookmarkStart w:id="417" w:name="_Toc81215605"/>
      <w:r w:rsidR="00FD158B">
        <w:instrText>ERLINK "http://ovidsp</w:instrText>
      </w:r>
      <w:bookmarkEnd w:id="417"/>
      <w:r w:rsidR="00FD158B">
        <w:instrText>.uk.ovid.com/spa/ovidweb.cgi"</w:instrText>
      </w:r>
      <w:r w:rsidR="00206C8A">
        <w:fldChar w:fldCharType="separate"/>
      </w:r>
      <w:r w:rsidRPr="001A3D2B">
        <w:rPr>
          <w:rStyle w:val="a5"/>
        </w:rPr>
        <w:t>Anesthesiology</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0003-3022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Biebuyck J.F. (1992), Concerning</w:t>
      </w:r>
      <w:r w:rsidR="003A1917">
        <w:t xml:space="preserve"> the </w:t>
      </w:r>
      <w:r w:rsidRPr="001A3D2B">
        <w:t>ethics</w:t>
      </w:r>
      <w:r w:rsidR="005853A9">
        <w:t xml:space="preserve"> and </w:t>
      </w:r>
      <w:r w:rsidRPr="001A3D2B">
        <w:t>accuracy</w:t>
      </w:r>
      <w:r w:rsidR="00427468">
        <w:t xml:space="preserve"> of </w:t>
      </w:r>
      <w:r w:rsidRPr="001A3D2B">
        <w:t xml:space="preserve">scientific citations. </w:t>
      </w:r>
      <w:r w:rsidRPr="001A3D2B">
        <w:rPr>
          <w:i/>
          <w:iCs/>
        </w:rPr>
        <w:t>Anesthesiology</w:t>
      </w:r>
      <w:r w:rsidRPr="001A3D2B">
        <w:t xml:space="preserve">, </w:t>
      </w:r>
      <w:r w:rsidRPr="001A3D2B">
        <w:rPr>
          <w:b/>
          <w:bCs/>
        </w:rPr>
        <w:t>77</w:t>
      </w:r>
      <w:r w:rsidRPr="001A3D2B">
        <w:t xml:space="preserve"> (1), 1-2.</w:t>
      </w:r>
    </w:p>
    <w:p w:rsidR="003474F2" w:rsidRPr="001A3D2B" w:rsidRDefault="003474F2" w:rsidP="003474F2">
      <w:pPr>
        <w:pStyle w:val="a3"/>
      </w:pPr>
      <w:r w:rsidRPr="001A3D2B">
        <w:t xml:space="preserve">Full Text: </w:t>
      </w:r>
      <w:hyperlink r:id="rId772" w:history="1">
        <w:r w:rsidRPr="001A3D2B">
          <w:rPr>
            <w:rStyle w:val="a5"/>
          </w:rPr>
          <w:t>1992\Anesthesiology77, 1.pdf</w:t>
        </w:r>
      </w:hyperlink>
    </w:p>
    <w:p w:rsidR="003474F2" w:rsidRPr="001A3D2B" w:rsidRDefault="003474F2" w:rsidP="003474F2">
      <w:pPr>
        <w:pStyle w:val="a3"/>
      </w:pPr>
      <w:r w:rsidRPr="001A3D2B">
        <w:t>McLellan, M.F., Case, L.D.</w:t>
      </w:r>
      <w:r w:rsidR="005853A9">
        <w:t xml:space="preserve"> and </w:t>
      </w:r>
      <w:r w:rsidRPr="001A3D2B">
        <w:t>Barnett, M.C. (1992), Trust, but verify -</w:t>
      </w:r>
      <w:r w:rsidR="003A1917">
        <w:t xml:space="preserve"> the </w:t>
      </w:r>
      <w:r w:rsidRPr="001A3D2B">
        <w:t>accuracy</w:t>
      </w:r>
      <w:r w:rsidR="00427468">
        <w:t xml:space="preserve"> of </w:t>
      </w:r>
      <w:r w:rsidRPr="001A3D2B">
        <w:t xml:space="preserve">references in four anesthesia journals. </w:t>
      </w:r>
      <w:r w:rsidRPr="001A3D2B">
        <w:rPr>
          <w:i/>
          <w:iCs/>
        </w:rPr>
        <w:t>Anesthesiology</w:t>
      </w:r>
      <w:r w:rsidRPr="001A3D2B">
        <w:t xml:space="preserve">, </w:t>
      </w:r>
      <w:r w:rsidRPr="001A3D2B">
        <w:rPr>
          <w:b/>
          <w:bCs/>
        </w:rPr>
        <w:t>77</w:t>
      </w:r>
      <w:r w:rsidRPr="001A3D2B">
        <w:t xml:space="preserve"> (1), 185-188.</w:t>
      </w:r>
    </w:p>
    <w:p w:rsidR="003474F2" w:rsidRPr="001A3D2B" w:rsidRDefault="003474F2" w:rsidP="003474F2">
      <w:pPr>
        <w:pStyle w:val="a3"/>
      </w:pPr>
      <w:r w:rsidRPr="001A3D2B">
        <w:t xml:space="preserve">Full Text: </w:t>
      </w:r>
      <w:hyperlink r:id="rId773" w:history="1">
        <w:r w:rsidRPr="001A3D2B">
          <w:rPr>
            <w:rStyle w:val="a5"/>
          </w:rPr>
          <w:t>1992\Anesthesiology77, 185.pdf</w:t>
        </w:r>
      </w:hyperlink>
    </w:p>
    <w:p w:rsidR="003474F2" w:rsidRPr="001A3D2B" w:rsidRDefault="003474F2" w:rsidP="003474F2">
      <w:pPr>
        <w:pStyle w:val="a3"/>
      </w:pPr>
      <w:r w:rsidRPr="001A3D2B">
        <w:t>Abstract: To determine</w:t>
      </w:r>
      <w:r w:rsidR="003A1917">
        <w:t xml:space="preserve"> the </w:t>
      </w:r>
      <w:r w:rsidRPr="001A3D2B">
        <w:t>accuracy</w:t>
      </w:r>
      <w:r w:rsidR="00427468">
        <w:t xml:space="preserve"> of </w:t>
      </w:r>
      <w:r w:rsidRPr="001A3D2B">
        <w:t>bibliographic citation in</w:t>
      </w:r>
      <w:r w:rsidR="003A1917">
        <w:t xml:space="preserve"> the </w:t>
      </w:r>
      <w:r w:rsidRPr="001A3D2B">
        <w:t>anesthesia literature, we reviewed all 1988 volumes</w:t>
      </w:r>
      <w:r w:rsidR="00427468">
        <w:t xml:space="preserve"> of </w:t>
      </w:r>
      <w:r w:rsidRPr="001A3D2B">
        <w:t>ANESTHESIOLOGY, Anesthesia</w:t>
      </w:r>
      <w:r w:rsidR="005853A9">
        <w:t xml:space="preserve"> and </w:t>
      </w:r>
      <w:r w:rsidRPr="001A3D2B">
        <w:t>Analgesia, British Journal</w:t>
      </w:r>
      <w:r w:rsidR="00427468">
        <w:t xml:space="preserve"> of </w:t>
      </w:r>
      <w:r w:rsidRPr="001A3D2B">
        <w:t>Anaesthesia,</w:t>
      </w:r>
      <w:r w:rsidR="005853A9">
        <w:t xml:space="preserve"> and </w:t>
      </w:r>
      <w:r w:rsidRPr="001A3D2B">
        <w:t>Canadian Journal</w:t>
      </w:r>
      <w:r w:rsidR="00427468">
        <w:t xml:space="preserve"> of </w:t>
      </w:r>
      <w:r w:rsidRPr="001A3D2B">
        <w:t>Anaesthesia</w:t>
      </w:r>
      <w:r w:rsidR="005853A9">
        <w:t xml:space="preserve"> and </w:t>
      </w:r>
      <w:r w:rsidRPr="001A3D2B">
        <w:t>sequentially numbered all references appearing in that year (n = 22,748). One hundred references from each</w:t>
      </w:r>
      <w:r w:rsidR="00427468">
        <w:t xml:space="preserve"> of </w:t>
      </w:r>
      <w:r w:rsidR="003A1917">
        <w:t xml:space="preserve">the </w:t>
      </w:r>
      <w:r w:rsidRPr="001A3D2B">
        <w:t>four journals were randomly selected. After citations to nonjournal articles (i.e., books or book chapters) were excluded,</w:t>
      </w:r>
      <w:r w:rsidR="003A1917">
        <w:t xml:space="preserve"> the </w:t>
      </w:r>
      <w:r w:rsidRPr="001A3D2B">
        <w:t>remaining 348 citations were analyzed in detail. Six standard bibliographic elements-authors</w:t>
      </w:r>
      <w:r w:rsidR="00700038">
        <w:t>’</w:t>
      </w:r>
      <w:r w:rsidRPr="001A3D2B">
        <w:t xml:space="preserve"> names, article title, journal title, volume number, page numbers,</w:t>
      </w:r>
      <w:r w:rsidR="005853A9">
        <w:t xml:space="preserve"> and </w:t>
      </w:r>
      <w:r w:rsidRPr="001A3D2B">
        <w:t>year-were examined in each selected reference. Primary sources were reviewed, unless our institution did not own</w:t>
      </w:r>
      <w:r w:rsidR="003A1917">
        <w:t xml:space="preserve"> the </w:t>
      </w:r>
      <w:r w:rsidRPr="001A3D2B">
        <w:t>source or could not obtain it through interlibrary loan, in which case standard indexes, abstracting services,</w:t>
      </w:r>
      <w:r w:rsidR="005853A9">
        <w:t xml:space="preserve"> and </w:t>
      </w:r>
      <w:r w:rsidRPr="001A3D2B">
        <w:t>computerized databases were consulted. Each element was checked for accuracy,</w:t>
      </w:r>
      <w:r w:rsidR="005853A9">
        <w:t xml:space="preserve"> and </w:t>
      </w:r>
      <w:r w:rsidRPr="001A3D2B">
        <w:t>references were classified as either correct or incorrect. A reference was correct if each element</w:t>
      </w:r>
      <w:r w:rsidR="00427468">
        <w:t xml:space="preserve"> of </w:t>
      </w:r>
      <w:r w:rsidR="003A1917">
        <w:t xml:space="preserve">the </w:t>
      </w:r>
      <w:r w:rsidRPr="001A3D2B">
        <w:t>citation was identical to its source.</w:t>
      </w:r>
      <w:r w:rsidR="00427468">
        <w:t xml:space="preserve"> of </w:t>
      </w:r>
      <w:r w:rsidR="003A1917">
        <w:t xml:space="preserve">the </w:t>
      </w:r>
      <w:r w:rsidRPr="001A3D2B">
        <w:t>examined references, more than half (50.3%) contained an error in at least one element</w:t>
      </w:r>
      <w:r w:rsidR="00A37C1D">
        <w:t>. The</w:t>
      </w:r>
      <w:r w:rsidR="003A1917">
        <w:t xml:space="preserve"> </w:t>
      </w:r>
      <w:r w:rsidRPr="001A3D2B">
        <w:t>elements most likely to be inaccurate were, in descending order, article title, author, page numbers, journal title, volume number,</w:t>
      </w:r>
      <w:r w:rsidR="005853A9">
        <w:t xml:space="preserve"> and </w:t>
      </w:r>
      <w:r w:rsidRPr="001A3D2B">
        <w:t>year. No significant differences (P = 0.283) existed in</w:t>
      </w:r>
      <w:r w:rsidR="003A1917">
        <w:t xml:space="preserve"> the </w:t>
      </w:r>
      <w:r w:rsidRPr="001A3D2B">
        <w:t>error rates</w:t>
      </w:r>
      <w:r w:rsidR="00427468">
        <w:t xml:space="preserve"> of </w:t>
      </w:r>
      <w:r w:rsidR="003A1917">
        <w:t xml:space="preserve">the </w:t>
      </w:r>
      <w:r w:rsidRPr="001A3D2B">
        <w:t>four journals;</w:t>
      </w:r>
      <w:r w:rsidR="003A1917">
        <w:t xml:space="preserve"> the </w:t>
      </w:r>
      <w:r w:rsidRPr="001A3D2B">
        <w:t>percentage</w:t>
      </w:r>
      <w:r w:rsidR="00427468">
        <w:t xml:space="preserve"> of </w:t>
      </w:r>
      <w:r w:rsidRPr="001A3D2B">
        <w:t>citations containing at least one error ranged from 44% (Anesthesia</w:t>
      </w:r>
      <w:r w:rsidR="005853A9">
        <w:t xml:space="preserve"> and </w:t>
      </w:r>
      <w:r w:rsidRPr="001A3D2B">
        <w:t>Analgesia) to 56% (British Journal</w:t>
      </w:r>
      <w:r w:rsidR="00427468">
        <w:t xml:space="preserve"> of </w:t>
      </w:r>
      <w:r w:rsidRPr="001A3D2B">
        <w:t>Anaesthesia)</w:t>
      </w:r>
      <w:r w:rsidR="00A37C1D">
        <w:t>. The</w:t>
      </w:r>
      <w:r w:rsidR="003A1917">
        <w:t xml:space="preserve"> </w:t>
      </w:r>
      <w:r w:rsidRPr="001A3D2B">
        <w:t>citation error rate</w:t>
      </w:r>
      <w:r w:rsidR="00427468">
        <w:t xml:space="preserve"> of </w:t>
      </w:r>
      <w:r w:rsidRPr="001A3D2B">
        <w:lastRenderedPageBreak/>
        <w:t>anesthesia journals is similar to that reported in other specialties, where error rates ranging from 38% to 54% have been documented.</w:t>
      </w:r>
    </w:p>
    <w:p w:rsidR="003474F2" w:rsidRPr="001A3D2B" w:rsidRDefault="003474F2" w:rsidP="003474F2">
      <w:pPr>
        <w:pStyle w:val="a3"/>
      </w:pPr>
      <w:r w:rsidRPr="001A3D2B">
        <w:t>Keywords: Accuracy, Anesthesia, Anesthesia</w:t>
      </w:r>
      <w:r w:rsidR="005853A9">
        <w:t xml:space="preserve"> and </w:t>
      </w:r>
      <w:r w:rsidRPr="001A3D2B">
        <w:t>Analgesia, British Journal</w:t>
      </w:r>
      <w:r w:rsidR="00427468">
        <w:t xml:space="preserve"> of </w:t>
      </w:r>
      <w:r w:rsidRPr="001A3D2B">
        <w:t>Anesthesia, Anesthesiology, Canadian Journal</w:t>
      </w:r>
      <w:r w:rsidR="00427468">
        <w:t xml:space="preserve"> of </w:t>
      </w:r>
      <w:r w:rsidRPr="001A3D2B">
        <w:t>Anesthesia, Citation, Citation Error, Citations, Databases, Error, Error Rate, Journal, Journals, Literature, P, Publications, Documentation, Anesthesiology, Rates, Reference, References, Services, Source, Sources, Standard, Volume</w:t>
      </w:r>
    </w:p>
    <w:p w:rsidR="003474F2" w:rsidRPr="001A3D2B" w:rsidRDefault="003474F2" w:rsidP="003474F2">
      <w:pPr>
        <w:pStyle w:val="a3"/>
      </w:pPr>
      <w:r w:rsidRPr="001A3D2B">
        <w:t>Nishina, K., Asano, M., Mikawa, K., Maekawa, N.</w:t>
      </w:r>
      <w:r w:rsidR="005853A9">
        <w:t xml:space="preserve"> and </w:t>
      </w:r>
      <w:r w:rsidRPr="001A3D2B">
        <w:t>Obara, H. (1995), Improvement</w:t>
      </w:r>
      <w:r w:rsidR="00427468">
        <w:t xml:space="preserve"> of </w:t>
      </w:r>
      <w:r w:rsidR="003A1917">
        <w:t xml:space="preserve">the </w:t>
      </w:r>
      <w:r w:rsidRPr="001A3D2B">
        <w:t>accuracy</w:t>
      </w:r>
      <w:r w:rsidR="00427468">
        <w:t xml:space="preserve"> of </w:t>
      </w:r>
      <w:r w:rsidRPr="001A3D2B">
        <w:t xml:space="preserve">references in </w:t>
      </w:r>
      <w:r w:rsidRPr="001A3D2B">
        <w:rPr>
          <w:i/>
        </w:rPr>
        <w:t>Anesthesiology</w:t>
      </w:r>
      <w:r w:rsidRPr="001A3D2B">
        <w:t xml:space="preserve">. </w:t>
      </w:r>
      <w:r w:rsidRPr="001A3D2B">
        <w:rPr>
          <w:i/>
          <w:iCs/>
        </w:rPr>
        <w:t>Anesthesiology</w:t>
      </w:r>
      <w:r w:rsidRPr="001A3D2B">
        <w:t xml:space="preserve">, </w:t>
      </w:r>
      <w:r w:rsidRPr="001A3D2B">
        <w:rPr>
          <w:b/>
          <w:bCs/>
        </w:rPr>
        <w:t>83</w:t>
      </w:r>
      <w:r w:rsidRPr="001A3D2B">
        <w:t xml:space="preserve"> (2), 599-600.</w:t>
      </w:r>
    </w:p>
    <w:p w:rsidR="003474F2" w:rsidRPr="001A3D2B" w:rsidRDefault="003474F2" w:rsidP="003474F2">
      <w:pPr>
        <w:pStyle w:val="a3"/>
      </w:pPr>
      <w:r w:rsidRPr="001A3D2B">
        <w:t xml:space="preserve">Full Text: </w:t>
      </w:r>
      <w:hyperlink r:id="rId774" w:history="1">
        <w:r w:rsidRPr="001A3D2B">
          <w:rPr>
            <w:rStyle w:val="a5"/>
          </w:rPr>
          <w:t>1995\Anesthesiology82, 599.pdf</w:t>
        </w:r>
      </w:hyperlink>
    </w:p>
    <w:p w:rsidR="00201AF7" w:rsidRDefault="00201AF7" w:rsidP="00201AF7">
      <w:pPr>
        <w:pStyle w:val="a3"/>
        <w:rPr>
          <w:kern w:val="0"/>
        </w:rPr>
      </w:pPr>
      <w:r>
        <w:rPr>
          <w:rFonts w:hint="eastAsia"/>
          <w:kern w:val="0"/>
        </w:rPr>
        <w:t xml:space="preserve">? </w:t>
      </w:r>
      <w:r>
        <w:rPr>
          <w:kern w:val="0"/>
        </w:rPr>
        <w:t>Svircevic, V., van Dijk, D., Nierich, A.P., Passier, M.P., Kalkman, C.J., van der Heijden, G.J.M.G.</w:t>
      </w:r>
      <w:r w:rsidR="005853A9">
        <w:rPr>
          <w:kern w:val="0"/>
        </w:rPr>
        <w:t xml:space="preserve"> and </w:t>
      </w:r>
      <w:r>
        <w:rPr>
          <w:kern w:val="0"/>
        </w:rPr>
        <w:t>Bax, L. (2011), Meta-analysis</w:t>
      </w:r>
      <w:r w:rsidR="00427468">
        <w:rPr>
          <w:kern w:val="0"/>
        </w:rPr>
        <w:t xml:space="preserve"> of </w:t>
      </w:r>
      <w:r>
        <w:rPr>
          <w:kern w:val="0"/>
        </w:rPr>
        <w:t xml:space="preserve">thoracic epidural anesthesia versus general anesthesia for cardiac surgery. </w:t>
      </w:r>
      <w:r>
        <w:rPr>
          <w:i/>
          <w:iCs/>
          <w:kern w:val="0"/>
        </w:rPr>
        <w:t>Anesthesiology</w:t>
      </w:r>
      <w:r>
        <w:rPr>
          <w:kern w:val="0"/>
        </w:rPr>
        <w:t xml:space="preserve">, </w:t>
      </w:r>
      <w:r>
        <w:rPr>
          <w:b/>
          <w:bCs/>
          <w:kern w:val="0"/>
        </w:rPr>
        <w:t>114</w:t>
      </w:r>
      <w:r>
        <w:rPr>
          <w:kern w:val="0"/>
        </w:rPr>
        <w:t xml:space="preserve"> (2), 271-282.</w:t>
      </w:r>
    </w:p>
    <w:p w:rsidR="00201AF7" w:rsidRPr="001A3D2B" w:rsidRDefault="00201AF7" w:rsidP="00201AF7">
      <w:pPr>
        <w:pStyle w:val="a3"/>
      </w:pPr>
      <w:r w:rsidRPr="001A3D2B">
        <w:t xml:space="preserve">Full Text: </w:t>
      </w:r>
      <w:hyperlink r:id="rId775" w:history="1">
        <w:r w:rsidR="00A465A1" w:rsidRPr="00A465A1">
          <w:rPr>
            <w:rStyle w:val="a5"/>
          </w:rPr>
          <w:t>2011\Anesthesiology114, 271.pdf</w:t>
        </w:r>
      </w:hyperlink>
    </w:p>
    <w:p w:rsidR="00201AF7" w:rsidRDefault="00201AF7" w:rsidP="00201AF7">
      <w:pPr>
        <w:pStyle w:val="a3"/>
        <w:rPr>
          <w:kern w:val="0"/>
        </w:rPr>
      </w:pPr>
      <w:r>
        <w:rPr>
          <w:kern w:val="0"/>
        </w:rPr>
        <w:t>Abstract: Background: A combination</w:t>
      </w:r>
      <w:r w:rsidR="00427468">
        <w:rPr>
          <w:kern w:val="0"/>
        </w:rPr>
        <w:t xml:space="preserve"> of </w:t>
      </w:r>
      <w:r>
        <w:rPr>
          <w:kern w:val="0"/>
        </w:rPr>
        <w:t>general anesthesia (GA) with thoracic epidural anesthesia (TEA) may have a beneficial effect on clinical outcomes after cardiac surgery. We have performed a meta-analysis to compare mortality</w:t>
      </w:r>
      <w:r w:rsidR="005853A9">
        <w:rPr>
          <w:kern w:val="0"/>
        </w:rPr>
        <w:t xml:space="preserve"> and </w:t>
      </w:r>
      <w:r>
        <w:rPr>
          <w:kern w:val="0"/>
        </w:rPr>
        <w:t>cardiac, respiratory,</w:t>
      </w:r>
      <w:r w:rsidR="005853A9">
        <w:rPr>
          <w:kern w:val="0"/>
        </w:rPr>
        <w:t xml:space="preserve"> and </w:t>
      </w:r>
      <w:r>
        <w:rPr>
          <w:kern w:val="0"/>
        </w:rPr>
        <w:t>neurologic complications in patients undergoing cardiac surgery with GA alone or a combination</w:t>
      </w:r>
      <w:r w:rsidR="00427468">
        <w:rPr>
          <w:kern w:val="0"/>
        </w:rPr>
        <w:t xml:space="preserve"> of </w:t>
      </w:r>
      <w:r>
        <w:rPr>
          <w:kern w:val="0"/>
        </w:rPr>
        <w:t xml:space="preserve">GA with TEA. Methods: Randomized studies comparing outcomes in patients undergoing cardiac surgery with either GA alone or GA in combination with TEA were retrieved from </w:t>
      </w:r>
      <w:r w:rsidR="002C12F0">
        <w:rPr>
          <w:kern w:val="0"/>
        </w:rPr>
        <w:t>PUBMED</w:t>
      </w:r>
      <w:r>
        <w:rPr>
          <w:kern w:val="0"/>
        </w:rPr>
        <w:t>, Science Citation index, EMBASE, CINHAL,</w:t>
      </w:r>
      <w:r w:rsidR="005853A9">
        <w:rPr>
          <w:kern w:val="0"/>
        </w:rPr>
        <w:t xml:space="preserve"> and </w:t>
      </w:r>
      <w:r>
        <w:rPr>
          <w:kern w:val="0"/>
        </w:rPr>
        <w:t>Central Cochrane Controlled Trial Register databases. Results:</w:t>
      </w:r>
      <w:r w:rsidR="003A1917">
        <w:rPr>
          <w:kern w:val="0"/>
        </w:rPr>
        <w:t xml:space="preserve"> the </w:t>
      </w:r>
      <w:r>
        <w:rPr>
          <w:kern w:val="0"/>
        </w:rPr>
        <w:t>search strategy yielded 1,390 studies; 28 studies that included 2,731 patients met</w:t>
      </w:r>
      <w:r w:rsidR="003A1917">
        <w:rPr>
          <w:kern w:val="0"/>
        </w:rPr>
        <w:t xml:space="preserve"> the </w:t>
      </w:r>
      <w:r>
        <w:rPr>
          <w:kern w:val="0"/>
        </w:rPr>
        <w:t>selection criteria. Compared with GA alone,</w:t>
      </w:r>
      <w:r w:rsidR="003A1917">
        <w:rPr>
          <w:kern w:val="0"/>
        </w:rPr>
        <w:t xml:space="preserve"> the </w:t>
      </w:r>
      <w:r>
        <w:rPr>
          <w:kern w:val="0"/>
        </w:rPr>
        <w:t>combined risk ratio for patients receiving GA with TEA was 0.81 (95% CI: 0.40-1.64) for mortality, 0.80 (95% CI: 0.52-1.24) for myocardial infarction,</w:t>
      </w:r>
      <w:r w:rsidR="005853A9">
        <w:rPr>
          <w:kern w:val="0"/>
        </w:rPr>
        <w:t xml:space="preserve"> and </w:t>
      </w:r>
      <w:r>
        <w:rPr>
          <w:kern w:val="0"/>
        </w:rPr>
        <w:t>0.59 (95% CI: 0.24-1.46) for stroke</w:t>
      </w:r>
      <w:r w:rsidR="00A37C1D">
        <w:rPr>
          <w:kern w:val="0"/>
        </w:rPr>
        <w:t>. The</w:t>
      </w:r>
      <w:r w:rsidR="003A1917">
        <w:rPr>
          <w:kern w:val="0"/>
        </w:rPr>
        <w:t xml:space="preserve"> </w:t>
      </w:r>
      <w:r>
        <w:rPr>
          <w:kern w:val="0"/>
        </w:rPr>
        <w:t>risk ratios for</w:t>
      </w:r>
      <w:r w:rsidR="003A1917">
        <w:rPr>
          <w:kern w:val="0"/>
        </w:rPr>
        <w:t xml:space="preserve"> the </w:t>
      </w:r>
      <w:r>
        <w:rPr>
          <w:kern w:val="0"/>
        </w:rPr>
        <w:t>respiratory complications</w:t>
      </w:r>
      <w:r w:rsidR="005853A9">
        <w:rPr>
          <w:kern w:val="0"/>
        </w:rPr>
        <w:t xml:space="preserve"> and </w:t>
      </w:r>
      <w:r>
        <w:rPr>
          <w:kern w:val="0"/>
        </w:rPr>
        <w:t>supraventricular arrhythmias were 0.53 (95% CI: 0.40-0.69)</w:t>
      </w:r>
      <w:r w:rsidR="005853A9">
        <w:rPr>
          <w:kern w:val="0"/>
        </w:rPr>
        <w:t xml:space="preserve"> and </w:t>
      </w:r>
      <w:r>
        <w:rPr>
          <w:kern w:val="0"/>
        </w:rPr>
        <w:t>0.68 (95% CI: 0.50-0.93), respectively. Conclusions: This meta-analysis showed that</w:t>
      </w:r>
      <w:r w:rsidR="003A1917">
        <w:rPr>
          <w:kern w:val="0"/>
        </w:rPr>
        <w:t xml:space="preserve"> the </w:t>
      </w:r>
      <w:r>
        <w:rPr>
          <w:kern w:val="0"/>
        </w:rPr>
        <w:t>use</w:t>
      </w:r>
      <w:r w:rsidR="00427468">
        <w:rPr>
          <w:kern w:val="0"/>
        </w:rPr>
        <w:t xml:space="preserve"> of </w:t>
      </w:r>
      <w:r>
        <w:rPr>
          <w:kern w:val="0"/>
        </w:rPr>
        <w:t>TEA in patients undergoing cardiac surgery reduces</w:t>
      </w:r>
      <w:r w:rsidR="003A1917">
        <w:rPr>
          <w:kern w:val="0"/>
        </w:rPr>
        <w:t xml:space="preserve"> the </w:t>
      </w:r>
      <w:r>
        <w:rPr>
          <w:kern w:val="0"/>
        </w:rPr>
        <w:t>risk</w:t>
      </w:r>
      <w:r w:rsidR="00427468">
        <w:rPr>
          <w:kern w:val="0"/>
        </w:rPr>
        <w:t xml:space="preserve"> of </w:t>
      </w:r>
      <w:r>
        <w:rPr>
          <w:kern w:val="0"/>
        </w:rPr>
        <w:t>postoperative supraventricular arrhythmias</w:t>
      </w:r>
      <w:r w:rsidR="005853A9">
        <w:rPr>
          <w:kern w:val="0"/>
        </w:rPr>
        <w:t xml:space="preserve"> and </w:t>
      </w:r>
      <w:r>
        <w:rPr>
          <w:kern w:val="0"/>
        </w:rPr>
        <w:t>respiratory complications</w:t>
      </w:r>
      <w:r w:rsidR="00A37C1D">
        <w:rPr>
          <w:kern w:val="0"/>
        </w:rPr>
        <w:t>. The</w:t>
      </w:r>
      <w:r w:rsidR="003A1917">
        <w:rPr>
          <w:kern w:val="0"/>
        </w:rPr>
        <w:t xml:space="preserve"> </w:t>
      </w:r>
      <w:r>
        <w:rPr>
          <w:kern w:val="0"/>
        </w:rPr>
        <w:t>sparsity</w:t>
      </w:r>
      <w:r w:rsidR="00427468">
        <w:rPr>
          <w:kern w:val="0"/>
        </w:rPr>
        <w:t xml:space="preserve"> of </w:t>
      </w:r>
      <w:r>
        <w:rPr>
          <w:kern w:val="0"/>
        </w:rPr>
        <w:t>events precludes conclusions about mortality, myocardial infarction,</w:t>
      </w:r>
      <w:r w:rsidR="005853A9">
        <w:rPr>
          <w:kern w:val="0"/>
        </w:rPr>
        <w:t xml:space="preserve"> and </w:t>
      </w:r>
      <w:r>
        <w:rPr>
          <w:kern w:val="0"/>
        </w:rPr>
        <w:t>stroke, but</w:t>
      </w:r>
      <w:r w:rsidR="003A1917">
        <w:rPr>
          <w:kern w:val="0"/>
        </w:rPr>
        <w:t xml:space="preserve"> the </w:t>
      </w:r>
      <w:r>
        <w:rPr>
          <w:kern w:val="0"/>
        </w:rPr>
        <w:t>estimates suggest a reduced risk after TEA</w:t>
      </w:r>
      <w:r w:rsidR="00A37C1D">
        <w:rPr>
          <w:kern w:val="0"/>
        </w:rPr>
        <w:t>. The</w:t>
      </w:r>
      <w:r w:rsidR="003A1917">
        <w:rPr>
          <w:kern w:val="0"/>
        </w:rPr>
        <w:t xml:space="preserve"> </w:t>
      </w:r>
      <w:r>
        <w:rPr>
          <w:kern w:val="0"/>
        </w:rPr>
        <w:t>risk</w:t>
      </w:r>
      <w:r w:rsidR="00427468">
        <w:rPr>
          <w:kern w:val="0"/>
        </w:rPr>
        <w:t xml:space="preserve"> of </w:t>
      </w:r>
      <w:r>
        <w:rPr>
          <w:kern w:val="0"/>
        </w:rPr>
        <w:t>side effects</w:t>
      </w:r>
      <w:r w:rsidR="00427468">
        <w:rPr>
          <w:kern w:val="0"/>
        </w:rPr>
        <w:t xml:space="preserve"> of </w:t>
      </w:r>
      <w:r>
        <w:rPr>
          <w:kern w:val="0"/>
        </w:rPr>
        <w:t>TEA, including epidural hematoma, could not be assessed with</w:t>
      </w:r>
      <w:r w:rsidR="003A1917">
        <w:rPr>
          <w:kern w:val="0"/>
        </w:rPr>
        <w:t xml:space="preserve"> the </w:t>
      </w:r>
      <w:r>
        <w:rPr>
          <w:kern w:val="0"/>
        </w:rPr>
        <w:t>current dataset,</w:t>
      </w:r>
      <w:r w:rsidR="005853A9">
        <w:rPr>
          <w:kern w:val="0"/>
        </w:rPr>
        <w:t xml:space="preserve"> and </w:t>
      </w:r>
      <w:r>
        <w:rPr>
          <w:kern w:val="0"/>
        </w:rPr>
        <w:t>therefore TEA should be used with caution until its benefit-harm profile is further elucidated.</w:t>
      </w:r>
    </w:p>
    <w:p w:rsidR="00201AF7" w:rsidRDefault="00201AF7" w:rsidP="00201AF7">
      <w:pPr>
        <w:pStyle w:val="a3"/>
        <w:rPr>
          <w:kern w:val="0"/>
        </w:rPr>
      </w:pPr>
      <w:r>
        <w:rPr>
          <w:kern w:val="0"/>
        </w:rPr>
        <w:t xml:space="preserve">Keywords: Anesthesia, Artery-Bypass-Surgery, Cardiopulmonary Bypass, Citation, Clinical, Clinical Outcomes, Complications, Criteria, Databases, Epidural, Epidural Anesthesia, Epidural Hematoma, Estimates, Events, General, General Anesthesia, Graft-Surgery, Hematoma, Hospital Stay, Index, Infarction, Inflammatory Response, </w:t>
      </w:r>
      <w:r>
        <w:rPr>
          <w:kern w:val="0"/>
        </w:rPr>
        <w:lastRenderedPageBreak/>
        <w:t xml:space="preserve">Meta-Analysis, Metaanalysis, Mortality, Myocardial Blood-Flow, Myocardial Infarction, Neurologic, Outcomes, Patients, Postoperative, Postoperative Atrial-Fibrillation, </w:t>
      </w:r>
      <w:r w:rsidR="002C12F0">
        <w:rPr>
          <w:kern w:val="0"/>
        </w:rPr>
        <w:t>PUBMED</w:t>
      </w:r>
      <w:r>
        <w:rPr>
          <w:kern w:val="0"/>
        </w:rPr>
        <w:t>, Randomized Controlled-Trial, Risk, Science, Search Strategy, Selection Criteria, Side Effects, Strategy, Stroke, Supraventricular, Surgery, Troponin-T, Ventilation-Perfusion Relationships</w:t>
      </w:r>
    </w:p>
    <w:p w:rsidR="009840F6" w:rsidRDefault="009840F6" w:rsidP="009840F6">
      <w:pPr>
        <w:pStyle w:val="a3"/>
        <w:rPr>
          <w:kern w:val="0"/>
        </w:rPr>
      </w:pPr>
      <w:r>
        <w:rPr>
          <w:kern w:val="0"/>
        </w:rPr>
        <w:t xml:space="preserve">? Kossowsky, J., Donado, C. and Berde, C.B. (2015), Immediate rescue designs in pediatric analgesic trials a systematic review and meta-analysis. </w:t>
      </w:r>
      <w:r>
        <w:rPr>
          <w:i/>
          <w:iCs/>
          <w:kern w:val="0"/>
        </w:rPr>
        <w:t>Anesthesiology</w:t>
      </w:r>
      <w:r>
        <w:rPr>
          <w:kern w:val="0"/>
        </w:rPr>
        <w:t xml:space="preserve">, </w:t>
      </w:r>
      <w:r>
        <w:rPr>
          <w:b/>
          <w:bCs/>
          <w:kern w:val="0"/>
        </w:rPr>
        <w:t>122</w:t>
      </w:r>
      <w:r>
        <w:rPr>
          <w:kern w:val="0"/>
        </w:rPr>
        <w:t xml:space="preserve"> (1), 150-171.</w:t>
      </w:r>
    </w:p>
    <w:p w:rsidR="009840F6" w:rsidRPr="001A3D2B" w:rsidRDefault="009840F6" w:rsidP="009840F6">
      <w:pPr>
        <w:pStyle w:val="a3"/>
      </w:pPr>
      <w:r w:rsidRPr="001A3D2B">
        <w:t xml:space="preserve">Full Text: </w:t>
      </w:r>
      <w:r w:rsidRPr="0095012D">
        <w:t>201</w:t>
      </w:r>
      <w:r>
        <w:rPr>
          <w:rFonts w:hint="eastAsia"/>
        </w:rPr>
        <w:t>5</w:t>
      </w:r>
      <w:r w:rsidRPr="0095012D">
        <w:t>\Anesthesiology1</w:t>
      </w:r>
      <w:r>
        <w:rPr>
          <w:rFonts w:hint="eastAsia"/>
        </w:rPr>
        <w:t>22</w:t>
      </w:r>
      <w:r w:rsidRPr="0095012D">
        <w:t xml:space="preserve">, </w:t>
      </w:r>
      <w:r>
        <w:rPr>
          <w:rFonts w:hint="eastAsia"/>
        </w:rPr>
        <w:t>150</w:t>
      </w:r>
      <w:r w:rsidRPr="0095012D">
        <w:t>.pdf</w:t>
      </w:r>
    </w:p>
    <w:p w:rsidR="009840F6" w:rsidRDefault="009840F6" w:rsidP="009840F6">
      <w:pPr>
        <w:pStyle w:val="a3"/>
        <w:rPr>
          <w:kern w:val="0"/>
        </w:rPr>
      </w:pPr>
      <w:r>
        <w:rPr>
          <w:kern w:val="0"/>
        </w:rPr>
        <w:t>Abstract: Background: Designing analgesic clinical trials in pediatrics requires a balance between scientific, ethical, and practical concerns. A previous consensus group recommended immediate rescue designs using opioid sparing as a surrogate measure of analgesic efficacy. The authors summarize the performance of rescue analgesic designs in pediatric trials of four commonly used classes of analgesics: opioids, nonsteroidal antiinflammatory drugs, acetaminophen, and local anesthetics. Methods: MEDLINE, Embase, CINAHL, The Cochrane Library, and Web of science were searched in April 2013. The 85 studies selected were randomized or controlled clinical trials using immediate rescue paradigms in postoperative pain settings. A random-effects meta-analysis was used to synthesize predefined outcomes using Hedges’ g. Difference between the means of the treatment arms were also expressed as a percentage of the corresponding value in the placebo group (placebo-treatment/placebo). Distributions of pain scores in study and control groups and relationships between opioid sparing and pain scores were examined. Results: For each of the four study drug classes, significant opioid sparing was demonstrated in a majority of studies by one or more of the following endpoints: (1) total dose (milligram per kilogram per hour), (2) percentage of children requiring rescue medication, and (3) time to first rescue medication (minutes). Pain scores averaged 2.4/10 in study groups, 3.4/10 in control groups. Conclusions: Opioid sparing is a feasible pragmatic endpoint for pediatric pain analgesic trials. This review serves to guide future research in pediatric analgesia trials, which could test whether some specific design features may improve assay sensitivity while minimizing the risk of unrelieved pain.</w:t>
      </w:r>
    </w:p>
    <w:p w:rsidR="009840F6" w:rsidRDefault="009840F6" w:rsidP="009840F6">
      <w:pPr>
        <w:pStyle w:val="a3"/>
        <w:rPr>
          <w:kern w:val="0"/>
        </w:rPr>
      </w:pPr>
      <w:r>
        <w:rPr>
          <w:kern w:val="0"/>
        </w:rPr>
        <w:t xml:space="preserve">Keywords: Acetaminophen, Analgesia, Analgesic, Analgesics, Anesthetics, Authors, Balance, Children, Cleft-Palate Repair, Clinical, Clinical Trials, Consensus, Control, Control Groups, Controlled Clinical-Trial, Design, Designing, Dose Intrathecal Morphine, Double-Blind, Drug, Drug Classes, Drugs, Efficacy, Ethical, First, Groups, Library, Local, Local Anesthetics, Lower Abdominal-Surgery, Measure, Medline, Meta Analysis, Meta-Analysis, Metaanalysis, Methods, Open-Heart-Surgery, Opioid, Opioids, Outcomes, Pain, Paradigms, Patient-Controlled Analgesia, Pediatric, </w:t>
      </w:r>
      <w:r>
        <w:rPr>
          <w:kern w:val="0"/>
        </w:rPr>
        <w:lastRenderedPageBreak/>
        <w:t>Pediatrics, Performance, Placebo, Post-Tonsillectomy Pain, Posterior Spinal-Fusion, Postoperative, Postoperative Pain, Randomized, Research, Results, Review, Risk, Science, Sensitivity, Surrogate, Systematic, Systematic Review, Treatment, Value, Web, Web Of Science</w:t>
      </w:r>
    </w:p>
    <w:p w:rsidR="003474F2" w:rsidRPr="001A3D2B" w:rsidRDefault="003474F2" w:rsidP="003474F2">
      <w:pPr>
        <w:pStyle w:val="1"/>
        <w:rPr>
          <w:lang w:val="de-DE"/>
        </w:rPr>
      </w:pPr>
      <w:r w:rsidRPr="001A3D2B">
        <w:br w:type="page"/>
      </w:r>
      <w:bookmarkStart w:id="418" w:name="_Toc420814469"/>
      <w:r w:rsidRPr="001A3D2B">
        <w:rPr>
          <w:lang w:val="de-DE"/>
        </w:rPr>
        <w:lastRenderedPageBreak/>
        <w:t>Title: Angewandte Chemie-International Edition</w:t>
      </w:r>
      <w:bookmarkStart w:id="419" w:name="_Toc223617923"/>
      <w:bookmarkEnd w:id="418"/>
    </w:p>
    <w:p w:rsidR="003474F2" w:rsidRPr="001A3D2B" w:rsidRDefault="003474F2" w:rsidP="003474F2">
      <w:pPr>
        <w:pStyle w:val="12"/>
        <w:rPr>
          <w:lang w:val="de-DE"/>
        </w:rPr>
      </w:pPr>
      <w:r w:rsidRPr="001A3D2B">
        <w:rPr>
          <w:lang w:val="de-DE"/>
        </w:rPr>
        <w:t xml:space="preserve">Full Journal Title: </w:t>
      </w:r>
      <w:r w:rsidR="00206C8A">
        <w:fldChar w:fldCharType="begin"/>
      </w:r>
      <w:r w:rsidR="00FD158B">
        <w:instrText>HYPERLINK "http://www3.i</w:instrText>
      </w:r>
      <w:bookmarkEnd w:id="419"/>
      <w:r w:rsidR="00FD158B">
        <w:instrText>nterscience.wiley.com/cgi-bin/jtoc/26737/all"</w:instrText>
      </w:r>
      <w:r w:rsidR="00206C8A">
        <w:fldChar w:fldCharType="separate"/>
      </w:r>
      <w:r w:rsidRPr="001A3D2B">
        <w:rPr>
          <w:rStyle w:val="a5"/>
          <w:lang w:val="de-DE"/>
        </w:rPr>
        <w:t>Angewandte Chemie-International Edfvition</w:t>
      </w:r>
      <w:r w:rsidR="00206C8A">
        <w:fldChar w:fldCharType="end"/>
      </w:r>
      <w:r w:rsidRPr="001A3D2B">
        <w:rPr>
          <w:lang w:val="de-DE"/>
        </w:rPr>
        <w:t xml:space="preserve">; </w:t>
      </w:r>
      <w:hyperlink r:id="rId776" w:history="1">
        <w:r w:rsidRPr="001A3D2B">
          <w:rPr>
            <w:rStyle w:val="a5"/>
            <w:lang w:val="de-DE"/>
          </w:rPr>
          <w:t>Angewandte Chemie-International Edition</w:t>
        </w:r>
      </w:hyperlink>
    </w:p>
    <w:p w:rsidR="003474F2" w:rsidRPr="001A3D2B" w:rsidRDefault="003474F2" w:rsidP="003474F2">
      <w:pPr>
        <w:pStyle w:val="12"/>
      </w:pPr>
      <w:r w:rsidRPr="001A3D2B">
        <w:t>ISO Abbreviated Title: Angew. Chem.-Int. Edit.</w:t>
      </w:r>
    </w:p>
    <w:p w:rsidR="003474F2" w:rsidRPr="001A3D2B" w:rsidRDefault="003474F2" w:rsidP="003474F2">
      <w:pPr>
        <w:pStyle w:val="12"/>
      </w:pPr>
      <w:r w:rsidRPr="001A3D2B">
        <w:t>JCR Abbreviated Title: Angew Chem Int Ed</w:t>
      </w:r>
    </w:p>
    <w:p w:rsidR="003474F2" w:rsidRPr="001A3D2B" w:rsidRDefault="003474F2" w:rsidP="003474F2">
      <w:pPr>
        <w:pStyle w:val="12"/>
      </w:pPr>
      <w:r w:rsidRPr="001A3D2B">
        <w:t>ISSN: 0003-3146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Notes: JJournal</w:t>
      </w:r>
    </w:p>
    <w:p w:rsidR="003474F2" w:rsidRPr="001A3D2B" w:rsidRDefault="003474F2" w:rsidP="003474F2">
      <w:pPr>
        <w:pStyle w:val="a3"/>
      </w:pPr>
      <w:r w:rsidRPr="001A3D2B">
        <w:t xml:space="preserve">? Marx, W. (2001), </w:t>
      </w:r>
      <w:r w:rsidRPr="001A3D2B">
        <w:rPr>
          <w:i/>
          <w:iCs/>
        </w:rPr>
        <w:t>Angewandte Chemie</w:t>
      </w:r>
      <w:r w:rsidRPr="001A3D2B">
        <w:t xml:space="preserve"> in light</w:t>
      </w:r>
      <w:r w:rsidR="00427468">
        <w:t xml:space="preserve"> of </w:t>
      </w:r>
      <w:r w:rsidR="003A1917">
        <w:t xml:space="preserve">the </w:t>
      </w:r>
      <w:r w:rsidRPr="001A3D2B">
        <w:t xml:space="preserve">Science Citation Index. </w:t>
      </w:r>
      <w:r w:rsidRPr="001A3D2B">
        <w:rPr>
          <w:i/>
          <w:iCs/>
          <w:lang w:val="de-DE"/>
        </w:rPr>
        <w:t>Angewandte Chemie-International Edition</w:t>
      </w:r>
      <w:r w:rsidRPr="001A3D2B">
        <w:t xml:space="preserve">, </w:t>
      </w:r>
      <w:r w:rsidRPr="001A3D2B">
        <w:rPr>
          <w:b/>
          <w:bCs/>
        </w:rPr>
        <w:t>40</w:t>
      </w:r>
      <w:r w:rsidRPr="001A3D2B">
        <w:t xml:space="preserve"> (1), 139-143.</w:t>
      </w:r>
    </w:p>
    <w:p w:rsidR="003474F2" w:rsidRPr="001A3D2B" w:rsidRDefault="003474F2" w:rsidP="003474F2">
      <w:pPr>
        <w:pStyle w:val="a3"/>
      </w:pPr>
      <w:r w:rsidRPr="001A3D2B">
        <w:t xml:space="preserve">Full Text: </w:t>
      </w:r>
      <w:hyperlink r:id="rId777" w:history="1">
        <w:r w:rsidRPr="001A3D2B">
          <w:rPr>
            <w:rStyle w:val="a5"/>
            <w:szCs w:val="24"/>
          </w:rPr>
          <w:t>2001\Ang Che40, 139.pdf</w:t>
        </w:r>
      </w:hyperlink>
    </w:p>
    <w:p w:rsidR="003474F2" w:rsidRPr="001A3D2B" w:rsidRDefault="003474F2" w:rsidP="003474F2">
      <w:pPr>
        <w:pStyle w:val="a3"/>
      </w:pPr>
      <w:r w:rsidRPr="001A3D2B">
        <w:t>Keywords: Citation, Impact, Journals, Science Citation Index</w:t>
      </w:r>
    </w:p>
    <w:p w:rsidR="003474F2" w:rsidRPr="001A3D2B" w:rsidRDefault="003474F2" w:rsidP="003474F2">
      <w:pPr>
        <w:pStyle w:val="1"/>
        <w:rPr>
          <w:lang w:val="de-DE"/>
        </w:rPr>
      </w:pPr>
      <w:r w:rsidRPr="001A3D2B">
        <w:rPr>
          <w:lang w:val="de-DE"/>
        </w:rPr>
        <w:br w:type="page"/>
      </w:r>
      <w:bookmarkStart w:id="420" w:name="_Toc420814470"/>
      <w:r w:rsidRPr="001A3D2B">
        <w:rPr>
          <w:lang w:val="de-DE"/>
        </w:rPr>
        <w:lastRenderedPageBreak/>
        <w:t>Title: Angewandte Informatik</w:t>
      </w:r>
      <w:bookmarkEnd w:id="420"/>
    </w:p>
    <w:p w:rsidR="003474F2" w:rsidRPr="001A3D2B" w:rsidRDefault="003474F2" w:rsidP="003474F2">
      <w:pPr>
        <w:pStyle w:val="12"/>
        <w:rPr>
          <w:lang w:val="de-DE"/>
        </w:rPr>
      </w:pPr>
      <w:r w:rsidRPr="001A3D2B">
        <w:rPr>
          <w:lang w:val="de-DE"/>
        </w:rPr>
        <w:t xml:space="preserve">Full Journal Title: </w:t>
      </w:r>
      <w:r w:rsidRPr="001A3D2B">
        <w:t>Angewandte Informatik</w:t>
      </w:r>
    </w:p>
    <w:p w:rsidR="003474F2" w:rsidRPr="001A3D2B" w:rsidRDefault="003474F2" w:rsidP="003474F2">
      <w:pPr>
        <w:pStyle w:val="12"/>
      </w:pPr>
      <w:r w:rsidRPr="001A3D2B">
        <w:t>ISO Abbreviated Title:</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Grochla, E., Seibt, D., Schmitz, P.</w:t>
      </w:r>
      <w:r w:rsidR="005853A9">
        <w:t xml:space="preserve"> and </w:t>
      </w:r>
      <w:r w:rsidRPr="001A3D2B">
        <w:t>Szypersk, N. (1972), Proposal for a course</w:t>
      </w:r>
      <w:r w:rsidR="00427468">
        <w:t xml:space="preserve"> of </w:t>
      </w:r>
      <w:r w:rsidRPr="001A3D2B">
        <w:t>study bachelor</w:t>
      </w:r>
      <w:r w:rsidR="00427468">
        <w:t xml:space="preserve"> of </w:t>
      </w:r>
      <w:r w:rsidRPr="001A3D2B">
        <w:t xml:space="preserve">commerce specialized in informatics. </w:t>
      </w:r>
      <w:r w:rsidRPr="001A3D2B">
        <w:rPr>
          <w:i/>
          <w:iCs/>
        </w:rPr>
        <w:t>Angewandte Informatik</w:t>
      </w:r>
      <w:r w:rsidRPr="001A3D2B">
        <w:t>, (2), 81-??.</w:t>
      </w:r>
    </w:p>
    <w:p w:rsidR="003474F2" w:rsidRPr="001A3D2B" w:rsidRDefault="003474F2" w:rsidP="003474F2">
      <w:pPr>
        <w:pStyle w:val="1"/>
      </w:pPr>
      <w:r w:rsidRPr="001A3D2B">
        <w:br w:type="page"/>
      </w:r>
      <w:bookmarkStart w:id="421" w:name="_Toc420814471"/>
      <w:r w:rsidRPr="001A3D2B">
        <w:lastRenderedPageBreak/>
        <w:t>Title: Angle Orthodontist</w:t>
      </w:r>
      <w:bookmarkEnd w:id="421"/>
    </w:p>
    <w:p w:rsidR="00500F0E" w:rsidRPr="00F219CA" w:rsidRDefault="00500F0E" w:rsidP="00500F0E">
      <w:pPr>
        <w:pStyle w:val="12"/>
      </w:pPr>
      <w:r w:rsidRPr="00F219CA">
        <w:t xml:space="preserve">Full Journal Title: </w:t>
      </w:r>
      <w:bookmarkStart w:id="422" w:name="_Toc81215607"/>
      <w:r w:rsidR="00206C8A">
        <w:fldChar w:fldCharType="begin"/>
      </w:r>
      <w:r w:rsidR="00FD158B">
        <w:instrText>HYPERLINK "http://www.an</w:instrText>
      </w:r>
      <w:bookmarkEnd w:id="422"/>
      <w:r w:rsidR="00FD158B">
        <w:instrText>gleorthodontist.org/anglonline/?request=index-html"</w:instrText>
      </w:r>
      <w:r w:rsidR="00206C8A">
        <w:fldChar w:fldCharType="separate"/>
      </w:r>
      <w:r w:rsidRPr="00C16D79">
        <w:rPr>
          <w:rStyle w:val="a5"/>
        </w:rPr>
        <w:t>Angle Orthodontist</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0003-3219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Sun, R.L., Conway, S., Zawaideh, S.</w:t>
      </w:r>
      <w:r w:rsidR="005853A9">
        <w:t xml:space="preserve"> and </w:t>
      </w:r>
      <w:r w:rsidRPr="001A3D2B">
        <w:t>Niederman, R. (2000), Benchmarking</w:t>
      </w:r>
      <w:r w:rsidR="003A1917">
        <w:t xml:space="preserve"> the </w:t>
      </w:r>
      <w:r w:rsidRPr="001A3D2B">
        <w:t xml:space="preserve">clinical orthodontic evidence on </w:t>
      </w:r>
      <w:r w:rsidR="00D5664A">
        <w:t>MEDLINE</w:t>
      </w:r>
      <w:r w:rsidRPr="001A3D2B">
        <w:t xml:space="preserve">. </w:t>
      </w:r>
      <w:r w:rsidRPr="001A3D2B">
        <w:rPr>
          <w:i/>
          <w:iCs/>
        </w:rPr>
        <w:t>Angle Orthodontist</w:t>
      </w:r>
      <w:r w:rsidRPr="001A3D2B">
        <w:t xml:space="preserve">, </w:t>
      </w:r>
      <w:r w:rsidRPr="001A3D2B">
        <w:rPr>
          <w:b/>
          <w:bCs/>
        </w:rPr>
        <w:t>70</w:t>
      </w:r>
      <w:r w:rsidRPr="001A3D2B">
        <w:t xml:space="preserve"> (6), 464-470.</w:t>
      </w:r>
    </w:p>
    <w:p w:rsidR="003474F2" w:rsidRPr="001A3D2B" w:rsidRDefault="003474F2" w:rsidP="003474F2">
      <w:pPr>
        <w:pStyle w:val="a3"/>
      </w:pPr>
      <w:r w:rsidRPr="001A3D2B">
        <w:t xml:space="preserve">Full Text: </w:t>
      </w:r>
      <w:hyperlink r:id="rId778" w:history="1">
        <w:r w:rsidRPr="001A3D2B">
          <w:rPr>
            <w:rStyle w:val="a5"/>
            <w:iCs/>
          </w:rPr>
          <w:t>2000\Ang Ort70, 464.pdf</w:t>
        </w:r>
      </w:hyperlink>
    </w:p>
    <w:p w:rsidR="003474F2" w:rsidRPr="001A3D2B" w:rsidRDefault="003474F2" w:rsidP="003474F2">
      <w:pPr>
        <w:pStyle w:val="a3"/>
      </w:pPr>
      <w:r w:rsidRPr="001A3D2B">
        <w:t>Abstract:</w:t>
      </w:r>
      <w:r w:rsidR="003A1917">
        <w:t xml:space="preserve"> the </w:t>
      </w:r>
      <w:r w:rsidRPr="001A3D2B">
        <w:t>purpose</w:t>
      </w:r>
      <w:r w:rsidR="00427468">
        <w:t xml:space="preserve"> of </w:t>
      </w:r>
      <w:r w:rsidRPr="001A3D2B">
        <w:t>this study was to identify</w:t>
      </w:r>
      <w:r w:rsidR="005853A9">
        <w:t xml:space="preserve"> and </w:t>
      </w:r>
      <w:r w:rsidRPr="001A3D2B">
        <w:t>quantify</w:t>
      </w:r>
      <w:r w:rsidR="003A1917">
        <w:t xml:space="preserve"> the </w:t>
      </w:r>
      <w:r w:rsidRPr="001A3D2B">
        <w:t>availability</w:t>
      </w:r>
      <w:r w:rsidR="00427468">
        <w:t xml:space="preserve"> of </w:t>
      </w:r>
      <w:r w:rsidRPr="001A3D2B">
        <w:t>orthodontic literature for evidence-based clinical decision-making (ie, sound clinical studies</w:t>
      </w:r>
      <w:r w:rsidR="00427468">
        <w:t xml:space="preserve"> of </w:t>
      </w:r>
      <w:r w:rsidRPr="001A3D2B">
        <w:t xml:space="preserve">etiology, diagnosis, treatment, or prognosis meeting basic methodologic criteria for direct clinical use). This is a first step toward developing online decision analysis systems. A search strategy based on Medical Subject Headings (MeSH) for orthodontics was developed to examine </w:t>
      </w:r>
      <w:r w:rsidR="00D5664A">
        <w:t>MEDLINE</w:t>
      </w:r>
      <w:r w:rsidRPr="001A3D2B">
        <w:t xml:space="preserve"> using</w:t>
      </w:r>
      <w:r w:rsidR="003A1917">
        <w:t xml:space="preserve"> the </w:t>
      </w:r>
      <w:r w:rsidRPr="001A3D2B">
        <w:t>Ovid Web Gateway search engine. Sensitive</w:t>
      </w:r>
      <w:r w:rsidR="005853A9">
        <w:t xml:space="preserve"> and </w:t>
      </w:r>
      <w:r w:rsidRPr="001A3D2B">
        <w:t>specific methodologic search filters were then employed to identify</w:t>
      </w:r>
      <w:r w:rsidR="003A1917">
        <w:t xml:space="preserve"> the </w:t>
      </w:r>
      <w:r w:rsidRPr="001A3D2B">
        <w:t>4 categories</w:t>
      </w:r>
      <w:r w:rsidR="00427468">
        <w:t xml:space="preserve"> of </w:t>
      </w:r>
      <w:r w:rsidRPr="001A3D2B">
        <w:t>information</w:t>
      </w:r>
      <w:r w:rsidR="00A37C1D">
        <w:t>. The</w:t>
      </w:r>
      <w:r w:rsidR="003A1917">
        <w:t xml:space="preserve"> </w:t>
      </w:r>
      <w:r w:rsidRPr="001A3D2B">
        <w:t>results were then subdivided by year to identify trends</w:t>
      </w:r>
      <w:r w:rsidR="005853A9">
        <w:t xml:space="preserve"> and </w:t>
      </w:r>
      <w:r w:rsidRPr="001A3D2B">
        <w:t>sorted to identify source</w:t>
      </w:r>
      <w:r w:rsidR="00427468">
        <w:t xml:space="preserve"> of </w:t>
      </w:r>
      <w:r w:rsidRPr="001A3D2B">
        <w:t>publications, In</w:t>
      </w:r>
      <w:r w:rsidR="003A1917">
        <w:t xml:space="preserve"> the </w:t>
      </w:r>
      <w:r w:rsidRPr="001A3D2B">
        <w:t>period 1990 to 1998,</w:t>
      </w:r>
      <w:r w:rsidR="003A1917">
        <w:t xml:space="preserve"> the </w:t>
      </w:r>
      <w:r w:rsidR="00D5664A">
        <w:t>MEDLINE</w:t>
      </w:r>
      <w:r w:rsidRPr="001A3D2B">
        <w:t xml:space="preserve"> searches identified 6938 English-language articles about orthodontics</w:t>
      </w:r>
      <w:r w:rsidR="00A37C1D">
        <w:t>. The</w:t>
      </w:r>
      <w:r w:rsidR="003A1917">
        <w:t xml:space="preserve"> </w:t>
      </w:r>
      <w:r w:rsidRPr="001A3D2B">
        <w:t>mean number</w:t>
      </w:r>
      <w:r w:rsidR="00427468">
        <w:t xml:space="preserve"> of </w:t>
      </w:r>
      <w:r w:rsidRPr="001A3D2B">
        <w:t>articles (±SD) per year ranged from 42±25 for specific searches to 314±214 for sensitive searches</w:t>
      </w:r>
      <w:r w:rsidR="00A37C1D">
        <w:t>. The</w:t>
      </w:r>
      <w:r w:rsidR="003A1917">
        <w:t xml:space="preserve"> </w:t>
      </w:r>
      <w:r w:rsidRPr="001A3D2B">
        <w:t>number</w:t>
      </w:r>
      <w:r w:rsidR="00427468">
        <w:t xml:space="preserve"> of </w:t>
      </w:r>
      <w:r w:rsidRPr="001A3D2B">
        <w:t>articles identified by</w:t>
      </w:r>
      <w:r w:rsidR="003A1917">
        <w:t xml:space="preserve"> the </w:t>
      </w:r>
      <w:r w:rsidRPr="001A3D2B">
        <w:t>specific or sensitive searches increased 14% to 21% annually. When subdivided by clinical category,</w:t>
      </w:r>
      <w:r w:rsidR="003A1917">
        <w:t xml:space="preserve"> the </w:t>
      </w:r>
      <w:r w:rsidRPr="001A3D2B">
        <w:t>mean numbers</w:t>
      </w:r>
      <w:r w:rsidR="00427468">
        <w:t xml:space="preserve"> of </w:t>
      </w:r>
      <w:r w:rsidRPr="001A3D2B">
        <w:t>articles per year for specific</w:t>
      </w:r>
      <w:r w:rsidR="005853A9">
        <w:t xml:space="preserve"> and </w:t>
      </w:r>
      <w:r w:rsidRPr="001A3D2B">
        <w:t>sensitive searches were respectively: etiology 19±15</w:t>
      </w:r>
      <w:r w:rsidR="005853A9">
        <w:t xml:space="preserve"> and </w:t>
      </w:r>
      <w:r w:rsidRPr="001A3D2B">
        <w:t>91±37, diagnosis 11±5</w:t>
      </w:r>
      <w:r w:rsidR="005853A9">
        <w:t xml:space="preserve"> and </w:t>
      </w:r>
      <w:r w:rsidRPr="001A3D2B">
        <w:t>80±35, therapy 3±1</w:t>
      </w:r>
      <w:r w:rsidR="005853A9">
        <w:t xml:space="preserve"> and </w:t>
      </w:r>
      <w:r w:rsidRPr="001A3D2B">
        <w:t>50±23,</w:t>
      </w:r>
      <w:r w:rsidR="005853A9">
        <w:t xml:space="preserve"> and </w:t>
      </w:r>
      <w:r w:rsidRPr="001A3D2B">
        <w:t>prognosis 10±7</w:t>
      </w:r>
      <w:r w:rsidR="005853A9">
        <w:t xml:space="preserve"> and </w:t>
      </w:r>
      <w:r w:rsidRPr="001A3D2B">
        <w:t>93±33. Five dental journals accounted for nearly half</w:t>
      </w:r>
      <w:r w:rsidR="00427468">
        <w:t xml:space="preserve"> of </w:t>
      </w:r>
      <w:r w:rsidRPr="001A3D2B">
        <w:t>these publications</w:t>
      </w:r>
      <w:r w:rsidR="00A37C1D">
        <w:t>. The</w:t>
      </w:r>
      <w:r w:rsidRPr="001A3D2B">
        <w:t>se results provide several key findings: (1) there is a substantial literature</w:t>
      </w:r>
      <w:r w:rsidR="00427468">
        <w:t xml:space="preserve"> of </w:t>
      </w:r>
      <w:r w:rsidRPr="001A3D2B">
        <w:t>clinically relevant information in orthodontics upon which to base clinical decisions; (2)</w:t>
      </w:r>
      <w:r w:rsidR="003A1917">
        <w:t xml:space="preserve"> the </w:t>
      </w:r>
      <w:r w:rsidRPr="001A3D2B">
        <w:t>information appears to be balanced between etiology, diagnosis, treatment,</w:t>
      </w:r>
      <w:r w:rsidR="005853A9">
        <w:t xml:space="preserve"> and </w:t>
      </w:r>
      <w:r w:rsidRPr="001A3D2B">
        <w:t>prognosis; (3) approximately 45%</w:t>
      </w:r>
      <w:r w:rsidR="00427468">
        <w:t xml:space="preserve"> of </w:t>
      </w:r>
      <w:r w:rsidR="003A1917">
        <w:t xml:space="preserve">the </w:t>
      </w:r>
      <w:r w:rsidRPr="001A3D2B">
        <w:t>articles reside in 5 journals, whereas</w:t>
      </w:r>
      <w:r w:rsidR="003A1917">
        <w:t xml:space="preserve"> the </w:t>
      </w:r>
      <w:r w:rsidRPr="001A3D2B">
        <w:t>remainder reside in approximately 66 other journals, making it difficult to stay current; (4)</w:t>
      </w:r>
      <w:r w:rsidR="003A1917">
        <w:t xml:space="preserve"> the </w:t>
      </w:r>
      <w:r w:rsidRPr="001A3D2B">
        <w:t>number</w:t>
      </w:r>
      <w:r w:rsidR="00427468">
        <w:t xml:space="preserve"> of </w:t>
      </w:r>
      <w:r w:rsidRPr="001A3D2B">
        <w:lastRenderedPageBreak/>
        <w:t>articles is increasing significantly each year; (5) to stay current, one would need to read between 1</w:t>
      </w:r>
      <w:r w:rsidR="005853A9">
        <w:t xml:space="preserve"> and </w:t>
      </w:r>
      <w:r w:rsidRPr="001A3D2B">
        <w:t>6 articles per week, 52 weeks per year; (6) these trends suggest</w:t>
      </w:r>
      <w:r w:rsidR="003A1917">
        <w:t xml:space="preserve"> the </w:t>
      </w:r>
      <w:r w:rsidRPr="001A3D2B">
        <w:t>need fur computer-based clinical knowledge systems;</w:t>
      </w:r>
      <w:r w:rsidR="005853A9">
        <w:t xml:space="preserve"> and </w:t>
      </w:r>
      <w:r w:rsidRPr="001A3D2B">
        <w:t>(7)</w:t>
      </w:r>
      <w:r w:rsidR="003A1917">
        <w:t xml:space="preserve"> the </w:t>
      </w:r>
      <w:r w:rsidRPr="001A3D2B">
        <w:t>methods used here can be immediately employed to identify</w:t>
      </w:r>
      <w:r w:rsidR="003A1917">
        <w:t xml:space="preserve"> the </w:t>
      </w:r>
      <w:r w:rsidRPr="001A3D2B">
        <w:t>best</w:t>
      </w:r>
      <w:r w:rsidR="005853A9">
        <w:t xml:space="preserve"> and </w:t>
      </w:r>
      <w:r w:rsidRPr="001A3D2B">
        <w:t>most current clinical orthodontic evidence. (Angle Orthod 2000;70: 000-000.).</w:t>
      </w:r>
    </w:p>
    <w:p w:rsidR="003474F2" w:rsidRPr="001A3D2B" w:rsidRDefault="003474F2" w:rsidP="003474F2">
      <w:pPr>
        <w:pStyle w:val="a3"/>
      </w:pPr>
      <w:r w:rsidRPr="001A3D2B">
        <w:t xml:space="preserve">Keywords: Analysis, Availability, Clinical, Clinical Studies, Criteria, Decision, Decision Analysis, Decision Making, Decision-Making, Developing, Diagnosis, Engine, Etiology, Evidence, Evidence Based, Evidence-Based, First, Fur, Information, Journals, Knowledge, Literature, </w:t>
      </w:r>
      <w:r w:rsidR="00D5664A">
        <w:t>MEDLINE</w:t>
      </w:r>
      <w:r w:rsidRPr="001A3D2B">
        <w:t>, Methods, Prognosis, Publications, Purpose, Search Strategy, Source, Systems, Therapy, Treatment, Trends</w:t>
      </w:r>
    </w:p>
    <w:p w:rsidR="0062028A" w:rsidRDefault="0062028A" w:rsidP="0062028A">
      <w:pPr>
        <w:pStyle w:val="a3"/>
        <w:rPr>
          <w:kern w:val="0"/>
        </w:rPr>
      </w:pPr>
      <w:r>
        <w:rPr>
          <w:rFonts w:hint="eastAsia"/>
          <w:kern w:val="0"/>
        </w:rPr>
        <w:t xml:space="preserve">? </w:t>
      </w:r>
      <w:r>
        <w:rPr>
          <w:kern w:val="0"/>
        </w:rPr>
        <w:t>Ohashi, E., Pecho, O.E., Moron, M.</w:t>
      </w:r>
      <w:r w:rsidR="005853A9">
        <w:rPr>
          <w:kern w:val="0"/>
        </w:rPr>
        <w:t xml:space="preserve"> and </w:t>
      </w:r>
      <w:r>
        <w:rPr>
          <w:kern w:val="0"/>
        </w:rPr>
        <w:t>Lagravere, M.O. (2006), Implant vs screw loading protocols in orthodontics</w:t>
      </w:r>
      <w:r>
        <w:rPr>
          <w:rFonts w:hint="eastAsia"/>
          <w:kern w:val="0"/>
        </w:rPr>
        <w:t>:</w:t>
      </w:r>
      <w:r>
        <w:rPr>
          <w:kern w:val="0"/>
        </w:rPr>
        <w:t xml:space="preserve"> A systematic review. </w:t>
      </w:r>
      <w:r>
        <w:rPr>
          <w:i/>
          <w:iCs/>
          <w:kern w:val="0"/>
        </w:rPr>
        <w:t>Angle Orthodontist</w:t>
      </w:r>
      <w:r>
        <w:rPr>
          <w:kern w:val="0"/>
        </w:rPr>
        <w:t xml:space="preserve">, </w:t>
      </w:r>
      <w:r>
        <w:rPr>
          <w:b/>
          <w:bCs/>
          <w:kern w:val="0"/>
        </w:rPr>
        <w:t>76</w:t>
      </w:r>
      <w:r>
        <w:rPr>
          <w:kern w:val="0"/>
        </w:rPr>
        <w:t xml:space="preserve"> (4), 721-727.</w:t>
      </w:r>
    </w:p>
    <w:p w:rsidR="009566F9" w:rsidRDefault="009566F9" w:rsidP="009566F9">
      <w:pPr>
        <w:pStyle w:val="a3"/>
        <w:rPr>
          <w:kern w:val="0"/>
          <w:szCs w:val="24"/>
        </w:rPr>
      </w:pPr>
      <w:r>
        <w:rPr>
          <w:rFonts w:hint="eastAsia"/>
          <w:kern w:val="0"/>
          <w:szCs w:val="24"/>
        </w:rPr>
        <w:t xml:space="preserve">Full Text: </w:t>
      </w:r>
      <w:hyperlink r:id="rId779" w:history="1">
        <w:r w:rsidRPr="00365CD2">
          <w:rPr>
            <w:rStyle w:val="a5"/>
            <w:kern w:val="0"/>
            <w:szCs w:val="24"/>
          </w:rPr>
          <w:t>2006\Ang Ort76, 721.pdf</w:t>
        </w:r>
      </w:hyperlink>
    </w:p>
    <w:p w:rsidR="0062028A" w:rsidRDefault="0062028A" w:rsidP="0062028A">
      <w:pPr>
        <w:pStyle w:val="a3"/>
        <w:rPr>
          <w:kern w:val="0"/>
        </w:rPr>
      </w:pPr>
      <w:r>
        <w:rPr>
          <w:kern w:val="0"/>
        </w:rPr>
        <w:t>Abstract: Objective: This systematic review presents</w:t>
      </w:r>
      <w:r w:rsidR="003A1917">
        <w:rPr>
          <w:kern w:val="0"/>
        </w:rPr>
        <w:t xml:space="preserve"> the </w:t>
      </w:r>
      <w:r>
        <w:rPr>
          <w:kern w:val="0"/>
        </w:rPr>
        <w:t>loading protocols applied when using implants and/or screws in orthodontic treatments. Materials</w:t>
      </w:r>
      <w:r w:rsidR="005853A9">
        <w:rPr>
          <w:kern w:val="0"/>
        </w:rPr>
        <w:t xml:space="preserve"> and </w:t>
      </w:r>
      <w:r>
        <w:rPr>
          <w:kern w:val="0"/>
        </w:rPr>
        <w:t>Methods: Clinical trials which assessed</w:t>
      </w:r>
      <w:r w:rsidR="003A1917">
        <w:rPr>
          <w:kern w:val="0"/>
        </w:rPr>
        <w:t xml:space="preserve"> the </w:t>
      </w:r>
      <w:r>
        <w:rPr>
          <w:kern w:val="0"/>
        </w:rPr>
        <w:t>use</w:t>
      </w:r>
      <w:r w:rsidR="00427468">
        <w:rPr>
          <w:kern w:val="0"/>
        </w:rPr>
        <w:t xml:space="preserve"> of </w:t>
      </w:r>
      <w:r>
        <w:rPr>
          <w:kern w:val="0"/>
        </w:rPr>
        <w:t>implants and/or screws for orthodontic anchorage</w:t>
      </w:r>
      <w:r w:rsidR="005853A9">
        <w:rPr>
          <w:kern w:val="0"/>
        </w:rPr>
        <w:t xml:space="preserve"> and </w:t>
      </w:r>
      <w:r>
        <w:rPr>
          <w:kern w:val="0"/>
        </w:rPr>
        <w:t>studies involving treatment on syndromic patients, surgery, other simultaneous treatments, or appliances (ie mini-plates) were considered. Electronic databases (</w:t>
      </w:r>
      <w:r w:rsidR="00D5664A">
        <w:rPr>
          <w:kern w:val="0"/>
        </w:rPr>
        <w:t>MEDLINE</w:t>
      </w:r>
      <w:r>
        <w:rPr>
          <w:kern w:val="0"/>
        </w:rPr>
        <w:t xml:space="preserve">, </w:t>
      </w:r>
      <w:r w:rsidR="00D5664A">
        <w:rPr>
          <w:kern w:val="0"/>
        </w:rPr>
        <w:t>MEDLINE</w:t>
      </w:r>
      <w:r>
        <w:rPr>
          <w:kern w:val="0"/>
        </w:rPr>
        <w:t xml:space="preserve"> In-Process &amp; Other Non-Indexed Citations, Lilacs,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All Evidence Based Medicine Reviews) were searched with</w:t>
      </w:r>
      <w:r w:rsidR="003A1917">
        <w:rPr>
          <w:kern w:val="0"/>
        </w:rPr>
        <w:t xml:space="preserve"> the </w:t>
      </w:r>
      <w:r>
        <w:rPr>
          <w:kern w:val="0"/>
        </w:rPr>
        <w:t>help</w:t>
      </w:r>
      <w:r w:rsidR="00427468">
        <w:rPr>
          <w:kern w:val="0"/>
        </w:rPr>
        <w:t xml:space="preserve"> of </w:t>
      </w:r>
      <w:r>
        <w:rPr>
          <w:kern w:val="0"/>
        </w:rPr>
        <w:t>a senior Health Sciences librarian. Abstracts which appeared to fulfill</w:t>
      </w:r>
      <w:r w:rsidR="003A1917">
        <w:rPr>
          <w:kern w:val="0"/>
        </w:rPr>
        <w:t xml:space="preserve"> the </w:t>
      </w:r>
      <w:r>
        <w:rPr>
          <w:kern w:val="0"/>
        </w:rPr>
        <w:t>selection criteria were selected by consensus</w:t>
      </w:r>
      <w:r w:rsidR="00A37C1D">
        <w:rPr>
          <w:kern w:val="0"/>
        </w:rPr>
        <w:t>. The</w:t>
      </w:r>
      <w:r w:rsidR="003A1917">
        <w:rPr>
          <w:kern w:val="0"/>
        </w:rPr>
        <w:t xml:space="preserve"> </w:t>
      </w:r>
      <w:r>
        <w:rPr>
          <w:kern w:val="0"/>
        </w:rPr>
        <w:t>original articles were then retrieved</w:t>
      </w:r>
      <w:r w:rsidR="005853A9">
        <w:rPr>
          <w:kern w:val="0"/>
        </w:rPr>
        <w:t xml:space="preserve"> and </w:t>
      </w:r>
      <w:r>
        <w:rPr>
          <w:kern w:val="0"/>
        </w:rPr>
        <w:t>evaluated with a methodological checklist. References were also hand searched for possible missing articles. Results: Eleven articles fulfilled</w:t>
      </w:r>
      <w:r w:rsidR="003A1917">
        <w:rPr>
          <w:kern w:val="0"/>
        </w:rPr>
        <w:t xml:space="preserve"> the </w:t>
      </w:r>
      <w:r>
        <w:rPr>
          <w:kern w:val="0"/>
        </w:rPr>
        <w:t>selection criteria established. Five studies involved</w:t>
      </w:r>
      <w:r w:rsidR="003A1917">
        <w:rPr>
          <w:kern w:val="0"/>
        </w:rPr>
        <w:t xml:space="preserve"> the </w:t>
      </w:r>
      <w:r>
        <w:rPr>
          <w:kern w:val="0"/>
        </w:rPr>
        <w:t>use</w:t>
      </w:r>
      <w:r w:rsidR="00427468">
        <w:rPr>
          <w:kern w:val="0"/>
        </w:rPr>
        <w:t xml:space="preserve"> of </w:t>
      </w:r>
      <w:r>
        <w:rPr>
          <w:kern w:val="0"/>
        </w:rPr>
        <w:t>implants while six involved</w:t>
      </w:r>
      <w:r w:rsidR="003A1917">
        <w:rPr>
          <w:kern w:val="0"/>
        </w:rPr>
        <w:t xml:space="preserve"> the </w:t>
      </w:r>
      <w:r>
        <w:rPr>
          <w:kern w:val="0"/>
        </w:rPr>
        <w:t>use</w:t>
      </w:r>
      <w:r w:rsidR="00427468">
        <w:rPr>
          <w:kern w:val="0"/>
        </w:rPr>
        <w:t xml:space="preserve"> of </w:t>
      </w:r>
      <w:r>
        <w:rPr>
          <w:kern w:val="0"/>
        </w:rPr>
        <w:t>screws for orthodontic purposes. An individual methodological analysis for each article was made. Conclusions: Loading protocols for implants involve a minimum waiting period</w:t>
      </w:r>
      <w:r w:rsidR="00427468">
        <w:rPr>
          <w:kern w:val="0"/>
        </w:rPr>
        <w:t xml:space="preserve"> of </w:t>
      </w:r>
      <w:r>
        <w:rPr>
          <w:kern w:val="0"/>
        </w:rPr>
        <w:t>2 months before applying orthodontic forces while loading protocols for screws involve immediate loading or a waiting period</w:t>
      </w:r>
      <w:r w:rsidR="00427468">
        <w:rPr>
          <w:kern w:val="0"/>
        </w:rPr>
        <w:t xml:space="preserve"> of </w:t>
      </w:r>
      <w:r>
        <w:rPr>
          <w:kern w:val="0"/>
        </w:rPr>
        <w:t>2 weeks to apply forces. Success rates for implants were on average higher than for screws.</w:t>
      </w:r>
    </w:p>
    <w:p w:rsidR="0062028A" w:rsidRDefault="0062028A" w:rsidP="0062028A">
      <w:pPr>
        <w:pStyle w:val="a3"/>
        <w:rPr>
          <w:kern w:val="0"/>
        </w:rPr>
      </w:pPr>
      <w:r>
        <w:rPr>
          <w:kern w:val="0"/>
        </w:rPr>
        <w:t xml:space="preserve">Keywords: Analysis, Anchorage, Bone, Citations, Clinical Trials, Databases, Health, Humans, Implants, Methods, Orthodontic Loading, References, Region, Review, Science, Screws, Surgery, Systematic, Systematic Review, Temporary Anchorage Devices, Titanium Screws, Treatment,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Flores-Mir, C.</w:t>
      </w:r>
      <w:r w:rsidR="005853A9">
        <w:rPr>
          <w:kern w:val="0"/>
        </w:rPr>
        <w:t xml:space="preserve"> and </w:t>
      </w:r>
      <w:r>
        <w:rPr>
          <w:kern w:val="0"/>
        </w:rPr>
        <w:t>Major, P.W. (2006), Cephalometric facial soft tissue changes with</w:t>
      </w:r>
      <w:r w:rsidR="003A1917">
        <w:rPr>
          <w:kern w:val="0"/>
        </w:rPr>
        <w:t xml:space="preserve"> the </w:t>
      </w:r>
      <w:r>
        <w:rPr>
          <w:kern w:val="0"/>
        </w:rPr>
        <w:t xml:space="preserve">twin block appliance in class II division 1 malocclusion patients. </w:t>
      </w:r>
      <w:r>
        <w:rPr>
          <w:i/>
          <w:iCs/>
          <w:kern w:val="0"/>
        </w:rPr>
        <w:t xml:space="preserve">Angle </w:t>
      </w:r>
      <w:r>
        <w:rPr>
          <w:i/>
          <w:iCs/>
          <w:kern w:val="0"/>
        </w:rPr>
        <w:lastRenderedPageBreak/>
        <w:t>Orthodontist</w:t>
      </w:r>
      <w:r>
        <w:rPr>
          <w:kern w:val="0"/>
        </w:rPr>
        <w:t xml:space="preserve">, </w:t>
      </w:r>
      <w:r>
        <w:rPr>
          <w:b/>
          <w:bCs/>
          <w:kern w:val="0"/>
        </w:rPr>
        <w:t>76</w:t>
      </w:r>
      <w:r>
        <w:rPr>
          <w:kern w:val="0"/>
        </w:rPr>
        <w:t xml:space="preserve"> (5), 876-881.</w:t>
      </w:r>
    </w:p>
    <w:p w:rsidR="009566F9" w:rsidRDefault="009566F9" w:rsidP="009566F9">
      <w:pPr>
        <w:pStyle w:val="a3"/>
        <w:rPr>
          <w:kern w:val="0"/>
          <w:szCs w:val="24"/>
        </w:rPr>
      </w:pPr>
      <w:r>
        <w:rPr>
          <w:rFonts w:hint="eastAsia"/>
          <w:kern w:val="0"/>
          <w:szCs w:val="24"/>
        </w:rPr>
        <w:t xml:space="preserve">Full Text: </w:t>
      </w:r>
      <w:hyperlink r:id="rId780" w:history="1">
        <w:r w:rsidRPr="009566F9">
          <w:rPr>
            <w:rStyle w:val="a5"/>
            <w:kern w:val="0"/>
            <w:szCs w:val="24"/>
          </w:rPr>
          <w:t>2006\Ang Ort76, 876.pdf</w:t>
        </w:r>
      </w:hyperlink>
    </w:p>
    <w:p w:rsidR="0062028A" w:rsidRDefault="0062028A" w:rsidP="0062028A">
      <w:pPr>
        <w:pStyle w:val="a3"/>
        <w:rPr>
          <w:kern w:val="0"/>
        </w:rPr>
      </w:pPr>
      <w:r>
        <w:rPr>
          <w:kern w:val="0"/>
        </w:rPr>
        <w:t>Abstract: Objective: To evaluate facial soft tissue changes after</w:t>
      </w:r>
      <w:r w:rsidR="003A1917">
        <w:rPr>
          <w:kern w:val="0"/>
        </w:rPr>
        <w:t xml:space="preserve"> the </w:t>
      </w:r>
      <w:r>
        <w:rPr>
          <w:kern w:val="0"/>
        </w:rPr>
        <w:t>use</w:t>
      </w:r>
      <w:r w:rsidR="00427468">
        <w:rPr>
          <w:kern w:val="0"/>
        </w:rPr>
        <w:t xml:space="preserve"> of </w:t>
      </w:r>
      <w:r w:rsidR="003A1917">
        <w:rPr>
          <w:kern w:val="0"/>
        </w:rPr>
        <w:t xml:space="preserve">the </w:t>
      </w:r>
      <w:r>
        <w:rPr>
          <w:kern w:val="0"/>
        </w:rPr>
        <w:t>twin block appliance in Class 11 division 1 malocclusion patients. Materials</w:t>
      </w:r>
      <w:r w:rsidR="005853A9">
        <w:rPr>
          <w:kern w:val="0"/>
        </w:rPr>
        <w:t xml:space="preserve"> and </w:t>
      </w:r>
      <w:r>
        <w:rPr>
          <w:kern w:val="0"/>
        </w:rPr>
        <w:t>Methods: Several electronic databases (</w:t>
      </w:r>
      <w:r w:rsidR="002C12F0">
        <w:rPr>
          <w:kern w:val="0"/>
        </w:rPr>
        <w:t>PUBMED</w:t>
      </w:r>
      <w:r>
        <w:rPr>
          <w:kern w:val="0"/>
        </w:rPr>
        <w:t xml:space="preserve">, </w:t>
      </w:r>
      <w:r w:rsidR="00D5664A">
        <w:rPr>
          <w:kern w:val="0"/>
        </w:rPr>
        <w:t>MEDLINE</w:t>
      </w:r>
      <w:r>
        <w:rPr>
          <w:kern w:val="0"/>
        </w:rPr>
        <w:t xml:space="preserve">, </w:t>
      </w:r>
      <w:r w:rsidR="00D5664A">
        <w:rPr>
          <w:kern w:val="0"/>
        </w:rPr>
        <w:t>MEDLINE</w:t>
      </w:r>
      <w:r>
        <w:rPr>
          <w:kern w:val="0"/>
        </w:rPr>
        <w:t xml:space="preserve"> In-Process &amp; Other Non-Indexed Citations, Cochrane databases,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LILACS) were searched with</w:t>
      </w:r>
      <w:r w:rsidR="003A1917">
        <w:rPr>
          <w:kern w:val="0"/>
        </w:rPr>
        <w:t xml:space="preserve"> the </w:t>
      </w:r>
      <w:r>
        <w:rPr>
          <w:kern w:val="0"/>
        </w:rPr>
        <w:t>help</w:t>
      </w:r>
      <w:r w:rsidR="00427468">
        <w:rPr>
          <w:kern w:val="0"/>
        </w:rPr>
        <w:t xml:space="preserve"> of </w:t>
      </w:r>
      <w:r>
        <w:rPr>
          <w:kern w:val="0"/>
        </w:rPr>
        <w:t>a senior health-sciences librarian. Abstracts that appeared to fulfill</w:t>
      </w:r>
      <w:r w:rsidR="003A1917">
        <w:rPr>
          <w:kern w:val="0"/>
        </w:rPr>
        <w:t xml:space="preserve"> the </w:t>
      </w:r>
      <w:r>
        <w:rPr>
          <w:kern w:val="0"/>
        </w:rPr>
        <w:t>initial selection criteria were selected by consensus,</w:t>
      </w:r>
      <w:r w:rsidR="005853A9">
        <w:rPr>
          <w:kern w:val="0"/>
        </w:rPr>
        <w:t xml:space="preserve"> and </w:t>
      </w:r>
      <w:r w:rsidR="003A1917">
        <w:rPr>
          <w:kern w:val="0"/>
        </w:rPr>
        <w:t xml:space="preserve">the </w:t>
      </w:r>
      <w:r>
        <w:rPr>
          <w:kern w:val="0"/>
        </w:rPr>
        <w:t>original articles were retrieved</w:t>
      </w:r>
      <w:r w:rsidR="00A37C1D">
        <w:rPr>
          <w:kern w:val="0"/>
        </w:rPr>
        <w:t>. The</w:t>
      </w:r>
      <w:r w:rsidR="003A1917">
        <w:rPr>
          <w:kern w:val="0"/>
        </w:rPr>
        <w:t xml:space="preserve"> </w:t>
      </w:r>
      <w:r>
        <w:rPr>
          <w:kern w:val="0"/>
        </w:rPr>
        <w:t>article references were hand-searched for possible missing articles. Clinical trials that assessed facial soft tissue changes with</w:t>
      </w:r>
      <w:r w:rsidR="003A1917">
        <w:rPr>
          <w:kern w:val="0"/>
        </w:rPr>
        <w:t xml:space="preserve"> the </w:t>
      </w:r>
      <w:r>
        <w:rPr>
          <w:kern w:val="0"/>
        </w:rPr>
        <w:t>use</w:t>
      </w:r>
      <w:r w:rsidR="00427468">
        <w:rPr>
          <w:kern w:val="0"/>
        </w:rPr>
        <w:t xml:space="preserve"> of </w:t>
      </w:r>
      <w:r w:rsidR="003A1917">
        <w:rPr>
          <w:kern w:val="0"/>
        </w:rPr>
        <w:t xml:space="preserve">the </w:t>
      </w:r>
      <w:r>
        <w:rPr>
          <w:kern w:val="0"/>
        </w:rPr>
        <w:t>twin block appliance without any surgical intervention or syndromic characteristics were considered. A comparable untreated control group was required to factor out normal growth changes. Results: Two articles fulfilled</w:t>
      </w:r>
      <w:r w:rsidR="003A1917">
        <w:rPr>
          <w:kern w:val="0"/>
        </w:rPr>
        <w:t xml:space="preserve"> the </w:t>
      </w:r>
      <w:r>
        <w:rPr>
          <w:kern w:val="0"/>
        </w:rPr>
        <w:t>selection criteria</w:t>
      </w:r>
      <w:r w:rsidR="005853A9">
        <w:rPr>
          <w:kern w:val="0"/>
        </w:rPr>
        <w:t xml:space="preserve"> and </w:t>
      </w:r>
      <w:r>
        <w:rPr>
          <w:kern w:val="0"/>
        </w:rPr>
        <w:t>quantified facial soft tissue changes. Although some statistically significant changes in</w:t>
      </w:r>
      <w:r w:rsidR="003A1917">
        <w:rPr>
          <w:kern w:val="0"/>
        </w:rPr>
        <w:t xml:space="preserve"> the </w:t>
      </w:r>
      <w:r>
        <w:rPr>
          <w:kern w:val="0"/>
        </w:rPr>
        <w:t>soft tissue profile were found,</w:t>
      </w:r>
      <w:r w:rsidR="003A1917">
        <w:rPr>
          <w:kern w:val="0"/>
        </w:rPr>
        <w:t xml:space="preserve"> the </w:t>
      </w:r>
      <w:r>
        <w:rPr>
          <w:kern w:val="0"/>
        </w:rPr>
        <w:t>magnitude</w:t>
      </w:r>
      <w:r w:rsidR="00427468">
        <w:rPr>
          <w:kern w:val="0"/>
        </w:rPr>
        <w:t xml:space="preserve"> of </w:t>
      </w:r>
      <w:r w:rsidR="003A1917">
        <w:rPr>
          <w:kern w:val="0"/>
        </w:rPr>
        <w:t xml:space="preserve">the </w:t>
      </w:r>
      <w:r>
        <w:rPr>
          <w:kern w:val="0"/>
        </w:rPr>
        <w:t>changes may not be perceived as clinically significant. Changes produced in</w:t>
      </w:r>
      <w:r w:rsidR="003A1917">
        <w:rPr>
          <w:kern w:val="0"/>
        </w:rPr>
        <w:t xml:space="preserve"> the </w:t>
      </w:r>
      <w:r>
        <w:rPr>
          <w:kern w:val="0"/>
        </w:rPr>
        <w:t>upper lip seem to be controversial, although</w:t>
      </w:r>
      <w:r w:rsidR="003A1917">
        <w:rPr>
          <w:kern w:val="0"/>
        </w:rPr>
        <w:t xml:space="preserve"> the </w:t>
      </w:r>
      <w:r>
        <w:rPr>
          <w:kern w:val="0"/>
        </w:rPr>
        <w:t>study with sounder methodological quality did not report significant changes. No change in</w:t>
      </w:r>
      <w:r w:rsidR="003A1917">
        <w:rPr>
          <w:kern w:val="0"/>
        </w:rPr>
        <w:t xml:space="preserve"> the </w:t>
      </w:r>
      <w:r>
        <w:rPr>
          <w:kern w:val="0"/>
        </w:rPr>
        <w:t>anteroposterior position</w:t>
      </w:r>
      <w:r w:rsidR="00427468">
        <w:rPr>
          <w:kern w:val="0"/>
        </w:rPr>
        <w:t xml:space="preserve"> of </w:t>
      </w:r>
      <w:r w:rsidR="003A1917">
        <w:rPr>
          <w:kern w:val="0"/>
        </w:rPr>
        <w:t xml:space="preserve">the </w:t>
      </w:r>
      <w:r>
        <w:rPr>
          <w:kern w:val="0"/>
        </w:rPr>
        <w:t>lower lip</w:t>
      </w:r>
      <w:r w:rsidR="005853A9">
        <w:rPr>
          <w:kern w:val="0"/>
        </w:rPr>
        <w:t xml:space="preserve"> and </w:t>
      </w:r>
      <w:r w:rsidR="003A1917">
        <w:rPr>
          <w:kern w:val="0"/>
        </w:rPr>
        <w:t xml:space="preserve">the </w:t>
      </w:r>
      <w:r>
        <w:rPr>
          <w:kern w:val="0"/>
        </w:rPr>
        <w:t>soft tissue menton or improvement</w:t>
      </w:r>
      <w:r w:rsidR="00427468">
        <w:rPr>
          <w:kern w:val="0"/>
        </w:rPr>
        <w:t xml:space="preserve"> of </w:t>
      </w:r>
      <w:r w:rsidR="003A1917">
        <w:rPr>
          <w:kern w:val="0"/>
        </w:rPr>
        <w:t xml:space="preserve">the </w:t>
      </w:r>
      <w:r>
        <w:rPr>
          <w:kern w:val="0"/>
        </w:rPr>
        <w:t>facial convexity was found. Conclusions: Three-dimensional quantification</w:t>
      </w:r>
      <w:r w:rsidR="00427468">
        <w:rPr>
          <w:kern w:val="0"/>
        </w:rPr>
        <w:t xml:space="preserve"> of </w:t>
      </w:r>
      <w:r w:rsidR="003A1917">
        <w:rPr>
          <w:kern w:val="0"/>
        </w:rPr>
        <w:t xml:space="preserve">the </w:t>
      </w:r>
      <w:r>
        <w:rPr>
          <w:kern w:val="0"/>
        </w:rPr>
        <w:t>soft tissue changes is required to overcome current limitations in our understanding</w:t>
      </w:r>
      <w:r w:rsidR="00427468">
        <w:rPr>
          <w:kern w:val="0"/>
        </w:rPr>
        <w:t xml:space="preserve"> of </w:t>
      </w:r>
      <w:r w:rsidR="003A1917">
        <w:rPr>
          <w:kern w:val="0"/>
        </w:rPr>
        <w:t xml:space="preserve">the </w:t>
      </w:r>
      <w:r>
        <w:rPr>
          <w:kern w:val="0"/>
        </w:rPr>
        <w:t>soft tissue changes obtained after</w:t>
      </w:r>
      <w:r w:rsidR="003A1917">
        <w:rPr>
          <w:kern w:val="0"/>
        </w:rPr>
        <w:t xml:space="preserve"> the </w:t>
      </w:r>
      <w:r>
        <w:rPr>
          <w:kern w:val="0"/>
        </w:rPr>
        <w:t>use</w:t>
      </w:r>
      <w:r w:rsidR="00427468">
        <w:rPr>
          <w:kern w:val="0"/>
        </w:rPr>
        <w:t xml:space="preserve"> of </w:t>
      </w:r>
      <w:r w:rsidR="003A1917">
        <w:rPr>
          <w:kern w:val="0"/>
        </w:rPr>
        <w:t xml:space="preserve">the </w:t>
      </w:r>
      <w:r>
        <w:rPr>
          <w:kern w:val="0"/>
        </w:rPr>
        <w:t>twin block appliance in Class II division 1 malocclusion patients.</w:t>
      </w:r>
    </w:p>
    <w:p w:rsidR="0062028A" w:rsidRDefault="0062028A" w:rsidP="0062028A">
      <w:pPr>
        <w:pStyle w:val="a3"/>
        <w:rPr>
          <w:kern w:val="0"/>
        </w:rPr>
      </w:pPr>
      <w:r>
        <w:rPr>
          <w:kern w:val="0"/>
        </w:rPr>
        <w:t xml:space="preserve">Keywords: Bass, Bionator, Citations, Clinical Trials, Clinical-Trials, Cochrane, Control, Databases, Efficacy, EMBASE, Facial Changes, Functional Appliances, Functional Appliances, Health Sciences, Intervention, Mandibular Growth, </w:t>
      </w:r>
      <w:r w:rsidR="00D5664A">
        <w:rPr>
          <w:kern w:val="0"/>
        </w:rPr>
        <w:t>MEDLINE</w:t>
      </w:r>
      <w:r>
        <w:rPr>
          <w:kern w:val="0"/>
        </w:rPr>
        <w:t xml:space="preserve">, Methods, Normal, Profile, </w:t>
      </w:r>
      <w:r w:rsidR="002C12F0">
        <w:rPr>
          <w:kern w:val="0"/>
        </w:rPr>
        <w:t>PUBMED</w:t>
      </w:r>
      <w:r>
        <w:rPr>
          <w:kern w:val="0"/>
        </w:rPr>
        <w:t xml:space="preserve">, Quality, Science, Soft Tissue, Surgical, Systematic Reviews, Twin Block,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Leonardi, R., Giordano, D., Maiorana, F.</w:t>
      </w:r>
      <w:r w:rsidR="005853A9">
        <w:rPr>
          <w:kern w:val="0"/>
        </w:rPr>
        <w:t xml:space="preserve"> and </w:t>
      </w:r>
      <w:r>
        <w:rPr>
          <w:kern w:val="0"/>
        </w:rPr>
        <w:t>Spampinato, C. (2008), Automatic cephalometric analysis</w:t>
      </w:r>
      <w:r>
        <w:rPr>
          <w:rFonts w:hint="eastAsia"/>
          <w:kern w:val="0"/>
        </w:rPr>
        <w:t>:</w:t>
      </w:r>
      <w:r>
        <w:rPr>
          <w:kern w:val="0"/>
        </w:rPr>
        <w:t xml:space="preserve"> A systematic review. </w:t>
      </w:r>
      <w:r>
        <w:rPr>
          <w:i/>
          <w:iCs/>
          <w:kern w:val="0"/>
        </w:rPr>
        <w:t>Angle Orthodontist</w:t>
      </w:r>
      <w:r>
        <w:rPr>
          <w:kern w:val="0"/>
        </w:rPr>
        <w:t xml:space="preserve">, </w:t>
      </w:r>
      <w:r>
        <w:rPr>
          <w:b/>
          <w:bCs/>
          <w:kern w:val="0"/>
        </w:rPr>
        <w:t>78</w:t>
      </w:r>
      <w:r>
        <w:rPr>
          <w:kern w:val="0"/>
        </w:rPr>
        <w:t xml:space="preserve"> (1), 145-151.</w:t>
      </w:r>
    </w:p>
    <w:p w:rsidR="00A13BAA" w:rsidRDefault="00A13BAA" w:rsidP="00A13BAA">
      <w:pPr>
        <w:pStyle w:val="a3"/>
        <w:rPr>
          <w:kern w:val="0"/>
          <w:szCs w:val="24"/>
        </w:rPr>
      </w:pPr>
      <w:r>
        <w:rPr>
          <w:rFonts w:hint="eastAsia"/>
          <w:kern w:val="0"/>
          <w:szCs w:val="24"/>
        </w:rPr>
        <w:t xml:space="preserve">Full Text: </w:t>
      </w:r>
      <w:hyperlink r:id="rId781" w:history="1">
        <w:r w:rsidR="009566F9" w:rsidRPr="009566F9">
          <w:rPr>
            <w:rStyle w:val="a5"/>
            <w:kern w:val="0"/>
            <w:szCs w:val="24"/>
          </w:rPr>
          <w:t>2008\Ang Ort78, 145.pdf</w:t>
        </w:r>
      </w:hyperlink>
    </w:p>
    <w:p w:rsidR="0062028A" w:rsidRDefault="0062028A" w:rsidP="0062028A">
      <w:pPr>
        <w:pStyle w:val="a3"/>
        <w:rPr>
          <w:kern w:val="0"/>
        </w:rPr>
      </w:pPr>
      <w:r>
        <w:rPr>
          <w:kern w:val="0"/>
        </w:rPr>
        <w:t>Abstract: Objective: To describe</w:t>
      </w:r>
      <w:r w:rsidR="003A1917">
        <w:rPr>
          <w:kern w:val="0"/>
        </w:rPr>
        <w:t xml:space="preserve"> the </w:t>
      </w:r>
      <w:r>
        <w:rPr>
          <w:kern w:val="0"/>
        </w:rPr>
        <w:t>techniques used for automatic landmarking</w:t>
      </w:r>
      <w:r w:rsidR="00427468">
        <w:rPr>
          <w:kern w:val="0"/>
        </w:rPr>
        <w:t xml:space="preserve"> of </w:t>
      </w:r>
      <w:r>
        <w:rPr>
          <w:kern w:val="0"/>
        </w:rPr>
        <w:t>cephalograms, highlighting</w:t>
      </w:r>
      <w:r w:rsidR="003A1917">
        <w:rPr>
          <w:kern w:val="0"/>
        </w:rPr>
        <w:t xml:space="preserve"> the </w:t>
      </w:r>
      <w:r>
        <w:rPr>
          <w:kern w:val="0"/>
        </w:rPr>
        <w:t>strengths</w:t>
      </w:r>
      <w:r w:rsidR="005853A9">
        <w:rPr>
          <w:kern w:val="0"/>
        </w:rPr>
        <w:t xml:space="preserve"> and </w:t>
      </w:r>
      <w:r>
        <w:rPr>
          <w:kern w:val="0"/>
        </w:rPr>
        <w:t>weaknesses</w:t>
      </w:r>
      <w:r w:rsidR="00427468">
        <w:rPr>
          <w:kern w:val="0"/>
        </w:rPr>
        <w:t xml:space="preserve"> of </w:t>
      </w:r>
      <w:r>
        <w:rPr>
          <w:kern w:val="0"/>
        </w:rPr>
        <w:t>each one</w:t>
      </w:r>
      <w:r w:rsidR="005853A9">
        <w:rPr>
          <w:kern w:val="0"/>
        </w:rPr>
        <w:t xml:space="preserve"> and </w:t>
      </w:r>
      <w:r>
        <w:rPr>
          <w:kern w:val="0"/>
        </w:rPr>
        <w:t>reviewing</w:t>
      </w:r>
      <w:r w:rsidR="003A1917">
        <w:rPr>
          <w:kern w:val="0"/>
        </w:rPr>
        <w:t xml:space="preserve"> the </w:t>
      </w:r>
      <w:r>
        <w:rPr>
          <w:kern w:val="0"/>
        </w:rPr>
        <w:t>percentage</w:t>
      </w:r>
      <w:r w:rsidR="00427468">
        <w:rPr>
          <w:kern w:val="0"/>
        </w:rPr>
        <w:t xml:space="preserve"> of </w:t>
      </w:r>
      <w:r>
        <w:rPr>
          <w:kern w:val="0"/>
        </w:rPr>
        <w:t>success in locating each cephalometric point. Materials</w:t>
      </w:r>
      <w:r w:rsidR="005853A9">
        <w:rPr>
          <w:kern w:val="0"/>
        </w:rPr>
        <w:t xml:space="preserve"> and </w:t>
      </w:r>
      <w:r>
        <w:rPr>
          <w:kern w:val="0"/>
        </w:rPr>
        <w:t>Methods:</w:t>
      </w:r>
      <w:r w:rsidR="003A1917">
        <w:rPr>
          <w:kern w:val="0"/>
        </w:rPr>
        <w:t xml:space="preserve"> the </w:t>
      </w:r>
      <w:r>
        <w:rPr>
          <w:kern w:val="0"/>
        </w:rPr>
        <w:t>literature survey was performed by searching</w:t>
      </w:r>
      <w:r w:rsidR="003A1917">
        <w:rPr>
          <w:kern w:val="0"/>
        </w:rPr>
        <w:t xml:space="preserve"> the </w:t>
      </w:r>
      <w:r w:rsidR="00D5664A">
        <w:rPr>
          <w:kern w:val="0"/>
        </w:rPr>
        <w:t>MEDLINE</w:t>
      </w:r>
      <w:r>
        <w:rPr>
          <w:kern w:val="0"/>
        </w:rPr>
        <w:t>,</w:t>
      </w:r>
      <w:r w:rsidR="003A1917">
        <w:rPr>
          <w:kern w:val="0"/>
        </w:rPr>
        <w:t xml:space="preserve"> the </w:t>
      </w:r>
      <w:r>
        <w:rPr>
          <w:kern w:val="0"/>
        </w:rPr>
        <w:t>Institute</w:t>
      </w:r>
      <w:r w:rsidR="00427468">
        <w:rPr>
          <w:kern w:val="0"/>
        </w:rPr>
        <w:t xml:space="preserve"> of </w:t>
      </w:r>
      <w:r>
        <w:rPr>
          <w:kern w:val="0"/>
        </w:rPr>
        <w:t>Electrical</w:t>
      </w:r>
      <w:r w:rsidR="005853A9">
        <w:rPr>
          <w:kern w:val="0"/>
        </w:rPr>
        <w:t xml:space="preserve"> and </w:t>
      </w:r>
      <w:r>
        <w:rPr>
          <w:kern w:val="0"/>
        </w:rPr>
        <w:t>Electronics Engineers,</w:t>
      </w:r>
      <w:r w:rsidR="005853A9">
        <w:rPr>
          <w:kern w:val="0"/>
        </w:rPr>
        <w:t xml:space="preserve"> and </w:t>
      </w:r>
      <w:r w:rsidR="003A1917">
        <w:rPr>
          <w:kern w:val="0"/>
        </w:rPr>
        <w:t xml:space="preserve">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Citation Index databases</w:t>
      </w:r>
      <w:r w:rsidR="00A37C1D">
        <w:rPr>
          <w:kern w:val="0"/>
        </w:rPr>
        <w:t>. The</w:t>
      </w:r>
      <w:r w:rsidR="003A1917">
        <w:rPr>
          <w:kern w:val="0"/>
        </w:rPr>
        <w:t xml:space="preserve"> </w:t>
      </w:r>
      <w:r>
        <w:rPr>
          <w:kern w:val="0"/>
        </w:rPr>
        <w:t>survey covered</w:t>
      </w:r>
      <w:r w:rsidR="003A1917">
        <w:rPr>
          <w:kern w:val="0"/>
        </w:rPr>
        <w:t xml:space="preserve"> the </w:t>
      </w:r>
      <w:r>
        <w:rPr>
          <w:kern w:val="0"/>
        </w:rPr>
        <w:t>period from January 1966 to August 2006. Abstracts that appeared to fulfill</w:t>
      </w:r>
      <w:r w:rsidR="003A1917">
        <w:rPr>
          <w:kern w:val="0"/>
        </w:rPr>
        <w:t xml:space="preserve"> the </w:t>
      </w:r>
      <w:r>
        <w:rPr>
          <w:kern w:val="0"/>
        </w:rPr>
        <w:t>initial selection criteria were selected by consensus</w:t>
      </w:r>
      <w:r w:rsidR="00A37C1D">
        <w:rPr>
          <w:kern w:val="0"/>
        </w:rPr>
        <w:t>. The</w:t>
      </w:r>
      <w:r w:rsidR="003A1917">
        <w:rPr>
          <w:kern w:val="0"/>
        </w:rPr>
        <w:t xml:space="preserve"> </w:t>
      </w:r>
      <w:r>
        <w:rPr>
          <w:kern w:val="0"/>
        </w:rPr>
        <w:t>original articles were then retrieved</w:t>
      </w:r>
      <w:r w:rsidR="00A37C1D">
        <w:rPr>
          <w:kern w:val="0"/>
        </w:rPr>
        <w:t>. The</w:t>
      </w:r>
      <w:r>
        <w:rPr>
          <w:kern w:val="0"/>
        </w:rPr>
        <w:t xml:space="preserve">ir references were also </w:t>
      </w:r>
      <w:r>
        <w:rPr>
          <w:kern w:val="0"/>
        </w:rPr>
        <w:lastRenderedPageBreak/>
        <w:t>hand-searched for possible missing articles</w:t>
      </w:r>
      <w:r w:rsidR="00A37C1D">
        <w:rPr>
          <w:kern w:val="0"/>
        </w:rPr>
        <w:t>. The</w:t>
      </w:r>
      <w:r w:rsidR="003A1917">
        <w:rPr>
          <w:kern w:val="0"/>
        </w:rPr>
        <w:t xml:space="preserve"> </w:t>
      </w:r>
      <w:r>
        <w:rPr>
          <w:kern w:val="0"/>
        </w:rPr>
        <w:t>search strategy resulted in 118 articles</w:t>
      </w:r>
      <w:r w:rsidR="00427468">
        <w:rPr>
          <w:kern w:val="0"/>
        </w:rPr>
        <w:t xml:space="preserve"> of </w:t>
      </w:r>
      <w:r>
        <w:rPr>
          <w:kern w:val="0"/>
        </w:rPr>
        <w:t>which eight met</w:t>
      </w:r>
      <w:r w:rsidR="003A1917">
        <w:rPr>
          <w:kern w:val="0"/>
        </w:rPr>
        <w:t xml:space="preserve"> the </w:t>
      </w:r>
      <w:r>
        <w:rPr>
          <w:kern w:val="0"/>
        </w:rPr>
        <w:t>inclusion criteria. Many articles were rejected for different reasons; among these,</w:t>
      </w:r>
      <w:r w:rsidR="003A1917">
        <w:rPr>
          <w:kern w:val="0"/>
        </w:rPr>
        <w:t xml:space="preserve"> the </w:t>
      </w:r>
      <w:r>
        <w:rPr>
          <w:kern w:val="0"/>
        </w:rPr>
        <w:t>most frequent was that results</w:t>
      </w:r>
      <w:r w:rsidR="00427468">
        <w:rPr>
          <w:kern w:val="0"/>
        </w:rPr>
        <w:t xml:space="preserve"> of </w:t>
      </w:r>
      <w:r>
        <w:rPr>
          <w:kern w:val="0"/>
        </w:rPr>
        <w:t>accuracy for automatic landmark recognition were presented as a percentage</w:t>
      </w:r>
      <w:r w:rsidR="00427468">
        <w:rPr>
          <w:kern w:val="0"/>
        </w:rPr>
        <w:t xml:space="preserve"> of </w:t>
      </w:r>
      <w:r>
        <w:rPr>
          <w:kern w:val="0"/>
        </w:rPr>
        <w:t>success. Results: A marked difference in results was found between</w:t>
      </w:r>
      <w:r w:rsidR="003A1917">
        <w:rPr>
          <w:kern w:val="0"/>
        </w:rPr>
        <w:t xml:space="preserve"> the </w:t>
      </w:r>
      <w:r>
        <w:rPr>
          <w:kern w:val="0"/>
        </w:rPr>
        <w:t>included studies consisting</w:t>
      </w:r>
      <w:r w:rsidR="00427468">
        <w:rPr>
          <w:kern w:val="0"/>
        </w:rPr>
        <w:t xml:space="preserve"> of </w:t>
      </w:r>
      <w:r>
        <w:rPr>
          <w:kern w:val="0"/>
        </w:rPr>
        <w:t>heterogeneity in</w:t>
      </w:r>
      <w:r w:rsidR="003A1917">
        <w:rPr>
          <w:kern w:val="0"/>
        </w:rPr>
        <w:t xml:space="preserve"> the </w:t>
      </w:r>
      <w:r>
        <w:rPr>
          <w:kern w:val="0"/>
        </w:rPr>
        <w:t>performance</w:t>
      </w:r>
      <w:r w:rsidR="00427468">
        <w:rPr>
          <w:kern w:val="0"/>
        </w:rPr>
        <w:t xml:space="preserve"> of </w:t>
      </w:r>
      <w:r>
        <w:rPr>
          <w:kern w:val="0"/>
        </w:rPr>
        <w:t>techniques to detect</w:t>
      </w:r>
      <w:r w:rsidR="003A1917">
        <w:rPr>
          <w:kern w:val="0"/>
        </w:rPr>
        <w:t xml:space="preserve"> the </w:t>
      </w:r>
      <w:r>
        <w:rPr>
          <w:kern w:val="0"/>
        </w:rPr>
        <w:t>same landmark. All in all, hybrid approaches detected cephalometric points with a higher accuracy in contrast to</w:t>
      </w:r>
      <w:r w:rsidR="003A1917">
        <w:rPr>
          <w:kern w:val="0"/>
        </w:rPr>
        <w:t xml:space="preserve"> the </w:t>
      </w:r>
      <w:r>
        <w:rPr>
          <w:kern w:val="0"/>
        </w:rPr>
        <w:t>results for</w:t>
      </w:r>
      <w:r w:rsidR="003A1917">
        <w:rPr>
          <w:kern w:val="0"/>
        </w:rPr>
        <w:t xml:space="preserve"> the </w:t>
      </w:r>
      <w:r>
        <w:rPr>
          <w:kern w:val="0"/>
        </w:rPr>
        <w:t>same points obtained by</w:t>
      </w:r>
      <w:r w:rsidR="003A1917">
        <w:rPr>
          <w:kern w:val="0"/>
        </w:rPr>
        <w:t xml:space="preserve"> the </w:t>
      </w:r>
      <w:r>
        <w:rPr>
          <w:kern w:val="0"/>
        </w:rPr>
        <w:t>model-based, image filtering plus knowledge-based landmark search</w:t>
      </w:r>
      <w:r w:rsidR="005853A9">
        <w:rPr>
          <w:kern w:val="0"/>
        </w:rPr>
        <w:t xml:space="preserve"> and </w:t>
      </w:r>
      <w:r w:rsidR="00B5188C">
        <w:rPr>
          <w:kern w:val="0"/>
        </w:rPr>
        <w:t>“</w:t>
      </w:r>
      <w:r>
        <w:rPr>
          <w:kern w:val="0"/>
        </w:rPr>
        <w:t>soft-computing</w:t>
      </w:r>
      <w:r w:rsidR="00B5188C">
        <w:rPr>
          <w:kern w:val="0"/>
        </w:rPr>
        <w:t>”</w:t>
      </w:r>
      <w:r>
        <w:rPr>
          <w:kern w:val="0"/>
        </w:rPr>
        <w:t xml:space="preserve"> approaches. Conclusions:</w:t>
      </w:r>
      <w:r w:rsidR="003A1917">
        <w:rPr>
          <w:kern w:val="0"/>
        </w:rPr>
        <w:t xml:space="preserve"> the </w:t>
      </w:r>
      <w:r>
        <w:rPr>
          <w:kern w:val="0"/>
        </w:rPr>
        <w:t>systems described in</w:t>
      </w:r>
      <w:r w:rsidR="003A1917">
        <w:rPr>
          <w:kern w:val="0"/>
        </w:rPr>
        <w:t xml:space="preserve"> the </w:t>
      </w:r>
      <w:r>
        <w:rPr>
          <w:kern w:val="0"/>
        </w:rPr>
        <w:t>literature are not accurate enough to allow their use for clinical purposes. Errors in landmark detection were greater than those expected with manual tracing and, therefore,</w:t>
      </w:r>
      <w:r w:rsidR="003A1917">
        <w:rPr>
          <w:kern w:val="0"/>
        </w:rPr>
        <w:t xml:space="preserve"> the </w:t>
      </w:r>
      <w:r>
        <w:rPr>
          <w:kern w:val="0"/>
        </w:rPr>
        <w:t>scientific evidence supporting</w:t>
      </w:r>
      <w:r w:rsidR="003A1917">
        <w:rPr>
          <w:kern w:val="0"/>
        </w:rPr>
        <w:t xml:space="preserve"> the </w:t>
      </w:r>
      <w:r>
        <w:rPr>
          <w:kern w:val="0"/>
        </w:rPr>
        <w:t>use</w:t>
      </w:r>
      <w:r w:rsidR="00427468">
        <w:rPr>
          <w:kern w:val="0"/>
        </w:rPr>
        <w:t xml:space="preserve"> of </w:t>
      </w:r>
      <w:r>
        <w:rPr>
          <w:kern w:val="0"/>
        </w:rPr>
        <w:t>automatic landmarking is low.</w:t>
      </w:r>
    </w:p>
    <w:p w:rsidR="0062028A" w:rsidRDefault="0062028A" w:rsidP="0062028A">
      <w:pPr>
        <w:pStyle w:val="a3"/>
        <w:rPr>
          <w:kern w:val="0"/>
        </w:rPr>
      </w:pPr>
      <w:r>
        <w:rPr>
          <w:kern w:val="0"/>
        </w:rPr>
        <w:t>Keywords: Accuracy, Analysis, Automatic, Cephalogram Analysis, Cephalometry, Citation, Computer-Assisted, Craniofacial Landmarks, Databases, Error</w:t>
      </w:r>
      <w:r w:rsidR="00D5664A">
        <w:rPr>
          <w:kern w:val="0"/>
        </w:rPr>
        <w:t>, ISI,</w:t>
      </w:r>
      <w:r>
        <w:rPr>
          <w:kern w:val="0"/>
        </w:rPr>
        <w:t xml:space="preserve"> Landmark Identification, Literature, Localization, Methods, Points, Radiographs, Recognition, Reliability, Review, Reviewing, Science, Science Citation Index, Strategy, Success, Survey, Systematic, Systematic Review,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Korayem, M., Flores-Mir, C., Nassar, U.</w:t>
      </w:r>
      <w:r w:rsidR="005853A9">
        <w:rPr>
          <w:kern w:val="0"/>
        </w:rPr>
        <w:t xml:space="preserve"> and </w:t>
      </w:r>
      <w:r>
        <w:rPr>
          <w:kern w:val="0"/>
        </w:rPr>
        <w:t xml:space="preserve">Olfert, K. (2008), Implant site development by orthodontic extrusion: A systematic review. </w:t>
      </w:r>
      <w:r>
        <w:rPr>
          <w:i/>
          <w:iCs/>
          <w:kern w:val="0"/>
        </w:rPr>
        <w:t>Angle Orthodontist</w:t>
      </w:r>
      <w:r>
        <w:rPr>
          <w:kern w:val="0"/>
        </w:rPr>
        <w:t xml:space="preserve">, </w:t>
      </w:r>
      <w:r>
        <w:rPr>
          <w:b/>
          <w:bCs/>
          <w:kern w:val="0"/>
        </w:rPr>
        <w:t>78</w:t>
      </w:r>
      <w:r>
        <w:rPr>
          <w:kern w:val="0"/>
        </w:rPr>
        <w:t xml:space="preserve"> (4), 752-760.</w:t>
      </w:r>
    </w:p>
    <w:p w:rsidR="00A13BAA" w:rsidRDefault="00A13BAA" w:rsidP="00A13BAA">
      <w:pPr>
        <w:pStyle w:val="a3"/>
        <w:rPr>
          <w:kern w:val="0"/>
          <w:szCs w:val="24"/>
        </w:rPr>
      </w:pPr>
      <w:r>
        <w:rPr>
          <w:rFonts w:hint="eastAsia"/>
          <w:kern w:val="0"/>
          <w:szCs w:val="24"/>
        </w:rPr>
        <w:t xml:space="preserve">Full Text: </w:t>
      </w:r>
      <w:hyperlink r:id="rId782" w:history="1">
        <w:r w:rsidRPr="00BC6C7D">
          <w:rPr>
            <w:rStyle w:val="a5"/>
            <w:kern w:val="0"/>
            <w:szCs w:val="24"/>
          </w:rPr>
          <w:t>2008\Ang Ort78, 752.pdf</w:t>
        </w:r>
      </w:hyperlink>
    </w:p>
    <w:p w:rsidR="0062028A" w:rsidRDefault="0062028A" w:rsidP="0062028A">
      <w:pPr>
        <w:pStyle w:val="a3"/>
        <w:rPr>
          <w:kern w:val="0"/>
        </w:rPr>
      </w:pPr>
      <w:r>
        <w:rPr>
          <w:kern w:val="0"/>
        </w:rPr>
        <w:t>Abstract: Objective: To determine</w:t>
      </w:r>
      <w:r w:rsidR="003A1917">
        <w:rPr>
          <w:kern w:val="0"/>
        </w:rPr>
        <w:t xml:space="preserve"> the </w:t>
      </w:r>
      <w:r>
        <w:rPr>
          <w:kern w:val="0"/>
        </w:rPr>
        <w:t>effectiveness</w:t>
      </w:r>
      <w:r w:rsidR="00427468">
        <w:rPr>
          <w:kern w:val="0"/>
        </w:rPr>
        <w:t xml:space="preserve"> of </w:t>
      </w:r>
      <w:r>
        <w:rPr>
          <w:kern w:val="0"/>
        </w:rPr>
        <w:t>orthodontic extrusion</w:t>
      </w:r>
      <w:r w:rsidR="00427468">
        <w:rPr>
          <w:kern w:val="0"/>
        </w:rPr>
        <w:t xml:space="preserve"> of </w:t>
      </w:r>
      <w:r>
        <w:rPr>
          <w:kern w:val="0"/>
        </w:rPr>
        <w:t>nonrestorable teeth prior to implant placement for improving</w:t>
      </w:r>
      <w:r w:rsidR="003A1917">
        <w:rPr>
          <w:kern w:val="0"/>
        </w:rPr>
        <w:t xml:space="preserve"> the </w:t>
      </w:r>
      <w:r>
        <w:rPr>
          <w:kern w:val="0"/>
        </w:rPr>
        <w:t>alveolar bone</w:t>
      </w:r>
      <w:r w:rsidR="005853A9">
        <w:rPr>
          <w:kern w:val="0"/>
        </w:rPr>
        <w:t xml:space="preserve"> and </w:t>
      </w:r>
      <w:r>
        <w:rPr>
          <w:kern w:val="0"/>
        </w:rPr>
        <w:t>gingival characteristics</w:t>
      </w:r>
      <w:r w:rsidR="00427468">
        <w:rPr>
          <w:kern w:val="0"/>
        </w:rPr>
        <w:t xml:space="preserve"> of </w:t>
      </w:r>
      <w:r>
        <w:rPr>
          <w:kern w:val="0"/>
        </w:rPr>
        <w:t>implant recipient sites. Materials</w:t>
      </w:r>
      <w:r w:rsidR="005853A9">
        <w:rPr>
          <w:kern w:val="0"/>
        </w:rPr>
        <w:t xml:space="preserve"> and </w:t>
      </w:r>
      <w:r>
        <w:rPr>
          <w:kern w:val="0"/>
        </w:rPr>
        <w:t>Methods: Electronic database searches</w:t>
      </w:r>
      <w:r w:rsidR="00427468">
        <w:rPr>
          <w:kern w:val="0"/>
        </w:rPr>
        <w:t xml:space="preserve"> of </w:t>
      </w:r>
      <w:r w:rsidR="003A1917">
        <w:rPr>
          <w:kern w:val="0"/>
        </w:rPr>
        <w:t xml:space="preserve">the </w:t>
      </w:r>
      <w:r>
        <w:rPr>
          <w:kern w:val="0"/>
        </w:rPr>
        <w:t>following databases were conducted with</w:t>
      </w:r>
      <w:r w:rsidR="003A1917">
        <w:rPr>
          <w:kern w:val="0"/>
        </w:rPr>
        <w:t xml:space="preserve"> the </w:t>
      </w:r>
      <w:r>
        <w:rPr>
          <w:kern w:val="0"/>
        </w:rPr>
        <w:t>help</w:t>
      </w:r>
      <w:r w:rsidR="00427468">
        <w:rPr>
          <w:kern w:val="0"/>
        </w:rPr>
        <w:t xml:space="preserve"> of </w:t>
      </w:r>
      <w:r>
        <w:rPr>
          <w:kern w:val="0"/>
        </w:rPr>
        <w:t xml:space="preserve">a senior health sciences librarian: </w:t>
      </w:r>
      <w:r w:rsidR="00D5664A">
        <w:rPr>
          <w:kern w:val="0"/>
        </w:rPr>
        <w:t>MEDLINE</w:t>
      </w:r>
      <w:r>
        <w:rPr>
          <w:kern w:val="0"/>
        </w:rPr>
        <w:t xml:space="preserve">, </w:t>
      </w:r>
      <w:r w:rsidR="002C12F0">
        <w:rPr>
          <w:kern w:val="0"/>
        </w:rPr>
        <w:t>PUBMED</w:t>
      </w:r>
      <w:r>
        <w:rPr>
          <w:kern w:val="0"/>
        </w:rPr>
        <w:t xml:space="preserve">, EMBASE, Scopus,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CINAHL Plus. Hand searches</w:t>
      </w:r>
      <w:r w:rsidR="00427468">
        <w:rPr>
          <w:kern w:val="0"/>
        </w:rPr>
        <w:t xml:space="preserve"> of </w:t>
      </w:r>
      <w:r w:rsidR="003A1917">
        <w:rPr>
          <w:kern w:val="0"/>
        </w:rPr>
        <w:t xml:space="preserve">the </w:t>
      </w:r>
      <w:r>
        <w:rPr>
          <w:kern w:val="0"/>
        </w:rPr>
        <w:t>reference lists</w:t>
      </w:r>
      <w:r w:rsidR="00427468">
        <w:rPr>
          <w:kern w:val="0"/>
        </w:rPr>
        <w:t xml:space="preserve"> of </w:t>
      </w:r>
      <w:r>
        <w:rPr>
          <w:kern w:val="0"/>
        </w:rPr>
        <w:t>selected articles were also conducted. Abstracts that appeared to fulfill</w:t>
      </w:r>
      <w:r w:rsidR="003A1917">
        <w:rPr>
          <w:kern w:val="0"/>
        </w:rPr>
        <w:t xml:space="preserve"> the </w:t>
      </w:r>
      <w:r>
        <w:rPr>
          <w:kern w:val="0"/>
        </w:rPr>
        <w:t>initial selection criteria were selected for full article retrieval. Retrieved articles were then carefully evaluated,</w:t>
      </w:r>
      <w:r w:rsidR="005853A9">
        <w:rPr>
          <w:kern w:val="0"/>
        </w:rPr>
        <w:t xml:space="preserve"> and </w:t>
      </w:r>
      <w:r>
        <w:rPr>
          <w:kern w:val="0"/>
        </w:rPr>
        <w:t>more specific selection criteria were applied</w:t>
      </w:r>
      <w:r w:rsidR="00A37C1D">
        <w:rPr>
          <w:kern w:val="0"/>
        </w:rPr>
        <w:t>. The</w:t>
      </w:r>
      <w:r w:rsidR="003A1917">
        <w:rPr>
          <w:kern w:val="0"/>
        </w:rPr>
        <w:t xml:space="preserve"> </w:t>
      </w:r>
      <w:r>
        <w:rPr>
          <w:kern w:val="0"/>
        </w:rPr>
        <w:t>authors conducted</w:t>
      </w:r>
      <w:r w:rsidR="003A1917">
        <w:rPr>
          <w:kern w:val="0"/>
        </w:rPr>
        <w:t xml:space="preserve"> the </w:t>
      </w:r>
      <w:r>
        <w:rPr>
          <w:kern w:val="0"/>
        </w:rPr>
        <w:t>selection processes independently,</w:t>
      </w:r>
      <w:r w:rsidR="005853A9">
        <w:rPr>
          <w:kern w:val="0"/>
        </w:rPr>
        <w:t xml:space="preserve"> and </w:t>
      </w:r>
      <w:r>
        <w:rPr>
          <w:kern w:val="0"/>
        </w:rPr>
        <w:t>any differences were resolved through discussion. An analysis</w:t>
      </w:r>
      <w:r w:rsidR="00427468">
        <w:rPr>
          <w:kern w:val="0"/>
        </w:rPr>
        <w:t xml:space="preserve"> of </w:t>
      </w:r>
      <w:r>
        <w:rPr>
          <w:kern w:val="0"/>
        </w:rPr>
        <w:t>timing, type,</w:t>
      </w:r>
      <w:r w:rsidR="005853A9">
        <w:rPr>
          <w:kern w:val="0"/>
        </w:rPr>
        <w:t xml:space="preserve"> and </w:t>
      </w:r>
      <w:r>
        <w:rPr>
          <w:kern w:val="0"/>
        </w:rPr>
        <w:t>magnitude</w:t>
      </w:r>
      <w:r w:rsidR="00427468">
        <w:rPr>
          <w:kern w:val="0"/>
        </w:rPr>
        <w:t xml:space="preserve"> of </w:t>
      </w:r>
      <w:r>
        <w:rPr>
          <w:kern w:val="0"/>
        </w:rPr>
        <w:t>forces applied was sought. Results: Eighteen articles were considered for review. Most</w:t>
      </w:r>
      <w:r w:rsidR="00427468">
        <w:rPr>
          <w:kern w:val="0"/>
        </w:rPr>
        <w:t xml:space="preserve"> of </w:t>
      </w:r>
      <w:r w:rsidR="003A1917">
        <w:rPr>
          <w:kern w:val="0"/>
        </w:rPr>
        <w:t xml:space="preserve">the </w:t>
      </w:r>
      <w:r>
        <w:rPr>
          <w:kern w:val="0"/>
        </w:rPr>
        <w:t>selected articles were case reports or case series describing orthodontic extrusion</w:t>
      </w:r>
      <w:r w:rsidR="00427468">
        <w:rPr>
          <w:kern w:val="0"/>
        </w:rPr>
        <w:t xml:space="preserve"> of </w:t>
      </w:r>
      <w:r>
        <w:rPr>
          <w:kern w:val="0"/>
        </w:rPr>
        <w:t>periodontally hopeless maxillary anterior teeth</w:t>
      </w:r>
      <w:r w:rsidR="00A37C1D">
        <w:rPr>
          <w:kern w:val="0"/>
        </w:rPr>
        <w:t>. The</w:t>
      </w:r>
      <w:r w:rsidR="003A1917">
        <w:rPr>
          <w:kern w:val="0"/>
        </w:rPr>
        <w:t xml:space="preserve"> </w:t>
      </w:r>
      <w:r>
        <w:rPr>
          <w:kern w:val="0"/>
        </w:rPr>
        <w:t>results</w:t>
      </w:r>
      <w:r w:rsidR="00427468">
        <w:rPr>
          <w:kern w:val="0"/>
        </w:rPr>
        <w:t xml:space="preserve"> of </w:t>
      </w:r>
      <w:r w:rsidR="003A1917">
        <w:rPr>
          <w:kern w:val="0"/>
        </w:rPr>
        <w:t xml:space="preserve">the </w:t>
      </w:r>
      <w:r>
        <w:rPr>
          <w:kern w:val="0"/>
        </w:rPr>
        <w:t>reported cases were evaluated individually</w:t>
      </w:r>
      <w:r w:rsidR="005853A9">
        <w:rPr>
          <w:kern w:val="0"/>
        </w:rPr>
        <w:t xml:space="preserve"> and </w:t>
      </w:r>
      <w:r>
        <w:rPr>
          <w:kern w:val="0"/>
        </w:rPr>
        <w:t>collectively with regard to various hard</w:t>
      </w:r>
      <w:r w:rsidR="005853A9">
        <w:rPr>
          <w:kern w:val="0"/>
        </w:rPr>
        <w:t xml:space="preserve"> and </w:t>
      </w:r>
      <w:r>
        <w:rPr>
          <w:kern w:val="0"/>
        </w:rPr>
        <w:t>soft tissue implant site characteristics. Clinically significant gains in alveolar bone</w:t>
      </w:r>
      <w:r w:rsidR="005853A9">
        <w:rPr>
          <w:kern w:val="0"/>
        </w:rPr>
        <w:t xml:space="preserve"> and </w:t>
      </w:r>
      <w:r>
        <w:rPr>
          <w:kern w:val="0"/>
        </w:rPr>
        <w:t>gingival tissue were reported in all cases, resulting in significant quantitative</w:t>
      </w:r>
      <w:r w:rsidR="005853A9">
        <w:rPr>
          <w:kern w:val="0"/>
        </w:rPr>
        <w:t xml:space="preserve"> and </w:t>
      </w:r>
      <w:r>
        <w:rPr>
          <w:kern w:val="0"/>
        </w:rPr>
        <w:t xml:space="preserve">qualitative </w:t>
      </w:r>
      <w:r>
        <w:rPr>
          <w:kern w:val="0"/>
        </w:rPr>
        <w:lastRenderedPageBreak/>
        <w:t>improvements in</w:t>
      </w:r>
      <w:r w:rsidR="003A1917">
        <w:rPr>
          <w:kern w:val="0"/>
        </w:rPr>
        <w:t xml:space="preserve"> the </w:t>
      </w:r>
      <w:r>
        <w:rPr>
          <w:kern w:val="0"/>
        </w:rPr>
        <w:t>implant sites. Conclusions: Based on</w:t>
      </w:r>
      <w:r w:rsidR="003A1917">
        <w:rPr>
          <w:kern w:val="0"/>
        </w:rPr>
        <w:t xml:space="preserve"> the </w:t>
      </w:r>
      <w:r>
        <w:rPr>
          <w:kern w:val="0"/>
        </w:rPr>
        <w:t>available literature, orthodontic extrusion</w:t>
      </w:r>
      <w:r w:rsidR="00427468">
        <w:rPr>
          <w:kern w:val="0"/>
        </w:rPr>
        <w:t xml:space="preserve"> of </w:t>
      </w:r>
      <w:r>
        <w:rPr>
          <w:kern w:val="0"/>
        </w:rPr>
        <w:t>nonrestorable teeth prior to implant placement appears to be a viable alternative to conventional surgical augmentative procedures in implant site development. No direct comparison to any other method was found,</w:t>
      </w:r>
      <w:r w:rsidR="005853A9">
        <w:rPr>
          <w:kern w:val="0"/>
        </w:rPr>
        <w:t xml:space="preserve"> and </w:t>
      </w:r>
      <w:r>
        <w:rPr>
          <w:kern w:val="0"/>
        </w:rPr>
        <w:t>therefore no conclusion could be made about its relative efficacy.</w:t>
      </w:r>
    </w:p>
    <w:p w:rsidR="0062028A" w:rsidRDefault="0062028A" w:rsidP="0062028A">
      <w:pPr>
        <w:pStyle w:val="a3"/>
        <w:rPr>
          <w:kern w:val="0"/>
        </w:rPr>
      </w:pPr>
      <w:r>
        <w:rPr>
          <w:kern w:val="0"/>
        </w:rPr>
        <w:t xml:space="preserve">Keywords: analysis, authors, bone, case reports, case series, databases, development, effectiveness, efficacy, EMBASE, FORCED ERUPTION, health sciences, implant site, literature, Methods, orthodontic extrusion, </w:t>
      </w:r>
      <w:r w:rsidR="002C12F0">
        <w:rPr>
          <w:kern w:val="0"/>
        </w:rPr>
        <w:t>PUBMED</w:t>
      </w:r>
      <w:r>
        <w:rPr>
          <w:kern w:val="0"/>
        </w:rPr>
        <w:t xml:space="preserve">, quantitative, review, Science, sciences, Scopus, soft tissue, surgical, systematic, systematic review,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Ehsani, S., Mandich, M.A., El-Bialy, T.H.</w:t>
      </w:r>
      <w:r w:rsidR="005853A9">
        <w:rPr>
          <w:kern w:val="0"/>
        </w:rPr>
        <w:t xml:space="preserve"> and </w:t>
      </w:r>
      <w:r>
        <w:rPr>
          <w:kern w:val="0"/>
        </w:rPr>
        <w:t>Flores-Mir, C. (2009), Frictional resistance in self-ligating orthodontic brackets</w:t>
      </w:r>
      <w:r w:rsidR="005853A9">
        <w:rPr>
          <w:kern w:val="0"/>
        </w:rPr>
        <w:t xml:space="preserve"> and </w:t>
      </w:r>
      <w:r>
        <w:rPr>
          <w:kern w:val="0"/>
        </w:rPr>
        <w:t xml:space="preserve">conventionally ligated brackets. </w:t>
      </w:r>
      <w:r>
        <w:rPr>
          <w:i/>
          <w:iCs/>
          <w:kern w:val="0"/>
        </w:rPr>
        <w:t>Angle Orthodontist</w:t>
      </w:r>
      <w:r>
        <w:rPr>
          <w:kern w:val="0"/>
        </w:rPr>
        <w:t xml:space="preserve">, </w:t>
      </w:r>
      <w:r>
        <w:rPr>
          <w:b/>
          <w:bCs/>
          <w:kern w:val="0"/>
        </w:rPr>
        <w:t>79</w:t>
      </w:r>
      <w:r>
        <w:rPr>
          <w:kern w:val="0"/>
        </w:rPr>
        <w:t xml:space="preserve"> (3), 592-601.</w:t>
      </w:r>
    </w:p>
    <w:p w:rsidR="004262D2" w:rsidRDefault="004262D2" w:rsidP="004262D2">
      <w:pPr>
        <w:pStyle w:val="a3"/>
        <w:rPr>
          <w:kern w:val="0"/>
          <w:szCs w:val="24"/>
        </w:rPr>
      </w:pPr>
      <w:r>
        <w:rPr>
          <w:rFonts w:hint="eastAsia"/>
          <w:kern w:val="0"/>
          <w:szCs w:val="24"/>
        </w:rPr>
        <w:t xml:space="preserve">Full Text: </w:t>
      </w:r>
      <w:hyperlink r:id="rId783" w:history="1">
        <w:r w:rsidR="00A13BAA" w:rsidRPr="00A13BAA">
          <w:rPr>
            <w:rStyle w:val="a5"/>
            <w:kern w:val="0"/>
            <w:szCs w:val="24"/>
          </w:rPr>
          <w:t>2009\Ang Ort79, 592.pdf</w:t>
        </w:r>
      </w:hyperlink>
    </w:p>
    <w:p w:rsidR="0062028A" w:rsidRDefault="0062028A" w:rsidP="0062028A">
      <w:pPr>
        <w:pStyle w:val="a3"/>
        <w:rPr>
          <w:kern w:val="0"/>
        </w:rPr>
      </w:pPr>
      <w:r>
        <w:rPr>
          <w:kern w:val="0"/>
        </w:rPr>
        <w:t>Abstract: Objective: To compare</w:t>
      </w:r>
      <w:r w:rsidR="003A1917">
        <w:rPr>
          <w:kern w:val="0"/>
        </w:rPr>
        <w:t xml:space="preserve"> the </w:t>
      </w:r>
      <w:r>
        <w:rPr>
          <w:kern w:val="0"/>
        </w:rPr>
        <w:t>amount</w:t>
      </w:r>
      <w:r w:rsidR="00427468">
        <w:rPr>
          <w:kern w:val="0"/>
        </w:rPr>
        <w:t xml:space="preserve"> of </w:t>
      </w:r>
      <w:r>
        <w:rPr>
          <w:kern w:val="0"/>
        </w:rPr>
        <w:t>expressed frictional resistance between orthodontic self-ligating brackets</w:t>
      </w:r>
      <w:r w:rsidR="005853A9">
        <w:rPr>
          <w:kern w:val="0"/>
        </w:rPr>
        <w:t xml:space="preserve"> and </w:t>
      </w:r>
      <w:r>
        <w:rPr>
          <w:kern w:val="0"/>
        </w:rPr>
        <w:t>conventionally ligated brackets in vitro as reported in</w:t>
      </w:r>
      <w:r w:rsidR="003A1917">
        <w:rPr>
          <w:kern w:val="0"/>
        </w:rPr>
        <w:t xml:space="preserve"> the </w:t>
      </w:r>
      <w:r>
        <w:rPr>
          <w:kern w:val="0"/>
        </w:rPr>
        <w:t>literature. Methods: Several electronic databases (</w:t>
      </w:r>
      <w:r w:rsidR="00D5664A">
        <w:rPr>
          <w:kern w:val="0"/>
        </w:rPr>
        <w:t>MEDLINE</w:t>
      </w:r>
      <w:r>
        <w:rPr>
          <w:kern w:val="0"/>
        </w:rPr>
        <w:t xml:space="preserve">, </w:t>
      </w:r>
      <w:r w:rsidR="002C12F0">
        <w:rPr>
          <w:kern w:val="0"/>
        </w:rPr>
        <w:t>PUBMED</w:t>
      </w:r>
      <w:r>
        <w:rPr>
          <w:kern w:val="0"/>
        </w:rPr>
        <w:t>, EMBASE, Cochrane Library,</w:t>
      </w:r>
      <w:r w:rsidR="005853A9">
        <w:rPr>
          <w:kern w:val="0"/>
        </w:rPr>
        <w:t xml:space="preserve"> and </w:t>
      </w:r>
      <w:r w:rsidR="00D5664A">
        <w:rPr>
          <w:kern w:val="0"/>
        </w:rPr>
        <w:t>Web</w:t>
      </w:r>
      <w:r w:rsidR="00427468">
        <w:rPr>
          <w:kern w:val="0"/>
        </w:rPr>
        <w:t xml:space="preserve"> of </w:t>
      </w:r>
      <w:r w:rsidR="00D5664A">
        <w:rPr>
          <w:kern w:val="0"/>
        </w:rPr>
        <w:t>Science</w:t>
      </w:r>
      <w:r>
        <w:rPr>
          <w:kern w:val="0"/>
        </w:rPr>
        <w:t>) were searched without limits. In vitro studies that addressed friction</w:t>
      </w:r>
      <w:r w:rsidR="00427468">
        <w:rPr>
          <w:kern w:val="0"/>
        </w:rPr>
        <w:t xml:space="preserve"> of </w:t>
      </w:r>
      <w:r>
        <w:rPr>
          <w:kern w:val="0"/>
        </w:rPr>
        <w:t>self-ligating brackets compared with conventionally ligated brackets were selected</w:t>
      </w:r>
      <w:r w:rsidR="005853A9">
        <w:rPr>
          <w:kern w:val="0"/>
        </w:rPr>
        <w:t xml:space="preserve"> and </w:t>
      </w:r>
      <w:r>
        <w:rPr>
          <w:kern w:val="0"/>
        </w:rPr>
        <w:t>reviewed. In addition, a search was performed by going through</w:t>
      </w:r>
      <w:r w:rsidR="003A1917">
        <w:rPr>
          <w:kern w:val="0"/>
        </w:rPr>
        <w:t xml:space="preserve"> the </w:t>
      </w:r>
      <w:r>
        <w:rPr>
          <w:kern w:val="0"/>
        </w:rPr>
        <w:t>reference lists</w:t>
      </w:r>
      <w:r w:rsidR="00427468">
        <w:rPr>
          <w:kern w:val="0"/>
        </w:rPr>
        <w:t xml:space="preserve"> of </w:t>
      </w:r>
      <w:r w:rsidR="003A1917">
        <w:rPr>
          <w:kern w:val="0"/>
        </w:rPr>
        <w:t xml:space="preserve">the </w:t>
      </w:r>
      <w:r>
        <w:rPr>
          <w:kern w:val="0"/>
        </w:rPr>
        <w:t>selected articles to identify any paper that could have been missed by</w:t>
      </w:r>
      <w:r w:rsidR="003A1917">
        <w:rPr>
          <w:kern w:val="0"/>
        </w:rPr>
        <w:t xml:space="preserve"> the </w:t>
      </w:r>
      <w:r>
        <w:rPr>
          <w:kern w:val="0"/>
        </w:rPr>
        <w:t>electronic searches. Results: A total</w:t>
      </w:r>
      <w:r w:rsidR="00427468">
        <w:rPr>
          <w:kern w:val="0"/>
        </w:rPr>
        <w:t xml:space="preserve"> of </w:t>
      </w:r>
      <w:r>
        <w:rPr>
          <w:kern w:val="0"/>
        </w:rPr>
        <w:t>70 papers from</w:t>
      </w:r>
      <w:r w:rsidR="003A1917">
        <w:rPr>
          <w:kern w:val="0"/>
        </w:rPr>
        <w:t xml:space="preserve"> the </w:t>
      </w:r>
      <w:r>
        <w:rPr>
          <w:kern w:val="0"/>
        </w:rPr>
        <w:t>electronic database searches</w:t>
      </w:r>
      <w:r w:rsidR="005853A9">
        <w:rPr>
          <w:kern w:val="0"/>
        </w:rPr>
        <w:t xml:space="preserve"> and </w:t>
      </w:r>
      <w:r>
        <w:rPr>
          <w:kern w:val="0"/>
        </w:rPr>
        <w:t>3 papers from</w:t>
      </w:r>
      <w:r w:rsidR="003A1917">
        <w:rPr>
          <w:kern w:val="0"/>
        </w:rPr>
        <w:t xml:space="preserve"> the </w:t>
      </w:r>
      <w:r>
        <w:rPr>
          <w:kern w:val="0"/>
        </w:rPr>
        <w:t>secondary search were initially obtained. After applying</w:t>
      </w:r>
      <w:r w:rsidR="003A1917">
        <w:rPr>
          <w:kern w:val="0"/>
        </w:rPr>
        <w:t xml:space="preserve"> the </w:t>
      </w:r>
      <w:r>
        <w:rPr>
          <w:kern w:val="0"/>
        </w:rPr>
        <w:t>selection criteria, only 19 papers were included in this review. A wide range</w:t>
      </w:r>
      <w:r w:rsidR="00427468">
        <w:rPr>
          <w:kern w:val="0"/>
        </w:rPr>
        <w:t xml:space="preserve"> of </w:t>
      </w:r>
      <w:r>
        <w:rPr>
          <w:kern w:val="0"/>
        </w:rPr>
        <w:t>methods were applied. Conclusions: Compared with conventional brackets, self-ligating brackets produce lower friction when coupled with small round archwires in</w:t>
      </w:r>
      <w:r w:rsidR="003A1917">
        <w:rPr>
          <w:kern w:val="0"/>
        </w:rPr>
        <w:t xml:space="preserve"> the </w:t>
      </w:r>
      <w:r>
        <w:rPr>
          <w:kern w:val="0"/>
        </w:rPr>
        <w:t>absence</w:t>
      </w:r>
      <w:r w:rsidR="00427468">
        <w:rPr>
          <w:kern w:val="0"/>
        </w:rPr>
        <w:t xml:space="preserve"> of </w:t>
      </w:r>
      <w:r>
        <w:rPr>
          <w:kern w:val="0"/>
        </w:rPr>
        <w:t>tipping and/or torque in an ideally aligned arch. Sufficient evidence was not found to claim that with large rectangular wires, in</w:t>
      </w:r>
      <w:r w:rsidR="003A1917">
        <w:rPr>
          <w:kern w:val="0"/>
        </w:rPr>
        <w:t xml:space="preserve"> the </w:t>
      </w:r>
      <w:r>
        <w:rPr>
          <w:kern w:val="0"/>
        </w:rPr>
        <w:t>presence</w:t>
      </w:r>
      <w:r w:rsidR="00427468">
        <w:rPr>
          <w:kern w:val="0"/>
        </w:rPr>
        <w:t xml:space="preserve"> of </w:t>
      </w:r>
      <w:r>
        <w:rPr>
          <w:kern w:val="0"/>
        </w:rPr>
        <w:t>tipping and/or torque</w:t>
      </w:r>
      <w:r w:rsidR="005853A9">
        <w:rPr>
          <w:kern w:val="0"/>
        </w:rPr>
        <w:t xml:space="preserve"> and </w:t>
      </w:r>
      <w:r>
        <w:rPr>
          <w:kern w:val="0"/>
        </w:rPr>
        <w:t>in arches with considerable malocclusion, self-ligating brackets produce lower friction compared with conventional brackets. (Angle Orthod. 2009;79: 592-601.).</w:t>
      </w:r>
    </w:p>
    <w:p w:rsidR="0062028A" w:rsidRDefault="0062028A" w:rsidP="0062028A">
      <w:pPr>
        <w:pStyle w:val="a3"/>
        <w:rPr>
          <w:kern w:val="0"/>
        </w:rPr>
      </w:pPr>
      <w:r>
        <w:rPr>
          <w:kern w:val="0"/>
        </w:rPr>
        <w:t xml:space="preserve">Keywords: 4 Alloys, Archwire Combinations, Brackets, Ceramic Brackets, Cochrane, Databases, Edgewise Brackets, Elastomeric Ligatures, Forces, Friction, In Vitro, In-Vitro, Literature, Methods, Papers, </w:t>
      </w:r>
      <w:r w:rsidR="002C12F0">
        <w:rPr>
          <w:kern w:val="0"/>
        </w:rPr>
        <w:t>PUBMED</w:t>
      </w:r>
      <w:r>
        <w:rPr>
          <w:kern w:val="0"/>
        </w:rPr>
        <w:t xml:space="preserve">, Resistance, Review, Science, Self-Ligation, Sliding Mechanics, Stainless-Steel, Systematic Review, </w:t>
      </w:r>
      <w:r w:rsidR="00D5664A">
        <w:rPr>
          <w:kern w:val="0"/>
        </w:rPr>
        <w:t>Web</w:t>
      </w:r>
      <w:r w:rsidR="00427468">
        <w:rPr>
          <w:kern w:val="0"/>
        </w:rPr>
        <w:t xml:space="preserve"> of </w:t>
      </w:r>
      <w:r w:rsidR="00D5664A">
        <w:rPr>
          <w:kern w:val="0"/>
        </w:rPr>
        <w:t>Science</w:t>
      </w:r>
      <w:r>
        <w:rPr>
          <w:kern w:val="0"/>
        </w:rPr>
        <w:t>, Wire</w:t>
      </w:r>
      <w:r w:rsidRPr="0062028A">
        <w:rPr>
          <w:kern w:val="0"/>
        </w:rPr>
        <w:t xml:space="preserve"> </w:t>
      </w:r>
      <w:r>
        <w:rPr>
          <w:kern w:val="0"/>
        </w:rPr>
        <w:t>Combinations</w:t>
      </w:r>
    </w:p>
    <w:p w:rsidR="00500F0E" w:rsidRDefault="00500F0E" w:rsidP="0062028A">
      <w:pPr>
        <w:pStyle w:val="a3"/>
        <w:rPr>
          <w:kern w:val="0"/>
        </w:rPr>
      </w:pPr>
      <w:r>
        <w:rPr>
          <w:rFonts w:hint="eastAsia"/>
          <w:kern w:val="0"/>
        </w:rPr>
        <w:t xml:space="preserve">? </w:t>
      </w:r>
      <w:r>
        <w:rPr>
          <w:kern w:val="0"/>
        </w:rPr>
        <w:t>Leonardi, R., Annunziata, A., Licciardello, V.</w:t>
      </w:r>
      <w:r w:rsidR="005853A9">
        <w:rPr>
          <w:kern w:val="0"/>
        </w:rPr>
        <w:t xml:space="preserve"> and </w:t>
      </w:r>
      <w:r>
        <w:rPr>
          <w:kern w:val="0"/>
        </w:rPr>
        <w:t>Barbato, E. (2010), Soft tissue changes following</w:t>
      </w:r>
      <w:r w:rsidR="003A1917">
        <w:rPr>
          <w:kern w:val="0"/>
        </w:rPr>
        <w:t xml:space="preserve"> the </w:t>
      </w:r>
      <w:r>
        <w:rPr>
          <w:kern w:val="0"/>
        </w:rPr>
        <w:t>extraction</w:t>
      </w:r>
      <w:r w:rsidR="00427468">
        <w:rPr>
          <w:kern w:val="0"/>
        </w:rPr>
        <w:t xml:space="preserve"> of </w:t>
      </w:r>
      <w:r>
        <w:rPr>
          <w:kern w:val="0"/>
        </w:rPr>
        <w:t xml:space="preserve">premolars in nongrowing patients with bimaxillary protrusion. </w:t>
      </w:r>
      <w:r>
        <w:rPr>
          <w:i/>
          <w:iCs/>
          <w:kern w:val="0"/>
        </w:rPr>
        <w:t>Angle Orthodontist</w:t>
      </w:r>
      <w:r>
        <w:rPr>
          <w:kern w:val="0"/>
        </w:rPr>
        <w:t xml:space="preserve">, </w:t>
      </w:r>
      <w:r>
        <w:rPr>
          <w:b/>
          <w:bCs/>
          <w:kern w:val="0"/>
        </w:rPr>
        <w:t>80</w:t>
      </w:r>
      <w:r>
        <w:rPr>
          <w:kern w:val="0"/>
        </w:rPr>
        <w:t xml:space="preserve"> (1), 211-216.</w:t>
      </w:r>
    </w:p>
    <w:p w:rsidR="00500F0E" w:rsidRPr="00F219CA" w:rsidRDefault="00500F0E" w:rsidP="00500F0E">
      <w:pPr>
        <w:pStyle w:val="a3"/>
      </w:pPr>
      <w:r w:rsidRPr="00F219CA">
        <w:lastRenderedPageBreak/>
        <w:t xml:space="preserve">Full Text: </w:t>
      </w:r>
      <w:hyperlink r:id="rId784" w:history="1">
        <w:r w:rsidRPr="00500F0E">
          <w:rPr>
            <w:rStyle w:val="a5"/>
          </w:rPr>
          <w:t>2010\Ang Ort80, 211.pdf</w:t>
        </w:r>
      </w:hyperlink>
    </w:p>
    <w:p w:rsidR="00500F0E" w:rsidRDefault="00500F0E" w:rsidP="00500F0E">
      <w:pPr>
        <w:pStyle w:val="a3"/>
        <w:rPr>
          <w:kern w:val="0"/>
        </w:rPr>
      </w:pPr>
      <w:r>
        <w:rPr>
          <w:kern w:val="0"/>
        </w:rPr>
        <w:t>Abstract: Objective: To quantify</w:t>
      </w:r>
      <w:r w:rsidR="003A1917">
        <w:rPr>
          <w:kern w:val="0"/>
        </w:rPr>
        <w:t xml:space="preserve"> the </w:t>
      </w:r>
      <w:r>
        <w:rPr>
          <w:kern w:val="0"/>
        </w:rPr>
        <w:t>amount</w:t>
      </w:r>
      <w:r w:rsidR="00427468">
        <w:rPr>
          <w:kern w:val="0"/>
        </w:rPr>
        <w:t xml:space="preserve"> of </w:t>
      </w:r>
      <w:r>
        <w:rPr>
          <w:kern w:val="0"/>
        </w:rPr>
        <w:t>perioral tissue changes following</w:t>
      </w:r>
      <w:r w:rsidR="003A1917">
        <w:rPr>
          <w:kern w:val="0"/>
        </w:rPr>
        <w:t xml:space="preserve"> the </w:t>
      </w:r>
      <w:r>
        <w:rPr>
          <w:kern w:val="0"/>
        </w:rPr>
        <w:t>extraction</w:t>
      </w:r>
      <w:r w:rsidR="00427468">
        <w:rPr>
          <w:kern w:val="0"/>
        </w:rPr>
        <w:t xml:space="preserve"> of </w:t>
      </w:r>
      <w:r>
        <w:rPr>
          <w:kern w:val="0"/>
        </w:rPr>
        <w:t>four premolars in patients with bimaxillary protrusion who had nearly completed active growth. Materials</w:t>
      </w:r>
      <w:r w:rsidR="005853A9">
        <w:rPr>
          <w:kern w:val="0"/>
        </w:rPr>
        <w:t xml:space="preserve"> and </w:t>
      </w:r>
      <w:r>
        <w:rPr>
          <w:kern w:val="0"/>
        </w:rPr>
        <w:t>Methods: A literature search was conducted to identify clinical trials that assessed cephalometric perioral soft tissue changes in patients affected by biprotrusion</w:t>
      </w:r>
      <w:r w:rsidR="005853A9">
        <w:rPr>
          <w:kern w:val="0"/>
        </w:rPr>
        <w:t xml:space="preserve"> and </w:t>
      </w:r>
      <w:r>
        <w:rPr>
          <w:kern w:val="0"/>
        </w:rPr>
        <w:t>treated with extractions. Electronic databases (</w:t>
      </w:r>
      <w:r w:rsidR="002C12F0">
        <w:rPr>
          <w:kern w:val="0"/>
        </w:rPr>
        <w:t>PUBMED</w:t>
      </w:r>
      <w:r>
        <w:rPr>
          <w:kern w:val="0"/>
        </w:rPr>
        <w:t>, ISI WoS Science Citation Index Expanded,</w:t>
      </w:r>
      <w:r w:rsidR="005853A9">
        <w:rPr>
          <w:kern w:val="0"/>
        </w:rPr>
        <w:t xml:space="preserve"> and </w:t>
      </w:r>
      <w:r>
        <w:rPr>
          <w:kern w:val="0"/>
        </w:rPr>
        <w:t>HubMed) were searched. Abstracts that appeared to fulfill</w:t>
      </w:r>
      <w:r w:rsidR="003A1917">
        <w:rPr>
          <w:kern w:val="0"/>
        </w:rPr>
        <w:t xml:space="preserve"> the </w:t>
      </w:r>
      <w:r>
        <w:rPr>
          <w:kern w:val="0"/>
        </w:rPr>
        <w:t>initial selection criteria were selected,</w:t>
      </w:r>
      <w:r w:rsidR="005853A9">
        <w:rPr>
          <w:kern w:val="0"/>
        </w:rPr>
        <w:t xml:space="preserve"> and </w:t>
      </w:r>
      <w:r w:rsidR="003A1917">
        <w:rPr>
          <w:kern w:val="0"/>
        </w:rPr>
        <w:t xml:space="preserve">the </w:t>
      </w:r>
      <w:r>
        <w:rPr>
          <w:kern w:val="0"/>
        </w:rPr>
        <w:t>full-text original articles were retrieved</w:t>
      </w:r>
      <w:r w:rsidR="005853A9">
        <w:rPr>
          <w:kern w:val="0"/>
        </w:rPr>
        <w:t xml:space="preserve"> and </w:t>
      </w:r>
      <w:r>
        <w:rPr>
          <w:kern w:val="0"/>
        </w:rPr>
        <w:t>analyzed. Only articles that fulfilled</w:t>
      </w:r>
      <w:r w:rsidR="003A1917">
        <w:rPr>
          <w:kern w:val="0"/>
        </w:rPr>
        <w:t xml:space="preserve"> the </w:t>
      </w:r>
      <w:r>
        <w:rPr>
          <w:kern w:val="0"/>
        </w:rPr>
        <w:t>final selection criteria were finally considered</w:t>
      </w:r>
      <w:r w:rsidR="00A37C1D">
        <w:rPr>
          <w:kern w:val="0"/>
        </w:rPr>
        <w:t>. The</w:t>
      </w:r>
      <w:r>
        <w:rPr>
          <w:kern w:val="0"/>
        </w:rPr>
        <w:t>ir references were also hand-searched for possible missing articles from</w:t>
      </w:r>
      <w:r w:rsidR="003A1917">
        <w:rPr>
          <w:kern w:val="0"/>
        </w:rPr>
        <w:t xml:space="preserve"> the </w:t>
      </w:r>
      <w:r>
        <w:rPr>
          <w:kern w:val="0"/>
        </w:rPr>
        <w:t>database searches. Results: Nine abstracts met</w:t>
      </w:r>
      <w:r w:rsidR="003A1917">
        <w:rPr>
          <w:kern w:val="0"/>
        </w:rPr>
        <w:t xml:space="preserve"> the </w:t>
      </w:r>
      <w:r>
        <w:rPr>
          <w:kern w:val="0"/>
        </w:rPr>
        <w:t>initial inclusion criteria</w:t>
      </w:r>
      <w:r w:rsidR="005853A9">
        <w:rPr>
          <w:kern w:val="0"/>
        </w:rPr>
        <w:t xml:space="preserve"> and </w:t>
      </w:r>
      <w:r>
        <w:rPr>
          <w:kern w:val="0"/>
        </w:rPr>
        <w:t>these articles were retrieved. From these, five were later rejected mostly because</w:t>
      </w:r>
      <w:r w:rsidR="003A1917">
        <w:rPr>
          <w:kern w:val="0"/>
        </w:rPr>
        <w:t xml:space="preserve"> the </w:t>
      </w:r>
      <w:r>
        <w:rPr>
          <w:kern w:val="0"/>
        </w:rPr>
        <w:t>sample dealt with growing subjects. Four articles remained</w:t>
      </w:r>
      <w:r w:rsidR="005853A9">
        <w:rPr>
          <w:kern w:val="0"/>
        </w:rPr>
        <w:t xml:space="preserve"> and </w:t>
      </w:r>
      <w:r>
        <w:rPr>
          <w:kern w:val="0"/>
        </w:rPr>
        <w:t>they showed that</w:t>
      </w:r>
      <w:r w:rsidR="003A1917">
        <w:rPr>
          <w:kern w:val="0"/>
        </w:rPr>
        <w:t xml:space="preserve"> the </w:t>
      </w:r>
      <w:r>
        <w:rPr>
          <w:kern w:val="0"/>
        </w:rPr>
        <w:t>upper</w:t>
      </w:r>
      <w:r w:rsidR="005853A9">
        <w:rPr>
          <w:kern w:val="0"/>
        </w:rPr>
        <w:t xml:space="preserve"> and </w:t>
      </w:r>
      <w:r>
        <w:rPr>
          <w:kern w:val="0"/>
        </w:rPr>
        <w:t>lower lips retracted</w:t>
      </w:r>
      <w:r w:rsidR="005853A9">
        <w:rPr>
          <w:kern w:val="0"/>
        </w:rPr>
        <w:t xml:space="preserve"> and </w:t>
      </w:r>
      <w:r w:rsidR="003A1917">
        <w:rPr>
          <w:kern w:val="0"/>
        </w:rPr>
        <w:t xml:space="preserve">the </w:t>
      </w:r>
      <w:r>
        <w:rPr>
          <w:kern w:val="0"/>
        </w:rPr>
        <w:t>nasolabial angle increased following premolar extraction. Upper lip retraction ranged from 2 mm to 3.2 mm, lower lip retraction ranged from 2 mm to 4.5 mm. Conclusions:</w:t>
      </w:r>
      <w:r w:rsidR="003A1917">
        <w:rPr>
          <w:kern w:val="0"/>
        </w:rPr>
        <w:t xml:space="preserve"> the </w:t>
      </w:r>
      <w:r>
        <w:rPr>
          <w:kern w:val="0"/>
        </w:rPr>
        <w:t>lip procumbency improves following</w:t>
      </w:r>
      <w:r w:rsidR="003A1917">
        <w:rPr>
          <w:kern w:val="0"/>
        </w:rPr>
        <w:t xml:space="preserve"> the </w:t>
      </w:r>
      <w:r>
        <w:rPr>
          <w:kern w:val="0"/>
        </w:rPr>
        <w:t>extraction</w:t>
      </w:r>
      <w:r w:rsidR="00427468">
        <w:rPr>
          <w:kern w:val="0"/>
        </w:rPr>
        <w:t xml:space="preserve"> of </w:t>
      </w:r>
      <w:r>
        <w:rPr>
          <w:kern w:val="0"/>
        </w:rPr>
        <w:t>four premolars</w:t>
      </w:r>
      <w:r w:rsidR="005853A9">
        <w:rPr>
          <w:kern w:val="0"/>
        </w:rPr>
        <w:t xml:space="preserve"> and </w:t>
      </w:r>
      <w:r>
        <w:rPr>
          <w:kern w:val="0"/>
        </w:rPr>
        <w:t>this improvement is predictable. However,</w:t>
      </w:r>
      <w:r w:rsidR="003A1917">
        <w:rPr>
          <w:kern w:val="0"/>
        </w:rPr>
        <w:t xml:space="preserve"> the </w:t>
      </w:r>
      <w:r>
        <w:rPr>
          <w:kern w:val="0"/>
        </w:rPr>
        <w:t>changes are small</w:t>
      </w:r>
      <w:r w:rsidR="005853A9">
        <w:rPr>
          <w:kern w:val="0"/>
        </w:rPr>
        <w:t xml:space="preserve"> and </w:t>
      </w:r>
      <w:r>
        <w:rPr>
          <w:kern w:val="0"/>
        </w:rPr>
        <w:t>do not dramatically modify</w:t>
      </w:r>
      <w:r w:rsidR="003A1917">
        <w:rPr>
          <w:kern w:val="0"/>
        </w:rPr>
        <w:t xml:space="preserve"> the </w:t>
      </w:r>
      <w:r>
        <w:rPr>
          <w:kern w:val="0"/>
        </w:rPr>
        <w:t xml:space="preserve">profile. A </w:t>
      </w:r>
      <w:r w:rsidR="00B5188C">
        <w:rPr>
          <w:kern w:val="0"/>
        </w:rPr>
        <w:t>“</w:t>
      </w:r>
      <w:r>
        <w:rPr>
          <w:kern w:val="0"/>
        </w:rPr>
        <w:t>dished in</w:t>
      </w:r>
      <w:r w:rsidR="00B5188C">
        <w:rPr>
          <w:kern w:val="0"/>
        </w:rPr>
        <w:t>”</w:t>
      </w:r>
      <w:r>
        <w:rPr>
          <w:kern w:val="0"/>
        </w:rPr>
        <w:t xml:space="preserve"> profile is not to be expected. Individual variation in response is large. (Angle Orthod 2010;80:211-216.).</w:t>
      </w:r>
    </w:p>
    <w:p w:rsidR="00500F0E" w:rsidRDefault="00500F0E" w:rsidP="00500F0E">
      <w:pPr>
        <w:pStyle w:val="a3"/>
        <w:rPr>
          <w:kern w:val="0"/>
        </w:rPr>
      </w:pPr>
      <w:r>
        <w:rPr>
          <w:kern w:val="0"/>
        </w:rPr>
        <w:t>Keywords: African-American Patients, Articles, Bimaxillary, Changes Concurrent, Citation, Database, Databases, Extraction, Growth Changes, Incisor Retraction</w:t>
      </w:r>
      <w:r w:rsidR="00D5664A">
        <w:rPr>
          <w:kern w:val="0"/>
        </w:rPr>
        <w:t>, ISI,</w:t>
      </w:r>
      <w:r>
        <w:rPr>
          <w:kern w:val="0"/>
        </w:rPr>
        <w:t xml:space="preserve"> Literature, Matched Samples, Orthodontic Treatment, Premolars, Profile, Profile Changes, Protrusion, Science, Science Citation Index, Tooth Retraction</w:t>
      </w:r>
    </w:p>
    <w:p w:rsidR="0062028A" w:rsidRDefault="0062028A" w:rsidP="0062028A">
      <w:pPr>
        <w:pStyle w:val="a3"/>
        <w:rPr>
          <w:kern w:val="0"/>
        </w:rPr>
      </w:pPr>
      <w:r>
        <w:rPr>
          <w:rFonts w:hint="eastAsia"/>
          <w:kern w:val="0"/>
        </w:rPr>
        <w:t xml:space="preserve">? </w:t>
      </w:r>
      <w:r>
        <w:rPr>
          <w:kern w:val="0"/>
        </w:rPr>
        <w:t>Janson, G., Branco, N.C., Fernandes, T.M.F., Sathler, R., Garib, D.</w:t>
      </w:r>
      <w:r w:rsidR="005853A9">
        <w:rPr>
          <w:kern w:val="0"/>
        </w:rPr>
        <w:t xml:space="preserve"> and </w:t>
      </w:r>
      <w:r>
        <w:rPr>
          <w:kern w:val="0"/>
        </w:rPr>
        <w:t>Lauris, J.R.P. (2011), Influence</w:t>
      </w:r>
      <w:r w:rsidR="00427468">
        <w:rPr>
          <w:kern w:val="0"/>
        </w:rPr>
        <w:t xml:space="preserve"> of </w:t>
      </w:r>
      <w:r>
        <w:rPr>
          <w:kern w:val="0"/>
        </w:rPr>
        <w:t>orthodontic treatment, midline position, buccal corridor</w:t>
      </w:r>
      <w:r w:rsidR="005853A9">
        <w:rPr>
          <w:kern w:val="0"/>
        </w:rPr>
        <w:t xml:space="preserve"> and </w:t>
      </w:r>
      <w:r>
        <w:rPr>
          <w:kern w:val="0"/>
        </w:rPr>
        <w:t>smile arc on smile attractiveness</w:t>
      </w:r>
      <w:r>
        <w:rPr>
          <w:rFonts w:hint="eastAsia"/>
          <w:kern w:val="0"/>
        </w:rPr>
        <w:t>:</w:t>
      </w:r>
      <w:r>
        <w:rPr>
          <w:kern w:val="0"/>
        </w:rPr>
        <w:t xml:space="preserve"> A systematic review. </w:t>
      </w:r>
      <w:r>
        <w:rPr>
          <w:i/>
          <w:iCs/>
          <w:kern w:val="0"/>
        </w:rPr>
        <w:t>Angle Orthodontist</w:t>
      </w:r>
      <w:r>
        <w:rPr>
          <w:kern w:val="0"/>
        </w:rPr>
        <w:t xml:space="preserve">, </w:t>
      </w:r>
      <w:r>
        <w:rPr>
          <w:b/>
          <w:bCs/>
          <w:kern w:val="0"/>
        </w:rPr>
        <w:t>81</w:t>
      </w:r>
      <w:r>
        <w:rPr>
          <w:kern w:val="0"/>
        </w:rPr>
        <w:t xml:space="preserve"> (1), 153-161.</w:t>
      </w:r>
    </w:p>
    <w:p w:rsidR="004262D2" w:rsidRDefault="004262D2" w:rsidP="004262D2">
      <w:pPr>
        <w:pStyle w:val="a3"/>
        <w:rPr>
          <w:kern w:val="0"/>
          <w:szCs w:val="24"/>
        </w:rPr>
      </w:pPr>
      <w:r>
        <w:rPr>
          <w:rFonts w:hint="eastAsia"/>
          <w:kern w:val="0"/>
          <w:szCs w:val="24"/>
        </w:rPr>
        <w:t xml:space="preserve">Full Text: </w:t>
      </w:r>
      <w:hyperlink r:id="rId785" w:history="1">
        <w:r w:rsidRPr="00BC6C7D">
          <w:rPr>
            <w:rStyle w:val="a5"/>
            <w:kern w:val="0"/>
            <w:szCs w:val="24"/>
          </w:rPr>
          <w:t>2011\Ang Ort81, 153.pdf</w:t>
        </w:r>
      </w:hyperlink>
    </w:p>
    <w:p w:rsidR="0062028A" w:rsidRDefault="0062028A" w:rsidP="0062028A">
      <w:pPr>
        <w:pStyle w:val="a3"/>
        <w:rPr>
          <w:kern w:val="0"/>
        </w:rPr>
      </w:pPr>
      <w:r>
        <w:rPr>
          <w:kern w:val="0"/>
        </w:rPr>
        <w:t>Abstract: Objective: To assess</w:t>
      </w:r>
      <w:r w:rsidR="003A1917">
        <w:rPr>
          <w:kern w:val="0"/>
        </w:rPr>
        <w:t xml:space="preserve"> the </w:t>
      </w:r>
      <w:r>
        <w:rPr>
          <w:kern w:val="0"/>
        </w:rPr>
        <w:t>scientific evidence</w:t>
      </w:r>
      <w:r w:rsidR="00427468">
        <w:rPr>
          <w:kern w:val="0"/>
        </w:rPr>
        <w:t xml:space="preserve"> of </w:t>
      </w:r>
      <w:r w:rsidR="003A1917">
        <w:rPr>
          <w:kern w:val="0"/>
        </w:rPr>
        <w:t xml:space="preserve">the </w:t>
      </w:r>
      <w:r>
        <w:rPr>
          <w:kern w:val="0"/>
        </w:rPr>
        <w:t>influence</w:t>
      </w:r>
      <w:r w:rsidR="00427468">
        <w:rPr>
          <w:kern w:val="0"/>
        </w:rPr>
        <w:t xml:space="preserve"> of </w:t>
      </w:r>
      <w:r>
        <w:rPr>
          <w:kern w:val="0"/>
        </w:rPr>
        <w:t>some variables on smile attractiveness: orthodontic treatment, midline position, axial midline angulation, buccal corridor,</w:t>
      </w:r>
      <w:r w:rsidR="005853A9">
        <w:rPr>
          <w:kern w:val="0"/>
        </w:rPr>
        <w:t xml:space="preserve"> and </w:t>
      </w:r>
      <w:r>
        <w:rPr>
          <w:kern w:val="0"/>
        </w:rPr>
        <w:t>smile arc. Materials</w:t>
      </w:r>
      <w:r w:rsidR="005853A9">
        <w:rPr>
          <w:kern w:val="0"/>
        </w:rPr>
        <w:t xml:space="preserve"> and </w:t>
      </w:r>
      <w:r>
        <w:rPr>
          <w:kern w:val="0"/>
        </w:rPr>
        <w:t xml:space="preserve">Methods: Literature was searched through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Pr>
          <w:kern w:val="0"/>
        </w:rPr>
        <w:t>All EBM Reviews</w:t>
      </w:r>
      <w:r w:rsidR="00A37C1D">
        <w:rPr>
          <w:kern w:val="0"/>
        </w:rPr>
        <w:t>. The</w:t>
      </w:r>
      <w:r w:rsidR="003A1917">
        <w:rPr>
          <w:kern w:val="0"/>
        </w:rPr>
        <w:t xml:space="preserve"> </w:t>
      </w:r>
      <w:r>
        <w:rPr>
          <w:kern w:val="0"/>
        </w:rPr>
        <w:t>inclusion criteria consisted</w:t>
      </w:r>
      <w:r w:rsidR="00427468">
        <w:rPr>
          <w:kern w:val="0"/>
        </w:rPr>
        <w:t xml:space="preserve"> of </w:t>
      </w:r>
      <w:r>
        <w:rPr>
          <w:kern w:val="0"/>
        </w:rPr>
        <w:t>studies written in English; published in</w:t>
      </w:r>
      <w:r w:rsidR="003A1917">
        <w:rPr>
          <w:kern w:val="0"/>
        </w:rPr>
        <w:t xml:space="preserve"> the </w:t>
      </w:r>
      <w:r>
        <w:rPr>
          <w:kern w:val="0"/>
        </w:rPr>
        <w:t>past three decades; concerning</w:t>
      </w:r>
      <w:r w:rsidR="003A1917">
        <w:rPr>
          <w:kern w:val="0"/>
        </w:rPr>
        <w:t xml:space="preserve"> the </w:t>
      </w:r>
      <w:r>
        <w:rPr>
          <w:kern w:val="0"/>
        </w:rPr>
        <w:t>influence</w:t>
      </w:r>
      <w:r w:rsidR="00427468">
        <w:rPr>
          <w:kern w:val="0"/>
        </w:rPr>
        <w:t xml:space="preserve"> of </w:t>
      </w:r>
      <w:r>
        <w:rPr>
          <w:kern w:val="0"/>
        </w:rPr>
        <w:t>orthodontic treatment, midline position, axial midline angulation, buccal corridor,</w:t>
      </w:r>
      <w:r w:rsidR="005853A9">
        <w:rPr>
          <w:kern w:val="0"/>
        </w:rPr>
        <w:t xml:space="preserve"> and </w:t>
      </w:r>
      <w:r>
        <w:rPr>
          <w:kern w:val="0"/>
        </w:rPr>
        <w:t>smile arc on smile esthetics;</w:t>
      </w:r>
      <w:r w:rsidR="005853A9">
        <w:rPr>
          <w:kern w:val="0"/>
        </w:rPr>
        <w:t xml:space="preserve"> and </w:t>
      </w:r>
      <w:r>
        <w:rPr>
          <w:kern w:val="0"/>
        </w:rPr>
        <w:t>judged by a minimum</w:t>
      </w:r>
      <w:r w:rsidR="00427468">
        <w:rPr>
          <w:kern w:val="0"/>
        </w:rPr>
        <w:t xml:space="preserve"> of </w:t>
      </w:r>
      <w:r>
        <w:rPr>
          <w:kern w:val="0"/>
        </w:rPr>
        <w:t>10 raters. Quality features evaluated were adequate description</w:t>
      </w:r>
      <w:r w:rsidR="00427468">
        <w:rPr>
          <w:kern w:val="0"/>
        </w:rPr>
        <w:t xml:space="preserve"> of </w:t>
      </w:r>
      <w:r>
        <w:rPr>
          <w:kern w:val="0"/>
        </w:rPr>
        <w:t>samples, absence</w:t>
      </w:r>
      <w:r w:rsidR="00427468">
        <w:rPr>
          <w:kern w:val="0"/>
        </w:rPr>
        <w:t xml:space="preserve"> of </w:t>
      </w:r>
      <w:r>
        <w:rPr>
          <w:kern w:val="0"/>
        </w:rPr>
        <w:t>confounding factors,</w:t>
      </w:r>
      <w:r w:rsidR="005853A9">
        <w:rPr>
          <w:kern w:val="0"/>
        </w:rPr>
        <w:t xml:space="preserve"> and </w:t>
      </w:r>
      <w:r>
        <w:rPr>
          <w:kern w:val="0"/>
        </w:rPr>
        <w:t>description</w:t>
      </w:r>
      <w:r w:rsidR="00427468">
        <w:rPr>
          <w:kern w:val="0"/>
        </w:rPr>
        <w:t xml:space="preserve"> of </w:t>
      </w:r>
      <w:r>
        <w:rPr>
          <w:kern w:val="0"/>
        </w:rPr>
        <w:t>methods used to evaluate</w:t>
      </w:r>
      <w:r w:rsidR="003A1917">
        <w:rPr>
          <w:kern w:val="0"/>
        </w:rPr>
        <w:t xml:space="preserve"> the </w:t>
      </w:r>
      <w:r>
        <w:rPr>
          <w:kern w:val="0"/>
        </w:rPr>
        <w:t>smiles</w:t>
      </w:r>
      <w:r w:rsidR="005853A9">
        <w:rPr>
          <w:kern w:val="0"/>
        </w:rPr>
        <w:t xml:space="preserve"> and </w:t>
      </w:r>
      <w:r>
        <w:rPr>
          <w:kern w:val="0"/>
        </w:rPr>
        <w:t xml:space="preserve">statistical analyses. Results: Initially, 203 articles </w:t>
      </w:r>
      <w:r>
        <w:rPr>
          <w:kern w:val="0"/>
        </w:rPr>
        <w:lastRenderedPageBreak/>
        <w:t>were retrieved.</w:t>
      </w:r>
      <w:r w:rsidR="00427468">
        <w:rPr>
          <w:kern w:val="0"/>
        </w:rPr>
        <w:t xml:space="preserve"> of </w:t>
      </w:r>
      <w:r>
        <w:rPr>
          <w:kern w:val="0"/>
        </w:rPr>
        <w:t>these, 20 abstracts met</w:t>
      </w:r>
      <w:r w:rsidR="003A1917">
        <w:rPr>
          <w:kern w:val="0"/>
        </w:rPr>
        <w:t xml:space="preserve"> the </w:t>
      </w:r>
      <w:r>
        <w:rPr>
          <w:kern w:val="0"/>
        </w:rPr>
        <w:t>initial inclusion criteria</w:t>
      </w:r>
      <w:r w:rsidR="005853A9">
        <w:rPr>
          <w:kern w:val="0"/>
        </w:rPr>
        <w:t xml:space="preserve"> and </w:t>
      </w:r>
      <w:r>
        <w:rPr>
          <w:kern w:val="0"/>
        </w:rPr>
        <w:t>were selected. Thirteen articles were classified as high quality, seven as average,</w:t>
      </w:r>
      <w:r w:rsidR="005853A9">
        <w:rPr>
          <w:kern w:val="0"/>
        </w:rPr>
        <w:t xml:space="preserve"> and </w:t>
      </w:r>
      <w:r>
        <w:rPr>
          <w:kern w:val="0"/>
        </w:rPr>
        <w:t>none as low quality. Conclusion: Four-premolar extraction or nonextraction treatment protocols seem to have no predictable effect on overall smile esthetics, meaning that if well indicated, extraction in orthodontics does not necessarily have a deleterious effect on facial esthetics</w:t>
      </w:r>
      <w:r w:rsidR="00A37C1D">
        <w:rPr>
          <w:kern w:val="0"/>
        </w:rPr>
        <w:t>. The</w:t>
      </w:r>
      <w:r w:rsidR="003A1917">
        <w:rPr>
          <w:kern w:val="0"/>
        </w:rPr>
        <w:t xml:space="preserve"> </w:t>
      </w:r>
      <w:r>
        <w:rPr>
          <w:kern w:val="0"/>
        </w:rPr>
        <w:t>selected articles recommend that a small dental midline deviation</w:t>
      </w:r>
      <w:r w:rsidR="00427468">
        <w:rPr>
          <w:kern w:val="0"/>
        </w:rPr>
        <w:t xml:space="preserve"> of </w:t>
      </w:r>
      <w:r>
        <w:rPr>
          <w:kern w:val="0"/>
        </w:rPr>
        <w:t>2.2 mm can be considered acceptable by both orthodontists</w:t>
      </w:r>
      <w:r w:rsidR="005853A9">
        <w:rPr>
          <w:kern w:val="0"/>
        </w:rPr>
        <w:t xml:space="preserve"> and </w:t>
      </w:r>
      <w:r>
        <w:rPr>
          <w:kern w:val="0"/>
        </w:rPr>
        <w:t>laypeople, whereas an axial midline angulation</w:t>
      </w:r>
      <w:r w:rsidR="00427468">
        <w:rPr>
          <w:kern w:val="0"/>
        </w:rPr>
        <w:t xml:space="preserve"> of </w:t>
      </w:r>
      <w:r>
        <w:rPr>
          <w:kern w:val="0"/>
        </w:rPr>
        <w:t>10 degrees (2 mm measured from</w:t>
      </w:r>
      <w:r w:rsidR="003A1917">
        <w:rPr>
          <w:kern w:val="0"/>
        </w:rPr>
        <w:t xml:space="preserve"> the </w:t>
      </w:r>
      <w:r>
        <w:rPr>
          <w:kern w:val="0"/>
        </w:rPr>
        <w:t>midline papilla</w:t>
      </w:r>
      <w:r w:rsidR="005853A9">
        <w:rPr>
          <w:kern w:val="0"/>
        </w:rPr>
        <w:t xml:space="preserve"> and </w:t>
      </w:r>
      <w:r w:rsidR="003A1917">
        <w:rPr>
          <w:kern w:val="0"/>
        </w:rPr>
        <w:t xml:space="preserve">the </w:t>
      </w:r>
      <w:r>
        <w:rPr>
          <w:kern w:val="0"/>
        </w:rPr>
        <w:t>incisal edges</w:t>
      </w:r>
      <w:r w:rsidR="00427468">
        <w:rPr>
          <w:kern w:val="0"/>
        </w:rPr>
        <w:t xml:space="preserve"> of </w:t>
      </w:r>
      <w:r w:rsidR="003A1917">
        <w:rPr>
          <w:kern w:val="0"/>
        </w:rPr>
        <w:t xml:space="preserve">the </w:t>
      </w:r>
      <w:r>
        <w:rPr>
          <w:kern w:val="0"/>
        </w:rPr>
        <w:t>incisors) is already very apparent,</w:t>
      </w:r>
      <w:r w:rsidR="005853A9">
        <w:rPr>
          <w:kern w:val="0"/>
        </w:rPr>
        <w:t xml:space="preserve"> and </w:t>
      </w:r>
      <w:r>
        <w:rPr>
          <w:kern w:val="0"/>
        </w:rPr>
        <w:t>considering studies dealing with real smiles, buccal corridor sizes</w:t>
      </w:r>
      <w:r w:rsidR="005853A9">
        <w:rPr>
          <w:kern w:val="0"/>
        </w:rPr>
        <w:t xml:space="preserve"> and </w:t>
      </w:r>
      <w:r>
        <w:rPr>
          <w:kern w:val="0"/>
        </w:rPr>
        <w:t>smile arc alone do not seem to affect smile attractiveness. (Angle Orthod. 2011;81:153-161.).</w:t>
      </w:r>
    </w:p>
    <w:p w:rsidR="0062028A" w:rsidRDefault="0062028A" w:rsidP="0062028A">
      <w:pPr>
        <w:pStyle w:val="a3"/>
        <w:rPr>
          <w:kern w:val="0"/>
        </w:rPr>
      </w:pPr>
      <w:r>
        <w:rPr>
          <w:kern w:val="0"/>
        </w:rPr>
        <w:t xml:space="preserve">Keywords: Confounding, Dental Aesthetics, Discrepancies, Esthetics, Extraction, Impact, Laypersons, Methods, Orthodontics, Perception, </w:t>
      </w:r>
      <w:r w:rsidR="002C12F0">
        <w:rPr>
          <w:kern w:val="0"/>
        </w:rPr>
        <w:t>PUBMED</w:t>
      </w:r>
      <w:r>
        <w:rPr>
          <w:kern w:val="0"/>
        </w:rPr>
        <w:t xml:space="preserve">, Quality, Ratings, Review, Science, Space, Statistical, Systematic, Systematic Review, Treatment, </w:t>
      </w:r>
      <w:r w:rsidR="00D5664A">
        <w:rPr>
          <w:kern w:val="0"/>
        </w:rPr>
        <w:t>Web</w:t>
      </w:r>
      <w:r w:rsidR="00427468">
        <w:rPr>
          <w:kern w:val="0"/>
        </w:rPr>
        <w:t xml:space="preserve"> of </w:t>
      </w:r>
      <w:r w:rsidR="00D5664A">
        <w:rPr>
          <w:kern w:val="0"/>
        </w:rPr>
        <w:t>Science</w:t>
      </w:r>
    </w:p>
    <w:p w:rsidR="004262D2" w:rsidRDefault="004262D2" w:rsidP="004262D2">
      <w:pPr>
        <w:pStyle w:val="a3"/>
        <w:rPr>
          <w:kern w:val="0"/>
          <w:szCs w:val="24"/>
        </w:rPr>
      </w:pPr>
      <w:r>
        <w:rPr>
          <w:rFonts w:hint="eastAsia"/>
          <w:kern w:val="0"/>
          <w:szCs w:val="24"/>
        </w:rPr>
        <w:t xml:space="preserve">? </w:t>
      </w:r>
      <w:r>
        <w:rPr>
          <w:kern w:val="0"/>
          <w:szCs w:val="24"/>
        </w:rPr>
        <w:t>Long, H., Pyakurel, U., Wang, Y., Liao, L.N., Zhou, Y.</w:t>
      </w:r>
      <w:r w:rsidR="005853A9">
        <w:rPr>
          <w:kern w:val="0"/>
          <w:szCs w:val="24"/>
        </w:rPr>
        <w:t xml:space="preserve"> and </w:t>
      </w:r>
      <w:r>
        <w:rPr>
          <w:kern w:val="0"/>
          <w:szCs w:val="24"/>
        </w:rPr>
        <w:t xml:space="preserve">Lai, W.L. (2013), Interventions for accelerating orthodontic tooth movement A systematic review. </w:t>
      </w:r>
      <w:r>
        <w:rPr>
          <w:i/>
          <w:iCs/>
          <w:kern w:val="0"/>
          <w:szCs w:val="24"/>
        </w:rPr>
        <w:t>Angle Orthodontist</w:t>
      </w:r>
      <w:r>
        <w:rPr>
          <w:kern w:val="0"/>
          <w:szCs w:val="24"/>
        </w:rPr>
        <w:t xml:space="preserve">, </w:t>
      </w:r>
      <w:r>
        <w:rPr>
          <w:b/>
          <w:bCs/>
          <w:kern w:val="0"/>
          <w:szCs w:val="24"/>
        </w:rPr>
        <w:t>83</w:t>
      </w:r>
      <w:r>
        <w:rPr>
          <w:kern w:val="0"/>
          <w:szCs w:val="24"/>
        </w:rPr>
        <w:t xml:space="preserve"> (1), 164-171.</w:t>
      </w:r>
    </w:p>
    <w:p w:rsidR="004262D2" w:rsidRDefault="004262D2" w:rsidP="004262D2">
      <w:pPr>
        <w:pStyle w:val="a3"/>
        <w:rPr>
          <w:kern w:val="0"/>
          <w:szCs w:val="24"/>
        </w:rPr>
      </w:pPr>
      <w:r>
        <w:rPr>
          <w:rFonts w:hint="eastAsia"/>
          <w:kern w:val="0"/>
          <w:szCs w:val="24"/>
        </w:rPr>
        <w:t xml:space="preserve">Full Text: </w:t>
      </w:r>
      <w:hyperlink r:id="rId786" w:history="1">
        <w:r w:rsidRPr="004262D2">
          <w:rPr>
            <w:rStyle w:val="a5"/>
            <w:kern w:val="0"/>
            <w:szCs w:val="24"/>
          </w:rPr>
          <w:t>2013\Ang Ort83, 164.pdf</w:t>
        </w:r>
      </w:hyperlink>
    </w:p>
    <w:p w:rsidR="004262D2" w:rsidRDefault="004262D2" w:rsidP="004262D2">
      <w:pPr>
        <w:pStyle w:val="a3"/>
        <w:rPr>
          <w:kern w:val="0"/>
          <w:szCs w:val="24"/>
        </w:rPr>
      </w:pPr>
      <w:r>
        <w:rPr>
          <w:kern w:val="0"/>
          <w:szCs w:val="24"/>
        </w:rPr>
        <w:t>Abstract: Objective: To evaluate the effectiveness</w:t>
      </w:r>
      <w:r w:rsidR="00427468">
        <w:rPr>
          <w:kern w:val="0"/>
          <w:szCs w:val="24"/>
        </w:rPr>
        <w:t xml:space="preserve"> of </w:t>
      </w:r>
      <w:r>
        <w:rPr>
          <w:kern w:val="0"/>
          <w:szCs w:val="24"/>
        </w:rPr>
        <w:t>interventions on accelerating orthodontic tooth movement. Materials</w:t>
      </w:r>
      <w:r w:rsidR="005853A9">
        <w:rPr>
          <w:kern w:val="0"/>
          <w:szCs w:val="24"/>
        </w:rPr>
        <w:t xml:space="preserve"> and </w:t>
      </w:r>
      <w:r>
        <w:rPr>
          <w:kern w:val="0"/>
          <w:szCs w:val="24"/>
        </w:rPr>
        <w:t>Methods: We searched the databases</w:t>
      </w:r>
      <w:r w:rsidR="00427468">
        <w:rPr>
          <w:kern w:val="0"/>
          <w:szCs w:val="24"/>
        </w:rPr>
        <w:t xml:space="preserve"> of </w:t>
      </w:r>
      <w:r>
        <w:rPr>
          <w:kern w:val="0"/>
          <w:szCs w:val="24"/>
        </w:rPr>
        <w:t>PubMed, Embase, Science Citation Index, CENTRAL,</w:t>
      </w:r>
      <w:r w:rsidR="005853A9">
        <w:rPr>
          <w:kern w:val="0"/>
          <w:szCs w:val="24"/>
        </w:rPr>
        <w:t xml:space="preserve"> and </w:t>
      </w:r>
      <w:r>
        <w:rPr>
          <w:kern w:val="0"/>
          <w:szCs w:val="24"/>
        </w:rPr>
        <w:t>SIGLE from January 1990 to August 2011 for randomized or quasi-randomized controlled trials that assessed the effectiveness</w:t>
      </w:r>
      <w:r w:rsidR="00427468">
        <w:rPr>
          <w:kern w:val="0"/>
          <w:szCs w:val="24"/>
        </w:rPr>
        <w:t xml:space="preserve"> of </w:t>
      </w:r>
      <w:r>
        <w:rPr>
          <w:kern w:val="0"/>
          <w:szCs w:val="24"/>
        </w:rPr>
        <w:t>interventions on accelerating orthodontic tooth movement</w:t>
      </w:r>
      <w:r w:rsidR="00A37C1D">
        <w:rPr>
          <w:kern w:val="0"/>
          <w:szCs w:val="24"/>
        </w:rPr>
        <w:t>. The</w:t>
      </w:r>
      <w:r>
        <w:rPr>
          <w:kern w:val="0"/>
          <w:szCs w:val="24"/>
        </w:rPr>
        <w:t xml:space="preserve"> processes</w:t>
      </w:r>
      <w:r w:rsidR="00427468">
        <w:rPr>
          <w:kern w:val="0"/>
          <w:szCs w:val="24"/>
        </w:rPr>
        <w:t xml:space="preserve"> of </w:t>
      </w:r>
      <w:r>
        <w:rPr>
          <w:kern w:val="0"/>
          <w:szCs w:val="24"/>
        </w:rPr>
        <w:t>study search, selection,</w:t>
      </w:r>
      <w:r w:rsidR="005853A9">
        <w:rPr>
          <w:kern w:val="0"/>
          <w:szCs w:val="24"/>
        </w:rPr>
        <w:t xml:space="preserve"> and </w:t>
      </w:r>
      <w:r>
        <w:rPr>
          <w:kern w:val="0"/>
          <w:szCs w:val="24"/>
        </w:rPr>
        <w:t>quality assessment were conducted independently in duplicate by two review authors. Original outcome data, if possible, underwent statistical pooling by using Review Manager 5. Results: Through a predefined search strategy, we finally included nine eligible studies. Among them, five interventions were studied (ie, low-level laser therapy, corticotomy, electrical current, pulsed electromagnetic fields,</w:t>
      </w:r>
      <w:r w:rsidR="005853A9">
        <w:rPr>
          <w:kern w:val="0"/>
          <w:szCs w:val="24"/>
        </w:rPr>
        <w:t xml:space="preserve"> and </w:t>
      </w:r>
      <w:r>
        <w:rPr>
          <w:kern w:val="0"/>
          <w:szCs w:val="24"/>
        </w:rPr>
        <w:t>dentoalveolar or periodontal distraction). Six outcomes were evaluated in these studies (ie, accumulative moved distance or movement rate, time required to move tooth to its destination, anchorage loss, periodontal health, pulp vitality,</w:t>
      </w:r>
      <w:r w:rsidR="005853A9">
        <w:rPr>
          <w:kern w:val="0"/>
          <w:szCs w:val="24"/>
        </w:rPr>
        <w:t xml:space="preserve"> and </w:t>
      </w:r>
      <w:r>
        <w:rPr>
          <w:kern w:val="0"/>
          <w:szCs w:val="24"/>
        </w:rPr>
        <w:t>root resorption). Conclusion: Among the five interventions, corticotomy is effective</w:t>
      </w:r>
      <w:r w:rsidR="005853A9">
        <w:rPr>
          <w:kern w:val="0"/>
          <w:szCs w:val="24"/>
        </w:rPr>
        <w:t xml:space="preserve"> and </w:t>
      </w:r>
      <w:r>
        <w:rPr>
          <w:kern w:val="0"/>
          <w:szCs w:val="24"/>
        </w:rPr>
        <w:t>safe to accelerate orthodontic tooth movement, low-level laser therapy was unable to accelerate orthodontic tooth movement, current evidence does not reveal whether electrical current</w:t>
      </w:r>
      <w:r w:rsidR="005853A9">
        <w:rPr>
          <w:kern w:val="0"/>
          <w:szCs w:val="24"/>
        </w:rPr>
        <w:t xml:space="preserve"> and </w:t>
      </w:r>
      <w:r>
        <w:rPr>
          <w:kern w:val="0"/>
          <w:szCs w:val="24"/>
        </w:rPr>
        <w:t>pulsed electromagnetic fields are effective in accelerating orthodontic tooth movement,</w:t>
      </w:r>
      <w:r w:rsidR="005853A9">
        <w:rPr>
          <w:kern w:val="0"/>
          <w:szCs w:val="24"/>
        </w:rPr>
        <w:t xml:space="preserve"> and </w:t>
      </w:r>
      <w:r>
        <w:rPr>
          <w:kern w:val="0"/>
          <w:szCs w:val="24"/>
        </w:rPr>
        <w:t xml:space="preserve">dentoalveolar or periodontal distraction is promising in accelerating orthodontic tooth movement but lacks convincing evidence. </w:t>
      </w:r>
      <w:r>
        <w:rPr>
          <w:kern w:val="0"/>
          <w:szCs w:val="24"/>
        </w:rPr>
        <w:lastRenderedPageBreak/>
        <w:t>(Angle Orthod. 2013; 83:164-171.).</w:t>
      </w:r>
    </w:p>
    <w:p w:rsidR="004262D2" w:rsidRDefault="004262D2" w:rsidP="004262D2">
      <w:pPr>
        <w:pStyle w:val="a3"/>
        <w:rPr>
          <w:kern w:val="0"/>
          <w:szCs w:val="24"/>
        </w:rPr>
      </w:pPr>
      <w:r>
        <w:rPr>
          <w:kern w:val="0"/>
          <w:szCs w:val="24"/>
        </w:rPr>
        <w:t>Keywords: Accelerate, Assessment, Authors, Bias, Citation, Corticotomy, Corticotomy-Facilitated Orthodontics, Data, Databases, Distraction, Duration, Effectiveness, Electromagnetic Fields, Evidence, Extraction, Health, Interventions, Laser, Materials, Maxillary Canine Retraction, Movement, Orthodontic Tooth Movement, Outcome, Outcomes, Periodontal-Ligament, Pubmed, Quality, Randomized, Rats, Results, Review, Science, Science Citation Index, Search Strategy, Selection, Strategy, Systematic Review, Therapy, Velocity</w:t>
      </w:r>
    </w:p>
    <w:p w:rsidR="00061447" w:rsidRDefault="00061447" w:rsidP="00061447">
      <w:pPr>
        <w:pStyle w:val="a3"/>
        <w:rPr>
          <w:kern w:val="0"/>
        </w:rPr>
      </w:pPr>
      <w:r>
        <w:rPr>
          <w:rFonts w:hint="eastAsia"/>
          <w:kern w:val="0"/>
        </w:rPr>
        <w:t xml:space="preserve">? </w:t>
      </w:r>
      <w:r>
        <w:rPr>
          <w:kern w:val="0"/>
        </w:rPr>
        <w:t>Yan, B.X. (2013), Re: The 100 top-cited articles in orthodontics from 1975 to 2011 by Jifang Hui, Zongkai Han, Guannan Geng, Weijun Van</w:t>
      </w:r>
      <w:r w:rsidR="005853A9">
        <w:rPr>
          <w:kern w:val="0"/>
        </w:rPr>
        <w:t xml:space="preserve"> and </w:t>
      </w:r>
      <w:r>
        <w:rPr>
          <w:kern w:val="0"/>
        </w:rPr>
        <w:t>Ping Shao</w:t>
      </w:r>
      <w:r w:rsidR="00A37C1D">
        <w:rPr>
          <w:kern w:val="0"/>
        </w:rPr>
        <w:t>. The</w:t>
      </w:r>
      <w:r>
        <w:rPr>
          <w:kern w:val="0"/>
        </w:rPr>
        <w:t xml:space="preserve"> Angle Orthodontist; on line early: http://dx.doi.org/10. 23191040512-284.1. </w:t>
      </w:r>
      <w:r>
        <w:rPr>
          <w:i/>
          <w:iCs/>
          <w:kern w:val="0"/>
        </w:rPr>
        <w:t>Angle Orthodontist</w:t>
      </w:r>
      <w:r>
        <w:rPr>
          <w:kern w:val="0"/>
        </w:rPr>
        <w:t xml:space="preserve">, </w:t>
      </w:r>
      <w:r>
        <w:rPr>
          <w:b/>
          <w:bCs/>
          <w:kern w:val="0"/>
        </w:rPr>
        <w:t>83</w:t>
      </w:r>
      <w:r>
        <w:rPr>
          <w:kern w:val="0"/>
        </w:rPr>
        <w:t xml:space="preserve"> (2), 365</w:t>
      </w:r>
      <w:r>
        <w:rPr>
          <w:rFonts w:hint="eastAsia"/>
          <w:kern w:val="0"/>
        </w:rPr>
        <w:t>.</w:t>
      </w:r>
    </w:p>
    <w:p w:rsidR="00061447" w:rsidRDefault="00061447" w:rsidP="00061447">
      <w:pPr>
        <w:pStyle w:val="a3"/>
        <w:rPr>
          <w:kern w:val="0"/>
          <w:szCs w:val="24"/>
        </w:rPr>
      </w:pPr>
      <w:r>
        <w:rPr>
          <w:rFonts w:hint="eastAsia"/>
          <w:kern w:val="0"/>
          <w:szCs w:val="24"/>
        </w:rPr>
        <w:t xml:space="preserve">Full Text: </w:t>
      </w:r>
      <w:hyperlink r:id="rId787" w:history="1">
        <w:r w:rsidRPr="00DB5391">
          <w:rPr>
            <w:rStyle w:val="a5"/>
            <w:kern w:val="0"/>
            <w:szCs w:val="24"/>
          </w:rPr>
          <w:t>2013\Ang Ort83, 365.pdf</w:t>
        </w:r>
      </w:hyperlink>
    </w:p>
    <w:p w:rsidR="00061447" w:rsidRDefault="00061447" w:rsidP="00061447">
      <w:pPr>
        <w:pStyle w:val="a3"/>
        <w:rPr>
          <w:kern w:val="0"/>
        </w:rPr>
      </w:pPr>
      <w:r>
        <w:rPr>
          <w:kern w:val="0"/>
        </w:rPr>
        <w:t>Keywords: Mar</w:t>
      </w:r>
    </w:p>
    <w:p w:rsidR="00061447" w:rsidRDefault="00061447" w:rsidP="00061447">
      <w:pPr>
        <w:pStyle w:val="a3"/>
        <w:rPr>
          <w:kern w:val="0"/>
        </w:rPr>
      </w:pPr>
      <w:r>
        <w:rPr>
          <w:rFonts w:hint="eastAsia"/>
          <w:kern w:val="0"/>
        </w:rPr>
        <w:t xml:space="preserve">? </w:t>
      </w:r>
      <w:r>
        <w:rPr>
          <w:kern w:val="0"/>
        </w:rPr>
        <w:t>Hui, J.F., Han, Z.K., Geng, G.N., Yan, W.J.</w:t>
      </w:r>
      <w:r w:rsidR="005853A9">
        <w:rPr>
          <w:kern w:val="0"/>
        </w:rPr>
        <w:t xml:space="preserve"> and </w:t>
      </w:r>
      <w:r>
        <w:rPr>
          <w:kern w:val="0"/>
        </w:rPr>
        <w:t>Shao, P. (2013), Re response to: The 100 top-cited articles in orthodontics from 1975 to 2011 by Jifang Hui, Zongkai Han, Guannan Geng, Weijun Yan</w:t>
      </w:r>
      <w:r w:rsidR="005853A9">
        <w:rPr>
          <w:kern w:val="0"/>
        </w:rPr>
        <w:t xml:space="preserve"> and </w:t>
      </w:r>
      <w:r>
        <w:rPr>
          <w:kern w:val="0"/>
        </w:rPr>
        <w:t>Ping Shao</w:t>
      </w:r>
      <w:r w:rsidR="00A37C1D">
        <w:rPr>
          <w:kern w:val="0"/>
        </w:rPr>
        <w:t>. The</w:t>
      </w:r>
      <w:r>
        <w:rPr>
          <w:kern w:val="0"/>
        </w:rPr>
        <w:t xml:space="preserve"> Angle Orthodontist; on line early: http://dx.dolorg/10.2319/040512-284.1. </w:t>
      </w:r>
      <w:r>
        <w:rPr>
          <w:i/>
          <w:iCs/>
          <w:kern w:val="0"/>
        </w:rPr>
        <w:t>Angle Orthodontist</w:t>
      </w:r>
      <w:r>
        <w:rPr>
          <w:kern w:val="0"/>
        </w:rPr>
        <w:t xml:space="preserve">, </w:t>
      </w:r>
      <w:r>
        <w:rPr>
          <w:b/>
          <w:bCs/>
          <w:kern w:val="0"/>
        </w:rPr>
        <w:t>83</w:t>
      </w:r>
      <w:r>
        <w:rPr>
          <w:kern w:val="0"/>
        </w:rPr>
        <w:t xml:space="preserve"> (2), 366</w:t>
      </w:r>
      <w:r>
        <w:rPr>
          <w:rFonts w:hint="eastAsia"/>
          <w:kern w:val="0"/>
        </w:rPr>
        <w:t>.</w:t>
      </w:r>
    </w:p>
    <w:p w:rsidR="00061447" w:rsidRDefault="00061447" w:rsidP="00061447">
      <w:pPr>
        <w:pStyle w:val="a3"/>
        <w:rPr>
          <w:kern w:val="0"/>
          <w:szCs w:val="24"/>
        </w:rPr>
      </w:pPr>
      <w:r>
        <w:rPr>
          <w:rFonts w:hint="eastAsia"/>
          <w:kern w:val="0"/>
          <w:szCs w:val="24"/>
        </w:rPr>
        <w:t xml:space="preserve">Full Text: </w:t>
      </w:r>
      <w:hyperlink r:id="rId788" w:history="1">
        <w:r w:rsidRPr="00DB5391">
          <w:rPr>
            <w:rStyle w:val="a5"/>
            <w:kern w:val="0"/>
            <w:szCs w:val="24"/>
          </w:rPr>
          <w:t>2013\Ang Ort83, 366.pdf</w:t>
        </w:r>
      </w:hyperlink>
    </w:p>
    <w:p w:rsidR="00061447" w:rsidRDefault="00061447" w:rsidP="00061447">
      <w:pPr>
        <w:pStyle w:val="a3"/>
        <w:rPr>
          <w:kern w:val="0"/>
        </w:rPr>
      </w:pPr>
      <w:r>
        <w:rPr>
          <w:kern w:val="0"/>
        </w:rPr>
        <w:t>Keywords: Anchorage, Citation-Classics, Journals, Mar</w:t>
      </w:r>
    </w:p>
    <w:p w:rsidR="00073605" w:rsidRDefault="00073605" w:rsidP="00073605">
      <w:pPr>
        <w:pStyle w:val="a3"/>
        <w:rPr>
          <w:kern w:val="0"/>
        </w:rPr>
      </w:pPr>
      <w:r>
        <w:rPr>
          <w:rFonts w:hint="eastAsia"/>
          <w:kern w:val="0"/>
        </w:rPr>
        <w:t xml:space="preserve">? </w:t>
      </w:r>
      <w:r>
        <w:rPr>
          <w:kern w:val="0"/>
        </w:rPr>
        <w:t>Hui, J.F., Han, Z.K., Geng, G.N., Yan, W.J.</w:t>
      </w:r>
      <w:r w:rsidR="005853A9">
        <w:rPr>
          <w:kern w:val="0"/>
        </w:rPr>
        <w:t xml:space="preserve"> and </w:t>
      </w:r>
      <w:r>
        <w:rPr>
          <w:kern w:val="0"/>
        </w:rPr>
        <w:t xml:space="preserve">Shao, P. (2013), The 100 top-cited articles in orthodontics from 1975 to 2011. </w:t>
      </w:r>
      <w:r>
        <w:rPr>
          <w:i/>
          <w:iCs/>
          <w:kern w:val="0"/>
        </w:rPr>
        <w:t>Angle Orthodontist</w:t>
      </w:r>
      <w:r>
        <w:rPr>
          <w:kern w:val="0"/>
        </w:rPr>
        <w:t xml:space="preserve">, </w:t>
      </w:r>
      <w:r>
        <w:rPr>
          <w:b/>
          <w:bCs/>
          <w:kern w:val="0"/>
        </w:rPr>
        <w:t>83</w:t>
      </w:r>
      <w:r>
        <w:rPr>
          <w:kern w:val="0"/>
        </w:rPr>
        <w:t xml:space="preserve"> (3), 491-499.</w:t>
      </w:r>
    </w:p>
    <w:p w:rsidR="00073605" w:rsidRDefault="00073605" w:rsidP="00073605">
      <w:pPr>
        <w:pStyle w:val="a3"/>
        <w:rPr>
          <w:kern w:val="0"/>
        </w:rPr>
      </w:pPr>
      <w:r>
        <w:rPr>
          <w:rFonts w:hint="eastAsia"/>
          <w:kern w:val="0"/>
        </w:rPr>
        <w:t xml:space="preserve">Full Text: </w:t>
      </w:r>
      <w:hyperlink r:id="rId789" w:history="1">
        <w:r w:rsidRPr="00073605">
          <w:rPr>
            <w:rStyle w:val="a5"/>
            <w:kern w:val="0"/>
          </w:rPr>
          <w:t>2013\Ang Ort83, 491.pdf</w:t>
        </w:r>
      </w:hyperlink>
    </w:p>
    <w:p w:rsidR="00073605" w:rsidRDefault="00073605" w:rsidP="00073605">
      <w:pPr>
        <w:pStyle w:val="a3"/>
        <w:rPr>
          <w:kern w:val="0"/>
        </w:rPr>
      </w:pPr>
      <w:r>
        <w:rPr>
          <w:kern w:val="0"/>
        </w:rPr>
        <w:t>Abstract: Objective: To identify the 100 top-cited articles published in orthodontics journals</w:t>
      </w:r>
      <w:r w:rsidR="005853A9">
        <w:rPr>
          <w:kern w:val="0"/>
        </w:rPr>
        <w:t xml:space="preserve"> and </w:t>
      </w:r>
      <w:r>
        <w:rPr>
          <w:kern w:val="0"/>
        </w:rPr>
        <w:t>to analyze their characteristics to investigate the achievement</w:t>
      </w:r>
      <w:r w:rsidR="005853A9">
        <w:rPr>
          <w:kern w:val="0"/>
        </w:rPr>
        <w:t xml:space="preserve"> and </w:t>
      </w:r>
      <w:r>
        <w:rPr>
          <w:kern w:val="0"/>
        </w:rPr>
        <w:t>development</w:t>
      </w:r>
      <w:r w:rsidR="00427468">
        <w:rPr>
          <w:kern w:val="0"/>
        </w:rPr>
        <w:t xml:space="preserve"> of </w:t>
      </w:r>
      <w:r>
        <w:rPr>
          <w:kern w:val="0"/>
        </w:rPr>
        <w:t>orthodontics research in past decades. Methods</w:t>
      </w:r>
      <w:r w:rsidR="005853A9">
        <w:rPr>
          <w:kern w:val="0"/>
        </w:rPr>
        <w:t xml:space="preserve"> and </w:t>
      </w:r>
      <w:r>
        <w:rPr>
          <w:kern w:val="0"/>
        </w:rPr>
        <w:t>Materials: The Institute for Scientific Information Web</w:t>
      </w:r>
      <w:r w:rsidR="00427468">
        <w:rPr>
          <w:kern w:val="0"/>
        </w:rPr>
        <w:t xml:space="preserve"> of </w:t>
      </w:r>
      <w:r>
        <w:rPr>
          <w:kern w:val="0"/>
        </w:rPr>
        <w:t>Knowledge Database</w:t>
      </w:r>
      <w:r w:rsidR="005853A9">
        <w:rPr>
          <w:kern w:val="0"/>
        </w:rPr>
        <w:t xml:space="preserve"> and </w:t>
      </w:r>
      <w:r>
        <w:rPr>
          <w:kern w:val="0"/>
        </w:rPr>
        <w:t xml:space="preserve">the 2011 Journal Citation Report Science Editions were used to retrieve the 100 top-cited articles published in orthodontics journals since 1975. Some basic information was collected by the Analyze Tool on the </w:t>
      </w:r>
      <w:r w:rsidR="00D5664A">
        <w:rPr>
          <w:kern w:val="0"/>
        </w:rPr>
        <w:t>Web</w:t>
      </w:r>
      <w:r w:rsidR="00427468">
        <w:rPr>
          <w:kern w:val="0"/>
        </w:rPr>
        <w:t xml:space="preserve"> of </w:t>
      </w:r>
      <w:r w:rsidR="00D5664A">
        <w:rPr>
          <w:kern w:val="0"/>
        </w:rPr>
        <w:t>Science</w:t>
      </w:r>
      <w:r>
        <w:rPr>
          <w:kern w:val="0"/>
        </w:rPr>
        <w:t>, including citation time, publication title, journal name, publication year,</w:t>
      </w:r>
      <w:r w:rsidR="005853A9">
        <w:rPr>
          <w:kern w:val="0"/>
        </w:rPr>
        <w:t xml:space="preserve"> and </w:t>
      </w:r>
      <w:r>
        <w:rPr>
          <w:kern w:val="0"/>
        </w:rPr>
        <w:t>country</w:t>
      </w:r>
      <w:r w:rsidR="005853A9">
        <w:rPr>
          <w:kern w:val="0"/>
        </w:rPr>
        <w:t xml:space="preserve"> and </w:t>
      </w:r>
      <w:r>
        <w:rPr>
          <w:kern w:val="0"/>
        </w:rPr>
        <w:t>institution</w:t>
      </w:r>
      <w:r w:rsidR="00427468">
        <w:rPr>
          <w:kern w:val="0"/>
        </w:rPr>
        <w:t xml:space="preserve"> of </w:t>
      </w:r>
      <w:r>
        <w:rPr>
          <w:kern w:val="0"/>
        </w:rPr>
        <w:t>origin. A further study was then performed to determine authorship, article type, field</w:t>
      </w:r>
      <w:r w:rsidR="00427468">
        <w:rPr>
          <w:kern w:val="0"/>
        </w:rPr>
        <w:t xml:space="preserve"> of </w:t>
      </w:r>
      <w:r>
        <w:rPr>
          <w:kern w:val="0"/>
        </w:rPr>
        <w:t>study, study design,</w:t>
      </w:r>
      <w:r w:rsidR="005853A9">
        <w:rPr>
          <w:kern w:val="0"/>
        </w:rPr>
        <w:t xml:space="preserve"> and </w:t>
      </w:r>
      <w:r>
        <w:rPr>
          <w:kern w:val="0"/>
        </w:rPr>
        <w:t>level</w:t>
      </w:r>
      <w:r w:rsidR="00427468">
        <w:rPr>
          <w:kern w:val="0"/>
        </w:rPr>
        <w:t xml:space="preserve"> of </w:t>
      </w:r>
      <w:r>
        <w:rPr>
          <w:kern w:val="0"/>
        </w:rPr>
        <w:t>evidence. Results: The 100 target articles were retrieved from three journals: American Journal</w:t>
      </w:r>
      <w:r w:rsidR="00427468">
        <w:rPr>
          <w:kern w:val="0"/>
        </w:rPr>
        <w:t xml:space="preserve"> of </w:t>
      </w:r>
      <w:r>
        <w:rPr>
          <w:kern w:val="0"/>
        </w:rPr>
        <w:t>Orthodontics</w:t>
      </w:r>
      <w:r w:rsidR="005853A9">
        <w:rPr>
          <w:kern w:val="0"/>
        </w:rPr>
        <w:t xml:space="preserve"> and </w:t>
      </w:r>
      <w:r>
        <w:rPr>
          <w:kern w:val="0"/>
        </w:rPr>
        <w:t>Dentofacial Orthopedics (n = 74), The Angle Orthodontist (n = 15),</w:t>
      </w:r>
      <w:r w:rsidR="005853A9">
        <w:rPr>
          <w:kern w:val="0"/>
        </w:rPr>
        <w:t xml:space="preserve"> and </w:t>
      </w:r>
      <w:r>
        <w:rPr>
          <w:kern w:val="0"/>
        </w:rPr>
        <w:t>European Journal</w:t>
      </w:r>
      <w:r w:rsidR="00427468">
        <w:rPr>
          <w:kern w:val="0"/>
        </w:rPr>
        <w:t xml:space="preserve"> of </w:t>
      </w:r>
      <w:r>
        <w:rPr>
          <w:kern w:val="0"/>
        </w:rPr>
        <w:t>Orthodontics (n = 11). Since 1975, the articles cited 89 to 545 times mainly originated from the United States,</w:t>
      </w:r>
      <w:r w:rsidR="005853A9">
        <w:rPr>
          <w:kern w:val="0"/>
        </w:rPr>
        <w:t xml:space="preserve"> and </w:t>
      </w:r>
      <w:r>
        <w:rPr>
          <w:kern w:val="0"/>
        </w:rPr>
        <w:t>the overwhelming majority</w:t>
      </w:r>
      <w:r w:rsidR="00427468">
        <w:rPr>
          <w:kern w:val="0"/>
        </w:rPr>
        <w:t xml:space="preserve"> of </w:t>
      </w:r>
      <w:r>
        <w:rPr>
          <w:kern w:val="0"/>
        </w:rPr>
        <w:t>articles were clinical</w:t>
      </w:r>
      <w:r w:rsidR="00A37C1D">
        <w:rPr>
          <w:kern w:val="0"/>
        </w:rPr>
        <w:t>. The</w:t>
      </w:r>
      <w:r>
        <w:rPr>
          <w:kern w:val="0"/>
        </w:rPr>
        <w:t xml:space="preserve"> most common study design was case series; 40 articles were classified as level IV</w:t>
      </w:r>
      <w:r w:rsidR="005853A9">
        <w:rPr>
          <w:kern w:val="0"/>
        </w:rPr>
        <w:t xml:space="preserve"> and </w:t>
      </w:r>
      <w:r>
        <w:rPr>
          <w:kern w:val="0"/>
        </w:rPr>
        <w:t xml:space="preserve">12 as level V evidence. Conclusions: The 100 top-cited articles in </w:t>
      </w:r>
      <w:r>
        <w:rPr>
          <w:kern w:val="0"/>
        </w:rPr>
        <w:lastRenderedPageBreak/>
        <w:t>orthodontics are generally old articles, rarely possessing high-level evidence. (Angle Orthod. 2013;83:491-499.).</w:t>
      </w:r>
    </w:p>
    <w:p w:rsidR="00073605" w:rsidRDefault="00073605" w:rsidP="00073605">
      <w:pPr>
        <w:pStyle w:val="a3"/>
        <w:rPr>
          <w:kern w:val="0"/>
        </w:rPr>
      </w:pPr>
      <w:r>
        <w:rPr>
          <w:kern w:val="0"/>
        </w:rPr>
        <w:t>Keywords: Achievement, Anchorage, Authorship, Bibliometrics, Characteristics, Citation, Citation Analysis, Citation-Classics, Clinical, Country, Design, Development, Evidence, Field, Impact, Information, Institute For Scientific Information, Iv, Journal, Journal Citation Report, Journals, Knowledge, Materials, Methods, Origin, Orthodontics, Publication, Research, Results, Science, Study Design, Top-Cited, United States, Web</w:t>
      </w:r>
      <w:r w:rsidR="00427468">
        <w:rPr>
          <w:kern w:val="0"/>
        </w:rPr>
        <w:t xml:space="preserve"> of </w:t>
      </w:r>
      <w:r>
        <w:rPr>
          <w:kern w:val="0"/>
        </w:rPr>
        <w:t xml:space="preserve">Knowledge, </w:t>
      </w:r>
      <w:r w:rsidR="00D5664A">
        <w:rPr>
          <w:kern w:val="0"/>
        </w:rPr>
        <w:t>Web</w:t>
      </w:r>
      <w:r w:rsidR="00427468">
        <w:rPr>
          <w:kern w:val="0"/>
        </w:rPr>
        <w:t xml:space="preserve"> of </w:t>
      </w:r>
      <w:r w:rsidR="00D5664A">
        <w:rPr>
          <w:kern w:val="0"/>
        </w:rPr>
        <w:t>Science</w:t>
      </w:r>
    </w:p>
    <w:p w:rsidR="00AD7437" w:rsidRDefault="00AD7437" w:rsidP="00AD7437">
      <w:pPr>
        <w:pStyle w:val="a3"/>
        <w:rPr>
          <w:kern w:val="0"/>
        </w:rPr>
      </w:pPr>
      <w:r>
        <w:rPr>
          <w:rFonts w:hint="eastAsia"/>
          <w:kern w:val="0"/>
        </w:rPr>
        <w:t xml:space="preserve">? </w:t>
      </w:r>
      <w:r>
        <w:rPr>
          <w:kern w:val="0"/>
        </w:rPr>
        <w:t>Long, H., Zhou, Y., Pyakurel, U., Liao, L.N., Jian, F., Xue, J.J., Ye, N.S., Yang, X., Wang, Y.</w:t>
      </w:r>
      <w:r w:rsidR="005853A9">
        <w:rPr>
          <w:kern w:val="0"/>
        </w:rPr>
        <w:t xml:space="preserve"> and </w:t>
      </w:r>
      <w:r>
        <w:rPr>
          <w:kern w:val="0"/>
        </w:rPr>
        <w:t>Lai, W.L. (2013), Comparison</w:t>
      </w:r>
      <w:r w:rsidR="00427468">
        <w:rPr>
          <w:kern w:val="0"/>
        </w:rPr>
        <w:t xml:space="preserve"> of </w:t>
      </w:r>
      <w:r>
        <w:rPr>
          <w:kern w:val="0"/>
        </w:rPr>
        <w:t>adverse effects between lingual</w:t>
      </w:r>
      <w:r w:rsidR="005853A9">
        <w:rPr>
          <w:kern w:val="0"/>
        </w:rPr>
        <w:t xml:space="preserve"> and </w:t>
      </w:r>
      <w:r>
        <w:rPr>
          <w:kern w:val="0"/>
        </w:rPr>
        <w:t xml:space="preserve">labial orthodontic treatment A systematic review. </w:t>
      </w:r>
      <w:r>
        <w:rPr>
          <w:i/>
          <w:iCs/>
          <w:kern w:val="0"/>
        </w:rPr>
        <w:t>Angle Orthodontist</w:t>
      </w:r>
      <w:r>
        <w:rPr>
          <w:kern w:val="0"/>
        </w:rPr>
        <w:t xml:space="preserve">, </w:t>
      </w:r>
      <w:r>
        <w:rPr>
          <w:b/>
          <w:bCs/>
          <w:kern w:val="0"/>
        </w:rPr>
        <w:t>83</w:t>
      </w:r>
      <w:r>
        <w:rPr>
          <w:kern w:val="0"/>
        </w:rPr>
        <w:t xml:space="preserve"> (6), 1066-1073.</w:t>
      </w:r>
    </w:p>
    <w:p w:rsidR="00AD7437" w:rsidRDefault="00AD7437" w:rsidP="00AD7437">
      <w:pPr>
        <w:pStyle w:val="a3"/>
        <w:rPr>
          <w:kern w:val="0"/>
        </w:rPr>
      </w:pPr>
      <w:r>
        <w:rPr>
          <w:rFonts w:hint="eastAsia"/>
          <w:kern w:val="0"/>
        </w:rPr>
        <w:t xml:space="preserve">Full Text: </w:t>
      </w:r>
      <w:hyperlink r:id="rId790" w:history="1">
        <w:r w:rsidRPr="00FA6BFA">
          <w:rPr>
            <w:rStyle w:val="a5"/>
            <w:kern w:val="0"/>
          </w:rPr>
          <w:t>2013\Ang Ort83, 1066.pdf</w:t>
        </w:r>
      </w:hyperlink>
    </w:p>
    <w:p w:rsidR="00AD7437" w:rsidRDefault="00AD7437" w:rsidP="00AD7437">
      <w:pPr>
        <w:pStyle w:val="a3"/>
        <w:rPr>
          <w:kern w:val="0"/>
        </w:rPr>
      </w:pPr>
      <w:r>
        <w:rPr>
          <w:kern w:val="0"/>
        </w:rPr>
        <w:t>Abstract: Objective: To compare adverse effects between labial</w:t>
      </w:r>
      <w:r w:rsidR="005853A9">
        <w:rPr>
          <w:kern w:val="0"/>
        </w:rPr>
        <w:t xml:space="preserve"> and </w:t>
      </w:r>
      <w:r>
        <w:rPr>
          <w:kern w:val="0"/>
        </w:rPr>
        <w:t>lingual orthodontic treatments through a systematic review</w:t>
      </w:r>
      <w:r w:rsidR="00427468">
        <w:rPr>
          <w:kern w:val="0"/>
        </w:rPr>
        <w:t xml:space="preserve"> of </w:t>
      </w:r>
      <w:r>
        <w:rPr>
          <w:kern w:val="0"/>
        </w:rPr>
        <w:t>the literature. Materials</w:t>
      </w:r>
      <w:r w:rsidR="005853A9">
        <w:rPr>
          <w:kern w:val="0"/>
        </w:rPr>
        <w:t xml:space="preserve"> and </w:t>
      </w:r>
      <w:r>
        <w:rPr>
          <w:kern w:val="0"/>
        </w:rPr>
        <w:t>Methods: The protocol</w:t>
      </w:r>
      <w:r w:rsidR="00427468">
        <w:rPr>
          <w:kern w:val="0"/>
        </w:rPr>
        <w:t xml:space="preserve"> of </w:t>
      </w:r>
      <w:r>
        <w:rPr>
          <w:kern w:val="0"/>
        </w:rPr>
        <w:t>this systematic review (CRD42012002455) was registered in the International Prospective Register</w:t>
      </w:r>
      <w:r w:rsidR="00427468">
        <w:rPr>
          <w:kern w:val="0"/>
        </w:rPr>
        <w:t xml:space="preserve"> of </w:t>
      </w:r>
      <w:r>
        <w:rPr>
          <w:kern w:val="0"/>
        </w:rPr>
        <w:t xml:space="preserve">Systematic Reviews (PROSPERO). An electronic search was conducted in PubMed, Embase, </w:t>
      </w:r>
      <w:r w:rsidR="00D5664A">
        <w:rPr>
          <w:kern w:val="0"/>
        </w:rPr>
        <w:t>Web</w:t>
      </w:r>
      <w:r w:rsidR="00427468">
        <w:rPr>
          <w:kern w:val="0"/>
        </w:rPr>
        <w:t xml:space="preserve"> of </w:t>
      </w:r>
      <w:r w:rsidR="00D5664A">
        <w:rPr>
          <w:kern w:val="0"/>
        </w:rPr>
        <w:t>Science</w:t>
      </w:r>
      <w:r>
        <w:rPr>
          <w:kern w:val="0"/>
        </w:rPr>
        <w:t>, CENTRAL, SIGLE, Pro Quest Dissertations &amp; Theses,</w:t>
      </w:r>
      <w:r w:rsidR="005853A9">
        <w:rPr>
          <w:kern w:val="0"/>
        </w:rPr>
        <w:t xml:space="preserve"> and </w:t>
      </w:r>
      <w:r>
        <w:rPr>
          <w:kern w:val="0"/>
        </w:rPr>
        <w:t>ClinicalTrial.gov for articles published between January 1980</w:t>
      </w:r>
      <w:r w:rsidR="005853A9">
        <w:rPr>
          <w:kern w:val="0"/>
        </w:rPr>
        <w:t xml:space="preserve"> and </w:t>
      </w:r>
      <w:r>
        <w:rPr>
          <w:kern w:val="0"/>
        </w:rPr>
        <w:t>December 2012. Primary outcomes included pain</w:t>
      </w:r>
      <w:r w:rsidR="005853A9">
        <w:rPr>
          <w:kern w:val="0"/>
        </w:rPr>
        <w:t xml:space="preserve"> and </w:t>
      </w:r>
      <w:r>
        <w:rPr>
          <w:kern w:val="0"/>
        </w:rPr>
        <w:t>caries; secondary outcomes were eating difficulty, speech difficulty, oral hygiene,</w:t>
      </w:r>
      <w:r w:rsidR="005853A9">
        <w:rPr>
          <w:kern w:val="0"/>
        </w:rPr>
        <w:t xml:space="preserve"> and </w:t>
      </w:r>
      <w:r>
        <w:rPr>
          <w:kern w:val="0"/>
        </w:rPr>
        <w:t>treatment duration. Meta-analyses were conducted in Comprehensive Meta-Analysis version 2.2.064. Results: Six studies were included, two randomized controlled trials</w:t>
      </w:r>
      <w:r w:rsidR="005853A9">
        <w:rPr>
          <w:kern w:val="0"/>
        </w:rPr>
        <w:t xml:space="preserve"> and </w:t>
      </w:r>
      <w:r>
        <w:rPr>
          <w:kern w:val="0"/>
        </w:rPr>
        <w:t>four clinical controlled trials;</w:t>
      </w:r>
      <w:r w:rsidR="00427468">
        <w:rPr>
          <w:kern w:val="0"/>
        </w:rPr>
        <w:t xml:space="preserve"> of </w:t>
      </w:r>
      <w:r>
        <w:rPr>
          <w:kern w:val="0"/>
        </w:rPr>
        <w:t>these, four were medium quality</w:t>
      </w:r>
      <w:r w:rsidR="005853A9">
        <w:rPr>
          <w:kern w:val="0"/>
        </w:rPr>
        <w:t xml:space="preserve"> and </w:t>
      </w:r>
      <w:r>
        <w:rPr>
          <w:kern w:val="0"/>
        </w:rPr>
        <w:t>two were low quality in terms</w:t>
      </w:r>
      <w:r w:rsidR="00427468">
        <w:rPr>
          <w:kern w:val="0"/>
        </w:rPr>
        <w:t xml:space="preserve"> of </w:t>
      </w:r>
      <w:r>
        <w:rPr>
          <w:kern w:val="0"/>
        </w:rPr>
        <w:t>the risk</w:t>
      </w:r>
      <w:r w:rsidR="00427468">
        <w:rPr>
          <w:kern w:val="0"/>
        </w:rPr>
        <w:t xml:space="preserve"> of </w:t>
      </w:r>
      <w:r>
        <w:rPr>
          <w:kern w:val="0"/>
        </w:rPr>
        <w:t>bias. Five</w:t>
      </w:r>
      <w:r w:rsidR="00427468">
        <w:rPr>
          <w:kern w:val="0"/>
        </w:rPr>
        <w:t xml:space="preserve"> of </w:t>
      </w:r>
      <w:r>
        <w:rPr>
          <w:kern w:val="0"/>
        </w:rPr>
        <w:t>the six outcomes were evaluated in the included studies,</w:t>
      </w:r>
      <w:r w:rsidR="005853A9">
        <w:rPr>
          <w:kern w:val="0"/>
        </w:rPr>
        <w:t xml:space="preserve"> and </w:t>
      </w:r>
      <w:r>
        <w:rPr>
          <w:kern w:val="0"/>
        </w:rPr>
        <w:t>treatment duration was not; pain, eating difficulty, speech difficulty were statistically pooled. Meta-analysis revealed that the pooled odds ratios were 1.20 (95% confidence interval [Cl] = 0.30-4.87) for overall pain, 32.24 (95% Cl = 14.13-73.55) for pain in tongue, 0.08 (95% Cl = 0.04-0.18) for pain in cheek, 0.11 (95% Cl = 0.03-0.42) for pain in lip, 3.59 (95% Cl = 1.85-6.99) for eating difficulty,</w:t>
      </w:r>
      <w:r w:rsidR="005853A9">
        <w:rPr>
          <w:kern w:val="0"/>
        </w:rPr>
        <w:t xml:space="preserve"> and </w:t>
      </w:r>
      <w:r>
        <w:rPr>
          <w:kern w:val="0"/>
        </w:rPr>
        <w:t>8.61 (95% Cl = 3.55 20.89) for speech difficulty. Sensitivity analysis showed consistent results except for eating difficulty. No publication bias was detected. Conclusions: The likelihood</w:t>
      </w:r>
      <w:r w:rsidR="00427468">
        <w:rPr>
          <w:kern w:val="0"/>
        </w:rPr>
        <w:t xml:space="preserve"> of </w:t>
      </w:r>
      <w:r>
        <w:rPr>
          <w:kern w:val="0"/>
        </w:rPr>
        <w:t>overall pain was similar between the two modalities. Patients who underwent lingual orthodontic treatment were more likely to suffer from pain in the tongue</w:t>
      </w:r>
      <w:r w:rsidR="005853A9">
        <w:rPr>
          <w:kern w:val="0"/>
        </w:rPr>
        <w:t xml:space="preserve"> and </w:t>
      </w:r>
      <w:r>
        <w:rPr>
          <w:kern w:val="0"/>
        </w:rPr>
        <w:t>less likely to suffer from pain in the cheek</w:t>
      </w:r>
      <w:r w:rsidR="005853A9">
        <w:rPr>
          <w:kern w:val="0"/>
        </w:rPr>
        <w:t xml:space="preserve"> and </w:t>
      </w:r>
      <w:r>
        <w:rPr>
          <w:kern w:val="0"/>
        </w:rPr>
        <w:t>lip. Lingual orthodontic treatment increased the likelihood</w:t>
      </w:r>
      <w:r w:rsidR="00427468">
        <w:rPr>
          <w:kern w:val="0"/>
        </w:rPr>
        <w:t xml:space="preserve"> of </w:t>
      </w:r>
      <w:r>
        <w:rPr>
          <w:kern w:val="0"/>
        </w:rPr>
        <w:t>speech difficulty. Eating difficulty, oral hygiene, caries,</w:t>
      </w:r>
      <w:r w:rsidR="005853A9">
        <w:rPr>
          <w:kern w:val="0"/>
        </w:rPr>
        <w:t xml:space="preserve"> and </w:t>
      </w:r>
      <w:r>
        <w:rPr>
          <w:kern w:val="0"/>
        </w:rPr>
        <w:t>treatment duration could not be compared in this systematic review.</w:t>
      </w:r>
    </w:p>
    <w:p w:rsidR="00AD7437" w:rsidRDefault="00AD7437" w:rsidP="00AD7437">
      <w:pPr>
        <w:pStyle w:val="a3"/>
        <w:rPr>
          <w:kern w:val="0"/>
        </w:rPr>
      </w:pPr>
      <w:r>
        <w:rPr>
          <w:kern w:val="0"/>
        </w:rPr>
        <w:t xml:space="preserve">Keywords: Adult Patients Adjustability, Adverse Effect, Adverse Effects, Analysis, </w:t>
      </w:r>
      <w:r>
        <w:rPr>
          <w:kern w:val="0"/>
        </w:rPr>
        <w:lastRenderedPageBreak/>
        <w:t xml:space="preserve">Bias, Caries, Clinical, Comparison, Confidence, Discomfort, Dissertations, Duration, Eating, Effects, Fill, Fixed Appliances, Hygiene, Interval, Labial Orthodontics, Lingual Orthodontics, Literature, Materials, Meta-Analysis, Metaanalysis, Methods, Modalities, Nov, Oral, Outcomes, Pain, Protocol, Publication, Publication Bias, Pubmed, Quality, Randomized, Randomized Controlled Trials, Results, Review, Risk, Science, Sensitivity, Sensitivity Analysis, Systematic Review, Systematic Reviews, Theses, Treatment, Trim, Version, </w:t>
      </w:r>
      <w:r w:rsidR="00D5664A">
        <w:rPr>
          <w:kern w:val="0"/>
        </w:rPr>
        <w:t>Web</w:t>
      </w:r>
      <w:r w:rsidR="00427468">
        <w:rPr>
          <w:kern w:val="0"/>
        </w:rPr>
        <w:t xml:space="preserve"> of </w:t>
      </w:r>
      <w:r w:rsidR="00D5664A">
        <w:rPr>
          <w:kern w:val="0"/>
        </w:rPr>
        <w:t>Science</w:t>
      </w:r>
    </w:p>
    <w:p w:rsidR="004653DF" w:rsidRDefault="004653DF" w:rsidP="004653DF">
      <w:pPr>
        <w:pStyle w:val="a3"/>
        <w:rPr>
          <w:kern w:val="0"/>
        </w:rPr>
      </w:pPr>
      <w:r>
        <w:rPr>
          <w:rFonts w:hint="eastAsia"/>
          <w:kern w:val="0"/>
        </w:rPr>
        <w:t xml:space="preserve">? </w:t>
      </w:r>
      <w:r>
        <w:rPr>
          <w:kern w:val="0"/>
        </w:rPr>
        <w:t xml:space="preserve">Baumgartner, S., Pandis, N. and Eliades, T. (2014), Exploring the publications in three major orthodontic journals A comparative analysis of two 5-year periods. </w:t>
      </w:r>
      <w:r>
        <w:rPr>
          <w:i/>
          <w:iCs/>
          <w:kern w:val="0"/>
        </w:rPr>
        <w:t>Angle Orthodontist</w:t>
      </w:r>
      <w:r>
        <w:rPr>
          <w:kern w:val="0"/>
        </w:rPr>
        <w:t xml:space="preserve">, </w:t>
      </w:r>
      <w:r>
        <w:rPr>
          <w:b/>
          <w:bCs/>
          <w:kern w:val="0"/>
        </w:rPr>
        <w:t>84</w:t>
      </w:r>
      <w:r>
        <w:rPr>
          <w:kern w:val="0"/>
        </w:rPr>
        <w:t xml:space="preserve"> (3), 397-403.</w:t>
      </w:r>
    </w:p>
    <w:p w:rsidR="004653DF" w:rsidRDefault="004653DF" w:rsidP="004653DF">
      <w:pPr>
        <w:pStyle w:val="a3"/>
        <w:rPr>
          <w:kern w:val="0"/>
        </w:rPr>
      </w:pPr>
      <w:r>
        <w:rPr>
          <w:rFonts w:hint="eastAsia"/>
          <w:kern w:val="0"/>
        </w:rPr>
        <w:t xml:space="preserve">Full Text: </w:t>
      </w:r>
      <w:hyperlink r:id="rId791" w:history="1">
        <w:r w:rsidRPr="004653DF">
          <w:rPr>
            <w:rStyle w:val="a5"/>
            <w:kern w:val="0"/>
          </w:rPr>
          <w:t>2014\Ang Ort84, 397.pdf</w:t>
        </w:r>
      </w:hyperlink>
    </w:p>
    <w:p w:rsidR="004653DF" w:rsidRDefault="004653DF" w:rsidP="004653DF">
      <w:pPr>
        <w:pStyle w:val="a3"/>
        <w:rPr>
          <w:kern w:val="0"/>
        </w:rPr>
      </w:pPr>
      <w:r>
        <w:rPr>
          <w:kern w:val="0"/>
        </w:rPr>
        <w:t>Abstract: Objective: To analyze the types of articles and authorship characteristics of three orthodontic journals-American Journal of Orthodontics and Dentofacial Orthopedics (AJODO), The Angle Orthodontist (AO), and European Journal of Orthodontics (EJO)-published between 2008 and 2012 and to assess the differences in content within this period and an earlier period of 1998 to 2002. Materials and Methods: Each journal</w:t>
      </w:r>
      <w:r w:rsidR="00700038">
        <w:rPr>
          <w:kern w:val="0"/>
        </w:rPr>
        <w:t>’</w:t>
      </w:r>
      <w:r>
        <w:rPr>
          <w:kern w:val="0"/>
        </w:rPr>
        <w:t>s content was accessed through the web edition. From each article, the following parameters were recorded: article type, number of authors, number of affiliations, source of article (referring to the first author</w:t>
      </w:r>
      <w:r w:rsidR="00700038">
        <w:rPr>
          <w:kern w:val="0"/>
        </w:rPr>
        <w:t>’</w:t>
      </w:r>
      <w:r>
        <w:rPr>
          <w:kern w:val="0"/>
        </w:rPr>
        <w:t>s affiliation), and geographic origin. Descriptive statistics were performed and selected parameters were analyzed with the Pearson chi-square or Fisher exact test for independence at the .05 level of significance. Results: Review of differences between the two periods showed that the number of publications was almost double</w:t>
      </w:r>
      <w:r w:rsidR="00A37C1D">
        <w:rPr>
          <w:kern w:val="0"/>
        </w:rPr>
        <w:t>. The</w:t>
      </w:r>
      <w:r>
        <w:rPr>
          <w:kern w:val="0"/>
        </w:rPr>
        <w:t xml:space="preserve"> percentages of multi-authored articles increased. Fewer studies derived from the United States/Canada and European Union countries. Increases for articles from non-European Union countries, Asia, and other countries were found. Characteristics of the second period showed that the EJO and AO published more research articles, whereas the AJODO regularly published case reports and other articles. Approximately 75% of all studies derived from orthodontic departments. Conclusions: The publications from 1998-2002 and 2008-2012 were significantly different both in terms of numbers and characteristics. Within 2008-2012 there were notable differences between the three journals concerning the type and origin of the publications.</w:t>
      </w:r>
    </w:p>
    <w:p w:rsidR="004653DF" w:rsidRDefault="004653DF" w:rsidP="004653DF">
      <w:pPr>
        <w:pStyle w:val="a3"/>
        <w:rPr>
          <w:kern w:val="0"/>
        </w:rPr>
      </w:pPr>
      <w:r>
        <w:rPr>
          <w:kern w:val="0"/>
        </w:rPr>
        <w:t>Keywords: Affiliation, Analysis, Article, Article Characteristics, Articles, Asia, Authors, Authorship, Authorship Characteristics, Bibliometrics, Case Reports, Characteristics, Chi-Square, Citation-Classics, Descriptive Statistics, European Union, European Union Countries, First, Journal, Journals, Materials, Methods, Origin, Orthodontic Journals, Orthodontics, Orthopedics, Perspective, Publications, Research, Results, Review, Significance, Source, Statistics, Top-Cited Articles, Trends, Web</w:t>
      </w:r>
    </w:p>
    <w:p w:rsidR="00255930" w:rsidRDefault="00255930" w:rsidP="00255930">
      <w:pPr>
        <w:pStyle w:val="a3"/>
      </w:pPr>
      <w:r>
        <w:rPr>
          <w:rFonts w:hint="eastAsia"/>
        </w:rPr>
        <w:lastRenderedPageBreak/>
        <w:t xml:space="preserve">? </w:t>
      </w:r>
      <w:r>
        <w:t xml:space="preserve">Pacheco-Pereira, C., Canto, G.D., Major, P.W. and Flores-Mir, C. (2015), Variation of orthodontic treatment decision-making based on dental model type: A systematic review. </w:t>
      </w:r>
      <w:r>
        <w:rPr>
          <w:i/>
          <w:iCs/>
        </w:rPr>
        <w:t>Angle Orthodontist</w:t>
      </w:r>
      <w:r>
        <w:t xml:space="preserve">, </w:t>
      </w:r>
      <w:r>
        <w:rPr>
          <w:b/>
          <w:bCs/>
        </w:rPr>
        <w:t>85</w:t>
      </w:r>
      <w:r>
        <w:t xml:space="preserve"> (3), 501-509.</w:t>
      </w:r>
    </w:p>
    <w:p w:rsidR="00255930" w:rsidRDefault="00255930" w:rsidP="00255930">
      <w:pPr>
        <w:pStyle w:val="a3"/>
        <w:rPr>
          <w:kern w:val="0"/>
        </w:rPr>
      </w:pPr>
      <w:r>
        <w:rPr>
          <w:rFonts w:hint="eastAsia"/>
          <w:kern w:val="0"/>
        </w:rPr>
        <w:t xml:space="preserve">Full Text: </w:t>
      </w:r>
      <w:hyperlink r:id="rId792" w:history="1">
        <w:r w:rsidRPr="000943BD">
          <w:rPr>
            <w:rStyle w:val="a5"/>
            <w:kern w:val="0"/>
          </w:rPr>
          <w:t>2015\Ang Ort85, 501.pdf</w:t>
        </w:r>
      </w:hyperlink>
    </w:p>
    <w:p w:rsidR="00255930" w:rsidRDefault="00255930" w:rsidP="00255930">
      <w:pPr>
        <w:pStyle w:val="a3"/>
      </w:pPr>
      <w:r>
        <w:t>Abstract: Objective: To determine in which clinical scenarios digital models are valid as replacements for plaster models during orthodontic treatment decision-making process and treatment planning. Materials and Methods: An attempt to identify all pertinent published information was made. Retained articles were those where a decision-making process leading to differential orthodontic treatment plans based on either method were compared. The search was tailored for PubMed and adapted for EMBASE, MEDLINE, the Cochrane Library, LILACS, and Web of Science. A partial grey literature search was conducted through Google Scholar. References lists of the included articles were screened for potential relevant studies. The methodology of selected studies was evaluated using the Quality Assessment Tool for Diagnostic Accuracy Studies (QUADAS). Results: Only two studies were finally selected for the qualitative and quantitative synthesis. QUADAS results scores from selected studies ranged from 61% to 83% of 11 items evaluated. In one, the overall treatment plan regarding orthognathic surgery for Class II malocclusion changed in 13% to 22% of the cases. In the other one, 6% of the orthodontic treatment plans changed. Conclusion: Digital models could be used to replace plaster models in Class II malocclusion treatment planning.</w:t>
      </w:r>
    </w:p>
    <w:p w:rsidR="00255930" w:rsidRDefault="00255930" w:rsidP="00255930">
      <w:pPr>
        <w:pStyle w:val="a3"/>
      </w:pPr>
      <w:r>
        <w:t>Keywords: Accuracy, Clinical, Computational Formulation, Decision Making, Decision-Making, Decision-Making Process, Digital Models, Digital Models, Google Scholar, Information, Literature, Medline, Methodology, Model, Models, Orthodontics, Planning, Plaster Models, Plaster Models, Potential, Pubmed, Qualitative, Quality, Reliability, Review, Scenarios, Science, Space Analysis, Surgery, Synthesis, Systematic Review, Technology, Treatment, Treatment Planning, Validity, Web Of Science</w:t>
      </w:r>
    </w:p>
    <w:p w:rsidR="00BE0CB8" w:rsidRDefault="00BE0CB8" w:rsidP="00BE0CB8">
      <w:pPr>
        <w:pStyle w:val="1"/>
      </w:pPr>
      <w:r>
        <w:rPr>
          <w:b w:val="0"/>
        </w:rPr>
        <w:br w:type="page"/>
      </w:r>
      <w:bookmarkStart w:id="423" w:name="_Toc420814472"/>
      <w:r>
        <w:lastRenderedPageBreak/>
        <w:t xml:space="preserve">Title: </w:t>
      </w:r>
      <w:r>
        <w:rPr>
          <w:iCs w:val="0"/>
        </w:rPr>
        <w:t>Animal Behaviour</w:t>
      </w:r>
      <w:bookmarkEnd w:id="423"/>
    </w:p>
    <w:p w:rsidR="00BE0CB8" w:rsidRDefault="00BE0CB8" w:rsidP="00BE0CB8">
      <w:pPr>
        <w:pStyle w:val="12"/>
      </w:pPr>
      <w:r>
        <w:t xml:space="preserve">Full Journal Title: </w:t>
      </w:r>
      <w:r>
        <w:rPr>
          <w:iCs/>
          <w:kern w:val="0"/>
        </w:rPr>
        <w:t>Animal Behaviour</w:t>
      </w:r>
    </w:p>
    <w:p w:rsidR="00BE0CB8" w:rsidRDefault="00BE0CB8" w:rsidP="00BE0CB8">
      <w:pPr>
        <w:pStyle w:val="12"/>
      </w:pPr>
      <w:r>
        <w:t xml:space="preserve">ISO Abbreviated Title: </w:t>
      </w:r>
    </w:p>
    <w:p w:rsidR="00BE0CB8" w:rsidRDefault="00BE0CB8" w:rsidP="00BE0CB8">
      <w:pPr>
        <w:pStyle w:val="12"/>
      </w:pPr>
      <w:r>
        <w:t xml:space="preserve">JCR Abbreviated Title: </w:t>
      </w:r>
    </w:p>
    <w:p w:rsidR="00BE0CB8" w:rsidRDefault="00BE0CB8" w:rsidP="00BE0CB8">
      <w:pPr>
        <w:pStyle w:val="12"/>
      </w:pPr>
      <w:r>
        <w:t xml:space="preserve">ISSN: </w:t>
      </w:r>
    </w:p>
    <w:p w:rsidR="00BE0CB8" w:rsidRDefault="00BE0CB8" w:rsidP="00BE0CB8">
      <w:pPr>
        <w:pStyle w:val="12"/>
      </w:pPr>
      <w:r>
        <w:t xml:space="preserve">Issues/Year: </w:t>
      </w:r>
    </w:p>
    <w:p w:rsidR="00BE0CB8" w:rsidRDefault="00BE0CB8" w:rsidP="00BE0CB8">
      <w:pPr>
        <w:pStyle w:val="12"/>
      </w:pPr>
      <w:r>
        <w:t xml:space="preserve">Journal Country/Territory: </w:t>
      </w:r>
    </w:p>
    <w:p w:rsidR="00BE0CB8" w:rsidRDefault="00BE0CB8" w:rsidP="00BE0CB8">
      <w:pPr>
        <w:pStyle w:val="12"/>
      </w:pPr>
      <w:r>
        <w:t xml:space="preserve">Language: </w:t>
      </w:r>
    </w:p>
    <w:p w:rsidR="00BE0CB8" w:rsidRDefault="00BE0CB8" w:rsidP="00BE0CB8">
      <w:pPr>
        <w:pStyle w:val="12"/>
      </w:pPr>
      <w:r>
        <w:t xml:space="preserve">Publisher: </w:t>
      </w:r>
    </w:p>
    <w:p w:rsidR="00BE0CB8" w:rsidRDefault="00BE0CB8" w:rsidP="00BE0CB8">
      <w:pPr>
        <w:pStyle w:val="12"/>
      </w:pPr>
      <w:r>
        <w:t xml:space="preserve">Publisher Address: </w:t>
      </w:r>
    </w:p>
    <w:p w:rsidR="00BE0CB8" w:rsidRDefault="00BE0CB8" w:rsidP="00BE0CB8">
      <w:pPr>
        <w:pStyle w:val="12"/>
      </w:pPr>
      <w:r>
        <w:t xml:space="preserve">Subject Categories: </w:t>
      </w:r>
    </w:p>
    <w:p w:rsidR="00BE0CB8" w:rsidRDefault="00BE0CB8" w:rsidP="00BE0CB8">
      <w:pPr>
        <w:pStyle w:val="12"/>
      </w:pPr>
      <w:r>
        <w:t xml:space="preserve">: Impact Factor </w:t>
      </w:r>
    </w:p>
    <w:p w:rsidR="00BE0CB8" w:rsidRDefault="00BE0CB8" w:rsidP="00BE0CB8">
      <w:pPr>
        <w:pStyle w:val="a3"/>
        <w:rPr>
          <w:kern w:val="0"/>
        </w:rPr>
      </w:pPr>
      <w:r>
        <w:rPr>
          <w:kern w:val="0"/>
        </w:rPr>
        <w:t>? Bee, M.A., Schwartz, J.J.</w:t>
      </w:r>
      <w:r w:rsidR="005853A9">
        <w:rPr>
          <w:kern w:val="0"/>
        </w:rPr>
        <w:t xml:space="preserve"> and </w:t>
      </w:r>
      <w:r>
        <w:rPr>
          <w:kern w:val="0"/>
        </w:rPr>
        <w:t>Summers, K. (2013), All</w:t>
      </w:r>
      <w:r w:rsidR="00700038">
        <w:rPr>
          <w:kern w:val="0"/>
        </w:rPr>
        <w:t>’</w:t>
      </w:r>
      <w:r>
        <w:rPr>
          <w:kern w:val="0"/>
        </w:rPr>
        <w:t>s well that begins Wells: Celebrating 60 years</w:t>
      </w:r>
      <w:r w:rsidR="00427468">
        <w:rPr>
          <w:kern w:val="0"/>
        </w:rPr>
        <w:t xml:space="preserve"> of </w:t>
      </w:r>
      <w:r>
        <w:rPr>
          <w:i/>
          <w:kern w:val="0"/>
        </w:rPr>
        <w:t>Animal Behaviour</w:t>
      </w:r>
      <w:r w:rsidR="005853A9">
        <w:rPr>
          <w:kern w:val="0"/>
        </w:rPr>
        <w:t xml:space="preserve"> and </w:t>
      </w:r>
      <w:r>
        <w:rPr>
          <w:kern w:val="0"/>
        </w:rPr>
        <w:t>36 years</w:t>
      </w:r>
      <w:r w:rsidR="00427468">
        <w:rPr>
          <w:kern w:val="0"/>
        </w:rPr>
        <w:t xml:space="preserve"> of </w:t>
      </w:r>
      <w:r>
        <w:rPr>
          <w:kern w:val="0"/>
        </w:rPr>
        <w:t xml:space="preserve">research on anuran social behaviour. </w:t>
      </w:r>
      <w:r>
        <w:rPr>
          <w:i/>
          <w:iCs/>
          <w:kern w:val="0"/>
        </w:rPr>
        <w:t>Animal Behaviour</w:t>
      </w:r>
      <w:r>
        <w:rPr>
          <w:kern w:val="0"/>
        </w:rPr>
        <w:t xml:space="preserve">, </w:t>
      </w:r>
      <w:r>
        <w:rPr>
          <w:b/>
          <w:bCs/>
          <w:kern w:val="0"/>
        </w:rPr>
        <w:t>85</w:t>
      </w:r>
      <w:r>
        <w:rPr>
          <w:kern w:val="0"/>
        </w:rPr>
        <w:t xml:space="preserve"> (1), 5-18.</w:t>
      </w:r>
    </w:p>
    <w:p w:rsidR="00BE0CB8" w:rsidRDefault="00BE0CB8" w:rsidP="00BE0CB8">
      <w:pPr>
        <w:pStyle w:val="a3"/>
        <w:rPr>
          <w:kern w:val="0"/>
        </w:rPr>
      </w:pPr>
      <w:r>
        <w:rPr>
          <w:kern w:val="0"/>
        </w:rPr>
        <w:t xml:space="preserve">Full Text: </w:t>
      </w:r>
      <w:hyperlink r:id="rId793" w:history="1">
        <w:r>
          <w:rPr>
            <w:rStyle w:val="a5"/>
          </w:rPr>
          <w:t>2013\Ani Beh85, 5.pdf</w:t>
        </w:r>
      </w:hyperlink>
    </w:p>
    <w:p w:rsidR="00BE0CB8" w:rsidRDefault="00BE0CB8" w:rsidP="00BE0CB8">
      <w:pPr>
        <w:pStyle w:val="a3"/>
        <w:rPr>
          <w:kern w:val="0"/>
        </w:rPr>
      </w:pPr>
      <w:r>
        <w:rPr>
          <w:kern w:val="0"/>
        </w:rPr>
        <w:t>Abstract: The scientific study</w:t>
      </w:r>
      <w:r w:rsidR="00427468">
        <w:rPr>
          <w:kern w:val="0"/>
        </w:rPr>
        <w:t xml:space="preserve"> of </w:t>
      </w:r>
      <w:r>
        <w:rPr>
          <w:kern w:val="0"/>
        </w:rPr>
        <w:t>frogs</w:t>
      </w:r>
      <w:r w:rsidR="005853A9">
        <w:rPr>
          <w:kern w:val="0"/>
        </w:rPr>
        <w:t xml:space="preserve"> and </w:t>
      </w:r>
      <w:r>
        <w:rPr>
          <w:kern w:val="0"/>
        </w:rPr>
        <w:t xml:space="preserve">toads as important systems in behavioural ecology traces its roots to an influential review published in this journal 36 years ago (Wells 1977a, </w:t>
      </w:r>
      <w:r w:rsidR="00700038">
        <w:rPr>
          <w:kern w:val="0"/>
        </w:rPr>
        <w:t>‘</w:t>
      </w:r>
      <w:r>
        <w:rPr>
          <w:kern w:val="0"/>
        </w:rPr>
        <w:t>The social behaviour</w:t>
      </w:r>
      <w:r w:rsidR="00427468">
        <w:rPr>
          <w:kern w:val="0"/>
        </w:rPr>
        <w:t xml:space="preserve"> of </w:t>
      </w:r>
      <w:r>
        <w:rPr>
          <w:kern w:val="0"/>
        </w:rPr>
        <w:t>anuran amphibians</w:t>
      </w:r>
      <w:r w:rsidR="00700038">
        <w:rPr>
          <w:kern w:val="0"/>
        </w:rPr>
        <w:t>’</w:t>
      </w:r>
      <w:r>
        <w:rPr>
          <w:kern w:val="0"/>
        </w:rPr>
        <w:t>, Animal Behaviour, 25, 666-693). In just 28 pages, Wells summarized the state</w:t>
      </w:r>
      <w:r w:rsidR="00427468">
        <w:rPr>
          <w:kern w:val="0"/>
        </w:rPr>
        <w:t xml:space="preserve"> of </w:t>
      </w:r>
      <w:r>
        <w:rPr>
          <w:kern w:val="0"/>
        </w:rPr>
        <w:t>knowledge on important behaviours associated with anuran breeding</w:t>
      </w:r>
      <w:r w:rsidR="005853A9">
        <w:rPr>
          <w:kern w:val="0"/>
        </w:rPr>
        <w:t xml:space="preserve"> and </w:t>
      </w:r>
      <w:r>
        <w:rPr>
          <w:kern w:val="0"/>
        </w:rPr>
        <w:t xml:space="preserve">introduced an evolutionary framework </w:t>
      </w:r>
      <w:r w:rsidR="00700038">
        <w:rPr>
          <w:kern w:val="0"/>
        </w:rPr>
        <w:t>‘</w:t>
      </w:r>
      <w:r>
        <w:rPr>
          <w:kern w:val="0"/>
        </w:rPr>
        <w:t>for understanding the relationship between social behaviour</w:t>
      </w:r>
      <w:r w:rsidR="005853A9">
        <w:rPr>
          <w:kern w:val="0"/>
        </w:rPr>
        <w:t xml:space="preserve"> and </w:t>
      </w:r>
      <w:r>
        <w:rPr>
          <w:kern w:val="0"/>
        </w:rPr>
        <w:t>ecology</w:t>
      </w:r>
      <w:r w:rsidR="00700038">
        <w:rPr>
          <w:kern w:val="0"/>
        </w:rPr>
        <w:t>’</w:t>
      </w:r>
      <w:r>
        <w:rPr>
          <w:kern w:val="0"/>
        </w:rPr>
        <w:t xml:space="preserve"> (page 666) that was largely lacking in earlier treatments</w:t>
      </w:r>
      <w:r w:rsidR="00427468">
        <w:rPr>
          <w:kern w:val="0"/>
        </w:rPr>
        <w:t xml:space="preserve"> of </w:t>
      </w:r>
      <w:r>
        <w:rPr>
          <w:kern w:val="0"/>
        </w:rPr>
        <w:t>this group. Not only is Wells</w:t>
      </w:r>
      <w:r w:rsidR="00700038">
        <w:rPr>
          <w:kern w:val="0"/>
        </w:rPr>
        <w:t>’</w:t>
      </w:r>
      <w:r>
        <w:rPr>
          <w:kern w:val="0"/>
        </w:rPr>
        <w:t>s review one</w:t>
      </w:r>
      <w:r w:rsidR="00427468">
        <w:rPr>
          <w:kern w:val="0"/>
        </w:rPr>
        <w:t xml:space="preserve"> of </w:t>
      </w:r>
      <w:r>
        <w:rPr>
          <w:kern w:val="0"/>
        </w:rPr>
        <w:t>the most cited papers ever published in Animal Behaviour, it is also responsible for setting broad research agendas</w:t>
      </w:r>
      <w:r w:rsidR="005853A9">
        <w:rPr>
          <w:kern w:val="0"/>
        </w:rPr>
        <w:t xml:space="preserve"> and </w:t>
      </w:r>
      <w:r>
        <w:rPr>
          <w:kern w:val="0"/>
        </w:rPr>
        <w:t>shaping much</w:t>
      </w:r>
      <w:r w:rsidR="00427468">
        <w:rPr>
          <w:kern w:val="0"/>
        </w:rPr>
        <w:t xml:space="preserve"> of </w:t>
      </w:r>
      <w:r>
        <w:rPr>
          <w:kern w:val="0"/>
        </w:rPr>
        <w:t>our current thinking on social behaviour in an entire order</w:t>
      </w:r>
      <w:r w:rsidR="00427468">
        <w:rPr>
          <w:kern w:val="0"/>
        </w:rPr>
        <w:t xml:space="preserve"> of </w:t>
      </w:r>
      <w:r>
        <w:rPr>
          <w:kern w:val="0"/>
        </w:rPr>
        <w:t>vertebrates. As such, it is entirely appropriate that we honour Wells</w:t>
      </w:r>
      <w:r w:rsidR="00700038">
        <w:rPr>
          <w:kern w:val="0"/>
        </w:rPr>
        <w:t>’</w:t>
      </w:r>
      <w:r>
        <w:rPr>
          <w:kern w:val="0"/>
        </w:rPr>
        <w:t>s review</w:t>
      </w:r>
      <w:r w:rsidR="005853A9">
        <w:rPr>
          <w:kern w:val="0"/>
        </w:rPr>
        <w:t xml:space="preserve"> and </w:t>
      </w:r>
      <w:r>
        <w:rPr>
          <w:kern w:val="0"/>
        </w:rPr>
        <w:t>its contributions to the study</w:t>
      </w:r>
      <w:r w:rsidR="00427468">
        <w:rPr>
          <w:kern w:val="0"/>
        </w:rPr>
        <w:t xml:space="preserve"> of </w:t>
      </w:r>
      <w:r>
        <w:rPr>
          <w:kern w:val="0"/>
        </w:rPr>
        <w:t>animal behaviour in this inaugural essay celebrating 12 papers selected by the community as the most influential papers published in the 60-year history</w:t>
      </w:r>
      <w:r w:rsidR="00427468">
        <w:rPr>
          <w:kern w:val="0"/>
        </w:rPr>
        <w:t xml:space="preserve"> of </w:t>
      </w:r>
      <w:r>
        <w:rPr>
          <w:kern w:val="0"/>
        </w:rPr>
        <w:t>Animal Behaviour. In our essay, we place Wells</w:t>
      </w:r>
      <w:r w:rsidR="00700038">
        <w:rPr>
          <w:kern w:val="0"/>
        </w:rPr>
        <w:t>’</w:t>
      </w:r>
      <w:r>
        <w:rPr>
          <w:kern w:val="0"/>
        </w:rPr>
        <w:t>s review in historical context at the dawn</w:t>
      </w:r>
      <w:r w:rsidR="00427468">
        <w:rPr>
          <w:kern w:val="0"/>
        </w:rPr>
        <w:t xml:space="preserve"> of </w:t>
      </w:r>
      <w:r>
        <w:rPr>
          <w:kern w:val="0"/>
        </w:rPr>
        <w:t>behavioural ecology, highlight the field</w:t>
      </w:r>
      <w:r w:rsidR="00700038">
        <w:rPr>
          <w:kern w:val="0"/>
        </w:rPr>
        <w:t>’</w:t>
      </w:r>
      <w:r>
        <w:rPr>
          <w:kern w:val="0"/>
        </w:rPr>
        <w:t>s progress in answering some major research questions outlined in the review,</w:t>
      </w:r>
      <w:r w:rsidR="005853A9">
        <w:rPr>
          <w:kern w:val="0"/>
        </w:rPr>
        <w:t xml:space="preserve"> and </w:t>
      </w:r>
      <w:r>
        <w:rPr>
          <w:kern w:val="0"/>
        </w:rPr>
        <w:t>provide our own prospectus for future research on the social behaviour</w:t>
      </w:r>
      <w:r w:rsidR="00427468">
        <w:rPr>
          <w:kern w:val="0"/>
        </w:rPr>
        <w:t xml:space="preserve"> of </w:t>
      </w:r>
      <w:r>
        <w:rPr>
          <w:kern w:val="0"/>
        </w:rPr>
        <w:t>anuran amphibians. (C) 2012 The Association for the Study</w:t>
      </w:r>
      <w:r w:rsidR="00427468">
        <w:rPr>
          <w:kern w:val="0"/>
        </w:rPr>
        <w:t xml:space="preserve"> of </w:t>
      </w:r>
      <w:r>
        <w:rPr>
          <w:kern w:val="0"/>
        </w:rPr>
        <w:t>Animal Behaviour. Published by Elsevier Ltd. All rights reserved.</w:t>
      </w:r>
    </w:p>
    <w:p w:rsidR="00BE0CB8" w:rsidRDefault="00BE0CB8" w:rsidP="00BE0CB8">
      <w:pPr>
        <w:pStyle w:val="a3"/>
        <w:rPr>
          <w:kern w:val="0"/>
        </w:rPr>
      </w:pPr>
      <w:r>
        <w:rPr>
          <w:kern w:val="0"/>
        </w:rPr>
        <w:t xml:space="preserve">Keywords: Aggression, Anuran, Behaviour, Call Timing, Chorus, Community, Context, Dart-Poison Frog, Ecology, Energetics, Framework, Graded Aggressive Calls, Great-Plains Toad, History, Journal, Knowledge, Male Calling Behavior, Male </w:t>
      </w:r>
      <w:r>
        <w:rPr>
          <w:kern w:val="0"/>
        </w:rPr>
        <w:lastRenderedPageBreak/>
        <w:t>Green Frogs, Male Mating Success, Mate Choice, Neighbor-Stranger Discrimination, Papers, Parental Care, Progress, Research, Review, Rights, Social, Social Behaviour, State, Systems, Territorial-Male Bullfrogs, Toad Bufo-Woodhousei, Treefrog Hyla-Microcephala, Understanding, Vertebrates</w:t>
      </w:r>
    </w:p>
    <w:p w:rsidR="003474F2" w:rsidRPr="001A3D2B" w:rsidRDefault="003474F2" w:rsidP="003474F2">
      <w:pPr>
        <w:pStyle w:val="1"/>
      </w:pPr>
      <w:r w:rsidRPr="001A3D2B">
        <w:br w:type="page"/>
      </w:r>
      <w:bookmarkStart w:id="424" w:name="_Toc420814473"/>
      <w:r w:rsidRPr="001A3D2B">
        <w:lastRenderedPageBreak/>
        <w:t>Title: Animal Breeding Abstracts</w:t>
      </w:r>
      <w:bookmarkEnd w:id="424"/>
    </w:p>
    <w:p w:rsidR="003474F2" w:rsidRPr="001A3D2B" w:rsidRDefault="003474F2" w:rsidP="003474F2">
      <w:pPr>
        <w:pStyle w:val="12"/>
      </w:pPr>
      <w:r w:rsidRPr="001A3D2B">
        <w:t>Full Journal Title: Animal Breeding Abstracts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0003-3499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w:t>
      </w:r>
    </w:p>
    <w:p w:rsidR="003474F2" w:rsidRPr="001A3D2B" w:rsidRDefault="003474F2" w:rsidP="003474F2">
      <w:pPr>
        <w:pStyle w:val="a3"/>
      </w:pPr>
      <w:r w:rsidRPr="001A3D2B">
        <w:t>? Russell, J.</w:t>
      </w:r>
      <w:r w:rsidR="005853A9">
        <w:t xml:space="preserve"> and </w:t>
      </w:r>
      <w:r w:rsidRPr="001A3D2B">
        <w:t>Galina, C. (1987), Research</w:t>
      </w:r>
      <w:r w:rsidR="005853A9">
        <w:t xml:space="preserve"> and </w:t>
      </w:r>
      <w:r w:rsidRPr="001A3D2B">
        <w:t>publishing trends in cattle reproduction in</w:t>
      </w:r>
      <w:r w:rsidR="003A1917">
        <w:t xml:space="preserve"> the </w:t>
      </w:r>
      <w:r w:rsidRPr="001A3D2B">
        <w:t xml:space="preserve">tropics: Part 2. A Third World prerogative. </w:t>
      </w:r>
      <w:r w:rsidRPr="001A3D2B">
        <w:rPr>
          <w:i/>
          <w:iCs/>
        </w:rPr>
        <w:t>Animal Breeding Abstracts</w:t>
      </w:r>
      <w:r w:rsidRPr="001A3D2B">
        <w:t xml:space="preserve">, </w:t>
      </w:r>
      <w:r w:rsidRPr="001A3D2B">
        <w:rPr>
          <w:b/>
          <w:bCs/>
        </w:rPr>
        <w:t>55</w:t>
      </w:r>
      <w:r w:rsidRPr="001A3D2B">
        <w:t xml:space="preserve"> (11), 819-828.</w:t>
      </w:r>
    </w:p>
    <w:p w:rsidR="003474F2" w:rsidRPr="001A3D2B" w:rsidRDefault="003474F2" w:rsidP="003474F2">
      <w:pPr>
        <w:pStyle w:val="a3"/>
      </w:pPr>
      <w:r w:rsidRPr="001A3D2B">
        <w:t>Abstract: A bibliometric analysis</w:t>
      </w:r>
      <w:r w:rsidR="00427468">
        <w:t xml:space="preserve"> of </w:t>
      </w:r>
      <w:r w:rsidRPr="001A3D2B">
        <w:t>documents published on</w:t>
      </w:r>
      <w:r w:rsidR="003A1917">
        <w:t xml:space="preserve"> the </w:t>
      </w:r>
      <w:r w:rsidRPr="001A3D2B">
        <w:t>subject</w:t>
      </w:r>
      <w:r w:rsidR="00427468">
        <w:t xml:space="preserve"> of </w:t>
      </w:r>
      <w:r w:rsidRPr="001A3D2B">
        <w:t>cattle reproduction in</w:t>
      </w:r>
      <w:r w:rsidR="003A1917">
        <w:t xml:space="preserve"> the </w:t>
      </w:r>
      <w:r w:rsidRPr="001A3D2B">
        <w:t>tropics,</w:t>
      </w:r>
      <w:r w:rsidR="005853A9">
        <w:t xml:space="preserve"> and </w:t>
      </w:r>
      <w:r w:rsidRPr="001A3D2B">
        <w:t>indexed in</w:t>
      </w:r>
      <w:r w:rsidR="003A1917">
        <w:t xml:space="preserve"> the </w:t>
      </w:r>
      <w:r w:rsidRPr="001A3D2B">
        <w:t>CAB Abstracts database, showed a marked participation</w:t>
      </w:r>
      <w:r w:rsidR="00427468">
        <w:t xml:space="preserve"> of </w:t>
      </w:r>
      <w:r w:rsidR="003A1917">
        <w:t xml:space="preserve">the </w:t>
      </w:r>
      <w:r w:rsidRPr="001A3D2B">
        <w:t>Third World in this field</w:t>
      </w:r>
      <w:r w:rsidR="00427468">
        <w:t xml:space="preserve"> of </w:t>
      </w:r>
      <w:r w:rsidRPr="001A3D2B">
        <w:t>research. A small number</w:t>
      </w:r>
      <w:r w:rsidR="00427468">
        <w:t xml:space="preserve"> of </w:t>
      </w:r>
      <w:r w:rsidRPr="001A3D2B">
        <w:t>these studies reached</w:t>
      </w:r>
      <w:r w:rsidR="003A1917">
        <w:t xml:space="preserve"> the </w:t>
      </w:r>
      <w:r w:rsidRPr="001A3D2B">
        <w:t>mainstream scientific literature, as publication occurrred to a large extent through national journals, as well as in non-conventional document formats, particularly conference proceedings</w:t>
      </w:r>
      <w:r w:rsidR="005853A9">
        <w:t xml:space="preserve"> and </w:t>
      </w:r>
      <w:r w:rsidRPr="001A3D2B">
        <w:t>theses. Devoloping countries showed a notable preference for publishing in their native language</w:t>
      </w:r>
      <w:r w:rsidR="00A37C1D">
        <w:t>. The</w:t>
      </w:r>
      <w:r w:rsidR="003A1917">
        <w:t xml:space="preserve"> </w:t>
      </w:r>
      <w:r w:rsidRPr="001A3D2B">
        <w:t>main obstacle limiting</w:t>
      </w:r>
      <w:r w:rsidR="003A1917">
        <w:t xml:space="preserve"> the </w:t>
      </w:r>
      <w:r w:rsidRPr="001A3D2B">
        <w:t>world-wide dissemination</w:t>
      </w:r>
      <w:r w:rsidR="00427468">
        <w:t xml:space="preserve"> of </w:t>
      </w:r>
      <w:r w:rsidRPr="001A3D2B">
        <w:t>Third World research appears to be</w:t>
      </w:r>
      <w:r w:rsidR="003A1917">
        <w:t xml:space="preserve"> the </w:t>
      </w:r>
      <w:r w:rsidRPr="001A3D2B">
        <w:t>difficulties involved in distributing copies</w:t>
      </w:r>
      <w:r w:rsidR="00427468">
        <w:t xml:space="preserve"> of </w:t>
      </w:r>
      <w:r w:rsidRPr="001A3D2B">
        <w:t>documents published in these regions, as well as language barriers restricting</w:t>
      </w:r>
      <w:r w:rsidR="003A1917">
        <w:t xml:space="preserve"> the </w:t>
      </w:r>
      <w:r w:rsidRPr="001A3D2B">
        <w:t>assimilation</w:t>
      </w:r>
      <w:r w:rsidR="005853A9">
        <w:t xml:space="preserve"> and </w:t>
      </w:r>
      <w:r w:rsidRPr="001A3D2B">
        <w:t>use</w:t>
      </w:r>
      <w:r w:rsidR="00427468">
        <w:t xml:space="preserve"> of </w:t>
      </w:r>
      <w:r w:rsidR="003A1917">
        <w:t xml:space="preserve">the </w:t>
      </w:r>
      <w:r w:rsidRPr="001A3D2B">
        <w:t>information they contain.</w:t>
      </w:r>
    </w:p>
    <w:p w:rsidR="003474F2" w:rsidRPr="001A3D2B" w:rsidRDefault="003474F2" w:rsidP="003474F2">
      <w:pPr>
        <w:pStyle w:val="a3"/>
      </w:pPr>
      <w:r w:rsidRPr="001A3D2B">
        <w:t>Keywords: Analysis, Barriers, Bibliometric, Bibliometric Analysis, Cattle, Database, Field, Information, Journals, Literature, Participation, Preference, Publication, Publishing, Reproduction, Research, Scientific Literature, Small, Trends</w:t>
      </w:r>
    </w:p>
    <w:p w:rsidR="000F592F" w:rsidRPr="001A3D2B" w:rsidRDefault="000F592F" w:rsidP="000F592F">
      <w:pPr>
        <w:pStyle w:val="1"/>
        <w:rPr>
          <w:lang w:val="de-DE"/>
        </w:rPr>
      </w:pPr>
      <w:r w:rsidRPr="001A3D2B">
        <w:rPr>
          <w:lang w:val="de-DE"/>
        </w:rPr>
        <w:br w:type="page"/>
      </w:r>
      <w:bookmarkStart w:id="425" w:name="_Toc420814474"/>
      <w:r w:rsidRPr="001A3D2B">
        <w:rPr>
          <w:lang w:val="de-DE"/>
        </w:rPr>
        <w:lastRenderedPageBreak/>
        <w:t xml:space="preserve">Title: </w:t>
      </w:r>
      <w:r w:rsidRPr="000F592F">
        <w:t>Animal Health Research Reviews</w:t>
      </w:r>
      <w:bookmarkEnd w:id="425"/>
    </w:p>
    <w:p w:rsidR="000F592F" w:rsidRPr="001A3D2B" w:rsidRDefault="000F592F" w:rsidP="000F592F">
      <w:pPr>
        <w:pStyle w:val="12"/>
        <w:rPr>
          <w:lang w:val="de-DE"/>
        </w:rPr>
      </w:pPr>
      <w:r w:rsidRPr="001A3D2B">
        <w:rPr>
          <w:lang w:val="de-DE"/>
        </w:rPr>
        <w:t xml:space="preserve">Full Journal Title: </w:t>
      </w:r>
      <w:r w:rsidRPr="000F592F">
        <w:rPr>
          <w:iCs/>
          <w:kern w:val="0"/>
        </w:rPr>
        <w:t>Animal Health Research Reviews</w:t>
      </w:r>
    </w:p>
    <w:p w:rsidR="000F592F" w:rsidRPr="001A3D2B" w:rsidRDefault="000F592F" w:rsidP="000F592F">
      <w:pPr>
        <w:pStyle w:val="12"/>
      </w:pPr>
      <w:r w:rsidRPr="001A3D2B">
        <w:t xml:space="preserve">ISO Abbreviated Title: </w:t>
      </w:r>
    </w:p>
    <w:p w:rsidR="000F592F" w:rsidRPr="001A3D2B" w:rsidRDefault="000F592F" w:rsidP="000F592F">
      <w:pPr>
        <w:pStyle w:val="12"/>
      </w:pPr>
      <w:r w:rsidRPr="001A3D2B">
        <w:t xml:space="preserve">JCR Abbreviated Title: </w:t>
      </w:r>
    </w:p>
    <w:p w:rsidR="000F592F" w:rsidRPr="001A3D2B" w:rsidRDefault="000F592F" w:rsidP="000F592F">
      <w:pPr>
        <w:pStyle w:val="12"/>
      </w:pPr>
      <w:r>
        <w:t xml:space="preserve">ISSN: </w:t>
      </w:r>
    </w:p>
    <w:p w:rsidR="000F592F" w:rsidRPr="001A3D2B" w:rsidRDefault="000F592F" w:rsidP="000F592F">
      <w:pPr>
        <w:pStyle w:val="12"/>
      </w:pPr>
      <w:r w:rsidRPr="001A3D2B">
        <w:t xml:space="preserve">Issues/Year: </w:t>
      </w:r>
    </w:p>
    <w:p w:rsidR="000F592F" w:rsidRPr="001A3D2B" w:rsidRDefault="000F592F" w:rsidP="000F592F">
      <w:pPr>
        <w:pStyle w:val="12"/>
      </w:pPr>
      <w:r w:rsidRPr="001A3D2B">
        <w:t xml:space="preserve">Journal Country/Territory: </w:t>
      </w:r>
    </w:p>
    <w:p w:rsidR="000F592F" w:rsidRPr="001A3D2B" w:rsidRDefault="000F592F" w:rsidP="000F592F">
      <w:pPr>
        <w:pStyle w:val="12"/>
      </w:pPr>
      <w:r w:rsidRPr="001A3D2B">
        <w:t xml:space="preserve">Language: </w:t>
      </w:r>
    </w:p>
    <w:p w:rsidR="000F592F" w:rsidRPr="001A3D2B" w:rsidRDefault="000F592F" w:rsidP="000F592F">
      <w:pPr>
        <w:pStyle w:val="12"/>
      </w:pPr>
      <w:r w:rsidRPr="001A3D2B">
        <w:t xml:space="preserve">Publisher: </w:t>
      </w:r>
    </w:p>
    <w:p w:rsidR="000F592F" w:rsidRPr="001A3D2B" w:rsidRDefault="000F592F" w:rsidP="000F592F">
      <w:pPr>
        <w:pStyle w:val="12"/>
      </w:pPr>
      <w:r w:rsidRPr="001A3D2B">
        <w:t xml:space="preserve">Publisher Address: </w:t>
      </w:r>
    </w:p>
    <w:p w:rsidR="000F592F" w:rsidRPr="001A3D2B" w:rsidRDefault="000F592F" w:rsidP="000F592F">
      <w:pPr>
        <w:pStyle w:val="12"/>
      </w:pPr>
      <w:r w:rsidRPr="001A3D2B">
        <w:t xml:space="preserve">Subject Categories: </w:t>
      </w:r>
    </w:p>
    <w:p w:rsidR="000F592F" w:rsidRPr="001A3D2B" w:rsidRDefault="000F592F" w:rsidP="000F592F">
      <w:pPr>
        <w:pStyle w:val="12"/>
      </w:pPr>
      <w:r w:rsidRPr="001A3D2B">
        <w:t>: Impact Factor</w:t>
      </w:r>
    </w:p>
    <w:p w:rsidR="000F592F" w:rsidRDefault="000F592F" w:rsidP="000F592F">
      <w:pPr>
        <w:pStyle w:val="a3"/>
        <w:rPr>
          <w:kern w:val="0"/>
        </w:rPr>
      </w:pPr>
      <w:r>
        <w:rPr>
          <w:rFonts w:hint="eastAsia"/>
          <w:kern w:val="0"/>
        </w:rPr>
        <w:t xml:space="preserve">? </w:t>
      </w:r>
      <w:r>
        <w:rPr>
          <w:kern w:val="0"/>
        </w:rPr>
        <w:t>Dzikamunhenga, R.S., Anthony, R., Coetzee, J., Gould, S., Johnson, A., Karriker, L., McKean, J., Millman, S.T., Niekamp, S.R. and O</w:t>
      </w:r>
      <w:r w:rsidR="00700038">
        <w:rPr>
          <w:kern w:val="0"/>
        </w:rPr>
        <w:t>’</w:t>
      </w:r>
      <w:r>
        <w:rPr>
          <w:kern w:val="0"/>
        </w:rPr>
        <w:t xml:space="preserve">Connor, A.M. (2014), Pain management in the neonatal piglet during routine management procedures. Part 1: A systematic review of randomized and non-randomized intervention studies. </w:t>
      </w:r>
      <w:r w:rsidRPr="000F592F">
        <w:rPr>
          <w:i/>
          <w:iCs/>
          <w:kern w:val="0"/>
        </w:rPr>
        <w:t>Animal Health Research Reviews</w:t>
      </w:r>
      <w:r>
        <w:rPr>
          <w:kern w:val="0"/>
        </w:rPr>
        <w:t xml:space="preserve">, </w:t>
      </w:r>
      <w:r>
        <w:rPr>
          <w:b/>
          <w:bCs/>
          <w:kern w:val="0"/>
        </w:rPr>
        <w:t>15</w:t>
      </w:r>
      <w:r>
        <w:rPr>
          <w:kern w:val="0"/>
        </w:rPr>
        <w:t xml:space="preserve"> (1), 14-38.</w:t>
      </w:r>
    </w:p>
    <w:p w:rsidR="000F592F" w:rsidRDefault="000F592F" w:rsidP="000F592F">
      <w:pPr>
        <w:pStyle w:val="a3"/>
        <w:rPr>
          <w:kern w:val="0"/>
        </w:rPr>
      </w:pPr>
      <w:r>
        <w:rPr>
          <w:rFonts w:hint="eastAsia"/>
          <w:kern w:val="0"/>
        </w:rPr>
        <w:t xml:space="preserve">Full Text: </w:t>
      </w:r>
      <w:hyperlink r:id="rId794" w:history="1">
        <w:r w:rsidRPr="000F592F">
          <w:rPr>
            <w:rStyle w:val="a5"/>
            <w:kern w:val="0"/>
          </w:rPr>
          <w:t>2014\Ani Hea Res Rev15, 14.pdf</w:t>
        </w:r>
      </w:hyperlink>
    </w:p>
    <w:p w:rsidR="000F592F" w:rsidRDefault="000F592F" w:rsidP="000F592F">
      <w:pPr>
        <w:pStyle w:val="a3"/>
        <w:rPr>
          <w:kern w:val="0"/>
        </w:rPr>
      </w:pPr>
      <w:r>
        <w:rPr>
          <w:kern w:val="0"/>
        </w:rPr>
        <w:t xml:space="preserve">Abstract: Routine procedures carried out on piglets (i.e. castration, tail docking, teeth clipping, and ear notching) are considered painful. Unfortunately the efficacy of current pain mitigation modalities is poorly understood. The aim of this systematic review was to synthesize the existing primary scientific literature regarding the effectiveness of pain management interventions used for routine procedures on piglets. The review question was, </w:t>
      </w:r>
      <w:r w:rsidR="00700038">
        <w:rPr>
          <w:kern w:val="0"/>
        </w:rPr>
        <w:t>‘</w:t>
      </w:r>
      <w:r>
        <w:rPr>
          <w:kern w:val="0"/>
        </w:rPr>
        <w:t>In piglets under twenty-eight days old, undergoing castration, tail docking, teeth clipping, and/or methods of identification that involve cutting of the ear tissue, what is the effect of pain mitigation compared with no pain mitigation on behavioral and non-behavioral outcomes that indicate procedural pain and post-procedural pain?</w:t>
      </w:r>
      <w:r w:rsidR="00700038">
        <w:rPr>
          <w:kern w:val="0"/>
        </w:rPr>
        <w:t>’</w:t>
      </w:r>
      <w:r>
        <w:rPr>
          <w:kern w:val="0"/>
        </w:rPr>
        <w:t xml:space="preserve"> A review protocol was designed a priori. Data sources used were Agricola (EBSCO), CAB Abstracts (Thomson Reuters), PubMed, Web of Science (Thomson Reuters), BIOSIS Previews (Thomson Reuters), and ProQuest Dissertations &amp; Theses Full Text. No restrictions on year of publication or language were placed on the search. Eligible studies assessed an intervention designed to mitigate the pain of the procedures of interest and included a comparison group that did not receive an intervention. Eligible non-English studies were translated using a translation service. Two reviewers independently screened titles and abstracts for relevance using pre-defined questions. Data were extracted from relevant articles onto pre-defined forms. From the 2203 retrieved citations forty publications, </w:t>
      </w:r>
      <w:r>
        <w:rPr>
          <w:kern w:val="0"/>
        </w:rPr>
        <w:lastRenderedPageBreak/>
        <w:t>containing 52 studies met the eligibility criteria. In 40 studies, piglets underwent castration only. In seven studies, piglets underwent tail docking only. In one study, piglets underwent teeth clipping only, and in one study piglets underwent ear notching only. Three studies used multiple procedures. Thirty-two trial arms assessed general anesthesia protocols, 30 trial arms assessed local anesthetic protocols, and 28 trial arms assessed non-steroidal anti-inflammatory drugs (NSAIDs) protocols. Forty-one trial arms were controls where piglets received either placebo or no treatment. Forty-five outcomes were extracted from the studies, however only the results from studies that assessed cortisol (six studies), beta-endorphins (one study), vocalisations (nine studies), and pain-related behaviors (nine studies) are reported. Other outcomes were reported in only one or two studies. Confident decision making will likely be difficult based on this body of work because lack of comprehensive reporting precludes calculation of the magnitude of pain mitigation for most outcomes.</w:t>
      </w:r>
    </w:p>
    <w:p w:rsidR="000F592F" w:rsidRDefault="000F592F" w:rsidP="000F592F">
      <w:pPr>
        <w:pStyle w:val="a3"/>
        <w:rPr>
          <w:kern w:val="0"/>
        </w:rPr>
      </w:pPr>
      <w:r>
        <w:rPr>
          <w:kern w:val="0"/>
        </w:rPr>
        <w:t>Keywords: Analgesia, Anesthesia, Anesthesia Systematic Review, Articles, Behavior, Cab, Calculation, Castration, Castration, Citations, Comparison, Cortisol, Criteria, Data, Decision, Decision Making, Decision-Making, Dissertations, Drugs, Effectiveness, Efficacy, Forms, General, General Anesthesia, Identification, Inhalation Anesthesia, Intervention, Intervention Studies, Interventions, Language, Literature, Local, Local Anesthetic, Local-Anesthesia, Magnitude, Management, Meta-Analysis, Methods, Mitigation, Modalities, Neonatal, Newborn Piglets, Nsaids, Outcomes, Pain, Pain Management, Placebo, Primary, Procedures, Protocol, Protocols, Publication, Publications, Pubmed, Randomized, Relevance, Reporting, Responses, Restrictions, Review, Reviewers, Science, Scientific Literature, Service, Sources, Stress, Suckling Piglets, Swine, Systematic, Systematic Review, Tail Docking, Theses, Thomson Reuters, Thomson-Reuters, Translation, Treatment, Trial, Vocalization, Web Of Science, Work</w:t>
      </w:r>
    </w:p>
    <w:p w:rsidR="003474F2" w:rsidRPr="001A3D2B" w:rsidRDefault="003474F2" w:rsidP="003474F2">
      <w:pPr>
        <w:pStyle w:val="1"/>
        <w:rPr>
          <w:lang w:val="de-DE"/>
        </w:rPr>
      </w:pPr>
      <w:r w:rsidRPr="001A3D2B">
        <w:rPr>
          <w:lang w:val="de-DE"/>
        </w:rPr>
        <w:br w:type="page"/>
      </w:r>
      <w:bookmarkStart w:id="426" w:name="_Toc420814475"/>
      <w:r w:rsidRPr="001A3D2B">
        <w:rPr>
          <w:lang w:val="de-DE"/>
        </w:rPr>
        <w:lastRenderedPageBreak/>
        <w:t xml:space="preserve">Title: </w:t>
      </w:r>
      <w:r w:rsidRPr="001A3D2B">
        <w:rPr>
          <w:szCs w:val="24"/>
          <w:lang w:val="de-DE"/>
        </w:rPr>
        <w:t>Annalen der Physik</w:t>
      </w:r>
      <w:bookmarkEnd w:id="426"/>
    </w:p>
    <w:p w:rsidR="000F592F" w:rsidRDefault="000F592F" w:rsidP="000F592F">
      <w:pPr>
        <w:pStyle w:val="12"/>
        <w:rPr>
          <w:lang w:val="de-DE"/>
        </w:rPr>
      </w:pPr>
      <w:bookmarkStart w:id="427" w:name="_Toc393035266"/>
      <w:r>
        <w:rPr>
          <w:lang w:val="de-DE"/>
        </w:rPr>
        <w:t>Annalen der Physik un</w:t>
      </w:r>
      <w:bookmarkEnd w:id="427"/>
      <w:r>
        <w:rPr>
          <w:lang w:val="de-DE"/>
        </w:rPr>
        <w:t>d Chemie 1824-1899</w:t>
      </w:r>
    </w:p>
    <w:p w:rsidR="000F592F" w:rsidRDefault="000F592F" w:rsidP="000F592F">
      <w:pPr>
        <w:pStyle w:val="12"/>
        <w:rPr>
          <w:lang w:val="de-DE"/>
        </w:rPr>
      </w:pPr>
      <w:r>
        <w:rPr>
          <w:lang w:val="de-DE"/>
        </w:rPr>
        <w:t xml:space="preserve">Full Journal Title: </w:t>
      </w:r>
      <w:hyperlink r:id="rId795" w:history="1">
        <w:r>
          <w:rPr>
            <w:rStyle w:val="a5"/>
            <w:lang w:val="de-DE"/>
          </w:rPr>
          <w:t>Annalen der Physik</w:t>
        </w:r>
      </w:hyperlink>
      <w:r>
        <w:rPr>
          <w:lang w:val="de-DE"/>
        </w:rPr>
        <w:t xml:space="preserve">; </w:t>
      </w:r>
      <w:hyperlink r:id="rId796" w:history="1">
        <w:r>
          <w:rPr>
            <w:rStyle w:val="a5"/>
            <w:lang w:val="de-DE"/>
          </w:rPr>
          <w:t>Annalen der Physik</w:t>
        </w:r>
      </w:hyperlink>
    </w:p>
    <w:p w:rsidR="000F592F" w:rsidRDefault="000F592F" w:rsidP="000F592F">
      <w:pPr>
        <w:pStyle w:val="12"/>
        <w:rPr>
          <w:kern w:val="0"/>
        </w:rPr>
      </w:pPr>
      <w:r>
        <w:rPr>
          <w:kern w:val="0"/>
        </w:rPr>
        <w:t>ISO Abbrev. Title: Ann. Phys.-Berlin</w:t>
      </w:r>
    </w:p>
    <w:p w:rsidR="000F592F" w:rsidRDefault="000F592F" w:rsidP="000F592F">
      <w:pPr>
        <w:pStyle w:val="12"/>
        <w:rPr>
          <w:kern w:val="0"/>
        </w:rPr>
      </w:pPr>
      <w:r>
        <w:rPr>
          <w:kern w:val="0"/>
        </w:rPr>
        <w:t>JCR Abbrev. Title: Ann Phys-Berlin</w:t>
      </w:r>
    </w:p>
    <w:p w:rsidR="000F592F" w:rsidRDefault="000F592F" w:rsidP="000F592F">
      <w:pPr>
        <w:pStyle w:val="12"/>
        <w:rPr>
          <w:kern w:val="0"/>
        </w:rPr>
      </w:pPr>
      <w:r>
        <w:rPr>
          <w:kern w:val="0"/>
        </w:rPr>
        <w:t>ISSN: 0003-3804</w:t>
      </w:r>
    </w:p>
    <w:p w:rsidR="000F592F" w:rsidRDefault="000F592F" w:rsidP="000F592F">
      <w:pPr>
        <w:pStyle w:val="12"/>
        <w:rPr>
          <w:kern w:val="0"/>
        </w:rPr>
      </w:pPr>
      <w:r>
        <w:rPr>
          <w:kern w:val="0"/>
        </w:rPr>
        <w:t>Issues/Year: 12</w:t>
      </w:r>
    </w:p>
    <w:p w:rsidR="000F592F" w:rsidRDefault="000F592F" w:rsidP="000F592F">
      <w:pPr>
        <w:pStyle w:val="12"/>
        <w:rPr>
          <w:kern w:val="0"/>
        </w:rPr>
      </w:pPr>
      <w:r>
        <w:rPr>
          <w:kern w:val="0"/>
        </w:rPr>
        <w:t>Language: Multi-Language</w:t>
      </w:r>
    </w:p>
    <w:p w:rsidR="000F592F" w:rsidRDefault="000F592F" w:rsidP="000F592F">
      <w:pPr>
        <w:pStyle w:val="12"/>
        <w:rPr>
          <w:kern w:val="0"/>
        </w:rPr>
      </w:pPr>
      <w:r>
        <w:rPr>
          <w:kern w:val="0"/>
        </w:rPr>
        <w:t>Journal Country/Territory: Germany</w:t>
      </w:r>
    </w:p>
    <w:p w:rsidR="000F592F" w:rsidRDefault="000F592F" w:rsidP="000F592F">
      <w:pPr>
        <w:pStyle w:val="12"/>
        <w:rPr>
          <w:kern w:val="0"/>
        </w:rPr>
      </w:pPr>
      <w:r>
        <w:rPr>
          <w:kern w:val="0"/>
        </w:rPr>
        <w:t>Publisher: Wiley-Blackwell</w:t>
      </w:r>
    </w:p>
    <w:p w:rsidR="000F592F" w:rsidRDefault="000F592F" w:rsidP="000F592F">
      <w:pPr>
        <w:pStyle w:val="12"/>
        <w:rPr>
          <w:kern w:val="0"/>
        </w:rPr>
      </w:pPr>
      <w:r>
        <w:rPr>
          <w:kern w:val="0"/>
        </w:rPr>
        <w:t>Publisher Address: Commerce Place, 350 Main St, Malden 02148, MA,</w:t>
      </w:r>
    </w:p>
    <w:p w:rsidR="000F592F" w:rsidRDefault="000F592F" w:rsidP="000F592F">
      <w:pPr>
        <w:pStyle w:val="12"/>
        <w:rPr>
          <w:kern w:val="0"/>
        </w:rPr>
      </w:pPr>
      <w:r>
        <w:rPr>
          <w:kern w:val="0"/>
        </w:rPr>
        <w:t>Subject Categories:</w:t>
      </w:r>
    </w:p>
    <w:p w:rsidR="000F592F" w:rsidRDefault="000F592F" w:rsidP="000F592F">
      <w:pPr>
        <w:pStyle w:val="12"/>
      </w:pPr>
      <w:r>
        <w:rPr>
          <w:kern w:val="0"/>
        </w:rPr>
        <w:t>Physics, Multidisciplinary: Impact Factor 0.861, 44/80 (2010)</w:t>
      </w:r>
    </w:p>
    <w:p w:rsidR="007D655A" w:rsidRDefault="007D655A" w:rsidP="007D655A">
      <w:pPr>
        <w:pStyle w:val="a3"/>
        <w:rPr>
          <w:kern w:val="0"/>
        </w:rPr>
      </w:pPr>
      <w:r>
        <w:rPr>
          <w:rFonts w:hint="eastAsia"/>
          <w:kern w:val="0"/>
        </w:rPr>
        <w:t>? Mie</w:t>
      </w:r>
      <w:r>
        <w:rPr>
          <w:kern w:val="0"/>
        </w:rPr>
        <w:t xml:space="preserve">, </w:t>
      </w:r>
      <w:r>
        <w:rPr>
          <w:rFonts w:hint="eastAsia"/>
          <w:kern w:val="0"/>
        </w:rPr>
        <w:t>G</w:t>
      </w:r>
      <w:r>
        <w:rPr>
          <w:kern w:val="0"/>
        </w:rPr>
        <w:t xml:space="preserve">. (1908), </w:t>
      </w:r>
      <w:r w:rsidRPr="00C80528">
        <w:rPr>
          <w:kern w:val="0"/>
        </w:rPr>
        <w:t>Beiträge zur Optik trüber Medien, speziell kolloidaler Metallösungen</w:t>
      </w:r>
      <w:r>
        <w:rPr>
          <w:kern w:val="0"/>
        </w:rPr>
        <w:t xml:space="preserve">. </w:t>
      </w:r>
      <w:r>
        <w:rPr>
          <w:i/>
          <w:iCs/>
          <w:kern w:val="0"/>
        </w:rPr>
        <w:t>Annalen der Physik</w:t>
      </w:r>
      <w:r>
        <w:rPr>
          <w:kern w:val="0"/>
        </w:rPr>
        <w:t xml:space="preserve">, </w:t>
      </w:r>
      <w:r>
        <w:rPr>
          <w:rFonts w:hint="eastAsia"/>
          <w:b/>
          <w:bCs/>
          <w:kern w:val="0"/>
        </w:rPr>
        <w:t>330</w:t>
      </w:r>
      <w:r>
        <w:rPr>
          <w:kern w:val="0"/>
        </w:rPr>
        <w:t xml:space="preserve"> (</w:t>
      </w:r>
      <w:r>
        <w:rPr>
          <w:rFonts w:hint="eastAsia"/>
          <w:kern w:val="0"/>
        </w:rPr>
        <w:t>3</w:t>
      </w:r>
      <w:r>
        <w:rPr>
          <w:kern w:val="0"/>
        </w:rPr>
        <w:t xml:space="preserve">), </w:t>
      </w:r>
      <w:r>
        <w:rPr>
          <w:rFonts w:hint="eastAsia"/>
          <w:kern w:val="0"/>
        </w:rPr>
        <w:t>377</w:t>
      </w:r>
      <w:r>
        <w:rPr>
          <w:kern w:val="0"/>
        </w:rPr>
        <w:t>-</w:t>
      </w:r>
      <w:r>
        <w:rPr>
          <w:rFonts w:hint="eastAsia"/>
          <w:kern w:val="0"/>
        </w:rPr>
        <w:t>445</w:t>
      </w:r>
      <w:r>
        <w:rPr>
          <w:kern w:val="0"/>
        </w:rPr>
        <w:t>.</w:t>
      </w:r>
    </w:p>
    <w:p w:rsidR="007D655A" w:rsidRDefault="007D655A" w:rsidP="007D655A">
      <w:pPr>
        <w:pStyle w:val="a3"/>
        <w:rPr>
          <w:kern w:val="0"/>
          <w:szCs w:val="24"/>
        </w:rPr>
      </w:pPr>
      <w:r>
        <w:rPr>
          <w:rFonts w:hint="eastAsia"/>
          <w:kern w:val="0"/>
          <w:szCs w:val="24"/>
        </w:rPr>
        <w:t xml:space="preserve">Full Text: </w:t>
      </w:r>
      <w:hyperlink r:id="rId797" w:history="1">
        <w:r w:rsidRPr="00C80528">
          <w:rPr>
            <w:rStyle w:val="a5"/>
            <w:kern w:val="0"/>
            <w:szCs w:val="24"/>
          </w:rPr>
          <w:t>-1959\Ann Phy330, 377.pdf</w:t>
        </w:r>
      </w:hyperlink>
    </w:p>
    <w:p w:rsidR="007D655A" w:rsidRDefault="007D655A" w:rsidP="007D655A">
      <w:pPr>
        <w:pStyle w:val="a3"/>
        <w:rPr>
          <w:kern w:val="0"/>
        </w:rPr>
      </w:pPr>
      <w:r>
        <w:rPr>
          <w:rFonts w:hint="eastAsia"/>
          <w:kern w:val="0"/>
        </w:rPr>
        <w:t>? Mie</w:t>
      </w:r>
      <w:r>
        <w:rPr>
          <w:kern w:val="0"/>
        </w:rPr>
        <w:t xml:space="preserve">, </w:t>
      </w:r>
      <w:r>
        <w:rPr>
          <w:rFonts w:hint="eastAsia"/>
          <w:kern w:val="0"/>
        </w:rPr>
        <w:t>G</w:t>
      </w:r>
      <w:r>
        <w:rPr>
          <w:kern w:val="0"/>
        </w:rPr>
        <w:t xml:space="preserve">. (1908), </w:t>
      </w:r>
      <w:r w:rsidRPr="001C1794">
        <w:rPr>
          <w:kern w:val="0"/>
        </w:rPr>
        <w:t>Contribution on optical properties</w:t>
      </w:r>
      <w:r w:rsidR="00427468">
        <w:rPr>
          <w:kern w:val="0"/>
        </w:rPr>
        <w:t xml:space="preserve"> of </w:t>
      </w:r>
      <w:r w:rsidRPr="001C1794">
        <w:rPr>
          <w:kern w:val="0"/>
        </w:rPr>
        <w:t>turbid solutions, with special reference to colloid etallic</w:t>
      </w:r>
      <w:r>
        <w:rPr>
          <w:rFonts w:hint="eastAsia"/>
          <w:kern w:val="0"/>
        </w:rPr>
        <w:t xml:space="preserve"> </w:t>
      </w:r>
      <w:r w:rsidRPr="001C1794">
        <w:rPr>
          <w:kern w:val="0"/>
        </w:rPr>
        <w:t>solutions</w:t>
      </w:r>
      <w:r>
        <w:rPr>
          <w:kern w:val="0"/>
        </w:rPr>
        <w:t xml:space="preserve">. </w:t>
      </w:r>
      <w:r>
        <w:rPr>
          <w:i/>
          <w:iCs/>
          <w:kern w:val="0"/>
        </w:rPr>
        <w:t>Annalen der Physik</w:t>
      </w:r>
      <w:r>
        <w:rPr>
          <w:kern w:val="0"/>
        </w:rPr>
        <w:t xml:space="preserve">, </w:t>
      </w:r>
      <w:r>
        <w:rPr>
          <w:rFonts w:hint="eastAsia"/>
          <w:b/>
          <w:bCs/>
          <w:kern w:val="0"/>
        </w:rPr>
        <w:t>330</w:t>
      </w:r>
      <w:r>
        <w:rPr>
          <w:kern w:val="0"/>
        </w:rPr>
        <w:t xml:space="preserve"> (</w:t>
      </w:r>
      <w:r>
        <w:rPr>
          <w:rFonts w:hint="eastAsia"/>
          <w:kern w:val="0"/>
        </w:rPr>
        <w:t>3</w:t>
      </w:r>
      <w:r>
        <w:rPr>
          <w:kern w:val="0"/>
        </w:rPr>
        <w:t xml:space="preserve">), </w:t>
      </w:r>
      <w:r>
        <w:rPr>
          <w:rFonts w:hint="eastAsia"/>
          <w:kern w:val="0"/>
        </w:rPr>
        <w:t>377</w:t>
      </w:r>
      <w:r>
        <w:rPr>
          <w:kern w:val="0"/>
        </w:rPr>
        <w:t>-</w:t>
      </w:r>
      <w:r>
        <w:rPr>
          <w:rFonts w:hint="eastAsia"/>
          <w:kern w:val="0"/>
        </w:rPr>
        <w:t>445</w:t>
      </w:r>
      <w:r>
        <w:rPr>
          <w:kern w:val="0"/>
        </w:rPr>
        <w:t>.</w:t>
      </w:r>
    </w:p>
    <w:p w:rsidR="007D655A" w:rsidRDefault="007D655A" w:rsidP="007D655A">
      <w:pPr>
        <w:pStyle w:val="a3"/>
        <w:rPr>
          <w:kern w:val="0"/>
          <w:szCs w:val="24"/>
        </w:rPr>
      </w:pPr>
      <w:r>
        <w:rPr>
          <w:rFonts w:hint="eastAsia"/>
          <w:kern w:val="0"/>
          <w:szCs w:val="24"/>
        </w:rPr>
        <w:t xml:space="preserve">Full Text: </w:t>
      </w:r>
      <w:hyperlink r:id="rId798" w:history="1">
        <w:r w:rsidRPr="00C80528">
          <w:rPr>
            <w:rStyle w:val="a5"/>
            <w:kern w:val="0"/>
            <w:szCs w:val="24"/>
          </w:rPr>
          <w:t>-1959\Ann Phy330, 377.pdf</w:t>
        </w:r>
      </w:hyperlink>
    </w:p>
    <w:p w:rsidR="00674243" w:rsidRPr="001A3D2B" w:rsidRDefault="00674243" w:rsidP="00674243">
      <w:pPr>
        <w:pStyle w:val="a3"/>
      </w:pPr>
      <w:r w:rsidRPr="001A3D2B">
        <w:t xml:space="preserve">? </w:t>
      </w:r>
      <w:r>
        <w:t>Bethe, H.A.</w:t>
      </w:r>
      <w:r w:rsidRPr="001A3D2B">
        <w:t xml:space="preserve"> (</w:t>
      </w:r>
      <w:r>
        <w:rPr>
          <w:rFonts w:hint="eastAsia"/>
        </w:rPr>
        <w:t>1929</w:t>
      </w:r>
      <w:r w:rsidRPr="001A3D2B">
        <w:t xml:space="preserve">), </w:t>
      </w:r>
      <w:r>
        <w:t>Energy level cleavage in crystals</w:t>
      </w:r>
      <w:r w:rsidRPr="001A3D2B">
        <w:t xml:space="preserve">. </w:t>
      </w:r>
      <w:r w:rsidRPr="001A3D2B">
        <w:rPr>
          <w:i/>
          <w:iCs/>
        </w:rPr>
        <w:t>Annalen der Physik</w:t>
      </w:r>
      <w:r w:rsidRPr="001A3D2B">
        <w:t xml:space="preserve">, </w:t>
      </w:r>
      <w:r>
        <w:rPr>
          <w:rFonts w:hint="eastAsia"/>
          <w:b/>
          <w:bCs/>
        </w:rPr>
        <w:t>3</w:t>
      </w:r>
      <w:r w:rsidRPr="001A3D2B">
        <w:t xml:space="preserve">, </w:t>
      </w:r>
      <w:r>
        <w:t>133-208</w:t>
      </w:r>
      <w:r w:rsidRPr="001A3D2B">
        <w:t>.</w:t>
      </w:r>
    </w:p>
    <w:p w:rsidR="00674243" w:rsidRDefault="00674243" w:rsidP="00674243">
      <w:pPr>
        <w:pStyle w:val="a3"/>
      </w:pPr>
      <w:r w:rsidRPr="001A3D2B">
        <w:t xml:space="preserve">Full Text: </w:t>
      </w:r>
      <w:r>
        <w:rPr>
          <w:rFonts w:hint="eastAsia"/>
        </w:rPr>
        <w:t>-1959</w:t>
      </w:r>
      <w:r w:rsidRPr="00674243">
        <w:t>\Ann Phy</w:t>
      </w:r>
      <w:r>
        <w:rPr>
          <w:rFonts w:hint="eastAsia"/>
        </w:rPr>
        <w:t>3</w:t>
      </w:r>
      <w:r w:rsidRPr="00674243">
        <w:t xml:space="preserve">, </w:t>
      </w:r>
      <w:r>
        <w:rPr>
          <w:rFonts w:hint="eastAsia"/>
        </w:rPr>
        <w:t>133</w:t>
      </w:r>
      <w:r w:rsidRPr="00674243">
        <w:t>.pdf</w:t>
      </w:r>
    </w:p>
    <w:p w:rsidR="00674243" w:rsidRPr="001A3D2B" w:rsidRDefault="00674243" w:rsidP="00674243">
      <w:pPr>
        <w:pStyle w:val="a3"/>
      </w:pPr>
      <w:r w:rsidRPr="001A3D2B">
        <w:t>? Cardona, M.</w:t>
      </w:r>
      <w:r w:rsidR="005853A9">
        <w:t xml:space="preserve"> and </w:t>
      </w:r>
      <w:r w:rsidRPr="001A3D2B">
        <w:t>Marx, W. (2006</w:t>
      </w:r>
      <w:r w:rsidR="00F42EAC">
        <w:t>), The</w:t>
      </w:r>
      <w:r w:rsidR="003A1917">
        <w:t xml:space="preserve"> </w:t>
      </w:r>
      <w:r w:rsidRPr="001A3D2B">
        <w:t>posthumous impact</w:t>
      </w:r>
      <w:r w:rsidR="00427468">
        <w:t xml:space="preserve"> of </w:t>
      </w:r>
      <w:r w:rsidRPr="001A3D2B">
        <w:t xml:space="preserve">Paul Drude. </w:t>
      </w:r>
      <w:r w:rsidRPr="001A3D2B">
        <w:rPr>
          <w:i/>
          <w:iCs/>
        </w:rPr>
        <w:t>Annalen der Physik</w:t>
      </w:r>
      <w:r w:rsidRPr="001A3D2B">
        <w:t xml:space="preserve">, </w:t>
      </w:r>
      <w:r w:rsidRPr="001A3D2B">
        <w:rPr>
          <w:b/>
          <w:bCs/>
        </w:rPr>
        <w:t>15</w:t>
      </w:r>
      <w:r w:rsidRPr="001A3D2B">
        <w:t xml:space="preserve"> (7-8), 461-468.</w:t>
      </w:r>
    </w:p>
    <w:p w:rsidR="00674243" w:rsidRPr="001A3D2B" w:rsidRDefault="00674243" w:rsidP="00674243">
      <w:pPr>
        <w:pStyle w:val="a3"/>
      </w:pPr>
      <w:r w:rsidRPr="001A3D2B">
        <w:t xml:space="preserve">Full Text: </w:t>
      </w:r>
      <w:hyperlink r:id="rId799" w:history="1">
        <w:r w:rsidRPr="001A3D2B">
          <w:rPr>
            <w:rStyle w:val="a5"/>
          </w:rPr>
          <w:t>2006\Ann Phy15, 461.pdf</w:t>
        </w:r>
      </w:hyperlink>
    </w:p>
    <w:p w:rsidR="003474F2" w:rsidRPr="001A3D2B" w:rsidRDefault="003474F2" w:rsidP="003474F2">
      <w:pPr>
        <w:pStyle w:val="a3"/>
      </w:pPr>
      <w:r w:rsidRPr="001A3D2B">
        <w:t>Abstract: In this study</w:t>
      </w:r>
      <w:r w:rsidR="003A1917">
        <w:t xml:space="preserve"> the </w:t>
      </w:r>
      <w:r w:rsidRPr="001A3D2B">
        <w:t>long-term impact</w:t>
      </w:r>
      <w:r w:rsidR="00427468">
        <w:t xml:space="preserve"> of </w:t>
      </w:r>
      <w:r w:rsidR="003A1917">
        <w:t xml:space="preserve">the </w:t>
      </w:r>
      <w:r w:rsidRPr="001A3D2B">
        <w:t>works</w:t>
      </w:r>
      <w:r w:rsidR="00427468">
        <w:t xml:space="preserve"> of </w:t>
      </w:r>
      <w:r w:rsidRPr="001A3D2B">
        <w:t>Paul Drude has been analyzed by bibliometric methods. His overall citation impact</w:t>
      </w:r>
      <w:r w:rsidR="005853A9">
        <w:t xml:space="preserve"> and </w:t>
      </w:r>
      <w:r w:rsidRPr="001A3D2B">
        <w:t>rank within</w:t>
      </w:r>
      <w:r w:rsidR="003A1917">
        <w:t xml:space="preserve"> the </w:t>
      </w:r>
      <w:r w:rsidRPr="001A3D2B">
        <w:t>pre-1910 authors in chemistry</w:t>
      </w:r>
      <w:r w:rsidR="005853A9">
        <w:t xml:space="preserve"> and </w:t>
      </w:r>
      <w:r w:rsidRPr="001A3D2B">
        <w:t>physics has been determined</w:t>
      </w:r>
      <w:r w:rsidR="00A37C1D">
        <w:t>. The</w:t>
      </w:r>
      <w:r w:rsidR="003A1917">
        <w:t xml:space="preserve"> </w:t>
      </w:r>
      <w:r w:rsidRPr="001A3D2B">
        <w:t>time-dependent number</w:t>
      </w:r>
      <w:r w:rsidR="00427468">
        <w:t xml:space="preserve"> of </w:t>
      </w:r>
      <w:r w:rsidRPr="001A3D2B">
        <w:t>mentions</w:t>
      </w:r>
      <w:r w:rsidR="00427468">
        <w:t xml:space="preserve"> of </w:t>
      </w:r>
      <w:r w:rsidRPr="001A3D2B">
        <w:t>his name</w:t>
      </w:r>
      <w:r w:rsidR="00A37C1D">
        <w:t>. The</w:t>
      </w:r>
      <w:r w:rsidR="003A1917">
        <w:t xml:space="preserve"> </w:t>
      </w:r>
      <w:r w:rsidRPr="001A3D2B">
        <w:t>overall citation impact</w:t>
      </w:r>
      <w:r w:rsidR="005853A9">
        <w:t xml:space="preserve"> and </w:t>
      </w:r>
      <w:r w:rsidR="003A1917">
        <w:t xml:space="preserve">the </w:t>
      </w:r>
      <w:r w:rsidRPr="001A3D2B">
        <w:t>citation numbers</w:t>
      </w:r>
      <w:r w:rsidR="00427468">
        <w:t xml:space="preserve"> of </w:t>
      </w:r>
      <w:r w:rsidRPr="001A3D2B">
        <w:t>single articles</w:t>
      </w:r>
      <w:r w:rsidR="005853A9">
        <w:t xml:space="preserve"> and </w:t>
      </w:r>
      <w:r w:rsidRPr="001A3D2B">
        <w:t>books have been investigated</w:t>
      </w:r>
      <w:r w:rsidR="00A37C1D">
        <w:t>. The</w:t>
      </w:r>
      <w:r w:rsidR="003A1917">
        <w:t xml:space="preserve"> </w:t>
      </w:r>
      <w:r w:rsidRPr="001A3D2B">
        <w:t>impact time curves</w:t>
      </w:r>
      <w:r w:rsidR="00427468">
        <w:t xml:space="preserve"> of </w:t>
      </w:r>
      <w:r w:rsidRPr="001A3D2B">
        <w:t>his most frequently cited articles</w:t>
      </w:r>
      <w:r w:rsidR="005853A9">
        <w:t xml:space="preserve"> and </w:t>
      </w:r>
      <w:r w:rsidRPr="001A3D2B">
        <w:t>books are presented</w:t>
      </w:r>
      <w:r w:rsidR="005853A9">
        <w:t xml:space="preserve"> and </w:t>
      </w:r>
      <w:r w:rsidRPr="001A3D2B">
        <w:t>discussed</w:t>
      </w:r>
      <w:r w:rsidR="00A37C1D">
        <w:t>. The</w:t>
      </w:r>
      <w:r w:rsidR="003A1917">
        <w:t xml:space="preserve"> </w:t>
      </w:r>
      <w:r w:rsidRPr="001A3D2B">
        <w:t>scientific contributions</w:t>
      </w:r>
      <w:r w:rsidR="00427468">
        <w:t xml:space="preserve"> of </w:t>
      </w:r>
      <w:r w:rsidR="003A1917">
        <w:t xml:space="preserve">the </w:t>
      </w:r>
      <w:r w:rsidRPr="001A3D2B">
        <w:t>most influential Drude works for solid state physics are analyzed. in particular their impact oil recent research. (C) 2006 WILEY-VCH VCH GmbH &amp; Co. KGaA. Weinheim.</w:t>
      </w:r>
    </w:p>
    <w:p w:rsidR="003474F2" w:rsidRPr="001A3D2B" w:rsidRDefault="003474F2" w:rsidP="003474F2">
      <w:pPr>
        <w:pStyle w:val="a3"/>
      </w:pPr>
      <w:r w:rsidRPr="001A3D2B">
        <w:t xml:space="preserve">Keywords: Bibliometric, Bibliometric Indicators, Citations, CO, Course, Data, Dating, </w:t>
      </w:r>
      <w:r w:rsidR="00D5664A">
        <w:t>H Index</w:t>
      </w:r>
      <w:r w:rsidRPr="001A3D2B">
        <w:t xml:space="preserve">, </w:t>
      </w:r>
      <w:r w:rsidR="00D5664A">
        <w:t>h-Index</w:t>
      </w:r>
      <w:r w:rsidRPr="001A3D2B">
        <w:t>, Hirsch, Hirsc</w:t>
      </w:r>
      <w:r w:rsidR="00D5664A">
        <w:t>h Index</w:t>
      </w:r>
      <w:r w:rsidRPr="001A3D2B">
        <w:t>, History</w:t>
      </w:r>
      <w:r w:rsidR="00427468">
        <w:t xml:space="preserve"> of </w:t>
      </w:r>
      <w:r w:rsidRPr="001A3D2B">
        <w:t xml:space="preserve">Science, Impact Analysis, Index, Indicators, Informal, Informal Citations, Investigations, Journal, Journal Articles, </w:t>
      </w:r>
      <w:r w:rsidRPr="001A3D2B">
        <w:lastRenderedPageBreak/>
        <w:t xml:space="preserve">Journals, Methodology, Policy, Presentation, Qualitative, Science, Science Citation Index, Science Policy, </w:t>
      </w:r>
      <w:r w:rsidR="00D5664A">
        <w:t>Web</w:t>
      </w:r>
      <w:r w:rsidR="00427468">
        <w:t xml:space="preserve"> of </w:t>
      </w:r>
      <w:r w:rsidR="00D5664A">
        <w:t>Science</w:t>
      </w:r>
    </w:p>
    <w:p w:rsidR="003474F2" w:rsidRPr="001A3D2B" w:rsidRDefault="003474F2" w:rsidP="003474F2">
      <w:pPr>
        <w:pStyle w:val="a3"/>
      </w:pPr>
      <w:r w:rsidRPr="001A3D2B">
        <w:t>? Schreiber, M. (2007), A case study</w:t>
      </w:r>
      <w:r w:rsidR="00427468">
        <w:t xml:space="preserve"> of </w:t>
      </w:r>
      <w:r w:rsidR="003A1917">
        <w:t xml:space="preserve">the </w:t>
      </w:r>
      <w:r w:rsidRPr="001A3D2B">
        <w:t>Hirsc</w:t>
      </w:r>
      <w:r w:rsidR="00D5664A">
        <w:t>h Index</w:t>
      </w:r>
      <w:r w:rsidRPr="001A3D2B">
        <w:t xml:space="preserve"> for 26 non-prominent physicists. </w:t>
      </w:r>
      <w:r w:rsidRPr="001A3D2B">
        <w:rPr>
          <w:i/>
          <w:iCs/>
        </w:rPr>
        <w:t>Annalen der Physik</w:t>
      </w:r>
      <w:r w:rsidRPr="001A3D2B">
        <w:t xml:space="preserve">, </w:t>
      </w:r>
      <w:r w:rsidRPr="001A3D2B">
        <w:rPr>
          <w:b/>
          <w:bCs/>
        </w:rPr>
        <w:t>16</w:t>
      </w:r>
      <w:r w:rsidRPr="001A3D2B">
        <w:t xml:space="preserve"> (9), 640-652.</w:t>
      </w:r>
    </w:p>
    <w:p w:rsidR="003474F2" w:rsidRPr="001A3D2B" w:rsidRDefault="003474F2" w:rsidP="003474F2">
      <w:pPr>
        <w:pStyle w:val="a3"/>
      </w:pPr>
      <w:r w:rsidRPr="001A3D2B">
        <w:t xml:space="preserve">Full Text: </w:t>
      </w:r>
      <w:hyperlink r:id="rId800" w:history="1">
        <w:r w:rsidRPr="001A3D2B">
          <w:rPr>
            <w:rStyle w:val="a5"/>
          </w:rPr>
          <w:t>2007\Ann Phy16, 640.pdf</w:t>
        </w:r>
      </w:hyperlink>
    </w:p>
    <w:p w:rsidR="003474F2" w:rsidRPr="001A3D2B" w:rsidRDefault="003474F2" w:rsidP="003474F2">
      <w:pPr>
        <w:pStyle w:val="a3"/>
      </w:pPr>
      <w:r w:rsidRPr="001A3D2B">
        <w:t>Abstract:</w:t>
      </w:r>
      <w:r w:rsidR="003A1917">
        <w:t xml:space="preserve"> the </w:t>
      </w:r>
      <w:r w:rsidR="00D5664A">
        <w:t>h Index</w:t>
      </w:r>
      <w:r w:rsidRPr="001A3D2B">
        <w:t xml:space="preserve"> was introduced by Hirsch to quantify an individual</w:t>
      </w:r>
      <w:r w:rsidR="00700038">
        <w:t>’</w:t>
      </w:r>
      <w:r w:rsidR="00C13DDC">
        <w:t>s</w:t>
      </w:r>
      <w:r w:rsidRPr="001A3D2B">
        <w:t xml:space="preserve"> scientific research output. It has been widely used in different fields to show</w:t>
      </w:r>
      <w:r w:rsidR="003A1917">
        <w:t xml:space="preserve"> the </w:t>
      </w:r>
      <w:r w:rsidRPr="001A3D2B">
        <w:t>relevance</w:t>
      </w:r>
      <w:r w:rsidR="00427468">
        <w:t xml:space="preserve"> of </w:t>
      </w:r>
      <w:r w:rsidR="003A1917">
        <w:t xml:space="preserve">the </w:t>
      </w:r>
      <w:r w:rsidRPr="001A3D2B">
        <w:t>research work</w:t>
      </w:r>
      <w:r w:rsidR="00427468">
        <w:t xml:space="preserve"> of </w:t>
      </w:r>
      <w:r w:rsidRPr="001A3D2B">
        <w:t>prominent scientists. I have worked out 26 practical cases</w:t>
      </w:r>
      <w:r w:rsidR="00427468">
        <w:t xml:space="preserve"> of </w:t>
      </w:r>
      <w:r w:rsidRPr="001A3D2B">
        <w:t>physicists which are not so prominent</w:t>
      </w:r>
      <w:r w:rsidR="00A37C1D">
        <w:t>. The</w:t>
      </w:r>
      <w:r w:rsidRPr="001A3D2B">
        <w:t>refore this case study should be more relevant to discuss various features</w:t>
      </w:r>
      <w:r w:rsidR="00427468">
        <w:t xml:space="preserve"> of </w:t>
      </w:r>
      <w:r w:rsidR="003A1917">
        <w:t xml:space="preserve">the </w:t>
      </w:r>
      <w:r w:rsidRPr="001A3D2B">
        <w:t>Hirsc</w:t>
      </w:r>
      <w:r w:rsidR="00D5664A">
        <w:t>h Index</w:t>
      </w:r>
      <w:r w:rsidRPr="001A3D2B">
        <w:t xml:space="preserve"> which are interesting or disturbing or both for</w:t>
      </w:r>
      <w:r w:rsidR="003A1917">
        <w:t xml:space="preserve"> the </w:t>
      </w:r>
      <w:r w:rsidRPr="001A3D2B">
        <w:t>more average situation. In particular, I investigate quantitatively some pitfalls in</w:t>
      </w:r>
      <w:r w:rsidR="003A1917">
        <w:t xml:space="preserve"> the </w:t>
      </w:r>
      <w:r w:rsidRPr="001A3D2B">
        <w:t>evaluation</w:t>
      </w:r>
      <w:r w:rsidR="005853A9">
        <w:t xml:space="preserve"> and </w:t>
      </w:r>
      <w:r w:rsidR="003A1917">
        <w:t xml:space="preserve">the </w:t>
      </w:r>
      <w:r w:rsidRPr="001A3D2B">
        <w:t>influence</w:t>
      </w:r>
      <w:r w:rsidR="00427468">
        <w:t xml:space="preserve"> of </w:t>
      </w:r>
      <w:r w:rsidRPr="001A3D2B">
        <w:t>self-citations.</w:t>
      </w:r>
    </w:p>
    <w:p w:rsidR="003474F2" w:rsidRPr="001A3D2B" w:rsidRDefault="003474F2" w:rsidP="003474F2">
      <w:pPr>
        <w:pStyle w:val="a3"/>
      </w:pPr>
      <w:r w:rsidRPr="001A3D2B">
        <w:t xml:space="preserve">Keywords: Case Study, Citation, Citation Analysis, Evaluation, </w:t>
      </w:r>
      <w:r w:rsidR="00D5664A">
        <w:t>h Index</w:t>
      </w:r>
      <w:r w:rsidRPr="001A3D2B">
        <w:t xml:space="preserve">, </w:t>
      </w:r>
      <w:r w:rsidR="00D5664A">
        <w:t>h-Index</w:t>
      </w:r>
      <w:r w:rsidRPr="001A3D2B">
        <w:t>, Hirsc</w:t>
      </w:r>
      <w:r w:rsidR="00D5664A">
        <w:t>h Index</w:t>
      </w:r>
      <w:r w:rsidRPr="001A3D2B">
        <w:t>, Relevance, Research, Research Work, Researchers, Science, Scientific Research, Scientists, Self-Citations, Work</w:t>
      </w:r>
    </w:p>
    <w:p w:rsidR="003474F2" w:rsidRPr="001A3D2B" w:rsidRDefault="003474F2" w:rsidP="003474F2">
      <w:pPr>
        <w:pStyle w:val="a3"/>
      </w:pPr>
      <w:r w:rsidRPr="001A3D2B">
        <w:t>? Cardona, M., Chamberlin, R.V.</w:t>
      </w:r>
      <w:r w:rsidR="005853A9">
        <w:t xml:space="preserve"> and </w:t>
      </w:r>
      <w:r w:rsidRPr="001A3D2B">
        <w:t>Marx, W. (2007</w:t>
      </w:r>
      <w:r w:rsidR="00F42EAC">
        <w:t>), The</w:t>
      </w:r>
      <w:r w:rsidR="003A1917">
        <w:t xml:space="preserve"> </w:t>
      </w:r>
      <w:r w:rsidRPr="001A3D2B">
        <w:t>history</w:t>
      </w:r>
      <w:r w:rsidR="00427468">
        <w:t xml:space="preserve"> of </w:t>
      </w:r>
      <w:r w:rsidR="003A1917">
        <w:t xml:space="preserve">the </w:t>
      </w:r>
      <w:r w:rsidRPr="001A3D2B">
        <w:t xml:space="preserve">stretched exponential function. </w:t>
      </w:r>
      <w:r w:rsidRPr="001A3D2B">
        <w:rPr>
          <w:i/>
          <w:iCs/>
        </w:rPr>
        <w:t>Annalen der Physik</w:t>
      </w:r>
      <w:r w:rsidRPr="001A3D2B">
        <w:t xml:space="preserve">, </w:t>
      </w:r>
      <w:r w:rsidRPr="001A3D2B">
        <w:rPr>
          <w:b/>
          <w:bCs/>
        </w:rPr>
        <w:t>16</w:t>
      </w:r>
      <w:r w:rsidRPr="001A3D2B">
        <w:t xml:space="preserve"> (12), 842-845.</w:t>
      </w:r>
    </w:p>
    <w:p w:rsidR="00054020" w:rsidRPr="001A3D2B" w:rsidRDefault="00054020" w:rsidP="00054020">
      <w:pPr>
        <w:pStyle w:val="a3"/>
      </w:pPr>
      <w:r w:rsidRPr="001A3D2B">
        <w:t xml:space="preserve">Full Text: </w:t>
      </w:r>
      <w:hyperlink r:id="rId801" w:history="1">
        <w:r w:rsidRPr="001A3D2B">
          <w:rPr>
            <w:rStyle w:val="a5"/>
          </w:rPr>
          <w:t>2007\Ann Phy16, 842.pdf</w:t>
        </w:r>
      </w:hyperlink>
    </w:p>
    <w:p w:rsidR="003474F2" w:rsidRPr="001A3D2B" w:rsidRDefault="003474F2" w:rsidP="003474F2">
      <w:pPr>
        <w:pStyle w:val="a3"/>
      </w:pPr>
      <w:r w:rsidRPr="001A3D2B">
        <w:t>Keywords: Citation Analysis, Decay, Function, History, History</w:t>
      </w:r>
      <w:r w:rsidR="00427468">
        <w:t xml:space="preserve"> of </w:t>
      </w:r>
      <w:r w:rsidRPr="001A3D2B">
        <w:t>Physics, Relaxation, Stretched Exponential</w:t>
      </w:r>
    </w:p>
    <w:p w:rsidR="003474F2" w:rsidRPr="001A3D2B" w:rsidRDefault="003474F2" w:rsidP="003474F2">
      <w:pPr>
        <w:pStyle w:val="a3"/>
      </w:pPr>
      <w:r w:rsidRPr="001A3D2B">
        <w:t>? Cardona, M.</w:t>
      </w:r>
      <w:r w:rsidR="005853A9">
        <w:t xml:space="preserve"> and </w:t>
      </w:r>
      <w:r w:rsidRPr="001A3D2B">
        <w:t>Marx, W. (2008), Max Born</w:t>
      </w:r>
      <w:r w:rsidR="005853A9">
        <w:t xml:space="preserve"> and </w:t>
      </w:r>
      <w:r w:rsidRPr="001A3D2B">
        <w:t xml:space="preserve">his legacy to condensed matter physics. </w:t>
      </w:r>
      <w:r w:rsidRPr="001A3D2B">
        <w:rPr>
          <w:i/>
          <w:iCs/>
        </w:rPr>
        <w:t>Annalen der Physik</w:t>
      </w:r>
      <w:r w:rsidRPr="001A3D2B">
        <w:t xml:space="preserve">, </w:t>
      </w:r>
      <w:r w:rsidRPr="001A3D2B">
        <w:rPr>
          <w:b/>
          <w:bCs/>
        </w:rPr>
        <w:t>17</w:t>
      </w:r>
      <w:r w:rsidRPr="001A3D2B">
        <w:t xml:space="preserve"> (7), 497-518.</w:t>
      </w:r>
    </w:p>
    <w:p w:rsidR="003474F2" w:rsidRPr="001A3D2B" w:rsidRDefault="003474F2" w:rsidP="003474F2">
      <w:pPr>
        <w:pStyle w:val="a3"/>
      </w:pPr>
      <w:r w:rsidRPr="001A3D2B">
        <w:t xml:space="preserve">Full Text: </w:t>
      </w:r>
      <w:hyperlink r:id="rId802" w:history="1">
        <w:r w:rsidRPr="001A3D2B">
          <w:rPr>
            <w:rStyle w:val="a5"/>
          </w:rPr>
          <w:t>2008\Ann Phy17, 497.pdf</w:t>
        </w:r>
      </w:hyperlink>
    </w:p>
    <w:p w:rsidR="003474F2" w:rsidRPr="001A3D2B" w:rsidRDefault="003474F2" w:rsidP="003474F2">
      <w:pPr>
        <w:pStyle w:val="a3"/>
      </w:pPr>
      <w:r w:rsidRPr="001A3D2B">
        <w:t>Abstract: After a presentation</w:t>
      </w:r>
      <w:r w:rsidR="00427468">
        <w:t xml:space="preserve"> of </w:t>
      </w:r>
      <w:r w:rsidRPr="001A3D2B">
        <w:t>Max Born</w:t>
      </w:r>
      <w:r w:rsidR="00700038">
        <w:t>’</w:t>
      </w:r>
      <w:r w:rsidR="00C13DDC">
        <w:t>s</w:t>
      </w:r>
      <w:r w:rsidRPr="001A3D2B">
        <w:t xml:space="preserve"> most salient biographical data, we discuss his contributions to science</w:t>
      </w:r>
      <w:r w:rsidR="005853A9">
        <w:t xml:space="preserve"> and </w:t>
      </w:r>
      <w:r w:rsidRPr="001A3D2B">
        <w:t>science policy, with special emphasis on those related to condensed matter physics. Our discussion includes journal articles as well as books</w:t>
      </w:r>
      <w:r w:rsidR="00A37C1D">
        <w:t>. The</w:t>
      </w:r>
      <w:r w:rsidR="003A1917">
        <w:t xml:space="preserve"> </w:t>
      </w:r>
      <w:r w:rsidRPr="001A3D2B">
        <w:t>methodology used is both qualitative</w:t>
      </w:r>
      <w:r w:rsidR="005853A9">
        <w:t xml:space="preserve"> and </w:t>
      </w:r>
      <w:r w:rsidRPr="001A3D2B">
        <w:t>quantitative, including number</w:t>
      </w:r>
      <w:r w:rsidR="00427468">
        <w:t xml:space="preserve"> of </w:t>
      </w:r>
      <w:r w:rsidRPr="001A3D2B">
        <w:t>items, number</w:t>
      </w:r>
      <w:r w:rsidR="00427468">
        <w:t xml:space="preserve"> of </w:t>
      </w:r>
      <w:r w:rsidRPr="001A3D2B">
        <w:t>formal</w:t>
      </w:r>
      <w:r w:rsidR="005853A9">
        <w:t xml:space="preserve"> and </w:t>
      </w:r>
      <w:r w:rsidRPr="001A3D2B">
        <w:t>informal citations,</w:t>
      </w:r>
      <w:r w:rsidR="005853A9">
        <w:t xml:space="preserve"> and </w:t>
      </w:r>
      <w:r w:rsidRPr="001A3D2B">
        <w:t>other bibliometric indicators such as</w:t>
      </w:r>
      <w:r w:rsidR="003A1917">
        <w:t xml:space="preserve"> the </w:t>
      </w:r>
      <w:r w:rsidRPr="001A3D2B">
        <w:t>recently proposed Hirsc</w:t>
      </w:r>
      <w:r w:rsidR="00D5664A">
        <w:t>h Index</w:t>
      </w:r>
      <w:r w:rsidRPr="001A3D2B">
        <w:t xml:space="preserve"> (</w:t>
      </w:r>
      <w:r w:rsidR="00D5664A">
        <w:t>h-Index</w:t>
      </w:r>
      <w:r w:rsidRPr="001A3D2B">
        <w:t>)</w:t>
      </w:r>
      <w:r w:rsidR="00A37C1D">
        <w:t>. The</w:t>
      </w:r>
      <w:r w:rsidR="003A1917">
        <w:t xml:space="preserve"> </w:t>
      </w:r>
      <w:r w:rsidRPr="001A3D2B">
        <w:t>data are mainly based on</w:t>
      </w:r>
      <w:r w:rsidR="003A1917">
        <w:t xml:space="preserve"> the </w:t>
      </w:r>
      <w:r w:rsidRPr="001A3D2B">
        <w:t>Thomson/</w:t>
      </w:r>
      <w:r w:rsidR="00730B6D">
        <w:t xml:space="preserve">ISI </w:t>
      </w:r>
      <w:r w:rsidR="00D5664A">
        <w:t>Web</w:t>
      </w:r>
      <w:r w:rsidR="00427468">
        <w:t xml:space="preserve"> of </w:t>
      </w:r>
      <w:r w:rsidR="00D5664A">
        <w:t>Science</w:t>
      </w:r>
      <w:r w:rsidRPr="001A3D2B">
        <w:t xml:space="preserve"> (WoS) which covers a carefully selected set</w:t>
      </w:r>
      <w:r w:rsidR="00427468">
        <w:t xml:space="preserve"> of </w:t>
      </w:r>
      <w:r w:rsidR="003A1917">
        <w:t xml:space="preserve">the </w:t>
      </w:r>
      <w:r w:rsidRPr="001A3D2B">
        <w:t>more prestigious journals dating back to 1900. Born</w:t>
      </w:r>
      <w:r w:rsidR="00700038">
        <w:t>’</w:t>
      </w:r>
      <w:r w:rsidR="00C13DDC">
        <w:t>s</w:t>
      </w:r>
      <w:r w:rsidRPr="001A3D2B">
        <w:t xml:space="preserve"> books</w:t>
      </w:r>
      <w:r w:rsidR="005853A9">
        <w:t xml:space="preserve"> and </w:t>
      </w:r>
      <w:r w:rsidRPr="001A3D2B">
        <w:t>articles not published in</w:t>
      </w:r>
      <w:r w:rsidR="003A1917">
        <w:t xml:space="preserve"> the </w:t>
      </w:r>
      <w:r w:rsidRPr="001A3D2B">
        <w:t>journals covered by</w:t>
      </w:r>
      <w:r w:rsidR="003A1917">
        <w:t xml:space="preserve"> the </w:t>
      </w:r>
      <w:r w:rsidRPr="001A3D2B">
        <w:t>WoS can also be evaluated, provided they are cited within</w:t>
      </w:r>
      <w:r w:rsidR="003A1917">
        <w:t xml:space="preserve"> the </w:t>
      </w:r>
      <w:r w:rsidRPr="001A3D2B">
        <w:t>WoS journals. Some anecdotic</w:t>
      </w:r>
      <w:r w:rsidR="005853A9">
        <w:t xml:space="preserve"> and </w:t>
      </w:r>
      <w:r w:rsidRPr="001A3D2B">
        <w:t>historical details, which have come to</w:t>
      </w:r>
      <w:r w:rsidR="003A1917">
        <w:t xml:space="preserve"> the </w:t>
      </w:r>
      <w:r w:rsidRPr="001A3D2B">
        <w:t>fore in</w:t>
      </w:r>
      <w:r w:rsidR="003A1917">
        <w:t xml:space="preserve"> the </w:t>
      </w:r>
      <w:r w:rsidRPr="001A3D2B">
        <w:t>course</w:t>
      </w:r>
      <w:r w:rsidR="00427468">
        <w:t xml:space="preserve"> of </w:t>
      </w:r>
      <w:r w:rsidRPr="001A3D2B">
        <w:t>our bibliometric investigations, are included. (C) 2008 WILEY-VCH Verlag GmbH &amp; Co. KGaA, Weinheim.</w:t>
      </w:r>
    </w:p>
    <w:p w:rsidR="003474F2" w:rsidRPr="001A3D2B" w:rsidRDefault="003474F2" w:rsidP="003474F2">
      <w:pPr>
        <w:pStyle w:val="a3"/>
      </w:pPr>
      <w:r w:rsidRPr="001A3D2B">
        <w:t xml:space="preserve">Keywords: Bibliometric, Bibliometric Indicators, Citations, Course, Data, </w:t>
      </w:r>
      <w:r w:rsidR="00D5664A">
        <w:t>h Index</w:t>
      </w:r>
      <w:r w:rsidRPr="001A3D2B">
        <w:t xml:space="preserve">, </w:t>
      </w:r>
      <w:r w:rsidR="00D5664A">
        <w:t>h-Index</w:t>
      </w:r>
      <w:r w:rsidRPr="001A3D2B">
        <w:t>, Hirsch, Hirsc</w:t>
      </w:r>
      <w:r w:rsidR="00D5664A">
        <w:t>h Index</w:t>
      </w:r>
      <w:r w:rsidRPr="001A3D2B">
        <w:t>, History</w:t>
      </w:r>
      <w:r w:rsidR="00427468">
        <w:t xml:space="preserve"> of </w:t>
      </w:r>
      <w:r w:rsidRPr="001A3D2B">
        <w:t xml:space="preserve">Science, Impact Analysis, Index, Indicators, Informal Citations, Investigations, Journal, Journal Articles, Journals, Methodology, Policy, Presentation, Qualitative, Science, Science Citation Index, Science Policy, </w:t>
      </w:r>
      <w:r w:rsidR="00D5664A">
        <w:lastRenderedPageBreak/>
        <w:t>Web</w:t>
      </w:r>
      <w:r w:rsidR="00427468">
        <w:t xml:space="preserve"> of </w:t>
      </w:r>
      <w:r w:rsidR="00D5664A">
        <w:t>Science</w:t>
      </w:r>
    </w:p>
    <w:p w:rsidR="00411958" w:rsidRPr="001A3D2B" w:rsidRDefault="00411958" w:rsidP="00411958">
      <w:pPr>
        <w:pStyle w:val="a3"/>
      </w:pPr>
      <w:r w:rsidRPr="001A3D2B">
        <w:t>? Romero, A.H., García, A.</w:t>
      </w:r>
      <w:r w:rsidR="005853A9">
        <w:t xml:space="preserve"> and </w:t>
      </w:r>
      <w:r w:rsidRPr="001A3D2B">
        <w:t>Kiwi, M. (2009), Evaluation</w:t>
      </w:r>
      <w:r w:rsidR="00427468">
        <w:t xml:space="preserve"> of </w:t>
      </w:r>
      <w:r w:rsidR="003A1917">
        <w:t xml:space="preserve">the </w:t>
      </w:r>
      <w:r w:rsidRPr="001A3D2B">
        <w:t>scientific impact, productivity</w:t>
      </w:r>
      <w:r w:rsidR="005853A9">
        <w:t xml:space="preserve"> and </w:t>
      </w:r>
      <w:r w:rsidRPr="001A3D2B">
        <w:t>biological age based upon</w:t>
      </w:r>
      <w:r w:rsidR="003A1917">
        <w:t xml:space="preserve"> the </w:t>
      </w:r>
      <w:r w:rsidR="00D5664A">
        <w:t>h-Index</w:t>
      </w:r>
      <w:r w:rsidRPr="001A3D2B">
        <w:t xml:space="preserve"> in three Latin American countries:</w:t>
      </w:r>
      <w:r w:rsidR="003A1917">
        <w:t xml:space="preserve"> the </w:t>
      </w:r>
      <w:r w:rsidRPr="001A3D2B">
        <w:t xml:space="preserve">materials science case. </w:t>
      </w:r>
      <w:r w:rsidRPr="001A3D2B">
        <w:rPr>
          <w:i/>
          <w:iCs/>
        </w:rPr>
        <w:t>Annalen der Physik</w:t>
      </w:r>
      <w:r w:rsidRPr="001A3D2B">
        <w:t xml:space="preserve">, </w:t>
      </w:r>
      <w:r w:rsidRPr="001A3D2B">
        <w:rPr>
          <w:b/>
          <w:bCs/>
        </w:rPr>
        <w:t>18</w:t>
      </w:r>
      <w:r w:rsidRPr="001A3D2B">
        <w:t xml:space="preserve"> (4), 198-205.</w:t>
      </w:r>
    </w:p>
    <w:p w:rsidR="00411958" w:rsidRPr="001A3D2B" w:rsidRDefault="00411958" w:rsidP="00411958">
      <w:pPr>
        <w:pStyle w:val="a3"/>
      </w:pPr>
      <w:r w:rsidRPr="001A3D2B">
        <w:t xml:space="preserve">Full Text: </w:t>
      </w:r>
      <w:hyperlink r:id="rId803" w:history="1">
        <w:r w:rsidR="00F75AAE" w:rsidRPr="00F75AAE">
          <w:rPr>
            <w:rStyle w:val="a5"/>
          </w:rPr>
          <w:t>2009\Ann Phy18, 198.pdf</w:t>
        </w:r>
      </w:hyperlink>
    </w:p>
    <w:p w:rsidR="00411958" w:rsidRPr="001A3D2B" w:rsidRDefault="00411958" w:rsidP="00411958">
      <w:pPr>
        <w:pStyle w:val="a3"/>
      </w:pPr>
      <w:r w:rsidRPr="001A3D2B">
        <w:t>Abstract: We discuss</w:t>
      </w:r>
      <w:r w:rsidR="003A1917">
        <w:t xml:space="preserve"> the </w:t>
      </w:r>
      <w:r w:rsidRPr="001A3D2B">
        <w:t>scientific impact</w:t>
      </w:r>
      <w:r w:rsidR="00427468">
        <w:t xml:space="preserve"> of </w:t>
      </w:r>
      <w:r w:rsidRPr="001A3D2B">
        <w:t>Latin American scientists in</w:t>
      </w:r>
      <w:r w:rsidR="003A1917">
        <w:t xml:space="preserve"> the </w:t>
      </w:r>
      <w:r w:rsidRPr="001A3D2B">
        <w:t>field</w:t>
      </w:r>
      <w:r w:rsidR="00427468">
        <w:t xml:space="preserve"> of </w:t>
      </w:r>
      <w:r w:rsidRPr="001A3D2B">
        <w:t>materials science</w:t>
      </w:r>
      <w:r w:rsidR="00A37C1D">
        <w:t>. The</w:t>
      </w:r>
      <w:r w:rsidR="003A1917">
        <w:t xml:space="preserve"> </w:t>
      </w:r>
      <w:r w:rsidRPr="001A3D2B">
        <w:t>analysis is based on</w:t>
      </w:r>
      <w:r w:rsidR="003A1917">
        <w:t xml:space="preserve"> the </w:t>
      </w:r>
      <w:r w:rsidR="00D5664A">
        <w:t>h-Index</w:t>
      </w:r>
      <w:r w:rsidRPr="001A3D2B">
        <w:t xml:space="preserve"> as</w:t>
      </w:r>
      <w:r w:rsidR="003A1917">
        <w:t xml:space="preserve"> the </w:t>
      </w:r>
      <w:r w:rsidRPr="001A3D2B">
        <w:t>scientometric index used to quantify</w:t>
      </w:r>
      <w:r w:rsidR="003A1917">
        <w:t xml:space="preserve"> the </w:t>
      </w:r>
      <w:r w:rsidRPr="001A3D2B">
        <w:t>scientific productivity</w:t>
      </w:r>
      <w:r w:rsidR="00427468">
        <w:t xml:space="preserve"> of </w:t>
      </w:r>
      <w:r w:rsidRPr="001A3D2B">
        <w:t>an individual. In particular, we focus our analysis in Mexico, Chile</w:t>
      </w:r>
      <w:r w:rsidR="005853A9">
        <w:t xml:space="preserve"> and </w:t>
      </w:r>
      <w:r w:rsidRPr="001A3D2B">
        <w:t>Colombia. We compare</w:t>
      </w:r>
      <w:r w:rsidR="003A1917">
        <w:t xml:space="preserve"> the </w:t>
      </w:r>
      <w:r w:rsidRPr="001A3D2B">
        <w:t>level</w:t>
      </w:r>
      <w:r w:rsidR="00427468">
        <w:t xml:space="preserve"> of </w:t>
      </w:r>
      <w:r w:rsidRPr="001A3D2B">
        <w:t>productivity between all these countries. We also analyzed</w:t>
      </w:r>
      <w:r w:rsidR="003A1917">
        <w:t xml:space="preserve"> the </w:t>
      </w:r>
      <w:r w:rsidR="00D5664A">
        <w:t>h-Index</w:t>
      </w:r>
      <w:r w:rsidRPr="001A3D2B">
        <w:t xml:space="preserve"> as function</w:t>
      </w:r>
      <w:r w:rsidR="00427468">
        <w:t xml:space="preserve"> of </w:t>
      </w:r>
      <w:r w:rsidR="003A1917">
        <w:t xml:space="preserve">the </w:t>
      </w:r>
      <w:r w:rsidRPr="001A3D2B">
        <w:t>biological age, by using</w:t>
      </w:r>
      <w:r w:rsidR="003A1917">
        <w:t xml:space="preserve"> the </w:t>
      </w:r>
      <w:r w:rsidRPr="001A3D2B">
        <w:t>first year</w:t>
      </w:r>
      <w:r w:rsidR="00427468">
        <w:t xml:space="preserve"> of </w:t>
      </w:r>
      <w:r w:rsidRPr="001A3D2B">
        <w:t>publication</w:t>
      </w:r>
      <w:r w:rsidR="00427468">
        <w:t xml:space="preserve"> of </w:t>
      </w:r>
      <w:r w:rsidRPr="001A3D2B">
        <w:t>a given scientists as a reference</w:t>
      </w:r>
      <w:r w:rsidR="005853A9">
        <w:t xml:space="preserve"> and </w:t>
      </w:r>
      <w:r w:rsidRPr="001A3D2B">
        <w:t>discussed</w:t>
      </w:r>
      <w:r w:rsidR="003A1917">
        <w:t xml:space="preserve"> the </w:t>
      </w:r>
      <w:r w:rsidRPr="001A3D2B">
        <w:t>general distribution</w:t>
      </w:r>
      <w:r w:rsidR="00427468">
        <w:t xml:space="preserve"> of </w:t>
      </w:r>
      <w:r w:rsidRPr="001A3D2B">
        <w:t>its quantification. We do not find a clear relationship between these two quantities. Based in our results we propose some political measures that these countries could implement to improve productivity as well as scientific development in this field. (C) 2009 WILEY-VCH Verlag GmbH &amp; Co. KGaA, Weinheim</w:t>
      </w:r>
    </w:p>
    <w:p w:rsidR="00411958" w:rsidRPr="001A3D2B" w:rsidRDefault="00411958" w:rsidP="00411958">
      <w:pPr>
        <w:pStyle w:val="a3"/>
      </w:pPr>
      <w:r w:rsidRPr="001A3D2B">
        <w:t xml:space="preserve">Keywords: </w:t>
      </w:r>
      <w:r w:rsidR="00D5664A">
        <w:t>h-Index</w:t>
      </w:r>
      <w:r w:rsidRPr="001A3D2B">
        <w:t>, Bibliometric Indices, Research Evaluation, Field Scientific Performance, Hirsc</w:t>
      </w:r>
      <w:r w:rsidR="00D5664A">
        <w:t>h-Index</w:t>
      </w:r>
      <w:r w:rsidRPr="001A3D2B">
        <w:t>, Bibliometric Indicators</w:t>
      </w:r>
    </w:p>
    <w:p w:rsidR="005C091F" w:rsidRDefault="005C091F" w:rsidP="005C091F">
      <w:pPr>
        <w:pStyle w:val="a3"/>
        <w:rPr>
          <w:kern w:val="0"/>
        </w:rPr>
      </w:pPr>
      <w:r>
        <w:rPr>
          <w:rFonts w:hint="eastAsia"/>
          <w:kern w:val="0"/>
        </w:rPr>
        <w:t xml:space="preserve">? </w:t>
      </w:r>
      <w:r>
        <w:rPr>
          <w:kern w:val="0"/>
        </w:rPr>
        <w:t>Schreiber, M. (2009</w:t>
      </w:r>
      <w:r w:rsidR="00F42EAC">
        <w:rPr>
          <w:kern w:val="0"/>
        </w:rPr>
        <w:t>), The</w:t>
      </w:r>
      <w:r w:rsidR="003A1917">
        <w:rPr>
          <w:kern w:val="0"/>
        </w:rPr>
        <w:t xml:space="preserve"> </w:t>
      </w:r>
      <w:r>
        <w:rPr>
          <w:kern w:val="0"/>
        </w:rPr>
        <w:t>influence</w:t>
      </w:r>
      <w:r w:rsidR="00427468">
        <w:rPr>
          <w:kern w:val="0"/>
        </w:rPr>
        <w:t xml:space="preserve"> of </w:t>
      </w:r>
      <w:r>
        <w:rPr>
          <w:kern w:val="0"/>
        </w:rPr>
        <w:t>self-citation corrections</w:t>
      </w:r>
      <w:r w:rsidR="005853A9">
        <w:rPr>
          <w:kern w:val="0"/>
        </w:rPr>
        <w:t xml:space="preserve"> and </w:t>
      </w:r>
      <w:r w:rsidR="003A1917">
        <w:rPr>
          <w:kern w:val="0"/>
        </w:rPr>
        <w:t xml:space="preserve">the </w:t>
      </w:r>
      <w:r>
        <w:rPr>
          <w:kern w:val="0"/>
        </w:rPr>
        <w:t>fractionalised counting</w:t>
      </w:r>
      <w:r w:rsidR="00427468">
        <w:rPr>
          <w:kern w:val="0"/>
        </w:rPr>
        <w:t xml:space="preserve"> of </w:t>
      </w:r>
      <w:r>
        <w:rPr>
          <w:kern w:val="0"/>
        </w:rPr>
        <w:t>multi-authored manuscripts on</w:t>
      </w:r>
      <w:r w:rsidR="003A1917">
        <w:rPr>
          <w:kern w:val="0"/>
        </w:rPr>
        <w:t xml:space="preserve"> the </w:t>
      </w:r>
      <w:r>
        <w:rPr>
          <w:kern w:val="0"/>
        </w:rPr>
        <w:t>Hirsc</w:t>
      </w:r>
      <w:r w:rsidR="00D5664A">
        <w:rPr>
          <w:kern w:val="0"/>
        </w:rPr>
        <w:t>h Index</w:t>
      </w:r>
      <w:r>
        <w:rPr>
          <w:kern w:val="0"/>
        </w:rPr>
        <w:t xml:space="preserve">. </w:t>
      </w:r>
      <w:r>
        <w:rPr>
          <w:i/>
          <w:iCs/>
          <w:kern w:val="0"/>
        </w:rPr>
        <w:t>Annalen der Physik</w:t>
      </w:r>
      <w:r>
        <w:rPr>
          <w:kern w:val="0"/>
        </w:rPr>
        <w:t xml:space="preserve">, </w:t>
      </w:r>
      <w:r>
        <w:rPr>
          <w:b/>
          <w:bCs/>
          <w:kern w:val="0"/>
        </w:rPr>
        <w:t>18</w:t>
      </w:r>
      <w:r>
        <w:rPr>
          <w:kern w:val="0"/>
        </w:rPr>
        <w:t xml:space="preserve"> (9), 607-621.</w:t>
      </w:r>
    </w:p>
    <w:p w:rsidR="005C091F" w:rsidRPr="001A3D2B" w:rsidRDefault="005C091F" w:rsidP="005C091F">
      <w:pPr>
        <w:pStyle w:val="a3"/>
      </w:pPr>
      <w:r w:rsidRPr="001A3D2B">
        <w:t xml:space="preserve">Full Text: </w:t>
      </w:r>
      <w:hyperlink r:id="rId804" w:history="1">
        <w:r w:rsidRPr="000B0208">
          <w:rPr>
            <w:rStyle w:val="a5"/>
          </w:rPr>
          <w:t>2009\Ann Phy18, 607.pdf</w:t>
        </w:r>
      </w:hyperlink>
    </w:p>
    <w:p w:rsidR="005C091F" w:rsidRDefault="005C091F" w:rsidP="005C091F">
      <w:pPr>
        <w:pStyle w:val="a3"/>
        <w:rPr>
          <w:kern w:val="0"/>
        </w:rPr>
      </w:pPr>
      <w:r>
        <w:rPr>
          <w:kern w:val="0"/>
        </w:rPr>
        <w:t>Abstract:</w:t>
      </w:r>
      <w:r w:rsidR="003A1917">
        <w:rPr>
          <w:kern w:val="0"/>
        </w:rPr>
        <w:t xml:space="preserve"> the </w:t>
      </w:r>
      <w:r>
        <w:rPr>
          <w:kern w:val="0"/>
        </w:rPr>
        <w:t>Hirsc</w:t>
      </w:r>
      <w:r w:rsidR="00D5664A">
        <w:rPr>
          <w:kern w:val="0"/>
        </w:rPr>
        <w:t>h Index</w:t>
      </w:r>
      <w:r>
        <w:rPr>
          <w:kern w:val="0"/>
        </w:rPr>
        <w:t xml:space="preserve"> or </w:t>
      </w:r>
      <w:r w:rsidR="00D5664A">
        <w:rPr>
          <w:kern w:val="0"/>
        </w:rPr>
        <w:t>h-Index</w:t>
      </w:r>
      <w:r>
        <w:rPr>
          <w:kern w:val="0"/>
        </w:rPr>
        <w:t xml:space="preserve"> is widely used to quantify</w:t>
      </w:r>
      <w:r w:rsidR="003A1917">
        <w:rPr>
          <w:kern w:val="0"/>
        </w:rPr>
        <w:t xml:space="preserve"> the </w:t>
      </w:r>
      <w:r>
        <w:rPr>
          <w:kern w:val="0"/>
        </w:rPr>
        <w:t>impact</w:t>
      </w:r>
      <w:r w:rsidR="00427468">
        <w:rPr>
          <w:kern w:val="0"/>
        </w:rPr>
        <w:t xml:space="preserve"> of </w:t>
      </w:r>
      <w:r>
        <w:rPr>
          <w:kern w:val="0"/>
        </w:rPr>
        <w:t>an individual</w:t>
      </w:r>
      <w:r w:rsidR="00700038">
        <w:rPr>
          <w:kern w:val="0"/>
        </w:rPr>
        <w:t>’</w:t>
      </w:r>
      <w:r w:rsidR="00C13DDC">
        <w:rPr>
          <w:kern w:val="0"/>
        </w:rPr>
        <w:t>s</w:t>
      </w:r>
      <w:r>
        <w:rPr>
          <w:kern w:val="0"/>
        </w:rPr>
        <w:t xml:space="preserve"> scientific research output, determining</w:t>
      </w:r>
      <w:r w:rsidR="003A1917">
        <w:rPr>
          <w:kern w:val="0"/>
        </w:rPr>
        <w:t xml:space="preserve"> the </w:t>
      </w:r>
      <w:r>
        <w:rPr>
          <w:kern w:val="0"/>
        </w:rPr>
        <w:t>highest number h</w:t>
      </w:r>
      <w:r w:rsidR="00427468">
        <w:rPr>
          <w:kern w:val="0"/>
        </w:rPr>
        <w:t xml:space="preserve"> of </w:t>
      </w:r>
      <w:r>
        <w:rPr>
          <w:kern w:val="0"/>
        </w:rPr>
        <w:t>a scientist</w:t>
      </w:r>
      <w:r w:rsidR="00700038">
        <w:rPr>
          <w:kern w:val="0"/>
        </w:rPr>
        <w:t>’</w:t>
      </w:r>
      <w:r w:rsidR="00C13DDC">
        <w:rPr>
          <w:kern w:val="0"/>
        </w:rPr>
        <w:t>s</w:t>
      </w:r>
      <w:r>
        <w:rPr>
          <w:kern w:val="0"/>
        </w:rPr>
        <w:t xml:space="preserve"> papers that received at least h citations. Fractionalised counting</w:t>
      </w:r>
      <w:r w:rsidR="00427468">
        <w:rPr>
          <w:kern w:val="0"/>
        </w:rPr>
        <w:t xml:space="preserve"> of </w:t>
      </w:r>
      <w:r w:rsidR="003A1917">
        <w:rPr>
          <w:kern w:val="0"/>
        </w:rPr>
        <w:t xml:space="preserve">the </w:t>
      </w:r>
      <w:r>
        <w:rPr>
          <w:kern w:val="0"/>
        </w:rPr>
        <w:t>publications is an appropriate way to distribute</w:t>
      </w:r>
      <w:r w:rsidR="003A1917">
        <w:rPr>
          <w:kern w:val="0"/>
        </w:rPr>
        <w:t xml:space="preserve"> the </w:t>
      </w:r>
      <w:r>
        <w:rPr>
          <w:kern w:val="0"/>
        </w:rPr>
        <w:t>impact</w:t>
      </w:r>
      <w:r w:rsidR="00427468">
        <w:rPr>
          <w:kern w:val="0"/>
        </w:rPr>
        <w:t xml:space="preserve"> of </w:t>
      </w:r>
      <w:r>
        <w:rPr>
          <w:kern w:val="0"/>
        </w:rPr>
        <w:t>a paper among all</w:t>
      </w:r>
      <w:r w:rsidR="003A1917">
        <w:rPr>
          <w:kern w:val="0"/>
        </w:rPr>
        <w:t xml:space="preserve"> the </w:t>
      </w:r>
      <w:r>
        <w:rPr>
          <w:kern w:val="0"/>
        </w:rPr>
        <w:t>coauthors</w:t>
      </w:r>
      <w:r w:rsidR="00427468">
        <w:rPr>
          <w:kern w:val="0"/>
        </w:rPr>
        <w:t xml:space="preserve"> of </w:t>
      </w:r>
      <w:r>
        <w:rPr>
          <w:kern w:val="0"/>
        </w:rPr>
        <w:t>a multi-authored manuscript in an easy way, leading to a simple modification h(m)</w:t>
      </w:r>
      <w:r w:rsidR="00427468">
        <w:rPr>
          <w:kern w:val="0"/>
        </w:rPr>
        <w:t xml:space="preserve"> of </w:t>
      </w:r>
      <w:r w:rsidR="003A1917">
        <w:rPr>
          <w:kern w:val="0"/>
        </w:rPr>
        <w:t xml:space="preserve">the </w:t>
      </w:r>
      <w:r w:rsidR="00D5664A">
        <w:rPr>
          <w:kern w:val="0"/>
        </w:rPr>
        <w:t>h-Index</w:t>
      </w:r>
      <w:r>
        <w:rPr>
          <w:kern w:val="0"/>
        </w:rPr>
        <w:t>. On</w:t>
      </w:r>
      <w:r w:rsidR="003A1917">
        <w:rPr>
          <w:kern w:val="0"/>
        </w:rPr>
        <w:t xml:space="preserve"> the </w:t>
      </w:r>
      <w:r>
        <w:rPr>
          <w:kern w:val="0"/>
        </w:rPr>
        <w:t>other hand</w:t>
      </w:r>
      <w:r w:rsidR="003A1917">
        <w:rPr>
          <w:kern w:val="0"/>
        </w:rPr>
        <w:t xml:space="preserve"> the </w:t>
      </w:r>
      <w:r>
        <w:rPr>
          <w:kern w:val="0"/>
        </w:rPr>
        <w:t>exclusion</w:t>
      </w:r>
      <w:r w:rsidR="00427468">
        <w:rPr>
          <w:kern w:val="0"/>
        </w:rPr>
        <w:t xml:space="preserve"> of </w:t>
      </w:r>
      <w:r>
        <w:rPr>
          <w:kern w:val="0"/>
        </w:rPr>
        <w:t>self-citations allows one to sharpen</w:t>
      </w:r>
      <w:r w:rsidR="003A1917">
        <w:rPr>
          <w:kern w:val="0"/>
        </w:rPr>
        <w:t xml:space="preserve"> the </w:t>
      </w:r>
      <w:r>
        <w:rPr>
          <w:kern w:val="0"/>
        </w:rPr>
        <w:t>index, what is appropriate, because self-citations are usually not reflecting</w:t>
      </w:r>
      <w:r w:rsidR="003A1917">
        <w:rPr>
          <w:kern w:val="0"/>
        </w:rPr>
        <w:t xml:space="preserve"> the </w:t>
      </w:r>
      <w:r>
        <w:rPr>
          <w:kern w:val="0"/>
        </w:rPr>
        <w:t>significance</w:t>
      </w:r>
      <w:r w:rsidR="00427468">
        <w:rPr>
          <w:kern w:val="0"/>
        </w:rPr>
        <w:t xml:space="preserve"> of </w:t>
      </w:r>
      <w:r>
        <w:rPr>
          <w:kern w:val="0"/>
        </w:rPr>
        <w:t>a publication. I have previously analysed</w:t>
      </w:r>
      <w:r w:rsidR="003A1917">
        <w:rPr>
          <w:kern w:val="0"/>
        </w:rPr>
        <w:t xml:space="preserve"> the </w:t>
      </w:r>
      <w:r>
        <w:rPr>
          <w:kern w:val="0"/>
        </w:rPr>
        <w:t>citation records</w:t>
      </w:r>
      <w:r w:rsidR="00427468">
        <w:rPr>
          <w:kern w:val="0"/>
        </w:rPr>
        <w:t xml:space="preserve"> of </w:t>
      </w:r>
      <w:r>
        <w:rPr>
          <w:kern w:val="0"/>
        </w:rPr>
        <w:t>26 physicists discussing</w:t>
      </w:r>
      <w:r w:rsidR="003A1917">
        <w:rPr>
          <w:kern w:val="0"/>
        </w:rPr>
        <w:t xml:space="preserve"> the </w:t>
      </w:r>
      <w:r>
        <w:rPr>
          <w:kern w:val="0"/>
        </w:rPr>
        <w:t>sharpened index h(s) as well as</w:t>
      </w:r>
      <w:r w:rsidR="003A1917">
        <w:rPr>
          <w:kern w:val="0"/>
        </w:rPr>
        <w:t xml:space="preserve"> the </w:t>
      </w:r>
      <w:r>
        <w:rPr>
          <w:kern w:val="0"/>
        </w:rPr>
        <w:t>modification h(m)</w:t>
      </w:r>
      <w:r w:rsidR="00427468">
        <w:rPr>
          <w:kern w:val="0"/>
        </w:rPr>
        <w:t xml:space="preserve"> of </w:t>
      </w:r>
      <w:r w:rsidR="003A1917">
        <w:rPr>
          <w:kern w:val="0"/>
        </w:rPr>
        <w:t xml:space="preserve">the </w:t>
      </w:r>
      <w:r>
        <w:rPr>
          <w:kern w:val="0"/>
        </w:rPr>
        <w:t xml:space="preserve">original </w:t>
      </w:r>
      <w:r w:rsidR="00D5664A">
        <w:rPr>
          <w:kern w:val="0"/>
        </w:rPr>
        <w:t>h-Index</w:t>
      </w:r>
      <w:r>
        <w:rPr>
          <w:kern w:val="0"/>
        </w:rPr>
        <w:t>. In</w:t>
      </w:r>
      <w:r w:rsidR="003A1917">
        <w:rPr>
          <w:kern w:val="0"/>
        </w:rPr>
        <w:t xml:space="preserve"> the </w:t>
      </w:r>
      <w:r>
        <w:rPr>
          <w:kern w:val="0"/>
        </w:rPr>
        <w:t>present investigation I combine these two procedures yielding</w:t>
      </w:r>
      <w:r w:rsidR="003A1917">
        <w:rPr>
          <w:kern w:val="0"/>
        </w:rPr>
        <w:t xml:space="preserve"> the </w:t>
      </w:r>
      <w:r>
        <w:rPr>
          <w:kern w:val="0"/>
        </w:rPr>
        <w:t>modified sharpened index h(ms). For a better comparison, interpolated indices are utilized</w:t>
      </w:r>
      <w:r w:rsidR="00A37C1D">
        <w:rPr>
          <w:kern w:val="0"/>
        </w:rPr>
        <w:t>. The</w:t>
      </w:r>
      <w:r w:rsidR="003A1917">
        <w:rPr>
          <w:kern w:val="0"/>
        </w:rPr>
        <w:t xml:space="preserve"> </w:t>
      </w:r>
      <w:r>
        <w:rPr>
          <w:kern w:val="0"/>
        </w:rPr>
        <w:t>correlations between</w:t>
      </w:r>
      <w:r w:rsidR="003A1917">
        <w:rPr>
          <w:kern w:val="0"/>
        </w:rPr>
        <w:t xml:space="preserve"> the </w:t>
      </w:r>
      <w:r>
        <w:rPr>
          <w:kern w:val="0"/>
        </w:rPr>
        <w:t>indices are rather strong, but nevertheless</w:t>
      </w:r>
      <w:r w:rsidR="003A1917">
        <w:rPr>
          <w:kern w:val="0"/>
        </w:rPr>
        <w:t xml:space="preserve"> the </w:t>
      </w:r>
      <w:r>
        <w:rPr>
          <w:kern w:val="0"/>
        </w:rPr>
        <w:t>positions</w:t>
      </w:r>
      <w:r w:rsidR="00427468">
        <w:rPr>
          <w:kern w:val="0"/>
        </w:rPr>
        <w:t xml:space="preserve"> of </w:t>
      </w:r>
      <w:r>
        <w:rPr>
          <w:kern w:val="0"/>
        </w:rPr>
        <w:t>some datasets change, in a few cases significantly, depending on whether they are put into order according to</w:t>
      </w:r>
      <w:r w:rsidR="003A1917">
        <w:rPr>
          <w:kern w:val="0"/>
        </w:rPr>
        <w:t xml:space="preserve"> the </w:t>
      </w:r>
      <w:r>
        <w:rPr>
          <w:kern w:val="0"/>
        </w:rPr>
        <w:t>values</w:t>
      </w:r>
      <w:r w:rsidR="00427468">
        <w:rPr>
          <w:kern w:val="0"/>
        </w:rPr>
        <w:t xml:space="preserve"> of </w:t>
      </w:r>
      <w:r>
        <w:rPr>
          <w:kern w:val="0"/>
        </w:rPr>
        <w:t>h, h(m), h(s), or h(ms). This leads to</w:t>
      </w:r>
      <w:r w:rsidR="003A1917">
        <w:rPr>
          <w:kern w:val="0"/>
        </w:rPr>
        <w:t xml:space="preserve"> the </w:t>
      </w:r>
      <w:r>
        <w:rPr>
          <w:kern w:val="0"/>
        </w:rPr>
        <w:t>conclusion that</w:t>
      </w:r>
      <w:r w:rsidR="003A1917">
        <w:rPr>
          <w:kern w:val="0"/>
        </w:rPr>
        <w:t xml:space="preserve"> the </w:t>
      </w:r>
      <w:r>
        <w:rPr>
          <w:kern w:val="0"/>
        </w:rPr>
        <w:t>additional effort in determining</w:t>
      </w:r>
      <w:r w:rsidR="003A1917">
        <w:rPr>
          <w:kern w:val="0"/>
        </w:rPr>
        <w:t xml:space="preserve"> the </w:t>
      </w:r>
      <w:r>
        <w:rPr>
          <w:kern w:val="0"/>
        </w:rPr>
        <w:t>modified sharpened index h(ms) is worth performing in order to obtain a fairer evaluation</w:t>
      </w:r>
      <w:r w:rsidR="00427468">
        <w:rPr>
          <w:kern w:val="0"/>
        </w:rPr>
        <w:t xml:space="preserve"> of </w:t>
      </w:r>
      <w:r w:rsidR="003A1917">
        <w:rPr>
          <w:kern w:val="0"/>
        </w:rPr>
        <w:t xml:space="preserve">the </w:t>
      </w:r>
      <w:r>
        <w:rPr>
          <w:kern w:val="0"/>
        </w:rPr>
        <w:t xml:space="preserve">citation records. (C) 2009 WILEY-VCH </w:t>
      </w:r>
      <w:r>
        <w:rPr>
          <w:kern w:val="0"/>
        </w:rPr>
        <w:lastRenderedPageBreak/>
        <w:t>Verlag GmbH &amp; Co. KGaA, Weinheim.</w:t>
      </w:r>
    </w:p>
    <w:p w:rsidR="005C091F" w:rsidRDefault="005C091F" w:rsidP="005C091F">
      <w:pPr>
        <w:pStyle w:val="a3"/>
        <w:rPr>
          <w:kern w:val="0"/>
        </w:rPr>
      </w:pPr>
      <w:r>
        <w:rPr>
          <w:kern w:val="0"/>
        </w:rPr>
        <w:t xml:space="preserve">Keywords: Citation, Citation Analysis, Citations, Coauthors, Evaluation, </w:t>
      </w:r>
      <w:r w:rsidR="00D5664A">
        <w:rPr>
          <w:kern w:val="0"/>
        </w:rPr>
        <w:t>h Index</w:t>
      </w:r>
      <w:r>
        <w:rPr>
          <w:kern w:val="0"/>
        </w:rPr>
        <w:t xml:space="preserve">, </w:t>
      </w:r>
      <w:r w:rsidR="00D5664A">
        <w:rPr>
          <w:kern w:val="0"/>
        </w:rPr>
        <w:t>h-Index</w:t>
      </w:r>
      <w:r>
        <w:rPr>
          <w:kern w:val="0"/>
        </w:rPr>
        <w:t>, Hirsc</w:t>
      </w:r>
      <w:r w:rsidR="00D5664A">
        <w:rPr>
          <w:kern w:val="0"/>
        </w:rPr>
        <w:t>h Index</w:t>
      </w:r>
      <w:r>
        <w:rPr>
          <w:kern w:val="0"/>
        </w:rPr>
        <w:t>, Physicists, Publication, Publications, Research, Research Output, Self-Citations</w:t>
      </w:r>
    </w:p>
    <w:p w:rsidR="00C177B8" w:rsidRDefault="00C177B8" w:rsidP="00C177B8">
      <w:pPr>
        <w:pStyle w:val="a3"/>
        <w:rPr>
          <w:kern w:val="0"/>
        </w:rPr>
      </w:pPr>
      <w:r>
        <w:rPr>
          <w:rFonts w:hint="eastAsia"/>
          <w:kern w:val="0"/>
        </w:rPr>
        <w:t xml:space="preserve">? </w:t>
      </w:r>
      <w:r>
        <w:rPr>
          <w:kern w:val="0"/>
        </w:rPr>
        <w:t>Schreiber, M. (2010), Twenty Hirsc</w:t>
      </w:r>
      <w:r w:rsidR="00D5664A">
        <w:rPr>
          <w:kern w:val="0"/>
        </w:rPr>
        <w:t>h Index</w:t>
      </w:r>
      <w:r>
        <w:rPr>
          <w:kern w:val="0"/>
        </w:rPr>
        <w:t xml:space="preserve"> variants</w:t>
      </w:r>
      <w:r w:rsidR="005853A9">
        <w:rPr>
          <w:kern w:val="0"/>
        </w:rPr>
        <w:t xml:space="preserve"> and </w:t>
      </w:r>
      <w:r>
        <w:rPr>
          <w:kern w:val="0"/>
        </w:rPr>
        <w:t xml:space="preserve">other indicators giving more or less preference to highly cited papers. </w:t>
      </w:r>
      <w:r>
        <w:rPr>
          <w:i/>
          <w:iCs/>
          <w:kern w:val="0"/>
        </w:rPr>
        <w:t>Annalen der Physik</w:t>
      </w:r>
      <w:r>
        <w:rPr>
          <w:kern w:val="0"/>
        </w:rPr>
        <w:t xml:space="preserve">, </w:t>
      </w:r>
      <w:r>
        <w:rPr>
          <w:b/>
          <w:bCs/>
          <w:kern w:val="0"/>
        </w:rPr>
        <w:t>522</w:t>
      </w:r>
      <w:r>
        <w:rPr>
          <w:kern w:val="0"/>
        </w:rPr>
        <w:t xml:space="preserve"> (8), 536-554.</w:t>
      </w:r>
    </w:p>
    <w:p w:rsidR="00C177B8" w:rsidRPr="001A3D2B" w:rsidRDefault="00C177B8" w:rsidP="00C177B8">
      <w:pPr>
        <w:pStyle w:val="a3"/>
      </w:pPr>
      <w:r w:rsidRPr="001A3D2B">
        <w:t xml:space="preserve">Full Text: </w:t>
      </w:r>
      <w:hyperlink r:id="rId805" w:history="1">
        <w:r w:rsidRPr="00B761EF">
          <w:rPr>
            <w:rStyle w:val="a5"/>
          </w:rPr>
          <w:t>2010\Ann Phy522, 536.pdf</w:t>
        </w:r>
      </w:hyperlink>
    </w:p>
    <w:p w:rsidR="00C177B8" w:rsidRDefault="00C177B8" w:rsidP="00C177B8">
      <w:pPr>
        <w:pStyle w:val="a3"/>
        <w:rPr>
          <w:kern w:val="0"/>
        </w:rPr>
      </w:pPr>
      <w:r>
        <w:rPr>
          <w:kern w:val="0"/>
        </w:rPr>
        <w:t>Abstract:</w:t>
      </w:r>
      <w:r w:rsidR="003A1917">
        <w:rPr>
          <w:kern w:val="0"/>
        </w:rPr>
        <w:t xml:space="preserve"> the </w:t>
      </w:r>
      <w:r>
        <w:rPr>
          <w:kern w:val="0"/>
        </w:rPr>
        <w:t>Hirsc</w:t>
      </w:r>
      <w:r w:rsidR="00D5664A">
        <w:rPr>
          <w:kern w:val="0"/>
        </w:rPr>
        <w:t>h Index</w:t>
      </w:r>
      <w:r>
        <w:rPr>
          <w:kern w:val="0"/>
        </w:rPr>
        <w:t xml:space="preserve"> or </w:t>
      </w:r>
      <w:r w:rsidR="00D5664A">
        <w:rPr>
          <w:kern w:val="0"/>
        </w:rPr>
        <w:t>h-Index</w:t>
      </w:r>
      <w:r>
        <w:rPr>
          <w:kern w:val="0"/>
        </w:rPr>
        <w:t xml:space="preserve"> is widely used to quantify</w:t>
      </w:r>
      <w:r w:rsidR="003A1917">
        <w:rPr>
          <w:kern w:val="0"/>
        </w:rPr>
        <w:t xml:space="preserve"> the </w:t>
      </w:r>
      <w:r>
        <w:rPr>
          <w:kern w:val="0"/>
        </w:rPr>
        <w:t>impact</w:t>
      </w:r>
      <w:r w:rsidR="00427468">
        <w:rPr>
          <w:kern w:val="0"/>
        </w:rPr>
        <w:t xml:space="preserve"> of </w:t>
      </w:r>
      <w:r>
        <w:rPr>
          <w:kern w:val="0"/>
        </w:rPr>
        <w:t>an individual</w:t>
      </w:r>
      <w:r w:rsidR="00700038">
        <w:rPr>
          <w:kern w:val="0"/>
        </w:rPr>
        <w:t>’</w:t>
      </w:r>
      <w:r w:rsidR="00C13DDC">
        <w:rPr>
          <w:kern w:val="0"/>
        </w:rPr>
        <w:t>s</w:t>
      </w:r>
      <w:r>
        <w:rPr>
          <w:kern w:val="0"/>
        </w:rPr>
        <w:t xml:space="preserve"> scientific research output, determining</w:t>
      </w:r>
      <w:r w:rsidR="003A1917">
        <w:rPr>
          <w:kern w:val="0"/>
        </w:rPr>
        <w:t xml:space="preserve"> the </w:t>
      </w:r>
      <w:r>
        <w:rPr>
          <w:kern w:val="0"/>
        </w:rPr>
        <w:t>highest number h</w:t>
      </w:r>
      <w:r w:rsidR="00427468">
        <w:rPr>
          <w:kern w:val="0"/>
        </w:rPr>
        <w:t xml:space="preserve"> of </w:t>
      </w:r>
      <w:r>
        <w:rPr>
          <w:kern w:val="0"/>
        </w:rPr>
        <w:t>a scientist</w:t>
      </w:r>
      <w:r w:rsidR="00700038">
        <w:rPr>
          <w:kern w:val="0"/>
        </w:rPr>
        <w:t>’</w:t>
      </w:r>
      <w:r w:rsidR="00C13DDC">
        <w:rPr>
          <w:kern w:val="0"/>
        </w:rPr>
        <w:t>s</w:t>
      </w:r>
      <w:r>
        <w:rPr>
          <w:kern w:val="0"/>
        </w:rPr>
        <w:t xml:space="preserve"> papers that received at least it citations. Several variants</w:t>
      </w:r>
      <w:r w:rsidR="00427468">
        <w:rPr>
          <w:kern w:val="0"/>
        </w:rPr>
        <w:t xml:space="preserve"> of </w:t>
      </w:r>
      <w:r w:rsidR="003A1917">
        <w:rPr>
          <w:kern w:val="0"/>
        </w:rPr>
        <w:t xml:space="preserve">the </w:t>
      </w:r>
      <w:r>
        <w:rPr>
          <w:kern w:val="0"/>
        </w:rPr>
        <w:t>index have been proposed in order to give more or less preference to highly cited papers. I analyse</w:t>
      </w:r>
      <w:r w:rsidR="003A1917">
        <w:rPr>
          <w:kern w:val="0"/>
        </w:rPr>
        <w:t xml:space="preserve"> the </w:t>
      </w:r>
      <w:r>
        <w:rPr>
          <w:kern w:val="0"/>
        </w:rPr>
        <w:t>citation records</w:t>
      </w:r>
      <w:r w:rsidR="00427468">
        <w:rPr>
          <w:kern w:val="0"/>
        </w:rPr>
        <w:t xml:space="preserve"> of </w:t>
      </w:r>
      <w:r>
        <w:rPr>
          <w:kern w:val="0"/>
        </w:rPr>
        <w:t>26 physicists discussing various suggestions, in particular A, e, f, g, h(2), h(w), h(T), h, m, pi, R, s, t, w,</w:t>
      </w:r>
      <w:r w:rsidR="005853A9">
        <w:rPr>
          <w:kern w:val="0"/>
        </w:rPr>
        <w:t xml:space="preserve"> and </w:t>
      </w:r>
      <w:r>
        <w:rPr>
          <w:kern w:val="0"/>
        </w:rPr>
        <w:t>maxprod</w:t>
      </w:r>
      <w:r w:rsidR="00A37C1D">
        <w:rPr>
          <w:kern w:val="0"/>
        </w:rPr>
        <w:t>. The</w:t>
      </w:r>
      <w:r w:rsidR="003A1917">
        <w:rPr>
          <w:kern w:val="0"/>
        </w:rPr>
        <w:t xml:space="preserve"> </w:t>
      </w:r>
      <w:r>
        <w:rPr>
          <w:kern w:val="0"/>
        </w:rPr>
        <w:t>total number</w:t>
      </w:r>
      <w:r w:rsidR="00427468">
        <w:rPr>
          <w:kern w:val="0"/>
        </w:rPr>
        <w:t xml:space="preserve"> of </w:t>
      </w:r>
      <w:r>
        <w:rPr>
          <w:kern w:val="0"/>
        </w:rPr>
        <w:t>all</w:t>
      </w:r>
      <w:r w:rsidR="005853A9">
        <w:rPr>
          <w:kern w:val="0"/>
        </w:rPr>
        <w:t xml:space="preserve"> and</w:t>
      </w:r>
      <w:r w:rsidR="00427468">
        <w:rPr>
          <w:kern w:val="0"/>
        </w:rPr>
        <w:t xml:space="preserve"> of </w:t>
      </w:r>
      <w:r>
        <w:rPr>
          <w:kern w:val="0"/>
        </w:rPr>
        <w:t>all cited publications as well as</w:t>
      </w:r>
      <w:r w:rsidR="003A1917">
        <w:rPr>
          <w:kern w:val="0"/>
        </w:rPr>
        <w:t xml:space="preserve"> the </w:t>
      </w:r>
      <w:r>
        <w:rPr>
          <w:kern w:val="0"/>
        </w:rPr>
        <w:t>highest</w:t>
      </w:r>
      <w:r w:rsidR="005853A9">
        <w:rPr>
          <w:kern w:val="0"/>
        </w:rPr>
        <w:t xml:space="preserve"> and </w:t>
      </w:r>
      <w:r w:rsidR="003A1917">
        <w:rPr>
          <w:kern w:val="0"/>
        </w:rPr>
        <w:t xml:space="preserve">the </w:t>
      </w:r>
      <w:r>
        <w:rPr>
          <w:kern w:val="0"/>
        </w:rPr>
        <w:t>average number</w:t>
      </w:r>
      <w:r w:rsidR="00427468">
        <w:rPr>
          <w:kern w:val="0"/>
        </w:rPr>
        <w:t xml:space="preserve"> of </w:t>
      </w:r>
      <w:r>
        <w:rPr>
          <w:kern w:val="0"/>
        </w:rPr>
        <w:t>citations are also compared. Advantages</w:t>
      </w:r>
      <w:r w:rsidR="005853A9">
        <w:rPr>
          <w:kern w:val="0"/>
        </w:rPr>
        <w:t xml:space="preserve"> and </w:t>
      </w:r>
      <w:r>
        <w:rPr>
          <w:kern w:val="0"/>
        </w:rPr>
        <w:t>disadvantages</w:t>
      </w:r>
      <w:r w:rsidR="00427468">
        <w:rPr>
          <w:kern w:val="0"/>
        </w:rPr>
        <w:t xml:space="preserve"> of </w:t>
      </w:r>
      <w:r>
        <w:rPr>
          <w:kern w:val="0"/>
        </w:rPr>
        <w:t>these indices</w:t>
      </w:r>
      <w:r w:rsidR="005853A9">
        <w:rPr>
          <w:kern w:val="0"/>
        </w:rPr>
        <w:t xml:space="preserve"> and </w:t>
      </w:r>
      <w:r>
        <w:rPr>
          <w:kern w:val="0"/>
        </w:rPr>
        <w:t>indicators are discussed. Correlation coefficients are determined quantifying which indices</w:t>
      </w:r>
      <w:r w:rsidR="005853A9">
        <w:rPr>
          <w:kern w:val="0"/>
        </w:rPr>
        <w:t xml:space="preserve"> and </w:t>
      </w:r>
      <w:r>
        <w:rPr>
          <w:kern w:val="0"/>
        </w:rPr>
        <w:t>indicators yield similar</w:t>
      </w:r>
      <w:r w:rsidR="005853A9">
        <w:rPr>
          <w:kern w:val="0"/>
        </w:rPr>
        <w:t xml:space="preserve"> and </w:t>
      </w:r>
      <w:r>
        <w:rPr>
          <w:kern w:val="0"/>
        </w:rPr>
        <w:t>which yield more deviating rankings</w:t>
      </w:r>
      <w:r w:rsidR="00427468">
        <w:rPr>
          <w:kern w:val="0"/>
        </w:rPr>
        <w:t xml:space="preserve"> of </w:t>
      </w:r>
      <w:r w:rsidR="003A1917">
        <w:rPr>
          <w:kern w:val="0"/>
        </w:rPr>
        <w:t xml:space="preserve">the </w:t>
      </w:r>
      <w:r>
        <w:rPr>
          <w:kern w:val="0"/>
        </w:rPr>
        <w:t>26 datasets. For 6 datasets</w:t>
      </w:r>
      <w:r w:rsidR="003A1917">
        <w:rPr>
          <w:kern w:val="0"/>
        </w:rPr>
        <w:t xml:space="preserve"> the </w:t>
      </w:r>
      <w:r>
        <w:rPr>
          <w:kern w:val="0"/>
        </w:rPr>
        <w:t>determination</w:t>
      </w:r>
      <w:r w:rsidR="00427468">
        <w:rPr>
          <w:kern w:val="0"/>
        </w:rPr>
        <w:t xml:space="preserve"> of </w:t>
      </w:r>
      <w:r w:rsidR="003A1917">
        <w:rPr>
          <w:kern w:val="0"/>
        </w:rPr>
        <w:t xml:space="preserve">the </w:t>
      </w:r>
      <w:r>
        <w:rPr>
          <w:kern w:val="0"/>
        </w:rPr>
        <w:t>indices</w:t>
      </w:r>
      <w:r w:rsidR="005853A9">
        <w:rPr>
          <w:kern w:val="0"/>
        </w:rPr>
        <w:t xml:space="preserve"> and </w:t>
      </w:r>
      <w:r>
        <w:rPr>
          <w:kern w:val="0"/>
        </w:rPr>
        <w:t>indicators is visualized. (C) 2010 WILEY-VCH Verlag GmbH &amp; Co. KGaA. Weinheim.</w:t>
      </w:r>
    </w:p>
    <w:p w:rsidR="00C177B8" w:rsidRDefault="00C177B8" w:rsidP="00C177B8">
      <w:pPr>
        <w:pStyle w:val="a3"/>
        <w:rPr>
          <w:kern w:val="0"/>
        </w:rPr>
      </w:pPr>
      <w:r>
        <w:rPr>
          <w:kern w:val="0"/>
        </w:rPr>
        <w:t xml:space="preserve">Keywords: Citation, Citation Analysis, Citations, Correlation, Economics, </w:t>
      </w:r>
      <w:r>
        <w:rPr>
          <w:rFonts w:hint="eastAsia"/>
          <w:kern w:val="0"/>
        </w:rPr>
        <w:t>g</w:t>
      </w:r>
      <w:r>
        <w:rPr>
          <w:kern w:val="0"/>
        </w:rPr>
        <w:t xml:space="preserve"> Index, </w:t>
      </w:r>
      <w:r w:rsidR="00D5664A">
        <w:rPr>
          <w:rFonts w:hint="eastAsia"/>
          <w:kern w:val="0"/>
        </w:rPr>
        <w:t>h Index</w:t>
      </w:r>
      <w:r>
        <w:rPr>
          <w:kern w:val="0"/>
        </w:rPr>
        <w:t xml:space="preserve">, </w:t>
      </w:r>
      <w:r w:rsidR="00D5664A">
        <w:rPr>
          <w:rFonts w:hint="eastAsia"/>
          <w:kern w:val="0"/>
        </w:rPr>
        <w:t>h-Index</w:t>
      </w:r>
      <w:r>
        <w:rPr>
          <w:kern w:val="0"/>
        </w:rPr>
        <w:t>, Hirsc</w:t>
      </w:r>
      <w:r w:rsidR="00D5664A">
        <w:rPr>
          <w:kern w:val="0"/>
        </w:rPr>
        <w:t>h Index</w:t>
      </w:r>
      <w:r>
        <w:rPr>
          <w:kern w:val="0"/>
        </w:rPr>
        <w:t>, Ireland, Output, Papers, Physicists, Publications, R-Index, Research, Research Output, Sciences, Scientific Impact, Scientific Research</w:t>
      </w:r>
    </w:p>
    <w:p w:rsidR="003D1EFB" w:rsidRDefault="003D1EFB" w:rsidP="003D1EFB">
      <w:pPr>
        <w:pStyle w:val="a3"/>
        <w:rPr>
          <w:kern w:val="0"/>
        </w:rPr>
      </w:pPr>
      <w:r>
        <w:rPr>
          <w:rFonts w:hint="eastAsia"/>
          <w:kern w:val="0"/>
        </w:rPr>
        <w:t xml:space="preserve">? </w:t>
      </w:r>
      <w:r>
        <w:rPr>
          <w:kern w:val="0"/>
        </w:rPr>
        <w:t>Romero, A.H., Kremer, R.K.</w:t>
      </w:r>
      <w:r w:rsidR="005853A9">
        <w:rPr>
          <w:kern w:val="0"/>
        </w:rPr>
        <w:t xml:space="preserve"> and </w:t>
      </w:r>
      <w:r>
        <w:rPr>
          <w:kern w:val="0"/>
        </w:rPr>
        <w:t>Marx, W. (2011</w:t>
      </w:r>
      <w:r w:rsidR="00F42EAC">
        <w:rPr>
          <w:kern w:val="0"/>
        </w:rPr>
        <w:t>), The</w:t>
      </w:r>
      <w:r w:rsidR="003A1917">
        <w:rPr>
          <w:kern w:val="0"/>
        </w:rPr>
        <w:t xml:space="preserve"> </w:t>
      </w:r>
      <w:r>
        <w:rPr>
          <w:kern w:val="0"/>
        </w:rPr>
        <w:t>scientific road</w:t>
      </w:r>
      <w:r w:rsidR="00427468">
        <w:rPr>
          <w:kern w:val="0"/>
        </w:rPr>
        <w:t xml:space="preserve"> of </w:t>
      </w:r>
      <w:r>
        <w:rPr>
          <w:kern w:val="0"/>
        </w:rPr>
        <w:t xml:space="preserve">Manuel Cardona: A bibliometric analysis. </w:t>
      </w:r>
      <w:r>
        <w:rPr>
          <w:i/>
          <w:iCs/>
          <w:kern w:val="0"/>
        </w:rPr>
        <w:t>Annalen der Physik</w:t>
      </w:r>
      <w:r>
        <w:rPr>
          <w:kern w:val="0"/>
        </w:rPr>
        <w:t xml:space="preserve">, </w:t>
      </w:r>
      <w:r>
        <w:rPr>
          <w:b/>
          <w:bCs/>
          <w:kern w:val="0"/>
        </w:rPr>
        <w:t>523</w:t>
      </w:r>
      <w:r>
        <w:rPr>
          <w:kern w:val="0"/>
        </w:rPr>
        <w:t xml:space="preserve"> (1-2), 179-190.</w:t>
      </w:r>
    </w:p>
    <w:p w:rsidR="003D1EFB" w:rsidRPr="001A3D2B" w:rsidRDefault="003D1EFB" w:rsidP="003D1EFB">
      <w:pPr>
        <w:pStyle w:val="a3"/>
      </w:pPr>
      <w:r w:rsidRPr="001A3D2B">
        <w:t xml:space="preserve">Full Text: </w:t>
      </w:r>
      <w:hyperlink r:id="rId806" w:history="1">
        <w:r w:rsidRPr="003D1EFB">
          <w:rPr>
            <w:rStyle w:val="a5"/>
          </w:rPr>
          <w:t>2011\Ann Phy523, 179.pdf</w:t>
        </w:r>
      </w:hyperlink>
    </w:p>
    <w:p w:rsidR="003D1EFB" w:rsidRDefault="003D1EFB" w:rsidP="003D1EFB">
      <w:pPr>
        <w:pStyle w:val="a3"/>
        <w:rPr>
          <w:kern w:val="0"/>
        </w:rPr>
      </w:pPr>
      <w:r>
        <w:rPr>
          <w:kern w:val="0"/>
        </w:rPr>
        <w:t>Abstract: We present a detailed bibliometric analysis</w:t>
      </w:r>
      <w:r w:rsidR="00427468">
        <w:rPr>
          <w:kern w:val="0"/>
        </w:rPr>
        <w:t xml:space="preserve"> of </w:t>
      </w:r>
      <w:r w:rsidR="003A1917">
        <w:rPr>
          <w:kern w:val="0"/>
        </w:rPr>
        <w:t xml:space="preserve">the </w:t>
      </w:r>
      <w:r>
        <w:rPr>
          <w:kern w:val="0"/>
        </w:rPr>
        <w:t>scientific contributions</w:t>
      </w:r>
      <w:r w:rsidR="00427468">
        <w:rPr>
          <w:kern w:val="0"/>
        </w:rPr>
        <w:t xml:space="preserve"> of </w:t>
      </w:r>
      <w:r>
        <w:rPr>
          <w:kern w:val="0"/>
        </w:rPr>
        <w:t>Manuel Cardona, who represents an interesting example</w:t>
      </w:r>
      <w:r w:rsidR="00427468">
        <w:rPr>
          <w:kern w:val="0"/>
        </w:rPr>
        <w:t xml:space="preserve"> of </w:t>
      </w:r>
      <w:r>
        <w:rPr>
          <w:kern w:val="0"/>
        </w:rPr>
        <w:t>a renowned scientist with a long</w:t>
      </w:r>
      <w:r w:rsidR="005853A9">
        <w:rPr>
          <w:kern w:val="0"/>
        </w:rPr>
        <w:t xml:space="preserve"> and </w:t>
      </w:r>
      <w:r>
        <w:rPr>
          <w:kern w:val="0"/>
        </w:rPr>
        <w:t>fruitful career. His publications provide an appropriate basis to apply various bibliometric techniques to measure</w:t>
      </w:r>
      <w:r w:rsidR="003A1917">
        <w:rPr>
          <w:kern w:val="0"/>
        </w:rPr>
        <w:t xml:space="preserve"> the </w:t>
      </w:r>
      <w:r>
        <w:rPr>
          <w:kern w:val="0"/>
        </w:rPr>
        <w:t>impact</w:t>
      </w:r>
      <w:r w:rsidR="00427468">
        <w:rPr>
          <w:kern w:val="0"/>
        </w:rPr>
        <w:t xml:space="preserve"> of </w:t>
      </w:r>
      <w:r>
        <w:rPr>
          <w:kern w:val="0"/>
        </w:rPr>
        <w:t>his scientific achievements. For this purpose, we have taken into account his full publication record,</w:t>
      </w:r>
      <w:r w:rsidR="003A1917">
        <w:rPr>
          <w:kern w:val="0"/>
        </w:rPr>
        <w:t xml:space="preserve"> the </w:t>
      </w:r>
      <w:r>
        <w:rPr>
          <w:kern w:val="0"/>
        </w:rPr>
        <w:t>institutions</w:t>
      </w:r>
      <w:r w:rsidR="00427468">
        <w:rPr>
          <w:kern w:val="0"/>
        </w:rPr>
        <w:t xml:space="preserve"> of </w:t>
      </w:r>
      <w:r>
        <w:rPr>
          <w:kern w:val="0"/>
        </w:rPr>
        <w:t>all his coauthors,</w:t>
      </w:r>
      <w:r w:rsidR="003A1917">
        <w:rPr>
          <w:kern w:val="0"/>
        </w:rPr>
        <w:t xml:space="preserve"> the </w:t>
      </w:r>
      <w:r>
        <w:rPr>
          <w:kern w:val="0"/>
        </w:rPr>
        <w:t>journals where his papers have been published,</w:t>
      </w:r>
      <w:r w:rsidR="005853A9">
        <w:rPr>
          <w:kern w:val="0"/>
        </w:rPr>
        <w:t xml:space="preserve"> and </w:t>
      </w:r>
      <w:r w:rsidR="003A1917">
        <w:rPr>
          <w:kern w:val="0"/>
        </w:rPr>
        <w:t xml:space="preserve">the </w:t>
      </w:r>
      <w:r>
        <w:rPr>
          <w:kern w:val="0"/>
        </w:rPr>
        <w:t>citations</w:t>
      </w:r>
      <w:r w:rsidR="00427468">
        <w:rPr>
          <w:kern w:val="0"/>
        </w:rPr>
        <w:t xml:space="preserve"> of </w:t>
      </w:r>
      <w:r>
        <w:rPr>
          <w:kern w:val="0"/>
        </w:rPr>
        <w:t>his papers as a measure</w:t>
      </w:r>
      <w:r w:rsidR="00427468">
        <w:rPr>
          <w:kern w:val="0"/>
        </w:rPr>
        <w:t xml:space="preserve"> of </w:t>
      </w:r>
      <w:r>
        <w:rPr>
          <w:kern w:val="0"/>
        </w:rPr>
        <w:t>their impact. We have analyzed in more detail some</w:t>
      </w:r>
      <w:r w:rsidR="00427468">
        <w:rPr>
          <w:kern w:val="0"/>
        </w:rPr>
        <w:t xml:space="preserve"> of </w:t>
      </w:r>
      <w:r>
        <w:rPr>
          <w:kern w:val="0"/>
        </w:rPr>
        <w:t>his most important publications, which appeared as journal papers</w:t>
      </w:r>
      <w:r w:rsidR="005853A9">
        <w:rPr>
          <w:kern w:val="0"/>
        </w:rPr>
        <w:t xml:space="preserve"> and </w:t>
      </w:r>
      <w:r>
        <w:rPr>
          <w:kern w:val="0"/>
        </w:rPr>
        <w:t>book contributions. Additionally, we have broken down</w:t>
      </w:r>
      <w:r w:rsidR="003A1917">
        <w:rPr>
          <w:kern w:val="0"/>
        </w:rPr>
        <w:t xml:space="preserve"> the </w:t>
      </w:r>
      <w:r>
        <w:rPr>
          <w:kern w:val="0"/>
        </w:rPr>
        <w:t>complete ensemble</w:t>
      </w:r>
      <w:r w:rsidR="00427468">
        <w:rPr>
          <w:kern w:val="0"/>
        </w:rPr>
        <w:t xml:space="preserve"> of </w:t>
      </w:r>
      <w:r w:rsidR="003A1917">
        <w:rPr>
          <w:kern w:val="0"/>
        </w:rPr>
        <w:t xml:space="preserve">the </w:t>
      </w:r>
      <w:r>
        <w:rPr>
          <w:kern w:val="0"/>
        </w:rPr>
        <w:t>citing papers with respect to</w:t>
      </w:r>
      <w:r w:rsidR="003A1917">
        <w:rPr>
          <w:kern w:val="0"/>
        </w:rPr>
        <w:t xml:space="preserve"> the </w:t>
      </w:r>
      <w:r>
        <w:rPr>
          <w:kern w:val="0"/>
        </w:rPr>
        <w:t>countries</w:t>
      </w:r>
      <w:r w:rsidR="00427468">
        <w:rPr>
          <w:kern w:val="0"/>
        </w:rPr>
        <w:t xml:space="preserve"> of </w:t>
      </w:r>
      <w:r>
        <w:rPr>
          <w:kern w:val="0"/>
        </w:rPr>
        <w:t>authors,</w:t>
      </w:r>
      <w:r w:rsidR="003A1917">
        <w:rPr>
          <w:kern w:val="0"/>
        </w:rPr>
        <w:t xml:space="preserve"> the </w:t>
      </w:r>
      <w:r>
        <w:rPr>
          <w:kern w:val="0"/>
        </w:rPr>
        <w:t>journals,</w:t>
      </w:r>
      <w:r w:rsidR="005853A9">
        <w:rPr>
          <w:kern w:val="0"/>
        </w:rPr>
        <w:t xml:space="preserve"> and </w:t>
      </w:r>
      <w:r w:rsidR="003A1917">
        <w:rPr>
          <w:kern w:val="0"/>
        </w:rPr>
        <w:t xml:space="preserve">the </w:t>
      </w:r>
      <w:r>
        <w:rPr>
          <w:kern w:val="0"/>
        </w:rPr>
        <w:t>subject areas</w:t>
      </w:r>
      <w:r w:rsidR="00A37C1D">
        <w:rPr>
          <w:kern w:val="0"/>
        </w:rPr>
        <w:t>. The</w:t>
      </w:r>
      <w:r w:rsidR="003A1917">
        <w:rPr>
          <w:kern w:val="0"/>
        </w:rPr>
        <w:t xml:space="preserve"> </w:t>
      </w:r>
      <w:r>
        <w:rPr>
          <w:kern w:val="0"/>
        </w:rPr>
        <w:t>analysis performed in this study also makes use</w:t>
      </w:r>
      <w:r w:rsidR="00427468">
        <w:rPr>
          <w:kern w:val="0"/>
        </w:rPr>
        <w:t xml:space="preserve"> of </w:t>
      </w:r>
      <w:r w:rsidR="003A1917">
        <w:rPr>
          <w:kern w:val="0"/>
        </w:rPr>
        <w:t xml:space="preserve">the </w:t>
      </w:r>
      <w:r>
        <w:rPr>
          <w:kern w:val="0"/>
        </w:rPr>
        <w:t>Hirsc</w:t>
      </w:r>
      <w:r w:rsidR="00D5664A">
        <w:rPr>
          <w:kern w:val="0"/>
        </w:rPr>
        <w:t>h Index</w:t>
      </w:r>
      <w:r>
        <w:rPr>
          <w:kern w:val="0"/>
        </w:rPr>
        <w:t xml:space="preserve"> as one</w:t>
      </w:r>
      <w:r w:rsidR="00427468">
        <w:rPr>
          <w:kern w:val="0"/>
        </w:rPr>
        <w:t xml:space="preserve"> of </w:t>
      </w:r>
      <w:r w:rsidR="003A1917">
        <w:rPr>
          <w:kern w:val="0"/>
        </w:rPr>
        <w:t xml:space="preserve">the </w:t>
      </w:r>
      <w:r>
        <w:rPr>
          <w:kern w:val="0"/>
        </w:rPr>
        <w:t>most recognized bibliometric indicators which has rapidly captured</w:t>
      </w:r>
      <w:r w:rsidR="003A1917">
        <w:rPr>
          <w:kern w:val="0"/>
        </w:rPr>
        <w:t xml:space="preserve"> the </w:t>
      </w:r>
      <w:r>
        <w:rPr>
          <w:kern w:val="0"/>
        </w:rPr>
        <w:t>field</w:t>
      </w:r>
      <w:r w:rsidR="00427468">
        <w:rPr>
          <w:kern w:val="0"/>
        </w:rPr>
        <w:t xml:space="preserve"> of </w:t>
      </w:r>
      <w:r>
        <w:rPr>
          <w:kern w:val="0"/>
        </w:rPr>
        <w:t>research evaluation. Finally, we have established</w:t>
      </w:r>
      <w:r w:rsidR="003A1917">
        <w:rPr>
          <w:kern w:val="0"/>
        </w:rPr>
        <w:t xml:space="preserve"> the </w:t>
      </w:r>
      <w:r>
        <w:rPr>
          <w:kern w:val="0"/>
        </w:rPr>
        <w:t xml:space="preserve">citation </w:t>
      </w:r>
      <w:r>
        <w:rPr>
          <w:kern w:val="0"/>
        </w:rPr>
        <w:lastRenderedPageBreak/>
        <w:t>historiogram based on</w:t>
      </w:r>
      <w:r w:rsidR="003A1917">
        <w:rPr>
          <w:kern w:val="0"/>
        </w:rPr>
        <w:t xml:space="preserve"> the </w:t>
      </w:r>
      <w:r>
        <w:rPr>
          <w:kern w:val="0"/>
        </w:rPr>
        <w:t>most highly-cited papers to visualize their citation network. (C) 2011 WILEY-VCH Verlag GmbH &amp; Co. KGaA, Weinheim.</w:t>
      </w:r>
    </w:p>
    <w:p w:rsidR="003D1EFB" w:rsidRDefault="003D1EFB" w:rsidP="003D1EFB">
      <w:pPr>
        <w:pStyle w:val="a3"/>
        <w:rPr>
          <w:kern w:val="0"/>
        </w:rPr>
      </w:pPr>
      <w:r>
        <w:rPr>
          <w:kern w:val="0"/>
        </w:rPr>
        <w:t xml:space="preserve">Keywords: Analysis, Authors, Bibliometric, Bibliometric Analysis, Bibliometric Indicators, Bibliometric Techniques, Citation, Citation Network, Citations, Co, Evaluation, Field, </w:t>
      </w:r>
      <w:r w:rsidR="00D5664A">
        <w:rPr>
          <w:rFonts w:hint="eastAsia"/>
          <w:kern w:val="0"/>
        </w:rPr>
        <w:t>h Index</w:t>
      </w:r>
      <w:r>
        <w:rPr>
          <w:kern w:val="0"/>
        </w:rPr>
        <w:t xml:space="preserve">, </w:t>
      </w:r>
      <w:r w:rsidR="00D5664A">
        <w:rPr>
          <w:rFonts w:hint="eastAsia"/>
          <w:kern w:val="0"/>
        </w:rPr>
        <w:t>h-Index</w:t>
      </w:r>
      <w:r>
        <w:rPr>
          <w:kern w:val="0"/>
        </w:rPr>
        <w:t>, Hirsch, Hirsc</w:t>
      </w:r>
      <w:r w:rsidR="00D5664A">
        <w:rPr>
          <w:kern w:val="0"/>
        </w:rPr>
        <w:t>h Index</w:t>
      </w:r>
      <w:r>
        <w:rPr>
          <w:kern w:val="0"/>
        </w:rPr>
        <w:t>, Hirsc</w:t>
      </w:r>
      <w:r w:rsidR="00D5664A">
        <w:rPr>
          <w:kern w:val="0"/>
        </w:rPr>
        <w:t>h Index</w:t>
      </w:r>
      <w:r>
        <w:rPr>
          <w:kern w:val="0"/>
        </w:rPr>
        <w:t xml:space="preserve">, Impact, Index, Indicators, Institutions, Journal, Journals, Manuel Cardona, Measure, Network, Papers, Publication, Publication Record, Publications, Purpose, Record, Research, Research Evaluation, Road, Scientific Impact, </w:t>
      </w:r>
      <w:r w:rsidR="00A465A1">
        <w:rPr>
          <w:kern w:val="0"/>
        </w:rPr>
        <w:t>SI</w:t>
      </w:r>
      <w:r>
        <w:rPr>
          <w:kern w:val="0"/>
        </w:rPr>
        <w:t>, Techniques</w:t>
      </w:r>
    </w:p>
    <w:p w:rsidR="00C35F1F" w:rsidRPr="001A3D2B" w:rsidRDefault="00C35F1F" w:rsidP="00C35F1F">
      <w:pPr>
        <w:pStyle w:val="1"/>
        <w:rPr>
          <w:lang w:val="de-DE"/>
        </w:rPr>
      </w:pPr>
      <w:r w:rsidRPr="001A3D2B">
        <w:rPr>
          <w:lang w:val="de-DE"/>
        </w:rPr>
        <w:br w:type="page"/>
      </w:r>
      <w:bookmarkStart w:id="428" w:name="_Toc420814476"/>
      <w:r w:rsidRPr="001A3D2B">
        <w:rPr>
          <w:lang w:val="de-DE"/>
        </w:rPr>
        <w:lastRenderedPageBreak/>
        <w:t xml:space="preserve">Title: </w:t>
      </w:r>
      <w:r w:rsidRPr="00C35F1F">
        <w:rPr>
          <w:iCs w:val="0"/>
        </w:rPr>
        <w:t>Annalen der Physik und Chemie</w:t>
      </w:r>
      <w:bookmarkEnd w:id="428"/>
    </w:p>
    <w:p w:rsidR="00C35F1F" w:rsidRPr="001A3D2B" w:rsidRDefault="00C35F1F" w:rsidP="00C35F1F">
      <w:pPr>
        <w:pStyle w:val="12"/>
        <w:rPr>
          <w:lang w:val="de-DE"/>
        </w:rPr>
      </w:pPr>
      <w:r w:rsidRPr="001A3D2B">
        <w:rPr>
          <w:lang w:val="de-DE"/>
        </w:rPr>
        <w:t xml:space="preserve">Full Journal Title: </w:t>
      </w:r>
      <w:r w:rsidRPr="00C35F1F">
        <w:rPr>
          <w:iCs/>
          <w:kern w:val="0"/>
        </w:rPr>
        <w:t>Annalen der Physik und Chemie</w:t>
      </w:r>
    </w:p>
    <w:p w:rsidR="00C35F1F" w:rsidRPr="001A3D2B" w:rsidRDefault="00C35F1F" w:rsidP="00C35F1F">
      <w:pPr>
        <w:pStyle w:val="12"/>
      </w:pPr>
      <w:r w:rsidRPr="001A3D2B">
        <w:t xml:space="preserve">ISO Abbreviated Title: </w:t>
      </w:r>
    </w:p>
    <w:p w:rsidR="00C35F1F" w:rsidRPr="001A3D2B" w:rsidRDefault="00C35F1F" w:rsidP="00C35F1F">
      <w:pPr>
        <w:pStyle w:val="12"/>
      </w:pPr>
      <w:r w:rsidRPr="001A3D2B">
        <w:t xml:space="preserve">JCR Abbreviated Title: </w:t>
      </w:r>
    </w:p>
    <w:p w:rsidR="00C35F1F" w:rsidRPr="001A3D2B" w:rsidRDefault="00C35F1F" w:rsidP="00C35F1F">
      <w:pPr>
        <w:pStyle w:val="12"/>
      </w:pPr>
      <w:r w:rsidRPr="001A3D2B">
        <w:t xml:space="preserve">ISSN: </w:t>
      </w:r>
    </w:p>
    <w:p w:rsidR="00C35F1F" w:rsidRPr="001A3D2B" w:rsidRDefault="00C35F1F" w:rsidP="00C35F1F">
      <w:pPr>
        <w:pStyle w:val="12"/>
      </w:pPr>
      <w:r w:rsidRPr="001A3D2B">
        <w:t xml:space="preserve">Issues/Year: </w:t>
      </w:r>
    </w:p>
    <w:p w:rsidR="00C35F1F" w:rsidRPr="001A3D2B" w:rsidRDefault="00C35F1F" w:rsidP="00C35F1F">
      <w:pPr>
        <w:pStyle w:val="12"/>
      </w:pPr>
      <w:r w:rsidRPr="001A3D2B">
        <w:t xml:space="preserve">Journal Country/Territory: </w:t>
      </w:r>
    </w:p>
    <w:p w:rsidR="00C35F1F" w:rsidRPr="001A3D2B" w:rsidRDefault="00C35F1F" w:rsidP="00C35F1F">
      <w:pPr>
        <w:pStyle w:val="12"/>
      </w:pPr>
      <w:r w:rsidRPr="001A3D2B">
        <w:t xml:space="preserve">Language: </w:t>
      </w:r>
    </w:p>
    <w:p w:rsidR="00C35F1F" w:rsidRPr="001A3D2B" w:rsidRDefault="00C35F1F" w:rsidP="00C35F1F">
      <w:pPr>
        <w:pStyle w:val="12"/>
      </w:pPr>
      <w:r w:rsidRPr="001A3D2B">
        <w:t xml:space="preserve">Publisher: </w:t>
      </w:r>
    </w:p>
    <w:p w:rsidR="00C35F1F" w:rsidRPr="001A3D2B" w:rsidRDefault="00C35F1F" w:rsidP="00C35F1F">
      <w:pPr>
        <w:pStyle w:val="12"/>
      </w:pPr>
      <w:r w:rsidRPr="001A3D2B">
        <w:t xml:space="preserve">Publisher Address: </w:t>
      </w:r>
    </w:p>
    <w:p w:rsidR="00C35F1F" w:rsidRPr="001A3D2B" w:rsidRDefault="00C35F1F" w:rsidP="00C35F1F">
      <w:pPr>
        <w:pStyle w:val="12"/>
      </w:pPr>
      <w:r w:rsidRPr="001A3D2B">
        <w:t xml:space="preserve">Subject Categories: </w:t>
      </w:r>
    </w:p>
    <w:p w:rsidR="00C35F1F" w:rsidRPr="001A3D2B" w:rsidRDefault="00C35F1F" w:rsidP="00C35F1F">
      <w:pPr>
        <w:pStyle w:val="12"/>
      </w:pPr>
      <w:r w:rsidRPr="001A3D2B">
        <w:t>: Impact Factor</w:t>
      </w:r>
    </w:p>
    <w:p w:rsidR="00C35F1F" w:rsidRDefault="00C35F1F" w:rsidP="00C35F1F">
      <w:pPr>
        <w:pStyle w:val="a3"/>
        <w:rPr>
          <w:kern w:val="0"/>
        </w:rPr>
      </w:pPr>
      <w:r>
        <w:rPr>
          <w:rFonts w:hint="eastAsia"/>
          <w:kern w:val="0"/>
        </w:rPr>
        <w:t>Notes: highly cited</w:t>
      </w:r>
    </w:p>
    <w:p w:rsidR="00C35F1F" w:rsidRDefault="00C35F1F" w:rsidP="00C35F1F">
      <w:pPr>
        <w:pStyle w:val="a3"/>
        <w:rPr>
          <w:kern w:val="0"/>
        </w:rPr>
      </w:pPr>
      <w:r>
        <w:rPr>
          <w:rFonts w:hint="eastAsia"/>
          <w:kern w:val="0"/>
        </w:rPr>
        <w:t xml:space="preserve">? </w:t>
      </w:r>
      <w:r w:rsidRPr="00E46541">
        <w:rPr>
          <w:kern w:val="0"/>
          <w:szCs w:val="24"/>
        </w:rPr>
        <w:t>Einstein</w:t>
      </w:r>
      <w:r>
        <w:rPr>
          <w:rFonts w:hint="eastAsia"/>
          <w:kern w:val="0"/>
          <w:szCs w:val="24"/>
        </w:rPr>
        <w:t>,</w:t>
      </w:r>
      <w:r w:rsidRPr="00E46541">
        <w:rPr>
          <w:kern w:val="0"/>
          <w:szCs w:val="24"/>
        </w:rPr>
        <w:t xml:space="preserve"> A</w:t>
      </w:r>
      <w:r>
        <w:rPr>
          <w:rFonts w:hint="eastAsia"/>
          <w:kern w:val="0"/>
          <w:szCs w:val="24"/>
        </w:rPr>
        <w:t>.</w:t>
      </w:r>
      <w:r>
        <w:rPr>
          <w:kern w:val="0"/>
        </w:rPr>
        <w:t xml:space="preserve"> (1</w:t>
      </w:r>
      <w:r>
        <w:rPr>
          <w:rFonts w:hint="eastAsia"/>
          <w:kern w:val="0"/>
        </w:rPr>
        <w:t>910</w:t>
      </w:r>
      <w:r w:rsidR="00F42EAC">
        <w:rPr>
          <w:kern w:val="0"/>
        </w:rPr>
        <w:t>), The</w:t>
      </w:r>
      <w:r w:rsidRPr="00E46541">
        <w:rPr>
          <w:kern w:val="0"/>
          <w:szCs w:val="24"/>
        </w:rPr>
        <w:t>ory</w:t>
      </w:r>
      <w:r w:rsidR="00427468">
        <w:rPr>
          <w:kern w:val="0"/>
          <w:szCs w:val="24"/>
        </w:rPr>
        <w:t xml:space="preserve"> of </w:t>
      </w:r>
      <w:r w:rsidRPr="00E46541">
        <w:rPr>
          <w:kern w:val="0"/>
          <w:szCs w:val="24"/>
        </w:rPr>
        <w:t>opalescence</w:t>
      </w:r>
      <w:r w:rsidR="00427468">
        <w:rPr>
          <w:kern w:val="0"/>
          <w:szCs w:val="24"/>
        </w:rPr>
        <w:t xml:space="preserve"> of </w:t>
      </w:r>
      <w:r w:rsidRPr="00E46541">
        <w:rPr>
          <w:kern w:val="0"/>
          <w:szCs w:val="24"/>
        </w:rPr>
        <w:t>homogenous liquids</w:t>
      </w:r>
      <w:r w:rsidR="005853A9">
        <w:rPr>
          <w:kern w:val="0"/>
          <w:szCs w:val="24"/>
        </w:rPr>
        <w:t xml:space="preserve"> and </w:t>
      </w:r>
      <w:r w:rsidRPr="00E46541">
        <w:rPr>
          <w:kern w:val="0"/>
          <w:szCs w:val="24"/>
        </w:rPr>
        <w:t>liquid mixtures near critical conditions</w:t>
      </w:r>
      <w:r>
        <w:rPr>
          <w:kern w:val="0"/>
        </w:rPr>
        <w:t xml:space="preserve">. </w:t>
      </w:r>
      <w:r w:rsidRPr="00C35F1F">
        <w:rPr>
          <w:i/>
          <w:iCs/>
          <w:kern w:val="0"/>
        </w:rPr>
        <w:t>Annalen der Physik und Chemie</w:t>
      </w:r>
      <w:r>
        <w:rPr>
          <w:kern w:val="0"/>
        </w:rPr>
        <w:t xml:space="preserve">, </w:t>
      </w:r>
      <w:r>
        <w:rPr>
          <w:rFonts w:hint="eastAsia"/>
          <w:b/>
          <w:kern w:val="0"/>
        </w:rPr>
        <w:t>338</w:t>
      </w:r>
      <w:r>
        <w:rPr>
          <w:rFonts w:hint="eastAsia"/>
          <w:kern w:val="0"/>
        </w:rPr>
        <w:t xml:space="preserve"> (16</w:t>
      </w:r>
      <w:r>
        <w:rPr>
          <w:kern w:val="0"/>
        </w:rPr>
        <w:t xml:space="preserve">), </w:t>
      </w:r>
      <w:r w:rsidRPr="00E46541">
        <w:rPr>
          <w:kern w:val="0"/>
          <w:szCs w:val="24"/>
        </w:rPr>
        <w:t>1275-1298</w:t>
      </w:r>
      <w:r>
        <w:rPr>
          <w:kern w:val="0"/>
        </w:rPr>
        <w:t>.</w:t>
      </w:r>
    </w:p>
    <w:p w:rsidR="00C35F1F" w:rsidRDefault="00C35F1F" w:rsidP="00C35F1F">
      <w:pPr>
        <w:pStyle w:val="a3"/>
        <w:rPr>
          <w:kern w:val="0"/>
          <w:szCs w:val="24"/>
        </w:rPr>
      </w:pPr>
      <w:r>
        <w:rPr>
          <w:rFonts w:hint="eastAsia"/>
          <w:kern w:val="0"/>
          <w:szCs w:val="24"/>
        </w:rPr>
        <w:t xml:space="preserve">Full Text: </w:t>
      </w:r>
      <w:hyperlink r:id="rId807" w:history="1">
        <w:r w:rsidRPr="00C8374E">
          <w:rPr>
            <w:rStyle w:val="a5"/>
            <w:kern w:val="0"/>
            <w:szCs w:val="24"/>
          </w:rPr>
          <w:t>-1959\Ann Phy Che338, 1275.pdf</w:t>
        </w:r>
      </w:hyperlink>
    </w:p>
    <w:p w:rsidR="003474F2" w:rsidRPr="001A3D2B" w:rsidRDefault="003474F2" w:rsidP="003474F2">
      <w:pPr>
        <w:pStyle w:val="1"/>
      </w:pPr>
      <w:r w:rsidRPr="001A3D2B">
        <w:br w:type="page"/>
      </w:r>
      <w:bookmarkStart w:id="429" w:name="_Toc420814477"/>
      <w:r w:rsidRPr="001A3D2B">
        <w:lastRenderedPageBreak/>
        <w:t>Title: Annales de Chirurgie</w:t>
      </w:r>
      <w:bookmarkEnd w:id="429"/>
    </w:p>
    <w:p w:rsidR="003474F2" w:rsidRPr="001A3D2B" w:rsidRDefault="003474F2" w:rsidP="003474F2">
      <w:pPr>
        <w:pStyle w:val="12"/>
      </w:pPr>
      <w:r w:rsidRPr="001A3D2B">
        <w:t>Full Journal Title</w:t>
      </w:r>
      <w:bookmarkStart w:id="430" w:name="_Toc38335259"/>
      <w:bookmarkStart w:id="431" w:name="_Toc43634530"/>
      <w:bookmarkStart w:id="432" w:name="_Toc81215609"/>
      <w:r w:rsidRPr="001A3D2B">
        <w:t xml:space="preserve">: </w:t>
      </w:r>
      <w:r w:rsidR="00206C8A">
        <w:fldChar w:fldCharType="begin"/>
      </w:r>
      <w:r w:rsidR="00FD158B">
        <w:instrText>HYPERLINK "http://sdos.e</w:instrText>
      </w:r>
      <w:bookmarkEnd w:id="430"/>
      <w:bookmarkEnd w:id="431"/>
      <w:bookmarkEnd w:id="432"/>
      <w:r w:rsidR="00FD158B">
        <w:instrText>journal.ascc.net/cgi-bin/sciserv.pl?collection=journals&amp;journal=00033944"</w:instrText>
      </w:r>
      <w:r w:rsidR="00206C8A">
        <w:fldChar w:fldCharType="separate"/>
      </w:r>
      <w:r w:rsidRPr="001A3D2B">
        <w:rPr>
          <w:rStyle w:val="a5"/>
        </w:rPr>
        <w:t>Annales de Chirurgie</w:t>
      </w:r>
      <w:r w:rsidR="00206C8A">
        <w:fldChar w:fldCharType="end"/>
      </w:r>
    </w:p>
    <w:p w:rsidR="003474F2" w:rsidRPr="001A3D2B" w:rsidRDefault="003474F2" w:rsidP="003474F2">
      <w:pPr>
        <w:pStyle w:val="12"/>
      </w:pPr>
      <w:r w:rsidRPr="001A3D2B">
        <w:t>ISO Abbreviated Title: Ann. Chir.</w:t>
      </w:r>
    </w:p>
    <w:p w:rsidR="003474F2" w:rsidRPr="001A3D2B" w:rsidRDefault="003474F2" w:rsidP="003474F2">
      <w:pPr>
        <w:pStyle w:val="12"/>
      </w:pPr>
      <w:r w:rsidRPr="001A3D2B">
        <w:t>JCR Abbreviated Title: Ann Chir</w:t>
      </w:r>
    </w:p>
    <w:p w:rsidR="003474F2" w:rsidRPr="001A3D2B" w:rsidRDefault="003474F2" w:rsidP="003474F2">
      <w:pPr>
        <w:pStyle w:val="12"/>
      </w:pPr>
      <w:r w:rsidRPr="001A3D2B">
        <w:t>ISSN: 0003-3944</w:t>
      </w:r>
    </w:p>
    <w:p w:rsidR="003474F2" w:rsidRPr="001A3D2B" w:rsidRDefault="003474F2" w:rsidP="003474F2">
      <w:pPr>
        <w:pStyle w:val="12"/>
      </w:pPr>
      <w:r w:rsidRPr="001A3D2B">
        <w:t>Issues/Year: 10</w:t>
      </w:r>
    </w:p>
    <w:p w:rsidR="003474F2" w:rsidRPr="001A3D2B" w:rsidRDefault="00AA25A4" w:rsidP="003474F2">
      <w:pPr>
        <w:pStyle w:val="12"/>
      </w:pPr>
      <w:r w:rsidRPr="001A3D2B">
        <w:t>Journal Country/Territory:</w:t>
      </w:r>
      <w:r w:rsidR="008F46E9" w:rsidRPr="001A3D2B">
        <w:t xml:space="preserve"> </w:t>
      </w:r>
      <w:r w:rsidR="003474F2" w:rsidRPr="001A3D2B">
        <w:t>France</w:t>
      </w:r>
    </w:p>
    <w:p w:rsidR="003474F2" w:rsidRPr="001A3D2B" w:rsidRDefault="003474F2" w:rsidP="003474F2">
      <w:pPr>
        <w:pStyle w:val="12"/>
      </w:pPr>
      <w:r w:rsidRPr="001A3D2B">
        <w:t>Language: French</w:t>
      </w:r>
    </w:p>
    <w:p w:rsidR="003474F2" w:rsidRPr="001A3D2B" w:rsidRDefault="003474F2" w:rsidP="003474F2">
      <w:pPr>
        <w:pStyle w:val="12"/>
      </w:pPr>
      <w:r w:rsidRPr="001A3D2B">
        <w:t>Publisher: Editions Scientifiques Medicales Elsevier</w:t>
      </w:r>
    </w:p>
    <w:p w:rsidR="003474F2" w:rsidRPr="001A3D2B" w:rsidRDefault="003474F2" w:rsidP="003474F2">
      <w:pPr>
        <w:pStyle w:val="12"/>
      </w:pPr>
      <w:r w:rsidRPr="001A3D2B">
        <w:t xml:space="preserve">Publisher Address: 23 Rue Linois, 75724 </w:t>
      </w:r>
      <w:smartTag w:uri="urn:schemas-microsoft-com:office:smarttags" w:element="place">
        <w:smartTag w:uri="urn:schemas-microsoft-com:office:smarttags" w:element="City">
          <w:r w:rsidRPr="001A3D2B">
            <w:t>Paris</w:t>
          </w:r>
        </w:smartTag>
      </w:smartTag>
      <w:r w:rsidRPr="001A3D2B">
        <w:t xml:space="preserve"> Cedex 15, France</w:t>
      </w:r>
    </w:p>
    <w:p w:rsidR="003474F2" w:rsidRPr="001A3D2B" w:rsidRDefault="003474F2" w:rsidP="003474F2">
      <w:pPr>
        <w:pStyle w:val="12"/>
      </w:pPr>
      <w:r w:rsidRPr="001A3D2B">
        <w:t>Subject Categories:</w:t>
      </w:r>
    </w:p>
    <w:p w:rsidR="003474F2" w:rsidRPr="001A3D2B" w:rsidRDefault="003474F2" w:rsidP="003474F2">
      <w:pPr>
        <w:pStyle w:val="12"/>
      </w:pPr>
      <w:r w:rsidRPr="001A3D2B">
        <w:t>Surgery: Impact Factor 0.602, /(2001)</w:t>
      </w:r>
    </w:p>
    <w:p w:rsidR="003474F2" w:rsidRPr="001A3D2B" w:rsidRDefault="003474F2" w:rsidP="003474F2">
      <w:pPr>
        <w:pStyle w:val="a3"/>
        <w:rPr>
          <w:lang w:val="fr-FR"/>
        </w:rPr>
      </w:pPr>
      <w:r w:rsidRPr="001A3D2B">
        <w:t>? Pocard, M. (1998</w:t>
      </w:r>
      <w:r w:rsidR="00F42EAC">
        <w:t>), The</w:t>
      </w:r>
      <w:r w:rsidR="003A1917">
        <w:t xml:space="preserve"> </w:t>
      </w:r>
      <w:r w:rsidRPr="001A3D2B">
        <w:t>impact factor</w:t>
      </w:r>
      <w:r w:rsidR="00427468">
        <w:t xml:space="preserve"> of </w:t>
      </w:r>
      <w:r w:rsidRPr="001A3D2B">
        <w:t>medical journals: Salomon</w:t>
      </w:r>
      <w:r w:rsidR="00700038">
        <w:t>’</w:t>
      </w:r>
      <w:r w:rsidR="00C13DDC">
        <w:t>s</w:t>
      </w:r>
      <w:r w:rsidRPr="001A3D2B">
        <w:t xml:space="preserve"> judgement or</w:t>
      </w:r>
      <w:r w:rsidR="003A1917">
        <w:t xml:space="preserve"> the </w:t>
      </w:r>
      <w:r w:rsidRPr="001A3D2B">
        <w:t>dance</w:t>
      </w:r>
      <w:r w:rsidR="00427468">
        <w:t xml:space="preserve"> of </w:t>
      </w:r>
      <w:r w:rsidR="003A1917">
        <w:t xml:space="preserve">the </w:t>
      </w:r>
      <w:r w:rsidRPr="001A3D2B">
        <w:t xml:space="preserve">seven veils? </w:t>
      </w:r>
      <w:r w:rsidRPr="001A3D2B">
        <w:rPr>
          <w:i/>
          <w:iCs/>
          <w:lang w:val="fr-FR"/>
        </w:rPr>
        <w:t>Annales de Chirurgie</w:t>
      </w:r>
      <w:r w:rsidRPr="001A3D2B">
        <w:rPr>
          <w:lang w:val="fr-FR"/>
        </w:rPr>
        <w:t xml:space="preserve">, </w:t>
      </w:r>
      <w:r w:rsidRPr="001A3D2B">
        <w:rPr>
          <w:b/>
          <w:lang w:val="fr-FR"/>
        </w:rPr>
        <w:t>52</w:t>
      </w:r>
      <w:r w:rsidRPr="001A3D2B">
        <w:rPr>
          <w:lang w:val="fr-FR"/>
        </w:rPr>
        <w:t xml:space="preserve"> (7), 595-597.</w:t>
      </w:r>
    </w:p>
    <w:p w:rsidR="007B75D7" w:rsidRPr="001A3D2B" w:rsidRDefault="007B75D7" w:rsidP="007B75D7">
      <w:pPr>
        <w:pStyle w:val="a3"/>
        <w:rPr>
          <w:lang w:val="fr-FR"/>
        </w:rPr>
      </w:pPr>
      <w:r w:rsidRPr="001A3D2B">
        <w:rPr>
          <w:lang w:val="fr-FR"/>
        </w:rPr>
        <w:t>Full Text: Ann Chi52, 595.pdf</w:t>
      </w:r>
    </w:p>
    <w:p w:rsidR="003474F2" w:rsidRPr="001A3D2B" w:rsidRDefault="003474F2" w:rsidP="003474F2">
      <w:pPr>
        <w:pStyle w:val="a3"/>
      </w:pPr>
      <w:r w:rsidRPr="001A3D2B">
        <w:t>Keywords: Bibliometric, Classification, Impact, Journals, Periodical, Standards</w:t>
      </w:r>
    </w:p>
    <w:p w:rsidR="003474F2" w:rsidRPr="001A3D2B" w:rsidRDefault="003474F2" w:rsidP="003474F2">
      <w:pPr>
        <w:pStyle w:val="a3"/>
      </w:pPr>
      <w:r w:rsidRPr="001A3D2B">
        <w:t>? Pocard, M. (2001</w:t>
      </w:r>
      <w:r w:rsidR="00F42EAC">
        <w:t>), The</w:t>
      </w:r>
      <w:r w:rsidR="003A1917">
        <w:t xml:space="preserve"> </w:t>
      </w:r>
      <w:r w:rsidRPr="001A3D2B">
        <w:t>impact factor or in publishing is it necessary to choose between</w:t>
      </w:r>
      <w:r w:rsidR="003A1917">
        <w:t xml:space="preserve"> the </w:t>
      </w:r>
      <w:r w:rsidRPr="001A3D2B">
        <w:t>Orthopedic Surgery Review</w:t>
      </w:r>
      <w:r w:rsidR="005853A9">
        <w:t xml:space="preserve"> and </w:t>
      </w:r>
      <w:r w:rsidR="003A1917">
        <w:t xml:space="preserve">the </w:t>
      </w:r>
      <w:r w:rsidRPr="001A3D2B">
        <w:t xml:space="preserve">impact factor? </w:t>
      </w:r>
      <w:r w:rsidRPr="001A3D2B">
        <w:rPr>
          <w:i/>
          <w:iCs/>
          <w:lang w:val="fr-FR"/>
        </w:rPr>
        <w:t>Annales de Chirurgie</w:t>
      </w:r>
      <w:r w:rsidRPr="001A3D2B">
        <w:t xml:space="preserve">, </w:t>
      </w:r>
      <w:r w:rsidRPr="001A3D2B">
        <w:rPr>
          <w:b/>
          <w:bCs/>
        </w:rPr>
        <w:t>126</w:t>
      </w:r>
      <w:r w:rsidRPr="001A3D2B">
        <w:t xml:space="preserve"> (9), 932-933.</w:t>
      </w:r>
    </w:p>
    <w:p w:rsidR="003474F2" w:rsidRPr="001A3D2B" w:rsidRDefault="003474F2" w:rsidP="003474F2">
      <w:pPr>
        <w:pStyle w:val="a3"/>
        <w:rPr>
          <w:lang w:val="fr-FR"/>
        </w:rPr>
      </w:pPr>
      <w:r w:rsidRPr="001A3D2B">
        <w:rPr>
          <w:lang w:val="fr-FR"/>
        </w:rPr>
        <w:t xml:space="preserve">Full Text: </w:t>
      </w:r>
      <w:hyperlink r:id="rId808" w:history="1">
        <w:r w:rsidRPr="001A3D2B">
          <w:rPr>
            <w:rStyle w:val="a5"/>
            <w:lang w:val="fr-FR"/>
          </w:rPr>
          <w:t>2001\Ann Chi126, 932.pdf</w:t>
        </w:r>
      </w:hyperlink>
    </w:p>
    <w:p w:rsidR="003474F2" w:rsidRPr="001A3D2B" w:rsidRDefault="003474F2" w:rsidP="003474F2">
      <w:pPr>
        <w:pStyle w:val="a3"/>
      </w:pPr>
      <w:r w:rsidRPr="001A3D2B">
        <w:t>Keywords: Impact, Impact Factor, Publishing</w:t>
      </w:r>
    </w:p>
    <w:p w:rsidR="00036F25" w:rsidRPr="001A3D2B" w:rsidRDefault="00036F25" w:rsidP="00036F25">
      <w:pPr>
        <w:pStyle w:val="1"/>
        <w:rPr>
          <w:lang w:val="fr-FR"/>
        </w:rPr>
      </w:pPr>
      <w:r w:rsidRPr="001A3D2B">
        <w:rPr>
          <w:lang w:val="fr-FR"/>
        </w:rPr>
        <w:br w:type="page"/>
      </w:r>
      <w:bookmarkStart w:id="433" w:name="_Toc420814478"/>
      <w:r w:rsidRPr="001A3D2B">
        <w:rPr>
          <w:lang w:val="fr-FR"/>
        </w:rPr>
        <w:lastRenderedPageBreak/>
        <w:t xml:space="preserve">Title: </w:t>
      </w:r>
      <w:r w:rsidRPr="00036F25">
        <w:t>Annales de Chirurgie Plastique Esthetique</w:t>
      </w:r>
      <w:bookmarkEnd w:id="433"/>
    </w:p>
    <w:p w:rsidR="00036F25" w:rsidRPr="001A3D2B" w:rsidRDefault="00036F25" w:rsidP="00036F25">
      <w:pPr>
        <w:pStyle w:val="12"/>
        <w:rPr>
          <w:lang w:val="fr-FR"/>
        </w:rPr>
      </w:pPr>
      <w:r w:rsidRPr="001A3D2B">
        <w:rPr>
          <w:lang w:val="fr-FR"/>
        </w:rPr>
        <w:t xml:space="preserve">Full Journal Title: </w:t>
      </w:r>
      <w:r w:rsidRPr="00036F25">
        <w:rPr>
          <w:iCs/>
          <w:kern w:val="0"/>
        </w:rPr>
        <w:t>Annales de Chirurgie Plastique Esthetique</w:t>
      </w:r>
    </w:p>
    <w:p w:rsidR="00036F25" w:rsidRPr="001A3D2B" w:rsidRDefault="00036F25" w:rsidP="00036F25">
      <w:pPr>
        <w:pStyle w:val="12"/>
      </w:pPr>
      <w:r w:rsidRPr="001A3D2B">
        <w:t xml:space="preserve">ISO Abbreviated Title: </w:t>
      </w:r>
    </w:p>
    <w:p w:rsidR="00036F25" w:rsidRPr="001A3D2B" w:rsidRDefault="00036F25" w:rsidP="00036F25">
      <w:pPr>
        <w:pStyle w:val="12"/>
      </w:pPr>
      <w:r w:rsidRPr="001A3D2B">
        <w:t xml:space="preserve">JCR Abbreviated Title: </w:t>
      </w:r>
    </w:p>
    <w:p w:rsidR="00036F25" w:rsidRPr="001A3D2B" w:rsidRDefault="00036F25" w:rsidP="00036F25">
      <w:pPr>
        <w:pStyle w:val="12"/>
      </w:pPr>
      <w:r w:rsidRPr="001A3D2B">
        <w:t>ISSN: 0151-9638</w:t>
      </w:r>
    </w:p>
    <w:p w:rsidR="00036F25" w:rsidRPr="001A3D2B" w:rsidRDefault="00036F25" w:rsidP="00036F25">
      <w:pPr>
        <w:pStyle w:val="12"/>
      </w:pPr>
      <w:r w:rsidRPr="001A3D2B">
        <w:t xml:space="preserve">Issues/Year: </w:t>
      </w:r>
    </w:p>
    <w:p w:rsidR="00036F25" w:rsidRPr="001A3D2B" w:rsidRDefault="00036F25" w:rsidP="00036F25">
      <w:pPr>
        <w:pStyle w:val="12"/>
      </w:pPr>
      <w:r w:rsidRPr="001A3D2B">
        <w:t xml:space="preserve">Journal Country/Territory: </w:t>
      </w:r>
    </w:p>
    <w:p w:rsidR="00036F25" w:rsidRPr="001A3D2B" w:rsidRDefault="00036F25" w:rsidP="00036F25">
      <w:pPr>
        <w:pStyle w:val="12"/>
      </w:pPr>
      <w:r w:rsidRPr="001A3D2B">
        <w:t xml:space="preserve">Language: </w:t>
      </w:r>
    </w:p>
    <w:p w:rsidR="00036F25" w:rsidRPr="001A3D2B" w:rsidRDefault="00036F25" w:rsidP="00036F25">
      <w:pPr>
        <w:pStyle w:val="12"/>
      </w:pPr>
      <w:r w:rsidRPr="001A3D2B">
        <w:t xml:space="preserve">Publisher: </w:t>
      </w:r>
    </w:p>
    <w:p w:rsidR="00036F25" w:rsidRPr="001A3D2B" w:rsidRDefault="00036F25" w:rsidP="00036F25">
      <w:pPr>
        <w:pStyle w:val="12"/>
      </w:pPr>
      <w:r w:rsidRPr="001A3D2B">
        <w:t xml:space="preserve">Publisher Address: </w:t>
      </w:r>
    </w:p>
    <w:p w:rsidR="00036F25" w:rsidRPr="001A3D2B" w:rsidRDefault="00036F25" w:rsidP="00036F25">
      <w:pPr>
        <w:pStyle w:val="12"/>
      </w:pPr>
      <w:r w:rsidRPr="001A3D2B">
        <w:t xml:space="preserve">Subject Categories: </w:t>
      </w:r>
    </w:p>
    <w:p w:rsidR="00036F25" w:rsidRPr="001A3D2B" w:rsidRDefault="00036F25" w:rsidP="00036F25">
      <w:pPr>
        <w:pStyle w:val="12"/>
      </w:pPr>
      <w:r w:rsidRPr="001A3D2B">
        <w:t>: Impact Factor</w:t>
      </w:r>
    </w:p>
    <w:p w:rsidR="00036F25" w:rsidRDefault="00036F25" w:rsidP="00036F25">
      <w:pPr>
        <w:pStyle w:val="a3"/>
        <w:rPr>
          <w:kern w:val="0"/>
        </w:rPr>
      </w:pPr>
      <w:r>
        <w:rPr>
          <w:rFonts w:hint="eastAsia"/>
          <w:kern w:val="0"/>
        </w:rPr>
        <w:t xml:space="preserve">? </w:t>
      </w:r>
      <w:r>
        <w:rPr>
          <w:kern w:val="0"/>
        </w:rPr>
        <w:t xml:space="preserve">Pluvy, I., Garrido, I., Pauchot, J., Saboye, J., Chavoin, J.P., Tropet, Y., Grolleau, J.L. and Chaput, B. (2015), Smoking and plastic surgery, part I. Pathophysiological aspects: Update and proposed recommendations. </w:t>
      </w:r>
      <w:r w:rsidRPr="00036F25">
        <w:rPr>
          <w:i/>
          <w:iCs/>
          <w:kern w:val="0"/>
        </w:rPr>
        <w:t>Annales de Chirurgie Plastique Esthetique</w:t>
      </w:r>
      <w:r>
        <w:rPr>
          <w:kern w:val="0"/>
        </w:rPr>
        <w:t xml:space="preserve">, </w:t>
      </w:r>
      <w:r>
        <w:rPr>
          <w:b/>
          <w:bCs/>
          <w:kern w:val="0"/>
        </w:rPr>
        <w:t>60</w:t>
      </w:r>
      <w:r>
        <w:rPr>
          <w:kern w:val="0"/>
        </w:rPr>
        <w:t xml:space="preserve"> (1), E3-E13.</w:t>
      </w:r>
    </w:p>
    <w:p w:rsidR="00036F25" w:rsidRDefault="00036F25" w:rsidP="00036F25">
      <w:pPr>
        <w:pStyle w:val="a3"/>
        <w:rPr>
          <w:kern w:val="0"/>
        </w:rPr>
      </w:pPr>
      <w:r>
        <w:rPr>
          <w:rFonts w:hint="eastAsia"/>
          <w:kern w:val="0"/>
        </w:rPr>
        <w:t xml:space="preserve">Full Text: </w:t>
      </w:r>
      <w:hyperlink r:id="rId809" w:history="1">
        <w:r w:rsidR="00774A71" w:rsidRPr="00774A71">
          <w:rPr>
            <w:rStyle w:val="a5"/>
            <w:kern w:val="0"/>
          </w:rPr>
          <w:t>2015\Ann Chi Pla Est60, E3.pdf</w:t>
        </w:r>
      </w:hyperlink>
    </w:p>
    <w:p w:rsidR="00036F25" w:rsidRDefault="00036F25" w:rsidP="00036F25">
      <w:pPr>
        <w:pStyle w:val="a3"/>
        <w:rPr>
          <w:kern w:val="0"/>
        </w:rPr>
      </w:pPr>
      <w:r>
        <w:rPr>
          <w:kern w:val="0"/>
        </w:rPr>
        <w:t>Abstract: Objectives. - Smoking patients undergoing a plastic surgery intervention are exposed to increased risk of perioperative and postoperative complications. It seemed useful to us to establish an update about the negative impact of smoking, especially on wound healing, and also about the indisputable benefits of quitting. We wish to propose a minimum time lapse of withdrawal in the preoperative and postoperative period in order to reduce the risks and maximize the results of the intervention. Methods. - A literature review of documents from 1972 to 2014 was carried out by searching five different databases (Medline, PubMed Central, Cochrane library, Pascal and Web of Science). Results. - Cigarette smoke has a diffuse and multifactorial impact in the body. Hypoxia, tissue ischemia and immune disorders induced by tobacco consumption cause alterations of the healing process. Some of these effects are reversible by quitting. Data from the literature recommend a preoperative smoking cessation period lasting between 3 and 8 weeks and up until 4 weeks postoperatively. Use of nicotine replacement therapies doubles the abstinence rate in the short term. When a patient is heavily dependent, the surgeon should be helped by a tobacco specialist. Conclusions. - Total smoking cessation of 4 weeks preoperatively and lasting until primary healing of the operative site (2 weeks) appears to optimize surgical conditions without heightening anesthetic risk. Tobacco withdrawal assistance, both human and drug-based, is highly recommended. (C) 2014 Elsevier Masson SAS. All rights reserved.</w:t>
      </w:r>
    </w:p>
    <w:p w:rsidR="00036F25" w:rsidRDefault="00036F25" w:rsidP="00036F25">
      <w:pPr>
        <w:pStyle w:val="a3"/>
        <w:rPr>
          <w:kern w:val="0"/>
        </w:rPr>
      </w:pPr>
      <w:r>
        <w:rPr>
          <w:kern w:val="0"/>
        </w:rPr>
        <w:lastRenderedPageBreak/>
        <w:t>Keywords: Benefits, Blood-Flow, Cessation, Cigarette-Smoking, Complications, Consumption, Data, Databases, Documents, Effects, Free Period, From, Habitual Smokers, Healing, Human, Immune, Impact, Induced, Intervention, Ischemia, Literature, Literature Review, Medline, Methods, Minimum, Negative, Nicotine, Nicotine Replacement Therapy, Nicotine Replacement Therapy, Operative, Patient, Patients, Physiopathology, Plastic Surgery, Postoperative, Postoperative Complications, Postoperative Pulmonary Complications, Preoperative, Preoperative Nicotine Withdrawal, Primary, Pubmed, Pubmed Central, Quit Smoking, Recommendations, Results, Reversible, Review, Rights, Risk, Risks, Science, Site, Smoking, Surgery, Term, Tissue Oxygen, Tobacco, Transdermal Nicotine, Web, Web Of Science, Wound, Wound Healing</w:t>
      </w:r>
    </w:p>
    <w:p w:rsidR="003474F2" w:rsidRPr="001A3D2B" w:rsidRDefault="003474F2" w:rsidP="003474F2">
      <w:pPr>
        <w:pStyle w:val="1"/>
        <w:rPr>
          <w:lang w:val="fr-FR"/>
        </w:rPr>
      </w:pPr>
      <w:r w:rsidRPr="001A3D2B">
        <w:rPr>
          <w:lang w:val="fr-FR"/>
        </w:rPr>
        <w:br w:type="page"/>
      </w:r>
      <w:bookmarkStart w:id="434" w:name="_Toc420814479"/>
      <w:r w:rsidRPr="001A3D2B">
        <w:rPr>
          <w:lang w:val="fr-FR"/>
        </w:rPr>
        <w:lastRenderedPageBreak/>
        <w:t xml:space="preserve">Title: </w:t>
      </w:r>
      <w:r w:rsidRPr="001A3D2B">
        <w:t>Annales de Dermatologie et de Venereologie</w:t>
      </w:r>
      <w:bookmarkEnd w:id="434"/>
    </w:p>
    <w:p w:rsidR="003474F2" w:rsidRPr="001A3D2B" w:rsidRDefault="003474F2" w:rsidP="003474F2">
      <w:pPr>
        <w:pStyle w:val="12"/>
        <w:rPr>
          <w:lang w:val="fr-FR"/>
        </w:rPr>
      </w:pPr>
      <w:r w:rsidRPr="001A3D2B">
        <w:rPr>
          <w:lang w:val="fr-FR"/>
        </w:rPr>
        <w:t xml:space="preserve">Full Journal Title: </w:t>
      </w:r>
      <w:r w:rsidRPr="001A3D2B">
        <w:t>Annales de Dermatologie et de Venereologie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0151-9638</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Lorette, G. (1995), What</w:t>
      </w:r>
      <w:r w:rsidR="00700038">
        <w:t>’</w:t>
      </w:r>
      <w:r w:rsidR="00C13DDC">
        <w:t>s</w:t>
      </w:r>
      <w:r w:rsidR="003A1917">
        <w:t xml:space="preserve"> the </w:t>
      </w:r>
      <w:r w:rsidRPr="001A3D2B">
        <w:t>future</w:t>
      </w:r>
      <w:r w:rsidR="00427468">
        <w:t xml:space="preserve"> of </w:t>
      </w:r>
      <w:r w:rsidRPr="001A3D2B">
        <w:t xml:space="preserve">French dermatological publications? </w:t>
      </w:r>
      <w:r w:rsidRPr="001A3D2B">
        <w:rPr>
          <w:i/>
          <w:iCs/>
        </w:rPr>
        <w:t>Annales de Dermatologie et de Venereologie</w:t>
      </w:r>
      <w:r w:rsidRPr="001A3D2B">
        <w:t xml:space="preserve">, </w:t>
      </w:r>
      <w:r w:rsidRPr="001A3D2B">
        <w:rPr>
          <w:b/>
          <w:bCs/>
        </w:rPr>
        <w:t>122</w:t>
      </w:r>
      <w:r w:rsidRPr="001A3D2B">
        <w:t xml:space="preserve"> (11-12), 748-750.</w:t>
      </w:r>
    </w:p>
    <w:p w:rsidR="003474F2" w:rsidRPr="001A3D2B" w:rsidRDefault="003474F2" w:rsidP="003474F2">
      <w:pPr>
        <w:pStyle w:val="a3"/>
      </w:pPr>
      <w:r w:rsidRPr="001A3D2B">
        <w:t>Keywords: Publications</w:t>
      </w:r>
    </w:p>
    <w:p w:rsidR="003474F2" w:rsidRPr="001A3D2B" w:rsidRDefault="003474F2" w:rsidP="003474F2">
      <w:pPr>
        <w:pStyle w:val="a3"/>
      </w:pPr>
      <w:r w:rsidRPr="001A3D2B">
        <w:t>? Bolac, C., Orosco, A., Guillet, G., Quist, D.</w:t>
      </w:r>
      <w:r w:rsidR="005853A9">
        <w:t xml:space="preserve"> and </w:t>
      </w:r>
      <w:r w:rsidRPr="001A3D2B">
        <w:t>Derancourt, L. (2009), Publication rate for oral presentations made at</w:t>
      </w:r>
      <w:r w:rsidR="003A1917">
        <w:t xml:space="preserve"> the </w:t>
      </w:r>
      <w:r w:rsidRPr="001A3D2B">
        <w:t xml:space="preserve">Journees Dermatologiques de Paris meeting. </w:t>
      </w:r>
      <w:r w:rsidRPr="001A3D2B">
        <w:rPr>
          <w:i/>
          <w:iCs/>
        </w:rPr>
        <w:t>Annales de Dermatologie et de Venereologie</w:t>
      </w:r>
      <w:r w:rsidRPr="001A3D2B">
        <w:t>, 136 (1), 21-27.</w:t>
      </w:r>
    </w:p>
    <w:p w:rsidR="003474F2" w:rsidRPr="001A3D2B" w:rsidRDefault="003474F2" w:rsidP="003474F2">
      <w:pPr>
        <w:pStyle w:val="a3"/>
      </w:pPr>
      <w:r w:rsidRPr="001A3D2B">
        <w:t>Abstract: Background. -</w:t>
      </w:r>
      <w:r w:rsidR="003A1917">
        <w:t xml:space="preserve"> the </w:t>
      </w:r>
      <w:r w:rsidRPr="001A3D2B">
        <w:t>fate</w:t>
      </w:r>
      <w:r w:rsidR="00427468">
        <w:t xml:space="preserve"> of </w:t>
      </w:r>
      <w:r w:rsidRPr="001A3D2B">
        <w:t>oral presentations presented at a dermatological meeting has not been assessed to date. Our aim was to determine</w:t>
      </w:r>
      <w:r w:rsidR="003A1917">
        <w:t xml:space="preserve"> the </w:t>
      </w:r>
      <w:r w:rsidRPr="001A3D2B">
        <w:t>publication rate for oral presentations presented at</w:t>
      </w:r>
      <w:r w:rsidR="003A1917">
        <w:t xml:space="preserve"> the </w:t>
      </w:r>
      <w:r w:rsidR="00B5188C">
        <w:t>“</w:t>
      </w:r>
      <w:r w:rsidRPr="001A3D2B">
        <w:t>Journees dermatologiques de Paris</w:t>
      </w:r>
      <w:r w:rsidR="00B5188C">
        <w:t>”</w:t>
      </w:r>
      <w:r w:rsidRPr="001A3D2B">
        <w:t xml:space="preserve"> (JDP) meeting in peer-reviewed journals. Our secondary goals were to identify factors associated with publication</w:t>
      </w:r>
      <w:r w:rsidR="005853A9">
        <w:t xml:space="preserve"> and </w:t>
      </w:r>
      <w:r w:rsidRPr="001A3D2B">
        <w:t>to examine</w:t>
      </w:r>
      <w:r w:rsidR="003A1917">
        <w:t xml:space="preserve"> the </w:t>
      </w:r>
      <w:r w:rsidRPr="001A3D2B">
        <w:t>consistency</w:t>
      </w:r>
      <w:r w:rsidR="00427468">
        <w:t xml:space="preserve"> of </w:t>
      </w:r>
      <w:r w:rsidRPr="001A3D2B">
        <w:t>reporting</w:t>
      </w:r>
      <w:r w:rsidR="00427468">
        <w:t xml:space="preserve"> of </w:t>
      </w:r>
      <w:r w:rsidRPr="001A3D2B">
        <w:t>research findings presented in</w:t>
      </w:r>
      <w:r w:rsidR="003A1917">
        <w:t xml:space="preserve"> the </w:t>
      </w:r>
      <w:r w:rsidRPr="001A3D2B">
        <w:t>conference abstract</w:t>
      </w:r>
      <w:r w:rsidR="005853A9">
        <w:t xml:space="preserve"> and </w:t>
      </w:r>
      <w:r w:rsidRPr="001A3D2B">
        <w:t>subsequent full publication. Methods. - Abstracts presented orally at</w:t>
      </w:r>
      <w:r w:rsidR="003A1917">
        <w:t xml:space="preserve"> the </w:t>
      </w:r>
      <w:r w:rsidRPr="001A3D2B">
        <w:t>JDP 1999-2004 were identified in</w:t>
      </w:r>
      <w:r w:rsidR="003A1917">
        <w:t xml:space="preserve"> the </w:t>
      </w:r>
      <w:r w:rsidRPr="001A3D2B">
        <w:t>book</w:t>
      </w:r>
      <w:r w:rsidR="00427468">
        <w:t xml:space="preserve"> of </w:t>
      </w:r>
      <w:r w:rsidRPr="001A3D2B">
        <w:t xml:space="preserve">congress abstracts. Two independent operatives performed a </w:t>
      </w:r>
      <w:r w:rsidR="00D5664A">
        <w:t>MEDLINE</w:t>
      </w:r>
      <w:r w:rsidRPr="001A3D2B">
        <w:t xml:space="preserve"> search cross-referencing lead</w:t>
      </w:r>
      <w:r w:rsidR="005853A9">
        <w:t xml:space="preserve"> and </w:t>
      </w:r>
      <w:r w:rsidRPr="001A3D2B">
        <w:t>last authors</w:t>
      </w:r>
      <w:r w:rsidR="005853A9">
        <w:t xml:space="preserve"> and </w:t>
      </w:r>
      <w:r w:rsidRPr="001A3D2B">
        <w:t>keywords. Results. -</w:t>
      </w:r>
      <w:r w:rsidR="003A1917">
        <w:t xml:space="preserve"> the </w:t>
      </w:r>
      <w:r w:rsidRPr="001A3D2B">
        <w:t>publication rate was 57.6% with mean time to publication</w:t>
      </w:r>
      <w:r w:rsidR="00427468">
        <w:t xml:space="preserve"> of </w:t>
      </w:r>
      <w:r w:rsidRPr="001A3D2B">
        <w:t>20.3 months</w:t>
      </w:r>
      <w:r w:rsidR="00A37C1D">
        <w:t>. The</w:t>
      </w:r>
      <w:r w:rsidR="003A1917">
        <w:t xml:space="preserve"> </w:t>
      </w:r>
      <w:r w:rsidRPr="001A3D2B">
        <w:t>median impact factor was 2.8. Factors associated with subsequent publication were study topic (p=0.04 for oncotogy)</w:t>
      </w:r>
      <w:r w:rsidR="005853A9">
        <w:t xml:space="preserve"> and </w:t>
      </w:r>
      <w:r w:rsidRPr="001A3D2B">
        <w:t>study type (p = 0.03 for fundamental research</w:t>
      </w:r>
      <w:r w:rsidR="005853A9">
        <w:t xml:space="preserve"> and </w:t>
      </w:r>
      <w:r w:rsidRPr="001A3D2B">
        <w:t>p= 0.005 for randomized controlled trials)</w:t>
      </w:r>
      <w:r w:rsidR="00A37C1D">
        <w:t>. The</w:t>
      </w:r>
      <w:r w:rsidR="003A1917">
        <w:t xml:space="preserve"> </w:t>
      </w:r>
      <w:r w:rsidRPr="001A3D2B">
        <w:t>congress abstracts</w:t>
      </w:r>
      <w:r w:rsidR="005853A9">
        <w:t xml:space="preserve"> and </w:t>
      </w:r>
      <w:r w:rsidRPr="001A3D2B">
        <w:t>full-text publication differed primarily in terms</w:t>
      </w:r>
      <w:r w:rsidR="00427468">
        <w:t xml:space="preserve"> of </w:t>
      </w:r>
      <w:r w:rsidRPr="001A3D2B">
        <w:t>sample size</w:t>
      </w:r>
      <w:r w:rsidR="005853A9">
        <w:t xml:space="preserve"> and </w:t>
      </w:r>
      <w:r w:rsidRPr="001A3D2B">
        <w:t>data given in</w:t>
      </w:r>
      <w:r w:rsidR="003A1917">
        <w:t xml:space="preserve"> the </w:t>
      </w:r>
      <w:r w:rsidR="00B5188C">
        <w:t>“</w:t>
      </w:r>
      <w:r w:rsidRPr="001A3D2B">
        <w:t>Results</w:t>
      </w:r>
      <w:r w:rsidR="00B5188C">
        <w:t>”</w:t>
      </w:r>
      <w:r w:rsidRPr="001A3D2B">
        <w:t xml:space="preserve"> section. Discussion. - More than half</w:t>
      </w:r>
      <w:r w:rsidR="00427468">
        <w:t xml:space="preserve"> of </w:t>
      </w:r>
      <w:r w:rsidRPr="001A3D2B">
        <w:t>all abstracts presented orally at</w:t>
      </w:r>
      <w:r w:rsidR="003A1917">
        <w:t xml:space="preserve"> the </w:t>
      </w:r>
      <w:r w:rsidRPr="001A3D2B">
        <w:t>JDP congress are subsequently published in journals with a median impact factor comparable to those seen for other scientific congresses for which similar analysis has been conducted</w:t>
      </w:r>
      <w:r w:rsidR="00A37C1D">
        <w:t>. The</w:t>
      </w:r>
      <w:r w:rsidRPr="001A3D2B">
        <w:t>se results confirm</w:t>
      </w:r>
      <w:r w:rsidR="003A1917">
        <w:t xml:space="preserve"> the </w:t>
      </w:r>
      <w:r w:rsidRPr="001A3D2B">
        <w:t>scientific quality</w:t>
      </w:r>
      <w:r w:rsidR="00427468">
        <w:t xml:space="preserve"> of </w:t>
      </w:r>
      <w:r w:rsidRPr="001A3D2B">
        <w:t>this particular congress, in addition to its vocation</w:t>
      </w:r>
      <w:r w:rsidR="00427468">
        <w:t xml:space="preserve"> of </w:t>
      </w:r>
      <w:r w:rsidRPr="001A3D2B">
        <w:t xml:space="preserve">continuous medical training. (C) 2009 </w:t>
      </w:r>
      <w:r w:rsidRPr="001A3D2B">
        <w:lastRenderedPageBreak/>
        <w:t>Published by Elsevier Masson SAS.</w:t>
      </w:r>
    </w:p>
    <w:p w:rsidR="003474F2" w:rsidRPr="001A3D2B" w:rsidRDefault="003474F2" w:rsidP="003474F2">
      <w:pPr>
        <w:pStyle w:val="a3"/>
      </w:pPr>
      <w:r w:rsidRPr="001A3D2B">
        <w:t>Keywords: Abstracts, Analysis, Authors, Congress, Consistency, Controlled, Controlled Trials, Data, Dermatology, Factors, Fate, Goals, Impact, Impact Factor, Journals, Lead, Medical, Oral, Peer Reviewed Journals, Peer-Reviewed, Peer-Reviewed Journals, Period 2000-2004, Publication, Publication Rate, Quality, Quality of, Radiology, Randomized, Randomized Controlled Trials, Randomized Controlled-Trials, Reporting, Research, Sample Size, Search, Size, Society, Subsequent Publication, Surgeons, Time, Training, Transition</w:t>
      </w:r>
    </w:p>
    <w:p w:rsidR="003474F2" w:rsidRPr="001A3D2B" w:rsidRDefault="003474F2" w:rsidP="003474F2">
      <w:pPr>
        <w:pStyle w:val="1"/>
        <w:rPr>
          <w:lang w:val="fr-FR"/>
        </w:rPr>
      </w:pPr>
      <w:r w:rsidRPr="001A3D2B">
        <w:rPr>
          <w:lang w:val="fr-FR"/>
        </w:rPr>
        <w:br w:type="page"/>
      </w:r>
      <w:bookmarkStart w:id="435" w:name="_Toc420814480"/>
      <w:r w:rsidRPr="001A3D2B">
        <w:rPr>
          <w:lang w:val="fr-FR"/>
        </w:rPr>
        <w:lastRenderedPageBreak/>
        <w:t>Title: Annales Françaises d</w:t>
      </w:r>
      <w:r w:rsidR="00700038">
        <w:rPr>
          <w:lang w:val="fr-FR"/>
        </w:rPr>
        <w:t>’</w:t>
      </w:r>
      <w:r w:rsidRPr="001A3D2B">
        <w:rPr>
          <w:lang w:val="fr-FR"/>
        </w:rPr>
        <w:t>Anesthésie et de R</w:t>
      </w:r>
      <w:bookmarkStart w:id="436" w:name="_Toc41122722"/>
      <w:bookmarkStart w:id="437" w:name="_Toc41124109"/>
      <w:bookmarkStart w:id="438" w:name="_Toc46120851"/>
      <w:bookmarkStart w:id="439" w:name="_Toc81215610"/>
      <w:r w:rsidRPr="001A3D2B">
        <w:rPr>
          <w:lang w:val="fr-FR"/>
        </w:rPr>
        <w:t>éanimation</w:t>
      </w:r>
      <w:bookmarkEnd w:id="435"/>
    </w:p>
    <w:p w:rsidR="005448E5" w:rsidRPr="00F219CA" w:rsidRDefault="005448E5" w:rsidP="005448E5">
      <w:pPr>
        <w:pStyle w:val="12"/>
      </w:pPr>
      <w:r w:rsidRPr="00F219CA">
        <w:t xml:space="preserve">Full Journal Title: </w:t>
      </w:r>
      <w:r w:rsidR="00206C8A">
        <w:fldChar w:fldCharType="begin"/>
      </w:r>
      <w:r w:rsidR="00FD158B">
        <w:instrText>HYPERLINK "http://www.sc</w:instrText>
      </w:r>
      <w:bookmarkEnd w:id="436"/>
      <w:bookmarkEnd w:id="437"/>
      <w:bookmarkEnd w:id="438"/>
      <w:bookmarkEnd w:id="439"/>
      <w:r w:rsidR="00FD158B">
        <w:instrText>iencedirect.com/science?_ob=JournalURL&amp;_cdi=6122&amp;_auth=y&amp;_acct=C000011279&amp;_version=1&amp;_urlVersion=0&amp;_userid=1134284&amp;md5=b500c487b46cb031306bbde598659dee"</w:instrText>
      </w:r>
      <w:r w:rsidR="00206C8A">
        <w:fldChar w:fldCharType="separate"/>
      </w:r>
      <w:r>
        <w:rPr>
          <w:rStyle w:val="a5"/>
        </w:rPr>
        <w:t>Annales Fran</w:t>
      </w:r>
      <w:r>
        <w:rPr>
          <w:rStyle w:val="a5"/>
          <w:rFonts w:hint="eastAsia"/>
        </w:rPr>
        <w:t>c</w:t>
      </w:r>
      <w:r w:rsidRPr="00F219CA">
        <w:rPr>
          <w:rStyle w:val="a5"/>
        </w:rPr>
        <w:t>aises d</w:t>
      </w:r>
      <w:r w:rsidR="00700038">
        <w:rPr>
          <w:rStyle w:val="a5"/>
        </w:rPr>
        <w:t>’</w:t>
      </w:r>
      <w:r>
        <w:rPr>
          <w:rStyle w:val="a5"/>
        </w:rPr>
        <w:t>Anesth</w:t>
      </w:r>
      <w:r>
        <w:rPr>
          <w:rStyle w:val="a5"/>
          <w:rFonts w:hint="eastAsia"/>
        </w:rPr>
        <w:t>e</w:t>
      </w:r>
      <w:r>
        <w:rPr>
          <w:rStyle w:val="a5"/>
        </w:rPr>
        <w:t>sie et de R</w:t>
      </w:r>
      <w:r>
        <w:rPr>
          <w:rStyle w:val="a5"/>
          <w:rFonts w:hint="eastAsia"/>
        </w:rPr>
        <w:t>e</w:t>
      </w:r>
      <w:r w:rsidRPr="00F219CA">
        <w:rPr>
          <w:rStyle w:val="a5"/>
        </w:rPr>
        <w:t>animation</w:t>
      </w:r>
      <w:r w:rsidR="00206C8A">
        <w:fldChar w:fldCharType="end"/>
      </w:r>
    </w:p>
    <w:p w:rsidR="003474F2" w:rsidRPr="001A3D2B" w:rsidRDefault="003474F2" w:rsidP="003474F2">
      <w:pPr>
        <w:pStyle w:val="12"/>
      </w:pPr>
      <w:r w:rsidRPr="001A3D2B">
        <w:t>ISO Abbreviated Title: Ann. Fr. Anest. Reanim.</w:t>
      </w:r>
    </w:p>
    <w:p w:rsidR="003474F2" w:rsidRPr="001A3D2B" w:rsidRDefault="003474F2" w:rsidP="003474F2">
      <w:pPr>
        <w:pStyle w:val="12"/>
      </w:pPr>
      <w:r w:rsidRPr="001A3D2B">
        <w:t>JCR Abbreviated Title: Ann Fr Anesth</w:t>
      </w:r>
    </w:p>
    <w:p w:rsidR="003474F2" w:rsidRPr="001A3D2B" w:rsidRDefault="003474F2" w:rsidP="003474F2">
      <w:pPr>
        <w:pStyle w:val="12"/>
      </w:pPr>
      <w:r w:rsidRPr="001A3D2B">
        <w:t>ISSN: 0750-7658</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France</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Editions Scientifiques Medicales Elsevier</w:t>
      </w:r>
    </w:p>
    <w:p w:rsidR="003474F2" w:rsidRPr="001A3D2B" w:rsidRDefault="003474F2" w:rsidP="003474F2">
      <w:pPr>
        <w:pStyle w:val="12"/>
      </w:pPr>
      <w:r w:rsidRPr="001A3D2B">
        <w:t xml:space="preserve">Publisher Address: 23 Rue Linois, 75724 </w:t>
      </w:r>
      <w:smartTag w:uri="urn:schemas-microsoft-com:office:smarttags" w:element="place">
        <w:smartTag w:uri="urn:schemas-microsoft-com:office:smarttags" w:element="City">
          <w:r w:rsidRPr="001A3D2B">
            <w:t>Paris</w:t>
          </w:r>
        </w:smartTag>
      </w:smartTag>
      <w:r w:rsidRPr="001A3D2B">
        <w:t xml:space="preserve"> Cedex 15, France</w:t>
      </w:r>
    </w:p>
    <w:p w:rsidR="003474F2" w:rsidRPr="001A3D2B" w:rsidRDefault="003474F2" w:rsidP="003474F2">
      <w:pPr>
        <w:pStyle w:val="12"/>
      </w:pPr>
      <w:r w:rsidRPr="001A3D2B">
        <w:t>Subject Categories:</w:t>
      </w:r>
    </w:p>
    <w:p w:rsidR="003474F2" w:rsidRPr="001A3D2B" w:rsidRDefault="003474F2" w:rsidP="003474F2">
      <w:pPr>
        <w:pStyle w:val="12"/>
      </w:pPr>
      <w:r w:rsidRPr="001A3D2B">
        <w:t>Anesthesiology: Impact Factor 0.424,/</w:t>
      </w:r>
    </w:p>
    <w:p w:rsidR="003474F2" w:rsidRPr="001A3D2B" w:rsidRDefault="003474F2" w:rsidP="003474F2">
      <w:pPr>
        <w:pStyle w:val="a3"/>
        <w:rPr>
          <w:lang w:val="fr-FR"/>
        </w:rPr>
      </w:pPr>
      <w:r w:rsidRPr="001A3D2B">
        <w:t>Pinaud, M.</w:t>
      </w:r>
      <w:r w:rsidR="005853A9">
        <w:t xml:space="preserve"> and </w:t>
      </w:r>
      <w:r w:rsidRPr="001A3D2B">
        <w:t>Otteni, J.C. (2000), Le «facteur d</w:t>
      </w:r>
      <w:r w:rsidR="00700038">
        <w:t>’</w:t>
      </w:r>
      <w:r w:rsidRPr="001A3D2B">
        <w:t>impact» des revues d</w:t>
      </w:r>
      <w:r w:rsidR="00700038">
        <w:t>’</w:t>
      </w:r>
      <w:r w:rsidRPr="001A3D2B">
        <w:t>anesthésie-réanimation:</w:t>
      </w:r>
      <w:r w:rsidR="003A1917">
        <w:t xml:space="preserve"> the </w:t>
      </w:r>
      <w:r w:rsidRPr="001A3D2B">
        <w:t>«impact factor»</w:t>
      </w:r>
      <w:r w:rsidR="00427468">
        <w:t xml:space="preserve"> of </w:t>
      </w:r>
      <w:r w:rsidRPr="001A3D2B">
        <w:rPr>
          <w:i/>
        </w:rPr>
        <w:t>Anaesthesia</w:t>
      </w:r>
      <w:r w:rsidR="005853A9">
        <w:rPr>
          <w:i/>
        </w:rPr>
        <w:t xml:space="preserve"> and </w:t>
      </w:r>
      <w:r w:rsidRPr="001A3D2B">
        <w:rPr>
          <w:i/>
        </w:rPr>
        <w:t>Intensive Care</w:t>
      </w:r>
      <w:r w:rsidRPr="001A3D2B">
        <w:t xml:space="preserve"> journals. </w:t>
      </w:r>
      <w:r w:rsidRPr="001A3D2B">
        <w:rPr>
          <w:i/>
          <w:iCs/>
          <w:lang w:val="fr-FR"/>
        </w:rPr>
        <w:t>Annales Françaises d</w:t>
      </w:r>
      <w:r w:rsidR="00700038">
        <w:rPr>
          <w:i/>
          <w:iCs/>
          <w:lang w:val="fr-FR"/>
        </w:rPr>
        <w:t>’</w:t>
      </w:r>
      <w:r w:rsidRPr="001A3D2B">
        <w:rPr>
          <w:i/>
          <w:iCs/>
          <w:lang w:val="fr-FR"/>
        </w:rPr>
        <w:t>Anesthésie et de Réanimation</w:t>
      </w:r>
      <w:r w:rsidRPr="001A3D2B">
        <w:rPr>
          <w:lang w:val="fr-FR"/>
        </w:rPr>
        <w:t xml:space="preserve">, </w:t>
      </w:r>
      <w:r w:rsidRPr="001A3D2B">
        <w:rPr>
          <w:b/>
          <w:lang w:val="fr-FR"/>
        </w:rPr>
        <w:t>19</w:t>
      </w:r>
      <w:r w:rsidRPr="001A3D2B">
        <w:rPr>
          <w:lang w:val="fr-FR"/>
        </w:rPr>
        <w:t xml:space="preserve"> (6), 492-497.</w:t>
      </w:r>
    </w:p>
    <w:p w:rsidR="003474F2" w:rsidRPr="001A3D2B" w:rsidRDefault="003474F2" w:rsidP="003474F2">
      <w:pPr>
        <w:pStyle w:val="a3"/>
      </w:pPr>
      <w:r w:rsidRPr="001A3D2B">
        <w:rPr>
          <w:lang w:val="fr-FR"/>
        </w:rPr>
        <w:t xml:space="preserve">Full Text: </w:t>
      </w:r>
      <w:hyperlink r:id="rId810" w:history="1">
        <w:r w:rsidRPr="001A3D2B">
          <w:rPr>
            <w:rStyle w:val="a5"/>
            <w:lang w:val="fr-FR"/>
          </w:rPr>
          <w:t>2000\Ann Fra dAn Rea19, 492.pdf</w:t>
        </w:r>
      </w:hyperlink>
    </w:p>
    <w:p w:rsidR="003474F2" w:rsidRPr="001A3D2B" w:rsidRDefault="003474F2" w:rsidP="003474F2">
      <w:pPr>
        <w:pStyle w:val="a3"/>
      </w:pPr>
      <w:r w:rsidRPr="001A3D2B">
        <w:t>Abstract:</w:t>
      </w:r>
      <w:r w:rsidR="003A1917">
        <w:t xml:space="preserve"> the </w:t>
      </w:r>
      <w:r w:rsidRPr="001A3D2B">
        <w:t>«impact factor» (IF)</w:t>
      </w:r>
      <w:r w:rsidR="00427468">
        <w:t xml:space="preserve"> of </w:t>
      </w:r>
      <w:r w:rsidRPr="001A3D2B">
        <w:t>scientific journals is defined as</w:t>
      </w:r>
      <w:r w:rsidR="003A1917">
        <w:t xml:space="preserve"> the </w:t>
      </w:r>
      <w:r w:rsidRPr="001A3D2B">
        <w:t>number</w:t>
      </w:r>
      <w:r w:rsidR="00427468">
        <w:t xml:space="preserve"> of </w:t>
      </w:r>
      <w:r w:rsidRPr="001A3D2B">
        <w:t>citations obtained over a one-year period</w:t>
      </w:r>
      <w:r w:rsidR="00427468">
        <w:t xml:space="preserve"> of </w:t>
      </w:r>
      <w:r w:rsidRPr="001A3D2B">
        <w:t>articles published during</w:t>
      </w:r>
      <w:r w:rsidR="003A1917">
        <w:t xml:space="preserve"> the </w:t>
      </w:r>
      <w:r w:rsidRPr="001A3D2B">
        <w:t>two previous years in a journal, divided by</w:t>
      </w:r>
      <w:r w:rsidR="003A1917">
        <w:t xml:space="preserve"> the </w:t>
      </w:r>
      <w:r w:rsidRPr="001A3D2B">
        <w:t>number</w:t>
      </w:r>
      <w:r w:rsidR="00427468">
        <w:t xml:space="preserve"> of </w:t>
      </w:r>
      <w:r w:rsidRPr="001A3D2B">
        <w:t>articles published in that journal during</w:t>
      </w:r>
      <w:r w:rsidR="003A1917">
        <w:t xml:space="preserve"> the </w:t>
      </w:r>
      <w:r w:rsidRPr="001A3D2B">
        <w:t>preceding two years</w:t>
      </w:r>
      <w:r w:rsidR="00A37C1D">
        <w:t>. The</w:t>
      </w:r>
      <w:r w:rsidR="003A1917">
        <w:t xml:space="preserve"> </w:t>
      </w:r>
      <w:r w:rsidRPr="001A3D2B">
        <w:t>IF, initially devised as an indicator</w:t>
      </w:r>
      <w:r w:rsidR="00427468">
        <w:t xml:space="preserve"> of </w:t>
      </w:r>
      <w:r w:rsidR="003A1917">
        <w:t xml:space="preserve">the </w:t>
      </w:r>
      <w:r w:rsidRPr="001A3D2B">
        <w:t>quality</w:t>
      </w:r>
      <w:r w:rsidR="00427468">
        <w:t xml:space="preserve"> of </w:t>
      </w:r>
      <w:r w:rsidRPr="001A3D2B">
        <w:t>a journal, is at present mainly considered as an indicator</w:t>
      </w:r>
      <w:r w:rsidR="00427468">
        <w:t xml:space="preserve"> of </w:t>
      </w:r>
      <w:r w:rsidR="003A1917">
        <w:t xml:space="preserve">the </w:t>
      </w:r>
      <w:r w:rsidRPr="001A3D2B">
        <w:t>quality</w:t>
      </w:r>
      <w:r w:rsidR="00427468">
        <w:t xml:space="preserve"> of </w:t>
      </w:r>
      <w:r w:rsidRPr="001A3D2B">
        <w:t>an article contained in that journal. However</w:t>
      </w:r>
      <w:r w:rsidR="003A1917">
        <w:t xml:space="preserve"> the </w:t>
      </w:r>
      <w:r w:rsidRPr="001A3D2B">
        <w:t>IF</w:t>
      </w:r>
      <w:r w:rsidR="00427468">
        <w:t xml:space="preserve"> of </w:t>
      </w:r>
      <w:r w:rsidRPr="001A3D2B">
        <w:t>a journal is not equivalent to</w:t>
      </w:r>
      <w:r w:rsidR="003A1917">
        <w:t xml:space="preserve"> the </w:t>
      </w:r>
      <w:r w:rsidRPr="001A3D2B">
        <w:t>actual impact</w:t>
      </w:r>
      <w:r w:rsidR="00427468">
        <w:t xml:space="preserve"> of </w:t>
      </w:r>
      <w:r w:rsidRPr="001A3D2B">
        <w:t>an article</w:t>
      </w:r>
      <w:r w:rsidR="00A37C1D">
        <w:t>. The</w:t>
      </w:r>
      <w:r w:rsidRPr="001A3D2B">
        <w:t>refore</w:t>
      </w:r>
      <w:r w:rsidR="003A1917">
        <w:t xml:space="preserve"> the </w:t>
      </w:r>
      <w:r w:rsidRPr="001A3D2B">
        <w:t>IF is not an accurate tool for assessment</w:t>
      </w:r>
      <w:r w:rsidR="00427468">
        <w:t xml:space="preserve"> of </w:t>
      </w:r>
      <w:r w:rsidR="003A1917">
        <w:t xml:space="preserve">the </w:t>
      </w:r>
      <w:r w:rsidRPr="001A3D2B">
        <w:t>scientific quality</w:t>
      </w:r>
      <w:r w:rsidR="00427468">
        <w:t xml:space="preserve"> of </w:t>
      </w:r>
      <w:r w:rsidR="003A1917">
        <w:t xml:space="preserve">the </w:t>
      </w:r>
      <w:r w:rsidRPr="001A3D2B">
        <w:t>author</w:t>
      </w:r>
      <w:r w:rsidR="00427468">
        <w:t xml:space="preserve"> of </w:t>
      </w:r>
      <w:r w:rsidRPr="001A3D2B">
        <w:t>that article.</w:t>
      </w:r>
    </w:p>
    <w:p w:rsidR="003474F2" w:rsidRPr="001A3D2B" w:rsidRDefault="003474F2" w:rsidP="003474F2">
      <w:pPr>
        <w:pStyle w:val="a3"/>
      </w:pPr>
      <w:r w:rsidRPr="001A3D2B">
        <w:t>The IFs</w:t>
      </w:r>
      <w:r w:rsidR="00427468">
        <w:t xml:space="preserve"> of </w:t>
      </w:r>
      <w:r w:rsidRPr="001A3D2B">
        <w:t>journals published in English are significantly higher than</w:t>
      </w:r>
      <w:r w:rsidR="003A1917">
        <w:t xml:space="preserve"> the </w:t>
      </w:r>
      <w:r w:rsidRPr="001A3D2B">
        <w:t>IFs</w:t>
      </w:r>
      <w:r w:rsidR="00427468">
        <w:t xml:space="preserve"> of </w:t>
      </w:r>
      <w:r w:rsidRPr="001A3D2B">
        <w:t>those in another language, mainly as English is</w:t>
      </w:r>
      <w:r w:rsidR="003A1917">
        <w:t xml:space="preserve"> the </w:t>
      </w:r>
      <w:r w:rsidRPr="001A3D2B">
        <w:t>language used for international communication</w:t>
      </w:r>
      <w:r w:rsidR="005853A9">
        <w:t xml:space="preserve"> and </w:t>
      </w:r>
      <w:r w:rsidRPr="001A3D2B">
        <w:t>as English speaking authors rarely cite articles published in another language</w:t>
      </w:r>
      <w:r w:rsidR="00A37C1D">
        <w:t>. The</w:t>
      </w:r>
      <w:r w:rsidR="003A1917">
        <w:t xml:space="preserve"> </w:t>
      </w:r>
      <w:r w:rsidRPr="001A3D2B">
        <w:t>IF</w:t>
      </w:r>
      <w:r w:rsidR="00427468">
        <w:t xml:space="preserve"> of </w:t>
      </w:r>
      <w:r w:rsidR="003A1917">
        <w:t xml:space="preserve">the </w:t>
      </w:r>
      <w:r w:rsidRPr="001A3D2B">
        <w:t>journal</w:t>
      </w:r>
      <w:r w:rsidR="00427468">
        <w:t xml:space="preserve"> of </w:t>
      </w:r>
      <w:r w:rsidR="003A1917">
        <w:t xml:space="preserve">the </w:t>
      </w:r>
      <w:r w:rsidRPr="001A3D2B">
        <w:t>French society for anaesthesiology</w:t>
      </w:r>
      <w:r w:rsidR="005853A9">
        <w:t xml:space="preserve"> and </w:t>
      </w:r>
      <w:r w:rsidRPr="001A3D2B">
        <w:t>intensive care,</w:t>
      </w:r>
      <w:r w:rsidR="003A1917">
        <w:t xml:space="preserve"> the </w:t>
      </w:r>
      <w:r w:rsidRPr="001A3D2B">
        <w:rPr>
          <w:i/>
          <w:iCs/>
        </w:rPr>
        <w:t>Annales françaises d</w:t>
      </w:r>
      <w:r w:rsidR="00700038">
        <w:rPr>
          <w:i/>
          <w:iCs/>
        </w:rPr>
        <w:t>’</w:t>
      </w:r>
      <w:r w:rsidRPr="001A3D2B">
        <w:rPr>
          <w:i/>
          <w:iCs/>
        </w:rPr>
        <w:t>anesthésie et de réanimation</w:t>
      </w:r>
      <w:r w:rsidRPr="001A3D2B">
        <w:t xml:space="preserve"> (</w:t>
      </w:r>
      <w:r w:rsidRPr="001A3D2B">
        <w:rPr>
          <w:i/>
          <w:iCs/>
        </w:rPr>
        <w:t>Afar</w:t>
      </w:r>
      <w:r w:rsidRPr="001A3D2B">
        <w:t>), is about seven times below</w:t>
      </w:r>
      <w:r w:rsidR="003A1917">
        <w:t xml:space="preserve"> the </w:t>
      </w:r>
      <w:r w:rsidRPr="001A3D2B">
        <w:t>IF</w:t>
      </w:r>
      <w:r w:rsidR="00427468">
        <w:t xml:space="preserve"> of </w:t>
      </w:r>
      <w:r w:rsidRPr="001A3D2B">
        <w:rPr>
          <w:i/>
          <w:iCs/>
        </w:rPr>
        <w:t>Anesthesiology</w:t>
      </w:r>
      <w:r w:rsidRPr="001A3D2B">
        <w:t>, which has</w:t>
      </w:r>
      <w:r w:rsidR="003A1917">
        <w:t xml:space="preserve"> the </w:t>
      </w:r>
      <w:r w:rsidRPr="001A3D2B">
        <w:t>highest IF in</w:t>
      </w:r>
      <w:r w:rsidR="003A1917">
        <w:t xml:space="preserve"> the </w:t>
      </w:r>
      <w:r w:rsidRPr="001A3D2B">
        <w:t>category «</w:t>
      </w:r>
      <w:r w:rsidRPr="001A3D2B">
        <w:rPr>
          <w:i/>
          <w:iCs/>
        </w:rPr>
        <w:t>Anesthesiology</w:t>
      </w:r>
      <w:r w:rsidRPr="001A3D2B">
        <w:t>». From 1992 to 1998,</w:t>
      </w:r>
      <w:r w:rsidR="003A1917">
        <w:t xml:space="preserve"> the </w:t>
      </w:r>
      <w:hyperlink r:id="rId811" w:anchor="hit6" w:history="1"/>
      <w:r w:rsidRPr="001A3D2B">
        <w:t>relative impact</w:t>
      </w:r>
      <w:hyperlink r:id="rId812" w:anchor="hit8" w:history="1"/>
      <w:r w:rsidRPr="001A3D2B">
        <w:t xml:space="preserve"> value</w:t>
      </w:r>
      <w:r w:rsidR="00427468">
        <w:t xml:space="preserve"> of </w:t>
      </w:r>
      <w:r w:rsidR="003A1917">
        <w:t xml:space="preserve">the </w:t>
      </w:r>
      <w:r w:rsidRPr="001A3D2B">
        <w:rPr>
          <w:i/>
          <w:iCs/>
        </w:rPr>
        <w:t>Afar</w:t>
      </w:r>
      <w:r w:rsidRPr="001A3D2B">
        <w:t xml:space="preserve"> has increased by 429 %. However</w:t>
      </w:r>
      <w:r w:rsidR="003A1917">
        <w:t xml:space="preserve"> the </w:t>
      </w:r>
      <w:r w:rsidRPr="001A3D2B">
        <w:t>absolute value remains low.</w:t>
      </w:r>
    </w:p>
    <w:p w:rsidR="003474F2" w:rsidRPr="001A3D2B" w:rsidRDefault="003474F2" w:rsidP="003474F2">
      <w:pPr>
        <w:pStyle w:val="a3"/>
      </w:pPr>
      <w:r w:rsidRPr="001A3D2B">
        <w:t>Keywords: Anaesthesia, Anaesthesiology, Assessment, Care, Citations, Communication, Impact, Impact Factor, Indicator, Intensive Care, International, Journal, Journals, Quality, Quality of, Scientific Journals, Society, Value</w:t>
      </w:r>
    </w:p>
    <w:p w:rsidR="005448E5" w:rsidRPr="00F219CA" w:rsidRDefault="005448E5" w:rsidP="005448E5">
      <w:pPr>
        <w:pStyle w:val="a3"/>
        <w:rPr>
          <w:lang w:val="fr-FR"/>
        </w:rPr>
      </w:pPr>
      <w:r w:rsidRPr="00F219CA">
        <w:rPr>
          <w:lang w:val="fr-FR"/>
        </w:rPr>
        <w:t>Beye, M.D., Diouf, E., Kane, O., Ndoye, M.D., Seydi, A., Ndiaye, P.I.</w:t>
      </w:r>
      <w:r w:rsidR="005853A9">
        <w:rPr>
          <w:lang w:val="fr-FR"/>
        </w:rPr>
        <w:t xml:space="preserve"> and </w:t>
      </w:r>
      <w:r w:rsidRPr="00F219CA">
        <w:rPr>
          <w:lang w:val="fr-FR"/>
        </w:rPr>
        <w:t>Sall, B.K. (2003), Prise en charge de l</w:t>
      </w:r>
      <w:r w:rsidR="00700038">
        <w:rPr>
          <w:lang w:val="fr-FR"/>
        </w:rPr>
        <w:t>’</w:t>
      </w:r>
      <w:r w:rsidRPr="00F219CA">
        <w:rPr>
          <w:lang w:val="fr-FR"/>
        </w:rPr>
        <w:t xml:space="preserve">éclampsie grave en réanimation en milieu tropical </w:t>
      </w:r>
      <w:r w:rsidRPr="00F219CA">
        <w:rPr>
          <w:lang w:val="fr-FR"/>
        </w:rPr>
        <w:lastRenderedPageBreak/>
        <w:t xml:space="preserve">africain. </w:t>
      </w:r>
      <w:r w:rsidRPr="00F219CA">
        <w:t>À propos de 28 cas: Intensive care management</w:t>
      </w:r>
      <w:r w:rsidR="00427468">
        <w:t xml:space="preserve"> of </w:t>
      </w:r>
      <w:r w:rsidRPr="00F219CA">
        <w:t xml:space="preserve">28 patients with severe eclampsia in a tropical African setting. </w:t>
      </w:r>
      <w:r w:rsidRPr="00F219CA">
        <w:rPr>
          <w:i/>
          <w:iCs/>
          <w:lang w:val="fr-FR"/>
        </w:rPr>
        <w:t>Annales Françaises d</w:t>
      </w:r>
      <w:r w:rsidR="00700038">
        <w:rPr>
          <w:i/>
          <w:iCs/>
          <w:lang w:val="fr-FR"/>
        </w:rPr>
        <w:t>’</w:t>
      </w:r>
      <w:r w:rsidRPr="00F219CA">
        <w:rPr>
          <w:i/>
          <w:iCs/>
          <w:lang w:val="fr-FR"/>
        </w:rPr>
        <w:t>Anesthésie et de Réanimation</w:t>
      </w:r>
      <w:r w:rsidRPr="00F219CA">
        <w:rPr>
          <w:lang w:val="fr-FR"/>
        </w:rPr>
        <w:t xml:space="preserve">, </w:t>
      </w:r>
      <w:r w:rsidRPr="00F219CA">
        <w:rPr>
          <w:b/>
          <w:lang w:val="fr-FR"/>
        </w:rPr>
        <w:t>22</w:t>
      </w:r>
      <w:r w:rsidRPr="00F219CA">
        <w:rPr>
          <w:lang w:val="fr-FR"/>
        </w:rPr>
        <w:t xml:space="preserve"> (1), 25-29.</w:t>
      </w:r>
    </w:p>
    <w:p w:rsidR="005448E5" w:rsidRPr="00F219CA" w:rsidRDefault="005448E5" w:rsidP="005448E5">
      <w:pPr>
        <w:pStyle w:val="a3"/>
        <w:rPr>
          <w:lang w:val="fr-FR"/>
        </w:rPr>
      </w:pPr>
      <w:r w:rsidRPr="00F219CA">
        <w:rPr>
          <w:lang w:val="fr-FR"/>
        </w:rPr>
        <w:t xml:space="preserve">Full Text: </w:t>
      </w:r>
      <w:hyperlink r:id="rId813" w:history="1">
        <w:r w:rsidRPr="00F219CA">
          <w:rPr>
            <w:rStyle w:val="a5"/>
            <w:lang w:val="fr-FR"/>
          </w:rPr>
          <w:t>A\Ann Fra dAn Rea22, 25.pdf</w:t>
        </w:r>
      </w:hyperlink>
    </w:p>
    <w:p w:rsidR="005448E5" w:rsidRPr="00F219CA" w:rsidRDefault="005448E5" w:rsidP="005448E5">
      <w:pPr>
        <w:pStyle w:val="a3"/>
        <w:rPr>
          <w:kern w:val="0"/>
        </w:rPr>
      </w:pPr>
      <w:r w:rsidRPr="00F219CA">
        <w:t xml:space="preserve">Abstract: </w:t>
      </w:r>
      <w:r w:rsidRPr="00F219CA">
        <w:rPr>
          <w:i/>
          <w:iCs/>
        </w:rPr>
        <w:t>Objective –</w:t>
      </w:r>
      <w:r w:rsidRPr="00F219CA">
        <w:t xml:space="preserve"> To study</w:t>
      </w:r>
      <w:r w:rsidR="003A1917">
        <w:t xml:space="preserve"> the </w:t>
      </w:r>
      <w:r w:rsidRPr="00F219CA">
        <w:t>specific management problems</w:t>
      </w:r>
      <w:r w:rsidR="00427468">
        <w:t xml:space="preserve"> of </w:t>
      </w:r>
      <w:r w:rsidRPr="00F219CA">
        <w:t>severe eclampsia under tropical latitudes.</w:t>
      </w:r>
    </w:p>
    <w:p w:rsidR="005448E5" w:rsidRPr="00F219CA" w:rsidRDefault="005448E5" w:rsidP="005448E5">
      <w:pPr>
        <w:pStyle w:val="a3"/>
      </w:pPr>
      <w:r w:rsidRPr="00F219CA">
        <w:rPr>
          <w:i/>
          <w:iCs/>
        </w:rPr>
        <w:t>Study design –</w:t>
      </w:r>
      <w:r w:rsidRPr="00F219CA">
        <w:t xml:space="preserve"> A two years retrospective study in a University hospital in</w:t>
      </w:r>
      <w:r w:rsidR="003A1917">
        <w:t xml:space="preserve"> the </w:t>
      </w:r>
      <w:r w:rsidRPr="00F219CA">
        <w:t>tropics.</w:t>
      </w:r>
    </w:p>
    <w:p w:rsidR="005448E5" w:rsidRPr="00F219CA" w:rsidRDefault="005448E5" w:rsidP="005448E5">
      <w:pPr>
        <w:pStyle w:val="a3"/>
      </w:pPr>
      <w:r w:rsidRPr="00F219CA">
        <w:rPr>
          <w:i/>
          <w:iCs/>
        </w:rPr>
        <w:t>Patients</w:t>
      </w:r>
      <w:r w:rsidR="005853A9">
        <w:rPr>
          <w:i/>
          <w:iCs/>
        </w:rPr>
        <w:t xml:space="preserve"> and </w:t>
      </w:r>
      <w:r w:rsidRPr="00F219CA">
        <w:rPr>
          <w:i/>
          <w:iCs/>
        </w:rPr>
        <w:t>Methods –</w:t>
      </w:r>
      <w:r w:rsidRPr="00F219CA">
        <w:t xml:space="preserve"> In all patients admitted for eclampsia between January 1997 et December 1999,</w:t>
      </w:r>
      <w:r w:rsidR="003A1917">
        <w:t xml:space="preserve"> the </w:t>
      </w:r>
      <w:r w:rsidRPr="00F219CA">
        <w:t>following parameters were studied: age, parity, interval between disease et admission, post-eclampsia Glasgow Coma Scale (GCS), time</w:t>
      </w:r>
      <w:r w:rsidR="00427468">
        <w:t xml:space="preserve"> of </w:t>
      </w:r>
      <w:r w:rsidRPr="00F219CA">
        <w:t>occurrence</w:t>
      </w:r>
      <w:r w:rsidR="00427468">
        <w:t xml:space="preserve"> of </w:t>
      </w:r>
      <w:r w:rsidRPr="00F219CA">
        <w:t>eclampsia during pregnancy, delivery route, blood pressure data at admission,</w:t>
      </w:r>
      <w:r w:rsidR="003A1917">
        <w:t xml:space="preserve"> the </w:t>
      </w:r>
      <w:r w:rsidRPr="00F219CA">
        <w:t>occurrence</w:t>
      </w:r>
      <w:r w:rsidR="00427468">
        <w:t xml:space="preserve"> of </w:t>
      </w:r>
      <w:r w:rsidRPr="00F219CA">
        <w:t>complications at admission or during hospital stay.</w:t>
      </w:r>
    </w:p>
    <w:p w:rsidR="005448E5" w:rsidRPr="00F219CA" w:rsidRDefault="005448E5" w:rsidP="005448E5">
      <w:pPr>
        <w:pStyle w:val="a3"/>
      </w:pPr>
      <w:r w:rsidRPr="00F219CA">
        <w:rPr>
          <w:i/>
          <w:iCs/>
        </w:rPr>
        <w:t>Results –</w:t>
      </w:r>
      <w:r w:rsidRPr="00F219CA">
        <w:t xml:space="preserve"> Twenty-eight mainly primiparous patients (mean age: 26 ±6) were admitted with an average delay</w:t>
      </w:r>
      <w:r w:rsidR="00427468">
        <w:t xml:space="preserve"> of </w:t>
      </w:r>
      <w:r w:rsidRPr="00F219CA">
        <w:t>8.5 ±10.2 hours after</w:t>
      </w:r>
      <w:r w:rsidR="003A1917">
        <w:t xml:space="preserve"> the </w:t>
      </w:r>
      <w:r w:rsidRPr="00F219CA">
        <w:t>first symptoms</w:t>
      </w:r>
      <w:r w:rsidR="00A37C1D">
        <w:t>. The</w:t>
      </w:r>
      <w:r w:rsidR="003A1917">
        <w:t xml:space="preserve"> </w:t>
      </w:r>
      <w:r w:rsidRPr="00F219CA">
        <w:t>time</w:t>
      </w:r>
      <w:r w:rsidR="00427468">
        <w:t xml:space="preserve"> of </w:t>
      </w:r>
      <w:r w:rsidRPr="00F219CA">
        <w:t>occurrence was prepartum in 6, perpartum in 14</w:t>
      </w:r>
      <w:r w:rsidR="005853A9">
        <w:t xml:space="preserve"> and </w:t>
      </w:r>
      <w:r w:rsidRPr="00F219CA">
        <w:t>postpartum in 8 cases. All patients were hypertensive</w:t>
      </w:r>
      <w:r w:rsidR="005853A9">
        <w:t xml:space="preserve"> and </w:t>
      </w:r>
      <w:r w:rsidRPr="00F219CA">
        <w:t>comatose with an average GCS</w:t>
      </w:r>
      <w:r w:rsidR="00427468">
        <w:t xml:space="preserve"> of </w:t>
      </w:r>
      <w:r w:rsidRPr="00F219CA">
        <w:t>8 ±2.2. Twenty patients had been previously intubated</w:t>
      </w:r>
      <w:r w:rsidR="005853A9">
        <w:t xml:space="preserve"> and </w:t>
      </w:r>
      <w:r w:rsidRPr="00F219CA">
        <w:t>ventilated. Delivery was natural in 22</w:t>
      </w:r>
      <w:r w:rsidR="005853A9">
        <w:t xml:space="preserve"> and </w:t>
      </w:r>
      <w:r w:rsidRPr="00F219CA">
        <w:t>by caesarean section in 6 patients</w:t>
      </w:r>
      <w:r w:rsidR="00A37C1D">
        <w:t>. The</w:t>
      </w:r>
      <w:r w:rsidR="003A1917">
        <w:t xml:space="preserve"> </w:t>
      </w:r>
      <w:r w:rsidRPr="00F219CA">
        <w:t>following complications were found: acute oliguric renal failure (9), HELLP-syndrome (4), cerebral haemorrhage (4), acute lung oedema (3)</w:t>
      </w:r>
      <w:r w:rsidR="005853A9">
        <w:t xml:space="preserve"> and </w:t>
      </w:r>
      <w:r w:rsidRPr="00F219CA">
        <w:t>acute respiratory distress syndrome (1). Maternal</w:t>
      </w:r>
      <w:r w:rsidR="005853A9">
        <w:t xml:space="preserve"> and </w:t>
      </w:r>
      <w:r w:rsidRPr="00F219CA">
        <w:t>child mortality were 35</w:t>
      </w:r>
      <w:r w:rsidR="005853A9">
        <w:t xml:space="preserve"> and </w:t>
      </w:r>
      <w:r w:rsidRPr="00F219CA">
        <w:t>42.8% respectively.</w:t>
      </w:r>
    </w:p>
    <w:p w:rsidR="005448E5" w:rsidRPr="00F219CA" w:rsidRDefault="005448E5" w:rsidP="005448E5">
      <w:pPr>
        <w:pStyle w:val="a3"/>
      </w:pPr>
      <w:r w:rsidRPr="00F219CA">
        <w:rPr>
          <w:i/>
          <w:iCs/>
        </w:rPr>
        <w:t>Conclusion –</w:t>
      </w:r>
      <w:r w:rsidRPr="00F219CA">
        <w:t xml:space="preserve"> Eclampsia is a major cause</w:t>
      </w:r>
      <w:r w:rsidR="00427468">
        <w:t xml:space="preserve"> of </w:t>
      </w:r>
      <w:r w:rsidRPr="00F219CA">
        <w:t>both maternal</w:t>
      </w:r>
      <w:r w:rsidR="005853A9">
        <w:t xml:space="preserve"> and </w:t>
      </w:r>
      <w:r w:rsidRPr="00F219CA">
        <w:t>infantile mortality in developing countries</w:t>
      </w:r>
      <w:r w:rsidR="00A37C1D">
        <w:t>. The</w:t>
      </w:r>
      <w:r w:rsidR="003A1917">
        <w:t xml:space="preserve"> </w:t>
      </w:r>
      <w:r w:rsidRPr="00F219CA">
        <w:t>authors insist that prevention</w:t>
      </w:r>
      <w:r w:rsidR="005853A9">
        <w:t xml:space="preserve"> and </w:t>
      </w:r>
      <w:r w:rsidRPr="00F219CA">
        <w:t>management require speedy transfers to adapted specialized obstetrical intensive care structures.</w:t>
      </w:r>
    </w:p>
    <w:p w:rsidR="005448E5" w:rsidRPr="00923977" w:rsidRDefault="005448E5" w:rsidP="005448E5">
      <w:pPr>
        <w:pStyle w:val="a3"/>
        <w:rPr>
          <w:kern w:val="0"/>
        </w:rPr>
      </w:pPr>
      <w:r>
        <w:rPr>
          <w:rFonts w:hint="eastAsia"/>
          <w:kern w:val="0"/>
        </w:rPr>
        <w:t xml:space="preserve">? </w:t>
      </w:r>
      <w:r>
        <w:rPr>
          <w:kern w:val="0"/>
        </w:rPr>
        <w:t>Lienhart, A. (2011), Citation errors: Uplavici (for Hlava)</w:t>
      </w:r>
      <w:r w:rsidR="005853A9">
        <w:rPr>
          <w:kern w:val="0"/>
        </w:rPr>
        <w:t xml:space="preserve"> and </w:t>
      </w:r>
      <w:r>
        <w:rPr>
          <w:kern w:val="0"/>
        </w:rPr>
        <w:t>William</w:t>
      </w:r>
      <w:r w:rsidR="003A1917">
        <w:rPr>
          <w:kern w:val="0"/>
        </w:rPr>
        <w:t xml:space="preserve"> the </w:t>
      </w:r>
      <w:r>
        <w:rPr>
          <w:kern w:val="0"/>
        </w:rPr>
        <w:t xml:space="preserve">Silent (for Jules </w:t>
      </w:r>
      <w:r w:rsidRPr="00923977">
        <w:rPr>
          <w:kern w:val="0"/>
        </w:rPr>
        <w:t>Verne</w:t>
      </w:r>
      <w:r w:rsidR="005853A9">
        <w:rPr>
          <w:kern w:val="0"/>
        </w:rPr>
        <w:t xml:space="preserve"> and </w:t>
      </w:r>
      <w:r w:rsidRPr="00923977">
        <w:rPr>
          <w:kern w:val="0"/>
        </w:rPr>
        <w:t xml:space="preserve">Mignet). </w:t>
      </w:r>
      <w:r w:rsidRPr="00923977">
        <w:rPr>
          <w:i/>
          <w:iCs/>
          <w:lang w:val="fr-FR"/>
        </w:rPr>
        <w:t>Annales Françaises d</w:t>
      </w:r>
      <w:r w:rsidR="00700038">
        <w:rPr>
          <w:i/>
          <w:iCs/>
          <w:lang w:val="fr-FR"/>
        </w:rPr>
        <w:t>’</w:t>
      </w:r>
      <w:r w:rsidRPr="00923977">
        <w:rPr>
          <w:i/>
          <w:iCs/>
          <w:lang w:val="fr-FR"/>
        </w:rPr>
        <w:t>Anesthésie et de Réanimation</w:t>
      </w:r>
      <w:r w:rsidRPr="00923977">
        <w:rPr>
          <w:kern w:val="0"/>
        </w:rPr>
        <w:t xml:space="preserve">, </w:t>
      </w:r>
      <w:r w:rsidRPr="00923977">
        <w:rPr>
          <w:b/>
          <w:bCs/>
          <w:kern w:val="0"/>
        </w:rPr>
        <w:t>30</w:t>
      </w:r>
      <w:r w:rsidRPr="00923977">
        <w:rPr>
          <w:kern w:val="0"/>
        </w:rPr>
        <w:t xml:space="preserve"> (5), 429-431.</w:t>
      </w:r>
    </w:p>
    <w:p w:rsidR="005448E5" w:rsidRPr="00923977" w:rsidRDefault="005448E5" w:rsidP="005448E5">
      <w:pPr>
        <w:pStyle w:val="a3"/>
        <w:rPr>
          <w:lang w:val="fr-FR"/>
        </w:rPr>
      </w:pPr>
      <w:r w:rsidRPr="001A3D2B">
        <w:rPr>
          <w:lang w:val="fr-FR"/>
        </w:rPr>
        <w:t xml:space="preserve">Full Text: </w:t>
      </w:r>
      <w:hyperlink r:id="rId814" w:history="1">
        <w:r w:rsidR="00A92AFF" w:rsidRPr="00A92AFF">
          <w:rPr>
            <w:rStyle w:val="a5"/>
            <w:lang w:val="fr-FR"/>
          </w:rPr>
          <w:t>2011\Ann Fra dAn Rea30, 429.pdf</w:t>
        </w:r>
      </w:hyperlink>
    </w:p>
    <w:p w:rsidR="005448E5" w:rsidRDefault="005448E5" w:rsidP="005448E5">
      <w:pPr>
        <w:pStyle w:val="a3"/>
        <w:rPr>
          <w:kern w:val="0"/>
        </w:rPr>
      </w:pPr>
      <w:r>
        <w:rPr>
          <w:kern w:val="0"/>
        </w:rPr>
        <w:t xml:space="preserve">Abstract: A certain </w:t>
      </w:r>
      <w:r w:rsidR="00700038">
        <w:rPr>
          <w:kern w:val="0"/>
        </w:rPr>
        <w:t>‘</w:t>
      </w:r>
      <w:r>
        <w:rPr>
          <w:kern w:val="0"/>
        </w:rPr>
        <w:t>O Uplavici</w:t>
      </w:r>
      <w:r w:rsidR="00700038">
        <w:rPr>
          <w:kern w:val="0"/>
        </w:rPr>
        <w:t>’</w:t>
      </w:r>
      <w:r>
        <w:rPr>
          <w:kern w:val="0"/>
        </w:rPr>
        <w:t xml:space="preserve"> was cited for more than fifty years, although he had never existed. This error probably came from a misinterpretation</w:t>
      </w:r>
      <w:r w:rsidR="00427468">
        <w:rPr>
          <w:kern w:val="0"/>
        </w:rPr>
        <w:t xml:space="preserve"> of </w:t>
      </w:r>
      <w:r w:rsidR="003A1917">
        <w:rPr>
          <w:kern w:val="0"/>
        </w:rPr>
        <w:t xml:space="preserve">the </w:t>
      </w:r>
      <w:r>
        <w:rPr>
          <w:kern w:val="0"/>
        </w:rPr>
        <w:t>Czech language, in which</w:t>
      </w:r>
      <w:r w:rsidR="003A1917">
        <w:rPr>
          <w:kern w:val="0"/>
        </w:rPr>
        <w:t xml:space="preserve"> the </w:t>
      </w:r>
      <w:r>
        <w:rPr>
          <w:kern w:val="0"/>
        </w:rPr>
        <w:t>real author</w:t>
      </w:r>
      <w:r w:rsidR="00700038">
        <w:rPr>
          <w:kern w:val="0"/>
        </w:rPr>
        <w:t>’</w:t>
      </w:r>
      <w:r w:rsidR="00C13DDC">
        <w:rPr>
          <w:kern w:val="0"/>
        </w:rPr>
        <w:t>s</w:t>
      </w:r>
      <w:r>
        <w:rPr>
          <w:kern w:val="0"/>
        </w:rPr>
        <w:t xml:space="preserve"> name - Hlava - can mean </w:t>
      </w:r>
      <w:r w:rsidR="00700038">
        <w:rPr>
          <w:kern w:val="0"/>
        </w:rPr>
        <w:t>‘</w:t>
      </w:r>
      <w:r>
        <w:rPr>
          <w:kern w:val="0"/>
        </w:rPr>
        <w:t>Title</w:t>
      </w:r>
      <w:r w:rsidR="00700038">
        <w:rPr>
          <w:kern w:val="0"/>
        </w:rPr>
        <w:t>’</w:t>
      </w:r>
      <w:r>
        <w:rPr>
          <w:kern w:val="0"/>
        </w:rPr>
        <w:t>. It was finally recognized, which was not</w:t>
      </w:r>
      <w:r w:rsidR="003A1917">
        <w:rPr>
          <w:kern w:val="0"/>
        </w:rPr>
        <w:t xml:space="preserve"> the </w:t>
      </w:r>
      <w:r>
        <w:rPr>
          <w:kern w:val="0"/>
        </w:rPr>
        <w:t>case for</w:t>
      </w:r>
      <w:r w:rsidR="003A1917">
        <w:rPr>
          <w:kern w:val="0"/>
        </w:rPr>
        <w:t xml:space="preserve"> the </w:t>
      </w:r>
      <w:r>
        <w:rPr>
          <w:kern w:val="0"/>
        </w:rPr>
        <w:t>author</w:t>
      </w:r>
      <w:r w:rsidR="00427468">
        <w:rPr>
          <w:kern w:val="0"/>
        </w:rPr>
        <w:t xml:space="preserve"> of </w:t>
      </w:r>
      <w:r w:rsidR="003A1917">
        <w:rPr>
          <w:kern w:val="0"/>
        </w:rPr>
        <w:t xml:space="preserve">the </w:t>
      </w:r>
      <w:r>
        <w:rPr>
          <w:kern w:val="0"/>
        </w:rPr>
        <w:t>sentence: I have no need</w:t>
      </w:r>
      <w:r w:rsidR="00427468">
        <w:rPr>
          <w:kern w:val="0"/>
        </w:rPr>
        <w:t xml:space="preserve"> of </w:t>
      </w:r>
      <w:r>
        <w:rPr>
          <w:kern w:val="0"/>
        </w:rPr>
        <w:t>hope to take action, nor</w:t>
      </w:r>
      <w:r w:rsidR="00427468">
        <w:rPr>
          <w:kern w:val="0"/>
        </w:rPr>
        <w:t xml:space="preserve"> of </w:t>
      </w:r>
      <w:r>
        <w:rPr>
          <w:kern w:val="0"/>
        </w:rPr>
        <w:t>success to persevere: it is still regularly attributed in France to William I, Prince</w:t>
      </w:r>
      <w:r w:rsidR="00427468">
        <w:rPr>
          <w:kern w:val="0"/>
        </w:rPr>
        <w:t xml:space="preserve"> of </w:t>
      </w:r>
      <w:r>
        <w:rPr>
          <w:kern w:val="0"/>
        </w:rPr>
        <w:t>Orange, called</w:t>
      </w:r>
      <w:r w:rsidR="003A1917">
        <w:rPr>
          <w:kern w:val="0"/>
        </w:rPr>
        <w:t xml:space="preserve"> the </w:t>
      </w:r>
      <w:r>
        <w:rPr>
          <w:kern w:val="0"/>
        </w:rPr>
        <w:t>Silent. It is a mistake,</w:t>
      </w:r>
      <w:r w:rsidR="005853A9">
        <w:rPr>
          <w:kern w:val="0"/>
        </w:rPr>
        <w:t xml:space="preserve"> and </w:t>
      </w:r>
      <w:r>
        <w:rPr>
          <w:kern w:val="0"/>
        </w:rPr>
        <w:t>no serious reference certifies that an historical figure would have pronounced this sentence. It was written by</w:t>
      </w:r>
      <w:r w:rsidR="003A1917">
        <w:rPr>
          <w:kern w:val="0"/>
        </w:rPr>
        <w:t xml:space="preserve"> the </w:t>
      </w:r>
      <w:r>
        <w:rPr>
          <w:kern w:val="0"/>
        </w:rPr>
        <w:t>historian Mignet in 1841, to describe</w:t>
      </w:r>
      <w:r w:rsidR="003A1917">
        <w:rPr>
          <w:kern w:val="0"/>
        </w:rPr>
        <w:t xml:space="preserve"> the </w:t>
      </w:r>
      <w:r>
        <w:rPr>
          <w:kern w:val="0"/>
        </w:rPr>
        <w:t>character</w:t>
      </w:r>
      <w:r w:rsidR="00427468">
        <w:rPr>
          <w:kern w:val="0"/>
        </w:rPr>
        <w:t xml:space="preserve"> of </w:t>
      </w:r>
      <w:r>
        <w:rPr>
          <w:kern w:val="0"/>
        </w:rPr>
        <w:t>William III, Prince</w:t>
      </w:r>
      <w:r w:rsidR="00427468">
        <w:rPr>
          <w:kern w:val="0"/>
        </w:rPr>
        <w:t xml:space="preserve"> of </w:t>
      </w:r>
      <w:r>
        <w:rPr>
          <w:kern w:val="0"/>
        </w:rPr>
        <w:t>Orange</w:t>
      </w:r>
      <w:r w:rsidR="005853A9">
        <w:rPr>
          <w:kern w:val="0"/>
        </w:rPr>
        <w:t xml:space="preserve"> and </w:t>
      </w:r>
      <w:r>
        <w:rPr>
          <w:kern w:val="0"/>
        </w:rPr>
        <w:t>King</w:t>
      </w:r>
      <w:r w:rsidR="00427468">
        <w:rPr>
          <w:kern w:val="0"/>
        </w:rPr>
        <w:t xml:space="preserve"> of </w:t>
      </w:r>
      <w:r>
        <w:rPr>
          <w:kern w:val="0"/>
        </w:rPr>
        <w:t>England. It was then used in 1875 by Jules Verne, to describe a character in</w:t>
      </w:r>
      <w:r w:rsidR="003A1917">
        <w:rPr>
          <w:kern w:val="0"/>
        </w:rPr>
        <w:t xml:space="preserve"> the </w:t>
      </w:r>
      <w:r>
        <w:rPr>
          <w:kern w:val="0"/>
        </w:rPr>
        <w:t>Mysterious Island. (C) 2011 Published by Elsevier Masson SAS.</w:t>
      </w:r>
    </w:p>
    <w:p w:rsidR="005448E5" w:rsidRDefault="005448E5" w:rsidP="005448E5">
      <w:pPr>
        <w:pStyle w:val="a3"/>
        <w:rPr>
          <w:kern w:val="0"/>
        </w:rPr>
      </w:pPr>
      <w:r>
        <w:rPr>
          <w:kern w:val="0"/>
        </w:rPr>
        <w:lastRenderedPageBreak/>
        <w:t>Keywords: Citation, Documentations, England, History, Publications</w:t>
      </w:r>
    </w:p>
    <w:p w:rsidR="00073605" w:rsidRPr="001A3D2B" w:rsidRDefault="00073605" w:rsidP="00073605">
      <w:pPr>
        <w:pStyle w:val="1"/>
      </w:pPr>
      <w:r w:rsidRPr="001A3D2B">
        <w:br w:type="page"/>
      </w:r>
      <w:bookmarkStart w:id="440" w:name="_Toc420814481"/>
      <w:r w:rsidRPr="001A3D2B">
        <w:lastRenderedPageBreak/>
        <w:t xml:space="preserve">Title: </w:t>
      </w:r>
      <w:r w:rsidRPr="00073605">
        <w:t>Annales Geophysicae</w:t>
      </w:r>
      <w:bookmarkEnd w:id="440"/>
    </w:p>
    <w:p w:rsidR="00073605" w:rsidRPr="001A3D2B" w:rsidRDefault="00073605" w:rsidP="00073605">
      <w:pPr>
        <w:pStyle w:val="12"/>
      </w:pPr>
      <w:r w:rsidRPr="001A3D2B">
        <w:t xml:space="preserve">Full Journal Title: </w:t>
      </w:r>
      <w:r w:rsidRPr="00073605">
        <w:rPr>
          <w:iCs/>
          <w:kern w:val="0"/>
        </w:rPr>
        <w:t>Annales Geophysicae</w:t>
      </w:r>
    </w:p>
    <w:p w:rsidR="00073605" w:rsidRPr="001A3D2B" w:rsidRDefault="00073605" w:rsidP="00073605">
      <w:pPr>
        <w:pStyle w:val="12"/>
      </w:pPr>
      <w:r w:rsidRPr="001A3D2B">
        <w:t xml:space="preserve">ISO Abbreviated Title: </w:t>
      </w:r>
    </w:p>
    <w:p w:rsidR="00073605" w:rsidRPr="001A3D2B" w:rsidRDefault="00073605" w:rsidP="00073605">
      <w:pPr>
        <w:pStyle w:val="12"/>
      </w:pPr>
      <w:r w:rsidRPr="001A3D2B">
        <w:t xml:space="preserve">JCR Abbreviated Title: </w:t>
      </w:r>
    </w:p>
    <w:p w:rsidR="00073605" w:rsidRPr="001A3D2B" w:rsidRDefault="00073605" w:rsidP="00073605">
      <w:pPr>
        <w:pStyle w:val="12"/>
      </w:pPr>
      <w:r w:rsidRPr="001A3D2B">
        <w:t xml:space="preserve">ISSN: </w:t>
      </w:r>
    </w:p>
    <w:p w:rsidR="00073605" w:rsidRPr="001A3D2B" w:rsidRDefault="00073605" w:rsidP="00073605">
      <w:pPr>
        <w:pStyle w:val="12"/>
      </w:pPr>
      <w:r w:rsidRPr="001A3D2B">
        <w:t xml:space="preserve">Issues/Year: </w:t>
      </w:r>
    </w:p>
    <w:p w:rsidR="00073605" w:rsidRPr="001A3D2B" w:rsidRDefault="00073605" w:rsidP="00073605">
      <w:pPr>
        <w:pStyle w:val="12"/>
      </w:pPr>
      <w:r w:rsidRPr="001A3D2B">
        <w:t xml:space="preserve">Journal Country/Territory: </w:t>
      </w:r>
    </w:p>
    <w:p w:rsidR="00073605" w:rsidRPr="001A3D2B" w:rsidRDefault="00073605" w:rsidP="00073605">
      <w:pPr>
        <w:pStyle w:val="12"/>
      </w:pPr>
      <w:r w:rsidRPr="001A3D2B">
        <w:t xml:space="preserve">Language: </w:t>
      </w:r>
    </w:p>
    <w:p w:rsidR="00073605" w:rsidRPr="001A3D2B" w:rsidRDefault="00073605" w:rsidP="00073605">
      <w:pPr>
        <w:pStyle w:val="12"/>
      </w:pPr>
      <w:r w:rsidRPr="001A3D2B">
        <w:t xml:space="preserve">Publisher: </w:t>
      </w:r>
    </w:p>
    <w:p w:rsidR="00073605" w:rsidRPr="001A3D2B" w:rsidRDefault="00073605" w:rsidP="00073605">
      <w:pPr>
        <w:pStyle w:val="12"/>
      </w:pPr>
      <w:r w:rsidRPr="001A3D2B">
        <w:t xml:space="preserve">Publisher Address: </w:t>
      </w:r>
    </w:p>
    <w:p w:rsidR="00073605" w:rsidRPr="001A3D2B" w:rsidRDefault="00073605" w:rsidP="00073605">
      <w:pPr>
        <w:pStyle w:val="12"/>
      </w:pPr>
      <w:r w:rsidRPr="001A3D2B">
        <w:t xml:space="preserve">Subject Categories: </w:t>
      </w:r>
    </w:p>
    <w:p w:rsidR="00073605" w:rsidRPr="001A3D2B" w:rsidRDefault="00073605" w:rsidP="00073605">
      <w:pPr>
        <w:pStyle w:val="12"/>
      </w:pPr>
      <w:r w:rsidRPr="001A3D2B">
        <w:t xml:space="preserve">: Impact Factor </w:t>
      </w:r>
    </w:p>
    <w:p w:rsidR="00073605" w:rsidRDefault="00073605" w:rsidP="00073605">
      <w:pPr>
        <w:pStyle w:val="a3"/>
        <w:rPr>
          <w:kern w:val="0"/>
        </w:rPr>
      </w:pPr>
      <w:r>
        <w:rPr>
          <w:rFonts w:hint="eastAsia"/>
          <w:kern w:val="0"/>
        </w:rPr>
        <w:t xml:space="preserve">? </w:t>
      </w:r>
      <w:r>
        <w:rPr>
          <w:kern w:val="0"/>
        </w:rPr>
        <w:t>Dubyagin, S., Ganushkina, N., Apatenkov, S., Kubyshkina, M., Singer, H.</w:t>
      </w:r>
      <w:r w:rsidR="005853A9">
        <w:rPr>
          <w:kern w:val="0"/>
        </w:rPr>
        <w:t xml:space="preserve"> and </w:t>
      </w:r>
      <w:r>
        <w:rPr>
          <w:kern w:val="0"/>
        </w:rPr>
        <w:t>Liemohn, M. (2013), Geometry</w:t>
      </w:r>
      <w:r w:rsidR="00427468">
        <w:rPr>
          <w:kern w:val="0"/>
        </w:rPr>
        <w:t xml:space="preserve"> of </w:t>
      </w:r>
      <w:r>
        <w:rPr>
          <w:kern w:val="0"/>
        </w:rPr>
        <w:t>duskside equatorial current during magnetic storm main phase as deduced from magnetospheric</w:t>
      </w:r>
      <w:r w:rsidR="005853A9">
        <w:rPr>
          <w:kern w:val="0"/>
        </w:rPr>
        <w:t xml:space="preserve"> and </w:t>
      </w:r>
      <w:r>
        <w:rPr>
          <w:kern w:val="0"/>
        </w:rPr>
        <w:t xml:space="preserve">low-altitude observations. </w:t>
      </w:r>
      <w:r w:rsidRPr="00073605">
        <w:rPr>
          <w:i/>
          <w:iCs/>
          <w:kern w:val="0"/>
        </w:rPr>
        <w:t>Annales Geophysicae</w:t>
      </w:r>
      <w:r>
        <w:rPr>
          <w:kern w:val="0"/>
        </w:rPr>
        <w:t xml:space="preserve">, </w:t>
      </w:r>
      <w:r>
        <w:rPr>
          <w:b/>
          <w:bCs/>
          <w:kern w:val="0"/>
        </w:rPr>
        <w:t>31</w:t>
      </w:r>
      <w:r>
        <w:rPr>
          <w:kern w:val="0"/>
        </w:rPr>
        <w:t xml:space="preserve"> (3), 395-408.</w:t>
      </w:r>
    </w:p>
    <w:p w:rsidR="00073605" w:rsidRDefault="00073605" w:rsidP="00073605">
      <w:pPr>
        <w:pStyle w:val="a3"/>
        <w:rPr>
          <w:kern w:val="0"/>
        </w:rPr>
      </w:pPr>
      <w:r>
        <w:rPr>
          <w:rFonts w:hint="eastAsia"/>
          <w:kern w:val="0"/>
        </w:rPr>
        <w:t xml:space="preserve">Full Text: </w:t>
      </w:r>
      <w:hyperlink r:id="rId815" w:history="1">
        <w:r w:rsidRPr="00073605">
          <w:rPr>
            <w:rStyle w:val="a5"/>
            <w:kern w:val="0"/>
          </w:rPr>
          <w:t>2013\Ann Geo31, 395.pdf</w:t>
        </w:r>
      </w:hyperlink>
    </w:p>
    <w:p w:rsidR="00073605" w:rsidRDefault="00073605" w:rsidP="00073605">
      <w:pPr>
        <w:pStyle w:val="a3"/>
        <w:rPr>
          <w:kern w:val="0"/>
        </w:rPr>
      </w:pPr>
      <w:r>
        <w:rPr>
          <w:kern w:val="0"/>
        </w:rPr>
        <w:t>Abstract: We present the results</w:t>
      </w:r>
      <w:r w:rsidR="00427468">
        <w:rPr>
          <w:kern w:val="0"/>
        </w:rPr>
        <w:t xml:space="preserve"> of </w:t>
      </w:r>
      <w:r>
        <w:rPr>
          <w:kern w:val="0"/>
        </w:rPr>
        <w:t>a coordinated study</w:t>
      </w:r>
      <w:r w:rsidR="00427468">
        <w:rPr>
          <w:kern w:val="0"/>
        </w:rPr>
        <w:t xml:space="preserve"> of </w:t>
      </w:r>
      <w:r>
        <w:rPr>
          <w:kern w:val="0"/>
        </w:rPr>
        <w:t>the moderate magnetic storm on 22 July 2009</w:t>
      </w:r>
      <w:r w:rsidR="00A37C1D">
        <w:rPr>
          <w:kern w:val="0"/>
        </w:rPr>
        <w:t>. The</w:t>
      </w:r>
      <w:r>
        <w:rPr>
          <w:kern w:val="0"/>
        </w:rPr>
        <w:t xml:space="preserve"> THEMIS</w:t>
      </w:r>
      <w:r w:rsidR="005853A9">
        <w:rPr>
          <w:kern w:val="0"/>
        </w:rPr>
        <w:t xml:space="preserve"> and </w:t>
      </w:r>
      <w:r>
        <w:rPr>
          <w:kern w:val="0"/>
        </w:rPr>
        <w:t>GOES observations</w:t>
      </w:r>
      <w:r w:rsidR="00427468">
        <w:rPr>
          <w:kern w:val="0"/>
        </w:rPr>
        <w:t xml:space="preserve"> of </w:t>
      </w:r>
      <w:r>
        <w:rPr>
          <w:kern w:val="0"/>
        </w:rPr>
        <w:t>magnetic field in the inner magnetosphere were complemented by energetic particle observations at low altitude by the six NOAA POES satellites. Observations in the vicinity</w:t>
      </w:r>
      <w:r w:rsidR="00427468">
        <w:rPr>
          <w:kern w:val="0"/>
        </w:rPr>
        <w:t xml:space="preserve"> of </w:t>
      </w:r>
      <w:r>
        <w:rPr>
          <w:kern w:val="0"/>
        </w:rPr>
        <w:t>geosynchronous orbit revealed a relatively thin (half-thickness</w:t>
      </w:r>
      <w:r w:rsidR="00427468">
        <w:rPr>
          <w:kern w:val="0"/>
        </w:rPr>
        <w:t xml:space="preserve"> of </w:t>
      </w:r>
      <w:r>
        <w:rPr>
          <w:kern w:val="0"/>
        </w:rPr>
        <w:t>less than 1 R-E)</w:t>
      </w:r>
      <w:r w:rsidR="005853A9">
        <w:rPr>
          <w:kern w:val="0"/>
        </w:rPr>
        <w:t xml:space="preserve"> and </w:t>
      </w:r>
      <w:r>
        <w:rPr>
          <w:kern w:val="0"/>
        </w:rPr>
        <w:t>intense current sheet in the dusk MLT sector during the main phase</w:t>
      </w:r>
      <w:r w:rsidR="00427468">
        <w:rPr>
          <w:kern w:val="0"/>
        </w:rPr>
        <w:t xml:space="preserve"> of </w:t>
      </w:r>
      <w:r>
        <w:rPr>
          <w:kern w:val="0"/>
        </w:rPr>
        <w:t>the storm</w:t>
      </w:r>
      <w:r w:rsidR="00A37C1D">
        <w:rPr>
          <w:kern w:val="0"/>
        </w:rPr>
        <w:t>. The</w:t>
      </w:r>
      <w:r>
        <w:rPr>
          <w:kern w:val="0"/>
        </w:rPr>
        <w:t xml:space="preserve"> total westward current (integrated along the z-direction) on the duskside at r similar to 6.6 R-E was comparable to that in the midnight sector. Such a configuration cannot be adequately described by existing magnetic field models with predefined current systems (error in B &gt; 60 nT). At the same time, low-altitude isotropic boundaries (IB)</w:t>
      </w:r>
      <w:r w:rsidR="00427468">
        <w:rPr>
          <w:kern w:val="0"/>
        </w:rPr>
        <w:t xml:space="preserve"> of </w:t>
      </w:r>
      <w:r>
        <w:rPr>
          <w:kern w:val="0"/>
        </w:rPr>
        <w:t>&gt; 80 keV protons in the dusk sector were shifted similar to 4 degrees equatorward relative to the IBs in the midnight sector. Both the equatorward IB shift</w:t>
      </w:r>
      <w:r w:rsidR="005853A9">
        <w:rPr>
          <w:kern w:val="0"/>
        </w:rPr>
        <w:t xml:space="preserve"> and </w:t>
      </w:r>
      <w:r>
        <w:rPr>
          <w:kern w:val="0"/>
        </w:rPr>
        <w:t>the current strength on the duskside correlate with the Sym-H* index</w:t>
      </w:r>
      <w:r w:rsidR="00A37C1D">
        <w:rPr>
          <w:kern w:val="0"/>
        </w:rPr>
        <w:t>. The</w:t>
      </w:r>
      <w:r>
        <w:rPr>
          <w:kern w:val="0"/>
        </w:rPr>
        <w:t>se findings imply a close relation between the current intensification</w:t>
      </w:r>
      <w:r w:rsidR="005853A9">
        <w:rPr>
          <w:kern w:val="0"/>
        </w:rPr>
        <w:t xml:space="preserve"> and </w:t>
      </w:r>
      <w:r>
        <w:rPr>
          <w:kern w:val="0"/>
        </w:rPr>
        <w:t>equatorward IB shift in the dusk sector</w:t>
      </w:r>
      <w:r w:rsidR="00A37C1D">
        <w:rPr>
          <w:kern w:val="0"/>
        </w:rPr>
        <w:t>. The</w:t>
      </w:r>
      <w:r>
        <w:rPr>
          <w:kern w:val="0"/>
        </w:rPr>
        <w:t xml:space="preserve"> analysis</w:t>
      </w:r>
      <w:r w:rsidR="00427468">
        <w:rPr>
          <w:kern w:val="0"/>
        </w:rPr>
        <w:t xml:space="preserve"> of </w:t>
      </w:r>
      <w:r>
        <w:rPr>
          <w:kern w:val="0"/>
        </w:rPr>
        <w:t>IB dispersion revealed that high-energy IBs (E &gt; 100 keV) always exhibit normal dispersion (i.e., that for pitch angle scattering on curved field lines). Anomalous dispersion is sometimes observed in the low-energy channels (similar to 30-100 keV)</w:t>
      </w:r>
      <w:r w:rsidR="00A37C1D">
        <w:rPr>
          <w:kern w:val="0"/>
        </w:rPr>
        <w:t>. The</w:t>
      </w:r>
      <w:r>
        <w:rPr>
          <w:kern w:val="0"/>
        </w:rPr>
        <w:t xml:space="preserve"> maximum occurrence rate</w:t>
      </w:r>
      <w:r w:rsidR="00427468">
        <w:rPr>
          <w:kern w:val="0"/>
        </w:rPr>
        <w:t xml:space="preserve"> of </w:t>
      </w:r>
      <w:r>
        <w:rPr>
          <w:kern w:val="0"/>
        </w:rPr>
        <w:t>anomalous dispersion was observed during the main phase</w:t>
      </w:r>
      <w:r w:rsidR="00427468">
        <w:rPr>
          <w:kern w:val="0"/>
        </w:rPr>
        <w:t xml:space="preserve"> of </w:t>
      </w:r>
      <w:r>
        <w:rPr>
          <w:kern w:val="0"/>
        </w:rPr>
        <w:t>the storm in the dusk sector.</w:t>
      </w:r>
    </w:p>
    <w:p w:rsidR="00073605" w:rsidRDefault="00073605" w:rsidP="00073605">
      <w:pPr>
        <w:pStyle w:val="a3"/>
        <w:rPr>
          <w:kern w:val="0"/>
        </w:rPr>
      </w:pPr>
      <w:r>
        <w:rPr>
          <w:kern w:val="0"/>
        </w:rPr>
        <w:t xml:space="preserve">Keywords: Altitude, Analysis, Boundaries, Boundary, Current Systems, Dispersion, </w:t>
      </w:r>
      <w:r>
        <w:rPr>
          <w:kern w:val="0"/>
        </w:rPr>
        <w:lastRenderedPageBreak/>
        <w:t>DST, Energetic Particles,</w:t>
      </w:r>
      <w:r>
        <w:rPr>
          <w:rFonts w:hint="eastAsia"/>
          <w:kern w:val="0"/>
        </w:rPr>
        <w:t xml:space="preserve"> </w:t>
      </w:r>
      <w:r>
        <w:rPr>
          <w:kern w:val="0"/>
        </w:rPr>
        <w:t>Precipitating, Energetic Proton Precipitation, Error, Field, Geomagnetic Storms, IB, Index, Inner Magnetosphere, Intensification, Ion-Cyclotron Waves, Magnetic, Magnetic Field, Magnetic Storm, Magnetosphere, Magnetospheric Physics, Models, Normal, Ring Current, Scattering, Sector, Storms</w:t>
      </w:r>
      <w:r w:rsidR="005853A9">
        <w:rPr>
          <w:kern w:val="0"/>
        </w:rPr>
        <w:t xml:space="preserve"> and </w:t>
      </w:r>
      <w:r>
        <w:rPr>
          <w:kern w:val="0"/>
        </w:rPr>
        <w:t>Substorms, Strength, Systems</w:t>
      </w:r>
    </w:p>
    <w:p w:rsidR="003474F2" w:rsidRPr="001A3D2B" w:rsidRDefault="003474F2" w:rsidP="003474F2">
      <w:pPr>
        <w:pStyle w:val="1"/>
      </w:pPr>
      <w:r w:rsidRPr="001A3D2B">
        <w:br w:type="page"/>
      </w:r>
      <w:bookmarkStart w:id="441" w:name="_Toc420814482"/>
      <w:r w:rsidRPr="001A3D2B">
        <w:lastRenderedPageBreak/>
        <w:t>Title: Annales Historiques de la Revolution Francaise</w:t>
      </w:r>
      <w:bookmarkEnd w:id="441"/>
    </w:p>
    <w:p w:rsidR="003474F2" w:rsidRPr="001A3D2B" w:rsidRDefault="003474F2" w:rsidP="003474F2">
      <w:pPr>
        <w:pStyle w:val="12"/>
      </w:pPr>
      <w:r w:rsidRPr="001A3D2B">
        <w:t xml:space="preserve">Full Journal Title: </w:t>
      </w:r>
      <w:r w:rsidRPr="001A3D2B">
        <w:rPr>
          <w:kern w:val="0"/>
        </w:rPr>
        <w:t>Annales Historiques de la R</w:t>
      </w:r>
      <w:r w:rsidR="00643D8A">
        <w:rPr>
          <w:kern w:val="0"/>
        </w:rPr>
        <w:t>é</w:t>
      </w:r>
      <w:r w:rsidRPr="001A3D2B">
        <w:rPr>
          <w:kern w:val="0"/>
        </w:rPr>
        <w:t>volution Francaise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rPr>
          <w:kern w:val="0"/>
        </w:rPr>
      </w:pPr>
      <w:r w:rsidRPr="001A3D2B">
        <w:rPr>
          <w:kern w:val="0"/>
        </w:rPr>
        <w:t xml:space="preserve">? Laurentin, J. (2000), </w:t>
      </w:r>
      <w:r w:rsidR="00B5188C">
        <w:rPr>
          <w:kern w:val="0"/>
        </w:rPr>
        <w:t>“</w:t>
      </w:r>
      <w:r w:rsidRPr="001A3D2B">
        <w:rPr>
          <w:kern w:val="0"/>
        </w:rPr>
        <w:t>Killing</w:t>
      </w:r>
      <w:r w:rsidR="003A1917">
        <w:rPr>
          <w:kern w:val="0"/>
        </w:rPr>
        <w:t xml:space="preserve"> the </w:t>
      </w:r>
      <w:r w:rsidRPr="001A3D2B">
        <w:rPr>
          <w:kern w:val="0"/>
        </w:rPr>
        <w:t>father</w:t>
      </w:r>
      <w:r w:rsidR="00B5188C">
        <w:rPr>
          <w:kern w:val="0"/>
        </w:rPr>
        <w:t>”</w:t>
      </w:r>
      <w:r w:rsidRPr="001A3D2B">
        <w:rPr>
          <w:kern w:val="0"/>
        </w:rPr>
        <w:t>: A tentative psycho-sociological approach to</w:t>
      </w:r>
      <w:r w:rsidR="003A1917">
        <w:rPr>
          <w:kern w:val="0"/>
        </w:rPr>
        <w:t xml:space="preserve"> the </w:t>
      </w:r>
      <w:r w:rsidRPr="001A3D2B">
        <w:rPr>
          <w:kern w:val="0"/>
        </w:rPr>
        <w:t xml:space="preserve">mathematicians who succeeded Gaspard Monge. </w:t>
      </w:r>
      <w:r w:rsidRPr="001A3D2B">
        <w:rPr>
          <w:i/>
          <w:iCs/>
          <w:kern w:val="0"/>
        </w:rPr>
        <w:t>Annales Historiques de la R</w:t>
      </w:r>
      <w:r w:rsidR="00643D8A">
        <w:rPr>
          <w:i/>
          <w:iCs/>
          <w:kern w:val="0"/>
        </w:rPr>
        <w:t>é</w:t>
      </w:r>
      <w:r w:rsidRPr="001A3D2B">
        <w:rPr>
          <w:i/>
          <w:iCs/>
          <w:kern w:val="0"/>
        </w:rPr>
        <w:t>volution Francaise</w:t>
      </w:r>
      <w:r w:rsidR="00CE265A">
        <w:rPr>
          <w:kern w:val="0"/>
        </w:rPr>
        <w:t xml:space="preserve">, </w:t>
      </w:r>
      <w:r w:rsidR="00CE265A" w:rsidRPr="00CE265A">
        <w:rPr>
          <w:b/>
          <w:kern w:val="0"/>
        </w:rPr>
        <w:t>320</w:t>
      </w:r>
      <w:r w:rsidRPr="001A3D2B">
        <w:rPr>
          <w:kern w:val="0"/>
        </w:rPr>
        <w:t>, 183-196.</w:t>
      </w:r>
    </w:p>
    <w:p w:rsidR="00CE265A" w:rsidRPr="00F219CA" w:rsidRDefault="00CE265A" w:rsidP="00CE265A">
      <w:pPr>
        <w:pStyle w:val="a3"/>
        <w:rPr>
          <w:kern w:val="0"/>
        </w:rPr>
      </w:pPr>
      <w:r>
        <w:rPr>
          <w:rFonts w:hint="eastAsia"/>
          <w:kern w:val="0"/>
        </w:rPr>
        <w:t xml:space="preserve">Full Text: </w:t>
      </w:r>
      <w:hyperlink r:id="rId816" w:history="1">
        <w:r w:rsidRPr="00A937FE">
          <w:rPr>
            <w:rStyle w:val="a5"/>
            <w:kern w:val="0"/>
          </w:rPr>
          <w:t>2000\Ann His Rev Fra320, 183.pdf</w:t>
        </w:r>
      </w:hyperlink>
    </w:p>
    <w:p w:rsidR="003474F2" w:rsidRPr="001A3D2B" w:rsidRDefault="003474F2" w:rsidP="003474F2">
      <w:pPr>
        <w:pStyle w:val="a3"/>
        <w:rPr>
          <w:kern w:val="0"/>
        </w:rPr>
      </w:pPr>
      <w:r w:rsidRPr="001A3D2B">
        <w:rPr>
          <w:kern w:val="0"/>
        </w:rPr>
        <w:t>Abstract:</w:t>
      </w:r>
      <w:r w:rsidR="003A1917">
        <w:rPr>
          <w:kern w:val="0"/>
        </w:rPr>
        <w:t xml:space="preserve"> the </w:t>
      </w:r>
      <w:r w:rsidRPr="001A3D2B">
        <w:rPr>
          <w:kern w:val="0"/>
        </w:rPr>
        <w:t>interdisciplinarity sought by</w:t>
      </w:r>
      <w:r w:rsidR="003A1917">
        <w:rPr>
          <w:kern w:val="0"/>
        </w:rPr>
        <w:t xml:space="preserve"> the </w:t>
      </w:r>
      <w:r w:rsidRPr="001A3D2B">
        <w:rPr>
          <w:kern w:val="0"/>
        </w:rPr>
        <w:t>workshop was fostered by a number</w:t>
      </w:r>
      <w:r w:rsidR="00427468">
        <w:rPr>
          <w:kern w:val="0"/>
        </w:rPr>
        <w:t xml:space="preserve"> of </w:t>
      </w:r>
      <w:r w:rsidRPr="001A3D2B">
        <w:rPr>
          <w:kern w:val="0"/>
        </w:rPr>
        <w:t>historians</w:t>
      </w:r>
      <w:r w:rsidR="005853A9">
        <w:rPr>
          <w:kern w:val="0"/>
        </w:rPr>
        <w:t xml:space="preserve"> and </w:t>
      </w:r>
      <w:r w:rsidRPr="001A3D2B">
        <w:rPr>
          <w:kern w:val="0"/>
        </w:rPr>
        <w:t>sociologists specialising in</w:t>
      </w:r>
      <w:r w:rsidR="003A1917">
        <w:rPr>
          <w:kern w:val="0"/>
        </w:rPr>
        <w:t xml:space="preserve"> the </w:t>
      </w:r>
      <w:r w:rsidRPr="001A3D2B">
        <w:rPr>
          <w:kern w:val="0"/>
        </w:rPr>
        <w:t>sciences. However, it is full</w:t>
      </w:r>
      <w:r w:rsidR="00427468">
        <w:rPr>
          <w:kern w:val="0"/>
        </w:rPr>
        <w:t xml:space="preserve"> of </w:t>
      </w:r>
      <w:r w:rsidRPr="001A3D2B">
        <w:rPr>
          <w:kern w:val="0"/>
        </w:rPr>
        <w:t>pitfalls which arouse passions</w:t>
      </w:r>
      <w:r w:rsidR="005853A9">
        <w:rPr>
          <w:kern w:val="0"/>
        </w:rPr>
        <w:t xml:space="preserve"> and </w:t>
      </w:r>
      <w:r w:rsidRPr="001A3D2B">
        <w:rPr>
          <w:kern w:val="0"/>
        </w:rPr>
        <w:t>trigger dissension, exacerbated more often than not by</w:t>
      </w:r>
      <w:r w:rsidR="003A1917">
        <w:rPr>
          <w:kern w:val="0"/>
        </w:rPr>
        <w:t xml:space="preserve"> the </w:t>
      </w:r>
      <w:r w:rsidRPr="001A3D2B">
        <w:rPr>
          <w:kern w:val="0"/>
        </w:rPr>
        <w:t>fear</w:t>
      </w:r>
      <w:r w:rsidR="00427468">
        <w:rPr>
          <w:kern w:val="0"/>
        </w:rPr>
        <w:t xml:space="preserve"> of </w:t>
      </w:r>
      <w:r w:rsidRPr="001A3D2B">
        <w:rPr>
          <w:kern w:val="0"/>
        </w:rPr>
        <w:t>compromising scientific authority. Mindful</w:t>
      </w:r>
      <w:r w:rsidR="00427468">
        <w:rPr>
          <w:kern w:val="0"/>
        </w:rPr>
        <w:t xml:space="preserve"> of </w:t>
      </w:r>
      <w:r w:rsidRPr="001A3D2B">
        <w:rPr>
          <w:kern w:val="0"/>
        </w:rPr>
        <w:t>these apprehensions, I would nonetheless wish to go beyond a strictly internal survey</w:t>
      </w:r>
      <w:r w:rsidR="00427468">
        <w:rPr>
          <w:kern w:val="0"/>
        </w:rPr>
        <w:t xml:space="preserve"> of </w:t>
      </w:r>
      <w:r w:rsidR="003A1917">
        <w:rPr>
          <w:kern w:val="0"/>
        </w:rPr>
        <w:t xml:space="preserve">the </w:t>
      </w:r>
      <w:r w:rsidRPr="001A3D2B">
        <w:rPr>
          <w:kern w:val="0"/>
        </w:rPr>
        <w:t>work</w:t>
      </w:r>
      <w:r w:rsidR="00427468">
        <w:rPr>
          <w:kern w:val="0"/>
        </w:rPr>
        <w:t xml:space="preserve"> of </w:t>
      </w:r>
      <w:r w:rsidRPr="001A3D2B">
        <w:rPr>
          <w:kern w:val="0"/>
        </w:rPr>
        <w:t>Gaspard Monge</w:t>
      </w:r>
      <w:r w:rsidR="00700038">
        <w:rPr>
          <w:kern w:val="0"/>
        </w:rPr>
        <w:t>’</w:t>
      </w:r>
      <w:r w:rsidR="00C13DDC">
        <w:rPr>
          <w:kern w:val="0"/>
        </w:rPr>
        <w:t>s</w:t>
      </w:r>
      <w:r w:rsidRPr="001A3D2B">
        <w:rPr>
          <w:kern w:val="0"/>
        </w:rPr>
        <w:t xml:space="preserve"> pupils, with a view to seeking in their relationships with</w:t>
      </w:r>
      <w:r w:rsidR="003A1917">
        <w:rPr>
          <w:kern w:val="0"/>
        </w:rPr>
        <w:t xml:space="preserve"> the </w:t>
      </w:r>
      <w:r w:rsidRPr="001A3D2B">
        <w:rPr>
          <w:kern w:val="0"/>
        </w:rPr>
        <w:t>master, in</w:t>
      </w:r>
      <w:r w:rsidR="003A1917">
        <w:rPr>
          <w:kern w:val="0"/>
        </w:rPr>
        <w:t xml:space="preserve"> the </w:t>
      </w:r>
      <w:r w:rsidRPr="001A3D2B">
        <w:rPr>
          <w:kern w:val="0"/>
        </w:rPr>
        <w:t>changes made to teaching practice, in a family romance disrupted by</w:t>
      </w:r>
      <w:r w:rsidR="003A1917">
        <w:rPr>
          <w:kern w:val="0"/>
        </w:rPr>
        <w:t xml:space="preserve"> the </w:t>
      </w:r>
      <w:r w:rsidRPr="001A3D2B">
        <w:rPr>
          <w:kern w:val="0"/>
        </w:rPr>
        <w:t>Revolution,</w:t>
      </w:r>
      <w:r w:rsidR="003A1917">
        <w:rPr>
          <w:kern w:val="0"/>
        </w:rPr>
        <w:t xml:space="preserve"> the </w:t>
      </w:r>
      <w:r w:rsidRPr="001A3D2B">
        <w:rPr>
          <w:kern w:val="0"/>
        </w:rPr>
        <w:t>rationale for a style</w:t>
      </w:r>
      <w:r w:rsidR="005853A9">
        <w:rPr>
          <w:kern w:val="0"/>
        </w:rPr>
        <w:t xml:space="preserve"> and </w:t>
      </w:r>
      <w:r w:rsidR="003A1917">
        <w:rPr>
          <w:kern w:val="0"/>
        </w:rPr>
        <w:t xml:space="preserve">the </w:t>
      </w:r>
      <w:r w:rsidRPr="001A3D2B">
        <w:rPr>
          <w:kern w:val="0"/>
        </w:rPr>
        <w:t>choice</w:t>
      </w:r>
      <w:r w:rsidR="00427468">
        <w:rPr>
          <w:kern w:val="0"/>
        </w:rPr>
        <w:t xml:space="preserve"> of </w:t>
      </w:r>
      <w:r w:rsidRPr="001A3D2B">
        <w:rPr>
          <w:kern w:val="0"/>
        </w:rPr>
        <w:t>a whole range</w:t>
      </w:r>
      <w:r w:rsidR="00427468">
        <w:rPr>
          <w:kern w:val="0"/>
        </w:rPr>
        <w:t xml:space="preserve"> of </w:t>
      </w:r>
      <w:r w:rsidRPr="001A3D2B">
        <w:rPr>
          <w:kern w:val="0"/>
        </w:rPr>
        <w:t>mathematical research topics. This approach focusses on Michel-Ange Lancret</w:t>
      </w:r>
      <w:r w:rsidR="005853A9">
        <w:rPr>
          <w:kern w:val="0"/>
        </w:rPr>
        <w:t xml:space="preserve"> and </w:t>
      </w:r>
      <w:r w:rsidRPr="001A3D2B">
        <w:rPr>
          <w:kern w:val="0"/>
        </w:rPr>
        <w:t>Charles-Julien Brianchon, two</w:t>
      </w:r>
      <w:r w:rsidR="00427468">
        <w:rPr>
          <w:kern w:val="0"/>
        </w:rPr>
        <w:t xml:space="preserve"> of </w:t>
      </w:r>
      <w:r w:rsidR="003A1917">
        <w:rPr>
          <w:kern w:val="0"/>
        </w:rPr>
        <w:t xml:space="preserve">the </w:t>
      </w:r>
      <w:r w:rsidRPr="001A3D2B">
        <w:rPr>
          <w:kern w:val="0"/>
        </w:rPr>
        <w:t>students most closely associated with Gaspard Monge by historical tradition</w:t>
      </w:r>
      <w:r w:rsidR="00A37C1D">
        <w:rPr>
          <w:kern w:val="0"/>
        </w:rPr>
        <w:t>. The</w:t>
      </w:r>
      <w:r w:rsidR="003A1917">
        <w:rPr>
          <w:kern w:val="0"/>
        </w:rPr>
        <w:t xml:space="preserve"> </w:t>
      </w:r>
      <w:r w:rsidRPr="001A3D2B">
        <w:rPr>
          <w:kern w:val="0"/>
        </w:rPr>
        <w:t>manner in which they called into question his teaching will be highlighted</w:t>
      </w:r>
      <w:r w:rsidR="005853A9">
        <w:rPr>
          <w:kern w:val="0"/>
        </w:rPr>
        <w:t xml:space="preserve"> and </w:t>
      </w:r>
      <w:r w:rsidRPr="001A3D2B">
        <w:rPr>
          <w:kern w:val="0"/>
        </w:rPr>
        <w:t>may help demonstrate that a study confined to their scientific treatises cannot fully account for</w:t>
      </w:r>
      <w:r w:rsidR="003A1917">
        <w:rPr>
          <w:kern w:val="0"/>
        </w:rPr>
        <w:t xml:space="preserve"> the </w:t>
      </w:r>
      <w:r w:rsidRPr="001A3D2B">
        <w:rPr>
          <w:kern w:val="0"/>
        </w:rPr>
        <w:t>existence</w:t>
      </w:r>
      <w:r w:rsidR="00427468">
        <w:rPr>
          <w:kern w:val="0"/>
        </w:rPr>
        <w:t xml:space="preserve"> of </w:t>
      </w:r>
      <w:r w:rsidRPr="001A3D2B">
        <w:rPr>
          <w:kern w:val="0"/>
        </w:rPr>
        <w:t>an intellectual school. Some sociological</w:t>
      </w:r>
      <w:r w:rsidR="005853A9">
        <w:rPr>
          <w:kern w:val="0"/>
        </w:rPr>
        <w:t xml:space="preserve"> and </w:t>
      </w:r>
      <w:r w:rsidRPr="001A3D2B">
        <w:rPr>
          <w:kern w:val="0"/>
        </w:rPr>
        <w:t>psychological indicators are briefly addressed, based on their own accounts</w:t>
      </w:r>
      <w:r w:rsidR="005853A9">
        <w:rPr>
          <w:kern w:val="0"/>
        </w:rPr>
        <w:t xml:space="preserve"> and </w:t>
      </w:r>
      <w:r w:rsidRPr="001A3D2B">
        <w:rPr>
          <w:kern w:val="0"/>
        </w:rPr>
        <w:t>their scientific treatises, using</w:t>
      </w:r>
      <w:r w:rsidR="003A1917">
        <w:rPr>
          <w:kern w:val="0"/>
        </w:rPr>
        <w:t xml:space="preserve"> the </w:t>
      </w:r>
      <w:r w:rsidRPr="001A3D2B">
        <w:rPr>
          <w:kern w:val="0"/>
        </w:rPr>
        <w:t>modern tools</w:t>
      </w:r>
      <w:r w:rsidR="00427468">
        <w:rPr>
          <w:kern w:val="0"/>
        </w:rPr>
        <w:t xml:space="preserve"> of </w:t>
      </w:r>
      <w:r w:rsidRPr="001A3D2B">
        <w:rPr>
          <w:kern w:val="0"/>
        </w:rPr>
        <w:t>scientometrics, in order to show that methodological relativism has a significant contribution to make, in</w:t>
      </w:r>
      <w:r w:rsidR="003A1917">
        <w:rPr>
          <w:kern w:val="0"/>
        </w:rPr>
        <w:t xml:space="preserve"> the </w:t>
      </w:r>
      <w:r w:rsidRPr="001A3D2B">
        <w:rPr>
          <w:kern w:val="0"/>
        </w:rPr>
        <w:t>history</w:t>
      </w:r>
      <w:r w:rsidR="00427468">
        <w:rPr>
          <w:kern w:val="0"/>
        </w:rPr>
        <w:t xml:space="preserve"> of </w:t>
      </w:r>
      <w:r w:rsidRPr="001A3D2B">
        <w:rPr>
          <w:kern w:val="0"/>
        </w:rPr>
        <w:t>mathematics as well.</w:t>
      </w:r>
    </w:p>
    <w:p w:rsidR="003474F2" w:rsidRPr="001A3D2B" w:rsidRDefault="003474F2" w:rsidP="003474F2">
      <w:pPr>
        <w:pStyle w:val="a3"/>
        <w:rPr>
          <w:kern w:val="0"/>
        </w:rPr>
      </w:pPr>
      <w:r w:rsidRPr="001A3D2B">
        <w:rPr>
          <w:kern w:val="0"/>
        </w:rPr>
        <w:t>Keywords: Approach, Authority, Changes, Choice, Contribution, Family, Fear, History, Indicators, Interdisciplinarity, Mathematics, Practice, Psychological, Relationships, Research, School, Sciences, Scientometrics, Students, Style, Survey, Teaching, Tradition, Work</w:t>
      </w:r>
    </w:p>
    <w:p w:rsidR="00A323E8" w:rsidRPr="00F219CA" w:rsidRDefault="00A323E8" w:rsidP="00A323E8">
      <w:pPr>
        <w:pStyle w:val="1"/>
      </w:pPr>
      <w:r w:rsidRPr="00F219CA">
        <w:br w:type="page"/>
      </w:r>
      <w:bookmarkStart w:id="442" w:name="_Toc420814483"/>
      <w:r w:rsidRPr="00F219CA">
        <w:lastRenderedPageBreak/>
        <w:t xml:space="preserve">Title: </w:t>
      </w:r>
      <w:r w:rsidRPr="00386AA4">
        <w:t>Annales Medico-Psychologiques</w:t>
      </w:r>
      <w:bookmarkEnd w:id="442"/>
    </w:p>
    <w:p w:rsidR="00A323E8" w:rsidRPr="00F219CA" w:rsidRDefault="00A323E8" w:rsidP="00A323E8">
      <w:pPr>
        <w:pStyle w:val="12"/>
      </w:pPr>
      <w:r w:rsidRPr="00F219CA">
        <w:t xml:space="preserve">Full Journal Title: </w:t>
      </w:r>
      <w:r w:rsidRPr="00386AA4">
        <w:rPr>
          <w:iCs/>
          <w:kern w:val="0"/>
        </w:rPr>
        <w:t>Annales Medico-Psychologiques</w:t>
      </w:r>
    </w:p>
    <w:p w:rsidR="00A323E8" w:rsidRPr="00F219CA" w:rsidRDefault="00A323E8" w:rsidP="00A323E8">
      <w:pPr>
        <w:pStyle w:val="12"/>
      </w:pPr>
      <w:r w:rsidRPr="00F219CA">
        <w:t xml:space="preserve">ISO Abbreviated Title: </w:t>
      </w:r>
    </w:p>
    <w:p w:rsidR="00A323E8" w:rsidRPr="00F219CA" w:rsidRDefault="00A323E8" w:rsidP="00A323E8">
      <w:pPr>
        <w:pStyle w:val="12"/>
      </w:pPr>
      <w:r w:rsidRPr="00F219CA">
        <w:t xml:space="preserve">JCR Abbreviated Title: </w:t>
      </w:r>
    </w:p>
    <w:p w:rsidR="00A323E8" w:rsidRPr="00F219CA" w:rsidRDefault="00A323E8" w:rsidP="00A323E8">
      <w:pPr>
        <w:pStyle w:val="12"/>
      </w:pPr>
      <w:r w:rsidRPr="00F219CA">
        <w:t>ISSN:</w:t>
      </w:r>
    </w:p>
    <w:p w:rsidR="00A323E8" w:rsidRPr="00F219CA" w:rsidRDefault="00A323E8" w:rsidP="00A323E8">
      <w:pPr>
        <w:pStyle w:val="12"/>
      </w:pPr>
      <w:r w:rsidRPr="00F219CA">
        <w:t xml:space="preserve">Issues/Year: </w:t>
      </w:r>
    </w:p>
    <w:p w:rsidR="00A323E8" w:rsidRPr="00F219CA" w:rsidRDefault="00A323E8" w:rsidP="00A323E8">
      <w:pPr>
        <w:pStyle w:val="12"/>
      </w:pPr>
      <w:r w:rsidRPr="00F219CA">
        <w:t xml:space="preserve">Journal Country/Territory: </w:t>
      </w:r>
    </w:p>
    <w:p w:rsidR="00A323E8" w:rsidRPr="00F219CA" w:rsidRDefault="00A323E8" w:rsidP="00A323E8">
      <w:pPr>
        <w:pStyle w:val="12"/>
      </w:pPr>
      <w:r w:rsidRPr="00F219CA">
        <w:t xml:space="preserve">Language: </w:t>
      </w:r>
    </w:p>
    <w:p w:rsidR="00A323E8" w:rsidRPr="00F219CA" w:rsidRDefault="00A323E8" w:rsidP="00A323E8">
      <w:pPr>
        <w:pStyle w:val="12"/>
      </w:pPr>
      <w:r w:rsidRPr="00F219CA">
        <w:t xml:space="preserve">Publisher: </w:t>
      </w:r>
    </w:p>
    <w:p w:rsidR="00A323E8" w:rsidRPr="00F219CA" w:rsidRDefault="00A323E8" w:rsidP="00A323E8">
      <w:pPr>
        <w:pStyle w:val="12"/>
      </w:pPr>
      <w:r w:rsidRPr="00F219CA">
        <w:t xml:space="preserve">Publisher Address: </w:t>
      </w:r>
    </w:p>
    <w:p w:rsidR="00A323E8" w:rsidRPr="00F219CA" w:rsidRDefault="00A323E8" w:rsidP="00A323E8">
      <w:pPr>
        <w:pStyle w:val="12"/>
      </w:pPr>
      <w:r w:rsidRPr="00F219CA">
        <w:t>Subject Categories:</w:t>
      </w:r>
    </w:p>
    <w:p w:rsidR="00A323E8" w:rsidRPr="00F219CA" w:rsidRDefault="00A323E8" w:rsidP="00A323E8">
      <w:pPr>
        <w:pStyle w:val="12"/>
      </w:pPr>
      <w:r w:rsidRPr="00F219CA">
        <w:t xml:space="preserve">: Impact Factor </w:t>
      </w:r>
    </w:p>
    <w:p w:rsidR="00A323E8" w:rsidRDefault="00A323E8" w:rsidP="00A323E8">
      <w:pPr>
        <w:pStyle w:val="a3"/>
        <w:rPr>
          <w:kern w:val="0"/>
        </w:rPr>
      </w:pPr>
      <w:r>
        <w:rPr>
          <w:rFonts w:hint="eastAsia"/>
          <w:kern w:val="0"/>
        </w:rPr>
        <w:t xml:space="preserve">? </w:t>
      </w:r>
      <w:r>
        <w:rPr>
          <w:kern w:val="0"/>
        </w:rPr>
        <w:t>Ducasse, D.</w:t>
      </w:r>
      <w:r w:rsidR="005853A9">
        <w:rPr>
          <w:kern w:val="0"/>
        </w:rPr>
        <w:t xml:space="preserve"> and </w:t>
      </w:r>
      <w:r>
        <w:rPr>
          <w:kern w:val="0"/>
        </w:rPr>
        <w:t>Fond, G. (2013), Resistant obsessive compulsive disorder</w:t>
      </w:r>
      <w:r w:rsidR="005853A9">
        <w:rPr>
          <w:kern w:val="0"/>
        </w:rPr>
        <w:t xml:space="preserve"> and </w:t>
      </w:r>
      <w:r>
        <w:rPr>
          <w:kern w:val="0"/>
        </w:rPr>
        <w:t>antipsychotic agents: Current neurobiological</w:t>
      </w:r>
      <w:r w:rsidR="005853A9">
        <w:rPr>
          <w:kern w:val="0"/>
        </w:rPr>
        <w:t xml:space="preserve"> and </w:t>
      </w:r>
      <w:r>
        <w:rPr>
          <w:kern w:val="0"/>
        </w:rPr>
        <w:t xml:space="preserve">therapeutic data. </w:t>
      </w:r>
      <w:r w:rsidRPr="00386AA4">
        <w:rPr>
          <w:i/>
          <w:iCs/>
          <w:kern w:val="0"/>
        </w:rPr>
        <w:t>Annales Medico-Psychologiques</w:t>
      </w:r>
      <w:r>
        <w:rPr>
          <w:kern w:val="0"/>
        </w:rPr>
        <w:t xml:space="preserve">, </w:t>
      </w:r>
      <w:r>
        <w:rPr>
          <w:b/>
          <w:bCs/>
          <w:kern w:val="0"/>
        </w:rPr>
        <w:t>171</w:t>
      </w:r>
      <w:r>
        <w:rPr>
          <w:kern w:val="0"/>
        </w:rPr>
        <w:t xml:space="preserve"> (10), 725-732.</w:t>
      </w:r>
    </w:p>
    <w:p w:rsidR="00A323E8" w:rsidRDefault="00A323E8" w:rsidP="00A323E8">
      <w:pPr>
        <w:pStyle w:val="a3"/>
        <w:rPr>
          <w:kern w:val="0"/>
        </w:rPr>
      </w:pPr>
      <w:r>
        <w:rPr>
          <w:rFonts w:hint="eastAsia"/>
          <w:kern w:val="0"/>
        </w:rPr>
        <w:t xml:space="preserve">Full Text: </w:t>
      </w:r>
      <w:hyperlink r:id="rId817" w:history="1">
        <w:r w:rsidRPr="00386AA4">
          <w:rPr>
            <w:rStyle w:val="a5"/>
            <w:kern w:val="0"/>
          </w:rPr>
          <w:t>2013\Ann Med-Psy171, 725.pdf</w:t>
        </w:r>
      </w:hyperlink>
    </w:p>
    <w:p w:rsidR="00A323E8" w:rsidRDefault="00A323E8" w:rsidP="00A323E8">
      <w:pPr>
        <w:pStyle w:val="a3"/>
        <w:rPr>
          <w:kern w:val="0"/>
        </w:rPr>
      </w:pPr>
      <w:r>
        <w:rPr>
          <w:kern w:val="0"/>
        </w:rPr>
        <w:t>Abstract: Introduction. - Forty to sixty percent</w:t>
      </w:r>
      <w:r w:rsidR="00427468">
        <w:rPr>
          <w:kern w:val="0"/>
        </w:rPr>
        <w:t xml:space="preserve"> of </w:t>
      </w:r>
      <w:r>
        <w:rPr>
          <w:kern w:val="0"/>
        </w:rPr>
        <w:t>patients with obsessive compulsive disorder (OCD) are resistant to well conducted treatment with selective serotonin reuptake inhibitors (SSRIs) over 8 weeks</w:t>
      </w:r>
      <w:r w:rsidR="00A37C1D">
        <w:rPr>
          <w:kern w:val="0"/>
        </w:rPr>
        <w:t>. The</w:t>
      </w:r>
      <w:r>
        <w:rPr>
          <w:kern w:val="0"/>
        </w:rPr>
        <w:t xml:space="preserve"> data concerning effectiveness</w:t>
      </w:r>
      <w:r w:rsidR="00427468">
        <w:rPr>
          <w:kern w:val="0"/>
        </w:rPr>
        <w:t xml:space="preserve"> of </w:t>
      </w:r>
      <w:r>
        <w:rPr>
          <w:kern w:val="0"/>
        </w:rPr>
        <w:t>the addition</w:t>
      </w:r>
      <w:r w:rsidR="00427468">
        <w:rPr>
          <w:kern w:val="0"/>
        </w:rPr>
        <w:t xml:space="preserve"> of </w:t>
      </w:r>
      <w:r>
        <w:rPr>
          <w:kern w:val="0"/>
        </w:rPr>
        <w:t>antipsychotics in this indication is controversial. Aims</w:t>
      </w:r>
      <w:r w:rsidR="00427468">
        <w:rPr>
          <w:kern w:val="0"/>
        </w:rPr>
        <w:t xml:space="preserve"> of </w:t>
      </w:r>
      <w:r>
        <w:rPr>
          <w:kern w:val="0"/>
        </w:rPr>
        <w:t>the study. - To synthesize the neurobiological mechanisms at work in order to understand the action</w:t>
      </w:r>
      <w:r w:rsidR="00427468">
        <w:rPr>
          <w:kern w:val="0"/>
        </w:rPr>
        <w:t xml:space="preserve"> of </w:t>
      </w:r>
      <w:r>
        <w:rPr>
          <w:kern w:val="0"/>
        </w:rPr>
        <w:t>pharmacological treatments in this disease</w:t>
      </w:r>
      <w:r w:rsidR="005853A9">
        <w:rPr>
          <w:kern w:val="0"/>
        </w:rPr>
        <w:t xml:space="preserve"> and </w:t>
      </w:r>
      <w:r>
        <w:rPr>
          <w:kern w:val="0"/>
        </w:rPr>
        <w:t>to propose a systematic review</w:t>
      </w:r>
      <w:r w:rsidR="00427468">
        <w:rPr>
          <w:kern w:val="0"/>
        </w:rPr>
        <w:t xml:space="preserve"> of </w:t>
      </w:r>
      <w:r>
        <w:rPr>
          <w:kern w:val="0"/>
        </w:rPr>
        <w:t>the literature on effectiveness</w:t>
      </w:r>
      <w:r w:rsidR="00427468">
        <w:rPr>
          <w:kern w:val="0"/>
        </w:rPr>
        <w:t xml:space="preserve"> of </w:t>
      </w:r>
      <w:r>
        <w:rPr>
          <w:kern w:val="0"/>
        </w:rPr>
        <w:t>different antipsychotic drugs according to their pharmacological profiles, in monotherapy or in combination with SSRIs in OCD. Method. - We conducted a systematic review</w:t>
      </w:r>
      <w:r w:rsidR="00427468">
        <w:rPr>
          <w:kern w:val="0"/>
        </w:rPr>
        <w:t xml:space="preserve"> of </w:t>
      </w:r>
      <w:r>
        <w:rPr>
          <w:kern w:val="0"/>
        </w:rPr>
        <w:t>the literature using the criteria according to the PRISMA research paradigm “obsessive compulsive disorder</w:t>
      </w:r>
      <w:r w:rsidR="005853A9">
        <w:rPr>
          <w:kern w:val="0"/>
        </w:rPr>
        <w:t xml:space="preserve"> and </w:t>
      </w:r>
      <w:r>
        <w:rPr>
          <w:kern w:val="0"/>
        </w:rPr>
        <w:t>antipsychotic agents”. Research bases MEDLINE, Cochrane</w:t>
      </w:r>
      <w:r w:rsidR="005853A9">
        <w:rPr>
          <w:kern w:val="0"/>
        </w:rPr>
        <w:t xml:space="preserve"> and </w:t>
      </w:r>
      <w:r>
        <w:rPr>
          <w:kern w:val="0"/>
        </w:rPr>
        <w:t>Web</w:t>
      </w:r>
      <w:r w:rsidR="00427468">
        <w:rPr>
          <w:kern w:val="0"/>
        </w:rPr>
        <w:t xml:space="preserve"> of </w:t>
      </w:r>
      <w:r>
        <w:rPr>
          <w:kern w:val="0"/>
        </w:rPr>
        <w:t>science have been explored. Results. - Unlike the classical serotonergic hypothesis, OCD may result from striatal dopaminergic hyperactivity, modulated in some patients by an underlying serotonergic hypoactivity. Most studies report effectiveness</w:t>
      </w:r>
      <w:r w:rsidR="00427468">
        <w:rPr>
          <w:kern w:val="0"/>
        </w:rPr>
        <w:t xml:space="preserve"> of </w:t>
      </w:r>
      <w:r>
        <w:rPr>
          <w:kern w:val="0"/>
        </w:rPr>
        <w:t>first-generation antipsychotics (amisulpride</w:t>
      </w:r>
      <w:r w:rsidR="005853A9">
        <w:rPr>
          <w:kern w:val="0"/>
        </w:rPr>
        <w:t xml:space="preserve"> and </w:t>
      </w:r>
      <w:r>
        <w:rPr>
          <w:kern w:val="0"/>
        </w:rPr>
        <w:t>haloperidol)</w:t>
      </w:r>
      <w:r w:rsidR="005853A9">
        <w:rPr>
          <w:kern w:val="0"/>
        </w:rPr>
        <w:t xml:space="preserve"> and </w:t>
      </w:r>
      <w:r>
        <w:rPr>
          <w:kern w:val="0"/>
        </w:rPr>
        <w:t>some second-generation antipsychotics (risperidone, olanzapine, aripiprazole, quetiapine) in combination with an SSRI in the treatment</w:t>
      </w:r>
      <w:r w:rsidR="00427468">
        <w:rPr>
          <w:kern w:val="0"/>
        </w:rPr>
        <w:t xml:space="preserve"> of </w:t>
      </w:r>
      <w:r>
        <w:rPr>
          <w:kern w:val="0"/>
        </w:rPr>
        <w:t>resistant OCD. Recrudescence or onset</w:t>
      </w:r>
      <w:r w:rsidR="00427468">
        <w:rPr>
          <w:kern w:val="0"/>
        </w:rPr>
        <w:t xml:space="preserve"> of </w:t>
      </w:r>
      <w:r>
        <w:rPr>
          <w:kern w:val="0"/>
        </w:rPr>
        <w:t>OCD in patients with schizophrenia have been described in a relay from first generation antipsychotic to olanzapine, risperidone, aripiprazole or clozapine in case reports, but not amisulpride</w:t>
      </w:r>
      <w:r w:rsidR="005853A9">
        <w:rPr>
          <w:kern w:val="0"/>
        </w:rPr>
        <w:t xml:space="preserve"> and </w:t>
      </w:r>
      <w:r>
        <w:rPr>
          <w:kern w:val="0"/>
        </w:rPr>
        <w:t>quetiapine. (C) 2013 Elsevier Masson SAS. All rights reserved.</w:t>
      </w:r>
    </w:p>
    <w:p w:rsidR="00A323E8" w:rsidRDefault="00A323E8" w:rsidP="00A323E8">
      <w:pPr>
        <w:pStyle w:val="a3"/>
        <w:rPr>
          <w:kern w:val="0"/>
        </w:rPr>
      </w:pPr>
      <w:r>
        <w:rPr>
          <w:kern w:val="0"/>
        </w:rPr>
        <w:lastRenderedPageBreak/>
        <w:t>Keywords: Antipsychotic, Antipsychotics, Atypical Antipsychotics, Case Reports, Clozapine, Criteria, Data, Disease, Dopamine, Double-Blind, Drugs, Effectiveness, First, First Generation, Generation, Hyperactivity, Indication, Inhibitors, Literature, Mechanisms, Medline, Obsessive Compulsive Disorder, Ocd, Olanzapine, Olanzapine Augmentation, Onset, Paradigm, Patients, Placebo-Controlled Trial, Profiles, Quetiapine, Quetiapine Augmentation, Research, Resistant, Results, Review, Rights, Risperidone, Risperidone Augmentation, Schizophrenia, Science, Second Generation, Serotonin, Serotonin Reuptake Inhibitors, Single-Blind, Ssri, Symptoms, Systematic Review, Therapeutic, Treatment, Web</w:t>
      </w:r>
      <w:r w:rsidR="00427468">
        <w:rPr>
          <w:kern w:val="0"/>
        </w:rPr>
        <w:t xml:space="preserve"> of </w:t>
      </w:r>
      <w:r>
        <w:rPr>
          <w:kern w:val="0"/>
        </w:rPr>
        <w:t>Science, Work</w:t>
      </w:r>
    </w:p>
    <w:p w:rsidR="00705F3E" w:rsidRDefault="00705F3E" w:rsidP="00705F3E">
      <w:pPr>
        <w:pStyle w:val="a3"/>
        <w:rPr>
          <w:kern w:val="0"/>
        </w:rPr>
      </w:pPr>
      <w:r>
        <w:rPr>
          <w:kern w:val="0"/>
        </w:rPr>
        <w:t xml:space="preserve">? Ouzir, M. and Azorin, J.M. (2014), Neuroimaging of insight in schizophrenia: A review of the literature. </w:t>
      </w:r>
      <w:r>
        <w:rPr>
          <w:i/>
          <w:iCs/>
          <w:kern w:val="0"/>
        </w:rPr>
        <w:t>Annales Medico-Psychologiques</w:t>
      </w:r>
      <w:r>
        <w:rPr>
          <w:kern w:val="0"/>
        </w:rPr>
        <w:t xml:space="preserve">, </w:t>
      </w:r>
      <w:r>
        <w:rPr>
          <w:b/>
          <w:bCs/>
          <w:kern w:val="0"/>
        </w:rPr>
        <w:t>172</w:t>
      </w:r>
      <w:r>
        <w:rPr>
          <w:kern w:val="0"/>
        </w:rPr>
        <w:t xml:space="preserve"> (9), 727-734.</w:t>
      </w:r>
    </w:p>
    <w:p w:rsidR="00705F3E" w:rsidRDefault="00705F3E" w:rsidP="00705F3E">
      <w:pPr>
        <w:pStyle w:val="a3"/>
        <w:rPr>
          <w:kern w:val="0"/>
        </w:rPr>
      </w:pPr>
      <w:r>
        <w:rPr>
          <w:rFonts w:hint="eastAsia"/>
          <w:kern w:val="0"/>
        </w:rPr>
        <w:t xml:space="preserve">Full Text: </w:t>
      </w:r>
      <w:hyperlink r:id="rId818" w:history="1">
        <w:r w:rsidRPr="00494297">
          <w:rPr>
            <w:rStyle w:val="a5"/>
            <w:kern w:val="0"/>
          </w:rPr>
          <w:t>201</w:t>
        </w:r>
        <w:r w:rsidRPr="00494297">
          <w:rPr>
            <w:rStyle w:val="a5"/>
            <w:rFonts w:hint="eastAsia"/>
            <w:kern w:val="0"/>
          </w:rPr>
          <w:t>4</w:t>
        </w:r>
        <w:r w:rsidRPr="00494297">
          <w:rPr>
            <w:rStyle w:val="a5"/>
            <w:kern w:val="0"/>
          </w:rPr>
          <w:t>\Ann Med-Psy17</w:t>
        </w:r>
        <w:r w:rsidRPr="00494297">
          <w:rPr>
            <w:rStyle w:val="a5"/>
            <w:rFonts w:hint="eastAsia"/>
            <w:kern w:val="0"/>
          </w:rPr>
          <w:t>2</w:t>
        </w:r>
        <w:r w:rsidRPr="00494297">
          <w:rPr>
            <w:rStyle w:val="a5"/>
            <w:kern w:val="0"/>
          </w:rPr>
          <w:t>, 727.pdf</w:t>
        </w:r>
      </w:hyperlink>
    </w:p>
    <w:p w:rsidR="00705F3E" w:rsidRDefault="00705F3E" w:rsidP="00705F3E">
      <w:pPr>
        <w:pStyle w:val="a3"/>
        <w:rPr>
          <w:kern w:val="0"/>
        </w:rPr>
      </w:pPr>
      <w:r>
        <w:rPr>
          <w:kern w:val="0"/>
        </w:rPr>
        <w:t xml:space="preserve">Abstract: Objectives. - Insight in psychiatry has been defined and conceptualized in a number of ways but none of them was found to be self-explanatory. There has been an exponential rise in studies of insight, in part accelerated by the availability of several psychometric scales for measuring insight. Lack of insight has been associated in schizophrenia with low treatment adherence, a high number of relapses, increased number of hospital admissions, and subsequently poorer psychological and cognitive functioning. For this reason, there is considerable interest in understanding the underlying neural mechanisms of insight, which may have important implications for the development of future insight-oriented neuro-psychiatric treatment. Neuroimaging may be considered an important technique to help understand the anatomical, functional and metabolic neurocircuitry underlying poor insight in schizophrenia. Growing neuroimaging research provides evidence for underlying brain impairment in insight deficits in schizophrenia. In order to expose a panoramic view to the readers, this article reviews the neuroimaging studies conducted to date, which have investigated the neural bases of insight in schizophrenia. Methods. - Electronic searches were performed in PubMed, PsycINFO, Sciencedirect and Web of Science databases, using the following keywords: Imaging; neuroimaging; Positron Emission Tomography (PET); spectroscopy; functional Magnetic Resonance Imaging (fMRI); structural Magnetic Resonance Imaging (MRI); Single Photon Emission Computed Tomography (SPECT); Voxel Based Morphometry (VBM); Diffusion Tensor Imaging (DTI); Computed Tomography (CT); Insight; schizophrenia; awareness of illness. Searches were also performed from the references of the systematic review articles on neurobiological correlates of insight in schizophrenia. Animal studies and single case reports were excluded. Twenty-five articles were selected for the present review. From these; 12 used structural MRI; 6 used VBM; 3 used fMRI; 2 used CT; 1 used DTI and 1 used VBM combined to DTI. Results. - The search showed that studies in this area were published recently and </w:t>
      </w:r>
      <w:r>
        <w:rPr>
          <w:kern w:val="0"/>
        </w:rPr>
        <w:lastRenderedPageBreak/>
        <w:t>that the neuroanatomic substrate of insight in schizophrenia has not yet been consolidated. This inconsistency could arise from the complex nature of insight and the use of a variety of insight assessments. Most of the studies analyzed in this review used structural neuroimaging techniques to assess brain abnormalities associated with poor insight. The functional neuroanatomy of insight has only recently been investigated and to our knowledge, there are only 3 studies that have examined brain activity with fMRI in relation to insight in schizophrenia. Conclusion. - This review investigated the neural deficiencies underlying poor insight in schizophrenic patients. In spite of methodological differences among studies, results provide evidence of structural and functional brain abnormalities in frontal, parietal and temporal region related to insight deficits. Some studies have found a hemispheric asymmetry in relationship to poor in insight (the majority of brain abnormalities concern the right hemisphere). In addition, growing research indicated that the prefrontal cortex, particularly the dorsolateral prefrontal cortex, the anterior cingulated cortex, the insula, the precuneus and the cerebellum can also underlying insight in schizophrenia. It is interesting to mention that some authors have suggested that each dimension of insight can be specifically linked to certain brain structures. Taking together, data on the neuropsychological and neuroanatomical correlates of clinical insight suggested that lack of insight in schizophrenia could be conceived as a neurocognitive deficit, analogously to anosognosia in brain injury and dementia. On the contrary, to date, the neuroanatomical correlates of cognitive insight have been scarcely studied. Only two studies reported that Self-reflectiveness was positively related to gray matter volume of the right ventro-lateral prefrontal cortex, the BCIS composite index was positively correlated with total left hippocampal volume, and Self-certainty was inversely correlated with bilateral hippocampal volumes. However, it is important to note that neuroimaging research on cognitive insight in schizophrenia is in a preliminary, and the results on this are inconclusive. Further research is needed to better understand the causal relationships between brain abnormalities and degradation of insight in schizophrenia. (C) 2014 Elsevier Masson SAS. All rights reserved.</w:t>
      </w:r>
    </w:p>
    <w:p w:rsidR="00705F3E" w:rsidRDefault="00705F3E" w:rsidP="00705F3E">
      <w:pPr>
        <w:pStyle w:val="a3"/>
        <w:rPr>
          <w:kern w:val="0"/>
        </w:rPr>
      </w:pPr>
      <w:r>
        <w:rPr>
          <w:kern w:val="0"/>
        </w:rPr>
        <w:t xml:space="preserve">Keywords: 1st-Episode Psychosis, Activity, Adherence, Article, Articles, Assessments, Asymmetry, Authors, Availability, Awareness, Bilateral, Brain, Brain Imaging, Brain Injury, Case Reports, Cerebellum, Clinical, Cognitive, Cognitive Function, Cognitive Insight, Composite, Correlates, Ct, Data, Databases, Deficiency, Degradation, Dementia, Development, Diffusion, Evidence, Fmri, From, Hospital, Illness, Imaging, Impairment, Index, Injury, Insight, Knowledge, Literature, Magnetic, Mechanisms, Methods, Mood Disorders, Mri, Neuroimaging, Neuropsychological Function, Nov, Patients, Pet, Poor Insight, Prefrontal Cortex, Psychiatry, Psychological, Psycinfo, Pubmed, References, Region, Research, Results, </w:t>
      </w:r>
      <w:r>
        <w:rPr>
          <w:kern w:val="0"/>
        </w:rPr>
        <w:lastRenderedPageBreak/>
        <w:t>Review, Review Of The Literature, Reviews, Right, Rights, Scales, Schizoaffective Disorder, Schizophrenia, Science, Spect, Spectroscopy, Systematic, Systematic Review, Techniques, Temporal, Tomography, Treatment, Unawareness, Understanding, Vbm, Verbal Memory, Volume, Web, Web of Science, Web of Science Databases</w:t>
      </w:r>
    </w:p>
    <w:p w:rsidR="003474F2" w:rsidRPr="001A3D2B" w:rsidRDefault="003474F2" w:rsidP="003474F2">
      <w:pPr>
        <w:pStyle w:val="1"/>
      </w:pPr>
      <w:r w:rsidRPr="001A3D2B">
        <w:br w:type="page"/>
      </w:r>
      <w:bookmarkStart w:id="443" w:name="_Toc420814484"/>
      <w:r w:rsidRPr="001A3D2B">
        <w:lastRenderedPageBreak/>
        <w:t>Title: Annals Academy</w:t>
      </w:r>
      <w:r w:rsidR="00427468">
        <w:t xml:space="preserve"> of </w:t>
      </w:r>
      <w:r w:rsidRPr="001A3D2B">
        <w:t xml:space="preserve">Medicine </w:t>
      </w:r>
      <w:smartTag w:uri="urn:schemas-microsoft-com:office:smarttags" w:element="country-region">
        <w:r w:rsidRPr="001A3D2B">
          <w:t>Singapore</w:t>
        </w:r>
      </w:smartTag>
      <w:bookmarkEnd w:id="443"/>
    </w:p>
    <w:p w:rsidR="003474F2" w:rsidRPr="001A3D2B" w:rsidRDefault="003474F2" w:rsidP="003474F2">
      <w:pPr>
        <w:pStyle w:val="12"/>
      </w:pPr>
      <w:r w:rsidRPr="001A3D2B">
        <w:t>Full Journal Title: Annals Academy</w:t>
      </w:r>
      <w:r w:rsidR="00427468">
        <w:t xml:space="preserve"> of </w:t>
      </w:r>
      <w:r w:rsidRPr="001A3D2B">
        <w:t>Medicine Singapore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Rogers, L.F. (2003), Impact factor: Myths</w:t>
      </w:r>
      <w:r w:rsidR="005853A9">
        <w:t xml:space="preserve"> and </w:t>
      </w:r>
      <w:r w:rsidRPr="001A3D2B">
        <w:t xml:space="preserve">realities. </w:t>
      </w:r>
      <w:r w:rsidRPr="001A3D2B">
        <w:rPr>
          <w:i/>
          <w:iCs/>
        </w:rPr>
        <w:t>Annals Academy</w:t>
      </w:r>
      <w:r w:rsidR="00427468">
        <w:rPr>
          <w:i/>
          <w:iCs/>
        </w:rPr>
        <w:t xml:space="preserve"> of </w:t>
      </w:r>
      <w:r w:rsidRPr="001A3D2B">
        <w:rPr>
          <w:i/>
          <w:iCs/>
        </w:rPr>
        <w:t>Medicine Singapore</w:t>
      </w:r>
      <w:r w:rsidRPr="001A3D2B">
        <w:t xml:space="preserve">, </w:t>
      </w:r>
      <w:r w:rsidRPr="001A3D2B">
        <w:rPr>
          <w:b/>
          <w:bCs/>
        </w:rPr>
        <w:t>32</w:t>
      </w:r>
      <w:r w:rsidRPr="001A3D2B">
        <w:t xml:space="preserve"> (4), 429-432.</w:t>
      </w:r>
    </w:p>
    <w:p w:rsidR="003474F2" w:rsidRPr="001A3D2B" w:rsidRDefault="003474F2" w:rsidP="003474F2">
      <w:pPr>
        <w:pStyle w:val="a3"/>
      </w:pPr>
      <w:r w:rsidRPr="001A3D2B">
        <w:t>Abstract:</w:t>
      </w:r>
      <w:r w:rsidR="003A1917">
        <w:t xml:space="preserve"> the </w:t>
      </w:r>
      <w:r w:rsidRPr="001A3D2B">
        <w:t>Impact Factor was original devised as an index</w:t>
      </w:r>
      <w:r w:rsidR="00427468">
        <w:t xml:space="preserve"> of </w:t>
      </w:r>
      <w:r w:rsidR="003A1917">
        <w:t xml:space="preserve">the </w:t>
      </w:r>
      <w:r w:rsidRPr="001A3D2B">
        <w:t>quality</w:t>
      </w:r>
      <w:r w:rsidR="00427468">
        <w:t xml:space="preserve"> of </w:t>
      </w:r>
      <w:r w:rsidRPr="001A3D2B">
        <w:t>scientific journals</w:t>
      </w:r>
      <w:r w:rsidR="005853A9">
        <w:t xml:space="preserve"> and </w:t>
      </w:r>
      <w:r w:rsidRPr="001A3D2B">
        <w:t>has since obtained mythical proportions. Authors select journals to which they submit their work on</w:t>
      </w:r>
      <w:r w:rsidR="003A1917">
        <w:t xml:space="preserve"> the </w:t>
      </w:r>
      <w:r w:rsidRPr="001A3D2B">
        <w:t>basis</w:t>
      </w:r>
      <w:r w:rsidR="00427468">
        <w:t xml:space="preserve"> of </w:t>
      </w:r>
      <w:r w:rsidRPr="001A3D2B">
        <w:t>that journal</w:t>
      </w:r>
      <w:r w:rsidR="00700038">
        <w:t>’</w:t>
      </w:r>
      <w:r w:rsidR="00C13DDC">
        <w:t>s</w:t>
      </w:r>
      <w:r w:rsidRPr="001A3D2B">
        <w:t xml:space="preserve"> Impact Factor. Medical school deans</w:t>
      </w:r>
      <w:r w:rsidR="005853A9">
        <w:t xml:space="preserve"> and </w:t>
      </w:r>
      <w:r w:rsidRPr="001A3D2B">
        <w:t>administrators have adopted</w:t>
      </w:r>
      <w:r w:rsidR="003A1917">
        <w:t xml:space="preserve"> the </w:t>
      </w:r>
      <w:r w:rsidRPr="001A3D2B">
        <w:t>Impact Factor as a means</w:t>
      </w:r>
      <w:r w:rsidR="00427468">
        <w:t xml:space="preserve"> of </w:t>
      </w:r>
      <w:r w:rsidRPr="001A3D2B">
        <w:t>judging</w:t>
      </w:r>
      <w:r w:rsidR="003A1917">
        <w:t xml:space="preserve"> the </w:t>
      </w:r>
      <w:r w:rsidRPr="001A3D2B">
        <w:t>quality</w:t>
      </w:r>
      <w:r w:rsidR="00427468">
        <w:t xml:space="preserve"> of </w:t>
      </w:r>
      <w:r w:rsidR="003A1917">
        <w:t xml:space="preserve">the </w:t>
      </w:r>
      <w:r w:rsidRPr="001A3D2B">
        <w:t>academic efforts</w:t>
      </w:r>
      <w:r w:rsidR="00427468">
        <w:t xml:space="preserve"> of </w:t>
      </w:r>
      <w:r w:rsidRPr="001A3D2B">
        <w:t>individual faculty, as well as</w:t>
      </w:r>
      <w:r w:rsidR="003A1917">
        <w:t xml:space="preserve"> the </w:t>
      </w:r>
      <w:r w:rsidRPr="001A3D2B">
        <w:t>aggregate academic productivity</w:t>
      </w:r>
      <w:r w:rsidR="00427468">
        <w:t xml:space="preserve"> of </w:t>
      </w:r>
      <w:r w:rsidRPr="001A3D2B">
        <w:t>medical school departments. Departmental budgets have been based on</w:t>
      </w:r>
      <w:r w:rsidR="003A1917">
        <w:t xml:space="preserve"> the </w:t>
      </w:r>
      <w:r w:rsidRPr="001A3D2B">
        <w:t>Impact Factor</w:t>
      </w:r>
      <w:r w:rsidR="00A37C1D">
        <w:t>. The</w:t>
      </w:r>
      <w:r w:rsidRPr="001A3D2B">
        <w:t>re are serious questions as to</w:t>
      </w:r>
      <w:r w:rsidR="003A1917">
        <w:t xml:space="preserve"> the </w:t>
      </w:r>
      <w:r w:rsidRPr="001A3D2B">
        <w:t>validity</w:t>
      </w:r>
      <w:r w:rsidR="00427468">
        <w:t xml:space="preserve"> of </w:t>
      </w:r>
      <w:r w:rsidRPr="001A3D2B">
        <w:t>using</w:t>
      </w:r>
      <w:r w:rsidR="003A1917">
        <w:t xml:space="preserve"> the </w:t>
      </w:r>
      <w:r w:rsidRPr="001A3D2B">
        <w:t>Impact Factor for these purposes.</w:t>
      </w:r>
    </w:p>
    <w:p w:rsidR="003474F2" w:rsidRPr="001A3D2B" w:rsidRDefault="003474F2" w:rsidP="003474F2">
      <w:pPr>
        <w:pStyle w:val="a3"/>
      </w:pPr>
      <w:r w:rsidRPr="001A3D2B">
        <w:t>Keywords: Faculty, Index, Journals, Medical, Productivity, Quality, Quality Of, Scientific Journals, Validity, Work</w:t>
      </w:r>
    </w:p>
    <w:p w:rsidR="003474F2" w:rsidRPr="001A3D2B" w:rsidRDefault="003474F2" w:rsidP="003474F2">
      <w:pPr>
        <w:pStyle w:val="a3"/>
      </w:pPr>
      <w:r w:rsidRPr="001A3D2B">
        <w:t>? Ha, T.C., Tan, S.B.</w:t>
      </w:r>
      <w:r w:rsidR="005853A9">
        <w:t xml:space="preserve"> and </w:t>
      </w:r>
      <w:r w:rsidRPr="001A3D2B">
        <w:t>Soo, K.C. (2006</w:t>
      </w:r>
      <w:r w:rsidR="00F42EAC">
        <w:t>), The</w:t>
      </w:r>
      <w:r w:rsidR="003A1917">
        <w:t xml:space="preserve"> </w:t>
      </w:r>
      <w:r w:rsidRPr="001A3D2B">
        <w:t>journal impact factor: Too much</w:t>
      </w:r>
      <w:r w:rsidR="00427468">
        <w:t xml:space="preserve"> of </w:t>
      </w:r>
      <w:r w:rsidRPr="001A3D2B">
        <w:t xml:space="preserve">an impact? </w:t>
      </w:r>
      <w:r w:rsidRPr="001A3D2B">
        <w:rPr>
          <w:i/>
          <w:iCs/>
        </w:rPr>
        <w:t>Annals Academy</w:t>
      </w:r>
      <w:r w:rsidR="00427468">
        <w:rPr>
          <w:i/>
          <w:iCs/>
        </w:rPr>
        <w:t xml:space="preserve"> of </w:t>
      </w:r>
      <w:r w:rsidRPr="001A3D2B">
        <w:rPr>
          <w:i/>
          <w:iCs/>
        </w:rPr>
        <w:t>Medicine Singapore</w:t>
      </w:r>
      <w:r w:rsidRPr="001A3D2B">
        <w:t xml:space="preserve">, </w:t>
      </w:r>
      <w:r w:rsidRPr="001A3D2B">
        <w:rPr>
          <w:b/>
          <w:bCs/>
        </w:rPr>
        <w:t>35</w:t>
      </w:r>
      <w:r w:rsidRPr="001A3D2B">
        <w:t xml:space="preserve"> (12), 911-916.</w:t>
      </w:r>
    </w:p>
    <w:p w:rsidR="003474F2" w:rsidRPr="001A3D2B" w:rsidRDefault="003474F2" w:rsidP="003474F2">
      <w:pPr>
        <w:pStyle w:val="a3"/>
      </w:pPr>
      <w:r w:rsidRPr="001A3D2B">
        <w:t>Abstract: Introduction:</w:t>
      </w:r>
      <w:r w:rsidR="003A1917">
        <w:t xml:space="preserve"> the </w:t>
      </w:r>
      <w:r w:rsidRPr="001A3D2B">
        <w:t>journal impact factor is often used to judge</w:t>
      </w:r>
      <w:r w:rsidR="003A1917">
        <w:t xml:space="preserve"> the </w:t>
      </w:r>
      <w:r w:rsidRPr="001A3D2B">
        <w:t>scientific quality</w:t>
      </w:r>
      <w:r w:rsidR="00427468">
        <w:t xml:space="preserve"> of </w:t>
      </w:r>
      <w:r w:rsidRPr="001A3D2B">
        <w:t>individual research articles</w:t>
      </w:r>
      <w:r w:rsidR="005853A9">
        <w:t xml:space="preserve"> and </w:t>
      </w:r>
      <w:r w:rsidRPr="001A3D2B">
        <w:t>individual journals. Despite numerous reviews in</w:t>
      </w:r>
      <w:r w:rsidR="003A1917">
        <w:t xml:space="preserve"> the </w:t>
      </w:r>
      <w:r w:rsidRPr="001A3D2B">
        <w:t>literature criticising such use, in some countries</w:t>
      </w:r>
      <w:r w:rsidR="003A1917">
        <w:t xml:space="preserve"> the </w:t>
      </w:r>
      <w:r w:rsidRPr="001A3D2B">
        <w:t>impact factor has become an outcome measure for grant applications, job applications, promotions</w:t>
      </w:r>
      <w:r w:rsidR="005853A9">
        <w:t xml:space="preserve"> and </w:t>
      </w:r>
      <w:r w:rsidRPr="001A3D2B">
        <w:t>bonuses</w:t>
      </w:r>
      <w:r w:rsidR="00A37C1D">
        <w:t>. The</w:t>
      </w:r>
      <w:r w:rsidR="003A1917">
        <w:t xml:space="preserve"> </w:t>
      </w:r>
      <w:r w:rsidRPr="001A3D2B">
        <w:t>aim</w:t>
      </w:r>
      <w:r w:rsidR="00427468">
        <w:t xml:space="preserve"> of </w:t>
      </w:r>
      <w:r w:rsidRPr="001A3D2B">
        <w:t>this review is to highlight</w:t>
      </w:r>
      <w:r w:rsidR="003A1917">
        <w:t xml:space="preserve"> the </w:t>
      </w:r>
      <w:r w:rsidRPr="001A3D2B">
        <w:t>major issues involved with using</w:t>
      </w:r>
      <w:r w:rsidR="003A1917">
        <w:t xml:space="preserve"> the </w:t>
      </w:r>
      <w:r w:rsidRPr="001A3D2B">
        <w:t>journal impact factor as a measure</w:t>
      </w:r>
      <w:r w:rsidR="00427468">
        <w:t xml:space="preserve"> of </w:t>
      </w:r>
      <w:r w:rsidRPr="001A3D2B">
        <w:t>research quality. Methods: A literature review</w:t>
      </w:r>
      <w:r w:rsidR="00427468">
        <w:t xml:space="preserve"> of </w:t>
      </w:r>
      <w:r w:rsidRPr="001A3D2B">
        <w:t>articles on journal impact factors, science citation index,</w:t>
      </w:r>
      <w:r w:rsidR="005853A9">
        <w:t xml:space="preserve"> and </w:t>
      </w:r>
      <w:r w:rsidRPr="001A3D2B">
        <w:t>bibliometric methods was undertaken to identify relevant articles. Results:</w:t>
      </w:r>
      <w:r w:rsidR="003A1917">
        <w:t xml:space="preserve"> the </w:t>
      </w:r>
      <w:r w:rsidRPr="001A3D2B">
        <w:t>journal impact factor is a quantitative measure based on</w:t>
      </w:r>
      <w:r w:rsidR="003A1917">
        <w:t xml:space="preserve"> the </w:t>
      </w:r>
      <w:r w:rsidRPr="001A3D2B">
        <w:t>ratio between yearly citations in a particular journal to total citations in that journal in</w:t>
      </w:r>
      <w:r w:rsidR="003A1917">
        <w:t xml:space="preserve"> the </w:t>
      </w:r>
      <w:r w:rsidRPr="001A3D2B">
        <w:t>previous 2 years. Its use as a criterion for measuring</w:t>
      </w:r>
      <w:r w:rsidR="003A1917">
        <w:t xml:space="preserve"> the </w:t>
      </w:r>
      <w:r w:rsidRPr="001A3D2B">
        <w:t>quality</w:t>
      </w:r>
      <w:r w:rsidR="00427468">
        <w:t xml:space="preserve"> of </w:t>
      </w:r>
      <w:r w:rsidRPr="001A3D2B">
        <w:t>research is biased</w:t>
      </w:r>
      <w:r w:rsidR="00A37C1D">
        <w:t>. The</w:t>
      </w:r>
      <w:r w:rsidR="003A1917">
        <w:t xml:space="preserve"> </w:t>
      </w:r>
      <w:r w:rsidRPr="001A3D2B">
        <w:t>major sources</w:t>
      </w:r>
      <w:r w:rsidR="00427468">
        <w:t xml:space="preserve"> of </w:t>
      </w:r>
      <w:r w:rsidRPr="001A3D2B">
        <w:t xml:space="preserve">bias </w:t>
      </w:r>
      <w:r w:rsidRPr="001A3D2B">
        <w:lastRenderedPageBreak/>
        <w:t>include database problems from</w:t>
      </w:r>
      <w:r w:rsidR="003A1917">
        <w:t xml:space="preserve"> the </w:t>
      </w:r>
      <w:r w:rsidRPr="001A3D2B">
        <w:t>Institute for Scientific Information</w:t>
      </w:r>
      <w:r w:rsidR="005853A9">
        <w:t xml:space="preserve"> and </w:t>
      </w:r>
      <w:r w:rsidRPr="001A3D2B">
        <w:t>research field effects</w:t>
      </w:r>
      <w:r w:rsidR="00A37C1D">
        <w:t>. The</w:t>
      </w:r>
      <w:r w:rsidR="003A1917">
        <w:t xml:space="preserve"> </w:t>
      </w:r>
      <w:r w:rsidRPr="001A3D2B">
        <w:t>journal impact factor, originally designed for purposes other than</w:t>
      </w:r>
      <w:r w:rsidR="003A1917">
        <w:t xml:space="preserve"> the </w:t>
      </w:r>
      <w:r w:rsidRPr="001A3D2B">
        <w:t>individual evaluation</w:t>
      </w:r>
      <w:r w:rsidR="00427468">
        <w:t xml:space="preserve"> of </w:t>
      </w:r>
      <w:r w:rsidRPr="001A3D2B">
        <w:t>research quality, is a useful tool provided its interpretation is not extrapolated beyond its limits</w:t>
      </w:r>
      <w:r w:rsidR="00427468">
        <w:t xml:space="preserve"> of </w:t>
      </w:r>
      <w:r w:rsidRPr="001A3D2B">
        <w:t>validity. Conclusion: Research quality cannot be measured solely using</w:t>
      </w:r>
      <w:r w:rsidR="003A1917">
        <w:t xml:space="preserve"> the </w:t>
      </w:r>
      <w:r w:rsidRPr="001A3D2B">
        <w:t>journal impact factor</w:t>
      </w:r>
      <w:r w:rsidR="00A37C1D">
        <w:t>. The</w:t>
      </w:r>
      <w:r w:rsidR="003A1917">
        <w:t xml:space="preserve"> </w:t>
      </w:r>
      <w:r w:rsidRPr="001A3D2B">
        <w:t>journal impact factor should be used with caution,</w:t>
      </w:r>
      <w:r w:rsidR="005853A9">
        <w:t xml:space="preserve"> and </w:t>
      </w:r>
      <w:r w:rsidRPr="001A3D2B">
        <w:t>should not be</w:t>
      </w:r>
      <w:r w:rsidR="003A1917">
        <w:t xml:space="preserve"> the </w:t>
      </w:r>
      <w:r w:rsidRPr="001A3D2B">
        <w:t>dominant or only factor determining research quality.</w:t>
      </w:r>
    </w:p>
    <w:p w:rsidR="003474F2" w:rsidRPr="001A3D2B" w:rsidRDefault="003474F2" w:rsidP="003474F2">
      <w:pPr>
        <w:pStyle w:val="a3"/>
      </w:pPr>
      <w:r w:rsidRPr="001A3D2B">
        <w:t>Keywords: Applications, Bias, Bibliometric, Bibliometric Methods, Citation, Citation Analysis, Citations, DEC, Effects, Evaluation, Impact, Impact Factor, Impact Factors, Index, Institute for Scientific Information, Journal, Journal Impact Factors, Journals, Literature Review, Methods, Outcome, Outcome Measure, Quality, Research, Research Articles, Research Quality, Review, Reviews, Science, Science Citation Index, Sources, Validity</w:t>
      </w:r>
    </w:p>
    <w:p w:rsidR="00EA11E8" w:rsidRPr="001A3D2B" w:rsidRDefault="00EA11E8" w:rsidP="00EA11E8">
      <w:pPr>
        <w:pStyle w:val="1"/>
      </w:pPr>
      <w:r w:rsidRPr="001A3D2B">
        <w:br w:type="page"/>
      </w:r>
      <w:bookmarkStart w:id="444" w:name="_Toc420814485"/>
      <w:r w:rsidRPr="001A3D2B">
        <w:lastRenderedPageBreak/>
        <w:t>Title: Annals</w:t>
      </w:r>
      <w:r w:rsidR="00427468">
        <w:t xml:space="preserve"> of </w:t>
      </w:r>
      <w:r w:rsidRPr="001A3D2B">
        <w:t>Allergy</w:t>
      </w:r>
      <w:bookmarkEnd w:id="444"/>
    </w:p>
    <w:p w:rsidR="00EA11E8" w:rsidRPr="001A3D2B" w:rsidRDefault="00EA11E8" w:rsidP="00EA11E8">
      <w:pPr>
        <w:pStyle w:val="12"/>
      </w:pPr>
      <w:r w:rsidRPr="001A3D2B">
        <w:t xml:space="preserve">Full Journal Title: </w:t>
      </w:r>
      <w:r w:rsidRPr="001A3D2B">
        <w:rPr>
          <w:kern w:val="0"/>
        </w:rPr>
        <w:t>Annals</w:t>
      </w:r>
      <w:r w:rsidR="00427468">
        <w:rPr>
          <w:kern w:val="0"/>
        </w:rPr>
        <w:t xml:space="preserve"> of </w:t>
      </w:r>
      <w:r w:rsidRPr="001A3D2B">
        <w:rPr>
          <w:kern w:val="0"/>
        </w:rPr>
        <w:t>Allergy</w:t>
      </w:r>
    </w:p>
    <w:p w:rsidR="00EA11E8" w:rsidRPr="001A3D2B" w:rsidRDefault="00EA11E8" w:rsidP="00EA11E8">
      <w:pPr>
        <w:pStyle w:val="12"/>
      </w:pPr>
      <w:r w:rsidRPr="001A3D2B">
        <w:t xml:space="preserve">ISO Abbreviated Title: </w:t>
      </w:r>
    </w:p>
    <w:p w:rsidR="00EA11E8" w:rsidRPr="001A3D2B" w:rsidRDefault="00EA11E8" w:rsidP="00EA11E8">
      <w:pPr>
        <w:pStyle w:val="12"/>
      </w:pPr>
      <w:r w:rsidRPr="001A3D2B">
        <w:t xml:space="preserve">JCR Abbreviated Title: </w:t>
      </w:r>
    </w:p>
    <w:p w:rsidR="00EA11E8" w:rsidRPr="001A3D2B" w:rsidRDefault="00EA11E8" w:rsidP="00EA11E8">
      <w:pPr>
        <w:pStyle w:val="12"/>
      </w:pPr>
      <w:r w:rsidRPr="001A3D2B">
        <w:t xml:space="preserve">ISSN: </w:t>
      </w:r>
    </w:p>
    <w:p w:rsidR="00EA11E8" w:rsidRPr="001A3D2B" w:rsidRDefault="00EA11E8" w:rsidP="00EA11E8">
      <w:pPr>
        <w:pStyle w:val="12"/>
      </w:pPr>
      <w:r w:rsidRPr="001A3D2B">
        <w:t xml:space="preserve">Issues/Year: </w:t>
      </w:r>
    </w:p>
    <w:p w:rsidR="00EA11E8" w:rsidRPr="001A3D2B" w:rsidRDefault="00EA11E8" w:rsidP="00EA11E8">
      <w:pPr>
        <w:pStyle w:val="12"/>
      </w:pPr>
      <w:r w:rsidRPr="001A3D2B">
        <w:t xml:space="preserve">Journal Country/Territory: </w:t>
      </w:r>
    </w:p>
    <w:p w:rsidR="00EA11E8" w:rsidRPr="001A3D2B" w:rsidRDefault="00EA11E8" w:rsidP="00EA11E8">
      <w:pPr>
        <w:pStyle w:val="12"/>
      </w:pPr>
      <w:r w:rsidRPr="001A3D2B">
        <w:t xml:space="preserve">Language: </w:t>
      </w:r>
    </w:p>
    <w:p w:rsidR="00EA11E8" w:rsidRPr="001A3D2B" w:rsidRDefault="00EA11E8" w:rsidP="00EA11E8">
      <w:pPr>
        <w:pStyle w:val="12"/>
      </w:pPr>
      <w:r w:rsidRPr="001A3D2B">
        <w:t xml:space="preserve">Publisher: </w:t>
      </w:r>
    </w:p>
    <w:p w:rsidR="00EA11E8" w:rsidRPr="001A3D2B" w:rsidRDefault="00EA11E8" w:rsidP="00EA11E8">
      <w:pPr>
        <w:pStyle w:val="12"/>
      </w:pPr>
      <w:r w:rsidRPr="001A3D2B">
        <w:t xml:space="preserve">Publisher Address: </w:t>
      </w:r>
    </w:p>
    <w:p w:rsidR="00EA11E8" w:rsidRPr="001A3D2B" w:rsidRDefault="00EA11E8" w:rsidP="00EA11E8">
      <w:pPr>
        <w:pStyle w:val="12"/>
      </w:pPr>
      <w:r w:rsidRPr="001A3D2B">
        <w:t xml:space="preserve">Subject Categories: </w:t>
      </w:r>
    </w:p>
    <w:p w:rsidR="00EA11E8" w:rsidRPr="001A3D2B" w:rsidRDefault="00EA11E8" w:rsidP="00EA11E8">
      <w:pPr>
        <w:pStyle w:val="12"/>
      </w:pPr>
      <w:r w:rsidRPr="001A3D2B">
        <w:t xml:space="preserve">: Impact Factor </w:t>
      </w:r>
    </w:p>
    <w:p w:rsidR="00EA11E8" w:rsidRPr="001A3D2B" w:rsidRDefault="00EA11E8" w:rsidP="00EA11E8">
      <w:pPr>
        <w:pStyle w:val="a3"/>
        <w:rPr>
          <w:kern w:val="0"/>
        </w:rPr>
      </w:pPr>
      <w:r w:rsidRPr="001A3D2B">
        <w:rPr>
          <w:kern w:val="0"/>
        </w:rPr>
        <w:t>? Sly, R.M. (1993), Another look at</w:t>
      </w:r>
      <w:r w:rsidR="003A1917">
        <w:rPr>
          <w:kern w:val="0"/>
        </w:rPr>
        <w:t xml:space="preserve"> the </w:t>
      </w:r>
      <w:r w:rsidRPr="001A3D2B">
        <w:rPr>
          <w:kern w:val="0"/>
        </w:rPr>
        <w:t>most frequently cited articles from</w:t>
      </w:r>
      <w:r w:rsidR="003A1917">
        <w:rPr>
          <w:kern w:val="0"/>
        </w:rPr>
        <w:t xml:space="preserve"> the </w:t>
      </w:r>
      <w:r w:rsidRPr="001A3D2B">
        <w:rPr>
          <w:i/>
          <w:iCs/>
          <w:kern w:val="0"/>
        </w:rPr>
        <w:t>Annals</w:t>
      </w:r>
      <w:r w:rsidR="00427468">
        <w:rPr>
          <w:i/>
          <w:iCs/>
          <w:kern w:val="0"/>
        </w:rPr>
        <w:t xml:space="preserve"> of </w:t>
      </w:r>
      <w:r w:rsidRPr="001A3D2B">
        <w:rPr>
          <w:i/>
          <w:iCs/>
          <w:kern w:val="0"/>
        </w:rPr>
        <w:t>Allergy</w:t>
      </w:r>
      <w:r w:rsidRPr="001A3D2B">
        <w:rPr>
          <w:kern w:val="0"/>
        </w:rPr>
        <w:t xml:space="preserve">. </w:t>
      </w:r>
      <w:r w:rsidRPr="001A3D2B">
        <w:rPr>
          <w:i/>
          <w:iCs/>
          <w:kern w:val="0"/>
        </w:rPr>
        <w:t>Annals</w:t>
      </w:r>
      <w:r w:rsidR="00427468">
        <w:rPr>
          <w:i/>
          <w:iCs/>
          <w:kern w:val="0"/>
        </w:rPr>
        <w:t xml:space="preserve"> of </w:t>
      </w:r>
      <w:r w:rsidRPr="001A3D2B">
        <w:rPr>
          <w:i/>
          <w:iCs/>
          <w:kern w:val="0"/>
        </w:rPr>
        <w:t>Allergy</w:t>
      </w:r>
      <w:r w:rsidRPr="001A3D2B">
        <w:rPr>
          <w:kern w:val="0"/>
        </w:rPr>
        <w:t xml:space="preserve">, </w:t>
      </w:r>
      <w:r w:rsidRPr="001A3D2B">
        <w:rPr>
          <w:b/>
          <w:bCs/>
          <w:kern w:val="0"/>
        </w:rPr>
        <w:t>71</w:t>
      </w:r>
      <w:r w:rsidRPr="001A3D2B">
        <w:rPr>
          <w:kern w:val="0"/>
        </w:rPr>
        <w:t xml:space="preserve"> (1), 1-2.</w:t>
      </w:r>
    </w:p>
    <w:p w:rsidR="0062028A" w:rsidRPr="00F219CA" w:rsidRDefault="0062028A" w:rsidP="0062028A">
      <w:pPr>
        <w:pStyle w:val="1"/>
      </w:pPr>
      <w:r w:rsidRPr="00F219CA">
        <w:br w:type="page"/>
      </w:r>
      <w:bookmarkStart w:id="445" w:name="_Toc420814486"/>
      <w:r w:rsidRPr="00F219CA">
        <w:lastRenderedPageBreak/>
        <w:t xml:space="preserve">Title: </w:t>
      </w:r>
      <w:r w:rsidRPr="000C49FB">
        <w:rPr>
          <w:iCs w:val="0"/>
        </w:rPr>
        <w:t>Annals</w:t>
      </w:r>
      <w:r w:rsidR="00427468">
        <w:rPr>
          <w:iCs w:val="0"/>
        </w:rPr>
        <w:t xml:space="preserve"> of </w:t>
      </w:r>
      <w:r w:rsidRPr="000C49FB">
        <w:rPr>
          <w:iCs w:val="0"/>
        </w:rPr>
        <w:t>Allergy Asthma &amp; Immunology</w:t>
      </w:r>
      <w:bookmarkEnd w:id="445"/>
    </w:p>
    <w:p w:rsidR="0062028A" w:rsidRPr="00F219CA" w:rsidRDefault="0062028A" w:rsidP="0062028A">
      <w:pPr>
        <w:pStyle w:val="12"/>
      </w:pPr>
      <w:r w:rsidRPr="00F219CA">
        <w:t xml:space="preserve">Full Journal Title: </w:t>
      </w:r>
      <w:r w:rsidRPr="000C49FB">
        <w:rPr>
          <w:iCs/>
          <w:kern w:val="0"/>
        </w:rPr>
        <w:t>Annals</w:t>
      </w:r>
      <w:r w:rsidR="00427468">
        <w:rPr>
          <w:iCs/>
          <w:kern w:val="0"/>
        </w:rPr>
        <w:t xml:space="preserve"> of </w:t>
      </w:r>
      <w:r w:rsidRPr="000C49FB">
        <w:rPr>
          <w:iCs/>
          <w:kern w:val="0"/>
        </w:rPr>
        <w:t>Allergy Asthma &amp; Immunology</w:t>
      </w:r>
    </w:p>
    <w:p w:rsidR="0062028A" w:rsidRPr="00F219CA" w:rsidRDefault="0062028A" w:rsidP="0062028A">
      <w:pPr>
        <w:pStyle w:val="12"/>
      </w:pPr>
      <w:r w:rsidRPr="00F219CA">
        <w:t xml:space="preserve">ISO Abbreviated Title: </w:t>
      </w:r>
    </w:p>
    <w:p w:rsidR="0062028A" w:rsidRPr="00F219CA" w:rsidRDefault="0062028A" w:rsidP="0062028A">
      <w:pPr>
        <w:pStyle w:val="12"/>
      </w:pPr>
      <w:r w:rsidRPr="00F219CA">
        <w:t xml:space="preserve">JCR Abbreviated Title: </w:t>
      </w:r>
    </w:p>
    <w:p w:rsidR="0062028A" w:rsidRPr="00F219CA" w:rsidRDefault="0062028A" w:rsidP="0062028A">
      <w:pPr>
        <w:pStyle w:val="12"/>
      </w:pPr>
      <w:r w:rsidRPr="00F219CA">
        <w:t xml:space="preserve">ISSN: </w:t>
      </w:r>
    </w:p>
    <w:p w:rsidR="0062028A" w:rsidRPr="00F219CA" w:rsidRDefault="0062028A" w:rsidP="0062028A">
      <w:pPr>
        <w:pStyle w:val="12"/>
      </w:pPr>
      <w:r w:rsidRPr="00F219CA">
        <w:t xml:space="preserve">Issues/Year: </w:t>
      </w:r>
    </w:p>
    <w:p w:rsidR="0062028A" w:rsidRPr="00F219CA" w:rsidRDefault="0062028A" w:rsidP="0062028A">
      <w:pPr>
        <w:pStyle w:val="12"/>
      </w:pPr>
      <w:r w:rsidRPr="00F219CA">
        <w:t xml:space="preserve">Journal Country/Territory: </w:t>
      </w:r>
    </w:p>
    <w:p w:rsidR="0062028A" w:rsidRPr="00F219CA" w:rsidRDefault="0062028A" w:rsidP="0062028A">
      <w:pPr>
        <w:pStyle w:val="12"/>
      </w:pPr>
      <w:r w:rsidRPr="00F219CA">
        <w:t xml:space="preserve">Language: </w:t>
      </w:r>
    </w:p>
    <w:p w:rsidR="0062028A" w:rsidRPr="00F219CA" w:rsidRDefault="0062028A" w:rsidP="0062028A">
      <w:pPr>
        <w:pStyle w:val="12"/>
      </w:pPr>
      <w:r w:rsidRPr="00F219CA">
        <w:t xml:space="preserve">Publisher: </w:t>
      </w:r>
    </w:p>
    <w:p w:rsidR="0062028A" w:rsidRPr="00F219CA" w:rsidRDefault="0062028A" w:rsidP="0062028A">
      <w:pPr>
        <w:pStyle w:val="12"/>
      </w:pPr>
      <w:r w:rsidRPr="00F219CA">
        <w:t xml:space="preserve">Publisher Address: </w:t>
      </w:r>
    </w:p>
    <w:p w:rsidR="0062028A" w:rsidRPr="00F219CA" w:rsidRDefault="0062028A" w:rsidP="0062028A">
      <w:pPr>
        <w:pStyle w:val="12"/>
      </w:pPr>
      <w:r w:rsidRPr="00F219CA">
        <w:t xml:space="preserve">Subject Categories: </w:t>
      </w:r>
    </w:p>
    <w:p w:rsidR="0062028A" w:rsidRPr="00F219CA" w:rsidRDefault="0062028A" w:rsidP="0062028A">
      <w:pPr>
        <w:pStyle w:val="12"/>
      </w:pPr>
      <w:r w:rsidRPr="00F219CA">
        <w:t xml:space="preserve">: Impact Factor </w:t>
      </w:r>
    </w:p>
    <w:p w:rsidR="0062028A" w:rsidRDefault="0062028A" w:rsidP="0062028A">
      <w:pPr>
        <w:pStyle w:val="a3"/>
        <w:rPr>
          <w:kern w:val="0"/>
        </w:rPr>
      </w:pPr>
      <w:r>
        <w:rPr>
          <w:rFonts w:hint="eastAsia"/>
          <w:kern w:val="0"/>
        </w:rPr>
        <w:t xml:space="preserve">? </w:t>
      </w:r>
      <w:r>
        <w:rPr>
          <w:kern w:val="0"/>
        </w:rPr>
        <w:t>Simons, F.E.R., Lieberman, P.L., Read, E.J.</w:t>
      </w:r>
      <w:r w:rsidR="005853A9">
        <w:rPr>
          <w:kern w:val="0"/>
        </w:rPr>
        <w:t xml:space="preserve"> and </w:t>
      </w:r>
      <w:r>
        <w:rPr>
          <w:kern w:val="0"/>
        </w:rPr>
        <w:t>Edwards, E.S. (2009), Hazards</w:t>
      </w:r>
      <w:r w:rsidR="00427468">
        <w:rPr>
          <w:kern w:val="0"/>
        </w:rPr>
        <w:t xml:space="preserve"> of </w:t>
      </w:r>
      <w:r>
        <w:rPr>
          <w:kern w:val="0"/>
        </w:rPr>
        <w:t>unintentional injection</w:t>
      </w:r>
      <w:r w:rsidR="00427468">
        <w:rPr>
          <w:kern w:val="0"/>
        </w:rPr>
        <w:t xml:space="preserve"> of </w:t>
      </w:r>
      <w:r>
        <w:rPr>
          <w:kern w:val="0"/>
        </w:rPr>
        <w:t xml:space="preserve">epinephrine from autoinjectors: A systematic review. </w:t>
      </w:r>
      <w:r w:rsidRPr="000C49FB">
        <w:rPr>
          <w:i/>
          <w:iCs/>
          <w:kern w:val="0"/>
        </w:rPr>
        <w:t>Annals</w:t>
      </w:r>
      <w:r w:rsidR="00427468">
        <w:rPr>
          <w:i/>
          <w:iCs/>
          <w:kern w:val="0"/>
        </w:rPr>
        <w:t xml:space="preserve"> of </w:t>
      </w:r>
      <w:r w:rsidRPr="000C49FB">
        <w:rPr>
          <w:i/>
          <w:iCs/>
          <w:kern w:val="0"/>
        </w:rPr>
        <w:t>Allergy Asthma &amp; Immunology</w:t>
      </w:r>
      <w:r>
        <w:rPr>
          <w:kern w:val="0"/>
        </w:rPr>
        <w:t xml:space="preserve">, </w:t>
      </w:r>
      <w:r>
        <w:rPr>
          <w:b/>
          <w:bCs/>
          <w:kern w:val="0"/>
        </w:rPr>
        <w:t>102</w:t>
      </w:r>
      <w:r>
        <w:rPr>
          <w:kern w:val="0"/>
        </w:rPr>
        <w:t xml:space="preserve"> (4), 282-287.</w:t>
      </w:r>
    </w:p>
    <w:p w:rsidR="001A6521" w:rsidRDefault="001A6521" w:rsidP="001A6521">
      <w:pPr>
        <w:pStyle w:val="a3"/>
        <w:rPr>
          <w:kern w:val="0"/>
          <w:szCs w:val="24"/>
        </w:rPr>
      </w:pPr>
      <w:r>
        <w:rPr>
          <w:rFonts w:hint="eastAsia"/>
          <w:kern w:val="0"/>
          <w:szCs w:val="24"/>
        </w:rPr>
        <w:t xml:space="preserve">Full Text: </w:t>
      </w:r>
      <w:hyperlink r:id="rId819" w:history="1">
        <w:r w:rsidRPr="007B27B2">
          <w:rPr>
            <w:rStyle w:val="a5"/>
            <w:kern w:val="0"/>
            <w:szCs w:val="24"/>
          </w:rPr>
          <w:t>2009\Ann All Ast Imm102, 282.pdf</w:t>
        </w:r>
      </w:hyperlink>
    </w:p>
    <w:p w:rsidR="0062028A" w:rsidRDefault="0062028A" w:rsidP="0062028A">
      <w:pPr>
        <w:pStyle w:val="a3"/>
        <w:rPr>
          <w:kern w:val="0"/>
        </w:rPr>
      </w:pPr>
      <w:r>
        <w:rPr>
          <w:kern w:val="0"/>
        </w:rPr>
        <w:t>Abstract: Objectives: To ascertain</w:t>
      </w:r>
      <w:r w:rsidR="003A1917">
        <w:rPr>
          <w:kern w:val="0"/>
        </w:rPr>
        <w:t xml:space="preserve"> the </w:t>
      </w:r>
      <w:r>
        <w:rPr>
          <w:kern w:val="0"/>
        </w:rPr>
        <w:t>rate</w:t>
      </w:r>
      <w:r w:rsidR="00427468">
        <w:rPr>
          <w:kern w:val="0"/>
        </w:rPr>
        <w:t xml:space="preserve"> of </w:t>
      </w:r>
      <w:r>
        <w:rPr>
          <w:kern w:val="0"/>
        </w:rPr>
        <w:t>occurrence</w:t>
      </w:r>
      <w:r w:rsidR="00427468">
        <w:rPr>
          <w:kern w:val="0"/>
        </w:rPr>
        <w:t xml:space="preserve"> of </w:t>
      </w:r>
      <w:r>
        <w:rPr>
          <w:kern w:val="0"/>
        </w:rPr>
        <w:t>unintentional injections from epinephrine autoinjectors used in</w:t>
      </w:r>
      <w:r w:rsidR="003A1917">
        <w:rPr>
          <w:kern w:val="0"/>
        </w:rPr>
        <w:t xml:space="preserve"> the </w:t>
      </w:r>
      <w:r>
        <w:rPr>
          <w:kern w:val="0"/>
        </w:rPr>
        <w:t>first aid treatment</w:t>
      </w:r>
      <w:r w:rsidR="00427468">
        <w:rPr>
          <w:kern w:val="0"/>
        </w:rPr>
        <w:t xml:space="preserve"> of </w:t>
      </w:r>
      <w:r>
        <w:rPr>
          <w:kern w:val="0"/>
        </w:rPr>
        <w:t>anaphylaxis</w:t>
      </w:r>
      <w:r w:rsidR="005853A9">
        <w:rPr>
          <w:kern w:val="0"/>
        </w:rPr>
        <w:t xml:space="preserve"> and </w:t>
      </w:r>
      <w:r>
        <w:rPr>
          <w:kern w:val="0"/>
        </w:rPr>
        <w:t>to provide information about</w:t>
      </w:r>
      <w:r w:rsidR="003A1917">
        <w:rPr>
          <w:kern w:val="0"/>
        </w:rPr>
        <w:t xml:space="preserve"> the </w:t>
      </w:r>
      <w:r>
        <w:rPr>
          <w:kern w:val="0"/>
        </w:rPr>
        <w:t>resulting needle stick injuries. Data Sources: A systematic review was performed</w:t>
      </w:r>
      <w:r w:rsidR="00A37C1D">
        <w:rPr>
          <w:kern w:val="0"/>
        </w:rPr>
        <w:t>. The</w:t>
      </w:r>
      <w:r w:rsidR="003A1917">
        <w:rPr>
          <w:kern w:val="0"/>
        </w:rPr>
        <w:t xml:space="preserve"> </w:t>
      </w:r>
      <w:r w:rsidR="00D5664A">
        <w:rPr>
          <w:kern w:val="0"/>
        </w:rPr>
        <w:t>MEDLINE</w:t>
      </w:r>
      <w:r>
        <w:rPr>
          <w:kern w:val="0"/>
        </w:rPr>
        <w:t xml:space="preserve">, Scirus, CINAHL,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Google Scholar databases were searched by title</w:t>
      </w:r>
      <w:r w:rsidR="005853A9">
        <w:rPr>
          <w:kern w:val="0"/>
        </w:rPr>
        <w:t xml:space="preserve"> and </w:t>
      </w:r>
      <w:r>
        <w:rPr>
          <w:kern w:val="0"/>
        </w:rPr>
        <w:t>abstract to identify reports</w:t>
      </w:r>
      <w:r w:rsidR="00427468">
        <w:rPr>
          <w:kern w:val="0"/>
        </w:rPr>
        <w:t xml:space="preserve"> of </w:t>
      </w:r>
      <w:r>
        <w:rPr>
          <w:kern w:val="0"/>
        </w:rPr>
        <w:t>unintentional injections from epinephrine autoinjectors published in peer-reviewed journals. Study Selection: Publications were selected for inclusion based on predefined strict criteria. Results: In 26 reports published during</w:t>
      </w:r>
      <w:r w:rsidR="003A1917">
        <w:rPr>
          <w:kern w:val="0"/>
        </w:rPr>
        <w:t xml:space="preserve"> the </w:t>
      </w:r>
      <w:r>
        <w:rPr>
          <w:kern w:val="0"/>
        </w:rPr>
        <w:t>past 20 years, we identified 69 people with an unintentional injection</w:t>
      </w:r>
      <w:r w:rsidR="00427468">
        <w:rPr>
          <w:kern w:val="0"/>
        </w:rPr>
        <w:t xml:space="preserve"> of </w:t>
      </w:r>
      <w:r>
        <w:rPr>
          <w:kern w:val="0"/>
        </w:rPr>
        <w:t>epinephrine from an autoinjector. More than 68%</w:t>
      </w:r>
      <w:r w:rsidR="00427468">
        <w:rPr>
          <w:kern w:val="0"/>
        </w:rPr>
        <w:t xml:space="preserve"> of </w:t>
      </w:r>
      <w:r>
        <w:rPr>
          <w:kern w:val="0"/>
        </w:rPr>
        <w:t>them were reported in</w:t>
      </w:r>
      <w:r w:rsidR="003A1917">
        <w:rPr>
          <w:kern w:val="0"/>
        </w:rPr>
        <w:t xml:space="preserve"> the </w:t>
      </w:r>
      <w:r>
        <w:rPr>
          <w:kern w:val="0"/>
        </w:rPr>
        <w:t>past 6.3 years, 58% were female, 42% were injured in</w:t>
      </w:r>
      <w:r w:rsidR="003A1917">
        <w:rPr>
          <w:kern w:val="0"/>
        </w:rPr>
        <w:t xml:space="preserve"> the </w:t>
      </w:r>
      <w:r>
        <w:rPr>
          <w:kern w:val="0"/>
        </w:rPr>
        <w:t>home,</w:t>
      </w:r>
      <w:r w:rsidR="005853A9">
        <w:rPr>
          <w:kern w:val="0"/>
        </w:rPr>
        <w:t xml:space="preserve"> and </w:t>
      </w:r>
      <w:r>
        <w:rPr>
          <w:kern w:val="0"/>
        </w:rPr>
        <w:t>91% sustained injury to a finger or thumb. More than 65%</w:t>
      </w:r>
      <w:r w:rsidR="00427468">
        <w:rPr>
          <w:kern w:val="0"/>
        </w:rPr>
        <w:t xml:space="preserve"> of </w:t>
      </w:r>
      <w:r w:rsidR="003A1917">
        <w:rPr>
          <w:kern w:val="0"/>
        </w:rPr>
        <w:t xml:space="preserve">the </w:t>
      </w:r>
      <w:r>
        <w:rPr>
          <w:kern w:val="0"/>
        </w:rPr>
        <w:t>69 individuals were evaluated in an emergency department; 13%</w:t>
      </w:r>
      <w:r w:rsidR="00427468">
        <w:rPr>
          <w:kern w:val="0"/>
        </w:rPr>
        <w:t xml:space="preserve"> of </w:t>
      </w:r>
      <w:r w:rsidR="003A1917">
        <w:rPr>
          <w:kern w:val="0"/>
        </w:rPr>
        <w:t xml:space="preserve">the </w:t>
      </w:r>
      <w:r>
        <w:rPr>
          <w:kern w:val="0"/>
        </w:rPr>
        <w:t>69 were not treated or were treated only with observation. Warming</w:t>
      </w:r>
      <w:r w:rsidR="00427468">
        <w:rPr>
          <w:kern w:val="0"/>
        </w:rPr>
        <w:t xml:space="preserve"> of </w:t>
      </w:r>
      <w:r w:rsidR="003A1917">
        <w:rPr>
          <w:kern w:val="0"/>
        </w:rPr>
        <w:t xml:space="preserve">the </w:t>
      </w:r>
      <w:r>
        <w:rPr>
          <w:kern w:val="0"/>
        </w:rPr>
        <w:t>injured part was used in 25%, nitroglycerin paste application in 9%, local injections</w:t>
      </w:r>
      <w:r w:rsidR="00427468">
        <w:rPr>
          <w:kern w:val="0"/>
        </w:rPr>
        <w:t xml:space="preserve"> of </w:t>
      </w:r>
      <w:r>
        <w:rPr>
          <w:kern w:val="0"/>
        </w:rPr>
        <w:t>phentolamine and/or lidocaine in 22%,</w:t>
      </w:r>
      <w:r w:rsidR="005853A9">
        <w:rPr>
          <w:kern w:val="0"/>
        </w:rPr>
        <w:t xml:space="preserve"> and </w:t>
      </w:r>
      <w:r>
        <w:rPr>
          <w:kern w:val="0"/>
        </w:rPr>
        <w:t>other treatments in 20%; treatment, or lack thereof, was not described in 12%. No permanent sequelae were reported. Conclusions:</w:t>
      </w:r>
      <w:r w:rsidR="003A1917">
        <w:rPr>
          <w:kern w:val="0"/>
        </w:rPr>
        <w:t xml:space="preserve"> the </w:t>
      </w:r>
      <w:r>
        <w:rPr>
          <w:kern w:val="0"/>
        </w:rPr>
        <w:t>true rate</w:t>
      </w:r>
      <w:r w:rsidR="00427468">
        <w:rPr>
          <w:kern w:val="0"/>
        </w:rPr>
        <w:t xml:space="preserve"> of </w:t>
      </w:r>
      <w:r>
        <w:rPr>
          <w:kern w:val="0"/>
        </w:rPr>
        <w:t>occurrence</w:t>
      </w:r>
      <w:r w:rsidR="00427468">
        <w:rPr>
          <w:kern w:val="0"/>
        </w:rPr>
        <w:t xml:space="preserve"> of </w:t>
      </w:r>
      <w:r>
        <w:rPr>
          <w:kern w:val="0"/>
        </w:rPr>
        <w:t>unintentional injection</w:t>
      </w:r>
      <w:r w:rsidR="00427468">
        <w:rPr>
          <w:kern w:val="0"/>
        </w:rPr>
        <w:t xml:space="preserve"> of </w:t>
      </w:r>
      <w:r>
        <w:rPr>
          <w:kern w:val="0"/>
        </w:rPr>
        <w:t>epinephrine from autoinjectors is unknown but is increasing. People at risk for anaphylaxis need regular coaching in how to use epinephrine autoinjectors correctly</w:t>
      </w:r>
      <w:r w:rsidR="005853A9">
        <w:rPr>
          <w:kern w:val="0"/>
        </w:rPr>
        <w:t xml:space="preserve"> and </w:t>
      </w:r>
      <w:r>
        <w:rPr>
          <w:kern w:val="0"/>
        </w:rPr>
        <w:t>safely. Improved autoinjector design will address</w:t>
      </w:r>
      <w:r w:rsidR="003A1917">
        <w:rPr>
          <w:kern w:val="0"/>
        </w:rPr>
        <w:t xml:space="preserve"> the </w:t>
      </w:r>
      <w:r>
        <w:rPr>
          <w:kern w:val="0"/>
        </w:rPr>
        <w:t>safety concerns identified in this review.</w:t>
      </w:r>
    </w:p>
    <w:p w:rsidR="0062028A" w:rsidRDefault="0062028A" w:rsidP="0062028A">
      <w:pPr>
        <w:pStyle w:val="a3"/>
        <w:rPr>
          <w:kern w:val="0"/>
        </w:rPr>
      </w:pPr>
      <w:r>
        <w:rPr>
          <w:kern w:val="0"/>
        </w:rPr>
        <w:lastRenderedPageBreak/>
        <w:t>Keywords: Accidental Digital Injection, Adrenaline, Allergy, Anaphylaxis, Databases, Device, Emergency Department, Epipen, Finger, Google Scholar, Information, Injury, Ischemia</w:t>
      </w:r>
      <w:r w:rsidR="00D5664A">
        <w:rPr>
          <w:kern w:val="0"/>
        </w:rPr>
        <w:t>, ISI,</w:t>
      </w:r>
      <w:r>
        <w:rPr>
          <w:kern w:val="0"/>
        </w:rPr>
        <w:t xml:space="preserve"> Journals, Management, </w:t>
      </w:r>
      <w:r w:rsidR="00D5664A">
        <w:rPr>
          <w:kern w:val="0"/>
        </w:rPr>
        <w:t>MEDLINE</w:t>
      </w:r>
      <w:r>
        <w:rPr>
          <w:kern w:val="0"/>
        </w:rPr>
        <w:t xml:space="preserve">, Observation, Phentolamine, Publications, Review, Risk, Safety, Science, Sources, Systematic, Systematic Review, Treatment, </w:t>
      </w:r>
      <w:r w:rsidR="00D5664A">
        <w:rPr>
          <w:kern w:val="0"/>
        </w:rPr>
        <w:t>Web</w:t>
      </w:r>
      <w:r w:rsidR="00427468">
        <w:rPr>
          <w:kern w:val="0"/>
        </w:rPr>
        <w:t xml:space="preserve"> of </w:t>
      </w:r>
      <w:r w:rsidR="00D5664A">
        <w:rPr>
          <w:kern w:val="0"/>
        </w:rPr>
        <w:t>Science</w:t>
      </w:r>
    </w:p>
    <w:p w:rsidR="00C32E49" w:rsidRDefault="00C32E49" w:rsidP="00C32E49">
      <w:pPr>
        <w:pStyle w:val="a3"/>
        <w:rPr>
          <w:kern w:val="0"/>
          <w:szCs w:val="24"/>
        </w:rPr>
      </w:pPr>
      <w:r>
        <w:rPr>
          <w:rFonts w:hint="eastAsia"/>
          <w:kern w:val="0"/>
          <w:szCs w:val="24"/>
        </w:rPr>
        <w:t xml:space="preserve">? </w:t>
      </w:r>
      <w:r>
        <w:rPr>
          <w:kern w:val="0"/>
          <w:szCs w:val="24"/>
        </w:rPr>
        <w:t>Arroyave, W.D., Rabito, F.A., Carlson, J.C., Friedman, E.E. and Stinebaugh, S.J. (2014), Impermeable dust mite covers in the primary and tertiary prevention</w:t>
      </w:r>
      <w:r w:rsidR="00427468">
        <w:rPr>
          <w:kern w:val="0"/>
          <w:szCs w:val="24"/>
        </w:rPr>
        <w:t xml:space="preserve"> of </w:t>
      </w:r>
      <w:r>
        <w:rPr>
          <w:kern w:val="0"/>
          <w:szCs w:val="24"/>
        </w:rPr>
        <w:t xml:space="preserve">allergic disease: A meta-analysis. </w:t>
      </w:r>
      <w:r>
        <w:rPr>
          <w:i/>
          <w:iCs/>
          <w:kern w:val="0"/>
          <w:szCs w:val="24"/>
        </w:rPr>
        <w:t>Annals</w:t>
      </w:r>
      <w:r w:rsidR="00427468">
        <w:rPr>
          <w:i/>
          <w:iCs/>
          <w:kern w:val="0"/>
          <w:szCs w:val="24"/>
        </w:rPr>
        <w:t xml:space="preserve"> of </w:t>
      </w:r>
      <w:r>
        <w:rPr>
          <w:i/>
          <w:iCs/>
          <w:kern w:val="0"/>
          <w:szCs w:val="24"/>
        </w:rPr>
        <w:t>Allergy Asthma &amp; Immunology</w:t>
      </w:r>
      <w:r>
        <w:rPr>
          <w:kern w:val="0"/>
          <w:szCs w:val="24"/>
        </w:rPr>
        <w:t xml:space="preserve">, </w:t>
      </w:r>
      <w:r>
        <w:rPr>
          <w:b/>
          <w:bCs/>
          <w:kern w:val="0"/>
          <w:szCs w:val="24"/>
        </w:rPr>
        <w:t>112</w:t>
      </w:r>
      <w:r>
        <w:rPr>
          <w:kern w:val="0"/>
          <w:szCs w:val="24"/>
        </w:rPr>
        <w:t xml:space="preserve"> (3), 237-248.</w:t>
      </w:r>
    </w:p>
    <w:p w:rsidR="001A6521" w:rsidRDefault="001A6521" w:rsidP="001A6521">
      <w:pPr>
        <w:pStyle w:val="a3"/>
        <w:rPr>
          <w:kern w:val="0"/>
          <w:szCs w:val="24"/>
        </w:rPr>
      </w:pPr>
      <w:r>
        <w:rPr>
          <w:rFonts w:hint="eastAsia"/>
          <w:kern w:val="0"/>
          <w:szCs w:val="24"/>
        </w:rPr>
        <w:t xml:space="preserve">Full Text: </w:t>
      </w:r>
      <w:hyperlink r:id="rId820" w:history="1">
        <w:r w:rsidRPr="007B27B2">
          <w:rPr>
            <w:rStyle w:val="a5"/>
            <w:kern w:val="0"/>
            <w:szCs w:val="24"/>
          </w:rPr>
          <w:t>2014\Ann All Ast Imm112, 237.pdf</w:t>
        </w:r>
      </w:hyperlink>
    </w:p>
    <w:p w:rsidR="00C32E49" w:rsidRDefault="00C32E49" w:rsidP="00C32E49">
      <w:pPr>
        <w:pStyle w:val="a3"/>
        <w:rPr>
          <w:kern w:val="0"/>
          <w:szCs w:val="24"/>
        </w:rPr>
      </w:pPr>
      <w:r>
        <w:rPr>
          <w:kern w:val="0"/>
          <w:szCs w:val="24"/>
        </w:rPr>
        <w:t>Abstract: Background: Up to 40%</w:t>
      </w:r>
      <w:r w:rsidR="00427468">
        <w:rPr>
          <w:kern w:val="0"/>
          <w:szCs w:val="24"/>
        </w:rPr>
        <w:t xml:space="preserve"> of </w:t>
      </w:r>
      <w:r>
        <w:rPr>
          <w:kern w:val="0"/>
          <w:szCs w:val="24"/>
        </w:rPr>
        <w:t>the world</w:t>
      </w:r>
      <w:r w:rsidR="00700038">
        <w:rPr>
          <w:kern w:val="0"/>
          <w:szCs w:val="24"/>
        </w:rPr>
        <w:t>’</w:t>
      </w:r>
      <w:r>
        <w:rPr>
          <w:kern w:val="0"/>
          <w:szCs w:val="24"/>
        </w:rPr>
        <w:t>s population has been diagnosed with an allergic disease</w:t>
      </w:r>
      <w:r w:rsidR="00A37C1D">
        <w:rPr>
          <w:kern w:val="0"/>
          <w:szCs w:val="24"/>
        </w:rPr>
        <w:t>. The</w:t>
      </w:r>
      <w:r>
        <w:rPr>
          <w:kern w:val="0"/>
          <w:szCs w:val="24"/>
        </w:rPr>
        <w:t xml:space="preserve"> most prevalent allergy is to house dust mites. Impermeable mattress covers are often the first treatment in the prevention and decrease</w:t>
      </w:r>
      <w:r w:rsidR="00427468">
        <w:rPr>
          <w:kern w:val="0"/>
          <w:szCs w:val="24"/>
        </w:rPr>
        <w:t xml:space="preserve"> of </w:t>
      </w:r>
      <w:r>
        <w:rPr>
          <w:kern w:val="0"/>
          <w:szCs w:val="24"/>
        </w:rPr>
        <w:t>symptoms</w:t>
      </w:r>
      <w:r w:rsidR="00427468">
        <w:rPr>
          <w:kern w:val="0"/>
          <w:szCs w:val="24"/>
        </w:rPr>
        <w:t xml:space="preserve"> of </w:t>
      </w:r>
      <w:r>
        <w:rPr>
          <w:kern w:val="0"/>
          <w:szCs w:val="24"/>
        </w:rPr>
        <w:t>allergic disease. Objective: To perform a meta-analysis evaluating the effectiveness</w:t>
      </w:r>
      <w:r w:rsidR="00427468">
        <w:rPr>
          <w:kern w:val="0"/>
          <w:szCs w:val="24"/>
        </w:rPr>
        <w:t xml:space="preserve"> of </w:t>
      </w:r>
      <w:r>
        <w:rPr>
          <w:kern w:val="0"/>
          <w:szCs w:val="24"/>
        </w:rPr>
        <w:t>impermeable mattress covers in the primary prevention</w:t>
      </w:r>
      <w:r w:rsidR="00427468">
        <w:rPr>
          <w:kern w:val="0"/>
          <w:szCs w:val="24"/>
        </w:rPr>
        <w:t xml:space="preserve"> of </w:t>
      </w:r>
      <w:r>
        <w:rPr>
          <w:kern w:val="0"/>
          <w:szCs w:val="24"/>
        </w:rPr>
        <w:t>allergic disease and as a single intervention in the tertiary prevention</w:t>
      </w:r>
      <w:r w:rsidR="00427468">
        <w:rPr>
          <w:kern w:val="0"/>
          <w:szCs w:val="24"/>
        </w:rPr>
        <w:t xml:space="preserve"> of </w:t>
      </w:r>
      <w:r>
        <w:rPr>
          <w:kern w:val="0"/>
          <w:szCs w:val="24"/>
        </w:rPr>
        <w:t>allergic disease symptoms. Methods: MEDLINE, Embase, Web</w:t>
      </w:r>
      <w:r w:rsidR="00427468">
        <w:rPr>
          <w:kern w:val="0"/>
          <w:szCs w:val="24"/>
        </w:rPr>
        <w:t xml:space="preserve"> of </w:t>
      </w:r>
      <w:r>
        <w:rPr>
          <w:kern w:val="0"/>
          <w:szCs w:val="24"/>
        </w:rPr>
        <w:t>Science, and CINAHL were systematically searched for relevant publications. Seven primary prevention trials (n = 3,461) and 17 tertiary prevention trials (n 1,671) met the inclusion criteria and were included in the review. All article reviews and abstractions were performed in duplicate. Results: No significant pooled relative risks were found for the prevention</w:t>
      </w:r>
      <w:r w:rsidR="00427468">
        <w:rPr>
          <w:kern w:val="0"/>
          <w:szCs w:val="24"/>
        </w:rPr>
        <w:t xml:space="preserve"> of </w:t>
      </w:r>
      <w:r>
        <w:rPr>
          <w:kern w:val="0"/>
          <w:szCs w:val="24"/>
        </w:rPr>
        <w:t>allergic disease</w:t>
      </w:r>
      <w:r w:rsidR="00A37C1D">
        <w:rPr>
          <w:kern w:val="0"/>
          <w:szCs w:val="24"/>
        </w:rPr>
        <w:t>. The</w:t>
      </w:r>
      <w:r>
        <w:rPr>
          <w:kern w:val="0"/>
          <w:szCs w:val="24"/>
        </w:rPr>
        <w:t xml:space="preserve"> pooled relative risks were 0.97 (95% confidence interval [CI] 0.62-1.51) for house dust mite sensitization, 0.92 (95% CI 0.81-1.05) for wheeze, 0.85 (95% CI 0.70-1.02) for asthma, 1.03 (95% CI 0.90-1.19) for allergic rhinitis, and 1.05 (95% CI 0.84-1.32) for allergic dermatitis. Likewise, no significant pooled standardized mean differences were found in the tertiary prevention</w:t>
      </w:r>
      <w:r w:rsidR="00427468">
        <w:rPr>
          <w:kern w:val="0"/>
          <w:szCs w:val="24"/>
        </w:rPr>
        <w:t xml:space="preserve"> of </w:t>
      </w:r>
      <w:r>
        <w:rPr>
          <w:kern w:val="0"/>
          <w:szCs w:val="24"/>
        </w:rPr>
        <w:t>symptoms</w:t>
      </w:r>
      <w:r w:rsidR="00A37C1D">
        <w:rPr>
          <w:kern w:val="0"/>
          <w:szCs w:val="24"/>
        </w:rPr>
        <w:t>. The</w:t>
      </w:r>
      <w:r>
        <w:rPr>
          <w:kern w:val="0"/>
          <w:szCs w:val="24"/>
        </w:rPr>
        <w:t xml:space="preserve"> pooled standardized mean differences were -0.03 (95% CI -0.15 to 0.09) for peak flow, -0.06 (95% CI -0.32 to 0.20) for asthma symptom score, and -0.39 (95% CI -0.88 to 0.11) for nasal symptom score. A significant effect was seen in the decrease</w:t>
      </w:r>
      <w:r w:rsidR="00427468">
        <w:rPr>
          <w:kern w:val="0"/>
          <w:szCs w:val="24"/>
        </w:rPr>
        <w:t xml:space="preserve"> of </w:t>
      </w:r>
      <w:r>
        <w:rPr>
          <w:kern w:val="0"/>
          <w:szCs w:val="24"/>
        </w:rPr>
        <w:t>house mite dust level in the mattress (-0.79, 95% CI -0.98 to -0.60). Conclusion: No evidence was found to support the use</w:t>
      </w:r>
      <w:r w:rsidR="00427468">
        <w:rPr>
          <w:kern w:val="0"/>
          <w:szCs w:val="24"/>
        </w:rPr>
        <w:t xml:space="preserve"> of </w:t>
      </w:r>
      <w:r>
        <w:rPr>
          <w:kern w:val="0"/>
          <w:szCs w:val="24"/>
        </w:rPr>
        <w:t>impermeable mattress covers in the primary prevention</w:t>
      </w:r>
      <w:r w:rsidR="00427468">
        <w:rPr>
          <w:kern w:val="0"/>
          <w:szCs w:val="24"/>
        </w:rPr>
        <w:t xml:space="preserve"> of </w:t>
      </w:r>
      <w:r>
        <w:rPr>
          <w:kern w:val="0"/>
          <w:szCs w:val="24"/>
        </w:rPr>
        <w:t>allergic disease or in the tertiary prevention</w:t>
      </w:r>
      <w:r w:rsidR="00427468">
        <w:rPr>
          <w:kern w:val="0"/>
          <w:szCs w:val="24"/>
        </w:rPr>
        <w:t xml:space="preserve"> of </w:t>
      </w:r>
      <w:r>
        <w:rPr>
          <w:kern w:val="0"/>
          <w:szCs w:val="24"/>
        </w:rPr>
        <w:t>allergic disease symptoms. (C) 2014 American College</w:t>
      </w:r>
      <w:r w:rsidR="00427468">
        <w:rPr>
          <w:kern w:val="0"/>
          <w:szCs w:val="24"/>
        </w:rPr>
        <w:t xml:space="preserve"> of </w:t>
      </w:r>
      <w:r>
        <w:rPr>
          <w:kern w:val="0"/>
          <w:szCs w:val="24"/>
        </w:rPr>
        <w:t>Allergy, Asthma &amp; Immunology. Published by Elsevier Inc. All rights reserved.</w:t>
      </w:r>
    </w:p>
    <w:p w:rsidR="00C32E49" w:rsidRDefault="00C32E49" w:rsidP="00C32E49">
      <w:pPr>
        <w:pStyle w:val="a3"/>
        <w:rPr>
          <w:kern w:val="0"/>
          <w:szCs w:val="24"/>
        </w:rPr>
      </w:pPr>
      <w:r>
        <w:rPr>
          <w:kern w:val="0"/>
          <w:szCs w:val="24"/>
        </w:rPr>
        <w:t xml:space="preserve">Keywords: Allergic Rhinitis, Allergy, Asthma, Childhood Asthma Prevention, Confidence, Criteria, Disease, Double-Blind, Dust, Early-Life, Effectiveness, Environmental-Control, Evidence, Fatty-Acid Modification, First, Flow, Interval, Intervention, Mar, Mattress Encasings, Medline, Meta Analysis, Meta-Analysis, Metaanalysis, Methods, Peak Flow, Piama Intervention, Population, Prevention, </w:t>
      </w:r>
      <w:r>
        <w:rPr>
          <w:kern w:val="0"/>
          <w:szCs w:val="24"/>
        </w:rPr>
        <w:lastRenderedPageBreak/>
        <w:t>Primary, Primary Prevention, Publications, Randomized Controlled-Trial, Reducing House-Dust, Respiratory Symptoms, Results, Review, Reviews, Rhinitis, Rights, Risks, Science, Sensitization, Support, Symptoms, Treatment, Web</w:t>
      </w:r>
      <w:r w:rsidR="00427468">
        <w:rPr>
          <w:kern w:val="0"/>
          <w:szCs w:val="24"/>
        </w:rPr>
        <w:t xml:space="preserve"> of </w:t>
      </w:r>
      <w:r>
        <w:rPr>
          <w:kern w:val="0"/>
          <w:szCs w:val="24"/>
        </w:rPr>
        <w:t>Science</w:t>
      </w:r>
    </w:p>
    <w:p w:rsidR="001E1D98" w:rsidRDefault="001E1D98" w:rsidP="001E1D98">
      <w:pPr>
        <w:pStyle w:val="a3"/>
        <w:rPr>
          <w:kern w:val="0"/>
        </w:rPr>
      </w:pPr>
      <w:r>
        <w:rPr>
          <w:rFonts w:hint="eastAsia"/>
          <w:kern w:val="0"/>
        </w:rPr>
        <w:t xml:space="preserve">? </w:t>
      </w:r>
      <w:r>
        <w:rPr>
          <w:kern w:val="0"/>
        </w:rPr>
        <w:t xml:space="preserve">North, M.L., Takaro, T.K., Diamond, M.L. and Ellis, A.K. (2014), Effects of phthalates on the development and expression of allergic disease and asthma. </w:t>
      </w:r>
      <w:r>
        <w:rPr>
          <w:i/>
          <w:iCs/>
          <w:kern w:val="0"/>
        </w:rPr>
        <w:t>Annals of Allergy Asthma &amp; Immunology</w:t>
      </w:r>
      <w:r>
        <w:rPr>
          <w:kern w:val="0"/>
        </w:rPr>
        <w:t xml:space="preserve">, </w:t>
      </w:r>
      <w:r>
        <w:rPr>
          <w:b/>
          <w:bCs/>
          <w:kern w:val="0"/>
        </w:rPr>
        <w:t>112</w:t>
      </w:r>
      <w:r>
        <w:rPr>
          <w:kern w:val="0"/>
        </w:rPr>
        <w:t xml:space="preserve"> (6), 496-502.</w:t>
      </w:r>
    </w:p>
    <w:p w:rsidR="001A6521" w:rsidRDefault="001A6521" w:rsidP="001A6521">
      <w:pPr>
        <w:pStyle w:val="a3"/>
        <w:rPr>
          <w:kern w:val="0"/>
          <w:szCs w:val="24"/>
        </w:rPr>
      </w:pPr>
      <w:r>
        <w:rPr>
          <w:rFonts w:hint="eastAsia"/>
          <w:kern w:val="0"/>
          <w:szCs w:val="24"/>
        </w:rPr>
        <w:t xml:space="preserve">Full Text: </w:t>
      </w:r>
      <w:hyperlink r:id="rId821" w:history="1">
        <w:r w:rsidRPr="007B27B2">
          <w:rPr>
            <w:rStyle w:val="a5"/>
            <w:kern w:val="0"/>
            <w:szCs w:val="24"/>
          </w:rPr>
          <w:t>2014\Ann All Ast Imm112, 496.pdf</w:t>
        </w:r>
      </w:hyperlink>
    </w:p>
    <w:p w:rsidR="001E1D98" w:rsidRDefault="001E1D98" w:rsidP="001E1D98">
      <w:pPr>
        <w:pStyle w:val="a3"/>
        <w:rPr>
          <w:kern w:val="0"/>
        </w:rPr>
      </w:pPr>
      <w:r>
        <w:rPr>
          <w:kern w:val="0"/>
        </w:rPr>
        <w:t>Abstract: Objective: To review recent evidence relating phthalate exposures to allergies and asthma and to provide an overview for clinicians interested in the relevance of environmental health research to allergy and who may encounter patients with concerns about phthalates from media reports. Data Sources: PubMed, TOXLINE, and Web of Science were searched using the term phthalate(s) combined with the keywords allergy, asthma, atopy, and inflammation. Study Selections: Articles were selected based on relevance to the goals of this review. Studies that involved humans were prioritized, including routes and levels of exposure, developmental and early-life exposures, immunotoxicity, and the development of allergic disease. Results: The general public and those with allergy are exposed to significant levels of phthalates via diet, pharmaceuticals, phthalate-containing products, and ambient indoor environment via air and dust. Intravenous exposures occur through medical equipment. Phthalates are metabolized and excreted quickly in the body with metabolites measured in urine. Phthalates, which are known endocrine disrupting compounds, have been associated with oxidative stress and alterations in cytokine expression. Metabolites in human urine, particularly of the higher-molecular-weight phthalates, have been associated with allergies and asthma in multiple studies. Conclusion: Despite mounting evidence implicating phthalates, causation of allergic disease by these compounds cannot currently be established. In utero and early-life exposures and possible transgenerational effects are not well understood. However, considering the current evidence, reducing exposures to phthalates by avoiding processed and foods packaged and stored in plastics, personal care products with phthalates, polyvinyl chloride materials indoors, and reducing home dust is advised. Further longitudinal, molecular, and intervention studies are needed to understand the association between phthalates and allergic disease. (C) 2014 American College of Allergy, Asthma &amp; Immunology. Published by Elsevier Inc. All rights reserved.</w:t>
      </w:r>
    </w:p>
    <w:p w:rsidR="001E1D98" w:rsidRDefault="001E1D98" w:rsidP="001E1D98">
      <w:pPr>
        <w:pStyle w:val="a3"/>
        <w:rPr>
          <w:kern w:val="0"/>
        </w:rPr>
      </w:pPr>
      <w:r>
        <w:rPr>
          <w:kern w:val="0"/>
        </w:rPr>
        <w:t xml:space="preserve">Keywords: Air, Allergies, Allergy, Articles, Association, Asthma, Atopy, Care, Chloride, Cytokine, Cytokine Expression, Data, Development, Di(2-Ethylhexyl) Phthalate, Di-(2-Ethylhexyl) Phthalate, Di-Isodecyl Phthalate, Diet, Disease, Dust, Effects, Environment, Environmental, Environmental Health, Environmental Health Research, Equipment, Evidence, Exposure, Exposures, Expression, General, Health, Health Research, Human, Humans, In-House Dust, Indoor Air, Inflammation, </w:t>
      </w:r>
      <w:r>
        <w:rPr>
          <w:kern w:val="0"/>
        </w:rPr>
        <w:lastRenderedPageBreak/>
        <w:t>Intensive-Care-Unit, Intervention, Intervention Studies, Longitudinal, Media, Medical, Medical Equipment, Metabolites, National-Health, Nutrition Examination Survey, Overview, Oxidative Stress, Patients, Personal Care Products, Pharmaceuticals, Phthalate, Public, Pubmed, Recent, Relevance, Research, Results, Review, Rights, Science, Stress, Term, Urban Cohort, Urinary Levels, Urine, Web Of Science</w:t>
      </w:r>
    </w:p>
    <w:p w:rsidR="001A6521" w:rsidRDefault="001A6521" w:rsidP="001A6521">
      <w:pPr>
        <w:pStyle w:val="a3"/>
        <w:rPr>
          <w:kern w:val="0"/>
        </w:rPr>
      </w:pPr>
      <w:r>
        <w:rPr>
          <w:rFonts w:hint="eastAsia"/>
          <w:kern w:val="0"/>
        </w:rPr>
        <w:t xml:space="preserve">? </w:t>
      </w:r>
      <w:r>
        <w:rPr>
          <w:kern w:val="0"/>
        </w:rPr>
        <w:t xml:space="preserve">Li, L., Gao, W., Yang, X., Wu, D.D., Bi, H., Zhang, S.N., Huang, M. and Yao, X. (2014), Asthma and toxocariasis. </w:t>
      </w:r>
      <w:r>
        <w:rPr>
          <w:i/>
          <w:iCs/>
          <w:kern w:val="0"/>
        </w:rPr>
        <w:t>Annals of Allergy Asthma &amp; Immunology</w:t>
      </w:r>
      <w:r>
        <w:rPr>
          <w:kern w:val="0"/>
        </w:rPr>
        <w:t xml:space="preserve">, </w:t>
      </w:r>
      <w:r>
        <w:rPr>
          <w:b/>
          <w:bCs/>
          <w:kern w:val="0"/>
        </w:rPr>
        <w:t>113</w:t>
      </w:r>
      <w:r>
        <w:rPr>
          <w:kern w:val="0"/>
        </w:rPr>
        <w:t xml:space="preserve"> (2), 187-192.</w:t>
      </w:r>
    </w:p>
    <w:p w:rsidR="001A6521" w:rsidRDefault="001A6521" w:rsidP="001A6521">
      <w:pPr>
        <w:pStyle w:val="a3"/>
        <w:rPr>
          <w:kern w:val="0"/>
          <w:szCs w:val="24"/>
        </w:rPr>
      </w:pPr>
      <w:r>
        <w:rPr>
          <w:rFonts w:hint="eastAsia"/>
          <w:kern w:val="0"/>
          <w:szCs w:val="24"/>
        </w:rPr>
        <w:t xml:space="preserve">Full Text: </w:t>
      </w:r>
      <w:hyperlink r:id="rId822" w:history="1">
        <w:r w:rsidRPr="007B27B2">
          <w:rPr>
            <w:rStyle w:val="a5"/>
            <w:kern w:val="0"/>
            <w:szCs w:val="24"/>
          </w:rPr>
          <w:t>2014\Ann All Ast Imm113, 187.pdf</w:t>
        </w:r>
      </w:hyperlink>
    </w:p>
    <w:p w:rsidR="001A6521" w:rsidRDefault="001A6521" w:rsidP="001A6521">
      <w:pPr>
        <w:pStyle w:val="a3"/>
        <w:rPr>
          <w:kern w:val="0"/>
        </w:rPr>
      </w:pPr>
      <w:r>
        <w:rPr>
          <w:kern w:val="0"/>
        </w:rPr>
        <w:t>Abstract: Background: Asthma is the most common chronic disease in children and a major public health problem in adults. A relation between asthma and toxocariasis has been hypothesized. Objective: To evaluate the strength of association between asthma and Toxocara species seropositivity by conducting a systematic review and a meta-analysis of available data. Methods: PubMed, EMBASE, Web of Science, and the reference lists of all relevant articles and books were screened until October 2013. Two authors independently assessed eligibility and study quality and extracted data. A common odds ratio was estimated using a random-effects meta-analysis model of aggregated published data. Results: Ten studies met the inclusion criteria, for a total of 1,530 participants (723 cases and 807 controls). This meta-analysis found a significantly higher prevalence of Toxocara canis infection in patients with asthma than in controls (odds ratio 3.36, 95% confidence interval 1.76-6.42, P &lt; .001). Similar results were found when meta-analysis was restricted to the studies considering only children or adults. Conclusion: The results support the existence of a positive association between asthma and Toxocara species seropositivity. (C) 2014 American College of Allergy, Asthma &amp; Immunology. Published by Elsevier Inc. All rights reserved.</w:t>
      </w:r>
    </w:p>
    <w:p w:rsidR="001A6521" w:rsidRDefault="001A6521" w:rsidP="001A6521">
      <w:pPr>
        <w:pStyle w:val="a3"/>
        <w:rPr>
          <w:kern w:val="0"/>
        </w:rPr>
      </w:pPr>
      <w:r>
        <w:rPr>
          <w:kern w:val="0"/>
        </w:rPr>
        <w:t>Keywords: Allergy, Articles, Association, Asthma, Authors, Bronchial-Asthma, Canis, Childhood, Children, Chronic, Chronic Disease, Clinical Expression, Confidence, Criteria, Data, Disease, Eggs, Embase, Health, Health Problem, Infection, Inflammation, Interval, Meta Analysis, Meta-Analysis, Metaanalysis, Methods, Model, Neglected Infection, Odds Ratio, P, Patients, Prevalence, Public, Public Health, Public Health Problem, Pubmed, Quality, Reference, Reference Lists, Results, Review, Rights, Science, Seroprevalence, Species, Strength, Support, Systematic, Systematic Review, Web Of Science</w:t>
      </w:r>
    </w:p>
    <w:p w:rsidR="00062B2E" w:rsidRDefault="00062B2E" w:rsidP="00062B2E">
      <w:pPr>
        <w:pStyle w:val="a3"/>
        <w:rPr>
          <w:kern w:val="0"/>
        </w:rPr>
      </w:pPr>
      <w:r>
        <w:rPr>
          <w:rFonts w:hint="eastAsia"/>
          <w:kern w:val="0"/>
        </w:rPr>
        <w:t xml:space="preserve">? </w:t>
      </w:r>
      <w:r>
        <w:rPr>
          <w:kern w:val="0"/>
        </w:rPr>
        <w:t xml:space="preserve">Brigham, E.P., Kolahdooz, F., Hansel, N., Breysse, P.N., Davis, M., Sharma, S., Matsui, E.C., Diette, G. and McCormack, M.C. (2015), Association between Western diet pattern and adult asthma: A focused review. </w:t>
      </w:r>
      <w:r>
        <w:rPr>
          <w:i/>
          <w:iCs/>
          <w:kern w:val="0"/>
        </w:rPr>
        <w:t>Annals of Allergy Asthma &amp; Immunology</w:t>
      </w:r>
      <w:r>
        <w:rPr>
          <w:kern w:val="0"/>
        </w:rPr>
        <w:t xml:space="preserve">, </w:t>
      </w:r>
      <w:r>
        <w:rPr>
          <w:b/>
          <w:bCs/>
          <w:kern w:val="0"/>
        </w:rPr>
        <w:t>114</w:t>
      </w:r>
      <w:r>
        <w:rPr>
          <w:kern w:val="0"/>
        </w:rPr>
        <w:t xml:space="preserve"> (4), 273-280.</w:t>
      </w:r>
    </w:p>
    <w:p w:rsidR="00062B2E" w:rsidRDefault="00062B2E" w:rsidP="00062B2E">
      <w:pPr>
        <w:pStyle w:val="a3"/>
        <w:rPr>
          <w:kern w:val="0"/>
          <w:szCs w:val="24"/>
        </w:rPr>
      </w:pPr>
      <w:r>
        <w:rPr>
          <w:rFonts w:hint="eastAsia"/>
          <w:kern w:val="0"/>
          <w:szCs w:val="24"/>
        </w:rPr>
        <w:lastRenderedPageBreak/>
        <w:t xml:space="preserve">Full Text: </w:t>
      </w:r>
      <w:hyperlink r:id="rId823" w:history="1">
        <w:r w:rsidRPr="006E197A">
          <w:rPr>
            <w:rStyle w:val="a5"/>
            <w:kern w:val="0"/>
            <w:szCs w:val="24"/>
          </w:rPr>
          <w:t>2015\Ann All Ast Imm114, 273.pdf</w:t>
        </w:r>
      </w:hyperlink>
    </w:p>
    <w:p w:rsidR="00062B2E" w:rsidRDefault="00062B2E" w:rsidP="00062B2E">
      <w:pPr>
        <w:pStyle w:val="a3"/>
        <w:rPr>
          <w:kern w:val="0"/>
        </w:rPr>
      </w:pPr>
      <w:r>
        <w:rPr>
          <w:kern w:val="0"/>
        </w:rPr>
        <w:t>Abstract: Objective: Radical changes in diet have paralleled the increase in asthma with shifts toward a “Western” diet pattern, characterized by the high intake of processed meats and refined grains, high-fat dairy products, and sugary desserts and drinks. Because diet represents a modifiable risk factor in numerous chronic diseases, the authors examined the association between consumption of a Western diet pattern and asthma incidence, prevalence, and morbidity in adults. Data Sources: PubMed, Cochrane, Web of Science, and Scopus were searched for peer-reviewed publications published from January 1980 to April 2014. Study Selection: Studies retrieved for inclusion assessed dietary patterns representative of a Western diet and asthma incidence, prevalence, respiratory symptoms, and lung function. Results: Ten observational studies conducted in North American, European, and Asian countries, ranging from 153 to more than 70,000 individuals, did not provide evidence to support an association between a Western dietary pattern and asthma incidence and prevalence. Five of these studies also investigated asthma morbidity, with variable findings. Conclusion: Current evidence does not support an association between a Western diet and incident or prevalent adult asthma but does suggest a possible link between a Western diet pattern and adult asthma morbidity. (C) 2015 American College of Allergy, Asthma &amp; Immunology. Published by Elsevier Inc. All rights reserved.</w:t>
      </w:r>
    </w:p>
    <w:p w:rsidR="00062B2E" w:rsidRDefault="00062B2E" w:rsidP="00062B2E">
      <w:pPr>
        <w:pStyle w:val="a3"/>
        <w:rPr>
          <w:kern w:val="0"/>
        </w:rPr>
      </w:pPr>
      <w:r>
        <w:rPr>
          <w:kern w:val="0"/>
        </w:rPr>
        <w:t>Keywords: Adult, Adults, Airway, Allergy, Asian, Association, Asthma, Authors, Changes, Chronic, Consumption, Coronary-Heart-Disease, Dairy, Data, Diet, Diseases, Evidence, Factor-Kappa-B, From, Function, Gut Microbiome, Incidence, Inflammation, Lung, Lung Function, Morbidity, North, Nutrition, Observational, Observational Studies, Obstructive Pulmonary-Disease, Pattern, Peer-Reviewed, Peer-Reviewed Publications, Preservatives, Prevalence, Publications, Pubmed, Randomized Controlled-Trial, Results, Review, Rights, Risk, Risk Factor, Science, Scopus, Support, Symptoms, Web, Web Of Science</w:t>
      </w:r>
    </w:p>
    <w:p w:rsidR="003474F2" w:rsidRPr="001A3D2B" w:rsidRDefault="003474F2" w:rsidP="003474F2">
      <w:pPr>
        <w:pStyle w:val="1"/>
      </w:pPr>
      <w:r w:rsidRPr="001A3D2B">
        <w:br w:type="page"/>
      </w:r>
      <w:bookmarkStart w:id="446" w:name="_Toc420814487"/>
      <w:r w:rsidRPr="001A3D2B">
        <w:lastRenderedPageBreak/>
        <w:t>Title:</w:t>
      </w:r>
      <w:r w:rsidR="003A1917">
        <w:t xml:space="preserve"> the </w:t>
      </w:r>
      <w:r w:rsidRPr="001A3D2B">
        <w:t>Annals</w:t>
      </w:r>
      <w:r w:rsidR="00427468">
        <w:t xml:space="preserve"> of </w:t>
      </w:r>
      <w:r w:rsidR="003A1917">
        <w:t xml:space="preserve">the </w:t>
      </w:r>
      <w:r w:rsidRPr="001A3D2B">
        <w:t>American Academy</w:t>
      </w:r>
      <w:r w:rsidR="00427468">
        <w:t xml:space="preserve"> of </w:t>
      </w:r>
      <w:r w:rsidRPr="001A3D2B">
        <w:t>Political</w:t>
      </w:r>
      <w:r w:rsidR="005853A9">
        <w:t xml:space="preserve"> and </w:t>
      </w:r>
      <w:r w:rsidRPr="001A3D2B">
        <w:t>Social Science</w:t>
      </w:r>
      <w:bookmarkEnd w:id="446"/>
    </w:p>
    <w:p w:rsidR="003474F2" w:rsidRPr="001A3D2B" w:rsidRDefault="003474F2" w:rsidP="003474F2">
      <w:pPr>
        <w:pStyle w:val="12"/>
      </w:pPr>
      <w:r w:rsidRPr="001A3D2B">
        <w:t xml:space="preserve">Full Journal Title: </w:t>
      </w:r>
      <w:hyperlink r:id="rId824" w:history="1">
        <w:r w:rsidRPr="001A3D2B">
          <w:rPr>
            <w:rStyle w:val="a5"/>
          </w:rPr>
          <w:t>The Annals</w:t>
        </w:r>
        <w:r w:rsidR="00427468">
          <w:rPr>
            <w:rStyle w:val="a5"/>
          </w:rPr>
          <w:t xml:space="preserve"> of </w:t>
        </w:r>
        <w:r w:rsidR="003A1917">
          <w:rPr>
            <w:rStyle w:val="a5"/>
          </w:rPr>
          <w:t xml:space="preserve">the </w:t>
        </w:r>
        <w:r w:rsidRPr="001A3D2B">
          <w:rPr>
            <w:rStyle w:val="a5"/>
          </w:rPr>
          <w:t>American Academy</w:t>
        </w:r>
        <w:r w:rsidR="00427468">
          <w:rPr>
            <w:rStyle w:val="a5"/>
          </w:rPr>
          <w:t xml:space="preserve"> of </w:t>
        </w:r>
        <w:r w:rsidRPr="001A3D2B">
          <w:rPr>
            <w:rStyle w:val="a5"/>
          </w:rPr>
          <w:t>Political</w:t>
        </w:r>
        <w:r w:rsidR="005853A9">
          <w:rPr>
            <w:rStyle w:val="a5"/>
          </w:rPr>
          <w:t xml:space="preserve"> and </w:t>
        </w:r>
        <w:r w:rsidRPr="001A3D2B">
          <w:rPr>
            <w:rStyle w:val="a5"/>
          </w:rPr>
          <w:t>Social Science</w:t>
        </w:r>
      </w:hyperlink>
      <w:r w:rsidRPr="001A3D2B">
        <w:t xml:space="preserve">; </w:t>
      </w:r>
      <w:hyperlink r:id="rId825" w:history="1">
        <w:r w:rsidRPr="001A3D2B">
          <w:rPr>
            <w:rStyle w:val="a5"/>
          </w:rPr>
          <w:t>The Annals</w:t>
        </w:r>
        <w:r w:rsidR="00427468">
          <w:rPr>
            <w:rStyle w:val="a5"/>
          </w:rPr>
          <w:t xml:space="preserve"> of </w:t>
        </w:r>
        <w:r w:rsidR="003A1917">
          <w:rPr>
            <w:rStyle w:val="a5"/>
          </w:rPr>
          <w:t xml:space="preserve">the </w:t>
        </w:r>
        <w:r w:rsidRPr="001A3D2B">
          <w:rPr>
            <w:rStyle w:val="a5"/>
          </w:rPr>
          <w:t>American Academy</w:t>
        </w:r>
        <w:r w:rsidR="00427468">
          <w:rPr>
            <w:rStyle w:val="a5"/>
          </w:rPr>
          <w:t xml:space="preserve"> of </w:t>
        </w:r>
        <w:r w:rsidRPr="001A3D2B">
          <w:rPr>
            <w:rStyle w:val="a5"/>
          </w:rPr>
          <w:t>Political</w:t>
        </w:r>
        <w:r w:rsidR="005853A9">
          <w:rPr>
            <w:rStyle w:val="a5"/>
          </w:rPr>
          <w:t xml:space="preserve"> and </w:t>
        </w:r>
        <w:r w:rsidRPr="001A3D2B">
          <w:rPr>
            <w:rStyle w:val="a5"/>
          </w:rPr>
          <w:t>Social 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Petrosino, A. (2003), Estimates</w:t>
      </w:r>
      <w:r w:rsidR="00427468">
        <w:t xml:space="preserve"> of </w:t>
      </w:r>
      <w:r w:rsidRPr="001A3D2B">
        <w:t>randomized controlled trials across six areas</w:t>
      </w:r>
      <w:r w:rsidR="00427468">
        <w:t xml:space="preserve"> of </w:t>
      </w:r>
      <w:r w:rsidRPr="001A3D2B">
        <w:t>childhood intervention: A bibliometric analysis</w:t>
      </w:r>
      <w:r w:rsidR="00A37C1D">
        <w:t>. The</w:t>
      </w:r>
      <w:r w:rsidR="003A1917">
        <w:t xml:space="preserve"> </w:t>
      </w:r>
      <w:r w:rsidRPr="001A3D2B">
        <w:rPr>
          <w:i/>
          <w:iCs/>
        </w:rPr>
        <w:t>Annals</w:t>
      </w:r>
      <w:r w:rsidR="00427468">
        <w:rPr>
          <w:i/>
          <w:iCs/>
        </w:rPr>
        <w:t xml:space="preserve"> of </w:t>
      </w:r>
      <w:r w:rsidR="003A1917">
        <w:rPr>
          <w:i/>
          <w:iCs/>
        </w:rPr>
        <w:t xml:space="preserve">the </w:t>
      </w:r>
      <w:r w:rsidRPr="001A3D2B">
        <w:rPr>
          <w:i/>
          <w:iCs/>
        </w:rPr>
        <w:t>American Academy</w:t>
      </w:r>
      <w:r w:rsidR="00427468">
        <w:rPr>
          <w:i/>
          <w:iCs/>
        </w:rPr>
        <w:t xml:space="preserve"> of </w:t>
      </w:r>
      <w:r w:rsidRPr="001A3D2B">
        <w:rPr>
          <w:i/>
          <w:iCs/>
        </w:rPr>
        <w:t>Political</w:t>
      </w:r>
      <w:r w:rsidR="005853A9">
        <w:rPr>
          <w:i/>
          <w:iCs/>
        </w:rPr>
        <w:t xml:space="preserve"> and </w:t>
      </w:r>
      <w:r w:rsidRPr="001A3D2B">
        <w:rPr>
          <w:i/>
          <w:iCs/>
        </w:rPr>
        <w:t>Social Science</w:t>
      </w:r>
      <w:r w:rsidRPr="001A3D2B">
        <w:t xml:space="preserve">, </w:t>
      </w:r>
      <w:r w:rsidRPr="001A3D2B">
        <w:rPr>
          <w:b/>
        </w:rPr>
        <w:t>589</w:t>
      </w:r>
      <w:r w:rsidRPr="001A3D2B">
        <w:t xml:space="preserve"> (1), 190-202.</w:t>
      </w:r>
    </w:p>
    <w:p w:rsidR="003474F2" w:rsidRPr="001A3D2B" w:rsidRDefault="003474F2" w:rsidP="003474F2">
      <w:pPr>
        <w:pStyle w:val="a3"/>
      </w:pPr>
      <w:r w:rsidRPr="001A3D2B">
        <w:t>Full Text: Ann Ame Aca Pol Soc Sci589, 190</w:t>
      </w:r>
    </w:p>
    <w:p w:rsidR="003474F2" w:rsidRPr="001A3D2B" w:rsidRDefault="003474F2" w:rsidP="003474F2">
      <w:pPr>
        <w:pStyle w:val="a3"/>
      </w:pPr>
      <w:r w:rsidRPr="001A3D2B">
        <w:t>Abstract: Data on</w:t>
      </w:r>
      <w:r w:rsidR="003A1917">
        <w:t xml:space="preserve"> the </w:t>
      </w:r>
      <w:r w:rsidRPr="001A3D2B">
        <w:t>frequency</w:t>
      </w:r>
      <w:r w:rsidR="00427468">
        <w:t xml:space="preserve"> of </w:t>
      </w:r>
      <w:r w:rsidRPr="001A3D2B">
        <w:t>experiments are elusive. One way to estimate how many experiments are done is by analyzing</w:t>
      </w:r>
      <w:r w:rsidR="003A1917">
        <w:t xml:space="preserve"> the </w:t>
      </w:r>
      <w:r w:rsidRPr="001A3D2B">
        <w:t>contents</w:t>
      </w:r>
      <w:r w:rsidR="00427468">
        <w:t xml:space="preserve"> of </w:t>
      </w:r>
      <w:r w:rsidRPr="001A3D2B">
        <w:t>bibliographic databases. This article analyzes</w:t>
      </w:r>
      <w:r w:rsidR="003A1917">
        <w:t xml:space="preserve"> the </w:t>
      </w:r>
      <w:r w:rsidRPr="001A3D2B">
        <w:t>citation information from six major bibliographic databases to estimate</w:t>
      </w:r>
      <w:r w:rsidR="003A1917">
        <w:t xml:space="preserve"> the </w:t>
      </w:r>
      <w:r w:rsidRPr="001A3D2B">
        <w:t>proportion</w:t>
      </w:r>
      <w:r w:rsidR="00427468">
        <w:t xml:space="preserve"> of </w:t>
      </w:r>
      <w:r w:rsidRPr="001A3D2B">
        <w:t>randomized (or possibly randomized) experiments compared to all outcome or impact evaluation studies</w:t>
      </w:r>
      <w:r w:rsidR="00A37C1D">
        <w:t>. The</w:t>
      </w:r>
      <w:r w:rsidR="003A1917">
        <w:t xml:space="preserve"> </w:t>
      </w:r>
      <w:r w:rsidRPr="001A3D2B">
        <w:t>focus</w:t>
      </w:r>
      <w:r w:rsidR="00427468">
        <w:t xml:space="preserve"> of </w:t>
      </w:r>
      <w:r w:rsidR="003A1917">
        <w:t xml:space="preserve">the </w:t>
      </w:r>
      <w:r w:rsidRPr="001A3D2B">
        <w:t>article is on</w:t>
      </w:r>
      <w:r w:rsidR="003A1917">
        <w:t xml:space="preserve"> the </w:t>
      </w:r>
      <w:r w:rsidRPr="001A3D2B">
        <w:t>evaluation</w:t>
      </w:r>
      <w:r w:rsidR="00427468">
        <w:t xml:space="preserve"> of </w:t>
      </w:r>
      <w:r w:rsidRPr="001A3D2B">
        <w:t>programs designed for children (from birth to eighteen years</w:t>
      </w:r>
      <w:r w:rsidR="00427468">
        <w:t xml:space="preserve"> of </w:t>
      </w:r>
      <w:r w:rsidRPr="001A3D2B">
        <w:t>age)</w:t>
      </w:r>
      <w:r w:rsidR="00A37C1D">
        <w:t>. The</w:t>
      </w:r>
      <w:r w:rsidR="003A1917">
        <w:t xml:space="preserve"> </w:t>
      </w:r>
      <w:r w:rsidRPr="001A3D2B">
        <w:t>results indicate that randomized studies are used in nearly 70 percent</w:t>
      </w:r>
      <w:r w:rsidR="00427468">
        <w:t xml:space="preserve"> of </w:t>
      </w:r>
      <w:r w:rsidRPr="001A3D2B">
        <w:t>childhood interventions in health care but probably in 6 to 15 percent</w:t>
      </w:r>
      <w:r w:rsidR="00427468">
        <w:t xml:space="preserve"> of </w:t>
      </w:r>
      <w:r w:rsidRPr="001A3D2B">
        <w:t>kindergarten through twelfth-grade interventions in education</w:t>
      </w:r>
      <w:r w:rsidR="005853A9">
        <w:t xml:space="preserve"> and </w:t>
      </w:r>
      <w:r w:rsidRPr="001A3D2B">
        <w:t>juvenile justice</w:t>
      </w:r>
      <w:r w:rsidR="00A37C1D">
        <w:t>. The</w:t>
      </w:r>
      <w:r w:rsidR="003A1917">
        <w:t xml:space="preserve"> </w:t>
      </w:r>
      <w:r w:rsidRPr="001A3D2B">
        <w:t>article concludes with discussion about these data, particularly on suggestions</w:t>
      </w:r>
      <w:r w:rsidR="00427468">
        <w:t xml:space="preserve"> of </w:t>
      </w:r>
      <w:r w:rsidRPr="001A3D2B">
        <w:t>how to produce more outcome studies,</w:t>
      </w:r>
      <w:r w:rsidR="005853A9">
        <w:t xml:space="preserve"> and </w:t>
      </w:r>
      <w:r w:rsidRPr="001A3D2B">
        <w:t>randomized experiments,</w:t>
      </w:r>
      <w:r w:rsidR="00427468">
        <w:t xml:space="preserve"> of </w:t>
      </w:r>
      <w:r w:rsidRPr="001A3D2B">
        <w:t>childhood interventions.</w:t>
      </w:r>
    </w:p>
    <w:p w:rsidR="003474F2" w:rsidRPr="001A3D2B" w:rsidRDefault="003474F2" w:rsidP="003474F2">
      <w:pPr>
        <w:pStyle w:val="a3"/>
      </w:pPr>
      <w:r w:rsidRPr="001A3D2B">
        <w:t>Keywords: Randomized Experiments, Evaluation Studies, Programs for Children, Bibliometrics</w:t>
      </w:r>
    </w:p>
    <w:p w:rsidR="00A7398D" w:rsidRPr="001A3D2B" w:rsidRDefault="00A7398D" w:rsidP="00A7398D">
      <w:pPr>
        <w:pStyle w:val="1"/>
      </w:pPr>
      <w:r w:rsidRPr="001A3D2B">
        <w:br w:type="page"/>
      </w:r>
      <w:bookmarkStart w:id="447" w:name="_Toc420814488"/>
      <w:r w:rsidRPr="001A3D2B">
        <w:lastRenderedPageBreak/>
        <w:t xml:space="preserve">Title: </w:t>
      </w:r>
      <w:r w:rsidRPr="00A7398D">
        <w:rPr>
          <w:szCs w:val="24"/>
        </w:rPr>
        <w:t>Annals</w:t>
      </w:r>
      <w:r w:rsidR="00427468">
        <w:rPr>
          <w:szCs w:val="24"/>
        </w:rPr>
        <w:t xml:space="preserve"> of </w:t>
      </w:r>
      <w:r w:rsidRPr="00A7398D">
        <w:rPr>
          <w:szCs w:val="24"/>
        </w:rPr>
        <w:t>Anatomy-Anatomischer Anzeiger</w:t>
      </w:r>
      <w:bookmarkEnd w:id="447"/>
    </w:p>
    <w:p w:rsidR="00A7398D" w:rsidRPr="001A3D2B" w:rsidRDefault="00A7398D" w:rsidP="00A7398D">
      <w:pPr>
        <w:pStyle w:val="12"/>
      </w:pPr>
      <w:r w:rsidRPr="001A3D2B">
        <w:t xml:space="preserve">Full Journal Title: </w:t>
      </w:r>
      <w:r w:rsidRPr="00A7398D">
        <w:rPr>
          <w:iCs/>
          <w:kern w:val="0"/>
        </w:rPr>
        <w:t>Annals</w:t>
      </w:r>
      <w:r w:rsidR="00427468">
        <w:rPr>
          <w:iCs/>
          <w:kern w:val="0"/>
        </w:rPr>
        <w:t xml:space="preserve"> of </w:t>
      </w:r>
      <w:r w:rsidRPr="00A7398D">
        <w:rPr>
          <w:iCs/>
          <w:kern w:val="0"/>
        </w:rPr>
        <w:t>Anatomy-Anatomischer Anzeiger</w:t>
      </w:r>
    </w:p>
    <w:p w:rsidR="00A7398D" w:rsidRPr="001A3D2B" w:rsidRDefault="00A7398D" w:rsidP="00A7398D">
      <w:pPr>
        <w:pStyle w:val="12"/>
      </w:pPr>
      <w:r w:rsidRPr="001A3D2B">
        <w:t xml:space="preserve">ISO Abbreviated Title: </w:t>
      </w:r>
    </w:p>
    <w:p w:rsidR="00A7398D" w:rsidRPr="001A3D2B" w:rsidRDefault="00A7398D" w:rsidP="00A7398D">
      <w:pPr>
        <w:pStyle w:val="12"/>
      </w:pPr>
      <w:r w:rsidRPr="001A3D2B">
        <w:t xml:space="preserve">JCR Abbreviated Title: </w:t>
      </w:r>
    </w:p>
    <w:p w:rsidR="00A7398D" w:rsidRPr="001A3D2B" w:rsidRDefault="00A7398D" w:rsidP="00A7398D">
      <w:pPr>
        <w:pStyle w:val="12"/>
      </w:pPr>
      <w:r>
        <w:t xml:space="preserve">ISSN: </w:t>
      </w:r>
    </w:p>
    <w:p w:rsidR="00A7398D" w:rsidRPr="001A3D2B" w:rsidRDefault="00A7398D" w:rsidP="00A7398D">
      <w:pPr>
        <w:pStyle w:val="12"/>
      </w:pPr>
      <w:r w:rsidRPr="001A3D2B">
        <w:t xml:space="preserve">Issues/Year: </w:t>
      </w:r>
    </w:p>
    <w:p w:rsidR="00A7398D" w:rsidRPr="001A3D2B" w:rsidRDefault="00A7398D" w:rsidP="00A7398D">
      <w:pPr>
        <w:pStyle w:val="12"/>
      </w:pPr>
      <w:r w:rsidRPr="001A3D2B">
        <w:t xml:space="preserve">Journal Country/Territory: </w:t>
      </w:r>
    </w:p>
    <w:p w:rsidR="00A7398D" w:rsidRPr="001A3D2B" w:rsidRDefault="00A7398D" w:rsidP="00A7398D">
      <w:pPr>
        <w:pStyle w:val="12"/>
      </w:pPr>
      <w:r w:rsidRPr="001A3D2B">
        <w:t xml:space="preserve">Language: </w:t>
      </w:r>
    </w:p>
    <w:p w:rsidR="00A7398D" w:rsidRPr="001A3D2B" w:rsidRDefault="00A7398D" w:rsidP="00A7398D">
      <w:pPr>
        <w:pStyle w:val="12"/>
      </w:pPr>
      <w:r w:rsidRPr="001A3D2B">
        <w:t xml:space="preserve">Publisher: </w:t>
      </w:r>
    </w:p>
    <w:p w:rsidR="00A7398D" w:rsidRPr="001A3D2B" w:rsidRDefault="00A7398D" w:rsidP="00A7398D">
      <w:pPr>
        <w:pStyle w:val="12"/>
      </w:pPr>
      <w:r w:rsidRPr="001A3D2B">
        <w:t xml:space="preserve">Publisher Address: </w:t>
      </w:r>
    </w:p>
    <w:p w:rsidR="00A7398D" w:rsidRPr="001A3D2B" w:rsidRDefault="00A7398D" w:rsidP="00A7398D">
      <w:pPr>
        <w:pStyle w:val="12"/>
      </w:pPr>
      <w:r w:rsidRPr="001A3D2B">
        <w:t xml:space="preserve">Subject Categories: </w:t>
      </w:r>
    </w:p>
    <w:p w:rsidR="00A7398D" w:rsidRPr="001A3D2B" w:rsidRDefault="00A7398D" w:rsidP="00A7398D">
      <w:pPr>
        <w:pStyle w:val="12"/>
      </w:pPr>
      <w:r w:rsidRPr="001A3D2B">
        <w:t xml:space="preserve">: Impact Factor </w:t>
      </w:r>
    </w:p>
    <w:p w:rsidR="00A7398D" w:rsidRDefault="00A7398D" w:rsidP="00A7398D">
      <w:pPr>
        <w:pStyle w:val="a3"/>
        <w:rPr>
          <w:kern w:val="0"/>
          <w:szCs w:val="24"/>
        </w:rPr>
      </w:pPr>
      <w:r>
        <w:rPr>
          <w:rFonts w:hint="eastAsia"/>
          <w:kern w:val="0"/>
          <w:szCs w:val="24"/>
        </w:rPr>
        <w:t xml:space="preserve">? </w:t>
      </w:r>
      <w:r>
        <w:rPr>
          <w:kern w:val="0"/>
          <w:szCs w:val="24"/>
        </w:rPr>
        <w:t>Halbach, O.V.U. (2011), How to judge a book by its cover? How useful are bibliometric indices for</w:t>
      </w:r>
      <w:r w:rsidR="003A1917">
        <w:rPr>
          <w:kern w:val="0"/>
          <w:szCs w:val="24"/>
        </w:rPr>
        <w:t xml:space="preserve"> the </w:t>
      </w:r>
      <w:r>
        <w:rPr>
          <w:kern w:val="0"/>
          <w:szCs w:val="24"/>
        </w:rPr>
        <w:t>evaluation</w:t>
      </w:r>
      <w:r w:rsidR="00427468">
        <w:rPr>
          <w:kern w:val="0"/>
          <w:szCs w:val="24"/>
        </w:rPr>
        <w:t xml:space="preserve"> of </w:t>
      </w:r>
      <w:r w:rsidR="00B5188C">
        <w:rPr>
          <w:kern w:val="0"/>
          <w:szCs w:val="24"/>
        </w:rPr>
        <w:t>“</w:t>
      </w:r>
      <w:r>
        <w:rPr>
          <w:kern w:val="0"/>
          <w:szCs w:val="24"/>
        </w:rPr>
        <w:t>scientific quality</w:t>
      </w:r>
      <w:r w:rsidR="00B5188C">
        <w:rPr>
          <w:kern w:val="0"/>
          <w:szCs w:val="24"/>
        </w:rPr>
        <w:t>”</w:t>
      </w:r>
      <w:r>
        <w:rPr>
          <w:kern w:val="0"/>
          <w:szCs w:val="24"/>
        </w:rPr>
        <w:t xml:space="preserve"> or </w:t>
      </w:r>
      <w:r w:rsidR="00B5188C">
        <w:rPr>
          <w:kern w:val="0"/>
          <w:szCs w:val="24"/>
        </w:rPr>
        <w:t>“</w:t>
      </w:r>
      <w:r>
        <w:rPr>
          <w:kern w:val="0"/>
          <w:szCs w:val="24"/>
        </w:rPr>
        <w:t>scientific productivity</w:t>
      </w:r>
      <w:r w:rsidR="00B5188C">
        <w:rPr>
          <w:kern w:val="0"/>
          <w:szCs w:val="24"/>
        </w:rPr>
        <w:t>”</w:t>
      </w:r>
      <w:r>
        <w:rPr>
          <w:kern w:val="0"/>
          <w:szCs w:val="24"/>
        </w:rPr>
        <w:t xml:space="preserve">? </w:t>
      </w:r>
      <w:r w:rsidRPr="00A7398D">
        <w:rPr>
          <w:i/>
          <w:iCs/>
          <w:kern w:val="0"/>
          <w:szCs w:val="24"/>
        </w:rPr>
        <w:t>Annals</w:t>
      </w:r>
      <w:r w:rsidR="00427468">
        <w:rPr>
          <w:i/>
          <w:iCs/>
          <w:kern w:val="0"/>
          <w:szCs w:val="24"/>
        </w:rPr>
        <w:t xml:space="preserve"> of </w:t>
      </w:r>
      <w:r w:rsidRPr="00A7398D">
        <w:rPr>
          <w:i/>
          <w:iCs/>
          <w:kern w:val="0"/>
          <w:szCs w:val="24"/>
        </w:rPr>
        <w:t>Anatomy-Anatomischer Anzeiger</w:t>
      </w:r>
      <w:r>
        <w:rPr>
          <w:kern w:val="0"/>
          <w:szCs w:val="24"/>
        </w:rPr>
        <w:t xml:space="preserve">, </w:t>
      </w:r>
      <w:r>
        <w:rPr>
          <w:b/>
          <w:bCs/>
          <w:kern w:val="0"/>
          <w:szCs w:val="24"/>
        </w:rPr>
        <w:t>193</w:t>
      </w:r>
      <w:r>
        <w:rPr>
          <w:kern w:val="0"/>
          <w:szCs w:val="24"/>
        </w:rPr>
        <w:t xml:space="preserve"> (3), 191-196.</w:t>
      </w:r>
    </w:p>
    <w:p w:rsidR="00B2288C" w:rsidRDefault="00B2288C" w:rsidP="00A7398D">
      <w:pPr>
        <w:pStyle w:val="a3"/>
        <w:rPr>
          <w:kern w:val="0"/>
          <w:szCs w:val="24"/>
        </w:rPr>
      </w:pPr>
      <w:r>
        <w:rPr>
          <w:rFonts w:hint="eastAsia"/>
          <w:kern w:val="0"/>
          <w:szCs w:val="24"/>
        </w:rPr>
        <w:t xml:space="preserve">Full Text: </w:t>
      </w:r>
      <w:hyperlink r:id="rId826" w:history="1">
        <w:r w:rsidRPr="00B2288C">
          <w:rPr>
            <w:rStyle w:val="a5"/>
            <w:kern w:val="0"/>
            <w:szCs w:val="24"/>
          </w:rPr>
          <w:t>2011\Ann Ana93, 191.pdf</w:t>
        </w:r>
      </w:hyperlink>
    </w:p>
    <w:p w:rsidR="00A7398D" w:rsidRDefault="00A7398D" w:rsidP="00A7398D">
      <w:pPr>
        <w:pStyle w:val="a3"/>
        <w:rPr>
          <w:kern w:val="0"/>
          <w:szCs w:val="24"/>
        </w:rPr>
      </w:pPr>
      <w:r>
        <w:rPr>
          <w:kern w:val="0"/>
          <w:szCs w:val="24"/>
        </w:rPr>
        <w:t>Abstract: How to pre-select</w:t>
      </w:r>
      <w:r w:rsidR="003A1917">
        <w:rPr>
          <w:kern w:val="0"/>
          <w:szCs w:val="24"/>
        </w:rPr>
        <w:t xml:space="preserve"> the </w:t>
      </w:r>
      <w:r>
        <w:rPr>
          <w:kern w:val="0"/>
          <w:szCs w:val="24"/>
        </w:rPr>
        <w:t>most promising candidates for an open position out</w:t>
      </w:r>
      <w:r w:rsidR="00427468">
        <w:rPr>
          <w:kern w:val="0"/>
          <w:szCs w:val="24"/>
        </w:rPr>
        <w:t xml:space="preserve"> of </w:t>
      </w:r>
      <w:r>
        <w:rPr>
          <w:kern w:val="0"/>
          <w:szCs w:val="24"/>
        </w:rPr>
        <w:t>several applications? One</w:t>
      </w:r>
      <w:r w:rsidR="00427468">
        <w:rPr>
          <w:kern w:val="0"/>
          <w:szCs w:val="24"/>
        </w:rPr>
        <w:t xml:space="preserve"> of </w:t>
      </w:r>
      <w:r w:rsidR="003A1917">
        <w:rPr>
          <w:kern w:val="0"/>
          <w:szCs w:val="24"/>
        </w:rPr>
        <w:t xml:space="preserve">the </w:t>
      </w:r>
      <w:r>
        <w:rPr>
          <w:kern w:val="0"/>
          <w:szCs w:val="24"/>
        </w:rPr>
        <w:t>possibilities is to check</w:t>
      </w:r>
      <w:r w:rsidR="003A1917">
        <w:rPr>
          <w:kern w:val="0"/>
          <w:szCs w:val="24"/>
        </w:rPr>
        <w:t xml:space="preserve"> the </w:t>
      </w:r>
      <w:r>
        <w:rPr>
          <w:kern w:val="0"/>
          <w:szCs w:val="24"/>
        </w:rPr>
        <w:t>personal bibliometric indices</w:t>
      </w:r>
      <w:r w:rsidR="00427468">
        <w:rPr>
          <w:kern w:val="0"/>
          <w:szCs w:val="24"/>
        </w:rPr>
        <w:t xml:space="preserve"> of </w:t>
      </w:r>
      <w:r>
        <w:rPr>
          <w:kern w:val="0"/>
          <w:szCs w:val="24"/>
        </w:rPr>
        <w:t>these candidates by looking into appropriate databases. In these databases</w:t>
      </w:r>
      <w:r w:rsidR="003A1917">
        <w:rPr>
          <w:kern w:val="0"/>
          <w:szCs w:val="24"/>
        </w:rPr>
        <w:t xml:space="preserve"> the </w:t>
      </w:r>
      <w:r>
        <w:rPr>
          <w:kern w:val="0"/>
          <w:szCs w:val="24"/>
        </w:rPr>
        <w:t>number</w:t>
      </w:r>
      <w:r w:rsidR="00427468">
        <w:rPr>
          <w:kern w:val="0"/>
          <w:szCs w:val="24"/>
        </w:rPr>
        <w:t xml:space="preserve"> of </w:t>
      </w:r>
      <w:r>
        <w:rPr>
          <w:kern w:val="0"/>
          <w:szCs w:val="24"/>
        </w:rPr>
        <w:t>publications,</w:t>
      </w:r>
      <w:r w:rsidR="003A1917">
        <w:rPr>
          <w:kern w:val="0"/>
          <w:szCs w:val="24"/>
        </w:rPr>
        <w:t xml:space="preserve"> the </w:t>
      </w:r>
      <w:r>
        <w:rPr>
          <w:kern w:val="0"/>
          <w:szCs w:val="24"/>
        </w:rPr>
        <w:t>total number</w:t>
      </w:r>
      <w:r w:rsidR="00427468">
        <w:rPr>
          <w:kern w:val="0"/>
          <w:szCs w:val="24"/>
        </w:rPr>
        <w:t xml:space="preserve"> of </w:t>
      </w:r>
      <w:r>
        <w:rPr>
          <w:kern w:val="0"/>
          <w:szCs w:val="24"/>
        </w:rPr>
        <w:t>citations,</w:t>
      </w:r>
      <w:r w:rsidR="003A1917">
        <w:rPr>
          <w:kern w:val="0"/>
          <w:szCs w:val="24"/>
        </w:rPr>
        <w:t xml:space="preserve"> the </w:t>
      </w:r>
      <w:r>
        <w:rPr>
          <w:kern w:val="0"/>
          <w:szCs w:val="24"/>
        </w:rPr>
        <w:t>average number</w:t>
      </w:r>
      <w:r w:rsidR="00427468">
        <w:rPr>
          <w:kern w:val="0"/>
          <w:szCs w:val="24"/>
        </w:rPr>
        <w:t xml:space="preserve"> of </w:t>
      </w:r>
      <w:r>
        <w:rPr>
          <w:kern w:val="0"/>
          <w:szCs w:val="24"/>
        </w:rPr>
        <w:t>citations per paper</w:t>
      </w:r>
      <w:r w:rsidR="005853A9">
        <w:rPr>
          <w:kern w:val="0"/>
          <w:szCs w:val="24"/>
        </w:rPr>
        <w:t xml:space="preserve"> and </w:t>
      </w:r>
      <w:r w:rsidR="003A1917">
        <w:rPr>
          <w:kern w:val="0"/>
          <w:szCs w:val="24"/>
        </w:rPr>
        <w:t xml:space="preserve">the </w:t>
      </w:r>
      <w:r w:rsidR="00D5664A">
        <w:rPr>
          <w:kern w:val="0"/>
          <w:szCs w:val="24"/>
        </w:rPr>
        <w:t>h-Index</w:t>
      </w:r>
      <w:r>
        <w:rPr>
          <w:kern w:val="0"/>
          <w:szCs w:val="24"/>
        </w:rPr>
        <w:t xml:space="preserve"> are easy to find. Thus, it is easy to use these parameters for a pre-election. First,</w:t>
      </w:r>
      <w:r w:rsidR="003A1917">
        <w:rPr>
          <w:kern w:val="0"/>
          <w:szCs w:val="24"/>
        </w:rPr>
        <w:t xml:space="preserve"> the </w:t>
      </w:r>
      <w:r>
        <w:rPr>
          <w:kern w:val="0"/>
          <w:szCs w:val="24"/>
        </w:rPr>
        <w:t>particular values for</w:t>
      </w:r>
      <w:r w:rsidR="003A1917">
        <w:rPr>
          <w:kern w:val="0"/>
          <w:szCs w:val="24"/>
        </w:rPr>
        <w:t xml:space="preserve"> the </w:t>
      </w:r>
      <w:r>
        <w:rPr>
          <w:kern w:val="0"/>
          <w:szCs w:val="24"/>
        </w:rPr>
        <w:t>several bibliometric indicators could be retrieved for scientists working in</w:t>
      </w:r>
      <w:r w:rsidR="003A1917">
        <w:rPr>
          <w:kern w:val="0"/>
          <w:szCs w:val="24"/>
        </w:rPr>
        <w:t xml:space="preserve"> the </w:t>
      </w:r>
      <w:r>
        <w:rPr>
          <w:kern w:val="0"/>
          <w:szCs w:val="24"/>
        </w:rPr>
        <w:t>field</w:t>
      </w:r>
      <w:r w:rsidR="00427468">
        <w:rPr>
          <w:kern w:val="0"/>
          <w:szCs w:val="24"/>
        </w:rPr>
        <w:t xml:space="preserve"> of </w:t>
      </w:r>
      <w:r>
        <w:rPr>
          <w:kern w:val="0"/>
          <w:szCs w:val="24"/>
        </w:rPr>
        <w:t>Anatomy &amp; Cell Biology. Next, an analysis</w:t>
      </w:r>
      <w:r w:rsidR="00427468">
        <w:rPr>
          <w:kern w:val="0"/>
          <w:szCs w:val="24"/>
        </w:rPr>
        <w:t xml:space="preserve"> of </w:t>
      </w:r>
      <w:r>
        <w:rPr>
          <w:kern w:val="0"/>
          <w:szCs w:val="24"/>
        </w:rPr>
        <w:t>how useful</w:t>
      </w:r>
      <w:r w:rsidR="005853A9">
        <w:rPr>
          <w:kern w:val="0"/>
          <w:szCs w:val="24"/>
        </w:rPr>
        <w:t xml:space="preserve"> and </w:t>
      </w:r>
      <w:r>
        <w:rPr>
          <w:kern w:val="0"/>
          <w:szCs w:val="24"/>
        </w:rPr>
        <w:t>reliable these bibliometric indicators are is performed. Most</w:t>
      </w:r>
      <w:r w:rsidR="00427468">
        <w:rPr>
          <w:kern w:val="0"/>
          <w:szCs w:val="24"/>
        </w:rPr>
        <w:t xml:space="preserve"> of </w:t>
      </w:r>
      <w:r w:rsidR="003A1917">
        <w:rPr>
          <w:kern w:val="0"/>
          <w:szCs w:val="24"/>
        </w:rPr>
        <w:t xml:space="preserve">the </w:t>
      </w:r>
      <w:r>
        <w:rPr>
          <w:kern w:val="0"/>
          <w:szCs w:val="24"/>
        </w:rPr>
        <w:t>indicators strongly depend on</w:t>
      </w:r>
      <w:r w:rsidR="003A1917">
        <w:rPr>
          <w:kern w:val="0"/>
          <w:szCs w:val="24"/>
        </w:rPr>
        <w:t xml:space="preserve"> the </w:t>
      </w:r>
      <w:r>
        <w:rPr>
          <w:kern w:val="0"/>
          <w:szCs w:val="24"/>
        </w:rPr>
        <w:t>seniority</w:t>
      </w:r>
      <w:r w:rsidR="00427468">
        <w:rPr>
          <w:kern w:val="0"/>
          <w:szCs w:val="24"/>
        </w:rPr>
        <w:t xml:space="preserve"> of </w:t>
      </w:r>
      <w:r>
        <w:rPr>
          <w:kern w:val="0"/>
          <w:szCs w:val="24"/>
        </w:rPr>
        <w:t>a researcher. Thus, these indicators favour older scientists over younger ones. Based on that, these indicators are not well-suited to identify young</w:t>
      </w:r>
      <w:r w:rsidR="005853A9">
        <w:rPr>
          <w:kern w:val="0"/>
          <w:szCs w:val="24"/>
        </w:rPr>
        <w:t xml:space="preserve"> and </w:t>
      </w:r>
      <w:r>
        <w:rPr>
          <w:kern w:val="0"/>
          <w:szCs w:val="24"/>
        </w:rPr>
        <w:t>promising scientists</w:t>
      </w:r>
      <w:r w:rsidR="00A37C1D">
        <w:rPr>
          <w:kern w:val="0"/>
          <w:szCs w:val="24"/>
        </w:rPr>
        <w:t>. The</w:t>
      </w:r>
      <w:r>
        <w:rPr>
          <w:kern w:val="0"/>
          <w:szCs w:val="24"/>
        </w:rPr>
        <w:t>refore, it is proposed that indicators, which correct for</w:t>
      </w:r>
      <w:r w:rsidR="003A1917">
        <w:rPr>
          <w:kern w:val="0"/>
          <w:szCs w:val="24"/>
        </w:rPr>
        <w:t xml:space="preserve"> the </w:t>
      </w:r>
      <w:r>
        <w:rPr>
          <w:kern w:val="0"/>
          <w:szCs w:val="24"/>
        </w:rPr>
        <w:t>time a scientists spends working in</w:t>
      </w:r>
      <w:r w:rsidR="003A1917">
        <w:rPr>
          <w:kern w:val="0"/>
          <w:szCs w:val="24"/>
        </w:rPr>
        <w:t xml:space="preserve"> the </w:t>
      </w:r>
      <w:r>
        <w:rPr>
          <w:kern w:val="0"/>
          <w:szCs w:val="24"/>
        </w:rPr>
        <w:t>field, may be better suited for such a pre-election, such as</w:t>
      </w:r>
      <w:r w:rsidR="003A1917">
        <w:rPr>
          <w:kern w:val="0"/>
          <w:szCs w:val="24"/>
        </w:rPr>
        <w:t xml:space="preserve"> the </w:t>
      </w:r>
      <w:r>
        <w:rPr>
          <w:kern w:val="0"/>
          <w:szCs w:val="24"/>
        </w:rPr>
        <w:t>hy index (also known as m-index) or</w:t>
      </w:r>
      <w:r w:rsidR="003A1917">
        <w:rPr>
          <w:kern w:val="0"/>
          <w:szCs w:val="24"/>
        </w:rPr>
        <w:t xml:space="preserve"> the </w:t>
      </w:r>
      <w:r>
        <w:rPr>
          <w:kern w:val="0"/>
          <w:szCs w:val="24"/>
        </w:rPr>
        <w:t>Py index. In this context, it should be emphasized that these indicators may be useful for pre-selection. All available indicators are based on data obtained from</w:t>
      </w:r>
      <w:r w:rsidR="003A1917">
        <w:rPr>
          <w:kern w:val="0"/>
          <w:szCs w:val="24"/>
        </w:rPr>
        <w:t xml:space="preserve"> the </w:t>
      </w:r>
      <w:r>
        <w:rPr>
          <w:kern w:val="0"/>
          <w:szCs w:val="24"/>
        </w:rPr>
        <w:t>past achievements</w:t>
      </w:r>
      <w:r w:rsidR="00427468">
        <w:rPr>
          <w:kern w:val="0"/>
          <w:szCs w:val="24"/>
        </w:rPr>
        <w:t xml:space="preserve"> of </w:t>
      </w:r>
      <w:r w:rsidR="003A1917">
        <w:rPr>
          <w:kern w:val="0"/>
          <w:szCs w:val="24"/>
        </w:rPr>
        <w:t xml:space="preserve">the </w:t>
      </w:r>
      <w:r>
        <w:rPr>
          <w:kern w:val="0"/>
          <w:szCs w:val="24"/>
        </w:rPr>
        <w:t>scientists</w:t>
      </w:r>
      <w:r w:rsidR="005853A9">
        <w:rPr>
          <w:kern w:val="0"/>
          <w:szCs w:val="24"/>
        </w:rPr>
        <w:t xml:space="preserve"> and </w:t>
      </w:r>
      <w:r>
        <w:rPr>
          <w:kern w:val="0"/>
          <w:szCs w:val="24"/>
        </w:rPr>
        <w:t>may not predict their future achievements. However, despite</w:t>
      </w:r>
      <w:r w:rsidR="003A1917">
        <w:rPr>
          <w:kern w:val="0"/>
          <w:szCs w:val="24"/>
        </w:rPr>
        <w:t xml:space="preserve"> the </w:t>
      </w:r>
      <w:r>
        <w:rPr>
          <w:kern w:val="0"/>
          <w:szCs w:val="24"/>
        </w:rPr>
        <w:t>availability</w:t>
      </w:r>
      <w:r w:rsidR="00427468">
        <w:rPr>
          <w:kern w:val="0"/>
          <w:szCs w:val="24"/>
        </w:rPr>
        <w:t xml:space="preserve"> of </w:t>
      </w:r>
      <w:r>
        <w:rPr>
          <w:kern w:val="0"/>
          <w:szCs w:val="24"/>
        </w:rPr>
        <w:t>these indicators,</w:t>
      </w:r>
      <w:r w:rsidR="003A1917">
        <w:rPr>
          <w:kern w:val="0"/>
          <w:szCs w:val="24"/>
        </w:rPr>
        <w:t xml:space="preserve"> the </w:t>
      </w:r>
      <w:r>
        <w:rPr>
          <w:kern w:val="0"/>
          <w:szCs w:val="24"/>
        </w:rPr>
        <w:t>best method to gain an impression</w:t>
      </w:r>
      <w:r w:rsidR="00427468">
        <w:rPr>
          <w:kern w:val="0"/>
          <w:szCs w:val="24"/>
        </w:rPr>
        <w:t xml:space="preserve"> of </w:t>
      </w:r>
      <w:r w:rsidR="003A1917">
        <w:rPr>
          <w:kern w:val="0"/>
          <w:szCs w:val="24"/>
        </w:rPr>
        <w:t xml:space="preserve">the </w:t>
      </w:r>
      <w:r>
        <w:rPr>
          <w:kern w:val="0"/>
          <w:szCs w:val="24"/>
        </w:rPr>
        <w:t>quality is currently still</w:t>
      </w:r>
      <w:r w:rsidR="003A1917">
        <w:rPr>
          <w:kern w:val="0"/>
          <w:szCs w:val="24"/>
        </w:rPr>
        <w:t xml:space="preserve"> the </w:t>
      </w:r>
      <w:r>
        <w:rPr>
          <w:kern w:val="0"/>
          <w:szCs w:val="24"/>
        </w:rPr>
        <w:t>old-fashioned method</w:t>
      </w:r>
      <w:r w:rsidR="00427468">
        <w:rPr>
          <w:kern w:val="0"/>
          <w:szCs w:val="24"/>
        </w:rPr>
        <w:t xml:space="preserve"> of </w:t>
      </w:r>
      <w:r>
        <w:rPr>
          <w:kern w:val="0"/>
          <w:szCs w:val="24"/>
        </w:rPr>
        <w:t>reading</w:t>
      </w:r>
      <w:r w:rsidR="003A1917">
        <w:rPr>
          <w:kern w:val="0"/>
          <w:szCs w:val="24"/>
        </w:rPr>
        <w:t xml:space="preserve"> the </w:t>
      </w:r>
      <w:r>
        <w:rPr>
          <w:kern w:val="0"/>
          <w:szCs w:val="24"/>
        </w:rPr>
        <w:t>papers. (C) 2011 Elsevier GmbH. All rights reserved.</w:t>
      </w:r>
    </w:p>
    <w:p w:rsidR="00A7398D" w:rsidRDefault="00A7398D" w:rsidP="00A7398D">
      <w:pPr>
        <w:pStyle w:val="a3"/>
        <w:rPr>
          <w:kern w:val="0"/>
          <w:szCs w:val="24"/>
        </w:rPr>
      </w:pPr>
      <w:r>
        <w:rPr>
          <w:kern w:val="0"/>
          <w:szCs w:val="24"/>
        </w:rPr>
        <w:t xml:space="preserve">Keywords: Bibliometric, Bibliometric Indicators, Bibliometric Indices, Bibliometrics, </w:t>
      </w:r>
      <w:r>
        <w:rPr>
          <w:kern w:val="0"/>
          <w:szCs w:val="24"/>
        </w:rPr>
        <w:lastRenderedPageBreak/>
        <w:t xml:space="preserve">Citations, Databases, Evaluation, Germany, </w:t>
      </w:r>
      <w:r w:rsidR="00D5664A">
        <w:rPr>
          <w:rFonts w:hint="eastAsia"/>
          <w:kern w:val="0"/>
          <w:szCs w:val="24"/>
        </w:rPr>
        <w:t>h Index</w:t>
      </w:r>
      <w:r>
        <w:rPr>
          <w:kern w:val="0"/>
          <w:szCs w:val="24"/>
        </w:rPr>
        <w:t xml:space="preserve">, </w:t>
      </w:r>
      <w:r w:rsidR="00D5664A">
        <w:rPr>
          <w:rFonts w:hint="eastAsia"/>
          <w:kern w:val="0"/>
          <w:szCs w:val="24"/>
        </w:rPr>
        <w:t>h-Index</w:t>
      </w:r>
      <w:r>
        <w:rPr>
          <w:kern w:val="0"/>
          <w:szCs w:val="24"/>
        </w:rPr>
        <w:t xml:space="preserve">, </w:t>
      </w:r>
      <w:r w:rsidR="00D5664A">
        <w:rPr>
          <w:rFonts w:hint="eastAsia"/>
          <w:kern w:val="0"/>
          <w:szCs w:val="24"/>
        </w:rPr>
        <w:t>h-Index</w:t>
      </w:r>
      <w:r>
        <w:rPr>
          <w:kern w:val="0"/>
          <w:szCs w:val="24"/>
        </w:rPr>
        <w:t>, Impact Factors, M-Index, Papers, Publications</w:t>
      </w:r>
    </w:p>
    <w:p w:rsidR="003474F2" w:rsidRPr="001A3D2B" w:rsidRDefault="003474F2" w:rsidP="003474F2">
      <w:pPr>
        <w:pStyle w:val="1"/>
      </w:pPr>
      <w:r w:rsidRPr="001A3D2B">
        <w:br w:type="page"/>
      </w:r>
      <w:bookmarkStart w:id="448" w:name="_Toc420814489"/>
      <w:r w:rsidRPr="001A3D2B">
        <w:lastRenderedPageBreak/>
        <w:t>Title: Annals</w:t>
      </w:r>
      <w:r w:rsidR="00427468">
        <w:t xml:space="preserve"> of </w:t>
      </w:r>
      <w:r w:rsidRPr="001A3D2B">
        <w:t>Applied Biology</w:t>
      </w:r>
      <w:bookmarkEnd w:id="448"/>
    </w:p>
    <w:p w:rsidR="003474F2" w:rsidRPr="001A3D2B" w:rsidRDefault="003474F2" w:rsidP="003474F2">
      <w:pPr>
        <w:pStyle w:val="12"/>
      </w:pPr>
      <w:r w:rsidRPr="001A3D2B">
        <w:t xml:space="preserve">Full Journal Title: </w:t>
      </w:r>
      <w:hyperlink r:id="rId827" w:history="1">
        <w:r w:rsidRPr="001A3D2B">
          <w:rPr>
            <w:rStyle w:val="a5"/>
            <w:iCs/>
          </w:rPr>
          <w:t>Annals</w:t>
        </w:r>
        <w:r w:rsidR="00427468">
          <w:rPr>
            <w:rStyle w:val="a5"/>
            <w:iCs/>
          </w:rPr>
          <w:t xml:space="preserve"> of </w:t>
        </w:r>
        <w:r w:rsidRPr="001A3D2B">
          <w:rPr>
            <w:rStyle w:val="a5"/>
            <w:iCs/>
          </w:rPr>
          <w:t>Applied Biology</w:t>
        </w:r>
      </w:hyperlink>
      <w:r w:rsidRPr="001A3D2B">
        <w:t xml:space="preserve">; </w:t>
      </w:r>
      <w:hyperlink r:id="rId828" w:history="1">
        <w:r w:rsidRPr="001A3D2B">
          <w:rPr>
            <w:rStyle w:val="a5"/>
            <w:iCs/>
          </w:rPr>
          <w:t>Annals</w:t>
        </w:r>
        <w:r w:rsidR="00427468">
          <w:rPr>
            <w:rStyle w:val="a5"/>
            <w:iCs/>
          </w:rPr>
          <w:t xml:space="preserve"> of </w:t>
        </w:r>
        <w:r w:rsidRPr="001A3D2B">
          <w:rPr>
            <w:rStyle w:val="a5"/>
            <w:iCs/>
          </w:rPr>
          <w:t>Applied Biology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0003-4746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Eales, N.B. (1917</w:t>
      </w:r>
      <w:r w:rsidR="00F42EAC">
        <w:t>), The</w:t>
      </w:r>
      <w:r w:rsidR="003A1917">
        <w:t xml:space="preserve"> </w:t>
      </w:r>
      <w:r w:rsidRPr="001A3D2B">
        <w:t>life history</w:t>
      </w:r>
      <w:r w:rsidR="005853A9">
        <w:t xml:space="preserve"> and </w:t>
      </w:r>
      <w:r w:rsidRPr="001A3D2B">
        <w:t>economy</w:t>
      </w:r>
      <w:r w:rsidR="00427468">
        <w:t xml:space="preserve"> of </w:t>
      </w:r>
      <w:r w:rsidR="003A1917">
        <w:t xml:space="preserve">the </w:t>
      </w:r>
      <w:r w:rsidRPr="001A3D2B">
        <w:t xml:space="preserve">cheese mites. </w:t>
      </w:r>
      <w:r w:rsidRPr="001A3D2B">
        <w:rPr>
          <w:i/>
          <w:iCs/>
        </w:rPr>
        <w:t>Annals</w:t>
      </w:r>
      <w:r w:rsidR="00427468">
        <w:rPr>
          <w:i/>
          <w:iCs/>
        </w:rPr>
        <w:t xml:space="preserve"> of </w:t>
      </w:r>
      <w:r w:rsidRPr="001A3D2B">
        <w:rPr>
          <w:i/>
          <w:iCs/>
        </w:rPr>
        <w:t>Applied Biology</w:t>
      </w:r>
      <w:r w:rsidRPr="001A3D2B">
        <w:t xml:space="preserve">, </w:t>
      </w:r>
      <w:r w:rsidRPr="001A3D2B">
        <w:rPr>
          <w:b/>
          <w:bCs/>
        </w:rPr>
        <w:t>4</w:t>
      </w:r>
      <w:r w:rsidRPr="001A3D2B">
        <w:t xml:space="preserve"> (1-2), 28-35.</w:t>
      </w:r>
    </w:p>
    <w:p w:rsidR="0062028A" w:rsidRPr="00F219CA" w:rsidRDefault="0062028A" w:rsidP="0062028A">
      <w:pPr>
        <w:pStyle w:val="1"/>
      </w:pPr>
      <w:r w:rsidRPr="00F219CA">
        <w:br w:type="page"/>
      </w:r>
      <w:bookmarkStart w:id="449" w:name="_Toc420814490"/>
      <w:r w:rsidRPr="00F219CA">
        <w:lastRenderedPageBreak/>
        <w:t>Title: Annals</w:t>
      </w:r>
      <w:r w:rsidR="00427468">
        <w:t xml:space="preserve"> of </w:t>
      </w:r>
      <w:r w:rsidRPr="00F219CA">
        <w:t>Behavioral Medicine</w:t>
      </w:r>
      <w:bookmarkEnd w:id="449"/>
    </w:p>
    <w:p w:rsidR="0062028A" w:rsidRPr="00F219CA" w:rsidRDefault="0062028A" w:rsidP="0062028A">
      <w:pPr>
        <w:pStyle w:val="12"/>
      </w:pPr>
      <w:r w:rsidRPr="00F219CA">
        <w:t>Full Jour</w:t>
      </w:r>
      <w:bookmarkStart w:id="450" w:name="_Toc302229932"/>
      <w:r w:rsidRPr="00F219CA">
        <w:t xml:space="preserve">nal Title: </w:t>
      </w:r>
      <w:r w:rsidR="00206C8A">
        <w:fldChar w:fldCharType="begin"/>
      </w:r>
      <w:r w:rsidR="00FD158B">
        <w:instrText>HYPERLINK "http://weblin</w:instrText>
      </w:r>
      <w:bookmarkEnd w:id="450"/>
      <w:r w:rsidR="00FD158B">
        <w:instrText>ks1.epnet.com/authHjafDetail.asp?tb=1&amp;_ua=bo+B%5F+db+aphjnh+bt+TD++%22H5U%22+6A7D&amp;_ug=sid+D020F96A%2DAC57%2D4E03%2D8BA6%2DDE1A1179EA90%40sessionmgr2+dbs+aph+187A&amp;_us=hd+False+sm+ES+1C03&amp;_uso=st%5B0+%2DTD++%22H5U%22+tg%5B0+%2D+db%5B0+%2Daph+op%25"</w:instrText>
      </w:r>
      <w:r w:rsidR="00206C8A">
        <w:fldChar w:fldCharType="separate"/>
      </w:r>
      <w:r w:rsidRPr="00F219CA">
        <w:t>Annals</w:t>
      </w:r>
      <w:r w:rsidR="00427468">
        <w:t xml:space="preserve"> of </w:t>
      </w:r>
      <w:r w:rsidRPr="00F219CA">
        <w:t>Behavioral Medicine</w:t>
      </w:r>
      <w:r w:rsidR="00206C8A">
        <w:fldChar w:fldCharType="end"/>
      </w:r>
    </w:p>
    <w:p w:rsidR="0062028A" w:rsidRPr="00F219CA" w:rsidRDefault="0062028A" w:rsidP="0062028A">
      <w:pPr>
        <w:pStyle w:val="12"/>
      </w:pPr>
      <w:r w:rsidRPr="00F219CA">
        <w:t>ISO Abbreviated Title: Ann. Behav. Med.</w:t>
      </w:r>
    </w:p>
    <w:p w:rsidR="0062028A" w:rsidRPr="00F219CA" w:rsidRDefault="0062028A" w:rsidP="0062028A">
      <w:pPr>
        <w:pStyle w:val="12"/>
      </w:pPr>
      <w:r w:rsidRPr="00F219CA">
        <w:t>JCR Abbreviated Title: Ann Behav Med</w:t>
      </w:r>
    </w:p>
    <w:p w:rsidR="0062028A" w:rsidRPr="00F219CA" w:rsidRDefault="0062028A" w:rsidP="0062028A">
      <w:pPr>
        <w:pStyle w:val="12"/>
      </w:pPr>
      <w:r w:rsidRPr="00F219CA">
        <w:t>ISSN: 0883-6612</w:t>
      </w:r>
    </w:p>
    <w:p w:rsidR="0062028A" w:rsidRPr="00F219CA" w:rsidRDefault="0062028A" w:rsidP="0062028A">
      <w:pPr>
        <w:pStyle w:val="12"/>
      </w:pPr>
      <w:r w:rsidRPr="00F219CA">
        <w:t>Issues/Year: 4</w:t>
      </w:r>
    </w:p>
    <w:p w:rsidR="0062028A" w:rsidRPr="00F219CA" w:rsidRDefault="0062028A" w:rsidP="0062028A">
      <w:pPr>
        <w:pStyle w:val="12"/>
      </w:pPr>
      <w:r w:rsidRPr="00F219CA">
        <w:t>Journal Country/Territory: United States</w:t>
      </w:r>
    </w:p>
    <w:p w:rsidR="0062028A" w:rsidRPr="00F219CA" w:rsidRDefault="0062028A" w:rsidP="0062028A">
      <w:pPr>
        <w:pStyle w:val="12"/>
      </w:pPr>
      <w:r w:rsidRPr="00F219CA">
        <w:t>Language: English</w:t>
      </w:r>
    </w:p>
    <w:p w:rsidR="0062028A" w:rsidRPr="00F219CA" w:rsidRDefault="0062028A" w:rsidP="0062028A">
      <w:pPr>
        <w:pStyle w:val="12"/>
      </w:pPr>
      <w:r w:rsidRPr="00F219CA">
        <w:t>Publisher: Soc Behavioral Medicine</w:t>
      </w:r>
    </w:p>
    <w:p w:rsidR="0062028A" w:rsidRPr="00F219CA" w:rsidRDefault="0062028A" w:rsidP="0062028A">
      <w:pPr>
        <w:pStyle w:val="12"/>
      </w:pPr>
      <w:r w:rsidRPr="00F219CA">
        <w:t>Publisher Address: 7600 Terrace Ave, Ste 203, Middleton, WI 53562-3174</w:t>
      </w:r>
    </w:p>
    <w:p w:rsidR="0062028A" w:rsidRPr="00F219CA" w:rsidRDefault="0062028A" w:rsidP="0062028A">
      <w:pPr>
        <w:pStyle w:val="12"/>
      </w:pPr>
      <w:r w:rsidRPr="00F219CA">
        <w:t xml:space="preserve">Subject Categories: </w:t>
      </w:r>
    </w:p>
    <w:p w:rsidR="0062028A" w:rsidRPr="00F219CA" w:rsidRDefault="0062028A" w:rsidP="0062028A">
      <w:pPr>
        <w:pStyle w:val="12"/>
      </w:pPr>
      <w:r w:rsidRPr="00F219CA">
        <w:t>Psychology: Impact Factor 2.506, / (2000)</w:t>
      </w:r>
    </w:p>
    <w:p w:rsidR="0062028A" w:rsidRDefault="0062028A" w:rsidP="0062028A">
      <w:pPr>
        <w:pStyle w:val="a3"/>
        <w:rPr>
          <w:kern w:val="0"/>
        </w:rPr>
      </w:pPr>
      <w:r>
        <w:rPr>
          <w:rFonts w:hint="eastAsia"/>
          <w:kern w:val="0"/>
        </w:rPr>
        <w:t xml:space="preserve">? </w:t>
      </w:r>
      <w:r>
        <w:rPr>
          <w:kern w:val="0"/>
        </w:rPr>
        <w:t>Kroeze, W., Werkman, A.</w:t>
      </w:r>
      <w:r w:rsidR="005853A9">
        <w:rPr>
          <w:kern w:val="0"/>
        </w:rPr>
        <w:t xml:space="preserve"> and </w:t>
      </w:r>
      <w:r>
        <w:rPr>
          <w:kern w:val="0"/>
        </w:rPr>
        <w:t>Brug, J. (2006), A systematic review</w:t>
      </w:r>
      <w:r w:rsidR="00427468">
        <w:rPr>
          <w:kern w:val="0"/>
        </w:rPr>
        <w:t xml:space="preserve"> of </w:t>
      </w:r>
      <w:r>
        <w:rPr>
          <w:kern w:val="0"/>
        </w:rPr>
        <w:t>randomized trials on</w:t>
      </w:r>
      <w:r w:rsidR="003A1917">
        <w:rPr>
          <w:kern w:val="0"/>
        </w:rPr>
        <w:t xml:space="preserve"> the </w:t>
      </w:r>
      <w:r>
        <w:rPr>
          <w:kern w:val="0"/>
        </w:rPr>
        <w:t>effectiveness</w:t>
      </w:r>
      <w:r w:rsidR="00427468">
        <w:rPr>
          <w:kern w:val="0"/>
        </w:rPr>
        <w:t xml:space="preserve"> of </w:t>
      </w:r>
      <w:r>
        <w:rPr>
          <w:kern w:val="0"/>
        </w:rPr>
        <w:t>computer-tailored education on physical activity</w:t>
      </w:r>
      <w:r w:rsidR="005853A9">
        <w:rPr>
          <w:kern w:val="0"/>
        </w:rPr>
        <w:t xml:space="preserve"> and </w:t>
      </w:r>
      <w:r>
        <w:rPr>
          <w:kern w:val="0"/>
        </w:rPr>
        <w:t xml:space="preserve">dietary behaviors. </w:t>
      </w:r>
      <w:r>
        <w:rPr>
          <w:i/>
          <w:iCs/>
          <w:kern w:val="0"/>
        </w:rPr>
        <w:t>Annals</w:t>
      </w:r>
      <w:r w:rsidR="00427468">
        <w:rPr>
          <w:i/>
          <w:iCs/>
          <w:kern w:val="0"/>
        </w:rPr>
        <w:t xml:space="preserve"> of </w:t>
      </w:r>
      <w:r>
        <w:rPr>
          <w:i/>
          <w:iCs/>
          <w:kern w:val="0"/>
        </w:rPr>
        <w:t>Behavioral Medicine</w:t>
      </w:r>
      <w:r>
        <w:rPr>
          <w:kern w:val="0"/>
        </w:rPr>
        <w:t xml:space="preserve">, </w:t>
      </w:r>
      <w:r>
        <w:rPr>
          <w:b/>
          <w:bCs/>
          <w:kern w:val="0"/>
        </w:rPr>
        <w:t>31</w:t>
      </w:r>
      <w:r>
        <w:rPr>
          <w:kern w:val="0"/>
        </w:rPr>
        <w:t xml:space="preserve"> (3), 205-223.</w:t>
      </w:r>
    </w:p>
    <w:p w:rsidR="0062028A" w:rsidRDefault="0062028A" w:rsidP="0062028A">
      <w:pPr>
        <w:pStyle w:val="a3"/>
        <w:rPr>
          <w:kern w:val="0"/>
        </w:rPr>
      </w:pPr>
      <w:r>
        <w:rPr>
          <w:kern w:val="0"/>
        </w:rPr>
        <w:t>Abstract: Background: Although computer-tailored promotion</w:t>
      </w:r>
      <w:r w:rsidR="00427468">
        <w:rPr>
          <w:kern w:val="0"/>
        </w:rPr>
        <w:t xml:space="preserve"> of </w:t>
      </w:r>
      <w:r>
        <w:rPr>
          <w:kern w:val="0"/>
        </w:rPr>
        <w:t>dietary change</w:t>
      </w:r>
      <w:r w:rsidR="005853A9">
        <w:rPr>
          <w:kern w:val="0"/>
        </w:rPr>
        <w:t xml:space="preserve"> and </w:t>
      </w:r>
      <w:r>
        <w:rPr>
          <w:kern w:val="0"/>
        </w:rPr>
        <w:t>physical activity has been identified as a promising intervention strategy, there is a need for a more systematic evaluation</w:t>
      </w:r>
      <w:r w:rsidR="00427468">
        <w:rPr>
          <w:kern w:val="0"/>
        </w:rPr>
        <w:t xml:space="preserve"> of </w:t>
      </w:r>
      <w:r w:rsidR="003A1917">
        <w:rPr>
          <w:kern w:val="0"/>
        </w:rPr>
        <w:t xml:space="preserve">the </w:t>
      </w:r>
      <w:r>
        <w:rPr>
          <w:kern w:val="0"/>
        </w:rPr>
        <w:t>evidence. Purpose: This study systematically reviews</w:t>
      </w:r>
      <w:r w:rsidR="003A1917">
        <w:rPr>
          <w:kern w:val="0"/>
        </w:rPr>
        <w:t xml:space="preserve"> the </w:t>
      </w:r>
      <w:r>
        <w:rPr>
          <w:kern w:val="0"/>
        </w:rPr>
        <w:t>scientific literature on computer-tailored physical activity</w:t>
      </w:r>
      <w:r w:rsidR="005853A9">
        <w:rPr>
          <w:kern w:val="0"/>
        </w:rPr>
        <w:t xml:space="preserve"> and </w:t>
      </w:r>
      <w:r>
        <w:rPr>
          <w:kern w:val="0"/>
        </w:rPr>
        <w:t xml:space="preserve">nutrition education. Methods: Intervention studies published from 1965 up to September 2004 were identified through a structured search in </w:t>
      </w:r>
      <w:r w:rsidR="002C12F0">
        <w:rPr>
          <w:kern w:val="0"/>
        </w:rPr>
        <w:t>PUBMED</w:t>
      </w:r>
      <w:r>
        <w:rPr>
          <w:kern w:val="0"/>
        </w:rPr>
        <w:t>, PsycInfo,</w:t>
      </w:r>
      <w:r w:rsidR="005853A9">
        <w:rPr>
          <w:kern w:val="0"/>
        </w:rPr>
        <w:t xml:space="preserve"> and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an examination</w:t>
      </w:r>
      <w:r w:rsidR="00427468">
        <w:rPr>
          <w:kern w:val="0"/>
        </w:rPr>
        <w:t xml:space="preserve"> of </w:t>
      </w:r>
      <w:r>
        <w:rPr>
          <w:kern w:val="0"/>
        </w:rPr>
        <w:t>reference lists</w:t>
      </w:r>
      <w:r w:rsidR="00427468">
        <w:rPr>
          <w:kern w:val="0"/>
        </w:rPr>
        <w:t xml:space="preserve"> of </w:t>
      </w:r>
      <w:r>
        <w:rPr>
          <w:kern w:val="0"/>
        </w:rPr>
        <w:t>relevant publications. Studies were included that applied a pretest-post-test randomized-controlled trial design, were aimed at primary prevention among adults, used computer-tailored interventions to change physical activity</w:t>
      </w:r>
      <w:r w:rsidR="005853A9">
        <w:rPr>
          <w:kern w:val="0"/>
        </w:rPr>
        <w:t xml:space="preserve"> and </w:t>
      </w:r>
      <w:r>
        <w:rPr>
          <w:kern w:val="0"/>
        </w:rPr>
        <w:t>dietary behaviors,</w:t>
      </w:r>
      <w:r w:rsidR="005853A9">
        <w:rPr>
          <w:kern w:val="0"/>
        </w:rPr>
        <w:t xml:space="preserve"> and </w:t>
      </w:r>
      <w:r>
        <w:rPr>
          <w:kern w:val="0"/>
        </w:rPr>
        <w:t>were published in English</w:t>
      </w:r>
      <w:r w:rsidR="00A37C1D">
        <w:rPr>
          <w:kern w:val="0"/>
        </w:rPr>
        <w:t>. The</w:t>
      </w:r>
      <w:r w:rsidR="003A1917">
        <w:rPr>
          <w:kern w:val="0"/>
        </w:rPr>
        <w:t xml:space="preserve"> </w:t>
      </w:r>
      <w:r>
        <w:rPr>
          <w:kern w:val="0"/>
        </w:rPr>
        <w:t>search resulted in 30 publications- I on physical activity behaviors</w:t>
      </w:r>
      <w:r w:rsidR="005853A9">
        <w:rPr>
          <w:kern w:val="0"/>
        </w:rPr>
        <w:t xml:space="preserve"> and </w:t>
      </w:r>
      <w:r>
        <w:rPr>
          <w:kern w:val="0"/>
        </w:rPr>
        <w:t>26 on nutrition behaviors, some studies investigated multiple behaviors. Results: Three</w:t>
      </w:r>
      <w:r w:rsidR="00427468">
        <w:rPr>
          <w:kern w:val="0"/>
        </w:rPr>
        <w:t xml:space="preserve"> of </w:t>
      </w:r>
      <w:r>
        <w:rPr>
          <w:kern w:val="0"/>
        </w:rPr>
        <w:t>I I</w:t>
      </w:r>
      <w:r w:rsidR="00427468">
        <w:rPr>
          <w:kern w:val="0"/>
        </w:rPr>
        <w:t xml:space="preserve"> of </w:t>
      </w:r>
      <w:r w:rsidR="003A1917">
        <w:rPr>
          <w:kern w:val="0"/>
        </w:rPr>
        <w:t xml:space="preserve">the </w:t>
      </w:r>
      <w:r>
        <w:rPr>
          <w:kern w:val="0"/>
        </w:rPr>
        <w:t>physical activity studies</w:t>
      </w:r>
      <w:r w:rsidR="005853A9">
        <w:rPr>
          <w:kern w:val="0"/>
        </w:rPr>
        <w:t xml:space="preserve"> and </w:t>
      </w:r>
      <w:r>
        <w:rPr>
          <w:kern w:val="0"/>
        </w:rPr>
        <w:t>20</w:t>
      </w:r>
      <w:r w:rsidR="00427468">
        <w:rPr>
          <w:kern w:val="0"/>
        </w:rPr>
        <w:t xml:space="preserve"> of </w:t>
      </w:r>
      <w:r>
        <w:rPr>
          <w:kern w:val="0"/>
        </w:rPr>
        <w:t>26</w:t>
      </w:r>
      <w:r w:rsidR="00427468">
        <w:rPr>
          <w:kern w:val="0"/>
        </w:rPr>
        <w:t xml:space="preserve"> of </w:t>
      </w:r>
      <w:r w:rsidR="003A1917">
        <w:rPr>
          <w:kern w:val="0"/>
        </w:rPr>
        <w:t xml:space="preserve">the </w:t>
      </w:r>
      <w:r>
        <w:rPr>
          <w:kern w:val="0"/>
        </w:rPr>
        <w:t>nutrition studies found significant effects</w:t>
      </w:r>
      <w:r w:rsidR="00427468">
        <w:rPr>
          <w:kern w:val="0"/>
        </w:rPr>
        <w:t xml:space="preserve"> of </w:t>
      </w:r>
      <w:r w:rsidR="003A1917">
        <w:rPr>
          <w:kern w:val="0"/>
        </w:rPr>
        <w:t xml:space="preserve">the </w:t>
      </w:r>
      <w:r>
        <w:rPr>
          <w:kern w:val="0"/>
        </w:rPr>
        <w:t>tailored interventions</w:t>
      </w:r>
      <w:r w:rsidR="00A37C1D">
        <w:rPr>
          <w:kern w:val="0"/>
        </w:rPr>
        <w:t>. The</w:t>
      </w:r>
      <w:r w:rsidR="003A1917">
        <w:rPr>
          <w:kern w:val="0"/>
        </w:rPr>
        <w:t xml:space="preserve"> </w:t>
      </w:r>
      <w:r>
        <w:rPr>
          <w:kern w:val="0"/>
        </w:rPr>
        <w:t>evidence was most consistent for tailored interventions on fat reduction. Conclusions: Overall, there seems to be potential for</w:t>
      </w:r>
      <w:r w:rsidR="003A1917">
        <w:rPr>
          <w:kern w:val="0"/>
        </w:rPr>
        <w:t xml:space="preserve"> the </w:t>
      </w:r>
      <w:r>
        <w:rPr>
          <w:kern w:val="0"/>
        </w:rPr>
        <w:t>application</w:t>
      </w:r>
      <w:r w:rsidR="00427468">
        <w:rPr>
          <w:kern w:val="0"/>
        </w:rPr>
        <w:t xml:space="preserve"> of </w:t>
      </w:r>
      <w:r>
        <w:rPr>
          <w:kern w:val="0"/>
        </w:rPr>
        <w:t>computer tailoring for promoting healthy diets, but more research is needed to test computer-tailored interventions against other state</w:t>
      </w:r>
      <w:r w:rsidR="00434900">
        <w:rPr>
          <w:kern w:val="0"/>
        </w:rPr>
        <w:t>-of-</w:t>
      </w:r>
      <w:r>
        <w:rPr>
          <w:kern w:val="0"/>
        </w:rPr>
        <w:t>the-art intervention techniques</w:t>
      </w:r>
      <w:r w:rsidR="005853A9">
        <w:rPr>
          <w:kern w:val="0"/>
        </w:rPr>
        <w:t xml:space="preserve"> and </w:t>
      </w:r>
      <w:r>
        <w:rPr>
          <w:kern w:val="0"/>
        </w:rPr>
        <w:t>to identify</w:t>
      </w:r>
      <w:r w:rsidR="003A1917">
        <w:rPr>
          <w:kern w:val="0"/>
        </w:rPr>
        <w:t xml:space="preserve"> the </w:t>
      </w:r>
      <w:r>
        <w:rPr>
          <w:kern w:val="0"/>
        </w:rPr>
        <w:t>mechanisms underlying successful computer tailoring.</w:t>
      </w:r>
    </w:p>
    <w:p w:rsidR="0062028A" w:rsidRDefault="0062028A" w:rsidP="0062028A">
      <w:pPr>
        <w:pStyle w:val="a3"/>
        <w:rPr>
          <w:kern w:val="0"/>
        </w:rPr>
      </w:pPr>
      <w:r>
        <w:rPr>
          <w:kern w:val="0"/>
        </w:rPr>
        <w:t xml:space="preserve">Keywords: Adults, Base-Line Survey, Education, Effectiveness, Evaluation, Information-System, Intervention, Intervention Studies, Interventions, Literature, Methods, Nutrition, Nutrition Education, Physical Activity, Prevention, Primary, </w:t>
      </w:r>
      <w:r>
        <w:rPr>
          <w:kern w:val="0"/>
        </w:rPr>
        <w:lastRenderedPageBreak/>
        <w:t xml:space="preserve">Primary Prevention, Primary-Care, Promotion, Promotion Interventions Work, Publications, </w:t>
      </w:r>
      <w:r w:rsidR="002C12F0">
        <w:rPr>
          <w:kern w:val="0"/>
        </w:rPr>
        <w:t>PUBMED</w:t>
      </w:r>
      <w:r>
        <w:rPr>
          <w:kern w:val="0"/>
        </w:rPr>
        <w:t>, Randomized Controlled Trial, Receiving Food Assistance, Reduce Fat Intake, Research, Review, Science, State</w:t>
      </w:r>
      <w:r w:rsidR="00427468">
        <w:rPr>
          <w:kern w:val="0"/>
        </w:rPr>
        <w:t xml:space="preserve"> of </w:t>
      </w:r>
      <w:r w:rsidR="003A1917">
        <w:rPr>
          <w:kern w:val="0"/>
        </w:rPr>
        <w:t xml:space="preserve">the </w:t>
      </w:r>
      <w:r>
        <w:rPr>
          <w:kern w:val="0"/>
        </w:rPr>
        <w:t xml:space="preserve">Art, Strategy, Systematic, Systematic Review, Transtheoretical Model, United-States, Vegetable Intake,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Goldbacher, E.M.</w:t>
      </w:r>
      <w:r w:rsidR="005853A9">
        <w:rPr>
          <w:kern w:val="0"/>
        </w:rPr>
        <w:t xml:space="preserve"> and </w:t>
      </w:r>
      <w:r>
        <w:rPr>
          <w:kern w:val="0"/>
        </w:rPr>
        <w:t>Matthews, K.A. (2007), Are psychological characteristics related to risk</w:t>
      </w:r>
      <w:r w:rsidR="00427468">
        <w:rPr>
          <w:kern w:val="0"/>
        </w:rPr>
        <w:t xml:space="preserve"> of </w:t>
      </w:r>
      <w:r w:rsidR="003A1917">
        <w:rPr>
          <w:kern w:val="0"/>
        </w:rPr>
        <w:t xml:space="preserve">the </w:t>
      </w:r>
      <w:r>
        <w:rPr>
          <w:kern w:val="0"/>
        </w:rPr>
        <w:t>metabolic syndrome? A review</w:t>
      </w:r>
      <w:r w:rsidR="00427468">
        <w:rPr>
          <w:kern w:val="0"/>
        </w:rPr>
        <w:t xml:space="preserve"> of </w:t>
      </w:r>
      <w:r w:rsidR="003A1917">
        <w:rPr>
          <w:kern w:val="0"/>
        </w:rPr>
        <w:t xml:space="preserve">the </w:t>
      </w:r>
      <w:r>
        <w:rPr>
          <w:kern w:val="0"/>
        </w:rPr>
        <w:t xml:space="preserve">literature. </w:t>
      </w:r>
      <w:r>
        <w:rPr>
          <w:i/>
          <w:iCs/>
          <w:kern w:val="0"/>
        </w:rPr>
        <w:t>Annals</w:t>
      </w:r>
      <w:r w:rsidR="00427468">
        <w:rPr>
          <w:i/>
          <w:iCs/>
          <w:kern w:val="0"/>
        </w:rPr>
        <w:t xml:space="preserve"> of </w:t>
      </w:r>
      <w:r>
        <w:rPr>
          <w:i/>
          <w:iCs/>
          <w:kern w:val="0"/>
        </w:rPr>
        <w:t>Behavioral Medicine</w:t>
      </w:r>
      <w:r>
        <w:rPr>
          <w:kern w:val="0"/>
        </w:rPr>
        <w:t xml:space="preserve">, </w:t>
      </w:r>
      <w:r>
        <w:rPr>
          <w:b/>
          <w:bCs/>
          <w:kern w:val="0"/>
        </w:rPr>
        <w:t>34</w:t>
      </w:r>
      <w:r>
        <w:rPr>
          <w:kern w:val="0"/>
        </w:rPr>
        <w:t xml:space="preserve"> (3), 240-252.</w:t>
      </w:r>
    </w:p>
    <w:p w:rsidR="0062028A" w:rsidRDefault="0062028A" w:rsidP="0062028A">
      <w:pPr>
        <w:pStyle w:val="a3"/>
        <w:rPr>
          <w:kern w:val="0"/>
        </w:rPr>
      </w:pPr>
      <w:r>
        <w:rPr>
          <w:kern w:val="0"/>
        </w:rPr>
        <w:t>Abstract: Background: We evaluate</w:t>
      </w:r>
      <w:r w:rsidR="003A1917">
        <w:rPr>
          <w:kern w:val="0"/>
        </w:rPr>
        <w:t xml:space="preserve"> the </w:t>
      </w:r>
      <w:r>
        <w:rPr>
          <w:kern w:val="0"/>
        </w:rPr>
        <w:t>evidence that depression, anger, hostility,</w:t>
      </w:r>
      <w:r w:rsidR="005853A9">
        <w:rPr>
          <w:kern w:val="0"/>
        </w:rPr>
        <w:t xml:space="preserve"> and </w:t>
      </w:r>
      <w:r>
        <w:rPr>
          <w:kern w:val="0"/>
        </w:rPr>
        <w:t>anxiety are related to risk for</w:t>
      </w:r>
      <w:r w:rsidR="003A1917">
        <w:rPr>
          <w:kern w:val="0"/>
        </w:rPr>
        <w:t xml:space="preserve"> the </w:t>
      </w:r>
      <w:r>
        <w:rPr>
          <w:kern w:val="0"/>
        </w:rPr>
        <w:t>metabolic syndrome, focusing as well on its components</w:t>
      </w:r>
      <w:r w:rsidR="00427468">
        <w:rPr>
          <w:kern w:val="0"/>
        </w:rPr>
        <w:t xml:space="preserve"> of </w:t>
      </w:r>
      <w:r>
        <w:rPr>
          <w:kern w:val="0"/>
        </w:rPr>
        <w:t>central adiposity</w:t>
      </w:r>
      <w:r w:rsidR="005853A9">
        <w:rPr>
          <w:kern w:val="0"/>
        </w:rPr>
        <w:t xml:space="preserve"> and </w:t>
      </w:r>
      <w:r>
        <w:rPr>
          <w:kern w:val="0"/>
        </w:rPr>
        <w:t>insulin resistance. In addition, we identify possible moderators</w:t>
      </w:r>
      <w:r w:rsidR="00427468">
        <w:rPr>
          <w:kern w:val="0"/>
        </w:rPr>
        <w:t xml:space="preserve"> of </w:t>
      </w:r>
      <w:r>
        <w:rPr>
          <w:kern w:val="0"/>
        </w:rPr>
        <w:t>these associations</w:t>
      </w:r>
      <w:r w:rsidR="005853A9">
        <w:rPr>
          <w:kern w:val="0"/>
        </w:rPr>
        <w:t xml:space="preserve"> and </w:t>
      </w:r>
      <w:r>
        <w:rPr>
          <w:kern w:val="0"/>
        </w:rPr>
        <w:t xml:space="preserve">summarize plausible underlying biobehavioral pathways. Methods: </w:t>
      </w:r>
      <w:r w:rsidR="00D5664A">
        <w:rPr>
          <w:kern w:val="0"/>
        </w:rPr>
        <w:t>MEDLINE</w:t>
      </w:r>
      <w:r>
        <w:rPr>
          <w:kern w:val="0"/>
        </w:rPr>
        <w:t xml:space="preserve">, PsycINFO, </w:t>
      </w:r>
      <w:r w:rsidR="002C12F0">
        <w:rPr>
          <w:kern w:val="0"/>
        </w:rPr>
        <w:t>PUBMED</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searches were conducted using</w:t>
      </w:r>
      <w:r w:rsidR="003A1917">
        <w:rPr>
          <w:kern w:val="0"/>
        </w:rPr>
        <w:t xml:space="preserve"> the </w:t>
      </w:r>
      <w:r>
        <w:rPr>
          <w:kern w:val="0"/>
        </w:rPr>
        <w:t>keywords metabolic syndrome, syndrome x, central adiposity/obesity, visceral adiposity/obesity, body fat distribution, waist circumference, waist hip ratio, insulin resistance/sensitivity, glucose tolerance, psychological, depression, hostility, anger, cynicism,</w:t>
      </w:r>
      <w:r w:rsidR="005853A9">
        <w:rPr>
          <w:kern w:val="0"/>
        </w:rPr>
        <w:t xml:space="preserve"> and </w:t>
      </w:r>
      <w:r>
        <w:rPr>
          <w:kern w:val="0"/>
        </w:rPr>
        <w:t>anxiety. Results:</w:t>
      </w:r>
      <w:r w:rsidR="003A1917">
        <w:rPr>
          <w:kern w:val="0"/>
        </w:rPr>
        <w:t xml:space="preserve"> the </w:t>
      </w:r>
      <w:r>
        <w:rPr>
          <w:kern w:val="0"/>
        </w:rPr>
        <w:t>current literature provides cross-sectional evidence for an association between psychological characteristics</w:t>
      </w:r>
      <w:r w:rsidR="005853A9">
        <w:rPr>
          <w:kern w:val="0"/>
        </w:rPr>
        <w:t xml:space="preserve"> and </w:t>
      </w:r>
      <w:r w:rsidR="003A1917">
        <w:rPr>
          <w:kern w:val="0"/>
        </w:rPr>
        <w:t xml:space="preserve">the </w:t>
      </w:r>
      <w:r>
        <w:rPr>
          <w:kern w:val="0"/>
        </w:rPr>
        <w:t>metabolic syndrome. Prospective data, though limited, suggest that depression, hostility,</w:t>
      </w:r>
      <w:r w:rsidR="005853A9">
        <w:rPr>
          <w:kern w:val="0"/>
        </w:rPr>
        <w:t xml:space="preserve"> and </w:t>
      </w:r>
      <w:r>
        <w:rPr>
          <w:kern w:val="0"/>
        </w:rPr>
        <w:t>anger predict increased risk for</w:t>
      </w:r>
      <w:r w:rsidR="003A1917">
        <w:rPr>
          <w:kern w:val="0"/>
        </w:rPr>
        <w:t xml:space="preserve"> the </w:t>
      </w:r>
      <w:r>
        <w:rPr>
          <w:kern w:val="0"/>
        </w:rPr>
        <w:t>metabolic syndrome. Data on modifiers are too limited to permit definitive conclusions. Negative health behaviors</w:t>
      </w:r>
      <w:r w:rsidR="005853A9">
        <w:rPr>
          <w:kern w:val="0"/>
        </w:rPr>
        <w:t xml:space="preserve"> and </w:t>
      </w:r>
      <w:r>
        <w:rPr>
          <w:kern w:val="0"/>
        </w:rPr>
        <w:t>hypothalamic</w:t>
      </w:r>
      <w:r w:rsidR="005853A9">
        <w:rPr>
          <w:kern w:val="0"/>
        </w:rPr>
        <w:t xml:space="preserve"> and </w:t>
      </w:r>
      <w:r>
        <w:rPr>
          <w:kern w:val="0"/>
        </w:rPr>
        <w:t>sympathetic dysregulation are identified as plausible underlying pathways. Conclusions: More prospective studies, conducted with diverse samples, are needed to delineate</w:t>
      </w:r>
      <w:r w:rsidR="003A1917">
        <w:rPr>
          <w:kern w:val="0"/>
        </w:rPr>
        <w:t xml:space="preserve"> the </w:t>
      </w:r>
      <w:r>
        <w:rPr>
          <w:kern w:val="0"/>
        </w:rPr>
        <w:t>direction</w:t>
      </w:r>
      <w:r w:rsidR="00427468">
        <w:rPr>
          <w:kern w:val="0"/>
        </w:rPr>
        <w:t xml:space="preserve"> of </w:t>
      </w:r>
      <w:r>
        <w:rPr>
          <w:kern w:val="0"/>
        </w:rPr>
        <w:t>this relationship</w:t>
      </w:r>
      <w:r w:rsidR="005853A9">
        <w:rPr>
          <w:kern w:val="0"/>
        </w:rPr>
        <w:t xml:space="preserve"> and </w:t>
      </w:r>
      <w:r w:rsidR="003A1917">
        <w:rPr>
          <w:kern w:val="0"/>
        </w:rPr>
        <w:t xml:space="preserve">the </w:t>
      </w:r>
      <w:r>
        <w:rPr>
          <w:kern w:val="0"/>
        </w:rPr>
        <w:t>proposed biobehavioral mechanisms; experimental investigations are needed to test for ca</w:t>
      </w:r>
      <w:r w:rsidR="00D5664A">
        <w:rPr>
          <w:kern w:val="0"/>
        </w:rPr>
        <w:t>USA</w:t>
      </w:r>
      <w:r>
        <w:rPr>
          <w:kern w:val="0"/>
        </w:rPr>
        <w:t>lity. Nevertheless, findings suggest that psychological characteristics, especially depression, hostility,</w:t>
      </w:r>
      <w:r w:rsidR="005853A9">
        <w:rPr>
          <w:kern w:val="0"/>
        </w:rPr>
        <w:t xml:space="preserve"> and </w:t>
      </w:r>
      <w:r>
        <w:rPr>
          <w:kern w:val="0"/>
        </w:rPr>
        <w:t>anger, may increase risk for</w:t>
      </w:r>
      <w:r w:rsidR="003A1917">
        <w:rPr>
          <w:kern w:val="0"/>
        </w:rPr>
        <w:t xml:space="preserve"> the </w:t>
      </w:r>
      <w:r>
        <w:rPr>
          <w:kern w:val="0"/>
        </w:rPr>
        <w:t>metabolic syndrome, providing a novel direction for prevention</w:t>
      </w:r>
      <w:r w:rsidR="005853A9">
        <w:rPr>
          <w:kern w:val="0"/>
        </w:rPr>
        <w:t xml:space="preserve"> and </w:t>
      </w:r>
      <w:r>
        <w:rPr>
          <w:kern w:val="0"/>
        </w:rPr>
        <w:t>treatment interventions.</w:t>
      </w:r>
    </w:p>
    <w:p w:rsidR="0062028A" w:rsidRDefault="0062028A" w:rsidP="0062028A">
      <w:pPr>
        <w:pStyle w:val="a3"/>
        <w:rPr>
          <w:kern w:val="0"/>
        </w:rPr>
      </w:pPr>
      <w:r>
        <w:rPr>
          <w:kern w:val="0"/>
        </w:rPr>
        <w:t>Keywords: 1966 Birth Cohort, Adiposity, Anxiety, Body-Fat Distribution, Ca</w:t>
      </w:r>
      <w:r w:rsidR="00D5664A">
        <w:rPr>
          <w:kern w:val="0"/>
        </w:rPr>
        <w:t>USA</w:t>
      </w:r>
      <w:r>
        <w:rPr>
          <w:kern w:val="0"/>
        </w:rPr>
        <w:t>lity, Coronary-Heart-Disease, Depression, Healthy Postmenopa</w:t>
      </w:r>
      <w:r w:rsidR="00D5664A">
        <w:rPr>
          <w:kern w:val="0"/>
        </w:rPr>
        <w:t>USA</w:t>
      </w:r>
      <w:r>
        <w:rPr>
          <w:kern w:val="0"/>
        </w:rPr>
        <w:t xml:space="preserve">l Women, Insulin, Insulin-Induced Hypoglycemia, Interventions, Life-Style Intervention, Literature, Methods, Middle-Aged Women, Nutrition Examination Survey, Pituitary-Adrenal Axis, Prevention, Prospective Studies, </w:t>
      </w:r>
      <w:r w:rsidR="002C12F0">
        <w:rPr>
          <w:kern w:val="0"/>
        </w:rPr>
        <w:t>PUBMED</w:t>
      </w:r>
      <w:r>
        <w:rPr>
          <w:kern w:val="0"/>
        </w:rPr>
        <w:t xml:space="preserve">, Ratio, Resistance, Review, Risk, Science, Treatment, Visceral Adipose-Tissue, </w:t>
      </w:r>
      <w:r w:rsidR="00D5664A">
        <w:rPr>
          <w:kern w:val="0"/>
        </w:rPr>
        <w:t>Web</w:t>
      </w:r>
      <w:r w:rsidR="00427468">
        <w:rPr>
          <w:kern w:val="0"/>
        </w:rPr>
        <w:t xml:space="preserve"> of </w:t>
      </w:r>
      <w:r w:rsidR="00D5664A">
        <w:rPr>
          <w:kern w:val="0"/>
        </w:rPr>
        <w:t>Science</w:t>
      </w:r>
    </w:p>
    <w:p w:rsidR="008008ED" w:rsidRPr="001A3D2B" w:rsidRDefault="008008ED" w:rsidP="008008ED">
      <w:pPr>
        <w:pStyle w:val="1"/>
      </w:pPr>
      <w:r w:rsidRPr="001A3D2B">
        <w:br w:type="page"/>
      </w:r>
      <w:bookmarkStart w:id="451" w:name="_Toc420814491"/>
      <w:r w:rsidRPr="001A3D2B">
        <w:lastRenderedPageBreak/>
        <w:t>Title: Annals</w:t>
      </w:r>
      <w:r w:rsidR="00427468">
        <w:t xml:space="preserve"> of </w:t>
      </w:r>
      <w:r w:rsidRPr="001A3D2B">
        <w:t>Biomedical Engineering</w:t>
      </w:r>
      <w:bookmarkEnd w:id="451"/>
    </w:p>
    <w:p w:rsidR="008008ED" w:rsidRPr="001A3D2B" w:rsidRDefault="008008ED" w:rsidP="008008ED">
      <w:pPr>
        <w:pStyle w:val="12"/>
      </w:pPr>
      <w:r w:rsidRPr="001A3D2B">
        <w:t>Full J</w:t>
      </w:r>
      <w:bookmarkStart w:id="452" w:name="_Toc243695956"/>
      <w:r w:rsidRPr="001A3D2B">
        <w:t>ournal Title: Annals</w:t>
      </w:r>
      <w:r w:rsidR="00427468">
        <w:t xml:space="preserve"> of </w:t>
      </w:r>
      <w:r w:rsidRPr="001A3D2B">
        <w:t>Biomedical Engi</w:t>
      </w:r>
      <w:bookmarkEnd w:id="452"/>
      <w:r w:rsidRPr="001A3D2B">
        <w:t>neering</w:t>
      </w:r>
    </w:p>
    <w:p w:rsidR="008008ED" w:rsidRPr="001A3D2B" w:rsidRDefault="008008ED" w:rsidP="008008ED">
      <w:pPr>
        <w:pStyle w:val="12"/>
      </w:pPr>
      <w:r w:rsidRPr="001A3D2B">
        <w:t xml:space="preserve">ISO Abbreviated Title: </w:t>
      </w:r>
    </w:p>
    <w:p w:rsidR="008008ED" w:rsidRPr="001A3D2B" w:rsidRDefault="008008ED" w:rsidP="008008ED">
      <w:pPr>
        <w:pStyle w:val="12"/>
      </w:pPr>
      <w:r w:rsidRPr="001A3D2B">
        <w:t xml:space="preserve">JCR Abbreviated Title: </w:t>
      </w:r>
    </w:p>
    <w:p w:rsidR="008008ED" w:rsidRPr="001A3D2B" w:rsidRDefault="008008ED" w:rsidP="008008ED">
      <w:pPr>
        <w:pStyle w:val="12"/>
      </w:pPr>
      <w:r w:rsidRPr="001A3D2B">
        <w:t xml:space="preserve">ISSN: </w:t>
      </w:r>
    </w:p>
    <w:p w:rsidR="008008ED" w:rsidRPr="001A3D2B" w:rsidRDefault="008008ED" w:rsidP="008008ED">
      <w:pPr>
        <w:pStyle w:val="12"/>
      </w:pPr>
      <w:r w:rsidRPr="001A3D2B">
        <w:t xml:space="preserve">Issues/Year: </w:t>
      </w:r>
    </w:p>
    <w:p w:rsidR="008008ED" w:rsidRPr="001A3D2B" w:rsidRDefault="008008ED" w:rsidP="008008ED">
      <w:pPr>
        <w:pStyle w:val="12"/>
      </w:pPr>
      <w:r w:rsidRPr="001A3D2B">
        <w:t xml:space="preserve">Journal Country/Territory: </w:t>
      </w:r>
    </w:p>
    <w:p w:rsidR="008008ED" w:rsidRPr="001A3D2B" w:rsidRDefault="008008ED" w:rsidP="008008ED">
      <w:pPr>
        <w:pStyle w:val="12"/>
      </w:pPr>
      <w:r w:rsidRPr="001A3D2B">
        <w:t xml:space="preserve">Language: </w:t>
      </w:r>
    </w:p>
    <w:p w:rsidR="008008ED" w:rsidRPr="001A3D2B" w:rsidRDefault="008008ED" w:rsidP="008008ED">
      <w:pPr>
        <w:pStyle w:val="12"/>
      </w:pPr>
      <w:r w:rsidRPr="001A3D2B">
        <w:t xml:space="preserve">Publisher: </w:t>
      </w:r>
    </w:p>
    <w:p w:rsidR="008008ED" w:rsidRPr="001A3D2B" w:rsidRDefault="008008ED" w:rsidP="008008ED">
      <w:pPr>
        <w:pStyle w:val="12"/>
      </w:pPr>
      <w:r w:rsidRPr="001A3D2B">
        <w:t xml:space="preserve">Publisher Address: </w:t>
      </w:r>
    </w:p>
    <w:p w:rsidR="008008ED" w:rsidRPr="001A3D2B" w:rsidRDefault="008008ED" w:rsidP="008008ED">
      <w:pPr>
        <w:pStyle w:val="12"/>
      </w:pPr>
      <w:r w:rsidRPr="001A3D2B">
        <w:t xml:space="preserve">Subject Categories: </w:t>
      </w:r>
    </w:p>
    <w:p w:rsidR="008008ED" w:rsidRPr="001A3D2B" w:rsidRDefault="008008ED" w:rsidP="008008ED">
      <w:pPr>
        <w:pStyle w:val="12"/>
      </w:pPr>
      <w:r w:rsidRPr="001A3D2B">
        <w:t xml:space="preserve">: Impact Factor </w:t>
      </w:r>
    </w:p>
    <w:p w:rsidR="008008ED" w:rsidRPr="001A3D2B" w:rsidRDefault="008008ED" w:rsidP="008008ED">
      <w:pPr>
        <w:pStyle w:val="a3"/>
        <w:rPr>
          <w:kern w:val="0"/>
          <w:szCs w:val="24"/>
        </w:rPr>
      </w:pPr>
      <w:r w:rsidRPr="001A3D2B">
        <w:rPr>
          <w:kern w:val="0"/>
          <w:szCs w:val="24"/>
        </w:rPr>
        <w:t>? Foo, J.Y.A. (2009</w:t>
      </w:r>
      <w:r w:rsidR="00F42EAC">
        <w:rPr>
          <w:kern w:val="0"/>
          <w:szCs w:val="24"/>
        </w:rPr>
        <w:t>), The</w:t>
      </w:r>
      <w:r w:rsidR="003A1917">
        <w:rPr>
          <w:kern w:val="0"/>
          <w:szCs w:val="24"/>
        </w:rPr>
        <w:t xml:space="preserve"> </w:t>
      </w:r>
      <w:r w:rsidRPr="001A3D2B">
        <w:rPr>
          <w:kern w:val="0"/>
          <w:szCs w:val="24"/>
        </w:rPr>
        <w:t>retrospective analysis</w:t>
      </w:r>
      <w:r w:rsidR="00427468">
        <w:rPr>
          <w:kern w:val="0"/>
          <w:szCs w:val="24"/>
        </w:rPr>
        <w:t xml:space="preserve"> of </w:t>
      </w:r>
      <w:r w:rsidRPr="001A3D2B">
        <w:rPr>
          <w:kern w:val="0"/>
          <w:szCs w:val="24"/>
        </w:rPr>
        <w:t xml:space="preserve">bibliographical trends for nine biomedical engineering journals from 1999 to 2007. </w:t>
      </w:r>
      <w:r w:rsidRPr="001A3D2B">
        <w:rPr>
          <w:i/>
          <w:iCs/>
          <w:kern w:val="0"/>
          <w:szCs w:val="24"/>
        </w:rPr>
        <w:t>Annals</w:t>
      </w:r>
      <w:r w:rsidR="00427468">
        <w:rPr>
          <w:i/>
          <w:iCs/>
          <w:kern w:val="0"/>
          <w:szCs w:val="24"/>
        </w:rPr>
        <w:t xml:space="preserve"> of </w:t>
      </w:r>
      <w:r w:rsidRPr="001A3D2B">
        <w:rPr>
          <w:i/>
          <w:iCs/>
          <w:kern w:val="0"/>
          <w:szCs w:val="24"/>
        </w:rPr>
        <w:t>Biomedical Engineering</w:t>
      </w:r>
      <w:r w:rsidRPr="001A3D2B">
        <w:rPr>
          <w:kern w:val="0"/>
          <w:szCs w:val="24"/>
        </w:rPr>
        <w:t xml:space="preserve">, </w:t>
      </w:r>
      <w:r w:rsidRPr="001A3D2B">
        <w:rPr>
          <w:b/>
          <w:bCs/>
          <w:kern w:val="0"/>
          <w:szCs w:val="24"/>
        </w:rPr>
        <w:t>37</w:t>
      </w:r>
      <w:r w:rsidRPr="001A3D2B">
        <w:rPr>
          <w:kern w:val="0"/>
          <w:szCs w:val="24"/>
        </w:rPr>
        <w:t xml:space="preserve"> (7), 1474-1481.</w:t>
      </w:r>
    </w:p>
    <w:p w:rsidR="005C6431" w:rsidRPr="00F219CA" w:rsidRDefault="005C6431" w:rsidP="005C6431">
      <w:pPr>
        <w:pStyle w:val="a3"/>
        <w:rPr>
          <w:kern w:val="0"/>
          <w:szCs w:val="24"/>
        </w:rPr>
      </w:pPr>
      <w:r>
        <w:rPr>
          <w:rFonts w:hint="eastAsia"/>
          <w:kern w:val="0"/>
          <w:szCs w:val="24"/>
        </w:rPr>
        <w:t xml:space="preserve">Full Text: </w:t>
      </w:r>
      <w:hyperlink r:id="rId829" w:history="1">
        <w:r w:rsidRPr="00E64737">
          <w:rPr>
            <w:rStyle w:val="a5"/>
            <w:kern w:val="0"/>
            <w:szCs w:val="24"/>
          </w:rPr>
          <w:t>2009\Ann Bio Eng37, 1474.pdf</w:t>
        </w:r>
      </w:hyperlink>
    </w:p>
    <w:p w:rsidR="008008ED" w:rsidRPr="001A3D2B" w:rsidRDefault="008008ED" w:rsidP="008008ED">
      <w:pPr>
        <w:pStyle w:val="a3"/>
        <w:rPr>
          <w:kern w:val="0"/>
          <w:szCs w:val="24"/>
        </w:rPr>
      </w:pPr>
      <w:r w:rsidRPr="001A3D2B">
        <w:rPr>
          <w:kern w:val="0"/>
          <w:szCs w:val="24"/>
        </w:rPr>
        <w:t>Abstract: For academic research outcomes, there is an increasing emphasis on</w:t>
      </w:r>
      <w:r w:rsidR="003A1917">
        <w:rPr>
          <w:kern w:val="0"/>
          <w:szCs w:val="24"/>
        </w:rPr>
        <w:t xml:space="preserve"> the </w:t>
      </w:r>
      <w:r w:rsidRPr="001A3D2B">
        <w:rPr>
          <w:kern w:val="0"/>
          <w:szCs w:val="24"/>
        </w:rPr>
        <w:t>bibliometric scorings like</w:t>
      </w:r>
      <w:r w:rsidR="003A1917">
        <w:rPr>
          <w:kern w:val="0"/>
          <w:szCs w:val="24"/>
        </w:rPr>
        <w:t xml:space="preserve"> the </w:t>
      </w:r>
      <w:r w:rsidRPr="001A3D2B">
        <w:rPr>
          <w:kern w:val="0"/>
          <w:szCs w:val="24"/>
        </w:rPr>
        <w:t>journal impact factor (JIF) when assessment</w:t>
      </w:r>
      <w:r w:rsidR="00427468">
        <w:rPr>
          <w:kern w:val="0"/>
          <w:szCs w:val="24"/>
        </w:rPr>
        <w:t xml:space="preserve"> of </w:t>
      </w:r>
      <w:r w:rsidR="003A1917">
        <w:rPr>
          <w:kern w:val="0"/>
          <w:szCs w:val="24"/>
        </w:rPr>
        <w:t xml:space="preserve">the </w:t>
      </w:r>
      <w:r w:rsidRPr="001A3D2B">
        <w:rPr>
          <w:kern w:val="0"/>
          <w:szCs w:val="24"/>
        </w:rPr>
        <w:t>quality</w:t>
      </w:r>
      <w:r w:rsidR="00427468">
        <w:rPr>
          <w:kern w:val="0"/>
          <w:szCs w:val="24"/>
        </w:rPr>
        <w:t xml:space="preserve"> of </w:t>
      </w:r>
      <w:r w:rsidRPr="001A3D2B">
        <w:rPr>
          <w:kern w:val="0"/>
          <w:szCs w:val="24"/>
        </w:rPr>
        <w:t>research is required. Currently, no known study has been conducted to explore</w:t>
      </w:r>
      <w:r w:rsidR="003A1917">
        <w:rPr>
          <w:kern w:val="0"/>
          <w:szCs w:val="24"/>
        </w:rPr>
        <w:t xml:space="preserve"> the </w:t>
      </w:r>
      <w:r w:rsidRPr="001A3D2B">
        <w:rPr>
          <w:kern w:val="0"/>
          <w:szCs w:val="24"/>
        </w:rPr>
        <w:t>bibliographical trends</w:t>
      </w:r>
      <w:r w:rsidR="00427468">
        <w:rPr>
          <w:kern w:val="0"/>
          <w:szCs w:val="24"/>
        </w:rPr>
        <w:t xml:space="preserve"> of </w:t>
      </w:r>
      <w:r w:rsidR="003A1917">
        <w:rPr>
          <w:kern w:val="0"/>
          <w:szCs w:val="24"/>
        </w:rPr>
        <w:t xml:space="preserve">the </w:t>
      </w:r>
      <w:r w:rsidRPr="001A3D2B">
        <w:rPr>
          <w:kern w:val="0"/>
          <w:szCs w:val="24"/>
        </w:rPr>
        <w:t>biomedical engineering journals indexed by</w:t>
      </w:r>
      <w:r w:rsidR="003A1917">
        <w:rPr>
          <w:kern w:val="0"/>
          <w:szCs w:val="24"/>
        </w:rPr>
        <w:t xml:space="preserve"> the </w:t>
      </w:r>
      <w:r w:rsidRPr="001A3D2B">
        <w:rPr>
          <w:kern w:val="0"/>
          <w:szCs w:val="24"/>
        </w:rPr>
        <w:t>annual Journal Citation Reports(A (R))</w:t>
      </w:r>
      <w:r w:rsidR="00427468">
        <w:rPr>
          <w:kern w:val="0"/>
          <w:szCs w:val="24"/>
        </w:rPr>
        <w:t xml:space="preserve"> of </w:t>
      </w:r>
      <w:r w:rsidR="003A1917">
        <w:rPr>
          <w:kern w:val="0"/>
          <w:szCs w:val="24"/>
        </w:rPr>
        <w:t xml:space="preserve">the </w:t>
      </w:r>
      <w:r w:rsidRPr="001A3D2B">
        <w:rPr>
          <w:kern w:val="0"/>
          <w:szCs w:val="24"/>
        </w:rPr>
        <w:t>Thomson Scientific. In this study,</w:t>
      </w:r>
      <w:r w:rsidR="003A1917">
        <w:rPr>
          <w:kern w:val="0"/>
          <w:szCs w:val="24"/>
        </w:rPr>
        <w:t xml:space="preserve"> the </w:t>
      </w:r>
      <w:r w:rsidRPr="001A3D2B">
        <w:rPr>
          <w:kern w:val="0"/>
          <w:szCs w:val="24"/>
        </w:rPr>
        <w:t>trends</w:t>
      </w:r>
      <w:r w:rsidR="00427468">
        <w:rPr>
          <w:kern w:val="0"/>
          <w:szCs w:val="24"/>
        </w:rPr>
        <w:t xml:space="preserve"> of </w:t>
      </w:r>
      <w:r w:rsidRPr="001A3D2B">
        <w:rPr>
          <w:kern w:val="0"/>
          <w:szCs w:val="24"/>
        </w:rPr>
        <w:t>nine reputable journals were selected</w:t>
      </w:r>
      <w:r w:rsidR="005853A9">
        <w:rPr>
          <w:kern w:val="0"/>
          <w:szCs w:val="24"/>
        </w:rPr>
        <w:t xml:space="preserve"> and </w:t>
      </w:r>
      <w:r w:rsidRPr="001A3D2B">
        <w:rPr>
          <w:kern w:val="0"/>
          <w:szCs w:val="24"/>
        </w:rPr>
        <w:t>analyzed over a 9-year period (year 1999 to year 2007)</w:t>
      </w:r>
      <w:r w:rsidR="00A37C1D">
        <w:rPr>
          <w:kern w:val="0"/>
          <w:szCs w:val="24"/>
        </w:rPr>
        <w:t>. The</w:t>
      </w:r>
      <w:r w:rsidR="003A1917">
        <w:rPr>
          <w:kern w:val="0"/>
          <w:szCs w:val="24"/>
        </w:rPr>
        <w:t xml:space="preserve"> </w:t>
      </w:r>
      <w:r w:rsidRPr="001A3D2B">
        <w:rPr>
          <w:kern w:val="0"/>
          <w:szCs w:val="24"/>
        </w:rPr>
        <w:t>results show that</w:t>
      </w:r>
      <w:r w:rsidR="003A1917">
        <w:rPr>
          <w:kern w:val="0"/>
          <w:szCs w:val="24"/>
        </w:rPr>
        <w:t xml:space="preserve"> the </w:t>
      </w:r>
      <w:r w:rsidRPr="001A3D2B">
        <w:rPr>
          <w:kern w:val="0"/>
          <w:szCs w:val="24"/>
        </w:rPr>
        <w:t>JIF rose exponentially for some journals (up to 597.0%) while for others, it shrank (down to -19.5%). A similar trend is observed for</w:t>
      </w:r>
      <w:r w:rsidR="003A1917">
        <w:rPr>
          <w:kern w:val="0"/>
          <w:szCs w:val="24"/>
        </w:rPr>
        <w:t xml:space="preserve"> the </w:t>
      </w:r>
      <w:r w:rsidRPr="001A3D2B">
        <w:rPr>
          <w:kern w:val="0"/>
          <w:szCs w:val="24"/>
        </w:rPr>
        <w:t>citations trend over</w:t>
      </w:r>
      <w:r w:rsidR="003A1917">
        <w:rPr>
          <w:kern w:val="0"/>
          <w:szCs w:val="24"/>
        </w:rPr>
        <w:t xml:space="preserve"> the </w:t>
      </w:r>
      <w:r w:rsidRPr="001A3D2B">
        <w:rPr>
          <w:kern w:val="0"/>
          <w:szCs w:val="24"/>
        </w:rPr>
        <w:t>same period</w:t>
      </w:r>
      <w:r w:rsidR="005853A9">
        <w:rPr>
          <w:kern w:val="0"/>
          <w:szCs w:val="24"/>
        </w:rPr>
        <w:t xml:space="preserve"> and </w:t>
      </w:r>
      <w:r w:rsidRPr="001A3D2B">
        <w:rPr>
          <w:kern w:val="0"/>
          <w:szCs w:val="24"/>
        </w:rPr>
        <w:t>there was a significant increase in</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citable articles published (a parts per tho</w:t>
      </w:r>
      <w:r w:rsidR="00D5664A">
        <w:rPr>
          <w:kern w:val="0"/>
          <w:szCs w:val="24"/>
        </w:rPr>
        <w:t>USA</w:t>
      </w:r>
      <w:r w:rsidRPr="001A3D2B">
        <w:rPr>
          <w:kern w:val="0"/>
          <w:szCs w:val="24"/>
        </w:rPr>
        <w:t>nd yen23.6%) in all</w:t>
      </w:r>
      <w:r w:rsidR="003A1917">
        <w:rPr>
          <w:kern w:val="0"/>
          <w:szCs w:val="24"/>
        </w:rPr>
        <w:t xml:space="preserve"> the </w:t>
      </w:r>
      <w:r w:rsidRPr="001A3D2B">
        <w:rPr>
          <w:kern w:val="0"/>
          <w:szCs w:val="24"/>
        </w:rPr>
        <w:t>selected journals using year 1999 as</w:t>
      </w:r>
      <w:r w:rsidR="003A1917">
        <w:rPr>
          <w:kern w:val="0"/>
          <w:szCs w:val="24"/>
        </w:rPr>
        <w:t xml:space="preserve"> the </w:t>
      </w:r>
      <w:r w:rsidRPr="001A3D2B">
        <w:rPr>
          <w:kern w:val="0"/>
          <w:szCs w:val="24"/>
        </w:rPr>
        <w:t>base year. However, journals which published significant more non-research articles (a parts per tho</w:t>
      </w:r>
      <w:r w:rsidR="00D5664A">
        <w:rPr>
          <w:kern w:val="0"/>
          <w:szCs w:val="24"/>
        </w:rPr>
        <w:t>USA</w:t>
      </w:r>
      <w:r w:rsidRPr="001A3D2B">
        <w:rPr>
          <w:kern w:val="0"/>
          <w:szCs w:val="24"/>
        </w:rPr>
        <w:t>nd yen10%) saw favorable subsequent effects on their citations. It is postulated that</w:t>
      </w:r>
      <w:r w:rsidR="003A1917">
        <w:rPr>
          <w:kern w:val="0"/>
          <w:szCs w:val="24"/>
        </w:rPr>
        <w:t xml:space="preserve"> the </w:t>
      </w:r>
      <w:r w:rsidRPr="001A3D2B">
        <w:rPr>
          <w:kern w:val="0"/>
          <w:szCs w:val="24"/>
        </w:rPr>
        <w:t>changes in bibliographical trends can be classified as editorial</w:t>
      </w:r>
      <w:r w:rsidR="005853A9">
        <w:rPr>
          <w:kern w:val="0"/>
          <w:szCs w:val="24"/>
        </w:rPr>
        <w:t xml:space="preserve"> and </w:t>
      </w:r>
      <w:r w:rsidRPr="001A3D2B">
        <w:rPr>
          <w:kern w:val="0"/>
          <w:szCs w:val="24"/>
        </w:rPr>
        <w:t>non-editorial influences</w:t>
      </w:r>
      <w:r w:rsidR="00A37C1D">
        <w:rPr>
          <w:kern w:val="0"/>
          <w:szCs w:val="24"/>
        </w:rPr>
        <w:t>. The</w:t>
      </w:r>
      <w:r w:rsidR="003A1917">
        <w:rPr>
          <w:kern w:val="0"/>
          <w:szCs w:val="24"/>
        </w:rPr>
        <w:t xml:space="preserve"> </w:t>
      </w:r>
      <w:r w:rsidRPr="001A3D2B">
        <w:rPr>
          <w:kern w:val="0"/>
          <w:szCs w:val="24"/>
        </w:rPr>
        <w:t>retrospective impacts</w:t>
      </w:r>
      <w:r w:rsidR="00427468">
        <w:rPr>
          <w:kern w:val="0"/>
          <w:szCs w:val="24"/>
        </w:rPr>
        <w:t xml:space="preserve"> of </w:t>
      </w:r>
      <w:r w:rsidRPr="001A3D2B">
        <w:rPr>
          <w:kern w:val="0"/>
          <w:szCs w:val="24"/>
        </w:rPr>
        <w:t>these influences on</w:t>
      </w:r>
      <w:r w:rsidR="003A1917">
        <w:rPr>
          <w:kern w:val="0"/>
          <w:szCs w:val="24"/>
        </w:rPr>
        <w:t xml:space="preserve"> the </w:t>
      </w:r>
      <w:r w:rsidRPr="001A3D2B">
        <w:rPr>
          <w:kern w:val="0"/>
          <w:szCs w:val="24"/>
        </w:rPr>
        <w:t>nine selected journals over</w:t>
      </w:r>
      <w:r w:rsidR="003A1917">
        <w:rPr>
          <w:kern w:val="0"/>
          <w:szCs w:val="24"/>
        </w:rPr>
        <w:t xml:space="preserve"> the </w:t>
      </w:r>
      <w:r w:rsidRPr="001A3D2B">
        <w:rPr>
          <w:kern w:val="0"/>
          <w:szCs w:val="24"/>
        </w:rPr>
        <w:t>9-year period were also discussed in this study.</w:t>
      </w:r>
    </w:p>
    <w:p w:rsidR="008008ED" w:rsidRPr="001A3D2B" w:rsidRDefault="008008ED" w:rsidP="008008ED">
      <w:pPr>
        <w:pStyle w:val="a3"/>
        <w:rPr>
          <w:kern w:val="0"/>
          <w:szCs w:val="24"/>
        </w:rPr>
      </w:pPr>
      <w:r w:rsidRPr="001A3D2B">
        <w:rPr>
          <w:kern w:val="0"/>
          <w:szCs w:val="24"/>
        </w:rPr>
        <w:t xml:space="preserve">Keywords: Assessment, Bibliographical Database, Bibliometric, Citation, Citation Impact, Citations, Downloads, Impact, Impact Factor, Impact Factor, Indexing, Journals, Online, Quality, Research, Trends, </w:t>
      </w:r>
      <w:r w:rsidR="00D5664A">
        <w:rPr>
          <w:kern w:val="0"/>
          <w:szCs w:val="24"/>
        </w:rPr>
        <w:t>USA</w:t>
      </w:r>
      <w:r w:rsidRPr="001A3D2B">
        <w:rPr>
          <w:kern w:val="0"/>
          <w:szCs w:val="24"/>
        </w:rPr>
        <w:t>ge Statistics</w:t>
      </w:r>
    </w:p>
    <w:p w:rsidR="008008ED" w:rsidRPr="001A3D2B" w:rsidRDefault="008008ED" w:rsidP="008008ED">
      <w:pPr>
        <w:pStyle w:val="1"/>
      </w:pPr>
      <w:r w:rsidRPr="001A3D2B">
        <w:br w:type="page"/>
      </w:r>
      <w:bookmarkStart w:id="453" w:name="_Toc420814492"/>
      <w:r w:rsidRPr="001A3D2B">
        <w:lastRenderedPageBreak/>
        <w:t>Title: Annals</w:t>
      </w:r>
      <w:r w:rsidR="00427468">
        <w:t xml:space="preserve"> of </w:t>
      </w:r>
      <w:r w:rsidRPr="001A3D2B">
        <w:t>Clinical Biochemistry</w:t>
      </w:r>
      <w:bookmarkEnd w:id="453"/>
    </w:p>
    <w:p w:rsidR="008008ED" w:rsidRPr="001A3D2B" w:rsidRDefault="008008ED" w:rsidP="008008ED">
      <w:pPr>
        <w:pStyle w:val="12"/>
      </w:pPr>
      <w:r w:rsidRPr="001A3D2B">
        <w:t>Full Jo</w:t>
      </w:r>
      <w:bookmarkStart w:id="454" w:name="_Toc243695959"/>
      <w:r w:rsidRPr="001A3D2B">
        <w:t xml:space="preserve">urnal Title: </w:t>
      </w:r>
      <w:r w:rsidR="00206C8A">
        <w:fldChar w:fldCharType="begin"/>
      </w:r>
      <w:r w:rsidR="00FD158B">
        <w:instrText>HYPERLINK "http://acb.rs</w:instrText>
      </w:r>
      <w:bookmarkEnd w:id="454"/>
      <w:r w:rsidR="00FD158B">
        <w:instrText>mjournals.com/archive/"</w:instrText>
      </w:r>
      <w:r w:rsidR="00206C8A">
        <w:fldChar w:fldCharType="separate"/>
      </w:r>
      <w:r w:rsidRPr="001A3D2B">
        <w:rPr>
          <w:rStyle w:val="a5"/>
        </w:rPr>
        <w:t>Annals</w:t>
      </w:r>
      <w:r w:rsidR="00427468">
        <w:rPr>
          <w:rStyle w:val="a5"/>
        </w:rPr>
        <w:t xml:space="preserve"> of </w:t>
      </w:r>
      <w:r w:rsidRPr="001A3D2B">
        <w:rPr>
          <w:rStyle w:val="a5"/>
        </w:rPr>
        <w:t>Clinical Biochemistry</w:t>
      </w:r>
      <w:r w:rsidR="00206C8A">
        <w:fldChar w:fldCharType="end"/>
      </w:r>
    </w:p>
    <w:p w:rsidR="008008ED" w:rsidRPr="001A3D2B" w:rsidRDefault="008008ED" w:rsidP="008008ED">
      <w:pPr>
        <w:pStyle w:val="12"/>
      </w:pPr>
      <w:r w:rsidRPr="001A3D2B">
        <w:t>ISO Abbreviated Title: Ann. Clin. Biochem.</w:t>
      </w:r>
    </w:p>
    <w:p w:rsidR="008008ED" w:rsidRPr="001A3D2B" w:rsidRDefault="008008ED" w:rsidP="008008ED">
      <w:pPr>
        <w:pStyle w:val="12"/>
      </w:pPr>
      <w:r w:rsidRPr="001A3D2B">
        <w:t>JCR Abbreviated Title: Ann Clin Biochem</w:t>
      </w:r>
    </w:p>
    <w:p w:rsidR="008008ED" w:rsidRPr="001A3D2B" w:rsidRDefault="008008ED" w:rsidP="008008ED">
      <w:pPr>
        <w:pStyle w:val="12"/>
      </w:pPr>
      <w:r w:rsidRPr="001A3D2B">
        <w:t>ISSN: 0004-5632</w:t>
      </w:r>
    </w:p>
    <w:p w:rsidR="008008ED" w:rsidRPr="001A3D2B" w:rsidRDefault="008008ED" w:rsidP="008008ED">
      <w:pPr>
        <w:pStyle w:val="12"/>
      </w:pPr>
      <w:r w:rsidRPr="001A3D2B">
        <w:t>Issues/Year: 6</w:t>
      </w:r>
    </w:p>
    <w:p w:rsidR="008008ED" w:rsidRPr="001A3D2B" w:rsidRDefault="008008ED" w:rsidP="008008ED">
      <w:pPr>
        <w:pStyle w:val="12"/>
      </w:pPr>
      <w:r w:rsidRPr="001A3D2B">
        <w:t>Journal Country/Territory: England</w:t>
      </w:r>
    </w:p>
    <w:p w:rsidR="008008ED" w:rsidRPr="001A3D2B" w:rsidRDefault="008008ED" w:rsidP="008008ED">
      <w:pPr>
        <w:pStyle w:val="12"/>
      </w:pPr>
      <w:r w:rsidRPr="001A3D2B">
        <w:t>Language: English</w:t>
      </w:r>
    </w:p>
    <w:p w:rsidR="008008ED" w:rsidRPr="001A3D2B" w:rsidRDefault="008008ED" w:rsidP="008008ED">
      <w:pPr>
        <w:pStyle w:val="12"/>
      </w:pPr>
      <w:r w:rsidRPr="001A3D2B">
        <w:t>Publisher: Royal Soc Medicine Press Ltd</w:t>
      </w:r>
    </w:p>
    <w:p w:rsidR="008008ED" w:rsidRPr="001A3D2B" w:rsidRDefault="008008ED" w:rsidP="008008ED">
      <w:pPr>
        <w:pStyle w:val="12"/>
      </w:pPr>
      <w:r w:rsidRPr="001A3D2B">
        <w:t>Publisher Address: 1 Wimpole Street, London W</w:t>
      </w:r>
      <w:smartTag w:uri="urn:schemas-microsoft-com:office:smarttags" w:element="chmetcnv">
        <w:smartTagPr>
          <w:attr w:name="UnitName" w:val="m"/>
          <w:attr w:name="SourceValue" w:val="1"/>
          <w:attr w:name="HasSpace" w:val="False"/>
          <w:attr w:name="Negative" w:val="False"/>
          <w:attr w:name="NumberType" w:val="1"/>
          <w:attr w:name="TCSC" w:val="0"/>
        </w:smartTagPr>
        <w:r w:rsidRPr="001A3D2B">
          <w:t>1m</w:t>
        </w:r>
      </w:smartTag>
      <w:r w:rsidRPr="001A3D2B">
        <w:t xml:space="preserve"> 8AE, England</w:t>
      </w:r>
    </w:p>
    <w:p w:rsidR="008008ED" w:rsidRPr="001A3D2B" w:rsidRDefault="008008ED" w:rsidP="008008ED">
      <w:pPr>
        <w:pStyle w:val="12"/>
      </w:pPr>
      <w:r w:rsidRPr="001A3D2B">
        <w:t xml:space="preserve">Subject Categories: </w:t>
      </w:r>
    </w:p>
    <w:p w:rsidR="008008ED" w:rsidRPr="001A3D2B" w:rsidRDefault="008008ED" w:rsidP="008008ED">
      <w:pPr>
        <w:pStyle w:val="12"/>
      </w:pPr>
      <w:r w:rsidRPr="001A3D2B">
        <w:t>Biochemistry &amp; Molecular Biology: Impact Factor 1.113, / (2000); Impact Factor 1.130, / (2001)</w:t>
      </w:r>
    </w:p>
    <w:p w:rsidR="008008ED" w:rsidRPr="001A3D2B" w:rsidRDefault="008008ED" w:rsidP="008008ED">
      <w:pPr>
        <w:pStyle w:val="12"/>
      </w:pPr>
      <w:r w:rsidRPr="001A3D2B">
        <w:t>Medical Laboratory Technology: Impact Factor 1.113, / (2000); Impact Factor 1.130, / (2001)</w:t>
      </w:r>
    </w:p>
    <w:p w:rsidR="008008ED" w:rsidRPr="001A3D2B" w:rsidRDefault="008008ED" w:rsidP="008008ED">
      <w:pPr>
        <w:pStyle w:val="a3"/>
        <w:rPr>
          <w:kern w:val="0"/>
        </w:rPr>
      </w:pPr>
      <w:r w:rsidRPr="001A3D2B">
        <w:rPr>
          <w:kern w:val="0"/>
        </w:rPr>
        <w:t>? Venner, A.A., Doyle-Baker, P.K., Lyon, M.E.</w:t>
      </w:r>
      <w:r w:rsidR="005853A9">
        <w:rPr>
          <w:kern w:val="0"/>
        </w:rPr>
        <w:t xml:space="preserve"> and </w:t>
      </w:r>
      <w:r w:rsidRPr="001A3D2B">
        <w:rPr>
          <w:kern w:val="0"/>
        </w:rPr>
        <w:t>Fung, T.S. (2009), A meta-analysis</w:t>
      </w:r>
      <w:r w:rsidR="00427468">
        <w:rPr>
          <w:kern w:val="0"/>
        </w:rPr>
        <w:t xml:space="preserve"> of </w:t>
      </w:r>
      <w:r w:rsidRPr="001A3D2B">
        <w:rPr>
          <w:kern w:val="0"/>
        </w:rPr>
        <w:t>leptin reference ranges in</w:t>
      </w:r>
      <w:r w:rsidR="003A1917">
        <w:rPr>
          <w:kern w:val="0"/>
        </w:rPr>
        <w:t xml:space="preserve"> the </w:t>
      </w:r>
      <w:r w:rsidRPr="001A3D2B">
        <w:rPr>
          <w:kern w:val="0"/>
        </w:rPr>
        <w:t xml:space="preserve">healthy paediatric prepubertal population. </w:t>
      </w:r>
      <w:r w:rsidRPr="001A3D2B">
        <w:rPr>
          <w:i/>
          <w:iCs/>
          <w:kern w:val="0"/>
        </w:rPr>
        <w:t>Annals</w:t>
      </w:r>
      <w:r w:rsidR="00427468">
        <w:rPr>
          <w:i/>
          <w:iCs/>
          <w:kern w:val="0"/>
        </w:rPr>
        <w:t xml:space="preserve"> of </w:t>
      </w:r>
      <w:r w:rsidRPr="001A3D2B">
        <w:rPr>
          <w:i/>
          <w:iCs/>
          <w:kern w:val="0"/>
        </w:rPr>
        <w:t>Clinical Biochemistry</w:t>
      </w:r>
      <w:r w:rsidRPr="001A3D2B">
        <w:rPr>
          <w:kern w:val="0"/>
        </w:rPr>
        <w:t xml:space="preserve">, </w:t>
      </w:r>
      <w:r w:rsidRPr="001A3D2B">
        <w:rPr>
          <w:b/>
          <w:bCs/>
          <w:kern w:val="0"/>
        </w:rPr>
        <w:t>46</w:t>
      </w:r>
      <w:r w:rsidRPr="001A3D2B">
        <w:rPr>
          <w:kern w:val="0"/>
        </w:rPr>
        <w:t>, 65-72.</w:t>
      </w:r>
    </w:p>
    <w:p w:rsidR="00F44C73" w:rsidRPr="00F219CA" w:rsidRDefault="00F44C73" w:rsidP="00F44C73">
      <w:pPr>
        <w:pStyle w:val="a3"/>
      </w:pPr>
      <w:r>
        <w:rPr>
          <w:rFonts w:hint="eastAsia"/>
        </w:rPr>
        <w:t>Full Text: 1991\</w:t>
      </w:r>
      <w:r w:rsidRPr="00A23753">
        <w:t>Ann Cli Bio28</w:t>
      </w:r>
      <w:r w:rsidRPr="00F219CA">
        <w:t>, 19</w:t>
      </w:r>
      <w:r>
        <w:rPr>
          <w:rFonts w:hint="eastAsia"/>
        </w:rPr>
        <w:t>.pdf</w:t>
      </w:r>
    </w:p>
    <w:p w:rsidR="008008ED" w:rsidRPr="001A3D2B" w:rsidRDefault="008008ED" w:rsidP="008008ED">
      <w:pPr>
        <w:pStyle w:val="a3"/>
        <w:rPr>
          <w:kern w:val="0"/>
        </w:rPr>
      </w:pPr>
      <w:r w:rsidRPr="001A3D2B">
        <w:rPr>
          <w:kern w:val="0"/>
        </w:rPr>
        <w:t>Abstract: Objective:</w:t>
      </w:r>
      <w:r w:rsidR="003A1917">
        <w:rPr>
          <w:kern w:val="0"/>
        </w:rPr>
        <w:t xml:space="preserve"> the </w:t>
      </w:r>
      <w:r w:rsidRPr="001A3D2B">
        <w:rPr>
          <w:kern w:val="0"/>
        </w:rPr>
        <w:t>initial discovery</w:t>
      </w:r>
      <w:r w:rsidR="00427468">
        <w:rPr>
          <w:kern w:val="0"/>
        </w:rPr>
        <w:t xml:space="preserve"> of </w:t>
      </w:r>
      <w:r w:rsidRPr="001A3D2B">
        <w:rPr>
          <w:kern w:val="0"/>
        </w:rPr>
        <w:t>leptin (11994) has given rise to a substantial number</w:t>
      </w:r>
      <w:r w:rsidR="00427468">
        <w:rPr>
          <w:kern w:val="0"/>
        </w:rPr>
        <w:t xml:space="preserve"> of </w:t>
      </w:r>
      <w:r w:rsidRPr="001A3D2B">
        <w:rPr>
          <w:kern w:val="0"/>
        </w:rPr>
        <w:t>published studies. This study aimed at identifying</w:t>
      </w:r>
      <w:r w:rsidR="003A1917">
        <w:rPr>
          <w:kern w:val="0"/>
        </w:rPr>
        <w:t xml:space="preserve"> the </w:t>
      </w:r>
      <w:r w:rsidRPr="001A3D2B">
        <w:rPr>
          <w:kern w:val="0"/>
        </w:rPr>
        <w:t>published data on</w:t>
      </w:r>
      <w:r w:rsidR="003A1917">
        <w:rPr>
          <w:kern w:val="0"/>
        </w:rPr>
        <w:t xml:space="preserve"> the </w:t>
      </w:r>
      <w:r w:rsidRPr="001A3D2B">
        <w:rPr>
          <w:kern w:val="0"/>
        </w:rPr>
        <w:t>reference ranges</w:t>
      </w:r>
      <w:r w:rsidR="00427468">
        <w:rPr>
          <w:kern w:val="0"/>
        </w:rPr>
        <w:t xml:space="preserve"> of </w:t>
      </w:r>
      <w:r w:rsidRPr="001A3D2B">
        <w:rPr>
          <w:kern w:val="0"/>
        </w:rPr>
        <w:t>total, free</w:t>
      </w:r>
      <w:r w:rsidR="005853A9">
        <w:rPr>
          <w:kern w:val="0"/>
        </w:rPr>
        <w:t xml:space="preserve"> and </w:t>
      </w:r>
      <w:r w:rsidRPr="001A3D2B">
        <w:rPr>
          <w:kern w:val="0"/>
        </w:rPr>
        <w:t>bound leptin concentration in</w:t>
      </w:r>
      <w:r w:rsidR="003A1917">
        <w:rPr>
          <w:kern w:val="0"/>
        </w:rPr>
        <w:t xml:space="preserve"> the </w:t>
      </w:r>
      <w:r w:rsidRPr="001A3D2B">
        <w:rPr>
          <w:kern w:val="0"/>
        </w:rPr>
        <w:t>healthy prepubertal population. Methods: A search was conducted on original English language studies published from 1994 to 2005 in</w:t>
      </w:r>
      <w:r w:rsidR="003A1917">
        <w:rPr>
          <w:kern w:val="0"/>
        </w:rPr>
        <w:t xml:space="preserve"> the </w:t>
      </w:r>
      <w:r w:rsidRPr="001A3D2B">
        <w:rPr>
          <w:kern w:val="0"/>
        </w:rPr>
        <w:t xml:space="preserve">following databases: </w:t>
      </w:r>
      <w:r w:rsidR="002C12F0">
        <w:rPr>
          <w:kern w:val="0"/>
        </w:rPr>
        <w:t>PUBMED</w:t>
      </w:r>
      <w:r w:rsidRPr="001A3D2B">
        <w:rPr>
          <w:kern w:val="0"/>
        </w:rPr>
        <w:t xml:space="preserve"> (n = 58), EMBASE (n = 4), Biological Abstracts In = 2)</w:t>
      </w:r>
      <w:r w:rsidR="005853A9">
        <w:rPr>
          <w:kern w:val="0"/>
        </w:rPr>
        <w:t xml:space="preserve"> and </w:t>
      </w:r>
      <w:r w:rsidRPr="001A3D2B">
        <w:rPr>
          <w:kern w:val="0"/>
        </w:rPr>
        <w:t>Science Finder Scholar In = 66). A cited reference search was completed in Science Citation Index on studies with a leptin range. A meta-analysis was completed on included studies containing a dataset</w:t>
      </w:r>
      <w:r w:rsidR="005853A9">
        <w:rPr>
          <w:kern w:val="0"/>
        </w:rPr>
        <w:t xml:space="preserve"> and </w:t>
      </w:r>
      <w:r w:rsidRPr="001A3D2B">
        <w:rPr>
          <w:kern w:val="0"/>
        </w:rPr>
        <w:t>a sample size for a leptin concentration range and/or mean +/- standard deviation for a healthy prepubertal population. Preanalytical</w:t>
      </w:r>
      <w:r w:rsidR="005853A9">
        <w:rPr>
          <w:kern w:val="0"/>
        </w:rPr>
        <w:t xml:space="preserve"> and </w:t>
      </w:r>
      <w:r w:rsidRPr="001A3D2B">
        <w:rPr>
          <w:kern w:val="0"/>
        </w:rPr>
        <w:t>analytical variations were examined. Preanalytical variables included aspects such as fasting state</w:t>
      </w:r>
      <w:r w:rsidR="005853A9">
        <w:rPr>
          <w:kern w:val="0"/>
        </w:rPr>
        <w:t xml:space="preserve"> and </w:t>
      </w:r>
      <w:r w:rsidRPr="001A3D2B">
        <w:rPr>
          <w:kern w:val="0"/>
        </w:rPr>
        <w:t>gender, while analytical variation comprised</w:t>
      </w:r>
      <w:r w:rsidR="003A1917">
        <w:rPr>
          <w:kern w:val="0"/>
        </w:rPr>
        <w:t xml:space="preserve"> the </w:t>
      </w:r>
      <w:r w:rsidRPr="001A3D2B">
        <w:rPr>
          <w:kern w:val="0"/>
        </w:rPr>
        <w:t>type</w:t>
      </w:r>
      <w:r w:rsidR="00427468">
        <w:rPr>
          <w:kern w:val="0"/>
        </w:rPr>
        <w:t xml:space="preserve"> of </w:t>
      </w:r>
      <w:r w:rsidRPr="001A3D2B">
        <w:rPr>
          <w:kern w:val="0"/>
        </w:rPr>
        <w:t>leptin assay methodology. Results: Twelve studies met</w:t>
      </w:r>
      <w:r w:rsidR="003A1917">
        <w:rPr>
          <w:kern w:val="0"/>
        </w:rPr>
        <w:t xml:space="preserve"> the </w:t>
      </w:r>
      <w:r w:rsidRPr="001A3D2B">
        <w:rPr>
          <w:kern w:val="0"/>
        </w:rPr>
        <w:t>inclusion criteria. One study examined free leptin; 11 studies examined total concentration. No studies reported leptin reference ranges established by Clinical</w:t>
      </w:r>
      <w:r w:rsidR="005853A9">
        <w:rPr>
          <w:kern w:val="0"/>
        </w:rPr>
        <w:t xml:space="preserve"> and </w:t>
      </w:r>
      <w:r w:rsidRPr="001A3D2B">
        <w:rPr>
          <w:kern w:val="0"/>
        </w:rPr>
        <w:t>Laboratory Standards Institute (CLSI) criteria, although four studies reported specific study leptin ranges</w:t>
      </w:r>
      <w:r w:rsidR="00A37C1D">
        <w:rPr>
          <w:kern w:val="0"/>
        </w:rPr>
        <w:t>. The</w:t>
      </w:r>
      <w:r w:rsidR="003A1917">
        <w:rPr>
          <w:kern w:val="0"/>
        </w:rPr>
        <w:t xml:space="preserve"> </w:t>
      </w:r>
      <w:r w:rsidRPr="001A3D2B">
        <w:rPr>
          <w:kern w:val="0"/>
        </w:rPr>
        <w:t>methodology</w:t>
      </w:r>
      <w:r w:rsidR="00427468">
        <w:rPr>
          <w:kern w:val="0"/>
        </w:rPr>
        <w:t xml:space="preserve"> of </w:t>
      </w:r>
      <w:r w:rsidRPr="001A3D2B">
        <w:rPr>
          <w:kern w:val="0"/>
        </w:rPr>
        <w:t xml:space="preserve">enzyme-linked immunosorbent assay demonstrated a wider leptin range than radio immunoassay (0.56-36.35 vs. 1.01-12.21 ng/mL). Males had a significantly lower </w:t>
      </w:r>
      <w:r w:rsidRPr="001A3D2B">
        <w:rPr>
          <w:kern w:val="0"/>
        </w:rPr>
        <w:lastRenderedPageBreak/>
        <w:t>mean leptin concentration than females (P = 0.0006); obese children had a higher concentration than non-obese (P = 0.0001). Conclusion: No studies have established CLSI-based leptin reference ranges in prepubertal healthy children</w:t>
      </w:r>
      <w:r w:rsidR="005853A9">
        <w:rPr>
          <w:kern w:val="0"/>
        </w:rPr>
        <w:t xml:space="preserve"> and </w:t>
      </w:r>
      <w:r w:rsidRPr="001A3D2B">
        <w:rPr>
          <w:kern w:val="0"/>
        </w:rPr>
        <w:t>there is a wide variation in</w:t>
      </w:r>
      <w:r w:rsidR="003A1917">
        <w:rPr>
          <w:kern w:val="0"/>
        </w:rPr>
        <w:t xml:space="preserve"> the </w:t>
      </w:r>
      <w:r w:rsidRPr="001A3D2B">
        <w:rPr>
          <w:kern w:val="0"/>
        </w:rPr>
        <w:t>published leptin concentrations</w:t>
      </w:r>
      <w:r w:rsidR="00A37C1D">
        <w:rPr>
          <w:kern w:val="0"/>
        </w:rPr>
        <w:t>. The</w:t>
      </w:r>
      <w:r w:rsidRPr="001A3D2B">
        <w:rPr>
          <w:kern w:val="0"/>
        </w:rPr>
        <w:t>se differences suggest that caution should be used in</w:t>
      </w:r>
      <w:r w:rsidR="003A1917">
        <w:rPr>
          <w:kern w:val="0"/>
        </w:rPr>
        <w:t xml:space="preserve"> the </w:t>
      </w:r>
      <w:r w:rsidRPr="001A3D2B">
        <w:rPr>
          <w:kern w:val="0"/>
        </w:rPr>
        <w:t>interpretation</w:t>
      </w:r>
      <w:r w:rsidR="005853A9">
        <w:rPr>
          <w:kern w:val="0"/>
        </w:rPr>
        <w:t xml:space="preserve"> and </w:t>
      </w:r>
      <w:r w:rsidRPr="001A3D2B">
        <w:rPr>
          <w:kern w:val="0"/>
        </w:rPr>
        <w:t>comparison between studies.</w:t>
      </w:r>
    </w:p>
    <w:p w:rsidR="008008ED" w:rsidRPr="001A3D2B" w:rsidRDefault="008008ED" w:rsidP="008008ED">
      <w:pPr>
        <w:pStyle w:val="a3"/>
        <w:rPr>
          <w:kern w:val="0"/>
        </w:rPr>
      </w:pPr>
      <w:r w:rsidRPr="001A3D2B">
        <w:rPr>
          <w:kern w:val="0"/>
        </w:rPr>
        <w:t>Keywords: Body-Composition, Circulating Leptin, Citation, Clinical-Implications, Energy-Expenditure, Fat Distribution, Insulin-Sensitivity, Normal-Children, Plasma Leptin, Pubertal Changes, Sex-Differences</w:t>
      </w:r>
    </w:p>
    <w:p w:rsidR="00624A41" w:rsidRDefault="00624A41" w:rsidP="00624A41">
      <w:pPr>
        <w:pStyle w:val="a3"/>
        <w:rPr>
          <w:kern w:val="0"/>
        </w:rPr>
      </w:pPr>
      <w:r>
        <w:rPr>
          <w:rFonts w:hint="eastAsia"/>
          <w:kern w:val="0"/>
        </w:rPr>
        <w:t xml:space="preserve">? </w:t>
      </w:r>
      <w:r>
        <w:rPr>
          <w:kern w:val="0"/>
        </w:rPr>
        <w:t>Everett, J.R., Loo, R.L.</w:t>
      </w:r>
      <w:r w:rsidR="005853A9">
        <w:rPr>
          <w:kern w:val="0"/>
        </w:rPr>
        <w:t xml:space="preserve"> and </w:t>
      </w:r>
      <w:r>
        <w:rPr>
          <w:kern w:val="0"/>
        </w:rPr>
        <w:t>Pullen, F.S. (2013), Pharmacometabonomics</w:t>
      </w:r>
      <w:r w:rsidR="005853A9">
        <w:rPr>
          <w:kern w:val="0"/>
        </w:rPr>
        <w:t xml:space="preserve"> and </w:t>
      </w:r>
      <w:r>
        <w:rPr>
          <w:kern w:val="0"/>
        </w:rPr>
        <w:t xml:space="preserve">personalized medicine. </w:t>
      </w:r>
      <w:r>
        <w:rPr>
          <w:i/>
          <w:iCs/>
          <w:kern w:val="0"/>
        </w:rPr>
        <w:t>Annals</w:t>
      </w:r>
      <w:r w:rsidR="00427468">
        <w:rPr>
          <w:i/>
          <w:iCs/>
          <w:kern w:val="0"/>
        </w:rPr>
        <w:t xml:space="preserve"> of </w:t>
      </w:r>
      <w:r>
        <w:rPr>
          <w:i/>
          <w:iCs/>
          <w:kern w:val="0"/>
        </w:rPr>
        <w:t>Clinical Biochemistry</w:t>
      </w:r>
      <w:r>
        <w:rPr>
          <w:kern w:val="0"/>
        </w:rPr>
        <w:t xml:space="preserve">, </w:t>
      </w:r>
      <w:r>
        <w:rPr>
          <w:b/>
          <w:bCs/>
          <w:kern w:val="0"/>
        </w:rPr>
        <w:t>50</w:t>
      </w:r>
      <w:r>
        <w:rPr>
          <w:kern w:val="0"/>
        </w:rPr>
        <w:t xml:space="preserve"> (6), 523-545.</w:t>
      </w:r>
    </w:p>
    <w:p w:rsidR="00624A41" w:rsidRDefault="00624A41" w:rsidP="00624A41">
      <w:pPr>
        <w:pStyle w:val="a3"/>
        <w:rPr>
          <w:kern w:val="0"/>
        </w:rPr>
      </w:pPr>
      <w:r>
        <w:rPr>
          <w:rFonts w:hint="eastAsia"/>
          <w:kern w:val="0"/>
        </w:rPr>
        <w:t>Full Text: 2013\</w:t>
      </w:r>
      <w:r>
        <w:rPr>
          <w:iCs/>
          <w:kern w:val="0"/>
        </w:rPr>
        <w:t>Ann Cli</w:t>
      </w:r>
      <w:r w:rsidRPr="003D601C">
        <w:rPr>
          <w:iCs/>
          <w:kern w:val="0"/>
        </w:rPr>
        <w:t xml:space="preserve"> B</w:t>
      </w:r>
      <w:r>
        <w:rPr>
          <w:iCs/>
          <w:kern w:val="0"/>
        </w:rPr>
        <w:t>io</w:t>
      </w:r>
      <w:r w:rsidRPr="003D601C">
        <w:rPr>
          <w:bCs/>
          <w:kern w:val="0"/>
        </w:rPr>
        <w:t>50</w:t>
      </w:r>
      <w:r>
        <w:rPr>
          <w:kern w:val="0"/>
        </w:rPr>
        <w:t>, 523</w:t>
      </w:r>
      <w:r>
        <w:rPr>
          <w:rFonts w:hint="eastAsia"/>
          <w:kern w:val="0"/>
        </w:rPr>
        <w:t>.pdf</w:t>
      </w:r>
    </w:p>
    <w:p w:rsidR="00624A41" w:rsidRDefault="00624A41" w:rsidP="00624A41">
      <w:pPr>
        <w:pStyle w:val="a3"/>
        <w:rPr>
          <w:kern w:val="0"/>
        </w:rPr>
      </w:pPr>
      <w:r>
        <w:rPr>
          <w:kern w:val="0"/>
        </w:rPr>
        <w:t>Abstract: Background Pharmacometabonomics is a new branch</w:t>
      </w:r>
      <w:r w:rsidR="00427468">
        <w:rPr>
          <w:kern w:val="0"/>
        </w:rPr>
        <w:t xml:space="preserve"> of </w:t>
      </w:r>
      <w:r>
        <w:rPr>
          <w:kern w:val="0"/>
        </w:rPr>
        <w:t>science, first described in 2006</w:t>
      </w:r>
      <w:r w:rsidR="005853A9">
        <w:rPr>
          <w:kern w:val="0"/>
        </w:rPr>
        <w:t xml:space="preserve"> and </w:t>
      </w:r>
      <w:r>
        <w:rPr>
          <w:kern w:val="0"/>
        </w:rPr>
        <w:t>defined as the prediction</w:t>
      </w:r>
      <w:r w:rsidR="00427468">
        <w:rPr>
          <w:kern w:val="0"/>
        </w:rPr>
        <w:t xml:space="preserve"> of </w:t>
      </w:r>
      <w:r>
        <w:rPr>
          <w:kern w:val="0"/>
        </w:rPr>
        <w:t>the effects</w:t>
      </w:r>
      <w:r w:rsidR="00427468">
        <w:rPr>
          <w:kern w:val="0"/>
        </w:rPr>
        <w:t xml:space="preserve"> of </w:t>
      </w:r>
      <w:r>
        <w:rPr>
          <w:kern w:val="0"/>
        </w:rPr>
        <w:t>a drug on the basis</w:t>
      </w:r>
      <w:r w:rsidR="00427468">
        <w:rPr>
          <w:kern w:val="0"/>
        </w:rPr>
        <w:t xml:space="preserve"> of </w:t>
      </w:r>
      <w:r>
        <w:rPr>
          <w:kern w:val="0"/>
        </w:rPr>
        <w:t>a mathematical model</w:t>
      </w:r>
      <w:r w:rsidR="00427468">
        <w:rPr>
          <w:kern w:val="0"/>
        </w:rPr>
        <w:t xml:space="preserve"> of </w:t>
      </w:r>
      <w:r>
        <w:rPr>
          <w:kern w:val="0"/>
        </w:rPr>
        <w:t>pre-dose metabolite profiles</w:t>
      </w:r>
      <w:r w:rsidR="00700038">
        <w:rPr>
          <w:kern w:val="0"/>
        </w:rPr>
        <w:t>’</w:t>
      </w:r>
      <w:r>
        <w:rPr>
          <w:kern w:val="0"/>
        </w:rPr>
        <w:t>. Pharmacometabonomics has been used to predict drug metabolism, pharmacokinetics (PK), drug safety</w:t>
      </w:r>
      <w:r w:rsidR="005853A9">
        <w:rPr>
          <w:kern w:val="0"/>
        </w:rPr>
        <w:t xml:space="preserve"> and </w:t>
      </w:r>
      <w:r>
        <w:rPr>
          <w:kern w:val="0"/>
        </w:rPr>
        <w:t>drug efficacy in both animals</w:t>
      </w:r>
      <w:r w:rsidR="005853A9">
        <w:rPr>
          <w:kern w:val="0"/>
        </w:rPr>
        <w:t xml:space="preserve"> and </w:t>
      </w:r>
      <w:r>
        <w:rPr>
          <w:kern w:val="0"/>
        </w:rPr>
        <w:t>humans</w:t>
      </w:r>
      <w:r w:rsidR="005853A9">
        <w:rPr>
          <w:kern w:val="0"/>
        </w:rPr>
        <w:t xml:space="preserve"> and </w:t>
      </w:r>
      <w:r>
        <w:rPr>
          <w:kern w:val="0"/>
        </w:rPr>
        <w:t>is complementary to both pharmacogenomics (PGx)</w:t>
      </w:r>
      <w:r w:rsidR="005853A9">
        <w:rPr>
          <w:kern w:val="0"/>
        </w:rPr>
        <w:t xml:space="preserve"> and </w:t>
      </w:r>
      <w:r>
        <w:rPr>
          <w:kern w:val="0"/>
        </w:rPr>
        <w:t>pharmacoproteomics. Methods A literature review using the search terms pharmacometabonomics, pharmacometabolomics, pharmaco-metabonomics, pharmaco-metabolomics</w:t>
      </w:r>
      <w:r w:rsidR="005853A9">
        <w:rPr>
          <w:kern w:val="0"/>
        </w:rPr>
        <w:t xml:space="preserve"> and </w:t>
      </w:r>
      <w:r>
        <w:rPr>
          <w:kern w:val="0"/>
        </w:rPr>
        <w:t>the singular form</w:t>
      </w:r>
      <w:r w:rsidR="00427468">
        <w:rPr>
          <w:kern w:val="0"/>
        </w:rPr>
        <w:t xml:space="preserve"> of </w:t>
      </w:r>
      <w:r>
        <w:rPr>
          <w:kern w:val="0"/>
        </w:rPr>
        <w:t>all those terms was conducted in October 2012 using PubMed</w:t>
      </w:r>
      <w:r w:rsidR="005853A9">
        <w:rPr>
          <w:kern w:val="0"/>
        </w:rPr>
        <w:t xml:space="preserve"> and </w:t>
      </w:r>
      <w:r w:rsidR="00D5664A">
        <w:rPr>
          <w:kern w:val="0"/>
        </w:rPr>
        <w:t>Web</w:t>
      </w:r>
      <w:r w:rsidR="00427468">
        <w:rPr>
          <w:kern w:val="0"/>
        </w:rPr>
        <w:t xml:space="preserve"> of </w:t>
      </w:r>
      <w:r w:rsidR="00D5664A">
        <w:rPr>
          <w:kern w:val="0"/>
        </w:rPr>
        <w:t>Science</w:t>
      </w:r>
      <w:r w:rsidR="00A37C1D">
        <w:rPr>
          <w:kern w:val="0"/>
        </w:rPr>
        <w:t>. The</w:t>
      </w:r>
      <w:r>
        <w:rPr>
          <w:kern w:val="0"/>
        </w:rPr>
        <w:t xml:space="preserve"> review was updated until mid April 2013. Results Since the original description</w:t>
      </w:r>
      <w:r w:rsidR="00427468">
        <w:rPr>
          <w:kern w:val="0"/>
        </w:rPr>
        <w:t xml:space="preserve"> of </w:t>
      </w:r>
      <w:r>
        <w:rPr>
          <w:kern w:val="0"/>
        </w:rPr>
        <w:t>pharmacometabonomics in 2006, 21 original publications</w:t>
      </w:r>
      <w:r w:rsidR="005853A9">
        <w:rPr>
          <w:kern w:val="0"/>
        </w:rPr>
        <w:t xml:space="preserve"> and </w:t>
      </w:r>
      <w:r>
        <w:rPr>
          <w:kern w:val="0"/>
        </w:rPr>
        <w:t>eight reviews have emerged, covering a broad range</w:t>
      </w:r>
      <w:r w:rsidR="00427468">
        <w:rPr>
          <w:kern w:val="0"/>
        </w:rPr>
        <w:t xml:space="preserve"> of </w:t>
      </w:r>
      <w:r>
        <w:rPr>
          <w:kern w:val="0"/>
        </w:rPr>
        <w:t>applications from the prediction</w:t>
      </w:r>
      <w:r w:rsidR="00427468">
        <w:rPr>
          <w:kern w:val="0"/>
        </w:rPr>
        <w:t xml:space="preserve"> of </w:t>
      </w:r>
      <w:r>
        <w:rPr>
          <w:kern w:val="0"/>
        </w:rPr>
        <w:t>PK to the prediction</w:t>
      </w:r>
      <w:r w:rsidR="00427468">
        <w:rPr>
          <w:kern w:val="0"/>
        </w:rPr>
        <w:t xml:space="preserve"> of </w:t>
      </w:r>
      <w:r>
        <w:rPr>
          <w:kern w:val="0"/>
        </w:rPr>
        <w:t>drug metabolism, efficacy</w:t>
      </w:r>
      <w:r w:rsidR="005853A9">
        <w:rPr>
          <w:kern w:val="0"/>
        </w:rPr>
        <w:t xml:space="preserve"> and </w:t>
      </w:r>
      <w:r>
        <w:rPr>
          <w:kern w:val="0"/>
        </w:rPr>
        <w:t>safety in humans</w:t>
      </w:r>
      <w:r w:rsidR="005853A9">
        <w:rPr>
          <w:kern w:val="0"/>
        </w:rPr>
        <w:t xml:space="preserve"> and </w:t>
      </w:r>
      <w:r>
        <w:rPr>
          <w:kern w:val="0"/>
        </w:rPr>
        <w:t>animals. Conclusions Pharmacometabonomics promises to be an important new approach to the delivery</w:t>
      </w:r>
      <w:r w:rsidR="00427468">
        <w:rPr>
          <w:kern w:val="0"/>
        </w:rPr>
        <w:t xml:space="preserve"> of </w:t>
      </w:r>
      <w:r>
        <w:rPr>
          <w:kern w:val="0"/>
        </w:rPr>
        <w:t>personalized medicine to improve both drug efficacy</w:t>
      </w:r>
      <w:r w:rsidR="005853A9">
        <w:rPr>
          <w:kern w:val="0"/>
        </w:rPr>
        <w:t xml:space="preserve"> and </w:t>
      </w:r>
      <w:r>
        <w:rPr>
          <w:kern w:val="0"/>
        </w:rPr>
        <w:t>safety for patients in the future. Pharmacometabonomics is particularly powerful as it is sensitive to both genetic</w:t>
      </w:r>
      <w:r w:rsidR="005853A9">
        <w:rPr>
          <w:kern w:val="0"/>
        </w:rPr>
        <w:t xml:space="preserve"> and </w:t>
      </w:r>
      <w:r>
        <w:rPr>
          <w:kern w:val="0"/>
        </w:rPr>
        <w:t>environmental factors such as diet, drug intake</w:t>
      </w:r>
      <w:r w:rsidR="005853A9">
        <w:rPr>
          <w:kern w:val="0"/>
        </w:rPr>
        <w:t xml:space="preserve"> and </w:t>
      </w:r>
      <w:r>
        <w:rPr>
          <w:kern w:val="0"/>
        </w:rPr>
        <w:t>most importantly, a person</w:t>
      </w:r>
      <w:r w:rsidR="00700038">
        <w:rPr>
          <w:kern w:val="0"/>
        </w:rPr>
        <w:t>’</w:t>
      </w:r>
      <w:r>
        <w:rPr>
          <w:kern w:val="0"/>
        </w:rPr>
        <w:t>s microbiome. PGx is now over 50 years old</w:t>
      </w:r>
      <w:r w:rsidR="005853A9">
        <w:rPr>
          <w:kern w:val="0"/>
        </w:rPr>
        <w:t xml:space="preserve"> and </w:t>
      </w:r>
      <w:r>
        <w:rPr>
          <w:kern w:val="0"/>
        </w:rPr>
        <w:t>although it has not achieved as much as some hoped, it is starting to have important applications in personalized medicine. We predict that pharmacometabonomics will be equally important in the next few decades</w:t>
      </w:r>
      <w:r w:rsidR="005853A9">
        <w:rPr>
          <w:kern w:val="0"/>
        </w:rPr>
        <w:t xml:space="preserve"> and </w:t>
      </w:r>
      <w:r>
        <w:rPr>
          <w:kern w:val="0"/>
        </w:rPr>
        <w:t>will be both valuable in its own right</w:t>
      </w:r>
      <w:r w:rsidR="005853A9">
        <w:rPr>
          <w:kern w:val="0"/>
        </w:rPr>
        <w:t xml:space="preserve"> and </w:t>
      </w:r>
      <w:r>
        <w:rPr>
          <w:kern w:val="0"/>
        </w:rPr>
        <w:t>complementary to pharmacoproteomics</w:t>
      </w:r>
      <w:r w:rsidR="005853A9">
        <w:rPr>
          <w:kern w:val="0"/>
        </w:rPr>
        <w:t xml:space="preserve"> and </w:t>
      </w:r>
      <w:r>
        <w:rPr>
          <w:kern w:val="0"/>
        </w:rPr>
        <w:t>PGx.</w:t>
      </w:r>
    </w:p>
    <w:p w:rsidR="00624A41" w:rsidRDefault="00624A41" w:rsidP="00624A41">
      <w:pPr>
        <w:pStyle w:val="a3"/>
        <w:rPr>
          <w:kern w:val="0"/>
        </w:rPr>
      </w:pPr>
      <w:r>
        <w:rPr>
          <w:kern w:val="0"/>
        </w:rPr>
        <w:t xml:space="preserve">Keywords: Animals, Approach, Complementary, Delivery, Diet, Drug, Drug Safety, Effects, Efficacy, Environmental, First, Genetic, Humans, Literature, Literature Review, Mathematical Model, Medicine, Metabolism, Methods, Model, Nov, Patients, Personalized Medicine, Pharmacokinetics, Prediction, Profiles, Publications, Pubmed, Results, Review, Reviews, Right, Safety, Science, </w:t>
      </w:r>
      <w:r w:rsidR="00D5664A">
        <w:rPr>
          <w:kern w:val="0"/>
        </w:rPr>
        <w:t>Web</w:t>
      </w:r>
      <w:r w:rsidR="00427468">
        <w:rPr>
          <w:kern w:val="0"/>
        </w:rPr>
        <w:t xml:space="preserve"> of </w:t>
      </w:r>
      <w:r w:rsidR="00D5664A">
        <w:rPr>
          <w:kern w:val="0"/>
        </w:rPr>
        <w:t>Science</w:t>
      </w:r>
    </w:p>
    <w:p w:rsidR="005B4629" w:rsidRDefault="005B4629" w:rsidP="005B4629">
      <w:pPr>
        <w:pStyle w:val="1"/>
      </w:pPr>
      <w:r>
        <w:rPr>
          <w:b w:val="0"/>
        </w:rPr>
        <w:br w:type="page"/>
      </w:r>
      <w:bookmarkStart w:id="455" w:name="_Toc390389486"/>
      <w:bookmarkStart w:id="456" w:name="_Toc420814493"/>
      <w:r>
        <w:lastRenderedPageBreak/>
        <w:t>Title: Annals of Clinical and Laboratory Science</w:t>
      </w:r>
      <w:bookmarkEnd w:id="455"/>
      <w:bookmarkEnd w:id="456"/>
    </w:p>
    <w:p w:rsidR="005B4629" w:rsidRDefault="005B4629" w:rsidP="005B4629">
      <w:pPr>
        <w:pStyle w:val="12"/>
      </w:pPr>
      <w:r>
        <w:t>Full Journal Title: Annals of Clinical and Laboratory Science</w:t>
      </w:r>
    </w:p>
    <w:p w:rsidR="005B4629" w:rsidRDefault="005B4629" w:rsidP="005B4629">
      <w:pPr>
        <w:pStyle w:val="12"/>
      </w:pPr>
      <w:r>
        <w:t>ISO Abbreviated Title: Ann. Clin. Lab. Sci.</w:t>
      </w:r>
    </w:p>
    <w:p w:rsidR="005B4629" w:rsidRDefault="005B4629" w:rsidP="005B4629">
      <w:pPr>
        <w:pStyle w:val="12"/>
      </w:pPr>
      <w:r>
        <w:t>JCR Abbreviated Title: Ann Clin Lab Sci</w:t>
      </w:r>
    </w:p>
    <w:p w:rsidR="005B4629" w:rsidRDefault="005B4629" w:rsidP="005B4629">
      <w:pPr>
        <w:pStyle w:val="12"/>
      </w:pPr>
      <w:r>
        <w:t>ISSN: 0091-7370</w:t>
      </w:r>
    </w:p>
    <w:p w:rsidR="005B4629" w:rsidRDefault="005B4629" w:rsidP="005B4629">
      <w:pPr>
        <w:pStyle w:val="12"/>
      </w:pPr>
      <w:r>
        <w:t>Issues/Year: 6</w:t>
      </w:r>
    </w:p>
    <w:p w:rsidR="005B4629" w:rsidRDefault="005B4629" w:rsidP="005B4629">
      <w:pPr>
        <w:pStyle w:val="12"/>
      </w:pPr>
      <w:r>
        <w:t xml:space="preserve">Journal Country/Territory: </w:t>
      </w:r>
      <w:smartTag w:uri="urn:schemas-microsoft-com:office:smarttags" w:element="place">
        <w:smartTag w:uri="urn:schemas-microsoft-com:office:smarttags" w:element="country-region">
          <w:r>
            <w:t>United States</w:t>
          </w:r>
        </w:smartTag>
      </w:smartTag>
    </w:p>
    <w:p w:rsidR="005B4629" w:rsidRDefault="005B4629" w:rsidP="005B4629">
      <w:pPr>
        <w:pStyle w:val="12"/>
      </w:pPr>
      <w:r>
        <w:t>Language: English</w:t>
      </w:r>
    </w:p>
    <w:p w:rsidR="005B4629" w:rsidRDefault="005B4629" w:rsidP="005B4629">
      <w:pPr>
        <w:pStyle w:val="12"/>
      </w:pPr>
      <w:r>
        <w:t>Publisher: Inst Clinical Science Inc</w:t>
      </w:r>
    </w:p>
    <w:p w:rsidR="005B4629" w:rsidRDefault="005B4629" w:rsidP="005B4629">
      <w:pPr>
        <w:pStyle w:val="12"/>
      </w:pPr>
      <w:r>
        <w:t xml:space="preserve">Publisher Address: 1833 Delancey Place, Philadelphia, PA </w:t>
      </w:r>
      <w:smartTag w:uri="urn:schemas-microsoft-com:office:smarttags" w:element="PostalCode">
        <w:r>
          <w:t>19103</w:t>
        </w:r>
      </w:smartTag>
    </w:p>
    <w:p w:rsidR="005B4629" w:rsidRDefault="005B4629" w:rsidP="005B4629">
      <w:pPr>
        <w:pStyle w:val="12"/>
      </w:pPr>
      <w:r>
        <w:t xml:space="preserve">Subject Categories: </w:t>
      </w:r>
    </w:p>
    <w:p w:rsidR="005B4629" w:rsidRDefault="005B4629" w:rsidP="005B4629">
      <w:pPr>
        <w:pStyle w:val="12"/>
      </w:pPr>
      <w:r>
        <w:t xml:space="preserve">Medical Laboratory Technology: Impact Factor </w:t>
      </w:r>
    </w:p>
    <w:p w:rsidR="005B4629" w:rsidRDefault="005B4629" w:rsidP="005B4629">
      <w:pPr>
        <w:pStyle w:val="a3"/>
        <w:rPr>
          <w:kern w:val="0"/>
        </w:rPr>
      </w:pPr>
      <w:r>
        <w:rPr>
          <w:rFonts w:hint="eastAsia"/>
          <w:kern w:val="0"/>
        </w:rPr>
        <w:t xml:space="preserve">? </w:t>
      </w:r>
      <w:r>
        <w:rPr>
          <w:kern w:val="0"/>
        </w:rPr>
        <w:t xml:space="preserve">Beri, A. and Boydell, J. (2014), Clozapine in borderline personality disorder: A review of the evidence. </w:t>
      </w:r>
      <w:r>
        <w:rPr>
          <w:i/>
          <w:iCs/>
          <w:kern w:val="0"/>
        </w:rPr>
        <w:t>Annals of Clinical Psychiatry</w:t>
      </w:r>
      <w:r>
        <w:rPr>
          <w:kern w:val="0"/>
        </w:rPr>
        <w:t xml:space="preserve">, </w:t>
      </w:r>
      <w:r>
        <w:rPr>
          <w:b/>
          <w:bCs/>
          <w:kern w:val="0"/>
        </w:rPr>
        <w:t>26</w:t>
      </w:r>
      <w:r>
        <w:rPr>
          <w:kern w:val="0"/>
        </w:rPr>
        <w:t xml:space="preserve"> (2), 139-144.</w:t>
      </w:r>
    </w:p>
    <w:p w:rsidR="005B4629" w:rsidRDefault="005B4629" w:rsidP="005B4629">
      <w:pPr>
        <w:pStyle w:val="a3"/>
        <w:rPr>
          <w:kern w:val="0"/>
        </w:rPr>
      </w:pPr>
      <w:r>
        <w:rPr>
          <w:kern w:val="0"/>
        </w:rPr>
        <w:t>Abstract: BACKGROUND: Borderline personality disorder (BPD) is a serious mental disorder that is difficult to treat. Possible targets for pharmacotherapy include affective symptoms, cognitive disturbances, and impulsive, self-injurious behaviors. Although many of the medications tested for treatment of BPD have been demonstrated to be useful, no clear pharmacologic treatment has emerged. Clozapine is one of the medications that has been evaluated for the treatment of severe BPD</w:t>
      </w:r>
      <w:r w:rsidR="00A37C1D">
        <w:rPr>
          <w:kern w:val="0"/>
        </w:rPr>
        <w:t>. The</w:t>
      </w:r>
      <w:r>
        <w:rPr>
          <w:kern w:val="0"/>
        </w:rPr>
        <w:t xml:space="preserve"> aim of this review is to summarize the evidence examining the effectiveness of clozapine in the treatment of BPD. METHODS: A comprehensive search of the health science databases PubMed, EMBASE, CINAHL, PsycINFO, Web of Science, Cochrane Library, and Google Scholar was performed for studies describing the use of clozapine in the treatment of BPD. RESULTS: After the initial search, no randomized controlled trials evaluating the effectiveness of clozapine in BPD were identified</w:t>
      </w:r>
      <w:r w:rsidR="00A37C1D">
        <w:rPr>
          <w:kern w:val="0"/>
        </w:rPr>
        <w:t>. The</w:t>
      </w:r>
      <w:r>
        <w:rPr>
          <w:kern w:val="0"/>
        </w:rPr>
        <w:t>refore, case reports and case series were reviewed, with 12 articles selected for final review. CONCLUSIONS: This review suggests that clozapine may be a beneficial treatment option for BPD especially in controlling symptom severity, psychotic symptoms, impulsivity, self-mutilation, number of days on enhanced observation, use of restraint, and overall functioning.</w:t>
      </w:r>
    </w:p>
    <w:p w:rsidR="005B4629" w:rsidRDefault="005B4629" w:rsidP="005B4629">
      <w:pPr>
        <w:pStyle w:val="a3"/>
        <w:rPr>
          <w:kern w:val="0"/>
        </w:rPr>
      </w:pPr>
      <w:r>
        <w:rPr>
          <w:kern w:val="0"/>
        </w:rPr>
        <w:t xml:space="preserve">Keywords: Antipsychotics, Articles, Background, Borderline, Borderline Personality Disorder, Case Reports, Clozapine, Conclusions, Databases, Disturbances, Double-Blind, Effectiveness, Efficacy, Embase, Evidence, Google, Google Scholar, Health, Mental Disorder, Metaanalysis, Methods, Observation, Personality, Pharmacotherapy, Pharmacotherapy, Prevalence, Psychotherapy, Psycinfo, Pubmed, Randomized, Randomized Controlled Trials, Review, Risk, Schizophrenia, Science, </w:t>
      </w:r>
      <w:r>
        <w:rPr>
          <w:kern w:val="0"/>
        </w:rPr>
        <w:lastRenderedPageBreak/>
        <w:t>Severe Self-Mutilation, Symptoms, Treatment, Treatment Option, Trials, Web Of Science</w:t>
      </w:r>
    </w:p>
    <w:p w:rsidR="003474F2" w:rsidRPr="001A3D2B" w:rsidRDefault="003474F2" w:rsidP="005B4629">
      <w:pPr>
        <w:pStyle w:val="1"/>
      </w:pPr>
      <w:r w:rsidRPr="001A3D2B">
        <w:rPr>
          <w:lang w:val="en-GB"/>
        </w:rPr>
        <w:br w:type="page"/>
      </w:r>
      <w:bookmarkStart w:id="457" w:name="_Toc420814494"/>
      <w:r w:rsidRPr="001A3D2B">
        <w:lastRenderedPageBreak/>
        <w:t>Title: Annals</w:t>
      </w:r>
      <w:r w:rsidR="00427468">
        <w:t xml:space="preserve"> of </w:t>
      </w:r>
      <w:r w:rsidRPr="001A3D2B">
        <w:t>Emergency Medicine</w:t>
      </w:r>
      <w:bookmarkEnd w:id="457"/>
    </w:p>
    <w:p w:rsidR="003474F2" w:rsidRPr="001A3D2B" w:rsidRDefault="003474F2" w:rsidP="003474F2">
      <w:pPr>
        <w:pStyle w:val="12"/>
      </w:pPr>
      <w:r w:rsidRPr="001A3D2B">
        <w:t>Full Journ</w:t>
      </w:r>
      <w:bookmarkStart w:id="458" w:name="_Toc78412411"/>
      <w:bookmarkStart w:id="459" w:name="_Toc81215611"/>
      <w:r w:rsidRPr="001A3D2B">
        <w:t xml:space="preserve">al Title: </w:t>
      </w:r>
      <w:r w:rsidR="00206C8A">
        <w:fldChar w:fldCharType="begin"/>
      </w:r>
      <w:r w:rsidR="00FD158B">
        <w:instrText>HYPERLINK "http://www.sc</w:instrText>
      </w:r>
      <w:bookmarkEnd w:id="458"/>
      <w:bookmarkEnd w:id="459"/>
      <w:r w:rsidR="00FD158B">
        <w:instrText>iencedirect.com/science?_ob=JournalURL&amp;_cdi=6696&amp;_auth=y&amp;_acct=C000011279&amp;_version=1&amp;_urlVersion=0&amp;_userid=1134284&amp;md5=59497c3bdb7daf9b4b8f0f2cef7906a8"</w:instrText>
      </w:r>
      <w:r w:rsidR="00206C8A">
        <w:fldChar w:fldCharType="separate"/>
      </w:r>
      <w:r w:rsidRPr="001A3D2B">
        <w:rPr>
          <w:rStyle w:val="a5"/>
        </w:rPr>
        <w:t>Annals</w:t>
      </w:r>
      <w:r w:rsidR="00427468">
        <w:rPr>
          <w:rStyle w:val="a5"/>
        </w:rPr>
        <w:t xml:space="preserve"> of </w:t>
      </w:r>
      <w:r w:rsidRPr="001A3D2B">
        <w:rPr>
          <w:rStyle w:val="a5"/>
        </w:rPr>
        <w:t>Emergency Medicine</w:t>
      </w:r>
      <w:r w:rsidR="00206C8A">
        <w:fldChar w:fldCharType="end"/>
      </w:r>
    </w:p>
    <w:p w:rsidR="003474F2" w:rsidRPr="001A3D2B" w:rsidRDefault="003474F2" w:rsidP="003474F2">
      <w:pPr>
        <w:pStyle w:val="12"/>
      </w:pPr>
      <w:r w:rsidRPr="001A3D2B">
        <w:t>ISO Abbreviated Title: Ann. Emerg. Med.</w:t>
      </w:r>
    </w:p>
    <w:p w:rsidR="003474F2" w:rsidRPr="001A3D2B" w:rsidRDefault="003474F2" w:rsidP="003474F2">
      <w:pPr>
        <w:pStyle w:val="12"/>
      </w:pPr>
      <w:r w:rsidRPr="001A3D2B">
        <w:t>JCR Abbreviated Title: Ann Emerg Med</w:t>
      </w:r>
    </w:p>
    <w:p w:rsidR="003474F2" w:rsidRPr="001A3D2B" w:rsidRDefault="003474F2" w:rsidP="003474F2">
      <w:pPr>
        <w:pStyle w:val="12"/>
      </w:pPr>
      <w:r w:rsidRPr="001A3D2B">
        <w:t>ISSN: 0196-0644</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Mosby,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11830 Westline Industrial DR</w:t>
          </w:r>
        </w:smartTag>
        <w:r w:rsidRPr="001A3D2B">
          <w:t xml:space="preserve">, </w:t>
        </w:r>
        <w:smartTag w:uri="urn:schemas-microsoft-com:office:smarttags" w:element="City">
          <w:r w:rsidRPr="001A3D2B">
            <w:t>St Louis</w:t>
          </w:r>
        </w:smartTag>
        <w:r w:rsidRPr="001A3D2B">
          <w:t xml:space="preserve">, </w:t>
        </w:r>
        <w:smartTag w:uri="urn:schemas-microsoft-com:office:smarttags" w:element="State">
          <w:r w:rsidRPr="001A3D2B">
            <w:t>MO</w:t>
          </w:r>
        </w:smartTag>
        <w:r w:rsidRPr="001A3D2B">
          <w:t xml:space="preserve"> </w:t>
        </w:r>
        <w:smartTag w:uri="urn:schemas-microsoft-com:office:smarttags" w:element="PostalCode">
          <w:r w:rsidRPr="001A3D2B">
            <w:t>63146-3318</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Emergency Medicine: Impact Factor 2.323, /(2001)</w:t>
      </w:r>
    </w:p>
    <w:p w:rsidR="003474F2" w:rsidRPr="001A3D2B" w:rsidRDefault="003474F2" w:rsidP="003474F2">
      <w:pPr>
        <w:pStyle w:val="a3"/>
      </w:pPr>
      <w:r w:rsidRPr="001A3D2B">
        <w:t xml:space="preserve">? Goldberg, R., </w:t>
      </w:r>
      <w:smartTag w:uri="urn:schemas-microsoft-com:office:smarttags" w:element="place">
        <w:smartTag w:uri="urn:schemas-microsoft-com:office:smarttags" w:element="City">
          <w:r w:rsidRPr="001A3D2B">
            <w:t>Newton</w:t>
          </w:r>
        </w:smartTag>
      </w:smartTag>
      <w:r w:rsidRPr="001A3D2B">
        <w:t>, E., Cameron, J., Jacobson, R., Chan, L., Bukata, W.R.</w:t>
      </w:r>
      <w:r w:rsidR="005853A9">
        <w:t xml:space="preserve"> and </w:t>
      </w:r>
      <w:r w:rsidRPr="001A3D2B">
        <w:t>Rakab, A. (1993), Reference accuracy in</w:t>
      </w:r>
      <w:r w:rsidR="003A1917">
        <w:t xml:space="preserve"> the </w:t>
      </w:r>
      <w:r w:rsidRPr="001A3D2B">
        <w:t xml:space="preserve">Emergency-Medicine literature. </w:t>
      </w:r>
      <w:r w:rsidRPr="001A3D2B">
        <w:rPr>
          <w:i/>
          <w:iCs/>
        </w:rPr>
        <w:t>Annals</w:t>
      </w:r>
      <w:r w:rsidR="00427468">
        <w:rPr>
          <w:i/>
          <w:iCs/>
        </w:rPr>
        <w:t xml:space="preserve"> of </w:t>
      </w:r>
      <w:r w:rsidRPr="001A3D2B">
        <w:rPr>
          <w:i/>
          <w:iCs/>
        </w:rPr>
        <w:t>Emergency Medicine</w:t>
      </w:r>
      <w:r w:rsidRPr="001A3D2B">
        <w:t xml:space="preserve">, </w:t>
      </w:r>
      <w:r w:rsidRPr="001A3D2B">
        <w:rPr>
          <w:b/>
          <w:bCs/>
        </w:rPr>
        <w:t>22</w:t>
      </w:r>
      <w:r w:rsidRPr="001A3D2B">
        <w:t xml:space="preserve"> (9), 1450-1454.</w:t>
      </w:r>
    </w:p>
    <w:p w:rsidR="003474F2" w:rsidRPr="001A3D2B" w:rsidRDefault="003474F2" w:rsidP="003474F2">
      <w:pPr>
        <w:pStyle w:val="a3"/>
      </w:pPr>
      <w:r w:rsidRPr="001A3D2B">
        <w:t xml:space="preserve">Full Text: </w:t>
      </w:r>
      <w:hyperlink r:id="rId830" w:history="1">
        <w:r w:rsidRPr="001A3D2B">
          <w:rPr>
            <w:rStyle w:val="a5"/>
          </w:rPr>
          <w:t>1993\Ann Eme Med22, 1450.pdf</w:t>
        </w:r>
      </w:hyperlink>
    </w:p>
    <w:p w:rsidR="00DA1DD1" w:rsidRDefault="00DA1DD1" w:rsidP="00DA1DD1">
      <w:pPr>
        <w:pStyle w:val="a3"/>
        <w:rPr>
          <w:kern w:val="0"/>
          <w:szCs w:val="24"/>
        </w:rPr>
      </w:pPr>
      <w:r>
        <w:rPr>
          <w:kern w:val="0"/>
          <w:szCs w:val="24"/>
        </w:rPr>
        <w:t>Abstract: Study objective: To determine</w:t>
      </w:r>
      <w:r w:rsidR="003A1917">
        <w:rPr>
          <w:kern w:val="0"/>
          <w:szCs w:val="24"/>
        </w:rPr>
        <w:t xml:space="preserve"> the </w:t>
      </w:r>
      <w:r>
        <w:rPr>
          <w:kern w:val="0"/>
          <w:szCs w:val="24"/>
        </w:rPr>
        <w:t>incidence</w:t>
      </w:r>
      <w:r w:rsidR="005853A9">
        <w:rPr>
          <w:kern w:val="0"/>
          <w:szCs w:val="24"/>
        </w:rPr>
        <w:t xml:space="preserve"> and </w:t>
      </w:r>
      <w:r>
        <w:rPr>
          <w:kern w:val="0"/>
          <w:szCs w:val="24"/>
        </w:rPr>
        <w:t>nature</w:t>
      </w:r>
      <w:r w:rsidR="00427468">
        <w:rPr>
          <w:kern w:val="0"/>
          <w:szCs w:val="24"/>
        </w:rPr>
        <w:t xml:space="preserve"> of </w:t>
      </w:r>
      <w:r>
        <w:rPr>
          <w:kern w:val="0"/>
          <w:szCs w:val="24"/>
        </w:rPr>
        <w:t>errors in</w:t>
      </w:r>
      <w:r w:rsidR="003A1917">
        <w:rPr>
          <w:kern w:val="0"/>
          <w:szCs w:val="24"/>
        </w:rPr>
        <w:t xml:space="preserve"> the </w:t>
      </w:r>
      <w:r>
        <w:rPr>
          <w:kern w:val="0"/>
          <w:szCs w:val="24"/>
        </w:rPr>
        <w:t>citation</w:t>
      </w:r>
      <w:r w:rsidR="005853A9">
        <w:rPr>
          <w:kern w:val="0"/>
          <w:szCs w:val="24"/>
        </w:rPr>
        <w:t xml:space="preserve"> and </w:t>
      </w:r>
      <w:r>
        <w:rPr>
          <w:kern w:val="0"/>
          <w:szCs w:val="24"/>
        </w:rPr>
        <w:t>quotation</w:t>
      </w:r>
      <w:r w:rsidR="00427468">
        <w:rPr>
          <w:kern w:val="0"/>
          <w:szCs w:val="24"/>
        </w:rPr>
        <w:t xml:space="preserve"> of </w:t>
      </w:r>
      <w:r>
        <w:rPr>
          <w:kern w:val="0"/>
          <w:szCs w:val="24"/>
        </w:rPr>
        <w:t>references contained in</w:t>
      </w:r>
      <w:r w:rsidR="003A1917">
        <w:rPr>
          <w:kern w:val="0"/>
          <w:szCs w:val="24"/>
        </w:rPr>
        <w:t xml:space="preserve"> the </w:t>
      </w:r>
      <w:r>
        <w:rPr>
          <w:kern w:val="0"/>
          <w:szCs w:val="24"/>
        </w:rPr>
        <w:t>emergency medicine literature. Design: A retrospective analysis</w:t>
      </w:r>
      <w:r w:rsidR="00427468">
        <w:rPr>
          <w:kern w:val="0"/>
          <w:szCs w:val="24"/>
        </w:rPr>
        <w:t xml:space="preserve"> of </w:t>
      </w:r>
      <w:r>
        <w:rPr>
          <w:kern w:val="0"/>
          <w:szCs w:val="24"/>
        </w:rPr>
        <w:t>a random sample</w:t>
      </w:r>
      <w:r w:rsidR="00427468">
        <w:rPr>
          <w:kern w:val="0"/>
          <w:szCs w:val="24"/>
        </w:rPr>
        <w:t xml:space="preserve"> of </w:t>
      </w:r>
      <w:r>
        <w:rPr>
          <w:kern w:val="0"/>
          <w:szCs w:val="24"/>
        </w:rPr>
        <w:t>articles</w:t>
      </w:r>
      <w:r w:rsidR="005853A9">
        <w:rPr>
          <w:kern w:val="0"/>
          <w:szCs w:val="24"/>
        </w:rPr>
        <w:t xml:space="preserve"> and </w:t>
      </w:r>
      <w:r>
        <w:rPr>
          <w:kern w:val="0"/>
          <w:szCs w:val="24"/>
        </w:rPr>
        <w:t>references found in</w:t>
      </w:r>
      <w:r w:rsidR="003A1917">
        <w:rPr>
          <w:kern w:val="0"/>
          <w:szCs w:val="24"/>
        </w:rPr>
        <w:t xml:space="preserve"> the </w:t>
      </w:r>
      <w:r>
        <w:rPr>
          <w:kern w:val="0"/>
          <w:szCs w:val="24"/>
        </w:rPr>
        <w:t>three major emergency medicine journals, Setting: A university/county hospital. Methods: We examined single issues</w:t>
      </w:r>
      <w:r w:rsidR="00427468">
        <w:rPr>
          <w:kern w:val="0"/>
          <w:szCs w:val="24"/>
        </w:rPr>
        <w:t xml:space="preserve"> of </w:t>
      </w:r>
      <w:r>
        <w:rPr>
          <w:kern w:val="0"/>
          <w:szCs w:val="24"/>
        </w:rPr>
        <w:t>three emergency medicine journals: Annals</w:t>
      </w:r>
      <w:r w:rsidR="00427468">
        <w:rPr>
          <w:kern w:val="0"/>
          <w:szCs w:val="24"/>
        </w:rPr>
        <w:t xml:space="preserve"> of </w:t>
      </w:r>
      <w:r>
        <w:rPr>
          <w:kern w:val="0"/>
          <w:szCs w:val="24"/>
        </w:rPr>
        <w:t>Emergency Medicine, Journal</w:t>
      </w:r>
      <w:r w:rsidR="00427468">
        <w:rPr>
          <w:kern w:val="0"/>
          <w:szCs w:val="24"/>
        </w:rPr>
        <w:t xml:space="preserve"> of </w:t>
      </w:r>
      <w:r>
        <w:rPr>
          <w:kern w:val="0"/>
          <w:szCs w:val="24"/>
        </w:rPr>
        <w:t>Emergency Medicine,</w:t>
      </w:r>
      <w:r w:rsidR="005853A9">
        <w:rPr>
          <w:kern w:val="0"/>
          <w:szCs w:val="24"/>
        </w:rPr>
        <w:t xml:space="preserve"> and </w:t>
      </w:r>
      <w:r>
        <w:rPr>
          <w:kern w:val="0"/>
          <w:szCs w:val="24"/>
        </w:rPr>
        <w:t>American Journal</w:t>
      </w:r>
      <w:r w:rsidR="00427468">
        <w:rPr>
          <w:kern w:val="0"/>
          <w:szCs w:val="24"/>
        </w:rPr>
        <w:t xml:space="preserve"> of </w:t>
      </w:r>
      <w:r>
        <w:rPr>
          <w:kern w:val="0"/>
          <w:szCs w:val="24"/>
        </w:rPr>
        <w:t>Emergency Medicine. Interventions: None. Measurements: Four independent reviewers assessed 145 references from 46 referring authors for citational</w:t>
      </w:r>
      <w:r w:rsidR="005853A9">
        <w:rPr>
          <w:kern w:val="0"/>
          <w:szCs w:val="24"/>
        </w:rPr>
        <w:t xml:space="preserve"> and </w:t>
      </w:r>
      <w:r>
        <w:rPr>
          <w:kern w:val="0"/>
          <w:szCs w:val="24"/>
        </w:rPr>
        <w:t>quotational accuracy. Main results: Major</w:t>
      </w:r>
      <w:r w:rsidR="005853A9">
        <w:rPr>
          <w:kern w:val="0"/>
          <w:szCs w:val="24"/>
        </w:rPr>
        <w:t xml:space="preserve"> and </w:t>
      </w:r>
      <w:r>
        <w:rPr>
          <w:kern w:val="0"/>
          <w:szCs w:val="24"/>
        </w:rPr>
        <w:t>minor citation errors were found in 10.3%</w:t>
      </w:r>
      <w:r w:rsidR="005853A9">
        <w:rPr>
          <w:kern w:val="0"/>
          <w:szCs w:val="24"/>
        </w:rPr>
        <w:t xml:space="preserve"> and </w:t>
      </w:r>
      <w:r>
        <w:rPr>
          <w:kern w:val="0"/>
          <w:szCs w:val="24"/>
        </w:rPr>
        <w:t>17.2%</w:t>
      </w:r>
      <w:r w:rsidR="00427468">
        <w:rPr>
          <w:kern w:val="0"/>
          <w:szCs w:val="24"/>
        </w:rPr>
        <w:t xml:space="preserve"> of </w:t>
      </w:r>
      <w:r>
        <w:rPr>
          <w:kern w:val="0"/>
          <w:szCs w:val="24"/>
        </w:rPr>
        <w:t>reference listings, respectively. Qualitative quotational errors were found in 35.2%</w:t>
      </w:r>
      <w:r w:rsidR="00427468">
        <w:rPr>
          <w:kern w:val="0"/>
          <w:szCs w:val="24"/>
        </w:rPr>
        <w:t xml:space="preserve"> of </w:t>
      </w:r>
      <w:r>
        <w:rPr>
          <w:kern w:val="0"/>
          <w:szCs w:val="24"/>
        </w:rPr>
        <w:t>references. Eighty-two percent</w:t>
      </w:r>
      <w:r w:rsidR="00427468">
        <w:rPr>
          <w:kern w:val="0"/>
          <w:szCs w:val="24"/>
        </w:rPr>
        <w:t xml:space="preserve"> of </w:t>
      </w:r>
      <w:r>
        <w:rPr>
          <w:kern w:val="0"/>
          <w:szCs w:val="24"/>
        </w:rPr>
        <w:t>these errors were considered to be major. Quantitative quotational errors were found in 47%</w:t>
      </w:r>
      <w:r w:rsidR="00427468">
        <w:rPr>
          <w:kern w:val="0"/>
          <w:szCs w:val="24"/>
        </w:rPr>
        <w:t xml:space="preserve"> of </w:t>
      </w:r>
      <w:r>
        <w:rPr>
          <w:kern w:val="0"/>
          <w:szCs w:val="24"/>
        </w:rPr>
        <w:t>references reviewed. Secondary rather than primary reference sources were used in 41.4%</w:t>
      </w:r>
      <w:r w:rsidR="00427468">
        <w:rPr>
          <w:kern w:val="0"/>
          <w:szCs w:val="24"/>
        </w:rPr>
        <w:t xml:space="preserve"> of </w:t>
      </w:r>
      <w:r>
        <w:rPr>
          <w:kern w:val="0"/>
          <w:szCs w:val="24"/>
        </w:rPr>
        <w:t>references reviewed. Conclusion: This study demonstrates a substantial error rate in</w:t>
      </w:r>
      <w:r w:rsidR="003A1917">
        <w:rPr>
          <w:kern w:val="0"/>
          <w:szCs w:val="24"/>
        </w:rPr>
        <w:t xml:space="preserve"> the </w:t>
      </w:r>
      <w:r>
        <w:rPr>
          <w:kern w:val="0"/>
          <w:szCs w:val="24"/>
        </w:rPr>
        <w:t>citation</w:t>
      </w:r>
      <w:r w:rsidR="005853A9">
        <w:rPr>
          <w:kern w:val="0"/>
          <w:szCs w:val="24"/>
        </w:rPr>
        <w:t xml:space="preserve"> and </w:t>
      </w:r>
      <w:r>
        <w:rPr>
          <w:kern w:val="0"/>
          <w:szCs w:val="24"/>
        </w:rPr>
        <w:t>quotation</w:t>
      </w:r>
      <w:r w:rsidR="00427468">
        <w:rPr>
          <w:kern w:val="0"/>
          <w:szCs w:val="24"/>
        </w:rPr>
        <w:t xml:space="preserve"> of </w:t>
      </w:r>
      <w:r>
        <w:rPr>
          <w:kern w:val="0"/>
          <w:szCs w:val="24"/>
        </w:rPr>
        <w:t>reference sources in</w:t>
      </w:r>
      <w:r w:rsidR="003A1917">
        <w:rPr>
          <w:kern w:val="0"/>
          <w:szCs w:val="24"/>
        </w:rPr>
        <w:t xml:space="preserve"> the </w:t>
      </w:r>
      <w:r>
        <w:rPr>
          <w:kern w:val="0"/>
          <w:szCs w:val="24"/>
        </w:rPr>
        <w:t>emergency medicine literature. In addition, verification</w:t>
      </w:r>
      <w:r w:rsidR="00427468">
        <w:rPr>
          <w:kern w:val="0"/>
          <w:szCs w:val="24"/>
        </w:rPr>
        <w:t xml:space="preserve"> of </w:t>
      </w:r>
      <w:r>
        <w:rPr>
          <w:kern w:val="0"/>
          <w:szCs w:val="24"/>
        </w:rPr>
        <w:t>primary source material was not done by a large percentage</w:t>
      </w:r>
      <w:r w:rsidR="00427468">
        <w:rPr>
          <w:kern w:val="0"/>
          <w:szCs w:val="24"/>
        </w:rPr>
        <w:t xml:space="preserve"> of </w:t>
      </w:r>
      <w:r w:rsidR="003A1917">
        <w:rPr>
          <w:kern w:val="0"/>
          <w:szCs w:val="24"/>
        </w:rPr>
        <w:t xml:space="preserve">the </w:t>
      </w:r>
      <w:r>
        <w:rPr>
          <w:kern w:val="0"/>
          <w:szCs w:val="24"/>
        </w:rPr>
        <w:t>authors reviewed. Recommendations for improving</w:t>
      </w:r>
      <w:r w:rsidR="003A1917">
        <w:rPr>
          <w:kern w:val="0"/>
          <w:szCs w:val="24"/>
        </w:rPr>
        <w:t xml:space="preserve"> the </w:t>
      </w:r>
      <w:r>
        <w:rPr>
          <w:kern w:val="0"/>
          <w:szCs w:val="24"/>
        </w:rPr>
        <w:t>accuracy</w:t>
      </w:r>
      <w:r w:rsidR="00427468">
        <w:rPr>
          <w:kern w:val="0"/>
          <w:szCs w:val="24"/>
        </w:rPr>
        <w:t xml:space="preserve"> of </w:t>
      </w:r>
      <w:r w:rsidR="003A1917">
        <w:rPr>
          <w:kern w:val="0"/>
          <w:szCs w:val="24"/>
        </w:rPr>
        <w:t xml:space="preserve">the </w:t>
      </w:r>
      <w:r>
        <w:rPr>
          <w:kern w:val="0"/>
          <w:szCs w:val="24"/>
        </w:rPr>
        <w:t>emergency medicine literature are offered.</w:t>
      </w:r>
    </w:p>
    <w:p w:rsidR="00DA1DD1" w:rsidRDefault="00DA1DD1" w:rsidP="00DA1DD1">
      <w:pPr>
        <w:pStyle w:val="a3"/>
        <w:rPr>
          <w:kern w:val="0"/>
          <w:szCs w:val="24"/>
        </w:rPr>
      </w:pPr>
      <w:r>
        <w:rPr>
          <w:kern w:val="0"/>
          <w:szCs w:val="24"/>
        </w:rPr>
        <w:t xml:space="preserve">Keywords: Accuracy, Analysis, Authors, Citation, Citation Errors, Emergency, Emergency Medicine, Error, Error Rate, Errors, Hospital, Incidence, Journal, Journals, Literature, Medicine, Minor, Primary, Quotation, Random Sample, </w:t>
      </w:r>
      <w:r>
        <w:rPr>
          <w:kern w:val="0"/>
          <w:szCs w:val="24"/>
        </w:rPr>
        <w:lastRenderedPageBreak/>
        <w:t>Reference, References, Retrospective Analysis, Source, Sources, Verification</w:t>
      </w:r>
    </w:p>
    <w:p w:rsidR="003474F2" w:rsidRPr="001A3D2B" w:rsidRDefault="003474F2" w:rsidP="003474F2">
      <w:pPr>
        <w:pStyle w:val="a3"/>
      </w:pPr>
      <w:r w:rsidRPr="001A3D2B">
        <w:t>? Gurudevan, S.V.</w:t>
      </w:r>
      <w:r w:rsidR="005853A9">
        <w:t xml:space="preserve"> and </w:t>
      </w:r>
      <w:r w:rsidRPr="001A3D2B">
        <w:t>Mower, W.R. (1996), Misrepresentation</w:t>
      </w:r>
      <w:r w:rsidR="00427468">
        <w:t xml:space="preserve"> of </w:t>
      </w:r>
      <w:r w:rsidRPr="001A3D2B">
        <w:t xml:space="preserve">research publications among emergency medicine residency applicants. </w:t>
      </w:r>
      <w:r w:rsidRPr="001A3D2B">
        <w:rPr>
          <w:i/>
          <w:iCs/>
        </w:rPr>
        <w:t>Annals</w:t>
      </w:r>
      <w:r w:rsidR="00427468">
        <w:rPr>
          <w:i/>
          <w:iCs/>
        </w:rPr>
        <w:t xml:space="preserve"> of </w:t>
      </w:r>
      <w:r w:rsidRPr="001A3D2B">
        <w:rPr>
          <w:i/>
          <w:iCs/>
        </w:rPr>
        <w:t>Emergency Medicine</w:t>
      </w:r>
      <w:r w:rsidRPr="001A3D2B">
        <w:t xml:space="preserve">, </w:t>
      </w:r>
      <w:r w:rsidRPr="001A3D2B">
        <w:rPr>
          <w:b/>
          <w:bCs/>
        </w:rPr>
        <w:t>27</w:t>
      </w:r>
      <w:r w:rsidRPr="001A3D2B">
        <w:t xml:space="preserve"> (3), 327-330.</w:t>
      </w:r>
    </w:p>
    <w:p w:rsidR="003474F2" w:rsidRPr="001A3D2B" w:rsidRDefault="003474F2" w:rsidP="003474F2">
      <w:pPr>
        <w:pStyle w:val="a3"/>
      </w:pPr>
      <w:r w:rsidRPr="001A3D2B">
        <w:t xml:space="preserve">Full Text: </w:t>
      </w:r>
      <w:hyperlink r:id="rId831" w:history="1">
        <w:r w:rsidRPr="001A3D2B">
          <w:rPr>
            <w:rStyle w:val="a5"/>
          </w:rPr>
          <w:t>1996\Ann Eme Med26, 327.pdf</w:t>
        </w:r>
      </w:hyperlink>
    </w:p>
    <w:p w:rsidR="003474F2" w:rsidRPr="001A3D2B" w:rsidRDefault="003474F2" w:rsidP="003474F2">
      <w:pPr>
        <w:pStyle w:val="a3"/>
      </w:pPr>
      <w:r w:rsidRPr="001A3D2B">
        <w:t>Abstract: Study objective: To assess</w:t>
      </w:r>
      <w:r w:rsidR="003A1917">
        <w:t xml:space="preserve"> the </w:t>
      </w:r>
      <w:r w:rsidRPr="001A3D2B">
        <w:t>prevalence</w:t>
      </w:r>
      <w:r w:rsidR="00427468">
        <w:t xml:space="preserve"> of </w:t>
      </w:r>
      <w:r w:rsidRPr="001A3D2B">
        <w:t>misrepresented citations among emergency medicine residency applicants</w:t>
      </w:r>
      <w:r w:rsidR="005853A9">
        <w:t xml:space="preserve"> and </w:t>
      </w:r>
      <w:r w:rsidRPr="001A3D2B">
        <w:t>to determine whether misrepresentation increases as</w:t>
      </w:r>
      <w:r w:rsidR="003A1917">
        <w:t xml:space="preserve"> the </w:t>
      </w:r>
      <w:r w:rsidRPr="001A3D2B">
        <w:t>number</w:t>
      </w:r>
      <w:r w:rsidR="00427468">
        <w:t xml:space="preserve"> of </w:t>
      </w:r>
      <w:r w:rsidRPr="001A3D2B">
        <w:t xml:space="preserve">citations increases. </w:t>
      </w:r>
    </w:p>
    <w:p w:rsidR="003474F2" w:rsidRPr="001A3D2B" w:rsidRDefault="003474F2" w:rsidP="003474F2">
      <w:pPr>
        <w:pStyle w:val="a3"/>
      </w:pPr>
      <w:r w:rsidRPr="001A3D2B">
        <w:t>Methods: We examined 350 consecutive emergency medicine residency applications</w:t>
      </w:r>
      <w:r w:rsidR="005853A9">
        <w:t xml:space="preserve"> and </w:t>
      </w:r>
      <w:r w:rsidRPr="001A3D2B">
        <w:t>then reviewed all cited publications to determine whether they were genuine or misrepresented. Applicants with citations were divided into three groups: those who listed one citation, those with two to four citations,</w:t>
      </w:r>
      <w:r w:rsidR="005853A9">
        <w:t xml:space="preserve"> and </w:t>
      </w:r>
      <w:r w:rsidRPr="001A3D2B">
        <w:t>those with five or more citations</w:t>
      </w:r>
      <w:r w:rsidR="00A37C1D">
        <w:t>. The</w:t>
      </w:r>
      <w:r w:rsidR="003A1917">
        <w:t xml:space="preserve"> </w:t>
      </w:r>
      <w:r w:rsidRPr="001A3D2B">
        <w:t>numbers</w:t>
      </w:r>
      <w:r w:rsidR="00427468">
        <w:t xml:space="preserve"> of </w:t>
      </w:r>
      <w:r w:rsidRPr="001A3D2B">
        <w:t>individuals</w:t>
      </w:r>
      <w:r w:rsidR="005853A9">
        <w:t xml:space="preserve"> and </w:t>
      </w:r>
      <w:r w:rsidRPr="001A3D2B">
        <w:t>misrepresentations were then tabulated</w:t>
      </w:r>
      <w:r w:rsidR="005853A9">
        <w:t xml:space="preserve"> and </w:t>
      </w:r>
      <w:r w:rsidRPr="001A3D2B">
        <w:t>compared among</w:t>
      </w:r>
      <w:r w:rsidR="003A1917">
        <w:t xml:space="preserve"> the </w:t>
      </w:r>
      <w:r w:rsidRPr="001A3D2B">
        <w:t>groups.</w:t>
      </w:r>
    </w:p>
    <w:p w:rsidR="003474F2" w:rsidRPr="001A3D2B" w:rsidRDefault="003474F2" w:rsidP="003474F2">
      <w:pPr>
        <w:pStyle w:val="a3"/>
      </w:pPr>
      <w:r w:rsidRPr="001A3D2B">
        <w:t>Results: Publications were cited on 113 applications (32.3%). Twenty-three applicants (20.4%</w:t>
      </w:r>
      <w:r w:rsidR="00427468">
        <w:t xml:space="preserve"> of </w:t>
      </w:r>
      <w:r w:rsidRPr="001A3D2B">
        <w:t>those who cited publications</w:t>
      </w:r>
      <w:r w:rsidR="005853A9">
        <w:t xml:space="preserve"> and </w:t>
      </w:r>
      <w:r w:rsidRPr="001A3D2B">
        <w:t>6.6%</w:t>
      </w:r>
      <w:r w:rsidR="00427468">
        <w:t xml:space="preserve"> of </w:t>
      </w:r>
      <w:r w:rsidRPr="001A3D2B">
        <w:t>ail applicants) misrepresented citations. Misrepresentations were found in 8</w:t>
      </w:r>
      <w:r w:rsidR="00427468">
        <w:t xml:space="preserve"> of </w:t>
      </w:r>
      <w:r w:rsidRPr="001A3D2B">
        <w:t>56 applications listing single citations (14.3%), 8</w:t>
      </w:r>
      <w:r w:rsidR="00427468">
        <w:t xml:space="preserve"> of </w:t>
      </w:r>
      <w:r w:rsidRPr="001A3D2B">
        <w:t>46 applications (17.4%) claiming two to four citations,</w:t>
      </w:r>
      <w:r w:rsidR="005853A9">
        <w:t xml:space="preserve"> and </w:t>
      </w:r>
      <w:r w:rsidRPr="001A3D2B">
        <w:t>7</w:t>
      </w:r>
      <w:r w:rsidR="00427468">
        <w:t xml:space="preserve"> of </w:t>
      </w:r>
      <w:r w:rsidRPr="001A3D2B">
        <w:t>11 (63.6%) applications claiming five or more citations (P = .00081, Pearson (2)(chi) test).</w:t>
      </w:r>
    </w:p>
    <w:p w:rsidR="003474F2" w:rsidRPr="001A3D2B" w:rsidRDefault="003474F2" w:rsidP="003474F2">
      <w:pPr>
        <w:pStyle w:val="a3"/>
      </w:pPr>
      <w:r w:rsidRPr="001A3D2B">
        <w:t>Conclusion: Emergency medicine residency applications may contain misrepresented citations</w:t>
      </w:r>
      <w:r w:rsidR="00A37C1D">
        <w:t>. The</w:t>
      </w:r>
      <w:r w:rsidR="003A1917">
        <w:t xml:space="preserve"> </w:t>
      </w:r>
      <w:r w:rsidRPr="001A3D2B">
        <w:t>number</w:t>
      </w:r>
      <w:r w:rsidR="00427468">
        <w:t xml:space="preserve"> of </w:t>
      </w:r>
      <w:r w:rsidRPr="001A3D2B">
        <w:t>misrepresentations in this study increased as</w:t>
      </w:r>
      <w:r w:rsidR="003A1917">
        <w:t xml:space="preserve"> the </w:t>
      </w:r>
      <w:r w:rsidRPr="001A3D2B">
        <w:t>number</w:t>
      </w:r>
      <w:r w:rsidR="00427468">
        <w:t xml:space="preserve"> of </w:t>
      </w:r>
      <w:r w:rsidRPr="001A3D2B">
        <w:t>citations increased.</w:t>
      </w:r>
    </w:p>
    <w:p w:rsidR="003474F2" w:rsidRPr="001A3D2B" w:rsidRDefault="003474F2" w:rsidP="003474F2">
      <w:pPr>
        <w:pStyle w:val="a3"/>
      </w:pPr>
      <w:r w:rsidRPr="001A3D2B">
        <w:t>? Barnaby, D.P.</w:t>
      </w:r>
      <w:r w:rsidR="005853A9">
        <w:t xml:space="preserve"> and </w:t>
      </w:r>
      <w:r w:rsidRPr="001A3D2B">
        <w:t>Gallagher, E.J. (1998), Alternative to</w:t>
      </w:r>
      <w:r w:rsidR="003A1917">
        <w:t xml:space="preserve"> the </w:t>
      </w:r>
      <w:r w:rsidRPr="001A3D2B">
        <w:t>Science Citation Index impact factor as an assessment</w:t>
      </w:r>
      <w:r w:rsidR="00427468">
        <w:t xml:space="preserve"> of </w:t>
      </w:r>
      <w:r w:rsidRPr="001A3D2B">
        <w:t>emergency medicine</w:t>
      </w:r>
      <w:r w:rsidR="00700038">
        <w:t>’</w:t>
      </w:r>
      <w:r w:rsidR="00C13DDC">
        <w:t>s</w:t>
      </w:r>
      <w:r w:rsidRPr="001A3D2B">
        <w:t xml:space="preserve"> scientific contributions. </w:t>
      </w:r>
      <w:r w:rsidRPr="001A3D2B">
        <w:rPr>
          <w:i/>
          <w:iCs/>
        </w:rPr>
        <w:t>Annals</w:t>
      </w:r>
      <w:r w:rsidR="00427468">
        <w:rPr>
          <w:i/>
          <w:iCs/>
        </w:rPr>
        <w:t xml:space="preserve"> of </w:t>
      </w:r>
      <w:r w:rsidRPr="001A3D2B">
        <w:rPr>
          <w:i/>
          <w:iCs/>
        </w:rPr>
        <w:t>Emergency Medicine</w:t>
      </w:r>
      <w:r w:rsidRPr="001A3D2B">
        <w:t xml:space="preserve">, </w:t>
      </w:r>
      <w:r w:rsidRPr="001A3D2B">
        <w:rPr>
          <w:b/>
          <w:bCs/>
        </w:rPr>
        <w:t>31</w:t>
      </w:r>
      <w:r w:rsidRPr="001A3D2B">
        <w:t xml:space="preserve"> (1), 78-82.</w:t>
      </w:r>
    </w:p>
    <w:p w:rsidR="003474F2" w:rsidRPr="001A3D2B" w:rsidRDefault="003474F2" w:rsidP="003474F2">
      <w:pPr>
        <w:pStyle w:val="a3"/>
      </w:pPr>
      <w:r w:rsidRPr="001A3D2B">
        <w:t xml:space="preserve">Full Text: </w:t>
      </w:r>
      <w:hyperlink r:id="rId832" w:history="1">
        <w:r w:rsidRPr="001A3D2B">
          <w:rPr>
            <w:rStyle w:val="a5"/>
          </w:rPr>
          <w:t>1998\Ann Eme Med31, 78.pdf</w:t>
        </w:r>
      </w:hyperlink>
    </w:p>
    <w:p w:rsidR="003474F2" w:rsidRPr="001A3D2B" w:rsidRDefault="003474F2" w:rsidP="003474F2">
      <w:pPr>
        <w:pStyle w:val="a3"/>
      </w:pPr>
      <w:r w:rsidRPr="001A3D2B">
        <w:t>Abstract: Study objective:</w:t>
      </w:r>
      <w:r w:rsidR="003A1917">
        <w:t xml:space="preserve"> the </w:t>
      </w:r>
      <w:r w:rsidRPr="001A3D2B">
        <w:t xml:space="preserve">Science Citation Index </w:t>
      </w:r>
      <w:r w:rsidR="00B5188C">
        <w:t>“</w:t>
      </w:r>
      <w:r w:rsidRPr="001A3D2B">
        <w:t>impact factor</w:t>
      </w:r>
      <w:r w:rsidR="00B5188C">
        <w:t>”</w:t>
      </w:r>
      <w:r w:rsidRPr="001A3D2B">
        <w:t xml:space="preserve"> is</w:t>
      </w:r>
      <w:r w:rsidR="003A1917">
        <w:t xml:space="preserve"> the </w:t>
      </w:r>
      <w:r w:rsidRPr="001A3D2B">
        <w:t>only available quantitative estimate</w:t>
      </w:r>
      <w:r w:rsidR="00427468">
        <w:t xml:space="preserve"> of </w:t>
      </w:r>
      <w:r w:rsidRPr="001A3D2B">
        <w:t>a journal</w:t>
      </w:r>
      <w:r w:rsidR="00700038">
        <w:t>’</w:t>
      </w:r>
      <w:r w:rsidR="00C13DDC">
        <w:t>s</w:t>
      </w:r>
      <w:r w:rsidRPr="001A3D2B">
        <w:t xml:space="preserve"> scientific contributions. However,</w:t>
      </w:r>
      <w:r w:rsidR="003A1917">
        <w:t xml:space="preserve"> the </w:t>
      </w:r>
      <w:r w:rsidRPr="001A3D2B">
        <w:t>derivation</w:t>
      </w:r>
      <w:r w:rsidR="00427468">
        <w:t xml:space="preserve"> of </w:t>
      </w:r>
      <w:r w:rsidRPr="001A3D2B">
        <w:t>this factor contains an intrinsic bias that underestimates</w:t>
      </w:r>
      <w:r w:rsidR="003A1917">
        <w:t xml:space="preserve"> the </w:t>
      </w:r>
      <w:r w:rsidRPr="001A3D2B">
        <w:t>impact</w:t>
      </w:r>
      <w:r w:rsidR="00427468">
        <w:t xml:space="preserve"> of </w:t>
      </w:r>
      <w:r w:rsidRPr="001A3D2B">
        <w:t>emergency medicine journals. We wished to test</w:t>
      </w:r>
      <w:r w:rsidR="003A1917">
        <w:t xml:space="preserve"> the </w:t>
      </w:r>
      <w:r w:rsidRPr="001A3D2B">
        <w:t>hypothesis that use</w:t>
      </w:r>
      <w:r w:rsidR="00427468">
        <w:t xml:space="preserve"> of </w:t>
      </w:r>
      <w:r w:rsidRPr="001A3D2B">
        <w:t>an alternative criterion standard would provide an improved profile</w:t>
      </w:r>
      <w:r w:rsidR="00427468">
        <w:t xml:space="preserve"> of </w:t>
      </w:r>
      <w:r w:rsidR="003A1917">
        <w:t xml:space="preserve">the </w:t>
      </w:r>
      <w:r w:rsidRPr="001A3D2B">
        <w:t>scientific contributions</w:t>
      </w:r>
      <w:r w:rsidR="00427468">
        <w:t xml:space="preserve"> of </w:t>
      </w:r>
      <w:r w:rsidRPr="001A3D2B">
        <w:t>emergency medicine journals relative to those</w:t>
      </w:r>
      <w:r w:rsidR="00427468">
        <w:t xml:space="preserve"> of </w:t>
      </w:r>
      <w:r w:rsidRPr="001A3D2B">
        <w:t>other specialties. Methods: We used an observational, longitudinal, comparative design in which all Index Medicus citations from Advanced Cardiac life Support (ACLS) publications were aggregated by journal</w:t>
      </w:r>
      <w:r w:rsidR="005853A9">
        <w:t xml:space="preserve"> and </w:t>
      </w:r>
      <w:r w:rsidRPr="001A3D2B">
        <w:t>then stratified by specialty. Proportions</w:t>
      </w:r>
      <w:r w:rsidR="005853A9">
        <w:t xml:space="preserve"> and </w:t>
      </w:r>
      <w:r w:rsidRPr="001A3D2B">
        <w:t>proportionate trends, relative to total citations, were reported by specialty, facilitating comparison</w:t>
      </w:r>
      <w:r w:rsidR="00427468">
        <w:t xml:space="preserve"> of </w:t>
      </w:r>
      <w:r w:rsidRPr="001A3D2B">
        <w:t>emergency medicine with other disciplines. Results: Among all eight ACLS publications (1974-1994) 4,062 citations met</w:t>
      </w:r>
      <w:r w:rsidR="003A1917">
        <w:t xml:space="preserve"> the </w:t>
      </w:r>
      <w:r w:rsidRPr="001A3D2B">
        <w:t xml:space="preserve">inclusion criteria. </w:t>
      </w:r>
      <w:r w:rsidRPr="001A3D2B">
        <w:lastRenderedPageBreak/>
        <w:t>Emergency medicine journals were referenced in 16%</w:t>
      </w:r>
      <w:r w:rsidR="00427468">
        <w:t xml:space="preserve"> of </w:t>
      </w:r>
      <w:r w:rsidRPr="001A3D2B">
        <w:t>eligible citations (99% confidence interval [CI], 14% to 17%), a figure exceeded only by internal medicine</w:t>
      </w:r>
      <w:r w:rsidR="005853A9">
        <w:t xml:space="preserve"> and </w:t>
      </w:r>
      <w:r w:rsidRPr="001A3D2B">
        <w:t>cardiology journals. Emergency medicine was</w:t>
      </w:r>
      <w:r w:rsidR="003A1917">
        <w:t xml:space="preserve"> the </w:t>
      </w:r>
      <w:r w:rsidRPr="001A3D2B">
        <w:t>only discipline to show a significant proportionate increase in contributions over</w:t>
      </w:r>
      <w:r w:rsidR="003A1917">
        <w:t xml:space="preserve"> the </w:t>
      </w:r>
      <w:r w:rsidRPr="001A3D2B">
        <w:t>20-year study period (P&lt;.001 by chi(2) for linear trend analysis). Conclusion: Contrary to</w:t>
      </w:r>
      <w:r w:rsidR="003A1917">
        <w:t xml:space="preserve"> the </w:t>
      </w:r>
      <w:r w:rsidRPr="001A3D2B">
        <w:t>implications</w:t>
      </w:r>
      <w:r w:rsidR="00427468">
        <w:t xml:space="preserve"> of </w:t>
      </w:r>
      <w:r w:rsidRPr="001A3D2B">
        <w:t>a low impact factor, an analysis</w:t>
      </w:r>
      <w:r w:rsidR="00427468">
        <w:t xml:space="preserve"> of </w:t>
      </w:r>
      <w:r w:rsidRPr="001A3D2B">
        <w:t>journal citations in ACLS publications over two decades suggests that emergency medicine has made significant contributions to a broad</w:t>
      </w:r>
      <w:r w:rsidR="005853A9">
        <w:t xml:space="preserve"> and </w:t>
      </w:r>
      <w:r w:rsidRPr="001A3D2B">
        <w:t>important area</w:t>
      </w:r>
      <w:r w:rsidR="00427468">
        <w:t xml:space="preserve"> of </w:t>
      </w:r>
      <w:r w:rsidRPr="001A3D2B">
        <w:t>scientific inquiry.</w:t>
      </w:r>
    </w:p>
    <w:p w:rsidR="003474F2" w:rsidRPr="001A3D2B" w:rsidRDefault="003474F2" w:rsidP="003474F2">
      <w:pPr>
        <w:pStyle w:val="a3"/>
      </w:pPr>
      <w:r w:rsidRPr="001A3D2B">
        <w:t>Keywords: Advanced, Alternative, Analysis, Assessment, Bias, Cardiology, Citation, Citations, Comparison, Confidence, Criteria, Design, Emergency, Emergency Medicine, Impact, Impact Factor, Interval, Journal, Journal Citations, Journals, Life, Longitudinal, Medicine, Observational, Publications, Science Citation Index, Specialty, Standard, Trend, Trend Analysis, Trends</w:t>
      </w:r>
    </w:p>
    <w:p w:rsidR="003474F2" w:rsidRPr="001A3D2B" w:rsidRDefault="003474F2" w:rsidP="003474F2">
      <w:pPr>
        <w:pStyle w:val="a3"/>
      </w:pPr>
      <w:r w:rsidRPr="001A3D2B">
        <w:t>? Gallagher, E.J.</w:t>
      </w:r>
      <w:r w:rsidR="005853A9">
        <w:t xml:space="preserve"> and </w:t>
      </w:r>
      <w:r w:rsidRPr="001A3D2B">
        <w:t>Barnaby, D.P. (1998), Evidence</w:t>
      </w:r>
      <w:r w:rsidR="00427468">
        <w:t xml:space="preserve"> of </w:t>
      </w:r>
      <w:r w:rsidRPr="001A3D2B">
        <w:t>methodologic bias in</w:t>
      </w:r>
      <w:r w:rsidR="003A1917">
        <w:t xml:space="preserve"> the </w:t>
      </w:r>
      <w:r w:rsidRPr="001A3D2B">
        <w:t>derivation</w:t>
      </w:r>
      <w:r w:rsidR="00427468">
        <w:t xml:space="preserve"> of </w:t>
      </w:r>
      <w:r w:rsidR="003A1917">
        <w:t xml:space="preserve">the </w:t>
      </w:r>
      <w:r w:rsidRPr="001A3D2B">
        <w:t xml:space="preserve">Science Citation Index impact factor. </w:t>
      </w:r>
      <w:r w:rsidRPr="001A3D2B">
        <w:rPr>
          <w:i/>
          <w:iCs/>
        </w:rPr>
        <w:t>Annals</w:t>
      </w:r>
      <w:r w:rsidR="00427468">
        <w:rPr>
          <w:i/>
          <w:iCs/>
        </w:rPr>
        <w:t xml:space="preserve"> of </w:t>
      </w:r>
      <w:r w:rsidRPr="001A3D2B">
        <w:rPr>
          <w:i/>
          <w:iCs/>
        </w:rPr>
        <w:t>Emergency Medicine</w:t>
      </w:r>
      <w:r w:rsidRPr="001A3D2B">
        <w:t xml:space="preserve">, </w:t>
      </w:r>
      <w:r w:rsidRPr="001A3D2B">
        <w:rPr>
          <w:b/>
          <w:bCs/>
        </w:rPr>
        <w:t>31</w:t>
      </w:r>
      <w:r w:rsidRPr="001A3D2B">
        <w:t xml:space="preserve"> (1), 83-86.</w:t>
      </w:r>
    </w:p>
    <w:p w:rsidR="003474F2" w:rsidRPr="001A3D2B" w:rsidRDefault="003474F2" w:rsidP="003474F2">
      <w:pPr>
        <w:pStyle w:val="a3"/>
      </w:pPr>
      <w:r w:rsidRPr="001A3D2B">
        <w:t xml:space="preserve">Full Text: </w:t>
      </w:r>
      <w:hyperlink r:id="rId833" w:history="1">
        <w:r w:rsidRPr="001A3D2B">
          <w:rPr>
            <w:rStyle w:val="a5"/>
          </w:rPr>
          <w:t>1998\Ann Eme Med31, 83.pdf</w:t>
        </w:r>
      </w:hyperlink>
    </w:p>
    <w:p w:rsidR="003474F2" w:rsidRPr="001A3D2B" w:rsidRDefault="003474F2" w:rsidP="003474F2">
      <w:pPr>
        <w:pStyle w:val="a3"/>
      </w:pPr>
      <w:r w:rsidRPr="001A3D2B">
        <w:t>Abstract: Study objective:</w:t>
      </w:r>
      <w:r w:rsidR="003A1917">
        <w:t xml:space="preserve"> the </w:t>
      </w:r>
      <w:r w:rsidR="00B5188C">
        <w:t>“</w:t>
      </w:r>
      <w:r w:rsidRPr="001A3D2B">
        <w:t>impact factor</w:t>
      </w:r>
      <w:r w:rsidR="00B5188C">
        <w:t>”</w:t>
      </w:r>
      <w:r w:rsidRPr="001A3D2B">
        <w:t xml:space="preserve"> published in Science Citation Index (SCI) is widely used in</w:t>
      </w:r>
      <w:r w:rsidR="003A1917">
        <w:t xml:space="preserve"> the </w:t>
      </w:r>
      <w:r w:rsidRPr="001A3D2B">
        <w:t>scientific community to measure</w:t>
      </w:r>
      <w:r w:rsidR="003A1917">
        <w:t xml:space="preserve"> the </w:t>
      </w:r>
      <w:r w:rsidRPr="001A3D2B">
        <w:t>relative importance</w:t>
      </w:r>
      <w:r w:rsidR="00427468">
        <w:t xml:space="preserve"> of </w:t>
      </w:r>
      <w:r w:rsidRPr="001A3D2B">
        <w:t>a medical journal. In contrast to all other indicators</w:t>
      </w:r>
      <w:r w:rsidR="00427468">
        <w:t xml:space="preserve"> of </w:t>
      </w:r>
      <w:r w:rsidRPr="001A3D2B">
        <w:t>academic growth in emergency medicine, impact factors for emergency medicine journals have remained low</w:t>
      </w:r>
      <w:r w:rsidR="005853A9">
        <w:t xml:space="preserve"> and </w:t>
      </w:r>
      <w:r w:rsidRPr="001A3D2B">
        <w:t>unchanged since</w:t>
      </w:r>
      <w:r w:rsidR="003A1917">
        <w:t xml:space="preserve"> the </w:t>
      </w:r>
      <w:r w:rsidRPr="001A3D2B">
        <w:t>inception</w:t>
      </w:r>
      <w:r w:rsidR="00427468">
        <w:t xml:space="preserve"> of </w:t>
      </w:r>
      <w:r w:rsidR="003A1917">
        <w:t xml:space="preserve">the </w:t>
      </w:r>
      <w:r w:rsidRPr="001A3D2B">
        <w:t>specialty. We wished to investigate this incongruity. Methods: We examined</w:t>
      </w:r>
      <w:r w:rsidR="003A1917">
        <w:t xml:space="preserve"> the </w:t>
      </w:r>
      <w:r w:rsidRPr="001A3D2B">
        <w:t>methodology used to derive</w:t>
      </w:r>
      <w:r w:rsidR="003A1917">
        <w:t xml:space="preserve"> the </w:t>
      </w:r>
      <w:r w:rsidRPr="001A3D2B">
        <w:t>SCI</w:t>
      </w:r>
      <w:r w:rsidR="00700038">
        <w:t>’</w:t>
      </w:r>
      <w:r w:rsidR="00C13DDC">
        <w:t>s</w:t>
      </w:r>
      <w:r w:rsidRPr="001A3D2B">
        <w:t xml:space="preserve"> journal impact factor. Results:</w:t>
      </w:r>
      <w:r w:rsidR="003A1917">
        <w:t xml:space="preserve"> the </w:t>
      </w:r>
      <w:r w:rsidRPr="001A3D2B">
        <w:t>impact factor for journals is defined mathematically as</w:t>
      </w:r>
      <w:r w:rsidR="003A1917">
        <w:t xml:space="preserve"> the </w:t>
      </w:r>
      <w:r w:rsidRPr="001A3D2B">
        <w:t>number</w:t>
      </w:r>
      <w:r w:rsidR="00427468">
        <w:t xml:space="preserve"> of </w:t>
      </w:r>
      <w:r w:rsidRPr="001A3D2B">
        <w:t>times a journal is cited over a period</w:t>
      </w:r>
      <w:r w:rsidR="00427468">
        <w:t xml:space="preserve"> of </w:t>
      </w:r>
      <w:r w:rsidRPr="001A3D2B">
        <w:t>time (the numerator) divided by</w:t>
      </w:r>
      <w:r w:rsidR="003A1917">
        <w:t xml:space="preserve"> the </w:t>
      </w:r>
      <w:r w:rsidRPr="001A3D2B">
        <w:t>number</w:t>
      </w:r>
      <w:r w:rsidR="00427468">
        <w:t xml:space="preserve"> of </w:t>
      </w:r>
      <w:r w:rsidRPr="001A3D2B">
        <w:t>articles published by that journal during</w:t>
      </w:r>
      <w:r w:rsidR="003A1917">
        <w:t xml:space="preserve"> the </w:t>
      </w:r>
      <w:r w:rsidRPr="001A3D2B">
        <w:t>same period (the denominator). Citation counts are derived from examination</w:t>
      </w:r>
      <w:r w:rsidR="00427468">
        <w:t xml:space="preserve"> of </w:t>
      </w:r>
      <w:r w:rsidRPr="001A3D2B">
        <w:t>all references contained in a subset</w:t>
      </w:r>
      <w:r w:rsidR="00427468">
        <w:t xml:space="preserve"> of </w:t>
      </w:r>
      <w:r w:rsidRPr="001A3D2B">
        <w:t xml:space="preserve">journals known as </w:t>
      </w:r>
      <w:r w:rsidR="00B5188C">
        <w:t>“</w:t>
      </w:r>
      <w:r w:rsidRPr="001A3D2B">
        <w:t>source</w:t>
      </w:r>
      <w:r w:rsidR="00B5188C">
        <w:t>”</w:t>
      </w:r>
      <w:r w:rsidRPr="001A3D2B">
        <w:t xml:space="preserve"> journals, No emergency medicine journals are included in this group</w:t>
      </w:r>
      <w:r w:rsidR="00A37C1D">
        <w:t>. The</w:t>
      </w:r>
      <w:r w:rsidR="003A1917">
        <w:t xml:space="preserve"> </w:t>
      </w:r>
      <w:r w:rsidRPr="001A3D2B">
        <w:t>only source</w:t>
      </w:r>
      <w:r w:rsidR="00427468">
        <w:t xml:space="preserve"> of </w:t>
      </w:r>
      <w:r w:rsidRPr="001A3D2B">
        <w:t>citations for emergency medicine journals is from journals outside</w:t>
      </w:r>
      <w:r w:rsidR="00427468">
        <w:t xml:space="preserve"> of </w:t>
      </w:r>
      <w:r w:rsidRPr="001A3D2B">
        <w:t>emergency medicine. This produces small numerators with relatively constant denominators, leading to low impact factors. Conclusion:</w:t>
      </w:r>
      <w:r w:rsidR="003A1917">
        <w:t xml:space="preserve"> the </w:t>
      </w:r>
      <w:r w:rsidRPr="001A3D2B">
        <w:t>apparent failure</w:t>
      </w:r>
      <w:r w:rsidR="00427468">
        <w:t xml:space="preserve"> of </w:t>
      </w:r>
      <w:r w:rsidRPr="001A3D2B">
        <w:t>emergency medicine journals, as measured by</w:t>
      </w:r>
      <w:r w:rsidR="003A1917">
        <w:t xml:space="preserve"> the </w:t>
      </w:r>
      <w:r w:rsidRPr="001A3D2B">
        <w:t>SCI impact factor, to keep pace with other indicators</w:t>
      </w:r>
      <w:r w:rsidR="00427468">
        <w:t xml:space="preserve"> of </w:t>
      </w:r>
      <w:r w:rsidRPr="001A3D2B">
        <w:t>academic development</w:t>
      </w:r>
      <w:r w:rsidR="00427468">
        <w:t xml:space="preserve"> of </w:t>
      </w:r>
      <w:r w:rsidR="003A1917">
        <w:t xml:space="preserve">the </w:t>
      </w:r>
      <w:r w:rsidRPr="001A3D2B">
        <w:t>field is at least in part attributable to a methodologic bias inherent in</w:t>
      </w:r>
      <w:r w:rsidR="003A1917">
        <w:t xml:space="preserve"> the </w:t>
      </w:r>
      <w:r w:rsidRPr="001A3D2B">
        <w:t>derivation</w:t>
      </w:r>
      <w:r w:rsidR="00427468">
        <w:t xml:space="preserve"> of </w:t>
      </w:r>
      <w:r w:rsidRPr="001A3D2B">
        <w:t>this factor.</w:t>
      </w:r>
    </w:p>
    <w:p w:rsidR="003474F2" w:rsidRPr="001A3D2B" w:rsidRDefault="003474F2" w:rsidP="003474F2">
      <w:pPr>
        <w:pStyle w:val="a3"/>
      </w:pPr>
      <w:r w:rsidRPr="001A3D2B">
        <w:t>Keywords: Academic, Bias, Citation, Citations, Community, Contrast, Development, Emergency, Emergency Medicine, Examination, Failure, Field, Group, Growth, Impact, Impact Factor, Impact Factors, Indicators, Journal, Journal Impact, Journal Impact Factor, Journals, Measure, Medical, Medicine, Methodology, References</w:t>
      </w:r>
      <w:r w:rsidR="00D5664A">
        <w:t xml:space="preserve">, </w:t>
      </w:r>
      <w:r w:rsidR="00D5664A">
        <w:lastRenderedPageBreak/>
        <w:t>SCI,</w:t>
      </w:r>
      <w:r w:rsidRPr="001A3D2B">
        <w:t xml:space="preserve"> Science Citation Index, Small, Source, Specialty</w:t>
      </w:r>
    </w:p>
    <w:p w:rsidR="003474F2" w:rsidRPr="001A3D2B" w:rsidRDefault="003474F2" w:rsidP="003474F2">
      <w:pPr>
        <w:pStyle w:val="a3"/>
      </w:pPr>
      <w:r w:rsidRPr="001A3D2B">
        <w:t>Notes: TTopic</w:t>
      </w:r>
    </w:p>
    <w:p w:rsidR="003474F2" w:rsidRPr="001A3D2B" w:rsidRDefault="003474F2" w:rsidP="003474F2">
      <w:pPr>
        <w:pStyle w:val="a3"/>
      </w:pPr>
      <w:r w:rsidRPr="001A3D2B">
        <w:t>Cherry, D., Annest, J.L., Mercy, J.A., Kresnow, M.J.</w:t>
      </w:r>
      <w:r w:rsidR="005853A9">
        <w:t xml:space="preserve"> and </w:t>
      </w:r>
      <w:r w:rsidRPr="001A3D2B">
        <w:t>Pollock, D.A. (1998), Trends in nonfatal</w:t>
      </w:r>
      <w:r w:rsidR="005853A9">
        <w:t xml:space="preserve"> and </w:t>
      </w:r>
      <w:r w:rsidRPr="001A3D2B">
        <w:t>fatal firearm-related injury rates in</w:t>
      </w:r>
      <w:r w:rsidR="003A1917">
        <w:t xml:space="preserve"> the </w:t>
      </w:r>
      <w:r w:rsidRPr="001A3D2B">
        <w:t xml:space="preserve">United States, 1985-1995. </w:t>
      </w:r>
      <w:r w:rsidRPr="001A3D2B">
        <w:rPr>
          <w:i/>
          <w:iCs/>
        </w:rPr>
        <w:t>Annals</w:t>
      </w:r>
      <w:r w:rsidR="00427468">
        <w:rPr>
          <w:i/>
          <w:iCs/>
        </w:rPr>
        <w:t xml:space="preserve"> of </w:t>
      </w:r>
      <w:r w:rsidRPr="001A3D2B">
        <w:rPr>
          <w:i/>
          <w:iCs/>
        </w:rPr>
        <w:t>Emergency Medicine</w:t>
      </w:r>
      <w:r w:rsidRPr="001A3D2B">
        <w:t xml:space="preserve">, </w:t>
      </w:r>
      <w:r w:rsidRPr="001A3D2B">
        <w:rPr>
          <w:b/>
          <w:bCs/>
        </w:rPr>
        <w:t>32</w:t>
      </w:r>
      <w:r w:rsidRPr="001A3D2B">
        <w:t xml:space="preserve"> (1), 51-59.</w:t>
      </w:r>
    </w:p>
    <w:p w:rsidR="003474F2" w:rsidRPr="001A3D2B" w:rsidRDefault="003474F2" w:rsidP="003474F2">
      <w:pPr>
        <w:pStyle w:val="a3"/>
      </w:pPr>
      <w:r w:rsidRPr="001A3D2B">
        <w:t xml:space="preserve">Full Text: </w:t>
      </w:r>
      <w:hyperlink r:id="rId834" w:history="1">
        <w:r w:rsidRPr="001A3D2B">
          <w:rPr>
            <w:rStyle w:val="a5"/>
          </w:rPr>
          <w:t>1998\Ann Eme Med32, 51.pdf</w:t>
        </w:r>
      </w:hyperlink>
    </w:p>
    <w:p w:rsidR="003474F2" w:rsidRPr="001A3D2B" w:rsidRDefault="003474F2" w:rsidP="003474F2">
      <w:pPr>
        <w:pStyle w:val="a3"/>
      </w:pPr>
      <w:r w:rsidRPr="001A3D2B">
        <w:t>Abstract: Study objective: To characterize trends in annual estimates</w:t>
      </w:r>
      <w:r w:rsidR="00427468">
        <w:t xml:space="preserve"> of </w:t>
      </w:r>
      <w:r w:rsidRPr="001A3D2B">
        <w:t>nonfatal firearm-related injuries treated in US hospital emergency departments</w:t>
      </w:r>
      <w:r w:rsidR="005853A9">
        <w:t xml:space="preserve"> and </w:t>
      </w:r>
      <w:r w:rsidRPr="001A3D2B">
        <w:t>to compare trends in quarterly rates</w:t>
      </w:r>
      <w:r w:rsidR="00427468">
        <w:t xml:space="preserve"> of </w:t>
      </w:r>
      <w:r w:rsidRPr="001A3D2B">
        <w:t>such injuries with those</w:t>
      </w:r>
      <w:r w:rsidR="00427468">
        <w:t xml:space="preserve"> of </w:t>
      </w:r>
      <w:r w:rsidRPr="001A3D2B">
        <w:t>firearm-related fatalities in</w:t>
      </w:r>
      <w:r w:rsidR="003A1917">
        <w:t xml:space="preserve"> the </w:t>
      </w:r>
      <w:r w:rsidRPr="001A3D2B">
        <w:t>US population.</w:t>
      </w:r>
    </w:p>
    <w:p w:rsidR="003474F2" w:rsidRPr="001A3D2B" w:rsidRDefault="003474F2" w:rsidP="003474F2">
      <w:pPr>
        <w:pStyle w:val="a3"/>
      </w:pPr>
      <w:r w:rsidRPr="001A3D2B">
        <w:t>Methods: Data on nonfatal firearm-related injuries were obtained from</w:t>
      </w:r>
      <w:r w:rsidR="003A1917">
        <w:t xml:space="preserve"> the </w:t>
      </w:r>
      <w:r w:rsidRPr="001A3D2B">
        <w:t>National Electronic Injury Surveillance System (NEISS) by review</w:t>
      </w:r>
      <w:r w:rsidR="00427468">
        <w:t xml:space="preserve"> of </w:t>
      </w:r>
      <w:r w:rsidRPr="001A3D2B">
        <w:t>medical records for June 1, 1992, through May 31, 1995. Data on firearm-related fatalities were obtained from</w:t>
      </w:r>
      <w:r w:rsidR="003A1917">
        <w:t xml:space="preserve"> the </w:t>
      </w:r>
      <w:r w:rsidRPr="001A3D2B">
        <w:t>National Vital Statistics System for January 1, 1985, through December 31, 1995. NEISS comprises 91 hospitals that represent a stratified probability sample</w:t>
      </w:r>
      <w:r w:rsidR="00427468">
        <w:t xml:space="preserve"> of </w:t>
      </w:r>
      <w:r w:rsidRPr="001A3D2B">
        <w:t>all hospitals in</w:t>
      </w:r>
      <w:r w:rsidR="003A1917">
        <w:t xml:space="preserve"> the </w:t>
      </w:r>
      <w:r w:rsidRPr="001A3D2B">
        <w:t>United States</w:t>
      </w:r>
      <w:r w:rsidR="005853A9">
        <w:t xml:space="preserve"> and </w:t>
      </w:r>
      <w:r w:rsidRPr="001A3D2B">
        <w:t>its territories that have at least six beds</w:t>
      </w:r>
      <w:r w:rsidR="005853A9">
        <w:t xml:space="preserve"> and </w:t>
      </w:r>
      <w:r w:rsidRPr="001A3D2B">
        <w:t>provide 24-hour emergency service</w:t>
      </w:r>
      <w:r w:rsidR="00A37C1D">
        <w:t>. The</w:t>
      </w:r>
      <w:r w:rsidR="003A1917">
        <w:t xml:space="preserve"> </w:t>
      </w:r>
      <w:r w:rsidRPr="001A3D2B">
        <w:t>main outcome measures were numbers, percentages,</w:t>
      </w:r>
      <w:r w:rsidR="005853A9">
        <w:t xml:space="preserve"> and </w:t>
      </w:r>
      <w:r w:rsidRPr="001A3D2B">
        <w:t>quarterly population rates for nonfatal</w:t>
      </w:r>
      <w:r w:rsidR="005853A9">
        <w:t xml:space="preserve"> and </w:t>
      </w:r>
      <w:r w:rsidRPr="001A3D2B">
        <w:t>fatal firearm-related injuries.</w:t>
      </w:r>
    </w:p>
    <w:p w:rsidR="003474F2" w:rsidRPr="001A3D2B" w:rsidRDefault="003474F2" w:rsidP="003474F2">
      <w:pPr>
        <w:pStyle w:val="a3"/>
      </w:pPr>
      <w:r w:rsidRPr="001A3D2B">
        <w:t>Results: An estimated 288, 538 nonfatal firearm-related injuries (95% confidence interval [CI], 169, 776 to 407, 300) were treated in EDs during</w:t>
      </w:r>
      <w:r w:rsidR="003A1917">
        <w:t xml:space="preserve"> the </w:t>
      </w:r>
      <w:r w:rsidRPr="001A3D2B">
        <w:t>3-year study period</w:t>
      </w:r>
      <w:r w:rsidR="00A37C1D">
        <w:t>. The</w:t>
      </w:r>
      <w:r w:rsidR="003A1917">
        <w:t xml:space="preserve"> </w:t>
      </w:r>
      <w:r w:rsidRPr="001A3D2B">
        <w:t>annual number</w:t>
      </w:r>
      <w:r w:rsidR="00427468">
        <w:t xml:space="preserve"> of </w:t>
      </w:r>
      <w:r w:rsidRPr="001A3D2B">
        <w:t>nonfatal firearm-related injuries increased from 99, 025 for June 1992 through May 1993 (95% CI, 58, 266 to 139, 784) to 101, 669 for June 1993 through May 1994 (95% CI, 59, 822 to 143, 516</w:t>
      </w:r>
      <w:r w:rsidR="00F42EAC">
        <w:t>), The</w:t>
      </w:r>
      <w:r w:rsidRPr="001A3D2B">
        <w:t>n decreased to 87, 844 for June 1994 through May 1995 (95% CI, 51, 687 to 124, 001). Before</w:t>
      </w:r>
      <w:r w:rsidR="003A1917">
        <w:t xml:space="preserve"> the </w:t>
      </w:r>
      <w:r w:rsidRPr="001A3D2B">
        <w:t>third quarter</w:t>
      </w:r>
      <w:r w:rsidR="00427468">
        <w:t xml:space="preserve"> of </w:t>
      </w:r>
      <w:r w:rsidRPr="001A3D2B">
        <w:t>1993, quarterly nonfatal</w:t>
      </w:r>
      <w:r w:rsidR="005853A9">
        <w:t xml:space="preserve"> and </w:t>
      </w:r>
      <w:r w:rsidRPr="001A3D2B">
        <w:t>fatal firearm-related injury rates in</w:t>
      </w:r>
      <w:r w:rsidR="003A1917">
        <w:t xml:space="preserve"> the </w:t>
      </w:r>
      <w:r w:rsidRPr="001A3D2B">
        <w:t>total US population</w:t>
      </w:r>
      <w:r w:rsidR="005853A9">
        <w:t xml:space="preserve"> and </w:t>
      </w:r>
      <w:r w:rsidRPr="001A3D2B">
        <w:t>quarterly nonfatal firearm assaultive injury</w:t>
      </w:r>
      <w:r w:rsidR="005853A9">
        <w:t xml:space="preserve"> and </w:t>
      </w:r>
      <w:r w:rsidRPr="001A3D2B">
        <w:t>firearm homicide rates for males aged 15 to 24 years were observed to be on</w:t>
      </w:r>
      <w:r w:rsidR="003A1917">
        <w:t xml:space="preserve"> the </w:t>
      </w:r>
      <w:r w:rsidRPr="001A3D2B">
        <w:t>rise. Since then, these rates have significantly declined.</w:t>
      </w:r>
    </w:p>
    <w:p w:rsidR="003474F2" w:rsidRPr="001A3D2B" w:rsidRDefault="003474F2" w:rsidP="003474F2">
      <w:pPr>
        <w:pStyle w:val="a3"/>
      </w:pPr>
      <w:r w:rsidRPr="001A3D2B">
        <w:t>Conclusion: Analysis</w:t>
      </w:r>
      <w:r w:rsidR="00427468">
        <w:t xml:space="preserve"> of </w:t>
      </w:r>
      <w:r w:rsidRPr="001A3D2B">
        <w:t>national trends indicates that nonfatal</w:t>
      </w:r>
      <w:r w:rsidR="005853A9">
        <w:t xml:space="preserve"> and </w:t>
      </w:r>
      <w:r w:rsidRPr="001A3D2B">
        <w:t>fatal firearm-related injuries are declining in</w:t>
      </w:r>
      <w:r w:rsidR="003A1917">
        <w:t xml:space="preserve"> the </w:t>
      </w:r>
      <w:r w:rsidRPr="001A3D2B">
        <w:t>United States, although</w:t>
      </w:r>
      <w:r w:rsidR="003A1917">
        <w:t xml:space="preserve"> the </w:t>
      </w:r>
      <w:r w:rsidRPr="001A3D2B">
        <w:t>rate</w:t>
      </w:r>
      <w:r w:rsidR="00427468">
        <w:t xml:space="preserve"> of </w:t>
      </w:r>
      <w:r w:rsidRPr="001A3D2B">
        <w:t>firearm-related deaths remains high, especially among males aged 15 to 24 years, in relation to other leading causes</w:t>
      </w:r>
      <w:r w:rsidR="00427468">
        <w:t xml:space="preserve"> of </w:t>
      </w:r>
      <w:r w:rsidRPr="001A3D2B">
        <w:t>injury death. An assessment</w:t>
      </w:r>
      <w:r w:rsidR="00427468">
        <w:t xml:space="preserve"> of </w:t>
      </w:r>
      <w:r w:rsidRPr="001A3D2B">
        <w:t>factors responsible for</w:t>
      </w:r>
      <w:r w:rsidR="003A1917">
        <w:t xml:space="preserve"> the </w:t>
      </w:r>
      <w:r w:rsidRPr="001A3D2B">
        <w:t>decline in firearm-related injuries is needed to design further prevention efforts.</w:t>
      </w:r>
    </w:p>
    <w:p w:rsidR="003474F2" w:rsidRPr="001A3D2B" w:rsidRDefault="003474F2" w:rsidP="003474F2">
      <w:pPr>
        <w:pStyle w:val="a3"/>
      </w:pPr>
      <w:r w:rsidRPr="001A3D2B">
        <w:t>Keywords: Trauma System, Gun Ownership, Homicide, Violence, Surveillance, Institution, Emergency, Handguns, Suicide, Home</w:t>
      </w:r>
    </w:p>
    <w:p w:rsidR="003474F2" w:rsidRPr="001A3D2B" w:rsidRDefault="003474F2" w:rsidP="003474F2">
      <w:pPr>
        <w:pStyle w:val="a3"/>
      </w:pPr>
      <w:r w:rsidRPr="001A3D2B">
        <w:t>? Callaham, M., Weber, E.</w:t>
      </w:r>
      <w:r w:rsidR="005853A9">
        <w:t xml:space="preserve"> and </w:t>
      </w:r>
      <w:r w:rsidRPr="001A3D2B">
        <w:t>Wears, R. (2001), Citation characteristics</w:t>
      </w:r>
      <w:r w:rsidR="00427468">
        <w:t xml:space="preserve"> of </w:t>
      </w:r>
      <w:r w:rsidRPr="001A3D2B">
        <w:t xml:space="preserve">research published in emergency medicine versus other scientific journals. </w:t>
      </w:r>
      <w:r w:rsidRPr="001A3D2B">
        <w:rPr>
          <w:i/>
          <w:iCs/>
        </w:rPr>
        <w:t>Annals</w:t>
      </w:r>
      <w:r w:rsidR="00427468">
        <w:rPr>
          <w:i/>
          <w:iCs/>
        </w:rPr>
        <w:t xml:space="preserve"> of </w:t>
      </w:r>
      <w:r w:rsidRPr="001A3D2B">
        <w:rPr>
          <w:i/>
          <w:iCs/>
        </w:rPr>
        <w:t>Emergency Medicine</w:t>
      </w:r>
      <w:r w:rsidRPr="001A3D2B">
        <w:t xml:space="preserve">, </w:t>
      </w:r>
      <w:r w:rsidRPr="001A3D2B">
        <w:rPr>
          <w:b/>
          <w:bCs/>
        </w:rPr>
        <w:t>38</w:t>
      </w:r>
      <w:r w:rsidRPr="001A3D2B">
        <w:t xml:space="preserve"> (5), 513-517.</w:t>
      </w:r>
    </w:p>
    <w:p w:rsidR="003474F2" w:rsidRPr="001A3D2B" w:rsidRDefault="003474F2" w:rsidP="003474F2">
      <w:pPr>
        <w:pStyle w:val="a3"/>
      </w:pPr>
      <w:r w:rsidRPr="001A3D2B">
        <w:lastRenderedPageBreak/>
        <w:t xml:space="preserve">Full Text: </w:t>
      </w:r>
      <w:hyperlink r:id="rId835" w:history="1">
        <w:r w:rsidRPr="001A3D2B">
          <w:rPr>
            <w:rStyle w:val="a5"/>
          </w:rPr>
          <w:t>2001\Ann Eme Med38, 513.pdf</w:t>
        </w:r>
      </w:hyperlink>
    </w:p>
    <w:p w:rsidR="003474F2" w:rsidRPr="001A3D2B" w:rsidRDefault="003474F2" w:rsidP="003474F2">
      <w:pPr>
        <w:pStyle w:val="a3"/>
      </w:pPr>
      <w:r w:rsidRPr="001A3D2B">
        <w:t>Abstract: Study Objective: We sought to examine how a cohort</w:t>
      </w:r>
      <w:r w:rsidR="00427468">
        <w:t xml:space="preserve"> of </w:t>
      </w:r>
      <w:r w:rsidRPr="001A3D2B">
        <w:t>published emergency medicine research is cited in scientific journals. Methods: Data were collected on all research submitted to</w:t>
      </w:r>
      <w:r w:rsidR="003A1917">
        <w:t xml:space="preserve"> the </w:t>
      </w:r>
      <w:r w:rsidRPr="001A3D2B">
        <w:t>1991 Society for Academic Emergency Medicine meeting</w:t>
      </w:r>
      <w:r w:rsidR="005853A9">
        <w:t xml:space="preserve"> and </w:t>
      </w:r>
      <w:r w:rsidRPr="001A3D2B">
        <w:t>subsequently published. Outcome measures included all citations</w:t>
      </w:r>
      <w:r w:rsidR="00427468">
        <w:t xml:space="preserve"> of </w:t>
      </w:r>
      <w:r w:rsidRPr="001A3D2B">
        <w:t>these studies found in journals listed in</w:t>
      </w:r>
      <w:r w:rsidR="003A1917">
        <w:t xml:space="preserve"> the </w:t>
      </w:r>
      <w:r w:rsidRPr="001A3D2B">
        <w:t>Science Citation Index, as well as</w:t>
      </w:r>
      <w:r w:rsidR="003A1917">
        <w:t xml:space="preserve"> the </w:t>
      </w:r>
      <w:r w:rsidRPr="001A3D2B">
        <w:t>impact factors (citations per manuscript per year)</w:t>
      </w:r>
      <w:r w:rsidR="00427468">
        <w:t xml:space="preserve"> of </w:t>
      </w:r>
      <w:r w:rsidRPr="001A3D2B">
        <w:t>citing journals. Results: Two hundred four</w:t>
      </w:r>
      <w:r w:rsidR="00427468">
        <w:t xml:space="preserve"> of </w:t>
      </w:r>
      <w:r w:rsidR="003A1917">
        <w:t xml:space="preserve">the </w:t>
      </w:r>
      <w:r w:rsidRPr="001A3D2B">
        <w:t>493 submitted studies were published</w:t>
      </w:r>
      <w:r w:rsidR="005853A9">
        <w:t xml:space="preserve"> and </w:t>
      </w:r>
      <w:r w:rsidRPr="001A3D2B">
        <w:t>met study entry criteria;</w:t>
      </w:r>
      <w:r w:rsidR="003A1917">
        <w:t xml:space="preserve"> the </w:t>
      </w:r>
      <w:r w:rsidRPr="001A3D2B">
        <w:t>average article was cited 2.04 times a year during</w:t>
      </w:r>
      <w:r w:rsidR="003A1917">
        <w:t xml:space="preserve"> the </w:t>
      </w:r>
      <w:r w:rsidRPr="001A3D2B">
        <w:t>study period. Twelve percent were never cited,</w:t>
      </w:r>
      <w:r w:rsidR="005853A9">
        <w:t xml:space="preserve"> and </w:t>
      </w:r>
      <w:r w:rsidRPr="001A3D2B">
        <w:t>39% were cited only once or twice. Thirty percent were published in non–emergency medicine journals,</w:t>
      </w:r>
      <w:r w:rsidR="005853A9">
        <w:t xml:space="preserve"> and </w:t>
      </w:r>
      <w:r w:rsidRPr="001A3D2B">
        <w:t>these were cited at least twice as often (and by almost 3 times as many journals) as apparently similar studies published in emergency medicine journals</w:t>
      </w:r>
      <w:r w:rsidR="00A37C1D">
        <w:t>. The</w:t>
      </w:r>
      <w:r w:rsidR="003A1917">
        <w:t xml:space="preserve"> </w:t>
      </w:r>
      <w:r w:rsidRPr="001A3D2B">
        <w:t>percentage</w:t>
      </w:r>
      <w:r w:rsidR="00427468">
        <w:t xml:space="preserve"> of </w:t>
      </w:r>
      <w:r w:rsidRPr="001A3D2B">
        <w:t>studies never cited by anyone was about threefold higher when published in emergency medicine journals. Forty-two percent</w:t>
      </w:r>
      <w:r w:rsidR="00427468">
        <w:t xml:space="preserve"> of </w:t>
      </w:r>
      <w:r w:rsidR="003A1917">
        <w:t xml:space="preserve">the </w:t>
      </w:r>
      <w:r w:rsidRPr="001A3D2B">
        <w:t>citations</w:t>
      </w:r>
      <w:r w:rsidR="00427468">
        <w:t xml:space="preserve"> of </w:t>
      </w:r>
      <w:r w:rsidRPr="001A3D2B">
        <w:t>research published in emergency medicine journals came from within</w:t>
      </w:r>
      <w:r w:rsidR="003A1917">
        <w:t xml:space="preserve"> the </w:t>
      </w:r>
      <w:r w:rsidRPr="001A3D2B">
        <w:t>specialty. Emergency medicine journals provided only 16%</w:t>
      </w:r>
      <w:r w:rsidR="00427468">
        <w:t xml:space="preserve"> of </w:t>
      </w:r>
      <w:r w:rsidR="003A1917">
        <w:t xml:space="preserve">the </w:t>
      </w:r>
      <w:r w:rsidRPr="001A3D2B">
        <w:t>citations</w:t>
      </w:r>
      <w:r w:rsidR="00427468">
        <w:t xml:space="preserve"> of </w:t>
      </w:r>
      <w:r w:rsidRPr="001A3D2B">
        <w:t>emergency medicine research published in non–emergency medicine journals because these studies were cited 3 times as often by authors in other disciplines. Rejection</w:t>
      </w:r>
      <w:r w:rsidR="00427468">
        <w:t xml:space="preserve"> of </w:t>
      </w:r>
      <w:r w:rsidRPr="001A3D2B">
        <w:t>research for presentation at</w:t>
      </w:r>
      <w:r w:rsidR="003A1917">
        <w:t xml:space="preserve"> the </w:t>
      </w:r>
      <w:r w:rsidRPr="001A3D2B">
        <w:t>meeting did not predict</w:t>
      </w:r>
      <w:r w:rsidR="003A1917">
        <w:t xml:space="preserve"> the </w:t>
      </w:r>
      <w:r w:rsidRPr="001A3D2B">
        <w:t>number or quality</w:t>
      </w:r>
      <w:r w:rsidR="00427468">
        <w:t xml:space="preserve"> of </w:t>
      </w:r>
      <w:r w:rsidRPr="001A3D2B">
        <w:t>citations or citing journals. Conclusion: Research submitted to</w:t>
      </w:r>
      <w:r w:rsidR="003A1917">
        <w:t xml:space="preserve"> the </w:t>
      </w:r>
      <w:r w:rsidRPr="001A3D2B">
        <w:t>Society for Academic Emergency Medicine meeting</w:t>
      </w:r>
      <w:r w:rsidR="005853A9">
        <w:t xml:space="preserve"> and </w:t>
      </w:r>
      <w:r w:rsidRPr="001A3D2B">
        <w:t>subsequently published is cited about as often as</w:t>
      </w:r>
      <w:r w:rsidR="003A1917">
        <w:t xml:space="preserve"> the </w:t>
      </w:r>
      <w:r w:rsidRPr="001A3D2B">
        <w:t>average scientific journal article but receives more impact, is cited more widely,</w:t>
      </w:r>
      <w:r w:rsidR="005853A9">
        <w:t xml:space="preserve"> and </w:t>
      </w:r>
      <w:r w:rsidRPr="001A3D2B">
        <w:t>is more likely to be cited by a broader range</w:t>
      </w:r>
      <w:r w:rsidR="00427468">
        <w:t xml:space="preserve"> of </w:t>
      </w:r>
      <w:r w:rsidRPr="001A3D2B">
        <w:t>authors when published by non–emergency medicine journals</w:t>
      </w:r>
      <w:r w:rsidR="00A37C1D">
        <w:t>. The</w:t>
      </w:r>
      <w:r w:rsidR="003A1917">
        <w:t xml:space="preserve"> </w:t>
      </w:r>
      <w:r w:rsidRPr="001A3D2B">
        <w:t>ability</w:t>
      </w:r>
      <w:r w:rsidR="00427468">
        <w:t xml:space="preserve"> of </w:t>
      </w:r>
      <w:r w:rsidRPr="001A3D2B">
        <w:t>emergency medicine journals to compete with larger non–emergency medicine journals for their larger audiences may help shape perceptions</w:t>
      </w:r>
      <w:r w:rsidR="00427468">
        <w:t xml:space="preserve"> of </w:t>
      </w:r>
      <w:r w:rsidR="003A1917">
        <w:t xml:space="preserve">the </w:t>
      </w:r>
      <w:r w:rsidRPr="001A3D2B">
        <w:t>specialty. [Callaham M, Weber E, Wears R. Citation characteristics</w:t>
      </w:r>
      <w:r w:rsidR="00427468">
        <w:t xml:space="preserve"> of </w:t>
      </w:r>
      <w:r w:rsidRPr="001A3D2B">
        <w:t>research published in emergency medicine versus other scientific journals. Ann Emerg Med. November 2001;38:513-517.]</w:t>
      </w:r>
    </w:p>
    <w:p w:rsidR="003474F2" w:rsidRPr="001A3D2B" w:rsidRDefault="003474F2" w:rsidP="003474F2">
      <w:pPr>
        <w:pStyle w:val="a3"/>
      </w:pPr>
      <w:r w:rsidRPr="001A3D2B">
        <w:t>? Girasek, D.C., Gielen, A.C.</w:t>
      </w:r>
      <w:r w:rsidR="005853A9">
        <w:t xml:space="preserve"> and </w:t>
      </w:r>
      <w:r w:rsidRPr="001A3D2B">
        <w:t>Smith, G.S. (2002), Alcohol</w:t>
      </w:r>
      <w:r w:rsidR="00700038">
        <w:t>’</w:t>
      </w:r>
      <w:r w:rsidR="00C13DDC">
        <w:t>s</w:t>
      </w:r>
      <w:r w:rsidRPr="001A3D2B">
        <w:t xml:space="preserve"> contribution to fatal injuries: A report on public perceptions. </w:t>
      </w:r>
      <w:r w:rsidRPr="001A3D2B">
        <w:rPr>
          <w:i/>
          <w:iCs/>
        </w:rPr>
        <w:t>Annals</w:t>
      </w:r>
      <w:r w:rsidR="00427468">
        <w:rPr>
          <w:i/>
          <w:iCs/>
        </w:rPr>
        <w:t xml:space="preserve"> of </w:t>
      </w:r>
      <w:r w:rsidRPr="001A3D2B">
        <w:rPr>
          <w:i/>
          <w:iCs/>
        </w:rPr>
        <w:t>Emergency Medicine</w:t>
      </w:r>
      <w:r w:rsidRPr="001A3D2B">
        <w:t xml:space="preserve">, </w:t>
      </w:r>
      <w:r w:rsidRPr="001A3D2B">
        <w:rPr>
          <w:b/>
          <w:bCs/>
        </w:rPr>
        <w:t>39</w:t>
      </w:r>
      <w:r w:rsidRPr="001A3D2B">
        <w:t xml:space="preserve"> (6), 622-630.</w:t>
      </w:r>
    </w:p>
    <w:p w:rsidR="003474F2" w:rsidRPr="001A3D2B" w:rsidRDefault="003474F2" w:rsidP="003474F2">
      <w:pPr>
        <w:pStyle w:val="a3"/>
      </w:pPr>
      <w:r w:rsidRPr="001A3D2B">
        <w:t xml:space="preserve">Full Text: </w:t>
      </w:r>
      <w:hyperlink r:id="rId836" w:history="1">
        <w:r w:rsidRPr="001A3D2B">
          <w:rPr>
            <w:rStyle w:val="a5"/>
          </w:rPr>
          <w:t>2002\Ann Eme Med39, 622.pdf</w:t>
        </w:r>
      </w:hyperlink>
    </w:p>
    <w:p w:rsidR="003474F2" w:rsidRPr="001A3D2B" w:rsidRDefault="003474F2" w:rsidP="003474F2">
      <w:pPr>
        <w:pStyle w:val="a3"/>
      </w:pPr>
      <w:r w:rsidRPr="001A3D2B">
        <w:t>Abstract: Study objective: We determine whether members</w:t>
      </w:r>
      <w:r w:rsidR="00427468">
        <w:t xml:space="preserve"> of </w:t>
      </w:r>
      <w:r w:rsidR="003A1917">
        <w:t xml:space="preserve">the </w:t>
      </w:r>
      <w:r w:rsidRPr="001A3D2B">
        <w:t>public understand that alcohol contributes to each</w:t>
      </w:r>
      <w:r w:rsidR="00427468">
        <w:t xml:space="preserve"> of </w:t>
      </w:r>
      <w:r w:rsidR="003A1917">
        <w:t xml:space="preserve">the </w:t>
      </w:r>
      <w:r w:rsidRPr="001A3D2B">
        <w:t>leading causes</w:t>
      </w:r>
      <w:r w:rsidR="00427468">
        <w:t xml:space="preserve"> of </w:t>
      </w:r>
      <w:r w:rsidRPr="001A3D2B">
        <w:t>unintentional-injury death in</w:t>
      </w:r>
      <w:r w:rsidR="003A1917">
        <w:t xml:space="preserve"> the </w:t>
      </w:r>
      <w:r w:rsidRPr="001A3D2B">
        <w:t>United States</w:t>
      </w:r>
      <w:r w:rsidR="005853A9">
        <w:t xml:space="preserve"> and </w:t>
      </w:r>
      <w:r w:rsidRPr="001A3D2B">
        <w:t>not just to motor vehicle-related fatalities Public opinions.</w:t>
      </w:r>
      <w:r w:rsidR="00427468">
        <w:t xml:space="preserve"> of </w:t>
      </w:r>
      <w:r w:rsidRPr="001A3D2B">
        <w:t>selected alcohol control policies were also assessed.</w:t>
      </w:r>
    </w:p>
    <w:p w:rsidR="003474F2" w:rsidRPr="001A3D2B" w:rsidRDefault="003474F2" w:rsidP="003474F2">
      <w:pPr>
        <w:pStyle w:val="a3"/>
      </w:pPr>
      <w:r w:rsidRPr="001A3D2B">
        <w:t>Methods: We used a national telephone survey</w:t>
      </w:r>
      <w:r w:rsidR="00427468">
        <w:t xml:space="preserve"> of </w:t>
      </w:r>
      <w:r w:rsidRPr="001A3D2B">
        <w:t>943 adults, who were selected by random-digit dialing techniques. Respondents</w:t>
      </w:r>
      <w:r w:rsidR="00700038">
        <w:t>’</w:t>
      </w:r>
      <w:r w:rsidRPr="001A3D2B">
        <w:t xml:space="preserve"> mean estimates</w:t>
      </w:r>
      <w:r w:rsidR="00427468">
        <w:t xml:space="preserve"> of </w:t>
      </w:r>
      <w:r w:rsidRPr="001A3D2B">
        <w:t>alcohol</w:t>
      </w:r>
      <w:r w:rsidR="00700038">
        <w:t>’</w:t>
      </w:r>
      <w:r w:rsidR="00C13DDC">
        <w:t>s</w:t>
      </w:r>
      <w:r w:rsidRPr="001A3D2B">
        <w:t xml:space="preserve"> </w:t>
      </w:r>
      <w:r w:rsidRPr="001A3D2B">
        <w:lastRenderedPageBreak/>
        <w:t>involvement in fatal injuries were compared with published data from a meta-analysis</w:t>
      </w:r>
      <w:r w:rsidR="00427468">
        <w:t xml:space="preserve"> of </w:t>
      </w:r>
      <w:r w:rsidRPr="001A3D2B">
        <w:t>medical examiner data.</w:t>
      </w:r>
    </w:p>
    <w:p w:rsidR="003474F2" w:rsidRPr="001A3D2B" w:rsidRDefault="003474F2" w:rsidP="003474F2">
      <w:pPr>
        <w:pStyle w:val="a3"/>
      </w:pPr>
      <w:r w:rsidRPr="001A3D2B">
        <w:t>Results:</w:t>
      </w:r>
      <w:r w:rsidR="003A1917">
        <w:t xml:space="preserve"> the </w:t>
      </w:r>
      <w:r w:rsidRPr="001A3D2B">
        <w:t>study population accurately estimated</w:t>
      </w:r>
      <w:r w:rsidR="003A1917">
        <w:t xml:space="preserve"> the </w:t>
      </w:r>
      <w:r w:rsidRPr="001A3D2B">
        <w:t>proportion</w:t>
      </w:r>
      <w:r w:rsidR="00427468">
        <w:t xml:space="preserve"> of </w:t>
      </w:r>
      <w:r w:rsidRPr="001A3D2B">
        <w:t>fatal fall, drowning,</w:t>
      </w:r>
      <w:r w:rsidR="005853A9">
        <w:t xml:space="preserve"> and </w:t>
      </w:r>
      <w:r w:rsidRPr="001A3D2B">
        <w:t>poisoning victims who were legally drunk when they died. Respondents overestimated</w:t>
      </w:r>
      <w:r w:rsidR="003A1917">
        <w:t xml:space="preserve"> the </w:t>
      </w:r>
      <w:r w:rsidRPr="001A3D2B">
        <w:t>proportion</w:t>
      </w:r>
      <w:r w:rsidR="00427468">
        <w:t xml:space="preserve"> of </w:t>
      </w:r>
      <w:r w:rsidRPr="001A3D2B">
        <w:t>drivers killed in motor vehicle crashes who were intoxicated</w:t>
      </w:r>
      <w:r w:rsidR="005853A9">
        <w:t xml:space="preserve"> and </w:t>
      </w:r>
      <w:r w:rsidRPr="001A3D2B">
        <w:t>underestimated</w:t>
      </w:r>
      <w:r w:rsidR="003A1917">
        <w:t xml:space="preserve"> the </w:t>
      </w:r>
      <w:r w:rsidRPr="001A3D2B">
        <w:t>proportion</w:t>
      </w:r>
      <w:r w:rsidR="00427468">
        <w:t xml:space="preserve"> of </w:t>
      </w:r>
      <w:r w:rsidRPr="001A3D2B">
        <w:t>fire/burn victims. Fifty-seven percent</w:t>
      </w:r>
      <w:r w:rsidR="00427468">
        <w:t xml:space="preserve"> of </w:t>
      </w:r>
      <w:r w:rsidRPr="001A3D2B">
        <w:t>participants endorsed</w:t>
      </w:r>
      <w:r w:rsidR="003A1917">
        <w:t xml:space="preserve"> the </w:t>
      </w:r>
      <w:r w:rsidRPr="001A3D2B">
        <w:t>myth that alcohol intoxication is protective against injury in</w:t>
      </w:r>
      <w:r w:rsidR="003A1917">
        <w:t xml:space="preserve"> the </w:t>
      </w:r>
      <w:r w:rsidRPr="001A3D2B">
        <w:t>event</w:t>
      </w:r>
      <w:r w:rsidR="00427468">
        <w:t xml:space="preserve"> of </w:t>
      </w:r>
      <w:r w:rsidRPr="001A3D2B">
        <w:t>a motor vehicle crash. Participants were divided over whether increasing</w:t>
      </w:r>
      <w:r w:rsidR="003A1917">
        <w:t xml:space="preserve"> the </w:t>
      </w:r>
      <w:r w:rsidRPr="001A3D2B">
        <w:t>legal drinking age to 21 had resulted in fewer injury deaths, Seventy-eight percent</w:t>
      </w:r>
      <w:r w:rsidR="00427468">
        <w:t xml:space="preserve"> of </w:t>
      </w:r>
      <w:r w:rsidRPr="001A3D2B">
        <w:t>participants did not believe that raising alcohol taxes would reduce fatal injuries. A majority (58%)</w:t>
      </w:r>
      <w:r w:rsidR="00427468">
        <w:t xml:space="preserve"> of </w:t>
      </w:r>
      <w:r w:rsidRPr="001A3D2B">
        <w:t xml:space="preserve">respondents supported taking blood alcohol levels on all </w:t>
      </w:r>
      <w:r w:rsidR="00700038">
        <w:t>‘</w:t>
      </w:r>
      <w:r w:rsidR="00C13DDC">
        <w:t>s</w:t>
      </w:r>
      <w:r w:rsidRPr="001A3D2B">
        <w:t>eriously injured</w:t>
      </w:r>
      <w:r w:rsidR="00700038">
        <w:t>’</w:t>
      </w:r>
      <w:r w:rsidRPr="001A3D2B">
        <w:t xml:space="preserve"> patients brought to</w:t>
      </w:r>
      <w:r w:rsidR="003A1917">
        <w:t xml:space="preserve"> the </w:t>
      </w:r>
      <w:r w:rsidRPr="001A3D2B">
        <w:t>hospital.</w:t>
      </w:r>
    </w:p>
    <w:p w:rsidR="003474F2" w:rsidRPr="001A3D2B" w:rsidRDefault="003474F2" w:rsidP="003474F2">
      <w:pPr>
        <w:pStyle w:val="a3"/>
      </w:pPr>
      <w:r w:rsidRPr="001A3D2B">
        <w:t>Conclusion: This report suggests that public awareness</w:t>
      </w:r>
      <w:r w:rsidR="00427468">
        <w:t xml:space="preserve"> of </w:t>
      </w:r>
      <w:r w:rsidRPr="001A3D2B">
        <w:t>alcohol</w:t>
      </w:r>
      <w:r w:rsidR="00700038">
        <w:t>’</w:t>
      </w:r>
      <w:r w:rsidR="00C13DDC">
        <w:t>s</w:t>
      </w:r>
      <w:r w:rsidRPr="001A3D2B">
        <w:t xml:space="preserve"> contribution to</w:t>
      </w:r>
      <w:r w:rsidR="003A1917">
        <w:t xml:space="preserve"> the </w:t>
      </w:r>
      <w:r w:rsidRPr="001A3D2B">
        <w:t>breadth</w:t>
      </w:r>
      <w:r w:rsidR="00427468">
        <w:t xml:space="preserve"> of </w:t>
      </w:r>
      <w:r w:rsidR="003A1917">
        <w:t xml:space="preserve">the </w:t>
      </w:r>
      <w:r w:rsidRPr="001A3D2B">
        <w:t>injury problem in</w:t>
      </w:r>
      <w:r w:rsidR="003A1917">
        <w:t xml:space="preserve"> the </w:t>
      </w:r>
      <w:r w:rsidRPr="001A3D2B">
        <w:t>United States is high. Conversely, public understanding</w:t>
      </w:r>
      <w:r w:rsidR="00427468">
        <w:t xml:space="preserve"> of </w:t>
      </w:r>
      <w:r w:rsidRPr="001A3D2B">
        <w:t>whether prevention strategies have proven to be effective is poor. Emergency medicine practitioners can serve as credible sources</w:t>
      </w:r>
      <w:r w:rsidR="00427468">
        <w:t xml:space="preserve"> of </w:t>
      </w:r>
      <w:r w:rsidRPr="001A3D2B">
        <w:t>more accurate information for patients</w:t>
      </w:r>
      <w:r w:rsidR="005853A9">
        <w:t xml:space="preserve"> and </w:t>
      </w:r>
      <w:r w:rsidR="003A1917">
        <w:t xml:space="preserve">the </w:t>
      </w:r>
      <w:r w:rsidRPr="001A3D2B">
        <w:t>community at large.</w:t>
      </w:r>
    </w:p>
    <w:p w:rsidR="003474F2" w:rsidRPr="001A3D2B" w:rsidRDefault="003474F2" w:rsidP="003474F2">
      <w:pPr>
        <w:pStyle w:val="a3"/>
      </w:pPr>
      <w:r w:rsidRPr="001A3D2B">
        <w:t>Keywords: United-States, Policy</w:t>
      </w:r>
    </w:p>
    <w:p w:rsidR="003474F2" w:rsidRPr="001A3D2B" w:rsidRDefault="003474F2" w:rsidP="003474F2">
      <w:pPr>
        <w:pStyle w:val="a3"/>
      </w:pPr>
      <w:r w:rsidRPr="001A3D2B">
        <w:t>Ballard, D.W., Derlet, R.W., Rich, B.A.</w:t>
      </w:r>
      <w:r w:rsidR="005853A9">
        <w:t xml:space="preserve"> and </w:t>
      </w:r>
      <w:r w:rsidRPr="001A3D2B">
        <w:t xml:space="preserve">Lowe, R.A. (2004), EMF-7 EMTALA: Two decades later. </w:t>
      </w:r>
      <w:r w:rsidRPr="001A3D2B">
        <w:rPr>
          <w:i/>
          <w:iCs/>
        </w:rPr>
        <w:t>Annals</w:t>
      </w:r>
      <w:r w:rsidR="00427468">
        <w:rPr>
          <w:i/>
          <w:iCs/>
        </w:rPr>
        <w:t xml:space="preserve"> of </w:t>
      </w:r>
      <w:r w:rsidRPr="001A3D2B">
        <w:rPr>
          <w:i/>
          <w:iCs/>
        </w:rPr>
        <w:t>Emergency Medicine</w:t>
      </w:r>
      <w:r w:rsidRPr="001A3D2B">
        <w:t xml:space="preserve">, </w:t>
      </w:r>
      <w:r w:rsidRPr="001A3D2B">
        <w:rPr>
          <w:b/>
          <w:bCs/>
        </w:rPr>
        <w:t>44</w:t>
      </w:r>
      <w:r w:rsidRPr="001A3D2B">
        <w:t xml:space="preserve"> (4), S117-S117.</w:t>
      </w:r>
    </w:p>
    <w:p w:rsidR="003474F2" w:rsidRPr="001A3D2B" w:rsidRDefault="003474F2" w:rsidP="003474F2">
      <w:pPr>
        <w:pStyle w:val="a3"/>
      </w:pPr>
      <w:r w:rsidRPr="001A3D2B">
        <w:t xml:space="preserve">Full Text: </w:t>
      </w:r>
      <w:hyperlink r:id="rId837" w:history="1">
        <w:r w:rsidRPr="001A3D2B">
          <w:rPr>
            <w:rStyle w:val="a5"/>
          </w:rPr>
          <w:t>2004\Ann Eme Med44, S117.pdf</w:t>
        </w:r>
      </w:hyperlink>
    </w:p>
    <w:p w:rsidR="0062028A" w:rsidRDefault="0062028A" w:rsidP="0062028A">
      <w:pPr>
        <w:pStyle w:val="a3"/>
        <w:rPr>
          <w:kern w:val="0"/>
        </w:rPr>
      </w:pPr>
      <w:r>
        <w:rPr>
          <w:rFonts w:hint="eastAsia"/>
          <w:kern w:val="0"/>
        </w:rPr>
        <w:t xml:space="preserve">? </w:t>
      </w:r>
      <w:r>
        <w:rPr>
          <w:kern w:val="0"/>
        </w:rPr>
        <w:t>Williams, J., Nocera, M.</w:t>
      </w:r>
      <w:r w:rsidR="005853A9">
        <w:rPr>
          <w:kern w:val="0"/>
        </w:rPr>
        <w:t xml:space="preserve"> and </w:t>
      </w:r>
      <w:r>
        <w:rPr>
          <w:kern w:val="0"/>
        </w:rPr>
        <w:t>Casteel, C. (2008</w:t>
      </w:r>
      <w:r w:rsidR="00F42EAC">
        <w:rPr>
          <w:kern w:val="0"/>
        </w:rPr>
        <w:t>), The</w:t>
      </w:r>
      <w:r w:rsidR="003A1917">
        <w:rPr>
          <w:kern w:val="0"/>
        </w:rPr>
        <w:t xml:space="preserve"> </w:t>
      </w:r>
      <w:r>
        <w:rPr>
          <w:kern w:val="0"/>
        </w:rPr>
        <w:t>effectiveness</w:t>
      </w:r>
      <w:r w:rsidR="00427468">
        <w:rPr>
          <w:kern w:val="0"/>
        </w:rPr>
        <w:t xml:space="preserve"> of </w:t>
      </w:r>
      <w:r>
        <w:rPr>
          <w:kern w:val="0"/>
        </w:rPr>
        <w:t xml:space="preserve">disaster training for health care workers: A systematic review. </w:t>
      </w:r>
      <w:r>
        <w:rPr>
          <w:i/>
          <w:iCs/>
          <w:kern w:val="0"/>
        </w:rPr>
        <w:t>Annals</w:t>
      </w:r>
      <w:r w:rsidR="00427468">
        <w:rPr>
          <w:i/>
          <w:iCs/>
          <w:kern w:val="0"/>
        </w:rPr>
        <w:t xml:space="preserve"> of </w:t>
      </w:r>
      <w:r>
        <w:rPr>
          <w:i/>
          <w:iCs/>
          <w:kern w:val="0"/>
        </w:rPr>
        <w:t>Emergency Medicine</w:t>
      </w:r>
      <w:r>
        <w:rPr>
          <w:kern w:val="0"/>
        </w:rPr>
        <w:t xml:space="preserve">, </w:t>
      </w:r>
      <w:r>
        <w:rPr>
          <w:b/>
          <w:bCs/>
          <w:kern w:val="0"/>
        </w:rPr>
        <w:t>52</w:t>
      </w:r>
      <w:r>
        <w:rPr>
          <w:kern w:val="0"/>
        </w:rPr>
        <w:t xml:space="preserve"> (3), 211-222.</w:t>
      </w:r>
    </w:p>
    <w:p w:rsidR="00774A71" w:rsidRDefault="00774A71" w:rsidP="00774A71">
      <w:pPr>
        <w:pStyle w:val="a3"/>
        <w:rPr>
          <w:kern w:val="0"/>
        </w:rPr>
      </w:pPr>
      <w:r>
        <w:rPr>
          <w:rFonts w:hint="eastAsia"/>
          <w:kern w:val="0"/>
        </w:rPr>
        <w:t xml:space="preserve">Full Text: </w:t>
      </w:r>
      <w:hyperlink r:id="rId838" w:history="1">
        <w:r w:rsidR="00514CED" w:rsidRPr="00514CED">
          <w:rPr>
            <w:rStyle w:val="a5"/>
            <w:kern w:val="0"/>
          </w:rPr>
          <w:t>2008\Ann Eme Med52, 211.pdf</w:t>
        </w:r>
      </w:hyperlink>
    </w:p>
    <w:p w:rsidR="0062028A" w:rsidRDefault="0062028A" w:rsidP="0062028A">
      <w:pPr>
        <w:pStyle w:val="a3"/>
        <w:rPr>
          <w:kern w:val="0"/>
        </w:rPr>
      </w:pPr>
      <w:r>
        <w:rPr>
          <w:kern w:val="0"/>
        </w:rPr>
        <w:t>Abstract: Study objective: Evidence-based medical literature is lacking about</w:t>
      </w:r>
      <w:r w:rsidR="003A1917">
        <w:rPr>
          <w:kern w:val="0"/>
        </w:rPr>
        <w:t xml:space="preserve"> the </w:t>
      </w:r>
      <w:r>
        <w:rPr>
          <w:kern w:val="0"/>
        </w:rPr>
        <w:t>best methods to train health care providers in disaster response. We systematically review</w:t>
      </w:r>
      <w:r w:rsidR="003A1917">
        <w:rPr>
          <w:kern w:val="0"/>
        </w:rPr>
        <w:t xml:space="preserve"> the </w:t>
      </w:r>
      <w:r>
        <w:rPr>
          <w:kern w:val="0"/>
        </w:rPr>
        <w:t>recent literature to report whether training interventions in disaster preparedness improve knowledge</w:t>
      </w:r>
      <w:r w:rsidR="005853A9">
        <w:rPr>
          <w:kern w:val="0"/>
        </w:rPr>
        <w:t xml:space="preserve"> and </w:t>
      </w:r>
      <w:r>
        <w:rPr>
          <w:kern w:val="0"/>
        </w:rPr>
        <w:t xml:space="preserve">skills in disaster response. Methods: We searched </w:t>
      </w:r>
      <w:r w:rsidR="00D5664A">
        <w:rPr>
          <w:kern w:val="0"/>
        </w:rPr>
        <w:t>MEDLINE</w:t>
      </w:r>
      <w:r>
        <w:rPr>
          <w:kern w:val="0"/>
        </w:rPr>
        <w:t xml:space="preserve"> through </w:t>
      </w:r>
      <w:r w:rsidR="002C12F0">
        <w:rPr>
          <w:kern w:val="0"/>
        </w:rPr>
        <w:t>PUBMED</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BIOSIS, Cumulative Index to Nursing</w:t>
      </w:r>
      <w:r w:rsidR="005853A9">
        <w:rPr>
          <w:kern w:val="0"/>
        </w:rPr>
        <w:t xml:space="preserve"> and </w:t>
      </w:r>
      <w:r>
        <w:rPr>
          <w:kern w:val="0"/>
        </w:rPr>
        <w:t>Allied Health (CINAHL</w:t>
      </w:r>
      <w:r w:rsidR="00F42EAC">
        <w:rPr>
          <w:kern w:val="0"/>
        </w:rPr>
        <w:t>), The</w:t>
      </w:r>
      <w:r w:rsidR="003A1917">
        <w:rPr>
          <w:kern w:val="0"/>
        </w:rPr>
        <w:t xml:space="preserve"> </w:t>
      </w:r>
      <w:r>
        <w:rPr>
          <w:kern w:val="0"/>
        </w:rPr>
        <w:t>Cochrane Library, ClinicalTrials.gov,</w:t>
      </w:r>
      <w:r w:rsidR="003A1917">
        <w:rPr>
          <w:kern w:val="0"/>
        </w:rPr>
        <w:t xml:space="preserve"> the </w:t>
      </w:r>
      <w:r>
        <w:rPr>
          <w:kern w:val="0"/>
        </w:rPr>
        <w:t>Public Affairs Information Service,</w:t>
      </w:r>
      <w:r w:rsidR="005853A9">
        <w:rPr>
          <w:kern w:val="0"/>
        </w:rPr>
        <w:t xml:space="preserve"> and </w:t>
      </w:r>
      <w:r>
        <w:rPr>
          <w:kern w:val="0"/>
        </w:rPr>
        <w:t>Education Full Text. Selected journals, articles,</w:t>
      </w:r>
      <w:r w:rsidR="005853A9">
        <w:rPr>
          <w:kern w:val="0"/>
        </w:rPr>
        <w:t xml:space="preserve"> and </w:t>
      </w:r>
      <w:r>
        <w:rPr>
          <w:kern w:val="0"/>
        </w:rPr>
        <w:t>other comprehensive reports were also reviewed for relevant citations. Subjects</w:t>
      </w:r>
      <w:r w:rsidR="00427468">
        <w:rPr>
          <w:kern w:val="0"/>
        </w:rPr>
        <w:t xml:space="preserve"> of </w:t>
      </w:r>
      <w:r>
        <w:rPr>
          <w:kern w:val="0"/>
        </w:rPr>
        <w:t>eligible articles were hospital-based</w:t>
      </w:r>
      <w:r w:rsidR="005853A9">
        <w:rPr>
          <w:kern w:val="0"/>
        </w:rPr>
        <w:t xml:space="preserve"> and </w:t>
      </w:r>
      <w:r>
        <w:rPr>
          <w:kern w:val="0"/>
        </w:rPr>
        <w:t>out</w:t>
      </w:r>
      <w:r w:rsidR="00434900">
        <w:rPr>
          <w:kern w:val="0"/>
        </w:rPr>
        <w:t>-of-</w:t>
      </w:r>
      <w:r>
        <w:rPr>
          <w:kern w:val="0"/>
        </w:rPr>
        <w:t>hospital health care providers. Articles meeting inclusion criteria were published in English between January 2000</w:t>
      </w:r>
      <w:r w:rsidR="005853A9">
        <w:rPr>
          <w:kern w:val="0"/>
        </w:rPr>
        <w:t xml:space="preserve"> and </w:t>
      </w:r>
      <w:r>
        <w:rPr>
          <w:kern w:val="0"/>
        </w:rPr>
        <w:t>December 2005, described a training exercise undertaken to further knowledge or skills in disaster response, measured a quantitative</w:t>
      </w:r>
      <w:r w:rsidR="005853A9">
        <w:rPr>
          <w:kern w:val="0"/>
        </w:rPr>
        <w:t xml:space="preserve"> and </w:t>
      </w:r>
      <w:r>
        <w:rPr>
          <w:kern w:val="0"/>
        </w:rPr>
        <w:t>objective outcome,</w:t>
      </w:r>
      <w:r w:rsidR="005853A9">
        <w:rPr>
          <w:kern w:val="0"/>
        </w:rPr>
        <w:t xml:space="preserve"> and </w:t>
      </w:r>
      <w:r>
        <w:rPr>
          <w:kern w:val="0"/>
        </w:rPr>
        <w:t>used a control group. Included studies were independently reviewed by 2 researchers,</w:t>
      </w:r>
      <w:r w:rsidR="005853A9">
        <w:rPr>
          <w:kern w:val="0"/>
        </w:rPr>
        <w:t xml:space="preserve"> and </w:t>
      </w:r>
      <w:r>
        <w:rPr>
          <w:kern w:val="0"/>
        </w:rPr>
        <w:t>study quality was assessed with criteria adapted from</w:t>
      </w:r>
      <w:r w:rsidR="003A1917">
        <w:rPr>
          <w:kern w:val="0"/>
        </w:rPr>
        <w:t xml:space="preserve"> </w:t>
      </w:r>
      <w:r w:rsidR="003A1917">
        <w:rPr>
          <w:kern w:val="0"/>
        </w:rPr>
        <w:lastRenderedPageBreak/>
        <w:t xml:space="preserve">the </w:t>
      </w:r>
      <w:r>
        <w:rPr>
          <w:kern w:val="0"/>
        </w:rPr>
        <w:t>US Preventive Services Task Force</w:t>
      </w:r>
      <w:r w:rsidR="005853A9">
        <w:rPr>
          <w:kern w:val="0"/>
        </w:rPr>
        <w:t xml:space="preserve"> and </w:t>
      </w:r>
      <w:r w:rsidR="003A1917">
        <w:rPr>
          <w:kern w:val="0"/>
        </w:rPr>
        <w:t xml:space="preserve">the </w:t>
      </w:r>
      <w:r>
        <w:rPr>
          <w:kern w:val="0"/>
        </w:rPr>
        <w:t>Centre for Reviews</w:t>
      </w:r>
      <w:r w:rsidR="005853A9">
        <w:rPr>
          <w:kern w:val="0"/>
        </w:rPr>
        <w:t xml:space="preserve"> and </w:t>
      </w:r>
      <w:r>
        <w:rPr>
          <w:kern w:val="0"/>
        </w:rPr>
        <w:t>Dissemination. Results: We identified 258 studies. Nine studies are included in this review. Computer-</w:t>
      </w:r>
      <w:r w:rsidR="005853A9">
        <w:rPr>
          <w:kern w:val="0"/>
        </w:rPr>
        <w:t xml:space="preserve"> and </w:t>
      </w:r>
      <w:r>
        <w:rPr>
          <w:kern w:val="0"/>
        </w:rPr>
        <w:t>lecture-based training interventions may be effective in increasing disaster-related knowledge for out</w:t>
      </w:r>
      <w:r w:rsidR="00434900">
        <w:rPr>
          <w:kern w:val="0"/>
        </w:rPr>
        <w:t>-of-</w:t>
      </w:r>
      <w:r>
        <w:rPr>
          <w:kern w:val="0"/>
        </w:rPr>
        <w:t>hospital providers, though questions about study design</w:t>
      </w:r>
      <w:r w:rsidR="005853A9">
        <w:rPr>
          <w:kern w:val="0"/>
        </w:rPr>
        <w:t xml:space="preserve"> and </w:t>
      </w:r>
      <w:r>
        <w:rPr>
          <w:kern w:val="0"/>
        </w:rPr>
        <w:t>quality may cast doubt on</w:t>
      </w:r>
      <w:r w:rsidR="003A1917">
        <w:rPr>
          <w:kern w:val="0"/>
        </w:rPr>
        <w:t xml:space="preserve"> the </w:t>
      </w:r>
      <w:r>
        <w:rPr>
          <w:kern w:val="0"/>
        </w:rPr>
        <w:t>results. Evidence about effectiveness</w:t>
      </w:r>
      <w:r w:rsidR="00427468">
        <w:rPr>
          <w:kern w:val="0"/>
        </w:rPr>
        <w:t xml:space="preserve"> of </w:t>
      </w:r>
      <w:r>
        <w:rPr>
          <w:kern w:val="0"/>
        </w:rPr>
        <w:t>training for inhospital providers is inconclusive. Comparison across studies is difficult because</w:t>
      </w:r>
      <w:r w:rsidR="00427468">
        <w:rPr>
          <w:kern w:val="0"/>
        </w:rPr>
        <w:t xml:space="preserve"> of </w:t>
      </w:r>
      <w:r>
        <w:rPr>
          <w:kern w:val="0"/>
        </w:rPr>
        <w:t>diversity in study subjects, designs,</w:t>
      </w:r>
      <w:r w:rsidR="005853A9">
        <w:rPr>
          <w:kern w:val="0"/>
        </w:rPr>
        <w:t xml:space="preserve"> and </w:t>
      </w:r>
      <w:r>
        <w:rPr>
          <w:kern w:val="0"/>
        </w:rPr>
        <w:t>interventions. Results are likely biased by contamination from outside events. Conclusion:</w:t>
      </w:r>
      <w:r w:rsidR="003A1917">
        <w:rPr>
          <w:kern w:val="0"/>
        </w:rPr>
        <w:t xml:space="preserve"> the </w:t>
      </w:r>
      <w:r>
        <w:rPr>
          <w:kern w:val="0"/>
        </w:rPr>
        <w:t>available evidence is insufficient to determine whether training interventions for health care providers are effective in improving knowledge</w:t>
      </w:r>
      <w:r w:rsidR="005853A9">
        <w:rPr>
          <w:kern w:val="0"/>
        </w:rPr>
        <w:t xml:space="preserve"> and </w:t>
      </w:r>
      <w:r>
        <w:rPr>
          <w:kern w:val="0"/>
        </w:rPr>
        <w:t>skills in disaster response.</w:t>
      </w:r>
    </w:p>
    <w:p w:rsidR="0062028A" w:rsidRDefault="0062028A" w:rsidP="0062028A">
      <w:pPr>
        <w:pStyle w:val="a3"/>
        <w:rPr>
          <w:kern w:val="0"/>
        </w:rPr>
      </w:pPr>
      <w:r>
        <w:rPr>
          <w:kern w:val="0"/>
        </w:rPr>
        <w:t>Keywords: Articles, Bioterrorism, Citations, City, Clinician, Cochrane, Control, Education, Effectiveness, Exercise, Health, Health Care, Health Care Workers, Interventions</w:t>
      </w:r>
      <w:r w:rsidR="00D5664A">
        <w:rPr>
          <w:kern w:val="0"/>
        </w:rPr>
        <w:t>, ISI,</w:t>
      </w:r>
      <w:r>
        <w:rPr>
          <w:kern w:val="0"/>
        </w:rPr>
        <w:t xml:space="preserve"> Journals, Knowledge, Literature, Medical, </w:t>
      </w:r>
      <w:r w:rsidR="00D5664A">
        <w:rPr>
          <w:kern w:val="0"/>
        </w:rPr>
        <w:t>MEDLINE</w:t>
      </w:r>
      <w:r>
        <w:rPr>
          <w:kern w:val="0"/>
        </w:rPr>
        <w:t xml:space="preserve">, Methods, Nursing, Outcome, Preparedness, Professionals, </w:t>
      </w:r>
      <w:r w:rsidR="002C12F0">
        <w:rPr>
          <w:kern w:val="0"/>
        </w:rPr>
        <w:t>PUBMED</w:t>
      </w:r>
      <w:r>
        <w:rPr>
          <w:kern w:val="0"/>
        </w:rPr>
        <w:t>, Quantitative, Researchers, Review, Science, Statement, Systematic, Systematic Review, Tabletop Exercise, Task-Force, Terrorism, Raining</w:t>
      </w:r>
      <w:r w:rsidR="008C1C37">
        <w:rPr>
          <w:kern w:val="0"/>
        </w:rPr>
        <w:t>, US,</w:t>
      </w:r>
      <w:r>
        <w:rPr>
          <w:kern w:val="0"/>
        </w:rPr>
        <w:t xml:space="preserve">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Althaus, F., Paroz, S., Hugli, O., Ghali, W.A., Daeppen, J.B., Peytremann-Bridevaux, I.</w:t>
      </w:r>
      <w:r w:rsidR="005853A9">
        <w:rPr>
          <w:kern w:val="0"/>
        </w:rPr>
        <w:t xml:space="preserve"> and </w:t>
      </w:r>
      <w:r>
        <w:rPr>
          <w:kern w:val="0"/>
        </w:rPr>
        <w:t>Bodenmann, P. (2011), Effectiveness</w:t>
      </w:r>
      <w:r w:rsidR="00427468">
        <w:rPr>
          <w:kern w:val="0"/>
        </w:rPr>
        <w:t xml:space="preserve"> of </w:t>
      </w:r>
      <w:r>
        <w:rPr>
          <w:kern w:val="0"/>
        </w:rPr>
        <w:t>interventions targeting frequent users</w:t>
      </w:r>
      <w:r w:rsidR="00427468">
        <w:rPr>
          <w:kern w:val="0"/>
        </w:rPr>
        <w:t xml:space="preserve"> of </w:t>
      </w:r>
      <w:r>
        <w:rPr>
          <w:kern w:val="0"/>
        </w:rPr>
        <w:t xml:space="preserve">emergency departments: A systematic review. </w:t>
      </w:r>
      <w:r>
        <w:rPr>
          <w:i/>
          <w:iCs/>
          <w:kern w:val="0"/>
        </w:rPr>
        <w:t>Annals</w:t>
      </w:r>
      <w:r w:rsidR="00427468">
        <w:rPr>
          <w:i/>
          <w:iCs/>
          <w:kern w:val="0"/>
        </w:rPr>
        <w:t xml:space="preserve"> of </w:t>
      </w:r>
      <w:r>
        <w:rPr>
          <w:i/>
          <w:iCs/>
          <w:kern w:val="0"/>
        </w:rPr>
        <w:t>Emergency Medicine</w:t>
      </w:r>
      <w:r>
        <w:rPr>
          <w:kern w:val="0"/>
        </w:rPr>
        <w:t xml:space="preserve">, </w:t>
      </w:r>
      <w:r>
        <w:rPr>
          <w:b/>
          <w:bCs/>
          <w:kern w:val="0"/>
        </w:rPr>
        <w:t>58</w:t>
      </w:r>
      <w:r>
        <w:rPr>
          <w:kern w:val="0"/>
        </w:rPr>
        <w:t xml:space="preserve"> (1), 41-52.</w:t>
      </w:r>
    </w:p>
    <w:p w:rsidR="00774A71" w:rsidRDefault="00774A71" w:rsidP="00774A71">
      <w:pPr>
        <w:pStyle w:val="a3"/>
        <w:rPr>
          <w:kern w:val="0"/>
        </w:rPr>
      </w:pPr>
      <w:r>
        <w:rPr>
          <w:rFonts w:hint="eastAsia"/>
          <w:kern w:val="0"/>
        </w:rPr>
        <w:t xml:space="preserve">Full Text: </w:t>
      </w:r>
      <w:hyperlink r:id="rId839" w:history="1">
        <w:r w:rsidRPr="00774A71">
          <w:rPr>
            <w:rStyle w:val="a5"/>
            <w:kern w:val="0"/>
          </w:rPr>
          <w:t>2011\Ann Eme Med58, 41.pdf</w:t>
        </w:r>
      </w:hyperlink>
    </w:p>
    <w:p w:rsidR="0062028A" w:rsidRDefault="0062028A" w:rsidP="0062028A">
      <w:pPr>
        <w:pStyle w:val="a3"/>
        <w:rPr>
          <w:kern w:val="0"/>
        </w:rPr>
      </w:pPr>
      <w:r>
        <w:rPr>
          <w:kern w:val="0"/>
        </w:rPr>
        <w:t>Abstract: Study objective: Frequent users</w:t>
      </w:r>
      <w:r w:rsidR="00427468">
        <w:rPr>
          <w:kern w:val="0"/>
        </w:rPr>
        <w:t xml:space="preserve"> of </w:t>
      </w:r>
      <w:r>
        <w:rPr>
          <w:kern w:val="0"/>
        </w:rPr>
        <w:t>emergency departments (EDs) are a relatively small group</w:t>
      </w:r>
      <w:r w:rsidR="00427468">
        <w:rPr>
          <w:kern w:val="0"/>
        </w:rPr>
        <w:t xml:space="preserve"> of </w:t>
      </w:r>
      <w:r>
        <w:rPr>
          <w:kern w:val="0"/>
        </w:rPr>
        <w:t>vulnerable patients accounting for a disproportionally high number</w:t>
      </w:r>
      <w:r w:rsidR="00427468">
        <w:rPr>
          <w:kern w:val="0"/>
        </w:rPr>
        <w:t xml:space="preserve"> of </w:t>
      </w:r>
      <w:r>
        <w:rPr>
          <w:kern w:val="0"/>
        </w:rPr>
        <w:t>ED visits. Our objective is to perform a systematic review</w:t>
      </w:r>
      <w:r w:rsidR="00427468">
        <w:rPr>
          <w:kern w:val="0"/>
        </w:rPr>
        <w:t xml:space="preserve"> of </w:t>
      </w:r>
      <w:r w:rsidR="003A1917">
        <w:rPr>
          <w:kern w:val="0"/>
        </w:rPr>
        <w:t xml:space="preserve">the </w:t>
      </w:r>
      <w:r>
        <w:rPr>
          <w:kern w:val="0"/>
        </w:rPr>
        <w:t>type</w:t>
      </w:r>
      <w:r w:rsidR="005853A9">
        <w:rPr>
          <w:kern w:val="0"/>
        </w:rPr>
        <w:t xml:space="preserve"> and </w:t>
      </w:r>
      <w:r>
        <w:rPr>
          <w:kern w:val="0"/>
        </w:rPr>
        <w:t>effectiveness</w:t>
      </w:r>
      <w:r w:rsidR="00427468">
        <w:rPr>
          <w:kern w:val="0"/>
        </w:rPr>
        <w:t xml:space="preserve"> of </w:t>
      </w:r>
      <w:r>
        <w:rPr>
          <w:kern w:val="0"/>
        </w:rPr>
        <w:t>interventions to reduce</w:t>
      </w:r>
      <w:r w:rsidR="003A1917">
        <w:rPr>
          <w:kern w:val="0"/>
        </w:rPr>
        <w:t xml:space="preserve"> the </w:t>
      </w:r>
      <w:r>
        <w:rPr>
          <w:kern w:val="0"/>
        </w:rPr>
        <w:t>number</w:t>
      </w:r>
      <w:r w:rsidR="00427468">
        <w:rPr>
          <w:kern w:val="0"/>
        </w:rPr>
        <w:t xml:space="preserve"> of </w:t>
      </w:r>
      <w:r>
        <w:rPr>
          <w:kern w:val="0"/>
        </w:rPr>
        <w:t xml:space="preserve">ED visits by frequent users. Methods: We searched </w:t>
      </w:r>
      <w:r w:rsidR="00D5664A">
        <w:rPr>
          <w:kern w:val="0"/>
        </w:rPr>
        <w:t>MEDLINE</w:t>
      </w:r>
      <w:r>
        <w:rPr>
          <w:kern w:val="0"/>
        </w:rPr>
        <w:t>, EMBASE, CINAHL, PsychINFO,</w:t>
      </w:r>
      <w:r w:rsidR="003A1917">
        <w:rPr>
          <w:kern w:val="0"/>
        </w:rPr>
        <w:t xml:space="preserve"> the </w:t>
      </w:r>
      <w:r>
        <w:rPr>
          <w:kern w:val="0"/>
        </w:rPr>
        <w:t>Cochrane Library,</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for randomized controlled trials, nonrandomized controlled trials, interrupted time series,</w:t>
      </w:r>
      <w:r w:rsidR="005853A9">
        <w:rPr>
          <w:kern w:val="0"/>
        </w:rPr>
        <w:t xml:space="preserve"> and </w:t>
      </w:r>
      <w:r>
        <w:rPr>
          <w:kern w:val="0"/>
        </w:rPr>
        <w:t>controlled</w:t>
      </w:r>
      <w:r w:rsidR="005853A9">
        <w:rPr>
          <w:kern w:val="0"/>
        </w:rPr>
        <w:t xml:space="preserve"> and </w:t>
      </w:r>
      <w:r>
        <w:rPr>
          <w:kern w:val="0"/>
        </w:rPr>
        <w:t>noncontrolled before-and-after studies describing interventions targeting adult frequent users</w:t>
      </w:r>
      <w:r w:rsidR="00427468">
        <w:rPr>
          <w:kern w:val="0"/>
        </w:rPr>
        <w:t xml:space="preserve"> of </w:t>
      </w:r>
      <w:r>
        <w:rPr>
          <w:kern w:val="0"/>
        </w:rPr>
        <w:t>EDs. Primary outcome</w:t>
      </w:r>
      <w:r w:rsidR="00427468">
        <w:rPr>
          <w:kern w:val="0"/>
        </w:rPr>
        <w:t xml:space="preserve"> of </w:t>
      </w:r>
      <w:r>
        <w:rPr>
          <w:kern w:val="0"/>
        </w:rPr>
        <w:t>interest was</w:t>
      </w:r>
      <w:r w:rsidR="003A1917">
        <w:rPr>
          <w:kern w:val="0"/>
        </w:rPr>
        <w:t xml:space="preserve"> the </w:t>
      </w:r>
      <w:r>
        <w:rPr>
          <w:kern w:val="0"/>
        </w:rPr>
        <w:t>reduction in ED use. We also explored costs analyses</w:t>
      </w:r>
      <w:r w:rsidR="005853A9">
        <w:rPr>
          <w:kern w:val="0"/>
        </w:rPr>
        <w:t xml:space="preserve"> and </w:t>
      </w:r>
      <w:r>
        <w:rPr>
          <w:kern w:val="0"/>
        </w:rPr>
        <w:t>various clinical (alcohol</w:t>
      </w:r>
      <w:r w:rsidR="005853A9">
        <w:rPr>
          <w:kern w:val="0"/>
        </w:rPr>
        <w:t xml:space="preserve"> and </w:t>
      </w:r>
      <w:r>
        <w:rPr>
          <w:kern w:val="0"/>
        </w:rPr>
        <w:t>drug use, psychiatric symptoms, mortality)</w:t>
      </w:r>
      <w:r w:rsidR="005853A9">
        <w:rPr>
          <w:kern w:val="0"/>
        </w:rPr>
        <w:t xml:space="preserve"> and </w:t>
      </w:r>
      <w:r>
        <w:rPr>
          <w:kern w:val="0"/>
        </w:rPr>
        <w:t>social (homelessness, insurance status, social security support) outcomes. Results: We included 11 studies (3 randomized controlled trials, 2 controlled</w:t>
      </w:r>
      <w:r w:rsidR="005853A9">
        <w:rPr>
          <w:kern w:val="0"/>
        </w:rPr>
        <w:t xml:space="preserve"> and </w:t>
      </w:r>
      <w:r>
        <w:rPr>
          <w:kern w:val="0"/>
        </w:rPr>
        <w:t>6 noncontrolled before-and-after studies). Heterogeneity in both study designs</w:t>
      </w:r>
      <w:r w:rsidR="005853A9">
        <w:rPr>
          <w:kern w:val="0"/>
        </w:rPr>
        <w:t xml:space="preserve"> and </w:t>
      </w:r>
      <w:r>
        <w:rPr>
          <w:kern w:val="0"/>
        </w:rPr>
        <w:t>definitions</w:t>
      </w:r>
      <w:r w:rsidR="00427468">
        <w:rPr>
          <w:kern w:val="0"/>
        </w:rPr>
        <w:t xml:space="preserve"> of </w:t>
      </w:r>
      <w:r>
        <w:rPr>
          <w:kern w:val="0"/>
        </w:rPr>
        <w:t>frequent users precluded meta-analyses</w:t>
      </w:r>
      <w:r w:rsidR="00427468">
        <w:rPr>
          <w:kern w:val="0"/>
        </w:rPr>
        <w:t xml:space="preserve"> of </w:t>
      </w:r>
      <w:r w:rsidR="003A1917">
        <w:rPr>
          <w:kern w:val="0"/>
        </w:rPr>
        <w:t xml:space="preserve">the </w:t>
      </w:r>
      <w:r>
        <w:rPr>
          <w:kern w:val="0"/>
        </w:rPr>
        <w:t>results</w:t>
      </w:r>
      <w:r w:rsidR="00A37C1D">
        <w:rPr>
          <w:kern w:val="0"/>
        </w:rPr>
        <w:t>. The</w:t>
      </w:r>
      <w:r w:rsidR="003A1917">
        <w:rPr>
          <w:kern w:val="0"/>
        </w:rPr>
        <w:t xml:space="preserve"> </w:t>
      </w:r>
      <w:r>
        <w:rPr>
          <w:kern w:val="0"/>
        </w:rPr>
        <w:t>most studied intervention was case management (n=7). Only 1</w:t>
      </w:r>
      <w:r w:rsidR="00427468">
        <w:rPr>
          <w:kern w:val="0"/>
        </w:rPr>
        <w:t xml:space="preserve"> of </w:t>
      </w:r>
      <w:r>
        <w:rPr>
          <w:kern w:val="0"/>
        </w:rPr>
        <w:t>3 randomized controlled trials showed a significant reduction in ED use compared with usual care. Six</w:t>
      </w:r>
      <w:r w:rsidR="00427468">
        <w:rPr>
          <w:kern w:val="0"/>
        </w:rPr>
        <w:t xml:space="preserve"> of </w:t>
      </w:r>
      <w:r w:rsidR="003A1917">
        <w:rPr>
          <w:kern w:val="0"/>
        </w:rPr>
        <w:t xml:space="preserve">the </w:t>
      </w:r>
      <w:r>
        <w:rPr>
          <w:kern w:val="0"/>
        </w:rPr>
        <w:t>8 before-and-after studies reported a significant reduction in ED use,</w:t>
      </w:r>
      <w:r w:rsidR="005853A9">
        <w:rPr>
          <w:kern w:val="0"/>
        </w:rPr>
        <w:t xml:space="preserve"> and </w:t>
      </w:r>
      <w:r>
        <w:rPr>
          <w:kern w:val="0"/>
        </w:rPr>
        <w:t xml:space="preserve">1 </w:t>
      </w:r>
      <w:r>
        <w:rPr>
          <w:kern w:val="0"/>
        </w:rPr>
        <w:lastRenderedPageBreak/>
        <w:t>study showed a significant increase. ED cost reductions were demonstrated in 3 studies. Social outcomes such as reduction</w:t>
      </w:r>
      <w:r w:rsidR="00427468">
        <w:rPr>
          <w:kern w:val="0"/>
        </w:rPr>
        <w:t xml:space="preserve"> of </w:t>
      </w:r>
      <w:r>
        <w:rPr>
          <w:kern w:val="0"/>
        </w:rPr>
        <w:t>homelessness were favorable in 3</w:t>
      </w:r>
      <w:r w:rsidR="00427468">
        <w:rPr>
          <w:kern w:val="0"/>
        </w:rPr>
        <w:t xml:space="preserve"> of </w:t>
      </w:r>
      <w:r>
        <w:rPr>
          <w:kern w:val="0"/>
        </w:rPr>
        <w:t>3 studies,</w:t>
      </w:r>
      <w:r w:rsidR="005853A9">
        <w:rPr>
          <w:kern w:val="0"/>
        </w:rPr>
        <w:t xml:space="preserve"> and </w:t>
      </w:r>
      <w:r>
        <w:rPr>
          <w:kern w:val="0"/>
        </w:rPr>
        <w:t>clinical outcomes trended toward positive results in 2</w:t>
      </w:r>
      <w:r w:rsidR="00427468">
        <w:rPr>
          <w:kern w:val="0"/>
        </w:rPr>
        <w:t xml:space="preserve"> of </w:t>
      </w:r>
      <w:r>
        <w:rPr>
          <w:kern w:val="0"/>
        </w:rPr>
        <w:t>3 studies. Conclusion: Interventions targeting frequent users may reduce ED use. Case management,</w:t>
      </w:r>
      <w:r w:rsidR="003A1917">
        <w:rPr>
          <w:kern w:val="0"/>
        </w:rPr>
        <w:t xml:space="preserve"> the </w:t>
      </w:r>
      <w:r>
        <w:rPr>
          <w:kern w:val="0"/>
        </w:rPr>
        <w:t>most frequently described intervention, reduced ED costs</w:t>
      </w:r>
      <w:r w:rsidR="005853A9">
        <w:rPr>
          <w:kern w:val="0"/>
        </w:rPr>
        <w:t xml:space="preserve"> and </w:t>
      </w:r>
      <w:r>
        <w:rPr>
          <w:kern w:val="0"/>
        </w:rPr>
        <w:t>seemed to improve social</w:t>
      </w:r>
      <w:r w:rsidR="005853A9">
        <w:rPr>
          <w:kern w:val="0"/>
        </w:rPr>
        <w:t xml:space="preserve"> and </w:t>
      </w:r>
      <w:r>
        <w:rPr>
          <w:kern w:val="0"/>
        </w:rPr>
        <w:t>clinical outcomes. It appears to be beneficial to patients</w:t>
      </w:r>
      <w:r w:rsidR="005853A9">
        <w:rPr>
          <w:kern w:val="0"/>
        </w:rPr>
        <w:t xml:space="preserve"> and </w:t>
      </w:r>
      <w:r>
        <w:rPr>
          <w:kern w:val="0"/>
        </w:rPr>
        <w:t>justifiable for hospitals to implement case management for frequent users in</w:t>
      </w:r>
      <w:r w:rsidR="003A1917">
        <w:rPr>
          <w:kern w:val="0"/>
        </w:rPr>
        <w:t xml:space="preserve"> the </w:t>
      </w:r>
      <w:r>
        <w:rPr>
          <w:kern w:val="0"/>
        </w:rPr>
        <w:t>framework</w:t>
      </w:r>
      <w:r w:rsidR="00427468">
        <w:rPr>
          <w:kern w:val="0"/>
        </w:rPr>
        <w:t xml:space="preserve"> of </w:t>
      </w:r>
      <w:r>
        <w:rPr>
          <w:kern w:val="0"/>
        </w:rPr>
        <w:t>a clear</w:t>
      </w:r>
      <w:r w:rsidR="005853A9">
        <w:rPr>
          <w:kern w:val="0"/>
        </w:rPr>
        <w:t xml:space="preserve"> and </w:t>
      </w:r>
      <w:r>
        <w:rPr>
          <w:kern w:val="0"/>
        </w:rPr>
        <w:t>consensual definition</w:t>
      </w:r>
      <w:r w:rsidR="00427468">
        <w:rPr>
          <w:kern w:val="0"/>
        </w:rPr>
        <w:t xml:space="preserve"> of </w:t>
      </w:r>
      <w:r>
        <w:rPr>
          <w:kern w:val="0"/>
        </w:rPr>
        <w:t>frequent users</w:t>
      </w:r>
      <w:r w:rsidR="005853A9">
        <w:rPr>
          <w:kern w:val="0"/>
        </w:rPr>
        <w:t xml:space="preserve"> and </w:t>
      </w:r>
      <w:r>
        <w:rPr>
          <w:kern w:val="0"/>
        </w:rPr>
        <w:t>standardized outcome measures. [Ann Emerg Med. 2011;58:41-52.].</w:t>
      </w:r>
    </w:p>
    <w:p w:rsidR="0062028A" w:rsidRDefault="0062028A" w:rsidP="0062028A">
      <w:pPr>
        <w:pStyle w:val="a3"/>
        <w:rPr>
          <w:kern w:val="0"/>
        </w:rPr>
      </w:pPr>
      <w:r>
        <w:rPr>
          <w:kern w:val="0"/>
        </w:rPr>
        <w:t>Keywords: Adult, Alcohol, Care, Clinical Case-Management, Cochrane, Costs, Definitions, Disease Management, Drug, Drug Use, Ed Users, Effectiveness, EMBASE, Follow-up, Heavy Users, Hospital Emergency, Hospitals, Interest, Intervention, Interventions</w:t>
      </w:r>
      <w:r w:rsidR="00D5664A">
        <w:rPr>
          <w:kern w:val="0"/>
        </w:rPr>
        <w:t>, ISI,</w:t>
      </w:r>
      <w:r>
        <w:rPr>
          <w:kern w:val="0"/>
        </w:rPr>
        <w:t xml:space="preserve"> Management, </w:t>
      </w:r>
      <w:r w:rsidR="00D5664A">
        <w:rPr>
          <w:kern w:val="0"/>
        </w:rPr>
        <w:t>MEDLINE</w:t>
      </w:r>
      <w:r>
        <w:rPr>
          <w:kern w:val="0"/>
        </w:rPr>
        <w:t xml:space="preserve">, Methods, Mortality, Outcome, Outcomes, Primary, Program, Randomized Controlled Trials, Randomized-Trial, Review, Science, Services, Social, Symptoms, Systematic, Systematic Review, </w:t>
      </w:r>
      <w:r w:rsidR="00D5664A">
        <w:rPr>
          <w:kern w:val="0"/>
        </w:rPr>
        <w:t>Web</w:t>
      </w:r>
      <w:r w:rsidR="00427468">
        <w:rPr>
          <w:kern w:val="0"/>
        </w:rPr>
        <w:t xml:space="preserve"> of </w:t>
      </w:r>
      <w:r w:rsidR="00D5664A">
        <w:rPr>
          <w:kern w:val="0"/>
        </w:rPr>
        <w:t>Science</w:t>
      </w:r>
    </w:p>
    <w:p w:rsidR="0062028A" w:rsidRDefault="0062028A" w:rsidP="0062028A">
      <w:pPr>
        <w:pStyle w:val="a3"/>
        <w:rPr>
          <w:kern w:val="0"/>
        </w:rPr>
      </w:pPr>
      <w:r>
        <w:rPr>
          <w:rFonts w:hint="eastAsia"/>
          <w:kern w:val="0"/>
        </w:rPr>
        <w:t xml:space="preserve">? </w:t>
      </w:r>
      <w:r>
        <w:rPr>
          <w:kern w:val="0"/>
        </w:rPr>
        <w:t>Haukoos, J.S., White, D.A.E., Lyons, M.S., Hopkins, E., Calderon, Y., Kalish, B.</w:t>
      </w:r>
      <w:r w:rsidR="005853A9">
        <w:rPr>
          <w:kern w:val="0"/>
        </w:rPr>
        <w:t xml:space="preserve"> and </w:t>
      </w:r>
      <w:r>
        <w:rPr>
          <w:kern w:val="0"/>
        </w:rPr>
        <w:t>Rothman, R.E. (2011), Operational methods</w:t>
      </w:r>
      <w:r w:rsidR="00427468">
        <w:rPr>
          <w:kern w:val="0"/>
        </w:rPr>
        <w:t xml:space="preserve"> of </w:t>
      </w:r>
      <w:r>
        <w:rPr>
          <w:kern w:val="0"/>
        </w:rPr>
        <w:t xml:space="preserve">HIV testing in emergency departments: A systematic review. </w:t>
      </w:r>
      <w:r>
        <w:rPr>
          <w:i/>
          <w:iCs/>
          <w:kern w:val="0"/>
        </w:rPr>
        <w:t>Annals</w:t>
      </w:r>
      <w:r w:rsidR="00427468">
        <w:rPr>
          <w:i/>
          <w:iCs/>
          <w:kern w:val="0"/>
        </w:rPr>
        <w:t xml:space="preserve"> of </w:t>
      </w:r>
      <w:r>
        <w:rPr>
          <w:i/>
          <w:iCs/>
          <w:kern w:val="0"/>
        </w:rPr>
        <w:t>Emergency Medicine</w:t>
      </w:r>
      <w:r>
        <w:rPr>
          <w:kern w:val="0"/>
        </w:rPr>
        <w:t xml:space="preserve">, </w:t>
      </w:r>
      <w:r>
        <w:rPr>
          <w:b/>
          <w:bCs/>
          <w:kern w:val="0"/>
        </w:rPr>
        <w:t>58</w:t>
      </w:r>
      <w:r>
        <w:rPr>
          <w:kern w:val="0"/>
        </w:rPr>
        <w:t xml:space="preserve"> (1), S96-S103.</w:t>
      </w:r>
    </w:p>
    <w:p w:rsidR="00774A71" w:rsidRDefault="00774A71" w:rsidP="00774A71">
      <w:pPr>
        <w:pStyle w:val="a3"/>
        <w:rPr>
          <w:kern w:val="0"/>
        </w:rPr>
      </w:pPr>
      <w:r>
        <w:rPr>
          <w:rFonts w:hint="eastAsia"/>
          <w:kern w:val="0"/>
        </w:rPr>
        <w:t xml:space="preserve">Full Text: </w:t>
      </w:r>
      <w:hyperlink r:id="rId840" w:history="1">
        <w:r w:rsidRPr="00774A71">
          <w:rPr>
            <w:rStyle w:val="a5"/>
            <w:kern w:val="0"/>
          </w:rPr>
          <w:t>2011\Ann Eme Med58, S96.pdf</w:t>
        </w:r>
      </w:hyperlink>
    </w:p>
    <w:p w:rsidR="0062028A" w:rsidRDefault="0062028A" w:rsidP="0062028A">
      <w:pPr>
        <w:pStyle w:val="a3"/>
        <w:rPr>
          <w:kern w:val="0"/>
        </w:rPr>
      </w:pPr>
      <w:r>
        <w:rPr>
          <w:kern w:val="0"/>
        </w:rPr>
        <w:t>Abstract: Objectives: Casual review</w:t>
      </w:r>
      <w:r w:rsidR="00427468">
        <w:rPr>
          <w:kern w:val="0"/>
        </w:rPr>
        <w:t xml:space="preserve"> of </w:t>
      </w:r>
      <w:r>
        <w:rPr>
          <w:kern w:val="0"/>
        </w:rPr>
        <w:t>existing literature reveals a multitude</w:t>
      </w:r>
      <w:r w:rsidR="00427468">
        <w:rPr>
          <w:kern w:val="0"/>
        </w:rPr>
        <w:t xml:space="preserve"> of </w:t>
      </w:r>
      <w:r>
        <w:rPr>
          <w:kern w:val="0"/>
        </w:rPr>
        <w:t>individualized approaches to emergency department (ED) HIV testing. Cataloging</w:t>
      </w:r>
      <w:r w:rsidR="003A1917">
        <w:rPr>
          <w:kern w:val="0"/>
        </w:rPr>
        <w:t xml:space="preserve"> the </w:t>
      </w:r>
      <w:r>
        <w:rPr>
          <w:kern w:val="0"/>
        </w:rPr>
        <w:t>operational options</w:t>
      </w:r>
      <w:r w:rsidR="00427468">
        <w:rPr>
          <w:kern w:val="0"/>
        </w:rPr>
        <w:t xml:space="preserve"> of </w:t>
      </w:r>
      <w:r>
        <w:rPr>
          <w:kern w:val="0"/>
        </w:rPr>
        <w:t>each approach could assist translation by disseminating existing knowledge, endorsing variability as a means to address testing barriers,</w:t>
      </w:r>
      <w:r w:rsidR="005853A9">
        <w:rPr>
          <w:kern w:val="0"/>
        </w:rPr>
        <w:t xml:space="preserve"> and </w:t>
      </w:r>
      <w:r>
        <w:rPr>
          <w:kern w:val="0"/>
        </w:rPr>
        <w:t>laying a foundation for future work in</w:t>
      </w:r>
      <w:r w:rsidR="003A1917">
        <w:rPr>
          <w:kern w:val="0"/>
        </w:rPr>
        <w:t xml:space="preserve"> the </w:t>
      </w:r>
      <w:r>
        <w:rPr>
          <w:kern w:val="0"/>
        </w:rPr>
        <w:t>area</w:t>
      </w:r>
      <w:r w:rsidR="00427468">
        <w:rPr>
          <w:kern w:val="0"/>
        </w:rPr>
        <w:t xml:space="preserve"> of </w:t>
      </w:r>
      <w:r>
        <w:rPr>
          <w:kern w:val="0"/>
        </w:rPr>
        <w:t>operational models</w:t>
      </w:r>
      <w:r w:rsidR="005853A9">
        <w:rPr>
          <w:kern w:val="0"/>
        </w:rPr>
        <w:t xml:space="preserve"> and </w:t>
      </w:r>
      <w:r>
        <w:rPr>
          <w:kern w:val="0"/>
        </w:rPr>
        <w:t>outcomes investigation</w:t>
      </w:r>
      <w:r w:rsidR="00A37C1D">
        <w:rPr>
          <w:kern w:val="0"/>
        </w:rPr>
        <w:t>. The</w:t>
      </w:r>
      <w:r w:rsidR="003A1917">
        <w:rPr>
          <w:kern w:val="0"/>
        </w:rPr>
        <w:t xml:space="preserve"> </w:t>
      </w:r>
      <w:r>
        <w:rPr>
          <w:kern w:val="0"/>
        </w:rPr>
        <w:t>objective</w:t>
      </w:r>
      <w:r w:rsidR="00427468">
        <w:rPr>
          <w:kern w:val="0"/>
        </w:rPr>
        <w:t xml:space="preserve"> of </w:t>
      </w:r>
      <w:r>
        <w:rPr>
          <w:kern w:val="0"/>
        </w:rPr>
        <w:t>this study is to provide a detailed account</w:t>
      </w:r>
      <w:r w:rsidR="00427468">
        <w:rPr>
          <w:kern w:val="0"/>
        </w:rPr>
        <w:t xml:space="preserve"> of </w:t>
      </w:r>
      <w:r w:rsidR="003A1917">
        <w:rPr>
          <w:kern w:val="0"/>
        </w:rPr>
        <w:t xml:space="preserve">the </w:t>
      </w:r>
      <w:r>
        <w:rPr>
          <w:kern w:val="0"/>
        </w:rPr>
        <w:t>various models</w:t>
      </w:r>
      <w:r w:rsidR="005853A9">
        <w:rPr>
          <w:kern w:val="0"/>
        </w:rPr>
        <w:t xml:space="preserve"> and </w:t>
      </w:r>
      <w:r>
        <w:rPr>
          <w:kern w:val="0"/>
        </w:rPr>
        <w:t>operational constructs that have been described for performing HIV testing in EDs. Methods: Systematic review</w:t>
      </w:r>
      <w:r w:rsidR="00427468">
        <w:rPr>
          <w:kern w:val="0"/>
        </w:rPr>
        <w:t xml:space="preserve"> of </w:t>
      </w:r>
      <w:r w:rsidR="002C12F0">
        <w:rPr>
          <w:kern w:val="0"/>
        </w:rPr>
        <w:t>PUBMED</w:t>
      </w:r>
      <w:r>
        <w:rPr>
          <w:kern w:val="0"/>
        </w:rPr>
        <w:t>, EMBASE,</w:t>
      </w:r>
      <w:r w:rsidR="003A1917">
        <w:rPr>
          <w:kern w:val="0"/>
        </w:rPr>
        <w:t xml:space="preserve"> the </w:t>
      </w:r>
      <w:r>
        <w:rPr>
          <w:kern w:val="0"/>
        </w:rPr>
        <w:t>Cumulative Index to Nursing</w:t>
      </w:r>
      <w:r w:rsidR="005853A9">
        <w:rPr>
          <w:kern w:val="0"/>
        </w:rPr>
        <w:t xml:space="preserve"> and </w:t>
      </w:r>
      <w:r>
        <w:rPr>
          <w:kern w:val="0"/>
        </w:rPr>
        <w:t>Allied Health Literature (CINAHL),</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xml:space="preserve"> through February 6, 2009 was performed. Three investigators independently reviewed all potential abstracts</w:t>
      </w:r>
      <w:r w:rsidR="005853A9">
        <w:rPr>
          <w:kern w:val="0"/>
        </w:rPr>
        <w:t xml:space="preserve"> and </w:t>
      </w:r>
      <w:r>
        <w:rPr>
          <w:kern w:val="0"/>
        </w:rPr>
        <w:t>identified all studies that met</w:t>
      </w:r>
      <w:r w:rsidR="003A1917">
        <w:rPr>
          <w:kern w:val="0"/>
        </w:rPr>
        <w:t xml:space="preserve"> the </w:t>
      </w:r>
      <w:r>
        <w:rPr>
          <w:kern w:val="0"/>
        </w:rPr>
        <w:t>following criteria for inclusion: original research, performance</w:t>
      </w:r>
      <w:r w:rsidR="00427468">
        <w:rPr>
          <w:kern w:val="0"/>
        </w:rPr>
        <w:t xml:space="preserve"> of </w:t>
      </w:r>
      <w:r>
        <w:rPr>
          <w:kern w:val="0"/>
        </w:rPr>
        <w:t>HIV testing in an ED in</w:t>
      </w:r>
      <w:r w:rsidR="003A1917">
        <w:rPr>
          <w:kern w:val="0"/>
        </w:rPr>
        <w:t xml:space="preserve"> the </w:t>
      </w:r>
      <w:r>
        <w:rPr>
          <w:kern w:val="0"/>
        </w:rPr>
        <w:t>United States, description</w:t>
      </w:r>
      <w:r w:rsidR="00427468">
        <w:rPr>
          <w:kern w:val="0"/>
        </w:rPr>
        <w:t xml:space="preserve"> of </w:t>
      </w:r>
      <w:r>
        <w:rPr>
          <w:kern w:val="0"/>
        </w:rPr>
        <w:t>operational methods,</w:t>
      </w:r>
      <w:r w:rsidR="005853A9">
        <w:rPr>
          <w:kern w:val="0"/>
        </w:rPr>
        <w:t xml:space="preserve"> and </w:t>
      </w:r>
      <w:r>
        <w:rPr>
          <w:kern w:val="0"/>
        </w:rPr>
        <w:t>reporting</w:t>
      </w:r>
      <w:r w:rsidR="00427468">
        <w:rPr>
          <w:kern w:val="0"/>
        </w:rPr>
        <w:t xml:space="preserve"> of </w:t>
      </w:r>
      <w:r>
        <w:rPr>
          <w:kern w:val="0"/>
        </w:rPr>
        <w:t>specific testing outcomes. Each study was independently assessed</w:t>
      </w:r>
      <w:r w:rsidR="005853A9">
        <w:rPr>
          <w:kern w:val="0"/>
        </w:rPr>
        <w:t xml:space="preserve"> and </w:t>
      </w:r>
      <w:r>
        <w:rPr>
          <w:kern w:val="0"/>
        </w:rPr>
        <w:t>data from each were abstracted with standardized instruments. Summary</w:t>
      </w:r>
      <w:r w:rsidR="005853A9">
        <w:rPr>
          <w:kern w:val="0"/>
        </w:rPr>
        <w:t xml:space="preserve"> and </w:t>
      </w:r>
      <w:r>
        <w:rPr>
          <w:kern w:val="0"/>
        </w:rPr>
        <w:t>pooled descriptive statistics were reported by using recently published nomenclature</w:t>
      </w:r>
      <w:r w:rsidR="005853A9">
        <w:rPr>
          <w:kern w:val="0"/>
        </w:rPr>
        <w:t xml:space="preserve"> and </w:t>
      </w:r>
      <w:r>
        <w:rPr>
          <w:kern w:val="0"/>
        </w:rPr>
        <w:t>definitions for ED HIV testing. Results:</w:t>
      </w:r>
      <w:r w:rsidR="003A1917">
        <w:rPr>
          <w:kern w:val="0"/>
        </w:rPr>
        <w:t xml:space="preserve"> the </w:t>
      </w:r>
      <w:r>
        <w:rPr>
          <w:kern w:val="0"/>
        </w:rPr>
        <w:t>primary search yielded 947 potential studies,</w:t>
      </w:r>
      <w:r w:rsidR="00427468">
        <w:rPr>
          <w:kern w:val="0"/>
        </w:rPr>
        <w:t xml:space="preserve"> of </w:t>
      </w:r>
      <w:r>
        <w:rPr>
          <w:kern w:val="0"/>
        </w:rPr>
        <w:t>which 25 (3%) were included in</w:t>
      </w:r>
      <w:r w:rsidR="003A1917">
        <w:rPr>
          <w:kern w:val="0"/>
        </w:rPr>
        <w:t xml:space="preserve"> the </w:t>
      </w:r>
      <w:r>
        <w:rPr>
          <w:kern w:val="0"/>
        </w:rPr>
        <w:t>final analysis.</w:t>
      </w:r>
      <w:r w:rsidR="00427468">
        <w:rPr>
          <w:kern w:val="0"/>
        </w:rPr>
        <w:t xml:space="preserve"> of </w:t>
      </w:r>
      <w:r w:rsidR="003A1917">
        <w:rPr>
          <w:kern w:val="0"/>
        </w:rPr>
        <w:t xml:space="preserve">the </w:t>
      </w:r>
      <w:r>
        <w:rPr>
          <w:kern w:val="0"/>
        </w:rPr>
        <w:t>25 included studies, 13 (52%) reported results using nontargeted screening as</w:t>
      </w:r>
      <w:r w:rsidR="003A1917">
        <w:rPr>
          <w:kern w:val="0"/>
        </w:rPr>
        <w:t xml:space="preserve"> the </w:t>
      </w:r>
      <w:r>
        <w:rPr>
          <w:kern w:val="0"/>
        </w:rPr>
        <w:t xml:space="preserve">only patient selection method. Most </w:t>
      </w:r>
      <w:r>
        <w:rPr>
          <w:kern w:val="0"/>
        </w:rPr>
        <w:lastRenderedPageBreak/>
        <w:t>programs reported using voluntary, opt-in consent</w:t>
      </w:r>
      <w:r w:rsidR="005853A9">
        <w:rPr>
          <w:kern w:val="0"/>
        </w:rPr>
        <w:t xml:space="preserve"> and </w:t>
      </w:r>
      <w:r>
        <w:rPr>
          <w:kern w:val="0"/>
        </w:rPr>
        <w:t>separate, signed consent forms. A variety</w:t>
      </w:r>
      <w:r w:rsidR="00427468">
        <w:rPr>
          <w:kern w:val="0"/>
        </w:rPr>
        <w:t xml:space="preserve"> of </w:t>
      </w:r>
      <w:r>
        <w:rPr>
          <w:kern w:val="0"/>
        </w:rPr>
        <w:t>assays</w:t>
      </w:r>
      <w:r w:rsidR="005853A9">
        <w:rPr>
          <w:kern w:val="0"/>
        </w:rPr>
        <w:t xml:space="preserve"> and </w:t>
      </w:r>
      <w:r>
        <w:rPr>
          <w:kern w:val="0"/>
        </w:rPr>
        <w:t>communication methods were used, but relatively limited outcomes data were reported. Conclusion: Currently, limited evidence exists to inform HIV testing practices in EDs</w:t>
      </w:r>
      <w:r w:rsidR="00A37C1D">
        <w:rPr>
          <w:kern w:val="0"/>
        </w:rPr>
        <w:t>. The</w:t>
      </w:r>
      <w:r>
        <w:rPr>
          <w:kern w:val="0"/>
        </w:rPr>
        <w:t>re appears to be recent progression toward</w:t>
      </w:r>
      <w:r w:rsidR="003A1917">
        <w:rPr>
          <w:kern w:val="0"/>
        </w:rPr>
        <w:t xml:space="preserve"> the </w:t>
      </w:r>
      <w:r>
        <w:rPr>
          <w:kern w:val="0"/>
        </w:rPr>
        <w:t>use</w:t>
      </w:r>
      <w:r w:rsidR="00427468">
        <w:rPr>
          <w:kern w:val="0"/>
        </w:rPr>
        <w:t xml:space="preserve"> of </w:t>
      </w:r>
      <w:r>
        <w:rPr>
          <w:kern w:val="0"/>
        </w:rPr>
        <w:t>rapid assays</w:t>
      </w:r>
      <w:r w:rsidR="005853A9">
        <w:rPr>
          <w:kern w:val="0"/>
        </w:rPr>
        <w:t xml:space="preserve"> and </w:t>
      </w:r>
      <w:r>
        <w:rPr>
          <w:kern w:val="0"/>
        </w:rPr>
        <w:t>nontargeted patient selection methods, with</w:t>
      </w:r>
      <w:r w:rsidR="003A1917">
        <w:rPr>
          <w:kern w:val="0"/>
        </w:rPr>
        <w:t xml:space="preserve"> the </w:t>
      </w:r>
      <w:r>
        <w:rPr>
          <w:kern w:val="0"/>
        </w:rPr>
        <w:t>rate at which reports are published in</w:t>
      </w:r>
      <w:r w:rsidR="003A1917">
        <w:rPr>
          <w:kern w:val="0"/>
        </w:rPr>
        <w:t xml:space="preserve"> the </w:t>
      </w:r>
      <w:r>
        <w:rPr>
          <w:kern w:val="0"/>
        </w:rPr>
        <w:t>peer-reviewed literature increasing. Additional research will be required, including controlled clinical trials, more structured program evaluation,</w:t>
      </w:r>
      <w:r w:rsidR="005853A9">
        <w:rPr>
          <w:kern w:val="0"/>
        </w:rPr>
        <w:t xml:space="preserve"> and </w:t>
      </w:r>
      <w:r>
        <w:rPr>
          <w:kern w:val="0"/>
        </w:rPr>
        <w:t>a focus on an expanded profile</w:t>
      </w:r>
      <w:r w:rsidR="00427468">
        <w:rPr>
          <w:kern w:val="0"/>
        </w:rPr>
        <w:t xml:space="preserve"> of </w:t>
      </w:r>
      <w:r>
        <w:rPr>
          <w:kern w:val="0"/>
        </w:rPr>
        <w:t>outcome measures, to further improve our understanding</w:t>
      </w:r>
      <w:r w:rsidR="00427468">
        <w:rPr>
          <w:kern w:val="0"/>
        </w:rPr>
        <w:t xml:space="preserve"> of </w:t>
      </w:r>
      <w:r>
        <w:rPr>
          <w:kern w:val="0"/>
        </w:rPr>
        <w:t>which HIV testing methods are most effective in</w:t>
      </w:r>
      <w:r w:rsidR="003A1917">
        <w:rPr>
          <w:kern w:val="0"/>
        </w:rPr>
        <w:t xml:space="preserve"> the </w:t>
      </w:r>
      <w:r>
        <w:rPr>
          <w:kern w:val="0"/>
        </w:rPr>
        <w:t>ED. [Ann Emerg Med. 2011;58:S96-S103.].</w:t>
      </w:r>
    </w:p>
    <w:p w:rsidR="0062028A" w:rsidRDefault="0062028A" w:rsidP="0062028A">
      <w:pPr>
        <w:pStyle w:val="a3"/>
        <w:rPr>
          <w:kern w:val="0"/>
        </w:rPr>
      </w:pPr>
      <w:r>
        <w:rPr>
          <w:kern w:val="0"/>
        </w:rPr>
        <w:t xml:space="preserve">Keywords: Adolescents, Analysis, Barriers, Clinical Trials, Communication, Controlled Clinical Trials, Definitions, EMBASE, Emergency Department, Evaluation, Experience, Health, HIV, Human-Immunodeficiency-Virus, Implementation, Infection, Knowledge, Literature, Methods, Nursing, Outcome, Outcomes, Prevalence Area, Prevention, Primary, Profile, Program Evaluation, Research, Review, Science, Screening, Screening-Program, Sexually-Transmitted-Disease, Statistics, Systematic, Systematic Review, Translation, United-States, Variability, </w:t>
      </w:r>
      <w:r w:rsidR="00D5664A">
        <w:rPr>
          <w:kern w:val="0"/>
        </w:rPr>
        <w:t>Web</w:t>
      </w:r>
      <w:r w:rsidR="00427468">
        <w:rPr>
          <w:kern w:val="0"/>
        </w:rPr>
        <w:t xml:space="preserve"> of </w:t>
      </w:r>
      <w:r w:rsidR="00D5664A">
        <w:rPr>
          <w:kern w:val="0"/>
        </w:rPr>
        <w:t>Science</w:t>
      </w:r>
    </w:p>
    <w:p w:rsidR="00774A71" w:rsidRDefault="00774A71" w:rsidP="00774A71">
      <w:pPr>
        <w:pStyle w:val="a3"/>
        <w:rPr>
          <w:kern w:val="0"/>
        </w:rPr>
      </w:pPr>
      <w:r>
        <w:rPr>
          <w:rFonts w:hint="eastAsia"/>
          <w:kern w:val="0"/>
        </w:rPr>
        <w:t xml:space="preserve">? </w:t>
      </w:r>
      <w:r>
        <w:rPr>
          <w:kern w:val="0"/>
        </w:rPr>
        <w:t xml:space="preserve">Fehr, A.E., Pentz, R.D. and Dickert, N.W. (2015), Learning from experience: A systematic review of community consultation acceptance data. </w:t>
      </w:r>
      <w:r>
        <w:rPr>
          <w:i/>
          <w:iCs/>
          <w:kern w:val="0"/>
        </w:rPr>
        <w:t>Annals of Emergency Medicine</w:t>
      </w:r>
      <w:r>
        <w:rPr>
          <w:kern w:val="0"/>
        </w:rPr>
        <w:t xml:space="preserve">, </w:t>
      </w:r>
      <w:r>
        <w:rPr>
          <w:b/>
          <w:bCs/>
          <w:kern w:val="0"/>
        </w:rPr>
        <w:t>65</w:t>
      </w:r>
      <w:r>
        <w:rPr>
          <w:kern w:val="0"/>
        </w:rPr>
        <w:t xml:space="preserve"> (2), 162-171.</w:t>
      </w:r>
    </w:p>
    <w:p w:rsidR="00774A71" w:rsidRDefault="00774A71" w:rsidP="00774A71">
      <w:pPr>
        <w:pStyle w:val="a3"/>
        <w:rPr>
          <w:kern w:val="0"/>
        </w:rPr>
      </w:pPr>
      <w:r>
        <w:rPr>
          <w:rFonts w:hint="eastAsia"/>
          <w:kern w:val="0"/>
        </w:rPr>
        <w:t xml:space="preserve">Full Text: </w:t>
      </w:r>
      <w:hyperlink r:id="rId841" w:history="1">
        <w:r w:rsidRPr="00774A71">
          <w:rPr>
            <w:rStyle w:val="a5"/>
            <w:kern w:val="0"/>
          </w:rPr>
          <w:t>2015\Ann Eme Med65, 162.pdf</w:t>
        </w:r>
      </w:hyperlink>
    </w:p>
    <w:p w:rsidR="00774A71" w:rsidRDefault="00774A71" w:rsidP="00774A71">
      <w:pPr>
        <w:pStyle w:val="a3"/>
        <w:rPr>
          <w:kern w:val="0"/>
        </w:rPr>
      </w:pPr>
      <w:r>
        <w:rPr>
          <w:kern w:val="0"/>
        </w:rPr>
        <w:t xml:space="preserve">Abstract: Study objective: Federal regulations permitting an exception from informed consent for research in emergency settings require community consultation before study approval. Rates of acceptance of exception from informed consent in community consultation are often reported, but predictors of acceptance are not well understood, and investigators and institutional review boards struggle to interpret and use acceptance data. Methods: We systematically reviewed empirical literature on community consultation for exception from informed consent trials in the PubMed, EMBASE, and Web of Science databases. We included peer-reviewed articles reporting acceptance data from community consultation for US exception from informed consent trials. Questions were categorized by enrollment focus (eg, personal enrollment versus more general exception from informed consent acceptance), and observed acceptance was compared across studies. We also compared potential predictors of acceptance, including demographic factors, consultation method, and target community. Results: Nine studies (total n=9,036 participants) were included in the final analysis. Personal acceptance of enrollment in the proposed exception from informed consent study ranged from 45% to 93% and clustered in the range of 64% to 80%. Acceptance of the exception from informed </w:t>
      </w:r>
      <w:r>
        <w:rPr>
          <w:kern w:val="0"/>
        </w:rPr>
        <w:lastRenderedPageBreak/>
        <w:t>consent mechanism in general (without reference to personal inclusion) was lower (35% to 84%) than personal acceptance. The effect of demographic characteristics on acceptance was inconsistent, and meeting-based consultation methods were associated with greater acceptance than survey-based methods. Finally, acceptance rates varied substantially according to the phrasing of the question. Conclusion: Personal acceptance clustered between 64% and 80%. This range may be informative for institutional review boards and investigators evaluating community consultation results. However, numerous factors affect acceptance, and there is a need for considerable caution against overreliance on acceptance data.</w:t>
      </w:r>
    </w:p>
    <w:p w:rsidR="00774A71" w:rsidRDefault="00774A71" w:rsidP="00774A71">
      <w:pPr>
        <w:pStyle w:val="a3"/>
        <w:rPr>
          <w:kern w:val="0"/>
        </w:rPr>
      </w:pPr>
      <w:r>
        <w:rPr>
          <w:kern w:val="0"/>
        </w:rPr>
        <w:t>Keywords: Acceptance, Affect, Analysis, Articles, Characteristics, Committee, Community, Consent, Consultation, Data, Databases, Embase, Emergency, Emergency Research, Exception, Experience, Factors, From, General, Implementation, Informed Consent, Informed-Consent, Institutional Review Boards, Literature, Mechanism, Methods, Peer-Reviewed, Potential, Predictors, Pubmed, Rates, Reference, Regulations, Reporting, Research, Results, Resuscitation, Review, Science, Systematic, Systematic Review, Trauma Community, Trials, US, Web, Web Of Science, Web Of Science Databases</w:t>
      </w:r>
    </w:p>
    <w:p w:rsidR="00936810" w:rsidRPr="00F219CA" w:rsidRDefault="00936810" w:rsidP="00936810">
      <w:pPr>
        <w:pStyle w:val="1"/>
      </w:pPr>
      <w:r w:rsidRPr="00F219CA">
        <w:rPr>
          <w:lang w:val="en-GB"/>
        </w:rPr>
        <w:br w:type="page"/>
      </w:r>
      <w:bookmarkStart w:id="460" w:name="_Toc420814495"/>
      <w:r w:rsidRPr="00F219CA">
        <w:lastRenderedPageBreak/>
        <w:t xml:space="preserve">Title: </w:t>
      </w:r>
      <w:r>
        <w:t>Annals</w:t>
      </w:r>
      <w:r w:rsidR="00427468">
        <w:t xml:space="preserve"> of </w:t>
      </w:r>
      <w:r>
        <w:t>Epidemiology</w:t>
      </w:r>
      <w:bookmarkEnd w:id="460"/>
    </w:p>
    <w:p w:rsidR="00936810" w:rsidRPr="00F219CA" w:rsidRDefault="00936810" w:rsidP="00936810">
      <w:pPr>
        <w:pStyle w:val="12"/>
      </w:pPr>
      <w:r w:rsidRPr="00F219CA">
        <w:t xml:space="preserve">Full Journal Title: </w:t>
      </w:r>
      <w:r>
        <w:t>Annals</w:t>
      </w:r>
      <w:r w:rsidR="00427468">
        <w:t xml:space="preserve"> of </w:t>
      </w:r>
      <w:r>
        <w:t>Epidemiology</w:t>
      </w:r>
    </w:p>
    <w:p w:rsidR="00936810" w:rsidRPr="00F219CA" w:rsidRDefault="00936810" w:rsidP="00936810">
      <w:pPr>
        <w:pStyle w:val="12"/>
      </w:pPr>
      <w:r w:rsidRPr="00F219CA">
        <w:t xml:space="preserve">ISO Abbreviated Title: </w:t>
      </w:r>
    </w:p>
    <w:p w:rsidR="00936810" w:rsidRPr="00F219CA" w:rsidRDefault="00936810" w:rsidP="00936810">
      <w:pPr>
        <w:pStyle w:val="12"/>
      </w:pPr>
      <w:r w:rsidRPr="00F219CA">
        <w:t xml:space="preserve">JCR Abbreviated Title: </w:t>
      </w:r>
    </w:p>
    <w:p w:rsidR="00936810" w:rsidRPr="00F219CA" w:rsidRDefault="00936810" w:rsidP="00936810">
      <w:pPr>
        <w:pStyle w:val="12"/>
      </w:pPr>
      <w:r w:rsidRPr="00F219CA">
        <w:t xml:space="preserve">ISSN: </w:t>
      </w:r>
    </w:p>
    <w:p w:rsidR="00936810" w:rsidRPr="00F219CA" w:rsidRDefault="00936810" w:rsidP="00936810">
      <w:pPr>
        <w:pStyle w:val="12"/>
      </w:pPr>
      <w:r w:rsidRPr="00F219CA">
        <w:t xml:space="preserve">Issues/Year: </w:t>
      </w:r>
    </w:p>
    <w:p w:rsidR="00936810" w:rsidRPr="00F219CA" w:rsidRDefault="00936810" w:rsidP="00936810">
      <w:pPr>
        <w:pStyle w:val="12"/>
      </w:pPr>
      <w:r w:rsidRPr="00F219CA">
        <w:t xml:space="preserve">Journal Country/Territory: </w:t>
      </w:r>
    </w:p>
    <w:p w:rsidR="00936810" w:rsidRPr="00F219CA" w:rsidRDefault="00936810" w:rsidP="00936810">
      <w:pPr>
        <w:pStyle w:val="12"/>
      </w:pPr>
      <w:r w:rsidRPr="00F219CA">
        <w:t xml:space="preserve">Language: </w:t>
      </w:r>
    </w:p>
    <w:p w:rsidR="00936810" w:rsidRPr="00F219CA" w:rsidRDefault="00936810" w:rsidP="00936810">
      <w:pPr>
        <w:pStyle w:val="12"/>
      </w:pPr>
      <w:r w:rsidRPr="00F219CA">
        <w:t xml:space="preserve">Publisher: </w:t>
      </w:r>
    </w:p>
    <w:p w:rsidR="00936810" w:rsidRPr="00F219CA" w:rsidRDefault="00936810" w:rsidP="00936810">
      <w:pPr>
        <w:pStyle w:val="12"/>
      </w:pPr>
      <w:r w:rsidRPr="00F219CA">
        <w:t xml:space="preserve">Publisher Address: </w:t>
      </w:r>
    </w:p>
    <w:p w:rsidR="00936810" w:rsidRPr="00F219CA" w:rsidRDefault="00936810" w:rsidP="00936810">
      <w:pPr>
        <w:pStyle w:val="12"/>
      </w:pPr>
      <w:r w:rsidRPr="00F219CA">
        <w:t>Subject Categories:</w:t>
      </w:r>
    </w:p>
    <w:p w:rsidR="00936810" w:rsidRPr="00F219CA" w:rsidRDefault="00936810" w:rsidP="00936810">
      <w:pPr>
        <w:pStyle w:val="12"/>
      </w:pPr>
      <w:r w:rsidRPr="00F219CA">
        <w:t xml:space="preserve">: Impact Factor </w:t>
      </w:r>
    </w:p>
    <w:p w:rsidR="00936810" w:rsidRDefault="00936810" w:rsidP="00936810">
      <w:pPr>
        <w:pStyle w:val="a3"/>
      </w:pPr>
      <w:r w:rsidRPr="00F219CA">
        <w:t xml:space="preserve">? </w:t>
      </w:r>
      <w:r>
        <w:t>Akhabue, E</w:t>
      </w:r>
      <w:r>
        <w:rPr>
          <w:rFonts w:hint="eastAsia"/>
        </w:rPr>
        <w:t>.</w:t>
      </w:r>
      <w:r w:rsidR="005853A9">
        <w:rPr>
          <w:rFonts w:hint="eastAsia"/>
        </w:rPr>
        <w:t xml:space="preserve"> and </w:t>
      </w:r>
      <w:r>
        <w:t>Lautenbach, E</w:t>
      </w:r>
      <w:r>
        <w:rPr>
          <w:rFonts w:hint="eastAsia"/>
        </w:rPr>
        <w:t>.</w:t>
      </w:r>
      <w:r w:rsidRPr="00F219CA">
        <w:t xml:space="preserve"> (</w:t>
      </w:r>
      <w:r>
        <w:rPr>
          <w:rFonts w:hint="eastAsia"/>
        </w:rPr>
        <w:t>2010</w:t>
      </w:r>
      <w:r w:rsidRPr="00F219CA">
        <w:t xml:space="preserve">), </w:t>
      </w:r>
      <w:r>
        <w:t>“Equal” contributions</w:t>
      </w:r>
      <w:r w:rsidR="005853A9">
        <w:t xml:space="preserve"> and </w:t>
      </w:r>
      <w:r>
        <w:t>credit: An emerging trend in the characterization</w:t>
      </w:r>
      <w:r w:rsidR="00427468">
        <w:t xml:space="preserve"> of </w:t>
      </w:r>
      <w:r>
        <w:t>authorship</w:t>
      </w:r>
      <w:r w:rsidRPr="00F219CA">
        <w:t xml:space="preserve">. </w:t>
      </w:r>
      <w:r w:rsidRPr="00BD0CA2">
        <w:rPr>
          <w:i/>
        </w:rPr>
        <w:t>Annals</w:t>
      </w:r>
      <w:r w:rsidR="00427468">
        <w:rPr>
          <w:i/>
        </w:rPr>
        <w:t xml:space="preserve"> of </w:t>
      </w:r>
      <w:r w:rsidRPr="00BD0CA2">
        <w:rPr>
          <w:i/>
        </w:rPr>
        <w:t>Epidemiology</w:t>
      </w:r>
      <w:r w:rsidRPr="00F219CA">
        <w:t xml:space="preserve">, </w:t>
      </w:r>
      <w:r>
        <w:rPr>
          <w:rFonts w:hint="eastAsia"/>
          <w:b/>
          <w:bCs/>
        </w:rPr>
        <w:t>20</w:t>
      </w:r>
      <w:r>
        <w:rPr>
          <w:rFonts w:hint="eastAsia"/>
          <w:bCs/>
        </w:rPr>
        <w:t xml:space="preserve"> (11)</w:t>
      </w:r>
      <w:r w:rsidRPr="00F219CA">
        <w:t xml:space="preserve">, </w:t>
      </w:r>
      <w:r>
        <w:t>868-871</w:t>
      </w:r>
      <w:r w:rsidRPr="00F219CA">
        <w:t>.</w:t>
      </w:r>
    </w:p>
    <w:p w:rsidR="00936810" w:rsidRDefault="00936810" w:rsidP="00936810">
      <w:pPr>
        <w:pStyle w:val="a3"/>
      </w:pPr>
      <w:r>
        <w:rPr>
          <w:rFonts w:hint="eastAsia"/>
        </w:rPr>
        <w:t xml:space="preserve">Full Text: </w:t>
      </w:r>
      <w:hyperlink r:id="rId842" w:history="1">
        <w:r w:rsidRPr="00BD0CA2">
          <w:rPr>
            <w:rStyle w:val="a5"/>
          </w:rPr>
          <w:t>2010\Ann Epi20, 868.pdf</w:t>
        </w:r>
      </w:hyperlink>
    </w:p>
    <w:p w:rsidR="00936810" w:rsidRDefault="00936810" w:rsidP="00936810">
      <w:pPr>
        <w:pStyle w:val="a3"/>
      </w:pPr>
      <w:r>
        <w:t>Abstract: PURPOSE: Scientific manuscripts sometimes have two or more authors explicitly designated as having “contributed equally” to the study</w:t>
      </w:r>
      <w:r w:rsidR="00A37C1D">
        <w:t>. The</w:t>
      </w:r>
      <w:r>
        <w:t xml:space="preserve"> prevalence</w:t>
      </w:r>
      <w:r w:rsidR="005853A9">
        <w:t xml:space="preserve"> and </w:t>
      </w:r>
      <w:r>
        <w:t>characteristics</w:t>
      </w:r>
      <w:r w:rsidR="00427468">
        <w:t xml:space="preserve"> of </w:t>
      </w:r>
      <w:r>
        <w:t>this practice are not known</w:t>
      </w:r>
      <w:r w:rsidR="00A37C1D">
        <w:t>. The</w:t>
      </w:r>
      <w:r>
        <w:t xml:space="preserve"> goal</w:t>
      </w:r>
      <w:r w:rsidR="00427468">
        <w:t xml:space="preserve"> of </w:t>
      </w:r>
      <w:r>
        <w:t>this study was to identify longitudinal trends</w:t>
      </w:r>
      <w:r w:rsidR="005853A9">
        <w:t xml:space="preserve"> and </w:t>
      </w:r>
      <w:r>
        <w:t>characteristics</w:t>
      </w:r>
      <w:r w:rsidR="00427468">
        <w:t xml:space="preserve"> of </w:t>
      </w:r>
      <w:r>
        <w:t>the practice</w:t>
      </w:r>
      <w:r w:rsidR="00427468">
        <w:t xml:space="preserve"> of </w:t>
      </w:r>
      <w:r>
        <w:t>explicitly giving authors equal credit in publications found in major medical journals.</w:t>
      </w:r>
    </w:p>
    <w:p w:rsidR="00936810" w:rsidRDefault="00936810" w:rsidP="00936810">
      <w:pPr>
        <w:pStyle w:val="a3"/>
      </w:pPr>
      <w:r>
        <w:t>METHODS: We conducted electronic keyword searches looking for original research articles with equally credited authors (ECAs) published between Jan. 1, 2000</w:t>
      </w:r>
      <w:r w:rsidR="005853A9">
        <w:t xml:space="preserve"> and </w:t>
      </w:r>
      <w:r>
        <w:t>Dec. 31, 2009 in the five general medicine journals with the highest impact factors (New England Journal</w:t>
      </w:r>
      <w:r w:rsidR="00427468">
        <w:t xml:space="preserve"> of </w:t>
      </w:r>
      <w:r>
        <w:t>Medicine, Journal</w:t>
      </w:r>
      <w:r w:rsidR="00427468">
        <w:t xml:space="preserve"> of </w:t>
      </w:r>
      <w:r>
        <w:t>the American Medical Association, Lancet, Annals</w:t>
      </w:r>
      <w:r w:rsidR="00427468">
        <w:t xml:space="preserve"> of </w:t>
      </w:r>
      <w:r>
        <w:t>Internal Medicine,</w:t>
      </w:r>
      <w:r w:rsidR="005853A9">
        <w:t xml:space="preserve"> and </w:t>
      </w:r>
      <w:r>
        <w:t>British Medical Journal)</w:t>
      </w:r>
      <w:r w:rsidR="00A37C1D">
        <w:t>. The</w:t>
      </w:r>
      <w:r>
        <w:t xml:space="preserve"> annual prevalence</w:t>
      </w:r>
      <w:r w:rsidR="00427468">
        <w:t xml:space="preserve"> of </w:t>
      </w:r>
      <w:r>
        <w:t>original research articles with ECAs for each journal.</w:t>
      </w:r>
    </w:p>
    <w:p w:rsidR="00936810" w:rsidRDefault="00936810" w:rsidP="00936810">
      <w:pPr>
        <w:pStyle w:val="a3"/>
      </w:pPr>
      <w:r>
        <w:t>RESULTS: Original research articles with authors explicitly given equal credit were found in all five journals. Articles with ECAs formed a greater proportion</w:t>
      </w:r>
      <w:r w:rsidR="00427468">
        <w:t xml:space="preserve"> of </w:t>
      </w:r>
      <w:r>
        <w:t>the total number</w:t>
      </w:r>
      <w:r w:rsidR="00427468">
        <w:t xml:space="preserve"> of </w:t>
      </w:r>
      <w:r>
        <w:t>articles published in each journal in 2009 versus published in 2000 (NEJM: 8.6% vs. &lt;1%; JAMA: 7.5% vs. 0%; Annals: 3.8% vs. 0%; Lancet: 3.6% vs. &lt;1%; BMJ: 1.0% vs. 0%)</w:t>
      </w:r>
      <w:r w:rsidR="00A37C1D">
        <w:t>. The</w:t>
      </w:r>
      <w:r>
        <w:t>re was a statistically significant increasing trend in yearly prevalence</w:t>
      </w:r>
      <w:r w:rsidR="00427468">
        <w:t xml:space="preserve"> of </w:t>
      </w:r>
      <w:r>
        <w:t>ECA articles for all the journals (NEJM: p &lt; 0.0001; JAMA: p &lt; 0.001; Annals: p &lt; 0.001; Lancet: p &lt; 0.001, BMJ: p = 0.001]</w:t>
      </w:r>
      <w:r w:rsidR="00A37C1D">
        <w:t>. The</w:t>
      </w:r>
      <w:r>
        <w:t xml:space="preserve"> first two authors listed in the byline received equal credit the majority</w:t>
      </w:r>
      <w:r w:rsidR="00427468">
        <w:t xml:space="preserve"> of </w:t>
      </w:r>
      <w:r>
        <w:t>the time, but the practice was also applied to authors in nearly every position in the byline. Finally, none</w:t>
      </w:r>
      <w:r w:rsidR="00427468">
        <w:t xml:space="preserve"> of </w:t>
      </w:r>
      <w:r>
        <w:t xml:space="preserve">the journals provided specific guidance regarding this practice in their </w:t>
      </w:r>
      <w:r>
        <w:lastRenderedPageBreak/>
        <w:t>instructions to authors.</w:t>
      </w:r>
    </w:p>
    <w:p w:rsidR="00936810" w:rsidRDefault="00936810" w:rsidP="00936810">
      <w:pPr>
        <w:pStyle w:val="a3"/>
      </w:pPr>
      <w:r>
        <w:t>CONCLUSIONS: The practice</w:t>
      </w:r>
      <w:r w:rsidR="00427468">
        <w:t xml:space="preserve"> of </w:t>
      </w:r>
      <w:r>
        <w:t>explicitly giving authors equal credit is increasingly common in original research publications. Scientific journals should consider providing guidance for authors regarding this practice. Furthermore, the potential impact</w:t>
      </w:r>
      <w:r w:rsidR="00427468">
        <w:t xml:space="preserve"> of </w:t>
      </w:r>
      <w:r>
        <w:t>this practice on evaluations for academic promotion should be assessed. Ann Epidemiol 2010;20:868-871. (C) 2010 Elsevier Inc. All rights reserved.</w:t>
      </w:r>
    </w:p>
    <w:p w:rsidR="00936810" w:rsidRPr="00F219CA" w:rsidRDefault="00936810" w:rsidP="00936810">
      <w:pPr>
        <w:pStyle w:val="a3"/>
      </w:pPr>
      <w:r>
        <w:t>Keywords: Authorship, Contributions, Credit, Equal, Practice</w:t>
      </w:r>
    </w:p>
    <w:p w:rsidR="00D777D6" w:rsidRDefault="00D777D6" w:rsidP="00D777D6">
      <w:pPr>
        <w:pStyle w:val="a3"/>
        <w:rPr>
          <w:kern w:val="0"/>
        </w:rPr>
      </w:pPr>
      <w:r>
        <w:rPr>
          <w:rFonts w:hint="eastAsia"/>
          <w:kern w:val="0"/>
        </w:rPr>
        <w:t xml:space="preserve">? </w:t>
      </w:r>
      <w:r>
        <w:rPr>
          <w:kern w:val="0"/>
        </w:rPr>
        <w:t>Wosu, A.C., Valdimarsdóttir, U., Shields, A.E., Williams, D.R.</w:t>
      </w:r>
      <w:r w:rsidR="005853A9">
        <w:rPr>
          <w:kern w:val="0"/>
        </w:rPr>
        <w:t xml:space="preserve"> and </w:t>
      </w:r>
      <w:r>
        <w:rPr>
          <w:kern w:val="0"/>
        </w:rPr>
        <w:t>Williams, M.A. (2013), Correlates</w:t>
      </w:r>
      <w:r w:rsidR="00427468">
        <w:rPr>
          <w:kern w:val="0"/>
        </w:rPr>
        <w:t xml:space="preserve"> of </w:t>
      </w:r>
      <w:r>
        <w:rPr>
          <w:kern w:val="0"/>
        </w:rPr>
        <w:t>cortisol in human hair: Implications for epidemiologic studies on health effects</w:t>
      </w:r>
      <w:r w:rsidR="00427468">
        <w:rPr>
          <w:kern w:val="0"/>
        </w:rPr>
        <w:t xml:space="preserve"> of </w:t>
      </w:r>
      <w:r>
        <w:rPr>
          <w:kern w:val="0"/>
        </w:rPr>
        <w:t xml:space="preserve">chronic stress. </w:t>
      </w:r>
      <w:r>
        <w:rPr>
          <w:i/>
          <w:iCs/>
          <w:kern w:val="0"/>
        </w:rPr>
        <w:t>Annals</w:t>
      </w:r>
      <w:r w:rsidR="00427468">
        <w:rPr>
          <w:i/>
          <w:iCs/>
          <w:kern w:val="0"/>
        </w:rPr>
        <w:t xml:space="preserve"> of </w:t>
      </w:r>
      <w:r>
        <w:rPr>
          <w:i/>
          <w:iCs/>
          <w:kern w:val="0"/>
        </w:rPr>
        <w:t>Epidemiology</w:t>
      </w:r>
      <w:r>
        <w:rPr>
          <w:kern w:val="0"/>
        </w:rPr>
        <w:t xml:space="preserve">, </w:t>
      </w:r>
      <w:r>
        <w:rPr>
          <w:b/>
          <w:bCs/>
          <w:kern w:val="0"/>
        </w:rPr>
        <w:t>23</w:t>
      </w:r>
      <w:r>
        <w:rPr>
          <w:kern w:val="0"/>
        </w:rPr>
        <w:t xml:space="preserve"> (12), 797-811.</w:t>
      </w:r>
    </w:p>
    <w:p w:rsidR="00D777D6" w:rsidRDefault="00D777D6" w:rsidP="00D777D6">
      <w:pPr>
        <w:pStyle w:val="a3"/>
      </w:pPr>
      <w:r>
        <w:rPr>
          <w:rFonts w:hint="eastAsia"/>
        </w:rPr>
        <w:t xml:space="preserve">Full Text: </w:t>
      </w:r>
      <w:hyperlink r:id="rId843" w:history="1">
        <w:r w:rsidRPr="00D777D6">
          <w:rPr>
            <w:rStyle w:val="a5"/>
          </w:rPr>
          <w:t>2013\Ann Epi23, 797.pdf</w:t>
        </w:r>
      </w:hyperlink>
    </w:p>
    <w:p w:rsidR="00D777D6" w:rsidRDefault="00D777D6" w:rsidP="00D777D6">
      <w:pPr>
        <w:pStyle w:val="a3"/>
        <w:rPr>
          <w:kern w:val="0"/>
        </w:rPr>
      </w:pPr>
      <w:r>
        <w:rPr>
          <w:kern w:val="0"/>
        </w:rPr>
        <w:t>Abstract: Assessment</w:t>
      </w:r>
      <w:r w:rsidR="00427468">
        <w:rPr>
          <w:kern w:val="0"/>
        </w:rPr>
        <w:t xml:space="preserve"> of </w:t>
      </w:r>
      <w:r>
        <w:rPr>
          <w:kern w:val="0"/>
        </w:rPr>
        <w:t>cortisol concentrations in hair is one</w:t>
      </w:r>
      <w:r w:rsidR="00427468">
        <w:rPr>
          <w:kern w:val="0"/>
        </w:rPr>
        <w:t xml:space="preserve"> of </w:t>
      </w:r>
      <w:r>
        <w:rPr>
          <w:kern w:val="0"/>
        </w:rPr>
        <w:t>the latest innovations for measuring long-term cortisol exposure. We performed a systematic review</w:t>
      </w:r>
      <w:r w:rsidR="00427468">
        <w:rPr>
          <w:kern w:val="0"/>
        </w:rPr>
        <w:t xml:space="preserve"> of </w:t>
      </w:r>
      <w:r>
        <w:rPr>
          <w:kern w:val="0"/>
        </w:rPr>
        <w:t>correlates</w:t>
      </w:r>
      <w:r w:rsidR="00427468">
        <w:rPr>
          <w:kern w:val="0"/>
        </w:rPr>
        <w:t xml:space="preserve"> of </w:t>
      </w:r>
      <w:r>
        <w:rPr>
          <w:kern w:val="0"/>
        </w:rPr>
        <w:t>cortisol in human hair to inform the design, analysis,</w:t>
      </w:r>
      <w:r w:rsidR="005853A9">
        <w:rPr>
          <w:kern w:val="0"/>
        </w:rPr>
        <w:t xml:space="preserve"> and </w:t>
      </w:r>
      <w:r>
        <w:rPr>
          <w:kern w:val="0"/>
        </w:rPr>
        <w:t>interpretation</w:t>
      </w:r>
      <w:r w:rsidR="00427468">
        <w:rPr>
          <w:kern w:val="0"/>
        </w:rPr>
        <w:t xml:space="preserve"> of </w:t>
      </w:r>
      <w:r>
        <w:rPr>
          <w:kern w:val="0"/>
        </w:rPr>
        <w:t>future epidemiologic studies. Relevant publications were identified through electronic searches on PubMed, WorldCat,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using keywords, “cortisol,” “hair,” “confounders,” “chronic,” “stress,”</w:t>
      </w:r>
      <w:r w:rsidR="005853A9">
        <w:rPr>
          <w:kern w:val="0"/>
        </w:rPr>
        <w:t xml:space="preserve"> and </w:t>
      </w:r>
      <w:r>
        <w:rPr>
          <w:kern w:val="0"/>
        </w:rPr>
        <w:t>“correlates.” Thirty-nine studies were included in this review. Notwithstanding scarce data</w:t>
      </w:r>
      <w:r w:rsidR="005853A9">
        <w:rPr>
          <w:kern w:val="0"/>
        </w:rPr>
        <w:t xml:space="preserve"> and </w:t>
      </w:r>
      <w:r>
        <w:rPr>
          <w:kern w:val="0"/>
        </w:rPr>
        <w:t>some inconsistencies, investigators have found hair cortisol concentrations to be associated with stress-related psychiatric symptoms</w:t>
      </w:r>
      <w:r w:rsidR="005853A9">
        <w:rPr>
          <w:kern w:val="0"/>
        </w:rPr>
        <w:t xml:space="preserve"> and </w:t>
      </w:r>
      <w:r>
        <w:rPr>
          <w:kern w:val="0"/>
        </w:rPr>
        <w:t>disorders (e.g., post-traumatic stress disorder), medical conditions indicating chronic activation</w:t>
      </w:r>
      <w:r w:rsidR="00427468">
        <w:rPr>
          <w:kern w:val="0"/>
        </w:rPr>
        <w:t xml:space="preserve"> of </w:t>
      </w:r>
      <w:r>
        <w:rPr>
          <w:kern w:val="0"/>
        </w:rPr>
        <w:t>the hypothalamic-pituitary-adrenal axis (e.g., Cushing</w:t>
      </w:r>
      <w:r w:rsidR="00700038">
        <w:rPr>
          <w:kern w:val="0"/>
        </w:rPr>
        <w:t>’</w:t>
      </w:r>
      <w:r>
        <w:rPr>
          <w:kern w:val="0"/>
        </w:rPr>
        <w:t>s syndrome),</w:t>
      </w:r>
      <w:r w:rsidR="005853A9">
        <w:rPr>
          <w:kern w:val="0"/>
        </w:rPr>
        <w:t xml:space="preserve"> and </w:t>
      </w:r>
      <w:r>
        <w:rPr>
          <w:kern w:val="0"/>
        </w:rPr>
        <w:t>other life situations associated with elevated risk</w:t>
      </w:r>
      <w:r w:rsidR="00427468">
        <w:rPr>
          <w:kern w:val="0"/>
        </w:rPr>
        <w:t xml:space="preserve"> of </w:t>
      </w:r>
      <w:r>
        <w:rPr>
          <w:kern w:val="0"/>
        </w:rPr>
        <w:t>chronic stress (e.g., shiftwork). Results from some studies suggest that physical activity, adiposity,</w:t>
      </w:r>
      <w:r w:rsidR="005853A9">
        <w:rPr>
          <w:kern w:val="0"/>
        </w:rPr>
        <w:t xml:space="preserve"> and </w:t>
      </w:r>
      <w:r>
        <w:rPr>
          <w:kern w:val="0"/>
        </w:rPr>
        <w:t>substance abuse may be correlates</w:t>
      </w:r>
      <w:r w:rsidR="00427468">
        <w:rPr>
          <w:kern w:val="0"/>
        </w:rPr>
        <w:t xml:space="preserve"> of </w:t>
      </w:r>
      <w:r>
        <w:rPr>
          <w:kern w:val="0"/>
        </w:rPr>
        <w:t>hair cortisol concentrations. In contrast to measures</w:t>
      </w:r>
      <w:r w:rsidR="00427468">
        <w:rPr>
          <w:kern w:val="0"/>
        </w:rPr>
        <w:t xml:space="preserve"> of </w:t>
      </w:r>
      <w:r>
        <w:rPr>
          <w:kern w:val="0"/>
        </w:rPr>
        <w:t>short-term cortisol release (saliva, blood,</w:t>
      </w:r>
      <w:r w:rsidR="005853A9">
        <w:rPr>
          <w:kern w:val="0"/>
        </w:rPr>
        <w:t xml:space="preserve"> and </w:t>
      </w:r>
      <w:r>
        <w:rPr>
          <w:kern w:val="0"/>
        </w:rPr>
        <w:t>urine), cigarette smoking</w:t>
      </w:r>
      <w:r w:rsidR="005853A9">
        <w:rPr>
          <w:kern w:val="0"/>
        </w:rPr>
        <w:t xml:space="preserve"> and </w:t>
      </w:r>
      <w:r>
        <w:rPr>
          <w:kern w:val="0"/>
        </w:rPr>
        <w:t>use</w:t>
      </w:r>
      <w:r w:rsidR="00427468">
        <w:rPr>
          <w:kern w:val="0"/>
        </w:rPr>
        <w:t xml:space="preserve"> of </w:t>
      </w:r>
      <w:r>
        <w:rPr>
          <w:kern w:val="0"/>
        </w:rPr>
        <w:t>oral contraceptives appear not to be associated with hair cortisol concentrations. Studies</w:t>
      </w:r>
      <w:r w:rsidR="00427468">
        <w:rPr>
          <w:kern w:val="0"/>
        </w:rPr>
        <w:t xml:space="preserve"> of </w:t>
      </w:r>
      <w:r>
        <w:rPr>
          <w:kern w:val="0"/>
        </w:rPr>
        <w:t>pregnant women indicate increased hair cortisol concentrations across successive trimesters</w:t>
      </w:r>
      <w:r w:rsidR="00A37C1D">
        <w:rPr>
          <w:kern w:val="0"/>
        </w:rPr>
        <w:t>. The</w:t>
      </w:r>
      <w:r>
        <w:rPr>
          <w:kern w:val="0"/>
        </w:rPr>
        <w:t xml:space="preserve"> study</w:t>
      </w:r>
      <w:r w:rsidR="00427468">
        <w:rPr>
          <w:kern w:val="0"/>
        </w:rPr>
        <w:t xml:space="preserve"> of </w:t>
      </w:r>
      <w:r>
        <w:rPr>
          <w:kern w:val="0"/>
        </w:rPr>
        <w:t>hair cortisol presents a unique opportunity to assess chronic alterations in cortisol concentrations in epidemiologic studies. (C) 2013 Elsevier Inc. All rights reserved.</w:t>
      </w:r>
    </w:p>
    <w:p w:rsidR="00D777D6" w:rsidRDefault="00D777D6" w:rsidP="00D777D6">
      <w:pPr>
        <w:pStyle w:val="a3"/>
        <w:rPr>
          <w:kern w:val="0"/>
        </w:rPr>
      </w:pPr>
      <w:r>
        <w:rPr>
          <w:kern w:val="0"/>
        </w:rPr>
        <w:t>Keywords: Abuse, Activation, Activity, Analysis, Assessment, Blood, Body-Mass Index, Cardiovascular-Disease, Chronic, Chronic Pelvic Pain, Chronic Stress, Contraceptives, Correlates, Cortisol, Cushing</w:t>
      </w:r>
      <w:r w:rsidR="00700038">
        <w:rPr>
          <w:kern w:val="0"/>
        </w:rPr>
        <w:t>’</w:t>
      </w:r>
      <w:r>
        <w:rPr>
          <w:rFonts w:hint="eastAsia"/>
          <w:kern w:val="0"/>
        </w:rPr>
        <w:t>s</w:t>
      </w:r>
      <w:r>
        <w:rPr>
          <w:kern w:val="0"/>
        </w:rPr>
        <w:t>, Cushing</w:t>
      </w:r>
      <w:r w:rsidR="00700038">
        <w:rPr>
          <w:kern w:val="0"/>
        </w:rPr>
        <w:t>’</w:t>
      </w:r>
      <w:r>
        <w:rPr>
          <w:rFonts w:hint="eastAsia"/>
          <w:kern w:val="0"/>
        </w:rPr>
        <w:t>s</w:t>
      </w:r>
      <w:r>
        <w:rPr>
          <w:kern w:val="0"/>
        </w:rPr>
        <w:t xml:space="preserve"> Syndrome, Cushings-Syndrome, Data, Design, Determinants, Effects, Exposure, Hair, Health, Human, Human Hair, Life, Long Term, Long-Term, Long-Term Cortisol, Measures, Medical, Metabolic Syndrome, Oral, Physical, Physical Activity, Pituitary-Adrenal Axis, Post Traumatic Stress Disorder, Post-Traumatic Stress, Post-Traumatic Stress Disorder, Posttraumatic Stress, Posttraumatic Stress Disorder, Pregnant, Pregnant </w:t>
      </w:r>
      <w:r>
        <w:rPr>
          <w:kern w:val="0"/>
        </w:rPr>
        <w:lastRenderedPageBreak/>
        <w:t xml:space="preserve">Women, Psychiatric Disorders, Psychiatric Symptoms, Psychological Stress, Publications, Pubmed, Release, Results, Review, Rights, Risk, Salivary Cortisol, Science, Smoking, Stress, Substance Abuse, Symptoms, Syndrome, Systematic Review, Urine, Urine-Free Cortisol, </w:t>
      </w:r>
      <w:r w:rsidR="00D5664A">
        <w:rPr>
          <w:kern w:val="0"/>
        </w:rPr>
        <w:t>Web</w:t>
      </w:r>
      <w:r w:rsidR="00427468">
        <w:rPr>
          <w:kern w:val="0"/>
        </w:rPr>
        <w:t xml:space="preserve"> of </w:t>
      </w:r>
      <w:r w:rsidR="00D5664A">
        <w:rPr>
          <w:kern w:val="0"/>
        </w:rPr>
        <w:t>Science</w:t>
      </w:r>
      <w:r>
        <w:rPr>
          <w:kern w:val="0"/>
        </w:rPr>
        <w:t>, Women</w:t>
      </w:r>
    </w:p>
    <w:p w:rsidR="00FB61C2" w:rsidRDefault="00FB61C2" w:rsidP="00FB61C2">
      <w:pPr>
        <w:pStyle w:val="a3"/>
        <w:rPr>
          <w:kern w:val="0"/>
        </w:rPr>
      </w:pPr>
      <w:r>
        <w:rPr>
          <w:kern w:val="0"/>
        </w:rPr>
        <w:t xml:space="preserve">? Sagoe, D., Molde, H., Andreassen, C.S., Torsheim, T. and Pallesen, S. (2014), The global epidemiology of anabolic-androgenic steroid use: A meta-analysis and meta-regression analysis. </w:t>
      </w:r>
      <w:r>
        <w:rPr>
          <w:i/>
          <w:iCs/>
          <w:kern w:val="0"/>
        </w:rPr>
        <w:t>Annals of Epidemiology</w:t>
      </w:r>
      <w:r>
        <w:rPr>
          <w:kern w:val="0"/>
        </w:rPr>
        <w:t xml:space="preserve">, </w:t>
      </w:r>
      <w:r>
        <w:rPr>
          <w:b/>
          <w:bCs/>
          <w:kern w:val="0"/>
        </w:rPr>
        <w:t>24</w:t>
      </w:r>
      <w:r>
        <w:rPr>
          <w:kern w:val="0"/>
        </w:rPr>
        <w:t xml:space="preserve"> (5), 383-398.</w:t>
      </w:r>
    </w:p>
    <w:p w:rsidR="00FB61C2" w:rsidRDefault="00FB61C2" w:rsidP="00FB61C2">
      <w:pPr>
        <w:pStyle w:val="a3"/>
      </w:pPr>
      <w:r>
        <w:rPr>
          <w:rFonts w:hint="eastAsia"/>
        </w:rPr>
        <w:t xml:space="preserve">Full Text: </w:t>
      </w:r>
      <w:hyperlink r:id="rId844" w:history="1">
        <w:r w:rsidRPr="00FB61C2">
          <w:rPr>
            <w:rStyle w:val="a5"/>
          </w:rPr>
          <w:t>2014\Ann Epi24, 383.pdf</w:t>
        </w:r>
      </w:hyperlink>
    </w:p>
    <w:p w:rsidR="00FB61C2" w:rsidRDefault="00FB61C2" w:rsidP="00FB61C2">
      <w:pPr>
        <w:pStyle w:val="a3"/>
        <w:rPr>
          <w:kern w:val="0"/>
        </w:rPr>
      </w:pPr>
      <w:r>
        <w:rPr>
          <w:kern w:val="0"/>
        </w:rPr>
        <w:t>Abstract: Purpose: To estimate the global lifetime prevalence rate of anabolic-androgenic steroid (AAS) use and investigate moderators of the prevalence rate. Methods: A meta-analysis and meta-regression analysis was performed using studies gathered from searches in PsycINFO, PubMed, ISI Web of Science, and Google Scholar among others. Included were 187 studies that provided original data on 271 lifetime prevalence rates. Studies were coded for publication year, region, sample type, age range, sample size, assessment method, and sampling method. Heterogeneity was assessed by the I-2 index and the Q-statistic. Random effect-size modeling was used. Subgroup comparisons were conducted using Bonferroni correction. Results: The global lifetime prevalence rate obtained was 3.3% (95% confidence interval [CI], 2.8-3.8; I-2 = 99.7, P &lt; .001)</w:t>
      </w:r>
      <w:r w:rsidR="00A37C1D">
        <w:rPr>
          <w:kern w:val="0"/>
        </w:rPr>
        <w:t>. The</w:t>
      </w:r>
      <w:r>
        <w:rPr>
          <w:kern w:val="0"/>
        </w:rPr>
        <w:t xml:space="preserve"> prevalence rate for males, 6.4% (95% CI, 5.3-7.7, I-2 = 99.2, P &lt; .001), was significantly higher (Q(bet) = 100.1, P &lt; .001) than the rate for females, 1.6% (95% CI, 1.3-1.9, I-2 = 96.8, P &lt; .001). Sample type (athletes), assessment method (interviews only and interviews and questionnaires), sampling method, and male sample percentage were significant predictors of AAS use prevalence</w:t>
      </w:r>
      <w:r w:rsidR="00A37C1D">
        <w:rPr>
          <w:kern w:val="0"/>
        </w:rPr>
        <w:t>. The</w:t>
      </w:r>
      <w:r>
        <w:rPr>
          <w:kern w:val="0"/>
        </w:rPr>
        <w:t>re was no indication of publication bias. Conclusion: Nonmedical MS use is a serious widespread public health problem. (C) 2014 Elsevier Inc. All rights reserved.</w:t>
      </w:r>
    </w:p>
    <w:p w:rsidR="00FB61C2" w:rsidRDefault="00FB61C2" w:rsidP="00FB61C2">
      <w:pPr>
        <w:pStyle w:val="a3"/>
        <w:rPr>
          <w:kern w:val="0"/>
        </w:rPr>
      </w:pPr>
      <w:r>
        <w:rPr>
          <w:kern w:val="0"/>
        </w:rPr>
        <w:t>Keywords: Aas, Age, Analysis, Assessment, Athletes, Bias, Body-Image, Confidence, Data, Drug-Use, Effect Size, Enhancing Substances, Epidemiology, Female Adolescents, Global, Google, Google Scholar, Health, Health Problem, High-School-Students, Index, Indication, Interval, Interviews, ISI, ISI Web Of Science, Male, Meta Analysis, Meta-Analysis, Meta-Regression, Metaanalysis, Methods, Modeling, Ms, P, Physical-Education, Predictors, Prevalence, Psycinfo, Public, Public Health, Public Health Problem, Publication, Publication Bias, Pubmed, Questionnaires, Rates, Region, Regression, Results, Rights, Risk-Factors, Sample, Sample Size, Sampling, Science, Size, Sports Participation, Steroids, Substance Use, Systematic Review, United-States, Web Of Science</w:t>
      </w:r>
    </w:p>
    <w:p w:rsidR="008F1AE9" w:rsidRDefault="008F1AE9" w:rsidP="008F1AE9">
      <w:pPr>
        <w:pStyle w:val="a3"/>
        <w:rPr>
          <w:kern w:val="0"/>
        </w:rPr>
      </w:pPr>
      <w:r>
        <w:rPr>
          <w:rFonts w:hint="eastAsia"/>
          <w:kern w:val="0"/>
        </w:rPr>
        <w:t xml:space="preserve">? </w:t>
      </w:r>
      <w:r>
        <w:rPr>
          <w:kern w:val="0"/>
        </w:rPr>
        <w:t xml:space="preserve">Kunutsor, S.K., Abbasi, A. and Adler, A.I. (2014), Gamma-glutamyl transferase and risk of type II diabetes: An updated systematic review and dose-response meta-analysis. </w:t>
      </w:r>
      <w:r>
        <w:rPr>
          <w:i/>
          <w:iCs/>
          <w:kern w:val="0"/>
        </w:rPr>
        <w:t>Annals of Epidemiology</w:t>
      </w:r>
      <w:r>
        <w:rPr>
          <w:kern w:val="0"/>
        </w:rPr>
        <w:t xml:space="preserve">, </w:t>
      </w:r>
      <w:r>
        <w:rPr>
          <w:b/>
          <w:bCs/>
          <w:kern w:val="0"/>
        </w:rPr>
        <w:t>24</w:t>
      </w:r>
      <w:r>
        <w:rPr>
          <w:kern w:val="0"/>
        </w:rPr>
        <w:t xml:space="preserve"> (11), 809-816.</w:t>
      </w:r>
    </w:p>
    <w:p w:rsidR="008F1AE9" w:rsidRDefault="008F1AE9" w:rsidP="008F1AE9">
      <w:pPr>
        <w:pStyle w:val="a3"/>
      </w:pPr>
      <w:r>
        <w:rPr>
          <w:rFonts w:hint="eastAsia"/>
        </w:rPr>
        <w:lastRenderedPageBreak/>
        <w:t xml:space="preserve">Full Text: </w:t>
      </w:r>
      <w:hyperlink r:id="rId845" w:history="1">
        <w:r w:rsidRPr="008F1AE9">
          <w:rPr>
            <w:rStyle w:val="a5"/>
          </w:rPr>
          <w:t>2014\Ann Epi24, 809.pdf</w:t>
        </w:r>
      </w:hyperlink>
    </w:p>
    <w:p w:rsidR="008F1AE9" w:rsidRDefault="008F1AE9" w:rsidP="008F1AE9">
      <w:pPr>
        <w:pStyle w:val="a3"/>
        <w:rPr>
          <w:kern w:val="0"/>
        </w:rPr>
      </w:pPr>
      <w:r>
        <w:rPr>
          <w:kern w:val="0"/>
        </w:rPr>
        <w:t>Abstract: Purpose: We assessed the nature of the dose-response relationship between gamma-glutamyl transferase (GGT) levels and risk of incident type II diabetes mellitus (T2DM) in the general population. Methods: Systematic review and dose-response meta-analysis of published prospective studies. Relevant studies were identified in a literature search of MEDLINE, EMBASE, and Web of Science databases up to June 2014. We examined a potential nonlinear relationship using restricted cubic splines. Results: Of the 300 titles reviewed, we included 24 cohort studies with data on 177,307 participants and 11,155 T2DM cases. In pooled analysis of 16 studies with relevant data, there was evidence of a nonlinear association between GGT and T2DM risk in both males (P for nonlinearity = .02) and females (P for nonlinearity = .0005). In a comparison of extreme thirds of baseline levels of GGT, relative risk for T2DM in pooled analysis of all 24 studies was 1.34 (95% confidence interval, 1.27-1.42). There was heterogeneity among the studies (P &lt; .001), which was to a large part explained by blood sample used, study size, degree of confounder adjustment, and quality of studies. Conclusions: Circulating level of GGT contributes to an increased risk of T2DM in the general population in a nonlinear dose-response pattern. (C) 2014 Elsevier Inc. All rights reserved.</w:t>
      </w:r>
    </w:p>
    <w:p w:rsidR="008F1AE9" w:rsidRDefault="008F1AE9" w:rsidP="008F1AE9">
      <w:pPr>
        <w:pStyle w:val="a3"/>
        <w:rPr>
          <w:kern w:val="0"/>
        </w:rPr>
      </w:pPr>
      <w:r>
        <w:rPr>
          <w:kern w:val="0"/>
        </w:rPr>
        <w:t>Keywords: Alanine Aminotransferase, Analysis, Association, Atherosclerosis Risk, Blood, Cardiovascular-Disease, Cohort, Comparison, Confidence, Data, Databases, Diabetes, Diabetes Mellitus, Dose Response, Embase, Evidence, Fatty Liver, Gamma-Glutamyl Transferase, General, General Population, Healthy-Individuals, Heterogeneity, Insulin-Resistance, Interval, Literature, Literature Search, Liver-Enzymes, Medline, Meta Analysis, Meta-Analysis, Metaanalysis, Metabolic Syndrome, Methods, Nonlinear, Nov, P, Pattern, Pooled Analysis, Population, Potential, Prospective, Prospective Studies, Publication Bias, Quality, Quality Of, Relative Risk, Results, Review, Rights, Risk, Science, Size, Systematic, Systematic Review, Trend Estimation, Type H Diabetes Mellitus, Web Of Science, Web Of Science Databases</w:t>
      </w:r>
    </w:p>
    <w:p w:rsidR="003474F2" w:rsidRPr="001A3D2B" w:rsidRDefault="003474F2" w:rsidP="003474F2">
      <w:pPr>
        <w:pStyle w:val="1"/>
      </w:pPr>
      <w:r w:rsidRPr="001A3D2B">
        <w:rPr>
          <w:lang w:val="en-GB"/>
        </w:rPr>
        <w:br w:type="page"/>
      </w:r>
      <w:bookmarkStart w:id="461" w:name="_Toc420814496"/>
      <w:r w:rsidRPr="001A3D2B">
        <w:lastRenderedPageBreak/>
        <w:t xml:space="preserve">Title: </w:t>
      </w:r>
      <w:r w:rsidRPr="001A3D2B">
        <w:rPr>
          <w:szCs w:val="19"/>
        </w:rPr>
        <w:t>Annals</w:t>
      </w:r>
      <w:r w:rsidR="00427468">
        <w:rPr>
          <w:szCs w:val="19"/>
        </w:rPr>
        <w:t xml:space="preserve"> of </w:t>
      </w:r>
      <w:r w:rsidRPr="001A3D2B">
        <w:rPr>
          <w:szCs w:val="19"/>
        </w:rPr>
        <w:t>Eugenics</w:t>
      </w:r>
      <w:bookmarkEnd w:id="461"/>
    </w:p>
    <w:p w:rsidR="003474F2" w:rsidRPr="001A3D2B" w:rsidRDefault="003474F2" w:rsidP="003474F2">
      <w:pPr>
        <w:pStyle w:val="12"/>
      </w:pPr>
      <w:r w:rsidRPr="001A3D2B">
        <w:t xml:space="preserve">Full Journal Title: </w:t>
      </w:r>
      <w:r w:rsidRPr="001A3D2B">
        <w:rPr>
          <w:szCs w:val="19"/>
        </w:rPr>
        <w:t>Annals</w:t>
      </w:r>
      <w:r w:rsidR="00427468">
        <w:rPr>
          <w:szCs w:val="19"/>
        </w:rPr>
        <w:t xml:space="preserve"> of </w:t>
      </w:r>
      <w:r w:rsidRPr="001A3D2B">
        <w:rPr>
          <w:szCs w:val="19"/>
        </w:rPr>
        <w:t>Eugenics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Williams, C.B. (1943</w:t>
      </w:r>
      <w:r w:rsidR="00F42EAC">
        <w:t>), The</w:t>
      </w:r>
      <w:r w:rsidR="003A1917">
        <w:t xml:space="preserve"> </w:t>
      </w:r>
      <w:r w:rsidRPr="001A3D2B">
        <w:rPr>
          <w:szCs w:val="19"/>
        </w:rPr>
        <w:t>numbers</w:t>
      </w:r>
      <w:r w:rsidR="00427468">
        <w:rPr>
          <w:szCs w:val="19"/>
        </w:rPr>
        <w:t xml:space="preserve"> of </w:t>
      </w:r>
      <w:r w:rsidRPr="001A3D2B">
        <w:rPr>
          <w:szCs w:val="19"/>
        </w:rPr>
        <w:t>publications written by biologists</w:t>
      </w:r>
      <w:r w:rsidRPr="001A3D2B">
        <w:t xml:space="preserve">. </w:t>
      </w:r>
      <w:r w:rsidRPr="001A3D2B">
        <w:rPr>
          <w:i/>
          <w:szCs w:val="19"/>
        </w:rPr>
        <w:t>Annals</w:t>
      </w:r>
      <w:r w:rsidR="00427468">
        <w:rPr>
          <w:i/>
          <w:szCs w:val="19"/>
        </w:rPr>
        <w:t xml:space="preserve"> of </w:t>
      </w:r>
      <w:r w:rsidRPr="001A3D2B">
        <w:rPr>
          <w:i/>
          <w:szCs w:val="19"/>
        </w:rPr>
        <w:t>Eugenics</w:t>
      </w:r>
      <w:r w:rsidRPr="001A3D2B">
        <w:t xml:space="preserve">, </w:t>
      </w:r>
      <w:r w:rsidRPr="001A3D2B">
        <w:rPr>
          <w:b/>
          <w:bCs/>
        </w:rPr>
        <w:t>12</w:t>
      </w:r>
      <w:r w:rsidRPr="001A3D2B">
        <w:t xml:space="preserve">, </w:t>
      </w:r>
      <w:r w:rsidRPr="001A3D2B">
        <w:rPr>
          <w:szCs w:val="19"/>
        </w:rPr>
        <w:t>143-146</w:t>
      </w:r>
      <w:r w:rsidRPr="001A3D2B">
        <w:t>.</w:t>
      </w:r>
    </w:p>
    <w:p w:rsidR="003474F2" w:rsidRPr="001A3D2B" w:rsidRDefault="003474F2" w:rsidP="003474F2">
      <w:pPr>
        <w:pStyle w:val="1"/>
      </w:pPr>
      <w:r w:rsidRPr="001A3D2B">
        <w:rPr>
          <w:lang w:val="en-GB"/>
        </w:rPr>
        <w:br w:type="page"/>
      </w:r>
      <w:bookmarkStart w:id="462" w:name="_Toc420814497"/>
      <w:r w:rsidRPr="001A3D2B">
        <w:lastRenderedPageBreak/>
        <w:t>Title: Annals</w:t>
      </w:r>
      <w:r w:rsidR="00427468">
        <w:t xml:space="preserve"> of </w:t>
      </w:r>
      <w:r w:rsidRPr="001A3D2B">
        <w:t>Family Medicine</w:t>
      </w:r>
      <w:bookmarkEnd w:id="462"/>
    </w:p>
    <w:p w:rsidR="003474F2" w:rsidRPr="001A3D2B" w:rsidRDefault="003474F2" w:rsidP="003474F2">
      <w:pPr>
        <w:pStyle w:val="12"/>
      </w:pPr>
      <w:r w:rsidRPr="001A3D2B">
        <w:t xml:space="preserve">Full Journal </w:t>
      </w:r>
      <w:bookmarkStart w:id="463" w:name="_Toc201717952"/>
      <w:r w:rsidRPr="001A3D2B">
        <w:t>Title: Annals</w:t>
      </w:r>
      <w:r w:rsidR="00427468">
        <w:t xml:space="preserve"> of </w:t>
      </w:r>
      <w:r w:rsidRPr="001A3D2B">
        <w:t>Family Medicine</w:t>
      </w:r>
      <w:bookmarkEnd w:id="463"/>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Matthys, J., De Meyere, M., van Driel, M.L.</w:t>
      </w:r>
      <w:r w:rsidR="005853A9">
        <w:t xml:space="preserve"> and </w:t>
      </w:r>
      <w:r w:rsidRPr="001A3D2B">
        <w:t xml:space="preserve">De Sutter, A. (2007), Differences among international pharyngitis guidelines: Not just academic. </w:t>
      </w:r>
      <w:r w:rsidRPr="001A3D2B">
        <w:rPr>
          <w:i/>
          <w:iCs/>
        </w:rPr>
        <w:t>Annals</w:t>
      </w:r>
      <w:r w:rsidR="00427468">
        <w:rPr>
          <w:i/>
          <w:iCs/>
        </w:rPr>
        <w:t xml:space="preserve"> of </w:t>
      </w:r>
      <w:r w:rsidRPr="001A3D2B">
        <w:rPr>
          <w:i/>
          <w:iCs/>
        </w:rPr>
        <w:t>Family Medicine</w:t>
      </w:r>
      <w:r w:rsidRPr="001A3D2B">
        <w:t xml:space="preserve">, </w:t>
      </w:r>
      <w:r w:rsidRPr="001A3D2B">
        <w:rPr>
          <w:b/>
          <w:bCs/>
        </w:rPr>
        <w:t>5</w:t>
      </w:r>
      <w:r w:rsidRPr="001A3D2B">
        <w:t xml:space="preserve"> (5), 436-443.</w:t>
      </w:r>
    </w:p>
    <w:p w:rsidR="003474F2" w:rsidRPr="001A3D2B" w:rsidRDefault="003474F2" w:rsidP="003474F2">
      <w:pPr>
        <w:pStyle w:val="a3"/>
      </w:pPr>
      <w:r w:rsidRPr="001A3D2B">
        <w:t>Abstract: PURPOSE Many countries have national guidelines for</w:t>
      </w:r>
      <w:r w:rsidR="003A1917">
        <w:t xml:space="preserve"> the </w:t>
      </w:r>
      <w:r w:rsidRPr="001A3D2B">
        <w:t>treatment</w:t>
      </w:r>
      <w:r w:rsidR="00427468">
        <w:t xml:space="preserve"> of </w:t>
      </w:r>
      <w:r w:rsidRPr="001A3D2B">
        <w:t>pharyngitis. We wanted to compare</w:t>
      </w:r>
      <w:r w:rsidR="003A1917">
        <w:t xml:space="preserve"> the </w:t>
      </w:r>
      <w:r w:rsidRPr="001A3D2B">
        <w:t>recommendations</w:t>
      </w:r>
      <w:r w:rsidR="005853A9">
        <w:t xml:space="preserve"> and </w:t>
      </w:r>
      <w:r w:rsidR="003A1917">
        <w:t xml:space="preserve">the </w:t>
      </w:r>
      <w:r w:rsidRPr="001A3D2B">
        <w:t>reported evidence in national guidelines for</w:t>
      </w:r>
      <w:r w:rsidR="003A1917">
        <w:t xml:space="preserve"> the </w:t>
      </w:r>
      <w:r w:rsidRPr="001A3D2B">
        <w:t>management</w:t>
      </w:r>
      <w:r w:rsidR="00427468">
        <w:t xml:space="preserve"> of </w:t>
      </w:r>
      <w:r w:rsidRPr="001A3D2B">
        <w:t xml:space="preserve">acute sore throat in adults. METHODS Guidelines were retrieved via </w:t>
      </w:r>
      <w:r w:rsidR="00D5664A">
        <w:t>MEDLINE</w:t>
      </w:r>
      <w:r w:rsidR="005853A9">
        <w:t xml:space="preserve"> and </w:t>
      </w:r>
      <w:r w:rsidRPr="001A3D2B">
        <w:t>EMBASE</w:t>
      </w:r>
      <w:r w:rsidR="005853A9">
        <w:t xml:space="preserve"> and </w:t>
      </w:r>
      <w:r w:rsidRPr="001A3D2B">
        <w:t>through a Web-based search for guideline development organizations</w:t>
      </w:r>
      <w:r w:rsidR="00A37C1D">
        <w:t>. The</w:t>
      </w:r>
      <w:r w:rsidR="003A1917">
        <w:t xml:space="preserve"> </w:t>
      </w:r>
      <w:r w:rsidRPr="001A3D2B">
        <w:t>content</w:t>
      </w:r>
      <w:r w:rsidR="00427468">
        <w:t xml:space="preserve"> of </w:t>
      </w:r>
      <w:r w:rsidR="003A1917">
        <w:t xml:space="preserve">the </w:t>
      </w:r>
      <w:r w:rsidRPr="001A3D2B">
        <w:t>recommendations</w:t>
      </w:r>
      <w:r w:rsidR="005853A9">
        <w:t xml:space="preserve"> and </w:t>
      </w:r>
      <w:r w:rsidR="003A1917">
        <w:t xml:space="preserve">the </w:t>
      </w:r>
      <w:r w:rsidRPr="001A3D2B">
        <w:t>underlying evidence were analyzed with qualitative</w:t>
      </w:r>
      <w:r w:rsidR="005853A9">
        <w:t xml:space="preserve"> and </w:t>
      </w:r>
      <w:r w:rsidRPr="001A3D2B">
        <w:t>bibliometric methods. RESULTS We included 4 North American</w:t>
      </w:r>
      <w:r w:rsidR="005853A9">
        <w:t xml:space="preserve"> and </w:t>
      </w:r>
      <w:r w:rsidRPr="001A3D2B">
        <w:t>6 European guidelines. Recommendations differ with regard to</w:t>
      </w:r>
      <w:r w:rsidR="003A1917">
        <w:t xml:space="preserve"> the </w:t>
      </w:r>
      <w:r w:rsidRPr="001A3D2B">
        <w:t>use</w:t>
      </w:r>
      <w:r w:rsidR="00427468">
        <w:t xml:space="preserve"> of </w:t>
      </w:r>
      <w:r w:rsidRPr="001A3D2B">
        <w:t>a rapid antigen test</w:t>
      </w:r>
      <w:r w:rsidR="005853A9">
        <w:t xml:space="preserve"> and </w:t>
      </w:r>
      <w:r w:rsidRPr="001A3D2B">
        <w:t>throat culture</w:t>
      </w:r>
      <w:r w:rsidR="005853A9">
        <w:t xml:space="preserve"> and </w:t>
      </w:r>
      <w:r w:rsidRPr="001A3D2B">
        <w:t>with</w:t>
      </w:r>
      <w:r w:rsidR="003A1917">
        <w:t xml:space="preserve"> the </w:t>
      </w:r>
      <w:r w:rsidRPr="001A3D2B">
        <w:t>indication for antibiotics</w:t>
      </w:r>
      <w:r w:rsidR="00A37C1D">
        <w:t>. The</w:t>
      </w:r>
      <w:r w:rsidR="003A1917">
        <w:t xml:space="preserve"> </w:t>
      </w:r>
      <w:r w:rsidRPr="001A3D2B">
        <w:t>North American, French,</w:t>
      </w:r>
      <w:r w:rsidR="005853A9">
        <w:t xml:space="preserve"> and </w:t>
      </w:r>
      <w:r w:rsidRPr="001A3D2B">
        <w:t>Finnish guidelines consider diagnosis</w:t>
      </w:r>
      <w:r w:rsidR="00427468">
        <w:t xml:space="preserve"> of </w:t>
      </w:r>
      <w:r w:rsidRPr="001A3D2B">
        <w:t>group A streptococcus essential,</w:t>
      </w:r>
      <w:r w:rsidR="005853A9">
        <w:t xml:space="preserve"> and </w:t>
      </w:r>
      <w:r w:rsidRPr="001A3D2B">
        <w:t>prevention</w:t>
      </w:r>
      <w:r w:rsidR="00427468">
        <w:t xml:space="preserve"> of </w:t>
      </w:r>
      <w:r w:rsidRPr="001A3D2B">
        <w:t>acute rheumatic fever remains an important reason to prescribe antibiotics. In 4</w:t>
      </w:r>
      <w:r w:rsidR="00427468">
        <w:t xml:space="preserve"> of </w:t>
      </w:r>
      <w:r w:rsidR="003A1917">
        <w:t xml:space="preserve">the </w:t>
      </w:r>
      <w:r w:rsidRPr="001A3D2B">
        <w:t>6 European guidelines, acute sore throat is considered a self-limiting disease</w:t>
      </w:r>
      <w:r w:rsidR="005853A9">
        <w:t xml:space="preserve"> and </w:t>
      </w:r>
      <w:r w:rsidRPr="001A3D2B">
        <w:t>antibiotics are not recommended</w:t>
      </w:r>
      <w:r w:rsidR="00A37C1D">
        <w:t>. The</w:t>
      </w:r>
      <w:r w:rsidR="003A1917">
        <w:t xml:space="preserve"> </w:t>
      </w:r>
      <w:r w:rsidRPr="001A3D2B">
        <w:t>evidence used to underpin these guidelines was different in North America</w:t>
      </w:r>
      <w:r w:rsidR="005853A9">
        <w:t xml:space="preserve"> and </w:t>
      </w:r>
      <w:r w:rsidRPr="001A3D2B">
        <w:t>Europe. North American guidelines cited more North American references than did European guidelines (87.2% vs 48.0%; ods ratio, 4.6-11.9; P &lt;.001). CONCLUSION Although</w:t>
      </w:r>
      <w:r w:rsidR="003A1917">
        <w:t xml:space="preserve"> the </w:t>
      </w:r>
      <w:r w:rsidRPr="001A3D2B">
        <w:t>evidence for</w:t>
      </w:r>
      <w:r w:rsidR="003A1917">
        <w:t xml:space="preserve"> the </w:t>
      </w:r>
      <w:r w:rsidRPr="001A3D2B">
        <w:t>management</w:t>
      </w:r>
      <w:r w:rsidR="00427468">
        <w:t xml:space="preserve"> of </w:t>
      </w:r>
      <w:r w:rsidRPr="001A3D2B">
        <w:t>acute sore throat is easily available, national guidelines are different with regard to</w:t>
      </w:r>
      <w:r w:rsidR="003A1917">
        <w:t xml:space="preserve"> the </w:t>
      </w:r>
      <w:r w:rsidRPr="001A3D2B">
        <w:t>choice</w:t>
      </w:r>
      <w:r w:rsidR="00427468">
        <w:t xml:space="preserve"> of </w:t>
      </w:r>
      <w:r w:rsidRPr="001A3D2B">
        <w:t>evidence</w:t>
      </w:r>
      <w:r w:rsidR="005853A9">
        <w:t xml:space="preserve"> and </w:t>
      </w:r>
      <w:r w:rsidR="003A1917">
        <w:t xml:space="preserve">the </w:t>
      </w:r>
      <w:r w:rsidRPr="001A3D2B">
        <w:t>interpretation for clinical practice. Also a transparent</w:t>
      </w:r>
      <w:r w:rsidR="005853A9">
        <w:t xml:space="preserve"> and </w:t>
      </w:r>
      <w:r w:rsidRPr="001A3D2B">
        <w:t>standardized guideline development method is lacking</w:t>
      </w:r>
      <w:r w:rsidR="00A37C1D">
        <w:t>. The</w:t>
      </w:r>
      <w:r w:rsidRPr="001A3D2B">
        <w:t>se findings are important in</w:t>
      </w:r>
      <w:r w:rsidR="003A1917">
        <w:t xml:space="preserve"> the </w:t>
      </w:r>
      <w:r w:rsidRPr="001A3D2B">
        <w:t>context</w:t>
      </w:r>
      <w:r w:rsidR="00427468">
        <w:t xml:space="preserve"> of </w:t>
      </w:r>
      <w:r w:rsidRPr="001A3D2B">
        <w:t>appropriate antibiotic use,</w:t>
      </w:r>
      <w:r w:rsidR="003A1917">
        <w:t xml:space="preserve"> the </w:t>
      </w:r>
      <w:r w:rsidRPr="001A3D2B">
        <w:t>problem</w:t>
      </w:r>
      <w:r w:rsidR="00427468">
        <w:t xml:space="preserve"> of </w:t>
      </w:r>
      <w:r w:rsidRPr="001A3D2B">
        <w:t>growing antimicrobial resistance,</w:t>
      </w:r>
      <w:r w:rsidR="005853A9">
        <w:t xml:space="preserve"> and </w:t>
      </w:r>
      <w:r w:rsidRPr="001A3D2B">
        <w:t>costs for</w:t>
      </w:r>
      <w:r w:rsidR="003A1917">
        <w:t xml:space="preserve"> the </w:t>
      </w:r>
      <w:r w:rsidRPr="001A3D2B">
        <w:t>community.</w:t>
      </w:r>
    </w:p>
    <w:p w:rsidR="003474F2" w:rsidRPr="001A3D2B" w:rsidRDefault="003474F2" w:rsidP="003474F2">
      <w:pPr>
        <w:pStyle w:val="a3"/>
      </w:pPr>
      <w:r w:rsidRPr="001A3D2B">
        <w:lastRenderedPageBreak/>
        <w:t>Keywords: Acute Rheumatic-Fever, Acute Sore Throat, Antibiotics, Attack Rate, Bibliometric Methods, Clinical-Practice Guidelines, Evidence-Based Medicine, Family Practice, General Population, Glomerulonephritis, Pharyngitis, Practice Guideline [Publication Type], Primary Health Care, Primary-Care, Sore Throat, Streptococcal Pharyngitis, Systematic Reviews</w:t>
      </w:r>
    </w:p>
    <w:p w:rsidR="003474F2" w:rsidRPr="001A3D2B" w:rsidRDefault="003474F2" w:rsidP="003474F2">
      <w:pPr>
        <w:pStyle w:val="a3"/>
      </w:pPr>
      <w:r w:rsidRPr="001A3D2B">
        <w:t>? Richardson, C.R., Newton, T.L., Abraham, J.J., Sen, A., Jimbo, M.</w:t>
      </w:r>
      <w:r w:rsidR="005853A9">
        <w:t xml:space="preserve"> and </w:t>
      </w:r>
      <w:r w:rsidRPr="001A3D2B">
        <w:t>Swartz, A.M. (2008), A meta-analysis</w:t>
      </w:r>
      <w:r w:rsidR="00427468">
        <w:t xml:space="preserve"> of </w:t>
      </w:r>
      <w:r w:rsidRPr="001A3D2B">
        <w:t>pedometer-based walking interventions</w:t>
      </w:r>
      <w:r w:rsidR="005853A9">
        <w:t xml:space="preserve"> and </w:t>
      </w:r>
      <w:r w:rsidRPr="001A3D2B">
        <w:t xml:space="preserve">weight loss. </w:t>
      </w:r>
      <w:r w:rsidRPr="001A3D2B">
        <w:rPr>
          <w:i/>
          <w:iCs/>
        </w:rPr>
        <w:t>Annals</w:t>
      </w:r>
      <w:r w:rsidR="00427468">
        <w:rPr>
          <w:i/>
          <w:iCs/>
        </w:rPr>
        <w:t xml:space="preserve"> of </w:t>
      </w:r>
      <w:r w:rsidRPr="001A3D2B">
        <w:rPr>
          <w:i/>
          <w:iCs/>
        </w:rPr>
        <w:t>Family Medicine</w:t>
      </w:r>
      <w:r w:rsidRPr="001A3D2B">
        <w:t xml:space="preserve">, </w:t>
      </w:r>
      <w:r w:rsidRPr="001A3D2B">
        <w:rPr>
          <w:b/>
          <w:bCs/>
        </w:rPr>
        <w:t>6</w:t>
      </w:r>
      <w:r w:rsidRPr="001A3D2B">
        <w:t xml:space="preserve"> (1), 69-77.</w:t>
      </w:r>
    </w:p>
    <w:p w:rsidR="003474F2" w:rsidRPr="001A3D2B" w:rsidRDefault="003474F2" w:rsidP="003474F2">
      <w:pPr>
        <w:pStyle w:val="a3"/>
      </w:pPr>
      <w:r w:rsidRPr="001A3D2B">
        <w:t>Abstract: PURPOSE: Cross-sectional studies show that individuals who walk more tend to be thinner than those who walk less. This does not mean, however, that</w:t>
      </w:r>
      <w:r w:rsidR="003A1917">
        <w:t xml:space="preserve"> the </w:t>
      </w:r>
      <w:r w:rsidRPr="001A3D2B">
        <w:t>association between higher step counts</w:t>
      </w:r>
      <w:r w:rsidR="005853A9">
        <w:t xml:space="preserve"> and </w:t>
      </w:r>
      <w:r w:rsidRPr="001A3D2B">
        <w:t>lower weight is ca</w:t>
      </w:r>
      <w:r w:rsidR="00D5664A">
        <w:t>USA</w:t>
      </w:r>
      <w:r w:rsidRPr="001A3D2B">
        <w:t>l or that encouraging sedentary individuals to increase step counts helps them lose weight. METHODS: In this meta-analysis, we searched 6 electronic databases</w:t>
      </w:r>
      <w:r w:rsidR="005853A9">
        <w:t xml:space="preserve"> and </w:t>
      </w:r>
      <w:r w:rsidRPr="001A3D2B">
        <w:t>contacted pedometer experts to identify pedometer-based walking studies without a dietary intervention that reported weight change as an outcome. We included randomized controlled trials</w:t>
      </w:r>
      <w:r w:rsidR="005853A9">
        <w:t xml:space="preserve"> and </w:t>
      </w:r>
      <w:r w:rsidRPr="001A3D2B">
        <w:t>prospective cohort studies published after January 1, 1995, in either English or Japanese, with 5 or more adult participants</w:t>
      </w:r>
      <w:r w:rsidR="005853A9">
        <w:t xml:space="preserve"> and </w:t>
      </w:r>
      <w:r w:rsidRPr="001A3D2B">
        <w:t>at least 1 cohort enrolled in a pedometer-based walking intervention lasting at least 4 weeks. RESULTS: Nine studies met</w:t>
      </w:r>
      <w:r w:rsidR="003A1917">
        <w:t xml:space="preserve"> the </w:t>
      </w:r>
      <w:r w:rsidRPr="001A3D2B">
        <w:t>study inclusion criteria. Cohort sample size ranged from 15 to 106, for a total</w:t>
      </w:r>
      <w:r w:rsidR="00427468">
        <w:t xml:space="preserve"> of </w:t>
      </w:r>
      <w:r w:rsidRPr="001A3D2B">
        <w:t>307 participants, 73%</w:t>
      </w:r>
      <w:r w:rsidR="00427468">
        <w:t xml:space="preserve"> of </w:t>
      </w:r>
      <w:r w:rsidRPr="001A3D2B">
        <w:t>whom were women</w:t>
      </w:r>
      <w:r w:rsidR="005853A9">
        <w:t xml:space="preserve"> and </w:t>
      </w:r>
      <w:r w:rsidRPr="001A3D2B">
        <w:t>27%</w:t>
      </w:r>
      <w:r w:rsidR="00427468">
        <w:t xml:space="preserve"> of </w:t>
      </w:r>
      <w:r w:rsidRPr="001A3D2B">
        <w:t>whom were men</w:t>
      </w:r>
      <w:r w:rsidR="00A37C1D">
        <w:t>. The</w:t>
      </w:r>
      <w:r w:rsidR="003A1917">
        <w:t xml:space="preserve"> </w:t>
      </w:r>
      <w:r w:rsidRPr="001A3D2B">
        <w:t>duration</w:t>
      </w:r>
      <w:r w:rsidR="00427468">
        <w:t xml:space="preserve"> of </w:t>
      </w:r>
      <w:r w:rsidR="003A1917">
        <w:t xml:space="preserve">the </w:t>
      </w:r>
      <w:r w:rsidRPr="001A3D2B">
        <w:t>intervention ranged from 4 weeks to 1 year, with a median duration</w:t>
      </w:r>
      <w:r w:rsidR="00427468">
        <w:t xml:space="preserve"> of </w:t>
      </w:r>
      <w:r w:rsidRPr="001A3D2B">
        <w:t>16 weeks</w:t>
      </w:r>
      <w:r w:rsidR="00A37C1D">
        <w:t>. The</w:t>
      </w:r>
      <w:r w:rsidR="003A1917">
        <w:t xml:space="preserve"> </w:t>
      </w:r>
      <w:r w:rsidRPr="001A3D2B">
        <w:t>pooled estimate</w:t>
      </w:r>
      <w:r w:rsidR="00427468">
        <w:t xml:space="preserve"> of </w:t>
      </w:r>
      <w:r w:rsidRPr="001A3D2B">
        <w:t>mean weight change from baseline using a fixed-effects model</w:t>
      </w:r>
      <w:r w:rsidR="005853A9">
        <w:t xml:space="preserve"> and </w:t>
      </w:r>
      <w:r w:rsidRPr="001A3D2B">
        <w:t>combining data from all 9 cohorts was -1.27 kg (95% confidence interval, -1.85 to -0.70 kg). Longer intervention duration was associated with greater weight change. On average, participants lost 0.05 kg per week during</w:t>
      </w:r>
      <w:r w:rsidR="003A1917">
        <w:t xml:space="preserve"> the </w:t>
      </w:r>
      <w:r w:rsidRPr="001A3D2B">
        <w:t>interventions. CONCLUSION: Pedometer-based walking programs result in a modest amount</w:t>
      </w:r>
      <w:r w:rsidR="00427468">
        <w:t xml:space="preserve"> of </w:t>
      </w:r>
      <w:r w:rsidRPr="001A3D2B">
        <w:t>weight loss. Longer programs lead to more weight loss than shorter programs.</w:t>
      </w:r>
    </w:p>
    <w:p w:rsidR="003474F2" w:rsidRPr="001A3D2B" w:rsidRDefault="003474F2" w:rsidP="003474F2">
      <w:pPr>
        <w:pStyle w:val="a3"/>
      </w:pPr>
      <w:r w:rsidRPr="001A3D2B">
        <w:t>Keywords: Adult, Association, Confidence, Criteria, Lead, Men, Meta-Analysis, Model, Randomized Controlled Trials, Sample Size, Size, Women</w:t>
      </w:r>
    </w:p>
    <w:p w:rsidR="008F0FE7" w:rsidRPr="00F219CA" w:rsidRDefault="008F0FE7" w:rsidP="008F0FE7">
      <w:pPr>
        <w:pStyle w:val="1"/>
      </w:pPr>
      <w:r w:rsidRPr="00F219CA">
        <w:rPr>
          <w:lang w:val="en-GB"/>
        </w:rPr>
        <w:br w:type="page"/>
      </w:r>
      <w:bookmarkStart w:id="464" w:name="_Toc420814498"/>
      <w:r w:rsidRPr="00F219CA">
        <w:lastRenderedPageBreak/>
        <w:t xml:space="preserve">Title: </w:t>
      </w:r>
      <w:r w:rsidRPr="001942AC">
        <w:t>Annals</w:t>
      </w:r>
      <w:r w:rsidR="00427468">
        <w:t xml:space="preserve"> of </w:t>
      </w:r>
      <w:r w:rsidRPr="001942AC">
        <w:t>Forest Research</w:t>
      </w:r>
      <w:bookmarkEnd w:id="464"/>
    </w:p>
    <w:p w:rsidR="008F0FE7" w:rsidRPr="00F219CA" w:rsidRDefault="008F0FE7" w:rsidP="008F0FE7">
      <w:pPr>
        <w:pStyle w:val="12"/>
      </w:pPr>
      <w:r w:rsidRPr="00F219CA">
        <w:t xml:space="preserve">Full Journal Title: </w:t>
      </w:r>
      <w:r w:rsidRPr="001942AC">
        <w:rPr>
          <w:iCs/>
          <w:kern w:val="0"/>
        </w:rPr>
        <w:t>Annals</w:t>
      </w:r>
      <w:r w:rsidR="00427468">
        <w:rPr>
          <w:iCs/>
          <w:kern w:val="0"/>
        </w:rPr>
        <w:t xml:space="preserve"> of </w:t>
      </w:r>
      <w:r w:rsidRPr="001942AC">
        <w:rPr>
          <w:iCs/>
          <w:kern w:val="0"/>
        </w:rPr>
        <w:t>Forest Research</w:t>
      </w:r>
    </w:p>
    <w:p w:rsidR="008F0FE7" w:rsidRPr="00F219CA" w:rsidRDefault="008F0FE7" w:rsidP="008F0FE7">
      <w:pPr>
        <w:pStyle w:val="12"/>
      </w:pPr>
      <w:r w:rsidRPr="00F219CA">
        <w:t xml:space="preserve">ISO Abbreviated Title: </w:t>
      </w:r>
    </w:p>
    <w:p w:rsidR="008F0FE7" w:rsidRPr="00F219CA" w:rsidRDefault="008F0FE7" w:rsidP="008F0FE7">
      <w:pPr>
        <w:pStyle w:val="12"/>
      </w:pPr>
      <w:r w:rsidRPr="00F219CA">
        <w:t xml:space="preserve">JCR Abbreviated Title: </w:t>
      </w:r>
    </w:p>
    <w:p w:rsidR="008F0FE7" w:rsidRPr="00F219CA" w:rsidRDefault="008F0FE7" w:rsidP="008F0FE7">
      <w:pPr>
        <w:pStyle w:val="12"/>
      </w:pPr>
      <w:r w:rsidRPr="00F219CA">
        <w:t xml:space="preserve">ISSN: </w:t>
      </w:r>
    </w:p>
    <w:p w:rsidR="008F0FE7" w:rsidRPr="00F219CA" w:rsidRDefault="008F0FE7" w:rsidP="008F0FE7">
      <w:pPr>
        <w:pStyle w:val="12"/>
      </w:pPr>
      <w:r w:rsidRPr="00F219CA">
        <w:t xml:space="preserve">Issues/Year: </w:t>
      </w:r>
    </w:p>
    <w:p w:rsidR="008F0FE7" w:rsidRPr="00F219CA" w:rsidRDefault="008F0FE7" w:rsidP="008F0FE7">
      <w:pPr>
        <w:pStyle w:val="12"/>
      </w:pPr>
      <w:r w:rsidRPr="00F219CA">
        <w:t xml:space="preserve">Journal Country/Territory: </w:t>
      </w:r>
    </w:p>
    <w:p w:rsidR="008F0FE7" w:rsidRPr="00F219CA" w:rsidRDefault="008F0FE7" w:rsidP="008F0FE7">
      <w:pPr>
        <w:pStyle w:val="12"/>
      </w:pPr>
      <w:r w:rsidRPr="00F219CA">
        <w:t xml:space="preserve">Language: </w:t>
      </w:r>
    </w:p>
    <w:p w:rsidR="008F0FE7" w:rsidRPr="00F219CA" w:rsidRDefault="008F0FE7" w:rsidP="008F0FE7">
      <w:pPr>
        <w:pStyle w:val="12"/>
      </w:pPr>
      <w:r w:rsidRPr="00F219CA">
        <w:t xml:space="preserve">Publisher: </w:t>
      </w:r>
    </w:p>
    <w:p w:rsidR="008F0FE7" w:rsidRPr="00F219CA" w:rsidRDefault="008F0FE7" w:rsidP="008F0FE7">
      <w:pPr>
        <w:pStyle w:val="12"/>
      </w:pPr>
      <w:r w:rsidRPr="00F219CA">
        <w:t xml:space="preserve">Publisher Address: </w:t>
      </w:r>
    </w:p>
    <w:p w:rsidR="008F0FE7" w:rsidRPr="00F219CA" w:rsidRDefault="008F0FE7" w:rsidP="008F0FE7">
      <w:pPr>
        <w:pStyle w:val="12"/>
      </w:pPr>
      <w:r w:rsidRPr="00F219CA">
        <w:t>Subject Categories:</w:t>
      </w:r>
    </w:p>
    <w:p w:rsidR="008F0FE7" w:rsidRPr="00F219CA" w:rsidRDefault="008F0FE7" w:rsidP="008F0FE7">
      <w:pPr>
        <w:pStyle w:val="12"/>
      </w:pPr>
      <w:r w:rsidRPr="00F219CA">
        <w:t xml:space="preserve">: Impact Factor </w:t>
      </w:r>
    </w:p>
    <w:p w:rsidR="008F0FE7" w:rsidRDefault="008F0FE7" w:rsidP="008F0FE7">
      <w:pPr>
        <w:pStyle w:val="a3"/>
        <w:rPr>
          <w:kern w:val="0"/>
        </w:rPr>
      </w:pPr>
      <w:r>
        <w:rPr>
          <w:rFonts w:hint="eastAsia"/>
          <w:kern w:val="0"/>
        </w:rPr>
        <w:t xml:space="preserve">? </w:t>
      </w:r>
      <w:r>
        <w:rPr>
          <w:kern w:val="0"/>
        </w:rPr>
        <w:t>Malesios, C.</w:t>
      </w:r>
      <w:r w:rsidR="005853A9">
        <w:rPr>
          <w:kern w:val="0"/>
        </w:rPr>
        <w:t xml:space="preserve"> and </w:t>
      </w:r>
      <w:r>
        <w:rPr>
          <w:kern w:val="0"/>
        </w:rPr>
        <w:t>Arabatzis, G. (2012), An evaluation</w:t>
      </w:r>
      <w:r w:rsidR="00427468">
        <w:rPr>
          <w:kern w:val="0"/>
        </w:rPr>
        <w:t xml:space="preserve"> of </w:t>
      </w:r>
      <w:r>
        <w:rPr>
          <w:kern w:val="0"/>
        </w:rPr>
        <w:t xml:space="preserve">forestry journals using bibliometric indices. </w:t>
      </w:r>
      <w:r w:rsidRPr="001942AC">
        <w:rPr>
          <w:i/>
          <w:iCs/>
          <w:kern w:val="0"/>
        </w:rPr>
        <w:t>Annals</w:t>
      </w:r>
      <w:r w:rsidR="00427468">
        <w:rPr>
          <w:i/>
          <w:iCs/>
          <w:kern w:val="0"/>
        </w:rPr>
        <w:t xml:space="preserve"> of </w:t>
      </w:r>
      <w:r w:rsidRPr="001942AC">
        <w:rPr>
          <w:i/>
          <w:iCs/>
          <w:kern w:val="0"/>
        </w:rPr>
        <w:t>Forest Research</w:t>
      </w:r>
      <w:r>
        <w:rPr>
          <w:kern w:val="0"/>
        </w:rPr>
        <w:t xml:space="preserve">, </w:t>
      </w:r>
      <w:r>
        <w:rPr>
          <w:b/>
          <w:bCs/>
          <w:kern w:val="0"/>
        </w:rPr>
        <w:t>55</w:t>
      </w:r>
      <w:r>
        <w:rPr>
          <w:kern w:val="0"/>
        </w:rPr>
        <w:t xml:space="preserve"> (2), 147-164.</w:t>
      </w:r>
    </w:p>
    <w:p w:rsidR="008F0FE7" w:rsidRDefault="008F0FE7" w:rsidP="008F0FE7">
      <w:pPr>
        <w:pStyle w:val="a3"/>
        <w:rPr>
          <w:kern w:val="0"/>
        </w:rPr>
      </w:pPr>
      <w:r>
        <w:rPr>
          <w:rFonts w:hint="eastAsia"/>
          <w:kern w:val="0"/>
        </w:rPr>
        <w:t xml:space="preserve">Full Text: </w:t>
      </w:r>
      <w:hyperlink r:id="rId846" w:history="1">
        <w:r w:rsidRPr="001942AC">
          <w:rPr>
            <w:rStyle w:val="a5"/>
            <w:kern w:val="0"/>
          </w:rPr>
          <w:t>2012\Ann For Res55, 147.pdf</w:t>
        </w:r>
      </w:hyperlink>
    </w:p>
    <w:p w:rsidR="008F0FE7" w:rsidRDefault="008F0FE7" w:rsidP="008F0FE7">
      <w:pPr>
        <w:pStyle w:val="a3"/>
        <w:rPr>
          <w:kern w:val="0"/>
        </w:rPr>
      </w:pPr>
      <w:r>
        <w:rPr>
          <w:kern w:val="0"/>
        </w:rPr>
        <w:t>Abstract: The increasing number</w:t>
      </w:r>
      <w:r w:rsidR="00427468">
        <w:rPr>
          <w:kern w:val="0"/>
        </w:rPr>
        <w:t xml:space="preserve"> of </w:t>
      </w:r>
      <w:r>
        <w:rPr>
          <w:kern w:val="0"/>
        </w:rPr>
        <w:t xml:space="preserve">scientific journals, especially over the last 20 years, created the need for methodologies based on simple metrics, to accurately capture the </w:t>
      </w:r>
      <w:r w:rsidR="00B5188C">
        <w:rPr>
          <w:kern w:val="0"/>
        </w:rPr>
        <w:t>“</w:t>
      </w:r>
      <w:r>
        <w:rPr>
          <w:kern w:val="0"/>
        </w:rPr>
        <w:t>quality</w:t>
      </w:r>
      <w:r w:rsidR="00B5188C">
        <w:rPr>
          <w:kern w:val="0"/>
        </w:rPr>
        <w:t>”</w:t>
      </w:r>
      <w:r w:rsidR="00427468">
        <w:rPr>
          <w:kern w:val="0"/>
        </w:rPr>
        <w:t xml:space="preserve"> of </w:t>
      </w:r>
      <w:r>
        <w:rPr>
          <w:kern w:val="0"/>
        </w:rPr>
        <w:t>those journals</w:t>
      </w:r>
      <w:r w:rsidR="005853A9">
        <w:rPr>
          <w:kern w:val="0"/>
        </w:rPr>
        <w:t xml:space="preserve"> and </w:t>
      </w:r>
      <w:r>
        <w:rPr>
          <w:kern w:val="0"/>
        </w:rPr>
        <w:t>their impact on the scientific community. Especially in the case</w:t>
      </w:r>
      <w:r w:rsidR="00427468">
        <w:rPr>
          <w:kern w:val="0"/>
        </w:rPr>
        <w:t xml:space="preserve"> of </w:t>
      </w:r>
      <w:r>
        <w:rPr>
          <w:kern w:val="0"/>
        </w:rPr>
        <w:t>journals from the field</w:t>
      </w:r>
      <w:r w:rsidR="00427468">
        <w:rPr>
          <w:kern w:val="0"/>
        </w:rPr>
        <w:t xml:space="preserve"> of </w:t>
      </w:r>
      <w:r>
        <w:rPr>
          <w:kern w:val="0"/>
        </w:rPr>
        <w:t>forestry, relatively little work has been conducted on providing valid journal classifications. In this paper we attempt to assess the impact</w:t>
      </w:r>
      <w:r w:rsidR="00427468">
        <w:rPr>
          <w:kern w:val="0"/>
        </w:rPr>
        <w:t xml:space="preserve"> of </w:t>
      </w:r>
      <w:r>
        <w:rPr>
          <w:kern w:val="0"/>
        </w:rPr>
        <w:t>journals from this field in terms</w:t>
      </w:r>
      <w:r w:rsidR="00427468">
        <w:rPr>
          <w:kern w:val="0"/>
        </w:rPr>
        <w:t xml:space="preserve"> of </w:t>
      </w:r>
      <w:r>
        <w:rPr>
          <w:kern w:val="0"/>
        </w:rPr>
        <w:t xml:space="preserve">bibliometric data. In addition to the already proposed metrics (complementary to the journal </w:t>
      </w:r>
      <w:r w:rsidR="00D5664A">
        <w:rPr>
          <w:kern w:val="0"/>
        </w:rPr>
        <w:t>h-Index</w:t>
      </w:r>
      <w:r>
        <w:rPr>
          <w:kern w:val="0"/>
        </w:rPr>
        <w:t>), we also apply a new measure to rank journals, that provides a more balanced evaluation</w:t>
      </w:r>
      <w:r w:rsidR="00427468">
        <w:rPr>
          <w:kern w:val="0"/>
        </w:rPr>
        <w:t xml:space="preserve"> of </w:t>
      </w:r>
      <w:r>
        <w:rPr>
          <w:kern w:val="0"/>
        </w:rPr>
        <w:t xml:space="preserve">the journal performance, by adjusting for various biases affecting the </w:t>
      </w:r>
      <w:r w:rsidR="00D5664A">
        <w:rPr>
          <w:kern w:val="0"/>
        </w:rPr>
        <w:t>h-Index</w:t>
      </w:r>
      <w:r>
        <w:rPr>
          <w:kern w:val="0"/>
        </w:rPr>
        <w:t>. We examined the relationships between various bibliometric indicators proposed for assessing the journal impact</w:t>
      </w:r>
      <w:r w:rsidR="005853A9">
        <w:rPr>
          <w:kern w:val="0"/>
        </w:rPr>
        <w:t xml:space="preserve"> and </w:t>
      </w:r>
      <w:r>
        <w:rPr>
          <w:kern w:val="0"/>
        </w:rPr>
        <w:t>wo found high correlations between most indices, with only few exceptions. According to citation analysis, Canadian Journal</w:t>
      </w:r>
      <w:r w:rsidR="00427468">
        <w:rPr>
          <w:kern w:val="0"/>
        </w:rPr>
        <w:t xml:space="preserve"> of </w:t>
      </w:r>
      <w:r>
        <w:rPr>
          <w:kern w:val="0"/>
        </w:rPr>
        <w:t>Forest Research, Journal</w:t>
      </w:r>
      <w:r w:rsidR="00427468">
        <w:rPr>
          <w:kern w:val="0"/>
        </w:rPr>
        <w:t xml:space="preserve"> of </w:t>
      </w:r>
      <w:r>
        <w:rPr>
          <w:kern w:val="0"/>
        </w:rPr>
        <w:t>Vegetation Science, Forest Science, Tree Physiology, International Journal</w:t>
      </w:r>
      <w:r w:rsidR="00427468">
        <w:rPr>
          <w:kern w:val="0"/>
        </w:rPr>
        <w:t xml:space="preserve"> of </w:t>
      </w:r>
      <w:r>
        <w:rPr>
          <w:kern w:val="0"/>
        </w:rPr>
        <w:t>Wildland Fire, Holzforschung, Trees-Structure</w:t>
      </w:r>
      <w:r w:rsidR="005853A9">
        <w:rPr>
          <w:kern w:val="0"/>
        </w:rPr>
        <w:t xml:space="preserve"> and </w:t>
      </w:r>
      <w:r>
        <w:rPr>
          <w:kern w:val="0"/>
        </w:rPr>
        <w:t>Function, Silva Fennica, Agricultural</w:t>
      </w:r>
      <w:r w:rsidR="005853A9">
        <w:rPr>
          <w:kern w:val="0"/>
        </w:rPr>
        <w:t xml:space="preserve"> and </w:t>
      </w:r>
      <w:r>
        <w:rPr>
          <w:kern w:val="0"/>
        </w:rPr>
        <w:t>Forest Meteorology</w:t>
      </w:r>
      <w:r w:rsidR="005853A9">
        <w:rPr>
          <w:kern w:val="0"/>
        </w:rPr>
        <w:t xml:space="preserve"> and </w:t>
      </w:r>
      <w:r>
        <w:rPr>
          <w:kern w:val="0"/>
        </w:rPr>
        <w:t>Wood</w:t>
      </w:r>
      <w:r w:rsidR="005853A9">
        <w:rPr>
          <w:kern w:val="0"/>
        </w:rPr>
        <w:t xml:space="preserve"> and </w:t>
      </w:r>
      <w:r>
        <w:rPr>
          <w:kern w:val="0"/>
        </w:rPr>
        <w:t>Fiber Science are the top forestry journals</w:t>
      </w:r>
      <w:r w:rsidR="00A37C1D">
        <w:rPr>
          <w:kern w:val="0"/>
        </w:rPr>
        <w:t>. The</w:t>
      </w:r>
      <w:r>
        <w:rPr>
          <w:kern w:val="0"/>
        </w:rPr>
        <w:t>se publish articles related to all the domains</w:t>
      </w:r>
      <w:r w:rsidR="00427468">
        <w:rPr>
          <w:kern w:val="0"/>
        </w:rPr>
        <w:t xml:space="preserve"> of </w:t>
      </w:r>
      <w:r>
        <w:rPr>
          <w:kern w:val="0"/>
        </w:rPr>
        <w:t>forestry science. More specialized journals are also included, dealing with specific issues</w:t>
      </w:r>
      <w:r w:rsidR="00427468">
        <w:rPr>
          <w:kern w:val="0"/>
        </w:rPr>
        <w:t xml:space="preserve"> of </w:t>
      </w:r>
      <w:r>
        <w:rPr>
          <w:kern w:val="0"/>
        </w:rPr>
        <w:t>scientific interest</w:t>
      </w:r>
      <w:r w:rsidR="005853A9">
        <w:rPr>
          <w:kern w:val="0"/>
        </w:rPr>
        <w:t xml:space="preserve"> and </w:t>
      </w:r>
      <w:r>
        <w:rPr>
          <w:kern w:val="0"/>
        </w:rPr>
        <w:t>also</w:t>
      </w:r>
      <w:r w:rsidR="00427468">
        <w:rPr>
          <w:kern w:val="0"/>
        </w:rPr>
        <w:t xml:space="preserve"> of </w:t>
      </w:r>
      <w:r>
        <w:rPr>
          <w:kern w:val="0"/>
        </w:rPr>
        <w:t>major importance to the scientific community.</w:t>
      </w:r>
    </w:p>
    <w:p w:rsidR="008F0FE7" w:rsidRDefault="008F0FE7" w:rsidP="008F0FE7">
      <w:pPr>
        <w:pStyle w:val="a3"/>
        <w:rPr>
          <w:kern w:val="0"/>
        </w:rPr>
      </w:pPr>
      <w:r>
        <w:rPr>
          <w:kern w:val="0"/>
        </w:rPr>
        <w:t xml:space="preserve">Keywords: Analysis, Assessing, Bibliometric, Bibliometric Indicators, Business, Citation, Citation Analysis, Citation-Based Metrics, Community, Complementary, Correlations, Data, Evaluation, Facts, Field, Forestry, Function, </w:t>
      </w:r>
      <w:r w:rsidR="00D5664A">
        <w:rPr>
          <w:rFonts w:hint="eastAsia"/>
          <w:kern w:val="0"/>
        </w:rPr>
        <w:t>h Index</w:t>
      </w:r>
      <w:r>
        <w:rPr>
          <w:kern w:val="0"/>
        </w:rPr>
        <w:t xml:space="preserve">, </w:t>
      </w:r>
      <w:r w:rsidR="00D5664A">
        <w:rPr>
          <w:rFonts w:hint="eastAsia"/>
          <w:kern w:val="0"/>
        </w:rPr>
        <w:t>h-Index</w:t>
      </w:r>
      <w:r>
        <w:rPr>
          <w:kern w:val="0"/>
        </w:rPr>
        <w:t xml:space="preserve">, </w:t>
      </w:r>
      <w:r w:rsidR="00D5664A">
        <w:rPr>
          <w:rFonts w:hint="eastAsia"/>
          <w:kern w:val="0"/>
        </w:rPr>
        <w:t>h-Index</w:t>
      </w:r>
      <w:r>
        <w:rPr>
          <w:kern w:val="0"/>
        </w:rPr>
        <w:t xml:space="preserve">, Impact, Impact Factor (IF), Impact Factors, Indicators, Indices, Journal, </w:t>
      </w:r>
      <w:r>
        <w:rPr>
          <w:kern w:val="0"/>
        </w:rPr>
        <w:lastRenderedPageBreak/>
        <w:t>Journal Impact, Journals, Measure, Methodologies, Metrics, Output, Performance, Rank, Ranking, Research, Researchers, Science, Scientific Journals, Wood, Work</w:t>
      </w:r>
    </w:p>
    <w:p w:rsidR="005B7074" w:rsidRPr="00F219CA" w:rsidRDefault="005B7074" w:rsidP="005B7074">
      <w:pPr>
        <w:pStyle w:val="1"/>
      </w:pPr>
      <w:r w:rsidRPr="00F219CA">
        <w:rPr>
          <w:lang w:val="en-GB"/>
        </w:rPr>
        <w:br w:type="page"/>
      </w:r>
      <w:bookmarkStart w:id="465" w:name="_Toc420814499"/>
      <w:r w:rsidRPr="00F219CA">
        <w:lastRenderedPageBreak/>
        <w:t xml:space="preserve">Title: </w:t>
      </w:r>
      <w:r w:rsidRPr="004B287A">
        <w:rPr>
          <w:szCs w:val="24"/>
        </w:rPr>
        <w:t>Annals</w:t>
      </w:r>
      <w:r w:rsidR="00427468">
        <w:rPr>
          <w:szCs w:val="24"/>
        </w:rPr>
        <w:t xml:space="preserve"> of </w:t>
      </w:r>
      <w:r w:rsidRPr="004B287A">
        <w:rPr>
          <w:szCs w:val="24"/>
        </w:rPr>
        <w:t>Forest Science</w:t>
      </w:r>
      <w:bookmarkEnd w:id="465"/>
    </w:p>
    <w:p w:rsidR="005B7074" w:rsidRPr="00F219CA" w:rsidRDefault="005B7074" w:rsidP="005B7074">
      <w:pPr>
        <w:pStyle w:val="12"/>
      </w:pPr>
      <w:r w:rsidRPr="00F219CA">
        <w:t xml:space="preserve">Full Journal Title: </w:t>
      </w:r>
      <w:r w:rsidRPr="004B287A">
        <w:rPr>
          <w:iCs/>
          <w:kern w:val="0"/>
        </w:rPr>
        <w:t>Annals</w:t>
      </w:r>
      <w:r w:rsidR="00427468">
        <w:rPr>
          <w:iCs/>
          <w:kern w:val="0"/>
        </w:rPr>
        <w:t xml:space="preserve"> of </w:t>
      </w:r>
      <w:r w:rsidRPr="004B287A">
        <w:rPr>
          <w:iCs/>
          <w:kern w:val="0"/>
        </w:rPr>
        <w:t>Forest Science</w:t>
      </w:r>
    </w:p>
    <w:p w:rsidR="005B7074" w:rsidRPr="00F219CA" w:rsidRDefault="005B7074" w:rsidP="005B7074">
      <w:pPr>
        <w:pStyle w:val="12"/>
      </w:pPr>
      <w:r w:rsidRPr="00F219CA">
        <w:t xml:space="preserve">ISO Abbreviated Title: </w:t>
      </w:r>
    </w:p>
    <w:p w:rsidR="005B7074" w:rsidRPr="00F219CA" w:rsidRDefault="005B7074" w:rsidP="005B7074">
      <w:pPr>
        <w:pStyle w:val="12"/>
      </w:pPr>
      <w:r w:rsidRPr="00F219CA">
        <w:t xml:space="preserve">JCR Abbreviated Title: </w:t>
      </w:r>
    </w:p>
    <w:p w:rsidR="005B7074" w:rsidRPr="00F219CA" w:rsidRDefault="005B7074" w:rsidP="005B7074">
      <w:pPr>
        <w:pStyle w:val="12"/>
      </w:pPr>
      <w:r w:rsidRPr="00F219CA">
        <w:t xml:space="preserve">ISSN: </w:t>
      </w:r>
    </w:p>
    <w:p w:rsidR="005B7074" w:rsidRPr="00F219CA" w:rsidRDefault="005B7074" w:rsidP="005B7074">
      <w:pPr>
        <w:pStyle w:val="12"/>
      </w:pPr>
      <w:r w:rsidRPr="00F219CA">
        <w:t xml:space="preserve">Issues/Year: </w:t>
      </w:r>
    </w:p>
    <w:p w:rsidR="005B7074" w:rsidRPr="00F219CA" w:rsidRDefault="005B7074" w:rsidP="005B7074">
      <w:pPr>
        <w:pStyle w:val="12"/>
      </w:pPr>
      <w:r w:rsidRPr="00F219CA">
        <w:t xml:space="preserve">Journal Country/Territory: </w:t>
      </w:r>
    </w:p>
    <w:p w:rsidR="005B7074" w:rsidRPr="00F219CA" w:rsidRDefault="005B7074" w:rsidP="005B7074">
      <w:pPr>
        <w:pStyle w:val="12"/>
      </w:pPr>
      <w:r w:rsidRPr="00F219CA">
        <w:t xml:space="preserve">Language: </w:t>
      </w:r>
    </w:p>
    <w:p w:rsidR="005B7074" w:rsidRPr="00F219CA" w:rsidRDefault="005B7074" w:rsidP="005B7074">
      <w:pPr>
        <w:pStyle w:val="12"/>
      </w:pPr>
      <w:r w:rsidRPr="00F219CA">
        <w:t xml:space="preserve">Publisher: </w:t>
      </w:r>
    </w:p>
    <w:p w:rsidR="005B7074" w:rsidRPr="00F219CA" w:rsidRDefault="005B7074" w:rsidP="005B7074">
      <w:pPr>
        <w:pStyle w:val="12"/>
      </w:pPr>
      <w:r w:rsidRPr="00F219CA">
        <w:t xml:space="preserve">Publisher Address: </w:t>
      </w:r>
    </w:p>
    <w:p w:rsidR="005B7074" w:rsidRPr="00F219CA" w:rsidRDefault="005B7074" w:rsidP="005B7074">
      <w:pPr>
        <w:pStyle w:val="12"/>
      </w:pPr>
      <w:r w:rsidRPr="00F219CA">
        <w:t>Subject Categories:</w:t>
      </w:r>
    </w:p>
    <w:p w:rsidR="005B7074" w:rsidRPr="00F219CA" w:rsidRDefault="005B7074" w:rsidP="005B7074">
      <w:pPr>
        <w:pStyle w:val="12"/>
      </w:pPr>
      <w:r w:rsidRPr="00F219CA">
        <w:t xml:space="preserve">: Impact Factor </w:t>
      </w:r>
    </w:p>
    <w:p w:rsidR="005B7074" w:rsidRDefault="005B7074" w:rsidP="005B7074">
      <w:pPr>
        <w:pStyle w:val="a3"/>
        <w:rPr>
          <w:kern w:val="0"/>
          <w:szCs w:val="24"/>
        </w:rPr>
      </w:pPr>
      <w:r>
        <w:rPr>
          <w:rFonts w:hint="eastAsia"/>
          <w:kern w:val="0"/>
          <w:szCs w:val="24"/>
        </w:rPr>
        <w:t>Notes: JJournal</w:t>
      </w:r>
    </w:p>
    <w:p w:rsidR="005B7074" w:rsidRDefault="005B7074" w:rsidP="005B7074">
      <w:pPr>
        <w:pStyle w:val="a3"/>
        <w:rPr>
          <w:kern w:val="0"/>
          <w:szCs w:val="24"/>
        </w:rPr>
      </w:pPr>
      <w:r>
        <w:rPr>
          <w:rFonts w:hint="eastAsia"/>
          <w:kern w:val="0"/>
          <w:szCs w:val="24"/>
        </w:rPr>
        <w:t xml:space="preserve">? </w:t>
      </w:r>
      <w:r>
        <w:rPr>
          <w:kern w:val="0"/>
          <w:szCs w:val="24"/>
        </w:rPr>
        <w:t>Dobbertin, M.K.</w:t>
      </w:r>
      <w:r w:rsidR="005853A9">
        <w:rPr>
          <w:kern w:val="0"/>
          <w:szCs w:val="24"/>
        </w:rPr>
        <w:t xml:space="preserve"> and </w:t>
      </w:r>
      <w:r>
        <w:rPr>
          <w:kern w:val="0"/>
          <w:szCs w:val="24"/>
        </w:rPr>
        <w:t xml:space="preserve">Nobis, M.P. (2010), Exploring research issues in selected forest journals 1979-2008. </w:t>
      </w:r>
      <w:r w:rsidRPr="004B287A">
        <w:rPr>
          <w:i/>
          <w:iCs/>
          <w:kern w:val="0"/>
          <w:szCs w:val="24"/>
        </w:rPr>
        <w:t>Annals</w:t>
      </w:r>
      <w:r w:rsidR="00427468">
        <w:rPr>
          <w:i/>
          <w:iCs/>
          <w:kern w:val="0"/>
          <w:szCs w:val="24"/>
        </w:rPr>
        <w:t xml:space="preserve"> of </w:t>
      </w:r>
      <w:r w:rsidRPr="004B287A">
        <w:rPr>
          <w:i/>
          <w:iCs/>
          <w:kern w:val="0"/>
          <w:szCs w:val="24"/>
        </w:rPr>
        <w:t>Forest Science</w:t>
      </w:r>
      <w:r>
        <w:rPr>
          <w:kern w:val="0"/>
          <w:szCs w:val="24"/>
        </w:rPr>
        <w:t xml:space="preserve">, </w:t>
      </w:r>
      <w:r>
        <w:rPr>
          <w:b/>
          <w:bCs/>
          <w:kern w:val="0"/>
          <w:szCs w:val="24"/>
        </w:rPr>
        <w:t>67</w:t>
      </w:r>
      <w:r>
        <w:rPr>
          <w:kern w:val="0"/>
          <w:szCs w:val="24"/>
        </w:rPr>
        <w:t xml:space="preserve"> (8</w:t>
      </w:r>
      <w:r>
        <w:rPr>
          <w:rFonts w:hint="eastAsia"/>
          <w:kern w:val="0"/>
          <w:szCs w:val="24"/>
        </w:rPr>
        <w:t xml:space="preserve">), </w:t>
      </w:r>
      <w:r>
        <w:rPr>
          <w:kern w:val="0"/>
          <w:szCs w:val="24"/>
        </w:rPr>
        <w:t>Article Number: 800.</w:t>
      </w:r>
    </w:p>
    <w:p w:rsidR="005B7074" w:rsidRDefault="005B7074" w:rsidP="005B7074">
      <w:pPr>
        <w:pStyle w:val="a3"/>
        <w:rPr>
          <w:kern w:val="0"/>
          <w:szCs w:val="24"/>
        </w:rPr>
      </w:pPr>
      <w:r>
        <w:rPr>
          <w:rFonts w:hint="eastAsia"/>
          <w:kern w:val="0"/>
          <w:szCs w:val="24"/>
        </w:rPr>
        <w:t xml:space="preserve">Full Text: </w:t>
      </w:r>
      <w:hyperlink r:id="rId847" w:history="1">
        <w:r w:rsidRPr="004B287A">
          <w:rPr>
            <w:rStyle w:val="a5"/>
            <w:kern w:val="0"/>
            <w:szCs w:val="24"/>
          </w:rPr>
          <w:t>2010\Ann For Sci67, 800.pdf</w:t>
        </w:r>
      </w:hyperlink>
    </w:p>
    <w:p w:rsidR="005B7074" w:rsidRDefault="005B7074" w:rsidP="005B7074">
      <w:pPr>
        <w:pStyle w:val="a3"/>
        <w:rPr>
          <w:kern w:val="0"/>
          <w:szCs w:val="24"/>
        </w:rPr>
      </w:pPr>
      <w:r>
        <w:rPr>
          <w:kern w:val="0"/>
          <w:szCs w:val="24"/>
        </w:rPr>
        <w:t>Abstract: Forest science</w:t>
      </w:r>
      <w:r w:rsidR="005853A9">
        <w:rPr>
          <w:kern w:val="0"/>
          <w:szCs w:val="24"/>
        </w:rPr>
        <w:t xml:space="preserve"> and </w:t>
      </w:r>
      <w:r>
        <w:rPr>
          <w:kern w:val="0"/>
          <w:szCs w:val="24"/>
        </w:rPr>
        <w:t>policy have experienced significant changes under</w:t>
      </w:r>
      <w:r w:rsidR="003A1917">
        <w:rPr>
          <w:kern w:val="0"/>
          <w:szCs w:val="24"/>
        </w:rPr>
        <w:t xml:space="preserve"> the </w:t>
      </w:r>
      <w:r>
        <w:rPr>
          <w:kern w:val="0"/>
          <w:szCs w:val="24"/>
        </w:rPr>
        <w:t>pressure</w:t>
      </w:r>
      <w:r w:rsidR="00427468">
        <w:rPr>
          <w:kern w:val="0"/>
          <w:szCs w:val="24"/>
        </w:rPr>
        <w:t xml:space="preserve"> of </w:t>
      </w:r>
      <w:r>
        <w:rPr>
          <w:kern w:val="0"/>
          <w:szCs w:val="24"/>
        </w:rPr>
        <w:t>global change. Assuming that scientific publications mirror contemporary issues, our objective was to verify whether titles</w:t>
      </w:r>
      <w:r w:rsidR="00427468">
        <w:rPr>
          <w:kern w:val="0"/>
          <w:szCs w:val="24"/>
        </w:rPr>
        <w:t xml:space="preserve"> of </w:t>
      </w:r>
      <w:r>
        <w:rPr>
          <w:kern w:val="0"/>
          <w:szCs w:val="24"/>
        </w:rPr>
        <w:t>articles show a temporal trend,</w:t>
      </w:r>
      <w:r w:rsidR="005853A9">
        <w:rPr>
          <w:kern w:val="0"/>
          <w:szCs w:val="24"/>
        </w:rPr>
        <w:t xml:space="preserve"> and </w:t>
      </w:r>
      <w:r>
        <w:rPr>
          <w:kern w:val="0"/>
          <w:szCs w:val="24"/>
        </w:rPr>
        <w:t>whether it coincides with</w:t>
      </w:r>
      <w:r w:rsidR="003A1917">
        <w:rPr>
          <w:kern w:val="0"/>
          <w:szCs w:val="24"/>
        </w:rPr>
        <w:t xml:space="preserve"> the </w:t>
      </w:r>
      <w:r>
        <w:rPr>
          <w:kern w:val="0"/>
          <w:szCs w:val="24"/>
        </w:rPr>
        <w:t xml:space="preserve">new agenda set by sustainable forest management. We used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to collect articles published 1979-2008 in 6 peer-reviewed forest(ry) journals (n = 20 677). We split titles into strings</w:t>
      </w:r>
      <w:r w:rsidR="005853A9">
        <w:rPr>
          <w:kern w:val="0"/>
          <w:szCs w:val="24"/>
        </w:rPr>
        <w:t xml:space="preserve"> and </w:t>
      </w:r>
      <w:r>
        <w:rPr>
          <w:kern w:val="0"/>
          <w:szCs w:val="24"/>
        </w:rPr>
        <w:t>processed them to increase</w:t>
      </w:r>
      <w:r w:rsidR="003A1917">
        <w:rPr>
          <w:kern w:val="0"/>
          <w:szCs w:val="24"/>
        </w:rPr>
        <w:t xml:space="preserve"> the </w:t>
      </w:r>
      <w:r>
        <w:rPr>
          <w:kern w:val="0"/>
          <w:szCs w:val="24"/>
        </w:rPr>
        <w:t>homogeneity</w:t>
      </w:r>
      <w:r w:rsidR="00427468">
        <w:rPr>
          <w:kern w:val="0"/>
          <w:szCs w:val="24"/>
        </w:rPr>
        <w:t xml:space="preserve"> of </w:t>
      </w:r>
      <w:r>
        <w:rPr>
          <w:kern w:val="0"/>
          <w:szCs w:val="24"/>
        </w:rPr>
        <w:t>our sample. We applied principal components analysis (PCA) as an indirect gradient analysis. We also searched titles for words related to</w:t>
      </w:r>
      <w:r w:rsidR="003A1917">
        <w:rPr>
          <w:kern w:val="0"/>
          <w:szCs w:val="24"/>
        </w:rPr>
        <w:t xml:space="preserve"> the </w:t>
      </w:r>
      <w:r>
        <w:rPr>
          <w:kern w:val="0"/>
          <w:szCs w:val="24"/>
        </w:rPr>
        <w:t>social, political</w:t>
      </w:r>
      <w:r w:rsidR="005853A9">
        <w:rPr>
          <w:kern w:val="0"/>
          <w:szCs w:val="24"/>
        </w:rPr>
        <w:t xml:space="preserve"> and </w:t>
      </w:r>
      <w:r>
        <w:rPr>
          <w:kern w:val="0"/>
          <w:szCs w:val="24"/>
        </w:rPr>
        <w:t>economic components</w:t>
      </w:r>
      <w:r w:rsidR="00427468">
        <w:rPr>
          <w:kern w:val="0"/>
          <w:szCs w:val="24"/>
        </w:rPr>
        <w:t xml:space="preserve"> of </w:t>
      </w:r>
      <w:r>
        <w:rPr>
          <w:kern w:val="0"/>
          <w:szCs w:val="24"/>
        </w:rPr>
        <w:t>forestry</w:t>
      </w:r>
      <w:r w:rsidR="00A37C1D">
        <w:rPr>
          <w:kern w:val="0"/>
          <w:szCs w:val="24"/>
        </w:rPr>
        <w:t>. The</w:t>
      </w:r>
      <w:r w:rsidR="003A1917">
        <w:rPr>
          <w:kern w:val="0"/>
          <w:szCs w:val="24"/>
        </w:rPr>
        <w:t xml:space="preserve"> </w:t>
      </w:r>
      <w:r>
        <w:rPr>
          <w:kern w:val="0"/>
          <w:szCs w:val="24"/>
        </w:rPr>
        <w:t>PCA ordination revealed a dominant</w:t>
      </w:r>
      <w:r w:rsidR="005853A9">
        <w:rPr>
          <w:kern w:val="0"/>
          <w:szCs w:val="24"/>
        </w:rPr>
        <w:t xml:space="preserve"> and </w:t>
      </w:r>
      <w:r>
        <w:rPr>
          <w:kern w:val="0"/>
          <w:szCs w:val="24"/>
        </w:rPr>
        <w:t>distinct time gradient in</w:t>
      </w:r>
      <w:r w:rsidR="003A1917">
        <w:rPr>
          <w:kern w:val="0"/>
          <w:szCs w:val="24"/>
        </w:rPr>
        <w:t xml:space="preserve"> the </w:t>
      </w:r>
      <w:r>
        <w:rPr>
          <w:kern w:val="0"/>
          <w:szCs w:val="24"/>
        </w:rPr>
        <w:t>use</w:t>
      </w:r>
      <w:r w:rsidR="00427468">
        <w:rPr>
          <w:kern w:val="0"/>
          <w:szCs w:val="24"/>
        </w:rPr>
        <w:t xml:space="preserve"> of </w:t>
      </w:r>
      <w:r>
        <w:rPr>
          <w:kern w:val="0"/>
          <w:szCs w:val="24"/>
        </w:rPr>
        <w:t>title words in our corpus. A few words have disappeared, but those with a positive trend clearly dominate, reflecting an opening</w:t>
      </w:r>
      <w:r w:rsidR="00427468">
        <w:rPr>
          <w:kern w:val="0"/>
          <w:szCs w:val="24"/>
        </w:rPr>
        <w:t xml:space="preserve"> of </w:t>
      </w:r>
      <w:r>
        <w:rPr>
          <w:kern w:val="0"/>
          <w:szCs w:val="24"/>
        </w:rPr>
        <w:t>forest science towards more process-oriented research, especially in ecology</w:t>
      </w:r>
      <w:r w:rsidR="005853A9">
        <w:rPr>
          <w:kern w:val="0"/>
          <w:szCs w:val="24"/>
        </w:rPr>
        <w:t xml:space="preserve"> and </w:t>
      </w:r>
      <w:r>
        <w:rPr>
          <w:kern w:val="0"/>
          <w:szCs w:val="24"/>
        </w:rPr>
        <w:t>environmental</w:t>
      </w:r>
      <w:r w:rsidR="005853A9">
        <w:rPr>
          <w:kern w:val="0"/>
          <w:szCs w:val="24"/>
        </w:rPr>
        <w:t xml:space="preserve"> and </w:t>
      </w:r>
      <w:r>
        <w:rPr>
          <w:kern w:val="0"/>
          <w:szCs w:val="24"/>
        </w:rPr>
        <w:t>climate change. However, socio-economic aspects are still underrepresented. In our study, titles</w:t>
      </w:r>
      <w:r w:rsidR="00427468">
        <w:rPr>
          <w:kern w:val="0"/>
          <w:szCs w:val="24"/>
        </w:rPr>
        <w:t xml:space="preserve"> of </w:t>
      </w:r>
      <w:r>
        <w:rPr>
          <w:kern w:val="0"/>
          <w:szCs w:val="24"/>
        </w:rPr>
        <w:t>forest(ry) publications increasingly include topics from neighboring natural sciences, but still very few from socio-economic disciplines.</w:t>
      </w:r>
    </w:p>
    <w:p w:rsidR="005B7074" w:rsidRDefault="005B7074" w:rsidP="005B7074">
      <w:pPr>
        <w:pStyle w:val="a3"/>
        <w:rPr>
          <w:kern w:val="0"/>
          <w:szCs w:val="24"/>
        </w:rPr>
      </w:pPr>
      <w:r>
        <w:rPr>
          <w:kern w:val="0"/>
          <w:szCs w:val="24"/>
        </w:rPr>
        <w:t>Keywords: Analysis, Bibliometrics, Climate Change, Ecology, Europe, Forest Research, Global Change, Interface</w:t>
      </w:r>
      <w:r w:rsidR="00D5664A">
        <w:rPr>
          <w:kern w:val="0"/>
          <w:szCs w:val="24"/>
        </w:rPr>
        <w:t>, ISI,</w:t>
      </w:r>
      <w:r>
        <w:rPr>
          <w:kern w:val="0"/>
          <w:szCs w:val="24"/>
        </w:rPr>
        <w:t xml:space="preserve"> Journals, Peer-Reviewed Publications, Pressure, Principal Component Analysis, Publications, Research, Research Trends, Science, Trend, </w:t>
      </w:r>
      <w:r w:rsidR="00D5664A">
        <w:rPr>
          <w:kern w:val="0"/>
          <w:szCs w:val="24"/>
        </w:rPr>
        <w:t>Web</w:t>
      </w:r>
      <w:r w:rsidR="00427468">
        <w:rPr>
          <w:kern w:val="0"/>
          <w:szCs w:val="24"/>
        </w:rPr>
        <w:t xml:space="preserve"> of </w:t>
      </w:r>
      <w:r w:rsidR="00D5664A">
        <w:rPr>
          <w:kern w:val="0"/>
          <w:szCs w:val="24"/>
        </w:rPr>
        <w:t>Science</w:t>
      </w:r>
    </w:p>
    <w:p w:rsidR="00B15525" w:rsidRDefault="00B15525" w:rsidP="00B15525">
      <w:pPr>
        <w:pStyle w:val="a3"/>
        <w:rPr>
          <w:kern w:val="0"/>
          <w:szCs w:val="24"/>
        </w:rPr>
      </w:pPr>
      <w:r>
        <w:rPr>
          <w:kern w:val="0"/>
          <w:szCs w:val="24"/>
        </w:rPr>
        <w:t xml:space="preserve">? Keenan, R.J. (2015), Climate change impacts and adaptation in forest management: A </w:t>
      </w:r>
      <w:r>
        <w:rPr>
          <w:kern w:val="0"/>
          <w:szCs w:val="24"/>
        </w:rPr>
        <w:lastRenderedPageBreak/>
        <w:t xml:space="preserve">review. </w:t>
      </w:r>
      <w:r>
        <w:rPr>
          <w:i/>
          <w:iCs/>
          <w:kern w:val="0"/>
          <w:szCs w:val="24"/>
        </w:rPr>
        <w:t>Annals of Forest Science</w:t>
      </w:r>
      <w:r>
        <w:rPr>
          <w:kern w:val="0"/>
          <w:szCs w:val="24"/>
        </w:rPr>
        <w:t xml:space="preserve">, </w:t>
      </w:r>
      <w:r>
        <w:rPr>
          <w:b/>
          <w:bCs/>
          <w:kern w:val="0"/>
          <w:szCs w:val="24"/>
        </w:rPr>
        <w:t>72</w:t>
      </w:r>
      <w:r>
        <w:rPr>
          <w:kern w:val="0"/>
          <w:szCs w:val="24"/>
        </w:rPr>
        <w:t xml:space="preserve"> (2), 145-167.</w:t>
      </w:r>
    </w:p>
    <w:p w:rsidR="00B15525" w:rsidRDefault="00B15525" w:rsidP="00B15525">
      <w:pPr>
        <w:pStyle w:val="a3"/>
        <w:rPr>
          <w:kern w:val="0"/>
          <w:szCs w:val="24"/>
        </w:rPr>
      </w:pPr>
      <w:r>
        <w:rPr>
          <w:rFonts w:hint="eastAsia"/>
          <w:kern w:val="0"/>
          <w:szCs w:val="24"/>
        </w:rPr>
        <w:t xml:space="preserve">Full Text: </w:t>
      </w:r>
      <w:hyperlink r:id="rId848" w:history="1">
        <w:r w:rsidRPr="001601E9">
          <w:rPr>
            <w:rStyle w:val="a5"/>
            <w:kern w:val="0"/>
            <w:szCs w:val="24"/>
          </w:rPr>
          <w:t>2015\Ann For Sci72, 145.pdf</w:t>
        </w:r>
      </w:hyperlink>
    </w:p>
    <w:p w:rsidR="00B15525" w:rsidRDefault="00B15525" w:rsidP="00B15525">
      <w:pPr>
        <w:pStyle w:val="a3"/>
        <w:rPr>
          <w:kern w:val="0"/>
          <w:szCs w:val="24"/>
        </w:rPr>
      </w:pPr>
      <w:r>
        <w:rPr>
          <w:kern w:val="0"/>
          <w:szCs w:val="24"/>
        </w:rPr>
        <w:t>Abstract: Adaptation of forest management to climate change requires an understanding of the effects of climate on forests, industries and communities; prediction of how these effects might change over time; and incorporation of this knowledge into management decisions. This requires multiple forms of knowledge and new approaches to forest management decisions. Partnerships that integrate researchers from multiple disciplines with forest managers and local actors can build a shared understanding of future challenges and facilitate improved decision making in the face of climate change. Climate change presents significant potential risks to forests and challenges for forest managers. Adaptation to climate change involves monitoring and anticipating change and undertaking actions to avoid the negative consequences and to take advantage of potential benefits of those changes. This paper aimed to review recent research on climate change impacts and management options for adaptation to climate change and to identify key themes for researchers and for forest managers. The study is based on a review of literature on climate change impacts on forests and adaptation options for forest management identified in the Web of Science database, focusing on papers and reports published between 1945 and 2013. One thousand one hundred seventy-two papers were identified in the search, with the vast majority of papers published from 1986 to 2013. Seventy-six percent of papers involved assessment of climate change impacts or the sensitivity or vulnerability of forests to climate change and 11 % (130) considered adaptation. Important themes from the analysis included (i) predicting species and ecosystem responses to future climate, (ii) adaptation actions in forest management, (iii) new approaches and tools for decision making under uncertainty and stronger partnerships between researchers and practitioners and (iv) policy arrangements for adaptation in forest management. Research to support adaptation to climate change is still heavily focused on assessing impacts and vulnerability. However, more refined impact assessments are not necessarily leading to better management decisions. Multi-disciplinary research approaches are emerging that integrate traditional forest ecosystem sciences with social, economic and behavioural sciences to improve decision making. Implementing adaptation options is best achieved by building a shared understanding of future challenges among different institutions, agencies, forest owners and stakeholders. Research-policy-practice partnerships that recognise local management needs and indigenous knowledge and integrate these with climate and ecosystem science can facilitate improved decision making.</w:t>
      </w:r>
    </w:p>
    <w:p w:rsidR="00B15525" w:rsidRDefault="00B15525" w:rsidP="00B15525">
      <w:pPr>
        <w:pStyle w:val="a3"/>
        <w:rPr>
          <w:kern w:val="0"/>
          <w:szCs w:val="24"/>
        </w:rPr>
      </w:pPr>
      <w:r>
        <w:rPr>
          <w:kern w:val="0"/>
          <w:szCs w:val="24"/>
        </w:rPr>
        <w:t xml:space="preserve">Keywords: Adaptation, Adaptive Capacity, Analysis, Assessing, Assessment, Assessments, Benefits, Biodiversity Management, British-Columbia, Building, Change Vulnerability, Changes, Climate, Climate Change, Database, Decision, </w:t>
      </w:r>
      <w:r>
        <w:rPr>
          <w:kern w:val="0"/>
          <w:szCs w:val="24"/>
        </w:rPr>
        <w:lastRenderedPageBreak/>
        <w:t>Decision Making, Decision-Making, Disciplines, Economic, Ecosystem, Effects, Forest, Forest Management, Forests, Forms, From, Global Climate, Impact, Impact Assessments, Impacts, Indigenous Knowledge, Institutions, Knowledge, Literature, Local, Management, Management Options, Mar, Monitoring, Multi-Disciplinary, Multidisciplinary, Needs, Negative, New Approaches, Options, Papers, Partnerships, Policy, Potential, Prediction, Recent, Research, Researchers, Responses, Review, Review Of Literature, Risks, Science, Sciences, Sea-Level Rise, Sensitivity, Social, Species, Stakeholders, Support, Terrestrial Ecosystems, Tree Growth, Tropical Forests, Uncertainty, Understanding, Vulnerability, Web, Web Of Science</w:t>
      </w:r>
    </w:p>
    <w:p w:rsidR="003474F2" w:rsidRPr="001A3D2B" w:rsidRDefault="003474F2" w:rsidP="003474F2">
      <w:pPr>
        <w:pStyle w:val="1"/>
      </w:pPr>
      <w:r w:rsidRPr="001A3D2B">
        <w:rPr>
          <w:lang w:val="en-GB"/>
        </w:rPr>
        <w:br w:type="page"/>
      </w:r>
      <w:bookmarkStart w:id="466" w:name="_Toc420814500"/>
      <w:r w:rsidRPr="001A3D2B">
        <w:lastRenderedPageBreak/>
        <w:t>Title: Annals</w:t>
      </w:r>
      <w:r w:rsidR="00427468">
        <w:t xml:space="preserve"> of </w:t>
      </w:r>
      <w:r w:rsidRPr="001A3D2B">
        <w:t>General Psychiatry</w:t>
      </w:r>
      <w:bookmarkEnd w:id="466"/>
    </w:p>
    <w:p w:rsidR="003474F2" w:rsidRPr="001A3D2B" w:rsidRDefault="003474F2" w:rsidP="003474F2">
      <w:pPr>
        <w:pStyle w:val="12"/>
      </w:pPr>
      <w:r w:rsidRPr="001A3D2B">
        <w:t>Full Journal Title: Annals</w:t>
      </w:r>
      <w:r w:rsidR="00427468">
        <w:t xml:space="preserve"> of </w:t>
      </w:r>
      <w:r w:rsidRPr="001A3D2B">
        <w:t>General Psychiatry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Ann Gen Psychiatry</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Turner, O., Windfuhr, K.</w:t>
      </w:r>
      <w:r w:rsidR="005853A9">
        <w:t xml:space="preserve"> and </w:t>
      </w:r>
      <w:r w:rsidRPr="001A3D2B">
        <w:t xml:space="preserve">Kapur, N. (2007), Suicide in deaf populations: A literature review. </w:t>
      </w:r>
      <w:r w:rsidRPr="001A3D2B">
        <w:rPr>
          <w:i/>
          <w:iCs/>
        </w:rPr>
        <w:t>Annals</w:t>
      </w:r>
      <w:r w:rsidR="00427468">
        <w:rPr>
          <w:i/>
          <w:iCs/>
        </w:rPr>
        <w:t xml:space="preserve"> of </w:t>
      </w:r>
      <w:r w:rsidRPr="001A3D2B">
        <w:rPr>
          <w:i/>
          <w:iCs/>
        </w:rPr>
        <w:t>General Psychiatry</w:t>
      </w:r>
      <w:r w:rsidRPr="001A3D2B">
        <w:t xml:space="preserve">, </w:t>
      </w:r>
      <w:r w:rsidRPr="001A3D2B">
        <w:rPr>
          <w:b/>
          <w:bCs/>
        </w:rPr>
        <w:t>6</w:t>
      </w:r>
      <w:r w:rsidRPr="001A3D2B">
        <w:t>, 26.</w:t>
      </w:r>
    </w:p>
    <w:p w:rsidR="003474F2" w:rsidRPr="001A3D2B" w:rsidRDefault="003474F2" w:rsidP="003474F2">
      <w:pPr>
        <w:pStyle w:val="a3"/>
      </w:pPr>
      <w:r w:rsidRPr="001A3D2B">
        <w:t xml:space="preserve">Full Text: </w:t>
      </w:r>
      <w:hyperlink r:id="rId849" w:history="1">
        <w:r w:rsidRPr="001A3D2B">
          <w:rPr>
            <w:rStyle w:val="a5"/>
          </w:rPr>
          <w:t>2007\Ann Gen Psy6, 26.pdf</w:t>
        </w:r>
      </w:hyperlink>
    </w:p>
    <w:p w:rsidR="003474F2" w:rsidRPr="001A3D2B" w:rsidRDefault="003474F2" w:rsidP="003474F2">
      <w:pPr>
        <w:pStyle w:val="a3"/>
      </w:pPr>
      <w:r w:rsidRPr="001A3D2B">
        <w:t>Abstract:</w:t>
      </w:r>
      <w:r w:rsidR="001E1D98">
        <w:t>Abstract:</w:t>
      </w:r>
      <w:r w:rsidRPr="001A3D2B">
        <w:t xml:space="preserve"> BACKGROUND: Studies have found that deaf individuals have higher rates</w:t>
      </w:r>
      <w:r w:rsidR="00427468">
        <w:t xml:space="preserve"> of </w:t>
      </w:r>
      <w:r w:rsidRPr="001A3D2B">
        <w:t>psychiatric disorder than those who are hearing, while at</w:t>
      </w:r>
      <w:r w:rsidR="003A1917">
        <w:t xml:space="preserve"> the </w:t>
      </w:r>
      <w:r w:rsidRPr="001A3D2B">
        <w:t>same time encountering difficulties in accessing mental health services</w:t>
      </w:r>
      <w:r w:rsidR="00A37C1D">
        <w:t>. The</w:t>
      </w:r>
      <w:r w:rsidRPr="001A3D2B">
        <w:t>se factors might increase</w:t>
      </w:r>
      <w:r w:rsidR="003A1917">
        <w:t xml:space="preserve"> the </w:t>
      </w:r>
      <w:r w:rsidRPr="001A3D2B">
        <w:t>risk</w:t>
      </w:r>
      <w:r w:rsidR="00427468">
        <w:t xml:space="preserve"> of </w:t>
      </w:r>
      <w:r w:rsidRPr="001A3D2B">
        <w:t>suicide. However,</w:t>
      </w:r>
      <w:r w:rsidR="003A1917">
        <w:t xml:space="preserve"> the </w:t>
      </w:r>
      <w:r w:rsidRPr="001A3D2B">
        <w:t>burden</w:t>
      </w:r>
      <w:r w:rsidR="00427468">
        <w:t xml:space="preserve"> of </w:t>
      </w:r>
      <w:r w:rsidRPr="001A3D2B">
        <w:t>suicidal behaviour in deaf people is currently unknown.The aim</w:t>
      </w:r>
      <w:r w:rsidR="00427468">
        <w:t xml:space="preserve"> of </w:t>
      </w:r>
      <w:r w:rsidR="003A1917">
        <w:t xml:space="preserve">the </w:t>
      </w:r>
      <w:r w:rsidRPr="001A3D2B">
        <w:t>present review was to provide a summary</w:t>
      </w:r>
      <w:r w:rsidR="00427468">
        <w:t xml:space="preserve"> of </w:t>
      </w:r>
      <w:r w:rsidRPr="001A3D2B">
        <w:t>literature on suicidal behaviour with specific reference to deaf individuals</w:t>
      </w:r>
      <w:r w:rsidR="00A37C1D">
        <w:t>. The</w:t>
      </w:r>
      <w:r w:rsidR="003A1917">
        <w:t xml:space="preserve"> </w:t>
      </w:r>
      <w:r w:rsidRPr="001A3D2B">
        <w:t>objectives</w:t>
      </w:r>
      <w:r w:rsidR="00427468">
        <w:t xml:space="preserve"> of </w:t>
      </w:r>
      <w:r w:rsidR="003A1917">
        <w:t xml:space="preserve">the </w:t>
      </w:r>
      <w:r w:rsidRPr="001A3D2B">
        <w:t>review were to establish</w:t>
      </w:r>
      <w:r w:rsidR="003A1917">
        <w:t xml:space="preserve"> the </w:t>
      </w:r>
      <w:r w:rsidRPr="001A3D2B">
        <w:t>incidence</w:t>
      </w:r>
      <w:r w:rsidR="005853A9">
        <w:t xml:space="preserve"> and </w:t>
      </w:r>
      <w:r w:rsidRPr="001A3D2B">
        <w:t>prevalence</w:t>
      </w:r>
      <w:r w:rsidR="00427468">
        <w:t xml:space="preserve"> of </w:t>
      </w:r>
      <w:r w:rsidRPr="001A3D2B">
        <w:t>suicidal behaviour in deaf populations; describe risk factors for suicidal behaviour in deaf populations; describe approaches to intervention</w:t>
      </w:r>
      <w:r w:rsidR="005853A9">
        <w:t xml:space="preserve"> and </w:t>
      </w:r>
      <w:r w:rsidRPr="001A3D2B">
        <w:t>suicide prevention that have been used in deaf populations. METHODS: A number</w:t>
      </w:r>
      <w:r w:rsidR="00427468">
        <w:t xml:space="preserve"> of </w:t>
      </w:r>
      <w:r w:rsidRPr="001A3D2B">
        <w:t xml:space="preserve">electronic databases (e.g. </w:t>
      </w:r>
      <w:r w:rsidR="00D5664A">
        <w:t>MEDLINE</w:t>
      </w:r>
      <w:r w:rsidRPr="001A3D2B">
        <w:t xml:space="preserve">, PsycINFO, CINAHL, EMBASE, Dissertation Abstracts International, </w:t>
      </w:r>
      <w:r w:rsidR="00D5664A">
        <w:t>Web</w:t>
      </w:r>
      <w:r w:rsidR="00427468">
        <w:t xml:space="preserve"> of </w:t>
      </w:r>
      <w:r w:rsidR="00D5664A">
        <w:t>Science</w:t>
      </w:r>
      <w:r w:rsidRPr="001A3D2B">
        <w:t>, ComDisDome, ASSIA, Education Sage Full Text, Google Scholar,</w:t>
      </w:r>
      <w:r w:rsidR="005853A9">
        <w:t xml:space="preserve"> and </w:t>
      </w:r>
      <w:r w:rsidR="003A1917">
        <w:t xml:space="preserve">the </w:t>
      </w:r>
      <w:r w:rsidRPr="001A3D2B">
        <w:t>grey literature databases FADE</w:t>
      </w:r>
      <w:r w:rsidR="005853A9">
        <w:t xml:space="preserve"> and </w:t>
      </w:r>
      <w:r w:rsidRPr="001A3D2B">
        <w:t>SIGLE) were explored using a combination</w:t>
      </w:r>
      <w:r w:rsidR="00427468">
        <w:t xml:space="preserve"> of </w:t>
      </w:r>
      <w:r w:rsidRPr="001A3D2B">
        <w:t>key words</w:t>
      </w:r>
      <w:r w:rsidR="005853A9">
        <w:t xml:space="preserve"> and </w:t>
      </w:r>
      <w:r w:rsidRPr="001A3D2B">
        <w:t>medical subject headings as search terms. Reference lists</w:t>
      </w:r>
      <w:r w:rsidR="00427468">
        <w:t xml:space="preserve"> of </w:t>
      </w:r>
      <w:r w:rsidRPr="001A3D2B">
        <w:t>papers were also searched</w:t>
      </w:r>
      <w:r w:rsidR="00A37C1D">
        <w:t>. The</w:t>
      </w:r>
      <w:r w:rsidR="003A1917">
        <w:t xml:space="preserve"> </w:t>
      </w:r>
      <w:r w:rsidRPr="001A3D2B">
        <w:t>Science</w:t>
      </w:r>
      <w:r w:rsidR="005853A9">
        <w:t xml:space="preserve"> and </w:t>
      </w:r>
      <w:r w:rsidRPr="001A3D2B">
        <w:t>Social Sciences Citation Index electronic databases were used to identify studies that had cited key papers. We also contacted experts</w:t>
      </w:r>
      <w:r w:rsidR="005853A9">
        <w:t xml:space="preserve"> and </w:t>
      </w:r>
      <w:r w:rsidRPr="001A3D2B">
        <w:t>organisations with an interest in</w:t>
      </w:r>
      <w:r w:rsidR="003A1917">
        <w:t xml:space="preserve"> the </w:t>
      </w:r>
      <w:r w:rsidRPr="001A3D2B">
        <w:t>field. RESULTS: Very few studies focussed specifically on suicide in deaf populations. Those studies that were included (n = 13) generally involved small</w:t>
      </w:r>
      <w:r w:rsidR="005853A9">
        <w:t xml:space="preserve"> and </w:t>
      </w:r>
      <w:r w:rsidRPr="001A3D2B">
        <w:t>unrepresentative samples</w:t>
      </w:r>
      <w:r w:rsidR="00A37C1D">
        <w:t>. The</w:t>
      </w:r>
      <w:r w:rsidRPr="001A3D2B">
        <w:t>re were limited data on</w:t>
      </w:r>
      <w:r w:rsidR="003A1917">
        <w:t xml:space="preserve"> the </w:t>
      </w:r>
      <w:r w:rsidRPr="001A3D2B">
        <w:t>rate</w:t>
      </w:r>
      <w:r w:rsidR="00427468">
        <w:t xml:space="preserve"> of </w:t>
      </w:r>
      <w:r w:rsidRPr="001A3D2B">
        <w:t>suicidal behaviour in deaf people. One study reported evidence</w:t>
      </w:r>
      <w:r w:rsidR="00427468">
        <w:t xml:space="preserve"> of </w:t>
      </w:r>
      <w:r w:rsidRPr="001A3D2B">
        <w:t>hearing impairment in 0.2%</w:t>
      </w:r>
      <w:r w:rsidR="00427468">
        <w:t xml:space="preserve"> of </w:t>
      </w:r>
      <w:r w:rsidRPr="001A3D2B">
        <w:t xml:space="preserve">all suicide deaths. Another found that individuals with tinnitus seen in </w:t>
      </w:r>
      <w:r w:rsidRPr="001A3D2B">
        <w:lastRenderedPageBreak/>
        <w:t>specialist clinics had an elevated rate</w:t>
      </w:r>
      <w:r w:rsidR="00427468">
        <w:t xml:space="preserve"> of </w:t>
      </w:r>
      <w:r w:rsidRPr="001A3D2B">
        <w:t>suicide compared to</w:t>
      </w:r>
      <w:r w:rsidR="003A1917">
        <w:t xml:space="preserve"> the </w:t>
      </w:r>
      <w:r w:rsidRPr="001A3D2B">
        <w:t>general population</w:t>
      </w:r>
      <w:r w:rsidR="00A37C1D">
        <w:t>. The</w:t>
      </w:r>
      <w:r w:rsidR="003A1917">
        <w:t xml:space="preserve"> </w:t>
      </w:r>
      <w:r w:rsidRPr="001A3D2B">
        <w:t>rates</w:t>
      </w:r>
      <w:r w:rsidR="00427468">
        <w:t xml:space="preserve"> of </w:t>
      </w:r>
      <w:r w:rsidRPr="001A3D2B">
        <w:t>attempted suicide in deaf school</w:t>
      </w:r>
      <w:r w:rsidR="005853A9">
        <w:t xml:space="preserve"> and </w:t>
      </w:r>
      <w:r w:rsidRPr="001A3D2B">
        <w:t>college students during</w:t>
      </w:r>
      <w:r w:rsidR="003A1917">
        <w:t xml:space="preserve"> the </w:t>
      </w:r>
      <w:r w:rsidRPr="001A3D2B">
        <w:t>previous year ranged from 1.7% to 18%, with lifetime rates as high as 30%. Little evidence was found to suggest that risk factors for suicide in deaf people differed systematically from those in</w:t>
      </w:r>
      <w:r w:rsidR="003A1917">
        <w:t xml:space="preserve"> the </w:t>
      </w:r>
      <w:r w:rsidRPr="001A3D2B">
        <w:t>general population. However, studies did report higher levels</w:t>
      </w:r>
      <w:r w:rsidR="00427468">
        <w:t xml:space="preserve"> of </w:t>
      </w:r>
      <w:r w:rsidRPr="001A3D2B">
        <w:t>depression</w:t>
      </w:r>
      <w:r w:rsidR="005853A9">
        <w:t xml:space="preserve"> and </w:t>
      </w:r>
      <w:r w:rsidRPr="001A3D2B">
        <w:t>higher levels</w:t>
      </w:r>
      <w:r w:rsidR="00427468">
        <w:t xml:space="preserve"> of </w:t>
      </w:r>
      <w:r w:rsidRPr="001A3D2B">
        <w:t>perceived risk among deaf individuals than hearing control groups. No firm evidence was found regarding</w:t>
      </w:r>
      <w:r w:rsidR="003A1917">
        <w:t xml:space="preserve"> the </w:t>
      </w:r>
      <w:r w:rsidRPr="001A3D2B">
        <w:t>effectiveness</w:t>
      </w:r>
      <w:r w:rsidR="00427468">
        <w:t xml:space="preserve"> of </w:t>
      </w:r>
      <w:r w:rsidRPr="001A3D2B">
        <w:t>suicide prevention strategies in deaf people, but suggested strategies include developing specific screening tools, training clinical staff, promoting deaf awareness, increasing</w:t>
      </w:r>
      <w:r w:rsidR="003A1917">
        <w:t xml:space="preserve"> the </w:t>
      </w:r>
      <w:r w:rsidRPr="001A3D2B">
        <w:t>availability</w:t>
      </w:r>
      <w:r w:rsidR="00427468">
        <w:t xml:space="preserve"> of </w:t>
      </w:r>
      <w:r w:rsidRPr="001A3D2B">
        <w:t>specialist mental health services for deaf people. CONCLUSION: There is a significant gap in our understanding</w:t>
      </w:r>
      <w:r w:rsidR="00427468">
        <w:t xml:space="preserve"> of </w:t>
      </w:r>
      <w:r w:rsidRPr="001A3D2B">
        <w:t>suicide in deaf populations. Clinicians should be aware</w:t>
      </w:r>
      <w:r w:rsidR="00427468">
        <w:t xml:space="preserve"> of </w:t>
      </w:r>
      <w:r w:rsidR="003A1917">
        <w:t xml:space="preserve">the </w:t>
      </w:r>
      <w:r w:rsidRPr="001A3D2B">
        <w:t>possible association between suicide</w:t>
      </w:r>
      <w:r w:rsidR="005853A9">
        <w:t xml:space="preserve"> and </w:t>
      </w:r>
      <w:r w:rsidRPr="001A3D2B">
        <w:t>deafness. Specialist mental health services should be readily accessible to deaf individuals</w:t>
      </w:r>
      <w:r w:rsidR="005853A9">
        <w:t xml:space="preserve"> and </w:t>
      </w:r>
      <w:r w:rsidRPr="001A3D2B">
        <w:t>specific preventative strategies may be</w:t>
      </w:r>
      <w:r w:rsidR="00427468">
        <w:t xml:space="preserve"> of </w:t>
      </w:r>
      <w:r w:rsidRPr="001A3D2B">
        <w:t>benefit. However, further research using a variety</w:t>
      </w:r>
      <w:r w:rsidR="00427468">
        <w:t xml:space="preserve"> of </w:t>
      </w:r>
      <w:r w:rsidRPr="001A3D2B">
        <w:t>study designs is needed to increase our understanding</w:t>
      </w:r>
      <w:r w:rsidR="00427468">
        <w:t xml:space="preserve"> of </w:t>
      </w:r>
      <w:r w:rsidRPr="001A3D2B">
        <w:t>this issue.</w:t>
      </w:r>
    </w:p>
    <w:p w:rsidR="003474F2" w:rsidRPr="001A3D2B" w:rsidRDefault="003474F2" w:rsidP="003474F2">
      <w:pPr>
        <w:pStyle w:val="a3"/>
      </w:pPr>
      <w:r w:rsidRPr="001A3D2B">
        <w:t xml:space="preserve">Keywords: Association, Availability, Background, Behaviour, Burden, Clinical, College, Control, Control Groups, Data, Databases, Deafness, Depression, Developing, Effectiveness, Evidence, Experts, Field, General, Health, Health Services, Hearing Impairment, Incidence, Intervention, Literature, Literature Review, Medical, Mental Health, Methods, Papers, Population, Populations, Prevalence, Prevention, Psycinfo, Rates, Research, Review, Risk, Risk Factors, Screening, Services, Small, Students, Suicide, Suicide Prevention, Training, Understanding, </w:t>
      </w:r>
      <w:r w:rsidR="00D5664A">
        <w:t>Web</w:t>
      </w:r>
      <w:r w:rsidR="00427468">
        <w:t xml:space="preserve"> of </w:t>
      </w:r>
      <w:r w:rsidR="00D5664A">
        <w:t>Science</w:t>
      </w:r>
    </w:p>
    <w:p w:rsidR="00255930" w:rsidRPr="00F219CA" w:rsidRDefault="00255930" w:rsidP="00255930">
      <w:pPr>
        <w:pStyle w:val="1"/>
      </w:pPr>
      <w:r w:rsidRPr="00F219CA">
        <w:rPr>
          <w:lang w:val="en-GB"/>
        </w:rPr>
        <w:br w:type="page"/>
      </w:r>
      <w:bookmarkStart w:id="467" w:name="_Toc420814501"/>
      <w:r w:rsidRPr="00F219CA">
        <w:lastRenderedPageBreak/>
        <w:t xml:space="preserve">Title: </w:t>
      </w:r>
      <w:r w:rsidRPr="000943BD">
        <w:t>Annals of Hematology</w:t>
      </w:r>
      <w:bookmarkEnd w:id="467"/>
    </w:p>
    <w:p w:rsidR="00255930" w:rsidRPr="00F219CA" w:rsidRDefault="00255930" w:rsidP="00255930">
      <w:pPr>
        <w:pStyle w:val="12"/>
      </w:pPr>
      <w:r w:rsidRPr="00F219CA">
        <w:t xml:space="preserve">Full Journal Title: </w:t>
      </w:r>
      <w:r w:rsidRPr="000943BD">
        <w:rPr>
          <w:iCs/>
        </w:rPr>
        <w:t>Annals of Hematology</w:t>
      </w:r>
    </w:p>
    <w:p w:rsidR="00255930" w:rsidRPr="00F219CA" w:rsidRDefault="00255930" w:rsidP="00255930">
      <w:pPr>
        <w:pStyle w:val="12"/>
      </w:pPr>
      <w:r w:rsidRPr="00F219CA">
        <w:t xml:space="preserve">ISO Abbreviated Title: </w:t>
      </w:r>
    </w:p>
    <w:p w:rsidR="00255930" w:rsidRPr="00F219CA" w:rsidRDefault="00255930" w:rsidP="00255930">
      <w:pPr>
        <w:pStyle w:val="12"/>
      </w:pPr>
      <w:r>
        <w:t xml:space="preserve">JCR Abbreviated Title: </w:t>
      </w:r>
    </w:p>
    <w:p w:rsidR="00255930" w:rsidRPr="00F219CA" w:rsidRDefault="00255930" w:rsidP="00255930">
      <w:pPr>
        <w:pStyle w:val="12"/>
      </w:pPr>
      <w:r w:rsidRPr="00F219CA">
        <w:t xml:space="preserve">ISSN: </w:t>
      </w:r>
    </w:p>
    <w:p w:rsidR="00255930" w:rsidRPr="00F219CA" w:rsidRDefault="00255930" w:rsidP="00255930">
      <w:pPr>
        <w:pStyle w:val="12"/>
      </w:pPr>
      <w:r w:rsidRPr="00F219CA">
        <w:t xml:space="preserve">Issues/Year: </w:t>
      </w:r>
    </w:p>
    <w:p w:rsidR="00255930" w:rsidRPr="00F219CA" w:rsidRDefault="00255930" w:rsidP="00255930">
      <w:pPr>
        <w:pStyle w:val="12"/>
      </w:pPr>
      <w:r w:rsidRPr="00F219CA">
        <w:t xml:space="preserve">Journal Country/Territory: </w:t>
      </w:r>
    </w:p>
    <w:p w:rsidR="00255930" w:rsidRPr="00F219CA" w:rsidRDefault="00255930" w:rsidP="00255930">
      <w:pPr>
        <w:pStyle w:val="12"/>
      </w:pPr>
      <w:r w:rsidRPr="00F219CA">
        <w:t xml:space="preserve">Language: </w:t>
      </w:r>
    </w:p>
    <w:p w:rsidR="00255930" w:rsidRPr="00F219CA" w:rsidRDefault="00255930" w:rsidP="00255930">
      <w:pPr>
        <w:pStyle w:val="12"/>
      </w:pPr>
      <w:r w:rsidRPr="00F219CA">
        <w:t xml:space="preserve">Publisher: </w:t>
      </w:r>
    </w:p>
    <w:p w:rsidR="00255930" w:rsidRPr="00F219CA" w:rsidRDefault="00255930" w:rsidP="00255930">
      <w:pPr>
        <w:pStyle w:val="12"/>
      </w:pPr>
      <w:r w:rsidRPr="00F219CA">
        <w:t xml:space="preserve">Publisher Address: </w:t>
      </w:r>
    </w:p>
    <w:p w:rsidR="00255930" w:rsidRPr="00F219CA" w:rsidRDefault="00255930" w:rsidP="00255930">
      <w:pPr>
        <w:pStyle w:val="12"/>
      </w:pPr>
      <w:r w:rsidRPr="00F219CA">
        <w:t>Subject Categories:</w:t>
      </w:r>
    </w:p>
    <w:p w:rsidR="00255930" w:rsidRPr="00F219CA" w:rsidRDefault="00255930" w:rsidP="00255930">
      <w:pPr>
        <w:pStyle w:val="12"/>
      </w:pPr>
      <w:r w:rsidRPr="00F219CA">
        <w:t xml:space="preserve">: Impact Factor </w:t>
      </w:r>
    </w:p>
    <w:p w:rsidR="00255930" w:rsidRDefault="00255930" w:rsidP="00255930">
      <w:pPr>
        <w:pStyle w:val="a3"/>
      </w:pPr>
      <w:r>
        <w:rPr>
          <w:rFonts w:hint="eastAsia"/>
        </w:rPr>
        <w:t xml:space="preserve">? </w:t>
      </w:r>
      <w:r>
        <w:t xml:space="preserve">Yang, Y.N., Wang, X.R., Zhao, C.X., Wang, C. and Qin, Y.W. (2015), Prognostic significance of diagnosed WT1 level in acute myeloid leukemia: A meta-analysis. </w:t>
      </w:r>
      <w:r w:rsidRPr="000943BD">
        <w:rPr>
          <w:i/>
          <w:iCs/>
        </w:rPr>
        <w:t>Annals of Hematology</w:t>
      </w:r>
      <w:r>
        <w:t xml:space="preserve">, </w:t>
      </w:r>
      <w:r>
        <w:rPr>
          <w:b/>
          <w:bCs/>
        </w:rPr>
        <w:t>94</w:t>
      </w:r>
      <w:r>
        <w:t xml:space="preserve"> (6), 929-938.</w:t>
      </w:r>
    </w:p>
    <w:p w:rsidR="00255930" w:rsidRDefault="00255930" w:rsidP="00255930">
      <w:pPr>
        <w:pStyle w:val="a3"/>
      </w:pPr>
      <w:r>
        <w:rPr>
          <w:rFonts w:hint="eastAsia"/>
        </w:rPr>
        <w:t>Full Text:</w:t>
      </w:r>
      <w:r w:rsidRPr="00517370">
        <w:rPr>
          <w:rFonts w:hint="eastAsia"/>
        </w:rPr>
        <w:t xml:space="preserve"> </w:t>
      </w:r>
      <w:hyperlink r:id="rId850" w:history="1">
        <w:r w:rsidRPr="000943BD">
          <w:rPr>
            <w:rStyle w:val="a5"/>
          </w:rPr>
          <w:t>2015\Ann Hem94, 929.pdf</w:t>
        </w:r>
      </w:hyperlink>
    </w:p>
    <w:p w:rsidR="00255930" w:rsidRDefault="00255930" w:rsidP="00255930">
      <w:pPr>
        <w:pStyle w:val="a3"/>
      </w:pPr>
      <w:r>
        <w:t>Abstract: The Wilms’ tumor 1 (WT1) expression has been recognized in a substantial number of acute myeloid leukemia (AML) patients. Some studies indicated the association of diagnosed WT1 higher expression (WT1(H)) and poor outcome in the AML patients, while other studies had different opinions. Therefore, we performed a meta-analysis to evaluate the controversial prognostic significance of diagnosed WT1(H) in AML. Eligible studies were identified from several databases including PubMed, Embase, Web of Science, and the Cochrane Library (up to September 2014). The primary end point was overall survival (OS) and disease-free survival (DFS) was chosen as secondary end point. If possible, we would pool estimate effects (hazard ratio [HR] with 95 % confidence interval [CI]) of outcomes in both fixed and random effects models. Eleven studies, covering 1497 AML patients, were included in this meta-analysis. Pooled HRs indicated that diagnosed WT1(H) had a poor impact on the survival of AML patients (HR for OS, 1.37; HR for DFS, 1.38). Furthermore, diagnosed WT1(H) appeared to be an adverse prognostic indicator in adult AML (HR for OS, 1.43; HR for DFS, 1.41) and non-promyelocytic AML (non-M3 AML) (HR for OS, 1.46; HR for DFS, 1.41). Diagnosed WT1(H) had slightly but significantly poor prognostic impact on OS and DFS of patients with AML in total population and some specific subgroups.</w:t>
      </w:r>
    </w:p>
    <w:p w:rsidR="00255930" w:rsidRDefault="00255930" w:rsidP="00255930">
      <w:pPr>
        <w:pStyle w:val="a3"/>
      </w:pPr>
      <w:r>
        <w:t xml:space="preserve">Keywords: Acute Myeloid Leukemia, Adult, Association, Bone-Marrow, Confidence, Databases, Effects, Expression, Hazard, Impact, Indicator, Interval, Leukemia, Marker, Messenger-Rna, Meta-Analysis, Metaanalysis, Minimal Residual Disease, </w:t>
      </w:r>
      <w:r>
        <w:lastRenderedPageBreak/>
        <w:t>Models, Opinions, Outcome, Outcomes, Patients, Pcr, Population, Predicts, Primary, Prognosis, Prognostic, Pubmed, Science, Significance, Single Nucleotide Polymorphism, Survival, Time, Tumor, Web Of Science, Wilms’ Tumor 1, Wilms-Tumor Gene</w:t>
      </w:r>
    </w:p>
    <w:p w:rsidR="00CA6DB2" w:rsidRPr="00F219CA" w:rsidRDefault="00CA6DB2" w:rsidP="00CA6DB2">
      <w:pPr>
        <w:pStyle w:val="1"/>
      </w:pPr>
      <w:r w:rsidRPr="00F219CA">
        <w:rPr>
          <w:lang w:val="en-GB"/>
        </w:rPr>
        <w:br w:type="page"/>
      </w:r>
      <w:bookmarkStart w:id="468" w:name="_Toc420814502"/>
      <w:r w:rsidRPr="00F219CA">
        <w:lastRenderedPageBreak/>
        <w:t xml:space="preserve">Title: </w:t>
      </w:r>
      <w:r w:rsidRPr="00CA6DB2">
        <w:rPr>
          <w:iCs w:val="0"/>
        </w:rPr>
        <w:t>Annals</w:t>
      </w:r>
      <w:r w:rsidR="00427468">
        <w:rPr>
          <w:iCs w:val="0"/>
        </w:rPr>
        <w:t xml:space="preserve"> of </w:t>
      </w:r>
      <w:r w:rsidRPr="00CA6DB2">
        <w:rPr>
          <w:iCs w:val="0"/>
        </w:rPr>
        <w:t>Hepatology</w:t>
      </w:r>
      <w:bookmarkEnd w:id="468"/>
    </w:p>
    <w:p w:rsidR="00CA6DB2" w:rsidRPr="00F219CA" w:rsidRDefault="00CA6DB2" w:rsidP="00CA6DB2">
      <w:pPr>
        <w:pStyle w:val="12"/>
      </w:pPr>
      <w:r w:rsidRPr="00F219CA">
        <w:t xml:space="preserve">Full Journal Title: </w:t>
      </w:r>
      <w:r w:rsidRPr="00CA6DB2">
        <w:rPr>
          <w:iCs/>
          <w:kern w:val="0"/>
        </w:rPr>
        <w:t>Annals</w:t>
      </w:r>
      <w:r w:rsidR="00427468">
        <w:rPr>
          <w:iCs/>
          <w:kern w:val="0"/>
        </w:rPr>
        <w:t xml:space="preserve"> of </w:t>
      </w:r>
      <w:r w:rsidRPr="00CA6DB2">
        <w:rPr>
          <w:iCs/>
          <w:kern w:val="0"/>
        </w:rPr>
        <w:t>Hepatology</w:t>
      </w:r>
    </w:p>
    <w:p w:rsidR="00CA6DB2" w:rsidRPr="00F219CA" w:rsidRDefault="00CA6DB2" w:rsidP="00CA6DB2">
      <w:pPr>
        <w:pStyle w:val="12"/>
      </w:pPr>
      <w:r w:rsidRPr="00F219CA">
        <w:t xml:space="preserve">ISO Abbreviated Title: </w:t>
      </w:r>
    </w:p>
    <w:p w:rsidR="00CA6DB2" w:rsidRPr="00F219CA" w:rsidRDefault="00CA6DB2" w:rsidP="00CA6DB2">
      <w:pPr>
        <w:pStyle w:val="12"/>
      </w:pPr>
      <w:r>
        <w:t xml:space="preserve">JCR Abbreviated Title: </w:t>
      </w:r>
    </w:p>
    <w:p w:rsidR="00CA6DB2" w:rsidRPr="00F219CA" w:rsidRDefault="00CA6DB2" w:rsidP="00CA6DB2">
      <w:pPr>
        <w:pStyle w:val="12"/>
      </w:pPr>
      <w:r w:rsidRPr="00F219CA">
        <w:t xml:space="preserve">ISSN: </w:t>
      </w:r>
    </w:p>
    <w:p w:rsidR="00CA6DB2" w:rsidRPr="00F219CA" w:rsidRDefault="00CA6DB2" w:rsidP="00CA6DB2">
      <w:pPr>
        <w:pStyle w:val="12"/>
      </w:pPr>
      <w:r w:rsidRPr="00F219CA">
        <w:t xml:space="preserve">Issues/Year: </w:t>
      </w:r>
    </w:p>
    <w:p w:rsidR="00CA6DB2" w:rsidRPr="00F219CA" w:rsidRDefault="00CA6DB2" w:rsidP="00CA6DB2">
      <w:pPr>
        <w:pStyle w:val="12"/>
      </w:pPr>
      <w:r w:rsidRPr="00F219CA">
        <w:t xml:space="preserve">Journal Country/Territory: </w:t>
      </w:r>
    </w:p>
    <w:p w:rsidR="00CA6DB2" w:rsidRPr="00F219CA" w:rsidRDefault="00CA6DB2" w:rsidP="00CA6DB2">
      <w:pPr>
        <w:pStyle w:val="12"/>
      </w:pPr>
      <w:r w:rsidRPr="00F219CA">
        <w:t xml:space="preserve">Language: </w:t>
      </w:r>
    </w:p>
    <w:p w:rsidR="00CA6DB2" w:rsidRPr="00F219CA" w:rsidRDefault="00CA6DB2" w:rsidP="00CA6DB2">
      <w:pPr>
        <w:pStyle w:val="12"/>
      </w:pPr>
      <w:r w:rsidRPr="00F219CA">
        <w:t xml:space="preserve">Publisher: </w:t>
      </w:r>
    </w:p>
    <w:p w:rsidR="00CA6DB2" w:rsidRPr="00F219CA" w:rsidRDefault="00CA6DB2" w:rsidP="00CA6DB2">
      <w:pPr>
        <w:pStyle w:val="12"/>
      </w:pPr>
      <w:r w:rsidRPr="00F219CA">
        <w:t xml:space="preserve">Publisher Address: </w:t>
      </w:r>
    </w:p>
    <w:p w:rsidR="00CA6DB2" w:rsidRPr="00F219CA" w:rsidRDefault="00CA6DB2" w:rsidP="00CA6DB2">
      <w:pPr>
        <w:pStyle w:val="12"/>
      </w:pPr>
      <w:r w:rsidRPr="00F219CA">
        <w:t>Subject Categories:</w:t>
      </w:r>
    </w:p>
    <w:p w:rsidR="00CA6DB2" w:rsidRPr="00F219CA" w:rsidRDefault="00CA6DB2" w:rsidP="00CA6DB2">
      <w:pPr>
        <w:pStyle w:val="12"/>
      </w:pPr>
      <w:r w:rsidRPr="00F219CA">
        <w:t xml:space="preserve">: Impact Factor </w:t>
      </w:r>
    </w:p>
    <w:p w:rsidR="00CA6DB2" w:rsidRDefault="00CA6DB2" w:rsidP="00CA6DB2">
      <w:pPr>
        <w:pStyle w:val="a3"/>
        <w:rPr>
          <w:kern w:val="0"/>
        </w:rPr>
      </w:pPr>
      <w:r>
        <w:rPr>
          <w:kern w:val="0"/>
        </w:rPr>
        <w:t>? Jiang, Q., Jiang, G., Shi, K.Q., Cai, H., Wang, Y.X. and Zheng, M.H. (2013), Oral Acetyl-L-Carnitine treatment in hepatic encephalopathy: View</w:t>
      </w:r>
      <w:r w:rsidR="00427468">
        <w:rPr>
          <w:kern w:val="0"/>
        </w:rPr>
        <w:t xml:space="preserve"> of </w:t>
      </w:r>
      <w:r>
        <w:rPr>
          <w:kern w:val="0"/>
        </w:rPr>
        <w:t xml:space="preserve">evidence-based medicine. </w:t>
      </w:r>
      <w:r w:rsidRPr="00CA6DB2">
        <w:rPr>
          <w:i/>
          <w:iCs/>
          <w:kern w:val="0"/>
        </w:rPr>
        <w:t>Annals</w:t>
      </w:r>
      <w:r w:rsidR="00427468">
        <w:rPr>
          <w:i/>
          <w:iCs/>
          <w:kern w:val="0"/>
        </w:rPr>
        <w:t xml:space="preserve"> of </w:t>
      </w:r>
      <w:r w:rsidRPr="00CA6DB2">
        <w:rPr>
          <w:i/>
          <w:iCs/>
          <w:kern w:val="0"/>
        </w:rPr>
        <w:t>Hepatology</w:t>
      </w:r>
      <w:r>
        <w:rPr>
          <w:kern w:val="0"/>
        </w:rPr>
        <w:t xml:space="preserve">, </w:t>
      </w:r>
      <w:r>
        <w:rPr>
          <w:b/>
          <w:bCs/>
          <w:kern w:val="0"/>
        </w:rPr>
        <w:t>12</w:t>
      </w:r>
      <w:r>
        <w:rPr>
          <w:kern w:val="0"/>
        </w:rPr>
        <w:t xml:space="preserve"> (5), 803-809.</w:t>
      </w:r>
    </w:p>
    <w:p w:rsidR="00CA6DB2" w:rsidRDefault="00CA6DB2" w:rsidP="00CA6DB2">
      <w:pPr>
        <w:pStyle w:val="a3"/>
        <w:rPr>
          <w:kern w:val="0"/>
        </w:rPr>
      </w:pPr>
      <w:r>
        <w:rPr>
          <w:rFonts w:hint="eastAsia"/>
          <w:kern w:val="0"/>
        </w:rPr>
        <w:t xml:space="preserve">Full Text: </w:t>
      </w:r>
      <w:hyperlink r:id="rId851" w:history="1">
        <w:r w:rsidRPr="00CA6DB2">
          <w:rPr>
            <w:rStyle w:val="a5"/>
            <w:kern w:val="0"/>
          </w:rPr>
          <w:t>2013\Ann Hep12, 803.pdf</w:t>
        </w:r>
      </w:hyperlink>
    </w:p>
    <w:p w:rsidR="00CA6DB2" w:rsidRDefault="00CA6DB2" w:rsidP="00CA6DB2">
      <w:pPr>
        <w:pStyle w:val="a3"/>
        <w:rPr>
          <w:kern w:val="0"/>
        </w:rPr>
      </w:pPr>
      <w:r>
        <w:rPr>
          <w:kern w:val="0"/>
        </w:rPr>
        <w:t>Abstract: Objective. To systematically review the effect</w:t>
      </w:r>
      <w:r w:rsidR="00427468">
        <w:rPr>
          <w:kern w:val="0"/>
        </w:rPr>
        <w:t xml:space="preserve"> of </w:t>
      </w:r>
      <w:r>
        <w:rPr>
          <w:kern w:val="0"/>
        </w:rPr>
        <w:t>Acetyl-L-Carnitine in patients with hepatic encephalopathy. Material and methods. Design: systematic review and meta-analysis. Data sources: The Cochrane Library, MEDLINE, EMBASE.com, Science Citation Index, Google search and the China Biological Medicine Database to June 2012. Review methods: randomized placebo controlled trials</w:t>
      </w:r>
      <w:r w:rsidR="00427468">
        <w:rPr>
          <w:kern w:val="0"/>
        </w:rPr>
        <w:t xml:space="preserve"> of </w:t>
      </w:r>
      <w:r>
        <w:rPr>
          <w:kern w:val="0"/>
        </w:rPr>
        <w:t>Acetyl-L-Carnitine in patients with hepatic encephalopathy assessing whether Acetyl-L-Carnitine an effective therapy or not. No language restrictions were applied. Two reviewers independently extracted data and assessed quality. Results. 7 methodologically sound randomized controlled trials were identified involving 660 participants with hepatic encephalopathy, totaling 249 with subclinical hepatic encephalopathy, 189 with West Haven grade 1, 162 with West Haven grade 2 and 60 with West Haven grade 3. Acetyl-L-Carnitine was effective to improve serum ammonia level (weighted mean difference 25.90, 95% confidence intervals 20.89 to 30.91, P &lt; 0.05) and the number connection test completion time (weighted mean difference 16.62, 95% confidence intervals 9.88 to 23.36, P &lt; 0.05)</w:t>
      </w:r>
      <w:r w:rsidR="00A37C1D">
        <w:rPr>
          <w:kern w:val="0"/>
        </w:rPr>
        <w:t>. The</w:t>
      </w:r>
      <w:r>
        <w:rPr>
          <w:kern w:val="0"/>
        </w:rPr>
        <w:t xml:space="preserve"> outcome was consistent in subgroup analyses. No publication bias was detected. Adverse events were reported infrequently and were minor. Conclusions. Acetyl-L-Carnitine is promising as an effective and tolerable treatment for hepatic encephalopathy that associated with improved serum ammonia levels and the number connection test.</w:t>
      </w:r>
    </w:p>
    <w:p w:rsidR="00CA6DB2" w:rsidRDefault="00CA6DB2" w:rsidP="00CA6DB2">
      <w:pPr>
        <w:pStyle w:val="a3"/>
        <w:rPr>
          <w:kern w:val="0"/>
        </w:rPr>
      </w:pPr>
      <w:r>
        <w:rPr>
          <w:kern w:val="0"/>
        </w:rPr>
        <w:t xml:space="preserve">Keywords: Ammonia, Analyses, Assessing, Bias, China, Citation, Confidence, Confidence Intervals, Data, Database, Design, Encephalopathy, Events, Evidence </w:t>
      </w:r>
      <w:r>
        <w:rPr>
          <w:kern w:val="0"/>
        </w:rPr>
        <w:lastRenderedPageBreak/>
        <w:t>Based, Evidence Based Medicine, Evidence-Based, Evidence-Based Medicine, Google, Hepatic Encephalopathy, Intervals, Language, Medicine, Medline, Meta Analysis, Meta-Analysis, Metaanalysis, Methods, Minor, Outcome, P, Patients, Placebo, Publication, Publication Bias, Quality, Randomized, Randomized Controlled Trials, Restrictions, Results, Review, Science, Science Citation Index, Serum, Sound, Sources, Systematic Review, Therapy, Treatment</w:t>
      </w:r>
    </w:p>
    <w:p w:rsidR="007A11D6" w:rsidRPr="00F219CA" w:rsidRDefault="007A11D6" w:rsidP="007A11D6">
      <w:pPr>
        <w:pStyle w:val="1"/>
      </w:pPr>
      <w:r w:rsidRPr="00F219CA">
        <w:rPr>
          <w:lang w:val="en-GB"/>
        </w:rPr>
        <w:br w:type="page"/>
      </w:r>
      <w:bookmarkStart w:id="469" w:name="_Toc420814503"/>
      <w:r w:rsidRPr="00F219CA">
        <w:lastRenderedPageBreak/>
        <w:t xml:space="preserve">Title: </w:t>
      </w:r>
      <w:r w:rsidRPr="007A11D6">
        <w:t>Annals of Human Genetics</w:t>
      </w:r>
      <w:bookmarkEnd w:id="469"/>
    </w:p>
    <w:p w:rsidR="007A11D6" w:rsidRPr="00F219CA" w:rsidRDefault="007A11D6" w:rsidP="007A11D6">
      <w:pPr>
        <w:pStyle w:val="12"/>
      </w:pPr>
      <w:r w:rsidRPr="00F219CA">
        <w:t xml:space="preserve">Full Journal Title: </w:t>
      </w:r>
      <w:r w:rsidRPr="007A11D6">
        <w:rPr>
          <w:iCs/>
          <w:kern w:val="0"/>
        </w:rPr>
        <w:t>Annals of Human Genetics</w:t>
      </w:r>
    </w:p>
    <w:p w:rsidR="007A11D6" w:rsidRPr="00F219CA" w:rsidRDefault="007A11D6" w:rsidP="007A11D6">
      <w:pPr>
        <w:pStyle w:val="12"/>
      </w:pPr>
      <w:r w:rsidRPr="00F219CA">
        <w:t xml:space="preserve">ISO Abbreviated Title: </w:t>
      </w:r>
    </w:p>
    <w:p w:rsidR="007A11D6" w:rsidRPr="00F219CA" w:rsidRDefault="007A11D6" w:rsidP="007A11D6">
      <w:pPr>
        <w:pStyle w:val="12"/>
      </w:pPr>
      <w:r>
        <w:t xml:space="preserve">JCR Abbreviated Title: </w:t>
      </w:r>
    </w:p>
    <w:p w:rsidR="007A11D6" w:rsidRPr="00F219CA" w:rsidRDefault="007A11D6" w:rsidP="007A11D6">
      <w:pPr>
        <w:pStyle w:val="12"/>
      </w:pPr>
      <w:r w:rsidRPr="00F219CA">
        <w:t xml:space="preserve">ISSN: </w:t>
      </w:r>
    </w:p>
    <w:p w:rsidR="007A11D6" w:rsidRPr="00F219CA" w:rsidRDefault="007A11D6" w:rsidP="007A11D6">
      <w:pPr>
        <w:pStyle w:val="12"/>
      </w:pPr>
      <w:r w:rsidRPr="00F219CA">
        <w:t xml:space="preserve">Issues/Year: </w:t>
      </w:r>
    </w:p>
    <w:p w:rsidR="007A11D6" w:rsidRPr="00F219CA" w:rsidRDefault="007A11D6" w:rsidP="007A11D6">
      <w:pPr>
        <w:pStyle w:val="12"/>
      </w:pPr>
      <w:r w:rsidRPr="00F219CA">
        <w:t xml:space="preserve">Journal Country/Territory: </w:t>
      </w:r>
    </w:p>
    <w:p w:rsidR="007A11D6" w:rsidRPr="00F219CA" w:rsidRDefault="007A11D6" w:rsidP="007A11D6">
      <w:pPr>
        <w:pStyle w:val="12"/>
      </w:pPr>
      <w:r w:rsidRPr="00F219CA">
        <w:t xml:space="preserve">Language: </w:t>
      </w:r>
    </w:p>
    <w:p w:rsidR="007A11D6" w:rsidRPr="00F219CA" w:rsidRDefault="007A11D6" w:rsidP="007A11D6">
      <w:pPr>
        <w:pStyle w:val="12"/>
      </w:pPr>
      <w:r w:rsidRPr="00F219CA">
        <w:t xml:space="preserve">Publisher: </w:t>
      </w:r>
    </w:p>
    <w:p w:rsidR="007A11D6" w:rsidRPr="00F219CA" w:rsidRDefault="007A11D6" w:rsidP="007A11D6">
      <w:pPr>
        <w:pStyle w:val="12"/>
      </w:pPr>
      <w:r w:rsidRPr="00F219CA">
        <w:t xml:space="preserve">Publisher Address: </w:t>
      </w:r>
    </w:p>
    <w:p w:rsidR="007A11D6" w:rsidRPr="00F219CA" w:rsidRDefault="007A11D6" w:rsidP="007A11D6">
      <w:pPr>
        <w:pStyle w:val="12"/>
      </w:pPr>
      <w:r w:rsidRPr="00F219CA">
        <w:t>Subject Categories:</w:t>
      </w:r>
    </w:p>
    <w:p w:rsidR="007A11D6" w:rsidRPr="00F219CA" w:rsidRDefault="007A11D6" w:rsidP="007A11D6">
      <w:pPr>
        <w:pStyle w:val="12"/>
      </w:pPr>
      <w:r w:rsidRPr="00F219CA">
        <w:t xml:space="preserve">: Impact Factor </w:t>
      </w:r>
    </w:p>
    <w:p w:rsidR="007A11D6" w:rsidRDefault="007A11D6" w:rsidP="007A11D6">
      <w:pPr>
        <w:pStyle w:val="a3"/>
        <w:rPr>
          <w:kern w:val="0"/>
        </w:rPr>
      </w:pPr>
      <w:r>
        <w:rPr>
          <w:rFonts w:hint="eastAsia"/>
          <w:kern w:val="0"/>
        </w:rPr>
        <w:t xml:space="preserve">? </w:t>
      </w:r>
      <w:r>
        <w:rPr>
          <w:kern w:val="0"/>
        </w:rPr>
        <w:t xml:space="preserve">Fan, S.L., Li, X., Chen, S.J. and Qi, G.X. (2014), ABCA1 rs4149313 polymorphism and susceptibility to coronary heart disease: A meta-analysis. </w:t>
      </w:r>
      <w:r w:rsidRPr="007A11D6">
        <w:rPr>
          <w:i/>
          <w:iCs/>
          <w:kern w:val="0"/>
        </w:rPr>
        <w:t>Annals of Human Genetics</w:t>
      </w:r>
      <w:r>
        <w:rPr>
          <w:kern w:val="0"/>
        </w:rPr>
        <w:t xml:space="preserve">, </w:t>
      </w:r>
      <w:r>
        <w:rPr>
          <w:b/>
          <w:bCs/>
          <w:kern w:val="0"/>
        </w:rPr>
        <w:t>78</w:t>
      </w:r>
      <w:r>
        <w:rPr>
          <w:kern w:val="0"/>
        </w:rPr>
        <w:t xml:space="preserve"> (4), 264-276.</w:t>
      </w:r>
    </w:p>
    <w:p w:rsidR="007A11D6" w:rsidRDefault="007A11D6" w:rsidP="007A11D6">
      <w:pPr>
        <w:pStyle w:val="a3"/>
        <w:rPr>
          <w:kern w:val="0"/>
        </w:rPr>
      </w:pPr>
      <w:r>
        <w:rPr>
          <w:rFonts w:hint="eastAsia"/>
          <w:kern w:val="0"/>
        </w:rPr>
        <w:t xml:space="preserve">Full Text: </w:t>
      </w:r>
      <w:hyperlink r:id="rId852" w:history="1">
        <w:r w:rsidRPr="007A11D6">
          <w:rPr>
            <w:rStyle w:val="a5"/>
            <w:kern w:val="0"/>
          </w:rPr>
          <w:t>2014\Ann Hum Gen78, 264.pdf</w:t>
        </w:r>
      </w:hyperlink>
    </w:p>
    <w:p w:rsidR="007A11D6" w:rsidRDefault="007A11D6" w:rsidP="007A11D6">
      <w:pPr>
        <w:pStyle w:val="a3"/>
        <w:rPr>
          <w:kern w:val="0"/>
        </w:rPr>
      </w:pPr>
      <w:r>
        <w:rPr>
          <w:kern w:val="0"/>
        </w:rPr>
        <w:t>Abstract: Many existing studies have demonstrated that common polymorphisms in the ABCA1 gene may play important roles in the development and progression of coronary heart disease (CHD), but individually published results are inconclusive. This meta-analysis aimed to derive a more precise estimation of the relationship between the ABCA1 rs4149313 polymorphism and CHD risk. We searched the CISCOM, CINAHL, Web of Science, PubMed, Google Scholar, EBSCO, Cochrane Library, and CBM databases from inception through 1 September 2013. Meta-analysis was performed using the STATA 12.0 software. Odds ratios (OR) and their 95% confidence intervals (CI) were estimated. Eleven case-control studies were included with a total of 5416 CHD patients and 20,897 healthy controls. Our meta-analysis results revealed that the ABCA1 rs4149313 polymorphism may be associated with an increased risk of CHD. Subgroup analysis by ethnicity suggested that there were significant associations between the ABCA1 rs4149313 polymorphism and an increased risk of CHD in Asian populations, but not in Caucasian populations (all P &gt; 0.05). Meta-regression analyses showed that ethnicity may be a main source of heterogeneity. The present meta-analysis suggests that the ABCA1 rs4149313 polymorphism may contribute to the risk of CHD, especially in Asian populations.</w:t>
      </w:r>
    </w:p>
    <w:p w:rsidR="007A11D6" w:rsidRDefault="007A11D6" w:rsidP="007A11D6">
      <w:pPr>
        <w:pStyle w:val="a3"/>
        <w:rPr>
          <w:kern w:val="0"/>
        </w:rPr>
      </w:pPr>
      <w:r>
        <w:rPr>
          <w:kern w:val="0"/>
        </w:rPr>
        <w:t xml:space="preserve">Keywords: Abca1, Analyses, Analysis, Artery-Disease, Asian, Association, Atp-Binding Cassette, Cardiovascular-Disease, Case-Control, Case-Control Studies, Caucasian, Cholesterol, Confidence, Confidence Intervals, Coronary Heart Disease, </w:t>
      </w:r>
      <w:r>
        <w:rPr>
          <w:kern w:val="0"/>
        </w:rPr>
        <w:lastRenderedPageBreak/>
        <w:t>Databases, Development, Disease, Ethnicity, Gene, Gene Polymorphisms, Google, Google Scholar, Heart, Heterogeneity, High-Density-Lipoprotein, Intervals, Meta Analysis, Meta-Analysis, Meta-Regression, Metaanalysis, Myocardial-Infarction, P, Patients, Polymorphism, Polymorphisms, Populations, Progression, Pubmed, Risk, Science, Software, Source, Susceptibility, Transporter A1, Web Of Science</w:t>
      </w:r>
    </w:p>
    <w:p w:rsidR="00B836C7" w:rsidRPr="00F219CA" w:rsidRDefault="00B836C7" w:rsidP="00B836C7">
      <w:pPr>
        <w:pStyle w:val="1"/>
      </w:pPr>
      <w:r w:rsidRPr="00F219CA">
        <w:rPr>
          <w:lang w:val="en-GB"/>
        </w:rPr>
        <w:br w:type="page"/>
      </w:r>
      <w:bookmarkStart w:id="470" w:name="_Toc420814504"/>
      <w:r w:rsidRPr="00F219CA">
        <w:lastRenderedPageBreak/>
        <w:t xml:space="preserve">Title: </w:t>
      </w:r>
      <w:r w:rsidRPr="00995991">
        <w:t>Annals</w:t>
      </w:r>
      <w:r w:rsidR="00427468">
        <w:t xml:space="preserve"> of </w:t>
      </w:r>
      <w:r w:rsidRPr="00995991">
        <w:t>Indian Academy</w:t>
      </w:r>
      <w:r w:rsidR="00427468">
        <w:t xml:space="preserve"> of </w:t>
      </w:r>
      <w:r w:rsidRPr="00995991">
        <w:t>Neurology</w:t>
      </w:r>
      <w:bookmarkEnd w:id="470"/>
    </w:p>
    <w:p w:rsidR="00B836C7" w:rsidRPr="00F219CA" w:rsidRDefault="00B836C7" w:rsidP="00B836C7">
      <w:pPr>
        <w:pStyle w:val="12"/>
      </w:pPr>
      <w:r w:rsidRPr="00F219CA">
        <w:t xml:space="preserve">Full Journal Title: </w:t>
      </w:r>
      <w:r w:rsidRPr="00995991">
        <w:rPr>
          <w:iCs/>
          <w:kern w:val="0"/>
        </w:rPr>
        <w:t>Annals</w:t>
      </w:r>
      <w:r w:rsidR="00427468">
        <w:rPr>
          <w:iCs/>
          <w:kern w:val="0"/>
        </w:rPr>
        <w:t xml:space="preserve"> of </w:t>
      </w:r>
      <w:r w:rsidRPr="00995991">
        <w:rPr>
          <w:iCs/>
          <w:kern w:val="0"/>
        </w:rPr>
        <w:t>Indian Academy</w:t>
      </w:r>
      <w:r w:rsidR="00427468">
        <w:rPr>
          <w:iCs/>
          <w:kern w:val="0"/>
        </w:rPr>
        <w:t xml:space="preserve"> of </w:t>
      </w:r>
      <w:r w:rsidRPr="00995991">
        <w:rPr>
          <w:iCs/>
          <w:kern w:val="0"/>
        </w:rPr>
        <w:t>Neurology</w:t>
      </w:r>
    </w:p>
    <w:p w:rsidR="00B836C7" w:rsidRPr="00F219CA" w:rsidRDefault="00B836C7" w:rsidP="00B836C7">
      <w:pPr>
        <w:pStyle w:val="12"/>
      </w:pPr>
      <w:r w:rsidRPr="00F219CA">
        <w:t xml:space="preserve">ISO Abbreviated Title: </w:t>
      </w:r>
    </w:p>
    <w:p w:rsidR="00B836C7" w:rsidRPr="00F219CA" w:rsidRDefault="00B836C7" w:rsidP="00B836C7">
      <w:pPr>
        <w:pStyle w:val="12"/>
      </w:pPr>
      <w:r>
        <w:t xml:space="preserve">JCR Abbreviated Title: </w:t>
      </w:r>
    </w:p>
    <w:p w:rsidR="00B836C7" w:rsidRPr="00F219CA" w:rsidRDefault="00B836C7" w:rsidP="00B836C7">
      <w:pPr>
        <w:pStyle w:val="12"/>
      </w:pPr>
      <w:r w:rsidRPr="00F219CA">
        <w:t xml:space="preserve">ISSN: </w:t>
      </w:r>
    </w:p>
    <w:p w:rsidR="00B836C7" w:rsidRPr="00F219CA" w:rsidRDefault="00B836C7" w:rsidP="00B836C7">
      <w:pPr>
        <w:pStyle w:val="12"/>
      </w:pPr>
      <w:r w:rsidRPr="00F219CA">
        <w:t xml:space="preserve">Issues/Year: </w:t>
      </w:r>
    </w:p>
    <w:p w:rsidR="00B836C7" w:rsidRPr="00F219CA" w:rsidRDefault="00B836C7" w:rsidP="00B836C7">
      <w:pPr>
        <w:pStyle w:val="12"/>
      </w:pPr>
      <w:r w:rsidRPr="00F219CA">
        <w:t xml:space="preserve">Journal Country/Territory: </w:t>
      </w:r>
    </w:p>
    <w:p w:rsidR="00B836C7" w:rsidRPr="00F219CA" w:rsidRDefault="00B836C7" w:rsidP="00B836C7">
      <w:pPr>
        <w:pStyle w:val="12"/>
      </w:pPr>
      <w:r w:rsidRPr="00F219CA">
        <w:t xml:space="preserve">Language: </w:t>
      </w:r>
    </w:p>
    <w:p w:rsidR="00B836C7" w:rsidRPr="00F219CA" w:rsidRDefault="00B836C7" w:rsidP="00B836C7">
      <w:pPr>
        <w:pStyle w:val="12"/>
      </w:pPr>
      <w:r w:rsidRPr="00F219CA">
        <w:t xml:space="preserve">Publisher: </w:t>
      </w:r>
    </w:p>
    <w:p w:rsidR="00B836C7" w:rsidRPr="00F219CA" w:rsidRDefault="00B836C7" w:rsidP="00B836C7">
      <w:pPr>
        <w:pStyle w:val="12"/>
      </w:pPr>
      <w:r w:rsidRPr="00F219CA">
        <w:t xml:space="preserve">Publisher Address: </w:t>
      </w:r>
    </w:p>
    <w:p w:rsidR="00B836C7" w:rsidRPr="00F219CA" w:rsidRDefault="00B836C7" w:rsidP="00B836C7">
      <w:pPr>
        <w:pStyle w:val="12"/>
      </w:pPr>
      <w:r w:rsidRPr="00F219CA">
        <w:t>Subject Categories:</w:t>
      </w:r>
    </w:p>
    <w:p w:rsidR="00B836C7" w:rsidRPr="00F219CA" w:rsidRDefault="00B836C7" w:rsidP="00B836C7">
      <w:pPr>
        <w:pStyle w:val="12"/>
      </w:pPr>
      <w:r w:rsidRPr="00F219CA">
        <w:t xml:space="preserve">: Impact Factor </w:t>
      </w:r>
    </w:p>
    <w:p w:rsidR="00B836C7" w:rsidRDefault="00B836C7" w:rsidP="00B836C7">
      <w:pPr>
        <w:pStyle w:val="a3"/>
        <w:rPr>
          <w:kern w:val="0"/>
        </w:rPr>
      </w:pPr>
      <w:r>
        <w:rPr>
          <w:rFonts w:hint="eastAsia"/>
          <w:kern w:val="0"/>
        </w:rPr>
        <w:t xml:space="preserve">? </w:t>
      </w:r>
      <w:r>
        <w:rPr>
          <w:kern w:val="0"/>
        </w:rPr>
        <w:t>Kumar, K.V.S.H.</w:t>
      </w:r>
      <w:r w:rsidR="005853A9">
        <w:rPr>
          <w:kern w:val="0"/>
        </w:rPr>
        <w:t xml:space="preserve"> and </w:t>
      </w:r>
      <w:r>
        <w:rPr>
          <w:kern w:val="0"/>
        </w:rPr>
        <w:t>Aravinda, K. (2012), Publication trends</w:t>
      </w:r>
      <w:r w:rsidR="00427468">
        <w:rPr>
          <w:kern w:val="0"/>
        </w:rPr>
        <w:t xml:space="preserve"> of </w:t>
      </w:r>
      <w:r>
        <w:rPr>
          <w:kern w:val="0"/>
        </w:rPr>
        <w:t xml:space="preserve">neurology articles in a biomedical journal from India. </w:t>
      </w:r>
      <w:r w:rsidRPr="00995991">
        <w:rPr>
          <w:i/>
          <w:iCs/>
          <w:kern w:val="0"/>
        </w:rPr>
        <w:t>Annals</w:t>
      </w:r>
      <w:r w:rsidR="00427468">
        <w:rPr>
          <w:i/>
          <w:iCs/>
          <w:kern w:val="0"/>
        </w:rPr>
        <w:t xml:space="preserve"> of </w:t>
      </w:r>
      <w:r w:rsidRPr="00995991">
        <w:rPr>
          <w:i/>
          <w:iCs/>
          <w:kern w:val="0"/>
        </w:rPr>
        <w:t>Indian Academy</w:t>
      </w:r>
      <w:r w:rsidR="00427468">
        <w:rPr>
          <w:i/>
          <w:iCs/>
          <w:kern w:val="0"/>
        </w:rPr>
        <w:t xml:space="preserve"> of </w:t>
      </w:r>
      <w:r w:rsidRPr="00995991">
        <w:rPr>
          <w:i/>
          <w:iCs/>
          <w:kern w:val="0"/>
        </w:rPr>
        <w:t>Neurology</w:t>
      </w:r>
      <w:r>
        <w:rPr>
          <w:kern w:val="0"/>
        </w:rPr>
        <w:t xml:space="preserve">, </w:t>
      </w:r>
      <w:r>
        <w:rPr>
          <w:b/>
          <w:bCs/>
          <w:kern w:val="0"/>
        </w:rPr>
        <w:t>15</w:t>
      </w:r>
      <w:r>
        <w:rPr>
          <w:kern w:val="0"/>
        </w:rPr>
        <w:t xml:space="preserve"> (3), 170-174.</w:t>
      </w:r>
    </w:p>
    <w:p w:rsidR="00B836C7" w:rsidRPr="001A3D2B" w:rsidRDefault="00B836C7" w:rsidP="00B836C7">
      <w:pPr>
        <w:pStyle w:val="a3"/>
      </w:pPr>
      <w:r>
        <w:rPr>
          <w:rFonts w:hint="eastAsia"/>
        </w:rPr>
        <w:t xml:space="preserve">Full Text: </w:t>
      </w:r>
      <w:hyperlink r:id="rId853" w:history="1">
        <w:r w:rsidRPr="00995991">
          <w:rPr>
            <w:rStyle w:val="a5"/>
          </w:rPr>
          <w:t>2012\Ann Ind Aca Neu15, 170.pdf</w:t>
        </w:r>
      </w:hyperlink>
    </w:p>
    <w:p w:rsidR="00B836C7" w:rsidRDefault="00B836C7" w:rsidP="00B836C7">
      <w:pPr>
        <w:pStyle w:val="a3"/>
        <w:rPr>
          <w:kern w:val="0"/>
        </w:rPr>
      </w:pPr>
      <w:r>
        <w:rPr>
          <w:kern w:val="0"/>
        </w:rPr>
        <w:t>Abstract: Background:</w:t>
      </w:r>
      <w:r w:rsidR="003A1917">
        <w:rPr>
          <w:kern w:val="0"/>
        </w:rPr>
        <w:t xml:space="preserve"> the </w:t>
      </w:r>
      <w:r>
        <w:rPr>
          <w:kern w:val="0"/>
        </w:rPr>
        <w:t>details about</w:t>
      </w:r>
      <w:r w:rsidR="003A1917">
        <w:rPr>
          <w:kern w:val="0"/>
        </w:rPr>
        <w:t xml:space="preserve"> the </w:t>
      </w:r>
      <w:r>
        <w:rPr>
          <w:kern w:val="0"/>
        </w:rPr>
        <w:t>research productivity in</w:t>
      </w:r>
      <w:r w:rsidR="003A1917">
        <w:rPr>
          <w:kern w:val="0"/>
        </w:rPr>
        <w:t xml:space="preserve"> the </w:t>
      </w:r>
      <w:r>
        <w:rPr>
          <w:kern w:val="0"/>
        </w:rPr>
        <w:t>neurology specialty from India is lacking. We analyzed</w:t>
      </w:r>
      <w:r w:rsidR="003A1917">
        <w:rPr>
          <w:kern w:val="0"/>
        </w:rPr>
        <w:t xml:space="preserve"> the </w:t>
      </w:r>
      <w:r>
        <w:rPr>
          <w:kern w:val="0"/>
        </w:rPr>
        <w:t>publishing trends</w:t>
      </w:r>
      <w:r w:rsidR="005853A9">
        <w:rPr>
          <w:kern w:val="0"/>
        </w:rPr>
        <w:t xml:space="preserve"> and </w:t>
      </w:r>
      <w:r w:rsidR="003A1917">
        <w:rPr>
          <w:kern w:val="0"/>
        </w:rPr>
        <w:t xml:space="preserve">the </w:t>
      </w:r>
      <w:r>
        <w:rPr>
          <w:kern w:val="0"/>
        </w:rPr>
        <w:t>research productivity</w:t>
      </w:r>
      <w:r w:rsidR="00427468">
        <w:rPr>
          <w:kern w:val="0"/>
        </w:rPr>
        <w:t xml:space="preserve"> of </w:t>
      </w:r>
      <w:r>
        <w:rPr>
          <w:kern w:val="0"/>
        </w:rPr>
        <w:t>neurology-related articles in</w:t>
      </w:r>
      <w:r w:rsidR="003A1917">
        <w:rPr>
          <w:kern w:val="0"/>
        </w:rPr>
        <w:t xml:space="preserve"> the </w:t>
      </w:r>
      <w:r>
        <w:rPr>
          <w:kern w:val="0"/>
        </w:rPr>
        <w:t>Journal</w:t>
      </w:r>
      <w:r w:rsidR="00427468">
        <w:rPr>
          <w:kern w:val="0"/>
        </w:rPr>
        <w:t xml:space="preserve"> of </w:t>
      </w:r>
      <w:r w:rsidR="003A1917">
        <w:rPr>
          <w:kern w:val="0"/>
        </w:rPr>
        <w:t xml:space="preserve">the </w:t>
      </w:r>
      <w:r>
        <w:rPr>
          <w:kern w:val="0"/>
        </w:rPr>
        <w:t>Association</w:t>
      </w:r>
      <w:r w:rsidR="00427468">
        <w:rPr>
          <w:kern w:val="0"/>
        </w:rPr>
        <w:t xml:space="preserve"> of </w:t>
      </w:r>
      <w:r>
        <w:rPr>
          <w:kern w:val="0"/>
        </w:rPr>
        <w:t>Physicians</w:t>
      </w:r>
      <w:r w:rsidR="00427468">
        <w:rPr>
          <w:kern w:val="0"/>
        </w:rPr>
        <w:t xml:space="preserve"> of </w:t>
      </w:r>
      <w:r>
        <w:rPr>
          <w:kern w:val="0"/>
        </w:rPr>
        <w:t>India (JAPI). Materials</w:t>
      </w:r>
      <w:r w:rsidR="005853A9">
        <w:rPr>
          <w:kern w:val="0"/>
        </w:rPr>
        <w:t xml:space="preserve"> and </w:t>
      </w:r>
      <w:r>
        <w:rPr>
          <w:kern w:val="0"/>
        </w:rPr>
        <w:t>Methods: We carried</w:t>
      </w:r>
      <w:r w:rsidR="003A1917">
        <w:rPr>
          <w:kern w:val="0"/>
        </w:rPr>
        <w:t xml:space="preserve"> the </w:t>
      </w:r>
      <w:r>
        <w:rPr>
          <w:kern w:val="0"/>
        </w:rPr>
        <w:t>bibliometric analysis</w:t>
      </w:r>
      <w:r w:rsidR="00427468">
        <w:rPr>
          <w:kern w:val="0"/>
        </w:rPr>
        <w:t xml:space="preserve"> of </w:t>
      </w:r>
      <w:r>
        <w:rPr>
          <w:kern w:val="0"/>
        </w:rPr>
        <w:t>articles related to neurology specialty from JAPI published between 2000</w:t>
      </w:r>
      <w:r w:rsidR="005853A9">
        <w:rPr>
          <w:kern w:val="0"/>
        </w:rPr>
        <w:t xml:space="preserve"> and </w:t>
      </w:r>
      <w:r>
        <w:rPr>
          <w:kern w:val="0"/>
        </w:rPr>
        <w:t>2011. Data were derived from</w:t>
      </w:r>
      <w:r w:rsidR="003A1917">
        <w:rPr>
          <w:kern w:val="0"/>
        </w:rPr>
        <w:t xml:space="preserve"> the </w:t>
      </w:r>
      <w:r>
        <w:rPr>
          <w:kern w:val="0"/>
        </w:rPr>
        <w:t>journals website</w:t>
      </w:r>
      <w:r w:rsidR="005853A9">
        <w:rPr>
          <w:kern w:val="0"/>
        </w:rPr>
        <w:t xml:space="preserve"> and </w:t>
      </w:r>
      <w:r w:rsidR="003A1917">
        <w:rPr>
          <w:kern w:val="0"/>
        </w:rPr>
        <w:t xml:space="preserve">the </w:t>
      </w:r>
      <w:r>
        <w:rPr>
          <w:kern w:val="0"/>
        </w:rPr>
        <w:t>articles were analyzed for type (original article, case reports, etc.), disease (infection, vascular, etc.), place,</w:t>
      </w:r>
      <w:r w:rsidR="005853A9">
        <w:rPr>
          <w:kern w:val="0"/>
        </w:rPr>
        <w:t xml:space="preserve"> and </w:t>
      </w:r>
      <w:r>
        <w:rPr>
          <w:kern w:val="0"/>
        </w:rPr>
        <w:t>timelines for publication. Results: Out</w:t>
      </w:r>
      <w:r w:rsidR="00427468">
        <w:rPr>
          <w:kern w:val="0"/>
        </w:rPr>
        <w:t xml:space="preserve"> of </w:t>
      </w:r>
      <w:r>
        <w:rPr>
          <w:kern w:val="0"/>
        </w:rPr>
        <w:t>total 2977 articles published, 256 articles belong to neurology. Neurology contributed to 7--20</w:t>
      </w:r>
      <w:r w:rsidR="00427468">
        <w:rPr>
          <w:kern w:val="0"/>
        </w:rPr>
        <w:t xml:space="preserve"> of </w:t>
      </w:r>
      <w:r w:rsidR="003A1917">
        <w:rPr>
          <w:kern w:val="0"/>
        </w:rPr>
        <w:t xml:space="preserve">the </w:t>
      </w:r>
      <w:r>
        <w:rPr>
          <w:kern w:val="0"/>
        </w:rPr>
        <w:t>published articles per year in JAPI. Case reports (52) constitute</w:t>
      </w:r>
      <w:r w:rsidR="003A1917">
        <w:rPr>
          <w:kern w:val="0"/>
        </w:rPr>
        <w:t xml:space="preserve"> the </w:t>
      </w:r>
      <w:r>
        <w:rPr>
          <w:kern w:val="0"/>
        </w:rPr>
        <w:t>majority type</w:t>
      </w:r>
      <w:r w:rsidR="00427468">
        <w:rPr>
          <w:kern w:val="0"/>
        </w:rPr>
        <w:t xml:space="preserve"> of </w:t>
      </w:r>
      <w:r>
        <w:rPr>
          <w:kern w:val="0"/>
        </w:rPr>
        <w:t>articles followed by Original Articles (20), Correspondence</w:t>
      </w:r>
      <w:r w:rsidR="005853A9">
        <w:rPr>
          <w:kern w:val="0"/>
        </w:rPr>
        <w:t xml:space="preserve"> and </w:t>
      </w:r>
      <w:r>
        <w:rPr>
          <w:kern w:val="0"/>
        </w:rPr>
        <w:t>Images (15 each). Infections (27), structural disorders (19), cerebrovascular</w:t>
      </w:r>
      <w:r w:rsidR="005853A9">
        <w:rPr>
          <w:kern w:val="0"/>
        </w:rPr>
        <w:t xml:space="preserve"> and </w:t>
      </w:r>
      <w:r>
        <w:rPr>
          <w:kern w:val="0"/>
        </w:rPr>
        <w:t>peripheral nervous system disorders (16 each) contribute</w:t>
      </w:r>
      <w:r w:rsidR="003A1917">
        <w:rPr>
          <w:kern w:val="0"/>
        </w:rPr>
        <w:t xml:space="preserve"> the </w:t>
      </w:r>
      <w:r>
        <w:rPr>
          <w:kern w:val="0"/>
        </w:rPr>
        <w:t>majority</w:t>
      </w:r>
      <w:r w:rsidR="00427468">
        <w:rPr>
          <w:kern w:val="0"/>
        </w:rPr>
        <w:t xml:space="preserve"> of </w:t>
      </w:r>
      <w:r>
        <w:rPr>
          <w:kern w:val="0"/>
        </w:rPr>
        <w:t>research articles in Neurology. Mumbai (15), Delhi (13),</w:t>
      </w:r>
      <w:r w:rsidR="005853A9">
        <w:rPr>
          <w:kern w:val="0"/>
        </w:rPr>
        <w:t xml:space="preserve"> and </w:t>
      </w:r>
      <w:r>
        <w:rPr>
          <w:kern w:val="0"/>
        </w:rPr>
        <w:t>Chennai (9) are</w:t>
      </w:r>
      <w:r w:rsidR="003A1917">
        <w:rPr>
          <w:kern w:val="0"/>
        </w:rPr>
        <w:t xml:space="preserve"> the </w:t>
      </w:r>
      <w:r>
        <w:rPr>
          <w:kern w:val="0"/>
        </w:rPr>
        <w:t>top three contributors followed by Lucknow</w:t>
      </w:r>
      <w:r w:rsidR="005853A9">
        <w:rPr>
          <w:kern w:val="0"/>
        </w:rPr>
        <w:t xml:space="preserve"> and </w:t>
      </w:r>
      <w:r>
        <w:rPr>
          <w:kern w:val="0"/>
        </w:rPr>
        <w:t>Varanasi. All types</w:t>
      </w:r>
      <w:r w:rsidR="00427468">
        <w:rPr>
          <w:kern w:val="0"/>
        </w:rPr>
        <w:t xml:space="preserve"> of </w:t>
      </w:r>
      <w:r>
        <w:rPr>
          <w:kern w:val="0"/>
        </w:rPr>
        <w:t>articles took about 9--10 months for acceptance</w:t>
      </w:r>
      <w:r w:rsidR="005853A9">
        <w:rPr>
          <w:kern w:val="0"/>
        </w:rPr>
        <w:t xml:space="preserve"> and </w:t>
      </w:r>
      <w:r>
        <w:rPr>
          <w:kern w:val="0"/>
        </w:rPr>
        <w:t>another 4--5 months for publication. Letters to</w:t>
      </w:r>
      <w:r w:rsidR="003A1917">
        <w:rPr>
          <w:kern w:val="0"/>
        </w:rPr>
        <w:t xml:space="preserve"> the </w:t>
      </w:r>
      <w:r>
        <w:rPr>
          <w:kern w:val="0"/>
        </w:rPr>
        <w:t>Editor were published faster when compared to other articles (P=0.0035). Conclusion: Neurology specialty contributes an average 14</w:t>
      </w:r>
      <w:r w:rsidR="00427468">
        <w:rPr>
          <w:kern w:val="0"/>
        </w:rPr>
        <w:t xml:space="preserve"> of </w:t>
      </w:r>
      <w:r>
        <w:rPr>
          <w:kern w:val="0"/>
        </w:rPr>
        <w:t>articles per annum in JAPI. Infections, vascular, structural,</w:t>
      </w:r>
      <w:r w:rsidR="005853A9">
        <w:rPr>
          <w:kern w:val="0"/>
        </w:rPr>
        <w:t xml:space="preserve"> and </w:t>
      </w:r>
      <w:r>
        <w:rPr>
          <w:kern w:val="0"/>
        </w:rPr>
        <w:t>peripheral nervous system disorders together account for 80</w:t>
      </w:r>
      <w:r w:rsidR="00427468">
        <w:rPr>
          <w:kern w:val="0"/>
        </w:rPr>
        <w:t xml:space="preserve"> of </w:t>
      </w:r>
      <w:r>
        <w:rPr>
          <w:kern w:val="0"/>
        </w:rPr>
        <w:t>published literature with a small representation from other diseases. Mumbai</w:t>
      </w:r>
      <w:r w:rsidR="005853A9">
        <w:rPr>
          <w:kern w:val="0"/>
        </w:rPr>
        <w:t xml:space="preserve"> and </w:t>
      </w:r>
      <w:r>
        <w:rPr>
          <w:kern w:val="0"/>
        </w:rPr>
        <w:t>Delhi are</w:t>
      </w:r>
      <w:r w:rsidR="003A1917">
        <w:rPr>
          <w:kern w:val="0"/>
        </w:rPr>
        <w:t xml:space="preserve"> the </w:t>
      </w:r>
      <w:r>
        <w:rPr>
          <w:kern w:val="0"/>
        </w:rPr>
        <w:t>leading contributors toward research productivity in neurology.</w:t>
      </w:r>
    </w:p>
    <w:p w:rsidR="00B836C7" w:rsidRDefault="00B836C7" w:rsidP="00B836C7">
      <w:pPr>
        <w:pStyle w:val="a3"/>
        <w:rPr>
          <w:kern w:val="0"/>
        </w:rPr>
      </w:pPr>
      <w:r>
        <w:rPr>
          <w:kern w:val="0"/>
        </w:rPr>
        <w:lastRenderedPageBreak/>
        <w:t>Keywords: Acceptance, Analysis, Articles, Bibliometric, Bibliometric Analysis, Biomedical, Biomedical Journals, Case Reports, Disease, Diseases, India, Infection, Journal, Journals, Literature, Mumbai, Neurology, Peripheral Nervous System, Productivity, Publication, Publication Trends, Publishing, Representation, Research, Research Output, Research Productivity, Small, Specialty, Trends</w:t>
      </w:r>
    </w:p>
    <w:p w:rsidR="00F64F85" w:rsidRDefault="00F64F85" w:rsidP="00F64F85">
      <w:pPr>
        <w:pStyle w:val="a3"/>
        <w:rPr>
          <w:kern w:val="0"/>
        </w:rPr>
      </w:pPr>
      <w:r>
        <w:rPr>
          <w:rFonts w:hint="eastAsia"/>
          <w:kern w:val="0"/>
        </w:rPr>
        <w:t xml:space="preserve">? </w:t>
      </w:r>
      <w:r>
        <w:rPr>
          <w:kern w:val="0"/>
        </w:rPr>
        <w:t>Li, X.M., Rastogi, P., Gibbons, J.A. and Chaudhury, S. (2014), Visuo-cognitive skill deficits in Alzheimer</w:t>
      </w:r>
      <w:r w:rsidR="00700038">
        <w:rPr>
          <w:rFonts w:hint="eastAsia"/>
          <w:kern w:val="0"/>
        </w:rPr>
        <w:t>,</w:t>
      </w:r>
      <w:r>
        <w:rPr>
          <w:kern w:val="0"/>
        </w:rPr>
        <w:t xml:space="preserve">s disease and Lewy body disease: A comparative analysis. </w:t>
      </w:r>
      <w:r>
        <w:rPr>
          <w:i/>
          <w:iCs/>
          <w:kern w:val="0"/>
        </w:rPr>
        <w:t>Annals of Indian Academy of Neurology</w:t>
      </w:r>
      <w:r>
        <w:rPr>
          <w:kern w:val="0"/>
        </w:rPr>
        <w:t xml:space="preserve">, </w:t>
      </w:r>
      <w:r>
        <w:rPr>
          <w:b/>
          <w:bCs/>
          <w:kern w:val="0"/>
        </w:rPr>
        <w:t>17</w:t>
      </w:r>
      <w:r>
        <w:rPr>
          <w:kern w:val="0"/>
        </w:rPr>
        <w:t xml:space="preserve"> (1), 12-18.</w:t>
      </w:r>
    </w:p>
    <w:p w:rsidR="00F64F85" w:rsidRPr="001A3D2B" w:rsidRDefault="00F64F85" w:rsidP="00F64F85">
      <w:pPr>
        <w:pStyle w:val="a3"/>
      </w:pPr>
      <w:r>
        <w:rPr>
          <w:rFonts w:hint="eastAsia"/>
        </w:rPr>
        <w:t xml:space="preserve">Full Text: </w:t>
      </w:r>
      <w:hyperlink r:id="rId854" w:history="1">
        <w:r w:rsidR="00700038" w:rsidRPr="00700038">
          <w:rPr>
            <w:rStyle w:val="a5"/>
          </w:rPr>
          <w:t>2014\Ann Ind Aca Neu17, 12.pdf</w:t>
        </w:r>
      </w:hyperlink>
    </w:p>
    <w:p w:rsidR="00F64F85" w:rsidRDefault="00F64F85" w:rsidP="00F64F85">
      <w:pPr>
        <w:pStyle w:val="a3"/>
        <w:rPr>
          <w:kern w:val="0"/>
        </w:rPr>
      </w:pPr>
      <w:r>
        <w:rPr>
          <w:kern w:val="0"/>
        </w:rPr>
        <w:t>Abstract: Dementia is a chronic neurodegenerative disorder characterized by progressive cognitive loss. Alzheimers disease (AD) and the Lewy body disease are the two most common causes of age-related degenerative dementia. Visuo-cognitive skills are a combination of very different cognitive functions being performed by the visual system</w:t>
      </w:r>
      <w:r w:rsidR="00A37C1D">
        <w:rPr>
          <w:kern w:val="0"/>
        </w:rPr>
        <w:t>. The</w:t>
      </w:r>
      <w:r>
        <w:rPr>
          <w:kern w:val="0"/>
        </w:rPr>
        <w:t>se skills are impaired in both AD and dementia with Lewy bodies (DLB)</w:t>
      </w:r>
      <w:r w:rsidR="00A37C1D">
        <w:rPr>
          <w:kern w:val="0"/>
        </w:rPr>
        <w:t>. The</w:t>
      </w:r>
      <w:r>
        <w:rPr>
          <w:kern w:val="0"/>
        </w:rPr>
        <w:t xml:space="preserve"> aim of this review is to evaluate various studies for these visuo-cognitive skills. An exhaustive internet search of all relevant medical databases was carried out using a series of key-word applications, including The Cochrane Library, MEDLINE, PSYCHINFO, EMBASE, CINAHL, AMED, SportDiscus, Science Citation Index, Index to Theses, ZETOC, PEDro and occupational therapy (OT) seeker and OT search. We reviewed all the articles until March 2013 with key words of: Visual skills visual cognition dementia AD, but the direct neurobiological etiology is difficult to establish., Dementia of Lewy body disease. Although most studies have used different tests for studying these abilities, in general, these tests evaluated the individuals ability of (1) visual recognition, (2) visual discrimination, (3) visual attention and (4) visuo-perceptive integration. Performance on various tests has been evaluated for assessing these skills. Most studies assessing such skills show that these skills are impaired in DLB as compared with AD. Visuo-cognitive skills are impaired more in DLB as compared with AD</w:t>
      </w:r>
      <w:r w:rsidR="00A37C1D">
        <w:rPr>
          <w:kern w:val="0"/>
        </w:rPr>
        <w:t>. The</w:t>
      </w:r>
      <w:r>
        <w:rPr>
          <w:kern w:val="0"/>
        </w:rPr>
        <w:t>se impairments have evident neuropathological correlations, but the direct neurobiological etiology is difficult to establish.</w:t>
      </w:r>
    </w:p>
    <w:p w:rsidR="00F64F85" w:rsidRDefault="00F64F85" w:rsidP="00F64F85">
      <w:pPr>
        <w:pStyle w:val="a3"/>
        <w:rPr>
          <w:kern w:val="0"/>
        </w:rPr>
      </w:pPr>
      <w:r>
        <w:rPr>
          <w:kern w:val="0"/>
        </w:rPr>
        <w:t>Keywords: Ad, Age-Related, Alzheimers Disease, Analysis, Assessing, Attention, Bodies, Cerebral Glucose-Metabolism, Chronic, Citation, Cognition, Correlations, Databases, Dementia, Differentiate Dementia, Discrimination, Disease, Embase, Etiology, Functions, General, Integration, Lewy Body Disease, Medical, Medline, Neuropsychological Performance, Occupational, Ot, Parkinsons-Disease, Performance, Review, Science, Science Citation Index, Senile Dementias, Spatial Cognition, Therapy, Theses, Topographical Disorientation, Visuo-Cognitive Skills, Visuospatial Deficits</w:t>
      </w:r>
    </w:p>
    <w:p w:rsidR="003474F2" w:rsidRPr="001A3D2B" w:rsidRDefault="003474F2" w:rsidP="003474F2">
      <w:pPr>
        <w:pStyle w:val="1"/>
      </w:pPr>
      <w:r w:rsidRPr="001A3D2B">
        <w:rPr>
          <w:lang w:val="en-GB"/>
        </w:rPr>
        <w:br w:type="page"/>
      </w:r>
      <w:bookmarkStart w:id="471" w:name="_Toc420814505"/>
      <w:r w:rsidRPr="001A3D2B">
        <w:lastRenderedPageBreak/>
        <w:t>Title: Annals</w:t>
      </w:r>
      <w:r w:rsidR="00427468">
        <w:t xml:space="preserve"> of </w:t>
      </w:r>
      <w:r w:rsidRPr="001A3D2B">
        <w:t>Internal Medicine</w:t>
      </w:r>
      <w:bookmarkEnd w:id="471"/>
    </w:p>
    <w:p w:rsidR="003474F2" w:rsidRPr="001A3D2B" w:rsidRDefault="003474F2" w:rsidP="003474F2">
      <w:pPr>
        <w:pStyle w:val="12"/>
      </w:pPr>
      <w:r w:rsidRPr="001A3D2B">
        <w:t>Full Journa</w:t>
      </w:r>
      <w:bookmarkStart w:id="472" w:name="_Toc43442110"/>
      <w:bookmarkStart w:id="473" w:name="_Toc43634531"/>
      <w:bookmarkStart w:id="474" w:name="_Toc81215612"/>
      <w:r w:rsidRPr="001A3D2B">
        <w:t xml:space="preserve">l Title: </w:t>
      </w:r>
      <w:r w:rsidR="00206C8A">
        <w:fldChar w:fldCharType="begin"/>
      </w:r>
      <w:r w:rsidR="00FD158B">
        <w:instrText>HYPERLINK "http://www.an</w:instrText>
      </w:r>
      <w:bookmarkEnd w:id="472"/>
      <w:bookmarkEnd w:id="473"/>
      <w:bookmarkEnd w:id="474"/>
      <w:r w:rsidR="00FD158B">
        <w:instrText>nals.org/"</w:instrText>
      </w:r>
      <w:r w:rsidR="00206C8A">
        <w:fldChar w:fldCharType="separate"/>
      </w:r>
      <w:r w:rsidRPr="001A3D2B">
        <w:rPr>
          <w:rStyle w:val="a5"/>
        </w:rPr>
        <w:t>Annals</w:t>
      </w:r>
      <w:r w:rsidR="00427468">
        <w:rPr>
          <w:rStyle w:val="a5"/>
        </w:rPr>
        <w:t xml:space="preserve"> of </w:t>
      </w:r>
      <w:r w:rsidRPr="001A3D2B">
        <w:rPr>
          <w:rStyle w:val="a5"/>
        </w:rPr>
        <w:t>Internal Medicine</w:t>
      </w:r>
      <w:r w:rsidR="00206C8A">
        <w:fldChar w:fldCharType="end"/>
      </w:r>
    </w:p>
    <w:p w:rsidR="003474F2" w:rsidRPr="001A3D2B" w:rsidRDefault="003474F2" w:rsidP="003474F2">
      <w:pPr>
        <w:pStyle w:val="12"/>
      </w:pPr>
      <w:r w:rsidRPr="001A3D2B">
        <w:t>ISO Abbreviated Title: Ann. Intern. Med.</w:t>
      </w:r>
    </w:p>
    <w:p w:rsidR="003474F2" w:rsidRPr="001A3D2B" w:rsidRDefault="003474F2" w:rsidP="003474F2">
      <w:pPr>
        <w:pStyle w:val="12"/>
      </w:pPr>
      <w:r w:rsidRPr="001A3D2B">
        <w:t>JCR Abbreviated Title: Ann Intern Med</w:t>
      </w:r>
    </w:p>
    <w:p w:rsidR="003474F2" w:rsidRPr="001A3D2B" w:rsidRDefault="003474F2" w:rsidP="003474F2">
      <w:pPr>
        <w:pStyle w:val="12"/>
      </w:pPr>
      <w:r w:rsidRPr="001A3D2B">
        <w:t>ISSN: 0003-4819</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Coll Physicians</w:t>
      </w:r>
    </w:p>
    <w:p w:rsidR="003474F2" w:rsidRPr="001A3D2B" w:rsidRDefault="003474F2" w:rsidP="003474F2">
      <w:pPr>
        <w:pStyle w:val="12"/>
      </w:pPr>
      <w:r w:rsidRPr="001A3D2B">
        <w:t>Publisher Address: Independence Mall West 6th</w:t>
      </w:r>
      <w:r w:rsidR="005853A9">
        <w:t xml:space="preserve"> and </w:t>
      </w:r>
      <w:r w:rsidRPr="001A3D2B">
        <w:t xml:space="preserve">Race St, </w:t>
      </w:r>
      <w:smartTag w:uri="urn:schemas-microsoft-com:office:smarttags" w:element="City">
        <w:r w:rsidRPr="001A3D2B">
          <w:t>Philadelphia</w:t>
        </w:r>
      </w:smartTag>
      <w:r w:rsidRPr="001A3D2B">
        <w:t xml:space="preserve">, </w:t>
      </w:r>
      <w:smartTag w:uri="urn:schemas-microsoft-com:office:smarttags" w:element="State">
        <w:r w:rsidRPr="001A3D2B">
          <w:t>PA</w:t>
        </w:r>
      </w:smartTag>
      <w:r w:rsidRPr="001A3D2B">
        <w:t xml:space="preserve"> </w:t>
      </w:r>
      <w:smartTag w:uri="urn:schemas-microsoft-com:office:smarttags" w:element="PostalCode">
        <w:r w:rsidRPr="001A3D2B">
          <w:t>19106-1572</w:t>
        </w:r>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Medicine, General &amp; Internal: Impact Factor 11.130,/(2001)</w:t>
      </w:r>
    </w:p>
    <w:p w:rsidR="00885385" w:rsidRDefault="00885385" w:rsidP="00885385">
      <w:pPr>
        <w:pStyle w:val="a3"/>
      </w:pPr>
      <w:r>
        <w:rPr>
          <w:rFonts w:hint="eastAsia"/>
        </w:rPr>
        <w:t>Notes: highly cited</w:t>
      </w:r>
    </w:p>
    <w:p w:rsidR="00885385" w:rsidRPr="00F219CA" w:rsidRDefault="00885385" w:rsidP="00885385">
      <w:pPr>
        <w:pStyle w:val="a3"/>
      </w:pPr>
      <w:r w:rsidRPr="00F219CA">
        <w:t xml:space="preserve">? </w:t>
      </w:r>
      <w:r>
        <w:t>Burman, K</w:t>
      </w:r>
      <w:r>
        <w:rPr>
          <w:rFonts w:hint="eastAsia"/>
        </w:rPr>
        <w:t>.</w:t>
      </w:r>
      <w:r>
        <w:t>D</w:t>
      </w:r>
      <w:r>
        <w:rPr>
          <w:rFonts w:hint="eastAsia"/>
        </w:rPr>
        <w:t>.</w:t>
      </w:r>
      <w:r w:rsidRPr="00F219CA">
        <w:t xml:space="preserve"> (198</w:t>
      </w:r>
      <w:r>
        <w:rPr>
          <w:rFonts w:hint="eastAsia"/>
        </w:rPr>
        <w:t>2</w:t>
      </w:r>
      <w:r w:rsidRPr="00F219CA">
        <w:t xml:space="preserve">), </w:t>
      </w:r>
      <w:r w:rsidR="00C359A0">
        <w:t>“</w:t>
      </w:r>
      <w:r>
        <w:t>Hanging from</w:t>
      </w:r>
      <w:r w:rsidR="003A1917">
        <w:t xml:space="preserve"> the </w:t>
      </w:r>
      <w:r>
        <w:t>masthead</w:t>
      </w:r>
      <w:r w:rsidR="00C359A0">
        <w:t>”</w:t>
      </w:r>
      <w:r w:rsidR="00C359A0">
        <w:rPr>
          <w:rFonts w:hint="eastAsia"/>
        </w:rPr>
        <w:t>:</w:t>
      </w:r>
      <w:r>
        <w:t xml:space="preserve"> Reflections on authorship</w:t>
      </w:r>
      <w:r w:rsidRPr="00F219CA">
        <w:t xml:space="preserve">. </w:t>
      </w:r>
      <w:r w:rsidRPr="00F219CA">
        <w:rPr>
          <w:i/>
          <w:iCs/>
        </w:rPr>
        <w:t>Annals</w:t>
      </w:r>
      <w:r w:rsidR="00427468">
        <w:rPr>
          <w:i/>
          <w:iCs/>
        </w:rPr>
        <w:t xml:space="preserve"> of </w:t>
      </w:r>
      <w:r w:rsidRPr="00F219CA">
        <w:rPr>
          <w:i/>
          <w:iCs/>
        </w:rPr>
        <w:t>Internal Medicine</w:t>
      </w:r>
      <w:r w:rsidRPr="00F219CA">
        <w:t xml:space="preserve">, </w:t>
      </w:r>
      <w:r>
        <w:rPr>
          <w:rFonts w:hint="eastAsia"/>
          <w:b/>
          <w:bCs/>
        </w:rPr>
        <w:t>97</w:t>
      </w:r>
      <w:r w:rsidRPr="00F219CA">
        <w:t xml:space="preserve"> (</w:t>
      </w:r>
      <w:r w:rsidR="00874E78">
        <w:rPr>
          <w:rFonts w:hint="eastAsia"/>
        </w:rPr>
        <w:t>4</w:t>
      </w:r>
      <w:r w:rsidRPr="00F219CA">
        <w:t xml:space="preserve">), </w:t>
      </w:r>
      <w:r>
        <w:t>602-605</w:t>
      </w:r>
      <w:r w:rsidRPr="00F219CA">
        <w:t>.</w:t>
      </w:r>
    </w:p>
    <w:p w:rsidR="00885385" w:rsidRDefault="00885385" w:rsidP="00885385">
      <w:pPr>
        <w:pStyle w:val="a3"/>
      </w:pPr>
      <w:r w:rsidRPr="00F219CA">
        <w:t xml:space="preserve">Full Text: </w:t>
      </w:r>
      <w:hyperlink r:id="rId855" w:history="1">
        <w:r w:rsidRPr="001A0BBB">
          <w:rPr>
            <w:rStyle w:val="a5"/>
          </w:rPr>
          <w:t>1982\Ann Int Med97, 602.pdf</w:t>
        </w:r>
      </w:hyperlink>
    </w:p>
    <w:p w:rsidR="00C44568" w:rsidRDefault="00C44568" w:rsidP="00C44568">
      <w:pPr>
        <w:pStyle w:val="a3"/>
      </w:pPr>
      <w:r>
        <w:rPr>
          <w:rFonts w:hint="eastAsia"/>
        </w:rPr>
        <w:t xml:space="preserve">Abstract: </w:t>
      </w:r>
      <w:r>
        <w:t>Authorship</w:t>
      </w:r>
      <w:r w:rsidR="00427468">
        <w:t xml:space="preserve"> of </w:t>
      </w:r>
      <w:r>
        <w:t>a scientific article should imply expertise on its content</w:t>
      </w:r>
      <w:r w:rsidR="005853A9">
        <w:t xml:space="preserve"> and </w:t>
      </w:r>
      <w:r>
        <w:t>thorough knowledge</w:t>
      </w:r>
      <w:r w:rsidR="00427468">
        <w:t xml:space="preserve"> of </w:t>
      </w:r>
      <w:r w:rsidR="003A1917">
        <w:t xml:space="preserve">the </w:t>
      </w:r>
      <w:r>
        <w:t>investigation reported. Because</w:t>
      </w:r>
      <w:r w:rsidR="003A1917">
        <w:t xml:space="preserve"> the </w:t>
      </w:r>
      <w:r>
        <w:t>number</w:t>
      </w:r>
      <w:r w:rsidR="00427468">
        <w:t xml:space="preserve"> of </w:t>
      </w:r>
      <w:r>
        <w:t>authors per article has dramatically increased, I question whether these criteria for authorship are applied. Another explanation for this increase is that authors add names to</w:t>
      </w:r>
      <w:r w:rsidR="003A1917">
        <w:t xml:space="preserve"> the </w:t>
      </w:r>
      <w:r>
        <w:t>byline without reference to any set</w:t>
      </w:r>
      <w:r w:rsidR="00427468">
        <w:t xml:space="preserve"> of </w:t>
      </w:r>
      <w:r>
        <w:t>criteria, resulting in</w:t>
      </w:r>
      <w:r w:rsidR="003A1917">
        <w:t xml:space="preserve"> the </w:t>
      </w:r>
      <w:r>
        <w:t>designation</w:t>
      </w:r>
      <w:r w:rsidR="00427468">
        <w:t xml:space="preserve"> of </w:t>
      </w:r>
      <w:r>
        <w:t>coauthorship when not warranted</w:t>
      </w:r>
      <w:r w:rsidR="00A37C1D">
        <w:t>. The</w:t>
      </w:r>
      <w:r w:rsidR="003A1917">
        <w:t xml:space="preserve"> </w:t>
      </w:r>
      <w:r>
        <w:t>medical community needs to redefine</w:t>
      </w:r>
      <w:r w:rsidR="003A1917">
        <w:t xml:space="preserve"> the </w:t>
      </w:r>
      <w:r>
        <w:t>proper procedure</w:t>
      </w:r>
      <w:r w:rsidR="005853A9">
        <w:t xml:space="preserve"> and </w:t>
      </w:r>
      <w:r>
        <w:t>criteria for deciding on authorship</w:t>
      </w:r>
      <w:r w:rsidR="005853A9">
        <w:t xml:space="preserve"> and </w:t>
      </w:r>
      <w:r>
        <w:t>to strictly abide by these procedures. Specific recommendations center around</w:t>
      </w:r>
      <w:r w:rsidR="003A1917">
        <w:t xml:space="preserve"> the </w:t>
      </w:r>
      <w:r>
        <w:t>protocol as</w:t>
      </w:r>
      <w:r w:rsidR="003A1917">
        <w:t xml:space="preserve"> the </w:t>
      </w:r>
      <w:r>
        <w:t>initial instrument</w:t>
      </w:r>
      <w:r w:rsidR="00427468">
        <w:t xml:space="preserve"> of </w:t>
      </w:r>
      <w:r>
        <w:t>communication. Who should be designated as author,</w:t>
      </w:r>
      <w:r w:rsidR="005853A9">
        <w:t xml:space="preserve"> and </w:t>
      </w:r>
      <w:r w:rsidR="003A1917">
        <w:t xml:space="preserve">the </w:t>
      </w:r>
      <w:r>
        <w:t>order</w:t>
      </w:r>
      <w:r w:rsidR="00427468">
        <w:t xml:space="preserve"> of </w:t>
      </w:r>
      <w:r>
        <w:t>names, should be negotiated before</w:t>
      </w:r>
      <w:r w:rsidR="005853A9">
        <w:t xml:space="preserve"> and </w:t>
      </w:r>
      <w:r>
        <w:t>during</w:t>
      </w:r>
      <w:r w:rsidR="003A1917">
        <w:t xml:space="preserve"> the </w:t>
      </w:r>
      <w:r>
        <w:t>study,</w:t>
      </w:r>
      <w:r w:rsidR="005853A9">
        <w:t xml:space="preserve"> and </w:t>
      </w:r>
      <w:r>
        <w:t>written communication with other involved laboratories should result in more appropriate authorship attribution.</w:t>
      </w:r>
    </w:p>
    <w:p w:rsidR="003474F2" w:rsidRPr="001A3D2B" w:rsidRDefault="003474F2" w:rsidP="003474F2">
      <w:pPr>
        <w:pStyle w:val="a3"/>
      </w:pPr>
      <w:r w:rsidRPr="001A3D2B">
        <w:t>? Huth, E.J. (1986), Guidelines on authorship</w:t>
      </w:r>
      <w:r w:rsidR="00427468">
        <w:t xml:space="preserve"> of </w:t>
      </w:r>
      <w:r w:rsidRPr="001A3D2B">
        <w:t xml:space="preserve">medical papers. </w:t>
      </w:r>
      <w:r w:rsidRPr="001A3D2B">
        <w:rPr>
          <w:i/>
          <w:iCs/>
        </w:rPr>
        <w:t>Annals</w:t>
      </w:r>
      <w:r w:rsidR="00427468">
        <w:rPr>
          <w:i/>
          <w:iCs/>
        </w:rPr>
        <w:t xml:space="preserve"> of </w:t>
      </w:r>
      <w:r w:rsidRPr="001A3D2B">
        <w:rPr>
          <w:i/>
          <w:iCs/>
        </w:rPr>
        <w:t>Internal Medicine</w:t>
      </w:r>
      <w:r w:rsidRPr="001A3D2B">
        <w:t xml:space="preserve">, </w:t>
      </w:r>
      <w:r w:rsidRPr="001A3D2B">
        <w:rPr>
          <w:b/>
          <w:bCs/>
        </w:rPr>
        <w:t>104</w:t>
      </w:r>
      <w:r w:rsidRPr="001A3D2B">
        <w:t xml:space="preserve"> (2), 269-274.</w:t>
      </w:r>
    </w:p>
    <w:p w:rsidR="003474F2" w:rsidRPr="001A3D2B" w:rsidRDefault="003474F2" w:rsidP="003474F2">
      <w:pPr>
        <w:pStyle w:val="a3"/>
      </w:pPr>
      <w:r w:rsidRPr="001A3D2B">
        <w:t xml:space="preserve">Full Text: </w:t>
      </w:r>
      <w:hyperlink r:id="rId856" w:history="1">
        <w:r w:rsidRPr="001A3D2B">
          <w:rPr>
            <w:rStyle w:val="a5"/>
          </w:rPr>
          <w:t>1984\Ann Int Med104, 269.pdf</w:t>
        </w:r>
      </w:hyperlink>
    </w:p>
    <w:p w:rsidR="003474F2" w:rsidRPr="001A3D2B" w:rsidRDefault="003474F2" w:rsidP="003474F2">
      <w:pPr>
        <w:pStyle w:val="a3"/>
      </w:pPr>
      <w:r w:rsidRPr="001A3D2B">
        <w:t>Garfield, E. (1986), Which medical journals have</w:t>
      </w:r>
      <w:r w:rsidR="003A1917">
        <w:t xml:space="preserve"> the </w:t>
      </w:r>
      <w:r w:rsidRPr="001A3D2B">
        <w:t xml:space="preserve">greatest impact. </w:t>
      </w:r>
      <w:r w:rsidRPr="001A3D2B">
        <w:rPr>
          <w:i/>
          <w:iCs/>
        </w:rPr>
        <w:t>Annals</w:t>
      </w:r>
      <w:r w:rsidR="00427468">
        <w:rPr>
          <w:i/>
          <w:iCs/>
        </w:rPr>
        <w:t xml:space="preserve"> of </w:t>
      </w:r>
      <w:r w:rsidRPr="001A3D2B">
        <w:rPr>
          <w:i/>
          <w:iCs/>
        </w:rPr>
        <w:t>Internal Medicine</w:t>
      </w:r>
      <w:r w:rsidRPr="001A3D2B">
        <w:t xml:space="preserve">, </w:t>
      </w:r>
      <w:r w:rsidRPr="001A3D2B">
        <w:rPr>
          <w:b/>
          <w:bCs/>
        </w:rPr>
        <w:t>105</w:t>
      </w:r>
      <w:r w:rsidRPr="001A3D2B">
        <w:t xml:space="preserve"> (2), 313-320.</w:t>
      </w:r>
    </w:p>
    <w:p w:rsidR="003474F2" w:rsidRPr="001A3D2B" w:rsidRDefault="003474F2" w:rsidP="003474F2">
      <w:pPr>
        <w:pStyle w:val="a3"/>
      </w:pPr>
      <w:r w:rsidRPr="001A3D2B">
        <w:t xml:space="preserve">Full Text: </w:t>
      </w:r>
      <w:hyperlink r:id="rId857" w:history="1">
        <w:r w:rsidRPr="001A3D2B">
          <w:rPr>
            <w:rStyle w:val="a5"/>
          </w:rPr>
          <w:t>1986\Ann Int Med105, 313.pdf</w:t>
        </w:r>
      </w:hyperlink>
    </w:p>
    <w:p w:rsidR="003474F2" w:rsidRPr="001A3D2B" w:rsidRDefault="003474F2" w:rsidP="003474F2">
      <w:pPr>
        <w:pStyle w:val="a3"/>
      </w:pPr>
      <w:r w:rsidRPr="001A3D2B">
        <w:t>? Fye, W.B. (1990), Medical authorship: Traditions, trends,</w:t>
      </w:r>
      <w:r w:rsidR="005853A9">
        <w:t xml:space="preserve"> and </w:t>
      </w:r>
      <w:r w:rsidRPr="001A3D2B">
        <w:t xml:space="preserve">tribulations. </w:t>
      </w:r>
      <w:r w:rsidRPr="001A3D2B">
        <w:rPr>
          <w:i/>
          <w:iCs/>
        </w:rPr>
        <w:t>Annals</w:t>
      </w:r>
      <w:r w:rsidR="00427468">
        <w:rPr>
          <w:i/>
          <w:iCs/>
        </w:rPr>
        <w:t xml:space="preserve"> of </w:t>
      </w:r>
      <w:r w:rsidRPr="001A3D2B">
        <w:rPr>
          <w:i/>
          <w:iCs/>
        </w:rPr>
        <w:t>Internal Medicine</w:t>
      </w:r>
      <w:r w:rsidRPr="001A3D2B">
        <w:t xml:space="preserve">, </w:t>
      </w:r>
      <w:r w:rsidRPr="001A3D2B">
        <w:rPr>
          <w:b/>
          <w:bCs/>
        </w:rPr>
        <w:t>113</w:t>
      </w:r>
      <w:r w:rsidRPr="001A3D2B">
        <w:t xml:space="preserve"> (4), 317-325.</w:t>
      </w:r>
    </w:p>
    <w:p w:rsidR="003474F2" w:rsidRPr="001A3D2B" w:rsidRDefault="003474F2" w:rsidP="003474F2">
      <w:pPr>
        <w:pStyle w:val="a3"/>
      </w:pPr>
      <w:r w:rsidRPr="001A3D2B">
        <w:t xml:space="preserve">Full Text: </w:t>
      </w:r>
      <w:hyperlink r:id="rId858" w:history="1">
        <w:r w:rsidRPr="001A3D2B">
          <w:rPr>
            <w:rStyle w:val="a5"/>
          </w:rPr>
          <w:t>1990\Ann Int Med113, 317.pdf</w:t>
        </w:r>
      </w:hyperlink>
    </w:p>
    <w:p w:rsidR="003474F2" w:rsidRPr="001A3D2B" w:rsidRDefault="003474F2" w:rsidP="003474F2">
      <w:pPr>
        <w:pStyle w:val="a3"/>
      </w:pPr>
      <w:r w:rsidRPr="001A3D2B">
        <w:lastRenderedPageBreak/>
        <w:t>Hommes, D.W., Bura, A., Mazzolai, L., Buller, H.R.</w:t>
      </w:r>
      <w:r w:rsidR="005853A9">
        <w:t xml:space="preserve"> and </w:t>
      </w:r>
      <w:r w:rsidRPr="001A3D2B">
        <w:t>Tencate, J.W. (1992), Subcutaneous heparin compared with continuous intravenous heparin administration in</w:t>
      </w:r>
      <w:r w:rsidR="003A1917">
        <w:t xml:space="preserve"> the </w:t>
      </w:r>
      <w:r w:rsidRPr="001A3D2B">
        <w:t>initial treatment</w:t>
      </w:r>
      <w:r w:rsidR="00427468">
        <w:t xml:space="preserve"> of </w:t>
      </w:r>
      <w:r w:rsidRPr="001A3D2B">
        <w:t xml:space="preserve">deep-vein thrombosis: A meta-analysis. </w:t>
      </w:r>
      <w:r w:rsidRPr="001A3D2B">
        <w:rPr>
          <w:i/>
          <w:iCs/>
        </w:rPr>
        <w:t>Annals</w:t>
      </w:r>
      <w:r w:rsidR="00427468">
        <w:rPr>
          <w:i/>
          <w:iCs/>
        </w:rPr>
        <w:t xml:space="preserve"> of </w:t>
      </w:r>
      <w:r w:rsidRPr="001A3D2B">
        <w:rPr>
          <w:i/>
          <w:iCs/>
        </w:rPr>
        <w:t>Internal Medicine</w:t>
      </w:r>
      <w:r w:rsidRPr="001A3D2B">
        <w:t xml:space="preserve">, </w:t>
      </w:r>
      <w:r w:rsidRPr="001A3D2B">
        <w:rPr>
          <w:b/>
          <w:bCs/>
        </w:rPr>
        <w:t>116</w:t>
      </w:r>
      <w:r w:rsidRPr="001A3D2B">
        <w:t xml:space="preserve"> (4), 279-284.</w:t>
      </w:r>
    </w:p>
    <w:p w:rsidR="003474F2" w:rsidRPr="001A3D2B" w:rsidRDefault="003474F2" w:rsidP="003474F2">
      <w:pPr>
        <w:pStyle w:val="a3"/>
      </w:pPr>
      <w:r w:rsidRPr="001A3D2B">
        <w:t xml:space="preserve">Full Text: </w:t>
      </w:r>
      <w:hyperlink r:id="rId859" w:history="1">
        <w:r w:rsidRPr="001A3D2B">
          <w:rPr>
            <w:rStyle w:val="a5"/>
          </w:rPr>
          <w:t>1992\Ann Int Med116, 279.pdf</w:t>
        </w:r>
      </w:hyperlink>
    </w:p>
    <w:p w:rsidR="003474F2" w:rsidRPr="001A3D2B" w:rsidRDefault="003474F2" w:rsidP="003474F2">
      <w:pPr>
        <w:pStyle w:val="a3"/>
      </w:pPr>
      <w:r w:rsidRPr="001A3D2B">
        <w:t>Abstract: Objective: To quantitatively assess</w:t>
      </w:r>
      <w:r w:rsidR="003A1917">
        <w:t xml:space="preserve"> the </w:t>
      </w:r>
      <w:r w:rsidRPr="001A3D2B">
        <w:t>efficacy</w:t>
      </w:r>
      <w:r w:rsidR="005853A9">
        <w:t xml:space="preserve"> and </w:t>
      </w:r>
      <w:r w:rsidRPr="001A3D2B">
        <w:t>safety</w:t>
      </w:r>
      <w:r w:rsidR="00427468">
        <w:t xml:space="preserve"> of </w:t>
      </w:r>
      <w:r w:rsidRPr="001A3D2B">
        <w:t>published randomized trials comparing subcutaneous heparin with continuous intravenous heparin for</w:t>
      </w:r>
      <w:r w:rsidR="003A1917">
        <w:t xml:space="preserve"> the </w:t>
      </w:r>
      <w:r w:rsidRPr="001A3D2B">
        <w:t>initial treatment</w:t>
      </w:r>
      <w:r w:rsidR="00427468">
        <w:t xml:space="preserve"> of </w:t>
      </w:r>
      <w:r w:rsidRPr="001A3D2B">
        <w:t>deep vein thrombosis.</w:t>
      </w:r>
    </w:p>
    <w:p w:rsidR="003474F2" w:rsidRPr="001A3D2B" w:rsidRDefault="003474F2" w:rsidP="003474F2">
      <w:pPr>
        <w:pStyle w:val="a3"/>
      </w:pPr>
      <w:r w:rsidRPr="001A3D2B">
        <w:t>Data Identification: Studies published between January 1966</w:t>
      </w:r>
      <w:r w:rsidR="005853A9">
        <w:t xml:space="preserve"> and </w:t>
      </w:r>
      <w:r w:rsidRPr="001A3D2B">
        <w:t>April 1991 were identified through computer searches</w:t>
      </w:r>
      <w:r w:rsidR="00427468">
        <w:t xml:space="preserve"> of </w:t>
      </w:r>
      <w:r w:rsidR="003A1917">
        <w:t xml:space="preserve">the </w:t>
      </w:r>
      <w:r w:rsidR="00D5664A">
        <w:t>MEDLINE</w:t>
      </w:r>
      <w:r w:rsidRPr="001A3D2B">
        <w:t xml:space="preserve"> database</w:t>
      </w:r>
      <w:r w:rsidR="005853A9">
        <w:t xml:space="preserve"> and </w:t>
      </w:r>
      <w:r w:rsidRPr="001A3D2B">
        <w:t>through reviews</w:t>
      </w:r>
      <w:r w:rsidR="00427468">
        <w:t xml:space="preserve"> of </w:t>
      </w:r>
      <w:r w:rsidR="003A1917">
        <w:t xml:space="preserve">the </w:t>
      </w:r>
      <w:r w:rsidRPr="001A3D2B">
        <w:t>Science Citation Index, Current Contents, proceedings</w:t>
      </w:r>
      <w:r w:rsidR="005853A9">
        <w:t xml:space="preserve"> and </w:t>
      </w:r>
      <w:r w:rsidRPr="001A3D2B">
        <w:t>abstract books,</w:t>
      </w:r>
      <w:r w:rsidR="005853A9">
        <w:t xml:space="preserve"> and </w:t>
      </w:r>
      <w:r w:rsidRPr="001A3D2B">
        <w:t>references cited in</w:t>
      </w:r>
      <w:r w:rsidR="003A1917">
        <w:t xml:space="preserve"> the </w:t>
      </w:r>
      <w:r w:rsidRPr="001A3D2B">
        <w:t>identified articles. Complete manuscripts were obtained from</w:t>
      </w:r>
      <w:r w:rsidR="003A1917">
        <w:t xml:space="preserve"> the </w:t>
      </w:r>
      <w:r w:rsidRPr="001A3D2B">
        <w:t>authors if only abstracts were available.</w:t>
      </w:r>
    </w:p>
    <w:p w:rsidR="003474F2" w:rsidRPr="001A3D2B" w:rsidRDefault="003474F2" w:rsidP="003474F2">
      <w:pPr>
        <w:pStyle w:val="a3"/>
      </w:pPr>
      <w:r w:rsidRPr="001A3D2B">
        <w:t>Study Selection: Eight clinical trials were identified that compared subcutaneous with intravenous heparin administration in patients with venographically confirmed deep vein thrombosis.</w:t>
      </w:r>
    </w:p>
    <w:p w:rsidR="003474F2" w:rsidRPr="001A3D2B" w:rsidRDefault="003474F2" w:rsidP="003474F2">
      <w:pPr>
        <w:pStyle w:val="a3"/>
      </w:pPr>
      <w:r w:rsidRPr="001A3D2B">
        <w:t>Data Extraction: Each study was independently analyzed for</w:t>
      </w:r>
      <w:r w:rsidR="003A1917">
        <w:t xml:space="preserve"> the </w:t>
      </w:r>
      <w:r w:rsidRPr="001A3D2B">
        <w:t>percentage distribution</w:t>
      </w:r>
      <w:r w:rsidR="00427468">
        <w:t xml:space="preserve"> of </w:t>
      </w:r>
      <w:r w:rsidRPr="001A3D2B">
        <w:t>thrombosis,</w:t>
      </w:r>
      <w:r w:rsidR="003A1917">
        <w:t xml:space="preserve"> the </w:t>
      </w:r>
      <w:r w:rsidRPr="001A3D2B">
        <w:t>method</w:t>
      </w:r>
      <w:r w:rsidR="00427468">
        <w:t xml:space="preserve"> of </w:t>
      </w:r>
      <w:r w:rsidRPr="001A3D2B">
        <w:t>outcome measurement,</w:t>
      </w:r>
      <w:r w:rsidR="005853A9">
        <w:t xml:space="preserve"> and </w:t>
      </w:r>
      <w:r w:rsidR="003A1917">
        <w:t xml:space="preserve">the </w:t>
      </w:r>
      <w:r w:rsidRPr="001A3D2B">
        <w:t>heparin dose</w:t>
      </w:r>
      <w:r w:rsidR="00A37C1D">
        <w:t>. The</w:t>
      </w:r>
      <w:r w:rsidR="003A1917">
        <w:t xml:space="preserve"> </w:t>
      </w:r>
      <w:r w:rsidRPr="001A3D2B">
        <w:t>methodologic strength</w:t>
      </w:r>
      <w:r w:rsidR="00427468">
        <w:t xml:space="preserve"> of </w:t>
      </w:r>
      <w:r w:rsidRPr="001A3D2B">
        <w:t>each study was assessed using predefined standards for</w:t>
      </w:r>
      <w:r w:rsidR="003A1917">
        <w:t xml:space="preserve"> the </w:t>
      </w:r>
      <w:r w:rsidRPr="001A3D2B">
        <w:t>proper evaluation</w:t>
      </w:r>
      <w:r w:rsidR="00427468">
        <w:t xml:space="preserve"> of </w:t>
      </w:r>
      <w:r w:rsidRPr="001A3D2B">
        <w:t>a therapeutic intervention with particular emphasis on</w:t>
      </w:r>
      <w:r w:rsidR="003A1917">
        <w:t xml:space="preserve"> the </w:t>
      </w:r>
      <w:r w:rsidRPr="001A3D2B">
        <w:t>type</w:t>
      </w:r>
      <w:r w:rsidR="00427468">
        <w:t xml:space="preserve"> of </w:t>
      </w:r>
      <w:r w:rsidRPr="001A3D2B">
        <w:t>patient allocation</w:t>
      </w:r>
      <w:r w:rsidR="005853A9">
        <w:t xml:space="preserve"> and </w:t>
      </w:r>
      <w:r w:rsidRPr="001A3D2B">
        <w:t>objective measurements.</w:t>
      </w:r>
    </w:p>
    <w:p w:rsidR="003474F2" w:rsidRPr="001A3D2B" w:rsidRDefault="003474F2" w:rsidP="003474F2">
      <w:pPr>
        <w:pStyle w:val="a3"/>
      </w:pPr>
      <w:r w:rsidRPr="001A3D2B">
        <w:t>Results</w:t>
      </w:r>
      <w:r w:rsidR="00427468">
        <w:t xml:space="preserve"> of </w:t>
      </w:r>
      <w:r w:rsidRPr="001A3D2B">
        <w:t>Data Analysis:</w:t>
      </w:r>
      <w:r w:rsidR="003A1917">
        <w:t xml:space="preserve"> the </w:t>
      </w:r>
      <w:r w:rsidRPr="001A3D2B">
        <w:t>overall relative risk for efficacy (defined as prevention</w:t>
      </w:r>
      <w:r w:rsidR="00427468">
        <w:t xml:space="preserve"> of </w:t>
      </w:r>
      <w:r w:rsidRPr="001A3D2B">
        <w:t>extension</w:t>
      </w:r>
      <w:r w:rsidR="005853A9">
        <w:t xml:space="preserve"> and </w:t>
      </w:r>
      <w:r w:rsidRPr="001A3D2B">
        <w:t>recurrence</w:t>
      </w:r>
      <w:r w:rsidR="00427468">
        <w:t xml:space="preserve"> of </w:t>
      </w:r>
      <w:r w:rsidRPr="001A3D2B">
        <w:t>venous thromboembolism)</w:t>
      </w:r>
      <w:r w:rsidR="00427468">
        <w:t xml:space="preserve"> of </w:t>
      </w:r>
      <w:r w:rsidRPr="001A3D2B">
        <w:t>subcutaneous compared with intravenous heparin treatment was 0.62 (95% Cl, 0.39 to 0.98), whereas for safety (defined as major hemorrhage) it was 0.79 (Cl, 0.42 to 1.48).</w:t>
      </w:r>
    </w:p>
    <w:p w:rsidR="003474F2" w:rsidRPr="001A3D2B" w:rsidRDefault="003474F2" w:rsidP="003474F2">
      <w:pPr>
        <w:pStyle w:val="a3"/>
      </w:pPr>
      <w:r w:rsidRPr="001A3D2B">
        <w:t>Conclusions:</w:t>
      </w:r>
      <w:r w:rsidR="003A1917">
        <w:t xml:space="preserve"> the </w:t>
      </w:r>
      <w:r w:rsidRPr="001A3D2B">
        <w:t>results</w:t>
      </w:r>
      <w:r w:rsidR="00427468">
        <w:t xml:space="preserve"> of </w:t>
      </w:r>
      <w:r w:rsidRPr="001A3D2B">
        <w:t>our meta-analysis indicated that heparin administered subcutaneously twice daily in</w:t>
      </w:r>
      <w:r w:rsidR="003A1917">
        <w:t xml:space="preserve"> the </w:t>
      </w:r>
      <w:r w:rsidRPr="001A3D2B">
        <w:t>initial treatment</w:t>
      </w:r>
      <w:r w:rsidR="00427468">
        <w:t xml:space="preserve"> of </w:t>
      </w:r>
      <w:r w:rsidRPr="001A3D2B">
        <w:t>deep vein thrombosis is more effective</w:t>
      </w:r>
      <w:r w:rsidR="005853A9">
        <w:t xml:space="preserve"> and </w:t>
      </w:r>
      <w:r w:rsidRPr="001A3D2B">
        <w:t>at least as safe as continuous intravenous heparin administration. Administration</w:t>
      </w:r>
      <w:r w:rsidR="00427468">
        <w:t xml:space="preserve"> of </w:t>
      </w:r>
      <w:r w:rsidRPr="001A3D2B">
        <w:t>heparin subcutaneously may simplify patient treatment</w:t>
      </w:r>
      <w:r w:rsidR="005853A9">
        <w:t xml:space="preserve"> and </w:t>
      </w:r>
      <w:r w:rsidRPr="001A3D2B">
        <w:t>could facilitate home treatment.</w:t>
      </w:r>
    </w:p>
    <w:p w:rsidR="003474F2" w:rsidRPr="001A3D2B" w:rsidRDefault="003474F2" w:rsidP="003474F2">
      <w:pPr>
        <w:pStyle w:val="a3"/>
      </w:pPr>
      <w:r w:rsidRPr="001A3D2B">
        <w:t>Keywords: Metaanalysis, Heparin, Thrombosis, Drug Administration Routes, Cost Control, Randomized Trial, Therapy, Management</w:t>
      </w:r>
    </w:p>
    <w:p w:rsidR="003474F2" w:rsidRPr="001A3D2B" w:rsidRDefault="003474F2" w:rsidP="003474F2">
      <w:pPr>
        <w:pStyle w:val="a3"/>
      </w:pPr>
      <w:r w:rsidRPr="001A3D2B">
        <w:t>Cunningham, Jr., E.T., Ravich, W.J., Jones, B.</w:t>
      </w:r>
      <w:r w:rsidR="005853A9">
        <w:t xml:space="preserve"> and </w:t>
      </w:r>
      <w:r w:rsidRPr="001A3D2B">
        <w:t>Donner, M.W. (1992), Vagal reflexes referred from</w:t>
      </w:r>
      <w:r w:rsidR="003A1917">
        <w:t xml:space="preserve"> the </w:t>
      </w:r>
      <w:r w:rsidRPr="001A3D2B">
        <w:t>upper aerodigestive tract: An infrequently recognized cause</w:t>
      </w:r>
      <w:r w:rsidR="00427468">
        <w:t xml:space="preserve"> of </w:t>
      </w:r>
      <w:r w:rsidRPr="001A3D2B">
        <w:t xml:space="preserve">common cardiorespiratory responses. </w:t>
      </w:r>
      <w:r w:rsidRPr="001A3D2B">
        <w:rPr>
          <w:i/>
          <w:iCs/>
        </w:rPr>
        <w:t>Annals</w:t>
      </w:r>
      <w:r w:rsidR="00427468">
        <w:rPr>
          <w:i/>
          <w:iCs/>
        </w:rPr>
        <w:t xml:space="preserve"> of </w:t>
      </w:r>
      <w:r w:rsidRPr="001A3D2B">
        <w:rPr>
          <w:i/>
          <w:iCs/>
        </w:rPr>
        <w:t>Internal Medicine</w:t>
      </w:r>
      <w:r w:rsidRPr="001A3D2B">
        <w:t xml:space="preserve">, </w:t>
      </w:r>
      <w:r w:rsidRPr="001A3D2B">
        <w:rPr>
          <w:b/>
          <w:bCs/>
        </w:rPr>
        <w:t>116</w:t>
      </w:r>
      <w:r w:rsidRPr="001A3D2B">
        <w:t xml:space="preserve"> (7), 575-582.</w:t>
      </w:r>
    </w:p>
    <w:p w:rsidR="003474F2" w:rsidRPr="001A3D2B" w:rsidRDefault="003474F2" w:rsidP="003474F2">
      <w:pPr>
        <w:pStyle w:val="a3"/>
      </w:pPr>
      <w:r w:rsidRPr="001A3D2B">
        <w:t xml:space="preserve">Full Text: </w:t>
      </w:r>
      <w:hyperlink r:id="rId860" w:history="1">
        <w:r w:rsidRPr="001A3D2B">
          <w:rPr>
            <w:rStyle w:val="a5"/>
          </w:rPr>
          <w:t>1992\Ann Int Med116, 575.pdf</w:t>
        </w:r>
      </w:hyperlink>
    </w:p>
    <w:p w:rsidR="003474F2" w:rsidRPr="001A3D2B" w:rsidRDefault="003474F2" w:rsidP="003474F2">
      <w:pPr>
        <w:pStyle w:val="a3"/>
      </w:pPr>
      <w:r w:rsidRPr="001A3D2B">
        <w:t>Abstract: Objective: To review</w:t>
      </w:r>
      <w:r w:rsidR="003A1917">
        <w:t xml:space="preserve"> the </w:t>
      </w:r>
      <w:r w:rsidRPr="001A3D2B">
        <w:t>physiologic basis for normal</w:t>
      </w:r>
      <w:r w:rsidR="005853A9">
        <w:t xml:space="preserve"> and </w:t>
      </w:r>
      <w:r w:rsidRPr="001A3D2B">
        <w:t>abnormal vagal reflexes arising from</w:t>
      </w:r>
      <w:r w:rsidR="003A1917">
        <w:t xml:space="preserve"> the </w:t>
      </w:r>
      <w:r w:rsidRPr="001A3D2B">
        <w:t>pharynx, larynx,</w:t>
      </w:r>
      <w:r w:rsidR="005853A9">
        <w:t xml:space="preserve"> and </w:t>
      </w:r>
      <w:r w:rsidRPr="001A3D2B">
        <w:t>esophagus, as well as</w:t>
      </w:r>
      <w:r w:rsidR="003A1917">
        <w:t xml:space="preserve"> the </w:t>
      </w:r>
      <w:r w:rsidRPr="001A3D2B">
        <w:t>relevance</w:t>
      </w:r>
      <w:r w:rsidR="00427468">
        <w:t xml:space="preserve"> of </w:t>
      </w:r>
      <w:r w:rsidRPr="001A3D2B">
        <w:lastRenderedPageBreak/>
        <w:t>vagal reflexes to</w:t>
      </w:r>
      <w:r w:rsidR="003A1917">
        <w:t xml:space="preserve"> the </w:t>
      </w:r>
      <w:r w:rsidRPr="001A3D2B">
        <w:t>pathogenesis</w:t>
      </w:r>
      <w:r w:rsidR="00427468">
        <w:t xml:space="preserve"> of </w:t>
      </w:r>
      <w:r w:rsidRPr="001A3D2B">
        <w:t>such clinically common cardiorespiratory responses as bradycardia, tachycardia, dysrhythmia, coronary angiospasm, bronchospasm, laryngospasm, prolonged apnea,</w:t>
      </w:r>
      <w:r w:rsidR="005853A9">
        <w:t xml:space="preserve"> and </w:t>
      </w:r>
      <w:r w:rsidRPr="001A3D2B">
        <w:t>singultus (hiccups).</w:t>
      </w:r>
    </w:p>
    <w:p w:rsidR="003474F2" w:rsidRPr="001A3D2B" w:rsidRDefault="003474F2" w:rsidP="003474F2">
      <w:pPr>
        <w:pStyle w:val="a3"/>
      </w:pPr>
      <w:r w:rsidRPr="001A3D2B">
        <w:t>Data Sources: Pertinent articles</w:t>
      </w:r>
      <w:r w:rsidR="005853A9">
        <w:t xml:space="preserve"> and </w:t>
      </w:r>
      <w:r w:rsidRPr="001A3D2B">
        <w:t xml:space="preserve">reviews were identified through a </w:t>
      </w:r>
      <w:r w:rsidR="00D5664A">
        <w:t>MEDLINE</w:t>
      </w:r>
      <w:r w:rsidRPr="001A3D2B">
        <w:t xml:space="preserve"> search (April 1966 to October 1991). Older studies</w:t>
      </w:r>
      <w:r w:rsidR="005853A9">
        <w:t xml:space="preserve"> and </w:t>
      </w:r>
      <w:r w:rsidRPr="001A3D2B">
        <w:t>others not identified in</w:t>
      </w:r>
      <w:r w:rsidR="003A1917">
        <w:t xml:space="preserve"> the </w:t>
      </w:r>
      <w:r w:rsidR="00D5664A">
        <w:t>MEDLINE</w:t>
      </w:r>
      <w:r w:rsidRPr="001A3D2B">
        <w:t xml:space="preserve"> search were found through a manual search</w:t>
      </w:r>
      <w:r w:rsidR="00427468">
        <w:t xml:space="preserve"> of </w:t>
      </w:r>
      <w:r w:rsidR="003A1917">
        <w:t xml:space="preserve">the </w:t>
      </w:r>
      <w:r w:rsidRPr="001A3D2B">
        <w:t>bibliographies</w:t>
      </w:r>
      <w:r w:rsidR="00427468">
        <w:t xml:space="preserve"> of </w:t>
      </w:r>
      <w:r w:rsidR="003A1917">
        <w:t xml:space="preserve">the </w:t>
      </w:r>
      <w:r w:rsidRPr="001A3D2B">
        <w:t>retrieved articles.</w:t>
      </w:r>
    </w:p>
    <w:p w:rsidR="003474F2" w:rsidRPr="001A3D2B" w:rsidRDefault="003474F2" w:rsidP="003474F2">
      <w:pPr>
        <w:pStyle w:val="a3"/>
      </w:pPr>
      <w:r w:rsidRPr="001A3D2B">
        <w:t>Study Selection: Experimental studies in both humans</w:t>
      </w:r>
      <w:r w:rsidR="005853A9">
        <w:t xml:space="preserve"> and </w:t>
      </w:r>
      <w:r w:rsidRPr="001A3D2B">
        <w:t>animals, as well as case series</w:t>
      </w:r>
      <w:r w:rsidR="005853A9">
        <w:t xml:space="preserve"> and </w:t>
      </w:r>
      <w:r w:rsidRPr="001A3D2B">
        <w:t>single case reports, were selected for evaluation</w:t>
      </w:r>
      <w:r w:rsidR="005853A9">
        <w:t xml:space="preserve"> and </w:t>
      </w:r>
      <w:r w:rsidRPr="001A3D2B">
        <w:t>citation. In instances where a similar phenomenon was described in multiple independent reports, only studies that provided a novel finding or interpretation were cited. More authoritative book chapters</w:t>
      </w:r>
      <w:r w:rsidR="005853A9">
        <w:t xml:space="preserve"> and </w:t>
      </w:r>
      <w:r w:rsidRPr="001A3D2B">
        <w:t>peer-reviewed summaries were also cited in support</w:t>
      </w:r>
      <w:r w:rsidR="00427468">
        <w:t xml:space="preserve"> of </w:t>
      </w:r>
      <w:r w:rsidRPr="001A3D2B">
        <w:t>commonly summaries principles.</w:t>
      </w:r>
    </w:p>
    <w:p w:rsidR="003474F2" w:rsidRPr="001A3D2B" w:rsidRDefault="003474F2" w:rsidP="003474F2">
      <w:pPr>
        <w:pStyle w:val="a3"/>
      </w:pPr>
      <w:r w:rsidRPr="001A3D2B">
        <w:t>Data Extraction</w:t>
      </w:r>
      <w:r w:rsidR="005853A9">
        <w:t xml:space="preserve"> and </w:t>
      </w:r>
      <w:r w:rsidRPr="001A3D2B">
        <w:t>Synthesis: Most</w:t>
      </w:r>
      <w:r w:rsidR="00427468">
        <w:t xml:space="preserve"> of </w:t>
      </w:r>
      <w:r w:rsidR="003A1917">
        <w:t xml:space="preserve">the </w:t>
      </w:r>
      <w:r w:rsidRPr="001A3D2B">
        <w:t>clinical data are derived from case reports</w:t>
      </w:r>
      <w:r w:rsidR="005853A9">
        <w:t xml:space="preserve"> and </w:t>
      </w:r>
      <w:r w:rsidRPr="001A3D2B">
        <w:t>small case series</w:t>
      </w:r>
      <w:r w:rsidR="005853A9">
        <w:t xml:space="preserve"> and </w:t>
      </w:r>
      <w:r w:rsidRPr="001A3D2B">
        <w:t>are therefore anecdotal; equal weight was given to all such studies. Reports</w:t>
      </w:r>
      <w:r w:rsidR="00427468">
        <w:t xml:space="preserve"> of </w:t>
      </w:r>
      <w:r w:rsidRPr="001A3D2B">
        <w:t>conflicting observations or interpretations were clearly identified</w:t>
      </w:r>
      <w:r w:rsidR="005853A9">
        <w:t xml:space="preserve"> and </w:t>
      </w:r>
      <w:r w:rsidRPr="001A3D2B">
        <w:t>were cited without exception.</w:t>
      </w:r>
    </w:p>
    <w:p w:rsidR="003474F2" w:rsidRPr="001A3D2B" w:rsidRDefault="003474F2" w:rsidP="003474F2">
      <w:pPr>
        <w:pStyle w:val="a3"/>
      </w:pPr>
      <w:r w:rsidRPr="001A3D2B">
        <w:t>Conclusions: Stimulation</w:t>
      </w:r>
      <w:r w:rsidR="00427468">
        <w:t xml:space="preserve"> of </w:t>
      </w:r>
      <w:r w:rsidR="003A1917">
        <w:t xml:space="preserve">the </w:t>
      </w:r>
      <w:r w:rsidRPr="001A3D2B">
        <w:t>upper aerodigestive tract can lead to clinically significant cardiorespiratory responses. Although</w:t>
      </w:r>
      <w:r w:rsidR="003A1917">
        <w:t xml:space="preserve"> the </w:t>
      </w:r>
      <w:r w:rsidRPr="001A3D2B">
        <w:t>prevalence</w:t>
      </w:r>
      <w:r w:rsidR="00427468">
        <w:t xml:space="preserve"> of </w:t>
      </w:r>
      <w:r w:rsidR="005853A9">
        <w:t xml:space="preserve">and </w:t>
      </w:r>
      <w:r w:rsidRPr="001A3D2B">
        <w:t>risk factors for such responses have not been established, we suggest that a pharyngeal, a laryngeal, or an esophageal source for abnormal cardiorespiratory responses be sought whenever a detailed clinical evaluation fails to reveal a cause, particularly when there are concurrent symptoms or signs</w:t>
      </w:r>
      <w:r w:rsidR="00427468">
        <w:t xml:space="preserve"> of </w:t>
      </w:r>
      <w:r w:rsidRPr="001A3D2B">
        <w:t>upper aerodigestive tract disease, such as dysphagia or gastroesophageal reflux.</w:t>
      </w:r>
    </w:p>
    <w:p w:rsidR="003474F2" w:rsidRPr="001A3D2B" w:rsidRDefault="003474F2" w:rsidP="003474F2">
      <w:pPr>
        <w:pStyle w:val="a3"/>
      </w:pPr>
      <w:r w:rsidRPr="001A3D2B">
        <w:t>Keywords: Vagus Nerve, Cardiovascular Diseases, Respiratory Tract Diseases, Syncope, Gastroesophageal Reflux, Upper Airway-Obstruction, Sudden Infant Death, Upper Alimentary-Tract, Gastroesophageal Reflux, Pulmonary-Edema, Glossopharyngeal Neuralgia, Tracheal Intubation, Swallow Syncope, Viscerotopic Representation, Endotracheal Intubation</w:t>
      </w:r>
    </w:p>
    <w:p w:rsidR="003474F2" w:rsidRPr="001A3D2B" w:rsidRDefault="003474F2" w:rsidP="003474F2">
      <w:pPr>
        <w:pStyle w:val="a3"/>
      </w:pPr>
      <w:r w:rsidRPr="001A3D2B">
        <w:t>Hebert, R.S., Smith, C.G.</w:t>
      </w:r>
      <w:r w:rsidR="005853A9">
        <w:t xml:space="preserve"> and </w:t>
      </w:r>
      <w:r w:rsidRPr="001A3D2B">
        <w:t>Wright, S.M. (2003), Minimal prevalence</w:t>
      </w:r>
      <w:r w:rsidR="00427468">
        <w:t xml:space="preserve"> of </w:t>
      </w:r>
      <w:r w:rsidRPr="001A3D2B">
        <w:t>authorship misrepresentation among internal medicine residency applicants: Do previous estimates</w:t>
      </w:r>
      <w:r w:rsidR="00427468">
        <w:t xml:space="preserve"> of </w:t>
      </w:r>
      <w:r w:rsidR="00700038">
        <w:t>‘</w:t>
      </w:r>
      <w:r w:rsidRPr="001A3D2B">
        <w:t>misrepresentation</w:t>
      </w:r>
      <w:r w:rsidR="00700038">
        <w:t>’</w:t>
      </w:r>
      <w:r w:rsidRPr="001A3D2B">
        <w:t xml:space="preserve"> represent insufficient case finding? </w:t>
      </w:r>
      <w:r w:rsidRPr="001A3D2B">
        <w:rPr>
          <w:i/>
          <w:iCs/>
        </w:rPr>
        <w:t>Annals</w:t>
      </w:r>
      <w:r w:rsidR="00427468">
        <w:rPr>
          <w:i/>
          <w:iCs/>
        </w:rPr>
        <w:t xml:space="preserve"> of </w:t>
      </w:r>
      <w:r w:rsidRPr="001A3D2B">
        <w:rPr>
          <w:i/>
          <w:iCs/>
        </w:rPr>
        <w:t>Internal Medicine</w:t>
      </w:r>
      <w:r w:rsidRPr="001A3D2B">
        <w:t xml:space="preserve">, </w:t>
      </w:r>
      <w:r w:rsidRPr="001A3D2B">
        <w:rPr>
          <w:b/>
          <w:bCs/>
        </w:rPr>
        <w:t>138</w:t>
      </w:r>
      <w:r w:rsidRPr="001A3D2B">
        <w:t xml:space="preserve"> (5), 390-392.</w:t>
      </w:r>
    </w:p>
    <w:p w:rsidR="003474F2" w:rsidRPr="001A3D2B" w:rsidRDefault="003474F2" w:rsidP="003474F2">
      <w:pPr>
        <w:pStyle w:val="a3"/>
      </w:pPr>
      <w:r w:rsidRPr="001A3D2B">
        <w:t xml:space="preserve">Full Text: </w:t>
      </w:r>
      <w:hyperlink r:id="rId861" w:history="1">
        <w:r w:rsidRPr="001A3D2B">
          <w:rPr>
            <w:rStyle w:val="a5"/>
          </w:rPr>
          <w:t>2003\Ann Int Med138, 390.pdf</w:t>
        </w:r>
      </w:hyperlink>
    </w:p>
    <w:p w:rsidR="003474F2" w:rsidRPr="001A3D2B" w:rsidRDefault="003474F2" w:rsidP="003474F2">
      <w:pPr>
        <w:pStyle w:val="a3"/>
      </w:pPr>
      <w:r w:rsidRPr="001A3D2B">
        <w:t>Abstract: Background: High rates</w:t>
      </w:r>
      <w:r w:rsidR="00427468">
        <w:t xml:space="preserve"> of </w:t>
      </w:r>
      <w:r w:rsidRPr="001A3D2B">
        <w:t>authorship misrepresentation have been documented among medical trainees.</w:t>
      </w:r>
    </w:p>
    <w:p w:rsidR="003474F2" w:rsidRPr="001A3D2B" w:rsidRDefault="003474F2" w:rsidP="003474F2">
      <w:pPr>
        <w:pStyle w:val="a3"/>
      </w:pPr>
      <w:r w:rsidRPr="001A3D2B">
        <w:t>Objective: To assess misrepresentation among internal medicine residency applicants while comparing searches used by previous authors (searches 1</w:t>
      </w:r>
      <w:r w:rsidR="005853A9">
        <w:t xml:space="preserve"> and </w:t>
      </w:r>
      <w:r w:rsidRPr="001A3D2B">
        <w:t>2) to a more comprehensive strategy (search 3).</w:t>
      </w:r>
    </w:p>
    <w:p w:rsidR="003474F2" w:rsidRPr="001A3D2B" w:rsidRDefault="003474F2" w:rsidP="003474F2">
      <w:pPr>
        <w:pStyle w:val="a3"/>
      </w:pPr>
      <w:r w:rsidRPr="001A3D2B">
        <w:lastRenderedPageBreak/>
        <w:t>Design: Review</w:t>
      </w:r>
      <w:r w:rsidR="00427468">
        <w:t xml:space="preserve"> of </w:t>
      </w:r>
      <w:r w:rsidRPr="001A3D2B">
        <w:t>497 residency applications.</w:t>
      </w:r>
    </w:p>
    <w:p w:rsidR="003474F2" w:rsidRPr="001A3D2B" w:rsidRDefault="003474F2" w:rsidP="003474F2">
      <w:pPr>
        <w:pStyle w:val="a3"/>
      </w:pPr>
      <w:r w:rsidRPr="001A3D2B">
        <w:t>Setting: Two university-based internal medicine residency programs.</w:t>
      </w:r>
    </w:p>
    <w:p w:rsidR="003474F2" w:rsidRPr="001A3D2B" w:rsidRDefault="003474F2" w:rsidP="003474F2">
      <w:pPr>
        <w:pStyle w:val="a3"/>
      </w:pPr>
      <w:r w:rsidRPr="001A3D2B">
        <w:t xml:space="preserve">Measurements: Search 1 was limited to </w:t>
      </w:r>
      <w:r w:rsidR="00D5664A">
        <w:t>MEDLINE</w:t>
      </w:r>
      <w:r w:rsidRPr="001A3D2B">
        <w:t>. Search 2 added Current Contents, Science Citation Index,</w:t>
      </w:r>
      <w:r w:rsidR="005853A9">
        <w:t xml:space="preserve"> and </w:t>
      </w:r>
      <w:r w:rsidRPr="001A3D2B">
        <w:t>BIOSIS</w:t>
      </w:r>
      <w:r w:rsidR="005853A9">
        <w:t xml:space="preserve"> and </w:t>
      </w:r>
      <w:r w:rsidRPr="001A3D2B">
        <w:t>included searching journals by hand. Search 3 added seven other databases</w:t>
      </w:r>
      <w:r w:rsidR="005853A9">
        <w:t xml:space="preserve"> and </w:t>
      </w:r>
      <w:r w:rsidRPr="001A3D2B">
        <w:t>contacts to librarians, editors,</w:t>
      </w:r>
      <w:r w:rsidR="005853A9">
        <w:t xml:space="preserve"> and </w:t>
      </w:r>
      <w:r w:rsidRPr="001A3D2B">
        <w:t>coauthors.</w:t>
      </w:r>
    </w:p>
    <w:p w:rsidR="003474F2" w:rsidRPr="001A3D2B" w:rsidRDefault="003474F2" w:rsidP="003474F2">
      <w:pPr>
        <w:pStyle w:val="a3"/>
      </w:pPr>
      <w:r w:rsidRPr="001A3D2B">
        <w:t>Results: 224 applicants reported 634 articles; 630 (99%) were verified</w:t>
      </w:r>
      <w:r w:rsidR="00A37C1D">
        <w:t>. The</w:t>
      </w:r>
      <w:r w:rsidR="003A1917">
        <w:t xml:space="preserve"> </w:t>
      </w:r>
      <w:r w:rsidRPr="001A3D2B">
        <w:t>number</w:t>
      </w:r>
      <w:r w:rsidR="00427468">
        <w:t xml:space="preserve"> of </w:t>
      </w:r>
      <w:r w:rsidRPr="001A3D2B">
        <w:t>applicants with misrepresented citations varied depending on</w:t>
      </w:r>
      <w:r w:rsidR="003A1917">
        <w:t xml:space="preserve"> the </w:t>
      </w:r>
      <w:r w:rsidRPr="001A3D2B">
        <w:t>search used (56 applicants [25%] in search 1 vs. 34 applicants [15%] in search 2 vs. 4 applicants [1.8%] in search 3).</w:t>
      </w:r>
    </w:p>
    <w:p w:rsidR="003474F2" w:rsidRPr="001A3D2B" w:rsidRDefault="003474F2" w:rsidP="003474F2">
      <w:pPr>
        <w:pStyle w:val="a3"/>
      </w:pPr>
      <w:r w:rsidRPr="001A3D2B">
        <w:t>Conclusions: Using a comprehensive search, we found substantially less misrepresentation than had been reported. Previous studies probably overestimated</w:t>
      </w:r>
      <w:r w:rsidR="003A1917">
        <w:t xml:space="preserve"> the </w:t>
      </w:r>
      <w:r w:rsidRPr="001A3D2B">
        <w:t>magnitude</w:t>
      </w:r>
      <w:r w:rsidR="00427468">
        <w:t xml:space="preserve"> of </w:t>
      </w:r>
      <w:r w:rsidR="003A1917">
        <w:t xml:space="preserve">the </w:t>
      </w:r>
      <w:r w:rsidRPr="001A3D2B">
        <w:t>problem.</w:t>
      </w:r>
    </w:p>
    <w:p w:rsidR="003474F2" w:rsidRPr="001A3D2B" w:rsidRDefault="003474F2" w:rsidP="003474F2">
      <w:pPr>
        <w:pStyle w:val="a3"/>
      </w:pPr>
      <w:r w:rsidRPr="001A3D2B">
        <w:t>Keywords: Gastroenterology Fellowships, Academic Accomplishments, Publications</w:t>
      </w:r>
    </w:p>
    <w:p w:rsidR="00935421" w:rsidRDefault="00935421" w:rsidP="00935421">
      <w:pPr>
        <w:pStyle w:val="a3"/>
        <w:rPr>
          <w:kern w:val="0"/>
        </w:rPr>
      </w:pPr>
      <w:r>
        <w:rPr>
          <w:rFonts w:hint="eastAsia"/>
          <w:kern w:val="0"/>
        </w:rPr>
        <w:t xml:space="preserve">? </w:t>
      </w:r>
      <w:r>
        <w:rPr>
          <w:kern w:val="0"/>
        </w:rPr>
        <w:t>Bachmann, L.M., Haberzeth, S., Steurer, J.</w:t>
      </w:r>
      <w:r w:rsidR="005853A9">
        <w:rPr>
          <w:kern w:val="0"/>
        </w:rPr>
        <w:t xml:space="preserve"> and </w:t>
      </w:r>
      <w:r>
        <w:rPr>
          <w:kern w:val="0"/>
        </w:rPr>
        <w:t>ter Riet, G. (2004</w:t>
      </w:r>
      <w:r w:rsidR="00F42EAC">
        <w:rPr>
          <w:kern w:val="0"/>
        </w:rPr>
        <w:t>), The</w:t>
      </w:r>
      <w:r w:rsidR="003A1917">
        <w:rPr>
          <w:kern w:val="0"/>
        </w:rPr>
        <w:t xml:space="preserve"> </w:t>
      </w:r>
      <w:r>
        <w:rPr>
          <w:kern w:val="0"/>
        </w:rPr>
        <w:t>accuracy</w:t>
      </w:r>
      <w:r w:rsidR="00427468">
        <w:rPr>
          <w:kern w:val="0"/>
        </w:rPr>
        <w:t xml:space="preserve"> of </w:t>
      </w:r>
      <w:r w:rsidR="003A1917">
        <w:rPr>
          <w:kern w:val="0"/>
        </w:rPr>
        <w:t xml:space="preserve">the </w:t>
      </w:r>
      <w:r>
        <w:rPr>
          <w:kern w:val="0"/>
        </w:rPr>
        <w:t xml:space="preserve">Ottawa knee rule to rule out knee fractures - A systematic review. </w:t>
      </w:r>
      <w:r>
        <w:rPr>
          <w:i/>
          <w:iCs/>
          <w:kern w:val="0"/>
        </w:rPr>
        <w:t>Annals</w:t>
      </w:r>
      <w:r w:rsidR="00427468">
        <w:rPr>
          <w:i/>
          <w:iCs/>
          <w:kern w:val="0"/>
        </w:rPr>
        <w:t xml:space="preserve"> of </w:t>
      </w:r>
      <w:r>
        <w:rPr>
          <w:i/>
          <w:iCs/>
          <w:kern w:val="0"/>
        </w:rPr>
        <w:t>Internal Medicine</w:t>
      </w:r>
      <w:r>
        <w:rPr>
          <w:kern w:val="0"/>
        </w:rPr>
        <w:t xml:space="preserve">, </w:t>
      </w:r>
      <w:r>
        <w:rPr>
          <w:b/>
          <w:bCs/>
          <w:kern w:val="0"/>
        </w:rPr>
        <w:t>140</w:t>
      </w:r>
      <w:r>
        <w:rPr>
          <w:kern w:val="0"/>
        </w:rPr>
        <w:t xml:space="preserve"> (2), 121-124.</w:t>
      </w:r>
    </w:p>
    <w:p w:rsidR="0069740E" w:rsidRPr="00F219CA" w:rsidRDefault="0069740E" w:rsidP="0069740E">
      <w:pPr>
        <w:pStyle w:val="a3"/>
      </w:pPr>
      <w:r w:rsidRPr="00F219CA">
        <w:t xml:space="preserve">Full Text: </w:t>
      </w:r>
      <w:hyperlink r:id="rId862" w:history="1">
        <w:r w:rsidRPr="00AF6D8A">
          <w:rPr>
            <w:rStyle w:val="a5"/>
          </w:rPr>
          <w:t>2004\Ann Int Med140, 121.pdf</w:t>
        </w:r>
      </w:hyperlink>
    </w:p>
    <w:p w:rsidR="00935421" w:rsidRDefault="00935421" w:rsidP="00935421">
      <w:pPr>
        <w:pStyle w:val="a3"/>
        <w:rPr>
          <w:kern w:val="0"/>
        </w:rPr>
      </w:pPr>
      <w:r>
        <w:rPr>
          <w:kern w:val="0"/>
        </w:rPr>
        <w:t>Abstract: Background:</w:t>
      </w:r>
      <w:r w:rsidR="003A1917">
        <w:rPr>
          <w:kern w:val="0"/>
        </w:rPr>
        <w:t xml:space="preserve"> the </w:t>
      </w:r>
      <w:r>
        <w:rPr>
          <w:kern w:val="0"/>
        </w:rPr>
        <w:t>Ottawa knee rule is a clinical decision aid that helps rule out fractures</w:t>
      </w:r>
      <w:r w:rsidR="005853A9">
        <w:rPr>
          <w:kern w:val="0"/>
        </w:rPr>
        <w:t xml:space="preserve"> and </w:t>
      </w:r>
      <w:r>
        <w:rPr>
          <w:kern w:val="0"/>
        </w:rPr>
        <w:t>avoid unnecessary radiography. Purpose: To summarize evidence about</w:t>
      </w:r>
      <w:r w:rsidR="003A1917">
        <w:rPr>
          <w:kern w:val="0"/>
        </w:rPr>
        <w:t xml:space="preserve"> the </w:t>
      </w:r>
      <w:r>
        <w:rPr>
          <w:kern w:val="0"/>
        </w:rPr>
        <w:t>accuracy</w:t>
      </w:r>
      <w:r w:rsidR="00427468">
        <w:rPr>
          <w:kern w:val="0"/>
        </w:rPr>
        <w:t xml:space="preserve"> of </w:t>
      </w:r>
      <w:r w:rsidR="003A1917">
        <w:rPr>
          <w:kern w:val="0"/>
        </w:rPr>
        <w:t xml:space="preserve">the </w:t>
      </w:r>
      <w:r>
        <w:rPr>
          <w:kern w:val="0"/>
        </w:rPr>
        <w:t>Ottawa knee rule. Data Sources: Relevant English-</w:t>
      </w:r>
      <w:r w:rsidR="005853A9">
        <w:rPr>
          <w:kern w:val="0"/>
        </w:rPr>
        <w:t xml:space="preserve"> and </w:t>
      </w:r>
      <w:r>
        <w:rPr>
          <w:kern w:val="0"/>
        </w:rPr>
        <w:t>non-English-language articles were identified from Pre</w:t>
      </w:r>
      <w:r w:rsidR="00D5664A">
        <w:rPr>
          <w:kern w:val="0"/>
        </w:rPr>
        <w:t>MEDLINE</w:t>
      </w:r>
      <w:r w:rsidR="005853A9">
        <w:rPr>
          <w:kern w:val="0"/>
        </w:rPr>
        <w:t xml:space="preserve"> and </w:t>
      </w:r>
      <w:r w:rsidR="00D5664A">
        <w:rPr>
          <w:kern w:val="0"/>
        </w:rPr>
        <w:t>MEDLINE</w:t>
      </w:r>
      <w:r>
        <w:rPr>
          <w:kern w:val="0"/>
        </w:rPr>
        <w:t xml:space="preserve"> (19662003), EMBASE (1980-2003), CINAHL (1982-2003), BIOSIS (1990-2003</w:t>
      </w:r>
      <w:r w:rsidR="00F42EAC">
        <w:rPr>
          <w:kern w:val="0"/>
        </w:rPr>
        <w:t>), The</w:t>
      </w:r>
      <w:r w:rsidR="003A1917">
        <w:rPr>
          <w:kern w:val="0"/>
        </w:rPr>
        <w:t xml:space="preserve"> </w:t>
      </w:r>
      <w:r>
        <w:rPr>
          <w:kern w:val="0"/>
        </w:rPr>
        <w:t>Cochrane Library (2002, Issue 3</w:t>
      </w:r>
      <w:r w:rsidR="00F42EAC">
        <w:rPr>
          <w:kern w:val="0"/>
        </w:rPr>
        <w:t>), The</w:t>
      </w:r>
      <w:r w:rsidR="003A1917">
        <w:rPr>
          <w:kern w:val="0"/>
        </w:rPr>
        <w:t xml:space="preserve"> </w:t>
      </w:r>
      <w:r>
        <w:rPr>
          <w:kern w:val="0"/>
        </w:rPr>
        <w:t>Science Citation Index database, reference lists</w:t>
      </w:r>
      <w:r w:rsidR="00427468">
        <w:rPr>
          <w:kern w:val="0"/>
        </w:rPr>
        <w:t xml:space="preserve"> of </w:t>
      </w:r>
      <w:r>
        <w:rPr>
          <w:kern w:val="0"/>
        </w:rPr>
        <w:t>included studies,</w:t>
      </w:r>
      <w:r w:rsidR="005853A9">
        <w:rPr>
          <w:kern w:val="0"/>
        </w:rPr>
        <w:t xml:space="preserve"> and </w:t>
      </w:r>
      <w:r>
        <w:rPr>
          <w:kern w:val="0"/>
        </w:rPr>
        <w:t>experts. Study Selection: Articles were included if they reported enough information to determine</w:t>
      </w:r>
      <w:r w:rsidR="003A1917">
        <w:rPr>
          <w:kern w:val="0"/>
        </w:rPr>
        <w:t xml:space="preserve"> the </w:t>
      </w:r>
      <w:r>
        <w:rPr>
          <w:kern w:val="0"/>
        </w:rPr>
        <w:t>sensitivity</w:t>
      </w:r>
      <w:r w:rsidR="005853A9">
        <w:rPr>
          <w:kern w:val="0"/>
        </w:rPr>
        <w:t xml:space="preserve"> and </w:t>
      </w:r>
      <w:r>
        <w:rPr>
          <w:kern w:val="0"/>
        </w:rPr>
        <w:t>specificity</w:t>
      </w:r>
      <w:r w:rsidR="00427468">
        <w:rPr>
          <w:kern w:val="0"/>
        </w:rPr>
        <w:t xml:space="preserve"> of </w:t>
      </w:r>
      <w:r w:rsidR="003A1917">
        <w:rPr>
          <w:kern w:val="0"/>
        </w:rPr>
        <w:t xml:space="preserve">the </w:t>
      </w:r>
      <w:r>
        <w:rPr>
          <w:kern w:val="0"/>
        </w:rPr>
        <w:t>Ottawa knee rule for detecting fractures confirmed either radiologically or in combination with follow-up. Data Extraction: Two reviewers independently extracted data on study samples,</w:t>
      </w:r>
      <w:r w:rsidR="003A1917">
        <w:rPr>
          <w:kern w:val="0"/>
        </w:rPr>
        <w:t xml:space="preserve"> the </w:t>
      </w:r>
      <w:r>
        <w:rPr>
          <w:kern w:val="0"/>
        </w:rPr>
        <w:t>ways that</w:t>
      </w:r>
      <w:r w:rsidR="003A1917">
        <w:rPr>
          <w:kern w:val="0"/>
        </w:rPr>
        <w:t xml:space="preserve"> the </w:t>
      </w:r>
      <w:r>
        <w:rPr>
          <w:kern w:val="0"/>
        </w:rPr>
        <w:t>Ottawa knee rule was used,</w:t>
      </w:r>
      <w:r w:rsidR="005853A9">
        <w:rPr>
          <w:kern w:val="0"/>
        </w:rPr>
        <w:t xml:space="preserve"> and </w:t>
      </w:r>
      <w:r>
        <w:rPr>
          <w:kern w:val="0"/>
        </w:rPr>
        <w:t>methodologic characteristics</w:t>
      </w:r>
      <w:r w:rsidR="00427468">
        <w:rPr>
          <w:kern w:val="0"/>
        </w:rPr>
        <w:t xml:space="preserve"> of </w:t>
      </w:r>
      <w:r>
        <w:rPr>
          <w:kern w:val="0"/>
        </w:rPr>
        <w:t>studies. Data Synthesis:</w:t>
      </w:r>
      <w:r w:rsidR="00427468">
        <w:rPr>
          <w:kern w:val="0"/>
        </w:rPr>
        <w:t xml:space="preserve"> of </w:t>
      </w:r>
      <w:r>
        <w:rPr>
          <w:kern w:val="0"/>
        </w:rPr>
        <w:t>11 identified studies, 6 involving 4249 adult patients were considered appropriate for pooled analysis</w:t>
      </w:r>
      <w:r w:rsidR="00A37C1D">
        <w:rPr>
          <w:kern w:val="0"/>
        </w:rPr>
        <w:t>. The</w:t>
      </w:r>
      <w:r w:rsidR="003A1917">
        <w:rPr>
          <w:kern w:val="0"/>
        </w:rPr>
        <w:t xml:space="preserve"> </w:t>
      </w:r>
      <w:r>
        <w:rPr>
          <w:kern w:val="0"/>
        </w:rPr>
        <w:t>pooled negative likelihood ratio was 0.05 (95% CI, 0.02 to 0.23</w:t>
      </w:r>
      <w:r w:rsidR="00F42EAC">
        <w:rPr>
          <w:kern w:val="0"/>
        </w:rPr>
        <w:t>), The</w:t>
      </w:r>
      <w:r w:rsidR="003A1917">
        <w:rPr>
          <w:kern w:val="0"/>
        </w:rPr>
        <w:t xml:space="preserve"> </w:t>
      </w:r>
      <w:r>
        <w:rPr>
          <w:kern w:val="0"/>
        </w:rPr>
        <w:t>pooled sensitivity was 98.5% (CI, 93.2% to 100%),</w:t>
      </w:r>
      <w:r w:rsidR="005853A9">
        <w:rPr>
          <w:kern w:val="0"/>
        </w:rPr>
        <w:t xml:space="preserve"> and </w:t>
      </w:r>
      <w:r w:rsidR="003A1917">
        <w:rPr>
          <w:kern w:val="0"/>
        </w:rPr>
        <w:t xml:space="preserve">the </w:t>
      </w:r>
      <w:r>
        <w:rPr>
          <w:kern w:val="0"/>
        </w:rPr>
        <w:t>pooled specificity was 48.6% (CI, 43.4% to 51.0%). Conclusion: A negative result on an Ottawa knee rule test accurately excluded knee fractures after acute knee injury. However, because</w:t>
      </w:r>
      <w:r w:rsidR="003A1917">
        <w:rPr>
          <w:kern w:val="0"/>
        </w:rPr>
        <w:t xml:space="preserve"> the </w:t>
      </w:r>
      <w:r>
        <w:rPr>
          <w:kern w:val="0"/>
        </w:rPr>
        <w:t>rule is calibrated toward 100% sensitivity</w:t>
      </w:r>
      <w:r w:rsidR="005853A9">
        <w:rPr>
          <w:kern w:val="0"/>
        </w:rPr>
        <w:t xml:space="preserve"> and </w:t>
      </w:r>
      <w:r>
        <w:rPr>
          <w:kern w:val="0"/>
        </w:rPr>
        <w:t>actual fracture prevalences are usually low, large-scale, multicentered studies are still needed to establish</w:t>
      </w:r>
      <w:r w:rsidR="003A1917">
        <w:rPr>
          <w:kern w:val="0"/>
        </w:rPr>
        <w:t xml:space="preserve"> the </w:t>
      </w:r>
      <w:r>
        <w:rPr>
          <w:kern w:val="0"/>
        </w:rPr>
        <w:t>cost-effectiveness</w:t>
      </w:r>
      <w:r w:rsidR="00427468">
        <w:rPr>
          <w:kern w:val="0"/>
        </w:rPr>
        <w:t xml:space="preserve"> of </w:t>
      </w:r>
      <w:r>
        <w:rPr>
          <w:kern w:val="0"/>
        </w:rPr>
        <w:t>routinely implementing</w:t>
      </w:r>
      <w:r w:rsidR="003A1917">
        <w:rPr>
          <w:kern w:val="0"/>
        </w:rPr>
        <w:t xml:space="preserve"> the </w:t>
      </w:r>
      <w:r>
        <w:rPr>
          <w:kern w:val="0"/>
        </w:rPr>
        <w:t>rule.</w:t>
      </w:r>
    </w:p>
    <w:p w:rsidR="00935421" w:rsidRDefault="00935421" w:rsidP="00935421">
      <w:pPr>
        <w:pStyle w:val="a3"/>
        <w:rPr>
          <w:kern w:val="0"/>
        </w:rPr>
      </w:pPr>
      <w:r>
        <w:rPr>
          <w:kern w:val="0"/>
        </w:rPr>
        <w:t xml:space="preserve">Keywords: Analysis, Articles, Citation, Database, Decision Rule, Diagnostic-Tests, Embase, Extraction, Injuries, </w:t>
      </w:r>
      <w:r w:rsidR="00D5664A">
        <w:rPr>
          <w:kern w:val="0"/>
        </w:rPr>
        <w:t>MEDLINE</w:t>
      </w:r>
      <w:r>
        <w:rPr>
          <w:kern w:val="0"/>
        </w:rPr>
        <w:t xml:space="preserve">, Radiography, Science, Science Citation </w:t>
      </w:r>
      <w:r>
        <w:rPr>
          <w:kern w:val="0"/>
        </w:rPr>
        <w:lastRenderedPageBreak/>
        <w:t>Index, Sensitivity</w:t>
      </w:r>
      <w:r w:rsidR="005853A9">
        <w:rPr>
          <w:kern w:val="0"/>
        </w:rPr>
        <w:t xml:space="preserve"> and </w:t>
      </w:r>
      <w:r>
        <w:rPr>
          <w:kern w:val="0"/>
        </w:rPr>
        <w:t>Specificity, Synthesis, Systematic Review, Validation</w:t>
      </w:r>
    </w:p>
    <w:p w:rsidR="003474F2" w:rsidRPr="001A3D2B" w:rsidRDefault="003474F2" w:rsidP="003474F2">
      <w:pPr>
        <w:pStyle w:val="a3"/>
      </w:pPr>
      <w:r w:rsidRPr="001A3D2B">
        <w:t>? Long, J.A., Chang, V.W., Ibrahim, S.A.</w:t>
      </w:r>
      <w:r w:rsidR="005853A9">
        <w:t xml:space="preserve"> and </w:t>
      </w:r>
      <w:r w:rsidRPr="001A3D2B">
        <w:t>Asch, D.A. (2004), Update on</w:t>
      </w:r>
      <w:r w:rsidR="003A1917">
        <w:t xml:space="preserve"> the </w:t>
      </w:r>
      <w:r w:rsidRPr="001A3D2B">
        <w:t xml:space="preserve">health disparities literature. </w:t>
      </w:r>
      <w:r w:rsidRPr="001A3D2B">
        <w:rPr>
          <w:i/>
          <w:iCs/>
        </w:rPr>
        <w:t>Annals</w:t>
      </w:r>
      <w:r w:rsidR="00427468">
        <w:rPr>
          <w:i/>
          <w:iCs/>
        </w:rPr>
        <w:t xml:space="preserve"> of </w:t>
      </w:r>
      <w:r w:rsidRPr="001A3D2B">
        <w:rPr>
          <w:i/>
          <w:iCs/>
        </w:rPr>
        <w:t>Internal Medicine</w:t>
      </w:r>
      <w:r w:rsidRPr="001A3D2B">
        <w:t xml:space="preserve">, </w:t>
      </w:r>
      <w:r w:rsidRPr="001A3D2B">
        <w:rPr>
          <w:b/>
          <w:bCs/>
        </w:rPr>
        <w:t>141</w:t>
      </w:r>
      <w:r w:rsidRPr="001A3D2B">
        <w:t xml:space="preserve"> (10), 805-812.</w:t>
      </w:r>
    </w:p>
    <w:p w:rsidR="003474F2" w:rsidRPr="001A3D2B" w:rsidRDefault="003474F2" w:rsidP="003474F2">
      <w:pPr>
        <w:pStyle w:val="a3"/>
      </w:pPr>
      <w:r w:rsidRPr="001A3D2B">
        <w:t xml:space="preserve">Full Text: </w:t>
      </w:r>
      <w:hyperlink r:id="rId863" w:history="1">
        <w:r w:rsidRPr="001A3D2B">
          <w:rPr>
            <w:rStyle w:val="a5"/>
          </w:rPr>
          <w:t>2004\Ann Int Med141, 805.pdf</w:t>
        </w:r>
      </w:hyperlink>
    </w:p>
    <w:p w:rsidR="003474F2" w:rsidRPr="001A3D2B" w:rsidRDefault="003474F2" w:rsidP="003474F2">
      <w:pPr>
        <w:pStyle w:val="a3"/>
      </w:pPr>
      <w:r w:rsidRPr="001A3D2B">
        <w:t>Keywords: Health, Health Disparities, Literature</w:t>
      </w:r>
    </w:p>
    <w:p w:rsidR="008C1C37" w:rsidRDefault="008C1C37" w:rsidP="008C1C37">
      <w:pPr>
        <w:pStyle w:val="a3"/>
        <w:rPr>
          <w:kern w:val="0"/>
        </w:rPr>
      </w:pPr>
      <w:r>
        <w:rPr>
          <w:rFonts w:hint="eastAsia"/>
          <w:kern w:val="0"/>
        </w:rPr>
        <w:t xml:space="preserve">? </w:t>
      </w:r>
      <w:r>
        <w:rPr>
          <w:kern w:val="0"/>
        </w:rPr>
        <w:t>Goodacre, S., Sutton, A.J.</w:t>
      </w:r>
      <w:r w:rsidR="005853A9">
        <w:rPr>
          <w:kern w:val="0"/>
        </w:rPr>
        <w:t xml:space="preserve"> and </w:t>
      </w:r>
      <w:r>
        <w:rPr>
          <w:kern w:val="0"/>
        </w:rPr>
        <w:t>Sampson, F.C. (2005), Meta-analysis:</w:t>
      </w:r>
      <w:r w:rsidR="003A1917">
        <w:rPr>
          <w:kern w:val="0"/>
        </w:rPr>
        <w:t xml:space="preserve"> the </w:t>
      </w:r>
      <w:r>
        <w:rPr>
          <w:kern w:val="0"/>
        </w:rPr>
        <w:t>value</w:t>
      </w:r>
      <w:r w:rsidR="00427468">
        <w:rPr>
          <w:kern w:val="0"/>
        </w:rPr>
        <w:t xml:space="preserve"> of </w:t>
      </w:r>
      <w:r>
        <w:rPr>
          <w:kern w:val="0"/>
        </w:rPr>
        <w:t>clinical assessment in</w:t>
      </w:r>
      <w:r w:rsidR="003A1917">
        <w:rPr>
          <w:kern w:val="0"/>
        </w:rPr>
        <w:t xml:space="preserve"> the </w:t>
      </w:r>
      <w:r>
        <w:rPr>
          <w:kern w:val="0"/>
        </w:rPr>
        <w:t>diagnosis</w:t>
      </w:r>
      <w:r w:rsidR="00427468">
        <w:rPr>
          <w:kern w:val="0"/>
        </w:rPr>
        <w:t xml:space="preserve"> of </w:t>
      </w:r>
      <w:r>
        <w:rPr>
          <w:kern w:val="0"/>
        </w:rPr>
        <w:t xml:space="preserve">deep venous thrombosis. </w:t>
      </w:r>
      <w:r>
        <w:rPr>
          <w:i/>
          <w:iCs/>
          <w:kern w:val="0"/>
        </w:rPr>
        <w:t>Annals</w:t>
      </w:r>
      <w:r w:rsidR="00427468">
        <w:rPr>
          <w:i/>
          <w:iCs/>
          <w:kern w:val="0"/>
        </w:rPr>
        <w:t xml:space="preserve"> of </w:t>
      </w:r>
      <w:r>
        <w:rPr>
          <w:i/>
          <w:iCs/>
          <w:kern w:val="0"/>
        </w:rPr>
        <w:t>Internal Medicine</w:t>
      </w:r>
      <w:r>
        <w:rPr>
          <w:kern w:val="0"/>
        </w:rPr>
        <w:t xml:space="preserve">, </w:t>
      </w:r>
      <w:r>
        <w:rPr>
          <w:b/>
          <w:bCs/>
          <w:kern w:val="0"/>
        </w:rPr>
        <w:t>143</w:t>
      </w:r>
      <w:r>
        <w:rPr>
          <w:kern w:val="0"/>
        </w:rPr>
        <w:t xml:space="preserve"> (2), 129-139.</w:t>
      </w:r>
    </w:p>
    <w:p w:rsidR="0069740E" w:rsidRDefault="0069740E" w:rsidP="0069740E">
      <w:pPr>
        <w:pStyle w:val="a3"/>
        <w:rPr>
          <w:kern w:val="0"/>
        </w:rPr>
      </w:pPr>
      <w:r>
        <w:rPr>
          <w:rFonts w:hint="eastAsia"/>
          <w:kern w:val="0"/>
        </w:rPr>
        <w:t xml:space="preserve">Full Text: </w:t>
      </w:r>
      <w:hyperlink r:id="rId864" w:history="1">
        <w:r w:rsidRPr="0069740E">
          <w:rPr>
            <w:rStyle w:val="a5"/>
            <w:kern w:val="0"/>
          </w:rPr>
          <w:t>2005\Ann Int Med143, 129.pdf</w:t>
        </w:r>
      </w:hyperlink>
    </w:p>
    <w:p w:rsidR="008C1C37" w:rsidRDefault="008C1C37" w:rsidP="008C1C37">
      <w:pPr>
        <w:pStyle w:val="a3"/>
        <w:rPr>
          <w:kern w:val="0"/>
        </w:rPr>
      </w:pPr>
      <w:r>
        <w:rPr>
          <w:kern w:val="0"/>
        </w:rPr>
        <w:t>Abstract: Background: Clinical assessment</w:t>
      </w:r>
      <w:r w:rsidR="00427468">
        <w:rPr>
          <w:kern w:val="0"/>
        </w:rPr>
        <w:t xml:space="preserve"> of </w:t>
      </w:r>
      <w:r>
        <w:rPr>
          <w:kern w:val="0"/>
        </w:rPr>
        <w:t>suspected deep venous thrombosis (DVT) should be based on systematically evaluated evidence. Purpose: To determine whether clinical findings, risk scores,</w:t>
      </w:r>
      <w:r w:rsidR="005853A9">
        <w:rPr>
          <w:kern w:val="0"/>
        </w:rPr>
        <w:t xml:space="preserve"> and </w:t>
      </w:r>
      <w:r>
        <w:rPr>
          <w:kern w:val="0"/>
        </w:rPr>
        <w:t>physicians, empirical judgments affect</w:t>
      </w:r>
      <w:r w:rsidR="003A1917">
        <w:rPr>
          <w:kern w:val="0"/>
        </w:rPr>
        <w:t xml:space="preserve"> the </w:t>
      </w:r>
      <w:r>
        <w:rPr>
          <w:kern w:val="0"/>
        </w:rPr>
        <w:t>likelihood</w:t>
      </w:r>
      <w:r w:rsidR="00427468">
        <w:rPr>
          <w:kern w:val="0"/>
        </w:rPr>
        <w:t xml:space="preserve"> of </w:t>
      </w:r>
      <w:r>
        <w:rPr>
          <w:kern w:val="0"/>
        </w:rPr>
        <w:t xml:space="preserve">detecting DVT on definitive testing. Data Sources: </w:t>
      </w:r>
      <w:r w:rsidR="00D5664A">
        <w:rPr>
          <w:kern w:val="0"/>
        </w:rPr>
        <w:t>MEDLINE</w:t>
      </w:r>
      <w:r>
        <w:rPr>
          <w:kern w:val="0"/>
        </w:rPr>
        <w:t xml:space="preserve">, EMBASE, CINAHL, </w:t>
      </w:r>
      <w:r w:rsidR="00D5664A">
        <w:rPr>
          <w:kern w:val="0"/>
        </w:rPr>
        <w:t>Web</w:t>
      </w:r>
      <w:r w:rsidR="00427468">
        <w:rPr>
          <w:kern w:val="0"/>
        </w:rPr>
        <w:t xml:space="preserve"> of </w:t>
      </w:r>
      <w:r w:rsidR="00D5664A">
        <w:rPr>
          <w:kern w:val="0"/>
        </w:rPr>
        <w:t>Science</w:t>
      </w:r>
      <w:r>
        <w:rPr>
          <w:kern w:val="0"/>
        </w:rPr>
        <w:t>, Cochrane Database</w:t>
      </w:r>
      <w:r w:rsidR="00427468">
        <w:rPr>
          <w:kern w:val="0"/>
        </w:rPr>
        <w:t xml:space="preserve"> of </w:t>
      </w:r>
      <w:r>
        <w:rPr>
          <w:kern w:val="0"/>
        </w:rPr>
        <w:t>Systematic Reviews, Cochrane Controlled Trials Register, Database</w:t>
      </w:r>
      <w:r w:rsidR="00427468">
        <w:rPr>
          <w:kern w:val="0"/>
        </w:rPr>
        <w:t xml:space="preserve"> of </w:t>
      </w:r>
      <w:r>
        <w:rPr>
          <w:kern w:val="0"/>
        </w:rPr>
        <w:t>Reviews</w:t>
      </w:r>
      <w:r w:rsidR="00427468">
        <w:rPr>
          <w:kern w:val="0"/>
        </w:rPr>
        <w:t xml:space="preserve"> of </w:t>
      </w:r>
      <w:r>
        <w:rPr>
          <w:kern w:val="0"/>
        </w:rPr>
        <w:t>Effectiveness, ACP Journal Club,</w:t>
      </w:r>
      <w:r w:rsidR="005853A9">
        <w:rPr>
          <w:kern w:val="0"/>
        </w:rPr>
        <w:t xml:space="preserve"> and </w:t>
      </w:r>
      <w:r>
        <w:rPr>
          <w:kern w:val="0"/>
        </w:rPr>
        <w:t>citation lists (1966 to January 2005). Study Selection: Cohort studies published in English, French, Spanish, or Italian that compared clinical assessment with a reference standard. Data Extraction:</w:t>
      </w:r>
      <w:r w:rsidR="003A1917">
        <w:rPr>
          <w:kern w:val="0"/>
        </w:rPr>
        <w:t xml:space="preserve"> the </w:t>
      </w:r>
      <w:r>
        <w:rPr>
          <w:kern w:val="0"/>
        </w:rPr>
        <w:t>authors extracted standardized data, including setting, exclusions, population characteristics, reference standard,</w:t>
      </w:r>
      <w:r w:rsidR="005853A9">
        <w:rPr>
          <w:kern w:val="0"/>
        </w:rPr>
        <w:t xml:space="preserve"> and </w:t>
      </w:r>
      <w:r>
        <w:rPr>
          <w:kern w:val="0"/>
        </w:rPr>
        <w:t>results,</w:t>
      </w:r>
      <w:r w:rsidR="005853A9">
        <w:rPr>
          <w:kern w:val="0"/>
        </w:rPr>
        <w:t xml:space="preserve"> and </w:t>
      </w:r>
      <w:r>
        <w:rPr>
          <w:kern w:val="0"/>
        </w:rPr>
        <w:t>assessed quality against validated criteria. Data Synthesis:</w:t>
      </w:r>
      <w:r w:rsidR="003A1917">
        <w:rPr>
          <w:kern w:val="0"/>
        </w:rPr>
        <w:t xml:space="preserve"> the </w:t>
      </w:r>
      <w:r>
        <w:rPr>
          <w:kern w:val="0"/>
        </w:rPr>
        <w:t>authors combined data by using random-effects meta-analysis and, if appropriate, used meta-regression to identify covariates that predicted diagnostic accuracy. Only malignancy (likelihood ratio [LR], 2.71), previous DVT (LR, 2.25), recent immobilization (LR, 1.98), difference in calf diameter (LR, 1.80),</w:t>
      </w:r>
      <w:r w:rsidR="005853A9">
        <w:rPr>
          <w:kern w:val="0"/>
        </w:rPr>
        <w:t xml:space="preserve"> and </w:t>
      </w:r>
      <w:r>
        <w:rPr>
          <w:kern w:val="0"/>
        </w:rPr>
        <w:t>recent surgery (LR, 1.76) were useful for ruling in DVT, while only absence</w:t>
      </w:r>
      <w:r w:rsidR="00427468">
        <w:rPr>
          <w:kern w:val="0"/>
        </w:rPr>
        <w:t xml:space="preserve"> of </w:t>
      </w:r>
      <w:r>
        <w:rPr>
          <w:kern w:val="0"/>
        </w:rPr>
        <w:t>calf swelling (LR, 0.67) or difference in calf diameter (LR, 0.57) was useful for ruling out DVT</w:t>
      </w:r>
      <w:r w:rsidR="00A37C1D">
        <w:rPr>
          <w:kern w:val="0"/>
        </w:rPr>
        <w:t>. The</w:t>
      </w:r>
      <w:r w:rsidR="003A1917">
        <w:rPr>
          <w:kern w:val="0"/>
        </w:rPr>
        <w:t xml:space="preserve"> </w:t>
      </w:r>
      <w:r>
        <w:rPr>
          <w:kern w:val="0"/>
        </w:rPr>
        <w:t>Wells clinical score was more valuable than</w:t>
      </w:r>
      <w:r w:rsidR="003A1917">
        <w:rPr>
          <w:kern w:val="0"/>
        </w:rPr>
        <w:t xml:space="preserve"> the </w:t>
      </w:r>
      <w:r>
        <w:rPr>
          <w:kern w:val="0"/>
        </w:rPr>
        <w:t>individual characteristics; it stratified patients into groups with high (LR, 5.2), intermediate,</w:t>
      </w:r>
      <w:r w:rsidR="005853A9">
        <w:rPr>
          <w:kern w:val="0"/>
        </w:rPr>
        <w:t xml:space="preserve"> and </w:t>
      </w:r>
      <w:r>
        <w:rPr>
          <w:kern w:val="0"/>
        </w:rPr>
        <w:t>low (LR, 0.25) probability</w:t>
      </w:r>
      <w:r w:rsidR="00427468">
        <w:rPr>
          <w:kern w:val="0"/>
        </w:rPr>
        <w:t xml:space="preserve"> of </w:t>
      </w:r>
      <w:r>
        <w:rPr>
          <w:kern w:val="0"/>
        </w:rPr>
        <w:t>DVT,</w:t>
      </w:r>
      <w:r w:rsidR="003A1917">
        <w:rPr>
          <w:kern w:val="0"/>
        </w:rPr>
        <w:t xml:space="preserve"> the </w:t>
      </w:r>
      <w:r>
        <w:rPr>
          <w:kern w:val="0"/>
        </w:rPr>
        <w:t>Wells score seemed able to stratify patients by risk only for proximal DVT,</w:t>
      </w:r>
      <w:r w:rsidR="005853A9">
        <w:rPr>
          <w:kern w:val="0"/>
        </w:rPr>
        <w:t xml:space="preserve"> and </w:t>
      </w:r>
      <w:r>
        <w:rPr>
          <w:kern w:val="0"/>
        </w:rPr>
        <w:t>it performed better in cohorts that were younger or excluded patients with previous thromboembolism. Limitations: Pooled estimates were subject to substantial heterogeneity. This may limit extrapolation between observers</w:t>
      </w:r>
      <w:r w:rsidR="005853A9">
        <w:rPr>
          <w:kern w:val="0"/>
        </w:rPr>
        <w:t xml:space="preserve"> and </w:t>
      </w:r>
      <w:r>
        <w:rPr>
          <w:kern w:val="0"/>
        </w:rPr>
        <w:t>settings. Only published studies were included, so findings may be subject to publication bias. Conclusion: individual clinical features are</w:t>
      </w:r>
      <w:r w:rsidR="00427468">
        <w:rPr>
          <w:kern w:val="0"/>
        </w:rPr>
        <w:t xml:space="preserve"> of </w:t>
      </w:r>
      <w:r>
        <w:rPr>
          <w:kern w:val="0"/>
        </w:rPr>
        <w:t>limited value in diagnosing DVT. Overall assessment</w:t>
      </w:r>
      <w:r w:rsidR="00427468">
        <w:rPr>
          <w:kern w:val="0"/>
        </w:rPr>
        <w:t xml:space="preserve"> of </w:t>
      </w:r>
      <w:r>
        <w:rPr>
          <w:kern w:val="0"/>
        </w:rPr>
        <w:t>clinical probability by using</w:t>
      </w:r>
      <w:r w:rsidR="003A1917">
        <w:rPr>
          <w:kern w:val="0"/>
        </w:rPr>
        <w:t xml:space="preserve"> the </w:t>
      </w:r>
      <w:r>
        <w:rPr>
          <w:kern w:val="0"/>
        </w:rPr>
        <w:t>Wells score is more useful.</w:t>
      </w:r>
    </w:p>
    <w:p w:rsidR="008C1C37" w:rsidRDefault="008C1C37" w:rsidP="008C1C37">
      <w:pPr>
        <w:pStyle w:val="a3"/>
        <w:rPr>
          <w:kern w:val="0"/>
        </w:rPr>
      </w:pPr>
      <w:r>
        <w:rPr>
          <w:kern w:val="0"/>
        </w:rPr>
        <w:t xml:space="preserve">Keywords: Accuracy, Appropriate Indications, Assessment, Authors, Bias, Citation, Cochrane, D-Dimer Assay, Diagnosis, Duplex Ultrasonographic Examinations, Effectiveness, EMBASE, Emergency-Department, Extraction, Impedance Plethysmography, Journal, Lower-Limbs, Malignancy, </w:t>
      </w:r>
      <w:r w:rsidR="00D5664A">
        <w:rPr>
          <w:kern w:val="0"/>
        </w:rPr>
        <w:t>MEDLINE</w:t>
      </w:r>
      <w:r>
        <w:rPr>
          <w:kern w:val="0"/>
        </w:rPr>
        <w:t xml:space="preserve">, Meta Analysis, </w:t>
      </w:r>
      <w:r>
        <w:rPr>
          <w:kern w:val="0"/>
        </w:rPr>
        <w:lastRenderedPageBreak/>
        <w:t xml:space="preserve">Meta-Analysis, Model, Physical-Examination, Physicians, Predictive Value, Publication, Publication Bias, Ratio, Risk, Science, Sources, Surgery, Systematic, Thrombosis, Vein Thrombosis, Venous Thrombosis, </w:t>
      </w:r>
      <w:r w:rsidR="00D5664A">
        <w:rPr>
          <w:kern w:val="0"/>
        </w:rPr>
        <w:t>Web</w:t>
      </w:r>
      <w:r w:rsidR="00427468">
        <w:rPr>
          <w:kern w:val="0"/>
        </w:rPr>
        <w:t xml:space="preserve"> of </w:t>
      </w:r>
      <w:r w:rsidR="00D5664A">
        <w:rPr>
          <w:kern w:val="0"/>
        </w:rPr>
        <w:t>Science</w:t>
      </w:r>
    </w:p>
    <w:p w:rsidR="00FD2568" w:rsidRDefault="00FD2568" w:rsidP="00FD2568">
      <w:pPr>
        <w:pStyle w:val="a3"/>
        <w:rPr>
          <w:kern w:val="0"/>
        </w:rPr>
      </w:pPr>
      <w:r>
        <w:rPr>
          <w:rFonts w:hint="eastAsia"/>
          <w:kern w:val="0"/>
        </w:rPr>
        <w:t xml:space="preserve">? </w:t>
      </w:r>
      <w:r>
        <w:rPr>
          <w:kern w:val="0"/>
        </w:rPr>
        <w:t>Boudville, N., Prasad, G.V.R., Knoll, G., Muirhead, N., Thiessen-Philbrook, H., Yang, R.C., Rosas-Arellano, M.P., Ho</w:t>
      </w:r>
      <w:r w:rsidR="00D5664A">
        <w:rPr>
          <w:kern w:val="0"/>
        </w:rPr>
        <w:t>USA</w:t>
      </w:r>
      <w:r>
        <w:rPr>
          <w:kern w:val="0"/>
        </w:rPr>
        <w:t>wi, A.</w:t>
      </w:r>
      <w:r w:rsidR="005853A9">
        <w:rPr>
          <w:kern w:val="0"/>
        </w:rPr>
        <w:t xml:space="preserve"> and </w:t>
      </w:r>
      <w:r>
        <w:rPr>
          <w:kern w:val="0"/>
        </w:rPr>
        <w:t xml:space="preserve">Garg, A.X. (2006), Meta-analysis: Risk for hypertension in living kidney donors. </w:t>
      </w:r>
      <w:r>
        <w:rPr>
          <w:i/>
          <w:iCs/>
          <w:kern w:val="0"/>
        </w:rPr>
        <w:t>Annals</w:t>
      </w:r>
      <w:r w:rsidR="00427468">
        <w:rPr>
          <w:i/>
          <w:iCs/>
          <w:kern w:val="0"/>
        </w:rPr>
        <w:t xml:space="preserve"> of </w:t>
      </w:r>
      <w:r>
        <w:rPr>
          <w:i/>
          <w:iCs/>
          <w:kern w:val="0"/>
        </w:rPr>
        <w:t>Internal Medicine</w:t>
      </w:r>
      <w:r>
        <w:rPr>
          <w:kern w:val="0"/>
        </w:rPr>
        <w:t xml:space="preserve">, </w:t>
      </w:r>
      <w:r>
        <w:rPr>
          <w:b/>
          <w:bCs/>
          <w:kern w:val="0"/>
        </w:rPr>
        <w:t>145</w:t>
      </w:r>
      <w:r>
        <w:rPr>
          <w:kern w:val="0"/>
        </w:rPr>
        <w:t xml:space="preserve"> (3), 185-196.</w:t>
      </w:r>
    </w:p>
    <w:p w:rsidR="00FD2568" w:rsidRPr="001A3D2B" w:rsidRDefault="00FD2568" w:rsidP="00FD2568">
      <w:pPr>
        <w:pStyle w:val="a3"/>
      </w:pPr>
      <w:r w:rsidRPr="001A3D2B">
        <w:t xml:space="preserve">Full Text: </w:t>
      </w:r>
      <w:hyperlink r:id="rId865" w:history="1">
        <w:r w:rsidRPr="002E3E99">
          <w:rPr>
            <w:rStyle w:val="a5"/>
          </w:rPr>
          <w:t>2006\Ann Int Med145, 185.pdf</w:t>
        </w:r>
      </w:hyperlink>
    </w:p>
    <w:p w:rsidR="00FD2568" w:rsidRDefault="00FD2568" w:rsidP="00FD2568">
      <w:pPr>
        <w:pStyle w:val="a3"/>
        <w:rPr>
          <w:kern w:val="0"/>
        </w:rPr>
      </w:pPr>
      <w:r>
        <w:rPr>
          <w:kern w:val="0"/>
        </w:rPr>
        <w:t>Abstract: Background:</w:t>
      </w:r>
      <w:r w:rsidR="003A1917">
        <w:rPr>
          <w:kern w:val="0"/>
        </w:rPr>
        <w:t xml:space="preserve"> the </w:t>
      </w:r>
      <w:r>
        <w:rPr>
          <w:kern w:val="0"/>
        </w:rPr>
        <w:t>risk for hypertension after kidney donation remains uncertain. Purpose: To see whether normotensive adults who donate a kidney develop higher blood pressure</w:t>
      </w:r>
      <w:r w:rsidR="005853A9">
        <w:rPr>
          <w:kern w:val="0"/>
        </w:rPr>
        <w:t xml:space="preserve"> and </w:t>
      </w:r>
      <w:r>
        <w:rPr>
          <w:kern w:val="0"/>
        </w:rPr>
        <w:t xml:space="preserve">risk for hypertension compared with nondonor adults acting as control participants. Data Sources: </w:t>
      </w:r>
      <w:r w:rsidR="00D5664A">
        <w:rPr>
          <w:kern w:val="0"/>
        </w:rPr>
        <w:t>MEDLINE</w:t>
      </w:r>
      <w:r>
        <w:rPr>
          <w:kern w:val="0"/>
        </w:rPr>
        <w:t>, EMBASE,</w:t>
      </w:r>
      <w:r w:rsidR="005853A9">
        <w:rPr>
          <w:kern w:val="0"/>
        </w:rPr>
        <w:t xml:space="preserve"> and </w:t>
      </w:r>
      <w:r>
        <w:rPr>
          <w:kern w:val="0"/>
        </w:rPr>
        <w:t>Science Citation Index were searched from 1966 until November 2005 for articles published in any language. Reference lists</w:t>
      </w:r>
      <w:r w:rsidR="00427468">
        <w:rPr>
          <w:kern w:val="0"/>
        </w:rPr>
        <w:t xml:space="preserve"> of </w:t>
      </w:r>
      <w:r>
        <w:rPr>
          <w:kern w:val="0"/>
        </w:rPr>
        <w:t>pertinent articles were also reviewed. Study Selection:</w:t>
      </w:r>
      <w:r w:rsidR="003A1917">
        <w:rPr>
          <w:kern w:val="0"/>
        </w:rPr>
        <w:t xml:space="preserve"> the </w:t>
      </w:r>
      <w:r>
        <w:rPr>
          <w:kern w:val="0"/>
        </w:rPr>
        <w:t>authors selected studies involving 10 or more healthy normotensive adults who donated a kidney</w:t>
      </w:r>
      <w:r w:rsidR="005853A9">
        <w:rPr>
          <w:kern w:val="0"/>
        </w:rPr>
        <w:t xml:space="preserve"> and </w:t>
      </w:r>
      <w:r>
        <w:rPr>
          <w:kern w:val="0"/>
        </w:rPr>
        <w:t>in whom blood pressure was assessed at least 1 year later. Data Extraction: Two reviewers independently abstracted data on study</w:t>
      </w:r>
      <w:r w:rsidR="005853A9">
        <w:rPr>
          <w:kern w:val="0"/>
        </w:rPr>
        <w:t xml:space="preserve"> and </w:t>
      </w:r>
      <w:r>
        <w:rPr>
          <w:kern w:val="0"/>
        </w:rPr>
        <w:t>donor characteristics, blood pressure measurements, outcomes,</w:t>
      </w:r>
      <w:r w:rsidR="005853A9">
        <w:rPr>
          <w:kern w:val="0"/>
        </w:rPr>
        <w:t xml:space="preserve"> and </w:t>
      </w:r>
      <w:r>
        <w:rPr>
          <w:kern w:val="0"/>
        </w:rPr>
        <w:t>prognostic features. Comparison data were abstracted from donor studies with control participants. Thirty primary authors provided additional data. Data Synthesis: Forty-eight studies from 28 countries followed a total</w:t>
      </w:r>
      <w:r w:rsidR="00427468">
        <w:rPr>
          <w:kern w:val="0"/>
        </w:rPr>
        <w:t xml:space="preserve"> of </w:t>
      </w:r>
      <w:r>
        <w:rPr>
          <w:kern w:val="0"/>
        </w:rPr>
        <w:t>5145 donors. Before surgery,</w:t>
      </w:r>
      <w:r w:rsidR="003A1917">
        <w:rPr>
          <w:kern w:val="0"/>
        </w:rPr>
        <w:t xml:space="preserve"> the </w:t>
      </w:r>
      <w:r>
        <w:rPr>
          <w:kern w:val="0"/>
        </w:rPr>
        <w:t>average age</w:t>
      </w:r>
      <w:r w:rsidR="00427468">
        <w:rPr>
          <w:kern w:val="0"/>
        </w:rPr>
        <w:t xml:space="preserve"> of </w:t>
      </w:r>
      <w:r>
        <w:rPr>
          <w:kern w:val="0"/>
        </w:rPr>
        <w:t>donors was 41 years,</w:t>
      </w:r>
      <w:r w:rsidR="003A1917">
        <w:rPr>
          <w:kern w:val="0"/>
        </w:rPr>
        <w:t xml:space="preserve"> the </w:t>
      </w:r>
      <w:r>
        <w:rPr>
          <w:kern w:val="0"/>
        </w:rPr>
        <w:t>average systolic blood pressure was 121 mm Hg,</w:t>
      </w:r>
      <w:r w:rsidR="005853A9">
        <w:rPr>
          <w:kern w:val="0"/>
        </w:rPr>
        <w:t xml:space="preserve"> and </w:t>
      </w:r>
      <w:r w:rsidR="003A1917">
        <w:rPr>
          <w:kern w:val="0"/>
        </w:rPr>
        <w:t xml:space="preserve">the </w:t>
      </w:r>
      <w:r>
        <w:rPr>
          <w:kern w:val="0"/>
        </w:rPr>
        <w:t>average diastolic blood pressure was 77 mm Hg for all studies. In controlled studies in which</w:t>
      </w:r>
      <w:r w:rsidR="003A1917">
        <w:rPr>
          <w:kern w:val="0"/>
        </w:rPr>
        <w:t xml:space="preserve"> the </w:t>
      </w:r>
      <w:r>
        <w:rPr>
          <w:kern w:val="0"/>
        </w:rPr>
        <w:t>average follow-up was at least 5 years after donation (range, 6 to 13 years), blood pressure was 5 mm Hg higher in donors than in control participants (the weighted mean for systolic blood pressure using 4 studies involving 157 donors</w:t>
      </w:r>
      <w:r w:rsidR="005853A9">
        <w:rPr>
          <w:kern w:val="0"/>
        </w:rPr>
        <w:t xml:space="preserve"> and </w:t>
      </w:r>
      <w:r>
        <w:rPr>
          <w:kern w:val="0"/>
        </w:rPr>
        <w:t>128 control participants was 6 mm Hg [95% Cl, 2 to 11 mm Hg],</w:t>
      </w:r>
      <w:r w:rsidR="005853A9">
        <w:rPr>
          <w:kern w:val="0"/>
        </w:rPr>
        <w:t xml:space="preserve"> and </w:t>
      </w:r>
      <w:r w:rsidR="003A1917">
        <w:rPr>
          <w:kern w:val="0"/>
        </w:rPr>
        <w:t xml:space="preserve">the </w:t>
      </w:r>
      <w:r>
        <w:rPr>
          <w:kern w:val="0"/>
        </w:rPr>
        <w:t>weighted mean for diastolic blood pressure using 5 studies involving 196 donors</w:t>
      </w:r>
      <w:r w:rsidR="005853A9">
        <w:rPr>
          <w:kern w:val="0"/>
        </w:rPr>
        <w:t xml:space="preserve"> and </w:t>
      </w:r>
      <w:r>
        <w:rPr>
          <w:kern w:val="0"/>
        </w:rPr>
        <w:t>161 control participants was 4 mm Hg [Cl, 1 to 7 mm Hg])</w:t>
      </w:r>
      <w:r w:rsidR="00A37C1D">
        <w:rPr>
          <w:kern w:val="0"/>
        </w:rPr>
        <w:t>. The</w:t>
      </w:r>
      <w:r>
        <w:rPr>
          <w:kern w:val="0"/>
        </w:rPr>
        <w:t>re was statistical heterogeneity among</w:t>
      </w:r>
      <w:r w:rsidR="003A1917">
        <w:rPr>
          <w:kern w:val="0"/>
        </w:rPr>
        <w:t xml:space="preserve"> the </w:t>
      </w:r>
      <w:r>
        <w:rPr>
          <w:kern w:val="0"/>
        </w:rPr>
        <w:t>6 controlled studies that assessed hypertension; an increase in risk was noted in 1 study (relative risk, 1.9 [Cl, 1.1 to 3.5]). Limitations: Most studies were retrospective</w:t>
      </w:r>
      <w:r w:rsidR="005853A9">
        <w:rPr>
          <w:kern w:val="0"/>
        </w:rPr>
        <w:t xml:space="preserve"> and </w:t>
      </w:r>
      <w:r>
        <w:rPr>
          <w:kern w:val="0"/>
        </w:rPr>
        <w:t>did not include control groups that were assembled</w:t>
      </w:r>
      <w:r w:rsidR="005853A9">
        <w:rPr>
          <w:kern w:val="0"/>
        </w:rPr>
        <w:t xml:space="preserve"> and </w:t>
      </w:r>
      <w:r>
        <w:rPr>
          <w:kern w:val="0"/>
        </w:rPr>
        <w:t>followed along with donors. Approximately one third</w:t>
      </w:r>
      <w:r w:rsidR="00427468">
        <w:rPr>
          <w:kern w:val="0"/>
        </w:rPr>
        <w:t xml:space="preserve"> of </w:t>
      </w:r>
      <w:r w:rsidR="003A1917">
        <w:rPr>
          <w:kern w:val="0"/>
        </w:rPr>
        <w:t xml:space="preserve">the </w:t>
      </w:r>
      <w:r>
        <w:rPr>
          <w:kern w:val="0"/>
        </w:rPr>
        <w:t>donors had incomplete follow-up information. Conclusions: On</w:t>
      </w:r>
      <w:r w:rsidR="003A1917">
        <w:rPr>
          <w:kern w:val="0"/>
        </w:rPr>
        <w:t xml:space="preserve"> the </w:t>
      </w:r>
      <w:r>
        <w:rPr>
          <w:kern w:val="0"/>
        </w:rPr>
        <w:t>basis</w:t>
      </w:r>
      <w:r w:rsidR="00427468">
        <w:rPr>
          <w:kern w:val="0"/>
        </w:rPr>
        <w:t xml:space="preserve"> of </w:t>
      </w:r>
      <w:r w:rsidR="003A1917">
        <w:rPr>
          <w:kern w:val="0"/>
        </w:rPr>
        <w:t xml:space="preserve">the </w:t>
      </w:r>
      <w:r>
        <w:rPr>
          <w:kern w:val="0"/>
        </w:rPr>
        <w:t>limited studies conducted to date, kidney donors may have a 5-mm Hg increase in blood pressure within 5 to 10 years after donation over that anticipated with normal aging. Future controlled, prospective studies with long periods</w:t>
      </w:r>
      <w:r w:rsidR="00427468">
        <w:rPr>
          <w:kern w:val="0"/>
        </w:rPr>
        <w:t xml:space="preserve"> of </w:t>
      </w:r>
      <w:r>
        <w:rPr>
          <w:kern w:val="0"/>
        </w:rPr>
        <w:t>follow-up will better delineate safety</w:t>
      </w:r>
      <w:r w:rsidR="005853A9">
        <w:rPr>
          <w:kern w:val="0"/>
        </w:rPr>
        <w:t xml:space="preserve"> and </w:t>
      </w:r>
      <w:r>
        <w:rPr>
          <w:kern w:val="0"/>
        </w:rPr>
        <w:t>identify donors at lowest risk for long-term morbidity.</w:t>
      </w:r>
    </w:p>
    <w:p w:rsidR="00FD2568" w:rsidRDefault="00FD2568" w:rsidP="00FD2568">
      <w:pPr>
        <w:pStyle w:val="a3"/>
        <w:rPr>
          <w:kern w:val="0"/>
        </w:rPr>
      </w:pPr>
      <w:r>
        <w:rPr>
          <w:kern w:val="0"/>
        </w:rPr>
        <w:t xml:space="preserve">Keywords: Aging, Articles, Blood-Pressure, Characteristics, Citation, Clinical-Trials, </w:t>
      </w:r>
      <w:r>
        <w:rPr>
          <w:kern w:val="0"/>
        </w:rPr>
        <w:lastRenderedPageBreak/>
        <w:t xml:space="preserve">Donation, Extraction, Groups, Heterogeneity, Hypertension, Language, Long-Term, </w:t>
      </w:r>
      <w:r w:rsidR="00D5664A">
        <w:rPr>
          <w:kern w:val="0"/>
        </w:rPr>
        <w:t>MEDLINE</w:t>
      </w:r>
      <w:r>
        <w:rPr>
          <w:kern w:val="0"/>
        </w:rPr>
        <w:t>, Meta-Analysis, Meta-Regression, Nephrectomy, Outcomes, Primary, Renal-Function, Risk, Science, Science Citation Index, Single Center, Sources, Surgery, Synthesis, Term-Follow</w:t>
      </w:r>
      <w:r w:rsidR="0062028A">
        <w:rPr>
          <w:kern w:val="0"/>
        </w:rPr>
        <w:t>-up,</w:t>
      </w:r>
      <w:r>
        <w:rPr>
          <w:kern w:val="0"/>
        </w:rPr>
        <w:t xml:space="preserve"> Transplantation</w:t>
      </w:r>
    </w:p>
    <w:p w:rsidR="008C1C37" w:rsidRDefault="008C1C37" w:rsidP="008C1C37">
      <w:pPr>
        <w:pStyle w:val="a3"/>
        <w:rPr>
          <w:kern w:val="0"/>
        </w:rPr>
      </w:pPr>
      <w:r>
        <w:rPr>
          <w:rFonts w:hint="eastAsia"/>
          <w:kern w:val="0"/>
        </w:rPr>
        <w:t xml:space="preserve">? </w:t>
      </w:r>
      <w:r>
        <w:rPr>
          <w:kern w:val="0"/>
        </w:rPr>
        <w:t>Brewer, N.T., Salz, T.</w:t>
      </w:r>
      <w:r w:rsidR="005853A9">
        <w:rPr>
          <w:kern w:val="0"/>
        </w:rPr>
        <w:t xml:space="preserve"> and </w:t>
      </w:r>
      <w:r>
        <w:rPr>
          <w:kern w:val="0"/>
        </w:rPr>
        <w:t>Lillie, S.E. (2007), Systematic review:</w:t>
      </w:r>
      <w:r w:rsidR="003A1917">
        <w:rPr>
          <w:kern w:val="0"/>
        </w:rPr>
        <w:t xml:space="preserve"> the </w:t>
      </w:r>
      <w:r>
        <w:rPr>
          <w:kern w:val="0"/>
        </w:rPr>
        <w:t>long-term effects</w:t>
      </w:r>
      <w:r w:rsidR="00427468">
        <w:rPr>
          <w:kern w:val="0"/>
        </w:rPr>
        <w:t xml:space="preserve"> of </w:t>
      </w:r>
      <w:r>
        <w:rPr>
          <w:kern w:val="0"/>
        </w:rPr>
        <w:t xml:space="preserve">false-positive mammograms. </w:t>
      </w:r>
      <w:r>
        <w:rPr>
          <w:i/>
          <w:iCs/>
          <w:kern w:val="0"/>
        </w:rPr>
        <w:t>Annals</w:t>
      </w:r>
      <w:r w:rsidR="00427468">
        <w:rPr>
          <w:i/>
          <w:iCs/>
          <w:kern w:val="0"/>
        </w:rPr>
        <w:t xml:space="preserve"> of </w:t>
      </w:r>
      <w:r>
        <w:rPr>
          <w:i/>
          <w:iCs/>
          <w:kern w:val="0"/>
        </w:rPr>
        <w:t>Internal Medicine</w:t>
      </w:r>
      <w:r>
        <w:rPr>
          <w:kern w:val="0"/>
        </w:rPr>
        <w:t xml:space="preserve">, </w:t>
      </w:r>
      <w:r>
        <w:rPr>
          <w:b/>
          <w:bCs/>
          <w:kern w:val="0"/>
        </w:rPr>
        <w:t>146</w:t>
      </w:r>
      <w:r>
        <w:rPr>
          <w:kern w:val="0"/>
        </w:rPr>
        <w:t xml:space="preserve"> (7), 502-510.</w:t>
      </w:r>
    </w:p>
    <w:p w:rsidR="0069740E" w:rsidRDefault="0069740E" w:rsidP="0069740E">
      <w:pPr>
        <w:pStyle w:val="a3"/>
        <w:rPr>
          <w:kern w:val="0"/>
        </w:rPr>
      </w:pPr>
      <w:r>
        <w:rPr>
          <w:rFonts w:hint="eastAsia"/>
          <w:kern w:val="0"/>
        </w:rPr>
        <w:t xml:space="preserve">Full Text: </w:t>
      </w:r>
      <w:hyperlink r:id="rId866" w:history="1">
        <w:r w:rsidRPr="00AF6D8A">
          <w:rPr>
            <w:rStyle w:val="a5"/>
            <w:kern w:val="0"/>
          </w:rPr>
          <w:t>2007\Ann Int Med146, 502.pdf</w:t>
        </w:r>
      </w:hyperlink>
    </w:p>
    <w:p w:rsidR="008C1C37" w:rsidRDefault="008C1C37" w:rsidP="008C1C37">
      <w:pPr>
        <w:pStyle w:val="a3"/>
        <w:rPr>
          <w:kern w:val="0"/>
        </w:rPr>
      </w:pPr>
      <w:r>
        <w:rPr>
          <w:kern w:val="0"/>
        </w:rPr>
        <w:t>Abstract: Background: Although abnormal screening mammograms deleteriously affect</w:t>
      </w:r>
      <w:r w:rsidR="003A1917">
        <w:rPr>
          <w:kern w:val="0"/>
        </w:rPr>
        <w:t xml:space="preserve"> the </w:t>
      </w:r>
      <w:r>
        <w:rPr>
          <w:kern w:val="0"/>
        </w:rPr>
        <w:t>psychological well-being</w:t>
      </w:r>
      <w:r w:rsidR="00427468">
        <w:rPr>
          <w:kern w:val="0"/>
        </w:rPr>
        <w:t xml:space="preserve"> of </w:t>
      </w:r>
      <w:r>
        <w:rPr>
          <w:kern w:val="0"/>
        </w:rPr>
        <w:t>women during</w:t>
      </w:r>
      <w:r w:rsidR="003A1917">
        <w:rPr>
          <w:kern w:val="0"/>
        </w:rPr>
        <w:t xml:space="preserve"> the </w:t>
      </w:r>
      <w:r>
        <w:rPr>
          <w:kern w:val="0"/>
        </w:rPr>
        <w:t>time immediately surrounding</w:t>
      </w:r>
      <w:r w:rsidR="003A1917">
        <w:rPr>
          <w:kern w:val="0"/>
        </w:rPr>
        <w:t xml:space="preserve"> the </w:t>
      </w:r>
      <w:r>
        <w:rPr>
          <w:kern w:val="0"/>
        </w:rPr>
        <w:t>tests, their long-term effects are poorly understood. Purpose: To characterize</w:t>
      </w:r>
      <w:r w:rsidR="003A1917">
        <w:rPr>
          <w:kern w:val="0"/>
        </w:rPr>
        <w:t xml:space="preserve"> the </w:t>
      </w:r>
      <w:r>
        <w:rPr>
          <w:kern w:val="0"/>
        </w:rPr>
        <w:t>long-term effects</w:t>
      </w:r>
      <w:r w:rsidR="00427468">
        <w:rPr>
          <w:kern w:val="0"/>
        </w:rPr>
        <w:t xml:space="preserve"> of </w:t>
      </w:r>
      <w:r>
        <w:rPr>
          <w:kern w:val="0"/>
        </w:rPr>
        <w:t>false-positive screening mammograms on</w:t>
      </w:r>
      <w:r w:rsidR="003A1917">
        <w:rPr>
          <w:kern w:val="0"/>
        </w:rPr>
        <w:t xml:space="preserve"> the </w:t>
      </w:r>
      <w:r>
        <w:rPr>
          <w:kern w:val="0"/>
        </w:rPr>
        <w:t>behavior</w:t>
      </w:r>
      <w:r w:rsidR="005853A9">
        <w:rPr>
          <w:kern w:val="0"/>
        </w:rPr>
        <w:t xml:space="preserve"> and </w:t>
      </w:r>
      <w:r>
        <w:rPr>
          <w:kern w:val="0"/>
        </w:rPr>
        <w:t>well-being</w:t>
      </w:r>
      <w:r w:rsidR="00427468">
        <w:rPr>
          <w:kern w:val="0"/>
        </w:rPr>
        <w:t xml:space="preserve"> of </w:t>
      </w:r>
      <w:r>
        <w:rPr>
          <w:kern w:val="0"/>
        </w:rPr>
        <w:t>women 40 years</w:t>
      </w:r>
      <w:r w:rsidR="00427468">
        <w:rPr>
          <w:kern w:val="0"/>
        </w:rPr>
        <w:t xml:space="preserve"> of </w:t>
      </w:r>
      <w:r>
        <w:rPr>
          <w:kern w:val="0"/>
        </w:rPr>
        <w:t>age or older. Data Sources: English-language studies from</w:t>
      </w:r>
      <w:r w:rsidR="003A1917">
        <w:rPr>
          <w:kern w:val="0"/>
        </w:rPr>
        <w:t xml:space="preserve"> the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EMBASE, CINAHL, PsycINFO,</w:t>
      </w:r>
      <w:r w:rsidR="005853A9">
        <w:rPr>
          <w:kern w:val="0"/>
        </w:rPr>
        <w:t xml:space="preserve"> and </w:t>
      </w:r>
      <w:r>
        <w:rPr>
          <w:kern w:val="0"/>
        </w:rPr>
        <w:t>ERIC databases through August 2006. Study Selection: Studies were identified that examined</w:t>
      </w:r>
      <w:r w:rsidR="003A1917">
        <w:rPr>
          <w:kern w:val="0"/>
        </w:rPr>
        <w:t xml:space="preserve"> the </w:t>
      </w:r>
      <w:r>
        <w:rPr>
          <w:kern w:val="0"/>
        </w:rPr>
        <w:t>effects</w:t>
      </w:r>
      <w:r w:rsidR="00427468">
        <w:rPr>
          <w:kern w:val="0"/>
        </w:rPr>
        <w:t xml:space="preserve"> of </w:t>
      </w:r>
      <w:r>
        <w:rPr>
          <w:kern w:val="0"/>
        </w:rPr>
        <w:t>false-positive results</w:t>
      </w:r>
      <w:r w:rsidR="00427468">
        <w:rPr>
          <w:kern w:val="0"/>
        </w:rPr>
        <w:t xml:space="preserve"> of </w:t>
      </w:r>
      <w:r>
        <w:rPr>
          <w:kern w:val="0"/>
        </w:rPr>
        <w:t>routine screening mammography on women</w:t>
      </w:r>
      <w:r w:rsidR="00700038">
        <w:rPr>
          <w:kern w:val="0"/>
        </w:rPr>
        <w:t>’</w:t>
      </w:r>
      <w:r w:rsidR="00C13DDC">
        <w:rPr>
          <w:kern w:val="0"/>
        </w:rPr>
        <w:t>s</w:t>
      </w:r>
      <w:r>
        <w:rPr>
          <w:kern w:val="0"/>
        </w:rPr>
        <w:t xml:space="preserve"> behavior, well-being, or beliefs. Data Extraction: Two investigators independently coded study charactedstics, quality,</w:t>
      </w:r>
      <w:r w:rsidR="005853A9">
        <w:rPr>
          <w:kern w:val="0"/>
        </w:rPr>
        <w:t xml:space="preserve"> and </w:t>
      </w:r>
      <w:r>
        <w:rPr>
          <w:kern w:val="0"/>
        </w:rPr>
        <w:t>effect sizes. Data Synthesis: 23 eligible studies (n = 313 967) were identified. A random-effects meta-analysis showed that U.S. women who received false-positive results on screening mammography were more likely to return for routine screening than those who received normal results (risk ratio, 1.07 [95% Cl, 1.02 to 1.121)</w:t>
      </w:r>
      <w:r w:rsidR="00A37C1D">
        <w:rPr>
          <w:kern w:val="0"/>
        </w:rPr>
        <w:t>. The</w:t>
      </w:r>
      <w:r w:rsidR="003A1917">
        <w:rPr>
          <w:kern w:val="0"/>
        </w:rPr>
        <w:t xml:space="preserve"> </w:t>
      </w:r>
      <w:r>
        <w:rPr>
          <w:kern w:val="0"/>
        </w:rPr>
        <w:t>effect was not statistically significant among European women (risk ratio, 0.97 [Cl, 0.93 to 1,011),</w:t>
      </w:r>
      <w:r w:rsidR="005853A9">
        <w:rPr>
          <w:kern w:val="0"/>
        </w:rPr>
        <w:t xml:space="preserve"> and </w:t>
      </w:r>
      <w:r>
        <w:rPr>
          <w:kern w:val="0"/>
        </w:rPr>
        <w:t>Canadian women were less likely to return for routine screening because</w:t>
      </w:r>
      <w:r w:rsidR="00427468">
        <w:rPr>
          <w:kern w:val="0"/>
        </w:rPr>
        <w:t xml:space="preserve"> of </w:t>
      </w:r>
      <w:r>
        <w:rPr>
          <w:kern w:val="0"/>
        </w:rPr>
        <w:t>false-positive results (risk ratio, 0.63 [Cl, 0.50 to 0.801). Women who received false-positive results conducted more frequent breast self-examinations</w:t>
      </w:r>
      <w:r w:rsidR="005853A9">
        <w:rPr>
          <w:kern w:val="0"/>
        </w:rPr>
        <w:t xml:space="preserve"> and </w:t>
      </w:r>
      <w:r>
        <w:rPr>
          <w:kern w:val="0"/>
        </w:rPr>
        <w:t>had higher, but not apparently pathologically elevated, levels</w:t>
      </w:r>
      <w:r w:rsidR="00427468">
        <w:rPr>
          <w:kern w:val="0"/>
        </w:rPr>
        <w:t xml:space="preserve"> of </w:t>
      </w:r>
      <w:r>
        <w:rPr>
          <w:kern w:val="0"/>
        </w:rPr>
        <w:t>distress</w:t>
      </w:r>
      <w:r w:rsidR="005853A9">
        <w:rPr>
          <w:kern w:val="0"/>
        </w:rPr>
        <w:t xml:space="preserve"> and </w:t>
      </w:r>
      <w:r>
        <w:rPr>
          <w:kern w:val="0"/>
        </w:rPr>
        <w:t>anxiety</w:t>
      </w:r>
      <w:r w:rsidR="005853A9">
        <w:rPr>
          <w:kern w:val="0"/>
        </w:rPr>
        <w:t xml:space="preserve"> and </w:t>
      </w:r>
      <w:r>
        <w:rPr>
          <w:kern w:val="0"/>
        </w:rPr>
        <w:t>thought more about breast cancer than did those with normal results. Limitations: Correlational study designs, a small number</w:t>
      </w:r>
      <w:r w:rsidR="00427468">
        <w:rPr>
          <w:kern w:val="0"/>
        </w:rPr>
        <w:t xml:space="preserve"> of </w:t>
      </w:r>
      <w:r>
        <w:rPr>
          <w:kern w:val="0"/>
        </w:rPr>
        <w:t>studies, a lack</w:t>
      </w:r>
      <w:r w:rsidR="00427468">
        <w:rPr>
          <w:kern w:val="0"/>
        </w:rPr>
        <w:t xml:space="preserve"> of </w:t>
      </w:r>
      <w:r>
        <w:rPr>
          <w:kern w:val="0"/>
        </w:rPr>
        <w:t>clinical validation for many measures,</w:t>
      </w:r>
      <w:r w:rsidR="005853A9">
        <w:rPr>
          <w:kern w:val="0"/>
        </w:rPr>
        <w:t xml:space="preserve"> and </w:t>
      </w:r>
      <w:r>
        <w:rPr>
          <w:kern w:val="0"/>
        </w:rPr>
        <w:t>possible heterogeneity. Conclusions: Some women with false-positive results on mammography may have differences in whether they return for mammography, occurrence</w:t>
      </w:r>
      <w:r w:rsidR="00427468">
        <w:rPr>
          <w:kern w:val="0"/>
        </w:rPr>
        <w:t xml:space="preserve"> of </w:t>
      </w:r>
      <w:r>
        <w:rPr>
          <w:kern w:val="0"/>
        </w:rPr>
        <w:t>breast self-examinations,</w:t>
      </w:r>
      <w:r w:rsidR="005853A9">
        <w:rPr>
          <w:kern w:val="0"/>
        </w:rPr>
        <w:t xml:space="preserve"> and </w:t>
      </w:r>
      <w:r>
        <w:rPr>
          <w:kern w:val="0"/>
        </w:rPr>
        <w:t>levels</w:t>
      </w:r>
      <w:r w:rsidR="00427468">
        <w:rPr>
          <w:kern w:val="0"/>
        </w:rPr>
        <w:t xml:space="preserve"> of </w:t>
      </w:r>
      <w:r>
        <w:rPr>
          <w:kern w:val="0"/>
        </w:rPr>
        <w:t>anxiety compared with women with normal results. Future research should examine how false-positive results on mammography affect other outcomes, such as trust</w:t>
      </w:r>
      <w:r w:rsidR="005853A9">
        <w:rPr>
          <w:kern w:val="0"/>
        </w:rPr>
        <w:t xml:space="preserve"> and </w:t>
      </w:r>
      <w:r>
        <w:rPr>
          <w:kern w:val="0"/>
        </w:rPr>
        <w:t>health care use.</w:t>
      </w:r>
    </w:p>
    <w:p w:rsidR="008C1C37" w:rsidRDefault="008C1C37" w:rsidP="008C1C37">
      <w:pPr>
        <w:pStyle w:val="a3"/>
        <w:rPr>
          <w:kern w:val="0"/>
        </w:rPr>
      </w:pPr>
      <w:r>
        <w:rPr>
          <w:kern w:val="0"/>
        </w:rPr>
        <w:t xml:space="preserve">Keywords: Abnormal Mammograms, Anxiety, Breast Cancer, Breast Screening-Program, Cancer, Databases, Distress, EMBASE, Extraction, Follow-up, Health Care, Impact, </w:t>
      </w:r>
      <w:r w:rsidR="00D5664A">
        <w:rPr>
          <w:kern w:val="0"/>
        </w:rPr>
        <w:t>MEDLINE</w:t>
      </w:r>
      <w:r>
        <w:rPr>
          <w:kern w:val="0"/>
        </w:rPr>
        <w:t>, Meta-Analysis, Normal, Outcomes, Psychological Consequences, Quality</w:t>
      </w:r>
      <w:r w:rsidR="00434900">
        <w:rPr>
          <w:kern w:val="0"/>
        </w:rPr>
        <w:t>-of-</w:t>
      </w:r>
      <w:r>
        <w:rPr>
          <w:kern w:val="0"/>
        </w:rPr>
        <w:t xml:space="preserve">Life, Ratio, Re-Attendance, Research, Review, Risk, </w:t>
      </w:r>
      <w:r>
        <w:rPr>
          <w:kern w:val="0"/>
        </w:rPr>
        <w:lastRenderedPageBreak/>
        <w:t xml:space="preserve">Science, Screening, Services Task-Force, Sources, Systematic, Systematic Review, Validation, </w:t>
      </w:r>
      <w:r w:rsidR="00D5664A">
        <w:rPr>
          <w:kern w:val="0"/>
        </w:rPr>
        <w:t>Web</w:t>
      </w:r>
      <w:r w:rsidR="00427468">
        <w:rPr>
          <w:kern w:val="0"/>
        </w:rPr>
        <w:t xml:space="preserve"> of </w:t>
      </w:r>
      <w:r w:rsidR="00D5664A">
        <w:rPr>
          <w:kern w:val="0"/>
        </w:rPr>
        <w:t>Science</w:t>
      </w:r>
      <w:r>
        <w:rPr>
          <w:kern w:val="0"/>
        </w:rPr>
        <w:t>, Women, Womens Anxieties</w:t>
      </w:r>
    </w:p>
    <w:p w:rsidR="008C1C37" w:rsidRDefault="008C1C37" w:rsidP="008C1C37">
      <w:pPr>
        <w:pStyle w:val="a3"/>
        <w:rPr>
          <w:kern w:val="0"/>
        </w:rPr>
      </w:pPr>
      <w:r>
        <w:rPr>
          <w:rFonts w:hint="eastAsia"/>
          <w:kern w:val="0"/>
        </w:rPr>
        <w:t xml:space="preserve">? </w:t>
      </w:r>
      <w:r>
        <w:rPr>
          <w:kern w:val="0"/>
        </w:rPr>
        <w:t>Fung, C.H., Lim, Y.W., Mattke, S., Damberg, C.</w:t>
      </w:r>
      <w:r w:rsidR="005853A9">
        <w:rPr>
          <w:kern w:val="0"/>
        </w:rPr>
        <w:t xml:space="preserve"> and </w:t>
      </w:r>
      <w:r>
        <w:rPr>
          <w:kern w:val="0"/>
        </w:rPr>
        <w:t>Shekelle, P.G. (2008), Systematic review:</w:t>
      </w:r>
      <w:r w:rsidR="003A1917">
        <w:rPr>
          <w:kern w:val="0"/>
        </w:rPr>
        <w:t xml:space="preserve"> the </w:t>
      </w:r>
      <w:r>
        <w:rPr>
          <w:kern w:val="0"/>
        </w:rPr>
        <w:t>evidence that publishing patient care performance data improves quality</w:t>
      </w:r>
      <w:r w:rsidR="00427468">
        <w:rPr>
          <w:kern w:val="0"/>
        </w:rPr>
        <w:t xml:space="preserve"> of </w:t>
      </w:r>
      <w:r>
        <w:rPr>
          <w:kern w:val="0"/>
        </w:rPr>
        <w:t xml:space="preserve">care. </w:t>
      </w:r>
      <w:r>
        <w:rPr>
          <w:i/>
          <w:iCs/>
          <w:kern w:val="0"/>
        </w:rPr>
        <w:t>Annals</w:t>
      </w:r>
      <w:r w:rsidR="00427468">
        <w:rPr>
          <w:i/>
          <w:iCs/>
          <w:kern w:val="0"/>
        </w:rPr>
        <w:t xml:space="preserve"> of </w:t>
      </w:r>
      <w:r>
        <w:rPr>
          <w:i/>
          <w:iCs/>
          <w:kern w:val="0"/>
        </w:rPr>
        <w:t>Internal Medicine</w:t>
      </w:r>
      <w:r>
        <w:rPr>
          <w:kern w:val="0"/>
        </w:rPr>
        <w:t xml:space="preserve">, </w:t>
      </w:r>
      <w:r>
        <w:rPr>
          <w:b/>
          <w:bCs/>
          <w:kern w:val="0"/>
        </w:rPr>
        <w:t>148</w:t>
      </w:r>
      <w:r>
        <w:rPr>
          <w:kern w:val="0"/>
        </w:rPr>
        <w:t xml:space="preserve"> (2), 111-123.</w:t>
      </w:r>
    </w:p>
    <w:p w:rsidR="0069740E" w:rsidRDefault="0069740E" w:rsidP="0069740E">
      <w:pPr>
        <w:pStyle w:val="a3"/>
        <w:rPr>
          <w:kern w:val="0"/>
        </w:rPr>
      </w:pPr>
      <w:r>
        <w:rPr>
          <w:rFonts w:hint="eastAsia"/>
          <w:kern w:val="0"/>
        </w:rPr>
        <w:t xml:space="preserve">Full Text: </w:t>
      </w:r>
      <w:hyperlink r:id="rId867" w:history="1">
        <w:r w:rsidRPr="0069740E">
          <w:rPr>
            <w:rStyle w:val="a5"/>
            <w:kern w:val="0"/>
          </w:rPr>
          <w:t>2008\Ann Int Med148, 111.pdf</w:t>
        </w:r>
      </w:hyperlink>
    </w:p>
    <w:p w:rsidR="008C1C37" w:rsidRDefault="008C1C37" w:rsidP="008C1C37">
      <w:pPr>
        <w:pStyle w:val="a3"/>
        <w:rPr>
          <w:kern w:val="0"/>
        </w:rPr>
      </w:pPr>
      <w:r>
        <w:rPr>
          <w:kern w:val="0"/>
        </w:rPr>
        <w:t>Abstract: Background: Previous reviews have shown inconsistent effects</w:t>
      </w:r>
      <w:r w:rsidR="00427468">
        <w:rPr>
          <w:kern w:val="0"/>
        </w:rPr>
        <w:t xml:space="preserve"> of </w:t>
      </w:r>
      <w:r>
        <w:rPr>
          <w:kern w:val="0"/>
        </w:rPr>
        <w:t>publicly reported performance data on quality</w:t>
      </w:r>
      <w:r w:rsidR="00427468">
        <w:rPr>
          <w:kern w:val="0"/>
        </w:rPr>
        <w:t xml:space="preserve"> of </w:t>
      </w:r>
      <w:r>
        <w:rPr>
          <w:kern w:val="0"/>
        </w:rPr>
        <w:t>care, but many new studies have become available in</w:t>
      </w:r>
      <w:r w:rsidR="003A1917">
        <w:rPr>
          <w:kern w:val="0"/>
        </w:rPr>
        <w:t xml:space="preserve"> the </w:t>
      </w:r>
      <w:r>
        <w:rPr>
          <w:kern w:val="0"/>
        </w:rPr>
        <w:t>7 years since</w:t>
      </w:r>
      <w:r w:rsidR="003A1917">
        <w:rPr>
          <w:kern w:val="0"/>
        </w:rPr>
        <w:t xml:space="preserve"> the </w:t>
      </w:r>
      <w:r>
        <w:rPr>
          <w:kern w:val="0"/>
        </w:rPr>
        <w:t>last systematic review. Purpose: To synthesize</w:t>
      </w:r>
      <w:r w:rsidR="003A1917">
        <w:rPr>
          <w:kern w:val="0"/>
        </w:rPr>
        <w:t xml:space="preserve"> the </w:t>
      </w:r>
      <w:r>
        <w:rPr>
          <w:kern w:val="0"/>
        </w:rPr>
        <w:t xml:space="preserve">evidence for using publicly reported performance data to improve quality. Data Sources: </w:t>
      </w:r>
      <w:r w:rsidR="00D5664A">
        <w:rPr>
          <w:kern w:val="0"/>
        </w:rPr>
        <w:t>Web</w:t>
      </w:r>
      <w:r w:rsidR="00427468">
        <w:rPr>
          <w:kern w:val="0"/>
        </w:rPr>
        <w:t xml:space="preserve"> of </w:t>
      </w:r>
      <w:r w:rsidR="00D5664A">
        <w:rPr>
          <w:kern w:val="0"/>
        </w:rPr>
        <w:t>Science</w:t>
      </w:r>
      <w:r>
        <w:rPr>
          <w:kern w:val="0"/>
        </w:rPr>
        <w:t xml:space="preserve">, </w:t>
      </w:r>
      <w:r w:rsidR="00D5664A">
        <w:rPr>
          <w:kern w:val="0"/>
        </w:rPr>
        <w:t>MEDLINE</w:t>
      </w:r>
      <w:r>
        <w:rPr>
          <w:kern w:val="0"/>
        </w:rPr>
        <w:t>, EconLit,</w:t>
      </w:r>
      <w:r w:rsidR="005853A9">
        <w:rPr>
          <w:kern w:val="0"/>
        </w:rPr>
        <w:t xml:space="preserve"> and </w:t>
      </w:r>
      <w:r>
        <w:rPr>
          <w:kern w:val="0"/>
        </w:rPr>
        <w:t>Wilson Business Periodicals (1999-2006)</w:t>
      </w:r>
      <w:r w:rsidR="005853A9">
        <w:rPr>
          <w:kern w:val="0"/>
        </w:rPr>
        <w:t xml:space="preserve"> and </w:t>
      </w:r>
      <w:r>
        <w:rPr>
          <w:kern w:val="0"/>
        </w:rPr>
        <w:t>independent review</w:t>
      </w:r>
      <w:r w:rsidR="00427468">
        <w:rPr>
          <w:kern w:val="0"/>
        </w:rPr>
        <w:t xml:space="preserve"> of </w:t>
      </w:r>
      <w:r>
        <w:rPr>
          <w:kern w:val="0"/>
        </w:rPr>
        <w:t>articles (1986-1999) identified in a previous systematic review. Only sources published in English were included. Study Selection: Peer-reviewed articles assessing</w:t>
      </w:r>
      <w:r w:rsidR="003A1917">
        <w:rPr>
          <w:kern w:val="0"/>
        </w:rPr>
        <w:t xml:space="preserve"> the </w:t>
      </w:r>
      <w:r>
        <w:rPr>
          <w:kern w:val="0"/>
        </w:rPr>
        <w:t>effects</w:t>
      </w:r>
      <w:r w:rsidR="00427468">
        <w:rPr>
          <w:kern w:val="0"/>
        </w:rPr>
        <w:t xml:space="preserve"> of </w:t>
      </w:r>
      <w:r>
        <w:rPr>
          <w:kern w:val="0"/>
        </w:rPr>
        <w:t>public release</w:t>
      </w:r>
      <w:r w:rsidR="00427468">
        <w:rPr>
          <w:kern w:val="0"/>
        </w:rPr>
        <w:t xml:space="preserve"> of </w:t>
      </w:r>
      <w:r>
        <w:rPr>
          <w:kern w:val="0"/>
        </w:rPr>
        <w:t>performance data on selection</w:t>
      </w:r>
      <w:r w:rsidR="00427468">
        <w:rPr>
          <w:kern w:val="0"/>
        </w:rPr>
        <w:t xml:space="preserve"> of </w:t>
      </w:r>
      <w:r>
        <w:rPr>
          <w:kern w:val="0"/>
        </w:rPr>
        <w:t>providers, quality improvement activity, clinical outcomes (effectiveness, patient safety,</w:t>
      </w:r>
      <w:r w:rsidR="005853A9">
        <w:rPr>
          <w:kern w:val="0"/>
        </w:rPr>
        <w:t xml:space="preserve"> and </w:t>
      </w:r>
      <w:r>
        <w:rPr>
          <w:kern w:val="0"/>
        </w:rPr>
        <w:t>patient-centeredness),</w:t>
      </w:r>
      <w:r w:rsidR="005853A9">
        <w:rPr>
          <w:kern w:val="0"/>
        </w:rPr>
        <w:t xml:space="preserve"> and </w:t>
      </w:r>
      <w:r>
        <w:rPr>
          <w:kern w:val="0"/>
        </w:rPr>
        <w:t>unintended consequences. Data Extraction: Data on study participants, reporting system or level, study design, selection</w:t>
      </w:r>
      <w:r w:rsidR="00427468">
        <w:rPr>
          <w:kern w:val="0"/>
        </w:rPr>
        <w:t xml:space="preserve"> of </w:t>
      </w:r>
      <w:r>
        <w:rPr>
          <w:kern w:val="0"/>
        </w:rPr>
        <w:t>providers, quality improvement activity, outcomes,</w:t>
      </w:r>
      <w:r w:rsidR="005853A9">
        <w:rPr>
          <w:kern w:val="0"/>
        </w:rPr>
        <w:t xml:space="preserve"> and </w:t>
      </w:r>
      <w:r>
        <w:rPr>
          <w:kern w:val="0"/>
        </w:rPr>
        <w:t>unintended consequences were extracted. Data Synthesis: Forty-five articles published since 1986 (27</w:t>
      </w:r>
      <w:r w:rsidR="00427468">
        <w:rPr>
          <w:kern w:val="0"/>
        </w:rPr>
        <w:t xml:space="preserve"> of </w:t>
      </w:r>
      <w:r>
        <w:rPr>
          <w:kern w:val="0"/>
        </w:rPr>
        <w:t>which were published since 1999) evaluated</w:t>
      </w:r>
      <w:r w:rsidR="003A1917">
        <w:rPr>
          <w:kern w:val="0"/>
        </w:rPr>
        <w:t xml:space="preserve"> the </w:t>
      </w:r>
      <w:r>
        <w:rPr>
          <w:kern w:val="0"/>
        </w:rPr>
        <w:t>impact</w:t>
      </w:r>
      <w:r w:rsidR="00427468">
        <w:rPr>
          <w:kern w:val="0"/>
        </w:rPr>
        <w:t xml:space="preserve"> of </w:t>
      </w:r>
      <w:r>
        <w:rPr>
          <w:kern w:val="0"/>
        </w:rPr>
        <w:t>public reporting on quality. Many focus on a select few reporting systems. Synthesis</w:t>
      </w:r>
      <w:r w:rsidR="00427468">
        <w:rPr>
          <w:kern w:val="0"/>
        </w:rPr>
        <w:t xml:space="preserve"> of </w:t>
      </w:r>
      <w:r>
        <w:rPr>
          <w:kern w:val="0"/>
        </w:rPr>
        <w:t>data from 8 health plan-level studies suggests modest association between public reporting</w:t>
      </w:r>
      <w:r w:rsidR="005853A9">
        <w:rPr>
          <w:kern w:val="0"/>
        </w:rPr>
        <w:t xml:space="preserve"> and </w:t>
      </w:r>
      <w:r>
        <w:rPr>
          <w:kern w:val="0"/>
        </w:rPr>
        <w:t>plan selection. Synthesis</w:t>
      </w:r>
      <w:r w:rsidR="00427468">
        <w:rPr>
          <w:kern w:val="0"/>
        </w:rPr>
        <w:t xml:space="preserve"> of </w:t>
      </w:r>
      <w:r>
        <w:rPr>
          <w:kern w:val="0"/>
        </w:rPr>
        <w:t>11 studies, all hospital-level, suggests stimulation</w:t>
      </w:r>
      <w:r w:rsidR="00427468">
        <w:rPr>
          <w:kern w:val="0"/>
        </w:rPr>
        <w:t xml:space="preserve"> of </w:t>
      </w:r>
      <w:r>
        <w:rPr>
          <w:kern w:val="0"/>
        </w:rPr>
        <w:t>quality improvement activity. Review</w:t>
      </w:r>
      <w:r w:rsidR="00427468">
        <w:rPr>
          <w:kern w:val="0"/>
        </w:rPr>
        <w:t xml:space="preserve"> of </w:t>
      </w:r>
      <w:r>
        <w:rPr>
          <w:kern w:val="0"/>
        </w:rPr>
        <w:t>9 hospital-level</w:t>
      </w:r>
      <w:r w:rsidR="005853A9">
        <w:rPr>
          <w:kern w:val="0"/>
        </w:rPr>
        <w:t xml:space="preserve"> and </w:t>
      </w:r>
      <w:r>
        <w:rPr>
          <w:kern w:val="0"/>
        </w:rPr>
        <w:t>7 individual provider-level studies shows inconsistent association between public reporting</w:t>
      </w:r>
      <w:r w:rsidR="005853A9">
        <w:rPr>
          <w:kern w:val="0"/>
        </w:rPr>
        <w:t xml:space="preserve"> and </w:t>
      </w:r>
      <w:r>
        <w:rPr>
          <w:kern w:val="0"/>
        </w:rPr>
        <w:t>selection</w:t>
      </w:r>
      <w:r w:rsidR="00427468">
        <w:rPr>
          <w:kern w:val="0"/>
        </w:rPr>
        <w:t xml:space="preserve"> of </w:t>
      </w:r>
      <w:r>
        <w:rPr>
          <w:kern w:val="0"/>
        </w:rPr>
        <w:t>hospitals</w:t>
      </w:r>
      <w:r w:rsidR="005853A9">
        <w:rPr>
          <w:kern w:val="0"/>
        </w:rPr>
        <w:t xml:space="preserve"> and </w:t>
      </w:r>
      <w:r>
        <w:rPr>
          <w:kern w:val="0"/>
        </w:rPr>
        <w:t>individual providers. Synthesis</w:t>
      </w:r>
      <w:r w:rsidR="00427468">
        <w:rPr>
          <w:kern w:val="0"/>
        </w:rPr>
        <w:t xml:space="preserve"> of </w:t>
      </w:r>
      <w:r>
        <w:rPr>
          <w:kern w:val="0"/>
        </w:rPr>
        <w:t>11 studies, primarily hospital-level, indicates inconsistent association between public reporting</w:t>
      </w:r>
      <w:r w:rsidR="005853A9">
        <w:rPr>
          <w:kern w:val="0"/>
        </w:rPr>
        <w:t xml:space="preserve"> and </w:t>
      </w:r>
      <w:r>
        <w:rPr>
          <w:kern w:val="0"/>
        </w:rPr>
        <w:t>improved effectiveness. Evidence on</w:t>
      </w:r>
      <w:r w:rsidR="003A1917">
        <w:rPr>
          <w:kern w:val="0"/>
        </w:rPr>
        <w:t xml:space="preserve"> the </w:t>
      </w:r>
      <w:r>
        <w:rPr>
          <w:kern w:val="0"/>
        </w:rPr>
        <w:t>impact</w:t>
      </w:r>
      <w:r w:rsidR="00427468">
        <w:rPr>
          <w:kern w:val="0"/>
        </w:rPr>
        <w:t xml:space="preserve"> of </w:t>
      </w:r>
      <w:r>
        <w:rPr>
          <w:kern w:val="0"/>
        </w:rPr>
        <w:t>public reporting on patient safety</w:t>
      </w:r>
      <w:r w:rsidR="005853A9">
        <w:rPr>
          <w:kern w:val="0"/>
        </w:rPr>
        <w:t xml:space="preserve"> and </w:t>
      </w:r>
      <w:r>
        <w:rPr>
          <w:kern w:val="0"/>
        </w:rPr>
        <w:t>patient-centeredness is scant. Limitations: Heterogeneity made comparisons across studies challenging. Only peer-reviewed, English-language articles were included. Conclusion: Evidence is scant, particularly about individual providers</w:t>
      </w:r>
      <w:r w:rsidR="005853A9">
        <w:rPr>
          <w:kern w:val="0"/>
        </w:rPr>
        <w:t xml:space="preserve"> and </w:t>
      </w:r>
      <w:r>
        <w:rPr>
          <w:kern w:val="0"/>
        </w:rPr>
        <w:t>practices. Rigorous evaluation</w:t>
      </w:r>
      <w:r w:rsidR="00427468">
        <w:rPr>
          <w:kern w:val="0"/>
        </w:rPr>
        <w:t xml:space="preserve"> of </w:t>
      </w:r>
      <w:r>
        <w:rPr>
          <w:kern w:val="0"/>
        </w:rPr>
        <w:t>many major public reporting systems is lacking. Evidence suggests that publicly releasing performance data stimulates quality improvement activity at</w:t>
      </w:r>
      <w:r w:rsidR="003A1917">
        <w:rPr>
          <w:kern w:val="0"/>
        </w:rPr>
        <w:t xml:space="preserve"> the </w:t>
      </w:r>
      <w:r>
        <w:rPr>
          <w:kern w:val="0"/>
        </w:rPr>
        <w:t>hospital level</w:t>
      </w:r>
      <w:r w:rsidR="00A37C1D">
        <w:rPr>
          <w:kern w:val="0"/>
        </w:rPr>
        <w:t>. The</w:t>
      </w:r>
      <w:r w:rsidR="003A1917">
        <w:rPr>
          <w:kern w:val="0"/>
        </w:rPr>
        <w:t xml:space="preserve"> </w:t>
      </w:r>
      <w:r>
        <w:rPr>
          <w:kern w:val="0"/>
        </w:rPr>
        <w:t>effect</w:t>
      </w:r>
      <w:r w:rsidR="00427468">
        <w:rPr>
          <w:kern w:val="0"/>
        </w:rPr>
        <w:t xml:space="preserve"> of </w:t>
      </w:r>
      <w:r>
        <w:rPr>
          <w:kern w:val="0"/>
        </w:rPr>
        <w:t>public reporting on effectiveness, safety,</w:t>
      </w:r>
      <w:r w:rsidR="005853A9">
        <w:rPr>
          <w:kern w:val="0"/>
        </w:rPr>
        <w:t xml:space="preserve"> and </w:t>
      </w:r>
      <w:r>
        <w:rPr>
          <w:kern w:val="0"/>
        </w:rPr>
        <w:t>patient-centeredness remains uncertain.</w:t>
      </w:r>
    </w:p>
    <w:p w:rsidR="008C1C37" w:rsidRDefault="008C1C37" w:rsidP="008C1C37">
      <w:pPr>
        <w:pStyle w:val="a3"/>
        <w:rPr>
          <w:kern w:val="0"/>
        </w:rPr>
      </w:pPr>
      <w:r>
        <w:rPr>
          <w:kern w:val="0"/>
        </w:rPr>
        <w:t xml:space="preserve">Keywords: Artery-Bypass-Surgery, Cardiac-Surgery, Cardiothoracic Surgeons, Consumer Reports, Effectiveness, Evaluation, Extraction, Health Plan Choices, Hospital, Hospital Performance, Hospitals, Impact, Market Share, </w:t>
      </w:r>
      <w:r w:rsidR="00D5664A">
        <w:rPr>
          <w:kern w:val="0"/>
        </w:rPr>
        <w:t>MEDLINE</w:t>
      </w:r>
      <w:r>
        <w:rPr>
          <w:kern w:val="0"/>
        </w:rPr>
        <w:t xml:space="preserve">, New-York-State, Outcomes, Pay-For-Performance, Public Reporting, Publishing, </w:t>
      </w:r>
      <w:r>
        <w:rPr>
          <w:kern w:val="0"/>
        </w:rPr>
        <w:lastRenderedPageBreak/>
        <w:t>Quality Improvement, Quality</w:t>
      </w:r>
      <w:r w:rsidR="00427468">
        <w:rPr>
          <w:kern w:val="0"/>
        </w:rPr>
        <w:t xml:space="preserve"> of </w:t>
      </w:r>
      <w:r>
        <w:rPr>
          <w:kern w:val="0"/>
        </w:rPr>
        <w:t xml:space="preserve">Care, Review, Safety, Science, Sources, Systematic, Systematic Review, Unintended Consequences,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Loomba, R., Rowley, A., Wesley, R., Liang, T.J., Hoofnagle, J.H., Pucino, F.</w:t>
      </w:r>
      <w:r w:rsidR="005853A9">
        <w:rPr>
          <w:kern w:val="0"/>
        </w:rPr>
        <w:t xml:space="preserve"> and </w:t>
      </w:r>
      <w:r>
        <w:rPr>
          <w:kern w:val="0"/>
        </w:rPr>
        <w:t>Csako, G. (2008), Systematic review:</w:t>
      </w:r>
      <w:r w:rsidR="003A1917">
        <w:rPr>
          <w:kern w:val="0"/>
        </w:rPr>
        <w:t xml:space="preserve"> the </w:t>
      </w:r>
      <w:r>
        <w:rPr>
          <w:kern w:val="0"/>
        </w:rPr>
        <w:t>effect</w:t>
      </w:r>
      <w:r w:rsidR="00427468">
        <w:rPr>
          <w:kern w:val="0"/>
        </w:rPr>
        <w:t xml:space="preserve"> of </w:t>
      </w:r>
      <w:r>
        <w:rPr>
          <w:kern w:val="0"/>
        </w:rPr>
        <w:t xml:space="preserve">preventive lamivudine on hepatitis B reactivation during chemotherapy. </w:t>
      </w:r>
      <w:r>
        <w:rPr>
          <w:i/>
          <w:iCs/>
          <w:kern w:val="0"/>
        </w:rPr>
        <w:t>Annals</w:t>
      </w:r>
      <w:r w:rsidR="00427468">
        <w:rPr>
          <w:i/>
          <w:iCs/>
          <w:kern w:val="0"/>
        </w:rPr>
        <w:t xml:space="preserve"> of </w:t>
      </w:r>
      <w:r>
        <w:rPr>
          <w:i/>
          <w:iCs/>
          <w:kern w:val="0"/>
        </w:rPr>
        <w:t>Internal Medicine</w:t>
      </w:r>
      <w:r>
        <w:rPr>
          <w:kern w:val="0"/>
        </w:rPr>
        <w:t xml:space="preserve">, </w:t>
      </w:r>
      <w:r>
        <w:rPr>
          <w:b/>
          <w:bCs/>
          <w:kern w:val="0"/>
        </w:rPr>
        <w:t>148</w:t>
      </w:r>
      <w:r>
        <w:rPr>
          <w:kern w:val="0"/>
        </w:rPr>
        <w:t xml:space="preserve"> (7), 519-528.</w:t>
      </w:r>
    </w:p>
    <w:p w:rsidR="0069740E" w:rsidRDefault="0069740E" w:rsidP="0069740E">
      <w:pPr>
        <w:pStyle w:val="a3"/>
        <w:rPr>
          <w:kern w:val="0"/>
        </w:rPr>
      </w:pPr>
      <w:r>
        <w:rPr>
          <w:rFonts w:hint="eastAsia"/>
          <w:kern w:val="0"/>
        </w:rPr>
        <w:t xml:space="preserve">Full Text: </w:t>
      </w:r>
      <w:hyperlink r:id="rId868" w:history="1">
        <w:r w:rsidRPr="00AF6D8A">
          <w:rPr>
            <w:rStyle w:val="a5"/>
            <w:kern w:val="0"/>
          </w:rPr>
          <w:t>2008\Ann Int Med148, 519.pdf</w:t>
        </w:r>
      </w:hyperlink>
    </w:p>
    <w:p w:rsidR="008C1C37" w:rsidRDefault="008C1C37" w:rsidP="008C1C37">
      <w:pPr>
        <w:pStyle w:val="a3"/>
        <w:rPr>
          <w:kern w:val="0"/>
        </w:rPr>
      </w:pPr>
      <w:r>
        <w:rPr>
          <w:kern w:val="0"/>
        </w:rPr>
        <w:t>Abstract: Background: Lamivudine is increasingly being used to prevent hepatitis B reactivation in patients with cancer who test positive for hepatitis B surface antigen (HBsAg)</w:t>
      </w:r>
      <w:r w:rsidR="005853A9">
        <w:rPr>
          <w:kern w:val="0"/>
        </w:rPr>
        <w:t xml:space="preserve"> and </w:t>
      </w:r>
      <w:r>
        <w:rPr>
          <w:kern w:val="0"/>
        </w:rPr>
        <w:t>are undergoing chemotherapy. Purpose: To determine whether preventive lamivudine reduces chemotherapy-induced hepatitis B virus (HBV)-related morbidity</w:t>
      </w:r>
      <w:r w:rsidR="005853A9">
        <w:rPr>
          <w:kern w:val="0"/>
        </w:rPr>
        <w:t xml:space="preserve"> and </w:t>
      </w:r>
      <w:r>
        <w:rPr>
          <w:kern w:val="0"/>
        </w:rPr>
        <w:t xml:space="preserve">mortality in patients with cancer who test positive for HBsAg. Data Sources: </w:t>
      </w:r>
      <w:r w:rsidR="00D5664A">
        <w:rPr>
          <w:kern w:val="0"/>
        </w:rPr>
        <w:t>MEDLINE</w:t>
      </w:r>
      <w:r>
        <w:rPr>
          <w:kern w:val="0"/>
        </w:rPr>
        <w:t xml:space="preserve">, Ovid </w:t>
      </w:r>
      <w:r w:rsidR="00D5664A">
        <w:rPr>
          <w:kern w:val="0"/>
        </w:rPr>
        <w:t>MEDLINE</w:t>
      </w:r>
      <w:r>
        <w:rPr>
          <w:kern w:val="0"/>
        </w:rPr>
        <w:t xml:space="preserve">, TOXNET, Scopus,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Cochrane Central Register</w:t>
      </w:r>
      <w:r w:rsidR="00427468">
        <w:rPr>
          <w:kern w:val="0"/>
        </w:rPr>
        <w:t xml:space="preserve"> of </w:t>
      </w:r>
      <w:r>
        <w:rPr>
          <w:kern w:val="0"/>
        </w:rPr>
        <w:t>Controlled Trials were searched in all languages until June 2007. Study Selection: Clinical trials</w:t>
      </w:r>
      <w:r w:rsidR="005853A9">
        <w:rPr>
          <w:kern w:val="0"/>
        </w:rPr>
        <w:t xml:space="preserve"> and </w:t>
      </w:r>
      <w:r>
        <w:rPr>
          <w:kern w:val="0"/>
        </w:rPr>
        <w:t>cohort studies that reported</w:t>
      </w:r>
      <w:r w:rsidR="003A1917">
        <w:rPr>
          <w:kern w:val="0"/>
        </w:rPr>
        <w:t xml:space="preserve"> the </w:t>
      </w:r>
      <w:r>
        <w:rPr>
          <w:kern w:val="0"/>
        </w:rPr>
        <w:t>efficacy</w:t>
      </w:r>
      <w:r w:rsidR="00427468">
        <w:rPr>
          <w:kern w:val="0"/>
        </w:rPr>
        <w:t xml:space="preserve"> of </w:t>
      </w:r>
      <w:r>
        <w:rPr>
          <w:kern w:val="0"/>
        </w:rPr>
        <w:t>preventive lamivudine versus control on HBV reactivation in patients who tested positive for HBsAg</w:t>
      </w:r>
      <w:r w:rsidR="005853A9">
        <w:rPr>
          <w:kern w:val="0"/>
        </w:rPr>
        <w:t xml:space="preserve"> and </w:t>
      </w:r>
      <w:r>
        <w:rPr>
          <w:kern w:val="0"/>
        </w:rPr>
        <w:t>were receiving chemotherapy were included. Additional requirements included minimum sample size (&gt;5 participants per treatment group)</w:t>
      </w:r>
      <w:r w:rsidR="005853A9">
        <w:rPr>
          <w:kern w:val="0"/>
        </w:rPr>
        <w:t xml:space="preserve"> and </w:t>
      </w:r>
      <w:r>
        <w:rPr>
          <w:kern w:val="0"/>
        </w:rPr>
        <w:t>reported HBV-related morbidity</w:t>
      </w:r>
      <w:r w:rsidR="005853A9">
        <w:rPr>
          <w:kern w:val="0"/>
        </w:rPr>
        <w:t xml:space="preserve"> and </w:t>
      </w:r>
      <w:r>
        <w:rPr>
          <w:kern w:val="0"/>
        </w:rPr>
        <w:t>mortality data. Data Extraction: Two investigators independently did literature searches</w:t>
      </w:r>
      <w:r w:rsidR="005853A9">
        <w:rPr>
          <w:kern w:val="0"/>
        </w:rPr>
        <w:t xml:space="preserve"> and </w:t>
      </w:r>
      <w:r>
        <w:rPr>
          <w:kern w:val="0"/>
        </w:rPr>
        <w:t>data extraction,</w:t>
      </w:r>
      <w:r w:rsidR="005853A9">
        <w:rPr>
          <w:kern w:val="0"/>
        </w:rPr>
        <w:t xml:space="preserve"> and </w:t>
      </w:r>
      <w:r>
        <w:rPr>
          <w:kern w:val="0"/>
        </w:rPr>
        <w:t>2 other investigators independently confirmed study eligibility</w:t>
      </w:r>
      <w:r w:rsidR="005853A9">
        <w:rPr>
          <w:kern w:val="0"/>
        </w:rPr>
        <w:t xml:space="preserve"> and </w:t>
      </w:r>
      <w:r>
        <w:rPr>
          <w:kern w:val="0"/>
        </w:rPr>
        <w:t>data retrieval. Data Synthesis: Fourteen studies (2 randomized, controlled trials; 8 prospective cohort studies;</w:t>
      </w:r>
      <w:r w:rsidR="005853A9">
        <w:rPr>
          <w:kern w:val="0"/>
        </w:rPr>
        <w:t xml:space="preserve"> and </w:t>
      </w:r>
      <w:r>
        <w:rPr>
          <w:kern w:val="0"/>
        </w:rPr>
        <w:t>4 retrospective cohort studies) met</w:t>
      </w:r>
      <w:r w:rsidR="003A1917">
        <w:rPr>
          <w:kern w:val="0"/>
        </w:rPr>
        <w:t xml:space="preserve"> the </w:t>
      </w:r>
      <w:r>
        <w:rPr>
          <w:kern w:val="0"/>
        </w:rPr>
        <w:t>predefined criteria for analysis</w:t>
      </w:r>
      <w:r w:rsidR="00A37C1D">
        <w:rPr>
          <w:kern w:val="0"/>
        </w:rPr>
        <w:t>. The</w:t>
      </w:r>
      <w:r>
        <w:rPr>
          <w:kern w:val="0"/>
        </w:rPr>
        <w:t>re were 275 patients in</w:t>
      </w:r>
      <w:r w:rsidR="003A1917">
        <w:rPr>
          <w:kern w:val="0"/>
        </w:rPr>
        <w:t xml:space="preserve"> the </w:t>
      </w:r>
      <w:r>
        <w:rPr>
          <w:kern w:val="0"/>
        </w:rPr>
        <w:t>preventive lamivudine group</w:t>
      </w:r>
      <w:r w:rsidR="005853A9">
        <w:rPr>
          <w:kern w:val="0"/>
        </w:rPr>
        <w:t xml:space="preserve"> and </w:t>
      </w:r>
      <w:r>
        <w:rPr>
          <w:kern w:val="0"/>
        </w:rPr>
        <w:t>475 control participants for</w:t>
      </w:r>
      <w:r w:rsidR="003A1917">
        <w:rPr>
          <w:kern w:val="0"/>
        </w:rPr>
        <w:t xml:space="preserve"> the </w:t>
      </w:r>
      <w:r>
        <w:rPr>
          <w:kern w:val="0"/>
        </w:rPr>
        <w:t>primary end point</w:t>
      </w:r>
      <w:r w:rsidR="00427468">
        <w:rPr>
          <w:kern w:val="0"/>
        </w:rPr>
        <w:t xml:space="preserve"> of </w:t>
      </w:r>
      <w:r>
        <w:rPr>
          <w:kern w:val="0"/>
        </w:rPr>
        <w:t>HBV reactivation. With preventive lamivudine,</w:t>
      </w:r>
      <w:r w:rsidR="003A1917">
        <w:rPr>
          <w:kern w:val="0"/>
        </w:rPr>
        <w:t xml:space="preserve"> the </w:t>
      </w:r>
      <w:r>
        <w:rPr>
          <w:kern w:val="0"/>
        </w:rPr>
        <w:t>relative risk for both HBV reactivation</w:t>
      </w:r>
      <w:r w:rsidR="005853A9">
        <w:rPr>
          <w:kern w:val="0"/>
        </w:rPr>
        <w:t xml:space="preserve"> and </w:t>
      </w:r>
      <w:r>
        <w:rPr>
          <w:kern w:val="0"/>
        </w:rPr>
        <w:t>HBV-related hepatitis ranged from 0.00 to 0.21. None</w:t>
      </w:r>
      <w:r w:rsidR="00427468">
        <w:rPr>
          <w:kern w:val="0"/>
        </w:rPr>
        <w:t xml:space="preserve"> of </w:t>
      </w:r>
      <w:r w:rsidR="003A1917">
        <w:rPr>
          <w:kern w:val="0"/>
        </w:rPr>
        <w:t xml:space="preserve">the </w:t>
      </w:r>
      <w:r>
        <w:rPr>
          <w:kern w:val="0"/>
        </w:rPr>
        <w:t>patients in</w:t>
      </w:r>
      <w:r w:rsidR="003A1917">
        <w:rPr>
          <w:kern w:val="0"/>
        </w:rPr>
        <w:t xml:space="preserve"> the </w:t>
      </w:r>
      <w:r>
        <w:rPr>
          <w:kern w:val="0"/>
        </w:rPr>
        <w:t>preventive lamivudine group developed HBV-related hepatic failure (0</w:t>
      </w:r>
      <w:r w:rsidR="00427468">
        <w:rPr>
          <w:kern w:val="0"/>
        </w:rPr>
        <w:t xml:space="preserve"> of </w:t>
      </w:r>
      <w:r>
        <w:rPr>
          <w:kern w:val="0"/>
        </w:rPr>
        <w:t>108 patients vs. 21</w:t>
      </w:r>
      <w:r w:rsidR="00427468">
        <w:rPr>
          <w:kern w:val="0"/>
        </w:rPr>
        <w:t xml:space="preserve"> of </w:t>
      </w:r>
      <w:r>
        <w:rPr>
          <w:kern w:val="0"/>
        </w:rPr>
        <w:t>162 patients),</w:t>
      </w:r>
      <w:r w:rsidR="005853A9">
        <w:rPr>
          <w:kern w:val="0"/>
        </w:rPr>
        <w:t xml:space="preserve"> and </w:t>
      </w:r>
      <w:r>
        <w:rPr>
          <w:kern w:val="0"/>
        </w:rPr>
        <w:t>only 4 deaths were attributable to HBV (4</w:t>
      </w:r>
      <w:r w:rsidR="00427468">
        <w:rPr>
          <w:kern w:val="0"/>
        </w:rPr>
        <w:t xml:space="preserve"> of </w:t>
      </w:r>
      <w:r>
        <w:rPr>
          <w:kern w:val="0"/>
        </w:rPr>
        <w:t>208 patients vs. 27</w:t>
      </w:r>
      <w:r w:rsidR="00427468">
        <w:rPr>
          <w:kern w:val="0"/>
        </w:rPr>
        <w:t xml:space="preserve"> of </w:t>
      </w:r>
      <w:r>
        <w:rPr>
          <w:kern w:val="0"/>
        </w:rPr>
        <w:t>394 patients) in</w:t>
      </w:r>
      <w:r w:rsidR="003A1917">
        <w:rPr>
          <w:kern w:val="0"/>
        </w:rPr>
        <w:t xml:space="preserve"> the </w:t>
      </w:r>
      <w:r>
        <w:rPr>
          <w:kern w:val="0"/>
        </w:rPr>
        <w:t>preventive lamivudine group. Lamivudine was well tolerated,</w:t>
      </w:r>
      <w:r w:rsidR="005853A9">
        <w:rPr>
          <w:kern w:val="0"/>
        </w:rPr>
        <w:t xml:space="preserve"> and </w:t>
      </w:r>
      <w:r>
        <w:rPr>
          <w:kern w:val="0"/>
        </w:rPr>
        <w:t>no adverse effects were noted. Limitations:</w:t>
      </w:r>
      <w:r w:rsidR="003A1917">
        <w:rPr>
          <w:kern w:val="0"/>
        </w:rPr>
        <w:t xml:space="preserve"> the </w:t>
      </w:r>
      <w:r>
        <w:rPr>
          <w:kern w:val="0"/>
        </w:rPr>
        <w:t>studies included in</w:t>
      </w:r>
      <w:r w:rsidR="003A1917">
        <w:rPr>
          <w:kern w:val="0"/>
        </w:rPr>
        <w:t xml:space="preserve"> the </w:t>
      </w:r>
      <w:r>
        <w:rPr>
          <w:kern w:val="0"/>
        </w:rPr>
        <w:t>meta-analysis did not consistently report all</w:t>
      </w:r>
      <w:r w:rsidR="00427468">
        <w:rPr>
          <w:kern w:val="0"/>
        </w:rPr>
        <w:t xml:space="preserve"> of </w:t>
      </w:r>
      <w:r w:rsidR="003A1917">
        <w:rPr>
          <w:kern w:val="0"/>
        </w:rPr>
        <w:t xml:space="preserve">the </w:t>
      </w:r>
      <w:r>
        <w:rPr>
          <w:kern w:val="0"/>
        </w:rPr>
        <w:t>outcomes</w:t>
      </w:r>
      <w:r w:rsidR="00427468">
        <w:rPr>
          <w:kern w:val="0"/>
        </w:rPr>
        <w:t xml:space="preserve"> of </w:t>
      </w:r>
      <w:r>
        <w:rPr>
          <w:kern w:val="0"/>
        </w:rPr>
        <w:t>interest. Sample sizes were small</w:t>
      </w:r>
      <w:r w:rsidR="005853A9">
        <w:rPr>
          <w:kern w:val="0"/>
        </w:rPr>
        <w:t xml:space="preserve"> and </w:t>
      </w:r>
      <w:r>
        <w:rPr>
          <w:kern w:val="0"/>
        </w:rPr>
        <w:t>only 2 studies had a randomized, controlled design. Conclusion: Preventive therapy with lamivudine for patients who test positive for HBsAg</w:t>
      </w:r>
      <w:r w:rsidR="005853A9">
        <w:rPr>
          <w:kern w:val="0"/>
        </w:rPr>
        <w:t xml:space="preserve"> and </w:t>
      </w:r>
      <w:r>
        <w:rPr>
          <w:kern w:val="0"/>
        </w:rPr>
        <w:t>are undergoing chemotherapy may reduce</w:t>
      </w:r>
      <w:r w:rsidR="003A1917">
        <w:rPr>
          <w:kern w:val="0"/>
        </w:rPr>
        <w:t xml:space="preserve"> the </w:t>
      </w:r>
      <w:r>
        <w:rPr>
          <w:kern w:val="0"/>
        </w:rPr>
        <w:t>risk for HBV reactivation</w:t>
      </w:r>
      <w:r w:rsidR="005853A9">
        <w:rPr>
          <w:kern w:val="0"/>
        </w:rPr>
        <w:t xml:space="preserve"> and </w:t>
      </w:r>
      <w:r>
        <w:rPr>
          <w:kern w:val="0"/>
        </w:rPr>
        <w:t>HBV-associated morbidity</w:t>
      </w:r>
      <w:r w:rsidR="005853A9">
        <w:rPr>
          <w:kern w:val="0"/>
        </w:rPr>
        <w:t xml:space="preserve"> and </w:t>
      </w:r>
      <w:r>
        <w:rPr>
          <w:kern w:val="0"/>
        </w:rPr>
        <w:t>mortality.</w:t>
      </w:r>
    </w:p>
    <w:p w:rsidR="008C1C37" w:rsidRDefault="008C1C37" w:rsidP="008C1C37">
      <w:pPr>
        <w:pStyle w:val="a3"/>
        <w:rPr>
          <w:kern w:val="0"/>
        </w:rPr>
      </w:pPr>
      <w:r>
        <w:rPr>
          <w:kern w:val="0"/>
        </w:rPr>
        <w:t xml:space="preserve">Keywords: Adverse Effects, Analysis, Breast-Cancer Patients, Cancer, Carriers, Chemotherapy, Clinical Trials, Cochrane, Cohort Studies, Control, Cytotoxic Chemotherapy, Disease, Efficacy, Extraction, Hbv, Infection, Interest, Literature, Lymphoma, </w:t>
      </w:r>
      <w:r w:rsidR="00D5664A">
        <w:rPr>
          <w:kern w:val="0"/>
        </w:rPr>
        <w:t>MEDLINE</w:t>
      </w:r>
      <w:r>
        <w:rPr>
          <w:kern w:val="0"/>
        </w:rPr>
        <w:t xml:space="preserve">, Meta-Analysis, Morbidity, Mortality, Outcomes, </w:t>
      </w:r>
      <w:r>
        <w:rPr>
          <w:kern w:val="0"/>
        </w:rPr>
        <w:lastRenderedPageBreak/>
        <w:t xml:space="preserve">Preemptive Lamivudine, Primary, Prophylaxis, Relative Risk, Review, Risk, Science, Scopus, Sources, Systematic, Systematic Review, Therapy, Treatment, Virus Reactivation,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Kriston, L., Holzel, L., Weiser, A.K., Berner, M.M.</w:t>
      </w:r>
      <w:r w:rsidR="005853A9">
        <w:rPr>
          <w:kern w:val="0"/>
        </w:rPr>
        <w:t xml:space="preserve"> and </w:t>
      </w:r>
      <w:r>
        <w:rPr>
          <w:kern w:val="0"/>
        </w:rPr>
        <w:t xml:space="preserve">Harter, M. (2008), Meta-analysis: </w:t>
      </w:r>
      <w:r w:rsidR="0069740E">
        <w:rPr>
          <w:kern w:val="0"/>
        </w:rPr>
        <w:t xml:space="preserve">Are </w:t>
      </w:r>
      <w:r>
        <w:rPr>
          <w:kern w:val="0"/>
        </w:rPr>
        <w:t xml:space="preserve">3 questions enough to detect unhealthy alcohol use? </w:t>
      </w:r>
      <w:r>
        <w:rPr>
          <w:i/>
          <w:iCs/>
          <w:kern w:val="0"/>
        </w:rPr>
        <w:t>Annals</w:t>
      </w:r>
      <w:r w:rsidR="00427468">
        <w:rPr>
          <w:i/>
          <w:iCs/>
          <w:kern w:val="0"/>
        </w:rPr>
        <w:t xml:space="preserve"> of </w:t>
      </w:r>
      <w:r>
        <w:rPr>
          <w:i/>
          <w:iCs/>
          <w:kern w:val="0"/>
        </w:rPr>
        <w:t>Internal Medicine</w:t>
      </w:r>
      <w:r>
        <w:rPr>
          <w:kern w:val="0"/>
        </w:rPr>
        <w:t xml:space="preserve">, </w:t>
      </w:r>
      <w:r>
        <w:rPr>
          <w:b/>
          <w:bCs/>
          <w:kern w:val="0"/>
        </w:rPr>
        <w:t>149</w:t>
      </w:r>
      <w:r>
        <w:rPr>
          <w:kern w:val="0"/>
        </w:rPr>
        <w:t xml:space="preserve"> (12), 879-</w:t>
      </w:r>
      <w:r w:rsidR="0069740E">
        <w:rPr>
          <w:rFonts w:hint="eastAsia"/>
          <w:kern w:val="0"/>
        </w:rPr>
        <w:t>888</w:t>
      </w:r>
      <w:r>
        <w:rPr>
          <w:kern w:val="0"/>
        </w:rPr>
        <w:t>.</w:t>
      </w:r>
    </w:p>
    <w:p w:rsidR="0069740E" w:rsidRDefault="0069740E" w:rsidP="0069740E">
      <w:pPr>
        <w:pStyle w:val="a3"/>
        <w:rPr>
          <w:kern w:val="0"/>
        </w:rPr>
      </w:pPr>
      <w:r>
        <w:rPr>
          <w:rFonts w:hint="eastAsia"/>
          <w:kern w:val="0"/>
        </w:rPr>
        <w:t xml:space="preserve">Full Text: </w:t>
      </w:r>
      <w:hyperlink r:id="rId869" w:history="1">
        <w:r w:rsidRPr="0069740E">
          <w:rPr>
            <w:rStyle w:val="a5"/>
            <w:kern w:val="0"/>
          </w:rPr>
          <w:t>2008\Ann Int Med149, 879.pdf</w:t>
        </w:r>
      </w:hyperlink>
    </w:p>
    <w:p w:rsidR="008C1C37" w:rsidRDefault="008C1C37" w:rsidP="008C1C37">
      <w:pPr>
        <w:pStyle w:val="a3"/>
        <w:rPr>
          <w:kern w:val="0"/>
        </w:rPr>
      </w:pPr>
      <w:r>
        <w:rPr>
          <w:kern w:val="0"/>
        </w:rPr>
        <w:t>Abstract: Background: Both</w:t>
      </w:r>
      <w:r w:rsidR="003A1917">
        <w:rPr>
          <w:kern w:val="0"/>
        </w:rPr>
        <w:t xml:space="preserve"> the </w:t>
      </w:r>
      <w:r>
        <w:rPr>
          <w:kern w:val="0"/>
        </w:rPr>
        <w:t>10-item Alcohol Use Disorders Identification Test (AUDIT)</w:t>
      </w:r>
      <w:r w:rsidR="005853A9">
        <w:rPr>
          <w:kern w:val="0"/>
        </w:rPr>
        <w:t xml:space="preserve"> and </w:t>
      </w:r>
      <w:r>
        <w:rPr>
          <w:kern w:val="0"/>
        </w:rPr>
        <w:t>its abbreviated 3-item version (Alcohol Use Disorders Identification Test-Consumption [AUDIT-C]) are considered to detect unhealthy alcohol use accurately. Purpose: To examine whether</w:t>
      </w:r>
      <w:r w:rsidR="003A1917">
        <w:rPr>
          <w:kern w:val="0"/>
        </w:rPr>
        <w:t xml:space="preserve"> the </w:t>
      </w:r>
      <w:r>
        <w:rPr>
          <w:kern w:val="0"/>
        </w:rPr>
        <w:t>AUDIT-C is as accurate as</w:t>
      </w:r>
      <w:r w:rsidR="003A1917">
        <w:rPr>
          <w:kern w:val="0"/>
        </w:rPr>
        <w:t xml:space="preserve"> the </w:t>
      </w:r>
      <w:r>
        <w:rPr>
          <w:kern w:val="0"/>
        </w:rPr>
        <w:t xml:space="preserve">full AUDIT for detecting unhealthy alcohol use in adults. Data Sources: </w:t>
      </w:r>
      <w:r w:rsidR="00D5664A">
        <w:rPr>
          <w:kern w:val="0"/>
        </w:rPr>
        <w:t>MEDLINE</w:t>
      </w:r>
      <w:r>
        <w:rPr>
          <w:kern w:val="0"/>
        </w:rPr>
        <w:t xml:space="preserve">, EMBASE, CINAHL, </w:t>
      </w:r>
      <w:r w:rsidR="00D5664A">
        <w:rPr>
          <w:kern w:val="0"/>
        </w:rPr>
        <w:t>Web</w:t>
      </w:r>
      <w:r w:rsidR="00427468">
        <w:rPr>
          <w:kern w:val="0"/>
        </w:rPr>
        <w:t xml:space="preserve"> of </w:t>
      </w:r>
      <w:r w:rsidR="00D5664A">
        <w:rPr>
          <w:kern w:val="0"/>
        </w:rPr>
        <w:t>Science</w:t>
      </w:r>
      <w:r>
        <w:rPr>
          <w:kern w:val="0"/>
        </w:rPr>
        <w:t>, Psyc-INFO,</w:t>
      </w:r>
      <w:r w:rsidR="005853A9">
        <w:rPr>
          <w:kern w:val="0"/>
        </w:rPr>
        <w:t xml:space="preserve"> and </w:t>
      </w:r>
      <w:r>
        <w:rPr>
          <w:kern w:val="0"/>
        </w:rPr>
        <w:t>BIOSIS Previews from 1998 to July 2008. Study Selection: Three independent reviewers selected studies that administered both</w:t>
      </w:r>
      <w:r w:rsidR="003A1917">
        <w:rPr>
          <w:kern w:val="0"/>
        </w:rPr>
        <w:t xml:space="preserve"> the </w:t>
      </w:r>
      <w:r>
        <w:rPr>
          <w:kern w:val="0"/>
        </w:rPr>
        <w:t>AUDIT</w:t>
      </w:r>
      <w:r w:rsidR="005853A9">
        <w:rPr>
          <w:kern w:val="0"/>
        </w:rPr>
        <w:t xml:space="preserve"> and </w:t>
      </w:r>
      <w:r w:rsidR="003A1917">
        <w:rPr>
          <w:kern w:val="0"/>
        </w:rPr>
        <w:t xml:space="preserve">the </w:t>
      </w:r>
      <w:r>
        <w:rPr>
          <w:kern w:val="0"/>
        </w:rPr>
        <w:t>AUDIT-C, applied a valid reference standard, avoided verification</w:t>
      </w:r>
      <w:r w:rsidR="005853A9">
        <w:rPr>
          <w:kern w:val="0"/>
        </w:rPr>
        <w:t xml:space="preserve"> and </w:t>
      </w:r>
      <w:r>
        <w:rPr>
          <w:kern w:val="0"/>
        </w:rPr>
        <w:t>incorporation bias,</w:t>
      </w:r>
      <w:r w:rsidR="005853A9">
        <w:rPr>
          <w:kern w:val="0"/>
        </w:rPr>
        <w:t xml:space="preserve"> and </w:t>
      </w:r>
      <w:r>
        <w:rPr>
          <w:kern w:val="0"/>
        </w:rPr>
        <w:t>reported relevant data. No language restrictions were applied. Data Extraction: Two reviewers extracted study characteristics</w:t>
      </w:r>
      <w:r w:rsidR="005853A9">
        <w:rPr>
          <w:kern w:val="0"/>
        </w:rPr>
        <w:t xml:space="preserve"> and </w:t>
      </w:r>
      <w:r>
        <w:rPr>
          <w:kern w:val="0"/>
        </w:rPr>
        <w:t>outcome data, which were cross-checked by a third reviewer. One reviewer assessed methodological quality with a standardized checklist. Data Synthesis: Fourteen studies were found. Most involved primary care patients in Europe</w:t>
      </w:r>
      <w:r w:rsidR="005853A9">
        <w:rPr>
          <w:kern w:val="0"/>
        </w:rPr>
        <w:t xml:space="preserve"> and </w:t>
      </w:r>
      <w:r w:rsidR="003A1917">
        <w:rPr>
          <w:kern w:val="0"/>
        </w:rPr>
        <w:t xml:space="preserve">the </w:t>
      </w:r>
      <w:r>
        <w:rPr>
          <w:kern w:val="0"/>
        </w:rPr>
        <w:t>United States. Sample sizes ranged between 112</w:t>
      </w:r>
      <w:r w:rsidR="005853A9">
        <w:rPr>
          <w:kern w:val="0"/>
        </w:rPr>
        <w:t xml:space="preserve"> and </w:t>
      </w:r>
      <w:r>
        <w:rPr>
          <w:kern w:val="0"/>
        </w:rPr>
        <w:t>13 438 patients,</w:t>
      </w:r>
      <w:r w:rsidR="005853A9">
        <w:rPr>
          <w:kern w:val="0"/>
        </w:rPr>
        <w:t xml:space="preserve"> and </w:t>
      </w:r>
      <w:r>
        <w:rPr>
          <w:kern w:val="0"/>
        </w:rPr>
        <w:t>sex</w:t>
      </w:r>
      <w:r w:rsidR="005853A9">
        <w:rPr>
          <w:kern w:val="0"/>
        </w:rPr>
        <w:t xml:space="preserve"> and </w:t>
      </w:r>
      <w:r>
        <w:rPr>
          <w:kern w:val="0"/>
        </w:rPr>
        <w:t>age distributions varied considerably. No statistically significant differences were found between</w:t>
      </w:r>
      <w:r w:rsidR="003A1917">
        <w:rPr>
          <w:kern w:val="0"/>
        </w:rPr>
        <w:t xml:space="preserve"> the </w:t>
      </w:r>
      <w:r>
        <w:rPr>
          <w:kern w:val="0"/>
        </w:rPr>
        <w:t>overall accuracy</w:t>
      </w:r>
      <w:r w:rsidR="00427468">
        <w:rPr>
          <w:kern w:val="0"/>
        </w:rPr>
        <w:t xml:space="preserve"> of </w:t>
      </w:r>
      <w:r w:rsidR="003A1917">
        <w:rPr>
          <w:kern w:val="0"/>
        </w:rPr>
        <w:t xml:space="preserve">the </w:t>
      </w:r>
      <w:r>
        <w:rPr>
          <w:kern w:val="0"/>
        </w:rPr>
        <w:t>AUDIT</w:t>
      </w:r>
      <w:r w:rsidR="005853A9">
        <w:rPr>
          <w:kern w:val="0"/>
        </w:rPr>
        <w:t xml:space="preserve"> and </w:t>
      </w:r>
      <w:r w:rsidR="003A1917">
        <w:rPr>
          <w:kern w:val="0"/>
        </w:rPr>
        <w:t xml:space="preserve">the </w:t>
      </w:r>
      <w:r>
        <w:rPr>
          <w:kern w:val="0"/>
        </w:rPr>
        <w:t>AUDIT-C for detecting risky drinking, alcohol use disorders, or unhealthy alcohol use in primary care. Hierarchical summary receiver-operating characteristic curve analysis yielded pooled positive likelihood ratios</w:t>
      </w:r>
      <w:r w:rsidR="00427468">
        <w:rPr>
          <w:kern w:val="0"/>
        </w:rPr>
        <w:t xml:space="preserve"> of </w:t>
      </w:r>
      <w:r>
        <w:rPr>
          <w:kern w:val="0"/>
        </w:rPr>
        <w:t>6.62 for</w:t>
      </w:r>
      <w:r w:rsidR="003A1917">
        <w:rPr>
          <w:kern w:val="0"/>
        </w:rPr>
        <w:t xml:space="preserve"> the </w:t>
      </w:r>
      <w:r>
        <w:rPr>
          <w:kern w:val="0"/>
        </w:rPr>
        <w:t>AUDIT</w:t>
      </w:r>
      <w:r w:rsidR="005853A9">
        <w:rPr>
          <w:kern w:val="0"/>
        </w:rPr>
        <w:t xml:space="preserve"> and </w:t>
      </w:r>
      <w:r>
        <w:rPr>
          <w:kern w:val="0"/>
        </w:rPr>
        <w:t>2.99 for</w:t>
      </w:r>
      <w:r w:rsidR="003A1917">
        <w:rPr>
          <w:kern w:val="0"/>
        </w:rPr>
        <w:t xml:space="preserve"> the </w:t>
      </w:r>
      <w:r>
        <w:rPr>
          <w:kern w:val="0"/>
        </w:rPr>
        <w:t>AUDIT-C, respectively, for detecting risky drinking; 4.03</w:t>
      </w:r>
      <w:r w:rsidR="005853A9">
        <w:rPr>
          <w:kern w:val="0"/>
        </w:rPr>
        <w:t xml:space="preserve"> and </w:t>
      </w:r>
      <w:r>
        <w:rPr>
          <w:kern w:val="0"/>
        </w:rPr>
        <w:t>3.82, respectively, for detecting any alcohol use disorder;</w:t>
      </w:r>
      <w:r w:rsidR="005853A9">
        <w:rPr>
          <w:kern w:val="0"/>
        </w:rPr>
        <w:t xml:space="preserve"> and </w:t>
      </w:r>
      <w:r>
        <w:rPr>
          <w:kern w:val="0"/>
        </w:rPr>
        <w:t>4.82</w:t>
      </w:r>
      <w:r w:rsidR="005853A9">
        <w:rPr>
          <w:kern w:val="0"/>
        </w:rPr>
        <w:t xml:space="preserve"> and </w:t>
      </w:r>
      <w:r>
        <w:rPr>
          <w:kern w:val="0"/>
        </w:rPr>
        <w:t>3.91, respectively, for detecting risky drinking or any alcohol use disorder. Findings from a few studies on general population samples</w:t>
      </w:r>
      <w:r w:rsidR="005853A9">
        <w:rPr>
          <w:kern w:val="0"/>
        </w:rPr>
        <w:t xml:space="preserve"> and </w:t>
      </w:r>
      <w:r>
        <w:rPr>
          <w:kern w:val="0"/>
        </w:rPr>
        <w:t>inpatients suggested but did not prove that</w:t>
      </w:r>
      <w:r w:rsidR="003A1917">
        <w:rPr>
          <w:kern w:val="0"/>
        </w:rPr>
        <w:t xml:space="preserve"> the </w:t>
      </w:r>
      <w:r>
        <w:rPr>
          <w:kern w:val="0"/>
        </w:rPr>
        <w:t>AUDIT might be better than</w:t>
      </w:r>
      <w:r w:rsidR="003A1917">
        <w:rPr>
          <w:kern w:val="0"/>
        </w:rPr>
        <w:t xml:space="preserve"> the </w:t>
      </w:r>
      <w:r>
        <w:rPr>
          <w:kern w:val="0"/>
        </w:rPr>
        <w:t>AUDIT-C for identifying severe conditions, such as alcohol dependence. Limitation: Studies used different reference standards</w:t>
      </w:r>
      <w:r w:rsidR="005853A9">
        <w:rPr>
          <w:kern w:val="0"/>
        </w:rPr>
        <w:t xml:space="preserve"> and </w:t>
      </w:r>
      <w:r>
        <w:rPr>
          <w:kern w:val="0"/>
        </w:rPr>
        <w:t>had heterogeneous findings. Conclusion: Available evidence is inconclusive but suggests that</w:t>
      </w:r>
      <w:r w:rsidR="003A1917">
        <w:rPr>
          <w:kern w:val="0"/>
        </w:rPr>
        <w:t xml:space="preserve"> the </w:t>
      </w:r>
      <w:r>
        <w:rPr>
          <w:kern w:val="0"/>
        </w:rPr>
        <w:t>full AUDIT may be superior to</w:t>
      </w:r>
      <w:r w:rsidR="003A1917">
        <w:rPr>
          <w:kern w:val="0"/>
        </w:rPr>
        <w:t xml:space="preserve"> the </w:t>
      </w:r>
      <w:r>
        <w:rPr>
          <w:kern w:val="0"/>
        </w:rPr>
        <w:t>AUDIT-C for identifying unhealthy alcohol use in adults in some settings.</w:t>
      </w:r>
    </w:p>
    <w:p w:rsidR="008C1C37" w:rsidRDefault="008C1C37" w:rsidP="008C1C37">
      <w:pPr>
        <w:pStyle w:val="a3"/>
        <w:rPr>
          <w:kern w:val="0"/>
        </w:rPr>
      </w:pPr>
      <w:r>
        <w:rPr>
          <w:kern w:val="0"/>
        </w:rPr>
        <w:t xml:space="preserve">Keywords: Accuracy, Adults, Alcohol, Alcohol Use Disorder, Analysis, At-Risk Drinking, Audit, Bias, Diagnostic-Test Accuracy, Disorder, Disorders Identification Test, EMBASE, Europe, Extraction, Hazardous Drinkers, Laboratory Tests, </w:t>
      </w:r>
      <w:r w:rsidR="00D5664A">
        <w:rPr>
          <w:kern w:val="0"/>
        </w:rPr>
        <w:t>MEDLINE</w:t>
      </w:r>
      <w:r>
        <w:rPr>
          <w:kern w:val="0"/>
        </w:rPr>
        <w:t xml:space="preserve">, Meta Analysis, Meta-Analysis, Outcome, Primary, Primary Care, </w:t>
      </w:r>
      <w:r>
        <w:rPr>
          <w:kern w:val="0"/>
        </w:rPr>
        <w:lastRenderedPageBreak/>
        <w:t xml:space="preserve">Primary-Care, Science, Screening-Test, Sources, Standards, Test Accuracy Evaluations, Test Audit, United-States, </w:t>
      </w:r>
      <w:r w:rsidR="00D5664A">
        <w:rPr>
          <w:kern w:val="0"/>
        </w:rPr>
        <w:t>Web</w:t>
      </w:r>
      <w:r w:rsidR="00427468">
        <w:rPr>
          <w:kern w:val="0"/>
        </w:rPr>
        <w:t xml:space="preserve"> of </w:t>
      </w:r>
      <w:r w:rsidR="00D5664A">
        <w:rPr>
          <w:kern w:val="0"/>
        </w:rPr>
        <w:t>Science</w:t>
      </w:r>
    </w:p>
    <w:p w:rsidR="0069740E" w:rsidRDefault="0069740E" w:rsidP="0069740E">
      <w:pPr>
        <w:pStyle w:val="a3"/>
        <w:rPr>
          <w:kern w:val="0"/>
        </w:rPr>
      </w:pPr>
      <w:r>
        <w:rPr>
          <w:rFonts w:hint="eastAsia"/>
          <w:kern w:val="0"/>
        </w:rPr>
        <w:t xml:space="preserve">? </w:t>
      </w:r>
      <w:r>
        <w:rPr>
          <w:kern w:val="0"/>
        </w:rPr>
        <w:t>McAlister, F.A., Wiebe, N., Ezekowitz, J.A., Leung, A.A.</w:t>
      </w:r>
      <w:r w:rsidR="005853A9">
        <w:rPr>
          <w:kern w:val="0"/>
        </w:rPr>
        <w:t xml:space="preserve"> and </w:t>
      </w:r>
      <w:r>
        <w:rPr>
          <w:kern w:val="0"/>
        </w:rPr>
        <w:t xml:space="preserve">Armstrong, P.W. (2009), Meta-analysis: </w:t>
      </w:r>
      <w:r>
        <w:rPr>
          <w:kern w:val="0"/>
        </w:rPr>
        <w:sym w:font="Symbol" w:char="F062"/>
      </w:r>
      <w:r>
        <w:rPr>
          <w:kern w:val="0"/>
        </w:rPr>
        <w:t>-Blocker dose, heart rate reduction,</w:t>
      </w:r>
      <w:r w:rsidR="005853A9">
        <w:rPr>
          <w:kern w:val="0"/>
        </w:rPr>
        <w:t xml:space="preserve"> and </w:t>
      </w:r>
      <w:r>
        <w:rPr>
          <w:kern w:val="0"/>
        </w:rPr>
        <w:t xml:space="preserve">death in patients with heart failure. </w:t>
      </w:r>
      <w:r>
        <w:rPr>
          <w:i/>
          <w:iCs/>
          <w:kern w:val="0"/>
        </w:rPr>
        <w:t>Annals</w:t>
      </w:r>
      <w:r w:rsidR="00427468">
        <w:rPr>
          <w:i/>
          <w:iCs/>
          <w:kern w:val="0"/>
        </w:rPr>
        <w:t xml:space="preserve"> of </w:t>
      </w:r>
      <w:r>
        <w:rPr>
          <w:i/>
          <w:iCs/>
          <w:kern w:val="0"/>
        </w:rPr>
        <w:t>Internal Medicine</w:t>
      </w:r>
      <w:r>
        <w:rPr>
          <w:kern w:val="0"/>
        </w:rPr>
        <w:t xml:space="preserve">, </w:t>
      </w:r>
      <w:r>
        <w:rPr>
          <w:b/>
          <w:bCs/>
          <w:kern w:val="0"/>
        </w:rPr>
        <w:t>150</w:t>
      </w:r>
      <w:r>
        <w:rPr>
          <w:kern w:val="0"/>
        </w:rPr>
        <w:t xml:space="preserve"> (11), 784-W141.</w:t>
      </w:r>
    </w:p>
    <w:p w:rsidR="0069740E" w:rsidRDefault="0069740E" w:rsidP="0069740E">
      <w:pPr>
        <w:pStyle w:val="a3"/>
        <w:rPr>
          <w:kern w:val="0"/>
        </w:rPr>
      </w:pPr>
      <w:r>
        <w:rPr>
          <w:rFonts w:hint="eastAsia"/>
          <w:kern w:val="0"/>
        </w:rPr>
        <w:t xml:space="preserve">Full Text: </w:t>
      </w:r>
      <w:hyperlink r:id="rId870" w:history="1">
        <w:r w:rsidRPr="000A675D">
          <w:rPr>
            <w:rStyle w:val="a5"/>
            <w:kern w:val="0"/>
          </w:rPr>
          <w:t>2009\Ann Int Med150, 784.pdf</w:t>
        </w:r>
      </w:hyperlink>
    </w:p>
    <w:p w:rsidR="008C1C37" w:rsidRDefault="008C1C37" w:rsidP="008C1C37">
      <w:pPr>
        <w:pStyle w:val="a3"/>
        <w:rPr>
          <w:kern w:val="0"/>
        </w:rPr>
      </w:pPr>
      <w:r>
        <w:rPr>
          <w:kern w:val="0"/>
        </w:rPr>
        <w:t>Abstract: Background: Guidelines recommend that patients with heart failure receive beta-blockers in doses used in</w:t>
      </w:r>
      <w:r w:rsidR="003A1917">
        <w:rPr>
          <w:kern w:val="0"/>
        </w:rPr>
        <w:t xml:space="preserve"> the </w:t>
      </w:r>
      <w:r>
        <w:rPr>
          <w:kern w:val="0"/>
        </w:rPr>
        <w:t>trials that have proven their efficacy. Although</w:t>
      </w:r>
      <w:r w:rsidR="003A1917">
        <w:rPr>
          <w:kern w:val="0"/>
        </w:rPr>
        <w:t xml:space="preserve"> the </w:t>
      </w:r>
      <w:r>
        <w:rPr>
          <w:kern w:val="0"/>
        </w:rPr>
        <w:t>adverse effects</w:t>
      </w:r>
      <w:r w:rsidR="00427468">
        <w:rPr>
          <w:kern w:val="0"/>
        </w:rPr>
        <w:t xml:space="preserve"> of </w:t>
      </w:r>
      <w:r>
        <w:rPr>
          <w:kern w:val="0"/>
        </w:rPr>
        <w:t>beta-blockade are dose-related, it is unclear whether</w:t>
      </w:r>
      <w:r w:rsidR="003A1917">
        <w:rPr>
          <w:kern w:val="0"/>
        </w:rPr>
        <w:t xml:space="preserve"> the </w:t>
      </w:r>
      <w:r>
        <w:rPr>
          <w:kern w:val="0"/>
        </w:rPr>
        <w:t>benefits are. Purpose: To determine whether</w:t>
      </w:r>
      <w:r w:rsidR="003A1917">
        <w:rPr>
          <w:kern w:val="0"/>
        </w:rPr>
        <w:t xml:space="preserve"> the </w:t>
      </w:r>
      <w:r>
        <w:rPr>
          <w:kern w:val="0"/>
        </w:rPr>
        <w:t>survival benefits</w:t>
      </w:r>
      <w:r w:rsidR="00427468">
        <w:rPr>
          <w:kern w:val="0"/>
        </w:rPr>
        <w:t xml:space="preserve"> of </w:t>
      </w:r>
      <w:r>
        <w:rPr>
          <w:kern w:val="0"/>
        </w:rPr>
        <w:t>beta-blockade in heart failure are associated with</w:t>
      </w:r>
      <w:r w:rsidR="003A1917">
        <w:rPr>
          <w:kern w:val="0"/>
        </w:rPr>
        <w:t xml:space="preserve"> the </w:t>
      </w:r>
      <w:r>
        <w:rPr>
          <w:kern w:val="0"/>
        </w:rPr>
        <w:t>magnitude</w:t>
      </w:r>
      <w:r w:rsidR="00427468">
        <w:rPr>
          <w:kern w:val="0"/>
        </w:rPr>
        <w:t xml:space="preserve"> of </w:t>
      </w:r>
      <w:r>
        <w:rPr>
          <w:kern w:val="0"/>
        </w:rPr>
        <w:t>heart rate reduction or</w:t>
      </w:r>
      <w:r w:rsidR="003A1917">
        <w:rPr>
          <w:kern w:val="0"/>
        </w:rPr>
        <w:t xml:space="preserve"> the </w:t>
      </w:r>
      <w:r>
        <w:rPr>
          <w:kern w:val="0"/>
        </w:rPr>
        <w:t xml:space="preserve">beta-blocker dose. Data Sources: </w:t>
      </w:r>
      <w:r w:rsidR="00D5664A">
        <w:rPr>
          <w:kern w:val="0"/>
        </w:rPr>
        <w:t>MEDLINE</w:t>
      </w:r>
      <w:r>
        <w:rPr>
          <w:kern w:val="0"/>
        </w:rPr>
        <w:t xml:space="preserve">, EMBASE, CINAHL, SIGLE,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supplemented by hand-searches</w:t>
      </w:r>
      <w:r w:rsidR="00427468">
        <w:rPr>
          <w:kern w:val="0"/>
        </w:rPr>
        <w:t xml:space="preserve"> of </w:t>
      </w:r>
      <w:r>
        <w:rPr>
          <w:kern w:val="0"/>
        </w:rPr>
        <w:t>bibliographies. Study Selection: Randomized, placebo-controlled heart failure trials that reported all-cause mortality. Data Extraction: Two reviewers independently extracted data on study characteristics, beta-blocker dosing</w:t>
      </w:r>
      <w:r w:rsidR="005853A9">
        <w:rPr>
          <w:kern w:val="0"/>
        </w:rPr>
        <w:t xml:space="preserve"> and </w:t>
      </w:r>
      <w:r>
        <w:rPr>
          <w:kern w:val="0"/>
        </w:rPr>
        <w:t>heart rate reduction,</w:t>
      </w:r>
      <w:r w:rsidR="005853A9">
        <w:rPr>
          <w:kern w:val="0"/>
        </w:rPr>
        <w:t xml:space="preserve"> and </w:t>
      </w:r>
      <w:r>
        <w:rPr>
          <w:kern w:val="0"/>
        </w:rPr>
        <w:t>death. Data Synthesis:</w:t>
      </w:r>
      <w:r w:rsidR="003A1917">
        <w:rPr>
          <w:kern w:val="0"/>
        </w:rPr>
        <w:t xml:space="preserve"> the </w:t>
      </w:r>
      <w:r>
        <w:rPr>
          <w:kern w:val="0"/>
        </w:rPr>
        <w:t>mean left ventricular ejection fraction in</w:t>
      </w:r>
      <w:r w:rsidR="003A1917">
        <w:rPr>
          <w:kern w:val="0"/>
        </w:rPr>
        <w:t xml:space="preserve"> the </w:t>
      </w:r>
      <w:r>
        <w:rPr>
          <w:kern w:val="0"/>
        </w:rPr>
        <w:t>23 beta-blocker trials ranged from 0.17 to 0.36,</w:t>
      </w:r>
      <w:r w:rsidR="005853A9">
        <w:rPr>
          <w:kern w:val="0"/>
        </w:rPr>
        <w:t xml:space="preserve"> and </w:t>
      </w:r>
      <w:r>
        <w:rPr>
          <w:kern w:val="0"/>
        </w:rPr>
        <w:t>more than 95%</w:t>
      </w:r>
      <w:r w:rsidR="00427468">
        <w:rPr>
          <w:kern w:val="0"/>
        </w:rPr>
        <w:t xml:space="preserve"> of </w:t>
      </w:r>
      <w:r w:rsidR="003A1917">
        <w:rPr>
          <w:kern w:val="0"/>
        </w:rPr>
        <w:t xml:space="preserve">the </w:t>
      </w:r>
      <w:r>
        <w:rPr>
          <w:kern w:val="0"/>
        </w:rPr>
        <w:t>19 209 patients had systolic dysfunction</w:t>
      </w:r>
      <w:r w:rsidR="00A37C1D">
        <w:rPr>
          <w:kern w:val="0"/>
        </w:rPr>
        <w:t>. The</w:t>
      </w:r>
      <w:r w:rsidR="003A1917">
        <w:rPr>
          <w:kern w:val="0"/>
        </w:rPr>
        <w:t xml:space="preserve"> </w:t>
      </w:r>
      <w:r>
        <w:rPr>
          <w:kern w:val="0"/>
        </w:rPr>
        <w:t>overall risk ratio for death was 0.76 (95% CI, 0.68 to 0.84); however, heterogeneity testing revealed moderate heterogeneity among trials (I(2) = 30%), which was associated with</w:t>
      </w:r>
      <w:r w:rsidR="003A1917">
        <w:rPr>
          <w:kern w:val="0"/>
        </w:rPr>
        <w:t xml:space="preserve"> the </w:t>
      </w:r>
      <w:r>
        <w:rPr>
          <w:kern w:val="0"/>
        </w:rPr>
        <w:t>magnitude</w:t>
      </w:r>
      <w:r w:rsidR="00427468">
        <w:rPr>
          <w:kern w:val="0"/>
        </w:rPr>
        <w:t xml:space="preserve"> of </w:t>
      </w:r>
      <w:r>
        <w:rPr>
          <w:kern w:val="0"/>
        </w:rPr>
        <w:t>heart rate reduction achieved within each trial (P for meta-regression = 0.006). For every heart rate reduction</w:t>
      </w:r>
      <w:r w:rsidR="00427468">
        <w:rPr>
          <w:kern w:val="0"/>
        </w:rPr>
        <w:t xml:space="preserve"> of </w:t>
      </w:r>
      <w:r>
        <w:rPr>
          <w:kern w:val="0"/>
        </w:rPr>
        <w:t>5 beats/min with beta-blocker treatment, a commensurate 18% reduction (CI, 6% to 29%) in</w:t>
      </w:r>
      <w:r w:rsidR="003A1917">
        <w:rPr>
          <w:kern w:val="0"/>
        </w:rPr>
        <w:t xml:space="preserve"> the </w:t>
      </w:r>
      <w:r>
        <w:rPr>
          <w:kern w:val="0"/>
        </w:rPr>
        <w:t>risk for death occurred. No significant relationship between all-cause mortality</w:t>
      </w:r>
      <w:r w:rsidR="005853A9">
        <w:rPr>
          <w:kern w:val="0"/>
        </w:rPr>
        <w:t xml:space="preserve"> and </w:t>
      </w:r>
      <w:r>
        <w:rPr>
          <w:kern w:val="0"/>
        </w:rPr>
        <w:t>beta-blocker dosing was observed (risk ratio for death, 0.74 [CI, 0.64 to 0.86]) in high-dose beta-blocker trials vs. 0.78 [CI, 0.63 to 0.96] in low-dose beta-blocker trials; P for meta-regression = 0.69). Limitations:</w:t>
      </w:r>
      <w:r w:rsidR="003A1917">
        <w:rPr>
          <w:kern w:val="0"/>
        </w:rPr>
        <w:t xml:space="preserve"> the </w:t>
      </w:r>
      <w:r>
        <w:rPr>
          <w:kern w:val="0"/>
        </w:rPr>
        <w:t>analysis is based on aggregate data</w:t>
      </w:r>
      <w:r w:rsidR="005853A9">
        <w:rPr>
          <w:kern w:val="0"/>
        </w:rPr>
        <w:t xml:space="preserve"> and </w:t>
      </w:r>
      <w:r>
        <w:rPr>
          <w:kern w:val="0"/>
        </w:rPr>
        <w:t>resting heart rates. Few patients in these trials had bradycardia or diastolic dysfunction at baseline. Conclusion:</w:t>
      </w:r>
      <w:r w:rsidR="003A1917">
        <w:rPr>
          <w:kern w:val="0"/>
        </w:rPr>
        <w:t xml:space="preserve"> the </w:t>
      </w:r>
      <w:r>
        <w:rPr>
          <w:kern w:val="0"/>
        </w:rPr>
        <w:t>magnitude</w:t>
      </w:r>
      <w:r w:rsidR="00427468">
        <w:rPr>
          <w:kern w:val="0"/>
        </w:rPr>
        <w:t xml:space="preserve"> of </w:t>
      </w:r>
      <w:r>
        <w:rPr>
          <w:kern w:val="0"/>
        </w:rPr>
        <w:t>heart rate reduction is statistically significantly associated with</w:t>
      </w:r>
      <w:r w:rsidR="003A1917">
        <w:rPr>
          <w:kern w:val="0"/>
        </w:rPr>
        <w:t xml:space="preserve"> the </w:t>
      </w:r>
      <w:r>
        <w:rPr>
          <w:kern w:val="0"/>
        </w:rPr>
        <w:t>survival benefit</w:t>
      </w:r>
      <w:r w:rsidR="00427468">
        <w:rPr>
          <w:kern w:val="0"/>
        </w:rPr>
        <w:t xml:space="preserve"> of </w:t>
      </w:r>
      <w:r>
        <w:rPr>
          <w:kern w:val="0"/>
        </w:rPr>
        <w:t>beta-blockers in heart failure, whereas</w:t>
      </w:r>
      <w:r w:rsidR="003A1917">
        <w:rPr>
          <w:kern w:val="0"/>
        </w:rPr>
        <w:t xml:space="preserve"> the </w:t>
      </w:r>
      <w:r>
        <w:rPr>
          <w:kern w:val="0"/>
        </w:rPr>
        <w:t>dose</w:t>
      </w:r>
      <w:r w:rsidR="00427468">
        <w:rPr>
          <w:kern w:val="0"/>
        </w:rPr>
        <w:t xml:space="preserve"> of </w:t>
      </w:r>
      <w:r>
        <w:rPr>
          <w:kern w:val="0"/>
        </w:rPr>
        <w:t>beta-blocker is not.</w:t>
      </w:r>
    </w:p>
    <w:p w:rsidR="008C1C37" w:rsidRDefault="008C1C37" w:rsidP="008C1C37">
      <w:pPr>
        <w:pStyle w:val="a3"/>
        <w:rPr>
          <w:kern w:val="0"/>
        </w:rPr>
      </w:pPr>
      <w:r>
        <w:rPr>
          <w:kern w:val="0"/>
        </w:rPr>
        <w:t xml:space="preserve">Keywords: Adverse Effects, Analysis, Cardiac-Insufficiency Bisoprolol, Cochrane, Coronary-Artery-Disease, Double-Blind, Efficacy, Ejection Fraction, Elderly-Patients, EMBASE, Extraction, Heart Rate, Idiopathic Dilated Cardiomyopathy, Left-Ventricular Function, </w:t>
      </w:r>
      <w:r w:rsidR="00D5664A">
        <w:rPr>
          <w:kern w:val="0"/>
        </w:rPr>
        <w:t>MEDLINE</w:t>
      </w:r>
      <w:r>
        <w:rPr>
          <w:kern w:val="0"/>
        </w:rPr>
        <w:t xml:space="preserve">, Meta Analysis, Meta-Analysis, Mortality, Placebo-Controlled Trial, Randomized Intervention Trial, Ratio, Reduction, Risk, Science, Sources, Survival, Systolic Dysfunction Beautiful, Treatment,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 xml:space="preserve">Caughey, A.B., Sundaram, V., Kaimal, A.J., Gienger, A., Cheng, Y.W., McDonald, </w:t>
      </w:r>
      <w:r>
        <w:rPr>
          <w:kern w:val="0"/>
        </w:rPr>
        <w:lastRenderedPageBreak/>
        <w:t>K.M., Shaffer, B.L., Owens, D.K.</w:t>
      </w:r>
      <w:r w:rsidR="005853A9">
        <w:rPr>
          <w:kern w:val="0"/>
        </w:rPr>
        <w:t xml:space="preserve"> and </w:t>
      </w:r>
      <w:r>
        <w:rPr>
          <w:kern w:val="0"/>
        </w:rPr>
        <w:t>Bravata, D.M. (2009), Systematic review: Elective induction</w:t>
      </w:r>
      <w:r w:rsidR="00427468">
        <w:rPr>
          <w:kern w:val="0"/>
        </w:rPr>
        <w:t xml:space="preserve"> of </w:t>
      </w:r>
      <w:r>
        <w:rPr>
          <w:kern w:val="0"/>
        </w:rPr>
        <w:t>labor versus expectant management</w:t>
      </w:r>
      <w:r w:rsidR="00427468">
        <w:rPr>
          <w:kern w:val="0"/>
        </w:rPr>
        <w:t xml:space="preserve"> of </w:t>
      </w:r>
      <w:r>
        <w:rPr>
          <w:kern w:val="0"/>
        </w:rPr>
        <w:t xml:space="preserve">pregnancy. </w:t>
      </w:r>
      <w:r>
        <w:rPr>
          <w:i/>
          <w:iCs/>
          <w:kern w:val="0"/>
        </w:rPr>
        <w:t>Annals</w:t>
      </w:r>
      <w:r w:rsidR="00427468">
        <w:rPr>
          <w:i/>
          <w:iCs/>
          <w:kern w:val="0"/>
        </w:rPr>
        <w:t xml:space="preserve"> of </w:t>
      </w:r>
      <w:r>
        <w:rPr>
          <w:i/>
          <w:iCs/>
          <w:kern w:val="0"/>
        </w:rPr>
        <w:t>Internal Medicine</w:t>
      </w:r>
      <w:r>
        <w:rPr>
          <w:kern w:val="0"/>
        </w:rPr>
        <w:t xml:space="preserve">, </w:t>
      </w:r>
      <w:r>
        <w:rPr>
          <w:b/>
          <w:bCs/>
          <w:kern w:val="0"/>
        </w:rPr>
        <w:t>151</w:t>
      </w:r>
      <w:r>
        <w:rPr>
          <w:kern w:val="0"/>
        </w:rPr>
        <w:t xml:space="preserve"> (4), 252-W63.</w:t>
      </w:r>
    </w:p>
    <w:p w:rsidR="0069740E" w:rsidRDefault="0069740E" w:rsidP="0069740E">
      <w:pPr>
        <w:pStyle w:val="a3"/>
        <w:rPr>
          <w:kern w:val="0"/>
        </w:rPr>
      </w:pPr>
      <w:r>
        <w:rPr>
          <w:rFonts w:hint="eastAsia"/>
          <w:kern w:val="0"/>
        </w:rPr>
        <w:t xml:space="preserve">Full Text: </w:t>
      </w:r>
      <w:hyperlink r:id="rId871" w:history="1">
        <w:r w:rsidRPr="0069740E">
          <w:rPr>
            <w:rStyle w:val="a5"/>
            <w:kern w:val="0"/>
          </w:rPr>
          <w:t>2009\Ann Int Med151, 252.pdf</w:t>
        </w:r>
      </w:hyperlink>
    </w:p>
    <w:p w:rsidR="008C1C37" w:rsidRDefault="008C1C37" w:rsidP="008C1C37">
      <w:pPr>
        <w:pStyle w:val="a3"/>
        <w:rPr>
          <w:kern w:val="0"/>
        </w:rPr>
      </w:pPr>
      <w:r>
        <w:rPr>
          <w:kern w:val="0"/>
        </w:rPr>
        <w:t>Abstract: Background:</w:t>
      </w:r>
      <w:r w:rsidR="003A1917">
        <w:rPr>
          <w:kern w:val="0"/>
        </w:rPr>
        <w:t xml:space="preserve"> the </w:t>
      </w:r>
      <w:r>
        <w:rPr>
          <w:kern w:val="0"/>
        </w:rPr>
        <w:t>rates</w:t>
      </w:r>
      <w:r w:rsidR="00427468">
        <w:rPr>
          <w:kern w:val="0"/>
        </w:rPr>
        <w:t xml:space="preserve"> of </w:t>
      </w:r>
      <w:r>
        <w:rPr>
          <w:kern w:val="0"/>
        </w:rPr>
        <w:t>induction</w:t>
      </w:r>
      <w:r w:rsidR="00427468">
        <w:rPr>
          <w:kern w:val="0"/>
        </w:rPr>
        <w:t xml:space="preserve"> of </w:t>
      </w:r>
      <w:r>
        <w:rPr>
          <w:kern w:val="0"/>
        </w:rPr>
        <w:t>labor</w:t>
      </w:r>
      <w:r w:rsidR="005853A9">
        <w:rPr>
          <w:kern w:val="0"/>
        </w:rPr>
        <w:t xml:space="preserve"> and </w:t>
      </w:r>
      <w:r>
        <w:rPr>
          <w:kern w:val="0"/>
        </w:rPr>
        <w:t>elective induction</w:t>
      </w:r>
      <w:r w:rsidR="00427468">
        <w:rPr>
          <w:kern w:val="0"/>
        </w:rPr>
        <w:t xml:space="preserve"> of </w:t>
      </w:r>
      <w:r>
        <w:rPr>
          <w:kern w:val="0"/>
        </w:rPr>
        <w:t>labor are increasing. Whether elective induction</w:t>
      </w:r>
      <w:r w:rsidR="00427468">
        <w:rPr>
          <w:kern w:val="0"/>
        </w:rPr>
        <w:t xml:space="preserve"> of </w:t>
      </w:r>
      <w:r>
        <w:rPr>
          <w:kern w:val="0"/>
        </w:rPr>
        <w:t>labor improves outcomes or simply leads to greater complications</w:t>
      </w:r>
      <w:r w:rsidR="005853A9">
        <w:rPr>
          <w:kern w:val="0"/>
        </w:rPr>
        <w:t xml:space="preserve"> and </w:t>
      </w:r>
      <w:r>
        <w:rPr>
          <w:kern w:val="0"/>
        </w:rPr>
        <w:t>health care costs is commonly debated in</w:t>
      </w:r>
      <w:r w:rsidR="003A1917">
        <w:rPr>
          <w:kern w:val="0"/>
        </w:rPr>
        <w:t xml:space="preserve"> the </w:t>
      </w:r>
      <w:r>
        <w:rPr>
          <w:kern w:val="0"/>
        </w:rPr>
        <w:t>literature. Purpose: To compare</w:t>
      </w:r>
      <w:r w:rsidR="003A1917">
        <w:rPr>
          <w:kern w:val="0"/>
        </w:rPr>
        <w:t xml:space="preserve"> the </w:t>
      </w:r>
      <w:r>
        <w:rPr>
          <w:kern w:val="0"/>
        </w:rPr>
        <w:t>benefits</w:t>
      </w:r>
      <w:r w:rsidR="005853A9">
        <w:rPr>
          <w:kern w:val="0"/>
        </w:rPr>
        <w:t xml:space="preserve"> and </w:t>
      </w:r>
      <w:r>
        <w:rPr>
          <w:kern w:val="0"/>
        </w:rPr>
        <w:t>harms</w:t>
      </w:r>
      <w:r w:rsidR="00427468">
        <w:rPr>
          <w:kern w:val="0"/>
        </w:rPr>
        <w:t xml:space="preserve"> of </w:t>
      </w:r>
      <w:r>
        <w:rPr>
          <w:kern w:val="0"/>
        </w:rPr>
        <w:t>elective induction</w:t>
      </w:r>
      <w:r w:rsidR="00427468">
        <w:rPr>
          <w:kern w:val="0"/>
        </w:rPr>
        <w:t xml:space="preserve"> of </w:t>
      </w:r>
      <w:r>
        <w:rPr>
          <w:kern w:val="0"/>
        </w:rPr>
        <w:t>labor</w:t>
      </w:r>
      <w:r w:rsidR="005853A9">
        <w:rPr>
          <w:kern w:val="0"/>
        </w:rPr>
        <w:t xml:space="preserve"> and </w:t>
      </w:r>
      <w:r>
        <w:rPr>
          <w:kern w:val="0"/>
        </w:rPr>
        <w:t>expectant management</w:t>
      </w:r>
      <w:r w:rsidR="00427468">
        <w:rPr>
          <w:kern w:val="0"/>
        </w:rPr>
        <w:t xml:space="preserve"> of </w:t>
      </w:r>
      <w:r>
        <w:rPr>
          <w:kern w:val="0"/>
        </w:rPr>
        <w:t xml:space="preserve">pregnancy. Data Sources: </w:t>
      </w:r>
      <w:r w:rsidR="00D5664A">
        <w:rPr>
          <w:kern w:val="0"/>
        </w:rPr>
        <w:t>MEDLINE</w:t>
      </w:r>
      <w:r>
        <w:rPr>
          <w:kern w:val="0"/>
        </w:rPr>
        <w:t xml:space="preserve"> (through February 2009), </w:t>
      </w:r>
      <w:r w:rsidR="00D5664A">
        <w:rPr>
          <w:kern w:val="0"/>
        </w:rPr>
        <w:t>Web</w:t>
      </w:r>
      <w:r w:rsidR="00427468">
        <w:rPr>
          <w:kern w:val="0"/>
        </w:rPr>
        <w:t xml:space="preserve"> of </w:t>
      </w:r>
      <w:r w:rsidR="00D5664A">
        <w:rPr>
          <w:kern w:val="0"/>
        </w:rPr>
        <w:t>Science</w:t>
      </w:r>
      <w:r>
        <w:rPr>
          <w:kern w:val="0"/>
        </w:rPr>
        <w:t>, CINAHL, Cochrane Central Register</w:t>
      </w:r>
      <w:r w:rsidR="00427468">
        <w:rPr>
          <w:kern w:val="0"/>
        </w:rPr>
        <w:t xml:space="preserve"> of </w:t>
      </w:r>
      <w:r>
        <w:rPr>
          <w:kern w:val="0"/>
        </w:rPr>
        <w:t>Controlled Trials (through March 2009), bibliographies</w:t>
      </w:r>
      <w:r w:rsidR="00427468">
        <w:rPr>
          <w:kern w:val="0"/>
        </w:rPr>
        <w:t xml:space="preserve"> of </w:t>
      </w:r>
      <w:r>
        <w:rPr>
          <w:kern w:val="0"/>
        </w:rPr>
        <w:t>included studies,</w:t>
      </w:r>
      <w:r w:rsidR="005853A9">
        <w:rPr>
          <w:kern w:val="0"/>
        </w:rPr>
        <w:t xml:space="preserve"> and </w:t>
      </w:r>
      <w:r>
        <w:rPr>
          <w:kern w:val="0"/>
        </w:rPr>
        <w:t>previous systematic reviews. Study Selection: Experimental</w:t>
      </w:r>
      <w:r w:rsidR="005853A9">
        <w:rPr>
          <w:kern w:val="0"/>
        </w:rPr>
        <w:t xml:space="preserve"> and </w:t>
      </w:r>
      <w:r>
        <w:rPr>
          <w:kern w:val="0"/>
        </w:rPr>
        <w:t>observational studies</w:t>
      </w:r>
      <w:r w:rsidR="00427468">
        <w:rPr>
          <w:kern w:val="0"/>
        </w:rPr>
        <w:t xml:space="preserve"> of </w:t>
      </w:r>
      <w:r>
        <w:rPr>
          <w:kern w:val="0"/>
        </w:rPr>
        <w:t>elective induction</w:t>
      </w:r>
      <w:r w:rsidR="00427468">
        <w:rPr>
          <w:kern w:val="0"/>
        </w:rPr>
        <w:t xml:space="preserve"> of </w:t>
      </w:r>
      <w:r>
        <w:rPr>
          <w:kern w:val="0"/>
        </w:rPr>
        <w:t>labor reported in English. Data Extraction: Two authors abstracted study design; patient characteristics; quality criteria;</w:t>
      </w:r>
      <w:r w:rsidR="005853A9">
        <w:rPr>
          <w:kern w:val="0"/>
        </w:rPr>
        <w:t xml:space="preserve"> and </w:t>
      </w:r>
      <w:r>
        <w:rPr>
          <w:kern w:val="0"/>
        </w:rPr>
        <w:t>outcomes, including cesarean delivery</w:t>
      </w:r>
      <w:r w:rsidR="005853A9">
        <w:rPr>
          <w:kern w:val="0"/>
        </w:rPr>
        <w:t xml:space="preserve"> and </w:t>
      </w:r>
      <w:r>
        <w:rPr>
          <w:kern w:val="0"/>
        </w:rPr>
        <w:t>maternal</w:t>
      </w:r>
      <w:r w:rsidR="005853A9">
        <w:rPr>
          <w:kern w:val="0"/>
        </w:rPr>
        <w:t xml:space="preserve"> and </w:t>
      </w:r>
      <w:r>
        <w:rPr>
          <w:kern w:val="0"/>
        </w:rPr>
        <w:t>neonatal morbidity. Data Synthesis:</w:t>
      </w:r>
      <w:r w:rsidR="00427468">
        <w:rPr>
          <w:kern w:val="0"/>
        </w:rPr>
        <w:t xml:space="preserve"> of </w:t>
      </w:r>
      <w:r>
        <w:rPr>
          <w:kern w:val="0"/>
        </w:rPr>
        <w:t>6117 potentially relevant articles, 36 met inclusion criteria: 11 randomized, controlled trials (RCTs)</w:t>
      </w:r>
      <w:r w:rsidR="005853A9">
        <w:rPr>
          <w:kern w:val="0"/>
        </w:rPr>
        <w:t xml:space="preserve"> and </w:t>
      </w:r>
      <w:r>
        <w:rPr>
          <w:kern w:val="0"/>
        </w:rPr>
        <w:t>25 observational studies. Overall, expectant management</w:t>
      </w:r>
      <w:r w:rsidR="00427468">
        <w:rPr>
          <w:kern w:val="0"/>
        </w:rPr>
        <w:t xml:space="preserve"> of </w:t>
      </w:r>
      <w:r>
        <w:rPr>
          <w:kern w:val="0"/>
        </w:rPr>
        <w:t>pregnancy was associated with a higher odds ratio (OR)</w:t>
      </w:r>
      <w:r w:rsidR="00427468">
        <w:rPr>
          <w:kern w:val="0"/>
        </w:rPr>
        <w:t xml:space="preserve"> of </w:t>
      </w:r>
      <w:r>
        <w:rPr>
          <w:kern w:val="0"/>
        </w:rPr>
        <w:t>cesarean delivery than was elective induction</w:t>
      </w:r>
      <w:r w:rsidR="00427468">
        <w:rPr>
          <w:kern w:val="0"/>
        </w:rPr>
        <w:t xml:space="preserve"> of </w:t>
      </w:r>
      <w:r>
        <w:rPr>
          <w:kern w:val="0"/>
        </w:rPr>
        <w:t>labor (OR, 1.22 [95% CI, 1.07 to 1.39]; absolute risk difference, 1.9 percentage points [CI, 0.2 to 3.7 percentage points]) in 9 RCTs. Women at or beyond 41 completed weeks</w:t>
      </w:r>
      <w:r w:rsidR="00427468">
        <w:rPr>
          <w:kern w:val="0"/>
        </w:rPr>
        <w:t xml:space="preserve"> of </w:t>
      </w:r>
      <w:r>
        <w:rPr>
          <w:kern w:val="0"/>
        </w:rPr>
        <w:t>gestation who were managed expectantly had a higher risk for cesarean delivery (OR, 1.21 [CI, 1.01 to 1.46]), but this difference was not statistically significant in women at less than 41 completed weeks</w:t>
      </w:r>
      <w:r w:rsidR="00427468">
        <w:rPr>
          <w:kern w:val="0"/>
        </w:rPr>
        <w:t xml:space="preserve"> of </w:t>
      </w:r>
      <w:r>
        <w:rPr>
          <w:kern w:val="0"/>
        </w:rPr>
        <w:t>gestation (OR, 1.73 [CI, 0.67 to 4.5]). Women who were expectantly managed were more likely to have meconium-stained amniotic fluid than those who were electively induced (OR, 2.04 [CI, 1.34 to 3.09]). Limitations: There were no recent RCTs</w:t>
      </w:r>
      <w:r w:rsidR="00427468">
        <w:rPr>
          <w:kern w:val="0"/>
        </w:rPr>
        <w:t xml:space="preserve"> of </w:t>
      </w:r>
      <w:r>
        <w:rPr>
          <w:kern w:val="0"/>
        </w:rPr>
        <w:t>elective induction</w:t>
      </w:r>
      <w:r w:rsidR="00427468">
        <w:rPr>
          <w:kern w:val="0"/>
        </w:rPr>
        <w:t xml:space="preserve"> of </w:t>
      </w:r>
      <w:r>
        <w:rPr>
          <w:kern w:val="0"/>
        </w:rPr>
        <w:t>labor at less than 41 weeks</w:t>
      </w:r>
      <w:r w:rsidR="00427468">
        <w:rPr>
          <w:kern w:val="0"/>
        </w:rPr>
        <w:t xml:space="preserve"> of </w:t>
      </w:r>
      <w:r>
        <w:rPr>
          <w:kern w:val="0"/>
        </w:rPr>
        <w:t>gestation</w:t>
      </w:r>
      <w:r w:rsidR="00A37C1D">
        <w:rPr>
          <w:kern w:val="0"/>
        </w:rPr>
        <w:t>. The</w:t>
      </w:r>
      <w:r w:rsidR="003A1917">
        <w:rPr>
          <w:kern w:val="0"/>
        </w:rPr>
        <w:t xml:space="preserve"> </w:t>
      </w:r>
      <w:r>
        <w:rPr>
          <w:kern w:val="0"/>
        </w:rPr>
        <w:t>2 studies conducted at less than 41 weeks</w:t>
      </w:r>
      <w:r w:rsidR="00427468">
        <w:rPr>
          <w:kern w:val="0"/>
        </w:rPr>
        <w:t xml:space="preserve"> of </w:t>
      </w:r>
      <w:r>
        <w:rPr>
          <w:kern w:val="0"/>
        </w:rPr>
        <w:t>gestation were</w:t>
      </w:r>
      <w:r w:rsidR="00427468">
        <w:rPr>
          <w:kern w:val="0"/>
        </w:rPr>
        <w:t xml:space="preserve"> of </w:t>
      </w:r>
      <w:r>
        <w:rPr>
          <w:kern w:val="0"/>
        </w:rPr>
        <w:t>poor quality</w:t>
      </w:r>
      <w:r w:rsidR="005853A9">
        <w:rPr>
          <w:kern w:val="0"/>
        </w:rPr>
        <w:t xml:space="preserve"> and </w:t>
      </w:r>
      <w:r>
        <w:rPr>
          <w:kern w:val="0"/>
        </w:rPr>
        <w:t>were not generalizable to current practice. Conclusion: RCTs suggest that elective induction</w:t>
      </w:r>
      <w:r w:rsidR="00427468">
        <w:rPr>
          <w:kern w:val="0"/>
        </w:rPr>
        <w:t xml:space="preserve"> of </w:t>
      </w:r>
      <w:r>
        <w:rPr>
          <w:kern w:val="0"/>
        </w:rPr>
        <w:t>labor at 41 weeks</w:t>
      </w:r>
      <w:r w:rsidR="00427468">
        <w:rPr>
          <w:kern w:val="0"/>
        </w:rPr>
        <w:t xml:space="preserve"> of </w:t>
      </w:r>
      <w:r>
        <w:rPr>
          <w:kern w:val="0"/>
        </w:rPr>
        <w:t>gestation</w:t>
      </w:r>
      <w:r w:rsidR="005853A9">
        <w:rPr>
          <w:kern w:val="0"/>
        </w:rPr>
        <w:t xml:space="preserve"> and </w:t>
      </w:r>
      <w:r>
        <w:rPr>
          <w:kern w:val="0"/>
        </w:rPr>
        <w:t>beyond is associated with a decreased risk for cesarean delivery</w:t>
      </w:r>
      <w:r w:rsidR="005853A9">
        <w:rPr>
          <w:kern w:val="0"/>
        </w:rPr>
        <w:t xml:space="preserve"> and </w:t>
      </w:r>
      <w:r>
        <w:rPr>
          <w:kern w:val="0"/>
        </w:rPr>
        <w:t>meconium-stained amniotic fluid</w:t>
      </w:r>
      <w:r w:rsidR="00A37C1D">
        <w:rPr>
          <w:kern w:val="0"/>
        </w:rPr>
        <w:t>. The</w:t>
      </w:r>
      <w:r>
        <w:rPr>
          <w:kern w:val="0"/>
        </w:rPr>
        <w:t>re are concerns about</w:t>
      </w:r>
      <w:r w:rsidR="003A1917">
        <w:rPr>
          <w:kern w:val="0"/>
        </w:rPr>
        <w:t xml:space="preserve"> the </w:t>
      </w:r>
      <w:r>
        <w:rPr>
          <w:kern w:val="0"/>
        </w:rPr>
        <w:t>translation</w:t>
      </w:r>
      <w:r w:rsidR="00427468">
        <w:rPr>
          <w:kern w:val="0"/>
        </w:rPr>
        <w:t xml:space="preserve"> of </w:t>
      </w:r>
      <w:r>
        <w:rPr>
          <w:kern w:val="0"/>
        </w:rPr>
        <w:t>these findings into actual practice; thus, future studies should examine elective induction</w:t>
      </w:r>
      <w:r w:rsidR="00427468">
        <w:rPr>
          <w:kern w:val="0"/>
        </w:rPr>
        <w:t xml:space="preserve"> of </w:t>
      </w:r>
      <w:r>
        <w:rPr>
          <w:kern w:val="0"/>
        </w:rPr>
        <w:t>labor in settings where most obstetric care is provided.</w:t>
      </w:r>
    </w:p>
    <w:p w:rsidR="008C1C37" w:rsidRDefault="008C1C37" w:rsidP="008C1C37">
      <w:pPr>
        <w:pStyle w:val="a3"/>
        <w:rPr>
          <w:kern w:val="0"/>
        </w:rPr>
      </w:pPr>
      <w:r>
        <w:rPr>
          <w:kern w:val="0"/>
        </w:rPr>
        <w:t xml:space="preserve">Keywords: Authors, Cesarean Delivery, Clinical-Trial, Cochrane, Costs, Extraction, Gestational-Age, Health Care, Health Care Costs, Induced, Literature, Management, Matched Cohort, </w:t>
      </w:r>
      <w:r w:rsidR="00D5664A">
        <w:rPr>
          <w:kern w:val="0"/>
        </w:rPr>
        <w:t>MEDLINE</w:t>
      </w:r>
      <w:r>
        <w:rPr>
          <w:kern w:val="0"/>
        </w:rPr>
        <w:t xml:space="preserve">, Morbidity, Multiparous Women, Nulliparous Women, Observational Studies, Outcomes, Points, Postterm Pregnancy, Practice, Pregnancy, Prolonged Pregnancy, Randomized Controlled-Trial, Ratio, Review, Risk, Science, Sources, Systematic, Systematic Review, Systematic Reviews, Translation, </w:t>
      </w:r>
      <w:r w:rsidR="00D5664A">
        <w:rPr>
          <w:kern w:val="0"/>
        </w:rPr>
        <w:t>Web</w:t>
      </w:r>
      <w:r w:rsidR="00427468">
        <w:rPr>
          <w:kern w:val="0"/>
        </w:rPr>
        <w:t xml:space="preserve"> of </w:t>
      </w:r>
      <w:r w:rsidR="00D5664A">
        <w:rPr>
          <w:kern w:val="0"/>
        </w:rPr>
        <w:lastRenderedPageBreak/>
        <w:t>Science</w:t>
      </w:r>
      <w:r>
        <w:rPr>
          <w:kern w:val="0"/>
        </w:rPr>
        <w:t>, Women</w:t>
      </w:r>
    </w:p>
    <w:p w:rsidR="008C1C37" w:rsidRDefault="008C1C37" w:rsidP="008C1C37">
      <w:pPr>
        <w:pStyle w:val="a3"/>
        <w:rPr>
          <w:kern w:val="0"/>
        </w:rPr>
      </w:pPr>
      <w:r>
        <w:rPr>
          <w:rFonts w:hint="eastAsia"/>
          <w:kern w:val="0"/>
        </w:rPr>
        <w:t xml:space="preserve">? </w:t>
      </w:r>
      <w:r>
        <w:rPr>
          <w:kern w:val="0"/>
        </w:rPr>
        <w:t>Nelson, H.D., Fu, R.W., Griffin, J.C., Nygren, P., Smith, B.</w:t>
      </w:r>
      <w:r w:rsidR="005853A9">
        <w:rPr>
          <w:kern w:val="0"/>
        </w:rPr>
        <w:t xml:space="preserve"> and </w:t>
      </w:r>
      <w:r>
        <w:rPr>
          <w:kern w:val="0"/>
        </w:rPr>
        <w:t>Humphrey, L. (2009), Systematic review: Comparative effectiveness</w:t>
      </w:r>
      <w:r w:rsidR="00427468">
        <w:rPr>
          <w:kern w:val="0"/>
        </w:rPr>
        <w:t xml:space="preserve"> of </w:t>
      </w:r>
      <w:r>
        <w:rPr>
          <w:kern w:val="0"/>
        </w:rPr>
        <w:t xml:space="preserve">medications to reduce risk for primary breast cancer. </w:t>
      </w:r>
      <w:r>
        <w:rPr>
          <w:i/>
          <w:iCs/>
          <w:kern w:val="0"/>
        </w:rPr>
        <w:t>Annals</w:t>
      </w:r>
      <w:r w:rsidR="00427468">
        <w:rPr>
          <w:i/>
          <w:iCs/>
          <w:kern w:val="0"/>
        </w:rPr>
        <w:t xml:space="preserve"> of </w:t>
      </w:r>
      <w:r>
        <w:rPr>
          <w:i/>
          <w:iCs/>
          <w:kern w:val="0"/>
        </w:rPr>
        <w:t>Internal Medicine</w:t>
      </w:r>
      <w:r>
        <w:rPr>
          <w:kern w:val="0"/>
        </w:rPr>
        <w:t xml:space="preserve">, </w:t>
      </w:r>
      <w:r>
        <w:rPr>
          <w:b/>
          <w:bCs/>
          <w:kern w:val="0"/>
        </w:rPr>
        <w:t>151</w:t>
      </w:r>
      <w:r>
        <w:rPr>
          <w:kern w:val="0"/>
        </w:rPr>
        <w:t xml:space="preserve"> (10), 703-W235.</w:t>
      </w:r>
    </w:p>
    <w:p w:rsidR="0069740E" w:rsidRDefault="0069740E" w:rsidP="0069740E">
      <w:pPr>
        <w:pStyle w:val="a3"/>
        <w:rPr>
          <w:kern w:val="0"/>
        </w:rPr>
      </w:pPr>
      <w:r>
        <w:rPr>
          <w:rFonts w:hint="eastAsia"/>
          <w:kern w:val="0"/>
        </w:rPr>
        <w:t xml:space="preserve">Full Text: </w:t>
      </w:r>
      <w:hyperlink r:id="rId872" w:history="1">
        <w:r w:rsidRPr="000A675D">
          <w:rPr>
            <w:rStyle w:val="a5"/>
            <w:kern w:val="0"/>
          </w:rPr>
          <w:t>2009\Ann Int Med151, 703.pdf</w:t>
        </w:r>
      </w:hyperlink>
    </w:p>
    <w:p w:rsidR="008C1C37" w:rsidRDefault="008C1C37" w:rsidP="008C1C37">
      <w:pPr>
        <w:pStyle w:val="a3"/>
        <w:rPr>
          <w:kern w:val="0"/>
        </w:rPr>
      </w:pPr>
      <w:r>
        <w:rPr>
          <w:kern w:val="0"/>
        </w:rPr>
        <w:t>Abstract: Background: Trials demonstrate</w:t>
      </w:r>
      <w:r w:rsidR="003A1917">
        <w:rPr>
          <w:kern w:val="0"/>
        </w:rPr>
        <w:t xml:space="preserve"> the </w:t>
      </w:r>
      <w:r>
        <w:rPr>
          <w:kern w:val="0"/>
        </w:rPr>
        <w:t>efficacy</w:t>
      </w:r>
      <w:r w:rsidR="00427468">
        <w:rPr>
          <w:kern w:val="0"/>
        </w:rPr>
        <w:t xml:space="preserve"> of </w:t>
      </w:r>
      <w:r>
        <w:rPr>
          <w:kern w:val="0"/>
        </w:rPr>
        <w:t>medications to reduce</w:t>
      </w:r>
      <w:r w:rsidR="003A1917">
        <w:rPr>
          <w:kern w:val="0"/>
        </w:rPr>
        <w:t xml:space="preserve"> the </w:t>
      </w:r>
      <w:r>
        <w:rPr>
          <w:kern w:val="0"/>
        </w:rPr>
        <w:t>risk for invasive breast cancer. Purpose: To summarize benefits</w:t>
      </w:r>
      <w:r w:rsidR="005853A9">
        <w:rPr>
          <w:kern w:val="0"/>
        </w:rPr>
        <w:t xml:space="preserve"> and </w:t>
      </w:r>
      <w:r>
        <w:rPr>
          <w:kern w:val="0"/>
        </w:rPr>
        <w:t>harms</w:t>
      </w:r>
      <w:r w:rsidR="00427468">
        <w:rPr>
          <w:kern w:val="0"/>
        </w:rPr>
        <w:t xml:space="preserve"> of </w:t>
      </w:r>
      <w:r>
        <w:rPr>
          <w:kern w:val="0"/>
        </w:rPr>
        <w:t>tamoxifen citrate, raloxifene,</w:t>
      </w:r>
      <w:r w:rsidR="005853A9">
        <w:rPr>
          <w:kern w:val="0"/>
        </w:rPr>
        <w:t xml:space="preserve"> and </w:t>
      </w:r>
      <w:r>
        <w:rPr>
          <w:kern w:val="0"/>
        </w:rPr>
        <w:t>tibolone to reduce</w:t>
      </w:r>
      <w:r w:rsidR="003A1917">
        <w:rPr>
          <w:kern w:val="0"/>
        </w:rPr>
        <w:t xml:space="preserve"> the </w:t>
      </w:r>
      <w:r>
        <w:rPr>
          <w:kern w:val="0"/>
        </w:rPr>
        <w:t xml:space="preserve">risk for primary breast cancer. Data Sources: </w:t>
      </w:r>
      <w:r w:rsidR="00D5664A">
        <w:rPr>
          <w:kern w:val="0"/>
        </w:rPr>
        <w:t>MEDLINE</w:t>
      </w:r>
      <w:r w:rsidR="005853A9">
        <w:rPr>
          <w:kern w:val="0"/>
        </w:rPr>
        <w:t xml:space="preserve"> and </w:t>
      </w:r>
      <w:r>
        <w:rPr>
          <w:kern w:val="0"/>
        </w:rPr>
        <w:t xml:space="preserve">Cochrane databases from inception to January 2009, </w:t>
      </w:r>
      <w:r w:rsidR="00D5664A">
        <w:rPr>
          <w:kern w:val="0"/>
        </w:rPr>
        <w:t>Web</w:t>
      </w:r>
      <w:r w:rsidR="00427468">
        <w:rPr>
          <w:kern w:val="0"/>
        </w:rPr>
        <w:t xml:space="preserve"> of </w:t>
      </w:r>
      <w:r w:rsidR="00D5664A">
        <w:rPr>
          <w:kern w:val="0"/>
        </w:rPr>
        <w:t>Science</w:t>
      </w:r>
      <w:r>
        <w:rPr>
          <w:kern w:val="0"/>
        </w:rPr>
        <w:t>, trial registries,</w:t>
      </w:r>
      <w:r w:rsidR="005853A9">
        <w:rPr>
          <w:kern w:val="0"/>
        </w:rPr>
        <w:t xml:space="preserve"> and </w:t>
      </w:r>
      <w:r>
        <w:rPr>
          <w:kern w:val="0"/>
        </w:rPr>
        <w:t>manufacturer information. Study Selection: Predefined eligibility criteria were used to select articles. English-language reports</w:t>
      </w:r>
      <w:r w:rsidR="00427468">
        <w:rPr>
          <w:kern w:val="0"/>
        </w:rPr>
        <w:t xml:space="preserve"> of </w:t>
      </w:r>
      <w:r>
        <w:rPr>
          <w:kern w:val="0"/>
        </w:rPr>
        <w:t>randomized, controlled trials (RCTs) for benefits</w:t>
      </w:r>
      <w:r w:rsidR="005853A9">
        <w:rPr>
          <w:kern w:val="0"/>
        </w:rPr>
        <w:t xml:space="preserve"> and </w:t>
      </w:r>
      <w:r>
        <w:rPr>
          <w:kern w:val="0"/>
        </w:rPr>
        <w:t>RCTs</w:t>
      </w:r>
      <w:r w:rsidR="005853A9">
        <w:rPr>
          <w:kern w:val="0"/>
        </w:rPr>
        <w:t xml:space="preserve"> and </w:t>
      </w:r>
      <w:r>
        <w:rPr>
          <w:kern w:val="0"/>
        </w:rPr>
        <w:t>observational studies for harms were included. Data Extraction: Two reviewers assessed study data, quality,</w:t>
      </w:r>
      <w:r w:rsidR="005853A9">
        <w:rPr>
          <w:kern w:val="0"/>
        </w:rPr>
        <w:t xml:space="preserve"> and </w:t>
      </w:r>
      <w:r>
        <w:rPr>
          <w:kern w:val="0"/>
        </w:rPr>
        <w:t>applicability. Data Synthesis: Seven placebo-controlled RCTs</w:t>
      </w:r>
      <w:r w:rsidR="005853A9">
        <w:rPr>
          <w:kern w:val="0"/>
        </w:rPr>
        <w:t xml:space="preserve"> and </w:t>
      </w:r>
      <w:r>
        <w:rPr>
          <w:kern w:val="0"/>
        </w:rPr>
        <w:t>1 head-to-head trial provide results for main outcomes. Tamoxifen (risk ratio, 0.70 [95% CI, 0.59 to 0.82]; 4 trials), raloxifene (risk ratio, 0.44 [CI, 0.27 to 0.71]; 2 trials),</w:t>
      </w:r>
      <w:r w:rsidR="005853A9">
        <w:rPr>
          <w:kern w:val="0"/>
        </w:rPr>
        <w:t xml:space="preserve"> and </w:t>
      </w:r>
      <w:r>
        <w:rPr>
          <w:kern w:val="0"/>
        </w:rPr>
        <w:t>tibolone (risk ratio, 0.32 [CI, 0.13 to 0.80]; 1 trial) reduce risk for invasive breast cancer compared with placebo by 7 to 10 per 1000 women per year. Tamoxifen</w:t>
      </w:r>
      <w:r w:rsidR="005853A9">
        <w:rPr>
          <w:kern w:val="0"/>
        </w:rPr>
        <w:t xml:space="preserve"> and </w:t>
      </w:r>
      <w:r>
        <w:rPr>
          <w:kern w:val="0"/>
        </w:rPr>
        <w:t>raloxifene reduce estrogen receptor-positive breast cancer but not estrogen receptor-negative breast cancer, noninvasive breast cancer, or mortality. All medications reduce fractures. Tamoxifen (risk ratio, 1.93 [CI, 1.41 to 2.64]; 4 trials)</w:t>
      </w:r>
      <w:r w:rsidR="005853A9">
        <w:rPr>
          <w:kern w:val="0"/>
        </w:rPr>
        <w:t xml:space="preserve"> and </w:t>
      </w:r>
      <w:r>
        <w:rPr>
          <w:kern w:val="0"/>
        </w:rPr>
        <w:t>raloxifene (risk ratio, 1.60 [CI, 1.15 to 2.23]; 2 trials) increase thromboembolic events by 4 to 7 per 1000 women per year; raloxifene causes fewer events than tamoxifen. Tamoxifen increases risk for endometrial cancer (risk ratio, 2.13 [CI, 1.36 to 3.32]; 3 trials) compared with placebo by 4 per 1000 women per year</w:t>
      </w:r>
      <w:r w:rsidR="005853A9">
        <w:rPr>
          <w:kern w:val="0"/>
        </w:rPr>
        <w:t xml:space="preserve"> and </w:t>
      </w:r>
      <w:r>
        <w:rPr>
          <w:kern w:val="0"/>
        </w:rPr>
        <w:t>causes cataracts compared with raloxifene. Tibolone causes strokes in older women. Limitations: Bias, trial heterogeneity,</w:t>
      </w:r>
      <w:r w:rsidR="005853A9">
        <w:rPr>
          <w:kern w:val="0"/>
        </w:rPr>
        <w:t xml:space="preserve"> and </w:t>
      </w:r>
      <w:r>
        <w:rPr>
          <w:kern w:val="0"/>
        </w:rPr>
        <w:t>a dearth</w:t>
      </w:r>
      <w:r w:rsidR="00427468">
        <w:rPr>
          <w:kern w:val="0"/>
        </w:rPr>
        <w:t xml:space="preserve"> of </w:t>
      </w:r>
      <w:r>
        <w:rPr>
          <w:kern w:val="0"/>
        </w:rPr>
        <w:t>head-to-head trials limit this review. Data are lacking on doses, duration,</w:t>
      </w:r>
      <w:r w:rsidR="005853A9">
        <w:rPr>
          <w:kern w:val="0"/>
        </w:rPr>
        <w:t xml:space="preserve"> and </w:t>
      </w:r>
      <w:r>
        <w:rPr>
          <w:kern w:val="0"/>
        </w:rPr>
        <w:t>timing</w:t>
      </w:r>
      <w:r w:rsidR="00427468">
        <w:rPr>
          <w:kern w:val="0"/>
        </w:rPr>
        <w:t xml:space="preserve"> of </w:t>
      </w:r>
      <w:r w:rsidR="003A1917">
        <w:rPr>
          <w:kern w:val="0"/>
        </w:rPr>
        <w:t xml:space="preserve">the </w:t>
      </w:r>
      <w:r>
        <w:rPr>
          <w:kern w:val="0"/>
        </w:rPr>
        <w:t>medications; long-term effects;</w:t>
      </w:r>
      <w:r w:rsidR="005853A9">
        <w:rPr>
          <w:kern w:val="0"/>
        </w:rPr>
        <w:t xml:space="preserve"> and </w:t>
      </w:r>
      <w:r>
        <w:rPr>
          <w:kern w:val="0"/>
        </w:rPr>
        <w:t>nonwhite</w:t>
      </w:r>
      <w:r w:rsidR="005853A9">
        <w:rPr>
          <w:kern w:val="0"/>
        </w:rPr>
        <w:t xml:space="preserve"> and </w:t>
      </w:r>
      <w:r>
        <w:rPr>
          <w:kern w:val="0"/>
        </w:rPr>
        <w:t>premenopa</w:t>
      </w:r>
      <w:r w:rsidR="00D5664A">
        <w:rPr>
          <w:kern w:val="0"/>
        </w:rPr>
        <w:t>USA</w:t>
      </w:r>
      <w:r>
        <w:rPr>
          <w:kern w:val="0"/>
        </w:rPr>
        <w:t>l women. Conclusion: Three medications reduce risk for primary breast cancer but increase risk for thromboembolic events (tamoxifen, raloxifene), endometrial cancer (tamoxifen), or stroke (tibolone).</w:t>
      </w:r>
    </w:p>
    <w:p w:rsidR="008C1C37" w:rsidRDefault="008C1C37" w:rsidP="008C1C37">
      <w:pPr>
        <w:pStyle w:val="a3"/>
        <w:rPr>
          <w:kern w:val="0"/>
        </w:rPr>
      </w:pPr>
      <w:r>
        <w:rPr>
          <w:kern w:val="0"/>
        </w:rPr>
        <w:t>Keywords: Bias, Bone-Mineral Density, Bowel Project P-1, Breast Cancer, Cancer, Cochrane, Continuing Outcomes Relevant, Databases, Effectiveness, Efficacy, Estrogen, Extraction, Healthy Postmenopa</w:t>
      </w:r>
      <w:r w:rsidR="00D5664A">
        <w:rPr>
          <w:kern w:val="0"/>
        </w:rPr>
        <w:t>USA</w:t>
      </w:r>
      <w:r>
        <w:rPr>
          <w:kern w:val="0"/>
        </w:rPr>
        <w:t xml:space="preserve">l Women, Hormone-Replacement Therapy, Information, </w:t>
      </w:r>
      <w:r w:rsidR="00D5664A">
        <w:rPr>
          <w:kern w:val="0"/>
        </w:rPr>
        <w:t>MEDLINE</w:t>
      </w:r>
      <w:r>
        <w:rPr>
          <w:kern w:val="0"/>
        </w:rPr>
        <w:t>, Mortality, Observational Studies, Outcomes, Prevention Trial, Primary, Quality</w:t>
      </w:r>
      <w:r w:rsidR="00434900">
        <w:rPr>
          <w:kern w:val="0"/>
        </w:rPr>
        <w:t>-of-</w:t>
      </w:r>
      <w:r>
        <w:rPr>
          <w:kern w:val="0"/>
        </w:rPr>
        <w:t xml:space="preserve">Life, Randomized Controlled-Trial, Ratio, Review, Risk, Science, Sources, Stroke, Surgical Adjuvant Breast, Systematic, Systematic Review, Vertebral Fracture Risk, </w:t>
      </w:r>
      <w:r w:rsidR="00D5664A">
        <w:rPr>
          <w:kern w:val="0"/>
        </w:rPr>
        <w:t>Web</w:t>
      </w:r>
      <w:r w:rsidR="00427468">
        <w:rPr>
          <w:kern w:val="0"/>
        </w:rPr>
        <w:t xml:space="preserve"> of </w:t>
      </w:r>
      <w:r w:rsidR="00D5664A">
        <w:rPr>
          <w:kern w:val="0"/>
        </w:rPr>
        <w:t>Science</w:t>
      </w:r>
      <w:r>
        <w:rPr>
          <w:kern w:val="0"/>
        </w:rPr>
        <w:t>, Women</w:t>
      </w:r>
    </w:p>
    <w:p w:rsidR="0069740E" w:rsidRDefault="0069740E" w:rsidP="0069740E">
      <w:pPr>
        <w:pStyle w:val="a3"/>
        <w:rPr>
          <w:kern w:val="0"/>
        </w:rPr>
      </w:pPr>
      <w:r>
        <w:rPr>
          <w:rFonts w:hint="eastAsia"/>
          <w:kern w:val="0"/>
        </w:rPr>
        <w:t xml:space="preserve">? </w:t>
      </w:r>
      <w:r>
        <w:rPr>
          <w:kern w:val="0"/>
        </w:rPr>
        <w:t>Nelson, H.D., Tyne, K., Naik, A., Bougatsos, C., Chan, B.K.</w:t>
      </w:r>
      <w:r w:rsidR="005853A9">
        <w:rPr>
          <w:kern w:val="0"/>
        </w:rPr>
        <w:t xml:space="preserve"> and </w:t>
      </w:r>
      <w:r>
        <w:rPr>
          <w:kern w:val="0"/>
        </w:rPr>
        <w:t xml:space="preserve">Humphrey, L. </w:t>
      </w:r>
      <w:r>
        <w:rPr>
          <w:kern w:val="0"/>
        </w:rPr>
        <w:lastRenderedPageBreak/>
        <w:t>(2009), Screening for breast cancer: An update for</w:t>
      </w:r>
      <w:r w:rsidR="003A1917">
        <w:rPr>
          <w:kern w:val="0"/>
        </w:rPr>
        <w:t xml:space="preserve"> the </w:t>
      </w:r>
      <w:r>
        <w:rPr>
          <w:kern w:val="0"/>
        </w:rPr>
        <w:t>U</w:t>
      </w:r>
      <w:r>
        <w:rPr>
          <w:rFonts w:hint="eastAsia"/>
          <w:kern w:val="0"/>
        </w:rPr>
        <w:t>.</w:t>
      </w:r>
      <w:r>
        <w:rPr>
          <w:kern w:val="0"/>
        </w:rPr>
        <w:t>S</w:t>
      </w:r>
      <w:r>
        <w:rPr>
          <w:rFonts w:hint="eastAsia"/>
          <w:kern w:val="0"/>
        </w:rPr>
        <w:t>.</w:t>
      </w:r>
      <w:r>
        <w:rPr>
          <w:kern w:val="0"/>
        </w:rPr>
        <w:t xml:space="preserve"> preventive services task force. </w:t>
      </w:r>
      <w:r>
        <w:rPr>
          <w:i/>
          <w:iCs/>
          <w:kern w:val="0"/>
        </w:rPr>
        <w:t>Annals</w:t>
      </w:r>
      <w:r w:rsidR="00427468">
        <w:rPr>
          <w:i/>
          <w:iCs/>
          <w:kern w:val="0"/>
        </w:rPr>
        <w:t xml:space="preserve"> of </w:t>
      </w:r>
      <w:r>
        <w:rPr>
          <w:i/>
          <w:iCs/>
          <w:kern w:val="0"/>
        </w:rPr>
        <w:t>Internal Medicine</w:t>
      </w:r>
      <w:r>
        <w:rPr>
          <w:kern w:val="0"/>
        </w:rPr>
        <w:t xml:space="preserve">, </w:t>
      </w:r>
      <w:r>
        <w:rPr>
          <w:b/>
          <w:bCs/>
          <w:kern w:val="0"/>
        </w:rPr>
        <w:t>151</w:t>
      </w:r>
      <w:r>
        <w:rPr>
          <w:kern w:val="0"/>
        </w:rPr>
        <w:t xml:space="preserve"> (10), 727-W242.</w:t>
      </w:r>
    </w:p>
    <w:p w:rsidR="0069740E" w:rsidRDefault="0069740E" w:rsidP="0069740E">
      <w:pPr>
        <w:pStyle w:val="a3"/>
        <w:rPr>
          <w:kern w:val="0"/>
        </w:rPr>
      </w:pPr>
      <w:r>
        <w:rPr>
          <w:rFonts w:hint="eastAsia"/>
          <w:kern w:val="0"/>
        </w:rPr>
        <w:t xml:space="preserve">Full Text: </w:t>
      </w:r>
      <w:hyperlink r:id="rId873" w:history="1">
        <w:r w:rsidRPr="003F78FB">
          <w:rPr>
            <w:rStyle w:val="a5"/>
            <w:kern w:val="0"/>
          </w:rPr>
          <w:t>2009\Ann Int Med151, 727.pdf</w:t>
        </w:r>
      </w:hyperlink>
    </w:p>
    <w:p w:rsidR="008C1C37" w:rsidRDefault="008C1C37" w:rsidP="008C1C37">
      <w:pPr>
        <w:pStyle w:val="a3"/>
        <w:rPr>
          <w:kern w:val="0"/>
        </w:rPr>
      </w:pPr>
      <w:r>
        <w:rPr>
          <w:kern w:val="0"/>
        </w:rPr>
        <w:t>Abstract: Background: This systematic review is an update</w:t>
      </w:r>
      <w:r w:rsidR="00427468">
        <w:rPr>
          <w:kern w:val="0"/>
        </w:rPr>
        <w:t xml:space="preserve"> of </w:t>
      </w:r>
      <w:r>
        <w:rPr>
          <w:kern w:val="0"/>
        </w:rPr>
        <w:t>evidence since</w:t>
      </w:r>
      <w:r w:rsidR="003A1917">
        <w:rPr>
          <w:kern w:val="0"/>
        </w:rPr>
        <w:t xml:space="preserve"> the </w:t>
      </w:r>
      <w:r>
        <w:rPr>
          <w:kern w:val="0"/>
        </w:rPr>
        <w:t>2002 U. S. Preventive Services Task Force recommendation on breast cancer screening. Purpose: To determine</w:t>
      </w:r>
      <w:r w:rsidR="003A1917">
        <w:rPr>
          <w:kern w:val="0"/>
        </w:rPr>
        <w:t xml:space="preserve"> the </w:t>
      </w:r>
      <w:r>
        <w:rPr>
          <w:kern w:val="0"/>
        </w:rPr>
        <w:t>effectiveness</w:t>
      </w:r>
      <w:r w:rsidR="00427468">
        <w:rPr>
          <w:kern w:val="0"/>
        </w:rPr>
        <w:t xml:space="preserve"> of </w:t>
      </w:r>
      <w:r>
        <w:rPr>
          <w:kern w:val="0"/>
        </w:rPr>
        <w:t>mammography screening in decreasing breast cancer mortality among average-risk women aged 40 to 49 years</w:t>
      </w:r>
      <w:r w:rsidR="005853A9">
        <w:rPr>
          <w:kern w:val="0"/>
        </w:rPr>
        <w:t xml:space="preserve"> and </w:t>
      </w:r>
      <w:r>
        <w:rPr>
          <w:kern w:val="0"/>
        </w:rPr>
        <w:t>70 years or older,</w:t>
      </w:r>
      <w:r w:rsidR="003A1917">
        <w:rPr>
          <w:kern w:val="0"/>
        </w:rPr>
        <w:t xml:space="preserve"> the </w:t>
      </w:r>
      <w:r>
        <w:rPr>
          <w:kern w:val="0"/>
        </w:rPr>
        <w:t>effectiveness</w:t>
      </w:r>
      <w:r w:rsidR="00427468">
        <w:rPr>
          <w:kern w:val="0"/>
        </w:rPr>
        <w:t xml:space="preserve"> of </w:t>
      </w:r>
      <w:r>
        <w:rPr>
          <w:kern w:val="0"/>
        </w:rPr>
        <w:t>clinical breast examination</w:t>
      </w:r>
      <w:r w:rsidR="005853A9">
        <w:rPr>
          <w:kern w:val="0"/>
        </w:rPr>
        <w:t xml:space="preserve"> and </w:t>
      </w:r>
      <w:r>
        <w:rPr>
          <w:kern w:val="0"/>
        </w:rPr>
        <w:t>breast self-examination,</w:t>
      </w:r>
      <w:r w:rsidR="005853A9">
        <w:rPr>
          <w:kern w:val="0"/>
        </w:rPr>
        <w:t xml:space="preserve"> and </w:t>
      </w:r>
      <w:r w:rsidR="003A1917">
        <w:rPr>
          <w:kern w:val="0"/>
        </w:rPr>
        <w:t xml:space="preserve">the </w:t>
      </w:r>
      <w:r>
        <w:rPr>
          <w:kern w:val="0"/>
        </w:rPr>
        <w:t>harms</w:t>
      </w:r>
      <w:r w:rsidR="00427468">
        <w:rPr>
          <w:kern w:val="0"/>
        </w:rPr>
        <w:t xml:space="preserve"> of </w:t>
      </w:r>
      <w:r>
        <w:rPr>
          <w:kern w:val="0"/>
        </w:rPr>
        <w:t>screening. Data Sources: Cochrane Central Register</w:t>
      </w:r>
      <w:r w:rsidR="00427468">
        <w:rPr>
          <w:kern w:val="0"/>
        </w:rPr>
        <w:t xml:space="preserve"> of </w:t>
      </w:r>
      <w:r>
        <w:rPr>
          <w:kern w:val="0"/>
        </w:rPr>
        <w:t>Controlled Trials</w:t>
      </w:r>
      <w:r w:rsidR="005853A9">
        <w:rPr>
          <w:kern w:val="0"/>
        </w:rPr>
        <w:t xml:space="preserve"> and </w:t>
      </w:r>
      <w:r>
        <w:rPr>
          <w:kern w:val="0"/>
        </w:rPr>
        <w:t>Cochrane Database</w:t>
      </w:r>
      <w:r w:rsidR="00427468">
        <w:rPr>
          <w:kern w:val="0"/>
        </w:rPr>
        <w:t xml:space="preserve"> of </w:t>
      </w:r>
      <w:r>
        <w:rPr>
          <w:kern w:val="0"/>
        </w:rPr>
        <w:t>Systematic Reviews (through</w:t>
      </w:r>
      <w:r w:rsidR="003A1917">
        <w:rPr>
          <w:kern w:val="0"/>
        </w:rPr>
        <w:t xml:space="preserve"> the </w:t>
      </w:r>
      <w:r>
        <w:rPr>
          <w:kern w:val="0"/>
        </w:rPr>
        <w:t>fourth quarter</w:t>
      </w:r>
      <w:r w:rsidR="00427468">
        <w:rPr>
          <w:kern w:val="0"/>
        </w:rPr>
        <w:t xml:space="preserve"> of </w:t>
      </w:r>
      <w:r>
        <w:rPr>
          <w:kern w:val="0"/>
        </w:rPr>
        <w:t xml:space="preserve">2008), </w:t>
      </w:r>
      <w:r w:rsidR="00D5664A">
        <w:rPr>
          <w:kern w:val="0"/>
        </w:rPr>
        <w:t>MEDLINE</w:t>
      </w:r>
      <w:r>
        <w:rPr>
          <w:kern w:val="0"/>
        </w:rPr>
        <w:t xml:space="preserve"> (January 2001 to December 2008), reference lists,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searches for published studies</w:t>
      </w:r>
      <w:r w:rsidR="005853A9">
        <w:rPr>
          <w:kern w:val="0"/>
        </w:rPr>
        <w:t xml:space="preserve"> and </w:t>
      </w:r>
      <w:r>
        <w:rPr>
          <w:kern w:val="0"/>
        </w:rPr>
        <w:t>Breast Cancer Surveillance Consortium for screening mammography data. Study Selection: Randomized, controlled trials with breast cancer mortality outcomes for screening effectiveness,</w:t>
      </w:r>
      <w:r w:rsidR="005853A9">
        <w:rPr>
          <w:kern w:val="0"/>
        </w:rPr>
        <w:t xml:space="preserve"> and </w:t>
      </w:r>
      <w:r>
        <w:rPr>
          <w:kern w:val="0"/>
        </w:rPr>
        <w:t>studies</w:t>
      </w:r>
      <w:r w:rsidR="00427468">
        <w:rPr>
          <w:kern w:val="0"/>
        </w:rPr>
        <w:t xml:space="preserve"> of </w:t>
      </w:r>
      <w:r>
        <w:rPr>
          <w:kern w:val="0"/>
        </w:rPr>
        <w:t>various designs</w:t>
      </w:r>
      <w:r w:rsidR="005853A9">
        <w:rPr>
          <w:kern w:val="0"/>
        </w:rPr>
        <w:t xml:space="preserve"> and </w:t>
      </w:r>
      <w:r>
        <w:rPr>
          <w:kern w:val="0"/>
        </w:rPr>
        <w:t>multiple data sources for harms. Data Extraction: Relevant data were abstracted,</w:t>
      </w:r>
      <w:r w:rsidR="005853A9">
        <w:rPr>
          <w:kern w:val="0"/>
        </w:rPr>
        <w:t xml:space="preserve"> and </w:t>
      </w:r>
      <w:r>
        <w:rPr>
          <w:kern w:val="0"/>
        </w:rPr>
        <w:t>study quality was rated by using established criteria. Data Synthesis: Mammography screening reduces breast cancer mortality by 15% for women aged 39 to 49 years (relative risk, 0.85 [95% credible interval, 0.75 to 0.96]; 8 trials). Data are lacking for women aged 70 years or older. Radiation exposure from mammography is low. Patient adverse experiences are common</w:t>
      </w:r>
      <w:r w:rsidR="005853A9">
        <w:rPr>
          <w:kern w:val="0"/>
        </w:rPr>
        <w:t xml:space="preserve"> and </w:t>
      </w:r>
      <w:r>
        <w:rPr>
          <w:kern w:val="0"/>
        </w:rPr>
        <w:t>transient</w:t>
      </w:r>
      <w:r w:rsidR="005853A9">
        <w:rPr>
          <w:kern w:val="0"/>
        </w:rPr>
        <w:t xml:space="preserve"> and </w:t>
      </w:r>
      <w:r>
        <w:rPr>
          <w:kern w:val="0"/>
        </w:rPr>
        <w:t>do not affect screening practices. Estimates</w:t>
      </w:r>
      <w:r w:rsidR="00427468">
        <w:rPr>
          <w:kern w:val="0"/>
        </w:rPr>
        <w:t xml:space="preserve"> of </w:t>
      </w:r>
      <w:r>
        <w:rPr>
          <w:kern w:val="0"/>
        </w:rPr>
        <w:t>overdiagnosis vary from 1% to 10%. Younger women have more false-positive mammography results</w:t>
      </w:r>
      <w:r w:rsidR="005853A9">
        <w:rPr>
          <w:kern w:val="0"/>
        </w:rPr>
        <w:t xml:space="preserve"> and </w:t>
      </w:r>
      <w:r>
        <w:rPr>
          <w:kern w:val="0"/>
        </w:rPr>
        <w:t>additional imaging but fewer biopsies than older women. Trials</w:t>
      </w:r>
      <w:r w:rsidR="00427468">
        <w:rPr>
          <w:kern w:val="0"/>
        </w:rPr>
        <w:t xml:space="preserve"> of </w:t>
      </w:r>
      <w:r>
        <w:rPr>
          <w:kern w:val="0"/>
        </w:rPr>
        <w:t>clinical breast examination are ongoing; trials for breast self-examination showed no reductions in mortality but increases in benign biopsy results. Limitation: Studies</w:t>
      </w:r>
      <w:r w:rsidR="00427468">
        <w:rPr>
          <w:kern w:val="0"/>
        </w:rPr>
        <w:t xml:space="preserve"> of </w:t>
      </w:r>
      <w:r>
        <w:rPr>
          <w:kern w:val="0"/>
        </w:rPr>
        <w:t>older women, digital mammography,</w:t>
      </w:r>
      <w:r w:rsidR="005853A9">
        <w:rPr>
          <w:kern w:val="0"/>
        </w:rPr>
        <w:t xml:space="preserve"> and </w:t>
      </w:r>
      <w:r>
        <w:rPr>
          <w:kern w:val="0"/>
        </w:rPr>
        <w:t>magnetic resonance imaging are lacking. Conclusion: Mammography screening reduces breast cancer mortality for women aged 39 to 69 years; data are insufficient for older women. False-positive mammography results</w:t>
      </w:r>
      <w:r w:rsidR="005853A9">
        <w:rPr>
          <w:kern w:val="0"/>
        </w:rPr>
        <w:t xml:space="preserve"> and </w:t>
      </w:r>
      <w:r>
        <w:rPr>
          <w:kern w:val="0"/>
        </w:rPr>
        <w:t>additional imaging are common. No benefit has been shown for clinical breast examination or breast self-examination.</w:t>
      </w:r>
    </w:p>
    <w:p w:rsidR="008C1C37" w:rsidRDefault="008C1C37" w:rsidP="008C1C37">
      <w:pPr>
        <w:pStyle w:val="a3"/>
        <w:rPr>
          <w:kern w:val="0"/>
        </w:rPr>
      </w:pPr>
      <w:r>
        <w:rPr>
          <w:kern w:val="0"/>
        </w:rPr>
        <w:t xml:space="preserve">Keywords: Age 40, Aged, Breast Cancer, Cancer, Cochrane, Effectiveness, Extraction, Follow-up, Imaging, Magnetic Resonance Imaging, Mammography, Mammography Screening, </w:t>
      </w:r>
      <w:r w:rsidR="00D5664A">
        <w:rPr>
          <w:kern w:val="0"/>
        </w:rPr>
        <w:t>MEDLINE</w:t>
      </w:r>
      <w:r>
        <w:rPr>
          <w:kern w:val="0"/>
        </w:rPr>
        <w:t xml:space="preserve">, Mortality, Outcomes, Overdiagnosis, Radiation, Randomized-Trial, Relative Risk, Review, Risk, Science, Screening, Self-Examination, Sources, Swedish 2-County Trial, Systematic, Systematic Review, United-States, US, </w:t>
      </w:r>
      <w:r w:rsidR="00D5664A">
        <w:rPr>
          <w:kern w:val="0"/>
        </w:rPr>
        <w:t>Web</w:t>
      </w:r>
      <w:r w:rsidR="00427468">
        <w:rPr>
          <w:kern w:val="0"/>
        </w:rPr>
        <w:t xml:space="preserve"> of </w:t>
      </w:r>
      <w:r w:rsidR="00D5664A">
        <w:rPr>
          <w:kern w:val="0"/>
        </w:rPr>
        <w:t>Science</w:t>
      </w:r>
      <w:r>
        <w:rPr>
          <w:kern w:val="0"/>
        </w:rPr>
        <w:t>, Women</w:t>
      </w:r>
    </w:p>
    <w:p w:rsidR="008C1C37" w:rsidRDefault="008C1C37" w:rsidP="008C1C37">
      <w:pPr>
        <w:pStyle w:val="a3"/>
        <w:rPr>
          <w:kern w:val="0"/>
        </w:rPr>
      </w:pPr>
      <w:r>
        <w:rPr>
          <w:rFonts w:hint="eastAsia"/>
          <w:kern w:val="0"/>
        </w:rPr>
        <w:t xml:space="preserve">? </w:t>
      </w:r>
      <w:r>
        <w:rPr>
          <w:kern w:val="0"/>
        </w:rPr>
        <w:t>Ford, M.K., Beattie, W.S.</w:t>
      </w:r>
      <w:r w:rsidR="005853A9">
        <w:rPr>
          <w:kern w:val="0"/>
        </w:rPr>
        <w:t xml:space="preserve"> and </w:t>
      </w:r>
      <w:r>
        <w:rPr>
          <w:kern w:val="0"/>
        </w:rPr>
        <w:t>Wijeysundera, D.N. (2010), Systematic review: Prediction</w:t>
      </w:r>
      <w:r w:rsidR="00427468">
        <w:rPr>
          <w:kern w:val="0"/>
        </w:rPr>
        <w:t xml:space="preserve"> of </w:t>
      </w:r>
      <w:r>
        <w:rPr>
          <w:kern w:val="0"/>
        </w:rPr>
        <w:t>perioperative cardiac complications</w:t>
      </w:r>
      <w:r w:rsidR="005853A9">
        <w:rPr>
          <w:kern w:val="0"/>
        </w:rPr>
        <w:t xml:space="preserve"> and </w:t>
      </w:r>
      <w:r>
        <w:rPr>
          <w:kern w:val="0"/>
        </w:rPr>
        <w:t>mortality by</w:t>
      </w:r>
      <w:r w:rsidR="003A1917">
        <w:rPr>
          <w:kern w:val="0"/>
        </w:rPr>
        <w:t xml:space="preserve"> the </w:t>
      </w:r>
      <w:r>
        <w:rPr>
          <w:kern w:val="0"/>
        </w:rPr>
        <w:t xml:space="preserve">revised cardiac risk index. </w:t>
      </w:r>
      <w:r>
        <w:rPr>
          <w:i/>
          <w:iCs/>
          <w:kern w:val="0"/>
        </w:rPr>
        <w:t>Annals</w:t>
      </w:r>
      <w:r w:rsidR="00427468">
        <w:rPr>
          <w:i/>
          <w:iCs/>
          <w:kern w:val="0"/>
        </w:rPr>
        <w:t xml:space="preserve"> of </w:t>
      </w:r>
      <w:r>
        <w:rPr>
          <w:i/>
          <w:iCs/>
          <w:kern w:val="0"/>
        </w:rPr>
        <w:t>Internal Medicine</w:t>
      </w:r>
      <w:r>
        <w:rPr>
          <w:kern w:val="0"/>
        </w:rPr>
        <w:t xml:space="preserve">, </w:t>
      </w:r>
      <w:r>
        <w:rPr>
          <w:b/>
          <w:bCs/>
          <w:kern w:val="0"/>
        </w:rPr>
        <w:t>152</w:t>
      </w:r>
      <w:r>
        <w:rPr>
          <w:kern w:val="0"/>
        </w:rPr>
        <w:t xml:space="preserve"> (1), 26-W7.</w:t>
      </w:r>
    </w:p>
    <w:p w:rsidR="0069740E" w:rsidRDefault="0069740E" w:rsidP="0069740E">
      <w:pPr>
        <w:pStyle w:val="a3"/>
        <w:rPr>
          <w:kern w:val="0"/>
        </w:rPr>
      </w:pPr>
      <w:r>
        <w:rPr>
          <w:rFonts w:hint="eastAsia"/>
          <w:kern w:val="0"/>
        </w:rPr>
        <w:lastRenderedPageBreak/>
        <w:t xml:space="preserve">Full Text: </w:t>
      </w:r>
      <w:hyperlink r:id="rId874" w:history="1">
        <w:r w:rsidRPr="0069740E">
          <w:rPr>
            <w:rStyle w:val="a5"/>
            <w:kern w:val="0"/>
          </w:rPr>
          <w:t>2010\Ann Int Med152, 26.pdf</w:t>
        </w:r>
      </w:hyperlink>
    </w:p>
    <w:p w:rsidR="008C1C37" w:rsidRDefault="008C1C37" w:rsidP="008C1C37">
      <w:pPr>
        <w:pStyle w:val="a3"/>
        <w:rPr>
          <w:kern w:val="0"/>
        </w:rPr>
      </w:pPr>
      <w:r>
        <w:rPr>
          <w:kern w:val="0"/>
        </w:rPr>
        <w:t>Abstract: Background:</w:t>
      </w:r>
      <w:r w:rsidR="003A1917">
        <w:rPr>
          <w:kern w:val="0"/>
        </w:rPr>
        <w:t xml:space="preserve"> the </w:t>
      </w:r>
      <w:r>
        <w:rPr>
          <w:kern w:val="0"/>
        </w:rPr>
        <w:t>Revised Cardiac Risk Index (RCRI) is widely used to predict perioperative cardiac complications. Purpose: To evaluate</w:t>
      </w:r>
      <w:r w:rsidR="003A1917">
        <w:rPr>
          <w:kern w:val="0"/>
        </w:rPr>
        <w:t xml:space="preserve"> the </w:t>
      </w:r>
      <w:r>
        <w:rPr>
          <w:kern w:val="0"/>
        </w:rPr>
        <w:t>ability</w:t>
      </w:r>
      <w:r w:rsidR="00427468">
        <w:rPr>
          <w:kern w:val="0"/>
        </w:rPr>
        <w:t xml:space="preserve"> of </w:t>
      </w:r>
      <w:r w:rsidR="003A1917">
        <w:rPr>
          <w:kern w:val="0"/>
        </w:rPr>
        <w:t xml:space="preserve">the </w:t>
      </w:r>
      <w:r>
        <w:rPr>
          <w:kern w:val="0"/>
        </w:rPr>
        <w:t>RCRI to predict cardiac complications</w:t>
      </w:r>
      <w:r w:rsidR="005853A9">
        <w:rPr>
          <w:kern w:val="0"/>
        </w:rPr>
        <w:t xml:space="preserve"> and </w:t>
      </w:r>
      <w:r>
        <w:rPr>
          <w:kern w:val="0"/>
        </w:rPr>
        <w:t xml:space="preserve">death after noncardiac surgery. Data Sources: </w:t>
      </w:r>
      <w:r w:rsidR="00D5664A">
        <w:rPr>
          <w:kern w:val="0"/>
        </w:rPr>
        <w:t>MEDLINE</w:t>
      </w:r>
      <w:r>
        <w:rPr>
          <w:kern w:val="0"/>
        </w:rPr>
        <w:t>, EMBASE,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(1966 to 31 December 2008). Study Selection: Cohort studies that reported</w:t>
      </w:r>
      <w:r w:rsidR="003A1917">
        <w:rPr>
          <w:kern w:val="0"/>
        </w:rPr>
        <w:t xml:space="preserve"> the </w:t>
      </w:r>
      <w:r>
        <w:rPr>
          <w:kern w:val="0"/>
        </w:rPr>
        <w:t>association</w:t>
      </w:r>
      <w:r w:rsidR="00427468">
        <w:rPr>
          <w:kern w:val="0"/>
        </w:rPr>
        <w:t xml:space="preserve"> of </w:t>
      </w:r>
      <w:r w:rsidR="003A1917">
        <w:rPr>
          <w:kern w:val="0"/>
        </w:rPr>
        <w:t xml:space="preserve">the </w:t>
      </w:r>
      <w:r>
        <w:rPr>
          <w:kern w:val="0"/>
        </w:rPr>
        <w:t>RCRI with major cardiac complications (cardiac death, myocardial infarction,</w:t>
      </w:r>
      <w:r w:rsidR="005853A9">
        <w:rPr>
          <w:kern w:val="0"/>
        </w:rPr>
        <w:t xml:space="preserve"> and </w:t>
      </w:r>
      <w:r>
        <w:rPr>
          <w:kern w:val="0"/>
        </w:rPr>
        <w:t>nonfatal cardiac arrest) or death in</w:t>
      </w:r>
      <w:r w:rsidR="003A1917">
        <w:rPr>
          <w:kern w:val="0"/>
        </w:rPr>
        <w:t xml:space="preserve"> the </w:t>
      </w:r>
      <w:r>
        <w:rPr>
          <w:kern w:val="0"/>
        </w:rPr>
        <w:t>hospital or within 30 days</w:t>
      </w:r>
      <w:r w:rsidR="00427468">
        <w:rPr>
          <w:kern w:val="0"/>
        </w:rPr>
        <w:t xml:space="preserve"> of </w:t>
      </w:r>
      <w:r>
        <w:rPr>
          <w:kern w:val="0"/>
        </w:rPr>
        <w:t>surgery. Data Extraction: Two reviewers independently extracted study characteristics, documented outcome data,</w:t>
      </w:r>
      <w:r w:rsidR="005853A9">
        <w:rPr>
          <w:kern w:val="0"/>
        </w:rPr>
        <w:t xml:space="preserve"> and </w:t>
      </w:r>
      <w:r>
        <w:rPr>
          <w:kern w:val="0"/>
        </w:rPr>
        <w:t>evaluated study quality. Data Synthesis:</w:t>
      </w:r>
      <w:r w:rsidR="00427468">
        <w:rPr>
          <w:kern w:val="0"/>
        </w:rPr>
        <w:t xml:space="preserve"> of </w:t>
      </w:r>
      <w:r>
        <w:rPr>
          <w:kern w:val="0"/>
        </w:rPr>
        <w:t>24 studies (792 740 patients), 18 reported cardiac complications; 6</w:t>
      </w:r>
      <w:r w:rsidR="00427468">
        <w:rPr>
          <w:kern w:val="0"/>
        </w:rPr>
        <w:t xml:space="preserve"> of </w:t>
      </w:r>
      <w:r w:rsidR="003A1917">
        <w:rPr>
          <w:kern w:val="0"/>
        </w:rPr>
        <w:t xml:space="preserve">the </w:t>
      </w:r>
      <w:r>
        <w:rPr>
          <w:kern w:val="0"/>
        </w:rPr>
        <w:t>18 studies were prospective</w:t>
      </w:r>
      <w:r w:rsidR="005853A9">
        <w:rPr>
          <w:kern w:val="0"/>
        </w:rPr>
        <w:t xml:space="preserve"> and </w:t>
      </w:r>
      <w:r>
        <w:rPr>
          <w:kern w:val="0"/>
        </w:rPr>
        <w:t>had uniform outcome surveillance</w:t>
      </w:r>
      <w:r w:rsidR="005853A9">
        <w:rPr>
          <w:kern w:val="0"/>
        </w:rPr>
        <w:t xml:space="preserve"> and </w:t>
      </w:r>
      <w:r>
        <w:rPr>
          <w:kern w:val="0"/>
        </w:rPr>
        <w:t>blinded outcome adjudication</w:t>
      </w:r>
      <w:r w:rsidR="00A37C1D">
        <w:rPr>
          <w:kern w:val="0"/>
        </w:rPr>
        <w:t>. The</w:t>
      </w:r>
      <w:r w:rsidR="003A1917">
        <w:rPr>
          <w:kern w:val="0"/>
        </w:rPr>
        <w:t xml:space="preserve"> </w:t>
      </w:r>
      <w:r>
        <w:rPr>
          <w:kern w:val="0"/>
        </w:rPr>
        <w:t>RCRI discriminated moderately well between patients at low versus high risk for cardiac events after mixed noncardiac surgery (area under</w:t>
      </w:r>
      <w:r w:rsidR="003A1917">
        <w:rPr>
          <w:kern w:val="0"/>
        </w:rPr>
        <w:t xml:space="preserve"> the </w:t>
      </w:r>
      <w:r>
        <w:rPr>
          <w:kern w:val="0"/>
        </w:rPr>
        <w:t>receiver-operating characteristic curve [AUC], 0.75 [95% CI, 0.72 to 0.79]); sensitivity, 0.65 [CI, 0.46 to 0.81]; specificity, 0.76 [CI, 0.58 to 0.88]; positive likelihood ratio, 2.78 [CI, 1.74 to 4.45]; negative likelihood ratio, 0.45 [CI, 0.31 to 0.67]). Prediction</w:t>
      </w:r>
      <w:r w:rsidR="00427468">
        <w:rPr>
          <w:kern w:val="0"/>
        </w:rPr>
        <w:t xml:space="preserve"> of </w:t>
      </w:r>
      <w:r>
        <w:rPr>
          <w:kern w:val="0"/>
        </w:rPr>
        <w:t>cardiac events after vascular noncardiac surgery was less accurate (AUC, 0.64 [CI, 0.61 to 0.66]; sensitivity, 0.70 [CI, 0.53 to 0.82]; specificity, 0.55 [CI, 0.45 to 0.66]; positive likelihood ratio, 1.56 [CI, 1.42 to 1.73]; negative likelihood ratio, 0.55 [CI, 0.40 to 0.76]). Six studies reported death, with a median AUC</w:t>
      </w:r>
      <w:r w:rsidR="00427468">
        <w:rPr>
          <w:kern w:val="0"/>
        </w:rPr>
        <w:t xml:space="preserve"> of </w:t>
      </w:r>
      <w:r>
        <w:rPr>
          <w:kern w:val="0"/>
        </w:rPr>
        <w:t>0.62 (range, 0.54 to 0.78). A pooled AUC for predicting death could not be calculated because</w:t>
      </w:r>
      <w:r w:rsidR="00427468">
        <w:rPr>
          <w:kern w:val="0"/>
        </w:rPr>
        <w:t xml:space="preserve"> of </w:t>
      </w:r>
      <w:r>
        <w:rPr>
          <w:kern w:val="0"/>
        </w:rPr>
        <w:t>very high heterogeneity (I(2) = 95%). Limitation: Studies generally were</w:t>
      </w:r>
      <w:r w:rsidR="00427468">
        <w:rPr>
          <w:kern w:val="0"/>
        </w:rPr>
        <w:t xml:space="preserve"> of </w:t>
      </w:r>
      <w:r>
        <w:rPr>
          <w:kern w:val="0"/>
        </w:rPr>
        <w:t>low methodological quality, had varied definitions</w:t>
      </w:r>
      <w:r w:rsidR="00427468">
        <w:rPr>
          <w:kern w:val="0"/>
        </w:rPr>
        <w:t xml:space="preserve"> of </w:t>
      </w:r>
      <w:r>
        <w:rPr>
          <w:kern w:val="0"/>
        </w:rPr>
        <w:t>cardiac events,</w:t>
      </w:r>
      <w:r w:rsidR="005853A9">
        <w:rPr>
          <w:kern w:val="0"/>
        </w:rPr>
        <w:t xml:space="preserve"> and </w:t>
      </w:r>
      <w:r>
        <w:rPr>
          <w:kern w:val="0"/>
        </w:rPr>
        <w:t>were statistically</w:t>
      </w:r>
      <w:r w:rsidR="005853A9">
        <w:rPr>
          <w:kern w:val="0"/>
        </w:rPr>
        <w:t xml:space="preserve"> and </w:t>
      </w:r>
      <w:r>
        <w:rPr>
          <w:kern w:val="0"/>
        </w:rPr>
        <w:t>clinically heterogeneous. Conclusion:</w:t>
      </w:r>
      <w:r w:rsidR="003A1917">
        <w:rPr>
          <w:kern w:val="0"/>
        </w:rPr>
        <w:t xml:space="preserve"> the </w:t>
      </w:r>
      <w:r>
        <w:rPr>
          <w:kern w:val="0"/>
        </w:rPr>
        <w:t>RCRI discriminated moderately well between patients at low versus high risk for cardiac events after mixed noncardiac surgery. It did not perform well at predicting cardiac events after vascular noncardiac surgery or at predicting death. High-quality research is needed in this area</w:t>
      </w:r>
      <w:r w:rsidR="00427468">
        <w:rPr>
          <w:kern w:val="0"/>
        </w:rPr>
        <w:t xml:space="preserve"> of </w:t>
      </w:r>
      <w:r>
        <w:rPr>
          <w:kern w:val="0"/>
        </w:rPr>
        <w:t>perioperative medicine.</w:t>
      </w:r>
    </w:p>
    <w:p w:rsidR="008C1C37" w:rsidRDefault="008C1C37" w:rsidP="008C1C37">
      <w:pPr>
        <w:pStyle w:val="a3"/>
        <w:rPr>
          <w:kern w:val="0"/>
        </w:rPr>
      </w:pPr>
      <w:r>
        <w:rPr>
          <w:kern w:val="0"/>
        </w:rPr>
        <w:t>Keywords: Abdominal Aortic-Aneurysms, Beta-Blocker Therapy, Cardiac Arrest, Complications, Definitions, Diagnostic-Test Accuracy, Elderly-Patients, EMBASE, Extraction, Hospital</w:t>
      </w:r>
      <w:r w:rsidR="00D5664A">
        <w:rPr>
          <w:kern w:val="0"/>
        </w:rPr>
        <w:t>, ISI,</w:t>
      </w:r>
      <w:r>
        <w:rPr>
          <w:kern w:val="0"/>
        </w:rPr>
        <w:t xml:space="preserve"> Major Noncardiac Surgery, Medicine, </w:t>
      </w:r>
      <w:r w:rsidR="00D5664A">
        <w:rPr>
          <w:kern w:val="0"/>
        </w:rPr>
        <w:t>MEDLINE</w:t>
      </w:r>
      <w:r>
        <w:rPr>
          <w:kern w:val="0"/>
        </w:rPr>
        <w:t xml:space="preserve">, Mortality, Myocardial Infarction, Myocardial-Infarction, Natriuretic Peptide, Outcome, Prediction, Randomized Controlled-Trial, Ratio, Research, Review, Risk, Science, Sources, Surgery, Surveillance, Systematic, Systematic Review, Troponin-I, Vascular-Surgery,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Schuetz, G.M., Zacharopoulou, N.M., Schlattmann, P.</w:t>
      </w:r>
      <w:r w:rsidR="005853A9">
        <w:rPr>
          <w:kern w:val="0"/>
        </w:rPr>
        <w:t xml:space="preserve"> and </w:t>
      </w:r>
      <w:r>
        <w:rPr>
          <w:kern w:val="0"/>
        </w:rPr>
        <w:t xml:space="preserve">Dewey, M. (2010), Meta-analysis: Noninvasive coronary angiography using computed tomography versus magnetic resonance imaging. </w:t>
      </w:r>
      <w:r>
        <w:rPr>
          <w:i/>
          <w:iCs/>
          <w:kern w:val="0"/>
        </w:rPr>
        <w:t>Annals</w:t>
      </w:r>
      <w:r w:rsidR="00427468">
        <w:rPr>
          <w:i/>
          <w:iCs/>
          <w:kern w:val="0"/>
        </w:rPr>
        <w:t xml:space="preserve"> of </w:t>
      </w:r>
      <w:r>
        <w:rPr>
          <w:i/>
          <w:iCs/>
          <w:kern w:val="0"/>
        </w:rPr>
        <w:t>Internal Medicine</w:t>
      </w:r>
      <w:r>
        <w:rPr>
          <w:kern w:val="0"/>
        </w:rPr>
        <w:t xml:space="preserve">, </w:t>
      </w:r>
      <w:r>
        <w:rPr>
          <w:b/>
          <w:bCs/>
          <w:kern w:val="0"/>
        </w:rPr>
        <w:t>152</w:t>
      </w:r>
      <w:r>
        <w:rPr>
          <w:kern w:val="0"/>
        </w:rPr>
        <w:t xml:space="preserve"> (3), 167-U12.</w:t>
      </w:r>
    </w:p>
    <w:p w:rsidR="0069740E" w:rsidRDefault="0069740E" w:rsidP="0069740E">
      <w:pPr>
        <w:pStyle w:val="a3"/>
        <w:rPr>
          <w:kern w:val="0"/>
        </w:rPr>
      </w:pPr>
      <w:r>
        <w:rPr>
          <w:rFonts w:hint="eastAsia"/>
          <w:kern w:val="0"/>
        </w:rPr>
        <w:t xml:space="preserve">Full Text: </w:t>
      </w:r>
      <w:hyperlink r:id="rId875" w:history="1">
        <w:r w:rsidRPr="0069740E">
          <w:rPr>
            <w:rStyle w:val="a5"/>
            <w:kern w:val="0"/>
          </w:rPr>
          <w:t>2010\Ann Int Med152, 167.pdf</w:t>
        </w:r>
      </w:hyperlink>
    </w:p>
    <w:p w:rsidR="008C1C37" w:rsidRDefault="008C1C37" w:rsidP="008C1C37">
      <w:pPr>
        <w:pStyle w:val="a3"/>
        <w:rPr>
          <w:kern w:val="0"/>
        </w:rPr>
      </w:pPr>
      <w:r>
        <w:rPr>
          <w:kern w:val="0"/>
        </w:rPr>
        <w:lastRenderedPageBreak/>
        <w:t>Abstract: Background: Two imaging techniques, multislice computed tomography (CT)</w:t>
      </w:r>
      <w:r w:rsidR="005853A9">
        <w:rPr>
          <w:kern w:val="0"/>
        </w:rPr>
        <w:t xml:space="preserve"> and </w:t>
      </w:r>
      <w:r>
        <w:rPr>
          <w:kern w:val="0"/>
        </w:rPr>
        <w:t>magnetic resonance imaging (MRI), have evolved for noninvasive coronary angiography. Purpose: To compare CT</w:t>
      </w:r>
      <w:r w:rsidR="005853A9">
        <w:rPr>
          <w:kern w:val="0"/>
        </w:rPr>
        <w:t xml:space="preserve"> and </w:t>
      </w:r>
      <w:r>
        <w:rPr>
          <w:kern w:val="0"/>
        </w:rPr>
        <w:t xml:space="preserve">MRI for ruling out clinically significant coronary artery disease (CAD) in adults with suspected or known CAD. Data Sources: </w:t>
      </w:r>
      <w:r w:rsidR="00D5664A">
        <w:rPr>
          <w:kern w:val="0"/>
        </w:rPr>
        <w:t>MEDLINE</w:t>
      </w:r>
      <w:r>
        <w:rPr>
          <w:kern w:val="0"/>
        </w:rPr>
        <w:t>, EMBASE,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searches from inception through 2 June 2009</w:t>
      </w:r>
      <w:r w:rsidR="005853A9">
        <w:rPr>
          <w:kern w:val="0"/>
        </w:rPr>
        <w:t xml:space="preserve"> and </w:t>
      </w:r>
      <w:r>
        <w:rPr>
          <w:kern w:val="0"/>
        </w:rPr>
        <w:t>bibliographies</w:t>
      </w:r>
      <w:r w:rsidR="00427468">
        <w:rPr>
          <w:kern w:val="0"/>
        </w:rPr>
        <w:t xml:space="preserve"> of </w:t>
      </w:r>
      <w:r>
        <w:rPr>
          <w:kern w:val="0"/>
        </w:rPr>
        <w:t>reviews. Study Selection: Prospective English-or German-language studies that compared CT or MRI with conventional coronary angiography in all patients</w:t>
      </w:r>
      <w:r w:rsidR="005853A9">
        <w:rPr>
          <w:kern w:val="0"/>
        </w:rPr>
        <w:t xml:space="preserve"> and </w:t>
      </w:r>
      <w:r>
        <w:rPr>
          <w:kern w:val="0"/>
        </w:rPr>
        <w:t>included sufficient data for compilation</w:t>
      </w:r>
      <w:r w:rsidR="00427468">
        <w:rPr>
          <w:kern w:val="0"/>
        </w:rPr>
        <w:t xml:space="preserve"> of </w:t>
      </w:r>
      <w:r>
        <w:rPr>
          <w:kern w:val="0"/>
        </w:rPr>
        <w:t>2 x 2 tables. Data Extraction: 2 investigators independently extracted patient</w:t>
      </w:r>
      <w:r w:rsidR="005853A9">
        <w:rPr>
          <w:kern w:val="0"/>
        </w:rPr>
        <w:t xml:space="preserve"> and </w:t>
      </w:r>
      <w:r>
        <w:rPr>
          <w:kern w:val="0"/>
        </w:rPr>
        <w:t>study characteristics; differences were resolved by consensus. Data Synthesis: 89</w:t>
      </w:r>
      <w:r w:rsidR="005853A9">
        <w:rPr>
          <w:kern w:val="0"/>
        </w:rPr>
        <w:t xml:space="preserve"> and </w:t>
      </w:r>
      <w:r>
        <w:rPr>
          <w:kern w:val="0"/>
        </w:rPr>
        <w:t>20 studies (comprising 7516</w:t>
      </w:r>
      <w:r w:rsidR="005853A9">
        <w:rPr>
          <w:kern w:val="0"/>
        </w:rPr>
        <w:t xml:space="preserve"> and </w:t>
      </w:r>
      <w:r>
        <w:rPr>
          <w:kern w:val="0"/>
        </w:rPr>
        <w:t>989 patients) assessed CT</w:t>
      </w:r>
      <w:r w:rsidR="005853A9">
        <w:rPr>
          <w:kern w:val="0"/>
        </w:rPr>
        <w:t xml:space="preserve"> and </w:t>
      </w:r>
      <w:r>
        <w:rPr>
          <w:kern w:val="0"/>
        </w:rPr>
        <w:t>MRI, respectively. Bivariate analysis</w:t>
      </w:r>
      <w:r w:rsidR="00427468">
        <w:rPr>
          <w:kern w:val="0"/>
        </w:rPr>
        <w:t xml:space="preserve"> of </w:t>
      </w:r>
      <w:r>
        <w:rPr>
          <w:kern w:val="0"/>
        </w:rPr>
        <w:t>data yielded a mean sensitivity</w:t>
      </w:r>
      <w:r w:rsidR="005853A9">
        <w:rPr>
          <w:kern w:val="0"/>
        </w:rPr>
        <w:t xml:space="preserve"> and </w:t>
      </w:r>
      <w:r>
        <w:rPr>
          <w:kern w:val="0"/>
        </w:rPr>
        <w:t>specificity</w:t>
      </w:r>
      <w:r w:rsidR="00427468">
        <w:rPr>
          <w:kern w:val="0"/>
        </w:rPr>
        <w:t xml:space="preserve"> of </w:t>
      </w:r>
      <w:r>
        <w:rPr>
          <w:kern w:val="0"/>
        </w:rPr>
        <w:t>97.2% (95% CI, 96.2% to 98.0%)</w:t>
      </w:r>
      <w:r w:rsidR="005853A9">
        <w:rPr>
          <w:kern w:val="0"/>
        </w:rPr>
        <w:t xml:space="preserve"> and </w:t>
      </w:r>
      <w:r>
        <w:rPr>
          <w:kern w:val="0"/>
        </w:rPr>
        <w:t>87.4% (CI, 84.5% to 89.8%) for CT</w:t>
      </w:r>
      <w:r w:rsidR="005853A9">
        <w:rPr>
          <w:kern w:val="0"/>
        </w:rPr>
        <w:t xml:space="preserve"> and </w:t>
      </w:r>
      <w:r>
        <w:rPr>
          <w:kern w:val="0"/>
        </w:rPr>
        <w:t>87.1% (CI, 83.0% to 90.3%)</w:t>
      </w:r>
      <w:r w:rsidR="005853A9">
        <w:rPr>
          <w:kern w:val="0"/>
        </w:rPr>
        <w:t xml:space="preserve"> and </w:t>
      </w:r>
      <w:r>
        <w:rPr>
          <w:kern w:val="0"/>
        </w:rPr>
        <w:t>70.3% (CI, 58.8% to 79.7%) for MRI. In studies that included only patients with suspected CAD, sensitivity</w:t>
      </w:r>
      <w:r w:rsidR="005853A9">
        <w:rPr>
          <w:kern w:val="0"/>
        </w:rPr>
        <w:t xml:space="preserve"> and </w:t>
      </w:r>
      <w:r>
        <w:rPr>
          <w:kern w:val="0"/>
        </w:rPr>
        <w:t>specificity</w:t>
      </w:r>
      <w:r w:rsidR="00427468">
        <w:rPr>
          <w:kern w:val="0"/>
        </w:rPr>
        <w:t xml:space="preserve"> of </w:t>
      </w:r>
      <w:r>
        <w:rPr>
          <w:kern w:val="0"/>
        </w:rPr>
        <w:t>CT were 97.6% (CI, 96.1% to 98.5%)</w:t>
      </w:r>
      <w:r w:rsidR="005853A9">
        <w:rPr>
          <w:kern w:val="0"/>
        </w:rPr>
        <w:t xml:space="preserve"> and </w:t>
      </w:r>
      <w:r>
        <w:rPr>
          <w:kern w:val="0"/>
        </w:rPr>
        <w:t>89.2% (CI, 86.0% to 91.8%). Covariate analysis yielded a significantly higher sensitivity for CT scanners with more than 16 rows (98.1% [CI, 97.0% to 99.0%]; P &lt; 0.050) than for older-generation scanners (95.6% [CI, 94.0% to 97.0%]). Heart rates less than 60 beats/min during CT yielded significantly better values for sensitivity than did higher heart rates (P &lt; 0.001). Limitations: Few studies investigated coronary angiography with MRI. Only 5 studies were direct head-to-head comparisons</w:t>
      </w:r>
      <w:r w:rsidR="00427468">
        <w:rPr>
          <w:kern w:val="0"/>
        </w:rPr>
        <w:t xml:space="preserve"> of </w:t>
      </w:r>
      <w:r>
        <w:rPr>
          <w:kern w:val="0"/>
        </w:rPr>
        <w:t>CT</w:t>
      </w:r>
      <w:r w:rsidR="005853A9">
        <w:rPr>
          <w:kern w:val="0"/>
        </w:rPr>
        <w:t xml:space="preserve"> and </w:t>
      </w:r>
      <w:r>
        <w:rPr>
          <w:kern w:val="0"/>
        </w:rPr>
        <w:t>MRI. Covariate analyses explained only part</w:t>
      </w:r>
      <w:r w:rsidR="00427468">
        <w:rPr>
          <w:kern w:val="0"/>
        </w:rPr>
        <w:t xml:space="preserve"> of </w:t>
      </w:r>
      <w:r w:rsidR="003A1917">
        <w:rPr>
          <w:kern w:val="0"/>
        </w:rPr>
        <w:t xml:space="preserve">the </w:t>
      </w:r>
      <w:r>
        <w:rPr>
          <w:kern w:val="0"/>
        </w:rPr>
        <w:t>observed heterogeneity. Conclusion: For ruling out CAD, CT is more accurate than MRI. Scanners with more than 16 rows improve sensitivity, as do slowed heart rates.</w:t>
      </w:r>
    </w:p>
    <w:p w:rsidR="008C1C37" w:rsidRDefault="008C1C37" w:rsidP="008C1C37">
      <w:pPr>
        <w:pStyle w:val="a3"/>
        <w:rPr>
          <w:kern w:val="0"/>
        </w:rPr>
      </w:pPr>
      <w:r>
        <w:rPr>
          <w:kern w:val="0"/>
        </w:rPr>
        <w:t>Keywords: Adults, Analysis, Aortic-Valve Stenosis, Artery-Disease, CT, Diagnostic-Test Accuracy, Disease, Dual-Source CT, EMBASE, Extraction, Heart-Rate-Variability, Imaging</w:t>
      </w:r>
      <w:r w:rsidR="00D5664A">
        <w:rPr>
          <w:kern w:val="0"/>
        </w:rPr>
        <w:t>, ISI,</w:t>
      </w:r>
      <w:r>
        <w:rPr>
          <w:kern w:val="0"/>
        </w:rPr>
        <w:t xml:space="preserve"> Left-Ventricular Function, Magnetic Resonance Imaging, </w:t>
      </w:r>
      <w:r w:rsidR="00D5664A">
        <w:rPr>
          <w:kern w:val="0"/>
        </w:rPr>
        <w:t>MEDLINE</w:t>
      </w:r>
      <w:r>
        <w:rPr>
          <w:kern w:val="0"/>
        </w:rPr>
        <w:t>, Meta Analysis, Meta-Analysis, MRI, Multidetector Row CT, Science, Sensitivity</w:t>
      </w:r>
      <w:r w:rsidR="005853A9">
        <w:rPr>
          <w:kern w:val="0"/>
        </w:rPr>
        <w:t xml:space="preserve"> and </w:t>
      </w:r>
      <w:r>
        <w:rPr>
          <w:kern w:val="0"/>
        </w:rPr>
        <w:t xml:space="preserve">Specificity, Sources, Stable Angina-Pectoris, Symptomatic Patients, </w:t>
      </w:r>
      <w:r w:rsidR="00D5664A">
        <w:rPr>
          <w:kern w:val="0"/>
        </w:rPr>
        <w:t>Web</w:t>
      </w:r>
      <w:r w:rsidR="00427468">
        <w:rPr>
          <w:kern w:val="0"/>
        </w:rPr>
        <w:t xml:space="preserve"> of </w:t>
      </w:r>
      <w:r w:rsidR="00D5664A">
        <w:rPr>
          <w:kern w:val="0"/>
        </w:rPr>
        <w:t>Science</w:t>
      </w:r>
      <w:r>
        <w:rPr>
          <w:kern w:val="0"/>
        </w:rPr>
        <w:t>, X-Ray Angiography</w:t>
      </w:r>
    </w:p>
    <w:p w:rsidR="008C1C37" w:rsidRDefault="008C1C37" w:rsidP="008C1C37">
      <w:pPr>
        <w:pStyle w:val="a3"/>
        <w:rPr>
          <w:kern w:val="0"/>
        </w:rPr>
      </w:pPr>
      <w:r>
        <w:rPr>
          <w:rFonts w:hint="eastAsia"/>
          <w:kern w:val="0"/>
        </w:rPr>
        <w:t xml:space="preserve">? </w:t>
      </w:r>
      <w:r>
        <w:rPr>
          <w:kern w:val="0"/>
        </w:rPr>
        <w:t>Foy, R., Hempel, S., Rubenstein, L., Suttorp, M., Seelig, M., Shanman, R.</w:t>
      </w:r>
      <w:r w:rsidR="005853A9">
        <w:rPr>
          <w:kern w:val="0"/>
        </w:rPr>
        <w:t xml:space="preserve"> and </w:t>
      </w:r>
      <w:r>
        <w:rPr>
          <w:kern w:val="0"/>
        </w:rPr>
        <w:t>Shekelle, P.G. (2010), Meta-analysis: Effect</w:t>
      </w:r>
      <w:r w:rsidR="00427468">
        <w:rPr>
          <w:kern w:val="0"/>
        </w:rPr>
        <w:t xml:space="preserve"> of </w:t>
      </w:r>
      <w:r>
        <w:rPr>
          <w:kern w:val="0"/>
        </w:rPr>
        <w:t>interactive communication between collaborating primary care physicians</w:t>
      </w:r>
      <w:r w:rsidR="005853A9">
        <w:rPr>
          <w:kern w:val="0"/>
        </w:rPr>
        <w:t xml:space="preserve"> and </w:t>
      </w:r>
      <w:r>
        <w:rPr>
          <w:kern w:val="0"/>
        </w:rPr>
        <w:t xml:space="preserve">specialists. </w:t>
      </w:r>
      <w:r>
        <w:rPr>
          <w:i/>
          <w:iCs/>
          <w:kern w:val="0"/>
        </w:rPr>
        <w:t>Annals</w:t>
      </w:r>
      <w:r w:rsidR="00427468">
        <w:rPr>
          <w:i/>
          <w:iCs/>
          <w:kern w:val="0"/>
        </w:rPr>
        <w:t xml:space="preserve"> of </w:t>
      </w:r>
      <w:r>
        <w:rPr>
          <w:i/>
          <w:iCs/>
          <w:kern w:val="0"/>
        </w:rPr>
        <w:t>Internal Medicine</w:t>
      </w:r>
      <w:r>
        <w:rPr>
          <w:kern w:val="0"/>
        </w:rPr>
        <w:t xml:space="preserve">, </w:t>
      </w:r>
      <w:r>
        <w:rPr>
          <w:b/>
          <w:bCs/>
          <w:kern w:val="0"/>
        </w:rPr>
        <w:t>152</w:t>
      </w:r>
      <w:r>
        <w:rPr>
          <w:kern w:val="0"/>
        </w:rPr>
        <w:t xml:space="preserve"> (4), 247-U95.</w:t>
      </w:r>
    </w:p>
    <w:p w:rsidR="0069740E" w:rsidRDefault="0069740E" w:rsidP="0069740E">
      <w:pPr>
        <w:pStyle w:val="a3"/>
        <w:rPr>
          <w:kern w:val="0"/>
        </w:rPr>
      </w:pPr>
      <w:r>
        <w:rPr>
          <w:rFonts w:hint="eastAsia"/>
          <w:kern w:val="0"/>
        </w:rPr>
        <w:t xml:space="preserve">Full Text: </w:t>
      </w:r>
      <w:hyperlink r:id="rId876" w:history="1">
        <w:r w:rsidRPr="0069740E">
          <w:rPr>
            <w:rStyle w:val="a5"/>
            <w:kern w:val="0"/>
          </w:rPr>
          <w:t>2010\Ann Int Med152, 247.pdf</w:t>
        </w:r>
      </w:hyperlink>
    </w:p>
    <w:p w:rsidR="008C1C37" w:rsidRDefault="008C1C37" w:rsidP="008C1C37">
      <w:pPr>
        <w:pStyle w:val="a3"/>
        <w:rPr>
          <w:kern w:val="0"/>
        </w:rPr>
      </w:pPr>
      <w:r>
        <w:rPr>
          <w:kern w:val="0"/>
        </w:rPr>
        <w:t>Abstract: Background: Whether collaborative care models that enable interactive communication (timely, 2-way exchange</w:t>
      </w:r>
      <w:r w:rsidR="00427468">
        <w:rPr>
          <w:kern w:val="0"/>
        </w:rPr>
        <w:t xml:space="preserve"> of </w:t>
      </w:r>
      <w:r>
        <w:rPr>
          <w:kern w:val="0"/>
        </w:rPr>
        <w:t>pertinent clinical information directly between primary care</w:t>
      </w:r>
      <w:r w:rsidR="005853A9">
        <w:rPr>
          <w:kern w:val="0"/>
        </w:rPr>
        <w:t xml:space="preserve"> and </w:t>
      </w:r>
      <w:r>
        <w:rPr>
          <w:kern w:val="0"/>
        </w:rPr>
        <w:t xml:space="preserve">specialist physicians) improve patient outcomes is </w:t>
      </w:r>
      <w:r>
        <w:rPr>
          <w:kern w:val="0"/>
        </w:rPr>
        <w:lastRenderedPageBreak/>
        <w:t>uncertain. Purpose: To assess</w:t>
      </w:r>
      <w:r w:rsidR="003A1917">
        <w:rPr>
          <w:kern w:val="0"/>
        </w:rPr>
        <w:t xml:space="preserve"> the </w:t>
      </w:r>
      <w:r>
        <w:rPr>
          <w:kern w:val="0"/>
        </w:rPr>
        <w:t>effects</w:t>
      </w:r>
      <w:r w:rsidR="00427468">
        <w:rPr>
          <w:kern w:val="0"/>
        </w:rPr>
        <w:t xml:space="preserve"> of </w:t>
      </w:r>
      <w:r>
        <w:rPr>
          <w:kern w:val="0"/>
        </w:rPr>
        <w:t>interactive communication between collaborating primary care physicians</w:t>
      </w:r>
      <w:r w:rsidR="005853A9">
        <w:rPr>
          <w:kern w:val="0"/>
        </w:rPr>
        <w:t xml:space="preserve"> and </w:t>
      </w:r>
      <w:r>
        <w:rPr>
          <w:kern w:val="0"/>
        </w:rPr>
        <w:t xml:space="preserve">key specialists on outcomes for patients receiving ambulatory care. Data Sources: </w:t>
      </w:r>
      <w:r w:rsidR="002C12F0">
        <w:rPr>
          <w:kern w:val="0"/>
        </w:rPr>
        <w:t>PUBMED</w:t>
      </w:r>
      <w:r>
        <w:rPr>
          <w:kern w:val="0"/>
        </w:rPr>
        <w:t>, PsycInfo, EMBASE, CINAHL, Cochrane Database</w:t>
      </w:r>
      <w:r w:rsidR="00427468">
        <w:rPr>
          <w:kern w:val="0"/>
        </w:rPr>
        <w:t xml:space="preserve"> of </w:t>
      </w:r>
      <w:r>
        <w:rPr>
          <w:kern w:val="0"/>
        </w:rPr>
        <w:t>Systematic Reviews,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Effects,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through June 2008</w:t>
      </w:r>
      <w:r w:rsidR="005853A9">
        <w:rPr>
          <w:kern w:val="0"/>
        </w:rPr>
        <w:t xml:space="preserve"> and </w:t>
      </w:r>
      <w:r>
        <w:rPr>
          <w:kern w:val="0"/>
        </w:rPr>
        <w:t>secondary references, with no language restriction. Study Selection: Studies that evaluated</w:t>
      </w:r>
      <w:r w:rsidR="003A1917">
        <w:rPr>
          <w:kern w:val="0"/>
        </w:rPr>
        <w:t xml:space="preserve"> the </w:t>
      </w:r>
      <w:r>
        <w:rPr>
          <w:kern w:val="0"/>
        </w:rPr>
        <w:t>effects</w:t>
      </w:r>
      <w:r w:rsidR="00427468">
        <w:rPr>
          <w:kern w:val="0"/>
        </w:rPr>
        <w:t xml:space="preserve"> of </w:t>
      </w:r>
      <w:r>
        <w:rPr>
          <w:kern w:val="0"/>
        </w:rPr>
        <w:t>interactive communication between collaborating primary care physicians</w:t>
      </w:r>
      <w:r w:rsidR="005853A9">
        <w:rPr>
          <w:kern w:val="0"/>
        </w:rPr>
        <w:t xml:space="preserve"> and </w:t>
      </w:r>
      <w:r>
        <w:rPr>
          <w:kern w:val="0"/>
        </w:rPr>
        <w:t>specialists on outcomes for patients with diabetes, psychiatric conditions, or cancer. Data Extraction: Contextual, intervention,</w:t>
      </w:r>
      <w:r w:rsidR="005853A9">
        <w:rPr>
          <w:kern w:val="0"/>
        </w:rPr>
        <w:t xml:space="preserve"> and </w:t>
      </w:r>
      <w:r>
        <w:rPr>
          <w:kern w:val="0"/>
        </w:rPr>
        <w:t>outcome data from 23 studies were extracted by one reviewer</w:t>
      </w:r>
      <w:r w:rsidR="005853A9">
        <w:rPr>
          <w:kern w:val="0"/>
        </w:rPr>
        <w:t xml:space="preserve"> and </w:t>
      </w:r>
      <w:r>
        <w:rPr>
          <w:kern w:val="0"/>
        </w:rPr>
        <w:t>checked by another. Study quality was assessed with a 13-item checklist. Disagreement was resolved by consensus. Main outcomes for analysis were selected by reviewers who were blinded to study results. Data Synthesis: Meta-analysis indicated consistent effects across 11 randomized mental health studies (pooled effect size, -0.41 [95% CI, -0.73 to -0.10]), 7 nonrandomized mental health studies (pooled effect size, -0.47 [CI, -0.84 to -0.09]),</w:t>
      </w:r>
      <w:r w:rsidR="005853A9">
        <w:rPr>
          <w:kern w:val="0"/>
        </w:rPr>
        <w:t xml:space="preserve"> and </w:t>
      </w:r>
      <w:r>
        <w:rPr>
          <w:kern w:val="0"/>
        </w:rPr>
        <w:t>5 nonrandomized diabetes studies (pooled effect size, -0.64 [CI, -0.93 to -0.34])</w:t>
      </w:r>
      <w:r w:rsidR="00A37C1D">
        <w:rPr>
          <w:kern w:val="0"/>
        </w:rPr>
        <w:t>. The</w:t>
      </w:r>
      <w:r>
        <w:rPr>
          <w:kern w:val="0"/>
        </w:rPr>
        <w:t>se findings remained robust to sensitivity analyses. Meta-regression indicated studies that included interventions to enhance</w:t>
      </w:r>
      <w:r w:rsidR="003A1917">
        <w:rPr>
          <w:kern w:val="0"/>
        </w:rPr>
        <w:t xml:space="preserve"> the </w:t>
      </w:r>
      <w:r>
        <w:rPr>
          <w:kern w:val="0"/>
        </w:rPr>
        <w:t>quality</w:t>
      </w:r>
      <w:r w:rsidR="00427468">
        <w:rPr>
          <w:kern w:val="0"/>
        </w:rPr>
        <w:t xml:space="preserve"> of </w:t>
      </w:r>
      <w:r>
        <w:rPr>
          <w:kern w:val="0"/>
        </w:rPr>
        <w:t>information exchange had larger effects on patient outcomes than those that did not (-0.84 vs. -0.27; P = 0.002). Limitations: Because collaborative interventions were inherently multifaceted,</w:t>
      </w:r>
      <w:r w:rsidR="003A1917">
        <w:rPr>
          <w:kern w:val="0"/>
        </w:rPr>
        <w:t xml:space="preserve"> the </w:t>
      </w:r>
      <w:r>
        <w:rPr>
          <w:kern w:val="0"/>
        </w:rPr>
        <w:t>efficacy</w:t>
      </w:r>
      <w:r w:rsidR="00427468">
        <w:rPr>
          <w:kern w:val="0"/>
        </w:rPr>
        <w:t xml:space="preserve"> of </w:t>
      </w:r>
      <w:r>
        <w:rPr>
          <w:kern w:val="0"/>
        </w:rPr>
        <w:t>interactive communication by itself cannot be established. Inclusion</w:t>
      </w:r>
      <w:r w:rsidR="00427468">
        <w:rPr>
          <w:kern w:val="0"/>
        </w:rPr>
        <w:t xml:space="preserve"> of </w:t>
      </w:r>
      <w:r>
        <w:rPr>
          <w:kern w:val="0"/>
        </w:rPr>
        <w:t>study designs with lower internal validity increased risk for bias. No studies involved oncologists. Conclusion: Consistent</w:t>
      </w:r>
      <w:r w:rsidR="005853A9">
        <w:rPr>
          <w:kern w:val="0"/>
        </w:rPr>
        <w:t xml:space="preserve"> and </w:t>
      </w:r>
      <w:r>
        <w:rPr>
          <w:kern w:val="0"/>
        </w:rPr>
        <w:t>clinically important effects suggest a potential role</w:t>
      </w:r>
      <w:r w:rsidR="00427468">
        <w:rPr>
          <w:kern w:val="0"/>
        </w:rPr>
        <w:t xml:space="preserve"> of </w:t>
      </w:r>
      <w:r>
        <w:rPr>
          <w:kern w:val="0"/>
        </w:rPr>
        <w:t>interactive communication for improving</w:t>
      </w:r>
      <w:r w:rsidR="003A1917">
        <w:rPr>
          <w:kern w:val="0"/>
        </w:rPr>
        <w:t xml:space="preserve"> the </w:t>
      </w:r>
      <w:r>
        <w:rPr>
          <w:kern w:val="0"/>
        </w:rPr>
        <w:t>effectiveness</w:t>
      </w:r>
      <w:r w:rsidR="00427468">
        <w:rPr>
          <w:kern w:val="0"/>
        </w:rPr>
        <w:t xml:space="preserve"> of </w:t>
      </w:r>
      <w:r>
        <w:rPr>
          <w:kern w:val="0"/>
        </w:rPr>
        <w:t>primary care-specialist collaboration.</w:t>
      </w:r>
    </w:p>
    <w:p w:rsidR="008C1C37" w:rsidRDefault="008C1C37" w:rsidP="008C1C37">
      <w:pPr>
        <w:pStyle w:val="a3"/>
        <w:rPr>
          <w:kern w:val="0"/>
        </w:rPr>
      </w:pPr>
      <w:r>
        <w:rPr>
          <w:kern w:val="0"/>
        </w:rPr>
        <w:t xml:space="preserve">Keywords: Ambulatory Care, Analysis, Bias, Cancer, Care, Clinical-Trials, Cochrane, Collaboration, Communication, Diabetes, Diabetes Care, Disease Management Program, Effectiveness, Efficacy, EMBASE, Extraction, General-Practice, Information, Intervention, Interventions, Liaison Psychiatry, Mental Health, Mental-Health-Services, Meta Analysis, Meta-Analysis, Outcome, Outcomes, Patient Outcomes, Physicians, Primary, Primary Care, Psychiatric-Consultation, </w:t>
      </w:r>
      <w:r w:rsidR="002C12F0">
        <w:rPr>
          <w:kern w:val="0"/>
        </w:rPr>
        <w:t>PUBMED</w:t>
      </w:r>
      <w:r>
        <w:rPr>
          <w:kern w:val="0"/>
        </w:rPr>
        <w:t xml:space="preserve">, Quality Improvement, Randomized Controlled-Trial, Risk, Science, Sources, Systematic, United-States, Validity,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Nelson, H.D., Haney, E.M., Dana, T., Bougatsos, C.</w:t>
      </w:r>
      <w:r w:rsidR="005853A9">
        <w:rPr>
          <w:kern w:val="0"/>
        </w:rPr>
        <w:t xml:space="preserve"> and </w:t>
      </w:r>
      <w:r>
        <w:rPr>
          <w:kern w:val="0"/>
        </w:rPr>
        <w:t>Chou, R. (2010), Screening for osteoporosis: An update for</w:t>
      </w:r>
      <w:r w:rsidR="003A1917">
        <w:rPr>
          <w:kern w:val="0"/>
        </w:rPr>
        <w:t xml:space="preserve"> the </w:t>
      </w:r>
      <w:r>
        <w:rPr>
          <w:kern w:val="0"/>
        </w:rPr>
        <w:t>U</w:t>
      </w:r>
      <w:r w:rsidR="0069740E">
        <w:rPr>
          <w:rFonts w:hint="eastAsia"/>
          <w:kern w:val="0"/>
        </w:rPr>
        <w:t>.</w:t>
      </w:r>
      <w:r>
        <w:rPr>
          <w:kern w:val="0"/>
        </w:rPr>
        <w:t>S</w:t>
      </w:r>
      <w:r w:rsidR="0069740E">
        <w:rPr>
          <w:rFonts w:hint="eastAsia"/>
          <w:kern w:val="0"/>
        </w:rPr>
        <w:t>.</w:t>
      </w:r>
      <w:r>
        <w:rPr>
          <w:kern w:val="0"/>
        </w:rPr>
        <w:t xml:space="preserve"> preventive services task force. </w:t>
      </w:r>
      <w:r>
        <w:rPr>
          <w:i/>
          <w:iCs/>
          <w:kern w:val="0"/>
        </w:rPr>
        <w:t>Annals</w:t>
      </w:r>
      <w:r w:rsidR="00427468">
        <w:rPr>
          <w:i/>
          <w:iCs/>
          <w:kern w:val="0"/>
        </w:rPr>
        <w:t xml:space="preserve"> of </w:t>
      </w:r>
      <w:r>
        <w:rPr>
          <w:i/>
          <w:iCs/>
          <w:kern w:val="0"/>
        </w:rPr>
        <w:t>Internal Medicine</w:t>
      </w:r>
      <w:r>
        <w:rPr>
          <w:kern w:val="0"/>
        </w:rPr>
        <w:t xml:space="preserve">, </w:t>
      </w:r>
      <w:r>
        <w:rPr>
          <w:b/>
          <w:bCs/>
          <w:kern w:val="0"/>
        </w:rPr>
        <w:t>153</w:t>
      </w:r>
      <w:r>
        <w:rPr>
          <w:kern w:val="0"/>
        </w:rPr>
        <w:t xml:space="preserve"> (2), 99-W43.</w:t>
      </w:r>
    </w:p>
    <w:p w:rsidR="0069740E" w:rsidRDefault="0069740E" w:rsidP="008C1C37">
      <w:pPr>
        <w:pStyle w:val="a3"/>
        <w:rPr>
          <w:kern w:val="0"/>
        </w:rPr>
      </w:pPr>
      <w:r>
        <w:rPr>
          <w:rFonts w:hint="eastAsia"/>
          <w:kern w:val="0"/>
        </w:rPr>
        <w:t xml:space="preserve">Full Text: </w:t>
      </w:r>
      <w:hyperlink r:id="rId877" w:history="1">
        <w:r w:rsidRPr="0069740E">
          <w:rPr>
            <w:rStyle w:val="a5"/>
            <w:kern w:val="0"/>
          </w:rPr>
          <w:t>2010\Ann Int Med153, 99.pdf</w:t>
        </w:r>
      </w:hyperlink>
    </w:p>
    <w:p w:rsidR="008C1C37" w:rsidRDefault="008C1C37" w:rsidP="008C1C37">
      <w:pPr>
        <w:pStyle w:val="a3"/>
        <w:rPr>
          <w:kern w:val="0"/>
        </w:rPr>
      </w:pPr>
      <w:r>
        <w:rPr>
          <w:kern w:val="0"/>
        </w:rPr>
        <w:t>Abstract: Background: This review updates evidence since</w:t>
      </w:r>
      <w:r w:rsidR="003A1917">
        <w:rPr>
          <w:kern w:val="0"/>
        </w:rPr>
        <w:t xml:space="preserve"> the </w:t>
      </w:r>
      <w:r>
        <w:rPr>
          <w:kern w:val="0"/>
        </w:rPr>
        <w:t xml:space="preserve">2002 U. S. Preventive Services Task Force recommendation on osteoporosis screening. Purpose: To </w:t>
      </w:r>
      <w:r>
        <w:rPr>
          <w:kern w:val="0"/>
        </w:rPr>
        <w:lastRenderedPageBreak/>
        <w:t>determine</w:t>
      </w:r>
      <w:r w:rsidR="003A1917">
        <w:rPr>
          <w:kern w:val="0"/>
        </w:rPr>
        <w:t xml:space="preserve"> the </w:t>
      </w:r>
      <w:r>
        <w:rPr>
          <w:kern w:val="0"/>
        </w:rPr>
        <w:t>effectiveness</w:t>
      </w:r>
      <w:r w:rsidR="005853A9">
        <w:rPr>
          <w:kern w:val="0"/>
        </w:rPr>
        <w:t xml:space="preserve"> and </w:t>
      </w:r>
      <w:r>
        <w:rPr>
          <w:kern w:val="0"/>
        </w:rPr>
        <w:t>harms</w:t>
      </w:r>
      <w:r w:rsidR="00427468">
        <w:rPr>
          <w:kern w:val="0"/>
        </w:rPr>
        <w:t xml:space="preserve"> of </w:t>
      </w:r>
      <w:r>
        <w:rPr>
          <w:kern w:val="0"/>
        </w:rPr>
        <w:t>osteoporosis screening in reducing fractures for men</w:t>
      </w:r>
      <w:r w:rsidR="005853A9">
        <w:rPr>
          <w:kern w:val="0"/>
        </w:rPr>
        <w:t xml:space="preserve"> and </w:t>
      </w:r>
      <w:r>
        <w:rPr>
          <w:kern w:val="0"/>
        </w:rPr>
        <w:t>postmenopa</w:t>
      </w:r>
      <w:r w:rsidR="00D5664A">
        <w:rPr>
          <w:kern w:val="0"/>
        </w:rPr>
        <w:t>USA</w:t>
      </w:r>
      <w:r>
        <w:rPr>
          <w:kern w:val="0"/>
        </w:rPr>
        <w:t>l women without known previous fractures;</w:t>
      </w:r>
      <w:r w:rsidR="003A1917">
        <w:rPr>
          <w:kern w:val="0"/>
        </w:rPr>
        <w:t xml:space="preserve"> the </w:t>
      </w:r>
      <w:r>
        <w:rPr>
          <w:kern w:val="0"/>
        </w:rPr>
        <w:t>performance</w:t>
      </w:r>
      <w:r w:rsidR="00427468">
        <w:rPr>
          <w:kern w:val="0"/>
        </w:rPr>
        <w:t xml:space="preserve"> of </w:t>
      </w:r>
      <w:r>
        <w:rPr>
          <w:kern w:val="0"/>
        </w:rPr>
        <w:t>risk-assessment instruments</w:t>
      </w:r>
      <w:r w:rsidR="005853A9">
        <w:rPr>
          <w:kern w:val="0"/>
        </w:rPr>
        <w:t xml:space="preserve"> and </w:t>
      </w:r>
      <w:r>
        <w:rPr>
          <w:kern w:val="0"/>
        </w:rPr>
        <w:t>bone measurement tests in identifying persons with osteoporosis; optimal screening intervals;</w:t>
      </w:r>
      <w:r w:rsidR="005853A9">
        <w:rPr>
          <w:kern w:val="0"/>
        </w:rPr>
        <w:t xml:space="preserve"> and </w:t>
      </w:r>
      <w:r w:rsidR="003A1917">
        <w:rPr>
          <w:kern w:val="0"/>
        </w:rPr>
        <w:t xml:space="preserve">the </w:t>
      </w:r>
      <w:r>
        <w:rPr>
          <w:kern w:val="0"/>
        </w:rPr>
        <w:t>efficacy</w:t>
      </w:r>
      <w:r w:rsidR="005853A9">
        <w:rPr>
          <w:kern w:val="0"/>
        </w:rPr>
        <w:t xml:space="preserve"> and </w:t>
      </w:r>
      <w:r>
        <w:rPr>
          <w:kern w:val="0"/>
        </w:rPr>
        <w:t>harms</w:t>
      </w:r>
      <w:r w:rsidR="00427468">
        <w:rPr>
          <w:kern w:val="0"/>
        </w:rPr>
        <w:t xml:space="preserve"> of </w:t>
      </w:r>
      <w:r>
        <w:rPr>
          <w:kern w:val="0"/>
        </w:rPr>
        <w:t>medications to reduce primary fractures. Data Sources: Cochrane Central Register</w:t>
      </w:r>
      <w:r w:rsidR="00427468">
        <w:rPr>
          <w:kern w:val="0"/>
        </w:rPr>
        <w:t xml:space="preserve"> of </w:t>
      </w:r>
      <w:r>
        <w:rPr>
          <w:kern w:val="0"/>
        </w:rPr>
        <w:t>Controlled Trials</w:t>
      </w:r>
      <w:r w:rsidR="005853A9">
        <w:rPr>
          <w:kern w:val="0"/>
        </w:rPr>
        <w:t xml:space="preserve"> and </w:t>
      </w:r>
      <w:r>
        <w:rPr>
          <w:kern w:val="0"/>
        </w:rPr>
        <w:t>Cochrane Database</w:t>
      </w:r>
      <w:r w:rsidR="00427468">
        <w:rPr>
          <w:kern w:val="0"/>
        </w:rPr>
        <w:t xml:space="preserve"> of </w:t>
      </w:r>
      <w:r>
        <w:rPr>
          <w:kern w:val="0"/>
        </w:rPr>
        <w:t>Systematic Reviews (through</w:t>
      </w:r>
      <w:r w:rsidR="003A1917">
        <w:rPr>
          <w:kern w:val="0"/>
        </w:rPr>
        <w:t xml:space="preserve"> the </w:t>
      </w:r>
      <w:r>
        <w:rPr>
          <w:kern w:val="0"/>
        </w:rPr>
        <w:t>fourth quarter</w:t>
      </w:r>
      <w:r w:rsidR="00427468">
        <w:rPr>
          <w:kern w:val="0"/>
        </w:rPr>
        <w:t xml:space="preserve"> of </w:t>
      </w:r>
      <w:r>
        <w:rPr>
          <w:kern w:val="0"/>
        </w:rPr>
        <w:t xml:space="preserve">2009), </w:t>
      </w:r>
      <w:r w:rsidR="00D5664A">
        <w:rPr>
          <w:kern w:val="0"/>
        </w:rPr>
        <w:t>MEDLINE</w:t>
      </w:r>
      <w:r>
        <w:rPr>
          <w:kern w:val="0"/>
        </w:rPr>
        <w:t xml:space="preserve"> (January 2001 to December 2009), reference lists,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Study Selection: Randomized, controlled trials</w:t>
      </w:r>
      <w:r w:rsidR="00427468">
        <w:rPr>
          <w:kern w:val="0"/>
        </w:rPr>
        <w:t xml:space="preserve"> of </w:t>
      </w:r>
      <w:r>
        <w:rPr>
          <w:kern w:val="0"/>
        </w:rPr>
        <w:t>screening or medications with fracture outcomes published in English; performance studies</w:t>
      </w:r>
      <w:r w:rsidR="00427468">
        <w:rPr>
          <w:kern w:val="0"/>
        </w:rPr>
        <w:t xml:space="preserve"> of </w:t>
      </w:r>
      <w:r>
        <w:rPr>
          <w:kern w:val="0"/>
        </w:rPr>
        <w:t>validated risk-assessment instruments;</w:t>
      </w:r>
      <w:r w:rsidR="005853A9">
        <w:rPr>
          <w:kern w:val="0"/>
        </w:rPr>
        <w:t xml:space="preserve"> and </w:t>
      </w:r>
      <w:r>
        <w:rPr>
          <w:kern w:val="0"/>
        </w:rPr>
        <w:t>systematic reviews</w:t>
      </w:r>
      <w:r w:rsidR="005853A9">
        <w:rPr>
          <w:kern w:val="0"/>
        </w:rPr>
        <w:t xml:space="preserve"> and </w:t>
      </w:r>
      <w:r>
        <w:rPr>
          <w:kern w:val="0"/>
        </w:rPr>
        <w:t>population-based studies</w:t>
      </w:r>
      <w:r w:rsidR="00427468">
        <w:rPr>
          <w:kern w:val="0"/>
        </w:rPr>
        <w:t xml:space="preserve"> of </w:t>
      </w:r>
      <w:r>
        <w:rPr>
          <w:kern w:val="0"/>
        </w:rPr>
        <w:t>bone measurement tests or medication harms. Data Extraction: Data on patient populations, study design, analysis, follow-up,</w:t>
      </w:r>
      <w:r w:rsidR="005853A9">
        <w:rPr>
          <w:kern w:val="0"/>
        </w:rPr>
        <w:t xml:space="preserve"> and </w:t>
      </w:r>
      <w:r>
        <w:rPr>
          <w:kern w:val="0"/>
        </w:rPr>
        <w:t>results were abstracted,</w:t>
      </w:r>
      <w:r w:rsidR="005853A9">
        <w:rPr>
          <w:kern w:val="0"/>
        </w:rPr>
        <w:t xml:space="preserve"> and </w:t>
      </w:r>
      <w:r>
        <w:rPr>
          <w:kern w:val="0"/>
        </w:rPr>
        <w:t>study quality was rated by using established criteria. Data Synthesis: Risk-assessment instruments are modest predictors</w:t>
      </w:r>
      <w:r w:rsidR="00427468">
        <w:rPr>
          <w:kern w:val="0"/>
        </w:rPr>
        <w:t xml:space="preserve"> of </w:t>
      </w:r>
      <w:r>
        <w:rPr>
          <w:kern w:val="0"/>
        </w:rPr>
        <w:t>low bone density (area under</w:t>
      </w:r>
      <w:r w:rsidR="003A1917">
        <w:rPr>
          <w:kern w:val="0"/>
        </w:rPr>
        <w:t xml:space="preserve"> the </w:t>
      </w:r>
      <w:r>
        <w:rPr>
          <w:kern w:val="0"/>
        </w:rPr>
        <w:t>curve, 0.13 to 0.87; 14 instruments)</w:t>
      </w:r>
      <w:r w:rsidR="005853A9">
        <w:rPr>
          <w:kern w:val="0"/>
        </w:rPr>
        <w:t xml:space="preserve"> and </w:t>
      </w:r>
      <w:r>
        <w:rPr>
          <w:kern w:val="0"/>
        </w:rPr>
        <w:t>fractures (area under</w:t>
      </w:r>
      <w:r w:rsidR="003A1917">
        <w:rPr>
          <w:kern w:val="0"/>
        </w:rPr>
        <w:t xml:space="preserve"> the </w:t>
      </w:r>
      <w:r>
        <w:rPr>
          <w:kern w:val="0"/>
        </w:rPr>
        <w:t>curve, 0.48 to 0.89; 11 instruments); simple</w:t>
      </w:r>
      <w:r w:rsidR="005853A9">
        <w:rPr>
          <w:kern w:val="0"/>
        </w:rPr>
        <w:t xml:space="preserve"> and </w:t>
      </w:r>
      <w:r>
        <w:rPr>
          <w:kern w:val="0"/>
        </w:rPr>
        <w:t>complex instruments perform similarly. Dual-energy x-ray absorptiometry predicts fractures similarly for men</w:t>
      </w:r>
      <w:r w:rsidR="005853A9">
        <w:rPr>
          <w:kern w:val="0"/>
        </w:rPr>
        <w:t xml:space="preserve"> and </w:t>
      </w:r>
      <w:r>
        <w:rPr>
          <w:kern w:val="0"/>
        </w:rPr>
        <w:t>women; calcaneal quantitative ultrasonography also predicts fractures, but correlation with dual-energy x-ray absorptiometry is low. For postmenopa</w:t>
      </w:r>
      <w:r w:rsidR="00D5664A">
        <w:rPr>
          <w:kern w:val="0"/>
        </w:rPr>
        <w:t>USA</w:t>
      </w:r>
      <w:r>
        <w:rPr>
          <w:kern w:val="0"/>
        </w:rPr>
        <w:t>l women, bisphosphonates, parathyroid hormone, raloxifene,</w:t>
      </w:r>
      <w:r w:rsidR="005853A9">
        <w:rPr>
          <w:kern w:val="0"/>
        </w:rPr>
        <w:t xml:space="preserve"> and </w:t>
      </w:r>
      <w:r>
        <w:rPr>
          <w:kern w:val="0"/>
        </w:rPr>
        <w:t>estrogen reduce primary vertebral fractures. Trials are lacking for men. Bisphosphonates are not consistently associated with serious adverse events; raloxifene</w:t>
      </w:r>
      <w:r w:rsidR="005853A9">
        <w:rPr>
          <w:kern w:val="0"/>
        </w:rPr>
        <w:t xml:space="preserve"> and </w:t>
      </w:r>
      <w:r>
        <w:rPr>
          <w:kern w:val="0"/>
        </w:rPr>
        <w:t>estrogen increase thromboembolic events;</w:t>
      </w:r>
      <w:r w:rsidR="005853A9">
        <w:rPr>
          <w:kern w:val="0"/>
        </w:rPr>
        <w:t xml:space="preserve"> and </w:t>
      </w:r>
      <w:r>
        <w:rPr>
          <w:kern w:val="0"/>
        </w:rPr>
        <w:t>estrogen causes additional adverse events. Limitation: Trials</w:t>
      </w:r>
      <w:r w:rsidR="00427468">
        <w:rPr>
          <w:kern w:val="0"/>
        </w:rPr>
        <w:t xml:space="preserve"> of </w:t>
      </w:r>
      <w:r>
        <w:rPr>
          <w:kern w:val="0"/>
        </w:rPr>
        <w:t>screening with fracture outcomes, screening intervals,</w:t>
      </w:r>
      <w:r w:rsidR="005853A9">
        <w:rPr>
          <w:kern w:val="0"/>
        </w:rPr>
        <w:t xml:space="preserve"> and </w:t>
      </w:r>
      <w:r>
        <w:rPr>
          <w:kern w:val="0"/>
        </w:rPr>
        <w:t>medications to reduce primary fractures, particularly those enrolling men, are lacking. Conclusion: Although methods to identify risk for osteoporotic fractures are available</w:t>
      </w:r>
      <w:r w:rsidR="005853A9">
        <w:rPr>
          <w:kern w:val="0"/>
        </w:rPr>
        <w:t xml:space="preserve"> and </w:t>
      </w:r>
      <w:r>
        <w:rPr>
          <w:kern w:val="0"/>
        </w:rPr>
        <w:t>medications to reduce fractures are effective, no trials directly evaluate screening effectiveness, harms,</w:t>
      </w:r>
      <w:r w:rsidR="005853A9">
        <w:rPr>
          <w:kern w:val="0"/>
        </w:rPr>
        <w:t xml:space="preserve"> and </w:t>
      </w:r>
      <w:r>
        <w:rPr>
          <w:kern w:val="0"/>
        </w:rPr>
        <w:t>intervals.</w:t>
      </w:r>
    </w:p>
    <w:p w:rsidR="008C1C37" w:rsidRDefault="008C1C37" w:rsidP="008C1C37">
      <w:pPr>
        <w:pStyle w:val="a3"/>
        <w:rPr>
          <w:kern w:val="0"/>
        </w:rPr>
      </w:pPr>
      <w:r>
        <w:rPr>
          <w:kern w:val="0"/>
        </w:rPr>
        <w:t>Keywords: Analysis, Bisphosphonates, Bone, Bone-Mineral Density, Cochrane, Conjugated Equine Estrogens, Cyclical Etidronate Therapy, Early Postmenopa</w:t>
      </w:r>
      <w:r w:rsidR="00D5664A">
        <w:rPr>
          <w:kern w:val="0"/>
        </w:rPr>
        <w:t>USA</w:t>
      </w:r>
      <w:r>
        <w:rPr>
          <w:kern w:val="0"/>
        </w:rPr>
        <w:t xml:space="preserve">l Women, Effectiveness, Efficacy, Estrogen, Estrogen Plus Progestin, Extraction, Follow-up, Fracture, Hormone Replacement Therapy, Initiative Randomized-Trial, Measurement, Medication, </w:t>
      </w:r>
      <w:r w:rsidR="00D5664A">
        <w:rPr>
          <w:kern w:val="0"/>
        </w:rPr>
        <w:t>MEDLINE</w:t>
      </w:r>
      <w:r>
        <w:rPr>
          <w:kern w:val="0"/>
        </w:rPr>
        <w:t xml:space="preserve">, Osteoporosis, Outcomes, Placebo-Controlled Trial, Primary, Quantitative, Review, Risk, Risk Assessment, Science, Screening, Sources, Systematic, Systematic Reviews, Ultrasonography, US, Vertebral Fracture Risk, </w:t>
      </w:r>
      <w:r w:rsidR="00D5664A">
        <w:rPr>
          <w:kern w:val="0"/>
        </w:rPr>
        <w:t>Web</w:t>
      </w:r>
      <w:r w:rsidR="00427468">
        <w:rPr>
          <w:kern w:val="0"/>
        </w:rPr>
        <w:t xml:space="preserve"> of </w:t>
      </w:r>
      <w:r w:rsidR="00D5664A">
        <w:rPr>
          <w:kern w:val="0"/>
        </w:rPr>
        <w:t>Science</w:t>
      </w:r>
      <w:r>
        <w:rPr>
          <w:kern w:val="0"/>
        </w:rPr>
        <w:t>, Women, X-Ray Absorptiometry</w:t>
      </w:r>
    </w:p>
    <w:p w:rsidR="00D76ECA" w:rsidRDefault="00D76ECA" w:rsidP="00D76ECA">
      <w:pPr>
        <w:pStyle w:val="a3"/>
        <w:rPr>
          <w:kern w:val="0"/>
          <w:szCs w:val="24"/>
        </w:rPr>
      </w:pPr>
      <w:r>
        <w:rPr>
          <w:rFonts w:hint="eastAsia"/>
          <w:kern w:val="0"/>
          <w:szCs w:val="24"/>
        </w:rPr>
        <w:t xml:space="preserve">? </w:t>
      </w:r>
      <w:r>
        <w:rPr>
          <w:kern w:val="0"/>
          <w:szCs w:val="24"/>
        </w:rPr>
        <w:t>Segal, S., Gelfand, B.J., Hurwitz, S., Berkowitz, L., Ashley, S.W., Nadel, E.S.</w:t>
      </w:r>
      <w:r w:rsidR="005853A9">
        <w:rPr>
          <w:kern w:val="0"/>
          <w:szCs w:val="24"/>
        </w:rPr>
        <w:t xml:space="preserve"> and </w:t>
      </w:r>
      <w:r>
        <w:rPr>
          <w:kern w:val="0"/>
          <w:szCs w:val="24"/>
        </w:rPr>
        <w:t xml:space="preserve">Katz, J.T. (2010), Plagiarism in residency application essays.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(2), 112-W44.</w:t>
      </w:r>
    </w:p>
    <w:p w:rsidR="00D76ECA" w:rsidRPr="001A3D2B" w:rsidRDefault="00D76ECA" w:rsidP="00D76ECA">
      <w:pPr>
        <w:pStyle w:val="a3"/>
      </w:pPr>
      <w:r w:rsidRPr="001A3D2B">
        <w:lastRenderedPageBreak/>
        <w:t xml:space="preserve">Full Text: </w:t>
      </w:r>
      <w:hyperlink r:id="rId878" w:history="1">
        <w:r w:rsidR="009B7C95" w:rsidRPr="009B7C95">
          <w:rPr>
            <w:rStyle w:val="a5"/>
          </w:rPr>
          <w:t>2010\Ann Int Med153, 112.pdf</w:t>
        </w:r>
      </w:hyperlink>
    </w:p>
    <w:p w:rsidR="00D76ECA" w:rsidRDefault="00D76ECA" w:rsidP="00D76ECA">
      <w:pPr>
        <w:pStyle w:val="a3"/>
        <w:rPr>
          <w:kern w:val="0"/>
          <w:szCs w:val="24"/>
        </w:rPr>
      </w:pPr>
      <w:r>
        <w:rPr>
          <w:kern w:val="0"/>
          <w:szCs w:val="24"/>
        </w:rPr>
        <w:t>Abstract: Background: Anecdotal reports suggest that some residency application essays contain plagiarized content. Objective: To determine</w:t>
      </w:r>
      <w:r w:rsidR="003A1917">
        <w:rPr>
          <w:kern w:val="0"/>
          <w:szCs w:val="24"/>
        </w:rPr>
        <w:t xml:space="preserve"> the </w:t>
      </w:r>
      <w:r>
        <w:rPr>
          <w:kern w:val="0"/>
          <w:szCs w:val="24"/>
        </w:rPr>
        <w:t>prevalence</w:t>
      </w:r>
      <w:r w:rsidR="00427468">
        <w:rPr>
          <w:kern w:val="0"/>
          <w:szCs w:val="24"/>
        </w:rPr>
        <w:t xml:space="preserve"> of </w:t>
      </w:r>
      <w:r>
        <w:rPr>
          <w:kern w:val="0"/>
          <w:szCs w:val="24"/>
        </w:rPr>
        <w:t>plagiarism in a large cohort</w:t>
      </w:r>
      <w:r w:rsidR="00427468">
        <w:rPr>
          <w:kern w:val="0"/>
          <w:szCs w:val="24"/>
        </w:rPr>
        <w:t xml:space="preserve"> of </w:t>
      </w:r>
      <w:r>
        <w:rPr>
          <w:kern w:val="0"/>
          <w:szCs w:val="24"/>
        </w:rPr>
        <w:t>residency application essays. Design: Retrospective cohort study. Setting: 4975 application essays submitted to residency programs at a single large academic medical center between 1 September 2005</w:t>
      </w:r>
      <w:r w:rsidR="005853A9">
        <w:rPr>
          <w:kern w:val="0"/>
          <w:szCs w:val="24"/>
        </w:rPr>
        <w:t xml:space="preserve"> and </w:t>
      </w:r>
      <w:r>
        <w:rPr>
          <w:kern w:val="0"/>
          <w:szCs w:val="24"/>
        </w:rPr>
        <w:t>22 March 2007. Measurements: Specialized software was used to compare residency application essays with a database</w:t>
      </w:r>
      <w:r w:rsidR="00427468">
        <w:rPr>
          <w:kern w:val="0"/>
          <w:szCs w:val="24"/>
        </w:rPr>
        <w:t xml:space="preserve"> of </w:t>
      </w:r>
      <w:r>
        <w:rPr>
          <w:kern w:val="0"/>
          <w:szCs w:val="24"/>
        </w:rPr>
        <w:t>Internet pages, published works,</w:t>
      </w:r>
      <w:r w:rsidR="005853A9">
        <w:rPr>
          <w:kern w:val="0"/>
          <w:szCs w:val="24"/>
        </w:rPr>
        <w:t xml:space="preserve"> and </w:t>
      </w:r>
      <w:r>
        <w:rPr>
          <w:kern w:val="0"/>
          <w:szCs w:val="24"/>
        </w:rPr>
        <w:t>previously submitted essays</w:t>
      </w:r>
      <w:r w:rsidR="005853A9">
        <w:rPr>
          <w:kern w:val="0"/>
          <w:szCs w:val="24"/>
        </w:rPr>
        <w:t xml:space="preserve"> and </w:t>
      </w:r>
      <w:r w:rsidR="003A1917">
        <w:rPr>
          <w:kern w:val="0"/>
          <w:szCs w:val="24"/>
        </w:rPr>
        <w:t xml:space="preserve">the </w:t>
      </w:r>
      <w:r>
        <w:rPr>
          <w:kern w:val="0"/>
          <w:szCs w:val="24"/>
        </w:rPr>
        <w:t>percentage</w:t>
      </w:r>
      <w:r w:rsidR="00427468">
        <w:rPr>
          <w:kern w:val="0"/>
          <w:szCs w:val="24"/>
        </w:rPr>
        <w:t xml:space="preserve"> of </w:t>
      </w:r>
      <w:r w:rsidR="003A1917">
        <w:rPr>
          <w:kern w:val="0"/>
          <w:szCs w:val="24"/>
        </w:rPr>
        <w:t xml:space="preserve">the </w:t>
      </w:r>
      <w:r>
        <w:rPr>
          <w:kern w:val="0"/>
          <w:szCs w:val="24"/>
        </w:rPr>
        <w:t>submission matching another source was calculated. A match</w:t>
      </w:r>
      <w:r w:rsidR="00427468">
        <w:rPr>
          <w:kern w:val="0"/>
          <w:szCs w:val="24"/>
        </w:rPr>
        <w:t xml:space="preserve"> of </w:t>
      </w:r>
      <w:r>
        <w:rPr>
          <w:kern w:val="0"/>
          <w:szCs w:val="24"/>
        </w:rPr>
        <w:t>more than 10% to an existing work was defined as evidence</w:t>
      </w:r>
      <w:r w:rsidR="00427468">
        <w:rPr>
          <w:kern w:val="0"/>
          <w:szCs w:val="24"/>
        </w:rPr>
        <w:t xml:space="preserve"> of </w:t>
      </w:r>
      <w:r>
        <w:rPr>
          <w:kern w:val="0"/>
          <w:szCs w:val="24"/>
        </w:rPr>
        <w:t>plagiarism. Results: Evidence</w:t>
      </w:r>
      <w:r w:rsidR="00427468">
        <w:rPr>
          <w:kern w:val="0"/>
          <w:szCs w:val="24"/>
        </w:rPr>
        <w:t xml:space="preserve"> of </w:t>
      </w:r>
      <w:r>
        <w:rPr>
          <w:kern w:val="0"/>
          <w:szCs w:val="24"/>
        </w:rPr>
        <w:t>plagiarism was found in 5.2% (95% CI, 4.6% to 5.9%)</w:t>
      </w:r>
      <w:r w:rsidR="00427468">
        <w:rPr>
          <w:kern w:val="0"/>
          <w:szCs w:val="24"/>
        </w:rPr>
        <w:t xml:space="preserve"> of </w:t>
      </w:r>
      <w:r>
        <w:rPr>
          <w:kern w:val="0"/>
          <w:szCs w:val="24"/>
        </w:rPr>
        <w:t>essays</w:t>
      </w:r>
      <w:r w:rsidR="00A37C1D">
        <w:rPr>
          <w:kern w:val="0"/>
          <w:szCs w:val="24"/>
        </w:rPr>
        <w:t>. The</w:t>
      </w:r>
      <w:r w:rsidR="003A1917">
        <w:rPr>
          <w:kern w:val="0"/>
          <w:szCs w:val="24"/>
        </w:rPr>
        <w:t xml:space="preserve"> </w:t>
      </w:r>
      <w:r>
        <w:rPr>
          <w:kern w:val="0"/>
          <w:szCs w:val="24"/>
        </w:rPr>
        <w:t>essays</w:t>
      </w:r>
      <w:r w:rsidR="00427468">
        <w:rPr>
          <w:kern w:val="0"/>
          <w:szCs w:val="24"/>
        </w:rPr>
        <w:t xml:space="preserve"> of </w:t>
      </w:r>
      <w:r>
        <w:rPr>
          <w:kern w:val="0"/>
          <w:szCs w:val="24"/>
        </w:rPr>
        <w:t>non-U.S. citizens were more likely to demonstrate evidence</w:t>
      </w:r>
      <w:r w:rsidR="00427468">
        <w:rPr>
          <w:kern w:val="0"/>
          <w:szCs w:val="24"/>
        </w:rPr>
        <w:t xml:space="preserve"> of </w:t>
      </w:r>
      <w:r>
        <w:rPr>
          <w:kern w:val="0"/>
          <w:szCs w:val="24"/>
        </w:rPr>
        <w:t>plagiarism. Other characteristics associated with</w:t>
      </w:r>
      <w:r w:rsidR="003A1917">
        <w:rPr>
          <w:kern w:val="0"/>
          <w:szCs w:val="24"/>
        </w:rPr>
        <w:t xml:space="preserve"> the </w:t>
      </w:r>
      <w:r>
        <w:rPr>
          <w:kern w:val="0"/>
          <w:szCs w:val="24"/>
        </w:rPr>
        <w:t>prevalence</w:t>
      </w:r>
      <w:r w:rsidR="00427468">
        <w:rPr>
          <w:kern w:val="0"/>
          <w:szCs w:val="24"/>
        </w:rPr>
        <w:t xml:space="preserve"> of </w:t>
      </w:r>
      <w:r>
        <w:rPr>
          <w:kern w:val="0"/>
          <w:szCs w:val="24"/>
        </w:rPr>
        <w:t>plagiarism included medical school location outside</w:t>
      </w:r>
      <w:r w:rsidR="003A1917">
        <w:rPr>
          <w:kern w:val="0"/>
          <w:szCs w:val="24"/>
        </w:rPr>
        <w:t xml:space="preserve"> the </w:t>
      </w:r>
      <w:r>
        <w:rPr>
          <w:kern w:val="0"/>
          <w:szCs w:val="24"/>
        </w:rPr>
        <w:t>United States</w:t>
      </w:r>
      <w:r w:rsidR="005853A9">
        <w:rPr>
          <w:kern w:val="0"/>
          <w:szCs w:val="24"/>
        </w:rPr>
        <w:t xml:space="preserve"> and </w:t>
      </w:r>
      <w:r>
        <w:rPr>
          <w:kern w:val="0"/>
          <w:szCs w:val="24"/>
        </w:rPr>
        <w:t>Canada; previous residency or fellowship; lack</w:t>
      </w:r>
      <w:r w:rsidR="00427468">
        <w:rPr>
          <w:kern w:val="0"/>
          <w:szCs w:val="24"/>
        </w:rPr>
        <w:t xml:space="preserve"> of </w:t>
      </w:r>
      <w:r>
        <w:rPr>
          <w:kern w:val="0"/>
          <w:szCs w:val="24"/>
        </w:rPr>
        <w:t>research experience, volunteer experience, or publications; a low United States Medical Licensing Examination Step 1 score;</w:t>
      </w:r>
      <w:r w:rsidR="005853A9">
        <w:rPr>
          <w:kern w:val="0"/>
          <w:szCs w:val="24"/>
        </w:rPr>
        <w:t xml:space="preserve"> and </w:t>
      </w:r>
      <w:r>
        <w:rPr>
          <w:kern w:val="0"/>
          <w:szCs w:val="24"/>
        </w:rPr>
        <w:t>nonmembership in</w:t>
      </w:r>
      <w:r w:rsidR="003A1917">
        <w:rPr>
          <w:kern w:val="0"/>
          <w:szCs w:val="24"/>
        </w:rPr>
        <w:t xml:space="preserve"> the </w:t>
      </w:r>
      <w:r>
        <w:rPr>
          <w:kern w:val="0"/>
          <w:szCs w:val="24"/>
        </w:rPr>
        <w:t>Alpha Omega Alpha Honor Medical Society. Limitations:</w:t>
      </w:r>
      <w:r w:rsidR="003A1917">
        <w:rPr>
          <w:kern w:val="0"/>
          <w:szCs w:val="24"/>
        </w:rPr>
        <w:t xml:space="preserve"> the </w:t>
      </w:r>
      <w:r>
        <w:rPr>
          <w:kern w:val="0"/>
          <w:szCs w:val="24"/>
        </w:rPr>
        <w:t>software database is probably incomplete,</w:t>
      </w:r>
      <w:r w:rsidR="003A1917">
        <w:rPr>
          <w:kern w:val="0"/>
          <w:szCs w:val="24"/>
        </w:rPr>
        <w:t xml:space="preserve"> the </w:t>
      </w:r>
      <w:r>
        <w:rPr>
          <w:kern w:val="0"/>
          <w:szCs w:val="24"/>
        </w:rPr>
        <w:t>10%-match threshold for defining plagiarism has not been statistically validated,</w:t>
      </w:r>
      <w:r w:rsidR="005853A9">
        <w:rPr>
          <w:kern w:val="0"/>
          <w:szCs w:val="24"/>
        </w:rPr>
        <w:t xml:space="preserve"> and </w:t>
      </w:r>
      <w:r w:rsidR="003A1917">
        <w:rPr>
          <w:kern w:val="0"/>
          <w:szCs w:val="24"/>
        </w:rPr>
        <w:t xml:space="preserve">the </w:t>
      </w:r>
      <w:r>
        <w:rPr>
          <w:kern w:val="0"/>
          <w:szCs w:val="24"/>
        </w:rPr>
        <w:t>study was confined to applicants to 1 institution. Evidence</w:t>
      </w:r>
      <w:r w:rsidR="00427468">
        <w:rPr>
          <w:kern w:val="0"/>
          <w:szCs w:val="24"/>
        </w:rPr>
        <w:t xml:space="preserve"> of </w:t>
      </w:r>
      <w:r>
        <w:rPr>
          <w:kern w:val="0"/>
          <w:szCs w:val="24"/>
        </w:rPr>
        <w:t>matching content in an essay cannot be used to infer</w:t>
      </w:r>
      <w:r w:rsidR="003A1917">
        <w:rPr>
          <w:kern w:val="0"/>
          <w:szCs w:val="24"/>
        </w:rPr>
        <w:t xml:space="preserve"> the </w:t>
      </w:r>
      <w:r>
        <w:rPr>
          <w:kern w:val="0"/>
          <w:szCs w:val="24"/>
        </w:rPr>
        <w:t>applicant</w:t>
      </w:r>
      <w:r w:rsidR="00700038">
        <w:rPr>
          <w:kern w:val="0"/>
          <w:szCs w:val="24"/>
        </w:rPr>
        <w:t>’</w:t>
      </w:r>
      <w:r w:rsidR="00C13DDC">
        <w:rPr>
          <w:kern w:val="0"/>
          <w:szCs w:val="24"/>
        </w:rPr>
        <w:t>s</w:t>
      </w:r>
      <w:r>
        <w:rPr>
          <w:kern w:val="0"/>
          <w:szCs w:val="24"/>
        </w:rPr>
        <w:t xml:space="preserve"> intent</w:t>
      </w:r>
      <w:r w:rsidR="005853A9">
        <w:rPr>
          <w:kern w:val="0"/>
          <w:szCs w:val="24"/>
        </w:rPr>
        <w:t xml:space="preserve"> and </w:t>
      </w:r>
      <w:r>
        <w:rPr>
          <w:kern w:val="0"/>
          <w:szCs w:val="24"/>
        </w:rPr>
        <w:t>is not sensitive to variations in</w:t>
      </w:r>
      <w:r w:rsidR="003A1917">
        <w:rPr>
          <w:kern w:val="0"/>
          <w:szCs w:val="24"/>
        </w:rPr>
        <w:t xml:space="preserve"> the </w:t>
      </w:r>
      <w:r>
        <w:rPr>
          <w:kern w:val="0"/>
          <w:szCs w:val="24"/>
        </w:rPr>
        <w:t>cultural context</w:t>
      </w:r>
      <w:r w:rsidR="00427468">
        <w:rPr>
          <w:kern w:val="0"/>
          <w:szCs w:val="24"/>
        </w:rPr>
        <w:t xml:space="preserve"> of </w:t>
      </w:r>
      <w:r>
        <w:rPr>
          <w:kern w:val="0"/>
          <w:szCs w:val="24"/>
        </w:rPr>
        <w:t>copying in some societies. Conclusion: Evidence</w:t>
      </w:r>
      <w:r w:rsidR="00427468">
        <w:rPr>
          <w:kern w:val="0"/>
          <w:szCs w:val="24"/>
        </w:rPr>
        <w:t xml:space="preserve"> of </w:t>
      </w:r>
      <w:r>
        <w:rPr>
          <w:kern w:val="0"/>
          <w:szCs w:val="24"/>
        </w:rPr>
        <w:t>plagiarism in residency application essays is more common in international applicants but was found in those by applicants to all specialty programs, from all medical school types,</w:t>
      </w:r>
      <w:r w:rsidR="005853A9">
        <w:rPr>
          <w:kern w:val="0"/>
          <w:szCs w:val="24"/>
        </w:rPr>
        <w:t xml:space="preserve"> and </w:t>
      </w:r>
      <w:r>
        <w:rPr>
          <w:kern w:val="0"/>
          <w:szCs w:val="24"/>
        </w:rPr>
        <w:t>even among applicants with significant academic honors.</w:t>
      </w:r>
    </w:p>
    <w:p w:rsidR="00D76ECA" w:rsidRDefault="00D76ECA" w:rsidP="00D76ECA">
      <w:pPr>
        <w:pStyle w:val="a3"/>
        <w:rPr>
          <w:kern w:val="0"/>
          <w:szCs w:val="24"/>
        </w:rPr>
      </w:pPr>
      <w:r>
        <w:rPr>
          <w:kern w:val="0"/>
          <w:szCs w:val="24"/>
        </w:rPr>
        <w:t>Keywords: Canada, Essays, Misrepresentation, Plagiarism, Publications, Research, Research Publications, Students, Subsequent Disciplinary Action</w:t>
      </w:r>
    </w:p>
    <w:p w:rsidR="00D76ECA" w:rsidRDefault="00D76ECA" w:rsidP="00D76ECA">
      <w:pPr>
        <w:pStyle w:val="a3"/>
        <w:rPr>
          <w:kern w:val="0"/>
          <w:szCs w:val="24"/>
        </w:rPr>
      </w:pPr>
      <w:r>
        <w:rPr>
          <w:rFonts w:hint="eastAsia"/>
          <w:kern w:val="0"/>
          <w:szCs w:val="24"/>
        </w:rPr>
        <w:t xml:space="preserve">? </w:t>
      </w:r>
      <w:r>
        <w:rPr>
          <w:kern w:val="0"/>
          <w:szCs w:val="24"/>
        </w:rPr>
        <w:t>Papadakis, M.A.</w:t>
      </w:r>
      <w:r w:rsidR="005853A9">
        <w:rPr>
          <w:kern w:val="0"/>
          <w:szCs w:val="24"/>
        </w:rPr>
        <w:t xml:space="preserve"> and </w:t>
      </w:r>
      <w:r>
        <w:rPr>
          <w:kern w:val="0"/>
          <w:szCs w:val="24"/>
        </w:rPr>
        <w:t>Wofsy, D. (2010), Plagiarism on personal statements: A disturbing symptom</w:t>
      </w:r>
      <w:r w:rsidR="00427468">
        <w:rPr>
          <w:kern w:val="0"/>
          <w:szCs w:val="24"/>
        </w:rPr>
        <w:t xml:space="preserve"> of </w:t>
      </w:r>
      <w:r>
        <w:rPr>
          <w:kern w:val="0"/>
          <w:szCs w:val="24"/>
        </w:rPr>
        <w:t xml:space="preserve">a broader trend.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(2), 128-W46</w:t>
      </w:r>
    </w:p>
    <w:p w:rsidR="00D76ECA" w:rsidRPr="001A3D2B" w:rsidRDefault="00D76ECA" w:rsidP="00D76ECA">
      <w:pPr>
        <w:pStyle w:val="a3"/>
      </w:pPr>
      <w:r w:rsidRPr="001A3D2B">
        <w:t xml:space="preserve">Full Text: </w:t>
      </w:r>
      <w:hyperlink r:id="rId879" w:history="1">
        <w:r w:rsidR="009B7C95" w:rsidRPr="009B7C95">
          <w:rPr>
            <w:rStyle w:val="a5"/>
          </w:rPr>
          <w:t>2010\Ann Int Med153, 128.pdf</w:t>
        </w:r>
      </w:hyperlink>
    </w:p>
    <w:p w:rsidR="00D76ECA" w:rsidRDefault="00D76ECA" w:rsidP="00D76ECA">
      <w:pPr>
        <w:pStyle w:val="a3"/>
        <w:rPr>
          <w:kern w:val="0"/>
          <w:szCs w:val="24"/>
        </w:rPr>
      </w:pPr>
      <w:r>
        <w:rPr>
          <w:kern w:val="0"/>
          <w:szCs w:val="24"/>
        </w:rPr>
        <w:t>Keywords: Admissions, Boards, Disciplinary Action, Medical-School, Plagiarism</w:t>
      </w:r>
    </w:p>
    <w:p w:rsidR="008C1C37" w:rsidRDefault="008C1C37" w:rsidP="008C1C37">
      <w:pPr>
        <w:pStyle w:val="a3"/>
        <w:rPr>
          <w:kern w:val="0"/>
        </w:rPr>
      </w:pPr>
      <w:r>
        <w:rPr>
          <w:rFonts w:hint="eastAsia"/>
          <w:kern w:val="0"/>
        </w:rPr>
        <w:t xml:space="preserve">? </w:t>
      </w:r>
      <w:r>
        <w:rPr>
          <w:kern w:val="0"/>
        </w:rPr>
        <w:t>Santangeli, P., Di Biase, L., lo Russo, A., Casella, M., Bartoletti, S., Santarelli, P., Pelargonio, G.</w:t>
      </w:r>
      <w:r w:rsidR="005853A9">
        <w:rPr>
          <w:kern w:val="0"/>
        </w:rPr>
        <w:t xml:space="preserve"> and </w:t>
      </w:r>
      <w:r>
        <w:rPr>
          <w:kern w:val="0"/>
        </w:rPr>
        <w:t>Natale, A. (2010), Meta-analysis: Age</w:t>
      </w:r>
      <w:r w:rsidR="005853A9">
        <w:rPr>
          <w:kern w:val="0"/>
        </w:rPr>
        <w:t xml:space="preserve"> and </w:t>
      </w:r>
      <w:r>
        <w:rPr>
          <w:kern w:val="0"/>
        </w:rPr>
        <w:t>effectiveness</w:t>
      </w:r>
      <w:r w:rsidR="00427468">
        <w:rPr>
          <w:kern w:val="0"/>
        </w:rPr>
        <w:t xml:space="preserve"> of </w:t>
      </w:r>
      <w:r>
        <w:rPr>
          <w:kern w:val="0"/>
        </w:rPr>
        <w:t xml:space="preserve">prophylactic implantable cardioverter-defibrillators. </w:t>
      </w:r>
      <w:r>
        <w:rPr>
          <w:i/>
          <w:iCs/>
          <w:kern w:val="0"/>
        </w:rPr>
        <w:t>Annals</w:t>
      </w:r>
      <w:r w:rsidR="00427468">
        <w:rPr>
          <w:i/>
          <w:iCs/>
          <w:kern w:val="0"/>
        </w:rPr>
        <w:t xml:space="preserve"> of </w:t>
      </w:r>
      <w:r>
        <w:rPr>
          <w:i/>
          <w:iCs/>
          <w:kern w:val="0"/>
        </w:rPr>
        <w:t>Internal Medicine</w:t>
      </w:r>
      <w:r>
        <w:rPr>
          <w:kern w:val="0"/>
        </w:rPr>
        <w:t xml:space="preserve">, </w:t>
      </w:r>
      <w:r>
        <w:rPr>
          <w:b/>
          <w:bCs/>
          <w:kern w:val="0"/>
        </w:rPr>
        <w:t>153</w:t>
      </w:r>
      <w:r>
        <w:rPr>
          <w:kern w:val="0"/>
        </w:rPr>
        <w:t xml:space="preserve"> (9), 592-W203.</w:t>
      </w:r>
    </w:p>
    <w:p w:rsidR="0069740E" w:rsidRPr="001A3D2B" w:rsidRDefault="0069740E" w:rsidP="0069740E">
      <w:pPr>
        <w:pStyle w:val="a3"/>
      </w:pPr>
      <w:r w:rsidRPr="001A3D2B">
        <w:t xml:space="preserve">Full Text: </w:t>
      </w:r>
      <w:hyperlink r:id="rId880" w:history="1">
        <w:r w:rsidRPr="0069740E">
          <w:rPr>
            <w:rStyle w:val="a5"/>
          </w:rPr>
          <w:t>2010\Ann Int Med153, 592.pdf</w:t>
        </w:r>
      </w:hyperlink>
    </w:p>
    <w:p w:rsidR="008C1C37" w:rsidRDefault="008C1C37" w:rsidP="008C1C37">
      <w:pPr>
        <w:pStyle w:val="a3"/>
        <w:rPr>
          <w:kern w:val="0"/>
        </w:rPr>
      </w:pPr>
      <w:r>
        <w:rPr>
          <w:kern w:val="0"/>
        </w:rPr>
        <w:t>Abstract: Background: Implantable cardioverter-defibrillators (ICDs) for</w:t>
      </w:r>
      <w:r w:rsidR="003A1917">
        <w:rPr>
          <w:kern w:val="0"/>
        </w:rPr>
        <w:t xml:space="preserve"> the </w:t>
      </w:r>
      <w:r>
        <w:rPr>
          <w:kern w:val="0"/>
        </w:rPr>
        <w:t>primary prevention</w:t>
      </w:r>
      <w:r w:rsidR="00427468">
        <w:rPr>
          <w:kern w:val="0"/>
        </w:rPr>
        <w:t xml:space="preserve"> of </w:t>
      </w:r>
      <w:r>
        <w:rPr>
          <w:kern w:val="0"/>
        </w:rPr>
        <w:t xml:space="preserve">sudden cardiac death have been proven effective in several clinical </w:t>
      </w:r>
      <w:r>
        <w:rPr>
          <w:kern w:val="0"/>
        </w:rPr>
        <w:lastRenderedPageBreak/>
        <w:t>trials. Purpose: To summarize evidence about</w:t>
      </w:r>
      <w:r w:rsidR="003A1917">
        <w:rPr>
          <w:kern w:val="0"/>
        </w:rPr>
        <w:t xml:space="preserve"> the </w:t>
      </w:r>
      <w:r>
        <w:rPr>
          <w:kern w:val="0"/>
        </w:rPr>
        <w:t>effectiveness</w:t>
      </w:r>
      <w:r w:rsidR="00427468">
        <w:rPr>
          <w:kern w:val="0"/>
        </w:rPr>
        <w:t xml:space="preserve"> of </w:t>
      </w:r>
      <w:r>
        <w:rPr>
          <w:kern w:val="0"/>
        </w:rPr>
        <w:t>ICDs versus standard medical therapy for</w:t>
      </w:r>
      <w:r w:rsidR="003A1917">
        <w:rPr>
          <w:kern w:val="0"/>
        </w:rPr>
        <w:t xml:space="preserve"> the </w:t>
      </w:r>
      <w:r>
        <w:rPr>
          <w:kern w:val="0"/>
        </w:rPr>
        <w:t>primary prevention</w:t>
      </w:r>
      <w:r w:rsidR="00427468">
        <w:rPr>
          <w:kern w:val="0"/>
        </w:rPr>
        <w:t xml:space="preserve"> of </w:t>
      </w:r>
      <w:r>
        <w:rPr>
          <w:kern w:val="0"/>
        </w:rPr>
        <w:t>sudden cardiac death in different age groups</w:t>
      </w:r>
      <w:r w:rsidR="00427468">
        <w:rPr>
          <w:kern w:val="0"/>
        </w:rPr>
        <w:t xml:space="preserve"> of </w:t>
      </w:r>
      <w:r>
        <w:rPr>
          <w:kern w:val="0"/>
        </w:rPr>
        <w:t xml:space="preserve">patients with severe left ventricular dysfunction. Data Sources: </w:t>
      </w:r>
      <w:r w:rsidR="00D5664A">
        <w:rPr>
          <w:kern w:val="0"/>
        </w:rPr>
        <w:t>MEDLINE</w:t>
      </w:r>
      <w:r>
        <w:rPr>
          <w:kern w:val="0"/>
        </w:rPr>
        <w:t>, EMBASE, CENTRAL, BioMed Central, Cardiosource, ClinicalTrials.gov,</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(January 1970 to April 2010) were searched with no language restrictions. Study Selection: Two independent reviewers screened titles</w:t>
      </w:r>
      <w:r w:rsidR="005853A9">
        <w:rPr>
          <w:kern w:val="0"/>
        </w:rPr>
        <w:t xml:space="preserve"> and </w:t>
      </w:r>
      <w:r>
        <w:rPr>
          <w:kern w:val="0"/>
        </w:rPr>
        <w:t>abstracts to identify randomized, controlled trials</w:t>
      </w:r>
      <w:r w:rsidR="00427468">
        <w:rPr>
          <w:kern w:val="0"/>
        </w:rPr>
        <w:t xml:space="preserve"> of </w:t>
      </w:r>
      <w:r>
        <w:rPr>
          <w:kern w:val="0"/>
        </w:rPr>
        <w:t>prophylactic ICD versus medical therapy in patients with severe left ventricular dysfunction that provided data about mortality outcomes for different age groups. Data Extraction: Two independent reviewers assessed risk for bias</w:t>
      </w:r>
      <w:r w:rsidR="00427468">
        <w:rPr>
          <w:kern w:val="0"/>
        </w:rPr>
        <w:t xml:space="preserve"> of </w:t>
      </w:r>
      <w:r>
        <w:rPr>
          <w:kern w:val="0"/>
        </w:rPr>
        <w:t>trials</w:t>
      </w:r>
      <w:r w:rsidR="005853A9">
        <w:rPr>
          <w:kern w:val="0"/>
        </w:rPr>
        <w:t xml:space="preserve"> and </w:t>
      </w:r>
      <w:r>
        <w:rPr>
          <w:kern w:val="0"/>
        </w:rPr>
        <w:t>extracted patient</w:t>
      </w:r>
      <w:r w:rsidR="005853A9">
        <w:rPr>
          <w:kern w:val="0"/>
        </w:rPr>
        <w:t xml:space="preserve"> and </w:t>
      </w:r>
      <w:r>
        <w:rPr>
          <w:kern w:val="0"/>
        </w:rPr>
        <w:t>study characteristics</w:t>
      </w:r>
      <w:r w:rsidR="005853A9">
        <w:rPr>
          <w:kern w:val="0"/>
        </w:rPr>
        <w:t xml:space="preserve"> and </w:t>
      </w:r>
      <w:r>
        <w:rPr>
          <w:kern w:val="0"/>
        </w:rPr>
        <w:t>hazard ratios (HRs) relevant to all-cause mortality. Data Synthesis: Five trials (MADIT-II, DEFINITE, DINAMIT, SCD-HeFT,</w:t>
      </w:r>
      <w:r w:rsidR="005853A9">
        <w:rPr>
          <w:kern w:val="0"/>
        </w:rPr>
        <w:t xml:space="preserve"> and </w:t>
      </w:r>
      <w:r>
        <w:rPr>
          <w:kern w:val="0"/>
        </w:rPr>
        <w:t>IRIS) that enrolled 5783 patients (44% were elderly) were included</w:t>
      </w:r>
      <w:r w:rsidR="00A37C1D">
        <w:rPr>
          <w:kern w:val="0"/>
        </w:rPr>
        <w:t>. The</w:t>
      </w:r>
      <w:r w:rsidR="003A1917">
        <w:rPr>
          <w:kern w:val="0"/>
        </w:rPr>
        <w:t xml:space="preserve"> </w:t>
      </w:r>
      <w:r>
        <w:rPr>
          <w:kern w:val="0"/>
        </w:rPr>
        <w:t>primary analysis, which excluded</w:t>
      </w:r>
      <w:r w:rsidR="003A1917">
        <w:rPr>
          <w:kern w:val="0"/>
        </w:rPr>
        <w:t xml:space="preserve"> the </w:t>
      </w:r>
      <w:r>
        <w:rPr>
          <w:kern w:val="0"/>
        </w:rPr>
        <w:t>2 trials enrolling patients early after acute myocardial infarction (DINAMIT</w:t>
      </w:r>
      <w:r w:rsidR="005853A9">
        <w:rPr>
          <w:kern w:val="0"/>
        </w:rPr>
        <w:t xml:space="preserve"> and </w:t>
      </w:r>
      <w:r>
        <w:rPr>
          <w:kern w:val="0"/>
        </w:rPr>
        <w:t>IRIS), found that prophylactic ICD therapy reduced mortality in younger patients (HR, 0.65 [95% CI, 0.50 to 0.83]; P &lt; 0.001). A smaller</w:t>
      </w:r>
      <w:r w:rsidR="005853A9">
        <w:rPr>
          <w:kern w:val="0"/>
        </w:rPr>
        <w:t xml:space="preserve"> and </w:t>
      </w:r>
      <w:r>
        <w:rPr>
          <w:kern w:val="0"/>
        </w:rPr>
        <w:t>statistically nonsignificant survival benefit was found in elderly patients (HR, 0.81 [CI, 0.62 to 1.05]; P = 0.11)</w:t>
      </w:r>
      <w:r w:rsidR="00A37C1D">
        <w:rPr>
          <w:kern w:val="0"/>
        </w:rPr>
        <w:t>. The</w:t>
      </w:r>
      <w:r w:rsidR="003A1917">
        <w:rPr>
          <w:kern w:val="0"/>
        </w:rPr>
        <w:t xml:space="preserve"> </w:t>
      </w:r>
      <w:r>
        <w:rPr>
          <w:kern w:val="0"/>
        </w:rPr>
        <w:t>inclusion</w:t>
      </w:r>
      <w:r w:rsidR="00427468">
        <w:rPr>
          <w:kern w:val="0"/>
        </w:rPr>
        <w:t xml:space="preserve"> of </w:t>
      </w:r>
      <w:r>
        <w:rPr>
          <w:kern w:val="0"/>
        </w:rPr>
        <w:t>data from DINAMIT</w:t>
      </w:r>
      <w:r w:rsidR="005853A9">
        <w:rPr>
          <w:kern w:val="0"/>
        </w:rPr>
        <w:t xml:space="preserve"> and </w:t>
      </w:r>
      <w:r>
        <w:rPr>
          <w:kern w:val="0"/>
        </w:rPr>
        <w:t>IRIS did not change these results. Limitations: Four potentially eligible trials were not included in</w:t>
      </w:r>
      <w:r w:rsidR="003A1917">
        <w:rPr>
          <w:kern w:val="0"/>
        </w:rPr>
        <w:t xml:space="preserve"> the </w:t>
      </w:r>
      <w:r>
        <w:rPr>
          <w:kern w:val="0"/>
        </w:rPr>
        <w:t>meta-analysis because mortality data by age group were not available. Adjustment for differences in comorbid conditions</w:t>
      </w:r>
      <w:r w:rsidR="005853A9">
        <w:rPr>
          <w:kern w:val="0"/>
        </w:rPr>
        <w:t xml:space="preserve"> and </w:t>
      </w:r>
      <w:r>
        <w:rPr>
          <w:kern w:val="0"/>
        </w:rPr>
        <w:t>medical therapies among patients enrolled in</w:t>
      </w:r>
      <w:r w:rsidR="003A1917">
        <w:rPr>
          <w:kern w:val="0"/>
        </w:rPr>
        <w:t xml:space="preserve"> the </w:t>
      </w:r>
      <w:r>
        <w:rPr>
          <w:kern w:val="0"/>
        </w:rPr>
        <w:t>trials was not possible. Conclusion: Available data do not conclusively show that prophylactic ICD therapy improves survival in elderly patients with severe left ventricular dysfunction.</w:t>
      </w:r>
    </w:p>
    <w:p w:rsidR="008C1C37" w:rsidRDefault="008C1C37" w:rsidP="008C1C37">
      <w:pPr>
        <w:pStyle w:val="a3"/>
        <w:rPr>
          <w:kern w:val="0"/>
        </w:rPr>
      </w:pPr>
      <w:r>
        <w:rPr>
          <w:kern w:val="0"/>
        </w:rPr>
        <w:t>Keywords: Acute Myocardial Infarction, Age, Analysis, Bias, Cardiac-Resynchronization Therapy, Clinical Trials, Effectiveness, Elderly, Elderly-Patients, Extraction, Heart-Failure, High-Risk, Improved Survival</w:t>
      </w:r>
      <w:r w:rsidR="00D5664A">
        <w:rPr>
          <w:kern w:val="0"/>
        </w:rPr>
        <w:t>, ISI,</w:t>
      </w:r>
      <w:r>
        <w:rPr>
          <w:kern w:val="0"/>
        </w:rPr>
        <w:t xml:space="preserve"> Madit-II, Medical, </w:t>
      </w:r>
      <w:r w:rsidR="00D5664A">
        <w:rPr>
          <w:kern w:val="0"/>
        </w:rPr>
        <w:t>MEDLINE</w:t>
      </w:r>
      <w:r>
        <w:rPr>
          <w:kern w:val="0"/>
        </w:rPr>
        <w:t xml:space="preserve">, Meta Analysis, Meta-Analysis, Mortality, Myocardial Infarction, Myocardial-Infarction, Nonischemic Dilated Cardiomyopathy, Outcomes, Prevention, Primary, Primary Prevention, Risk, Science, Sources, Sudden-Death, Survival, Therapy, Ventricular-Arrhythmias, </w:t>
      </w:r>
      <w:r w:rsidR="00D5664A">
        <w:rPr>
          <w:kern w:val="0"/>
        </w:rPr>
        <w:t>Web</w:t>
      </w:r>
      <w:r w:rsidR="00427468">
        <w:rPr>
          <w:kern w:val="0"/>
        </w:rPr>
        <w:t xml:space="preserve"> of </w:t>
      </w:r>
      <w:r w:rsidR="00D5664A">
        <w:rPr>
          <w:kern w:val="0"/>
        </w:rPr>
        <w:t>Science</w:t>
      </w:r>
    </w:p>
    <w:p w:rsidR="00D76ECA" w:rsidRDefault="00D76ECA" w:rsidP="00D76ECA">
      <w:pPr>
        <w:pStyle w:val="a3"/>
        <w:rPr>
          <w:kern w:val="0"/>
          <w:szCs w:val="24"/>
        </w:rPr>
      </w:pPr>
      <w:r>
        <w:rPr>
          <w:rFonts w:hint="eastAsia"/>
          <w:kern w:val="0"/>
          <w:szCs w:val="24"/>
        </w:rPr>
        <w:t xml:space="preserve">? </w:t>
      </w:r>
      <w:r>
        <w:rPr>
          <w:kern w:val="0"/>
          <w:szCs w:val="24"/>
        </w:rPr>
        <w:t xml:space="preserve">Green, J.B. (2010), Plagiarism in residency application essays.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764-765</w:t>
      </w:r>
      <w:r>
        <w:rPr>
          <w:rFonts w:hint="eastAsia"/>
          <w:kern w:val="0"/>
          <w:szCs w:val="24"/>
        </w:rPr>
        <w:t>.</w:t>
      </w:r>
    </w:p>
    <w:p w:rsidR="009B7C95" w:rsidRPr="001A3D2B" w:rsidRDefault="009B7C95" w:rsidP="009B7C95">
      <w:pPr>
        <w:pStyle w:val="a3"/>
      </w:pPr>
      <w:r w:rsidRPr="001A3D2B">
        <w:t xml:space="preserve">Full Text: </w:t>
      </w:r>
      <w:hyperlink r:id="rId881" w:history="1">
        <w:r w:rsidRPr="00D76ECA">
          <w:rPr>
            <w:rStyle w:val="a5"/>
          </w:rPr>
          <w:t>2010\Ann Int Med153, 766.pdf</w:t>
        </w:r>
      </w:hyperlink>
    </w:p>
    <w:p w:rsidR="00D76ECA" w:rsidRDefault="00D76ECA" w:rsidP="00D76ECA">
      <w:pPr>
        <w:pStyle w:val="a3"/>
        <w:rPr>
          <w:kern w:val="0"/>
          <w:szCs w:val="24"/>
        </w:rPr>
      </w:pPr>
      <w:r>
        <w:rPr>
          <w:kern w:val="0"/>
          <w:szCs w:val="24"/>
        </w:rPr>
        <w:t>Keywords: Plagiarism</w:t>
      </w:r>
    </w:p>
    <w:p w:rsidR="00D76ECA" w:rsidRDefault="00D76ECA" w:rsidP="00D76ECA">
      <w:pPr>
        <w:pStyle w:val="a3"/>
        <w:rPr>
          <w:kern w:val="0"/>
          <w:szCs w:val="24"/>
        </w:rPr>
      </w:pPr>
      <w:r>
        <w:rPr>
          <w:rFonts w:hint="eastAsia"/>
          <w:kern w:val="0"/>
          <w:szCs w:val="24"/>
        </w:rPr>
        <w:t xml:space="preserve">? </w:t>
      </w:r>
      <w:r>
        <w:rPr>
          <w:kern w:val="0"/>
          <w:szCs w:val="24"/>
        </w:rPr>
        <w:t xml:space="preserve">Kirsch, M. (2010), Plagiarism in residency application essays.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765</w:t>
      </w:r>
      <w:r>
        <w:rPr>
          <w:rFonts w:hint="eastAsia"/>
          <w:kern w:val="0"/>
          <w:szCs w:val="24"/>
        </w:rPr>
        <w:t>.</w:t>
      </w:r>
    </w:p>
    <w:p w:rsidR="009B7C95" w:rsidRPr="001A3D2B" w:rsidRDefault="009B7C95" w:rsidP="009B7C95">
      <w:pPr>
        <w:pStyle w:val="a3"/>
      </w:pPr>
      <w:r w:rsidRPr="001A3D2B">
        <w:t xml:space="preserve">Full Text: </w:t>
      </w:r>
      <w:hyperlink r:id="rId882" w:history="1">
        <w:r w:rsidRPr="00D76ECA">
          <w:rPr>
            <w:rStyle w:val="a5"/>
          </w:rPr>
          <w:t>2010\Ann Int Med153, 766.pdf</w:t>
        </w:r>
      </w:hyperlink>
    </w:p>
    <w:p w:rsidR="00D76ECA" w:rsidRDefault="00D76ECA" w:rsidP="00D76ECA">
      <w:pPr>
        <w:pStyle w:val="a3"/>
        <w:rPr>
          <w:kern w:val="0"/>
          <w:szCs w:val="24"/>
        </w:rPr>
      </w:pPr>
      <w:r>
        <w:rPr>
          <w:kern w:val="0"/>
          <w:szCs w:val="24"/>
        </w:rPr>
        <w:t>Keywords: Plagiarism</w:t>
      </w:r>
    </w:p>
    <w:p w:rsidR="00D76ECA" w:rsidRDefault="00D76ECA" w:rsidP="00D76ECA">
      <w:pPr>
        <w:pStyle w:val="a3"/>
        <w:rPr>
          <w:kern w:val="0"/>
          <w:szCs w:val="24"/>
        </w:rPr>
      </w:pPr>
      <w:r>
        <w:rPr>
          <w:rFonts w:hint="eastAsia"/>
          <w:kern w:val="0"/>
          <w:szCs w:val="24"/>
        </w:rPr>
        <w:lastRenderedPageBreak/>
        <w:t xml:space="preserve">? </w:t>
      </w:r>
      <w:r>
        <w:rPr>
          <w:kern w:val="0"/>
          <w:szCs w:val="24"/>
        </w:rPr>
        <w:t xml:space="preserve">Lott, J.P. (2010), Plagiarism in residency application essays.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765</w:t>
      </w:r>
      <w:r>
        <w:rPr>
          <w:rFonts w:hint="eastAsia"/>
          <w:kern w:val="0"/>
          <w:szCs w:val="24"/>
        </w:rPr>
        <w:t>.</w:t>
      </w:r>
    </w:p>
    <w:p w:rsidR="009B7C95" w:rsidRPr="001A3D2B" w:rsidRDefault="009B7C95" w:rsidP="009B7C95">
      <w:pPr>
        <w:pStyle w:val="a3"/>
      </w:pPr>
      <w:r w:rsidRPr="001A3D2B">
        <w:t xml:space="preserve">Full Text: </w:t>
      </w:r>
      <w:hyperlink r:id="rId883" w:history="1">
        <w:r w:rsidRPr="00D76ECA">
          <w:rPr>
            <w:rStyle w:val="a5"/>
          </w:rPr>
          <w:t>2010\Ann Int Med153, 766.pdf</w:t>
        </w:r>
      </w:hyperlink>
    </w:p>
    <w:p w:rsidR="00D76ECA" w:rsidRDefault="00D76ECA" w:rsidP="00D76ECA">
      <w:pPr>
        <w:pStyle w:val="a3"/>
        <w:rPr>
          <w:kern w:val="0"/>
          <w:szCs w:val="24"/>
        </w:rPr>
      </w:pPr>
      <w:r>
        <w:rPr>
          <w:kern w:val="0"/>
          <w:szCs w:val="24"/>
        </w:rPr>
        <w:t>Keywords: Plagiarism</w:t>
      </w:r>
    </w:p>
    <w:p w:rsidR="00D76ECA" w:rsidRDefault="00D76ECA" w:rsidP="00D76ECA">
      <w:pPr>
        <w:pStyle w:val="a3"/>
        <w:rPr>
          <w:kern w:val="0"/>
          <w:szCs w:val="24"/>
        </w:rPr>
      </w:pPr>
      <w:r>
        <w:rPr>
          <w:rFonts w:hint="eastAsia"/>
          <w:kern w:val="0"/>
          <w:szCs w:val="24"/>
        </w:rPr>
        <w:t xml:space="preserve">? </w:t>
      </w:r>
      <w:r>
        <w:rPr>
          <w:kern w:val="0"/>
          <w:szCs w:val="24"/>
        </w:rPr>
        <w:t>Siddique, S., Naina, H.V.</w:t>
      </w:r>
      <w:r w:rsidR="005853A9">
        <w:rPr>
          <w:kern w:val="0"/>
          <w:szCs w:val="24"/>
        </w:rPr>
        <w:t xml:space="preserve"> and </w:t>
      </w:r>
      <w:r>
        <w:rPr>
          <w:kern w:val="0"/>
          <w:szCs w:val="24"/>
        </w:rPr>
        <w:t xml:space="preserve">Harris, S. (2010), Plagiarism in residency application essays.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765-766</w:t>
      </w:r>
      <w:r>
        <w:rPr>
          <w:rFonts w:hint="eastAsia"/>
          <w:kern w:val="0"/>
          <w:szCs w:val="24"/>
        </w:rPr>
        <w:t>.</w:t>
      </w:r>
    </w:p>
    <w:p w:rsidR="009B7C95" w:rsidRPr="001A3D2B" w:rsidRDefault="009B7C95" w:rsidP="009B7C95">
      <w:pPr>
        <w:pStyle w:val="a3"/>
      </w:pPr>
      <w:r w:rsidRPr="001A3D2B">
        <w:t xml:space="preserve">Full Text: </w:t>
      </w:r>
      <w:hyperlink r:id="rId884" w:history="1">
        <w:r w:rsidRPr="00D76ECA">
          <w:rPr>
            <w:rStyle w:val="a5"/>
          </w:rPr>
          <w:t>2010\Ann Int Med153, 766.pdf</w:t>
        </w:r>
      </w:hyperlink>
    </w:p>
    <w:p w:rsidR="00D76ECA" w:rsidRDefault="00D76ECA" w:rsidP="00D76ECA">
      <w:pPr>
        <w:pStyle w:val="a3"/>
        <w:rPr>
          <w:kern w:val="0"/>
          <w:szCs w:val="24"/>
        </w:rPr>
      </w:pPr>
      <w:r>
        <w:rPr>
          <w:kern w:val="0"/>
          <w:szCs w:val="24"/>
        </w:rPr>
        <w:t>Keywords: Plagiarism</w:t>
      </w:r>
    </w:p>
    <w:p w:rsidR="00D76ECA" w:rsidRDefault="00D76ECA" w:rsidP="00D76ECA">
      <w:pPr>
        <w:pStyle w:val="a3"/>
        <w:rPr>
          <w:kern w:val="0"/>
          <w:szCs w:val="24"/>
        </w:rPr>
      </w:pPr>
      <w:r>
        <w:rPr>
          <w:rFonts w:hint="eastAsia"/>
          <w:kern w:val="0"/>
          <w:szCs w:val="24"/>
        </w:rPr>
        <w:t xml:space="preserve">? </w:t>
      </w:r>
      <w:r>
        <w:rPr>
          <w:kern w:val="0"/>
          <w:szCs w:val="24"/>
        </w:rPr>
        <w:t xml:space="preserve">Stratton-Loeffler, M. (2010), Plagiarism in residency application essays.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766</w:t>
      </w:r>
      <w:r>
        <w:rPr>
          <w:rFonts w:hint="eastAsia"/>
          <w:kern w:val="0"/>
          <w:szCs w:val="24"/>
        </w:rPr>
        <w:t>.</w:t>
      </w:r>
    </w:p>
    <w:p w:rsidR="00D76ECA" w:rsidRPr="001A3D2B" w:rsidRDefault="00D76ECA" w:rsidP="00D76ECA">
      <w:pPr>
        <w:pStyle w:val="a3"/>
      </w:pPr>
      <w:r w:rsidRPr="001A3D2B">
        <w:t xml:space="preserve">Full Text: </w:t>
      </w:r>
      <w:hyperlink r:id="rId885" w:history="1">
        <w:r w:rsidRPr="00D76ECA">
          <w:rPr>
            <w:rStyle w:val="a5"/>
          </w:rPr>
          <w:t>2010\Ann Int Med153, 766.pdf</w:t>
        </w:r>
      </w:hyperlink>
    </w:p>
    <w:p w:rsidR="00D76ECA" w:rsidRDefault="00D76ECA" w:rsidP="00D76ECA">
      <w:pPr>
        <w:pStyle w:val="a3"/>
        <w:rPr>
          <w:kern w:val="0"/>
          <w:szCs w:val="24"/>
        </w:rPr>
      </w:pPr>
      <w:r>
        <w:rPr>
          <w:kern w:val="0"/>
          <w:szCs w:val="24"/>
        </w:rPr>
        <w:t>Keywords: Plagiarism</w:t>
      </w:r>
    </w:p>
    <w:p w:rsidR="00D76ECA" w:rsidRDefault="00D76ECA" w:rsidP="00D76ECA">
      <w:pPr>
        <w:pStyle w:val="a3"/>
        <w:rPr>
          <w:kern w:val="0"/>
          <w:szCs w:val="24"/>
        </w:rPr>
      </w:pPr>
      <w:r>
        <w:rPr>
          <w:kern w:val="0"/>
          <w:szCs w:val="24"/>
        </w:rPr>
        <w:t>? Segal, S., Gelfand, B.J.</w:t>
      </w:r>
      <w:r w:rsidR="005853A9">
        <w:rPr>
          <w:kern w:val="0"/>
          <w:szCs w:val="24"/>
        </w:rPr>
        <w:t xml:space="preserve"> and </w:t>
      </w:r>
      <w:r>
        <w:rPr>
          <w:kern w:val="0"/>
          <w:szCs w:val="24"/>
        </w:rPr>
        <w:t xml:space="preserve">Katz, J.T. (2010), Response to comments on plagiarism in residency application essays. </w:t>
      </w:r>
      <w:r>
        <w:rPr>
          <w:i/>
          <w:iCs/>
          <w:kern w:val="0"/>
          <w:szCs w:val="24"/>
        </w:rPr>
        <w:t>Annals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(12), 847</w:t>
      </w:r>
      <w:r>
        <w:rPr>
          <w:rFonts w:hint="eastAsia"/>
          <w:kern w:val="0"/>
          <w:szCs w:val="24"/>
        </w:rPr>
        <w:t>.</w:t>
      </w:r>
    </w:p>
    <w:p w:rsidR="00D76ECA" w:rsidRPr="001A3D2B" w:rsidRDefault="00D76ECA" w:rsidP="00D76ECA">
      <w:pPr>
        <w:pStyle w:val="a3"/>
      </w:pPr>
      <w:r w:rsidRPr="001A3D2B">
        <w:t xml:space="preserve">Full Text: </w:t>
      </w:r>
      <w:hyperlink r:id="rId886" w:history="1">
        <w:r w:rsidRPr="00D76ECA">
          <w:rPr>
            <w:rStyle w:val="a5"/>
          </w:rPr>
          <w:t>2010\Ann Int Med153, 847.pdf</w:t>
        </w:r>
      </w:hyperlink>
    </w:p>
    <w:p w:rsidR="00D76ECA" w:rsidRDefault="00D76ECA" w:rsidP="00D76ECA">
      <w:pPr>
        <w:pStyle w:val="a3"/>
        <w:rPr>
          <w:kern w:val="0"/>
          <w:szCs w:val="24"/>
        </w:rPr>
      </w:pPr>
      <w:r>
        <w:rPr>
          <w:kern w:val="0"/>
          <w:szCs w:val="24"/>
        </w:rPr>
        <w:t>Keywords: Plagiarism</w:t>
      </w:r>
    </w:p>
    <w:p w:rsidR="008C1C37" w:rsidRDefault="008C1C37" w:rsidP="008C1C37">
      <w:pPr>
        <w:pStyle w:val="a3"/>
        <w:rPr>
          <w:kern w:val="0"/>
        </w:rPr>
      </w:pPr>
      <w:r>
        <w:rPr>
          <w:rFonts w:hint="eastAsia"/>
          <w:kern w:val="0"/>
        </w:rPr>
        <w:t xml:space="preserve">? </w:t>
      </w:r>
      <w:r>
        <w:rPr>
          <w:kern w:val="0"/>
        </w:rPr>
        <w:t>Baker, W.L., Colby, J.A., Tongbram, V., Talati, R., Silverman, I.E., White, C.M., Kluger, J.</w:t>
      </w:r>
      <w:r w:rsidR="005853A9">
        <w:rPr>
          <w:kern w:val="0"/>
        </w:rPr>
        <w:t xml:space="preserve"> and </w:t>
      </w:r>
      <w:r>
        <w:rPr>
          <w:kern w:val="0"/>
        </w:rPr>
        <w:t>Coleman, C.I. (2011), Neurothrombectomy devices for</w:t>
      </w:r>
      <w:r w:rsidR="003A1917">
        <w:rPr>
          <w:kern w:val="0"/>
        </w:rPr>
        <w:t xml:space="preserve"> the </w:t>
      </w:r>
      <w:r>
        <w:rPr>
          <w:kern w:val="0"/>
        </w:rPr>
        <w:t>treatment</w:t>
      </w:r>
      <w:r w:rsidR="00427468">
        <w:rPr>
          <w:kern w:val="0"/>
        </w:rPr>
        <w:t xml:space="preserve"> of </w:t>
      </w:r>
      <w:r>
        <w:rPr>
          <w:kern w:val="0"/>
        </w:rPr>
        <w:t>acute ischemic stroke: State</w:t>
      </w:r>
      <w:r w:rsidR="00427468">
        <w:rPr>
          <w:kern w:val="0"/>
        </w:rPr>
        <w:t xml:space="preserve"> of </w:t>
      </w:r>
      <w:r w:rsidR="003A1917">
        <w:rPr>
          <w:kern w:val="0"/>
        </w:rPr>
        <w:t xml:space="preserve">the </w:t>
      </w:r>
      <w:r>
        <w:rPr>
          <w:kern w:val="0"/>
        </w:rPr>
        <w:t xml:space="preserve">evidence. </w:t>
      </w:r>
      <w:r>
        <w:rPr>
          <w:i/>
          <w:iCs/>
          <w:kern w:val="0"/>
        </w:rPr>
        <w:t>Annals</w:t>
      </w:r>
      <w:r w:rsidR="00427468">
        <w:rPr>
          <w:i/>
          <w:iCs/>
          <w:kern w:val="0"/>
        </w:rPr>
        <w:t xml:space="preserve"> of </w:t>
      </w:r>
      <w:r>
        <w:rPr>
          <w:i/>
          <w:iCs/>
          <w:kern w:val="0"/>
        </w:rPr>
        <w:t>Internal Medicine</w:t>
      </w:r>
      <w:r>
        <w:rPr>
          <w:kern w:val="0"/>
        </w:rPr>
        <w:t xml:space="preserve">, </w:t>
      </w:r>
      <w:r>
        <w:rPr>
          <w:b/>
          <w:bCs/>
          <w:kern w:val="0"/>
        </w:rPr>
        <w:t>154</w:t>
      </w:r>
      <w:r>
        <w:rPr>
          <w:kern w:val="0"/>
        </w:rPr>
        <w:t xml:space="preserve"> (4), 243-W79.</w:t>
      </w:r>
    </w:p>
    <w:p w:rsidR="00A465A1" w:rsidRPr="001A3D2B" w:rsidRDefault="00A465A1" w:rsidP="00A465A1">
      <w:pPr>
        <w:pStyle w:val="a3"/>
      </w:pPr>
      <w:r w:rsidRPr="001A3D2B">
        <w:t xml:space="preserve">Full Text: </w:t>
      </w:r>
      <w:hyperlink r:id="rId887" w:history="1">
        <w:r w:rsidR="00D733C5" w:rsidRPr="00D733C5">
          <w:rPr>
            <w:rStyle w:val="a5"/>
          </w:rPr>
          <w:t>2011\Ann Int Med154, 243.pdf</w:t>
        </w:r>
      </w:hyperlink>
    </w:p>
    <w:p w:rsidR="008C1C37" w:rsidRDefault="008C1C37" w:rsidP="008C1C37">
      <w:pPr>
        <w:pStyle w:val="a3"/>
        <w:rPr>
          <w:kern w:val="0"/>
        </w:rPr>
      </w:pPr>
      <w:r>
        <w:rPr>
          <w:kern w:val="0"/>
        </w:rPr>
        <w:t>Abstract: Background: Acute ischemic strokes are associated with poor outcomes</w:t>
      </w:r>
      <w:r w:rsidR="005853A9">
        <w:rPr>
          <w:kern w:val="0"/>
        </w:rPr>
        <w:t xml:space="preserve"> and </w:t>
      </w:r>
      <w:r>
        <w:rPr>
          <w:kern w:val="0"/>
        </w:rPr>
        <w:t>high health care burden. Evidence exists evaluating</w:t>
      </w:r>
      <w:r w:rsidR="003A1917">
        <w:rPr>
          <w:kern w:val="0"/>
        </w:rPr>
        <w:t xml:space="preserve"> the </w:t>
      </w:r>
      <w:r>
        <w:rPr>
          <w:kern w:val="0"/>
        </w:rPr>
        <w:t>use</w:t>
      </w:r>
      <w:r w:rsidR="00427468">
        <w:rPr>
          <w:kern w:val="0"/>
        </w:rPr>
        <w:t xml:space="preserve"> of </w:t>
      </w:r>
      <w:r>
        <w:rPr>
          <w:kern w:val="0"/>
        </w:rPr>
        <w:t>neurothrombectomy devices in patients receiving currently recommended treatments that may have limited efficacy. Purpose: To describe</w:t>
      </w:r>
      <w:r w:rsidR="003A1917">
        <w:rPr>
          <w:kern w:val="0"/>
        </w:rPr>
        <w:t xml:space="preserve"> the </w:t>
      </w:r>
      <w:r>
        <w:rPr>
          <w:kern w:val="0"/>
        </w:rPr>
        <w:t>state</w:t>
      </w:r>
      <w:r w:rsidR="00427468">
        <w:rPr>
          <w:kern w:val="0"/>
        </w:rPr>
        <w:t xml:space="preserve"> of </w:t>
      </w:r>
      <w:r w:rsidR="003A1917">
        <w:rPr>
          <w:kern w:val="0"/>
        </w:rPr>
        <w:t xml:space="preserve">the </w:t>
      </w:r>
      <w:r>
        <w:rPr>
          <w:kern w:val="0"/>
        </w:rPr>
        <w:t>evidence supporting use</w:t>
      </w:r>
      <w:r w:rsidR="00427468">
        <w:rPr>
          <w:kern w:val="0"/>
        </w:rPr>
        <w:t xml:space="preserve"> of </w:t>
      </w:r>
      <w:r>
        <w:rPr>
          <w:kern w:val="0"/>
        </w:rPr>
        <w:t>neurothrombectomy devices in</w:t>
      </w:r>
      <w:r w:rsidR="003A1917">
        <w:rPr>
          <w:kern w:val="0"/>
        </w:rPr>
        <w:t xml:space="preserve"> the </w:t>
      </w:r>
      <w:r>
        <w:rPr>
          <w:kern w:val="0"/>
        </w:rPr>
        <w:t>treatment</w:t>
      </w:r>
      <w:r w:rsidR="00427468">
        <w:rPr>
          <w:kern w:val="0"/>
        </w:rPr>
        <w:t xml:space="preserve"> of </w:t>
      </w:r>
      <w:r>
        <w:rPr>
          <w:kern w:val="0"/>
        </w:rPr>
        <w:t xml:space="preserve">acute ischemic stroke. Data Sources: </w:t>
      </w:r>
      <w:r w:rsidR="00D5664A">
        <w:rPr>
          <w:kern w:val="0"/>
        </w:rPr>
        <w:t>MEDLINE</w:t>
      </w:r>
      <w:r>
        <w:rPr>
          <w:kern w:val="0"/>
        </w:rPr>
        <w:t>, SCOPUS,</w:t>
      </w:r>
      <w:r w:rsidR="003A1917">
        <w:rPr>
          <w:kern w:val="0"/>
        </w:rPr>
        <w:t xml:space="preserve"> the </w:t>
      </w:r>
      <w:r>
        <w:rPr>
          <w:kern w:val="0"/>
        </w:rPr>
        <w:t>Cochrane Central Register</w:t>
      </w:r>
      <w:r w:rsidR="00427468">
        <w:rPr>
          <w:kern w:val="0"/>
        </w:rPr>
        <w:t xml:space="preserve"> of </w:t>
      </w:r>
      <w:r>
        <w:rPr>
          <w:kern w:val="0"/>
        </w:rPr>
        <w:t>Controlled Trials,</w:t>
      </w:r>
      <w:r w:rsidR="003A1917">
        <w:rPr>
          <w:kern w:val="0"/>
        </w:rPr>
        <w:t xml:space="preserve"> the </w:t>
      </w:r>
      <w:r>
        <w:rPr>
          <w:kern w:val="0"/>
        </w:rPr>
        <w:t>Cochrane Database</w:t>
      </w:r>
      <w:r w:rsidR="00427468">
        <w:rPr>
          <w:kern w:val="0"/>
        </w:rPr>
        <w:t xml:space="preserve"> of </w:t>
      </w:r>
      <w:r>
        <w:rPr>
          <w:kern w:val="0"/>
        </w:rPr>
        <w:t>Systematic Reviews,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without language restrictions, from their inception through May 2010</w:t>
      </w:r>
      <w:r w:rsidR="00A37C1D">
        <w:rPr>
          <w:kern w:val="0"/>
        </w:rPr>
        <w:t>. The</w:t>
      </w:r>
      <w:r w:rsidR="003A1917">
        <w:rPr>
          <w:kern w:val="0"/>
        </w:rPr>
        <w:t xml:space="preserve"> </w:t>
      </w:r>
      <w:r w:rsidR="00D5664A">
        <w:rPr>
          <w:kern w:val="0"/>
        </w:rPr>
        <w:t>MEDLINE</w:t>
      </w:r>
      <w:r w:rsidR="005853A9">
        <w:rPr>
          <w:kern w:val="0"/>
        </w:rPr>
        <w:t xml:space="preserve"> and </w:t>
      </w:r>
      <w:r>
        <w:rPr>
          <w:kern w:val="0"/>
        </w:rPr>
        <w:t>Cochrane Central Register</w:t>
      </w:r>
      <w:r w:rsidR="00427468">
        <w:rPr>
          <w:kern w:val="0"/>
        </w:rPr>
        <w:t xml:space="preserve"> of </w:t>
      </w:r>
      <w:r>
        <w:rPr>
          <w:kern w:val="0"/>
        </w:rPr>
        <w:t>Controlled Trials searches were updated through November 2010. Study Selection: Two independent investigators screened citations for human studies</w:t>
      </w:r>
      <w:r w:rsidR="00427468">
        <w:rPr>
          <w:kern w:val="0"/>
        </w:rPr>
        <w:t xml:space="preserve"> of </w:t>
      </w:r>
      <w:r>
        <w:rPr>
          <w:kern w:val="0"/>
        </w:rPr>
        <w:t>any design or case series or case reports</w:t>
      </w:r>
      <w:r w:rsidR="00427468">
        <w:rPr>
          <w:kern w:val="0"/>
        </w:rPr>
        <w:t xml:space="preserve"> of </w:t>
      </w:r>
      <w:r>
        <w:rPr>
          <w:kern w:val="0"/>
        </w:rPr>
        <w:t>patients with an acute ischemic stroke that evaluated a neurothrombectomy device</w:t>
      </w:r>
      <w:r w:rsidR="005853A9">
        <w:rPr>
          <w:kern w:val="0"/>
        </w:rPr>
        <w:t xml:space="preserve"> and </w:t>
      </w:r>
      <w:r>
        <w:rPr>
          <w:kern w:val="0"/>
        </w:rPr>
        <w:t>reported at least 1 clinical effectiveness outcome or harm. Data Extraction: Using standardized protocols, 2 independent investigators extracted information about study characteristics</w:t>
      </w:r>
      <w:r w:rsidR="005853A9">
        <w:rPr>
          <w:kern w:val="0"/>
        </w:rPr>
        <w:t xml:space="preserve"> and </w:t>
      </w:r>
      <w:r>
        <w:rPr>
          <w:kern w:val="0"/>
        </w:rPr>
        <w:t>outcomes,</w:t>
      </w:r>
      <w:r w:rsidR="005853A9">
        <w:rPr>
          <w:kern w:val="0"/>
        </w:rPr>
        <w:t xml:space="preserve"> and </w:t>
      </w:r>
      <w:r>
        <w:rPr>
          <w:kern w:val="0"/>
        </w:rPr>
        <w:t>a third reviewer resolved disagreement. Data Synthesis: 87 articles met eligibility criteria, including 18 prospective single-group studies, 7 noncomparative retrospective studies,</w:t>
      </w:r>
      <w:r w:rsidR="005853A9">
        <w:rPr>
          <w:kern w:val="0"/>
        </w:rPr>
        <w:t xml:space="preserve"> and </w:t>
      </w:r>
      <w:r>
        <w:rPr>
          <w:kern w:val="0"/>
        </w:rPr>
        <w:t>62 case series or case reports. Two U. S. Food</w:t>
      </w:r>
      <w:r w:rsidR="005853A9">
        <w:rPr>
          <w:kern w:val="0"/>
        </w:rPr>
        <w:t xml:space="preserve"> and </w:t>
      </w:r>
      <w:r>
        <w:rPr>
          <w:kern w:val="0"/>
        </w:rPr>
        <w:t>Drug Administration (FDA)-cleared devices,</w:t>
      </w:r>
      <w:r w:rsidR="003A1917">
        <w:rPr>
          <w:kern w:val="0"/>
        </w:rPr>
        <w:t xml:space="preserve"> the </w:t>
      </w:r>
      <w:r>
        <w:rPr>
          <w:kern w:val="0"/>
        </w:rPr>
        <w:lastRenderedPageBreak/>
        <w:t>MERCI Retriever (Concentric Medical, Mountain View, California) (40%)</w:t>
      </w:r>
      <w:r w:rsidR="005853A9">
        <w:rPr>
          <w:kern w:val="0"/>
        </w:rPr>
        <w:t xml:space="preserve"> and </w:t>
      </w:r>
      <w:r w:rsidR="003A1917">
        <w:rPr>
          <w:kern w:val="0"/>
        </w:rPr>
        <w:t xml:space="preserve">the </w:t>
      </w:r>
      <w:r>
        <w:rPr>
          <w:kern w:val="0"/>
        </w:rPr>
        <w:t>Penumbra System (Penumbra, Alameda, California) (9%), represented a large portion</w:t>
      </w:r>
      <w:r w:rsidR="00427468">
        <w:rPr>
          <w:kern w:val="0"/>
        </w:rPr>
        <w:t xml:space="preserve"> of </w:t>
      </w:r>
      <w:r w:rsidR="003A1917">
        <w:rPr>
          <w:kern w:val="0"/>
        </w:rPr>
        <w:t xml:space="preserve">the </w:t>
      </w:r>
      <w:r>
        <w:rPr>
          <w:kern w:val="0"/>
        </w:rPr>
        <w:t>available data. All prospective</w:t>
      </w:r>
      <w:r w:rsidR="005853A9">
        <w:rPr>
          <w:kern w:val="0"/>
        </w:rPr>
        <w:t xml:space="preserve"> and </w:t>
      </w:r>
      <w:r>
        <w:rPr>
          <w:kern w:val="0"/>
        </w:rPr>
        <w:t>retrospective studies provided data on successful recanalization with widely varying rates (43% to 78% with</w:t>
      </w:r>
      <w:r w:rsidR="003A1917">
        <w:rPr>
          <w:kern w:val="0"/>
        </w:rPr>
        <w:t xml:space="preserve"> the </w:t>
      </w:r>
      <w:r>
        <w:rPr>
          <w:kern w:val="0"/>
        </w:rPr>
        <w:t>MERCI Retriever</w:t>
      </w:r>
      <w:r w:rsidR="005853A9">
        <w:rPr>
          <w:kern w:val="0"/>
        </w:rPr>
        <w:t xml:space="preserve"> and </w:t>
      </w:r>
      <w:r>
        <w:rPr>
          <w:kern w:val="0"/>
        </w:rPr>
        <w:t>83% to 100% with</w:t>
      </w:r>
      <w:r w:rsidR="003A1917">
        <w:rPr>
          <w:kern w:val="0"/>
        </w:rPr>
        <w:t xml:space="preserve"> the </w:t>
      </w:r>
      <w:r>
        <w:rPr>
          <w:kern w:val="0"/>
        </w:rPr>
        <w:t>Penumbra System). Rates</w:t>
      </w:r>
      <w:r w:rsidR="00427468">
        <w:rPr>
          <w:kern w:val="0"/>
        </w:rPr>
        <w:t xml:space="preserve"> of </w:t>
      </w:r>
      <w:r>
        <w:rPr>
          <w:kern w:val="0"/>
        </w:rPr>
        <w:t>harms, including symptomatic (16 studies; 0% to 10% with</w:t>
      </w:r>
      <w:r w:rsidR="003A1917">
        <w:rPr>
          <w:kern w:val="0"/>
        </w:rPr>
        <w:t xml:space="preserve"> the </w:t>
      </w:r>
      <w:r>
        <w:rPr>
          <w:kern w:val="0"/>
        </w:rPr>
        <w:t>MERCI Retriever</w:t>
      </w:r>
      <w:r w:rsidR="005853A9">
        <w:rPr>
          <w:kern w:val="0"/>
        </w:rPr>
        <w:t xml:space="preserve"> and </w:t>
      </w:r>
      <w:r>
        <w:rPr>
          <w:kern w:val="0"/>
        </w:rPr>
        <w:t>0% to 11% with</w:t>
      </w:r>
      <w:r w:rsidR="003A1917">
        <w:rPr>
          <w:kern w:val="0"/>
        </w:rPr>
        <w:t xml:space="preserve"> the </w:t>
      </w:r>
      <w:r>
        <w:rPr>
          <w:kern w:val="0"/>
        </w:rPr>
        <w:t>Penumbra System) or asymptomatic (13 studies; 28% to 43%</w:t>
      </w:r>
      <w:r w:rsidR="005853A9">
        <w:rPr>
          <w:kern w:val="0"/>
        </w:rPr>
        <w:t xml:space="preserve"> and </w:t>
      </w:r>
      <w:r>
        <w:rPr>
          <w:kern w:val="0"/>
        </w:rPr>
        <w:t>1% to 30%, respectively) intracranial hemorrhage</w:t>
      </w:r>
      <w:r w:rsidR="005853A9">
        <w:rPr>
          <w:kern w:val="0"/>
        </w:rPr>
        <w:t xml:space="preserve"> and </w:t>
      </w:r>
      <w:r>
        <w:rPr>
          <w:kern w:val="0"/>
        </w:rPr>
        <w:t>vessel perforation or dissection (11 studies; 0% to 7%</w:t>
      </w:r>
      <w:r w:rsidR="005853A9">
        <w:rPr>
          <w:kern w:val="0"/>
        </w:rPr>
        <w:t xml:space="preserve"> and </w:t>
      </w:r>
      <w:r>
        <w:rPr>
          <w:kern w:val="0"/>
        </w:rPr>
        <w:t>0% to 5%, respectively), also varied by device. Predictors</w:t>
      </w:r>
      <w:r w:rsidR="00427468">
        <w:rPr>
          <w:kern w:val="0"/>
        </w:rPr>
        <w:t xml:space="preserve"> of </w:t>
      </w:r>
      <w:r>
        <w:rPr>
          <w:kern w:val="0"/>
        </w:rPr>
        <w:t>harm included older age, history</w:t>
      </w:r>
      <w:r w:rsidR="00427468">
        <w:rPr>
          <w:kern w:val="0"/>
        </w:rPr>
        <w:t xml:space="preserve"> of </w:t>
      </w:r>
      <w:r>
        <w:rPr>
          <w:kern w:val="0"/>
        </w:rPr>
        <w:t>stroke,</w:t>
      </w:r>
      <w:r w:rsidR="005853A9">
        <w:rPr>
          <w:kern w:val="0"/>
        </w:rPr>
        <w:t xml:space="preserve"> and </w:t>
      </w:r>
      <w:r>
        <w:rPr>
          <w:kern w:val="0"/>
        </w:rPr>
        <w:t>higher baseline stroke severity scores, whereas successful recanalization was</w:t>
      </w:r>
      <w:r w:rsidR="003A1917">
        <w:rPr>
          <w:kern w:val="0"/>
        </w:rPr>
        <w:t xml:space="preserve"> the </w:t>
      </w:r>
      <w:r>
        <w:rPr>
          <w:kern w:val="0"/>
        </w:rPr>
        <w:t>sole predictor</w:t>
      </w:r>
      <w:r w:rsidR="00427468">
        <w:rPr>
          <w:kern w:val="0"/>
        </w:rPr>
        <w:t xml:space="preserve"> of </w:t>
      </w:r>
      <w:r>
        <w:rPr>
          <w:kern w:val="0"/>
        </w:rPr>
        <w:t>good outcomes. Limitations: Most available data are from single-group, noncomparative studies. In addition,</w:t>
      </w:r>
      <w:r w:rsidR="003A1917">
        <w:rPr>
          <w:kern w:val="0"/>
        </w:rPr>
        <w:t xml:space="preserve"> the </w:t>
      </w:r>
      <w:r>
        <w:rPr>
          <w:kern w:val="0"/>
        </w:rPr>
        <w:t>patient population most likely to benefit from these devices is undetermined. Conclusion: Currently available neurothrombectomy devices offer intriguing treatment options in patients with acute ischemic stroke. Future trials should use a randomized design, with adequate power to show equivalency or noninferiority between competing strategies or devices,</w:t>
      </w:r>
      <w:r w:rsidR="005853A9">
        <w:rPr>
          <w:kern w:val="0"/>
        </w:rPr>
        <w:t xml:space="preserve"> and </w:t>
      </w:r>
      <w:r>
        <w:rPr>
          <w:kern w:val="0"/>
        </w:rPr>
        <w:t>strive to identify populations that are most likely to benefit from use</w:t>
      </w:r>
      <w:r w:rsidR="00427468">
        <w:rPr>
          <w:kern w:val="0"/>
        </w:rPr>
        <w:t xml:space="preserve"> of </w:t>
      </w:r>
      <w:r>
        <w:rPr>
          <w:kern w:val="0"/>
        </w:rPr>
        <w:t>neurothrombectomy devices.</w:t>
      </w:r>
    </w:p>
    <w:p w:rsidR="008C1C37" w:rsidRDefault="008C1C37" w:rsidP="008C1C37">
      <w:pPr>
        <w:pStyle w:val="a3"/>
        <w:rPr>
          <w:kern w:val="0"/>
        </w:rPr>
      </w:pPr>
      <w:r>
        <w:rPr>
          <w:kern w:val="0"/>
        </w:rPr>
        <w:t xml:space="preserve">Keywords: AB Device, Administration, Burden, Case Reports, Case Series, Center Experience, Citations, Clinical Effectiveness, Cochrane, Effectiveness, Efficacy, Extraction, Health Care, History, Human, III Trial, Information, Interventional Management, Mechanical Thrombectomy, </w:t>
      </w:r>
      <w:r w:rsidR="00D5664A">
        <w:rPr>
          <w:kern w:val="0"/>
        </w:rPr>
        <w:t>MEDLINE</w:t>
      </w:r>
      <w:r>
        <w:rPr>
          <w:kern w:val="0"/>
        </w:rPr>
        <w:t xml:space="preserve">, Merci Clot Retriever, Outcome, Outcomes, Penumbra System, Pooled Analysis, Recanalization, Science, Scopus, Sources, Stroke, Systematic, Tissue-Plasminogen-Activator, Treatment, </w:t>
      </w:r>
      <w:r w:rsidR="00D5664A">
        <w:rPr>
          <w:kern w:val="0"/>
        </w:rPr>
        <w:t>Web</w:t>
      </w:r>
      <w:r w:rsidR="00427468">
        <w:rPr>
          <w:kern w:val="0"/>
        </w:rPr>
        <w:t xml:space="preserve"> of </w:t>
      </w:r>
      <w:r w:rsidR="00D5664A">
        <w:rPr>
          <w:kern w:val="0"/>
        </w:rPr>
        <w:t>Science</w:t>
      </w:r>
    </w:p>
    <w:p w:rsidR="00A465A1" w:rsidRDefault="00A465A1" w:rsidP="00A465A1">
      <w:pPr>
        <w:pStyle w:val="a3"/>
        <w:rPr>
          <w:kern w:val="0"/>
        </w:rPr>
      </w:pPr>
      <w:r>
        <w:rPr>
          <w:kern w:val="0"/>
        </w:rPr>
        <w:t>? Hansen, L.O., Young, R.S., Hinami, K., Leung, A.</w:t>
      </w:r>
      <w:r w:rsidR="005853A9">
        <w:rPr>
          <w:kern w:val="0"/>
        </w:rPr>
        <w:t xml:space="preserve"> and </w:t>
      </w:r>
      <w:r>
        <w:rPr>
          <w:kern w:val="0"/>
        </w:rPr>
        <w:t xml:space="preserve">Williams, M.V. (2011), Interventions to reduce 30-day rehospitalization: A systematic review. </w:t>
      </w:r>
      <w:r>
        <w:rPr>
          <w:i/>
          <w:iCs/>
          <w:kern w:val="0"/>
        </w:rPr>
        <w:t>Annals</w:t>
      </w:r>
      <w:r w:rsidR="00427468">
        <w:rPr>
          <w:i/>
          <w:iCs/>
          <w:kern w:val="0"/>
        </w:rPr>
        <w:t xml:space="preserve"> of </w:t>
      </w:r>
      <w:r>
        <w:rPr>
          <w:i/>
          <w:iCs/>
          <w:kern w:val="0"/>
        </w:rPr>
        <w:t>Internal Medicine</w:t>
      </w:r>
      <w:r>
        <w:rPr>
          <w:kern w:val="0"/>
        </w:rPr>
        <w:t xml:space="preserve">, </w:t>
      </w:r>
      <w:r>
        <w:rPr>
          <w:b/>
          <w:bCs/>
          <w:kern w:val="0"/>
        </w:rPr>
        <w:t>155</w:t>
      </w:r>
      <w:r>
        <w:rPr>
          <w:kern w:val="0"/>
        </w:rPr>
        <w:t xml:space="preserve"> (8), 520-U94.</w:t>
      </w:r>
    </w:p>
    <w:p w:rsidR="00A465A1" w:rsidRPr="001A3D2B" w:rsidRDefault="00A465A1" w:rsidP="00A465A1">
      <w:pPr>
        <w:pStyle w:val="a3"/>
      </w:pPr>
      <w:r w:rsidRPr="001A3D2B">
        <w:t xml:space="preserve">Full Text: </w:t>
      </w:r>
      <w:hyperlink r:id="rId888" w:history="1">
        <w:r w:rsidR="0069740E" w:rsidRPr="0069740E">
          <w:rPr>
            <w:rStyle w:val="a5"/>
          </w:rPr>
          <w:t>2011\Ann Int Med155, 520.pdf</w:t>
        </w:r>
      </w:hyperlink>
    </w:p>
    <w:p w:rsidR="00A465A1" w:rsidRDefault="00A465A1" w:rsidP="00A465A1">
      <w:pPr>
        <w:pStyle w:val="a3"/>
        <w:rPr>
          <w:kern w:val="0"/>
        </w:rPr>
      </w:pPr>
      <w:r>
        <w:rPr>
          <w:kern w:val="0"/>
        </w:rPr>
        <w:t>Abstract: Background: About 1 in 5 Medicare fee-for-service patients discharged from</w:t>
      </w:r>
      <w:r w:rsidR="003A1917">
        <w:rPr>
          <w:kern w:val="0"/>
        </w:rPr>
        <w:t xml:space="preserve"> the </w:t>
      </w:r>
      <w:r>
        <w:rPr>
          <w:kern w:val="0"/>
        </w:rPr>
        <w:t>hospital is rehospitalized within 30 days. Beginning in 2013, hospitals with high risk-standardized readmission rates will be subject to a Medicare reimbursement penalty. Purpose: To describe interventions evaluated in studies aimed at reducing rehospitalization within 30 days</w:t>
      </w:r>
      <w:r w:rsidR="00427468">
        <w:rPr>
          <w:kern w:val="0"/>
        </w:rPr>
        <w:t xml:space="preserve"> of </w:t>
      </w:r>
      <w:r>
        <w:rPr>
          <w:kern w:val="0"/>
        </w:rPr>
        <w:t xml:space="preserve">discharge. Data Sources: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Library were searched for reports published between January 1975</w:t>
      </w:r>
      <w:r w:rsidR="005853A9">
        <w:rPr>
          <w:kern w:val="0"/>
        </w:rPr>
        <w:t xml:space="preserve"> and </w:t>
      </w:r>
      <w:r>
        <w:rPr>
          <w:kern w:val="0"/>
        </w:rPr>
        <w:t>January 2011. Study Selection: English-language randomized, controlled trials; cohort studies; or noncontrolled before-after studies</w:t>
      </w:r>
      <w:r w:rsidR="00427468">
        <w:rPr>
          <w:kern w:val="0"/>
        </w:rPr>
        <w:t xml:space="preserve"> of </w:t>
      </w:r>
      <w:r>
        <w:rPr>
          <w:kern w:val="0"/>
        </w:rPr>
        <w:t xml:space="preserve">interventions to reduce rehospitalization that reported rehospitalization rates within 30 days. Data Extraction: 2 reviewers independently identified candidate articles </w:t>
      </w:r>
      <w:r>
        <w:rPr>
          <w:kern w:val="0"/>
        </w:rPr>
        <w:lastRenderedPageBreak/>
        <w:t>from</w:t>
      </w:r>
      <w:r w:rsidR="003A1917">
        <w:rPr>
          <w:kern w:val="0"/>
        </w:rPr>
        <w:t xml:space="preserve"> the </w:t>
      </w:r>
      <w:r>
        <w:rPr>
          <w:kern w:val="0"/>
        </w:rPr>
        <w:t>results</w:t>
      </w:r>
      <w:r w:rsidR="00427468">
        <w:rPr>
          <w:kern w:val="0"/>
        </w:rPr>
        <w:t xml:space="preserve"> of </w:t>
      </w:r>
      <w:r w:rsidR="003A1917">
        <w:rPr>
          <w:kern w:val="0"/>
        </w:rPr>
        <w:t xml:space="preserve">the </w:t>
      </w:r>
      <w:r>
        <w:rPr>
          <w:kern w:val="0"/>
        </w:rPr>
        <w:t>initial search on</w:t>
      </w:r>
      <w:r w:rsidR="003A1917">
        <w:rPr>
          <w:kern w:val="0"/>
        </w:rPr>
        <w:t xml:space="preserve"> the </w:t>
      </w:r>
      <w:r>
        <w:rPr>
          <w:kern w:val="0"/>
        </w:rPr>
        <w:t>basis</w:t>
      </w:r>
      <w:r w:rsidR="00427468">
        <w:rPr>
          <w:kern w:val="0"/>
        </w:rPr>
        <w:t xml:space="preserve"> of </w:t>
      </w:r>
      <w:r>
        <w:rPr>
          <w:kern w:val="0"/>
        </w:rPr>
        <w:t>title</w:t>
      </w:r>
      <w:r w:rsidR="005853A9">
        <w:rPr>
          <w:kern w:val="0"/>
        </w:rPr>
        <w:t xml:space="preserve"> and </w:t>
      </w:r>
      <w:r>
        <w:rPr>
          <w:kern w:val="0"/>
        </w:rPr>
        <w:t>abstract. Two 2-physician reviewer teams reviewed</w:t>
      </w:r>
      <w:r w:rsidR="003A1917">
        <w:rPr>
          <w:kern w:val="0"/>
        </w:rPr>
        <w:t xml:space="preserve"> the </w:t>
      </w:r>
      <w:r>
        <w:rPr>
          <w:kern w:val="0"/>
        </w:rPr>
        <w:t>full text</w:t>
      </w:r>
      <w:r w:rsidR="00427468">
        <w:rPr>
          <w:kern w:val="0"/>
        </w:rPr>
        <w:t xml:space="preserve"> of </w:t>
      </w:r>
      <w:r>
        <w:rPr>
          <w:kern w:val="0"/>
        </w:rPr>
        <w:t>candidate articles to identify interventions</w:t>
      </w:r>
      <w:r w:rsidR="005853A9">
        <w:rPr>
          <w:kern w:val="0"/>
        </w:rPr>
        <w:t xml:space="preserve"> and </w:t>
      </w:r>
      <w:r>
        <w:rPr>
          <w:kern w:val="0"/>
        </w:rPr>
        <w:t>assess study quality. Data Synthesis: 43 articles were identified,</w:t>
      </w:r>
      <w:r w:rsidR="005853A9">
        <w:rPr>
          <w:kern w:val="0"/>
        </w:rPr>
        <w:t xml:space="preserve"> and </w:t>
      </w:r>
      <w:r>
        <w:rPr>
          <w:kern w:val="0"/>
        </w:rPr>
        <w:t>a taxonomy was developed to categorize interventions into 3 domains that encompassed 12 distinct activities. Predischarge interventions included patient education, medication reconciliation, discharge planning,</w:t>
      </w:r>
      <w:r w:rsidR="005853A9">
        <w:rPr>
          <w:kern w:val="0"/>
        </w:rPr>
        <w:t xml:space="preserve"> and </w:t>
      </w:r>
      <w:r>
        <w:rPr>
          <w:kern w:val="0"/>
        </w:rPr>
        <w:t>scheduling</w:t>
      </w:r>
      <w:r w:rsidR="00427468">
        <w:rPr>
          <w:kern w:val="0"/>
        </w:rPr>
        <w:t xml:space="preserve"> of </w:t>
      </w:r>
      <w:r>
        <w:rPr>
          <w:kern w:val="0"/>
        </w:rPr>
        <w:t>a follow-up appointment before discharge. Postdischarge interventions included follow-up telephone calls, patient-activated hotlines, timely communication with ambulatory providers, timely ambulatory provider follow-up,</w:t>
      </w:r>
      <w:r w:rsidR="005853A9">
        <w:rPr>
          <w:kern w:val="0"/>
        </w:rPr>
        <w:t xml:space="preserve"> and </w:t>
      </w:r>
      <w:r>
        <w:rPr>
          <w:kern w:val="0"/>
        </w:rPr>
        <w:t>postdischarge home visits. Bridging interventions included transition coaches, physician continuity across</w:t>
      </w:r>
      <w:r w:rsidR="003A1917">
        <w:rPr>
          <w:kern w:val="0"/>
        </w:rPr>
        <w:t xml:space="preserve"> the </w:t>
      </w:r>
      <w:r>
        <w:rPr>
          <w:kern w:val="0"/>
        </w:rPr>
        <w:t>inpatient</w:t>
      </w:r>
      <w:r w:rsidR="005853A9">
        <w:rPr>
          <w:kern w:val="0"/>
        </w:rPr>
        <w:t xml:space="preserve"> and </w:t>
      </w:r>
      <w:r>
        <w:rPr>
          <w:kern w:val="0"/>
        </w:rPr>
        <w:t>outpatient setting,</w:t>
      </w:r>
      <w:r w:rsidR="005853A9">
        <w:rPr>
          <w:kern w:val="0"/>
        </w:rPr>
        <w:t xml:space="preserve"> and </w:t>
      </w:r>
      <w:r>
        <w:rPr>
          <w:kern w:val="0"/>
        </w:rPr>
        <w:t>patient-centered discharge instruction. Limitations: Inadequate description</w:t>
      </w:r>
      <w:r w:rsidR="00427468">
        <w:rPr>
          <w:kern w:val="0"/>
        </w:rPr>
        <w:t xml:space="preserve"> of </w:t>
      </w:r>
      <w:r>
        <w:rPr>
          <w:kern w:val="0"/>
        </w:rPr>
        <w:t>individual studies</w:t>
      </w:r>
      <w:r w:rsidR="00700038">
        <w:rPr>
          <w:kern w:val="0"/>
        </w:rPr>
        <w:t>’</w:t>
      </w:r>
      <w:r>
        <w:rPr>
          <w:kern w:val="0"/>
        </w:rPr>
        <w:t xml:space="preserve"> interventions precluded meta-analysis</w:t>
      </w:r>
      <w:r w:rsidR="00427468">
        <w:rPr>
          <w:kern w:val="0"/>
        </w:rPr>
        <w:t xml:space="preserve"> of </w:t>
      </w:r>
      <w:r>
        <w:rPr>
          <w:kern w:val="0"/>
        </w:rPr>
        <w:t>effects. Many studies identified in</w:t>
      </w:r>
      <w:r w:rsidR="003A1917">
        <w:rPr>
          <w:kern w:val="0"/>
        </w:rPr>
        <w:t xml:space="preserve"> the </w:t>
      </w:r>
      <w:r>
        <w:rPr>
          <w:kern w:val="0"/>
        </w:rPr>
        <w:t>review were single-institution assessments</w:t>
      </w:r>
      <w:r w:rsidR="00427468">
        <w:rPr>
          <w:kern w:val="0"/>
        </w:rPr>
        <w:t xml:space="preserve"> of </w:t>
      </w:r>
      <w:r>
        <w:rPr>
          <w:kern w:val="0"/>
        </w:rPr>
        <w:t>quality improvement activities rather than those with experimental designs. Several common interventions have not been studied outside</w:t>
      </w:r>
      <w:r w:rsidR="00427468">
        <w:rPr>
          <w:kern w:val="0"/>
        </w:rPr>
        <w:t xml:space="preserve"> of </w:t>
      </w:r>
      <w:r>
        <w:rPr>
          <w:kern w:val="0"/>
        </w:rPr>
        <w:t xml:space="preserve">multicomponent </w:t>
      </w:r>
      <w:r w:rsidR="00B5188C">
        <w:rPr>
          <w:kern w:val="0"/>
        </w:rPr>
        <w:t>“</w:t>
      </w:r>
      <w:r>
        <w:rPr>
          <w:kern w:val="0"/>
        </w:rPr>
        <w:t>discharge bundles.</w:t>
      </w:r>
      <w:r w:rsidR="00B5188C">
        <w:rPr>
          <w:kern w:val="0"/>
        </w:rPr>
        <w:t>”</w:t>
      </w:r>
      <w:r>
        <w:rPr>
          <w:kern w:val="0"/>
        </w:rPr>
        <w:t xml:space="preserve"> Conclusion: No single intervention implemented alone was regularly associated with reduced risk for 30-day rehospitalization.</w:t>
      </w:r>
    </w:p>
    <w:p w:rsidR="00A465A1" w:rsidRDefault="00A465A1" w:rsidP="00A465A1">
      <w:pPr>
        <w:pStyle w:val="a3"/>
        <w:rPr>
          <w:kern w:val="0"/>
        </w:rPr>
      </w:pPr>
      <w:r>
        <w:rPr>
          <w:kern w:val="0"/>
        </w:rPr>
        <w:t xml:space="preserve">Keywords: Activities, Care Transitions Intervention, Clinical-Trial, Cochrane, Cohort Studies, Communication, Early Readmission, Education, Embase, Experimental, Extraction, Follow-Up, Heart-Failure, High-Risk, Hospital, Hospital Discharge, Hospitals, Impact, Intervention, Interventions, Medicare, Medication, </w:t>
      </w:r>
      <w:r w:rsidR="00D5664A">
        <w:rPr>
          <w:kern w:val="0"/>
        </w:rPr>
        <w:t>MEDLINE</w:t>
      </w:r>
      <w:r>
        <w:rPr>
          <w:kern w:val="0"/>
        </w:rPr>
        <w:t xml:space="preserve">, Meta Analysis, Meta-Analysis, Older-Adults, Patient Education, Patients, Quality Improvement, Randomized Controlled-Trial, Review, Risk, Science, Selection, Sources, Synthesis, Systematic, Systematic Review, </w:t>
      </w:r>
      <w:r w:rsidR="00D5664A">
        <w:rPr>
          <w:kern w:val="0"/>
        </w:rPr>
        <w:t>Web</w:t>
      </w:r>
      <w:r w:rsidR="00427468">
        <w:rPr>
          <w:kern w:val="0"/>
        </w:rPr>
        <w:t xml:space="preserve"> of </w:t>
      </w:r>
      <w:r w:rsidR="00D5664A">
        <w:rPr>
          <w:kern w:val="0"/>
        </w:rPr>
        <w:t>Science</w:t>
      </w:r>
    </w:p>
    <w:p w:rsidR="007066FD" w:rsidRDefault="007066FD" w:rsidP="007066FD">
      <w:pPr>
        <w:pStyle w:val="a3"/>
        <w:rPr>
          <w:kern w:val="0"/>
        </w:rPr>
      </w:pPr>
      <w:r>
        <w:rPr>
          <w:rFonts w:hint="eastAsia"/>
          <w:kern w:val="0"/>
        </w:rPr>
        <w:t xml:space="preserve">? </w:t>
      </w:r>
      <w:r>
        <w:rPr>
          <w:kern w:val="0"/>
        </w:rPr>
        <w:t>Goldzweig, C.L., Orshansky, G., Paige, N.M., Towfigh, A.A., Haggstrom, D.A., Miake-Lye, I., Beroes, J.M.</w:t>
      </w:r>
      <w:r w:rsidR="005853A9">
        <w:rPr>
          <w:kern w:val="0"/>
        </w:rPr>
        <w:t xml:space="preserve"> and </w:t>
      </w:r>
      <w:r>
        <w:rPr>
          <w:kern w:val="0"/>
        </w:rPr>
        <w:t>Shekelle, P.G. (2013), Electronic patient portals: Evidence on health outcomes, satisfaction, efficiency,</w:t>
      </w:r>
      <w:r w:rsidR="005853A9">
        <w:rPr>
          <w:kern w:val="0"/>
        </w:rPr>
        <w:t xml:space="preserve"> and </w:t>
      </w:r>
      <w:r>
        <w:rPr>
          <w:kern w:val="0"/>
        </w:rPr>
        <w:t xml:space="preserve">attitudes. </w:t>
      </w:r>
      <w:r>
        <w:rPr>
          <w:i/>
          <w:iCs/>
          <w:kern w:val="0"/>
        </w:rPr>
        <w:t>Annals</w:t>
      </w:r>
      <w:r w:rsidR="00427468">
        <w:rPr>
          <w:i/>
          <w:iCs/>
          <w:kern w:val="0"/>
        </w:rPr>
        <w:t xml:space="preserve"> of </w:t>
      </w:r>
      <w:r>
        <w:rPr>
          <w:i/>
          <w:iCs/>
          <w:kern w:val="0"/>
        </w:rPr>
        <w:t>Internal Medicine</w:t>
      </w:r>
      <w:r>
        <w:rPr>
          <w:kern w:val="0"/>
        </w:rPr>
        <w:t xml:space="preserve">, </w:t>
      </w:r>
      <w:r>
        <w:rPr>
          <w:b/>
          <w:bCs/>
          <w:kern w:val="0"/>
        </w:rPr>
        <w:t>159</w:t>
      </w:r>
      <w:r>
        <w:rPr>
          <w:kern w:val="0"/>
        </w:rPr>
        <w:t xml:space="preserve"> (10), 677-</w:t>
      </w:r>
      <w:r w:rsidR="00C46AD8">
        <w:rPr>
          <w:rFonts w:hint="eastAsia"/>
          <w:kern w:val="0"/>
        </w:rPr>
        <w:t>687</w:t>
      </w:r>
      <w:r>
        <w:rPr>
          <w:kern w:val="0"/>
        </w:rPr>
        <w:t>.</w:t>
      </w:r>
    </w:p>
    <w:p w:rsidR="007066FD" w:rsidRPr="001A3D2B" w:rsidRDefault="007066FD" w:rsidP="007066FD">
      <w:pPr>
        <w:pStyle w:val="a3"/>
      </w:pPr>
      <w:r w:rsidRPr="001A3D2B">
        <w:t xml:space="preserve">Full Text: </w:t>
      </w:r>
      <w:hyperlink r:id="rId889" w:history="1">
        <w:r w:rsidRPr="002553A7">
          <w:rPr>
            <w:rStyle w:val="a5"/>
          </w:rPr>
          <w:t>2013\Ann Int Med159, 677.pdf</w:t>
        </w:r>
      </w:hyperlink>
    </w:p>
    <w:p w:rsidR="007066FD" w:rsidRDefault="007066FD" w:rsidP="007066FD">
      <w:pPr>
        <w:pStyle w:val="a3"/>
        <w:rPr>
          <w:kern w:val="0"/>
        </w:rPr>
      </w:pPr>
      <w:r>
        <w:rPr>
          <w:kern w:val="0"/>
        </w:rPr>
        <w:t>Abstract: Background: Patient portals tied to provider electronic health record (EHR) systems are increasingly popular. Purpose: To systematically review the literature reporting the effect</w:t>
      </w:r>
      <w:r w:rsidR="00427468">
        <w:rPr>
          <w:kern w:val="0"/>
        </w:rPr>
        <w:t xml:space="preserve"> of </w:t>
      </w:r>
      <w:r>
        <w:rPr>
          <w:kern w:val="0"/>
        </w:rPr>
        <w:t>patient portals on clinical care. Data Sources: PubMed</w:t>
      </w:r>
      <w:r w:rsidR="005853A9">
        <w:rPr>
          <w:kern w:val="0"/>
        </w:rPr>
        <w:t xml:space="preserve"> and </w:t>
      </w:r>
      <w:r>
        <w:rPr>
          <w:kern w:val="0"/>
        </w:rPr>
        <w:t>Web</w:t>
      </w:r>
      <w:r w:rsidR="00427468">
        <w:rPr>
          <w:kern w:val="0"/>
        </w:rPr>
        <w:t xml:space="preserve"> of </w:t>
      </w:r>
      <w:r>
        <w:rPr>
          <w:kern w:val="0"/>
        </w:rPr>
        <w:t>Science searches from 1 January 1990 to 24 January 2013. Study Selection: Hypothesis-testing or quantitative studies</w:t>
      </w:r>
      <w:r w:rsidR="00427468">
        <w:rPr>
          <w:kern w:val="0"/>
        </w:rPr>
        <w:t xml:space="preserve"> of </w:t>
      </w:r>
      <w:r>
        <w:rPr>
          <w:kern w:val="0"/>
        </w:rPr>
        <w:t>patient portals tethered to a provider EHR that addressed patient outcomes, satisfaction, adherence, efficiency, utilization, attitudes,</w:t>
      </w:r>
      <w:r w:rsidR="005853A9">
        <w:rPr>
          <w:kern w:val="0"/>
        </w:rPr>
        <w:t xml:space="preserve"> and </w:t>
      </w:r>
      <w:r>
        <w:rPr>
          <w:kern w:val="0"/>
        </w:rPr>
        <w:t>patient characteristics, as well as qualitative studies</w:t>
      </w:r>
      <w:r w:rsidR="00427468">
        <w:rPr>
          <w:kern w:val="0"/>
        </w:rPr>
        <w:t xml:space="preserve"> of </w:t>
      </w:r>
      <w:r>
        <w:rPr>
          <w:kern w:val="0"/>
        </w:rPr>
        <w:t>barriers or facilitators, were included. Data Extraction: Two reviewers independently extracted data</w:t>
      </w:r>
      <w:r w:rsidR="005853A9">
        <w:rPr>
          <w:kern w:val="0"/>
        </w:rPr>
        <w:t xml:space="preserve"> and </w:t>
      </w:r>
      <w:r>
        <w:rPr>
          <w:kern w:val="0"/>
        </w:rPr>
        <w:t xml:space="preserve">addressed discrepancies through consensus discussion. Data Synthesis: </w:t>
      </w:r>
      <w:r>
        <w:rPr>
          <w:kern w:val="0"/>
        </w:rPr>
        <w:lastRenderedPageBreak/>
        <w:t>From 6508 titles, 14 randomized, controlled trials; 21 observational, hypothesis-testing studies; 5 quantitative, descriptive studies;</w:t>
      </w:r>
      <w:r w:rsidR="005853A9">
        <w:rPr>
          <w:kern w:val="0"/>
        </w:rPr>
        <w:t xml:space="preserve"> and </w:t>
      </w:r>
      <w:r>
        <w:rPr>
          <w:kern w:val="0"/>
        </w:rPr>
        <w:t>6 qualitative studies were included. Evidence is mixed about the effect</w:t>
      </w:r>
      <w:r w:rsidR="00427468">
        <w:rPr>
          <w:kern w:val="0"/>
        </w:rPr>
        <w:t xml:space="preserve"> of </w:t>
      </w:r>
      <w:r>
        <w:rPr>
          <w:kern w:val="0"/>
        </w:rPr>
        <w:t>portals on patient outcomes</w:t>
      </w:r>
      <w:r w:rsidR="005853A9">
        <w:rPr>
          <w:kern w:val="0"/>
        </w:rPr>
        <w:t xml:space="preserve"> and </w:t>
      </w:r>
      <w:r>
        <w:rPr>
          <w:kern w:val="0"/>
        </w:rPr>
        <w:t>satisfaction, although they may be more effective when used with case management</w:t>
      </w:r>
      <w:r w:rsidR="00A37C1D">
        <w:rPr>
          <w:kern w:val="0"/>
        </w:rPr>
        <w:t>. The</w:t>
      </w:r>
      <w:r>
        <w:rPr>
          <w:kern w:val="0"/>
        </w:rPr>
        <w:t xml:space="preserve"> effect</w:t>
      </w:r>
      <w:r w:rsidR="00427468">
        <w:rPr>
          <w:kern w:val="0"/>
        </w:rPr>
        <w:t xml:space="preserve"> of </w:t>
      </w:r>
      <w:r>
        <w:rPr>
          <w:kern w:val="0"/>
        </w:rPr>
        <w:t>portals on utilization</w:t>
      </w:r>
      <w:r w:rsidR="005853A9">
        <w:rPr>
          <w:kern w:val="0"/>
        </w:rPr>
        <w:t xml:space="preserve"> and </w:t>
      </w:r>
      <w:r>
        <w:rPr>
          <w:kern w:val="0"/>
        </w:rPr>
        <w:t>efficiency is unclear, although patient race</w:t>
      </w:r>
      <w:r w:rsidR="005853A9">
        <w:rPr>
          <w:kern w:val="0"/>
        </w:rPr>
        <w:t xml:space="preserve"> and </w:t>
      </w:r>
      <w:r>
        <w:rPr>
          <w:kern w:val="0"/>
        </w:rPr>
        <w:t>ethnicity, education level or literacy,</w:t>
      </w:r>
      <w:r w:rsidR="005853A9">
        <w:rPr>
          <w:kern w:val="0"/>
        </w:rPr>
        <w:t xml:space="preserve"> and </w:t>
      </w:r>
      <w:r>
        <w:rPr>
          <w:kern w:val="0"/>
        </w:rPr>
        <w:t>degree</w:t>
      </w:r>
      <w:r w:rsidR="00427468">
        <w:rPr>
          <w:kern w:val="0"/>
        </w:rPr>
        <w:t xml:space="preserve"> of </w:t>
      </w:r>
      <w:r>
        <w:rPr>
          <w:kern w:val="0"/>
        </w:rPr>
        <w:t>comorbid conditions may influence use. Limitation: Limited data for most outcomes</w:t>
      </w:r>
      <w:r w:rsidR="005853A9">
        <w:rPr>
          <w:kern w:val="0"/>
        </w:rPr>
        <w:t xml:space="preserve"> and </w:t>
      </w:r>
      <w:r>
        <w:rPr>
          <w:kern w:val="0"/>
        </w:rPr>
        <w:t>an absence</w:t>
      </w:r>
      <w:r w:rsidR="00427468">
        <w:rPr>
          <w:kern w:val="0"/>
        </w:rPr>
        <w:t xml:space="preserve"> of </w:t>
      </w:r>
      <w:r>
        <w:rPr>
          <w:kern w:val="0"/>
        </w:rPr>
        <w:t>reporting on organizational</w:t>
      </w:r>
      <w:r w:rsidR="005853A9">
        <w:rPr>
          <w:kern w:val="0"/>
        </w:rPr>
        <w:t xml:space="preserve"> and </w:t>
      </w:r>
      <w:r>
        <w:rPr>
          <w:kern w:val="0"/>
        </w:rPr>
        <w:t>provider context</w:t>
      </w:r>
      <w:r w:rsidR="005853A9">
        <w:rPr>
          <w:kern w:val="0"/>
        </w:rPr>
        <w:t xml:space="preserve"> and </w:t>
      </w:r>
      <w:r>
        <w:rPr>
          <w:kern w:val="0"/>
        </w:rPr>
        <w:t>implementation processes. Conclusion: Evidence that patient portals improve health outcomes, cost, or utilization is insufficient. Patient attitudes are generally positive, but more widespread use may require efforts to overcome racial, ethnic,</w:t>
      </w:r>
      <w:r w:rsidR="005853A9">
        <w:rPr>
          <w:kern w:val="0"/>
        </w:rPr>
        <w:t xml:space="preserve"> and </w:t>
      </w:r>
      <w:r>
        <w:rPr>
          <w:kern w:val="0"/>
        </w:rPr>
        <w:t>literacy barriers. Portals represent a new technology with benefits that are still unclear. Better understanding requires studies that include details about context, implementation factors,</w:t>
      </w:r>
      <w:r w:rsidR="005853A9">
        <w:rPr>
          <w:kern w:val="0"/>
        </w:rPr>
        <w:t xml:space="preserve"> and </w:t>
      </w:r>
      <w:r>
        <w:rPr>
          <w:kern w:val="0"/>
        </w:rPr>
        <w:t>cost.</w:t>
      </w:r>
    </w:p>
    <w:p w:rsidR="007066FD" w:rsidRDefault="007066FD" w:rsidP="007066FD">
      <w:pPr>
        <w:pStyle w:val="a3"/>
        <w:rPr>
          <w:kern w:val="0"/>
        </w:rPr>
      </w:pPr>
      <w:r>
        <w:rPr>
          <w:kern w:val="0"/>
        </w:rPr>
        <w:t>Keywords: Access, Adherence, Attitudes, Barriers, Benefits, Care, Case Management, Characteristics, Cl, Clinical, Collaborative Care, Congestive-Heart-Failure, Consensus, Context, Cost, Data, Education, Efficiency, EHR, Ethnicity, Evidence, Experiences, Extraction, Health, Health Outcomes, Hypertension Control, Hypothesis Testing, Implementation, Influence, Information-Technology, Internet, Literature, Management, Medicine, Nov, Observational, Online, Organizational, Outcomes, Physician, Physicians, Portals, Pubmed, Qualitative, Race, Race</w:t>
      </w:r>
      <w:r w:rsidR="005853A9">
        <w:rPr>
          <w:kern w:val="0"/>
        </w:rPr>
        <w:t xml:space="preserve"> and </w:t>
      </w:r>
      <w:r>
        <w:rPr>
          <w:kern w:val="0"/>
        </w:rPr>
        <w:t>Ethnicity, Randomized, Randomized Controlled-Trial, Record, Reporting, Review, Satisfaction, Science, Shared Medical-Record, Synthesis, Systems, Technology, Understanding, USA, Utilization, Web</w:t>
      </w:r>
      <w:r w:rsidR="00427468">
        <w:rPr>
          <w:kern w:val="0"/>
        </w:rPr>
        <w:t xml:space="preserve"> of </w:t>
      </w:r>
      <w:r>
        <w:rPr>
          <w:kern w:val="0"/>
        </w:rPr>
        <w:t>Science, West</w:t>
      </w:r>
    </w:p>
    <w:p w:rsidR="00C46AD8" w:rsidRDefault="00C46AD8" w:rsidP="00C46AD8">
      <w:pPr>
        <w:pStyle w:val="a3"/>
        <w:rPr>
          <w:kern w:val="0"/>
        </w:rPr>
      </w:pPr>
      <w:r>
        <w:rPr>
          <w:rFonts w:hint="eastAsia"/>
          <w:kern w:val="0"/>
        </w:rPr>
        <w:t xml:space="preserve">? </w:t>
      </w:r>
      <w:r>
        <w:rPr>
          <w:kern w:val="0"/>
        </w:rPr>
        <w:t>Anglemyer, A., Horvath, T. and Rutherford, G. (2014), The accessibility</w:t>
      </w:r>
      <w:r w:rsidR="00427468">
        <w:rPr>
          <w:kern w:val="0"/>
        </w:rPr>
        <w:t xml:space="preserve"> of </w:t>
      </w:r>
      <w:r>
        <w:rPr>
          <w:kern w:val="0"/>
        </w:rPr>
        <w:t>firearms and risk for suicide and homicide victimization among household members</w:t>
      </w:r>
      <w:r>
        <w:rPr>
          <w:rFonts w:hint="eastAsia"/>
          <w:kern w:val="0"/>
        </w:rPr>
        <w:t xml:space="preserve">: </w:t>
      </w:r>
      <w:r w:rsidRPr="009E21E7">
        <w:rPr>
          <w:kern w:val="0"/>
        </w:rPr>
        <w:t>A systematic review and meta-analysis</w:t>
      </w:r>
      <w:r>
        <w:rPr>
          <w:kern w:val="0"/>
        </w:rPr>
        <w:t xml:space="preserve">. </w:t>
      </w:r>
      <w:r>
        <w:rPr>
          <w:i/>
          <w:iCs/>
          <w:kern w:val="0"/>
        </w:rPr>
        <w:t>Annals</w:t>
      </w:r>
      <w:r w:rsidR="00427468">
        <w:rPr>
          <w:i/>
          <w:iCs/>
          <w:kern w:val="0"/>
        </w:rPr>
        <w:t xml:space="preserve"> of </w:t>
      </w:r>
      <w:r>
        <w:rPr>
          <w:i/>
          <w:iCs/>
          <w:kern w:val="0"/>
        </w:rPr>
        <w:t>Internal Medicine</w:t>
      </w:r>
      <w:r>
        <w:rPr>
          <w:kern w:val="0"/>
        </w:rPr>
        <w:t xml:space="preserve">, </w:t>
      </w:r>
      <w:r>
        <w:rPr>
          <w:b/>
          <w:bCs/>
          <w:kern w:val="0"/>
        </w:rPr>
        <w:t>160</w:t>
      </w:r>
      <w:r>
        <w:rPr>
          <w:kern w:val="0"/>
        </w:rPr>
        <w:t xml:space="preserve"> (2), 101-</w:t>
      </w:r>
      <w:r>
        <w:rPr>
          <w:rFonts w:hint="eastAsia"/>
          <w:kern w:val="0"/>
        </w:rPr>
        <w:t>110</w:t>
      </w:r>
      <w:r>
        <w:rPr>
          <w:kern w:val="0"/>
        </w:rPr>
        <w:t>.</w:t>
      </w:r>
    </w:p>
    <w:p w:rsidR="00C46AD8" w:rsidRPr="001A3D2B" w:rsidRDefault="00C46AD8" w:rsidP="00C46AD8">
      <w:pPr>
        <w:pStyle w:val="a3"/>
      </w:pPr>
      <w:r w:rsidRPr="001A3D2B">
        <w:t xml:space="preserve">Full Text: </w:t>
      </w:r>
      <w:hyperlink r:id="rId890" w:history="1">
        <w:r w:rsidRPr="009E21E7">
          <w:rPr>
            <w:rStyle w:val="a5"/>
          </w:rPr>
          <w:t>2014\Ann Int Med160, 101.pdf</w:t>
        </w:r>
      </w:hyperlink>
    </w:p>
    <w:p w:rsidR="00C46AD8" w:rsidRDefault="00C46AD8" w:rsidP="00C46AD8">
      <w:pPr>
        <w:pStyle w:val="a3"/>
        <w:rPr>
          <w:kern w:val="0"/>
        </w:rPr>
      </w:pPr>
      <w:r>
        <w:rPr>
          <w:kern w:val="0"/>
        </w:rPr>
        <w:t>Abstract: Background: Research suggests that access to firearms in the home increases the risk for violent death. Purpose: To understand current estimates</w:t>
      </w:r>
      <w:r w:rsidR="00427468">
        <w:rPr>
          <w:kern w:val="0"/>
        </w:rPr>
        <w:t xml:space="preserve"> of </w:t>
      </w:r>
      <w:r>
        <w:rPr>
          <w:kern w:val="0"/>
        </w:rPr>
        <w:t>the association between firearm availability and suicide or homicide. Data Sources: PubMed, EMBASE, the Cochrane Central Register</w:t>
      </w:r>
      <w:r w:rsidR="00427468">
        <w:rPr>
          <w:kern w:val="0"/>
        </w:rPr>
        <w:t xml:space="preserve"> of </w:t>
      </w:r>
      <w:r>
        <w:rPr>
          <w:kern w:val="0"/>
        </w:rPr>
        <w:t>Controlled Trials, and Web</w:t>
      </w:r>
      <w:r w:rsidR="00427468">
        <w:rPr>
          <w:kern w:val="0"/>
        </w:rPr>
        <w:t xml:space="preserve"> of </w:t>
      </w:r>
      <w:r>
        <w:rPr>
          <w:kern w:val="0"/>
        </w:rPr>
        <w:t>Science were searched without limitations and a gray-literature search was performed on 23 August 2013. Study Selection: All study types that assessed firearm access and outcomes between participants with and without firearm access</w:t>
      </w:r>
      <w:r w:rsidR="00A37C1D">
        <w:rPr>
          <w:kern w:val="0"/>
        </w:rPr>
        <w:t>. The</w:t>
      </w:r>
      <w:r>
        <w:rPr>
          <w:kern w:val="0"/>
        </w:rPr>
        <w:t xml:space="preserve">re were no restrictions on age, sex, or country. Data Extraction: Two authors independently extracted data into a standardized, prepiloted data extraction form. Data Synthesis: Odds ratios (ORs) and 95% CIs were calculated, although published adjusted estimates were preferentially used. Summary effects were estimated using </w:t>
      </w:r>
      <w:r>
        <w:rPr>
          <w:kern w:val="0"/>
        </w:rPr>
        <w:lastRenderedPageBreak/>
        <w:t>random-and fixed-effects models. Potential methodological reasons for differences in effects through subgroup analyses were explored. Data were pooled from 15 observational studies that assessed the odds</w:t>
      </w:r>
      <w:r w:rsidR="00427468">
        <w:rPr>
          <w:kern w:val="0"/>
        </w:rPr>
        <w:t xml:space="preserve"> of </w:t>
      </w:r>
      <w:r>
        <w:rPr>
          <w:kern w:val="0"/>
        </w:rPr>
        <w:t>suicide or homicide, yielding pooled ORs</w:t>
      </w:r>
      <w:r w:rsidR="00427468">
        <w:rPr>
          <w:kern w:val="0"/>
        </w:rPr>
        <w:t xml:space="preserve"> of </w:t>
      </w:r>
      <w:r>
        <w:rPr>
          <w:kern w:val="0"/>
        </w:rPr>
        <w:t>3.24 (95% CI, 2.41 to 4.40) and 1.94 (CI, 1.44 to 2.93), respectively. When only studies that used interviews to determine firearm accessibility were considered, the pooled OR for suicide was 3.14 (CI, 2.29 to 4.43). Limitations: Firearm accessibility was determined by survey interviews in most studies; misclassification</w:t>
      </w:r>
      <w:r w:rsidR="00427468">
        <w:rPr>
          <w:kern w:val="0"/>
        </w:rPr>
        <w:t xml:space="preserve"> of </w:t>
      </w:r>
      <w:r>
        <w:rPr>
          <w:kern w:val="0"/>
        </w:rPr>
        <w:t>accessibility may have occurred. Heterogeneous populations</w:t>
      </w:r>
      <w:r w:rsidR="00427468">
        <w:rPr>
          <w:kern w:val="0"/>
        </w:rPr>
        <w:t xml:space="preserve"> of </w:t>
      </w:r>
      <w:r>
        <w:rPr>
          <w:kern w:val="0"/>
        </w:rPr>
        <w:t>varying risks were synthesized to estimate pooled odds</w:t>
      </w:r>
      <w:r w:rsidR="00427468">
        <w:rPr>
          <w:kern w:val="0"/>
        </w:rPr>
        <w:t xml:space="preserve"> of </w:t>
      </w:r>
      <w:r>
        <w:rPr>
          <w:kern w:val="0"/>
        </w:rPr>
        <w:t>death. Conclusion: Access to firearms is associated with risk for completed suicide and being the victim</w:t>
      </w:r>
      <w:r w:rsidR="00427468">
        <w:rPr>
          <w:kern w:val="0"/>
        </w:rPr>
        <w:t xml:space="preserve"> of </w:t>
      </w:r>
      <w:r>
        <w:rPr>
          <w:kern w:val="0"/>
        </w:rPr>
        <w:t>homicide.</w:t>
      </w:r>
    </w:p>
    <w:p w:rsidR="00C46AD8" w:rsidRDefault="00C46AD8" w:rsidP="00C46AD8">
      <w:pPr>
        <w:pStyle w:val="a3"/>
        <w:rPr>
          <w:kern w:val="0"/>
        </w:rPr>
      </w:pPr>
      <w:r>
        <w:rPr>
          <w:kern w:val="0"/>
        </w:rPr>
        <w:t>Keywords: Access, Accessibility, Adolescent Suicide, Age, Analyses, Association, Authors, Availability, Country, Data, Death, Death Reporting System, Effects, Embase, Estimates, Extraction, Firearm, Firearms, Gender-Gap, Gray Literature, Gun Ownership, Home, Homicide, Household, Injury Control, Interviews, Models, North-Carolina, Observational, Observational Studies, Outcomes, Populations, Pubmed, Research, Restrictions, Risk, Risks, Science, Sex, Suicide, Survey, Synthesis, United-States, Violent, Violent Death, Web</w:t>
      </w:r>
      <w:r w:rsidR="00427468">
        <w:rPr>
          <w:kern w:val="0"/>
        </w:rPr>
        <w:t xml:space="preserve"> of </w:t>
      </w:r>
      <w:r>
        <w:rPr>
          <w:kern w:val="0"/>
        </w:rPr>
        <w:t>Science, Youth Suicide</w:t>
      </w:r>
    </w:p>
    <w:p w:rsidR="00427468" w:rsidRDefault="00427468" w:rsidP="00427468">
      <w:pPr>
        <w:pStyle w:val="a3"/>
        <w:rPr>
          <w:kern w:val="0"/>
        </w:rPr>
      </w:pPr>
      <w:r>
        <w:rPr>
          <w:kern w:val="0"/>
        </w:rPr>
        <w:t xml:space="preserve">? Chowdhury, R., Warnakula, S., Kunutsor, S., Crowe, F., Ward, H.A., Johnson, L., Franco, O.H., Butterworth, A.S., Forouhi, N.G., Thompson, S.G., Khaw, K.T., Mozaffarian, D., Danesh, J. and Di Angelantonio, E. (2014), Association of dietary, circulating, and supplement fatty acids with coronary risk: A systematic review and meta-analysis. </w:t>
      </w:r>
      <w:r>
        <w:rPr>
          <w:i/>
          <w:iCs/>
          <w:kern w:val="0"/>
        </w:rPr>
        <w:t>Annals of Internal Medicine</w:t>
      </w:r>
      <w:r>
        <w:rPr>
          <w:kern w:val="0"/>
        </w:rPr>
        <w:t xml:space="preserve">, </w:t>
      </w:r>
      <w:r>
        <w:rPr>
          <w:b/>
          <w:bCs/>
          <w:kern w:val="0"/>
        </w:rPr>
        <w:t>160</w:t>
      </w:r>
      <w:r>
        <w:rPr>
          <w:kern w:val="0"/>
        </w:rPr>
        <w:t xml:space="preserve"> (6), 398-</w:t>
      </w:r>
      <w:r>
        <w:rPr>
          <w:rFonts w:hint="eastAsia"/>
          <w:kern w:val="0"/>
        </w:rPr>
        <w:t>406</w:t>
      </w:r>
      <w:r>
        <w:rPr>
          <w:kern w:val="0"/>
        </w:rPr>
        <w:t>.</w:t>
      </w:r>
    </w:p>
    <w:p w:rsidR="00427468" w:rsidRDefault="00427468" w:rsidP="00427468">
      <w:pPr>
        <w:pStyle w:val="a3"/>
      </w:pPr>
      <w:r w:rsidRPr="00F219CA">
        <w:t xml:space="preserve">Full Text: </w:t>
      </w:r>
      <w:hyperlink r:id="rId891" w:history="1">
        <w:r w:rsidRPr="00427468">
          <w:rPr>
            <w:rStyle w:val="a5"/>
          </w:rPr>
          <w:t>2014\Ann Int Med160, 398.pdf</w:t>
        </w:r>
      </w:hyperlink>
    </w:p>
    <w:p w:rsidR="00427468" w:rsidRDefault="00427468" w:rsidP="00427468">
      <w:pPr>
        <w:pStyle w:val="a3"/>
        <w:rPr>
          <w:kern w:val="0"/>
        </w:rPr>
      </w:pPr>
      <w:r>
        <w:rPr>
          <w:kern w:val="0"/>
        </w:rPr>
        <w:t xml:space="preserve">Abstract: Background: Guidelines advocate changes in fatty acid consumption to promote cardiovascular health. Purpose: To summarize evidence about associations between fatty acids and coronary disease. Data Sources: MEDLINE, Science Citation Index, and Cochrane Central Register of Controlled Trials through July 2013. Study Selection: Prospective, observational studies and randomized, controlled trials. Data Extraction: Investigators extracted data about study characteristics and assessed study biases. Data Synthesis: There were 32 observational studies (512 420 participants) of fatty acids from dietary intake; 17 observational studies (25 721 participants) of fatty acid biomarkers; and 27 randomized, controlled trials (105 085 participants) of fatty acid supplementation. In observational studies, relative risks for coronary disease were 1.03 (95% CI, 0.98 to 1.07) for saturated, 1.00 (CI, 0.91 to 1.10) for monounsaturated, 0.87 (CI, 0.78 to 0.97) for long-chain omega-3 polyunsaturated, 0.98 (CI, 0.90 to 1.06) for omega-6 polyunsaturated, and 1.16 (CI, 1.06 to 1.27) for trans fatty acids when the top and bottom thirds of baseline dietary fatty acid intake were compared. Corresponding estimates for circulating fatty acids were 1.06 (CI, 0.86 to 1.30), 1.06 (CI, 0.97 to 1.17), 0.84 (CI, 0.63 to 1.11), 0.94 (CI, </w:t>
      </w:r>
      <w:r>
        <w:rPr>
          <w:kern w:val="0"/>
        </w:rPr>
        <w:lastRenderedPageBreak/>
        <w:t>0.84 to 1.06), and 1.05 (CI, 0.76 to 1.44), respectively</w:t>
      </w:r>
      <w:r w:rsidR="00A37C1D">
        <w:rPr>
          <w:kern w:val="0"/>
        </w:rPr>
        <w:t>. The</w:t>
      </w:r>
      <w:r>
        <w:rPr>
          <w:kern w:val="0"/>
        </w:rPr>
        <w:t>re was heterogeneity of the associations among individual circulating fatty acids and coronary disease. In randomized, controlled trials, relative risks for coronary disease were 0.97 (CI, 0.69 to 1.36) for alpha-linolenic, 0.94 (CI, 0.86 to 1.03) for long-chain omega-3 polyunsaturated, and 0.86 (CI, 0.69 to 1.07) for omega-6 polyunsaturated fatty acid supplementations. Limitation: Potential biases from preferential publication and selective reporting. Conclusion: Current evidence does not clearly support cardiovascular guidelines that encourage high consumption of polyunsaturated fatty acids and low consumption of total saturated fats.</w:t>
      </w:r>
    </w:p>
    <w:p w:rsidR="00427468" w:rsidRDefault="00427468" w:rsidP="00427468">
      <w:pPr>
        <w:pStyle w:val="a3"/>
        <w:rPr>
          <w:kern w:val="0"/>
        </w:rPr>
      </w:pPr>
      <w:r>
        <w:rPr>
          <w:kern w:val="0"/>
        </w:rPr>
        <w:t>Keywords: Association, Bias, Biomarkers, Blood, Cardiovascular, Cardiovascular-Disease, Changes, Characteristics, Citation, Cohort, Consumption, Coronary Disease, Data, Disease, Estimates, Evidence, Extraction, Fatty Acid, Fatty Acids, Food Frequency Questionnaire, Guidelines, Health, Heart-Disease, Heterogeneity, Life-Style, Mar, Medline, Meta-Analysis, Observational, Observational Studies, Prevention, Publication, Randomized, Reporting, Review, Risk, Risks, Saturated Fat, Science, Science Citation Index, Support, Synthesis, Systematic Review, Validity</w:t>
      </w:r>
    </w:p>
    <w:p w:rsidR="00F64F85" w:rsidRDefault="00F64F85" w:rsidP="00F64F85">
      <w:pPr>
        <w:pStyle w:val="a3"/>
        <w:rPr>
          <w:kern w:val="0"/>
        </w:rPr>
      </w:pPr>
      <w:r>
        <w:rPr>
          <w:rFonts w:hint="eastAsia"/>
          <w:kern w:val="0"/>
        </w:rPr>
        <w:t xml:space="preserve">? </w:t>
      </w:r>
      <w:r>
        <w:rPr>
          <w:kern w:val="0"/>
        </w:rPr>
        <w:t xml:space="preserve">Bannuru, R.R., Flavin, N.E., Vaysbrot, E., Harvey, W. and McAlindon, T. (2014), High-energy extracorporeal shock-wave therapy for treating chronic calcific tendinitis of the shoulder. </w:t>
      </w:r>
      <w:r>
        <w:rPr>
          <w:i/>
          <w:iCs/>
          <w:kern w:val="0"/>
        </w:rPr>
        <w:t>Annals of Internal Medicine</w:t>
      </w:r>
      <w:r>
        <w:rPr>
          <w:kern w:val="0"/>
        </w:rPr>
        <w:t xml:space="preserve">, </w:t>
      </w:r>
      <w:r>
        <w:rPr>
          <w:b/>
          <w:bCs/>
          <w:kern w:val="0"/>
        </w:rPr>
        <w:t>160</w:t>
      </w:r>
      <w:r>
        <w:rPr>
          <w:kern w:val="0"/>
        </w:rPr>
        <w:t xml:space="preserve"> (8), 542-</w:t>
      </w:r>
      <w:r>
        <w:rPr>
          <w:rFonts w:hint="eastAsia"/>
          <w:kern w:val="0"/>
        </w:rPr>
        <w:t>549</w:t>
      </w:r>
      <w:r>
        <w:rPr>
          <w:kern w:val="0"/>
        </w:rPr>
        <w:t>.</w:t>
      </w:r>
    </w:p>
    <w:p w:rsidR="00F64F85" w:rsidRDefault="00F64F85" w:rsidP="00F64F85">
      <w:pPr>
        <w:pStyle w:val="a3"/>
      </w:pPr>
      <w:r w:rsidRPr="00F219CA">
        <w:t xml:space="preserve">Full Text: </w:t>
      </w:r>
      <w:hyperlink r:id="rId892" w:history="1">
        <w:r w:rsidRPr="00F64F85">
          <w:rPr>
            <w:rStyle w:val="a5"/>
          </w:rPr>
          <w:t>2014\Ann Int Med160, 542.pdf</w:t>
        </w:r>
      </w:hyperlink>
    </w:p>
    <w:p w:rsidR="00F64F85" w:rsidRDefault="00F64F85" w:rsidP="00F64F85">
      <w:pPr>
        <w:pStyle w:val="a3"/>
        <w:rPr>
          <w:kern w:val="0"/>
        </w:rPr>
      </w:pPr>
      <w:r>
        <w:rPr>
          <w:kern w:val="0"/>
        </w:rPr>
        <w:t xml:space="preserve">Abstract: Background: Calcific and noncalcific tendinitis of the shoulder can be unresponsive to conventional therapies. Extracorporeal shock-wave therapy (ESWT) has been suggested as an alternative treatment. Purpose: To assess the efficacy of ESWT in patients with calcific and noncalcific tendinitis. Data Sources: MEDLINE, Cochrane Central Register of Controlled Trials, EMBASE, Web of Science, and Google Scholar were searched up to 1 November 2013. Study Selection: Randomized, controlled trials (RCTs) comparing high-energy versus low-energy ESWT or placebo for treatment of calcific or noncalcific tendinitis of the shoulder. Outcome measures included pain (visual analogue scale score), functional assessment (Constant-Murley score), and resolution of calcifications. Data Extraction: Three independent reviewers abstracted data and determined eligibility and quality by consensus. Data Synthesis: Twenty-eight RCTs met the inclusion criteria. Studies were heterogeneous. Twenty RCTs compared ESWT energy levels and placebo and consistently showed that high-energy ESWT was significantly better than placebo in decreasing pain and improving function and resorption of calcifications in calcific tendinitis. No significant difference was found between ESWT and placebo in treatment of noncalcific tendinitis. Limitation: The number of RCTs was small, and the studies were heterogeneous. Conclusion: High-energy ESWT is effective for </w:t>
      </w:r>
      <w:r>
        <w:rPr>
          <w:kern w:val="0"/>
        </w:rPr>
        <w:lastRenderedPageBreak/>
        <w:t>improving pain and shoulder function in chronic calcific shoulder tendinitis and can result in complete resolution of calcifications. This therapy may be underutilized for a condition that can be difficult to manage.</w:t>
      </w:r>
    </w:p>
    <w:p w:rsidR="00F64F85" w:rsidRDefault="00F64F85" w:rsidP="00F64F85">
      <w:pPr>
        <w:pStyle w:val="a3"/>
        <w:rPr>
          <w:kern w:val="0"/>
        </w:rPr>
      </w:pPr>
      <w:r>
        <w:rPr>
          <w:kern w:val="0"/>
        </w:rPr>
        <w:t>Keywords: Alternative, Assessment, Chronic, Clinical-Trial, Complete, Consensus, Conventional, Criteria, Data, Efficacy, Embase, Energy, Eswt, Extraction, Function, Google, Google Scholar, Measures, Medline, Metaanalysis, Musculoskeletal Disorders, Outcome, Pain, Patients, Placebo, Quality, Radiotherapy, Randomized Controlled-Trial, Reviewers, Rotator-Cuff, Scale, Science, Shock Wave, Single-Blind, Small, Supraspinatus Tendinitis, Synthesis, Tendinopathy, Therapy, Treatment, Web Of Science</w:t>
      </w:r>
    </w:p>
    <w:p w:rsidR="00F64F85" w:rsidRDefault="00F64F85" w:rsidP="00F64F85">
      <w:pPr>
        <w:pStyle w:val="a3"/>
        <w:rPr>
          <w:kern w:val="0"/>
        </w:rPr>
      </w:pPr>
      <w:r>
        <w:rPr>
          <w:rFonts w:hint="eastAsia"/>
          <w:kern w:val="0"/>
        </w:rPr>
        <w:t xml:space="preserve">? </w:t>
      </w:r>
      <w:r>
        <w:rPr>
          <w:kern w:val="0"/>
        </w:rPr>
        <w:t xml:space="preserve">McTaggart, M.P., Newall, R.G., Hirst, J.A., Bankhead, C.R., Lamb, E.J., Roberts, N.W. and Price, C.P. (2014), Diagnostic accuracy of point-of-care tests for detecting albuminuria. </w:t>
      </w:r>
      <w:r>
        <w:rPr>
          <w:i/>
          <w:iCs/>
          <w:kern w:val="0"/>
        </w:rPr>
        <w:t>Annals of Internal Medicine</w:t>
      </w:r>
      <w:r>
        <w:rPr>
          <w:kern w:val="0"/>
        </w:rPr>
        <w:t xml:space="preserve">, </w:t>
      </w:r>
      <w:r>
        <w:rPr>
          <w:b/>
          <w:bCs/>
          <w:kern w:val="0"/>
        </w:rPr>
        <w:t>160</w:t>
      </w:r>
      <w:r>
        <w:rPr>
          <w:kern w:val="0"/>
        </w:rPr>
        <w:t xml:space="preserve"> (8), 550-</w:t>
      </w:r>
      <w:r>
        <w:rPr>
          <w:rFonts w:hint="eastAsia"/>
          <w:kern w:val="0"/>
        </w:rPr>
        <w:t>557</w:t>
      </w:r>
      <w:r>
        <w:rPr>
          <w:kern w:val="0"/>
        </w:rPr>
        <w:t>.</w:t>
      </w:r>
    </w:p>
    <w:p w:rsidR="00F64F85" w:rsidRDefault="00F64F85" w:rsidP="00F64F85">
      <w:pPr>
        <w:pStyle w:val="a3"/>
      </w:pPr>
      <w:r w:rsidRPr="00F219CA">
        <w:t xml:space="preserve">Full Text: </w:t>
      </w:r>
      <w:hyperlink r:id="rId893" w:history="1">
        <w:r w:rsidRPr="00F64F85">
          <w:rPr>
            <w:rStyle w:val="a5"/>
          </w:rPr>
          <w:t>2014\Ann Int Med160, 550.pdf</w:t>
        </w:r>
      </w:hyperlink>
    </w:p>
    <w:p w:rsidR="00F64F85" w:rsidRDefault="00F64F85" w:rsidP="00F64F85">
      <w:pPr>
        <w:pStyle w:val="a3"/>
        <w:rPr>
          <w:kern w:val="0"/>
        </w:rPr>
      </w:pPr>
      <w:r>
        <w:rPr>
          <w:kern w:val="0"/>
        </w:rPr>
        <w:t>Abstract: Background: Experts recommend screening for albuminuria in patients at risk for kidney disease. Purpose: To systematically review evidence about the diagnostic accuracy of point-of-care (POC) tests for detecting albuminuria in individuals for whom guidelines recommend such detection. Data Sources: Cochrane Library, EMBASE, Medion database, MEDLINE, and Science Citation Index from 1963 through 5 December 2013; hand searches of other relevant journals; and reference lists. Study Selection: Cross-sectional studies, published in any language, that compared the accuracy of machine-read POC tests of urinary albumin-creatinine ratio with that of laboratory measurement. Data Extraction: Two independent reviewers extracted study data and assessed study quality using the QUADAS-2 (Quality Assessment of Diagnostic Accuracy Studies 2) tool. Data Synthesis: Sixteen studies (n = 3356 patients) that evaluated semiquantitative or quantitative POC tests and used random urine samples collected in primary or secondary ambulatory care settings met inclusion criteria. Pooling results from a bivariate randomeffects model gave sensitivity and specificity estimates of 76% (95% CI, 63% to 86%) and 93% (CI, 84% to 97%), respectively, for the semiquantitative test. Sensitivity and specificity estimates for the quantitative test were 96% (CI, 78% to 99%) and 98% (CI, 93% to 99%), respectively</w:t>
      </w:r>
      <w:r w:rsidR="00A37C1D">
        <w:rPr>
          <w:kern w:val="0"/>
        </w:rPr>
        <w:t>. The</w:t>
      </w:r>
      <w:r>
        <w:rPr>
          <w:kern w:val="0"/>
        </w:rPr>
        <w:t xml:space="preserve"> negative likelihood ratios for the semiquantitative and quantitative tests were 0.26 (CI, 0.16 to 0.40) and 0.04 (CI, 0.01 to 0.25), respectively. Limitation: Accuracy estimates were based on data from single-sample urine measurement, but guidelines require that diagnosis of albuminuria be based on at least 2 of 3 samples collected in a 6-month period. Conclusion: A negative semiquantitative POC test result does not rule out albuminuria, whereas quantitative POC testing meets required performance standards and can be used to rule out albuminuria.</w:t>
      </w:r>
    </w:p>
    <w:p w:rsidR="00F64F85" w:rsidRDefault="00F64F85" w:rsidP="00F64F85">
      <w:pPr>
        <w:pStyle w:val="a3"/>
        <w:rPr>
          <w:kern w:val="0"/>
        </w:rPr>
      </w:pPr>
      <w:r>
        <w:rPr>
          <w:kern w:val="0"/>
        </w:rPr>
        <w:lastRenderedPageBreak/>
        <w:t>Keywords: Accuracy, Ambulatory, Ambulatory Care, Assessment, Care, Chronic Kidney-Disease, Citation, Clinitek Microalbumin, Collaborative Metaanalysis, Creatinine Ratio, Criteria, Cross-Sectional, Data, Database, Diagnosis, Diagnostic Accuracy, Disease, Embase, Estimates, Evidence, Extraction, General-Population, Glomerular-Filtration-Rate, Guidelines, Journals, Kidney, Kidney Disease, Language, Measurement, Medline, Model, Patients, Performance, Primary, Quality, Reference, Reference Lists, Review, Reviewers, Risk, Risk Population Cohorts, Science, Science Citation Index, Screening, Sensitivity, Specificity, Stage Renal-Disease, Standards, Synthesis, Systematic Reviews, Testing, Urinary, Urinary Albumin, Urine</w:t>
      </w:r>
    </w:p>
    <w:p w:rsidR="0056312E" w:rsidRDefault="0056312E" w:rsidP="0056312E">
      <w:pPr>
        <w:pStyle w:val="a3"/>
        <w:rPr>
          <w:kern w:val="0"/>
        </w:rPr>
      </w:pPr>
      <w:r>
        <w:rPr>
          <w:kern w:val="0"/>
        </w:rPr>
        <w:t>? Stagg, H.R., Zenner, D., Harris, R.J., Munoz, L., Lipman, M.C. and Abubakar, I. (2014), Treatment of latent tuberculosis infection</w:t>
      </w:r>
      <w:r>
        <w:rPr>
          <w:rFonts w:hint="eastAsia"/>
          <w:kern w:val="0"/>
        </w:rPr>
        <w:t>:</w:t>
      </w:r>
      <w:r>
        <w:rPr>
          <w:kern w:val="0"/>
        </w:rPr>
        <w:t xml:space="preserve"> A network meta-analysis. </w:t>
      </w:r>
      <w:r>
        <w:rPr>
          <w:i/>
          <w:iCs/>
          <w:kern w:val="0"/>
        </w:rPr>
        <w:t>Annals of Internal Medicine</w:t>
      </w:r>
      <w:r>
        <w:rPr>
          <w:kern w:val="0"/>
        </w:rPr>
        <w:t xml:space="preserve">, </w:t>
      </w:r>
      <w:r>
        <w:rPr>
          <w:b/>
          <w:bCs/>
          <w:kern w:val="0"/>
        </w:rPr>
        <w:t>161</w:t>
      </w:r>
      <w:r>
        <w:rPr>
          <w:kern w:val="0"/>
        </w:rPr>
        <w:t xml:space="preserve"> (6), 419-</w:t>
      </w:r>
      <w:r>
        <w:rPr>
          <w:rFonts w:hint="eastAsia"/>
          <w:kern w:val="0"/>
        </w:rPr>
        <w:t>427</w:t>
      </w:r>
      <w:r>
        <w:rPr>
          <w:kern w:val="0"/>
        </w:rPr>
        <w:t>.</w:t>
      </w:r>
    </w:p>
    <w:p w:rsidR="0056312E" w:rsidRDefault="0056312E" w:rsidP="0056312E">
      <w:pPr>
        <w:pStyle w:val="a3"/>
      </w:pPr>
      <w:r w:rsidRPr="00F219CA">
        <w:t xml:space="preserve">Full Text: </w:t>
      </w:r>
      <w:hyperlink r:id="rId894" w:history="1">
        <w:r w:rsidRPr="008F53B5">
          <w:rPr>
            <w:rStyle w:val="a5"/>
          </w:rPr>
          <w:t>2014\Ann Int Med160, 419.pdf</w:t>
        </w:r>
      </w:hyperlink>
    </w:p>
    <w:p w:rsidR="0056312E" w:rsidRDefault="0056312E" w:rsidP="0056312E">
      <w:pPr>
        <w:pStyle w:val="a3"/>
        <w:rPr>
          <w:kern w:val="0"/>
        </w:rPr>
      </w:pPr>
      <w:r>
        <w:rPr>
          <w:kern w:val="0"/>
        </w:rPr>
        <w:t>Abstract: Background: Effective treatment of latent tuberculosis infection (LTBI) is an important component of TB elimination programs. Promising new regimens that may be more effective are being introduced. Because few regimens can be directly compared, network meta-analyses, which allow indirect comparisons to be made, strengthen conclusions. Purpose: To determine the most efficacious regimen for preventing active TB with the lowest likelihood of adverse events to inform LTBI treatment policies. Data Sources: PubMed, EMBASE, and Web of Science up to 29 January 2014; clinical trial registries; and conference abstracts. Study Selection: Randomized, controlled trials that evaluated LTBI treatment in humans and recorded at least 1 of 2 prespecified end points (preventing active TB or hepatotoxicity), without language or date restrictions. Data Extraction: Data from eligible studies were independently extracted by 2 investigators according to a standard protocol. Data Synthesis: Of the 1516 articles identified, 53 studies met the inclusion criteria. Data on 15 regimens were available; of 105 possible comparisons, 42 (40%) were compared directly. Compared with placebo, isoniazid for 6 months (odds ratio [OR], 0.64 [95% credible interval {CrI}, 0.48 to 0.83]) or 12 months or longer (OR, 0.52 [CrI, 0.41 to 0.66]), rifampicin for 3 to 4 months (OR, 0.41 [CrI, 0.18 to 0.86]), and rifampicin-isoniazid regimens for 3 to 4 months (OR, 0.52 [CrI, 0.34 to 0.79]) were efficacious within the network. Limitations: The risk of bias was unclear for many studies across various domains. Evidence was sparse for some comparisons, particularly hepatotoxicity. Conclusion: Comparison of different LTBI treatment regimens showed that various therapies containing rifamycins for 3 months or more were efficacious at preventing active TB, potentially more so than isoniazid alone. Regimens containing rifamycins may be effective alternatives to isoniazid monotherapy.</w:t>
      </w:r>
    </w:p>
    <w:p w:rsidR="0056312E" w:rsidRDefault="0056312E" w:rsidP="0056312E">
      <w:pPr>
        <w:pStyle w:val="a3"/>
        <w:rPr>
          <w:kern w:val="0"/>
        </w:rPr>
      </w:pPr>
      <w:r>
        <w:rPr>
          <w:kern w:val="0"/>
        </w:rPr>
        <w:t xml:space="preserve">Keywords: Active, Adverse Events, Alternatives, Articles, Bias, Chemoprophylaxis </w:t>
      </w:r>
      <w:r>
        <w:rPr>
          <w:kern w:val="0"/>
        </w:rPr>
        <w:lastRenderedPageBreak/>
        <w:t>Regimens, Clinical, Clinical Trial, Clinical-Trial, Comparison, Credible Interval, Criteria, Data, Double-Blind, Elimination, Embase, Events, Evidence, Extraction, From, Hepatotoxicity, HIV-Infection, Household Contacts, Human-Immunodeficiency-Virus, Humans, Infection, Interval, Isoniazid Preventive Therapy, Language, Meta Analysis, Meta-Analysis, Metaanalysis, Mixed Treatment Comparisons, Network, Odds Ratio, Placebo, Placebo-Controlled Trial, Policies, Protocol, Pubmed, Randomized, Randomized Controlled-Trial, Registries, Restrictions, Rifampicin, Risk, Science, Standard, Synthesis, Tb, Treatment, Trial, Tuberculosis, Web Of Science</w:t>
      </w:r>
    </w:p>
    <w:p w:rsidR="00CD7B0F" w:rsidRDefault="00CD7B0F" w:rsidP="00CD7B0F">
      <w:pPr>
        <w:pStyle w:val="a3"/>
        <w:rPr>
          <w:kern w:val="0"/>
        </w:rPr>
      </w:pPr>
      <w:r>
        <w:rPr>
          <w:rFonts w:hint="eastAsia"/>
          <w:kern w:val="0"/>
        </w:rPr>
        <w:t xml:space="preserve">? </w:t>
      </w:r>
      <w:r>
        <w:rPr>
          <w:kern w:val="0"/>
        </w:rPr>
        <w:t xml:space="preserve">Qaseem, A., Dallas, P., Forciea, M.A., Starkey, M. and Denberg, T.D. (2014), Dietary and pharmacologic management to prevent recurrent nephrolithiasis in adults: A clinical practice guideline from the American college of physicians. </w:t>
      </w:r>
      <w:r>
        <w:rPr>
          <w:i/>
          <w:iCs/>
          <w:kern w:val="0"/>
        </w:rPr>
        <w:t>Annals of Internal Medicine</w:t>
      </w:r>
      <w:r>
        <w:rPr>
          <w:kern w:val="0"/>
        </w:rPr>
        <w:t xml:space="preserve">, </w:t>
      </w:r>
      <w:r>
        <w:rPr>
          <w:b/>
          <w:bCs/>
          <w:kern w:val="0"/>
        </w:rPr>
        <w:t>161</w:t>
      </w:r>
      <w:r>
        <w:rPr>
          <w:kern w:val="0"/>
        </w:rPr>
        <w:t xml:space="preserve"> (9), 659-</w:t>
      </w:r>
      <w:r>
        <w:rPr>
          <w:rFonts w:hint="eastAsia"/>
          <w:kern w:val="0"/>
        </w:rPr>
        <w:t>667</w:t>
      </w:r>
      <w:r>
        <w:rPr>
          <w:kern w:val="0"/>
        </w:rPr>
        <w:t>.</w:t>
      </w:r>
    </w:p>
    <w:p w:rsidR="00CD7B0F" w:rsidRDefault="00CD7B0F" w:rsidP="00CD7B0F">
      <w:pPr>
        <w:pStyle w:val="a3"/>
      </w:pPr>
      <w:r w:rsidRPr="00F219CA">
        <w:t xml:space="preserve">Full Text: </w:t>
      </w:r>
      <w:hyperlink r:id="rId895" w:history="1">
        <w:r w:rsidRPr="00EA7E9B">
          <w:rPr>
            <w:rStyle w:val="a5"/>
          </w:rPr>
          <w:t>2014\Ann Int Med161, 659.pdf</w:t>
        </w:r>
      </w:hyperlink>
    </w:p>
    <w:p w:rsidR="00CD7B0F" w:rsidRDefault="00CD7B0F" w:rsidP="00CD7B0F">
      <w:pPr>
        <w:pStyle w:val="a3"/>
        <w:rPr>
          <w:kern w:val="0"/>
        </w:rPr>
      </w:pPr>
      <w:r>
        <w:rPr>
          <w:kern w:val="0"/>
        </w:rPr>
        <w:t>Abstract: Description: The American College of Physicians (ACP) developed this guideline to present the evidence and provide clinical recommendations on the comparative effectiveness and safety of preventive dietary and pharmacologic management of recurrent nephrolithiasis in adults. Methods: This guideline is based on published literature on this topic that was identified using MEDLINE, the Cochrane Database of Systematic Reviews (through March 2014), Google Scholar, ClinicalTrials.gov, and Web of Science. Searches were limited to English-language publications. The clinical outcomes evaluated for this guideline include symptomatic stone recurrence, pain, urinary tract obstruction with acute renal impairment, infection, procedure-related illness, emergency department visits, hospitalizations, quality of life, and end-stage renal disease. This guideline grades the quality of evidence and strength of recommendations using ACP’s clinical practice guidelines grading system. The target audience for this guideline is all clinicians, and the target patient population is all adults with recurrent nephrolithiasis (&gt;= 1 prior kidney stone episode). Recommendation 1: ACP recommends management with increased fluid intake spread throughout the day to achieve at least 2 L of urine per day to prevent recurrent nephrolithiasis. (Grade: weak recommendation, low-quality evidence) Recommendation 2: ACP recommends pharmacologic monotherapy with a thiazide diuretic, citrate, or allopurinol to prevent recurrent nephrolithiasis in patients with active disease in which increased fluid intake fails to reduce the formation of stones. (Grade: weak recommendation, moderate-quality evidence).</w:t>
      </w:r>
    </w:p>
    <w:p w:rsidR="00CD7B0F" w:rsidRDefault="00CD7B0F" w:rsidP="00CD7B0F">
      <w:pPr>
        <w:pStyle w:val="a3"/>
        <w:rPr>
          <w:kern w:val="0"/>
        </w:rPr>
      </w:pPr>
      <w:r>
        <w:rPr>
          <w:kern w:val="0"/>
        </w:rPr>
        <w:t xml:space="preserve">Keywords: 1st Kidney-Stone, Acetohydroxamic Acid, Acp, Active, Adults, Calcium-Oxalate Urolithiasis, Calculi, Citrate, Clinical, Clinical Outcomes, Clinical Practice, Clinical Practice Guidelines, Database, Department, Disease, Effectiveness, Emergency, Emergency Department, Evidence, Google, Google Scholar, Guideline, </w:t>
      </w:r>
      <w:r>
        <w:rPr>
          <w:kern w:val="0"/>
        </w:rPr>
        <w:lastRenderedPageBreak/>
        <w:t>Guidelines, Impairment, Infection, Kidney, Life, Literature, Low-Animal-Protein, Management, Medline, Methods, Nov, Outcomes, Pain, Patients, Population, Potassium Citrate, Practice, Practice Guidelines, Prevent, Prophylaxis, Publications, Quality, Quality Of, Quality Of Life, Randomized Controlled Trial, Recommendation, Recommendations, Recurrence, Recurrent, Renal, Safety, Science, Shockwave Lithotripsy, Strength, Systematic, Systematic Reviews, Thiazide, Topic, Urinary, Urine, Web, Web Of Science</w:t>
      </w:r>
    </w:p>
    <w:p w:rsidR="00E933C8" w:rsidRPr="00185FC5" w:rsidRDefault="00E933C8" w:rsidP="00E933C8">
      <w:pPr>
        <w:pStyle w:val="a3"/>
      </w:pPr>
      <w:r>
        <w:rPr>
          <w:rFonts w:hint="eastAsia"/>
        </w:rPr>
        <w:t xml:space="preserve">? </w:t>
      </w:r>
      <w:r w:rsidRPr="00185FC5">
        <w:t>Goldzweig, C.L., Orshansky, G., Paige, N.M., Miake-Lye, I.M., Beroes, J.M., Ewing, B.A. and Shekelle, P.G. (2015), Electronic health record-based interventions for improving appropriate diagnostic imaging</w:t>
      </w:r>
      <w:r>
        <w:rPr>
          <w:rFonts w:hint="eastAsia"/>
        </w:rPr>
        <w:t>:</w:t>
      </w:r>
      <w:r w:rsidRPr="00185FC5">
        <w:t xml:space="preserve"> A systematic review and meta-analysis. </w:t>
      </w:r>
      <w:r w:rsidRPr="00185FC5">
        <w:rPr>
          <w:i/>
          <w:iCs/>
        </w:rPr>
        <w:t>Annals of Internal Medicine</w:t>
      </w:r>
      <w:r w:rsidRPr="00185FC5">
        <w:t xml:space="preserve">, </w:t>
      </w:r>
      <w:r w:rsidRPr="00185FC5">
        <w:rPr>
          <w:b/>
          <w:bCs/>
        </w:rPr>
        <w:t>162</w:t>
      </w:r>
      <w:r w:rsidRPr="00185FC5">
        <w:t xml:space="preserve"> (8), 557-+.</w:t>
      </w:r>
    </w:p>
    <w:p w:rsidR="00E933C8" w:rsidRDefault="00E933C8" w:rsidP="00E933C8">
      <w:pPr>
        <w:pStyle w:val="a3"/>
      </w:pPr>
      <w:r w:rsidRPr="00F219CA">
        <w:t xml:space="preserve">Full Text: </w:t>
      </w:r>
      <w:r w:rsidRPr="00185FC5">
        <w:t>201</w:t>
      </w:r>
      <w:r>
        <w:rPr>
          <w:rFonts w:hint="eastAsia"/>
        </w:rPr>
        <w:t>5</w:t>
      </w:r>
      <w:r w:rsidRPr="00185FC5">
        <w:t>\Ann Int Med16</w:t>
      </w:r>
      <w:r>
        <w:rPr>
          <w:rFonts w:hint="eastAsia"/>
        </w:rPr>
        <w:t>2</w:t>
      </w:r>
      <w:r w:rsidRPr="00185FC5">
        <w:t>, 557.pdf</w:t>
      </w:r>
    </w:p>
    <w:p w:rsidR="00E933C8" w:rsidRPr="00185FC5" w:rsidRDefault="00E933C8" w:rsidP="00E933C8">
      <w:pPr>
        <w:pStyle w:val="a3"/>
      </w:pPr>
      <w:r w:rsidRPr="00185FC5">
        <w:t xml:space="preserve">Abstract: Background: One driver of increasing health care costs is the use of radiologic imaging procedures. More appropriate use could improve quality and reduce costs. Purpose: To review interventions that use the computerized clinical decision-support (CCDS) capabilities of electronic health records to improve appropriate use of diagnostic radiologic test ordering. Data Sources: English-language articles in PubMed from 1995 to September 2014 and searches in Web of Science and PubMed of citations related to key articles. Study Selection: 23 studies, including 3 randomized trials, 7 time-series studies, and 13 pre-post studies that assessed the effect of CCDS on diagnostic radiologic test ordering in adults. Data Extraction: 2 independent reviewers extracted data on functionality, study outcomes, and context and assessed the quality of included studies. Data Synthesis: Thirteen studies provided moderate-level evidence that CCDS improves appropriateness (effect size, -0.49 [95% CI, -0.71 to -0.26]) and reduces use (effect size, -0.13 [CI, -0.23 to -0.04]). Interventions with a </w:t>
      </w:r>
      <w:r>
        <w:t>“</w:t>
      </w:r>
      <w:r w:rsidRPr="00185FC5">
        <w:t>hard stop</w:t>
      </w:r>
      <w:r>
        <w:t>”</w:t>
      </w:r>
      <w:r w:rsidRPr="00185FC5">
        <w:t xml:space="preserve"> that prevents a clinician from overriding the CCDS without outside consultation, as well as interventions in integrated care delivery systems, may be more effective. Harms have rarely been assessed but include decreased ordering of appropriate tests and physician dissatisfaction. Limitation: Potential for publication bias, insufficient reporting of harms, and poor description of context and implementation. Conclusion: Computerized clinical decision support integrated with the electronic health record can improve appropriate use of diagnostic radiology by a moderate amount and decrease use by a small amount. Before widespread adoption can be recommended, more data are needed on potential harms.</w:t>
      </w:r>
    </w:p>
    <w:p w:rsidR="00E933C8" w:rsidRPr="00185FC5" w:rsidRDefault="00E933C8" w:rsidP="00E933C8">
      <w:pPr>
        <w:pStyle w:val="a3"/>
      </w:pPr>
      <w:r w:rsidRPr="00185FC5">
        <w:t>Keywords: Adoption</w:t>
      </w:r>
      <w:r>
        <w:t xml:space="preserve">, </w:t>
      </w:r>
      <w:r w:rsidRPr="00185FC5">
        <w:t>Angiography</w:t>
      </w:r>
      <w:r>
        <w:t xml:space="preserve">, </w:t>
      </w:r>
      <w:r w:rsidRPr="00185FC5">
        <w:t>Bias</w:t>
      </w:r>
      <w:r>
        <w:t xml:space="preserve">, </w:t>
      </w:r>
      <w:r w:rsidRPr="00185FC5">
        <w:t>Care</w:t>
      </w:r>
      <w:r>
        <w:t xml:space="preserve">, </w:t>
      </w:r>
      <w:r w:rsidRPr="00185FC5">
        <w:t>Ccd</w:t>
      </w:r>
      <w:r>
        <w:t xml:space="preserve">, </w:t>
      </w:r>
      <w:r w:rsidRPr="00185FC5">
        <w:t>Citations</w:t>
      </w:r>
      <w:r>
        <w:t xml:space="preserve">, </w:t>
      </w:r>
      <w:r w:rsidRPr="00185FC5">
        <w:t>Clinical</w:t>
      </w:r>
      <w:r>
        <w:t xml:space="preserve">, </w:t>
      </w:r>
      <w:r w:rsidRPr="00185FC5">
        <w:t>Clinical Decision-Support</w:t>
      </w:r>
      <w:r>
        <w:t xml:space="preserve">, </w:t>
      </w:r>
      <w:r w:rsidRPr="00185FC5">
        <w:t>Clinician</w:t>
      </w:r>
      <w:r>
        <w:t xml:space="preserve">, </w:t>
      </w:r>
      <w:r w:rsidRPr="00185FC5">
        <w:t>Computerized Order Entry</w:t>
      </w:r>
      <w:r>
        <w:t xml:space="preserve">, </w:t>
      </w:r>
      <w:r w:rsidRPr="00185FC5">
        <w:t>Consultation</w:t>
      </w:r>
      <w:r>
        <w:t xml:space="preserve">, </w:t>
      </w:r>
      <w:r w:rsidRPr="00185FC5">
        <w:t>Context</w:t>
      </w:r>
      <w:r>
        <w:t xml:space="preserve">, </w:t>
      </w:r>
      <w:r w:rsidRPr="00185FC5">
        <w:t>Costs</w:t>
      </w:r>
      <w:r>
        <w:t xml:space="preserve">, </w:t>
      </w:r>
      <w:r w:rsidRPr="00185FC5">
        <w:t>Ct</w:t>
      </w:r>
      <w:r>
        <w:t xml:space="preserve">, </w:t>
      </w:r>
      <w:r w:rsidRPr="00185FC5">
        <w:t>Data</w:t>
      </w:r>
      <w:r>
        <w:t xml:space="preserve">, </w:t>
      </w:r>
      <w:r w:rsidRPr="00185FC5">
        <w:t>Decision</w:t>
      </w:r>
      <w:r>
        <w:t xml:space="preserve">, </w:t>
      </w:r>
      <w:r w:rsidRPr="00185FC5">
        <w:t>Decision Support</w:t>
      </w:r>
      <w:r>
        <w:t xml:space="preserve">, </w:t>
      </w:r>
      <w:r w:rsidRPr="00185FC5">
        <w:t>Delivery</w:t>
      </w:r>
      <w:r>
        <w:t xml:space="preserve">, </w:t>
      </w:r>
      <w:r w:rsidRPr="00185FC5">
        <w:t>Effect Size</w:t>
      </w:r>
      <w:r>
        <w:t xml:space="preserve">, </w:t>
      </w:r>
      <w:r w:rsidRPr="00185FC5">
        <w:t>Emergency-Departments</w:t>
      </w:r>
      <w:r>
        <w:t xml:space="preserve">, </w:t>
      </w:r>
      <w:r w:rsidRPr="00185FC5">
        <w:t>Evidence</w:t>
      </w:r>
      <w:r>
        <w:t xml:space="preserve">, </w:t>
      </w:r>
      <w:r w:rsidRPr="00185FC5">
        <w:t>Extraction</w:t>
      </w:r>
      <w:r>
        <w:t xml:space="preserve">, </w:t>
      </w:r>
      <w:r w:rsidRPr="00185FC5">
        <w:t>Guidelines</w:t>
      </w:r>
      <w:r>
        <w:t xml:space="preserve">, </w:t>
      </w:r>
      <w:r w:rsidRPr="00185FC5">
        <w:t>Health</w:t>
      </w:r>
      <w:r>
        <w:t xml:space="preserve">, </w:t>
      </w:r>
      <w:r w:rsidRPr="00185FC5">
        <w:t>Health Care</w:t>
      </w:r>
      <w:r>
        <w:t xml:space="preserve">, </w:t>
      </w:r>
      <w:r w:rsidRPr="00185FC5">
        <w:lastRenderedPageBreak/>
        <w:t>Health Care Costs</w:t>
      </w:r>
      <w:r>
        <w:t xml:space="preserve">, </w:t>
      </w:r>
      <w:r w:rsidRPr="00185FC5">
        <w:t>Imaging</w:t>
      </w:r>
      <w:r>
        <w:t xml:space="preserve">, </w:t>
      </w:r>
      <w:r w:rsidRPr="00185FC5">
        <w:t>Impact</w:t>
      </w:r>
      <w:r>
        <w:t xml:space="preserve">, </w:t>
      </w:r>
      <w:r w:rsidRPr="00185FC5">
        <w:t>Implementation</w:t>
      </w:r>
      <w:r>
        <w:t xml:space="preserve">, </w:t>
      </w:r>
      <w:r w:rsidRPr="00185FC5">
        <w:t>Information-Technology</w:t>
      </w:r>
      <w:r>
        <w:t xml:space="preserve">, </w:t>
      </w:r>
      <w:r w:rsidRPr="00185FC5">
        <w:t>Integrated Care</w:t>
      </w:r>
      <w:r>
        <w:t xml:space="preserve">, </w:t>
      </w:r>
      <w:r w:rsidRPr="00185FC5">
        <w:t>Interventions</w:t>
      </w:r>
      <w:r>
        <w:t xml:space="preserve">, </w:t>
      </w:r>
      <w:r w:rsidRPr="00185FC5">
        <w:t>Meta-Analysis</w:t>
      </w:r>
      <w:r>
        <w:t xml:space="preserve">, </w:t>
      </w:r>
      <w:r w:rsidRPr="00185FC5">
        <w:t>Outcomes</w:t>
      </w:r>
      <w:r>
        <w:t xml:space="preserve">, </w:t>
      </w:r>
      <w:r w:rsidRPr="00185FC5">
        <w:t>Physician</w:t>
      </w:r>
      <w:r>
        <w:t xml:space="preserve">, </w:t>
      </w:r>
      <w:r w:rsidRPr="00185FC5">
        <w:t>Potential</w:t>
      </w:r>
      <w:r>
        <w:t xml:space="preserve">, </w:t>
      </w:r>
      <w:r w:rsidRPr="00185FC5">
        <w:t>Procedures</w:t>
      </w:r>
      <w:r>
        <w:t xml:space="preserve">, </w:t>
      </w:r>
      <w:r w:rsidRPr="00185FC5">
        <w:t>Publication</w:t>
      </w:r>
      <w:r>
        <w:t xml:space="preserve">, </w:t>
      </w:r>
      <w:r w:rsidRPr="00185FC5">
        <w:t>Publication Bias</w:t>
      </w:r>
      <w:r>
        <w:t xml:space="preserve">, </w:t>
      </w:r>
      <w:r w:rsidRPr="00185FC5">
        <w:t>Pubmed</w:t>
      </w:r>
      <w:r>
        <w:t xml:space="preserve">, </w:t>
      </w:r>
      <w:r w:rsidRPr="00185FC5">
        <w:t>Quality</w:t>
      </w:r>
      <w:r>
        <w:t xml:space="preserve">, </w:t>
      </w:r>
      <w:r w:rsidRPr="00185FC5">
        <w:t>Quality Of</w:t>
      </w:r>
      <w:r>
        <w:t xml:space="preserve">, </w:t>
      </w:r>
      <w:r w:rsidRPr="00185FC5">
        <w:t>Radiology</w:t>
      </w:r>
      <w:r>
        <w:t xml:space="preserve">, </w:t>
      </w:r>
      <w:r w:rsidRPr="00185FC5">
        <w:t>Randomized</w:t>
      </w:r>
      <w:r>
        <w:t xml:space="preserve">, </w:t>
      </w:r>
      <w:r w:rsidRPr="00185FC5">
        <w:t>Record</w:t>
      </w:r>
      <w:r>
        <w:t xml:space="preserve">, </w:t>
      </w:r>
      <w:r w:rsidRPr="00185FC5">
        <w:t>Records</w:t>
      </w:r>
      <w:r>
        <w:t xml:space="preserve">, </w:t>
      </w:r>
      <w:r w:rsidRPr="00185FC5">
        <w:t>Reporting</w:t>
      </w:r>
      <w:r>
        <w:t xml:space="preserve">, </w:t>
      </w:r>
      <w:r w:rsidRPr="00185FC5">
        <w:t>Review</w:t>
      </w:r>
      <w:r>
        <w:t xml:space="preserve">, </w:t>
      </w:r>
      <w:r w:rsidRPr="00185FC5">
        <w:t>Science</w:t>
      </w:r>
      <w:r>
        <w:t xml:space="preserve">, </w:t>
      </w:r>
      <w:r w:rsidRPr="00185FC5">
        <w:t>Size</w:t>
      </w:r>
      <w:r>
        <w:t xml:space="preserve">, </w:t>
      </w:r>
      <w:r w:rsidRPr="00185FC5">
        <w:t>Small</w:t>
      </w:r>
      <w:r>
        <w:t xml:space="preserve">, </w:t>
      </w:r>
      <w:r w:rsidRPr="00185FC5">
        <w:t>Support</w:t>
      </w:r>
      <w:r>
        <w:t xml:space="preserve">, </w:t>
      </w:r>
      <w:r w:rsidRPr="00185FC5">
        <w:t>Synthesis</w:t>
      </w:r>
      <w:r>
        <w:t xml:space="preserve">, </w:t>
      </w:r>
      <w:r w:rsidRPr="00185FC5">
        <w:t>Systems</w:t>
      </w:r>
      <w:r>
        <w:t xml:space="preserve">, </w:t>
      </w:r>
      <w:r w:rsidRPr="00185FC5">
        <w:t>Time Series</w:t>
      </w:r>
      <w:r>
        <w:t xml:space="preserve">, </w:t>
      </w:r>
      <w:r w:rsidRPr="00185FC5">
        <w:t>Web Of Science</w:t>
      </w:r>
      <w:r>
        <w:t xml:space="preserve">, </w:t>
      </w:r>
      <w:r w:rsidRPr="00185FC5">
        <w:t>Yield</w:t>
      </w:r>
    </w:p>
    <w:p w:rsidR="001C07A1" w:rsidRPr="001A3D2B" w:rsidRDefault="001C07A1" w:rsidP="001C07A1">
      <w:pPr>
        <w:pStyle w:val="1"/>
      </w:pPr>
      <w:r w:rsidRPr="001A3D2B">
        <w:br w:type="page"/>
      </w:r>
      <w:bookmarkStart w:id="475" w:name="_Toc420814506"/>
      <w:r w:rsidRPr="001A3D2B">
        <w:lastRenderedPageBreak/>
        <w:t xml:space="preserve">Title: </w:t>
      </w:r>
      <w:r w:rsidRPr="001C07A1">
        <w:rPr>
          <w:iCs w:val="0"/>
        </w:rPr>
        <w:t>Annals of Laboratory Medicine</w:t>
      </w:r>
      <w:bookmarkEnd w:id="475"/>
    </w:p>
    <w:p w:rsidR="001C07A1" w:rsidRPr="001A3D2B" w:rsidRDefault="001C07A1" w:rsidP="001C07A1">
      <w:pPr>
        <w:pStyle w:val="12"/>
      </w:pPr>
      <w:r w:rsidRPr="001A3D2B">
        <w:t xml:space="preserve">Full Journal Title: </w:t>
      </w:r>
      <w:r w:rsidRPr="001C07A1">
        <w:rPr>
          <w:iCs/>
          <w:kern w:val="0"/>
        </w:rPr>
        <w:t>Annals of Laboratory Medicine</w:t>
      </w:r>
    </w:p>
    <w:p w:rsidR="001C07A1" w:rsidRPr="001A3D2B" w:rsidRDefault="001C07A1" w:rsidP="001C07A1">
      <w:pPr>
        <w:pStyle w:val="12"/>
      </w:pPr>
      <w:r w:rsidRPr="001A3D2B">
        <w:t xml:space="preserve">ISO Abbreviated Title: </w:t>
      </w:r>
    </w:p>
    <w:p w:rsidR="001C07A1" w:rsidRPr="001A3D2B" w:rsidRDefault="001C07A1" w:rsidP="001C07A1">
      <w:pPr>
        <w:pStyle w:val="12"/>
      </w:pPr>
      <w:r w:rsidRPr="001A3D2B">
        <w:t xml:space="preserve">JCR Abbreviated Title: </w:t>
      </w:r>
    </w:p>
    <w:p w:rsidR="001C07A1" w:rsidRPr="001A3D2B" w:rsidRDefault="001C07A1" w:rsidP="001C07A1">
      <w:pPr>
        <w:pStyle w:val="12"/>
      </w:pPr>
      <w:r w:rsidRPr="001A3D2B">
        <w:t xml:space="preserve">ISSN: </w:t>
      </w:r>
    </w:p>
    <w:p w:rsidR="001C07A1" w:rsidRPr="001A3D2B" w:rsidRDefault="001C07A1" w:rsidP="001C07A1">
      <w:pPr>
        <w:pStyle w:val="12"/>
      </w:pPr>
      <w:r w:rsidRPr="001A3D2B">
        <w:t xml:space="preserve">Issues/Year: </w:t>
      </w:r>
    </w:p>
    <w:p w:rsidR="001C07A1" w:rsidRPr="001A3D2B" w:rsidRDefault="001C07A1" w:rsidP="001C07A1">
      <w:pPr>
        <w:pStyle w:val="12"/>
      </w:pPr>
      <w:r w:rsidRPr="001A3D2B">
        <w:t xml:space="preserve">Journal Country/Territory: </w:t>
      </w:r>
    </w:p>
    <w:p w:rsidR="001C07A1" w:rsidRPr="001A3D2B" w:rsidRDefault="001C07A1" w:rsidP="001C07A1">
      <w:pPr>
        <w:pStyle w:val="12"/>
      </w:pPr>
      <w:r w:rsidRPr="001A3D2B">
        <w:t xml:space="preserve">Language: </w:t>
      </w:r>
    </w:p>
    <w:p w:rsidR="001C07A1" w:rsidRPr="001A3D2B" w:rsidRDefault="001C07A1" w:rsidP="001C07A1">
      <w:pPr>
        <w:pStyle w:val="12"/>
      </w:pPr>
      <w:r w:rsidRPr="001A3D2B">
        <w:t xml:space="preserve">Publisher: </w:t>
      </w:r>
    </w:p>
    <w:p w:rsidR="001C07A1" w:rsidRPr="001A3D2B" w:rsidRDefault="001C07A1" w:rsidP="001C07A1">
      <w:pPr>
        <w:pStyle w:val="12"/>
      </w:pPr>
      <w:r w:rsidRPr="001A3D2B">
        <w:t xml:space="preserve">Publisher Address: </w:t>
      </w:r>
    </w:p>
    <w:p w:rsidR="001C07A1" w:rsidRPr="001A3D2B" w:rsidRDefault="001C07A1" w:rsidP="001C07A1">
      <w:pPr>
        <w:pStyle w:val="12"/>
      </w:pPr>
      <w:r w:rsidRPr="001A3D2B">
        <w:t>Subject Categories:</w:t>
      </w:r>
    </w:p>
    <w:p w:rsidR="001C07A1" w:rsidRPr="001A3D2B" w:rsidRDefault="001C07A1" w:rsidP="001C07A1">
      <w:pPr>
        <w:pStyle w:val="12"/>
      </w:pPr>
      <w:r w:rsidRPr="001A3D2B">
        <w:t xml:space="preserve">: Impact Factor </w:t>
      </w:r>
    </w:p>
    <w:p w:rsidR="001C07A1" w:rsidRDefault="001C07A1" w:rsidP="001C07A1">
      <w:pPr>
        <w:pStyle w:val="a3"/>
        <w:rPr>
          <w:kern w:val="0"/>
        </w:rPr>
      </w:pPr>
      <w:r>
        <w:rPr>
          <w:rFonts w:hint="eastAsia"/>
          <w:kern w:val="0"/>
        </w:rPr>
        <w:t xml:space="preserve">? </w:t>
      </w:r>
      <w:r>
        <w:rPr>
          <w:kern w:val="0"/>
        </w:rPr>
        <w:t xml:space="preserve">Dou, Y., Zhu, X.H., Wang, Q.L., Tian, X.W., Cheng, J.J. and Zhang, E.Y. (2015), Meta-analysis of the SLCO1B1 c.521T &gt; C variant reveals slight influence on the lipid-lowering efficacy of statins. </w:t>
      </w:r>
      <w:r w:rsidRPr="001C07A1">
        <w:rPr>
          <w:i/>
          <w:iCs/>
          <w:kern w:val="0"/>
        </w:rPr>
        <w:t>Annals of Laboratory Medicine</w:t>
      </w:r>
      <w:r>
        <w:rPr>
          <w:kern w:val="0"/>
        </w:rPr>
        <w:t xml:space="preserve">, </w:t>
      </w:r>
      <w:r>
        <w:rPr>
          <w:b/>
          <w:bCs/>
          <w:kern w:val="0"/>
        </w:rPr>
        <w:t>35</w:t>
      </w:r>
      <w:r>
        <w:rPr>
          <w:kern w:val="0"/>
        </w:rPr>
        <w:t xml:space="preserve"> (3), 329-335.</w:t>
      </w:r>
    </w:p>
    <w:p w:rsidR="001C07A1" w:rsidRDefault="001C07A1" w:rsidP="001C07A1">
      <w:pPr>
        <w:pStyle w:val="a3"/>
        <w:rPr>
          <w:kern w:val="0"/>
        </w:rPr>
      </w:pPr>
      <w:r>
        <w:rPr>
          <w:rFonts w:hint="eastAsia"/>
          <w:kern w:val="0"/>
        </w:rPr>
        <w:t xml:space="preserve">Full Text: </w:t>
      </w:r>
      <w:hyperlink r:id="rId896" w:history="1">
        <w:r w:rsidRPr="001C07A1">
          <w:rPr>
            <w:rStyle w:val="a5"/>
            <w:kern w:val="0"/>
          </w:rPr>
          <w:t>2015\Ann Lab Med35, 329.pdf</w:t>
        </w:r>
      </w:hyperlink>
    </w:p>
    <w:p w:rsidR="001C07A1" w:rsidRDefault="001C07A1" w:rsidP="001C07A1">
      <w:pPr>
        <w:pStyle w:val="a3"/>
        <w:rPr>
          <w:kern w:val="0"/>
        </w:rPr>
      </w:pPr>
      <w:r>
        <w:rPr>
          <w:kern w:val="0"/>
        </w:rPr>
        <w:t xml:space="preserve">Abstract: Background: Several studies have focused on the association between the lipid-lowering efficacy of statins and the SLCO1B1 c.521T&gt;C polymorphism; however, the results are conflicting. The effects of statins show significant variability between individuals. This meta-analysis aimed to investigate the effects of the.SLCO1B1 c.521T&gt;C polymorphism on the lipid-lowering effects of statins. Methods: We systematically searched PubMed and Web of Science to screen relevant studies. Meta-analysis was performed to identify the association between SLCO1B1 c.521 polymorphisms and the lipid-lowering effects of statinson the basis of the standard mean difference (SMD) and 95% confidence intervals (CIs). Additionally, we checked for heterogeneity (I-2) among studies and evidence of publication bias. We obtained eight studies including 2,012 wild genotype (T/T) and 526 variant genotype (T/C and C/C) cases. Results: No significant difference was observed in the lipid-lowering efficacy of statins between the wildand variant genotypes of SLCO1B1, with a pooled SMD of 0.03 (95% Cl: -0.07-0.13). Furthermore, there was no significant effect in the meta-analyses of the variant heterozygote, homozygote, and Chinese populations. Subgroup meta-analysis indicated that the timerequired for the statin to take effect did not significantly affect the association between lipid-lowering efficacy of statins and SLCO1B1 c.521T&gt;C polymorphism. However, the wild genotype improved the lipid-lowering efficacy of simvastatin with a pooled SMD of -0.26 (95% Cl: -0.47- -0.05). Conclusions: No significant association was detected between the lipid-lowering efficacy of statins </w:t>
      </w:r>
      <w:r>
        <w:rPr>
          <w:kern w:val="0"/>
        </w:rPr>
        <w:lastRenderedPageBreak/>
        <w:t>and the SLCO1B1 c.521T&gt;C polymorphism, with the exception of simvastatin.</w:t>
      </w:r>
    </w:p>
    <w:p w:rsidR="001C07A1" w:rsidRDefault="001C07A1" w:rsidP="001C07A1">
      <w:pPr>
        <w:pStyle w:val="a3"/>
        <w:rPr>
          <w:kern w:val="0"/>
        </w:rPr>
      </w:pPr>
      <w:r>
        <w:rPr>
          <w:kern w:val="0"/>
        </w:rPr>
        <w:t>Keywords: Affect, Association, Atorvastatin, Bias, Chinese, Confidence, Confidence Intervals, Effects, Efficacy, Evidence, Genotype, Heterogeneity, Influence, Intervals, Lipid-Lowering Effect, Meta Analysis, Meta-Analyses, Meta-Analysis, Metaanalysis, Methods, Multiple-Dose Pravastatin, Pharmacokinetics, Polymorphism, Polymorphisms, Populations, Publication, Publication Bias, Pubmed, Results, Rosuvastatin, Science, Simvastatin, Slco1b1 Gene, Standard, Statin, Statins, Therapy, Variability, Variant, Web, Web Of Science</w:t>
      </w:r>
    </w:p>
    <w:p w:rsidR="003474F2" w:rsidRPr="001A3D2B" w:rsidRDefault="003474F2" w:rsidP="003474F2">
      <w:pPr>
        <w:pStyle w:val="1"/>
      </w:pPr>
      <w:r w:rsidRPr="001A3D2B">
        <w:br w:type="page"/>
      </w:r>
      <w:bookmarkStart w:id="476" w:name="_Toc420814507"/>
      <w:r w:rsidRPr="001A3D2B">
        <w:lastRenderedPageBreak/>
        <w:t>Title: Annals</w:t>
      </w:r>
      <w:r w:rsidR="00427468">
        <w:t xml:space="preserve"> of </w:t>
      </w:r>
      <w:r w:rsidRPr="001A3D2B">
        <w:t>Library</w:t>
      </w:r>
      <w:r w:rsidR="005853A9">
        <w:t xml:space="preserve"> and </w:t>
      </w:r>
      <w:r w:rsidRPr="001A3D2B">
        <w:t>Information Studi</w:t>
      </w:r>
      <w:bookmarkStart w:id="477" w:name="_Toc81215613"/>
      <w:r w:rsidRPr="001A3D2B">
        <w:t>es</w:t>
      </w:r>
      <w:bookmarkEnd w:id="476"/>
    </w:p>
    <w:p w:rsidR="003474F2" w:rsidRPr="001A3D2B" w:rsidRDefault="003474F2" w:rsidP="003474F2">
      <w:pPr>
        <w:pStyle w:val="12"/>
      </w:pPr>
      <w:r w:rsidRPr="001A3D2B">
        <w:t xml:space="preserve">Full Journal Title: </w:t>
      </w:r>
      <w:r w:rsidR="00206C8A">
        <w:fldChar w:fldCharType="begin"/>
      </w:r>
      <w:r w:rsidR="00FD158B">
        <w:instrText>HYPERLINK "http://www.ni</w:instrText>
      </w:r>
      <w:bookmarkEnd w:id="477"/>
      <w:r w:rsidR="00FD158B">
        <w:instrText>scom.res.in/ScienceCommunication/ResearchJournals/rejour/annals/annals0.asp"</w:instrText>
      </w:r>
      <w:r w:rsidR="00206C8A">
        <w:fldChar w:fldCharType="separate"/>
      </w:r>
      <w:r w:rsidRPr="001A3D2B">
        <w:rPr>
          <w:rStyle w:val="a5"/>
        </w:rPr>
        <w:t>Annals</w:t>
      </w:r>
      <w:r w:rsidR="00427468">
        <w:rPr>
          <w:rStyle w:val="a5"/>
        </w:rPr>
        <w:t xml:space="preserve"> of </w:t>
      </w:r>
      <w:r w:rsidRPr="001A3D2B">
        <w:rPr>
          <w:rStyle w:val="a5"/>
        </w:rPr>
        <w:t>Library</w:t>
      </w:r>
      <w:r w:rsidR="005853A9">
        <w:rPr>
          <w:rStyle w:val="a5"/>
        </w:rPr>
        <w:t xml:space="preserve"> and </w:t>
      </w:r>
      <w:r w:rsidRPr="001A3D2B">
        <w:rPr>
          <w:rStyle w:val="a5"/>
        </w:rPr>
        <w:t>Information Studies</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0972-5423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Pr="001A3D2B" w:rsidRDefault="003474F2" w:rsidP="003474F2">
      <w:pPr>
        <w:pStyle w:val="a3"/>
      </w:pPr>
      <w:r w:rsidRPr="001A3D2B">
        <w:t>? Sivasubramanian, V. (2000), Journal</w:t>
      </w:r>
      <w:r w:rsidR="00427468">
        <w:t xml:space="preserve"> of </w:t>
      </w:r>
      <w:r w:rsidRPr="001A3D2B">
        <w:t xml:space="preserve">Indian Coffee: A bibliometric. </w:t>
      </w:r>
      <w:r w:rsidRPr="001A3D2B">
        <w:rPr>
          <w:i/>
          <w:iCs/>
        </w:rPr>
        <w:t>Annals</w:t>
      </w:r>
      <w:r w:rsidR="00427468">
        <w:rPr>
          <w:i/>
          <w:iCs/>
        </w:rPr>
        <w:t xml:space="preserve"> of </w:t>
      </w:r>
      <w:r w:rsidRPr="001A3D2B">
        <w:rPr>
          <w:i/>
          <w:iCs/>
        </w:rPr>
        <w:t>Library</w:t>
      </w:r>
      <w:r w:rsidR="005853A9">
        <w:rPr>
          <w:i/>
          <w:iCs/>
        </w:rPr>
        <w:t xml:space="preserve"> and </w:t>
      </w:r>
      <w:r w:rsidRPr="001A3D2B">
        <w:rPr>
          <w:i/>
          <w:iCs/>
        </w:rPr>
        <w:t>Information Studies</w:t>
      </w:r>
      <w:r w:rsidRPr="001A3D2B">
        <w:t xml:space="preserve">, </w:t>
      </w:r>
      <w:r w:rsidRPr="001A3D2B">
        <w:rPr>
          <w:b/>
        </w:rPr>
        <w:t>47</w:t>
      </w:r>
      <w:r w:rsidRPr="001A3D2B">
        <w:rPr>
          <w:bCs/>
        </w:rPr>
        <w:t xml:space="preserve"> (2)</w:t>
      </w:r>
      <w:r w:rsidRPr="001A3D2B">
        <w:t>, 75-??.</w:t>
      </w:r>
    </w:p>
    <w:p w:rsidR="003474F2" w:rsidRPr="001A3D2B" w:rsidRDefault="003474F2" w:rsidP="003474F2">
      <w:pPr>
        <w:pStyle w:val="a3"/>
      </w:pPr>
      <w:r w:rsidRPr="001A3D2B">
        <w:t>? Sen, B.K.</w:t>
      </w:r>
      <w:r w:rsidR="005853A9">
        <w:t xml:space="preserve"> and </w:t>
      </w:r>
      <w:r w:rsidRPr="001A3D2B">
        <w:t xml:space="preserve">Das, A.K. (2002), </w:t>
      </w:r>
      <w:r w:rsidRPr="001A3D2B">
        <w:rPr>
          <w:szCs w:val="27"/>
        </w:rPr>
        <w:t>INSDOC</w:t>
      </w:r>
      <w:r w:rsidR="00700038">
        <w:rPr>
          <w:szCs w:val="27"/>
        </w:rPr>
        <w:t>’</w:t>
      </w:r>
      <w:r w:rsidR="00C13DDC">
        <w:rPr>
          <w:szCs w:val="27"/>
        </w:rPr>
        <w:t>s</w:t>
      </w:r>
      <w:r w:rsidRPr="001A3D2B">
        <w:rPr>
          <w:szCs w:val="27"/>
        </w:rPr>
        <w:t xml:space="preserve"> contribution to bibliometrics</w:t>
      </w:r>
      <w:r w:rsidRPr="001A3D2B">
        <w:t xml:space="preserve">. </w:t>
      </w:r>
      <w:r w:rsidRPr="001A3D2B">
        <w:rPr>
          <w:i/>
          <w:iCs/>
        </w:rPr>
        <w:t>Annals</w:t>
      </w:r>
      <w:r w:rsidR="00427468">
        <w:rPr>
          <w:i/>
          <w:iCs/>
        </w:rPr>
        <w:t xml:space="preserve"> of </w:t>
      </w:r>
      <w:r w:rsidRPr="001A3D2B">
        <w:rPr>
          <w:i/>
          <w:iCs/>
        </w:rPr>
        <w:t>Library</w:t>
      </w:r>
      <w:r w:rsidR="005853A9">
        <w:rPr>
          <w:i/>
          <w:iCs/>
        </w:rPr>
        <w:t xml:space="preserve"> and </w:t>
      </w:r>
      <w:r w:rsidRPr="001A3D2B">
        <w:rPr>
          <w:i/>
          <w:iCs/>
        </w:rPr>
        <w:t>Information Studies</w:t>
      </w:r>
      <w:r w:rsidRPr="001A3D2B">
        <w:t xml:space="preserve">, </w:t>
      </w:r>
      <w:r w:rsidRPr="001A3D2B">
        <w:rPr>
          <w:b/>
        </w:rPr>
        <w:t>49</w:t>
      </w:r>
      <w:r w:rsidRPr="001A3D2B">
        <w:rPr>
          <w:bCs/>
        </w:rPr>
        <w:t xml:space="preserve"> (1)</w:t>
      </w:r>
      <w:r w:rsidRPr="001A3D2B">
        <w:t>, 1-6.</w:t>
      </w:r>
    </w:p>
    <w:p w:rsidR="00266242" w:rsidRPr="001A3D2B" w:rsidRDefault="00266242" w:rsidP="00266242">
      <w:pPr>
        <w:pStyle w:val="a3"/>
      </w:pPr>
      <w:r w:rsidRPr="001A3D2B">
        <w:t xml:space="preserve">Full Text: </w:t>
      </w:r>
      <w:hyperlink r:id="rId897" w:history="1">
        <w:r w:rsidRPr="001A3D2B">
          <w:rPr>
            <w:rStyle w:val="a5"/>
          </w:rPr>
          <w:t>2002\Ann Lib Inf Stu49, 1.pdf</w:t>
        </w:r>
      </w:hyperlink>
    </w:p>
    <w:p w:rsidR="003474F2" w:rsidRPr="001A3D2B" w:rsidRDefault="003474F2" w:rsidP="003474F2">
      <w:pPr>
        <w:pStyle w:val="a3"/>
      </w:pPr>
      <w:r w:rsidRPr="001A3D2B">
        <w:t>Abstract: Traces</w:t>
      </w:r>
      <w:r w:rsidR="003A1917">
        <w:t xml:space="preserve"> the </w:t>
      </w:r>
      <w:r w:rsidRPr="001A3D2B">
        <w:t>history</w:t>
      </w:r>
      <w:r w:rsidR="00427468">
        <w:t xml:space="preserve"> of </w:t>
      </w:r>
      <w:r w:rsidRPr="001A3D2B">
        <w:t>bibliometric research,</w:t>
      </w:r>
      <w:r w:rsidR="005853A9">
        <w:t xml:space="preserve"> and </w:t>
      </w:r>
      <w:r w:rsidRPr="001A3D2B">
        <w:t>related training activities in INSDOC. Describes briefly</w:t>
      </w:r>
      <w:r w:rsidR="003A1917">
        <w:t xml:space="preserve"> the </w:t>
      </w:r>
      <w:r w:rsidRPr="001A3D2B">
        <w:t>objectives, facilities, services, research activities,</w:t>
      </w:r>
      <w:r w:rsidR="005853A9">
        <w:t xml:space="preserve"> and </w:t>
      </w:r>
      <w:r w:rsidRPr="001A3D2B">
        <w:t>publications</w:t>
      </w:r>
      <w:r w:rsidR="00427468">
        <w:t xml:space="preserve"> of </w:t>
      </w:r>
      <w:r w:rsidRPr="001A3D2B">
        <w:t>National Centre on Bibliometrics.</w:t>
      </w:r>
    </w:p>
    <w:p w:rsidR="005823FA" w:rsidRPr="00F219CA" w:rsidRDefault="005823FA" w:rsidP="005823FA">
      <w:pPr>
        <w:pStyle w:val="a3"/>
      </w:pPr>
      <w:r>
        <w:rPr>
          <w:rFonts w:hint="eastAsia"/>
        </w:rPr>
        <w:t xml:space="preserve">? </w:t>
      </w:r>
      <w:r>
        <w:t>Prathap, G. and Gupta, B.M. (2011), Ranking of Indian medical colleges for their research performance during 1999-2008</w:t>
      </w:r>
      <w:r>
        <w:rPr>
          <w:rFonts w:hint="eastAsia"/>
        </w:rPr>
        <w:t xml:space="preserve">. </w:t>
      </w:r>
      <w:r w:rsidRPr="001E1F74">
        <w:rPr>
          <w:i/>
        </w:rPr>
        <w:t>Annals of Library and Information Studies</w:t>
      </w:r>
      <w:r>
        <w:t xml:space="preserve">, </w:t>
      </w:r>
      <w:r w:rsidRPr="001E1F74">
        <w:rPr>
          <w:b/>
        </w:rPr>
        <w:t>58</w:t>
      </w:r>
      <w:r>
        <w:t>, 203-210.</w:t>
      </w:r>
    </w:p>
    <w:p w:rsidR="005823FA" w:rsidRPr="00F219CA" w:rsidRDefault="005823FA" w:rsidP="005823FA">
      <w:pPr>
        <w:pStyle w:val="a3"/>
      </w:pPr>
      <w:r w:rsidRPr="00F219CA">
        <w:t xml:space="preserve">Full Text: </w:t>
      </w:r>
      <w:hyperlink r:id="rId898" w:history="1">
        <w:r w:rsidRPr="001E1F74">
          <w:rPr>
            <w:rStyle w:val="a5"/>
          </w:rPr>
          <w:t>2011\Ann Lib Inf Stu58, 203.pdf</w:t>
        </w:r>
      </w:hyperlink>
    </w:p>
    <w:p w:rsidR="005823FA" w:rsidRPr="00F219CA" w:rsidRDefault="005823FA" w:rsidP="005823FA">
      <w:pPr>
        <w:pStyle w:val="a3"/>
      </w:pPr>
      <w:r>
        <w:rPr>
          <w:rFonts w:hint="eastAsia"/>
        </w:rPr>
        <w:t xml:space="preserve">? </w:t>
      </w:r>
      <w:r>
        <w:t>Gupta, B.M.</w:t>
      </w:r>
      <w:r>
        <w:rPr>
          <w:rFonts w:hint="eastAsia"/>
        </w:rPr>
        <w:t>, Kaur, H</w:t>
      </w:r>
      <w:r>
        <w:t xml:space="preserve">. and </w:t>
      </w:r>
      <w:r>
        <w:rPr>
          <w:rFonts w:hint="eastAsia"/>
        </w:rPr>
        <w:t>Kshitig, A</w:t>
      </w:r>
      <w:r>
        <w:t xml:space="preserve">. (2011), </w:t>
      </w:r>
      <w:r>
        <w:rPr>
          <w:rFonts w:hint="eastAsia"/>
        </w:rPr>
        <w:t xml:space="preserve">Dementia research in India: A scientometric analysis of research output during 2002-11. </w:t>
      </w:r>
      <w:r w:rsidRPr="001E1F74">
        <w:rPr>
          <w:i/>
        </w:rPr>
        <w:t>Annals of Library and Information Studies</w:t>
      </w:r>
      <w:r>
        <w:t xml:space="preserve">, </w:t>
      </w:r>
      <w:r w:rsidRPr="001E1F74">
        <w:rPr>
          <w:b/>
        </w:rPr>
        <w:t>5</w:t>
      </w:r>
      <w:r>
        <w:rPr>
          <w:rFonts w:hint="eastAsia"/>
          <w:b/>
        </w:rPr>
        <w:t>9</w:t>
      </w:r>
      <w:r>
        <w:t xml:space="preserve">, </w:t>
      </w:r>
      <w:r>
        <w:rPr>
          <w:rFonts w:hint="eastAsia"/>
        </w:rPr>
        <w:t>280</w:t>
      </w:r>
      <w:r>
        <w:t>-</w:t>
      </w:r>
      <w:r>
        <w:rPr>
          <w:rFonts w:hint="eastAsia"/>
        </w:rPr>
        <w:t>288</w:t>
      </w:r>
      <w:r>
        <w:t>.</w:t>
      </w:r>
    </w:p>
    <w:p w:rsidR="005823FA" w:rsidRPr="00F219CA" w:rsidRDefault="005823FA" w:rsidP="005823FA">
      <w:pPr>
        <w:pStyle w:val="a3"/>
      </w:pPr>
      <w:r w:rsidRPr="00F219CA">
        <w:t xml:space="preserve">Full Text: </w:t>
      </w:r>
      <w:hyperlink r:id="rId899" w:history="1">
        <w:r w:rsidRPr="005823FA">
          <w:rPr>
            <w:rStyle w:val="a5"/>
          </w:rPr>
          <w:t>2011\Ann Lib Inf Stu59, 280.pdf</w:t>
        </w:r>
      </w:hyperlink>
    </w:p>
    <w:p w:rsidR="003474F2" w:rsidRPr="001A3D2B" w:rsidRDefault="003474F2" w:rsidP="003474F2">
      <w:pPr>
        <w:pStyle w:val="1"/>
      </w:pPr>
      <w:r w:rsidRPr="001A3D2B">
        <w:br w:type="page"/>
      </w:r>
      <w:bookmarkStart w:id="478" w:name="_Toc420814508"/>
      <w:r w:rsidRPr="001A3D2B">
        <w:lastRenderedPageBreak/>
        <w:t>Title: Annals</w:t>
      </w:r>
      <w:r w:rsidR="00427468">
        <w:t xml:space="preserve"> of </w:t>
      </w:r>
      <w:r w:rsidRPr="001A3D2B">
        <w:t>Library Science</w:t>
      </w:r>
      <w:r w:rsidR="005853A9">
        <w:t xml:space="preserve"> and </w:t>
      </w:r>
      <w:r w:rsidRPr="001A3D2B">
        <w:t>Documentation</w:t>
      </w:r>
      <w:bookmarkEnd w:id="478"/>
    </w:p>
    <w:p w:rsidR="003474F2" w:rsidRPr="001A3D2B" w:rsidRDefault="003474F2" w:rsidP="003474F2">
      <w:pPr>
        <w:pStyle w:val="12"/>
      </w:pPr>
      <w:r w:rsidRPr="001A3D2B">
        <w:t xml:space="preserve">Full Journal Title: </w:t>
      </w:r>
      <w:hyperlink r:id="rId900" w:history="1">
        <w:r w:rsidRPr="001A3D2B">
          <w:rPr>
            <w:rStyle w:val="a5"/>
          </w:rPr>
          <w:t>Annals</w:t>
        </w:r>
        <w:r w:rsidR="00427468">
          <w:rPr>
            <w:rStyle w:val="a5"/>
          </w:rPr>
          <w:t xml:space="preserve"> of </w:t>
        </w:r>
        <w:r w:rsidRPr="001A3D2B">
          <w:rPr>
            <w:rStyle w:val="a5"/>
          </w:rPr>
          <w:t>Library Science</w:t>
        </w:r>
        <w:r w:rsidR="005853A9">
          <w:rPr>
            <w:rStyle w:val="a5"/>
          </w:rPr>
          <w:t xml:space="preserve"> and </w:t>
        </w:r>
        <w:r w:rsidRPr="001A3D2B">
          <w:rPr>
            <w:rStyle w:val="a5"/>
          </w:rPr>
          <w:t>Documentation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w:t>
      </w:r>
      <w:r w:rsidR="00086A18" w:rsidRPr="001A3D2B">
        <w:t xml:space="preserve"> 0003-4835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E480C" w:rsidRPr="001A3D2B" w:rsidRDefault="003E480C" w:rsidP="003E480C">
      <w:pPr>
        <w:pStyle w:val="a3"/>
      </w:pPr>
      <w:r w:rsidRPr="001A3D2B">
        <w:t>? Maheswarappa, B.S.</w:t>
      </w:r>
      <w:r w:rsidR="005853A9">
        <w:t xml:space="preserve"> and </w:t>
      </w:r>
      <w:r w:rsidRPr="001A3D2B">
        <w:t>Surya Rao, K. (1982), Journal literature</w:t>
      </w:r>
      <w:r w:rsidR="00427468">
        <w:t xml:space="preserve"> of </w:t>
      </w:r>
      <w:r w:rsidRPr="001A3D2B">
        <w:t>food science</w:t>
      </w:r>
      <w:r w:rsidR="005853A9">
        <w:t xml:space="preserve"> and </w:t>
      </w:r>
      <w:r w:rsidRPr="001A3D2B">
        <w:t xml:space="preserve">technology: A bibliometric study. </w:t>
      </w:r>
      <w:r w:rsidRPr="001A3D2B">
        <w:rPr>
          <w:i/>
          <w:iCs/>
        </w:rPr>
        <w:t>Annals</w:t>
      </w:r>
      <w:r w:rsidR="00427468">
        <w:rPr>
          <w:i/>
          <w:iCs/>
        </w:rPr>
        <w:t xml:space="preserve"> of </w:t>
      </w:r>
      <w:r w:rsidRPr="001A3D2B">
        <w:rPr>
          <w:i/>
          <w:iCs/>
        </w:rPr>
        <w:t>Library Science</w:t>
      </w:r>
      <w:r w:rsidR="005853A9">
        <w:rPr>
          <w:i/>
          <w:iCs/>
        </w:rPr>
        <w:t xml:space="preserve"> and </w:t>
      </w:r>
      <w:r w:rsidRPr="001A3D2B">
        <w:rPr>
          <w:i/>
          <w:iCs/>
        </w:rPr>
        <w:t>Documentation</w:t>
      </w:r>
      <w:r w:rsidRPr="001A3D2B">
        <w:t xml:space="preserve">, </w:t>
      </w:r>
      <w:r w:rsidRPr="001A3D2B">
        <w:rPr>
          <w:b/>
          <w:bCs/>
        </w:rPr>
        <w:t>29</w:t>
      </w:r>
      <w:r w:rsidRPr="001A3D2B">
        <w:t xml:space="preserve"> (3), 126-134.</w:t>
      </w:r>
    </w:p>
    <w:p w:rsidR="003E480C" w:rsidRPr="001A3D2B" w:rsidRDefault="003E480C" w:rsidP="003E480C">
      <w:pPr>
        <w:pStyle w:val="a3"/>
      </w:pPr>
      <w:r w:rsidRPr="001A3D2B">
        <w:t xml:space="preserve">Full Text: </w:t>
      </w:r>
      <w:r w:rsidRPr="001A3D2B">
        <w:rPr>
          <w:kern w:val="2"/>
        </w:rPr>
        <w:t>Ann Lib Sci Doc29, 126.pdf</w:t>
      </w:r>
    </w:p>
    <w:p w:rsidR="003E480C" w:rsidRPr="001A3D2B" w:rsidRDefault="003E480C" w:rsidP="003E480C">
      <w:pPr>
        <w:pStyle w:val="a3"/>
      </w:pPr>
      <w:r w:rsidRPr="001A3D2B">
        <w:t>Abstract: Approx. 325 organizations have been identified as engaged in food science</w:t>
      </w:r>
      <w:r w:rsidR="005853A9">
        <w:t xml:space="preserve"> and </w:t>
      </w:r>
      <w:r w:rsidRPr="001A3D2B">
        <w:t>technology research worldwide,</w:t>
      </w:r>
      <w:r w:rsidR="005853A9">
        <w:t xml:space="preserve"> and </w:t>
      </w:r>
      <w:r w:rsidR="003A1917">
        <w:t xml:space="preserve">the </w:t>
      </w:r>
      <w:r w:rsidRPr="001A3D2B">
        <w:t>proliferation</w:t>
      </w:r>
      <w:r w:rsidR="005853A9">
        <w:t xml:space="preserve"> and </w:t>
      </w:r>
      <w:r w:rsidRPr="001A3D2B">
        <w:t>increasing vol.</w:t>
      </w:r>
      <w:r w:rsidR="00427468">
        <w:t xml:space="preserve"> of </w:t>
      </w:r>
      <w:r w:rsidR="003A1917">
        <w:t xml:space="preserve">the </w:t>
      </w:r>
      <w:r w:rsidRPr="001A3D2B">
        <w:t>literature is reflected by changes in</w:t>
      </w:r>
      <w:r w:rsidR="003A1917">
        <w:t xml:space="preserve"> the </w:t>
      </w:r>
      <w:r w:rsidRPr="001A3D2B">
        <w:t>FSTA journal coverage</w:t>
      </w:r>
      <w:r w:rsidR="005853A9">
        <w:t xml:space="preserve"> and </w:t>
      </w:r>
      <w:r w:rsidRPr="001A3D2B">
        <w:t>number</w:t>
      </w:r>
      <w:r w:rsidR="00427468">
        <w:t xml:space="preserve"> of </w:t>
      </w:r>
      <w:r w:rsidRPr="001A3D2B">
        <w:t>abstracts in</w:t>
      </w:r>
      <w:r w:rsidR="003A1917">
        <w:t xml:space="preserve"> the </w:t>
      </w:r>
      <w:r w:rsidRPr="001A3D2B">
        <w:t>period 1969 to 1981, rising from 1000 to 1700</w:t>
      </w:r>
      <w:r w:rsidR="005853A9">
        <w:t xml:space="preserve"> and </w:t>
      </w:r>
      <w:r w:rsidRPr="001A3D2B">
        <w:t>from 11 980 to 17 581, resp. A study aimed at identifying</w:t>
      </w:r>
      <w:r w:rsidR="003A1917">
        <w:t xml:space="preserve"> the </w:t>
      </w:r>
      <w:r w:rsidRPr="001A3D2B">
        <w:t>main bibliographic forms,</w:t>
      </w:r>
      <w:r w:rsidR="003A1917">
        <w:t xml:space="preserve"> the </w:t>
      </w:r>
      <w:r w:rsidRPr="001A3D2B">
        <w:t>core journals,</w:t>
      </w:r>
      <w:r w:rsidR="003A1917">
        <w:t xml:space="preserve"> the </w:t>
      </w:r>
      <w:r w:rsidRPr="001A3D2B">
        <w:t>country</w:t>
      </w:r>
      <w:r w:rsidR="00427468">
        <w:t xml:space="preserve"> of </w:t>
      </w:r>
      <w:r w:rsidRPr="001A3D2B">
        <w:t>origin,</w:t>
      </w:r>
      <w:r w:rsidR="003A1917">
        <w:t xml:space="preserve"> the </w:t>
      </w:r>
      <w:r w:rsidRPr="001A3D2B">
        <w:t>literature obsolescence rate</w:t>
      </w:r>
      <w:r w:rsidR="005853A9">
        <w:t xml:space="preserve"> and </w:t>
      </w:r>
      <w:r w:rsidR="003A1917">
        <w:t xml:space="preserve">the </w:t>
      </w:r>
      <w:r w:rsidRPr="001A3D2B">
        <w:t>applicability</w:t>
      </w:r>
      <w:r w:rsidR="00427468">
        <w:t xml:space="preserve"> of </w:t>
      </w:r>
      <w:r w:rsidRPr="001A3D2B">
        <w:t>Bradford</w:t>
      </w:r>
      <w:r w:rsidR="00700038">
        <w:t>’</w:t>
      </w:r>
      <w:r w:rsidR="00C13DDC">
        <w:t>s</w:t>
      </w:r>
      <w:r w:rsidRPr="001A3D2B">
        <w:t xml:space="preserve"> Law was undertaken by analysing</w:t>
      </w:r>
      <w:r w:rsidR="003A1917">
        <w:t xml:space="preserve"> the </w:t>
      </w:r>
      <w:r w:rsidRPr="001A3D2B">
        <w:t>citations given in all articles in 3 major journals, viz. Journal</w:t>
      </w:r>
      <w:r w:rsidR="00427468">
        <w:t xml:space="preserve"> of </w:t>
      </w:r>
      <w:r w:rsidRPr="001A3D2B">
        <w:t>Food Science; Journal</w:t>
      </w:r>
      <w:r w:rsidR="00427468">
        <w:t xml:space="preserve"> of </w:t>
      </w:r>
      <w:r w:rsidRPr="001A3D2B">
        <w:t>Food Science</w:t>
      </w:r>
      <w:r w:rsidR="005853A9">
        <w:t xml:space="preserve"> and </w:t>
      </w:r>
      <w:r w:rsidRPr="001A3D2B">
        <w:t>Technology, India;</w:t>
      </w:r>
      <w:r w:rsidR="005853A9">
        <w:t xml:space="preserve"> and </w:t>
      </w:r>
      <w:r w:rsidRPr="001A3D2B">
        <w:t>Journal</w:t>
      </w:r>
      <w:r w:rsidR="00427468">
        <w:t xml:space="preserve"> of </w:t>
      </w:r>
      <w:r w:rsidRPr="001A3D2B">
        <w:t>Food Technology, for</w:t>
      </w:r>
      <w:r w:rsidR="003A1917">
        <w:t xml:space="preserve"> the </w:t>
      </w:r>
      <w:r w:rsidRPr="001A3D2B">
        <w:t>period Jan. to June 1980. 74%</w:t>
      </w:r>
      <w:r w:rsidR="00427468">
        <w:t xml:space="preserve"> of </w:t>
      </w:r>
      <w:r w:rsidRPr="001A3D2B">
        <w:t>citations were</w:t>
      </w:r>
      <w:r w:rsidR="00427468">
        <w:t xml:space="preserve"> of </w:t>
      </w:r>
      <w:r w:rsidRPr="001A3D2B">
        <w:t>periodical literature, with books</w:t>
      </w:r>
      <w:r w:rsidR="003A1917">
        <w:t xml:space="preserve"> the </w:t>
      </w:r>
      <w:r w:rsidRPr="001A3D2B">
        <w:t>next largest source at 14%. In a total</w:t>
      </w:r>
      <w:r w:rsidR="00427468">
        <w:t xml:space="preserve"> of </w:t>
      </w:r>
      <w:r w:rsidRPr="001A3D2B">
        <w:t>4570 citations, 62 journals were cited &gt;=10 times; these titles are listed in rank order as core journals, with their country</w:t>
      </w:r>
      <w:r w:rsidR="00427468">
        <w:t xml:space="preserve"> of </w:t>
      </w:r>
      <w:r w:rsidRPr="001A3D2B">
        <w:t>origin as identified from periodical directories. A plot</w:t>
      </w:r>
      <w:r w:rsidR="00427468">
        <w:t xml:space="preserve"> of </w:t>
      </w:r>
      <w:r w:rsidRPr="001A3D2B">
        <w:t>cumulative total citations against quinquennial period</w:t>
      </w:r>
      <w:r w:rsidR="00427468">
        <w:t xml:space="preserve"> of </w:t>
      </w:r>
      <w:r w:rsidRPr="001A3D2B">
        <w:t>origin showed that half</w:t>
      </w:r>
      <w:r w:rsidR="003A1917">
        <w:t xml:space="preserve"> the </w:t>
      </w:r>
      <w:r w:rsidRPr="001A3D2B">
        <w:t>citations were &lt;=7 yr old; i.e</w:t>
      </w:r>
      <w:r w:rsidR="00A37C1D">
        <w:t>. The</w:t>
      </w:r>
      <w:r w:rsidR="003A1917">
        <w:t xml:space="preserve"> </w:t>
      </w:r>
      <w:r w:rsidRPr="001A3D2B">
        <w:t>half-life</w:t>
      </w:r>
      <w:r w:rsidR="00427468">
        <w:t xml:space="preserve"> of </w:t>
      </w:r>
      <w:r w:rsidR="003A1917">
        <w:t xml:space="preserve">the </w:t>
      </w:r>
      <w:r w:rsidRPr="001A3D2B">
        <w:t>literature is 7 yr.</w:t>
      </w:r>
    </w:p>
    <w:p w:rsidR="003474F2" w:rsidRPr="001A3D2B" w:rsidRDefault="003474F2" w:rsidP="003474F2">
      <w:pPr>
        <w:pStyle w:val="a3"/>
      </w:pPr>
      <w:r w:rsidRPr="001A3D2B">
        <w:t>Rana, M.S.</w:t>
      </w:r>
      <w:r w:rsidR="005853A9">
        <w:t xml:space="preserve"> and </w:t>
      </w:r>
      <w:r w:rsidRPr="001A3D2B">
        <w:t>Agarwal, S. (1994), Authorship trends in Indian wildlife</w:t>
      </w:r>
      <w:r w:rsidR="005853A9">
        <w:t xml:space="preserve"> and </w:t>
      </w:r>
      <w:r w:rsidRPr="001A3D2B">
        <w:t xml:space="preserve">fisheries literature: A bibliometric study. </w:t>
      </w:r>
      <w:r w:rsidRPr="001A3D2B">
        <w:rPr>
          <w:i/>
          <w:iCs/>
        </w:rPr>
        <w:t>Annals</w:t>
      </w:r>
      <w:r w:rsidR="00427468">
        <w:rPr>
          <w:i/>
          <w:iCs/>
        </w:rPr>
        <w:t xml:space="preserve"> of </w:t>
      </w:r>
      <w:r w:rsidRPr="001A3D2B">
        <w:rPr>
          <w:i/>
          <w:iCs/>
        </w:rPr>
        <w:t>Library Science</w:t>
      </w:r>
      <w:r w:rsidR="005853A9">
        <w:rPr>
          <w:i/>
          <w:iCs/>
        </w:rPr>
        <w:t xml:space="preserve"> and </w:t>
      </w:r>
      <w:r w:rsidRPr="001A3D2B">
        <w:rPr>
          <w:i/>
          <w:iCs/>
        </w:rPr>
        <w:t>Documentation</w:t>
      </w:r>
      <w:r w:rsidRPr="001A3D2B">
        <w:t xml:space="preserve">, </w:t>
      </w:r>
      <w:r w:rsidRPr="001A3D2B">
        <w:rPr>
          <w:b/>
          <w:bCs/>
        </w:rPr>
        <w:t>41</w:t>
      </w:r>
      <w:r w:rsidRPr="001A3D2B">
        <w:t xml:space="preserve"> (1), 13-18.</w:t>
      </w:r>
    </w:p>
    <w:p w:rsidR="003474F2" w:rsidRPr="001A3D2B" w:rsidRDefault="003474F2" w:rsidP="003474F2">
      <w:pPr>
        <w:pStyle w:val="a3"/>
      </w:pPr>
      <w:r w:rsidRPr="001A3D2B">
        <w:t xml:space="preserve">Full Text: </w:t>
      </w:r>
      <w:hyperlink r:id="rId901" w:history="1">
        <w:r w:rsidRPr="001A3D2B">
          <w:rPr>
            <w:rStyle w:val="a5"/>
          </w:rPr>
          <w:t>1994\Ann Lib Sci Doc41, 13.pdf</w:t>
        </w:r>
      </w:hyperlink>
    </w:p>
    <w:p w:rsidR="003474F2" w:rsidRPr="001A3D2B" w:rsidRDefault="003474F2" w:rsidP="003474F2">
      <w:pPr>
        <w:pStyle w:val="a3"/>
      </w:pPr>
      <w:r w:rsidRPr="001A3D2B">
        <w:t>Abstract:</w:t>
      </w:r>
      <w:r w:rsidR="003A1917">
        <w:t xml:space="preserve"> the </w:t>
      </w:r>
      <w:r w:rsidRPr="001A3D2B">
        <w:t>authorship</w:t>
      </w:r>
      <w:r w:rsidR="005853A9">
        <w:t xml:space="preserve"> and </w:t>
      </w:r>
      <w:r w:rsidRPr="001A3D2B">
        <w:t>collaborative research patterns in Indian wildlife</w:t>
      </w:r>
      <w:r w:rsidR="005853A9">
        <w:t xml:space="preserve"> and </w:t>
      </w:r>
      <w:r w:rsidRPr="001A3D2B">
        <w:t>fisheries based on</w:t>
      </w:r>
      <w:r w:rsidR="003A1917">
        <w:t xml:space="preserve"> the </w:t>
      </w:r>
      <w:r w:rsidRPr="001A3D2B">
        <w:t xml:space="preserve">data collected from </w:t>
      </w:r>
      <w:r w:rsidR="00700038">
        <w:t>‘</w:t>
      </w:r>
      <w:r w:rsidRPr="001A3D2B">
        <w:t>Wildlife Review</w:t>
      </w:r>
      <w:r w:rsidR="005853A9">
        <w:t xml:space="preserve"> and </w:t>
      </w:r>
      <w:r w:rsidRPr="001A3D2B">
        <w:t>Fish Review</w:t>
      </w:r>
      <w:r w:rsidR="00700038">
        <w:t>’</w:t>
      </w:r>
      <w:r w:rsidRPr="001A3D2B">
        <w:t xml:space="preserve"> </w:t>
      </w:r>
      <w:r w:rsidRPr="001A3D2B">
        <w:lastRenderedPageBreak/>
        <w:t>published bettween 1980 to 1989 are studied</w:t>
      </w:r>
      <w:r w:rsidR="00A37C1D">
        <w:t>. The</w:t>
      </w:r>
      <w:r w:rsidR="003A1917">
        <w:t xml:space="preserve"> </w:t>
      </w:r>
      <w:r w:rsidRPr="001A3D2B">
        <w:t>proportion</w:t>
      </w:r>
      <w:r w:rsidR="00427468">
        <w:t xml:space="preserve"> of </w:t>
      </w:r>
      <w:r w:rsidRPr="001A3D2B">
        <w:t>single authored papers has decreased from 63.68% in 1980 to 52.74% in 1989. During</w:t>
      </w:r>
      <w:r w:rsidR="003A1917">
        <w:t xml:space="preserve"> the </w:t>
      </w:r>
      <w:r w:rsidRPr="001A3D2B">
        <w:t>same period there was an increase in</w:t>
      </w:r>
      <w:r w:rsidR="003A1917">
        <w:t xml:space="preserve"> the </w:t>
      </w:r>
      <w:r w:rsidRPr="001A3D2B">
        <w:t>average number</w:t>
      </w:r>
      <w:r w:rsidR="00427468">
        <w:t xml:space="preserve"> of </w:t>
      </w:r>
      <w:r w:rsidRPr="001A3D2B">
        <w:t xml:space="preserve">authors per paper from </w:t>
      </w:r>
      <w:smartTag w:uri="urn:schemas-microsoft-com:office:smarttags" w:element="chmetcnv">
        <w:smartTagPr>
          <w:attr w:name="TCSC" w:val="0"/>
          <w:attr w:name="NumberType" w:val="1"/>
          <w:attr w:name="Negative" w:val="False"/>
          <w:attr w:name="HasSpace" w:val="True"/>
          <w:attr w:name="SourceValue" w:val="1.57"/>
          <w:attr w:name="UnitName" w:val="in"/>
        </w:smartTagPr>
        <w:r w:rsidRPr="001A3D2B">
          <w:t>1.57 in</w:t>
        </w:r>
      </w:smartTag>
      <w:r w:rsidRPr="001A3D2B">
        <w:t xml:space="preserve"> 1980 to </w:t>
      </w:r>
      <w:smartTag w:uri="urn:schemas-microsoft-com:office:smarttags" w:element="chmetcnv">
        <w:smartTagPr>
          <w:attr w:name="TCSC" w:val="0"/>
          <w:attr w:name="NumberType" w:val="1"/>
          <w:attr w:name="Negative" w:val="False"/>
          <w:attr w:name="HasSpace" w:val="True"/>
          <w:attr w:name="SourceValue" w:val="1.7"/>
          <w:attr w:name="UnitName" w:val="in"/>
        </w:smartTagPr>
        <w:r w:rsidRPr="001A3D2B">
          <w:t>1.70 in</w:t>
        </w:r>
      </w:smartTag>
      <w:r w:rsidRPr="001A3D2B">
        <w:t xml:space="preserve"> 1989</w:t>
      </w:r>
      <w:r w:rsidR="00A37C1D">
        <w:t>. The</w:t>
      </w:r>
      <w:r w:rsidR="003A1917">
        <w:t xml:space="preserve"> </w:t>
      </w:r>
      <w:r w:rsidRPr="001A3D2B">
        <w:t>degree</w:t>
      </w:r>
      <w:r w:rsidR="00427468">
        <w:t xml:space="preserve"> of </w:t>
      </w:r>
      <w:r w:rsidRPr="001A3D2B">
        <w:t>collaborative research also increased from 0.36 to 0.47.</w:t>
      </w:r>
    </w:p>
    <w:p w:rsidR="003474F2" w:rsidRPr="001A3D2B" w:rsidRDefault="003474F2" w:rsidP="003474F2">
      <w:pPr>
        <w:pStyle w:val="a3"/>
      </w:pPr>
      <w:r w:rsidRPr="001A3D2B">
        <w:t>Keywords: Authorship Patterns, Collaborative Research Patterns, Indian Wildlife</w:t>
      </w:r>
      <w:r w:rsidR="005853A9">
        <w:t xml:space="preserve"> and </w:t>
      </w:r>
      <w:r w:rsidRPr="001A3D2B">
        <w:t>Fisheries, Wildlife Review</w:t>
      </w:r>
      <w:r w:rsidR="005853A9">
        <w:t xml:space="preserve"> and </w:t>
      </w:r>
      <w:r w:rsidRPr="001A3D2B">
        <w:t>Fish Review</w:t>
      </w:r>
    </w:p>
    <w:p w:rsidR="00086A18" w:rsidRPr="001A3D2B" w:rsidRDefault="00086A18" w:rsidP="00086A18">
      <w:pPr>
        <w:pStyle w:val="a3"/>
      </w:pPr>
      <w:r w:rsidRPr="001A3D2B">
        <w:t>? Arora, J.</w:t>
      </w:r>
      <w:r w:rsidR="005853A9">
        <w:t xml:space="preserve"> and </w:t>
      </w:r>
      <w:r w:rsidRPr="001A3D2B">
        <w:t>Kaur, S.P. (1994), Bibliometric analysis</w:t>
      </w:r>
      <w:r w:rsidR="00427468">
        <w:t xml:space="preserve"> of </w:t>
      </w:r>
      <w:r w:rsidRPr="001A3D2B">
        <w:t>core journals on immunology: A study based on</w:t>
      </w:r>
      <w:r w:rsidR="003A1917">
        <w:t xml:space="preserve"> the </w:t>
      </w:r>
      <w:r w:rsidRPr="001A3D2B">
        <w:t>annual review</w:t>
      </w:r>
      <w:r w:rsidR="00427468">
        <w:t xml:space="preserve"> of </w:t>
      </w:r>
      <w:r w:rsidRPr="001A3D2B">
        <w:t xml:space="preserve">immunology. </w:t>
      </w:r>
      <w:r w:rsidRPr="001A3D2B">
        <w:rPr>
          <w:i/>
          <w:iCs/>
        </w:rPr>
        <w:t>Annals</w:t>
      </w:r>
      <w:r w:rsidR="00427468">
        <w:rPr>
          <w:i/>
          <w:iCs/>
        </w:rPr>
        <w:t xml:space="preserve"> of </w:t>
      </w:r>
      <w:r w:rsidRPr="001A3D2B">
        <w:rPr>
          <w:i/>
          <w:iCs/>
        </w:rPr>
        <w:t>Library Science</w:t>
      </w:r>
      <w:r w:rsidR="005853A9">
        <w:rPr>
          <w:i/>
          <w:iCs/>
        </w:rPr>
        <w:t xml:space="preserve"> and </w:t>
      </w:r>
      <w:r w:rsidRPr="001A3D2B">
        <w:rPr>
          <w:i/>
          <w:iCs/>
        </w:rPr>
        <w:t>Documentation</w:t>
      </w:r>
      <w:r w:rsidRPr="001A3D2B">
        <w:t xml:space="preserve">, </w:t>
      </w:r>
      <w:r w:rsidRPr="001A3D2B">
        <w:rPr>
          <w:b/>
          <w:bCs/>
        </w:rPr>
        <w:t>41</w:t>
      </w:r>
      <w:r w:rsidRPr="001A3D2B">
        <w:t xml:space="preserve"> (3), 81-94.</w:t>
      </w:r>
    </w:p>
    <w:p w:rsidR="00086A18" w:rsidRPr="001A3D2B" w:rsidRDefault="00086A18" w:rsidP="00086A18">
      <w:pPr>
        <w:pStyle w:val="a3"/>
      </w:pPr>
      <w:r w:rsidRPr="001A3D2B">
        <w:t>Full Text: Ann Lib Sci Doc41, 13.pdf</w:t>
      </w:r>
    </w:p>
    <w:p w:rsidR="00086A18" w:rsidRPr="001A3D2B" w:rsidRDefault="00086A18" w:rsidP="00086A18">
      <w:pPr>
        <w:pStyle w:val="a3"/>
      </w:pPr>
      <w:r w:rsidRPr="001A3D2B">
        <w:t>Abstract: Bibliometric study on core journals on immunology derived from citations collected from</w:t>
      </w:r>
      <w:r w:rsidR="003A1917">
        <w:t xml:space="preserve"> the </w:t>
      </w:r>
      <w:r w:rsidRPr="001A3D2B">
        <w:t>Annual Review</w:t>
      </w:r>
      <w:r w:rsidR="00427468">
        <w:t xml:space="preserve"> of </w:t>
      </w:r>
      <w:r w:rsidRPr="001A3D2B">
        <w:t>Immunology for four consecutive years, i.e. 1983 to 1986 reveals very high concentration</w:t>
      </w:r>
      <w:r w:rsidR="00427468">
        <w:t xml:space="preserve"> of </w:t>
      </w:r>
      <w:r w:rsidRPr="001A3D2B">
        <w:t>literature in a few scintific journals</w:t>
      </w:r>
      <w:r w:rsidR="00A37C1D">
        <w:t>. The</w:t>
      </w:r>
      <w:r w:rsidR="003A1917">
        <w:t xml:space="preserve"> </w:t>
      </w:r>
      <w:r w:rsidRPr="001A3D2B">
        <w:t>first four core journals contribute 47.96%</w:t>
      </w:r>
      <w:r w:rsidR="00427468">
        <w:t xml:space="preserve"> of </w:t>
      </w:r>
      <w:r w:rsidRPr="001A3D2B">
        <w:t>total citations while</w:t>
      </w:r>
      <w:r w:rsidR="003A1917">
        <w:t xml:space="preserve"> the </w:t>
      </w:r>
      <w:r w:rsidRPr="001A3D2B">
        <w:t>first two top-ranked journals account for close to 30%</w:t>
      </w:r>
      <w:r w:rsidR="00427468">
        <w:t xml:space="preserve"> of </w:t>
      </w:r>
      <w:r w:rsidRPr="001A3D2B">
        <w:t>total citations. In addition to determining country, subject, physical format chronological</w:t>
      </w:r>
      <w:r w:rsidR="005853A9">
        <w:t xml:space="preserve"> and </w:t>
      </w:r>
      <w:r w:rsidRPr="001A3D2B">
        <w:t>language distribution</w:t>
      </w:r>
      <w:r w:rsidR="00427468">
        <w:t xml:space="preserve"> of </w:t>
      </w:r>
      <w:r w:rsidRPr="001A3D2B">
        <w:t>core journals in immunology,</w:t>
      </w:r>
      <w:r w:rsidR="003A1917">
        <w:t xml:space="preserve"> the </w:t>
      </w:r>
      <w:r w:rsidRPr="001A3D2B">
        <w:t>half-life</w:t>
      </w:r>
      <w:r w:rsidR="005853A9">
        <w:t xml:space="preserve"> and </w:t>
      </w:r>
      <w:r w:rsidRPr="001A3D2B">
        <w:t>citation peak</w:t>
      </w:r>
      <w:r w:rsidR="00427468">
        <w:t xml:space="preserve"> of </w:t>
      </w:r>
      <w:r w:rsidRPr="001A3D2B">
        <w:t>journals in immunology have also been worked out</w:t>
      </w:r>
      <w:r w:rsidR="00A37C1D">
        <w:t>. The</w:t>
      </w:r>
      <w:r w:rsidR="003A1917">
        <w:t xml:space="preserve"> </w:t>
      </w:r>
      <w:r w:rsidRPr="001A3D2B">
        <w:t>scattering</w:t>
      </w:r>
      <w:r w:rsidR="00427468">
        <w:t xml:space="preserve"> of </w:t>
      </w:r>
      <w:r w:rsidRPr="001A3D2B">
        <w:t>literature in immunology is determined by applying Bradford</w:t>
      </w:r>
      <w:r w:rsidR="00700038">
        <w:t>’</w:t>
      </w:r>
      <w:r w:rsidR="00C13DDC">
        <w:t>s</w:t>
      </w:r>
      <w:r w:rsidRPr="001A3D2B">
        <w:t xml:space="preserve"> Law</w:t>
      </w:r>
      <w:r w:rsidR="00A37C1D">
        <w:t>. The</w:t>
      </w:r>
      <w:r w:rsidR="003A1917">
        <w:t xml:space="preserve"> </w:t>
      </w:r>
      <w:r w:rsidRPr="001A3D2B">
        <w:t>core journals in immunology</w:t>
      </w:r>
      <w:r w:rsidR="005853A9">
        <w:t xml:space="preserve"> and </w:t>
      </w:r>
      <w:r w:rsidRPr="001A3D2B">
        <w:t>other disciplines</w:t>
      </w:r>
      <w:r w:rsidR="00427468">
        <w:t xml:space="preserve"> of </w:t>
      </w:r>
      <w:r w:rsidRPr="001A3D2B">
        <w:t>biomedical sciences are also compared.</w:t>
      </w:r>
    </w:p>
    <w:p w:rsidR="00086A18" w:rsidRPr="001A3D2B" w:rsidRDefault="00086A18" w:rsidP="00086A18">
      <w:pPr>
        <w:pStyle w:val="a3"/>
      </w:pPr>
      <w:r w:rsidRPr="001A3D2B">
        <w:t>Keywords: Immunology, Microbiology, Research, Citation Analysis, Bibliometric Analysis, Method, Core Collection, International Publication, Evaluation, Scientific Research, Bibliometrics</w:t>
      </w:r>
    </w:p>
    <w:p w:rsidR="003474F2" w:rsidRPr="001A3D2B" w:rsidRDefault="003474F2" w:rsidP="003474F2">
      <w:pPr>
        <w:pStyle w:val="a3"/>
      </w:pPr>
      <w:r w:rsidRPr="001A3D2B">
        <w:t>Notes: MModel</w:t>
      </w:r>
    </w:p>
    <w:p w:rsidR="003474F2" w:rsidRPr="001A3D2B" w:rsidRDefault="003474F2" w:rsidP="003474F2">
      <w:pPr>
        <w:pStyle w:val="a3"/>
      </w:pPr>
      <w:r w:rsidRPr="001A3D2B">
        <w:t>Kalyane, V.L.</w:t>
      </w:r>
      <w:r w:rsidR="005853A9">
        <w:t xml:space="preserve"> and </w:t>
      </w:r>
      <w:r w:rsidRPr="001A3D2B">
        <w:t>Sen, B.K. (1995), Bibliometric study</w:t>
      </w:r>
      <w:r w:rsidR="00427468">
        <w:t xml:space="preserve"> of </w:t>
      </w:r>
      <w:r w:rsidR="003A1917">
        <w:t xml:space="preserve">the </w:t>
      </w:r>
      <w:r w:rsidRPr="001A3D2B">
        <w:rPr>
          <w:i/>
          <w:iCs/>
        </w:rPr>
        <w:t>Journal</w:t>
      </w:r>
      <w:r w:rsidR="00427468">
        <w:rPr>
          <w:i/>
          <w:iCs/>
        </w:rPr>
        <w:t xml:space="preserve"> of </w:t>
      </w:r>
      <w:r w:rsidRPr="001A3D2B">
        <w:rPr>
          <w:i/>
          <w:iCs/>
        </w:rPr>
        <w:t>Oilseeds Research</w:t>
      </w:r>
      <w:r w:rsidRPr="001A3D2B">
        <w:t xml:space="preserve">. </w:t>
      </w:r>
      <w:r w:rsidRPr="001A3D2B">
        <w:rPr>
          <w:i/>
          <w:iCs/>
        </w:rPr>
        <w:t>Annals</w:t>
      </w:r>
      <w:r w:rsidR="00427468">
        <w:rPr>
          <w:i/>
          <w:iCs/>
        </w:rPr>
        <w:t xml:space="preserve"> of </w:t>
      </w:r>
      <w:r w:rsidRPr="001A3D2B">
        <w:rPr>
          <w:i/>
          <w:iCs/>
        </w:rPr>
        <w:t>Library Science</w:t>
      </w:r>
      <w:r w:rsidR="005853A9">
        <w:rPr>
          <w:i/>
          <w:iCs/>
        </w:rPr>
        <w:t xml:space="preserve"> and </w:t>
      </w:r>
      <w:r w:rsidRPr="001A3D2B">
        <w:rPr>
          <w:i/>
          <w:iCs/>
        </w:rPr>
        <w:t>Documentation</w:t>
      </w:r>
      <w:r w:rsidRPr="001A3D2B">
        <w:t xml:space="preserve">, </w:t>
      </w:r>
      <w:r w:rsidRPr="001A3D2B">
        <w:rPr>
          <w:b/>
          <w:bCs/>
        </w:rPr>
        <w:t>42</w:t>
      </w:r>
      <w:r w:rsidRPr="001A3D2B">
        <w:t xml:space="preserve"> (4), 121-141.</w:t>
      </w:r>
    </w:p>
    <w:p w:rsidR="003474F2" w:rsidRPr="001A3D2B" w:rsidRDefault="003474F2" w:rsidP="003474F2">
      <w:pPr>
        <w:pStyle w:val="a3"/>
      </w:pPr>
      <w:r w:rsidRPr="001A3D2B">
        <w:t xml:space="preserve">Full Text: </w:t>
      </w:r>
      <w:hyperlink r:id="rId902" w:history="1">
        <w:r w:rsidRPr="001A3D2B">
          <w:rPr>
            <w:rStyle w:val="a5"/>
          </w:rPr>
          <w:t>1995\Ann Lib Sci Doc42, 121.pdf</w:t>
        </w:r>
      </w:hyperlink>
    </w:p>
    <w:p w:rsidR="003474F2" w:rsidRPr="001A3D2B" w:rsidRDefault="003474F2" w:rsidP="003474F2">
      <w:pPr>
        <w:pStyle w:val="a3"/>
      </w:pPr>
      <w:r w:rsidRPr="001A3D2B">
        <w:t>Keywords: Bibliometrics, Scientometrics, Bradford</w:t>
      </w:r>
      <w:r w:rsidR="00700038">
        <w:t>’</w:t>
      </w:r>
      <w:r w:rsidR="00C13DDC">
        <w:t>s</w:t>
      </w:r>
      <w:r w:rsidRPr="001A3D2B">
        <w:t xml:space="preserve"> law, Lotka</w:t>
      </w:r>
      <w:r w:rsidR="00700038">
        <w:t>’</w:t>
      </w:r>
      <w:r w:rsidR="00C13DDC">
        <w:t>s</w:t>
      </w:r>
      <w:r w:rsidRPr="001A3D2B">
        <w:t xml:space="preserve"> law</w:t>
      </w:r>
    </w:p>
    <w:p w:rsidR="003E480C" w:rsidRPr="001A3D2B" w:rsidRDefault="003E480C" w:rsidP="003E480C">
      <w:pPr>
        <w:pStyle w:val="a3"/>
      </w:pPr>
      <w:r w:rsidRPr="001A3D2B">
        <w:t>? Biradar, B.S.</w:t>
      </w:r>
      <w:r w:rsidR="005853A9">
        <w:t xml:space="preserve"> and </w:t>
      </w:r>
      <w:r w:rsidRPr="001A3D2B">
        <w:t>Vijayalaxmi, T. (1997), Pattern</w:t>
      </w:r>
      <w:r w:rsidR="00427468">
        <w:t xml:space="preserve"> of </w:t>
      </w:r>
      <w:r w:rsidRPr="001A3D2B">
        <w:t xml:space="preserve">information use by Indian neurological scientists: A bibliometric study. </w:t>
      </w:r>
      <w:r w:rsidRPr="001A3D2B">
        <w:rPr>
          <w:i/>
          <w:iCs/>
        </w:rPr>
        <w:t>Annals</w:t>
      </w:r>
      <w:r w:rsidR="00427468">
        <w:rPr>
          <w:i/>
          <w:iCs/>
        </w:rPr>
        <w:t xml:space="preserve"> of </w:t>
      </w:r>
      <w:r w:rsidRPr="001A3D2B">
        <w:rPr>
          <w:i/>
          <w:iCs/>
        </w:rPr>
        <w:t>Library Science</w:t>
      </w:r>
      <w:r w:rsidR="005853A9">
        <w:rPr>
          <w:i/>
          <w:iCs/>
        </w:rPr>
        <w:t xml:space="preserve"> and </w:t>
      </w:r>
      <w:r w:rsidRPr="001A3D2B">
        <w:rPr>
          <w:i/>
          <w:iCs/>
        </w:rPr>
        <w:t>Documentation</w:t>
      </w:r>
      <w:r w:rsidRPr="001A3D2B">
        <w:t xml:space="preserve">, </w:t>
      </w:r>
      <w:r w:rsidRPr="001A3D2B">
        <w:rPr>
          <w:b/>
          <w:bCs/>
        </w:rPr>
        <w:t>44</w:t>
      </w:r>
      <w:r w:rsidRPr="001A3D2B">
        <w:t xml:space="preserve"> (4), 143-151.</w:t>
      </w:r>
    </w:p>
    <w:p w:rsidR="003E480C" w:rsidRPr="001A3D2B" w:rsidRDefault="003E480C" w:rsidP="003E480C">
      <w:pPr>
        <w:pStyle w:val="a3"/>
      </w:pPr>
      <w:r w:rsidRPr="001A3D2B">
        <w:t xml:space="preserve">Full Text: </w:t>
      </w:r>
      <w:r w:rsidRPr="001A3D2B">
        <w:rPr>
          <w:kern w:val="2"/>
        </w:rPr>
        <w:t xml:space="preserve">Ann Lib Sci Doc44, </w:t>
      </w:r>
      <w:r w:rsidR="00266242" w:rsidRPr="001A3D2B">
        <w:rPr>
          <w:kern w:val="2"/>
        </w:rPr>
        <w:t>143</w:t>
      </w:r>
      <w:r w:rsidRPr="001A3D2B">
        <w:rPr>
          <w:kern w:val="2"/>
        </w:rPr>
        <w:t>.pdf</w:t>
      </w:r>
    </w:p>
    <w:p w:rsidR="003474F2" w:rsidRPr="001A3D2B" w:rsidRDefault="003474F2" w:rsidP="003474F2">
      <w:pPr>
        <w:pStyle w:val="a3"/>
      </w:pPr>
      <w:r w:rsidRPr="001A3D2B">
        <w:t>Devarai, R.S., Ramesh, L.S.R.C.V.</w:t>
      </w:r>
      <w:r w:rsidR="005853A9">
        <w:t xml:space="preserve"> and </w:t>
      </w:r>
      <w:r w:rsidRPr="001A3D2B">
        <w:t xml:space="preserve">Hussain, M.V. (1998), Informetrics on M. N. Srinivas. </w:t>
      </w:r>
      <w:r w:rsidRPr="001A3D2B">
        <w:rPr>
          <w:i/>
          <w:iCs/>
        </w:rPr>
        <w:t>Annals</w:t>
      </w:r>
      <w:r w:rsidR="00427468">
        <w:rPr>
          <w:i/>
          <w:iCs/>
        </w:rPr>
        <w:t xml:space="preserve"> of </w:t>
      </w:r>
      <w:r w:rsidRPr="001A3D2B">
        <w:rPr>
          <w:i/>
          <w:iCs/>
        </w:rPr>
        <w:t>Library Science</w:t>
      </w:r>
      <w:r w:rsidR="005853A9">
        <w:rPr>
          <w:i/>
          <w:iCs/>
        </w:rPr>
        <w:t xml:space="preserve"> and </w:t>
      </w:r>
      <w:r w:rsidRPr="001A3D2B">
        <w:rPr>
          <w:i/>
          <w:iCs/>
        </w:rPr>
        <w:t>Documentation</w:t>
      </w:r>
      <w:r w:rsidRPr="001A3D2B">
        <w:t xml:space="preserve">, </w:t>
      </w:r>
      <w:r w:rsidRPr="001A3D2B">
        <w:rPr>
          <w:b/>
          <w:bCs/>
        </w:rPr>
        <w:t>45</w:t>
      </w:r>
      <w:r w:rsidRPr="001A3D2B">
        <w:t xml:space="preserve"> (4), 125-135.</w:t>
      </w:r>
    </w:p>
    <w:p w:rsidR="003474F2" w:rsidRPr="001A3D2B" w:rsidRDefault="003474F2" w:rsidP="003474F2">
      <w:pPr>
        <w:pStyle w:val="a3"/>
      </w:pPr>
      <w:r w:rsidRPr="001A3D2B">
        <w:t xml:space="preserve">Full Text: </w:t>
      </w:r>
      <w:hyperlink r:id="rId903" w:history="1">
        <w:r w:rsidRPr="001A3D2B">
          <w:rPr>
            <w:rStyle w:val="a5"/>
          </w:rPr>
          <w:t>1998\Ann Lib Sci Doc45, 125.pdf</w:t>
        </w:r>
      </w:hyperlink>
    </w:p>
    <w:p w:rsidR="003474F2" w:rsidRPr="001A3D2B" w:rsidRDefault="003474F2" w:rsidP="003474F2">
      <w:pPr>
        <w:pStyle w:val="a3"/>
      </w:pPr>
      <w:r w:rsidRPr="001A3D2B">
        <w:t>Abstract: M. N. Srinivas,</w:t>
      </w:r>
      <w:r w:rsidR="003A1917">
        <w:t xml:space="preserve"> the </w:t>
      </w:r>
      <w:r w:rsidRPr="001A3D2B">
        <w:t>well known sociologist is widely recognised as architect</w:t>
      </w:r>
      <w:r w:rsidR="00427468">
        <w:t xml:space="preserve"> of </w:t>
      </w:r>
      <w:r w:rsidRPr="001A3D2B">
        <w:t>modern Indian sociology</w:t>
      </w:r>
      <w:r w:rsidR="005853A9">
        <w:t xml:space="preserve"> and </w:t>
      </w:r>
      <w:r w:rsidRPr="001A3D2B">
        <w:t>social anthropology. His publications have been analysed by year, domain, authorship pattern, channels</w:t>
      </w:r>
      <w:r w:rsidR="00427468">
        <w:t xml:space="preserve"> of </w:t>
      </w:r>
      <w:r w:rsidRPr="001A3D2B">
        <w:t xml:space="preserve">communication used. </w:t>
      </w:r>
      <w:r w:rsidRPr="001A3D2B">
        <w:lastRenderedPageBreak/>
        <w:t>Keywords, etc</w:t>
      </w:r>
      <w:r w:rsidR="00A37C1D">
        <w:t>. The</w:t>
      </w:r>
      <w:r w:rsidR="003A1917">
        <w:t xml:space="preserve"> </w:t>
      </w:r>
      <w:r w:rsidRPr="001A3D2B">
        <w:t>results indicate that</w:t>
      </w:r>
      <w:r w:rsidR="003A1917">
        <w:t xml:space="preserve"> the </w:t>
      </w:r>
      <w:r w:rsidRPr="001A3D2B">
        <w:t>papers published by him are</w:t>
      </w:r>
      <w:r w:rsidR="00427468">
        <w:t xml:space="preserve"> of </w:t>
      </w:r>
      <w:r w:rsidRPr="001A3D2B">
        <w:t xml:space="preserve">a nature that qualify him to be a </w:t>
      </w:r>
      <w:r w:rsidR="00700038">
        <w:t>‘</w:t>
      </w:r>
      <w:r w:rsidRPr="001A3D2B">
        <w:t>role model</w:t>
      </w:r>
      <w:r w:rsidR="00700038">
        <w:t>’</w:t>
      </w:r>
      <w:r w:rsidRPr="001A3D2B">
        <w:t xml:space="preserve"> for</w:t>
      </w:r>
      <w:r w:rsidR="003A1917">
        <w:t xml:space="preserve"> the </w:t>
      </w:r>
      <w:r w:rsidRPr="001A3D2B">
        <w:t>younger generations to emulate.</w:t>
      </w:r>
    </w:p>
    <w:p w:rsidR="003474F2" w:rsidRPr="001A3D2B" w:rsidRDefault="003474F2" w:rsidP="003474F2">
      <w:pPr>
        <w:pStyle w:val="a3"/>
      </w:pPr>
      <w:r w:rsidRPr="001A3D2B">
        <w:t>By</w:t>
      </w:r>
      <w:r w:rsidR="003A1917">
        <w:t xml:space="preserve"> the </w:t>
      </w:r>
      <w:r w:rsidRPr="001A3D2B">
        <w:t>end</w:t>
      </w:r>
      <w:r w:rsidR="00427468">
        <w:t xml:space="preserve"> of </w:t>
      </w:r>
      <w:r w:rsidRPr="001A3D2B">
        <w:t>1995, Srinivas had to his credit 144 papers which, included 33 broad papers in sociology</w:t>
      </w:r>
      <w:r w:rsidR="005853A9">
        <w:t xml:space="preserve"> and </w:t>
      </w:r>
      <w:r w:rsidRPr="001A3D2B">
        <w:t>anthropology; 18 papers in social change; 28 papers in village studies; 12 papers on religion; 17 papers on caste</w:t>
      </w:r>
      <w:r w:rsidR="005853A9">
        <w:t xml:space="preserve"> and </w:t>
      </w:r>
      <w:r w:rsidRPr="001A3D2B">
        <w:t>36 papers</w:t>
      </w:r>
      <w:r w:rsidR="00427468">
        <w:t xml:space="preserve"> of </w:t>
      </w:r>
      <w:r w:rsidRPr="001A3D2B">
        <w:t>general popular interest</w:t>
      </w:r>
      <w:r w:rsidR="00A37C1D">
        <w:t>. The</w:t>
      </w:r>
      <w:r w:rsidR="003A1917">
        <w:t xml:space="preserve"> </w:t>
      </w:r>
      <w:r w:rsidRPr="001A3D2B">
        <w:t>periods 1958-61</w:t>
      </w:r>
      <w:r w:rsidR="005853A9">
        <w:t xml:space="preserve"> and </w:t>
      </w:r>
      <w:r w:rsidRPr="001A3D2B">
        <w:t>1974-77, when Srinivas was 38-41</w:t>
      </w:r>
      <w:r w:rsidR="005853A9">
        <w:t xml:space="preserve"> and </w:t>
      </w:r>
      <w:r w:rsidRPr="001A3D2B">
        <w:t>58-61 years old. were his most productive periods with highest publication activity.</w:t>
      </w:r>
    </w:p>
    <w:p w:rsidR="003474F2" w:rsidRPr="001A3D2B" w:rsidRDefault="003474F2" w:rsidP="003474F2">
      <w:pPr>
        <w:pStyle w:val="a3"/>
      </w:pPr>
      <w:r w:rsidRPr="001A3D2B">
        <w:t>Keywords: Informetrics, M.N. Srinivas, Publication Productivity, Biographical Bibliometrics, Individual Scientists, Publication Productivity, Scientometrics, Science</w:t>
      </w:r>
      <w:r w:rsidR="00427468">
        <w:t xml:space="preserve"> of </w:t>
      </w:r>
      <w:r w:rsidRPr="001A3D2B">
        <w:t>Science, Biobibliometrics, Scientific Research Output</w:t>
      </w:r>
    </w:p>
    <w:p w:rsidR="003474F2" w:rsidRPr="001A3D2B" w:rsidRDefault="003474F2" w:rsidP="003474F2">
      <w:pPr>
        <w:pStyle w:val="1"/>
      </w:pPr>
      <w:r w:rsidRPr="001A3D2B">
        <w:br w:type="page"/>
      </w:r>
      <w:bookmarkStart w:id="479" w:name="_Toc420814509"/>
      <w:r w:rsidRPr="001A3D2B">
        <w:lastRenderedPageBreak/>
        <w:t>Title: Annals</w:t>
      </w:r>
      <w:r w:rsidR="00427468">
        <w:t xml:space="preserve"> of </w:t>
      </w:r>
      <w:r w:rsidRPr="001A3D2B">
        <w:t>Mathematical Statistics</w:t>
      </w:r>
      <w:bookmarkEnd w:id="479"/>
    </w:p>
    <w:p w:rsidR="003474F2" w:rsidRPr="001A3D2B" w:rsidRDefault="003474F2" w:rsidP="003474F2">
      <w:pPr>
        <w:pStyle w:val="12"/>
      </w:pPr>
      <w:r w:rsidRPr="001A3D2B">
        <w:t xml:space="preserve">Full Journal Title: </w:t>
      </w:r>
      <w:hyperlink r:id="rId904" w:history="1">
        <w:r w:rsidRPr="001A3D2B">
          <w:rPr>
            <w:rStyle w:val="a5"/>
            <w:iCs/>
          </w:rPr>
          <w:t>Annals</w:t>
        </w:r>
        <w:r w:rsidR="00427468">
          <w:rPr>
            <w:rStyle w:val="a5"/>
            <w:iCs/>
          </w:rPr>
          <w:t xml:space="preserve"> of </w:t>
        </w:r>
        <w:r w:rsidRPr="001A3D2B">
          <w:rPr>
            <w:rStyle w:val="a5"/>
            <w:iCs/>
          </w:rPr>
          <w:t>Mathematical Statistics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Lotka, A.J. (1939), A contribution to</w:t>
      </w:r>
      <w:r w:rsidR="003A1917">
        <w:t xml:space="preserve"> the </w:t>
      </w:r>
      <w:r w:rsidRPr="001A3D2B">
        <w:t>theory</w:t>
      </w:r>
      <w:r w:rsidR="00427468">
        <w:t xml:space="preserve"> of </w:t>
      </w:r>
      <w:r w:rsidRPr="001A3D2B">
        <w:t xml:space="preserve">self-renewing aggregates, with special reference to industrial replacement. </w:t>
      </w:r>
      <w:r w:rsidRPr="001A3D2B">
        <w:rPr>
          <w:i/>
          <w:iCs/>
        </w:rPr>
        <w:t>Annals</w:t>
      </w:r>
      <w:r w:rsidR="00427468">
        <w:rPr>
          <w:i/>
          <w:iCs/>
        </w:rPr>
        <w:t xml:space="preserve"> of </w:t>
      </w:r>
      <w:r w:rsidRPr="001A3D2B">
        <w:rPr>
          <w:i/>
          <w:iCs/>
        </w:rPr>
        <w:t>Mathematical Statistics</w:t>
      </w:r>
      <w:r w:rsidRPr="001A3D2B">
        <w:t xml:space="preserve">, </w:t>
      </w:r>
      <w:r w:rsidRPr="001A3D2B">
        <w:rPr>
          <w:b/>
          <w:bCs/>
        </w:rPr>
        <w:t>10</w:t>
      </w:r>
      <w:r w:rsidRPr="001A3D2B">
        <w:t xml:space="preserve"> (1), 1-25.</w:t>
      </w:r>
    </w:p>
    <w:p w:rsidR="003474F2" w:rsidRPr="001A3D2B" w:rsidRDefault="003474F2" w:rsidP="003474F2">
      <w:pPr>
        <w:pStyle w:val="a3"/>
      </w:pPr>
      <w:r w:rsidRPr="001A3D2B">
        <w:t xml:space="preserve">Full Text: </w:t>
      </w:r>
      <w:hyperlink r:id="rId905" w:history="1">
        <w:r w:rsidRPr="001A3D2B">
          <w:rPr>
            <w:rStyle w:val="a5"/>
          </w:rPr>
          <w:t>-1959\Ann Mat Sta10, 1.pdf</w:t>
        </w:r>
      </w:hyperlink>
    </w:p>
    <w:p w:rsidR="003474F2" w:rsidRPr="001A3D2B" w:rsidRDefault="003474F2" w:rsidP="003474F2">
      <w:pPr>
        <w:pStyle w:val="a3"/>
      </w:pPr>
      <w:r w:rsidRPr="001A3D2B">
        <w:t xml:space="preserve">? Lotka, A.J. (1939), On an integral equation in population analysis. </w:t>
      </w:r>
      <w:r w:rsidRPr="001A3D2B">
        <w:rPr>
          <w:i/>
          <w:iCs/>
        </w:rPr>
        <w:t>Annals</w:t>
      </w:r>
      <w:r w:rsidR="00427468">
        <w:rPr>
          <w:i/>
          <w:iCs/>
        </w:rPr>
        <w:t xml:space="preserve"> of </w:t>
      </w:r>
      <w:r w:rsidRPr="001A3D2B">
        <w:rPr>
          <w:i/>
          <w:iCs/>
        </w:rPr>
        <w:t>Mathematical Statistics</w:t>
      </w:r>
      <w:r w:rsidRPr="001A3D2B">
        <w:t xml:space="preserve">, </w:t>
      </w:r>
      <w:r w:rsidRPr="001A3D2B">
        <w:rPr>
          <w:b/>
          <w:bCs/>
        </w:rPr>
        <w:t>10</w:t>
      </w:r>
      <w:r w:rsidRPr="001A3D2B">
        <w:t xml:space="preserve"> (2), 144-161.</w:t>
      </w:r>
    </w:p>
    <w:p w:rsidR="003474F2" w:rsidRPr="001A3D2B" w:rsidRDefault="003474F2" w:rsidP="003474F2">
      <w:pPr>
        <w:pStyle w:val="a3"/>
      </w:pPr>
      <w:r w:rsidRPr="001A3D2B">
        <w:t xml:space="preserve">Full Text: </w:t>
      </w:r>
      <w:hyperlink r:id="rId906" w:history="1">
        <w:r w:rsidRPr="001A3D2B">
          <w:rPr>
            <w:rStyle w:val="a5"/>
          </w:rPr>
          <w:t>-1959\Ann Mat Sta10, 144.pdf</w:t>
        </w:r>
      </w:hyperlink>
    </w:p>
    <w:p w:rsidR="003474F2" w:rsidRPr="001A3D2B" w:rsidRDefault="003474F2" w:rsidP="003474F2">
      <w:pPr>
        <w:pStyle w:val="a3"/>
      </w:pPr>
      <w:r w:rsidRPr="001A3D2B">
        <w:t>? Lotka, A.J. (1942</w:t>
      </w:r>
      <w:r w:rsidR="00F42EAC">
        <w:t>), The</w:t>
      </w:r>
      <w:r w:rsidR="003A1917">
        <w:t xml:space="preserve"> </w:t>
      </w:r>
      <w:r w:rsidRPr="001A3D2B">
        <w:t>progeny</w:t>
      </w:r>
      <w:r w:rsidR="00427468">
        <w:t xml:space="preserve"> of </w:t>
      </w:r>
      <w:r w:rsidRPr="001A3D2B">
        <w:t xml:space="preserve">an entire population. </w:t>
      </w:r>
      <w:r w:rsidRPr="001A3D2B">
        <w:rPr>
          <w:i/>
          <w:iCs/>
        </w:rPr>
        <w:t>Annals</w:t>
      </w:r>
      <w:r w:rsidR="00427468">
        <w:rPr>
          <w:i/>
          <w:iCs/>
        </w:rPr>
        <w:t xml:space="preserve"> of </w:t>
      </w:r>
      <w:r w:rsidRPr="001A3D2B">
        <w:rPr>
          <w:i/>
          <w:iCs/>
        </w:rPr>
        <w:t>Mathematical Statistics</w:t>
      </w:r>
      <w:r w:rsidRPr="001A3D2B">
        <w:t xml:space="preserve">, </w:t>
      </w:r>
      <w:r w:rsidRPr="001A3D2B">
        <w:rPr>
          <w:b/>
          <w:bCs/>
        </w:rPr>
        <w:t>13</w:t>
      </w:r>
      <w:r w:rsidRPr="001A3D2B">
        <w:t>, 115-126.</w:t>
      </w:r>
    </w:p>
    <w:p w:rsidR="003474F2" w:rsidRPr="001A3D2B" w:rsidRDefault="003474F2" w:rsidP="003474F2">
      <w:pPr>
        <w:pStyle w:val="a3"/>
      </w:pPr>
      <w:r w:rsidRPr="001A3D2B">
        <w:t xml:space="preserve">Full Text: </w:t>
      </w:r>
      <w:hyperlink r:id="rId907" w:history="1">
        <w:r w:rsidRPr="001A3D2B">
          <w:rPr>
            <w:rStyle w:val="a5"/>
          </w:rPr>
          <w:t>-1959\Ann Mat Sta13, 115.pdf</w:t>
        </w:r>
      </w:hyperlink>
    </w:p>
    <w:p w:rsidR="003474F2" w:rsidRPr="001A3D2B" w:rsidRDefault="003474F2" w:rsidP="003474F2">
      <w:pPr>
        <w:pStyle w:val="a3"/>
      </w:pPr>
      <w:r w:rsidRPr="001A3D2B">
        <w:t>? Lotka, A.J. (1948), Application</w:t>
      </w:r>
      <w:r w:rsidR="00427468">
        <w:t xml:space="preserve"> of </w:t>
      </w:r>
      <w:r w:rsidRPr="001A3D2B">
        <w:t xml:space="preserve">recurrent series in renewal theory. </w:t>
      </w:r>
      <w:r w:rsidRPr="001A3D2B">
        <w:rPr>
          <w:i/>
          <w:iCs/>
        </w:rPr>
        <w:t>Annals</w:t>
      </w:r>
      <w:r w:rsidR="00427468">
        <w:rPr>
          <w:i/>
          <w:iCs/>
        </w:rPr>
        <w:t xml:space="preserve"> of </w:t>
      </w:r>
      <w:r w:rsidRPr="001A3D2B">
        <w:rPr>
          <w:i/>
          <w:iCs/>
        </w:rPr>
        <w:t>Mathematical Statistics</w:t>
      </w:r>
      <w:r w:rsidRPr="001A3D2B">
        <w:t xml:space="preserve">, </w:t>
      </w:r>
      <w:r w:rsidRPr="001A3D2B">
        <w:rPr>
          <w:b/>
          <w:bCs/>
        </w:rPr>
        <w:t>19</w:t>
      </w:r>
      <w:r w:rsidRPr="001A3D2B">
        <w:t xml:space="preserve"> (2), 190-206.</w:t>
      </w:r>
    </w:p>
    <w:p w:rsidR="003474F2" w:rsidRPr="001A3D2B" w:rsidRDefault="003474F2" w:rsidP="003474F2">
      <w:pPr>
        <w:pStyle w:val="a3"/>
      </w:pPr>
      <w:r w:rsidRPr="001A3D2B">
        <w:t xml:space="preserve">Full Text: </w:t>
      </w:r>
      <w:hyperlink r:id="rId908" w:history="1">
        <w:r w:rsidRPr="001A3D2B">
          <w:rPr>
            <w:rStyle w:val="a5"/>
          </w:rPr>
          <w:t>-1959\Ann Mat Sta19, 190.pdf</w:t>
        </w:r>
      </w:hyperlink>
    </w:p>
    <w:p w:rsidR="003474F2" w:rsidRPr="001A3D2B" w:rsidRDefault="003474F2" w:rsidP="003474F2">
      <w:pPr>
        <w:pStyle w:val="1"/>
      </w:pPr>
      <w:r w:rsidRPr="001A3D2B">
        <w:br w:type="page"/>
      </w:r>
      <w:bookmarkStart w:id="480" w:name="_Toc420814510"/>
      <w:r w:rsidRPr="001A3D2B">
        <w:lastRenderedPageBreak/>
        <w:t>Title: Annals</w:t>
      </w:r>
      <w:r w:rsidR="00427468">
        <w:t xml:space="preserve"> of </w:t>
      </w:r>
      <w:r w:rsidRPr="001A3D2B">
        <w:t>Mathematics</w:t>
      </w:r>
      <w:bookmarkEnd w:id="480"/>
    </w:p>
    <w:p w:rsidR="003474F2" w:rsidRPr="001A3D2B" w:rsidRDefault="003474F2" w:rsidP="003474F2">
      <w:pPr>
        <w:pStyle w:val="12"/>
      </w:pPr>
      <w:r w:rsidRPr="001A3D2B">
        <w:t>Full Journal Titl</w:t>
      </w:r>
      <w:bookmarkStart w:id="481" w:name="_Toc221932325"/>
      <w:r w:rsidRPr="001A3D2B">
        <w:t xml:space="preserve">e: </w:t>
      </w:r>
      <w:r w:rsidR="00206C8A">
        <w:fldChar w:fldCharType="begin"/>
      </w:r>
      <w:r w:rsidR="00FD158B">
        <w:instrText>HYPERLINK "http://www.js</w:instrText>
      </w:r>
      <w:bookmarkEnd w:id="481"/>
      <w:r w:rsidR="00FD158B">
        <w:instrText>tor.org/journals/0003486x.html"</w:instrText>
      </w:r>
      <w:r w:rsidR="00206C8A">
        <w:fldChar w:fldCharType="separate"/>
      </w:r>
      <w:r w:rsidRPr="001A3D2B">
        <w:rPr>
          <w:rStyle w:val="a5"/>
        </w:rPr>
        <w:t>Annals</w:t>
      </w:r>
      <w:r w:rsidR="00427468">
        <w:rPr>
          <w:rStyle w:val="a5"/>
        </w:rPr>
        <w:t xml:space="preserve"> of </w:t>
      </w:r>
      <w:r w:rsidRPr="001A3D2B">
        <w:rPr>
          <w:rStyle w:val="a5"/>
        </w:rPr>
        <w:t>Mathematics</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Osgood, W.F. (1900), Sufficient conditions in</w:t>
      </w:r>
      <w:r w:rsidR="003A1917">
        <w:t xml:space="preserve"> the </w:t>
      </w:r>
      <w:r w:rsidRPr="001A3D2B">
        <w:t>Calculus</w:t>
      </w:r>
      <w:r w:rsidR="00427468">
        <w:t xml:space="preserve"> of </w:t>
      </w:r>
      <w:r w:rsidRPr="001A3D2B">
        <w:t xml:space="preserve">Variations. </w:t>
      </w:r>
      <w:r w:rsidRPr="001A3D2B">
        <w:rPr>
          <w:i/>
          <w:iCs/>
        </w:rPr>
        <w:t>Annals</w:t>
      </w:r>
      <w:r w:rsidR="00427468">
        <w:rPr>
          <w:i/>
          <w:iCs/>
        </w:rPr>
        <w:t xml:space="preserve"> of </w:t>
      </w:r>
      <w:r w:rsidRPr="001A3D2B">
        <w:rPr>
          <w:i/>
          <w:iCs/>
        </w:rPr>
        <w:t>Mathematics</w:t>
      </w:r>
      <w:r w:rsidRPr="001A3D2B">
        <w:t xml:space="preserve">, </w:t>
      </w:r>
      <w:r w:rsidRPr="001A3D2B">
        <w:rPr>
          <w:b/>
          <w:bCs/>
        </w:rPr>
        <w:t>2</w:t>
      </w:r>
      <w:r w:rsidRPr="001A3D2B">
        <w:t xml:space="preserve"> (1), 105-129.</w:t>
      </w:r>
    </w:p>
    <w:p w:rsidR="003474F2" w:rsidRPr="001A3D2B" w:rsidRDefault="003474F2" w:rsidP="003474F2">
      <w:pPr>
        <w:pStyle w:val="a3"/>
      </w:pPr>
      <w:r w:rsidRPr="001A3D2B">
        <w:t xml:space="preserve">Full Text: </w:t>
      </w:r>
      <w:hyperlink r:id="rId909" w:history="1">
        <w:r w:rsidRPr="001A3D2B">
          <w:rPr>
            <w:rStyle w:val="a5"/>
          </w:rPr>
          <w:t>-1959\Ann Mat2, 105.pdf</w:t>
        </w:r>
      </w:hyperlink>
    </w:p>
    <w:p w:rsidR="003474F2" w:rsidRPr="001A3D2B" w:rsidRDefault="003474F2" w:rsidP="003474F2">
      <w:pPr>
        <w:pStyle w:val="1"/>
      </w:pPr>
      <w:r w:rsidRPr="001A3D2B">
        <w:br w:type="page"/>
      </w:r>
      <w:bookmarkStart w:id="482" w:name="_Toc420814511"/>
      <w:r w:rsidRPr="001A3D2B">
        <w:lastRenderedPageBreak/>
        <w:t>Title: Annals</w:t>
      </w:r>
      <w:r w:rsidR="00427468">
        <w:t xml:space="preserve"> of </w:t>
      </w:r>
      <w:r w:rsidRPr="001A3D2B">
        <w:t>Medicine</w:t>
      </w:r>
      <w:bookmarkEnd w:id="482"/>
    </w:p>
    <w:p w:rsidR="003474F2" w:rsidRPr="001A3D2B" w:rsidRDefault="003474F2" w:rsidP="003474F2">
      <w:pPr>
        <w:pStyle w:val="12"/>
      </w:pPr>
      <w:r w:rsidRPr="001A3D2B">
        <w:t xml:space="preserve">Full Journal Title: </w:t>
      </w:r>
      <w:bookmarkStart w:id="483" w:name="_Toc81215614"/>
      <w:r w:rsidR="00206C8A">
        <w:fldChar w:fldCharType="begin"/>
      </w:r>
      <w:r w:rsidR="00FD158B">
        <w:instrText>HYPERLINK "http://www.ta</w:instrText>
      </w:r>
      <w:bookmarkEnd w:id="483"/>
      <w:r w:rsidR="00FD158B">
        <w:instrText>ndf.co.uk/journals/titles/07853890.html"</w:instrText>
      </w:r>
      <w:r w:rsidR="00206C8A">
        <w:fldChar w:fldCharType="separate"/>
      </w:r>
      <w:r w:rsidRPr="001A3D2B">
        <w:rPr>
          <w:rStyle w:val="a5"/>
        </w:rPr>
        <w:t>Annals</w:t>
      </w:r>
      <w:r w:rsidR="00427468">
        <w:rPr>
          <w:rStyle w:val="a5"/>
        </w:rPr>
        <w:t xml:space="preserve"> of </w:t>
      </w:r>
      <w:r w:rsidRPr="001A3D2B">
        <w:rPr>
          <w:rStyle w:val="a5"/>
        </w:rPr>
        <w:t>Medicine</w:t>
      </w:r>
      <w:r w:rsidR="00206C8A">
        <w:fldChar w:fldCharType="end"/>
      </w:r>
    </w:p>
    <w:p w:rsidR="003474F2" w:rsidRPr="001A3D2B" w:rsidRDefault="003474F2" w:rsidP="003474F2">
      <w:pPr>
        <w:pStyle w:val="12"/>
      </w:pPr>
      <w:r w:rsidRPr="001A3D2B">
        <w:t>ISO Abbreviated Title: Ann. Med.</w:t>
      </w:r>
    </w:p>
    <w:p w:rsidR="003474F2" w:rsidRPr="001A3D2B" w:rsidRDefault="003474F2" w:rsidP="003474F2">
      <w:pPr>
        <w:pStyle w:val="12"/>
      </w:pPr>
      <w:r w:rsidRPr="001A3D2B">
        <w:t>JCR Abbreviated Title: Ann Med</w:t>
      </w:r>
    </w:p>
    <w:p w:rsidR="003474F2" w:rsidRPr="001A3D2B" w:rsidRDefault="003474F2" w:rsidP="003474F2">
      <w:pPr>
        <w:pStyle w:val="12"/>
      </w:pPr>
      <w:r w:rsidRPr="001A3D2B">
        <w:t>ISSN: 0785-3890</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Finland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Royal Soc Medicine Press Ltd</w:t>
      </w:r>
    </w:p>
    <w:p w:rsidR="003474F2" w:rsidRPr="001A3D2B" w:rsidRDefault="003474F2" w:rsidP="003474F2">
      <w:pPr>
        <w:pStyle w:val="12"/>
      </w:pPr>
      <w:r w:rsidRPr="001A3D2B">
        <w:t xml:space="preserve">Publisher Address: </w:t>
      </w:r>
      <w:smartTag w:uri="urn:schemas-microsoft-com:office:smarttags" w:element="place">
        <w:r w:rsidRPr="001A3D2B">
          <w:t xml:space="preserve">1 Wimpole Street, </w:t>
        </w:r>
        <w:smartTag w:uri="urn:schemas-microsoft-com:office:smarttags" w:element="City">
          <w:r w:rsidRPr="001A3D2B">
            <w:t>London</w:t>
          </w:r>
        </w:smartTag>
        <w:r w:rsidRPr="001A3D2B">
          <w:t xml:space="preserve"> </w:t>
        </w:r>
        <w:smartTag w:uri="urn:schemas-microsoft-com:office:smarttags" w:element="PostalCode">
          <w:r w:rsidRPr="001A3D2B">
            <w:t>W</w:t>
          </w:r>
          <w:smartTag w:uri="urn:schemas-microsoft-com:office:smarttags" w:element="chmetcnv">
            <w:smartTagPr>
              <w:attr w:name="TCSC" w:val="0"/>
              <w:attr w:name="NumberType" w:val="1"/>
              <w:attr w:name="Negative" w:val="False"/>
              <w:attr w:name="HasSpace" w:val="False"/>
              <w:attr w:name="SourceValue" w:val="1"/>
              <w:attr w:name="UnitName" w:val="m"/>
            </w:smartTagPr>
            <w:r w:rsidRPr="001A3D2B">
              <w:t>1M</w:t>
            </w:r>
          </w:smartTag>
          <w:r w:rsidRPr="001A3D2B">
            <w:t xml:space="preserve"> 8AE</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Medicine, General &amp; Internal: Impact Factor 3.422 (2002)</w:t>
      </w:r>
    </w:p>
    <w:p w:rsidR="003474F2" w:rsidRPr="001A3D2B" w:rsidRDefault="003474F2" w:rsidP="003474F2">
      <w:pPr>
        <w:pStyle w:val="a3"/>
      </w:pPr>
      <w:r w:rsidRPr="001A3D2B">
        <w:t>? Luukkonen, T. (1990), Bibliometrics</w:t>
      </w:r>
      <w:r w:rsidR="005853A9">
        <w:t xml:space="preserve"> and </w:t>
      </w:r>
      <w:r w:rsidRPr="001A3D2B">
        <w:t>evaluation</w:t>
      </w:r>
      <w:r w:rsidR="00427468">
        <w:t xml:space="preserve"> of </w:t>
      </w:r>
      <w:r w:rsidRPr="001A3D2B">
        <w:t xml:space="preserve">research performance. </w:t>
      </w:r>
      <w:r w:rsidRPr="001A3D2B">
        <w:rPr>
          <w:i/>
          <w:iCs/>
        </w:rPr>
        <w:t>Annals</w:t>
      </w:r>
      <w:r w:rsidR="00427468">
        <w:rPr>
          <w:i/>
          <w:iCs/>
        </w:rPr>
        <w:t xml:space="preserve"> of </w:t>
      </w:r>
      <w:r w:rsidRPr="001A3D2B">
        <w:rPr>
          <w:i/>
          <w:iCs/>
        </w:rPr>
        <w:t>Medicine</w:t>
      </w:r>
      <w:r w:rsidRPr="001A3D2B">
        <w:t xml:space="preserve">, </w:t>
      </w:r>
      <w:r w:rsidRPr="001A3D2B">
        <w:rPr>
          <w:b/>
        </w:rPr>
        <w:t>22</w:t>
      </w:r>
      <w:r w:rsidRPr="001A3D2B">
        <w:rPr>
          <w:bCs/>
        </w:rPr>
        <w:t xml:space="preserve"> (3)</w:t>
      </w:r>
      <w:r w:rsidRPr="001A3D2B">
        <w:t>, 145-150.</w:t>
      </w:r>
    </w:p>
    <w:p w:rsidR="00597F5F" w:rsidRDefault="00597F5F" w:rsidP="00597F5F">
      <w:pPr>
        <w:pStyle w:val="a3"/>
        <w:rPr>
          <w:kern w:val="0"/>
        </w:rPr>
      </w:pPr>
      <w:r>
        <w:rPr>
          <w:rFonts w:hint="eastAsia"/>
          <w:kern w:val="0"/>
        </w:rPr>
        <w:t xml:space="preserve">Full Text: </w:t>
      </w:r>
      <w:r w:rsidRPr="00FA6BFA">
        <w:rPr>
          <w:kern w:val="0"/>
        </w:rPr>
        <w:t>199</w:t>
      </w:r>
      <w:r>
        <w:rPr>
          <w:rFonts w:hint="eastAsia"/>
          <w:kern w:val="0"/>
        </w:rPr>
        <w:t>0</w:t>
      </w:r>
      <w:r w:rsidRPr="00FA6BFA">
        <w:rPr>
          <w:kern w:val="0"/>
        </w:rPr>
        <w:t>\Ann Med2</w:t>
      </w:r>
      <w:r>
        <w:rPr>
          <w:rFonts w:hint="eastAsia"/>
          <w:kern w:val="0"/>
        </w:rPr>
        <w:t>2</w:t>
      </w:r>
      <w:r w:rsidRPr="00FA6BFA">
        <w:rPr>
          <w:kern w:val="0"/>
        </w:rPr>
        <w:t xml:space="preserve">, </w:t>
      </w:r>
      <w:r>
        <w:rPr>
          <w:rFonts w:hint="eastAsia"/>
          <w:kern w:val="0"/>
        </w:rPr>
        <w:t>14</w:t>
      </w:r>
      <w:r w:rsidRPr="00FA6BFA">
        <w:rPr>
          <w:kern w:val="0"/>
        </w:rPr>
        <w:t>5.pdf</w:t>
      </w:r>
    </w:p>
    <w:p w:rsidR="00AD7437" w:rsidRDefault="00AD7437" w:rsidP="00AD7437">
      <w:pPr>
        <w:pStyle w:val="a3"/>
        <w:rPr>
          <w:kern w:val="0"/>
        </w:rPr>
      </w:pPr>
      <w:r>
        <w:rPr>
          <w:rFonts w:hint="eastAsia"/>
          <w:kern w:val="0"/>
        </w:rPr>
        <w:t xml:space="preserve">? </w:t>
      </w:r>
      <w:r>
        <w:rPr>
          <w:kern w:val="0"/>
        </w:rPr>
        <w:t>Ye, S.Q., Xing, R., Liu, J.</w:t>
      </w:r>
      <w:r w:rsidR="005853A9">
        <w:rPr>
          <w:kern w:val="0"/>
        </w:rPr>
        <w:t xml:space="preserve"> and </w:t>
      </w:r>
      <w:r>
        <w:rPr>
          <w:kern w:val="0"/>
        </w:rPr>
        <w:t>Xing, F.Y. (2013), Bibliometric analysis</w:t>
      </w:r>
      <w:r w:rsidR="00427468">
        <w:rPr>
          <w:kern w:val="0"/>
        </w:rPr>
        <w:t xml:space="preserve"> of </w:t>
      </w:r>
      <w:r>
        <w:rPr>
          <w:kern w:val="0"/>
        </w:rPr>
        <w:t>Nobelists</w:t>
      </w:r>
      <w:r w:rsidR="00700038">
        <w:rPr>
          <w:kern w:val="0"/>
        </w:rPr>
        <w:t>’</w:t>
      </w:r>
      <w:r>
        <w:rPr>
          <w:kern w:val="0"/>
        </w:rPr>
        <w:t xml:space="preserve"> awards</w:t>
      </w:r>
      <w:r w:rsidR="005853A9">
        <w:rPr>
          <w:kern w:val="0"/>
        </w:rPr>
        <w:t xml:space="preserve"> and </w:t>
      </w:r>
      <w:r>
        <w:rPr>
          <w:kern w:val="0"/>
        </w:rPr>
        <w:t xml:space="preserve">landmark papers in physiology or medicine during 1983-2012. </w:t>
      </w:r>
      <w:r>
        <w:rPr>
          <w:i/>
          <w:iCs/>
          <w:kern w:val="0"/>
        </w:rPr>
        <w:t>Annals</w:t>
      </w:r>
      <w:r w:rsidR="00427468">
        <w:rPr>
          <w:i/>
          <w:iCs/>
          <w:kern w:val="0"/>
        </w:rPr>
        <w:t xml:space="preserve"> of </w:t>
      </w:r>
      <w:r>
        <w:rPr>
          <w:i/>
          <w:iCs/>
          <w:kern w:val="0"/>
        </w:rPr>
        <w:t>Medicine</w:t>
      </w:r>
      <w:r>
        <w:rPr>
          <w:kern w:val="0"/>
        </w:rPr>
        <w:t xml:space="preserve">, </w:t>
      </w:r>
      <w:r>
        <w:rPr>
          <w:b/>
          <w:bCs/>
          <w:kern w:val="0"/>
        </w:rPr>
        <w:t>45</w:t>
      </w:r>
      <w:r>
        <w:rPr>
          <w:kern w:val="0"/>
        </w:rPr>
        <w:t xml:space="preserve"> (8), 532-538.</w:t>
      </w:r>
    </w:p>
    <w:p w:rsidR="00AD7437" w:rsidRDefault="00AD7437" w:rsidP="00AD7437">
      <w:pPr>
        <w:pStyle w:val="a3"/>
        <w:rPr>
          <w:kern w:val="0"/>
        </w:rPr>
      </w:pPr>
      <w:r>
        <w:rPr>
          <w:rFonts w:hint="eastAsia"/>
          <w:kern w:val="0"/>
        </w:rPr>
        <w:t xml:space="preserve">Full Text: </w:t>
      </w:r>
      <w:hyperlink r:id="rId910" w:history="1">
        <w:r w:rsidRPr="00FA6BFA">
          <w:rPr>
            <w:rStyle w:val="a5"/>
            <w:kern w:val="0"/>
          </w:rPr>
          <w:t>2013\Ann Med45, 532.pdf</w:t>
        </w:r>
      </w:hyperlink>
    </w:p>
    <w:p w:rsidR="00AD7437" w:rsidRDefault="00AD7437" w:rsidP="00AD7437">
      <w:pPr>
        <w:pStyle w:val="a3"/>
        <w:rPr>
          <w:kern w:val="0"/>
        </w:rPr>
      </w:pPr>
      <w:r>
        <w:rPr>
          <w:kern w:val="0"/>
        </w:rPr>
        <w:t>Abstract: Aim. This study</w:t>
      </w:r>
      <w:r w:rsidR="00700038">
        <w:rPr>
          <w:kern w:val="0"/>
        </w:rPr>
        <w:t>’</w:t>
      </w:r>
      <w:r>
        <w:rPr>
          <w:kern w:val="0"/>
        </w:rPr>
        <w:t>s purpose was to determine if there was a relationship between Nobel Laureates</w:t>
      </w:r>
      <w:r w:rsidR="00700038">
        <w:rPr>
          <w:kern w:val="0"/>
        </w:rPr>
        <w:t>’</w:t>
      </w:r>
      <w:r>
        <w:rPr>
          <w:kern w:val="0"/>
        </w:rPr>
        <w:t xml:space="preserve"> awards</w:t>
      </w:r>
      <w:r w:rsidR="005853A9">
        <w:rPr>
          <w:kern w:val="0"/>
        </w:rPr>
        <w:t xml:space="preserve"> and </w:t>
      </w:r>
      <w:r>
        <w:rPr>
          <w:kern w:val="0"/>
        </w:rPr>
        <w:t>landmark papers</w:t>
      </w:r>
      <w:r w:rsidR="005853A9">
        <w:rPr>
          <w:kern w:val="0"/>
        </w:rPr>
        <w:t xml:space="preserve"> and </w:t>
      </w:r>
      <w:r>
        <w:rPr>
          <w:kern w:val="0"/>
        </w:rPr>
        <w:t>winning the Nobel Prize in Physiology or Medicine during 1983-2012. Methods</w:t>
      </w:r>
      <w:r w:rsidR="00A37C1D">
        <w:rPr>
          <w:kern w:val="0"/>
        </w:rPr>
        <w:t>. The</w:t>
      </w:r>
      <w:r>
        <w:rPr>
          <w:kern w:val="0"/>
        </w:rPr>
        <w:t xml:space="preserve"> 66 Nobelists</w:t>
      </w:r>
      <w:r w:rsidR="00700038">
        <w:rPr>
          <w:kern w:val="0"/>
        </w:rPr>
        <w:t>’</w:t>
      </w:r>
      <w:r>
        <w:rPr>
          <w:kern w:val="0"/>
        </w:rPr>
        <w:t xml:space="preserve"> awards</w:t>
      </w:r>
      <w:r w:rsidR="005853A9">
        <w:rPr>
          <w:kern w:val="0"/>
        </w:rPr>
        <w:t xml:space="preserve"> and </w:t>
      </w:r>
      <w:r>
        <w:rPr>
          <w:kern w:val="0"/>
        </w:rPr>
        <w:t>landmark papers in the period 1983-2012 were analyzed. Results</w:t>
      </w:r>
      <w:r w:rsidR="00A37C1D">
        <w:rPr>
          <w:kern w:val="0"/>
        </w:rPr>
        <w:t>. The</w:t>
      </w:r>
      <w:r>
        <w:rPr>
          <w:kern w:val="0"/>
        </w:rPr>
        <w:t xml:space="preserve"> results showed that the most Nobelists had won Gairdner, Lasker, Howitz or Wolf Award before they won Nobel Prize, indicating that Gairdner Award may be considered as a Nobel Prize</w:t>
      </w:r>
      <w:r w:rsidR="00700038">
        <w:rPr>
          <w:kern w:val="0"/>
        </w:rPr>
        <w:t>’</w:t>
      </w:r>
      <w:r>
        <w:rPr>
          <w:kern w:val="0"/>
        </w:rPr>
        <w:t>s wind vane. A small number</w:t>
      </w:r>
      <w:r w:rsidR="00427468">
        <w:rPr>
          <w:kern w:val="0"/>
        </w:rPr>
        <w:t xml:space="preserve"> of </w:t>
      </w:r>
      <w:r>
        <w:rPr>
          <w:kern w:val="0"/>
        </w:rPr>
        <w:t>landmark papers were indeed published in low impact factor journals (10.5% below impact factor 5.0)</w:t>
      </w:r>
      <w:r w:rsidR="005853A9">
        <w:rPr>
          <w:kern w:val="0"/>
        </w:rPr>
        <w:t xml:space="preserve"> and </w:t>
      </w:r>
      <w:r>
        <w:rPr>
          <w:kern w:val="0"/>
        </w:rPr>
        <w:t>some</w:t>
      </w:r>
      <w:r w:rsidR="00427468">
        <w:rPr>
          <w:kern w:val="0"/>
        </w:rPr>
        <w:t xml:space="preserve"> of </w:t>
      </w:r>
      <w:r>
        <w:rPr>
          <w:kern w:val="0"/>
        </w:rPr>
        <w:t>their citation were low (23.2% below 400 times)</w:t>
      </w:r>
      <w:r w:rsidR="00A37C1D">
        <w:rPr>
          <w:kern w:val="0"/>
        </w:rPr>
        <w:t>. The</w:t>
      </w:r>
      <w:r>
        <w:rPr>
          <w:kern w:val="0"/>
        </w:rPr>
        <w:t>re were 61</w:t>
      </w:r>
      <w:r w:rsidR="00427468">
        <w:rPr>
          <w:kern w:val="0"/>
        </w:rPr>
        <w:t xml:space="preserve"> of </w:t>
      </w:r>
      <w:r>
        <w:rPr>
          <w:kern w:val="0"/>
        </w:rPr>
        <w:t>76 landmark papers published in the journals</w:t>
      </w:r>
      <w:r w:rsidR="00427468">
        <w:rPr>
          <w:kern w:val="0"/>
        </w:rPr>
        <w:t xml:space="preserve"> of </w:t>
      </w:r>
      <w:r>
        <w:rPr>
          <w:kern w:val="0"/>
        </w:rPr>
        <w:t>JCR partition 1, reaching 80%, but 2</w:t>
      </w:r>
      <w:r w:rsidR="00427468">
        <w:rPr>
          <w:kern w:val="0"/>
        </w:rPr>
        <w:t xml:space="preserve"> of </w:t>
      </w:r>
      <w:r>
        <w:rPr>
          <w:kern w:val="0"/>
        </w:rPr>
        <w:t>76 landmark papers were even outside</w:t>
      </w:r>
      <w:r w:rsidR="00427468">
        <w:rPr>
          <w:kern w:val="0"/>
        </w:rPr>
        <w:t xml:space="preserve"> of </w:t>
      </w:r>
      <w:r>
        <w:rPr>
          <w:kern w:val="0"/>
        </w:rPr>
        <w:t>JCR partition, demonstrating that JCR partition acts as a reciprocal supplement with impact factor</w:t>
      </w:r>
      <w:r w:rsidR="005853A9">
        <w:rPr>
          <w:kern w:val="0"/>
        </w:rPr>
        <w:t xml:space="preserve"> and </w:t>
      </w:r>
      <w:r>
        <w:rPr>
          <w:kern w:val="0"/>
        </w:rPr>
        <w:t>citation times</w:t>
      </w:r>
      <w:r w:rsidR="00A37C1D">
        <w:rPr>
          <w:kern w:val="0"/>
        </w:rPr>
        <w:t>. The</w:t>
      </w:r>
      <w:r>
        <w:rPr>
          <w:kern w:val="0"/>
        </w:rPr>
        <w:t xml:space="preserve"> test period</w:t>
      </w:r>
      <w:r w:rsidR="00427468">
        <w:rPr>
          <w:kern w:val="0"/>
        </w:rPr>
        <w:t xml:space="preserve"> of </w:t>
      </w:r>
      <w:r>
        <w:rPr>
          <w:kern w:val="0"/>
        </w:rPr>
        <w:t>Nobel Prize was substantially between 10 to 30 years</w:t>
      </w:r>
      <w:r w:rsidR="00A37C1D">
        <w:rPr>
          <w:kern w:val="0"/>
        </w:rPr>
        <w:t>. The</w:t>
      </w:r>
      <w:r>
        <w:rPr>
          <w:kern w:val="0"/>
        </w:rPr>
        <w:t>re were 5 persons whose landmark papers were cited all above 6000 times to get Nobel Prize within the test period</w:t>
      </w:r>
      <w:r w:rsidR="00427468">
        <w:rPr>
          <w:kern w:val="0"/>
        </w:rPr>
        <w:t xml:space="preserve"> of </w:t>
      </w:r>
      <w:r>
        <w:rPr>
          <w:kern w:val="0"/>
        </w:rPr>
        <w:t>ten years, suggesting that there is a trend</w:t>
      </w:r>
      <w:r w:rsidR="00427468">
        <w:rPr>
          <w:kern w:val="0"/>
        </w:rPr>
        <w:t xml:space="preserve"> of </w:t>
      </w:r>
      <w:r>
        <w:rPr>
          <w:kern w:val="0"/>
        </w:rPr>
        <w:t>certain inverse ratio between the citation</w:t>
      </w:r>
      <w:r w:rsidR="005853A9">
        <w:rPr>
          <w:kern w:val="0"/>
        </w:rPr>
        <w:t xml:space="preserve"> and </w:t>
      </w:r>
      <w:r>
        <w:rPr>
          <w:kern w:val="0"/>
        </w:rPr>
        <w:t>the test period</w:t>
      </w:r>
      <w:r w:rsidR="00427468">
        <w:rPr>
          <w:kern w:val="0"/>
        </w:rPr>
        <w:t xml:space="preserve"> of </w:t>
      </w:r>
      <w:r>
        <w:rPr>
          <w:kern w:val="0"/>
        </w:rPr>
        <w:t>Nobel Prize. Conclusion</w:t>
      </w:r>
      <w:r w:rsidR="00A37C1D">
        <w:rPr>
          <w:kern w:val="0"/>
        </w:rPr>
        <w:t>. The</w:t>
      </w:r>
      <w:r>
        <w:rPr>
          <w:kern w:val="0"/>
        </w:rPr>
        <w:t>se findings provide a new insight into the relationship among Nobel Laureates</w:t>
      </w:r>
      <w:r w:rsidR="00700038">
        <w:rPr>
          <w:kern w:val="0"/>
        </w:rPr>
        <w:t>’</w:t>
      </w:r>
      <w:r>
        <w:rPr>
          <w:kern w:val="0"/>
        </w:rPr>
        <w:t xml:space="preserve"> awards, landmark papers</w:t>
      </w:r>
      <w:r w:rsidR="005853A9">
        <w:rPr>
          <w:kern w:val="0"/>
        </w:rPr>
        <w:t xml:space="preserve"> and </w:t>
      </w:r>
      <w:r>
        <w:rPr>
          <w:kern w:val="0"/>
        </w:rPr>
        <w:t>Nobel Prize in Physiology or Medicine.</w:t>
      </w:r>
    </w:p>
    <w:p w:rsidR="00AD7437" w:rsidRDefault="00AD7437" w:rsidP="00AD7437">
      <w:pPr>
        <w:pStyle w:val="a3"/>
        <w:rPr>
          <w:kern w:val="0"/>
        </w:rPr>
      </w:pPr>
      <w:r>
        <w:rPr>
          <w:kern w:val="0"/>
        </w:rPr>
        <w:lastRenderedPageBreak/>
        <w:t>Keywords: Analysis, Award, Bibliometric, Bibliometric Analysis, Citation, Impact, Impact Factor, JCR, Journals, Landmark Papers, Medicine, Methods, Nobel Prize, Papers, Physiology, Prize, Purpose, Results, Science, Small, Test Period, Trend</w:t>
      </w:r>
    </w:p>
    <w:p w:rsidR="007A52CA" w:rsidRDefault="007A52CA" w:rsidP="007A52CA">
      <w:pPr>
        <w:pStyle w:val="a3"/>
        <w:rPr>
          <w:kern w:val="0"/>
        </w:rPr>
      </w:pPr>
      <w:r>
        <w:rPr>
          <w:rFonts w:hint="eastAsia"/>
          <w:kern w:val="0"/>
        </w:rPr>
        <w:t xml:space="preserve">? </w:t>
      </w:r>
      <w:r>
        <w:rPr>
          <w:kern w:val="0"/>
        </w:rPr>
        <w:t xml:space="preserve">Ambrosino, P., Lupoli, R., Di Minno, A., Iervolino, S., Peluso, R. and Di Minno, M.N.D. (2014), Markers of cardiovascular risk in patients with antiphospholipid syndrome: A meta-analysis of literature studies. </w:t>
      </w:r>
      <w:r>
        <w:rPr>
          <w:i/>
          <w:iCs/>
          <w:kern w:val="0"/>
        </w:rPr>
        <w:t>Annals of Medicine</w:t>
      </w:r>
      <w:r>
        <w:rPr>
          <w:kern w:val="0"/>
        </w:rPr>
        <w:t xml:space="preserve">, </w:t>
      </w:r>
      <w:r>
        <w:rPr>
          <w:b/>
          <w:bCs/>
          <w:kern w:val="0"/>
        </w:rPr>
        <w:t>46</w:t>
      </w:r>
      <w:r>
        <w:rPr>
          <w:kern w:val="0"/>
        </w:rPr>
        <w:t xml:space="preserve"> (8), 693-702.</w:t>
      </w:r>
    </w:p>
    <w:p w:rsidR="007A52CA" w:rsidRDefault="007A52CA" w:rsidP="007A52CA">
      <w:pPr>
        <w:pStyle w:val="a3"/>
        <w:rPr>
          <w:kern w:val="0"/>
        </w:rPr>
      </w:pPr>
      <w:r>
        <w:rPr>
          <w:rFonts w:hint="eastAsia"/>
          <w:kern w:val="0"/>
        </w:rPr>
        <w:t xml:space="preserve">Full Text: </w:t>
      </w:r>
      <w:hyperlink r:id="rId911" w:history="1">
        <w:r w:rsidRPr="00951F33">
          <w:rPr>
            <w:rStyle w:val="a5"/>
            <w:kern w:val="0"/>
          </w:rPr>
          <w:t>2014\Ann Med46, 693.pdf</w:t>
        </w:r>
      </w:hyperlink>
    </w:p>
    <w:p w:rsidR="007A52CA" w:rsidRDefault="007A52CA" w:rsidP="007A52CA">
      <w:pPr>
        <w:pStyle w:val="a3"/>
        <w:rPr>
          <w:kern w:val="0"/>
        </w:rPr>
      </w:pPr>
      <w:r>
        <w:rPr>
          <w:kern w:val="0"/>
        </w:rPr>
        <w:t>Abstract: Several studies reported on the association between antiphospholipid syndrome (APS) and venous thrombosis. In contrast, little is known about cardiovascular (CV) risk in APS. We performed a meta-analysis on the impact of APS on major markers of CV risk. Studies on the relationship between APS and common carotid artery intima-media thickness (CCA-IMT), internal carotid artery IMT (ICA-IMT), carotid bifurcation IMT (BIF-IMT), prevalence of carotid plaques, flow-mediated dilation (FMD), nitrate-mediated dilation (NMD), and ankle-brachial index (ABI) were systematically searched in PubMed, Web of Science, Scopus, and EMBASE databases. Twenty case-control studies (668 cases, 678 controls) were included. Compared to controls, APS patients showed a higher CCA-IMT (mean difference [MD] 0.11 mm; 95% CI 0.07, 0.14), ICA-IMT (MD 0.08 mm; 95% CI 0.05, 0.11), BIF-IMT (MD 0.09 mm; 95% CI 0.06, 0.12) and a higher frequency of carotid plaques (OR 3.87; 95% CI 1.61, 9.31). Moreover, a lower FMD was found in APS subjects than in controls (MD -4.49%; 95% CI -6.20, -2.78), with no differences in NMD (MD -1.80%; 95% CI -4.01, 0.42). Finally, an increased prevalence of pathological ABI was found in APS patients compared to controls (OR 7.26; 95% CI 1.77, 29.71). Despite heterogeneity among studies, APS appears significantly associated with markers of subclinical atherosclerosis and CV risk. These findings can be useful to plan adequate prevention strategies and therapeutic approaches.</w:t>
      </w:r>
    </w:p>
    <w:p w:rsidR="007A52CA" w:rsidRDefault="007A52CA" w:rsidP="007A52CA">
      <w:pPr>
        <w:pStyle w:val="a3"/>
        <w:rPr>
          <w:kern w:val="0"/>
        </w:rPr>
      </w:pPr>
      <w:r>
        <w:rPr>
          <w:kern w:val="0"/>
        </w:rPr>
        <w:t>Keywords: Ankle-Brachial Index, Antiphospholipid Syndrome, Arterial-Wall Thickness, Artery, Association, Cardiovascular, Cardiovascular Risk, Case-Control, Case-Control Studies, Classification Criteria, Coronary-Heart-Disease, Databases, Embase, Endothelial Dysfunction, Endothelial Function, Heterogeneity, Impact, Index, International Consensus Statement, Intima-Media Thickness, Intima-Media Thickness, Literature, Meta Analysis, Meta-Analysis, Metaanalysis, Myocardial-Infarction, Patients, Prevalence, Prevention, Pubmed, Risk, Science, Scopus, Subclinical Atherosclerosis, Syndrome, Systemic-Lupus-Erythematosus, Therapeutic, Thrombosis, Venous Thrombosis, Web, Web Of Science</w:t>
      </w:r>
    </w:p>
    <w:p w:rsidR="00062B2E" w:rsidRPr="00F219CA" w:rsidRDefault="00062B2E" w:rsidP="00062B2E">
      <w:pPr>
        <w:pStyle w:val="1"/>
      </w:pPr>
      <w:r w:rsidRPr="00F219CA">
        <w:br w:type="page"/>
      </w:r>
      <w:bookmarkStart w:id="484" w:name="_Toc420814512"/>
      <w:r w:rsidRPr="00F219CA">
        <w:lastRenderedPageBreak/>
        <w:t xml:space="preserve">Title: </w:t>
      </w:r>
      <w:r w:rsidRPr="006E197A">
        <w:t>Annals of Noninvasive Electrocardiology</w:t>
      </w:r>
      <w:bookmarkEnd w:id="484"/>
    </w:p>
    <w:p w:rsidR="00062B2E" w:rsidRPr="00F219CA" w:rsidRDefault="00062B2E" w:rsidP="00062B2E">
      <w:pPr>
        <w:pStyle w:val="12"/>
      </w:pPr>
      <w:r w:rsidRPr="00F219CA">
        <w:t xml:space="preserve">Full Journal Title: </w:t>
      </w:r>
      <w:r w:rsidRPr="006E197A">
        <w:rPr>
          <w:iCs/>
          <w:kern w:val="0"/>
        </w:rPr>
        <w:t>Annals of Noninvasive Electrocardiology</w:t>
      </w:r>
    </w:p>
    <w:p w:rsidR="00062B2E" w:rsidRPr="00F219CA" w:rsidRDefault="00062B2E" w:rsidP="00062B2E">
      <w:pPr>
        <w:pStyle w:val="12"/>
      </w:pPr>
      <w:r w:rsidRPr="00F219CA">
        <w:t>ISO Abbreviated Title:</w:t>
      </w:r>
    </w:p>
    <w:p w:rsidR="00062B2E" w:rsidRPr="00F219CA" w:rsidRDefault="00062B2E" w:rsidP="00062B2E">
      <w:pPr>
        <w:pStyle w:val="12"/>
      </w:pPr>
      <w:r w:rsidRPr="00F219CA">
        <w:t xml:space="preserve">JCR Abbreviated Title: </w:t>
      </w:r>
    </w:p>
    <w:p w:rsidR="00062B2E" w:rsidRPr="00F219CA" w:rsidRDefault="00062B2E" w:rsidP="00062B2E">
      <w:pPr>
        <w:pStyle w:val="12"/>
      </w:pPr>
      <w:r w:rsidRPr="00F219CA">
        <w:t xml:space="preserve">ISSN: </w:t>
      </w:r>
    </w:p>
    <w:p w:rsidR="00062B2E" w:rsidRPr="00F219CA" w:rsidRDefault="00062B2E" w:rsidP="00062B2E">
      <w:pPr>
        <w:pStyle w:val="12"/>
      </w:pPr>
      <w:r w:rsidRPr="00F219CA">
        <w:t xml:space="preserve">Issues/Year: </w:t>
      </w:r>
    </w:p>
    <w:p w:rsidR="00062B2E" w:rsidRPr="00F219CA" w:rsidRDefault="00062B2E" w:rsidP="00062B2E">
      <w:pPr>
        <w:pStyle w:val="12"/>
      </w:pPr>
      <w:r w:rsidRPr="00F219CA">
        <w:t xml:space="preserve">Journal Country/Territory: </w:t>
      </w:r>
    </w:p>
    <w:p w:rsidR="00062B2E" w:rsidRPr="00F219CA" w:rsidRDefault="00062B2E" w:rsidP="00062B2E">
      <w:pPr>
        <w:pStyle w:val="12"/>
      </w:pPr>
      <w:r w:rsidRPr="00F219CA">
        <w:t xml:space="preserve">Language: </w:t>
      </w:r>
    </w:p>
    <w:p w:rsidR="00062B2E" w:rsidRPr="00F219CA" w:rsidRDefault="00062B2E" w:rsidP="00062B2E">
      <w:pPr>
        <w:pStyle w:val="12"/>
      </w:pPr>
      <w:r w:rsidRPr="00F219CA">
        <w:t xml:space="preserve">Publisher: </w:t>
      </w:r>
    </w:p>
    <w:p w:rsidR="00062B2E" w:rsidRPr="00F219CA" w:rsidRDefault="00062B2E" w:rsidP="00062B2E">
      <w:pPr>
        <w:pStyle w:val="12"/>
      </w:pPr>
      <w:r w:rsidRPr="00F219CA">
        <w:t>Publisher Address:</w:t>
      </w:r>
    </w:p>
    <w:p w:rsidR="00062B2E" w:rsidRPr="00F219CA" w:rsidRDefault="00062B2E" w:rsidP="00062B2E">
      <w:pPr>
        <w:pStyle w:val="12"/>
      </w:pPr>
      <w:r w:rsidRPr="00F219CA">
        <w:t xml:space="preserve">Subject Categories: </w:t>
      </w:r>
    </w:p>
    <w:p w:rsidR="00062B2E" w:rsidRPr="00F219CA" w:rsidRDefault="00062B2E" w:rsidP="00062B2E">
      <w:pPr>
        <w:pStyle w:val="12"/>
      </w:pPr>
      <w:r w:rsidRPr="00F219CA">
        <w:t>: Impact Factor</w:t>
      </w:r>
    </w:p>
    <w:p w:rsidR="00062B2E" w:rsidRDefault="00062B2E" w:rsidP="00062B2E">
      <w:pPr>
        <w:pStyle w:val="a3"/>
        <w:rPr>
          <w:kern w:val="0"/>
        </w:rPr>
      </w:pPr>
      <w:r>
        <w:rPr>
          <w:rFonts w:hint="eastAsia"/>
          <w:kern w:val="0"/>
        </w:rPr>
        <w:t xml:space="preserve">? </w:t>
      </w:r>
      <w:r>
        <w:rPr>
          <w:kern w:val="0"/>
        </w:rPr>
        <w:t xml:space="preserve">da Silva, V.P., de Oliveira, N.A., Silveira, H., Mello, R.G.T. and Deslandes, A.C. (2015), Heart rate variability indexes as a marker of chronic adaptation in athletes: A systematic review. </w:t>
      </w:r>
      <w:r w:rsidRPr="006E197A">
        <w:rPr>
          <w:i/>
          <w:iCs/>
          <w:kern w:val="0"/>
        </w:rPr>
        <w:t>Annals of Noninvasive Electrocardiology</w:t>
      </w:r>
      <w:r>
        <w:rPr>
          <w:kern w:val="0"/>
        </w:rPr>
        <w:t xml:space="preserve">, </w:t>
      </w:r>
      <w:r>
        <w:rPr>
          <w:b/>
          <w:bCs/>
          <w:kern w:val="0"/>
        </w:rPr>
        <w:t>20</w:t>
      </w:r>
      <w:r>
        <w:rPr>
          <w:kern w:val="0"/>
        </w:rPr>
        <w:t xml:space="preserve"> (2), 108-118.</w:t>
      </w:r>
    </w:p>
    <w:p w:rsidR="00062B2E" w:rsidRDefault="00062B2E" w:rsidP="00062B2E">
      <w:pPr>
        <w:pStyle w:val="a3"/>
        <w:rPr>
          <w:kern w:val="0"/>
        </w:rPr>
      </w:pPr>
      <w:r>
        <w:rPr>
          <w:rFonts w:hint="eastAsia"/>
          <w:kern w:val="0"/>
        </w:rPr>
        <w:t xml:space="preserve">Full Text: </w:t>
      </w:r>
      <w:hyperlink r:id="rId912" w:history="1">
        <w:r w:rsidRPr="006E197A">
          <w:rPr>
            <w:rStyle w:val="a5"/>
            <w:kern w:val="0"/>
          </w:rPr>
          <w:t>2015\Ann Non Ele20, 108.pdf</w:t>
        </w:r>
      </w:hyperlink>
    </w:p>
    <w:p w:rsidR="00062B2E" w:rsidRDefault="00062B2E" w:rsidP="00062B2E">
      <w:pPr>
        <w:pStyle w:val="a3"/>
        <w:rPr>
          <w:kern w:val="0"/>
        </w:rPr>
      </w:pPr>
      <w:r>
        <w:rPr>
          <w:kern w:val="0"/>
        </w:rPr>
        <w:t>Abstract: BackgroundRegular exercise promotes functional and structural changes in the central and peripheral mechanisms of the cardiovascular system. Heart rate variability (HRV) measurement provides a sensitive indicator of the autonomic balance. However, because of the diversity of methods and variables used, the results are difficult to compare in the sports sciences. Since the protocol (supine, sitting, or standing position) and measure (time or frequency domain) are not well defined, the aim of this study is to investigate the HRV measures that better indicates the chronic adaptations of physical exercise in athletes. MethodPubMed (MEDLINE), Web of Science, SciELO (Scientific Electronic Library), and Scopus databases were consulted. Original complete articles in English with short-term signals evaluating young and adult athletes, between 17 and 40 years old, with a control group, published up to 2013 were included. ResultsSelected 19 of 1369 studies, for a total sample pool of 333 male and female athletes who practice different sports. The main protocols observed were the supine or standing positions in free or controlled breathing conditions. The main statistical results found in this study were the higher mean RR, standard deviation of RR intervals, and high frequency in athletes group. In addition, the analyses of Cohen’s effect size showed that factors as modality of sport, protocol used and unit of measure selected could influence this expected results. ConclusionOur findings indicate that time domain measures are more consistent than frequency domain to describe the chronic cardiovascular autonomic adaptations in athletes.</w:t>
      </w:r>
    </w:p>
    <w:p w:rsidR="00062B2E" w:rsidRDefault="00062B2E" w:rsidP="00062B2E">
      <w:pPr>
        <w:pStyle w:val="a3"/>
        <w:rPr>
          <w:kern w:val="0"/>
        </w:rPr>
      </w:pPr>
      <w:r>
        <w:rPr>
          <w:kern w:val="0"/>
        </w:rPr>
        <w:lastRenderedPageBreak/>
        <w:t>Keywords: Adaptation, Adult, Analyses, Articles, Athletes, Autonomic Control, Autonomic Nervous System, Balance, Blood-Pressure, Cardiovascular, Cardiovascular System, Changes, Chronic, Complete, Control, Databases, Diversity, Dynamic Exercise, Effect Size, Electrocardiogram, English, Exercise, Factors, Female, Healthy-Subjects, Heart Rate, Heart Rate Variability, Indicator, Influence, Intervals, Library, Male, Mar, Measure, Measurement, Measures, Mechanisms, Medline, Methods, Nervous-System, Neurovisceral Integration, Peripheral, Physical, Physical Exercises, Position, Power Spectral-Analysis, Practice, Protocol, Protocols, Rate, Resistance Training, Respiratory Sinus Arrhythmia, Review, Scielo, Science, Sciences, Scopus, Size, Sport, Sports, Standard, Systematic, Systematic Review, Vagal, Variability, Web, Web Of Science, Young, Young-Women</w:t>
      </w:r>
    </w:p>
    <w:p w:rsidR="003474F2" w:rsidRPr="001A3D2B" w:rsidRDefault="003474F2" w:rsidP="003474F2">
      <w:pPr>
        <w:pStyle w:val="1"/>
      </w:pPr>
      <w:r w:rsidRPr="001A3D2B">
        <w:br w:type="page"/>
      </w:r>
      <w:bookmarkStart w:id="485" w:name="_Toc420814513"/>
      <w:r w:rsidRPr="001A3D2B">
        <w:lastRenderedPageBreak/>
        <w:t>Title: Annals</w:t>
      </w:r>
      <w:r w:rsidR="00427468">
        <w:t xml:space="preserve"> of </w:t>
      </w:r>
      <w:r w:rsidRPr="001A3D2B">
        <w:t>Nuclear Medicine</w:t>
      </w:r>
      <w:bookmarkEnd w:id="485"/>
    </w:p>
    <w:p w:rsidR="003474F2" w:rsidRPr="001A3D2B" w:rsidRDefault="003474F2" w:rsidP="003474F2">
      <w:pPr>
        <w:pStyle w:val="12"/>
      </w:pPr>
      <w:r w:rsidRPr="001A3D2B">
        <w:t>Full Journal Title: Annals</w:t>
      </w:r>
      <w:r w:rsidR="00427468">
        <w:t xml:space="preserve"> of </w:t>
      </w:r>
      <w:r w:rsidRPr="001A3D2B">
        <w:t>Nuclear Medicine</w:t>
      </w:r>
    </w:p>
    <w:p w:rsidR="003474F2" w:rsidRPr="001A3D2B" w:rsidRDefault="003474F2" w:rsidP="003474F2">
      <w:pPr>
        <w:pStyle w:val="12"/>
      </w:pPr>
      <w:r w:rsidRPr="001A3D2B">
        <w:t>ISO Abbreviated Title:</w:t>
      </w:r>
    </w:p>
    <w:p w:rsidR="003474F2" w:rsidRPr="001A3D2B" w:rsidRDefault="003474F2" w:rsidP="003474F2">
      <w:pPr>
        <w:pStyle w:val="12"/>
      </w:pPr>
      <w:r w:rsidRPr="001A3D2B">
        <w:t xml:space="preserve">JCR Abbreviated Title: </w:t>
      </w:r>
      <w:r w:rsidRPr="001A3D2B">
        <w:rPr>
          <w:szCs w:val="20"/>
        </w:rPr>
        <w:t>Ann Nucl Med</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Publisher Address:</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Notes: TTopic, CCountry</w:t>
      </w:r>
    </w:p>
    <w:p w:rsidR="003474F2" w:rsidRPr="001A3D2B" w:rsidRDefault="003474F2" w:rsidP="003474F2">
      <w:pPr>
        <w:pStyle w:val="a3"/>
      </w:pPr>
      <w:r w:rsidRPr="001A3D2B">
        <w:t>? Rahman, M., Sakamoto, J.</w:t>
      </w:r>
      <w:r w:rsidR="005853A9">
        <w:t xml:space="preserve"> and </w:t>
      </w:r>
      <w:r w:rsidRPr="001A3D2B">
        <w:t xml:space="preserve">Fukui, T. (2002), </w:t>
      </w:r>
      <w:r w:rsidRPr="001A3D2B">
        <w:rPr>
          <w:rStyle w:val="a4"/>
          <w:szCs w:val="24"/>
        </w:rPr>
        <w:t>Japan</w:t>
      </w:r>
      <w:r w:rsidR="00700038">
        <w:rPr>
          <w:rStyle w:val="a4"/>
          <w:szCs w:val="24"/>
        </w:rPr>
        <w:t>’</w:t>
      </w:r>
      <w:r w:rsidR="00C13DDC">
        <w:rPr>
          <w:rStyle w:val="a4"/>
          <w:szCs w:val="24"/>
        </w:rPr>
        <w:t>s</w:t>
      </w:r>
      <w:r w:rsidRPr="001A3D2B">
        <w:rPr>
          <w:rStyle w:val="a4"/>
          <w:szCs w:val="24"/>
        </w:rPr>
        <w:t xml:space="preserve"> contribution to nuclear medical research</w:t>
      </w:r>
      <w:r w:rsidRPr="001A3D2B">
        <w:t xml:space="preserve">. </w:t>
      </w:r>
      <w:r w:rsidRPr="001A3D2B">
        <w:rPr>
          <w:i/>
        </w:rPr>
        <w:t>Annals</w:t>
      </w:r>
      <w:r w:rsidR="00427468">
        <w:rPr>
          <w:i/>
        </w:rPr>
        <w:t xml:space="preserve"> of </w:t>
      </w:r>
      <w:r w:rsidRPr="001A3D2B">
        <w:rPr>
          <w:i/>
        </w:rPr>
        <w:t>Nuclear Medicine</w:t>
      </w:r>
      <w:r w:rsidRPr="001A3D2B">
        <w:t xml:space="preserve">, </w:t>
      </w:r>
      <w:r w:rsidRPr="001A3D2B">
        <w:rPr>
          <w:b/>
          <w:bCs/>
        </w:rPr>
        <w:t>16</w:t>
      </w:r>
      <w:r w:rsidRPr="001A3D2B">
        <w:t xml:space="preserve"> (6), 383-385.</w:t>
      </w:r>
    </w:p>
    <w:p w:rsidR="003474F2" w:rsidRPr="001A3D2B" w:rsidRDefault="003474F2" w:rsidP="003474F2">
      <w:pPr>
        <w:pStyle w:val="a3"/>
      </w:pPr>
      <w:r w:rsidRPr="001A3D2B">
        <w:rPr>
          <w:szCs w:val="10"/>
        </w:rPr>
        <w:t xml:space="preserve">Full Text: </w:t>
      </w:r>
      <w:hyperlink r:id="rId913" w:history="1">
        <w:r w:rsidRPr="001A3D2B">
          <w:rPr>
            <w:rStyle w:val="a5"/>
            <w:szCs w:val="10"/>
          </w:rPr>
          <w:t>2002\Ann Nuc Med16, 383.pdf</w:t>
        </w:r>
      </w:hyperlink>
    </w:p>
    <w:p w:rsidR="003474F2" w:rsidRPr="001A3D2B" w:rsidRDefault="003474F2" w:rsidP="003474F2">
      <w:pPr>
        <w:pStyle w:val="a3"/>
      </w:pPr>
      <w:r w:rsidRPr="001A3D2B">
        <w:t>Abstract: We investigated</w:t>
      </w:r>
      <w:r w:rsidR="003A1917">
        <w:t xml:space="preserve"> the </w:t>
      </w:r>
      <w:r w:rsidRPr="001A3D2B">
        <w:t>degree</w:t>
      </w:r>
      <w:r w:rsidR="00427468">
        <w:t xml:space="preserve"> of </w:t>
      </w:r>
      <w:r w:rsidRPr="001A3D2B">
        <w:t>Japan</w:t>
      </w:r>
      <w:r w:rsidR="00700038">
        <w:t>’</w:t>
      </w:r>
      <w:r w:rsidR="00C13DDC">
        <w:t>s</w:t>
      </w:r>
      <w:r w:rsidRPr="001A3D2B">
        <w:t xml:space="preserve"> contribution to</w:t>
      </w:r>
      <w:r w:rsidR="003A1917">
        <w:t xml:space="preserve"> the </w:t>
      </w:r>
      <w:r w:rsidRPr="001A3D2B">
        <w:t>nuclear medical research in</w:t>
      </w:r>
      <w:r w:rsidR="003A1917">
        <w:t xml:space="preserve"> the </w:t>
      </w:r>
      <w:r w:rsidRPr="001A3D2B">
        <w:t>last decade. Articles published in 1991</w:t>
      </w:r>
      <w:smartTag w:uri="urn:schemas-microsoft-com:office:smarttags" w:element="chmetcnv">
        <w:smartTagPr>
          <w:attr w:name="TCSC" w:val="0"/>
          <w:attr w:name="NumberType" w:val="1"/>
          <w:attr w:name="Negative" w:val="True"/>
          <w:attr w:name="HasSpace" w:val="True"/>
          <w:attr w:name="SourceValue" w:val="2000"/>
          <w:attr w:name="UnitName" w:val="in"/>
        </w:smartTagPr>
        <w:r w:rsidRPr="001A3D2B">
          <w:t>-2000 in</w:t>
        </w:r>
      </w:smartTag>
      <w:r w:rsidRPr="001A3D2B">
        <w:t xml:space="preserve"> highly reputed nuclear medical journals were accessed through</w:t>
      </w:r>
      <w:r w:rsidR="003A1917">
        <w:t xml:space="preserve"> the </w:t>
      </w:r>
      <w:r w:rsidR="00D5664A">
        <w:t>MEDLINE</w:t>
      </w:r>
      <w:r w:rsidRPr="001A3D2B">
        <w:t xml:space="preserve"> database</w:t>
      </w:r>
      <w:r w:rsidR="00A37C1D">
        <w:t>. The</w:t>
      </w:r>
      <w:r w:rsidR="003A1917">
        <w:t xml:space="preserve"> </w:t>
      </w:r>
      <w:r w:rsidRPr="001A3D2B">
        <w:t>number</w:t>
      </w:r>
      <w:r w:rsidR="00427468">
        <w:t xml:space="preserve"> of </w:t>
      </w:r>
      <w:r w:rsidRPr="001A3D2B">
        <w:t>articles having affiliation with a Japanese institution was counted along with publication year. In addition, shares</w:t>
      </w:r>
      <w:r w:rsidR="00427468">
        <w:t xml:space="preserve"> of </w:t>
      </w:r>
      <w:r w:rsidRPr="001A3D2B">
        <w:t>top-ranking countries were determined along with their trends over time.</w:t>
      </w:r>
      <w:r w:rsidR="00427468">
        <w:t xml:space="preserve"> of </w:t>
      </w:r>
      <w:r w:rsidR="003A1917">
        <w:t xml:space="preserve">the </w:t>
      </w:r>
      <w:r w:rsidRPr="001A3D2B">
        <w:t>total number</w:t>
      </w:r>
      <w:r w:rsidR="00427468">
        <w:t xml:space="preserve"> of </w:t>
      </w:r>
      <w:r w:rsidRPr="001A3D2B">
        <w:t>articles (7,788), Japan</w:t>
      </w:r>
      <w:r w:rsidR="00700038">
        <w:t>’</w:t>
      </w:r>
      <w:r w:rsidR="00C13DDC">
        <w:t>s</w:t>
      </w:r>
      <w:r w:rsidRPr="001A3D2B">
        <w:t xml:space="preserve"> share</w:t>
      </w:r>
      <w:r w:rsidR="00427468">
        <w:t xml:space="preserve"> of </w:t>
      </w:r>
      <w:r w:rsidRPr="001A3D2B">
        <w:t>articles in selected nuclear medical journals was 11.4% (889 articles)</w:t>
      </w:r>
      <w:r w:rsidR="005853A9">
        <w:t xml:space="preserve"> and </w:t>
      </w:r>
      <w:r w:rsidRPr="001A3D2B">
        <w:t>ranked 2nd in</w:t>
      </w:r>
      <w:r w:rsidR="003A1917">
        <w:t xml:space="preserve"> the </w:t>
      </w:r>
      <w:r w:rsidRPr="001A3D2B">
        <w:t>world after</w:t>
      </w:r>
      <w:r w:rsidR="003A1917">
        <w:t xml:space="preserve"> the </w:t>
      </w:r>
      <w:r w:rsidR="00D5664A">
        <w:t>USA</w:t>
      </w:r>
      <w:r w:rsidRPr="001A3D2B">
        <w:t xml:space="preserve"> (2,645 articles)</w:t>
      </w:r>
      <w:r w:rsidR="00A37C1D">
        <w:t>. The</w:t>
      </w:r>
      <w:r w:rsidR="003A1917">
        <w:t xml:space="preserve"> </w:t>
      </w:r>
      <w:r w:rsidRPr="001A3D2B">
        <w:t>recent increase in</w:t>
      </w:r>
      <w:r w:rsidR="003A1917">
        <w:t xml:space="preserve"> the </w:t>
      </w:r>
      <w:r w:rsidRPr="001A3D2B">
        <w:t xml:space="preserve">share was statistically significant for </w:t>
      </w:r>
      <w:smartTag w:uri="urn:schemas-microsoft-com:office:smarttags" w:element="place">
        <w:smartTag w:uri="urn:schemas-microsoft-com:office:smarttags" w:element="country-region">
          <w:r w:rsidRPr="001A3D2B">
            <w:t>Japan</w:t>
          </w:r>
        </w:smartTag>
      </w:smartTag>
      <w:r w:rsidRPr="001A3D2B">
        <w:t xml:space="preserve"> (p = 0.02, test for trend). Japan</w:t>
      </w:r>
      <w:r w:rsidR="00700038">
        <w:t>’</w:t>
      </w:r>
      <w:r w:rsidR="00C13DDC">
        <w:t>s</w:t>
      </w:r>
      <w:r w:rsidRPr="001A3D2B">
        <w:t xml:space="preserve"> share in nuclear medical research output is much higher than that in other biomedical fields.</w:t>
      </w:r>
    </w:p>
    <w:p w:rsidR="003474F2" w:rsidRPr="001A3D2B" w:rsidRDefault="003474F2" w:rsidP="003474F2">
      <w:pPr>
        <w:pStyle w:val="a3"/>
      </w:pPr>
      <w:r w:rsidRPr="001A3D2B">
        <w:t xml:space="preserve">Keywords: Affiliation, Biomedical, Database, Japan, Journals, Medical, Medical Journals, Medical Research, </w:t>
      </w:r>
      <w:r w:rsidR="00D5664A">
        <w:t>MEDLINE</w:t>
      </w:r>
      <w:r w:rsidRPr="001A3D2B">
        <w:t xml:space="preserve">, Publication, Research, Trend, Trends, </w:t>
      </w:r>
      <w:r w:rsidR="00D5664A">
        <w:t>USA</w:t>
      </w:r>
      <w:r w:rsidRPr="001A3D2B">
        <w:t>, World</w:t>
      </w:r>
    </w:p>
    <w:p w:rsidR="00A323E8" w:rsidRPr="00F219CA" w:rsidRDefault="00A323E8" w:rsidP="00A323E8">
      <w:pPr>
        <w:pStyle w:val="1"/>
      </w:pPr>
      <w:r w:rsidRPr="00F219CA">
        <w:br w:type="page"/>
      </w:r>
      <w:bookmarkStart w:id="486" w:name="_Toc420814514"/>
      <w:r w:rsidRPr="00F219CA">
        <w:lastRenderedPageBreak/>
        <w:t xml:space="preserve">Title: </w:t>
      </w:r>
      <w:r w:rsidRPr="00386AA4">
        <w:rPr>
          <w:iCs w:val="0"/>
        </w:rPr>
        <w:t>Annals</w:t>
      </w:r>
      <w:r w:rsidR="00427468">
        <w:rPr>
          <w:iCs w:val="0"/>
        </w:rPr>
        <w:t xml:space="preserve"> of </w:t>
      </w:r>
      <w:r w:rsidRPr="00386AA4">
        <w:rPr>
          <w:iCs w:val="0"/>
        </w:rPr>
        <w:t>Nutrition</w:t>
      </w:r>
      <w:r w:rsidR="005853A9">
        <w:rPr>
          <w:iCs w:val="0"/>
        </w:rPr>
        <w:t xml:space="preserve"> and </w:t>
      </w:r>
      <w:r w:rsidRPr="00386AA4">
        <w:rPr>
          <w:iCs w:val="0"/>
        </w:rPr>
        <w:t>Metabolism</w:t>
      </w:r>
      <w:bookmarkEnd w:id="486"/>
    </w:p>
    <w:p w:rsidR="00A323E8" w:rsidRPr="00F219CA" w:rsidRDefault="00A323E8" w:rsidP="00A323E8">
      <w:pPr>
        <w:pStyle w:val="12"/>
      </w:pPr>
      <w:r w:rsidRPr="00F219CA">
        <w:t xml:space="preserve">Full Journal Title: </w:t>
      </w:r>
      <w:r w:rsidRPr="00386AA4">
        <w:rPr>
          <w:iCs/>
          <w:kern w:val="0"/>
        </w:rPr>
        <w:t>Annals</w:t>
      </w:r>
      <w:r w:rsidR="00427468">
        <w:rPr>
          <w:iCs/>
          <w:kern w:val="0"/>
        </w:rPr>
        <w:t xml:space="preserve"> of </w:t>
      </w:r>
      <w:r w:rsidRPr="00386AA4">
        <w:rPr>
          <w:iCs/>
          <w:kern w:val="0"/>
        </w:rPr>
        <w:t>Nutrition</w:t>
      </w:r>
      <w:r w:rsidR="005853A9">
        <w:rPr>
          <w:iCs/>
          <w:kern w:val="0"/>
        </w:rPr>
        <w:t xml:space="preserve"> and </w:t>
      </w:r>
      <w:r w:rsidRPr="00386AA4">
        <w:rPr>
          <w:iCs/>
          <w:kern w:val="0"/>
        </w:rPr>
        <w:t>Metabolism</w:t>
      </w:r>
    </w:p>
    <w:p w:rsidR="00A323E8" w:rsidRPr="00F219CA" w:rsidRDefault="00A323E8" w:rsidP="00A323E8">
      <w:pPr>
        <w:pStyle w:val="12"/>
      </w:pPr>
      <w:r w:rsidRPr="00F219CA">
        <w:t>ISO Abbreviated Title:</w:t>
      </w:r>
    </w:p>
    <w:p w:rsidR="00A323E8" w:rsidRPr="00F219CA" w:rsidRDefault="00A323E8" w:rsidP="00A323E8">
      <w:pPr>
        <w:pStyle w:val="12"/>
      </w:pPr>
      <w:r w:rsidRPr="00F219CA">
        <w:t xml:space="preserve">JCR Abbreviated Title: </w:t>
      </w:r>
    </w:p>
    <w:p w:rsidR="00A323E8" w:rsidRPr="00F219CA" w:rsidRDefault="00A323E8" w:rsidP="00A323E8">
      <w:pPr>
        <w:pStyle w:val="12"/>
      </w:pPr>
      <w:r w:rsidRPr="00F219CA">
        <w:t xml:space="preserve">ISSN: </w:t>
      </w:r>
    </w:p>
    <w:p w:rsidR="00A323E8" w:rsidRPr="00F219CA" w:rsidRDefault="00A323E8" w:rsidP="00A323E8">
      <w:pPr>
        <w:pStyle w:val="12"/>
      </w:pPr>
      <w:r w:rsidRPr="00F219CA">
        <w:t xml:space="preserve">Issues/Year: </w:t>
      </w:r>
    </w:p>
    <w:p w:rsidR="00A323E8" w:rsidRPr="00F219CA" w:rsidRDefault="00A323E8" w:rsidP="00A323E8">
      <w:pPr>
        <w:pStyle w:val="12"/>
      </w:pPr>
      <w:r w:rsidRPr="00F219CA">
        <w:t xml:space="preserve">Journal Country/Territory: </w:t>
      </w:r>
    </w:p>
    <w:p w:rsidR="00A323E8" w:rsidRPr="00F219CA" w:rsidRDefault="00A323E8" w:rsidP="00A323E8">
      <w:pPr>
        <w:pStyle w:val="12"/>
      </w:pPr>
      <w:r w:rsidRPr="00F219CA">
        <w:t xml:space="preserve">Language: </w:t>
      </w:r>
    </w:p>
    <w:p w:rsidR="00A323E8" w:rsidRPr="00F219CA" w:rsidRDefault="00A323E8" w:rsidP="00A323E8">
      <w:pPr>
        <w:pStyle w:val="12"/>
      </w:pPr>
      <w:r w:rsidRPr="00F219CA">
        <w:t xml:space="preserve">Publisher: </w:t>
      </w:r>
    </w:p>
    <w:p w:rsidR="00A323E8" w:rsidRPr="00F219CA" w:rsidRDefault="00A323E8" w:rsidP="00A323E8">
      <w:pPr>
        <w:pStyle w:val="12"/>
      </w:pPr>
      <w:r w:rsidRPr="00F219CA">
        <w:t>Publisher Address:</w:t>
      </w:r>
    </w:p>
    <w:p w:rsidR="00A323E8" w:rsidRPr="00F219CA" w:rsidRDefault="00A323E8" w:rsidP="00A323E8">
      <w:pPr>
        <w:pStyle w:val="12"/>
      </w:pPr>
      <w:r w:rsidRPr="00F219CA">
        <w:t xml:space="preserve">Subject Categories: </w:t>
      </w:r>
    </w:p>
    <w:p w:rsidR="00A323E8" w:rsidRPr="00F219CA" w:rsidRDefault="00A323E8" w:rsidP="00A323E8">
      <w:pPr>
        <w:pStyle w:val="12"/>
      </w:pPr>
      <w:r w:rsidRPr="00F219CA">
        <w:t>: Impact Factor</w:t>
      </w:r>
    </w:p>
    <w:p w:rsidR="00A323E8" w:rsidRDefault="00A323E8" w:rsidP="00A323E8">
      <w:pPr>
        <w:pStyle w:val="a3"/>
        <w:rPr>
          <w:kern w:val="0"/>
        </w:rPr>
      </w:pPr>
      <w:r>
        <w:rPr>
          <w:rFonts w:hint="eastAsia"/>
          <w:kern w:val="0"/>
        </w:rPr>
        <w:t xml:space="preserve">? </w:t>
      </w:r>
      <w:r>
        <w:rPr>
          <w:kern w:val="0"/>
        </w:rPr>
        <w:t>Harika, R.K., Eilander, A., Alssema, M., Osendarp, S.J.M.</w:t>
      </w:r>
      <w:r w:rsidR="005853A9">
        <w:rPr>
          <w:kern w:val="0"/>
        </w:rPr>
        <w:t xml:space="preserve"> and </w:t>
      </w:r>
      <w:r>
        <w:rPr>
          <w:kern w:val="0"/>
        </w:rPr>
        <w:t>Zock, P.L. (2013), Intake</w:t>
      </w:r>
      <w:r w:rsidR="00427468">
        <w:rPr>
          <w:kern w:val="0"/>
        </w:rPr>
        <w:t xml:space="preserve"> of </w:t>
      </w:r>
      <w:r>
        <w:rPr>
          <w:kern w:val="0"/>
        </w:rPr>
        <w:t>fatty acids in general populations worldwide does not meet dietary recommendations to prevent coronary heart disease: A systematic review</w:t>
      </w:r>
      <w:r w:rsidR="00427468">
        <w:rPr>
          <w:kern w:val="0"/>
        </w:rPr>
        <w:t xml:space="preserve"> of </w:t>
      </w:r>
      <w:r>
        <w:rPr>
          <w:kern w:val="0"/>
        </w:rPr>
        <w:t xml:space="preserve">data from 40 countries. </w:t>
      </w:r>
      <w:r w:rsidRPr="00386AA4">
        <w:rPr>
          <w:i/>
          <w:iCs/>
          <w:kern w:val="0"/>
        </w:rPr>
        <w:t>Annals</w:t>
      </w:r>
      <w:r w:rsidR="00427468">
        <w:rPr>
          <w:i/>
          <w:iCs/>
          <w:kern w:val="0"/>
        </w:rPr>
        <w:t xml:space="preserve"> of </w:t>
      </w:r>
      <w:r w:rsidRPr="00386AA4">
        <w:rPr>
          <w:i/>
          <w:iCs/>
          <w:kern w:val="0"/>
        </w:rPr>
        <w:t>Nutrition</w:t>
      </w:r>
      <w:r w:rsidR="005853A9">
        <w:rPr>
          <w:i/>
          <w:iCs/>
          <w:kern w:val="0"/>
        </w:rPr>
        <w:t xml:space="preserve"> and </w:t>
      </w:r>
      <w:r w:rsidRPr="00386AA4">
        <w:rPr>
          <w:i/>
          <w:iCs/>
          <w:kern w:val="0"/>
        </w:rPr>
        <w:t>Metabolism</w:t>
      </w:r>
      <w:r>
        <w:rPr>
          <w:kern w:val="0"/>
        </w:rPr>
        <w:t xml:space="preserve">, </w:t>
      </w:r>
      <w:r>
        <w:rPr>
          <w:b/>
          <w:bCs/>
          <w:kern w:val="0"/>
        </w:rPr>
        <w:t>63</w:t>
      </w:r>
      <w:r>
        <w:rPr>
          <w:kern w:val="0"/>
        </w:rPr>
        <w:t xml:space="preserve"> (3), 229-238.</w:t>
      </w:r>
    </w:p>
    <w:p w:rsidR="00A323E8" w:rsidRDefault="00A323E8" w:rsidP="00A323E8">
      <w:pPr>
        <w:pStyle w:val="a3"/>
        <w:rPr>
          <w:kern w:val="0"/>
        </w:rPr>
      </w:pPr>
      <w:r>
        <w:rPr>
          <w:rFonts w:hint="eastAsia"/>
          <w:kern w:val="0"/>
        </w:rPr>
        <w:t xml:space="preserve">Full Text: </w:t>
      </w:r>
      <w:hyperlink r:id="rId914" w:history="1">
        <w:r w:rsidRPr="00386AA4">
          <w:rPr>
            <w:rStyle w:val="a5"/>
            <w:kern w:val="0"/>
          </w:rPr>
          <w:t>2013\Ann Nut Met63, 229.pdf</w:t>
        </w:r>
      </w:hyperlink>
    </w:p>
    <w:p w:rsidR="00A323E8" w:rsidRDefault="00A323E8" w:rsidP="00A323E8">
      <w:pPr>
        <w:pStyle w:val="a3"/>
        <w:rPr>
          <w:kern w:val="0"/>
        </w:rPr>
      </w:pPr>
      <w:r>
        <w:rPr>
          <w:kern w:val="0"/>
        </w:rPr>
        <w:t>Abstract: Aim: To systematically review data from different countries on population intakes</w:t>
      </w:r>
      <w:r w:rsidR="00427468">
        <w:rPr>
          <w:kern w:val="0"/>
        </w:rPr>
        <w:t xml:space="preserve"> of </w:t>
      </w:r>
      <w:r>
        <w:rPr>
          <w:kern w:val="0"/>
        </w:rPr>
        <w:t>total fat, saturated fatty acids (SFA)</w:t>
      </w:r>
      <w:r w:rsidR="005853A9">
        <w:rPr>
          <w:kern w:val="0"/>
        </w:rPr>
        <w:t xml:space="preserve"> and </w:t>
      </w:r>
      <w:r>
        <w:rPr>
          <w:kern w:val="0"/>
        </w:rPr>
        <w:t>polyunsaturated fatty acids (PUFA),</w:t>
      </w:r>
      <w:r w:rsidR="005853A9">
        <w:rPr>
          <w:kern w:val="0"/>
        </w:rPr>
        <w:t xml:space="preserve"> and </w:t>
      </w:r>
      <w:r>
        <w:rPr>
          <w:kern w:val="0"/>
        </w:rPr>
        <w:t>to compare these to recommendations from the Food</w:t>
      </w:r>
      <w:r w:rsidR="005853A9">
        <w:rPr>
          <w:kern w:val="0"/>
        </w:rPr>
        <w:t xml:space="preserve"> and </w:t>
      </w:r>
      <w:r>
        <w:rPr>
          <w:kern w:val="0"/>
        </w:rPr>
        <w:t>Agriculture Organization</w:t>
      </w:r>
      <w:r w:rsidR="00427468">
        <w:rPr>
          <w:kern w:val="0"/>
        </w:rPr>
        <w:t xml:space="preserve"> of </w:t>
      </w:r>
      <w:r>
        <w:rPr>
          <w:kern w:val="0"/>
        </w:rPr>
        <w:t>the United Nations/the World Health Organization (FAO/WHO). Methods: Data from national dietary surveys or population studies published from 1995 were searched via MEDLINE, Web</w:t>
      </w:r>
      <w:r w:rsidR="00427468">
        <w:rPr>
          <w:kern w:val="0"/>
        </w:rPr>
        <w:t xml:space="preserve"> of </w:t>
      </w:r>
      <w:r>
        <w:rPr>
          <w:kern w:val="0"/>
        </w:rPr>
        <w:t>Science</w:t>
      </w:r>
      <w:r w:rsidR="005853A9">
        <w:rPr>
          <w:kern w:val="0"/>
        </w:rPr>
        <w:t xml:space="preserve"> and </w:t>
      </w:r>
      <w:r>
        <w:rPr>
          <w:kern w:val="0"/>
        </w:rPr>
        <w:t>websites</w:t>
      </w:r>
      <w:r w:rsidR="00427468">
        <w:rPr>
          <w:kern w:val="0"/>
        </w:rPr>
        <w:t xml:space="preserve"> of </w:t>
      </w:r>
      <w:r>
        <w:rPr>
          <w:kern w:val="0"/>
        </w:rPr>
        <w:t>national public health institutes. Results: Fatty acid intake data from 40 countries were included. Total fat intake ranged from 11.1 to 46.2 percent</w:t>
      </w:r>
      <w:r w:rsidR="00427468">
        <w:rPr>
          <w:kern w:val="0"/>
        </w:rPr>
        <w:t xml:space="preserve"> of </w:t>
      </w:r>
      <w:r>
        <w:rPr>
          <w:kern w:val="0"/>
        </w:rPr>
        <w:t>energy intake (% E), SFA from 2.9 to 20.9% E</w:t>
      </w:r>
      <w:r w:rsidR="005853A9">
        <w:rPr>
          <w:kern w:val="0"/>
        </w:rPr>
        <w:t xml:space="preserve"> and </w:t>
      </w:r>
      <w:r>
        <w:rPr>
          <w:kern w:val="0"/>
        </w:rPr>
        <w:t>PUFA from 2.8 to 11.3% E</w:t>
      </w:r>
      <w:r w:rsidR="00A37C1D">
        <w:rPr>
          <w:kern w:val="0"/>
        </w:rPr>
        <w:t>. The</w:t>
      </w:r>
      <w:r>
        <w:rPr>
          <w:kern w:val="0"/>
        </w:rPr>
        <w:t xml:space="preserve"> mean intakes met the recommendation for total fat (20-35% E), SFA (&lt;10% E)</w:t>
      </w:r>
      <w:r w:rsidR="005853A9">
        <w:rPr>
          <w:kern w:val="0"/>
        </w:rPr>
        <w:t xml:space="preserve"> and </w:t>
      </w:r>
      <w:r>
        <w:rPr>
          <w:kern w:val="0"/>
        </w:rPr>
        <w:t>PUFA (6-11% E) in 25, 11</w:t>
      </w:r>
      <w:r w:rsidR="005853A9">
        <w:rPr>
          <w:kern w:val="0"/>
        </w:rPr>
        <w:t xml:space="preserve"> and </w:t>
      </w:r>
      <w:r>
        <w:rPr>
          <w:kern w:val="0"/>
        </w:rPr>
        <w:t>20 countries, respectively. SFA intake correlated with total fat intake (r = 0.76, p &lt; 0.01) but not with PUFA intake (r = 0.03, p = 0.84). Twenty-seven countries provided data on the distribution</w:t>
      </w:r>
      <w:r w:rsidR="00427468">
        <w:rPr>
          <w:kern w:val="0"/>
        </w:rPr>
        <w:t xml:space="preserve"> of </w:t>
      </w:r>
      <w:r>
        <w:rPr>
          <w:kern w:val="0"/>
        </w:rPr>
        <w:t>fatty acids intake. In 18</w:t>
      </w:r>
      <w:r w:rsidR="00427468">
        <w:rPr>
          <w:kern w:val="0"/>
        </w:rPr>
        <w:t xml:space="preserve"> of </w:t>
      </w:r>
      <w:r>
        <w:rPr>
          <w:kern w:val="0"/>
        </w:rPr>
        <w:t>27 countries, more than 50%</w:t>
      </w:r>
      <w:r w:rsidR="00427468">
        <w:rPr>
          <w:kern w:val="0"/>
        </w:rPr>
        <w:t xml:space="preserve"> of </w:t>
      </w:r>
      <w:r>
        <w:rPr>
          <w:kern w:val="0"/>
        </w:rPr>
        <w:t>the population had SFA intakes &gt;10% E</w:t>
      </w:r>
      <w:r w:rsidR="005853A9">
        <w:rPr>
          <w:kern w:val="0"/>
        </w:rPr>
        <w:t xml:space="preserve"> and </w:t>
      </w:r>
      <w:r>
        <w:rPr>
          <w:kern w:val="0"/>
        </w:rPr>
        <w:t>in 13</w:t>
      </w:r>
      <w:r w:rsidR="00427468">
        <w:rPr>
          <w:kern w:val="0"/>
        </w:rPr>
        <w:t xml:space="preserve"> of </w:t>
      </w:r>
      <w:r>
        <w:rPr>
          <w:kern w:val="0"/>
        </w:rPr>
        <w:t>27 countries, the majority</w:t>
      </w:r>
      <w:r w:rsidR="00427468">
        <w:rPr>
          <w:kern w:val="0"/>
        </w:rPr>
        <w:t xml:space="preserve"> of </w:t>
      </w:r>
      <w:r>
        <w:rPr>
          <w:kern w:val="0"/>
        </w:rPr>
        <w:t>the population had PUFA intakes &lt;6% E. Conclusions: In many countries, the fatty acids intake</w:t>
      </w:r>
      <w:r w:rsidR="00427468">
        <w:rPr>
          <w:kern w:val="0"/>
        </w:rPr>
        <w:t xml:space="preserve"> of </w:t>
      </w:r>
      <w:r>
        <w:rPr>
          <w:kern w:val="0"/>
        </w:rPr>
        <w:t>adults does not meet the levels that are recommended to prevent chronic diseases</w:t>
      </w:r>
      <w:r w:rsidR="00A37C1D">
        <w:rPr>
          <w:kern w:val="0"/>
        </w:rPr>
        <w:t>. The</w:t>
      </w:r>
      <w:r>
        <w:rPr>
          <w:kern w:val="0"/>
        </w:rPr>
        <w:t xml:space="preserve"> relation between SFA</w:t>
      </w:r>
      <w:r w:rsidR="005853A9">
        <w:rPr>
          <w:kern w:val="0"/>
        </w:rPr>
        <w:t xml:space="preserve"> and </w:t>
      </w:r>
      <w:r>
        <w:rPr>
          <w:kern w:val="0"/>
        </w:rPr>
        <w:t>PUFA intakes shows that lower intakes</w:t>
      </w:r>
      <w:r w:rsidR="00427468">
        <w:rPr>
          <w:kern w:val="0"/>
        </w:rPr>
        <w:t xml:space="preserve"> of </w:t>
      </w:r>
      <w:r>
        <w:rPr>
          <w:kern w:val="0"/>
        </w:rPr>
        <w:t>SFA in the populations are not accompanied by higher intakes</w:t>
      </w:r>
      <w:r w:rsidR="00427468">
        <w:rPr>
          <w:kern w:val="0"/>
        </w:rPr>
        <w:t xml:space="preserve"> of </w:t>
      </w:r>
      <w:r>
        <w:rPr>
          <w:kern w:val="0"/>
        </w:rPr>
        <w:t>PUFA, as is recommended for preventing coronary heart disease. (C) 2013 S. Karger AG, Basel.</w:t>
      </w:r>
    </w:p>
    <w:p w:rsidR="00A323E8" w:rsidRDefault="00A323E8" w:rsidP="00A323E8">
      <w:pPr>
        <w:pStyle w:val="a3"/>
        <w:rPr>
          <w:kern w:val="0"/>
        </w:rPr>
      </w:pPr>
      <w:r>
        <w:rPr>
          <w:kern w:val="0"/>
        </w:rPr>
        <w:lastRenderedPageBreak/>
        <w:t>Keywords: Adults, Ag, Agriculture, Association, Body-Fat, Cardiovascular-Disease, Cholesterol, Chronic, Coronary Heart Disease, Countries, Data, Dietary Recommendations, Disease, Diseases, Distribution, Energy, European Countries, Fat, Fatty Acids, Food-Frequency Questionnaire, Health, Heart, Major Determinant, Medline, Methods, Polyunsaturated Fatty Acids, Population, Populations, Prevent, Prospective Cohort, Public, Public Health, Recommendations, Results, Review, Risk, Saturated Fatty Acids, Science, Surveys, Web</w:t>
      </w:r>
      <w:r w:rsidR="00427468">
        <w:rPr>
          <w:kern w:val="0"/>
        </w:rPr>
        <w:t xml:space="preserve"> of </w:t>
      </w:r>
      <w:r>
        <w:rPr>
          <w:kern w:val="0"/>
        </w:rPr>
        <w:t>Science, Websites, World Health Organization</w:t>
      </w:r>
    </w:p>
    <w:p w:rsidR="001A6521" w:rsidRDefault="001A6521" w:rsidP="001A6521">
      <w:pPr>
        <w:pStyle w:val="a3"/>
        <w:rPr>
          <w:kern w:val="0"/>
        </w:rPr>
      </w:pPr>
      <w:r>
        <w:rPr>
          <w:rFonts w:hint="eastAsia"/>
          <w:kern w:val="0"/>
        </w:rPr>
        <w:t xml:space="preserve">? </w:t>
      </w:r>
      <w:r>
        <w:rPr>
          <w:kern w:val="0"/>
        </w:rPr>
        <w:t xml:space="preserve">Zhang, L., Yuan, L.H., Xiao, Y., Lu, M.Y., Zhang, L.J. and Wang, Y. (2014), Association of Leptin gene-2548 G/A polymorphism with obesity: A meta-analysis. </w:t>
      </w:r>
      <w:r>
        <w:rPr>
          <w:i/>
          <w:iCs/>
          <w:kern w:val="0"/>
        </w:rPr>
        <w:t>Annals of Nutrition and Metabolism</w:t>
      </w:r>
      <w:r>
        <w:rPr>
          <w:kern w:val="0"/>
        </w:rPr>
        <w:t xml:space="preserve">, </w:t>
      </w:r>
      <w:r>
        <w:rPr>
          <w:b/>
          <w:bCs/>
          <w:kern w:val="0"/>
        </w:rPr>
        <w:t>64</w:t>
      </w:r>
      <w:r>
        <w:rPr>
          <w:kern w:val="0"/>
        </w:rPr>
        <w:t xml:space="preserve"> (2), 127-136.</w:t>
      </w:r>
    </w:p>
    <w:p w:rsidR="001A6521" w:rsidRDefault="001A6521" w:rsidP="001A6521">
      <w:pPr>
        <w:pStyle w:val="a3"/>
        <w:rPr>
          <w:kern w:val="0"/>
        </w:rPr>
      </w:pPr>
      <w:r>
        <w:rPr>
          <w:rFonts w:hint="eastAsia"/>
          <w:kern w:val="0"/>
        </w:rPr>
        <w:t xml:space="preserve">Full Text: </w:t>
      </w:r>
      <w:hyperlink r:id="rId915" w:history="1">
        <w:r w:rsidRPr="007B27B2">
          <w:rPr>
            <w:rStyle w:val="a5"/>
            <w:kern w:val="0"/>
          </w:rPr>
          <w:t>2014\Ann Nut Met64, 127.pdf</w:t>
        </w:r>
      </w:hyperlink>
    </w:p>
    <w:p w:rsidR="001A6521" w:rsidRDefault="001A6521" w:rsidP="001A6521">
      <w:pPr>
        <w:pStyle w:val="a3"/>
        <w:rPr>
          <w:kern w:val="0"/>
        </w:rPr>
      </w:pPr>
      <w:r>
        <w:rPr>
          <w:kern w:val="0"/>
        </w:rPr>
        <w:t>Abstract: Background: A common single-nucleotide polymorphism identified in the 5’-untranslated region of the leptin gene (LEP -2548 G/A polymorphism) may be associated with obesity, but the existing research findings are inconsistent, so we conducted this meta-analysis. Methods: Medline, Embase and ISI Web of Science databases were searched to identify relevant studies. Meta-analysis of the total and subgroup populations was conducted using allelic, additive, dominant and recessive models, and odds ratios and their 95% confidence intervals were calculated in a fixed-effect model if no heterogeneity (evaluated as 12 statistic) existed. Otherwise, a random-effects model was adopted. Subgroup analysis was performed by ethnicity. Meta-regression and the HETRED analysis were used to explore the potential sources of between-study heterogeneity. Egger’s test and influence analysis were conducted to evaluate the publication bias and study power, respectively. Results: The final selection enrolled 9 studies, including 2,988 subjects (1,372 obese subjects and 1,616 controls). No significant association was identified between the LEP -2548 G/A polymorphism and obesity for all genetic models in the overall population and Caucasians. We found a significant association with allelic, additive and dominant models for subjects of mixed race from South America. Notwithstanding, this significance should be treated cautiously for it is based on a rather small sample (788 involved subjects). Conclusions: In total, the combined analysis of data from current and published studies suggested that the LEP -2548 G/A polymorphism does not contribute to the development of obesity, despite the fact that a significant association exists in a small subgroup from South America. Further studies are needed to elucidate the relationship. (C) 2014 S. Karger AG, Basel.</w:t>
      </w:r>
    </w:p>
    <w:p w:rsidR="001A6521" w:rsidRDefault="001A6521" w:rsidP="001A6521">
      <w:pPr>
        <w:pStyle w:val="a3"/>
        <w:rPr>
          <w:kern w:val="0"/>
        </w:rPr>
      </w:pPr>
      <w:r>
        <w:rPr>
          <w:kern w:val="0"/>
        </w:rPr>
        <w:t xml:space="preserve">Keywords: -2548 G, A Polymorphism, Adipose-Tissue, Ag, Analysis, Association, Bias, Blood-Pressure, Body-Mass Index, Confidence, Confidence Intervals, Data, Databases, Development, Ethnicity, G-2548a Polymorphism, Gene, Genetic, Heterogeneity, Influence, Intervals, ISI, ISI Web Of Science, ISI Web Of Science </w:t>
      </w:r>
      <w:r>
        <w:rPr>
          <w:kern w:val="0"/>
        </w:rPr>
        <w:lastRenderedPageBreak/>
        <w:t>Databases, LEP, Leptin, Medline, Meta Analysis, Meta-Analysis, Meta-Regression, Metaanalysis, Methods, Model, Models, Obese, Obesity, Plasma Leptin, Polymorphism, Population, Populations, Potential, Power, Promoter, Publication, Publication Bias, Race, Random Effects Model, Receptor, Region, Research, Results, S, Science, Selection, Serum Leptin, Significance, Single-Nucleotide Polymorphism, Small, Sources, South America, Variants, Web Of Science, Web Of Science Databases</w:t>
      </w:r>
    </w:p>
    <w:p w:rsidR="003474F2" w:rsidRPr="001A3D2B" w:rsidRDefault="003474F2" w:rsidP="003474F2">
      <w:pPr>
        <w:pStyle w:val="1"/>
      </w:pPr>
      <w:r w:rsidRPr="001A3D2B">
        <w:br w:type="page"/>
      </w:r>
      <w:bookmarkStart w:id="487" w:name="_Toc420814515"/>
      <w:r w:rsidRPr="001A3D2B">
        <w:lastRenderedPageBreak/>
        <w:t>Title: Annals</w:t>
      </w:r>
      <w:r w:rsidR="00427468">
        <w:t xml:space="preserve"> of </w:t>
      </w:r>
      <w:r w:rsidRPr="001A3D2B">
        <w:t>Occupational Hygiene</w:t>
      </w:r>
      <w:bookmarkEnd w:id="487"/>
    </w:p>
    <w:p w:rsidR="003474F2" w:rsidRPr="001A3D2B" w:rsidRDefault="003474F2" w:rsidP="003474F2">
      <w:pPr>
        <w:pStyle w:val="12"/>
      </w:pPr>
      <w:r w:rsidRPr="001A3D2B">
        <w:t xml:space="preserve">Full Journal Title: </w:t>
      </w:r>
      <w:hyperlink r:id="rId916" w:history="1">
        <w:r w:rsidRPr="001A3D2B">
          <w:rPr>
            <w:rStyle w:val="a5"/>
            <w:iCs/>
          </w:rPr>
          <w:t>Annals</w:t>
        </w:r>
        <w:r w:rsidR="00427468">
          <w:rPr>
            <w:rStyle w:val="a5"/>
            <w:iCs/>
          </w:rPr>
          <w:t xml:space="preserve"> of </w:t>
        </w:r>
        <w:r w:rsidRPr="001A3D2B">
          <w:rPr>
            <w:rStyle w:val="a5"/>
            <w:iCs/>
          </w:rPr>
          <w:t>Occupational Hygiene</w:t>
        </w:r>
      </w:hyperlink>
    </w:p>
    <w:p w:rsidR="003474F2" w:rsidRPr="001A3D2B" w:rsidRDefault="003474F2" w:rsidP="003474F2">
      <w:pPr>
        <w:pStyle w:val="12"/>
      </w:pPr>
      <w:r w:rsidRPr="001A3D2B">
        <w:t>ISO Abbreviated Title:</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Publisher Address:</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xml:space="preserve">? Ogden, T. (2006), </w:t>
      </w:r>
      <w:r w:rsidRPr="001A3D2B">
        <w:rPr>
          <w:i/>
          <w:iCs/>
        </w:rPr>
        <w:t>Annals</w:t>
      </w:r>
      <w:r w:rsidR="00427468">
        <w:rPr>
          <w:i/>
          <w:iCs/>
        </w:rPr>
        <w:t xml:space="preserve"> of </w:t>
      </w:r>
      <w:r w:rsidRPr="001A3D2B">
        <w:rPr>
          <w:i/>
          <w:iCs/>
        </w:rPr>
        <w:t>occupational Hygiene</w:t>
      </w:r>
      <w:r w:rsidRPr="001A3D2B">
        <w:t xml:space="preserve"> at volume 50: Many achievements, a few mistakes,</w:t>
      </w:r>
      <w:r w:rsidR="005853A9">
        <w:t xml:space="preserve"> and </w:t>
      </w:r>
      <w:r w:rsidRPr="001A3D2B">
        <w:t xml:space="preserve">an interesting future. </w:t>
      </w:r>
      <w:r w:rsidRPr="001A3D2B">
        <w:rPr>
          <w:i/>
          <w:iCs/>
        </w:rPr>
        <w:t>Annals</w:t>
      </w:r>
      <w:r w:rsidR="00427468">
        <w:rPr>
          <w:i/>
          <w:iCs/>
        </w:rPr>
        <w:t xml:space="preserve"> of </w:t>
      </w:r>
      <w:r w:rsidRPr="001A3D2B">
        <w:rPr>
          <w:i/>
          <w:iCs/>
        </w:rPr>
        <w:t>Occupational Hygiene</w:t>
      </w:r>
      <w:r w:rsidRPr="001A3D2B">
        <w:t xml:space="preserve">, </w:t>
      </w:r>
      <w:r w:rsidRPr="001A3D2B">
        <w:rPr>
          <w:b/>
          <w:bCs/>
        </w:rPr>
        <w:t>50</w:t>
      </w:r>
      <w:r w:rsidRPr="001A3D2B">
        <w:t xml:space="preserve"> (8), 751-764.</w:t>
      </w:r>
    </w:p>
    <w:p w:rsidR="003474F2" w:rsidRPr="001A3D2B" w:rsidRDefault="003474F2" w:rsidP="003474F2">
      <w:pPr>
        <w:pStyle w:val="a3"/>
      </w:pPr>
      <w:r w:rsidRPr="001A3D2B">
        <w:t xml:space="preserve">Full Text: </w:t>
      </w:r>
      <w:hyperlink r:id="rId917" w:history="1">
        <w:r w:rsidRPr="001A3D2B">
          <w:rPr>
            <w:rStyle w:val="a5"/>
          </w:rPr>
          <w:t>2006\Ann Occ Hyg50, 751.pdf</w:t>
        </w:r>
      </w:hyperlink>
    </w:p>
    <w:p w:rsidR="003474F2" w:rsidRPr="001A3D2B" w:rsidRDefault="003474F2" w:rsidP="003474F2">
      <w:pPr>
        <w:pStyle w:val="a3"/>
      </w:pPr>
      <w:r w:rsidRPr="001A3D2B">
        <w:t>Abstract:</w:t>
      </w:r>
      <w:r w:rsidR="003A1917">
        <w:t xml:space="preserve"> the </w:t>
      </w:r>
      <w:r w:rsidRPr="001A3D2B">
        <w:t>past 10 years have seen a doubling</w:t>
      </w:r>
      <w:r w:rsidR="00427468">
        <w:t xml:space="preserve"> of </w:t>
      </w:r>
      <w:r w:rsidR="003A1917">
        <w:t xml:space="preserve">the </w:t>
      </w:r>
      <w:r w:rsidRPr="001A3D2B">
        <w:t>number</w:t>
      </w:r>
      <w:r w:rsidR="00427468">
        <w:t xml:space="preserve"> of </w:t>
      </w:r>
      <w:r w:rsidRPr="001A3D2B">
        <w:t>papers submitted to</w:t>
      </w:r>
      <w:r w:rsidR="003A1917">
        <w:t xml:space="preserve"> the </w:t>
      </w:r>
      <w:r w:rsidRPr="001A3D2B">
        <w:t>Annals,</w:t>
      </w:r>
      <w:r w:rsidR="005853A9">
        <w:t xml:space="preserve"> and </w:t>
      </w:r>
      <w:r w:rsidRPr="001A3D2B">
        <w:t>a 5-fold increase in</w:t>
      </w:r>
      <w:r w:rsidR="003A1917">
        <w:t xml:space="preserve"> the </w:t>
      </w:r>
      <w:r w:rsidRPr="001A3D2B">
        <w:t>number</w:t>
      </w:r>
      <w:r w:rsidR="00427468">
        <w:t xml:space="preserve"> of </w:t>
      </w:r>
      <w:r w:rsidRPr="001A3D2B">
        <w:t>institutions with access to</w:t>
      </w:r>
      <w:r w:rsidR="003A1917">
        <w:t xml:space="preserve"> the </w:t>
      </w:r>
      <w:r w:rsidRPr="001A3D2B">
        <w:t>journal. Electronic access is now far more important than print access. Papers from British authors dominated</w:t>
      </w:r>
      <w:r w:rsidR="003A1917">
        <w:t xml:space="preserve"> the </w:t>
      </w:r>
      <w:r w:rsidRPr="001A3D2B">
        <w:t>first 20 years</w:t>
      </w:r>
      <w:r w:rsidR="00427468">
        <w:t xml:space="preserve"> of </w:t>
      </w:r>
      <w:r w:rsidR="003A1917">
        <w:t xml:space="preserve">the </w:t>
      </w:r>
      <w:r w:rsidRPr="001A3D2B">
        <w:t>journal, but</w:t>
      </w:r>
      <w:r w:rsidR="003A1917">
        <w:t xml:space="preserve"> the </w:t>
      </w:r>
      <w:r w:rsidRPr="001A3D2B">
        <w:t>rest</w:t>
      </w:r>
      <w:r w:rsidR="00427468">
        <w:t xml:space="preserve"> of </w:t>
      </w:r>
      <w:r w:rsidRPr="001A3D2B">
        <w:t>Europe is now more important, with Scandinavia</w:t>
      </w:r>
      <w:r w:rsidR="005853A9">
        <w:t xml:space="preserve"> and </w:t>
      </w:r>
      <w:r w:rsidR="003A1917">
        <w:t xml:space="preserve">the </w:t>
      </w:r>
      <w:r w:rsidRPr="001A3D2B">
        <w:t>Netherlands being</w:t>
      </w:r>
      <w:r w:rsidR="003A1917">
        <w:t xml:space="preserve"> the </w:t>
      </w:r>
      <w:r w:rsidRPr="001A3D2B">
        <w:t>major continental sources. North America is</w:t>
      </w:r>
      <w:r w:rsidR="003A1917">
        <w:t xml:space="preserve"> the </w:t>
      </w:r>
      <w:r w:rsidRPr="001A3D2B">
        <w:t>other major source. For British papers, there has been a big growth in government authors,</w:t>
      </w:r>
      <w:r w:rsidR="005853A9">
        <w:t xml:space="preserve"> and </w:t>
      </w:r>
      <w:r w:rsidRPr="001A3D2B">
        <w:t>a decline in papers from industry</w:t>
      </w:r>
      <w:r w:rsidR="005853A9">
        <w:t xml:space="preserve"> and </w:t>
      </w:r>
      <w:r w:rsidRPr="001A3D2B">
        <w:t>armed forces. From many possible topics, trends are selectively reviewed in: standards</w:t>
      </w:r>
      <w:r w:rsidR="005853A9">
        <w:t xml:space="preserve"> and </w:t>
      </w:r>
      <w:r w:rsidRPr="001A3D2B">
        <w:t>exposure limits; measurement methods</w:t>
      </w:r>
      <w:r w:rsidR="005853A9">
        <w:t xml:space="preserve"> and </w:t>
      </w:r>
      <w:r w:rsidRPr="001A3D2B">
        <w:t>criteria; sampling strategy</w:t>
      </w:r>
      <w:r w:rsidR="005853A9">
        <w:t xml:space="preserve"> and </w:t>
      </w:r>
      <w:r w:rsidRPr="001A3D2B">
        <w:t>statistics; fibres; control banding; dermal exposure;</w:t>
      </w:r>
      <w:r w:rsidR="005853A9">
        <w:t xml:space="preserve"> and </w:t>
      </w:r>
      <w:r w:rsidRPr="001A3D2B">
        <w:t>evaluation</w:t>
      </w:r>
      <w:r w:rsidR="00427468">
        <w:t xml:space="preserve"> of </w:t>
      </w:r>
      <w:r w:rsidRPr="001A3D2B">
        <w:t>control. For</w:t>
      </w:r>
      <w:r w:rsidR="003A1917">
        <w:t xml:space="preserve"> the </w:t>
      </w:r>
      <w:r w:rsidRPr="001A3D2B">
        <w:t>future, we will continue to have</w:t>
      </w:r>
      <w:r w:rsidR="003A1917">
        <w:t xml:space="preserve"> the </w:t>
      </w:r>
      <w:r w:rsidRPr="001A3D2B">
        <w:t>same aims</w:t>
      </w:r>
      <w:r w:rsidR="005853A9">
        <w:t xml:space="preserve"> and </w:t>
      </w:r>
      <w:r w:rsidRPr="001A3D2B">
        <w:t>standards, but</w:t>
      </w:r>
      <w:r w:rsidR="003A1917">
        <w:t xml:space="preserve"> the </w:t>
      </w:r>
      <w:r w:rsidRPr="001A3D2B">
        <w:t>changes</w:t>
      </w:r>
      <w:r w:rsidR="00427468">
        <w:t xml:space="preserve"> of </w:t>
      </w:r>
      <w:r w:rsidR="003A1917">
        <w:t xml:space="preserve">the </w:t>
      </w:r>
      <w:r w:rsidRPr="001A3D2B">
        <w:t>past few years,</w:t>
      </w:r>
      <w:r w:rsidR="005853A9">
        <w:t xml:space="preserve"> and </w:t>
      </w:r>
      <w:r w:rsidR="003A1917">
        <w:t xml:space="preserve">the </w:t>
      </w:r>
      <w:r w:rsidRPr="001A3D2B">
        <w:t>growth</w:t>
      </w:r>
      <w:r w:rsidR="00427468">
        <w:t xml:space="preserve"> of </w:t>
      </w:r>
      <w:r w:rsidRPr="001A3D2B">
        <w:t>new approaches such as open access, have emphasized</w:t>
      </w:r>
      <w:r w:rsidR="003A1917">
        <w:t xml:space="preserve"> the </w:t>
      </w:r>
      <w:r w:rsidRPr="001A3D2B">
        <w:t>difficulty</w:t>
      </w:r>
      <w:r w:rsidR="00427468">
        <w:t xml:space="preserve"> of </w:t>
      </w:r>
      <w:r w:rsidRPr="001A3D2B">
        <w:t>forecasting</w:t>
      </w:r>
      <w:r w:rsidR="00A37C1D">
        <w:t>. The</w:t>
      </w:r>
      <w:r w:rsidR="003A1917">
        <w:t xml:space="preserve"> </w:t>
      </w:r>
      <w:r w:rsidRPr="001A3D2B">
        <w:t xml:space="preserve">growth in submissions from countries which we presently regard as </w:t>
      </w:r>
      <w:r w:rsidR="00700038">
        <w:t>‘</w:t>
      </w:r>
      <w:r w:rsidRPr="001A3D2B">
        <w:t>developing</w:t>
      </w:r>
      <w:r w:rsidR="00700038">
        <w:t>’</w:t>
      </w:r>
      <w:r w:rsidRPr="001A3D2B">
        <w:t>,</w:t>
      </w:r>
      <w:r w:rsidR="005853A9">
        <w:t xml:space="preserve"> and </w:t>
      </w:r>
      <w:r w:rsidRPr="001A3D2B">
        <w:t>especially</w:t>
      </w:r>
      <w:r w:rsidR="003A1917">
        <w:t xml:space="preserve"> the </w:t>
      </w:r>
      <w:r w:rsidRPr="001A3D2B">
        <w:t>growth in higher education in China,</w:t>
      </w:r>
      <w:r w:rsidR="005853A9">
        <w:t xml:space="preserve"> and </w:t>
      </w:r>
      <w:r w:rsidR="003A1917">
        <w:t xml:space="preserve">the </w:t>
      </w:r>
      <w:r w:rsidRPr="001A3D2B">
        <w:t>amount</w:t>
      </w:r>
      <w:r w:rsidR="00427468">
        <w:t xml:space="preserve"> of </w:t>
      </w:r>
      <w:r w:rsidRPr="001A3D2B">
        <w:t>occupational disease there, are bound to have major impacts. Perhaps</w:t>
      </w:r>
      <w:r w:rsidR="003A1917">
        <w:t xml:space="preserve"> the </w:t>
      </w:r>
      <w:r w:rsidRPr="001A3D2B">
        <w:t>English language will not continue to dominate scientific publishing, but in any case an eastward shift in</w:t>
      </w:r>
      <w:r w:rsidR="003A1917">
        <w:t xml:space="preserve"> the </w:t>
      </w:r>
      <w:r w:rsidRPr="001A3D2B">
        <w:t>source</w:t>
      </w:r>
      <w:r w:rsidR="00427468">
        <w:t xml:space="preserve"> of </w:t>
      </w:r>
      <w:r w:rsidRPr="001A3D2B">
        <w:t>papers must lead to other changes.</w:t>
      </w:r>
    </w:p>
    <w:p w:rsidR="003474F2" w:rsidRPr="001A3D2B" w:rsidRDefault="003474F2" w:rsidP="003474F2">
      <w:pPr>
        <w:pStyle w:val="a3"/>
      </w:pPr>
      <w:r w:rsidRPr="001A3D2B">
        <w:t xml:space="preserve">Keywords: Access, Changes, China, Control, Criteria, Developing, Education, Europe, Evaluation, Exposure, First, Forecasting, Growth, Higher Education, Impacts, Institutions, Journal, Lead, Measurement, Methods, New Approaches, North, </w:t>
      </w:r>
      <w:r w:rsidRPr="001A3D2B">
        <w:lastRenderedPageBreak/>
        <w:t>Occupational, Occupational Disease, Open, Open Access, Papers, Publishing, Sampling, Source, Sources, Standards, Statistics,</w:t>
      </w:r>
      <w:r w:rsidR="003A1917">
        <w:t xml:space="preserve"> the </w:t>
      </w:r>
      <w:r w:rsidRPr="001A3D2B">
        <w:t>Netherlands, Trends, Volume</w:t>
      </w:r>
    </w:p>
    <w:p w:rsidR="003474F2" w:rsidRPr="001A3D2B" w:rsidRDefault="003474F2" w:rsidP="003474F2">
      <w:pPr>
        <w:pStyle w:val="1"/>
      </w:pPr>
      <w:r w:rsidRPr="001A3D2B">
        <w:br w:type="page"/>
      </w:r>
      <w:bookmarkStart w:id="488" w:name="_Toc420814516"/>
      <w:r w:rsidRPr="001A3D2B">
        <w:lastRenderedPageBreak/>
        <w:t>Title: Annals</w:t>
      </w:r>
      <w:r w:rsidR="00427468">
        <w:t xml:space="preserve"> of </w:t>
      </w:r>
      <w:r w:rsidRPr="001A3D2B">
        <w:t>Oncology</w:t>
      </w:r>
      <w:bookmarkEnd w:id="488"/>
    </w:p>
    <w:p w:rsidR="003474F2" w:rsidRPr="001A3D2B" w:rsidRDefault="003474F2" w:rsidP="003474F2">
      <w:pPr>
        <w:pStyle w:val="12"/>
      </w:pPr>
      <w:r w:rsidRPr="001A3D2B">
        <w:t xml:space="preserve">Full Journal Title: </w:t>
      </w:r>
      <w:bookmarkStart w:id="489" w:name="_Toc43634532"/>
      <w:bookmarkStart w:id="490" w:name="_Toc81215615"/>
      <w:r w:rsidR="00206C8A">
        <w:fldChar w:fldCharType="begin"/>
      </w:r>
      <w:r w:rsidR="00FD158B">
        <w:instrText>HYPERLINK "http://annonc</w:instrText>
      </w:r>
      <w:bookmarkEnd w:id="489"/>
      <w:bookmarkEnd w:id="490"/>
      <w:r w:rsidR="00FD158B">
        <w:instrText>.oupjournals.org/"</w:instrText>
      </w:r>
      <w:r w:rsidR="00206C8A">
        <w:fldChar w:fldCharType="separate"/>
      </w:r>
      <w:r w:rsidRPr="001A3D2B">
        <w:rPr>
          <w:rStyle w:val="a5"/>
        </w:rPr>
        <w:t>Annals</w:t>
      </w:r>
      <w:r w:rsidR="00427468">
        <w:rPr>
          <w:rStyle w:val="a5"/>
        </w:rPr>
        <w:t xml:space="preserve"> of </w:t>
      </w:r>
      <w:r w:rsidRPr="001A3D2B">
        <w:rPr>
          <w:rStyle w:val="a5"/>
        </w:rPr>
        <w:t>Oncology</w:t>
      </w:r>
      <w:r w:rsidR="00206C8A">
        <w:fldChar w:fldCharType="end"/>
      </w:r>
    </w:p>
    <w:p w:rsidR="003474F2" w:rsidRPr="001A3D2B" w:rsidRDefault="003474F2" w:rsidP="003474F2">
      <w:pPr>
        <w:pStyle w:val="12"/>
      </w:pPr>
      <w:r w:rsidRPr="001A3D2B">
        <w:t>ISO Abbreviated Title: Ann. Oncol.</w:t>
      </w:r>
    </w:p>
    <w:p w:rsidR="003474F2" w:rsidRPr="001A3D2B" w:rsidRDefault="003474F2" w:rsidP="003474F2">
      <w:pPr>
        <w:pStyle w:val="12"/>
      </w:pPr>
      <w:r w:rsidRPr="001A3D2B">
        <w:t>JCR Abbreviated Title: Ann Oncol</w:t>
      </w:r>
    </w:p>
    <w:p w:rsidR="003474F2" w:rsidRPr="001A3D2B" w:rsidRDefault="003474F2" w:rsidP="003474F2">
      <w:pPr>
        <w:pStyle w:val="12"/>
      </w:pPr>
      <w:r w:rsidRPr="001A3D2B">
        <w:t>ISSN: 0923-7534</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City">
          <w:r w:rsidRPr="001A3D2B">
            <w:t>Oxford</w:t>
          </w:r>
        </w:smartTag>
      </w:smartTag>
      <w:r w:rsidRPr="001A3D2B">
        <w:t xml:space="preserve"> Univ Press</w:t>
      </w:r>
    </w:p>
    <w:p w:rsidR="003474F2" w:rsidRPr="001A3D2B" w:rsidRDefault="003474F2" w:rsidP="003474F2">
      <w:pPr>
        <w:pStyle w:val="12"/>
      </w:pPr>
      <w:r w:rsidRPr="001A3D2B">
        <w:t xml:space="preserve">Publisher Address: </w:t>
      </w:r>
      <w:smartTag w:uri="urn:schemas-microsoft-com:office:smarttags" w:element="place">
        <w:r w:rsidRPr="001A3D2B">
          <w:t xml:space="preserve">Great Clarendon St, </w:t>
        </w:r>
        <w:smartTag w:uri="urn:schemas-microsoft-com:office:smarttags" w:element="City">
          <w:r w:rsidRPr="001A3D2B">
            <w:t>Oxford</w:t>
          </w:r>
        </w:smartTag>
        <w:r w:rsidRPr="001A3D2B">
          <w:t xml:space="preserve"> </w:t>
        </w:r>
        <w:smartTag w:uri="urn:schemas-microsoft-com:office:smarttags" w:element="PostalCode">
          <w:r w:rsidRPr="001A3D2B">
            <w:t>OX2 6DP</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Oncology: Impact Factor 0.3114,</w:t>
      </w:r>
      <w:r w:rsidR="006A182E">
        <w:rPr>
          <w:rFonts w:hint="eastAsia"/>
        </w:rPr>
        <w:t xml:space="preserve"> </w:t>
      </w:r>
      <w:r w:rsidRPr="001A3D2B">
        <w:t>/(2002)</w:t>
      </w:r>
    </w:p>
    <w:p w:rsidR="003474F2" w:rsidRPr="001A3D2B" w:rsidRDefault="003474F2" w:rsidP="003474F2">
      <w:pPr>
        <w:pStyle w:val="a3"/>
      </w:pPr>
      <w:r w:rsidRPr="001A3D2B">
        <w:t>Berghmans, T., Meert, A.P., Mascaux, C., Paesmans, M., Lafitte, J.J.</w:t>
      </w:r>
      <w:r w:rsidR="005853A9">
        <w:t xml:space="preserve"> and </w:t>
      </w:r>
      <w:r w:rsidRPr="001A3D2B">
        <w:t xml:space="preserve">Sculier, J.P. (2003), Citation indexes do not reflect methodological quality in lung cancer randomised trials. </w:t>
      </w:r>
      <w:r w:rsidRPr="001A3D2B">
        <w:rPr>
          <w:i/>
          <w:iCs/>
        </w:rPr>
        <w:t>Annals</w:t>
      </w:r>
      <w:r w:rsidR="00427468">
        <w:rPr>
          <w:i/>
          <w:iCs/>
        </w:rPr>
        <w:t xml:space="preserve"> of </w:t>
      </w:r>
      <w:r w:rsidRPr="001A3D2B">
        <w:rPr>
          <w:i/>
          <w:iCs/>
        </w:rPr>
        <w:t>Oncology</w:t>
      </w:r>
      <w:r w:rsidRPr="001A3D2B">
        <w:t xml:space="preserve">, </w:t>
      </w:r>
      <w:r w:rsidRPr="001A3D2B">
        <w:rPr>
          <w:b/>
          <w:bCs/>
        </w:rPr>
        <w:t>14</w:t>
      </w:r>
      <w:r w:rsidRPr="001A3D2B">
        <w:t xml:space="preserve"> (5), 715-721.</w:t>
      </w:r>
    </w:p>
    <w:p w:rsidR="003474F2" w:rsidRPr="001A3D2B" w:rsidRDefault="003474F2" w:rsidP="003474F2">
      <w:pPr>
        <w:pStyle w:val="a3"/>
      </w:pPr>
      <w:r w:rsidRPr="001A3D2B">
        <w:rPr>
          <w:szCs w:val="10"/>
        </w:rPr>
        <w:t xml:space="preserve">Full Text: </w:t>
      </w:r>
      <w:hyperlink r:id="rId918" w:history="1">
        <w:r w:rsidRPr="001A3D2B">
          <w:rPr>
            <w:rStyle w:val="a5"/>
            <w:szCs w:val="10"/>
          </w:rPr>
          <w:t>2003\Ann Onc14, 715.pdf</w:t>
        </w:r>
      </w:hyperlink>
    </w:p>
    <w:p w:rsidR="003474F2" w:rsidRPr="001A3D2B" w:rsidRDefault="003474F2" w:rsidP="003474F2">
      <w:pPr>
        <w:pStyle w:val="a3"/>
      </w:pPr>
      <w:r w:rsidRPr="001A3D2B">
        <w:t>Abstract: Background: Citation factors are applied to assess scientific work despite</w:t>
      </w:r>
      <w:r w:rsidR="003A1917">
        <w:t xml:space="preserve"> the </w:t>
      </w:r>
      <w:r w:rsidRPr="001A3D2B">
        <w:t>fact that they were developed commercially in order to compare competing journals</w:t>
      </w:r>
      <w:r w:rsidR="00A37C1D">
        <w:t>. The</w:t>
      </w:r>
      <w:r w:rsidR="003A1917">
        <w:t xml:space="preserve"> </w:t>
      </w:r>
      <w:r w:rsidRPr="001A3D2B">
        <w:t>aim</w:t>
      </w:r>
      <w:r w:rsidR="00427468">
        <w:t xml:space="preserve"> of </w:t>
      </w:r>
      <w:r w:rsidR="003A1917">
        <w:t xml:space="preserve">the </w:t>
      </w:r>
      <w:r w:rsidRPr="001A3D2B">
        <w:t>present study was to determine whether there is a relationship between citation factors</w:t>
      </w:r>
      <w:r w:rsidR="005853A9">
        <w:t xml:space="preserve"> and </w:t>
      </w:r>
      <w:r w:rsidRPr="001A3D2B">
        <w:t>a trial</w:t>
      </w:r>
      <w:r w:rsidR="00700038">
        <w:t>’</w:t>
      </w:r>
      <w:r w:rsidR="00C13DDC">
        <w:t>s</w:t>
      </w:r>
      <w:r w:rsidRPr="001A3D2B">
        <w:t xml:space="preserve"> methodological quality using published randomised trials in lung cancer clinical research.</w:t>
      </w:r>
    </w:p>
    <w:p w:rsidR="003474F2" w:rsidRPr="001A3D2B" w:rsidRDefault="003474F2" w:rsidP="003474F2">
      <w:pPr>
        <w:pStyle w:val="a3"/>
      </w:pPr>
      <w:r w:rsidRPr="001A3D2B">
        <w:t>Material</w:t>
      </w:r>
      <w:r w:rsidR="005853A9">
        <w:t xml:space="preserve"> and </w:t>
      </w:r>
      <w:r w:rsidRPr="001A3D2B">
        <w:t>methods: All</w:t>
      </w:r>
      <w:r w:rsidR="00427468">
        <w:t xml:space="preserve"> of </w:t>
      </w:r>
      <w:r w:rsidR="003A1917">
        <w:t xml:space="preserve">the </w:t>
      </w:r>
      <w:r w:rsidRPr="001A3D2B">
        <w:t>randomised trials included in nine systematic reviews performed by</w:t>
      </w:r>
      <w:r w:rsidR="003A1917">
        <w:t xml:space="preserve"> the </w:t>
      </w:r>
      <w:r w:rsidRPr="001A3D2B">
        <w:t>European Lung Cancer Working Party (ELCWP) were assessed using two quality scales (Chalmers</w:t>
      </w:r>
      <w:r w:rsidR="005853A9">
        <w:t xml:space="preserve"> and </w:t>
      </w:r>
      <w:r w:rsidRPr="001A3D2B">
        <w:t>ELCWP).</w:t>
      </w:r>
    </w:p>
    <w:p w:rsidR="003474F2" w:rsidRPr="001A3D2B" w:rsidRDefault="003474F2" w:rsidP="003474F2">
      <w:pPr>
        <w:pStyle w:val="a3"/>
      </w:pPr>
      <w:r w:rsidRPr="001A3D2B">
        <w:t>Results: One hundred</w:t>
      </w:r>
      <w:r w:rsidR="005853A9">
        <w:t xml:space="preserve"> and </w:t>
      </w:r>
      <w:r w:rsidRPr="001A3D2B">
        <w:t>eighty-one articles were eligible</w:t>
      </w:r>
      <w:r w:rsidR="00A37C1D">
        <w:t>. The</w:t>
      </w:r>
      <w:r w:rsidR="003A1917">
        <w:t xml:space="preserve"> </w:t>
      </w:r>
      <w:r w:rsidRPr="001A3D2B">
        <w:t>median overall ELCWP</w:t>
      </w:r>
      <w:r w:rsidR="005853A9">
        <w:t xml:space="preserve"> and </w:t>
      </w:r>
      <w:r w:rsidRPr="001A3D2B">
        <w:t>Chalmers quality scores were 61.8%</w:t>
      </w:r>
      <w:r w:rsidR="005853A9">
        <w:t xml:space="preserve"> and </w:t>
      </w:r>
      <w:r w:rsidRPr="001A3D2B">
        <w:t>49.0%, respectively, with a correlation coefficient (r(s))</w:t>
      </w:r>
      <w:r w:rsidR="00427468">
        <w:t xml:space="preserve"> of </w:t>
      </w:r>
      <w:r w:rsidRPr="001A3D2B">
        <w:t>0.74 (P &lt;0.001). A weak association was observed between citation factors</w:t>
      </w:r>
      <w:r w:rsidR="005853A9">
        <w:t xml:space="preserve"> and </w:t>
      </w:r>
      <w:r w:rsidRPr="001A3D2B">
        <w:t>quality scores with</w:t>
      </w:r>
      <w:r w:rsidR="003A1917">
        <w:t xml:space="preserve"> the </w:t>
      </w:r>
      <w:r w:rsidRPr="001A3D2B">
        <w:t>respective correlation coefficients ranging from 0.18 to 0.40 (ELCWP scale)</w:t>
      </w:r>
      <w:r w:rsidR="005853A9">
        <w:t xml:space="preserve"> and </w:t>
      </w:r>
      <w:r w:rsidRPr="001A3D2B">
        <w:t>from 0.21 to 0.38 (Chalmers scale). American authors published trials significantly more often in journals with high citation factors than European or non-American authors (P &lt;0.0001), despite no better methodological quality. Positive trials, which were significantly more likely to be published in journals with higher citation factors, were</w:t>
      </w:r>
      <w:r w:rsidR="00427468">
        <w:t xml:space="preserve"> of </w:t>
      </w:r>
      <w:r w:rsidRPr="001A3D2B">
        <w:t>no better quality than negative ones.</w:t>
      </w:r>
    </w:p>
    <w:p w:rsidR="003474F2" w:rsidRPr="001A3D2B" w:rsidRDefault="003474F2" w:rsidP="003474F2">
      <w:pPr>
        <w:pStyle w:val="a3"/>
      </w:pPr>
      <w:r w:rsidRPr="001A3D2B">
        <w:t>Conclusion: Journals with higher citation factors do not appear to publish clinical trials with higher levels</w:t>
      </w:r>
      <w:r w:rsidR="00427468">
        <w:t xml:space="preserve"> of </w:t>
      </w:r>
      <w:r w:rsidRPr="001A3D2B">
        <w:t>methodological quality, at least for trials in</w:t>
      </w:r>
      <w:r w:rsidR="003A1917">
        <w:t xml:space="preserve"> the </w:t>
      </w:r>
      <w:r w:rsidRPr="001A3D2B">
        <w:t>field</w:t>
      </w:r>
      <w:r w:rsidR="00427468">
        <w:t xml:space="preserve"> of </w:t>
      </w:r>
      <w:r w:rsidRPr="001A3D2B">
        <w:t>lung cancer research.</w:t>
      </w:r>
    </w:p>
    <w:p w:rsidR="003474F2" w:rsidRPr="001A3D2B" w:rsidRDefault="003474F2" w:rsidP="003474F2">
      <w:pPr>
        <w:pStyle w:val="a3"/>
      </w:pPr>
      <w:r w:rsidRPr="001A3D2B">
        <w:lastRenderedPageBreak/>
        <w:t>Keywords: Bibliometry, Citation Factor, Eurofactor, Impact Factor, Lung Cancer, Prestige Factor, Impact Factors, Metaanalysis, Chemotherapy</w:t>
      </w:r>
    </w:p>
    <w:p w:rsidR="005F3371" w:rsidRDefault="005F3371" w:rsidP="005F3371">
      <w:pPr>
        <w:pStyle w:val="a3"/>
        <w:rPr>
          <w:kern w:val="0"/>
        </w:rPr>
      </w:pPr>
      <w:r>
        <w:rPr>
          <w:rFonts w:hint="eastAsia"/>
          <w:kern w:val="0"/>
        </w:rPr>
        <w:t xml:space="preserve">? </w:t>
      </w:r>
      <w:r>
        <w:rPr>
          <w:kern w:val="0"/>
        </w:rPr>
        <w:t>Van den Wyngaert, T., Huizing, M.T.</w:t>
      </w:r>
      <w:r w:rsidR="005853A9">
        <w:rPr>
          <w:kern w:val="0"/>
        </w:rPr>
        <w:t xml:space="preserve"> and </w:t>
      </w:r>
      <w:r>
        <w:rPr>
          <w:kern w:val="0"/>
        </w:rPr>
        <w:t>Vermorken, J.B. (2006), Bisphosphonates</w:t>
      </w:r>
      <w:r w:rsidR="005853A9">
        <w:rPr>
          <w:kern w:val="0"/>
        </w:rPr>
        <w:t xml:space="preserve"> and </w:t>
      </w:r>
      <w:r>
        <w:rPr>
          <w:kern w:val="0"/>
        </w:rPr>
        <w:t>osteonecrosis</w:t>
      </w:r>
      <w:r w:rsidR="00427468">
        <w:rPr>
          <w:kern w:val="0"/>
        </w:rPr>
        <w:t xml:space="preserve"> of </w:t>
      </w:r>
      <w:r w:rsidR="003A1917">
        <w:rPr>
          <w:kern w:val="0"/>
        </w:rPr>
        <w:t xml:space="preserve">the </w:t>
      </w:r>
      <w:r>
        <w:rPr>
          <w:kern w:val="0"/>
        </w:rPr>
        <w:t>jaw: Cause</w:t>
      </w:r>
      <w:r w:rsidR="005853A9">
        <w:rPr>
          <w:kern w:val="0"/>
        </w:rPr>
        <w:t xml:space="preserve"> and </w:t>
      </w:r>
      <w:r>
        <w:rPr>
          <w:kern w:val="0"/>
        </w:rPr>
        <w:t xml:space="preserve">effect or a </w:t>
      </w:r>
      <w:r w:rsidRPr="00766DFB">
        <w:rPr>
          <w:i/>
          <w:kern w:val="0"/>
        </w:rPr>
        <w:t>post hoc</w:t>
      </w:r>
      <w:r>
        <w:rPr>
          <w:kern w:val="0"/>
        </w:rPr>
        <w:t xml:space="preserve"> fallacy? </w:t>
      </w:r>
      <w:r>
        <w:rPr>
          <w:i/>
          <w:iCs/>
          <w:kern w:val="0"/>
        </w:rPr>
        <w:t>Annals</w:t>
      </w:r>
      <w:r w:rsidR="00427468">
        <w:rPr>
          <w:i/>
          <w:iCs/>
          <w:kern w:val="0"/>
        </w:rPr>
        <w:t xml:space="preserve"> of </w:t>
      </w:r>
      <w:r>
        <w:rPr>
          <w:i/>
          <w:iCs/>
          <w:kern w:val="0"/>
        </w:rPr>
        <w:t>Oncology</w:t>
      </w:r>
      <w:r>
        <w:rPr>
          <w:kern w:val="0"/>
        </w:rPr>
        <w:t xml:space="preserve">, </w:t>
      </w:r>
      <w:r>
        <w:rPr>
          <w:b/>
          <w:bCs/>
          <w:kern w:val="0"/>
        </w:rPr>
        <w:t>17</w:t>
      </w:r>
      <w:r>
        <w:rPr>
          <w:kern w:val="0"/>
        </w:rPr>
        <w:t xml:space="preserve"> (8), 1197-1204.</w:t>
      </w:r>
    </w:p>
    <w:p w:rsidR="005F3371" w:rsidRPr="00F219CA" w:rsidRDefault="005F3371" w:rsidP="005F3371">
      <w:pPr>
        <w:pStyle w:val="a3"/>
      </w:pPr>
      <w:r w:rsidRPr="00F219CA">
        <w:rPr>
          <w:szCs w:val="10"/>
        </w:rPr>
        <w:t xml:space="preserve">Full Text: </w:t>
      </w:r>
      <w:hyperlink r:id="rId919" w:history="1">
        <w:r w:rsidRPr="00BE7FBB">
          <w:rPr>
            <w:rStyle w:val="a5"/>
            <w:szCs w:val="10"/>
          </w:rPr>
          <w:t>2006\Ann Onc17, 1197.pdf</w:t>
        </w:r>
      </w:hyperlink>
    </w:p>
    <w:p w:rsidR="005F3371" w:rsidRDefault="005F3371" w:rsidP="005F3371">
      <w:pPr>
        <w:pStyle w:val="a3"/>
        <w:rPr>
          <w:kern w:val="0"/>
        </w:rPr>
      </w:pPr>
      <w:r>
        <w:rPr>
          <w:kern w:val="0"/>
        </w:rPr>
        <w:t>Abstract: Background: An increasing amount</w:t>
      </w:r>
      <w:r w:rsidR="00427468">
        <w:rPr>
          <w:kern w:val="0"/>
        </w:rPr>
        <w:t xml:space="preserve"> of </w:t>
      </w:r>
      <w:r>
        <w:rPr>
          <w:kern w:val="0"/>
        </w:rPr>
        <w:t>reports are being published suggesting a relationship between</w:t>
      </w:r>
      <w:r w:rsidR="003A1917">
        <w:rPr>
          <w:kern w:val="0"/>
        </w:rPr>
        <w:t xml:space="preserve"> the </w:t>
      </w:r>
      <w:r>
        <w:rPr>
          <w:kern w:val="0"/>
        </w:rPr>
        <w:t>use</w:t>
      </w:r>
      <w:r w:rsidR="00427468">
        <w:rPr>
          <w:kern w:val="0"/>
        </w:rPr>
        <w:t xml:space="preserve"> of </w:t>
      </w:r>
      <w:r>
        <w:rPr>
          <w:kern w:val="0"/>
        </w:rPr>
        <w:t>bisphosphonates (BPs)</w:t>
      </w:r>
      <w:r w:rsidR="005853A9">
        <w:rPr>
          <w:kern w:val="0"/>
        </w:rPr>
        <w:t xml:space="preserve"> and </w:t>
      </w:r>
      <w:r w:rsidR="003A1917">
        <w:rPr>
          <w:kern w:val="0"/>
        </w:rPr>
        <w:t xml:space="preserve">the </w:t>
      </w:r>
      <w:r>
        <w:rPr>
          <w:kern w:val="0"/>
        </w:rPr>
        <w:t>development</w:t>
      </w:r>
      <w:r w:rsidR="00427468">
        <w:rPr>
          <w:kern w:val="0"/>
        </w:rPr>
        <w:t xml:space="preserve"> of </w:t>
      </w:r>
      <w:r>
        <w:rPr>
          <w:kern w:val="0"/>
        </w:rPr>
        <w:t>osteonecrosis</w:t>
      </w:r>
      <w:r w:rsidR="00427468">
        <w:rPr>
          <w:kern w:val="0"/>
        </w:rPr>
        <w:t xml:space="preserve"> of </w:t>
      </w:r>
      <w:r w:rsidR="003A1917">
        <w:rPr>
          <w:kern w:val="0"/>
        </w:rPr>
        <w:t xml:space="preserve">the </w:t>
      </w:r>
      <w:r>
        <w:rPr>
          <w:kern w:val="0"/>
        </w:rPr>
        <w:t>jaw (ONJ). We reviewed</w:t>
      </w:r>
      <w:r w:rsidR="003A1917">
        <w:rPr>
          <w:kern w:val="0"/>
        </w:rPr>
        <w:t xml:space="preserve"> the </w:t>
      </w:r>
      <w:r>
        <w:rPr>
          <w:kern w:val="0"/>
        </w:rPr>
        <w:t>currently available evidence</w:t>
      </w:r>
      <w:r w:rsidR="005853A9">
        <w:rPr>
          <w:kern w:val="0"/>
        </w:rPr>
        <w:t xml:space="preserve"> and </w:t>
      </w:r>
      <w:r>
        <w:rPr>
          <w:kern w:val="0"/>
        </w:rPr>
        <w:t>explore</w:t>
      </w:r>
      <w:r w:rsidR="003A1917">
        <w:rPr>
          <w:kern w:val="0"/>
        </w:rPr>
        <w:t xml:space="preserve"> the </w:t>
      </w:r>
      <w:r>
        <w:rPr>
          <w:kern w:val="0"/>
        </w:rPr>
        <w:t>potential mechanisms</w:t>
      </w:r>
      <w:r w:rsidR="00427468">
        <w:rPr>
          <w:kern w:val="0"/>
        </w:rPr>
        <w:t xml:space="preserve"> of </w:t>
      </w:r>
      <w:r>
        <w:rPr>
          <w:kern w:val="0"/>
        </w:rPr>
        <w:t>action based on</w:t>
      </w:r>
      <w:r w:rsidR="003A1917">
        <w:rPr>
          <w:kern w:val="0"/>
        </w:rPr>
        <w:t xml:space="preserve"> the </w:t>
      </w:r>
      <w:r>
        <w:rPr>
          <w:kern w:val="0"/>
        </w:rPr>
        <w:t>known effects</w:t>
      </w:r>
      <w:r w:rsidR="00427468">
        <w:rPr>
          <w:kern w:val="0"/>
        </w:rPr>
        <w:t xml:space="preserve"> of </w:t>
      </w:r>
      <w:r w:rsidR="003A1917">
        <w:rPr>
          <w:kern w:val="0"/>
        </w:rPr>
        <w:t xml:space="preserve">the </w:t>
      </w:r>
      <w:r>
        <w:rPr>
          <w:kern w:val="0"/>
        </w:rPr>
        <w:t>concerned BP. Design:</w:t>
      </w:r>
      <w:r w:rsidR="003A1917">
        <w:rPr>
          <w:kern w:val="0"/>
        </w:rPr>
        <w:t xml:space="preserve"> the </w:t>
      </w:r>
      <w:r w:rsidR="00D5664A">
        <w:rPr>
          <w:kern w:val="0"/>
        </w:rPr>
        <w:t>MEDLINE</w:t>
      </w:r>
      <w:r>
        <w:rPr>
          <w:kern w:val="0"/>
        </w:rPr>
        <w:t>, Current Contents</w:t>
      </w:r>
      <w:r w:rsidR="005853A9">
        <w:rPr>
          <w:kern w:val="0"/>
        </w:rPr>
        <w:t xml:space="preserve"> and </w:t>
      </w:r>
      <w:r>
        <w:rPr>
          <w:kern w:val="0"/>
        </w:rPr>
        <w:t>Science Citation Index Expanded databases were queried</w:t>
      </w:r>
      <w:r w:rsidR="005853A9">
        <w:rPr>
          <w:kern w:val="0"/>
        </w:rPr>
        <w:t xml:space="preserve"> and </w:t>
      </w:r>
      <w:r w:rsidR="003A1917">
        <w:rPr>
          <w:kern w:val="0"/>
        </w:rPr>
        <w:t xml:space="preserve">the </w:t>
      </w:r>
      <w:r>
        <w:rPr>
          <w:kern w:val="0"/>
        </w:rPr>
        <w:t>results augmented by analyzing cited references</w:t>
      </w:r>
      <w:r w:rsidR="005853A9">
        <w:rPr>
          <w:kern w:val="0"/>
        </w:rPr>
        <w:t xml:space="preserve"> and </w:t>
      </w:r>
      <w:r>
        <w:rPr>
          <w:kern w:val="0"/>
        </w:rPr>
        <w:t>recent congress proceedings. Results: 22 papers were included detailing 225 patients, all based on retrospective chart review without control groups</w:t>
      </w:r>
      <w:r w:rsidR="00A37C1D">
        <w:rPr>
          <w:kern w:val="0"/>
        </w:rPr>
        <w:t>. The</w:t>
      </w:r>
      <w:r w:rsidR="003A1917">
        <w:rPr>
          <w:kern w:val="0"/>
        </w:rPr>
        <w:t xml:space="preserve"> </w:t>
      </w:r>
      <w:r>
        <w:rPr>
          <w:kern w:val="0"/>
        </w:rPr>
        <w:t>prevalence</w:t>
      </w:r>
      <w:r w:rsidR="00427468">
        <w:rPr>
          <w:kern w:val="0"/>
        </w:rPr>
        <w:t xml:space="preserve"> of </w:t>
      </w:r>
      <w:r>
        <w:rPr>
          <w:kern w:val="0"/>
        </w:rPr>
        <w:t>ONJ was estimated at 1.5%</w:t>
      </w:r>
      <w:r w:rsidR="00A37C1D">
        <w:rPr>
          <w:kern w:val="0"/>
        </w:rPr>
        <w:t>. The</w:t>
      </w:r>
      <w:r w:rsidR="003A1917">
        <w:rPr>
          <w:kern w:val="0"/>
        </w:rPr>
        <w:t xml:space="preserve"> </w:t>
      </w:r>
      <w:r>
        <w:rPr>
          <w:kern w:val="0"/>
        </w:rPr>
        <w:t>involved BPs were pamidronate, zoledronic acid, alendronate</w:t>
      </w:r>
      <w:r w:rsidR="005853A9">
        <w:rPr>
          <w:kern w:val="0"/>
        </w:rPr>
        <w:t xml:space="preserve"> and </w:t>
      </w:r>
      <w:r>
        <w:rPr>
          <w:kern w:val="0"/>
        </w:rPr>
        <w:t>risedronate, all potent nitrogen-containing agents</w:t>
      </w:r>
      <w:r w:rsidR="00A37C1D">
        <w:rPr>
          <w:kern w:val="0"/>
        </w:rPr>
        <w:t>. The</w:t>
      </w:r>
      <w:r w:rsidR="003A1917">
        <w:rPr>
          <w:kern w:val="0"/>
        </w:rPr>
        <w:t xml:space="preserve"> </w:t>
      </w:r>
      <w:r>
        <w:rPr>
          <w:kern w:val="0"/>
        </w:rPr>
        <w:t>most common symptom was pain (81.7%), although 12.2%</w:t>
      </w:r>
      <w:r w:rsidR="00427468">
        <w:rPr>
          <w:kern w:val="0"/>
        </w:rPr>
        <w:t xml:space="preserve"> of </w:t>
      </w:r>
      <w:r>
        <w:rPr>
          <w:kern w:val="0"/>
        </w:rPr>
        <w:t>cases were asymptomatic. In 69.3%</w:t>
      </w:r>
      <w:r w:rsidR="00427468">
        <w:rPr>
          <w:kern w:val="0"/>
        </w:rPr>
        <w:t xml:space="preserve"> of </w:t>
      </w:r>
      <w:r>
        <w:rPr>
          <w:kern w:val="0"/>
        </w:rPr>
        <w:t>patients ONJ was preceded by a dental extraction. At</w:t>
      </w:r>
      <w:r w:rsidR="003A1917">
        <w:rPr>
          <w:kern w:val="0"/>
        </w:rPr>
        <w:t xml:space="preserve"> the </w:t>
      </w:r>
      <w:r>
        <w:rPr>
          <w:kern w:val="0"/>
        </w:rPr>
        <w:t>time</w:t>
      </w:r>
      <w:r w:rsidR="00427468">
        <w:rPr>
          <w:kern w:val="0"/>
        </w:rPr>
        <w:t xml:space="preserve"> of </w:t>
      </w:r>
      <w:r>
        <w:rPr>
          <w:kern w:val="0"/>
        </w:rPr>
        <w:t>diagnosis, 74.5%</w:t>
      </w:r>
      <w:r w:rsidR="00427468">
        <w:rPr>
          <w:kern w:val="0"/>
        </w:rPr>
        <w:t xml:space="preserve"> of </w:t>
      </w:r>
      <w:r>
        <w:rPr>
          <w:kern w:val="0"/>
        </w:rPr>
        <w:t>patients were receiving chemotherapy</w:t>
      </w:r>
      <w:r w:rsidR="005853A9">
        <w:rPr>
          <w:kern w:val="0"/>
        </w:rPr>
        <w:t xml:space="preserve"> and </w:t>
      </w:r>
      <w:r>
        <w:rPr>
          <w:kern w:val="0"/>
        </w:rPr>
        <w:t>in 38.2%</w:t>
      </w:r>
      <w:r w:rsidR="00427468">
        <w:rPr>
          <w:kern w:val="0"/>
        </w:rPr>
        <w:t xml:space="preserve"> of </w:t>
      </w:r>
      <w:r>
        <w:rPr>
          <w:kern w:val="0"/>
        </w:rPr>
        <w:t>cases corticosteroids were administered. Although various conservative</w:t>
      </w:r>
      <w:r w:rsidR="005853A9">
        <w:rPr>
          <w:kern w:val="0"/>
        </w:rPr>
        <w:t xml:space="preserve"> and </w:t>
      </w:r>
      <w:r>
        <w:rPr>
          <w:kern w:val="0"/>
        </w:rPr>
        <w:t>surgical treatment modalities were reported, residual sites</w:t>
      </w:r>
      <w:r w:rsidR="00427468">
        <w:rPr>
          <w:kern w:val="0"/>
        </w:rPr>
        <w:t xml:space="preserve"> of </w:t>
      </w:r>
      <w:r>
        <w:rPr>
          <w:kern w:val="0"/>
        </w:rPr>
        <w:t>ONJ persisted in 72.5%</w:t>
      </w:r>
      <w:r w:rsidR="00427468">
        <w:rPr>
          <w:kern w:val="0"/>
        </w:rPr>
        <w:t xml:space="preserve"> of </w:t>
      </w:r>
      <w:r>
        <w:rPr>
          <w:kern w:val="0"/>
        </w:rPr>
        <w:t>cases. Conclusion: Although not enough evidence is available to prove a ca</w:t>
      </w:r>
      <w:r w:rsidR="00D5664A">
        <w:rPr>
          <w:kern w:val="0"/>
        </w:rPr>
        <w:t>USA</w:t>
      </w:r>
      <w:r>
        <w:rPr>
          <w:kern w:val="0"/>
        </w:rPr>
        <w:t>l link, it seems that under specific circumstances local defenses can become overwhelmed resulting in ONJ.</w:t>
      </w:r>
    </w:p>
    <w:p w:rsidR="005F3371" w:rsidRDefault="005F3371" w:rsidP="005F3371">
      <w:pPr>
        <w:pStyle w:val="a3"/>
        <w:rPr>
          <w:kern w:val="0"/>
        </w:rPr>
      </w:pPr>
      <w:r>
        <w:rPr>
          <w:kern w:val="0"/>
        </w:rPr>
        <w:t>Keywords: Alendronate, American-Society, Association, Avascular Bone Necrosis, Bisphosphonates, Cancer-Chemotherapy, Citation, Complication, Databases, Design, Development, Diagnosis, Groups, Jaw, Local, Long-Term Survivors, Mechanisms, Metastatic Cancer, Multiple-Myeloma, Osteonecrosis, Pain, Prevalence, Review, Science, Science Citation Index, Treatment, Zoledronic Acid</w:t>
      </w:r>
    </w:p>
    <w:p w:rsidR="006A182E" w:rsidRDefault="006A182E" w:rsidP="006A182E">
      <w:pPr>
        <w:pStyle w:val="a3"/>
        <w:rPr>
          <w:kern w:val="0"/>
        </w:rPr>
      </w:pPr>
      <w:r>
        <w:rPr>
          <w:rFonts w:hint="eastAsia"/>
          <w:kern w:val="0"/>
        </w:rPr>
        <w:t xml:space="preserve">? </w:t>
      </w:r>
      <w:r>
        <w:rPr>
          <w:kern w:val="0"/>
        </w:rPr>
        <w:t>Saad, D., Mangabeira, A., Masson, A.L.</w:t>
      </w:r>
      <w:r w:rsidR="005853A9">
        <w:rPr>
          <w:kern w:val="0"/>
        </w:rPr>
        <w:t xml:space="preserve"> and </w:t>
      </w:r>
      <w:r>
        <w:rPr>
          <w:kern w:val="0"/>
        </w:rPr>
        <w:t>Prisco, F.E. (2010</w:t>
      </w:r>
      <w:r w:rsidR="00F42EAC">
        <w:rPr>
          <w:kern w:val="0"/>
        </w:rPr>
        <w:t>), The</w:t>
      </w:r>
      <w:r w:rsidR="003A1917">
        <w:rPr>
          <w:kern w:val="0"/>
        </w:rPr>
        <w:t xml:space="preserve"> </w:t>
      </w:r>
      <w:r>
        <w:rPr>
          <w:kern w:val="0"/>
        </w:rPr>
        <w:t>geography</w:t>
      </w:r>
      <w:r w:rsidR="00427468">
        <w:rPr>
          <w:kern w:val="0"/>
        </w:rPr>
        <w:t xml:space="preserve"> of </w:t>
      </w:r>
      <w:r>
        <w:rPr>
          <w:kern w:val="0"/>
        </w:rPr>
        <w:t>clinical cancer research: Analysis</w:t>
      </w:r>
      <w:r w:rsidR="00427468">
        <w:rPr>
          <w:kern w:val="0"/>
        </w:rPr>
        <w:t xml:space="preserve"> of </w:t>
      </w:r>
      <w:r>
        <w:rPr>
          <w:kern w:val="0"/>
        </w:rPr>
        <w:t>abstracts presented at</w:t>
      </w:r>
      <w:r w:rsidR="003A1917">
        <w:rPr>
          <w:kern w:val="0"/>
        </w:rPr>
        <w:t xml:space="preserve"> the </w:t>
      </w:r>
      <w:r>
        <w:rPr>
          <w:kern w:val="0"/>
        </w:rPr>
        <w:t>American Society</w:t>
      </w:r>
      <w:r w:rsidR="00427468">
        <w:rPr>
          <w:kern w:val="0"/>
        </w:rPr>
        <w:t xml:space="preserve"> of </w:t>
      </w:r>
      <w:r>
        <w:rPr>
          <w:kern w:val="0"/>
        </w:rPr>
        <w:t xml:space="preserve">Clinical Oncology Annual Meetings. </w:t>
      </w:r>
      <w:r>
        <w:rPr>
          <w:i/>
          <w:iCs/>
          <w:kern w:val="0"/>
        </w:rPr>
        <w:t>Annals</w:t>
      </w:r>
      <w:r w:rsidR="00427468">
        <w:rPr>
          <w:i/>
          <w:iCs/>
          <w:kern w:val="0"/>
        </w:rPr>
        <w:t xml:space="preserve"> of </w:t>
      </w:r>
      <w:r>
        <w:rPr>
          <w:i/>
          <w:iCs/>
          <w:kern w:val="0"/>
        </w:rPr>
        <w:t>Oncology</w:t>
      </w:r>
      <w:r>
        <w:rPr>
          <w:kern w:val="0"/>
        </w:rPr>
        <w:t xml:space="preserve">, </w:t>
      </w:r>
      <w:r>
        <w:rPr>
          <w:b/>
          <w:bCs/>
          <w:kern w:val="0"/>
        </w:rPr>
        <w:t>21</w:t>
      </w:r>
      <w:r>
        <w:rPr>
          <w:kern w:val="0"/>
        </w:rPr>
        <w:t xml:space="preserve"> (3), 627-632.</w:t>
      </w:r>
    </w:p>
    <w:p w:rsidR="006A182E" w:rsidRPr="00F219CA" w:rsidRDefault="006A182E" w:rsidP="006A182E">
      <w:pPr>
        <w:pStyle w:val="a3"/>
      </w:pPr>
      <w:r w:rsidRPr="00F219CA">
        <w:rPr>
          <w:szCs w:val="10"/>
        </w:rPr>
        <w:t xml:space="preserve">Full Text: </w:t>
      </w:r>
      <w:hyperlink r:id="rId920" w:history="1">
        <w:r w:rsidRPr="001A1704">
          <w:rPr>
            <w:rStyle w:val="a5"/>
            <w:szCs w:val="10"/>
          </w:rPr>
          <w:t>2010\Ann Onc21, 627.pdf</w:t>
        </w:r>
      </w:hyperlink>
    </w:p>
    <w:p w:rsidR="006A182E" w:rsidRDefault="006A182E" w:rsidP="006A182E">
      <w:pPr>
        <w:pStyle w:val="a3"/>
        <w:rPr>
          <w:kern w:val="0"/>
        </w:rPr>
      </w:pPr>
      <w:r>
        <w:rPr>
          <w:kern w:val="0"/>
        </w:rPr>
        <w:t>Abstract: Background:</w:t>
      </w:r>
      <w:r w:rsidR="003A1917">
        <w:rPr>
          <w:kern w:val="0"/>
        </w:rPr>
        <w:t xml:space="preserve"> the </w:t>
      </w:r>
      <w:r>
        <w:rPr>
          <w:kern w:val="0"/>
        </w:rPr>
        <w:t>American Society</w:t>
      </w:r>
      <w:r w:rsidR="00427468">
        <w:rPr>
          <w:kern w:val="0"/>
        </w:rPr>
        <w:t xml:space="preserve"> of </w:t>
      </w:r>
      <w:r>
        <w:rPr>
          <w:kern w:val="0"/>
        </w:rPr>
        <w:t>Clinical Oncology Annual Meeting is</w:t>
      </w:r>
      <w:r w:rsidR="003A1917">
        <w:rPr>
          <w:kern w:val="0"/>
        </w:rPr>
        <w:t xml:space="preserve"> the </w:t>
      </w:r>
      <w:r>
        <w:rPr>
          <w:kern w:val="0"/>
        </w:rPr>
        <w:t>largest forum for presentation</w:t>
      </w:r>
      <w:r w:rsidR="00427468">
        <w:rPr>
          <w:kern w:val="0"/>
        </w:rPr>
        <w:t xml:space="preserve"> of </w:t>
      </w:r>
      <w:r>
        <w:rPr>
          <w:kern w:val="0"/>
        </w:rPr>
        <w:t>clinical research in oncology. We quantified</w:t>
      </w:r>
      <w:r w:rsidR="003A1917">
        <w:rPr>
          <w:kern w:val="0"/>
        </w:rPr>
        <w:t xml:space="preserve"> the </w:t>
      </w:r>
      <w:r>
        <w:rPr>
          <w:kern w:val="0"/>
        </w:rPr>
        <w:t>contribution</w:t>
      </w:r>
      <w:r w:rsidR="00427468">
        <w:rPr>
          <w:kern w:val="0"/>
        </w:rPr>
        <w:t xml:space="preserve"> of </w:t>
      </w:r>
      <w:r>
        <w:rPr>
          <w:kern w:val="0"/>
        </w:rPr>
        <w:t>countries</w:t>
      </w:r>
      <w:r w:rsidR="005853A9">
        <w:rPr>
          <w:kern w:val="0"/>
        </w:rPr>
        <w:t xml:space="preserve"> and </w:t>
      </w:r>
      <w:r>
        <w:rPr>
          <w:kern w:val="0"/>
        </w:rPr>
        <w:t>assessed correlates</w:t>
      </w:r>
      <w:r w:rsidR="00427468">
        <w:rPr>
          <w:kern w:val="0"/>
        </w:rPr>
        <w:t xml:space="preserve"> of </w:t>
      </w:r>
      <w:r>
        <w:rPr>
          <w:kern w:val="0"/>
        </w:rPr>
        <w:t>their presence at such meetings. Methods: After stratifying abstracts according to category</w:t>
      </w:r>
      <w:r w:rsidR="00427468">
        <w:rPr>
          <w:kern w:val="0"/>
        </w:rPr>
        <w:t xml:space="preserve"> of </w:t>
      </w:r>
      <w:r>
        <w:rPr>
          <w:kern w:val="0"/>
        </w:rPr>
        <w:t>presentation (oral, poster,</w:t>
      </w:r>
      <w:r w:rsidR="005853A9">
        <w:rPr>
          <w:kern w:val="0"/>
        </w:rPr>
        <w:t xml:space="preserve"> and </w:t>
      </w:r>
      <w:r w:rsidR="00700038">
        <w:rPr>
          <w:kern w:val="0"/>
        </w:rPr>
        <w:t>‘</w:t>
      </w:r>
      <w:r>
        <w:rPr>
          <w:kern w:val="0"/>
        </w:rPr>
        <w:t>publication only</w:t>
      </w:r>
      <w:r w:rsidR="00700038">
        <w:rPr>
          <w:kern w:val="0"/>
        </w:rPr>
        <w:t>’</w:t>
      </w:r>
      <w:r>
        <w:rPr>
          <w:kern w:val="0"/>
        </w:rPr>
        <w:t>), we took a random sample</w:t>
      </w:r>
      <w:r w:rsidR="00427468">
        <w:rPr>
          <w:kern w:val="0"/>
        </w:rPr>
        <w:t xml:space="preserve"> of </w:t>
      </w:r>
      <w:r>
        <w:rPr>
          <w:kern w:val="0"/>
        </w:rPr>
        <w:t>10%</w:t>
      </w:r>
      <w:r w:rsidR="00427468">
        <w:rPr>
          <w:kern w:val="0"/>
        </w:rPr>
        <w:t xml:space="preserve"> of </w:t>
      </w:r>
      <w:r w:rsidR="003A1917">
        <w:rPr>
          <w:kern w:val="0"/>
        </w:rPr>
        <w:t xml:space="preserve">the </w:t>
      </w:r>
      <w:r>
        <w:rPr>
          <w:kern w:val="0"/>
        </w:rPr>
        <w:t>studies presented at years 2001-2003</w:t>
      </w:r>
      <w:r w:rsidR="005853A9">
        <w:rPr>
          <w:kern w:val="0"/>
        </w:rPr>
        <w:t xml:space="preserve"> and </w:t>
      </w:r>
      <w:r>
        <w:rPr>
          <w:kern w:val="0"/>
        </w:rPr>
        <w:t>2006-2008. We assigned abstract nationality using</w:t>
      </w:r>
      <w:r w:rsidR="003A1917">
        <w:rPr>
          <w:kern w:val="0"/>
        </w:rPr>
        <w:t xml:space="preserve"> </w:t>
      </w:r>
      <w:r w:rsidR="003A1917">
        <w:rPr>
          <w:kern w:val="0"/>
        </w:rPr>
        <w:lastRenderedPageBreak/>
        <w:t xml:space="preserve">the </w:t>
      </w:r>
      <w:r>
        <w:rPr>
          <w:kern w:val="0"/>
        </w:rPr>
        <w:t>affiliation</w:t>
      </w:r>
      <w:r w:rsidR="00427468">
        <w:rPr>
          <w:kern w:val="0"/>
        </w:rPr>
        <w:t xml:space="preserve"> of </w:t>
      </w:r>
      <w:r>
        <w:rPr>
          <w:kern w:val="0"/>
        </w:rPr>
        <w:t>authors. For multinational studies, we developed an algorithm to assign nationality. Results:</w:t>
      </w:r>
      <w:r w:rsidR="00427468">
        <w:rPr>
          <w:kern w:val="0"/>
        </w:rPr>
        <w:t xml:space="preserve"> of </w:t>
      </w:r>
      <w:r w:rsidR="003A1917">
        <w:rPr>
          <w:kern w:val="0"/>
        </w:rPr>
        <w:t xml:space="preserve">the </w:t>
      </w:r>
      <w:r>
        <w:rPr>
          <w:kern w:val="0"/>
        </w:rPr>
        <w:t>22 045 eligible abstracts, 2206 were analyzed</w:t>
      </w:r>
      <w:r w:rsidR="005853A9">
        <w:rPr>
          <w:kern w:val="0"/>
        </w:rPr>
        <w:t xml:space="preserve"> and </w:t>
      </w:r>
      <w:r>
        <w:rPr>
          <w:kern w:val="0"/>
        </w:rPr>
        <w:t>represented 71 countries: 905 (41%) abstracts were from a single institution, 969 (44%) were multicenter, uninational studies,</w:t>
      </w:r>
      <w:r w:rsidR="005853A9">
        <w:rPr>
          <w:kern w:val="0"/>
        </w:rPr>
        <w:t xml:space="preserve"> and </w:t>
      </w:r>
      <w:r>
        <w:rPr>
          <w:kern w:val="0"/>
        </w:rPr>
        <w:t>332 (15%) were multinational studies. United States nationality was assigned to 49%</w:t>
      </w:r>
      <w:r w:rsidR="00427468">
        <w:rPr>
          <w:kern w:val="0"/>
        </w:rPr>
        <w:t xml:space="preserve"> of </w:t>
      </w:r>
      <w:r>
        <w:rPr>
          <w:kern w:val="0"/>
        </w:rPr>
        <w:t>all abstracts</w:t>
      </w:r>
      <w:r w:rsidR="005853A9">
        <w:rPr>
          <w:kern w:val="0"/>
        </w:rPr>
        <w:t xml:space="preserve"> and </w:t>
      </w:r>
      <w:r w:rsidR="003A1917">
        <w:rPr>
          <w:kern w:val="0"/>
        </w:rPr>
        <w:t xml:space="preserve">the </w:t>
      </w:r>
      <w:r>
        <w:rPr>
          <w:kern w:val="0"/>
        </w:rPr>
        <w:t>next 14 countries with a higher number</w:t>
      </w:r>
      <w:r w:rsidR="00427468">
        <w:rPr>
          <w:kern w:val="0"/>
        </w:rPr>
        <w:t xml:space="preserve"> of </w:t>
      </w:r>
      <w:r>
        <w:rPr>
          <w:kern w:val="0"/>
        </w:rPr>
        <w:t>studies accounted for 41%</w:t>
      </w:r>
      <w:r w:rsidR="00A37C1D">
        <w:rPr>
          <w:kern w:val="0"/>
        </w:rPr>
        <w:t>. The</w:t>
      </w:r>
      <w:r>
        <w:rPr>
          <w:kern w:val="0"/>
        </w:rPr>
        <w:t>re was a statistically significant temporal trend in</w:t>
      </w:r>
      <w:r w:rsidR="003A1917">
        <w:rPr>
          <w:kern w:val="0"/>
        </w:rPr>
        <w:t xml:space="preserve"> the </w:t>
      </w:r>
      <w:r>
        <w:rPr>
          <w:kern w:val="0"/>
        </w:rPr>
        <w:t>proportion</w:t>
      </w:r>
      <w:r w:rsidR="00427468">
        <w:rPr>
          <w:kern w:val="0"/>
        </w:rPr>
        <w:t xml:space="preserve"> of </w:t>
      </w:r>
      <w:r>
        <w:rPr>
          <w:kern w:val="0"/>
        </w:rPr>
        <w:t>multinational studies. Also, multinational studies</w:t>
      </w:r>
      <w:r w:rsidR="005853A9">
        <w:rPr>
          <w:kern w:val="0"/>
        </w:rPr>
        <w:t xml:space="preserve"> and </w:t>
      </w:r>
      <w:r>
        <w:rPr>
          <w:kern w:val="0"/>
        </w:rPr>
        <w:t>abstracts with United States nationality were more frequently presented in oral</w:t>
      </w:r>
      <w:r w:rsidR="005853A9">
        <w:rPr>
          <w:kern w:val="0"/>
        </w:rPr>
        <w:t xml:space="preserve"> and </w:t>
      </w:r>
      <w:r>
        <w:rPr>
          <w:kern w:val="0"/>
        </w:rPr>
        <w:t>poster fashion</w:t>
      </w:r>
      <w:r w:rsidR="005853A9">
        <w:rPr>
          <w:kern w:val="0"/>
        </w:rPr>
        <w:t xml:space="preserve"> and </w:t>
      </w:r>
      <w:r>
        <w:rPr>
          <w:kern w:val="0"/>
        </w:rPr>
        <w:t>had more frequent involvement</w:t>
      </w:r>
      <w:r w:rsidR="00427468">
        <w:rPr>
          <w:kern w:val="0"/>
        </w:rPr>
        <w:t xml:space="preserve"> of </w:t>
      </w:r>
      <w:r w:rsidR="003A1917">
        <w:rPr>
          <w:kern w:val="0"/>
        </w:rPr>
        <w:t xml:space="preserve">the </w:t>
      </w:r>
      <w:r>
        <w:rPr>
          <w:kern w:val="0"/>
        </w:rPr>
        <w:t>pharmaceutical industry. Conclusion: This study provides a geographic overview</w:t>
      </w:r>
      <w:r w:rsidR="00427468">
        <w:rPr>
          <w:kern w:val="0"/>
        </w:rPr>
        <w:t xml:space="preserve"> of </w:t>
      </w:r>
      <w:r>
        <w:rPr>
          <w:kern w:val="0"/>
        </w:rPr>
        <w:t>clinical cancer research</w:t>
      </w:r>
      <w:r w:rsidR="005853A9">
        <w:rPr>
          <w:kern w:val="0"/>
        </w:rPr>
        <w:t xml:space="preserve"> and </w:t>
      </w:r>
      <w:r>
        <w:rPr>
          <w:kern w:val="0"/>
        </w:rPr>
        <w:t>indicates that multinational collaboration is increasing.</w:t>
      </w:r>
    </w:p>
    <w:p w:rsidR="006A182E" w:rsidRDefault="006A182E" w:rsidP="006A182E">
      <w:pPr>
        <w:pStyle w:val="a3"/>
        <w:rPr>
          <w:kern w:val="0"/>
        </w:rPr>
      </w:pPr>
      <w:r>
        <w:rPr>
          <w:kern w:val="0"/>
        </w:rPr>
        <w:t>Keywords: Abstract, Authors, Bibliometrics, Cancer, Collaboration, Conflicts</w:t>
      </w:r>
      <w:r w:rsidR="00434900">
        <w:rPr>
          <w:kern w:val="0"/>
        </w:rPr>
        <w:t>-of-</w:t>
      </w:r>
      <w:r>
        <w:rPr>
          <w:kern w:val="0"/>
        </w:rPr>
        <w:t>Interest, Contribution, Drug Industry, European-Union, Fate, Geography, Meeting Abstracts, Neoplasms, Oncology, Pharmaceutical, Pharmaceutical Industry, Publication, Publication Rate, Randomized-Trials, Research, Scientific Societies, United States</w:t>
      </w:r>
    </w:p>
    <w:p w:rsidR="008C1C37" w:rsidRDefault="008C1C37" w:rsidP="008C1C37">
      <w:pPr>
        <w:pStyle w:val="a3"/>
        <w:rPr>
          <w:kern w:val="0"/>
        </w:rPr>
      </w:pPr>
      <w:r>
        <w:rPr>
          <w:rFonts w:hint="eastAsia"/>
          <w:kern w:val="0"/>
        </w:rPr>
        <w:t xml:space="preserve">? </w:t>
      </w:r>
      <w:r>
        <w:rPr>
          <w:kern w:val="0"/>
        </w:rPr>
        <w:t>Islami, F., Sheikhattari, P., Ren, J.S.</w:t>
      </w:r>
      <w:r w:rsidR="005853A9">
        <w:rPr>
          <w:kern w:val="0"/>
        </w:rPr>
        <w:t xml:space="preserve"> and </w:t>
      </w:r>
      <w:r>
        <w:rPr>
          <w:kern w:val="0"/>
        </w:rPr>
        <w:t>Kamangar, F. (2011), Gastric atrophy</w:t>
      </w:r>
      <w:r w:rsidR="005853A9">
        <w:rPr>
          <w:kern w:val="0"/>
        </w:rPr>
        <w:t xml:space="preserve"> and </w:t>
      </w:r>
      <w:r>
        <w:rPr>
          <w:kern w:val="0"/>
        </w:rPr>
        <w:t>risk</w:t>
      </w:r>
      <w:r w:rsidR="00427468">
        <w:rPr>
          <w:kern w:val="0"/>
        </w:rPr>
        <w:t xml:space="preserve"> of </w:t>
      </w:r>
      <w:r>
        <w:rPr>
          <w:kern w:val="0"/>
        </w:rPr>
        <w:t>oesophageal cancer</w:t>
      </w:r>
      <w:r w:rsidR="005853A9">
        <w:rPr>
          <w:kern w:val="0"/>
        </w:rPr>
        <w:t xml:space="preserve"> and </w:t>
      </w:r>
      <w:r>
        <w:rPr>
          <w:kern w:val="0"/>
        </w:rPr>
        <w:t>gastric cardia adenocarcinoma</w:t>
      </w:r>
      <w:r>
        <w:rPr>
          <w:rFonts w:hint="eastAsia"/>
          <w:kern w:val="0"/>
        </w:rPr>
        <w:t xml:space="preserve">: </w:t>
      </w:r>
      <w:r>
        <w:rPr>
          <w:kern w:val="0"/>
        </w:rPr>
        <w:t>A systematic review</w:t>
      </w:r>
      <w:r w:rsidR="005853A9">
        <w:rPr>
          <w:kern w:val="0"/>
        </w:rPr>
        <w:t xml:space="preserve"> and </w:t>
      </w:r>
      <w:r>
        <w:rPr>
          <w:kern w:val="0"/>
        </w:rPr>
        <w:t xml:space="preserve">meta-analysis. </w:t>
      </w:r>
      <w:r>
        <w:rPr>
          <w:i/>
          <w:iCs/>
          <w:kern w:val="0"/>
        </w:rPr>
        <w:t>Annals</w:t>
      </w:r>
      <w:r w:rsidR="00427468">
        <w:rPr>
          <w:i/>
          <w:iCs/>
          <w:kern w:val="0"/>
        </w:rPr>
        <w:t xml:space="preserve"> of </w:t>
      </w:r>
      <w:r>
        <w:rPr>
          <w:i/>
          <w:iCs/>
          <w:kern w:val="0"/>
        </w:rPr>
        <w:t>Oncology</w:t>
      </w:r>
      <w:r>
        <w:rPr>
          <w:kern w:val="0"/>
        </w:rPr>
        <w:t xml:space="preserve">, </w:t>
      </w:r>
      <w:r>
        <w:rPr>
          <w:b/>
          <w:bCs/>
          <w:kern w:val="0"/>
        </w:rPr>
        <w:t>22</w:t>
      </w:r>
      <w:r>
        <w:rPr>
          <w:kern w:val="0"/>
        </w:rPr>
        <w:t xml:space="preserve"> (4), 754-760.</w:t>
      </w:r>
    </w:p>
    <w:p w:rsidR="00C763C3" w:rsidRPr="00F219CA" w:rsidRDefault="00C763C3" w:rsidP="00C763C3">
      <w:pPr>
        <w:pStyle w:val="a3"/>
      </w:pPr>
      <w:r w:rsidRPr="00F219CA">
        <w:rPr>
          <w:szCs w:val="10"/>
        </w:rPr>
        <w:t xml:space="preserve">Full Text: </w:t>
      </w:r>
      <w:hyperlink r:id="rId921" w:history="1">
        <w:r w:rsidRPr="00C763C3">
          <w:rPr>
            <w:rStyle w:val="a5"/>
            <w:szCs w:val="10"/>
          </w:rPr>
          <w:t>2011\Ann Onc22, 754.pdf</w:t>
        </w:r>
      </w:hyperlink>
    </w:p>
    <w:p w:rsidR="008C1C37" w:rsidRDefault="008C1C37" w:rsidP="008C1C37">
      <w:pPr>
        <w:pStyle w:val="a3"/>
        <w:rPr>
          <w:kern w:val="0"/>
        </w:rPr>
      </w:pPr>
      <w:r>
        <w:rPr>
          <w:kern w:val="0"/>
        </w:rPr>
        <w:t>Abstract: Background: Several studies have reported an association between gastric atrophy</w:t>
      </w:r>
      <w:r w:rsidR="005853A9">
        <w:rPr>
          <w:kern w:val="0"/>
        </w:rPr>
        <w:t xml:space="preserve"> and </w:t>
      </w:r>
      <w:r>
        <w:rPr>
          <w:kern w:val="0"/>
        </w:rPr>
        <w:t>upper gastrointestinal cancers. Our aim was to summarise</w:t>
      </w:r>
      <w:r w:rsidR="003A1917">
        <w:rPr>
          <w:kern w:val="0"/>
        </w:rPr>
        <w:t xml:space="preserve"> the </w:t>
      </w:r>
      <w:r>
        <w:rPr>
          <w:kern w:val="0"/>
        </w:rPr>
        <w:t>available information</w:t>
      </w:r>
      <w:r w:rsidR="005853A9">
        <w:rPr>
          <w:kern w:val="0"/>
        </w:rPr>
        <w:t xml:space="preserve"> and </w:t>
      </w:r>
      <w:r>
        <w:rPr>
          <w:kern w:val="0"/>
        </w:rPr>
        <w:t>calculate</w:t>
      </w:r>
      <w:r w:rsidR="003A1917">
        <w:rPr>
          <w:kern w:val="0"/>
        </w:rPr>
        <w:t xml:space="preserve"> the </w:t>
      </w:r>
      <w:r>
        <w:rPr>
          <w:kern w:val="0"/>
        </w:rPr>
        <w:t>relative risks (RRs) associated with gastric atrophy for gastric cardia adenocarcinoma (GCA), oesophageal squamous cell carcinoma (OSCC),</w:t>
      </w:r>
      <w:r w:rsidR="005853A9">
        <w:rPr>
          <w:kern w:val="0"/>
        </w:rPr>
        <w:t xml:space="preserve"> and </w:t>
      </w:r>
      <w:r>
        <w:rPr>
          <w:kern w:val="0"/>
        </w:rPr>
        <w:t>oesophageal adenocarcinoma (OAC) by conducting a systematic review</w:t>
      </w:r>
      <w:r w:rsidR="005853A9">
        <w:rPr>
          <w:kern w:val="0"/>
        </w:rPr>
        <w:t xml:space="preserve"> and </w:t>
      </w:r>
      <w:r>
        <w:rPr>
          <w:kern w:val="0"/>
        </w:rPr>
        <w:t>meta-analysis. Methods: We searched</w:t>
      </w:r>
      <w:r w:rsidR="003A1917">
        <w:rPr>
          <w:kern w:val="0"/>
        </w:rPr>
        <w:t xml:space="preserve"> the </w:t>
      </w:r>
      <w:r w:rsidR="002C12F0">
        <w:rPr>
          <w:kern w:val="0"/>
        </w:rPr>
        <w:t>PUBMED</w:t>
      </w:r>
      <w:r w:rsidR="005853A9">
        <w:rPr>
          <w:kern w:val="0"/>
        </w:rPr>
        <w:t xml:space="preserve"> and </w:t>
      </w:r>
      <w:r>
        <w:rPr>
          <w:kern w:val="0"/>
        </w:rPr>
        <w:t>ISI-</w:t>
      </w:r>
      <w:r w:rsidR="00D5664A">
        <w:rPr>
          <w:kern w:val="0"/>
        </w:rPr>
        <w:t>Web</w:t>
      </w:r>
      <w:r w:rsidR="00427468">
        <w:rPr>
          <w:kern w:val="0"/>
        </w:rPr>
        <w:t xml:space="preserve"> of </w:t>
      </w:r>
      <w:r w:rsidR="00D5664A">
        <w:rPr>
          <w:kern w:val="0"/>
        </w:rPr>
        <w:t>Science</w:t>
      </w:r>
      <w:r>
        <w:rPr>
          <w:kern w:val="0"/>
        </w:rPr>
        <w:t xml:space="preserve"> databases, as well as</w:t>
      </w:r>
      <w:r w:rsidR="003A1917">
        <w:rPr>
          <w:kern w:val="0"/>
        </w:rPr>
        <w:t xml:space="preserve"> the </w:t>
      </w:r>
      <w:r>
        <w:rPr>
          <w:kern w:val="0"/>
        </w:rPr>
        <w:t>reference lists</w:t>
      </w:r>
      <w:r w:rsidR="00427468">
        <w:rPr>
          <w:kern w:val="0"/>
        </w:rPr>
        <w:t xml:space="preserve"> of </w:t>
      </w:r>
      <w:r w:rsidR="003A1917">
        <w:rPr>
          <w:kern w:val="0"/>
        </w:rPr>
        <w:t xml:space="preserve">the </w:t>
      </w:r>
      <w:r>
        <w:rPr>
          <w:kern w:val="0"/>
        </w:rPr>
        <w:t>relevant articles. Summary RRs</w:t>
      </w:r>
      <w:r w:rsidR="005853A9">
        <w:rPr>
          <w:kern w:val="0"/>
        </w:rPr>
        <w:t xml:space="preserve"> and </w:t>
      </w:r>
      <w:r>
        <w:rPr>
          <w:kern w:val="0"/>
        </w:rPr>
        <w:t>95% confidence intervals (95% CI) were calculated using random-effects models for</w:t>
      </w:r>
      <w:r w:rsidR="003A1917">
        <w:rPr>
          <w:kern w:val="0"/>
        </w:rPr>
        <w:t xml:space="preserve"> the </w:t>
      </w:r>
      <w:r>
        <w:rPr>
          <w:kern w:val="0"/>
        </w:rPr>
        <w:t>association between gastric atrophy, defined histologically or by serum pepsinogen markers,</w:t>
      </w:r>
      <w:r w:rsidR="005853A9">
        <w:rPr>
          <w:kern w:val="0"/>
        </w:rPr>
        <w:t xml:space="preserve"> and </w:t>
      </w:r>
      <w:r>
        <w:rPr>
          <w:kern w:val="0"/>
        </w:rPr>
        <w:t>OSCC, OAC,</w:t>
      </w:r>
      <w:r w:rsidR="005853A9">
        <w:rPr>
          <w:kern w:val="0"/>
        </w:rPr>
        <w:t xml:space="preserve"> and </w:t>
      </w:r>
      <w:r>
        <w:rPr>
          <w:kern w:val="0"/>
        </w:rPr>
        <w:t>GCA. Results: Eighteen articles were included in</w:t>
      </w:r>
      <w:r w:rsidR="003A1917">
        <w:rPr>
          <w:kern w:val="0"/>
        </w:rPr>
        <w:t xml:space="preserve"> the </w:t>
      </w:r>
      <w:r>
        <w:rPr>
          <w:kern w:val="0"/>
        </w:rPr>
        <w:t>meta-analysis; 13, 7,</w:t>
      </w:r>
      <w:r w:rsidR="005853A9">
        <w:rPr>
          <w:kern w:val="0"/>
        </w:rPr>
        <w:t xml:space="preserve"> and </w:t>
      </w:r>
      <w:r>
        <w:rPr>
          <w:kern w:val="0"/>
        </w:rPr>
        <w:t>3 studies reported on GCA, OSCC,</w:t>
      </w:r>
      <w:r w:rsidR="005853A9">
        <w:rPr>
          <w:kern w:val="0"/>
        </w:rPr>
        <w:t xml:space="preserve"> and </w:t>
      </w:r>
      <w:r>
        <w:rPr>
          <w:kern w:val="0"/>
        </w:rPr>
        <w:t>OAC, respectively</w:t>
      </w:r>
      <w:r w:rsidR="00A37C1D">
        <w:rPr>
          <w:kern w:val="0"/>
        </w:rPr>
        <w:t>. The</w:t>
      </w:r>
      <w:r w:rsidR="003A1917">
        <w:rPr>
          <w:kern w:val="0"/>
        </w:rPr>
        <w:t xml:space="preserve"> </w:t>
      </w:r>
      <w:r>
        <w:rPr>
          <w:kern w:val="0"/>
        </w:rPr>
        <w:t>overall RRs (95% CI) for</w:t>
      </w:r>
      <w:r w:rsidR="003A1917">
        <w:rPr>
          <w:kern w:val="0"/>
        </w:rPr>
        <w:t xml:space="preserve"> the </w:t>
      </w:r>
      <w:r>
        <w:rPr>
          <w:kern w:val="0"/>
        </w:rPr>
        <w:t>three cancer types were: GCA, 2.89 (2.09-3.98); OSCC, 1.94 (1.48-2.55); OAC, 0.51 (0.19-1.37). Several subgroup analyses showed</w:t>
      </w:r>
      <w:r w:rsidR="003A1917">
        <w:rPr>
          <w:kern w:val="0"/>
        </w:rPr>
        <w:t xml:space="preserve"> the </w:t>
      </w:r>
      <w:r>
        <w:rPr>
          <w:kern w:val="0"/>
        </w:rPr>
        <w:t>robustness</w:t>
      </w:r>
      <w:r w:rsidR="00427468">
        <w:rPr>
          <w:kern w:val="0"/>
        </w:rPr>
        <w:t xml:space="preserve"> of </w:t>
      </w:r>
      <w:r w:rsidR="003A1917">
        <w:rPr>
          <w:kern w:val="0"/>
        </w:rPr>
        <w:t xml:space="preserve">the </w:t>
      </w:r>
      <w:r>
        <w:rPr>
          <w:kern w:val="0"/>
        </w:rPr>
        <w:t>results. In</w:t>
      </w:r>
      <w:r w:rsidR="003A1917">
        <w:rPr>
          <w:kern w:val="0"/>
        </w:rPr>
        <w:t xml:space="preserve"> the </w:t>
      </w:r>
      <w:r>
        <w:rPr>
          <w:kern w:val="0"/>
        </w:rPr>
        <w:t>majority</w:t>
      </w:r>
      <w:r w:rsidR="00427468">
        <w:rPr>
          <w:kern w:val="0"/>
        </w:rPr>
        <w:t xml:space="preserve"> of </w:t>
      </w:r>
      <w:r w:rsidR="003A1917">
        <w:rPr>
          <w:kern w:val="0"/>
        </w:rPr>
        <w:t xml:space="preserve">the </w:t>
      </w:r>
      <w:r>
        <w:rPr>
          <w:kern w:val="0"/>
        </w:rPr>
        <w:t>analyses, there was low to moderate heterogeneity. Conclusions: This study found two-to threefold increased risk</w:t>
      </w:r>
      <w:r w:rsidR="00427468">
        <w:rPr>
          <w:kern w:val="0"/>
        </w:rPr>
        <w:t xml:space="preserve"> of </w:t>
      </w:r>
      <w:r>
        <w:rPr>
          <w:kern w:val="0"/>
        </w:rPr>
        <w:t>OSCC</w:t>
      </w:r>
      <w:r w:rsidR="005853A9">
        <w:rPr>
          <w:kern w:val="0"/>
        </w:rPr>
        <w:t xml:space="preserve"> and </w:t>
      </w:r>
      <w:r>
        <w:rPr>
          <w:kern w:val="0"/>
        </w:rPr>
        <w:t>GCA but a possible reduced risk</w:t>
      </w:r>
      <w:r w:rsidR="00427468">
        <w:rPr>
          <w:kern w:val="0"/>
        </w:rPr>
        <w:t xml:space="preserve"> of </w:t>
      </w:r>
      <w:r>
        <w:rPr>
          <w:kern w:val="0"/>
        </w:rPr>
        <w:t>OAC in people with gastric atrophy. Further studies are needed to establish</w:t>
      </w:r>
      <w:r w:rsidR="003A1917">
        <w:rPr>
          <w:kern w:val="0"/>
        </w:rPr>
        <w:t xml:space="preserve"> the </w:t>
      </w:r>
      <w:r>
        <w:rPr>
          <w:kern w:val="0"/>
        </w:rPr>
        <w:t>association with OAC</w:t>
      </w:r>
      <w:r w:rsidR="005853A9">
        <w:rPr>
          <w:kern w:val="0"/>
        </w:rPr>
        <w:t xml:space="preserve"> and </w:t>
      </w:r>
      <w:r>
        <w:rPr>
          <w:kern w:val="0"/>
        </w:rPr>
        <w:t>ca</w:t>
      </w:r>
      <w:r w:rsidR="00D5664A">
        <w:rPr>
          <w:kern w:val="0"/>
        </w:rPr>
        <w:t>USA</w:t>
      </w:r>
      <w:r>
        <w:rPr>
          <w:kern w:val="0"/>
        </w:rPr>
        <w:t>l association with OSCC,</w:t>
      </w:r>
      <w:r w:rsidR="005853A9">
        <w:rPr>
          <w:kern w:val="0"/>
        </w:rPr>
        <w:t xml:space="preserve"> and </w:t>
      </w:r>
      <w:r>
        <w:rPr>
          <w:kern w:val="0"/>
        </w:rPr>
        <w:t>mechanisms</w:t>
      </w:r>
      <w:r w:rsidR="00427468">
        <w:rPr>
          <w:kern w:val="0"/>
        </w:rPr>
        <w:t xml:space="preserve"> of </w:t>
      </w:r>
      <w:r w:rsidR="003A1917">
        <w:rPr>
          <w:kern w:val="0"/>
        </w:rPr>
        <w:t xml:space="preserve">the </w:t>
      </w:r>
      <w:r>
        <w:rPr>
          <w:kern w:val="0"/>
        </w:rPr>
        <w:lastRenderedPageBreak/>
        <w:t>increased risk need to be investigated for GCA.</w:t>
      </w:r>
    </w:p>
    <w:p w:rsidR="008C1C37" w:rsidRDefault="008C1C37" w:rsidP="008C1C37">
      <w:pPr>
        <w:pStyle w:val="a3"/>
        <w:rPr>
          <w:kern w:val="0"/>
        </w:rPr>
      </w:pPr>
      <w:r>
        <w:rPr>
          <w:kern w:val="0"/>
        </w:rPr>
        <w:t xml:space="preserve">Keywords: 2 Distinct Etiologies, 5 Continents, Antibodies, Cancer, Carcinoma, Cardia Adenocarcinoma, Cohort, Confidence Intervals, Databases, Gastric Atrophy, Gastric Cancer, Gastrointestinal, General-Population, Helicobacter-Pylori Infection, Information, Meta-Analysis, Methods, Oesophageal Cancer, Pepsinogen, Predictor, </w:t>
      </w:r>
      <w:r w:rsidR="002C12F0">
        <w:rPr>
          <w:kern w:val="0"/>
        </w:rPr>
        <w:t>PUBMED</w:t>
      </w:r>
      <w:r>
        <w:rPr>
          <w:kern w:val="0"/>
        </w:rPr>
        <w:t>, Review, Risk, Robustness, Science, Serum Pepsinogen-I, Squamous-Cell Carcinoma, Stomach-Cancer, Systematic, Systematic Review</w:t>
      </w:r>
    </w:p>
    <w:p w:rsidR="00C763C3" w:rsidRDefault="00C763C3" w:rsidP="00C763C3">
      <w:pPr>
        <w:pStyle w:val="a3"/>
        <w:rPr>
          <w:kern w:val="0"/>
        </w:rPr>
      </w:pPr>
      <w:r>
        <w:rPr>
          <w:rFonts w:hint="eastAsia"/>
          <w:kern w:val="0"/>
        </w:rPr>
        <w:t xml:space="preserve">? </w:t>
      </w:r>
      <w:r>
        <w:rPr>
          <w:kern w:val="0"/>
        </w:rPr>
        <w:t>Balagula, Y., Wu, S., Su, X.</w:t>
      </w:r>
      <w:r w:rsidR="005853A9">
        <w:rPr>
          <w:kern w:val="0"/>
        </w:rPr>
        <w:t xml:space="preserve"> and </w:t>
      </w:r>
      <w:r>
        <w:rPr>
          <w:kern w:val="0"/>
        </w:rPr>
        <w:t>Lacouture, M.E. (2011</w:t>
      </w:r>
      <w:r w:rsidR="00F42EAC">
        <w:rPr>
          <w:kern w:val="0"/>
        </w:rPr>
        <w:t>), The</w:t>
      </w:r>
      <w:r w:rsidR="003A1917">
        <w:rPr>
          <w:kern w:val="0"/>
        </w:rPr>
        <w:t xml:space="preserve"> </w:t>
      </w:r>
      <w:r>
        <w:rPr>
          <w:kern w:val="0"/>
        </w:rPr>
        <w:t>effect</w:t>
      </w:r>
      <w:r w:rsidR="00427468">
        <w:rPr>
          <w:kern w:val="0"/>
        </w:rPr>
        <w:t xml:space="preserve"> of </w:t>
      </w:r>
      <w:r>
        <w:rPr>
          <w:kern w:val="0"/>
        </w:rPr>
        <w:t>cytotoxic chemotherapy on</w:t>
      </w:r>
      <w:r w:rsidR="003A1917">
        <w:rPr>
          <w:kern w:val="0"/>
        </w:rPr>
        <w:t xml:space="preserve"> the </w:t>
      </w:r>
      <w:r>
        <w:rPr>
          <w:kern w:val="0"/>
        </w:rPr>
        <w:t>risk</w:t>
      </w:r>
      <w:r w:rsidR="00427468">
        <w:rPr>
          <w:kern w:val="0"/>
        </w:rPr>
        <w:t xml:space="preserve"> of </w:t>
      </w:r>
      <w:r>
        <w:rPr>
          <w:kern w:val="0"/>
        </w:rPr>
        <w:t xml:space="preserve">high-grade acneiform rash to cetuximab in cancer patients: A meta-analysis. </w:t>
      </w:r>
      <w:r>
        <w:rPr>
          <w:i/>
          <w:iCs/>
          <w:kern w:val="0"/>
        </w:rPr>
        <w:t>Annals</w:t>
      </w:r>
      <w:r w:rsidR="00427468">
        <w:rPr>
          <w:i/>
          <w:iCs/>
          <w:kern w:val="0"/>
        </w:rPr>
        <w:t xml:space="preserve"> of </w:t>
      </w:r>
      <w:r>
        <w:rPr>
          <w:i/>
          <w:iCs/>
          <w:kern w:val="0"/>
        </w:rPr>
        <w:t>Oncology</w:t>
      </w:r>
      <w:r>
        <w:rPr>
          <w:kern w:val="0"/>
        </w:rPr>
        <w:t xml:space="preserve">, </w:t>
      </w:r>
      <w:r>
        <w:rPr>
          <w:b/>
          <w:bCs/>
          <w:kern w:val="0"/>
        </w:rPr>
        <w:t>22</w:t>
      </w:r>
      <w:r>
        <w:rPr>
          <w:kern w:val="0"/>
        </w:rPr>
        <w:t xml:space="preserve"> (11), 2366-2374.</w:t>
      </w:r>
    </w:p>
    <w:p w:rsidR="00C763C3" w:rsidRPr="00F219CA" w:rsidRDefault="00C763C3" w:rsidP="00C763C3">
      <w:pPr>
        <w:pStyle w:val="a3"/>
      </w:pPr>
      <w:r w:rsidRPr="00F219CA">
        <w:rPr>
          <w:szCs w:val="10"/>
        </w:rPr>
        <w:t xml:space="preserve">Full Text: </w:t>
      </w:r>
      <w:hyperlink r:id="rId922" w:history="1">
        <w:r w:rsidRPr="001E41CE">
          <w:rPr>
            <w:rStyle w:val="a5"/>
            <w:szCs w:val="10"/>
          </w:rPr>
          <w:t>2011\Ann Onc22, 2366.pdf</w:t>
        </w:r>
      </w:hyperlink>
    </w:p>
    <w:p w:rsidR="00C763C3" w:rsidRDefault="00C763C3" w:rsidP="00C763C3">
      <w:pPr>
        <w:pStyle w:val="a3"/>
        <w:rPr>
          <w:kern w:val="0"/>
        </w:rPr>
      </w:pPr>
      <w:r>
        <w:rPr>
          <w:kern w:val="0"/>
        </w:rPr>
        <w:t>Abstract: Background:</w:t>
      </w:r>
      <w:r w:rsidR="003A1917">
        <w:rPr>
          <w:kern w:val="0"/>
        </w:rPr>
        <w:t xml:space="preserve"> the </w:t>
      </w:r>
      <w:r>
        <w:rPr>
          <w:kern w:val="0"/>
        </w:rPr>
        <w:t>effect</w:t>
      </w:r>
      <w:r w:rsidR="00427468">
        <w:rPr>
          <w:kern w:val="0"/>
        </w:rPr>
        <w:t xml:space="preserve"> of </w:t>
      </w:r>
      <w:r>
        <w:rPr>
          <w:kern w:val="0"/>
        </w:rPr>
        <w:t>chemotherapy on</w:t>
      </w:r>
      <w:r w:rsidR="003A1917">
        <w:rPr>
          <w:kern w:val="0"/>
        </w:rPr>
        <w:t xml:space="preserve"> the </w:t>
      </w:r>
      <w:r>
        <w:rPr>
          <w:kern w:val="0"/>
        </w:rPr>
        <w:t>risk</w:t>
      </w:r>
      <w:r w:rsidR="00427468">
        <w:rPr>
          <w:kern w:val="0"/>
        </w:rPr>
        <w:t xml:space="preserve"> of </w:t>
      </w:r>
      <w:r>
        <w:rPr>
          <w:kern w:val="0"/>
        </w:rPr>
        <w:t>cetuximab-induced acneiform rash is unknown. We carried out a systematic review</w:t>
      </w:r>
      <w:r w:rsidR="005853A9">
        <w:rPr>
          <w:kern w:val="0"/>
        </w:rPr>
        <w:t xml:space="preserve"> and </w:t>
      </w:r>
      <w:r>
        <w:rPr>
          <w:kern w:val="0"/>
        </w:rPr>
        <w:t>meta-analysis</w:t>
      </w:r>
      <w:r w:rsidR="00427468">
        <w:rPr>
          <w:kern w:val="0"/>
        </w:rPr>
        <w:t xml:space="preserve"> of </w:t>
      </w:r>
      <w:r>
        <w:rPr>
          <w:kern w:val="0"/>
        </w:rPr>
        <w:t>published studies to quantify</w:t>
      </w:r>
      <w:r w:rsidR="003A1917">
        <w:rPr>
          <w:kern w:val="0"/>
        </w:rPr>
        <w:t xml:space="preserve"> the </w:t>
      </w:r>
      <w:r>
        <w:rPr>
          <w:kern w:val="0"/>
        </w:rPr>
        <w:t>incidence</w:t>
      </w:r>
      <w:r w:rsidR="005853A9">
        <w:rPr>
          <w:kern w:val="0"/>
        </w:rPr>
        <w:t xml:space="preserve"> and </w:t>
      </w:r>
      <w:r>
        <w:rPr>
          <w:kern w:val="0"/>
        </w:rPr>
        <w:t>risk</w:t>
      </w:r>
      <w:r w:rsidR="00427468">
        <w:rPr>
          <w:kern w:val="0"/>
        </w:rPr>
        <w:t xml:space="preserve"> of </w:t>
      </w:r>
      <w:r>
        <w:rPr>
          <w:kern w:val="0"/>
        </w:rPr>
        <w:t>high-grade acneiform rash with combination therapy. Methods: Relevant studies were identified from PubMed database, abstracts presented at</w:t>
      </w:r>
      <w:r w:rsidR="003A1917">
        <w:rPr>
          <w:kern w:val="0"/>
        </w:rPr>
        <w:t xml:space="preserve"> the </w:t>
      </w:r>
      <w:r>
        <w:rPr>
          <w:kern w:val="0"/>
        </w:rPr>
        <w:t>American Society</w:t>
      </w:r>
      <w:r w:rsidR="00427468">
        <w:rPr>
          <w:kern w:val="0"/>
        </w:rPr>
        <w:t xml:space="preserve"> of </w:t>
      </w:r>
      <w:r>
        <w:rPr>
          <w:kern w:val="0"/>
        </w:rPr>
        <w:t>Clinical Oncology conferences,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Incidence</w:t>
      </w:r>
      <w:r w:rsidR="00427468">
        <w:rPr>
          <w:kern w:val="0"/>
        </w:rPr>
        <w:t xml:space="preserve"> of </w:t>
      </w:r>
      <w:r>
        <w:rPr>
          <w:kern w:val="0"/>
        </w:rPr>
        <w:t>acneiform rash to cetuximab monotherapy was estimated based on updated data from our previously published meta-analysis. Incidence, relative risk (RR),</w:t>
      </w:r>
      <w:r w:rsidR="005853A9">
        <w:rPr>
          <w:kern w:val="0"/>
        </w:rPr>
        <w:t xml:space="preserve"> and </w:t>
      </w:r>
      <w:r>
        <w:rPr>
          <w:kern w:val="0"/>
        </w:rPr>
        <w:t>95% confidence intervals (CIs) were calculated based on</w:t>
      </w:r>
      <w:r w:rsidR="003A1917">
        <w:rPr>
          <w:kern w:val="0"/>
        </w:rPr>
        <w:t xml:space="preserve"> the </w:t>
      </w:r>
      <w:r>
        <w:rPr>
          <w:kern w:val="0"/>
        </w:rPr>
        <w:t>heterogeneity</w:t>
      </w:r>
      <w:r w:rsidR="00427468">
        <w:rPr>
          <w:kern w:val="0"/>
        </w:rPr>
        <w:t xml:space="preserve"> of </w:t>
      </w:r>
      <w:r>
        <w:rPr>
          <w:kern w:val="0"/>
        </w:rPr>
        <w:t>included studies. Results: A total</w:t>
      </w:r>
      <w:r w:rsidR="00427468">
        <w:rPr>
          <w:kern w:val="0"/>
        </w:rPr>
        <w:t xml:space="preserve"> of </w:t>
      </w:r>
      <w:r>
        <w:rPr>
          <w:kern w:val="0"/>
        </w:rPr>
        <w:t>5333 patients from nine trials were included in</w:t>
      </w:r>
      <w:r w:rsidR="003A1917">
        <w:rPr>
          <w:kern w:val="0"/>
        </w:rPr>
        <w:t xml:space="preserve"> the </w:t>
      </w:r>
      <w:r>
        <w:rPr>
          <w:kern w:val="0"/>
        </w:rPr>
        <w:t>analysis</w:t>
      </w:r>
      <w:r w:rsidR="00A37C1D">
        <w:rPr>
          <w:kern w:val="0"/>
        </w:rPr>
        <w:t>. The</w:t>
      </w:r>
      <w:r w:rsidR="003A1917">
        <w:rPr>
          <w:kern w:val="0"/>
        </w:rPr>
        <w:t xml:space="preserve"> </w:t>
      </w:r>
      <w:r>
        <w:rPr>
          <w:kern w:val="0"/>
        </w:rPr>
        <w:t>incidence</w:t>
      </w:r>
      <w:r w:rsidR="00427468">
        <w:rPr>
          <w:kern w:val="0"/>
        </w:rPr>
        <w:t xml:space="preserve"> of </w:t>
      </w:r>
      <w:r>
        <w:rPr>
          <w:kern w:val="0"/>
        </w:rPr>
        <w:t>high-grade acneiform rash was significantly increased in patients receiving combination treatment (12.8%, 95% CI 9.1% to 17.7%) as compared with cetuximab monotherapy (6.3%, 95% CI 3.7% to 10.5%), with a risk ratio</w:t>
      </w:r>
      <w:r w:rsidR="00427468">
        <w:rPr>
          <w:kern w:val="0"/>
        </w:rPr>
        <w:t xml:space="preserve"> of </w:t>
      </w:r>
      <w:r>
        <w:rPr>
          <w:kern w:val="0"/>
        </w:rPr>
        <w:t>2.03 (95% CI 1.52-2.71, P &lt; 0.01). Cetuximab significantly increased</w:t>
      </w:r>
      <w:r w:rsidR="003A1917">
        <w:rPr>
          <w:kern w:val="0"/>
        </w:rPr>
        <w:t xml:space="preserve"> the </w:t>
      </w:r>
      <w:r>
        <w:rPr>
          <w:kern w:val="0"/>
        </w:rPr>
        <w:t>risk</w:t>
      </w:r>
      <w:r w:rsidR="00427468">
        <w:rPr>
          <w:kern w:val="0"/>
        </w:rPr>
        <w:t xml:space="preserve"> of </w:t>
      </w:r>
      <w:r>
        <w:rPr>
          <w:kern w:val="0"/>
        </w:rPr>
        <w:t>high-grade rash in patients receiving combination therapy (RR = 37.7, 95% CI 17.8-80.0, P &lt; 0.001). Conclusions: Addition</w:t>
      </w:r>
      <w:r w:rsidR="00427468">
        <w:rPr>
          <w:kern w:val="0"/>
        </w:rPr>
        <w:t xml:space="preserve"> of </w:t>
      </w:r>
      <w:r>
        <w:rPr>
          <w:kern w:val="0"/>
        </w:rPr>
        <w:t>cytotoxic chemotherapy to cetuximab significantly increases</w:t>
      </w:r>
      <w:r w:rsidR="003A1917">
        <w:rPr>
          <w:kern w:val="0"/>
        </w:rPr>
        <w:t xml:space="preserve"> the </w:t>
      </w:r>
      <w:r>
        <w:rPr>
          <w:kern w:val="0"/>
        </w:rPr>
        <w:t>risk</w:t>
      </w:r>
      <w:r w:rsidR="00427468">
        <w:rPr>
          <w:kern w:val="0"/>
        </w:rPr>
        <w:t xml:space="preserve"> of </w:t>
      </w:r>
      <w:r>
        <w:rPr>
          <w:kern w:val="0"/>
        </w:rPr>
        <w:t>high-grade acneiform rash compared with cetuximab monotherapy. This emphasizes</w:t>
      </w:r>
      <w:r w:rsidR="003A1917">
        <w:rPr>
          <w:kern w:val="0"/>
        </w:rPr>
        <w:t xml:space="preserve"> the </w:t>
      </w:r>
      <w:r>
        <w:rPr>
          <w:kern w:val="0"/>
        </w:rPr>
        <w:t>need for effective management strategies.</w:t>
      </w:r>
    </w:p>
    <w:p w:rsidR="00C763C3" w:rsidRDefault="00C763C3" w:rsidP="00C763C3">
      <w:pPr>
        <w:pStyle w:val="a3"/>
        <w:rPr>
          <w:kern w:val="0"/>
        </w:rPr>
      </w:pPr>
      <w:r>
        <w:rPr>
          <w:kern w:val="0"/>
        </w:rPr>
        <w:t xml:space="preserve">Keywords: 1st-Line Treatment, Acneiform Rash, Analysis, Cancer, Cell Lung-Cancer, Cetuximab, Chemotherapy, Combination Therapy, Confidence Intervals, Cutaneous Toxicities, Cytotoxic Chemotherapy, Growth-Factor Receptor, Incidence, Management, Meta Analysis, Meta-Analysis, Metastatic Colorectal-Cancer, Methods, Monoclonal-Antibody, Monotherapy, Oncology, Open-Label, Papulopustular Rash, Patients, Phase-II Trial, Plus Irinotecan, Pubmed, Ratio, Relative Risk, Review, Risk, Science, Skin Rash, Systematic, Systematic Review, Therapy, Treatment, </w:t>
      </w:r>
      <w:r w:rsidR="00D5664A">
        <w:rPr>
          <w:kern w:val="0"/>
        </w:rPr>
        <w:t>Web</w:t>
      </w:r>
      <w:r w:rsidR="00427468">
        <w:rPr>
          <w:kern w:val="0"/>
        </w:rPr>
        <w:t xml:space="preserve"> of </w:t>
      </w:r>
      <w:r w:rsidR="00D5664A">
        <w:rPr>
          <w:kern w:val="0"/>
        </w:rPr>
        <w:t>Science</w:t>
      </w:r>
    </w:p>
    <w:p w:rsidR="00C37AD8" w:rsidRDefault="00C37AD8" w:rsidP="00C37AD8">
      <w:pPr>
        <w:pStyle w:val="a3"/>
        <w:rPr>
          <w:kern w:val="0"/>
        </w:rPr>
      </w:pPr>
      <w:r>
        <w:rPr>
          <w:rFonts w:hint="eastAsia"/>
          <w:kern w:val="0"/>
        </w:rPr>
        <w:t xml:space="preserve">? </w:t>
      </w:r>
      <w:r>
        <w:rPr>
          <w:kern w:val="0"/>
        </w:rPr>
        <w:t>Purushotham, A., Bains, S., Lewison, G., Szmukler, G.</w:t>
      </w:r>
      <w:r w:rsidR="005853A9">
        <w:rPr>
          <w:kern w:val="0"/>
        </w:rPr>
        <w:t xml:space="preserve"> and </w:t>
      </w:r>
      <w:r>
        <w:rPr>
          <w:kern w:val="0"/>
        </w:rPr>
        <w:t>Sullivan, R. (2013), Cancer</w:t>
      </w:r>
      <w:r w:rsidR="005853A9">
        <w:rPr>
          <w:kern w:val="0"/>
        </w:rPr>
        <w:t xml:space="preserve"> and </w:t>
      </w:r>
      <w:r>
        <w:rPr>
          <w:kern w:val="0"/>
        </w:rPr>
        <w:t>mental health</w:t>
      </w:r>
      <w:r>
        <w:rPr>
          <w:rFonts w:hint="eastAsia"/>
          <w:kern w:val="0"/>
        </w:rPr>
        <w:t xml:space="preserve">: </w:t>
      </w:r>
      <w:r>
        <w:rPr>
          <w:kern w:val="0"/>
        </w:rPr>
        <w:t>A clinical</w:t>
      </w:r>
      <w:r w:rsidR="005853A9">
        <w:rPr>
          <w:kern w:val="0"/>
        </w:rPr>
        <w:t xml:space="preserve"> and </w:t>
      </w:r>
      <w:r>
        <w:rPr>
          <w:kern w:val="0"/>
        </w:rPr>
        <w:t xml:space="preserve">research unmet need. </w:t>
      </w:r>
      <w:r>
        <w:rPr>
          <w:i/>
          <w:iCs/>
          <w:kern w:val="0"/>
        </w:rPr>
        <w:t>Annals</w:t>
      </w:r>
      <w:r w:rsidR="00427468">
        <w:rPr>
          <w:i/>
          <w:iCs/>
          <w:kern w:val="0"/>
        </w:rPr>
        <w:t xml:space="preserve"> of </w:t>
      </w:r>
      <w:r>
        <w:rPr>
          <w:i/>
          <w:iCs/>
          <w:kern w:val="0"/>
        </w:rPr>
        <w:t>Oncology</w:t>
      </w:r>
      <w:r>
        <w:rPr>
          <w:kern w:val="0"/>
        </w:rPr>
        <w:t xml:space="preserve">, </w:t>
      </w:r>
      <w:r>
        <w:rPr>
          <w:b/>
          <w:bCs/>
          <w:kern w:val="0"/>
        </w:rPr>
        <w:lastRenderedPageBreak/>
        <w:t>24</w:t>
      </w:r>
      <w:r>
        <w:rPr>
          <w:kern w:val="0"/>
        </w:rPr>
        <w:t xml:space="preserve"> (9), 2274-2278.</w:t>
      </w:r>
    </w:p>
    <w:p w:rsidR="00C37AD8" w:rsidRPr="00F219CA" w:rsidRDefault="00C37AD8" w:rsidP="00C37AD8">
      <w:pPr>
        <w:pStyle w:val="a3"/>
      </w:pPr>
      <w:r w:rsidRPr="00F219CA">
        <w:rPr>
          <w:szCs w:val="10"/>
        </w:rPr>
        <w:t xml:space="preserve">Full Text: </w:t>
      </w:r>
      <w:hyperlink r:id="rId923" w:history="1">
        <w:r w:rsidRPr="00D673A2">
          <w:rPr>
            <w:rStyle w:val="a5"/>
            <w:szCs w:val="10"/>
          </w:rPr>
          <w:t>2013\Ann Onc24, 2274.pdf</w:t>
        </w:r>
      </w:hyperlink>
    </w:p>
    <w:p w:rsidR="00C37AD8" w:rsidRDefault="00C37AD8" w:rsidP="00C37AD8">
      <w:pPr>
        <w:pStyle w:val="a3"/>
        <w:rPr>
          <w:kern w:val="0"/>
        </w:rPr>
      </w:pPr>
      <w:r>
        <w:rPr>
          <w:kern w:val="0"/>
        </w:rPr>
        <w:t>Abstract: Poor mental health is the largest single source</w:t>
      </w:r>
      <w:r w:rsidR="00427468">
        <w:rPr>
          <w:kern w:val="0"/>
        </w:rPr>
        <w:t xml:space="preserve"> of </w:t>
      </w:r>
      <w:r>
        <w:rPr>
          <w:kern w:val="0"/>
        </w:rPr>
        <w:t>disability in the UK,</w:t>
      </w:r>
      <w:r w:rsidR="005853A9">
        <w:rPr>
          <w:kern w:val="0"/>
        </w:rPr>
        <w:t xml:space="preserve"> and </w:t>
      </w:r>
      <w:r>
        <w:rPr>
          <w:kern w:val="0"/>
        </w:rPr>
        <w:t>co-morbid health problems, particularly with cancer, raise total health care costs significantly. This study examined what research is being conducted into the intersection between cancer</w:t>
      </w:r>
      <w:r w:rsidR="005853A9">
        <w:rPr>
          <w:kern w:val="0"/>
        </w:rPr>
        <w:t xml:space="preserve"> and </w:t>
      </w:r>
      <w:r>
        <w:rPr>
          <w:kern w:val="0"/>
        </w:rPr>
        <w:t>mental health. Research papers captured by the intersection</w:t>
      </w:r>
      <w:r w:rsidR="00427468">
        <w:rPr>
          <w:kern w:val="0"/>
        </w:rPr>
        <w:t xml:space="preserve"> of </w:t>
      </w:r>
      <w:r>
        <w:rPr>
          <w:kern w:val="0"/>
        </w:rPr>
        <w:t>sub-field filters-</w:t>
      </w:r>
      <w:r w:rsidR="00700038">
        <w:rPr>
          <w:kern w:val="0"/>
        </w:rPr>
        <w:t>’</w:t>
      </w:r>
      <w:r>
        <w:rPr>
          <w:kern w:val="0"/>
        </w:rPr>
        <w:t>mental disorder</w:t>
      </w:r>
      <w:r w:rsidR="00700038">
        <w:rPr>
          <w:kern w:val="0"/>
        </w:rPr>
        <w:t>’</w:t>
      </w:r>
      <w:r w:rsidR="005853A9">
        <w:rPr>
          <w:kern w:val="0"/>
        </w:rPr>
        <w:t xml:space="preserve"> and </w:t>
      </w:r>
      <w:r w:rsidR="00700038">
        <w:rPr>
          <w:kern w:val="0"/>
        </w:rPr>
        <w:t>‘</w:t>
      </w:r>
      <w:r>
        <w:rPr>
          <w:kern w:val="0"/>
        </w:rPr>
        <w:t>cancer</w:t>
      </w:r>
      <w:r w:rsidR="00700038">
        <w:rPr>
          <w:kern w:val="0"/>
        </w:rPr>
        <w:t>’</w:t>
      </w:r>
      <w:r>
        <w:rPr>
          <w:kern w:val="0"/>
        </w:rPr>
        <w:t xml:space="preserve">-were studied from the </w:t>
      </w:r>
      <w:r w:rsidR="00D5664A">
        <w:rPr>
          <w:kern w:val="0"/>
        </w:rPr>
        <w:t>Web</w:t>
      </w:r>
      <w:r w:rsidR="00427468">
        <w:rPr>
          <w:kern w:val="0"/>
        </w:rPr>
        <w:t xml:space="preserve"> of </w:t>
      </w:r>
      <w:r w:rsidR="00D5664A">
        <w:rPr>
          <w:kern w:val="0"/>
        </w:rPr>
        <w:t>Science</w:t>
      </w:r>
      <w:r>
        <w:rPr>
          <w:kern w:val="0"/>
        </w:rPr>
        <w:t xml:space="preserve"> over a 10-year period (2002-2011)</w:t>
      </w:r>
      <w:r w:rsidR="00A37C1D">
        <w:rPr>
          <w:kern w:val="0"/>
        </w:rPr>
        <w:t>. The</w:t>
      </w:r>
      <w:r>
        <w:rPr>
          <w:kern w:val="0"/>
        </w:rPr>
        <w:t>re were 1463 papers dealing with the dual presence</w:t>
      </w:r>
      <w:r w:rsidR="00427468">
        <w:rPr>
          <w:kern w:val="0"/>
        </w:rPr>
        <w:t xml:space="preserve"> of </w:t>
      </w:r>
      <w:r>
        <w:rPr>
          <w:kern w:val="0"/>
        </w:rPr>
        <w:t>cancer</w:t>
      </w:r>
      <w:r w:rsidR="005853A9">
        <w:rPr>
          <w:kern w:val="0"/>
        </w:rPr>
        <w:t xml:space="preserve"> and </w:t>
      </w:r>
      <w:r>
        <w:rPr>
          <w:kern w:val="0"/>
        </w:rPr>
        <w:t>mental disorder</w:t>
      </w:r>
      <w:r w:rsidR="00A37C1D">
        <w:rPr>
          <w:kern w:val="0"/>
        </w:rPr>
        <w:t>. The</w:t>
      </w:r>
      <w:r>
        <w:rPr>
          <w:kern w:val="0"/>
        </w:rPr>
        <w:t>y amounted to 0.26%</w:t>
      </w:r>
      <w:r w:rsidR="00427468">
        <w:rPr>
          <w:kern w:val="0"/>
        </w:rPr>
        <w:t xml:space="preserve"> of </w:t>
      </w:r>
      <w:r>
        <w:rPr>
          <w:kern w:val="0"/>
        </w:rPr>
        <w:t>cancer research</w:t>
      </w:r>
      <w:r w:rsidR="005853A9">
        <w:rPr>
          <w:kern w:val="0"/>
        </w:rPr>
        <w:t xml:space="preserve"> and </w:t>
      </w:r>
      <w:r>
        <w:rPr>
          <w:kern w:val="0"/>
        </w:rPr>
        <w:t>0.51%</w:t>
      </w:r>
      <w:r w:rsidR="00427468">
        <w:rPr>
          <w:kern w:val="0"/>
        </w:rPr>
        <w:t xml:space="preserve"> of </w:t>
      </w:r>
      <w:r>
        <w:rPr>
          <w:kern w:val="0"/>
        </w:rPr>
        <w:t>mental health research over the 10-year period, indicating that their intersection receives little research attention. Eighty per cent</w:t>
      </w:r>
      <w:r w:rsidR="00427468">
        <w:rPr>
          <w:kern w:val="0"/>
        </w:rPr>
        <w:t xml:space="preserve"> of </w:t>
      </w:r>
      <w:r>
        <w:rPr>
          <w:kern w:val="0"/>
        </w:rPr>
        <w:t>papers were concerned with the effects</w:t>
      </w:r>
      <w:r w:rsidR="00427468">
        <w:rPr>
          <w:kern w:val="0"/>
        </w:rPr>
        <w:t xml:space="preserve"> of </w:t>
      </w:r>
      <w:r>
        <w:rPr>
          <w:kern w:val="0"/>
        </w:rPr>
        <w:t>cancer on mental health rather than the reverse; a few (5%) looked at the post-traumatic stress suffered by carers</w:t>
      </w:r>
      <w:r w:rsidR="00427468">
        <w:rPr>
          <w:kern w:val="0"/>
        </w:rPr>
        <w:t xml:space="preserve"> of </w:t>
      </w:r>
      <w:r>
        <w:rPr>
          <w:kern w:val="0"/>
        </w:rPr>
        <w:t>cancer patients.</w:t>
      </w:r>
      <w:r w:rsidR="00427468">
        <w:rPr>
          <w:kern w:val="0"/>
        </w:rPr>
        <w:t xml:space="preserve"> of </w:t>
      </w:r>
      <w:r>
        <w:rPr>
          <w:kern w:val="0"/>
        </w:rPr>
        <w:t>cancer types, breast dominated (21%), followed by prostate (5%), lung (3%), oral (2%)</w:t>
      </w:r>
      <w:r w:rsidR="005853A9">
        <w:rPr>
          <w:kern w:val="0"/>
        </w:rPr>
        <w:t xml:space="preserve"> and </w:t>
      </w:r>
      <w:r>
        <w:rPr>
          <w:kern w:val="0"/>
        </w:rPr>
        <w:t>colorectal (2%) cancer</w:t>
      </w:r>
      <w:r w:rsidR="00A37C1D">
        <w:rPr>
          <w:kern w:val="0"/>
        </w:rPr>
        <w:t>. The</w:t>
      </w:r>
      <w:r>
        <w:rPr>
          <w:kern w:val="0"/>
        </w:rPr>
        <w:t xml:space="preserve"> area</w:t>
      </w:r>
      <w:r w:rsidR="00427468">
        <w:rPr>
          <w:kern w:val="0"/>
        </w:rPr>
        <w:t xml:space="preserve"> of </w:t>
      </w:r>
      <w:r>
        <w:rPr>
          <w:kern w:val="0"/>
        </w:rPr>
        <w:t>mental health most studied in cancer was unipolar depression</w:t>
      </w:r>
      <w:r w:rsidR="00A37C1D">
        <w:rPr>
          <w:kern w:val="0"/>
        </w:rPr>
        <w:t>. The</w:t>
      </w:r>
      <w:r>
        <w:rPr>
          <w:kern w:val="0"/>
        </w:rPr>
        <w:t xml:space="preserve"> paucity</w:t>
      </w:r>
      <w:r w:rsidR="00427468">
        <w:rPr>
          <w:kern w:val="0"/>
        </w:rPr>
        <w:t xml:space="preserve"> of </w:t>
      </w:r>
      <w:r>
        <w:rPr>
          <w:kern w:val="0"/>
        </w:rPr>
        <w:t>research that exists at the intersection</w:t>
      </w:r>
      <w:r w:rsidR="00427468">
        <w:rPr>
          <w:kern w:val="0"/>
        </w:rPr>
        <w:t xml:space="preserve"> of </w:t>
      </w:r>
      <w:r>
        <w:rPr>
          <w:kern w:val="0"/>
        </w:rPr>
        <w:t>cancer</w:t>
      </w:r>
      <w:r w:rsidR="005853A9">
        <w:rPr>
          <w:kern w:val="0"/>
        </w:rPr>
        <w:t xml:space="preserve"> and </w:t>
      </w:r>
      <w:r>
        <w:rPr>
          <w:kern w:val="0"/>
        </w:rPr>
        <w:t>mental health requires attention from policymakers</w:t>
      </w:r>
      <w:r w:rsidR="005853A9">
        <w:rPr>
          <w:kern w:val="0"/>
        </w:rPr>
        <w:t xml:space="preserve"> and </w:t>
      </w:r>
      <w:r>
        <w:rPr>
          <w:kern w:val="0"/>
        </w:rPr>
        <w:t>funders in order to address an important trans-disciplinary gap in health care research.</w:t>
      </w:r>
    </w:p>
    <w:p w:rsidR="00C37AD8" w:rsidRDefault="00C37AD8" w:rsidP="00C37AD8">
      <w:pPr>
        <w:pStyle w:val="a3"/>
        <w:rPr>
          <w:kern w:val="0"/>
        </w:rPr>
      </w:pPr>
      <w:r>
        <w:rPr>
          <w:kern w:val="0"/>
        </w:rPr>
        <w:t>Keywords: Antidepressants, Attention, Breast-Cancer, Cancer, Care, Childhood-Cancer, Clinical, Colorectal-Cancer, Costs, Depression, Diagnosis, Disability, Effects, Health, Health Care, Health Care Costs, Health Research, Lung, Mental Disorder, Mental Health, Oral, Papers, Patients, Policy, Post-Traumatic Stress, Posttraumatic Stress, Psychiatric-Disorders, Research, Risk, Schizophrenia, Science, Source, Stress</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C32E49" w:rsidRDefault="00C32E49" w:rsidP="00C32E49">
      <w:pPr>
        <w:pStyle w:val="a3"/>
        <w:rPr>
          <w:kern w:val="0"/>
          <w:szCs w:val="24"/>
        </w:rPr>
      </w:pPr>
      <w:r>
        <w:rPr>
          <w:rFonts w:hint="eastAsia"/>
          <w:kern w:val="0"/>
          <w:szCs w:val="24"/>
        </w:rPr>
        <w:t xml:space="preserve">? </w:t>
      </w:r>
      <w:r>
        <w:rPr>
          <w:kern w:val="0"/>
          <w:szCs w:val="24"/>
        </w:rPr>
        <w:t xml:space="preserve">Puts, M.T.E., Tu, H.A., Tourangeau, A., Howell, D., Fitch, M., Springall, E. and Alibhai, S.M.H. (2014), Factors influencing adherence to cancer treatment in older adults with cancer: A systematic review. </w:t>
      </w:r>
      <w:r>
        <w:rPr>
          <w:i/>
          <w:iCs/>
          <w:kern w:val="0"/>
          <w:szCs w:val="24"/>
        </w:rPr>
        <w:t>Annals</w:t>
      </w:r>
      <w:r w:rsidR="00427468">
        <w:rPr>
          <w:i/>
          <w:iCs/>
          <w:kern w:val="0"/>
          <w:szCs w:val="24"/>
        </w:rPr>
        <w:t xml:space="preserve"> of </w:t>
      </w:r>
      <w:r>
        <w:rPr>
          <w:i/>
          <w:iCs/>
          <w:kern w:val="0"/>
          <w:szCs w:val="24"/>
        </w:rPr>
        <w:t>Oncology</w:t>
      </w:r>
      <w:r>
        <w:rPr>
          <w:kern w:val="0"/>
          <w:szCs w:val="24"/>
        </w:rPr>
        <w:t xml:space="preserve">, </w:t>
      </w:r>
      <w:r>
        <w:rPr>
          <w:b/>
          <w:bCs/>
          <w:kern w:val="0"/>
          <w:szCs w:val="24"/>
        </w:rPr>
        <w:t>25</w:t>
      </w:r>
      <w:r>
        <w:rPr>
          <w:kern w:val="0"/>
          <w:szCs w:val="24"/>
        </w:rPr>
        <w:t xml:space="preserve"> (3), 564-577.</w:t>
      </w:r>
    </w:p>
    <w:p w:rsidR="00C32E49" w:rsidRPr="00F219CA" w:rsidRDefault="00C32E49" w:rsidP="00C32E49">
      <w:pPr>
        <w:pStyle w:val="a3"/>
      </w:pPr>
      <w:r w:rsidRPr="00F219CA">
        <w:rPr>
          <w:szCs w:val="10"/>
        </w:rPr>
        <w:t xml:space="preserve">Full Text: </w:t>
      </w:r>
      <w:hyperlink r:id="rId924" w:history="1">
        <w:r w:rsidRPr="00B13BE1">
          <w:rPr>
            <w:rStyle w:val="a5"/>
            <w:szCs w:val="10"/>
          </w:rPr>
          <w:t>2014\Ann Onc25, 564.pdf</w:t>
        </w:r>
      </w:hyperlink>
    </w:p>
    <w:p w:rsidR="00C32E49" w:rsidRDefault="00C32E49" w:rsidP="00C32E49">
      <w:pPr>
        <w:pStyle w:val="a3"/>
        <w:rPr>
          <w:kern w:val="0"/>
          <w:szCs w:val="24"/>
        </w:rPr>
      </w:pPr>
      <w:r>
        <w:rPr>
          <w:kern w:val="0"/>
          <w:szCs w:val="24"/>
        </w:rPr>
        <w:t>Abstract: Cancer is a disease that mostly affects older adults. Treatment adherence is crucial to obtain optimal outcomes such as cure or improvement in quality</w:t>
      </w:r>
      <w:r w:rsidR="00427468">
        <w:rPr>
          <w:kern w:val="0"/>
          <w:szCs w:val="24"/>
        </w:rPr>
        <w:t xml:space="preserve"> of </w:t>
      </w:r>
      <w:r>
        <w:rPr>
          <w:kern w:val="0"/>
          <w:szCs w:val="24"/>
        </w:rPr>
        <w:t>life. Older adults have numerous comorbidites as well as cognitive and sensory impairments that may affect adherence</w:t>
      </w:r>
      <w:r w:rsidR="00A37C1D">
        <w:rPr>
          <w:kern w:val="0"/>
          <w:szCs w:val="24"/>
        </w:rPr>
        <w:t>. The</w:t>
      </w:r>
      <w:r>
        <w:rPr>
          <w:kern w:val="0"/>
          <w:szCs w:val="24"/>
        </w:rPr>
        <w:t xml:space="preserve"> aim</w:t>
      </w:r>
      <w:r w:rsidR="00427468">
        <w:rPr>
          <w:kern w:val="0"/>
          <w:szCs w:val="24"/>
        </w:rPr>
        <w:t xml:space="preserve"> of </w:t>
      </w:r>
      <w:r>
        <w:rPr>
          <w:kern w:val="0"/>
          <w:szCs w:val="24"/>
        </w:rPr>
        <w:t>this systematic review was to examine factors that influence adherence to cancer treatment in older adults with cancer. Systematic review</w:t>
      </w:r>
      <w:r w:rsidR="00427468">
        <w:rPr>
          <w:kern w:val="0"/>
          <w:szCs w:val="24"/>
        </w:rPr>
        <w:t xml:space="preserve"> of </w:t>
      </w:r>
      <w:r>
        <w:rPr>
          <w:kern w:val="0"/>
          <w:szCs w:val="24"/>
        </w:rPr>
        <w:t>the literature published between inception</w:t>
      </w:r>
      <w:r w:rsidR="00427468">
        <w:rPr>
          <w:kern w:val="0"/>
          <w:szCs w:val="24"/>
        </w:rPr>
        <w:t xml:space="preserve"> of </w:t>
      </w:r>
      <w:r>
        <w:rPr>
          <w:kern w:val="0"/>
          <w:szCs w:val="24"/>
        </w:rPr>
        <w:t>the databases and February 2013. English, Dutch, French and German-language articles reporting cross-sectional or longitudinal, intervention or observational studies</w:t>
      </w:r>
      <w:r w:rsidR="00427468">
        <w:rPr>
          <w:kern w:val="0"/>
          <w:szCs w:val="24"/>
        </w:rPr>
        <w:t xml:space="preserve"> of </w:t>
      </w:r>
      <w:r>
        <w:rPr>
          <w:kern w:val="0"/>
          <w:szCs w:val="24"/>
        </w:rPr>
        <w:t xml:space="preserve">cancer treatment adherence were included. Data sources included MEDLINE, EMBASE, PsychINFO, Cumulative Index to Nursing and Allied Health (CINAHL), </w:t>
      </w:r>
      <w:r>
        <w:rPr>
          <w:kern w:val="0"/>
          <w:szCs w:val="24"/>
        </w:rPr>
        <w:lastRenderedPageBreak/>
        <w:t>Web</w:t>
      </w:r>
      <w:r w:rsidR="00427468">
        <w:rPr>
          <w:kern w:val="0"/>
          <w:szCs w:val="24"/>
        </w:rPr>
        <w:t xml:space="preserve"> of </w:t>
      </w:r>
      <w:r>
        <w:rPr>
          <w:kern w:val="0"/>
          <w:szCs w:val="24"/>
        </w:rPr>
        <w:t>Science, ASSIA, Ageline, Allied and Complementary Medicine (AMED), SocAbstracts and the Cochrane Library. Two reviewers reviewed abstracts and abstracted data using standardized forms. Study quality was assessed using the Mixed Methods Appraisal Tool 2011. Twenty-two manuscripts were identified reporting on 18 unique studies</w:t>
      </w:r>
      <w:r w:rsidR="00A37C1D">
        <w:rPr>
          <w:kern w:val="0"/>
          <w:szCs w:val="24"/>
        </w:rPr>
        <w:t>. The</w:t>
      </w:r>
      <w:r>
        <w:rPr>
          <w:kern w:val="0"/>
          <w:szCs w:val="24"/>
        </w:rPr>
        <w:t xml:space="preserve"> quality</w:t>
      </w:r>
      <w:r w:rsidR="00427468">
        <w:rPr>
          <w:kern w:val="0"/>
          <w:szCs w:val="24"/>
        </w:rPr>
        <w:t xml:space="preserve"> of </w:t>
      </w:r>
      <w:r>
        <w:rPr>
          <w:kern w:val="0"/>
          <w:szCs w:val="24"/>
        </w:rPr>
        <w:t>most studies was good. Most studies focused on women with breast cancer and adherence to adjuvant hormonal therapy. More than half</w:t>
      </w:r>
      <w:r w:rsidR="00427468">
        <w:rPr>
          <w:kern w:val="0"/>
          <w:szCs w:val="24"/>
        </w:rPr>
        <w:t xml:space="preserve"> of </w:t>
      </w:r>
      <w:r>
        <w:rPr>
          <w:kern w:val="0"/>
          <w:szCs w:val="24"/>
        </w:rPr>
        <w:t>the studies used data from administrative or clinical databases or chart reviews</w:t>
      </w:r>
      <w:r w:rsidR="00A37C1D">
        <w:rPr>
          <w:kern w:val="0"/>
          <w:szCs w:val="24"/>
        </w:rPr>
        <w:t>. The</w:t>
      </w:r>
      <w:r>
        <w:rPr>
          <w:kern w:val="0"/>
          <w:szCs w:val="24"/>
        </w:rPr>
        <w:t xml:space="preserve"> adherence rate varied from 52% to 100%. Only one qualitative study asked older adults about reasons for non-adherence. Factors associated with non-adherence varied widely across studies. Non-adherence was common across studies but little is known about the factors influencing non-adherence. More research is needed to investigate why older adults choose to adhere or not adhere to their treatment regimens taking into account their multimorbidity.</w:t>
      </w:r>
    </w:p>
    <w:p w:rsidR="00C32E49" w:rsidRDefault="00C32E49" w:rsidP="00C32E49">
      <w:pPr>
        <w:pStyle w:val="a3"/>
        <w:rPr>
          <w:kern w:val="0"/>
          <w:szCs w:val="24"/>
        </w:rPr>
      </w:pPr>
      <w:r>
        <w:rPr>
          <w:kern w:val="0"/>
          <w:szCs w:val="24"/>
        </w:rPr>
        <w:t>Keywords: Adherence, Adjuvant Endocrine Therapy, Aged, Breast Cancer, Cancer, Cancer Treatment, Clinical, Data, Databases, Disease, Dutch, Embase, English, Factors, Forms, Geriatric Oncology, Geriatric Oncology, Health, Health Literacy, Hormonal-Therapy, Improvement, Influence, Intervention, Life, Literature, Longitudinal, Mar, Medication Adherence, Medicine, Medline, Methods, Non-Adherence, Nursing, Observational, Observational Studies, Older Adults, Oral Anticancer Drugs, Outcomes, Patient Adherence, Positive Breast-Cancer, Qualitative, Qualitative Study, Quality, Quality Of, Quality</w:t>
      </w:r>
      <w:r w:rsidR="00427468">
        <w:rPr>
          <w:kern w:val="0"/>
          <w:szCs w:val="24"/>
        </w:rPr>
        <w:t xml:space="preserve"> of </w:t>
      </w:r>
      <w:r>
        <w:rPr>
          <w:kern w:val="0"/>
          <w:szCs w:val="24"/>
        </w:rPr>
        <w:t>Life, Reporting, Research, Review, Reviews, Science, Sources, Study Quality, Systematic Review, Tamoxifen, Therapy, Treatment, Web</w:t>
      </w:r>
      <w:r w:rsidR="00427468">
        <w:rPr>
          <w:kern w:val="0"/>
          <w:szCs w:val="24"/>
        </w:rPr>
        <w:t xml:space="preserve"> of </w:t>
      </w:r>
      <w:r>
        <w:rPr>
          <w:kern w:val="0"/>
          <w:szCs w:val="24"/>
        </w:rPr>
        <w:t>Science, Women</w:t>
      </w:r>
    </w:p>
    <w:p w:rsidR="009C57A2" w:rsidRDefault="009C57A2" w:rsidP="009C57A2">
      <w:pPr>
        <w:pStyle w:val="a3"/>
        <w:rPr>
          <w:kern w:val="0"/>
        </w:rPr>
      </w:pPr>
      <w:r>
        <w:rPr>
          <w:rFonts w:hint="eastAsia"/>
          <w:kern w:val="0"/>
        </w:rPr>
        <w:t xml:space="preserve">? </w:t>
      </w:r>
      <w:r>
        <w:rPr>
          <w:kern w:val="0"/>
        </w:rPr>
        <w:t xml:space="preserve">Walter, V., Jansen, L., Hoffmeister, M. and Brenner, H. (2014), Smoking and survival of colorectal cancer patients: Systematic review and meta-analysis. </w:t>
      </w:r>
      <w:r>
        <w:rPr>
          <w:i/>
          <w:iCs/>
          <w:kern w:val="0"/>
        </w:rPr>
        <w:t>Annals of Oncology</w:t>
      </w:r>
      <w:r>
        <w:rPr>
          <w:kern w:val="0"/>
        </w:rPr>
        <w:t xml:space="preserve">, </w:t>
      </w:r>
      <w:r>
        <w:rPr>
          <w:b/>
          <w:bCs/>
          <w:kern w:val="0"/>
        </w:rPr>
        <w:t>25</w:t>
      </w:r>
      <w:r>
        <w:rPr>
          <w:kern w:val="0"/>
        </w:rPr>
        <w:t xml:space="preserve"> (8), 1517-1525.</w:t>
      </w:r>
    </w:p>
    <w:p w:rsidR="009C57A2" w:rsidRPr="00F219CA" w:rsidRDefault="009C57A2" w:rsidP="009C57A2">
      <w:pPr>
        <w:pStyle w:val="a3"/>
      </w:pPr>
      <w:r w:rsidRPr="00F219CA">
        <w:rPr>
          <w:szCs w:val="10"/>
        </w:rPr>
        <w:t xml:space="preserve">Full Text: </w:t>
      </w:r>
      <w:hyperlink r:id="rId925" w:history="1">
        <w:r w:rsidRPr="004E60EF">
          <w:rPr>
            <w:rStyle w:val="a5"/>
            <w:szCs w:val="10"/>
          </w:rPr>
          <w:t>2014\Ann Onc25, 1517.pdf</w:t>
        </w:r>
      </w:hyperlink>
    </w:p>
    <w:p w:rsidR="009C57A2" w:rsidRDefault="009C57A2" w:rsidP="009C57A2">
      <w:pPr>
        <w:pStyle w:val="a3"/>
        <w:rPr>
          <w:kern w:val="0"/>
        </w:rPr>
      </w:pPr>
      <w:r>
        <w:rPr>
          <w:kern w:val="0"/>
        </w:rPr>
        <w:t xml:space="preserve">Abstract: Smoking is a risk factor for colorectal cancer (CRC) incidence and mortality. However, little is known on smoking and its association with survival after CRC diagnosis. We conducted a systematic review and meta-analysis to summarize current evidence. A systematic literature search was carried out in MEDLINE and ISI Web of Science. We included studies that analyzed recurrence-free survival, disease-free survival, all-cause, and CRC-specific mortality according to smoking status. Data were extracted in duplicate. Standard methods of meta-analysis were applied. Sixteen studies from 11 countries were identified, comprising a total sample size of 62 278 CRC patients. Overall, in the 16 included studies, current smoking and, to a lesser extent, former smoking were rather consistently associated with a poorer prognosis compared with never smokers. Meta-analyses yielded random-effects hazard ratio estimates (95% confidence intervals) for all-cause mortality of 1.26 </w:t>
      </w:r>
      <w:r>
        <w:rPr>
          <w:kern w:val="0"/>
        </w:rPr>
        <w:lastRenderedPageBreak/>
        <w:t>(1.15-1.37) and 1.11 (0.93-1.33) for current and former smokers, compared with never smokers, respectively. In particular, 30-day mortality was found to be increased by between 49% and 100% among current compared with never smokers. Our results support the existence of detrimental effects of smoking on survival also after CRC diagnosis. Perspectives for enhancing prognosis of CRC patients by smoking abstinence deserve increased attention in further research and clinical practice.</w:t>
      </w:r>
    </w:p>
    <w:p w:rsidR="009C57A2" w:rsidRDefault="009C57A2" w:rsidP="009C57A2">
      <w:pPr>
        <w:pStyle w:val="a3"/>
        <w:rPr>
          <w:kern w:val="0"/>
        </w:rPr>
      </w:pPr>
      <w:r>
        <w:rPr>
          <w:kern w:val="0"/>
        </w:rPr>
        <w:t>Keywords: Association, Associations, Attention, Cancer, Cigarette-Smoking, Clinical, Clinical Practice, Colorectal Cancer, Colorectal Neoplasms, Complications, Confidence, Confidence Intervals, Data, Detrimental Effects, Diagnosis, Effects, Estimates, Evidence, Hazard, Hazard Ratio, Health, Incidence, Inhibits Apoptosis, Intervals, ISI, ISI Web Of Science, Life-Style Factors, Literature, Literature Search, Medline, Meta Analysis, Meta-Analyses, Meta-Analysis, Metaanalysis, Methods, Mortality, Patients, Postoperative Outcomes, Practice, Prognosis, Publication Bias, Research, Review, Risk, Risk Factor, Risk-Factors, Sample Size, Science, Size, Smoking, Support, Surgery, Survival, Survival Analysis, Systematic, Systematic Literature Search, Systematic Review, Web Of Science</w:t>
      </w:r>
    </w:p>
    <w:p w:rsidR="003474F2" w:rsidRPr="001A3D2B" w:rsidRDefault="003474F2" w:rsidP="003474F2">
      <w:pPr>
        <w:pStyle w:val="1"/>
      </w:pPr>
      <w:r w:rsidRPr="001A3D2B">
        <w:br w:type="page"/>
      </w:r>
      <w:bookmarkStart w:id="491" w:name="_Toc420814517"/>
      <w:r w:rsidRPr="001A3D2B">
        <w:lastRenderedPageBreak/>
        <w:t>Title: Annals</w:t>
      </w:r>
      <w:r w:rsidR="00427468">
        <w:t xml:space="preserve"> of </w:t>
      </w:r>
      <w:r w:rsidRPr="001A3D2B">
        <w:t>Otology Rhinology</w:t>
      </w:r>
      <w:r w:rsidR="005853A9">
        <w:t xml:space="preserve"> and </w:t>
      </w:r>
      <w:r w:rsidRPr="001A3D2B">
        <w:t>Laryngology</w:t>
      </w:r>
      <w:bookmarkEnd w:id="491"/>
    </w:p>
    <w:p w:rsidR="003474F2" w:rsidRPr="001A3D2B" w:rsidRDefault="003474F2" w:rsidP="003474F2">
      <w:pPr>
        <w:pStyle w:val="12"/>
      </w:pPr>
      <w:r w:rsidRPr="001A3D2B">
        <w:t xml:space="preserve">Full Journal Title: </w:t>
      </w:r>
      <w:hyperlink r:id="rId926" w:history="1">
        <w:r w:rsidRPr="001A3D2B">
          <w:rPr>
            <w:rStyle w:val="a5"/>
          </w:rPr>
          <w:t>Annals</w:t>
        </w:r>
        <w:r w:rsidR="00427468">
          <w:rPr>
            <w:rStyle w:val="a5"/>
          </w:rPr>
          <w:t xml:space="preserve"> of </w:t>
        </w:r>
        <w:r w:rsidRPr="001A3D2B">
          <w:rPr>
            <w:rStyle w:val="a5"/>
          </w:rPr>
          <w:t>Otology Rhinology</w:t>
        </w:r>
        <w:r w:rsidR="005853A9">
          <w:rPr>
            <w:rStyle w:val="a5"/>
          </w:rPr>
          <w:t xml:space="preserve"> and </w:t>
        </w:r>
        <w:r w:rsidRPr="001A3D2B">
          <w:rPr>
            <w:rStyle w:val="a5"/>
          </w:rPr>
          <w:t>Laryngology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0003-4894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Iro, H., Zenk, J., Waldfahrer, F., Benzel, W., Schneider, T.</w:t>
      </w:r>
      <w:r w:rsidR="005853A9">
        <w:t xml:space="preserve"> and </w:t>
      </w:r>
      <w:r w:rsidRPr="001A3D2B">
        <w:t>Ell, C. (1998), Extracorporeal shock wave lithotripsy</w:t>
      </w:r>
      <w:r w:rsidR="00427468">
        <w:t xml:space="preserve"> of </w:t>
      </w:r>
      <w:r w:rsidRPr="001A3D2B">
        <w:t>parotid stones - Results</w:t>
      </w:r>
      <w:r w:rsidR="00427468">
        <w:t xml:space="preserve"> of </w:t>
      </w:r>
      <w:r w:rsidRPr="001A3D2B">
        <w:t xml:space="preserve">a prospective clinical trial. </w:t>
      </w:r>
      <w:r w:rsidRPr="001A3D2B">
        <w:rPr>
          <w:i/>
          <w:iCs/>
        </w:rPr>
        <w:t>Annals</w:t>
      </w:r>
      <w:r w:rsidR="00427468">
        <w:rPr>
          <w:i/>
          <w:iCs/>
        </w:rPr>
        <w:t xml:space="preserve"> of </w:t>
      </w:r>
      <w:r w:rsidRPr="001A3D2B">
        <w:rPr>
          <w:i/>
          <w:iCs/>
        </w:rPr>
        <w:t>Otology Rhinology</w:t>
      </w:r>
      <w:r w:rsidR="005853A9">
        <w:rPr>
          <w:i/>
          <w:iCs/>
        </w:rPr>
        <w:t xml:space="preserve"> and </w:t>
      </w:r>
      <w:r w:rsidRPr="001A3D2B">
        <w:rPr>
          <w:i/>
          <w:iCs/>
        </w:rPr>
        <w:t>Laryngology</w:t>
      </w:r>
      <w:r w:rsidRPr="001A3D2B">
        <w:t xml:space="preserve">, </w:t>
      </w:r>
      <w:r w:rsidRPr="001A3D2B">
        <w:rPr>
          <w:b/>
          <w:bCs/>
        </w:rPr>
        <w:t>107</w:t>
      </w:r>
      <w:r w:rsidRPr="001A3D2B">
        <w:t xml:space="preserve"> (10), 860-864.</w:t>
      </w:r>
    </w:p>
    <w:p w:rsidR="002D232B" w:rsidRPr="001A3D2B" w:rsidRDefault="002D232B" w:rsidP="002D232B">
      <w:pPr>
        <w:pStyle w:val="a3"/>
      </w:pPr>
      <w:r w:rsidRPr="001A3D2B">
        <w:rPr>
          <w:szCs w:val="10"/>
        </w:rPr>
        <w:t xml:space="preserve">Full Text: </w:t>
      </w:r>
      <w:r w:rsidRPr="001A3D2B">
        <w:rPr>
          <w:rFonts w:eastAsia="新細明體"/>
          <w:kern w:val="2"/>
          <w:szCs w:val="24"/>
        </w:rPr>
        <w:t>Ann Oto Rh Lar107, 860</w:t>
      </w:r>
    </w:p>
    <w:p w:rsidR="003474F2" w:rsidRPr="001A3D2B" w:rsidRDefault="003474F2" w:rsidP="003474F2">
      <w:pPr>
        <w:pStyle w:val="a3"/>
      </w:pPr>
      <w:r w:rsidRPr="001A3D2B">
        <w:t>Abstract:</w:t>
      </w:r>
      <w:r w:rsidR="003A1917">
        <w:t xml:space="preserve"> the </w:t>
      </w:r>
      <w:r w:rsidRPr="001A3D2B">
        <w:t>extracorporeal shock wave treatment</w:t>
      </w:r>
      <w:r w:rsidR="00427468">
        <w:t xml:space="preserve"> of </w:t>
      </w:r>
      <w:r w:rsidRPr="001A3D2B">
        <w:t>parotid stones is a rather new therapy. Its usefulness was determined in a prospective study. Seventy-six patients (36 female, 40 male, 2 to 80 years</w:t>
      </w:r>
      <w:r w:rsidR="00427468">
        <w:t xml:space="preserve"> of </w:t>
      </w:r>
      <w:r w:rsidRPr="001A3D2B">
        <w:t>age) with symptomatic, sonographically detectable solitary sialoliths</w:t>
      </w:r>
      <w:r w:rsidR="00427468">
        <w:t xml:space="preserve"> of </w:t>
      </w:r>
      <w:r w:rsidR="003A1917">
        <w:t xml:space="preserve">the </w:t>
      </w:r>
      <w:r w:rsidRPr="001A3D2B">
        <w:t>parotid gland were treated with an extracorporeal pieaoelectric shock wave therapy after unsuccessful conservative therapy (sialagogues, gland massage, bougienage</w:t>
      </w:r>
      <w:r w:rsidR="00427468">
        <w:t xml:space="preserve"> of </w:t>
      </w:r>
      <w:r w:rsidR="003A1917">
        <w:t xml:space="preserve">the </w:t>
      </w:r>
      <w:r w:rsidRPr="001A3D2B">
        <w:t>secretory duct). At most, 3 treatments per patient were performed. Altogether, 38</w:t>
      </w:r>
      <w:r w:rsidR="00427468">
        <w:t xml:space="preserve"> of </w:t>
      </w:r>
      <w:r w:rsidR="003A1917">
        <w:t xml:space="preserve">the </w:t>
      </w:r>
      <w:r w:rsidRPr="001A3D2B">
        <w:t>76 patients (50%) were free</w:t>
      </w:r>
      <w:r w:rsidR="00427468">
        <w:t xml:space="preserve"> of </w:t>
      </w:r>
      <w:r w:rsidRPr="001A3D2B">
        <w:t>stones</w:t>
      </w:r>
      <w:r w:rsidR="005853A9">
        <w:t xml:space="preserve"> and </w:t>
      </w:r>
      <w:r w:rsidRPr="001A3D2B">
        <w:t>no longer suffered from complaints after completion</w:t>
      </w:r>
      <w:r w:rsidR="00427468">
        <w:t xml:space="preserve"> of </w:t>
      </w:r>
      <w:r w:rsidRPr="001A3D2B">
        <w:t>shock wave treatment</w:t>
      </w:r>
      <w:r w:rsidR="005853A9">
        <w:t xml:space="preserve"> and </w:t>
      </w:r>
      <w:r w:rsidRPr="001A3D2B">
        <w:t>a mean follow-up period</w:t>
      </w:r>
      <w:r w:rsidR="00427468">
        <w:t xml:space="preserve"> of </w:t>
      </w:r>
      <w:r w:rsidRPr="001A3D2B">
        <w:t>48 months (range 6 to 71 months). During</w:t>
      </w:r>
      <w:r w:rsidR="003A1917">
        <w:t xml:space="preserve"> the </w:t>
      </w:r>
      <w:r w:rsidRPr="001A3D2B">
        <w:t>follow-up period, in no case could renewed stone formation be observed. Residual stone fragments were detectable in 20 patients (26%), but did not cause further symptoms. Thirteen patients (17%) with residual stone fragments stated a significant improvement</w:t>
      </w:r>
      <w:r w:rsidR="00427468">
        <w:t xml:space="preserve"> of </w:t>
      </w:r>
      <w:r w:rsidRPr="001A3D2B">
        <w:t>their complaints after therapy. Five patients (7%) did not observe any changes</w:t>
      </w:r>
      <w:r w:rsidR="00427468">
        <w:t xml:space="preserve"> of </w:t>
      </w:r>
      <w:r w:rsidRPr="001A3D2B">
        <w:t>their pretherapeutic complaints</w:t>
      </w:r>
      <w:r w:rsidR="005853A9">
        <w:t xml:space="preserve"> and </w:t>
      </w:r>
      <w:r w:rsidRPr="001A3D2B">
        <w:t>underwent parotidectomy</w:t>
      </w:r>
      <w:r w:rsidR="00A37C1D">
        <w:t>. The</w:t>
      </w:r>
      <w:r w:rsidR="003A1917">
        <w:t xml:space="preserve"> </w:t>
      </w:r>
      <w:r w:rsidRPr="001A3D2B">
        <w:t>therapeutic success was not influenced by stone size or by stone localization within</w:t>
      </w:r>
      <w:r w:rsidR="003A1917">
        <w:t xml:space="preserve"> the </w:t>
      </w:r>
      <w:r w:rsidRPr="001A3D2B">
        <w:t>gland. During</w:t>
      </w:r>
      <w:r w:rsidR="003A1917">
        <w:t xml:space="preserve"> the </w:t>
      </w:r>
      <w:r w:rsidRPr="001A3D2B">
        <w:t>follow-up period, no side effects</w:t>
      </w:r>
      <w:r w:rsidR="00427468">
        <w:t xml:space="preserve"> of </w:t>
      </w:r>
      <w:r w:rsidR="003A1917">
        <w:t xml:space="preserve">the </w:t>
      </w:r>
      <w:r w:rsidRPr="001A3D2B">
        <w:t>therapy were identified. With stones</w:t>
      </w:r>
      <w:r w:rsidR="00427468">
        <w:t xml:space="preserve"> of </w:t>
      </w:r>
      <w:r w:rsidR="003A1917">
        <w:t xml:space="preserve">the </w:t>
      </w:r>
      <w:r w:rsidRPr="001A3D2B">
        <w:t>parotid gland, extracorporeal shock wave lithotripsy is - after one has used conservative therapies (sialagogues, gland massage) -</w:t>
      </w:r>
      <w:r w:rsidR="003A1917">
        <w:t xml:space="preserve"> the </w:t>
      </w:r>
      <w:r w:rsidRPr="001A3D2B">
        <w:t>treatment</w:t>
      </w:r>
      <w:r w:rsidR="00427468">
        <w:t xml:space="preserve"> of </w:t>
      </w:r>
      <w:r w:rsidRPr="001A3D2B">
        <w:t>choice, avoiding in</w:t>
      </w:r>
      <w:r w:rsidR="003A1917">
        <w:t xml:space="preserve"> the </w:t>
      </w:r>
      <w:r w:rsidRPr="001A3D2B">
        <w:t>majority</w:t>
      </w:r>
      <w:r w:rsidR="00427468">
        <w:t xml:space="preserve"> of </w:t>
      </w:r>
      <w:r w:rsidRPr="001A3D2B">
        <w:t>cases a parotidectomy with its operative risks (paresis</w:t>
      </w:r>
      <w:r w:rsidR="00427468">
        <w:t xml:space="preserve"> of </w:t>
      </w:r>
      <w:r w:rsidR="003A1917">
        <w:t xml:space="preserve">the </w:t>
      </w:r>
      <w:r w:rsidRPr="001A3D2B">
        <w:t>facial nerve, Frey</w:t>
      </w:r>
      <w:r w:rsidR="00700038">
        <w:t>’</w:t>
      </w:r>
      <w:r w:rsidR="00C13DDC">
        <w:t>s</w:t>
      </w:r>
      <w:r w:rsidRPr="001A3D2B">
        <w:t xml:space="preserve"> syndrome).</w:t>
      </w:r>
    </w:p>
    <w:p w:rsidR="003474F2" w:rsidRPr="001A3D2B" w:rsidRDefault="003474F2" w:rsidP="003474F2">
      <w:pPr>
        <w:pStyle w:val="a3"/>
      </w:pPr>
      <w:r w:rsidRPr="001A3D2B">
        <w:t xml:space="preserve">Keywords: Lithotripsy, Salivary Glands, Shock Waves, Sialolithiasis, Salivary-Gland </w:t>
      </w:r>
      <w:r w:rsidRPr="001A3D2B">
        <w:lastRenderedPageBreak/>
        <w:t>Stones, Duct Stones, Sialolithiasis</w:t>
      </w:r>
    </w:p>
    <w:p w:rsidR="003474F2" w:rsidRPr="001A3D2B" w:rsidRDefault="003474F2" w:rsidP="003474F2">
      <w:pPr>
        <w:pStyle w:val="a3"/>
      </w:pPr>
      <w:r w:rsidRPr="001A3D2B">
        <w:t>Zenk, J., Bozzato, A., Gottwald, F., Winter, M.</w:t>
      </w:r>
      <w:r w:rsidR="005853A9">
        <w:t xml:space="preserve"> and </w:t>
      </w:r>
      <w:r w:rsidRPr="001A3D2B">
        <w:t>Iro, H. (2004), Extracorporeal shock wave lithotripsy</w:t>
      </w:r>
      <w:r w:rsidR="00427468">
        <w:t xml:space="preserve"> of </w:t>
      </w:r>
      <w:r w:rsidRPr="001A3D2B">
        <w:t xml:space="preserve">submandibular stones: Evaluation after 10 years. </w:t>
      </w:r>
      <w:r w:rsidRPr="001A3D2B">
        <w:rPr>
          <w:i/>
          <w:iCs/>
        </w:rPr>
        <w:t>Annals</w:t>
      </w:r>
      <w:r w:rsidR="00427468">
        <w:rPr>
          <w:i/>
          <w:iCs/>
        </w:rPr>
        <w:t xml:space="preserve"> of </w:t>
      </w:r>
      <w:r w:rsidRPr="001A3D2B">
        <w:rPr>
          <w:i/>
          <w:iCs/>
        </w:rPr>
        <w:t>Otology Rhinology</w:t>
      </w:r>
      <w:r w:rsidR="005853A9">
        <w:rPr>
          <w:i/>
          <w:iCs/>
        </w:rPr>
        <w:t xml:space="preserve"> and </w:t>
      </w:r>
      <w:r w:rsidRPr="001A3D2B">
        <w:rPr>
          <w:i/>
          <w:iCs/>
        </w:rPr>
        <w:t>Laryngology</w:t>
      </w:r>
      <w:r w:rsidRPr="001A3D2B">
        <w:t xml:space="preserve">, </w:t>
      </w:r>
      <w:r w:rsidRPr="001A3D2B">
        <w:rPr>
          <w:b/>
          <w:bCs/>
        </w:rPr>
        <w:t>113</w:t>
      </w:r>
      <w:r w:rsidRPr="001A3D2B">
        <w:t xml:space="preserve"> (5), 378-383.</w:t>
      </w:r>
    </w:p>
    <w:p w:rsidR="003474F2" w:rsidRPr="001A3D2B" w:rsidRDefault="003474F2" w:rsidP="003474F2">
      <w:pPr>
        <w:pStyle w:val="a3"/>
      </w:pPr>
      <w:r w:rsidRPr="001A3D2B">
        <w:rPr>
          <w:szCs w:val="10"/>
        </w:rPr>
        <w:t xml:space="preserve">Full Text: </w:t>
      </w:r>
      <w:hyperlink r:id="rId927" w:history="1">
        <w:r w:rsidRPr="001A3D2B">
          <w:rPr>
            <w:rStyle w:val="a5"/>
            <w:szCs w:val="10"/>
          </w:rPr>
          <w:t>2004\Ann Oto Rh Lar113, 378.pdf</w:t>
        </w:r>
      </w:hyperlink>
    </w:p>
    <w:p w:rsidR="003474F2" w:rsidRPr="001A3D2B" w:rsidRDefault="003474F2" w:rsidP="003474F2">
      <w:pPr>
        <w:pStyle w:val="a3"/>
      </w:pPr>
      <w:r w:rsidRPr="001A3D2B">
        <w:t>Abstract:</w:t>
      </w:r>
      <w:r w:rsidR="003A1917">
        <w:t xml:space="preserve"> the </w:t>
      </w:r>
      <w:r w:rsidRPr="001A3D2B">
        <w:t>use</w:t>
      </w:r>
      <w:r w:rsidR="00427468">
        <w:t xml:space="preserve"> of </w:t>
      </w:r>
      <w:r w:rsidRPr="001A3D2B">
        <w:t>extracorporeal shock waves in</w:t>
      </w:r>
      <w:r w:rsidR="003A1917">
        <w:t xml:space="preserve"> the </w:t>
      </w:r>
      <w:r w:rsidRPr="001A3D2B">
        <w:t>treatment</w:t>
      </w:r>
      <w:r w:rsidR="00427468">
        <w:t xml:space="preserve"> of </w:t>
      </w:r>
      <w:r w:rsidRPr="001A3D2B">
        <w:t>submandibular stones is a minimally invasive approach for</w:t>
      </w:r>
      <w:r w:rsidR="003A1917">
        <w:t xml:space="preserve"> the </w:t>
      </w:r>
      <w:r w:rsidRPr="001A3D2B">
        <w:t>treatment</w:t>
      </w:r>
      <w:r w:rsidR="00427468">
        <w:t xml:space="preserve"> of </w:t>
      </w:r>
      <w:r w:rsidRPr="001A3D2B">
        <w:t>this disease. Its clinical significance has been determined in a long-term retrospective study, performed as follow-up to</w:t>
      </w:r>
      <w:r w:rsidR="003A1917">
        <w:t xml:space="preserve"> the </w:t>
      </w:r>
      <w:r w:rsidRPr="001A3D2B">
        <w:t>short-term results. From 1989 to 1994, 197 patients (88 female, 109 male; age range, 8 to 83 years) with symptomatic, sonographically detectable concretions</w:t>
      </w:r>
      <w:r w:rsidR="00427468">
        <w:t xml:space="preserve"> of </w:t>
      </w:r>
      <w:r w:rsidR="003A1917">
        <w:t xml:space="preserve">the </w:t>
      </w:r>
      <w:r w:rsidRPr="001A3D2B">
        <w:t>submandibular gland were treated with extracorporeal shock wave lithotripsy</w:t>
      </w:r>
      <w:r w:rsidR="00A37C1D">
        <w:t>. The</w:t>
      </w:r>
      <w:r w:rsidR="003A1917">
        <w:t xml:space="preserve"> </w:t>
      </w:r>
      <w:r w:rsidRPr="001A3D2B">
        <w:t>review analysis was completed retrospectively in 2002</w:t>
      </w:r>
      <w:r w:rsidR="005853A9">
        <w:t xml:space="preserve"> and </w:t>
      </w:r>
      <w:r w:rsidRPr="001A3D2B">
        <w:t>included 191 patients with complete data</w:t>
      </w:r>
      <w:r w:rsidR="00A37C1D">
        <w:t>. The</w:t>
      </w:r>
      <w:r w:rsidR="003A1917">
        <w:t xml:space="preserve"> </w:t>
      </w:r>
      <w:r w:rsidRPr="001A3D2B">
        <w:t>period under review ranged from 8 to 13 years, with an average</w:t>
      </w:r>
      <w:r w:rsidR="00427468">
        <w:t xml:space="preserve"> of </w:t>
      </w:r>
      <w:r w:rsidRPr="001A3D2B">
        <w:t>10.5 years. Altogether, 67</w:t>
      </w:r>
      <w:r w:rsidR="00427468">
        <w:t xml:space="preserve"> of </w:t>
      </w:r>
      <w:r w:rsidR="003A1917">
        <w:t xml:space="preserve">the </w:t>
      </w:r>
      <w:r w:rsidRPr="001A3D2B">
        <w:t>191 patients (35%) either were free</w:t>
      </w:r>
      <w:r w:rsidR="00427468">
        <w:t xml:space="preserve"> of </w:t>
      </w:r>
      <w:r w:rsidRPr="001A3D2B">
        <w:t>stones or had no more symptoms from</w:t>
      </w:r>
      <w:r w:rsidR="003A1917">
        <w:t xml:space="preserve"> the </w:t>
      </w:r>
      <w:r w:rsidRPr="001A3D2B">
        <w:t>residual sialoliths. Another 15% had a significant improvement in their symptoms</w:t>
      </w:r>
      <w:r w:rsidR="005853A9">
        <w:t xml:space="preserve"> and </w:t>
      </w:r>
      <w:r w:rsidRPr="001A3D2B">
        <w:t>required no further therapy</w:t>
      </w:r>
      <w:r w:rsidR="00A37C1D">
        <w:t>. The</w:t>
      </w:r>
      <w:r w:rsidR="003A1917">
        <w:t xml:space="preserve"> </w:t>
      </w:r>
      <w:r w:rsidRPr="001A3D2B">
        <w:t>remaining 95 patients (50%) had residual stones; they had no symptoms in</w:t>
      </w:r>
      <w:r w:rsidR="003A1917">
        <w:t xml:space="preserve"> the </w:t>
      </w:r>
      <w:r w:rsidRPr="001A3D2B">
        <w:t>short review period, but have had symptoms since</w:t>
      </w:r>
      <w:r w:rsidR="00A37C1D">
        <w:t>. The</w:t>
      </w:r>
      <w:r w:rsidR="003A1917">
        <w:t xml:space="preserve"> </w:t>
      </w:r>
      <w:r w:rsidRPr="001A3D2B">
        <w:t>therapeutic success was not influenced by</w:t>
      </w:r>
      <w:r w:rsidR="003A1917">
        <w:t xml:space="preserve"> the </w:t>
      </w:r>
      <w:r w:rsidRPr="001A3D2B">
        <w:t>stone size, but rather by</w:t>
      </w:r>
      <w:r w:rsidR="003A1917">
        <w:t xml:space="preserve"> the </w:t>
      </w:r>
      <w:r w:rsidRPr="001A3D2B">
        <w:t>stone location within</w:t>
      </w:r>
      <w:r w:rsidR="003A1917">
        <w:t xml:space="preserve"> the </w:t>
      </w:r>
      <w:r w:rsidRPr="001A3D2B">
        <w:t>gland. After therapy, no severe side effects were identified. Extracorporeal shock wave lithotripsy is a possible treatment for stones in</w:t>
      </w:r>
      <w:r w:rsidR="003A1917">
        <w:t xml:space="preserve"> the </w:t>
      </w:r>
      <w:r w:rsidRPr="001A3D2B">
        <w:t>submandibular gland. In combination with other gland-preserving methods, it now forms part</w:t>
      </w:r>
      <w:r w:rsidR="00427468">
        <w:t xml:space="preserve"> of </w:t>
      </w:r>
      <w:r w:rsidRPr="001A3D2B">
        <w:t>a multi therapeutic approach that renders submandibulectomy unnecessary in</w:t>
      </w:r>
      <w:r w:rsidR="003A1917">
        <w:t xml:space="preserve"> the </w:t>
      </w:r>
      <w:r w:rsidRPr="001A3D2B">
        <w:t>majority</w:t>
      </w:r>
      <w:r w:rsidR="00427468">
        <w:t xml:space="preserve"> of </w:t>
      </w:r>
      <w:r w:rsidRPr="001A3D2B">
        <w:t>cases.</w:t>
      </w:r>
    </w:p>
    <w:p w:rsidR="003474F2" w:rsidRPr="001A3D2B" w:rsidRDefault="003474F2" w:rsidP="003474F2">
      <w:pPr>
        <w:pStyle w:val="a3"/>
      </w:pPr>
      <w:r w:rsidRPr="001A3D2B">
        <w:t>Keywords: Lithotripsy, Salivary Gland, Shock Wave, Sialolithiasis, Ultrasonography, Salivary-Gland Stones, Duct Stones, Sialolithiasis, Calculi</w:t>
      </w:r>
    </w:p>
    <w:p w:rsidR="003E631D" w:rsidRPr="001A3D2B" w:rsidRDefault="003E631D" w:rsidP="003E631D">
      <w:pPr>
        <w:pStyle w:val="1"/>
      </w:pPr>
      <w:r w:rsidRPr="001A3D2B">
        <w:br w:type="page"/>
      </w:r>
      <w:bookmarkStart w:id="492" w:name="_Toc420814518"/>
      <w:r w:rsidRPr="001A3D2B">
        <w:lastRenderedPageBreak/>
        <w:t xml:space="preserve">Title: </w:t>
      </w:r>
      <w:r w:rsidRPr="001A3D2B">
        <w:rPr>
          <w:szCs w:val="24"/>
        </w:rPr>
        <w:t>Annals</w:t>
      </w:r>
      <w:r w:rsidR="00427468">
        <w:rPr>
          <w:szCs w:val="24"/>
        </w:rPr>
        <w:t xml:space="preserve"> of </w:t>
      </w:r>
      <w:r w:rsidRPr="001A3D2B">
        <w:rPr>
          <w:szCs w:val="24"/>
        </w:rPr>
        <w:t>Pharmacotherapy</w:t>
      </w:r>
      <w:bookmarkEnd w:id="492"/>
    </w:p>
    <w:p w:rsidR="00946836" w:rsidRPr="001A3D2B" w:rsidRDefault="00946836" w:rsidP="00946836">
      <w:pPr>
        <w:pStyle w:val="12"/>
      </w:pPr>
      <w:r w:rsidRPr="001A3D2B">
        <w:t xml:space="preserve">Full Journal Title: </w:t>
      </w:r>
      <w:hyperlink r:id="rId928" w:history="1">
        <w:r w:rsidRPr="001A3D2B">
          <w:rPr>
            <w:rStyle w:val="a5"/>
          </w:rPr>
          <w:t>Annals</w:t>
        </w:r>
        <w:r w:rsidR="00427468">
          <w:rPr>
            <w:rStyle w:val="a5"/>
          </w:rPr>
          <w:t xml:space="preserve"> of </w:t>
        </w:r>
        <w:r w:rsidRPr="001A3D2B">
          <w:rPr>
            <w:rStyle w:val="a5"/>
          </w:rPr>
          <w:t>Pharmacotherapy</w:t>
        </w:r>
      </w:hyperlink>
    </w:p>
    <w:p w:rsidR="00946836" w:rsidRPr="001A3D2B" w:rsidRDefault="00946836" w:rsidP="00946836">
      <w:pPr>
        <w:pStyle w:val="12"/>
      </w:pPr>
      <w:r w:rsidRPr="001A3D2B">
        <w:t xml:space="preserve">ISO Abbreviated Title: </w:t>
      </w:r>
    </w:p>
    <w:p w:rsidR="00946836" w:rsidRPr="001A3D2B" w:rsidRDefault="00946836" w:rsidP="00946836">
      <w:pPr>
        <w:pStyle w:val="12"/>
      </w:pPr>
      <w:r w:rsidRPr="001A3D2B">
        <w:t xml:space="preserve">JCR Abbreviated Title: </w:t>
      </w:r>
    </w:p>
    <w:p w:rsidR="00946836" w:rsidRPr="001A3D2B" w:rsidRDefault="00946836" w:rsidP="00946836">
      <w:pPr>
        <w:pStyle w:val="12"/>
      </w:pPr>
      <w:r w:rsidRPr="001A3D2B">
        <w:t xml:space="preserve">ISSN: </w:t>
      </w:r>
    </w:p>
    <w:p w:rsidR="00946836" w:rsidRPr="001A3D2B" w:rsidRDefault="00946836" w:rsidP="00946836">
      <w:pPr>
        <w:pStyle w:val="12"/>
      </w:pPr>
      <w:r w:rsidRPr="001A3D2B">
        <w:t xml:space="preserve">Issues/Year: </w:t>
      </w:r>
    </w:p>
    <w:p w:rsidR="00946836" w:rsidRPr="001A3D2B" w:rsidRDefault="00946836" w:rsidP="00946836">
      <w:pPr>
        <w:pStyle w:val="12"/>
      </w:pPr>
      <w:r w:rsidRPr="001A3D2B">
        <w:t xml:space="preserve">Journal Country/Territory: </w:t>
      </w:r>
    </w:p>
    <w:p w:rsidR="00946836" w:rsidRPr="001A3D2B" w:rsidRDefault="00946836" w:rsidP="00946836">
      <w:pPr>
        <w:pStyle w:val="12"/>
      </w:pPr>
      <w:r w:rsidRPr="001A3D2B">
        <w:t xml:space="preserve">Language: </w:t>
      </w:r>
    </w:p>
    <w:p w:rsidR="00946836" w:rsidRPr="001A3D2B" w:rsidRDefault="00946836" w:rsidP="00946836">
      <w:pPr>
        <w:pStyle w:val="12"/>
      </w:pPr>
      <w:r w:rsidRPr="001A3D2B">
        <w:t xml:space="preserve">Publisher: </w:t>
      </w:r>
    </w:p>
    <w:p w:rsidR="00946836" w:rsidRPr="001A3D2B" w:rsidRDefault="00946836" w:rsidP="00946836">
      <w:pPr>
        <w:pStyle w:val="12"/>
      </w:pPr>
      <w:r w:rsidRPr="001A3D2B">
        <w:t xml:space="preserve">Publisher Address: </w:t>
      </w:r>
    </w:p>
    <w:p w:rsidR="00946836" w:rsidRPr="001A3D2B" w:rsidRDefault="00946836" w:rsidP="00946836">
      <w:pPr>
        <w:pStyle w:val="12"/>
      </w:pPr>
      <w:r w:rsidRPr="001A3D2B">
        <w:t xml:space="preserve">Subject Categories: </w:t>
      </w:r>
    </w:p>
    <w:p w:rsidR="00946836" w:rsidRPr="001A3D2B" w:rsidRDefault="00946836" w:rsidP="00946836">
      <w:pPr>
        <w:pStyle w:val="12"/>
      </w:pPr>
      <w:r w:rsidRPr="001A3D2B">
        <w:t xml:space="preserve">: Impact Factor </w:t>
      </w:r>
    </w:p>
    <w:p w:rsidR="00331531" w:rsidRPr="001A3D2B" w:rsidRDefault="00331531" w:rsidP="00331531">
      <w:pPr>
        <w:pStyle w:val="a3"/>
      </w:pPr>
      <w:r w:rsidRPr="001A3D2B">
        <w:t>? Neihouse, P.F.</w:t>
      </w:r>
      <w:r w:rsidR="005853A9">
        <w:t xml:space="preserve"> and </w:t>
      </w:r>
      <w:r w:rsidRPr="001A3D2B">
        <w:t xml:space="preserve">Priske, </w:t>
      </w:r>
      <w:smartTag w:uri="urn:schemas-microsoft-com:office:smarttags" w:element="State">
        <w:r w:rsidRPr="001A3D2B">
          <w:t>S.C.</w:t>
        </w:r>
      </w:smartTag>
      <w:r w:rsidRPr="001A3D2B">
        <w:t xml:space="preserve"> (1989), Quotation accuracy in review articles. </w:t>
      </w:r>
      <w:r w:rsidRPr="001A3D2B">
        <w:rPr>
          <w:i/>
          <w:iCs/>
        </w:rPr>
        <w:t>Annals</w:t>
      </w:r>
      <w:r w:rsidR="00427468">
        <w:rPr>
          <w:i/>
          <w:iCs/>
        </w:rPr>
        <w:t xml:space="preserve"> of </w:t>
      </w:r>
      <w:r w:rsidRPr="001A3D2B">
        <w:rPr>
          <w:i/>
          <w:iCs/>
        </w:rPr>
        <w:t>Pharmacotherapy</w:t>
      </w:r>
      <w:r w:rsidRPr="001A3D2B">
        <w:t xml:space="preserve">, </w:t>
      </w:r>
      <w:r w:rsidRPr="001A3D2B">
        <w:rPr>
          <w:b/>
          <w:bCs/>
        </w:rPr>
        <w:t>23</w:t>
      </w:r>
      <w:r w:rsidRPr="001A3D2B">
        <w:t xml:space="preserve"> (7-8), 594-596.</w:t>
      </w:r>
    </w:p>
    <w:p w:rsidR="00331531" w:rsidRDefault="00331531" w:rsidP="00331531">
      <w:pPr>
        <w:pStyle w:val="a3"/>
        <w:rPr>
          <w:kern w:val="0"/>
          <w:szCs w:val="24"/>
        </w:rPr>
      </w:pPr>
      <w:r w:rsidRPr="001A3D2B">
        <w:rPr>
          <w:kern w:val="0"/>
          <w:szCs w:val="24"/>
        </w:rPr>
        <w:t xml:space="preserve">Full Text: </w:t>
      </w:r>
      <w:r>
        <w:rPr>
          <w:kern w:val="0"/>
          <w:szCs w:val="24"/>
        </w:rPr>
        <w:t>Ann Pha</w:t>
      </w:r>
      <w:r>
        <w:rPr>
          <w:rFonts w:hint="eastAsia"/>
          <w:kern w:val="0"/>
          <w:szCs w:val="24"/>
        </w:rPr>
        <w:t>2</w:t>
      </w:r>
      <w:r>
        <w:rPr>
          <w:kern w:val="0"/>
          <w:szCs w:val="24"/>
        </w:rPr>
        <w:t xml:space="preserve">3, </w:t>
      </w:r>
      <w:r>
        <w:rPr>
          <w:rFonts w:hint="eastAsia"/>
          <w:kern w:val="0"/>
          <w:szCs w:val="24"/>
        </w:rPr>
        <w:t>594</w:t>
      </w:r>
      <w:r w:rsidRPr="00331531">
        <w:rPr>
          <w:kern w:val="0"/>
          <w:szCs w:val="24"/>
        </w:rPr>
        <w:t>.pdf</w:t>
      </w:r>
    </w:p>
    <w:p w:rsidR="003D7854" w:rsidRPr="001A3D2B" w:rsidRDefault="003D7854" w:rsidP="00331531">
      <w:pPr>
        <w:pStyle w:val="a3"/>
        <w:rPr>
          <w:kern w:val="0"/>
          <w:szCs w:val="24"/>
        </w:rPr>
      </w:pPr>
      <w:r>
        <w:rPr>
          <w:rFonts w:hint="eastAsia"/>
          <w:kern w:val="0"/>
          <w:szCs w:val="24"/>
        </w:rPr>
        <w:t>Abstract:</w:t>
      </w:r>
      <w:r w:rsidR="003A1917">
        <w:rPr>
          <w:rFonts w:hint="eastAsia"/>
          <w:kern w:val="0"/>
          <w:szCs w:val="24"/>
        </w:rPr>
        <w:t xml:space="preserve"> the </w:t>
      </w:r>
      <w:r w:rsidRPr="003D7854">
        <w:rPr>
          <w:kern w:val="0"/>
          <w:szCs w:val="24"/>
        </w:rPr>
        <w:t>purpose</w:t>
      </w:r>
      <w:r w:rsidR="00427468">
        <w:rPr>
          <w:kern w:val="0"/>
          <w:szCs w:val="24"/>
        </w:rPr>
        <w:t xml:space="preserve"> of </w:t>
      </w:r>
      <w:r w:rsidRPr="003D7854">
        <w:rPr>
          <w:kern w:val="0"/>
          <w:szCs w:val="24"/>
        </w:rPr>
        <w:t>this study was to determine</w:t>
      </w:r>
      <w:r w:rsidR="003A1917">
        <w:rPr>
          <w:kern w:val="0"/>
          <w:szCs w:val="24"/>
        </w:rPr>
        <w:t xml:space="preserve"> the </w:t>
      </w:r>
      <w:r w:rsidRPr="003D7854">
        <w:rPr>
          <w:kern w:val="0"/>
          <w:szCs w:val="24"/>
        </w:rPr>
        <w:t>accuracy</w:t>
      </w:r>
      <w:r w:rsidR="00427468">
        <w:rPr>
          <w:kern w:val="0"/>
          <w:szCs w:val="24"/>
        </w:rPr>
        <w:t xml:space="preserve"> of </w:t>
      </w:r>
      <w:r w:rsidRPr="003D7854">
        <w:rPr>
          <w:kern w:val="0"/>
          <w:szCs w:val="24"/>
        </w:rPr>
        <w:t>referenced statements in review articles focused on drug therapy. Review articles published between January</w:t>
      </w:r>
      <w:r w:rsidR="005853A9">
        <w:rPr>
          <w:kern w:val="0"/>
          <w:szCs w:val="24"/>
        </w:rPr>
        <w:t xml:space="preserve"> and </w:t>
      </w:r>
      <w:r w:rsidRPr="003D7854">
        <w:rPr>
          <w:kern w:val="0"/>
          <w:szCs w:val="24"/>
        </w:rPr>
        <w:t>December 1987 in Clinical Pharmacy, DICP, Drugs,</w:t>
      </w:r>
      <w:r w:rsidR="005853A9">
        <w:rPr>
          <w:kern w:val="0"/>
          <w:szCs w:val="24"/>
        </w:rPr>
        <w:t xml:space="preserve"> and </w:t>
      </w:r>
      <w:r w:rsidRPr="003D7854">
        <w:rPr>
          <w:kern w:val="0"/>
          <w:szCs w:val="24"/>
        </w:rPr>
        <w:t>Pharmacotherapy were used. Ninety-nine references from these articles were randomly selected</w:t>
      </w:r>
      <w:r w:rsidR="005853A9">
        <w:rPr>
          <w:kern w:val="0"/>
          <w:szCs w:val="24"/>
        </w:rPr>
        <w:t xml:space="preserve"> and </w:t>
      </w:r>
      <w:r w:rsidRPr="003D7854">
        <w:rPr>
          <w:kern w:val="0"/>
          <w:szCs w:val="24"/>
        </w:rPr>
        <w:t>pulled to determine if</w:t>
      </w:r>
      <w:r w:rsidR="003A1917">
        <w:rPr>
          <w:kern w:val="0"/>
          <w:szCs w:val="24"/>
        </w:rPr>
        <w:t xml:space="preserve"> the </w:t>
      </w:r>
      <w:r w:rsidRPr="003D7854">
        <w:rPr>
          <w:kern w:val="0"/>
          <w:szCs w:val="24"/>
        </w:rPr>
        <w:t>published study results were in agreement with</w:t>
      </w:r>
      <w:r w:rsidR="003A1917">
        <w:rPr>
          <w:kern w:val="0"/>
          <w:szCs w:val="24"/>
        </w:rPr>
        <w:t xml:space="preserve"> the </w:t>
      </w:r>
      <w:r w:rsidRPr="003D7854">
        <w:rPr>
          <w:kern w:val="0"/>
          <w:szCs w:val="24"/>
        </w:rPr>
        <w:t>review article statement</w:t>
      </w:r>
      <w:r w:rsidR="00A37C1D">
        <w:rPr>
          <w:kern w:val="0"/>
          <w:szCs w:val="24"/>
        </w:rPr>
        <w:t>. The</w:t>
      </w:r>
      <w:r w:rsidRPr="003D7854">
        <w:rPr>
          <w:kern w:val="0"/>
          <w:szCs w:val="24"/>
        </w:rPr>
        <w:t>se references accounted for 165 statements. Thirty-nine</w:t>
      </w:r>
      <w:r w:rsidR="00427468">
        <w:rPr>
          <w:kern w:val="0"/>
          <w:szCs w:val="24"/>
        </w:rPr>
        <w:t xml:space="preserve"> of </w:t>
      </w:r>
      <w:r w:rsidRPr="003D7854">
        <w:rPr>
          <w:kern w:val="0"/>
          <w:szCs w:val="24"/>
        </w:rPr>
        <w:t>165 statements in</w:t>
      </w:r>
      <w:r w:rsidR="003A1917">
        <w:rPr>
          <w:kern w:val="0"/>
          <w:szCs w:val="24"/>
        </w:rPr>
        <w:t xml:space="preserve"> the </w:t>
      </w:r>
      <w:r w:rsidRPr="003D7854">
        <w:rPr>
          <w:kern w:val="0"/>
          <w:szCs w:val="24"/>
        </w:rPr>
        <w:t>review articles (24 percent) were found to be inappropriate when compared with</w:t>
      </w:r>
      <w:r w:rsidR="003A1917">
        <w:rPr>
          <w:kern w:val="0"/>
          <w:szCs w:val="24"/>
        </w:rPr>
        <w:t xml:space="preserve"> the </w:t>
      </w:r>
      <w:r w:rsidRPr="003D7854">
        <w:rPr>
          <w:kern w:val="0"/>
          <w:szCs w:val="24"/>
        </w:rPr>
        <w:t>original references</w:t>
      </w:r>
      <w:r w:rsidR="00A37C1D">
        <w:rPr>
          <w:kern w:val="0"/>
          <w:szCs w:val="24"/>
        </w:rPr>
        <w:t>. The</w:t>
      </w:r>
      <w:r w:rsidRPr="003D7854">
        <w:rPr>
          <w:kern w:val="0"/>
          <w:szCs w:val="24"/>
        </w:rPr>
        <w:t>se inappropriate quotations were classified as either wrong, misleading, or deriving from only</w:t>
      </w:r>
      <w:r w:rsidR="003A1917">
        <w:rPr>
          <w:kern w:val="0"/>
          <w:szCs w:val="24"/>
        </w:rPr>
        <w:t xml:space="preserve"> the </w:t>
      </w:r>
      <w:r w:rsidRPr="003D7854">
        <w:rPr>
          <w:kern w:val="0"/>
          <w:szCs w:val="24"/>
        </w:rPr>
        <w:t>discussion section</w:t>
      </w:r>
      <w:r w:rsidR="00427468">
        <w:rPr>
          <w:kern w:val="0"/>
          <w:szCs w:val="24"/>
        </w:rPr>
        <w:t xml:space="preserve"> of </w:t>
      </w:r>
      <w:r w:rsidR="003A1917">
        <w:rPr>
          <w:kern w:val="0"/>
          <w:szCs w:val="24"/>
        </w:rPr>
        <w:t xml:space="preserve">the </w:t>
      </w:r>
      <w:r w:rsidRPr="003D7854">
        <w:rPr>
          <w:kern w:val="0"/>
          <w:szCs w:val="24"/>
        </w:rPr>
        <w:t>original article</w:t>
      </w:r>
      <w:r w:rsidR="00A37C1D">
        <w:rPr>
          <w:kern w:val="0"/>
          <w:szCs w:val="24"/>
        </w:rPr>
        <w:t>. The</w:t>
      </w:r>
      <w:r w:rsidRPr="003D7854">
        <w:rPr>
          <w:kern w:val="0"/>
          <w:szCs w:val="24"/>
        </w:rPr>
        <w:t>re is a need for increased awareness by authors to differentiate between reported results, article hypothesis,</w:t>
      </w:r>
      <w:r w:rsidR="005853A9">
        <w:rPr>
          <w:kern w:val="0"/>
          <w:szCs w:val="24"/>
        </w:rPr>
        <w:t xml:space="preserve"> and </w:t>
      </w:r>
      <w:r w:rsidRPr="003D7854">
        <w:rPr>
          <w:kern w:val="0"/>
          <w:szCs w:val="24"/>
        </w:rPr>
        <w:t>their own interpretations, as well as for accuracy in quotation.</w:t>
      </w:r>
    </w:p>
    <w:p w:rsidR="00764D90" w:rsidRDefault="00764D90" w:rsidP="00764D90">
      <w:pPr>
        <w:pStyle w:val="a3"/>
        <w:rPr>
          <w:kern w:val="0"/>
        </w:rPr>
      </w:pPr>
      <w:r>
        <w:rPr>
          <w:rFonts w:hint="eastAsia"/>
          <w:kern w:val="0"/>
        </w:rPr>
        <w:t xml:space="preserve">? </w:t>
      </w:r>
      <w:r>
        <w:rPr>
          <w:kern w:val="0"/>
        </w:rPr>
        <w:t xml:space="preserve">Hatton, R.C. (2000), Bismuth subgallate-epinephrine paste in adenotonsillectomies. </w:t>
      </w:r>
      <w:r>
        <w:rPr>
          <w:i/>
          <w:iCs/>
          <w:kern w:val="0"/>
        </w:rPr>
        <w:t>Annals</w:t>
      </w:r>
      <w:r w:rsidR="00427468">
        <w:rPr>
          <w:i/>
          <w:iCs/>
          <w:kern w:val="0"/>
        </w:rPr>
        <w:t xml:space="preserve"> of </w:t>
      </w:r>
      <w:r>
        <w:rPr>
          <w:i/>
          <w:iCs/>
          <w:kern w:val="0"/>
        </w:rPr>
        <w:t>Pharmacotherapy</w:t>
      </w:r>
      <w:r>
        <w:rPr>
          <w:kern w:val="0"/>
        </w:rPr>
        <w:t xml:space="preserve">, </w:t>
      </w:r>
      <w:r>
        <w:rPr>
          <w:b/>
          <w:bCs/>
          <w:kern w:val="0"/>
        </w:rPr>
        <w:t>34</w:t>
      </w:r>
      <w:r>
        <w:rPr>
          <w:kern w:val="0"/>
        </w:rPr>
        <w:t xml:space="preserve"> (4), 522-525.</w:t>
      </w:r>
    </w:p>
    <w:p w:rsidR="00764D90" w:rsidRPr="001A3D2B" w:rsidRDefault="00764D90" w:rsidP="00764D90">
      <w:pPr>
        <w:pStyle w:val="a3"/>
        <w:rPr>
          <w:kern w:val="0"/>
          <w:szCs w:val="24"/>
        </w:rPr>
      </w:pPr>
      <w:r w:rsidRPr="001A3D2B">
        <w:rPr>
          <w:kern w:val="0"/>
          <w:szCs w:val="24"/>
        </w:rPr>
        <w:t xml:space="preserve">Full Text: </w:t>
      </w:r>
      <w:r>
        <w:rPr>
          <w:kern w:val="0"/>
          <w:szCs w:val="24"/>
        </w:rPr>
        <w:t>Ann Pha</w:t>
      </w:r>
      <w:r>
        <w:rPr>
          <w:rFonts w:hint="eastAsia"/>
          <w:kern w:val="0"/>
          <w:szCs w:val="24"/>
        </w:rPr>
        <w:t>34</w:t>
      </w:r>
      <w:r>
        <w:rPr>
          <w:kern w:val="0"/>
          <w:szCs w:val="24"/>
        </w:rPr>
        <w:t xml:space="preserve">, </w:t>
      </w:r>
      <w:r>
        <w:rPr>
          <w:rFonts w:hint="eastAsia"/>
          <w:kern w:val="0"/>
          <w:szCs w:val="24"/>
        </w:rPr>
        <w:t>522</w:t>
      </w:r>
      <w:r w:rsidRPr="00331531">
        <w:rPr>
          <w:kern w:val="0"/>
          <w:szCs w:val="24"/>
        </w:rPr>
        <w:t>.pdf</w:t>
      </w:r>
    </w:p>
    <w:p w:rsidR="00764D90" w:rsidRDefault="00764D90" w:rsidP="00764D90">
      <w:pPr>
        <w:pStyle w:val="a3"/>
        <w:rPr>
          <w:kern w:val="0"/>
        </w:rPr>
      </w:pPr>
      <w:r>
        <w:rPr>
          <w:kern w:val="0"/>
        </w:rPr>
        <w:t>Abstract: OBJECTIVE: To evaluate</w:t>
      </w:r>
      <w:r w:rsidR="003A1917">
        <w:rPr>
          <w:kern w:val="0"/>
        </w:rPr>
        <w:t xml:space="preserve"> the </w:t>
      </w:r>
      <w:r>
        <w:rPr>
          <w:kern w:val="0"/>
        </w:rPr>
        <w:t>role</w:t>
      </w:r>
      <w:r w:rsidR="00427468">
        <w:rPr>
          <w:kern w:val="0"/>
        </w:rPr>
        <w:t xml:space="preserve"> of </w:t>
      </w:r>
      <w:r>
        <w:rPr>
          <w:kern w:val="0"/>
        </w:rPr>
        <w:t xml:space="preserve">bismuth subgallate-epinephrine (BSE) paste as a hemostatic in adenotonsillectomies. DATA SOURCES: </w:t>
      </w:r>
      <w:r w:rsidR="00D5664A">
        <w:rPr>
          <w:kern w:val="0"/>
        </w:rPr>
        <w:t>MEDLINE</w:t>
      </w:r>
      <w:r>
        <w:rPr>
          <w:kern w:val="0"/>
        </w:rPr>
        <w:t xml:space="preserve"> (January 1966-October 1999)</w:t>
      </w:r>
      <w:r w:rsidR="005853A9">
        <w:rPr>
          <w:kern w:val="0"/>
        </w:rPr>
        <w:t xml:space="preserve"> and </w:t>
      </w:r>
      <w:r>
        <w:rPr>
          <w:kern w:val="0"/>
        </w:rPr>
        <w:t>Current Contents (January 1997-October 1999) were searched, using bismuth subgallate, adenoidectomy, tonsillectomy,</w:t>
      </w:r>
      <w:r w:rsidR="005853A9">
        <w:rPr>
          <w:kern w:val="0"/>
        </w:rPr>
        <w:t xml:space="preserve"> and </w:t>
      </w:r>
      <w:r>
        <w:rPr>
          <w:kern w:val="0"/>
        </w:rPr>
        <w:t xml:space="preserve">adenotonsillectomy as search terms. A citation search was performed using Science Citation Index (January 1977-October 1999). DATA SYNTHESIS: Adenotonsillectomies are common procedures; although there are few complications, </w:t>
      </w:r>
      <w:r>
        <w:rPr>
          <w:kern w:val="0"/>
        </w:rPr>
        <w:lastRenderedPageBreak/>
        <w:t>hemorrhage is a concern. Bismuth subgallate has historically been used as an astringent</w:t>
      </w:r>
      <w:r w:rsidR="005853A9">
        <w:rPr>
          <w:kern w:val="0"/>
        </w:rPr>
        <w:t xml:space="preserve"> and </w:t>
      </w:r>
      <w:r>
        <w:rPr>
          <w:kern w:val="0"/>
        </w:rPr>
        <w:t>hemostatic. An evaluation</w:t>
      </w:r>
      <w:r w:rsidR="00427468">
        <w:rPr>
          <w:kern w:val="0"/>
        </w:rPr>
        <w:t xml:space="preserve"> of </w:t>
      </w:r>
      <w:r>
        <w:rPr>
          <w:kern w:val="0"/>
        </w:rPr>
        <w:t>studies</w:t>
      </w:r>
      <w:r w:rsidR="00427468">
        <w:rPr>
          <w:kern w:val="0"/>
        </w:rPr>
        <w:t xml:space="preserve"> of </w:t>
      </w:r>
      <w:r>
        <w:rPr>
          <w:kern w:val="0"/>
        </w:rPr>
        <w:t>bismuth subgallate</w:t>
      </w:r>
      <w:r w:rsidR="005853A9">
        <w:rPr>
          <w:kern w:val="0"/>
        </w:rPr>
        <w:t xml:space="preserve"> and </w:t>
      </w:r>
      <w:r>
        <w:rPr>
          <w:kern w:val="0"/>
        </w:rPr>
        <w:t>BSE paste was conducted. CONCLUSIONS: There is minimal evidence to support this practice, but data suggest that epinephrine may be</w:t>
      </w:r>
      <w:r w:rsidR="003A1917">
        <w:rPr>
          <w:kern w:val="0"/>
        </w:rPr>
        <w:t xml:space="preserve"> the </w:t>
      </w:r>
      <w:r>
        <w:rPr>
          <w:kern w:val="0"/>
        </w:rPr>
        <w:t>active ingredient in BSE paste. BSE paste is inexpensive, poses little risk,</w:t>
      </w:r>
      <w:r w:rsidR="005853A9">
        <w:rPr>
          <w:kern w:val="0"/>
        </w:rPr>
        <w:t xml:space="preserve"> and </w:t>
      </w:r>
      <w:r>
        <w:rPr>
          <w:kern w:val="0"/>
        </w:rPr>
        <w:t>may decrease postoperative bleeding; therefore, it may be a reasonable hemostatic agent.</w:t>
      </w:r>
    </w:p>
    <w:p w:rsidR="00764D90" w:rsidRDefault="00764D90" w:rsidP="00764D90">
      <w:pPr>
        <w:pStyle w:val="a3"/>
        <w:rPr>
          <w:kern w:val="0"/>
        </w:rPr>
      </w:pPr>
      <w:r>
        <w:rPr>
          <w:kern w:val="0"/>
        </w:rPr>
        <w:t xml:space="preserve">Keywords: Adenoidectomy, Adenotonsillectomies, Bismuth Subgallate-Epinephrine, Citation, Evaluation, </w:t>
      </w:r>
      <w:r w:rsidR="00D5664A">
        <w:rPr>
          <w:kern w:val="0"/>
        </w:rPr>
        <w:t>MEDLINE</w:t>
      </w:r>
      <w:r>
        <w:rPr>
          <w:kern w:val="0"/>
        </w:rPr>
        <w:t>, Science Citation Index, Support, Tonsillectomy</w:t>
      </w:r>
    </w:p>
    <w:p w:rsidR="008C1C37" w:rsidRDefault="008C1C37" w:rsidP="008C1C37">
      <w:pPr>
        <w:pStyle w:val="a3"/>
        <w:rPr>
          <w:kern w:val="0"/>
        </w:rPr>
      </w:pPr>
      <w:r>
        <w:rPr>
          <w:rFonts w:hint="eastAsia"/>
          <w:kern w:val="0"/>
        </w:rPr>
        <w:t xml:space="preserve">? </w:t>
      </w:r>
      <w:r>
        <w:rPr>
          <w:kern w:val="0"/>
        </w:rPr>
        <w:t>Levien, T.L., Baker, D.E., Campbell, R.K.</w:t>
      </w:r>
      <w:r w:rsidR="005853A9">
        <w:rPr>
          <w:kern w:val="0"/>
        </w:rPr>
        <w:t xml:space="preserve"> and </w:t>
      </w:r>
      <w:r>
        <w:rPr>
          <w:kern w:val="0"/>
        </w:rPr>
        <w:t xml:space="preserve">White, J.R. (2001), Nateglinide therapy for type 2 diabetes mellitus. </w:t>
      </w:r>
      <w:r>
        <w:rPr>
          <w:i/>
          <w:iCs/>
          <w:kern w:val="0"/>
        </w:rPr>
        <w:t>Annals</w:t>
      </w:r>
      <w:r w:rsidR="00427468">
        <w:rPr>
          <w:i/>
          <w:iCs/>
          <w:kern w:val="0"/>
        </w:rPr>
        <w:t xml:space="preserve"> of </w:t>
      </w:r>
      <w:r>
        <w:rPr>
          <w:i/>
          <w:iCs/>
          <w:kern w:val="0"/>
        </w:rPr>
        <w:t>Pharmacotherapy</w:t>
      </w:r>
      <w:r>
        <w:rPr>
          <w:kern w:val="0"/>
        </w:rPr>
        <w:t xml:space="preserve">, </w:t>
      </w:r>
      <w:r>
        <w:rPr>
          <w:b/>
          <w:bCs/>
          <w:kern w:val="0"/>
        </w:rPr>
        <w:t>35</w:t>
      </w:r>
      <w:r>
        <w:rPr>
          <w:kern w:val="0"/>
        </w:rPr>
        <w:t xml:space="preserve"> (11), 1426-1434.</w:t>
      </w:r>
    </w:p>
    <w:p w:rsidR="008C1C37" w:rsidRDefault="008C1C37" w:rsidP="008C1C37">
      <w:pPr>
        <w:pStyle w:val="a3"/>
        <w:rPr>
          <w:kern w:val="0"/>
        </w:rPr>
      </w:pPr>
      <w:r>
        <w:rPr>
          <w:kern w:val="0"/>
        </w:rPr>
        <w:t>Abstract: Objective: To review</w:t>
      </w:r>
      <w:r w:rsidR="003A1917">
        <w:rPr>
          <w:kern w:val="0"/>
        </w:rPr>
        <w:t xml:space="preserve"> the </w:t>
      </w:r>
      <w:r>
        <w:rPr>
          <w:kern w:val="0"/>
        </w:rPr>
        <w:t>pharmocology, pharmacokinetics, dosing guidelines, adverse effects, drug interactions,</w:t>
      </w:r>
      <w:r w:rsidR="005853A9">
        <w:rPr>
          <w:kern w:val="0"/>
        </w:rPr>
        <w:t xml:space="preserve"> and </w:t>
      </w:r>
      <w:r>
        <w:rPr>
          <w:kern w:val="0"/>
        </w:rPr>
        <w:t>clinical efficacy</w:t>
      </w:r>
      <w:r w:rsidR="00427468">
        <w:rPr>
          <w:kern w:val="0"/>
        </w:rPr>
        <w:t xml:space="preserve"> of </w:t>
      </w:r>
      <w:r>
        <w:rPr>
          <w:kern w:val="0"/>
        </w:rPr>
        <w:t>nateglinide. Data Source: Primary</w:t>
      </w:r>
      <w:r w:rsidR="005853A9">
        <w:rPr>
          <w:kern w:val="0"/>
        </w:rPr>
        <w:t xml:space="preserve"> and </w:t>
      </w:r>
      <w:r>
        <w:rPr>
          <w:kern w:val="0"/>
        </w:rPr>
        <w:t xml:space="preserve">review articles regarding nateglinide were identified by </w:t>
      </w:r>
      <w:r w:rsidR="00D5664A">
        <w:rPr>
          <w:kern w:val="0"/>
        </w:rPr>
        <w:t>MEDLINE</w:t>
      </w:r>
      <w:r>
        <w:rPr>
          <w:kern w:val="0"/>
        </w:rPr>
        <w:t xml:space="preserve"> search (from 1966 to January 2001); abstracts were identified through</w:t>
      </w:r>
      <w:r w:rsidR="003A1917">
        <w:rPr>
          <w:kern w:val="0"/>
        </w:rPr>
        <w:t xml:space="preserve"> the </w:t>
      </w:r>
      <w:r>
        <w:rPr>
          <w:kern w:val="0"/>
        </w:rPr>
        <w:t xml:space="preserve">Institute for Scientific Information </w:t>
      </w:r>
      <w:r w:rsidR="00D5664A">
        <w:rPr>
          <w:kern w:val="0"/>
        </w:rPr>
        <w:t>Web</w:t>
      </w:r>
      <w:r w:rsidR="00427468">
        <w:rPr>
          <w:kern w:val="0"/>
        </w:rPr>
        <w:t xml:space="preserve"> of </w:t>
      </w:r>
      <w:r w:rsidR="00D5664A">
        <w:rPr>
          <w:kern w:val="0"/>
        </w:rPr>
        <w:t>Science</w:t>
      </w:r>
      <w:r>
        <w:rPr>
          <w:kern w:val="0"/>
        </w:rPr>
        <w:t xml:space="preserve"> (from 1995 to January 2001)</w:t>
      </w:r>
      <w:r w:rsidR="005853A9">
        <w:rPr>
          <w:kern w:val="0"/>
        </w:rPr>
        <w:t xml:space="preserve"> and </w:t>
      </w:r>
      <w:r w:rsidR="003A1917">
        <w:rPr>
          <w:kern w:val="0"/>
        </w:rPr>
        <w:t xml:space="preserve">the </w:t>
      </w:r>
      <w:r>
        <w:rPr>
          <w:kern w:val="0"/>
        </w:rPr>
        <w:t>American Diabetes Association; additional information was obtained from</w:t>
      </w:r>
      <w:r w:rsidR="003A1917">
        <w:rPr>
          <w:kern w:val="0"/>
        </w:rPr>
        <w:t xml:space="preserve"> the </w:t>
      </w:r>
      <w:r>
        <w:rPr>
          <w:kern w:val="0"/>
        </w:rPr>
        <w:t>nateglinide product information. Study Selection/Data Extraction: All articles</w:t>
      </w:r>
      <w:r w:rsidR="005853A9">
        <w:rPr>
          <w:kern w:val="0"/>
        </w:rPr>
        <w:t xml:space="preserve"> and </w:t>
      </w:r>
      <w:r>
        <w:rPr>
          <w:kern w:val="0"/>
        </w:rPr>
        <w:t>meeting abstracts identified from</w:t>
      </w:r>
      <w:r w:rsidR="003A1917">
        <w:rPr>
          <w:kern w:val="0"/>
        </w:rPr>
        <w:t xml:space="preserve"> the </w:t>
      </w:r>
      <w:r>
        <w:rPr>
          <w:kern w:val="0"/>
        </w:rPr>
        <w:t>data source were evaluated</w:t>
      </w:r>
      <w:r w:rsidR="005853A9">
        <w:rPr>
          <w:kern w:val="0"/>
        </w:rPr>
        <w:t xml:space="preserve"> and </w:t>
      </w:r>
      <w:r>
        <w:rPr>
          <w:kern w:val="0"/>
        </w:rPr>
        <w:t>all information deemed relevant was included in this review. Much</w:t>
      </w:r>
      <w:r w:rsidR="00427468">
        <w:rPr>
          <w:kern w:val="0"/>
        </w:rPr>
        <w:t xml:space="preserve"> of </w:t>
      </w:r>
      <w:r w:rsidR="003A1917">
        <w:rPr>
          <w:kern w:val="0"/>
        </w:rPr>
        <w:t xml:space="preserve">the </w:t>
      </w:r>
      <w:r>
        <w:rPr>
          <w:kern w:val="0"/>
        </w:rPr>
        <w:t>information was from abstracts or</w:t>
      </w:r>
      <w:r w:rsidR="003A1917">
        <w:rPr>
          <w:kern w:val="0"/>
        </w:rPr>
        <w:t xml:space="preserve"> the </w:t>
      </w:r>
      <w:r>
        <w:rPr>
          <w:kern w:val="0"/>
        </w:rPr>
        <w:t>product labeling, since few clinical studies have been published in</w:t>
      </w:r>
      <w:r w:rsidR="003A1917">
        <w:rPr>
          <w:kern w:val="0"/>
        </w:rPr>
        <w:t xml:space="preserve"> the </w:t>
      </w:r>
      <w:r>
        <w:rPr>
          <w:kern w:val="0"/>
        </w:rPr>
        <w:t>medical literature. Data Synthesis: Nateglinide is a novel nonsulfonylurea oral antidiabetic agent that stimulates insulin secretion from</w:t>
      </w:r>
      <w:r w:rsidR="003A1917">
        <w:rPr>
          <w:kern w:val="0"/>
        </w:rPr>
        <w:t xml:space="preserve"> the </w:t>
      </w:r>
      <w:r>
        <w:rPr>
          <w:kern w:val="0"/>
        </w:rPr>
        <w:t>pancreas. It has a rapid onset</w:t>
      </w:r>
      <w:r w:rsidR="005853A9">
        <w:rPr>
          <w:kern w:val="0"/>
        </w:rPr>
        <w:t xml:space="preserve"> and </w:t>
      </w:r>
      <w:r>
        <w:rPr>
          <w:kern w:val="0"/>
        </w:rPr>
        <w:t>short duration</w:t>
      </w:r>
      <w:r w:rsidR="00427468">
        <w:rPr>
          <w:kern w:val="0"/>
        </w:rPr>
        <w:t xml:space="preserve"> of </w:t>
      </w:r>
      <w:r>
        <w:rPr>
          <w:kern w:val="0"/>
        </w:rPr>
        <w:t>action, allowing administration before a meal to reduce postprandial hyperglycemia. Improvement in glycemic control with nateglinide monotherapy has been demonstrated in patients not previously treated with antidiabetic medications. Greater improvement in glycemic control was observed when nateglinide was administered in combination with metformin. Conclusions: Nateglinide is similar to repaglinide, but has a quicker onset</w:t>
      </w:r>
      <w:r w:rsidR="00427468">
        <w:rPr>
          <w:kern w:val="0"/>
        </w:rPr>
        <w:t xml:space="preserve"> of </w:t>
      </w:r>
      <w:r>
        <w:rPr>
          <w:kern w:val="0"/>
        </w:rPr>
        <w:t>action, quicker reversal,</w:t>
      </w:r>
      <w:r w:rsidR="005853A9">
        <w:rPr>
          <w:kern w:val="0"/>
        </w:rPr>
        <w:t xml:space="preserve"> and </w:t>
      </w:r>
      <w:r>
        <w:rPr>
          <w:kern w:val="0"/>
        </w:rPr>
        <w:t>does not usually require dosage titration. Based on</w:t>
      </w:r>
      <w:r w:rsidR="003A1917">
        <w:rPr>
          <w:kern w:val="0"/>
        </w:rPr>
        <w:t xml:space="preserve"> the </w:t>
      </w:r>
      <w:r>
        <w:rPr>
          <w:kern w:val="0"/>
        </w:rPr>
        <w:t>pharmacodynamics</w:t>
      </w:r>
      <w:r w:rsidR="00427468">
        <w:rPr>
          <w:kern w:val="0"/>
        </w:rPr>
        <w:t xml:space="preserve"> of </w:t>
      </w:r>
      <w:r>
        <w:rPr>
          <w:kern w:val="0"/>
        </w:rPr>
        <w:t>nateglinide</w:t>
      </w:r>
      <w:r w:rsidR="005853A9">
        <w:rPr>
          <w:kern w:val="0"/>
        </w:rPr>
        <w:t xml:space="preserve"> and </w:t>
      </w:r>
      <w:r>
        <w:rPr>
          <w:kern w:val="0"/>
        </w:rPr>
        <w:t>repaglinide, nateglinide produces a more rapid postprandial increase in insulin secretion,</w:t>
      </w:r>
      <w:r w:rsidR="005853A9">
        <w:rPr>
          <w:kern w:val="0"/>
        </w:rPr>
        <w:t xml:space="preserve"> and </w:t>
      </w:r>
      <w:r>
        <w:rPr>
          <w:kern w:val="0"/>
        </w:rPr>
        <w:t>its duration</w:t>
      </w:r>
      <w:r w:rsidR="00427468">
        <w:rPr>
          <w:kern w:val="0"/>
        </w:rPr>
        <w:t xml:space="preserve"> of </w:t>
      </w:r>
      <w:r>
        <w:rPr>
          <w:kern w:val="0"/>
        </w:rPr>
        <w:t>response is shorter than that</w:t>
      </w:r>
      <w:r w:rsidR="00427468">
        <w:rPr>
          <w:kern w:val="0"/>
        </w:rPr>
        <w:t xml:space="preserve"> of </w:t>
      </w:r>
      <w:r>
        <w:rPr>
          <w:kern w:val="0"/>
        </w:rPr>
        <w:t>repaglinide</w:t>
      </w:r>
      <w:r w:rsidR="00A37C1D">
        <w:rPr>
          <w:kern w:val="0"/>
        </w:rPr>
        <w:t>. The</w:t>
      </w:r>
      <w:r w:rsidR="003A1917">
        <w:rPr>
          <w:kern w:val="0"/>
        </w:rPr>
        <w:t xml:space="preserve"> </w:t>
      </w:r>
      <w:r>
        <w:rPr>
          <w:kern w:val="0"/>
        </w:rPr>
        <w:t>risk</w:t>
      </w:r>
      <w:r w:rsidR="00427468">
        <w:rPr>
          <w:kern w:val="0"/>
        </w:rPr>
        <w:t xml:space="preserve"> of </w:t>
      </w:r>
      <w:r>
        <w:rPr>
          <w:kern w:val="0"/>
        </w:rPr>
        <w:t>postabsorptive hypoglycemia should be lower than with either sulfonylureas or repaglinide.</w:t>
      </w:r>
    </w:p>
    <w:p w:rsidR="008C1C37" w:rsidRDefault="008C1C37" w:rsidP="008C1C37">
      <w:pPr>
        <w:pStyle w:val="a3"/>
        <w:rPr>
          <w:kern w:val="0"/>
        </w:rPr>
      </w:pPr>
      <w:r>
        <w:rPr>
          <w:kern w:val="0"/>
        </w:rPr>
        <w:t xml:space="preserve">Keywords: Adverse Effects, Agent Nateglinide, Cardiovascular-Disease, Control, Diabetes, Diabetes Mellitus, Drug, Drug Interactions, Efficacy, Extraction, Glucose, Guidelines, Hyperglycemia, Hypoglycemia, Information, Insulin, Insulin-Secretion, Literature, Medical, </w:t>
      </w:r>
      <w:r w:rsidR="00D5664A">
        <w:rPr>
          <w:kern w:val="0"/>
        </w:rPr>
        <w:t>MEDLINE</w:t>
      </w:r>
      <w:r>
        <w:rPr>
          <w:kern w:val="0"/>
        </w:rPr>
        <w:t xml:space="preserve">, Metformin, Monotherapy, Nateglinide, Primary, Review, Risk, Science, Scientific Information, Starlix, Therapy, Type 2, Type 2 </w:t>
      </w:r>
      <w:r>
        <w:rPr>
          <w:kern w:val="0"/>
        </w:rPr>
        <w:lastRenderedPageBreak/>
        <w:t xml:space="preserve">Diabetes, Type 2 Diabetes Mellitus,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evien, T.L., Baker, D.E., White, J.R.</w:t>
      </w:r>
      <w:r w:rsidR="005853A9">
        <w:rPr>
          <w:kern w:val="0"/>
        </w:rPr>
        <w:t xml:space="preserve"> and </w:t>
      </w:r>
      <w:r>
        <w:rPr>
          <w:kern w:val="0"/>
        </w:rPr>
        <w:t xml:space="preserve">Campbell, R.K. (2002), Insulin glargine: A new basal insulin. </w:t>
      </w:r>
      <w:r>
        <w:rPr>
          <w:i/>
          <w:iCs/>
          <w:kern w:val="0"/>
        </w:rPr>
        <w:t>Annals</w:t>
      </w:r>
      <w:r w:rsidR="00427468">
        <w:rPr>
          <w:i/>
          <w:iCs/>
          <w:kern w:val="0"/>
        </w:rPr>
        <w:t xml:space="preserve"> of </w:t>
      </w:r>
      <w:r>
        <w:rPr>
          <w:i/>
          <w:iCs/>
          <w:kern w:val="0"/>
        </w:rPr>
        <w:t>Pharmacotherapy</w:t>
      </w:r>
      <w:r>
        <w:rPr>
          <w:kern w:val="0"/>
        </w:rPr>
        <w:t xml:space="preserve">, </w:t>
      </w:r>
      <w:r>
        <w:rPr>
          <w:b/>
          <w:bCs/>
          <w:kern w:val="0"/>
        </w:rPr>
        <w:t>36</w:t>
      </w:r>
      <w:r>
        <w:rPr>
          <w:kern w:val="0"/>
        </w:rPr>
        <w:t xml:space="preserve"> (6), 1019-1027.</w:t>
      </w:r>
    </w:p>
    <w:p w:rsidR="008C1C37" w:rsidRDefault="008C1C37" w:rsidP="008C1C37">
      <w:pPr>
        <w:pStyle w:val="a3"/>
        <w:rPr>
          <w:kern w:val="0"/>
        </w:rPr>
      </w:pPr>
      <w:r>
        <w:rPr>
          <w:kern w:val="0"/>
        </w:rPr>
        <w:t>Abstract: Objective: To review</w:t>
      </w:r>
      <w:r w:rsidR="003A1917">
        <w:rPr>
          <w:kern w:val="0"/>
        </w:rPr>
        <w:t xml:space="preserve"> the </w:t>
      </w:r>
      <w:r>
        <w:rPr>
          <w:kern w:val="0"/>
        </w:rPr>
        <w:t>pharmacology, pharmacokinetics, dosing guidelines, adverse effects, drug interactions,</w:t>
      </w:r>
      <w:r w:rsidR="005853A9">
        <w:rPr>
          <w:kern w:val="0"/>
        </w:rPr>
        <w:t xml:space="preserve"> and </w:t>
      </w:r>
      <w:r>
        <w:rPr>
          <w:kern w:val="0"/>
        </w:rPr>
        <w:t>clinical efficacy</w:t>
      </w:r>
      <w:r w:rsidR="00427468">
        <w:rPr>
          <w:kern w:val="0"/>
        </w:rPr>
        <w:t xml:space="preserve"> of </w:t>
      </w:r>
      <w:r>
        <w:rPr>
          <w:kern w:val="0"/>
        </w:rPr>
        <w:t>insulin glargine. Data Sources: Primary</w:t>
      </w:r>
      <w:r w:rsidR="005853A9">
        <w:rPr>
          <w:kern w:val="0"/>
        </w:rPr>
        <w:t xml:space="preserve"> and </w:t>
      </w:r>
      <w:r>
        <w:rPr>
          <w:kern w:val="0"/>
        </w:rPr>
        <w:t xml:space="preserve">review articles regarding insulin glargine were identified by </w:t>
      </w:r>
      <w:r w:rsidR="00D5664A">
        <w:rPr>
          <w:kern w:val="0"/>
        </w:rPr>
        <w:t>MEDLINE</w:t>
      </w:r>
      <w:r>
        <w:rPr>
          <w:kern w:val="0"/>
        </w:rPr>
        <w:t xml:space="preserve"> search (1966-July 2001); abstracts were identified through Institute for Scientific Information </w:t>
      </w:r>
      <w:r w:rsidR="00D5664A">
        <w:rPr>
          <w:kern w:val="0"/>
        </w:rPr>
        <w:t>Web</w:t>
      </w:r>
      <w:r w:rsidR="00427468">
        <w:rPr>
          <w:kern w:val="0"/>
        </w:rPr>
        <w:t xml:space="preserve"> of </w:t>
      </w:r>
      <w:r w:rsidR="00D5664A">
        <w:rPr>
          <w:kern w:val="0"/>
        </w:rPr>
        <w:t>Science</w:t>
      </w:r>
      <w:r>
        <w:rPr>
          <w:kern w:val="0"/>
        </w:rPr>
        <w:t xml:space="preserve"> (1995-July 2001)</w:t>
      </w:r>
      <w:r w:rsidR="005853A9">
        <w:rPr>
          <w:kern w:val="0"/>
        </w:rPr>
        <w:t xml:space="preserve"> and </w:t>
      </w:r>
      <w:r w:rsidR="003A1917">
        <w:rPr>
          <w:kern w:val="0"/>
        </w:rPr>
        <w:t xml:space="preserve">the </w:t>
      </w:r>
      <w:r>
        <w:rPr>
          <w:kern w:val="0"/>
        </w:rPr>
        <w:t>American Diabetes Association. Additional information was obtained from</w:t>
      </w:r>
      <w:r w:rsidR="003A1917">
        <w:rPr>
          <w:kern w:val="0"/>
        </w:rPr>
        <w:t xml:space="preserve"> the </w:t>
      </w:r>
      <w:r>
        <w:rPr>
          <w:kern w:val="0"/>
        </w:rPr>
        <w:t>insulin glargine product information. Study Selection</w:t>
      </w:r>
      <w:r w:rsidR="005853A9">
        <w:rPr>
          <w:kern w:val="0"/>
        </w:rPr>
        <w:t xml:space="preserve"> and </w:t>
      </w:r>
      <w:r>
        <w:rPr>
          <w:kern w:val="0"/>
        </w:rPr>
        <w:t>Data Extraction: All</w:t>
      </w:r>
      <w:r w:rsidR="00427468">
        <w:rPr>
          <w:kern w:val="0"/>
        </w:rPr>
        <w:t xml:space="preserve"> of </w:t>
      </w:r>
      <w:r w:rsidR="003A1917">
        <w:rPr>
          <w:kern w:val="0"/>
        </w:rPr>
        <w:t xml:space="preserve">the </w:t>
      </w:r>
      <w:r>
        <w:rPr>
          <w:kern w:val="0"/>
        </w:rPr>
        <w:t>articles</w:t>
      </w:r>
      <w:r w:rsidR="005853A9">
        <w:rPr>
          <w:kern w:val="0"/>
        </w:rPr>
        <w:t xml:space="preserve"> and </w:t>
      </w:r>
      <w:r>
        <w:rPr>
          <w:kern w:val="0"/>
        </w:rPr>
        <w:t>meeting abstracts identified from</w:t>
      </w:r>
      <w:r w:rsidR="003A1917">
        <w:rPr>
          <w:kern w:val="0"/>
        </w:rPr>
        <w:t xml:space="preserve"> the </w:t>
      </w:r>
      <w:r>
        <w:rPr>
          <w:kern w:val="0"/>
        </w:rPr>
        <w:t>data sources were evaluated,</w:t>
      </w:r>
      <w:r w:rsidR="005853A9">
        <w:rPr>
          <w:kern w:val="0"/>
        </w:rPr>
        <w:t xml:space="preserve"> and </w:t>
      </w:r>
      <w:r>
        <w:rPr>
          <w:kern w:val="0"/>
        </w:rPr>
        <w:t>all information deemed relevant was included in this review. Priority was placed on data from</w:t>
      </w:r>
      <w:r w:rsidR="003A1917">
        <w:rPr>
          <w:kern w:val="0"/>
        </w:rPr>
        <w:t xml:space="preserve"> the </w:t>
      </w:r>
      <w:r>
        <w:rPr>
          <w:kern w:val="0"/>
        </w:rPr>
        <w:t>primary medical literature. Data Synthesis: Insulin glargine is a long-acting, recombinant human insulin analog that is given once daily as a basal source</w:t>
      </w:r>
      <w:r w:rsidR="00427468">
        <w:rPr>
          <w:kern w:val="0"/>
        </w:rPr>
        <w:t xml:space="preserve"> of </w:t>
      </w:r>
      <w:r>
        <w:rPr>
          <w:kern w:val="0"/>
        </w:rPr>
        <w:t>insulin in patients with type 1 or type 2 diabetes mellitus. Modification</w:t>
      </w:r>
      <w:r w:rsidR="00427468">
        <w:rPr>
          <w:kern w:val="0"/>
        </w:rPr>
        <w:t xml:space="preserve"> of </w:t>
      </w:r>
      <w:r w:rsidR="003A1917">
        <w:rPr>
          <w:kern w:val="0"/>
        </w:rPr>
        <w:t xml:space="preserve">the </w:t>
      </w:r>
      <w:r>
        <w:rPr>
          <w:kern w:val="0"/>
        </w:rPr>
        <w:t>basic insulin structure has produced a new insulin that is soluble at an acidic pH, but precipitates in</w:t>
      </w:r>
      <w:r w:rsidR="003A1917">
        <w:rPr>
          <w:kern w:val="0"/>
        </w:rPr>
        <w:t xml:space="preserve"> the </w:t>
      </w:r>
      <w:r>
        <w:rPr>
          <w:kern w:val="0"/>
        </w:rPr>
        <w:t>subcutaneous tissue</w:t>
      </w:r>
      <w:r w:rsidR="005853A9">
        <w:rPr>
          <w:kern w:val="0"/>
        </w:rPr>
        <w:t xml:space="preserve"> and </w:t>
      </w:r>
      <w:r>
        <w:rPr>
          <w:kern w:val="0"/>
        </w:rPr>
        <w:t>is slowly released from a depot. Insulin glargine has a slower onset</w:t>
      </w:r>
      <w:r w:rsidR="00427468">
        <w:rPr>
          <w:kern w:val="0"/>
        </w:rPr>
        <w:t xml:space="preserve"> of </w:t>
      </w:r>
      <w:r>
        <w:rPr>
          <w:kern w:val="0"/>
        </w:rPr>
        <w:t>action than NPH insulin</w:t>
      </w:r>
      <w:r w:rsidR="005853A9">
        <w:rPr>
          <w:kern w:val="0"/>
        </w:rPr>
        <w:t xml:space="preserve"> and </w:t>
      </w:r>
      <w:r>
        <w:rPr>
          <w:kern w:val="0"/>
        </w:rPr>
        <w:t>a longer duration</w:t>
      </w:r>
      <w:r w:rsidR="00427468">
        <w:rPr>
          <w:kern w:val="0"/>
        </w:rPr>
        <w:t xml:space="preserve"> of </w:t>
      </w:r>
      <w:r>
        <w:rPr>
          <w:kern w:val="0"/>
        </w:rPr>
        <w:t>action with no peak activity. Once-daily administration</w:t>
      </w:r>
      <w:r w:rsidR="00427468">
        <w:rPr>
          <w:kern w:val="0"/>
        </w:rPr>
        <w:t xml:space="preserve"> of </w:t>
      </w:r>
      <w:r>
        <w:rPr>
          <w:kern w:val="0"/>
        </w:rPr>
        <w:t>insulin glargine has comparable efficacy to that</w:t>
      </w:r>
      <w:r w:rsidR="00427468">
        <w:rPr>
          <w:kern w:val="0"/>
        </w:rPr>
        <w:t xml:space="preserve"> of </w:t>
      </w:r>
      <w:r>
        <w:rPr>
          <w:kern w:val="0"/>
        </w:rPr>
        <w:t>NPH insulin administered once or twice daily in basal-bolus regimens when used in combination with intermittent doses</w:t>
      </w:r>
      <w:r w:rsidR="00427468">
        <w:rPr>
          <w:kern w:val="0"/>
        </w:rPr>
        <w:t xml:space="preserve"> of </w:t>
      </w:r>
      <w:r>
        <w:rPr>
          <w:kern w:val="0"/>
        </w:rPr>
        <w:t>regular insulin or insulin lispro in patients with type 1</w:t>
      </w:r>
      <w:r w:rsidR="005853A9">
        <w:rPr>
          <w:kern w:val="0"/>
        </w:rPr>
        <w:t xml:space="preserve"> and </w:t>
      </w:r>
      <w:r>
        <w:rPr>
          <w:kern w:val="0"/>
        </w:rPr>
        <w:t>type 2 diabetes,</w:t>
      </w:r>
      <w:r w:rsidR="005853A9">
        <w:rPr>
          <w:kern w:val="0"/>
        </w:rPr>
        <w:t xml:space="preserve"> and </w:t>
      </w:r>
      <w:r>
        <w:rPr>
          <w:kern w:val="0"/>
        </w:rPr>
        <w:t>in conjunction with oral antidiabetic agents in patients with type 2 diabetes. Overall, insulin glargine has an incidence</w:t>
      </w:r>
      <w:r w:rsidR="00427468">
        <w:rPr>
          <w:kern w:val="0"/>
        </w:rPr>
        <w:t xml:space="preserve"> of </w:t>
      </w:r>
      <w:r>
        <w:rPr>
          <w:kern w:val="0"/>
        </w:rPr>
        <w:t>hypoglycemia comparable to or less than that</w:t>
      </w:r>
      <w:r w:rsidR="00427468">
        <w:rPr>
          <w:kern w:val="0"/>
        </w:rPr>
        <w:t xml:space="preserve"> of </w:t>
      </w:r>
      <w:r>
        <w:rPr>
          <w:kern w:val="0"/>
        </w:rPr>
        <w:t>NPH insulin, with a reduced incidence</w:t>
      </w:r>
      <w:r w:rsidR="00427468">
        <w:rPr>
          <w:kern w:val="0"/>
        </w:rPr>
        <w:t xml:space="preserve"> of </w:t>
      </w:r>
      <w:r>
        <w:rPr>
          <w:kern w:val="0"/>
        </w:rPr>
        <w:t>nocturnal hypoglycemia compared with NPH insulin seen in some studies. Conclusions: Insulin glargine is a long-acting insulin analog capable</w:t>
      </w:r>
      <w:r w:rsidR="00427468">
        <w:rPr>
          <w:kern w:val="0"/>
        </w:rPr>
        <w:t xml:space="preserve"> of </w:t>
      </w:r>
      <w:r>
        <w:rPr>
          <w:kern w:val="0"/>
        </w:rPr>
        <w:t>providing 24-hour basal insulin coverage when administered once daily at bedtime. Its activity profile, which lacks a pronounced peak, more closely resembles that</w:t>
      </w:r>
      <w:r w:rsidR="00427468">
        <w:rPr>
          <w:kern w:val="0"/>
        </w:rPr>
        <w:t xml:space="preserve"> of </w:t>
      </w:r>
      <w:r>
        <w:rPr>
          <w:kern w:val="0"/>
        </w:rPr>
        <w:t>endogenous basal insulin than that</w:t>
      </w:r>
      <w:r w:rsidR="00427468">
        <w:rPr>
          <w:kern w:val="0"/>
        </w:rPr>
        <w:t xml:space="preserve"> of </w:t>
      </w:r>
      <w:r>
        <w:rPr>
          <w:kern w:val="0"/>
        </w:rPr>
        <w:t>other intermediate- or long-acting insulins</w:t>
      </w:r>
      <w:r w:rsidR="005853A9">
        <w:rPr>
          <w:kern w:val="0"/>
        </w:rPr>
        <w:t xml:space="preserve"> and </w:t>
      </w:r>
      <w:r>
        <w:rPr>
          <w:kern w:val="0"/>
        </w:rPr>
        <w:t>appears more likely to be associated with a reduced incidence</w:t>
      </w:r>
      <w:r w:rsidR="00427468">
        <w:rPr>
          <w:kern w:val="0"/>
        </w:rPr>
        <w:t xml:space="preserve"> of </w:t>
      </w:r>
      <w:r>
        <w:rPr>
          <w:kern w:val="0"/>
        </w:rPr>
        <w:t>hypoglycemia, particularly nocturnal hypoglycemia. Insulin glargine physiologically provides basal insulin but, for most patients,</w:t>
      </w:r>
      <w:r w:rsidR="003A1917">
        <w:rPr>
          <w:kern w:val="0"/>
        </w:rPr>
        <w:t xml:space="preserve"> the </w:t>
      </w:r>
      <w:r>
        <w:rPr>
          <w:kern w:val="0"/>
        </w:rPr>
        <w:t>addition</w:t>
      </w:r>
      <w:r w:rsidR="00427468">
        <w:rPr>
          <w:kern w:val="0"/>
        </w:rPr>
        <w:t xml:space="preserve"> of </w:t>
      </w:r>
      <w:r>
        <w:rPr>
          <w:kern w:val="0"/>
        </w:rPr>
        <w:t>a rapid-acting insulin, like insulin lispro, before or with meals will need to be included in</w:t>
      </w:r>
      <w:r w:rsidR="003A1917">
        <w:rPr>
          <w:kern w:val="0"/>
        </w:rPr>
        <w:t xml:space="preserve"> the </w:t>
      </w:r>
      <w:r>
        <w:rPr>
          <w:kern w:val="0"/>
        </w:rPr>
        <w:t>treatment regimen to achieve optimal management</w:t>
      </w:r>
      <w:r w:rsidR="00427468">
        <w:rPr>
          <w:kern w:val="0"/>
        </w:rPr>
        <w:t xml:space="preserve"> of </w:t>
      </w:r>
      <w:r>
        <w:rPr>
          <w:kern w:val="0"/>
        </w:rPr>
        <w:t>blood glucose concentrations.</w:t>
      </w:r>
    </w:p>
    <w:p w:rsidR="008C1C37" w:rsidRDefault="008C1C37" w:rsidP="008C1C37">
      <w:pPr>
        <w:pStyle w:val="a3"/>
        <w:rPr>
          <w:kern w:val="0"/>
        </w:rPr>
      </w:pPr>
      <w:r>
        <w:rPr>
          <w:kern w:val="0"/>
        </w:rPr>
        <w:t xml:space="preserve">Keywords: Adverse Effects, Analog, Blood, Coverage, Diabetes, Diabetes Mellitus, Drug, Drug Interactions, Efficacy, Extraction, Guidelines, HOE-901, Human, Hypoglycemia, Information, Insulin, Insulin Glargine, Lantus, Lispro, Literature, Management, Medical, </w:t>
      </w:r>
      <w:r w:rsidR="00D5664A">
        <w:rPr>
          <w:kern w:val="0"/>
        </w:rPr>
        <w:t>MEDLINE</w:t>
      </w:r>
      <w:r>
        <w:rPr>
          <w:kern w:val="0"/>
        </w:rPr>
        <w:t xml:space="preserve">, NPH Insulin, </w:t>
      </w:r>
      <w:r>
        <w:rPr>
          <w:rFonts w:hint="eastAsia"/>
          <w:kern w:val="0"/>
        </w:rPr>
        <w:t>p</w:t>
      </w:r>
      <w:r>
        <w:rPr>
          <w:kern w:val="0"/>
        </w:rPr>
        <w:t xml:space="preserve">H, Pharmacokinetics, Primary, Profile, Review, Science, Scientific Information, Sources, Subcutaneous Injection, </w:t>
      </w:r>
      <w:r>
        <w:rPr>
          <w:kern w:val="0"/>
        </w:rPr>
        <w:lastRenderedPageBreak/>
        <w:t xml:space="preserve">Subcutaneous Tissue, Therapy, Treatment, Type 1, Type 2, Type 2 Diabetes, Type 2 Diabetes Mellitus,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Jenkins, J.K.</w:t>
      </w:r>
      <w:r w:rsidR="005853A9">
        <w:rPr>
          <w:kern w:val="0"/>
        </w:rPr>
        <w:t xml:space="preserve"> and </w:t>
      </w:r>
      <w:r>
        <w:rPr>
          <w:kern w:val="0"/>
        </w:rPr>
        <w:t>Boothby, L.A. (2002), Treatment</w:t>
      </w:r>
      <w:r w:rsidR="00427468">
        <w:rPr>
          <w:kern w:val="0"/>
        </w:rPr>
        <w:t xml:space="preserve"> of </w:t>
      </w:r>
      <w:r>
        <w:rPr>
          <w:kern w:val="0"/>
        </w:rPr>
        <w:t>itching associated with intrahepatic cholestasis</w:t>
      </w:r>
      <w:r w:rsidR="00427468">
        <w:rPr>
          <w:kern w:val="0"/>
        </w:rPr>
        <w:t xml:space="preserve"> of </w:t>
      </w:r>
      <w:r>
        <w:rPr>
          <w:kern w:val="0"/>
        </w:rPr>
        <w:t xml:space="preserve">pregnancy. </w:t>
      </w:r>
      <w:r>
        <w:rPr>
          <w:i/>
          <w:iCs/>
          <w:kern w:val="0"/>
        </w:rPr>
        <w:t>Annals</w:t>
      </w:r>
      <w:r w:rsidR="00427468">
        <w:rPr>
          <w:i/>
          <w:iCs/>
          <w:kern w:val="0"/>
        </w:rPr>
        <w:t xml:space="preserve"> of </w:t>
      </w:r>
      <w:r>
        <w:rPr>
          <w:i/>
          <w:iCs/>
          <w:kern w:val="0"/>
        </w:rPr>
        <w:t>Pharmacotherapy</w:t>
      </w:r>
      <w:r>
        <w:rPr>
          <w:kern w:val="0"/>
        </w:rPr>
        <w:t xml:space="preserve">, </w:t>
      </w:r>
      <w:r>
        <w:rPr>
          <w:b/>
          <w:bCs/>
          <w:kern w:val="0"/>
        </w:rPr>
        <w:t>36</w:t>
      </w:r>
      <w:r>
        <w:rPr>
          <w:kern w:val="0"/>
        </w:rPr>
        <w:t xml:space="preserve"> (9), 1462-1465.</w:t>
      </w:r>
    </w:p>
    <w:p w:rsidR="008C1C37" w:rsidRDefault="008C1C37" w:rsidP="008C1C37">
      <w:pPr>
        <w:pStyle w:val="a3"/>
        <w:rPr>
          <w:kern w:val="0"/>
        </w:rPr>
      </w:pPr>
      <w:r>
        <w:rPr>
          <w:kern w:val="0"/>
        </w:rPr>
        <w:t>Abstract: OBJECTIVE: To review</w:t>
      </w:r>
      <w:r w:rsidR="003A1917">
        <w:rPr>
          <w:kern w:val="0"/>
        </w:rPr>
        <w:t xml:space="preserve"> the </w:t>
      </w:r>
      <w:r>
        <w:rPr>
          <w:kern w:val="0"/>
        </w:rPr>
        <w:t>drug therapy for</w:t>
      </w:r>
      <w:r w:rsidR="003A1917">
        <w:rPr>
          <w:kern w:val="0"/>
        </w:rPr>
        <w:t xml:space="preserve"> the </w:t>
      </w:r>
      <w:r>
        <w:rPr>
          <w:kern w:val="0"/>
        </w:rPr>
        <w:t>treatment</w:t>
      </w:r>
      <w:r w:rsidR="00427468">
        <w:rPr>
          <w:kern w:val="0"/>
        </w:rPr>
        <w:t xml:space="preserve"> of </w:t>
      </w:r>
      <w:r>
        <w:rPr>
          <w:kern w:val="0"/>
        </w:rPr>
        <w:t>itching associated with intrahepatic cholestasis</w:t>
      </w:r>
      <w:r w:rsidR="00427468">
        <w:rPr>
          <w:kern w:val="0"/>
        </w:rPr>
        <w:t xml:space="preserve"> of </w:t>
      </w:r>
      <w:r>
        <w:rPr>
          <w:kern w:val="0"/>
        </w:rPr>
        <w:t xml:space="preserve">pregnancy (ICP). DATA SOURCES: A comprehensive literature search was conducted in </w:t>
      </w:r>
      <w:r w:rsidR="00D5664A">
        <w:rPr>
          <w:kern w:val="0"/>
        </w:rPr>
        <w:t>MEDLINE</w:t>
      </w:r>
      <w:r>
        <w:rPr>
          <w:kern w:val="0"/>
        </w:rPr>
        <w:t xml:space="preserve"> (1966-July 2002) using</w:t>
      </w:r>
      <w:r w:rsidR="003A1917">
        <w:rPr>
          <w:kern w:val="0"/>
        </w:rPr>
        <w:t xml:space="preserve"> the </w:t>
      </w:r>
      <w:r>
        <w:rPr>
          <w:kern w:val="0"/>
        </w:rPr>
        <w:t>following MeSH terms: pregnancy, itching, intrahepatic cholestasis, cholestyramine, ursodeoxycholic acid,</w:t>
      </w:r>
      <w:r w:rsidR="005853A9">
        <w:rPr>
          <w:kern w:val="0"/>
        </w:rPr>
        <w:t xml:space="preserve"> and </w:t>
      </w:r>
      <w:r>
        <w:rPr>
          <w:kern w:val="0"/>
        </w:rPr>
        <w:t>phenobarbital. Current Contents (1966-July 2002), International Pharmaceutical Abstracts (1970-June 2002),</w:t>
      </w:r>
      <w:r w:rsidR="005853A9">
        <w:rPr>
          <w:kern w:val="0"/>
        </w:rPr>
        <w:t xml:space="preserve"> and </w:t>
      </w:r>
      <w:r>
        <w:rPr>
          <w:kern w:val="0"/>
        </w:rPr>
        <w:t xml:space="preserve">Cochrane Database were also searched using those terms. </w:t>
      </w:r>
      <w:r w:rsidR="00D5664A">
        <w:rPr>
          <w:kern w:val="0"/>
        </w:rPr>
        <w:t>Web</w:t>
      </w:r>
      <w:r w:rsidR="00427468">
        <w:rPr>
          <w:kern w:val="0"/>
        </w:rPr>
        <w:t xml:space="preserve"> of </w:t>
      </w:r>
      <w:r w:rsidR="00D5664A">
        <w:rPr>
          <w:kern w:val="0"/>
        </w:rPr>
        <w:t>Science</w:t>
      </w:r>
      <w:r>
        <w:rPr>
          <w:kern w:val="0"/>
        </w:rPr>
        <w:t xml:space="preserve"> search was used to search references found in articles. DATA SYNTHESIS: Eight clinical trials</w:t>
      </w:r>
      <w:r w:rsidR="005853A9">
        <w:rPr>
          <w:kern w:val="0"/>
        </w:rPr>
        <w:t xml:space="preserve"> and </w:t>
      </w:r>
      <w:r>
        <w:rPr>
          <w:kern w:val="0"/>
        </w:rPr>
        <w:t>several observational studies were identified evaluating</w:t>
      </w:r>
      <w:r w:rsidR="003A1917">
        <w:rPr>
          <w:kern w:val="0"/>
        </w:rPr>
        <w:t xml:space="preserve"> the </w:t>
      </w:r>
      <w:r>
        <w:rPr>
          <w:kern w:val="0"/>
        </w:rPr>
        <w:t>safety</w:t>
      </w:r>
      <w:r w:rsidR="005853A9">
        <w:rPr>
          <w:kern w:val="0"/>
        </w:rPr>
        <w:t xml:space="preserve"> and </w:t>
      </w:r>
      <w:r>
        <w:rPr>
          <w:kern w:val="0"/>
        </w:rPr>
        <w:t>efficacy</w:t>
      </w:r>
      <w:r w:rsidR="00427468">
        <w:rPr>
          <w:kern w:val="0"/>
        </w:rPr>
        <w:t xml:space="preserve"> of </w:t>
      </w:r>
      <w:r>
        <w:rPr>
          <w:kern w:val="0"/>
        </w:rPr>
        <w:t>ursodeoxycholic acid (UDCA) in</w:t>
      </w:r>
      <w:r w:rsidR="003A1917">
        <w:rPr>
          <w:kern w:val="0"/>
        </w:rPr>
        <w:t xml:space="preserve"> the </w:t>
      </w:r>
      <w:r>
        <w:rPr>
          <w:kern w:val="0"/>
        </w:rPr>
        <w:t>treatment</w:t>
      </w:r>
      <w:r w:rsidR="00427468">
        <w:rPr>
          <w:kern w:val="0"/>
        </w:rPr>
        <w:t xml:space="preserve"> of </w:t>
      </w:r>
      <w:r>
        <w:rPr>
          <w:kern w:val="0"/>
        </w:rPr>
        <w:t>ICP. Although these studies were small</w:t>
      </w:r>
      <w:r w:rsidR="005853A9">
        <w:rPr>
          <w:kern w:val="0"/>
        </w:rPr>
        <w:t xml:space="preserve"> and </w:t>
      </w:r>
      <w:r>
        <w:rPr>
          <w:kern w:val="0"/>
        </w:rPr>
        <w:t>inconsistent, improvement in maternal</w:t>
      </w:r>
      <w:r w:rsidR="005853A9">
        <w:rPr>
          <w:kern w:val="0"/>
        </w:rPr>
        <w:t xml:space="preserve"> and </w:t>
      </w:r>
      <w:r>
        <w:rPr>
          <w:kern w:val="0"/>
        </w:rPr>
        <w:t>fetal morbidity was demonstrated. Observational studies suggest that cholestyramine may be associated with improved maternal morbidity without a documented improvement in fetal outcome. Two observational studies evaluated</w:t>
      </w:r>
      <w:r w:rsidR="003A1917">
        <w:rPr>
          <w:kern w:val="0"/>
        </w:rPr>
        <w:t xml:space="preserve"> the </w:t>
      </w:r>
      <w:r>
        <w:rPr>
          <w:kern w:val="0"/>
        </w:rPr>
        <w:t>efficacy</w:t>
      </w:r>
      <w:r w:rsidR="00427468">
        <w:rPr>
          <w:kern w:val="0"/>
        </w:rPr>
        <w:t xml:space="preserve"> of </w:t>
      </w:r>
      <w:r>
        <w:rPr>
          <w:kern w:val="0"/>
        </w:rPr>
        <w:t>phenobarbital for ICP treatment. Phenobarbital use was not associated with improved maternal or fetal morbidity/mortality. CONCLUSIONS: Data from large, well-designed, randomized, controlled trials</w:t>
      </w:r>
      <w:r w:rsidR="00427468">
        <w:rPr>
          <w:kern w:val="0"/>
        </w:rPr>
        <w:t xml:space="preserve"> of </w:t>
      </w:r>
      <w:r>
        <w:rPr>
          <w:kern w:val="0"/>
        </w:rPr>
        <w:t>treatment</w:t>
      </w:r>
      <w:r w:rsidR="00427468">
        <w:rPr>
          <w:kern w:val="0"/>
        </w:rPr>
        <w:t xml:space="preserve"> of </w:t>
      </w:r>
      <w:r>
        <w:rPr>
          <w:kern w:val="0"/>
        </w:rPr>
        <w:t>ICP are lacking. Data that are available support</w:t>
      </w:r>
      <w:r w:rsidR="003A1917">
        <w:rPr>
          <w:kern w:val="0"/>
        </w:rPr>
        <w:t xml:space="preserve"> the </w:t>
      </w:r>
      <w:r>
        <w:rPr>
          <w:kern w:val="0"/>
        </w:rPr>
        <w:t>use</w:t>
      </w:r>
      <w:r w:rsidR="00427468">
        <w:rPr>
          <w:kern w:val="0"/>
        </w:rPr>
        <w:t xml:space="preserve"> of </w:t>
      </w:r>
      <w:r>
        <w:rPr>
          <w:kern w:val="0"/>
        </w:rPr>
        <w:t>UDCA as a first-line agent</w:t>
      </w:r>
      <w:r w:rsidR="005853A9">
        <w:rPr>
          <w:kern w:val="0"/>
        </w:rPr>
        <w:t xml:space="preserve"> and </w:t>
      </w:r>
      <w:r>
        <w:rPr>
          <w:kern w:val="0"/>
        </w:rPr>
        <w:t>cholestyramine as a second-line agent for treatment</w:t>
      </w:r>
      <w:r w:rsidR="00427468">
        <w:rPr>
          <w:kern w:val="0"/>
        </w:rPr>
        <w:t xml:space="preserve"> of </w:t>
      </w:r>
      <w:r>
        <w:rPr>
          <w:kern w:val="0"/>
        </w:rPr>
        <w:t>ICP</w:t>
      </w:r>
      <w:r w:rsidR="00A37C1D">
        <w:rPr>
          <w:kern w:val="0"/>
        </w:rPr>
        <w:t>. The</w:t>
      </w:r>
      <w:r>
        <w:rPr>
          <w:kern w:val="0"/>
        </w:rPr>
        <w:t>re is little evidence to recommend phenobarbital in</w:t>
      </w:r>
      <w:r w:rsidR="003A1917">
        <w:rPr>
          <w:kern w:val="0"/>
        </w:rPr>
        <w:t xml:space="preserve"> the </w:t>
      </w:r>
      <w:r>
        <w:rPr>
          <w:kern w:val="0"/>
        </w:rPr>
        <w:t>treatment</w:t>
      </w:r>
      <w:r w:rsidR="00427468">
        <w:rPr>
          <w:kern w:val="0"/>
        </w:rPr>
        <w:t xml:space="preserve"> of </w:t>
      </w:r>
      <w:r>
        <w:rPr>
          <w:kern w:val="0"/>
        </w:rPr>
        <w:t>itching associated with that condition.</w:t>
      </w:r>
    </w:p>
    <w:p w:rsidR="008C1C37" w:rsidRDefault="008C1C37" w:rsidP="008C1C37">
      <w:pPr>
        <w:pStyle w:val="a3"/>
        <w:rPr>
          <w:kern w:val="0"/>
        </w:rPr>
      </w:pPr>
      <w:r>
        <w:rPr>
          <w:kern w:val="0"/>
        </w:rPr>
        <w:t xml:space="preserve">Keywords: Bile-Acids, Cholestyramine, Cholestyramine, Clinical Trials, Cochrane, Controlled Trial, Drug, Efficacy, Intracranial Hemorrhage, Intrahepatic Cholestasis, Itching, Literature, Management, </w:t>
      </w:r>
      <w:r w:rsidR="00D5664A">
        <w:rPr>
          <w:kern w:val="0"/>
        </w:rPr>
        <w:t>MEDLINE</w:t>
      </w:r>
      <w:r>
        <w:rPr>
          <w:kern w:val="0"/>
        </w:rPr>
        <w:t xml:space="preserve">, Morbidity, Observational Studies, Outcome, Pathogenesis, Phenobarbital, Pregnancy, Pruritus, Review, S-Adenosylmethionine, Safety, Science, Serum, Therapy, Treatment, Ursodeoxycholic Acid, Ursodeoxycholic Acid Therapy, </w:t>
      </w:r>
      <w:r w:rsidR="00D5664A">
        <w:rPr>
          <w:kern w:val="0"/>
        </w:rPr>
        <w:t>Web</w:t>
      </w:r>
      <w:r w:rsidR="00427468">
        <w:rPr>
          <w:kern w:val="0"/>
        </w:rPr>
        <w:t xml:space="preserve"> of </w:t>
      </w:r>
      <w:r w:rsidR="00D5664A">
        <w:rPr>
          <w:kern w:val="0"/>
        </w:rPr>
        <w:t>Science</w:t>
      </w:r>
    </w:p>
    <w:p w:rsidR="003D7854" w:rsidRDefault="003D7854" w:rsidP="003D7854">
      <w:pPr>
        <w:pStyle w:val="a3"/>
        <w:rPr>
          <w:kern w:val="0"/>
        </w:rPr>
      </w:pPr>
      <w:r>
        <w:rPr>
          <w:rFonts w:hint="eastAsia"/>
          <w:kern w:val="0"/>
        </w:rPr>
        <w:t xml:space="preserve">? </w:t>
      </w:r>
      <w:r>
        <w:rPr>
          <w:kern w:val="0"/>
        </w:rPr>
        <w:t>Schatz, R.A. (2003), Olanzapine for psychotic</w:t>
      </w:r>
      <w:r w:rsidR="005853A9">
        <w:rPr>
          <w:kern w:val="0"/>
        </w:rPr>
        <w:t xml:space="preserve"> and </w:t>
      </w:r>
      <w:r>
        <w:rPr>
          <w:kern w:val="0"/>
        </w:rPr>
        <w:t xml:space="preserve">behavioral disturbances in Alzheimer disease. </w:t>
      </w:r>
      <w:r>
        <w:rPr>
          <w:i/>
          <w:iCs/>
          <w:kern w:val="0"/>
        </w:rPr>
        <w:t>Annals</w:t>
      </w:r>
      <w:r w:rsidR="00427468">
        <w:rPr>
          <w:i/>
          <w:iCs/>
          <w:kern w:val="0"/>
        </w:rPr>
        <w:t xml:space="preserve"> of </w:t>
      </w:r>
      <w:r>
        <w:rPr>
          <w:i/>
          <w:iCs/>
          <w:kern w:val="0"/>
        </w:rPr>
        <w:t>Pharmacotherapy</w:t>
      </w:r>
      <w:r>
        <w:rPr>
          <w:kern w:val="0"/>
        </w:rPr>
        <w:t xml:space="preserve">, </w:t>
      </w:r>
      <w:r>
        <w:rPr>
          <w:b/>
          <w:bCs/>
          <w:kern w:val="0"/>
        </w:rPr>
        <w:t>37</w:t>
      </w:r>
      <w:r>
        <w:rPr>
          <w:kern w:val="0"/>
        </w:rPr>
        <w:t xml:space="preserve"> (9), 1321-1324.</w:t>
      </w:r>
    </w:p>
    <w:p w:rsidR="003D7854" w:rsidRPr="00F219CA" w:rsidRDefault="003D7854" w:rsidP="003D7854">
      <w:pPr>
        <w:pStyle w:val="a3"/>
        <w:rPr>
          <w:kern w:val="0"/>
        </w:rPr>
      </w:pPr>
      <w:r w:rsidRPr="00F219CA">
        <w:rPr>
          <w:kern w:val="0"/>
        </w:rPr>
        <w:t xml:space="preserve">Full Text: </w:t>
      </w:r>
      <w:hyperlink r:id="rId929" w:history="1">
        <w:r w:rsidR="00311F2A" w:rsidRPr="00311F2A">
          <w:rPr>
            <w:rStyle w:val="a5"/>
            <w:kern w:val="0"/>
          </w:rPr>
          <w:t>2003\Ann Pha37, 1321.pdf</w:t>
        </w:r>
      </w:hyperlink>
    </w:p>
    <w:p w:rsidR="003D7854" w:rsidRDefault="003D7854" w:rsidP="003D7854">
      <w:pPr>
        <w:pStyle w:val="a3"/>
        <w:rPr>
          <w:kern w:val="0"/>
        </w:rPr>
      </w:pPr>
      <w:r>
        <w:rPr>
          <w:kern w:val="0"/>
        </w:rPr>
        <w:t>Abstract: OBJECTIVE: To evaluate</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olanzapine for</w:t>
      </w:r>
      <w:r w:rsidR="003A1917">
        <w:rPr>
          <w:kern w:val="0"/>
        </w:rPr>
        <w:t xml:space="preserve"> the </w:t>
      </w:r>
      <w:r>
        <w:rPr>
          <w:kern w:val="0"/>
        </w:rPr>
        <w:t>treatment</w:t>
      </w:r>
      <w:r w:rsidR="00427468">
        <w:rPr>
          <w:kern w:val="0"/>
        </w:rPr>
        <w:t xml:space="preserve"> of </w:t>
      </w:r>
      <w:r>
        <w:rPr>
          <w:kern w:val="0"/>
        </w:rPr>
        <w:t>psychotic</w:t>
      </w:r>
      <w:r w:rsidR="005853A9">
        <w:rPr>
          <w:kern w:val="0"/>
        </w:rPr>
        <w:t xml:space="preserve"> and </w:t>
      </w:r>
      <w:r>
        <w:rPr>
          <w:kern w:val="0"/>
        </w:rPr>
        <w:t xml:space="preserve">behavioral disturbances in Alzheimer disease. DATA SOURCES: </w:t>
      </w:r>
      <w:r w:rsidR="00D5664A">
        <w:rPr>
          <w:kern w:val="0"/>
        </w:rPr>
        <w:t>MEDLINE</w:t>
      </w:r>
      <w:r>
        <w:rPr>
          <w:kern w:val="0"/>
        </w:rPr>
        <w:t xml:space="preserve"> (1966-January 2003)</w:t>
      </w:r>
      <w:r w:rsidR="005853A9">
        <w:rPr>
          <w:kern w:val="0"/>
        </w:rPr>
        <w:t xml:space="preserve"> and </w:t>
      </w:r>
      <w:r>
        <w:rPr>
          <w:kern w:val="0"/>
        </w:rPr>
        <w:t>Science Citation Index searches were performed. Key search terms included olanzapine, Alzheimer(s),</w:t>
      </w:r>
      <w:r w:rsidR="005853A9">
        <w:rPr>
          <w:kern w:val="0"/>
        </w:rPr>
        <w:t xml:space="preserve"> and </w:t>
      </w:r>
      <w:r>
        <w:rPr>
          <w:kern w:val="0"/>
        </w:rPr>
        <w:t>dementia. DATA SYNTHESIS: Four trials</w:t>
      </w:r>
      <w:r w:rsidR="00427468">
        <w:rPr>
          <w:kern w:val="0"/>
        </w:rPr>
        <w:t xml:space="preserve"> of </w:t>
      </w:r>
      <w:r>
        <w:rPr>
          <w:kern w:val="0"/>
        </w:rPr>
        <w:t>olanzapine</w:t>
      </w:r>
      <w:r w:rsidR="005853A9">
        <w:rPr>
          <w:kern w:val="0"/>
        </w:rPr>
        <w:t xml:space="preserve"> and </w:t>
      </w:r>
      <w:r>
        <w:rPr>
          <w:kern w:val="0"/>
        </w:rPr>
        <w:t xml:space="preserve">subsequent post hoc analyses </w:t>
      </w:r>
      <w:r>
        <w:rPr>
          <w:kern w:val="0"/>
        </w:rPr>
        <w:lastRenderedPageBreak/>
        <w:t>were reviewed. Three trials found a benefit associated with olanzapine use, but a fourth trial did not. CONCLUSIONS: Olanzapine appears to be effective in treating psychotic</w:t>
      </w:r>
      <w:r w:rsidR="005853A9">
        <w:rPr>
          <w:kern w:val="0"/>
        </w:rPr>
        <w:t xml:space="preserve"> and </w:t>
      </w:r>
      <w:r>
        <w:rPr>
          <w:kern w:val="0"/>
        </w:rPr>
        <w:t>behavioral disturbances associated with Alzheimer disease. However,</w:t>
      </w:r>
      <w:r w:rsidR="003A1917">
        <w:rPr>
          <w:kern w:val="0"/>
        </w:rPr>
        <w:t xml:space="preserve"> the </w:t>
      </w:r>
      <w:r>
        <w:rPr>
          <w:kern w:val="0"/>
        </w:rPr>
        <w:t>most appropriate dose remains to be determined</w:t>
      </w:r>
      <w:r w:rsidR="00A37C1D">
        <w:rPr>
          <w:kern w:val="0"/>
        </w:rPr>
        <w:t>. The</w:t>
      </w:r>
      <w:r w:rsidR="003A1917">
        <w:rPr>
          <w:kern w:val="0"/>
        </w:rPr>
        <w:t xml:space="preserve"> </w:t>
      </w:r>
      <w:r>
        <w:rPr>
          <w:kern w:val="0"/>
        </w:rPr>
        <w:t>benefit</w:t>
      </w:r>
      <w:r w:rsidR="00427468">
        <w:rPr>
          <w:kern w:val="0"/>
        </w:rPr>
        <w:t xml:space="preserve"> of </w:t>
      </w:r>
      <w:r>
        <w:rPr>
          <w:kern w:val="0"/>
        </w:rPr>
        <w:t>olanzapine therapy must be weighed against</w:t>
      </w:r>
      <w:r w:rsidR="003A1917">
        <w:rPr>
          <w:kern w:val="0"/>
        </w:rPr>
        <w:t xml:space="preserve"> the </w:t>
      </w:r>
      <w:r>
        <w:rPr>
          <w:kern w:val="0"/>
        </w:rPr>
        <w:t>adverse effect profiles</w:t>
      </w:r>
      <w:r w:rsidR="00427468">
        <w:rPr>
          <w:kern w:val="0"/>
        </w:rPr>
        <w:t xml:space="preserve"> of </w:t>
      </w:r>
      <w:r>
        <w:rPr>
          <w:kern w:val="0"/>
        </w:rPr>
        <w:t>olanzapine</w:t>
      </w:r>
      <w:r w:rsidR="005853A9">
        <w:rPr>
          <w:kern w:val="0"/>
        </w:rPr>
        <w:t xml:space="preserve"> and </w:t>
      </w:r>
      <w:r>
        <w:rPr>
          <w:kern w:val="0"/>
        </w:rPr>
        <w:t>alternative treatment options.</w:t>
      </w:r>
    </w:p>
    <w:p w:rsidR="003D7854" w:rsidRDefault="003D7854" w:rsidP="003D7854">
      <w:pPr>
        <w:pStyle w:val="a3"/>
        <w:rPr>
          <w:kern w:val="0"/>
        </w:rPr>
      </w:pPr>
      <w:r>
        <w:rPr>
          <w:kern w:val="0"/>
        </w:rPr>
        <w:t xml:space="preserve">Keywords: Alzheimer Disease, Citation, Dementia, Dementia, Double-Blind, </w:t>
      </w:r>
      <w:r w:rsidR="00D5664A">
        <w:rPr>
          <w:kern w:val="0"/>
        </w:rPr>
        <w:t>MEDLINE</w:t>
      </w:r>
      <w:r>
        <w:rPr>
          <w:kern w:val="0"/>
        </w:rPr>
        <w:t>, Nursing-Home Patients, Olanzapine, Placebo, Science, Science Citation Index, Symptoms, Therapy, Treatment, Trial</w:t>
      </w:r>
    </w:p>
    <w:p w:rsidR="008C1C37" w:rsidRDefault="008C1C37" w:rsidP="008C1C37">
      <w:pPr>
        <w:pStyle w:val="a3"/>
        <w:rPr>
          <w:kern w:val="0"/>
        </w:rPr>
      </w:pPr>
      <w:r>
        <w:rPr>
          <w:rFonts w:hint="eastAsia"/>
          <w:kern w:val="0"/>
        </w:rPr>
        <w:t xml:space="preserve">? </w:t>
      </w:r>
      <w:r>
        <w:rPr>
          <w:kern w:val="0"/>
        </w:rPr>
        <w:t>Setter, S.M., Iltz, J.L., Fincham, J.E., Campbell, R.K.</w:t>
      </w:r>
      <w:r w:rsidR="005853A9">
        <w:rPr>
          <w:kern w:val="0"/>
        </w:rPr>
        <w:t xml:space="preserve"> and </w:t>
      </w:r>
      <w:r>
        <w:rPr>
          <w:kern w:val="0"/>
        </w:rPr>
        <w:t xml:space="preserve">Baker, D.E. (2005), Phosphodiesterase 5 inhibitors for erectile dysfunction. </w:t>
      </w:r>
      <w:r>
        <w:rPr>
          <w:i/>
          <w:iCs/>
          <w:kern w:val="0"/>
        </w:rPr>
        <w:t>Annals</w:t>
      </w:r>
      <w:r w:rsidR="00427468">
        <w:rPr>
          <w:i/>
          <w:iCs/>
          <w:kern w:val="0"/>
        </w:rPr>
        <w:t xml:space="preserve"> of </w:t>
      </w:r>
      <w:r>
        <w:rPr>
          <w:i/>
          <w:iCs/>
          <w:kern w:val="0"/>
        </w:rPr>
        <w:t>Pharmacotherapy</w:t>
      </w:r>
      <w:r>
        <w:rPr>
          <w:kern w:val="0"/>
        </w:rPr>
        <w:t xml:space="preserve">, </w:t>
      </w:r>
      <w:r>
        <w:rPr>
          <w:b/>
          <w:bCs/>
          <w:kern w:val="0"/>
        </w:rPr>
        <w:t>39</w:t>
      </w:r>
      <w:r>
        <w:rPr>
          <w:kern w:val="0"/>
        </w:rPr>
        <w:t xml:space="preserve"> (7-8), 1286-1295.</w:t>
      </w:r>
    </w:p>
    <w:p w:rsidR="008C1C37" w:rsidRDefault="008C1C37" w:rsidP="008C1C37">
      <w:pPr>
        <w:pStyle w:val="a3"/>
        <w:rPr>
          <w:kern w:val="0"/>
        </w:rPr>
      </w:pPr>
      <w:r>
        <w:rPr>
          <w:kern w:val="0"/>
        </w:rPr>
        <w:t>Abstract: OBJECTIVE: To review</w:t>
      </w:r>
      <w:r w:rsidR="003A1917">
        <w:rPr>
          <w:kern w:val="0"/>
        </w:rPr>
        <w:t xml:space="preserve"> the </w:t>
      </w:r>
      <w:r>
        <w:rPr>
          <w:kern w:val="0"/>
        </w:rPr>
        <w:t>pharmacologic</w:t>
      </w:r>
      <w:r w:rsidR="005853A9">
        <w:rPr>
          <w:kern w:val="0"/>
        </w:rPr>
        <w:t xml:space="preserve"> and </w:t>
      </w:r>
      <w:r>
        <w:rPr>
          <w:kern w:val="0"/>
        </w:rPr>
        <w:t>clinical trial data</w:t>
      </w:r>
      <w:r w:rsidR="00427468">
        <w:rPr>
          <w:kern w:val="0"/>
        </w:rPr>
        <w:t xml:space="preserve"> of </w:t>
      </w:r>
      <w:r w:rsidR="003A1917">
        <w:rPr>
          <w:kern w:val="0"/>
        </w:rPr>
        <w:t xml:space="preserve">the </w:t>
      </w:r>
      <w:r>
        <w:rPr>
          <w:kern w:val="0"/>
        </w:rPr>
        <w:t>Food</w:t>
      </w:r>
      <w:r w:rsidR="005853A9">
        <w:rPr>
          <w:kern w:val="0"/>
        </w:rPr>
        <w:t xml:space="preserve"> and </w:t>
      </w:r>
      <w:r>
        <w:rPr>
          <w:kern w:val="0"/>
        </w:rPr>
        <w:t>Drug Administration-approved phosphodiesterase 5 (PDE5) inhibitors for</w:t>
      </w:r>
      <w:r w:rsidR="003A1917">
        <w:rPr>
          <w:kern w:val="0"/>
        </w:rPr>
        <w:t xml:space="preserve"> the </w:t>
      </w:r>
      <w:r>
        <w:rPr>
          <w:kern w:val="0"/>
        </w:rPr>
        <w:t>treatment</w:t>
      </w:r>
      <w:r w:rsidR="00427468">
        <w:rPr>
          <w:kern w:val="0"/>
        </w:rPr>
        <w:t xml:space="preserve"> of </w:t>
      </w:r>
      <w:r>
        <w:rPr>
          <w:kern w:val="0"/>
        </w:rPr>
        <w:t>erectile dysfunction (ED). DATA SOURCES: Primary research</w:t>
      </w:r>
      <w:r w:rsidR="005853A9">
        <w:rPr>
          <w:kern w:val="0"/>
        </w:rPr>
        <w:t xml:space="preserve"> and </w:t>
      </w:r>
      <w:r>
        <w:rPr>
          <w:kern w:val="0"/>
        </w:rPr>
        <w:t>review articles were identified through a search</w:t>
      </w:r>
      <w:r w:rsidR="00427468">
        <w:rPr>
          <w:kern w:val="0"/>
        </w:rPr>
        <w:t xml:space="preserve"> of </w:t>
      </w:r>
      <w:r>
        <w:rPr>
          <w:kern w:val="0"/>
        </w:rPr>
        <w:t xml:space="preserve">ScienceDirect, </w:t>
      </w:r>
      <w:r w:rsidR="002C12F0">
        <w:rPr>
          <w:kern w:val="0"/>
        </w:rPr>
        <w:t>PUBMED</w:t>
      </w:r>
      <w:r>
        <w:rPr>
          <w:kern w:val="0"/>
        </w:rPr>
        <w:t>/</w:t>
      </w:r>
      <w:r w:rsidR="00D5664A">
        <w:rPr>
          <w:kern w:val="0"/>
        </w:rPr>
        <w:t>MEDLINE</w:t>
      </w:r>
      <w:r>
        <w:rPr>
          <w:kern w:val="0"/>
        </w:rPr>
        <w:t>,</w:t>
      </w:r>
      <w:r w:rsidR="005853A9">
        <w:rPr>
          <w:kern w:val="0"/>
        </w:rPr>
        <w:t xml:space="preserve"> and </w:t>
      </w:r>
      <w:r>
        <w:rPr>
          <w:kern w:val="0"/>
        </w:rPr>
        <w:t>international Pharmaceutical Abstracts (1990-August 2004)</w:t>
      </w:r>
      <w:r w:rsidR="00A37C1D">
        <w:rPr>
          <w:kern w:val="0"/>
        </w:rPr>
        <w:t>. The</w:t>
      </w:r>
      <w:r w:rsidR="003A1917">
        <w:rPr>
          <w:kern w:val="0"/>
        </w:rPr>
        <w:t xml:space="preserve"> </w:t>
      </w:r>
      <w:r>
        <w:rPr>
          <w:kern w:val="0"/>
        </w:rPr>
        <w:t>following search terms were used in</w:t>
      </w:r>
      <w:r w:rsidR="003A1917">
        <w:rPr>
          <w:kern w:val="0"/>
        </w:rPr>
        <w:t xml:space="preserve"> the </w:t>
      </w:r>
      <w:r>
        <w:rPr>
          <w:kern w:val="0"/>
        </w:rPr>
        <w:t>Medicine Dentistry</w:t>
      </w:r>
      <w:r w:rsidR="005853A9">
        <w:rPr>
          <w:kern w:val="0"/>
        </w:rPr>
        <w:t xml:space="preserve"> and </w:t>
      </w:r>
      <w:r>
        <w:rPr>
          <w:kern w:val="0"/>
        </w:rPr>
        <w:t>Pharmacology, Toxicology,</w:t>
      </w:r>
      <w:r w:rsidR="005853A9">
        <w:rPr>
          <w:kern w:val="0"/>
        </w:rPr>
        <w:t xml:space="preserve"> and </w:t>
      </w:r>
      <w:r>
        <w:rPr>
          <w:kern w:val="0"/>
        </w:rPr>
        <w:t>Pharmaceutical Sciences subcategories: phosphodiesterase 5 inhibitor, PDE5 inhibitor, erectile dysfunction, sildenafil, vardenafil, tadalafil, prostatectomy,</w:t>
      </w:r>
      <w:r w:rsidR="005853A9">
        <w:rPr>
          <w:kern w:val="0"/>
        </w:rPr>
        <w:t xml:space="preserve"> and </w:t>
      </w:r>
      <w:r>
        <w:rPr>
          <w:kern w:val="0"/>
        </w:rPr>
        <w:t xml:space="preserve">diabetes. </w:t>
      </w:r>
      <w:r w:rsidR="00D5664A">
        <w:rPr>
          <w:kern w:val="0"/>
        </w:rPr>
        <w:t>Web</w:t>
      </w:r>
      <w:r w:rsidR="00427468">
        <w:rPr>
          <w:kern w:val="0"/>
        </w:rPr>
        <w:t xml:space="preserve"> of </w:t>
      </w:r>
      <w:r w:rsidR="00D5664A">
        <w:rPr>
          <w:kern w:val="0"/>
        </w:rPr>
        <w:t>Science</w:t>
      </w:r>
      <w:r>
        <w:rPr>
          <w:kern w:val="0"/>
        </w:rPr>
        <w:t xml:space="preserve"> (1990-August 2004) was used to search for additional abstracts using</w:t>
      </w:r>
      <w:r w:rsidR="003A1917">
        <w:rPr>
          <w:kern w:val="0"/>
        </w:rPr>
        <w:t xml:space="preserve"> the </w:t>
      </w:r>
      <w:r>
        <w:rPr>
          <w:kern w:val="0"/>
        </w:rPr>
        <w:t>same search terms as above</w:t>
      </w:r>
      <w:r w:rsidR="00A37C1D">
        <w:rPr>
          <w:kern w:val="0"/>
        </w:rPr>
        <w:t>. The</w:t>
      </w:r>
      <w:r w:rsidR="003A1917">
        <w:rPr>
          <w:kern w:val="0"/>
        </w:rPr>
        <w:t xml:space="preserve"> </w:t>
      </w:r>
      <w:r>
        <w:rPr>
          <w:kern w:val="0"/>
        </w:rPr>
        <w:t>package inserts for sildenafil, vardenafil,</w:t>
      </w:r>
      <w:r w:rsidR="005853A9">
        <w:rPr>
          <w:kern w:val="0"/>
        </w:rPr>
        <w:t xml:space="preserve"> and </w:t>
      </w:r>
      <w:r>
        <w:rPr>
          <w:kern w:val="0"/>
        </w:rPr>
        <w:t>tadalafil were also consulted. STUDY SELECTION</w:t>
      </w:r>
      <w:r w:rsidR="005853A9">
        <w:rPr>
          <w:kern w:val="0"/>
        </w:rPr>
        <w:t xml:space="preserve"> and </w:t>
      </w:r>
      <w:r>
        <w:rPr>
          <w:kern w:val="0"/>
        </w:rPr>
        <w:t>DATA EXTRACTION: All identified research, review articles,</w:t>
      </w:r>
      <w:r w:rsidR="005853A9">
        <w:rPr>
          <w:kern w:val="0"/>
        </w:rPr>
        <w:t xml:space="preserve"> and </w:t>
      </w:r>
      <w:r>
        <w:rPr>
          <w:kern w:val="0"/>
        </w:rPr>
        <w:t>abstracts were assessed for relevance,</w:t>
      </w:r>
      <w:r w:rsidR="005853A9">
        <w:rPr>
          <w:kern w:val="0"/>
        </w:rPr>
        <w:t xml:space="preserve"> and </w:t>
      </w:r>
      <w:r>
        <w:rPr>
          <w:kern w:val="0"/>
        </w:rPr>
        <w:t>all relevant information was included. Priority was given to</w:t>
      </w:r>
      <w:r w:rsidR="003A1917">
        <w:rPr>
          <w:kern w:val="0"/>
        </w:rPr>
        <w:t xml:space="preserve"> the </w:t>
      </w:r>
      <w:r>
        <w:rPr>
          <w:kern w:val="0"/>
        </w:rPr>
        <w:t>primary medical literature</w:t>
      </w:r>
      <w:r w:rsidR="005853A9">
        <w:rPr>
          <w:kern w:val="0"/>
        </w:rPr>
        <w:t xml:space="preserve"> and </w:t>
      </w:r>
      <w:r>
        <w:rPr>
          <w:kern w:val="0"/>
        </w:rPr>
        <w:t>clinical trial reports. DATA SYNTHESIS: ED is a common disorder in males with increased prevalence associated with age</w:t>
      </w:r>
      <w:r w:rsidR="005853A9">
        <w:rPr>
          <w:kern w:val="0"/>
        </w:rPr>
        <w:t xml:space="preserve"> and </w:t>
      </w:r>
      <w:r>
        <w:rPr>
          <w:kern w:val="0"/>
        </w:rPr>
        <w:t>presence</w:t>
      </w:r>
      <w:r w:rsidR="00427468">
        <w:rPr>
          <w:kern w:val="0"/>
        </w:rPr>
        <w:t xml:space="preserve"> of </w:t>
      </w:r>
      <w:r>
        <w:rPr>
          <w:kern w:val="0"/>
        </w:rPr>
        <w:t>cardiovascular disease, prostatectomy, or diabetes mellitus. Sildenafil, vardenafil,</w:t>
      </w:r>
      <w:r w:rsidR="005853A9">
        <w:rPr>
          <w:kern w:val="0"/>
        </w:rPr>
        <w:t xml:space="preserve"> and </w:t>
      </w:r>
      <w:r>
        <w:rPr>
          <w:kern w:val="0"/>
        </w:rPr>
        <w:t>tadalafil are selective PDE5 Inhibitors currently available for treatment</w:t>
      </w:r>
      <w:r w:rsidR="00427468">
        <w:rPr>
          <w:kern w:val="0"/>
        </w:rPr>
        <w:t xml:space="preserve"> of </w:t>
      </w:r>
      <w:r>
        <w:rPr>
          <w:kern w:val="0"/>
        </w:rPr>
        <w:t>ED</w:t>
      </w:r>
      <w:r w:rsidR="00A37C1D">
        <w:rPr>
          <w:kern w:val="0"/>
        </w:rPr>
        <w:t>. The</w:t>
      </w:r>
      <w:r>
        <w:rPr>
          <w:kern w:val="0"/>
        </w:rPr>
        <w:t>ir pharmacology</w:t>
      </w:r>
      <w:r w:rsidR="005853A9">
        <w:rPr>
          <w:kern w:val="0"/>
        </w:rPr>
        <w:t xml:space="preserve"> and </w:t>
      </w:r>
      <w:r>
        <w:rPr>
          <w:kern w:val="0"/>
        </w:rPr>
        <w:t>pharmacokinetics vary slightly, but with potentially important clinical differences in duration</w:t>
      </w:r>
      <w:r w:rsidR="00427468">
        <w:rPr>
          <w:kern w:val="0"/>
        </w:rPr>
        <w:t xml:space="preserve"> of </w:t>
      </w:r>
      <w:r>
        <w:rPr>
          <w:kern w:val="0"/>
        </w:rPr>
        <w:t>activity; all have similar clinical efficacy</w:t>
      </w:r>
      <w:r w:rsidR="005853A9">
        <w:rPr>
          <w:kern w:val="0"/>
        </w:rPr>
        <w:t xml:space="preserve"> and </w:t>
      </w:r>
      <w:r>
        <w:rPr>
          <w:kern w:val="0"/>
        </w:rPr>
        <w:t>adverse effect profiles in patients with ED</w:t>
      </w:r>
      <w:r w:rsidR="00427468">
        <w:rPr>
          <w:kern w:val="0"/>
        </w:rPr>
        <w:t xml:space="preserve"> of </w:t>
      </w:r>
      <w:r>
        <w:rPr>
          <w:kern w:val="0"/>
        </w:rPr>
        <w:t>various causes. CONCLUSIONS: Sildenafil, vardenafil,</w:t>
      </w:r>
      <w:r w:rsidR="005853A9">
        <w:rPr>
          <w:kern w:val="0"/>
        </w:rPr>
        <w:t xml:space="preserve"> and </w:t>
      </w:r>
      <w:r>
        <w:rPr>
          <w:kern w:val="0"/>
        </w:rPr>
        <w:t>tadalafil are safe</w:t>
      </w:r>
      <w:r w:rsidR="005853A9">
        <w:rPr>
          <w:kern w:val="0"/>
        </w:rPr>
        <w:t xml:space="preserve"> and </w:t>
      </w:r>
      <w:r>
        <w:rPr>
          <w:kern w:val="0"/>
        </w:rPr>
        <w:t>effective PDE5 inhibitors for</w:t>
      </w:r>
      <w:r w:rsidR="003A1917">
        <w:rPr>
          <w:kern w:val="0"/>
        </w:rPr>
        <w:t xml:space="preserve"> the </w:t>
      </w:r>
      <w:r>
        <w:rPr>
          <w:kern w:val="0"/>
        </w:rPr>
        <w:t>treatment</w:t>
      </w:r>
      <w:r w:rsidR="00427468">
        <w:rPr>
          <w:kern w:val="0"/>
        </w:rPr>
        <w:t xml:space="preserve"> of </w:t>
      </w:r>
      <w:r>
        <w:rPr>
          <w:kern w:val="0"/>
        </w:rPr>
        <w:t>ED.</w:t>
      </w:r>
    </w:p>
    <w:p w:rsidR="008C1C37" w:rsidRDefault="008C1C37" w:rsidP="008C1C37">
      <w:pPr>
        <w:pStyle w:val="a3"/>
        <w:rPr>
          <w:kern w:val="0"/>
        </w:rPr>
      </w:pPr>
      <w:r>
        <w:rPr>
          <w:kern w:val="0"/>
        </w:rPr>
        <w:t xml:space="preserve">Keywords: Antihypertensive Drugs, Cardiovascular, Cardiovascular Disease, Cardiovascular-Disease, Clinical Trial, Controlled-Trial, Diabetes, Diabetes Mellitus, Disease, Disorder, Double-Blind, Efficacy, Erectile Dysfunction, Extraction, Information, Literature, Medical, Oral Sildenafil, Pharmacology, Phosphodiesterase Inhibitors : Sildenafil, Prevalence, Primary, Radical Prostatectomy, Research, </w:t>
      </w:r>
      <w:r>
        <w:rPr>
          <w:kern w:val="0"/>
        </w:rPr>
        <w:lastRenderedPageBreak/>
        <w:t xml:space="preserve">Review, Science, Selection, Sexual Dysfunction, Sildenafil, Sildenafil Citrate, Tadalafil, Treatment, Treatment Satisfaction, Type-5 Inhibitor, Vardenafil,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Kirk, J.K., Bell, R.A., Bertoni, A.G., Arcury, T.A., Quandt, S.A., Goff, D.C.</w:t>
      </w:r>
      <w:r w:rsidR="005853A9">
        <w:rPr>
          <w:kern w:val="0"/>
        </w:rPr>
        <w:t xml:space="preserve"> and </w:t>
      </w:r>
      <w:r>
        <w:rPr>
          <w:kern w:val="0"/>
        </w:rPr>
        <w:t>Narayan, K.M.V. (2005), Ethnic disparities: Control</w:t>
      </w:r>
      <w:r w:rsidR="00427468">
        <w:rPr>
          <w:kern w:val="0"/>
        </w:rPr>
        <w:t xml:space="preserve"> of </w:t>
      </w:r>
      <w:r>
        <w:rPr>
          <w:kern w:val="0"/>
        </w:rPr>
        <w:t>glycemia, blood pressure,</w:t>
      </w:r>
      <w:r w:rsidR="005853A9">
        <w:rPr>
          <w:kern w:val="0"/>
        </w:rPr>
        <w:t xml:space="preserve"> and </w:t>
      </w:r>
      <w:r>
        <w:rPr>
          <w:kern w:val="0"/>
        </w:rPr>
        <w:t xml:space="preserve">LDL cholesterol among US adults with type 2 diabetes. </w:t>
      </w:r>
      <w:r>
        <w:rPr>
          <w:i/>
          <w:iCs/>
          <w:kern w:val="0"/>
        </w:rPr>
        <w:t>Annals</w:t>
      </w:r>
      <w:r w:rsidR="00427468">
        <w:rPr>
          <w:i/>
          <w:iCs/>
          <w:kern w:val="0"/>
        </w:rPr>
        <w:t xml:space="preserve"> of </w:t>
      </w:r>
      <w:r>
        <w:rPr>
          <w:i/>
          <w:iCs/>
          <w:kern w:val="0"/>
        </w:rPr>
        <w:t>Pharmacotherapy</w:t>
      </w:r>
      <w:r>
        <w:rPr>
          <w:kern w:val="0"/>
        </w:rPr>
        <w:t xml:space="preserve">, </w:t>
      </w:r>
      <w:r>
        <w:rPr>
          <w:b/>
          <w:bCs/>
          <w:kern w:val="0"/>
        </w:rPr>
        <w:t>39</w:t>
      </w:r>
      <w:r>
        <w:rPr>
          <w:kern w:val="0"/>
        </w:rPr>
        <w:t xml:space="preserve"> (9), 1489-1501.</w:t>
      </w:r>
    </w:p>
    <w:p w:rsidR="008C1C37" w:rsidRDefault="008C1C37" w:rsidP="008C1C37">
      <w:pPr>
        <w:pStyle w:val="a3"/>
        <w:rPr>
          <w:kern w:val="0"/>
        </w:rPr>
      </w:pPr>
      <w:r>
        <w:rPr>
          <w:kern w:val="0"/>
        </w:rPr>
        <w:t>Abstract: OBJECTIVE: To examine ethnic disparities in</w:t>
      </w:r>
      <w:r w:rsidR="003A1917">
        <w:rPr>
          <w:kern w:val="0"/>
        </w:rPr>
        <w:t xml:space="preserve"> the </w:t>
      </w:r>
      <w:r>
        <w:rPr>
          <w:kern w:val="0"/>
        </w:rPr>
        <w:t>quality</w:t>
      </w:r>
      <w:r w:rsidR="00427468">
        <w:rPr>
          <w:kern w:val="0"/>
        </w:rPr>
        <w:t xml:space="preserve"> of </w:t>
      </w:r>
      <w:r>
        <w:rPr>
          <w:kern w:val="0"/>
        </w:rPr>
        <w:t>diabetes care among adults with diabetes in</w:t>
      </w:r>
      <w:r w:rsidR="003A1917">
        <w:rPr>
          <w:kern w:val="0"/>
        </w:rPr>
        <w:t xml:space="preserve"> the </w:t>
      </w:r>
      <w:r>
        <w:rPr>
          <w:kern w:val="0"/>
        </w:rPr>
        <w:t>US through a systematic qualitative review. DATA SOURCES: Material published in</w:t>
      </w:r>
      <w:r w:rsidR="003A1917">
        <w:rPr>
          <w:kern w:val="0"/>
        </w:rPr>
        <w:t xml:space="preserve"> the </w:t>
      </w:r>
      <w:r>
        <w:rPr>
          <w:kern w:val="0"/>
        </w:rPr>
        <w:t xml:space="preserve">English language was searched from 1993 through June 2003 using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 Cumulative Index to Nursing</w:t>
      </w:r>
      <w:r w:rsidR="005853A9">
        <w:rPr>
          <w:kern w:val="0"/>
        </w:rPr>
        <w:t xml:space="preserve"> and </w:t>
      </w:r>
      <w:r>
        <w:rPr>
          <w:kern w:val="0"/>
        </w:rPr>
        <w:t>Allied Health,</w:t>
      </w:r>
      <w:r w:rsidR="003A1917">
        <w:rPr>
          <w:kern w:val="0"/>
        </w:rPr>
        <w:t xml:space="preserve"> the </w:t>
      </w:r>
      <w:r>
        <w:rPr>
          <w:kern w:val="0"/>
        </w:rPr>
        <w:t>Cochrane Library, Combined Health Information Database,</w:t>
      </w:r>
      <w:r w:rsidR="005853A9">
        <w:rPr>
          <w:kern w:val="0"/>
        </w:rPr>
        <w:t xml:space="preserve"> and </w:t>
      </w:r>
      <w:r>
        <w:rPr>
          <w:kern w:val="0"/>
        </w:rPr>
        <w:t>Education Resources Information Center. STUDY SELECTION</w:t>
      </w:r>
      <w:r w:rsidR="005853A9">
        <w:rPr>
          <w:kern w:val="0"/>
        </w:rPr>
        <w:t xml:space="preserve"> and </w:t>
      </w:r>
      <w:r>
        <w:rPr>
          <w:kern w:val="0"/>
        </w:rPr>
        <w:t>DATA EXTRACTION: Studies</w:t>
      </w:r>
      <w:r w:rsidR="00427468">
        <w:rPr>
          <w:kern w:val="0"/>
        </w:rPr>
        <w:t xml:space="preserve"> of </w:t>
      </w:r>
      <w:r>
        <w:rPr>
          <w:kern w:val="0"/>
        </w:rPr>
        <w:t>patients with diabetes in which at least 50%</w:t>
      </w:r>
      <w:r w:rsidR="00427468">
        <w:rPr>
          <w:kern w:val="0"/>
        </w:rPr>
        <w:t xml:space="preserve"> of </w:t>
      </w:r>
      <w:r>
        <w:rPr>
          <w:kern w:val="0"/>
        </w:rPr>
        <w:t>study participants were ethnic minorities</w:t>
      </w:r>
      <w:r w:rsidR="005853A9">
        <w:rPr>
          <w:kern w:val="0"/>
        </w:rPr>
        <w:t xml:space="preserve"> and </w:t>
      </w:r>
      <w:r>
        <w:rPr>
          <w:kern w:val="0"/>
        </w:rPr>
        <w:t>studies that made ethnic group comparisons were eligible. Research on individuals having prediabetes, those &lt; 18 years</w:t>
      </w:r>
      <w:r w:rsidR="00427468">
        <w:rPr>
          <w:kern w:val="0"/>
        </w:rPr>
        <w:t xml:space="preserve"> of </w:t>
      </w:r>
      <w:r>
        <w:rPr>
          <w:kern w:val="0"/>
        </w:rPr>
        <w:t>age, or women with gestational diabetes were excluded. Reviewers used a reproducible search strategy. A standardized abstraction</w:t>
      </w:r>
      <w:r w:rsidR="005853A9">
        <w:rPr>
          <w:kern w:val="0"/>
        </w:rPr>
        <w:t xml:space="preserve"> and </w:t>
      </w:r>
      <w:r>
        <w:rPr>
          <w:kern w:val="0"/>
        </w:rPr>
        <w:t>grading</w:t>
      </w:r>
      <w:r w:rsidR="00427468">
        <w:rPr>
          <w:kern w:val="0"/>
        </w:rPr>
        <w:t xml:space="preserve"> of </w:t>
      </w:r>
      <w:r>
        <w:rPr>
          <w:kern w:val="0"/>
        </w:rPr>
        <w:t>articles for publication source</w:t>
      </w:r>
      <w:r w:rsidR="005853A9">
        <w:rPr>
          <w:kern w:val="0"/>
        </w:rPr>
        <w:t xml:space="preserve"> and </w:t>
      </w:r>
      <w:r>
        <w:rPr>
          <w:kern w:val="0"/>
        </w:rPr>
        <w:t>content were used. Data on glycemia, blood pressure,</w:t>
      </w:r>
      <w:r w:rsidR="005853A9">
        <w:rPr>
          <w:kern w:val="0"/>
        </w:rPr>
        <w:t xml:space="preserve"> and </w:t>
      </w:r>
      <w:r>
        <w:rPr>
          <w:kern w:val="0"/>
        </w:rPr>
        <w:t>low-density lipoprotein cholesterol (LDL-C) were extracted in patients with diabetes. A total</w:t>
      </w:r>
      <w:r w:rsidR="00427468">
        <w:rPr>
          <w:kern w:val="0"/>
        </w:rPr>
        <w:t xml:space="preserve"> of </w:t>
      </w:r>
      <w:r>
        <w:rPr>
          <w:kern w:val="0"/>
        </w:rPr>
        <w:t>390 studies were reviewed, with 78 meeting inclusion criteria. DATA SYNTHESIS: Ethnic minorities had poorer outcomes</w:t>
      </w:r>
      <w:r w:rsidR="00427468">
        <w:rPr>
          <w:kern w:val="0"/>
        </w:rPr>
        <w:t xml:space="preserve"> of </w:t>
      </w:r>
      <w:r>
        <w:rPr>
          <w:kern w:val="0"/>
        </w:rPr>
        <w:t>care than non-Hispanic whites</w:t>
      </w:r>
      <w:r w:rsidR="00A37C1D">
        <w:rPr>
          <w:kern w:val="0"/>
        </w:rPr>
        <w:t>. The</w:t>
      </w:r>
      <w:r>
        <w:rPr>
          <w:kern w:val="0"/>
        </w:rPr>
        <w:t>se disparities were most pronounced for glycemic control</w:t>
      </w:r>
      <w:r w:rsidR="005853A9">
        <w:rPr>
          <w:kern w:val="0"/>
        </w:rPr>
        <w:t xml:space="preserve"> and </w:t>
      </w:r>
      <w:r>
        <w:rPr>
          <w:kern w:val="0"/>
        </w:rPr>
        <w:t>least evident for LDL-C control. Most studies showed blood pressure to be poorly controlled among ethnic minorities. CONCLUSIONS: Control</w:t>
      </w:r>
      <w:r w:rsidR="00427468">
        <w:rPr>
          <w:kern w:val="0"/>
        </w:rPr>
        <w:t xml:space="preserve"> of </w:t>
      </w:r>
      <w:r>
        <w:rPr>
          <w:kern w:val="0"/>
        </w:rPr>
        <w:t>risk factors for diabetes (glycemia, blood pressure, LDL-C) is challenging</w:t>
      </w:r>
      <w:r w:rsidR="005853A9">
        <w:rPr>
          <w:kern w:val="0"/>
        </w:rPr>
        <w:t xml:space="preserve"> and </w:t>
      </w:r>
      <w:r>
        <w:rPr>
          <w:kern w:val="0"/>
        </w:rPr>
        <w:t>requires routine assessment</w:t>
      </w:r>
      <w:r w:rsidR="00A37C1D">
        <w:rPr>
          <w:kern w:val="0"/>
        </w:rPr>
        <w:t>. The</w:t>
      </w:r>
      <w:r>
        <w:rPr>
          <w:kern w:val="0"/>
        </w:rPr>
        <w:t>se findings indicate that additional efforts are needed to promote diabetes quality</w:t>
      </w:r>
      <w:r w:rsidR="00427468">
        <w:rPr>
          <w:kern w:val="0"/>
        </w:rPr>
        <w:t xml:space="preserve"> of </w:t>
      </w:r>
      <w:r>
        <w:rPr>
          <w:kern w:val="0"/>
        </w:rPr>
        <w:t>care among minority populations.</w:t>
      </w:r>
    </w:p>
    <w:p w:rsidR="008C1C37" w:rsidRDefault="008C1C37" w:rsidP="008C1C37">
      <w:pPr>
        <w:pStyle w:val="a3"/>
        <w:rPr>
          <w:kern w:val="0"/>
        </w:rPr>
      </w:pPr>
      <w:r>
        <w:rPr>
          <w:kern w:val="0"/>
        </w:rPr>
        <w:t xml:space="preserve">Keywords: Adults, Assessment, Blood, Blood Pressure, Cardiovascular-Disease, Cochrane, Control, Diabetes, Disease Risk-Factors, Disparities, Education, Ethnicity, Extraction, Gestational Diabetes, Glycemia, Health, Insulin-Resistance Syndrome, Intertribal Heart Project, Ldl, Managed-Care, Mexican-Americans, Minorities, Nursing, Outcomes, Pressure, Publication, </w:t>
      </w:r>
      <w:r w:rsidR="002C12F0">
        <w:rPr>
          <w:kern w:val="0"/>
        </w:rPr>
        <w:t>PUBMED</w:t>
      </w:r>
      <w:r>
        <w:rPr>
          <w:kern w:val="0"/>
        </w:rPr>
        <w:t>, Quality Improvement Project, Quality</w:t>
      </w:r>
      <w:r w:rsidR="00427468">
        <w:rPr>
          <w:kern w:val="0"/>
        </w:rPr>
        <w:t xml:space="preserve"> of </w:t>
      </w:r>
      <w:r>
        <w:rPr>
          <w:kern w:val="0"/>
        </w:rPr>
        <w:t>Care, Quality</w:t>
      </w:r>
      <w:r w:rsidR="00434900">
        <w:rPr>
          <w:kern w:val="0"/>
        </w:rPr>
        <w:t>-of-</w:t>
      </w:r>
      <w:r>
        <w:rPr>
          <w:kern w:val="0"/>
        </w:rPr>
        <w:t xml:space="preserve">Care Measures, Racial-Differences, Randomized Controlled-Trial, Research, Review, Risk, Risk Factors, Science, Selection, Strategy, Systematic, Type 2, Type 2 Diabetes, Urban African-Americans, US, </w:t>
      </w:r>
      <w:r w:rsidR="00D5664A">
        <w:rPr>
          <w:kern w:val="0"/>
        </w:rPr>
        <w:t>Web</w:t>
      </w:r>
      <w:r w:rsidR="00427468">
        <w:rPr>
          <w:kern w:val="0"/>
        </w:rPr>
        <w:t xml:space="preserve"> of </w:t>
      </w:r>
      <w:r w:rsidR="00D5664A">
        <w:rPr>
          <w:kern w:val="0"/>
        </w:rPr>
        <w:t>Science</w:t>
      </w:r>
      <w:r>
        <w:rPr>
          <w:kern w:val="0"/>
        </w:rPr>
        <w:t>, Women</w:t>
      </w:r>
    </w:p>
    <w:p w:rsidR="008C1C37" w:rsidRDefault="008C1C37" w:rsidP="008C1C37">
      <w:pPr>
        <w:pStyle w:val="a3"/>
        <w:rPr>
          <w:kern w:val="0"/>
        </w:rPr>
      </w:pPr>
      <w:r>
        <w:rPr>
          <w:rFonts w:hint="eastAsia"/>
          <w:kern w:val="0"/>
        </w:rPr>
        <w:t xml:space="preserve">? </w:t>
      </w:r>
      <w:r>
        <w:rPr>
          <w:kern w:val="0"/>
        </w:rPr>
        <w:t>Levien, T.L. (2006), Phosphodiesterase inhibitors in Raynaud</w:t>
      </w:r>
      <w:r w:rsidR="00700038">
        <w:rPr>
          <w:kern w:val="0"/>
        </w:rPr>
        <w:t>’</w:t>
      </w:r>
      <w:r w:rsidR="00C13DDC">
        <w:rPr>
          <w:kern w:val="0"/>
        </w:rPr>
        <w:t>s</w:t>
      </w:r>
      <w:r>
        <w:rPr>
          <w:kern w:val="0"/>
        </w:rPr>
        <w:t xml:space="preserve"> phenomenon. </w:t>
      </w:r>
      <w:r>
        <w:rPr>
          <w:i/>
          <w:iCs/>
          <w:kern w:val="0"/>
        </w:rPr>
        <w:t>Annals</w:t>
      </w:r>
      <w:r w:rsidR="00427468">
        <w:rPr>
          <w:i/>
          <w:iCs/>
          <w:kern w:val="0"/>
        </w:rPr>
        <w:t xml:space="preserve"> of </w:t>
      </w:r>
      <w:r>
        <w:rPr>
          <w:i/>
          <w:iCs/>
          <w:kern w:val="0"/>
        </w:rPr>
        <w:t>Pharmacotherapy</w:t>
      </w:r>
      <w:r>
        <w:rPr>
          <w:kern w:val="0"/>
        </w:rPr>
        <w:t xml:space="preserve">, </w:t>
      </w:r>
      <w:r>
        <w:rPr>
          <w:b/>
          <w:bCs/>
          <w:kern w:val="0"/>
        </w:rPr>
        <w:t>40</w:t>
      </w:r>
      <w:r>
        <w:rPr>
          <w:kern w:val="0"/>
        </w:rPr>
        <w:t xml:space="preserve"> (7-8), 1388-1393.</w:t>
      </w:r>
    </w:p>
    <w:p w:rsidR="008C1C37" w:rsidRDefault="008C1C37" w:rsidP="008C1C37">
      <w:pPr>
        <w:pStyle w:val="a3"/>
        <w:rPr>
          <w:kern w:val="0"/>
        </w:rPr>
      </w:pPr>
      <w:r>
        <w:rPr>
          <w:kern w:val="0"/>
        </w:rPr>
        <w:lastRenderedPageBreak/>
        <w:t>Abstract: OBJECTIVE: To evaluate</w:t>
      </w:r>
      <w:r w:rsidR="003A1917">
        <w:rPr>
          <w:kern w:val="0"/>
        </w:rPr>
        <w:t xml:space="preserve"> the </w:t>
      </w:r>
      <w:r>
        <w:rPr>
          <w:kern w:val="0"/>
        </w:rPr>
        <w:t>efficacy</w:t>
      </w:r>
      <w:r w:rsidR="00427468">
        <w:rPr>
          <w:kern w:val="0"/>
        </w:rPr>
        <w:t xml:space="preserve"> of </w:t>
      </w:r>
      <w:r w:rsidR="003A1917">
        <w:rPr>
          <w:kern w:val="0"/>
        </w:rPr>
        <w:t xml:space="preserve">the </w:t>
      </w:r>
      <w:r>
        <w:rPr>
          <w:kern w:val="0"/>
        </w:rPr>
        <w:t>phosphodiesterase type 5 (PDE5) inhibitors in</w:t>
      </w:r>
      <w:r w:rsidR="003A1917">
        <w:rPr>
          <w:kern w:val="0"/>
        </w:rPr>
        <w:t xml:space="preserve"> the </w:t>
      </w:r>
      <w:r>
        <w:rPr>
          <w:kern w:val="0"/>
        </w:rPr>
        <w:t>treatment</w:t>
      </w:r>
      <w:r w:rsidR="00427468">
        <w:rPr>
          <w:kern w:val="0"/>
        </w:rPr>
        <w:t xml:space="preserve"> of </w:t>
      </w:r>
      <w:r>
        <w:rPr>
          <w:kern w:val="0"/>
        </w:rPr>
        <w:t>Raynaud</w:t>
      </w:r>
      <w:r w:rsidR="00700038">
        <w:rPr>
          <w:kern w:val="0"/>
        </w:rPr>
        <w:t>’</w:t>
      </w:r>
      <w:r w:rsidR="00C13DDC">
        <w:rPr>
          <w:kern w:val="0"/>
        </w:rPr>
        <w:t>s</w:t>
      </w:r>
      <w:r>
        <w:rPr>
          <w:kern w:val="0"/>
        </w:rPr>
        <w:t xml:space="preserve"> phenomenon. DATA SOURCES: Searches</w:t>
      </w:r>
      <w:r w:rsidR="00427468">
        <w:rPr>
          <w:kern w:val="0"/>
        </w:rPr>
        <w:t xml:space="preserve"> of </w:t>
      </w:r>
      <w:r w:rsidR="00D5664A">
        <w:rPr>
          <w:kern w:val="0"/>
        </w:rPr>
        <w:t>MEDLINE</w:t>
      </w:r>
      <w:r>
        <w:rPr>
          <w:kern w:val="0"/>
        </w:rPr>
        <w:t xml:space="preserve"> (1966-March 2006)</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(1980-March 2006) were conducted; search terms were sildenafil, tadalafil, vardenafil, phosphodiesterase,</w:t>
      </w:r>
      <w:r w:rsidR="005853A9">
        <w:rPr>
          <w:kern w:val="0"/>
        </w:rPr>
        <w:t xml:space="preserve"> and </w:t>
      </w:r>
      <w:r>
        <w:rPr>
          <w:kern w:val="0"/>
        </w:rPr>
        <w:t>Raynaud. Studies</w:t>
      </w:r>
      <w:r w:rsidR="005853A9">
        <w:rPr>
          <w:kern w:val="0"/>
        </w:rPr>
        <w:t xml:space="preserve"> and </w:t>
      </w:r>
      <w:r>
        <w:rPr>
          <w:kern w:val="0"/>
        </w:rPr>
        <w:t>case reports published in English were retrieved. Additional references were identified in bibliographic reviews. DATA SYNTHESIS: Several small studies</w:t>
      </w:r>
      <w:r w:rsidR="005853A9">
        <w:rPr>
          <w:kern w:val="0"/>
        </w:rPr>
        <w:t xml:space="preserve"> and </w:t>
      </w:r>
      <w:r>
        <w:rPr>
          <w:kern w:val="0"/>
        </w:rPr>
        <w:t>a number</w:t>
      </w:r>
      <w:r w:rsidR="00427468">
        <w:rPr>
          <w:kern w:val="0"/>
        </w:rPr>
        <w:t xml:space="preserve"> of </w:t>
      </w:r>
      <w:r>
        <w:rPr>
          <w:kern w:val="0"/>
        </w:rPr>
        <w:t>case reports have described</w:t>
      </w:r>
      <w:r w:rsidR="003A1917">
        <w:rPr>
          <w:kern w:val="0"/>
        </w:rPr>
        <w:t xml:space="preserve"> the </w:t>
      </w:r>
      <w:r>
        <w:rPr>
          <w:kern w:val="0"/>
        </w:rPr>
        <w:t>use</w:t>
      </w:r>
      <w:r w:rsidR="00427468">
        <w:rPr>
          <w:kern w:val="0"/>
        </w:rPr>
        <w:t xml:space="preserve"> of </w:t>
      </w:r>
      <w:r>
        <w:rPr>
          <w:kern w:val="0"/>
        </w:rPr>
        <w:t>PDE5 inhibitors in patients with either primary or secondary Raynaud</w:t>
      </w:r>
      <w:r w:rsidR="00700038">
        <w:rPr>
          <w:kern w:val="0"/>
        </w:rPr>
        <w:t>’</w:t>
      </w:r>
      <w:r w:rsidR="00C13DDC">
        <w:rPr>
          <w:kern w:val="0"/>
        </w:rPr>
        <w:t>s</w:t>
      </w:r>
      <w:r>
        <w:rPr>
          <w:kern w:val="0"/>
        </w:rPr>
        <w:t xml:space="preserve"> phenomenon</w:t>
      </w:r>
      <w:r w:rsidR="00A37C1D">
        <w:rPr>
          <w:kern w:val="0"/>
        </w:rPr>
        <w:t>. The</w:t>
      </w:r>
      <w:r w:rsidR="003A1917">
        <w:rPr>
          <w:kern w:val="0"/>
        </w:rPr>
        <w:t xml:space="preserve"> </w:t>
      </w:r>
      <w:r>
        <w:rPr>
          <w:kern w:val="0"/>
        </w:rPr>
        <w:t>data from</w:t>
      </w:r>
      <w:r w:rsidR="003A1917">
        <w:rPr>
          <w:kern w:val="0"/>
        </w:rPr>
        <w:t xml:space="preserve"> the </w:t>
      </w:r>
      <w:r>
        <w:rPr>
          <w:kern w:val="0"/>
        </w:rPr>
        <w:t>best designed study show a reduced attack frequency</w:t>
      </w:r>
      <w:r w:rsidR="005853A9">
        <w:rPr>
          <w:kern w:val="0"/>
        </w:rPr>
        <w:t xml:space="preserve"> and </w:t>
      </w:r>
      <w:r>
        <w:rPr>
          <w:kern w:val="0"/>
        </w:rPr>
        <w:t>duration, reduced Raynaud Condition Score,</w:t>
      </w:r>
      <w:r w:rsidR="005853A9">
        <w:rPr>
          <w:kern w:val="0"/>
        </w:rPr>
        <w:t xml:space="preserve"> and </w:t>
      </w:r>
      <w:r>
        <w:rPr>
          <w:kern w:val="0"/>
        </w:rPr>
        <w:t>increased capillary blood flow in patients with secondary Raynaud</w:t>
      </w:r>
      <w:r w:rsidR="00700038">
        <w:rPr>
          <w:kern w:val="0"/>
        </w:rPr>
        <w:t>’</w:t>
      </w:r>
      <w:r w:rsidR="00C13DDC">
        <w:rPr>
          <w:kern w:val="0"/>
        </w:rPr>
        <w:t>s</w:t>
      </w:r>
      <w:r>
        <w:rPr>
          <w:kern w:val="0"/>
        </w:rPr>
        <w:t xml:space="preserve"> phenomenon. CONCLUSIONS: Available evidence suggests that sildenafil may be associated with improved microcirculation, symptomatic relief,</w:t>
      </w:r>
      <w:r w:rsidR="005853A9">
        <w:rPr>
          <w:kern w:val="0"/>
        </w:rPr>
        <w:t xml:space="preserve"> and </w:t>
      </w:r>
      <w:r>
        <w:rPr>
          <w:kern w:val="0"/>
        </w:rPr>
        <w:t>ulcer healing in patients with secondary Raynaud</w:t>
      </w:r>
      <w:r w:rsidR="00700038">
        <w:rPr>
          <w:kern w:val="0"/>
        </w:rPr>
        <w:t>’</w:t>
      </w:r>
      <w:r w:rsidR="00C13DDC">
        <w:rPr>
          <w:kern w:val="0"/>
        </w:rPr>
        <w:t>s</w:t>
      </w:r>
      <w:r>
        <w:rPr>
          <w:kern w:val="0"/>
        </w:rPr>
        <w:t xml:space="preserve"> phenomenon. Limited information suggests similar effects with tadalafil</w:t>
      </w:r>
      <w:r w:rsidR="005853A9">
        <w:rPr>
          <w:kern w:val="0"/>
        </w:rPr>
        <w:t xml:space="preserve"> and </w:t>
      </w:r>
      <w:r>
        <w:rPr>
          <w:kern w:val="0"/>
        </w:rPr>
        <w:t>vardenafil. Improved blood flow</w:t>
      </w:r>
      <w:r w:rsidR="005853A9">
        <w:rPr>
          <w:kern w:val="0"/>
        </w:rPr>
        <w:t xml:space="preserve"> and </w:t>
      </w:r>
      <w:r>
        <w:rPr>
          <w:kern w:val="0"/>
        </w:rPr>
        <w:t>clinical improvements have also been observed in some patients with primary Raynaud</w:t>
      </w:r>
      <w:r w:rsidR="00700038">
        <w:rPr>
          <w:kern w:val="0"/>
        </w:rPr>
        <w:t>’</w:t>
      </w:r>
      <w:r w:rsidR="00C13DDC">
        <w:rPr>
          <w:kern w:val="0"/>
        </w:rPr>
        <w:t>s</w:t>
      </w:r>
      <w:r>
        <w:rPr>
          <w:kern w:val="0"/>
        </w:rPr>
        <w:t xml:space="preserve"> phenomenon treated with PDE5 inhibitors; however, studies have yielded conflicting results.</w:t>
      </w:r>
    </w:p>
    <w:p w:rsidR="008C1C37" w:rsidRDefault="008C1C37" w:rsidP="008C1C37">
      <w:pPr>
        <w:pStyle w:val="a3"/>
        <w:rPr>
          <w:kern w:val="0"/>
        </w:rPr>
      </w:pPr>
      <w:r>
        <w:rPr>
          <w:kern w:val="0"/>
        </w:rPr>
        <w:t xml:space="preserve">Keywords: Bibliographic, Blood, Blood Flow, Blood-Flow, Case Reports, Efficacy, Frequency, Information, Ischemia, </w:t>
      </w:r>
      <w:r w:rsidR="00D5664A">
        <w:rPr>
          <w:kern w:val="0"/>
        </w:rPr>
        <w:t>MEDLINE</w:t>
      </w:r>
      <w:r>
        <w:rPr>
          <w:kern w:val="0"/>
        </w:rPr>
        <w:t>, Patient, Primary, Raynaud</w:t>
      </w:r>
      <w:r w:rsidR="00700038">
        <w:rPr>
          <w:kern w:val="0"/>
        </w:rPr>
        <w:t>’</w:t>
      </w:r>
      <w:r w:rsidR="00C13DDC">
        <w:rPr>
          <w:kern w:val="0"/>
        </w:rPr>
        <w:t>s</w:t>
      </w:r>
      <w:r>
        <w:rPr>
          <w:kern w:val="0"/>
        </w:rPr>
        <w:t xml:space="preserve"> Phenomenon, Science, Scleroderma, Secondary, Sildenafil, Sildenafil Citrate, Systemic-Sclerosis, Tadalafil, Tadalafil, Treatment, Vardenafil,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Hatton, R.C., Winterstein, A.G., McKelvey, R.P., Shuster, J.</w:t>
      </w:r>
      <w:r w:rsidR="005853A9">
        <w:rPr>
          <w:kern w:val="0"/>
        </w:rPr>
        <w:t xml:space="preserve"> and </w:t>
      </w:r>
      <w:r>
        <w:rPr>
          <w:kern w:val="0"/>
        </w:rPr>
        <w:t>Hendeles, L. (2007), Efficacy</w:t>
      </w:r>
      <w:r w:rsidR="005853A9">
        <w:rPr>
          <w:kern w:val="0"/>
        </w:rPr>
        <w:t xml:space="preserve"> and </w:t>
      </w:r>
      <w:r>
        <w:rPr>
          <w:kern w:val="0"/>
        </w:rPr>
        <w:t>safety</w:t>
      </w:r>
      <w:r w:rsidR="00427468">
        <w:rPr>
          <w:kern w:val="0"/>
        </w:rPr>
        <w:t xml:space="preserve"> of </w:t>
      </w:r>
      <w:r>
        <w:rPr>
          <w:kern w:val="0"/>
        </w:rPr>
        <w:t>oral phenylephrine: Systematic review</w:t>
      </w:r>
      <w:r w:rsidR="005853A9">
        <w:rPr>
          <w:kern w:val="0"/>
        </w:rPr>
        <w:t xml:space="preserve"> and </w:t>
      </w:r>
      <w:r>
        <w:rPr>
          <w:kern w:val="0"/>
        </w:rPr>
        <w:t xml:space="preserve">meta-analysis. </w:t>
      </w:r>
      <w:r>
        <w:rPr>
          <w:i/>
          <w:iCs/>
          <w:kern w:val="0"/>
        </w:rPr>
        <w:t>Annals</w:t>
      </w:r>
      <w:r w:rsidR="00427468">
        <w:rPr>
          <w:i/>
          <w:iCs/>
          <w:kern w:val="0"/>
        </w:rPr>
        <w:t xml:space="preserve"> of </w:t>
      </w:r>
      <w:r>
        <w:rPr>
          <w:i/>
          <w:iCs/>
          <w:kern w:val="0"/>
        </w:rPr>
        <w:t>Pharmacotherapy</w:t>
      </w:r>
      <w:r>
        <w:rPr>
          <w:kern w:val="0"/>
        </w:rPr>
        <w:t xml:space="preserve">, </w:t>
      </w:r>
      <w:r>
        <w:rPr>
          <w:b/>
          <w:bCs/>
          <w:kern w:val="0"/>
        </w:rPr>
        <w:t>41</w:t>
      </w:r>
      <w:r>
        <w:rPr>
          <w:kern w:val="0"/>
        </w:rPr>
        <w:t xml:space="preserve"> (3), 381-390.</w:t>
      </w:r>
    </w:p>
    <w:p w:rsidR="008C1C37" w:rsidRDefault="008C1C37" w:rsidP="008C1C37">
      <w:pPr>
        <w:pStyle w:val="a3"/>
        <w:rPr>
          <w:kern w:val="0"/>
        </w:rPr>
      </w:pPr>
      <w:r>
        <w:rPr>
          <w:kern w:val="0"/>
        </w:rPr>
        <w:t>Abstract: BACKGROUND: Oral phenylephrine is used as a decongestant, yet there has been no previously published systematic review supporting its efficacy</w:t>
      </w:r>
      <w:r w:rsidR="005853A9">
        <w:rPr>
          <w:kern w:val="0"/>
        </w:rPr>
        <w:t xml:space="preserve"> and </w:t>
      </w:r>
      <w:r>
        <w:rPr>
          <w:kern w:val="0"/>
        </w:rPr>
        <w:t>safety. OBJECTIVE: To assess</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 xml:space="preserve">oral phenylephrine as a nonprescription decongestant. METHODS: </w:t>
      </w:r>
      <w:r w:rsidR="00D5664A">
        <w:rPr>
          <w:kern w:val="0"/>
        </w:rPr>
        <w:t>MEDLINE</w:t>
      </w:r>
      <w:r>
        <w:rPr>
          <w:kern w:val="0"/>
        </w:rPr>
        <w:t>,</w:t>
      </w:r>
      <w:r w:rsidR="003A1917">
        <w:rPr>
          <w:kern w:val="0"/>
        </w:rPr>
        <w:t xml:space="preserve"> the </w:t>
      </w:r>
      <w:r>
        <w:rPr>
          <w:kern w:val="0"/>
        </w:rPr>
        <w:t>Cochrane Central Registry</w:t>
      </w:r>
      <w:r w:rsidR="00427468">
        <w:rPr>
          <w:kern w:val="0"/>
        </w:rPr>
        <w:t xml:space="preserve"> of </w:t>
      </w:r>
      <w:r>
        <w:rPr>
          <w:kern w:val="0"/>
        </w:rPr>
        <w:t>Controlled Trials, EMBASE, International Pharmaceutical Abstracts,</w:t>
      </w:r>
      <w:r w:rsidR="005853A9">
        <w:rPr>
          <w:kern w:val="0"/>
        </w:rPr>
        <w:t xml:space="preserve"> and </w:t>
      </w:r>
      <w:r w:rsidR="003A1917">
        <w:rPr>
          <w:kern w:val="0"/>
        </w:rPr>
        <w:t xml:space="preserve">the </w:t>
      </w:r>
      <w:r>
        <w:rPr>
          <w:kern w:val="0"/>
        </w:rPr>
        <w:t>Federal Register were searched for English</w:t>
      </w:r>
      <w:r w:rsidR="005853A9">
        <w:rPr>
          <w:kern w:val="0"/>
        </w:rPr>
        <w:t xml:space="preserve"> and </w:t>
      </w:r>
      <w:r>
        <w:rPr>
          <w:kern w:val="0"/>
        </w:rPr>
        <w:t>non-English-language studies published through January 2007 that measured</w:t>
      </w:r>
      <w:r w:rsidR="003A1917">
        <w:rPr>
          <w:kern w:val="0"/>
        </w:rPr>
        <w:t xml:space="preserve"> the </w:t>
      </w:r>
      <w:r>
        <w:rPr>
          <w:kern w:val="0"/>
        </w:rPr>
        <w:t>effects</w:t>
      </w:r>
      <w:r w:rsidR="00427468">
        <w:rPr>
          <w:kern w:val="0"/>
        </w:rPr>
        <w:t xml:space="preserve"> of </w:t>
      </w:r>
      <w:r>
        <w:rPr>
          <w:kern w:val="0"/>
        </w:rPr>
        <w:t>oral phenylephrine on nasal airway resistance (NAR) in patients with nasal congestion</w:t>
      </w:r>
      <w:r w:rsidR="00A37C1D">
        <w:rPr>
          <w:kern w:val="0"/>
        </w:rPr>
        <w:t>. The</w:t>
      </w:r>
      <w:r w:rsidR="003A1917">
        <w:rPr>
          <w:kern w:val="0"/>
        </w:rPr>
        <w:t xml:space="preserve"> </w:t>
      </w:r>
      <w:r>
        <w:rPr>
          <w:kern w:val="0"/>
        </w:rPr>
        <w:t>retrieved studies were supplemented with information from our personal files</w:t>
      </w:r>
      <w:r w:rsidR="005853A9">
        <w:rPr>
          <w:kern w:val="0"/>
        </w:rPr>
        <w:t xml:space="preserve"> and </w:t>
      </w:r>
      <w:r>
        <w:rPr>
          <w:kern w:val="0"/>
        </w:rPr>
        <w:t>by hand searches</w:t>
      </w:r>
      <w:r w:rsidR="00427468">
        <w:rPr>
          <w:kern w:val="0"/>
        </w:rPr>
        <w:t xml:space="preserve"> of </w:t>
      </w:r>
      <w:r w:rsidR="003A1917">
        <w:rPr>
          <w:kern w:val="0"/>
        </w:rPr>
        <w:t xml:space="preserve">the </w:t>
      </w:r>
      <w:r>
        <w:rPr>
          <w:kern w:val="0"/>
        </w:rPr>
        <w:t>references in any</w:t>
      </w:r>
      <w:r w:rsidR="00427468">
        <w:rPr>
          <w:kern w:val="0"/>
        </w:rPr>
        <w:t xml:space="preserve"> of </w:t>
      </w:r>
      <w:r w:rsidR="003A1917">
        <w:rPr>
          <w:kern w:val="0"/>
        </w:rPr>
        <w:t xml:space="preserve">the </w:t>
      </w:r>
      <w:r>
        <w:rPr>
          <w:kern w:val="0"/>
        </w:rPr>
        <w:t xml:space="preserve">studies. Additionally, a </w:t>
      </w:r>
      <w:r w:rsidR="00D5664A">
        <w:rPr>
          <w:kern w:val="0"/>
        </w:rPr>
        <w:t>Web</w:t>
      </w:r>
      <w:r w:rsidR="00427468">
        <w:rPr>
          <w:kern w:val="0"/>
        </w:rPr>
        <w:t xml:space="preserve"> of </w:t>
      </w:r>
      <w:r w:rsidR="00D5664A">
        <w:rPr>
          <w:kern w:val="0"/>
        </w:rPr>
        <w:t>Science</w:t>
      </w:r>
      <w:r>
        <w:rPr>
          <w:kern w:val="0"/>
        </w:rPr>
        <w:t xml:space="preserve"> Search was conducted using</w:t>
      </w:r>
      <w:r w:rsidR="003A1917">
        <w:rPr>
          <w:kern w:val="0"/>
        </w:rPr>
        <w:t xml:space="preserve"> the </w:t>
      </w:r>
      <w:r>
        <w:rPr>
          <w:kern w:val="0"/>
        </w:rPr>
        <w:t>Cited Reference function for all published clinical trials identified. Studies included I in</w:t>
      </w:r>
      <w:r w:rsidR="003A1917">
        <w:rPr>
          <w:kern w:val="0"/>
        </w:rPr>
        <w:t xml:space="preserve"> the </w:t>
      </w:r>
      <w:r>
        <w:rPr>
          <w:kern w:val="0"/>
        </w:rPr>
        <w:t>analysis were randomized, placebo-controlled trials; studies</w:t>
      </w:r>
      <w:r w:rsidR="00427468">
        <w:rPr>
          <w:kern w:val="0"/>
        </w:rPr>
        <w:t xml:space="preserve"> of </w:t>
      </w:r>
      <w:r>
        <w:rPr>
          <w:kern w:val="0"/>
        </w:rPr>
        <w:t>combination products were excluded. Two investigators independently extracted data on NAR, self-reported decongestant effects,</w:t>
      </w:r>
      <w:r w:rsidR="005853A9">
        <w:rPr>
          <w:kern w:val="0"/>
        </w:rPr>
        <w:t xml:space="preserve"> and </w:t>
      </w:r>
      <w:r>
        <w:rPr>
          <w:kern w:val="0"/>
        </w:rPr>
        <w:t>cardiovascular effects (ie, heart rate, blood pressure) from each</w:t>
      </w:r>
      <w:r w:rsidR="00427468">
        <w:rPr>
          <w:kern w:val="0"/>
        </w:rPr>
        <w:t xml:space="preserve"> of </w:t>
      </w:r>
      <w:r w:rsidR="003A1917">
        <w:rPr>
          <w:kern w:val="0"/>
        </w:rPr>
        <w:t xml:space="preserve">the </w:t>
      </w:r>
      <w:r>
        <w:rPr>
          <w:kern w:val="0"/>
        </w:rPr>
        <w:lastRenderedPageBreak/>
        <w:t>included studies. Meta-analyses were performed for NAR</w:t>
      </w:r>
      <w:r w:rsidR="005853A9">
        <w:rPr>
          <w:kern w:val="0"/>
        </w:rPr>
        <w:t xml:space="preserve"> and </w:t>
      </w:r>
      <w:r>
        <w:rPr>
          <w:kern w:val="0"/>
        </w:rPr>
        <w:t>cardiovascular effects using a random effects model. Subjective decongestant effects were summarized. RESULTS: Based on 8 unpublished studies that included 138 patients, phenylephrine 10 mg did not affect NAR more than placebo;</w:t>
      </w:r>
      <w:r w:rsidR="003A1917">
        <w:rPr>
          <w:kern w:val="0"/>
        </w:rPr>
        <w:t xml:space="preserve"> the </w:t>
      </w:r>
      <w:r>
        <w:rPr>
          <w:kern w:val="0"/>
        </w:rPr>
        <w:t>mean maximal difference in relative change from baseline between phenylephrine</w:t>
      </w:r>
      <w:r w:rsidR="005853A9">
        <w:rPr>
          <w:kern w:val="0"/>
        </w:rPr>
        <w:t xml:space="preserve"> and </w:t>
      </w:r>
      <w:r>
        <w:rPr>
          <w:kern w:val="0"/>
        </w:rPr>
        <w:t>placebo was 10.1% (95% Cl -3.8% to 23.9%). Eight unpublished studies on phenylephrine 25 mg showed a significant reduction</w:t>
      </w:r>
      <w:r w:rsidR="00427468">
        <w:rPr>
          <w:kern w:val="0"/>
        </w:rPr>
        <w:t xml:space="preserve"> of </w:t>
      </w:r>
      <w:r>
        <w:rPr>
          <w:kern w:val="0"/>
        </w:rPr>
        <w:t>maximal NAR compared with placebo</w:t>
      </w:r>
      <w:r w:rsidR="00427468">
        <w:rPr>
          <w:kern w:val="0"/>
        </w:rPr>
        <w:t xml:space="preserve"> of </w:t>
      </w:r>
      <w:r>
        <w:rPr>
          <w:kern w:val="0"/>
        </w:rPr>
        <w:t>27.6% (95% Cl 17.5% to 37.7%)</w:t>
      </w:r>
      <w:r w:rsidR="00A37C1D">
        <w:rPr>
          <w:kern w:val="0"/>
        </w:rPr>
        <w:t>. The</w:t>
      </w:r>
      <w:r>
        <w:rPr>
          <w:kern w:val="0"/>
        </w:rPr>
        <w:t>re was significant heterogeneity among</w:t>
      </w:r>
      <w:r w:rsidR="003A1917">
        <w:rPr>
          <w:kern w:val="0"/>
        </w:rPr>
        <w:t xml:space="preserve"> the </w:t>
      </w:r>
      <w:r>
        <w:rPr>
          <w:kern w:val="0"/>
        </w:rPr>
        <w:t>studies included in this analysis, which was partially attributable to different laboratories</w:t>
      </w:r>
      <w:r w:rsidR="005853A9">
        <w:rPr>
          <w:kern w:val="0"/>
        </w:rPr>
        <w:t xml:space="preserve"> and </w:t>
      </w:r>
      <w:r>
        <w:rPr>
          <w:kern w:val="0"/>
        </w:rPr>
        <w:t>methods used. Patient-reported decongestion was not consistently better for any phenylephrine dose compared with placebo,</w:t>
      </w:r>
      <w:r w:rsidR="005853A9">
        <w:rPr>
          <w:kern w:val="0"/>
        </w:rPr>
        <w:t xml:space="preserve"> and </w:t>
      </w:r>
      <w:r>
        <w:rPr>
          <w:kern w:val="0"/>
        </w:rPr>
        <w:t>NAR was a more sensitive measurement</w:t>
      </w:r>
      <w:r w:rsidR="00427468">
        <w:rPr>
          <w:kern w:val="0"/>
        </w:rPr>
        <w:t xml:space="preserve"> of </w:t>
      </w:r>
      <w:r>
        <w:rPr>
          <w:kern w:val="0"/>
        </w:rPr>
        <w:t>efficacy. Phenylephrine showed no consistent effect on heart rate or blood pressure for doses</w:t>
      </w:r>
      <w:r w:rsidR="00427468">
        <w:rPr>
          <w:kern w:val="0"/>
        </w:rPr>
        <w:t xml:space="preserve"> of </w:t>
      </w:r>
      <w:r>
        <w:rPr>
          <w:kern w:val="0"/>
        </w:rPr>
        <w:t>25 mg or less. CONCLUSIONS: There is insufficient evidence that oral phenylephrine is effective for nonprescription use as a decongestant</w:t>
      </w:r>
      <w:r w:rsidR="00A37C1D">
        <w:rPr>
          <w:kern w:val="0"/>
        </w:rPr>
        <w:t>. The</w:t>
      </w:r>
      <w:r w:rsidR="003A1917">
        <w:rPr>
          <w:kern w:val="0"/>
        </w:rPr>
        <w:t xml:space="preserve"> </w:t>
      </w:r>
      <w:r>
        <w:rPr>
          <w:kern w:val="0"/>
        </w:rPr>
        <w:t>Food</w:t>
      </w:r>
      <w:r w:rsidR="005853A9">
        <w:rPr>
          <w:kern w:val="0"/>
        </w:rPr>
        <w:t xml:space="preserve"> and </w:t>
      </w:r>
      <w:r>
        <w:rPr>
          <w:kern w:val="0"/>
        </w:rPr>
        <w:t>Drug Administration should require additional studies to show</w:t>
      </w:r>
      <w:r w:rsidR="003A1917">
        <w:rPr>
          <w:kern w:val="0"/>
        </w:rPr>
        <w:t xml:space="preserve"> the </w:t>
      </w:r>
      <w:r>
        <w:rPr>
          <w:kern w:val="0"/>
        </w:rPr>
        <w:t>safety</w:t>
      </w:r>
      <w:r w:rsidR="005853A9">
        <w:rPr>
          <w:kern w:val="0"/>
        </w:rPr>
        <w:t xml:space="preserve"> and </w:t>
      </w:r>
      <w:r>
        <w:rPr>
          <w:kern w:val="0"/>
        </w:rPr>
        <w:t>efficacy</w:t>
      </w:r>
      <w:r w:rsidR="00427468">
        <w:rPr>
          <w:kern w:val="0"/>
        </w:rPr>
        <w:t xml:space="preserve"> of </w:t>
      </w:r>
      <w:r>
        <w:rPr>
          <w:kern w:val="0"/>
        </w:rPr>
        <w:t>phenylephrine.</w:t>
      </w:r>
    </w:p>
    <w:p w:rsidR="008C1C37" w:rsidRDefault="008C1C37" w:rsidP="008C1C37">
      <w:pPr>
        <w:pStyle w:val="a3"/>
        <w:rPr>
          <w:kern w:val="0"/>
        </w:rPr>
      </w:pPr>
      <w:r>
        <w:rPr>
          <w:kern w:val="0"/>
        </w:rPr>
        <w:t xml:space="preserve">Keywords: Administration, Airway, Analysis, Blood, Blood Pressure, Cardiovascular, Clinical Trials, Cochrane, Efficacy, EMBASE, Heart Rate, Heterogeneity, Information, Measurement, </w:t>
      </w:r>
      <w:r w:rsidR="00D5664A">
        <w:rPr>
          <w:kern w:val="0"/>
        </w:rPr>
        <w:t>MEDLINE</w:t>
      </w:r>
      <w:r>
        <w:rPr>
          <w:kern w:val="0"/>
        </w:rPr>
        <w:t xml:space="preserve">, Meta-Analysis, Model, Nasal Airway Resistance, Nasal Decongestants, Pharmacokinetics, Phenylephrine, Pressure, Resistance, Review, Safety, Science, Systematic, Systematic Review,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Stump, A.L., Kelley, K.W.</w:t>
      </w:r>
      <w:r w:rsidR="005853A9">
        <w:rPr>
          <w:kern w:val="0"/>
        </w:rPr>
        <w:t xml:space="preserve"> and </w:t>
      </w:r>
      <w:r>
        <w:rPr>
          <w:kern w:val="0"/>
        </w:rPr>
        <w:t>Wensel, T.M. (2007), Bazedoxifene: A third-generation selective estrogen receptor modulator for treatment</w:t>
      </w:r>
      <w:r w:rsidR="00427468">
        <w:rPr>
          <w:kern w:val="0"/>
        </w:rPr>
        <w:t xml:space="preserve"> of </w:t>
      </w:r>
      <w:r>
        <w:rPr>
          <w:kern w:val="0"/>
        </w:rPr>
        <w:t>postmenopa</w:t>
      </w:r>
      <w:r w:rsidR="00D5664A">
        <w:rPr>
          <w:kern w:val="0"/>
        </w:rPr>
        <w:t>USA</w:t>
      </w:r>
      <w:r>
        <w:rPr>
          <w:kern w:val="0"/>
        </w:rPr>
        <w:t xml:space="preserve">l osteoporosis. </w:t>
      </w:r>
      <w:r>
        <w:rPr>
          <w:i/>
          <w:iCs/>
          <w:kern w:val="0"/>
        </w:rPr>
        <w:t>Annals</w:t>
      </w:r>
      <w:r w:rsidR="00427468">
        <w:rPr>
          <w:i/>
          <w:iCs/>
          <w:kern w:val="0"/>
        </w:rPr>
        <w:t xml:space="preserve"> of </w:t>
      </w:r>
      <w:r>
        <w:rPr>
          <w:i/>
          <w:iCs/>
          <w:kern w:val="0"/>
        </w:rPr>
        <w:t>Pharmacotherapy</w:t>
      </w:r>
      <w:r>
        <w:rPr>
          <w:kern w:val="0"/>
        </w:rPr>
        <w:t xml:space="preserve">, </w:t>
      </w:r>
      <w:r>
        <w:rPr>
          <w:b/>
          <w:bCs/>
          <w:kern w:val="0"/>
        </w:rPr>
        <w:t>41</w:t>
      </w:r>
      <w:r>
        <w:rPr>
          <w:kern w:val="0"/>
        </w:rPr>
        <w:t xml:space="preserve"> (5), 833-839.</w:t>
      </w:r>
    </w:p>
    <w:p w:rsidR="008C1C37" w:rsidRDefault="008C1C37" w:rsidP="008C1C37">
      <w:pPr>
        <w:pStyle w:val="a3"/>
        <w:rPr>
          <w:kern w:val="0"/>
        </w:rPr>
      </w:pPr>
      <w:r>
        <w:rPr>
          <w:kern w:val="0"/>
        </w:rPr>
        <w:t>Abstract: OBJECTIVE: To review clinical studies</w:t>
      </w:r>
      <w:r w:rsidR="005853A9">
        <w:rPr>
          <w:kern w:val="0"/>
        </w:rPr>
        <w:t xml:space="preserve"> and </w:t>
      </w:r>
      <w:r>
        <w:rPr>
          <w:kern w:val="0"/>
        </w:rPr>
        <w:t>other available literature regarding</w:t>
      </w:r>
      <w:r w:rsidR="003A1917">
        <w:rPr>
          <w:kern w:val="0"/>
        </w:rPr>
        <w:t xml:space="preserve"> the </w:t>
      </w:r>
      <w:r>
        <w:rPr>
          <w:kern w:val="0"/>
        </w:rPr>
        <w:t>development, pharmacology, toxicology, pharmacokinetics/pharmacodynamics, adverse effects,</w:t>
      </w:r>
      <w:r w:rsidR="005853A9">
        <w:rPr>
          <w:kern w:val="0"/>
        </w:rPr>
        <w:t xml:space="preserve"> and </w:t>
      </w:r>
      <w:r>
        <w:rPr>
          <w:kern w:val="0"/>
        </w:rPr>
        <w:t>place in therapy</w:t>
      </w:r>
      <w:r w:rsidR="00427468">
        <w:rPr>
          <w:kern w:val="0"/>
        </w:rPr>
        <w:t xml:space="preserve"> of </w:t>
      </w:r>
      <w:r>
        <w:rPr>
          <w:kern w:val="0"/>
        </w:rPr>
        <w:t>bazedoxifene, a selective estrogen receptor modulator (SERM), currently in Phase III clinical trials for</w:t>
      </w:r>
      <w:r w:rsidR="003A1917">
        <w:rPr>
          <w:kern w:val="0"/>
        </w:rPr>
        <w:t xml:space="preserve"> the </w:t>
      </w:r>
      <w:r>
        <w:rPr>
          <w:kern w:val="0"/>
        </w:rPr>
        <w:t>treatment</w:t>
      </w:r>
      <w:r w:rsidR="005853A9">
        <w:rPr>
          <w:kern w:val="0"/>
        </w:rPr>
        <w:t xml:space="preserve"> and </w:t>
      </w:r>
      <w:r>
        <w:rPr>
          <w:kern w:val="0"/>
        </w:rPr>
        <w:t>prevention</w:t>
      </w:r>
      <w:r w:rsidR="00427468">
        <w:rPr>
          <w:kern w:val="0"/>
        </w:rPr>
        <w:t xml:space="preserve"> of </w:t>
      </w:r>
      <w:r>
        <w:rPr>
          <w:kern w:val="0"/>
        </w:rPr>
        <w:t>postmenopa</w:t>
      </w:r>
      <w:r w:rsidR="00D5664A">
        <w:rPr>
          <w:kern w:val="0"/>
        </w:rPr>
        <w:t>USA</w:t>
      </w:r>
      <w:r>
        <w:rPr>
          <w:kern w:val="0"/>
        </w:rPr>
        <w:t>l osteoporosis. DATA SOURCES: A literature search was performed</w:t>
      </w:r>
      <w:r w:rsidR="00427468">
        <w:rPr>
          <w:kern w:val="0"/>
        </w:rPr>
        <w:t xml:space="preserve"> of </w:t>
      </w:r>
      <w:r w:rsidR="002C12F0">
        <w:rPr>
          <w:kern w:val="0"/>
        </w:rPr>
        <w:t>PUBMED</w:t>
      </w:r>
      <w:r>
        <w:rPr>
          <w:kern w:val="0"/>
        </w:rPr>
        <w:t xml:space="preserve"> (1966-February 2007), International Pharmaceutical Abstracts (1970-February 2007), </w:t>
      </w:r>
      <w:r w:rsidR="00D5664A">
        <w:rPr>
          <w:kern w:val="0"/>
        </w:rPr>
        <w:t>Web</w:t>
      </w:r>
      <w:r w:rsidR="00427468">
        <w:rPr>
          <w:kern w:val="0"/>
        </w:rPr>
        <w:t xml:space="preserve"> of </w:t>
      </w:r>
      <w:r w:rsidR="00D5664A">
        <w:rPr>
          <w:kern w:val="0"/>
        </w:rPr>
        <w:t>Science</w:t>
      </w:r>
      <w:r>
        <w:rPr>
          <w:kern w:val="0"/>
        </w:rPr>
        <w:t xml:space="preserve"> (1975-February 2007), Biological Abstracts (1926-2007),</w:t>
      </w:r>
      <w:r w:rsidR="005853A9">
        <w:rPr>
          <w:kern w:val="0"/>
        </w:rPr>
        <w:t xml:space="preserve"> and </w:t>
      </w:r>
      <w:r>
        <w:rPr>
          <w:kern w:val="0"/>
        </w:rPr>
        <w:t>Google Scholar (2001-February 2007) databases, using</w:t>
      </w:r>
      <w:r w:rsidR="003A1917">
        <w:rPr>
          <w:kern w:val="0"/>
        </w:rPr>
        <w:t xml:space="preserve"> the </w:t>
      </w:r>
      <w:r>
        <w:rPr>
          <w:kern w:val="0"/>
        </w:rPr>
        <w:t>search terms bazedoxifene, TSE-424, Indole-33, WAY-140424, selective estrogen receptor modulator,</w:t>
      </w:r>
      <w:r w:rsidR="005853A9">
        <w:rPr>
          <w:kern w:val="0"/>
        </w:rPr>
        <w:t xml:space="preserve"> and </w:t>
      </w:r>
      <w:r>
        <w:rPr>
          <w:kern w:val="0"/>
        </w:rPr>
        <w:t>SERM. In addition, product information was requested from</w:t>
      </w:r>
      <w:r w:rsidR="003A1917">
        <w:rPr>
          <w:kern w:val="0"/>
        </w:rPr>
        <w:t xml:space="preserve"> the </w:t>
      </w:r>
      <w:r>
        <w:rPr>
          <w:kern w:val="0"/>
        </w:rPr>
        <w:t>manufacturer,</w:t>
      </w:r>
      <w:r w:rsidR="005853A9">
        <w:rPr>
          <w:kern w:val="0"/>
        </w:rPr>
        <w:t xml:space="preserve"> and </w:t>
      </w:r>
      <w:r>
        <w:rPr>
          <w:kern w:val="0"/>
        </w:rPr>
        <w:t>www.clinicaltrials.gov was searched for unpublished Phase III clinical trials in progress. STUDY SELECTION</w:t>
      </w:r>
      <w:r w:rsidR="005853A9">
        <w:rPr>
          <w:kern w:val="0"/>
        </w:rPr>
        <w:t xml:space="preserve"> and </w:t>
      </w:r>
      <w:r>
        <w:rPr>
          <w:kern w:val="0"/>
        </w:rPr>
        <w:t>DATA EXTRACTION: Articles on Phase I</w:t>
      </w:r>
      <w:r w:rsidR="005853A9">
        <w:rPr>
          <w:kern w:val="0"/>
        </w:rPr>
        <w:t xml:space="preserve"> and </w:t>
      </w:r>
      <w:r>
        <w:rPr>
          <w:kern w:val="0"/>
        </w:rPr>
        <w:t xml:space="preserve">II trials were selected for review, as well as articles discussing preclinical </w:t>
      </w:r>
      <w:r>
        <w:rPr>
          <w:kern w:val="0"/>
        </w:rPr>
        <w:lastRenderedPageBreak/>
        <w:t>development</w:t>
      </w:r>
      <w:r w:rsidR="00427468">
        <w:rPr>
          <w:kern w:val="0"/>
        </w:rPr>
        <w:t xml:space="preserve"> of </w:t>
      </w:r>
      <w:r>
        <w:rPr>
          <w:kern w:val="0"/>
        </w:rPr>
        <w:t>bazedoxifene. At</w:t>
      </w:r>
      <w:r w:rsidR="003A1917">
        <w:rPr>
          <w:kern w:val="0"/>
        </w:rPr>
        <w:t xml:space="preserve"> the </w:t>
      </w:r>
      <w:r>
        <w:rPr>
          <w:kern w:val="0"/>
        </w:rPr>
        <w:t>time</w:t>
      </w:r>
      <w:r w:rsidR="00427468">
        <w:rPr>
          <w:kern w:val="0"/>
        </w:rPr>
        <w:t xml:space="preserve"> of </w:t>
      </w:r>
      <w:r>
        <w:rPr>
          <w:kern w:val="0"/>
        </w:rPr>
        <w:t>writing, no articles on Phase III trials were available for review. Abstracts</w:t>
      </w:r>
      <w:r w:rsidR="00427468">
        <w:rPr>
          <w:kern w:val="0"/>
        </w:rPr>
        <w:t xml:space="preserve"> of </w:t>
      </w:r>
      <w:r>
        <w:rPr>
          <w:kern w:val="0"/>
        </w:rPr>
        <w:t>unpublished data were reviewed, as was information provided by</w:t>
      </w:r>
      <w:r w:rsidR="003A1917">
        <w:rPr>
          <w:kern w:val="0"/>
        </w:rPr>
        <w:t xml:space="preserve"> the </w:t>
      </w:r>
      <w:r>
        <w:rPr>
          <w:kern w:val="0"/>
        </w:rPr>
        <w:t>manufacturer. DATA SYNTHESIS: Bazedoxifene is a third-generation SERM currently in Phase III clinical trials. It has been found to act as an agonist on skeletal tissue, with bone turnover reduced by 20-25% with doses</w:t>
      </w:r>
      <w:r w:rsidR="00427468">
        <w:rPr>
          <w:kern w:val="0"/>
        </w:rPr>
        <w:t xml:space="preserve"> of </w:t>
      </w:r>
      <w:r>
        <w:rPr>
          <w:kern w:val="0"/>
        </w:rPr>
        <w:t>20 or 40 mg daily. In addition, bazedoxifene has been found to be an antagonist on breast tissue</w:t>
      </w:r>
      <w:r w:rsidR="005853A9">
        <w:rPr>
          <w:kern w:val="0"/>
        </w:rPr>
        <w:t xml:space="preserve"> and </w:t>
      </w:r>
      <w:r>
        <w:rPr>
          <w:kern w:val="0"/>
        </w:rPr>
        <w:t>uterine tissue, demonstrating inhibition</w:t>
      </w:r>
      <w:r w:rsidR="00427468">
        <w:rPr>
          <w:kern w:val="0"/>
        </w:rPr>
        <w:t xml:space="preserve"> of </w:t>
      </w:r>
      <w:r>
        <w:rPr>
          <w:kern w:val="0"/>
        </w:rPr>
        <w:t>breast tissue proliferation</w:t>
      </w:r>
      <w:r w:rsidR="005853A9">
        <w:rPr>
          <w:kern w:val="0"/>
        </w:rPr>
        <w:t xml:space="preserve"> and </w:t>
      </w:r>
      <w:r>
        <w:rPr>
          <w:kern w:val="0"/>
        </w:rPr>
        <w:t>decreased endometrial stimulation as</w:t>
      </w:r>
      <w:r w:rsidR="003A1917">
        <w:rPr>
          <w:kern w:val="0"/>
        </w:rPr>
        <w:t xml:space="preserve"> the </w:t>
      </w:r>
      <w:r>
        <w:rPr>
          <w:kern w:val="0"/>
        </w:rPr>
        <w:t>dose is increased. CONCLUSIONS: Current literature suggests that bazedoxifene will likely be safe</w:t>
      </w:r>
      <w:r w:rsidR="005853A9">
        <w:rPr>
          <w:kern w:val="0"/>
        </w:rPr>
        <w:t xml:space="preserve"> and </w:t>
      </w:r>
      <w:r>
        <w:rPr>
          <w:kern w:val="0"/>
        </w:rPr>
        <w:t>effective when used in</w:t>
      </w:r>
      <w:r w:rsidR="003A1917">
        <w:rPr>
          <w:kern w:val="0"/>
        </w:rPr>
        <w:t xml:space="preserve"> the </w:t>
      </w:r>
      <w:r>
        <w:rPr>
          <w:kern w:val="0"/>
        </w:rPr>
        <w:t>treatment</w:t>
      </w:r>
      <w:r w:rsidR="00427468">
        <w:rPr>
          <w:kern w:val="0"/>
        </w:rPr>
        <w:t xml:space="preserve"> of </w:t>
      </w:r>
      <w:r>
        <w:rPr>
          <w:kern w:val="0"/>
        </w:rPr>
        <w:t>postmenopa</w:t>
      </w:r>
      <w:r w:rsidR="00D5664A">
        <w:rPr>
          <w:kern w:val="0"/>
        </w:rPr>
        <w:t>USA</w:t>
      </w:r>
      <w:r>
        <w:rPr>
          <w:kern w:val="0"/>
        </w:rPr>
        <w:t>l osteoporosis. Completion</w:t>
      </w:r>
      <w:r w:rsidR="00427468">
        <w:rPr>
          <w:kern w:val="0"/>
        </w:rPr>
        <w:t xml:space="preserve"> of </w:t>
      </w:r>
      <w:r>
        <w:rPr>
          <w:kern w:val="0"/>
        </w:rPr>
        <w:t>Phase III clinical trials will more fully elucidate</w:t>
      </w:r>
      <w:r w:rsidR="003A1917">
        <w:rPr>
          <w:kern w:val="0"/>
        </w:rPr>
        <w:t xml:space="preserve"> the </w:t>
      </w:r>
      <w:r>
        <w:rPr>
          <w:kern w:val="0"/>
        </w:rPr>
        <w:t>safety</w:t>
      </w:r>
      <w:r w:rsidR="005853A9">
        <w:rPr>
          <w:kern w:val="0"/>
        </w:rPr>
        <w:t xml:space="preserve"> and </w:t>
      </w:r>
      <w:r>
        <w:rPr>
          <w:kern w:val="0"/>
        </w:rPr>
        <w:t>efficacy profile</w:t>
      </w:r>
      <w:r w:rsidR="00427468">
        <w:rPr>
          <w:kern w:val="0"/>
        </w:rPr>
        <w:t xml:space="preserve"> of </w:t>
      </w:r>
      <w:r>
        <w:rPr>
          <w:kern w:val="0"/>
        </w:rPr>
        <w:t>bazedoxifene, as well as more clearly define its place in therapy.</w:t>
      </w:r>
    </w:p>
    <w:p w:rsidR="008C1C37" w:rsidRDefault="008C1C37" w:rsidP="008C1C37">
      <w:pPr>
        <w:pStyle w:val="a3"/>
        <w:rPr>
          <w:kern w:val="0"/>
        </w:rPr>
      </w:pPr>
      <w:r>
        <w:rPr>
          <w:kern w:val="0"/>
        </w:rPr>
        <w:t xml:space="preserve">Keywords: Acetate, Adverse Effects, Articles, Bazedoxifene, Bone, Clinical Trials, Databases, Development, Efficacy, Estrogen, Extraction, Google Scholar, Healthy, Information, Literature, Osteoporosis, Prevention, Profile, </w:t>
      </w:r>
      <w:r w:rsidR="002C12F0">
        <w:rPr>
          <w:kern w:val="0"/>
        </w:rPr>
        <w:t>PUBMED</w:t>
      </w:r>
      <w:r>
        <w:rPr>
          <w:kern w:val="0"/>
        </w:rPr>
        <w:t xml:space="preserve">, Review, Safety, Science, Selection, Selective Estrogen Receptor Modulator, Serm, Therapy, Treatment, Tse-424, </w:t>
      </w:r>
      <w:r w:rsidR="00D5664A">
        <w:rPr>
          <w:kern w:val="0"/>
        </w:rPr>
        <w:t>Web</w:t>
      </w:r>
      <w:r w:rsidR="00427468">
        <w:rPr>
          <w:kern w:val="0"/>
        </w:rPr>
        <w:t xml:space="preserve"> of </w:t>
      </w:r>
      <w:r w:rsidR="00D5664A">
        <w:rPr>
          <w:kern w:val="0"/>
        </w:rPr>
        <w:t>Science</w:t>
      </w:r>
      <w:r>
        <w:rPr>
          <w:kern w:val="0"/>
        </w:rPr>
        <w:t>, Women, Women</w:t>
      </w:r>
      <w:r w:rsidR="00700038">
        <w:rPr>
          <w:kern w:val="0"/>
        </w:rPr>
        <w:t>’</w:t>
      </w:r>
      <w:r w:rsidR="00C13DDC">
        <w:rPr>
          <w:kern w:val="0"/>
        </w:rPr>
        <w:t>s</w:t>
      </w:r>
      <w:r>
        <w:rPr>
          <w:kern w:val="0"/>
        </w:rPr>
        <w:t xml:space="preserve"> Health, Writing</w:t>
      </w:r>
    </w:p>
    <w:p w:rsidR="008C1C37" w:rsidRDefault="008C1C37" w:rsidP="008C1C37">
      <w:pPr>
        <w:pStyle w:val="a3"/>
        <w:rPr>
          <w:kern w:val="0"/>
        </w:rPr>
      </w:pPr>
      <w:r>
        <w:rPr>
          <w:rFonts w:hint="eastAsia"/>
          <w:kern w:val="0"/>
        </w:rPr>
        <w:t xml:space="preserve">? </w:t>
      </w:r>
      <w:r>
        <w:rPr>
          <w:kern w:val="0"/>
        </w:rPr>
        <w:t>Thomsen, L.A., Winterstein, A.G., Sondergaard, B., Haugbolle, L.S.</w:t>
      </w:r>
      <w:r w:rsidR="005853A9">
        <w:rPr>
          <w:kern w:val="0"/>
        </w:rPr>
        <w:t xml:space="preserve"> and </w:t>
      </w:r>
      <w:r>
        <w:rPr>
          <w:kern w:val="0"/>
        </w:rPr>
        <w:t>Melander, A. (2007), Systematic review</w:t>
      </w:r>
      <w:r w:rsidR="00427468">
        <w:rPr>
          <w:kern w:val="0"/>
        </w:rPr>
        <w:t xml:space="preserve"> of </w:t>
      </w:r>
      <w:r w:rsidR="003A1917">
        <w:rPr>
          <w:kern w:val="0"/>
        </w:rPr>
        <w:t xml:space="preserve">the </w:t>
      </w:r>
      <w:r>
        <w:rPr>
          <w:kern w:val="0"/>
        </w:rPr>
        <w:t>incidence</w:t>
      </w:r>
      <w:r w:rsidR="005853A9">
        <w:rPr>
          <w:kern w:val="0"/>
        </w:rPr>
        <w:t xml:space="preserve"> and </w:t>
      </w:r>
      <w:r>
        <w:rPr>
          <w:kern w:val="0"/>
        </w:rPr>
        <w:t>characteristics</w:t>
      </w:r>
      <w:r w:rsidR="00427468">
        <w:rPr>
          <w:kern w:val="0"/>
        </w:rPr>
        <w:t xml:space="preserve"> of </w:t>
      </w:r>
      <w:r>
        <w:rPr>
          <w:kern w:val="0"/>
        </w:rPr>
        <w:t xml:space="preserve">preventable adverse drug events in ambulatory care. </w:t>
      </w:r>
      <w:r>
        <w:rPr>
          <w:i/>
          <w:iCs/>
          <w:kern w:val="0"/>
        </w:rPr>
        <w:t>Annals</w:t>
      </w:r>
      <w:r w:rsidR="00427468">
        <w:rPr>
          <w:i/>
          <w:iCs/>
          <w:kern w:val="0"/>
        </w:rPr>
        <w:t xml:space="preserve"> of </w:t>
      </w:r>
      <w:r>
        <w:rPr>
          <w:i/>
          <w:iCs/>
          <w:kern w:val="0"/>
        </w:rPr>
        <w:t>Pharmacotherapy</w:t>
      </w:r>
      <w:r>
        <w:rPr>
          <w:kern w:val="0"/>
        </w:rPr>
        <w:t xml:space="preserve">, </w:t>
      </w:r>
      <w:r>
        <w:rPr>
          <w:b/>
          <w:bCs/>
          <w:kern w:val="0"/>
        </w:rPr>
        <w:t>41</w:t>
      </w:r>
      <w:r>
        <w:rPr>
          <w:kern w:val="0"/>
        </w:rPr>
        <w:t xml:space="preserve"> (9), 1411-1426.</w:t>
      </w:r>
    </w:p>
    <w:p w:rsidR="008C1C37" w:rsidRDefault="008C1C37" w:rsidP="008C1C37">
      <w:pPr>
        <w:pStyle w:val="a3"/>
        <w:rPr>
          <w:kern w:val="0"/>
        </w:rPr>
      </w:pPr>
      <w:r>
        <w:rPr>
          <w:kern w:val="0"/>
        </w:rPr>
        <w:t>Abstract: OBJECTIVE: To estimate</w:t>
      </w:r>
      <w:r w:rsidR="003A1917">
        <w:rPr>
          <w:kern w:val="0"/>
        </w:rPr>
        <w:t xml:space="preserve"> the </w:t>
      </w:r>
      <w:r>
        <w:rPr>
          <w:kern w:val="0"/>
        </w:rPr>
        <w:t>incidence</w:t>
      </w:r>
      <w:r w:rsidR="005853A9">
        <w:rPr>
          <w:kern w:val="0"/>
        </w:rPr>
        <w:t xml:space="preserve"> and </w:t>
      </w:r>
      <w:r>
        <w:rPr>
          <w:kern w:val="0"/>
        </w:rPr>
        <w:t>describe characteristics</w:t>
      </w:r>
      <w:r w:rsidR="00427468">
        <w:rPr>
          <w:kern w:val="0"/>
        </w:rPr>
        <w:t xml:space="preserve"> of </w:t>
      </w:r>
      <w:r>
        <w:rPr>
          <w:kern w:val="0"/>
        </w:rPr>
        <w:t xml:space="preserve">preventable adverse drug events (pADEs) in ambulatory care. DATA SOURCES: Studies were searched in </w:t>
      </w:r>
      <w:r w:rsidR="002C12F0">
        <w:rPr>
          <w:kern w:val="0"/>
        </w:rPr>
        <w:t>PUBMED</w:t>
      </w:r>
      <w:r>
        <w:rPr>
          <w:kern w:val="0"/>
        </w:rPr>
        <w:t xml:space="preserve"> (1966-March 2007), International Pharmaceutical Abstracts (1970-December 2006</w:t>
      </w:r>
      <w:r w:rsidR="00F42EAC">
        <w:rPr>
          <w:kern w:val="0"/>
        </w:rPr>
        <w:t>), The</w:t>
      </w:r>
      <w:r w:rsidR="003A1917">
        <w:rPr>
          <w:kern w:val="0"/>
        </w:rPr>
        <w:t xml:space="preserve"> </w:t>
      </w:r>
      <w:r>
        <w:rPr>
          <w:kern w:val="0"/>
        </w:rPr>
        <w:t>Cochrane database</w:t>
      </w:r>
      <w:r w:rsidR="00427468">
        <w:rPr>
          <w:kern w:val="0"/>
        </w:rPr>
        <w:t xml:space="preserve"> of </w:t>
      </w:r>
      <w:r>
        <w:rPr>
          <w:kern w:val="0"/>
        </w:rPr>
        <w:t>systematic reviews (1993-March 2007), EMBASE (1980-February 2007),</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(1945-March 2007). Key words included medication error, adverse drug reaction, iatrogenic disease, outpatient, ambulatory care, primary health care, general practice, patient admission, hospitalization, observational study, retrospective studies, health services research,</w:t>
      </w:r>
      <w:r w:rsidR="005853A9">
        <w:rPr>
          <w:kern w:val="0"/>
        </w:rPr>
        <w:t xml:space="preserve"> and </w:t>
      </w:r>
      <w:r>
        <w:rPr>
          <w:kern w:val="0"/>
        </w:rPr>
        <w:t>follow-up studies. Additional articles were found in</w:t>
      </w:r>
      <w:r w:rsidR="003A1917">
        <w:rPr>
          <w:kern w:val="0"/>
        </w:rPr>
        <w:t xml:space="preserve"> the </w:t>
      </w:r>
      <w:r>
        <w:rPr>
          <w:kern w:val="0"/>
        </w:rPr>
        <w:t>reference sections</w:t>
      </w:r>
      <w:r w:rsidR="00427468">
        <w:rPr>
          <w:kern w:val="0"/>
        </w:rPr>
        <w:t xml:space="preserve"> of </w:t>
      </w:r>
      <w:r>
        <w:rPr>
          <w:kern w:val="0"/>
        </w:rPr>
        <w:t>retrieved articles. STUDY SELECTION</w:t>
      </w:r>
      <w:r w:rsidR="005853A9">
        <w:rPr>
          <w:kern w:val="0"/>
        </w:rPr>
        <w:t xml:space="preserve"> and </w:t>
      </w:r>
      <w:r>
        <w:rPr>
          <w:kern w:val="0"/>
        </w:rPr>
        <w:t>DATA EXTRACTION: Peer-reviewed articles assessing pADEs in ambulatory care, with detailed descriptions/frequency distributions</w:t>
      </w:r>
      <w:r w:rsidR="00427468">
        <w:rPr>
          <w:kern w:val="0"/>
        </w:rPr>
        <w:t xml:space="preserve"> of </w:t>
      </w:r>
      <w:r>
        <w:rPr>
          <w:kern w:val="0"/>
        </w:rPr>
        <w:t>(1) ADE/pADE incidence, (2) clinical outcomes, (3) associated drug groups, and/or (4) underlying medication errors were included. Study country, year</w:t>
      </w:r>
      <w:r w:rsidR="005853A9">
        <w:rPr>
          <w:kern w:val="0"/>
        </w:rPr>
        <w:t xml:space="preserve"> and </w:t>
      </w:r>
      <w:r>
        <w:rPr>
          <w:kern w:val="0"/>
        </w:rPr>
        <w:t>design, sample size, follow-up time, ADE/pADE identification method, proportion</w:t>
      </w:r>
      <w:r w:rsidR="00427468">
        <w:rPr>
          <w:kern w:val="0"/>
        </w:rPr>
        <w:t xml:space="preserve"> of </w:t>
      </w:r>
      <w:r>
        <w:rPr>
          <w:kern w:val="0"/>
        </w:rPr>
        <w:t>ADEs/pADEs</w:t>
      </w:r>
      <w:r w:rsidR="005853A9">
        <w:rPr>
          <w:kern w:val="0"/>
        </w:rPr>
        <w:t xml:space="preserve"> and </w:t>
      </w:r>
      <w:r>
        <w:rPr>
          <w:kern w:val="0"/>
        </w:rPr>
        <w:t>ADEs/pADEs requiring hospital admission,</w:t>
      </w:r>
      <w:r w:rsidR="005853A9">
        <w:rPr>
          <w:kern w:val="0"/>
        </w:rPr>
        <w:t xml:space="preserve"> and </w:t>
      </w:r>
      <w:r>
        <w:rPr>
          <w:kern w:val="0"/>
        </w:rPr>
        <w:t>frequency distribution</w:t>
      </w:r>
      <w:r w:rsidR="00427468">
        <w:rPr>
          <w:kern w:val="0"/>
        </w:rPr>
        <w:t xml:space="preserve"> of </w:t>
      </w:r>
      <w:r>
        <w:rPr>
          <w:kern w:val="0"/>
        </w:rPr>
        <w:t>adverse outcome, associated drug groups, or medication errors were extracted. DATA SYNTHESIS: Twenty-nine studies met inclusion criteria: 14 were ambulatory-based</w:t>
      </w:r>
      <w:r w:rsidR="005853A9">
        <w:rPr>
          <w:kern w:val="0"/>
        </w:rPr>
        <w:t xml:space="preserve"> and </w:t>
      </w:r>
      <w:r>
        <w:rPr>
          <w:kern w:val="0"/>
        </w:rPr>
        <w:t>15 were hospital-based. Seven studies enrolled only eldery patients</w:t>
      </w:r>
      <w:r w:rsidR="00A37C1D">
        <w:rPr>
          <w:kern w:val="0"/>
        </w:rPr>
        <w:t>. The</w:t>
      </w:r>
      <w:r w:rsidR="003A1917">
        <w:rPr>
          <w:kern w:val="0"/>
        </w:rPr>
        <w:t xml:space="preserve"> </w:t>
      </w:r>
      <w:r>
        <w:rPr>
          <w:kern w:val="0"/>
        </w:rPr>
        <w:t xml:space="preserve">median ADE </w:t>
      </w:r>
      <w:r>
        <w:rPr>
          <w:kern w:val="0"/>
        </w:rPr>
        <w:lastRenderedPageBreak/>
        <w:t>incidence was 14.9 (range 4.0-91.3) per 1000 person-months,</w:t>
      </w:r>
      <w:r w:rsidR="005853A9">
        <w:rPr>
          <w:kern w:val="0"/>
        </w:rPr>
        <w:t xml:space="preserve"> and </w:t>
      </w:r>
      <w:r w:rsidR="003A1917">
        <w:rPr>
          <w:kern w:val="0"/>
        </w:rPr>
        <w:t xml:space="preserve">the </w:t>
      </w:r>
      <w:r>
        <w:rPr>
          <w:kern w:val="0"/>
        </w:rPr>
        <w:t>pADE incidence was 5.6 per 1000 person-months (1.1-10.1)</w:t>
      </w:r>
      <w:r w:rsidR="00A37C1D">
        <w:rPr>
          <w:kern w:val="0"/>
        </w:rPr>
        <w:t>. The</w:t>
      </w:r>
      <w:r w:rsidR="003A1917">
        <w:rPr>
          <w:kern w:val="0"/>
        </w:rPr>
        <w:t xml:space="preserve"> </w:t>
      </w:r>
      <w:r>
        <w:rPr>
          <w:kern w:val="0"/>
        </w:rPr>
        <w:t>median ADE preventability rate was 21% (11-38%)</w:t>
      </w:r>
      <w:r w:rsidR="00A37C1D">
        <w:rPr>
          <w:kern w:val="0"/>
        </w:rPr>
        <w:t>. The</w:t>
      </w:r>
      <w:r w:rsidR="003A1917">
        <w:rPr>
          <w:kern w:val="0"/>
        </w:rPr>
        <w:t xml:space="preserve"> </w:t>
      </w:r>
      <w:r>
        <w:rPr>
          <w:kern w:val="0"/>
        </w:rPr>
        <w:t>median incidence</w:t>
      </w:r>
      <w:r w:rsidR="00427468">
        <w:rPr>
          <w:kern w:val="0"/>
        </w:rPr>
        <w:t xml:space="preserve"> of </w:t>
      </w:r>
      <w:r>
        <w:rPr>
          <w:kern w:val="0"/>
        </w:rPr>
        <w:t>ADEs requiring hospital admission was 0.45 (0.10-13.1) per 1000 person-months,</w:t>
      </w:r>
      <w:r w:rsidR="005853A9">
        <w:rPr>
          <w:kern w:val="0"/>
        </w:rPr>
        <w:t xml:space="preserve"> and </w:t>
      </w:r>
      <w:r w:rsidR="003A1917">
        <w:rPr>
          <w:kern w:val="0"/>
        </w:rPr>
        <w:t xml:space="preserve">the </w:t>
      </w:r>
      <w:r>
        <w:rPr>
          <w:kern w:val="0"/>
        </w:rPr>
        <w:t>median incidence</w:t>
      </w:r>
      <w:r w:rsidR="00427468">
        <w:rPr>
          <w:kern w:val="0"/>
        </w:rPr>
        <w:t xml:space="preserve"> of </w:t>
      </w:r>
      <w:r>
        <w:rPr>
          <w:kern w:val="0"/>
        </w:rPr>
        <w:t>pADEs requiring hospital admission was 4.5 per 1000 person months. Cardiovascular drugs, analgesics,</w:t>
      </w:r>
      <w:r w:rsidR="005853A9">
        <w:rPr>
          <w:kern w:val="0"/>
        </w:rPr>
        <w:t xml:space="preserve"> and </w:t>
      </w:r>
      <w:r>
        <w:rPr>
          <w:kern w:val="0"/>
        </w:rPr>
        <w:t>hypoglycemic agents together accounted for 86.5%</w:t>
      </w:r>
      <w:r w:rsidR="00427468">
        <w:rPr>
          <w:kern w:val="0"/>
        </w:rPr>
        <w:t xml:space="preserve"> of </w:t>
      </w:r>
      <w:r>
        <w:rPr>
          <w:kern w:val="0"/>
        </w:rPr>
        <w:t>pADEs,</w:t>
      </w:r>
      <w:r w:rsidR="005853A9">
        <w:rPr>
          <w:kern w:val="0"/>
        </w:rPr>
        <w:t xml:space="preserve"> and </w:t>
      </w:r>
      <w:r>
        <w:rPr>
          <w:kern w:val="0"/>
        </w:rPr>
        <w:t>77.2%</w:t>
      </w:r>
      <w:r w:rsidR="00427468">
        <w:rPr>
          <w:kern w:val="0"/>
        </w:rPr>
        <w:t xml:space="preserve"> of </w:t>
      </w:r>
      <w:r>
        <w:rPr>
          <w:kern w:val="0"/>
        </w:rPr>
        <w:t>pADEs resulted in symptoms</w:t>
      </w:r>
      <w:r w:rsidR="00427468">
        <w:rPr>
          <w:kern w:val="0"/>
        </w:rPr>
        <w:t xml:space="preserve"> of </w:t>
      </w:r>
      <w:r w:rsidR="003A1917">
        <w:rPr>
          <w:kern w:val="0"/>
        </w:rPr>
        <w:t xml:space="preserve">the </w:t>
      </w:r>
      <w:r>
        <w:rPr>
          <w:kern w:val="0"/>
        </w:rPr>
        <w:t>central nervous system, electrolyte/renal system,</w:t>
      </w:r>
      <w:r w:rsidR="005853A9">
        <w:rPr>
          <w:kern w:val="0"/>
        </w:rPr>
        <w:t xml:space="preserve"> and </w:t>
      </w:r>
      <w:r>
        <w:rPr>
          <w:kern w:val="0"/>
        </w:rPr>
        <w:t>gastrointestinal tract. Medication errors resulting in pADEs occurred in</w:t>
      </w:r>
      <w:r w:rsidR="003A1917">
        <w:rPr>
          <w:kern w:val="0"/>
        </w:rPr>
        <w:t xml:space="preserve"> the </w:t>
      </w:r>
      <w:r>
        <w:rPr>
          <w:kern w:val="0"/>
        </w:rPr>
        <w:t>prescribing</w:t>
      </w:r>
      <w:r w:rsidR="005853A9">
        <w:rPr>
          <w:kern w:val="0"/>
        </w:rPr>
        <w:t xml:space="preserve"> and </w:t>
      </w:r>
      <w:r>
        <w:rPr>
          <w:kern w:val="0"/>
        </w:rPr>
        <w:t>monitoring stages</w:t>
      </w:r>
      <w:r w:rsidR="00A37C1D">
        <w:rPr>
          <w:kern w:val="0"/>
        </w:rPr>
        <w:t>. The</w:t>
      </w:r>
      <w:r w:rsidR="003A1917">
        <w:rPr>
          <w:kern w:val="0"/>
        </w:rPr>
        <w:t xml:space="preserve"> </w:t>
      </w:r>
      <w:r>
        <w:rPr>
          <w:kern w:val="0"/>
        </w:rPr>
        <w:t>most frequent drug therapy problem</w:t>
      </w:r>
      <w:r w:rsidR="005853A9">
        <w:rPr>
          <w:kern w:val="0"/>
        </w:rPr>
        <w:t xml:space="preserve"> and </w:t>
      </w:r>
      <w:r>
        <w:rPr>
          <w:kern w:val="0"/>
        </w:rPr>
        <w:t>error</w:t>
      </w:r>
      <w:r w:rsidR="00427468">
        <w:rPr>
          <w:kern w:val="0"/>
        </w:rPr>
        <w:t xml:space="preserve"> of </w:t>
      </w:r>
      <w:r>
        <w:rPr>
          <w:kern w:val="0"/>
        </w:rPr>
        <w:t>commission reported in ambulatory-based studies on pADEs was</w:t>
      </w:r>
      <w:r w:rsidR="003A1917">
        <w:rPr>
          <w:kern w:val="0"/>
        </w:rPr>
        <w:t xml:space="preserve"> the </w:t>
      </w:r>
      <w:r>
        <w:rPr>
          <w:kern w:val="0"/>
        </w:rPr>
        <w:t>use</w:t>
      </w:r>
      <w:r w:rsidR="00427468">
        <w:rPr>
          <w:kern w:val="0"/>
        </w:rPr>
        <w:t xml:space="preserve"> of </w:t>
      </w:r>
      <w:r>
        <w:rPr>
          <w:kern w:val="0"/>
        </w:rPr>
        <w:t>inappropriate drugs (42.7%; 40.4-450%). For pADEs requiring hospital admission,</w:t>
      </w:r>
      <w:r w:rsidR="003A1917">
        <w:rPr>
          <w:kern w:val="0"/>
        </w:rPr>
        <w:t xml:space="preserve"> the </w:t>
      </w:r>
      <w:r>
        <w:rPr>
          <w:kern w:val="0"/>
        </w:rPr>
        <w:t>most frequent drug therapy problem</w:t>
      </w:r>
      <w:r w:rsidR="005853A9">
        <w:rPr>
          <w:kern w:val="0"/>
        </w:rPr>
        <w:t xml:space="preserve"> and </w:t>
      </w:r>
      <w:r>
        <w:rPr>
          <w:kern w:val="0"/>
        </w:rPr>
        <w:t>error</w:t>
      </w:r>
      <w:r w:rsidR="00427468">
        <w:rPr>
          <w:kern w:val="0"/>
        </w:rPr>
        <w:t xml:space="preserve"> of </w:t>
      </w:r>
      <w:r>
        <w:rPr>
          <w:kern w:val="0"/>
        </w:rPr>
        <w:t>omission reported was inadequate monitoring (45.4%; range 22.2-69.8%). Failure to prescribe prophylaxis to patients taking nonsteroidal antiinflammatory drugs or antiplatelet drugs frequently caused gastrointestinal toxicirty whereas lack</w:t>
      </w:r>
      <w:r w:rsidR="00427468">
        <w:rPr>
          <w:kern w:val="0"/>
        </w:rPr>
        <w:t xml:space="preserve"> of </w:t>
      </w:r>
      <w:r>
        <w:rPr>
          <w:kern w:val="0"/>
        </w:rPr>
        <w:t>monitoring</w:t>
      </w:r>
      <w:r w:rsidR="00427468">
        <w:rPr>
          <w:kern w:val="0"/>
        </w:rPr>
        <w:t xml:space="preserve"> of </w:t>
      </w:r>
      <w:r>
        <w:rPr>
          <w:kern w:val="0"/>
        </w:rPr>
        <w:t>diuretic, hypoglycemic,</w:t>
      </w:r>
      <w:r w:rsidR="005853A9">
        <w:rPr>
          <w:kern w:val="0"/>
        </w:rPr>
        <w:t xml:space="preserve"> and </w:t>
      </w:r>
      <w:r>
        <w:rPr>
          <w:kern w:val="0"/>
        </w:rPr>
        <w:t>anticoagulant use caused over- or under-diuresis, hyper- or hypoglycemia,</w:t>
      </w:r>
      <w:r w:rsidR="005853A9">
        <w:rPr>
          <w:kern w:val="0"/>
        </w:rPr>
        <w:t xml:space="preserve"> and </w:t>
      </w:r>
      <w:r>
        <w:rPr>
          <w:kern w:val="0"/>
        </w:rPr>
        <w:t>bleeding. CONCLUSIONS: ADEs in ambulatory care are common, with many being pre-ventable</w:t>
      </w:r>
      <w:r w:rsidR="005853A9">
        <w:rPr>
          <w:kern w:val="0"/>
        </w:rPr>
        <w:t xml:space="preserve"> and </w:t>
      </w:r>
      <w:r>
        <w:rPr>
          <w:kern w:val="0"/>
        </w:rPr>
        <w:t>many resulting in hospitalization. Quality improvement programs should target errors in prescribing</w:t>
      </w:r>
      <w:r w:rsidR="005853A9">
        <w:rPr>
          <w:kern w:val="0"/>
        </w:rPr>
        <w:t xml:space="preserve"> and </w:t>
      </w:r>
      <w:r>
        <w:rPr>
          <w:kern w:val="0"/>
        </w:rPr>
        <w:t>monitoring, especially for patients using cardiovascular, analgesic, and, hypoglycemic agents.</w:t>
      </w:r>
    </w:p>
    <w:p w:rsidR="008C1C37" w:rsidRDefault="008C1C37" w:rsidP="008C1C37">
      <w:pPr>
        <w:pStyle w:val="a3"/>
        <w:rPr>
          <w:kern w:val="0"/>
        </w:rPr>
      </w:pPr>
      <w:r>
        <w:rPr>
          <w:kern w:val="0"/>
        </w:rPr>
        <w:t xml:space="preserve">Keywords: Ambulatory Care, Avoidability, Cardiovascular, Cochrane, Computer-Based Monitor, Disease, Drug, EMBASE, Extraction, Follow-up, Frequency, Gastrointestinal, General Practice, Health Care, Health Services, Health Services Research, Hospital, Hospital Admission, Hospital Admissions, Hospitalization, Hypoglycemia, Intensive-Care, Medication, Medication Error, Medication Errors, Monitoring, Older, Outcome, Outcomes, Outpatients, Population, Practice, Prescribed Drugs, Preventable Adverse Drug Events, Primary, Primary Health Care, </w:t>
      </w:r>
      <w:r w:rsidR="002C12F0">
        <w:rPr>
          <w:kern w:val="0"/>
        </w:rPr>
        <w:t>PUBMED</w:t>
      </w:r>
      <w:r>
        <w:rPr>
          <w:kern w:val="0"/>
        </w:rPr>
        <w:t xml:space="preserve">, Quality, Research, Review, Science, Selection, Symptoms, Systematic, Systematic Review, Systematic Reviews, Therapy, Tract, </w:t>
      </w:r>
      <w:r w:rsidR="00D5664A">
        <w:rPr>
          <w:kern w:val="0"/>
        </w:rPr>
        <w:t>Web</w:t>
      </w:r>
      <w:r w:rsidR="00427468">
        <w:rPr>
          <w:kern w:val="0"/>
        </w:rPr>
        <w:t xml:space="preserve"> of </w:t>
      </w:r>
      <w:r w:rsidR="00D5664A">
        <w:rPr>
          <w:kern w:val="0"/>
        </w:rPr>
        <w:t>Science</w:t>
      </w:r>
    </w:p>
    <w:p w:rsidR="00935421" w:rsidRDefault="00935421" w:rsidP="00935421">
      <w:pPr>
        <w:pStyle w:val="a3"/>
        <w:rPr>
          <w:kern w:val="0"/>
        </w:rPr>
      </w:pPr>
      <w:r>
        <w:rPr>
          <w:rFonts w:hint="eastAsia"/>
          <w:kern w:val="0"/>
        </w:rPr>
        <w:t xml:space="preserve">? </w:t>
      </w:r>
      <w:r>
        <w:rPr>
          <w:kern w:val="0"/>
        </w:rPr>
        <w:t>Jodlowski, T.Z., Melnychuk, I.</w:t>
      </w:r>
      <w:r w:rsidR="005853A9">
        <w:rPr>
          <w:kern w:val="0"/>
        </w:rPr>
        <w:t xml:space="preserve"> and </w:t>
      </w:r>
      <w:r>
        <w:rPr>
          <w:kern w:val="0"/>
        </w:rPr>
        <w:t>Conry, J. (2007), Linezolid for</w:t>
      </w:r>
      <w:r w:rsidR="003A1917">
        <w:rPr>
          <w:kern w:val="0"/>
        </w:rPr>
        <w:t xml:space="preserve"> the </w:t>
      </w:r>
      <w:r>
        <w:rPr>
          <w:kern w:val="0"/>
        </w:rPr>
        <w:t>treatment</w:t>
      </w:r>
      <w:r w:rsidR="00427468">
        <w:rPr>
          <w:kern w:val="0"/>
        </w:rPr>
        <w:t xml:space="preserve"> of </w:t>
      </w:r>
      <w:r w:rsidRPr="00E05880">
        <w:rPr>
          <w:i/>
          <w:kern w:val="0"/>
        </w:rPr>
        <w:t>Nocardia</w:t>
      </w:r>
      <w:r>
        <w:rPr>
          <w:kern w:val="0"/>
        </w:rPr>
        <w:t xml:space="preserve"> spp. infections. </w:t>
      </w:r>
      <w:r>
        <w:rPr>
          <w:i/>
          <w:iCs/>
          <w:kern w:val="0"/>
        </w:rPr>
        <w:t>Annals</w:t>
      </w:r>
      <w:r w:rsidR="00427468">
        <w:rPr>
          <w:i/>
          <w:iCs/>
          <w:kern w:val="0"/>
        </w:rPr>
        <w:t xml:space="preserve"> of </w:t>
      </w:r>
      <w:r>
        <w:rPr>
          <w:i/>
          <w:iCs/>
          <w:kern w:val="0"/>
        </w:rPr>
        <w:t>Pharmacotherapy</w:t>
      </w:r>
      <w:r>
        <w:rPr>
          <w:kern w:val="0"/>
        </w:rPr>
        <w:t xml:space="preserve">, </w:t>
      </w:r>
      <w:r>
        <w:rPr>
          <w:b/>
          <w:bCs/>
          <w:kern w:val="0"/>
        </w:rPr>
        <w:t>41</w:t>
      </w:r>
      <w:r>
        <w:rPr>
          <w:kern w:val="0"/>
        </w:rPr>
        <w:t xml:space="preserve"> (10), 1694-1699.</w:t>
      </w:r>
    </w:p>
    <w:p w:rsidR="00935421" w:rsidRDefault="00935421" w:rsidP="00935421">
      <w:pPr>
        <w:pStyle w:val="a3"/>
        <w:rPr>
          <w:kern w:val="0"/>
          <w:szCs w:val="24"/>
        </w:rPr>
      </w:pPr>
      <w:r w:rsidRPr="001A3D2B">
        <w:rPr>
          <w:kern w:val="0"/>
          <w:szCs w:val="24"/>
        </w:rPr>
        <w:t xml:space="preserve">Full Text: </w:t>
      </w:r>
      <w:hyperlink r:id="rId930" w:history="1">
        <w:r w:rsidRPr="00E05880">
          <w:rPr>
            <w:rStyle w:val="a5"/>
            <w:kern w:val="0"/>
            <w:szCs w:val="24"/>
          </w:rPr>
          <w:t>2007\Ann Pha41, 1694.pdf</w:t>
        </w:r>
      </w:hyperlink>
    </w:p>
    <w:p w:rsidR="00935421" w:rsidRDefault="00935421" w:rsidP="00935421">
      <w:pPr>
        <w:pStyle w:val="a3"/>
        <w:rPr>
          <w:kern w:val="0"/>
        </w:rPr>
      </w:pPr>
      <w:r>
        <w:rPr>
          <w:kern w:val="0"/>
        </w:rPr>
        <w:t>Abstract: OBJECTIVE: To review</w:t>
      </w:r>
      <w:r w:rsidR="003A1917">
        <w:rPr>
          <w:kern w:val="0"/>
        </w:rPr>
        <w:t xml:space="preserve"> the </w:t>
      </w:r>
      <w:r>
        <w:rPr>
          <w:kern w:val="0"/>
        </w:rPr>
        <w:t>available evidence regarding</w:t>
      </w:r>
      <w:r w:rsidR="003A1917">
        <w:rPr>
          <w:kern w:val="0"/>
        </w:rPr>
        <w:t xml:space="preserve"> the </w:t>
      </w:r>
      <w:r>
        <w:rPr>
          <w:kern w:val="0"/>
        </w:rPr>
        <w:t>use</w:t>
      </w:r>
      <w:r w:rsidR="00427468">
        <w:rPr>
          <w:kern w:val="0"/>
        </w:rPr>
        <w:t xml:space="preserve"> of </w:t>
      </w:r>
      <w:r>
        <w:rPr>
          <w:kern w:val="0"/>
        </w:rPr>
        <w:t>linezolid for</w:t>
      </w:r>
      <w:r w:rsidR="003A1917">
        <w:rPr>
          <w:kern w:val="0"/>
        </w:rPr>
        <w:t xml:space="preserve"> the </w:t>
      </w:r>
      <w:r>
        <w:rPr>
          <w:kern w:val="0"/>
        </w:rPr>
        <w:t>treatment</w:t>
      </w:r>
      <w:r w:rsidR="00427468">
        <w:rPr>
          <w:kern w:val="0"/>
        </w:rPr>
        <w:t xml:space="preserve"> of </w:t>
      </w:r>
      <w:r>
        <w:rPr>
          <w:kern w:val="0"/>
        </w:rPr>
        <w:t>Nocardia spp. infections. DATA SOURCES: Data were identified through a search</w:t>
      </w:r>
      <w:r w:rsidR="00427468">
        <w:rPr>
          <w:kern w:val="0"/>
        </w:rPr>
        <w:t xml:space="preserve"> of </w:t>
      </w:r>
      <w:r w:rsidR="00D5664A">
        <w:rPr>
          <w:kern w:val="0"/>
        </w:rPr>
        <w:t>MEDLINE</w:t>
      </w:r>
      <w:r>
        <w:rPr>
          <w:kern w:val="0"/>
        </w:rPr>
        <w:t xml:space="preserve"> (1966-May 2007), American Search Premier (1975-May 2007), International Pharmaceutical Abstracts (1960-2007), Science Citation Index Expanded (1996-2007),</w:t>
      </w:r>
      <w:r w:rsidR="005853A9">
        <w:rPr>
          <w:kern w:val="0"/>
        </w:rPr>
        <w:t xml:space="preserve"> and </w:t>
      </w:r>
      <w:r>
        <w:rPr>
          <w:kern w:val="0"/>
        </w:rPr>
        <w:t>Cochrane Databases (publications archived until May 2007) using</w:t>
      </w:r>
      <w:r w:rsidR="003A1917">
        <w:rPr>
          <w:kern w:val="0"/>
        </w:rPr>
        <w:t xml:space="preserve"> the </w:t>
      </w:r>
      <w:r>
        <w:rPr>
          <w:kern w:val="0"/>
        </w:rPr>
        <w:t>terms linezolid</w:t>
      </w:r>
      <w:r w:rsidR="005853A9">
        <w:rPr>
          <w:kern w:val="0"/>
        </w:rPr>
        <w:t xml:space="preserve"> and </w:t>
      </w:r>
      <w:r>
        <w:rPr>
          <w:kern w:val="0"/>
        </w:rPr>
        <w:t xml:space="preserve">Nocardia. </w:t>
      </w:r>
      <w:r>
        <w:rPr>
          <w:kern w:val="0"/>
        </w:rPr>
        <w:lastRenderedPageBreak/>
        <w:t>STUDY SELECTION</w:t>
      </w:r>
      <w:r w:rsidR="005853A9">
        <w:rPr>
          <w:kern w:val="0"/>
        </w:rPr>
        <w:t xml:space="preserve"> and </w:t>
      </w:r>
      <w:r>
        <w:rPr>
          <w:kern w:val="0"/>
        </w:rPr>
        <w:t>DATA EXTRACTION: Prospective</w:t>
      </w:r>
      <w:r w:rsidR="005853A9">
        <w:rPr>
          <w:kern w:val="0"/>
        </w:rPr>
        <w:t xml:space="preserve"> and </w:t>
      </w:r>
      <w:r>
        <w:rPr>
          <w:kern w:val="0"/>
        </w:rPr>
        <w:t>retrospective studies, case reports, case series,</w:t>
      </w:r>
      <w:r w:rsidR="005853A9">
        <w:rPr>
          <w:kern w:val="0"/>
        </w:rPr>
        <w:t xml:space="preserve"> and </w:t>
      </w:r>
      <w:r>
        <w:rPr>
          <w:kern w:val="0"/>
        </w:rPr>
        <w:t>in vitro studies were eligible for inclusion if they used linezolid for nocardiosis regardless</w:t>
      </w:r>
      <w:r w:rsidR="00427468">
        <w:rPr>
          <w:kern w:val="0"/>
        </w:rPr>
        <w:t xml:space="preserve"> of </w:t>
      </w:r>
      <w:r>
        <w:rPr>
          <w:kern w:val="0"/>
        </w:rPr>
        <w:t>site</w:t>
      </w:r>
      <w:r w:rsidR="00427468">
        <w:rPr>
          <w:kern w:val="0"/>
        </w:rPr>
        <w:t xml:space="preserve"> of </w:t>
      </w:r>
      <w:r>
        <w:rPr>
          <w:kern w:val="0"/>
        </w:rPr>
        <w:t>infection</w:t>
      </w:r>
      <w:r w:rsidR="005853A9">
        <w:rPr>
          <w:kern w:val="0"/>
        </w:rPr>
        <w:t xml:space="preserve"> and </w:t>
      </w:r>
      <w:r>
        <w:rPr>
          <w:kern w:val="0"/>
        </w:rPr>
        <w:t>outcome. DATA SYNTHESIS: We identified 11 published cases</w:t>
      </w:r>
      <w:r w:rsidR="00427468">
        <w:rPr>
          <w:kern w:val="0"/>
        </w:rPr>
        <w:t xml:space="preserve"> of </w:t>
      </w:r>
      <w:r>
        <w:rPr>
          <w:kern w:val="0"/>
        </w:rPr>
        <w:t>linezolid use for Nocardia spp. infections</w:t>
      </w:r>
      <w:r w:rsidR="00A37C1D">
        <w:rPr>
          <w:kern w:val="0"/>
        </w:rPr>
        <w:t>. The</w:t>
      </w:r>
      <w:r w:rsidR="003A1917">
        <w:rPr>
          <w:kern w:val="0"/>
        </w:rPr>
        <w:t xml:space="preserve"> </w:t>
      </w:r>
      <w:r>
        <w:rPr>
          <w:kern w:val="0"/>
        </w:rPr>
        <w:t>predominant species isolated were N. asteroides (n = 4; 36%)</w:t>
      </w:r>
      <w:r w:rsidR="005853A9">
        <w:rPr>
          <w:kern w:val="0"/>
        </w:rPr>
        <w:t xml:space="preserve"> and </w:t>
      </w:r>
      <w:r>
        <w:rPr>
          <w:kern w:val="0"/>
        </w:rPr>
        <w:t>N. farcinica (n = 3; 27%). Nocardiosis with central nervous system involvement (n = 7; 64%) or disseminated disease (n = 4; 36%) were most common</w:t>
      </w:r>
      <w:r w:rsidR="00A37C1D">
        <w:rPr>
          <w:kern w:val="0"/>
        </w:rPr>
        <w:t>. The</w:t>
      </w:r>
      <w:r w:rsidR="003A1917">
        <w:rPr>
          <w:kern w:val="0"/>
        </w:rPr>
        <w:t xml:space="preserve"> </w:t>
      </w:r>
      <w:r>
        <w:rPr>
          <w:kern w:val="0"/>
        </w:rPr>
        <w:t>main reason for discontinuation</w:t>
      </w:r>
      <w:r w:rsidR="00427468">
        <w:rPr>
          <w:kern w:val="0"/>
        </w:rPr>
        <w:t xml:space="preserve"> of </w:t>
      </w:r>
      <w:r>
        <w:rPr>
          <w:kern w:val="0"/>
        </w:rPr>
        <w:t>previous antimicrobials was most often related to adverse effects (n = 5; 45%), followed by clinical failure (n = 3; 27%). Linezolid was associated with cure or improvement in all cases (n = 11; 100%). However,</w:t>
      </w:r>
      <w:r w:rsidR="003A1917">
        <w:rPr>
          <w:kern w:val="0"/>
        </w:rPr>
        <w:t xml:space="preserve"> the </w:t>
      </w:r>
      <w:r>
        <w:rPr>
          <w:kern w:val="0"/>
        </w:rPr>
        <w:t>majority</w:t>
      </w:r>
      <w:r w:rsidR="00427468">
        <w:rPr>
          <w:kern w:val="0"/>
        </w:rPr>
        <w:t xml:space="preserve"> of </w:t>
      </w:r>
      <w:r>
        <w:rPr>
          <w:kern w:val="0"/>
        </w:rPr>
        <w:t>patients developed serious complications that may have led to premature discontinuation</w:t>
      </w:r>
      <w:r w:rsidR="00427468">
        <w:rPr>
          <w:kern w:val="0"/>
        </w:rPr>
        <w:t xml:space="preserve"> of </w:t>
      </w:r>
      <w:r>
        <w:rPr>
          <w:kern w:val="0"/>
        </w:rPr>
        <w:t>therapy with linezolid, including myelosuppression (n = 5; 45%) or possible/confirmed peripheral neuropathy (n = 2; 18%). CONCLUSIONS:</w:t>
      </w:r>
      <w:r w:rsidR="003A1917">
        <w:rPr>
          <w:kern w:val="0"/>
        </w:rPr>
        <w:t xml:space="preserve"> the </w:t>
      </w:r>
      <w:r>
        <w:rPr>
          <w:kern w:val="0"/>
        </w:rPr>
        <w:t>limited published data suggest that linezolid appears to be an effective alternative to trimethoprim/sulfamethoxazole for</w:t>
      </w:r>
      <w:r w:rsidR="003A1917">
        <w:rPr>
          <w:kern w:val="0"/>
        </w:rPr>
        <w:t xml:space="preserve"> the </w:t>
      </w:r>
      <w:r>
        <w:rPr>
          <w:kern w:val="0"/>
        </w:rPr>
        <w:t>treatment</w:t>
      </w:r>
      <w:r w:rsidR="00427468">
        <w:rPr>
          <w:kern w:val="0"/>
        </w:rPr>
        <w:t xml:space="preserve"> of </w:t>
      </w:r>
      <w:r>
        <w:rPr>
          <w:kern w:val="0"/>
        </w:rPr>
        <w:t>nocardiosis. Unfortunately,</w:t>
      </w:r>
      <w:r w:rsidR="003A1917">
        <w:rPr>
          <w:kern w:val="0"/>
        </w:rPr>
        <w:t xml:space="preserve"> the </w:t>
      </w:r>
      <w:r>
        <w:rPr>
          <w:kern w:val="0"/>
        </w:rPr>
        <w:t>high cost</w:t>
      </w:r>
      <w:r w:rsidR="005853A9">
        <w:rPr>
          <w:kern w:val="0"/>
        </w:rPr>
        <w:t xml:space="preserve"> and </w:t>
      </w:r>
      <w:r>
        <w:rPr>
          <w:kern w:val="0"/>
        </w:rPr>
        <w:t>potentially serious long-term toxicities</w:t>
      </w:r>
      <w:r w:rsidR="00427468">
        <w:rPr>
          <w:kern w:val="0"/>
        </w:rPr>
        <w:t xml:space="preserve"> of </w:t>
      </w:r>
      <w:r>
        <w:rPr>
          <w:kern w:val="0"/>
        </w:rPr>
        <w:t>linezolid appear to limit its use</w:t>
      </w:r>
      <w:r w:rsidR="005853A9">
        <w:rPr>
          <w:kern w:val="0"/>
        </w:rPr>
        <w:t xml:space="preserve"> and </w:t>
      </w:r>
      <w:r>
        <w:rPr>
          <w:kern w:val="0"/>
        </w:rPr>
        <w:t>relegate it to salvage therapy alone or in combination with other antimicrobials.</w:t>
      </w:r>
    </w:p>
    <w:p w:rsidR="00935421" w:rsidRDefault="00935421" w:rsidP="00935421">
      <w:pPr>
        <w:pStyle w:val="a3"/>
        <w:rPr>
          <w:kern w:val="0"/>
        </w:rPr>
      </w:pPr>
      <w:r>
        <w:rPr>
          <w:kern w:val="0"/>
        </w:rPr>
        <w:t xml:space="preserve">Keywords: Brain Abscesses, Citation, Clinical-Experience, Complications, Cost, Databases, Extraction, Farcinica, Linezolid, </w:t>
      </w:r>
      <w:r w:rsidR="00D5664A">
        <w:rPr>
          <w:kern w:val="0"/>
        </w:rPr>
        <w:t>MEDLINE</w:t>
      </w:r>
      <w:r>
        <w:rPr>
          <w:kern w:val="0"/>
        </w:rPr>
        <w:t>, Nervous-System Infections, Nocardia, Optic Neuropathy, Patient, Peripheral Neuropathy, Publications, Science, Science Citation Index, Science Citation Index Expanded, Selection, System, Therapy, Treatment</w:t>
      </w:r>
    </w:p>
    <w:p w:rsidR="003E631D" w:rsidRPr="001A3D2B" w:rsidRDefault="003E631D" w:rsidP="003E631D">
      <w:pPr>
        <w:pStyle w:val="a3"/>
        <w:rPr>
          <w:kern w:val="0"/>
          <w:szCs w:val="24"/>
        </w:rPr>
      </w:pPr>
      <w:r w:rsidRPr="001A3D2B">
        <w:rPr>
          <w:kern w:val="0"/>
          <w:szCs w:val="24"/>
        </w:rPr>
        <w:t>? Thompson, D.F., Callen, E.C.</w:t>
      </w:r>
      <w:r w:rsidR="005853A9">
        <w:rPr>
          <w:kern w:val="0"/>
          <w:szCs w:val="24"/>
        </w:rPr>
        <w:t xml:space="preserve"> and </w:t>
      </w:r>
      <w:r w:rsidRPr="001A3D2B">
        <w:rPr>
          <w:kern w:val="0"/>
          <w:szCs w:val="24"/>
        </w:rPr>
        <w:t>Nahata, M.C. (2009), Publication metrics</w:t>
      </w:r>
      <w:r w:rsidR="005853A9">
        <w:rPr>
          <w:kern w:val="0"/>
          <w:szCs w:val="24"/>
        </w:rPr>
        <w:t xml:space="preserve"> and </w:t>
      </w:r>
      <w:r w:rsidRPr="001A3D2B">
        <w:rPr>
          <w:kern w:val="0"/>
          <w:szCs w:val="24"/>
        </w:rPr>
        <w:t>record</w:t>
      </w:r>
      <w:r w:rsidR="00427468">
        <w:rPr>
          <w:kern w:val="0"/>
          <w:szCs w:val="24"/>
        </w:rPr>
        <w:t xml:space="preserve"> of </w:t>
      </w:r>
      <w:r w:rsidRPr="001A3D2B">
        <w:rPr>
          <w:kern w:val="0"/>
          <w:szCs w:val="24"/>
        </w:rPr>
        <w:t xml:space="preserve">pharmacy practice chairs. </w:t>
      </w:r>
      <w:r w:rsidRPr="001A3D2B">
        <w:rPr>
          <w:i/>
          <w:iCs/>
          <w:kern w:val="0"/>
          <w:szCs w:val="24"/>
        </w:rPr>
        <w:t>Annals</w:t>
      </w:r>
      <w:r w:rsidR="00427468">
        <w:rPr>
          <w:i/>
          <w:iCs/>
          <w:kern w:val="0"/>
          <w:szCs w:val="24"/>
        </w:rPr>
        <w:t xml:space="preserve"> of </w:t>
      </w:r>
      <w:r w:rsidRPr="001A3D2B">
        <w:rPr>
          <w:i/>
          <w:iCs/>
          <w:kern w:val="0"/>
          <w:szCs w:val="24"/>
        </w:rPr>
        <w:t>Pharmacotherapy</w:t>
      </w:r>
      <w:r w:rsidRPr="001A3D2B">
        <w:rPr>
          <w:kern w:val="0"/>
          <w:szCs w:val="24"/>
        </w:rPr>
        <w:t xml:space="preserve">, </w:t>
      </w:r>
      <w:r w:rsidRPr="001A3D2B">
        <w:rPr>
          <w:b/>
          <w:bCs/>
          <w:kern w:val="0"/>
          <w:szCs w:val="24"/>
        </w:rPr>
        <w:t>43</w:t>
      </w:r>
      <w:r w:rsidRPr="001A3D2B">
        <w:rPr>
          <w:kern w:val="0"/>
          <w:szCs w:val="24"/>
        </w:rPr>
        <w:t xml:space="preserve"> (2), 268-275.</w:t>
      </w:r>
    </w:p>
    <w:p w:rsidR="003E631D" w:rsidRPr="001A3D2B" w:rsidRDefault="003E631D" w:rsidP="003E631D">
      <w:pPr>
        <w:pStyle w:val="a3"/>
        <w:rPr>
          <w:kern w:val="0"/>
          <w:szCs w:val="24"/>
        </w:rPr>
      </w:pPr>
      <w:r w:rsidRPr="001A3D2B">
        <w:rPr>
          <w:kern w:val="0"/>
          <w:szCs w:val="24"/>
        </w:rPr>
        <w:t xml:space="preserve">Full Text: </w:t>
      </w:r>
      <w:hyperlink r:id="rId931" w:history="1">
        <w:r w:rsidRPr="001A3D2B">
          <w:rPr>
            <w:rStyle w:val="a5"/>
            <w:kern w:val="0"/>
            <w:szCs w:val="24"/>
          </w:rPr>
          <w:t>2009\Ann Pha43, 268.pdf</w:t>
        </w:r>
      </w:hyperlink>
    </w:p>
    <w:p w:rsidR="003E631D" w:rsidRPr="001A3D2B" w:rsidRDefault="003E631D" w:rsidP="003E631D">
      <w:pPr>
        <w:pStyle w:val="a3"/>
        <w:rPr>
          <w:kern w:val="0"/>
          <w:szCs w:val="24"/>
        </w:rPr>
      </w:pPr>
      <w:r w:rsidRPr="001A3D2B">
        <w:rPr>
          <w:kern w:val="0"/>
          <w:szCs w:val="24"/>
        </w:rPr>
        <w:t>Abstract: BACKGROUND: Scholarship is an essential component</w:t>
      </w:r>
      <w:r w:rsidR="00427468">
        <w:rPr>
          <w:kern w:val="0"/>
          <w:szCs w:val="24"/>
        </w:rPr>
        <w:t xml:space="preserve"> of </w:t>
      </w:r>
      <w:r w:rsidRPr="001A3D2B">
        <w:rPr>
          <w:kern w:val="0"/>
          <w:szCs w:val="24"/>
        </w:rPr>
        <w:t>academic pharmacy. Department chairs are considered role models</w:t>
      </w:r>
      <w:r w:rsidR="005853A9">
        <w:rPr>
          <w:kern w:val="0"/>
          <w:szCs w:val="24"/>
        </w:rPr>
        <w:t xml:space="preserve"> and </w:t>
      </w:r>
      <w:r w:rsidRPr="001A3D2B">
        <w:rPr>
          <w:kern w:val="0"/>
          <w:szCs w:val="24"/>
        </w:rPr>
        <w:t>mentors to junior faculty, but their publication record has not been documented. OBJECTIVE: To quantify publication patterns</w:t>
      </w:r>
      <w:r w:rsidR="00427468">
        <w:rPr>
          <w:kern w:val="0"/>
          <w:szCs w:val="24"/>
        </w:rPr>
        <w:t xml:space="preserve"> of </w:t>
      </w:r>
      <w:r w:rsidRPr="001A3D2B">
        <w:rPr>
          <w:kern w:val="0"/>
          <w:szCs w:val="24"/>
        </w:rPr>
        <w:t>pharmacy practice chairs in general and, specifically, at health sciences center (HSC)-based versus non-HSC-based</w:t>
      </w:r>
      <w:r w:rsidR="005853A9">
        <w:rPr>
          <w:kern w:val="0"/>
          <w:szCs w:val="24"/>
        </w:rPr>
        <w:t xml:space="preserve"> and </w:t>
      </w:r>
      <w:r w:rsidRPr="001A3D2B">
        <w:rPr>
          <w:kern w:val="0"/>
          <w:szCs w:val="24"/>
        </w:rPr>
        <w:t>public versus private colleges</w:t>
      </w:r>
      <w:r w:rsidR="00427468">
        <w:rPr>
          <w:kern w:val="0"/>
          <w:szCs w:val="24"/>
        </w:rPr>
        <w:t xml:space="preserve"> of </w:t>
      </w:r>
      <w:r w:rsidRPr="001A3D2B">
        <w:rPr>
          <w:kern w:val="0"/>
          <w:szCs w:val="24"/>
        </w:rPr>
        <w:t>pharmacy. METHODS: Pharmacy practice chairs were identified using</w:t>
      </w:r>
      <w:r w:rsidR="003A1917">
        <w:rPr>
          <w:kern w:val="0"/>
          <w:szCs w:val="24"/>
        </w:rPr>
        <w:t xml:space="preserve"> the </w:t>
      </w:r>
      <w:r w:rsidRPr="001A3D2B">
        <w:rPr>
          <w:kern w:val="0"/>
          <w:szCs w:val="24"/>
        </w:rPr>
        <w:t>2006-2007 roster</w:t>
      </w:r>
      <w:r w:rsidR="00427468">
        <w:rPr>
          <w:kern w:val="0"/>
          <w:szCs w:val="24"/>
        </w:rPr>
        <w:t xml:space="preserve"> of </w:t>
      </w:r>
      <w:r w:rsidRPr="001A3D2B">
        <w:rPr>
          <w:kern w:val="0"/>
          <w:szCs w:val="24"/>
        </w:rPr>
        <w:t>faculty from</w:t>
      </w:r>
      <w:r w:rsidR="003A1917">
        <w:rPr>
          <w:kern w:val="0"/>
          <w:szCs w:val="24"/>
        </w:rPr>
        <w:t xml:space="preserve"> the </w:t>
      </w:r>
      <w:r w:rsidRPr="001A3D2B">
        <w:rPr>
          <w:kern w:val="0"/>
          <w:szCs w:val="24"/>
        </w:rPr>
        <w:t>American Association</w:t>
      </w:r>
      <w:r w:rsidR="00427468">
        <w:rPr>
          <w:kern w:val="0"/>
          <w:szCs w:val="24"/>
        </w:rPr>
        <w:t xml:space="preserve"> of </w:t>
      </w:r>
      <w:r w:rsidRPr="001A3D2B">
        <w:rPr>
          <w:kern w:val="0"/>
          <w:szCs w:val="24"/>
        </w:rPr>
        <w:t>Colleges</w:t>
      </w:r>
      <w:r w:rsidR="00427468">
        <w:rPr>
          <w:kern w:val="0"/>
          <w:szCs w:val="24"/>
        </w:rPr>
        <w:t xml:space="preserve"> of </w:t>
      </w:r>
      <w:r w:rsidRPr="001A3D2B">
        <w:rPr>
          <w:kern w:val="0"/>
          <w:szCs w:val="24"/>
        </w:rPr>
        <w:t>Pharmacy.</w:t>
      </w:r>
      <w:r w:rsidR="00427468">
        <w:rPr>
          <w:kern w:val="0"/>
          <w:szCs w:val="24"/>
        </w:rPr>
        <w:t xml:space="preserve"> of </w:t>
      </w:r>
      <w:r w:rsidR="003A1917">
        <w:rPr>
          <w:kern w:val="0"/>
          <w:szCs w:val="24"/>
        </w:rPr>
        <w:t xml:space="preserve">the </w:t>
      </w:r>
      <w:r w:rsidRPr="001A3D2B">
        <w:rPr>
          <w:kern w:val="0"/>
          <w:szCs w:val="24"/>
        </w:rPr>
        <w:t>89 colleges</w:t>
      </w:r>
      <w:r w:rsidR="00427468">
        <w:rPr>
          <w:kern w:val="0"/>
          <w:szCs w:val="24"/>
        </w:rPr>
        <w:t xml:space="preserve"> of </w:t>
      </w:r>
      <w:r w:rsidRPr="001A3D2B">
        <w:rPr>
          <w:kern w:val="0"/>
          <w:szCs w:val="24"/>
        </w:rPr>
        <w:t>pharmacy in</w:t>
      </w:r>
      <w:r w:rsidR="003A1917">
        <w:rPr>
          <w:kern w:val="0"/>
          <w:szCs w:val="24"/>
        </w:rPr>
        <w:t xml:space="preserve"> the </w:t>
      </w:r>
      <w:r w:rsidRPr="001A3D2B">
        <w:rPr>
          <w:kern w:val="0"/>
          <w:szCs w:val="24"/>
        </w:rPr>
        <w:t>roster, 11 listed no pharmacy practice chair</w:t>
      </w:r>
      <w:r w:rsidR="005853A9">
        <w:rPr>
          <w:kern w:val="0"/>
          <w:szCs w:val="24"/>
        </w:rPr>
        <w:t xml:space="preserve"> and </w:t>
      </w:r>
      <w:r w:rsidRPr="001A3D2B">
        <w:rPr>
          <w:kern w:val="0"/>
          <w:szCs w:val="24"/>
        </w:rPr>
        <w:t>5 listed more than one. Data were collected on</w:t>
      </w:r>
      <w:r w:rsidR="003A1917">
        <w:rPr>
          <w:kern w:val="0"/>
          <w:szCs w:val="24"/>
        </w:rPr>
        <w:t xml:space="preserve"> the </w:t>
      </w:r>
      <w:r w:rsidRPr="001A3D2B">
        <w:rPr>
          <w:kern w:val="0"/>
          <w:szCs w:val="24"/>
        </w:rPr>
        <w:t>remaining 73 schools by searching each chair</w:t>
      </w:r>
      <w:r w:rsidR="00700038">
        <w:rPr>
          <w:kern w:val="0"/>
          <w:szCs w:val="24"/>
        </w:rPr>
        <w:t>’</w:t>
      </w:r>
      <w:r w:rsidR="00C13DDC">
        <w:rPr>
          <w:kern w:val="0"/>
          <w:szCs w:val="24"/>
        </w:rPr>
        <w:t>s</w:t>
      </w:r>
      <w:r w:rsidRPr="001A3D2B">
        <w:rPr>
          <w:kern w:val="0"/>
          <w:szCs w:val="24"/>
        </w:rPr>
        <w:t xml:space="preserve"> name on </w:t>
      </w:r>
      <w:r w:rsidR="002C12F0">
        <w:rPr>
          <w:kern w:val="0"/>
          <w:szCs w:val="24"/>
        </w:rPr>
        <w:t>PUBMED</w:t>
      </w:r>
      <w:r w:rsidR="005853A9">
        <w:rPr>
          <w:kern w:val="0"/>
          <w:szCs w:val="24"/>
        </w:rPr>
        <w:t xml:space="preserve"> and </w:t>
      </w:r>
      <w:r w:rsidR="00D5664A">
        <w:rPr>
          <w:kern w:val="0"/>
          <w:szCs w:val="24"/>
        </w:rPr>
        <w:t>Web</w:t>
      </w:r>
      <w:r w:rsidR="00427468">
        <w:rPr>
          <w:kern w:val="0"/>
          <w:szCs w:val="24"/>
        </w:rPr>
        <w:t xml:space="preserve"> of </w:t>
      </w:r>
      <w:r w:rsidR="00D5664A">
        <w:rPr>
          <w:kern w:val="0"/>
          <w:szCs w:val="24"/>
        </w:rPr>
        <w:t>Science</w:t>
      </w:r>
      <w:r w:rsidRPr="001A3D2B">
        <w:rPr>
          <w:kern w:val="0"/>
          <w:szCs w:val="24"/>
        </w:rPr>
        <w:t xml:space="preserve"> (WoS). Data on total publications, publications per year, total citations, citations per article, index,</w:t>
      </w:r>
      <w:r w:rsidR="005853A9">
        <w:rPr>
          <w:kern w:val="0"/>
          <w:szCs w:val="24"/>
        </w:rPr>
        <w:t xml:space="preserve"> and </w:t>
      </w:r>
      <w:r w:rsidRPr="001A3D2B">
        <w:rPr>
          <w:kern w:val="0"/>
          <w:szCs w:val="24"/>
        </w:rPr>
        <w:t>m quotient were collected. RESULTS: A total</w:t>
      </w:r>
      <w:r w:rsidR="00427468">
        <w:rPr>
          <w:kern w:val="0"/>
          <w:szCs w:val="24"/>
        </w:rPr>
        <w:t xml:space="preserve"> of </w:t>
      </w:r>
      <w:r w:rsidRPr="001A3D2B">
        <w:rPr>
          <w:kern w:val="0"/>
          <w:szCs w:val="24"/>
        </w:rPr>
        <w:t>2394 papers published by 73 pharmacy practice chairs were found in a search</w:t>
      </w:r>
      <w:r w:rsidR="00427468">
        <w:rPr>
          <w:kern w:val="0"/>
          <w:szCs w:val="24"/>
        </w:rPr>
        <w:t xml:space="preserve"> of </w:t>
      </w:r>
      <w:r w:rsidR="002C12F0">
        <w:rPr>
          <w:kern w:val="0"/>
          <w:szCs w:val="24"/>
        </w:rPr>
        <w:t>PUBMED</w:t>
      </w:r>
      <w:r w:rsidR="00A37C1D">
        <w:rPr>
          <w:kern w:val="0"/>
          <w:szCs w:val="24"/>
        </w:rPr>
        <w:t>. The</w:t>
      </w:r>
      <w:r w:rsidR="003A1917">
        <w:rPr>
          <w:kern w:val="0"/>
          <w:szCs w:val="24"/>
        </w:rPr>
        <w:t xml:space="preserve"> </w:t>
      </w:r>
      <w:r w:rsidRPr="001A3D2B">
        <w:rPr>
          <w:kern w:val="0"/>
          <w:szCs w:val="24"/>
        </w:rPr>
        <w:t xml:space="preserve">mean </w:t>
      </w:r>
      <w:r w:rsidRPr="001A3D2B">
        <w:rPr>
          <w:kern w:val="0"/>
          <w:szCs w:val="24"/>
        </w:rPr>
        <w:lastRenderedPageBreak/>
        <w:t>number</w:t>
      </w:r>
      <w:r w:rsidR="00427468">
        <w:rPr>
          <w:kern w:val="0"/>
          <w:szCs w:val="24"/>
        </w:rPr>
        <w:t xml:space="preserve"> of </w:t>
      </w:r>
      <w:r w:rsidRPr="001A3D2B">
        <w:rPr>
          <w:kern w:val="0"/>
          <w:szCs w:val="24"/>
        </w:rPr>
        <w:t>total publications per chair was 33 (95% CI 21 to 44)</w:t>
      </w:r>
      <w:r w:rsidR="00A37C1D">
        <w:rPr>
          <w:kern w:val="0"/>
          <w:szCs w:val="24"/>
        </w:rPr>
        <w:t>. The</w:t>
      </w:r>
      <w:r w:rsidR="003A1917">
        <w:rPr>
          <w:kern w:val="0"/>
          <w:szCs w:val="24"/>
        </w:rPr>
        <w:t xml:space="preserve"> </w:t>
      </w:r>
      <w:r w:rsidRPr="001A3D2B">
        <w:rPr>
          <w:kern w:val="0"/>
          <w:szCs w:val="24"/>
        </w:rPr>
        <w:t>mean number</w:t>
      </w:r>
      <w:r w:rsidR="00427468">
        <w:rPr>
          <w:kern w:val="0"/>
          <w:szCs w:val="24"/>
        </w:rPr>
        <w:t xml:space="preserve"> of </w:t>
      </w:r>
      <w:r w:rsidRPr="001A3D2B">
        <w:rPr>
          <w:kern w:val="0"/>
          <w:szCs w:val="24"/>
        </w:rPr>
        <w:t xml:space="preserve">publications per year was 1.4 using </w:t>
      </w:r>
      <w:r w:rsidR="002C12F0">
        <w:rPr>
          <w:kern w:val="0"/>
          <w:szCs w:val="24"/>
        </w:rPr>
        <w:t>PUBMED</w:t>
      </w:r>
      <w:r w:rsidR="005853A9">
        <w:rPr>
          <w:kern w:val="0"/>
          <w:szCs w:val="24"/>
        </w:rPr>
        <w:t xml:space="preserve"> and </w:t>
      </w:r>
      <w:r w:rsidRPr="001A3D2B">
        <w:rPr>
          <w:kern w:val="0"/>
          <w:szCs w:val="24"/>
        </w:rPr>
        <w:t xml:space="preserve">1.6 using WoS. Mean </w:t>
      </w:r>
      <w:r w:rsidR="00D5664A">
        <w:rPr>
          <w:kern w:val="0"/>
          <w:szCs w:val="24"/>
        </w:rPr>
        <w:t>h-Index</w:t>
      </w:r>
      <w:r w:rsidRPr="001A3D2B">
        <w:rPr>
          <w:kern w:val="0"/>
          <w:szCs w:val="24"/>
        </w:rPr>
        <w:t xml:space="preserve"> was 8.0 (95% CI 6.3 to 9.6). Mean number</w:t>
      </w:r>
      <w:r w:rsidR="00427468">
        <w:rPr>
          <w:kern w:val="0"/>
          <w:szCs w:val="24"/>
        </w:rPr>
        <w:t xml:space="preserve"> of </w:t>
      </w:r>
      <w:r w:rsidRPr="001A3D2B">
        <w:rPr>
          <w:kern w:val="0"/>
          <w:szCs w:val="24"/>
        </w:rPr>
        <w:t>total citations was 410 (95% Cl 252 to 568). Thirty-three percent (n = 24) had less than 10 lifetime publications</w:t>
      </w:r>
      <w:r w:rsidR="005853A9">
        <w:rPr>
          <w:kern w:val="0"/>
          <w:szCs w:val="24"/>
        </w:rPr>
        <w:t xml:space="preserve"> and </w:t>
      </w:r>
      <w:r w:rsidRPr="001A3D2B">
        <w:rPr>
          <w:kern w:val="0"/>
          <w:szCs w:val="24"/>
        </w:rPr>
        <w:t>18% had more than 50 lifetime publications. HSC-based chairs averaged 51.3 papers while non-HSC-based chairs averaged 19.1 (p &lt; 0.01). Similar data were found for total citations (HSC = 673 vs non-HSC = 216; p &lt; 0.001). Public school chairs had an average</w:t>
      </w:r>
      <w:r w:rsidR="00427468">
        <w:rPr>
          <w:kern w:val="0"/>
          <w:szCs w:val="24"/>
        </w:rPr>
        <w:t xml:space="preserve"> of </w:t>
      </w:r>
      <w:r w:rsidRPr="001A3D2B">
        <w:rPr>
          <w:kern w:val="0"/>
          <w:szCs w:val="24"/>
        </w:rPr>
        <w:t xml:space="preserve">41.5 articles cited on </w:t>
      </w:r>
      <w:r w:rsidR="002C12F0">
        <w:rPr>
          <w:kern w:val="0"/>
          <w:szCs w:val="24"/>
        </w:rPr>
        <w:t>PUBMED</w:t>
      </w:r>
      <w:r w:rsidRPr="001A3D2B">
        <w:rPr>
          <w:kern w:val="0"/>
          <w:szCs w:val="24"/>
        </w:rPr>
        <w:t xml:space="preserve">, versus 15 for private school chairs (p &lt; 0.01). Public school chairs had an average </w:t>
      </w:r>
      <w:r w:rsidR="00D5664A">
        <w:rPr>
          <w:kern w:val="0"/>
          <w:szCs w:val="24"/>
        </w:rPr>
        <w:t>h-Index</w:t>
      </w:r>
      <w:r w:rsidR="00427468">
        <w:rPr>
          <w:kern w:val="0"/>
          <w:szCs w:val="24"/>
        </w:rPr>
        <w:t xml:space="preserve"> of </w:t>
      </w:r>
      <w:r w:rsidRPr="001A3D2B">
        <w:rPr>
          <w:kern w:val="0"/>
          <w:szCs w:val="24"/>
        </w:rPr>
        <w:t>9.7 versus 4.4 for private school chairs (p &lt; 0.001),</w:t>
      </w:r>
      <w:r w:rsidR="005853A9">
        <w:rPr>
          <w:kern w:val="0"/>
          <w:szCs w:val="24"/>
        </w:rPr>
        <w:t xml:space="preserve"> and </w:t>
      </w:r>
      <w:r w:rsidRPr="001A3D2B">
        <w:rPr>
          <w:kern w:val="0"/>
          <w:szCs w:val="24"/>
        </w:rPr>
        <w:t>an average</w:t>
      </w:r>
      <w:r w:rsidR="00427468">
        <w:rPr>
          <w:kern w:val="0"/>
          <w:szCs w:val="24"/>
        </w:rPr>
        <w:t xml:space="preserve"> of </w:t>
      </w:r>
      <w:r w:rsidRPr="001A3D2B">
        <w:rPr>
          <w:kern w:val="0"/>
          <w:szCs w:val="24"/>
        </w:rPr>
        <w:t>9.2 citations per article compared with 5.2 for private school chairs (p &lt; 0.001). CONCLUSIONS: These data provide a normative pattern</w:t>
      </w:r>
      <w:r w:rsidR="00427468">
        <w:rPr>
          <w:kern w:val="0"/>
          <w:szCs w:val="24"/>
        </w:rPr>
        <w:t xml:space="preserve"> of </w:t>
      </w:r>
      <w:r w:rsidRPr="001A3D2B">
        <w:rPr>
          <w:kern w:val="0"/>
          <w:szCs w:val="24"/>
        </w:rPr>
        <w:t>publication metrics</w:t>
      </w:r>
      <w:r w:rsidR="005853A9">
        <w:rPr>
          <w:kern w:val="0"/>
          <w:szCs w:val="24"/>
        </w:rPr>
        <w:t xml:space="preserve"> and </w:t>
      </w:r>
      <w:r w:rsidRPr="001A3D2B">
        <w:rPr>
          <w:kern w:val="0"/>
          <w:szCs w:val="24"/>
        </w:rPr>
        <w:t>record for pharmacy practice chairs</w:t>
      </w:r>
      <w:r w:rsidR="005853A9">
        <w:rPr>
          <w:kern w:val="0"/>
          <w:szCs w:val="24"/>
        </w:rPr>
        <w:t xml:space="preserve"> and </w:t>
      </w:r>
      <w:r w:rsidRPr="001A3D2B">
        <w:rPr>
          <w:kern w:val="0"/>
          <w:szCs w:val="24"/>
        </w:rPr>
        <w:t>demonstrate marked variability in scholarly productivity.</w:t>
      </w:r>
    </w:p>
    <w:p w:rsidR="003E631D" w:rsidRPr="001A3D2B" w:rsidRDefault="003E631D" w:rsidP="003E631D">
      <w:pPr>
        <w:pStyle w:val="a3"/>
        <w:rPr>
          <w:kern w:val="0"/>
          <w:szCs w:val="24"/>
        </w:rPr>
      </w:pPr>
      <w:r w:rsidRPr="001A3D2B">
        <w:rPr>
          <w:kern w:val="0"/>
          <w:szCs w:val="24"/>
        </w:rPr>
        <w:t xml:space="preserve">Keywords: Academic, American, Background, Bibliometrics, Chair, Citations, CL, Colleges, Data, Faculty, General, </w:t>
      </w:r>
      <w:r w:rsidR="00D5664A">
        <w:rPr>
          <w:kern w:val="0"/>
          <w:szCs w:val="24"/>
        </w:rPr>
        <w:t>H Index</w:t>
      </w:r>
      <w:r w:rsidRPr="001A3D2B">
        <w:rPr>
          <w:kern w:val="0"/>
          <w:szCs w:val="24"/>
        </w:rPr>
        <w:t xml:space="preserve">, </w:t>
      </w:r>
      <w:r w:rsidR="00D5664A">
        <w:rPr>
          <w:kern w:val="0"/>
          <w:szCs w:val="24"/>
        </w:rPr>
        <w:t>H-Index</w:t>
      </w:r>
      <w:r w:rsidRPr="001A3D2B">
        <w:rPr>
          <w:kern w:val="0"/>
          <w:szCs w:val="24"/>
        </w:rPr>
        <w:t>, Health, Health Sciences, Impact, Index, Listed, Medicine, Methods, Metrics, Models, Number</w:t>
      </w:r>
      <w:r w:rsidR="00427468">
        <w:rPr>
          <w:kern w:val="0"/>
          <w:szCs w:val="24"/>
        </w:rPr>
        <w:t xml:space="preserve"> of </w:t>
      </w:r>
      <w:r w:rsidRPr="001A3D2B">
        <w:rPr>
          <w:kern w:val="0"/>
          <w:szCs w:val="24"/>
        </w:rPr>
        <w:t xml:space="preserve">Publications, Papers, Pattern, Pharmacy, Pharmacy Practice, Practice, Practice Faculty, Productivity, Public, Publication, Publication Record, Publications, </w:t>
      </w:r>
      <w:r w:rsidR="002C12F0">
        <w:rPr>
          <w:kern w:val="0"/>
          <w:szCs w:val="24"/>
        </w:rPr>
        <w:t>PUBMED</w:t>
      </w:r>
      <w:r w:rsidRPr="001A3D2B">
        <w:rPr>
          <w:kern w:val="0"/>
          <w:szCs w:val="24"/>
        </w:rPr>
        <w:t xml:space="preserve">, Record, Results, Role, Scholarship, Scholarship, School, Schools, Science, Sciences, Scientific-Research, Search, Variability, </w:t>
      </w:r>
      <w:r w:rsidR="00D5664A">
        <w:rPr>
          <w:kern w:val="0"/>
          <w:szCs w:val="24"/>
        </w:rPr>
        <w:t>Web</w:t>
      </w:r>
      <w:r w:rsidR="00427468">
        <w:rPr>
          <w:kern w:val="0"/>
          <w:szCs w:val="24"/>
        </w:rPr>
        <w:t xml:space="preserve"> of </w:t>
      </w:r>
      <w:r w:rsidR="00D5664A">
        <w:rPr>
          <w:kern w:val="0"/>
          <w:szCs w:val="24"/>
        </w:rPr>
        <w:t>Science</w:t>
      </w:r>
    </w:p>
    <w:p w:rsidR="008C1C37" w:rsidRDefault="008C1C37" w:rsidP="008C1C37">
      <w:pPr>
        <w:pStyle w:val="a3"/>
        <w:rPr>
          <w:kern w:val="0"/>
        </w:rPr>
      </w:pPr>
      <w:r>
        <w:rPr>
          <w:rFonts w:hint="eastAsia"/>
          <w:kern w:val="0"/>
        </w:rPr>
        <w:t xml:space="preserve">? </w:t>
      </w:r>
      <w:r>
        <w:rPr>
          <w:kern w:val="0"/>
        </w:rPr>
        <w:t>Kuo, I.F., Pearson, G.J.</w:t>
      </w:r>
      <w:r w:rsidR="005853A9">
        <w:rPr>
          <w:kern w:val="0"/>
        </w:rPr>
        <w:t xml:space="preserve"> and </w:t>
      </w:r>
      <w:r>
        <w:rPr>
          <w:kern w:val="0"/>
        </w:rPr>
        <w:t>Koshman, S.L. (2009), Colchicine for</w:t>
      </w:r>
      <w:r w:rsidR="003A1917">
        <w:rPr>
          <w:kern w:val="0"/>
        </w:rPr>
        <w:t xml:space="preserve"> the </w:t>
      </w:r>
      <w:r>
        <w:rPr>
          <w:kern w:val="0"/>
        </w:rPr>
        <w:t>primary</w:t>
      </w:r>
      <w:r w:rsidR="005853A9">
        <w:rPr>
          <w:kern w:val="0"/>
        </w:rPr>
        <w:t xml:space="preserve"> and </w:t>
      </w:r>
      <w:r>
        <w:rPr>
          <w:kern w:val="0"/>
        </w:rPr>
        <w:t>secondary prevention</w:t>
      </w:r>
      <w:r w:rsidR="00427468">
        <w:rPr>
          <w:kern w:val="0"/>
        </w:rPr>
        <w:t xml:space="preserve"> of </w:t>
      </w:r>
      <w:r>
        <w:rPr>
          <w:kern w:val="0"/>
        </w:rPr>
        <w:t xml:space="preserve">pericarditis: An update. </w:t>
      </w:r>
      <w:r>
        <w:rPr>
          <w:i/>
          <w:iCs/>
          <w:kern w:val="0"/>
        </w:rPr>
        <w:t>Annals</w:t>
      </w:r>
      <w:r w:rsidR="00427468">
        <w:rPr>
          <w:i/>
          <w:iCs/>
          <w:kern w:val="0"/>
        </w:rPr>
        <w:t xml:space="preserve"> of </w:t>
      </w:r>
      <w:r>
        <w:rPr>
          <w:i/>
          <w:iCs/>
          <w:kern w:val="0"/>
        </w:rPr>
        <w:t>Pharmacotherapy</w:t>
      </w:r>
      <w:r>
        <w:rPr>
          <w:kern w:val="0"/>
        </w:rPr>
        <w:t xml:space="preserve">, </w:t>
      </w:r>
      <w:r>
        <w:rPr>
          <w:b/>
          <w:bCs/>
          <w:kern w:val="0"/>
        </w:rPr>
        <w:t>43</w:t>
      </w:r>
      <w:r>
        <w:rPr>
          <w:kern w:val="0"/>
        </w:rPr>
        <w:t xml:space="preserve"> (12), 2075-2081.</w:t>
      </w:r>
    </w:p>
    <w:p w:rsidR="008C1C37" w:rsidRDefault="008C1C37" w:rsidP="008C1C37">
      <w:pPr>
        <w:pStyle w:val="a3"/>
        <w:rPr>
          <w:kern w:val="0"/>
        </w:rPr>
      </w:pPr>
      <w:r>
        <w:rPr>
          <w:kern w:val="0"/>
        </w:rPr>
        <w:t>Abstract: OBJECTIVE: To review</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colchicine as primary</w:t>
      </w:r>
      <w:r w:rsidR="005853A9">
        <w:rPr>
          <w:kern w:val="0"/>
        </w:rPr>
        <w:t xml:space="preserve"> and </w:t>
      </w:r>
      <w:r>
        <w:rPr>
          <w:kern w:val="0"/>
        </w:rPr>
        <w:t xml:space="preserve">secondary prophylaxis for pericarditis. DATA SOURCES: We searched </w:t>
      </w:r>
      <w:r w:rsidR="00D5664A">
        <w:rPr>
          <w:kern w:val="0"/>
        </w:rPr>
        <w:t>MEDLINE</w:t>
      </w:r>
      <w:r>
        <w:rPr>
          <w:kern w:val="0"/>
        </w:rPr>
        <w:t xml:space="preserve">, EMBASE, </w:t>
      </w:r>
      <w:r w:rsidR="002C12F0">
        <w:rPr>
          <w:kern w:val="0"/>
        </w:rPr>
        <w:t>PUBMED</w:t>
      </w:r>
      <w:r>
        <w:rPr>
          <w:kern w:val="0"/>
        </w:rPr>
        <w:t>, BIOSIS Previews</w:t>
      </w:r>
      <w:r w:rsidR="00700038">
        <w:rPr>
          <w:kern w:val="0"/>
        </w:rPr>
        <w:t>’</w:t>
      </w:r>
      <w:r>
        <w:rPr>
          <w:kern w:val="0"/>
        </w:rPr>
        <w:t xml:space="preserve"> International Pharmaceutical Abstracts,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CENTRAL for controlled studies from database inception date to July 2009. Search terms included colchicine, pericarditis,</w:t>
      </w:r>
      <w:r w:rsidR="005853A9">
        <w:rPr>
          <w:kern w:val="0"/>
        </w:rPr>
        <w:t xml:space="preserve"> and </w:t>
      </w:r>
      <w:r>
        <w:rPr>
          <w:kern w:val="0"/>
        </w:rPr>
        <w:t>postpericardiotomy syndrome (PPS). STUDY SELECTION</w:t>
      </w:r>
      <w:r w:rsidR="005853A9">
        <w:rPr>
          <w:kern w:val="0"/>
        </w:rPr>
        <w:t xml:space="preserve"> and </w:t>
      </w:r>
      <w:r>
        <w:rPr>
          <w:kern w:val="0"/>
        </w:rPr>
        <w:t>DATA EXTRACTION: Prospective, randomized, controlled trials investigating</w:t>
      </w:r>
      <w:r w:rsidR="003A1917">
        <w:rPr>
          <w:kern w:val="0"/>
        </w:rPr>
        <w:t xml:space="preserve"> the </w:t>
      </w:r>
      <w:r>
        <w:rPr>
          <w:kern w:val="0"/>
        </w:rPr>
        <w:t>use</w:t>
      </w:r>
      <w:r w:rsidR="00427468">
        <w:rPr>
          <w:kern w:val="0"/>
        </w:rPr>
        <w:t xml:space="preserve"> of </w:t>
      </w:r>
      <w:r>
        <w:rPr>
          <w:kern w:val="0"/>
        </w:rPr>
        <w:t>colchicine in preventing pericarditis were included. Data extracted included design, inclusion criteria, demographics, interventions, background therapy,</w:t>
      </w:r>
      <w:r w:rsidR="005853A9">
        <w:rPr>
          <w:kern w:val="0"/>
        </w:rPr>
        <w:t xml:space="preserve"> and </w:t>
      </w:r>
      <w:r>
        <w:rPr>
          <w:kern w:val="0"/>
        </w:rPr>
        <w:t>pericarditis-related clinical outcomes. DATA SYNTHESIS: Data were synthesized qualitatively, given variable study designs. Three trials were identified. A single trial examining primary prevention evaluated</w:t>
      </w:r>
      <w:r w:rsidR="003A1917">
        <w:rPr>
          <w:kern w:val="0"/>
        </w:rPr>
        <w:t xml:space="preserve"> the </w:t>
      </w:r>
      <w:r>
        <w:rPr>
          <w:kern w:val="0"/>
        </w:rPr>
        <w:t>use</w:t>
      </w:r>
      <w:r w:rsidR="00427468">
        <w:rPr>
          <w:kern w:val="0"/>
        </w:rPr>
        <w:t xml:space="preserve"> of </w:t>
      </w:r>
      <w:r>
        <w:rPr>
          <w:kern w:val="0"/>
        </w:rPr>
        <w:t>colchicine versus placebo for preventing PPS in patients undergoing cardiopulmonary bypass grafting. No significant reduction in PPS was found. Two studies examined secondary prevention</w:t>
      </w:r>
      <w:r w:rsidR="00427468">
        <w:rPr>
          <w:kern w:val="0"/>
        </w:rPr>
        <w:t xml:space="preserve"> of </w:t>
      </w:r>
      <w:r>
        <w:rPr>
          <w:kern w:val="0"/>
        </w:rPr>
        <w:t>pericarditis, comparing colchicine plus aspirin versus aspirin alone. One study examined using these comparators to treat a first episode</w:t>
      </w:r>
      <w:r w:rsidR="00427468">
        <w:rPr>
          <w:kern w:val="0"/>
        </w:rPr>
        <w:t xml:space="preserve"> of </w:t>
      </w:r>
      <w:r>
        <w:rPr>
          <w:kern w:val="0"/>
        </w:rPr>
        <w:t xml:space="preserve">pericarditis. After 3 months, there was a </w:t>
      </w:r>
      <w:r>
        <w:rPr>
          <w:kern w:val="0"/>
        </w:rPr>
        <w:lastRenderedPageBreak/>
        <w:t>significant reduction in recurrent pericarditis with colchicine plus aspirin (11.7% vs 33%; p = 0.009). Another study examined this same regimen in recurrent pericarditis, finding a significant reduction in recurrence after 6 months (21% vs 45%; p = 0.02). CONCLUSIONS: Despite limitations in study designs, current evidence suggests a role for colchicine in</w:t>
      </w:r>
      <w:r w:rsidR="003A1917">
        <w:rPr>
          <w:kern w:val="0"/>
        </w:rPr>
        <w:t xml:space="preserve"> the </w:t>
      </w:r>
      <w:r>
        <w:rPr>
          <w:kern w:val="0"/>
        </w:rPr>
        <w:t>secondary prophylaxis for recurrent pericarditis</w:t>
      </w:r>
      <w:r w:rsidR="00A37C1D">
        <w:rPr>
          <w:kern w:val="0"/>
        </w:rPr>
        <w:t>. The</w:t>
      </w:r>
      <w:r w:rsidR="003A1917">
        <w:rPr>
          <w:kern w:val="0"/>
        </w:rPr>
        <w:t xml:space="preserve"> </w:t>
      </w:r>
      <w:r>
        <w:rPr>
          <w:kern w:val="0"/>
        </w:rPr>
        <w:t>evidence for use</w:t>
      </w:r>
      <w:r w:rsidR="00427468">
        <w:rPr>
          <w:kern w:val="0"/>
        </w:rPr>
        <w:t xml:space="preserve"> of </w:t>
      </w:r>
      <w:r>
        <w:rPr>
          <w:kern w:val="0"/>
        </w:rPr>
        <w:t>colchicine as primary prophylaxis in PPS is indeterminate; therefore, colchicine cannot be recommended routinely. While colchicine should be recommended for</w:t>
      </w:r>
      <w:r w:rsidR="003A1917">
        <w:rPr>
          <w:kern w:val="0"/>
        </w:rPr>
        <w:t xml:space="preserve"> the </w:t>
      </w:r>
      <w:r>
        <w:rPr>
          <w:kern w:val="0"/>
        </w:rPr>
        <w:t>prevention</w:t>
      </w:r>
      <w:r w:rsidR="00427468">
        <w:rPr>
          <w:kern w:val="0"/>
        </w:rPr>
        <w:t xml:space="preserve"> of </w:t>
      </w:r>
      <w:r>
        <w:rPr>
          <w:kern w:val="0"/>
        </w:rPr>
        <w:t>recurrent pericarditis, questions regarding</w:t>
      </w:r>
      <w:r w:rsidR="003A1917">
        <w:rPr>
          <w:kern w:val="0"/>
        </w:rPr>
        <w:t xml:space="preserve"> the </w:t>
      </w:r>
      <w:r>
        <w:rPr>
          <w:kern w:val="0"/>
        </w:rPr>
        <w:t>optimal regimen</w:t>
      </w:r>
      <w:r w:rsidR="005853A9">
        <w:rPr>
          <w:kern w:val="0"/>
        </w:rPr>
        <w:t xml:space="preserve"> and </w:t>
      </w:r>
      <w:r>
        <w:rPr>
          <w:kern w:val="0"/>
        </w:rPr>
        <w:t>long-term safety profile need to be further elucidated.</w:t>
      </w:r>
    </w:p>
    <w:p w:rsidR="008C1C37" w:rsidRDefault="008C1C37" w:rsidP="008C1C37">
      <w:pPr>
        <w:pStyle w:val="a3"/>
        <w:rPr>
          <w:kern w:val="0"/>
        </w:rPr>
      </w:pPr>
      <w:r>
        <w:rPr>
          <w:kern w:val="0"/>
        </w:rPr>
        <w:t xml:space="preserve">Keywords: Acute Pericarditis, Colchicine, Controlled Studies, Diseases, Efficacy, EMBASE, Extraction, Interventions, Management, </w:t>
      </w:r>
      <w:r w:rsidR="00D5664A">
        <w:rPr>
          <w:kern w:val="0"/>
        </w:rPr>
        <w:t>MEDLINE</w:t>
      </w:r>
      <w:r>
        <w:rPr>
          <w:kern w:val="0"/>
        </w:rPr>
        <w:t xml:space="preserve">, Outcomes, Pericarditis, Postpericardiotomy Syndrome, Postpericardiotomy-Syndrome, Prevention, Primary, Primary Prevention, Profile, </w:t>
      </w:r>
      <w:r w:rsidR="002C12F0">
        <w:rPr>
          <w:kern w:val="0"/>
        </w:rPr>
        <w:t>PUBMED</w:t>
      </w:r>
      <w:r>
        <w:rPr>
          <w:kern w:val="0"/>
        </w:rPr>
        <w:t xml:space="preserve">, Recurrence, Recurrent Pericarditis, Recurrent Pericarditis, Relapsing Pericarditis, Review, Risk, Safety, Science, Secondary Prevention, Selection, Therapy, Trial,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Manias, E.</w:t>
      </w:r>
      <w:r w:rsidR="005853A9">
        <w:rPr>
          <w:kern w:val="0"/>
        </w:rPr>
        <w:t xml:space="preserve"> and </w:t>
      </w:r>
      <w:r>
        <w:rPr>
          <w:kern w:val="0"/>
        </w:rPr>
        <w:t>Williams, A. (2010), Medication adherence in people</w:t>
      </w:r>
      <w:r w:rsidR="00427468">
        <w:rPr>
          <w:kern w:val="0"/>
        </w:rPr>
        <w:t xml:space="preserve"> of </w:t>
      </w:r>
      <w:r>
        <w:rPr>
          <w:kern w:val="0"/>
        </w:rPr>
        <w:t>culturally</w:t>
      </w:r>
      <w:r w:rsidR="005853A9">
        <w:rPr>
          <w:kern w:val="0"/>
        </w:rPr>
        <w:t xml:space="preserve"> and </w:t>
      </w:r>
      <w:r>
        <w:rPr>
          <w:kern w:val="0"/>
        </w:rPr>
        <w:t xml:space="preserve">linguistically diverse backgrounds: A meta-analysis. </w:t>
      </w:r>
      <w:r>
        <w:rPr>
          <w:i/>
          <w:iCs/>
          <w:kern w:val="0"/>
        </w:rPr>
        <w:t>Annals</w:t>
      </w:r>
      <w:r w:rsidR="00427468">
        <w:rPr>
          <w:i/>
          <w:iCs/>
          <w:kern w:val="0"/>
        </w:rPr>
        <w:t xml:space="preserve"> of </w:t>
      </w:r>
      <w:r>
        <w:rPr>
          <w:i/>
          <w:iCs/>
          <w:kern w:val="0"/>
        </w:rPr>
        <w:t>Pharmacotherapy</w:t>
      </w:r>
      <w:r>
        <w:rPr>
          <w:kern w:val="0"/>
        </w:rPr>
        <w:t xml:space="preserve">, </w:t>
      </w:r>
      <w:r>
        <w:rPr>
          <w:b/>
          <w:bCs/>
          <w:kern w:val="0"/>
        </w:rPr>
        <w:t>44</w:t>
      </w:r>
      <w:r>
        <w:rPr>
          <w:kern w:val="0"/>
        </w:rPr>
        <w:t xml:space="preserve"> (6), 964-982.</w:t>
      </w:r>
    </w:p>
    <w:p w:rsidR="008C1C37" w:rsidRDefault="008C1C37" w:rsidP="008C1C37">
      <w:pPr>
        <w:pStyle w:val="a3"/>
        <w:rPr>
          <w:kern w:val="0"/>
        </w:rPr>
      </w:pPr>
      <w:r>
        <w:rPr>
          <w:kern w:val="0"/>
        </w:rPr>
        <w:t>Abstract: BACKGROUND: Medication adherence is</w:t>
      </w:r>
      <w:r w:rsidR="00427468">
        <w:rPr>
          <w:kern w:val="0"/>
        </w:rPr>
        <w:t xml:space="preserve"> of </w:t>
      </w:r>
      <w:r>
        <w:rPr>
          <w:kern w:val="0"/>
        </w:rPr>
        <w:t>particular importance for people</w:t>
      </w:r>
      <w:r w:rsidR="00427468">
        <w:rPr>
          <w:kern w:val="0"/>
        </w:rPr>
        <w:t xml:space="preserve"> of </w:t>
      </w:r>
      <w:r>
        <w:rPr>
          <w:kern w:val="0"/>
        </w:rPr>
        <w:t>culturally</w:t>
      </w:r>
      <w:r w:rsidR="005853A9">
        <w:rPr>
          <w:kern w:val="0"/>
        </w:rPr>
        <w:t xml:space="preserve"> and </w:t>
      </w:r>
      <w:r>
        <w:rPr>
          <w:kern w:val="0"/>
        </w:rPr>
        <w:t>linguistically diverse (CALD) backgrounds due to language difficulties, lack</w:t>
      </w:r>
      <w:r w:rsidR="00427468">
        <w:rPr>
          <w:kern w:val="0"/>
        </w:rPr>
        <w:t xml:space="preserve"> of </w:t>
      </w:r>
      <w:r>
        <w:rPr>
          <w:kern w:val="0"/>
        </w:rPr>
        <w:t>social</w:t>
      </w:r>
      <w:r w:rsidR="005853A9">
        <w:rPr>
          <w:kern w:val="0"/>
        </w:rPr>
        <w:t xml:space="preserve"> and </w:t>
      </w:r>
      <w:r>
        <w:rPr>
          <w:kern w:val="0"/>
        </w:rPr>
        <w:t>organizational supports, lack</w:t>
      </w:r>
      <w:r w:rsidR="00427468">
        <w:rPr>
          <w:kern w:val="0"/>
        </w:rPr>
        <w:t xml:space="preserve"> of </w:t>
      </w:r>
      <w:r>
        <w:rPr>
          <w:kern w:val="0"/>
        </w:rPr>
        <w:t>access to healthcare resources,</w:t>
      </w:r>
      <w:r w:rsidR="005853A9">
        <w:rPr>
          <w:kern w:val="0"/>
        </w:rPr>
        <w:t xml:space="preserve"> and </w:t>
      </w:r>
      <w:r>
        <w:rPr>
          <w:kern w:val="0"/>
        </w:rPr>
        <w:t>disengagement with</w:t>
      </w:r>
      <w:r w:rsidR="003A1917">
        <w:rPr>
          <w:kern w:val="0"/>
        </w:rPr>
        <w:t xml:space="preserve"> the </w:t>
      </w:r>
      <w:r>
        <w:rPr>
          <w:kern w:val="0"/>
        </w:rPr>
        <w:t>health-care system. OBJECTIVE: To evaluate</w:t>
      </w:r>
      <w:r w:rsidR="003A1917">
        <w:rPr>
          <w:kern w:val="0"/>
        </w:rPr>
        <w:t xml:space="preserve"> the </w:t>
      </w:r>
      <w:r>
        <w:rPr>
          <w:kern w:val="0"/>
        </w:rPr>
        <w:t>impact</w:t>
      </w:r>
      <w:r w:rsidR="00427468">
        <w:rPr>
          <w:kern w:val="0"/>
        </w:rPr>
        <w:t xml:space="preserve"> of </w:t>
      </w:r>
      <w:r>
        <w:rPr>
          <w:kern w:val="0"/>
        </w:rPr>
        <w:t>interventions to improve medication adherence in people</w:t>
      </w:r>
      <w:r w:rsidR="00427468">
        <w:rPr>
          <w:kern w:val="0"/>
        </w:rPr>
        <w:t xml:space="preserve"> of </w:t>
      </w:r>
      <w:r>
        <w:rPr>
          <w:kern w:val="0"/>
        </w:rPr>
        <w:t>CALD backgrounds through a systematic review</w:t>
      </w:r>
      <w:r w:rsidR="005853A9">
        <w:rPr>
          <w:kern w:val="0"/>
        </w:rPr>
        <w:t xml:space="preserve"> and </w:t>
      </w:r>
      <w:r>
        <w:rPr>
          <w:kern w:val="0"/>
        </w:rPr>
        <w:t>meta-analysis. METHODS: A search was performed using</w:t>
      </w:r>
      <w:r w:rsidR="003A1917">
        <w:rPr>
          <w:kern w:val="0"/>
        </w:rPr>
        <w:t xml:space="preserve"> the </w:t>
      </w:r>
      <w:r>
        <w:rPr>
          <w:kern w:val="0"/>
        </w:rPr>
        <w:t>following databases: Cochrane Database</w:t>
      </w:r>
      <w:r w:rsidR="00427468">
        <w:rPr>
          <w:kern w:val="0"/>
        </w:rPr>
        <w:t xml:space="preserve"> of </w:t>
      </w:r>
      <w:r>
        <w:rPr>
          <w:kern w:val="0"/>
        </w:rPr>
        <w:t xml:space="preserve">Systematic Reviews, Cumulative Index to Nursing &amp; Allied Health Literature, EMBASE, Journals@Ovid, PsychInfo, </w:t>
      </w:r>
      <w:r w:rsidR="002C12F0">
        <w:rPr>
          <w:kern w:val="0"/>
        </w:rPr>
        <w:t>PUBMED</w:t>
      </w:r>
      <w:r>
        <w:rPr>
          <w:kern w:val="0"/>
        </w:rPr>
        <w:t>, Science Direct,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Databases were searched from January 1978 to October 2009. RESULTS: Forty-six articles reviewed were assessed as being relevant, which included 36 randomized controlled trials, 2 observational cohort studies,</w:t>
      </w:r>
      <w:r w:rsidR="005853A9">
        <w:rPr>
          <w:kern w:val="0"/>
        </w:rPr>
        <w:t xml:space="preserve"> and </w:t>
      </w:r>
      <w:r>
        <w:rPr>
          <w:kern w:val="0"/>
        </w:rPr>
        <w:t>8 quasi-experimental studies</w:t>
      </w:r>
      <w:r w:rsidR="00A37C1D">
        <w:rPr>
          <w:kern w:val="0"/>
        </w:rPr>
        <w:t>. The</w:t>
      </w:r>
      <w:r w:rsidR="003A1917">
        <w:rPr>
          <w:kern w:val="0"/>
        </w:rPr>
        <w:t xml:space="preserve"> </w:t>
      </w:r>
      <w:r>
        <w:rPr>
          <w:kern w:val="0"/>
        </w:rPr>
        <w:t>most common method for assessing medication adherence was self-reporting measures, such as</w:t>
      </w:r>
      <w:r w:rsidR="003A1917">
        <w:rPr>
          <w:kern w:val="0"/>
        </w:rPr>
        <w:t xml:space="preserve"> the </w:t>
      </w:r>
      <w:r>
        <w:rPr>
          <w:kern w:val="0"/>
        </w:rPr>
        <w:t>Morisky Scale</w:t>
      </w:r>
      <w:r w:rsidR="005853A9">
        <w:rPr>
          <w:kern w:val="0"/>
        </w:rPr>
        <w:t xml:space="preserve"> and </w:t>
      </w:r>
      <w:r>
        <w:rPr>
          <w:kern w:val="0"/>
        </w:rPr>
        <w:t>its modifications. Few studies used combinations</w:t>
      </w:r>
      <w:r w:rsidR="00427468">
        <w:rPr>
          <w:kern w:val="0"/>
        </w:rPr>
        <w:t xml:space="preserve"> of </w:t>
      </w:r>
      <w:r>
        <w:rPr>
          <w:kern w:val="0"/>
        </w:rPr>
        <w:t>adherence measures,</w:t>
      </w:r>
      <w:r w:rsidR="005853A9">
        <w:rPr>
          <w:kern w:val="0"/>
        </w:rPr>
        <w:t xml:space="preserve"> and </w:t>
      </w:r>
      <w:r>
        <w:rPr>
          <w:kern w:val="0"/>
        </w:rPr>
        <w:t>adherence involving a medication event monitoring system (MEMS) was used in only 6 studies. Individuals</w:t>
      </w:r>
      <w:r w:rsidR="00427468">
        <w:rPr>
          <w:kern w:val="0"/>
        </w:rPr>
        <w:t xml:space="preserve"> of </w:t>
      </w:r>
      <w:r>
        <w:rPr>
          <w:kern w:val="0"/>
        </w:rPr>
        <w:t>CALD backgrounds were recruited with people</w:t>
      </w:r>
      <w:r w:rsidR="00427468">
        <w:rPr>
          <w:kern w:val="0"/>
        </w:rPr>
        <w:t xml:space="preserve"> of </w:t>
      </w:r>
      <w:r>
        <w:rPr>
          <w:kern w:val="0"/>
        </w:rPr>
        <w:t>non-CALD backgrounds</w:t>
      </w:r>
      <w:r w:rsidR="005853A9">
        <w:rPr>
          <w:kern w:val="0"/>
        </w:rPr>
        <w:t xml:space="preserve"> and </w:t>
      </w:r>
      <w:r>
        <w:rPr>
          <w:kern w:val="0"/>
        </w:rPr>
        <w:t>subsequent analyses tended to be undertaken</w:t>
      </w:r>
      <w:r w:rsidR="00427468">
        <w:rPr>
          <w:kern w:val="0"/>
        </w:rPr>
        <w:t xml:space="preserve"> of </w:t>
      </w:r>
      <w:r w:rsidR="003A1917">
        <w:rPr>
          <w:kern w:val="0"/>
        </w:rPr>
        <w:t xml:space="preserve">the </w:t>
      </w:r>
      <w:r>
        <w:rPr>
          <w:kern w:val="0"/>
        </w:rPr>
        <w:t>whole sample. Twenty studies showed statistically significant improvements in medication adherence, 15</w:t>
      </w:r>
      <w:r w:rsidR="00427468">
        <w:rPr>
          <w:kern w:val="0"/>
        </w:rPr>
        <w:t xml:space="preserve"> of </w:t>
      </w:r>
      <w:r>
        <w:rPr>
          <w:kern w:val="0"/>
        </w:rPr>
        <w:t>which were randomized controlled trials. Six</w:t>
      </w:r>
      <w:r w:rsidR="00427468">
        <w:rPr>
          <w:kern w:val="0"/>
        </w:rPr>
        <w:t xml:space="preserve"> of </w:t>
      </w:r>
      <w:r w:rsidR="003A1917">
        <w:rPr>
          <w:kern w:val="0"/>
        </w:rPr>
        <w:t xml:space="preserve">the </w:t>
      </w:r>
      <w:r>
        <w:rPr>
          <w:kern w:val="0"/>
        </w:rPr>
        <w:t>successful interventions involved delivery by a bilingual person or</w:t>
      </w:r>
      <w:r w:rsidR="003A1917">
        <w:rPr>
          <w:kern w:val="0"/>
        </w:rPr>
        <w:t xml:space="preserve"> the </w:t>
      </w:r>
      <w:r>
        <w:rPr>
          <w:kern w:val="0"/>
        </w:rPr>
        <w:t>use</w:t>
      </w:r>
      <w:r w:rsidR="00427468">
        <w:rPr>
          <w:kern w:val="0"/>
        </w:rPr>
        <w:t xml:space="preserve"> of </w:t>
      </w:r>
      <w:r>
        <w:rPr>
          <w:kern w:val="0"/>
        </w:rPr>
        <w:t>translated materials</w:t>
      </w:r>
      <w:r w:rsidR="005853A9">
        <w:rPr>
          <w:kern w:val="0"/>
        </w:rPr>
        <w:t xml:space="preserve"> and </w:t>
      </w:r>
      <w:r>
        <w:rPr>
          <w:kern w:val="0"/>
        </w:rPr>
        <w:t>4 involved</w:t>
      </w:r>
      <w:r w:rsidR="003A1917">
        <w:rPr>
          <w:kern w:val="0"/>
        </w:rPr>
        <w:t xml:space="preserve"> the </w:t>
      </w:r>
      <w:r>
        <w:rPr>
          <w:kern w:val="0"/>
        </w:rPr>
        <w:t>use</w:t>
      </w:r>
      <w:r w:rsidR="00427468">
        <w:rPr>
          <w:kern w:val="0"/>
        </w:rPr>
        <w:t xml:space="preserve"> of </w:t>
      </w:r>
      <w:r>
        <w:rPr>
          <w:kern w:val="0"/>
        </w:rPr>
        <w:t xml:space="preserve">a </w:t>
      </w:r>
      <w:r>
        <w:rPr>
          <w:kern w:val="0"/>
        </w:rPr>
        <w:lastRenderedPageBreak/>
        <w:t>conceptual model. Meta-analyses demonstrated modest improvements in medication adherence. CONCLUSIONS: Relatively little high-quality work has been conducted on adherence-enhancing interventions for people</w:t>
      </w:r>
      <w:r w:rsidR="00427468">
        <w:rPr>
          <w:kern w:val="0"/>
        </w:rPr>
        <w:t xml:space="preserve"> of </w:t>
      </w:r>
      <w:r>
        <w:rPr>
          <w:kern w:val="0"/>
        </w:rPr>
        <w:t>CALD backgrounds. Greater attention needs to be given to examining</w:t>
      </w:r>
      <w:r w:rsidR="003A1917">
        <w:rPr>
          <w:kern w:val="0"/>
        </w:rPr>
        <w:t xml:space="preserve"> the </w:t>
      </w:r>
      <w:r>
        <w:rPr>
          <w:kern w:val="0"/>
        </w:rPr>
        <w:t>needs</w:t>
      </w:r>
      <w:r w:rsidR="00427468">
        <w:rPr>
          <w:kern w:val="0"/>
        </w:rPr>
        <w:t xml:space="preserve"> of </w:t>
      </w:r>
      <w:r>
        <w:rPr>
          <w:kern w:val="0"/>
        </w:rPr>
        <w:t>specific CALD population groups. Future researchers should consider rigorously testing interventions that take into account</w:t>
      </w:r>
      <w:r w:rsidR="003A1917">
        <w:rPr>
          <w:kern w:val="0"/>
        </w:rPr>
        <w:t xml:space="preserve"> the </w:t>
      </w:r>
      <w:r>
        <w:rPr>
          <w:kern w:val="0"/>
        </w:rPr>
        <w:t>enormous diversity</w:t>
      </w:r>
      <w:r w:rsidR="005853A9">
        <w:rPr>
          <w:kern w:val="0"/>
        </w:rPr>
        <w:t xml:space="preserve"> and </w:t>
      </w:r>
      <w:r>
        <w:rPr>
          <w:kern w:val="0"/>
        </w:rPr>
        <w:t>differences that exist within any particular CALD group.</w:t>
      </w:r>
    </w:p>
    <w:p w:rsidR="008C1C37" w:rsidRDefault="008C1C37" w:rsidP="008C1C37">
      <w:pPr>
        <w:pStyle w:val="a3"/>
        <w:rPr>
          <w:kern w:val="0"/>
        </w:rPr>
      </w:pPr>
      <w:r>
        <w:rPr>
          <w:kern w:val="0"/>
        </w:rPr>
        <w:t>Keywords: Adherence, African-American, Antiretroviral Therapy, Attention, Automated Calls, Blood-Pressure Control, Cochrane, Cohort Studies, Culturally</w:t>
      </w:r>
      <w:r w:rsidR="005853A9">
        <w:rPr>
          <w:kern w:val="0"/>
        </w:rPr>
        <w:t xml:space="preserve"> and </w:t>
      </w:r>
      <w:r>
        <w:rPr>
          <w:kern w:val="0"/>
        </w:rPr>
        <w:t xml:space="preserve">Linguistically Diverse Background, Databases, EMBASE, Family Intervention, Health, Health Care, Health Disparities, Impact, Improve Adherence, Intervention, Interventions, Medication, Medication Adherence, Meta-Analysis, Model, Monitoring, Nurse Follow-up, Nursing, </w:t>
      </w:r>
      <w:r w:rsidR="002C12F0">
        <w:rPr>
          <w:kern w:val="0"/>
        </w:rPr>
        <w:t>PUBMED</w:t>
      </w:r>
      <w:r>
        <w:rPr>
          <w:kern w:val="0"/>
        </w:rPr>
        <w:t xml:space="preserve">, Randomized Controlled Trials, Randomized Controlled-Trial, Researchers, Review, Risk Reduction, Scale, Science, Scopus, Social, Systematic, Systematic Review,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Brunetti, L.</w:t>
      </w:r>
      <w:r w:rsidR="005853A9">
        <w:rPr>
          <w:kern w:val="0"/>
        </w:rPr>
        <w:t xml:space="preserve"> and </w:t>
      </w:r>
      <w:r>
        <w:rPr>
          <w:kern w:val="0"/>
        </w:rPr>
        <w:t>Hermes-DeSantis, E.R. (2010</w:t>
      </w:r>
      <w:r w:rsidR="00F42EAC">
        <w:rPr>
          <w:kern w:val="0"/>
        </w:rPr>
        <w:t>), The</w:t>
      </w:r>
      <w:r w:rsidR="003A1917">
        <w:rPr>
          <w:kern w:val="0"/>
        </w:rPr>
        <w:t xml:space="preserve"> </w:t>
      </w:r>
      <w:r>
        <w:rPr>
          <w:kern w:val="0"/>
        </w:rPr>
        <w:t>role</w:t>
      </w:r>
      <w:r w:rsidR="00427468">
        <w:rPr>
          <w:kern w:val="0"/>
        </w:rPr>
        <w:t xml:space="preserve"> of </w:t>
      </w:r>
      <w:r>
        <w:rPr>
          <w:kern w:val="0"/>
        </w:rPr>
        <w:t>colesevelam hydrochloride in hypercholesterolemia</w:t>
      </w:r>
      <w:r w:rsidR="005853A9">
        <w:rPr>
          <w:kern w:val="0"/>
        </w:rPr>
        <w:t xml:space="preserve"> and </w:t>
      </w:r>
      <w:r>
        <w:rPr>
          <w:kern w:val="0"/>
        </w:rPr>
        <w:t xml:space="preserve">type 2 diabetes mellitus. </w:t>
      </w:r>
      <w:r>
        <w:rPr>
          <w:i/>
          <w:iCs/>
          <w:kern w:val="0"/>
        </w:rPr>
        <w:t>Annals</w:t>
      </w:r>
      <w:r w:rsidR="00427468">
        <w:rPr>
          <w:i/>
          <w:iCs/>
          <w:kern w:val="0"/>
        </w:rPr>
        <w:t xml:space="preserve"> of </w:t>
      </w:r>
      <w:r>
        <w:rPr>
          <w:i/>
          <w:iCs/>
          <w:kern w:val="0"/>
        </w:rPr>
        <w:t>Pharmacotherapy</w:t>
      </w:r>
      <w:r>
        <w:rPr>
          <w:kern w:val="0"/>
        </w:rPr>
        <w:t xml:space="preserve">, </w:t>
      </w:r>
      <w:r>
        <w:rPr>
          <w:b/>
          <w:bCs/>
          <w:kern w:val="0"/>
        </w:rPr>
        <w:t>44</w:t>
      </w:r>
      <w:r>
        <w:rPr>
          <w:kern w:val="0"/>
        </w:rPr>
        <w:t xml:space="preserve"> (7-8), 1196-1206.</w:t>
      </w:r>
    </w:p>
    <w:p w:rsidR="008C1C37" w:rsidRDefault="008C1C37" w:rsidP="008C1C37">
      <w:pPr>
        <w:pStyle w:val="a3"/>
        <w:rPr>
          <w:kern w:val="0"/>
        </w:rPr>
      </w:pPr>
      <w:r>
        <w:rPr>
          <w:kern w:val="0"/>
        </w:rPr>
        <w:t>Abstract: OBJECTIVE: To evaluate</w:t>
      </w:r>
      <w:r w:rsidR="003A1917">
        <w:rPr>
          <w:kern w:val="0"/>
        </w:rPr>
        <w:t xml:space="preserve"> the </w:t>
      </w:r>
      <w:r>
        <w:rPr>
          <w:kern w:val="0"/>
        </w:rPr>
        <w:t>safety</w:t>
      </w:r>
      <w:r w:rsidR="005853A9">
        <w:rPr>
          <w:kern w:val="0"/>
        </w:rPr>
        <w:t xml:space="preserve"> and </w:t>
      </w:r>
      <w:r>
        <w:rPr>
          <w:kern w:val="0"/>
        </w:rPr>
        <w:t>efficacy</w:t>
      </w:r>
      <w:r w:rsidR="00427468">
        <w:rPr>
          <w:kern w:val="0"/>
        </w:rPr>
        <w:t xml:space="preserve"> of </w:t>
      </w:r>
      <w:r>
        <w:rPr>
          <w:kern w:val="0"/>
        </w:rPr>
        <w:t>colesevelam hydrochloride for</w:t>
      </w:r>
      <w:r w:rsidR="003A1917">
        <w:rPr>
          <w:kern w:val="0"/>
        </w:rPr>
        <w:t xml:space="preserve"> the </w:t>
      </w:r>
      <w:r>
        <w:rPr>
          <w:kern w:val="0"/>
        </w:rPr>
        <w:t>treatment</w:t>
      </w:r>
      <w:r w:rsidR="00427468">
        <w:rPr>
          <w:kern w:val="0"/>
        </w:rPr>
        <w:t xml:space="preserve"> of </w:t>
      </w:r>
      <w:r>
        <w:rPr>
          <w:kern w:val="0"/>
        </w:rPr>
        <w:t>hypercholesterolemia</w:t>
      </w:r>
      <w:r w:rsidR="005853A9">
        <w:rPr>
          <w:kern w:val="0"/>
        </w:rPr>
        <w:t xml:space="preserve"> and </w:t>
      </w:r>
      <w:r>
        <w:rPr>
          <w:kern w:val="0"/>
        </w:rPr>
        <w:t xml:space="preserve">type 2 diabetes mellitus. DATA SOURCES: Literature retrieval was accessed through </w:t>
      </w:r>
      <w:r w:rsidR="00D5664A">
        <w:rPr>
          <w:kern w:val="0"/>
        </w:rPr>
        <w:t>MEDLINE</w:t>
      </w:r>
      <w:r>
        <w:rPr>
          <w:kern w:val="0"/>
        </w:rPr>
        <w:t>/</w:t>
      </w:r>
      <w:r w:rsidR="002C12F0">
        <w:rPr>
          <w:kern w:val="0"/>
        </w:rPr>
        <w:t>PUBMED</w:t>
      </w:r>
      <w:r>
        <w:rPr>
          <w:kern w:val="0"/>
        </w:rPr>
        <w:t xml:space="preserve"> (1950 March 2010), </w:t>
      </w:r>
      <w:r w:rsidR="00D5664A">
        <w:rPr>
          <w:kern w:val="0"/>
        </w:rPr>
        <w:t>Web</w:t>
      </w:r>
      <w:r w:rsidR="00427468">
        <w:rPr>
          <w:kern w:val="0"/>
        </w:rPr>
        <w:t xml:space="preserve"> of </w:t>
      </w:r>
      <w:r w:rsidR="00D5664A">
        <w:rPr>
          <w:kern w:val="0"/>
        </w:rPr>
        <w:t>Science</w:t>
      </w:r>
      <w:r>
        <w:rPr>
          <w:kern w:val="0"/>
        </w:rPr>
        <w:t xml:space="preserve"> (1980-March 2010),</w:t>
      </w:r>
      <w:r w:rsidR="005853A9">
        <w:rPr>
          <w:kern w:val="0"/>
        </w:rPr>
        <w:t xml:space="preserve"> and </w:t>
      </w:r>
      <w:r>
        <w:rPr>
          <w:kern w:val="0"/>
        </w:rPr>
        <w:t>International Pharmaceutical Abstracts (1977 March 2010) using</w:t>
      </w:r>
      <w:r w:rsidR="003A1917">
        <w:rPr>
          <w:kern w:val="0"/>
        </w:rPr>
        <w:t xml:space="preserve"> the </w:t>
      </w:r>
      <w:r>
        <w:rPr>
          <w:kern w:val="0"/>
        </w:rPr>
        <w:t>terms colesevelam, dyslipidemia, hypercholesterolemia,</w:t>
      </w:r>
      <w:r w:rsidR="005853A9">
        <w:rPr>
          <w:kern w:val="0"/>
        </w:rPr>
        <w:t xml:space="preserve"> and </w:t>
      </w:r>
      <w:r>
        <w:rPr>
          <w:kern w:val="0"/>
        </w:rPr>
        <w:t>type 2 diabetes mellitus. References from publications identified were reviewed for additional resources. In addition, abstracts presented at</w:t>
      </w:r>
      <w:r w:rsidR="003A1917">
        <w:rPr>
          <w:kern w:val="0"/>
        </w:rPr>
        <w:t xml:space="preserve"> the </w:t>
      </w:r>
      <w:r>
        <w:rPr>
          <w:kern w:val="0"/>
        </w:rPr>
        <w:t>most recent (2009) American Diabetes Association, American Association</w:t>
      </w:r>
      <w:r w:rsidR="00427468">
        <w:rPr>
          <w:kern w:val="0"/>
        </w:rPr>
        <w:t xml:space="preserve"> of </w:t>
      </w:r>
      <w:r>
        <w:rPr>
          <w:kern w:val="0"/>
        </w:rPr>
        <w:t>Clinical Endocrinologists,</w:t>
      </w:r>
      <w:r w:rsidR="005853A9">
        <w:rPr>
          <w:kern w:val="0"/>
        </w:rPr>
        <w:t xml:space="preserve"> and </w:t>
      </w:r>
      <w:r>
        <w:rPr>
          <w:kern w:val="0"/>
        </w:rPr>
        <w:t>European Association for</w:t>
      </w:r>
      <w:r w:rsidR="003A1917">
        <w:rPr>
          <w:kern w:val="0"/>
        </w:rPr>
        <w:t xml:space="preserve"> the </w:t>
      </w:r>
      <w:r>
        <w:rPr>
          <w:kern w:val="0"/>
        </w:rPr>
        <w:t>Study</w:t>
      </w:r>
      <w:r w:rsidR="00427468">
        <w:rPr>
          <w:kern w:val="0"/>
        </w:rPr>
        <w:t xml:space="preserve"> of </w:t>
      </w:r>
      <w:r>
        <w:rPr>
          <w:kern w:val="0"/>
        </w:rPr>
        <w:t>Diabetes annual meetings were searched for relevant original research. STUDY SELECTION</w:t>
      </w:r>
      <w:r w:rsidR="005853A9">
        <w:rPr>
          <w:kern w:val="0"/>
        </w:rPr>
        <w:t xml:space="preserve"> and </w:t>
      </w:r>
      <w:r>
        <w:rPr>
          <w:kern w:val="0"/>
        </w:rPr>
        <w:t>DATA EXTRACTION: All articles in English identified from</w:t>
      </w:r>
      <w:r w:rsidR="003A1917">
        <w:rPr>
          <w:kern w:val="0"/>
        </w:rPr>
        <w:t xml:space="preserve"> the </w:t>
      </w:r>
      <w:r>
        <w:rPr>
          <w:kern w:val="0"/>
        </w:rPr>
        <w:t>data sources were evaluated. All relevant studies evaluating</w:t>
      </w:r>
      <w:r w:rsidR="003A1917">
        <w:rPr>
          <w:kern w:val="0"/>
        </w:rPr>
        <w:t xml:space="preserve"> the </w:t>
      </w:r>
      <w:r>
        <w:rPr>
          <w:kern w:val="0"/>
        </w:rPr>
        <w:t>safety</w:t>
      </w:r>
      <w:r w:rsidR="005853A9">
        <w:rPr>
          <w:kern w:val="0"/>
        </w:rPr>
        <w:t xml:space="preserve"> and </w:t>
      </w:r>
      <w:r>
        <w:rPr>
          <w:kern w:val="0"/>
        </w:rPr>
        <w:t>efficacy</w:t>
      </w:r>
      <w:r w:rsidR="00427468">
        <w:rPr>
          <w:kern w:val="0"/>
        </w:rPr>
        <w:t xml:space="preserve"> of </w:t>
      </w:r>
      <w:r>
        <w:rPr>
          <w:kern w:val="0"/>
        </w:rPr>
        <w:t>colesevelam in hypercholesterolemia and/or type 2 diabetes mellitus were included. Priority was placed on data obtained from human randomized controlled trials. DATA SYNTHESIS: Seventeen clinical trials were reviewed</w:t>
      </w:r>
      <w:r w:rsidR="005853A9">
        <w:rPr>
          <w:kern w:val="0"/>
        </w:rPr>
        <w:t xml:space="preserve"> and </w:t>
      </w:r>
      <w:r>
        <w:rPr>
          <w:kern w:val="0"/>
        </w:rPr>
        <w:t>evaluated.</w:t>
      </w:r>
      <w:r w:rsidR="00427468">
        <w:rPr>
          <w:kern w:val="0"/>
        </w:rPr>
        <w:t xml:space="preserve"> of </w:t>
      </w:r>
      <w:r w:rsidR="003A1917">
        <w:rPr>
          <w:kern w:val="0"/>
        </w:rPr>
        <w:t xml:space="preserve">the </w:t>
      </w:r>
      <w:r>
        <w:rPr>
          <w:kern w:val="0"/>
        </w:rPr>
        <w:t>clinical trials evaluating colesevelam in hypercholesterolemia, 3 evaluated monotherapy, 4 evaluated combination therapy with hydroxymethylglutaryl coenzyme A (HMG-CoA) reductase inhibitors,</w:t>
      </w:r>
      <w:r w:rsidR="005853A9">
        <w:rPr>
          <w:kern w:val="0"/>
        </w:rPr>
        <w:t xml:space="preserve"> and </w:t>
      </w:r>
      <w:r>
        <w:rPr>
          <w:kern w:val="0"/>
        </w:rPr>
        <w:t>6 evaluated combination therapy with other lipid-lowering therapies. In</w:t>
      </w:r>
      <w:r w:rsidR="003A1917">
        <w:rPr>
          <w:kern w:val="0"/>
        </w:rPr>
        <w:t xml:space="preserve"> the </w:t>
      </w:r>
      <w:r>
        <w:rPr>
          <w:kern w:val="0"/>
        </w:rPr>
        <w:t>type 2 diabetes mellitus trials, colesevelam was evaluated in combination with metformin, sulfonylureas, insulin,</w:t>
      </w:r>
      <w:r w:rsidR="005853A9">
        <w:rPr>
          <w:kern w:val="0"/>
        </w:rPr>
        <w:t xml:space="preserve"> and </w:t>
      </w:r>
      <w:r>
        <w:rPr>
          <w:kern w:val="0"/>
        </w:rPr>
        <w:t>rosiglitazone</w:t>
      </w:r>
      <w:r w:rsidR="005853A9">
        <w:rPr>
          <w:kern w:val="0"/>
        </w:rPr>
        <w:t xml:space="preserve"> and </w:t>
      </w:r>
      <w:r>
        <w:rPr>
          <w:kern w:val="0"/>
        </w:rPr>
        <w:t>sitagliptin. A review</w:t>
      </w:r>
      <w:r w:rsidR="00427468">
        <w:rPr>
          <w:kern w:val="0"/>
        </w:rPr>
        <w:t xml:space="preserve"> of </w:t>
      </w:r>
      <w:r w:rsidR="003A1917">
        <w:rPr>
          <w:kern w:val="0"/>
        </w:rPr>
        <w:t xml:space="preserve">the </w:t>
      </w:r>
      <w:r>
        <w:rPr>
          <w:kern w:val="0"/>
        </w:rPr>
        <w:t xml:space="preserve">clinical trials provided evidence that </w:t>
      </w:r>
      <w:r>
        <w:rPr>
          <w:kern w:val="0"/>
        </w:rPr>
        <w:lastRenderedPageBreak/>
        <w:t>colesevelam monotherapy effectively reduces low-density lipoprotein cholesterol (LDL-C). Additionally,</w:t>
      </w:r>
      <w:r w:rsidR="003A1917">
        <w:rPr>
          <w:kern w:val="0"/>
        </w:rPr>
        <w:t xml:space="preserve"> the </w:t>
      </w:r>
      <w:r>
        <w:rPr>
          <w:kern w:val="0"/>
        </w:rPr>
        <w:t>use</w:t>
      </w:r>
      <w:r w:rsidR="00427468">
        <w:rPr>
          <w:kern w:val="0"/>
        </w:rPr>
        <w:t xml:space="preserve"> of </w:t>
      </w:r>
      <w:r>
        <w:rPr>
          <w:kern w:val="0"/>
        </w:rPr>
        <w:t>colesevelam in combination with other lipid-lowering therapies further reduces LDL-C. Colesevelam also effectively reduces hemoglobin A(1c) in patients with type 2 diabetes mellitus</w:t>
      </w:r>
      <w:r w:rsidR="00A37C1D">
        <w:rPr>
          <w:kern w:val="0"/>
        </w:rPr>
        <w:t>. The</w:t>
      </w:r>
      <w:r w:rsidR="003A1917">
        <w:rPr>
          <w:kern w:val="0"/>
        </w:rPr>
        <w:t xml:space="preserve"> </w:t>
      </w:r>
      <w:r>
        <w:rPr>
          <w:kern w:val="0"/>
        </w:rPr>
        <w:t>safety</w:t>
      </w:r>
      <w:r w:rsidR="005853A9">
        <w:rPr>
          <w:kern w:val="0"/>
        </w:rPr>
        <w:t xml:space="preserve"> and </w:t>
      </w:r>
      <w:r>
        <w:rPr>
          <w:kern w:val="0"/>
        </w:rPr>
        <w:t>tolerability</w:t>
      </w:r>
      <w:r w:rsidR="00427468">
        <w:rPr>
          <w:kern w:val="0"/>
        </w:rPr>
        <w:t xml:space="preserve"> of </w:t>
      </w:r>
      <w:r>
        <w:rPr>
          <w:kern w:val="0"/>
        </w:rPr>
        <w:t>colesevelam appear to be improved from that</w:t>
      </w:r>
      <w:r w:rsidR="00427468">
        <w:rPr>
          <w:kern w:val="0"/>
        </w:rPr>
        <w:t xml:space="preserve"> of </w:t>
      </w:r>
      <w:r>
        <w:rPr>
          <w:kern w:val="0"/>
        </w:rPr>
        <w:t>older-generation bile acid sequestrants, with adverse effects similar to those with placebo in monotherapy</w:t>
      </w:r>
      <w:r w:rsidR="005853A9">
        <w:rPr>
          <w:kern w:val="0"/>
        </w:rPr>
        <w:t xml:space="preserve"> and </w:t>
      </w:r>
      <w:r>
        <w:rPr>
          <w:kern w:val="0"/>
        </w:rPr>
        <w:t>type 2 diabetes mellitus trials. CONCLUSIONS: Colesevelam is a safe</w:t>
      </w:r>
      <w:r w:rsidR="005853A9">
        <w:rPr>
          <w:kern w:val="0"/>
        </w:rPr>
        <w:t xml:space="preserve"> and </w:t>
      </w:r>
      <w:r>
        <w:rPr>
          <w:kern w:val="0"/>
        </w:rPr>
        <w:t>effective option for</w:t>
      </w:r>
      <w:r w:rsidR="003A1917">
        <w:rPr>
          <w:kern w:val="0"/>
        </w:rPr>
        <w:t xml:space="preserve"> the </w:t>
      </w:r>
      <w:r>
        <w:rPr>
          <w:kern w:val="0"/>
        </w:rPr>
        <w:t>treatment</w:t>
      </w:r>
      <w:r w:rsidR="00427468">
        <w:rPr>
          <w:kern w:val="0"/>
        </w:rPr>
        <w:t xml:space="preserve"> of </w:t>
      </w:r>
      <w:r>
        <w:rPr>
          <w:kern w:val="0"/>
        </w:rPr>
        <w:t>hypercholesterolemia</w:t>
      </w:r>
      <w:r w:rsidR="005853A9">
        <w:rPr>
          <w:kern w:val="0"/>
        </w:rPr>
        <w:t xml:space="preserve"> and </w:t>
      </w:r>
      <w:r>
        <w:rPr>
          <w:kern w:val="0"/>
        </w:rPr>
        <w:t>type 2 diabetes mellitus. It can fulfill a useful role in combination with HMG-CoA reductase inhibitors for hypercholesterolemia</w:t>
      </w:r>
      <w:r w:rsidR="005853A9">
        <w:rPr>
          <w:kern w:val="0"/>
        </w:rPr>
        <w:t xml:space="preserve"> and </w:t>
      </w:r>
      <w:r>
        <w:rPr>
          <w:kern w:val="0"/>
        </w:rPr>
        <w:t>should be considered in patients with type 2 diabetes mellitus with concomitant hypercholesterolemia.</w:t>
      </w:r>
    </w:p>
    <w:p w:rsidR="008C1C37" w:rsidRDefault="008C1C37" w:rsidP="008C1C37">
      <w:pPr>
        <w:pStyle w:val="a3"/>
        <w:rPr>
          <w:kern w:val="0"/>
        </w:rPr>
      </w:pPr>
      <w:r>
        <w:rPr>
          <w:kern w:val="0"/>
        </w:rPr>
        <w:t xml:space="preserve">Keywords: Adverse Effects, Bile Acid Sequestrant, Bile-Acid Sequestrant, C-Reactive Protein, Clinical Trials, Colesevelam, Combination Therapy, Density-Lipoprotein Cholesterol, Diabetes, Diabetes Mellitus, Drug-Interactions, Dyslipidemia, Efficacy, Extended-Release Niacin, Extraction, Glucose Control, Glycemic Control, Hmg-Coa Reductase Inhibitors, Human, Hypercholesterolemia, Insulin, Lowers Ldl Cholesterol, Metformin, Monotherapy, Plasma-Glucose, Publications, Randomized Controlled Trials, References, Research, Review, Safety, Science, Selection, Statin Therapy, Therapy, Treatment, Type 2, Type 2 Diabetes, Type 2 Diabetes Mellitus,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Kirk, J.K.</w:t>
      </w:r>
      <w:r w:rsidR="005853A9">
        <w:rPr>
          <w:kern w:val="0"/>
        </w:rPr>
        <w:t xml:space="preserve"> and </w:t>
      </w:r>
      <w:r>
        <w:rPr>
          <w:kern w:val="0"/>
        </w:rPr>
        <w:t>Oldham, E.C. (2010), Hyperglycemia management using insulin in</w:t>
      </w:r>
      <w:r w:rsidR="003A1917">
        <w:rPr>
          <w:kern w:val="0"/>
        </w:rPr>
        <w:t xml:space="preserve"> the </w:t>
      </w:r>
      <w:r>
        <w:rPr>
          <w:kern w:val="0"/>
        </w:rPr>
        <w:t>acute care setting: therapies</w:t>
      </w:r>
      <w:r w:rsidR="005853A9">
        <w:rPr>
          <w:kern w:val="0"/>
        </w:rPr>
        <w:t xml:space="preserve"> and </w:t>
      </w:r>
      <w:r>
        <w:rPr>
          <w:kern w:val="0"/>
        </w:rPr>
        <w:t>strategies for care in</w:t>
      </w:r>
      <w:r w:rsidR="003A1917">
        <w:rPr>
          <w:kern w:val="0"/>
        </w:rPr>
        <w:t xml:space="preserve"> the </w:t>
      </w:r>
      <w:r>
        <w:rPr>
          <w:kern w:val="0"/>
        </w:rPr>
        <w:t xml:space="preserve">non-critically III patient. </w:t>
      </w:r>
      <w:r>
        <w:rPr>
          <w:i/>
          <w:iCs/>
          <w:kern w:val="0"/>
        </w:rPr>
        <w:t>Annals</w:t>
      </w:r>
      <w:r w:rsidR="00427468">
        <w:rPr>
          <w:i/>
          <w:iCs/>
          <w:kern w:val="0"/>
        </w:rPr>
        <w:t xml:space="preserve"> of </w:t>
      </w:r>
      <w:r>
        <w:rPr>
          <w:i/>
          <w:iCs/>
          <w:kern w:val="0"/>
        </w:rPr>
        <w:t>Pharmacotherapy</w:t>
      </w:r>
      <w:r>
        <w:rPr>
          <w:kern w:val="0"/>
        </w:rPr>
        <w:t xml:space="preserve">, </w:t>
      </w:r>
      <w:r>
        <w:rPr>
          <w:b/>
          <w:bCs/>
          <w:kern w:val="0"/>
        </w:rPr>
        <w:t>44</w:t>
      </w:r>
      <w:r>
        <w:rPr>
          <w:kern w:val="0"/>
        </w:rPr>
        <w:t xml:space="preserve"> (7-8), 1222-1230.</w:t>
      </w:r>
    </w:p>
    <w:p w:rsidR="008C1C37" w:rsidRDefault="008C1C37" w:rsidP="008C1C37">
      <w:pPr>
        <w:pStyle w:val="a3"/>
        <w:rPr>
          <w:kern w:val="0"/>
        </w:rPr>
      </w:pPr>
      <w:r>
        <w:rPr>
          <w:kern w:val="0"/>
        </w:rPr>
        <w:t>Abstract: BACKGROUND: Hyperglycemia is prevalent in hospitalized non-critically ill patients</w:t>
      </w:r>
      <w:r w:rsidR="005853A9">
        <w:rPr>
          <w:kern w:val="0"/>
        </w:rPr>
        <w:t xml:space="preserve"> and </w:t>
      </w:r>
      <w:r>
        <w:rPr>
          <w:kern w:val="0"/>
        </w:rPr>
        <w:t>is associated with higher morbidity</w:t>
      </w:r>
      <w:r w:rsidR="005853A9">
        <w:rPr>
          <w:kern w:val="0"/>
        </w:rPr>
        <w:t xml:space="preserve"> and </w:t>
      </w:r>
      <w:r>
        <w:rPr>
          <w:kern w:val="0"/>
        </w:rPr>
        <w:t>mortality. Poor glycemic control is related to elevated costs due to longer hospital stays</w:t>
      </w:r>
      <w:r w:rsidR="005853A9">
        <w:rPr>
          <w:kern w:val="0"/>
        </w:rPr>
        <w:t xml:space="preserve"> and </w:t>
      </w:r>
      <w:r>
        <w:rPr>
          <w:kern w:val="0"/>
        </w:rPr>
        <w:t>higher rates</w:t>
      </w:r>
      <w:r w:rsidR="00427468">
        <w:rPr>
          <w:kern w:val="0"/>
        </w:rPr>
        <w:t xml:space="preserve"> of </w:t>
      </w:r>
      <w:r>
        <w:rPr>
          <w:kern w:val="0"/>
        </w:rPr>
        <w:t>complications. OBJECTIVE: To review current literature evaluating treatment strategies for management</w:t>
      </w:r>
      <w:r w:rsidR="00427468">
        <w:rPr>
          <w:kern w:val="0"/>
        </w:rPr>
        <w:t xml:space="preserve"> of </w:t>
      </w:r>
      <w:r>
        <w:rPr>
          <w:kern w:val="0"/>
        </w:rPr>
        <w:t>hyperglycemia in</w:t>
      </w:r>
      <w:r w:rsidR="003A1917">
        <w:rPr>
          <w:kern w:val="0"/>
        </w:rPr>
        <w:t xml:space="preserve"> the </w:t>
      </w:r>
      <w:r>
        <w:rPr>
          <w:kern w:val="0"/>
        </w:rPr>
        <w:t>non-critically ill hospitalized patient</w:t>
      </w:r>
      <w:r w:rsidR="005853A9">
        <w:rPr>
          <w:kern w:val="0"/>
        </w:rPr>
        <w:t xml:space="preserve"> and </w:t>
      </w:r>
      <w:r>
        <w:rPr>
          <w:kern w:val="0"/>
        </w:rPr>
        <w:t>to discuss</w:t>
      </w:r>
      <w:r w:rsidR="003A1917">
        <w:rPr>
          <w:kern w:val="0"/>
        </w:rPr>
        <w:t xml:space="preserve"> the </w:t>
      </w:r>
      <w:r>
        <w:rPr>
          <w:kern w:val="0"/>
        </w:rPr>
        <w:t>role</w:t>
      </w:r>
      <w:r w:rsidR="00427468">
        <w:rPr>
          <w:kern w:val="0"/>
        </w:rPr>
        <w:t xml:space="preserve"> of </w:t>
      </w:r>
      <w:r>
        <w:rPr>
          <w:kern w:val="0"/>
        </w:rPr>
        <w:t xml:space="preserve">pharmacists in glycemia management. DATA SOURCES: A literature review (January 2000 January 2010) was conducted via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 Cumulative Index to Nursing</w:t>
      </w:r>
      <w:r w:rsidR="005853A9">
        <w:rPr>
          <w:kern w:val="0"/>
        </w:rPr>
        <w:t xml:space="preserve"> and </w:t>
      </w:r>
      <w:r>
        <w:rPr>
          <w:kern w:val="0"/>
        </w:rPr>
        <w:t>Allied Health,</w:t>
      </w:r>
      <w:r w:rsidR="003A1917">
        <w:rPr>
          <w:kern w:val="0"/>
        </w:rPr>
        <w:t xml:space="preserve"> the </w:t>
      </w:r>
      <w:r>
        <w:rPr>
          <w:kern w:val="0"/>
        </w:rPr>
        <w:t>Cochrane Library, Combined Health Information Database,</w:t>
      </w:r>
      <w:r w:rsidR="005853A9">
        <w:rPr>
          <w:kern w:val="0"/>
        </w:rPr>
        <w:t xml:space="preserve"> and </w:t>
      </w:r>
      <w:r>
        <w:rPr>
          <w:kern w:val="0"/>
        </w:rPr>
        <w:t>Education Resources Information Center. MeSH terms for diabetes were used along with stress hyperglycemia, insulin therapy,</w:t>
      </w:r>
      <w:r w:rsidR="005853A9">
        <w:rPr>
          <w:kern w:val="0"/>
        </w:rPr>
        <w:t xml:space="preserve"> and </w:t>
      </w:r>
      <w:r>
        <w:rPr>
          <w:kern w:val="0"/>
        </w:rPr>
        <w:t>insulin analogs in combination with non-critically ill, hospitalized, acute care, or inpatient. STUDY SELECTION</w:t>
      </w:r>
      <w:r w:rsidR="005853A9">
        <w:rPr>
          <w:kern w:val="0"/>
        </w:rPr>
        <w:t xml:space="preserve"> and </w:t>
      </w:r>
      <w:r>
        <w:rPr>
          <w:kern w:val="0"/>
        </w:rPr>
        <w:t>DATA EXTRACTION: All articles identified from</w:t>
      </w:r>
      <w:r w:rsidR="003A1917">
        <w:rPr>
          <w:kern w:val="0"/>
        </w:rPr>
        <w:t xml:space="preserve"> the </w:t>
      </w:r>
      <w:r>
        <w:rPr>
          <w:kern w:val="0"/>
        </w:rPr>
        <w:t>data sources were reviewed for inclusion. Clinical trial reports, practice guidelines,</w:t>
      </w:r>
      <w:r w:rsidR="005853A9">
        <w:rPr>
          <w:kern w:val="0"/>
        </w:rPr>
        <w:t xml:space="preserve"> and </w:t>
      </w:r>
      <w:r>
        <w:rPr>
          <w:kern w:val="0"/>
        </w:rPr>
        <w:t>reviews involving insulin therapies and/or quality improvement initiatives for hyperglycemia in</w:t>
      </w:r>
      <w:r w:rsidR="003A1917">
        <w:rPr>
          <w:kern w:val="0"/>
        </w:rPr>
        <w:t xml:space="preserve"> the </w:t>
      </w:r>
      <w:r>
        <w:rPr>
          <w:kern w:val="0"/>
        </w:rPr>
        <w:t>acute care setting were evaluated. A total</w:t>
      </w:r>
      <w:r w:rsidR="00427468">
        <w:rPr>
          <w:kern w:val="0"/>
        </w:rPr>
        <w:t xml:space="preserve"> of </w:t>
      </w:r>
      <w:r>
        <w:rPr>
          <w:kern w:val="0"/>
        </w:rPr>
        <w:t>133 citations were reviewed</w:t>
      </w:r>
      <w:r w:rsidR="005853A9">
        <w:rPr>
          <w:kern w:val="0"/>
        </w:rPr>
        <w:t xml:space="preserve"> and </w:t>
      </w:r>
      <w:r>
        <w:rPr>
          <w:kern w:val="0"/>
        </w:rPr>
        <w:t xml:space="preserve">an additional 11 </w:t>
      </w:r>
      <w:r>
        <w:rPr>
          <w:kern w:val="0"/>
        </w:rPr>
        <w:lastRenderedPageBreak/>
        <w:t>citations were identified from reference lists. DATA SYNTHESIS:</w:t>
      </w:r>
      <w:r w:rsidR="003A1917">
        <w:rPr>
          <w:kern w:val="0"/>
        </w:rPr>
        <w:t xml:space="preserve"> the </w:t>
      </w:r>
      <w:r>
        <w:rPr>
          <w:kern w:val="0"/>
        </w:rPr>
        <w:t>association between hyperglycemia</w:t>
      </w:r>
      <w:r w:rsidR="005853A9">
        <w:rPr>
          <w:kern w:val="0"/>
        </w:rPr>
        <w:t xml:space="preserve"> and </w:t>
      </w:r>
      <w:r>
        <w:rPr>
          <w:kern w:val="0"/>
        </w:rPr>
        <w:t>increased mortality is recognized in</w:t>
      </w:r>
      <w:r w:rsidR="003A1917">
        <w:rPr>
          <w:kern w:val="0"/>
        </w:rPr>
        <w:t xml:space="preserve"> the </w:t>
      </w:r>
      <w:r>
        <w:rPr>
          <w:kern w:val="0"/>
        </w:rPr>
        <w:t>acute care setting among critically ill patients; however, data to support glycemia management in non-critically ill patients continue to be established. National consensus guidelines support strategies for glycemia control that focus on insulin therapy</w:t>
      </w:r>
      <w:r w:rsidR="005853A9">
        <w:rPr>
          <w:kern w:val="0"/>
        </w:rPr>
        <w:t xml:space="preserve"> and </w:t>
      </w:r>
      <w:r>
        <w:rPr>
          <w:kern w:val="0"/>
        </w:rPr>
        <w:t>treatment-driven protocols</w:t>
      </w:r>
      <w:r w:rsidR="00A37C1D">
        <w:rPr>
          <w:kern w:val="0"/>
        </w:rPr>
        <w:t>. The</w:t>
      </w:r>
      <w:r>
        <w:rPr>
          <w:kern w:val="0"/>
        </w:rPr>
        <w:t>se initiatives can result in quality improvement when led by multidisciplinary teams, including pharmacists. Literature supports a pharmacist role in glucose monitoring</w:t>
      </w:r>
      <w:r w:rsidR="005853A9">
        <w:rPr>
          <w:kern w:val="0"/>
        </w:rPr>
        <w:t xml:space="preserve"> and </w:t>
      </w:r>
      <w:r>
        <w:rPr>
          <w:kern w:val="0"/>
        </w:rPr>
        <w:t>insulin dosing. CONCLUSIONS: Management</w:t>
      </w:r>
      <w:r w:rsidR="00427468">
        <w:rPr>
          <w:kern w:val="0"/>
        </w:rPr>
        <w:t xml:space="preserve"> of </w:t>
      </w:r>
      <w:r>
        <w:rPr>
          <w:kern w:val="0"/>
        </w:rPr>
        <w:t>hyperglycemia is a critical component</w:t>
      </w:r>
      <w:r w:rsidR="00427468">
        <w:rPr>
          <w:kern w:val="0"/>
        </w:rPr>
        <w:t xml:space="preserve"> of </w:t>
      </w:r>
      <w:r>
        <w:rPr>
          <w:kern w:val="0"/>
        </w:rPr>
        <w:t>acute care. Insulin treatment regimens</w:t>
      </w:r>
      <w:r w:rsidR="005853A9">
        <w:rPr>
          <w:kern w:val="0"/>
        </w:rPr>
        <w:t xml:space="preserve"> and </w:t>
      </w:r>
      <w:r>
        <w:rPr>
          <w:kern w:val="0"/>
        </w:rPr>
        <w:t>protocols for non-critically ill patients in</w:t>
      </w:r>
      <w:r w:rsidR="003A1917">
        <w:rPr>
          <w:kern w:val="0"/>
        </w:rPr>
        <w:t xml:space="preserve"> the </w:t>
      </w:r>
      <w:r>
        <w:rPr>
          <w:kern w:val="0"/>
        </w:rPr>
        <w:t>acute care setting are evolving with recognition</w:t>
      </w:r>
      <w:r w:rsidR="00427468">
        <w:rPr>
          <w:kern w:val="0"/>
        </w:rPr>
        <w:t xml:space="preserve"> of </w:t>
      </w:r>
      <w:r>
        <w:rPr>
          <w:kern w:val="0"/>
        </w:rPr>
        <w:t>ideal glucose targets to prevent adverse outcomes. Glycemia management can be complex</w:t>
      </w:r>
      <w:r w:rsidR="005853A9">
        <w:rPr>
          <w:kern w:val="0"/>
        </w:rPr>
        <w:t xml:space="preserve"> and </w:t>
      </w:r>
      <w:r>
        <w:rPr>
          <w:kern w:val="0"/>
        </w:rPr>
        <w:t>presents opportunities for pharmacist involvement.</w:t>
      </w:r>
    </w:p>
    <w:p w:rsidR="008C1C37" w:rsidRDefault="008C1C37" w:rsidP="008C1C37">
      <w:pPr>
        <w:pStyle w:val="a3"/>
        <w:rPr>
          <w:kern w:val="0"/>
        </w:rPr>
      </w:pPr>
      <w:r>
        <w:rPr>
          <w:kern w:val="0"/>
        </w:rPr>
        <w:t xml:space="preserve">Keywords: Acute Care Center, Acute Myocardial-Infarction, Adverse Outcomes, Care, Citations, Clinical Trial, Clinical-Trial, Cochrane, Control, Costs, Critically Ill Patients, Diabetes, Diabetes-Mellitus, Education, Extraction, Glucose Control, Glucose Control, Glycemia, Glycemic Control, Guidelines, Health, Hospital, Hospitalized Patient, Hyperglycemia, Ill Patients, In-Hospital Mortality, Inpatient Management, Insulin, Intensive-Care, Involvement, Literature, Literature Review, Management, Monitoring, Morbidity, Mortality, Nursing, Outcomes, Pharmacist, Pharmacists, Practice, Practice Guidelines, </w:t>
      </w:r>
      <w:r w:rsidR="002C12F0">
        <w:rPr>
          <w:kern w:val="0"/>
        </w:rPr>
        <w:t>PUBMED</w:t>
      </w:r>
      <w:r>
        <w:rPr>
          <w:kern w:val="0"/>
        </w:rPr>
        <w:t xml:space="preserve">, Quality Improvement, Review, Science, Selection, Sliding-Scale Insulin, Stress, Symptoms, Therapy, Treatment,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Pollex, E., Moretti, M.E., Koren, G.</w:t>
      </w:r>
      <w:r w:rsidR="005853A9">
        <w:rPr>
          <w:kern w:val="0"/>
        </w:rPr>
        <w:t xml:space="preserve"> and </w:t>
      </w:r>
      <w:r>
        <w:rPr>
          <w:kern w:val="0"/>
        </w:rPr>
        <w:t>Feig, D.S. (2011), Safety</w:t>
      </w:r>
      <w:r w:rsidR="00427468">
        <w:rPr>
          <w:kern w:val="0"/>
        </w:rPr>
        <w:t xml:space="preserve"> of </w:t>
      </w:r>
      <w:r>
        <w:rPr>
          <w:kern w:val="0"/>
        </w:rPr>
        <w:t>insulin glargine use in pregnancy: A systematic review</w:t>
      </w:r>
      <w:r w:rsidR="005853A9">
        <w:rPr>
          <w:kern w:val="0"/>
        </w:rPr>
        <w:t xml:space="preserve"> and </w:t>
      </w:r>
      <w:r>
        <w:rPr>
          <w:kern w:val="0"/>
        </w:rPr>
        <w:t xml:space="preserve">meta-analysis. </w:t>
      </w:r>
      <w:r>
        <w:rPr>
          <w:i/>
          <w:iCs/>
          <w:kern w:val="0"/>
        </w:rPr>
        <w:t>Annals</w:t>
      </w:r>
      <w:r w:rsidR="00427468">
        <w:rPr>
          <w:i/>
          <w:iCs/>
          <w:kern w:val="0"/>
        </w:rPr>
        <w:t xml:space="preserve"> of </w:t>
      </w:r>
      <w:r>
        <w:rPr>
          <w:i/>
          <w:iCs/>
          <w:kern w:val="0"/>
        </w:rPr>
        <w:t>Pharmacotherapy</w:t>
      </w:r>
      <w:r>
        <w:rPr>
          <w:kern w:val="0"/>
        </w:rPr>
        <w:t xml:space="preserve">, </w:t>
      </w:r>
      <w:r>
        <w:rPr>
          <w:b/>
          <w:bCs/>
          <w:kern w:val="0"/>
        </w:rPr>
        <w:t>45</w:t>
      </w:r>
      <w:r>
        <w:rPr>
          <w:kern w:val="0"/>
        </w:rPr>
        <w:t xml:space="preserve"> (1), 9-16.</w:t>
      </w:r>
    </w:p>
    <w:p w:rsidR="008C1C37" w:rsidRDefault="008C1C37" w:rsidP="008C1C37">
      <w:pPr>
        <w:pStyle w:val="a3"/>
        <w:rPr>
          <w:kern w:val="0"/>
        </w:rPr>
      </w:pPr>
      <w:r>
        <w:rPr>
          <w:kern w:val="0"/>
        </w:rPr>
        <w:t>Abstract: BACKGROUND:</w:t>
      </w:r>
      <w:r w:rsidR="003A1917">
        <w:rPr>
          <w:kern w:val="0"/>
        </w:rPr>
        <w:t xml:space="preserve"> the </w:t>
      </w:r>
      <w:r>
        <w:rPr>
          <w:kern w:val="0"/>
        </w:rPr>
        <w:t>prevalence</w:t>
      </w:r>
      <w:r w:rsidR="00427468">
        <w:rPr>
          <w:kern w:val="0"/>
        </w:rPr>
        <w:t xml:space="preserve"> of </w:t>
      </w:r>
      <w:r>
        <w:rPr>
          <w:kern w:val="0"/>
        </w:rPr>
        <w:t>diabetes in women</w:t>
      </w:r>
      <w:r w:rsidR="00427468">
        <w:rPr>
          <w:kern w:val="0"/>
        </w:rPr>
        <w:t xml:space="preserve"> of </w:t>
      </w:r>
      <w:r>
        <w:rPr>
          <w:kern w:val="0"/>
        </w:rPr>
        <w:t>childbearing age is increasing. As such,</w:t>
      </w:r>
      <w:r w:rsidR="003A1917">
        <w:rPr>
          <w:kern w:val="0"/>
        </w:rPr>
        <w:t xml:space="preserve"> the </w:t>
      </w:r>
      <w:r>
        <w:rPr>
          <w:kern w:val="0"/>
        </w:rPr>
        <w:t>number</w:t>
      </w:r>
      <w:r w:rsidR="00427468">
        <w:rPr>
          <w:kern w:val="0"/>
        </w:rPr>
        <w:t xml:space="preserve"> of </w:t>
      </w:r>
      <w:r>
        <w:rPr>
          <w:kern w:val="0"/>
        </w:rPr>
        <w:t>pregnancies complicated by diabetes will inevitably increase. New insulin analogues such as</w:t>
      </w:r>
      <w:r w:rsidR="003A1917">
        <w:rPr>
          <w:kern w:val="0"/>
        </w:rPr>
        <w:t xml:space="preserve"> the </w:t>
      </w:r>
      <w:r>
        <w:rPr>
          <w:kern w:val="0"/>
        </w:rPr>
        <w:t>long-acting analogue insulin glargine may represent beneficial treatment options in pregnancy by ensuring that patients achieve excellent glycemic control without risk</w:t>
      </w:r>
      <w:r w:rsidR="00427468">
        <w:rPr>
          <w:kern w:val="0"/>
        </w:rPr>
        <w:t xml:space="preserve"> of </w:t>
      </w:r>
      <w:r>
        <w:rPr>
          <w:kern w:val="0"/>
        </w:rPr>
        <w:t>maternal hypoglycemia. OBJECTIVE: To determine</w:t>
      </w:r>
      <w:r w:rsidR="003A1917">
        <w:rPr>
          <w:kern w:val="0"/>
        </w:rPr>
        <w:t xml:space="preserve"> the </w:t>
      </w:r>
      <w:r>
        <w:rPr>
          <w:kern w:val="0"/>
        </w:rPr>
        <w:t>fetal safety</w:t>
      </w:r>
      <w:r w:rsidR="00427468">
        <w:rPr>
          <w:kern w:val="0"/>
        </w:rPr>
        <w:t xml:space="preserve"> of </w:t>
      </w:r>
      <w:r>
        <w:rPr>
          <w:kern w:val="0"/>
        </w:rPr>
        <w:t>insulin glargine use in</w:t>
      </w:r>
      <w:r w:rsidR="003A1917">
        <w:rPr>
          <w:kern w:val="0"/>
        </w:rPr>
        <w:t xml:space="preserve"> the </w:t>
      </w:r>
      <w:r>
        <w:rPr>
          <w:kern w:val="0"/>
        </w:rPr>
        <w:t>treatment</w:t>
      </w:r>
      <w:r w:rsidR="00427468">
        <w:rPr>
          <w:kern w:val="0"/>
        </w:rPr>
        <w:t xml:space="preserve"> of </w:t>
      </w:r>
      <w:r>
        <w:rPr>
          <w:kern w:val="0"/>
        </w:rPr>
        <w:t>diabetes in pregnancy compared with NPH insulin therapy. METHODS: A systematic review</w:t>
      </w:r>
      <w:r w:rsidR="005853A9">
        <w:rPr>
          <w:kern w:val="0"/>
        </w:rPr>
        <w:t xml:space="preserve"> and </w:t>
      </w:r>
      <w:r>
        <w:rPr>
          <w:kern w:val="0"/>
        </w:rPr>
        <w:t>meta-analysis was performed</w:t>
      </w:r>
      <w:r w:rsidR="00427468">
        <w:rPr>
          <w:kern w:val="0"/>
        </w:rPr>
        <w:t xml:space="preserve"> of </w:t>
      </w:r>
      <w:r>
        <w:rPr>
          <w:kern w:val="0"/>
        </w:rPr>
        <w:t xml:space="preserve">all original human studies that reported neonatal outcomes among women with pregestational or gestational diabetes who were managed with either insulin glargine or NPH insulin during pregnancy. A systematic literature search was conducted using </w:t>
      </w:r>
      <w:r w:rsidR="00D5664A">
        <w:rPr>
          <w:kern w:val="0"/>
        </w:rPr>
        <w:t>MEDLINE</w:t>
      </w:r>
      <w:r>
        <w:rPr>
          <w:kern w:val="0"/>
        </w:rPr>
        <w:t>, EMBASE, CINAHL,</w:t>
      </w:r>
      <w:r w:rsidR="003A1917">
        <w:rPr>
          <w:kern w:val="0"/>
        </w:rPr>
        <w:t xml:space="preserve"> the </w:t>
      </w:r>
      <w:r>
        <w:rPr>
          <w:kern w:val="0"/>
        </w:rPr>
        <w:t>Cochrane Central Register for Controlled Trials database,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1980 to June 1, 2010. Outcomes included large size for </w:t>
      </w:r>
      <w:r>
        <w:rPr>
          <w:kern w:val="0"/>
        </w:rPr>
        <w:lastRenderedPageBreak/>
        <w:t>gestational age, macrosomia, neonatal hypoglycemia, neonatal intensive care unit admissions, birth trauma, congenital anomalies, preterm delivery, perinatal mortality, respiratory distress,</w:t>
      </w:r>
      <w:r w:rsidR="005853A9">
        <w:rPr>
          <w:kern w:val="0"/>
        </w:rPr>
        <w:t xml:space="preserve"> and </w:t>
      </w:r>
      <w:r>
        <w:rPr>
          <w:kern w:val="0"/>
        </w:rPr>
        <w:t>hyperbilirubinemia. Relative risk ratios</w:t>
      </w:r>
      <w:r w:rsidR="005853A9">
        <w:rPr>
          <w:kern w:val="0"/>
        </w:rPr>
        <w:t xml:space="preserve"> and </w:t>
      </w:r>
      <w:r>
        <w:rPr>
          <w:kern w:val="0"/>
        </w:rPr>
        <w:t>weighted mean differences were computed with 95% confidence intervals. RESULTS: Eight studies reporting on a total</w:t>
      </w:r>
      <w:r w:rsidR="00427468">
        <w:rPr>
          <w:kern w:val="0"/>
        </w:rPr>
        <w:t xml:space="preserve"> of </w:t>
      </w:r>
      <w:r>
        <w:rPr>
          <w:kern w:val="0"/>
        </w:rPr>
        <w:t>702 women with pregestational or gestational diabetes in pregnancy treated with either insulin glargine (n = 331) or NPH insulin (n = 371) met</w:t>
      </w:r>
      <w:r w:rsidR="003A1917">
        <w:rPr>
          <w:kern w:val="0"/>
        </w:rPr>
        <w:t xml:space="preserve"> the </w:t>
      </w:r>
      <w:r>
        <w:rPr>
          <w:kern w:val="0"/>
        </w:rPr>
        <w:t>inclusion criteria</w:t>
      </w:r>
      <w:r w:rsidR="00A37C1D">
        <w:rPr>
          <w:kern w:val="0"/>
        </w:rPr>
        <w:t>. The</w:t>
      </w:r>
      <w:r>
        <w:rPr>
          <w:kern w:val="0"/>
        </w:rPr>
        <w:t>re were no statistically significant differences in</w:t>
      </w:r>
      <w:r w:rsidR="003A1917">
        <w:rPr>
          <w:kern w:val="0"/>
        </w:rPr>
        <w:t xml:space="preserve"> the </w:t>
      </w:r>
      <w:r>
        <w:rPr>
          <w:kern w:val="0"/>
        </w:rPr>
        <w:t>occurrence</w:t>
      </w:r>
      <w:r w:rsidR="00427468">
        <w:rPr>
          <w:kern w:val="0"/>
        </w:rPr>
        <w:t xml:space="preserve"> of </w:t>
      </w:r>
      <w:r>
        <w:rPr>
          <w:kern w:val="0"/>
        </w:rPr>
        <w:t>fetal outcomes studied with</w:t>
      </w:r>
      <w:r w:rsidR="003A1917">
        <w:rPr>
          <w:kern w:val="0"/>
        </w:rPr>
        <w:t xml:space="preserve"> the </w:t>
      </w:r>
      <w:r>
        <w:rPr>
          <w:kern w:val="0"/>
        </w:rPr>
        <w:t>use</w:t>
      </w:r>
      <w:r w:rsidR="00427468">
        <w:rPr>
          <w:kern w:val="0"/>
        </w:rPr>
        <w:t xml:space="preserve"> of </w:t>
      </w:r>
      <w:r>
        <w:rPr>
          <w:kern w:val="0"/>
        </w:rPr>
        <w:t>insulin glargine compared to NPH insulin. CONCLUSIONS: No evidence has been documented for increased adverse fetal outcomes with</w:t>
      </w:r>
      <w:r w:rsidR="003A1917">
        <w:rPr>
          <w:kern w:val="0"/>
        </w:rPr>
        <w:t xml:space="preserve"> the </w:t>
      </w:r>
      <w:r>
        <w:rPr>
          <w:kern w:val="0"/>
        </w:rPr>
        <w:t>use</w:t>
      </w:r>
      <w:r w:rsidR="00427468">
        <w:rPr>
          <w:kern w:val="0"/>
        </w:rPr>
        <w:t xml:space="preserve"> of </w:t>
      </w:r>
      <w:r>
        <w:rPr>
          <w:kern w:val="0"/>
        </w:rPr>
        <w:t>insulin glargine in pregnancy compared to</w:t>
      </w:r>
      <w:r w:rsidR="003A1917">
        <w:rPr>
          <w:kern w:val="0"/>
        </w:rPr>
        <w:t xml:space="preserve"> the </w:t>
      </w:r>
      <w:r>
        <w:rPr>
          <w:kern w:val="0"/>
        </w:rPr>
        <w:t>use</w:t>
      </w:r>
      <w:r w:rsidR="00427468">
        <w:rPr>
          <w:kern w:val="0"/>
        </w:rPr>
        <w:t xml:space="preserve"> of </w:t>
      </w:r>
      <w:r>
        <w:rPr>
          <w:kern w:val="0"/>
        </w:rPr>
        <w:t>NPH insulin</w:t>
      </w:r>
      <w:r w:rsidR="00A37C1D">
        <w:rPr>
          <w:kern w:val="0"/>
        </w:rPr>
        <w:t>. The</w:t>
      </w:r>
      <w:r>
        <w:rPr>
          <w:kern w:val="0"/>
        </w:rPr>
        <w:t>se results increase</w:t>
      </w:r>
      <w:r w:rsidR="003A1917">
        <w:rPr>
          <w:kern w:val="0"/>
        </w:rPr>
        <w:t xml:space="preserve"> the </w:t>
      </w:r>
      <w:r>
        <w:rPr>
          <w:kern w:val="0"/>
        </w:rPr>
        <w:t>choices for women requiring basal insulin therapy in pregnancy.</w:t>
      </w:r>
    </w:p>
    <w:p w:rsidR="008C1C37" w:rsidRDefault="008C1C37" w:rsidP="008C1C37">
      <w:pPr>
        <w:pStyle w:val="a3"/>
        <w:rPr>
          <w:kern w:val="0"/>
        </w:rPr>
      </w:pPr>
      <w:r>
        <w:rPr>
          <w:kern w:val="0"/>
        </w:rPr>
        <w:t xml:space="preserve">Keywords: Analogue Insulin, Care, Cochrane, Confidence Intervals, Control, Diabetes, Distress, EMBASE, Gestational Diabetes, Human, Hypoglycemia, Insulin, Insulin Glargine, Intensive Care, Intensive Care Unit, Literature, </w:t>
      </w:r>
      <w:r w:rsidR="00D5664A">
        <w:rPr>
          <w:kern w:val="0"/>
        </w:rPr>
        <w:t>MEDLINE</w:t>
      </w:r>
      <w:r>
        <w:rPr>
          <w:kern w:val="0"/>
        </w:rPr>
        <w:t xml:space="preserve">, Meta-Analysis, Mortality, Neonatal Intensive Care, Nph Insulin, Nph Insulin, Outcomes, Perinatal, Perinatal Outcomes, Pregnancy, Pregnancy In Diabetes, Prevalence, Review, Risk, Safety, Science, Systematic, Systematic Review, Therapy, Trauma, Treatment, Type 1 Diabetes, Type 2 Diabetes, </w:t>
      </w:r>
      <w:r w:rsidR="00D5664A">
        <w:rPr>
          <w:kern w:val="0"/>
        </w:rPr>
        <w:t>Web</w:t>
      </w:r>
      <w:r w:rsidR="00427468">
        <w:rPr>
          <w:kern w:val="0"/>
        </w:rPr>
        <w:t xml:space="preserve"> of </w:t>
      </w:r>
      <w:r w:rsidR="00D5664A">
        <w:rPr>
          <w:kern w:val="0"/>
        </w:rPr>
        <w:t>Science</w:t>
      </w:r>
      <w:r>
        <w:rPr>
          <w:kern w:val="0"/>
        </w:rPr>
        <w:t>, Women</w:t>
      </w:r>
    </w:p>
    <w:p w:rsidR="008C1C37" w:rsidRDefault="008C1C37" w:rsidP="008C1C37">
      <w:pPr>
        <w:pStyle w:val="a3"/>
        <w:rPr>
          <w:kern w:val="0"/>
        </w:rPr>
      </w:pPr>
      <w:r>
        <w:rPr>
          <w:rFonts w:hint="eastAsia"/>
          <w:kern w:val="0"/>
        </w:rPr>
        <w:t xml:space="preserve">? </w:t>
      </w:r>
      <w:r>
        <w:rPr>
          <w:kern w:val="0"/>
        </w:rPr>
        <w:t>Su, V.C.H., Greanya, E.D.</w:t>
      </w:r>
      <w:r w:rsidR="005853A9">
        <w:rPr>
          <w:kern w:val="0"/>
        </w:rPr>
        <w:t xml:space="preserve"> and </w:t>
      </w:r>
      <w:r>
        <w:rPr>
          <w:kern w:val="0"/>
        </w:rPr>
        <w:t>Ensom, M.H.H. (2011), Impact</w:t>
      </w:r>
      <w:r w:rsidR="00427468">
        <w:rPr>
          <w:kern w:val="0"/>
        </w:rPr>
        <w:t xml:space="preserve"> of </w:t>
      </w:r>
      <w:r>
        <w:rPr>
          <w:kern w:val="0"/>
        </w:rPr>
        <w:t xml:space="preserve">mycophenolate mofetil dose reduction on allograft outcomes in kidney transplant recipients on tacrolimus-based regimens: A systematic review. </w:t>
      </w:r>
      <w:r>
        <w:rPr>
          <w:i/>
          <w:iCs/>
          <w:kern w:val="0"/>
        </w:rPr>
        <w:t>Annals</w:t>
      </w:r>
      <w:r w:rsidR="00427468">
        <w:rPr>
          <w:i/>
          <w:iCs/>
          <w:kern w:val="0"/>
        </w:rPr>
        <w:t xml:space="preserve"> of </w:t>
      </w:r>
      <w:r>
        <w:rPr>
          <w:i/>
          <w:iCs/>
          <w:kern w:val="0"/>
        </w:rPr>
        <w:t>Pharmacotherapy</w:t>
      </w:r>
      <w:r>
        <w:rPr>
          <w:kern w:val="0"/>
        </w:rPr>
        <w:t xml:space="preserve">, </w:t>
      </w:r>
      <w:r>
        <w:rPr>
          <w:b/>
          <w:bCs/>
          <w:kern w:val="0"/>
        </w:rPr>
        <w:t>45</w:t>
      </w:r>
      <w:r>
        <w:rPr>
          <w:kern w:val="0"/>
        </w:rPr>
        <w:t xml:space="preserve"> (2), 248-257.</w:t>
      </w:r>
    </w:p>
    <w:p w:rsidR="008C1C37" w:rsidRDefault="008C1C37" w:rsidP="008C1C37">
      <w:pPr>
        <w:pStyle w:val="a3"/>
        <w:rPr>
          <w:kern w:val="0"/>
        </w:rPr>
      </w:pPr>
      <w:r>
        <w:rPr>
          <w:kern w:val="0"/>
        </w:rPr>
        <w:t>Abstract: OBJECTIVE: To systematically evaluate</w:t>
      </w:r>
      <w:r w:rsidR="003A1917">
        <w:rPr>
          <w:kern w:val="0"/>
        </w:rPr>
        <w:t xml:space="preserve"> the </w:t>
      </w:r>
      <w:r>
        <w:rPr>
          <w:kern w:val="0"/>
        </w:rPr>
        <w:t>clinical consequences</w:t>
      </w:r>
      <w:r w:rsidR="00427468">
        <w:rPr>
          <w:kern w:val="0"/>
        </w:rPr>
        <w:t xml:space="preserve"> of </w:t>
      </w:r>
      <w:r>
        <w:rPr>
          <w:kern w:val="0"/>
        </w:rPr>
        <w:t xml:space="preserve">mycophenolate dose reduction in renal transplant recipients on tacrolimus-based regimens. DATA SOURCES: </w:t>
      </w:r>
      <w:r w:rsidR="002C12F0">
        <w:rPr>
          <w:kern w:val="0"/>
        </w:rPr>
        <w:t>PUBMED</w:t>
      </w:r>
      <w:r>
        <w:rPr>
          <w:kern w:val="0"/>
        </w:rPr>
        <w:t xml:space="preserve"> (1949-July 2010), EMBASE (1980-July 2010), Cochrane Database</w:t>
      </w:r>
      <w:r w:rsidR="00427468">
        <w:rPr>
          <w:kern w:val="0"/>
        </w:rPr>
        <w:t xml:space="preserve"> of </w:t>
      </w:r>
      <w:r>
        <w:rPr>
          <w:kern w:val="0"/>
        </w:rPr>
        <w:t>Systematic Reviews, International Pharmaceutical Abstracts,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using</w:t>
      </w:r>
      <w:r w:rsidR="003A1917">
        <w:rPr>
          <w:kern w:val="0"/>
        </w:rPr>
        <w:t xml:space="preserve"> the </w:t>
      </w:r>
      <w:r>
        <w:rPr>
          <w:kern w:val="0"/>
        </w:rPr>
        <w:t>terms mycophenolate mofetil, tacrolimus, dose reduction,</w:t>
      </w:r>
      <w:r w:rsidR="005853A9">
        <w:rPr>
          <w:kern w:val="0"/>
        </w:rPr>
        <w:t xml:space="preserve"> and </w:t>
      </w:r>
      <w:r>
        <w:rPr>
          <w:kern w:val="0"/>
        </w:rPr>
        <w:t>kidney and/or renal transplant. References from publications identified were reviewed. STUDY SELECTION</w:t>
      </w:r>
      <w:r w:rsidR="005853A9">
        <w:rPr>
          <w:kern w:val="0"/>
        </w:rPr>
        <w:t xml:space="preserve"> and </w:t>
      </w:r>
      <w:r>
        <w:rPr>
          <w:kern w:val="0"/>
        </w:rPr>
        <w:t>DATA EXTRACTION: Studies reporting on rejection rate, allograft survival, or renal function were included</w:t>
      </w:r>
      <w:r w:rsidR="005853A9">
        <w:rPr>
          <w:kern w:val="0"/>
        </w:rPr>
        <w:t xml:space="preserve"> and </w:t>
      </w:r>
      <w:r>
        <w:rPr>
          <w:kern w:val="0"/>
        </w:rPr>
        <w:t>ranked according to</w:t>
      </w:r>
      <w:r w:rsidR="003A1917">
        <w:rPr>
          <w:kern w:val="0"/>
        </w:rPr>
        <w:t xml:space="preserve"> the </w:t>
      </w:r>
      <w:r>
        <w:rPr>
          <w:kern w:val="0"/>
        </w:rPr>
        <w:t>US Preventive Services Task Force classification; excluded were studies that were dose-finding or used cyclosporine only, involved patients on enteric-coated mycophenolate sodium or those with multiorgan transplant, or provided no information on concomitant immunosuppressants. Data extracted were study design, sample size, immunosuppression regimen, type</w:t>
      </w:r>
      <w:r w:rsidR="00427468">
        <w:rPr>
          <w:kern w:val="0"/>
        </w:rPr>
        <w:t xml:space="preserve"> of </w:t>
      </w:r>
      <w:r>
        <w:rPr>
          <w:kern w:val="0"/>
        </w:rPr>
        <w:t>transplant,</w:t>
      </w:r>
      <w:r w:rsidR="005853A9">
        <w:rPr>
          <w:kern w:val="0"/>
        </w:rPr>
        <w:t xml:space="preserve"> and </w:t>
      </w:r>
      <w:r>
        <w:rPr>
          <w:kern w:val="0"/>
        </w:rPr>
        <w:t>allograft outcomes. DATA SYNTHESIS:</w:t>
      </w:r>
      <w:r w:rsidR="00427468">
        <w:rPr>
          <w:kern w:val="0"/>
        </w:rPr>
        <w:t xml:space="preserve"> of </w:t>
      </w:r>
      <w:r>
        <w:rPr>
          <w:kern w:val="0"/>
        </w:rPr>
        <w:t>13 studies included, 1 was level I evidence, 3 were level II-2, 6 were level II-3,</w:t>
      </w:r>
      <w:r w:rsidR="005853A9">
        <w:rPr>
          <w:kern w:val="0"/>
        </w:rPr>
        <w:t xml:space="preserve"> and </w:t>
      </w:r>
      <w:r>
        <w:rPr>
          <w:kern w:val="0"/>
        </w:rPr>
        <w:t xml:space="preserve">3 were level III evidence. Three focused on tacrolimus-based </w:t>
      </w:r>
      <w:r>
        <w:rPr>
          <w:kern w:val="0"/>
        </w:rPr>
        <w:lastRenderedPageBreak/>
        <w:t>regimens, whereas 7 included either cyclosporine or tacrolimus</w:t>
      </w:r>
      <w:r w:rsidR="00A37C1D">
        <w:rPr>
          <w:kern w:val="0"/>
        </w:rPr>
        <w:t>. The</w:t>
      </w:r>
      <w:r w:rsidR="003A1917">
        <w:rPr>
          <w:kern w:val="0"/>
        </w:rPr>
        <w:t xml:space="preserve"> </w:t>
      </w:r>
      <w:r>
        <w:rPr>
          <w:kern w:val="0"/>
        </w:rPr>
        <w:t>only prospective, randomized, multicenter trial demonstrated that early taper</w:t>
      </w:r>
      <w:r w:rsidR="00427468">
        <w:rPr>
          <w:kern w:val="0"/>
        </w:rPr>
        <w:t xml:space="preserve"> of </w:t>
      </w:r>
      <w:r>
        <w:rPr>
          <w:kern w:val="0"/>
        </w:rPr>
        <w:t>mycophenolate dosage to 1 g/day can be utilized without increased risk</w:t>
      </w:r>
      <w:r w:rsidR="00427468">
        <w:rPr>
          <w:kern w:val="0"/>
        </w:rPr>
        <w:t xml:space="preserve"> of </w:t>
      </w:r>
      <w:r>
        <w:rPr>
          <w:kern w:val="0"/>
        </w:rPr>
        <w:t>rejection, compared with late tapering, but</w:t>
      </w:r>
      <w:r w:rsidR="003A1917">
        <w:rPr>
          <w:kern w:val="0"/>
        </w:rPr>
        <w:t xml:space="preserve"> the </w:t>
      </w:r>
      <w:r>
        <w:rPr>
          <w:kern w:val="0"/>
        </w:rPr>
        <w:t>rejection rate was high (30-40%). Overall, we found conflicting evidence regarding</w:t>
      </w:r>
      <w:r w:rsidR="003A1917">
        <w:rPr>
          <w:kern w:val="0"/>
        </w:rPr>
        <w:t xml:space="preserve"> the </w:t>
      </w:r>
      <w:r>
        <w:rPr>
          <w:kern w:val="0"/>
        </w:rPr>
        <w:t>impact</w:t>
      </w:r>
      <w:r w:rsidR="00427468">
        <w:rPr>
          <w:kern w:val="0"/>
        </w:rPr>
        <w:t xml:space="preserve"> of </w:t>
      </w:r>
      <w:r>
        <w:rPr>
          <w:kern w:val="0"/>
        </w:rPr>
        <w:t>mycophenolate dose reduction on rejection rate</w:t>
      </w:r>
      <w:r w:rsidR="005853A9">
        <w:rPr>
          <w:kern w:val="0"/>
        </w:rPr>
        <w:t xml:space="preserve"> and </w:t>
      </w:r>
      <w:r>
        <w:rPr>
          <w:kern w:val="0"/>
        </w:rPr>
        <w:t>allograft loss</w:t>
      </w:r>
      <w:r w:rsidR="005853A9">
        <w:rPr>
          <w:kern w:val="0"/>
        </w:rPr>
        <w:t xml:space="preserve"> and </w:t>
      </w:r>
      <w:r>
        <w:rPr>
          <w:kern w:val="0"/>
        </w:rPr>
        <w:t>that discontinuing mycophenolate led to an increased risk</w:t>
      </w:r>
      <w:r w:rsidR="00427468">
        <w:rPr>
          <w:kern w:val="0"/>
        </w:rPr>
        <w:t xml:space="preserve"> of </w:t>
      </w:r>
      <w:r>
        <w:rPr>
          <w:kern w:val="0"/>
        </w:rPr>
        <w:t>graft loss as high as 8 fold. Allograft survival was lowest in patients with gastrointestinal complications</w:t>
      </w:r>
      <w:r w:rsidR="005853A9">
        <w:rPr>
          <w:kern w:val="0"/>
        </w:rPr>
        <w:t xml:space="preserve"> and </w:t>
      </w:r>
      <w:r>
        <w:rPr>
          <w:kern w:val="0"/>
        </w:rPr>
        <w:t>those in whom mycophenolate was discontinued, compared with patients with neither gastrointestinal complications nor mycophenolate discontinuation. CONCLUSIONS: Weak evidence suggests that mycophenolate dose modifications, either reduction or discontinuation, may increase rejection rate</w:t>
      </w:r>
      <w:r w:rsidR="005853A9">
        <w:rPr>
          <w:kern w:val="0"/>
        </w:rPr>
        <w:t xml:space="preserve"> and </w:t>
      </w:r>
      <w:r>
        <w:rPr>
          <w:kern w:val="0"/>
        </w:rPr>
        <w:t>graft loss; however, this is more apparent in cyclosporine-based regimens. Prospective, well-designed trials are necessary to definitively determine</w:t>
      </w:r>
      <w:r w:rsidR="003A1917">
        <w:rPr>
          <w:kern w:val="0"/>
        </w:rPr>
        <w:t xml:space="preserve"> the </w:t>
      </w:r>
      <w:r>
        <w:rPr>
          <w:kern w:val="0"/>
        </w:rPr>
        <w:t>impact</w:t>
      </w:r>
      <w:r w:rsidR="00427468">
        <w:rPr>
          <w:kern w:val="0"/>
        </w:rPr>
        <w:t xml:space="preserve"> of </w:t>
      </w:r>
      <w:r>
        <w:rPr>
          <w:kern w:val="0"/>
        </w:rPr>
        <w:t>dose reduction in renal transplant recipients on tacrolimus-based regimens.</w:t>
      </w:r>
    </w:p>
    <w:p w:rsidR="008C1C37" w:rsidRDefault="008C1C37" w:rsidP="008C1C37">
      <w:pPr>
        <w:pStyle w:val="a3"/>
        <w:rPr>
          <w:kern w:val="0"/>
        </w:rPr>
      </w:pPr>
      <w:r>
        <w:rPr>
          <w:kern w:val="0"/>
        </w:rPr>
        <w:t xml:space="preserve">Keywords: Acute Rejection, Allograft Outcomes, Calcineurin Inhibitors, Cochrane, Cyclosporine, EMBASE, Extraction, Follow-up, Gastrointestinal, Gastrointestinal Complications, Graft Outcomes, Immunosuppression, Impact, Information, Kidney, Kidney Transplant, Mycophenolate, Outcomes, Publications, </w:t>
      </w:r>
      <w:r w:rsidR="002C12F0">
        <w:rPr>
          <w:kern w:val="0"/>
        </w:rPr>
        <w:t>PUBMED</w:t>
      </w:r>
      <w:r>
        <w:rPr>
          <w:kern w:val="0"/>
        </w:rPr>
        <w:t xml:space="preserve">, Randomized-Trial, Reduction, References, Renal Function, Renal-Transplant, Review, Risk, Science, Selection, Sodium, Survival, Systematic, Systematic Review, Tacrolimus, Transplant, US, </w:t>
      </w:r>
      <w:r w:rsidR="00D5664A">
        <w:rPr>
          <w:kern w:val="0"/>
        </w:rPr>
        <w:t>Web</w:t>
      </w:r>
      <w:r w:rsidR="00427468">
        <w:rPr>
          <w:kern w:val="0"/>
        </w:rPr>
        <w:t xml:space="preserve"> of </w:t>
      </w:r>
      <w:r w:rsidR="00D5664A">
        <w:rPr>
          <w:kern w:val="0"/>
        </w:rPr>
        <w:t>Science</w:t>
      </w:r>
    </w:p>
    <w:p w:rsidR="00FE5A8D" w:rsidRDefault="00FE5A8D" w:rsidP="00FE5A8D">
      <w:pPr>
        <w:pStyle w:val="a3"/>
        <w:rPr>
          <w:kern w:val="0"/>
        </w:rPr>
      </w:pPr>
      <w:r>
        <w:rPr>
          <w:rFonts w:hint="eastAsia"/>
          <w:kern w:val="0"/>
        </w:rPr>
        <w:t xml:space="preserve">? </w:t>
      </w:r>
      <w:r>
        <w:rPr>
          <w:kern w:val="0"/>
        </w:rPr>
        <w:t>Snider, K.R.</w:t>
      </w:r>
      <w:r w:rsidR="005853A9">
        <w:rPr>
          <w:kern w:val="0"/>
        </w:rPr>
        <w:t xml:space="preserve"> and </w:t>
      </w:r>
      <w:r>
        <w:rPr>
          <w:kern w:val="0"/>
        </w:rPr>
        <w:t>Potter, T.G. (2011), Budesonide for</w:t>
      </w:r>
      <w:r w:rsidR="003A1917">
        <w:rPr>
          <w:kern w:val="0"/>
        </w:rPr>
        <w:t xml:space="preserve"> the </w:t>
      </w:r>
      <w:r>
        <w:rPr>
          <w:kern w:val="0"/>
        </w:rPr>
        <w:t>treatment</w:t>
      </w:r>
      <w:r w:rsidR="00427468">
        <w:rPr>
          <w:kern w:val="0"/>
        </w:rPr>
        <w:t xml:space="preserve"> of </w:t>
      </w:r>
      <w:r>
        <w:rPr>
          <w:kern w:val="0"/>
        </w:rPr>
        <w:t xml:space="preserve">autoimmune hepatitis. </w:t>
      </w:r>
      <w:r>
        <w:rPr>
          <w:i/>
          <w:iCs/>
          <w:kern w:val="0"/>
        </w:rPr>
        <w:t>Annals</w:t>
      </w:r>
      <w:r w:rsidR="00427468">
        <w:rPr>
          <w:i/>
          <w:iCs/>
          <w:kern w:val="0"/>
        </w:rPr>
        <w:t xml:space="preserve"> of </w:t>
      </w:r>
      <w:r>
        <w:rPr>
          <w:i/>
          <w:iCs/>
          <w:kern w:val="0"/>
        </w:rPr>
        <w:t>Pharmacotherapy</w:t>
      </w:r>
      <w:r>
        <w:rPr>
          <w:kern w:val="0"/>
        </w:rPr>
        <w:t xml:space="preserve">, </w:t>
      </w:r>
      <w:r>
        <w:rPr>
          <w:b/>
          <w:bCs/>
          <w:kern w:val="0"/>
        </w:rPr>
        <w:t>45</w:t>
      </w:r>
      <w:r>
        <w:rPr>
          <w:kern w:val="0"/>
        </w:rPr>
        <w:t xml:space="preserve"> (9), 1144-1150.</w:t>
      </w:r>
    </w:p>
    <w:p w:rsidR="00F274E1" w:rsidRDefault="00F274E1" w:rsidP="00FE5A8D">
      <w:pPr>
        <w:pStyle w:val="a3"/>
        <w:rPr>
          <w:kern w:val="0"/>
        </w:rPr>
      </w:pPr>
      <w:r>
        <w:rPr>
          <w:rFonts w:hint="eastAsia"/>
          <w:kern w:val="0"/>
        </w:rPr>
        <w:t xml:space="preserve">Full Text: </w:t>
      </w:r>
      <w:hyperlink r:id="rId932" w:history="1">
        <w:r w:rsidRPr="00F274E1">
          <w:rPr>
            <w:rStyle w:val="a5"/>
            <w:kern w:val="0"/>
          </w:rPr>
          <w:t>2011\Ann Pha45, 1144.pdf</w:t>
        </w:r>
      </w:hyperlink>
    </w:p>
    <w:p w:rsidR="00FE5A8D" w:rsidRDefault="00FE5A8D" w:rsidP="00FE5A8D">
      <w:pPr>
        <w:pStyle w:val="a3"/>
        <w:rPr>
          <w:kern w:val="0"/>
        </w:rPr>
      </w:pPr>
      <w:r>
        <w:rPr>
          <w:kern w:val="0"/>
        </w:rPr>
        <w:t>Abstract: OBJECTIVE: To evaluate</w:t>
      </w:r>
      <w:r w:rsidR="003A1917">
        <w:rPr>
          <w:kern w:val="0"/>
        </w:rPr>
        <w:t xml:space="preserve"> the </w:t>
      </w:r>
      <w:r>
        <w:rPr>
          <w:kern w:val="0"/>
        </w:rPr>
        <w:t>use</w:t>
      </w:r>
      <w:r w:rsidR="00427468">
        <w:rPr>
          <w:kern w:val="0"/>
        </w:rPr>
        <w:t xml:space="preserve"> of </w:t>
      </w:r>
      <w:r>
        <w:rPr>
          <w:kern w:val="0"/>
        </w:rPr>
        <w:t>budesonide for</w:t>
      </w:r>
      <w:r w:rsidR="003A1917">
        <w:rPr>
          <w:kern w:val="0"/>
        </w:rPr>
        <w:t xml:space="preserve"> the </w:t>
      </w:r>
      <w:r>
        <w:rPr>
          <w:kern w:val="0"/>
        </w:rPr>
        <w:t>treatment</w:t>
      </w:r>
      <w:r w:rsidR="00427468">
        <w:rPr>
          <w:kern w:val="0"/>
        </w:rPr>
        <w:t xml:space="preserve"> of </w:t>
      </w:r>
      <w:r>
        <w:rPr>
          <w:kern w:val="0"/>
        </w:rPr>
        <w:t>autoimmune; hepatitis (AIH). DATA SOURCES: Literature was accessed through PubMed/</w:t>
      </w:r>
      <w:r w:rsidR="00D5664A">
        <w:rPr>
          <w:kern w:val="0"/>
        </w:rPr>
        <w:t>MEDLINE</w:t>
      </w:r>
      <w:r>
        <w:rPr>
          <w:kern w:val="0"/>
        </w:rPr>
        <w:t xml:space="preserve"> (1966-June 2011)</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(1965-June 2011) using</w:t>
      </w:r>
      <w:r w:rsidR="003A1917">
        <w:rPr>
          <w:kern w:val="0"/>
        </w:rPr>
        <w:t xml:space="preserve"> the </w:t>
      </w:r>
      <w:r>
        <w:rPr>
          <w:kern w:val="0"/>
        </w:rPr>
        <w:t>terms autoimmune hepatitis</w:t>
      </w:r>
      <w:r w:rsidR="005853A9">
        <w:rPr>
          <w:kern w:val="0"/>
        </w:rPr>
        <w:t xml:space="preserve"> and </w:t>
      </w:r>
      <w:r>
        <w:rPr>
          <w:kern w:val="0"/>
        </w:rPr>
        <w:t>budesonide. Literature was limited to English-language publications. In addition, references from publications identified were reviewed. STUDY SELECTION</w:t>
      </w:r>
      <w:r w:rsidR="005853A9">
        <w:rPr>
          <w:kern w:val="0"/>
        </w:rPr>
        <w:t xml:space="preserve"> and </w:t>
      </w:r>
      <w:r>
        <w:rPr>
          <w:kern w:val="0"/>
        </w:rPr>
        <w:t>DATA EXTRACTION: All articles in English identified from</w:t>
      </w:r>
      <w:r w:rsidR="003A1917">
        <w:rPr>
          <w:kern w:val="0"/>
        </w:rPr>
        <w:t xml:space="preserve"> the </w:t>
      </w:r>
      <w:r>
        <w:rPr>
          <w:kern w:val="0"/>
        </w:rPr>
        <w:t>data sources were evaluated. DATA SYNTHESIS:</w:t>
      </w:r>
      <w:r w:rsidR="003A1917">
        <w:rPr>
          <w:kern w:val="0"/>
        </w:rPr>
        <w:t xml:space="preserve"> the </w:t>
      </w:r>
      <w:r>
        <w:rPr>
          <w:kern w:val="0"/>
        </w:rPr>
        <w:t>initial treatment</w:t>
      </w:r>
      <w:r w:rsidR="00427468">
        <w:rPr>
          <w:kern w:val="0"/>
        </w:rPr>
        <w:t xml:space="preserve"> of </w:t>
      </w:r>
      <w:r>
        <w:rPr>
          <w:kern w:val="0"/>
        </w:rPr>
        <w:t>choice for AIH is prednisone alone or with azathioprine. However, a significant number</w:t>
      </w:r>
      <w:r w:rsidR="00427468">
        <w:rPr>
          <w:kern w:val="0"/>
        </w:rPr>
        <w:t xml:space="preserve"> of </w:t>
      </w:r>
      <w:r>
        <w:rPr>
          <w:kern w:val="0"/>
        </w:rPr>
        <w:t>patients do not respond adequately or have adverse reactions to this regimen; therefore, alternative treatments are required. Budesonide is an orally administered synthetic corticosteroid with high affinity for</w:t>
      </w:r>
      <w:r w:rsidR="003A1917">
        <w:rPr>
          <w:kern w:val="0"/>
        </w:rPr>
        <w:t xml:space="preserve"> the </w:t>
      </w:r>
      <w:r>
        <w:rPr>
          <w:kern w:val="0"/>
        </w:rPr>
        <w:t>glucocorticoid receptor that undergoes extensive first-pass metabolism. It has Food</w:t>
      </w:r>
      <w:r w:rsidR="005853A9">
        <w:rPr>
          <w:kern w:val="0"/>
        </w:rPr>
        <w:t xml:space="preserve"> and </w:t>
      </w:r>
      <w:r>
        <w:rPr>
          <w:kern w:val="0"/>
        </w:rPr>
        <w:t>Drug Administration approved labeling for</w:t>
      </w:r>
      <w:r w:rsidR="003A1917">
        <w:rPr>
          <w:kern w:val="0"/>
        </w:rPr>
        <w:t xml:space="preserve"> the </w:t>
      </w:r>
      <w:r>
        <w:rPr>
          <w:kern w:val="0"/>
        </w:rPr>
        <w:t>treatment</w:t>
      </w:r>
      <w:r w:rsidR="005853A9">
        <w:rPr>
          <w:kern w:val="0"/>
        </w:rPr>
        <w:t xml:space="preserve"> and </w:t>
      </w:r>
      <w:r>
        <w:rPr>
          <w:kern w:val="0"/>
        </w:rPr>
        <w:t>maintenance</w:t>
      </w:r>
      <w:r w:rsidR="00427468">
        <w:rPr>
          <w:kern w:val="0"/>
        </w:rPr>
        <w:t xml:space="preserve"> of </w:t>
      </w:r>
      <w:r>
        <w:rPr>
          <w:kern w:val="0"/>
        </w:rPr>
        <w:t>remission</w:t>
      </w:r>
      <w:r w:rsidR="00427468">
        <w:rPr>
          <w:kern w:val="0"/>
        </w:rPr>
        <w:t xml:space="preserve"> of </w:t>
      </w:r>
      <w:r>
        <w:rPr>
          <w:kern w:val="0"/>
        </w:rPr>
        <w:t>mild-to-moderate Crohn disease involving</w:t>
      </w:r>
      <w:r w:rsidR="003A1917">
        <w:rPr>
          <w:kern w:val="0"/>
        </w:rPr>
        <w:t xml:space="preserve"> the </w:t>
      </w:r>
      <w:r>
        <w:rPr>
          <w:kern w:val="0"/>
        </w:rPr>
        <w:t xml:space="preserve">ileum and/or ascending colon. One </w:t>
      </w:r>
      <w:r>
        <w:rPr>
          <w:kern w:val="0"/>
        </w:rPr>
        <w:lastRenderedPageBreak/>
        <w:t>prospective, active-controlled study</w:t>
      </w:r>
      <w:r w:rsidR="00427468">
        <w:rPr>
          <w:kern w:val="0"/>
        </w:rPr>
        <w:t xml:space="preserve"> of </w:t>
      </w:r>
      <w:r>
        <w:rPr>
          <w:kern w:val="0"/>
        </w:rPr>
        <w:t>budesonide in</w:t>
      </w:r>
      <w:r w:rsidR="003A1917">
        <w:rPr>
          <w:kern w:val="0"/>
        </w:rPr>
        <w:t xml:space="preserve"> the </w:t>
      </w:r>
      <w:r>
        <w:rPr>
          <w:kern w:val="0"/>
        </w:rPr>
        <w:t>treatment</w:t>
      </w:r>
      <w:r w:rsidR="00427468">
        <w:rPr>
          <w:kern w:val="0"/>
        </w:rPr>
        <w:t xml:space="preserve"> of </w:t>
      </w:r>
      <w:r>
        <w:rPr>
          <w:kern w:val="0"/>
        </w:rPr>
        <w:t>AIH was identified, as well as 5 small open-label studies</w:t>
      </w:r>
      <w:r w:rsidR="005853A9">
        <w:rPr>
          <w:kern w:val="0"/>
        </w:rPr>
        <w:t xml:space="preserve"> and </w:t>
      </w:r>
      <w:r>
        <w:rPr>
          <w:kern w:val="0"/>
        </w:rPr>
        <w:t>1 retrospective chart review. Budesonide appears to have efficacy in</w:t>
      </w:r>
      <w:r w:rsidR="003A1917">
        <w:rPr>
          <w:kern w:val="0"/>
        </w:rPr>
        <w:t xml:space="preserve"> the </w:t>
      </w:r>
      <w:r>
        <w:rPr>
          <w:kern w:val="0"/>
        </w:rPr>
        <w:t>treatment</w:t>
      </w:r>
      <w:r w:rsidR="00427468">
        <w:rPr>
          <w:kern w:val="0"/>
        </w:rPr>
        <w:t xml:space="preserve"> of </w:t>
      </w:r>
      <w:r>
        <w:rPr>
          <w:kern w:val="0"/>
        </w:rPr>
        <w:t>AIH, including in patients intolerant to standard therapy with prednisone alone or with azathioprine, with a reduced incidence</w:t>
      </w:r>
      <w:r w:rsidR="00427468">
        <w:rPr>
          <w:kern w:val="0"/>
        </w:rPr>
        <w:t xml:space="preserve"> of </w:t>
      </w:r>
      <w:r>
        <w:rPr>
          <w:kern w:val="0"/>
        </w:rPr>
        <w:t>corticosteroid-related adverse reactions. However, in patients with AIH</w:t>
      </w:r>
      <w:r w:rsidR="005853A9">
        <w:rPr>
          <w:kern w:val="0"/>
        </w:rPr>
        <w:t xml:space="preserve"> and </w:t>
      </w:r>
      <w:r>
        <w:rPr>
          <w:kern w:val="0"/>
        </w:rPr>
        <w:t>cirrhosis,</w:t>
      </w:r>
      <w:r w:rsidR="003A1917">
        <w:rPr>
          <w:kern w:val="0"/>
        </w:rPr>
        <w:t xml:space="preserve"> the </w:t>
      </w:r>
      <w:r>
        <w:rPr>
          <w:kern w:val="0"/>
        </w:rPr>
        <w:t>efficacy</w:t>
      </w:r>
      <w:r w:rsidR="00427468">
        <w:rPr>
          <w:kern w:val="0"/>
        </w:rPr>
        <w:t xml:space="preserve"> of </w:t>
      </w:r>
      <w:r>
        <w:rPr>
          <w:kern w:val="0"/>
        </w:rPr>
        <w:t>budesonide may be reduced</w:t>
      </w:r>
      <w:r w:rsidR="005853A9">
        <w:rPr>
          <w:kern w:val="0"/>
        </w:rPr>
        <w:t xml:space="preserve"> and </w:t>
      </w:r>
      <w:r w:rsidR="003A1917">
        <w:rPr>
          <w:kern w:val="0"/>
        </w:rPr>
        <w:t xml:space="preserve">the </w:t>
      </w:r>
      <w:r>
        <w:rPr>
          <w:kern w:val="0"/>
        </w:rPr>
        <w:t>incidence</w:t>
      </w:r>
      <w:r w:rsidR="00427468">
        <w:rPr>
          <w:kern w:val="0"/>
        </w:rPr>
        <w:t xml:space="preserve"> of </w:t>
      </w:r>
      <w:r>
        <w:rPr>
          <w:kern w:val="0"/>
        </w:rPr>
        <w:t>corticosteroid-related adverse reactions may be increased. CONCLUSIONS: Budesonide may be an additional treatment option for patients with AIH but without cirrhosis who are intolerant to standard therapy with prednisone or prednisone with azathioprine.</w:t>
      </w:r>
    </w:p>
    <w:p w:rsidR="00FE5A8D" w:rsidRDefault="00FE5A8D" w:rsidP="00FE5A8D">
      <w:pPr>
        <w:pStyle w:val="a3"/>
        <w:rPr>
          <w:kern w:val="0"/>
        </w:rPr>
      </w:pPr>
      <w:r>
        <w:rPr>
          <w:kern w:val="0"/>
        </w:rPr>
        <w:t xml:space="preserve">Keywords: Administration, Autoimmune, Autoimmune Hepatitis, Azathioprine, Budesonide, Chronic Active Hepatitis, Cirrhosis, Corticosteroid, Cyclosporine, Disease, Efficacy, English, Extraction, Glucocorticoid, Hepatitis, Immunosuppressive Therapy, Incidence, Intolerant, Literature, Mycophenolate-Mofetil, Patients, Publications, Remission, Review, Science, Selection, Steroid-Resistant, Tacrolimus, Therapy, Treatment, Trial, </w:t>
      </w:r>
      <w:r w:rsidR="00D5664A">
        <w:rPr>
          <w:kern w:val="0"/>
        </w:rPr>
        <w:t>Web</w:t>
      </w:r>
      <w:r w:rsidR="00427468">
        <w:rPr>
          <w:kern w:val="0"/>
        </w:rPr>
        <w:t xml:space="preserve"> of </w:t>
      </w:r>
      <w:r w:rsidR="00D5664A">
        <w:rPr>
          <w:kern w:val="0"/>
        </w:rPr>
        <w:t>Science</w:t>
      </w:r>
    </w:p>
    <w:p w:rsidR="00BB6DEA" w:rsidRDefault="00BB6DEA" w:rsidP="00BB6DEA">
      <w:pPr>
        <w:pStyle w:val="a3"/>
        <w:rPr>
          <w:kern w:val="0"/>
          <w:szCs w:val="24"/>
        </w:rPr>
      </w:pPr>
      <w:r>
        <w:rPr>
          <w:rFonts w:hint="eastAsia"/>
          <w:kern w:val="0"/>
          <w:szCs w:val="24"/>
        </w:rPr>
        <w:t xml:space="preserve">? </w:t>
      </w:r>
      <w:r>
        <w:rPr>
          <w:kern w:val="0"/>
          <w:szCs w:val="24"/>
        </w:rPr>
        <w:t>Baker, W.L.</w:t>
      </w:r>
      <w:r w:rsidR="005853A9">
        <w:rPr>
          <w:kern w:val="0"/>
          <w:szCs w:val="24"/>
        </w:rPr>
        <w:t xml:space="preserve"> and </w:t>
      </w:r>
      <w:r>
        <w:rPr>
          <w:kern w:val="0"/>
          <w:szCs w:val="24"/>
        </w:rPr>
        <w:t>White, W.B. (2011), Azilsartan medoxomil: A new angiotensin II receptor antagonist for treatment</w:t>
      </w:r>
      <w:r w:rsidR="00427468">
        <w:rPr>
          <w:kern w:val="0"/>
          <w:szCs w:val="24"/>
        </w:rPr>
        <w:t xml:space="preserve"> of </w:t>
      </w:r>
      <w:r>
        <w:rPr>
          <w:kern w:val="0"/>
          <w:szCs w:val="24"/>
        </w:rPr>
        <w:t xml:space="preserve">hypertension. </w:t>
      </w:r>
      <w:r>
        <w:rPr>
          <w:i/>
          <w:iCs/>
          <w:kern w:val="0"/>
          <w:szCs w:val="24"/>
        </w:rPr>
        <w:t>Annals</w:t>
      </w:r>
      <w:r w:rsidR="00427468">
        <w:rPr>
          <w:i/>
          <w:iCs/>
          <w:kern w:val="0"/>
          <w:szCs w:val="24"/>
        </w:rPr>
        <w:t xml:space="preserve"> of </w:t>
      </w:r>
      <w:r>
        <w:rPr>
          <w:i/>
          <w:iCs/>
          <w:kern w:val="0"/>
          <w:szCs w:val="24"/>
        </w:rPr>
        <w:t>Pharmacotherapy</w:t>
      </w:r>
      <w:r>
        <w:rPr>
          <w:kern w:val="0"/>
          <w:szCs w:val="24"/>
        </w:rPr>
        <w:t xml:space="preserve">, </w:t>
      </w:r>
      <w:r>
        <w:rPr>
          <w:b/>
          <w:bCs/>
          <w:kern w:val="0"/>
          <w:szCs w:val="24"/>
        </w:rPr>
        <w:t>45</w:t>
      </w:r>
      <w:r>
        <w:rPr>
          <w:kern w:val="0"/>
          <w:szCs w:val="24"/>
        </w:rPr>
        <w:t xml:space="preserve"> (12), 1506-1515.</w:t>
      </w:r>
    </w:p>
    <w:p w:rsidR="003B185E" w:rsidRDefault="003B185E" w:rsidP="003B185E">
      <w:pPr>
        <w:pStyle w:val="a3"/>
        <w:rPr>
          <w:kern w:val="0"/>
        </w:rPr>
      </w:pPr>
      <w:r>
        <w:rPr>
          <w:rFonts w:hint="eastAsia"/>
          <w:kern w:val="0"/>
        </w:rPr>
        <w:t xml:space="preserve">Full Text: </w:t>
      </w:r>
      <w:hyperlink r:id="rId933" w:history="1">
        <w:r w:rsidRPr="00BF4AEF">
          <w:rPr>
            <w:rStyle w:val="a5"/>
            <w:kern w:val="0"/>
          </w:rPr>
          <w:t>2011\Ann Pha45, 1506.pdf</w:t>
        </w:r>
      </w:hyperlink>
    </w:p>
    <w:p w:rsidR="00BB6DEA" w:rsidRDefault="00BB6DEA" w:rsidP="00BB6DEA">
      <w:pPr>
        <w:pStyle w:val="a3"/>
        <w:rPr>
          <w:kern w:val="0"/>
          <w:szCs w:val="24"/>
        </w:rPr>
      </w:pPr>
      <w:r>
        <w:rPr>
          <w:kern w:val="0"/>
          <w:szCs w:val="24"/>
        </w:rPr>
        <w:t>Abstract: OBJECTIVE: To evaluate</w:t>
      </w:r>
      <w:r w:rsidR="003A1917">
        <w:rPr>
          <w:kern w:val="0"/>
          <w:szCs w:val="24"/>
        </w:rPr>
        <w:t xml:space="preserve"> the </w:t>
      </w:r>
      <w:r>
        <w:rPr>
          <w:kern w:val="0"/>
          <w:szCs w:val="24"/>
        </w:rPr>
        <w:t>efficacy, safety,</w:t>
      </w:r>
      <w:r w:rsidR="005853A9">
        <w:rPr>
          <w:kern w:val="0"/>
          <w:szCs w:val="24"/>
        </w:rPr>
        <w:t xml:space="preserve"> and </w:t>
      </w:r>
      <w:r>
        <w:rPr>
          <w:kern w:val="0"/>
          <w:szCs w:val="24"/>
        </w:rPr>
        <w:t>clinical role</w:t>
      </w:r>
      <w:r w:rsidR="00427468">
        <w:rPr>
          <w:kern w:val="0"/>
          <w:szCs w:val="24"/>
        </w:rPr>
        <w:t xml:space="preserve"> of </w:t>
      </w:r>
      <w:r>
        <w:rPr>
          <w:kern w:val="0"/>
          <w:szCs w:val="24"/>
        </w:rPr>
        <w:t>azilsartan medoxomil, an angiotensin II receptor blocker (ARB) that recently gained Food</w:t>
      </w:r>
      <w:r w:rsidR="005853A9">
        <w:rPr>
          <w:kern w:val="0"/>
          <w:szCs w:val="24"/>
        </w:rPr>
        <w:t xml:space="preserve"> and </w:t>
      </w:r>
      <w:r>
        <w:rPr>
          <w:kern w:val="0"/>
          <w:szCs w:val="24"/>
        </w:rPr>
        <w:t>Drug Administration approval for lowering</w:t>
      </w:r>
      <w:r w:rsidR="00427468">
        <w:rPr>
          <w:kern w:val="0"/>
          <w:szCs w:val="24"/>
        </w:rPr>
        <w:t xml:space="preserve"> of </w:t>
      </w:r>
      <w:r>
        <w:rPr>
          <w:kern w:val="0"/>
          <w:szCs w:val="24"/>
        </w:rPr>
        <w:t>blood pressure (BP) in patients with hypertension. DATA SOURCES: A systematic review</w:t>
      </w:r>
      <w:r w:rsidR="00427468">
        <w:rPr>
          <w:kern w:val="0"/>
          <w:szCs w:val="24"/>
        </w:rPr>
        <w:t xml:space="preserve"> of </w:t>
      </w:r>
      <w:r w:rsidR="003A1917">
        <w:rPr>
          <w:kern w:val="0"/>
          <w:szCs w:val="24"/>
        </w:rPr>
        <w:t xml:space="preserve">the </w:t>
      </w:r>
      <w:r>
        <w:rPr>
          <w:kern w:val="0"/>
          <w:szCs w:val="24"/>
        </w:rPr>
        <w:t xml:space="preserve">literature was performed through August 2011 using </w:t>
      </w:r>
      <w:r w:rsidR="00D5664A">
        <w:rPr>
          <w:kern w:val="0"/>
          <w:szCs w:val="24"/>
        </w:rPr>
        <w:t>MEDLINE</w:t>
      </w:r>
      <w:r>
        <w:rPr>
          <w:kern w:val="0"/>
          <w:szCs w:val="24"/>
        </w:rPr>
        <w:t xml:space="preserve">, </w:t>
      </w:r>
      <w:r w:rsidR="00D5664A">
        <w:rPr>
          <w:kern w:val="0"/>
          <w:szCs w:val="24"/>
        </w:rPr>
        <w:t>Web</w:t>
      </w:r>
      <w:r w:rsidR="00427468">
        <w:rPr>
          <w:kern w:val="0"/>
          <w:szCs w:val="24"/>
        </w:rPr>
        <w:t xml:space="preserve"> of </w:t>
      </w:r>
      <w:r w:rsidR="00D5664A">
        <w:rPr>
          <w:kern w:val="0"/>
          <w:szCs w:val="24"/>
        </w:rPr>
        <w:t>Science</w:t>
      </w:r>
      <w:r>
        <w:rPr>
          <w:kern w:val="0"/>
          <w:szCs w:val="24"/>
        </w:rPr>
        <w:t>,</w:t>
      </w:r>
      <w:r w:rsidR="005853A9">
        <w:rPr>
          <w:kern w:val="0"/>
          <w:szCs w:val="24"/>
        </w:rPr>
        <w:t xml:space="preserve"> and </w:t>
      </w:r>
      <w:r>
        <w:rPr>
          <w:kern w:val="0"/>
          <w:szCs w:val="24"/>
        </w:rPr>
        <w:t>International Pharmaceutical Abstracts</w:t>
      </w:r>
      <w:r w:rsidR="005853A9">
        <w:rPr>
          <w:kern w:val="0"/>
          <w:szCs w:val="24"/>
        </w:rPr>
        <w:t xml:space="preserve"> and </w:t>
      </w:r>
      <w:r w:rsidR="003A1917">
        <w:rPr>
          <w:kern w:val="0"/>
          <w:szCs w:val="24"/>
        </w:rPr>
        <w:t xml:space="preserve">the </w:t>
      </w:r>
      <w:r>
        <w:rPr>
          <w:kern w:val="0"/>
          <w:szCs w:val="24"/>
        </w:rPr>
        <w:t>key words</w:t>
      </w:r>
      <w:r w:rsidR="005853A9">
        <w:rPr>
          <w:kern w:val="0"/>
          <w:szCs w:val="24"/>
        </w:rPr>
        <w:t xml:space="preserve"> and </w:t>
      </w:r>
      <w:r>
        <w:rPr>
          <w:kern w:val="0"/>
          <w:szCs w:val="24"/>
        </w:rPr>
        <w:t>MeSH terms azilsartan, azilsartan medoxomil, TAK-491, TAK-536,</w:t>
      </w:r>
      <w:r w:rsidR="005853A9">
        <w:rPr>
          <w:kern w:val="0"/>
          <w:szCs w:val="24"/>
        </w:rPr>
        <w:t xml:space="preserve"> and </w:t>
      </w:r>
      <w:r>
        <w:rPr>
          <w:kern w:val="0"/>
          <w:szCs w:val="24"/>
        </w:rPr>
        <w:t>Edarbi. Abstracts presented in</w:t>
      </w:r>
      <w:r w:rsidR="003A1917">
        <w:rPr>
          <w:kern w:val="0"/>
          <w:szCs w:val="24"/>
        </w:rPr>
        <w:t xml:space="preserve"> the </w:t>
      </w:r>
      <w:r>
        <w:rPr>
          <w:kern w:val="0"/>
          <w:szCs w:val="24"/>
        </w:rPr>
        <w:t>last 2 years from</w:t>
      </w:r>
      <w:r w:rsidR="003A1917">
        <w:rPr>
          <w:kern w:val="0"/>
          <w:szCs w:val="24"/>
        </w:rPr>
        <w:t xml:space="preserve"> the </w:t>
      </w:r>
      <w:r>
        <w:rPr>
          <w:kern w:val="0"/>
          <w:szCs w:val="24"/>
        </w:rPr>
        <w:t>annual meetings</w:t>
      </w:r>
      <w:r w:rsidR="00427468">
        <w:rPr>
          <w:kern w:val="0"/>
          <w:szCs w:val="24"/>
        </w:rPr>
        <w:t xml:space="preserve"> of </w:t>
      </w:r>
      <w:r>
        <w:rPr>
          <w:kern w:val="0"/>
          <w:szCs w:val="24"/>
        </w:rPr>
        <w:t>appropriate medical societies were reviewed in addition to a search</w:t>
      </w:r>
      <w:r w:rsidR="00427468">
        <w:rPr>
          <w:kern w:val="0"/>
          <w:szCs w:val="24"/>
        </w:rPr>
        <w:t xml:space="preserve"> of </w:t>
      </w:r>
      <w:r>
        <w:rPr>
          <w:kern w:val="0"/>
          <w:szCs w:val="24"/>
        </w:rPr>
        <w:t>clinicaltrials.gov. STUDY SELECTION</w:t>
      </w:r>
      <w:r w:rsidR="005853A9">
        <w:rPr>
          <w:kern w:val="0"/>
          <w:szCs w:val="24"/>
        </w:rPr>
        <w:t xml:space="preserve"> and </w:t>
      </w:r>
      <w:r>
        <w:rPr>
          <w:kern w:val="0"/>
          <w:szCs w:val="24"/>
        </w:rPr>
        <w:t>DATA EXTRACTION: Studies eligible for inclusion were in vitro or in vivo evaluations</w:t>
      </w:r>
      <w:r w:rsidR="00427468">
        <w:rPr>
          <w:kern w:val="0"/>
          <w:szCs w:val="24"/>
        </w:rPr>
        <w:t xml:space="preserve"> of </w:t>
      </w:r>
      <w:r>
        <w:rPr>
          <w:kern w:val="0"/>
          <w:szCs w:val="24"/>
        </w:rPr>
        <w:t>azilsartan medoxomil, with no restrictions on patient population or indication. Data related to</w:t>
      </w:r>
      <w:r w:rsidR="003A1917">
        <w:rPr>
          <w:kern w:val="0"/>
          <w:szCs w:val="24"/>
        </w:rPr>
        <w:t xml:space="preserve"> the </w:t>
      </w:r>
      <w:r>
        <w:rPr>
          <w:kern w:val="0"/>
          <w:szCs w:val="24"/>
        </w:rPr>
        <w:t>patient populations</w:t>
      </w:r>
      <w:r w:rsidR="005853A9">
        <w:rPr>
          <w:kern w:val="0"/>
          <w:szCs w:val="24"/>
        </w:rPr>
        <w:t xml:space="preserve"> and </w:t>
      </w:r>
      <w:r>
        <w:rPr>
          <w:kern w:val="0"/>
          <w:szCs w:val="24"/>
        </w:rPr>
        <w:t>outcomes</w:t>
      </w:r>
      <w:r w:rsidR="00427468">
        <w:rPr>
          <w:kern w:val="0"/>
          <w:szCs w:val="24"/>
        </w:rPr>
        <w:t xml:space="preserve"> of </w:t>
      </w:r>
      <w:r>
        <w:rPr>
          <w:kern w:val="0"/>
          <w:szCs w:val="24"/>
        </w:rPr>
        <w:t>interest were extracted from each publication. DATA SYNTHESIS: Three trials are available in full publication form with others available only as abstracts. Azilsartan medoxomil 40 mg</w:t>
      </w:r>
      <w:r w:rsidR="005853A9">
        <w:rPr>
          <w:kern w:val="0"/>
          <w:szCs w:val="24"/>
        </w:rPr>
        <w:t xml:space="preserve"> and </w:t>
      </w:r>
      <w:r>
        <w:rPr>
          <w:kern w:val="0"/>
          <w:szCs w:val="24"/>
        </w:rPr>
        <w:t>80 mg daily significantly improves both systolic</w:t>
      </w:r>
      <w:r w:rsidR="005853A9">
        <w:rPr>
          <w:kern w:val="0"/>
          <w:szCs w:val="24"/>
        </w:rPr>
        <w:t xml:space="preserve"> and </w:t>
      </w:r>
      <w:r>
        <w:rPr>
          <w:kern w:val="0"/>
          <w:szCs w:val="24"/>
        </w:rPr>
        <w:t>diastolic BP from baseline compared with placebo,</w:t>
      </w:r>
      <w:r w:rsidR="005853A9">
        <w:rPr>
          <w:kern w:val="0"/>
          <w:szCs w:val="24"/>
        </w:rPr>
        <w:t xml:space="preserve"> and </w:t>
      </w:r>
      <w:r w:rsidR="003A1917">
        <w:rPr>
          <w:kern w:val="0"/>
          <w:szCs w:val="24"/>
        </w:rPr>
        <w:t xml:space="preserve">the </w:t>
      </w:r>
      <w:r>
        <w:rPr>
          <w:kern w:val="0"/>
          <w:szCs w:val="24"/>
        </w:rPr>
        <w:t>80-mg dose has greater efficacy than other ARBs, including olmesartan 40 mg daily</w:t>
      </w:r>
      <w:r w:rsidR="005853A9">
        <w:rPr>
          <w:kern w:val="0"/>
          <w:szCs w:val="24"/>
        </w:rPr>
        <w:t xml:space="preserve"> and </w:t>
      </w:r>
      <w:r>
        <w:rPr>
          <w:kern w:val="0"/>
          <w:szCs w:val="24"/>
        </w:rPr>
        <w:t>valsartan 320 mg daily. Improvements in both 24-hour BP using ambulatory monitoring</w:t>
      </w:r>
      <w:r w:rsidR="005853A9">
        <w:rPr>
          <w:kern w:val="0"/>
          <w:szCs w:val="24"/>
        </w:rPr>
        <w:t xml:space="preserve"> and </w:t>
      </w:r>
      <w:r>
        <w:rPr>
          <w:kern w:val="0"/>
          <w:szCs w:val="24"/>
        </w:rPr>
        <w:t>clinic monitoring have been seen with azilsartan medoxomil as well as a higher proportion</w:t>
      </w:r>
      <w:r w:rsidR="00427468">
        <w:rPr>
          <w:kern w:val="0"/>
          <w:szCs w:val="24"/>
        </w:rPr>
        <w:t xml:space="preserve"> of </w:t>
      </w:r>
      <w:r>
        <w:rPr>
          <w:kern w:val="0"/>
          <w:szCs w:val="24"/>
        </w:rPr>
        <w:t>patients reaching</w:t>
      </w:r>
      <w:r w:rsidR="003A1917">
        <w:rPr>
          <w:kern w:val="0"/>
          <w:szCs w:val="24"/>
        </w:rPr>
        <w:t xml:space="preserve"> the </w:t>
      </w:r>
      <w:r>
        <w:rPr>
          <w:kern w:val="0"/>
          <w:szCs w:val="24"/>
        </w:rPr>
        <w:t xml:space="preserve">goal </w:t>
      </w:r>
      <w:r>
        <w:rPr>
          <w:kern w:val="0"/>
          <w:szCs w:val="24"/>
        </w:rPr>
        <w:lastRenderedPageBreak/>
        <w:t>level. Additional information shows added BP lowering when azilsartan medoxomil is combined with chlorthalidone. Adverse events are similar with azilsartan medoxomil versus other ARBs</w:t>
      </w:r>
      <w:r w:rsidR="005853A9">
        <w:rPr>
          <w:kern w:val="0"/>
          <w:szCs w:val="24"/>
        </w:rPr>
        <w:t xml:space="preserve"> and </w:t>
      </w:r>
      <w:r>
        <w:rPr>
          <w:kern w:val="0"/>
          <w:szCs w:val="24"/>
        </w:rPr>
        <w:t>include headache, dizziness, urinary tract infections,</w:t>
      </w:r>
      <w:r w:rsidR="005853A9">
        <w:rPr>
          <w:kern w:val="0"/>
          <w:szCs w:val="24"/>
        </w:rPr>
        <w:t xml:space="preserve"> and </w:t>
      </w:r>
      <w:r>
        <w:rPr>
          <w:kern w:val="0"/>
          <w:szCs w:val="24"/>
        </w:rPr>
        <w:t>fatigue. CONCLUSIONS: Azilsartan medoxomil is a safe</w:t>
      </w:r>
      <w:r w:rsidR="005853A9">
        <w:rPr>
          <w:kern w:val="0"/>
          <w:szCs w:val="24"/>
        </w:rPr>
        <w:t xml:space="preserve"> and </w:t>
      </w:r>
      <w:r>
        <w:rPr>
          <w:kern w:val="0"/>
          <w:szCs w:val="24"/>
        </w:rPr>
        <w:t>effective ARB with a unique pharmacologic profile versus other agents, including slowed angiotensin II type 1 receptor dissociation rates</w:t>
      </w:r>
      <w:r w:rsidR="005853A9">
        <w:rPr>
          <w:kern w:val="0"/>
          <w:szCs w:val="24"/>
        </w:rPr>
        <w:t xml:space="preserve"> and </w:t>
      </w:r>
      <w:r>
        <w:rPr>
          <w:kern w:val="0"/>
          <w:szCs w:val="24"/>
        </w:rPr>
        <w:t>improved receptor specificity. Studies have shown azilsartan medoxomil 80 mg once daily to reduce BP to a greater extent than valsartan</w:t>
      </w:r>
      <w:r w:rsidR="005853A9">
        <w:rPr>
          <w:kern w:val="0"/>
          <w:szCs w:val="24"/>
        </w:rPr>
        <w:t xml:space="preserve"> and </w:t>
      </w:r>
      <w:r>
        <w:rPr>
          <w:kern w:val="0"/>
          <w:szCs w:val="24"/>
        </w:rPr>
        <w:t>olmesartan, with similar safety</w:t>
      </w:r>
      <w:r w:rsidR="005853A9">
        <w:rPr>
          <w:kern w:val="0"/>
          <w:szCs w:val="24"/>
        </w:rPr>
        <w:t xml:space="preserve"> and </w:t>
      </w:r>
      <w:r>
        <w:rPr>
          <w:kern w:val="0"/>
          <w:szCs w:val="24"/>
        </w:rPr>
        <w:t>tolerability.</w:t>
      </w:r>
    </w:p>
    <w:p w:rsidR="00BB6DEA" w:rsidRDefault="00BB6DEA" w:rsidP="00BB6DEA">
      <w:pPr>
        <w:pStyle w:val="a3"/>
        <w:rPr>
          <w:kern w:val="0"/>
          <w:szCs w:val="24"/>
        </w:rPr>
      </w:pPr>
      <w:r>
        <w:rPr>
          <w:kern w:val="0"/>
          <w:szCs w:val="24"/>
        </w:rPr>
        <w:t xml:space="preserve">Keywords: Administration, Ambulatory Blood-Pressure, Angiotensin Receptor Blocker, At(1)-Receptor Blockers, Azilsartan Medoxomil, Blood, Blood Pressure, Cardiovascular Events, Discontinuation, Dissociation, Dizziness, Efficacy, Extraction, Fatigue, High-Risk Patients, Hydrochlorothiazide, Hypertension, In Vivo, Indication, Information, Interest, International, Literature, Long-Term Reproducibility, Medical, </w:t>
      </w:r>
      <w:r w:rsidR="00D5664A">
        <w:rPr>
          <w:kern w:val="0"/>
          <w:szCs w:val="24"/>
        </w:rPr>
        <w:t>MEDLINE</w:t>
      </w:r>
      <w:r>
        <w:rPr>
          <w:kern w:val="0"/>
          <w:szCs w:val="24"/>
        </w:rPr>
        <w:t xml:space="preserve">, Monitoring, Outcomes, Patients, Persistence, Pharmaceutical, Pharmacologic, Pressure, Profile, Publication, Review, Safety, Science, Selection, Specificity, Systematic, Systematic Review, Tak-491, Telmisartan, Tolerability, Tract, Type 1, Urinary Tract Infections, </w:t>
      </w:r>
      <w:r w:rsidR="00D5664A">
        <w:rPr>
          <w:kern w:val="0"/>
          <w:szCs w:val="24"/>
        </w:rPr>
        <w:t>Web</w:t>
      </w:r>
      <w:r w:rsidR="00427468">
        <w:rPr>
          <w:kern w:val="0"/>
          <w:szCs w:val="24"/>
        </w:rPr>
        <w:t xml:space="preserve"> of </w:t>
      </w:r>
      <w:r w:rsidR="00D5664A">
        <w:rPr>
          <w:kern w:val="0"/>
          <w:szCs w:val="24"/>
        </w:rPr>
        <w:t>Science</w:t>
      </w:r>
    </w:p>
    <w:p w:rsidR="005F002F" w:rsidRDefault="005F002F" w:rsidP="005F002F">
      <w:pPr>
        <w:pStyle w:val="a3"/>
        <w:rPr>
          <w:kern w:val="0"/>
        </w:rPr>
      </w:pPr>
      <w:r>
        <w:rPr>
          <w:rFonts w:hint="eastAsia"/>
          <w:kern w:val="0"/>
        </w:rPr>
        <w:t xml:space="preserve">? </w:t>
      </w:r>
      <w:r>
        <w:rPr>
          <w:kern w:val="0"/>
        </w:rPr>
        <w:t>Scharman, E.J.</w:t>
      </w:r>
      <w:r w:rsidR="005853A9">
        <w:rPr>
          <w:kern w:val="0"/>
        </w:rPr>
        <w:t xml:space="preserve"> and </w:t>
      </w:r>
      <w:r>
        <w:rPr>
          <w:kern w:val="0"/>
        </w:rPr>
        <w:t>Troutman, W.G. (2013), Prevention</w:t>
      </w:r>
      <w:r w:rsidR="00427468">
        <w:rPr>
          <w:kern w:val="0"/>
        </w:rPr>
        <w:t xml:space="preserve"> of </w:t>
      </w:r>
      <w:r>
        <w:rPr>
          <w:kern w:val="0"/>
        </w:rPr>
        <w:t xml:space="preserve">kidney injury following rhabdomyolysis: A systematic review. </w:t>
      </w:r>
      <w:r>
        <w:rPr>
          <w:i/>
          <w:iCs/>
          <w:kern w:val="0"/>
        </w:rPr>
        <w:t>Annals</w:t>
      </w:r>
      <w:r w:rsidR="00427468">
        <w:rPr>
          <w:i/>
          <w:iCs/>
          <w:kern w:val="0"/>
        </w:rPr>
        <w:t xml:space="preserve"> of </w:t>
      </w:r>
      <w:r>
        <w:rPr>
          <w:i/>
          <w:iCs/>
          <w:kern w:val="0"/>
        </w:rPr>
        <w:t>Pharmacotherapy</w:t>
      </w:r>
      <w:r>
        <w:rPr>
          <w:kern w:val="0"/>
        </w:rPr>
        <w:t xml:space="preserve">, </w:t>
      </w:r>
      <w:r>
        <w:rPr>
          <w:b/>
          <w:bCs/>
          <w:kern w:val="0"/>
        </w:rPr>
        <w:t>47</w:t>
      </w:r>
      <w:r>
        <w:rPr>
          <w:kern w:val="0"/>
        </w:rPr>
        <w:t xml:space="preserve"> (1), 90-105.</w:t>
      </w:r>
    </w:p>
    <w:p w:rsidR="005F002F" w:rsidRDefault="005F002F" w:rsidP="005F002F">
      <w:pPr>
        <w:pStyle w:val="a3"/>
        <w:rPr>
          <w:kern w:val="0"/>
        </w:rPr>
      </w:pPr>
      <w:r>
        <w:rPr>
          <w:rFonts w:hint="eastAsia"/>
          <w:kern w:val="0"/>
        </w:rPr>
        <w:t xml:space="preserve">Full Text: </w:t>
      </w:r>
      <w:hyperlink r:id="rId934" w:history="1">
        <w:r w:rsidR="00A12DC6" w:rsidRPr="00A12DC6">
          <w:rPr>
            <w:rStyle w:val="a5"/>
            <w:kern w:val="0"/>
          </w:rPr>
          <w:t>2013\Ann Pha47, 90.pdf</w:t>
        </w:r>
      </w:hyperlink>
    </w:p>
    <w:p w:rsidR="005F002F" w:rsidRDefault="005F002F" w:rsidP="005F002F">
      <w:pPr>
        <w:pStyle w:val="a3"/>
        <w:rPr>
          <w:kern w:val="0"/>
        </w:rPr>
      </w:pPr>
      <w:r>
        <w:rPr>
          <w:kern w:val="0"/>
        </w:rPr>
        <w:t>Abstract: OBJECTIVE: To conduct a systematic literature review to evaluate evidence-based recommendations for the prevention</w:t>
      </w:r>
      <w:r w:rsidR="00427468">
        <w:rPr>
          <w:kern w:val="0"/>
        </w:rPr>
        <w:t xml:space="preserve"> of </w:t>
      </w:r>
      <w:r>
        <w:rPr>
          <w:kern w:val="0"/>
        </w:rPr>
        <w:t>rhabdomyolysis-associated acute renal failure (ARF). DATA SOURCES: PubMed (1966-December 2012), International Pharmaceutical Abstracts, Science Citation Index,</w:t>
      </w:r>
      <w:r w:rsidR="005853A9">
        <w:rPr>
          <w:kern w:val="0"/>
        </w:rPr>
        <w:t xml:space="preserve"> and </w:t>
      </w:r>
      <w:r>
        <w:rPr>
          <w:kern w:val="0"/>
        </w:rPr>
        <w:t>Cochrane databases (1970-December 2012) were searched</w:t>
      </w:r>
      <w:r w:rsidR="00A37C1D">
        <w:rPr>
          <w:kern w:val="0"/>
        </w:rPr>
        <w:t>. The</w:t>
      </w:r>
      <w:r>
        <w:rPr>
          <w:kern w:val="0"/>
        </w:rPr>
        <w:t>re were no language restrictions. STUDY SELECTION</w:t>
      </w:r>
      <w:r w:rsidR="005853A9">
        <w:rPr>
          <w:kern w:val="0"/>
        </w:rPr>
        <w:t xml:space="preserve"> and </w:t>
      </w:r>
      <w:r>
        <w:rPr>
          <w:kern w:val="0"/>
        </w:rPr>
        <w:t>DATA EXTRACTION: Studies selected dealt with treatment</w:t>
      </w:r>
      <w:r w:rsidR="00427468">
        <w:rPr>
          <w:kern w:val="0"/>
        </w:rPr>
        <w:t xml:space="preserve"> of </w:t>
      </w:r>
      <w:r>
        <w:rPr>
          <w:kern w:val="0"/>
        </w:rPr>
        <w:t>rhabdomyolysis (crush syndrome) or prevention</w:t>
      </w:r>
      <w:r w:rsidR="00427468">
        <w:rPr>
          <w:kern w:val="0"/>
        </w:rPr>
        <w:t xml:space="preserve"> of </w:t>
      </w:r>
      <w:r>
        <w:rPr>
          <w:kern w:val="0"/>
        </w:rPr>
        <w:t>ARF in patients with rhabdomyolysis. Articles excluded did not present original data or described only the management</w:t>
      </w:r>
      <w:r w:rsidR="00427468">
        <w:rPr>
          <w:kern w:val="0"/>
        </w:rPr>
        <w:t xml:space="preserve"> of </w:t>
      </w:r>
      <w:r>
        <w:rPr>
          <w:kern w:val="0"/>
        </w:rPr>
        <w:t>ARF after it developed. Single case reports were excluded. Extracted data included study type; population; definitions</w:t>
      </w:r>
      <w:r w:rsidR="00427468">
        <w:rPr>
          <w:kern w:val="0"/>
        </w:rPr>
        <w:t xml:space="preserve"> of </w:t>
      </w:r>
      <w:r>
        <w:rPr>
          <w:kern w:val="0"/>
        </w:rPr>
        <w:t>rhabdomyolysis</w:t>
      </w:r>
      <w:r w:rsidR="005853A9">
        <w:rPr>
          <w:kern w:val="0"/>
        </w:rPr>
        <w:t xml:space="preserve"> and </w:t>
      </w:r>
      <w:r>
        <w:rPr>
          <w:kern w:val="0"/>
        </w:rPr>
        <w:t>ARF; fluid, sodium bicarbonate,</w:t>
      </w:r>
      <w:r w:rsidR="005853A9">
        <w:rPr>
          <w:kern w:val="0"/>
        </w:rPr>
        <w:t xml:space="preserve"> and </w:t>
      </w:r>
      <w:r>
        <w:rPr>
          <w:kern w:val="0"/>
        </w:rPr>
        <w:t>mannitol dosages;</w:t>
      </w:r>
      <w:r w:rsidR="005853A9">
        <w:rPr>
          <w:kern w:val="0"/>
        </w:rPr>
        <w:t xml:space="preserve"> and </w:t>
      </w:r>
      <w:r>
        <w:rPr>
          <w:kern w:val="0"/>
        </w:rPr>
        <w:t>study findings. DATA SYNTHESIS: Twenty-seven studies met the inclusion criteria. No controlled trials compared intravenous fluid administration plus sodium bicarbonate to fluid administration alone. Three concluded that there was no significant difference in the rates</w:t>
      </w:r>
      <w:r w:rsidR="00427468">
        <w:rPr>
          <w:kern w:val="0"/>
        </w:rPr>
        <w:t xml:space="preserve"> of </w:t>
      </w:r>
      <w:r>
        <w:rPr>
          <w:kern w:val="0"/>
        </w:rPr>
        <w:t>ARF between patients receiving</w:t>
      </w:r>
      <w:r w:rsidR="005853A9">
        <w:rPr>
          <w:kern w:val="0"/>
        </w:rPr>
        <w:t xml:space="preserve"> and </w:t>
      </w:r>
      <w:r>
        <w:rPr>
          <w:kern w:val="0"/>
        </w:rPr>
        <w:t>those not receiving sodium bicarbonate; however, urine alkalinization was not documented. Eight investigations concluded that delayed fluid administration increased the risk</w:t>
      </w:r>
      <w:r w:rsidR="00427468">
        <w:rPr>
          <w:kern w:val="0"/>
        </w:rPr>
        <w:t xml:space="preserve"> of </w:t>
      </w:r>
      <w:r>
        <w:rPr>
          <w:kern w:val="0"/>
        </w:rPr>
        <w:t>ARF. No controlled study compared volumes</w:t>
      </w:r>
      <w:r w:rsidR="00427468">
        <w:rPr>
          <w:kern w:val="0"/>
        </w:rPr>
        <w:t xml:space="preserve"> of </w:t>
      </w:r>
      <w:r>
        <w:rPr>
          <w:kern w:val="0"/>
        </w:rPr>
        <w:t>fluid administered or targeted urine output goals. Fluid type, therapy duration,</w:t>
      </w:r>
      <w:r w:rsidR="005853A9">
        <w:rPr>
          <w:kern w:val="0"/>
        </w:rPr>
        <w:t xml:space="preserve"> and </w:t>
      </w:r>
      <w:r>
        <w:rPr>
          <w:kern w:val="0"/>
        </w:rPr>
        <w:t xml:space="preserve">monitoring parameters varied widely; 4 used a urine output goal in </w:t>
      </w:r>
      <w:r>
        <w:rPr>
          <w:kern w:val="0"/>
        </w:rPr>
        <w:lastRenderedPageBreak/>
        <w:t>adults</w:t>
      </w:r>
      <w:r w:rsidR="00427468">
        <w:rPr>
          <w:kern w:val="0"/>
        </w:rPr>
        <w:t xml:space="preserve"> of </w:t>
      </w:r>
      <w:r>
        <w:rPr>
          <w:kern w:val="0"/>
        </w:rPr>
        <w:t>more than 300 mL/h or 300 mL/h or more. No evidence supported a preferred fluid type or that sodium bicarbonate with or without mannitol was superior to fluid therapy alone. CONCLUSIONS: Intravenous fluids should be initiated as soon as possible, preferably within the first 6 hours after muscle injury, at a rate that maintains a urine output in adults</w:t>
      </w:r>
      <w:r w:rsidR="00427468">
        <w:rPr>
          <w:kern w:val="0"/>
        </w:rPr>
        <w:t xml:space="preserve"> of </w:t>
      </w:r>
      <w:r>
        <w:rPr>
          <w:kern w:val="0"/>
        </w:rPr>
        <w:t>300 mL/h or more for at least the first 24 hours. Sodium bicarbonate should be administered only if necessary to correct systemic acidosis</w:t>
      </w:r>
      <w:r w:rsidR="005853A9">
        <w:rPr>
          <w:kern w:val="0"/>
        </w:rPr>
        <w:t xml:space="preserve"> and </w:t>
      </w:r>
      <w:r>
        <w:rPr>
          <w:kern w:val="0"/>
        </w:rPr>
        <w:t>mannitol only to maintain urine output</w:t>
      </w:r>
      <w:r w:rsidR="00427468">
        <w:rPr>
          <w:kern w:val="0"/>
        </w:rPr>
        <w:t xml:space="preserve"> of </w:t>
      </w:r>
      <w:r>
        <w:rPr>
          <w:kern w:val="0"/>
        </w:rPr>
        <w:t>300 mL/h or more despite adequate fluid administration.</w:t>
      </w:r>
    </w:p>
    <w:p w:rsidR="005F002F" w:rsidRDefault="005F002F" w:rsidP="005F002F">
      <w:pPr>
        <w:pStyle w:val="a3"/>
        <w:rPr>
          <w:kern w:val="0"/>
        </w:rPr>
      </w:pPr>
      <w:r>
        <w:rPr>
          <w:kern w:val="0"/>
        </w:rPr>
        <w:t xml:space="preserve">Keywords: Acidosis, Acute Renal Failure, Acute-Renal-Failure, Administration, Articles, Bam Earthquake, Case Reports, Citation, Criteria, Data, Databases, Duration, Evidence, Evidence Based, Evidence-Based, Extraction, Failure, First, Fluid Resuscitation, Hanshin-Awaji Earthquake, Injury, Intravenous, Investigations, Language, Literature, Literature Review, Management, Mannitol, Marmara Earthquake, Mass Disasters, Monitoring, Muscle, Muscle-Crush Injury, Oak, Patients, Pharmaceutical, Pharmacy, Population, Prevention, Publication, Publications, Pubmed, Rates, Recommendations, Renal, Renal Failure, Restrictions, Review, Rhabdomyolysis, Risk, Science, Science Citation Index, Selection, Sodium, Syndrome, Therapy, Traumatic Rhabdomyolysis, Treatment, Urine, </w:t>
      </w:r>
      <w:r w:rsidR="00D5664A">
        <w:rPr>
          <w:kern w:val="0"/>
        </w:rPr>
        <w:t>USA</w:t>
      </w:r>
      <w:r>
        <w:rPr>
          <w:kern w:val="0"/>
        </w:rPr>
        <w:t>, Victims, Virginia</w:t>
      </w:r>
    </w:p>
    <w:p w:rsidR="005975F8" w:rsidRDefault="005975F8" w:rsidP="005975F8">
      <w:pPr>
        <w:pStyle w:val="a3"/>
        <w:rPr>
          <w:kern w:val="0"/>
        </w:rPr>
      </w:pPr>
      <w:r>
        <w:rPr>
          <w:rFonts w:hint="eastAsia"/>
          <w:kern w:val="0"/>
        </w:rPr>
        <w:t xml:space="preserve">? </w:t>
      </w:r>
      <w:r>
        <w:rPr>
          <w:kern w:val="0"/>
        </w:rPr>
        <w:t>Brunetti, L., Wagner, M.L., Maroney, M.</w:t>
      </w:r>
      <w:r w:rsidR="005853A9">
        <w:rPr>
          <w:kern w:val="0"/>
        </w:rPr>
        <w:t xml:space="preserve"> and </w:t>
      </w:r>
      <w:r>
        <w:rPr>
          <w:kern w:val="0"/>
        </w:rPr>
        <w:t>Ryan, M. (2013), Teriflunomide for the treatment</w:t>
      </w:r>
      <w:r w:rsidR="00427468">
        <w:rPr>
          <w:kern w:val="0"/>
        </w:rPr>
        <w:t xml:space="preserve"> of </w:t>
      </w:r>
      <w:r>
        <w:rPr>
          <w:kern w:val="0"/>
        </w:rPr>
        <w:t>relapsing multiple sclerosis: A review</w:t>
      </w:r>
      <w:r w:rsidR="00427468">
        <w:rPr>
          <w:kern w:val="0"/>
        </w:rPr>
        <w:t xml:space="preserve"> of </w:t>
      </w:r>
      <w:r>
        <w:rPr>
          <w:kern w:val="0"/>
        </w:rPr>
        <w:t xml:space="preserve">clinical data. </w:t>
      </w:r>
      <w:r>
        <w:rPr>
          <w:i/>
          <w:iCs/>
          <w:kern w:val="0"/>
        </w:rPr>
        <w:t>Annals</w:t>
      </w:r>
      <w:r w:rsidR="00427468">
        <w:rPr>
          <w:i/>
          <w:iCs/>
          <w:kern w:val="0"/>
        </w:rPr>
        <w:t xml:space="preserve"> of </w:t>
      </w:r>
      <w:r>
        <w:rPr>
          <w:i/>
          <w:iCs/>
          <w:kern w:val="0"/>
        </w:rPr>
        <w:t>Pharmacotherapy</w:t>
      </w:r>
      <w:r>
        <w:rPr>
          <w:kern w:val="0"/>
        </w:rPr>
        <w:t xml:space="preserve">, </w:t>
      </w:r>
      <w:r>
        <w:rPr>
          <w:b/>
          <w:bCs/>
          <w:kern w:val="0"/>
        </w:rPr>
        <w:t>47</w:t>
      </w:r>
      <w:r>
        <w:rPr>
          <w:kern w:val="0"/>
        </w:rPr>
        <w:t xml:space="preserve"> (9), 1153-1160.</w:t>
      </w:r>
    </w:p>
    <w:p w:rsidR="005975F8" w:rsidRDefault="005975F8" w:rsidP="005975F8">
      <w:pPr>
        <w:pStyle w:val="a3"/>
        <w:rPr>
          <w:kern w:val="0"/>
        </w:rPr>
      </w:pPr>
      <w:r>
        <w:rPr>
          <w:rFonts w:hint="eastAsia"/>
          <w:kern w:val="0"/>
        </w:rPr>
        <w:t xml:space="preserve">Full Text: </w:t>
      </w:r>
      <w:hyperlink r:id="rId935" w:history="1">
        <w:r w:rsidRPr="00B83328">
          <w:rPr>
            <w:rStyle w:val="a5"/>
            <w:kern w:val="0"/>
          </w:rPr>
          <w:t>2013\Ann Pha47, 1153.pdf</w:t>
        </w:r>
      </w:hyperlink>
    </w:p>
    <w:p w:rsidR="005975F8" w:rsidRDefault="005975F8" w:rsidP="005975F8">
      <w:pPr>
        <w:pStyle w:val="a3"/>
        <w:rPr>
          <w:kern w:val="0"/>
        </w:rPr>
      </w:pPr>
      <w:r>
        <w:rPr>
          <w:kern w:val="0"/>
        </w:rPr>
        <w:t>Abstract: Objective: To review the pharmacology</w:t>
      </w:r>
      <w:r w:rsidR="005853A9">
        <w:rPr>
          <w:kern w:val="0"/>
        </w:rPr>
        <w:t xml:space="preserve"> and </w:t>
      </w:r>
      <w:r>
        <w:rPr>
          <w:kern w:val="0"/>
        </w:rPr>
        <w:t>clinical data for teriflunomide in relapsing multiple sclerosis (MS). Data Sources: A literature search from 1966 to May 2013 using PubMed/</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International Pharmaceutical Abstracts, Academic Search Premiere, Science Citation Index,</w:t>
      </w:r>
      <w:r w:rsidR="005853A9">
        <w:rPr>
          <w:kern w:val="0"/>
        </w:rPr>
        <w:t xml:space="preserve"> and </w:t>
      </w:r>
      <w:r>
        <w:rPr>
          <w:kern w:val="0"/>
        </w:rPr>
        <w:t>the national clinical trials registry was performed using the terms teriflunomide, HMR1726,</w:t>
      </w:r>
      <w:r w:rsidR="005853A9">
        <w:rPr>
          <w:kern w:val="0"/>
        </w:rPr>
        <w:t xml:space="preserve"> and </w:t>
      </w:r>
      <w:r>
        <w:rPr>
          <w:kern w:val="0"/>
        </w:rPr>
        <w:t>A771726. All articles containing human clinical trial data</w:t>
      </w:r>
      <w:r w:rsidR="005853A9">
        <w:rPr>
          <w:kern w:val="0"/>
        </w:rPr>
        <w:t xml:space="preserve"> and </w:t>
      </w:r>
      <w:r>
        <w:rPr>
          <w:kern w:val="0"/>
        </w:rPr>
        <w:t>relevant pharmacologic information were reviewed. Study Selection/Data Extraction: Phase 2</w:t>
      </w:r>
      <w:r w:rsidR="005853A9">
        <w:rPr>
          <w:kern w:val="0"/>
        </w:rPr>
        <w:t xml:space="preserve"> and </w:t>
      </w:r>
      <w:r>
        <w:rPr>
          <w:kern w:val="0"/>
        </w:rPr>
        <w:t>phase 3 clinical trials for teriflunomide were evaluated. All peer-reviewed articles with clinically relevant information were reviewed. Priority for inclusion was placed on randomized controlled trials. Data Synthesis: Three phase 2</w:t>
      </w:r>
      <w:r w:rsidR="005853A9">
        <w:rPr>
          <w:kern w:val="0"/>
        </w:rPr>
        <w:t xml:space="preserve"> and </w:t>
      </w:r>
      <w:r>
        <w:rPr>
          <w:kern w:val="0"/>
        </w:rPr>
        <w:t>three phase 3 clinical trials have evaluated teriflunomide as monotherapy or as adjunctive therapy in approximately 3000 patients with relapsing forms</w:t>
      </w:r>
      <w:r w:rsidR="00427468">
        <w:rPr>
          <w:kern w:val="0"/>
        </w:rPr>
        <w:t xml:space="preserve"> of </w:t>
      </w:r>
      <w:r>
        <w:rPr>
          <w:kern w:val="0"/>
        </w:rPr>
        <w:t>MS</w:t>
      </w:r>
      <w:r w:rsidR="00A37C1D">
        <w:rPr>
          <w:kern w:val="0"/>
        </w:rPr>
        <w:t>. The</w:t>
      </w:r>
      <w:r>
        <w:rPr>
          <w:kern w:val="0"/>
        </w:rPr>
        <w:t xml:space="preserve"> phase 3 studies used annualized relapse rate, magnetic resonance imaging changes,</w:t>
      </w:r>
      <w:r w:rsidR="005853A9">
        <w:rPr>
          <w:kern w:val="0"/>
        </w:rPr>
        <w:t xml:space="preserve"> and </w:t>
      </w:r>
      <w:r>
        <w:rPr>
          <w:kern w:val="0"/>
        </w:rPr>
        <w:t>Expanded Disability Status Scale scores as outcome measures. One additional Phase 3 clinical study is ongoing</w:t>
      </w:r>
      <w:r w:rsidR="00A37C1D">
        <w:rPr>
          <w:kern w:val="0"/>
        </w:rPr>
        <w:t>. The</w:t>
      </w:r>
      <w:r>
        <w:rPr>
          <w:kern w:val="0"/>
        </w:rPr>
        <w:t xml:space="preserve"> annualized relapse rates</w:t>
      </w:r>
      <w:r w:rsidR="005853A9">
        <w:rPr>
          <w:kern w:val="0"/>
        </w:rPr>
        <w:t xml:space="preserve"> and </w:t>
      </w:r>
      <w:r>
        <w:rPr>
          <w:kern w:val="0"/>
        </w:rPr>
        <w:t>magnetic resonance imaging findings were improved compared to those with placebo</w:t>
      </w:r>
      <w:r w:rsidR="005853A9">
        <w:rPr>
          <w:kern w:val="0"/>
        </w:rPr>
        <w:t xml:space="preserve"> and </w:t>
      </w:r>
      <w:r>
        <w:rPr>
          <w:kern w:val="0"/>
        </w:rPr>
        <w:t xml:space="preserve">similar to or </w:t>
      </w:r>
      <w:r>
        <w:rPr>
          <w:kern w:val="0"/>
        </w:rPr>
        <w:lastRenderedPageBreak/>
        <w:t>improved compared with those with subcutaneously administered interferon-beta-1a 44 mu g thrice weekly. Durability</w:t>
      </w:r>
      <w:r w:rsidR="00427468">
        <w:rPr>
          <w:kern w:val="0"/>
        </w:rPr>
        <w:t xml:space="preserve"> of </w:t>
      </w:r>
      <w:r>
        <w:rPr>
          <w:kern w:val="0"/>
        </w:rPr>
        <w:t>response is supported by open-label extension studies. Common adverse events include increased liver function enzymes, alopecia, diarrhea, influenza, nausea,</w:t>
      </w:r>
      <w:r w:rsidR="005853A9">
        <w:rPr>
          <w:kern w:val="0"/>
        </w:rPr>
        <w:t xml:space="preserve"> and </w:t>
      </w:r>
      <w:r>
        <w:rPr>
          <w:kern w:val="0"/>
        </w:rPr>
        <w:t>paresthesias. Treatment discontinuation was not common</w:t>
      </w:r>
      <w:r w:rsidR="005853A9">
        <w:rPr>
          <w:kern w:val="0"/>
        </w:rPr>
        <w:t xml:space="preserve"> and </w:t>
      </w:r>
      <w:r>
        <w:rPr>
          <w:kern w:val="0"/>
        </w:rPr>
        <w:t>occurred in approximately 10%</w:t>
      </w:r>
      <w:r w:rsidR="00427468">
        <w:rPr>
          <w:kern w:val="0"/>
        </w:rPr>
        <w:t xml:space="preserve"> of </w:t>
      </w:r>
      <w:r>
        <w:rPr>
          <w:kern w:val="0"/>
        </w:rPr>
        <w:t>patients in phase 3 studies. Conclusions: Teriflunomide is an effective</w:t>
      </w:r>
      <w:r w:rsidR="005853A9">
        <w:rPr>
          <w:kern w:val="0"/>
        </w:rPr>
        <w:t xml:space="preserve"> and </w:t>
      </w:r>
      <w:r>
        <w:rPr>
          <w:kern w:val="0"/>
        </w:rPr>
        <w:t>safe oral treatment option for relapsing MS. It can be used as monotherapy or added to an interferon or glatiramer acetate. It reduces the rate</w:t>
      </w:r>
      <w:r w:rsidR="00427468">
        <w:rPr>
          <w:kern w:val="0"/>
        </w:rPr>
        <w:t xml:space="preserve"> of </w:t>
      </w:r>
      <w:r>
        <w:rPr>
          <w:kern w:val="0"/>
        </w:rPr>
        <w:t>relapse</w:t>
      </w:r>
      <w:r w:rsidR="005853A9">
        <w:rPr>
          <w:kern w:val="0"/>
        </w:rPr>
        <w:t xml:space="preserve"> and </w:t>
      </w:r>
      <w:r>
        <w:rPr>
          <w:kern w:val="0"/>
        </w:rPr>
        <w:t>may slow disease progression</w:t>
      </w:r>
      <w:r w:rsidR="00A37C1D">
        <w:rPr>
          <w:kern w:val="0"/>
        </w:rPr>
        <w:t>. The</w:t>
      </w:r>
      <w:r>
        <w:rPr>
          <w:kern w:val="0"/>
        </w:rPr>
        <w:t xml:space="preserve"> advantages</w:t>
      </w:r>
      <w:r w:rsidR="00427468">
        <w:rPr>
          <w:kern w:val="0"/>
        </w:rPr>
        <w:t xml:space="preserve"> of </w:t>
      </w:r>
      <w:r>
        <w:rPr>
          <w:kern w:val="0"/>
        </w:rPr>
        <w:t>this drug are the convenience</w:t>
      </w:r>
      <w:r w:rsidR="00427468">
        <w:rPr>
          <w:kern w:val="0"/>
        </w:rPr>
        <w:t xml:space="preserve"> of </w:t>
      </w:r>
      <w:r>
        <w:rPr>
          <w:kern w:val="0"/>
        </w:rPr>
        <w:t>oral administration</w:t>
      </w:r>
      <w:r w:rsidR="005853A9">
        <w:rPr>
          <w:kern w:val="0"/>
        </w:rPr>
        <w:t xml:space="preserve"> and </w:t>
      </w:r>
      <w:r>
        <w:rPr>
          <w:kern w:val="0"/>
        </w:rPr>
        <w:t>good tolerability</w:t>
      </w:r>
      <w:r w:rsidR="00A37C1D">
        <w:rPr>
          <w:kern w:val="0"/>
        </w:rPr>
        <w:t>. The</w:t>
      </w:r>
      <w:r>
        <w:rPr>
          <w:kern w:val="0"/>
        </w:rPr>
        <w:t xml:space="preserve"> disadvantage is the lack</w:t>
      </w:r>
      <w:r w:rsidR="00427468">
        <w:rPr>
          <w:kern w:val="0"/>
        </w:rPr>
        <w:t xml:space="preserve"> of </w:t>
      </w:r>
      <w:r>
        <w:rPr>
          <w:kern w:val="0"/>
        </w:rPr>
        <w:t>long-term safety data</w:t>
      </w:r>
      <w:r w:rsidR="005853A9">
        <w:rPr>
          <w:kern w:val="0"/>
        </w:rPr>
        <w:t xml:space="preserve"> and </w:t>
      </w:r>
      <w:r>
        <w:rPr>
          <w:kern w:val="0"/>
        </w:rPr>
        <w:t>data about the benefit</w:t>
      </w:r>
      <w:r w:rsidR="00427468">
        <w:rPr>
          <w:kern w:val="0"/>
        </w:rPr>
        <w:t xml:space="preserve"> of </w:t>
      </w:r>
      <w:r>
        <w:rPr>
          <w:kern w:val="0"/>
        </w:rPr>
        <w:t>combination therapy.</w:t>
      </w:r>
    </w:p>
    <w:p w:rsidR="005975F8" w:rsidRDefault="005975F8" w:rsidP="005975F8">
      <w:pPr>
        <w:pStyle w:val="a3"/>
        <w:rPr>
          <w:kern w:val="0"/>
        </w:rPr>
      </w:pPr>
      <w:r>
        <w:rPr>
          <w:kern w:val="0"/>
        </w:rPr>
        <w:t xml:space="preserve">Keywords: Academic, Acetate, Administration, Alopecia, Changes, Citation, Clinical, Clinical Study, Clinical Trial, Clinical Trials, Combination Therapy, Data, Disease, Drug, Enzymes, Events, Extraction, Forms, Function, Human, Imaging, Influenza, Information, Interferon, Literature, Literature Search, Liver, Long Term, Long-Term, Magnetic, Magnetic Resonance, Magnetic Resonance Imaging, Ms, Multiple Sclerosis, Nausea, Oral, Outcome, Outcome Measures, Patients, Peer-Reviewed, Pharmaceutical, Pharmacology, Placebo, Progression, Randomized, Randomized Controlled Trials, Rates, Registry, Relapse, Relapse Rate, Review, Safety, Scale, Science, Science Citation Index, Search, Synthesis, Therapy, Treatment, Treatment Option, Trial, </w:t>
      </w:r>
      <w:r w:rsidR="00D5664A">
        <w:rPr>
          <w:kern w:val="0"/>
        </w:rPr>
        <w:t>Web</w:t>
      </w:r>
      <w:r w:rsidR="00427468">
        <w:rPr>
          <w:kern w:val="0"/>
        </w:rPr>
        <w:t xml:space="preserve"> of </w:t>
      </w:r>
      <w:r w:rsidR="00D5664A">
        <w:rPr>
          <w:kern w:val="0"/>
        </w:rPr>
        <w:t>Science</w:t>
      </w:r>
    </w:p>
    <w:p w:rsidR="001240AB" w:rsidRDefault="001240AB" w:rsidP="001240AB">
      <w:pPr>
        <w:pStyle w:val="a3"/>
        <w:rPr>
          <w:kern w:val="0"/>
        </w:rPr>
      </w:pPr>
      <w:r>
        <w:rPr>
          <w:rFonts w:hint="eastAsia"/>
          <w:kern w:val="0"/>
        </w:rPr>
        <w:t xml:space="preserve">? </w:t>
      </w:r>
      <w:r>
        <w:rPr>
          <w:kern w:val="0"/>
        </w:rPr>
        <w:t>Nigro, S.C., Riche, D.M., Pheng, M.</w:t>
      </w:r>
      <w:r w:rsidR="005853A9">
        <w:rPr>
          <w:kern w:val="0"/>
        </w:rPr>
        <w:t xml:space="preserve"> and </w:t>
      </w:r>
      <w:r>
        <w:rPr>
          <w:kern w:val="0"/>
        </w:rPr>
        <w:t>Baker, W.L. (2013), Canagliflozin, a novel SGLT2 inhibitor for treatment</w:t>
      </w:r>
      <w:r w:rsidR="00427468">
        <w:rPr>
          <w:kern w:val="0"/>
        </w:rPr>
        <w:t xml:space="preserve"> of </w:t>
      </w:r>
      <w:r>
        <w:rPr>
          <w:kern w:val="0"/>
        </w:rPr>
        <w:t xml:space="preserve">type 2 diabetes. </w:t>
      </w:r>
      <w:r>
        <w:rPr>
          <w:i/>
          <w:iCs/>
          <w:kern w:val="0"/>
        </w:rPr>
        <w:t>Annals</w:t>
      </w:r>
      <w:r w:rsidR="00427468">
        <w:rPr>
          <w:i/>
          <w:iCs/>
          <w:kern w:val="0"/>
        </w:rPr>
        <w:t xml:space="preserve"> of </w:t>
      </w:r>
      <w:r>
        <w:rPr>
          <w:i/>
          <w:iCs/>
          <w:kern w:val="0"/>
        </w:rPr>
        <w:t>Pharmacotherapy</w:t>
      </w:r>
      <w:r>
        <w:rPr>
          <w:kern w:val="0"/>
        </w:rPr>
        <w:t xml:space="preserve">, </w:t>
      </w:r>
      <w:r>
        <w:rPr>
          <w:b/>
          <w:bCs/>
          <w:kern w:val="0"/>
        </w:rPr>
        <w:t>47</w:t>
      </w:r>
      <w:r>
        <w:rPr>
          <w:kern w:val="0"/>
        </w:rPr>
        <w:t xml:space="preserve"> (10), 1301-1311.</w:t>
      </w:r>
    </w:p>
    <w:p w:rsidR="001240AB" w:rsidRDefault="001240AB" w:rsidP="001240AB">
      <w:pPr>
        <w:pStyle w:val="a3"/>
        <w:rPr>
          <w:kern w:val="0"/>
        </w:rPr>
      </w:pPr>
      <w:r>
        <w:rPr>
          <w:rFonts w:hint="eastAsia"/>
          <w:kern w:val="0"/>
        </w:rPr>
        <w:t xml:space="preserve">Full Text: </w:t>
      </w:r>
      <w:hyperlink r:id="rId936" w:history="1">
        <w:r w:rsidRPr="001240AB">
          <w:rPr>
            <w:rStyle w:val="a5"/>
            <w:kern w:val="0"/>
          </w:rPr>
          <w:t>2013\Ann Pha47, 1301.pdf</w:t>
        </w:r>
      </w:hyperlink>
    </w:p>
    <w:p w:rsidR="001240AB" w:rsidRDefault="001240AB" w:rsidP="001240AB">
      <w:pPr>
        <w:pStyle w:val="a3"/>
        <w:rPr>
          <w:kern w:val="0"/>
        </w:rPr>
      </w:pPr>
      <w:r>
        <w:rPr>
          <w:kern w:val="0"/>
        </w:rPr>
        <w:t>Abstract: Objective: To evaluate the available clinical data on canagliflozin</w:t>
      </w:r>
      <w:r w:rsidR="005853A9">
        <w:rPr>
          <w:kern w:val="0"/>
        </w:rPr>
        <w:t xml:space="preserve"> and </w:t>
      </w:r>
      <w:r>
        <w:rPr>
          <w:kern w:val="0"/>
        </w:rPr>
        <w:t>provide formulary considerations as to its place in the current treatment approach</w:t>
      </w:r>
      <w:r w:rsidR="00427468">
        <w:rPr>
          <w:kern w:val="0"/>
        </w:rPr>
        <w:t xml:space="preserve"> of </w:t>
      </w:r>
      <w:r>
        <w:rPr>
          <w:kern w:val="0"/>
        </w:rPr>
        <w:t>type 2 diabetes mellitus (T2DM). Data Sources: A systematic review</w:t>
      </w:r>
      <w:r w:rsidR="00427468">
        <w:rPr>
          <w:kern w:val="0"/>
        </w:rPr>
        <w:t xml:space="preserve"> of </w:t>
      </w:r>
      <w:r>
        <w:rPr>
          <w:kern w:val="0"/>
        </w:rPr>
        <w:t>the literature in MEDLINE</w:t>
      </w:r>
      <w:r w:rsidR="005853A9">
        <w:rPr>
          <w:kern w:val="0"/>
        </w:rPr>
        <w:t xml:space="preserve"> and </w:t>
      </w:r>
      <w:r>
        <w:rPr>
          <w:kern w:val="0"/>
        </w:rPr>
        <w:t>Web</w:t>
      </w:r>
      <w:r w:rsidR="00427468">
        <w:rPr>
          <w:kern w:val="0"/>
        </w:rPr>
        <w:t xml:space="preserve"> of </w:t>
      </w:r>
      <w:r>
        <w:rPr>
          <w:kern w:val="0"/>
        </w:rPr>
        <w:t>Science was performed through July 2013 using the key words</w:t>
      </w:r>
      <w:r w:rsidR="005853A9">
        <w:rPr>
          <w:kern w:val="0"/>
        </w:rPr>
        <w:t xml:space="preserve"> and </w:t>
      </w:r>
      <w:r>
        <w:rPr>
          <w:kern w:val="0"/>
        </w:rPr>
        <w:t>medical subject headings canagliflozin, JNJ-28431754, TA-7284,</w:t>
      </w:r>
      <w:r w:rsidR="005853A9">
        <w:rPr>
          <w:kern w:val="0"/>
        </w:rPr>
        <w:t xml:space="preserve"> and </w:t>
      </w:r>
      <w:r>
        <w:rPr>
          <w:kern w:val="0"/>
        </w:rPr>
        <w:t>sodium-glucose co-transporter 2 inhibitor. A manual search</w:t>
      </w:r>
      <w:r w:rsidR="00427468">
        <w:rPr>
          <w:kern w:val="0"/>
        </w:rPr>
        <w:t xml:space="preserve"> of </w:t>
      </w:r>
      <w:r>
        <w:rPr>
          <w:kern w:val="0"/>
        </w:rPr>
        <w:t>references from reports</w:t>
      </w:r>
      <w:r w:rsidR="00427468">
        <w:rPr>
          <w:kern w:val="0"/>
        </w:rPr>
        <w:t xml:space="preserve"> of </w:t>
      </w:r>
      <w:r>
        <w:rPr>
          <w:kern w:val="0"/>
        </w:rPr>
        <w:t>clinical trials or review articles was performed to identify additional relevant studies. Study Selection</w:t>
      </w:r>
      <w:r w:rsidR="005853A9">
        <w:rPr>
          <w:kern w:val="0"/>
        </w:rPr>
        <w:t xml:space="preserve"> and </w:t>
      </w:r>
      <w:r>
        <w:rPr>
          <w:kern w:val="0"/>
        </w:rPr>
        <w:t>Data Extraction: Citations eligible for inclusion were in vitro or in vivo evaluations</w:t>
      </w:r>
      <w:r w:rsidR="00427468">
        <w:rPr>
          <w:kern w:val="0"/>
        </w:rPr>
        <w:t xml:space="preserve"> of </w:t>
      </w:r>
      <w:r>
        <w:rPr>
          <w:kern w:val="0"/>
        </w:rPr>
        <w:t>canagliflozin with no restrictions on patient population or indication used. Data related to the patient populations</w:t>
      </w:r>
      <w:r w:rsidR="005853A9">
        <w:rPr>
          <w:kern w:val="0"/>
        </w:rPr>
        <w:t xml:space="preserve"> and </w:t>
      </w:r>
      <w:r>
        <w:rPr>
          <w:kern w:val="0"/>
        </w:rPr>
        <w:t>outcomes</w:t>
      </w:r>
      <w:r w:rsidR="00427468">
        <w:rPr>
          <w:kern w:val="0"/>
        </w:rPr>
        <w:t xml:space="preserve"> of </w:t>
      </w:r>
      <w:r>
        <w:rPr>
          <w:kern w:val="0"/>
        </w:rPr>
        <w:t xml:space="preserve">interest were extracted from each citation. Data Synthesis: Five clinical trials (n = 2775 subjects) have been published evaluating canagliflozin in patients with T2DM. A single study evaluated canagliflozin monotherapy, while the others included various add-on therapies. Four studies included placebo groups with 2 others using </w:t>
      </w:r>
      <w:r>
        <w:rPr>
          <w:kern w:val="0"/>
        </w:rPr>
        <w:lastRenderedPageBreak/>
        <w:t>sitagliptin as an active control. Compared with placebo (+0.14%), canagliflozin monotherapy at doses</w:t>
      </w:r>
      <w:r w:rsidR="00427468">
        <w:rPr>
          <w:kern w:val="0"/>
        </w:rPr>
        <w:t xml:space="preserve"> of </w:t>
      </w:r>
      <w:r>
        <w:rPr>
          <w:kern w:val="0"/>
        </w:rPr>
        <w:t>100 to 300 mg/d decreases hemoglobin A1c by -0.77% to -1.03% from baseline. Reductions in fasting plasma glucose, body weight,</w:t>
      </w:r>
      <w:r w:rsidR="005853A9">
        <w:rPr>
          <w:kern w:val="0"/>
        </w:rPr>
        <w:t xml:space="preserve"> and </w:t>
      </w:r>
      <w:r>
        <w:rPr>
          <w:kern w:val="0"/>
        </w:rPr>
        <w:t>systolic blood pressure were seen. Because</w:t>
      </w:r>
      <w:r w:rsidR="00427468">
        <w:rPr>
          <w:kern w:val="0"/>
        </w:rPr>
        <w:t xml:space="preserve"> of </w:t>
      </w:r>
      <w:r>
        <w:rPr>
          <w:kern w:val="0"/>
        </w:rPr>
        <w:t>the increase in glucosuria with the drug, patients (especially females) are at increased risk</w:t>
      </w:r>
      <w:r w:rsidR="00427468">
        <w:rPr>
          <w:kern w:val="0"/>
        </w:rPr>
        <w:t xml:space="preserve"> of </w:t>
      </w:r>
      <w:r>
        <w:rPr>
          <w:kern w:val="0"/>
        </w:rPr>
        <w:t>genital mycotic infections</w:t>
      </w:r>
      <w:r w:rsidR="00A37C1D">
        <w:rPr>
          <w:kern w:val="0"/>
        </w:rPr>
        <w:t>. The</w:t>
      </w:r>
      <w:r>
        <w:rPr>
          <w:kern w:val="0"/>
        </w:rPr>
        <w:t xml:space="preserve"> overall safety</w:t>
      </w:r>
      <w:r w:rsidR="00427468">
        <w:rPr>
          <w:kern w:val="0"/>
        </w:rPr>
        <w:t xml:space="preserve"> of </w:t>
      </w:r>
      <w:r>
        <w:rPr>
          <w:kern w:val="0"/>
        </w:rPr>
        <w:t>canagliflozin (eg, cardiovascular, oncologic, pancreatic, bone) is also yet to be fully elucidated. Conclusions: Canagliflozin is comparable to second-line oral medications in terms</w:t>
      </w:r>
      <w:r w:rsidR="00427468">
        <w:rPr>
          <w:kern w:val="0"/>
        </w:rPr>
        <w:t xml:space="preserve"> of </w:t>
      </w:r>
      <w:r>
        <w:rPr>
          <w:kern w:val="0"/>
        </w:rPr>
        <w:t>effectiveness but has limitations in affordability</w:t>
      </w:r>
      <w:r w:rsidR="005853A9">
        <w:rPr>
          <w:kern w:val="0"/>
        </w:rPr>
        <w:t xml:space="preserve"> and </w:t>
      </w:r>
      <w:r>
        <w:rPr>
          <w:kern w:val="0"/>
        </w:rPr>
        <w:t>long-term safety data.</w:t>
      </w:r>
    </w:p>
    <w:p w:rsidR="001240AB" w:rsidRDefault="001240AB" w:rsidP="001240AB">
      <w:pPr>
        <w:pStyle w:val="a3"/>
        <w:rPr>
          <w:kern w:val="0"/>
        </w:rPr>
      </w:pPr>
      <w:r>
        <w:rPr>
          <w:kern w:val="0"/>
        </w:rPr>
        <w:t>Keywords: Affordability, Algorithm, Approach, Blood, Blood Pressure, Body Weight, Bone, Canagliflozin, Cardiovascular, Citation, Citations, Clinical, Clinical Trials, Control, Cotransporter 2 Inhibitor, Data, Diabetes, Diabetes Mellitus, Drug, Effectiveness, Extraction, Glucose, Groups, Hemoglobin, Hyperglycemia, In Vitro, Indication, Infections, Inhibitor, Insulin, Literature, Long Term, Long-Term, Management, Medical, Medline, Mellitus, Monotherapy, Oral, Outcomes, Patients, Pharmacokinetics, Placebo, Plasma, Population, Populations, Pressure, References, Restrictions, Review, Risk, Safety, Science, Sglt2 Inhibitor, Synthesis, Systematic Review, Treatment, Type 2 Diabetes, Type 2 Diabetes Mellitus, Web</w:t>
      </w:r>
      <w:r w:rsidR="00427468">
        <w:rPr>
          <w:kern w:val="0"/>
        </w:rPr>
        <w:t xml:space="preserve"> of </w:t>
      </w:r>
      <w:r>
        <w:rPr>
          <w:kern w:val="0"/>
        </w:rPr>
        <w:t>Science</w:t>
      </w:r>
    </w:p>
    <w:p w:rsidR="003C483A" w:rsidRDefault="003C483A" w:rsidP="003C483A">
      <w:pPr>
        <w:pStyle w:val="a3"/>
        <w:rPr>
          <w:kern w:val="0"/>
        </w:rPr>
      </w:pPr>
      <w:r>
        <w:rPr>
          <w:rFonts w:hint="eastAsia"/>
          <w:kern w:val="0"/>
        </w:rPr>
        <w:t xml:space="preserve">? </w:t>
      </w:r>
      <w:r>
        <w:rPr>
          <w:kern w:val="0"/>
        </w:rPr>
        <w:t>Lu, W.Y.R., Defilippi, J.</w:t>
      </w:r>
      <w:r w:rsidR="005853A9">
        <w:rPr>
          <w:kern w:val="0"/>
        </w:rPr>
        <w:t xml:space="preserve"> and </w:t>
      </w:r>
      <w:r>
        <w:rPr>
          <w:kern w:val="0"/>
        </w:rPr>
        <w:t>Braun, A. (2013), Unleash Metformin: Reconsideration</w:t>
      </w:r>
      <w:r w:rsidR="00427468">
        <w:rPr>
          <w:kern w:val="0"/>
        </w:rPr>
        <w:t xml:space="preserve"> of </w:t>
      </w:r>
      <w:r>
        <w:rPr>
          <w:kern w:val="0"/>
        </w:rPr>
        <w:t xml:space="preserve">the contraindication in patients with renal impairment. </w:t>
      </w:r>
      <w:r>
        <w:rPr>
          <w:i/>
          <w:iCs/>
          <w:kern w:val="0"/>
        </w:rPr>
        <w:t>Annals</w:t>
      </w:r>
      <w:r w:rsidR="00427468">
        <w:rPr>
          <w:i/>
          <w:iCs/>
          <w:kern w:val="0"/>
        </w:rPr>
        <w:t xml:space="preserve"> of </w:t>
      </w:r>
      <w:r>
        <w:rPr>
          <w:i/>
          <w:iCs/>
          <w:kern w:val="0"/>
        </w:rPr>
        <w:t>Pharmacotherapy</w:t>
      </w:r>
      <w:r>
        <w:rPr>
          <w:kern w:val="0"/>
        </w:rPr>
        <w:t xml:space="preserve">, </w:t>
      </w:r>
      <w:r>
        <w:rPr>
          <w:b/>
          <w:bCs/>
          <w:kern w:val="0"/>
        </w:rPr>
        <w:t>47</w:t>
      </w:r>
      <w:r>
        <w:rPr>
          <w:kern w:val="0"/>
        </w:rPr>
        <w:t xml:space="preserve"> (11), 1488-1497.</w:t>
      </w:r>
    </w:p>
    <w:p w:rsidR="003C483A" w:rsidRDefault="003C483A" w:rsidP="003C483A">
      <w:pPr>
        <w:pStyle w:val="a3"/>
        <w:rPr>
          <w:kern w:val="0"/>
        </w:rPr>
      </w:pPr>
      <w:r>
        <w:rPr>
          <w:rFonts w:hint="eastAsia"/>
          <w:kern w:val="0"/>
        </w:rPr>
        <w:t xml:space="preserve">Full Text: </w:t>
      </w:r>
      <w:hyperlink r:id="rId937" w:history="1">
        <w:r w:rsidRPr="006A5D57">
          <w:rPr>
            <w:rStyle w:val="a5"/>
            <w:kern w:val="0"/>
          </w:rPr>
          <w:t>2013\Ann Pha47, 1488.pdf</w:t>
        </w:r>
      </w:hyperlink>
    </w:p>
    <w:p w:rsidR="003C483A" w:rsidRDefault="003C483A" w:rsidP="003C483A">
      <w:pPr>
        <w:pStyle w:val="a3"/>
        <w:rPr>
          <w:kern w:val="0"/>
        </w:rPr>
      </w:pPr>
      <w:r>
        <w:rPr>
          <w:kern w:val="0"/>
        </w:rPr>
        <w:t>Abstract: Objective: To evaluate the expanded use</w:t>
      </w:r>
      <w:r w:rsidR="00427468">
        <w:rPr>
          <w:kern w:val="0"/>
        </w:rPr>
        <w:t xml:space="preserve"> of </w:t>
      </w:r>
      <w:r>
        <w:rPr>
          <w:kern w:val="0"/>
        </w:rPr>
        <w:t>metformin in renal impairment. Data Sources: The MEDLINE database via PubMed, Web</w:t>
      </w:r>
      <w:r w:rsidR="00427468">
        <w:rPr>
          <w:kern w:val="0"/>
        </w:rPr>
        <w:t xml:space="preserve"> of </w:t>
      </w:r>
      <w:r>
        <w:rPr>
          <w:kern w:val="0"/>
        </w:rPr>
        <w:t>Science,</w:t>
      </w:r>
      <w:r w:rsidR="005853A9">
        <w:rPr>
          <w:kern w:val="0"/>
        </w:rPr>
        <w:t xml:space="preserve"> and </w:t>
      </w:r>
      <w:r>
        <w:rPr>
          <w:kern w:val="0"/>
        </w:rPr>
        <w:t>Cumulative Index to Nursing</w:t>
      </w:r>
      <w:r w:rsidR="005853A9">
        <w:rPr>
          <w:kern w:val="0"/>
        </w:rPr>
        <w:t xml:space="preserve"> and </w:t>
      </w:r>
      <w:r>
        <w:rPr>
          <w:kern w:val="0"/>
        </w:rPr>
        <w:t>Allied Health were searched in August 2013</w:t>
      </w:r>
      <w:r w:rsidR="005853A9">
        <w:rPr>
          <w:kern w:val="0"/>
        </w:rPr>
        <w:t xml:space="preserve"> and </w:t>
      </w:r>
      <w:r>
        <w:rPr>
          <w:kern w:val="0"/>
        </w:rPr>
        <w:t>included studies from 1950 onward. Study Selection</w:t>
      </w:r>
      <w:r w:rsidR="005853A9">
        <w:rPr>
          <w:kern w:val="0"/>
        </w:rPr>
        <w:t xml:space="preserve"> and </w:t>
      </w:r>
      <w:r>
        <w:rPr>
          <w:kern w:val="0"/>
        </w:rPr>
        <w:t>Data Extraction: The search included comparative trials, observational cohort studies,</w:t>
      </w:r>
      <w:r w:rsidR="005853A9">
        <w:rPr>
          <w:kern w:val="0"/>
        </w:rPr>
        <w:t xml:space="preserve"> and </w:t>
      </w:r>
      <w:r>
        <w:rPr>
          <w:kern w:val="0"/>
        </w:rPr>
        <w:t>meta-analyses using the terms diabetes mellitus, metformin, renal insufficiency,</w:t>
      </w:r>
      <w:r w:rsidR="005853A9">
        <w:rPr>
          <w:kern w:val="0"/>
        </w:rPr>
        <w:t xml:space="preserve"> and </w:t>
      </w:r>
      <w:r>
        <w:rPr>
          <w:kern w:val="0"/>
        </w:rPr>
        <w:t>acidosis, lactic. Data Synthesis: One randomized controlled trial, 1 meta-analysis, 1 case-control,</w:t>
      </w:r>
      <w:r w:rsidR="005853A9">
        <w:rPr>
          <w:kern w:val="0"/>
        </w:rPr>
        <w:t xml:space="preserve"> and </w:t>
      </w:r>
      <w:r>
        <w:rPr>
          <w:kern w:val="0"/>
        </w:rPr>
        <w:t>3 prospective-cohort studies, representing about 150 000 patients, revealed that metformin is safe in patients with stable mild-moderate renal impairment</w:t>
      </w:r>
      <w:r w:rsidR="00A37C1D">
        <w:rPr>
          <w:kern w:val="0"/>
        </w:rPr>
        <w:t>. The</w:t>
      </w:r>
      <w:r>
        <w:rPr>
          <w:kern w:val="0"/>
        </w:rPr>
        <w:t xml:space="preserve"> incidence</w:t>
      </w:r>
      <w:r w:rsidR="00427468">
        <w:rPr>
          <w:kern w:val="0"/>
        </w:rPr>
        <w:t xml:space="preserve"> of </w:t>
      </w:r>
      <w:r>
        <w:rPr>
          <w:kern w:val="0"/>
        </w:rPr>
        <w:t>lactic acidosis is low</w:t>
      </w:r>
      <w:r w:rsidR="005853A9">
        <w:rPr>
          <w:kern w:val="0"/>
        </w:rPr>
        <w:t xml:space="preserve"> and </w:t>
      </w:r>
      <w:r>
        <w:rPr>
          <w:kern w:val="0"/>
        </w:rPr>
        <w:t>similar to sulfonylureas. In addition, reduced risks</w:t>
      </w:r>
      <w:r w:rsidR="00427468">
        <w:rPr>
          <w:kern w:val="0"/>
        </w:rPr>
        <w:t xml:space="preserve"> of </w:t>
      </w:r>
      <w:r>
        <w:rPr>
          <w:kern w:val="0"/>
        </w:rPr>
        <w:t>cardiovascular disease, all-cause mortality, or any acidosis/serious infection were seen with metformin use in mild-to-moderate renal impairment. Conclusions: Data over the past decade refute the historical contraindication in patients with renal impairment</w:t>
      </w:r>
      <w:r w:rsidR="005853A9">
        <w:rPr>
          <w:kern w:val="0"/>
        </w:rPr>
        <w:t xml:space="preserve"> and </w:t>
      </w:r>
      <w:r>
        <w:rPr>
          <w:kern w:val="0"/>
        </w:rPr>
        <w:t>suggest that the risk</w:t>
      </w:r>
      <w:r w:rsidR="00427468">
        <w:rPr>
          <w:kern w:val="0"/>
        </w:rPr>
        <w:t xml:space="preserve"> of </w:t>
      </w:r>
      <w:r>
        <w:rPr>
          <w:kern w:val="0"/>
        </w:rPr>
        <w:t>metformin-associated lactic acidosis is low in stable mild-to-moderate renal impairment</w:t>
      </w:r>
      <w:r w:rsidR="005853A9">
        <w:rPr>
          <w:kern w:val="0"/>
        </w:rPr>
        <w:t xml:space="preserve"> and </w:t>
      </w:r>
      <w:r>
        <w:rPr>
          <w:kern w:val="0"/>
        </w:rPr>
        <w:t>similar to the risk with other type 2 diabetes mellitus (DM2) medications with no renal impairment restrictions. Because</w:t>
      </w:r>
      <w:r w:rsidR="00427468">
        <w:rPr>
          <w:kern w:val="0"/>
        </w:rPr>
        <w:t xml:space="preserve"> of </w:t>
      </w:r>
      <w:r>
        <w:rPr>
          <w:kern w:val="0"/>
        </w:rPr>
        <w:t>its unique impact on microvascular</w:t>
      </w:r>
      <w:r w:rsidR="005853A9">
        <w:rPr>
          <w:kern w:val="0"/>
        </w:rPr>
        <w:t xml:space="preserve"> and </w:t>
      </w:r>
      <w:r>
        <w:rPr>
          <w:kern w:val="0"/>
        </w:rPr>
        <w:t xml:space="preserve">macrovascular complications, it is </w:t>
      </w:r>
      <w:r>
        <w:rPr>
          <w:kern w:val="0"/>
        </w:rPr>
        <w:lastRenderedPageBreak/>
        <w:t>advantageous to utilize metformin as the cornerstone in DM2 treatment for as long as possible, including in those patients with mild to moderate stages</w:t>
      </w:r>
      <w:r w:rsidR="00427468">
        <w:rPr>
          <w:kern w:val="0"/>
        </w:rPr>
        <w:t xml:space="preserve"> of </w:t>
      </w:r>
      <w:r>
        <w:rPr>
          <w:kern w:val="0"/>
        </w:rPr>
        <w:t>renal impairment with no additional contraindications. A dosage reduction is recommended if estimated glomerular filtration rate (eGFR) is between 30</w:t>
      </w:r>
      <w:r w:rsidR="005853A9">
        <w:rPr>
          <w:kern w:val="0"/>
        </w:rPr>
        <w:t xml:space="preserve"> and </w:t>
      </w:r>
      <w:r>
        <w:rPr>
          <w:kern w:val="0"/>
        </w:rPr>
        <w:t>45 mL/min/1.73 m(2)</w:t>
      </w:r>
      <w:r w:rsidR="005853A9">
        <w:rPr>
          <w:kern w:val="0"/>
        </w:rPr>
        <w:t xml:space="preserve"> and </w:t>
      </w:r>
      <w:r>
        <w:rPr>
          <w:kern w:val="0"/>
        </w:rPr>
        <w:t>discontinuation if eGFR is &lt;30 mL/min/1.73 m(2).</w:t>
      </w:r>
    </w:p>
    <w:p w:rsidR="003C483A" w:rsidRDefault="003C483A" w:rsidP="003C483A">
      <w:pPr>
        <w:pStyle w:val="a3"/>
        <w:rPr>
          <w:kern w:val="0"/>
        </w:rPr>
      </w:pPr>
      <w:r>
        <w:rPr>
          <w:kern w:val="0"/>
        </w:rPr>
        <w:t>Keywords: Acidosis, Cardiovascular, Cardiovascular Disease, Case-Control, Cohort, Complications, Contraindications, Controlled Trial, Database, Diabetes, Diabetes Mellitus, Disease, Extraction, Filtration, Glomerular Filtration Rate, Impact, Incidence, Infection, Lactic Acidosis, Medline, Meta Analysis, Meta-Analysis, Metaanalysis, Metformin, Mortality, Nov, Nursing, Observational, Patients, Pubmed, Randomized, Randomized Controlled Trial, Reduction, Renal, Renal Insufficiency, Restrictions, Risk, Risks, Science, Synthesis, Treatment, Trial, Type 2 Diabetes, Web</w:t>
      </w:r>
      <w:r w:rsidR="00427468">
        <w:rPr>
          <w:kern w:val="0"/>
        </w:rPr>
        <w:t xml:space="preserve"> of </w:t>
      </w:r>
      <w:r>
        <w:rPr>
          <w:kern w:val="0"/>
        </w:rPr>
        <w:t>Science</w:t>
      </w:r>
    </w:p>
    <w:p w:rsidR="004653DF" w:rsidRDefault="004653DF" w:rsidP="004653DF">
      <w:pPr>
        <w:pStyle w:val="a3"/>
        <w:rPr>
          <w:kern w:val="0"/>
        </w:rPr>
      </w:pPr>
      <w:r>
        <w:rPr>
          <w:rFonts w:hint="eastAsia"/>
          <w:kern w:val="0"/>
        </w:rPr>
        <w:t xml:space="preserve">? </w:t>
      </w:r>
      <w:r>
        <w:rPr>
          <w:kern w:val="0"/>
        </w:rPr>
        <w:t xml:space="preserve">Zhang, N.J., Terry, A. and McHorney, C.A. (2014), Impact of health literacy on medication adherence: A systematic review and meta-analysis. </w:t>
      </w:r>
      <w:r>
        <w:rPr>
          <w:i/>
          <w:iCs/>
          <w:kern w:val="0"/>
        </w:rPr>
        <w:t>Annals of Pharmacotherapy</w:t>
      </w:r>
      <w:r>
        <w:rPr>
          <w:kern w:val="0"/>
        </w:rPr>
        <w:t xml:space="preserve">, </w:t>
      </w:r>
      <w:r>
        <w:rPr>
          <w:b/>
          <w:bCs/>
          <w:kern w:val="0"/>
        </w:rPr>
        <w:t>48</w:t>
      </w:r>
      <w:r>
        <w:rPr>
          <w:kern w:val="0"/>
        </w:rPr>
        <w:t xml:space="preserve"> (6), 741-751.</w:t>
      </w:r>
    </w:p>
    <w:p w:rsidR="004653DF" w:rsidRDefault="004653DF" w:rsidP="004653DF">
      <w:pPr>
        <w:pStyle w:val="a3"/>
        <w:rPr>
          <w:kern w:val="0"/>
        </w:rPr>
      </w:pPr>
      <w:r>
        <w:rPr>
          <w:rFonts w:hint="eastAsia"/>
          <w:kern w:val="0"/>
        </w:rPr>
        <w:t xml:space="preserve">Full Text: </w:t>
      </w:r>
      <w:hyperlink r:id="rId938" w:history="1">
        <w:r w:rsidRPr="004653DF">
          <w:rPr>
            <w:rStyle w:val="a5"/>
            <w:kern w:val="0"/>
          </w:rPr>
          <w:t>2014\Ann Pha48, 741.pdf</w:t>
        </w:r>
      </w:hyperlink>
    </w:p>
    <w:p w:rsidR="004653DF" w:rsidRDefault="004653DF" w:rsidP="004653DF">
      <w:pPr>
        <w:pStyle w:val="a3"/>
        <w:rPr>
          <w:kern w:val="0"/>
        </w:rPr>
      </w:pPr>
      <w:r>
        <w:rPr>
          <w:kern w:val="0"/>
        </w:rPr>
        <w:t xml:space="preserve">Abstract: Objective: To systematically review the literature and estimate the effect size of the relationship between health literacy and medication adherence through meta-analysis. Data Sources: Databases searched included Cumulative Index to Nursing and Allied Health Literature (CINAHL; 1982-2013), International Pharmaceutical Abstracts (IPA; 1970-2013), MEDLINE OVID (1966-2013), Pub Med (1966-2013), PsycInfo (1966-2013), and Web of Science (1966-2013). Study Selection and Data Extraction: Inclusion criteria were as follows: English language; published through May 1, 2013; medication adherence as the outcome variable; use of validated measures of health literacy and medication adherence; availability of a direct (not mediating) relationship between health literacy and medication adherence; and identifiable effect size and statistical significance of the relationship. Exclusion criteria were as follows: duplicated results, irrelevant results, conference abstracts, proceeding papers, books, dissertations, reviews, editorial letters, continuing education units, or book reviews. Data included author, publication year, disease area, sample size, sampling method, location, study design, effect size of the relationship between health literacy and medication adherence, and measures of health literacy and medication adherence. Data Synthesis: There is a small statistically significant and positive association between health literacy and medication adherence. In the conservative results, the unweighted and weighted correlation coefficients were 0.081 and 0.056 with P values &lt;0.001. In the less conservative results, the unweighted and weighted correlation coefficients were 0.088 and 0.072. Conclusions: The relationship between health literacy and medication adherence is statistically </w:t>
      </w:r>
      <w:r>
        <w:rPr>
          <w:kern w:val="0"/>
        </w:rPr>
        <w:lastRenderedPageBreak/>
        <w:t>significant but weak. It is plausible that health literacy has a mediator relationship with other adherence determinants. Future research should explore such relationships.</w:t>
      </w:r>
    </w:p>
    <w:p w:rsidR="004653DF" w:rsidRDefault="004653DF" w:rsidP="004653DF">
      <w:pPr>
        <w:pStyle w:val="a3"/>
        <w:rPr>
          <w:kern w:val="0"/>
        </w:rPr>
      </w:pPr>
      <w:r>
        <w:rPr>
          <w:kern w:val="0"/>
        </w:rPr>
        <w:t>Keywords: Adherence, Antiretroviral Adherence, Association, Availability, Book Reviews, Compliance, Conservative, Correlation, Criteria, Data, Databases, Design, Disease, Disparities, Education, Effect Size, English, Extraction, Glaucoma, Health, Impact, Language, Literature, Location, Measures, Medication Adherence, Medication Safety, Medication Therapy Management, Medline, Meta Analysis, Meta-Analysis, Metaanalysis, Nonadherence, Nursing, Older-Adults, Outcome, P, Papers, Pharmaceutical, Predictors, Pub Med, Publication, Research, Review, Reviews, Sample Size, Sampling, Science, Self-Management, Significance, Size, Small, Study Design, Synthesis, Systematic Review, Therapy, Web Of Science</w:t>
      </w:r>
    </w:p>
    <w:p w:rsidR="0082380E" w:rsidRDefault="0082380E" w:rsidP="0082380E">
      <w:pPr>
        <w:pStyle w:val="a3"/>
        <w:rPr>
          <w:kern w:val="0"/>
        </w:rPr>
      </w:pPr>
      <w:r>
        <w:rPr>
          <w:rFonts w:hint="eastAsia"/>
          <w:kern w:val="0"/>
        </w:rPr>
        <w:t xml:space="preserve">? </w:t>
      </w:r>
      <w:r>
        <w:rPr>
          <w:kern w:val="0"/>
        </w:rPr>
        <w:t xml:space="preserve">Burgess, S.V., Mabasa, V.H., Chow, I. and Ensom, M.H.H. (2015), Evaluating outcomes of alternative dosing strategies for Cefepime: A qualitative systematic review. </w:t>
      </w:r>
      <w:r>
        <w:rPr>
          <w:i/>
          <w:iCs/>
          <w:kern w:val="0"/>
        </w:rPr>
        <w:t>Annals of Pharmacotherapy</w:t>
      </w:r>
      <w:r>
        <w:rPr>
          <w:kern w:val="0"/>
        </w:rPr>
        <w:t xml:space="preserve">, </w:t>
      </w:r>
      <w:r>
        <w:rPr>
          <w:b/>
          <w:bCs/>
          <w:kern w:val="0"/>
        </w:rPr>
        <w:t>49</w:t>
      </w:r>
      <w:r>
        <w:rPr>
          <w:kern w:val="0"/>
        </w:rPr>
        <w:t xml:space="preserve"> (3), 311-322.</w:t>
      </w:r>
    </w:p>
    <w:p w:rsidR="0082380E" w:rsidRDefault="0082380E" w:rsidP="0082380E">
      <w:pPr>
        <w:pStyle w:val="a3"/>
        <w:rPr>
          <w:kern w:val="0"/>
        </w:rPr>
      </w:pPr>
      <w:r>
        <w:rPr>
          <w:rFonts w:hint="eastAsia"/>
          <w:kern w:val="0"/>
        </w:rPr>
        <w:t xml:space="preserve">Full Text: </w:t>
      </w:r>
      <w:hyperlink r:id="rId939" w:history="1">
        <w:r w:rsidRPr="00953AFB">
          <w:rPr>
            <w:rStyle w:val="a5"/>
            <w:kern w:val="0"/>
          </w:rPr>
          <w:t>2015\Ann Pha49, 311.pdf</w:t>
        </w:r>
      </w:hyperlink>
    </w:p>
    <w:p w:rsidR="0082380E" w:rsidRDefault="0082380E" w:rsidP="0082380E">
      <w:pPr>
        <w:pStyle w:val="a3"/>
        <w:rPr>
          <w:kern w:val="0"/>
        </w:rPr>
      </w:pPr>
      <w:r>
        <w:rPr>
          <w:kern w:val="0"/>
        </w:rPr>
        <w:t xml:space="preserve">Abstract: Objective: To perform a qualitative systematic review of the evidence comparing traditional with prolonged intermittent or continuous infusions of cefepime based on clinical and pharmacodynamic outcomes. Data Sources: Pub Med (1946 to October 2014), EMBASE (1980 to October 2014), CENTRAL, Cochrane Database of Systematic Reviews, Web of Science, and International Pharmaceutical Abstracts (1970 to October 2014) were searched using the terms cefepime, pharmacokinetics, pharmacodynamics, drug administration, intravenous infusions, intravenous drug administration, continuous infusion, extended infusion, and intermittent therapy. Reference lists from relevant materials were reviewed. Study Selection and Data Extraction: Articles evaluating administration regimens of cefepime, one of which included the traditional, manufacturer-recommended 0.5-hour infusion and the other a prolonged or continuous infusion were included. Prespecified clinical outcomes of interest included all-cause mortality, length of hospital stay, clinical cure, and adverse events. The primary pharmacodynamic outcome was percentage time of unbound drug concentration remaining above the minimum inhibitory concentration. Data Synthesis: In all, 18 studies were included; 6 studies assessed clinical outcomes, and 12 assessed pharmacodynamic outcomes. Prolonged or continuous infusions of cefepime achieved the pharmacodynamic targets more often than traditional infusions. The association of improved clinical outcomes with prolonged or continuous infusions is unclear. All-cause mortality was significantly decreased with the use of a prolonged cefepime infusion in a retrospective study. Two prospective, randomized studies demonstrated no statistically significant difference in mortality between prolonged and intermittent </w:t>
      </w:r>
      <w:r>
        <w:rPr>
          <w:kern w:val="0"/>
        </w:rPr>
        <w:lastRenderedPageBreak/>
        <w:t>infusions. Conclusions: The available literature on prolonged and continuous infusions of cefepime demonstrated an improved achievement of pharmacodynamic targets; however, the effect on clinical outcomes is inconclusive. Well-designed prospective studies are required to determine optimal dosing and administration strategies.</w:t>
      </w:r>
    </w:p>
    <w:p w:rsidR="0082380E" w:rsidRDefault="0082380E" w:rsidP="0082380E">
      <w:pPr>
        <w:pStyle w:val="a3"/>
        <w:rPr>
          <w:kern w:val="0"/>
        </w:rPr>
      </w:pPr>
      <w:r>
        <w:rPr>
          <w:kern w:val="0"/>
        </w:rPr>
        <w:t>Keywords: Achievement, Administration, Adverse Events, All-Cause Mortality, Antimicrobial Stewardship, Articles, Association, Cefepime, Clinical, Clinical Outcomes, Concentration, Continuous-Infusion, Critically-Ill Patients, Data, Database, Drug, Drug Administration, Embase, Events, Evidence, Extraction, From, Gram-Negative Infections, Hospital, Hospital Stay, Infectious-Diseases Society, Infusion, Intensive-Care Units, Intermittent Therapy, International, Intravenous, Length, Literature, Mar, Minimum, Mortality, Outcome, Outcomes, Pharmaceutical, Pharmacodynamic Target Attainment, Pharmacodynamics, Pharmacodynannics, Pharmacokinetics, Population Pharmacokinetics, Primary, Prolonged, Prospective, Prospective Studies, Pseudomonas-Aeruginosa, Pub Med, Qualitative, Randomized, Reference, Reference Lists, Retrospective, Review, Science, Synthesis, Systematic, Systematic Review, Systematic Reviews, Therapy, Ventilator-Associated Pneumonia, Web, Web Of Science</w:t>
      </w:r>
    </w:p>
    <w:p w:rsidR="00DA1DD1" w:rsidRPr="001A3D2B" w:rsidRDefault="00DA1DD1" w:rsidP="00DA1DD1">
      <w:pPr>
        <w:pStyle w:val="1"/>
      </w:pPr>
      <w:r w:rsidRPr="001A3D2B">
        <w:br w:type="page"/>
      </w:r>
      <w:bookmarkStart w:id="493" w:name="_Toc420814519"/>
      <w:r w:rsidRPr="001A3D2B">
        <w:lastRenderedPageBreak/>
        <w:t xml:space="preserve">Title: </w:t>
      </w:r>
      <w:r w:rsidRPr="00DA1DD1">
        <w:rPr>
          <w:szCs w:val="24"/>
        </w:rPr>
        <w:t>Annals</w:t>
      </w:r>
      <w:r w:rsidR="00427468">
        <w:rPr>
          <w:szCs w:val="24"/>
        </w:rPr>
        <w:t xml:space="preserve"> of </w:t>
      </w:r>
      <w:r w:rsidRPr="00DA1DD1">
        <w:rPr>
          <w:szCs w:val="24"/>
        </w:rPr>
        <w:t>Plastic Surgery</w:t>
      </w:r>
      <w:bookmarkEnd w:id="493"/>
    </w:p>
    <w:p w:rsidR="00DA1DD1" w:rsidRPr="001A3D2B" w:rsidRDefault="00DA1DD1" w:rsidP="00DA1DD1">
      <w:pPr>
        <w:pStyle w:val="12"/>
      </w:pPr>
      <w:r w:rsidRPr="001A3D2B">
        <w:t xml:space="preserve">Full Journal Title: </w:t>
      </w:r>
      <w:r w:rsidRPr="00DA1DD1">
        <w:rPr>
          <w:iCs/>
          <w:kern w:val="0"/>
        </w:rPr>
        <w:t>Annals</w:t>
      </w:r>
      <w:r w:rsidR="00427468">
        <w:rPr>
          <w:iCs/>
          <w:kern w:val="0"/>
        </w:rPr>
        <w:t xml:space="preserve"> of </w:t>
      </w:r>
      <w:r w:rsidRPr="00DA1DD1">
        <w:rPr>
          <w:iCs/>
          <w:kern w:val="0"/>
        </w:rPr>
        <w:t>Plastic Surgery</w:t>
      </w:r>
    </w:p>
    <w:p w:rsidR="00DA1DD1" w:rsidRPr="001A3D2B" w:rsidRDefault="00DA1DD1" w:rsidP="00DA1DD1">
      <w:pPr>
        <w:pStyle w:val="12"/>
      </w:pPr>
      <w:r w:rsidRPr="001A3D2B">
        <w:t xml:space="preserve">ISO Abbreviated Title: </w:t>
      </w:r>
    </w:p>
    <w:p w:rsidR="00DA1DD1" w:rsidRPr="001A3D2B" w:rsidRDefault="00DA1DD1" w:rsidP="00DA1DD1">
      <w:pPr>
        <w:pStyle w:val="12"/>
      </w:pPr>
      <w:r w:rsidRPr="001A3D2B">
        <w:t xml:space="preserve">JCR Abbreviated Title: </w:t>
      </w:r>
    </w:p>
    <w:p w:rsidR="00DA1DD1" w:rsidRPr="001A3D2B" w:rsidRDefault="00DA1DD1" w:rsidP="00DA1DD1">
      <w:pPr>
        <w:pStyle w:val="12"/>
      </w:pPr>
      <w:r>
        <w:t xml:space="preserve">ISSN: </w:t>
      </w:r>
    </w:p>
    <w:p w:rsidR="00DA1DD1" w:rsidRPr="001A3D2B" w:rsidRDefault="00DA1DD1" w:rsidP="00DA1DD1">
      <w:pPr>
        <w:pStyle w:val="12"/>
      </w:pPr>
      <w:r w:rsidRPr="001A3D2B">
        <w:t xml:space="preserve">Issues/Year: </w:t>
      </w:r>
    </w:p>
    <w:p w:rsidR="00DA1DD1" w:rsidRPr="001A3D2B" w:rsidRDefault="00DA1DD1" w:rsidP="00DA1DD1">
      <w:pPr>
        <w:pStyle w:val="12"/>
      </w:pPr>
      <w:r w:rsidRPr="001A3D2B">
        <w:t xml:space="preserve">Journal Country/Territory: </w:t>
      </w:r>
    </w:p>
    <w:p w:rsidR="00DA1DD1" w:rsidRPr="001A3D2B" w:rsidRDefault="00DA1DD1" w:rsidP="00DA1DD1">
      <w:pPr>
        <w:pStyle w:val="12"/>
      </w:pPr>
      <w:r w:rsidRPr="001A3D2B">
        <w:t xml:space="preserve">Language: </w:t>
      </w:r>
    </w:p>
    <w:p w:rsidR="00DA1DD1" w:rsidRPr="001A3D2B" w:rsidRDefault="00DA1DD1" w:rsidP="00DA1DD1">
      <w:pPr>
        <w:pStyle w:val="12"/>
      </w:pPr>
      <w:r w:rsidRPr="001A3D2B">
        <w:t xml:space="preserve">Publisher: </w:t>
      </w:r>
    </w:p>
    <w:p w:rsidR="00DA1DD1" w:rsidRPr="001A3D2B" w:rsidRDefault="00DA1DD1" w:rsidP="00DA1DD1">
      <w:pPr>
        <w:pStyle w:val="12"/>
      </w:pPr>
      <w:r w:rsidRPr="001A3D2B">
        <w:t xml:space="preserve">Publisher Address: </w:t>
      </w:r>
    </w:p>
    <w:p w:rsidR="00DA1DD1" w:rsidRPr="001A3D2B" w:rsidRDefault="00DA1DD1" w:rsidP="00DA1DD1">
      <w:pPr>
        <w:pStyle w:val="12"/>
      </w:pPr>
      <w:r w:rsidRPr="001A3D2B">
        <w:t xml:space="preserve">Subject Categories: </w:t>
      </w:r>
    </w:p>
    <w:p w:rsidR="00DA1DD1" w:rsidRPr="001A3D2B" w:rsidRDefault="00DA1DD1" w:rsidP="00DA1DD1">
      <w:pPr>
        <w:pStyle w:val="12"/>
      </w:pPr>
      <w:r w:rsidRPr="001A3D2B">
        <w:t xml:space="preserve">: Impact Factor </w:t>
      </w:r>
    </w:p>
    <w:p w:rsidR="00DA1DD1" w:rsidRDefault="00DA1DD1" w:rsidP="00DA1DD1">
      <w:pPr>
        <w:pStyle w:val="a3"/>
        <w:rPr>
          <w:kern w:val="0"/>
          <w:szCs w:val="24"/>
        </w:rPr>
      </w:pPr>
      <w:r>
        <w:rPr>
          <w:rFonts w:hint="eastAsia"/>
          <w:kern w:val="0"/>
          <w:szCs w:val="24"/>
        </w:rPr>
        <w:t xml:space="preserve">? </w:t>
      </w:r>
      <w:r>
        <w:rPr>
          <w:kern w:val="0"/>
          <w:szCs w:val="24"/>
        </w:rPr>
        <w:t>Parashar, A., Makkar, S.S., Sharma, R.K.</w:t>
      </w:r>
      <w:r w:rsidR="005853A9">
        <w:rPr>
          <w:kern w:val="0"/>
          <w:szCs w:val="24"/>
        </w:rPr>
        <w:t xml:space="preserve"> and </w:t>
      </w:r>
      <w:r>
        <w:rPr>
          <w:kern w:val="0"/>
          <w:szCs w:val="24"/>
        </w:rPr>
        <w:t xml:space="preserve">Nanda, V. (2007), A method to reduce citation errors while compiling bibliographies. </w:t>
      </w:r>
      <w:r>
        <w:rPr>
          <w:i/>
          <w:iCs/>
          <w:kern w:val="0"/>
          <w:szCs w:val="24"/>
        </w:rPr>
        <w:t>Annals</w:t>
      </w:r>
      <w:r w:rsidR="00427468">
        <w:rPr>
          <w:i/>
          <w:iCs/>
          <w:kern w:val="0"/>
          <w:szCs w:val="24"/>
        </w:rPr>
        <w:t xml:space="preserve"> of </w:t>
      </w:r>
      <w:r>
        <w:rPr>
          <w:i/>
          <w:iCs/>
          <w:kern w:val="0"/>
          <w:szCs w:val="24"/>
        </w:rPr>
        <w:t>Plastic Surgery</w:t>
      </w:r>
      <w:r>
        <w:rPr>
          <w:kern w:val="0"/>
          <w:szCs w:val="24"/>
        </w:rPr>
        <w:t xml:space="preserve">, </w:t>
      </w:r>
      <w:r>
        <w:rPr>
          <w:b/>
          <w:bCs/>
          <w:kern w:val="0"/>
          <w:szCs w:val="24"/>
        </w:rPr>
        <w:t>59</w:t>
      </w:r>
      <w:r>
        <w:rPr>
          <w:kern w:val="0"/>
          <w:szCs w:val="24"/>
        </w:rPr>
        <w:t xml:space="preserve"> (2), 232-233</w:t>
      </w:r>
      <w:r>
        <w:rPr>
          <w:rFonts w:hint="eastAsia"/>
          <w:kern w:val="0"/>
          <w:szCs w:val="24"/>
        </w:rPr>
        <w:t>.</w:t>
      </w:r>
    </w:p>
    <w:p w:rsidR="008500EC" w:rsidRDefault="008500EC" w:rsidP="008500EC">
      <w:pPr>
        <w:pStyle w:val="a3"/>
        <w:rPr>
          <w:kern w:val="0"/>
        </w:rPr>
      </w:pPr>
      <w:r>
        <w:rPr>
          <w:rFonts w:hint="eastAsia"/>
          <w:kern w:val="0"/>
        </w:rPr>
        <w:t xml:space="preserve">Full Text: </w:t>
      </w:r>
      <w:hyperlink r:id="rId940" w:history="1">
        <w:r w:rsidRPr="00DA0B55">
          <w:rPr>
            <w:rStyle w:val="a5"/>
            <w:kern w:val="0"/>
          </w:rPr>
          <w:t>2007\Ann Pla Sur59, 232.pdf</w:t>
        </w:r>
      </w:hyperlink>
    </w:p>
    <w:p w:rsidR="00DA1DD1" w:rsidRDefault="00DA1DD1" w:rsidP="00DA1DD1">
      <w:pPr>
        <w:pStyle w:val="a3"/>
        <w:rPr>
          <w:kern w:val="0"/>
          <w:szCs w:val="24"/>
        </w:rPr>
      </w:pPr>
      <w:r>
        <w:rPr>
          <w:kern w:val="0"/>
          <w:szCs w:val="24"/>
        </w:rPr>
        <w:t>Keywords: Absence</w:t>
      </w:r>
      <w:r w:rsidR="00427468">
        <w:rPr>
          <w:kern w:val="0"/>
          <w:szCs w:val="24"/>
        </w:rPr>
        <w:t xml:space="preserve"> of </w:t>
      </w:r>
      <w:r>
        <w:rPr>
          <w:kern w:val="0"/>
          <w:szCs w:val="24"/>
        </w:rPr>
        <w:t>E-Mail Address</w:t>
      </w:r>
      <w:r w:rsidR="005853A9">
        <w:rPr>
          <w:kern w:val="0"/>
          <w:szCs w:val="24"/>
        </w:rPr>
        <w:t xml:space="preserve"> and </w:t>
      </w:r>
      <w:r>
        <w:rPr>
          <w:kern w:val="0"/>
          <w:szCs w:val="24"/>
        </w:rPr>
        <w:t>DOI., Accuracy, Bibliographies, Citation, Citation Errors, Errors, Please Specify Whether I</w:t>
      </w:r>
      <w:r w:rsidR="00700038">
        <w:rPr>
          <w:kern w:val="0"/>
          <w:szCs w:val="24"/>
        </w:rPr>
        <w:t>’</w:t>
      </w:r>
      <w:r>
        <w:rPr>
          <w:kern w:val="0"/>
          <w:szCs w:val="24"/>
        </w:rPr>
        <w:t>M Right or Not., Preethi(W51), References</w:t>
      </w:r>
    </w:p>
    <w:p w:rsidR="00DA1DD1" w:rsidRDefault="00DA1DD1" w:rsidP="00DA1DD1">
      <w:pPr>
        <w:pStyle w:val="a3"/>
        <w:rPr>
          <w:kern w:val="0"/>
          <w:szCs w:val="24"/>
        </w:rPr>
      </w:pPr>
      <w:r>
        <w:rPr>
          <w:rFonts w:hint="eastAsia"/>
          <w:kern w:val="0"/>
          <w:szCs w:val="24"/>
        </w:rPr>
        <w:t xml:space="preserve">? </w:t>
      </w:r>
      <w:r>
        <w:rPr>
          <w:kern w:val="0"/>
          <w:szCs w:val="24"/>
        </w:rPr>
        <w:t>Singh, N.P.</w:t>
      </w:r>
      <w:r w:rsidR="005853A9">
        <w:rPr>
          <w:kern w:val="0"/>
          <w:szCs w:val="24"/>
        </w:rPr>
        <w:t xml:space="preserve"> and </w:t>
      </w:r>
      <w:r>
        <w:rPr>
          <w:kern w:val="0"/>
          <w:szCs w:val="24"/>
        </w:rPr>
        <w:t xml:space="preserve">Trikha, A. (2007), A method to reduce citation errors while compiling bibliographies. </w:t>
      </w:r>
      <w:r w:rsidRPr="00DA1DD1">
        <w:rPr>
          <w:i/>
          <w:iCs/>
          <w:kern w:val="0"/>
          <w:szCs w:val="24"/>
        </w:rPr>
        <w:t>Annals</w:t>
      </w:r>
      <w:r w:rsidR="00427468">
        <w:rPr>
          <w:i/>
          <w:iCs/>
          <w:kern w:val="0"/>
          <w:szCs w:val="24"/>
        </w:rPr>
        <w:t xml:space="preserve"> of </w:t>
      </w:r>
      <w:r w:rsidRPr="00DA1DD1">
        <w:rPr>
          <w:i/>
          <w:iCs/>
          <w:kern w:val="0"/>
          <w:szCs w:val="24"/>
        </w:rPr>
        <w:t>Plastic Surgery</w:t>
      </w:r>
      <w:r>
        <w:rPr>
          <w:kern w:val="0"/>
          <w:szCs w:val="24"/>
        </w:rPr>
        <w:t xml:space="preserve">, </w:t>
      </w:r>
      <w:r>
        <w:rPr>
          <w:b/>
          <w:bCs/>
          <w:kern w:val="0"/>
          <w:szCs w:val="24"/>
        </w:rPr>
        <w:t>59</w:t>
      </w:r>
      <w:r>
        <w:rPr>
          <w:kern w:val="0"/>
          <w:szCs w:val="24"/>
        </w:rPr>
        <w:t xml:space="preserve"> (6), 733</w:t>
      </w:r>
      <w:r>
        <w:rPr>
          <w:rFonts w:hint="eastAsia"/>
          <w:kern w:val="0"/>
          <w:szCs w:val="24"/>
        </w:rPr>
        <w:t>.</w:t>
      </w:r>
    </w:p>
    <w:p w:rsidR="008500EC" w:rsidRDefault="008500EC" w:rsidP="008500EC">
      <w:pPr>
        <w:pStyle w:val="a3"/>
        <w:rPr>
          <w:kern w:val="0"/>
        </w:rPr>
      </w:pPr>
      <w:r>
        <w:rPr>
          <w:rFonts w:hint="eastAsia"/>
          <w:kern w:val="0"/>
        </w:rPr>
        <w:t xml:space="preserve">Full Text: </w:t>
      </w:r>
      <w:hyperlink r:id="rId941" w:history="1">
        <w:r w:rsidRPr="008500EC">
          <w:rPr>
            <w:rStyle w:val="a5"/>
            <w:kern w:val="0"/>
          </w:rPr>
          <w:t>2007\Ann Pla Sur59, 733.pdf</w:t>
        </w:r>
      </w:hyperlink>
    </w:p>
    <w:p w:rsidR="00DA1DD1" w:rsidRDefault="00DA1DD1" w:rsidP="00DA1DD1">
      <w:pPr>
        <w:pStyle w:val="a3"/>
        <w:rPr>
          <w:kern w:val="0"/>
          <w:szCs w:val="24"/>
        </w:rPr>
      </w:pPr>
      <w:r>
        <w:rPr>
          <w:kern w:val="0"/>
          <w:szCs w:val="24"/>
        </w:rPr>
        <w:t>Keywords: Bibliographies, Citation, Citation Errors, Errors</w:t>
      </w:r>
    </w:p>
    <w:p w:rsidR="00DA1DD1" w:rsidRDefault="00DA1DD1" w:rsidP="00DA1DD1">
      <w:pPr>
        <w:pStyle w:val="a3"/>
        <w:rPr>
          <w:kern w:val="0"/>
          <w:szCs w:val="24"/>
        </w:rPr>
      </w:pPr>
      <w:r>
        <w:rPr>
          <w:rFonts w:hint="eastAsia"/>
          <w:kern w:val="0"/>
          <w:szCs w:val="24"/>
        </w:rPr>
        <w:t xml:space="preserve">? </w:t>
      </w:r>
      <w:r>
        <w:rPr>
          <w:kern w:val="0"/>
          <w:szCs w:val="24"/>
        </w:rPr>
        <w:t>Parashar, A., Makkar, S., Sharma, R.K.</w:t>
      </w:r>
      <w:r w:rsidR="005853A9">
        <w:rPr>
          <w:kern w:val="0"/>
          <w:szCs w:val="24"/>
        </w:rPr>
        <w:t xml:space="preserve"> and </w:t>
      </w:r>
      <w:r>
        <w:rPr>
          <w:kern w:val="0"/>
          <w:szCs w:val="24"/>
        </w:rPr>
        <w:t xml:space="preserve">Nanda, V. (2007), Reply - A method to reduce citation errors while compiling bibliographies. </w:t>
      </w:r>
      <w:r>
        <w:rPr>
          <w:i/>
          <w:iCs/>
          <w:kern w:val="0"/>
          <w:szCs w:val="24"/>
        </w:rPr>
        <w:t>Annals</w:t>
      </w:r>
      <w:r w:rsidR="00427468">
        <w:rPr>
          <w:i/>
          <w:iCs/>
          <w:kern w:val="0"/>
          <w:szCs w:val="24"/>
        </w:rPr>
        <w:t xml:space="preserve"> of </w:t>
      </w:r>
      <w:r>
        <w:rPr>
          <w:i/>
          <w:iCs/>
          <w:kern w:val="0"/>
          <w:szCs w:val="24"/>
        </w:rPr>
        <w:t>Plastic Surgery</w:t>
      </w:r>
      <w:r>
        <w:rPr>
          <w:kern w:val="0"/>
          <w:szCs w:val="24"/>
        </w:rPr>
        <w:t xml:space="preserve">, </w:t>
      </w:r>
      <w:r>
        <w:rPr>
          <w:b/>
          <w:bCs/>
          <w:kern w:val="0"/>
          <w:szCs w:val="24"/>
        </w:rPr>
        <w:t>59</w:t>
      </w:r>
      <w:r>
        <w:rPr>
          <w:kern w:val="0"/>
          <w:szCs w:val="24"/>
        </w:rPr>
        <w:t xml:space="preserve"> (6), 733</w:t>
      </w:r>
      <w:r>
        <w:rPr>
          <w:rFonts w:hint="eastAsia"/>
          <w:kern w:val="0"/>
          <w:szCs w:val="24"/>
        </w:rPr>
        <w:t>.</w:t>
      </w:r>
    </w:p>
    <w:p w:rsidR="008500EC" w:rsidRDefault="008500EC" w:rsidP="008500EC">
      <w:pPr>
        <w:pStyle w:val="a3"/>
        <w:rPr>
          <w:kern w:val="0"/>
        </w:rPr>
      </w:pPr>
      <w:r>
        <w:rPr>
          <w:rFonts w:hint="eastAsia"/>
          <w:kern w:val="0"/>
        </w:rPr>
        <w:t xml:space="preserve">Full Text: </w:t>
      </w:r>
      <w:hyperlink r:id="rId942" w:history="1">
        <w:r w:rsidRPr="008500EC">
          <w:rPr>
            <w:rStyle w:val="a5"/>
            <w:kern w:val="0"/>
          </w:rPr>
          <w:t>2007\Ann Pla Sur59, 733.pdf</w:t>
        </w:r>
      </w:hyperlink>
    </w:p>
    <w:p w:rsidR="00DA1DD1" w:rsidRDefault="00DA1DD1" w:rsidP="00DA1DD1">
      <w:pPr>
        <w:pStyle w:val="a3"/>
        <w:rPr>
          <w:kern w:val="0"/>
          <w:szCs w:val="24"/>
        </w:rPr>
      </w:pPr>
      <w:r>
        <w:rPr>
          <w:kern w:val="0"/>
          <w:szCs w:val="24"/>
        </w:rPr>
        <w:t>Keywords: Bibliographies, Citation, Citation Errors, Errors</w:t>
      </w:r>
    </w:p>
    <w:p w:rsidR="001A0AB9" w:rsidRDefault="001A0AB9" w:rsidP="001A0AB9">
      <w:pPr>
        <w:pStyle w:val="a3"/>
        <w:rPr>
          <w:kern w:val="0"/>
        </w:rPr>
      </w:pPr>
      <w:r>
        <w:rPr>
          <w:rFonts w:hint="eastAsia"/>
          <w:kern w:val="0"/>
        </w:rPr>
        <w:t xml:space="preserve">? </w:t>
      </w:r>
      <w:r w:rsidRPr="001A0AB9">
        <w:rPr>
          <w:kern w:val="0"/>
        </w:rPr>
        <w:t xml:space="preserve">Zhang, </w:t>
      </w:r>
      <w:r>
        <w:rPr>
          <w:rFonts w:hint="eastAsia"/>
          <w:kern w:val="0"/>
        </w:rPr>
        <w:t>W.J.</w:t>
      </w:r>
      <w:r w:rsidRPr="001A0AB9">
        <w:rPr>
          <w:kern w:val="0"/>
        </w:rPr>
        <w:t xml:space="preserve">, Zhang, </w:t>
      </w:r>
      <w:r>
        <w:rPr>
          <w:rFonts w:hint="eastAsia"/>
          <w:kern w:val="0"/>
        </w:rPr>
        <w:t>J.L.</w:t>
      </w:r>
      <w:r w:rsidR="005853A9">
        <w:rPr>
          <w:kern w:val="0"/>
        </w:rPr>
        <w:t xml:space="preserve"> and </w:t>
      </w:r>
      <w:r w:rsidRPr="001A0AB9">
        <w:rPr>
          <w:kern w:val="0"/>
        </w:rPr>
        <w:t>Jiang</w:t>
      </w:r>
      <w:r>
        <w:rPr>
          <w:rFonts w:hint="eastAsia"/>
          <w:kern w:val="0"/>
        </w:rPr>
        <w:t>, H.</w:t>
      </w:r>
      <w:r>
        <w:rPr>
          <w:kern w:val="0"/>
        </w:rPr>
        <w:t xml:space="preserve"> (201</w:t>
      </w:r>
      <w:r>
        <w:rPr>
          <w:rFonts w:hint="eastAsia"/>
          <w:kern w:val="0"/>
        </w:rPr>
        <w:t>2</w:t>
      </w:r>
      <w:r>
        <w:rPr>
          <w:kern w:val="0"/>
        </w:rPr>
        <w:t xml:space="preserve">), </w:t>
      </w:r>
      <w:r w:rsidRPr="001A0AB9">
        <w:rPr>
          <w:kern w:val="0"/>
        </w:rPr>
        <w:t>Growing trend</w:t>
      </w:r>
      <w:r w:rsidR="00427468">
        <w:rPr>
          <w:kern w:val="0"/>
        </w:rPr>
        <w:t xml:space="preserve"> of </w:t>
      </w:r>
      <w:r w:rsidRPr="001A0AB9">
        <w:rPr>
          <w:kern w:val="0"/>
        </w:rPr>
        <w:t>China</w:t>
      </w:r>
      <w:r w:rsidR="00700038">
        <w:rPr>
          <w:kern w:val="0"/>
        </w:rPr>
        <w:t>’</w:t>
      </w:r>
      <w:r w:rsidRPr="001A0AB9">
        <w:rPr>
          <w:kern w:val="0"/>
        </w:rPr>
        <w:t>s contribution to the field</w:t>
      </w:r>
      <w:r w:rsidR="00427468">
        <w:rPr>
          <w:kern w:val="0"/>
        </w:rPr>
        <w:t xml:space="preserve"> of </w:t>
      </w:r>
      <w:r w:rsidRPr="001A0AB9">
        <w:rPr>
          <w:kern w:val="0"/>
        </w:rPr>
        <w:t>plastic</w:t>
      </w:r>
      <w:r w:rsidR="005853A9">
        <w:rPr>
          <w:kern w:val="0"/>
        </w:rPr>
        <w:t xml:space="preserve"> and </w:t>
      </w:r>
      <w:r w:rsidRPr="001A0AB9">
        <w:rPr>
          <w:kern w:val="0"/>
        </w:rPr>
        <w:t>reconstructive surgery</w:t>
      </w:r>
      <w:r>
        <w:rPr>
          <w:rFonts w:hint="eastAsia"/>
          <w:kern w:val="0"/>
        </w:rPr>
        <w:t xml:space="preserve">: </w:t>
      </w:r>
      <w:r w:rsidRPr="001A0AB9">
        <w:rPr>
          <w:kern w:val="0"/>
        </w:rPr>
        <w:t>A 10-year study</w:t>
      </w:r>
      <w:r w:rsidR="00427468">
        <w:rPr>
          <w:kern w:val="0"/>
        </w:rPr>
        <w:t xml:space="preserve"> of </w:t>
      </w:r>
      <w:r w:rsidRPr="001A0AB9">
        <w:rPr>
          <w:kern w:val="0"/>
        </w:rPr>
        <w:t>the literature</w:t>
      </w:r>
      <w:r>
        <w:rPr>
          <w:kern w:val="0"/>
        </w:rPr>
        <w:t xml:space="preserve">. </w:t>
      </w:r>
      <w:r>
        <w:rPr>
          <w:i/>
          <w:iCs/>
          <w:kern w:val="0"/>
        </w:rPr>
        <w:t>Annals</w:t>
      </w:r>
      <w:r w:rsidR="00427468">
        <w:rPr>
          <w:i/>
          <w:iCs/>
          <w:kern w:val="0"/>
        </w:rPr>
        <w:t xml:space="preserve"> of </w:t>
      </w:r>
      <w:r>
        <w:rPr>
          <w:i/>
          <w:iCs/>
          <w:kern w:val="0"/>
        </w:rPr>
        <w:t>Plastic Surgery</w:t>
      </w:r>
      <w:r>
        <w:rPr>
          <w:kern w:val="0"/>
        </w:rPr>
        <w:t xml:space="preserve">, </w:t>
      </w:r>
      <w:r>
        <w:rPr>
          <w:rFonts w:hint="eastAsia"/>
          <w:b/>
          <w:bCs/>
          <w:kern w:val="0"/>
        </w:rPr>
        <w:t>68</w:t>
      </w:r>
      <w:r>
        <w:rPr>
          <w:kern w:val="0"/>
        </w:rPr>
        <w:t xml:space="preserve"> (</w:t>
      </w:r>
      <w:r>
        <w:rPr>
          <w:rFonts w:hint="eastAsia"/>
          <w:kern w:val="0"/>
        </w:rPr>
        <w:t>3</w:t>
      </w:r>
      <w:r>
        <w:rPr>
          <w:kern w:val="0"/>
        </w:rPr>
        <w:t xml:space="preserve">), </w:t>
      </w:r>
      <w:r>
        <w:rPr>
          <w:rFonts w:hint="eastAsia"/>
          <w:kern w:val="0"/>
        </w:rPr>
        <w:t>328</w:t>
      </w:r>
      <w:r>
        <w:rPr>
          <w:kern w:val="0"/>
        </w:rPr>
        <w:t>-</w:t>
      </w:r>
      <w:r>
        <w:rPr>
          <w:rFonts w:hint="eastAsia"/>
          <w:kern w:val="0"/>
        </w:rPr>
        <w:t>331</w:t>
      </w:r>
      <w:r>
        <w:rPr>
          <w:kern w:val="0"/>
        </w:rPr>
        <w:t>.</w:t>
      </w:r>
    </w:p>
    <w:p w:rsidR="001A0AB9" w:rsidRDefault="001A0AB9" w:rsidP="001A0AB9">
      <w:pPr>
        <w:pStyle w:val="a3"/>
        <w:rPr>
          <w:kern w:val="0"/>
        </w:rPr>
      </w:pPr>
      <w:r>
        <w:rPr>
          <w:rFonts w:hint="eastAsia"/>
          <w:kern w:val="0"/>
        </w:rPr>
        <w:t xml:space="preserve">Full Text: </w:t>
      </w:r>
      <w:hyperlink r:id="rId943" w:history="1">
        <w:r w:rsidRPr="001A0AB9">
          <w:rPr>
            <w:rStyle w:val="a5"/>
            <w:kern w:val="0"/>
          </w:rPr>
          <w:t>2012\Ann Pla Sur68, 328.pdf</w:t>
        </w:r>
      </w:hyperlink>
    </w:p>
    <w:p w:rsidR="001A0AB9" w:rsidRPr="001A0AB9" w:rsidRDefault="001A0AB9" w:rsidP="001A0AB9">
      <w:pPr>
        <w:pStyle w:val="a3"/>
        <w:rPr>
          <w:kern w:val="0"/>
        </w:rPr>
      </w:pPr>
      <w:r>
        <w:rPr>
          <w:rFonts w:hint="eastAsia"/>
          <w:kern w:val="0"/>
        </w:rPr>
        <w:t xml:space="preserve">Abstract: </w:t>
      </w:r>
      <w:r w:rsidRPr="001A0AB9">
        <w:rPr>
          <w:kern w:val="0"/>
        </w:rPr>
        <w:t>Background: In the past decade, plastic</w:t>
      </w:r>
      <w:r w:rsidR="005853A9">
        <w:rPr>
          <w:kern w:val="0"/>
        </w:rPr>
        <w:t xml:space="preserve"> and </w:t>
      </w:r>
      <w:r w:rsidRPr="001A0AB9">
        <w:rPr>
          <w:kern w:val="0"/>
        </w:rPr>
        <w:t>reconstructive surgery in China</w:t>
      </w:r>
      <w:r>
        <w:rPr>
          <w:kern w:val="0"/>
        </w:rPr>
        <w:t xml:space="preserve"> </w:t>
      </w:r>
      <w:r w:rsidRPr="001A0AB9">
        <w:rPr>
          <w:kern w:val="0"/>
        </w:rPr>
        <w:t>has achieved great advances. However, the scientific publications in plastic</w:t>
      </w:r>
      <w:r w:rsidR="005853A9">
        <w:rPr>
          <w:kern w:val="0"/>
        </w:rPr>
        <w:t xml:space="preserve"> and </w:t>
      </w:r>
      <w:r w:rsidRPr="001A0AB9">
        <w:rPr>
          <w:kern w:val="0"/>
        </w:rPr>
        <w:t>reconstructive surgery in the major regions</w:t>
      </w:r>
      <w:r w:rsidR="00427468">
        <w:rPr>
          <w:kern w:val="0"/>
        </w:rPr>
        <w:t xml:space="preserve"> of </w:t>
      </w:r>
      <w:r w:rsidRPr="001A0AB9">
        <w:rPr>
          <w:kern w:val="0"/>
        </w:rPr>
        <w:t>China—Mainland, Hong</w:t>
      </w:r>
      <w:r>
        <w:rPr>
          <w:kern w:val="0"/>
        </w:rPr>
        <w:t xml:space="preserve"> </w:t>
      </w:r>
      <w:r w:rsidRPr="001A0AB9">
        <w:rPr>
          <w:kern w:val="0"/>
        </w:rPr>
        <w:t>Kong,</w:t>
      </w:r>
      <w:r w:rsidR="005853A9">
        <w:rPr>
          <w:kern w:val="0"/>
        </w:rPr>
        <w:t xml:space="preserve"> and </w:t>
      </w:r>
      <w:r w:rsidRPr="001A0AB9">
        <w:rPr>
          <w:kern w:val="0"/>
        </w:rPr>
        <w:t>Taiwan are unknown. We therefore intended to reveal the</w:t>
      </w:r>
      <w:r>
        <w:rPr>
          <w:kern w:val="0"/>
        </w:rPr>
        <w:t xml:space="preserve"> </w:t>
      </w:r>
      <w:r w:rsidRPr="001A0AB9">
        <w:rPr>
          <w:kern w:val="0"/>
        </w:rPr>
        <w:t>contribution</w:t>
      </w:r>
      <w:r w:rsidR="00427468">
        <w:rPr>
          <w:kern w:val="0"/>
        </w:rPr>
        <w:t xml:space="preserve"> of </w:t>
      </w:r>
      <w:r w:rsidRPr="001A0AB9">
        <w:rPr>
          <w:kern w:val="0"/>
        </w:rPr>
        <w:t>articles from Chinese authors to the field</w:t>
      </w:r>
      <w:r w:rsidR="00427468">
        <w:rPr>
          <w:kern w:val="0"/>
        </w:rPr>
        <w:t xml:space="preserve"> of </w:t>
      </w:r>
      <w:r w:rsidRPr="001A0AB9">
        <w:rPr>
          <w:kern w:val="0"/>
        </w:rPr>
        <w:t>plastic</w:t>
      </w:r>
      <w:r w:rsidR="005853A9">
        <w:rPr>
          <w:kern w:val="0"/>
        </w:rPr>
        <w:t xml:space="preserve"> and </w:t>
      </w:r>
      <w:r w:rsidRPr="001A0AB9">
        <w:rPr>
          <w:kern w:val="0"/>
        </w:rPr>
        <w:t>reconstructive surgery.</w:t>
      </w:r>
      <w:r>
        <w:rPr>
          <w:kern w:val="0"/>
        </w:rPr>
        <w:t xml:space="preserve"> </w:t>
      </w:r>
      <w:r w:rsidRPr="001A0AB9">
        <w:rPr>
          <w:kern w:val="0"/>
        </w:rPr>
        <w:t xml:space="preserve">Methods: </w:t>
      </w:r>
      <w:r w:rsidRPr="001A0AB9">
        <w:rPr>
          <w:kern w:val="0"/>
        </w:rPr>
        <w:lastRenderedPageBreak/>
        <w:t>Articles published in the 6 journals in plastic</w:t>
      </w:r>
      <w:r w:rsidR="005853A9">
        <w:rPr>
          <w:kern w:val="0"/>
        </w:rPr>
        <w:t xml:space="preserve"> and </w:t>
      </w:r>
      <w:r w:rsidRPr="001A0AB9">
        <w:rPr>
          <w:kern w:val="0"/>
        </w:rPr>
        <w:t>reconstructive</w:t>
      </w:r>
      <w:r>
        <w:rPr>
          <w:kern w:val="0"/>
        </w:rPr>
        <w:t xml:space="preserve"> </w:t>
      </w:r>
      <w:r w:rsidRPr="001A0AB9">
        <w:rPr>
          <w:kern w:val="0"/>
        </w:rPr>
        <w:t>surgery originating from Mainland China, Hong Kong,</w:t>
      </w:r>
      <w:r w:rsidR="005853A9">
        <w:rPr>
          <w:kern w:val="0"/>
        </w:rPr>
        <w:t xml:space="preserve"> and </w:t>
      </w:r>
      <w:r w:rsidRPr="001A0AB9">
        <w:rPr>
          <w:kern w:val="0"/>
        </w:rPr>
        <w:t>Taiwan in 2000</w:t>
      </w:r>
      <w:r>
        <w:rPr>
          <w:kern w:val="0"/>
        </w:rPr>
        <w:t xml:space="preserve"> </w:t>
      </w:r>
      <w:r w:rsidRPr="001A0AB9">
        <w:rPr>
          <w:kern w:val="0"/>
        </w:rPr>
        <w:t>to 2009 were retrieved from the PubMed database</w:t>
      </w:r>
      <w:r w:rsidR="005853A9">
        <w:rPr>
          <w:kern w:val="0"/>
        </w:rPr>
        <w:t xml:space="preserve"> and </w:t>
      </w:r>
      <w:r w:rsidRPr="001A0AB9">
        <w:rPr>
          <w:kern w:val="0"/>
        </w:rPr>
        <w:t>Journal Citation</w:t>
      </w:r>
      <w:r>
        <w:rPr>
          <w:kern w:val="0"/>
        </w:rPr>
        <w:t xml:space="preserve"> </w:t>
      </w:r>
      <w:r w:rsidRPr="001A0AB9">
        <w:rPr>
          <w:kern w:val="0"/>
        </w:rPr>
        <w:t>Reports</w:t>
      </w:r>
      <w:r w:rsidR="00A37C1D">
        <w:rPr>
          <w:kern w:val="0"/>
        </w:rPr>
        <w:t>. The</w:t>
      </w:r>
      <w:r w:rsidRPr="001A0AB9">
        <w:rPr>
          <w:kern w:val="0"/>
        </w:rPr>
        <w:t xml:space="preserve"> number</w:t>
      </w:r>
      <w:r w:rsidR="00427468">
        <w:rPr>
          <w:kern w:val="0"/>
        </w:rPr>
        <w:t xml:space="preserve"> of </w:t>
      </w:r>
      <w:r w:rsidRPr="001A0AB9">
        <w:rPr>
          <w:kern w:val="0"/>
        </w:rPr>
        <w:t>total articles, 5-year impact factors (5 years-IF),</w:t>
      </w:r>
      <w:r w:rsidR="005853A9">
        <w:rPr>
          <w:kern w:val="0"/>
        </w:rPr>
        <w:t xml:space="preserve"> and </w:t>
      </w:r>
      <w:r w:rsidRPr="001A0AB9">
        <w:rPr>
          <w:kern w:val="0"/>
        </w:rPr>
        <w:t>citations were tabulated to assess both the quantity</w:t>
      </w:r>
      <w:r w:rsidR="005853A9">
        <w:rPr>
          <w:kern w:val="0"/>
        </w:rPr>
        <w:t xml:space="preserve"> and </w:t>
      </w:r>
      <w:r w:rsidRPr="001A0AB9">
        <w:rPr>
          <w:kern w:val="0"/>
        </w:rPr>
        <w:t>quality</w:t>
      </w:r>
      <w:r w:rsidR="00427468">
        <w:rPr>
          <w:kern w:val="0"/>
        </w:rPr>
        <w:t xml:space="preserve"> of </w:t>
      </w:r>
      <w:r w:rsidRPr="001A0AB9">
        <w:rPr>
          <w:kern w:val="0"/>
        </w:rPr>
        <w:t>research</w:t>
      </w:r>
      <w:r>
        <w:rPr>
          <w:kern w:val="0"/>
        </w:rPr>
        <w:t xml:space="preserve"> </w:t>
      </w:r>
      <w:r w:rsidRPr="001A0AB9">
        <w:rPr>
          <w:kern w:val="0"/>
        </w:rPr>
        <w:t>arising from China.</w:t>
      </w:r>
      <w:r>
        <w:rPr>
          <w:kern w:val="0"/>
        </w:rPr>
        <w:t xml:space="preserve"> </w:t>
      </w:r>
      <w:r w:rsidRPr="001A0AB9">
        <w:rPr>
          <w:kern w:val="0"/>
        </w:rPr>
        <w:t>Results: From 2000 to 2009, there were 568 articles from China, including</w:t>
      </w:r>
      <w:r>
        <w:rPr>
          <w:kern w:val="0"/>
        </w:rPr>
        <w:t xml:space="preserve"> </w:t>
      </w:r>
      <w:r w:rsidRPr="001A0AB9">
        <w:rPr>
          <w:kern w:val="0"/>
        </w:rPr>
        <w:t>225 from Mainland China, 317 from Taiwan,</w:t>
      </w:r>
      <w:r w:rsidR="005853A9">
        <w:rPr>
          <w:kern w:val="0"/>
        </w:rPr>
        <w:t xml:space="preserve"> and </w:t>
      </w:r>
      <w:r w:rsidRPr="001A0AB9">
        <w:rPr>
          <w:kern w:val="0"/>
        </w:rPr>
        <w:t>26 from Hong Kong</w:t>
      </w:r>
      <w:r w:rsidR="00A37C1D">
        <w:rPr>
          <w:kern w:val="0"/>
        </w:rPr>
        <w:t>. The</w:t>
      </w:r>
      <w:r>
        <w:rPr>
          <w:kern w:val="0"/>
        </w:rPr>
        <w:t xml:space="preserve"> </w:t>
      </w:r>
      <w:r w:rsidRPr="001A0AB9">
        <w:rPr>
          <w:kern w:val="0"/>
        </w:rPr>
        <w:t>annual total numbers</w:t>
      </w:r>
      <w:r w:rsidR="00427468">
        <w:rPr>
          <w:kern w:val="0"/>
        </w:rPr>
        <w:t xml:space="preserve"> of </w:t>
      </w:r>
      <w:r w:rsidRPr="001A0AB9">
        <w:rPr>
          <w:kern w:val="0"/>
        </w:rPr>
        <w:t>articles from the 3 Chinese regions increased</w:t>
      </w:r>
      <w:r>
        <w:rPr>
          <w:kern w:val="0"/>
        </w:rPr>
        <w:t xml:space="preserve"> </w:t>
      </w:r>
      <w:r w:rsidRPr="001A0AB9">
        <w:rPr>
          <w:kern w:val="0"/>
        </w:rPr>
        <w:t>gradually between 2000</w:t>
      </w:r>
      <w:r w:rsidR="005853A9">
        <w:rPr>
          <w:kern w:val="0"/>
        </w:rPr>
        <w:t xml:space="preserve"> and </w:t>
      </w:r>
      <w:r w:rsidRPr="001A0AB9">
        <w:rPr>
          <w:kern w:val="0"/>
        </w:rPr>
        <w:t>2009 (from 40 to 100). From 2007, the number</w:t>
      </w:r>
      <w:r w:rsidR="00427468">
        <w:rPr>
          <w:kern w:val="0"/>
        </w:rPr>
        <w:t xml:space="preserve"> of </w:t>
      </w:r>
      <w:r w:rsidRPr="001A0AB9">
        <w:rPr>
          <w:kern w:val="0"/>
        </w:rPr>
        <w:t>articles published from Mainland China exceeded Taiwan. Taiwan had the</w:t>
      </w:r>
      <w:r>
        <w:rPr>
          <w:kern w:val="0"/>
        </w:rPr>
        <w:t xml:space="preserve"> </w:t>
      </w:r>
      <w:r w:rsidRPr="001A0AB9">
        <w:rPr>
          <w:kern w:val="0"/>
        </w:rPr>
        <w:t>highest accumulated 5 years-IFs, average 5 years-IF, total citations,</w:t>
      </w:r>
      <w:r w:rsidR="005853A9">
        <w:rPr>
          <w:kern w:val="0"/>
        </w:rPr>
        <w:t xml:space="preserve"> and </w:t>
      </w:r>
      <w:r w:rsidRPr="001A0AB9">
        <w:rPr>
          <w:kern w:val="0"/>
        </w:rPr>
        <w:t>average citations</w:t>
      </w:r>
      <w:r w:rsidR="00427468">
        <w:rPr>
          <w:kern w:val="0"/>
        </w:rPr>
        <w:t xml:space="preserve"> of </w:t>
      </w:r>
      <w:r w:rsidRPr="001A0AB9">
        <w:rPr>
          <w:kern w:val="0"/>
        </w:rPr>
        <w:t>each article. Plastic</w:t>
      </w:r>
      <w:r w:rsidR="005853A9">
        <w:rPr>
          <w:kern w:val="0"/>
        </w:rPr>
        <w:t xml:space="preserve"> and </w:t>
      </w:r>
      <w:r w:rsidRPr="001A0AB9">
        <w:rPr>
          <w:kern w:val="0"/>
        </w:rPr>
        <w:t>Reconstructive Surgery was the</w:t>
      </w:r>
      <w:r>
        <w:rPr>
          <w:kern w:val="0"/>
        </w:rPr>
        <w:t xml:space="preserve"> </w:t>
      </w:r>
      <w:r w:rsidRPr="001A0AB9">
        <w:rPr>
          <w:kern w:val="0"/>
        </w:rPr>
        <w:t>most popular journal in China.</w:t>
      </w:r>
      <w:r>
        <w:rPr>
          <w:kern w:val="0"/>
        </w:rPr>
        <w:t xml:space="preserve"> </w:t>
      </w:r>
      <w:r w:rsidRPr="001A0AB9">
        <w:rPr>
          <w:kern w:val="0"/>
        </w:rPr>
        <w:t>Conclusions: The number</w:t>
      </w:r>
      <w:r w:rsidR="00427468">
        <w:rPr>
          <w:kern w:val="0"/>
        </w:rPr>
        <w:t xml:space="preserve"> of </w:t>
      </w:r>
      <w:r w:rsidRPr="001A0AB9">
        <w:rPr>
          <w:kern w:val="0"/>
        </w:rPr>
        <w:t>articles published from Chinese authors increased</w:t>
      </w:r>
      <w:r>
        <w:rPr>
          <w:kern w:val="0"/>
        </w:rPr>
        <w:t xml:space="preserve"> </w:t>
      </w:r>
      <w:r w:rsidRPr="001A0AB9">
        <w:rPr>
          <w:kern w:val="0"/>
        </w:rPr>
        <w:t>markedly from 2000 to 2009, particularly from Mainland China,</w:t>
      </w:r>
      <w:r>
        <w:rPr>
          <w:kern w:val="0"/>
        </w:rPr>
        <w:t xml:space="preserve"> </w:t>
      </w:r>
      <w:r w:rsidRPr="001A0AB9">
        <w:rPr>
          <w:kern w:val="0"/>
        </w:rPr>
        <w:t>since 2004.</w:t>
      </w:r>
    </w:p>
    <w:p w:rsidR="001A0AB9" w:rsidRPr="001A0AB9" w:rsidRDefault="001A0AB9" w:rsidP="001A0AB9">
      <w:pPr>
        <w:pStyle w:val="a3"/>
        <w:rPr>
          <w:kern w:val="0"/>
        </w:rPr>
      </w:pPr>
      <w:r>
        <w:rPr>
          <w:kern w:val="0"/>
        </w:rPr>
        <w:t>Key</w:t>
      </w:r>
      <w:r w:rsidRPr="001A0AB9">
        <w:rPr>
          <w:kern w:val="0"/>
        </w:rPr>
        <w:t>words: PubMed, China, Plastic</w:t>
      </w:r>
      <w:r w:rsidR="005853A9">
        <w:rPr>
          <w:kern w:val="0"/>
        </w:rPr>
        <w:t xml:space="preserve"> and </w:t>
      </w:r>
      <w:r w:rsidRPr="001A0AB9">
        <w:rPr>
          <w:kern w:val="0"/>
        </w:rPr>
        <w:t>Reconstructive Surgery</w:t>
      </w:r>
    </w:p>
    <w:p w:rsidR="00932FDF" w:rsidRDefault="00932FDF" w:rsidP="00932FDF">
      <w:pPr>
        <w:pStyle w:val="a3"/>
        <w:rPr>
          <w:kern w:val="0"/>
        </w:rPr>
      </w:pPr>
      <w:r>
        <w:rPr>
          <w:rFonts w:hint="eastAsia"/>
          <w:kern w:val="0"/>
        </w:rPr>
        <w:t xml:space="preserve">? </w:t>
      </w:r>
      <w:r>
        <w:rPr>
          <w:kern w:val="0"/>
        </w:rPr>
        <w:t>Zhang, W.J., Ding, W., Jiang, H., Zhang, Y.F.</w:t>
      </w:r>
      <w:r w:rsidR="005853A9">
        <w:rPr>
          <w:kern w:val="0"/>
        </w:rPr>
        <w:t xml:space="preserve"> and </w:t>
      </w:r>
      <w:r>
        <w:rPr>
          <w:kern w:val="0"/>
        </w:rPr>
        <w:t>Zhang, J.L. (2013), National representation in the plastic</w:t>
      </w:r>
      <w:r w:rsidR="005853A9">
        <w:rPr>
          <w:kern w:val="0"/>
        </w:rPr>
        <w:t xml:space="preserve"> and </w:t>
      </w:r>
      <w:r>
        <w:rPr>
          <w:kern w:val="0"/>
        </w:rPr>
        <w:t>reconstructive surgery literature</w:t>
      </w:r>
      <w:r>
        <w:rPr>
          <w:rFonts w:hint="eastAsia"/>
          <w:kern w:val="0"/>
        </w:rPr>
        <w:t>:</w:t>
      </w:r>
      <w:r>
        <w:rPr>
          <w:kern w:val="0"/>
        </w:rPr>
        <w:t xml:space="preserve"> A bibliometric analysis</w:t>
      </w:r>
      <w:r w:rsidR="00427468">
        <w:rPr>
          <w:kern w:val="0"/>
        </w:rPr>
        <w:t xml:space="preserve"> of </w:t>
      </w:r>
      <w:r>
        <w:rPr>
          <w:kern w:val="0"/>
        </w:rPr>
        <w:t xml:space="preserve">highly cited journals. </w:t>
      </w:r>
      <w:r>
        <w:rPr>
          <w:i/>
          <w:iCs/>
          <w:kern w:val="0"/>
        </w:rPr>
        <w:t>Annals</w:t>
      </w:r>
      <w:r w:rsidR="00427468">
        <w:rPr>
          <w:i/>
          <w:iCs/>
          <w:kern w:val="0"/>
        </w:rPr>
        <w:t xml:space="preserve"> of </w:t>
      </w:r>
      <w:r>
        <w:rPr>
          <w:i/>
          <w:iCs/>
          <w:kern w:val="0"/>
        </w:rPr>
        <w:t>Plastic Surgery</w:t>
      </w:r>
      <w:r>
        <w:rPr>
          <w:kern w:val="0"/>
        </w:rPr>
        <w:t xml:space="preserve">, </w:t>
      </w:r>
      <w:r>
        <w:rPr>
          <w:b/>
          <w:bCs/>
          <w:kern w:val="0"/>
        </w:rPr>
        <w:t>70</w:t>
      </w:r>
      <w:r>
        <w:rPr>
          <w:kern w:val="0"/>
        </w:rPr>
        <w:t xml:space="preserve"> (2), 231-234.</w:t>
      </w:r>
    </w:p>
    <w:p w:rsidR="00932FDF" w:rsidRDefault="00932FDF" w:rsidP="00932FDF">
      <w:pPr>
        <w:pStyle w:val="a3"/>
        <w:rPr>
          <w:kern w:val="0"/>
        </w:rPr>
      </w:pPr>
      <w:r>
        <w:rPr>
          <w:rFonts w:hint="eastAsia"/>
          <w:kern w:val="0"/>
        </w:rPr>
        <w:t xml:space="preserve">Full Text: </w:t>
      </w:r>
      <w:hyperlink r:id="rId944" w:history="1">
        <w:r w:rsidR="008500EC" w:rsidRPr="008500EC">
          <w:rPr>
            <w:rStyle w:val="a5"/>
            <w:kern w:val="0"/>
          </w:rPr>
          <w:t>2013\Ann Pla Sur70, 231.pdf</w:t>
        </w:r>
      </w:hyperlink>
    </w:p>
    <w:p w:rsidR="00932FDF" w:rsidRDefault="00932FDF" w:rsidP="00932FDF">
      <w:pPr>
        <w:pStyle w:val="a3"/>
        <w:rPr>
          <w:kern w:val="0"/>
        </w:rPr>
      </w:pPr>
      <w:r>
        <w:rPr>
          <w:kern w:val="0"/>
        </w:rPr>
        <w:t>Abstract: Background: In recent years, significant growth has been observed in the field</w:t>
      </w:r>
      <w:r w:rsidR="00427468">
        <w:rPr>
          <w:kern w:val="0"/>
        </w:rPr>
        <w:t xml:space="preserve"> of </w:t>
      </w:r>
      <w:r>
        <w:rPr>
          <w:kern w:val="0"/>
        </w:rPr>
        <w:t>plastic</w:t>
      </w:r>
      <w:r w:rsidR="005853A9">
        <w:rPr>
          <w:kern w:val="0"/>
        </w:rPr>
        <w:t xml:space="preserve"> and </w:t>
      </w:r>
      <w:r>
        <w:rPr>
          <w:kern w:val="0"/>
        </w:rPr>
        <w:t>reconstructive surgery. However, the national productivity to the field</w:t>
      </w:r>
      <w:r w:rsidR="00427468">
        <w:rPr>
          <w:kern w:val="0"/>
        </w:rPr>
        <w:t xml:space="preserve"> of </w:t>
      </w:r>
      <w:r>
        <w:rPr>
          <w:kern w:val="0"/>
        </w:rPr>
        <w:t>plastic</w:t>
      </w:r>
      <w:r w:rsidR="005853A9">
        <w:rPr>
          <w:kern w:val="0"/>
        </w:rPr>
        <w:t xml:space="preserve"> and </w:t>
      </w:r>
      <w:r>
        <w:rPr>
          <w:kern w:val="0"/>
        </w:rPr>
        <w:t>reconstructive surgery remains unknown. We therefore intended to reveal national contributions in the field</w:t>
      </w:r>
      <w:r w:rsidR="00427468">
        <w:rPr>
          <w:kern w:val="0"/>
        </w:rPr>
        <w:t xml:space="preserve"> of </w:t>
      </w:r>
      <w:r>
        <w:rPr>
          <w:kern w:val="0"/>
        </w:rPr>
        <w:t>plastic</w:t>
      </w:r>
      <w:r w:rsidR="005853A9">
        <w:rPr>
          <w:kern w:val="0"/>
        </w:rPr>
        <w:t xml:space="preserve"> and </w:t>
      </w:r>
      <w:r>
        <w:rPr>
          <w:kern w:val="0"/>
        </w:rPr>
        <w:t>reconstructive surgery. Methods: Articles published in the 6 highly cited journals in plastic</w:t>
      </w:r>
      <w:r w:rsidR="005853A9">
        <w:rPr>
          <w:kern w:val="0"/>
        </w:rPr>
        <w:t xml:space="preserve"> and </w:t>
      </w:r>
      <w:r>
        <w:rPr>
          <w:kern w:val="0"/>
        </w:rPr>
        <w:t xml:space="preserve">reconstructive surgery in 2005-2009 were retrieved from the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sidR="00A37C1D">
        <w:rPr>
          <w:kern w:val="0"/>
        </w:rPr>
        <w:t>. The</w:t>
      </w:r>
      <w:r>
        <w:rPr>
          <w:kern w:val="0"/>
        </w:rPr>
        <w:t xml:space="preserve"> number</w:t>
      </w:r>
      <w:r w:rsidR="00427468">
        <w:rPr>
          <w:kern w:val="0"/>
        </w:rPr>
        <w:t xml:space="preserve"> of </w:t>
      </w:r>
      <w:r>
        <w:rPr>
          <w:kern w:val="0"/>
        </w:rPr>
        <w:t>total articles, the per capita numbers, 5-year impact factors (5y-IF),</w:t>
      </w:r>
      <w:r w:rsidR="005853A9">
        <w:rPr>
          <w:kern w:val="0"/>
        </w:rPr>
        <w:t xml:space="preserve"> and </w:t>
      </w:r>
      <w:r>
        <w:rPr>
          <w:kern w:val="0"/>
        </w:rPr>
        <w:t>citations were tabulated to assess the contribution</w:t>
      </w:r>
      <w:r w:rsidR="00427468">
        <w:rPr>
          <w:kern w:val="0"/>
        </w:rPr>
        <w:t xml:space="preserve"> of </w:t>
      </w:r>
      <w:r>
        <w:rPr>
          <w:kern w:val="0"/>
        </w:rPr>
        <w:t>different countries. Results: A total number</w:t>
      </w:r>
      <w:r w:rsidR="00427468">
        <w:rPr>
          <w:kern w:val="0"/>
        </w:rPr>
        <w:t xml:space="preserve"> of </w:t>
      </w:r>
      <w:r>
        <w:rPr>
          <w:kern w:val="0"/>
        </w:rPr>
        <w:t>5745 articles were published in the 6 journals from 2005 to 2009 worldwide. North America, West Europe,</w:t>
      </w:r>
      <w:r w:rsidR="005853A9">
        <w:rPr>
          <w:kern w:val="0"/>
        </w:rPr>
        <w:t xml:space="preserve"> and </w:t>
      </w:r>
      <w:r>
        <w:rPr>
          <w:kern w:val="0"/>
        </w:rPr>
        <w:t>East Asia were the most productive regions. High-income countries published 79.72%</w:t>
      </w:r>
      <w:r w:rsidR="00427468">
        <w:rPr>
          <w:kern w:val="0"/>
        </w:rPr>
        <w:t xml:space="preserve"> of </w:t>
      </w:r>
      <w:r>
        <w:rPr>
          <w:kern w:val="0"/>
        </w:rPr>
        <w:t>the total articles. United States (</w:t>
      </w:r>
      <w:r w:rsidR="00D5664A">
        <w:rPr>
          <w:kern w:val="0"/>
        </w:rPr>
        <w:t>USA</w:t>
      </w:r>
      <w:r>
        <w:rPr>
          <w:kern w:val="0"/>
        </w:rPr>
        <w:t>) published most</w:t>
      </w:r>
      <w:r w:rsidR="00427468">
        <w:rPr>
          <w:kern w:val="0"/>
        </w:rPr>
        <w:t xml:space="preserve"> of </w:t>
      </w:r>
      <w:r>
        <w:rPr>
          <w:kern w:val="0"/>
        </w:rPr>
        <w:t>the articles during 2005 to 2009 (2015/5745, 35.07%), followed by United Kingdom, Turkey, Japan,</w:t>
      </w:r>
      <w:r w:rsidR="005853A9">
        <w:rPr>
          <w:kern w:val="0"/>
        </w:rPr>
        <w:t xml:space="preserve"> and </w:t>
      </w:r>
      <w:r>
        <w:rPr>
          <w:kern w:val="0"/>
        </w:rPr>
        <w:t xml:space="preserve">China. Besides, </w:t>
      </w:r>
      <w:r w:rsidR="00D5664A">
        <w:rPr>
          <w:kern w:val="0"/>
        </w:rPr>
        <w:t>USA</w:t>
      </w:r>
      <w:r>
        <w:rPr>
          <w:kern w:val="0"/>
        </w:rPr>
        <w:t xml:space="preserve"> also had the highest total 5y-IF (5010.76), the highest mean 5y-IF (2.49),</w:t>
      </w:r>
      <w:r w:rsidR="005853A9">
        <w:rPr>
          <w:kern w:val="0"/>
        </w:rPr>
        <w:t xml:space="preserve"> and </w:t>
      </w:r>
      <w:r>
        <w:rPr>
          <w:kern w:val="0"/>
        </w:rPr>
        <w:t>the highest total citations (11,788). When normalized to population size, Sweden had the highest number</w:t>
      </w:r>
      <w:r w:rsidR="00427468">
        <w:rPr>
          <w:kern w:val="0"/>
        </w:rPr>
        <w:t xml:space="preserve"> of </w:t>
      </w:r>
      <w:r>
        <w:rPr>
          <w:kern w:val="0"/>
        </w:rPr>
        <w:t>articles per million persons (12.26), followed by Switzerland (8.02)</w:t>
      </w:r>
      <w:r w:rsidR="005853A9">
        <w:rPr>
          <w:kern w:val="0"/>
        </w:rPr>
        <w:t xml:space="preserve"> and </w:t>
      </w:r>
      <w:r>
        <w:rPr>
          <w:kern w:val="0"/>
        </w:rPr>
        <w:t xml:space="preserve">Netherlands (7.77). Conclusions: </w:t>
      </w:r>
      <w:r w:rsidR="00D5664A">
        <w:rPr>
          <w:kern w:val="0"/>
        </w:rPr>
        <w:t>USA</w:t>
      </w:r>
      <w:r>
        <w:rPr>
          <w:kern w:val="0"/>
        </w:rPr>
        <w:t xml:space="preserve"> is the most productive country in the field</w:t>
      </w:r>
      <w:r w:rsidR="00427468">
        <w:rPr>
          <w:kern w:val="0"/>
        </w:rPr>
        <w:t xml:space="preserve"> of </w:t>
      </w:r>
      <w:r>
        <w:rPr>
          <w:kern w:val="0"/>
        </w:rPr>
        <w:t>plastic</w:t>
      </w:r>
      <w:r w:rsidR="005853A9">
        <w:rPr>
          <w:kern w:val="0"/>
        </w:rPr>
        <w:t xml:space="preserve"> and </w:t>
      </w:r>
      <w:r>
        <w:rPr>
          <w:kern w:val="0"/>
        </w:rPr>
        <w:t>reconstructive surgery. When normalized to population size, some European countries might be more productive.</w:t>
      </w:r>
    </w:p>
    <w:p w:rsidR="00932FDF" w:rsidRDefault="00932FDF" w:rsidP="00932FDF">
      <w:pPr>
        <w:pStyle w:val="a3"/>
        <w:rPr>
          <w:kern w:val="0"/>
        </w:rPr>
      </w:pPr>
      <w:r>
        <w:rPr>
          <w:kern w:val="0"/>
        </w:rPr>
        <w:t xml:space="preserve">Keywords: 10-Year Survey, Anesthesia, Articles, Asia, Bibliometric, Bibliometric </w:t>
      </w:r>
      <w:r>
        <w:rPr>
          <w:kern w:val="0"/>
        </w:rPr>
        <w:lastRenderedPageBreak/>
        <w:t xml:space="preserve">Analysis, China, Citations, Country, Europe, Field, Growth, Highly Cited, Highly-Cited, Impact, Impact Factors, Japan, Journals, Literature, Medicine, </w:t>
      </w:r>
      <w:r w:rsidR="00D5664A">
        <w:rPr>
          <w:kern w:val="0"/>
        </w:rPr>
        <w:t>MEDLINE</w:t>
      </w:r>
      <w:r>
        <w:rPr>
          <w:kern w:val="0"/>
        </w:rPr>
        <w:t>, North, North America, Plastic</w:t>
      </w:r>
      <w:r w:rsidR="005853A9">
        <w:rPr>
          <w:kern w:val="0"/>
        </w:rPr>
        <w:t xml:space="preserve"> and </w:t>
      </w:r>
      <w:r>
        <w:rPr>
          <w:kern w:val="0"/>
        </w:rPr>
        <w:t xml:space="preserve">Reconstructive Surgery, Population, Population Size, Productivity, Recent, Reconstructive Surgery, Results, Science, Scientific Publications, Size, Surgery, Sweden, Switzerland, Turkey, United Kingdom, United States,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p>
    <w:p w:rsidR="00C46AD8" w:rsidRDefault="00C46AD8" w:rsidP="00C46AD8">
      <w:pPr>
        <w:pStyle w:val="a3"/>
        <w:rPr>
          <w:kern w:val="0"/>
        </w:rPr>
      </w:pPr>
      <w:r>
        <w:rPr>
          <w:rFonts w:hint="eastAsia"/>
          <w:kern w:val="0"/>
        </w:rPr>
        <w:t xml:space="preserve">? </w:t>
      </w:r>
      <w:r>
        <w:rPr>
          <w:kern w:val="0"/>
        </w:rPr>
        <w:t xml:space="preserve">Zhang, W.J., Li, Y.F., Zhang, J.L., Xu, M., Yan, R.L. and Jiang, H. (2013), Classic citations in main plastic and reconstructive surgery journals. </w:t>
      </w:r>
      <w:r>
        <w:rPr>
          <w:i/>
          <w:iCs/>
          <w:kern w:val="0"/>
        </w:rPr>
        <w:t>Annals</w:t>
      </w:r>
      <w:r w:rsidR="00427468">
        <w:rPr>
          <w:i/>
          <w:iCs/>
          <w:kern w:val="0"/>
        </w:rPr>
        <w:t xml:space="preserve"> of </w:t>
      </w:r>
      <w:r>
        <w:rPr>
          <w:i/>
          <w:iCs/>
          <w:kern w:val="0"/>
        </w:rPr>
        <w:t>Plastic Surgery</w:t>
      </w:r>
      <w:r>
        <w:rPr>
          <w:kern w:val="0"/>
        </w:rPr>
        <w:t xml:space="preserve">, </w:t>
      </w:r>
      <w:r>
        <w:rPr>
          <w:b/>
          <w:bCs/>
          <w:kern w:val="0"/>
        </w:rPr>
        <w:t>71</w:t>
      </w:r>
      <w:r>
        <w:rPr>
          <w:kern w:val="0"/>
        </w:rPr>
        <w:t xml:space="preserve"> (1), 103-108.</w:t>
      </w:r>
    </w:p>
    <w:p w:rsidR="00C46AD8" w:rsidRDefault="00C46AD8" w:rsidP="00C46AD8">
      <w:pPr>
        <w:pStyle w:val="a3"/>
        <w:rPr>
          <w:kern w:val="0"/>
        </w:rPr>
      </w:pPr>
      <w:r>
        <w:rPr>
          <w:rFonts w:hint="eastAsia"/>
          <w:kern w:val="0"/>
        </w:rPr>
        <w:t xml:space="preserve">Full Text: </w:t>
      </w:r>
      <w:hyperlink r:id="rId945" w:history="1">
        <w:r w:rsidR="0053214A" w:rsidRPr="0053214A">
          <w:rPr>
            <w:rStyle w:val="a5"/>
            <w:kern w:val="0"/>
          </w:rPr>
          <w:t>2013\Ann Pla Sur71, 103.pdf</w:t>
        </w:r>
      </w:hyperlink>
    </w:p>
    <w:p w:rsidR="00C46AD8" w:rsidRDefault="00C46AD8" w:rsidP="00C46AD8">
      <w:pPr>
        <w:pStyle w:val="a3"/>
        <w:rPr>
          <w:kern w:val="0"/>
        </w:rPr>
      </w:pPr>
      <w:r>
        <w:rPr>
          <w:kern w:val="0"/>
        </w:rPr>
        <w:t>Abstract: Background: The number</w:t>
      </w:r>
      <w:r w:rsidR="00427468">
        <w:rPr>
          <w:kern w:val="0"/>
        </w:rPr>
        <w:t xml:space="preserve"> of </w:t>
      </w:r>
      <w:r>
        <w:rPr>
          <w:kern w:val="0"/>
        </w:rPr>
        <w:t>citations</w:t>
      </w:r>
      <w:r w:rsidR="00427468">
        <w:rPr>
          <w:kern w:val="0"/>
        </w:rPr>
        <w:t xml:space="preserve"> of </w:t>
      </w:r>
      <w:r>
        <w:rPr>
          <w:kern w:val="0"/>
        </w:rPr>
        <w:t>an article in scientific journals reflects its impact on a biomedical specialty and its recognition in the scientific community. In this study, we identified and analyzed the 100 most highly cited articles published between 1971 and 2011 in journals pertaining to plastic and reconstructive surgery research. Methods: We selected 6 high-impact journals for literature search in the database</w:t>
      </w:r>
      <w:r w:rsidR="00427468">
        <w:rPr>
          <w:kern w:val="0"/>
        </w:rPr>
        <w:t xml:space="preserve"> of </w:t>
      </w:r>
      <w:r>
        <w:rPr>
          <w:kern w:val="0"/>
        </w:rPr>
        <w:t>the Science Citation Index (1971 to 2011). We identified the 100 most frequently cited articles published in these journals, and analyzed them. Results: The most cited article received 1007 citations and the least cited article received 165 citations, with a mean</w:t>
      </w:r>
      <w:r w:rsidR="00427468">
        <w:rPr>
          <w:kern w:val="0"/>
        </w:rPr>
        <w:t xml:space="preserve"> of </w:t>
      </w:r>
      <w:r>
        <w:rPr>
          <w:kern w:val="0"/>
        </w:rPr>
        <w:t>274 citations per article</w:t>
      </w:r>
      <w:r w:rsidR="00A37C1D">
        <w:rPr>
          <w:kern w:val="0"/>
        </w:rPr>
        <w:t>. The</w:t>
      </w:r>
      <w:r>
        <w:rPr>
          <w:kern w:val="0"/>
        </w:rPr>
        <w:t>se citation classics were published in 5 high-impact journals, led by Plastic and Reconstructive Surgery (76 articles)</w:t>
      </w:r>
      <w:r w:rsidR="00A37C1D">
        <w:rPr>
          <w:kern w:val="0"/>
        </w:rPr>
        <w:t>. The</w:t>
      </w:r>
      <w:r>
        <w:rPr>
          <w:kern w:val="0"/>
        </w:rPr>
        <w:t xml:space="preserve"> articles came from 17 countries, with the United States producing 57 articles. Sixty-two institutions produced these 100 top-cited articles, led by Royal Mountain Hospital, University</w:t>
      </w:r>
      <w:r w:rsidR="00427468">
        <w:rPr>
          <w:kern w:val="0"/>
        </w:rPr>
        <w:t xml:space="preserve"> of </w:t>
      </w:r>
      <w:r>
        <w:rPr>
          <w:kern w:val="0"/>
        </w:rPr>
        <w:t>Melbourne (7 articles). Twenty-three authors published 2 or more</w:t>
      </w:r>
      <w:r w:rsidR="00427468">
        <w:rPr>
          <w:kern w:val="0"/>
        </w:rPr>
        <w:t xml:space="preserve"> of </w:t>
      </w:r>
      <w:r>
        <w:rPr>
          <w:kern w:val="0"/>
        </w:rPr>
        <w:t>the top-cited articles, led by Taylor GI who authored 10 classic papers. Conclusions: This analysis</w:t>
      </w:r>
      <w:r w:rsidR="00427468">
        <w:rPr>
          <w:kern w:val="0"/>
        </w:rPr>
        <w:t xml:space="preserve"> of </w:t>
      </w:r>
      <w:r>
        <w:rPr>
          <w:kern w:val="0"/>
        </w:rPr>
        <w:t>the top citation classics allows for the recognition</w:t>
      </w:r>
      <w:r w:rsidR="00427468">
        <w:rPr>
          <w:kern w:val="0"/>
        </w:rPr>
        <w:t xml:space="preserve"> of </w:t>
      </w:r>
      <w:r>
        <w:rPr>
          <w:kern w:val="0"/>
        </w:rPr>
        <w:t>major advances and supplies a historic perspective on the progress</w:t>
      </w:r>
      <w:r w:rsidR="00427468">
        <w:rPr>
          <w:kern w:val="0"/>
        </w:rPr>
        <w:t xml:space="preserve"> of </w:t>
      </w:r>
      <w:r>
        <w:rPr>
          <w:kern w:val="0"/>
        </w:rPr>
        <w:t>plastic and reconstructive surgery research.</w:t>
      </w:r>
    </w:p>
    <w:p w:rsidR="00C46AD8" w:rsidRDefault="00C46AD8" w:rsidP="00C46AD8">
      <w:pPr>
        <w:pStyle w:val="a3"/>
        <w:rPr>
          <w:kern w:val="0"/>
        </w:rPr>
      </w:pPr>
      <w:r>
        <w:rPr>
          <w:kern w:val="0"/>
        </w:rPr>
        <w:t>Keywords: Advances, Analysis, Articles, Authors, Biomedical, Citation, Citation Classic, Citation Classics, Citations, Classic Papers, Classics, Community, Database, GI, Highly Cited, Highly-Cited, Hospital, Impact, Institutions, Journals, Literature, Literature Search, Literature Survey, Methods, Papers, Plastic And Reconstructive Surgery, Progress, Reconstructive Surgery, Research, Results, Science, Science Citation Index, Scientific Community, Scientific Journals, Specialty, Surgery, United States, University</w:t>
      </w:r>
    </w:p>
    <w:p w:rsidR="003474F2" w:rsidRPr="001A3D2B" w:rsidRDefault="003474F2" w:rsidP="003474F2">
      <w:pPr>
        <w:pStyle w:val="1"/>
      </w:pPr>
      <w:r w:rsidRPr="001A3D2B">
        <w:br w:type="page"/>
      </w:r>
      <w:bookmarkStart w:id="494" w:name="_Toc420814520"/>
      <w:r w:rsidRPr="001A3D2B">
        <w:lastRenderedPageBreak/>
        <w:t>Title: Annals</w:t>
      </w:r>
      <w:r w:rsidR="00427468">
        <w:t xml:space="preserve"> of </w:t>
      </w:r>
      <w:r w:rsidRPr="001A3D2B">
        <w:t>Regional Science</w:t>
      </w:r>
      <w:bookmarkEnd w:id="494"/>
    </w:p>
    <w:p w:rsidR="003474F2" w:rsidRPr="001A3D2B" w:rsidRDefault="003474F2" w:rsidP="003474F2">
      <w:pPr>
        <w:pStyle w:val="12"/>
      </w:pPr>
      <w:r w:rsidRPr="001A3D2B">
        <w:t xml:space="preserve">Full Journal Title: </w:t>
      </w:r>
      <w:hyperlink r:id="rId946" w:history="1">
        <w:r w:rsidRPr="001A3D2B">
          <w:rPr>
            <w:rStyle w:val="a5"/>
          </w:rPr>
          <w:t>Annals</w:t>
        </w:r>
        <w:r w:rsidR="00427468">
          <w:rPr>
            <w:rStyle w:val="a5"/>
          </w:rPr>
          <w:t xml:space="preserve"> of </w:t>
        </w:r>
        <w:r w:rsidRPr="001A3D2B">
          <w:rPr>
            <w:rStyle w:val="a5"/>
          </w:rPr>
          <w:t>Regional 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0570-1864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rPr>
          <w:szCs w:val="10"/>
        </w:rPr>
        <w:t xml:space="preserve">? </w:t>
      </w:r>
      <w:r w:rsidRPr="001A3D2B">
        <w:t>Sarafoglou, N.</w:t>
      </w:r>
      <w:r w:rsidR="005853A9">
        <w:t xml:space="preserve"> and </w:t>
      </w:r>
      <w:r w:rsidRPr="001A3D2B">
        <w:t>Paelinck, J.H.P. (2008), On diffusion</w:t>
      </w:r>
      <w:r w:rsidR="00427468">
        <w:t xml:space="preserve"> of </w:t>
      </w:r>
      <w:r w:rsidRPr="001A3D2B">
        <w:t>ideas in</w:t>
      </w:r>
      <w:r w:rsidR="003A1917">
        <w:t xml:space="preserve"> the </w:t>
      </w:r>
      <w:r w:rsidRPr="001A3D2B">
        <w:t>academic world:</w:t>
      </w:r>
      <w:r w:rsidR="003A1917">
        <w:t xml:space="preserve"> the </w:t>
      </w:r>
      <w:r w:rsidRPr="001A3D2B">
        <w:t>case</w:t>
      </w:r>
      <w:r w:rsidR="00427468">
        <w:t xml:space="preserve"> of </w:t>
      </w:r>
      <w:r w:rsidRPr="001A3D2B">
        <w:t xml:space="preserve">spatial econometrics. </w:t>
      </w:r>
      <w:r w:rsidRPr="001A3D2B">
        <w:rPr>
          <w:i/>
        </w:rPr>
        <w:t>Annals</w:t>
      </w:r>
      <w:r w:rsidR="00427468">
        <w:rPr>
          <w:i/>
        </w:rPr>
        <w:t xml:space="preserve"> of </w:t>
      </w:r>
      <w:r w:rsidRPr="001A3D2B">
        <w:rPr>
          <w:i/>
        </w:rPr>
        <w:t>Regional Science</w:t>
      </w:r>
      <w:r w:rsidRPr="001A3D2B">
        <w:t xml:space="preserve">, </w:t>
      </w:r>
      <w:r w:rsidRPr="001A3D2B">
        <w:rPr>
          <w:b/>
          <w:szCs w:val="19"/>
        </w:rPr>
        <w:t>42</w:t>
      </w:r>
      <w:r w:rsidRPr="001A3D2B">
        <w:rPr>
          <w:szCs w:val="19"/>
        </w:rPr>
        <w:t xml:space="preserve"> (2), </w:t>
      </w:r>
      <w:r w:rsidRPr="001A3D2B">
        <w:t>487-500.</w:t>
      </w:r>
    </w:p>
    <w:p w:rsidR="003474F2" w:rsidRPr="001A3D2B" w:rsidRDefault="003474F2" w:rsidP="003474F2">
      <w:pPr>
        <w:pStyle w:val="a3"/>
      </w:pPr>
      <w:r w:rsidRPr="001A3D2B">
        <w:t xml:space="preserve">Full Text: </w:t>
      </w:r>
      <w:hyperlink r:id="rId947" w:history="1">
        <w:r w:rsidRPr="001A3D2B">
          <w:rPr>
            <w:rStyle w:val="a5"/>
          </w:rPr>
          <w:t>2008\Ann Reg Sci42, 487.pdf</w:t>
        </w:r>
      </w:hyperlink>
    </w:p>
    <w:p w:rsidR="003474F2" w:rsidRPr="001A3D2B" w:rsidRDefault="003474F2" w:rsidP="003474F2">
      <w:pPr>
        <w:pStyle w:val="a3"/>
      </w:pPr>
      <w:r w:rsidRPr="001A3D2B">
        <w:t>Abstract: Spatial econometrics is a fast-growing field in</w:t>
      </w:r>
      <w:r w:rsidR="003A1917">
        <w:t xml:space="preserve"> the </w:t>
      </w:r>
      <w:r w:rsidRPr="001A3D2B">
        <w:t>series</w:t>
      </w:r>
      <w:r w:rsidR="00427468">
        <w:t xml:space="preserve"> of </w:t>
      </w:r>
      <w:r w:rsidRPr="001A3D2B">
        <w:t>quantitative disciplines, auxiliaries</w:t>
      </w:r>
      <w:r w:rsidR="00427468">
        <w:t xml:space="preserve"> of </w:t>
      </w:r>
      <w:r w:rsidRPr="001A3D2B">
        <w:t>economics</w:t>
      </w:r>
      <w:r w:rsidR="005853A9">
        <w:t xml:space="preserve"> and </w:t>
      </w:r>
      <w:r w:rsidRPr="001A3D2B">
        <w:t>related social sciences. Space, friction, interdependence, spatio-temporal components, externalities</w:t>
      </w:r>
      <w:r w:rsidR="005853A9">
        <w:t xml:space="preserve"> and </w:t>
      </w:r>
      <w:r w:rsidRPr="001A3D2B">
        <w:t>many other aspects interact</w:t>
      </w:r>
      <w:r w:rsidR="005853A9">
        <w:t xml:space="preserve"> and </w:t>
      </w:r>
      <w:r w:rsidRPr="001A3D2B">
        <w:t>should be treated adequately in this field</w:t>
      </w:r>
      <w:r w:rsidR="00A37C1D">
        <w:t>. The</w:t>
      </w:r>
      <w:r w:rsidR="003A1917">
        <w:t xml:space="preserve"> </w:t>
      </w:r>
      <w:r w:rsidRPr="001A3D2B">
        <w:t>publication</w:t>
      </w:r>
      <w:r w:rsidR="00427468">
        <w:t xml:space="preserve"> of </w:t>
      </w:r>
      <w:r w:rsidR="003A1917">
        <w:t xml:space="preserve">the </w:t>
      </w:r>
      <w:r w:rsidRPr="001A3D2B">
        <w:t>Paelinck</w:t>
      </w:r>
      <w:r w:rsidR="005853A9">
        <w:t xml:space="preserve"> and </w:t>
      </w:r>
      <w:r w:rsidRPr="001A3D2B">
        <w:t>Klaassen book in</w:t>
      </w:r>
      <w:r w:rsidR="003A1917">
        <w:t xml:space="preserve"> the </w:t>
      </w:r>
      <w:r w:rsidRPr="001A3D2B">
        <w:t>late 1970s generated virtually</w:t>
      </w:r>
      <w:r w:rsidR="003A1917">
        <w:t xml:space="preserve"> the </w:t>
      </w:r>
      <w:r w:rsidRPr="001A3D2B">
        <w:t>field spatial econometrics. This article studies</w:t>
      </w:r>
      <w:r w:rsidR="003A1917">
        <w:t xml:space="preserve"> the </w:t>
      </w:r>
      <w:r w:rsidRPr="001A3D2B">
        <w:t>diffusion</w:t>
      </w:r>
      <w:r w:rsidR="00427468">
        <w:t xml:space="preserve"> of </w:t>
      </w:r>
      <w:r w:rsidRPr="001A3D2B">
        <w:t>spatial econometrics, through experienced history on</w:t>
      </w:r>
      <w:r w:rsidR="003A1917">
        <w:t xml:space="preserve"> the </w:t>
      </w:r>
      <w:r w:rsidRPr="001A3D2B">
        <w:t>one hand, on</w:t>
      </w:r>
      <w:r w:rsidR="003A1917">
        <w:t xml:space="preserve"> the </w:t>
      </w:r>
      <w:r w:rsidRPr="001A3D2B">
        <w:t xml:space="preserve">other through bibliometric methods. Although this field was an </w:t>
      </w:r>
      <w:r w:rsidR="00B5188C">
        <w:t>“</w:t>
      </w:r>
      <w:r w:rsidRPr="001A3D2B">
        <w:t>Invisible College</w:t>
      </w:r>
      <w:r w:rsidR="00B5188C">
        <w:t>”</w:t>
      </w:r>
      <w:r w:rsidRPr="001A3D2B">
        <w:t xml:space="preserve"> up to 2006 (absence</w:t>
      </w:r>
      <w:r w:rsidR="00427468">
        <w:t xml:space="preserve"> of </w:t>
      </w:r>
      <w:r w:rsidRPr="001A3D2B">
        <w:t>any organization in form</w:t>
      </w:r>
      <w:r w:rsidR="00427468">
        <w:t xml:space="preserve"> of </w:t>
      </w:r>
      <w:r w:rsidRPr="001A3D2B">
        <w:t>association, conference, journal, etc.</w:t>
      </w:r>
      <w:r w:rsidR="00F42EAC">
        <w:t>), The</w:t>
      </w:r>
      <w:r w:rsidR="003A1917">
        <w:t xml:space="preserve"> </w:t>
      </w:r>
      <w:r w:rsidRPr="001A3D2B">
        <w:t>databases depict a fast diffusion in</w:t>
      </w:r>
      <w:r w:rsidR="003A1917">
        <w:t xml:space="preserve"> the </w:t>
      </w:r>
      <w:r w:rsidRPr="001A3D2B">
        <w:t>past</w:t>
      </w:r>
      <w:r w:rsidR="005853A9">
        <w:t xml:space="preserve"> and </w:t>
      </w:r>
      <w:r w:rsidRPr="001A3D2B">
        <w:t>strong prospects for</w:t>
      </w:r>
      <w:r w:rsidR="003A1917">
        <w:t xml:space="preserve"> the </w:t>
      </w:r>
      <w:r w:rsidRPr="001A3D2B">
        <w:t>future.</w:t>
      </w:r>
    </w:p>
    <w:p w:rsidR="003474F2" w:rsidRPr="001A3D2B" w:rsidRDefault="003474F2" w:rsidP="003474F2">
      <w:pPr>
        <w:pStyle w:val="a3"/>
      </w:pPr>
      <w:r w:rsidRPr="001A3D2B">
        <w:t>Keywords: Association, Bibliometric, Bibliometric Methods, Data Envelopment Analysis, Databases, Diffusion, Econometrics, Economics, Externalities, Field, Friction, History, Journal, Methods, Models, Organization, Partial-Differential Equations, Publication, Sciences, Social, Social Sciences, Sweden, World</w:t>
      </w:r>
    </w:p>
    <w:p w:rsidR="003474F2" w:rsidRPr="001A3D2B" w:rsidRDefault="003474F2" w:rsidP="003474F2">
      <w:pPr>
        <w:pStyle w:val="1"/>
      </w:pPr>
      <w:r w:rsidRPr="001A3D2B">
        <w:br w:type="page"/>
      </w:r>
      <w:bookmarkStart w:id="495" w:name="_Toc420814521"/>
      <w:r w:rsidRPr="001A3D2B">
        <w:lastRenderedPageBreak/>
        <w:t>Title: Annals</w:t>
      </w:r>
      <w:r w:rsidR="00427468">
        <w:t xml:space="preserve"> of </w:t>
      </w:r>
      <w:r w:rsidR="003A1917">
        <w:t xml:space="preserve">the </w:t>
      </w:r>
      <w:r w:rsidRPr="001A3D2B">
        <w:t>Rheumatic Diseases</w:t>
      </w:r>
      <w:bookmarkEnd w:id="495"/>
    </w:p>
    <w:p w:rsidR="003474F2" w:rsidRPr="001A3D2B" w:rsidRDefault="003474F2" w:rsidP="003474F2">
      <w:pPr>
        <w:pStyle w:val="12"/>
      </w:pPr>
      <w:r w:rsidRPr="001A3D2B">
        <w:t>Full J</w:t>
      </w:r>
      <w:bookmarkStart w:id="496" w:name="_Toc43634533"/>
      <w:bookmarkStart w:id="497" w:name="_Toc81215616"/>
      <w:r w:rsidRPr="001A3D2B">
        <w:t xml:space="preserve">ournal Title: </w:t>
      </w:r>
      <w:r w:rsidR="00206C8A">
        <w:fldChar w:fldCharType="begin"/>
      </w:r>
      <w:r w:rsidR="00FD158B">
        <w:instrText>HYPERLINK "http://ard.bm</w:instrText>
      </w:r>
      <w:bookmarkEnd w:id="496"/>
      <w:bookmarkEnd w:id="497"/>
      <w:r w:rsidR="00FD158B">
        <w:instrText>jjournals.com/"</w:instrText>
      </w:r>
      <w:r w:rsidR="00206C8A">
        <w:fldChar w:fldCharType="separate"/>
      </w:r>
      <w:r w:rsidRPr="001A3D2B">
        <w:rPr>
          <w:rStyle w:val="a5"/>
          <w:szCs w:val="10"/>
        </w:rPr>
        <w:t>Annals</w:t>
      </w:r>
      <w:r w:rsidR="00427468">
        <w:rPr>
          <w:rStyle w:val="a5"/>
          <w:szCs w:val="10"/>
        </w:rPr>
        <w:t xml:space="preserve"> of </w:t>
      </w:r>
      <w:r w:rsidR="003A1917">
        <w:rPr>
          <w:rStyle w:val="a5"/>
          <w:szCs w:val="10"/>
        </w:rPr>
        <w:t xml:space="preserve">the </w:t>
      </w:r>
      <w:r w:rsidRPr="001A3D2B">
        <w:rPr>
          <w:rStyle w:val="a5"/>
          <w:szCs w:val="10"/>
        </w:rPr>
        <w:t>Rheumatic Diseases</w:t>
      </w:r>
      <w:r w:rsidR="00206C8A">
        <w:fldChar w:fldCharType="end"/>
      </w:r>
    </w:p>
    <w:p w:rsidR="003474F2" w:rsidRPr="001A3D2B" w:rsidRDefault="003474F2" w:rsidP="003474F2">
      <w:pPr>
        <w:pStyle w:val="12"/>
      </w:pPr>
      <w:r w:rsidRPr="001A3D2B">
        <w:t>ISO Abbreviated Title: Ann. Rheum. Dis.</w:t>
      </w:r>
    </w:p>
    <w:p w:rsidR="003474F2" w:rsidRPr="001A3D2B" w:rsidRDefault="003474F2" w:rsidP="003474F2">
      <w:pPr>
        <w:pStyle w:val="12"/>
      </w:pPr>
      <w:r w:rsidRPr="001A3D2B">
        <w:t>JCR Abbreviated Title: Ann Rheum Dis</w:t>
      </w:r>
    </w:p>
    <w:p w:rsidR="003474F2" w:rsidRPr="001A3D2B" w:rsidRDefault="003474F2" w:rsidP="003474F2">
      <w:pPr>
        <w:pStyle w:val="12"/>
      </w:pPr>
      <w:r w:rsidRPr="001A3D2B">
        <w:t>ISSN: 0003-4967</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British Med Journal Publ Group</w:t>
      </w:r>
    </w:p>
    <w:p w:rsidR="003474F2" w:rsidRPr="001A3D2B" w:rsidRDefault="003474F2" w:rsidP="003474F2">
      <w:pPr>
        <w:pStyle w:val="12"/>
      </w:pPr>
      <w:r w:rsidRPr="001A3D2B">
        <w:t xml:space="preserve">Publisher Address: British Med Assoc House, </w:t>
      </w:r>
      <w:smartTag w:uri="urn:schemas-microsoft-com:office:smarttags" w:element="place">
        <w:r w:rsidRPr="001A3D2B">
          <w:t xml:space="preserve">Tavistock Square, </w:t>
        </w:r>
        <w:smartTag w:uri="urn:schemas-microsoft-com:office:smarttags" w:element="City">
          <w:r w:rsidRPr="001A3D2B">
            <w:t>London</w:t>
          </w:r>
        </w:smartTag>
        <w:r w:rsidRPr="001A3D2B">
          <w:t xml:space="preserve"> </w:t>
        </w:r>
        <w:smartTag w:uri="urn:schemas-microsoft-com:office:smarttags" w:element="PostalCode">
          <w:r w:rsidRPr="001A3D2B">
            <w:t>WC1H 9JR</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Rheumatology: Impact Factor 0.3188, /(2001)</w:t>
      </w:r>
    </w:p>
    <w:p w:rsidR="003474F2" w:rsidRPr="001A3D2B" w:rsidRDefault="003474F2" w:rsidP="003474F2">
      <w:pPr>
        <w:pStyle w:val="a3"/>
      </w:pPr>
      <w:r w:rsidRPr="001A3D2B">
        <w:t>Notes: TTopic, CCountry</w:t>
      </w:r>
    </w:p>
    <w:p w:rsidR="003474F2" w:rsidRPr="001A3D2B" w:rsidRDefault="003474F2" w:rsidP="003474F2">
      <w:pPr>
        <w:pStyle w:val="a3"/>
      </w:pPr>
      <w:r w:rsidRPr="001A3D2B">
        <w:rPr>
          <w:szCs w:val="10"/>
        </w:rPr>
        <w:t>Mela, G.S.</w:t>
      </w:r>
      <w:r w:rsidR="005853A9">
        <w:rPr>
          <w:szCs w:val="10"/>
        </w:rPr>
        <w:t xml:space="preserve"> and </w:t>
      </w:r>
      <w:r w:rsidRPr="001A3D2B">
        <w:rPr>
          <w:szCs w:val="10"/>
        </w:rPr>
        <w:t>Cimmino, M.A.</w:t>
      </w:r>
      <w:r w:rsidRPr="001A3D2B">
        <w:t xml:space="preserve"> (1998), </w:t>
      </w:r>
      <w:r w:rsidRPr="001A3D2B">
        <w:rPr>
          <w:szCs w:val="11"/>
        </w:rPr>
        <w:t>An overview</w:t>
      </w:r>
      <w:r w:rsidR="00427468">
        <w:rPr>
          <w:szCs w:val="11"/>
        </w:rPr>
        <w:t xml:space="preserve"> of </w:t>
      </w:r>
      <w:r w:rsidRPr="001A3D2B">
        <w:rPr>
          <w:szCs w:val="11"/>
        </w:rPr>
        <w:t>rheumatological research in</w:t>
      </w:r>
      <w:r w:rsidR="003A1917">
        <w:rPr>
          <w:szCs w:val="11"/>
        </w:rPr>
        <w:t xml:space="preserve"> the </w:t>
      </w:r>
      <w:r w:rsidRPr="001A3D2B">
        <w:rPr>
          <w:szCs w:val="11"/>
        </w:rPr>
        <w:t>European Union</w:t>
      </w:r>
      <w:r w:rsidRPr="001A3D2B">
        <w:t xml:space="preserve">. </w:t>
      </w:r>
      <w:r w:rsidRPr="001A3D2B">
        <w:rPr>
          <w:i/>
          <w:iCs/>
          <w:szCs w:val="10"/>
        </w:rPr>
        <w:t>Annals</w:t>
      </w:r>
      <w:r w:rsidR="00427468">
        <w:rPr>
          <w:i/>
          <w:iCs/>
          <w:szCs w:val="10"/>
        </w:rPr>
        <w:t xml:space="preserve"> of </w:t>
      </w:r>
      <w:r w:rsidR="003A1917">
        <w:rPr>
          <w:i/>
          <w:iCs/>
          <w:szCs w:val="10"/>
        </w:rPr>
        <w:t xml:space="preserve">the </w:t>
      </w:r>
      <w:r w:rsidRPr="001A3D2B">
        <w:rPr>
          <w:i/>
          <w:iCs/>
          <w:szCs w:val="10"/>
        </w:rPr>
        <w:t>Rheumatic Diseases</w:t>
      </w:r>
      <w:r w:rsidRPr="001A3D2B">
        <w:t xml:space="preserve">, </w:t>
      </w:r>
      <w:r w:rsidRPr="001A3D2B">
        <w:rPr>
          <w:b/>
        </w:rPr>
        <w:t>57</w:t>
      </w:r>
      <w:r w:rsidRPr="001A3D2B">
        <w:t xml:space="preserve"> (11), </w:t>
      </w:r>
      <w:r w:rsidRPr="001A3D2B">
        <w:rPr>
          <w:szCs w:val="10"/>
        </w:rPr>
        <w:t>643-647</w:t>
      </w:r>
      <w:r w:rsidRPr="001A3D2B">
        <w:t>.</w:t>
      </w:r>
    </w:p>
    <w:p w:rsidR="003474F2" w:rsidRPr="001A3D2B" w:rsidRDefault="003474F2" w:rsidP="003474F2">
      <w:pPr>
        <w:pStyle w:val="a3"/>
      </w:pPr>
      <w:r w:rsidRPr="001A3D2B">
        <w:t xml:space="preserve">Full Text: </w:t>
      </w:r>
      <w:hyperlink r:id="rId948" w:history="1">
        <w:r w:rsidRPr="001A3D2B">
          <w:rPr>
            <w:rStyle w:val="a5"/>
          </w:rPr>
          <w:t>1998\Ann Rhe Dis57, 643.pdf</w:t>
        </w:r>
      </w:hyperlink>
    </w:p>
    <w:p w:rsidR="003474F2" w:rsidRPr="001A3D2B" w:rsidRDefault="003474F2" w:rsidP="003474F2">
      <w:pPr>
        <w:pStyle w:val="a3"/>
      </w:pPr>
      <w:r w:rsidRPr="001A3D2B">
        <w:t>Abstract: Objectives-To evaluate</w:t>
      </w:r>
      <w:r w:rsidR="003A1917">
        <w:t xml:space="preserve"> the </w:t>
      </w:r>
      <w:r w:rsidRPr="001A3D2B">
        <w:t>distribution</w:t>
      </w:r>
      <w:r w:rsidR="005853A9">
        <w:t xml:space="preserve"> and </w:t>
      </w:r>
      <w:r w:rsidRPr="001A3D2B">
        <w:t>scope</w:t>
      </w:r>
      <w:r w:rsidR="00427468">
        <w:t xml:space="preserve"> of </w:t>
      </w:r>
      <w:r w:rsidRPr="001A3D2B">
        <w:t>papers published by authors from</w:t>
      </w:r>
      <w:r w:rsidR="003A1917">
        <w:t xml:space="preserve"> the </w:t>
      </w:r>
      <w:r w:rsidRPr="001A3D2B">
        <w:t>European Union (EU) in rheumatological journals</w:t>
      </w:r>
      <w:r w:rsidR="005853A9">
        <w:t xml:space="preserve"> and </w:t>
      </w:r>
      <w:r w:rsidR="003A1917">
        <w:t xml:space="preserve">the </w:t>
      </w:r>
      <w:r w:rsidRPr="001A3D2B">
        <w:t>impact</w:t>
      </w:r>
      <w:r w:rsidR="00427468">
        <w:t xml:space="preserve"> of </w:t>
      </w:r>
      <w:r w:rsidRPr="001A3D2B">
        <w:t>rheumatological research in</w:t>
      </w:r>
      <w:r w:rsidR="003A1917">
        <w:t xml:space="preserve"> the </w:t>
      </w:r>
      <w:r w:rsidRPr="001A3D2B">
        <w:t>EU in comparison with that produced elsewhere. Methods-Papers published during</w:t>
      </w:r>
      <w:r w:rsidR="003A1917">
        <w:t xml:space="preserve"> the </w:t>
      </w:r>
      <w:r w:rsidRPr="001A3D2B">
        <w:t xml:space="preserve">year </w:t>
      </w:r>
      <w:smartTag w:uri="urn:schemas-microsoft-com:office:smarttags" w:element="chmetcnv">
        <w:smartTagPr>
          <w:attr w:name="TCSC" w:val="0"/>
          <w:attr w:name="NumberType" w:val="1"/>
          <w:attr w:name="Negative" w:val="False"/>
          <w:attr w:name="HasSpace" w:val="True"/>
          <w:attr w:name="SourceValue" w:val="1995"/>
          <w:attr w:name="UnitName" w:val="in"/>
        </w:smartTagPr>
        <w:r w:rsidRPr="001A3D2B">
          <w:t>1995 in</w:t>
        </w:r>
      </w:smartTag>
      <w:r w:rsidR="003A1917">
        <w:t xml:space="preserve"> the </w:t>
      </w:r>
      <w:r w:rsidRPr="001A3D2B">
        <w:t>17 rheumatological journals screened by ISI were considered</w:t>
      </w:r>
      <w:r w:rsidR="00A37C1D">
        <w:t>. The</w:t>
      </w:r>
      <w:r w:rsidR="003A1917">
        <w:t xml:space="preserve"> </w:t>
      </w:r>
      <w:r w:rsidRPr="001A3D2B">
        <w:t>journal impact factor (IF) was noted. All key words, both those reported by</w:t>
      </w:r>
      <w:r w:rsidR="003A1917">
        <w:t xml:space="preserve"> the </w:t>
      </w:r>
      <w:r w:rsidRPr="001A3D2B">
        <w:t>authors</w:t>
      </w:r>
      <w:r w:rsidR="005853A9">
        <w:t xml:space="preserve"> and </w:t>
      </w:r>
      <w:r w:rsidRPr="001A3D2B">
        <w:t>those attributed by</w:t>
      </w:r>
      <w:r w:rsidR="00730B6D">
        <w:t xml:space="preserve"> ISI,</w:t>
      </w:r>
      <w:r w:rsidRPr="001A3D2B">
        <w:t xml:space="preserve"> were identified</w:t>
      </w:r>
      <w:r w:rsidR="005853A9">
        <w:t xml:space="preserve"> and </w:t>
      </w:r>
      <w:r w:rsidRPr="001A3D2B">
        <w:t>their frequency was calculated using a special purpose program. Results-2331 papers were published in</w:t>
      </w:r>
      <w:r w:rsidR="003A1917">
        <w:t xml:space="preserve"> the </w:t>
      </w:r>
      <w:r w:rsidRPr="001A3D2B">
        <w:t>rheumatological literature during 1995.</w:t>
      </w:r>
      <w:r w:rsidR="00427468">
        <w:t xml:space="preserve"> of </w:t>
      </w:r>
      <w:r w:rsidRPr="001A3D2B">
        <w:t>them, 1316 (56.5%) came from</w:t>
      </w:r>
      <w:r w:rsidR="003A1917">
        <w:t xml:space="preserve"> the </w:t>
      </w:r>
      <w:r w:rsidRPr="001A3D2B">
        <w:t>EU (29.4% from</w:t>
      </w:r>
      <w:r w:rsidR="003A1917">
        <w:t xml:space="preserve"> the </w:t>
      </w:r>
      <w:r w:rsidR="008E3069">
        <w:t>UK,</w:t>
      </w:r>
      <w:r w:rsidRPr="001A3D2B">
        <w:t xml:space="preserve"> 17.4% from </w:t>
      </w:r>
      <w:smartTag w:uri="urn:schemas-microsoft-com:office:smarttags" w:element="country-region">
        <w:r w:rsidRPr="001A3D2B">
          <w:t>France</w:t>
        </w:r>
      </w:smartTag>
      <w:r w:rsidRPr="001A3D2B">
        <w:t xml:space="preserve">, 11.5% from </w:t>
      </w:r>
      <w:smartTag w:uri="urn:schemas-microsoft-com:office:smarttags" w:element="country-region">
        <w:r w:rsidRPr="001A3D2B">
          <w:t>Germany</w:t>
        </w:r>
      </w:smartTag>
      <w:r w:rsidRPr="001A3D2B">
        <w:t>,</w:t>
      </w:r>
      <w:r w:rsidR="005853A9">
        <w:t xml:space="preserve"> and </w:t>
      </w:r>
      <w:r w:rsidRPr="001A3D2B">
        <w:t xml:space="preserve">10.8 % from </w:t>
      </w:r>
      <w:smartTag w:uri="urn:schemas-microsoft-com:office:smarttags" w:element="country-region">
        <w:r w:rsidRPr="001A3D2B">
          <w:t>Italy</w:t>
        </w:r>
      </w:smartTag>
      <w:r w:rsidRPr="001A3D2B">
        <w:t>)</w:t>
      </w:r>
      <w:r w:rsidR="005853A9">
        <w:t xml:space="preserve"> and </w:t>
      </w:r>
      <w:r w:rsidRPr="001A3D2B">
        <w:t>544 (23.3%) from</w:t>
      </w:r>
      <w:r w:rsidR="003A1917">
        <w:t xml:space="preserve"> the </w:t>
      </w:r>
      <w:r w:rsidR="00D5664A">
        <w:t>USA</w:t>
      </w:r>
      <w:r w:rsidR="00A37C1D">
        <w:t>. The</w:t>
      </w:r>
      <w:r w:rsidR="003A1917">
        <w:t xml:space="preserve"> </w:t>
      </w:r>
      <w:r w:rsidRPr="001A3D2B">
        <w:t>mean LF</w:t>
      </w:r>
      <w:r w:rsidR="00427468">
        <w:t xml:space="preserve"> of </w:t>
      </w:r>
      <w:r w:rsidRPr="001A3D2B">
        <w:t xml:space="preserve">EU papers was approximately </w:t>
      </w:r>
      <w:smartTag w:uri="urn:schemas-microsoft-com:office:smarttags" w:element="chmetcnv">
        <w:smartTagPr>
          <w:attr w:name="TCSC" w:val="0"/>
          <w:attr w:name="NumberType" w:val="1"/>
          <w:attr w:name="Negative" w:val="False"/>
          <w:attr w:name="HasSpace" w:val="True"/>
          <w:attr w:name="SourceValue" w:val="2"/>
          <w:attr w:name="UnitName" w:val="in"/>
        </w:smartTagPr>
        <w:r w:rsidRPr="001A3D2B">
          <w:t>2 in</w:t>
        </w:r>
      </w:smartTag>
      <w:r w:rsidRPr="001A3D2B">
        <w:t xml:space="preserve"> comparison with 3.5 for</w:t>
      </w:r>
      <w:r w:rsidR="003A1917">
        <w:t xml:space="preserve"> the </w:t>
      </w:r>
      <w:r w:rsidR="00D5664A">
        <w:t>USA</w:t>
      </w:r>
      <w:r w:rsidR="005853A9">
        <w:t xml:space="preserve"> and </w:t>
      </w:r>
      <w:r w:rsidRPr="001A3D2B">
        <w:t>2.4 for other countries. In 1995, 2680 key words attributed by</w:t>
      </w:r>
      <w:r w:rsidR="003A1917">
        <w:t xml:space="preserve"> the </w:t>
      </w:r>
      <w:r w:rsidRPr="001A3D2B">
        <w:t>authors</w:t>
      </w:r>
      <w:r w:rsidR="005853A9">
        <w:t xml:space="preserve"> and </w:t>
      </w:r>
      <w:r w:rsidRPr="001A3D2B">
        <w:t>5651 attributed by ISI appeared in</w:t>
      </w:r>
      <w:r w:rsidR="003A1917">
        <w:t xml:space="preserve"> the </w:t>
      </w:r>
      <w:r w:rsidRPr="001A3D2B">
        <w:t>rheumatological literature. Less than a quarter</w:t>
      </w:r>
      <w:r w:rsidR="00427468">
        <w:t xml:space="preserve"> of </w:t>
      </w:r>
      <w:r w:rsidRPr="001A3D2B">
        <w:t>them was cited more than twice</w:t>
      </w:r>
      <w:r w:rsidR="00A37C1D">
        <w:t>. The</w:t>
      </w:r>
      <w:r w:rsidR="003A1917">
        <w:t xml:space="preserve"> </w:t>
      </w:r>
      <w:r w:rsidRPr="001A3D2B">
        <w:t>leading key words were rheumatoid arthritis for diseases</w:t>
      </w:r>
      <w:r w:rsidR="005853A9">
        <w:t xml:space="preserve"> and </w:t>
      </w:r>
      <w:r w:rsidRPr="001A3D2B">
        <w:t>methotrexate for drugs. Conclusions-Bibliometric findings are useful to follow research trends</w:t>
      </w:r>
      <w:r w:rsidR="00A37C1D">
        <w:t>. The</w:t>
      </w:r>
      <w:r w:rsidRPr="001A3D2B">
        <w:t>se data show</w:t>
      </w:r>
      <w:r w:rsidR="003A1917">
        <w:t xml:space="preserve"> the </w:t>
      </w:r>
      <w:r w:rsidRPr="001A3D2B">
        <w:t>relevance</w:t>
      </w:r>
      <w:r w:rsidR="00427468">
        <w:t xml:space="preserve"> of </w:t>
      </w:r>
      <w:r w:rsidRPr="001A3D2B">
        <w:t>EU rheumatological research</w:t>
      </w:r>
      <w:r w:rsidR="005853A9">
        <w:t xml:space="preserve"> and </w:t>
      </w:r>
      <w:r w:rsidR="003A1917">
        <w:t xml:space="preserve">the </w:t>
      </w:r>
      <w:r w:rsidRPr="001A3D2B">
        <w:t>high scientific production</w:t>
      </w:r>
      <w:r w:rsidR="00427468">
        <w:t xml:space="preserve"> of </w:t>
      </w:r>
      <w:r w:rsidRPr="001A3D2B">
        <w:t>small countries. Dispersion</w:t>
      </w:r>
      <w:r w:rsidR="00427468">
        <w:t xml:space="preserve"> of </w:t>
      </w:r>
      <w:r w:rsidRPr="001A3D2B">
        <w:t>key words should be avoided</w:t>
      </w:r>
      <w:r w:rsidR="005853A9">
        <w:t xml:space="preserve"> and </w:t>
      </w:r>
      <w:r w:rsidRPr="001A3D2B">
        <w:t>journal editors should promote their standardisation</w:t>
      </w:r>
    </w:p>
    <w:p w:rsidR="003474F2" w:rsidRPr="001A3D2B" w:rsidRDefault="003474F2" w:rsidP="003474F2">
      <w:pPr>
        <w:pStyle w:val="a3"/>
      </w:pPr>
      <w:r w:rsidRPr="001A3D2B">
        <w:t>Keywords: Arthritis, Comparison, Data, Diseases, Distribution, Drugs, EU, European Union, France, Germany, Impact, Impact Factor</w:t>
      </w:r>
      <w:r w:rsidR="00D5664A">
        <w:t>, ISI,</w:t>
      </w:r>
      <w:r w:rsidRPr="001A3D2B">
        <w:t xml:space="preserve"> Italy, Journal, Journal Editors, </w:t>
      </w:r>
      <w:r w:rsidRPr="001A3D2B">
        <w:lastRenderedPageBreak/>
        <w:t>Journal Impact, Journal Impact Factor, Journals, Literature, Methotrexate, Papers, Purpose, Relevance, Research, Rheumatoid Arthritis, Scientific Production, Scope, Small, Trends</w:t>
      </w:r>
      <w:r w:rsidR="00D5664A">
        <w:t>, UK,</w:t>
      </w:r>
      <w:r w:rsidRPr="001A3D2B">
        <w:t xml:space="preserve"> </w:t>
      </w:r>
      <w:r w:rsidR="00D5664A">
        <w:t>USA</w:t>
      </w:r>
    </w:p>
    <w:p w:rsidR="004A4A6C" w:rsidRDefault="004A4A6C" w:rsidP="004A4A6C">
      <w:pPr>
        <w:pStyle w:val="a3"/>
        <w:rPr>
          <w:kern w:val="0"/>
        </w:rPr>
      </w:pPr>
      <w:r>
        <w:rPr>
          <w:rFonts w:hint="eastAsia"/>
          <w:kern w:val="0"/>
        </w:rPr>
        <w:t xml:space="preserve">? </w:t>
      </w:r>
      <w:r>
        <w:rPr>
          <w:kern w:val="0"/>
        </w:rPr>
        <w:t>Zhang, W., Doherty, M., Leeb, B.F., Alekseeva, L., Arden, N.K., Bijlsma, J.W., Dincer, F., Dziedzic, K., Hauselmann, H.J., Herrero-Beaumont, G., Kaklamanis, P., Lohmander, S., Maheu, E., Martin-Mola, E., Pavelka, K., Punzi, L., Reiter, S., Sautner, J., Smolen, J., Verbruggen, G.</w:t>
      </w:r>
      <w:r w:rsidR="005853A9">
        <w:rPr>
          <w:kern w:val="0"/>
        </w:rPr>
        <w:t xml:space="preserve"> and </w:t>
      </w:r>
      <w:r>
        <w:rPr>
          <w:kern w:val="0"/>
        </w:rPr>
        <w:t>Zimmermann-Gorska, I. (2007), EULAR evidence based recommendations for</w:t>
      </w:r>
      <w:r w:rsidR="003A1917">
        <w:rPr>
          <w:kern w:val="0"/>
        </w:rPr>
        <w:t xml:space="preserve"> the </w:t>
      </w:r>
      <w:r>
        <w:rPr>
          <w:kern w:val="0"/>
        </w:rPr>
        <w:t>management</w:t>
      </w:r>
      <w:r w:rsidR="00427468">
        <w:rPr>
          <w:kern w:val="0"/>
        </w:rPr>
        <w:t xml:space="preserve"> of </w:t>
      </w:r>
      <w:r>
        <w:rPr>
          <w:kern w:val="0"/>
        </w:rPr>
        <w:t xml:space="preserve">hand osteoarthritis: </w:t>
      </w:r>
      <w:r w:rsidR="00766DFB">
        <w:rPr>
          <w:kern w:val="0"/>
        </w:rPr>
        <w:t>Report</w:t>
      </w:r>
      <w:r w:rsidR="00427468">
        <w:rPr>
          <w:kern w:val="0"/>
        </w:rPr>
        <w:t xml:space="preserve"> of </w:t>
      </w:r>
      <w:r>
        <w:rPr>
          <w:kern w:val="0"/>
        </w:rPr>
        <w:t>a task force</w:t>
      </w:r>
      <w:r w:rsidR="00427468">
        <w:rPr>
          <w:kern w:val="0"/>
        </w:rPr>
        <w:t xml:space="preserve"> of </w:t>
      </w:r>
      <w:r w:rsidR="003A1917">
        <w:rPr>
          <w:kern w:val="0"/>
        </w:rPr>
        <w:t xml:space="preserve">the </w:t>
      </w:r>
      <w:r>
        <w:rPr>
          <w:kern w:val="0"/>
        </w:rPr>
        <w:t xml:space="preserve">EULAR standing committee for international clinical studies including therapeutics (ESCISIT). </w:t>
      </w:r>
      <w:r>
        <w:rPr>
          <w:i/>
          <w:iCs/>
          <w:kern w:val="0"/>
        </w:rPr>
        <w:t>Annals</w:t>
      </w:r>
      <w:r w:rsidR="00427468">
        <w:rPr>
          <w:i/>
          <w:iCs/>
          <w:kern w:val="0"/>
        </w:rPr>
        <w:t xml:space="preserve"> of </w:t>
      </w:r>
      <w:r w:rsidR="003A1917">
        <w:rPr>
          <w:i/>
          <w:iCs/>
          <w:kern w:val="0"/>
        </w:rPr>
        <w:t xml:space="preserve">the </w:t>
      </w:r>
      <w:r>
        <w:rPr>
          <w:i/>
          <w:iCs/>
          <w:kern w:val="0"/>
        </w:rPr>
        <w:t>Rheumatic Diseases</w:t>
      </w:r>
      <w:r>
        <w:rPr>
          <w:kern w:val="0"/>
        </w:rPr>
        <w:t xml:space="preserve">, </w:t>
      </w:r>
      <w:r>
        <w:rPr>
          <w:b/>
          <w:bCs/>
          <w:kern w:val="0"/>
        </w:rPr>
        <w:t>66</w:t>
      </w:r>
      <w:r>
        <w:rPr>
          <w:kern w:val="0"/>
        </w:rPr>
        <w:t xml:space="preserve"> (3), 377-388.</w:t>
      </w:r>
    </w:p>
    <w:p w:rsidR="00766DFB" w:rsidRPr="001A3D2B" w:rsidRDefault="00766DFB" w:rsidP="00766DFB">
      <w:pPr>
        <w:pStyle w:val="a3"/>
      </w:pPr>
      <w:r w:rsidRPr="001A3D2B">
        <w:t xml:space="preserve">Full Text: </w:t>
      </w:r>
      <w:hyperlink r:id="rId949" w:history="1">
        <w:r w:rsidRPr="00CF66F8">
          <w:rPr>
            <w:rStyle w:val="a5"/>
          </w:rPr>
          <w:t>2007\Ann Rhe Dis66, 377.pdf</w:t>
        </w:r>
      </w:hyperlink>
    </w:p>
    <w:p w:rsidR="004A4A6C" w:rsidRDefault="004A4A6C" w:rsidP="004A4A6C">
      <w:pPr>
        <w:pStyle w:val="a3"/>
        <w:rPr>
          <w:kern w:val="0"/>
        </w:rPr>
      </w:pPr>
      <w:r>
        <w:rPr>
          <w:kern w:val="0"/>
        </w:rPr>
        <w:t>Abstract: Objectives: To develop evidence based recommendations for</w:t>
      </w:r>
      <w:r w:rsidR="003A1917">
        <w:rPr>
          <w:kern w:val="0"/>
        </w:rPr>
        <w:t xml:space="preserve"> the </w:t>
      </w:r>
      <w:r>
        <w:rPr>
          <w:kern w:val="0"/>
        </w:rPr>
        <w:t>management</w:t>
      </w:r>
      <w:r w:rsidR="00427468">
        <w:rPr>
          <w:kern w:val="0"/>
        </w:rPr>
        <w:t xml:space="preserve"> of </w:t>
      </w:r>
      <w:r>
        <w:rPr>
          <w:kern w:val="0"/>
        </w:rPr>
        <w:t>hand osteoarthritis (OA). Methods:</w:t>
      </w:r>
      <w:r w:rsidR="003A1917">
        <w:rPr>
          <w:kern w:val="0"/>
        </w:rPr>
        <w:t xml:space="preserve"> the </w:t>
      </w:r>
      <w:r>
        <w:rPr>
          <w:kern w:val="0"/>
        </w:rPr>
        <w:t>multidisciplinary guideline development group comprised 16 rheumatologists, one physiatrist, one orthopaedic surgeon, two allied health professionals,</w:t>
      </w:r>
      <w:r w:rsidR="005853A9">
        <w:rPr>
          <w:kern w:val="0"/>
        </w:rPr>
        <w:t xml:space="preserve"> and </w:t>
      </w:r>
      <w:r>
        <w:rPr>
          <w:kern w:val="0"/>
        </w:rPr>
        <w:t>one evidence based medicine expert, representing 15 different European countries. Each participant contributed up to 10 propositions describing key clinical points for management</w:t>
      </w:r>
      <w:r w:rsidR="00427468">
        <w:rPr>
          <w:kern w:val="0"/>
        </w:rPr>
        <w:t xml:space="preserve"> of </w:t>
      </w:r>
      <w:r>
        <w:rPr>
          <w:kern w:val="0"/>
        </w:rPr>
        <w:t>hand OA. Final recommendations were agreed using a Delphi consensus approach. A systematic search</w:t>
      </w:r>
      <w:r w:rsidR="00427468">
        <w:rPr>
          <w:kern w:val="0"/>
        </w:rPr>
        <w:t xml:space="preserve"> of </w:t>
      </w:r>
      <w:r w:rsidR="00D5664A">
        <w:rPr>
          <w:kern w:val="0"/>
        </w:rPr>
        <w:t>MEDLINE</w:t>
      </w:r>
      <w:r>
        <w:rPr>
          <w:kern w:val="0"/>
        </w:rPr>
        <w:t>, Embase, CINAHL, Science Citation Index, AMED, Cochrane Library, HTA,</w:t>
      </w:r>
      <w:r w:rsidR="005853A9">
        <w:rPr>
          <w:kern w:val="0"/>
        </w:rPr>
        <w:t xml:space="preserve"> and </w:t>
      </w:r>
      <w:r>
        <w:rPr>
          <w:kern w:val="0"/>
        </w:rPr>
        <w:t>NICE reports was used to identify</w:t>
      </w:r>
      <w:r w:rsidR="003A1917">
        <w:rPr>
          <w:kern w:val="0"/>
        </w:rPr>
        <w:t xml:space="preserve"> the </w:t>
      </w:r>
      <w:r>
        <w:rPr>
          <w:kern w:val="0"/>
        </w:rPr>
        <w:t>best available research evidence to support each proposition. Where possible,</w:t>
      </w:r>
      <w:r w:rsidR="003A1917">
        <w:rPr>
          <w:kern w:val="0"/>
        </w:rPr>
        <w:t xml:space="preserve"> the </w:t>
      </w:r>
      <w:r>
        <w:rPr>
          <w:kern w:val="0"/>
        </w:rPr>
        <w:t>effect size</w:t>
      </w:r>
      <w:r w:rsidR="005853A9">
        <w:rPr>
          <w:kern w:val="0"/>
        </w:rPr>
        <w:t xml:space="preserve"> and </w:t>
      </w:r>
      <w:r>
        <w:rPr>
          <w:kern w:val="0"/>
        </w:rPr>
        <w:t>number needed to treat were calculated for efficacy. Relative risk or odds ratio was estimated for safety,</w:t>
      </w:r>
      <w:r w:rsidR="005853A9">
        <w:rPr>
          <w:kern w:val="0"/>
        </w:rPr>
        <w:t xml:space="preserve"> and </w:t>
      </w:r>
      <w:r>
        <w:rPr>
          <w:kern w:val="0"/>
        </w:rPr>
        <w:t>incremental cost effectiveness ratio was used for cost effectiveness</w:t>
      </w:r>
      <w:r w:rsidR="00A37C1D">
        <w:rPr>
          <w:kern w:val="0"/>
        </w:rPr>
        <w:t>. The</w:t>
      </w:r>
      <w:r w:rsidR="003A1917">
        <w:rPr>
          <w:kern w:val="0"/>
        </w:rPr>
        <w:t xml:space="preserve"> </w:t>
      </w:r>
      <w:r>
        <w:rPr>
          <w:kern w:val="0"/>
        </w:rPr>
        <w:t>strength</w:t>
      </w:r>
      <w:r w:rsidR="00427468">
        <w:rPr>
          <w:kern w:val="0"/>
        </w:rPr>
        <w:t xml:space="preserve"> of </w:t>
      </w:r>
      <w:r>
        <w:rPr>
          <w:kern w:val="0"/>
        </w:rPr>
        <w:t>recommendation was provided according to research evidence, clinical expertise,</w:t>
      </w:r>
      <w:r w:rsidR="005853A9">
        <w:rPr>
          <w:kern w:val="0"/>
        </w:rPr>
        <w:t xml:space="preserve"> and </w:t>
      </w:r>
      <w:r>
        <w:rPr>
          <w:kern w:val="0"/>
        </w:rPr>
        <w:t>perceived patient preference. Results: Eleven key propositions involving 17 treatment modalities were generated through three Delphi rounds. Treatment topics included general considerations (for example, clinical features, risk factors, comorbidities), non-pharmacological (for example, education plus exercise, local heat,</w:t>
      </w:r>
      <w:r w:rsidR="005853A9">
        <w:rPr>
          <w:kern w:val="0"/>
        </w:rPr>
        <w:t xml:space="preserve"> and </w:t>
      </w:r>
      <w:r>
        <w:rPr>
          <w:kern w:val="0"/>
        </w:rPr>
        <w:t>splint), pharmacological (for example, paracetamol, NSAIDs, NSAIDs plus gastroprotective agents, COX-2 inhibitors, systemic slow acting disease modifying drugs, intra-articular corticosteroids),</w:t>
      </w:r>
      <w:r w:rsidR="005853A9">
        <w:rPr>
          <w:kern w:val="0"/>
        </w:rPr>
        <w:t xml:space="preserve"> and </w:t>
      </w:r>
      <w:r>
        <w:rPr>
          <w:kern w:val="0"/>
        </w:rPr>
        <w:t>surgery.</w:t>
      </w:r>
      <w:r w:rsidR="00427468">
        <w:rPr>
          <w:kern w:val="0"/>
        </w:rPr>
        <w:t xml:space="preserve"> of </w:t>
      </w:r>
      <w:r>
        <w:rPr>
          <w:kern w:val="0"/>
        </w:rPr>
        <w:t>17 treatment modalities, only six were supported by research evidence (education plus exercise, NSAIDs, COX-2 inhibitors, topical NSAIDs, topical capsaicin,</w:t>
      </w:r>
      <w:r w:rsidR="005853A9">
        <w:rPr>
          <w:kern w:val="0"/>
        </w:rPr>
        <w:t xml:space="preserve"> and </w:t>
      </w:r>
      <w:r>
        <w:rPr>
          <w:kern w:val="0"/>
        </w:rPr>
        <w:t>chondroitin sulphate). Others were supported either by evidence extrapolated from studies</w:t>
      </w:r>
      <w:r w:rsidR="00427468">
        <w:rPr>
          <w:kern w:val="0"/>
        </w:rPr>
        <w:t xml:space="preserve"> of </w:t>
      </w:r>
      <w:r>
        <w:rPr>
          <w:kern w:val="0"/>
        </w:rPr>
        <w:t>OA affecting other joint sites or by expert opinion. Strength</w:t>
      </w:r>
      <w:r w:rsidR="00427468">
        <w:rPr>
          <w:kern w:val="0"/>
        </w:rPr>
        <w:t xml:space="preserve"> of </w:t>
      </w:r>
      <w:r>
        <w:rPr>
          <w:kern w:val="0"/>
        </w:rPr>
        <w:t>recommendation varied according to level</w:t>
      </w:r>
      <w:r w:rsidR="00427468">
        <w:rPr>
          <w:kern w:val="0"/>
        </w:rPr>
        <w:t xml:space="preserve"> of </w:t>
      </w:r>
      <w:r>
        <w:rPr>
          <w:kern w:val="0"/>
        </w:rPr>
        <w:t>evidence, benefits</w:t>
      </w:r>
      <w:r w:rsidR="005853A9">
        <w:rPr>
          <w:kern w:val="0"/>
        </w:rPr>
        <w:t xml:space="preserve"> and </w:t>
      </w:r>
      <w:r>
        <w:rPr>
          <w:kern w:val="0"/>
        </w:rPr>
        <w:t>harms/costs</w:t>
      </w:r>
      <w:r w:rsidR="00427468">
        <w:rPr>
          <w:kern w:val="0"/>
        </w:rPr>
        <w:t xml:space="preserve"> of </w:t>
      </w:r>
      <w:r w:rsidR="003A1917">
        <w:rPr>
          <w:kern w:val="0"/>
        </w:rPr>
        <w:t xml:space="preserve">the </w:t>
      </w:r>
      <w:r>
        <w:rPr>
          <w:kern w:val="0"/>
        </w:rPr>
        <w:t>treatment,</w:t>
      </w:r>
      <w:r w:rsidR="005853A9">
        <w:rPr>
          <w:kern w:val="0"/>
        </w:rPr>
        <w:t xml:space="preserve"> and </w:t>
      </w:r>
      <w:r>
        <w:rPr>
          <w:kern w:val="0"/>
        </w:rPr>
        <w:t>clinical expertise. Conclusion: Eleven key recommendations for treatment</w:t>
      </w:r>
      <w:r w:rsidR="00427468">
        <w:rPr>
          <w:kern w:val="0"/>
        </w:rPr>
        <w:t xml:space="preserve"> of </w:t>
      </w:r>
      <w:r>
        <w:rPr>
          <w:kern w:val="0"/>
        </w:rPr>
        <w:t>hand OA were developed using a combination</w:t>
      </w:r>
      <w:r w:rsidR="00427468">
        <w:rPr>
          <w:kern w:val="0"/>
        </w:rPr>
        <w:t xml:space="preserve"> of </w:t>
      </w:r>
      <w:r>
        <w:rPr>
          <w:kern w:val="0"/>
        </w:rPr>
        <w:t>research based evidence</w:t>
      </w:r>
      <w:r w:rsidR="005853A9">
        <w:rPr>
          <w:kern w:val="0"/>
        </w:rPr>
        <w:t xml:space="preserve"> and </w:t>
      </w:r>
      <w:r>
        <w:rPr>
          <w:kern w:val="0"/>
        </w:rPr>
        <w:t>expert consensus</w:t>
      </w:r>
      <w:r w:rsidR="00A37C1D">
        <w:rPr>
          <w:kern w:val="0"/>
        </w:rPr>
        <w:t>. The</w:t>
      </w:r>
      <w:r w:rsidR="003A1917">
        <w:rPr>
          <w:kern w:val="0"/>
        </w:rPr>
        <w:t xml:space="preserve"> </w:t>
      </w:r>
      <w:r>
        <w:rPr>
          <w:kern w:val="0"/>
        </w:rPr>
        <w:t xml:space="preserve">evidence </w:t>
      </w:r>
      <w:r>
        <w:rPr>
          <w:kern w:val="0"/>
        </w:rPr>
        <w:lastRenderedPageBreak/>
        <w:t>was evaluated</w:t>
      </w:r>
      <w:r w:rsidR="005853A9">
        <w:rPr>
          <w:kern w:val="0"/>
        </w:rPr>
        <w:t xml:space="preserve"> and </w:t>
      </w:r>
      <w:r w:rsidR="003A1917">
        <w:rPr>
          <w:kern w:val="0"/>
        </w:rPr>
        <w:t xml:space="preserve">the </w:t>
      </w:r>
      <w:r>
        <w:rPr>
          <w:kern w:val="0"/>
        </w:rPr>
        <w:t>strength</w:t>
      </w:r>
      <w:r w:rsidR="00427468">
        <w:rPr>
          <w:kern w:val="0"/>
        </w:rPr>
        <w:t xml:space="preserve"> of </w:t>
      </w:r>
      <w:r>
        <w:rPr>
          <w:kern w:val="0"/>
        </w:rPr>
        <w:t>recommendation was provided.</w:t>
      </w:r>
    </w:p>
    <w:p w:rsidR="004A4A6C" w:rsidRDefault="004A4A6C" w:rsidP="004A4A6C">
      <w:pPr>
        <w:pStyle w:val="a3"/>
        <w:rPr>
          <w:kern w:val="0"/>
        </w:rPr>
      </w:pPr>
      <w:r>
        <w:rPr>
          <w:kern w:val="0"/>
        </w:rPr>
        <w:t xml:space="preserve">Keywords: 10-Percent Trolamine Salicylate, Citation, Cost Effectiveness, Delphi, Development, Double-Blind, Education, Effectiveness, Gastrointestinal Toxicity, Health, Hip Osteoarthritis, International, Intraarticular Hyaluronic-Acid, Knee Osteoarthritis, Local, Management, Medicine, </w:t>
      </w:r>
      <w:r w:rsidR="00D5664A">
        <w:rPr>
          <w:kern w:val="0"/>
        </w:rPr>
        <w:t>MEDLINE</w:t>
      </w:r>
      <w:r>
        <w:rPr>
          <w:kern w:val="0"/>
        </w:rPr>
        <w:t>, Multidisciplinary, Nonsteroidal Antiinflammatory Drugs, Quality</w:t>
      </w:r>
      <w:r w:rsidR="00434900">
        <w:rPr>
          <w:kern w:val="0"/>
        </w:rPr>
        <w:t>-of-</w:t>
      </w:r>
      <w:r>
        <w:rPr>
          <w:kern w:val="0"/>
        </w:rPr>
        <w:t>Life, Randomized Controlled-Trial, Research, Rheumatoid-Arthritis, Risk, Risk Factors, Science, Science Citation Index, Surgery, Task, Therapeutics, Topics, Treatment</w:t>
      </w:r>
    </w:p>
    <w:p w:rsidR="008C1C37" w:rsidRDefault="008C1C37" w:rsidP="008C1C37">
      <w:pPr>
        <w:pStyle w:val="a3"/>
        <w:rPr>
          <w:kern w:val="0"/>
        </w:rPr>
      </w:pPr>
      <w:r>
        <w:rPr>
          <w:rFonts w:hint="eastAsia"/>
          <w:kern w:val="0"/>
        </w:rPr>
        <w:t xml:space="preserve">? </w:t>
      </w:r>
      <w:r>
        <w:rPr>
          <w:kern w:val="0"/>
        </w:rPr>
        <w:t>Yusuf, E., Kortekaas, M.C., Watt, I., Huizinga, T.W.J.</w:t>
      </w:r>
      <w:r w:rsidR="005853A9">
        <w:rPr>
          <w:kern w:val="0"/>
        </w:rPr>
        <w:t xml:space="preserve"> and </w:t>
      </w:r>
      <w:r>
        <w:rPr>
          <w:kern w:val="0"/>
        </w:rPr>
        <w:t xml:space="preserve">Kloppenburg, M. (2011), Do knee abnormalities visualised on MRI explain knee pain in knee osteoarthritis? A systematic review. </w:t>
      </w:r>
      <w:r>
        <w:rPr>
          <w:i/>
          <w:iCs/>
          <w:kern w:val="0"/>
        </w:rPr>
        <w:t>Annals</w:t>
      </w:r>
      <w:r w:rsidR="00427468">
        <w:rPr>
          <w:i/>
          <w:iCs/>
          <w:kern w:val="0"/>
        </w:rPr>
        <w:t xml:space="preserve"> of </w:t>
      </w:r>
      <w:r w:rsidR="003A1917">
        <w:rPr>
          <w:i/>
          <w:iCs/>
          <w:kern w:val="0"/>
        </w:rPr>
        <w:t xml:space="preserve">the </w:t>
      </w:r>
      <w:r>
        <w:rPr>
          <w:i/>
          <w:iCs/>
          <w:kern w:val="0"/>
        </w:rPr>
        <w:t>Rheumatic Diseases</w:t>
      </w:r>
      <w:r>
        <w:rPr>
          <w:kern w:val="0"/>
        </w:rPr>
        <w:t xml:space="preserve">, </w:t>
      </w:r>
      <w:r>
        <w:rPr>
          <w:b/>
          <w:bCs/>
          <w:kern w:val="0"/>
        </w:rPr>
        <w:t>70</w:t>
      </w:r>
      <w:r>
        <w:rPr>
          <w:kern w:val="0"/>
        </w:rPr>
        <w:t xml:space="preserve"> (1), 60-67.</w:t>
      </w:r>
    </w:p>
    <w:p w:rsidR="00924772" w:rsidRPr="001A3D2B" w:rsidRDefault="00924772" w:rsidP="00924772">
      <w:pPr>
        <w:pStyle w:val="a3"/>
      </w:pPr>
      <w:r w:rsidRPr="001A3D2B">
        <w:t xml:space="preserve">Full Text: </w:t>
      </w:r>
      <w:hyperlink r:id="rId950" w:history="1">
        <w:r w:rsidRPr="007E2236">
          <w:rPr>
            <w:rStyle w:val="a5"/>
          </w:rPr>
          <w:t>2011\Ann Rhe Dis70, 60.pdf</w:t>
        </w:r>
      </w:hyperlink>
    </w:p>
    <w:p w:rsidR="008C1C37" w:rsidRDefault="008C1C37" w:rsidP="008C1C37">
      <w:pPr>
        <w:pStyle w:val="a3"/>
        <w:rPr>
          <w:kern w:val="0"/>
        </w:rPr>
      </w:pPr>
      <w:r>
        <w:rPr>
          <w:kern w:val="0"/>
        </w:rPr>
        <w:t>Abstract: Objective To systematically evaluate</w:t>
      </w:r>
      <w:r w:rsidR="003A1917">
        <w:rPr>
          <w:kern w:val="0"/>
        </w:rPr>
        <w:t xml:space="preserve"> the </w:t>
      </w:r>
      <w:r>
        <w:rPr>
          <w:kern w:val="0"/>
        </w:rPr>
        <w:t>association between MRI findings (cartilage defects, bone marrow lesions (BML), osteophytes, meniscal lesion, effusion/synovitis, ligamentous abnormalities, subchondral cysts</w:t>
      </w:r>
      <w:r w:rsidR="005853A9">
        <w:rPr>
          <w:kern w:val="0"/>
        </w:rPr>
        <w:t xml:space="preserve"> and </w:t>
      </w:r>
      <w:r>
        <w:rPr>
          <w:kern w:val="0"/>
        </w:rPr>
        <w:t>bone attrition)</w:t>
      </w:r>
      <w:r w:rsidR="005853A9">
        <w:rPr>
          <w:kern w:val="0"/>
        </w:rPr>
        <w:t xml:space="preserve"> and </w:t>
      </w:r>
      <w:r>
        <w:rPr>
          <w:kern w:val="0"/>
        </w:rPr>
        <w:t>pain in patients with knee osteoarthritis (OA) in order to establish</w:t>
      </w:r>
      <w:r w:rsidR="003A1917">
        <w:rPr>
          <w:kern w:val="0"/>
        </w:rPr>
        <w:t xml:space="preserve"> the </w:t>
      </w:r>
      <w:r>
        <w:rPr>
          <w:kern w:val="0"/>
        </w:rPr>
        <w:t>relevance</w:t>
      </w:r>
      <w:r w:rsidR="00427468">
        <w:rPr>
          <w:kern w:val="0"/>
        </w:rPr>
        <w:t xml:space="preserve"> of </w:t>
      </w:r>
      <w:r>
        <w:rPr>
          <w:kern w:val="0"/>
        </w:rPr>
        <w:t>such findings when assessing an individual patient. Methods</w:t>
      </w:r>
      <w:r w:rsidR="003A1917">
        <w:rPr>
          <w:kern w:val="0"/>
        </w:rPr>
        <w:t xml:space="preserve"> the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Pr>
          <w:kern w:val="0"/>
        </w:rPr>
        <w:t>Cumulative Index to Nursing &amp; Allied Health Literature (CINAHL) databases up to March 2010 were searched without language restriction to find publications with data on</w:t>
      </w:r>
      <w:r w:rsidR="003A1917">
        <w:rPr>
          <w:kern w:val="0"/>
        </w:rPr>
        <w:t xml:space="preserve"> the </w:t>
      </w:r>
      <w:r>
        <w:rPr>
          <w:kern w:val="0"/>
        </w:rPr>
        <w:t>association between MRI findings</w:t>
      </w:r>
      <w:r w:rsidR="00427468">
        <w:rPr>
          <w:kern w:val="0"/>
        </w:rPr>
        <w:t xml:space="preserve"> of </w:t>
      </w:r>
      <w:r>
        <w:rPr>
          <w:kern w:val="0"/>
        </w:rPr>
        <w:t>knee OA (exposure</w:t>
      </w:r>
      <w:r w:rsidR="00427468">
        <w:rPr>
          <w:kern w:val="0"/>
        </w:rPr>
        <w:t xml:space="preserve"> of </w:t>
      </w:r>
      <w:r>
        <w:rPr>
          <w:kern w:val="0"/>
        </w:rPr>
        <w:t>interest)</w:t>
      </w:r>
      <w:r w:rsidR="005853A9">
        <w:rPr>
          <w:kern w:val="0"/>
        </w:rPr>
        <w:t xml:space="preserve"> and </w:t>
      </w:r>
      <w:r>
        <w:rPr>
          <w:kern w:val="0"/>
        </w:rPr>
        <w:t>knee pain (outcome)</w:t>
      </w:r>
      <w:r w:rsidR="00A37C1D">
        <w:rPr>
          <w:kern w:val="0"/>
        </w:rPr>
        <w:t>. The</w:t>
      </w:r>
      <w:r w:rsidR="003A1917">
        <w:rPr>
          <w:kern w:val="0"/>
        </w:rPr>
        <w:t xml:space="preserve"> </w:t>
      </w:r>
      <w:r>
        <w:rPr>
          <w:kern w:val="0"/>
        </w:rPr>
        <w:t>quality</w:t>
      </w:r>
      <w:r w:rsidR="00427468">
        <w:rPr>
          <w:kern w:val="0"/>
        </w:rPr>
        <w:t xml:space="preserve"> of </w:t>
      </w:r>
      <w:r>
        <w:rPr>
          <w:kern w:val="0"/>
        </w:rPr>
        <w:t>included papers was scored using a predefined criteria set</w:t>
      </w:r>
      <w:r w:rsidR="00A37C1D">
        <w:rPr>
          <w:kern w:val="0"/>
        </w:rPr>
        <w:t>. The</w:t>
      </w:r>
      <w:r w:rsidR="003A1917">
        <w:rPr>
          <w:kern w:val="0"/>
        </w:rPr>
        <w:t xml:space="preserve"> </w:t>
      </w:r>
      <w:r>
        <w:rPr>
          <w:kern w:val="0"/>
        </w:rPr>
        <w:t>levels</w:t>
      </w:r>
      <w:r w:rsidR="00427468">
        <w:rPr>
          <w:kern w:val="0"/>
        </w:rPr>
        <w:t xml:space="preserve"> of </w:t>
      </w:r>
      <w:r>
        <w:rPr>
          <w:kern w:val="0"/>
        </w:rPr>
        <w:t>evidence were determined qualitatively using best evidence synthesis (based on guidelines on systematic review from</w:t>
      </w:r>
      <w:r w:rsidR="003A1917">
        <w:rPr>
          <w:kern w:val="0"/>
        </w:rPr>
        <w:t xml:space="preserve"> the </w:t>
      </w:r>
      <w:r>
        <w:rPr>
          <w:kern w:val="0"/>
        </w:rPr>
        <w:t>Cochrane Collaboration Back Review Group). Five levels</w:t>
      </w:r>
      <w:r w:rsidR="00427468">
        <w:rPr>
          <w:kern w:val="0"/>
        </w:rPr>
        <w:t xml:space="preserve"> of </w:t>
      </w:r>
      <w:r>
        <w:rPr>
          <w:kern w:val="0"/>
        </w:rPr>
        <w:t>evidence were used: strong, moderate, limited, conflicting</w:t>
      </w:r>
      <w:r w:rsidR="005853A9">
        <w:rPr>
          <w:kern w:val="0"/>
        </w:rPr>
        <w:t xml:space="preserve"> and </w:t>
      </w:r>
      <w:r>
        <w:rPr>
          <w:kern w:val="0"/>
        </w:rPr>
        <w:t>no evidence. Results A total</w:t>
      </w:r>
      <w:r w:rsidR="00427468">
        <w:rPr>
          <w:kern w:val="0"/>
        </w:rPr>
        <w:t xml:space="preserve"> of </w:t>
      </w:r>
      <w:r>
        <w:rPr>
          <w:kern w:val="0"/>
        </w:rPr>
        <w:t>22 papers were included; 5 had longitudinal</w:t>
      </w:r>
      <w:r w:rsidR="005853A9">
        <w:rPr>
          <w:kern w:val="0"/>
        </w:rPr>
        <w:t xml:space="preserve"> and </w:t>
      </w:r>
      <w:r>
        <w:rPr>
          <w:kern w:val="0"/>
        </w:rPr>
        <w:t>17 cross-sectional data. In all, 13 reported a single MRI finding</w:t>
      </w:r>
      <w:r w:rsidR="005853A9">
        <w:rPr>
          <w:kern w:val="0"/>
        </w:rPr>
        <w:t xml:space="preserve"> and </w:t>
      </w:r>
      <w:r>
        <w:rPr>
          <w:kern w:val="0"/>
        </w:rPr>
        <w:t>9 multiple MRI findings. Moderate levels</w:t>
      </w:r>
      <w:r w:rsidR="00427468">
        <w:rPr>
          <w:kern w:val="0"/>
        </w:rPr>
        <w:t xml:space="preserve"> of </w:t>
      </w:r>
      <w:r>
        <w:rPr>
          <w:kern w:val="0"/>
        </w:rPr>
        <w:t>evidence were found for BML</w:t>
      </w:r>
      <w:r w:rsidR="005853A9">
        <w:rPr>
          <w:kern w:val="0"/>
        </w:rPr>
        <w:t xml:space="preserve"> and </w:t>
      </w:r>
      <w:r>
        <w:rPr>
          <w:kern w:val="0"/>
        </w:rPr>
        <w:t>effusion/synovitis</w:t>
      </w:r>
      <w:r w:rsidR="00A37C1D">
        <w:rPr>
          <w:kern w:val="0"/>
        </w:rPr>
        <w:t>. The</w:t>
      </w:r>
      <w:r w:rsidR="003A1917">
        <w:rPr>
          <w:kern w:val="0"/>
        </w:rPr>
        <w:t xml:space="preserve"> </w:t>
      </w:r>
      <w:r>
        <w:rPr>
          <w:kern w:val="0"/>
        </w:rPr>
        <w:t>OR for BML ranged from 2.0 (no CI was given) to 5.0 (2.4 to 10.5)</w:t>
      </w:r>
      <w:r w:rsidR="00A37C1D">
        <w:rPr>
          <w:kern w:val="0"/>
        </w:rPr>
        <w:t>. The</w:t>
      </w:r>
      <w:r w:rsidR="003A1917">
        <w:rPr>
          <w:kern w:val="0"/>
        </w:rPr>
        <w:t xml:space="preserve"> </w:t>
      </w:r>
      <w:r>
        <w:rPr>
          <w:kern w:val="0"/>
        </w:rPr>
        <w:t>OR</w:t>
      </w:r>
      <w:r w:rsidR="00427468">
        <w:rPr>
          <w:kern w:val="0"/>
        </w:rPr>
        <w:t xml:space="preserve"> of </w:t>
      </w:r>
      <w:r>
        <w:rPr>
          <w:kern w:val="0"/>
        </w:rPr>
        <w:t>having pain when effusion/synovitis was present ranged between 3.2 (1.04 to 5.3)</w:t>
      </w:r>
      <w:r w:rsidR="005853A9">
        <w:rPr>
          <w:kern w:val="0"/>
        </w:rPr>
        <w:t xml:space="preserve"> and </w:t>
      </w:r>
      <w:r>
        <w:rPr>
          <w:kern w:val="0"/>
        </w:rPr>
        <w:t>10.0 (1.1 to 149)</w:t>
      </w:r>
      <w:r w:rsidR="00A37C1D">
        <w:rPr>
          <w:kern w:val="0"/>
        </w:rPr>
        <w:t>. The</w:t>
      </w:r>
      <w:r w:rsidR="003A1917">
        <w:rPr>
          <w:kern w:val="0"/>
        </w:rPr>
        <w:t xml:space="preserve"> </w:t>
      </w:r>
      <w:r>
        <w:rPr>
          <w:kern w:val="0"/>
        </w:rPr>
        <w:t>level</w:t>
      </w:r>
      <w:r w:rsidR="00427468">
        <w:rPr>
          <w:kern w:val="0"/>
        </w:rPr>
        <w:t xml:space="preserve"> of </w:t>
      </w:r>
      <w:r>
        <w:rPr>
          <w:kern w:val="0"/>
        </w:rPr>
        <w:t>evidences between other MRI findings</w:t>
      </w:r>
      <w:r w:rsidR="005853A9">
        <w:rPr>
          <w:kern w:val="0"/>
        </w:rPr>
        <w:t xml:space="preserve"> and </w:t>
      </w:r>
      <w:r>
        <w:rPr>
          <w:kern w:val="0"/>
        </w:rPr>
        <w:t>pain were limited or conflicting. Conclusions Knee pain in OA is associated with BML</w:t>
      </w:r>
      <w:r w:rsidR="005853A9">
        <w:rPr>
          <w:kern w:val="0"/>
        </w:rPr>
        <w:t xml:space="preserve"> and </w:t>
      </w:r>
      <w:r>
        <w:rPr>
          <w:kern w:val="0"/>
        </w:rPr>
        <w:t>effusion/synovitis suggesting that these features may indicate</w:t>
      </w:r>
      <w:r w:rsidR="003A1917">
        <w:rPr>
          <w:kern w:val="0"/>
        </w:rPr>
        <w:t xml:space="preserve"> the </w:t>
      </w:r>
      <w:r>
        <w:rPr>
          <w:kern w:val="0"/>
        </w:rPr>
        <w:t>origin</w:t>
      </w:r>
      <w:r w:rsidR="00427468">
        <w:rPr>
          <w:kern w:val="0"/>
        </w:rPr>
        <w:t xml:space="preserve"> of </w:t>
      </w:r>
      <w:r>
        <w:rPr>
          <w:kern w:val="0"/>
        </w:rPr>
        <w:t>pain in knee OA. However, due to</w:t>
      </w:r>
      <w:r w:rsidR="003A1917">
        <w:rPr>
          <w:kern w:val="0"/>
        </w:rPr>
        <w:t xml:space="preserve"> the </w:t>
      </w:r>
      <w:r>
        <w:rPr>
          <w:kern w:val="0"/>
        </w:rPr>
        <w:t>moderate level</w:t>
      </w:r>
      <w:r w:rsidR="00427468">
        <w:rPr>
          <w:kern w:val="0"/>
        </w:rPr>
        <w:t xml:space="preserve"> of </w:t>
      </w:r>
      <w:r>
        <w:rPr>
          <w:kern w:val="0"/>
        </w:rPr>
        <w:t>evidence these features need to be explored further.</w:t>
      </w:r>
    </w:p>
    <w:p w:rsidR="008C1C37" w:rsidRDefault="008C1C37" w:rsidP="008C1C37">
      <w:pPr>
        <w:pStyle w:val="a3"/>
        <w:rPr>
          <w:kern w:val="0"/>
        </w:rPr>
      </w:pPr>
      <w:r>
        <w:rPr>
          <w:kern w:val="0"/>
        </w:rPr>
        <w:t xml:space="preserve">Keywords: Association, Bone, Bone-Marrow Edema, Cartilage Loss, Clinical-Features, Cochrane, Collaboration, Databases, Guidelines, Health, Health-Care, Imaging Findings, Interest, Lesions, Methods, MRI, Nursing, Outcome, Pain, Papers, Publications, Review, Science, Severity, Symptoms, Systematic, Systematic Review, </w:t>
      </w:r>
      <w:r>
        <w:rPr>
          <w:kern w:val="0"/>
        </w:rPr>
        <w:lastRenderedPageBreak/>
        <w:t xml:space="preserve">Volume, </w:t>
      </w:r>
      <w:r w:rsidR="00D5664A">
        <w:rPr>
          <w:kern w:val="0"/>
        </w:rPr>
        <w:t>Web</w:t>
      </w:r>
      <w:r w:rsidR="00427468">
        <w:rPr>
          <w:kern w:val="0"/>
        </w:rPr>
        <w:t xml:space="preserve"> of </w:t>
      </w:r>
      <w:r w:rsidR="00D5664A">
        <w:rPr>
          <w:kern w:val="0"/>
        </w:rPr>
        <w:t>Science</w:t>
      </w:r>
    </w:p>
    <w:p w:rsidR="008F1AE9" w:rsidRDefault="008F1AE9" w:rsidP="008F1AE9">
      <w:pPr>
        <w:pStyle w:val="a3"/>
        <w:rPr>
          <w:kern w:val="0"/>
        </w:rPr>
      </w:pPr>
      <w:r>
        <w:rPr>
          <w:rFonts w:hint="eastAsia"/>
          <w:kern w:val="0"/>
        </w:rPr>
        <w:t xml:space="preserve">? </w:t>
      </w:r>
      <w:r>
        <w:rPr>
          <w:kern w:val="0"/>
        </w:rPr>
        <w:t xml:space="preserve">Jin, Z.C., Xiang, C., Cai, Q., Wei, X. and He, J. (2014), Alcohol consumption as a preventive factor for developing rheumatoid arthritis: A dose-response meta-analysis of prospective studies. </w:t>
      </w:r>
      <w:r>
        <w:rPr>
          <w:i/>
          <w:iCs/>
          <w:kern w:val="0"/>
        </w:rPr>
        <w:t>Annals of the Rheumatic Diseases</w:t>
      </w:r>
      <w:r>
        <w:rPr>
          <w:kern w:val="0"/>
        </w:rPr>
        <w:t xml:space="preserve">, </w:t>
      </w:r>
      <w:r>
        <w:rPr>
          <w:b/>
          <w:bCs/>
          <w:kern w:val="0"/>
        </w:rPr>
        <w:t>73</w:t>
      </w:r>
      <w:r>
        <w:rPr>
          <w:kern w:val="0"/>
        </w:rPr>
        <w:t xml:space="preserve"> (11), 1962-1967.</w:t>
      </w:r>
    </w:p>
    <w:p w:rsidR="008F1AE9" w:rsidRPr="001A3D2B" w:rsidRDefault="008F1AE9" w:rsidP="008F1AE9">
      <w:pPr>
        <w:pStyle w:val="a3"/>
      </w:pPr>
      <w:r w:rsidRPr="001A3D2B">
        <w:t xml:space="preserve">Full Text: </w:t>
      </w:r>
      <w:hyperlink r:id="rId951" w:history="1">
        <w:r w:rsidRPr="008F1AE9">
          <w:rPr>
            <w:rStyle w:val="a5"/>
          </w:rPr>
          <w:t>2014\Ann Rhe Dis73, 1962.pdf</w:t>
        </w:r>
      </w:hyperlink>
    </w:p>
    <w:p w:rsidR="008F1AE9" w:rsidRDefault="008F1AE9" w:rsidP="008F1AE9">
      <w:pPr>
        <w:pStyle w:val="a3"/>
        <w:rPr>
          <w:kern w:val="0"/>
        </w:rPr>
      </w:pPr>
      <w:r>
        <w:rPr>
          <w:kern w:val="0"/>
        </w:rPr>
        <w:t>Abstract: Objective To summarise the evidence regarding the dose-response association between alcohol consumption and risk of rheumatoid arthritis (RA). Method Studies were identified from search of MEDLINE, Embase and Web of Science databases between 1 January 1946 and 10 April 2013, and from review of the conference abstracts and the reference lists of retrieved articles. Prospective studies that reported relative risks (RRs) with 95% CIs for the association between alcohol consumption and the risk of RA were included. Results from individual studies were pooled using a dose-response meta-analysis. Results Up to 10 April 2013, 8 prospective studies contained 195 029 participants and 1878 RA cases were included. The results indicated that low to moderate alcohol consumption yielded a preventive effect on RA development (RR: 0.86; 95% CI 0.78 to 0.94), and provided some evidence of a non-linear relationship between alcohol consumption and risk of RA. Dose-response meta-analysis of the study data revealed that compared with that for no alcohol consumption, the adjusted RR was 0.93 (95% CI 0.88 to 0.98) for 3 g/day of alcohol consumption, 0.86 (95% CI 0.76 to 0.97) for 9 g/day, 0.88 (95% CI 0.78 to 0.99) for 12 g/day, 0.91 (95% CI 0.81 to 1.03) for 15 g/day, and 1.28 (95% CI 0.94 to 1.73) for 30 g/day. Subgroup analysis indicated that women who had low to moderate alcohol consumption had a 19% reduction in RA risk. Regardless of sex, a consistent low to moderate alcohol consumption for a period of at least 10 years was found to have a 17% reduction in RA risk. Conclusions Low to moderate alcohol consumption inversely associated with the development of RA in a manner that appears to be dose-dependent, time-dependent and sex-dependent. Large prospective studies that investigate gene-environment interactions are required to further clarify the aetiology of RA.</w:t>
      </w:r>
    </w:p>
    <w:p w:rsidR="008F1AE9" w:rsidRDefault="008F1AE9" w:rsidP="008F1AE9">
      <w:pPr>
        <w:pStyle w:val="a3"/>
        <w:rPr>
          <w:kern w:val="0"/>
        </w:rPr>
      </w:pPr>
      <w:r>
        <w:rPr>
          <w:kern w:val="0"/>
        </w:rPr>
        <w:t>Keywords: Aetiology, Alcohol, Analysis, Arthritis, Articles, Association, Bias, Cohort, Consumption, Data, Databases, Developing, Development, Dose Response, Epidemiology, Evidence, From, Gene, Inflammation, Markers, Medline, Meta Analysis, Meta-Analysis, Metaanalysis, Nonlinear, Nov, Prospective, Prospective Studies, Reduction, Reference, Reference Lists, Results, Review, Rheumatoid Arthritis, Risk, Risks, Science, Sex, Smoking, Time-Dependent, Trend Estimation, Web Of Science, Web Of Science Databases, Women</w:t>
      </w:r>
    </w:p>
    <w:p w:rsidR="003474F2" w:rsidRPr="001A3D2B" w:rsidRDefault="003474F2" w:rsidP="003474F2">
      <w:pPr>
        <w:pStyle w:val="1"/>
      </w:pPr>
      <w:r w:rsidRPr="001A3D2B">
        <w:br w:type="page"/>
      </w:r>
      <w:bookmarkStart w:id="498" w:name="_Toc420814522"/>
      <w:r w:rsidRPr="001A3D2B">
        <w:lastRenderedPageBreak/>
        <w:t xml:space="preserve">Title: </w:t>
      </w:r>
      <w:r w:rsidRPr="001A3D2B">
        <w:rPr>
          <w:iCs w:val="0"/>
          <w:szCs w:val="24"/>
        </w:rPr>
        <w:t>Annals</w:t>
      </w:r>
      <w:r w:rsidR="00427468">
        <w:rPr>
          <w:iCs w:val="0"/>
          <w:szCs w:val="24"/>
        </w:rPr>
        <w:t xml:space="preserve"> of </w:t>
      </w:r>
      <w:r w:rsidR="003A1917">
        <w:rPr>
          <w:iCs w:val="0"/>
          <w:szCs w:val="24"/>
        </w:rPr>
        <w:t xml:space="preserve">the </w:t>
      </w:r>
      <w:r w:rsidRPr="001A3D2B">
        <w:rPr>
          <w:iCs w:val="0"/>
          <w:szCs w:val="24"/>
        </w:rPr>
        <w:t>Royal College</w:t>
      </w:r>
      <w:r w:rsidR="00427468">
        <w:rPr>
          <w:iCs w:val="0"/>
          <w:szCs w:val="24"/>
        </w:rPr>
        <w:t xml:space="preserve"> of </w:t>
      </w:r>
      <w:r w:rsidRPr="001A3D2B">
        <w:rPr>
          <w:iCs w:val="0"/>
          <w:szCs w:val="24"/>
        </w:rPr>
        <w:t>Surgeons</w:t>
      </w:r>
      <w:r w:rsidR="00427468">
        <w:rPr>
          <w:iCs w:val="0"/>
          <w:szCs w:val="24"/>
        </w:rPr>
        <w:t xml:space="preserve"> of </w:t>
      </w:r>
      <w:r w:rsidRPr="001A3D2B">
        <w:rPr>
          <w:iCs w:val="0"/>
          <w:szCs w:val="24"/>
        </w:rPr>
        <w:t>England</w:t>
      </w:r>
      <w:bookmarkEnd w:id="498"/>
    </w:p>
    <w:p w:rsidR="003474F2" w:rsidRPr="001A3D2B" w:rsidRDefault="003474F2" w:rsidP="003474F2">
      <w:pPr>
        <w:pStyle w:val="12"/>
      </w:pPr>
      <w:r w:rsidRPr="001A3D2B">
        <w:t>Full Journal Title: Annals</w:t>
      </w:r>
      <w:r w:rsidR="00427468">
        <w:t xml:space="preserve"> of </w:t>
      </w:r>
      <w:r w:rsidR="003A1917">
        <w:t xml:space="preserve">the </w:t>
      </w:r>
      <w:r w:rsidRPr="001A3D2B">
        <w:t>Royal College</w:t>
      </w:r>
      <w:r w:rsidR="00427468">
        <w:t xml:space="preserve"> of </w:t>
      </w:r>
      <w:r w:rsidRPr="001A3D2B">
        <w:t>Surgeons</w:t>
      </w:r>
      <w:r w:rsidR="00427468">
        <w:t xml:space="preserve"> of </w:t>
      </w:r>
      <w:r w:rsidRPr="001A3D2B">
        <w:t>England</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073F17" w:rsidRDefault="00073F17" w:rsidP="00073F17">
      <w:pPr>
        <w:pStyle w:val="a3"/>
      </w:pPr>
      <w:r>
        <w:t>? Weale, A.R., Edwards, A.G., Lear, P.A.</w:t>
      </w:r>
      <w:r w:rsidR="005853A9">
        <w:t xml:space="preserve"> and </w:t>
      </w:r>
      <w:r>
        <w:t xml:space="preserve">Morgan, J.D.T. (2006), From meeting presentation to peer-review publication: A UK review. </w:t>
      </w:r>
      <w:r>
        <w:rPr>
          <w:i/>
          <w:iCs/>
        </w:rPr>
        <w:t>Annals</w:t>
      </w:r>
      <w:r w:rsidR="00427468">
        <w:rPr>
          <w:i/>
          <w:iCs/>
        </w:rPr>
        <w:t xml:space="preserve"> of </w:t>
      </w:r>
      <w:r>
        <w:rPr>
          <w:i/>
          <w:iCs/>
        </w:rPr>
        <w:t>the Royal College</w:t>
      </w:r>
      <w:r w:rsidR="00427468">
        <w:rPr>
          <w:i/>
          <w:iCs/>
        </w:rPr>
        <w:t xml:space="preserve"> of </w:t>
      </w:r>
      <w:r>
        <w:rPr>
          <w:i/>
          <w:iCs/>
        </w:rPr>
        <w:t>Surgeons</w:t>
      </w:r>
      <w:r w:rsidR="00427468">
        <w:rPr>
          <w:i/>
          <w:iCs/>
        </w:rPr>
        <w:t xml:space="preserve"> of </w:t>
      </w:r>
      <w:r>
        <w:rPr>
          <w:i/>
          <w:iCs/>
        </w:rPr>
        <w:t>England</w:t>
      </w:r>
      <w:r>
        <w:t xml:space="preserve">, </w:t>
      </w:r>
      <w:r>
        <w:rPr>
          <w:b/>
          <w:bCs/>
        </w:rPr>
        <w:t>88</w:t>
      </w:r>
      <w:r>
        <w:t xml:space="preserve"> (1), 52-56.</w:t>
      </w:r>
    </w:p>
    <w:p w:rsidR="00073F17" w:rsidRDefault="00073F17" w:rsidP="00073F17">
      <w:pPr>
        <w:pStyle w:val="a3"/>
        <w:rPr>
          <w:kern w:val="0"/>
        </w:rPr>
      </w:pPr>
      <w:r>
        <w:rPr>
          <w:kern w:val="0"/>
        </w:rPr>
        <w:t xml:space="preserve">Full Text: </w:t>
      </w:r>
      <w:hyperlink r:id="rId952" w:history="1">
        <w:r w:rsidRPr="00073F17">
          <w:rPr>
            <w:rStyle w:val="a5"/>
            <w:kern w:val="0"/>
          </w:rPr>
          <w:t>2006\Ann Roy Col Sur Eng88, 52.pdf</w:t>
        </w:r>
      </w:hyperlink>
    </w:p>
    <w:p w:rsidR="003474F2" w:rsidRPr="001A3D2B" w:rsidRDefault="003474F2" w:rsidP="00073F17">
      <w:pPr>
        <w:pStyle w:val="a3"/>
      </w:pPr>
      <w:r w:rsidRPr="001A3D2B">
        <w:t>Abstract: INTRODUCTION Annual academic surgical meetings provide a forum for</w:t>
      </w:r>
      <w:r w:rsidR="003A1917">
        <w:t xml:space="preserve"> the </w:t>
      </w:r>
      <w:r w:rsidRPr="001A3D2B">
        <w:t>discussion</w:t>
      </w:r>
      <w:r w:rsidR="00427468">
        <w:t xml:space="preserve"> of </w:t>
      </w:r>
      <w:r w:rsidRPr="001A3D2B">
        <w:t>research. For</w:t>
      </w:r>
      <w:r w:rsidR="003A1917">
        <w:t xml:space="preserve"> the </w:t>
      </w:r>
      <w:r w:rsidRPr="001A3D2B">
        <w:t>wide-spread dissemination</w:t>
      </w:r>
      <w:r w:rsidR="00427468">
        <w:t xml:space="preserve"> of </w:t>
      </w:r>
      <w:r w:rsidRPr="001A3D2B">
        <w:t>this information, peer-reviewed publication is required</w:t>
      </w:r>
      <w:r w:rsidR="00A37C1D">
        <w:t>. The</w:t>
      </w:r>
      <w:r w:rsidR="003A1917">
        <w:t xml:space="preserve"> </w:t>
      </w:r>
      <w:r w:rsidRPr="001A3D2B">
        <w:t>aim</w:t>
      </w:r>
      <w:r w:rsidR="00427468">
        <w:t xml:space="preserve"> of </w:t>
      </w:r>
      <w:r w:rsidRPr="001A3D2B">
        <w:t>this study was to compare</w:t>
      </w:r>
      <w:r w:rsidR="003A1917">
        <w:t xml:space="preserve"> the </w:t>
      </w:r>
      <w:r w:rsidRPr="001A3D2B">
        <w:t>amount</w:t>
      </w:r>
      <w:r w:rsidR="00427468">
        <w:t xml:space="preserve"> of </w:t>
      </w:r>
      <w:r w:rsidRPr="001A3D2B">
        <w:t>presentations which go on to publication from 4 UK-based surgical meetings. MATERIALS</w:t>
      </w:r>
      <w:r w:rsidR="005853A9">
        <w:t xml:space="preserve"> and </w:t>
      </w:r>
      <w:r w:rsidRPr="001A3D2B">
        <w:t xml:space="preserve">METHODS We determined whether a presentation had led to a successful publication using </w:t>
      </w:r>
      <w:r w:rsidR="002C12F0">
        <w:t>PUBMED</w:t>
      </w:r>
      <w:r w:rsidRPr="001A3D2B">
        <w:t>, a median</w:t>
      </w:r>
      <w:r w:rsidR="00427468">
        <w:t xml:space="preserve"> of </w:t>
      </w:r>
      <w:r w:rsidRPr="001A3D2B">
        <w:t>28 months following each meeting. We compared</w:t>
      </w:r>
      <w:r w:rsidR="003A1917">
        <w:t xml:space="preserve"> the </w:t>
      </w:r>
      <w:r w:rsidRPr="001A3D2B">
        <w:t>ASGBI publication rate with</w:t>
      </w:r>
      <w:r w:rsidR="003A1917">
        <w:t xml:space="preserve"> the </w:t>
      </w:r>
      <w:r w:rsidRPr="001A3D2B">
        <w:t>meetings</w:t>
      </w:r>
      <w:r w:rsidR="00427468">
        <w:t xml:space="preserve"> of </w:t>
      </w:r>
      <w:r w:rsidR="003A1917">
        <w:t xml:space="preserve">the </w:t>
      </w:r>
      <w:r w:rsidRPr="001A3D2B">
        <w:t>Vascular Surgical Society (VSSGBI</w:t>
      </w:r>
      <w:r w:rsidR="00F42EAC">
        <w:t>), The</w:t>
      </w:r>
      <w:r w:rsidR="003A1917">
        <w:t xml:space="preserve"> </w:t>
      </w:r>
      <w:r w:rsidRPr="001A3D2B">
        <w:t>Association</w:t>
      </w:r>
      <w:r w:rsidR="00427468">
        <w:t xml:space="preserve"> of </w:t>
      </w:r>
      <w:r w:rsidRPr="001A3D2B">
        <w:t>Coloproctology</w:t>
      </w:r>
      <w:r w:rsidR="00427468">
        <w:t xml:space="preserve"> of </w:t>
      </w:r>
      <w:r w:rsidRPr="001A3D2B">
        <w:t>Great Britain</w:t>
      </w:r>
      <w:r w:rsidR="005853A9">
        <w:t xml:space="preserve"> and </w:t>
      </w:r>
      <w:r w:rsidRPr="001A3D2B">
        <w:t>Ireland (ACPGBI)</w:t>
      </w:r>
      <w:r w:rsidR="005853A9">
        <w:t xml:space="preserve"> and </w:t>
      </w:r>
      <w:r w:rsidR="003A1917">
        <w:t xml:space="preserve">the </w:t>
      </w:r>
      <w:r w:rsidRPr="001A3D2B">
        <w:t>British Transplantation Society (BTS). We also compared</w:t>
      </w:r>
      <w:r w:rsidR="003A1917">
        <w:t xml:space="preserve"> the </w:t>
      </w:r>
      <w:r w:rsidRPr="001A3D2B">
        <w:t>median impact factor</w:t>
      </w:r>
      <w:r w:rsidR="00427468">
        <w:t xml:space="preserve"> of </w:t>
      </w:r>
      <w:r w:rsidRPr="001A3D2B">
        <w:t>journals used. RESULTS</w:t>
      </w:r>
      <w:r w:rsidR="003A1917">
        <w:t xml:space="preserve"> the </w:t>
      </w:r>
      <w:r w:rsidRPr="001A3D2B">
        <w:t>ASGBI</w:t>
      </w:r>
      <w:r w:rsidR="005853A9">
        <w:t xml:space="preserve"> and </w:t>
      </w:r>
      <w:r w:rsidRPr="001A3D2B">
        <w:t>BTS had a similar rate</w:t>
      </w:r>
      <w:r w:rsidR="00427468">
        <w:t xml:space="preserve"> of </w:t>
      </w:r>
      <w:r w:rsidRPr="001A3D2B">
        <w:t>presentations resulting in publication, with 35%</w:t>
      </w:r>
      <w:r w:rsidR="005853A9">
        <w:t xml:space="preserve"> and </w:t>
      </w:r>
      <w:r w:rsidRPr="001A3D2B">
        <w:t>36% at 2 years, respectively,</w:t>
      </w:r>
      <w:r w:rsidR="003A1917">
        <w:t xml:space="preserve"> the </w:t>
      </w:r>
      <w:r w:rsidRPr="001A3D2B">
        <w:t>VSS had a significantly greater proportion</w:t>
      </w:r>
      <w:r w:rsidR="00427468">
        <w:t xml:space="preserve"> of </w:t>
      </w:r>
      <w:r w:rsidRPr="001A3D2B">
        <w:t>presentations resulting in publication (54% at 2 years; P= 0.004), whilst</w:t>
      </w:r>
      <w:r w:rsidR="003A1917">
        <w:t xml:space="preserve"> the </w:t>
      </w:r>
      <w:r w:rsidRPr="001A3D2B">
        <w:t>ACPGBI had significant fewer (24% at 2 years; P= 0.006)</w:t>
      </w:r>
      <w:r w:rsidR="00A37C1D">
        <w:t>. The</w:t>
      </w:r>
      <w:r w:rsidRPr="001A3D2B">
        <w:t>re was no difference in</w:t>
      </w:r>
      <w:r w:rsidR="003A1917">
        <w:t xml:space="preserve"> the </w:t>
      </w:r>
      <w:r w:rsidRPr="001A3D2B">
        <w:t>median impact factors</w:t>
      </w:r>
      <w:r w:rsidR="00427468">
        <w:t xml:space="preserve"> of </w:t>
      </w:r>
      <w:r w:rsidR="003A1917">
        <w:t xml:space="preserve">the </w:t>
      </w:r>
      <w:r w:rsidRPr="001A3D2B">
        <w:t>journals used between</w:t>
      </w:r>
      <w:r w:rsidR="003A1917">
        <w:t xml:space="preserve"> the </w:t>
      </w:r>
      <w:r w:rsidRPr="001A3D2B">
        <w:t>meetings (Kruskal Wallis P= 0.883). CONCLUSIONS There is a significant variation between meetings in terms</w:t>
      </w:r>
      <w:r w:rsidR="00427468">
        <w:t xml:space="preserve"> of </w:t>
      </w:r>
      <w:r w:rsidRPr="001A3D2B">
        <w:t>turning presentations into publications. However,</w:t>
      </w:r>
      <w:r w:rsidR="003A1917">
        <w:t xml:space="preserve"> the </w:t>
      </w:r>
      <w:r w:rsidRPr="001A3D2B">
        <w:t>majority</w:t>
      </w:r>
      <w:r w:rsidR="00427468">
        <w:t xml:space="preserve"> of </w:t>
      </w:r>
      <w:r w:rsidRPr="001A3D2B">
        <w:t>abstracts have still not been fully published within 2 years</w:t>
      </w:r>
      <w:r w:rsidR="00427468">
        <w:t xml:space="preserve"> of </w:t>
      </w:r>
      <w:r w:rsidRPr="001A3D2B">
        <w:t>presentation at</w:t>
      </w:r>
      <w:r w:rsidR="003A1917">
        <w:t xml:space="preserve"> the </w:t>
      </w:r>
      <w:r w:rsidRPr="001A3D2B">
        <w:t>meeting.</w:t>
      </w:r>
    </w:p>
    <w:p w:rsidR="003474F2" w:rsidRPr="001A3D2B" w:rsidRDefault="003474F2" w:rsidP="003474F2">
      <w:pPr>
        <w:pStyle w:val="a3"/>
      </w:pPr>
      <w:r w:rsidRPr="001A3D2B">
        <w:t xml:space="preserve">Keywords: Abstracts, Academic, Britain, British, Factors, Great Britain, Impact, Impact Factor, Impact Factors, Information, Ireland, Journals, Majority, Meeting, Meeting Abstracts, Meetings, Methods, Peer Review, Peer-Review, Peer-Reviewed, </w:t>
      </w:r>
      <w:r w:rsidRPr="001A3D2B">
        <w:lastRenderedPageBreak/>
        <w:t xml:space="preserve">Presentation, Publication, Publication Rate, Publications, </w:t>
      </w:r>
      <w:r w:rsidR="002C12F0">
        <w:t>PUBMED</w:t>
      </w:r>
      <w:r w:rsidRPr="001A3D2B">
        <w:t>, Research, Review, Surgery, UK</w:t>
      </w:r>
    </w:p>
    <w:p w:rsidR="003474F2" w:rsidRPr="001A3D2B" w:rsidRDefault="003474F2" w:rsidP="003474F2">
      <w:pPr>
        <w:pStyle w:val="a3"/>
        <w:rPr>
          <w:szCs w:val="24"/>
        </w:rPr>
      </w:pPr>
      <w:r w:rsidRPr="001A3D2B">
        <w:t>? Bhasin, N.</w:t>
      </w:r>
      <w:r w:rsidR="005853A9">
        <w:t xml:space="preserve"> and </w:t>
      </w:r>
      <w:r w:rsidRPr="001A3D2B">
        <w:t>Scott, D.J.A. (2007), Publication outcome for research presented at</w:t>
      </w:r>
      <w:r w:rsidR="003A1917">
        <w:t xml:space="preserve"> the </w:t>
      </w:r>
      <w:r w:rsidRPr="001A3D2B">
        <w:t>Vascular Society</w:t>
      </w:r>
      <w:r w:rsidR="00427468">
        <w:t xml:space="preserve"> of </w:t>
      </w:r>
      <w:r w:rsidRPr="001A3D2B">
        <w:t>Great Britain</w:t>
      </w:r>
      <w:r w:rsidR="005853A9">
        <w:t xml:space="preserve"> and </w:t>
      </w:r>
      <w:r w:rsidRPr="001A3D2B">
        <w:t xml:space="preserve">Ireland annual meetings. </w:t>
      </w:r>
      <w:r w:rsidRPr="001A3D2B">
        <w:rPr>
          <w:i/>
          <w:iCs/>
        </w:rPr>
        <w:t>Annals</w:t>
      </w:r>
      <w:r w:rsidR="00427468">
        <w:rPr>
          <w:i/>
          <w:iCs/>
        </w:rPr>
        <w:t xml:space="preserve"> of </w:t>
      </w:r>
      <w:r w:rsidR="003A1917">
        <w:rPr>
          <w:i/>
          <w:iCs/>
        </w:rPr>
        <w:t xml:space="preserve">the </w:t>
      </w:r>
      <w:r w:rsidRPr="001A3D2B">
        <w:rPr>
          <w:i/>
          <w:iCs/>
        </w:rPr>
        <w:t>Royal College</w:t>
      </w:r>
      <w:r w:rsidR="00427468">
        <w:rPr>
          <w:i/>
          <w:iCs/>
        </w:rPr>
        <w:t xml:space="preserve"> of </w:t>
      </w:r>
      <w:r w:rsidRPr="001A3D2B">
        <w:rPr>
          <w:i/>
          <w:iCs/>
        </w:rPr>
        <w:t>Surgeons</w:t>
      </w:r>
      <w:r w:rsidR="00427468">
        <w:rPr>
          <w:i/>
          <w:iCs/>
        </w:rPr>
        <w:t xml:space="preserve"> of </w:t>
      </w:r>
      <w:r w:rsidRPr="001A3D2B">
        <w:rPr>
          <w:i/>
          <w:iCs/>
        </w:rPr>
        <w:t>England</w:t>
      </w:r>
      <w:r w:rsidRPr="001A3D2B">
        <w:t xml:space="preserve">, </w:t>
      </w:r>
      <w:r w:rsidRPr="001A3D2B">
        <w:rPr>
          <w:b/>
          <w:bCs/>
        </w:rPr>
        <w:t>89</w:t>
      </w:r>
      <w:r w:rsidRPr="001A3D2B">
        <w:rPr>
          <w:szCs w:val="24"/>
        </w:rPr>
        <w:t xml:space="preserve"> (3), 292-297.</w:t>
      </w:r>
    </w:p>
    <w:p w:rsidR="00073F17" w:rsidRDefault="00073F17" w:rsidP="00073F17">
      <w:pPr>
        <w:pStyle w:val="a3"/>
        <w:rPr>
          <w:kern w:val="0"/>
        </w:rPr>
      </w:pPr>
      <w:r>
        <w:rPr>
          <w:kern w:val="0"/>
        </w:rPr>
        <w:t xml:space="preserve">Full Text: </w:t>
      </w:r>
      <w:hyperlink r:id="rId953" w:history="1">
        <w:r>
          <w:rPr>
            <w:rStyle w:val="a5"/>
          </w:rPr>
          <w:t>2007\Ann Roy Col Sur Eng89, 292.pdf</w:t>
        </w:r>
      </w:hyperlink>
    </w:p>
    <w:p w:rsidR="003474F2" w:rsidRPr="001A3D2B" w:rsidRDefault="001E1D98" w:rsidP="00073F17">
      <w:pPr>
        <w:pStyle w:val="a3"/>
        <w:rPr>
          <w:szCs w:val="24"/>
        </w:rPr>
      </w:pPr>
      <w:r>
        <w:rPr>
          <w:szCs w:val="24"/>
        </w:rPr>
        <w:t>Abstract:</w:t>
      </w:r>
      <w:r w:rsidR="003474F2" w:rsidRPr="001A3D2B">
        <w:rPr>
          <w:szCs w:val="24"/>
        </w:rPr>
        <w:t xml:space="preserve"> BACKGROUND</w:t>
      </w:r>
      <w:r w:rsidR="003A1917">
        <w:rPr>
          <w:szCs w:val="24"/>
        </w:rPr>
        <w:t xml:space="preserve"> the </w:t>
      </w:r>
      <w:r w:rsidR="003474F2" w:rsidRPr="001A3D2B">
        <w:rPr>
          <w:szCs w:val="24"/>
        </w:rPr>
        <w:t>Vascular Society</w:t>
      </w:r>
      <w:r w:rsidR="00427468">
        <w:rPr>
          <w:szCs w:val="24"/>
        </w:rPr>
        <w:t xml:space="preserve"> of </w:t>
      </w:r>
      <w:r w:rsidR="003474F2" w:rsidRPr="001A3D2B">
        <w:rPr>
          <w:szCs w:val="24"/>
        </w:rPr>
        <w:t>Great Britain</w:t>
      </w:r>
      <w:r w:rsidR="005853A9">
        <w:rPr>
          <w:szCs w:val="24"/>
        </w:rPr>
        <w:t xml:space="preserve"> and </w:t>
      </w:r>
      <w:r w:rsidR="003474F2" w:rsidRPr="001A3D2B">
        <w:rPr>
          <w:szCs w:val="24"/>
        </w:rPr>
        <w:t>Ireland (VSGBI) annual meeting is a major international vascular surgery conference. Studies suggest that</w:t>
      </w:r>
      <w:r w:rsidR="003A1917">
        <w:rPr>
          <w:szCs w:val="24"/>
        </w:rPr>
        <w:t xml:space="preserve"> the </w:t>
      </w:r>
      <w:r w:rsidR="003474F2" w:rsidRPr="001A3D2B">
        <w:rPr>
          <w:szCs w:val="24"/>
        </w:rPr>
        <w:t>percentage</w:t>
      </w:r>
      <w:r w:rsidR="00427468">
        <w:rPr>
          <w:szCs w:val="24"/>
        </w:rPr>
        <w:t xml:space="preserve"> of </w:t>
      </w:r>
      <w:r w:rsidR="003474F2" w:rsidRPr="001A3D2B">
        <w:rPr>
          <w:szCs w:val="24"/>
        </w:rPr>
        <w:t>presentations that result in full-text publications are a measure</w:t>
      </w:r>
      <w:r w:rsidR="00427468">
        <w:rPr>
          <w:szCs w:val="24"/>
        </w:rPr>
        <w:t xml:space="preserve"> of </w:t>
      </w:r>
      <w:r w:rsidR="003A1917">
        <w:rPr>
          <w:szCs w:val="24"/>
        </w:rPr>
        <w:t xml:space="preserve">the </w:t>
      </w:r>
      <w:r w:rsidR="003474F2" w:rsidRPr="001A3D2B">
        <w:rPr>
          <w:szCs w:val="24"/>
        </w:rPr>
        <w:t>quality</w:t>
      </w:r>
      <w:r w:rsidR="00427468">
        <w:rPr>
          <w:szCs w:val="24"/>
        </w:rPr>
        <w:t xml:space="preserve"> of </w:t>
      </w:r>
      <w:r w:rsidR="003A1917">
        <w:rPr>
          <w:szCs w:val="24"/>
        </w:rPr>
        <w:t xml:space="preserve">the </w:t>
      </w:r>
      <w:r w:rsidR="003474F2" w:rsidRPr="001A3D2B">
        <w:rPr>
          <w:szCs w:val="24"/>
        </w:rPr>
        <w:t>meeting. We investigated</w:t>
      </w:r>
      <w:r w:rsidR="003A1917">
        <w:rPr>
          <w:szCs w:val="24"/>
        </w:rPr>
        <w:t xml:space="preserve"> the </w:t>
      </w:r>
      <w:r w:rsidR="003474F2" w:rsidRPr="001A3D2B">
        <w:rPr>
          <w:szCs w:val="24"/>
        </w:rPr>
        <w:t>publication outcome</w:t>
      </w:r>
      <w:r w:rsidR="00427468">
        <w:rPr>
          <w:szCs w:val="24"/>
        </w:rPr>
        <w:t xml:space="preserve"> of </w:t>
      </w:r>
      <w:r w:rsidR="003474F2" w:rsidRPr="001A3D2B">
        <w:rPr>
          <w:szCs w:val="24"/>
        </w:rPr>
        <w:t>abstracts presented to</w:t>
      </w:r>
      <w:r w:rsidR="003A1917">
        <w:rPr>
          <w:szCs w:val="24"/>
        </w:rPr>
        <w:t xml:space="preserve"> the </w:t>
      </w:r>
      <w:r w:rsidR="003474F2" w:rsidRPr="001A3D2B">
        <w:rPr>
          <w:szCs w:val="24"/>
        </w:rPr>
        <w:t>VSGBI in 2001</w:t>
      </w:r>
      <w:r w:rsidR="005853A9">
        <w:rPr>
          <w:szCs w:val="24"/>
        </w:rPr>
        <w:t xml:space="preserve"> and </w:t>
      </w:r>
      <w:r w:rsidR="003474F2" w:rsidRPr="001A3D2B">
        <w:rPr>
          <w:szCs w:val="24"/>
        </w:rPr>
        <w:t>2002. MATERIALS</w:t>
      </w:r>
      <w:r w:rsidR="005853A9">
        <w:rPr>
          <w:szCs w:val="24"/>
        </w:rPr>
        <w:t xml:space="preserve"> and </w:t>
      </w:r>
      <w:r w:rsidR="003474F2" w:rsidRPr="001A3D2B">
        <w:rPr>
          <w:szCs w:val="24"/>
        </w:rPr>
        <w:t>METHODS We retrospectively identified abstracts from</w:t>
      </w:r>
      <w:r w:rsidR="003A1917">
        <w:rPr>
          <w:szCs w:val="24"/>
        </w:rPr>
        <w:t xml:space="preserve"> the </w:t>
      </w:r>
      <w:r w:rsidR="003474F2" w:rsidRPr="001A3D2B">
        <w:rPr>
          <w:szCs w:val="24"/>
        </w:rPr>
        <w:t>conference programmes</w:t>
      </w:r>
      <w:r w:rsidR="005853A9">
        <w:rPr>
          <w:szCs w:val="24"/>
        </w:rPr>
        <w:t xml:space="preserve"> and </w:t>
      </w:r>
      <w:r w:rsidR="003474F2" w:rsidRPr="001A3D2B">
        <w:rPr>
          <w:szCs w:val="24"/>
        </w:rPr>
        <w:t xml:space="preserve">conducted a detailed electronic </w:t>
      </w:r>
      <w:r w:rsidR="00D5664A">
        <w:rPr>
          <w:szCs w:val="24"/>
        </w:rPr>
        <w:t>MEDLINE</w:t>
      </w:r>
      <w:r w:rsidR="005853A9">
        <w:rPr>
          <w:szCs w:val="24"/>
        </w:rPr>
        <w:t xml:space="preserve"> and </w:t>
      </w:r>
      <w:r w:rsidR="002C12F0">
        <w:rPr>
          <w:szCs w:val="24"/>
        </w:rPr>
        <w:t>PUBMED</w:t>
      </w:r>
      <w:r w:rsidR="003474F2" w:rsidRPr="001A3D2B">
        <w:rPr>
          <w:szCs w:val="24"/>
        </w:rPr>
        <w:t xml:space="preserve"> search to determine publication. We collected data regarding</w:t>
      </w:r>
      <w:r w:rsidR="003A1917">
        <w:rPr>
          <w:szCs w:val="24"/>
        </w:rPr>
        <w:t xml:space="preserve"> the </w:t>
      </w:r>
      <w:r w:rsidR="003474F2" w:rsidRPr="001A3D2B">
        <w:rPr>
          <w:szCs w:val="24"/>
        </w:rPr>
        <w:t>study design, subject matter, publishing journal, time to publication, institution</w:t>
      </w:r>
      <w:r w:rsidR="00427468">
        <w:rPr>
          <w:szCs w:val="24"/>
        </w:rPr>
        <w:t xml:space="preserve"> of </w:t>
      </w:r>
      <w:r w:rsidR="003474F2" w:rsidRPr="001A3D2B">
        <w:rPr>
          <w:szCs w:val="24"/>
        </w:rPr>
        <w:t>origin, impact factors</w:t>
      </w:r>
      <w:r w:rsidR="005853A9">
        <w:rPr>
          <w:szCs w:val="24"/>
        </w:rPr>
        <w:t xml:space="preserve"> and </w:t>
      </w:r>
      <w:r w:rsidR="003474F2" w:rsidRPr="001A3D2B">
        <w:rPr>
          <w:szCs w:val="24"/>
        </w:rPr>
        <w:t>RAE levels. RESULTS There were 63 publications from 106 abstracts (59.4%), with a median impact factor</w:t>
      </w:r>
      <w:r w:rsidR="00427468">
        <w:rPr>
          <w:szCs w:val="24"/>
        </w:rPr>
        <w:t xml:space="preserve"> of </w:t>
      </w:r>
      <w:r w:rsidR="003474F2" w:rsidRPr="001A3D2B">
        <w:rPr>
          <w:szCs w:val="24"/>
        </w:rPr>
        <w:t>3.507. Prospective observational studies accounted for 20.6%</w:t>
      </w:r>
      <w:r w:rsidR="00427468">
        <w:rPr>
          <w:szCs w:val="24"/>
        </w:rPr>
        <w:t xml:space="preserve"> of </w:t>
      </w:r>
      <w:r w:rsidR="003474F2" w:rsidRPr="001A3D2B">
        <w:rPr>
          <w:szCs w:val="24"/>
        </w:rPr>
        <w:t>publications, with abdominal aortic aneurysms being</w:t>
      </w:r>
      <w:r w:rsidR="003A1917">
        <w:rPr>
          <w:szCs w:val="24"/>
        </w:rPr>
        <w:t xml:space="preserve"> the </w:t>
      </w:r>
      <w:r w:rsidR="003474F2" w:rsidRPr="001A3D2B">
        <w:rPr>
          <w:szCs w:val="24"/>
        </w:rPr>
        <w:t>commonest subject matter (34.9%)</w:t>
      </w:r>
      <w:r w:rsidR="00A37C1D">
        <w:rPr>
          <w:szCs w:val="24"/>
        </w:rPr>
        <w:t>. The</w:t>
      </w:r>
      <w:r w:rsidR="003A1917">
        <w:rPr>
          <w:szCs w:val="24"/>
        </w:rPr>
        <w:t xml:space="preserve"> </w:t>
      </w:r>
      <w:r w:rsidR="003474F2" w:rsidRPr="001A3D2B">
        <w:rPr>
          <w:szCs w:val="24"/>
        </w:rPr>
        <w:t>median time to publication was 12 months, with</w:t>
      </w:r>
      <w:r w:rsidR="003A1917">
        <w:rPr>
          <w:szCs w:val="24"/>
        </w:rPr>
        <w:t xml:space="preserve"> the </w:t>
      </w:r>
      <w:r w:rsidR="003474F2" w:rsidRPr="001A3D2B">
        <w:rPr>
          <w:szCs w:val="24"/>
        </w:rPr>
        <w:t>European Journal</w:t>
      </w:r>
      <w:r w:rsidR="00427468">
        <w:rPr>
          <w:szCs w:val="24"/>
        </w:rPr>
        <w:t xml:space="preserve"> of </w:t>
      </w:r>
      <w:r w:rsidR="003474F2" w:rsidRPr="001A3D2B">
        <w:rPr>
          <w:szCs w:val="24"/>
        </w:rPr>
        <w:t>Vascular</w:t>
      </w:r>
      <w:r w:rsidR="005853A9">
        <w:rPr>
          <w:szCs w:val="24"/>
        </w:rPr>
        <w:t xml:space="preserve"> and </w:t>
      </w:r>
      <w:r w:rsidR="003474F2" w:rsidRPr="001A3D2B">
        <w:rPr>
          <w:szCs w:val="24"/>
        </w:rPr>
        <w:t>Endovascular Surgery publishing 33.3%</w:t>
      </w:r>
      <w:r w:rsidR="00427468">
        <w:rPr>
          <w:szCs w:val="24"/>
        </w:rPr>
        <w:t xml:space="preserve"> of </w:t>
      </w:r>
      <w:r w:rsidR="003A1917">
        <w:rPr>
          <w:szCs w:val="24"/>
        </w:rPr>
        <w:t xml:space="preserve">the </w:t>
      </w:r>
      <w:r w:rsidR="003474F2" w:rsidRPr="001A3D2B">
        <w:rPr>
          <w:szCs w:val="24"/>
        </w:rPr>
        <w:t>articles. Leicester achieved</w:t>
      </w:r>
      <w:r w:rsidR="003A1917">
        <w:rPr>
          <w:szCs w:val="24"/>
        </w:rPr>
        <w:t xml:space="preserve"> the </w:t>
      </w:r>
      <w:r w:rsidR="003474F2" w:rsidRPr="001A3D2B">
        <w:rPr>
          <w:szCs w:val="24"/>
        </w:rPr>
        <w:t>highest number</w:t>
      </w:r>
      <w:r w:rsidR="00427468">
        <w:rPr>
          <w:szCs w:val="24"/>
        </w:rPr>
        <w:t xml:space="preserve"> of </w:t>
      </w:r>
      <w:r w:rsidR="003474F2" w:rsidRPr="001A3D2B">
        <w:rPr>
          <w:szCs w:val="24"/>
        </w:rPr>
        <w:t>publications</w:t>
      </w:r>
      <w:r w:rsidR="005853A9">
        <w:rPr>
          <w:szCs w:val="24"/>
        </w:rPr>
        <w:t xml:space="preserve"> and </w:t>
      </w:r>
      <w:r w:rsidR="003A1917">
        <w:rPr>
          <w:szCs w:val="24"/>
        </w:rPr>
        <w:t xml:space="preserve">the </w:t>
      </w:r>
      <w:r w:rsidR="003474F2" w:rsidRPr="001A3D2B">
        <w:rPr>
          <w:szCs w:val="24"/>
        </w:rPr>
        <w:t>majority</w:t>
      </w:r>
      <w:r w:rsidR="00427468">
        <w:rPr>
          <w:szCs w:val="24"/>
        </w:rPr>
        <w:t xml:space="preserve"> of </w:t>
      </w:r>
      <w:r w:rsidR="003474F2" w:rsidRPr="001A3D2B">
        <w:rPr>
          <w:szCs w:val="24"/>
        </w:rPr>
        <w:t>work came from centres with Research Assessment Exercise (RAE) level scores</w:t>
      </w:r>
      <w:r w:rsidR="00427468">
        <w:rPr>
          <w:szCs w:val="24"/>
        </w:rPr>
        <w:t xml:space="preserve"> of </w:t>
      </w:r>
      <w:r w:rsidR="003474F2" w:rsidRPr="001A3D2B">
        <w:rPr>
          <w:szCs w:val="24"/>
        </w:rPr>
        <w:t>4, university centres accounted for 74.6%</w:t>
      </w:r>
      <w:r w:rsidR="00427468">
        <w:rPr>
          <w:szCs w:val="24"/>
        </w:rPr>
        <w:t xml:space="preserve"> of </w:t>
      </w:r>
      <w:r w:rsidR="003474F2" w:rsidRPr="001A3D2B">
        <w:rPr>
          <w:szCs w:val="24"/>
        </w:rPr>
        <w:t>publications. CONCLUSIONS We conclude that when compared to equivalent meetings in other specialties</w:t>
      </w:r>
      <w:r w:rsidR="005853A9">
        <w:rPr>
          <w:szCs w:val="24"/>
        </w:rPr>
        <w:t xml:space="preserve"> and </w:t>
      </w:r>
      <w:r w:rsidR="003474F2" w:rsidRPr="001A3D2B">
        <w:rPr>
          <w:szCs w:val="24"/>
        </w:rPr>
        <w:t>geographical regions,</w:t>
      </w:r>
      <w:r w:rsidR="003A1917">
        <w:rPr>
          <w:szCs w:val="24"/>
        </w:rPr>
        <w:t xml:space="preserve"> the </w:t>
      </w:r>
      <w:r w:rsidR="003474F2" w:rsidRPr="001A3D2B">
        <w:rPr>
          <w:szCs w:val="24"/>
        </w:rPr>
        <w:t>annual meeting</w:t>
      </w:r>
      <w:r w:rsidR="00427468">
        <w:rPr>
          <w:szCs w:val="24"/>
        </w:rPr>
        <w:t xml:space="preserve"> of </w:t>
      </w:r>
      <w:r w:rsidR="003A1917">
        <w:rPr>
          <w:szCs w:val="24"/>
        </w:rPr>
        <w:t xml:space="preserve">the </w:t>
      </w:r>
      <w:r w:rsidR="003474F2" w:rsidRPr="001A3D2B">
        <w:rPr>
          <w:szCs w:val="24"/>
        </w:rPr>
        <w:t>VSGBI is</w:t>
      </w:r>
      <w:r w:rsidR="00427468">
        <w:rPr>
          <w:szCs w:val="24"/>
        </w:rPr>
        <w:t xml:space="preserve"> of </w:t>
      </w:r>
      <w:r w:rsidR="003A1917">
        <w:rPr>
          <w:szCs w:val="24"/>
        </w:rPr>
        <w:t xml:space="preserve">the </w:t>
      </w:r>
      <w:r w:rsidR="003474F2" w:rsidRPr="001A3D2B">
        <w:rPr>
          <w:szCs w:val="24"/>
        </w:rPr>
        <w:t>very highest quality.</w:t>
      </w:r>
    </w:p>
    <w:p w:rsidR="003474F2" w:rsidRPr="001A3D2B" w:rsidRDefault="003474F2" w:rsidP="003474F2">
      <w:pPr>
        <w:pStyle w:val="a3"/>
        <w:rPr>
          <w:szCs w:val="24"/>
        </w:rPr>
      </w:pPr>
      <w:r w:rsidRPr="001A3D2B">
        <w:rPr>
          <w:szCs w:val="24"/>
        </w:rPr>
        <w:t>Keywords: Abdominal, Abstracts, Background, Britain, Data, Design, Exercise, Factors, Great Britain, Impact, Impact Factor, Impact Factors, Institution, International, Ireland, Journal, Majority, Measure, Meeting, Meeting Abstracts, Meetings, Methods, Number</w:t>
      </w:r>
      <w:r w:rsidR="00427468">
        <w:rPr>
          <w:szCs w:val="24"/>
        </w:rPr>
        <w:t xml:space="preserve"> of </w:t>
      </w:r>
      <w:r w:rsidRPr="001A3D2B">
        <w:rPr>
          <w:szCs w:val="24"/>
        </w:rPr>
        <w:t xml:space="preserve">Publications, Observational, Observational Studies, Origin, Outcome, Presentation, Programmes, Publication, Publications, Publishing, </w:t>
      </w:r>
      <w:r w:rsidR="002C12F0">
        <w:rPr>
          <w:szCs w:val="24"/>
        </w:rPr>
        <w:t>PUBMED</w:t>
      </w:r>
      <w:r w:rsidRPr="001A3D2B">
        <w:rPr>
          <w:szCs w:val="24"/>
        </w:rPr>
        <w:t>, Quality, Quality of, Rae, Regions, Research, Search, Study Design, Surgery, Surgical Education, Time, University, Vascular Surgery, Work</w:t>
      </w:r>
    </w:p>
    <w:p w:rsidR="006671DB" w:rsidRDefault="006671DB" w:rsidP="006671DB">
      <w:pPr>
        <w:pStyle w:val="a3"/>
        <w:rPr>
          <w:kern w:val="0"/>
        </w:rPr>
      </w:pPr>
      <w:r>
        <w:rPr>
          <w:rFonts w:hint="eastAsia"/>
          <w:kern w:val="0"/>
        </w:rPr>
        <w:t xml:space="preserve">? </w:t>
      </w:r>
      <w:r>
        <w:rPr>
          <w:kern w:val="0"/>
        </w:rPr>
        <w:t>Rew, D.A. (2012), Curating</w:t>
      </w:r>
      <w:r w:rsidR="003A1917">
        <w:rPr>
          <w:kern w:val="0"/>
        </w:rPr>
        <w:t xml:space="preserve"> the </w:t>
      </w:r>
      <w:r>
        <w:rPr>
          <w:kern w:val="0"/>
        </w:rPr>
        <w:t>world</w:t>
      </w:r>
      <w:r w:rsidR="00700038">
        <w:rPr>
          <w:kern w:val="0"/>
        </w:rPr>
        <w:t>’</w:t>
      </w:r>
      <w:r>
        <w:rPr>
          <w:kern w:val="0"/>
        </w:rPr>
        <w:t xml:space="preserve">s peer-reviewed literature. </w:t>
      </w:r>
      <w:r>
        <w:rPr>
          <w:i/>
          <w:iCs/>
          <w:kern w:val="0"/>
        </w:rPr>
        <w:t>Annals</w:t>
      </w:r>
      <w:r w:rsidR="00427468">
        <w:rPr>
          <w:i/>
          <w:iCs/>
          <w:kern w:val="0"/>
        </w:rPr>
        <w:t xml:space="preserve"> of </w:t>
      </w:r>
      <w:r w:rsidR="003A1917">
        <w:rPr>
          <w:i/>
          <w:iCs/>
          <w:kern w:val="0"/>
        </w:rPr>
        <w:t xml:space="preserve">the </w:t>
      </w:r>
      <w:r>
        <w:rPr>
          <w:i/>
          <w:iCs/>
          <w:kern w:val="0"/>
        </w:rPr>
        <w:t>Royal College</w:t>
      </w:r>
      <w:r w:rsidR="00427468">
        <w:rPr>
          <w:i/>
          <w:iCs/>
          <w:kern w:val="0"/>
        </w:rPr>
        <w:t xml:space="preserve"> of </w:t>
      </w:r>
      <w:r>
        <w:rPr>
          <w:i/>
          <w:iCs/>
          <w:kern w:val="0"/>
        </w:rPr>
        <w:t>Surgeons</w:t>
      </w:r>
      <w:r w:rsidR="00427468">
        <w:rPr>
          <w:i/>
          <w:iCs/>
          <w:kern w:val="0"/>
        </w:rPr>
        <w:t xml:space="preserve"> of </w:t>
      </w:r>
      <w:r>
        <w:rPr>
          <w:i/>
          <w:iCs/>
          <w:kern w:val="0"/>
        </w:rPr>
        <w:t>England</w:t>
      </w:r>
      <w:r>
        <w:rPr>
          <w:kern w:val="0"/>
        </w:rPr>
        <w:t xml:space="preserve">, </w:t>
      </w:r>
      <w:r>
        <w:rPr>
          <w:b/>
          <w:bCs/>
          <w:kern w:val="0"/>
        </w:rPr>
        <w:t>94</w:t>
      </w:r>
      <w:r>
        <w:rPr>
          <w:kern w:val="0"/>
        </w:rPr>
        <w:t xml:space="preserve"> (4), 219-220.</w:t>
      </w:r>
    </w:p>
    <w:p w:rsidR="00073F17" w:rsidRDefault="00073F17" w:rsidP="00073F17">
      <w:pPr>
        <w:pStyle w:val="a3"/>
        <w:rPr>
          <w:kern w:val="0"/>
        </w:rPr>
      </w:pPr>
      <w:r>
        <w:rPr>
          <w:kern w:val="0"/>
        </w:rPr>
        <w:t xml:space="preserve">Full Text: </w:t>
      </w:r>
      <w:hyperlink r:id="rId954" w:history="1">
        <w:r>
          <w:rPr>
            <w:rStyle w:val="a5"/>
          </w:rPr>
          <w:t>2012\Ann Roy Col Sur Eng94, 219.pdf</w:t>
        </w:r>
      </w:hyperlink>
    </w:p>
    <w:p w:rsidR="006671DB" w:rsidRDefault="001E1D98" w:rsidP="00073F17">
      <w:pPr>
        <w:pStyle w:val="a3"/>
        <w:rPr>
          <w:kern w:val="0"/>
        </w:rPr>
      </w:pPr>
      <w:r>
        <w:rPr>
          <w:kern w:val="0"/>
        </w:rPr>
        <w:t>Abstract:</w:t>
      </w:r>
      <w:r w:rsidR="006671DB">
        <w:rPr>
          <w:kern w:val="0"/>
        </w:rPr>
        <w:t xml:space="preserve"> New technologies are transforming academic publishing, including surgical research</w:t>
      </w:r>
      <w:r w:rsidR="00A37C1D">
        <w:rPr>
          <w:kern w:val="0"/>
        </w:rPr>
        <w:t>. The</w:t>
      </w:r>
      <w:r w:rsidR="003A1917">
        <w:rPr>
          <w:kern w:val="0"/>
        </w:rPr>
        <w:t xml:space="preserve"> </w:t>
      </w:r>
      <w:r w:rsidR="006671DB">
        <w:rPr>
          <w:kern w:val="0"/>
        </w:rPr>
        <w:t>author considers a variety</w:t>
      </w:r>
      <w:r w:rsidR="00427468">
        <w:rPr>
          <w:kern w:val="0"/>
        </w:rPr>
        <w:t xml:space="preserve"> of </w:t>
      </w:r>
      <w:r w:rsidR="003A1917">
        <w:rPr>
          <w:kern w:val="0"/>
        </w:rPr>
        <w:t xml:space="preserve">the </w:t>
      </w:r>
      <w:r w:rsidR="006671DB">
        <w:rPr>
          <w:kern w:val="0"/>
        </w:rPr>
        <w:t>new systems, platforms</w:t>
      </w:r>
      <w:r w:rsidR="005853A9">
        <w:rPr>
          <w:kern w:val="0"/>
        </w:rPr>
        <w:t xml:space="preserve"> and </w:t>
      </w:r>
      <w:r w:rsidR="006671DB">
        <w:rPr>
          <w:kern w:val="0"/>
        </w:rPr>
        <w:t>search engines that are fuelling this information revolution, as well as</w:t>
      </w:r>
      <w:r w:rsidR="003A1917">
        <w:rPr>
          <w:kern w:val="0"/>
        </w:rPr>
        <w:t xml:space="preserve"> the </w:t>
      </w:r>
      <w:r w:rsidR="006671DB">
        <w:rPr>
          <w:kern w:val="0"/>
        </w:rPr>
        <w:t>bibliometrics</w:t>
      </w:r>
      <w:r w:rsidR="005853A9">
        <w:rPr>
          <w:kern w:val="0"/>
        </w:rPr>
        <w:t xml:space="preserve"> and </w:t>
      </w:r>
      <w:r w:rsidR="006671DB">
        <w:rPr>
          <w:kern w:val="0"/>
        </w:rPr>
        <w:t>citation analysis necessary for filtering quality material for</w:t>
      </w:r>
      <w:r w:rsidR="003A1917">
        <w:rPr>
          <w:kern w:val="0"/>
        </w:rPr>
        <w:t xml:space="preserve"> the </w:t>
      </w:r>
      <w:r w:rsidR="006671DB">
        <w:rPr>
          <w:kern w:val="0"/>
        </w:rPr>
        <w:t xml:space="preserve">increasingly </w:t>
      </w:r>
      <w:r w:rsidR="006671DB">
        <w:rPr>
          <w:kern w:val="0"/>
        </w:rPr>
        <w:lastRenderedPageBreak/>
        <w:t>inundated researcher.</w:t>
      </w:r>
    </w:p>
    <w:p w:rsidR="006671DB" w:rsidRDefault="006671DB" w:rsidP="006671DB">
      <w:pPr>
        <w:pStyle w:val="a3"/>
        <w:rPr>
          <w:kern w:val="0"/>
        </w:rPr>
      </w:pPr>
      <w:r>
        <w:rPr>
          <w:kern w:val="0"/>
        </w:rPr>
        <w:t>Keywords: Analysis, Bibliometrics, Citation, Citation Analysis, Information, Literature, Peer Review, Peer-Reviewed, Publishing, Quality, Research, Search Engine, Systems, Technologies</w:t>
      </w:r>
    </w:p>
    <w:p w:rsidR="000025C5" w:rsidRDefault="000025C5" w:rsidP="000025C5">
      <w:pPr>
        <w:pStyle w:val="a3"/>
        <w:rPr>
          <w:kern w:val="0"/>
          <w:szCs w:val="24"/>
        </w:rPr>
      </w:pPr>
      <w:r>
        <w:rPr>
          <w:kern w:val="0"/>
          <w:szCs w:val="24"/>
        </w:rPr>
        <w:t>? Hariharan, D.</w:t>
      </w:r>
      <w:r w:rsidR="005853A9">
        <w:rPr>
          <w:kern w:val="0"/>
          <w:szCs w:val="24"/>
        </w:rPr>
        <w:t xml:space="preserve"> and </w:t>
      </w:r>
      <w:r>
        <w:rPr>
          <w:kern w:val="0"/>
          <w:szCs w:val="24"/>
        </w:rPr>
        <w:t>Lobo, D.N. (2013), Retained surgical sponges, needles</w:t>
      </w:r>
      <w:r w:rsidR="005853A9">
        <w:rPr>
          <w:kern w:val="0"/>
          <w:szCs w:val="24"/>
        </w:rPr>
        <w:t xml:space="preserve"> and </w:t>
      </w:r>
      <w:r>
        <w:rPr>
          <w:kern w:val="0"/>
          <w:szCs w:val="24"/>
        </w:rPr>
        <w:t xml:space="preserve">instruments. </w:t>
      </w:r>
      <w:r>
        <w:rPr>
          <w:i/>
          <w:iCs/>
          <w:kern w:val="0"/>
          <w:szCs w:val="24"/>
        </w:rPr>
        <w:t>Annals</w:t>
      </w:r>
      <w:r w:rsidR="00427468">
        <w:rPr>
          <w:i/>
          <w:iCs/>
          <w:kern w:val="0"/>
          <w:szCs w:val="24"/>
        </w:rPr>
        <w:t xml:space="preserve"> of </w:t>
      </w:r>
      <w:r>
        <w:rPr>
          <w:i/>
          <w:iCs/>
          <w:kern w:val="0"/>
          <w:szCs w:val="24"/>
        </w:rPr>
        <w:t>the Royal College</w:t>
      </w:r>
      <w:r w:rsidR="00427468">
        <w:rPr>
          <w:i/>
          <w:iCs/>
          <w:kern w:val="0"/>
          <w:szCs w:val="24"/>
        </w:rPr>
        <w:t xml:space="preserve"> of </w:t>
      </w:r>
      <w:r>
        <w:rPr>
          <w:i/>
          <w:iCs/>
          <w:kern w:val="0"/>
          <w:szCs w:val="24"/>
        </w:rPr>
        <w:t>Surgeons</w:t>
      </w:r>
      <w:r w:rsidR="00427468">
        <w:rPr>
          <w:i/>
          <w:iCs/>
          <w:kern w:val="0"/>
          <w:szCs w:val="24"/>
        </w:rPr>
        <w:t xml:space="preserve"> of </w:t>
      </w:r>
      <w:r>
        <w:rPr>
          <w:i/>
          <w:iCs/>
          <w:kern w:val="0"/>
          <w:szCs w:val="24"/>
        </w:rPr>
        <w:t>England</w:t>
      </w:r>
      <w:r>
        <w:rPr>
          <w:kern w:val="0"/>
          <w:szCs w:val="24"/>
        </w:rPr>
        <w:t xml:space="preserve">, </w:t>
      </w:r>
      <w:r>
        <w:rPr>
          <w:b/>
          <w:bCs/>
          <w:kern w:val="0"/>
          <w:szCs w:val="24"/>
        </w:rPr>
        <w:t>95</w:t>
      </w:r>
      <w:r>
        <w:rPr>
          <w:kern w:val="0"/>
          <w:szCs w:val="24"/>
        </w:rPr>
        <w:t xml:space="preserve"> (2), 87-92.</w:t>
      </w:r>
    </w:p>
    <w:p w:rsidR="000025C5" w:rsidRDefault="000025C5" w:rsidP="000025C5">
      <w:pPr>
        <w:pStyle w:val="a3"/>
        <w:rPr>
          <w:kern w:val="0"/>
        </w:rPr>
      </w:pPr>
      <w:r>
        <w:rPr>
          <w:kern w:val="0"/>
        </w:rPr>
        <w:t xml:space="preserve">Full Text: </w:t>
      </w:r>
      <w:hyperlink r:id="rId955" w:history="1">
        <w:r w:rsidR="00073F17" w:rsidRPr="00073F17">
          <w:rPr>
            <w:rStyle w:val="a5"/>
            <w:kern w:val="0"/>
          </w:rPr>
          <w:t>2013\Ann Roy Col Sur Eng95, 87.pdf</w:t>
        </w:r>
      </w:hyperlink>
    </w:p>
    <w:p w:rsidR="000025C5" w:rsidRDefault="000025C5" w:rsidP="000025C5">
      <w:pPr>
        <w:pStyle w:val="a3"/>
        <w:rPr>
          <w:kern w:val="0"/>
          <w:szCs w:val="24"/>
        </w:rPr>
      </w:pPr>
      <w:r>
        <w:rPr>
          <w:kern w:val="0"/>
          <w:szCs w:val="24"/>
        </w:rPr>
        <w:t>Abstract: INTRODUCTION Retained sponges</w:t>
      </w:r>
      <w:r w:rsidR="005853A9">
        <w:rPr>
          <w:kern w:val="0"/>
          <w:szCs w:val="24"/>
        </w:rPr>
        <w:t xml:space="preserve"> and </w:t>
      </w:r>
      <w:r>
        <w:rPr>
          <w:kern w:val="0"/>
          <w:szCs w:val="24"/>
        </w:rPr>
        <w:t xml:space="preserve">instruments (RSI) due to surgery are a recognised medical </w:t>
      </w:r>
      <w:r w:rsidR="00700038">
        <w:rPr>
          <w:kern w:val="0"/>
          <w:szCs w:val="24"/>
        </w:rPr>
        <w:t>‘</w:t>
      </w:r>
      <w:r>
        <w:rPr>
          <w:kern w:val="0"/>
          <w:szCs w:val="24"/>
        </w:rPr>
        <w:t>never event</w:t>
      </w:r>
      <w:r w:rsidR="00700038">
        <w:rPr>
          <w:kern w:val="0"/>
          <w:szCs w:val="24"/>
        </w:rPr>
        <w:t>’</w:t>
      </w:r>
      <w:r w:rsidR="005853A9">
        <w:rPr>
          <w:kern w:val="0"/>
          <w:szCs w:val="24"/>
        </w:rPr>
        <w:t xml:space="preserve"> and </w:t>
      </w:r>
      <w:r>
        <w:rPr>
          <w:kern w:val="0"/>
          <w:szCs w:val="24"/>
        </w:rPr>
        <w:t>have catastrophic implications for patients, healthcare professionals</w:t>
      </w:r>
      <w:r w:rsidR="005853A9">
        <w:rPr>
          <w:kern w:val="0"/>
          <w:szCs w:val="24"/>
        </w:rPr>
        <w:t xml:space="preserve"> and </w:t>
      </w:r>
      <w:r>
        <w:rPr>
          <w:kern w:val="0"/>
          <w:szCs w:val="24"/>
        </w:rPr>
        <w:t>medical care providers</w:t>
      </w:r>
      <w:r w:rsidR="00A37C1D">
        <w:rPr>
          <w:kern w:val="0"/>
          <w:szCs w:val="24"/>
        </w:rPr>
        <w:t>. The</w:t>
      </w:r>
      <w:r>
        <w:rPr>
          <w:kern w:val="0"/>
          <w:szCs w:val="24"/>
        </w:rPr>
        <w:t xml:space="preserve"> aim</w:t>
      </w:r>
      <w:r w:rsidR="00427468">
        <w:rPr>
          <w:kern w:val="0"/>
          <w:szCs w:val="24"/>
        </w:rPr>
        <w:t xml:space="preserve"> of </w:t>
      </w:r>
      <w:r>
        <w:rPr>
          <w:kern w:val="0"/>
          <w:szCs w:val="24"/>
        </w:rPr>
        <w:t>this review was to elucidate the extent</w:t>
      </w:r>
      <w:r w:rsidR="00427468">
        <w:rPr>
          <w:kern w:val="0"/>
          <w:szCs w:val="24"/>
        </w:rPr>
        <w:t xml:space="preserve"> of </w:t>
      </w:r>
      <w:r>
        <w:rPr>
          <w:kern w:val="0"/>
          <w:szCs w:val="24"/>
        </w:rPr>
        <w:t>the problem</w:t>
      </w:r>
      <w:r w:rsidR="00427468">
        <w:rPr>
          <w:kern w:val="0"/>
          <w:szCs w:val="24"/>
        </w:rPr>
        <w:t xml:space="preserve"> of </w:t>
      </w:r>
      <w:r>
        <w:rPr>
          <w:kern w:val="0"/>
          <w:szCs w:val="24"/>
        </w:rPr>
        <w:t>RSI</w:t>
      </w:r>
      <w:r w:rsidR="005853A9">
        <w:rPr>
          <w:kern w:val="0"/>
          <w:szCs w:val="24"/>
        </w:rPr>
        <w:t xml:space="preserve"> and </w:t>
      </w:r>
      <w:r>
        <w:rPr>
          <w:kern w:val="0"/>
          <w:szCs w:val="24"/>
        </w:rPr>
        <w:t xml:space="preserve">to identify preventative strategies. METHODS A comprehensive literature search was performed on </w:t>
      </w:r>
      <w:r w:rsidR="00D5664A">
        <w:rPr>
          <w:kern w:val="0"/>
          <w:szCs w:val="24"/>
        </w:rPr>
        <w:t>MEDLINE</w:t>
      </w:r>
      <w:r>
        <w:rPr>
          <w:kern w:val="0"/>
          <w:szCs w:val="24"/>
        </w:rPr>
        <w:t xml:space="preserve"> (R), Embase (TM), the Science Citation Index</w:t>
      </w:r>
      <w:r w:rsidR="005853A9">
        <w:rPr>
          <w:kern w:val="0"/>
          <w:szCs w:val="24"/>
        </w:rPr>
        <w:t xml:space="preserve"> and </w:t>
      </w:r>
      <w:r>
        <w:rPr>
          <w:kern w:val="0"/>
          <w:szCs w:val="24"/>
        </w:rPr>
        <w:t>Google (TM) Scholar for articles published in English between January 2000</w:t>
      </w:r>
      <w:r w:rsidR="005853A9">
        <w:rPr>
          <w:kern w:val="0"/>
          <w:szCs w:val="24"/>
        </w:rPr>
        <w:t xml:space="preserve"> and </w:t>
      </w:r>
      <w:r>
        <w:rPr>
          <w:kern w:val="0"/>
          <w:szCs w:val="24"/>
        </w:rPr>
        <w:t>June 2012. Studies outlining the incidence, risk, management</w:t>
      </w:r>
      <w:r w:rsidR="005853A9">
        <w:rPr>
          <w:kern w:val="0"/>
          <w:szCs w:val="24"/>
        </w:rPr>
        <w:t xml:space="preserve"> and </w:t>
      </w:r>
      <w:r>
        <w:rPr>
          <w:kern w:val="0"/>
          <w:szCs w:val="24"/>
        </w:rPr>
        <w:t>attempts to prevent RSI following surgical intervention were retrieved. RESULTS The overall incidence</w:t>
      </w:r>
      <w:r w:rsidR="00427468">
        <w:rPr>
          <w:kern w:val="0"/>
          <w:szCs w:val="24"/>
        </w:rPr>
        <w:t xml:space="preserve"> of </w:t>
      </w:r>
      <w:r>
        <w:rPr>
          <w:kern w:val="0"/>
          <w:szCs w:val="24"/>
        </w:rPr>
        <w:t>RSI is low although its incidence is substantially higher in operations performed on open cavities. Sponges are the most commonly retained item when compared with needles</w:t>
      </w:r>
      <w:r w:rsidR="005853A9">
        <w:rPr>
          <w:kern w:val="0"/>
          <w:szCs w:val="24"/>
        </w:rPr>
        <w:t xml:space="preserve"> and </w:t>
      </w:r>
      <w:r>
        <w:rPr>
          <w:kern w:val="0"/>
          <w:szCs w:val="24"/>
        </w:rPr>
        <w:t>instruments. Clinical presentation is varied, leading to avoidable morbidity,</w:t>
      </w:r>
      <w:r w:rsidR="005853A9">
        <w:rPr>
          <w:kern w:val="0"/>
          <w:szCs w:val="24"/>
        </w:rPr>
        <w:t xml:space="preserve"> and </w:t>
      </w:r>
      <w:r>
        <w:rPr>
          <w:kern w:val="0"/>
          <w:szCs w:val="24"/>
        </w:rPr>
        <w:t>the error is indefensible medicolegally. Risk factors include emergency operations, operations involving unexpected change in procedure, raised body mass index,</w:t>
      </w:r>
      <w:r w:rsidR="005853A9">
        <w:rPr>
          <w:kern w:val="0"/>
          <w:szCs w:val="24"/>
        </w:rPr>
        <w:t xml:space="preserve"> and </w:t>
      </w:r>
      <w:r>
        <w:rPr>
          <w:kern w:val="0"/>
          <w:szCs w:val="24"/>
        </w:rPr>
        <w:t>a failure to perform accurate sponge</w:t>
      </w:r>
      <w:r w:rsidR="005853A9">
        <w:rPr>
          <w:kern w:val="0"/>
          <w:szCs w:val="24"/>
        </w:rPr>
        <w:t xml:space="preserve"> and </w:t>
      </w:r>
      <w:r>
        <w:rPr>
          <w:kern w:val="0"/>
          <w:szCs w:val="24"/>
        </w:rPr>
        <w:t>instrument counts</w:t>
      </w:r>
      <w:r w:rsidR="00A37C1D">
        <w:rPr>
          <w:kern w:val="0"/>
          <w:szCs w:val="24"/>
        </w:rPr>
        <w:t>. The</w:t>
      </w:r>
      <w:r>
        <w:rPr>
          <w:kern w:val="0"/>
          <w:szCs w:val="24"/>
        </w:rPr>
        <w:t xml:space="preserve"> existing strategy for prevention is manual counting</w:t>
      </w:r>
      <w:r w:rsidR="00427468">
        <w:rPr>
          <w:kern w:val="0"/>
          <w:szCs w:val="24"/>
        </w:rPr>
        <w:t xml:space="preserve"> of </w:t>
      </w:r>
      <w:r>
        <w:rPr>
          <w:kern w:val="0"/>
          <w:szCs w:val="24"/>
        </w:rPr>
        <w:t>sponges</w:t>
      </w:r>
      <w:r w:rsidR="005853A9">
        <w:rPr>
          <w:kern w:val="0"/>
          <w:szCs w:val="24"/>
        </w:rPr>
        <w:t xml:space="preserve"> and </w:t>
      </w:r>
      <w:r>
        <w:rPr>
          <w:kern w:val="0"/>
          <w:szCs w:val="24"/>
        </w:rPr>
        <w:t>instruments undertaken by surgical personnel. This, however, is fallible. Computer assisted counting</w:t>
      </w:r>
      <w:r w:rsidR="00427468">
        <w:rPr>
          <w:kern w:val="0"/>
          <w:szCs w:val="24"/>
        </w:rPr>
        <w:t xml:space="preserve"> of </w:t>
      </w:r>
      <w:r>
        <w:rPr>
          <w:kern w:val="0"/>
          <w:szCs w:val="24"/>
        </w:rPr>
        <w:t>sponges using barcodes</w:t>
      </w:r>
      <w:r w:rsidR="005853A9">
        <w:rPr>
          <w:kern w:val="0"/>
          <w:szCs w:val="24"/>
        </w:rPr>
        <w:t xml:space="preserve"> and </w:t>
      </w:r>
      <w:r>
        <w:rPr>
          <w:kern w:val="0"/>
          <w:szCs w:val="24"/>
        </w:rPr>
        <w:t>gauze sponges tagged with a radiofrequency identification device aiding manual counting have been trialled recently, with success. CONCLUSIONS Vigilance among operating theatre personnel is paramount if RSI is to be prevented. Prospective multicentre trials to assess efficacy</w:t>
      </w:r>
      <w:r w:rsidR="00427468">
        <w:rPr>
          <w:kern w:val="0"/>
          <w:szCs w:val="24"/>
        </w:rPr>
        <w:t xml:space="preserve"> of </w:t>
      </w:r>
      <w:r>
        <w:rPr>
          <w:kern w:val="0"/>
          <w:szCs w:val="24"/>
        </w:rPr>
        <w:t>new technologies aiding manual counting should be undertaken if this medical error is to be eliminated completely.</w:t>
      </w:r>
    </w:p>
    <w:p w:rsidR="000025C5" w:rsidRDefault="000025C5" w:rsidP="000025C5">
      <w:pPr>
        <w:pStyle w:val="a3"/>
        <w:rPr>
          <w:kern w:val="0"/>
          <w:szCs w:val="24"/>
        </w:rPr>
      </w:pPr>
      <w:r>
        <w:rPr>
          <w:kern w:val="0"/>
          <w:szCs w:val="24"/>
        </w:rPr>
        <w:t xml:space="preserve">Keywords: Body Mass Index, Care, Citation, Count, Counts, Efficacy, Emergency, Error, Failure, Foreign Bodies, Foreign-Bodies, Google, Identification, Incidence, Index, Instruments, Intervention, Literature, Management, Mar, Medical, Medical Care, </w:t>
      </w:r>
      <w:r w:rsidR="00D5664A">
        <w:rPr>
          <w:kern w:val="0"/>
          <w:szCs w:val="24"/>
        </w:rPr>
        <w:t>MEDLINE</w:t>
      </w:r>
      <w:r>
        <w:rPr>
          <w:kern w:val="0"/>
          <w:szCs w:val="24"/>
        </w:rPr>
        <w:t>, Methods, Morbidity, Needles, Open, Operating-Room, Patients, Personnel, Presentation, Prevent, Prevention, Procedure, Providers, R, Retained, Review, Risk, Safety, Science, Science Citation Index, Sponges, Strategy, Surgery, Surgery, Technologies, Technology</w:t>
      </w:r>
    </w:p>
    <w:p w:rsidR="003F5083" w:rsidRPr="001A3D2B" w:rsidRDefault="003F5083" w:rsidP="003F5083">
      <w:pPr>
        <w:pStyle w:val="1"/>
      </w:pPr>
      <w:r w:rsidRPr="001A3D2B">
        <w:br w:type="page"/>
      </w:r>
      <w:bookmarkStart w:id="499" w:name="_Toc420814523"/>
      <w:r w:rsidRPr="001A3D2B">
        <w:lastRenderedPageBreak/>
        <w:t xml:space="preserve">Title: </w:t>
      </w:r>
      <w:r w:rsidR="006727AA" w:rsidRPr="006727AA">
        <w:t>Annals</w:t>
      </w:r>
      <w:r w:rsidR="00427468">
        <w:t xml:space="preserve"> of </w:t>
      </w:r>
      <w:r w:rsidR="006727AA" w:rsidRPr="006727AA">
        <w:t>Saudi Medicine</w:t>
      </w:r>
      <w:bookmarkEnd w:id="499"/>
    </w:p>
    <w:p w:rsidR="00F07F84" w:rsidRPr="001A3D2B" w:rsidRDefault="00F07F84" w:rsidP="00F07F84">
      <w:pPr>
        <w:pStyle w:val="12"/>
      </w:pPr>
      <w:r w:rsidRPr="001A3D2B">
        <w:t xml:space="preserve">Full Journal Title: </w:t>
      </w:r>
      <w:hyperlink r:id="rId956" w:history="1">
        <w:r w:rsidRPr="00660CA6">
          <w:rPr>
            <w:rStyle w:val="a5"/>
            <w:iCs/>
            <w:kern w:val="0"/>
          </w:rPr>
          <w:t>Annals</w:t>
        </w:r>
        <w:r w:rsidR="00427468">
          <w:rPr>
            <w:rStyle w:val="a5"/>
            <w:iCs/>
            <w:kern w:val="0"/>
          </w:rPr>
          <w:t xml:space="preserve"> of </w:t>
        </w:r>
        <w:r w:rsidRPr="00660CA6">
          <w:rPr>
            <w:rStyle w:val="a5"/>
            <w:iCs/>
            <w:kern w:val="0"/>
          </w:rPr>
          <w:t>Saudi Medicine</w:t>
        </w:r>
      </w:hyperlink>
    </w:p>
    <w:p w:rsidR="003F5083" w:rsidRPr="001A3D2B" w:rsidRDefault="003F5083" w:rsidP="003F5083">
      <w:pPr>
        <w:pStyle w:val="12"/>
      </w:pPr>
      <w:r w:rsidRPr="001A3D2B">
        <w:t xml:space="preserve">ISO Abbreviated Title: </w:t>
      </w:r>
    </w:p>
    <w:p w:rsidR="003F5083" w:rsidRPr="001A3D2B" w:rsidRDefault="003F5083" w:rsidP="003F5083">
      <w:pPr>
        <w:pStyle w:val="12"/>
      </w:pPr>
      <w:r w:rsidRPr="001A3D2B">
        <w:t xml:space="preserve">JCR Abbreviated Title: </w:t>
      </w:r>
    </w:p>
    <w:p w:rsidR="003F5083" w:rsidRPr="001A3D2B" w:rsidRDefault="003F5083" w:rsidP="003F5083">
      <w:pPr>
        <w:pStyle w:val="12"/>
      </w:pPr>
      <w:r w:rsidRPr="001A3D2B">
        <w:t xml:space="preserve">ISSN: </w:t>
      </w:r>
    </w:p>
    <w:p w:rsidR="003F5083" w:rsidRPr="001A3D2B" w:rsidRDefault="003F5083" w:rsidP="003F5083">
      <w:pPr>
        <w:pStyle w:val="12"/>
      </w:pPr>
      <w:r w:rsidRPr="001A3D2B">
        <w:t xml:space="preserve">Issues/Year: </w:t>
      </w:r>
    </w:p>
    <w:p w:rsidR="003F5083" w:rsidRPr="001A3D2B" w:rsidRDefault="003F5083" w:rsidP="003F5083">
      <w:pPr>
        <w:pStyle w:val="12"/>
      </w:pPr>
      <w:r w:rsidRPr="001A3D2B">
        <w:t xml:space="preserve">Journal Country/Territory: </w:t>
      </w:r>
    </w:p>
    <w:p w:rsidR="003F5083" w:rsidRPr="001A3D2B" w:rsidRDefault="003F5083" w:rsidP="003F5083">
      <w:pPr>
        <w:pStyle w:val="12"/>
      </w:pPr>
      <w:r w:rsidRPr="001A3D2B">
        <w:t xml:space="preserve">Language: </w:t>
      </w:r>
    </w:p>
    <w:p w:rsidR="003F5083" w:rsidRPr="001A3D2B" w:rsidRDefault="003F5083" w:rsidP="003F5083">
      <w:pPr>
        <w:pStyle w:val="12"/>
      </w:pPr>
      <w:r w:rsidRPr="001A3D2B">
        <w:t xml:space="preserve">Publisher: </w:t>
      </w:r>
    </w:p>
    <w:p w:rsidR="003F5083" w:rsidRPr="001A3D2B" w:rsidRDefault="003F5083" w:rsidP="003F5083">
      <w:pPr>
        <w:pStyle w:val="12"/>
      </w:pPr>
      <w:r w:rsidRPr="001A3D2B">
        <w:t xml:space="preserve">Publisher Address: </w:t>
      </w:r>
    </w:p>
    <w:p w:rsidR="003F5083" w:rsidRPr="001A3D2B" w:rsidRDefault="003F5083" w:rsidP="003F5083">
      <w:pPr>
        <w:pStyle w:val="12"/>
      </w:pPr>
      <w:r w:rsidRPr="001A3D2B">
        <w:t>Subject Categories:</w:t>
      </w:r>
    </w:p>
    <w:p w:rsidR="003F5083" w:rsidRPr="001A3D2B" w:rsidRDefault="003F5083" w:rsidP="003F5083">
      <w:pPr>
        <w:pStyle w:val="12"/>
      </w:pPr>
      <w:r w:rsidRPr="001A3D2B">
        <w:t>: Impact Factor</w:t>
      </w:r>
    </w:p>
    <w:p w:rsidR="006727AA" w:rsidRDefault="006727AA" w:rsidP="006727AA">
      <w:pPr>
        <w:pStyle w:val="a3"/>
        <w:rPr>
          <w:kern w:val="0"/>
        </w:rPr>
      </w:pPr>
      <w:r>
        <w:rPr>
          <w:rFonts w:hint="eastAsia"/>
          <w:kern w:val="0"/>
        </w:rPr>
        <w:t xml:space="preserve">? </w:t>
      </w:r>
      <w:r>
        <w:rPr>
          <w:kern w:val="0"/>
        </w:rPr>
        <w:t>Guan, B., Zhang, X.H., Ma, H.H., Zhou, H.B.</w:t>
      </w:r>
      <w:r w:rsidR="005853A9">
        <w:rPr>
          <w:kern w:val="0"/>
        </w:rPr>
        <w:t xml:space="preserve"> and </w:t>
      </w:r>
      <w:r>
        <w:rPr>
          <w:kern w:val="0"/>
        </w:rPr>
        <w:t>Zhou, X.J. (2010), A meta-analysis</w:t>
      </w:r>
      <w:r w:rsidR="00427468">
        <w:rPr>
          <w:kern w:val="0"/>
        </w:rPr>
        <w:t xml:space="preserve"> of </w:t>
      </w:r>
      <w:r>
        <w:rPr>
          <w:kern w:val="0"/>
        </w:rPr>
        <w:t>highly active anti-retroviral therapy for treatment</w:t>
      </w:r>
      <w:r w:rsidR="00427468">
        <w:rPr>
          <w:kern w:val="0"/>
        </w:rPr>
        <w:t xml:space="preserve"> of </w:t>
      </w:r>
      <w:r>
        <w:rPr>
          <w:kern w:val="0"/>
        </w:rPr>
        <w:t>plasmablastic lymphoma (Reprinted from Hematology/Oncology</w:t>
      </w:r>
      <w:r w:rsidR="005853A9">
        <w:rPr>
          <w:kern w:val="0"/>
        </w:rPr>
        <w:t xml:space="preserve"> and </w:t>
      </w:r>
      <w:r>
        <w:rPr>
          <w:kern w:val="0"/>
        </w:rPr>
        <w:t xml:space="preserve">Stem Cell Therapy, vol 3, pg 7-12). </w:t>
      </w:r>
      <w:r w:rsidRPr="006727AA">
        <w:rPr>
          <w:i/>
          <w:iCs/>
          <w:kern w:val="0"/>
        </w:rPr>
        <w:t>Annals</w:t>
      </w:r>
      <w:r w:rsidR="00427468">
        <w:rPr>
          <w:i/>
          <w:iCs/>
          <w:kern w:val="0"/>
        </w:rPr>
        <w:t xml:space="preserve"> of </w:t>
      </w:r>
      <w:r w:rsidRPr="006727AA">
        <w:rPr>
          <w:i/>
          <w:iCs/>
          <w:kern w:val="0"/>
        </w:rPr>
        <w:t>Saudi Medicine</w:t>
      </w:r>
      <w:r>
        <w:rPr>
          <w:kern w:val="0"/>
        </w:rPr>
        <w:t xml:space="preserve">, </w:t>
      </w:r>
      <w:r>
        <w:rPr>
          <w:b/>
          <w:bCs/>
          <w:kern w:val="0"/>
        </w:rPr>
        <w:t>30</w:t>
      </w:r>
      <w:r>
        <w:rPr>
          <w:kern w:val="0"/>
        </w:rPr>
        <w:t xml:space="preserve"> (2), 123-128.</w:t>
      </w:r>
    </w:p>
    <w:p w:rsidR="00F07F84" w:rsidRDefault="00F07F84" w:rsidP="00F07F84">
      <w:pPr>
        <w:pStyle w:val="a3"/>
        <w:rPr>
          <w:kern w:val="0"/>
        </w:rPr>
      </w:pPr>
      <w:r>
        <w:rPr>
          <w:rFonts w:hint="eastAsia"/>
          <w:kern w:val="0"/>
        </w:rPr>
        <w:t xml:space="preserve">Full Text: </w:t>
      </w:r>
      <w:hyperlink r:id="rId957" w:history="1">
        <w:r w:rsidRPr="009B64BB">
          <w:rPr>
            <w:rStyle w:val="a5"/>
            <w:kern w:val="0"/>
          </w:rPr>
          <w:t>2010\Ann Sau Med30, 123.pdf</w:t>
        </w:r>
      </w:hyperlink>
    </w:p>
    <w:p w:rsidR="006727AA" w:rsidRDefault="006727AA" w:rsidP="006727AA">
      <w:pPr>
        <w:pStyle w:val="a3"/>
        <w:rPr>
          <w:kern w:val="0"/>
        </w:rPr>
      </w:pPr>
      <w:r>
        <w:rPr>
          <w:kern w:val="0"/>
        </w:rPr>
        <w:t>Abstract: Background</w:t>
      </w:r>
      <w:r w:rsidR="005853A9">
        <w:rPr>
          <w:kern w:val="0"/>
        </w:rPr>
        <w:t xml:space="preserve"> and </w:t>
      </w:r>
      <w:r>
        <w:rPr>
          <w:kern w:val="0"/>
        </w:rPr>
        <w:t>Objectives: Plasmablastic lymphoma is a recently described B-cell derived lymphoma</w:t>
      </w:r>
      <w:r w:rsidR="00A37C1D">
        <w:rPr>
          <w:kern w:val="0"/>
        </w:rPr>
        <w:t>. The</w:t>
      </w:r>
      <w:r w:rsidR="003A1917">
        <w:rPr>
          <w:kern w:val="0"/>
        </w:rPr>
        <w:t xml:space="preserve"> </w:t>
      </w:r>
      <w:r>
        <w:rPr>
          <w:kern w:val="0"/>
        </w:rPr>
        <w:t>prognosis</w:t>
      </w:r>
      <w:r w:rsidR="00427468">
        <w:rPr>
          <w:kern w:val="0"/>
        </w:rPr>
        <w:t xml:space="preserve"> of </w:t>
      </w:r>
      <w:r>
        <w:rPr>
          <w:kern w:val="0"/>
        </w:rPr>
        <w:t>plasmablastic lymphoma patients is usually poor. We performed a systematic review</w:t>
      </w:r>
      <w:r w:rsidR="00427468">
        <w:rPr>
          <w:kern w:val="0"/>
        </w:rPr>
        <w:t xml:space="preserve"> of </w:t>
      </w:r>
      <w:r w:rsidR="003A1917">
        <w:rPr>
          <w:kern w:val="0"/>
        </w:rPr>
        <w:t xml:space="preserve">the </w:t>
      </w:r>
      <w:r>
        <w:rPr>
          <w:kern w:val="0"/>
        </w:rPr>
        <w:t>literature on</w:t>
      </w:r>
      <w:r w:rsidR="003A1917">
        <w:rPr>
          <w:kern w:val="0"/>
        </w:rPr>
        <w:t xml:space="preserve"> the </w:t>
      </w:r>
      <w:r>
        <w:rPr>
          <w:kern w:val="0"/>
        </w:rPr>
        <w:t>use</w:t>
      </w:r>
      <w:r w:rsidR="00427468">
        <w:rPr>
          <w:kern w:val="0"/>
        </w:rPr>
        <w:t xml:space="preserve"> of </w:t>
      </w:r>
      <w:r>
        <w:rPr>
          <w:kern w:val="0"/>
        </w:rPr>
        <w:t>highly active anti-retroviral therapy (HAART)</w:t>
      </w:r>
      <w:r w:rsidR="005853A9">
        <w:rPr>
          <w:kern w:val="0"/>
        </w:rPr>
        <w:t xml:space="preserve"> and </w:t>
      </w:r>
      <w:r w:rsidR="003A1917">
        <w:rPr>
          <w:kern w:val="0"/>
        </w:rPr>
        <w:t xml:space="preserve">the </w:t>
      </w:r>
      <w:r>
        <w:rPr>
          <w:kern w:val="0"/>
        </w:rPr>
        <w:t>prognosis</w:t>
      </w:r>
      <w:r w:rsidR="00427468">
        <w:rPr>
          <w:kern w:val="0"/>
        </w:rPr>
        <w:t xml:space="preserve"> of </w:t>
      </w:r>
      <w:r>
        <w:rPr>
          <w:kern w:val="0"/>
        </w:rPr>
        <w:t>plasmablastic lymphoma. Methods : A comprehensive search</w:t>
      </w:r>
      <w:r w:rsidR="00427468">
        <w:rPr>
          <w:kern w:val="0"/>
        </w:rPr>
        <w:t xml:space="preserve"> of </w:t>
      </w:r>
      <w:r>
        <w:rPr>
          <w:kern w:val="0"/>
        </w:rPr>
        <w:t xml:space="preserve">relevant databases, including </w:t>
      </w:r>
      <w:r w:rsidR="00D5664A">
        <w:rPr>
          <w:kern w:val="0"/>
        </w:rPr>
        <w:t>MEDLINE</w:t>
      </w:r>
      <w:r>
        <w:rPr>
          <w:kern w:val="0"/>
        </w:rPr>
        <w:t>, Embase,</w:t>
      </w:r>
      <w:r w:rsidR="003A1917">
        <w:rPr>
          <w:kern w:val="0"/>
        </w:rPr>
        <w:t xml:space="preserve"> the </w:t>
      </w:r>
      <w:r>
        <w:rPr>
          <w:kern w:val="0"/>
        </w:rPr>
        <w:t>Cochrane Controlled Trials Register,</w:t>
      </w:r>
      <w:r w:rsidR="003A1917">
        <w:rPr>
          <w:kern w:val="0"/>
        </w:rPr>
        <w:t xml:space="preserve"> the </w:t>
      </w:r>
      <w:r>
        <w:rPr>
          <w:kern w:val="0"/>
        </w:rPr>
        <w:t>Cochrane Library,</w:t>
      </w:r>
      <w:r w:rsidR="005853A9">
        <w:rPr>
          <w:kern w:val="0"/>
        </w:rPr>
        <w:t xml:space="preserve"> and </w:t>
      </w:r>
      <w:r w:rsidR="003A1917">
        <w:rPr>
          <w:kern w:val="0"/>
        </w:rPr>
        <w:t xml:space="preserve">the </w:t>
      </w:r>
      <w:r>
        <w:rPr>
          <w:kern w:val="0"/>
        </w:rPr>
        <w:t>Science Citation Index yielded ten randomized controlled trials. Trials were divided into two groups according to therapy</w:t>
      </w:r>
      <w:r w:rsidR="00A37C1D">
        <w:rPr>
          <w:kern w:val="0"/>
        </w:rPr>
        <w:t>. The</w:t>
      </w:r>
      <w:r w:rsidR="003A1917">
        <w:rPr>
          <w:kern w:val="0"/>
        </w:rPr>
        <w:t xml:space="preserve"> </w:t>
      </w:r>
      <w:r>
        <w:rPr>
          <w:kern w:val="0"/>
        </w:rPr>
        <w:t>rates</w:t>
      </w:r>
      <w:r w:rsidR="00427468">
        <w:rPr>
          <w:kern w:val="0"/>
        </w:rPr>
        <w:t xml:space="preserve"> of </w:t>
      </w:r>
      <w:r>
        <w:rPr>
          <w:kern w:val="0"/>
        </w:rPr>
        <w:t>plasmablastic lymphoma were analyzed using a fixed-effects model. Sensitivity analyses (on publication type, statistical model) were performed to further detect</w:t>
      </w:r>
      <w:r w:rsidR="005853A9">
        <w:rPr>
          <w:kern w:val="0"/>
        </w:rPr>
        <w:t xml:space="preserve"> and </w:t>
      </w:r>
      <w:r>
        <w:rPr>
          <w:kern w:val="0"/>
        </w:rPr>
        <w:t>evaluate clinically significant heterogeneity. Tests</w:t>
      </w:r>
      <w:r w:rsidR="00427468">
        <w:rPr>
          <w:kern w:val="0"/>
        </w:rPr>
        <w:t xml:space="preserve"> of </w:t>
      </w:r>
      <w:r>
        <w:rPr>
          <w:kern w:val="0"/>
        </w:rPr>
        <w:t>survival for plasmablastic lymphoma were also performed by using Kaplan-Meier method. Results : Meta-analysis result showed that</w:t>
      </w:r>
      <w:r w:rsidR="003A1917">
        <w:rPr>
          <w:kern w:val="0"/>
        </w:rPr>
        <w:t xml:space="preserve"> the </w:t>
      </w:r>
      <w:r>
        <w:rPr>
          <w:kern w:val="0"/>
        </w:rPr>
        <w:t>prognosis</w:t>
      </w:r>
      <w:r w:rsidR="00427468">
        <w:rPr>
          <w:kern w:val="0"/>
        </w:rPr>
        <w:t xml:space="preserve"> of </w:t>
      </w:r>
      <w:r>
        <w:rPr>
          <w:kern w:val="0"/>
        </w:rPr>
        <w:t>plasmablastic lymphoma patients was statistically different in</w:t>
      </w:r>
      <w:r w:rsidR="003A1917">
        <w:rPr>
          <w:kern w:val="0"/>
        </w:rPr>
        <w:t xml:space="preserve"> the </w:t>
      </w:r>
      <w:r>
        <w:rPr>
          <w:kern w:val="0"/>
        </w:rPr>
        <w:t>patients receiving HAART in addition to chemotherapy and/or radiotherapy than in</w:t>
      </w:r>
      <w:r w:rsidR="003A1917">
        <w:rPr>
          <w:kern w:val="0"/>
        </w:rPr>
        <w:t xml:space="preserve"> the </w:t>
      </w:r>
      <w:r>
        <w:rPr>
          <w:kern w:val="0"/>
        </w:rPr>
        <w:t>patients receiving</w:t>
      </w:r>
      <w:r w:rsidR="003A1917">
        <w:rPr>
          <w:kern w:val="0"/>
        </w:rPr>
        <w:t xml:space="preserve"> the </w:t>
      </w:r>
      <w:r>
        <w:rPr>
          <w:kern w:val="0"/>
        </w:rPr>
        <w:t>chemotherapy and/or radiotherapy alone (pooled relative risk=3.04; P=.03). Survival analyses also displayed a statistically significant difference ((2) =6.22, P=.013). Conclusion : HAART in addition to chemotherapy and/or radiotherapy is effective in improving</w:t>
      </w:r>
      <w:r w:rsidR="003A1917">
        <w:rPr>
          <w:kern w:val="0"/>
        </w:rPr>
        <w:t xml:space="preserve"> the </w:t>
      </w:r>
      <w:r>
        <w:rPr>
          <w:kern w:val="0"/>
        </w:rPr>
        <w:t>prognosis</w:t>
      </w:r>
      <w:r w:rsidR="00427468">
        <w:rPr>
          <w:kern w:val="0"/>
        </w:rPr>
        <w:t xml:space="preserve"> of </w:t>
      </w:r>
      <w:r>
        <w:rPr>
          <w:kern w:val="0"/>
        </w:rPr>
        <w:t>plasmablastic lymphoma. However,</w:t>
      </w:r>
      <w:r w:rsidR="003A1917">
        <w:rPr>
          <w:kern w:val="0"/>
        </w:rPr>
        <w:t xml:space="preserve"> the </w:t>
      </w:r>
      <w:r>
        <w:rPr>
          <w:kern w:val="0"/>
        </w:rPr>
        <w:t>small sample sizes increase</w:t>
      </w:r>
      <w:r w:rsidR="003A1917">
        <w:rPr>
          <w:kern w:val="0"/>
        </w:rPr>
        <w:t xml:space="preserve"> the </w:t>
      </w:r>
      <w:r>
        <w:rPr>
          <w:kern w:val="0"/>
        </w:rPr>
        <w:t>likelihood</w:t>
      </w:r>
      <w:r w:rsidR="00427468">
        <w:rPr>
          <w:kern w:val="0"/>
        </w:rPr>
        <w:t xml:space="preserve"> of </w:t>
      </w:r>
      <w:r>
        <w:rPr>
          <w:kern w:val="0"/>
        </w:rPr>
        <w:t>bias in</w:t>
      </w:r>
      <w:r w:rsidR="003A1917">
        <w:rPr>
          <w:kern w:val="0"/>
        </w:rPr>
        <w:t xml:space="preserve"> the </w:t>
      </w:r>
      <w:r>
        <w:rPr>
          <w:kern w:val="0"/>
        </w:rPr>
        <w:t>studies in this meta-analysis,</w:t>
      </w:r>
      <w:r w:rsidR="005853A9">
        <w:rPr>
          <w:kern w:val="0"/>
        </w:rPr>
        <w:t xml:space="preserve"> and </w:t>
      </w:r>
      <w:r>
        <w:rPr>
          <w:kern w:val="0"/>
        </w:rPr>
        <w:t>therefore,</w:t>
      </w:r>
      <w:r w:rsidR="003A1917">
        <w:rPr>
          <w:kern w:val="0"/>
        </w:rPr>
        <w:t xml:space="preserve"> the </w:t>
      </w:r>
      <w:r>
        <w:rPr>
          <w:kern w:val="0"/>
        </w:rPr>
        <w:t>results should be taken cautiously.</w:t>
      </w:r>
    </w:p>
    <w:p w:rsidR="006727AA" w:rsidRDefault="006727AA" w:rsidP="006727AA">
      <w:pPr>
        <w:pStyle w:val="a3"/>
        <w:rPr>
          <w:kern w:val="0"/>
        </w:rPr>
      </w:pPr>
      <w:r>
        <w:rPr>
          <w:kern w:val="0"/>
        </w:rPr>
        <w:lastRenderedPageBreak/>
        <w:t xml:space="preserve">Keywords: Bias, Citation, Clinical-Trials, Databases, Groups, Heterogeneity, Infection, Literature, </w:t>
      </w:r>
      <w:r w:rsidR="00D5664A">
        <w:rPr>
          <w:kern w:val="0"/>
        </w:rPr>
        <w:t>MEDLINE</w:t>
      </w:r>
      <w:r>
        <w:rPr>
          <w:kern w:val="0"/>
        </w:rPr>
        <w:t>, Meta-Analysis, Model, Oral-Cavity, Prognosis, Publication, Quality, Review, Science, Science Citation Index, Systematic Review, Treatment</w:t>
      </w:r>
    </w:p>
    <w:p w:rsidR="008F0FE7" w:rsidRDefault="008F0FE7" w:rsidP="008F0FE7">
      <w:pPr>
        <w:pStyle w:val="a3"/>
        <w:rPr>
          <w:kern w:val="0"/>
        </w:rPr>
      </w:pPr>
      <w:r>
        <w:rPr>
          <w:rFonts w:hint="eastAsia"/>
          <w:kern w:val="0"/>
        </w:rPr>
        <w:t xml:space="preserve">? </w:t>
      </w:r>
      <w:r>
        <w:rPr>
          <w:kern w:val="0"/>
        </w:rPr>
        <w:t>Sadat-Ali, M., Al-Habdan, I.M., Al-Turki, H.A.</w:t>
      </w:r>
      <w:r w:rsidR="005853A9">
        <w:rPr>
          <w:kern w:val="0"/>
        </w:rPr>
        <w:t xml:space="preserve"> and </w:t>
      </w:r>
      <w:r>
        <w:rPr>
          <w:kern w:val="0"/>
        </w:rPr>
        <w:t>Azam, M.Q. (2012), An epidemiological analysis</w:t>
      </w:r>
      <w:r w:rsidR="00427468">
        <w:rPr>
          <w:kern w:val="0"/>
        </w:rPr>
        <w:t xml:space="preserve"> of </w:t>
      </w:r>
      <w:r>
        <w:rPr>
          <w:kern w:val="0"/>
        </w:rPr>
        <w:t>the incidence</w:t>
      </w:r>
      <w:r w:rsidR="00427468">
        <w:rPr>
          <w:kern w:val="0"/>
        </w:rPr>
        <w:t xml:space="preserve"> of </w:t>
      </w:r>
      <w:r>
        <w:rPr>
          <w:kern w:val="0"/>
        </w:rPr>
        <w:t>osteoporosis</w:t>
      </w:r>
      <w:r w:rsidR="005853A9">
        <w:rPr>
          <w:kern w:val="0"/>
        </w:rPr>
        <w:t xml:space="preserve"> and </w:t>
      </w:r>
      <w:r>
        <w:rPr>
          <w:kern w:val="0"/>
        </w:rPr>
        <w:t xml:space="preserve">osteoporosis-related fractures among the Saudi Arabian population. </w:t>
      </w:r>
      <w:r>
        <w:rPr>
          <w:i/>
          <w:iCs/>
          <w:kern w:val="0"/>
        </w:rPr>
        <w:t>Annals</w:t>
      </w:r>
      <w:r w:rsidR="00427468">
        <w:rPr>
          <w:i/>
          <w:iCs/>
          <w:kern w:val="0"/>
        </w:rPr>
        <w:t xml:space="preserve"> of </w:t>
      </w:r>
      <w:r>
        <w:rPr>
          <w:i/>
          <w:iCs/>
          <w:kern w:val="0"/>
        </w:rPr>
        <w:t>Saudi Medicine</w:t>
      </w:r>
      <w:r>
        <w:rPr>
          <w:kern w:val="0"/>
        </w:rPr>
        <w:t xml:space="preserve">, </w:t>
      </w:r>
      <w:r>
        <w:rPr>
          <w:b/>
          <w:bCs/>
          <w:kern w:val="0"/>
        </w:rPr>
        <w:t>32</w:t>
      </w:r>
      <w:r>
        <w:rPr>
          <w:kern w:val="0"/>
        </w:rPr>
        <w:t xml:space="preserve"> (6), 637-641.</w:t>
      </w:r>
    </w:p>
    <w:p w:rsidR="008F0FE7" w:rsidRDefault="008F0FE7" w:rsidP="008F0FE7">
      <w:pPr>
        <w:pStyle w:val="a3"/>
        <w:rPr>
          <w:kern w:val="0"/>
        </w:rPr>
      </w:pPr>
      <w:r>
        <w:rPr>
          <w:rFonts w:hint="eastAsia"/>
          <w:kern w:val="0"/>
        </w:rPr>
        <w:t xml:space="preserve">Full Text: </w:t>
      </w:r>
      <w:hyperlink r:id="rId958" w:history="1">
        <w:r w:rsidRPr="001942AC">
          <w:rPr>
            <w:rStyle w:val="a5"/>
            <w:kern w:val="0"/>
          </w:rPr>
          <w:t>2012\Ann Sau Med32, 637.pdf</w:t>
        </w:r>
      </w:hyperlink>
    </w:p>
    <w:p w:rsidR="008F0FE7" w:rsidRDefault="008F0FE7" w:rsidP="008F0FE7">
      <w:pPr>
        <w:pStyle w:val="a3"/>
        <w:rPr>
          <w:kern w:val="0"/>
        </w:rPr>
      </w:pPr>
      <w:r>
        <w:rPr>
          <w:kern w:val="0"/>
        </w:rPr>
        <w:t>Abstract: Ann Saudi Med 2012; 32(6): 637-641 DOI: 10.5144/0256-4947.2012.637 BACKGROUND</w:t>
      </w:r>
      <w:r w:rsidR="005853A9">
        <w:rPr>
          <w:kern w:val="0"/>
        </w:rPr>
        <w:t xml:space="preserve"> and </w:t>
      </w:r>
      <w:r>
        <w:rPr>
          <w:kern w:val="0"/>
        </w:rPr>
        <w:t>OBJECTIVES: Osteoporosis is common in Saudi Arabia</w:t>
      </w:r>
      <w:r w:rsidR="005853A9">
        <w:rPr>
          <w:kern w:val="0"/>
        </w:rPr>
        <w:t xml:space="preserve"> and </w:t>
      </w:r>
      <w:r>
        <w:rPr>
          <w:kern w:val="0"/>
        </w:rPr>
        <w:t>the burden</w:t>
      </w:r>
      <w:r w:rsidR="00427468">
        <w:rPr>
          <w:kern w:val="0"/>
        </w:rPr>
        <w:t xml:space="preserve"> of </w:t>
      </w:r>
      <w:r>
        <w:rPr>
          <w:kern w:val="0"/>
        </w:rPr>
        <w:t>management in an aging population will increase in coming decades</w:t>
      </w:r>
      <w:r w:rsidR="00A37C1D">
        <w:rPr>
          <w:kern w:val="0"/>
        </w:rPr>
        <w:t>. The</w:t>
      </w:r>
      <w:r>
        <w:rPr>
          <w:kern w:val="0"/>
        </w:rPr>
        <w:t>re is still no national policy nor consensus on screening for this silent disease</w:t>
      </w:r>
      <w:r w:rsidR="00A37C1D">
        <w:rPr>
          <w:kern w:val="0"/>
        </w:rPr>
        <w:t>. The</w:t>
      </w:r>
      <w:r>
        <w:rPr>
          <w:kern w:val="0"/>
        </w:rPr>
        <w:t xml:space="preserve"> objective</w:t>
      </w:r>
      <w:r w:rsidR="00427468">
        <w:rPr>
          <w:kern w:val="0"/>
        </w:rPr>
        <w:t xml:space="preserve"> of </w:t>
      </w:r>
      <w:r>
        <w:rPr>
          <w:kern w:val="0"/>
        </w:rPr>
        <w:t>this analysis was to determine from the published data the prevalence</w:t>
      </w:r>
      <w:r w:rsidR="00427468">
        <w:rPr>
          <w:kern w:val="0"/>
        </w:rPr>
        <w:t xml:space="preserve"> of </w:t>
      </w:r>
      <w:r>
        <w:rPr>
          <w:kern w:val="0"/>
        </w:rPr>
        <w:t>osteopenia</w:t>
      </w:r>
      <w:r w:rsidR="005853A9">
        <w:rPr>
          <w:kern w:val="0"/>
        </w:rPr>
        <w:t xml:space="preserve"> and </w:t>
      </w:r>
      <w:r>
        <w:rPr>
          <w:kern w:val="0"/>
        </w:rPr>
        <w:t>osteoporosis in Saudi Arabians, the prevalence</w:t>
      </w:r>
      <w:r w:rsidR="00427468">
        <w:rPr>
          <w:kern w:val="0"/>
        </w:rPr>
        <w:t xml:space="preserve"> of </w:t>
      </w:r>
      <w:r>
        <w:rPr>
          <w:kern w:val="0"/>
        </w:rPr>
        <w:t>secondary osteoporosis,</w:t>
      </w:r>
      <w:r w:rsidR="005853A9">
        <w:rPr>
          <w:kern w:val="0"/>
        </w:rPr>
        <w:t xml:space="preserve"> and </w:t>
      </w:r>
      <w:r>
        <w:rPr>
          <w:kern w:val="0"/>
        </w:rPr>
        <w:t>the prevalence</w:t>
      </w:r>
      <w:r w:rsidR="00427468">
        <w:rPr>
          <w:kern w:val="0"/>
        </w:rPr>
        <w:t xml:space="preserve"> of </w:t>
      </w:r>
      <w:r>
        <w:rPr>
          <w:kern w:val="0"/>
        </w:rPr>
        <w:t>osteoporosis-related fractures (ORF). We also sought to determine the best age to begin</w:t>
      </w:r>
      <w:r w:rsidR="005853A9">
        <w:rPr>
          <w:kern w:val="0"/>
        </w:rPr>
        <w:t xml:space="preserve"> and </w:t>
      </w:r>
      <w:r>
        <w:rPr>
          <w:kern w:val="0"/>
        </w:rPr>
        <w:t xml:space="preserve">best modality for screening. METHODS: Data Sources were </w:t>
      </w:r>
      <w:r w:rsidR="00D5664A">
        <w:rPr>
          <w:kern w:val="0"/>
        </w:rPr>
        <w:t>MEDLINE</w:t>
      </w:r>
      <w:r>
        <w:rPr>
          <w:kern w:val="0"/>
        </w:rPr>
        <w:t xml:space="preserve"> (1966 to May 2011), EMBASE (1991 to May 2011), the Cochrane Central Register</w:t>
      </w:r>
      <w:r w:rsidR="00427468">
        <w:rPr>
          <w:kern w:val="0"/>
        </w:rPr>
        <w:t xml:space="preserve"> of </w:t>
      </w:r>
      <w:r>
        <w:rPr>
          <w:kern w:val="0"/>
        </w:rPr>
        <w:t>Controlled Trials</w:t>
      </w:r>
      <w:r w:rsidR="005853A9">
        <w:rPr>
          <w:kern w:val="0"/>
        </w:rPr>
        <w:t xml:space="preserve"> and </w:t>
      </w:r>
      <w:r>
        <w:rPr>
          <w:kern w:val="0"/>
        </w:rPr>
        <w:t>Cochrane Database</w:t>
      </w:r>
      <w:r w:rsidR="00427468">
        <w:rPr>
          <w:kern w:val="0"/>
        </w:rPr>
        <w:t xml:space="preserve"> of </w:t>
      </w:r>
      <w:r>
        <w:rPr>
          <w:kern w:val="0"/>
        </w:rPr>
        <w:t>Systematic Reviews (1952 to May 2011),</w:t>
      </w:r>
      <w:r w:rsidR="005853A9">
        <w:rPr>
          <w:kern w:val="0"/>
        </w:rPr>
        <w:t xml:space="preserve"> and </w:t>
      </w:r>
      <w:r>
        <w:rPr>
          <w:kern w:val="0"/>
        </w:rPr>
        <w:t>the Science Citation Index (1966 to May 2011), published data from the Saudi Medical Journal (1985-2011)</w:t>
      </w:r>
      <w:r w:rsidR="005853A9">
        <w:rPr>
          <w:kern w:val="0"/>
        </w:rPr>
        <w:t xml:space="preserve"> and </w:t>
      </w:r>
      <w:r>
        <w:rPr>
          <w:kern w:val="0"/>
        </w:rPr>
        <w:t>Annals</w:t>
      </w:r>
      <w:r w:rsidR="00427468">
        <w:rPr>
          <w:kern w:val="0"/>
        </w:rPr>
        <w:t xml:space="preserve"> of </w:t>
      </w:r>
      <w:r>
        <w:rPr>
          <w:kern w:val="0"/>
        </w:rPr>
        <w:t>Saudi Medicine (1985-2011). We selected English-language articles with at least 100 Saudi individuals. Two authors independently reviewed articles</w:t>
      </w:r>
      <w:r w:rsidR="005853A9">
        <w:rPr>
          <w:kern w:val="0"/>
        </w:rPr>
        <w:t xml:space="preserve"> and </w:t>
      </w:r>
      <w:r>
        <w:rPr>
          <w:kern w:val="0"/>
        </w:rPr>
        <w:t>abstracted data. RESULTS: The authors identified 36 potentially relevant articles,</w:t>
      </w:r>
      <w:r w:rsidR="00427468">
        <w:rPr>
          <w:kern w:val="0"/>
        </w:rPr>
        <w:t xml:space="preserve"> of </w:t>
      </w:r>
      <w:r>
        <w:rPr>
          <w:kern w:val="0"/>
        </w:rPr>
        <w:t>which 24 met the inclusion criteria.</w:t>
      </w:r>
      <w:r w:rsidR="00427468">
        <w:rPr>
          <w:kern w:val="0"/>
        </w:rPr>
        <w:t xml:space="preserve"> of </w:t>
      </w:r>
      <w:r>
        <w:rPr>
          <w:kern w:val="0"/>
        </w:rPr>
        <w:t>5160 healthy women 50 to 79 years</w:t>
      </w:r>
      <w:r w:rsidR="00427468">
        <w:rPr>
          <w:kern w:val="0"/>
        </w:rPr>
        <w:t xml:space="preserve"> of </w:t>
      </w:r>
      <w:r>
        <w:rPr>
          <w:kern w:val="0"/>
        </w:rPr>
        <w:t>age (mean, SD: 56.8 [2.7]), 36.6% (6.6%) were osteopenic</w:t>
      </w:r>
      <w:r w:rsidR="005853A9">
        <w:rPr>
          <w:kern w:val="0"/>
        </w:rPr>
        <w:t xml:space="preserve"> and </w:t>
      </w:r>
      <w:r>
        <w:rPr>
          <w:kern w:val="0"/>
        </w:rPr>
        <w:t>34.0% (8.5%) were osteoporotic. In three studies on males (n=822), the prevalence</w:t>
      </w:r>
      <w:r w:rsidR="00427468">
        <w:rPr>
          <w:kern w:val="0"/>
        </w:rPr>
        <w:t xml:space="preserve"> of </w:t>
      </w:r>
      <w:r>
        <w:rPr>
          <w:kern w:val="0"/>
        </w:rPr>
        <w:t>osteopenia was 46.3%</w:t>
      </w:r>
      <w:r w:rsidR="005853A9">
        <w:rPr>
          <w:kern w:val="0"/>
        </w:rPr>
        <w:t xml:space="preserve"> and </w:t>
      </w:r>
      <w:r>
        <w:rPr>
          <w:kern w:val="0"/>
        </w:rPr>
        <w:t>osteoporosis 30.7%. Males had a significantly higher frequency</w:t>
      </w:r>
      <w:r w:rsidR="00427468">
        <w:rPr>
          <w:kern w:val="0"/>
        </w:rPr>
        <w:t xml:space="preserve"> of </w:t>
      </w:r>
      <w:r>
        <w:rPr>
          <w:kern w:val="0"/>
        </w:rPr>
        <w:t>osteopenia in comparison to females (P=&lt;.001 95% CI&lt;-0.0333), The mean age</w:t>
      </w:r>
      <w:r w:rsidR="00427468">
        <w:rPr>
          <w:kern w:val="0"/>
        </w:rPr>
        <w:t xml:space="preserve"> of </w:t>
      </w:r>
      <w:r>
        <w:rPr>
          <w:kern w:val="0"/>
        </w:rPr>
        <w:t>the patients with secondary osteoporosis was 37.4 (13.5, 18-57) years, with the osteoporosis in 46.4%</w:t>
      </w:r>
      <w:r w:rsidR="005853A9">
        <w:rPr>
          <w:kern w:val="0"/>
        </w:rPr>
        <w:t xml:space="preserve"> and </w:t>
      </w:r>
      <w:r>
        <w:rPr>
          <w:kern w:val="0"/>
        </w:rPr>
        <w:t>osteopenia in 34.1%. In 5 studies</w:t>
      </w:r>
      <w:r w:rsidR="00427468">
        <w:rPr>
          <w:kern w:val="0"/>
        </w:rPr>
        <w:t xml:space="preserve"> of </w:t>
      </w:r>
      <w:r>
        <w:rPr>
          <w:kern w:val="0"/>
        </w:rPr>
        <w:t>ORF, the incidence</w:t>
      </w:r>
      <w:r w:rsidR="00427468">
        <w:rPr>
          <w:kern w:val="0"/>
        </w:rPr>
        <w:t xml:space="preserve"> of </w:t>
      </w:r>
      <w:r>
        <w:rPr>
          <w:kern w:val="0"/>
        </w:rPr>
        <w:t>vertebral fractures was between 20%-24%. CONCLUSION: The currently available literature on Saudi Arabian population suggests that the ideal age for screening for low bone mass among the Saudi population should be earlier (55 years) than the &gt;= 65 years in Western countries. Both quatitative ultrasound</w:t>
      </w:r>
      <w:r w:rsidR="005853A9">
        <w:rPr>
          <w:kern w:val="0"/>
        </w:rPr>
        <w:t xml:space="preserve"> and </w:t>
      </w:r>
      <w:r>
        <w:rPr>
          <w:kern w:val="0"/>
        </w:rPr>
        <w:t>dual-energy x-ray absorptiometry could be used for screening</w:t>
      </w:r>
      <w:r w:rsidR="00A37C1D">
        <w:rPr>
          <w:kern w:val="0"/>
        </w:rPr>
        <w:t>. The</w:t>
      </w:r>
      <w:r>
        <w:rPr>
          <w:kern w:val="0"/>
        </w:rPr>
        <w:t xml:space="preserve"> relatively small number</w:t>
      </w:r>
      <w:r w:rsidR="00427468">
        <w:rPr>
          <w:kern w:val="0"/>
        </w:rPr>
        <w:t xml:space="preserve"> of </w:t>
      </w:r>
      <w:r>
        <w:rPr>
          <w:kern w:val="0"/>
        </w:rPr>
        <w:t>studies on Saudi Arabians</w:t>
      </w:r>
      <w:r w:rsidR="005853A9">
        <w:rPr>
          <w:kern w:val="0"/>
        </w:rPr>
        <w:t xml:space="preserve"> and </w:t>
      </w:r>
      <w:r>
        <w:rPr>
          <w:kern w:val="0"/>
        </w:rPr>
        <w:t>the different machines used for diagnosis limited the authors ability make conclusions with surety.</w:t>
      </w:r>
    </w:p>
    <w:p w:rsidR="008F0FE7" w:rsidRDefault="008F0FE7" w:rsidP="008F0FE7">
      <w:pPr>
        <w:pStyle w:val="a3"/>
        <w:rPr>
          <w:kern w:val="0"/>
        </w:rPr>
      </w:pPr>
      <w:r>
        <w:rPr>
          <w:kern w:val="0"/>
        </w:rPr>
        <w:t xml:space="preserve">Keywords: Absorptiometry, Age, Aging, Analysis, Authors, Background, Bone, Bone Mass, Bone-Mineral Density, Burden, Citation, Comparison, Consensus, Criteria, </w:t>
      </w:r>
      <w:r>
        <w:rPr>
          <w:kern w:val="0"/>
        </w:rPr>
        <w:lastRenderedPageBreak/>
        <w:t xml:space="preserve">Data, Densitometry, Diabetes-Mellitus, Diagnosis, Disease, Embase, Femur, Hip Fracture, Incidence, Journal, Literature, Management, Mass, Medical, Medicine, </w:t>
      </w:r>
      <w:r w:rsidR="00D5664A">
        <w:rPr>
          <w:kern w:val="0"/>
        </w:rPr>
        <w:t>MEDLINE</w:t>
      </w:r>
      <w:r>
        <w:rPr>
          <w:kern w:val="0"/>
        </w:rPr>
        <w:t>, Methods, Objectives, Osteoporosis, Patients, Policy, Population, Postmenopa</w:t>
      </w:r>
      <w:r w:rsidR="00D5664A">
        <w:rPr>
          <w:kern w:val="0"/>
        </w:rPr>
        <w:t>USA</w:t>
      </w:r>
      <w:r>
        <w:rPr>
          <w:kern w:val="0"/>
        </w:rPr>
        <w:t>l Women, Prevalence, Randomized Clinical-Trial, Risk, Science, Science Citation Index, Screening, Small, Ultrasound, Women</w:t>
      </w:r>
    </w:p>
    <w:p w:rsidR="003474F2" w:rsidRPr="001A3D2B" w:rsidRDefault="003474F2" w:rsidP="003474F2">
      <w:pPr>
        <w:pStyle w:val="1"/>
      </w:pPr>
      <w:r w:rsidRPr="001A3D2B">
        <w:br w:type="page"/>
      </w:r>
      <w:bookmarkStart w:id="500" w:name="_Toc420814524"/>
      <w:r w:rsidRPr="001A3D2B">
        <w:lastRenderedPageBreak/>
        <w:t>Title: Annals</w:t>
      </w:r>
      <w:r w:rsidR="00427468">
        <w:t xml:space="preserve"> of </w:t>
      </w:r>
      <w:r w:rsidRPr="001A3D2B">
        <w:t>Science</w:t>
      </w:r>
      <w:bookmarkEnd w:id="500"/>
    </w:p>
    <w:p w:rsidR="003474F2" w:rsidRPr="001A3D2B" w:rsidRDefault="003474F2" w:rsidP="003474F2">
      <w:pPr>
        <w:pStyle w:val="12"/>
      </w:pPr>
      <w:r w:rsidRPr="001A3D2B">
        <w:t xml:space="preserve">Full Journal Title: </w:t>
      </w:r>
      <w:r w:rsidRPr="001A3D2B">
        <w:rPr>
          <w:kern w:val="0"/>
        </w:rPr>
        <w:t>Annals</w:t>
      </w:r>
      <w:r w:rsidR="00427468">
        <w:rPr>
          <w:kern w:val="0"/>
        </w:rPr>
        <w:t xml:space="preserve"> of </w:t>
      </w:r>
      <w:r w:rsidRPr="001A3D2B">
        <w:rPr>
          <w:kern w:val="0"/>
        </w:rPr>
        <w:t>Science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rPr>
          <w:kern w:val="0"/>
        </w:rPr>
      </w:pPr>
      <w:r w:rsidRPr="001A3D2B">
        <w:rPr>
          <w:kern w:val="0"/>
        </w:rPr>
        <w:t>? Whitrow, M. (1982), Bibliometrics - A bibliography</w:t>
      </w:r>
      <w:r w:rsidR="005853A9">
        <w:rPr>
          <w:kern w:val="0"/>
        </w:rPr>
        <w:t xml:space="preserve"> and </w:t>
      </w:r>
      <w:r w:rsidRPr="001A3D2B">
        <w:rPr>
          <w:kern w:val="0"/>
        </w:rPr>
        <w:t xml:space="preserve">index, Vol 1, 1874-1959 - Pritchard, A. </w:t>
      </w:r>
      <w:r w:rsidRPr="001A3D2B">
        <w:rPr>
          <w:i/>
          <w:iCs/>
          <w:kern w:val="0"/>
        </w:rPr>
        <w:t>Annals</w:t>
      </w:r>
      <w:r w:rsidR="00427468">
        <w:rPr>
          <w:i/>
          <w:iCs/>
          <w:kern w:val="0"/>
        </w:rPr>
        <w:t xml:space="preserve"> of </w:t>
      </w:r>
      <w:r w:rsidRPr="001A3D2B">
        <w:rPr>
          <w:i/>
          <w:iCs/>
          <w:kern w:val="0"/>
        </w:rPr>
        <w:t>Science</w:t>
      </w:r>
      <w:r w:rsidRPr="001A3D2B">
        <w:rPr>
          <w:kern w:val="0"/>
        </w:rPr>
        <w:t xml:space="preserve">, </w:t>
      </w:r>
      <w:r w:rsidRPr="001A3D2B">
        <w:rPr>
          <w:b/>
          <w:bCs/>
          <w:kern w:val="0"/>
        </w:rPr>
        <w:t>39</w:t>
      </w:r>
      <w:r w:rsidRPr="001A3D2B">
        <w:rPr>
          <w:kern w:val="0"/>
        </w:rPr>
        <w:t xml:space="preserve"> (3), 319-320.</w:t>
      </w:r>
    </w:p>
    <w:p w:rsidR="003474F2" w:rsidRPr="001A3D2B" w:rsidRDefault="003474F2" w:rsidP="003474F2">
      <w:pPr>
        <w:pStyle w:val="a3"/>
        <w:rPr>
          <w:kern w:val="0"/>
        </w:rPr>
      </w:pPr>
      <w:r w:rsidRPr="001A3D2B">
        <w:rPr>
          <w:kern w:val="0"/>
        </w:rPr>
        <w:t>Keywords: Bibliometrics</w:t>
      </w:r>
    </w:p>
    <w:p w:rsidR="003474F2" w:rsidRPr="001A3D2B" w:rsidRDefault="003474F2" w:rsidP="003474F2">
      <w:pPr>
        <w:pStyle w:val="1"/>
      </w:pPr>
      <w:r w:rsidRPr="001A3D2B">
        <w:br w:type="page"/>
      </w:r>
      <w:bookmarkStart w:id="501" w:name="_Toc420814525"/>
      <w:r w:rsidRPr="001A3D2B">
        <w:lastRenderedPageBreak/>
        <w:t>Title: Annals</w:t>
      </w:r>
      <w:r w:rsidR="00427468">
        <w:t xml:space="preserve"> of </w:t>
      </w:r>
      <w:r w:rsidRPr="001A3D2B">
        <w:t>Surgery</w:t>
      </w:r>
      <w:bookmarkEnd w:id="501"/>
    </w:p>
    <w:p w:rsidR="003474F2" w:rsidRPr="001A3D2B" w:rsidRDefault="003474F2" w:rsidP="003474F2">
      <w:pPr>
        <w:pStyle w:val="12"/>
      </w:pPr>
      <w:r w:rsidRPr="001A3D2B">
        <w:t xml:space="preserve">Full Journal Title: </w:t>
      </w:r>
      <w:hyperlink r:id="rId959" w:history="1">
        <w:r w:rsidRPr="001A3D2B">
          <w:rPr>
            <w:rStyle w:val="a5"/>
          </w:rPr>
          <w:t>Annals</w:t>
        </w:r>
        <w:r w:rsidR="00427468">
          <w:rPr>
            <w:rStyle w:val="a5"/>
          </w:rPr>
          <w:t xml:space="preserve"> of </w:t>
        </w:r>
        <w:r w:rsidRPr="001A3D2B">
          <w:rPr>
            <w:rStyle w:val="a5"/>
          </w:rPr>
          <w:t>Surgery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0003-4932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4A4A6C" w:rsidRDefault="004A4A6C" w:rsidP="004A4A6C">
      <w:pPr>
        <w:pStyle w:val="a3"/>
        <w:rPr>
          <w:kern w:val="0"/>
        </w:rPr>
      </w:pPr>
      <w:r>
        <w:rPr>
          <w:rFonts w:hint="eastAsia"/>
          <w:kern w:val="0"/>
        </w:rPr>
        <w:t xml:space="preserve">? </w:t>
      </w:r>
      <w:r>
        <w:rPr>
          <w:kern w:val="0"/>
        </w:rPr>
        <w:t>Gladman, M.A., Scott, S.M., Lunniss, P.J.</w:t>
      </w:r>
      <w:r w:rsidR="005853A9">
        <w:rPr>
          <w:kern w:val="0"/>
        </w:rPr>
        <w:t xml:space="preserve"> and </w:t>
      </w:r>
      <w:r>
        <w:rPr>
          <w:kern w:val="0"/>
        </w:rPr>
        <w:t>Williams, N.S. (2005), Systematic review</w:t>
      </w:r>
      <w:r w:rsidR="00427468">
        <w:rPr>
          <w:kern w:val="0"/>
        </w:rPr>
        <w:t xml:space="preserve"> of </w:t>
      </w:r>
      <w:r>
        <w:rPr>
          <w:kern w:val="0"/>
        </w:rPr>
        <w:t>surgical options for idiopathic megarectum</w:t>
      </w:r>
      <w:r w:rsidR="005853A9">
        <w:rPr>
          <w:kern w:val="0"/>
        </w:rPr>
        <w:t xml:space="preserve"> and </w:t>
      </w:r>
      <w:r>
        <w:rPr>
          <w:kern w:val="0"/>
        </w:rPr>
        <w:t xml:space="preserve">megacolon. </w:t>
      </w:r>
      <w:r>
        <w:rPr>
          <w:i/>
          <w:iCs/>
          <w:kern w:val="0"/>
        </w:rPr>
        <w:t>Annals</w:t>
      </w:r>
      <w:r w:rsidR="00427468">
        <w:rPr>
          <w:i/>
          <w:iCs/>
          <w:kern w:val="0"/>
        </w:rPr>
        <w:t xml:space="preserve"> of </w:t>
      </w:r>
      <w:r>
        <w:rPr>
          <w:i/>
          <w:iCs/>
          <w:kern w:val="0"/>
        </w:rPr>
        <w:t>Surgery</w:t>
      </w:r>
      <w:r>
        <w:rPr>
          <w:kern w:val="0"/>
        </w:rPr>
        <w:t xml:space="preserve">, </w:t>
      </w:r>
      <w:r>
        <w:rPr>
          <w:b/>
          <w:bCs/>
          <w:kern w:val="0"/>
        </w:rPr>
        <w:t>241</w:t>
      </w:r>
      <w:r>
        <w:rPr>
          <w:kern w:val="0"/>
        </w:rPr>
        <w:t xml:space="preserve"> (4), 562-574.</w:t>
      </w:r>
    </w:p>
    <w:p w:rsidR="004A4A6C" w:rsidRPr="00F219CA" w:rsidRDefault="004A4A6C" w:rsidP="004A4A6C">
      <w:pPr>
        <w:pStyle w:val="a3"/>
        <w:rPr>
          <w:kern w:val="0"/>
          <w:szCs w:val="24"/>
        </w:rPr>
      </w:pPr>
      <w:r w:rsidRPr="00F219CA">
        <w:rPr>
          <w:kern w:val="0"/>
          <w:szCs w:val="24"/>
        </w:rPr>
        <w:t xml:space="preserve">Full Text: </w:t>
      </w:r>
      <w:hyperlink r:id="rId960" w:history="1">
        <w:r w:rsidRPr="0072283A">
          <w:rPr>
            <w:rStyle w:val="a5"/>
            <w:kern w:val="0"/>
            <w:szCs w:val="24"/>
          </w:rPr>
          <w:t>2005\Ann Sur241, 562.pdf</w:t>
        </w:r>
      </w:hyperlink>
    </w:p>
    <w:p w:rsidR="004A4A6C" w:rsidRDefault="004A4A6C" w:rsidP="004A4A6C">
      <w:pPr>
        <w:pStyle w:val="a3"/>
        <w:rPr>
          <w:kern w:val="0"/>
        </w:rPr>
      </w:pPr>
      <w:r>
        <w:rPr>
          <w:kern w:val="0"/>
        </w:rPr>
        <w:t>Abstract: Objective: A subgroup</w:t>
      </w:r>
      <w:r w:rsidR="00427468">
        <w:rPr>
          <w:kern w:val="0"/>
        </w:rPr>
        <w:t xml:space="preserve"> of </w:t>
      </w:r>
      <w:r>
        <w:rPr>
          <w:kern w:val="0"/>
        </w:rPr>
        <w:t>patients with intractable constipation has persistent dilatation</w:t>
      </w:r>
      <w:r w:rsidR="00427468">
        <w:rPr>
          <w:kern w:val="0"/>
        </w:rPr>
        <w:t xml:space="preserve"> of </w:t>
      </w:r>
      <w:r w:rsidR="003A1917">
        <w:rPr>
          <w:kern w:val="0"/>
        </w:rPr>
        <w:t xml:space="preserve">the </w:t>
      </w:r>
      <w:r>
        <w:rPr>
          <w:kern w:val="0"/>
        </w:rPr>
        <w:t>bowel, which in</w:t>
      </w:r>
      <w:r w:rsidR="003A1917">
        <w:rPr>
          <w:kern w:val="0"/>
        </w:rPr>
        <w:t xml:space="preserve"> the </w:t>
      </w:r>
      <w:r>
        <w:rPr>
          <w:kern w:val="0"/>
        </w:rPr>
        <w:t>absence</w:t>
      </w:r>
      <w:r w:rsidR="00427468">
        <w:rPr>
          <w:kern w:val="0"/>
        </w:rPr>
        <w:t xml:space="preserve"> of </w:t>
      </w:r>
      <w:r>
        <w:rPr>
          <w:kern w:val="0"/>
        </w:rPr>
        <w:t>an organic cause is termed idiopathic megabowel (IMB)</w:t>
      </w:r>
      <w:r w:rsidR="00A37C1D">
        <w:rPr>
          <w:kern w:val="0"/>
        </w:rPr>
        <w:t>. The</w:t>
      </w:r>
      <w:r w:rsidR="003A1917">
        <w:rPr>
          <w:kern w:val="0"/>
        </w:rPr>
        <w:t xml:space="preserve"> </w:t>
      </w:r>
      <w:r>
        <w:rPr>
          <w:kern w:val="0"/>
        </w:rPr>
        <w:t>aim</w:t>
      </w:r>
      <w:r w:rsidR="00427468">
        <w:rPr>
          <w:kern w:val="0"/>
        </w:rPr>
        <w:t xml:space="preserve"> of </w:t>
      </w:r>
      <w:r>
        <w:rPr>
          <w:kern w:val="0"/>
        </w:rPr>
        <w:t>this systematic review was to evaluate</w:t>
      </w:r>
      <w:r w:rsidR="003A1917">
        <w:rPr>
          <w:kern w:val="0"/>
        </w:rPr>
        <w:t xml:space="preserve"> the </w:t>
      </w:r>
      <w:r>
        <w:rPr>
          <w:kern w:val="0"/>
        </w:rPr>
        <w:t>published outcome data</w:t>
      </w:r>
      <w:r w:rsidR="00427468">
        <w:rPr>
          <w:kern w:val="0"/>
        </w:rPr>
        <w:t xml:space="preserve"> of </w:t>
      </w:r>
      <w:r>
        <w:rPr>
          <w:kern w:val="0"/>
        </w:rPr>
        <w:t>surgical procedures for IMB in adults. Methods: Electronic searches</w:t>
      </w:r>
      <w:r w:rsidR="00427468">
        <w:rPr>
          <w:kern w:val="0"/>
        </w:rPr>
        <w:t xml:space="preserve"> of </w:t>
      </w:r>
      <w:r w:rsidR="003A1917">
        <w:rPr>
          <w:kern w:val="0"/>
        </w:rPr>
        <w:t xml:space="preserve">the </w:t>
      </w:r>
      <w:r w:rsidR="00D5664A">
        <w:rPr>
          <w:kern w:val="0"/>
        </w:rPr>
        <w:t>MEDLINE</w:t>
      </w:r>
      <w:r>
        <w:rPr>
          <w:kern w:val="0"/>
        </w:rPr>
        <w:t xml:space="preserve"> (</w:t>
      </w:r>
      <w:r w:rsidR="002C12F0">
        <w:rPr>
          <w:kern w:val="0"/>
        </w:rPr>
        <w:t>PUBMED</w:t>
      </w:r>
      <w:r>
        <w:rPr>
          <w:kern w:val="0"/>
        </w:rPr>
        <w:t>) database, Cochrane Library, EMBase,</w:t>
      </w:r>
      <w:r w:rsidR="005853A9">
        <w:rPr>
          <w:kern w:val="0"/>
        </w:rPr>
        <w:t xml:space="preserve"> and </w:t>
      </w:r>
      <w:r>
        <w:rPr>
          <w:kern w:val="0"/>
        </w:rPr>
        <w:t>Science Citation Index were performed. Only peer-reviewed articles</w:t>
      </w:r>
      <w:r w:rsidR="00427468">
        <w:rPr>
          <w:kern w:val="0"/>
        </w:rPr>
        <w:t xml:space="preserve"> of </w:t>
      </w:r>
      <w:r>
        <w:rPr>
          <w:kern w:val="0"/>
        </w:rPr>
        <w:t>surgery for IMB published in</w:t>
      </w:r>
      <w:r w:rsidR="003A1917">
        <w:rPr>
          <w:kern w:val="0"/>
        </w:rPr>
        <w:t xml:space="preserve"> the </w:t>
      </w:r>
      <w:r>
        <w:rPr>
          <w:kern w:val="0"/>
        </w:rPr>
        <w:t>English language were evaluated. Studies</w:t>
      </w:r>
      <w:r w:rsidR="00427468">
        <w:rPr>
          <w:kern w:val="0"/>
        </w:rPr>
        <w:t xml:space="preserve"> of </w:t>
      </w:r>
      <w:r>
        <w:rPr>
          <w:kern w:val="0"/>
        </w:rPr>
        <w:t>all surgical procedures were included, providing they were performed on 3 or more patients,</w:t>
      </w:r>
      <w:r w:rsidR="005853A9">
        <w:rPr>
          <w:kern w:val="0"/>
        </w:rPr>
        <w:t xml:space="preserve"> and </w:t>
      </w:r>
      <w:r>
        <w:rPr>
          <w:kern w:val="0"/>
        </w:rPr>
        <w:t>overall success rates were documented. Studies were critically appraised in terms</w:t>
      </w:r>
      <w:r w:rsidR="00427468">
        <w:rPr>
          <w:kern w:val="0"/>
        </w:rPr>
        <w:t xml:space="preserve"> of </w:t>
      </w:r>
      <w:r>
        <w:rPr>
          <w:kern w:val="0"/>
        </w:rPr>
        <w:t>design</w:t>
      </w:r>
      <w:r w:rsidR="005853A9">
        <w:rPr>
          <w:kern w:val="0"/>
        </w:rPr>
        <w:t xml:space="preserve"> and </w:t>
      </w:r>
      <w:r>
        <w:rPr>
          <w:kern w:val="0"/>
        </w:rPr>
        <w:t>methodology, inclusion criteria, success, mortality</w:t>
      </w:r>
      <w:r w:rsidR="005853A9">
        <w:rPr>
          <w:kern w:val="0"/>
        </w:rPr>
        <w:t xml:space="preserve"> and </w:t>
      </w:r>
      <w:r>
        <w:rPr>
          <w:kern w:val="0"/>
        </w:rPr>
        <w:t>morbidity rates,</w:t>
      </w:r>
      <w:r w:rsidR="005853A9">
        <w:rPr>
          <w:kern w:val="0"/>
        </w:rPr>
        <w:t xml:space="preserve"> and </w:t>
      </w:r>
      <w:r>
        <w:rPr>
          <w:kern w:val="0"/>
        </w:rPr>
        <w:t>functional outcomes. Results: A total</w:t>
      </w:r>
      <w:r w:rsidR="00427468">
        <w:rPr>
          <w:kern w:val="0"/>
        </w:rPr>
        <w:t xml:space="preserve"> of </w:t>
      </w:r>
      <w:r>
        <w:rPr>
          <w:kern w:val="0"/>
        </w:rPr>
        <w:t>27 suitable studies were identified, all evidence was low quality obtained from case series,</w:t>
      </w:r>
      <w:r w:rsidR="005853A9">
        <w:rPr>
          <w:kern w:val="0"/>
        </w:rPr>
        <w:t xml:space="preserve"> and </w:t>
      </w:r>
      <w:r>
        <w:rPr>
          <w:kern w:val="0"/>
        </w:rPr>
        <w:t>there were no comparative studies</w:t>
      </w:r>
      <w:r w:rsidR="00A37C1D">
        <w:rPr>
          <w:kern w:val="0"/>
        </w:rPr>
        <w:t>. The</w:t>
      </w:r>
      <w:r w:rsidR="003A1917">
        <w:rPr>
          <w:kern w:val="0"/>
        </w:rPr>
        <w:t xml:space="preserve"> </w:t>
      </w:r>
      <w:r>
        <w:rPr>
          <w:kern w:val="0"/>
        </w:rPr>
        <w:t>studies involved small numbers</w:t>
      </w:r>
      <w:r w:rsidR="00427468">
        <w:rPr>
          <w:kern w:val="0"/>
        </w:rPr>
        <w:t xml:space="preserve"> of </w:t>
      </w:r>
      <w:r>
        <w:rPr>
          <w:kern w:val="0"/>
        </w:rPr>
        <w:t>patients (median 12, range 3-50), without long-term follow-up (median 3 years, range 0.5-7). Inclusion</w:t>
      </w:r>
      <w:r w:rsidR="00427468">
        <w:rPr>
          <w:kern w:val="0"/>
        </w:rPr>
        <w:t xml:space="preserve"> of </w:t>
      </w:r>
      <w:r>
        <w:rPr>
          <w:kern w:val="0"/>
        </w:rPr>
        <w:t>subjects, methods</w:t>
      </w:r>
      <w:r w:rsidR="00427468">
        <w:rPr>
          <w:kern w:val="0"/>
        </w:rPr>
        <w:t xml:space="preserve"> of </w:t>
      </w:r>
      <w:r>
        <w:rPr>
          <w:kern w:val="0"/>
        </w:rPr>
        <w:t>data acquisition,</w:t>
      </w:r>
      <w:r w:rsidR="005853A9">
        <w:rPr>
          <w:kern w:val="0"/>
        </w:rPr>
        <w:t xml:space="preserve"> and </w:t>
      </w:r>
      <w:r>
        <w:rPr>
          <w:kern w:val="0"/>
        </w:rPr>
        <w:t>reporting</w:t>
      </w:r>
      <w:r w:rsidR="00427468">
        <w:rPr>
          <w:kern w:val="0"/>
        </w:rPr>
        <w:t xml:space="preserve"> of </w:t>
      </w:r>
      <w:r>
        <w:rPr>
          <w:kern w:val="0"/>
        </w:rPr>
        <w:t>outcomes were extremely variable. Subtotal colectomy was successful in 71.1% (0%-100%) but was associated with significant morbidity related to bowel obstruction (14.5%, range 0%-29%). Segmental resection was successful in 48.4% (12.5%-100%),</w:t>
      </w:r>
      <w:r w:rsidR="005853A9">
        <w:rPr>
          <w:kern w:val="0"/>
        </w:rPr>
        <w:t xml:space="preserve"> and </w:t>
      </w:r>
      <w:r>
        <w:rPr>
          <w:kern w:val="0"/>
        </w:rPr>
        <w:t>recurrent symptoms were common (23.8%). Rectal procedures achieved a successful outcome in 71% to 87%</w:t>
      </w:r>
      <w:r w:rsidR="00427468">
        <w:rPr>
          <w:kern w:val="0"/>
        </w:rPr>
        <w:t xml:space="preserve"> of </w:t>
      </w:r>
      <w:r>
        <w:rPr>
          <w:kern w:val="0"/>
        </w:rPr>
        <w:t>patients. Proctectomy,</w:t>
      </w:r>
      <w:r w:rsidR="003A1917">
        <w:rPr>
          <w:kern w:val="0"/>
        </w:rPr>
        <w:t xml:space="preserve"> the </w:t>
      </w:r>
      <w:r>
        <w:rPr>
          <w:kern w:val="0"/>
        </w:rPr>
        <w:t>Duhamel,</w:t>
      </w:r>
      <w:r w:rsidR="005853A9">
        <w:rPr>
          <w:kern w:val="0"/>
        </w:rPr>
        <w:t xml:space="preserve"> and </w:t>
      </w:r>
      <w:r>
        <w:rPr>
          <w:kern w:val="0"/>
        </w:rPr>
        <w:t>pull-through procedures were associated with significant mortality (30/6-25%)</w:t>
      </w:r>
      <w:r w:rsidR="005853A9">
        <w:rPr>
          <w:kern w:val="0"/>
        </w:rPr>
        <w:t xml:space="preserve"> and </w:t>
      </w:r>
      <w:r>
        <w:rPr>
          <w:kern w:val="0"/>
        </w:rPr>
        <w:t xml:space="preserve">morbidity (6%-29%). </w:t>
      </w:r>
      <w:r>
        <w:rPr>
          <w:kern w:val="0"/>
        </w:rPr>
        <w:lastRenderedPageBreak/>
        <w:t>Vertical reduction rectoplasty (VRR) offered promising short-term success (83%). Pelvic-floor procedures were associated with poor outcomes. A stoma provided a safe alternative but was only effective in 65%</w:t>
      </w:r>
      <w:r w:rsidR="00427468">
        <w:rPr>
          <w:kern w:val="0"/>
        </w:rPr>
        <w:t xml:space="preserve"> of </w:t>
      </w:r>
      <w:r>
        <w:rPr>
          <w:kern w:val="0"/>
        </w:rPr>
        <w:t>cases. Conclusions: Outcome data</w:t>
      </w:r>
      <w:r w:rsidR="00427468">
        <w:rPr>
          <w:kern w:val="0"/>
        </w:rPr>
        <w:t xml:space="preserve"> of </w:t>
      </w:r>
      <w:r>
        <w:rPr>
          <w:kern w:val="0"/>
        </w:rPr>
        <w:t>surgery for IMB must be interpreted with extreme caution due to limitations</w:t>
      </w:r>
      <w:r w:rsidR="00427468">
        <w:rPr>
          <w:kern w:val="0"/>
        </w:rPr>
        <w:t xml:space="preserve"> of </w:t>
      </w:r>
      <w:r>
        <w:rPr>
          <w:kern w:val="0"/>
        </w:rPr>
        <w:t>included studies. Recommendations based on firm evidence cannot be given, although colectomy appears to be</w:t>
      </w:r>
      <w:r w:rsidR="003A1917">
        <w:rPr>
          <w:kern w:val="0"/>
        </w:rPr>
        <w:t xml:space="preserve"> the </w:t>
      </w:r>
      <w:r>
        <w:rPr>
          <w:kern w:val="0"/>
        </w:rPr>
        <w:t>optimum procedure in patients with a nondilated rectum, restorative proctocolectomy</w:t>
      </w:r>
      <w:r w:rsidR="003A1917">
        <w:rPr>
          <w:kern w:val="0"/>
        </w:rPr>
        <w:t xml:space="preserve"> the </w:t>
      </w:r>
      <w:r>
        <w:rPr>
          <w:kern w:val="0"/>
        </w:rPr>
        <w:t>most suitable in those with dilatation</w:t>
      </w:r>
      <w:r w:rsidR="00427468">
        <w:rPr>
          <w:kern w:val="0"/>
        </w:rPr>
        <w:t xml:space="preserve"> of </w:t>
      </w:r>
      <w:r w:rsidR="003A1917">
        <w:rPr>
          <w:kern w:val="0"/>
        </w:rPr>
        <w:t xml:space="preserve">the </w:t>
      </w:r>
      <w:r>
        <w:rPr>
          <w:kern w:val="0"/>
        </w:rPr>
        <w:t>colon</w:t>
      </w:r>
      <w:r w:rsidR="005853A9">
        <w:rPr>
          <w:kern w:val="0"/>
        </w:rPr>
        <w:t xml:space="preserve"> and </w:t>
      </w:r>
      <w:r>
        <w:rPr>
          <w:kern w:val="0"/>
        </w:rPr>
        <w:t>rectum,</w:t>
      </w:r>
      <w:r w:rsidR="005853A9">
        <w:rPr>
          <w:kern w:val="0"/>
        </w:rPr>
        <w:t xml:space="preserve"> and </w:t>
      </w:r>
      <w:r>
        <w:rPr>
          <w:kern w:val="0"/>
        </w:rPr>
        <w:t>VRR in those patients with dilatation confined to</w:t>
      </w:r>
      <w:r w:rsidR="003A1917">
        <w:rPr>
          <w:kern w:val="0"/>
        </w:rPr>
        <w:t xml:space="preserve"> the </w:t>
      </w:r>
      <w:r>
        <w:rPr>
          <w:kern w:val="0"/>
        </w:rPr>
        <w:t>rectum. Appropriately designed studies are required to make valid comparisons</w:t>
      </w:r>
      <w:r w:rsidR="00427468">
        <w:rPr>
          <w:kern w:val="0"/>
        </w:rPr>
        <w:t xml:space="preserve"> of </w:t>
      </w:r>
      <w:r w:rsidR="003A1917">
        <w:rPr>
          <w:kern w:val="0"/>
        </w:rPr>
        <w:t xml:space="preserve">the </w:t>
      </w:r>
      <w:r>
        <w:rPr>
          <w:kern w:val="0"/>
        </w:rPr>
        <w:t>different procedures available.</w:t>
      </w:r>
    </w:p>
    <w:p w:rsidR="004A4A6C" w:rsidRDefault="004A4A6C" w:rsidP="004A4A6C">
      <w:pPr>
        <w:pStyle w:val="a3"/>
        <w:rPr>
          <w:kern w:val="0"/>
        </w:rPr>
      </w:pPr>
      <w:r>
        <w:rPr>
          <w:kern w:val="0"/>
        </w:rPr>
        <w:t xml:space="preserve">Keywords: Acquired Megacolon, Adults, Articles, Case Series, Chronic Constipation, Citation, Criteria, Database, Duhamel Operation, English, Fecal Incontinence, Functional Gastrointestinal Disorders, Hirschsprungs-Disease, Language, </w:t>
      </w:r>
      <w:r w:rsidR="00D5664A">
        <w:rPr>
          <w:kern w:val="0"/>
        </w:rPr>
        <w:t>MEDLINE</w:t>
      </w:r>
      <w:r>
        <w:rPr>
          <w:kern w:val="0"/>
        </w:rPr>
        <w:t>, Methodology, Methods, Outcomes, Reduction, Restorative Proctocolectomy, Review, Science, Science Citation Index, Subtotal Colectomy, Surgery, Systematic Review</w:t>
      </w:r>
    </w:p>
    <w:p w:rsidR="003474F2" w:rsidRPr="001A3D2B" w:rsidRDefault="003474F2" w:rsidP="003474F2">
      <w:pPr>
        <w:pStyle w:val="a3"/>
      </w:pPr>
      <w:r w:rsidRPr="001A3D2B">
        <w:t>? Manterola, C., Pineda, V., Vial, M.</w:t>
      </w:r>
      <w:r w:rsidR="005853A9">
        <w:t xml:space="preserve"> and </w:t>
      </w:r>
      <w:r w:rsidRPr="001A3D2B">
        <w:t>Losada, H. (2006), What is</w:t>
      </w:r>
      <w:r w:rsidR="003A1917">
        <w:t xml:space="preserve"> the </w:t>
      </w:r>
      <w:r w:rsidRPr="001A3D2B">
        <w:t>methodologic quality</w:t>
      </w:r>
      <w:r w:rsidR="00427468">
        <w:t xml:space="preserve"> of </w:t>
      </w:r>
      <w:r w:rsidRPr="001A3D2B">
        <w:t xml:space="preserve">human therapy studies in ISI surgical publications? </w:t>
      </w:r>
      <w:r w:rsidRPr="001A3D2B">
        <w:rPr>
          <w:i/>
          <w:iCs/>
        </w:rPr>
        <w:t>Annals</w:t>
      </w:r>
      <w:r w:rsidR="00427468">
        <w:rPr>
          <w:i/>
          <w:iCs/>
        </w:rPr>
        <w:t xml:space="preserve"> of </w:t>
      </w:r>
      <w:r w:rsidRPr="001A3D2B">
        <w:rPr>
          <w:i/>
          <w:iCs/>
        </w:rPr>
        <w:t>Surgery</w:t>
      </w:r>
      <w:r w:rsidRPr="001A3D2B">
        <w:t xml:space="preserve">, </w:t>
      </w:r>
      <w:r w:rsidRPr="001A3D2B">
        <w:rPr>
          <w:b/>
          <w:bCs/>
        </w:rPr>
        <w:t>244</w:t>
      </w:r>
      <w:r w:rsidRPr="001A3D2B">
        <w:t xml:space="preserve"> (5), 827-832.</w:t>
      </w:r>
    </w:p>
    <w:p w:rsidR="003E631D" w:rsidRPr="001A3D2B" w:rsidRDefault="003E631D" w:rsidP="003E631D">
      <w:pPr>
        <w:pStyle w:val="a3"/>
        <w:rPr>
          <w:kern w:val="0"/>
          <w:szCs w:val="24"/>
        </w:rPr>
      </w:pPr>
      <w:r w:rsidRPr="001A3D2B">
        <w:rPr>
          <w:kern w:val="0"/>
          <w:szCs w:val="24"/>
        </w:rPr>
        <w:t xml:space="preserve">Full Text: </w:t>
      </w:r>
      <w:hyperlink r:id="rId961" w:history="1">
        <w:r w:rsidRPr="001A3D2B">
          <w:rPr>
            <w:rStyle w:val="a5"/>
            <w:kern w:val="0"/>
            <w:szCs w:val="24"/>
          </w:rPr>
          <w:t>2006\Ann Sur244, 827.pdf</w:t>
        </w:r>
      </w:hyperlink>
    </w:p>
    <w:p w:rsidR="003474F2" w:rsidRPr="001A3D2B" w:rsidRDefault="003474F2" w:rsidP="003474F2">
      <w:pPr>
        <w:pStyle w:val="a3"/>
      </w:pPr>
      <w:r w:rsidRPr="001A3D2B">
        <w:t>Abstract: Objective: To determine</w:t>
      </w:r>
      <w:r w:rsidR="003A1917">
        <w:t xml:space="preserve"> the </w:t>
      </w:r>
      <w:r w:rsidRPr="001A3D2B">
        <w:t>methodologic quality</w:t>
      </w:r>
      <w:r w:rsidR="00427468">
        <w:t xml:space="preserve"> of </w:t>
      </w:r>
      <w:r w:rsidRPr="001A3D2B">
        <w:t>therapy articles about humans published in ISI surgical journals,</w:t>
      </w:r>
      <w:r w:rsidR="005853A9">
        <w:t xml:space="preserve"> and </w:t>
      </w:r>
      <w:r w:rsidRPr="001A3D2B">
        <w:t>to explore</w:t>
      </w:r>
      <w:r w:rsidR="003A1917">
        <w:t xml:space="preserve"> the </w:t>
      </w:r>
      <w:r w:rsidRPr="001A3D2B">
        <w:t>association between methodologic quality, origin,</w:t>
      </w:r>
      <w:r w:rsidR="005853A9">
        <w:t xml:space="preserve"> and </w:t>
      </w:r>
      <w:r w:rsidRPr="001A3D2B">
        <w:t>subject matter. Summary Background Data: It is supposed that ISI journals contain</w:t>
      </w:r>
      <w:r w:rsidR="003A1917">
        <w:t xml:space="preserve"> the </w:t>
      </w:r>
      <w:r w:rsidRPr="001A3D2B">
        <w:t>best methodologic articles. Methods: This is a bibliometric study. All journals listed in</w:t>
      </w:r>
      <w:r w:rsidR="003A1917">
        <w:t xml:space="preserve"> the </w:t>
      </w:r>
      <w:r w:rsidRPr="001A3D2B">
        <w:t>2002 ISI under</w:t>
      </w:r>
      <w:r w:rsidR="003A1917">
        <w:t xml:space="preserve"> the </w:t>
      </w:r>
      <w:r w:rsidRPr="001A3D2B">
        <w:t>subject heading</w:t>
      </w:r>
      <w:r w:rsidR="00427468">
        <w:t xml:space="preserve"> of </w:t>
      </w:r>
      <w:r w:rsidR="00700038">
        <w:t>‘</w:t>
      </w:r>
      <w:r w:rsidR="00C13DDC">
        <w:t>s</w:t>
      </w:r>
      <w:r w:rsidRPr="001A3D2B">
        <w:t>urgery</w:t>
      </w:r>
      <w:r w:rsidR="00700038">
        <w:t>’</w:t>
      </w:r>
      <w:r w:rsidRPr="001A3D2B">
        <w:t xml:space="preserve"> were included. A simple randomized sampling was conducted for selected journals (Annals</w:t>
      </w:r>
      <w:r w:rsidR="00427468">
        <w:t xml:space="preserve"> of </w:t>
      </w:r>
      <w:r w:rsidRPr="001A3D2B">
        <w:t>Surgery,</w:t>
      </w:r>
      <w:r w:rsidR="003A1917">
        <w:t xml:space="preserve"> the </w:t>
      </w:r>
      <w:r w:rsidRPr="001A3D2B">
        <w:t>American Surgeon, Archives</w:t>
      </w:r>
      <w:r w:rsidR="00427468">
        <w:t xml:space="preserve"> of </w:t>
      </w:r>
      <w:r w:rsidRPr="001A3D2B">
        <w:t>Surgery, British Journal</w:t>
      </w:r>
      <w:r w:rsidR="00427468">
        <w:t xml:space="preserve"> of </w:t>
      </w:r>
      <w:r w:rsidRPr="001A3D2B">
        <w:t>Surgery, European Journal</w:t>
      </w:r>
      <w:r w:rsidR="00427468">
        <w:t xml:space="preserve"> of </w:t>
      </w:r>
      <w:r w:rsidRPr="001A3D2B">
        <w:t>Surgery, Journal</w:t>
      </w:r>
      <w:r w:rsidR="00427468">
        <w:t xml:space="preserve"> of </w:t>
      </w:r>
      <w:r w:rsidR="003A1917">
        <w:t xml:space="preserve">the </w:t>
      </w:r>
      <w:r w:rsidRPr="001A3D2B">
        <w:t>American College</w:t>
      </w:r>
      <w:r w:rsidR="00427468">
        <w:t xml:space="preserve"> of </w:t>
      </w:r>
      <w:r w:rsidRPr="001A3D2B">
        <w:t>Surgeons, Surgery,</w:t>
      </w:r>
      <w:r w:rsidR="005853A9">
        <w:t xml:space="preserve"> and </w:t>
      </w:r>
      <w:r w:rsidRPr="001A3D2B">
        <w:t>World Journal</w:t>
      </w:r>
      <w:r w:rsidR="00427468">
        <w:t xml:space="preserve"> of </w:t>
      </w:r>
      <w:r w:rsidRPr="001A3D2B">
        <w:t>Surgery). Published articles related to therapy on humans</w:t>
      </w:r>
      <w:r w:rsidR="00427468">
        <w:t xml:space="preserve"> of </w:t>
      </w:r>
      <w:r w:rsidR="003A1917">
        <w:t xml:space="preserve">the </w:t>
      </w:r>
      <w:r w:rsidRPr="001A3D2B">
        <w:t>selected journals were reviewed</w:t>
      </w:r>
      <w:r w:rsidR="005853A9">
        <w:t xml:space="preserve"> and </w:t>
      </w:r>
      <w:r w:rsidRPr="001A3D2B">
        <w:t>analyzed. All kinds</w:t>
      </w:r>
      <w:r w:rsidR="00427468">
        <w:t xml:space="preserve"> of </w:t>
      </w:r>
      <w:r w:rsidRPr="001A3D2B">
        <w:t>clinical designs were considered, excluding editorials, review articles, letters to</w:t>
      </w:r>
      <w:r w:rsidR="003A1917">
        <w:t xml:space="preserve"> the </w:t>
      </w:r>
      <w:r w:rsidRPr="001A3D2B">
        <w:t>editor,</w:t>
      </w:r>
      <w:r w:rsidR="005853A9">
        <w:t xml:space="preserve"> and </w:t>
      </w:r>
      <w:r w:rsidRPr="001A3D2B">
        <w:t>experimental studies</w:t>
      </w:r>
      <w:r w:rsidR="00A37C1D">
        <w:t>. The</w:t>
      </w:r>
      <w:r w:rsidR="003A1917">
        <w:t xml:space="preserve"> </w:t>
      </w:r>
      <w:r w:rsidRPr="001A3D2B">
        <w:t>variables considered were: place</w:t>
      </w:r>
      <w:r w:rsidR="00427468">
        <w:t xml:space="preserve"> of </w:t>
      </w:r>
      <w:r w:rsidRPr="001A3D2B">
        <w:t>origin, design,</w:t>
      </w:r>
      <w:r w:rsidR="005853A9">
        <w:t xml:space="preserve"> and </w:t>
      </w:r>
      <w:r w:rsidR="003A1917">
        <w:t xml:space="preserve">the </w:t>
      </w:r>
      <w:r w:rsidRPr="001A3D2B">
        <w:t>methodologic quality</w:t>
      </w:r>
      <w:r w:rsidR="00427468">
        <w:t xml:space="preserve"> of </w:t>
      </w:r>
      <w:r w:rsidRPr="001A3D2B">
        <w:t>articles, which was determined by applying a valid</w:t>
      </w:r>
      <w:r w:rsidR="005853A9">
        <w:t xml:space="preserve"> and </w:t>
      </w:r>
      <w:r w:rsidRPr="001A3D2B">
        <w:t>reliable scale</w:t>
      </w:r>
      <w:r w:rsidR="00A37C1D">
        <w:t>. The</w:t>
      </w:r>
      <w:r w:rsidR="003A1917">
        <w:t xml:space="preserve"> </w:t>
      </w:r>
      <w:r w:rsidRPr="001A3D2B">
        <w:t>review was performed interchangeably</w:t>
      </w:r>
      <w:r w:rsidR="005853A9">
        <w:t xml:space="preserve"> and </w:t>
      </w:r>
      <w:r w:rsidRPr="001A3D2B">
        <w:t>independently by 2 research teams. Descriptive</w:t>
      </w:r>
      <w:r w:rsidR="005853A9">
        <w:t xml:space="preserve"> and </w:t>
      </w:r>
      <w:r w:rsidRPr="001A3D2B">
        <w:t>analytical statistics were used. Statistical significance was defined as P values less than 1%. Results: A total</w:t>
      </w:r>
      <w:r w:rsidR="00427468">
        <w:t xml:space="preserve"> of </w:t>
      </w:r>
      <w:r w:rsidRPr="001A3D2B">
        <w:t>653 articles were studied. Studies came predominantly from</w:t>
      </w:r>
      <w:r w:rsidR="003A1917">
        <w:t xml:space="preserve"> the </w:t>
      </w:r>
      <w:r w:rsidRPr="001A3D2B">
        <w:t>United States</w:t>
      </w:r>
      <w:r w:rsidR="005853A9">
        <w:t xml:space="preserve"> and </w:t>
      </w:r>
      <w:r w:rsidRPr="001A3D2B">
        <w:t>Europe (43.6%</w:t>
      </w:r>
      <w:r w:rsidR="005853A9">
        <w:t xml:space="preserve"> and </w:t>
      </w:r>
      <w:r w:rsidRPr="001A3D2B">
        <w:t>36.8%, respectively)</w:t>
      </w:r>
      <w:r w:rsidR="00A37C1D">
        <w:t>. The</w:t>
      </w:r>
      <w:r w:rsidR="003A1917">
        <w:t xml:space="preserve"> </w:t>
      </w:r>
      <w:r w:rsidRPr="001A3D2B">
        <w:t>subject areas most frequently found were digestive</w:t>
      </w:r>
      <w:r w:rsidR="005853A9">
        <w:t xml:space="preserve"> and </w:t>
      </w:r>
      <w:r w:rsidRPr="001A3D2B">
        <w:t>hepatobiliopancreatic surgery (29.1%</w:t>
      </w:r>
      <w:r w:rsidR="005853A9">
        <w:t xml:space="preserve"> and </w:t>
      </w:r>
      <w:r w:rsidRPr="001A3D2B">
        <w:t>24.5%, respectively). Average</w:t>
      </w:r>
      <w:r w:rsidR="005853A9">
        <w:t xml:space="preserve"> and </w:t>
      </w:r>
      <w:r w:rsidRPr="001A3D2B">
        <w:t>median methodologic quality scores</w:t>
      </w:r>
      <w:r w:rsidR="00427468">
        <w:t xml:space="preserve"> of </w:t>
      </w:r>
      <w:r w:rsidR="003A1917">
        <w:t xml:space="preserve">the </w:t>
      </w:r>
      <w:r w:rsidRPr="001A3D2B">
        <w:t xml:space="preserve">entire series were 11.6±4.9 </w:t>
      </w:r>
      <w:r w:rsidRPr="001A3D2B">
        <w:lastRenderedPageBreak/>
        <w:t>points</w:t>
      </w:r>
      <w:r w:rsidR="005853A9">
        <w:t xml:space="preserve"> and </w:t>
      </w:r>
      <w:r w:rsidRPr="001A3D2B">
        <w:t>11 points, respectively</w:t>
      </w:r>
      <w:r w:rsidR="00A37C1D">
        <w:t>. The</w:t>
      </w:r>
      <w:r w:rsidR="003A1917">
        <w:t xml:space="preserve"> </w:t>
      </w:r>
      <w:r w:rsidRPr="001A3D2B">
        <w:t>association between methodologic quality</w:t>
      </w:r>
      <w:r w:rsidR="005853A9">
        <w:t xml:space="preserve"> and </w:t>
      </w:r>
      <w:r w:rsidRPr="001A3D2B">
        <w:t>journals was determined. Also,</w:t>
      </w:r>
      <w:r w:rsidR="003A1917">
        <w:t xml:space="preserve"> the </w:t>
      </w:r>
      <w:r w:rsidRPr="001A3D2B">
        <w:t>association between methodologic quality</w:t>
      </w:r>
      <w:r w:rsidR="005853A9">
        <w:t xml:space="preserve"> and </w:t>
      </w:r>
      <w:r w:rsidRPr="001A3D2B">
        <w:t>origin was observed, but no association with subject area was verified. Conclusions:</w:t>
      </w:r>
      <w:r w:rsidR="003A1917">
        <w:t xml:space="preserve"> the </w:t>
      </w:r>
      <w:r w:rsidRPr="001A3D2B">
        <w:t>methodologic quality</w:t>
      </w:r>
      <w:r w:rsidR="00427468">
        <w:t xml:space="preserve"> of </w:t>
      </w:r>
      <w:r w:rsidRPr="001A3D2B">
        <w:t>therapy articles published in</w:t>
      </w:r>
      <w:r w:rsidR="003A1917">
        <w:t xml:space="preserve"> the </w:t>
      </w:r>
      <w:r w:rsidRPr="001A3D2B">
        <w:t>journals analyzed is low; however, statistical significance was determined between them. Association was observed between methodologic quality</w:t>
      </w:r>
      <w:r w:rsidR="005853A9">
        <w:t xml:space="preserve"> and </w:t>
      </w:r>
      <w:r w:rsidRPr="001A3D2B">
        <w:t>origin, but not with subject matter.</w:t>
      </w:r>
    </w:p>
    <w:p w:rsidR="003474F2" w:rsidRPr="001A3D2B" w:rsidRDefault="003474F2" w:rsidP="003474F2">
      <w:pPr>
        <w:pStyle w:val="a3"/>
      </w:pPr>
      <w:r w:rsidRPr="001A3D2B">
        <w:t>Keywords: Bibliometric Study, Clinical, Design, Europe, Human, Humans</w:t>
      </w:r>
      <w:r w:rsidR="00D5664A">
        <w:t>, ISI,</w:t>
      </w:r>
      <w:r w:rsidRPr="001A3D2B">
        <w:t xml:space="preserve"> Low, Matter, Publications, Quality, Randomized, Research, Review, Sampling, Scale, Statistics, Surgery, Therapy, United States</w:t>
      </w:r>
    </w:p>
    <w:p w:rsidR="005F3371" w:rsidRDefault="005F3371" w:rsidP="005F3371">
      <w:pPr>
        <w:pStyle w:val="a3"/>
        <w:rPr>
          <w:kern w:val="0"/>
        </w:rPr>
      </w:pPr>
      <w:r>
        <w:rPr>
          <w:rFonts w:hint="eastAsia"/>
          <w:kern w:val="0"/>
        </w:rPr>
        <w:t xml:space="preserve">? </w:t>
      </w:r>
      <w:r>
        <w:rPr>
          <w:kern w:val="0"/>
        </w:rPr>
        <w:t>Diener, M.K., Knaebel, H.P., Heukaufer, C., Antes, G., Buchler, M.W.</w:t>
      </w:r>
      <w:r w:rsidR="005853A9">
        <w:rPr>
          <w:kern w:val="0"/>
        </w:rPr>
        <w:t xml:space="preserve"> and </w:t>
      </w:r>
      <w:r>
        <w:rPr>
          <w:kern w:val="0"/>
        </w:rPr>
        <w:t>Seiler, C.M. (2007), A systematic review</w:t>
      </w:r>
      <w:r w:rsidR="005853A9">
        <w:rPr>
          <w:kern w:val="0"/>
        </w:rPr>
        <w:t xml:space="preserve"> and </w:t>
      </w:r>
      <w:r>
        <w:rPr>
          <w:kern w:val="0"/>
        </w:rPr>
        <w:t>meta-analysis</w:t>
      </w:r>
      <w:r w:rsidR="00427468">
        <w:rPr>
          <w:kern w:val="0"/>
        </w:rPr>
        <w:t xml:space="preserve"> of </w:t>
      </w:r>
      <w:r>
        <w:rPr>
          <w:kern w:val="0"/>
        </w:rPr>
        <w:t>pylorus-preserving versus classical pancreaticoduodenectomy for surgical treatment</w:t>
      </w:r>
      <w:r w:rsidR="00427468">
        <w:rPr>
          <w:kern w:val="0"/>
        </w:rPr>
        <w:t xml:space="preserve"> of </w:t>
      </w:r>
      <w:r>
        <w:rPr>
          <w:kern w:val="0"/>
        </w:rPr>
        <w:t>periampullary</w:t>
      </w:r>
      <w:r w:rsidR="005853A9">
        <w:rPr>
          <w:kern w:val="0"/>
        </w:rPr>
        <w:t xml:space="preserve"> and </w:t>
      </w:r>
      <w:r>
        <w:rPr>
          <w:kern w:val="0"/>
        </w:rPr>
        <w:t xml:space="preserve">pancreatic carcinoma. </w:t>
      </w:r>
      <w:r>
        <w:rPr>
          <w:i/>
          <w:iCs/>
          <w:kern w:val="0"/>
        </w:rPr>
        <w:t>Annals</w:t>
      </w:r>
      <w:r w:rsidR="00427468">
        <w:rPr>
          <w:i/>
          <w:iCs/>
          <w:kern w:val="0"/>
        </w:rPr>
        <w:t xml:space="preserve"> of </w:t>
      </w:r>
      <w:r>
        <w:rPr>
          <w:i/>
          <w:iCs/>
          <w:kern w:val="0"/>
        </w:rPr>
        <w:t>Surgery</w:t>
      </w:r>
      <w:r>
        <w:rPr>
          <w:kern w:val="0"/>
        </w:rPr>
        <w:t xml:space="preserve">, </w:t>
      </w:r>
      <w:r>
        <w:rPr>
          <w:b/>
          <w:bCs/>
          <w:kern w:val="0"/>
        </w:rPr>
        <w:t>245</w:t>
      </w:r>
      <w:r>
        <w:rPr>
          <w:kern w:val="0"/>
        </w:rPr>
        <w:t xml:space="preserve"> (2), 187-200.</w:t>
      </w:r>
    </w:p>
    <w:p w:rsidR="005F3371" w:rsidRPr="00F219CA" w:rsidRDefault="005F3371" w:rsidP="005F3371">
      <w:pPr>
        <w:pStyle w:val="a3"/>
        <w:rPr>
          <w:kern w:val="0"/>
          <w:szCs w:val="24"/>
        </w:rPr>
      </w:pPr>
      <w:r w:rsidRPr="00F219CA">
        <w:rPr>
          <w:kern w:val="0"/>
          <w:szCs w:val="24"/>
        </w:rPr>
        <w:t xml:space="preserve">Full Text: </w:t>
      </w:r>
      <w:hyperlink r:id="rId962" w:history="1">
        <w:r w:rsidRPr="00547FE3">
          <w:rPr>
            <w:rStyle w:val="a5"/>
            <w:kern w:val="0"/>
            <w:szCs w:val="24"/>
          </w:rPr>
          <w:t>2007\Ann Sur245, 187.pdf</w:t>
        </w:r>
      </w:hyperlink>
    </w:p>
    <w:p w:rsidR="005F3371" w:rsidRDefault="005F3371" w:rsidP="005F3371">
      <w:pPr>
        <w:pStyle w:val="a3"/>
        <w:rPr>
          <w:kern w:val="0"/>
        </w:rPr>
      </w:pPr>
      <w:r>
        <w:rPr>
          <w:kern w:val="0"/>
        </w:rPr>
        <w:t>Abstract: Objective: Comparison</w:t>
      </w:r>
      <w:r w:rsidR="00427468">
        <w:rPr>
          <w:kern w:val="0"/>
        </w:rPr>
        <w:t xml:space="preserve"> of </w:t>
      </w:r>
      <w:r>
        <w:rPr>
          <w:kern w:val="0"/>
        </w:rPr>
        <w:t>effectiveness between</w:t>
      </w:r>
      <w:r w:rsidR="003A1917">
        <w:rPr>
          <w:kern w:val="0"/>
        </w:rPr>
        <w:t xml:space="preserve"> the </w:t>
      </w:r>
      <w:r>
        <w:rPr>
          <w:kern w:val="0"/>
        </w:rPr>
        <w:t>pylorus-preserving pancreaticoduodenectomy (</w:t>
      </w:r>
      <w:r w:rsidR="00B5188C">
        <w:rPr>
          <w:kern w:val="0"/>
        </w:rPr>
        <w:t>“</w:t>
      </w:r>
      <w:r>
        <w:rPr>
          <w:kern w:val="0"/>
        </w:rPr>
        <w:t>pylorus-preserving Whipple</w:t>
      </w:r>
      <w:r w:rsidR="00B5188C">
        <w:rPr>
          <w:kern w:val="0"/>
        </w:rPr>
        <w:t>”</w:t>
      </w:r>
      <w:r>
        <w:rPr>
          <w:kern w:val="0"/>
        </w:rPr>
        <w:t xml:space="preserve"> [PPW])</w:t>
      </w:r>
      <w:r w:rsidR="005853A9">
        <w:rPr>
          <w:kern w:val="0"/>
        </w:rPr>
        <w:t xml:space="preserve"> and </w:t>
      </w:r>
      <w:r w:rsidR="003A1917">
        <w:rPr>
          <w:kern w:val="0"/>
        </w:rPr>
        <w:t xml:space="preserve">the </w:t>
      </w:r>
      <w:r>
        <w:rPr>
          <w:kern w:val="0"/>
        </w:rPr>
        <w:t>classic Whipple (CW) procedure. Methods: A systematic literature search (</w:t>
      </w:r>
      <w:r w:rsidR="00D5664A">
        <w:rPr>
          <w:kern w:val="0"/>
        </w:rPr>
        <w:t>MEDLINE</w:t>
      </w:r>
      <w:r>
        <w:rPr>
          <w:kern w:val="0"/>
        </w:rPr>
        <w:t>, Embase, Cochrane Library, Biosis, Science Citation Index, Ovid Journals) was performed to identify all eligible articles. Randomized controlled trials (RCTs) comparing PPW versus CW for periampullary</w:t>
      </w:r>
      <w:r w:rsidR="005853A9">
        <w:rPr>
          <w:kern w:val="0"/>
        </w:rPr>
        <w:t xml:space="preserve"> and </w:t>
      </w:r>
      <w:r>
        <w:rPr>
          <w:kern w:val="0"/>
        </w:rPr>
        <w:t>pancreatic carcinoma were eligible for inclusion</w:t>
      </w:r>
      <w:r w:rsidR="00A37C1D">
        <w:rPr>
          <w:kern w:val="0"/>
        </w:rPr>
        <w:t>. The</w:t>
      </w:r>
      <w:r w:rsidR="003A1917">
        <w:rPr>
          <w:kern w:val="0"/>
        </w:rPr>
        <w:t xml:space="preserve"> </w:t>
      </w:r>
      <w:r>
        <w:rPr>
          <w:kern w:val="0"/>
        </w:rPr>
        <w:t>methodologic quality</w:t>
      </w:r>
      <w:r w:rsidR="00427468">
        <w:rPr>
          <w:kern w:val="0"/>
        </w:rPr>
        <w:t xml:space="preserve"> of </w:t>
      </w:r>
      <w:r>
        <w:rPr>
          <w:kern w:val="0"/>
        </w:rPr>
        <w:t>included studies was evaluated independently by 2 authors. Quantitative data on perioperative parameters (blood loss, transfusion, operation time,</w:t>
      </w:r>
      <w:r w:rsidR="005853A9">
        <w:rPr>
          <w:kern w:val="0"/>
        </w:rPr>
        <w:t xml:space="preserve"> and </w:t>
      </w:r>
      <w:r>
        <w:rPr>
          <w:kern w:val="0"/>
        </w:rPr>
        <w:t>length</w:t>
      </w:r>
      <w:r w:rsidR="00427468">
        <w:rPr>
          <w:kern w:val="0"/>
        </w:rPr>
        <w:t xml:space="preserve"> of </w:t>
      </w:r>
      <w:r>
        <w:rPr>
          <w:kern w:val="0"/>
        </w:rPr>
        <w:t>hospital stay), mortality, morbidity,</w:t>
      </w:r>
      <w:r w:rsidR="005853A9">
        <w:rPr>
          <w:kern w:val="0"/>
        </w:rPr>
        <w:t xml:space="preserve"> and </w:t>
      </w:r>
      <w:r>
        <w:rPr>
          <w:kern w:val="0"/>
        </w:rPr>
        <w:t>survival were extracted from included studies for meta-analysis. Pooled estimates</w:t>
      </w:r>
      <w:r w:rsidR="00427468">
        <w:rPr>
          <w:kern w:val="0"/>
        </w:rPr>
        <w:t xml:space="preserve"> of </w:t>
      </w:r>
      <w:r>
        <w:rPr>
          <w:kern w:val="0"/>
        </w:rPr>
        <w:t>overall treatment effect were calculated using a random effects model. Results: In total, 1235 abstracts were retrieved</w:t>
      </w:r>
      <w:r w:rsidR="005853A9">
        <w:rPr>
          <w:kern w:val="0"/>
        </w:rPr>
        <w:t xml:space="preserve"> and </w:t>
      </w:r>
      <w:r>
        <w:rPr>
          <w:kern w:val="0"/>
        </w:rPr>
        <w:t>checked for eligibility</w:t>
      </w:r>
      <w:r w:rsidR="005853A9">
        <w:rPr>
          <w:kern w:val="0"/>
        </w:rPr>
        <w:t xml:space="preserve"> and </w:t>
      </w:r>
      <w:r>
        <w:rPr>
          <w:kern w:val="0"/>
        </w:rPr>
        <w:t>6 RCTs finally included</w:t>
      </w:r>
      <w:r w:rsidR="00A37C1D">
        <w:rPr>
          <w:kern w:val="0"/>
        </w:rPr>
        <w:t>. The</w:t>
      </w:r>
      <w:r w:rsidR="003A1917">
        <w:rPr>
          <w:kern w:val="0"/>
        </w:rPr>
        <w:t xml:space="preserve"> </w:t>
      </w:r>
      <w:r>
        <w:rPr>
          <w:kern w:val="0"/>
        </w:rPr>
        <w:t>critical appraisal revealed vast heterogeneity with respect to methodologic quality</w:t>
      </w:r>
      <w:r w:rsidR="005853A9">
        <w:rPr>
          <w:kern w:val="0"/>
        </w:rPr>
        <w:t xml:space="preserve"> and </w:t>
      </w:r>
      <w:r>
        <w:rPr>
          <w:kern w:val="0"/>
        </w:rPr>
        <w:t>outcome parameters</w:t>
      </w:r>
      <w:r w:rsidR="00A37C1D">
        <w:rPr>
          <w:kern w:val="0"/>
        </w:rPr>
        <w:t>. The</w:t>
      </w:r>
      <w:r w:rsidR="003A1917">
        <w:rPr>
          <w:kern w:val="0"/>
        </w:rPr>
        <w:t xml:space="preserve"> </w:t>
      </w:r>
      <w:r>
        <w:rPr>
          <w:kern w:val="0"/>
        </w:rPr>
        <w:t>comparison</w:t>
      </w:r>
      <w:r w:rsidR="00427468">
        <w:rPr>
          <w:kern w:val="0"/>
        </w:rPr>
        <w:t xml:space="preserve"> of </w:t>
      </w:r>
      <w:r>
        <w:rPr>
          <w:kern w:val="0"/>
        </w:rPr>
        <w:t>overall in-hospital mortality (odds ratio, 0.49; 95% Cl, 0.17 to 1.40; P = 0.18), morbidity (odds ratio 0.89; 95% Cl, 0.48 to 1.62; P = 0.69),</w:t>
      </w:r>
      <w:r w:rsidR="005853A9">
        <w:rPr>
          <w:kern w:val="0"/>
        </w:rPr>
        <w:t xml:space="preserve"> and </w:t>
      </w:r>
      <w:r>
        <w:rPr>
          <w:kern w:val="0"/>
        </w:rPr>
        <w:t>survival (hazard ratio, 0.74; 95% Cl, 0.52 to 1.07; P = 0.11) showed no significant difference. However, operating time (weighted mean difference, -68.26 minutes; 95% CI, -105.70 to -30.83; P = 0.0004),</w:t>
      </w:r>
      <w:r w:rsidR="005853A9">
        <w:rPr>
          <w:kern w:val="0"/>
        </w:rPr>
        <w:t xml:space="preserve"> and </w:t>
      </w:r>
      <w:r>
        <w:rPr>
          <w:kern w:val="0"/>
        </w:rPr>
        <w:t>intraoperative blood loss (weighted mean difference, -766 mL; 95% Cl, -965.26 to -566.74; P = 0.00001) were significantly reduced in</w:t>
      </w:r>
      <w:r w:rsidR="003A1917">
        <w:rPr>
          <w:kern w:val="0"/>
        </w:rPr>
        <w:t xml:space="preserve"> the </w:t>
      </w:r>
      <w:r>
        <w:rPr>
          <w:kern w:val="0"/>
        </w:rPr>
        <w:t>PPW group. Conclusion: Hence, in</w:t>
      </w:r>
      <w:r w:rsidR="003A1917">
        <w:rPr>
          <w:kern w:val="0"/>
        </w:rPr>
        <w:t xml:space="preserve"> the </w:t>
      </w:r>
      <w:r>
        <w:rPr>
          <w:kern w:val="0"/>
        </w:rPr>
        <w:t>absence</w:t>
      </w:r>
      <w:r w:rsidR="00427468">
        <w:rPr>
          <w:kern w:val="0"/>
        </w:rPr>
        <w:t xml:space="preserve"> of </w:t>
      </w:r>
      <w:r>
        <w:rPr>
          <w:kern w:val="0"/>
        </w:rPr>
        <w:t>relevant differences in mortality, morbidity,</w:t>
      </w:r>
      <w:r w:rsidR="005853A9">
        <w:rPr>
          <w:kern w:val="0"/>
        </w:rPr>
        <w:t xml:space="preserve"> and </w:t>
      </w:r>
      <w:r>
        <w:rPr>
          <w:kern w:val="0"/>
        </w:rPr>
        <w:t>survival,</w:t>
      </w:r>
      <w:r w:rsidR="003A1917">
        <w:rPr>
          <w:kern w:val="0"/>
        </w:rPr>
        <w:t xml:space="preserve"> the </w:t>
      </w:r>
      <w:r>
        <w:rPr>
          <w:kern w:val="0"/>
        </w:rPr>
        <w:t>PPW seems to be as effective as</w:t>
      </w:r>
      <w:r w:rsidR="003A1917">
        <w:rPr>
          <w:kern w:val="0"/>
        </w:rPr>
        <w:t xml:space="preserve"> the </w:t>
      </w:r>
      <w:r>
        <w:rPr>
          <w:kern w:val="0"/>
        </w:rPr>
        <w:t>CW. Given obvious clinical</w:t>
      </w:r>
      <w:r w:rsidR="005853A9">
        <w:rPr>
          <w:kern w:val="0"/>
        </w:rPr>
        <w:t xml:space="preserve"> and </w:t>
      </w:r>
      <w:r>
        <w:rPr>
          <w:kern w:val="0"/>
        </w:rPr>
        <w:t>methodological interstudy heterogeneity, efforts should be intensified in</w:t>
      </w:r>
      <w:r w:rsidR="003A1917">
        <w:rPr>
          <w:kern w:val="0"/>
        </w:rPr>
        <w:t xml:space="preserve"> the </w:t>
      </w:r>
      <w:r>
        <w:rPr>
          <w:kern w:val="0"/>
        </w:rPr>
        <w:t>future to perform high quality RCTs</w:t>
      </w:r>
      <w:r w:rsidR="00427468">
        <w:rPr>
          <w:kern w:val="0"/>
        </w:rPr>
        <w:t xml:space="preserve"> of </w:t>
      </w:r>
      <w:r>
        <w:rPr>
          <w:kern w:val="0"/>
        </w:rPr>
        <w:t>complex surgical interventions on</w:t>
      </w:r>
      <w:r w:rsidR="003A1917">
        <w:rPr>
          <w:kern w:val="0"/>
        </w:rPr>
        <w:t xml:space="preserve"> the </w:t>
      </w:r>
      <w:r>
        <w:rPr>
          <w:kern w:val="0"/>
        </w:rPr>
        <w:t>basis</w:t>
      </w:r>
      <w:r w:rsidR="00427468">
        <w:rPr>
          <w:kern w:val="0"/>
        </w:rPr>
        <w:t xml:space="preserve"> of </w:t>
      </w:r>
      <w:r>
        <w:rPr>
          <w:kern w:val="0"/>
        </w:rPr>
        <w:t>well defined outcome parameters.</w:t>
      </w:r>
    </w:p>
    <w:p w:rsidR="005F3371" w:rsidRDefault="005F3371" w:rsidP="005F3371">
      <w:pPr>
        <w:pStyle w:val="a3"/>
        <w:rPr>
          <w:kern w:val="0"/>
        </w:rPr>
      </w:pPr>
      <w:r>
        <w:rPr>
          <w:kern w:val="0"/>
        </w:rPr>
        <w:lastRenderedPageBreak/>
        <w:t xml:space="preserve">Keywords: Articles, Citation, Clinical-Trials, Comparison, Complex, Ductal Adenocarcinoma, Effectiveness, Extended Retroperitoneal Lymphadenectomy, Heterogeneity, Journals, Literature, </w:t>
      </w:r>
      <w:r w:rsidR="00D5664A">
        <w:rPr>
          <w:kern w:val="0"/>
        </w:rPr>
        <w:t>MEDLINE</w:t>
      </w:r>
      <w:r>
        <w:rPr>
          <w:kern w:val="0"/>
        </w:rPr>
        <w:t>, Meta-Analysis, Model, Multicenter Trial, Postoperative Complications, Prospective-Randomized-Trial, Quality</w:t>
      </w:r>
      <w:r w:rsidR="00434900">
        <w:rPr>
          <w:kern w:val="0"/>
        </w:rPr>
        <w:t>-of-</w:t>
      </w:r>
      <w:r>
        <w:rPr>
          <w:kern w:val="0"/>
        </w:rPr>
        <w:t>Life, Randomized Controlled Trials, Review, Risk-Factors, Science, Science Citation Index, Standard Pancreaticoduodenectomy, Systematic Review, Treatment, Whipple Procedure</w:t>
      </w:r>
    </w:p>
    <w:p w:rsidR="005F3371" w:rsidRDefault="005F3371" w:rsidP="005F3371">
      <w:pPr>
        <w:pStyle w:val="a3"/>
        <w:rPr>
          <w:kern w:val="0"/>
        </w:rPr>
      </w:pPr>
      <w:r>
        <w:rPr>
          <w:rFonts w:hint="eastAsia"/>
          <w:kern w:val="0"/>
        </w:rPr>
        <w:t xml:space="preserve">? </w:t>
      </w:r>
      <w:r>
        <w:rPr>
          <w:kern w:val="0"/>
        </w:rPr>
        <w:t>Diener, M.K., Rahbari, N.N., Fischer, L., Antes, G., Buchler, M.W.</w:t>
      </w:r>
      <w:r w:rsidR="005853A9">
        <w:rPr>
          <w:kern w:val="0"/>
        </w:rPr>
        <w:t xml:space="preserve"> and </w:t>
      </w:r>
      <w:r>
        <w:rPr>
          <w:kern w:val="0"/>
        </w:rPr>
        <w:t>Seiler, C.M. (2008), Duodenum-preserving pancreatic head resection versus pancreatoduodenectomy for surgical treatment</w:t>
      </w:r>
      <w:r w:rsidR="00427468">
        <w:rPr>
          <w:kern w:val="0"/>
        </w:rPr>
        <w:t xml:space="preserve"> of </w:t>
      </w:r>
      <w:r>
        <w:rPr>
          <w:kern w:val="0"/>
        </w:rPr>
        <w:t>chronic pancreatitis - A systematic review</w:t>
      </w:r>
      <w:r w:rsidR="005853A9">
        <w:rPr>
          <w:kern w:val="0"/>
        </w:rPr>
        <w:t xml:space="preserve"> and </w:t>
      </w:r>
      <w:r>
        <w:rPr>
          <w:kern w:val="0"/>
        </w:rPr>
        <w:t xml:space="preserve">meta-analysis. </w:t>
      </w:r>
      <w:r>
        <w:rPr>
          <w:i/>
          <w:iCs/>
          <w:kern w:val="0"/>
        </w:rPr>
        <w:t>Annals</w:t>
      </w:r>
      <w:r w:rsidR="00427468">
        <w:rPr>
          <w:i/>
          <w:iCs/>
          <w:kern w:val="0"/>
        </w:rPr>
        <w:t xml:space="preserve"> of </w:t>
      </w:r>
      <w:r>
        <w:rPr>
          <w:i/>
          <w:iCs/>
          <w:kern w:val="0"/>
        </w:rPr>
        <w:t>Surgery</w:t>
      </w:r>
      <w:r>
        <w:rPr>
          <w:kern w:val="0"/>
        </w:rPr>
        <w:t xml:space="preserve">, </w:t>
      </w:r>
      <w:r>
        <w:rPr>
          <w:b/>
          <w:bCs/>
          <w:kern w:val="0"/>
        </w:rPr>
        <w:t>247</w:t>
      </w:r>
      <w:r>
        <w:rPr>
          <w:kern w:val="0"/>
        </w:rPr>
        <w:t xml:space="preserve"> (6), 950-961.</w:t>
      </w:r>
    </w:p>
    <w:p w:rsidR="005F3371" w:rsidRPr="00F219CA" w:rsidRDefault="005F3371" w:rsidP="005F3371">
      <w:pPr>
        <w:pStyle w:val="a3"/>
        <w:rPr>
          <w:kern w:val="0"/>
          <w:szCs w:val="24"/>
        </w:rPr>
      </w:pPr>
      <w:r w:rsidRPr="00F219CA">
        <w:rPr>
          <w:kern w:val="0"/>
          <w:szCs w:val="24"/>
        </w:rPr>
        <w:t xml:space="preserve">Full Text: </w:t>
      </w:r>
      <w:hyperlink r:id="rId963" w:history="1">
        <w:r w:rsidRPr="00547FE3">
          <w:rPr>
            <w:rStyle w:val="a5"/>
            <w:kern w:val="0"/>
            <w:szCs w:val="24"/>
          </w:rPr>
          <w:t>2008\Ann Sur247, 950.pdf</w:t>
        </w:r>
      </w:hyperlink>
    </w:p>
    <w:p w:rsidR="005F3371" w:rsidRDefault="005F3371" w:rsidP="005F3371">
      <w:pPr>
        <w:pStyle w:val="a3"/>
        <w:rPr>
          <w:kern w:val="0"/>
        </w:rPr>
      </w:pPr>
      <w:r>
        <w:rPr>
          <w:kern w:val="0"/>
        </w:rPr>
        <w:t>Abstract: Objective:</w:t>
      </w:r>
      <w:r w:rsidR="003A1917">
        <w:rPr>
          <w:kern w:val="0"/>
        </w:rPr>
        <w:t xml:space="preserve"> the </w:t>
      </w:r>
      <w:r>
        <w:rPr>
          <w:kern w:val="0"/>
        </w:rPr>
        <w:t>optimal choice</w:t>
      </w:r>
      <w:r w:rsidR="00427468">
        <w:rPr>
          <w:kern w:val="0"/>
        </w:rPr>
        <w:t xml:space="preserve"> of </w:t>
      </w:r>
      <w:r>
        <w:rPr>
          <w:kern w:val="0"/>
        </w:rPr>
        <w:t>technique for</w:t>
      </w:r>
      <w:r w:rsidR="003A1917">
        <w:rPr>
          <w:kern w:val="0"/>
        </w:rPr>
        <w:t xml:space="preserve"> the </w:t>
      </w:r>
      <w:r>
        <w:rPr>
          <w:kern w:val="0"/>
        </w:rPr>
        <w:t>surgical treatment</w:t>
      </w:r>
      <w:r w:rsidR="00427468">
        <w:rPr>
          <w:kern w:val="0"/>
        </w:rPr>
        <w:t xml:space="preserve"> of </w:t>
      </w:r>
      <w:r>
        <w:rPr>
          <w:kern w:val="0"/>
        </w:rPr>
        <w:t>pancreatic head lesions in chronic pancreatitis is still under debate. This systematic review</w:t>
      </w:r>
      <w:r w:rsidR="005853A9">
        <w:rPr>
          <w:kern w:val="0"/>
        </w:rPr>
        <w:t xml:space="preserve"> and </w:t>
      </w:r>
      <w:r>
        <w:rPr>
          <w:kern w:val="0"/>
        </w:rPr>
        <w:t>meta-analysis aims to compare</w:t>
      </w:r>
      <w:r w:rsidR="003A1917">
        <w:rPr>
          <w:kern w:val="0"/>
        </w:rPr>
        <w:t xml:space="preserve"> the </w:t>
      </w:r>
      <w:r>
        <w:rPr>
          <w:kern w:val="0"/>
        </w:rPr>
        <w:t>effectiveness</w:t>
      </w:r>
      <w:r w:rsidR="005853A9">
        <w:rPr>
          <w:kern w:val="0"/>
        </w:rPr>
        <w:t xml:space="preserve"> and </w:t>
      </w:r>
      <w:r>
        <w:rPr>
          <w:kern w:val="0"/>
        </w:rPr>
        <w:t>safety</w:t>
      </w:r>
      <w:r w:rsidR="00427468">
        <w:rPr>
          <w:kern w:val="0"/>
        </w:rPr>
        <w:t xml:space="preserve"> of </w:t>
      </w:r>
      <w:r>
        <w:rPr>
          <w:kern w:val="0"/>
        </w:rPr>
        <w:t>duodenum-preserving pancreatic head resection (DPPHR) versus pancreatoduodenectomy (PD) by means</w:t>
      </w:r>
      <w:r w:rsidR="00427468">
        <w:rPr>
          <w:kern w:val="0"/>
        </w:rPr>
        <w:t xml:space="preserve"> of </w:t>
      </w:r>
      <w:r>
        <w:rPr>
          <w:kern w:val="0"/>
        </w:rPr>
        <w:t>parameters</w:t>
      </w:r>
      <w:r w:rsidR="00427468">
        <w:rPr>
          <w:kern w:val="0"/>
        </w:rPr>
        <w:t xml:space="preserve"> of </w:t>
      </w:r>
      <w:r>
        <w:rPr>
          <w:kern w:val="0"/>
        </w:rPr>
        <w:t>mortality</w:t>
      </w:r>
      <w:r w:rsidR="005853A9">
        <w:rPr>
          <w:kern w:val="0"/>
        </w:rPr>
        <w:t xml:space="preserve"> and </w:t>
      </w:r>
      <w:r>
        <w:rPr>
          <w:kern w:val="0"/>
        </w:rPr>
        <w:t>morbidity</w:t>
      </w:r>
      <w:r w:rsidR="005853A9">
        <w:rPr>
          <w:kern w:val="0"/>
        </w:rPr>
        <w:t xml:space="preserve"> and </w:t>
      </w:r>
      <w:r>
        <w:rPr>
          <w:kern w:val="0"/>
        </w:rPr>
        <w:t>functional outcomes</w:t>
      </w:r>
      <w:r w:rsidR="005853A9">
        <w:rPr>
          <w:kern w:val="0"/>
        </w:rPr>
        <w:t xml:space="preserve"> and </w:t>
      </w:r>
      <w:r>
        <w:rPr>
          <w:kern w:val="0"/>
        </w:rPr>
        <w:t>quality</w:t>
      </w:r>
      <w:r w:rsidR="00427468">
        <w:rPr>
          <w:kern w:val="0"/>
        </w:rPr>
        <w:t xml:space="preserve"> of </w:t>
      </w:r>
      <w:r>
        <w:rPr>
          <w:kern w:val="0"/>
        </w:rPr>
        <w:t>life. Methods: A systematic literature search (</w:t>
      </w:r>
      <w:r w:rsidR="00D5664A">
        <w:rPr>
          <w:kern w:val="0"/>
        </w:rPr>
        <w:t>MEDLINE</w:t>
      </w:r>
      <w:r>
        <w:rPr>
          <w:kern w:val="0"/>
        </w:rPr>
        <w:t>, Embase, Biosis,</w:t>
      </w:r>
      <w:r w:rsidR="003A1917">
        <w:rPr>
          <w:kern w:val="0"/>
        </w:rPr>
        <w:t xml:space="preserve"> the </w:t>
      </w:r>
      <w:r>
        <w:rPr>
          <w:kern w:val="0"/>
        </w:rPr>
        <w:t>Cochrane Library,</w:t>
      </w:r>
      <w:r w:rsidR="005853A9">
        <w:rPr>
          <w:kern w:val="0"/>
        </w:rPr>
        <w:t xml:space="preserve"> and </w:t>
      </w:r>
      <w:r>
        <w:rPr>
          <w:kern w:val="0"/>
        </w:rPr>
        <w:t>Science Citation Index) was performed to identify randomized controlled trials (RCTs) comparing DPPHR</w:t>
      </w:r>
      <w:r w:rsidR="005853A9">
        <w:rPr>
          <w:kern w:val="0"/>
        </w:rPr>
        <w:t xml:space="preserve"> and </w:t>
      </w:r>
      <w:r>
        <w:rPr>
          <w:kern w:val="0"/>
        </w:rPr>
        <w:t>PD, Included literature was assessed</w:t>
      </w:r>
      <w:r w:rsidR="005853A9">
        <w:rPr>
          <w:kern w:val="0"/>
        </w:rPr>
        <w:t xml:space="preserve"> and </w:t>
      </w:r>
      <w:r>
        <w:rPr>
          <w:kern w:val="0"/>
        </w:rPr>
        <w:t>extracted by 2 independent reviewers. A meta-analysis</w:t>
      </w:r>
      <w:r w:rsidR="00427468">
        <w:rPr>
          <w:kern w:val="0"/>
        </w:rPr>
        <w:t xml:space="preserve"> of </w:t>
      </w:r>
      <w:r>
        <w:rPr>
          <w:kern w:val="0"/>
        </w:rPr>
        <w:t>pain relief (primary end point), several parameters</w:t>
      </w:r>
      <w:r w:rsidR="00427468">
        <w:rPr>
          <w:kern w:val="0"/>
        </w:rPr>
        <w:t xml:space="preserve"> of </w:t>
      </w:r>
      <w:r>
        <w:rPr>
          <w:kern w:val="0"/>
        </w:rPr>
        <w:t>short-</w:t>
      </w:r>
      <w:r w:rsidR="005853A9">
        <w:rPr>
          <w:kern w:val="0"/>
        </w:rPr>
        <w:t xml:space="preserve"> and </w:t>
      </w:r>
      <w:r>
        <w:rPr>
          <w:kern w:val="0"/>
        </w:rPr>
        <w:t>long-term measures</w:t>
      </w:r>
      <w:r w:rsidR="005853A9">
        <w:rPr>
          <w:kern w:val="0"/>
        </w:rPr>
        <w:t xml:space="preserve"> and </w:t>
      </w:r>
      <w:r>
        <w:rPr>
          <w:kern w:val="0"/>
        </w:rPr>
        <w:t>quality</w:t>
      </w:r>
      <w:r w:rsidR="00427468">
        <w:rPr>
          <w:kern w:val="0"/>
        </w:rPr>
        <w:t xml:space="preserve"> of </w:t>
      </w:r>
      <w:r>
        <w:rPr>
          <w:kern w:val="0"/>
        </w:rPr>
        <w:t>life, was done using</w:t>
      </w:r>
      <w:r w:rsidR="003A1917">
        <w:rPr>
          <w:kern w:val="0"/>
        </w:rPr>
        <w:t xml:space="preserve"> the </w:t>
      </w:r>
      <w:r>
        <w:rPr>
          <w:kern w:val="0"/>
        </w:rPr>
        <w:t>random effects-model. Results: In total, 1284 citations were checked for eligibility</w:t>
      </w:r>
      <w:r w:rsidR="005853A9">
        <w:rPr>
          <w:kern w:val="0"/>
        </w:rPr>
        <w:t xml:space="preserve"> and </w:t>
      </w:r>
      <w:r>
        <w:rPr>
          <w:kern w:val="0"/>
        </w:rPr>
        <w:t>4 RCTs were included</w:t>
      </w:r>
      <w:r w:rsidR="00A37C1D">
        <w:rPr>
          <w:kern w:val="0"/>
        </w:rPr>
        <w:t>. The</w:t>
      </w:r>
      <w:r w:rsidR="003A1917">
        <w:rPr>
          <w:kern w:val="0"/>
        </w:rPr>
        <w:t xml:space="preserve"> </w:t>
      </w:r>
      <w:r>
        <w:rPr>
          <w:kern w:val="0"/>
        </w:rPr>
        <w:t>critical appraisal revealed a heterogeneous methodological quality</w:t>
      </w:r>
      <w:r w:rsidR="00427468">
        <w:rPr>
          <w:kern w:val="0"/>
        </w:rPr>
        <w:t xml:space="preserve"> of </w:t>
      </w:r>
      <w:r>
        <w:rPr>
          <w:kern w:val="0"/>
        </w:rPr>
        <w:t>included trials. Comparing DPPHR versus PD, postoperative pain relief, overall mortality,</w:t>
      </w:r>
      <w:r w:rsidR="005853A9">
        <w:rPr>
          <w:kern w:val="0"/>
        </w:rPr>
        <w:t xml:space="preserve"> and </w:t>
      </w:r>
      <w:r>
        <w:rPr>
          <w:kern w:val="0"/>
        </w:rPr>
        <w:t>morbidity showed no significant difference. Intraoperative blood replacement, hospital stay, weight gain, exocrine insufficiency, occupational rehabilitation,</w:t>
      </w:r>
      <w:r w:rsidR="005853A9">
        <w:rPr>
          <w:kern w:val="0"/>
        </w:rPr>
        <w:t xml:space="preserve"> and </w:t>
      </w:r>
      <w:r>
        <w:rPr>
          <w:kern w:val="0"/>
        </w:rPr>
        <w:t>quality</w:t>
      </w:r>
      <w:r w:rsidR="00427468">
        <w:rPr>
          <w:kern w:val="0"/>
        </w:rPr>
        <w:t xml:space="preserve"> of </w:t>
      </w:r>
      <w:r>
        <w:rPr>
          <w:kern w:val="0"/>
        </w:rPr>
        <w:t>life were significantly improved in</w:t>
      </w:r>
      <w:r w:rsidR="003A1917">
        <w:rPr>
          <w:kern w:val="0"/>
        </w:rPr>
        <w:t xml:space="preserve"> the </w:t>
      </w:r>
      <w:r>
        <w:rPr>
          <w:kern w:val="0"/>
        </w:rPr>
        <w:t>DPPHR group. Conclusion: DPPHR</w:t>
      </w:r>
      <w:r w:rsidR="005853A9">
        <w:rPr>
          <w:kern w:val="0"/>
        </w:rPr>
        <w:t xml:space="preserve"> and </w:t>
      </w:r>
      <w:r>
        <w:rPr>
          <w:kern w:val="0"/>
        </w:rPr>
        <w:t>PD seem to be equally effective in terms</w:t>
      </w:r>
      <w:r w:rsidR="00427468">
        <w:rPr>
          <w:kern w:val="0"/>
        </w:rPr>
        <w:t xml:space="preserve"> of </w:t>
      </w:r>
      <w:r>
        <w:rPr>
          <w:kern w:val="0"/>
        </w:rPr>
        <w:t>postoperative pain relief, overall morbidity,</w:t>
      </w:r>
      <w:r w:rsidR="005853A9">
        <w:rPr>
          <w:kern w:val="0"/>
        </w:rPr>
        <w:t xml:space="preserve"> and </w:t>
      </w:r>
      <w:r>
        <w:rPr>
          <w:kern w:val="0"/>
        </w:rPr>
        <w:t>incidence</w:t>
      </w:r>
      <w:r w:rsidR="00427468">
        <w:rPr>
          <w:kern w:val="0"/>
        </w:rPr>
        <w:t xml:space="preserve"> of </w:t>
      </w:r>
      <w:r>
        <w:rPr>
          <w:kern w:val="0"/>
        </w:rPr>
        <w:t>postoperative endocrine insufficiency. However,</w:t>
      </w:r>
      <w:r w:rsidR="003A1917">
        <w:rPr>
          <w:kern w:val="0"/>
        </w:rPr>
        <w:t xml:space="preserve"> the </w:t>
      </w:r>
      <w:r>
        <w:rPr>
          <w:kern w:val="0"/>
        </w:rPr>
        <w:t>presented findings suggest superiority</w:t>
      </w:r>
      <w:r w:rsidR="00427468">
        <w:rPr>
          <w:kern w:val="0"/>
        </w:rPr>
        <w:t xml:space="preserve"> of </w:t>
      </w:r>
      <w:r>
        <w:rPr>
          <w:kern w:val="0"/>
        </w:rPr>
        <w:t>DPPHR in</w:t>
      </w:r>
      <w:r w:rsidR="003A1917">
        <w:rPr>
          <w:kern w:val="0"/>
        </w:rPr>
        <w:t xml:space="preserve"> the </w:t>
      </w:r>
      <w:r>
        <w:rPr>
          <w:kern w:val="0"/>
        </w:rPr>
        <w:t>treatment</w:t>
      </w:r>
      <w:r w:rsidR="00427468">
        <w:rPr>
          <w:kern w:val="0"/>
        </w:rPr>
        <w:t xml:space="preserve"> of </w:t>
      </w:r>
      <w:r>
        <w:rPr>
          <w:kern w:val="0"/>
        </w:rPr>
        <w:t>chronic pancreatitis with regard to several peri</w:t>
      </w:r>
      <w:r w:rsidR="005853A9">
        <w:rPr>
          <w:kern w:val="0"/>
        </w:rPr>
        <w:t xml:space="preserve"> and </w:t>
      </w:r>
      <w:r>
        <w:rPr>
          <w:kern w:val="0"/>
        </w:rPr>
        <w:t>postoperative outcome parameters</w:t>
      </w:r>
      <w:r w:rsidR="005853A9">
        <w:rPr>
          <w:kern w:val="0"/>
        </w:rPr>
        <w:t xml:space="preserve"> and </w:t>
      </w:r>
      <w:r>
        <w:rPr>
          <w:kern w:val="0"/>
        </w:rPr>
        <w:t>quality</w:t>
      </w:r>
      <w:r w:rsidR="00427468">
        <w:rPr>
          <w:kern w:val="0"/>
        </w:rPr>
        <w:t xml:space="preserve"> of </w:t>
      </w:r>
      <w:r>
        <w:rPr>
          <w:kern w:val="0"/>
        </w:rPr>
        <w:t>life. Further RCTs are eagerly awaited to prove these findings.</w:t>
      </w:r>
    </w:p>
    <w:p w:rsidR="005F3371" w:rsidRDefault="005F3371" w:rsidP="005F3371">
      <w:pPr>
        <w:pStyle w:val="a3"/>
        <w:rPr>
          <w:kern w:val="0"/>
        </w:rPr>
      </w:pPr>
      <w:r>
        <w:rPr>
          <w:kern w:val="0"/>
        </w:rPr>
        <w:t xml:space="preserve">Keywords: Cancer, Checklist, Chronic, Citation, Citations, Diagnosis, Drainage, Effectiveness, Literature, </w:t>
      </w:r>
      <w:r w:rsidR="00D5664A">
        <w:rPr>
          <w:kern w:val="0"/>
        </w:rPr>
        <w:t>MEDLINE</w:t>
      </w:r>
      <w:r>
        <w:rPr>
          <w:kern w:val="0"/>
        </w:rPr>
        <w:t>, Meta-Analysis, Methodological Quality, Outcomes, Pain, PD, Primary, Quality</w:t>
      </w:r>
      <w:r w:rsidR="00434900">
        <w:rPr>
          <w:kern w:val="0"/>
        </w:rPr>
        <w:t>-of-</w:t>
      </w:r>
      <w:r>
        <w:rPr>
          <w:kern w:val="0"/>
        </w:rPr>
        <w:t xml:space="preserve">Life, Randomized Clinical-Trials, Rehabilitation, Review, Science, Science Citation Index, Statement, Surgery, </w:t>
      </w:r>
      <w:r>
        <w:rPr>
          <w:kern w:val="0"/>
        </w:rPr>
        <w:lastRenderedPageBreak/>
        <w:t>Systematic Review, Treatment, Whipple</w:t>
      </w:r>
    </w:p>
    <w:p w:rsidR="005F3371" w:rsidRDefault="005F3371" w:rsidP="003E631D">
      <w:pPr>
        <w:pStyle w:val="a3"/>
        <w:rPr>
          <w:kern w:val="0"/>
          <w:szCs w:val="24"/>
        </w:rPr>
      </w:pPr>
      <w:r>
        <w:rPr>
          <w:rFonts w:hint="eastAsia"/>
          <w:kern w:val="0"/>
          <w:szCs w:val="24"/>
        </w:rPr>
        <w:t>Notes: TTopic</w:t>
      </w:r>
    </w:p>
    <w:p w:rsidR="003E631D" w:rsidRPr="001A3D2B" w:rsidRDefault="003E631D" w:rsidP="003E631D">
      <w:pPr>
        <w:pStyle w:val="a3"/>
        <w:rPr>
          <w:kern w:val="0"/>
          <w:szCs w:val="24"/>
        </w:rPr>
      </w:pPr>
      <w:r w:rsidRPr="001A3D2B">
        <w:rPr>
          <w:kern w:val="0"/>
          <w:szCs w:val="24"/>
        </w:rPr>
        <w:t>? Brooke, B.S., Nathan, H.</w:t>
      </w:r>
      <w:r w:rsidR="005853A9">
        <w:rPr>
          <w:kern w:val="0"/>
          <w:szCs w:val="24"/>
        </w:rPr>
        <w:t xml:space="preserve"> and </w:t>
      </w:r>
      <w:r w:rsidRPr="001A3D2B">
        <w:rPr>
          <w:kern w:val="0"/>
          <w:szCs w:val="24"/>
        </w:rPr>
        <w:t>Pawlik, T.M. (2009), Trends in</w:t>
      </w:r>
      <w:r w:rsidR="003A1917">
        <w:rPr>
          <w:kern w:val="0"/>
          <w:szCs w:val="24"/>
        </w:rPr>
        <w:t xml:space="preserve"> the </w:t>
      </w:r>
      <w:r w:rsidRPr="001A3D2B">
        <w:rPr>
          <w:kern w:val="0"/>
          <w:szCs w:val="24"/>
        </w:rPr>
        <w:t>quality</w:t>
      </w:r>
      <w:r w:rsidR="00427468">
        <w:rPr>
          <w:kern w:val="0"/>
          <w:szCs w:val="24"/>
        </w:rPr>
        <w:t xml:space="preserve"> of </w:t>
      </w:r>
      <w:r w:rsidRPr="001A3D2B">
        <w:rPr>
          <w:kern w:val="0"/>
          <w:szCs w:val="24"/>
        </w:rPr>
        <w:t>highly cited surgical research over</w:t>
      </w:r>
      <w:r w:rsidR="003A1917">
        <w:rPr>
          <w:kern w:val="0"/>
          <w:szCs w:val="24"/>
        </w:rPr>
        <w:t xml:space="preserve"> the </w:t>
      </w:r>
      <w:r w:rsidRPr="001A3D2B">
        <w:rPr>
          <w:kern w:val="0"/>
          <w:szCs w:val="24"/>
        </w:rPr>
        <w:t xml:space="preserve">past 20 years. </w:t>
      </w:r>
      <w:r w:rsidRPr="001A3D2B">
        <w:rPr>
          <w:i/>
          <w:iCs/>
          <w:kern w:val="0"/>
          <w:szCs w:val="24"/>
        </w:rPr>
        <w:t>Annals</w:t>
      </w:r>
      <w:r w:rsidR="00427468">
        <w:rPr>
          <w:i/>
          <w:iCs/>
          <w:kern w:val="0"/>
          <w:szCs w:val="24"/>
        </w:rPr>
        <w:t xml:space="preserve"> of </w:t>
      </w:r>
      <w:r w:rsidRPr="001A3D2B">
        <w:rPr>
          <w:i/>
          <w:iCs/>
          <w:kern w:val="0"/>
          <w:szCs w:val="24"/>
        </w:rPr>
        <w:t>Surgery</w:t>
      </w:r>
      <w:r w:rsidRPr="001A3D2B">
        <w:rPr>
          <w:kern w:val="0"/>
          <w:szCs w:val="24"/>
        </w:rPr>
        <w:t xml:space="preserve">, </w:t>
      </w:r>
      <w:r w:rsidRPr="001A3D2B">
        <w:rPr>
          <w:b/>
          <w:bCs/>
          <w:kern w:val="0"/>
          <w:szCs w:val="24"/>
        </w:rPr>
        <w:t>249</w:t>
      </w:r>
      <w:r w:rsidRPr="001A3D2B">
        <w:rPr>
          <w:kern w:val="0"/>
          <w:szCs w:val="24"/>
        </w:rPr>
        <w:t xml:space="preserve"> (1), 162-167.</w:t>
      </w:r>
    </w:p>
    <w:p w:rsidR="003E631D" w:rsidRPr="001A3D2B" w:rsidRDefault="003E631D" w:rsidP="003E631D">
      <w:pPr>
        <w:pStyle w:val="a3"/>
        <w:rPr>
          <w:kern w:val="0"/>
          <w:szCs w:val="24"/>
        </w:rPr>
      </w:pPr>
      <w:r w:rsidRPr="001A3D2B">
        <w:rPr>
          <w:kern w:val="0"/>
          <w:szCs w:val="24"/>
        </w:rPr>
        <w:t xml:space="preserve">Full Text: </w:t>
      </w:r>
      <w:hyperlink r:id="rId964" w:history="1">
        <w:r w:rsidRPr="001A3D2B">
          <w:rPr>
            <w:rStyle w:val="a5"/>
            <w:kern w:val="0"/>
            <w:szCs w:val="24"/>
          </w:rPr>
          <w:t>2009\Ann Sur249, 162.pdf</w:t>
        </w:r>
      </w:hyperlink>
    </w:p>
    <w:p w:rsidR="003E631D" w:rsidRPr="001A3D2B" w:rsidRDefault="003E631D" w:rsidP="003E631D">
      <w:pPr>
        <w:pStyle w:val="a3"/>
        <w:rPr>
          <w:kern w:val="0"/>
          <w:szCs w:val="24"/>
        </w:rPr>
      </w:pPr>
      <w:r w:rsidRPr="001A3D2B">
        <w:rPr>
          <w:kern w:val="0"/>
          <w:szCs w:val="24"/>
        </w:rPr>
        <w:t>Abstract: Objective: To evaluate whether</w:t>
      </w:r>
      <w:r w:rsidR="003A1917">
        <w:rPr>
          <w:kern w:val="0"/>
          <w:szCs w:val="24"/>
        </w:rPr>
        <w:t xml:space="preserve"> the </w:t>
      </w:r>
      <w:r w:rsidRPr="001A3D2B">
        <w:rPr>
          <w:kern w:val="0"/>
          <w:szCs w:val="24"/>
        </w:rPr>
        <w:t>methodologic quality</w:t>
      </w:r>
      <w:r w:rsidR="00427468">
        <w:rPr>
          <w:kern w:val="0"/>
          <w:szCs w:val="24"/>
        </w:rPr>
        <w:t xml:space="preserve"> of </w:t>
      </w:r>
      <w:r w:rsidR="003A1917">
        <w:rPr>
          <w:kern w:val="0"/>
          <w:szCs w:val="24"/>
        </w:rPr>
        <w:t xml:space="preserve">the </w:t>
      </w:r>
      <w:r w:rsidRPr="001A3D2B">
        <w:rPr>
          <w:kern w:val="0"/>
          <w:szCs w:val="24"/>
        </w:rPr>
        <w:t>most highly cited surgical clinical evidence has improved over</w:t>
      </w:r>
      <w:r w:rsidR="003A1917">
        <w:rPr>
          <w:kern w:val="0"/>
          <w:szCs w:val="24"/>
        </w:rPr>
        <w:t xml:space="preserve"> the </w:t>
      </w:r>
      <w:r w:rsidRPr="001A3D2B">
        <w:rPr>
          <w:kern w:val="0"/>
          <w:szCs w:val="24"/>
        </w:rPr>
        <w:t>past 20 years. Summary Background Data: There have been increasing efforts to promote</w:t>
      </w:r>
      <w:r w:rsidR="003A1917">
        <w:rPr>
          <w:kern w:val="0"/>
          <w:szCs w:val="24"/>
        </w:rPr>
        <w:t xml:space="preserve"> the </w:t>
      </w:r>
      <w:r w:rsidRPr="001A3D2B">
        <w:rPr>
          <w:kern w:val="0"/>
          <w:szCs w:val="24"/>
        </w:rPr>
        <w:t>practice</w:t>
      </w:r>
      <w:r w:rsidR="00427468">
        <w:rPr>
          <w:kern w:val="0"/>
          <w:szCs w:val="24"/>
        </w:rPr>
        <w:t xml:space="preserve"> of </w:t>
      </w:r>
      <w:r w:rsidRPr="001A3D2B">
        <w:rPr>
          <w:kern w:val="0"/>
          <w:szCs w:val="24"/>
        </w:rPr>
        <w:t>evidence-based medicine among surgeons, although it is unclear whether high-quality evidence is being used. Methods: A bibliometric review was performed among general surgery</w:t>
      </w:r>
      <w:r w:rsidR="005853A9">
        <w:rPr>
          <w:kern w:val="0"/>
          <w:szCs w:val="24"/>
        </w:rPr>
        <w:t xml:space="preserve"> and </w:t>
      </w:r>
      <w:r w:rsidRPr="001A3D2B">
        <w:rPr>
          <w:kern w:val="0"/>
          <w:szCs w:val="24"/>
        </w:rPr>
        <w:t>medicine journals to identify</w:t>
      </w:r>
      <w:r w:rsidR="003A1917">
        <w:rPr>
          <w:kern w:val="0"/>
          <w:szCs w:val="24"/>
        </w:rPr>
        <w:t xml:space="preserve"> the </w:t>
      </w:r>
      <w:r w:rsidRPr="001A3D2B">
        <w:rPr>
          <w:kern w:val="0"/>
          <w:szCs w:val="24"/>
        </w:rPr>
        <w:t>50 most highly cited general surgery clinical research studies from 4 consecutive time periods (1985-1989, 1990-1994, 1995-1999, 2000-2004). Methodologic characteristics</w:t>
      </w:r>
      <w:r w:rsidR="005853A9">
        <w:rPr>
          <w:kern w:val="0"/>
          <w:szCs w:val="24"/>
        </w:rPr>
        <w:t xml:space="preserve"> and </w:t>
      </w:r>
      <w:r w:rsidRPr="001A3D2B">
        <w:rPr>
          <w:kern w:val="0"/>
          <w:szCs w:val="24"/>
        </w:rPr>
        <w:t>overall data quality for all 200 highly cited studies were assessed by 3 independent reviewers using</w:t>
      </w:r>
      <w:r w:rsidR="003A1917">
        <w:rPr>
          <w:kern w:val="0"/>
          <w:szCs w:val="24"/>
        </w:rPr>
        <w:t xml:space="preserve"> the </w:t>
      </w:r>
      <w:r w:rsidRPr="001A3D2B">
        <w:rPr>
          <w:kern w:val="0"/>
          <w:szCs w:val="24"/>
        </w:rPr>
        <w:t>validated GRADE scoring system</w:t>
      </w:r>
      <w:r w:rsidR="005853A9">
        <w:rPr>
          <w:kern w:val="0"/>
          <w:szCs w:val="24"/>
        </w:rPr>
        <w:t xml:space="preserve"> and </w:t>
      </w:r>
      <w:r w:rsidRPr="001A3D2B">
        <w:rPr>
          <w:kern w:val="0"/>
          <w:szCs w:val="24"/>
        </w:rPr>
        <w:t>trends over time were analyzed. Results: Among 200 extracted articles,</w:t>
      </w:r>
      <w:r w:rsidR="003A1917">
        <w:rPr>
          <w:kern w:val="0"/>
          <w:szCs w:val="24"/>
        </w:rPr>
        <w:t xml:space="preserve"> the </w:t>
      </w:r>
      <w:r w:rsidRPr="001A3D2B">
        <w:rPr>
          <w:kern w:val="0"/>
          <w:szCs w:val="24"/>
        </w:rPr>
        <w:t>quality</w:t>
      </w:r>
      <w:r w:rsidR="00427468">
        <w:rPr>
          <w:kern w:val="0"/>
          <w:szCs w:val="24"/>
        </w:rPr>
        <w:t xml:space="preserve"> of </w:t>
      </w:r>
      <w:r w:rsidRPr="001A3D2B">
        <w:rPr>
          <w:kern w:val="0"/>
          <w:szCs w:val="24"/>
        </w:rPr>
        <w:t>evidence was graded as very low in</w:t>
      </w:r>
      <w:r w:rsidR="003A1917">
        <w:rPr>
          <w:kern w:val="0"/>
          <w:szCs w:val="24"/>
        </w:rPr>
        <w:t xml:space="preserve"> the </w:t>
      </w:r>
      <w:r w:rsidRPr="001A3D2B">
        <w:rPr>
          <w:kern w:val="0"/>
          <w:szCs w:val="24"/>
        </w:rPr>
        <w:t>majority</w:t>
      </w:r>
      <w:r w:rsidR="00427468">
        <w:rPr>
          <w:kern w:val="0"/>
          <w:szCs w:val="24"/>
        </w:rPr>
        <w:t xml:space="preserve"> of </w:t>
      </w:r>
      <w:r w:rsidRPr="001A3D2B">
        <w:rPr>
          <w:kern w:val="0"/>
          <w:szCs w:val="24"/>
        </w:rPr>
        <w:t>studies (48%); fewer studies contained data</w:t>
      </w:r>
      <w:r w:rsidR="00427468">
        <w:rPr>
          <w:kern w:val="0"/>
          <w:szCs w:val="24"/>
        </w:rPr>
        <w:t xml:space="preserve"> of </w:t>
      </w:r>
      <w:r w:rsidRPr="001A3D2B">
        <w:rPr>
          <w:kern w:val="0"/>
          <w:szCs w:val="24"/>
        </w:rPr>
        <w:t>low (13%), moderate (13%), or high (26%) quality. Study quality significantly improved over</w:t>
      </w:r>
      <w:r w:rsidR="003A1917">
        <w:rPr>
          <w:kern w:val="0"/>
          <w:szCs w:val="24"/>
        </w:rPr>
        <w:t xml:space="preserve"> the </w:t>
      </w:r>
      <w:r w:rsidRPr="001A3D2B">
        <w:rPr>
          <w:kern w:val="0"/>
          <w:szCs w:val="24"/>
        </w:rPr>
        <w:t>time periods examined, with an increase in</w:t>
      </w:r>
      <w:r w:rsidR="003A1917">
        <w:rPr>
          <w:kern w:val="0"/>
          <w:szCs w:val="24"/>
        </w:rPr>
        <w:t xml:space="preserve"> the </w:t>
      </w:r>
      <w:r w:rsidRPr="001A3D2B">
        <w:rPr>
          <w:kern w:val="0"/>
          <w:szCs w:val="24"/>
        </w:rPr>
        <w:t>proportion</w:t>
      </w:r>
      <w:r w:rsidR="00427468">
        <w:rPr>
          <w:kern w:val="0"/>
          <w:szCs w:val="24"/>
        </w:rPr>
        <w:t xml:space="preserve"> of </w:t>
      </w:r>
      <w:r w:rsidRPr="001A3D2B">
        <w:rPr>
          <w:kern w:val="0"/>
          <w:szCs w:val="24"/>
        </w:rPr>
        <w:t>studies graded as high quality from 12% in 1985 to 1989 to 40% in 2000 to 2004 (P &lt; 0.001)</w:t>
      </w:r>
      <w:r w:rsidR="00A37C1D">
        <w:rPr>
          <w:kern w:val="0"/>
          <w:szCs w:val="24"/>
        </w:rPr>
        <w:t>. The</w:t>
      </w:r>
      <w:r w:rsidR="003A1917">
        <w:rPr>
          <w:kern w:val="0"/>
          <w:szCs w:val="24"/>
        </w:rPr>
        <w:t xml:space="preserve"> </w:t>
      </w:r>
      <w:r w:rsidRPr="001A3D2B">
        <w:rPr>
          <w:kern w:val="0"/>
          <w:szCs w:val="24"/>
        </w:rPr>
        <w:t>improvement in data quality over time was associated with an increased proportion</w:t>
      </w:r>
      <w:r w:rsidR="00427468">
        <w:rPr>
          <w:kern w:val="0"/>
          <w:szCs w:val="24"/>
        </w:rPr>
        <w:t xml:space="preserve"> of </w:t>
      </w:r>
      <w:r w:rsidRPr="001A3D2B">
        <w:rPr>
          <w:kern w:val="0"/>
          <w:szCs w:val="24"/>
        </w:rPr>
        <w:t>randomized trials (26% vs. 48%; P &lt; 0.05)</w:t>
      </w:r>
      <w:r w:rsidR="005853A9">
        <w:rPr>
          <w:kern w:val="0"/>
          <w:szCs w:val="24"/>
        </w:rPr>
        <w:t xml:space="preserve"> and </w:t>
      </w:r>
      <w:r w:rsidRPr="001A3D2B">
        <w:rPr>
          <w:kern w:val="0"/>
          <w:szCs w:val="24"/>
        </w:rPr>
        <w:t>increased reporting</w:t>
      </w:r>
      <w:r w:rsidR="00427468">
        <w:rPr>
          <w:kern w:val="0"/>
          <w:szCs w:val="24"/>
        </w:rPr>
        <w:t xml:space="preserve"> of </w:t>
      </w:r>
      <w:r w:rsidRPr="001A3D2B">
        <w:rPr>
          <w:kern w:val="0"/>
          <w:szCs w:val="24"/>
        </w:rPr>
        <w:t>adjusted, multivariate regression analyses (22% vs. 54%; P &lt; 0.001). Conclusions: There have been significant improvements in</w:t>
      </w:r>
      <w:r w:rsidR="003A1917">
        <w:rPr>
          <w:kern w:val="0"/>
          <w:szCs w:val="24"/>
        </w:rPr>
        <w:t xml:space="preserve"> the </w:t>
      </w:r>
      <w:r w:rsidRPr="001A3D2B">
        <w:rPr>
          <w:kern w:val="0"/>
          <w:szCs w:val="24"/>
        </w:rPr>
        <w:t>quality</w:t>
      </w:r>
      <w:r w:rsidR="00427468">
        <w:rPr>
          <w:kern w:val="0"/>
          <w:szCs w:val="24"/>
        </w:rPr>
        <w:t xml:space="preserve"> of </w:t>
      </w:r>
      <w:r w:rsidR="003A1917">
        <w:rPr>
          <w:kern w:val="0"/>
          <w:szCs w:val="24"/>
        </w:rPr>
        <w:t xml:space="preserve">the </w:t>
      </w:r>
      <w:r w:rsidRPr="001A3D2B">
        <w:rPr>
          <w:kern w:val="0"/>
          <w:szCs w:val="24"/>
        </w:rPr>
        <w:t>most highly cited surgical evidence, characterized by more randomized trials</w:t>
      </w:r>
      <w:r w:rsidR="005853A9">
        <w:rPr>
          <w:kern w:val="0"/>
          <w:szCs w:val="24"/>
        </w:rPr>
        <w:t xml:space="preserve"> and </w:t>
      </w:r>
      <w:r w:rsidRPr="001A3D2B">
        <w:rPr>
          <w:kern w:val="0"/>
          <w:szCs w:val="24"/>
        </w:rPr>
        <w:t>improved statistical methodology</w:t>
      </w:r>
      <w:r w:rsidR="00A37C1D">
        <w:rPr>
          <w:kern w:val="0"/>
          <w:szCs w:val="24"/>
        </w:rPr>
        <w:t>. The</w:t>
      </w:r>
      <w:r w:rsidRPr="001A3D2B">
        <w:rPr>
          <w:kern w:val="0"/>
          <w:szCs w:val="24"/>
        </w:rPr>
        <w:t>se findings suggest that surgeons are increasingly recognizing</w:t>
      </w:r>
      <w:r w:rsidR="005853A9">
        <w:rPr>
          <w:kern w:val="0"/>
          <w:szCs w:val="24"/>
        </w:rPr>
        <w:t xml:space="preserve"> and </w:t>
      </w:r>
      <w:r w:rsidRPr="001A3D2B">
        <w:rPr>
          <w:kern w:val="0"/>
          <w:szCs w:val="24"/>
        </w:rPr>
        <w:t>citing higher quality surgical evidence.</w:t>
      </w:r>
    </w:p>
    <w:p w:rsidR="003E631D" w:rsidRPr="001A3D2B" w:rsidRDefault="003E631D" w:rsidP="003E631D">
      <w:pPr>
        <w:pStyle w:val="a3"/>
        <w:rPr>
          <w:kern w:val="0"/>
          <w:szCs w:val="24"/>
        </w:rPr>
      </w:pPr>
      <w:r w:rsidRPr="001A3D2B">
        <w:rPr>
          <w:kern w:val="0"/>
          <w:szCs w:val="24"/>
        </w:rPr>
        <w:t>Keywords: Analyses, Bibliometric, Characteristics, Clinical, Clinical Research, Data, Data Quality, Evidence, Evidence Based, Evidence Based Medicine, Evidence-Based, Evidence-Based Medicine, Evidence-Based Surgery, General, General Surgery, Grade, Improvement, Journals, Majority, Medicine, Methodology, Multivariate, P, Practice, Quality, Quality of, Randomized, Recommendations, Regression, Reporting, Research, Review, Scoring, Scoring System, Standards, Statement, Statistical, Strength, Surgery, Time, Trends, Trials</w:t>
      </w:r>
    </w:p>
    <w:p w:rsidR="00E37517" w:rsidRPr="001A3D2B" w:rsidRDefault="00E37517" w:rsidP="00E37517">
      <w:pPr>
        <w:pStyle w:val="a3"/>
        <w:rPr>
          <w:kern w:val="0"/>
        </w:rPr>
      </w:pPr>
      <w:r w:rsidRPr="001A3D2B">
        <w:rPr>
          <w:kern w:val="0"/>
        </w:rPr>
        <w:t>? Schmitz, C.C., Rothenberger, D.A., Trudel, J.L.</w:t>
      </w:r>
      <w:r w:rsidR="005853A9">
        <w:rPr>
          <w:kern w:val="0"/>
        </w:rPr>
        <w:t xml:space="preserve"> and </w:t>
      </w:r>
      <w:r w:rsidRPr="001A3D2B">
        <w:rPr>
          <w:kern w:val="0"/>
        </w:rPr>
        <w:t>Wolff, B.G. (2009), Career decisions</w:t>
      </w:r>
      <w:r w:rsidR="005853A9">
        <w:rPr>
          <w:kern w:val="0"/>
        </w:rPr>
        <w:t xml:space="preserve"> and </w:t>
      </w:r>
      <w:r w:rsidR="003A1917">
        <w:rPr>
          <w:kern w:val="0"/>
        </w:rPr>
        <w:t xml:space="preserve">the </w:t>
      </w:r>
      <w:r w:rsidRPr="001A3D2B">
        <w:rPr>
          <w:kern w:val="0"/>
        </w:rPr>
        <w:t>structure</w:t>
      </w:r>
      <w:r w:rsidR="00427468">
        <w:rPr>
          <w:kern w:val="0"/>
        </w:rPr>
        <w:t xml:space="preserve"> of </w:t>
      </w:r>
      <w:r w:rsidRPr="001A3D2B">
        <w:rPr>
          <w:kern w:val="0"/>
        </w:rPr>
        <w:t>training an american board</w:t>
      </w:r>
      <w:r w:rsidR="00427468">
        <w:rPr>
          <w:kern w:val="0"/>
        </w:rPr>
        <w:t xml:space="preserve"> of </w:t>
      </w:r>
      <w:r w:rsidRPr="001A3D2B">
        <w:rPr>
          <w:kern w:val="0"/>
        </w:rPr>
        <w:t>colon</w:t>
      </w:r>
      <w:r w:rsidR="005853A9">
        <w:rPr>
          <w:kern w:val="0"/>
        </w:rPr>
        <w:t xml:space="preserve"> and </w:t>
      </w:r>
      <w:r w:rsidRPr="001A3D2B">
        <w:rPr>
          <w:kern w:val="0"/>
        </w:rPr>
        <w:t>rectal surgery survey</w:t>
      </w:r>
      <w:r w:rsidR="00427468">
        <w:rPr>
          <w:kern w:val="0"/>
        </w:rPr>
        <w:t xml:space="preserve"> of </w:t>
      </w:r>
      <w:r w:rsidRPr="001A3D2B">
        <w:rPr>
          <w:kern w:val="0"/>
        </w:rPr>
        <w:t xml:space="preserve">colorectal residents. </w:t>
      </w:r>
      <w:r w:rsidRPr="001A3D2B">
        <w:rPr>
          <w:i/>
          <w:iCs/>
          <w:kern w:val="0"/>
        </w:rPr>
        <w:t>Annals</w:t>
      </w:r>
      <w:r w:rsidR="00427468">
        <w:rPr>
          <w:i/>
          <w:iCs/>
          <w:kern w:val="0"/>
        </w:rPr>
        <w:t xml:space="preserve"> of </w:t>
      </w:r>
      <w:r w:rsidRPr="001A3D2B">
        <w:rPr>
          <w:i/>
          <w:iCs/>
          <w:kern w:val="0"/>
        </w:rPr>
        <w:t>Surgery</w:t>
      </w:r>
      <w:r w:rsidRPr="001A3D2B">
        <w:rPr>
          <w:kern w:val="0"/>
        </w:rPr>
        <w:t xml:space="preserve">, </w:t>
      </w:r>
      <w:r w:rsidRPr="001A3D2B">
        <w:rPr>
          <w:b/>
          <w:bCs/>
          <w:kern w:val="0"/>
        </w:rPr>
        <w:t>250</w:t>
      </w:r>
      <w:r w:rsidRPr="001A3D2B">
        <w:rPr>
          <w:kern w:val="0"/>
        </w:rPr>
        <w:t xml:space="preserve"> (1), 62-67.</w:t>
      </w:r>
    </w:p>
    <w:p w:rsidR="00E37517" w:rsidRPr="001A3D2B" w:rsidRDefault="00E37517" w:rsidP="00E37517">
      <w:pPr>
        <w:pStyle w:val="a3"/>
        <w:rPr>
          <w:kern w:val="0"/>
          <w:szCs w:val="24"/>
        </w:rPr>
      </w:pPr>
      <w:r w:rsidRPr="001A3D2B">
        <w:rPr>
          <w:kern w:val="0"/>
          <w:szCs w:val="24"/>
        </w:rPr>
        <w:t xml:space="preserve">Full Text: </w:t>
      </w:r>
      <w:hyperlink r:id="rId965" w:history="1">
        <w:r w:rsidRPr="001A3D2B">
          <w:rPr>
            <w:rStyle w:val="a5"/>
            <w:kern w:val="0"/>
            <w:szCs w:val="24"/>
          </w:rPr>
          <w:t>2009\Ann Sur250, 62.pdf</w:t>
        </w:r>
      </w:hyperlink>
    </w:p>
    <w:p w:rsidR="00E37517" w:rsidRPr="001A3D2B" w:rsidRDefault="00E37517" w:rsidP="00E37517">
      <w:pPr>
        <w:pStyle w:val="a3"/>
        <w:rPr>
          <w:kern w:val="0"/>
        </w:rPr>
      </w:pPr>
      <w:r w:rsidRPr="001A3D2B">
        <w:rPr>
          <w:kern w:val="0"/>
        </w:rPr>
        <w:t>Abstract: Objective: To investigate potential impacts</w:t>
      </w:r>
      <w:r w:rsidR="00427468">
        <w:rPr>
          <w:kern w:val="0"/>
        </w:rPr>
        <w:t xml:space="preserve"> of </w:t>
      </w:r>
      <w:r w:rsidRPr="001A3D2B">
        <w:rPr>
          <w:kern w:val="0"/>
        </w:rPr>
        <w:t xml:space="preserve">restructuring general surgery </w:t>
      </w:r>
      <w:r w:rsidRPr="001A3D2B">
        <w:rPr>
          <w:kern w:val="0"/>
        </w:rPr>
        <w:lastRenderedPageBreak/>
        <w:t>training on colorectal (CR) surgery recruitment</w:t>
      </w:r>
      <w:r w:rsidR="005853A9">
        <w:rPr>
          <w:kern w:val="0"/>
        </w:rPr>
        <w:t xml:space="preserve"> and </w:t>
      </w:r>
      <w:r w:rsidRPr="001A3D2B">
        <w:rPr>
          <w:kern w:val="0"/>
        </w:rPr>
        <w:t>expertise. Summary Background Data: In response to</w:t>
      </w:r>
      <w:r w:rsidR="003A1917">
        <w:rPr>
          <w:kern w:val="0"/>
        </w:rPr>
        <w:t xml:space="preserve"> the </w:t>
      </w:r>
      <w:r w:rsidRPr="001A3D2B">
        <w:rPr>
          <w:kern w:val="0"/>
        </w:rPr>
        <w:t>American Surgical Association Blue Ribbon Committee report on surgical education (2004</w:t>
      </w:r>
      <w:r w:rsidR="00F42EAC">
        <w:rPr>
          <w:kern w:val="0"/>
        </w:rPr>
        <w:t>), The</w:t>
      </w:r>
      <w:r w:rsidR="003A1917">
        <w:rPr>
          <w:kern w:val="0"/>
        </w:rPr>
        <w:t xml:space="preserve"> </w:t>
      </w:r>
      <w:r w:rsidRPr="001A3D2B">
        <w:rPr>
          <w:kern w:val="0"/>
        </w:rPr>
        <w:t>American Board</w:t>
      </w:r>
      <w:r w:rsidR="00427468">
        <w:rPr>
          <w:kern w:val="0"/>
        </w:rPr>
        <w:t xml:space="preserve"> of </w:t>
      </w:r>
      <w:r w:rsidRPr="001A3D2B">
        <w:rPr>
          <w:kern w:val="0"/>
        </w:rPr>
        <w:t>Colon</w:t>
      </w:r>
      <w:r w:rsidR="005853A9">
        <w:rPr>
          <w:kern w:val="0"/>
        </w:rPr>
        <w:t xml:space="preserve"> and </w:t>
      </w:r>
      <w:r w:rsidRPr="001A3D2B">
        <w:rPr>
          <w:kern w:val="0"/>
        </w:rPr>
        <w:t>Rectal Surgery, working with</w:t>
      </w:r>
      <w:r w:rsidR="003A1917">
        <w:rPr>
          <w:kern w:val="0"/>
        </w:rPr>
        <w:t xml:space="preserve"> the </w:t>
      </w:r>
      <w:r w:rsidRPr="001A3D2B">
        <w:rPr>
          <w:kern w:val="0"/>
        </w:rPr>
        <w:t>Accreditation Council for Graduate Medical Education</w:t>
      </w:r>
      <w:r w:rsidR="005853A9">
        <w:rPr>
          <w:kern w:val="0"/>
        </w:rPr>
        <w:t xml:space="preserve"> and </w:t>
      </w:r>
      <w:r w:rsidRPr="001A3D2B">
        <w:rPr>
          <w:kern w:val="0"/>
        </w:rPr>
        <w:t>American Board</w:t>
      </w:r>
      <w:r w:rsidR="00427468">
        <w:rPr>
          <w:kern w:val="0"/>
        </w:rPr>
        <w:t xml:space="preserve"> of </w:t>
      </w:r>
      <w:r w:rsidRPr="001A3D2B">
        <w:rPr>
          <w:kern w:val="0"/>
        </w:rPr>
        <w:t>Surgery, established a committee (2006) to review residency training curricula</w:t>
      </w:r>
      <w:r w:rsidR="005853A9">
        <w:rPr>
          <w:kern w:val="0"/>
        </w:rPr>
        <w:t xml:space="preserve"> and </w:t>
      </w:r>
      <w:r w:rsidRPr="001A3D2B">
        <w:rPr>
          <w:kern w:val="0"/>
        </w:rPr>
        <w:t>study new pathways to certification as a CR surgeon. To address concerns related to shortened general surgery residency,</w:t>
      </w:r>
      <w:r w:rsidR="003A1917">
        <w:rPr>
          <w:kern w:val="0"/>
        </w:rPr>
        <w:t xml:space="preserve"> the </w:t>
      </w:r>
      <w:r w:rsidRPr="001A3D2B">
        <w:rPr>
          <w:kern w:val="0"/>
        </w:rPr>
        <w:t>American Board</w:t>
      </w:r>
      <w:r w:rsidR="00427468">
        <w:rPr>
          <w:kern w:val="0"/>
        </w:rPr>
        <w:t xml:space="preserve"> of </w:t>
      </w:r>
      <w:r w:rsidRPr="001A3D2B">
        <w:rPr>
          <w:kern w:val="0"/>
        </w:rPr>
        <w:t>Colon</w:t>
      </w:r>
      <w:r w:rsidR="005853A9">
        <w:rPr>
          <w:kern w:val="0"/>
        </w:rPr>
        <w:t xml:space="preserve"> and </w:t>
      </w:r>
      <w:r w:rsidRPr="001A3D2B">
        <w:rPr>
          <w:kern w:val="0"/>
        </w:rPr>
        <w:t>Rectal Surgery committee surveyed recent, Current,</w:t>
      </w:r>
      <w:r w:rsidR="005853A9">
        <w:rPr>
          <w:kern w:val="0"/>
        </w:rPr>
        <w:t xml:space="preserve"> and </w:t>
      </w:r>
      <w:r w:rsidRPr="001A3D2B">
        <w:rPr>
          <w:kern w:val="0"/>
        </w:rPr>
        <w:t>entering CR residents on</w:t>
      </w:r>
      <w:r w:rsidR="003A1917">
        <w:rPr>
          <w:kern w:val="0"/>
        </w:rPr>
        <w:t xml:space="preserve"> the </w:t>
      </w:r>
      <w:r w:rsidRPr="001A3D2B">
        <w:rPr>
          <w:kern w:val="0"/>
        </w:rPr>
        <w:t>timing</w:t>
      </w:r>
      <w:r w:rsidR="005853A9">
        <w:rPr>
          <w:kern w:val="0"/>
        </w:rPr>
        <w:t xml:space="preserve"> and </w:t>
      </w:r>
      <w:r w:rsidRPr="001A3D2B">
        <w:rPr>
          <w:kern w:val="0"/>
        </w:rPr>
        <w:t>factors associated with their career choice</w:t>
      </w:r>
      <w:r w:rsidR="005853A9">
        <w:rPr>
          <w:kern w:val="0"/>
        </w:rPr>
        <w:t xml:space="preserve"> and </w:t>
      </w:r>
      <w:r w:rsidRPr="001A3D2B">
        <w:rPr>
          <w:kern w:val="0"/>
        </w:rPr>
        <w:t>opinions regarding restructuring. Methods: A 10-item, online survey</w:t>
      </w:r>
      <w:r w:rsidR="00427468">
        <w:rPr>
          <w:kern w:val="0"/>
        </w:rPr>
        <w:t xml:space="preserve"> of </w:t>
      </w:r>
      <w:r w:rsidRPr="001A3D2B">
        <w:rPr>
          <w:kern w:val="0"/>
        </w:rPr>
        <w:t>189 CR surgeons enrolled in</w:t>
      </w:r>
      <w:r w:rsidR="003A1917">
        <w:rPr>
          <w:kern w:val="0"/>
        </w:rPr>
        <w:t xml:space="preserve"> the </w:t>
      </w:r>
      <w:r w:rsidRPr="001A3D2B">
        <w:rPr>
          <w:kern w:val="0"/>
        </w:rPr>
        <w:t>class years</w:t>
      </w:r>
      <w:r w:rsidR="00427468">
        <w:rPr>
          <w:kern w:val="0"/>
        </w:rPr>
        <w:t xml:space="preserve"> of </w:t>
      </w:r>
      <w:r w:rsidRPr="001A3D2B">
        <w:rPr>
          <w:kern w:val="0"/>
        </w:rPr>
        <w:t>2005, 2006,</w:t>
      </w:r>
      <w:r w:rsidR="005853A9">
        <w:rPr>
          <w:kern w:val="0"/>
        </w:rPr>
        <w:t xml:space="preserve"> and </w:t>
      </w:r>
      <w:r w:rsidRPr="001A3D2B">
        <w:rPr>
          <w:kern w:val="0"/>
        </w:rPr>
        <w:t>2007 was administered</w:t>
      </w:r>
      <w:r w:rsidR="005853A9">
        <w:rPr>
          <w:kern w:val="0"/>
        </w:rPr>
        <w:t xml:space="preserve"> and </w:t>
      </w:r>
      <w:r w:rsidRPr="001A3D2B">
        <w:rPr>
          <w:kern w:val="0"/>
        </w:rPr>
        <w:t>analyzed May to July 2007. Results: One hundred forty-five CR residents responded (77%); results were consistent across class years</w:t>
      </w:r>
      <w:r w:rsidR="005853A9">
        <w:rPr>
          <w:kern w:val="0"/>
        </w:rPr>
        <w:t xml:space="preserve"> and </w:t>
      </w:r>
      <w:r w:rsidRPr="001A3D2B">
        <w:rPr>
          <w:kern w:val="0"/>
        </w:rPr>
        <w:t>types</w:t>
      </w:r>
      <w:r w:rsidR="00427468">
        <w:rPr>
          <w:kern w:val="0"/>
        </w:rPr>
        <w:t xml:space="preserve"> of </w:t>
      </w:r>
      <w:r w:rsidRPr="001A3D2B">
        <w:rPr>
          <w:kern w:val="0"/>
        </w:rPr>
        <w:t>general surgery training program. Seventy percent</w:t>
      </w:r>
      <w:r w:rsidR="00427468">
        <w:rPr>
          <w:kern w:val="0"/>
        </w:rPr>
        <w:t xml:space="preserve"> of </w:t>
      </w:r>
      <w:r w:rsidRPr="001A3D2B">
        <w:rPr>
          <w:kern w:val="0"/>
        </w:rPr>
        <w:t>respondents had rotated onto a CR service by</w:t>
      </w:r>
      <w:r w:rsidR="003A1917">
        <w:rPr>
          <w:kern w:val="0"/>
        </w:rPr>
        <w:t xml:space="preserve"> the </w:t>
      </w:r>
      <w:r w:rsidRPr="001A3D2B">
        <w:rPr>
          <w:kern w:val="0"/>
        </w:rPr>
        <w:t>end</w:t>
      </w:r>
      <w:r w:rsidR="00427468">
        <w:rPr>
          <w:kern w:val="0"/>
        </w:rPr>
        <w:t xml:space="preserve"> of </w:t>
      </w:r>
      <w:r w:rsidRPr="001A3D2B">
        <w:rPr>
          <w:kern w:val="0"/>
        </w:rPr>
        <w:t>their PGY-2 year. Most identified CR as a career interest in their PGY-3 or PGY-4 year. Overall interest in CR surgery,</w:t>
      </w:r>
      <w:r w:rsidR="003A1917">
        <w:rPr>
          <w:kern w:val="0"/>
        </w:rPr>
        <w:t xml:space="preserve"> the </w:t>
      </w:r>
      <w:r w:rsidRPr="001A3D2B">
        <w:rPr>
          <w:kern w:val="0"/>
        </w:rPr>
        <w:t>influence</w:t>
      </w:r>
      <w:r w:rsidR="00427468">
        <w:rPr>
          <w:kern w:val="0"/>
        </w:rPr>
        <w:t xml:space="preserve"> of </w:t>
      </w:r>
      <w:r w:rsidRPr="001A3D2B">
        <w:rPr>
          <w:kern w:val="0"/>
        </w:rPr>
        <w:t>CR mentors</w:t>
      </w:r>
      <w:r w:rsidR="005853A9">
        <w:rPr>
          <w:kern w:val="0"/>
        </w:rPr>
        <w:t xml:space="preserve"> and </w:t>
      </w:r>
      <w:r w:rsidRPr="001A3D2B">
        <w:rPr>
          <w:kern w:val="0"/>
        </w:rPr>
        <w:t>teachers,</w:t>
      </w:r>
      <w:r w:rsidR="005853A9">
        <w:rPr>
          <w:kern w:val="0"/>
        </w:rPr>
        <w:t xml:space="preserve"> and </w:t>
      </w:r>
      <w:r w:rsidRPr="001A3D2B">
        <w:rPr>
          <w:kern w:val="0"/>
        </w:rPr>
        <w:t>positive exposure to CR as PGY-3, PGY-4, or PGY-5 residents were</w:t>
      </w:r>
      <w:r w:rsidR="003A1917">
        <w:rPr>
          <w:kern w:val="0"/>
        </w:rPr>
        <w:t xml:space="preserve"> the </w:t>
      </w:r>
      <w:r w:rsidRPr="001A3D2B">
        <w:rPr>
          <w:kern w:val="0"/>
        </w:rPr>
        <w:t>top cited factors influencing choice decisions. Respondents were opposed to restructuring by a 2:1 ratio, primarily because</w:t>
      </w:r>
      <w:r w:rsidR="00427468">
        <w:rPr>
          <w:kern w:val="0"/>
        </w:rPr>
        <w:t xml:space="preserve"> of </w:t>
      </w:r>
      <w:r w:rsidRPr="001A3D2B">
        <w:rPr>
          <w:kern w:val="0"/>
        </w:rPr>
        <w:t>concerns about inadequate training</w:t>
      </w:r>
      <w:r w:rsidR="005853A9">
        <w:rPr>
          <w:kern w:val="0"/>
        </w:rPr>
        <w:t xml:space="preserve"> and </w:t>
      </w:r>
      <w:r w:rsidRPr="001A3D2B">
        <w:rPr>
          <w:kern w:val="0"/>
        </w:rPr>
        <w:t>lack</w:t>
      </w:r>
      <w:r w:rsidR="00427468">
        <w:rPr>
          <w:kern w:val="0"/>
        </w:rPr>
        <w:t xml:space="preserve"> of </w:t>
      </w:r>
      <w:r w:rsidRPr="001A3D2B">
        <w:rPr>
          <w:kern w:val="0"/>
        </w:rPr>
        <w:t>time to develop technical expertise. Conclusions: Shortening general surgery residency would not necessarily limit exposure to CR rotations</w:t>
      </w:r>
      <w:r w:rsidR="005853A9">
        <w:rPr>
          <w:kern w:val="0"/>
        </w:rPr>
        <w:t xml:space="preserve"> and </w:t>
      </w:r>
      <w:r w:rsidRPr="001A3D2B">
        <w:rPr>
          <w:kern w:val="0"/>
        </w:rPr>
        <w:t>mentors unless such rotations are cut</w:t>
      </w:r>
      <w:r w:rsidR="00A37C1D">
        <w:rPr>
          <w:kern w:val="0"/>
        </w:rPr>
        <w:t>. The</w:t>
      </w:r>
      <w:r w:rsidR="003A1917">
        <w:rPr>
          <w:kern w:val="0"/>
        </w:rPr>
        <w:t xml:space="preserve"> </w:t>
      </w:r>
      <w:r w:rsidRPr="001A3D2B">
        <w:rPr>
          <w:kern w:val="0"/>
        </w:rPr>
        <w:t>details</w:t>
      </w:r>
      <w:r w:rsidR="00427468">
        <w:rPr>
          <w:kern w:val="0"/>
        </w:rPr>
        <w:t xml:space="preserve"> of </w:t>
      </w:r>
      <w:r w:rsidRPr="001A3D2B">
        <w:rPr>
          <w:kern w:val="0"/>
        </w:rPr>
        <w:t>proposed restructuring arc critical.</w:t>
      </w:r>
    </w:p>
    <w:p w:rsidR="00E37517" w:rsidRPr="001A3D2B" w:rsidRDefault="00E37517" w:rsidP="00E37517">
      <w:pPr>
        <w:pStyle w:val="a3"/>
        <w:rPr>
          <w:kern w:val="0"/>
        </w:rPr>
      </w:pPr>
      <w:r w:rsidRPr="001A3D2B">
        <w:rPr>
          <w:kern w:val="0"/>
        </w:rPr>
        <w:t>Keywords: Choice, Education, General-Surgery, Medical-Students, Programs</w:t>
      </w:r>
    </w:p>
    <w:p w:rsidR="00B04758" w:rsidRDefault="00B04758" w:rsidP="00B04758">
      <w:pPr>
        <w:pStyle w:val="a3"/>
        <w:rPr>
          <w:kern w:val="0"/>
        </w:rPr>
      </w:pPr>
      <w:r>
        <w:rPr>
          <w:rFonts w:hint="eastAsia"/>
          <w:kern w:val="0"/>
        </w:rPr>
        <w:t xml:space="preserve">? </w:t>
      </w:r>
      <w:r>
        <w:rPr>
          <w:kern w:val="0"/>
        </w:rPr>
        <w:t>Sosa, J.A., Mehta, P., Thomas, D.C., Berland, G., Gross, C., McNamara, R.L., Rosenthal, R., Udelsman, R., Bravata, D.M.</w:t>
      </w:r>
      <w:r w:rsidR="005853A9">
        <w:rPr>
          <w:kern w:val="0"/>
        </w:rPr>
        <w:t xml:space="preserve"> and </w:t>
      </w:r>
      <w:r>
        <w:rPr>
          <w:kern w:val="0"/>
        </w:rPr>
        <w:t>Roman, S.A. (2009), Evaluating</w:t>
      </w:r>
      <w:r w:rsidR="003A1917">
        <w:rPr>
          <w:kern w:val="0"/>
        </w:rPr>
        <w:t xml:space="preserve"> the </w:t>
      </w:r>
      <w:r>
        <w:rPr>
          <w:kern w:val="0"/>
        </w:rPr>
        <w:t xml:space="preserve">surgery literature can standardizing peer-review today predict manuscript impact tomorrow? </w:t>
      </w:r>
      <w:r>
        <w:rPr>
          <w:i/>
          <w:iCs/>
          <w:kern w:val="0"/>
        </w:rPr>
        <w:t>Annals</w:t>
      </w:r>
      <w:r w:rsidR="00427468">
        <w:rPr>
          <w:i/>
          <w:iCs/>
          <w:kern w:val="0"/>
        </w:rPr>
        <w:t xml:space="preserve"> of </w:t>
      </w:r>
      <w:r>
        <w:rPr>
          <w:i/>
          <w:iCs/>
          <w:kern w:val="0"/>
        </w:rPr>
        <w:t>Surgery</w:t>
      </w:r>
      <w:r>
        <w:rPr>
          <w:kern w:val="0"/>
        </w:rPr>
        <w:t xml:space="preserve">, </w:t>
      </w:r>
      <w:r>
        <w:rPr>
          <w:b/>
          <w:bCs/>
          <w:kern w:val="0"/>
        </w:rPr>
        <w:t>250</w:t>
      </w:r>
      <w:r>
        <w:rPr>
          <w:kern w:val="0"/>
        </w:rPr>
        <w:t xml:space="preserve"> (1), 152-158.</w:t>
      </w:r>
    </w:p>
    <w:p w:rsidR="00B04758" w:rsidRPr="00F219CA" w:rsidRDefault="00B04758" w:rsidP="00B04758">
      <w:pPr>
        <w:pStyle w:val="a3"/>
        <w:rPr>
          <w:kern w:val="0"/>
          <w:szCs w:val="24"/>
        </w:rPr>
      </w:pPr>
      <w:r w:rsidRPr="00F219CA">
        <w:rPr>
          <w:kern w:val="0"/>
          <w:szCs w:val="24"/>
        </w:rPr>
        <w:t xml:space="preserve">Full Text: </w:t>
      </w:r>
      <w:hyperlink r:id="rId966" w:history="1">
        <w:r w:rsidRPr="00736133">
          <w:rPr>
            <w:rStyle w:val="a5"/>
            <w:kern w:val="0"/>
            <w:szCs w:val="24"/>
          </w:rPr>
          <w:t>2009\Ann Sur250, 152.pdf</w:t>
        </w:r>
      </w:hyperlink>
    </w:p>
    <w:p w:rsidR="00B04758" w:rsidRDefault="00B04758" w:rsidP="00B04758">
      <w:pPr>
        <w:pStyle w:val="a3"/>
        <w:rPr>
          <w:kern w:val="0"/>
        </w:rPr>
      </w:pPr>
      <w:r>
        <w:rPr>
          <w:kern w:val="0"/>
        </w:rPr>
        <w:t>Abstract: Objective: Evidence-based surgery is predicated on</w:t>
      </w:r>
      <w:r w:rsidR="003A1917">
        <w:rPr>
          <w:kern w:val="0"/>
        </w:rPr>
        <w:t xml:space="preserve"> the </w:t>
      </w:r>
      <w:r>
        <w:rPr>
          <w:kern w:val="0"/>
        </w:rPr>
        <w:t>quality</w:t>
      </w:r>
      <w:r w:rsidR="00427468">
        <w:rPr>
          <w:kern w:val="0"/>
        </w:rPr>
        <w:t xml:space="preserve"> of </w:t>
      </w:r>
      <w:r>
        <w:rPr>
          <w:kern w:val="0"/>
        </w:rPr>
        <w:t>published literature. We measured</w:t>
      </w:r>
      <w:r w:rsidR="003A1917">
        <w:rPr>
          <w:kern w:val="0"/>
        </w:rPr>
        <w:t xml:space="preserve"> the </w:t>
      </w:r>
      <w:r>
        <w:rPr>
          <w:kern w:val="0"/>
        </w:rPr>
        <w:t>quality</w:t>
      </w:r>
      <w:r w:rsidR="00427468">
        <w:rPr>
          <w:kern w:val="0"/>
        </w:rPr>
        <w:t xml:space="preserve"> of </w:t>
      </w:r>
      <w:r>
        <w:rPr>
          <w:kern w:val="0"/>
        </w:rPr>
        <w:t>surgery manuscripts selected by peer review</w:t>
      </w:r>
      <w:r w:rsidR="005853A9">
        <w:rPr>
          <w:kern w:val="0"/>
        </w:rPr>
        <w:t xml:space="preserve"> and </w:t>
      </w:r>
      <w:r>
        <w:rPr>
          <w:kern w:val="0"/>
        </w:rPr>
        <w:t>identified predictors</w:t>
      </w:r>
      <w:r w:rsidR="00427468">
        <w:rPr>
          <w:kern w:val="0"/>
        </w:rPr>
        <w:t xml:space="preserve"> of </w:t>
      </w:r>
      <w:r>
        <w:rPr>
          <w:kern w:val="0"/>
        </w:rPr>
        <w:t>excellence. Methods: One hundred twenty clinical surgery manuscripts were randomly selected from 1998 in 5 eminent peer-reviewed surgery</w:t>
      </w:r>
      <w:r w:rsidR="005853A9">
        <w:rPr>
          <w:kern w:val="0"/>
        </w:rPr>
        <w:t xml:space="preserve"> and </w:t>
      </w:r>
      <w:r>
        <w:rPr>
          <w:kern w:val="0"/>
        </w:rPr>
        <w:t>medical journals. Manuscripts were blinded for author, institution,</w:t>
      </w:r>
      <w:r w:rsidR="005853A9">
        <w:rPr>
          <w:kern w:val="0"/>
        </w:rPr>
        <w:t xml:space="preserve"> and </w:t>
      </w:r>
      <w:r>
        <w:rPr>
          <w:kern w:val="0"/>
        </w:rPr>
        <w:t>journal</w:t>
      </w:r>
      <w:r w:rsidR="00427468">
        <w:rPr>
          <w:kern w:val="0"/>
        </w:rPr>
        <w:t xml:space="preserve"> of </w:t>
      </w:r>
      <w:r>
        <w:rPr>
          <w:kern w:val="0"/>
        </w:rPr>
        <w:t>origin. Four surgeons</w:t>
      </w:r>
      <w:r w:rsidR="005853A9">
        <w:rPr>
          <w:kern w:val="0"/>
        </w:rPr>
        <w:t xml:space="preserve"> and </w:t>
      </w:r>
      <w:r>
        <w:rPr>
          <w:kern w:val="0"/>
        </w:rPr>
        <w:t>4 methodologists evaluated</w:t>
      </w:r>
      <w:r w:rsidR="003A1917">
        <w:rPr>
          <w:kern w:val="0"/>
        </w:rPr>
        <w:t xml:space="preserve"> the </w:t>
      </w:r>
      <w:r>
        <w:rPr>
          <w:kern w:val="0"/>
        </w:rPr>
        <w:t>quality using novel instruments based on subject selection, study protocol, statistical analysis/inference, intervention description, outcome assessments,</w:t>
      </w:r>
      <w:r w:rsidR="005853A9">
        <w:rPr>
          <w:kern w:val="0"/>
        </w:rPr>
        <w:t xml:space="preserve"> and </w:t>
      </w:r>
      <w:r>
        <w:rPr>
          <w:kern w:val="0"/>
        </w:rPr>
        <w:t>results presentation. Predictors</w:t>
      </w:r>
      <w:r w:rsidR="00427468">
        <w:rPr>
          <w:kern w:val="0"/>
        </w:rPr>
        <w:t xml:space="preserve"> of </w:t>
      </w:r>
      <w:r>
        <w:rPr>
          <w:kern w:val="0"/>
        </w:rPr>
        <w:t>quality</w:t>
      </w:r>
      <w:r w:rsidR="005853A9">
        <w:rPr>
          <w:kern w:val="0"/>
        </w:rPr>
        <w:t xml:space="preserve"> and </w:t>
      </w:r>
      <w:r>
        <w:rPr>
          <w:kern w:val="0"/>
        </w:rPr>
        <w:t>impact factor were identified using bivariate</w:t>
      </w:r>
      <w:r w:rsidR="005853A9">
        <w:rPr>
          <w:kern w:val="0"/>
        </w:rPr>
        <w:t xml:space="preserve"> and </w:t>
      </w:r>
      <w:r>
        <w:rPr>
          <w:kern w:val="0"/>
        </w:rPr>
        <w:t>multivariate regression. Results: Oncology was</w:t>
      </w:r>
      <w:r w:rsidR="003A1917">
        <w:rPr>
          <w:kern w:val="0"/>
        </w:rPr>
        <w:t xml:space="preserve"> the </w:t>
      </w:r>
      <w:r>
        <w:rPr>
          <w:kern w:val="0"/>
        </w:rPr>
        <w:t>most common subject (26%), followed by general surgery/gastrointestinal (24%)</w:t>
      </w:r>
      <w:r w:rsidR="00A37C1D">
        <w:rPr>
          <w:kern w:val="0"/>
        </w:rPr>
        <w:t>. The</w:t>
      </w:r>
      <w:r w:rsidR="003A1917">
        <w:rPr>
          <w:kern w:val="0"/>
        </w:rPr>
        <w:t xml:space="preserve"> </w:t>
      </w:r>
      <w:r>
        <w:rPr>
          <w:kern w:val="0"/>
        </w:rPr>
        <w:t>average number</w:t>
      </w:r>
      <w:r w:rsidR="00427468">
        <w:rPr>
          <w:kern w:val="0"/>
        </w:rPr>
        <w:t xml:space="preserve"> of </w:t>
      </w:r>
      <w:r>
        <w:rPr>
          <w:kern w:val="0"/>
        </w:rPr>
        <w:t xml:space="preserve">study </w:t>
      </w:r>
      <w:r>
        <w:rPr>
          <w:kern w:val="0"/>
        </w:rPr>
        <w:lastRenderedPageBreak/>
        <w:t>subjects was 417;</w:t>
      </w:r>
      <w:r w:rsidR="003A1917">
        <w:rPr>
          <w:kern w:val="0"/>
        </w:rPr>
        <w:t xml:space="preserve"> the </w:t>
      </w:r>
      <w:r>
        <w:rPr>
          <w:kern w:val="0"/>
        </w:rPr>
        <w:t>majority</w:t>
      </w:r>
      <w:r w:rsidR="00427468">
        <w:rPr>
          <w:kern w:val="0"/>
        </w:rPr>
        <w:t xml:space="preserve"> of </w:t>
      </w:r>
      <w:r>
        <w:rPr>
          <w:kern w:val="0"/>
        </w:rPr>
        <w:t>manuscripts were American (53%), from a single institution (59%). Eighteen percent had a statistician author. Mean number</w:t>
      </w:r>
      <w:r w:rsidR="00427468">
        <w:rPr>
          <w:kern w:val="0"/>
        </w:rPr>
        <w:t xml:space="preserve"> of </w:t>
      </w:r>
      <w:r>
        <w:rPr>
          <w:kern w:val="0"/>
        </w:rPr>
        <w:t>citations was 128. Surgery manuscripts from medical, compared with surgery journals, had better total quality scores (3.8 vs. 5.2, P &lt; 0.001)</w:t>
      </w:r>
      <w:r w:rsidR="00A37C1D">
        <w:rPr>
          <w:kern w:val="0"/>
        </w:rPr>
        <w:t>. The</w:t>
      </w:r>
      <w:r>
        <w:rPr>
          <w:kern w:val="0"/>
        </w:rPr>
        <w:t>y had more subjects</w:t>
      </w:r>
      <w:r w:rsidR="005853A9">
        <w:rPr>
          <w:kern w:val="0"/>
        </w:rPr>
        <w:t xml:space="preserve"> and </w:t>
      </w:r>
      <w:r>
        <w:rPr>
          <w:kern w:val="0"/>
        </w:rPr>
        <w:t>were more likely to have a statistician as coauthor (43% vs. 10%, P &lt; 0.001), multi-institutional, international collaboration (30% vs. 8%, P &lt; 0.001),</w:t>
      </w:r>
      <w:r w:rsidR="005853A9">
        <w:rPr>
          <w:kern w:val="0"/>
        </w:rPr>
        <w:t xml:space="preserve"> and </w:t>
      </w:r>
      <w:r>
        <w:rPr>
          <w:kern w:val="0"/>
        </w:rPr>
        <w:t>higher citation index (mean: 350 vs. 54, P &lt; 0.001)</w:t>
      </w:r>
      <w:r w:rsidR="00A37C1D">
        <w:rPr>
          <w:kern w:val="0"/>
        </w:rPr>
        <w:t>. The</w:t>
      </w:r>
      <w:r>
        <w:rPr>
          <w:kern w:val="0"/>
        </w:rPr>
        <w:t>y were more often foreign (70% vs. 40%, P &lt; 0.001). Independent predictors</w:t>
      </w:r>
      <w:r w:rsidR="00427468">
        <w:rPr>
          <w:kern w:val="0"/>
        </w:rPr>
        <w:t xml:space="preserve"> of </w:t>
      </w:r>
      <w:r>
        <w:rPr>
          <w:kern w:val="0"/>
        </w:rPr>
        <w:t>quality were having a statistician coauthor, study funding, European origin,</w:t>
      </w:r>
      <w:r w:rsidR="005853A9">
        <w:rPr>
          <w:kern w:val="0"/>
        </w:rPr>
        <w:t xml:space="preserve"> and </w:t>
      </w:r>
      <w:r>
        <w:rPr>
          <w:kern w:val="0"/>
        </w:rPr>
        <w:t>more study subjects. Quality assessment using our instruments predicted</w:t>
      </w:r>
      <w:r w:rsidR="003A1917">
        <w:rPr>
          <w:kern w:val="0"/>
        </w:rPr>
        <w:t xml:space="preserve"> the </w:t>
      </w:r>
      <w:r>
        <w:rPr>
          <w:kern w:val="0"/>
        </w:rPr>
        <w:t>number</w:t>
      </w:r>
      <w:r w:rsidR="00427468">
        <w:rPr>
          <w:kern w:val="0"/>
        </w:rPr>
        <w:t xml:space="preserve"> of </w:t>
      </w:r>
      <w:r>
        <w:rPr>
          <w:kern w:val="0"/>
        </w:rPr>
        <w:t>citations after 10 years (P &lt; 0.01), along with having a statistician coauthor, international multi-institutional collaboration,</w:t>
      </w:r>
      <w:r w:rsidR="005853A9">
        <w:rPr>
          <w:kern w:val="0"/>
        </w:rPr>
        <w:t xml:space="preserve"> and </w:t>
      </w:r>
      <w:r>
        <w:rPr>
          <w:kern w:val="0"/>
        </w:rPr>
        <w:t>more subjects. Conclusion:</w:t>
      </w:r>
      <w:r w:rsidR="003A1917">
        <w:rPr>
          <w:kern w:val="0"/>
        </w:rPr>
        <w:t xml:space="preserve"> the </w:t>
      </w:r>
      <w:r>
        <w:rPr>
          <w:kern w:val="0"/>
        </w:rPr>
        <w:t>quality</w:t>
      </w:r>
      <w:r w:rsidR="00427468">
        <w:rPr>
          <w:kern w:val="0"/>
        </w:rPr>
        <w:t xml:space="preserve"> of </w:t>
      </w:r>
      <w:r>
        <w:rPr>
          <w:kern w:val="0"/>
        </w:rPr>
        <w:t>surgery manuscripts can be improved by including a statistician as coauthor, with efforts directed toward implementing multi-institutional/interdisciplinary trials. Peer-review across journals can be standardized through</w:t>
      </w:r>
      <w:r w:rsidR="003A1917">
        <w:rPr>
          <w:kern w:val="0"/>
        </w:rPr>
        <w:t xml:space="preserve"> the </w:t>
      </w:r>
      <w:r>
        <w:rPr>
          <w:kern w:val="0"/>
        </w:rPr>
        <w:t>use</w:t>
      </w:r>
      <w:r w:rsidR="00427468">
        <w:rPr>
          <w:kern w:val="0"/>
        </w:rPr>
        <w:t xml:space="preserve"> of </w:t>
      </w:r>
      <w:r>
        <w:rPr>
          <w:kern w:val="0"/>
        </w:rPr>
        <w:t>instruments measuring methodologic</w:t>
      </w:r>
      <w:r w:rsidR="005853A9">
        <w:rPr>
          <w:kern w:val="0"/>
        </w:rPr>
        <w:t xml:space="preserve"> and </w:t>
      </w:r>
      <w:r>
        <w:rPr>
          <w:kern w:val="0"/>
        </w:rPr>
        <w:t>clinical quality.</w:t>
      </w:r>
    </w:p>
    <w:p w:rsidR="00B04758" w:rsidRDefault="00B04758" w:rsidP="00B04758">
      <w:pPr>
        <w:pStyle w:val="a3"/>
        <w:rPr>
          <w:kern w:val="0"/>
        </w:rPr>
      </w:pPr>
      <w:r>
        <w:rPr>
          <w:kern w:val="0"/>
        </w:rPr>
        <w:t>Keywords: Articles, Assessment, Assessments, Authors, Citation, Citation-Classics, Citations, Clinical, Clinical-Research, Collaboration, Family Medicine, Funding, General, General Surgical Journals, Impact, Impact Factor, Index, International, Intervention, Journal, Journals, Literature, Medical, Medical Journals, Multivariate, Origin, Outcome, P, Peer Review, Peer-Review, Peer-Reviewed, Policies, Predictors, Presentation, Quality, Quality Of, Randomized Controlled-Trial, Readability, Regression, Review, Surgery</w:t>
      </w:r>
    </w:p>
    <w:p w:rsidR="004A4045" w:rsidRDefault="004A4045" w:rsidP="004A4045">
      <w:pPr>
        <w:pStyle w:val="a3"/>
        <w:rPr>
          <w:kern w:val="0"/>
        </w:rPr>
      </w:pPr>
      <w:r>
        <w:rPr>
          <w:rFonts w:hint="eastAsia"/>
          <w:kern w:val="0"/>
        </w:rPr>
        <w:t xml:space="preserve">? </w:t>
      </w:r>
      <w:r>
        <w:rPr>
          <w:kern w:val="0"/>
        </w:rPr>
        <w:t>Memon, M.A., Subramanya, M.S., Khan, S., Hossain, M.B., Osland, E.</w:t>
      </w:r>
      <w:r w:rsidR="005853A9">
        <w:rPr>
          <w:kern w:val="0"/>
        </w:rPr>
        <w:t xml:space="preserve"> and </w:t>
      </w:r>
      <w:r>
        <w:rPr>
          <w:kern w:val="0"/>
        </w:rPr>
        <w:t>Memon, B. (2011), Meta-Analysis</w:t>
      </w:r>
      <w:r w:rsidR="00427468">
        <w:rPr>
          <w:kern w:val="0"/>
        </w:rPr>
        <w:t xml:space="preserve"> of </w:t>
      </w:r>
      <w:r>
        <w:rPr>
          <w:kern w:val="0"/>
        </w:rPr>
        <w:t xml:space="preserve">D1 Versus D2 Gastrectomy for Gastric Adenocarcinoma. </w:t>
      </w:r>
      <w:r>
        <w:rPr>
          <w:i/>
          <w:iCs/>
          <w:kern w:val="0"/>
        </w:rPr>
        <w:t>Annals</w:t>
      </w:r>
      <w:r w:rsidR="00427468">
        <w:rPr>
          <w:i/>
          <w:iCs/>
          <w:kern w:val="0"/>
        </w:rPr>
        <w:t xml:space="preserve"> of </w:t>
      </w:r>
      <w:r>
        <w:rPr>
          <w:i/>
          <w:iCs/>
          <w:kern w:val="0"/>
        </w:rPr>
        <w:t>Surgery</w:t>
      </w:r>
      <w:r>
        <w:rPr>
          <w:kern w:val="0"/>
        </w:rPr>
        <w:t xml:space="preserve">, </w:t>
      </w:r>
      <w:r>
        <w:rPr>
          <w:b/>
          <w:bCs/>
          <w:kern w:val="0"/>
        </w:rPr>
        <w:t>253</w:t>
      </w:r>
      <w:r>
        <w:rPr>
          <w:kern w:val="0"/>
        </w:rPr>
        <w:t xml:space="preserve"> (5), 900-911.</w:t>
      </w:r>
    </w:p>
    <w:p w:rsidR="004A4045" w:rsidRPr="00F219CA" w:rsidRDefault="004A4045" w:rsidP="004A4045">
      <w:pPr>
        <w:pStyle w:val="a3"/>
        <w:rPr>
          <w:kern w:val="0"/>
        </w:rPr>
      </w:pPr>
      <w:r w:rsidRPr="00F219CA">
        <w:rPr>
          <w:kern w:val="0"/>
        </w:rPr>
        <w:t xml:space="preserve">Full Text: </w:t>
      </w:r>
      <w:hyperlink r:id="rId967" w:history="1">
        <w:r w:rsidRPr="004A4045">
          <w:rPr>
            <w:rStyle w:val="a5"/>
            <w:kern w:val="0"/>
          </w:rPr>
          <w:t>2011\Ann Sur253, 900.pdf</w:t>
        </w:r>
      </w:hyperlink>
    </w:p>
    <w:p w:rsidR="004A4045" w:rsidRDefault="004A4045" w:rsidP="004A4045">
      <w:pPr>
        <w:pStyle w:val="a3"/>
        <w:rPr>
          <w:kern w:val="0"/>
        </w:rPr>
      </w:pPr>
      <w:r>
        <w:rPr>
          <w:kern w:val="0"/>
        </w:rPr>
        <w:t>Abstract: Objectives: To conduct a meta-analysis</w:t>
      </w:r>
      <w:r w:rsidR="00427468">
        <w:rPr>
          <w:kern w:val="0"/>
        </w:rPr>
        <w:t xml:space="preserve"> of </w:t>
      </w:r>
      <w:r>
        <w:rPr>
          <w:kern w:val="0"/>
        </w:rPr>
        <w:t>randomized controlled trials evaluating</w:t>
      </w:r>
      <w:r w:rsidR="003A1917">
        <w:rPr>
          <w:kern w:val="0"/>
        </w:rPr>
        <w:t xml:space="preserve"> the </w:t>
      </w:r>
      <w:r>
        <w:rPr>
          <w:kern w:val="0"/>
        </w:rPr>
        <w:t>efficacy</w:t>
      </w:r>
      <w:r w:rsidR="005853A9">
        <w:rPr>
          <w:kern w:val="0"/>
        </w:rPr>
        <w:t xml:space="preserve"> and </w:t>
      </w:r>
      <w:r>
        <w:rPr>
          <w:kern w:val="0"/>
        </w:rPr>
        <w:t>drawbacks</w:t>
      </w:r>
      <w:r w:rsidR="00427468">
        <w:rPr>
          <w:kern w:val="0"/>
        </w:rPr>
        <w:t xml:space="preserve"> of </w:t>
      </w:r>
      <w:r>
        <w:rPr>
          <w:kern w:val="0"/>
        </w:rPr>
        <w:t>limited (D1) versus extended lymphadenectomy (D2) for proven gastric adenocarcinoma. Methods: A search</w:t>
      </w:r>
      <w:r w:rsidR="00427468">
        <w:rPr>
          <w:kern w:val="0"/>
        </w:rPr>
        <w:t xml:space="preserve"> of </w:t>
      </w:r>
      <w:r>
        <w:rPr>
          <w:kern w:val="0"/>
        </w:rPr>
        <w:t xml:space="preserve">Cochrane, </w:t>
      </w:r>
      <w:r w:rsidR="00D5664A">
        <w:rPr>
          <w:kern w:val="0"/>
        </w:rPr>
        <w:t>MEDLINE</w:t>
      </w:r>
      <w:r>
        <w:rPr>
          <w:kern w:val="0"/>
        </w:rPr>
        <w:t xml:space="preserve">, </w:t>
      </w:r>
      <w:r w:rsidR="002C12F0">
        <w:rPr>
          <w:kern w:val="0"/>
        </w:rPr>
        <w:t>PUBMED</w:t>
      </w:r>
      <w:r>
        <w:rPr>
          <w:kern w:val="0"/>
        </w:rPr>
        <w:t>, Embase, Science Citation Index</w:t>
      </w:r>
      <w:r w:rsidR="005853A9">
        <w:rPr>
          <w:kern w:val="0"/>
        </w:rPr>
        <w:t xml:space="preserve"> and </w:t>
      </w:r>
      <w:r>
        <w:rPr>
          <w:kern w:val="0"/>
        </w:rPr>
        <w:t>Current Contents electronic databases identified randomized controlled trials published in</w:t>
      </w:r>
      <w:r w:rsidR="003A1917">
        <w:rPr>
          <w:kern w:val="0"/>
        </w:rPr>
        <w:t xml:space="preserve"> the </w:t>
      </w:r>
      <w:r>
        <w:rPr>
          <w:kern w:val="0"/>
        </w:rPr>
        <w:t>English language between 1980</w:t>
      </w:r>
      <w:r w:rsidR="005853A9">
        <w:rPr>
          <w:kern w:val="0"/>
        </w:rPr>
        <w:t xml:space="preserve"> and </w:t>
      </w:r>
      <w:r>
        <w:rPr>
          <w:kern w:val="0"/>
        </w:rPr>
        <w:t>2008 comparing</w:t>
      </w:r>
      <w:r w:rsidR="003A1917">
        <w:rPr>
          <w:kern w:val="0"/>
        </w:rPr>
        <w:t xml:space="preserve"> the </w:t>
      </w:r>
      <w:r>
        <w:rPr>
          <w:kern w:val="0"/>
        </w:rPr>
        <w:t>outcomes</w:t>
      </w:r>
      <w:r w:rsidR="00427468">
        <w:rPr>
          <w:kern w:val="0"/>
        </w:rPr>
        <w:t xml:space="preserve"> of </w:t>
      </w:r>
      <w:r>
        <w:rPr>
          <w:kern w:val="0"/>
        </w:rPr>
        <w:t>D1 versus D2 gastrectomy for gastric adenocarcinoma</w:t>
      </w:r>
      <w:r w:rsidR="00A37C1D">
        <w:rPr>
          <w:kern w:val="0"/>
        </w:rPr>
        <w:t>. The</w:t>
      </w:r>
      <w:r w:rsidR="003A1917">
        <w:rPr>
          <w:kern w:val="0"/>
        </w:rPr>
        <w:t xml:space="preserve"> </w:t>
      </w:r>
      <w:r>
        <w:rPr>
          <w:kern w:val="0"/>
        </w:rPr>
        <w:t>meta-analysis was prepared in accordance with</w:t>
      </w:r>
      <w:r w:rsidR="003A1917">
        <w:rPr>
          <w:kern w:val="0"/>
        </w:rPr>
        <w:t xml:space="preserve"> the </w:t>
      </w:r>
      <w:r>
        <w:rPr>
          <w:kern w:val="0"/>
        </w:rPr>
        <w:t>Preferred Reporting Items for Systematic reviews</w:t>
      </w:r>
      <w:r w:rsidR="005853A9">
        <w:rPr>
          <w:kern w:val="0"/>
        </w:rPr>
        <w:t xml:space="preserve"> and </w:t>
      </w:r>
      <w:r>
        <w:rPr>
          <w:kern w:val="0"/>
        </w:rPr>
        <w:t>Meta-analyses statement</w:t>
      </w:r>
      <w:r w:rsidR="00A37C1D">
        <w:rPr>
          <w:kern w:val="0"/>
        </w:rPr>
        <w:t>. The</w:t>
      </w:r>
      <w:r w:rsidR="003A1917">
        <w:rPr>
          <w:kern w:val="0"/>
        </w:rPr>
        <w:t xml:space="preserve"> </w:t>
      </w:r>
      <w:r>
        <w:rPr>
          <w:kern w:val="0"/>
        </w:rPr>
        <w:t>6 outcome variables analyzed included length</w:t>
      </w:r>
      <w:r w:rsidR="00427468">
        <w:rPr>
          <w:kern w:val="0"/>
        </w:rPr>
        <w:t xml:space="preserve"> of </w:t>
      </w:r>
      <w:r>
        <w:rPr>
          <w:kern w:val="0"/>
        </w:rPr>
        <w:t>hospital stay; overall complication rate; anastomotic leak rate; reoperation rate; 30-day mortality rate</w:t>
      </w:r>
      <w:r w:rsidR="005853A9">
        <w:rPr>
          <w:kern w:val="0"/>
        </w:rPr>
        <w:t xml:space="preserve"> and </w:t>
      </w:r>
      <w:r>
        <w:rPr>
          <w:kern w:val="0"/>
        </w:rPr>
        <w:t>5-year survival rate. Random effects meta-analyses were performed using odds ratios (OR)</w:t>
      </w:r>
      <w:r w:rsidR="005853A9">
        <w:rPr>
          <w:kern w:val="0"/>
        </w:rPr>
        <w:t xml:space="preserve"> and </w:t>
      </w:r>
      <w:r>
        <w:rPr>
          <w:kern w:val="0"/>
        </w:rPr>
        <w:t xml:space="preserve">weighted mean differences (WMD). Results: </w:t>
      </w:r>
      <w:r>
        <w:rPr>
          <w:kern w:val="0"/>
        </w:rPr>
        <w:lastRenderedPageBreak/>
        <w:t>Six trials totaling 1876 patients (D1=946, D2=930) were analyzed. In 5</w:t>
      </w:r>
      <w:r w:rsidR="00427468">
        <w:rPr>
          <w:kern w:val="0"/>
        </w:rPr>
        <w:t xml:space="preserve"> of </w:t>
      </w:r>
      <w:r w:rsidR="003A1917">
        <w:rPr>
          <w:kern w:val="0"/>
        </w:rPr>
        <w:t xml:space="preserve">the </w:t>
      </w:r>
      <w:r>
        <w:rPr>
          <w:kern w:val="0"/>
        </w:rPr>
        <w:t>6 outcomes</w:t>
      </w:r>
      <w:r w:rsidR="003A1917">
        <w:rPr>
          <w:kern w:val="0"/>
        </w:rPr>
        <w:t xml:space="preserve"> the </w:t>
      </w:r>
      <w:r>
        <w:rPr>
          <w:kern w:val="0"/>
        </w:rPr>
        <w:t>summary point estimates favored D1 over D2 group with a statistically significant reduction</w:t>
      </w:r>
      <w:r w:rsidR="00427468">
        <w:rPr>
          <w:kern w:val="0"/>
        </w:rPr>
        <w:t xml:space="preserve"> of </w:t>
      </w:r>
      <w:r>
        <w:rPr>
          <w:kern w:val="0"/>
        </w:rPr>
        <w:t>(i) 6.37 days reduction in hospital stay (WMD -6.37, confidence interval [CI] -10.66, -2.08, P = 0.0036); (ii) 58% reduction in relative odds</w:t>
      </w:r>
      <w:r w:rsidR="00427468">
        <w:rPr>
          <w:kern w:val="0"/>
        </w:rPr>
        <w:t xml:space="preserve"> of </w:t>
      </w:r>
      <w:r>
        <w:rPr>
          <w:kern w:val="0"/>
        </w:rPr>
        <w:t>developing postoperative complications (OR 0.42, CI 0.27, 0.66, P = 0.0002); (iii) 60% reduction in anastomotic breakdown (OR 0.40, CI 0.25, 0.63, P = 0.0001); (iv) 67% reduction in reoperation rate (OR 0.33, CI 0.15, 0.72, P = 0.006);</w:t>
      </w:r>
      <w:r w:rsidR="005853A9">
        <w:rPr>
          <w:kern w:val="0"/>
        </w:rPr>
        <w:t xml:space="preserve"> and </w:t>
      </w:r>
      <w:r>
        <w:rPr>
          <w:kern w:val="0"/>
        </w:rPr>
        <w:t>(v) 41% reduction in 30-day mortality rate (OR 0.59, CI 0.40, 0.85, P = 0.0054). Lastly there was no significant difference in</w:t>
      </w:r>
      <w:r w:rsidR="003A1917">
        <w:rPr>
          <w:kern w:val="0"/>
        </w:rPr>
        <w:t xml:space="preserve"> the </w:t>
      </w:r>
      <w:r>
        <w:rPr>
          <w:kern w:val="0"/>
        </w:rPr>
        <w:t>5-year survival (OR 0.97, CI 0.78, 1.20, P = 0.7662) between D1</w:t>
      </w:r>
      <w:r w:rsidR="005853A9">
        <w:rPr>
          <w:kern w:val="0"/>
        </w:rPr>
        <w:t xml:space="preserve"> and </w:t>
      </w:r>
      <w:r>
        <w:rPr>
          <w:kern w:val="0"/>
        </w:rPr>
        <w:t>D2 gastrectomy patients. Conclusions: On</w:t>
      </w:r>
      <w:r w:rsidR="003A1917">
        <w:rPr>
          <w:kern w:val="0"/>
        </w:rPr>
        <w:t xml:space="preserve"> the </w:t>
      </w:r>
      <w:r>
        <w:rPr>
          <w:kern w:val="0"/>
        </w:rPr>
        <w:t>basis</w:t>
      </w:r>
      <w:r w:rsidR="00427468">
        <w:rPr>
          <w:kern w:val="0"/>
        </w:rPr>
        <w:t xml:space="preserve"> of </w:t>
      </w:r>
      <w:r>
        <w:rPr>
          <w:kern w:val="0"/>
        </w:rPr>
        <w:t>this meta-analysis we conclude that D1 gastrectomy is associated with significant fewer anastomotic leaks, postoperative complication rate, reoperation rate, decreased length</w:t>
      </w:r>
      <w:r w:rsidR="00427468">
        <w:rPr>
          <w:kern w:val="0"/>
        </w:rPr>
        <w:t xml:space="preserve"> of </w:t>
      </w:r>
      <w:r>
        <w:rPr>
          <w:kern w:val="0"/>
        </w:rPr>
        <w:t>hospital stay</w:t>
      </w:r>
      <w:r w:rsidR="005853A9">
        <w:rPr>
          <w:kern w:val="0"/>
        </w:rPr>
        <w:t xml:space="preserve"> and </w:t>
      </w:r>
      <w:r>
        <w:rPr>
          <w:kern w:val="0"/>
        </w:rPr>
        <w:t>30-day mortality rate. Finally,</w:t>
      </w:r>
      <w:r w:rsidR="003A1917">
        <w:rPr>
          <w:kern w:val="0"/>
        </w:rPr>
        <w:t xml:space="preserve"> the </w:t>
      </w:r>
      <w:r>
        <w:rPr>
          <w:kern w:val="0"/>
        </w:rPr>
        <w:t>5-year survival in D1 gastrectomy patients was similar to</w:t>
      </w:r>
      <w:r w:rsidR="003A1917">
        <w:rPr>
          <w:kern w:val="0"/>
        </w:rPr>
        <w:t xml:space="preserve"> the </w:t>
      </w:r>
      <w:r>
        <w:rPr>
          <w:kern w:val="0"/>
        </w:rPr>
        <w:t>D2 cohort.</w:t>
      </w:r>
    </w:p>
    <w:p w:rsidR="004A4045" w:rsidRDefault="004A4045" w:rsidP="004A4045">
      <w:pPr>
        <w:pStyle w:val="a3"/>
        <w:rPr>
          <w:kern w:val="0"/>
        </w:rPr>
      </w:pPr>
      <w:r>
        <w:rPr>
          <w:kern w:val="0"/>
        </w:rPr>
        <w:t>Keywords: Cancer-Study-Group, Carcinoma, Clinical-Trials, Extended Lymphadenectomy, Funnel-Plot, Lymph-Node Dissection, Randomized Controlled-Trials, Surgery, Surgical Trial, Survival</w:t>
      </w:r>
    </w:p>
    <w:p w:rsidR="00F42E0C" w:rsidRDefault="00F42E0C" w:rsidP="00F42E0C">
      <w:pPr>
        <w:pStyle w:val="a3"/>
        <w:rPr>
          <w:kern w:val="0"/>
        </w:rPr>
      </w:pPr>
      <w:r>
        <w:rPr>
          <w:rFonts w:hint="eastAsia"/>
          <w:kern w:val="0"/>
        </w:rPr>
        <w:t xml:space="preserve">? </w:t>
      </w:r>
      <w:r>
        <w:rPr>
          <w:kern w:val="0"/>
        </w:rPr>
        <w:t>Purushotham, A.D., Lewison, G.</w:t>
      </w:r>
      <w:r w:rsidR="005853A9">
        <w:rPr>
          <w:kern w:val="0"/>
        </w:rPr>
        <w:t xml:space="preserve"> and </w:t>
      </w:r>
      <w:r>
        <w:rPr>
          <w:kern w:val="0"/>
        </w:rPr>
        <w:t>Sullivan, R. (2012</w:t>
      </w:r>
      <w:r w:rsidR="00F42EAC">
        <w:rPr>
          <w:kern w:val="0"/>
        </w:rPr>
        <w:t>), The</w:t>
      </w:r>
      <w:r w:rsidR="003A1917">
        <w:rPr>
          <w:kern w:val="0"/>
        </w:rPr>
        <w:t xml:space="preserve"> </w:t>
      </w:r>
      <w:r>
        <w:rPr>
          <w:kern w:val="0"/>
        </w:rPr>
        <w:t>state</w:t>
      </w:r>
      <w:r w:rsidR="00427468">
        <w:rPr>
          <w:kern w:val="0"/>
        </w:rPr>
        <w:t xml:space="preserve"> of </w:t>
      </w:r>
      <w:r>
        <w:rPr>
          <w:kern w:val="0"/>
        </w:rPr>
        <w:t>research</w:t>
      </w:r>
      <w:r w:rsidR="005853A9">
        <w:rPr>
          <w:kern w:val="0"/>
        </w:rPr>
        <w:t xml:space="preserve"> and </w:t>
      </w:r>
      <w:r>
        <w:rPr>
          <w:kern w:val="0"/>
        </w:rPr>
        <w:t xml:space="preserve">development in global cancer surgery. </w:t>
      </w:r>
      <w:r>
        <w:rPr>
          <w:i/>
          <w:iCs/>
          <w:kern w:val="0"/>
        </w:rPr>
        <w:t>Annals</w:t>
      </w:r>
      <w:r w:rsidR="00427468">
        <w:rPr>
          <w:i/>
          <w:iCs/>
          <w:kern w:val="0"/>
        </w:rPr>
        <w:t xml:space="preserve"> of </w:t>
      </w:r>
      <w:r>
        <w:rPr>
          <w:i/>
          <w:iCs/>
          <w:kern w:val="0"/>
        </w:rPr>
        <w:t>Surgery</w:t>
      </w:r>
      <w:r>
        <w:rPr>
          <w:kern w:val="0"/>
        </w:rPr>
        <w:t xml:space="preserve">, </w:t>
      </w:r>
      <w:r>
        <w:rPr>
          <w:b/>
          <w:bCs/>
          <w:kern w:val="0"/>
        </w:rPr>
        <w:t>255</w:t>
      </w:r>
      <w:r>
        <w:rPr>
          <w:kern w:val="0"/>
        </w:rPr>
        <w:t xml:space="preserve"> (3), 427-432.</w:t>
      </w:r>
    </w:p>
    <w:p w:rsidR="00F42E0C" w:rsidRPr="00F219CA" w:rsidRDefault="00F42E0C" w:rsidP="00F42E0C">
      <w:pPr>
        <w:pStyle w:val="a3"/>
        <w:rPr>
          <w:kern w:val="0"/>
        </w:rPr>
      </w:pPr>
      <w:r w:rsidRPr="00F219CA">
        <w:rPr>
          <w:kern w:val="0"/>
        </w:rPr>
        <w:t xml:space="preserve">Full Text: </w:t>
      </w:r>
      <w:r>
        <w:rPr>
          <w:kern w:val="0"/>
        </w:rPr>
        <w:t>201</w:t>
      </w:r>
      <w:r>
        <w:rPr>
          <w:rFonts w:hint="eastAsia"/>
          <w:kern w:val="0"/>
        </w:rPr>
        <w:t>2</w:t>
      </w:r>
      <w:r>
        <w:rPr>
          <w:kern w:val="0"/>
        </w:rPr>
        <w:t>\Ann Sur25</w:t>
      </w:r>
      <w:r>
        <w:rPr>
          <w:rFonts w:hint="eastAsia"/>
          <w:kern w:val="0"/>
        </w:rPr>
        <w:t>5</w:t>
      </w:r>
      <w:r>
        <w:rPr>
          <w:kern w:val="0"/>
        </w:rPr>
        <w:t xml:space="preserve">, </w:t>
      </w:r>
      <w:r>
        <w:rPr>
          <w:rFonts w:hint="eastAsia"/>
          <w:kern w:val="0"/>
        </w:rPr>
        <w:t>427</w:t>
      </w:r>
      <w:r w:rsidRPr="00C92BCA">
        <w:rPr>
          <w:kern w:val="0"/>
        </w:rPr>
        <w:t>.pdf</w:t>
      </w:r>
    </w:p>
    <w:p w:rsidR="00F42E0C" w:rsidRDefault="00F42E0C" w:rsidP="00F42E0C">
      <w:pPr>
        <w:pStyle w:val="a3"/>
        <w:rPr>
          <w:kern w:val="0"/>
        </w:rPr>
      </w:pPr>
      <w:r>
        <w:rPr>
          <w:kern w:val="0"/>
        </w:rPr>
        <w:t>Abstract: Objective:</w:t>
      </w:r>
      <w:r w:rsidR="003A1917">
        <w:rPr>
          <w:kern w:val="0"/>
        </w:rPr>
        <w:t xml:space="preserve"> the </w:t>
      </w:r>
      <w:r>
        <w:rPr>
          <w:kern w:val="0"/>
        </w:rPr>
        <w:t>objective</w:t>
      </w:r>
      <w:r w:rsidR="00427468">
        <w:rPr>
          <w:kern w:val="0"/>
        </w:rPr>
        <w:t xml:space="preserve"> of </w:t>
      </w:r>
      <w:r>
        <w:rPr>
          <w:kern w:val="0"/>
        </w:rPr>
        <w:t>this study was to perform an analysis</w:t>
      </w:r>
      <w:r w:rsidR="00427468">
        <w:rPr>
          <w:kern w:val="0"/>
        </w:rPr>
        <w:t xml:space="preserve"> of </w:t>
      </w:r>
      <w:r>
        <w:rPr>
          <w:kern w:val="0"/>
        </w:rPr>
        <w:t>global cancer surgery research</w:t>
      </w:r>
      <w:r w:rsidR="005853A9">
        <w:rPr>
          <w:kern w:val="0"/>
        </w:rPr>
        <w:t xml:space="preserve"> and </w:t>
      </w:r>
      <w:r>
        <w:rPr>
          <w:kern w:val="0"/>
        </w:rPr>
        <w:t>development trends over</w:t>
      </w:r>
      <w:r w:rsidR="003A1917">
        <w:rPr>
          <w:kern w:val="0"/>
        </w:rPr>
        <w:t xml:space="preserve"> the </w:t>
      </w:r>
      <w:r>
        <w:rPr>
          <w:kern w:val="0"/>
        </w:rPr>
        <w:t>last 10 years across 21 countries. Background: Surgery is</w:t>
      </w:r>
      <w:r w:rsidR="003A1917">
        <w:rPr>
          <w:kern w:val="0"/>
        </w:rPr>
        <w:t xml:space="preserve"> the </w:t>
      </w:r>
      <w:r>
        <w:rPr>
          <w:kern w:val="0"/>
        </w:rPr>
        <w:t>main modality for cancer cure</w:t>
      </w:r>
      <w:r w:rsidR="005853A9">
        <w:rPr>
          <w:kern w:val="0"/>
        </w:rPr>
        <w:t xml:space="preserve"> and </w:t>
      </w:r>
      <w:r>
        <w:rPr>
          <w:kern w:val="0"/>
        </w:rPr>
        <w:t>control globally. Yet, in comparison to other areas such as cancer drugs, we know little about ongoing research activities to inform policymakers. Methods: Two subfield filters, surgery research</w:t>
      </w:r>
      <w:r w:rsidR="005853A9">
        <w:rPr>
          <w:kern w:val="0"/>
        </w:rPr>
        <w:t xml:space="preserve"> and </w:t>
      </w:r>
      <w:r>
        <w:rPr>
          <w:kern w:val="0"/>
        </w:rPr>
        <w:t>oncology, were developed</w:t>
      </w:r>
      <w:r w:rsidR="005853A9">
        <w:rPr>
          <w:kern w:val="0"/>
        </w:rPr>
        <w:t xml:space="preserve"> and </w:t>
      </w:r>
      <w:r>
        <w:rPr>
          <w:kern w:val="0"/>
        </w:rPr>
        <w:t xml:space="preserve">applied to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intersection</w:t>
      </w:r>
      <w:r w:rsidR="00427468">
        <w:rPr>
          <w:kern w:val="0"/>
        </w:rPr>
        <w:t xml:space="preserve"> of </w:t>
      </w:r>
      <w:r>
        <w:rPr>
          <w:kern w:val="0"/>
        </w:rPr>
        <w:t>these 2 filters identified papers in surgical oncology,</w:t>
      </w:r>
      <w:r w:rsidR="005853A9">
        <w:rPr>
          <w:kern w:val="0"/>
        </w:rPr>
        <w:t xml:space="preserve"> and </w:t>
      </w:r>
      <w:r>
        <w:rPr>
          <w:kern w:val="0"/>
        </w:rPr>
        <w:t>their bibliographic details were downloaded for analysis. This included matching</w:t>
      </w:r>
      <w:r w:rsidR="00427468">
        <w:rPr>
          <w:kern w:val="0"/>
        </w:rPr>
        <w:t xml:space="preserve"> of </w:t>
      </w:r>
      <w:r>
        <w:rPr>
          <w:kern w:val="0"/>
        </w:rPr>
        <w:t>5-year citation counts to</w:t>
      </w:r>
      <w:r w:rsidR="003A1917">
        <w:rPr>
          <w:kern w:val="0"/>
        </w:rPr>
        <w:t xml:space="preserve"> the </w:t>
      </w:r>
      <w:r>
        <w:rPr>
          <w:kern w:val="0"/>
        </w:rPr>
        <w:t>papers, impact factor, geographical analysis by country, translational collaboration, involvement in clinical trials, citation on clinical guidelines,</w:t>
      </w:r>
      <w:r w:rsidR="005853A9">
        <w:rPr>
          <w:kern w:val="0"/>
        </w:rPr>
        <w:t xml:space="preserve"> and </w:t>
      </w:r>
      <w:r>
        <w:rPr>
          <w:kern w:val="0"/>
        </w:rPr>
        <w:t>percentage</w:t>
      </w:r>
      <w:r w:rsidR="00427468">
        <w:rPr>
          <w:kern w:val="0"/>
        </w:rPr>
        <w:t xml:space="preserve"> of </w:t>
      </w:r>
      <w:r>
        <w:rPr>
          <w:kern w:val="0"/>
        </w:rPr>
        <w:t>reviews. Result: Surgical oncology represents about 9%</w:t>
      </w:r>
      <w:r w:rsidR="00427468">
        <w:rPr>
          <w:kern w:val="0"/>
        </w:rPr>
        <w:t xml:space="preserve"> of </w:t>
      </w:r>
      <w:r>
        <w:rPr>
          <w:kern w:val="0"/>
        </w:rPr>
        <w:t>all cancer research-low in comparison with surgery</w:t>
      </w:r>
      <w:r w:rsidR="00700038">
        <w:rPr>
          <w:kern w:val="0"/>
        </w:rPr>
        <w:t>’</w:t>
      </w:r>
      <w:r>
        <w:rPr>
          <w:kern w:val="0"/>
        </w:rPr>
        <w:t>s contribution to cancer treatment</w:t>
      </w:r>
      <w:r w:rsidR="00A37C1D">
        <w:rPr>
          <w:kern w:val="0"/>
        </w:rPr>
        <w:t>. The</w:t>
      </w:r>
      <w:r w:rsidR="003A1917">
        <w:rPr>
          <w:kern w:val="0"/>
        </w:rPr>
        <w:t xml:space="preserve"> </w:t>
      </w:r>
      <w:r>
        <w:rPr>
          <w:kern w:val="0"/>
        </w:rPr>
        <w:t>US published</w:t>
      </w:r>
      <w:r w:rsidR="003A1917">
        <w:rPr>
          <w:kern w:val="0"/>
        </w:rPr>
        <w:t xml:space="preserve"> the </w:t>
      </w:r>
      <w:r>
        <w:rPr>
          <w:kern w:val="0"/>
        </w:rPr>
        <w:t>most, followed by Japan which had a high relative commitment to surgery within cancer research, followed by</w:t>
      </w:r>
      <w:r w:rsidR="003A1917">
        <w:rPr>
          <w:kern w:val="0"/>
        </w:rPr>
        <w:t xml:space="preserve"> the </w:t>
      </w:r>
      <w:r>
        <w:rPr>
          <w:kern w:val="0"/>
        </w:rPr>
        <w:t>large West European countries. Although Sweden</w:t>
      </w:r>
      <w:r w:rsidR="00700038">
        <w:rPr>
          <w:kern w:val="0"/>
        </w:rPr>
        <w:t>’</w:t>
      </w:r>
      <w:r>
        <w:rPr>
          <w:kern w:val="0"/>
        </w:rPr>
        <w:t>s papers were relatively basic, it participated</w:t>
      </w:r>
      <w:r w:rsidR="003A1917">
        <w:rPr>
          <w:kern w:val="0"/>
        </w:rPr>
        <w:t xml:space="preserve"> the </w:t>
      </w:r>
      <w:r>
        <w:rPr>
          <w:kern w:val="0"/>
        </w:rPr>
        <w:t>most in clinical trials. Its papers were also</w:t>
      </w:r>
      <w:r w:rsidR="003A1917">
        <w:rPr>
          <w:kern w:val="0"/>
        </w:rPr>
        <w:t xml:space="preserve"> the </w:t>
      </w:r>
      <w:r>
        <w:rPr>
          <w:kern w:val="0"/>
        </w:rPr>
        <w:t>most cited on clinical guidelines, but contained relatively few reviews, where</w:t>
      </w:r>
      <w:r w:rsidR="003A1917">
        <w:rPr>
          <w:kern w:val="0"/>
        </w:rPr>
        <w:t xml:space="preserve"> the </w:t>
      </w:r>
      <w:r>
        <w:rPr>
          <w:kern w:val="0"/>
        </w:rPr>
        <w:t>UK, Greece,</w:t>
      </w:r>
      <w:r w:rsidR="005853A9">
        <w:rPr>
          <w:kern w:val="0"/>
        </w:rPr>
        <w:t xml:space="preserve"> and </w:t>
      </w:r>
      <w:r>
        <w:rPr>
          <w:kern w:val="0"/>
        </w:rPr>
        <w:t>Belgium scored best. Surgical oncology papers are generally not well cited compared with cancer research overall, but on this measure</w:t>
      </w:r>
      <w:r w:rsidR="003A1917">
        <w:rPr>
          <w:kern w:val="0"/>
        </w:rPr>
        <w:t xml:space="preserve"> the </w:t>
      </w:r>
      <w:r>
        <w:rPr>
          <w:kern w:val="0"/>
        </w:rPr>
        <w:t>Netherlands,</w:t>
      </w:r>
      <w:r w:rsidR="003A1917">
        <w:rPr>
          <w:kern w:val="0"/>
        </w:rPr>
        <w:t xml:space="preserve"> the </w:t>
      </w:r>
      <w:r>
        <w:rPr>
          <w:kern w:val="0"/>
        </w:rPr>
        <w:t>US,</w:t>
      </w:r>
      <w:r w:rsidR="005853A9">
        <w:rPr>
          <w:kern w:val="0"/>
        </w:rPr>
        <w:t xml:space="preserve"> and </w:t>
      </w:r>
      <w:r>
        <w:rPr>
          <w:kern w:val="0"/>
        </w:rPr>
        <w:t xml:space="preserve">Sweden scored best. International </w:t>
      </w:r>
      <w:r>
        <w:rPr>
          <w:kern w:val="0"/>
        </w:rPr>
        <w:lastRenderedPageBreak/>
        <w:t>collaboration was measured relative to what might have been expected, on this indicator Canada, Switzerland,</w:t>
      </w:r>
      <w:r w:rsidR="005853A9">
        <w:rPr>
          <w:kern w:val="0"/>
        </w:rPr>
        <w:t xml:space="preserve"> and </w:t>
      </w:r>
      <w:r w:rsidR="003A1917">
        <w:rPr>
          <w:kern w:val="0"/>
        </w:rPr>
        <w:t xml:space="preserve">the </w:t>
      </w:r>
      <w:r>
        <w:rPr>
          <w:kern w:val="0"/>
        </w:rPr>
        <w:t>US were</w:t>
      </w:r>
      <w:r w:rsidR="003A1917">
        <w:rPr>
          <w:kern w:val="0"/>
        </w:rPr>
        <w:t xml:space="preserve"> the </w:t>
      </w:r>
      <w:r>
        <w:rPr>
          <w:kern w:val="0"/>
        </w:rPr>
        <w:t>best performers. Conclusions: Globally, low activity-low funding cycle needs to be addressed by new national</w:t>
      </w:r>
      <w:r w:rsidR="005853A9">
        <w:rPr>
          <w:kern w:val="0"/>
        </w:rPr>
        <w:t xml:space="preserve"> and </w:t>
      </w:r>
      <w:r>
        <w:rPr>
          <w:kern w:val="0"/>
        </w:rPr>
        <w:t>supranational policies to support surgical oncology research.</w:t>
      </w:r>
    </w:p>
    <w:p w:rsidR="00F42E0C" w:rsidRDefault="00F42E0C" w:rsidP="00F42E0C">
      <w:pPr>
        <w:pStyle w:val="a3"/>
        <w:rPr>
          <w:kern w:val="0"/>
        </w:rPr>
      </w:pPr>
      <w:r>
        <w:rPr>
          <w:kern w:val="0"/>
        </w:rPr>
        <w:t>Keywords: Analysis, Belgium, Canada, Cancer, Cancer Treatment, Citation, Citation Counts, Clinical, Clinical Guidelines, Clinical Trials, Collaboration, Commitment, Comparison, Control, Country, Development, Drugs, Funding, Global, Greece, Guidelines, Impact, Impact Factor, Indicator, International Collaboration, Japan, Mar, Measure, Needs, Oncology, Papers, Policies, Research, Research</w:t>
      </w:r>
      <w:r w:rsidR="005853A9">
        <w:rPr>
          <w:kern w:val="0"/>
        </w:rPr>
        <w:t xml:space="preserve"> and </w:t>
      </w:r>
      <w:r>
        <w:rPr>
          <w:kern w:val="0"/>
        </w:rPr>
        <w:t>Development, Reviews, Science, Support, Surgery, Surgical Oncology, Sweden, Switzerland,</w:t>
      </w:r>
      <w:r w:rsidR="003A1917">
        <w:rPr>
          <w:kern w:val="0"/>
        </w:rPr>
        <w:t xml:space="preserve"> the </w:t>
      </w:r>
      <w:r>
        <w:rPr>
          <w:kern w:val="0"/>
        </w:rPr>
        <w:t>Netherlands, Treatment, Trends</w:t>
      </w:r>
      <w:r w:rsidR="00D5664A">
        <w:rPr>
          <w:kern w:val="0"/>
        </w:rPr>
        <w:t>, UK,</w:t>
      </w:r>
      <w:r>
        <w:rPr>
          <w:kern w:val="0"/>
        </w:rPr>
        <w:t xml:space="preserve"> US, </w:t>
      </w:r>
      <w:r w:rsidR="00D5664A">
        <w:rPr>
          <w:kern w:val="0"/>
        </w:rPr>
        <w:t>Web</w:t>
      </w:r>
      <w:r w:rsidR="00427468">
        <w:rPr>
          <w:kern w:val="0"/>
        </w:rPr>
        <w:t xml:space="preserve"> of </w:t>
      </w:r>
      <w:r w:rsidR="00D5664A">
        <w:rPr>
          <w:kern w:val="0"/>
        </w:rPr>
        <w:t>Science</w:t>
      </w:r>
    </w:p>
    <w:p w:rsidR="00210EE7" w:rsidRDefault="00210EE7" w:rsidP="00210EE7">
      <w:pPr>
        <w:pStyle w:val="a3"/>
        <w:rPr>
          <w:kern w:val="0"/>
        </w:rPr>
      </w:pPr>
      <w:r>
        <w:rPr>
          <w:kern w:val="0"/>
        </w:rPr>
        <w:t>? Yin, Z., Xu, K., Sun, J., Zhang, J.L., Xiao, Z.Y., Wang, J., Niu, H.T., Zhao, Q., Lin, S.X.</w:t>
      </w:r>
      <w:r w:rsidR="005853A9">
        <w:rPr>
          <w:kern w:val="0"/>
        </w:rPr>
        <w:t xml:space="preserve"> and </w:t>
      </w:r>
      <w:r>
        <w:rPr>
          <w:kern w:val="0"/>
        </w:rPr>
        <w:t>Li, Y.J. (2013), Is the end</w:t>
      </w:r>
      <w:r w:rsidR="00427468">
        <w:rPr>
          <w:kern w:val="0"/>
        </w:rPr>
        <w:t xml:space="preserve"> of </w:t>
      </w:r>
      <w:r>
        <w:rPr>
          <w:kern w:val="0"/>
        </w:rPr>
        <w:t>the T-tube drainage era in laparoscopic choledochotomy for common bile duct stones is coming? A systematic review</w:t>
      </w:r>
      <w:r w:rsidR="005853A9">
        <w:rPr>
          <w:kern w:val="0"/>
        </w:rPr>
        <w:t xml:space="preserve"> and </w:t>
      </w:r>
      <w:r>
        <w:rPr>
          <w:kern w:val="0"/>
        </w:rPr>
        <w:t xml:space="preserve">meta-analysis. </w:t>
      </w:r>
      <w:r>
        <w:rPr>
          <w:i/>
          <w:iCs/>
          <w:kern w:val="0"/>
        </w:rPr>
        <w:t>Annals</w:t>
      </w:r>
      <w:r w:rsidR="00427468">
        <w:rPr>
          <w:i/>
          <w:iCs/>
          <w:kern w:val="0"/>
        </w:rPr>
        <w:t xml:space="preserve"> of </w:t>
      </w:r>
      <w:r>
        <w:rPr>
          <w:i/>
          <w:iCs/>
          <w:kern w:val="0"/>
        </w:rPr>
        <w:t>Surgery</w:t>
      </w:r>
      <w:r>
        <w:rPr>
          <w:kern w:val="0"/>
        </w:rPr>
        <w:t xml:space="preserve">, </w:t>
      </w:r>
      <w:r>
        <w:rPr>
          <w:b/>
          <w:bCs/>
          <w:kern w:val="0"/>
        </w:rPr>
        <w:t>257</w:t>
      </w:r>
      <w:r>
        <w:rPr>
          <w:kern w:val="0"/>
        </w:rPr>
        <w:t xml:space="preserve"> (1), 54-66.</w:t>
      </w:r>
    </w:p>
    <w:p w:rsidR="00210EE7" w:rsidRDefault="00210EE7" w:rsidP="00210EE7">
      <w:pPr>
        <w:pStyle w:val="a3"/>
        <w:rPr>
          <w:kern w:val="0"/>
        </w:rPr>
      </w:pPr>
      <w:r>
        <w:rPr>
          <w:kern w:val="0"/>
        </w:rPr>
        <w:t>Full Text: 2013\Ann Sur257, 54.pdf</w:t>
      </w:r>
    </w:p>
    <w:p w:rsidR="00210EE7" w:rsidRDefault="00210EE7" w:rsidP="00210EE7">
      <w:pPr>
        <w:pStyle w:val="a3"/>
        <w:rPr>
          <w:kern w:val="0"/>
        </w:rPr>
      </w:pPr>
      <w:r>
        <w:rPr>
          <w:kern w:val="0"/>
        </w:rPr>
        <w:t>Abstract: Objective: This study aims to compare the efficacy</w:t>
      </w:r>
      <w:r w:rsidR="005853A9">
        <w:rPr>
          <w:kern w:val="0"/>
        </w:rPr>
        <w:t xml:space="preserve"> and </w:t>
      </w:r>
      <w:r>
        <w:rPr>
          <w:kern w:val="0"/>
        </w:rPr>
        <w:t>safety</w:t>
      </w:r>
      <w:r w:rsidR="00427468">
        <w:rPr>
          <w:kern w:val="0"/>
        </w:rPr>
        <w:t xml:space="preserve"> of </w:t>
      </w:r>
      <w:r>
        <w:rPr>
          <w:kern w:val="0"/>
        </w:rPr>
        <w:t>T-tube free (TTF) versus T-tube drainage (TTD) after laparoscopic common bile duct exploration (LCBDE). Background: LCBDE has been proven to be an effective</w:t>
      </w:r>
      <w:r w:rsidR="005853A9">
        <w:rPr>
          <w:kern w:val="0"/>
        </w:rPr>
        <w:t xml:space="preserve"> and </w:t>
      </w:r>
      <w:r>
        <w:rPr>
          <w:kern w:val="0"/>
        </w:rPr>
        <w:t>preferred treatment approach for uncomplicated choledocholithiasis,</w:t>
      </w:r>
      <w:r w:rsidR="005853A9">
        <w:rPr>
          <w:kern w:val="0"/>
        </w:rPr>
        <w:t xml:space="preserve"> and </w:t>
      </w:r>
      <w:r>
        <w:rPr>
          <w:kern w:val="0"/>
        </w:rPr>
        <w:t>the appropriateness</w:t>
      </w:r>
      <w:r w:rsidR="00427468">
        <w:rPr>
          <w:kern w:val="0"/>
        </w:rPr>
        <w:t xml:space="preserve"> of </w:t>
      </w:r>
      <w:r>
        <w:rPr>
          <w:kern w:val="0"/>
        </w:rPr>
        <w:t>T-tube placement after laparoscopic choledochotomy for common bile duct (CBD) stones is still under debate. Methods: A systematic literature search (PubMed, EMBASE, Science Citation Index, Springer-Link,</w:t>
      </w:r>
      <w:r w:rsidR="005853A9">
        <w:rPr>
          <w:kern w:val="0"/>
        </w:rPr>
        <w:t xml:space="preserve"> and </w:t>
      </w:r>
      <w:r>
        <w:rPr>
          <w:kern w:val="0"/>
        </w:rPr>
        <w:t>Cochrane Central Register</w:t>
      </w:r>
      <w:r w:rsidR="00427468">
        <w:rPr>
          <w:kern w:val="0"/>
        </w:rPr>
        <w:t xml:space="preserve"> of </w:t>
      </w:r>
      <w:r>
        <w:rPr>
          <w:kern w:val="0"/>
        </w:rPr>
        <w:t>Controlled Trials) was performed. Postoperative complications were evaluated/graded according to the modified Clavien classification. Other variables extracted including primary closures</w:t>
      </w:r>
      <w:r w:rsidR="00427468">
        <w:rPr>
          <w:kern w:val="0"/>
        </w:rPr>
        <w:t xml:space="preserve"> of </w:t>
      </w:r>
      <w:r>
        <w:rPr>
          <w:kern w:val="0"/>
        </w:rPr>
        <w:t>the CBDs</w:t>
      </w:r>
      <w:r w:rsidR="005853A9">
        <w:rPr>
          <w:kern w:val="0"/>
        </w:rPr>
        <w:t xml:space="preserve"> and </w:t>
      </w:r>
      <w:r>
        <w:rPr>
          <w:kern w:val="0"/>
        </w:rPr>
        <w:t>the associated assistant methods, T-tube types,</w:t>
      </w:r>
      <w:r w:rsidR="005853A9">
        <w:rPr>
          <w:kern w:val="0"/>
        </w:rPr>
        <w:t xml:space="preserve"> and </w:t>
      </w:r>
      <w:r>
        <w:rPr>
          <w:kern w:val="0"/>
        </w:rPr>
        <w:t>placement durations. Stratified</w:t>
      </w:r>
      <w:r w:rsidR="005853A9">
        <w:rPr>
          <w:kern w:val="0"/>
        </w:rPr>
        <w:t xml:space="preserve"> and </w:t>
      </w:r>
      <w:r>
        <w:rPr>
          <w:kern w:val="0"/>
        </w:rPr>
        <w:t>sensitivity analyses were performed both to explore heterogeneity between studies</w:t>
      </w:r>
      <w:r w:rsidR="005853A9">
        <w:rPr>
          <w:kern w:val="0"/>
        </w:rPr>
        <w:t xml:space="preserve"> and </w:t>
      </w:r>
      <w:r>
        <w:rPr>
          <w:kern w:val="0"/>
        </w:rPr>
        <w:t>to assess the effects</w:t>
      </w:r>
      <w:r w:rsidR="00427468">
        <w:rPr>
          <w:kern w:val="0"/>
        </w:rPr>
        <w:t xml:space="preserve"> of </w:t>
      </w:r>
      <w:r>
        <w:rPr>
          <w:kern w:val="0"/>
        </w:rPr>
        <w:t>the study qualities. Results: A total</w:t>
      </w:r>
      <w:r w:rsidR="00427468">
        <w:rPr>
          <w:kern w:val="0"/>
        </w:rPr>
        <w:t xml:space="preserve"> of </w:t>
      </w:r>
      <w:r>
        <w:rPr>
          <w:kern w:val="0"/>
        </w:rPr>
        <w:t>956 patients from 12 studies were included</w:t>
      </w:r>
      <w:r w:rsidR="00A37C1D">
        <w:rPr>
          <w:kern w:val="0"/>
        </w:rPr>
        <w:t>. The</w:t>
      </w:r>
      <w:r>
        <w:rPr>
          <w:kern w:val="0"/>
        </w:rPr>
        <w:t xml:space="preserve"> pooled odds ratio for postoperative complications</w:t>
      </w:r>
      <w:r w:rsidR="005853A9">
        <w:rPr>
          <w:kern w:val="0"/>
        </w:rPr>
        <w:t xml:space="preserve"> and </w:t>
      </w:r>
      <w:r>
        <w:rPr>
          <w:kern w:val="0"/>
        </w:rPr>
        <w:t>biliary-specific complications in TTF was found to be 0.59 [95% confidence interval (CI), 0.38-0.91; P = 0.02], 0.62 (95% CI, 0.36-1.06; P = 0.08), respectively, when compared with TTD. Operative time</w:t>
      </w:r>
      <w:r w:rsidR="005853A9">
        <w:rPr>
          <w:kern w:val="0"/>
        </w:rPr>
        <w:t xml:space="preserve"> and </w:t>
      </w:r>
      <w:r>
        <w:rPr>
          <w:kern w:val="0"/>
        </w:rPr>
        <w:t>hospital stay were significantly decreased in the TTF group, with the pooled weighted mean differences being 18.84 minutes (95% CI, -27.01 to 10.67; P &lt; 0.01)</w:t>
      </w:r>
      <w:r w:rsidR="005853A9">
        <w:rPr>
          <w:kern w:val="0"/>
        </w:rPr>
        <w:t xml:space="preserve"> and </w:t>
      </w:r>
      <w:r>
        <w:rPr>
          <w:kern w:val="0"/>
        </w:rPr>
        <w:t>3.22 days (95% CI, -4.59 to 1.84; P &lt; 0.01), respectively. Conclusions: The results</w:t>
      </w:r>
      <w:r w:rsidR="00427468">
        <w:rPr>
          <w:kern w:val="0"/>
        </w:rPr>
        <w:t xml:space="preserve"> of </w:t>
      </w:r>
      <w:r>
        <w:rPr>
          <w:kern w:val="0"/>
        </w:rPr>
        <w:t>this meta-analysis demonstrate that among patients undergoing laparoscopic choledochotomy for common bile duct stones, primary closure</w:t>
      </w:r>
      <w:r w:rsidR="00427468">
        <w:rPr>
          <w:kern w:val="0"/>
        </w:rPr>
        <w:t xml:space="preserve"> of </w:t>
      </w:r>
      <w:r>
        <w:rPr>
          <w:kern w:val="0"/>
        </w:rPr>
        <w:t>the CBD alone is superior to TTD; however, there is no significant benefit in terms</w:t>
      </w:r>
      <w:r w:rsidR="00427468">
        <w:rPr>
          <w:kern w:val="0"/>
        </w:rPr>
        <w:t xml:space="preserve"> of </w:t>
      </w:r>
      <w:r>
        <w:rPr>
          <w:kern w:val="0"/>
        </w:rPr>
        <w:t xml:space="preserve">primary duct closure with various internal or external drainage techniques. </w:t>
      </w:r>
      <w:r>
        <w:rPr>
          <w:kern w:val="0"/>
        </w:rPr>
        <w:lastRenderedPageBreak/>
        <w:t>Further randomized controlled trials are eagerly awaited to prove these findings.</w:t>
      </w:r>
    </w:p>
    <w:p w:rsidR="00210EE7" w:rsidRDefault="00210EE7" w:rsidP="00210EE7">
      <w:pPr>
        <w:pStyle w:val="a3"/>
        <w:rPr>
          <w:kern w:val="0"/>
        </w:rPr>
      </w:pPr>
      <w:r>
        <w:rPr>
          <w:kern w:val="0"/>
        </w:rPr>
        <w:t>Keywords: Analyses, Approach, Choledocholithiasis, Citation, Classification, Closure, Cohort, Common Bile Duct Stones, Complications, Confidence, Disease, Drainage, Effects, Efficacy, Exploration, Heterogeneity, Hospital, Hospital Stay, Interval, Laparoscopic, Laparoscopic Choledochotomy, Literature, Management, Meta Analysis, Meta-Analysis, Metaanalysis, Methods, Modified, Odds Ratio, P, Patients, Placement, Postoperative, Postoperative Complications, Primary, Primary Closure, Primary Closure, Proposal, Prospective Randomized-Trial, Pubmed, Randomized, Randomized Controlled Trials, Review, Safety, Science, Science Citation Index, Sensitivity, Systematic Literature Search, T-Tube Drainage, Techniques, Treatment, TTF</w:t>
      </w:r>
    </w:p>
    <w:p w:rsidR="005B4629" w:rsidRDefault="005B4629" w:rsidP="005B4629">
      <w:pPr>
        <w:pStyle w:val="a3"/>
        <w:rPr>
          <w:kern w:val="0"/>
        </w:rPr>
      </w:pPr>
      <w:r>
        <w:rPr>
          <w:rFonts w:hint="eastAsia"/>
          <w:kern w:val="0"/>
        </w:rPr>
        <w:t xml:space="preserve">? </w:t>
      </w:r>
      <w:r>
        <w:rPr>
          <w:kern w:val="0"/>
        </w:rPr>
        <w:t xml:space="preserve">Reames, B.N., Shubeck, S.P. and Birkmeyer, J.D. (2014), Strategies for reducing regional variation in the use of surgery: A systematic review. </w:t>
      </w:r>
      <w:r>
        <w:rPr>
          <w:i/>
          <w:iCs/>
          <w:kern w:val="0"/>
        </w:rPr>
        <w:t>Annals of Surgery</w:t>
      </w:r>
      <w:r>
        <w:rPr>
          <w:kern w:val="0"/>
        </w:rPr>
        <w:t xml:space="preserve">, </w:t>
      </w:r>
      <w:r>
        <w:rPr>
          <w:b/>
          <w:bCs/>
          <w:kern w:val="0"/>
        </w:rPr>
        <w:t>259</w:t>
      </w:r>
      <w:r>
        <w:rPr>
          <w:kern w:val="0"/>
        </w:rPr>
        <w:t xml:space="preserve"> (4), 616-627.</w:t>
      </w:r>
    </w:p>
    <w:p w:rsidR="005B4629" w:rsidRDefault="005B4629" w:rsidP="005B4629">
      <w:pPr>
        <w:pStyle w:val="a3"/>
        <w:rPr>
          <w:kern w:val="0"/>
        </w:rPr>
      </w:pPr>
      <w:r>
        <w:rPr>
          <w:kern w:val="0"/>
        </w:rPr>
        <w:t>Full Text: 201</w:t>
      </w:r>
      <w:r>
        <w:rPr>
          <w:rFonts w:hint="eastAsia"/>
          <w:kern w:val="0"/>
        </w:rPr>
        <w:t>4</w:t>
      </w:r>
      <w:r>
        <w:rPr>
          <w:kern w:val="0"/>
        </w:rPr>
        <w:t>\Ann Sur25</w:t>
      </w:r>
      <w:r>
        <w:rPr>
          <w:rFonts w:hint="eastAsia"/>
          <w:kern w:val="0"/>
        </w:rPr>
        <w:t>9</w:t>
      </w:r>
      <w:r>
        <w:rPr>
          <w:kern w:val="0"/>
        </w:rPr>
        <w:t xml:space="preserve">, </w:t>
      </w:r>
      <w:r>
        <w:rPr>
          <w:rFonts w:hint="eastAsia"/>
          <w:kern w:val="0"/>
        </w:rPr>
        <w:t>616</w:t>
      </w:r>
      <w:r>
        <w:rPr>
          <w:kern w:val="0"/>
        </w:rPr>
        <w:t>.pdf</w:t>
      </w:r>
    </w:p>
    <w:p w:rsidR="005B4629" w:rsidRDefault="001E1D98" w:rsidP="005B4629">
      <w:pPr>
        <w:pStyle w:val="a3"/>
        <w:rPr>
          <w:kern w:val="0"/>
        </w:rPr>
      </w:pPr>
      <w:r>
        <w:rPr>
          <w:kern w:val="0"/>
        </w:rPr>
        <w:t>Abstract:</w:t>
      </w:r>
      <w:r w:rsidR="005B4629">
        <w:rPr>
          <w:kern w:val="0"/>
        </w:rPr>
        <w:t xml:space="preserve"> Objective: To review the literature evaluating the effect of practice guidelines and decision aids on use of surgery and regional variation. Background: The use of surgical procedures varies widely across geographic regions. Although practice guidelines and decision aids have been promoted for reducing variation, their true effectiveness is uncertain. Methods: Studies evaluating the influence of clinical practice guidelines or consensus statements, shared decision making and decision aids, or provider feedback of comparative utilization, on rates of surgical procedures were identified through literature searches of Ovid MEDLINE, EMBASE, and Web of Science. Results: A total of 1946 studies were identified and 27 were included in the final review. Of the 12 studies evaluating implementation of guidelines, 6 reported a significant effect. Those examining overall population-based rates had mixed effects, but all studies evaluating procedure choice described at least a small increase in use of recommended therapy. Three of 5 studies examining the effect of guidelines on regional variation reported a significant reduction after dissemination. Of the 15 studies examining decision aids, 5 revealed significant effects. Many studies of decision aids reported decreases in population-based procedure rates. Nearly all studies evaluating the impact of decision aids on procedure choice reported increases in rates of less invasive procedures. Only one study of decision aids assessed changes in regional variation and found mixed results. Conclusions: Both practice guidelines and decision aids have been proven effective in many clinical contexts. Expanding the clinical scope of these tools and eliminating barriers to implementation will be essential to further efforts directed toward reducing regional variation in the use of surgery.</w:t>
      </w:r>
    </w:p>
    <w:p w:rsidR="005B4629" w:rsidRDefault="005B4629" w:rsidP="005B4629">
      <w:pPr>
        <w:pStyle w:val="a3"/>
        <w:rPr>
          <w:kern w:val="0"/>
        </w:rPr>
      </w:pPr>
      <w:r>
        <w:rPr>
          <w:kern w:val="0"/>
        </w:rPr>
        <w:t xml:space="preserve">Keywords: Aids, Barriers, Breast-Conserving Surgery, Changes, Choice, Clinical, </w:t>
      </w:r>
      <w:r>
        <w:rPr>
          <w:kern w:val="0"/>
        </w:rPr>
        <w:lastRenderedPageBreak/>
        <w:t>Clinical Guidelines, Clinical Practice, Clinical Practice Guidelines, Clinical Practice Guidelines And Consensus Statements, Consensus, Consensus-Development-Conference, Decision, Decision Making, Decision-Making, Effectiveness, Effects, Embase, Geographic Variation, Guidelines, Health Services Research, Health-Care-Delivery, Impact, Implementation, Influence, Informed Patient Choice, Interactive Video Program, Invasive, Literature, Medline, Methods, Population Based, Population-Based, Practice, Practice Guidelines, Procedure, Procedures, Quality-Of-Life, Randomized Controlled-Trial, Rates, Reduction, Regional, Regional Variation, Results, Review, Science, Scope, Shared Decision Making And Decision Aids, Shared Decision-Making, Small, Small-Area Variations, Surgery, Surgical Procedures, Systematic Review, Therapy, Utilization, Web Of Science</w:t>
      </w:r>
    </w:p>
    <w:p w:rsidR="00B600BA" w:rsidRDefault="00B600BA" w:rsidP="00B600BA">
      <w:pPr>
        <w:pStyle w:val="a3"/>
        <w:rPr>
          <w:kern w:val="0"/>
        </w:rPr>
      </w:pPr>
      <w:r>
        <w:rPr>
          <w:rFonts w:hint="eastAsia"/>
          <w:kern w:val="0"/>
        </w:rPr>
        <w:t xml:space="preserve">? </w:t>
      </w:r>
      <w:r>
        <w:rPr>
          <w:kern w:val="0"/>
        </w:rPr>
        <w:t xml:space="preserve">Harrysson, I.J., Cook, J., Sirimanna, P., Feldman, L.S., Darzi, A. and Aggarwal, R. (2014), Systematic review of learning curves for minimally invasive abdominal surgery a review of the methodology of data collection, depiction of outcomes, and statistical analysis. </w:t>
      </w:r>
      <w:r>
        <w:rPr>
          <w:i/>
          <w:iCs/>
          <w:kern w:val="0"/>
        </w:rPr>
        <w:t>Annals of Surgery</w:t>
      </w:r>
      <w:r>
        <w:rPr>
          <w:kern w:val="0"/>
        </w:rPr>
        <w:t xml:space="preserve">, </w:t>
      </w:r>
      <w:r>
        <w:rPr>
          <w:b/>
          <w:bCs/>
          <w:kern w:val="0"/>
        </w:rPr>
        <w:t>260</w:t>
      </w:r>
      <w:r>
        <w:rPr>
          <w:kern w:val="0"/>
        </w:rPr>
        <w:t xml:space="preserve"> (1), 37-45.</w:t>
      </w:r>
    </w:p>
    <w:p w:rsidR="00B600BA" w:rsidRDefault="00B600BA" w:rsidP="00B600BA">
      <w:pPr>
        <w:pStyle w:val="a3"/>
        <w:rPr>
          <w:kern w:val="0"/>
        </w:rPr>
      </w:pPr>
      <w:r>
        <w:rPr>
          <w:kern w:val="0"/>
        </w:rPr>
        <w:t>Full Text: 201</w:t>
      </w:r>
      <w:r>
        <w:rPr>
          <w:rFonts w:hint="eastAsia"/>
          <w:kern w:val="0"/>
        </w:rPr>
        <w:t>4</w:t>
      </w:r>
      <w:r>
        <w:rPr>
          <w:kern w:val="0"/>
        </w:rPr>
        <w:t>\Ann Sur2</w:t>
      </w:r>
      <w:r>
        <w:rPr>
          <w:rFonts w:hint="eastAsia"/>
          <w:kern w:val="0"/>
        </w:rPr>
        <w:t>60</w:t>
      </w:r>
      <w:r>
        <w:rPr>
          <w:kern w:val="0"/>
        </w:rPr>
        <w:t xml:space="preserve">, </w:t>
      </w:r>
      <w:r>
        <w:rPr>
          <w:rFonts w:hint="eastAsia"/>
          <w:kern w:val="0"/>
        </w:rPr>
        <w:t>37</w:t>
      </w:r>
      <w:r>
        <w:rPr>
          <w:kern w:val="0"/>
        </w:rPr>
        <w:t>.pdf</w:t>
      </w:r>
    </w:p>
    <w:p w:rsidR="00B600BA" w:rsidRDefault="00B600BA" w:rsidP="00B600BA">
      <w:pPr>
        <w:pStyle w:val="a3"/>
        <w:rPr>
          <w:kern w:val="0"/>
        </w:rPr>
      </w:pPr>
      <w:r>
        <w:rPr>
          <w:kern w:val="0"/>
        </w:rPr>
        <w:t>Abstract: Objective: To determine how minimally invasive surgical learning curves are assessed and define an ideal framework for this assessment. Background: Learning curves have implications for training and adoption of new procedures and devices. In 2000, a review of the learning curve literature was done by Ramsay et al and it called for improved reporting and statistical evaluation of learning curves. Since then, a body of literature is emerging on learning curves but the presentation and analysis vary. Methods: A systematic search was performed of MEDLINE, EMBASE, ISI Web of Science, ERIC, and the Cochrane Library from 1985 to August 2012</w:t>
      </w:r>
      <w:r w:rsidR="00A37C1D">
        <w:rPr>
          <w:kern w:val="0"/>
        </w:rPr>
        <w:t>. The</w:t>
      </w:r>
      <w:r>
        <w:rPr>
          <w:kern w:val="0"/>
        </w:rPr>
        <w:t xml:space="preserve"> inclusion criteria are minimally invasive abdominal surgery formally analyzing the learning curve and English language. 592 (11.1%) of the identified studies met the selection criteria. Results: Time is the most commonly used proxy for the learning curve (508, 86%). Intraoperative outcomes were used in 316 (53%) of the articles, postoperative outcomes in 306 (52%), technical skills in 102 (17%), and patient-oriented outcomes in 38 (6%) articles. Over time, there was evidence of an increase in the relative amount of laparoscopic and robotic studies (P &lt; 0.001) without statistical evidence of a change in the complexity of analysis (P = 0.121). Conclusions: Assessment of learning curves is needed to inform surgical training and evaluate new clinical procedures. An ideal analysis would account for the degree of complexity of individual cases and the inherent differences between surgeons</w:t>
      </w:r>
      <w:r w:rsidR="00A37C1D">
        <w:rPr>
          <w:kern w:val="0"/>
        </w:rPr>
        <w:t>. The</w:t>
      </w:r>
      <w:r>
        <w:rPr>
          <w:kern w:val="0"/>
        </w:rPr>
        <w:t>re is no single proxy that best represents the success of surgery, and hence multiple outcomes should be collected.</w:t>
      </w:r>
    </w:p>
    <w:p w:rsidR="00B600BA" w:rsidRDefault="00B600BA" w:rsidP="00B600BA">
      <w:pPr>
        <w:pStyle w:val="a3"/>
        <w:rPr>
          <w:kern w:val="0"/>
        </w:rPr>
      </w:pPr>
      <w:r>
        <w:rPr>
          <w:kern w:val="0"/>
        </w:rPr>
        <w:t xml:space="preserve">Keywords: Abdominal, Abdominal Surgery, Adoption, Analysis, Articles, Assessment, </w:t>
      </w:r>
      <w:r>
        <w:rPr>
          <w:kern w:val="0"/>
        </w:rPr>
        <w:lastRenderedPageBreak/>
        <w:t>Cholecystectomy, Clinical, Complexity, Complications, Criteria, Data, Embase, English, Evaluation, Evidence, Framework, Health Technologies, Initial-Experience, Invasive, ISI, ISI Web Of Science, Language, Laparoscopic, Laparoscopic Radical Prostatectomy, Learning, Learning Curve, Literature, Medline, Methodology, Methods, Minimally Invasive Surgery, Operating Time, Outcomes, P, Postoperative, Presentation, Procedures, Reporting, Results, Review, Robotic Prostatectomy, Science, Selection, Selection Criteria, Single Surgeon, Success, Surgery, Surgical Education, Surgical Margins, Systematic, Systematic Review, Team, Time, Training, Web Of Science</w:t>
      </w:r>
    </w:p>
    <w:p w:rsidR="00062B2E" w:rsidRDefault="00062B2E" w:rsidP="00062B2E">
      <w:pPr>
        <w:pStyle w:val="a3"/>
        <w:rPr>
          <w:kern w:val="0"/>
        </w:rPr>
      </w:pPr>
      <w:r>
        <w:rPr>
          <w:rFonts w:hint="eastAsia"/>
          <w:kern w:val="0"/>
        </w:rPr>
        <w:t xml:space="preserve">? </w:t>
      </w:r>
      <w:r>
        <w:rPr>
          <w:kern w:val="0"/>
        </w:rPr>
        <w:t>De Bruijn, K.M.J. and van Eijck, C.H.J. (2015), New-onset diabetes after distal pancreatectomy</w:t>
      </w:r>
      <w:r>
        <w:rPr>
          <w:rFonts w:hint="eastAsia"/>
          <w:kern w:val="0"/>
        </w:rPr>
        <w:t>:</w:t>
      </w:r>
      <w:r>
        <w:rPr>
          <w:kern w:val="0"/>
        </w:rPr>
        <w:t xml:space="preserve"> A systematic review. </w:t>
      </w:r>
      <w:r>
        <w:rPr>
          <w:i/>
          <w:iCs/>
          <w:kern w:val="0"/>
        </w:rPr>
        <w:t>Annals of Surgery</w:t>
      </w:r>
      <w:r>
        <w:rPr>
          <w:kern w:val="0"/>
        </w:rPr>
        <w:t xml:space="preserve">, </w:t>
      </w:r>
      <w:r>
        <w:rPr>
          <w:b/>
          <w:bCs/>
          <w:kern w:val="0"/>
        </w:rPr>
        <w:t>261</w:t>
      </w:r>
      <w:r>
        <w:rPr>
          <w:kern w:val="0"/>
        </w:rPr>
        <w:t xml:space="preserve"> (5), 854-861.</w:t>
      </w:r>
    </w:p>
    <w:p w:rsidR="00062B2E" w:rsidRDefault="00062B2E" w:rsidP="00062B2E">
      <w:pPr>
        <w:pStyle w:val="a3"/>
        <w:rPr>
          <w:kern w:val="0"/>
        </w:rPr>
      </w:pPr>
      <w:r>
        <w:rPr>
          <w:kern w:val="0"/>
        </w:rPr>
        <w:t>Full Text: 201</w:t>
      </w:r>
      <w:r>
        <w:rPr>
          <w:rFonts w:hint="eastAsia"/>
          <w:kern w:val="0"/>
        </w:rPr>
        <w:t>5</w:t>
      </w:r>
      <w:r>
        <w:rPr>
          <w:kern w:val="0"/>
        </w:rPr>
        <w:t>\Ann Sur2</w:t>
      </w:r>
      <w:r>
        <w:rPr>
          <w:rFonts w:hint="eastAsia"/>
          <w:kern w:val="0"/>
        </w:rPr>
        <w:t>61</w:t>
      </w:r>
      <w:r>
        <w:rPr>
          <w:kern w:val="0"/>
        </w:rPr>
        <w:t>, 854.pdf</w:t>
      </w:r>
    </w:p>
    <w:p w:rsidR="00062B2E" w:rsidRDefault="00062B2E" w:rsidP="00062B2E">
      <w:pPr>
        <w:pStyle w:val="a3"/>
        <w:rPr>
          <w:kern w:val="0"/>
        </w:rPr>
      </w:pPr>
      <w:r>
        <w:rPr>
          <w:kern w:val="0"/>
        </w:rPr>
        <w:t>Abstract: Objective: The true rate of new-onset diabetes (NODM) after distal pancreatectomy (DP) is not known. This systematic review was carried out to obtain exact percentages regarding the incidence of NODM after DP for different indications. Background: Distal pancreatectomy is the standard procedure for removal of benign or (potentially) malignant lesions from the pancreatic body or tail and increasingly used for removal of often benign lesions. It is associated with low mortality rates, though postoperative diabetes remains a serious problem. Methods: Embase, PubMed, Medline, Web of Science, the Cochrane Library, and Google Scholar were searched for articles reporting incidence of NODM after DP. Methodological quality of the included studies was assessed by means of the Newcastle-Ottawa scale for cohort studies and the Moga scale for case series. Mean weighted overall percentages of NODM after DP for different indications were calculated with 95% confidence intervals (CI) and corresponding P values. Results: Twenty-six studies were included, comprising 1.731 patients undergoing DP. The average cumulative incidence of NODM after DP performed for chronic pancreatitis was 39% and for benign or (potentially) malignant lesions it was 14%. Comparing the proportions of these 2 groups showed a significant difference (95% CI: 0.351-0.434 and 0.110-0.172, respectively, P &lt; 0.000). The average percentage of insulin-dependent diabetes among patients with NODM after DP was 77%. Conclusions: This review is the largest of its kind to assess the cumulative incidence of NODM after DP and shows that NODM is a frequently occurring complication, with incidence depending on the preexisting disease and follow-up time. Because NODM can affect quality of life, patients undergoing DP should be preoperatively provided with this information as specific as possible.</w:t>
      </w:r>
    </w:p>
    <w:p w:rsidR="00062B2E" w:rsidRDefault="00062B2E" w:rsidP="00062B2E">
      <w:pPr>
        <w:pStyle w:val="a3"/>
        <w:rPr>
          <w:kern w:val="0"/>
        </w:rPr>
      </w:pPr>
      <w:r>
        <w:rPr>
          <w:kern w:val="0"/>
        </w:rPr>
        <w:t xml:space="preserve">Keywords: Affect, Articles, Cancer, Chronic, Chronic-Pancreatitis, Cohort, Complication, Confidence, Confidence Intervals, Cumulative, Diabetes, Disease, Distal Pancreatectomy, Endocrine Function, Follow-Up, From, Google, Google </w:t>
      </w:r>
      <w:r>
        <w:rPr>
          <w:kern w:val="0"/>
        </w:rPr>
        <w:lastRenderedPageBreak/>
        <w:t>Scholar, Groups, Incidence, Indications, Information, Intervals, Library, Life, Management, Mean, Medline, Metaanalysis, Methodological Quality, Methods, Mortality, New-Onset Diabetes, P, Pancreatitis, Patients, Postoperative, Procedure, Pubmed, Quality, Quality Of, Quality Of Life, Quality-Of-Life, Rates, Removal, Reporting, Resection, Results, Review, Risk-Factors, Scale, Science, Standard, Surgery, Surgical-Treatment, Systematic, Systematic Review, Web, Web Of Science</w:t>
      </w:r>
    </w:p>
    <w:p w:rsidR="003474F2" w:rsidRPr="001A3D2B" w:rsidRDefault="003474F2" w:rsidP="003474F2">
      <w:pPr>
        <w:pStyle w:val="1"/>
      </w:pPr>
      <w:r w:rsidRPr="001A3D2B">
        <w:br w:type="page"/>
      </w:r>
      <w:bookmarkStart w:id="502" w:name="_Toc420814526"/>
      <w:r w:rsidRPr="001A3D2B">
        <w:lastRenderedPageBreak/>
        <w:t>Title: Annals</w:t>
      </w:r>
      <w:r w:rsidR="00427468">
        <w:t xml:space="preserve"> of </w:t>
      </w:r>
      <w:r w:rsidRPr="001A3D2B">
        <w:t>Surgical Oncology</w:t>
      </w:r>
      <w:bookmarkEnd w:id="502"/>
    </w:p>
    <w:p w:rsidR="003474F2" w:rsidRPr="001A3D2B" w:rsidRDefault="003474F2" w:rsidP="003474F2">
      <w:pPr>
        <w:pStyle w:val="12"/>
      </w:pPr>
      <w:r w:rsidRPr="001A3D2B">
        <w:t xml:space="preserve">Full Journal Title: </w:t>
      </w:r>
      <w:hyperlink r:id="rId968" w:history="1">
        <w:r w:rsidRPr="001A3D2B">
          <w:rPr>
            <w:rStyle w:val="a5"/>
          </w:rPr>
          <w:t>Annals</w:t>
        </w:r>
        <w:r w:rsidR="00427468">
          <w:rPr>
            <w:rStyle w:val="a5"/>
          </w:rPr>
          <w:t xml:space="preserve"> of </w:t>
        </w:r>
        <w:r w:rsidRPr="001A3D2B">
          <w:rPr>
            <w:rStyle w:val="a5"/>
          </w:rPr>
          <w:t>Surgical Oncology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3474F2"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Charles M. Balch, C.M., Roh, M.S., Bland, K.I., Brennan, M.F., Copeland, E.M., Morton, D.L., Niederhuber, J.E.</w:t>
      </w:r>
      <w:r w:rsidR="005853A9">
        <w:t xml:space="preserve"> and </w:t>
      </w:r>
      <w:r w:rsidRPr="001A3D2B">
        <w:t xml:space="preserve">Pollock, R.E. (2003), </w:t>
      </w:r>
      <w:r w:rsidRPr="001A3D2B">
        <w:rPr>
          <w:i/>
        </w:rPr>
        <w:t>Annals</w:t>
      </w:r>
      <w:r w:rsidR="00427468">
        <w:rPr>
          <w:i/>
        </w:rPr>
        <w:t xml:space="preserve"> of </w:t>
      </w:r>
      <w:r w:rsidRPr="001A3D2B">
        <w:rPr>
          <w:i/>
        </w:rPr>
        <w:t>Surgical Oncology</w:t>
      </w:r>
      <w:r w:rsidRPr="001A3D2B">
        <w:t xml:space="preserve"> impact factor/rating has dramatically increased. </w:t>
      </w:r>
      <w:r w:rsidRPr="001A3D2B">
        <w:rPr>
          <w:i/>
        </w:rPr>
        <w:t>Annals</w:t>
      </w:r>
      <w:r w:rsidR="00427468">
        <w:rPr>
          <w:i/>
        </w:rPr>
        <w:t xml:space="preserve"> of </w:t>
      </w:r>
      <w:r w:rsidRPr="001A3D2B">
        <w:rPr>
          <w:i/>
        </w:rPr>
        <w:t>Surgical Oncology</w:t>
      </w:r>
      <w:r w:rsidRPr="001A3D2B">
        <w:t xml:space="preserve">, </w:t>
      </w:r>
      <w:r w:rsidRPr="001A3D2B">
        <w:rPr>
          <w:b/>
          <w:bCs/>
        </w:rPr>
        <w:t>10</w:t>
      </w:r>
      <w:r w:rsidRPr="001A3D2B">
        <w:t xml:space="preserve"> (1), 1-3.</w:t>
      </w:r>
    </w:p>
    <w:p w:rsidR="003474F2" w:rsidRPr="001A3D2B" w:rsidRDefault="003474F2" w:rsidP="003474F2">
      <w:pPr>
        <w:pStyle w:val="a3"/>
      </w:pPr>
      <w:r w:rsidRPr="001A3D2B">
        <w:t xml:space="preserve">Full Text: </w:t>
      </w:r>
      <w:hyperlink r:id="rId969" w:history="1">
        <w:r w:rsidRPr="001A3D2B">
          <w:rPr>
            <w:rStyle w:val="a5"/>
          </w:rPr>
          <w:t>2003\Ann Sur Onc10, 1.pdf</w:t>
        </w:r>
      </w:hyperlink>
    </w:p>
    <w:p w:rsidR="000025C5" w:rsidRDefault="000025C5" w:rsidP="000025C5">
      <w:pPr>
        <w:pStyle w:val="a3"/>
        <w:rPr>
          <w:kern w:val="0"/>
          <w:szCs w:val="24"/>
        </w:rPr>
      </w:pPr>
      <w:r>
        <w:rPr>
          <w:kern w:val="0"/>
          <w:szCs w:val="24"/>
        </w:rPr>
        <w:t>? Yin, Z., Fan, X.X., Ye, H., Yin, D.</w:t>
      </w:r>
      <w:r w:rsidR="005853A9">
        <w:rPr>
          <w:kern w:val="0"/>
          <w:szCs w:val="24"/>
        </w:rPr>
        <w:t xml:space="preserve"> and </w:t>
      </w:r>
      <w:r>
        <w:rPr>
          <w:kern w:val="0"/>
          <w:szCs w:val="24"/>
        </w:rPr>
        <w:t>Wang, J. (2013), Short-</w:t>
      </w:r>
      <w:r w:rsidR="005853A9">
        <w:rPr>
          <w:kern w:val="0"/>
          <w:szCs w:val="24"/>
        </w:rPr>
        <w:t xml:space="preserve"> and </w:t>
      </w:r>
      <w:r>
        <w:rPr>
          <w:kern w:val="0"/>
          <w:szCs w:val="24"/>
        </w:rPr>
        <w:t>long-term outcomes after laparoscopic</w:t>
      </w:r>
      <w:r w:rsidR="005853A9">
        <w:rPr>
          <w:kern w:val="0"/>
          <w:szCs w:val="24"/>
        </w:rPr>
        <w:t xml:space="preserve"> and </w:t>
      </w:r>
      <w:r>
        <w:rPr>
          <w:kern w:val="0"/>
          <w:szCs w:val="24"/>
        </w:rPr>
        <w:t>open hepatectomy for hepatocellular carcinoma: A global systematic review</w:t>
      </w:r>
      <w:r w:rsidR="005853A9">
        <w:rPr>
          <w:kern w:val="0"/>
          <w:szCs w:val="24"/>
        </w:rPr>
        <w:t xml:space="preserve"> and </w:t>
      </w:r>
      <w:r>
        <w:rPr>
          <w:kern w:val="0"/>
          <w:szCs w:val="24"/>
        </w:rPr>
        <w:t xml:space="preserve">meta-analysis. </w:t>
      </w:r>
      <w:r>
        <w:rPr>
          <w:i/>
          <w:iCs/>
          <w:kern w:val="0"/>
          <w:szCs w:val="24"/>
        </w:rPr>
        <w:t>Annals</w:t>
      </w:r>
      <w:r w:rsidR="00427468">
        <w:rPr>
          <w:i/>
          <w:iCs/>
          <w:kern w:val="0"/>
          <w:szCs w:val="24"/>
        </w:rPr>
        <w:t xml:space="preserve"> of </w:t>
      </w:r>
      <w:r>
        <w:rPr>
          <w:i/>
          <w:iCs/>
          <w:kern w:val="0"/>
          <w:szCs w:val="24"/>
        </w:rPr>
        <w:t>Surgical Oncology</w:t>
      </w:r>
      <w:r>
        <w:rPr>
          <w:kern w:val="0"/>
          <w:szCs w:val="24"/>
        </w:rPr>
        <w:t xml:space="preserve">, </w:t>
      </w:r>
      <w:r>
        <w:rPr>
          <w:b/>
          <w:bCs/>
          <w:kern w:val="0"/>
          <w:szCs w:val="24"/>
        </w:rPr>
        <w:t>20</w:t>
      </w:r>
      <w:r>
        <w:rPr>
          <w:kern w:val="0"/>
          <w:szCs w:val="24"/>
        </w:rPr>
        <w:t xml:space="preserve"> (4), 1203-1215.</w:t>
      </w:r>
    </w:p>
    <w:p w:rsidR="000025C5" w:rsidRDefault="000025C5" w:rsidP="000025C5">
      <w:pPr>
        <w:pStyle w:val="a3"/>
      </w:pPr>
      <w:r>
        <w:t xml:space="preserve">Full Text: </w:t>
      </w:r>
      <w:hyperlink r:id="rId970" w:history="1">
        <w:r w:rsidRPr="000025C5">
          <w:rPr>
            <w:rStyle w:val="a5"/>
          </w:rPr>
          <w:t>2013\Ann Sur Onc20, 1203.pdf</w:t>
        </w:r>
      </w:hyperlink>
    </w:p>
    <w:p w:rsidR="000025C5" w:rsidRDefault="000025C5" w:rsidP="000025C5">
      <w:pPr>
        <w:pStyle w:val="a3"/>
        <w:rPr>
          <w:kern w:val="0"/>
          <w:szCs w:val="24"/>
        </w:rPr>
      </w:pPr>
      <w:r>
        <w:rPr>
          <w:kern w:val="0"/>
          <w:szCs w:val="24"/>
        </w:rPr>
        <w:t>Abstract: Laparoscopic hepatectomy (LH) has been proposed as a safe</w:t>
      </w:r>
      <w:r w:rsidR="005853A9">
        <w:rPr>
          <w:kern w:val="0"/>
          <w:szCs w:val="24"/>
        </w:rPr>
        <w:t xml:space="preserve"> and </w:t>
      </w:r>
      <w:r>
        <w:rPr>
          <w:kern w:val="0"/>
          <w:szCs w:val="24"/>
        </w:rPr>
        <w:t>feasible treatment option for liver diseases. However, the short-</w:t>
      </w:r>
      <w:r w:rsidR="005853A9">
        <w:rPr>
          <w:kern w:val="0"/>
          <w:szCs w:val="24"/>
        </w:rPr>
        <w:t xml:space="preserve"> and </w:t>
      </w:r>
      <w:r>
        <w:rPr>
          <w:kern w:val="0"/>
          <w:szCs w:val="24"/>
        </w:rPr>
        <w:t>long-term outcomes</w:t>
      </w:r>
      <w:r w:rsidR="00427468">
        <w:rPr>
          <w:kern w:val="0"/>
          <w:szCs w:val="24"/>
        </w:rPr>
        <w:t xml:space="preserve"> of </w:t>
      </w:r>
      <w:r>
        <w:rPr>
          <w:kern w:val="0"/>
          <w:szCs w:val="24"/>
        </w:rPr>
        <w:t>LH versus open hepatectomy (OH) for hepatocellular carcinoma (HCC) have not been adequately assessed. Thus, as another means</w:t>
      </w:r>
      <w:r w:rsidR="00427468">
        <w:rPr>
          <w:kern w:val="0"/>
          <w:szCs w:val="24"/>
        </w:rPr>
        <w:t xml:space="preserve"> of </w:t>
      </w:r>
      <w:r>
        <w:rPr>
          <w:kern w:val="0"/>
          <w:szCs w:val="24"/>
        </w:rPr>
        <w:t>surgical therapy for hepatocellular carcinoma (HCC), we assessed the feasibility</w:t>
      </w:r>
      <w:r w:rsidR="00427468">
        <w:rPr>
          <w:kern w:val="0"/>
          <w:szCs w:val="24"/>
        </w:rPr>
        <w:t xml:space="preserve"> of </w:t>
      </w:r>
      <w:r>
        <w:rPr>
          <w:kern w:val="0"/>
          <w:szCs w:val="24"/>
        </w:rPr>
        <w:t>performing LH as the standard procedure for disease in the left lateral lobe</w:t>
      </w:r>
      <w:r w:rsidR="005853A9">
        <w:rPr>
          <w:kern w:val="0"/>
          <w:szCs w:val="24"/>
        </w:rPr>
        <w:t xml:space="preserve"> and </w:t>
      </w:r>
      <w:r>
        <w:rPr>
          <w:kern w:val="0"/>
          <w:szCs w:val="24"/>
        </w:rPr>
        <w:t>peripheral right segments for HCC in selected patients. Literature search included PubMed, Embase, Science Citation Index, SpringerLink,</w:t>
      </w:r>
      <w:r w:rsidR="005853A9">
        <w:rPr>
          <w:kern w:val="0"/>
          <w:szCs w:val="24"/>
        </w:rPr>
        <w:t xml:space="preserve"> and </w:t>
      </w:r>
      <w:r>
        <w:rPr>
          <w:kern w:val="0"/>
          <w:szCs w:val="24"/>
        </w:rPr>
        <w:t>secondary sources, from inception to March 2012, with no restrictions on languages or regions</w:t>
      </w:r>
      <w:r w:rsidR="00A37C1D">
        <w:rPr>
          <w:kern w:val="0"/>
          <w:szCs w:val="24"/>
        </w:rPr>
        <w:t>. The</w:t>
      </w:r>
      <w:r>
        <w:rPr>
          <w:kern w:val="0"/>
          <w:szCs w:val="24"/>
        </w:rPr>
        <w:t xml:space="preserve"> fixed-effects</w:t>
      </w:r>
      <w:r w:rsidR="005853A9">
        <w:rPr>
          <w:kern w:val="0"/>
          <w:szCs w:val="24"/>
        </w:rPr>
        <w:t xml:space="preserve"> and </w:t>
      </w:r>
      <w:r>
        <w:rPr>
          <w:kern w:val="0"/>
          <w:szCs w:val="24"/>
        </w:rPr>
        <w:t>random-effects models were used to measure the pooled estimates</w:t>
      </w:r>
      <w:r w:rsidR="00A37C1D">
        <w:rPr>
          <w:kern w:val="0"/>
          <w:szCs w:val="24"/>
        </w:rPr>
        <w:t>. The</w:t>
      </w:r>
      <w:r>
        <w:rPr>
          <w:kern w:val="0"/>
          <w:szCs w:val="24"/>
        </w:rPr>
        <w:t xml:space="preserve"> test</w:t>
      </w:r>
      <w:r w:rsidR="00427468">
        <w:rPr>
          <w:kern w:val="0"/>
          <w:szCs w:val="24"/>
        </w:rPr>
        <w:t xml:space="preserve"> of </w:t>
      </w:r>
      <w:r>
        <w:rPr>
          <w:kern w:val="0"/>
          <w:szCs w:val="24"/>
        </w:rPr>
        <w:t>heterogeneity was performed by the Q statistic. Subgroup</w:t>
      </w:r>
      <w:r w:rsidR="005853A9">
        <w:rPr>
          <w:kern w:val="0"/>
          <w:szCs w:val="24"/>
        </w:rPr>
        <w:t xml:space="preserve"> and </w:t>
      </w:r>
      <w:r>
        <w:rPr>
          <w:kern w:val="0"/>
          <w:szCs w:val="24"/>
        </w:rPr>
        <w:t>sensitivity analyses were performed to explore heterogeneity between studies</w:t>
      </w:r>
      <w:r w:rsidR="005853A9">
        <w:rPr>
          <w:kern w:val="0"/>
          <w:szCs w:val="24"/>
        </w:rPr>
        <w:t xml:space="preserve"> and </w:t>
      </w:r>
      <w:r>
        <w:rPr>
          <w:kern w:val="0"/>
          <w:szCs w:val="24"/>
        </w:rPr>
        <w:t>to assess the effects</w:t>
      </w:r>
      <w:r w:rsidR="00427468">
        <w:rPr>
          <w:kern w:val="0"/>
          <w:szCs w:val="24"/>
        </w:rPr>
        <w:t xml:space="preserve"> of </w:t>
      </w:r>
      <w:r>
        <w:rPr>
          <w:kern w:val="0"/>
          <w:szCs w:val="24"/>
        </w:rPr>
        <w:t>study quality. A total</w:t>
      </w:r>
      <w:r w:rsidR="00427468">
        <w:rPr>
          <w:kern w:val="0"/>
          <w:szCs w:val="24"/>
        </w:rPr>
        <w:t xml:space="preserve"> of </w:t>
      </w:r>
      <w:r>
        <w:rPr>
          <w:kern w:val="0"/>
          <w:szCs w:val="24"/>
        </w:rPr>
        <w:t>1238 patients (LH 485, OH 753) from 15 studies were included</w:t>
      </w:r>
      <w:r w:rsidR="00A37C1D">
        <w:rPr>
          <w:kern w:val="0"/>
          <w:szCs w:val="24"/>
        </w:rPr>
        <w:t>. The</w:t>
      </w:r>
      <w:r>
        <w:rPr>
          <w:kern w:val="0"/>
          <w:szCs w:val="24"/>
        </w:rPr>
        <w:t xml:space="preserve"> pooled odds ratios for postoperative morbidity</w:t>
      </w:r>
      <w:r w:rsidR="005853A9">
        <w:rPr>
          <w:kern w:val="0"/>
          <w:szCs w:val="24"/>
        </w:rPr>
        <w:t xml:space="preserve"> and </w:t>
      </w:r>
      <w:r>
        <w:rPr>
          <w:kern w:val="0"/>
          <w:szCs w:val="24"/>
        </w:rPr>
        <w:t>incidence</w:t>
      </w:r>
      <w:r w:rsidR="00427468">
        <w:rPr>
          <w:kern w:val="0"/>
          <w:szCs w:val="24"/>
        </w:rPr>
        <w:t xml:space="preserve"> of </w:t>
      </w:r>
      <w:r>
        <w:rPr>
          <w:kern w:val="0"/>
          <w:szCs w:val="24"/>
        </w:rPr>
        <w:t>negative surgical margin in LH were found to be 0.37 (95 % confidence interval [CI] 0.27-0.52; P &lt; 0.01)</w:t>
      </w:r>
      <w:r w:rsidR="005853A9">
        <w:rPr>
          <w:kern w:val="0"/>
          <w:szCs w:val="24"/>
        </w:rPr>
        <w:t xml:space="preserve"> and </w:t>
      </w:r>
      <w:r>
        <w:rPr>
          <w:kern w:val="0"/>
          <w:szCs w:val="24"/>
        </w:rPr>
        <w:lastRenderedPageBreak/>
        <w:t>1.63 (95 % CI 0.82-3.22; P = 0.16), respectively, compared with OH. Blood loss was significantly decreased in the LH (weighted mean difference -224.63; 95 % CI -384.87 to -64.39; P = 0.006). No significant difference was observed between the both groups for long-term outcomes</w:t>
      </w:r>
      <w:r w:rsidR="00427468">
        <w:rPr>
          <w:kern w:val="0"/>
          <w:szCs w:val="24"/>
        </w:rPr>
        <w:t xml:space="preserve"> of </w:t>
      </w:r>
      <w:r>
        <w:rPr>
          <w:kern w:val="0"/>
          <w:szCs w:val="24"/>
        </w:rPr>
        <w:t>overall survival</w:t>
      </w:r>
      <w:r w:rsidR="005853A9">
        <w:rPr>
          <w:kern w:val="0"/>
          <w:szCs w:val="24"/>
        </w:rPr>
        <w:t xml:space="preserve"> and </w:t>
      </w:r>
      <w:r>
        <w:rPr>
          <w:kern w:val="0"/>
          <w:szCs w:val="24"/>
        </w:rPr>
        <w:t>recurrence-free survival. In patients with solitary left lateral lobe/right peripheral subcapsular tumors treated with minor resection, this meta-analysis demonstrated that compared to OH, LH may have short-term advantages in terms</w:t>
      </w:r>
      <w:r w:rsidR="00427468">
        <w:rPr>
          <w:kern w:val="0"/>
          <w:szCs w:val="24"/>
        </w:rPr>
        <w:t xml:space="preserve"> of </w:t>
      </w:r>
      <w:r>
        <w:rPr>
          <w:kern w:val="0"/>
          <w:szCs w:val="24"/>
        </w:rPr>
        <w:t>blood loss</w:t>
      </w:r>
      <w:r w:rsidR="005853A9">
        <w:rPr>
          <w:kern w:val="0"/>
          <w:szCs w:val="24"/>
        </w:rPr>
        <w:t xml:space="preserve"> and </w:t>
      </w:r>
      <w:r>
        <w:rPr>
          <w:kern w:val="0"/>
          <w:szCs w:val="24"/>
        </w:rPr>
        <w:t>postoperative morbidity for HCC. Both procedures have similar long-term outcomes. It may be time to consider changing the standard procedures for treatment</w:t>
      </w:r>
      <w:r w:rsidR="00427468">
        <w:rPr>
          <w:kern w:val="0"/>
          <w:szCs w:val="24"/>
        </w:rPr>
        <w:t xml:space="preserve"> of </w:t>
      </w:r>
      <w:r>
        <w:rPr>
          <w:kern w:val="0"/>
          <w:szCs w:val="24"/>
        </w:rPr>
        <w:t>HCC in the left lateral lobe</w:t>
      </w:r>
      <w:r w:rsidR="005853A9">
        <w:rPr>
          <w:kern w:val="0"/>
          <w:szCs w:val="24"/>
        </w:rPr>
        <w:t xml:space="preserve"> and </w:t>
      </w:r>
      <w:r>
        <w:rPr>
          <w:kern w:val="0"/>
          <w:szCs w:val="24"/>
        </w:rPr>
        <w:t>peripheral subcapsular right segments in selected patients.</w:t>
      </w:r>
    </w:p>
    <w:p w:rsidR="000025C5" w:rsidRDefault="000025C5" w:rsidP="000025C5">
      <w:pPr>
        <w:pStyle w:val="a3"/>
        <w:rPr>
          <w:kern w:val="0"/>
          <w:szCs w:val="24"/>
        </w:rPr>
      </w:pPr>
      <w:r>
        <w:rPr>
          <w:kern w:val="0"/>
          <w:szCs w:val="24"/>
        </w:rPr>
        <w:t>Keywords: Analyses, Blood, Blood Loss, Case-Matched Analysis, Cholecystectomy, Chronic Liver-Disease, Cirrhosis, Citation, Confidence, Disease, Diseases, Effects, Estimates, Experience, Feasibility, Groups, Hepatectomy, Hepatic Resection, Hepatocellular Carcinoma, Heterogeneity, Incidence, Interval, Kupffer Cells, Languages, Literature, Liver, Long Term, Long-Term, Long-Term Outcomes, Measure, Meta Analysis, Meta-Analysis, Metaanalysis, Minor, Models, Morbidity, Open, Outcomes, P, Patients, Postoperative, Postoperative Morbidity, Procedure, Procedures, Prospective Randomized-Trial, Pubmed, Quality, Restrictions, Review, Right, Science, Science Citation Index, Sensitivity, Sources, Standard, Surgery, Survival, Therapy, Treatment, Treatment Option</w:t>
      </w:r>
    </w:p>
    <w:p w:rsidR="00477261" w:rsidRDefault="00477261" w:rsidP="00477261">
      <w:pPr>
        <w:pStyle w:val="a3"/>
        <w:rPr>
          <w:kern w:val="0"/>
        </w:rPr>
      </w:pPr>
      <w:r>
        <w:rPr>
          <w:rFonts w:hint="eastAsia"/>
          <w:kern w:val="0"/>
        </w:rPr>
        <w:t xml:space="preserve">? </w:t>
      </w:r>
      <w:r>
        <w:rPr>
          <w:kern w:val="0"/>
        </w:rPr>
        <w:t>Koerkamp, B.G., Rahbari, N.N., Buchler, M.W., Koch, M.</w:t>
      </w:r>
      <w:r w:rsidR="005853A9">
        <w:rPr>
          <w:kern w:val="0"/>
        </w:rPr>
        <w:t xml:space="preserve"> and </w:t>
      </w:r>
      <w:r>
        <w:rPr>
          <w:kern w:val="0"/>
        </w:rPr>
        <w:t>Weitz, J. (2013), Circulating tumor cells</w:t>
      </w:r>
      <w:r w:rsidR="005853A9">
        <w:rPr>
          <w:kern w:val="0"/>
        </w:rPr>
        <w:t xml:space="preserve"> and </w:t>
      </w:r>
      <w:r>
        <w:rPr>
          <w:kern w:val="0"/>
        </w:rPr>
        <w:t>prognosis</w:t>
      </w:r>
      <w:r w:rsidR="00427468">
        <w:rPr>
          <w:kern w:val="0"/>
        </w:rPr>
        <w:t xml:space="preserve"> of </w:t>
      </w:r>
      <w:r>
        <w:rPr>
          <w:kern w:val="0"/>
        </w:rPr>
        <w:t xml:space="preserve">patients with resectable colorectal liver metastases or widespread metastatic colorectal cancer: A meta-analysis. </w:t>
      </w:r>
      <w:r>
        <w:rPr>
          <w:i/>
          <w:iCs/>
          <w:kern w:val="0"/>
        </w:rPr>
        <w:t>Annals</w:t>
      </w:r>
      <w:r w:rsidR="00427468">
        <w:rPr>
          <w:i/>
          <w:iCs/>
          <w:kern w:val="0"/>
        </w:rPr>
        <w:t xml:space="preserve"> of </w:t>
      </w:r>
      <w:r>
        <w:rPr>
          <w:i/>
          <w:iCs/>
          <w:kern w:val="0"/>
        </w:rPr>
        <w:t>Surgical Oncology</w:t>
      </w:r>
      <w:r>
        <w:rPr>
          <w:kern w:val="0"/>
        </w:rPr>
        <w:t xml:space="preserve">, </w:t>
      </w:r>
      <w:r>
        <w:rPr>
          <w:b/>
          <w:bCs/>
          <w:kern w:val="0"/>
        </w:rPr>
        <w:t>20</w:t>
      </w:r>
      <w:r>
        <w:rPr>
          <w:kern w:val="0"/>
        </w:rPr>
        <w:t xml:space="preserve"> (7), 2156-2165.</w:t>
      </w:r>
    </w:p>
    <w:p w:rsidR="00477261" w:rsidRDefault="00477261" w:rsidP="00477261">
      <w:pPr>
        <w:pStyle w:val="a3"/>
      </w:pPr>
      <w:r>
        <w:t xml:space="preserve">Full Text: </w:t>
      </w:r>
      <w:hyperlink r:id="rId971" w:history="1">
        <w:r w:rsidRPr="00CF1F89">
          <w:rPr>
            <w:rStyle w:val="a5"/>
          </w:rPr>
          <w:t>2013\Ann Sur Onc20, 2156.pdf</w:t>
        </w:r>
      </w:hyperlink>
    </w:p>
    <w:p w:rsidR="00477261" w:rsidRDefault="00477261" w:rsidP="00477261">
      <w:pPr>
        <w:pStyle w:val="a3"/>
        <w:rPr>
          <w:kern w:val="0"/>
        </w:rPr>
      </w:pPr>
      <w:r>
        <w:rPr>
          <w:kern w:val="0"/>
        </w:rPr>
        <w:t>Abstract: We performed a systematic review</w:t>
      </w:r>
      <w:r w:rsidR="005853A9">
        <w:rPr>
          <w:kern w:val="0"/>
        </w:rPr>
        <w:t xml:space="preserve"> and </w:t>
      </w:r>
      <w:r>
        <w:rPr>
          <w:kern w:val="0"/>
        </w:rPr>
        <w:t>meta-analysis to investigate the prognostic value</w:t>
      </w:r>
      <w:r w:rsidR="00427468">
        <w:rPr>
          <w:kern w:val="0"/>
        </w:rPr>
        <w:t xml:space="preserve"> of </w:t>
      </w:r>
      <w:r>
        <w:rPr>
          <w:kern w:val="0"/>
        </w:rPr>
        <w:t>tumor cells in blood (circulating tumor cells [CTCs]) or bone marrow (BM) (disseminated tumor cells)</w:t>
      </w:r>
      <w:r w:rsidR="00427468">
        <w:rPr>
          <w:kern w:val="0"/>
        </w:rPr>
        <w:t xml:space="preserve"> of </w:t>
      </w:r>
      <w:r>
        <w:rPr>
          <w:kern w:val="0"/>
        </w:rPr>
        <w:t>patients with resectable colorectal liver metastases or widespread metastatic colorectal cancer (CRC)</w:t>
      </w:r>
      <w:r w:rsidR="00A37C1D">
        <w:rPr>
          <w:kern w:val="0"/>
        </w:rPr>
        <w:t>. The</w:t>
      </w:r>
      <w:r>
        <w:rPr>
          <w:kern w:val="0"/>
        </w:rPr>
        <w:t xml:space="preserve"> following databases were searched in May 2011: </w:t>
      </w:r>
      <w:r w:rsidR="00D5664A">
        <w:rPr>
          <w:kern w:val="0"/>
        </w:rPr>
        <w:t>MEDLINE</w:t>
      </w:r>
      <w:r>
        <w:rPr>
          <w:kern w:val="0"/>
        </w:rPr>
        <w:t>, EMBASE, Science Citation Index, BIOSIS, Cochrane Library. Studies that investigated the association between tumor cells in blood or BM</w:t>
      </w:r>
      <w:r w:rsidR="005853A9">
        <w:rPr>
          <w:kern w:val="0"/>
        </w:rPr>
        <w:t xml:space="preserve"> and </w:t>
      </w:r>
      <w:r>
        <w:rPr>
          <w:kern w:val="0"/>
        </w:rPr>
        <w:t>long-term outcome in patients with metastatic CRC were included. We extracted hazard ratios (HRs)</w:t>
      </w:r>
      <w:r w:rsidR="005853A9">
        <w:rPr>
          <w:kern w:val="0"/>
        </w:rPr>
        <w:t xml:space="preserve"> and </w:t>
      </w:r>
      <w:r>
        <w:rPr>
          <w:kern w:val="0"/>
        </w:rPr>
        <w:t>confidence intervals (CIs) from the included studies</w:t>
      </w:r>
      <w:r w:rsidR="005853A9">
        <w:rPr>
          <w:kern w:val="0"/>
        </w:rPr>
        <w:t xml:space="preserve"> and </w:t>
      </w:r>
      <w:r>
        <w:rPr>
          <w:kern w:val="0"/>
        </w:rPr>
        <w:t>performed random-effects meta-analyses for survival outcomes</w:t>
      </w:r>
      <w:r w:rsidR="00A37C1D">
        <w:rPr>
          <w:kern w:val="0"/>
        </w:rPr>
        <w:t>. The</w:t>
      </w:r>
      <w:r>
        <w:rPr>
          <w:kern w:val="0"/>
        </w:rPr>
        <w:t xml:space="preserve"> literature search yielded 16 studies representing 1,491 patients</w:t>
      </w:r>
      <w:r w:rsidR="00A37C1D">
        <w:rPr>
          <w:kern w:val="0"/>
        </w:rPr>
        <w:t>. The</w:t>
      </w:r>
      <w:r>
        <w:rPr>
          <w:kern w:val="0"/>
        </w:rPr>
        <w:t xml:space="preserve"> results</w:t>
      </w:r>
      <w:r w:rsidR="00427468">
        <w:rPr>
          <w:kern w:val="0"/>
        </w:rPr>
        <w:t xml:space="preserve"> of </w:t>
      </w:r>
      <w:r>
        <w:rPr>
          <w:kern w:val="0"/>
        </w:rPr>
        <w:t>12 studies representing 1,329 patients were suitable for pooled analysis</w:t>
      </w:r>
      <w:r w:rsidR="00A37C1D">
        <w:rPr>
          <w:kern w:val="0"/>
        </w:rPr>
        <w:t>. The</w:t>
      </w:r>
      <w:r>
        <w:rPr>
          <w:kern w:val="0"/>
        </w:rPr>
        <w:t xml:space="preserve"> overall survival (HR, 2.47; 95 % CI 1.74-3.51)</w:t>
      </w:r>
      <w:r w:rsidR="005853A9">
        <w:rPr>
          <w:kern w:val="0"/>
        </w:rPr>
        <w:t xml:space="preserve"> and </w:t>
      </w:r>
      <w:r>
        <w:rPr>
          <w:kern w:val="0"/>
        </w:rPr>
        <w:t>progression-free survival (PFS) (HR, 2.07; 95 % CI 1.44-2.98) were worse in patients with CTCs</w:t>
      </w:r>
      <w:r w:rsidR="00A37C1D">
        <w:rPr>
          <w:kern w:val="0"/>
        </w:rPr>
        <w:t>. The</w:t>
      </w:r>
      <w:r>
        <w:rPr>
          <w:kern w:val="0"/>
        </w:rPr>
        <w:t xml:space="preserve"> subgroup</w:t>
      </w:r>
      <w:r w:rsidR="00427468">
        <w:rPr>
          <w:kern w:val="0"/>
        </w:rPr>
        <w:t xml:space="preserve"> of </w:t>
      </w:r>
      <w:r>
        <w:rPr>
          <w:kern w:val="0"/>
        </w:rPr>
        <w:t xml:space="preserve">studies with more than 35 % CTC-positive patients was the only </w:t>
      </w:r>
      <w:r>
        <w:rPr>
          <w:kern w:val="0"/>
        </w:rPr>
        <w:lastRenderedPageBreak/>
        <w:t>subgroup with a statistically significant worse PFS. All eight studies that performed multivariable analysis identified the detection</w:t>
      </w:r>
      <w:r w:rsidR="00427468">
        <w:rPr>
          <w:kern w:val="0"/>
        </w:rPr>
        <w:t xml:space="preserve"> of </w:t>
      </w:r>
      <w:r>
        <w:rPr>
          <w:kern w:val="0"/>
        </w:rPr>
        <w:t>CTCs as an independent prognostic factor for survival</w:t>
      </w:r>
      <w:r w:rsidR="00A37C1D">
        <w:rPr>
          <w:kern w:val="0"/>
        </w:rPr>
        <w:t>. The</w:t>
      </w:r>
      <w:r>
        <w:rPr>
          <w:kern w:val="0"/>
        </w:rPr>
        <w:t xml:space="preserve"> detection</w:t>
      </w:r>
      <w:r w:rsidR="00427468">
        <w:rPr>
          <w:kern w:val="0"/>
        </w:rPr>
        <w:t xml:space="preserve"> of </w:t>
      </w:r>
      <w:r>
        <w:rPr>
          <w:kern w:val="0"/>
        </w:rPr>
        <w:t>CTCs in peripheral blood</w:t>
      </w:r>
      <w:r w:rsidR="00427468">
        <w:rPr>
          <w:kern w:val="0"/>
        </w:rPr>
        <w:t xml:space="preserve"> of </w:t>
      </w:r>
      <w:r>
        <w:rPr>
          <w:kern w:val="0"/>
        </w:rPr>
        <w:t>patients with resectable colorectal liver metastases or widespread metastatic CRC is associated with disease progression</w:t>
      </w:r>
      <w:r w:rsidR="005853A9">
        <w:rPr>
          <w:kern w:val="0"/>
        </w:rPr>
        <w:t xml:space="preserve"> and </w:t>
      </w:r>
      <w:r>
        <w:rPr>
          <w:kern w:val="0"/>
        </w:rPr>
        <w:t>poor survival.</w:t>
      </w:r>
    </w:p>
    <w:p w:rsidR="00477261" w:rsidRDefault="00477261" w:rsidP="00477261">
      <w:pPr>
        <w:pStyle w:val="a3"/>
        <w:rPr>
          <w:kern w:val="0"/>
        </w:rPr>
      </w:pPr>
      <w:r>
        <w:rPr>
          <w:kern w:val="0"/>
        </w:rPr>
        <w:t xml:space="preserve">Keywords: Analysis, Association, Blood, Bone, Bone Marrow, Cancer, Citation, Colorectal, Colorectal Cancer, Confidence, Confidence Intervals, Databases, Disease, Embase, Hazard, Intervals, Literature, Liver, Long Term, Long-Term, Long-Term Outcome, </w:t>
      </w:r>
      <w:r w:rsidR="00D5664A">
        <w:rPr>
          <w:kern w:val="0"/>
        </w:rPr>
        <w:t>MEDLINE</w:t>
      </w:r>
      <w:r>
        <w:rPr>
          <w:kern w:val="0"/>
        </w:rPr>
        <w:t>, Meta Analysis, Meta-Analysis, Metaanalysis, Metastases, Outcome, Outcomes, Patients, Peripheral Blood, Prognostic, Prognostic Factor, Progression, Review, Science, Science Citation Index, Survival, Systematic Review, Tumor, Value</w:t>
      </w:r>
    </w:p>
    <w:p w:rsidR="00624A41" w:rsidRDefault="00624A41" w:rsidP="00624A41">
      <w:pPr>
        <w:pStyle w:val="a3"/>
        <w:rPr>
          <w:kern w:val="0"/>
        </w:rPr>
      </w:pPr>
      <w:r>
        <w:rPr>
          <w:rFonts w:hint="eastAsia"/>
          <w:kern w:val="0"/>
        </w:rPr>
        <w:t xml:space="preserve">? </w:t>
      </w:r>
      <w:r>
        <w:rPr>
          <w:kern w:val="0"/>
        </w:rPr>
        <w:t>Nordholm-Carstensen, A., Wille-Jorgensen, P.A., Jorgensen, L.N.</w:t>
      </w:r>
      <w:r w:rsidR="005853A9">
        <w:rPr>
          <w:kern w:val="0"/>
        </w:rPr>
        <w:t xml:space="preserve"> and </w:t>
      </w:r>
      <w:r>
        <w:rPr>
          <w:kern w:val="0"/>
        </w:rPr>
        <w:t>Harling, H. (2013), Indeterminate pulmonary nodules at colorectal cancer staging: A systematic review</w:t>
      </w:r>
      <w:r w:rsidR="00427468">
        <w:rPr>
          <w:kern w:val="0"/>
        </w:rPr>
        <w:t xml:space="preserve"> of </w:t>
      </w:r>
      <w:r>
        <w:rPr>
          <w:kern w:val="0"/>
        </w:rPr>
        <w:t xml:space="preserve">predictive parameters for malignancy. </w:t>
      </w:r>
      <w:r>
        <w:rPr>
          <w:i/>
          <w:iCs/>
          <w:kern w:val="0"/>
        </w:rPr>
        <w:t>Annals</w:t>
      </w:r>
      <w:r w:rsidR="00427468">
        <w:rPr>
          <w:i/>
          <w:iCs/>
          <w:kern w:val="0"/>
        </w:rPr>
        <w:t xml:space="preserve"> of </w:t>
      </w:r>
      <w:r>
        <w:rPr>
          <w:i/>
          <w:iCs/>
          <w:kern w:val="0"/>
        </w:rPr>
        <w:t>Surgical Oncology</w:t>
      </w:r>
      <w:r>
        <w:rPr>
          <w:kern w:val="0"/>
        </w:rPr>
        <w:t xml:space="preserve">, </w:t>
      </w:r>
      <w:r>
        <w:rPr>
          <w:b/>
          <w:bCs/>
          <w:kern w:val="0"/>
        </w:rPr>
        <w:t>20</w:t>
      </w:r>
      <w:r>
        <w:rPr>
          <w:kern w:val="0"/>
        </w:rPr>
        <w:t xml:space="preserve"> (12), 4022-4030.</w:t>
      </w:r>
    </w:p>
    <w:p w:rsidR="00624A41" w:rsidRDefault="00624A41" w:rsidP="00624A41">
      <w:pPr>
        <w:pStyle w:val="a3"/>
      </w:pPr>
      <w:r>
        <w:t xml:space="preserve">Full Text: </w:t>
      </w:r>
      <w:hyperlink r:id="rId972" w:history="1">
        <w:r w:rsidRPr="00624A41">
          <w:rPr>
            <w:rStyle w:val="a5"/>
          </w:rPr>
          <w:t>2013\Ann Sur Onc20, 4022.pdf</w:t>
        </w:r>
      </w:hyperlink>
    </w:p>
    <w:p w:rsidR="00624A41" w:rsidRDefault="00624A41" w:rsidP="00624A41">
      <w:pPr>
        <w:pStyle w:val="a3"/>
        <w:rPr>
          <w:kern w:val="0"/>
        </w:rPr>
      </w:pPr>
      <w:r>
        <w:rPr>
          <w:kern w:val="0"/>
        </w:rPr>
        <w:t>Abstract: This study aimed to estimate the prevalence</w:t>
      </w:r>
      <w:r w:rsidR="00427468">
        <w:rPr>
          <w:kern w:val="0"/>
        </w:rPr>
        <w:t xml:space="preserve"> of </w:t>
      </w:r>
      <w:r>
        <w:rPr>
          <w:kern w:val="0"/>
        </w:rPr>
        <w:t>indeterminate pulmonary nodules</w:t>
      </w:r>
      <w:r w:rsidR="005853A9">
        <w:rPr>
          <w:kern w:val="0"/>
        </w:rPr>
        <w:t xml:space="preserve"> and </w:t>
      </w:r>
      <w:r>
        <w:rPr>
          <w:kern w:val="0"/>
        </w:rPr>
        <w:t>specific radiological</w:t>
      </w:r>
      <w:r w:rsidR="005853A9">
        <w:rPr>
          <w:kern w:val="0"/>
        </w:rPr>
        <w:t xml:space="preserve"> and </w:t>
      </w:r>
      <w:r>
        <w:rPr>
          <w:kern w:val="0"/>
        </w:rPr>
        <w:t>clinical characteristics that predict malignancy</w:t>
      </w:r>
      <w:r w:rsidR="00427468">
        <w:rPr>
          <w:kern w:val="0"/>
        </w:rPr>
        <w:t xml:space="preserve"> of </w:t>
      </w:r>
      <w:r>
        <w:rPr>
          <w:kern w:val="0"/>
        </w:rPr>
        <w:t>these at initial staging chest computed tomography (CT) in patients with colorectal cancer. A considerable number</w:t>
      </w:r>
      <w:r w:rsidR="00427468">
        <w:rPr>
          <w:kern w:val="0"/>
        </w:rPr>
        <w:t xml:space="preserve"> of </w:t>
      </w:r>
      <w:r>
        <w:rPr>
          <w:kern w:val="0"/>
        </w:rPr>
        <w:t xml:space="preserve">indeterminate pulmonary nodules, which cannot readily be classified as either benign or malignant, are detected at initial staging chest CT in colorectal cancer patients. A systematic review based on a search in EMBASE, </w:t>
      </w:r>
      <w:r w:rsidR="00D5664A">
        <w:rPr>
          <w:kern w:val="0"/>
        </w:rPr>
        <w:t>MEDLINE</w:t>
      </w:r>
      <w:r>
        <w:rPr>
          <w:kern w:val="0"/>
        </w:rPr>
        <w:t>, the Cochrane library</w:t>
      </w:r>
      <w:r w:rsidR="005853A9">
        <w:rPr>
          <w:kern w:val="0"/>
        </w:rPr>
        <w:t xml:space="preserve"> and </w:t>
      </w:r>
      <w:r>
        <w:rPr>
          <w:kern w:val="0"/>
        </w:rPr>
        <w:t>science citation index, PubMed databases, Google scholar,</w:t>
      </w:r>
      <w:r w:rsidR="005853A9">
        <w:rPr>
          <w:kern w:val="0"/>
        </w:rPr>
        <w:t xml:space="preserve"> and </w:t>
      </w:r>
      <w:r>
        <w:rPr>
          <w:kern w:val="0"/>
        </w:rPr>
        <w:t>relevant conference proceedings was performed in cooperation with the Cochrane Colorectal Cancer Group. A total</w:t>
      </w:r>
      <w:r w:rsidR="00427468">
        <w:rPr>
          <w:kern w:val="0"/>
        </w:rPr>
        <w:t xml:space="preserve"> of </w:t>
      </w:r>
      <w:r>
        <w:rPr>
          <w:kern w:val="0"/>
        </w:rPr>
        <w:t>2,799 studies were identified,</w:t>
      </w:r>
      <w:r w:rsidR="00427468">
        <w:rPr>
          <w:kern w:val="0"/>
        </w:rPr>
        <w:t xml:space="preserve"> of </w:t>
      </w:r>
      <w:r>
        <w:rPr>
          <w:kern w:val="0"/>
        </w:rPr>
        <w:t>which 12 studies met the inclusion criteria</w:t>
      </w:r>
      <w:r w:rsidR="00A37C1D">
        <w:rPr>
          <w:kern w:val="0"/>
        </w:rPr>
        <w:t>. The</w:t>
      </w:r>
      <w:r>
        <w:rPr>
          <w:kern w:val="0"/>
        </w:rPr>
        <w:t xml:space="preserve"> studies primarily consisted</w:t>
      </w:r>
      <w:r w:rsidR="00427468">
        <w:rPr>
          <w:kern w:val="0"/>
        </w:rPr>
        <w:t xml:space="preserve"> of </w:t>
      </w:r>
      <w:r>
        <w:rPr>
          <w:kern w:val="0"/>
        </w:rPr>
        <w:t>case series</w:t>
      </w:r>
      <w:r w:rsidR="005853A9">
        <w:rPr>
          <w:kern w:val="0"/>
        </w:rPr>
        <w:t xml:space="preserve"> and </w:t>
      </w:r>
      <w:r>
        <w:rPr>
          <w:kern w:val="0"/>
        </w:rPr>
        <w:t>included a total</w:t>
      </w:r>
      <w:r w:rsidR="00427468">
        <w:rPr>
          <w:kern w:val="0"/>
        </w:rPr>
        <w:t xml:space="preserve"> of </w:t>
      </w:r>
      <w:r>
        <w:rPr>
          <w:kern w:val="0"/>
        </w:rPr>
        <w:t>5,873 patients.</w:t>
      </w:r>
      <w:r w:rsidR="00427468">
        <w:rPr>
          <w:kern w:val="0"/>
        </w:rPr>
        <w:t xml:space="preserve"> of </w:t>
      </w:r>
      <w:r>
        <w:rPr>
          <w:kern w:val="0"/>
        </w:rPr>
        <w:t>these patients, 9 % (95 % confidence interval [95 % CI] 8.9-9.2 %) had indeterminate pulmonary nodules at chest CT,</w:t>
      </w:r>
      <w:r w:rsidR="00427468">
        <w:rPr>
          <w:kern w:val="0"/>
        </w:rPr>
        <w:t xml:space="preserve"> of </w:t>
      </w:r>
      <w:r>
        <w:rPr>
          <w:kern w:val="0"/>
        </w:rPr>
        <w:t>which 10.8 % (95 % CI 10.3-11.2 %) turned out to be colorectal cancer metastases at follow-up. Generally, regional lymph node metastasis,</w:t>
      </w:r>
      <w:r w:rsidR="005853A9">
        <w:rPr>
          <w:kern w:val="0"/>
        </w:rPr>
        <w:t xml:space="preserve"> and </w:t>
      </w:r>
      <w:r>
        <w:rPr>
          <w:kern w:val="0"/>
        </w:rPr>
        <w:t>multiple numbers</w:t>
      </w:r>
      <w:r w:rsidR="00427468">
        <w:rPr>
          <w:kern w:val="0"/>
        </w:rPr>
        <w:t xml:space="preserve"> of </w:t>
      </w:r>
      <w:r>
        <w:rPr>
          <w:kern w:val="0"/>
        </w:rPr>
        <w:t>indeterminate pulmonary nodules were reported to predict malignancy, whereas calcification</w:t>
      </w:r>
      <w:r w:rsidR="00427468">
        <w:rPr>
          <w:kern w:val="0"/>
        </w:rPr>
        <w:t xml:space="preserve"> of </w:t>
      </w:r>
      <w:r>
        <w:rPr>
          <w:kern w:val="0"/>
        </w:rPr>
        <w:t>the nodules indicated benign lesions. It was found that 1 in 100 colorectal cancer patients subjected to preoperative staging chest CT will have an indeterminate pulmonary nodule that proves to be metastatic disease. Such a low risk suggests that indeterminate pulmonary nodules should not cause further preoperative diagnostic workup or follow-up besides routine regimens.</w:t>
      </w:r>
    </w:p>
    <w:p w:rsidR="00624A41" w:rsidRDefault="00624A41" w:rsidP="00624A41">
      <w:pPr>
        <w:pStyle w:val="a3"/>
        <w:rPr>
          <w:kern w:val="0"/>
        </w:rPr>
      </w:pPr>
      <w:r>
        <w:rPr>
          <w:kern w:val="0"/>
        </w:rPr>
        <w:t xml:space="preserve">Keywords: Cancer, Carcinoma, Characteristics, Chest, Citation, Citation Index, Clinical, Colorectal, Colorectal Cancer, Computed Tomography, Computerized-Tomography, </w:t>
      </w:r>
      <w:r>
        <w:rPr>
          <w:kern w:val="0"/>
        </w:rPr>
        <w:lastRenderedPageBreak/>
        <w:t xml:space="preserve">Conference Proceedings, Confidence, Cooperation, Criteria, CT, CT Scans, Databases, Denmark, Disease, Embase, Fleischner-Society, Follow-Up, Google, Google Scholar, Index, Interval, Lesions, Low Risk, Lung Metastases, Malignancy, Management, </w:t>
      </w:r>
      <w:r w:rsidR="00D5664A">
        <w:rPr>
          <w:kern w:val="0"/>
        </w:rPr>
        <w:t>MEDLINE</w:t>
      </w:r>
      <w:r>
        <w:rPr>
          <w:kern w:val="0"/>
        </w:rPr>
        <w:t xml:space="preserve">, Metastases, Metastasis, Metastatic Disease, New-York, Nov, Patients, Preoperative, Prevalence, Pubmed, Pulmonary Nodule, Rectal-Cancer, Regional, Review, Risk, Science, Science Citation Index, Surgery, Systematic Review, </w:t>
      </w:r>
      <w:r w:rsidR="00D5664A">
        <w:rPr>
          <w:kern w:val="0"/>
        </w:rPr>
        <w:t>USA</w:t>
      </w:r>
    </w:p>
    <w:p w:rsidR="003C483A" w:rsidRDefault="003C483A" w:rsidP="003C483A">
      <w:pPr>
        <w:pStyle w:val="a3"/>
        <w:rPr>
          <w:kern w:val="0"/>
        </w:rPr>
      </w:pPr>
      <w:r>
        <w:rPr>
          <w:rFonts w:hint="eastAsia"/>
          <w:kern w:val="0"/>
        </w:rPr>
        <w:t xml:space="preserve">? </w:t>
      </w:r>
      <w:r>
        <w:rPr>
          <w:kern w:val="0"/>
        </w:rPr>
        <w:t>Rahbari, N.N., Elbers, H., Askoxylakis, V., Motschall, E., Bork, U., Buchler, M.W., Weitz, J.</w:t>
      </w:r>
      <w:r w:rsidR="005853A9">
        <w:rPr>
          <w:kern w:val="0"/>
        </w:rPr>
        <w:t xml:space="preserve"> and </w:t>
      </w:r>
      <w:r>
        <w:rPr>
          <w:kern w:val="0"/>
        </w:rPr>
        <w:t>Koch, M. (2013), Neoadjuvant radiotherapy for rectal cancer: Meta-analysis</w:t>
      </w:r>
      <w:r w:rsidR="00427468">
        <w:rPr>
          <w:kern w:val="0"/>
        </w:rPr>
        <w:t xml:space="preserve"> of </w:t>
      </w:r>
      <w:r>
        <w:rPr>
          <w:kern w:val="0"/>
        </w:rPr>
        <w:t xml:space="preserve">randomized controlled trials. </w:t>
      </w:r>
      <w:r>
        <w:rPr>
          <w:i/>
          <w:iCs/>
          <w:kern w:val="0"/>
        </w:rPr>
        <w:t>Annals</w:t>
      </w:r>
      <w:r w:rsidR="00427468">
        <w:rPr>
          <w:i/>
          <w:iCs/>
          <w:kern w:val="0"/>
        </w:rPr>
        <w:t xml:space="preserve"> of </w:t>
      </w:r>
      <w:r>
        <w:rPr>
          <w:i/>
          <w:iCs/>
          <w:kern w:val="0"/>
        </w:rPr>
        <w:t>Surgical Oncology</w:t>
      </w:r>
      <w:r>
        <w:rPr>
          <w:kern w:val="0"/>
        </w:rPr>
        <w:t xml:space="preserve">, </w:t>
      </w:r>
      <w:r>
        <w:rPr>
          <w:b/>
          <w:bCs/>
          <w:kern w:val="0"/>
        </w:rPr>
        <w:t>20</w:t>
      </w:r>
      <w:r>
        <w:rPr>
          <w:kern w:val="0"/>
        </w:rPr>
        <w:t xml:space="preserve"> (13), 4169-4182.</w:t>
      </w:r>
    </w:p>
    <w:p w:rsidR="003C483A" w:rsidRDefault="003C483A" w:rsidP="003C483A">
      <w:pPr>
        <w:pStyle w:val="a3"/>
      </w:pPr>
      <w:r>
        <w:t xml:space="preserve">Full Text: </w:t>
      </w:r>
      <w:hyperlink r:id="rId973" w:history="1">
        <w:r w:rsidRPr="006A5D57">
          <w:rPr>
            <w:rStyle w:val="a5"/>
          </w:rPr>
          <w:t>2013\Ann Sur Onc20, 4169.pdf</w:t>
        </w:r>
      </w:hyperlink>
    </w:p>
    <w:p w:rsidR="003C483A" w:rsidRDefault="003C483A" w:rsidP="003C483A">
      <w:pPr>
        <w:pStyle w:val="a3"/>
        <w:rPr>
          <w:kern w:val="0"/>
        </w:rPr>
      </w:pPr>
      <w:r>
        <w:rPr>
          <w:kern w:val="0"/>
        </w:rPr>
        <w:t>Abstract: Background. Although neoadjuvant radiotherapy may improve local control</w:t>
      </w:r>
      <w:r w:rsidR="00427468">
        <w:rPr>
          <w:kern w:val="0"/>
        </w:rPr>
        <w:t xml:space="preserve"> of </w:t>
      </w:r>
      <w:r>
        <w:rPr>
          <w:kern w:val="0"/>
        </w:rPr>
        <w:t>rectal cancer, its clinical value requires further evaluation as a result</w:t>
      </w:r>
      <w:r w:rsidR="00427468">
        <w:rPr>
          <w:kern w:val="0"/>
        </w:rPr>
        <w:t xml:space="preserve"> of </w:t>
      </w:r>
      <w:r>
        <w:rPr>
          <w:kern w:val="0"/>
        </w:rPr>
        <w:t>potential side effects</w:t>
      </w:r>
      <w:r w:rsidR="005853A9">
        <w:rPr>
          <w:kern w:val="0"/>
        </w:rPr>
        <w:t xml:space="preserve"> and </w:t>
      </w:r>
      <w:r>
        <w:rPr>
          <w:kern w:val="0"/>
        </w:rPr>
        <w:t>advances in surgical technique. A meta-analysis was performed to assess effectiveness</w:t>
      </w:r>
      <w:r w:rsidR="005853A9">
        <w:rPr>
          <w:kern w:val="0"/>
        </w:rPr>
        <w:t xml:space="preserve"> and </w:t>
      </w:r>
      <w:r>
        <w:rPr>
          <w:kern w:val="0"/>
        </w:rPr>
        <w:t>safety</w:t>
      </w:r>
      <w:r w:rsidR="00427468">
        <w:rPr>
          <w:kern w:val="0"/>
        </w:rPr>
        <w:t xml:space="preserve"> of </w:t>
      </w:r>
      <w:r>
        <w:rPr>
          <w:kern w:val="0"/>
        </w:rPr>
        <w:t>neoadjuvant radiotherapy in the management</w:t>
      </w:r>
      <w:r w:rsidR="00427468">
        <w:rPr>
          <w:kern w:val="0"/>
        </w:rPr>
        <w:t xml:space="preserve"> of </w:t>
      </w:r>
      <w:r>
        <w:rPr>
          <w:kern w:val="0"/>
        </w:rPr>
        <w:t>rectal cancer. Methods</w:t>
      </w:r>
      <w:r w:rsidR="00A37C1D">
        <w:rPr>
          <w:kern w:val="0"/>
        </w:rPr>
        <w:t>. The</w:t>
      </w:r>
      <w:r>
        <w:rPr>
          <w:kern w:val="0"/>
        </w:rPr>
        <w:t xml:space="preserve"> following databases were searched: the Cochrane Library, Biosis, Web</w:t>
      </w:r>
      <w:r w:rsidR="00427468">
        <w:rPr>
          <w:kern w:val="0"/>
        </w:rPr>
        <w:t xml:space="preserve"> of </w:t>
      </w:r>
      <w:r>
        <w:rPr>
          <w:kern w:val="0"/>
        </w:rPr>
        <w:t>Science, Embase, ASCO Abstracts</w:t>
      </w:r>
      <w:r w:rsidR="005853A9">
        <w:rPr>
          <w:kern w:val="0"/>
        </w:rPr>
        <w:t xml:space="preserve"> and </w:t>
      </w:r>
      <w:r>
        <w:rPr>
          <w:kern w:val="0"/>
        </w:rPr>
        <w:t>WHO International Clinical Trials Registry Platform. Randomized controlled trials on the following comparisons were included: (1) neoadjuvant therapy versus surgery alone</w:t>
      </w:r>
      <w:r w:rsidR="005853A9">
        <w:rPr>
          <w:kern w:val="0"/>
        </w:rPr>
        <w:t xml:space="preserve"> and </w:t>
      </w:r>
      <w:r>
        <w:rPr>
          <w:kern w:val="0"/>
        </w:rPr>
        <w:t>(2) neoadjuvant chemoradiotherapy versus neoadjuvant radiotherapy. Results. We identified 17</w:t>
      </w:r>
      <w:r w:rsidR="005853A9">
        <w:rPr>
          <w:kern w:val="0"/>
        </w:rPr>
        <w:t xml:space="preserve"> and </w:t>
      </w:r>
      <w:r>
        <w:rPr>
          <w:kern w:val="0"/>
        </w:rPr>
        <w:t>5 relevant trials that enrolled 8,568</w:t>
      </w:r>
      <w:r w:rsidR="005853A9">
        <w:rPr>
          <w:kern w:val="0"/>
        </w:rPr>
        <w:t xml:space="preserve"> and </w:t>
      </w:r>
      <w:r>
        <w:rPr>
          <w:kern w:val="0"/>
        </w:rPr>
        <w:t>2,393 patients, respectively. Neoadjuvant radiotherapy improved local control (hazard ratio 0.59; 95 % confidence interval 0.48-0.72) compared to surgery alone even after total mesorectal excision, whereas its benefit in overall survival just failed to reach statistical significance (0.93; 0.85-1.00). However, it was associated with increased perioperative mortality (1.48; 1.08-2.03), in particular if a dose</w:t>
      </w:r>
      <w:r w:rsidR="00427468">
        <w:rPr>
          <w:kern w:val="0"/>
        </w:rPr>
        <w:t xml:space="preserve"> of </w:t>
      </w:r>
      <w:r>
        <w:rPr>
          <w:kern w:val="0"/>
        </w:rPr>
        <w:t>5 Gy per fraction was administered (1.85; 1.23-2.78). Chemoradiotherapy improved local control as opposed to radiotherapy (0.53; 0.39-0.72), with no impact on perioperative outcome</w:t>
      </w:r>
      <w:r w:rsidR="005853A9">
        <w:rPr>
          <w:kern w:val="0"/>
        </w:rPr>
        <w:t xml:space="preserve"> and </w:t>
      </w:r>
      <w:r>
        <w:rPr>
          <w:kern w:val="0"/>
        </w:rPr>
        <w:t>long-term survival. Conclusions. Neoadjuvant radiotherapy improves local control in patients with rectal cancer, particularly when chemoradiotherapy is administered</w:t>
      </w:r>
      <w:r w:rsidR="00A37C1D">
        <w:rPr>
          <w:kern w:val="0"/>
        </w:rPr>
        <w:t>. The</w:t>
      </w:r>
      <w:r>
        <w:rPr>
          <w:kern w:val="0"/>
        </w:rPr>
        <w:t xml:space="preserve"> question if the use</w:t>
      </w:r>
      <w:r w:rsidR="00427468">
        <w:rPr>
          <w:kern w:val="0"/>
        </w:rPr>
        <w:t xml:space="preserve"> of </w:t>
      </w:r>
      <w:r>
        <w:rPr>
          <w:kern w:val="0"/>
        </w:rPr>
        <w:t>more effective chemotherapy protocols improves overall survival warrants further investigation.</w:t>
      </w:r>
    </w:p>
    <w:p w:rsidR="003C483A" w:rsidRDefault="003C483A" w:rsidP="003C483A">
      <w:pPr>
        <w:pStyle w:val="a3"/>
        <w:rPr>
          <w:kern w:val="0"/>
        </w:rPr>
      </w:pPr>
      <w:r>
        <w:rPr>
          <w:kern w:val="0"/>
        </w:rPr>
        <w:t xml:space="preserve">Keywords: Advances, Biosis, Cancer, Chemoradiotherapy, Chemotherapy, Clinical, Clinical Trials, Confidence, Control, Databases, Effectiveness, Effects, Evaluation, Hazard, Impact, Interval, Investigation, Local, Long Term, Long-Term, Management, Meta Analysis, Meta-Analysis, Metaanalysis, Methods, Mortality, Outcome, Patients, Potential, Protocols, Radiotherapy, Randomized Controlled Trials, Rectal Cancer, Results, Safety, Science, Side Effects, Significance, Surgery, Surgical Technique, </w:t>
      </w:r>
      <w:r>
        <w:rPr>
          <w:kern w:val="0"/>
        </w:rPr>
        <w:lastRenderedPageBreak/>
        <w:t>Survival, Therapy, Value, Web</w:t>
      </w:r>
      <w:r w:rsidR="00427468">
        <w:rPr>
          <w:kern w:val="0"/>
        </w:rPr>
        <w:t xml:space="preserve"> of </w:t>
      </w:r>
      <w:r>
        <w:rPr>
          <w:kern w:val="0"/>
        </w:rPr>
        <w:t>Science, WHO</w:t>
      </w:r>
    </w:p>
    <w:p w:rsidR="00481459" w:rsidRDefault="00481459" w:rsidP="00481459">
      <w:pPr>
        <w:pStyle w:val="a3"/>
        <w:rPr>
          <w:kern w:val="0"/>
        </w:rPr>
      </w:pPr>
      <w:r>
        <w:rPr>
          <w:kern w:val="0"/>
        </w:rPr>
        <w:t xml:space="preserve">? Walter, U., Kohlert, T., Rahbari, N.N., Weitz, J. and Welsch, T. (2014), Impact of preoperative diabetes on long-term survival after curative resection of pancreatic adenocarcinoma: A systematic review and meta-analysis. </w:t>
      </w:r>
      <w:r>
        <w:rPr>
          <w:i/>
          <w:iCs/>
          <w:kern w:val="0"/>
        </w:rPr>
        <w:t>Annals of Surgical Oncology</w:t>
      </w:r>
      <w:r>
        <w:rPr>
          <w:kern w:val="0"/>
        </w:rPr>
        <w:t xml:space="preserve">, </w:t>
      </w:r>
      <w:r>
        <w:rPr>
          <w:b/>
          <w:bCs/>
          <w:kern w:val="0"/>
        </w:rPr>
        <w:t>21</w:t>
      </w:r>
      <w:r>
        <w:rPr>
          <w:kern w:val="0"/>
        </w:rPr>
        <w:t xml:space="preserve"> (4), 1082-1089.</w:t>
      </w:r>
    </w:p>
    <w:p w:rsidR="00481459" w:rsidRPr="001A3D2B" w:rsidRDefault="00481459" w:rsidP="00481459">
      <w:pPr>
        <w:pStyle w:val="a3"/>
      </w:pPr>
      <w:r w:rsidRPr="001A3D2B">
        <w:t xml:space="preserve">Full Text: </w:t>
      </w:r>
      <w:hyperlink r:id="rId974" w:history="1">
        <w:r w:rsidRPr="00481459">
          <w:rPr>
            <w:rStyle w:val="a5"/>
          </w:rPr>
          <w:t>2014\Ann Sur Onc21, 1082.pdf</w:t>
        </w:r>
      </w:hyperlink>
    </w:p>
    <w:p w:rsidR="00481459" w:rsidRDefault="00481459" w:rsidP="00481459">
      <w:pPr>
        <w:pStyle w:val="a3"/>
        <w:rPr>
          <w:kern w:val="0"/>
        </w:rPr>
      </w:pPr>
      <w:r>
        <w:rPr>
          <w:kern w:val="0"/>
        </w:rPr>
        <w:t>Abstract: Background. Diabetes mellitus (DM) is coupled to the risk and symptomatic onset of pancreatic ductal adenocarcinoma (PDAC)</w:t>
      </w:r>
      <w:r w:rsidR="00A37C1D">
        <w:rPr>
          <w:kern w:val="0"/>
        </w:rPr>
        <w:t>. The</w:t>
      </w:r>
      <w:r>
        <w:rPr>
          <w:kern w:val="0"/>
        </w:rPr>
        <w:t xml:space="preserve"> important question whether DM influences the prognosis of resected PDAC has not been systematically evaluated in the literature. We therefore performed a systematic review and meta-analysis evaluating the impact of preoperative DM on survival after curative surgery. Methods</w:t>
      </w:r>
      <w:r w:rsidR="00A37C1D">
        <w:rPr>
          <w:kern w:val="0"/>
        </w:rPr>
        <w:t>. The</w:t>
      </w:r>
      <w:r>
        <w:rPr>
          <w:kern w:val="0"/>
        </w:rPr>
        <w:t xml:space="preserve"> databases Medline, Embase, Web of Science, and the Cochrane Library were searched for studies reporting on the impact of preoperative DM on survival after PDAC resection. Hazard ratios and 95 % confidence intervals (CI) were extracted</w:t>
      </w:r>
      <w:r w:rsidR="00A37C1D">
        <w:rPr>
          <w:kern w:val="0"/>
        </w:rPr>
        <w:t>. The</w:t>
      </w:r>
      <w:r>
        <w:rPr>
          <w:kern w:val="0"/>
        </w:rPr>
        <w:t xml:space="preserve"> meta-analysis was calculated using the random-effects model. Results</w:t>
      </w:r>
      <w:r w:rsidR="00A37C1D">
        <w:rPr>
          <w:kern w:val="0"/>
        </w:rPr>
        <w:t>. The</w:t>
      </w:r>
      <w:r>
        <w:rPr>
          <w:kern w:val="0"/>
        </w:rPr>
        <w:t xml:space="preserve"> data search identified 4,365 abstracts that were screened for relevant articles. Ten retrospective studies with a cumulative sample size of 4,471 patients were included in the qualitative review</w:t>
      </w:r>
      <w:r w:rsidR="00A37C1D">
        <w:rPr>
          <w:kern w:val="0"/>
        </w:rPr>
        <w:t>. The</w:t>
      </w:r>
      <w:r>
        <w:rPr>
          <w:kern w:val="0"/>
        </w:rPr>
        <w:t xml:space="preserve"> mean prevalence of preoperative DM was 26.7 % (1,067 patients), and all types of pancreatic resections were considered</w:t>
      </w:r>
      <w:r w:rsidR="00A37C1D">
        <w:rPr>
          <w:kern w:val="0"/>
        </w:rPr>
        <w:t>. The</w:t>
      </w:r>
      <w:r>
        <w:rPr>
          <w:kern w:val="0"/>
        </w:rPr>
        <w:t xml:space="preserve"> meta-analysis included 8 studies and demonstrated that preoperative DM is associated with a worse overall survival after curative resection of PDAC (hazard ratio 1.32, 95 % CI 1.46-1.60, P = 0.004). Only 2 studies reported separate data for new-onset and long-standing DM. Conclusions. To our knowledge, this is the first metaanalysis evaluating long-term survival after PDAC resection in normoglycemic and diabetic patients, demonstrating a significantly worse outcome in the latter group</w:t>
      </w:r>
      <w:r w:rsidR="00A37C1D">
        <w:rPr>
          <w:kern w:val="0"/>
        </w:rPr>
        <w:t>. The</w:t>
      </w:r>
      <w:r>
        <w:rPr>
          <w:kern w:val="0"/>
        </w:rPr>
        <w:t xml:space="preserve"> mechanism behind this observation and the question whether different antidiabetic medications or early control of DM can improve survival in PDAC should be evaluated in further studies.</w:t>
      </w:r>
    </w:p>
    <w:p w:rsidR="00481459" w:rsidRDefault="00481459" w:rsidP="00481459">
      <w:pPr>
        <w:pStyle w:val="a3"/>
        <w:rPr>
          <w:kern w:val="0"/>
        </w:rPr>
      </w:pPr>
      <w:r>
        <w:rPr>
          <w:kern w:val="0"/>
        </w:rPr>
        <w:t>Keywords: Adenocarcinoma, Cancer-Patients, Confidence, Confidence Intervals, Control, Cumulative, Data, Databases, Diabetes, Diabetes Mellitus, Ductal Adenocarcinoma, First, Hazard, Impact, Intervals, Knowledge, Literature, Long Term, Long-Term, Mechanism, Medline, Mellitus, Meta Analysis, Meta-Analysis, Metaanalysis, Metformin, Methods, Model, Obesity, Observation, Onset, Outcome, Outcomes, P, Pancreaticoduodenectomy, Patients, Preoperative, Prevalence, Prognosis, Qualitative, Random Effects Model, Reporting, Results, Retrospective Studies, Review, Risk, Risk-Factors, Sample Size, Science, Single-Institution, Size, Surgery, Survival, Systematic Review, Web Of Science</w:t>
      </w:r>
    </w:p>
    <w:p w:rsidR="003474F2" w:rsidRPr="001A3D2B" w:rsidRDefault="003474F2" w:rsidP="003474F2">
      <w:pPr>
        <w:pStyle w:val="1"/>
      </w:pPr>
      <w:r w:rsidRPr="001A3D2B">
        <w:br w:type="page"/>
      </w:r>
      <w:bookmarkStart w:id="503" w:name="_Toc420814527"/>
      <w:r w:rsidRPr="001A3D2B">
        <w:lastRenderedPageBreak/>
        <w:t>Title: Annals</w:t>
      </w:r>
      <w:r w:rsidR="00427468">
        <w:t xml:space="preserve"> of </w:t>
      </w:r>
      <w:r w:rsidRPr="001A3D2B">
        <w:t>Thoracic Surgery</w:t>
      </w:r>
      <w:bookmarkEnd w:id="503"/>
    </w:p>
    <w:p w:rsidR="003474F2" w:rsidRPr="001A3D2B" w:rsidRDefault="003474F2" w:rsidP="003474F2">
      <w:pPr>
        <w:pStyle w:val="12"/>
      </w:pPr>
      <w:r w:rsidRPr="001A3D2B">
        <w:t xml:space="preserve">Full Journal Title: </w:t>
      </w:r>
      <w:hyperlink r:id="rId975" w:history="1">
        <w:r w:rsidRPr="001A3D2B">
          <w:rPr>
            <w:rStyle w:val="a5"/>
            <w:iCs/>
          </w:rPr>
          <w:t>Annals</w:t>
        </w:r>
        <w:r w:rsidR="00427468">
          <w:rPr>
            <w:rStyle w:val="a5"/>
            <w:iCs/>
          </w:rPr>
          <w:t xml:space="preserve"> of </w:t>
        </w:r>
        <w:r w:rsidRPr="001A3D2B">
          <w:rPr>
            <w:rStyle w:val="a5"/>
            <w:iCs/>
          </w:rPr>
          <w:t>Thoracic Surgery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Mavroudis, C.</w:t>
      </w:r>
      <w:r w:rsidR="005853A9">
        <w:t xml:space="preserve"> and </w:t>
      </w:r>
      <w:r w:rsidRPr="001A3D2B">
        <w:t>Sade, R.M. (2003</w:t>
      </w:r>
      <w:r w:rsidR="00F42EAC">
        <w:t>), The</w:t>
      </w:r>
      <w:r w:rsidR="003A1917">
        <w:t xml:space="preserve"> </w:t>
      </w:r>
      <w:r w:rsidRPr="001A3D2B">
        <w:t>Southern Thoracic Surgical Association 50th Anniversary Celebration:</w:t>
      </w:r>
      <w:r w:rsidR="003A1917">
        <w:t xml:space="preserve"> the </w:t>
      </w:r>
      <w:r w:rsidRPr="001A3D2B">
        <w:t>impact</w:t>
      </w:r>
      <w:r w:rsidR="00427468">
        <w:t xml:space="preserve"> of </w:t>
      </w:r>
      <w:r w:rsidRPr="001A3D2B">
        <w:t xml:space="preserve">STSA pediatric cardiothoracic surgery manuscripts on surgical practice. </w:t>
      </w:r>
      <w:r w:rsidRPr="001A3D2B">
        <w:rPr>
          <w:i/>
          <w:iCs/>
        </w:rPr>
        <w:t>Annals</w:t>
      </w:r>
      <w:r w:rsidR="00427468">
        <w:rPr>
          <w:i/>
          <w:iCs/>
        </w:rPr>
        <w:t xml:space="preserve"> of </w:t>
      </w:r>
      <w:r w:rsidRPr="001A3D2B">
        <w:rPr>
          <w:i/>
          <w:iCs/>
        </w:rPr>
        <w:t>Thoracic Surgery</w:t>
      </w:r>
      <w:r w:rsidRPr="001A3D2B">
        <w:t xml:space="preserve">, </w:t>
      </w:r>
      <w:r w:rsidRPr="001A3D2B">
        <w:rPr>
          <w:b/>
          <w:bCs/>
        </w:rPr>
        <w:t>76</w:t>
      </w:r>
      <w:r w:rsidRPr="001A3D2B">
        <w:t xml:space="preserve"> (5), S47-S67.</w:t>
      </w:r>
    </w:p>
    <w:p w:rsidR="003474F2" w:rsidRPr="001A3D2B" w:rsidRDefault="003474F2" w:rsidP="003474F2">
      <w:pPr>
        <w:pStyle w:val="a3"/>
      </w:pPr>
      <w:r w:rsidRPr="001A3D2B">
        <w:t xml:space="preserve">Full Text: </w:t>
      </w:r>
      <w:hyperlink r:id="rId976" w:history="1">
        <w:r w:rsidRPr="001A3D2B">
          <w:rPr>
            <w:rStyle w:val="a5"/>
          </w:rPr>
          <w:t>2003\Ann Tho Sur76, S47.pdf</w:t>
        </w:r>
      </w:hyperlink>
    </w:p>
    <w:p w:rsidR="003474F2" w:rsidRPr="001A3D2B" w:rsidRDefault="003474F2" w:rsidP="003474F2">
      <w:pPr>
        <w:pStyle w:val="a3"/>
      </w:pPr>
      <w:r w:rsidRPr="001A3D2B">
        <w:t>Abstract: Background. Members</w:t>
      </w:r>
      <w:r w:rsidR="00427468">
        <w:t xml:space="preserve"> of </w:t>
      </w:r>
      <w:r w:rsidR="003A1917">
        <w:t xml:space="preserve">the </w:t>
      </w:r>
      <w:r w:rsidRPr="001A3D2B">
        <w:t>Southern Thoracic Surgical Association (STSA) have presented important pediatric cardiothoracic surgery papers at</w:t>
      </w:r>
      <w:r w:rsidR="003A1917">
        <w:t xml:space="preserve"> the </w:t>
      </w:r>
      <w:r w:rsidRPr="001A3D2B">
        <w:t>annual meetings over</w:t>
      </w:r>
      <w:r w:rsidR="003A1917">
        <w:t xml:space="preserve"> the </w:t>
      </w:r>
      <w:r w:rsidRPr="001A3D2B">
        <w:t>last 50 years. In order to determine</w:t>
      </w:r>
      <w:r w:rsidR="003A1917">
        <w:t xml:space="preserve"> the </w:t>
      </w:r>
      <w:r w:rsidRPr="001A3D2B">
        <w:t>influence</w:t>
      </w:r>
      <w:r w:rsidR="00427468">
        <w:t xml:space="preserve"> of </w:t>
      </w:r>
      <w:r w:rsidRPr="001A3D2B">
        <w:t>these presentations on</w:t>
      </w:r>
      <w:r w:rsidR="003A1917">
        <w:t xml:space="preserve"> the </w:t>
      </w:r>
      <w:r w:rsidRPr="001A3D2B">
        <w:t>practice</w:t>
      </w:r>
      <w:r w:rsidR="00427468">
        <w:t xml:space="preserve"> of </w:t>
      </w:r>
      <w:r w:rsidRPr="001A3D2B">
        <w:t>surgery, a review was undertaken. Early papers were characterized by emerging advances in open-heart surgery, anatomic congenital heart studies,</w:t>
      </w:r>
      <w:r w:rsidR="005853A9">
        <w:t xml:space="preserve"> and </w:t>
      </w:r>
      <w:r w:rsidRPr="001A3D2B">
        <w:t>electrophysiologic discoveries that extended life with pacemakers. Later years were characterized by innovative myocardial preservation methods, improved cardiopulmonary bypass techniques, expanded homograft availability, emphasis on accurate repairs, intraoperative transesophageal echocardiography,</w:t>
      </w:r>
      <w:r w:rsidR="005853A9">
        <w:t xml:space="preserve"> and </w:t>
      </w:r>
      <w:r w:rsidRPr="001A3D2B">
        <w:t>cardiopulmonary transplantation. Methods. All but one</w:t>
      </w:r>
      <w:r w:rsidR="00427468">
        <w:t xml:space="preserve"> of </w:t>
      </w:r>
      <w:r w:rsidR="003A1917">
        <w:t xml:space="preserve">the </w:t>
      </w:r>
      <w:r w:rsidRPr="001A3D2B">
        <w:t>scientific programs</w:t>
      </w:r>
      <w:r w:rsidR="00427468">
        <w:t xml:space="preserve"> of </w:t>
      </w:r>
      <w:r w:rsidR="003A1917">
        <w:t xml:space="preserve">the </w:t>
      </w:r>
      <w:r w:rsidRPr="001A3D2B">
        <w:t>annual meetings (that</w:t>
      </w:r>
      <w:r w:rsidR="00427468">
        <w:t xml:space="preserve"> of </w:t>
      </w:r>
      <w:r w:rsidRPr="001A3D2B">
        <w:t>1964) were located</w:t>
      </w:r>
      <w:r w:rsidR="00A37C1D">
        <w:t>. The</w:t>
      </w:r>
      <w:r w:rsidR="003A1917">
        <w:t xml:space="preserve"> </w:t>
      </w:r>
      <w:r w:rsidRPr="001A3D2B">
        <w:t>programs were reviewed</w:t>
      </w:r>
      <w:r w:rsidR="005853A9">
        <w:t xml:space="preserve"> and </w:t>
      </w:r>
      <w:r w:rsidRPr="001A3D2B">
        <w:t>180 presentations were identified on topics in congenital heart disease, pediatric thoracic disease,</w:t>
      </w:r>
      <w:r w:rsidR="005853A9">
        <w:t xml:space="preserve"> and </w:t>
      </w:r>
      <w:r w:rsidRPr="001A3D2B">
        <w:t>pediatric thoracic wall abnormalities.</w:t>
      </w:r>
      <w:r w:rsidR="00427468">
        <w:t xml:space="preserve"> of </w:t>
      </w:r>
      <w:r w:rsidRPr="001A3D2B">
        <w:t>those 180 oral presentations, 155 manuscripts (86%) were eventually published or in press</w:t>
      </w:r>
      <w:r w:rsidR="005853A9">
        <w:t xml:space="preserve"> and </w:t>
      </w:r>
      <w:r w:rsidRPr="001A3D2B">
        <w:t>available for critical review</w:t>
      </w:r>
      <w:r w:rsidR="005853A9">
        <w:t xml:space="preserve"> and </w:t>
      </w:r>
      <w:r w:rsidRPr="001A3D2B">
        <w:t xml:space="preserve">analysis. Manuscripts were grouped by diagnosis or therapeutic intervention. We determined a </w:t>
      </w:r>
      <w:r w:rsidR="00B5188C">
        <w:t>“</w:t>
      </w:r>
      <w:r w:rsidRPr="001A3D2B">
        <w:t>cumulative citation frequency</w:t>
      </w:r>
      <w:r w:rsidR="00B5188C">
        <w:t>”</w:t>
      </w:r>
      <w:r w:rsidRPr="001A3D2B">
        <w:t xml:space="preserve"> (CCF), which measures</w:t>
      </w:r>
      <w:r w:rsidR="003A1917">
        <w:t xml:space="preserve"> the </w:t>
      </w:r>
      <w:r w:rsidRPr="001A3D2B">
        <w:t>number</w:t>
      </w:r>
      <w:r w:rsidR="00427468">
        <w:t xml:space="preserve"> of </w:t>
      </w:r>
      <w:r w:rsidRPr="001A3D2B">
        <w:t>times an article is cited in</w:t>
      </w:r>
      <w:r w:rsidR="003A1917">
        <w:t xml:space="preserve"> the </w:t>
      </w:r>
      <w:r w:rsidRPr="001A3D2B">
        <w:t>bibliography</w:t>
      </w:r>
      <w:r w:rsidR="00427468">
        <w:t xml:space="preserve"> of </w:t>
      </w:r>
      <w:r w:rsidRPr="001A3D2B">
        <w:t>related papers in</w:t>
      </w:r>
      <w:r w:rsidR="003A1917">
        <w:t xml:space="preserve"> the </w:t>
      </w:r>
      <w:r w:rsidRPr="001A3D2B">
        <w:t>universe</w:t>
      </w:r>
      <w:r w:rsidR="00427468">
        <w:t xml:space="preserve"> of </w:t>
      </w:r>
      <w:r w:rsidRPr="001A3D2B">
        <w:t>participating journals</w:t>
      </w:r>
      <w:r w:rsidR="00A37C1D">
        <w:t>. The</w:t>
      </w:r>
      <w:r w:rsidR="003A1917">
        <w:t xml:space="preserve"> </w:t>
      </w:r>
      <w:r w:rsidRPr="001A3D2B">
        <w:t>selected manuscripts were compared with</w:t>
      </w:r>
      <w:r w:rsidR="003A1917">
        <w:t xml:space="preserve"> the </w:t>
      </w:r>
      <w:r w:rsidRPr="001A3D2B">
        <w:t>historic landmark contributions</w:t>
      </w:r>
      <w:r w:rsidR="005853A9">
        <w:t xml:space="preserve"> and </w:t>
      </w:r>
      <w:r w:rsidR="003A1917">
        <w:t xml:space="preserve">the </w:t>
      </w:r>
      <w:r w:rsidRPr="001A3D2B">
        <w:t>existing trends at</w:t>
      </w:r>
      <w:r w:rsidR="003A1917">
        <w:t xml:space="preserve"> the </w:t>
      </w:r>
      <w:r w:rsidRPr="001A3D2B">
        <w:t>time,</w:t>
      </w:r>
      <w:r w:rsidR="005853A9">
        <w:t xml:space="preserve"> and </w:t>
      </w:r>
      <w:r w:rsidR="003A1917">
        <w:t xml:space="preserve">the </w:t>
      </w:r>
      <w:r w:rsidRPr="001A3D2B">
        <w:t>number</w:t>
      </w:r>
      <w:r w:rsidR="00427468">
        <w:t xml:space="preserve"> of </w:t>
      </w:r>
      <w:r w:rsidRPr="001A3D2B">
        <w:t>articles both by individual authors</w:t>
      </w:r>
      <w:r w:rsidR="005853A9">
        <w:t xml:space="preserve"> and </w:t>
      </w:r>
      <w:r w:rsidRPr="001A3D2B">
        <w:t>from institutions were tallied. Results. Grouping by authors</w:t>
      </w:r>
      <w:r w:rsidR="005853A9">
        <w:t xml:space="preserve"> and </w:t>
      </w:r>
      <w:r w:rsidRPr="001A3D2B">
        <w:t>institutions showed that 100</w:t>
      </w:r>
      <w:r w:rsidR="00427468">
        <w:t xml:space="preserve"> of </w:t>
      </w:r>
      <w:r w:rsidRPr="001A3D2B">
        <w:t xml:space="preserve">155 </w:t>
      </w:r>
      <w:r w:rsidRPr="001A3D2B">
        <w:lastRenderedPageBreak/>
        <w:t>pediatric cardiothoracic manuscripts (65%) originated from 13 institutions</w:t>
      </w:r>
      <w:r w:rsidR="00A37C1D">
        <w:t>. The</w:t>
      </w:r>
      <w:r w:rsidR="003A1917">
        <w:t xml:space="preserve"> </w:t>
      </w:r>
      <w:r w:rsidRPr="001A3D2B">
        <w:t>CCT for</w:t>
      </w:r>
      <w:r w:rsidR="003A1917">
        <w:t xml:space="preserve"> the </w:t>
      </w:r>
      <w:r w:rsidRPr="001A3D2B">
        <w:t>20 leading articles ranged from 26 to 93. Conclusions. This historical STSA 50-year record</w:t>
      </w:r>
      <w:r w:rsidR="00427468">
        <w:t xml:space="preserve"> of </w:t>
      </w:r>
      <w:r w:rsidRPr="001A3D2B">
        <w:t>pediatric cardiothoracic advances was accomplished in a milieu</w:t>
      </w:r>
      <w:r w:rsidR="00427468">
        <w:t xml:space="preserve"> of </w:t>
      </w:r>
      <w:r w:rsidRPr="001A3D2B">
        <w:t>collegial respect</w:t>
      </w:r>
      <w:r w:rsidR="005853A9">
        <w:t xml:space="preserve"> and </w:t>
      </w:r>
      <w:r w:rsidRPr="001A3D2B">
        <w:t>camaraderie. Our annual meetings over</w:t>
      </w:r>
      <w:r w:rsidR="003A1917">
        <w:t xml:space="preserve"> the </w:t>
      </w:r>
      <w:r w:rsidRPr="001A3D2B">
        <w:t>years have provided a venue for thoracic surgeons to share their ideas, innovations,</w:t>
      </w:r>
      <w:r w:rsidR="005853A9">
        <w:t xml:space="preserve"> and </w:t>
      </w:r>
      <w:r w:rsidRPr="001A3D2B">
        <w:t>scientific inquiry</w:t>
      </w:r>
      <w:r w:rsidR="00A37C1D">
        <w:t>. The</w:t>
      </w:r>
      <w:r w:rsidRPr="001A3D2B">
        <w:t>se contributions have significantly affected</w:t>
      </w:r>
      <w:r w:rsidR="003A1917">
        <w:t xml:space="preserve"> the </w:t>
      </w:r>
      <w:r w:rsidRPr="001A3D2B">
        <w:t>practice</w:t>
      </w:r>
      <w:r w:rsidR="00427468">
        <w:t xml:space="preserve"> of </w:t>
      </w:r>
      <w:r w:rsidRPr="001A3D2B">
        <w:t>pediatric cardiothoracic surgery</w:t>
      </w:r>
      <w:r w:rsidR="00A37C1D">
        <w:t>. The</w:t>
      </w:r>
      <w:r w:rsidR="003A1917">
        <w:t xml:space="preserve"> </w:t>
      </w:r>
      <w:r w:rsidRPr="001A3D2B">
        <w:t>STSA has worked for 50 years</w:t>
      </w:r>
      <w:r w:rsidR="005853A9">
        <w:t xml:space="preserve"> and </w:t>
      </w:r>
      <w:r w:rsidRPr="001A3D2B">
        <w:t>we trust that it will work for another 50 years</w:t>
      </w:r>
      <w:r w:rsidR="005853A9">
        <w:t xml:space="preserve"> and </w:t>
      </w:r>
      <w:r w:rsidRPr="001A3D2B">
        <w:t>beyond. (C) 2003 by</w:t>
      </w:r>
      <w:r w:rsidR="003A1917">
        <w:t xml:space="preserve"> the </w:t>
      </w:r>
      <w:r w:rsidRPr="001A3D2B">
        <w:t>Society</w:t>
      </w:r>
      <w:r w:rsidR="00427468">
        <w:t xml:space="preserve"> of </w:t>
      </w:r>
      <w:r w:rsidRPr="001A3D2B">
        <w:t>Thoracic Surgeons.</w:t>
      </w:r>
    </w:p>
    <w:p w:rsidR="003474F2" w:rsidRPr="001A3D2B" w:rsidRDefault="003474F2" w:rsidP="003474F2">
      <w:pPr>
        <w:pStyle w:val="a3"/>
      </w:pPr>
      <w:r w:rsidRPr="001A3D2B">
        <w:t>Keywords: Advances, Analysis, Availability, Bibliography, Cardiopulmonary, Cardiopulmonary Bypass, Citation, Congenital, Congenital Heart Disease, Diagnosis, Echocardiography, Heart, Impact, Institutions, Intervention, Journals, Life, Methods, Oral, Papers, Pediatric, Practice, Record, Review, Surgery, Techniques, Therapeutic, Transplantation, Trends, Trust, Work</w:t>
      </w:r>
    </w:p>
    <w:p w:rsidR="00FE0B89" w:rsidRDefault="00FE0B89" w:rsidP="00FE0B89">
      <w:pPr>
        <w:pStyle w:val="a3"/>
        <w:rPr>
          <w:kern w:val="0"/>
          <w:szCs w:val="24"/>
        </w:rPr>
      </w:pPr>
      <w:r>
        <w:rPr>
          <w:rFonts w:hint="eastAsia"/>
          <w:kern w:val="0"/>
          <w:szCs w:val="24"/>
        </w:rPr>
        <w:t xml:space="preserve">? </w:t>
      </w:r>
      <w:r>
        <w:rPr>
          <w:kern w:val="0"/>
          <w:szCs w:val="24"/>
        </w:rPr>
        <w:t>Huen, S.C.</w:t>
      </w:r>
      <w:r w:rsidR="005853A9">
        <w:rPr>
          <w:kern w:val="0"/>
          <w:szCs w:val="24"/>
        </w:rPr>
        <w:t xml:space="preserve"> and </w:t>
      </w:r>
      <w:r>
        <w:rPr>
          <w:kern w:val="0"/>
          <w:szCs w:val="24"/>
        </w:rPr>
        <w:t xml:space="preserve">Parikh, C.R. (2012), Predicting acute kidney injury after cardiac surgery: A systematic review. </w:t>
      </w:r>
      <w:r>
        <w:rPr>
          <w:i/>
          <w:iCs/>
          <w:kern w:val="0"/>
          <w:szCs w:val="24"/>
        </w:rPr>
        <w:t>Annals</w:t>
      </w:r>
      <w:r w:rsidR="00427468">
        <w:rPr>
          <w:i/>
          <w:iCs/>
          <w:kern w:val="0"/>
          <w:szCs w:val="24"/>
        </w:rPr>
        <w:t xml:space="preserve"> of </w:t>
      </w:r>
      <w:r>
        <w:rPr>
          <w:i/>
          <w:iCs/>
          <w:kern w:val="0"/>
          <w:szCs w:val="24"/>
        </w:rPr>
        <w:t>Thoracic Surgery</w:t>
      </w:r>
      <w:r>
        <w:rPr>
          <w:kern w:val="0"/>
          <w:szCs w:val="24"/>
        </w:rPr>
        <w:t xml:space="preserve">, </w:t>
      </w:r>
      <w:r>
        <w:rPr>
          <w:b/>
          <w:bCs/>
          <w:kern w:val="0"/>
          <w:szCs w:val="24"/>
        </w:rPr>
        <w:t>93</w:t>
      </w:r>
      <w:r>
        <w:rPr>
          <w:kern w:val="0"/>
          <w:szCs w:val="24"/>
        </w:rPr>
        <w:t xml:space="preserve"> (1), 337-347.</w:t>
      </w:r>
    </w:p>
    <w:p w:rsidR="00FE0B89" w:rsidRPr="001A3D2B" w:rsidRDefault="00FE0B89" w:rsidP="00FE0B89">
      <w:pPr>
        <w:pStyle w:val="a3"/>
      </w:pPr>
      <w:r w:rsidRPr="001A3D2B">
        <w:t xml:space="preserve">Full Text: </w:t>
      </w:r>
      <w:hyperlink r:id="rId977" w:history="1">
        <w:r w:rsidRPr="00BB756D">
          <w:rPr>
            <w:rStyle w:val="a5"/>
          </w:rPr>
          <w:t>2012\Ann Tho Sur93, 337.pdf</w:t>
        </w:r>
      </w:hyperlink>
    </w:p>
    <w:p w:rsidR="00FE0B89" w:rsidRDefault="00FE0B89" w:rsidP="00FE0B89">
      <w:pPr>
        <w:pStyle w:val="a3"/>
        <w:rPr>
          <w:kern w:val="0"/>
          <w:szCs w:val="24"/>
        </w:rPr>
      </w:pPr>
      <w:r>
        <w:rPr>
          <w:kern w:val="0"/>
          <w:szCs w:val="24"/>
        </w:rPr>
        <w:t>Abstract: Acute kidney injury (AKI) after cardiac surgery confers a significant increased risk</w:t>
      </w:r>
      <w:r w:rsidR="00427468">
        <w:rPr>
          <w:kern w:val="0"/>
          <w:szCs w:val="24"/>
        </w:rPr>
        <w:t xml:space="preserve"> of </w:t>
      </w:r>
      <w:r>
        <w:rPr>
          <w:kern w:val="0"/>
          <w:szCs w:val="24"/>
        </w:rPr>
        <w:t>death. Several risk models have been developed to predict postoperative kidney failure after cardiac surgery. This systematic review evaluated</w:t>
      </w:r>
      <w:r w:rsidR="003A1917">
        <w:rPr>
          <w:kern w:val="0"/>
          <w:szCs w:val="24"/>
        </w:rPr>
        <w:t xml:space="preserve"> the </w:t>
      </w:r>
      <w:r>
        <w:rPr>
          <w:kern w:val="0"/>
          <w:szCs w:val="24"/>
        </w:rPr>
        <w:t>available risk models for AKI after cardiac surgery. Literature searches were performed in</w:t>
      </w:r>
      <w:r w:rsidR="003A1917">
        <w:rPr>
          <w:kern w:val="0"/>
          <w:szCs w:val="24"/>
        </w:rPr>
        <w:t xml:space="preserve"> the </w:t>
      </w:r>
      <w:r w:rsidR="00D5664A">
        <w:rPr>
          <w:kern w:val="0"/>
          <w:szCs w:val="24"/>
        </w:rPr>
        <w:t>Web</w:t>
      </w:r>
      <w:r w:rsidR="00427468">
        <w:rPr>
          <w:kern w:val="0"/>
          <w:szCs w:val="24"/>
        </w:rPr>
        <w:t xml:space="preserve"> of </w:t>
      </w:r>
      <w:r w:rsidR="00D5664A">
        <w:rPr>
          <w:kern w:val="0"/>
          <w:szCs w:val="24"/>
        </w:rPr>
        <w:t>Science</w:t>
      </w:r>
      <w:r>
        <w:rPr>
          <w:kern w:val="0"/>
          <w:szCs w:val="24"/>
        </w:rPr>
        <w:t>/Knowledge, Scopus,</w:t>
      </w:r>
      <w:r w:rsidR="005853A9">
        <w:rPr>
          <w:kern w:val="0"/>
          <w:szCs w:val="24"/>
        </w:rPr>
        <w:t xml:space="preserve"> and </w:t>
      </w:r>
      <w:r w:rsidR="00D5664A">
        <w:rPr>
          <w:kern w:val="0"/>
          <w:szCs w:val="24"/>
        </w:rPr>
        <w:t>MEDLINE</w:t>
      </w:r>
      <w:r>
        <w:rPr>
          <w:kern w:val="0"/>
          <w:szCs w:val="24"/>
        </w:rPr>
        <w:t xml:space="preserve"> databases for articles reporting</w:t>
      </w:r>
      <w:r w:rsidR="003A1917">
        <w:rPr>
          <w:kern w:val="0"/>
          <w:szCs w:val="24"/>
        </w:rPr>
        <w:t xml:space="preserve"> the </w:t>
      </w:r>
      <w:r>
        <w:rPr>
          <w:kern w:val="0"/>
          <w:szCs w:val="24"/>
        </w:rPr>
        <w:t>primary development</w:t>
      </w:r>
      <w:r w:rsidR="00427468">
        <w:rPr>
          <w:kern w:val="0"/>
          <w:szCs w:val="24"/>
        </w:rPr>
        <w:t xml:space="preserve"> of </w:t>
      </w:r>
      <w:r>
        <w:rPr>
          <w:kern w:val="0"/>
          <w:szCs w:val="24"/>
        </w:rPr>
        <w:t>a risk model</w:t>
      </w:r>
      <w:r w:rsidR="005853A9">
        <w:rPr>
          <w:kern w:val="0"/>
          <w:szCs w:val="24"/>
        </w:rPr>
        <w:t xml:space="preserve"> and </w:t>
      </w:r>
      <w:r>
        <w:rPr>
          <w:kern w:val="0"/>
          <w:szCs w:val="24"/>
        </w:rPr>
        <w:t>articles reporting validation</w:t>
      </w:r>
      <w:r w:rsidR="00427468">
        <w:rPr>
          <w:kern w:val="0"/>
          <w:szCs w:val="24"/>
        </w:rPr>
        <w:t xml:space="preserve"> of </w:t>
      </w:r>
      <w:r>
        <w:rPr>
          <w:kern w:val="0"/>
          <w:szCs w:val="24"/>
        </w:rPr>
        <w:t>existing risk models for AKI after cardiac surgery. Data on model variables, internal or external validation (or both), measures</w:t>
      </w:r>
      <w:r w:rsidR="00427468">
        <w:rPr>
          <w:kern w:val="0"/>
          <w:szCs w:val="24"/>
        </w:rPr>
        <w:t xml:space="preserve"> of </w:t>
      </w:r>
      <w:r>
        <w:rPr>
          <w:kern w:val="0"/>
          <w:szCs w:val="24"/>
        </w:rPr>
        <w:t>discrimination,</w:t>
      </w:r>
      <w:r w:rsidR="005853A9">
        <w:rPr>
          <w:kern w:val="0"/>
          <w:szCs w:val="24"/>
        </w:rPr>
        <w:t xml:space="preserve"> and </w:t>
      </w:r>
      <w:r>
        <w:rPr>
          <w:kern w:val="0"/>
          <w:szCs w:val="24"/>
        </w:rPr>
        <w:t>measures</w:t>
      </w:r>
      <w:r w:rsidR="00427468">
        <w:rPr>
          <w:kern w:val="0"/>
          <w:szCs w:val="24"/>
        </w:rPr>
        <w:t xml:space="preserve"> of </w:t>
      </w:r>
      <w:r>
        <w:rPr>
          <w:kern w:val="0"/>
          <w:szCs w:val="24"/>
        </w:rPr>
        <w:t>calibration were extracted</w:t>
      </w:r>
      <w:r w:rsidR="00A37C1D">
        <w:rPr>
          <w:kern w:val="0"/>
          <w:szCs w:val="24"/>
        </w:rPr>
        <w:t>. The</w:t>
      </w:r>
      <w:r w:rsidR="003A1917">
        <w:rPr>
          <w:kern w:val="0"/>
          <w:szCs w:val="24"/>
        </w:rPr>
        <w:t xml:space="preserve"> </w:t>
      </w:r>
      <w:r>
        <w:rPr>
          <w:kern w:val="0"/>
          <w:szCs w:val="24"/>
        </w:rPr>
        <w:t>systematic review included 7 articles with a primary development</w:t>
      </w:r>
      <w:r w:rsidR="00427468">
        <w:rPr>
          <w:kern w:val="0"/>
          <w:szCs w:val="24"/>
        </w:rPr>
        <w:t xml:space="preserve"> of </w:t>
      </w:r>
      <w:r>
        <w:rPr>
          <w:kern w:val="0"/>
          <w:szCs w:val="24"/>
        </w:rPr>
        <w:t>a prediction score for AKI after cardiac surgery</w:t>
      </w:r>
      <w:r w:rsidR="005853A9">
        <w:rPr>
          <w:kern w:val="0"/>
          <w:szCs w:val="24"/>
        </w:rPr>
        <w:t xml:space="preserve"> and </w:t>
      </w:r>
      <w:r>
        <w:rPr>
          <w:kern w:val="0"/>
          <w:szCs w:val="24"/>
        </w:rPr>
        <w:t>8 articles with external validation</w:t>
      </w:r>
      <w:r w:rsidR="00427468">
        <w:rPr>
          <w:kern w:val="0"/>
          <w:szCs w:val="24"/>
        </w:rPr>
        <w:t xml:space="preserve"> of </w:t>
      </w:r>
      <w:r>
        <w:rPr>
          <w:kern w:val="0"/>
          <w:szCs w:val="24"/>
        </w:rPr>
        <w:t>established models</w:t>
      </w:r>
      <w:r w:rsidR="00A37C1D">
        <w:rPr>
          <w:kern w:val="0"/>
          <w:szCs w:val="24"/>
        </w:rPr>
        <w:t>. The</w:t>
      </w:r>
      <w:r w:rsidR="003A1917">
        <w:rPr>
          <w:kern w:val="0"/>
          <w:szCs w:val="24"/>
        </w:rPr>
        <w:t xml:space="preserve"> </w:t>
      </w:r>
      <w:r>
        <w:rPr>
          <w:kern w:val="0"/>
          <w:szCs w:val="24"/>
        </w:rPr>
        <w:t>models for AKI requiring dialysis are</w:t>
      </w:r>
      <w:r w:rsidR="003A1917">
        <w:rPr>
          <w:kern w:val="0"/>
          <w:szCs w:val="24"/>
        </w:rPr>
        <w:t xml:space="preserve"> the </w:t>
      </w:r>
      <w:r>
        <w:rPr>
          <w:kern w:val="0"/>
          <w:szCs w:val="24"/>
        </w:rPr>
        <w:t>most robust</w:t>
      </w:r>
      <w:r w:rsidR="005853A9">
        <w:rPr>
          <w:kern w:val="0"/>
          <w:szCs w:val="24"/>
        </w:rPr>
        <w:t xml:space="preserve"> and </w:t>
      </w:r>
      <w:r>
        <w:rPr>
          <w:kern w:val="0"/>
          <w:szCs w:val="24"/>
        </w:rPr>
        <w:t>externally validated. Among</w:t>
      </w:r>
      <w:r w:rsidR="003A1917">
        <w:rPr>
          <w:kern w:val="0"/>
          <w:szCs w:val="24"/>
        </w:rPr>
        <w:t xml:space="preserve"> the </w:t>
      </w:r>
      <w:r>
        <w:rPr>
          <w:kern w:val="0"/>
          <w:szCs w:val="24"/>
        </w:rPr>
        <w:t>prediction rules for AKI requiring dialysis after cardiac surgery,</w:t>
      </w:r>
      <w:r w:rsidR="003A1917">
        <w:rPr>
          <w:kern w:val="0"/>
          <w:szCs w:val="24"/>
        </w:rPr>
        <w:t xml:space="preserve"> the </w:t>
      </w:r>
      <w:r>
        <w:rPr>
          <w:kern w:val="0"/>
          <w:szCs w:val="24"/>
        </w:rPr>
        <w:t>Cleveland Clinic model has been</w:t>
      </w:r>
      <w:r w:rsidR="003A1917">
        <w:rPr>
          <w:kern w:val="0"/>
          <w:szCs w:val="24"/>
        </w:rPr>
        <w:t xml:space="preserve"> the </w:t>
      </w:r>
      <w:r>
        <w:rPr>
          <w:kern w:val="0"/>
          <w:szCs w:val="24"/>
        </w:rPr>
        <w:t>most widely tested thus far</w:t>
      </w:r>
      <w:r w:rsidR="005853A9">
        <w:rPr>
          <w:kern w:val="0"/>
          <w:szCs w:val="24"/>
        </w:rPr>
        <w:t xml:space="preserve"> and </w:t>
      </w:r>
      <w:r>
        <w:rPr>
          <w:kern w:val="0"/>
          <w:szCs w:val="24"/>
        </w:rPr>
        <w:t>has shown high discrimination in most</w:t>
      </w:r>
      <w:r w:rsidR="00427468">
        <w:rPr>
          <w:kern w:val="0"/>
          <w:szCs w:val="24"/>
        </w:rPr>
        <w:t xml:space="preserve"> of </w:t>
      </w:r>
      <w:r w:rsidR="003A1917">
        <w:rPr>
          <w:kern w:val="0"/>
          <w:szCs w:val="24"/>
        </w:rPr>
        <w:t xml:space="preserve">the </w:t>
      </w:r>
      <w:r>
        <w:rPr>
          <w:kern w:val="0"/>
          <w:szCs w:val="24"/>
        </w:rPr>
        <w:t>tested populations. A validated score to predict AKI not requiring dialysis is lacking. Further studies are required to develop risk models to predict milder AKI not requiring dialysis after cardiac surgery. Standardizing risk factor</w:t>
      </w:r>
      <w:r w:rsidR="005853A9">
        <w:rPr>
          <w:kern w:val="0"/>
          <w:szCs w:val="24"/>
        </w:rPr>
        <w:t xml:space="preserve"> and </w:t>
      </w:r>
      <w:r>
        <w:rPr>
          <w:kern w:val="0"/>
          <w:szCs w:val="24"/>
        </w:rPr>
        <w:t>AKI definitions will facilitate</w:t>
      </w:r>
      <w:r w:rsidR="003A1917">
        <w:rPr>
          <w:kern w:val="0"/>
          <w:szCs w:val="24"/>
        </w:rPr>
        <w:t xml:space="preserve"> the </w:t>
      </w:r>
      <w:r>
        <w:rPr>
          <w:kern w:val="0"/>
          <w:szCs w:val="24"/>
        </w:rPr>
        <w:t>development</w:t>
      </w:r>
      <w:r w:rsidR="005853A9">
        <w:rPr>
          <w:kern w:val="0"/>
          <w:szCs w:val="24"/>
        </w:rPr>
        <w:t xml:space="preserve"> and </w:t>
      </w:r>
      <w:r>
        <w:rPr>
          <w:kern w:val="0"/>
          <w:szCs w:val="24"/>
        </w:rPr>
        <w:t>validation</w:t>
      </w:r>
      <w:r w:rsidR="00427468">
        <w:rPr>
          <w:kern w:val="0"/>
          <w:szCs w:val="24"/>
        </w:rPr>
        <w:t xml:space="preserve"> of </w:t>
      </w:r>
      <w:r>
        <w:rPr>
          <w:kern w:val="0"/>
          <w:szCs w:val="24"/>
        </w:rPr>
        <w:t>risk models predicting AKI. (Ann Thorac Surg 2012;93:337-47) (C) 2012 by</w:t>
      </w:r>
      <w:r w:rsidR="003A1917">
        <w:rPr>
          <w:kern w:val="0"/>
          <w:szCs w:val="24"/>
        </w:rPr>
        <w:t xml:space="preserve"> the </w:t>
      </w:r>
      <w:r>
        <w:rPr>
          <w:kern w:val="0"/>
          <w:szCs w:val="24"/>
        </w:rPr>
        <w:t>Society</w:t>
      </w:r>
      <w:r w:rsidR="00427468">
        <w:rPr>
          <w:kern w:val="0"/>
          <w:szCs w:val="24"/>
        </w:rPr>
        <w:t xml:space="preserve"> of </w:t>
      </w:r>
      <w:r>
        <w:rPr>
          <w:kern w:val="0"/>
          <w:szCs w:val="24"/>
        </w:rPr>
        <w:t>Thoracic Surgeons.</w:t>
      </w:r>
    </w:p>
    <w:p w:rsidR="00FE0B89" w:rsidRDefault="00FE0B89" w:rsidP="00FE0B89">
      <w:pPr>
        <w:pStyle w:val="a3"/>
        <w:rPr>
          <w:kern w:val="0"/>
          <w:szCs w:val="24"/>
        </w:rPr>
      </w:pPr>
      <w:r>
        <w:rPr>
          <w:kern w:val="0"/>
          <w:szCs w:val="24"/>
        </w:rPr>
        <w:t xml:space="preserve">Keywords: Acute Kidney Injury, Acute-Renal-Failure, Bypass-Grafting Surgery, Cross-Validation, Databases, Definitions, Development, Dialysis, Discrimination, External Validation, Injury, Kidney, Literature, </w:t>
      </w:r>
      <w:r w:rsidR="00D5664A">
        <w:rPr>
          <w:kern w:val="0"/>
          <w:szCs w:val="24"/>
        </w:rPr>
        <w:t>MEDLINE</w:t>
      </w:r>
      <w:r>
        <w:rPr>
          <w:kern w:val="0"/>
          <w:szCs w:val="24"/>
        </w:rPr>
        <w:t xml:space="preserve">, Methodological </w:t>
      </w:r>
      <w:r>
        <w:rPr>
          <w:kern w:val="0"/>
          <w:szCs w:val="24"/>
        </w:rPr>
        <w:lastRenderedPageBreak/>
        <w:t>Standards, Model, Open-Heart-Surgery, Primary, Replacement Therapy, Review, Risk, Risk Factor, Risk Models, Scopus, Surgery, Systematic, Systematic Review, Thoracic Surgeons, Validation, Valve Surgery</w:t>
      </w:r>
    </w:p>
    <w:p w:rsidR="00CA6DB2" w:rsidRDefault="00CA6DB2" w:rsidP="00CA6DB2">
      <w:pPr>
        <w:pStyle w:val="a3"/>
        <w:rPr>
          <w:kern w:val="0"/>
        </w:rPr>
      </w:pPr>
      <w:r>
        <w:rPr>
          <w:kern w:val="0"/>
        </w:rPr>
        <w:t>? Wu, J., Chen, Q.X., Teng, L.S. and Krasna, M.J. (2014), Prognostic significance</w:t>
      </w:r>
      <w:r w:rsidR="00427468">
        <w:rPr>
          <w:kern w:val="0"/>
        </w:rPr>
        <w:t xml:space="preserve"> of </w:t>
      </w:r>
      <w:r>
        <w:rPr>
          <w:kern w:val="0"/>
        </w:rPr>
        <w:t xml:space="preserve">positive circumferential resection margin in esophageal cancer: A systematic review and meta-analysis. </w:t>
      </w:r>
      <w:r>
        <w:rPr>
          <w:i/>
          <w:iCs/>
          <w:kern w:val="0"/>
        </w:rPr>
        <w:t>Annals</w:t>
      </w:r>
      <w:r w:rsidR="00427468">
        <w:rPr>
          <w:i/>
          <w:iCs/>
          <w:kern w:val="0"/>
        </w:rPr>
        <w:t xml:space="preserve"> of </w:t>
      </w:r>
      <w:r>
        <w:rPr>
          <w:i/>
          <w:iCs/>
          <w:kern w:val="0"/>
        </w:rPr>
        <w:t>Thoracic Surgery</w:t>
      </w:r>
      <w:r>
        <w:rPr>
          <w:kern w:val="0"/>
        </w:rPr>
        <w:t xml:space="preserve">, </w:t>
      </w:r>
      <w:r>
        <w:rPr>
          <w:b/>
          <w:bCs/>
          <w:kern w:val="0"/>
        </w:rPr>
        <w:t>97</w:t>
      </w:r>
      <w:r>
        <w:rPr>
          <w:kern w:val="0"/>
        </w:rPr>
        <w:t xml:space="preserve"> (2), 446-453.</w:t>
      </w:r>
    </w:p>
    <w:p w:rsidR="00CA6DB2" w:rsidRPr="001A3D2B" w:rsidRDefault="00CA6DB2" w:rsidP="00CA6DB2">
      <w:pPr>
        <w:pStyle w:val="a3"/>
      </w:pPr>
      <w:r w:rsidRPr="001A3D2B">
        <w:t xml:space="preserve">Full Text: </w:t>
      </w:r>
      <w:hyperlink r:id="rId978" w:history="1">
        <w:r w:rsidRPr="00F10A8B">
          <w:rPr>
            <w:rStyle w:val="a5"/>
          </w:rPr>
          <w:t>2014\Ann Tho Sur97, 446.pdf</w:t>
        </w:r>
      </w:hyperlink>
    </w:p>
    <w:p w:rsidR="00CA6DB2" w:rsidRDefault="00CA6DB2" w:rsidP="00CA6DB2">
      <w:pPr>
        <w:pStyle w:val="a3"/>
        <w:rPr>
          <w:kern w:val="0"/>
        </w:rPr>
      </w:pPr>
      <w:r>
        <w:rPr>
          <w:kern w:val="0"/>
        </w:rPr>
        <w:t>Abstract: Background. To assess the prognostic significance</w:t>
      </w:r>
      <w:r w:rsidR="00427468">
        <w:rPr>
          <w:kern w:val="0"/>
        </w:rPr>
        <w:t xml:space="preserve"> of </w:t>
      </w:r>
      <w:r>
        <w:rPr>
          <w:kern w:val="0"/>
        </w:rPr>
        <w:t>positive circumferential resection margin on overall survival in patients with esophageal cancer, a systematic review and meta-analysis was performed. Methods. Studies were identified from PubMed, EMBASE, and Web</w:t>
      </w:r>
      <w:r w:rsidR="00427468">
        <w:rPr>
          <w:kern w:val="0"/>
        </w:rPr>
        <w:t xml:space="preserve"> of </w:t>
      </w:r>
      <w:r>
        <w:rPr>
          <w:kern w:val="0"/>
        </w:rPr>
        <w:t>Science. Survival data were extracted from eligible studies to compare overall survival in patients with a positive circumferential resection margin with patients having a negative circumferential resection margin according to the Royal College</w:t>
      </w:r>
      <w:r w:rsidR="00427468">
        <w:rPr>
          <w:kern w:val="0"/>
        </w:rPr>
        <w:t xml:space="preserve"> of </w:t>
      </w:r>
      <w:r>
        <w:rPr>
          <w:kern w:val="0"/>
        </w:rPr>
        <w:t>Pathologists (RCP) criteria and the College</w:t>
      </w:r>
      <w:r w:rsidR="00427468">
        <w:rPr>
          <w:kern w:val="0"/>
        </w:rPr>
        <w:t xml:space="preserve"> of </w:t>
      </w:r>
      <w:r>
        <w:rPr>
          <w:kern w:val="0"/>
        </w:rPr>
        <w:t>American Pathologists (CAP) criteria. Survival data were pooled with hazard ratios (HRs) and their corresponding 95% confidence intervals (CIs). A random-effects model meta-analysis on overall survival was performed. Results</w:t>
      </w:r>
      <w:r w:rsidR="00A37C1D">
        <w:rPr>
          <w:kern w:val="0"/>
        </w:rPr>
        <w:t>. The</w:t>
      </w:r>
      <w:r>
        <w:rPr>
          <w:kern w:val="0"/>
        </w:rPr>
        <w:t xml:space="preserve"> pooled HRs for survival were 1.510 (95% CI, 1.329-1.717; p &lt; 0.001) and 2.053 (95% CI, 1.597-2.638; p &lt; 0.001) according to the RCP and CAP criteria, respectively. Positive circumferential resection margin was associated with worse survival in patients with T3 stage disease according to the RCP (HR, 1.381; 95% CI, 1.028-1.584; p = 0.001) and CAP (HR, 2.457; 95% CI, 1.902-3.175; p &lt; 0.001) criteria, respectively. Positive circumferential resection margin was associated with worse survival in patients receiving neoadjuvant therapy according to the RCP (HR, 1.676; 95% CI, 1.023-2.744; p = 0.040) and CAP (HR, 1.847; 95% CI, 1.226-2.78; p = 0.003) criteria, respectively. Conclusions. Positive circumferential resection margin is associated with poor prognosis in patients with esophageal cancer, particularly in patients with T3 stage disease and patients receiving neoadjuvant therapy. (C) 2014 by The Society</w:t>
      </w:r>
      <w:r w:rsidR="00427468">
        <w:rPr>
          <w:kern w:val="0"/>
        </w:rPr>
        <w:t xml:space="preserve"> of </w:t>
      </w:r>
      <w:r>
        <w:rPr>
          <w:kern w:val="0"/>
        </w:rPr>
        <w:t>Thoracic Surgeons.</w:t>
      </w:r>
    </w:p>
    <w:p w:rsidR="00CA6DB2" w:rsidRDefault="00CA6DB2" w:rsidP="00CA6DB2">
      <w:pPr>
        <w:pStyle w:val="a3"/>
        <w:rPr>
          <w:kern w:val="0"/>
        </w:rPr>
      </w:pPr>
      <w:r>
        <w:rPr>
          <w:kern w:val="0"/>
        </w:rPr>
        <w:t>Keywords: Cancer, Cap, Confidence, Confidence Intervals, Criteria, Data, Disease, Embase, Hazard, Intervals, Meta Analysis, Meta-Analysis, Metaanalysis, Methods, Model, Patients, Prognosis, Prognostic, Pubmed, Random Effects Model, Results, Review, Science, Significance, Survival, Systematic Review, T3, Therapy, Web</w:t>
      </w:r>
      <w:r w:rsidR="00427468">
        <w:rPr>
          <w:kern w:val="0"/>
        </w:rPr>
        <w:t xml:space="preserve"> of </w:t>
      </w:r>
      <w:r>
        <w:rPr>
          <w:kern w:val="0"/>
        </w:rPr>
        <w:t>Science</w:t>
      </w:r>
    </w:p>
    <w:p w:rsidR="003474F2" w:rsidRPr="001A3D2B" w:rsidRDefault="003474F2" w:rsidP="003474F2">
      <w:pPr>
        <w:pStyle w:val="1"/>
      </w:pPr>
      <w:r w:rsidRPr="001A3D2B">
        <w:br w:type="page"/>
      </w:r>
      <w:bookmarkStart w:id="504" w:name="_Toc420814528"/>
      <w:r w:rsidRPr="001A3D2B">
        <w:lastRenderedPageBreak/>
        <w:t>Title: Annals</w:t>
      </w:r>
      <w:r w:rsidR="00427468">
        <w:t xml:space="preserve"> of </w:t>
      </w:r>
      <w:r w:rsidRPr="001A3D2B">
        <w:t>Tourism Research</w:t>
      </w:r>
      <w:bookmarkEnd w:id="504"/>
    </w:p>
    <w:p w:rsidR="003474F2" w:rsidRPr="001A3D2B" w:rsidRDefault="003474F2" w:rsidP="003474F2">
      <w:pPr>
        <w:pStyle w:val="12"/>
      </w:pPr>
      <w:r w:rsidRPr="001A3D2B">
        <w:t>Full Journal Title: Annals</w:t>
      </w:r>
      <w:r w:rsidR="00427468">
        <w:t xml:space="preserve"> of </w:t>
      </w:r>
      <w:r w:rsidRPr="001A3D2B">
        <w:t>Tourism Research</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Palmer, A.L., Sesé, A.</w:t>
      </w:r>
      <w:r w:rsidR="005853A9">
        <w:t xml:space="preserve"> and </w:t>
      </w:r>
      <w:r w:rsidRPr="001A3D2B">
        <w:t>Montaño, J.J. (2005), Tourism</w:t>
      </w:r>
      <w:r w:rsidR="005853A9">
        <w:t xml:space="preserve"> and </w:t>
      </w:r>
      <w:r w:rsidRPr="001A3D2B">
        <w:t xml:space="preserve">statistics: Bibliometric study 1998–2002. </w:t>
      </w:r>
      <w:r w:rsidRPr="001A3D2B">
        <w:rPr>
          <w:i/>
          <w:iCs/>
        </w:rPr>
        <w:t>Annals</w:t>
      </w:r>
      <w:r w:rsidR="00427468">
        <w:rPr>
          <w:i/>
          <w:iCs/>
        </w:rPr>
        <w:t xml:space="preserve"> of </w:t>
      </w:r>
      <w:r w:rsidRPr="001A3D2B">
        <w:rPr>
          <w:i/>
          <w:iCs/>
        </w:rPr>
        <w:t>Tourism Research</w:t>
      </w:r>
      <w:r w:rsidRPr="001A3D2B">
        <w:t xml:space="preserve">, </w:t>
      </w:r>
      <w:r w:rsidRPr="001A3D2B">
        <w:rPr>
          <w:b/>
        </w:rPr>
        <w:t>32</w:t>
      </w:r>
      <w:r w:rsidRPr="001A3D2B">
        <w:t xml:space="preserve"> (1), 167-178.</w:t>
      </w:r>
    </w:p>
    <w:p w:rsidR="003474F2" w:rsidRPr="001A3D2B" w:rsidRDefault="003474F2" w:rsidP="003474F2">
      <w:pPr>
        <w:pStyle w:val="a3"/>
      </w:pPr>
      <w:r w:rsidRPr="001A3D2B">
        <w:t xml:space="preserve">Full Text: </w:t>
      </w:r>
      <w:hyperlink r:id="rId979" w:history="1">
        <w:r w:rsidRPr="001A3D2B">
          <w:rPr>
            <w:rStyle w:val="a5"/>
          </w:rPr>
          <w:t>2005\Ann Tou Res32, 167.pdf</w:t>
        </w:r>
      </w:hyperlink>
    </w:p>
    <w:p w:rsidR="003474F2" w:rsidRPr="001A3D2B" w:rsidRDefault="003474F2" w:rsidP="003474F2">
      <w:pPr>
        <w:pStyle w:val="a3"/>
      </w:pPr>
      <w:r w:rsidRPr="001A3D2B">
        <w:t>Abstract:</w:t>
      </w:r>
      <w:r w:rsidR="003A1917">
        <w:t xml:space="preserve"> the </w:t>
      </w:r>
      <w:r w:rsidRPr="001A3D2B">
        <w:t>use</w:t>
      </w:r>
      <w:r w:rsidR="00427468">
        <w:t xml:space="preserve"> of </w:t>
      </w:r>
      <w:r w:rsidRPr="001A3D2B">
        <w:t>statistics in any scientific discipline can be considered a key element in evaluating its degree</w:t>
      </w:r>
      <w:r w:rsidR="00427468">
        <w:t xml:space="preserve"> of </w:t>
      </w:r>
      <w:r w:rsidRPr="001A3D2B">
        <w:t>maturity</w:t>
      </w:r>
      <w:r w:rsidR="005853A9">
        <w:t xml:space="preserve"> and </w:t>
      </w:r>
      <w:r w:rsidRPr="001A3D2B">
        <w:t>demonstrates</w:t>
      </w:r>
      <w:r w:rsidR="003A1917">
        <w:t xml:space="preserve"> the </w:t>
      </w:r>
      <w:r w:rsidRPr="001A3D2B">
        <w:t>generation</w:t>
      </w:r>
      <w:r w:rsidR="00427468">
        <w:t xml:space="preserve"> of </w:t>
      </w:r>
      <w:r w:rsidRPr="001A3D2B">
        <w:t>nonspeculative knowledge</w:t>
      </w:r>
      <w:r w:rsidR="00A37C1D">
        <w:t>. The</w:t>
      </w:r>
      <w:r w:rsidR="003A1917">
        <w:t xml:space="preserve"> </w:t>
      </w:r>
      <w:r w:rsidRPr="001A3D2B">
        <w:t>aim</w:t>
      </w:r>
      <w:r w:rsidR="00427468">
        <w:t xml:space="preserve"> of </w:t>
      </w:r>
      <w:r w:rsidRPr="001A3D2B">
        <w:t>this study is to carry out a bibliometric analysis</w:t>
      </w:r>
      <w:r w:rsidR="00427468">
        <w:t xml:space="preserve"> of </w:t>
      </w:r>
      <w:r w:rsidR="003A1917">
        <w:t xml:space="preserve">the </w:t>
      </w:r>
      <w:r w:rsidRPr="001A3D2B">
        <w:t>use</w:t>
      </w:r>
      <w:r w:rsidR="00427468">
        <w:t xml:space="preserve"> of </w:t>
      </w:r>
      <w:r w:rsidRPr="001A3D2B">
        <w:t>statistical methods in tourism research. To accomplish this, a group</w:t>
      </w:r>
      <w:r w:rsidR="00427468">
        <w:t xml:space="preserve"> of </w:t>
      </w:r>
      <w:r w:rsidRPr="001A3D2B">
        <w:t>12 tourism journals published within a 5-year period (1998–2002) were chosen</w:t>
      </w:r>
      <w:r w:rsidR="005853A9">
        <w:t xml:space="preserve"> and </w:t>
      </w:r>
      <w:r w:rsidRPr="001A3D2B">
        <w:t>1,790 articles were reviewed by means</w:t>
      </w:r>
      <w:r w:rsidR="00427468">
        <w:t xml:space="preserve"> of </w:t>
      </w:r>
      <w:r w:rsidRPr="001A3D2B">
        <w:t>a taxonomy with 24 statistical categories</w:t>
      </w:r>
      <w:r w:rsidR="00A37C1D">
        <w:t>. The</w:t>
      </w:r>
      <w:r w:rsidR="003A1917">
        <w:t xml:space="preserve"> </w:t>
      </w:r>
      <w:r w:rsidRPr="001A3D2B">
        <w:t>main results show</w:t>
      </w:r>
      <w:r w:rsidR="003A1917">
        <w:t xml:space="preserve"> the </w:t>
      </w:r>
      <w:r w:rsidRPr="001A3D2B">
        <w:t>percentage</w:t>
      </w:r>
      <w:r w:rsidR="00427468">
        <w:t xml:space="preserve"> of </w:t>
      </w:r>
      <w:r w:rsidRPr="001A3D2B">
        <w:t>articles that apply statistical techniques as compared to those that do not,</w:t>
      </w:r>
      <w:r w:rsidR="005853A9">
        <w:t xml:space="preserve"> and </w:t>
      </w:r>
      <w:r w:rsidRPr="001A3D2B">
        <w:t>a ranking</w:t>
      </w:r>
      <w:r w:rsidR="00427468">
        <w:t xml:space="preserve"> of </w:t>
      </w:r>
      <w:r w:rsidR="003A1917">
        <w:t xml:space="preserve">the </w:t>
      </w:r>
      <w:r w:rsidRPr="001A3D2B">
        <w:t>techniques most often used</w:t>
      </w:r>
      <w:r w:rsidR="005853A9">
        <w:t xml:space="preserve"> and </w:t>
      </w:r>
      <w:r w:rsidRPr="001A3D2B">
        <w:t>their distribution according to journal.</w:t>
      </w:r>
    </w:p>
    <w:p w:rsidR="003474F2" w:rsidRPr="001A3D2B" w:rsidRDefault="003474F2" w:rsidP="003474F2">
      <w:pPr>
        <w:pStyle w:val="a3"/>
      </w:pPr>
      <w:r w:rsidRPr="001A3D2B">
        <w:t>Keywords: Bibliometric, Bibliometric Analysis, Bibliometrics, Journal, Journals, Research, Statistical Methods</w:t>
      </w:r>
    </w:p>
    <w:p w:rsidR="00597F5F" w:rsidRDefault="00597F5F" w:rsidP="00597F5F">
      <w:pPr>
        <w:pStyle w:val="a3"/>
        <w:rPr>
          <w:kern w:val="0"/>
        </w:rPr>
      </w:pPr>
      <w:r>
        <w:rPr>
          <w:rFonts w:hint="eastAsia"/>
          <w:kern w:val="0"/>
        </w:rPr>
        <w:t xml:space="preserve">? </w:t>
      </w:r>
      <w:r>
        <w:rPr>
          <w:kern w:val="0"/>
        </w:rPr>
        <w:t>Benckendorff, P.</w:t>
      </w:r>
      <w:r w:rsidR="005853A9">
        <w:rPr>
          <w:kern w:val="0"/>
        </w:rPr>
        <w:t xml:space="preserve"> and </w:t>
      </w:r>
      <w:r>
        <w:rPr>
          <w:kern w:val="0"/>
        </w:rPr>
        <w:t>Zehrer, A. (2013), A network analysis</w:t>
      </w:r>
      <w:r w:rsidR="00427468">
        <w:rPr>
          <w:kern w:val="0"/>
        </w:rPr>
        <w:t xml:space="preserve"> of </w:t>
      </w:r>
      <w:r>
        <w:rPr>
          <w:kern w:val="0"/>
        </w:rPr>
        <w:t xml:space="preserve">tourism research. </w:t>
      </w:r>
      <w:r>
        <w:rPr>
          <w:i/>
          <w:iCs/>
          <w:kern w:val="0"/>
        </w:rPr>
        <w:t>Annals</w:t>
      </w:r>
      <w:r w:rsidR="00427468">
        <w:rPr>
          <w:i/>
          <w:iCs/>
          <w:kern w:val="0"/>
        </w:rPr>
        <w:t xml:space="preserve"> of </w:t>
      </w:r>
      <w:r>
        <w:rPr>
          <w:i/>
          <w:iCs/>
          <w:kern w:val="0"/>
        </w:rPr>
        <w:t>Tourism Research</w:t>
      </w:r>
      <w:r>
        <w:rPr>
          <w:kern w:val="0"/>
        </w:rPr>
        <w:t xml:space="preserve">, </w:t>
      </w:r>
      <w:r>
        <w:rPr>
          <w:b/>
          <w:bCs/>
          <w:kern w:val="0"/>
        </w:rPr>
        <w:t>43</w:t>
      </w:r>
      <w:r>
        <w:rPr>
          <w:kern w:val="0"/>
        </w:rPr>
        <w:t>, 121-149.</w:t>
      </w:r>
    </w:p>
    <w:p w:rsidR="00597F5F" w:rsidRPr="00F219CA" w:rsidRDefault="00597F5F" w:rsidP="00597F5F">
      <w:pPr>
        <w:pStyle w:val="a3"/>
      </w:pPr>
      <w:r w:rsidRPr="00F219CA">
        <w:t xml:space="preserve">Full Text: </w:t>
      </w:r>
      <w:hyperlink r:id="rId980" w:history="1">
        <w:r w:rsidRPr="00677829">
          <w:rPr>
            <w:rStyle w:val="a5"/>
          </w:rPr>
          <w:t>2013\Ann Tou Res43, 121.pdf</w:t>
        </w:r>
      </w:hyperlink>
    </w:p>
    <w:p w:rsidR="00597F5F" w:rsidRDefault="00597F5F" w:rsidP="00597F5F">
      <w:pPr>
        <w:pStyle w:val="a3"/>
        <w:rPr>
          <w:kern w:val="0"/>
        </w:rPr>
      </w:pPr>
      <w:r>
        <w:rPr>
          <w:kern w:val="0"/>
        </w:rPr>
        <w:t>Abstract: This paper uses network analysis to identify the pioneering scholars</w:t>
      </w:r>
      <w:r w:rsidR="005853A9">
        <w:rPr>
          <w:kern w:val="0"/>
        </w:rPr>
        <w:t xml:space="preserve"> and </w:t>
      </w:r>
      <w:r>
        <w:rPr>
          <w:kern w:val="0"/>
        </w:rPr>
        <w:t>seminal works which have influenced recent papers in leading journals</w:t>
      </w:r>
      <w:r w:rsidR="00A37C1D">
        <w:rPr>
          <w:kern w:val="0"/>
        </w:rPr>
        <w:t>. The</w:t>
      </w:r>
      <w:r>
        <w:rPr>
          <w:kern w:val="0"/>
        </w:rPr>
        <w:t xml:space="preserve"> analysis extends beyond rankings</w:t>
      </w:r>
      <w:r w:rsidR="00427468">
        <w:rPr>
          <w:kern w:val="0"/>
        </w:rPr>
        <w:t xml:space="preserve"> of </w:t>
      </w:r>
      <w:r>
        <w:rPr>
          <w:kern w:val="0"/>
        </w:rPr>
        <w:t>scholars by using co-citation networks to visualize the relationships between the most influential scholars</w:t>
      </w:r>
      <w:r w:rsidR="005853A9">
        <w:rPr>
          <w:kern w:val="0"/>
        </w:rPr>
        <w:t xml:space="preserve"> and </w:t>
      </w:r>
      <w:r>
        <w:rPr>
          <w:kern w:val="0"/>
        </w:rPr>
        <w:t>works</w:t>
      </w:r>
      <w:r w:rsidR="005853A9">
        <w:rPr>
          <w:kern w:val="0"/>
        </w:rPr>
        <w:t xml:space="preserve"> and </w:t>
      </w:r>
      <w:r>
        <w:rPr>
          <w:kern w:val="0"/>
        </w:rPr>
        <w:t>to uncover the disciplinary contributions which have supported the emergence</w:t>
      </w:r>
      <w:r w:rsidR="00427468">
        <w:rPr>
          <w:kern w:val="0"/>
        </w:rPr>
        <w:t xml:space="preserve"> of </w:t>
      </w:r>
      <w:r>
        <w:rPr>
          <w:kern w:val="0"/>
        </w:rPr>
        <w:t>tourism as a field</w:t>
      </w:r>
      <w:r w:rsidR="00427468">
        <w:rPr>
          <w:kern w:val="0"/>
        </w:rPr>
        <w:t xml:space="preserve"> of </w:t>
      </w:r>
      <w:r>
        <w:rPr>
          <w:kern w:val="0"/>
        </w:rPr>
        <w:t>academic study</w:t>
      </w:r>
      <w:r w:rsidR="00A37C1D">
        <w:rPr>
          <w:kern w:val="0"/>
        </w:rPr>
        <w:t>. The</w:t>
      </w:r>
      <w:r>
        <w:rPr>
          <w:kern w:val="0"/>
        </w:rPr>
        <w:t xml:space="preserve"> networks</w:t>
      </w:r>
      <w:r w:rsidR="00427468">
        <w:rPr>
          <w:kern w:val="0"/>
        </w:rPr>
        <w:t xml:space="preserve"> of </w:t>
      </w:r>
      <w:r>
        <w:rPr>
          <w:kern w:val="0"/>
        </w:rPr>
        <w:t>scholars</w:t>
      </w:r>
      <w:r w:rsidR="005853A9">
        <w:rPr>
          <w:kern w:val="0"/>
        </w:rPr>
        <w:t xml:space="preserve"> and </w:t>
      </w:r>
      <w:r>
        <w:rPr>
          <w:kern w:val="0"/>
        </w:rPr>
        <w:t>works illuminate invisible colleges, tribes</w:t>
      </w:r>
      <w:r w:rsidR="005853A9">
        <w:rPr>
          <w:kern w:val="0"/>
        </w:rPr>
        <w:t xml:space="preserve"> and </w:t>
      </w:r>
      <w:r>
        <w:rPr>
          <w:kern w:val="0"/>
        </w:rPr>
        <w:t>territories in tourism research</w:t>
      </w:r>
      <w:r w:rsidR="005853A9">
        <w:rPr>
          <w:kern w:val="0"/>
        </w:rPr>
        <w:t xml:space="preserve"> and </w:t>
      </w:r>
      <w:r>
        <w:rPr>
          <w:kern w:val="0"/>
        </w:rPr>
        <w:t>indicate that while the social sciences have been most influential, business-related citations are increasing</w:t>
      </w:r>
      <w:r w:rsidR="00A37C1D">
        <w:rPr>
          <w:kern w:val="0"/>
        </w:rPr>
        <w:t>. The</w:t>
      </w:r>
      <w:r>
        <w:rPr>
          <w:kern w:val="0"/>
        </w:rPr>
        <w:t xml:space="preserve"> findings </w:t>
      </w:r>
      <w:r>
        <w:rPr>
          <w:kern w:val="0"/>
        </w:rPr>
        <w:lastRenderedPageBreak/>
        <w:t>contribute to the discourse about the epistemology</w:t>
      </w:r>
      <w:r w:rsidR="00427468">
        <w:rPr>
          <w:kern w:val="0"/>
        </w:rPr>
        <w:t xml:space="preserve"> of </w:t>
      </w:r>
      <w:r>
        <w:rPr>
          <w:kern w:val="0"/>
        </w:rPr>
        <w:t>tourism research by using bibliometric techniques to offer insights into the interdisciplinary structure</w:t>
      </w:r>
      <w:r w:rsidR="00427468">
        <w:rPr>
          <w:kern w:val="0"/>
        </w:rPr>
        <w:t xml:space="preserve"> of </w:t>
      </w:r>
      <w:r>
        <w:rPr>
          <w:kern w:val="0"/>
        </w:rPr>
        <w:t>tourism research.</w:t>
      </w:r>
    </w:p>
    <w:p w:rsidR="00597F5F" w:rsidRDefault="00597F5F" w:rsidP="00597F5F">
      <w:pPr>
        <w:pStyle w:val="a3"/>
        <w:rPr>
          <w:kern w:val="0"/>
        </w:rPr>
      </w:pPr>
      <w:r>
        <w:rPr>
          <w:kern w:val="0"/>
        </w:rPr>
        <w:t>Keywords: Analysis, Authorship Analysis, Bibliometric, Bibliometric Techniques, Bibliometrics, Citation Analysis, Citations, Co-Citation, Co-Citation Analysis, Co-Citation Networks, Cocitation, Cocitation Analysis, Discourse, Doctoral Dissertations, Epistemology, Field, Impact, Institutional Contributors, Interdisciplinary, Invisible Colleges, Journal Rankings, Journals, Knowledge Domain, Management, Network, Network Analysis, Networks, Papers, Rankings, Recent, Research, Science, Sciences, Service Quality, Social, Social Sciences, Structure, Techniques, Territories, Tourism</w:t>
      </w:r>
    </w:p>
    <w:p w:rsidR="003474F2" w:rsidRPr="001A3D2B" w:rsidRDefault="003474F2" w:rsidP="003474F2">
      <w:pPr>
        <w:pStyle w:val="1"/>
      </w:pPr>
      <w:r w:rsidRPr="001A3D2B">
        <w:br w:type="page"/>
      </w:r>
      <w:bookmarkStart w:id="505" w:name="_Toc420814529"/>
      <w:r w:rsidRPr="001A3D2B">
        <w:lastRenderedPageBreak/>
        <w:t>Title: Annals</w:t>
      </w:r>
      <w:r w:rsidR="00427468">
        <w:t xml:space="preserve"> of </w:t>
      </w:r>
      <w:r w:rsidRPr="001A3D2B">
        <w:t>Transplantation</w:t>
      </w:r>
      <w:bookmarkEnd w:id="505"/>
    </w:p>
    <w:p w:rsidR="00CD6175" w:rsidRPr="00F219CA" w:rsidRDefault="00CD6175" w:rsidP="00CD6175">
      <w:pPr>
        <w:pStyle w:val="12"/>
      </w:pPr>
      <w:r w:rsidRPr="00F219CA">
        <w:t xml:space="preserve">Full Journal Title: </w:t>
      </w:r>
      <w:hyperlink r:id="rId981" w:history="1">
        <w:r w:rsidRPr="00482C00">
          <w:rPr>
            <w:rStyle w:val="a5"/>
          </w:rPr>
          <w:t>Annals</w:t>
        </w:r>
        <w:r w:rsidR="00427468">
          <w:rPr>
            <w:rStyle w:val="a5"/>
          </w:rPr>
          <w:t xml:space="preserve"> of </w:t>
        </w:r>
        <w:r w:rsidRPr="00482C00">
          <w:rPr>
            <w:rStyle w:val="a5"/>
          </w:rPr>
          <w:t>Transplantation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1425-9524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Nourbala, M.H., Taheri, S., Habibi, R., Abolhasani, E., Nemati, E., Pourfarziani, V., Abbaszadeh, S.</w:t>
      </w:r>
      <w:r w:rsidR="005853A9">
        <w:t xml:space="preserve"> and </w:t>
      </w:r>
      <w:r w:rsidRPr="001A3D2B">
        <w:t xml:space="preserve">Einollahi, B. (2008), </w:t>
      </w:r>
      <w:r w:rsidR="00B5188C">
        <w:t>“</w:t>
      </w:r>
      <w:r w:rsidRPr="001A3D2B">
        <w:t>Transplantation</w:t>
      </w:r>
      <w:r w:rsidR="00B5188C">
        <w:t>”</w:t>
      </w:r>
      <w:r w:rsidRPr="001A3D2B">
        <w:t xml:space="preserve"> research output by Muslim Nations: Current status, trends</w:t>
      </w:r>
      <w:r w:rsidR="005853A9">
        <w:t xml:space="preserve"> and </w:t>
      </w:r>
      <w:r w:rsidRPr="001A3D2B">
        <w:t xml:space="preserve">future outlook. </w:t>
      </w:r>
      <w:r w:rsidRPr="001A3D2B">
        <w:rPr>
          <w:i/>
          <w:iCs/>
        </w:rPr>
        <w:t>Annals</w:t>
      </w:r>
      <w:r w:rsidR="00427468">
        <w:rPr>
          <w:i/>
          <w:iCs/>
        </w:rPr>
        <w:t xml:space="preserve"> of </w:t>
      </w:r>
      <w:r w:rsidRPr="001A3D2B">
        <w:rPr>
          <w:i/>
          <w:iCs/>
        </w:rPr>
        <w:t>Transplantation</w:t>
      </w:r>
      <w:r w:rsidRPr="001A3D2B">
        <w:t xml:space="preserve">, </w:t>
      </w:r>
      <w:r w:rsidRPr="001A3D2B">
        <w:rPr>
          <w:b/>
          <w:bCs/>
        </w:rPr>
        <w:t>13</w:t>
      </w:r>
      <w:r w:rsidRPr="001A3D2B">
        <w:t xml:space="preserve"> (2), 21-27.</w:t>
      </w:r>
    </w:p>
    <w:p w:rsidR="00B2573F" w:rsidRPr="001A3D2B" w:rsidRDefault="00B2573F" w:rsidP="00B2573F">
      <w:pPr>
        <w:pStyle w:val="a3"/>
      </w:pPr>
      <w:r w:rsidRPr="001A3D2B">
        <w:t xml:space="preserve">Full Text: </w:t>
      </w:r>
      <w:hyperlink r:id="rId982" w:history="1">
        <w:r w:rsidRPr="001A3D2B">
          <w:rPr>
            <w:rStyle w:val="a5"/>
          </w:rPr>
          <w:t>2008\Ann Tra13, 21.pdf</w:t>
        </w:r>
      </w:hyperlink>
    </w:p>
    <w:p w:rsidR="003474F2" w:rsidRPr="001A3D2B" w:rsidRDefault="003474F2" w:rsidP="003474F2">
      <w:pPr>
        <w:pStyle w:val="a3"/>
      </w:pPr>
      <w:r w:rsidRPr="001A3D2B">
        <w:t>Abstract: Bibliometric measurement</w:t>
      </w:r>
      <w:r w:rsidR="00427468">
        <w:t xml:space="preserve"> of </w:t>
      </w:r>
      <w:r w:rsidRPr="001A3D2B">
        <w:t>scientific research production is one</w:t>
      </w:r>
      <w:r w:rsidR="00427468">
        <w:t xml:space="preserve"> of </w:t>
      </w:r>
      <w:r w:rsidR="003A1917">
        <w:t xml:space="preserve">the </w:t>
      </w:r>
      <w:r w:rsidRPr="001A3D2B">
        <w:t>most practical methods for evaluating scientific situations</w:t>
      </w:r>
      <w:r w:rsidR="00427468">
        <w:t xml:space="preserve"> of </w:t>
      </w:r>
      <w:r w:rsidRPr="001A3D2B">
        <w:t>any nations. In this study, we assessed</w:t>
      </w:r>
      <w:r w:rsidR="003A1917">
        <w:t xml:space="preserve"> the </w:t>
      </w:r>
      <w:r w:rsidRPr="001A3D2B">
        <w:t>number</w:t>
      </w:r>
      <w:r w:rsidR="00427468">
        <w:t xml:space="preserve"> of </w:t>
      </w:r>
      <w:r w:rsidRPr="001A3D2B">
        <w:t xml:space="preserve">scientific publications by authors from Muslim nations in journals indexed in </w:t>
      </w:r>
      <w:r w:rsidR="002C12F0">
        <w:t>PUBMED</w:t>
      </w:r>
      <w:r w:rsidRPr="001A3D2B">
        <w:t xml:space="preserve"> under </w:t>
      </w:r>
      <w:r w:rsidR="00B5188C">
        <w:t>“</w:t>
      </w:r>
      <w:r w:rsidRPr="001A3D2B">
        <w:t>transplantation</w:t>
      </w:r>
      <w:r w:rsidR="00B5188C">
        <w:t>”</w:t>
      </w:r>
      <w:r w:rsidRPr="001A3D2B">
        <w:t xml:space="preserve"> subject. We found that Muslim nations have relatively very low publication rate in</w:t>
      </w:r>
      <w:r w:rsidR="003A1917">
        <w:t xml:space="preserve"> the </w:t>
      </w:r>
      <w:r w:rsidRPr="001A3D2B">
        <w:t>field</w:t>
      </w:r>
      <w:r w:rsidR="00427468">
        <w:t xml:space="preserve"> of </w:t>
      </w:r>
      <w:r w:rsidRPr="001A3D2B">
        <w:t>transplantation. Moreover, except for Turkey, we did not detect an uplifting trend for</w:t>
      </w:r>
      <w:r w:rsidR="003A1917">
        <w:t xml:space="preserve"> the </w:t>
      </w:r>
      <w:r w:rsidRPr="001A3D2B">
        <w:t>surveyed nations. Iran had quiet irregular trend with a very sharp missile like upwarding trend in 2007. In summary, Muslim nations with notable practice in transplantation should more fund</w:t>
      </w:r>
      <w:r w:rsidR="005853A9">
        <w:t xml:space="preserve"> and </w:t>
      </w:r>
      <w:r w:rsidRPr="001A3D2B">
        <w:t>concentrate on scientific aspects</w:t>
      </w:r>
      <w:r w:rsidR="00427468">
        <w:t xml:space="preserve"> of </w:t>
      </w:r>
      <w:r w:rsidR="003A1917">
        <w:t xml:space="preserve">the </w:t>
      </w:r>
      <w:r w:rsidRPr="001A3D2B">
        <w:t>practice for resolving local health dilemmas as well as exploring basic science for improving prognosis</w:t>
      </w:r>
      <w:r w:rsidR="005853A9">
        <w:t xml:space="preserve"> and </w:t>
      </w:r>
      <w:r w:rsidRPr="001A3D2B">
        <w:t>quality</w:t>
      </w:r>
      <w:r w:rsidR="00427468">
        <w:t xml:space="preserve"> of </w:t>
      </w:r>
      <w:r w:rsidRPr="001A3D2B">
        <w:t>life</w:t>
      </w:r>
      <w:r w:rsidR="00427468">
        <w:t xml:space="preserve"> of </w:t>
      </w:r>
      <w:r w:rsidRPr="001A3D2B">
        <w:t>renal transplant patients.&lt;br/&gt;.</w:t>
      </w:r>
    </w:p>
    <w:p w:rsidR="003E631D" w:rsidRPr="001A3D2B" w:rsidRDefault="003E631D" w:rsidP="003E631D">
      <w:pPr>
        <w:pStyle w:val="a3"/>
        <w:rPr>
          <w:kern w:val="0"/>
          <w:szCs w:val="24"/>
        </w:rPr>
      </w:pPr>
      <w:r w:rsidRPr="001A3D2B">
        <w:rPr>
          <w:kern w:val="0"/>
          <w:szCs w:val="24"/>
        </w:rPr>
        <w:t>Keywords: Authors, Bibliometric, Biomedical-Research, Concentrate, Dilemmas, Health, Iran, Iran, Islamic Countries, Journals, Life, Local, Measurement, Methods, Muslim, Nations, Patients, Practice, Production, Prognosis, Publications, Quality, Quality of, Quality</w:t>
      </w:r>
      <w:r w:rsidR="00427468">
        <w:rPr>
          <w:kern w:val="0"/>
          <w:szCs w:val="24"/>
        </w:rPr>
        <w:t xml:space="preserve"> of </w:t>
      </w:r>
      <w:r w:rsidRPr="001A3D2B">
        <w:rPr>
          <w:kern w:val="0"/>
          <w:szCs w:val="24"/>
        </w:rPr>
        <w:t>Life, Research, Research Output, Saudi-Arabia, Science, Scientific Publications, Scientific Research, Status, Summary, Transplantation, Trend, Trends, Turkey</w:t>
      </w:r>
    </w:p>
    <w:p w:rsidR="00CD6175" w:rsidRPr="00F219CA" w:rsidRDefault="00CD6175" w:rsidP="00CD6175">
      <w:pPr>
        <w:pStyle w:val="a3"/>
      </w:pPr>
      <w:r w:rsidRPr="00F219CA">
        <w:t xml:space="preserve">? </w:t>
      </w:r>
      <w:r>
        <w:t>Assari</w:t>
      </w:r>
      <w:r>
        <w:rPr>
          <w:rFonts w:hint="eastAsia"/>
        </w:rPr>
        <w:t>,</w:t>
      </w:r>
      <w:r>
        <w:t xml:space="preserve"> S</w:t>
      </w:r>
      <w:r>
        <w:rPr>
          <w:rFonts w:hint="eastAsia"/>
        </w:rPr>
        <w:t>.</w:t>
      </w:r>
      <w:r w:rsidRPr="00F219CA">
        <w:t xml:space="preserve"> (2008), </w:t>
      </w:r>
      <w:r>
        <w:t>How Iran could maintain its peak</w:t>
      </w:r>
      <w:r w:rsidR="00427468">
        <w:t xml:space="preserve"> of </w:t>
      </w:r>
      <w:r>
        <w:t>transplantation publication?</w:t>
      </w:r>
      <w:r w:rsidRPr="00F219CA">
        <w:t xml:space="preserve"> </w:t>
      </w:r>
      <w:r w:rsidRPr="00F219CA">
        <w:rPr>
          <w:i/>
          <w:iCs/>
        </w:rPr>
        <w:t>Annals</w:t>
      </w:r>
      <w:r w:rsidR="00427468">
        <w:rPr>
          <w:i/>
          <w:iCs/>
        </w:rPr>
        <w:t xml:space="preserve"> of </w:t>
      </w:r>
      <w:r w:rsidRPr="00F219CA">
        <w:rPr>
          <w:i/>
          <w:iCs/>
        </w:rPr>
        <w:t>Transplantation</w:t>
      </w:r>
      <w:r w:rsidRPr="00F219CA">
        <w:t xml:space="preserve">, </w:t>
      </w:r>
      <w:r w:rsidRPr="00F219CA">
        <w:rPr>
          <w:b/>
          <w:bCs/>
        </w:rPr>
        <w:t>13</w:t>
      </w:r>
      <w:r w:rsidRPr="00F219CA">
        <w:t xml:space="preserve"> (</w:t>
      </w:r>
      <w:r>
        <w:rPr>
          <w:rFonts w:hint="eastAsia"/>
        </w:rPr>
        <w:t>3</w:t>
      </w:r>
      <w:r w:rsidRPr="00F219CA">
        <w:t xml:space="preserve">), </w:t>
      </w:r>
      <w:r>
        <w:t>48-49</w:t>
      </w:r>
      <w:r w:rsidRPr="00F219CA">
        <w:t>.</w:t>
      </w:r>
    </w:p>
    <w:p w:rsidR="00CD6175" w:rsidRDefault="00CD6175" w:rsidP="00CD6175">
      <w:pPr>
        <w:pStyle w:val="a3"/>
      </w:pPr>
      <w:r w:rsidRPr="00F219CA">
        <w:t xml:space="preserve">Full Text: </w:t>
      </w:r>
      <w:hyperlink r:id="rId983" w:history="1">
        <w:r w:rsidRPr="00F86098">
          <w:rPr>
            <w:rStyle w:val="a5"/>
          </w:rPr>
          <w:t>2008\Ann Tra13, 48.pdf</w:t>
        </w:r>
      </w:hyperlink>
    </w:p>
    <w:p w:rsidR="00B2573F" w:rsidRPr="001A3D2B" w:rsidRDefault="00B2573F" w:rsidP="00B2573F">
      <w:pPr>
        <w:pStyle w:val="a3"/>
        <w:rPr>
          <w:kern w:val="0"/>
        </w:rPr>
      </w:pPr>
      <w:r w:rsidRPr="001A3D2B">
        <w:rPr>
          <w:kern w:val="0"/>
        </w:rPr>
        <w:lastRenderedPageBreak/>
        <w:t xml:space="preserve">? Assari, S. (2009), Domestic versus international Iranian transplantation publication: A comparative study. </w:t>
      </w:r>
      <w:r w:rsidRPr="001A3D2B">
        <w:rPr>
          <w:i/>
          <w:iCs/>
          <w:kern w:val="0"/>
        </w:rPr>
        <w:t>Annals</w:t>
      </w:r>
      <w:r w:rsidR="00427468">
        <w:rPr>
          <w:i/>
          <w:iCs/>
          <w:kern w:val="0"/>
        </w:rPr>
        <w:t xml:space="preserve"> of </w:t>
      </w:r>
      <w:r w:rsidRPr="001A3D2B">
        <w:rPr>
          <w:i/>
          <w:iCs/>
          <w:kern w:val="0"/>
        </w:rPr>
        <w:t>Transplantation</w:t>
      </w:r>
      <w:r w:rsidRPr="001A3D2B">
        <w:rPr>
          <w:kern w:val="0"/>
        </w:rPr>
        <w:t xml:space="preserve">, </w:t>
      </w:r>
      <w:r w:rsidRPr="001A3D2B">
        <w:rPr>
          <w:b/>
          <w:bCs/>
          <w:kern w:val="0"/>
        </w:rPr>
        <w:t>14</w:t>
      </w:r>
      <w:r w:rsidRPr="001A3D2B">
        <w:rPr>
          <w:kern w:val="0"/>
        </w:rPr>
        <w:t xml:space="preserve"> (3), 58-61.</w:t>
      </w:r>
    </w:p>
    <w:p w:rsidR="00B2573F" w:rsidRPr="001A3D2B" w:rsidRDefault="00B2573F" w:rsidP="00B2573F">
      <w:pPr>
        <w:pStyle w:val="a3"/>
      </w:pPr>
      <w:r w:rsidRPr="001A3D2B">
        <w:t xml:space="preserve">Full Text: </w:t>
      </w:r>
      <w:hyperlink r:id="rId984" w:history="1">
        <w:r w:rsidR="00CA4AFE" w:rsidRPr="00CA4AFE">
          <w:rPr>
            <w:rStyle w:val="a5"/>
          </w:rPr>
          <w:t>2009\Ann Tra14, 58.pdf</w:t>
        </w:r>
      </w:hyperlink>
    </w:p>
    <w:p w:rsidR="00B2573F" w:rsidRPr="001A3D2B" w:rsidRDefault="00B2573F" w:rsidP="00B2573F">
      <w:pPr>
        <w:pStyle w:val="a3"/>
        <w:rPr>
          <w:kern w:val="0"/>
        </w:rPr>
      </w:pPr>
      <w:r w:rsidRPr="001A3D2B">
        <w:rPr>
          <w:kern w:val="0"/>
        </w:rPr>
        <w:t>Abstract: Background: Scientific articles are a source</w:t>
      </w:r>
      <w:r w:rsidR="00427468">
        <w:rPr>
          <w:kern w:val="0"/>
        </w:rPr>
        <w:t xml:space="preserve"> of </w:t>
      </w:r>
      <w:r w:rsidRPr="001A3D2B">
        <w:rPr>
          <w:kern w:val="0"/>
        </w:rPr>
        <w:t>information for other researchers</w:t>
      </w:r>
      <w:r w:rsidR="00A37C1D">
        <w:rPr>
          <w:kern w:val="0"/>
        </w:rPr>
        <w:t>. The</w:t>
      </w:r>
      <w:r w:rsidR="003A1917">
        <w:rPr>
          <w:kern w:val="0"/>
        </w:rPr>
        <w:t xml:space="preserve"> </w:t>
      </w:r>
      <w:r w:rsidRPr="001A3D2B">
        <w:rPr>
          <w:kern w:val="0"/>
        </w:rPr>
        <w:t>aim</w:t>
      </w:r>
      <w:r w:rsidR="00427468">
        <w:rPr>
          <w:kern w:val="0"/>
        </w:rPr>
        <w:t xml:space="preserve"> of </w:t>
      </w:r>
      <w:r w:rsidR="003A1917">
        <w:rPr>
          <w:kern w:val="0"/>
        </w:rPr>
        <w:t xml:space="preserve">the </w:t>
      </w:r>
      <w:r w:rsidRPr="001A3D2B">
        <w:rPr>
          <w:kern w:val="0"/>
        </w:rPr>
        <w:t>current study was to compare</w:t>
      </w:r>
      <w:r w:rsidR="003A1917">
        <w:rPr>
          <w:kern w:val="0"/>
        </w:rPr>
        <w:t xml:space="preserve"> the </w:t>
      </w:r>
      <w:r w:rsidRPr="001A3D2B">
        <w:rPr>
          <w:kern w:val="0"/>
        </w:rPr>
        <w:t>characteristics</w:t>
      </w:r>
      <w:r w:rsidR="00427468">
        <w:rPr>
          <w:kern w:val="0"/>
        </w:rPr>
        <w:t xml:space="preserve"> of </w:t>
      </w:r>
      <w:r w:rsidR="003A1917">
        <w:rPr>
          <w:kern w:val="0"/>
        </w:rPr>
        <w:t xml:space="preserve">the </w:t>
      </w:r>
      <w:r w:rsidRPr="001A3D2B">
        <w:rPr>
          <w:kern w:val="0"/>
        </w:rPr>
        <w:t>transplantation related research efforts which have been published in domestic journals</w:t>
      </w:r>
      <w:r w:rsidR="005853A9">
        <w:rPr>
          <w:kern w:val="0"/>
        </w:rPr>
        <w:t xml:space="preserve"> and </w:t>
      </w:r>
      <w:r w:rsidR="00D5664A">
        <w:rPr>
          <w:kern w:val="0"/>
        </w:rPr>
        <w:t>MEDLINE</w:t>
      </w:r>
      <w:r w:rsidRPr="001A3D2B">
        <w:rPr>
          <w:kern w:val="0"/>
        </w:rPr>
        <w:t xml:space="preserve"> indexed journals from Iran between 1993</w:t>
      </w:r>
      <w:r w:rsidR="005853A9">
        <w:rPr>
          <w:kern w:val="0"/>
        </w:rPr>
        <w:t xml:space="preserve"> and </w:t>
      </w:r>
      <w:r w:rsidRPr="001A3D2B">
        <w:rPr>
          <w:kern w:val="0"/>
        </w:rPr>
        <w:t>2003. Material/Methods: Within</w:t>
      </w:r>
      <w:r w:rsidR="003A1917">
        <w:rPr>
          <w:kern w:val="0"/>
        </w:rPr>
        <w:t xml:space="preserve"> the </w:t>
      </w:r>
      <w:r w:rsidRPr="001A3D2B">
        <w:rPr>
          <w:kern w:val="0"/>
        </w:rPr>
        <w:t>study period, 601 transplantation scientific papers had been published from Iran, either in 91 domestic (www.iranmedex.com) or international journals (www.ncbi.com) for all</w:t>
      </w:r>
      <w:r w:rsidR="003A1917">
        <w:rPr>
          <w:kern w:val="0"/>
        </w:rPr>
        <w:t xml:space="preserve"> the </w:t>
      </w:r>
      <w:r w:rsidRPr="001A3D2B">
        <w:rPr>
          <w:kern w:val="0"/>
        </w:rPr>
        <w:t>biomedical articles published between 1993</w:t>
      </w:r>
      <w:r w:rsidR="005853A9">
        <w:rPr>
          <w:kern w:val="0"/>
        </w:rPr>
        <w:t xml:space="preserve"> and </w:t>
      </w:r>
      <w:r w:rsidRPr="001A3D2B">
        <w:rPr>
          <w:kern w:val="0"/>
        </w:rPr>
        <w:t>2003 in 91 Iranian journals</w:t>
      </w:r>
      <w:r w:rsidR="00A37C1D">
        <w:rPr>
          <w:kern w:val="0"/>
        </w:rPr>
        <w:t>. The</w:t>
      </w:r>
      <w:r w:rsidR="003A1917">
        <w:rPr>
          <w:kern w:val="0"/>
        </w:rPr>
        <w:t xml:space="preserve"> </w:t>
      </w:r>
      <w:r w:rsidRPr="001A3D2B">
        <w:rPr>
          <w:kern w:val="0"/>
        </w:rPr>
        <w:t xml:space="preserve">search was conducted using </w:t>
      </w:r>
      <w:r w:rsidR="00B5188C">
        <w:rPr>
          <w:kern w:val="0"/>
        </w:rPr>
        <w:t>“</w:t>
      </w:r>
      <w:r w:rsidRPr="001A3D2B">
        <w:rPr>
          <w:kern w:val="0"/>
        </w:rPr>
        <w:t>transplantation</w:t>
      </w:r>
      <w:r w:rsidR="00B5188C">
        <w:rPr>
          <w:kern w:val="0"/>
        </w:rPr>
        <w:t>”</w:t>
      </w:r>
      <w:r w:rsidRPr="001A3D2B">
        <w:rPr>
          <w:kern w:val="0"/>
        </w:rPr>
        <w:t xml:space="preserve"> or </w:t>
      </w:r>
      <w:r w:rsidR="00B5188C">
        <w:rPr>
          <w:kern w:val="0"/>
        </w:rPr>
        <w:t>“</w:t>
      </w:r>
      <w:r w:rsidRPr="001A3D2B">
        <w:rPr>
          <w:kern w:val="0"/>
        </w:rPr>
        <w:t>transplant</w:t>
      </w:r>
      <w:r w:rsidR="00B5188C">
        <w:rPr>
          <w:kern w:val="0"/>
        </w:rPr>
        <w:t>”</w:t>
      </w:r>
      <w:r w:rsidRPr="001A3D2B">
        <w:rPr>
          <w:kern w:val="0"/>
        </w:rPr>
        <w:t xml:space="preserve"> as key words. A printed copy</w:t>
      </w:r>
      <w:r w:rsidR="00427468">
        <w:rPr>
          <w:kern w:val="0"/>
        </w:rPr>
        <w:t xml:space="preserve"> of </w:t>
      </w:r>
      <w:r w:rsidR="003A1917">
        <w:rPr>
          <w:kern w:val="0"/>
        </w:rPr>
        <w:t xml:space="preserve">the </w:t>
      </w:r>
      <w:r w:rsidRPr="001A3D2B">
        <w:rPr>
          <w:kern w:val="0"/>
        </w:rPr>
        <w:t>papers (if available), was reviewed to identify</w:t>
      </w:r>
      <w:r w:rsidR="003A1917">
        <w:rPr>
          <w:kern w:val="0"/>
        </w:rPr>
        <w:t xml:space="preserve"> the </w:t>
      </w:r>
      <w:r w:rsidRPr="001A3D2B">
        <w:rPr>
          <w:kern w:val="0"/>
        </w:rPr>
        <w:t>transplanted organ, study design, number</w:t>
      </w:r>
      <w:r w:rsidR="00427468">
        <w:rPr>
          <w:kern w:val="0"/>
        </w:rPr>
        <w:t xml:space="preserve"> of </w:t>
      </w:r>
      <w:r w:rsidRPr="001A3D2B">
        <w:rPr>
          <w:kern w:val="0"/>
        </w:rPr>
        <w:t>authors,</w:t>
      </w:r>
      <w:r w:rsidR="005853A9">
        <w:rPr>
          <w:kern w:val="0"/>
        </w:rPr>
        <w:t xml:space="preserve"> and </w:t>
      </w:r>
      <w:r w:rsidRPr="001A3D2B">
        <w:rPr>
          <w:kern w:val="0"/>
        </w:rPr>
        <w:t>type</w:t>
      </w:r>
      <w:r w:rsidR="00427468">
        <w:rPr>
          <w:kern w:val="0"/>
        </w:rPr>
        <w:t xml:space="preserve"> of </w:t>
      </w:r>
      <w:r w:rsidRPr="001A3D2B">
        <w:rPr>
          <w:kern w:val="0"/>
        </w:rPr>
        <w:t>article. Results: Among 601 articles, 545 (90.6%) had been published in domestic journals,</w:t>
      </w:r>
      <w:r w:rsidR="005853A9">
        <w:rPr>
          <w:kern w:val="0"/>
        </w:rPr>
        <w:t xml:space="preserve"> and </w:t>
      </w:r>
      <w:r w:rsidRPr="001A3D2B">
        <w:rPr>
          <w:kern w:val="0"/>
        </w:rPr>
        <w:t xml:space="preserve">56 (9.4%) in </w:t>
      </w:r>
      <w:r w:rsidR="00D5664A">
        <w:rPr>
          <w:kern w:val="0"/>
        </w:rPr>
        <w:t>MEDLINE</w:t>
      </w:r>
      <w:r w:rsidRPr="001A3D2B">
        <w:rPr>
          <w:kern w:val="0"/>
        </w:rPr>
        <w:t xml:space="preserve"> indexed journals. Frequency</w:t>
      </w:r>
      <w:r w:rsidR="00427468">
        <w:rPr>
          <w:kern w:val="0"/>
        </w:rPr>
        <w:t xml:space="preserve"> of </w:t>
      </w:r>
      <w:r w:rsidRPr="001A3D2B">
        <w:rPr>
          <w:kern w:val="0"/>
        </w:rPr>
        <w:t>original articles was significantly higher among domestic journals (84.4% vs. 62.5%, p=0.001)</w:t>
      </w:r>
      <w:r w:rsidR="00A37C1D">
        <w:rPr>
          <w:kern w:val="0"/>
        </w:rPr>
        <w:t>. The</w:t>
      </w:r>
      <w:r w:rsidR="003A1917">
        <w:rPr>
          <w:kern w:val="0"/>
        </w:rPr>
        <w:t xml:space="preserve"> </w:t>
      </w:r>
      <w:r w:rsidRPr="001A3D2B">
        <w:rPr>
          <w:kern w:val="0"/>
        </w:rPr>
        <w:t xml:space="preserve">organ type was not significantly different between domestic or </w:t>
      </w:r>
      <w:r w:rsidR="00D5664A">
        <w:rPr>
          <w:kern w:val="0"/>
        </w:rPr>
        <w:t>MEDLINE</w:t>
      </w:r>
      <w:r w:rsidRPr="001A3D2B">
        <w:rPr>
          <w:kern w:val="0"/>
        </w:rPr>
        <w:t xml:space="preserve"> indexed journals (61.7%, 71.4%, p=0.556). Mean author numbers was significantly less among domestic in comparison to </w:t>
      </w:r>
      <w:r w:rsidR="00D5664A">
        <w:rPr>
          <w:kern w:val="0"/>
        </w:rPr>
        <w:t>MEDLINE</w:t>
      </w:r>
      <w:r w:rsidRPr="001A3D2B">
        <w:rPr>
          <w:kern w:val="0"/>
        </w:rPr>
        <w:t xml:space="preserve"> indexed journals (3.6</w:t>
      </w:r>
      <w:r w:rsidR="00CA4AFE">
        <w:rPr>
          <w:kern w:val="0"/>
        </w:rPr>
        <w:t>±</w:t>
      </w:r>
      <w:r w:rsidRPr="001A3D2B">
        <w:rPr>
          <w:kern w:val="0"/>
        </w:rPr>
        <w:t>2.2 vs. 4.6</w:t>
      </w:r>
      <w:r w:rsidR="00CA4AFE">
        <w:rPr>
          <w:kern w:val="0"/>
        </w:rPr>
        <w:t>±</w:t>
      </w:r>
      <w:r w:rsidRPr="001A3D2B">
        <w:rPr>
          <w:kern w:val="0"/>
        </w:rPr>
        <w:t>3.0, p=0.047). Conclusions: It seems that Iranian scientific database is a more important database, not only by means</w:t>
      </w:r>
      <w:r w:rsidR="00427468">
        <w:rPr>
          <w:kern w:val="0"/>
        </w:rPr>
        <w:t xml:space="preserve"> of </w:t>
      </w:r>
      <w:r w:rsidRPr="001A3D2B">
        <w:rPr>
          <w:kern w:val="0"/>
        </w:rPr>
        <w:t>quantity, but also by means</w:t>
      </w:r>
      <w:r w:rsidR="00427468">
        <w:rPr>
          <w:kern w:val="0"/>
        </w:rPr>
        <w:t xml:space="preserve"> of </w:t>
      </w:r>
      <w:r w:rsidRPr="001A3D2B">
        <w:rPr>
          <w:kern w:val="0"/>
        </w:rPr>
        <w:t>research characteristics, such as originality</w:t>
      </w:r>
      <w:r w:rsidR="00427468">
        <w:rPr>
          <w:kern w:val="0"/>
        </w:rPr>
        <w:t xml:space="preserve"> of </w:t>
      </w:r>
      <w:r w:rsidRPr="001A3D2B">
        <w:rPr>
          <w:kern w:val="0"/>
        </w:rPr>
        <w:t>research. So, domestic scientific databases should be regarded as a pool</w:t>
      </w:r>
      <w:r w:rsidR="00427468">
        <w:rPr>
          <w:kern w:val="0"/>
        </w:rPr>
        <w:t xml:space="preserve"> of </w:t>
      </w:r>
      <w:r w:rsidRPr="001A3D2B">
        <w:rPr>
          <w:kern w:val="0"/>
        </w:rPr>
        <w:t>valuable information,</w:t>
      </w:r>
      <w:r w:rsidR="005853A9">
        <w:rPr>
          <w:kern w:val="0"/>
        </w:rPr>
        <w:t xml:space="preserve"> and </w:t>
      </w:r>
      <w:r w:rsidRPr="001A3D2B">
        <w:rPr>
          <w:kern w:val="0"/>
        </w:rPr>
        <w:t>should be introduced to researchers</w:t>
      </w:r>
      <w:r w:rsidR="00427468">
        <w:rPr>
          <w:kern w:val="0"/>
        </w:rPr>
        <w:t xml:space="preserve"> of </w:t>
      </w:r>
      <w:r w:rsidRPr="001A3D2B">
        <w:rPr>
          <w:kern w:val="0"/>
        </w:rPr>
        <w:t>other countries, such a Middle East Society for Organ Transplantation region.</w:t>
      </w:r>
    </w:p>
    <w:p w:rsidR="00B2573F" w:rsidRPr="001A3D2B" w:rsidRDefault="00B2573F" w:rsidP="00B2573F">
      <w:pPr>
        <w:pStyle w:val="a3"/>
        <w:rPr>
          <w:kern w:val="0"/>
        </w:rPr>
      </w:pPr>
      <w:r w:rsidRPr="001A3D2B">
        <w:rPr>
          <w:kern w:val="0"/>
        </w:rPr>
        <w:t xml:space="preserve">Keywords: Bibliometric Studies, Domestic Databases, Manuscripts, </w:t>
      </w:r>
      <w:r w:rsidR="00D5664A">
        <w:rPr>
          <w:kern w:val="0"/>
        </w:rPr>
        <w:t>MEDLINE</w:t>
      </w:r>
      <w:r w:rsidRPr="001A3D2B">
        <w:rPr>
          <w:kern w:val="0"/>
        </w:rPr>
        <w:t>, Research, Transplantation</w:t>
      </w:r>
    </w:p>
    <w:p w:rsidR="00E16370" w:rsidRDefault="00E16370" w:rsidP="00E16370">
      <w:pPr>
        <w:pStyle w:val="a3"/>
        <w:rPr>
          <w:kern w:val="0"/>
        </w:rPr>
      </w:pPr>
      <w:r>
        <w:rPr>
          <w:rFonts w:hint="eastAsia"/>
          <w:kern w:val="0"/>
        </w:rPr>
        <w:t xml:space="preserve">? </w:t>
      </w:r>
      <w:r>
        <w:rPr>
          <w:kern w:val="0"/>
        </w:rPr>
        <w:t xml:space="preserve">O’Sullivan, K.E. and Hurley, J.P. (2014), The 100 most cited publications in transplantation. </w:t>
      </w:r>
      <w:r>
        <w:rPr>
          <w:i/>
          <w:iCs/>
          <w:kern w:val="0"/>
        </w:rPr>
        <w:t>Annals of Transplantation</w:t>
      </w:r>
      <w:r>
        <w:rPr>
          <w:kern w:val="0"/>
        </w:rPr>
        <w:t xml:space="preserve">, </w:t>
      </w:r>
      <w:r>
        <w:rPr>
          <w:b/>
          <w:bCs/>
          <w:kern w:val="0"/>
        </w:rPr>
        <w:t>19</w:t>
      </w:r>
      <w:r>
        <w:rPr>
          <w:kern w:val="0"/>
        </w:rPr>
        <w:t>, 436-443.</w:t>
      </w:r>
    </w:p>
    <w:p w:rsidR="00E16370" w:rsidRPr="001A3D2B" w:rsidRDefault="00E16370" w:rsidP="00E16370">
      <w:pPr>
        <w:pStyle w:val="a3"/>
      </w:pPr>
      <w:r w:rsidRPr="001A3D2B">
        <w:t xml:space="preserve">Full Text: </w:t>
      </w:r>
      <w:hyperlink r:id="rId985" w:history="1">
        <w:r w:rsidRPr="009B6A74">
          <w:rPr>
            <w:rStyle w:val="a5"/>
          </w:rPr>
          <w:t>2014\Ann Tra19, 436.pdf</w:t>
        </w:r>
      </w:hyperlink>
    </w:p>
    <w:p w:rsidR="00E16370" w:rsidRDefault="00E16370" w:rsidP="00E16370">
      <w:pPr>
        <w:pStyle w:val="a3"/>
        <w:rPr>
          <w:kern w:val="0"/>
        </w:rPr>
      </w:pPr>
      <w:r>
        <w:rPr>
          <w:kern w:val="0"/>
        </w:rPr>
        <w:t xml:space="preserve">Abstract: Bibliometric analyses are viewed as a proxy marker of a papers influence and therefore an analysis of the most influential papers published in recent decades. This study is a citation analysis of the top 100 most cited papers in transplantation. We hypothesized that the field of transplantation could serve as an exemplar model of an area in which advancement of the specialty could be heavily attributed to translational research. This paper represents the first use of this technique of bibliometric analysis in the context of transplantation as a whole and also to subdivide the top cited papers within the field according to clinical versus scientific origin. Papers ranking in the top 100 were published in 16 journals. A total of 48 of </w:t>
      </w:r>
      <w:r>
        <w:rPr>
          <w:kern w:val="0"/>
        </w:rPr>
        <w:lastRenderedPageBreak/>
        <w:t>the top 100 papers were scientific with 52 clinical. The majority of the top cited papers (67) originated in the USA and were published between 2000 and 2009. The New England Journal of Medicine published the majority of the top 100 papers in transplantation (24), followed by Transplantation (21) and Nature (18). This article provides a valuable perspective on this field by outlining the key publications and highlighting the importance of translational research in advancing the progress.</w:t>
      </w:r>
    </w:p>
    <w:p w:rsidR="00E16370" w:rsidRDefault="00E16370" w:rsidP="00E16370">
      <w:pPr>
        <w:pStyle w:val="a3"/>
        <w:rPr>
          <w:kern w:val="0"/>
        </w:rPr>
      </w:pPr>
      <w:r>
        <w:rPr>
          <w:kern w:val="0"/>
        </w:rPr>
        <w:t>Keywords: Analyses, Analysis, Article, Autologous Chondrocyte Transplantation, Bibliometric, Bibliometric Analysis, Bibliometrics, Bone-Marrow-Transplantation, Cadaveric Renal-Transplantation, Cell Transplantation, Citation, Citation Analysis, Citation-Classics, Clinical, Context, Deep Cartilage Defects, Endothelial Progenitor Cells, England, Field, First, Influence, Journal, Journals, Liver-Transplantation, Marker, Medicine, Mesenchymal Stem-Cells, Model, Mycophenolate-Mofetil, Organ Transplantation, Origin, Papers, Progress, Publications, Ranking, Recent, Research, Specialty, Top Cited Papers, Top-Cited, Translational Research, Transplantation, Unrelated Donors, USA</w:t>
      </w:r>
    </w:p>
    <w:p w:rsidR="003474F2" w:rsidRPr="001A3D2B" w:rsidRDefault="003474F2" w:rsidP="003474F2">
      <w:pPr>
        <w:pStyle w:val="1"/>
      </w:pPr>
      <w:r w:rsidRPr="001A3D2B">
        <w:br w:type="page"/>
      </w:r>
      <w:bookmarkStart w:id="506" w:name="_Toc420814530"/>
      <w:r w:rsidRPr="001A3D2B">
        <w:lastRenderedPageBreak/>
        <w:t>Title: Annals</w:t>
      </w:r>
      <w:r w:rsidR="00427468">
        <w:t xml:space="preserve"> of </w:t>
      </w:r>
      <w:r w:rsidRPr="001A3D2B">
        <w:t>Tropical Medicine</w:t>
      </w:r>
      <w:r w:rsidR="005853A9">
        <w:t xml:space="preserve"> and </w:t>
      </w:r>
      <w:r w:rsidRPr="001A3D2B">
        <w:t>Parasit</w:t>
      </w:r>
      <w:bookmarkStart w:id="507" w:name="_Toc211154166"/>
      <w:r w:rsidRPr="001A3D2B">
        <w:t>ology</w:t>
      </w:r>
      <w:bookmarkEnd w:id="506"/>
    </w:p>
    <w:p w:rsidR="003474F2" w:rsidRPr="001A3D2B" w:rsidRDefault="003474F2" w:rsidP="003474F2">
      <w:pPr>
        <w:pStyle w:val="12"/>
      </w:pPr>
      <w:r w:rsidRPr="001A3D2B">
        <w:t xml:space="preserve">Full Journal Title: </w:t>
      </w:r>
      <w:r w:rsidR="00206C8A">
        <w:fldChar w:fldCharType="begin"/>
      </w:r>
      <w:r w:rsidR="00FD158B">
        <w:instrText>HYPERLINK "http://thesiu</w:instrText>
      </w:r>
      <w:bookmarkEnd w:id="507"/>
      <w:r w:rsidR="00FD158B">
        <w:instrText>s.ingentaselect.com/vl=776195/cl=47/nw=1/rpsv/cw/maney/00034983/contp1.htm"</w:instrText>
      </w:r>
      <w:r w:rsidR="00206C8A">
        <w:fldChar w:fldCharType="separate"/>
      </w:r>
      <w:r w:rsidRPr="001A3D2B">
        <w:rPr>
          <w:rStyle w:val="a5"/>
        </w:rPr>
        <w:t>Annals</w:t>
      </w:r>
      <w:r w:rsidR="00427468">
        <w:rPr>
          <w:rStyle w:val="a5"/>
        </w:rPr>
        <w:t xml:space="preserve"> of </w:t>
      </w:r>
      <w:r w:rsidRPr="001A3D2B">
        <w:rPr>
          <w:rStyle w:val="a5"/>
        </w:rPr>
        <w:t>Tropical Medicine</w:t>
      </w:r>
      <w:r w:rsidR="005853A9">
        <w:rPr>
          <w:rStyle w:val="a5"/>
        </w:rPr>
        <w:t xml:space="preserve"> and </w:t>
      </w:r>
      <w:r w:rsidRPr="001A3D2B">
        <w:rPr>
          <w:rStyle w:val="a5"/>
        </w:rPr>
        <w:t>Parasitology</w:t>
      </w:r>
      <w:r w:rsidR="00206C8A">
        <w:fldChar w:fldCharType="end"/>
      </w:r>
    </w:p>
    <w:p w:rsidR="003474F2" w:rsidRPr="001A3D2B" w:rsidRDefault="003474F2" w:rsidP="003474F2">
      <w:pPr>
        <w:pStyle w:val="12"/>
      </w:pPr>
      <w:r w:rsidRPr="001A3D2B">
        <w:t>ISO Abbreviated Title: Ann. Trop. Med. Parasitol.</w:t>
      </w:r>
    </w:p>
    <w:p w:rsidR="003474F2" w:rsidRPr="001A3D2B" w:rsidRDefault="003474F2" w:rsidP="003474F2">
      <w:pPr>
        <w:pStyle w:val="12"/>
      </w:pPr>
      <w:r w:rsidRPr="001A3D2B">
        <w:t>JCR Abbreviated Title: Ann Trop Med Parasit</w:t>
      </w:r>
    </w:p>
    <w:p w:rsidR="003474F2" w:rsidRPr="001A3D2B" w:rsidRDefault="003474F2" w:rsidP="003474F2">
      <w:pPr>
        <w:pStyle w:val="12"/>
      </w:pPr>
      <w:r w:rsidRPr="001A3D2B">
        <w:t>ISSN: 0003-4983</w:t>
      </w:r>
    </w:p>
    <w:p w:rsidR="003474F2" w:rsidRPr="001A3D2B" w:rsidRDefault="003474F2" w:rsidP="003474F2">
      <w:pPr>
        <w:pStyle w:val="12"/>
      </w:pPr>
      <w:r w:rsidRPr="001A3D2B">
        <w:t>Issues/Year: 8</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Carfax Publishing</w:t>
      </w:r>
    </w:p>
    <w:p w:rsidR="003474F2" w:rsidRPr="001A3D2B" w:rsidRDefault="003474F2" w:rsidP="003474F2">
      <w:pPr>
        <w:pStyle w:val="12"/>
      </w:pPr>
      <w:r w:rsidRPr="001A3D2B">
        <w:t>Publisher Address: Rankine Rd, Basingstoke RG24 8PR, Hants, England</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Public, Environmental &amp; Occupational Health: Impact Factor, 0.989, 50/85 (1999); Impact Factor 1.049, 50/88 (2001)</w:t>
      </w:r>
    </w:p>
    <w:p w:rsidR="003474F2" w:rsidRPr="001A3D2B" w:rsidRDefault="003474F2" w:rsidP="003474F2">
      <w:pPr>
        <w:pStyle w:val="12"/>
      </w:pPr>
      <w:r w:rsidRPr="001A3D2B">
        <w:t>Parasitology: Impact Factor, 0.989, (1999); Impact Factor 1.049, 10/22 (2001)</w:t>
      </w:r>
    </w:p>
    <w:p w:rsidR="003474F2" w:rsidRPr="001A3D2B" w:rsidRDefault="003474F2" w:rsidP="003474F2">
      <w:pPr>
        <w:pStyle w:val="12"/>
      </w:pPr>
      <w:r w:rsidRPr="001A3D2B">
        <w:t>Tropical Medicine: Impact Factor, 0.989, (1999); Impact Factor 1.049, 4/12 (2001)</w:t>
      </w:r>
    </w:p>
    <w:p w:rsidR="003474F2" w:rsidRPr="001A3D2B" w:rsidRDefault="003474F2" w:rsidP="003474F2">
      <w:pPr>
        <w:pStyle w:val="a3"/>
      </w:pPr>
      <w:r w:rsidRPr="001A3D2B">
        <w:t>? Utzinger, J.</w:t>
      </w:r>
      <w:r w:rsidR="005853A9">
        <w:t xml:space="preserve"> and </w:t>
      </w:r>
      <w:r w:rsidRPr="001A3D2B">
        <w:t>Keiser, J. (2006), Urbanization</w:t>
      </w:r>
      <w:r w:rsidR="005853A9">
        <w:t xml:space="preserve"> and </w:t>
      </w:r>
      <w:r w:rsidRPr="001A3D2B">
        <w:t>tropical health - then</w:t>
      </w:r>
      <w:r w:rsidR="005853A9">
        <w:t xml:space="preserve"> and </w:t>
      </w:r>
      <w:r w:rsidRPr="001A3D2B">
        <w:t xml:space="preserve">now. </w:t>
      </w:r>
      <w:r w:rsidRPr="001A3D2B">
        <w:rPr>
          <w:i/>
          <w:iCs/>
        </w:rPr>
        <w:t>Annals</w:t>
      </w:r>
      <w:r w:rsidR="00427468">
        <w:rPr>
          <w:i/>
          <w:iCs/>
        </w:rPr>
        <w:t xml:space="preserve"> of </w:t>
      </w:r>
      <w:r w:rsidRPr="001A3D2B">
        <w:rPr>
          <w:i/>
          <w:iCs/>
        </w:rPr>
        <w:t>Tropical Medicine</w:t>
      </w:r>
      <w:r w:rsidR="005853A9">
        <w:rPr>
          <w:i/>
          <w:iCs/>
        </w:rPr>
        <w:t xml:space="preserve"> and </w:t>
      </w:r>
      <w:r w:rsidRPr="001A3D2B">
        <w:rPr>
          <w:i/>
          <w:iCs/>
        </w:rPr>
        <w:t>Parasitology</w:t>
      </w:r>
      <w:r w:rsidRPr="001A3D2B">
        <w:t xml:space="preserve">, </w:t>
      </w:r>
      <w:r w:rsidRPr="001A3D2B">
        <w:rPr>
          <w:b/>
          <w:bCs/>
        </w:rPr>
        <w:t>100</w:t>
      </w:r>
      <w:r w:rsidRPr="001A3D2B">
        <w:t xml:space="preserve"> (5-6), 517-533.</w:t>
      </w:r>
    </w:p>
    <w:p w:rsidR="003474F2" w:rsidRPr="001A3D2B" w:rsidRDefault="003474F2" w:rsidP="003474F2">
      <w:pPr>
        <w:pStyle w:val="a3"/>
      </w:pPr>
      <w:r w:rsidRPr="001A3D2B">
        <w:t>Abstract: Since</w:t>
      </w:r>
      <w:r w:rsidR="003A1917">
        <w:t xml:space="preserve"> the </w:t>
      </w:r>
      <w:r w:rsidRPr="001A3D2B">
        <w:t>launch</w:t>
      </w:r>
      <w:r w:rsidR="00427468">
        <w:t xml:space="preserve"> of </w:t>
      </w:r>
      <w:r w:rsidR="003A1917">
        <w:t xml:space="preserve">the </w:t>
      </w:r>
      <w:r w:rsidRPr="001A3D2B">
        <w:t>Annals</w:t>
      </w:r>
      <w:r w:rsidR="00427468">
        <w:t xml:space="preserve"> of </w:t>
      </w:r>
      <w:r w:rsidRPr="001A3D2B">
        <w:t>Tropical Medicine</w:t>
      </w:r>
      <w:r w:rsidR="005853A9">
        <w:t xml:space="preserve"> and </w:t>
      </w:r>
      <w:r w:rsidRPr="001A3D2B">
        <w:t>Parasitology 100 years ago,</w:t>
      </w:r>
      <w:r w:rsidR="003A1917">
        <w:t xml:space="preserve"> the </w:t>
      </w:r>
      <w:r w:rsidRPr="001A3D2B">
        <w:t>percentage</w:t>
      </w:r>
      <w:r w:rsidR="00427468">
        <w:t xml:space="preserve"> of </w:t>
      </w:r>
      <w:r w:rsidR="003A1917">
        <w:t xml:space="preserve">the </w:t>
      </w:r>
      <w:r w:rsidRPr="001A3D2B">
        <w:t>world</w:t>
      </w:r>
      <w:r w:rsidR="00700038">
        <w:t>’</w:t>
      </w:r>
      <w:r w:rsidR="00C13DDC">
        <w:t>s</w:t>
      </w:r>
      <w:r w:rsidRPr="001A3D2B">
        <w:t xml:space="preserve"> population living in urban settings has more than tripled</w:t>
      </w:r>
      <w:r w:rsidR="005853A9">
        <w:t xml:space="preserve"> and </w:t>
      </w:r>
      <w:r w:rsidRPr="001A3D2B">
        <w:t>is now approaching 50%. Urbanization will continue at a high pace, particularly in</w:t>
      </w:r>
      <w:r w:rsidR="003A1917">
        <w:t xml:space="preserve"> the </w:t>
      </w:r>
      <w:r w:rsidRPr="001A3D2B">
        <w:t>less developed regions</w:t>
      </w:r>
      <w:r w:rsidR="00427468">
        <w:t xml:space="preserve"> of </w:t>
      </w:r>
      <w:r w:rsidRPr="001A3D2B">
        <w:t>Africa</w:t>
      </w:r>
      <w:r w:rsidR="005853A9">
        <w:t xml:space="preserve"> and </w:t>
      </w:r>
      <w:r w:rsidRPr="001A3D2B">
        <w:t>Asia</w:t>
      </w:r>
      <w:r w:rsidR="00A37C1D">
        <w:t>. The</w:t>
      </w:r>
      <w:r w:rsidR="003A1917">
        <w:t xml:space="preserve"> </w:t>
      </w:r>
      <w:r w:rsidRPr="001A3D2B">
        <w:t>profound demographic, ecological</w:t>
      </w:r>
      <w:r w:rsidR="005853A9">
        <w:t xml:space="preserve"> and </w:t>
      </w:r>
      <w:r w:rsidRPr="001A3D2B">
        <w:t>socio-economic transformations that accompany</w:t>
      </w:r>
      <w:r w:rsidR="003A1917">
        <w:t xml:space="preserve"> the </w:t>
      </w:r>
      <w:r w:rsidRPr="001A3D2B">
        <w:t>process</w:t>
      </w:r>
      <w:r w:rsidR="00427468">
        <w:t xml:space="preserve"> of </w:t>
      </w:r>
      <w:r w:rsidRPr="001A3D2B">
        <w:t>urbanization have important impacts on health</w:t>
      </w:r>
      <w:r w:rsidR="005853A9">
        <w:t xml:space="preserve"> and </w:t>
      </w:r>
      <w:r w:rsidRPr="001A3D2B">
        <w:t>well-being. In industrialized countries, urbanization led to</w:t>
      </w:r>
      <w:r w:rsidR="003A1917">
        <w:t xml:space="preserve"> the </w:t>
      </w:r>
      <w:r w:rsidRPr="001A3D2B">
        <w:t xml:space="preserve">so-called </w:t>
      </w:r>
      <w:r w:rsidR="00700038">
        <w:t>‘</w:t>
      </w:r>
      <w:r w:rsidRPr="001A3D2B">
        <w:t>epidemiological transition</w:t>
      </w:r>
      <w:r w:rsidR="00700038">
        <w:t>’</w:t>
      </w:r>
      <w:r w:rsidRPr="001A3D2B">
        <w:t>, from acute infectious</w:t>
      </w:r>
      <w:r w:rsidR="005853A9">
        <w:t xml:space="preserve"> and </w:t>
      </w:r>
      <w:r w:rsidRPr="001A3D2B">
        <w:t>deficiency diseases to chronic non-communicable diseases, many decades ago. In</w:t>
      </w:r>
      <w:r w:rsidR="003A1917">
        <w:t xml:space="preserve"> the </w:t>
      </w:r>
      <w:r w:rsidRPr="001A3D2B">
        <w:t>developing world, surprisingly little research has been carried out on</w:t>
      </w:r>
      <w:r w:rsidR="003A1917">
        <w:t xml:space="preserve"> the </w:t>
      </w:r>
      <w:r w:rsidRPr="001A3D2B">
        <w:t>health-related aspects</w:t>
      </w:r>
      <w:r w:rsidR="00427468">
        <w:t xml:space="preserve"> of </w:t>
      </w:r>
      <w:r w:rsidRPr="001A3D2B">
        <w:t>urbanization. In a temporal analysis</w:t>
      </w:r>
      <w:r w:rsidR="00427468">
        <w:t xml:space="preserve"> of </w:t>
      </w:r>
      <w:r w:rsidRPr="001A3D2B">
        <w:t>publications in</w:t>
      </w:r>
      <w:r w:rsidR="003A1917">
        <w:t xml:space="preserve"> the </w:t>
      </w:r>
      <w:r w:rsidRPr="001A3D2B">
        <w:t>Annals</w:t>
      </w:r>
      <w:r w:rsidR="00427468">
        <w:t xml:space="preserve"> of </w:t>
      </w:r>
      <w:r w:rsidRPr="001A3D2B">
        <w:t>Tropical Medicine</w:t>
      </w:r>
      <w:r w:rsidR="005853A9">
        <w:t xml:space="preserve"> and </w:t>
      </w:r>
      <w:r w:rsidRPr="001A3D2B">
        <w:t>Parasitology, for example, in which</w:t>
      </w:r>
      <w:r w:rsidR="003A1917">
        <w:t xml:space="preserve"> the </w:t>
      </w:r>
      <w:r w:rsidRPr="001A3D2B">
        <w:t>first volume in every decade from 1907 was examined, only 16 (2.6%)</w:t>
      </w:r>
      <w:r w:rsidR="00427468">
        <w:t xml:space="preserve"> of </w:t>
      </w:r>
      <w:r w:rsidR="003A1917">
        <w:t xml:space="preserve">the </w:t>
      </w:r>
      <w:r w:rsidRPr="001A3D2B">
        <w:t>604 articles investigated focused on epidemiological and/or public-health issues in urban tropical settings. This review begins with</w:t>
      </w:r>
      <w:r w:rsidR="003A1917">
        <w:t xml:space="preserve"> the </w:t>
      </w:r>
      <w:r w:rsidRPr="001A3D2B">
        <w:t xml:space="preserve">question </w:t>
      </w:r>
      <w:r w:rsidR="00700038">
        <w:t>‘</w:t>
      </w:r>
      <w:r w:rsidRPr="001A3D2B">
        <w:t>what is urban?</w:t>
      </w:r>
      <w:r w:rsidR="00700038">
        <w:t>’</w:t>
      </w:r>
      <w:r w:rsidR="005853A9">
        <w:t xml:space="preserve"> and </w:t>
      </w:r>
      <w:r w:rsidRPr="001A3D2B">
        <w:t>then provides a summary</w:t>
      </w:r>
      <w:r w:rsidR="00427468">
        <w:t xml:space="preserve"> of </w:t>
      </w:r>
      <w:r w:rsidR="003A1917">
        <w:t xml:space="preserve">the </w:t>
      </w:r>
      <w:r w:rsidRPr="001A3D2B">
        <w:t>trends seen in urbanization,</w:t>
      </w:r>
      <w:r w:rsidR="005853A9">
        <w:t xml:space="preserve"> and </w:t>
      </w:r>
      <w:r w:rsidRPr="001A3D2B">
        <w:t>its impacts on human health, over</w:t>
      </w:r>
      <w:r w:rsidR="003A1917">
        <w:t xml:space="preserve"> the </w:t>
      </w:r>
      <w:r w:rsidRPr="001A3D2B">
        <w:t>past century, on both a global</w:t>
      </w:r>
      <w:r w:rsidR="005853A9">
        <w:t xml:space="preserve"> and </w:t>
      </w:r>
      <w:r w:rsidRPr="001A3D2B">
        <w:t>regional scale. For</w:t>
      </w:r>
      <w:r w:rsidR="003A1917">
        <w:t xml:space="preserve"> the </w:t>
      </w:r>
      <w:r w:rsidRPr="001A3D2B">
        <w:t>main tropical diseases, estimates</w:t>
      </w:r>
      <w:r w:rsidR="00427468">
        <w:t xml:space="preserve"> of </w:t>
      </w:r>
      <w:r w:rsidR="003A1917">
        <w:t xml:space="preserve">the </w:t>
      </w:r>
      <w:r w:rsidRPr="001A3D2B">
        <w:t>at-risk populations</w:t>
      </w:r>
      <w:r w:rsidR="005853A9">
        <w:t xml:space="preserve"> and </w:t>
      </w:r>
      <w:r w:rsidR="003A1917">
        <w:t xml:space="preserve">the </w:t>
      </w:r>
      <w:r w:rsidRPr="001A3D2B">
        <w:t>numbers</w:t>
      </w:r>
      <w:r w:rsidR="00427468">
        <w:t xml:space="preserve"> of </w:t>
      </w:r>
      <w:r w:rsidRPr="001A3D2B">
        <w:t>cases are updated</w:t>
      </w:r>
      <w:r w:rsidR="005853A9">
        <w:t xml:space="preserve"> and </w:t>
      </w:r>
      <w:r w:rsidRPr="001A3D2B">
        <w:t>then split into urban</w:t>
      </w:r>
      <w:r w:rsidR="005853A9">
        <w:t xml:space="preserve"> and </w:t>
      </w:r>
      <w:r w:rsidRPr="001A3D2B">
        <w:t>non-urban categories</w:t>
      </w:r>
      <w:r w:rsidR="00A37C1D">
        <w:t>. The</w:t>
      </w:r>
      <w:r w:rsidR="003A1917">
        <w:t xml:space="preserve"> </w:t>
      </w:r>
      <w:r w:rsidRPr="001A3D2B">
        <w:t>inhabitants</w:t>
      </w:r>
      <w:r w:rsidR="00427468">
        <w:t xml:space="preserve"> of </w:t>
      </w:r>
      <w:r w:rsidRPr="001A3D2B">
        <w:t>urban slums are particularly vulnerable to many</w:t>
      </w:r>
      <w:r w:rsidR="00427468">
        <w:t xml:space="preserve"> of </w:t>
      </w:r>
      <w:r w:rsidRPr="001A3D2B">
        <w:t>these diseases</w:t>
      </w:r>
      <w:r w:rsidR="005853A9">
        <w:t xml:space="preserve"> and </w:t>
      </w:r>
      <w:r w:rsidRPr="001A3D2B">
        <w:t xml:space="preserve">require special attention if internationally-set targets for development are to be met. Heterogeneity, a </w:t>
      </w:r>
      <w:r w:rsidRPr="001A3D2B">
        <w:lastRenderedPageBreak/>
        <w:t>major feature</w:t>
      </w:r>
      <w:r w:rsidR="00427468">
        <w:t xml:space="preserve"> of </w:t>
      </w:r>
      <w:r w:rsidRPr="001A3D2B">
        <w:t>urban settings in</w:t>
      </w:r>
      <w:r w:rsidR="003A1917">
        <w:t xml:space="preserve"> the </w:t>
      </w:r>
      <w:r w:rsidRPr="001A3D2B">
        <w:t>tropics that complicates all efforts at health improvement, is demonstrated in an exploration</w:t>
      </w:r>
      <w:r w:rsidR="00427468">
        <w:t xml:space="preserve"> of </w:t>
      </w:r>
      <w:r w:rsidRPr="001A3D2B">
        <w:t>a densely populated municipality</w:t>
      </w:r>
      <w:r w:rsidR="00427468">
        <w:t xml:space="preserve"> of </w:t>
      </w:r>
      <w:r w:rsidRPr="001A3D2B">
        <w:t>a large West African town. Urban planners, public-health experts</w:t>
      </w:r>
      <w:r w:rsidR="005853A9">
        <w:t xml:space="preserve"> and </w:t>
      </w:r>
      <w:r w:rsidRPr="001A3D2B">
        <w:t>other relevant stakeholders clearly need to make much more progress in alleviating poverty</w:t>
      </w:r>
      <w:r w:rsidR="005853A9">
        <w:t xml:space="preserve"> and </w:t>
      </w:r>
      <w:r w:rsidRPr="001A3D2B">
        <w:t>enhancing</w:t>
      </w:r>
      <w:r w:rsidR="003A1917">
        <w:t xml:space="preserve"> the </w:t>
      </w:r>
      <w:r w:rsidRPr="001A3D2B">
        <w:t>health</w:t>
      </w:r>
      <w:r w:rsidR="005853A9">
        <w:t xml:space="preserve"> and </w:t>
      </w:r>
      <w:r w:rsidRPr="001A3D2B">
        <w:t>well-being</w:t>
      </w:r>
      <w:r w:rsidR="00427468">
        <w:t xml:space="preserve"> of </w:t>
      </w:r>
      <w:r w:rsidRPr="001A3D2B">
        <w:t>urban residents, in an equity-effective</w:t>
      </w:r>
      <w:r w:rsidR="005853A9">
        <w:t xml:space="preserve"> and </w:t>
      </w:r>
      <w:r w:rsidRPr="001A3D2B">
        <w:t>sustainable manner.</w:t>
      </w:r>
    </w:p>
    <w:p w:rsidR="003474F2" w:rsidRPr="001A3D2B" w:rsidRDefault="003474F2" w:rsidP="003474F2">
      <w:pPr>
        <w:pStyle w:val="a3"/>
      </w:pPr>
      <w:r w:rsidRPr="001A3D2B">
        <w:t>Keywords: Africa, Analysis, Asia, Chronic, Developing, Developing World, Development, Diseases, Estimates, Experts, Feature, First, Health, Health Improvement, Human, Human Health, Impacts, Improvement, Living, Municipality, Nonurban, Population, Populations, Poverty, Public Health, Publications, Regional, Regional Scale, Regional-Scale, Research, Review, Scale, Stakeholders, Sustainable, Temporal, Temporal Analysis, Trends, Tropical, Urban, Urbanization, Volume, World</w:t>
      </w:r>
    </w:p>
    <w:p w:rsidR="003474F2" w:rsidRPr="001A3D2B" w:rsidRDefault="003474F2" w:rsidP="003474F2">
      <w:pPr>
        <w:pStyle w:val="1"/>
      </w:pPr>
      <w:r w:rsidRPr="001A3D2B">
        <w:br w:type="page"/>
      </w:r>
      <w:bookmarkStart w:id="508" w:name="_Toc420814531"/>
      <w:r w:rsidRPr="001A3D2B">
        <w:lastRenderedPageBreak/>
        <w:t>Title: Annals</w:t>
      </w:r>
      <w:r w:rsidR="00427468">
        <w:t xml:space="preserve"> of </w:t>
      </w:r>
      <w:r w:rsidRPr="001A3D2B">
        <w:t>Vascular Surgery</w:t>
      </w:r>
      <w:bookmarkEnd w:id="508"/>
    </w:p>
    <w:p w:rsidR="003474F2" w:rsidRPr="001A3D2B" w:rsidRDefault="003474F2" w:rsidP="003474F2">
      <w:pPr>
        <w:pStyle w:val="12"/>
      </w:pPr>
      <w:r w:rsidRPr="001A3D2B">
        <w:t xml:space="preserve">Full Journal Title: </w:t>
      </w:r>
      <w:hyperlink r:id="rId986" w:anchor="A3" w:history="1">
        <w:r w:rsidRPr="001A3D2B">
          <w:rPr>
            <w:rStyle w:val="a5"/>
            <w:iCs/>
          </w:rPr>
          <w:t>Annals</w:t>
        </w:r>
        <w:r w:rsidR="00427468">
          <w:rPr>
            <w:rStyle w:val="a5"/>
            <w:iCs/>
          </w:rPr>
          <w:t xml:space="preserve"> of </w:t>
        </w:r>
        <w:r w:rsidRPr="001A3D2B">
          <w:rPr>
            <w:rStyle w:val="a5"/>
            <w:iCs/>
          </w:rPr>
          <w:t>Vascular Surgery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0066-4200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Klein, S.</w:t>
      </w:r>
      <w:r w:rsidR="005853A9">
        <w:t xml:space="preserve"> and </w:t>
      </w:r>
      <w:r w:rsidRPr="001A3D2B">
        <w:t>Hage, J.J. (2006), Measurement, calculation,</w:t>
      </w:r>
      <w:r w:rsidR="005853A9">
        <w:t xml:space="preserve"> and </w:t>
      </w:r>
      <w:r w:rsidRPr="001A3D2B">
        <w:t>normal range</w:t>
      </w:r>
      <w:r w:rsidR="00427468">
        <w:t xml:space="preserve"> of </w:t>
      </w:r>
      <w:r w:rsidR="003A1917">
        <w:t xml:space="preserve">the </w:t>
      </w:r>
      <w:r w:rsidRPr="001A3D2B">
        <w:t>ankle-arm index: A bibliometric analysis</w:t>
      </w:r>
      <w:r w:rsidR="005853A9">
        <w:t xml:space="preserve"> and </w:t>
      </w:r>
      <w:r w:rsidRPr="001A3D2B">
        <w:t xml:space="preserve">recommendation for standardization. </w:t>
      </w:r>
      <w:r w:rsidRPr="001A3D2B">
        <w:rPr>
          <w:i/>
          <w:iCs/>
        </w:rPr>
        <w:t>Annals</w:t>
      </w:r>
      <w:r w:rsidR="00427468">
        <w:rPr>
          <w:i/>
          <w:iCs/>
        </w:rPr>
        <w:t xml:space="preserve"> of </w:t>
      </w:r>
      <w:r w:rsidRPr="001A3D2B">
        <w:rPr>
          <w:i/>
          <w:iCs/>
        </w:rPr>
        <w:t>Vascular Surgery</w:t>
      </w:r>
      <w:r w:rsidRPr="001A3D2B">
        <w:t xml:space="preserve">, </w:t>
      </w:r>
      <w:r w:rsidRPr="001A3D2B">
        <w:rPr>
          <w:b/>
          <w:bCs/>
        </w:rPr>
        <w:t>20</w:t>
      </w:r>
      <w:r w:rsidRPr="001A3D2B">
        <w:t xml:space="preserve"> (2), 282-292.</w:t>
      </w:r>
    </w:p>
    <w:p w:rsidR="003474F2" w:rsidRPr="001A3D2B" w:rsidRDefault="003474F2" w:rsidP="003474F2">
      <w:pPr>
        <w:pStyle w:val="a3"/>
      </w:pPr>
      <w:r w:rsidRPr="001A3D2B">
        <w:t xml:space="preserve">Full Text: </w:t>
      </w:r>
      <w:hyperlink r:id="rId987" w:history="1">
        <w:r w:rsidRPr="001A3D2B">
          <w:rPr>
            <w:rStyle w:val="a5"/>
          </w:rPr>
          <w:t>2006\Ann Vas Sur20, 282.pdf</w:t>
        </w:r>
      </w:hyperlink>
    </w:p>
    <w:p w:rsidR="003474F2" w:rsidRPr="001A3D2B" w:rsidRDefault="003474F2" w:rsidP="003474F2">
      <w:pPr>
        <w:pStyle w:val="a3"/>
      </w:pPr>
      <w:r w:rsidRPr="001A3D2B">
        <w:t>Abstract: Since its introduction in 1950, a variety</w:t>
      </w:r>
      <w:r w:rsidR="00427468">
        <w:t xml:space="preserve"> of </w:t>
      </w:r>
      <w:r w:rsidRPr="001A3D2B">
        <w:t>methods</w:t>
      </w:r>
      <w:r w:rsidR="00427468">
        <w:t xml:space="preserve"> of </w:t>
      </w:r>
      <w:r w:rsidRPr="001A3D2B">
        <w:t>measurement</w:t>
      </w:r>
      <w:r w:rsidR="005853A9">
        <w:t xml:space="preserve"> and </w:t>
      </w:r>
      <w:r w:rsidRPr="001A3D2B">
        <w:t>calculation have been used to establish</w:t>
      </w:r>
      <w:r w:rsidR="003A1917">
        <w:t xml:space="preserve"> the </w:t>
      </w:r>
      <w:r w:rsidRPr="001A3D2B">
        <w:t>ankle-arm index (AAI). This has resulted in variations</w:t>
      </w:r>
      <w:r w:rsidR="00427468">
        <w:t xml:space="preserve"> of </w:t>
      </w:r>
      <w:r w:rsidRPr="001A3D2B">
        <w:t>its normal range</w:t>
      </w:r>
      <w:r w:rsidR="005853A9">
        <w:t xml:space="preserve"> and </w:t>
      </w:r>
      <w:r w:rsidRPr="001A3D2B">
        <w:t>difficulty in comparing study results. Hence,</w:t>
      </w:r>
      <w:r w:rsidR="003A1917">
        <w:t xml:space="preserve"> the </w:t>
      </w:r>
      <w:r w:rsidRPr="001A3D2B">
        <w:t>objective</w:t>
      </w:r>
      <w:r w:rsidR="00427468">
        <w:t xml:space="preserve"> of </w:t>
      </w:r>
      <w:r w:rsidRPr="001A3D2B">
        <w:t>our study was to analyze</w:t>
      </w:r>
      <w:r w:rsidR="003A1917">
        <w:t xml:space="preserve"> the </w:t>
      </w:r>
      <w:r w:rsidRPr="001A3D2B">
        <w:t>disparate methods used to assess AAI</w:t>
      </w:r>
      <w:r w:rsidR="005853A9">
        <w:t xml:space="preserve"> and </w:t>
      </w:r>
      <w:r w:rsidRPr="001A3D2B">
        <w:t>its normal range</w:t>
      </w:r>
      <w:r w:rsidR="005853A9">
        <w:t xml:space="preserve"> and </w:t>
      </w:r>
      <w:r w:rsidRPr="001A3D2B">
        <w:t>to recommend a standardized method to assess AAI based on that analysis. We made an inventory</w:t>
      </w:r>
      <w:r w:rsidR="00427468">
        <w:t xml:space="preserve"> of </w:t>
      </w:r>
      <w:r w:rsidR="003A1917">
        <w:t xml:space="preserve">the </w:t>
      </w:r>
      <w:r w:rsidRPr="001A3D2B">
        <w:t>disparate AAI methods</w:t>
      </w:r>
      <w:r w:rsidR="005853A9">
        <w:t xml:space="preserve"> and </w:t>
      </w:r>
      <w:r w:rsidRPr="001A3D2B">
        <w:t>its normal range reported in 100 randomly selected publications</w:t>
      </w:r>
      <w:r w:rsidR="005853A9">
        <w:t xml:space="preserve"> and </w:t>
      </w:r>
      <w:r w:rsidRPr="001A3D2B">
        <w:t>recommend</w:t>
      </w:r>
      <w:r w:rsidR="003A1917">
        <w:t xml:space="preserve"> the </w:t>
      </w:r>
      <w:r w:rsidRPr="001A3D2B">
        <w:t>means</w:t>
      </w:r>
      <w:r w:rsidR="00427468">
        <w:t xml:space="preserve"> of </w:t>
      </w:r>
      <w:r w:rsidRPr="001A3D2B">
        <w:t>such standardization. We recommend that an experienced observer assess AAI with</w:t>
      </w:r>
      <w:r w:rsidR="003A1917">
        <w:t xml:space="preserve"> the </w:t>
      </w:r>
      <w:r w:rsidRPr="001A3D2B">
        <w:t>patient at rest in</w:t>
      </w:r>
      <w:r w:rsidR="003A1917">
        <w:t xml:space="preserve"> the </w:t>
      </w:r>
      <w:r w:rsidRPr="001A3D2B">
        <w:t>supine position</w:t>
      </w:r>
      <w:r w:rsidR="00A37C1D">
        <w:t>. The</w:t>
      </w:r>
      <w:r w:rsidR="003A1917">
        <w:t xml:space="preserve"> </w:t>
      </w:r>
      <w:r w:rsidRPr="001A3D2B">
        <w:t>width</w:t>
      </w:r>
      <w:r w:rsidR="00427468">
        <w:t xml:space="preserve"> of </w:t>
      </w:r>
      <w:r w:rsidR="003A1917">
        <w:t xml:space="preserve">the </w:t>
      </w:r>
      <w:r w:rsidRPr="001A3D2B">
        <w:t>sphygmometer cuffs should be 1.5 times that</w:t>
      </w:r>
      <w:r w:rsidR="00427468">
        <w:t xml:space="preserve"> of </w:t>
      </w:r>
      <w:r w:rsidR="003A1917">
        <w:t xml:space="preserve">the </w:t>
      </w:r>
      <w:r w:rsidRPr="001A3D2B">
        <w:t>extremity to be measured,</w:t>
      </w:r>
      <w:r w:rsidR="005853A9">
        <w:t xml:space="preserve"> and </w:t>
      </w:r>
      <w:r w:rsidRPr="001A3D2B">
        <w:t>brachial</w:t>
      </w:r>
      <w:r w:rsidR="005853A9">
        <w:t xml:space="preserve"> and </w:t>
      </w:r>
      <w:r w:rsidRPr="001A3D2B">
        <w:t>crural pulses should be detected using a Doppler device. Systolic pressures should be measured at both arms</w:t>
      </w:r>
      <w:r w:rsidR="005853A9">
        <w:t xml:space="preserve"> and </w:t>
      </w:r>
      <w:r w:rsidRPr="001A3D2B">
        <w:t>over</w:t>
      </w:r>
      <w:r w:rsidR="003A1917">
        <w:t xml:space="preserve"> the </w:t>
      </w:r>
      <w:r w:rsidRPr="001A3D2B">
        <w:t>anterior</w:t>
      </w:r>
      <w:r w:rsidR="005853A9">
        <w:t xml:space="preserve"> and </w:t>
      </w:r>
      <w:r w:rsidRPr="001A3D2B">
        <w:t>posterior arteries</w:t>
      </w:r>
      <w:r w:rsidR="00427468">
        <w:t xml:space="preserve"> of </w:t>
      </w:r>
      <w:r w:rsidRPr="001A3D2B">
        <w:t>both legs, with</w:t>
      </w:r>
      <w:r w:rsidR="003A1917">
        <w:t xml:space="preserve"> the </w:t>
      </w:r>
      <w:r w:rsidRPr="001A3D2B">
        <w:t>cuff placed just proximally to</w:t>
      </w:r>
      <w:r w:rsidR="003A1917">
        <w:t xml:space="preserve"> the </w:t>
      </w:r>
      <w:r w:rsidRPr="001A3D2B">
        <w:t>malleoli</w:t>
      </w:r>
      <w:r w:rsidR="00A37C1D">
        <w:t>. The</w:t>
      </w:r>
      <w:r w:rsidR="003A1917">
        <w:t xml:space="preserve"> </w:t>
      </w:r>
      <w:r w:rsidRPr="001A3D2B">
        <w:t>left arm pressure ought to be used as denominator</w:t>
      </w:r>
      <w:r w:rsidR="005853A9">
        <w:t xml:space="preserve"> and </w:t>
      </w:r>
      <w:r w:rsidR="003A1917">
        <w:t xml:space="preserve">the </w:t>
      </w:r>
      <w:r w:rsidRPr="001A3D2B">
        <w:t>mean</w:t>
      </w:r>
      <w:r w:rsidR="00427468">
        <w:t xml:space="preserve"> of </w:t>
      </w:r>
      <w:r w:rsidRPr="001A3D2B">
        <w:t>pressures</w:t>
      </w:r>
      <w:r w:rsidR="00427468">
        <w:t xml:space="preserve"> of </w:t>
      </w:r>
      <w:r w:rsidRPr="001A3D2B">
        <w:t>both crural arteries</w:t>
      </w:r>
      <w:r w:rsidR="00427468">
        <w:t xml:space="preserve"> of </w:t>
      </w:r>
      <w:r w:rsidRPr="001A3D2B">
        <w:t>each leg ought to be used for</w:t>
      </w:r>
      <w:r w:rsidR="003A1917">
        <w:t xml:space="preserve"> the </w:t>
      </w:r>
      <w:r w:rsidRPr="001A3D2B">
        <w:t>numerator</w:t>
      </w:r>
      <w:r w:rsidR="00427468">
        <w:t xml:space="preserve"> of </w:t>
      </w:r>
      <w:r w:rsidR="003A1917">
        <w:t xml:space="preserve">the </w:t>
      </w:r>
      <w:r w:rsidRPr="001A3D2B">
        <w:t>AAI for that leg. We advocate 0.90 as</w:t>
      </w:r>
      <w:r w:rsidR="003A1917">
        <w:t xml:space="preserve"> the </w:t>
      </w:r>
      <w:r w:rsidRPr="001A3D2B">
        <w:t>cut-off value to distinguish patients who need further arterial assessment.</w:t>
      </w:r>
    </w:p>
    <w:p w:rsidR="003474F2" w:rsidRPr="001A3D2B" w:rsidRDefault="003474F2" w:rsidP="003474F2">
      <w:pPr>
        <w:pStyle w:val="a3"/>
      </w:pPr>
      <w:r w:rsidRPr="001A3D2B">
        <w:t>Keywords: Analysis, Arm, Assessment, Bibliometric Analysis, Blood-Pressure, Brachial Pressure Index, Coronary-Heart-Disease, Defined Population, Extremity, Follow</w:t>
      </w:r>
      <w:r w:rsidR="0062028A">
        <w:t>-up,</w:t>
      </w:r>
      <w:r w:rsidRPr="001A3D2B">
        <w:t xml:space="preserve"> Index, Inventory, Leg, Lower-Extremities, Made, Measurement, Methods, Occlusive Disease, Patient, Patients, Peripheral Arterial-Disease, Position, Pressure, Publications, Range, Standardization, Systolic Pressures, Vascular-Disease</w:t>
      </w:r>
    </w:p>
    <w:p w:rsidR="00CA6DB2" w:rsidRDefault="00CA6DB2" w:rsidP="00CA6DB2">
      <w:pPr>
        <w:pStyle w:val="a3"/>
        <w:rPr>
          <w:kern w:val="0"/>
        </w:rPr>
      </w:pPr>
      <w:r>
        <w:rPr>
          <w:kern w:val="0"/>
        </w:rPr>
        <w:lastRenderedPageBreak/>
        <w:t>? Hu, Z.P., Wang, Z.W., Dai, X.F., Zhan, B.T., Ren, W., Li, L.C., Zhang, H. and Ren, Z.L. (2014), Outcomes</w:t>
      </w:r>
      <w:r w:rsidR="00427468">
        <w:rPr>
          <w:kern w:val="0"/>
        </w:rPr>
        <w:t xml:space="preserve"> of </w:t>
      </w:r>
      <w:r>
        <w:rPr>
          <w:kern w:val="0"/>
        </w:rPr>
        <w:t>surgical versus balloon angioplasty treatment for native coarctation</w:t>
      </w:r>
      <w:r w:rsidR="00427468">
        <w:rPr>
          <w:kern w:val="0"/>
        </w:rPr>
        <w:t xml:space="preserve"> of </w:t>
      </w:r>
      <w:r>
        <w:rPr>
          <w:kern w:val="0"/>
        </w:rPr>
        <w:t xml:space="preserve">the aorta: A meta-analysis. </w:t>
      </w:r>
      <w:r>
        <w:rPr>
          <w:i/>
          <w:iCs/>
          <w:kern w:val="0"/>
        </w:rPr>
        <w:t>Annals</w:t>
      </w:r>
      <w:r w:rsidR="00427468">
        <w:rPr>
          <w:i/>
          <w:iCs/>
          <w:kern w:val="0"/>
        </w:rPr>
        <w:t xml:space="preserve"> of </w:t>
      </w:r>
      <w:r>
        <w:rPr>
          <w:i/>
          <w:iCs/>
          <w:kern w:val="0"/>
        </w:rPr>
        <w:t>Vascular Surgery</w:t>
      </w:r>
      <w:r>
        <w:rPr>
          <w:kern w:val="0"/>
        </w:rPr>
        <w:t xml:space="preserve">, </w:t>
      </w:r>
      <w:r>
        <w:rPr>
          <w:b/>
          <w:bCs/>
          <w:kern w:val="0"/>
        </w:rPr>
        <w:t>28</w:t>
      </w:r>
      <w:r>
        <w:rPr>
          <w:kern w:val="0"/>
        </w:rPr>
        <w:t xml:space="preserve"> (2), 394-403.</w:t>
      </w:r>
    </w:p>
    <w:p w:rsidR="00CA6DB2" w:rsidRPr="00F219CA" w:rsidRDefault="00CA6DB2" w:rsidP="00CA6DB2">
      <w:pPr>
        <w:pStyle w:val="a3"/>
      </w:pPr>
      <w:r w:rsidRPr="00F219CA">
        <w:t xml:space="preserve">Full Text: </w:t>
      </w:r>
      <w:hyperlink r:id="rId988" w:history="1">
        <w:r w:rsidRPr="00CA6DB2">
          <w:rPr>
            <w:rStyle w:val="a5"/>
          </w:rPr>
          <w:t>2014\Ann Vas Sur28, 394.pdf</w:t>
        </w:r>
      </w:hyperlink>
    </w:p>
    <w:p w:rsidR="00CA6DB2" w:rsidRDefault="00CA6DB2" w:rsidP="00CA6DB2">
      <w:pPr>
        <w:pStyle w:val="a3"/>
        <w:rPr>
          <w:kern w:val="0"/>
        </w:rPr>
      </w:pPr>
      <w:r>
        <w:rPr>
          <w:kern w:val="0"/>
        </w:rPr>
        <w:t>Abstract: Background: Native coarctation</w:t>
      </w:r>
      <w:r w:rsidR="00427468">
        <w:rPr>
          <w:kern w:val="0"/>
        </w:rPr>
        <w:t xml:space="preserve"> of </w:t>
      </w:r>
      <w:r>
        <w:rPr>
          <w:kern w:val="0"/>
        </w:rPr>
        <w:t>the aorta (COA) accounts for 5-7%</w:t>
      </w:r>
      <w:r w:rsidR="00427468">
        <w:rPr>
          <w:kern w:val="0"/>
        </w:rPr>
        <w:t xml:space="preserve"> of </w:t>
      </w:r>
      <w:r>
        <w:rPr>
          <w:kern w:val="0"/>
        </w:rPr>
        <w:t>congenital heart disease. Open surgical treatment was the only choice until balloon angioplasty (BA) treatment was introduced as an alternative therapy for COA in the 1980s. BA treatment was thought to be a less invasive and potentially safer technique, and has been used on numerous patients. But as has been reported during the past 30 years, the risk</w:t>
      </w:r>
      <w:r w:rsidR="00427468">
        <w:rPr>
          <w:kern w:val="0"/>
        </w:rPr>
        <w:t xml:space="preserve"> of </w:t>
      </w:r>
      <w:r>
        <w:rPr>
          <w:kern w:val="0"/>
        </w:rPr>
        <w:t>aneurysm formation and recoarctation existed in either</w:t>
      </w:r>
      <w:r w:rsidR="00427468">
        <w:rPr>
          <w:kern w:val="0"/>
        </w:rPr>
        <w:t xml:space="preserve"> of </w:t>
      </w:r>
      <w:r>
        <w:rPr>
          <w:kern w:val="0"/>
        </w:rPr>
        <w:t>those 2 procedures. Unfortunately, follow-up for either type</w:t>
      </w:r>
      <w:r w:rsidR="00427468">
        <w:rPr>
          <w:kern w:val="0"/>
        </w:rPr>
        <w:t xml:space="preserve"> of </w:t>
      </w:r>
      <w:r>
        <w:rPr>
          <w:kern w:val="0"/>
        </w:rPr>
        <w:t>treatment has been limited, making it difficult to draw any meaningful conclusions as to which treatment option is superior. Our objective was to compare results</w:t>
      </w:r>
      <w:r w:rsidR="00427468">
        <w:rPr>
          <w:kern w:val="0"/>
        </w:rPr>
        <w:t xml:space="preserve"> of </w:t>
      </w:r>
      <w:r>
        <w:rPr>
          <w:kern w:val="0"/>
        </w:rPr>
        <w:t>2 therapeutic modalities to treat native COA: BA without stent implantation and surgery. Methods: We performed a meta-analysis</w:t>
      </w:r>
      <w:r w:rsidR="00427468">
        <w:rPr>
          <w:kern w:val="0"/>
        </w:rPr>
        <w:t xml:space="preserve"> of </w:t>
      </w:r>
      <w:r>
        <w:rPr>
          <w:kern w:val="0"/>
        </w:rPr>
        <w:t>controlled trials</w:t>
      </w:r>
      <w:r w:rsidR="00427468">
        <w:rPr>
          <w:kern w:val="0"/>
        </w:rPr>
        <w:t xml:space="preserve"> of </w:t>
      </w:r>
      <w:r>
        <w:rPr>
          <w:kern w:val="0"/>
        </w:rPr>
        <w:t>surgical versus BA treatment for native COA. MEDLINE, EMBASE, the Cochrane Central Register</w:t>
      </w:r>
      <w:r w:rsidR="00427468">
        <w:rPr>
          <w:kern w:val="0"/>
        </w:rPr>
        <w:t xml:space="preserve"> of </w:t>
      </w:r>
      <w:r>
        <w:rPr>
          <w:kern w:val="0"/>
        </w:rPr>
        <w:t>Controlled Trials, CINAHL, Web</w:t>
      </w:r>
      <w:r w:rsidR="00427468">
        <w:rPr>
          <w:kern w:val="0"/>
        </w:rPr>
        <w:t xml:space="preserve"> of </w:t>
      </w:r>
      <w:r>
        <w:rPr>
          <w:kern w:val="0"/>
        </w:rPr>
        <w:t>Science, and the Chinese Biomedical Database</w:t>
      </w:r>
      <w:r w:rsidR="00427468">
        <w:rPr>
          <w:kern w:val="0"/>
        </w:rPr>
        <w:t xml:space="preserve"> of </w:t>
      </w:r>
      <w:r>
        <w:rPr>
          <w:kern w:val="0"/>
        </w:rPr>
        <w:t>clinical trials were searched using PubMed and OVID. Controlled trials in which patients with COA were assigned to surgical repair or BA treatment were included. For each outcome, we evaluated the quality</w:t>
      </w:r>
      <w:r w:rsidR="00427468">
        <w:rPr>
          <w:kern w:val="0"/>
        </w:rPr>
        <w:t xml:space="preserve"> of </w:t>
      </w:r>
      <w:r>
        <w:rPr>
          <w:kern w:val="0"/>
        </w:rPr>
        <w:t>the evidence with reference to the Grading</w:t>
      </w:r>
      <w:r w:rsidR="00427468">
        <w:rPr>
          <w:kern w:val="0"/>
        </w:rPr>
        <w:t xml:space="preserve"> of </w:t>
      </w:r>
      <w:r>
        <w:rPr>
          <w:kern w:val="0"/>
        </w:rPr>
        <w:t>Recommendations Assessments, Development, and Evaluation criteria. We used RevMan 5.1 software (The Nordic Cochrane Centre, Copenhagen, Denmark) to analyze the data. Results: A literature search yielded 9 comparable studies, for a total</w:t>
      </w:r>
      <w:r w:rsidR="00427468">
        <w:rPr>
          <w:kern w:val="0"/>
        </w:rPr>
        <w:t xml:space="preserve"> of </w:t>
      </w:r>
      <w:r>
        <w:rPr>
          <w:kern w:val="0"/>
        </w:rPr>
        <w:t>623 patients,</w:t>
      </w:r>
      <w:r w:rsidR="00427468">
        <w:rPr>
          <w:kern w:val="0"/>
        </w:rPr>
        <w:t xml:space="preserve"> of </w:t>
      </w:r>
      <w:r>
        <w:rPr>
          <w:kern w:val="0"/>
        </w:rPr>
        <w:t>whom 378 and 245 were assigned to surgery and BA. Meta-analysis</w:t>
      </w:r>
      <w:r w:rsidR="00427468">
        <w:rPr>
          <w:kern w:val="0"/>
        </w:rPr>
        <w:t xml:space="preserve"> of </w:t>
      </w:r>
      <w:r>
        <w:rPr>
          <w:kern w:val="0"/>
        </w:rPr>
        <w:t>these studies showed no significant difference in postintervention gradient (inverse variance fixed mean difference: 1.44 [95% CI: -1.16 to 4.04]), midterm recoarctation (ManteleHaenszel [M-H] random odds ratio [OR]: 0.24 [95% CI: 0.04-1.58]), and long-term recoarctation (M-H fixed OR: 0.61 [95% CI: 0.34-1.11]). BA reduces the risk</w:t>
      </w:r>
      <w:r w:rsidR="00427468">
        <w:rPr>
          <w:kern w:val="0"/>
        </w:rPr>
        <w:t xml:space="preserve"> of </w:t>
      </w:r>
      <w:r>
        <w:rPr>
          <w:kern w:val="0"/>
        </w:rPr>
        <w:t>severe complications (M-H fixed OR: 2.67 [95% CI: 1.37-5.21]; P &lt; 0.001) but increases the risk</w:t>
      </w:r>
      <w:r w:rsidR="00427468">
        <w:rPr>
          <w:kern w:val="0"/>
        </w:rPr>
        <w:t xml:space="preserve"> of </w:t>
      </w:r>
      <w:r>
        <w:rPr>
          <w:kern w:val="0"/>
        </w:rPr>
        <w:t>short-term recoarctation (M-H fixed OR: 0.25 [95% CI]: 0.12-0.54]; P &lt; 0.001) and aortic aneurysm formation (M-H fixed OR: 0.12 [95% CI]: 0.04-0.34]; P &lt; 0.001). Conclusions: BA provides immediate results comparable to surgery and reduces invasion, but it does not provide better results compared with surgery when considering medium-and longterm complications and even increases the incidence</w:t>
      </w:r>
      <w:r w:rsidR="00427468">
        <w:rPr>
          <w:kern w:val="0"/>
        </w:rPr>
        <w:t xml:space="preserve"> of </w:t>
      </w:r>
      <w:r>
        <w:rPr>
          <w:kern w:val="0"/>
        </w:rPr>
        <w:t>aneurysm formation.</w:t>
      </w:r>
    </w:p>
    <w:p w:rsidR="00CA6DB2" w:rsidRDefault="00CA6DB2" w:rsidP="00CA6DB2">
      <w:pPr>
        <w:pStyle w:val="a3"/>
        <w:rPr>
          <w:kern w:val="0"/>
        </w:rPr>
      </w:pPr>
      <w:r>
        <w:rPr>
          <w:kern w:val="0"/>
        </w:rPr>
        <w:t xml:space="preserve">Keywords: Alternative, Alternative Therapy, Aneurysm, Biomedical, Chinese, Choice, Clinical, Clinical Trials, Complications, Congenital, Congenital Heart Disease, Criteria, Data, Database, Denmark, Disease, Embase, Evaluation, Evidence, </w:t>
      </w:r>
      <w:r>
        <w:rPr>
          <w:kern w:val="0"/>
        </w:rPr>
        <w:lastRenderedPageBreak/>
        <w:t>Follow-Up, Heart, Implantation, Incidence, Invasive, Literature, Literature Search, Long Term, Long-Term, Medline, Meta Analysis, Meta-Analysis, Metaanalysis, Methods, Modalities, Odds Ratio, Outcome, Outcomes, P, Patients, Procedures, Pubmed, Quality, Quality Of, Reference, Results, Risk, Science, Software, Surgery, Surgical, Surgical Treatment, Therapeutic, Therapy, Treatment, Treatment Option, Web</w:t>
      </w:r>
      <w:r w:rsidR="00427468">
        <w:rPr>
          <w:kern w:val="0"/>
        </w:rPr>
        <w:t xml:space="preserve"> of </w:t>
      </w:r>
      <w:r>
        <w:rPr>
          <w:kern w:val="0"/>
        </w:rPr>
        <w:t>Science</w:t>
      </w:r>
    </w:p>
    <w:p w:rsidR="004F3E0E" w:rsidRDefault="004F3E0E" w:rsidP="004F3E0E">
      <w:pPr>
        <w:pStyle w:val="a3"/>
        <w:rPr>
          <w:kern w:val="0"/>
        </w:rPr>
      </w:pPr>
      <w:r>
        <w:rPr>
          <w:rFonts w:hint="eastAsia"/>
          <w:kern w:val="0"/>
        </w:rPr>
        <w:t xml:space="preserve">? </w:t>
      </w:r>
      <w:r>
        <w:rPr>
          <w:kern w:val="0"/>
        </w:rPr>
        <w:t xml:space="preserve">Antoniou, G.A., Antoniou, S.A., Georgakarakos, E.I., Sfyroeras, G.S. and Georgiadis, G.S. (2015), Bibliometric analysis of factors predicting increased citations in the vascular and endovascular literature. </w:t>
      </w:r>
      <w:r>
        <w:rPr>
          <w:i/>
          <w:iCs/>
          <w:kern w:val="0"/>
        </w:rPr>
        <w:t>Annals of Vascular Surgery</w:t>
      </w:r>
      <w:r>
        <w:rPr>
          <w:kern w:val="0"/>
        </w:rPr>
        <w:t xml:space="preserve">, </w:t>
      </w:r>
      <w:r>
        <w:rPr>
          <w:b/>
          <w:bCs/>
          <w:kern w:val="0"/>
        </w:rPr>
        <w:t>29</w:t>
      </w:r>
      <w:r>
        <w:rPr>
          <w:kern w:val="0"/>
        </w:rPr>
        <w:t xml:space="preserve"> (2), 286-292.</w:t>
      </w:r>
    </w:p>
    <w:p w:rsidR="004F3E0E" w:rsidRPr="00F219CA" w:rsidRDefault="004F3E0E" w:rsidP="004F3E0E">
      <w:pPr>
        <w:pStyle w:val="a3"/>
      </w:pPr>
      <w:r w:rsidRPr="00F219CA">
        <w:t xml:space="preserve">Full Text: </w:t>
      </w:r>
      <w:hyperlink r:id="rId989" w:history="1">
        <w:r w:rsidRPr="00AD2612">
          <w:rPr>
            <w:rStyle w:val="a5"/>
          </w:rPr>
          <w:t>2015\Ann Vas Sur29, 286.pdf</w:t>
        </w:r>
      </w:hyperlink>
    </w:p>
    <w:p w:rsidR="004F3E0E" w:rsidRDefault="004F3E0E" w:rsidP="004F3E0E">
      <w:pPr>
        <w:pStyle w:val="a3"/>
        <w:rPr>
          <w:kern w:val="0"/>
        </w:rPr>
      </w:pPr>
      <w:r>
        <w:rPr>
          <w:kern w:val="0"/>
        </w:rPr>
        <w:t>Abstract: Background: Dissemination of research findings in the scientific community is reflected by the citation count. Our objective was to investigate the relative citation impact of vascular research studies and identify potential predictors of increased citation rates. Methods: Articles published in leading journals of vascular and general surgery (Journal of Vascular Surgery, European Journal of Vascular and Endovascular Surgery, Journal of Endovascular Therapy, Annals of Vascular Surgery and Annals of Surgery, British Journal of Surgery, Journal of the American College of Surgeons, and JAMA Surgery) during a 4-month period were identified through electronic databases. Variables potentially associated with increased citation rates, including subject, design, title characteristics, article length, bibliographic references, authorship, geographic distribution, interdisciplinary collaboration, article access, and funding, were assessed in univariate and multiple linear regression models through December 2012. Results: A total of 226 articles with a total number of 4,605 citations were identified. Univariate analysis revealed that endovascular-related studies, study design, studies reporting design in the title, long articles, and studies with high number of references were associated with higher citation rates. On multivariate analysis, 3 variables were found to independently predict the number of citations: study subject (endovascular-related studies; regression coefficient [95% confidence interval], 0.474 [0.240-0.708]; P &lt; 0.001); study design (randomized controlled trial; regression coefficient [95% confidence interval], 0.575 [0.145-1.005]; P = 0.009); and article length (number of pages; regression coefficient [95% confidence interval], 0.069 [0.016-0.123]; P=0.011). Conclusions: Authors involved in vascular research may enhance the impact of their work by embarking on research strategies of high methodologic quality and pursuing work related with new technologies and evolving endovascular therapies.</w:t>
      </w:r>
    </w:p>
    <w:p w:rsidR="004F3E0E" w:rsidRDefault="004F3E0E" w:rsidP="004F3E0E">
      <w:pPr>
        <w:pStyle w:val="a3"/>
        <w:rPr>
          <w:kern w:val="0"/>
        </w:rPr>
      </w:pPr>
      <w:r>
        <w:rPr>
          <w:kern w:val="0"/>
        </w:rPr>
        <w:t xml:space="preserve">Keywords: Access, Analysis, Article, Articles, Authorship, Bibliographic, Bibliometric, Bibliometric Analysis, Characteristics, Citation, Citation Impact, Citation Rates, Citations, Collaboration, Community, Confidence, Controlled Trial, Databases, Design, Dissemination, Distribution, Factors, Funding, General, General Surgery, </w:t>
      </w:r>
      <w:r>
        <w:rPr>
          <w:kern w:val="0"/>
        </w:rPr>
        <w:lastRenderedPageBreak/>
        <w:t>Geographic Distribution, Greece, Impact, Impact Factor, Interdisciplinary, Journal, Journals, Length, Linear Regression, Literature, Medicine, Methods, Models, Multivariate, Multivariate Analysis, P, Potential, Predictors, Quality, Randomized, Randomized Controlled Trial, Rates, References, Regression, Reporting, Research, Results, Scientific Community, Study Design, Surgery, Technologies, Therapy, Trial, Work</w:t>
      </w:r>
    </w:p>
    <w:p w:rsidR="003474F2" w:rsidRPr="001A3D2B" w:rsidRDefault="003474F2" w:rsidP="003474F2">
      <w:pPr>
        <w:pStyle w:val="1"/>
      </w:pPr>
      <w:r w:rsidRPr="001A3D2B">
        <w:br w:type="page"/>
      </w:r>
      <w:bookmarkStart w:id="509" w:name="_Toc420814532"/>
      <w:r w:rsidRPr="001A3D2B">
        <w:lastRenderedPageBreak/>
        <w:t>Title: ANNEE Psychologique</w:t>
      </w:r>
      <w:bookmarkEnd w:id="509"/>
    </w:p>
    <w:p w:rsidR="003474F2" w:rsidRPr="001A3D2B" w:rsidRDefault="003474F2" w:rsidP="003474F2">
      <w:pPr>
        <w:pStyle w:val="12"/>
      </w:pPr>
      <w:r w:rsidRPr="001A3D2B">
        <w:t>Full Journal Title:</w:t>
      </w:r>
      <w:bookmarkStart w:id="510" w:name="_Toc207083647"/>
      <w:r w:rsidRPr="001A3D2B">
        <w:t xml:space="preserve"> ANNEE </w:t>
      </w:r>
      <w:bookmarkEnd w:id="510"/>
      <w:r w:rsidRPr="001A3D2B">
        <w:t>Psychologique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Ferrand, L. (2007), Hirsch</w:t>
      </w:r>
      <w:r w:rsidR="00700038">
        <w:t>’</w:t>
      </w:r>
      <w:r w:rsidR="00C13DDC">
        <w:t>s</w:t>
      </w:r>
      <w:r w:rsidRPr="001A3D2B">
        <w:t xml:space="preserve"> </w:t>
      </w:r>
      <w:r w:rsidR="00D5664A">
        <w:t>h Index</w:t>
      </w:r>
      <w:r w:rsidRPr="001A3D2B">
        <w:t>: A new measure to quantify</w:t>
      </w:r>
      <w:r w:rsidR="003A1917">
        <w:t xml:space="preserve"> the </w:t>
      </w:r>
      <w:r w:rsidRPr="001A3D2B">
        <w:t>research output</w:t>
      </w:r>
      <w:r w:rsidR="00427468">
        <w:t xml:space="preserve"> of </w:t>
      </w:r>
      <w:r w:rsidRPr="001A3D2B">
        <w:t xml:space="preserve">individual scientists. </w:t>
      </w:r>
      <w:r w:rsidRPr="001A3D2B">
        <w:rPr>
          <w:i/>
        </w:rPr>
        <w:t>ANNEE Psychologique</w:t>
      </w:r>
      <w:r w:rsidRPr="001A3D2B">
        <w:t xml:space="preserve">, </w:t>
      </w:r>
      <w:r w:rsidRPr="001A3D2B">
        <w:rPr>
          <w:b/>
        </w:rPr>
        <w:t>107</w:t>
      </w:r>
      <w:r w:rsidRPr="001A3D2B">
        <w:t xml:space="preserve"> (4), 531-536.</w:t>
      </w:r>
    </w:p>
    <w:p w:rsidR="003474F2" w:rsidRPr="001A3D2B" w:rsidRDefault="003474F2" w:rsidP="003474F2">
      <w:pPr>
        <w:pStyle w:val="a3"/>
      </w:pPr>
      <w:r w:rsidRPr="001A3D2B">
        <w:t xml:space="preserve">Keywords: </w:t>
      </w:r>
      <w:r w:rsidR="00D5664A">
        <w:t>h Index</w:t>
      </w:r>
      <w:r w:rsidRPr="001A3D2B">
        <w:t xml:space="preserve">, </w:t>
      </w:r>
      <w:r w:rsidR="00D5664A">
        <w:t>h-Index</w:t>
      </w:r>
      <w:r w:rsidRPr="001A3D2B">
        <w:t>, Ranking, Research</w:t>
      </w:r>
    </w:p>
    <w:p w:rsidR="003474F2" w:rsidRPr="001A3D2B" w:rsidRDefault="003474F2" w:rsidP="003474F2">
      <w:pPr>
        <w:pStyle w:val="1"/>
      </w:pPr>
      <w:r w:rsidRPr="001A3D2B">
        <w:br w:type="page"/>
      </w:r>
      <w:bookmarkStart w:id="511" w:name="_Toc420814533"/>
      <w:r w:rsidRPr="001A3D2B">
        <w:lastRenderedPageBreak/>
        <w:t>Title: 2008 41st Annual Hawaii International Conference on System Sciences</w:t>
      </w:r>
      <w:bookmarkEnd w:id="511"/>
    </w:p>
    <w:p w:rsidR="003474F2" w:rsidRPr="001A3D2B" w:rsidRDefault="003474F2" w:rsidP="003474F2">
      <w:pPr>
        <w:pStyle w:val="a3"/>
      </w:pPr>
      <w:r w:rsidRPr="001A3D2B">
        <w:t>? Sunikka, A.</w:t>
      </w:r>
      <w:r w:rsidR="005853A9">
        <w:t xml:space="preserve"> and </w:t>
      </w:r>
      <w:r w:rsidRPr="001A3D2B">
        <w:t>Bragge, J. (2008), What, who</w:t>
      </w:r>
      <w:r w:rsidR="005853A9">
        <w:t xml:space="preserve"> and </w:t>
      </w:r>
      <w:r w:rsidRPr="001A3D2B">
        <w:t xml:space="preserve">where: insights into personalization. </w:t>
      </w:r>
      <w:r w:rsidRPr="001A3D2B">
        <w:rPr>
          <w:i/>
          <w:iCs/>
        </w:rPr>
        <w:t>2008 41st Annual Hawaii International Conference on System Sciences</w:t>
      </w:r>
      <w:r w:rsidRPr="001A3D2B">
        <w:t>, 2271-2280.</w:t>
      </w:r>
    </w:p>
    <w:p w:rsidR="003474F2" w:rsidRPr="001A3D2B" w:rsidRDefault="003474F2" w:rsidP="003474F2">
      <w:pPr>
        <w:pStyle w:val="a3"/>
      </w:pPr>
      <w:r w:rsidRPr="001A3D2B">
        <w:t>Abstract: Personalization is a phenomenon that intrigues</w:t>
      </w:r>
      <w:r w:rsidR="005853A9">
        <w:t xml:space="preserve"> and </w:t>
      </w:r>
      <w:r w:rsidRPr="001A3D2B">
        <w:t>confuses. Personalized offerings promise customer attention, loyalty</w:t>
      </w:r>
      <w:r w:rsidR="005853A9">
        <w:t xml:space="preserve"> and </w:t>
      </w:r>
      <w:r w:rsidRPr="001A3D2B">
        <w:t>safe haven against commoditization. However, these promises do not materialize unless customers accept personalization as a means to enhance their consuming experience. Three points</w:t>
      </w:r>
      <w:r w:rsidR="00427468">
        <w:t xml:space="preserve"> of </w:t>
      </w:r>
      <w:r w:rsidRPr="001A3D2B">
        <w:t>views are offered to personalization in this paper. An analysis</w:t>
      </w:r>
      <w:r w:rsidR="00427468">
        <w:t xml:space="preserve"> of </w:t>
      </w:r>
      <w:r w:rsidRPr="001A3D2B">
        <w:t>various personalization concepts shows that</w:t>
      </w:r>
      <w:r w:rsidR="003A1917">
        <w:t xml:space="preserve"> the </w:t>
      </w:r>
      <w:r w:rsidRPr="001A3D2B">
        <w:t>basic concept</w:t>
      </w:r>
      <w:r w:rsidR="00427468">
        <w:t xml:space="preserve"> of </w:t>
      </w:r>
      <w:r w:rsidRPr="001A3D2B">
        <w:t>personalization is reaching maturity even though fresh views are added to it, e.g. context-based personalization. Secondly, a text-mining based approach profiles</w:t>
      </w:r>
      <w:r w:rsidR="003A1917">
        <w:t xml:space="preserve"> the </w:t>
      </w:r>
      <w:r w:rsidRPr="001A3D2B">
        <w:t>personalization research based on bibliometric data on nearly 800 articles,</w:t>
      </w:r>
      <w:r w:rsidR="005853A9">
        <w:t xml:space="preserve"> and </w:t>
      </w:r>
      <w:r w:rsidRPr="001A3D2B">
        <w:t>indicates that</w:t>
      </w:r>
      <w:r w:rsidR="003A1917">
        <w:t xml:space="preserve"> the </w:t>
      </w:r>
      <w:r w:rsidRPr="001A3D2B">
        <w:t>research field is fairly fragmented,</w:t>
      </w:r>
      <w:r w:rsidR="005853A9">
        <w:t xml:space="preserve"> and </w:t>
      </w:r>
      <w:r w:rsidRPr="001A3D2B">
        <w:t>that mass customization</w:t>
      </w:r>
      <w:r w:rsidR="005853A9">
        <w:t xml:space="preserve"> and </w:t>
      </w:r>
      <w:r w:rsidRPr="001A3D2B">
        <w:t>customization research clearly diverges from personalization research. Based on a selection</w:t>
      </w:r>
      <w:r w:rsidR="00427468">
        <w:t xml:space="preserve"> of </w:t>
      </w:r>
      <w:r w:rsidRPr="001A3D2B">
        <w:t>articles, a further analysis classifies</w:t>
      </w:r>
      <w:r w:rsidR="003A1917">
        <w:t xml:space="preserve"> the </w:t>
      </w:r>
      <w:r w:rsidRPr="001A3D2B">
        <w:t>type</w:t>
      </w:r>
      <w:r w:rsidR="00427468">
        <w:t xml:space="preserve"> of </w:t>
      </w:r>
      <w:r w:rsidRPr="001A3D2B">
        <w:t>research</w:t>
      </w:r>
      <w:r w:rsidR="005853A9">
        <w:t xml:space="preserve"> and </w:t>
      </w:r>
      <w:r w:rsidRPr="001A3D2B">
        <w:t>research contexts that are</w:t>
      </w:r>
      <w:r w:rsidR="003A1917">
        <w:t xml:space="preserve"> the </w:t>
      </w:r>
      <w:r w:rsidRPr="001A3D2B">
        <w:t>most common. Finally, this research also suggests a conceptualization</w:t>
      </w:r>
      <w:r w:rsidR="00427468">
        <w:t xml:space="preserve"> of </w:t>
      </w:r>
      <w:r w:rsidRPr="001A3D2B">
        <w:t>personalization.</w:t>
      </w:r>
    </w:p>
    <w:p w:rsidR="003474F2" w:rsidRPr="001A3D2B" w:rsidRDefault="003474F2" w:rsidP="003474F2">
      <w:pPr>
        <w:pStyle w:val="a3"/>
      </w:pPr>
      <w:r w:rsidRPr="001A3D2B">
        <w:t>Keywords: Analysis, Bibliometric, Research, Text Mining</w:t>
      </w:r>
    </w:p>
    <w:p w:rsidR="003474F2" w:rsidRPr="001A3D2B" w:rsidRDefault="003474F2" w:rsidP="003474F2">
      <w:pPr>
        <w:pStyle w:val="1"/>
      </w:pPr>
      <w:r w:rsidRPr="001A3D2B">
        <w:br w:type="page"/>
      </w:r>
      <w:bookmarkStart w:id="512" w:name="_Toc420814534"/>
      <w:r w:rsidRPr="001A3D2B">
        <w:lastRenderedPageBreak/>
        <w:t>Title: Annual Review</w:t>
      </w:r>
      <w:r w:rsidR="00427468">
        <w:t xml:space="preserve"> of </w:t>
      </w:r>
      <w:r w:rsidRPr="001A3D2B">
        <w:t>Information Science</w:t>
      </w:r>
      <w:r w:rsidR="005853A9">
        <w:t xml:space="preserve"> and </w:t>
      </w:r>
      <w:bookmarkStart w:id="513" w:name="_Toc81215608"/>
      <w:r w:rsidRPr="001A3D2B">
        <w:t>Technology</w:t>
      </w:r>
      <w:bookmarkEnd w:id="512"/>
    </w:p>
    <w:p w:rsidR="003474F2" w:rsidRPr="001A3D2B" w:rsidRDefault="003474F2" w:rsidP="003474F2">
      <w:pPr>
        <w:pStyle w:val="12"/>
      </w:pPr>
      <w:r w:rsidRPr="001A3D2B">
        <w:t xml:space="preserve">Full Journal Title: </w:t>
      </w:r>
      <w:r w:rsidR="00206C8A">
        <w:fldChar w:fldCharType="begin"/>
      </w:r>
      <w:r w:rsidR="00FD158B">
        <w:instrText>HYPERLINK "http://www3.i</w:instrText>
      </w:r>
      <w:bookmarkEnd w:id="513"/>
      <w:r w:rsidR="00FD158B">
        <w:instrText>nterscience.wiley.com/cgi-bin/jhome/109861081"</w:instrText>
      </w:r>
      <w:r w:rsidR="00206C8A">
        <w:fldChar w:fldCharType="separate"/>
      </w:r>
      <w:r w:rsidRPr="001A3D2B">
        <w:rPr>
          <w:rStyle w:val="a5"/>
        </w:rPr>
        <w:t>Annual Review</w:t>
      </w:r>
      <w:r w:rsidR="00427468">
        <w:rPr>
          <w:rStyle w:val="a5"/>
        </w:rPr>
        <w:t xml:space="preserve"> of </w:t>
      </w:r>
      <w:r w:rsidRPr="001A3D2B">
        <w:rPr>
          <w:rStyle w:val="a5"/>
        </w:rPr>
        <w:t>Information Science</w:t>
      </w:r>
      <w:r w:rsidR="005853A9">
        <w:rPr>
          <w:rStyle w:val="a5"/>
        </w:rPr>
        <w:t xml:space="preserve"> and </w:t>
      </w:r>
      <w:r w:rsidRPr="001A3D2B">
        <w:rPr>
          <w:rStyle w:val="a5"/>
        </w:rPr>
        <w:t>Technology</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0066-4200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Narin, F.</w:t>
      </w:r>
      <w:r w:rsidR="005853A9">
        <w:t xml:space="preserve"> and </w:t>
      </w:r>
      <w:r w:rsidRPr="001A3D2B">
        <w:t xml:space="preserve">Moll, J.K. (1977), Bibliometrics. </w:t>
      </w:r>
      <w:r w:rsidRPr="001A3D2B">
        <w:rPr>
          <w:i/>
          <w:iCs/>
        </w:rPr>
        <w:t>Annual Review</w:t>
      </w:r>
      <w:r w:rsidR="00427468">
        <w:rPr>
          <w:i/>
          <w:iCs/>
        </w:rPr>
        <w:t xml:space="preserve"> of </w:t>
      </w:r>
      <w:r w:rsidRPr="001A3D2B">
        <w:rPr>
          <w:i/>
          <w:iCs/>
        </w:rPr>
        <w:t>Information Science</w:t>
      </w:r>
      <w:r w:rsidR="005853A9">
        <w:rPr>
          <w:i/>
          <w:iCs/>
        </w:rPr>
        <w:t xml:space="preserve"> and </w:t>
      </w:r>
      <w:r w:rsidRPr="001A3D2B">
        <w:rPr>
          <w:i/>
          <w:iCs/>
        </w:rPr>
        <w:t>Technology</w:t>
      </w:r>
      <w:r w:rsidRPr="001A3D2B">
        <w:t xml:space="preserve">, </w:t>
      </w:r>
      <w:r w:rsidRPr="001A3D2B">
        <w:rPr>
          <w:b/>
          <w:bCs/>
        </w:rPr>
        <w:t>12</w:t>
      </w:r>
      <w:r w:rsidRPr="001A3D2B">
        <w:t>, 35-58.</w:t>
      </w:r>
    </w:p>
    <w:p w:rsidR="00F30127" w:rsidRPr="00F219CA" w:rsidRDefault="00F30127" w:rsidP="00F30127">
      <w:pPr>
        <w:pStyle w:val="a3"/>
      </w:pPr>
      <w:r>
        <w:rPr>
          <w:rFonts w:hint="eastAsia"/>
        </w:rPr>
        <w:t xml:space="preserve">Full Text: </w:t>
      </w:r>
      <w:r>
        <w:rPr>
          <w:iCs/>
        </w:rPr>
        <w:t>Ann Rev</w:t>
      </w:r>
      <w:r w:rsidRPr="00061FFD">
        <w:rPr>
          <w:iCs/>
        </w:rPr>
        <w:t xml:space="preserve"> In</w:t>
      </w:r>
      <w:r>
        <w:rPr>
          <w:iCs/>
        </w:rPr>
        <w:t>f Sci Tec</w:t>
      </w:r>
      <w:r w:rsidRPr="00061FFD">
        <w:rPr>
          <w:bCs/>
        </w:rPr>
        <w:t>12</w:t>
      </w:r>
      <w:r w:rsidRPr="00F219CA">
        <w:t>, 35</w:t>
      </w:r>
      <w:r>
        <w:rPr>
          <w:rFonts w:hint="eastAsia"/>
        </w:rPr>
        <w:t>.pdf</w:t>
      </w:r>
    </w:p>
    <w:p w:rsidR="003474F2" w:rsidRPr="001A3D2B" w:rsidRDefault="003474F2" w:rsidP="003474F2">
      <w:pPr>
        <w:pStyle w:val="a3"/>
      </w:pPr>
      <w:r w:rsidRPr="001A3D2B">
        <w:t>Notes: highly cited</w:t>
      </w:r>
    </w:p>
    <w:p w:rsidR="003474F2" w:rsidRPr="001A3D2B" w:rsidRDefault="003474F2" w:rsidP="003474F2">
      <w:pPr>
        <w:pStyle w:val="a3"/>
      </w:pPr>
      <w:r w:rsidRPr="001A3D2B">
        <w:t>? White, H.D.</w:t>
      </w:r>
      <w:r w:rsidR="005853A9">
        <w:t xml:space="preserve"> and </w:t>
      </w:r>
      <w:r w:rsidRPr="001A3D2B">
        <w:t xml:space="preserve">Mccain, K.W. (1989), Bibliometrics. </w:t>
      </w:r>
      <w:r w:rsidRPr="001A3D2B">
        <w:rPr>
          <w:i/>
          <w:iCs/>
        </w:rPr>
        <w:t>Annual Review</w:t>
      </w:r>
      <w:r w:rsidR="00427468">
        <w:rPr>
          <w:i/>
          <w:iCs/>
        </w:rPr>
        <w:t xml:space="preserve"> of </w:t>
      </w:r>
      <w:r w:rsidRPr="001A3D2B">
        <w:rPr>
          <w:i/>
          <w:iCs/>
        </w:rPr>
        <w:t>Information Science</w:t>
      </w:r>
      <w:r w:rsidR="005853A9">
        <w:rPr>
          <w:i/>
          <w:iCs/>
        </w:rPr>
        <w:t xml:space="preserve"> and </w:t>
      </w:r>
      <w:r w:rsidRPr="001A3D2B">
        <w:rPr>
          <w:i/>
          <w:iCs/>
        </w:rPr>
        <w:t>Technology</w:t>
      </w:r>
      <w:r w:rsidRPr="001A3D2B">
        <w:t xml:space="preserve">, </w:t>
      </w:r>
      <w:r w:rsidRPr="001A3D2B">
        <w:rPr>
          <w:b/>
          <w:bCs/>
        </w:rPr>
        <w:t>24</w:t>
      </w:r>
      <w:r w:rsidRPr="001A3D2B">
        <w:t>, 119-186.</w:t>
      </w:r>
    </w:p>
    <w:p w:rsidR="00F30127" w:rsidRPr="00F219CA" w:rsidRDefault="00F30127" w:rsidP="00F30127">
      <w:pPr>
        <w:pStyle w:val="a3"/>
      </w:pPr>
      <w:r>
        <w:rPr>
          <w:rFonts w:hint="eastAsia"/>
        </w:rPr>
        <w:t>Full Text: 1989\</w:t>
      </w:r>
      <w:r>
        <w:rPr>
          <w:iCs/>
        </w:rPr>
        <w:t>Ann Rev</w:t>
      </w:r>
      <w:r w:rsidRPr="00061FFD">
        <w:rPr>
          <w:iCs/>
        </w:rPr>
        <w:t xml:space="preserve"> In</w:t>
      </w:r>
      <w:r>
        <w:rPr>
          <w:iCs/>
        </w:rPr>
        <w:t>f Sci Tec</w:t>
      </w:r>
      <w:r>
        <w:rPr>
          <w:rFonts w:hint="eastAsia"/>
          <w:bCs/>
        </w:rPr>
        <w:t>24</w:t>
      </w:r>
      <w:r w:rsidRPr="00F219CA">
        <w:t xml:space="preserve">, </w:t>
      </w:r>
      <w:r>
        <w:rPr>
          <w:rFonts w:hint="eastAsia"/>
        </w:rPr>
        <w:t>119.pdf</w:t>
      </w:r>
    </w:p>
    <w:p w:rsidR="003474F2" w:rsidRPr="001A3D2B" w:rsidRDefault="003474F2" w:rsidP="003474F2">
      <w:pPr>
        <w:pStyle w:val="a3"/>
      </w:pPr>
      <w:r w:rsidRPr="001A3D2B">
        <w:t>Keywords: Bibliometrics</w:t>
      </w:r>
    </w:p>
    <w:p w:rsidR="003474F2" w:rsidRPr="001A3D2B" w:rsidRDefault="003474F2" w:rsidP="003474F2">
      <w:pPr>
        <w:pStyle w:val="a3"/>
      </w:pPr>
      <w:r w:rsidRPr="001A3D2B">
        <w:t>Notes: MModel</w:t>
      </w:r>
    </w:p>
    <w:p w:rsidR="003474F2" w:rsidRPr="001A3D2B" w:rsidRDefault="003474F2" w:rsidP="003474F2">
      <w:pPr>
        <w:pStyle w:val="a3"/>
      </w:pPr>
      <w:r w:rsidRPr="001A3D2B">
        <w:t xml:space="preserve">? </w:t>
      </w:r>
      <w:smartTag w:uri="urn:schemas-microsoft-com:office:smarttags" w:element="place">
        <w:smartTag w:uri="urn:schemas-microsoft-com:office:smarttags" w:element="City">
          <w:r w:rsidRPr="001A3D2B">
            <w:t>Wilson</w:t>
          </w:r>
        </w:smartTag>
      </w:smartTag>
      <w:r w:rsidRPr="001A3D2B">
        <w:t xml:space="preserve">, C.S. (1999), Informetrics. </w:t>
      </w:r>
      <w:r w:rsidRPr="001A3D2B">
        <w:rPr>
          <w:i/>
          <w:iCs/>
        </w:rPr>
        <w:t>Annual Review</w:t>
      </w:r>
      <w:r w:rsidR="00427468">
        <w:rPr>
          <w:i/>
          <w:iCs/>
        </w:rPr>
        <w:t xml:space="preserve"> of </w:t>
      </w:r>
      <w:r w:rsidRPr="001A3D2B">
        <w:rPr>
          <w:i/>
          <w:iCs/>
        </w:rPr>
        <w:t>Information Science</w:t>
      </w:r>
      <w:r w:rsidR="005853A9">
        <w:rPr>
          <w:i/>
          <w:iCs/>
        </w:rPr>
        <w:t xml:space="preserve"> and </w:t>
      </w:r>
      <w:r w:rsidRPr="001A3D2B">
        <w:rPr>
          <w:i/>
          <w:iCs/>
        </w:rPr>
        <w:t>Technology</w:t>
      </w:r>
      <w:r w:rsidRPr="001A3D2B">
        <w:t xml:space="preserve">, </w:t>
      </w:r>
      <w:r w:rsidRPr="001A3D2B">
        <w:rPr>
          <w:b/>
        </w:rPr>
        <w:t>34</w:t>
      </w:r>
      <w:r w:rsidRPr="001A3D2B">
        <w:t>, 107-247.</w:t>
      </w:r>
    </w:p>
    <w:p w:rsidR="00F30127" w:rsidRPr="00F219CA" w:rsidRDefault="00F30127" w:rsidP="00F30127">
      <w:pPr>
        <w:pStyle w:val="a3"/>
      </w:pPr>
      <w:r>
        <w:rPr>
          <w:rFonts w:hint="eastAsia"/>
        </w:rPr>
        <w:t>Full Text: 1999\</w:t>
      </w:r>
      <w:r>
        <w:rPr>
          <w:iCs/>
        </w:rPr>
        <w:t>Ann Rev</w:t>
      </w:r>
      <w:r w:rsidRPr="00061FFD">
        <w:rPr>
          <w:iCs/>
        </w:rPr>
        <w:t xml:space="preserve"> In</w:t>
      </w:r>
      <w:r>
        <w:rPr>
          <w:iCs/>
        </w:rPr>
        <w:t>f Sci Tec</w:t>
      </w:r>
      <w:r>
        <w:rPr>
          <w:rFonts w:hint="eastAsia"/>
          <w:bCs/>
        </w:rPr>
        <w:t>34</w:t>
      </w:r>
      <w:r w:rsidRPr="00F219CA">
        <w:t xml:space="preserve">, </w:t>
      </w:r>
      <w:r>
        <w:rPr>
          <w:rFonts w:hint="eastAsia"/>
        </w:rPr>
        <w:t>107.pdf</w:t>
      </w:r>
    </w:p>
    <w:p w:rsidR="003474F2" w:rsidRPr="001A3D2B" w:rsidRDefault="003474F2" w:rsidP="003474F2">
      <w:pPr>
        <w:pStyle w:val="a3"/>
      </w:pPr>
      <w:r w:rsidRPr="001A3D2B">
        <w:t>Keywords: Author Cocitation Analysis, Bradford Law, Information-Science, Lotka</w:t>
      </w:r>
      <w:r w:rsidR="00700038">
        <w:t>’</w:t>
      </w:r>
      <w:r w:rsidR="00C13DDC">
        <w:t>s</w:t>
      </w:r>
      <w:r w:rsidRPr="001A3D2B">
        <w:t xml:space="preserve"> Law, Own-Language Preference, Simon-Yule Approach, Stationary Scientometric Distributions, Success-Breeds-Success, Theoretical Population-Genetics, World-Wide-Web</w:t>
      </w:r>
    </w:p>
    <w:p w:rsidR="00FA6B56" w:rsidRPr="00F219CA" w:rsidRDefault="00FA6B56" w:rsidP="00FA6B56">
      <w:pPr>
        <w:pStyle w:val="a3"/>
      </w:pPr>
      <w:r>
        <w:rPr>
          <w:rFonts w:hint="eastAsia"/>
        </w:rPr>
        <w:t>Notes: highly cited</w:t>
      </w:r>
    </w:p>
    <w:p w:rsidR="003474F2" w:rsidRPr="001A3D2B" w:rsidRDefault="003474F2" w:rsidP="003474F2">
      <w:pPr>
        <w:pStyle w:val="a3"/>
      </w:pPr>
      <w:r w:rsidRPr="001A3D2B">
        <w:t>? Borgman, C.L.</w:t>
      </w:r>
      <w:r w:rsidR="005853A9">
        <w:t xml:space="preserve"> and </w:t>
      </w:r>
      <w:r w:rsidRPr="001A3D2B">
        <w:t>Furner, J. (2002), Scholarly communication</w:t>
      </w:r>
      <w:r w:rsidR="005853A9">
        <w:t xml:space="preserve"> and </w:t>
      </w:r>
      <w:r w:rsidRPr="001A3D2B">
        <w:t xml:space="preserve">bibliometrics. </w:t>
      </w:r>
      <w:r w:rsidRPr="001A3D2B">
        <w:rPr>
          <w:i/>
          <w:iCs/>
        </w:rPr>
        <w:t>Annual Review</w:t>
      </w:r>
      <w:r w:rsidR="00427468">
        <w:rPr>
          <w:i/>
          <w:iCs/>
        </w:rPr>
        <w:t xml:space="preserve"> of </w:t>
      </w:r>
      <w:r w:rsidRPr="001A3D2B">
        <w:rPr>
          <w:i/>
          <w:iCs/>
        </w:rPr>
        <w:t>Information Science</w:t>
      </w:r>
      <w:r w:rsidR="005853A9">
        <w:rPr>
          <w:i/>
          <w:iCs/>
        </w:rPr>
        <w:t xml:space="preserve"> and </w:t>
      </w:r>
      <w:r w:rsidRPr="001A3D2B">
        <w:rPr>
          <w:i/>
          <w:iCs/>
        </w:rPr>
        <w:t>Technology</w:t>
      </w:r>
      <w:r w:rsidRPr="001A3D2B">
        <w:t xml:space="preserve">, </w:t>
      </w:r>
      <w:r w:rsidRPr="001A3D2B">
        <w:rPr>
          <w:b/>
          <w:bCs/>
        </w:rPr>
        <w:t>36</w:t>
      </w:r>
      <w:r w:rsidRPr="001A3D2B">
        <w:t>, 3-72.</w:t>
      </w:r>
    </w:p>
    <w:p w:rsidR="003474F2" w:rsidRPr="001A3D2B" w:rsidRDefault="003474F2" w:rsidP="003474F2">
      <w:pPr>
        <w:pStyle w:val="a3"/>
      </w:pPr>
      <w:r w:rsidRPr="001A3D2B">
        <w:t xml:space="preserve">Full Text: </w:t>
      </w:r>
      <w:hyperlink r:id="rId990" w:history="1">
        <w:r w:rsidRPr="001A3D2B">
          <w:rPr>
            <w:rStyle w:val="a5"/>
          </w:rPr>
          <w:t>2002\Ann Rev Inf Sci Tec36, 3.pdf</w:t>
        </w:r>
      </w:hyperlink>
    </w:p>
    <w:p w:rsidR="003474F2" w:rsidRPr="001A3D2B" w:rsidRDefault="003474F2" w:rsidP="003474F2">
      <w:pPr>
        <w:pStyle w:val="a3"/>
      </w:pPr>
      <w:r w:rsidRPr="001A3D2B">
        <w:t>Keywords: Bibliometrics, Communication</w:t>
      </w:r>
    </w:p>
    <w:p w:rsidR="003474F2" w:rsidRPr="001A3D2B" w:rsidRDefault="003474F2" w:rsidP="003474F2">
      <w:pPr>
        <w:pStyle w:val="a3"/>
      </w:pPr>
      <w:r w:rsidRPr="001A3D2B">
        <w:t>? Yang, K.D. (2005), Information retrieval on</w:t>
      </w:r>
      <w:r w:rsidR="003A1917">
        <w:t xml:space="preserve"> the </w:t>
      </w:r>
      <w:r w:rsidRPr="001A3D2B">
        <w:t xml:space="preserve">Web. </w:t>
      </w:r>
      <w:r w:rsidRPr="001A3D2B">
        <w:rPr>
          <w:i/>
          <w:iCs/>
        </w:rPr>
        <w:t>Annual Review</w:t>
      </w:r>
      <w:r w:rsidR="00427468">
        <w:rPr>
          <w:i/>
          <w:iCs/>
        </w:rPr>
        <w:t xml:space="preserve"> of </w:t>
      </w:r>
      <w:r w:rsidRPr="001A3D2B">
        <w:rPr>
          <w:i/>
          <w:iCs/>
        </w:rPr>
        <w:t>Information Science</w:t>
      </w:r>
      <w:r w:rsidR="005853A9">
        <w:rPr>
          <w:i/>
          <w:iCs/>
        </w:rPr>
        <w:t xml:space="preserve"> and </w:t>
      </w:r>
      <w:r w:rsidRPr="001A3D2B">
        <w:rPr>
          <w:i/>
          <w:iCs/>
        </w:rPr>
        <w:t>Technology</w:t>
      </w:r>
      <w:r w:rsidRPr="001A3D2B">
        <w:t xml:space="preserve">, </w:t>
      </w:r>
      <w:r w:rsidRPr="001A3D2B">
        <w:rPr>
          <w:b/>
          <w:bCs/>
        </w:rPr>
        <w:t>39</w:t>
      </w:r>
      <w:r w:rsidRPr="001A3D2B">
        <w:t>, 33-80.</w:t>
      </w:r>
    </w:p>
    <w:p w:rsidR="003474F2" w:rsidRPr="001A3D2B" w:rsidRDefault="003474F2" w:rsidP="003474F2">
      <w:pPr>
        <w:pStyle w:val="a3"/>
      </w:pPr>
      <w:r w:rsidRPr="001A3D2B">
        <w:t xml:space="preserve">Full Text: </w:t>
      </w:r>
      <w:hyperlink r:id="rId991" w:history="1">
        <w:r w:rsidRPr="001A3D2B">
          <w:rPr>
            <w:rStyle w:val="a5"/>
          </w:rPr>
          <w:t>2005\Ann Rev Inf Sci Tec39, 33.pdf</w:t>
        </w:r>
      </w:hyperlink>
    </w:p>
    <w:p w:rsidR="003474F2" w:rsidRPr="001A3D2B" w:rsidRDefault="003474F2" w:rsidP="003474F2">
      <w:pPr>
        <w:pStyle w:val="a3"/>
      </w:pPr>
      <w:r w:rsidRPr="001A3D2B">
        <w:t xml:space="preserve">Keywords: Bibliometrics, Classification, Composite Representations, Documents, </w:t>
      </w:r>
      <w:r w:rsidRPr="001A3D2B">
        <w:lastRenderedPageBreak/>
        <w:t>Hypertext, Links, Queries, Subject</w:t>
      </w:r>
    </w:p>
    <w:p w:rsidR="00DD04C0" w:rsidRDefault="00DD04C0" w:rsidP="00DD04C0">
      <w:pPr>
        <w:pStyle w:val="a3"/>
        <w:rPr>
          <w:kern w:val="0"/>
        </w:rPr>
      </w:pPr>
      <w:r>
        <w:rPr>
          <w:rFonts w:hint="eastAsia"/>
          <w:kern w:val="0"/>
        </w:rPr>
        <w:t xml:space="preserve">? </w:t>
      </w:r>
      <w:r>
        <w:rPr>
          <w:kern w:val="0"/>
        </w:rPr>
        <w:t>Hyland, K.</w:t>
      </w:r>
      <w:r w:rsidR="005853A9">
        <w:rPr>
          <w:kern w:val="0"/>
        </w:rPr>
        <w:t xml:space="preserve"> and </w:t>
      </w:r>
      <w:r>
        <w:rPr>
          <w:kern w:val="0"/>
        </w:rPr>
        <w:t xml:space="preserve">Salager-Meyer, F. (2008), Scientific writing. </w:t>
      </w:r>
      <w:r>
        <w:rPr>
          <w:i/>
          <w:iCs/>
          <w:kern w:val="0"/>
        </w:rPr>
        <w:t>Annual Review</w:t>
      </w:r>
      <w:r w:rsidR="00427468">
        <w:rPr>
          <w:i/>
          <w:iCs/>
          <w:kern w:val="0"/>
        </w:rPr>
        <w:t xml:space="preserve"> of </w:t>
      </w:r>
      <w:r>
        <w:rPr>
          <w:i/>
          <w:iCs/>
          <w:kern w:val="0"/>
        </w:rPr>
        <w:t>Information Science</w:t>
      </w:r>
      <w:r w:rsidR="005853A9">
        <w:rPr>
          <w:i/>
          <w:iCs/>
          <w:kern w:val="0"/>
        </w:rPr>
        <w:t xml:space="preserve"> and </w:t>
      </w:r>
      <w:r>
        <w:rPr>
          <w:i/>
          <w:iCs/>
          <w:kern w:val="0"/>
        </w:rPr>
        <w:t>Technology</w:t>
      </w:r>
      <w:r>
        <w:rPr>
          <w:kern w:val="0"/>
        </w:rPr>
        <w:t xml:space="preserve">, </w:t>
      </w:r>
      <w:r>
        <w:rPr>
          <w:b/>
          <w:bCs/>
          <w:kern w:val="0"/>
        </w:rPr>
        <w:t>42</w:t>
      </w:r>
      <w:r>
        <w:rPr>
          <w:rFonts w:hint="eastAsia"/>
          <w:kern w:val="0"/>
        </w:rPr>
        <w:t xml:space="preserve"> (1),</w:t>
      </w:r>
      <w:r>
        <w:rPr>
          <w:kern w:val="0"/>
        </w:rPr>
        <w:t xml:space="preserve"> 297-338</w:t>
      </w:r>
      <w:r>
        <w:rPr>
          <w:rFonts w:hint="eastAsia"/>
          <w:kern w:val="0"/>
        </w:rPr>
        <w:t>.</w:t>
      </w:r>
    </w:p>
    <w:p w:rsidR="00DD04C0" w:rsidRPr="001A3D2B" w:rsidRDefault="00DD04C0" w:rsidP="00DD04C0">
      <w:pPr>
        <w:pStyle w:val="a3"/>
      </w:pPr>
      <w:r w:rsidRPr="001A3D2B">
        <w:t xml:space="preserve">Full Text: </w:t>
      </w:r>
      <w:hyperlink r:id="rId992" w:history="1">
        <w:r w:rsidRPr="00DD04C0">
          <w:rPr>
            <w:rStyle w:val="a5"/>
          </w:rPr>
          <w:t>2008\Ann Rev Inf Sci Tec42, 297.pdf</w:t>
        </w:r>
      </w:hyperlink>
    </w:p>
    <w:p w:rsidR="00DD04C0" w:rsidRDefault="00DD04C0" w:rsidP="00DD04C0">
      <w:pPr>
        <w:pStyle w:val="a3"/>
        <w:rPr>
          <w:kern w:val="0"/>
        </w:rPr>
      </w:pPr>
      <w:r>
        <w:rPr>
          <w:kern w:val="0"/>
        </w:rPr>
        <w:t>Keywords: 20th-Century, Academic Discourse, Collaboration, Construction, English, Metadiscourse, Reader, Research Articles, Self-Citations, Texts</w:t>
      </w:r>
    </w:p>
    <w:p w:rsidR="00307C2D" w:rsidRDefault="00307C2D" w:rsidP="00307C2D">
      <w:pPr>
        <w:pStyle w:val="a3"/>
        <w:rPr>
          <w:kern w:val="0"/>
        </w:rPr>
      </w:pPr>
      <w:r>
        <w:rPr>
          <w:rFonts w:hint="eastAsia"/>
          <w:kern w:val="0"/>
        </w:rPr>
        <w:t xml:space="preserve">? </w:t>
      </w:r>
      <w:r>
        <w:rPr>
          <w:kern w:val="0"/>
        </w:rPr>
        <w:t>Bawden, D.</w:t>
      </w:r>
      <w:r w:rsidR="005853A9">
        <w:rPr>
          <w:kern w:val="0"/>
        </w:rPr>
        <w:t xml:space="preserve"> and </w:t>
      </w:r>
      <w:r>
        <w:rPr>
          <w:kern w:val="0"/>
        </w:rPr>
        <w:t>Robinson, L. (2011), Pharmaceutical information: A 30-year perspective on</w:t>
      </w:r>
      <w:r w:rsidR="003A1917">
        <w:rPr>
          <w:kern w:val="0"/>
        </w:rPr>
        <w:t xml:space="preserve"> the </w:t>
      </w:r>
      <w:r>
        <w:rPr>
          <w:kern w:val="0"/>
        </w:rPr>
        <w:t xml:space="preserve">literature. </w:t>
      </w:r>
      <w:r>
        <w:rPr>
          <w:i/>
          <w:iCs/>
          <w:kern w:val="0"/>
        </w:rPr>
        <w:t>Annual Review</w:t>
      </w:r>
      <w:r w:rsidR="00427468">
        <w:rPr>
          <w:i/>
          <w:iCs/>
          <w:kern w:val="0"/>
        </w:rPr>
        <w:t xml:space="preserve"> of </w:t>
      </w:r>
      <w:r>
        <w:rPr>
          <w:i/>
          <w:iCs/>
          <w:kern w:val="0"/>
        </w:rPr>
        <w:t>Information Science</w:t>
      </w:r>
      <w:r w:rsidR="005853A9">
        <w:rPr>
          <w:i/>
          <w:iCs/>
          <w:kern w:val="0"/>
        </w:rPr>
        <w:t xml:space="preserve"> and </w:t>
      </w:r>
      <w:r>
        <w:rPr>
          <w:i/>
          <w:iCs/>
          <w:kern w:val="0"/>
        </w:rPr>
        <w:t>Technology</w:t>
      </w:r>
      <w:r>
        <w:rPr>
          <w:kern w:val="0"/>
        </w:rPr>
        <w:t xml:space="preserve">, </w:t>
      </w:r>
      <w:r>
        <w:rPr>
          <w:b/>
          <w:bCs/>
          <w:kern w:val="0"/>
        </w:rPr>
        <w:t>45</w:t>
      </w:r>
      <w:r>
        <w:rPr>
          <w:kern w:val="0"/>
        </w:rPr>
        <w:t>, 63-119</w:t>
      </w:r>
      <w:r>
        <w:rPr>
          <w:rFonts w:hint="eastAsia"/>
          <w:kern w:val="0"/>
        </w:rPr>
        <w:t>.</w:t>
      </w:r>
    </w:p>
    <w:p w:rsidR="00307C2D" w:rsidRPr="001A3D2B" w:rsidRDefault="00307C2D" w:rsidP="00307C2D">
      <w:pPr>
        <w:pStyle w:val="a3"/>
      </w:pPr>
      <w:r w:rsidRPr="001A3D2B">
        <w:t xml:space="preserve">Full Text: </w:t>
      </w:r>
      <w:r>
        <w:t>20</w:t>
      </w:r>
      <w:r>
        <w:rPr>
          <w:rFonts w:hint="eastAsia"/>
        </w:rPr>
        <w:t>11</w:t>
      </w:r>
      <w:r>
        <w:t>\Ann Rev Inf Sci Tec4</w:t>
      </w:r>
      <w:r>
        <w:rPr>
          <w:rFonts w:hint="eastAsia"/>
        </w:rPr>
        <w:t>5</w:t>
      </w:r>
      <w:r>
        <w:t xml:space="preserve">, </w:t>
      </w:r>
      <w:r>
        <w:rPr>
          <w:rFonts w:hint="eastAsia"/>
        </w:rPr>
        <w:t>63</w:t>
      </w:r>
      <w:r w:rsidRPr="00095D39">
        <w:t>.pdf</w:t>
      </w:r>
    </w:p>
    <w:p w:rsidR="00307C2D" w:rsidRDefault="00307C2D" w:rsidP="00307C2D">
      <w:pPr>
        <w:pStyle w:val="a3"/>
        <w:rPr>
          <w:kern w:val="0"/>
        </w:rPr>
      </w:pPr>
      <w:r>
        <w:rPr>
          <w:kern w:val="0"/>
        </w:rPr>
        <w:t>Keywords: Bibliometric Analysis, Consumer Health Information, Current-Awareness, Document Management-Systems, Drug-Information, In-House, Knowledge Management, Library</w:t>
      </w:r>
      <w:r w:rsidR="00434900">
        <w:rPr>
          <w:kern w:val="0"/>
        </w:rPr>
        <w:t>-of-</w:t>
      </w:r>
      <w:r>
        <w:rPr>
          <w:kern w:val="0"/>
        </w:rPr>
        <w:t>Medicine, Literature, Pharmaceutical, Regulatory Activities Meddra, Research-and-Development</w:t>
      </w:r>
    </w:p>
    <w:p w:rsidR="002D495C" w:rsidRDefault="002D495C" w:rsidP="002D495C">
      <w:pPr>
        <w:pStyle w:val="a3"/>
        <w:rPr>
          <w:kern w:val="0"/>
        </w:rPr>
      </w:pPr>
      <w:r>
        <w:rPr>
          <w:rFonts w:hint="eastAsia"/>
          <w:kern w:val="0"/>
        </w:rPr>
        <w:t xml:space="preserve">? </w:t>
      </w:r>
      <w:r>
        <w:rPr>
          <w:kern w:val="0"/>
        </w:rPr>
        <w:t xml:space="preserve">Bornmann, L. (2011), Scientific peer review. </w:t>
      </w:r>
      <w:r>
        <w:rPr>
          <w:i/>
          <w:iCs/>
          <w:kern w:val="0"/>
        </w:rPr>
        <w:t>Annual Review</w:t>
      </w:r>
      <w:r w:rsidR="00427468">
        <w:rPr>
          <w:i/>
          <w:iCs/>
          <w:kern w:val="0"/>
        </w:rPr>
        <w:t xml:space="preserve"> of </w:t>
      </w:r>
      <w:r>
        <w:rPr>
          <w:i/>
          <w:iCs/>
          <w:kern w:val="0"/>
        </w:rPr>
        <w:t>Information Science</w:t>
      </w:r>
      <w:r w:rsidR="005853A9">
        <w:rPr>
          <w:i/>
          <w:iCs/>
          <w:kern w:val="0"/>
        </w:rPr>
        <w:t xml:space="preserve"> and </w:t>
      </w:r>
      <w:r>
        <w:rPr>
          <w:i/>
          <w:iCs/>
          <w:kern w:val="0"/>
        </w:rPr>
        <w:t>Technology</w:t>
      </w:r>
      <w:r>
        <w:rPr>
          <w:kern w:val="0"/>
        </w:rPr>
        <w:t xml:space="preserve">, </w:t>
      </w:r>
      <w:r>
        <w:rPr>
          <w:b/>
          <w:bCs/>
          <w:kern w:val="0"/>
        </w:rPr>
        <w:t>45</w:t>
      </w:r>
      <w:r>
        <w:rPr>
          <w:kern w:val="0"/>
        </w:rPr>
        <w:t>, 199-245</w:t>
      </w:r>
      <w:r>
        <w:rPr>
          <w:rFonts w:hint="eastAsia"/>
          <w:kern w:val="0"/>
        </w:rPr>
        <w:t>.</w:t>
      </w:r>
    </w:p>
    <w:p w:rsidR="003439FE" w:rsidRDefault="003439FE" w:rsidP="003439FE">
      <w:pPr>
        <w:pStyle w:val="a3"/>
        <w:rPr>
          <w:kern w:val="0"/>
        </w:rPr>
      </w:pPr>
      <w:r>
        <w:rPr>
          <w:rFonts w:hint="eastAsia"/>
          <w:kern w:val="0"/>
        </w:rPr>
        <w:t xml:space="preserve">Full Text: </w:t>
      </w:r>
      <w:hyperlink r:id="rId993" w:history="1">
        <w:r w:rsidRPr="00B45414">
          <w:rPr>
            <w:rStyle w:val="a5"/>
            <w:kern w:val="0"/>
          </w:rPr>
          <w:t>2011\Ann Rev Inf Sci Tec45, 199.pdf</w:t>
        </w:r>
      </w:hyperlink>
    </w:p>
    <w:p w:rsidR="002D495C" w:rsidRDefault="002D495C" w:rsidP="002D495C">
      <w:pPr>
        <w:pStyle w:val="a3"/>
        <w:rPr>
          <w:kern w:val="0"/>
        </w:rPr>
      </w:pPr>
      <w:r>
        <w:rPr>
          <w:kern w:val="0"/>
        </w:rPr>
        <w:t>Keywords: Advanced Bibliometric Methods, Angewandte-Chemie, Biomedical Publication, Citation Analysis, Fellowship Applications, Grant Applications, Inter-Referee Agreement, National-Science-Foundation, Predictive-Validity, Review, Statistical-Analysis</w:t>
      </w:r>
    </w:p>
    <w:p w:rsidR="003474F2" w:rsidRPr="001A3D2B" w:rsidRDefault="003474F2" w:rsidP="003474F2">
      <w:pPr>
        <w:pStyle w:val="1"/>
      </w:pPr>
      <w:r w:rsidRPr="001A3D2B">
        <w:br w:type="page"/>
      </w:r>
      <w:bookmarkStart w:id="514" w:name="_Toc420814535"/>
      <w:r w:rsidRPr="001A3D2B">
        <w:lastRenderedPageBreak/>
        <w:t>Title: Annual Review</w:t>
      </w:r>
      <w:r w:rsidR="00427468">
        <w:t xml:space="preserve"> of </w:t>
      </w:r>
      <w:r w:rsidRPr="001A3D2B">
        <w:t>Nursing Research</w:t>
      </w:r>
      <w:bookmarkEnd w:id="514"/>
    </w:p>
    <w:p w:rsidR="003474F2" w:rsidRPr="001A3D2B" w:rsidRDefault="003474F2" w:rsidP="003474F2">
      <w:pPr>
        <w:pStyle w:val="12"/>
      </w:pPr>
      <w:r w:rsidRPr="001A3D2B">
        <w:t>Full Journal Title: Annual Review</w:t>
      </w:r>
      <w:r w:rsidR="00427468">
        <w:t xml:space="preserve"> of </w:t>
      </w:r>
      <w:r w:rsidRPr="001A3D2B">
        <w:t>Nursing Research</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Annu Rev Nurs Res</w:t>
      </w:r>
    </w:p>
    <w:p w:rsidR="003474F2" w:rsidRPr="001A3D2B" w:rsidRDefault="003474F2" w:rsidP="003474F2">
      <w:pPr>
        <w:pStyle w:val="12"/>
      </w:pPr>
      <w:r w:rsidRPr="001A3D2B">
        <w:t>ISSN: 0739-6686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Madigan, E.A., Tullai-McGuinness, S.</w:t>
      </w:r>
      <w:r w:rsidR="005853A9">
        <w:t xml:space="preserve"> and </w:t>
      </w:r>
      <w:r w:rsidRPr="001A3D2B">
        <w:t xml:space="preserve">Neff, D.F. (2002), Home health services research. </w:t>
      </w:r>
      <w:r w:rsidRPr="001A3D2B">
        <w:rPr>
          <w:i/>
        </w:rPr>
        <w:t>Annual Review</w:t>
      </w:r>
      <w:r w:rsidR="00427468">
        <w:rPr>
          <w:i/>
        </w:rPr>
        <w:t xml:space="preserve"> of </w:t>
      </w:r>
      <w:r w:rsidRPr="001A3D2B">
        <w:rPr>
          <w:i/>
        </w:rPr>
        <w:t>Nursing Research</w:t>
      </w:r>
      <w:r w:rsidRPr="001A3D2B">
        <w:t xml:space="preserve">, </w:t>
      </w:r>
      <w:r w:rsidRPr="001A3D2B">
        <w:rPr>
          <w:b/>
          <w:bCs/>
        </w:rPr>
        <w:t>20</w:t>
      </w:r>
      <w:r w:rsidRPr="001A3D2B">
        <w:t>, 267-291.</w:t>
      </w:r>
    </w:p>
    <w:p w:rsidR="003474F2" w:rsidRPr="001A3D2B" w:rsidRDefault="003474F2" w:rsidP="003474F2">
      <w:pPr>
        <w:pStyle w:val="a3"/>
      </w:pPr>
      <w:r w:rsidRPr="001A3D2B">
        <w:t>Abstract: This chapter reviews 69 published research reports</w:t>
      </w:r>
      <w:r w:rsidR="00427468">
        <w:t xml:space="preserve"> of </w:t>
      </w:r>
      <w:r w:rsidRPr="001A3D2B">
        <w:t>home health care from a health services perspective by nurse researchers</w:t>
      </w:r>
      <w:r w:rsidR="005853A9">
        <w:t xml:space="preserve"> and </w:t>
      </w:r>
      <w:r w:rsidRPr="001A3D2B">
        <w:t>researchers from other disciplines. Reports were identified through searches</w:t>
      </w:r>
      <w:r w:rsidR="00427468">
        <w:t xml:space="preserve"> of </w:t>
      </w:r>
      <w:r w:rsidR="003A1917">
        <w:t xml:space="preserve">the </w:t>
      </w:r>
      <w:r w:rsidRPr="001A3D2B">
        <w:t>National Library</w:t>
      </w:r>
      <w:r w:rsidR="00427468">
        <w:t xml:space="preserve"> of </w:t>
      </w:r>
      <w:r w:rsidRPr="001A3D2B">
        <w:t>Medicine (</w:t>
      </w:r>
      <w:r w:rsidR="00D5664A">
        <w:t>MEDLINE</w:t>
      </w:r>
      <w:r w:rsidRPr="001A3D2B">
        <w:t>),</w:t>
      </w:r>
      <w:r w:rsidR="005853A9">
        <w:t xml:space="preserve"> and </w:t>
      </w:r>
      <w:r w:rsidR="003A1917">
        <w:t xml:space="preserve">the </w:t>
      </w:r>
      <w:r w:rsidRPr="001A3D2B">
        <w:t>Cumulative Index to Nursing</w:t>
      </w:r>
      <w:r w:rsidR="005853A9">
        <w:t xml:space="preserve"> and </w:t>
      </w:r>
      <w:r w:rsidRPr="001A3D2B">
        <w:t>Allied Health Literature</w:t>
      </w:r>
      <w:r w:rsidR="005853A9">
        <w:t xml:space="preserve"> and </w:t>
      </w:r>
      <w:r w:rsidRPr="001A3D2B">
        <w:t>Social Sciences Citation Index using</w:t>
      </w:r>
      <w:r w:rsidR="003A1917">
        <w:t xml:space="preserve"> the </w:t>
      </w:r>
      <w:r w:rsidRPr="001A3D2B">
        <w:t>following search terms: home health care, health services research,</w:t>
      </w:r>
      <w:r w:rsidR="005853A9">
        <w:t xml:space="preserve"> and </w:t>
      </w:r>
      <w:r w:rsidRPr="001A3D2B">
        <w:t>elders. Within</w:t>
      </w:r>
      <w:r w:rsidR="003A1917">
        <w:t xml:space="preserve"> the </w:t>
      </w:r>
      <w:r w:rsidRPr="001A3D2B">
        <w:t>major areas identified,</w:t>
      </w:r>
      <w:r w:rsidR="003A1917">
        <w:t xml:space="preserve"> the </w:t>
      </w:r>
      <w:r w:rsidRPr="001A3D2B">
        <w:t>following additional terms were specified: resource use</w:t>
      </w:r>
      <w:r w:rsidR="005853A9">
        <w:t xml:space="preserve"> and </w:t>
      </w:r>
      <w:r w:rsidRPr="001A3D2B">
        <w:t>outcomes. Reports were included if published between 1995</w:t>
      </w:r>
      <w:r w:rsidR="005853A9">
        <w:t xml:space="preserve"> and </w:t>
      </w:r>
      <w:r w:rsidRPr="001A3D2B">
        <w:t>2001, used samples age 65</w:t>
      </w:r>
      <w:r w:rsidR="005853A9">
        <w:t xml:space="preserve"> and </w:t>
      </w:r>
      <w:r w:rsidRPr="001A3D2B">
        <w:t>older, performed in</w:t>
      </w:r>
      <w:r w:rsidR="003A1917">
        <w:t xml:space="preserve"> the </w:t>
      </w:r>
      <w:r w:rsidRPr="001A3D2B">
        <w:t>U.S.,</w:t>
      </w:r>
      <w:r w:rsidR="005853A9">
        <w:t xml:space="preserve"> and </w:t>
      </w:r>
      <w:r w:rsidRPr="001A3D2B">
        <w:t>published in English. Studies</w:t>
      </w:r>
      <w:r w:rsidR="00427468">
        <w:t xml:space="preserve"> of </w:t>
      </w:r>
      <w:r w:rsidRPr="001A3D2B">
        <w:t>all types were included</w:t>
      </w:r>
      <w:r w:rsidR="00A37C1D">
        <w:t>. The</w:t>
      </w:r>
      <w:r w:rsidR="003A1917">
        <w:t xml:space="preserve"> </w:t>
      </w:r>
      <w:r w:rsidRPr="001A3D2B">
        <w:t>key findings follow: (a) Most studies were a theoretical. If a theoretical model was used, it was most often</w:t>
      </w:r>
      <w:r w:rsidR="003A1917">
        <w:t xml:space="preserve"> the </w:t>
      </w:r>
      <w:r w:rsidRPr="001A3D2B">
        <w:t>Andersen Behavioral Model. (b) Few conclusions can be drawn about resource use--increasing age</w:t>
      </w:r>
      <w:r w:rsidR="005853A9">
        <w:t xml:space="preserve"> and </w:t>
      </w:r>
      <w:r w:rsidRPr="001A3D2B">
        <w:t>higher severity</w:t>
      </w:r>
      <w:r w:rsidR="00427468">
        <w:t xml:space="preserve"> of </w:t>
      </w:r>
      <w:r w:rsidRPr="001A3D2B">
        <w:t>health related problems are associated with higher numbers</w:t>
      </w:r>
      <w:r w:rsidR="00427468">
        <w:t xml:space="preserve"> of </w:t>
      </w:r>
      <w:r w:rsidRPr="001A3D2B">
        <w:t>home visits</w:t>
      </w:r>
      <w:r w:rsidR="00A37C1D">
        <w:t>. The</w:t>
      </w:r>
      <w:r w:rsidR="003A1917">
        <w:t xml:space="preserve"> </w:t>
      </w:r>
      <w:r w:rsidRPr="001A3D2B">
        <w:t>variety</w:t>
      </w:r>
      <w:r w:rsidR="00427468">
        <w:t xml:space="preserve"> of </w:t>
      </w:r>
      <w:r w:rsidRPr="001A3D2B">
        <w:t>measures</w:t>
      </w:r>
      <w:r w:rsidR="00427468">
        <w:t xml:space="preserve"> of </w:t>
      </w:r>
      <w:r w:rsidRPr="001A3D2B">
        <w:t>resource use</w:t>
      </w:r>
      <w:r w:rsidR="005853A9">
        <w:t xml:space="preserve"> and </w:t>
      </w:r>
      <w:r w:rsidR="003A1917">
        <w:t xml:space="preserve">the </w:t>
      </w:r>
      <w:r w:rsidRPr="001A3D2B">
        <w:t>study approaches (large national data sets versus single or several agency samples) limits</w:t>
      </w:r>
      <w:r w:rsidR="003A1917">
        <w:t xml:space="preserve"> the </w:t>
      </w:r>
      <w:r w:rsidRPr="001A3D2B">
        <w:t>ability to draw conclusions on resource use. (c) There is a growing body</w:t>
      </w:r>
      <w:r w:rsidR="00427468">
        <w:t xml:space="preserve"> of </w:t>
      </w:r>
      <w:r w:rsidRPr="001A3D2B">
        <w:t>evidence on rehospitalization</w:t>
      </w:r>
      <w:r w:rsidR="00427468">
        <w:t xml:space="preserve"> of </w:t>
      </w:r>
      <w:r w:rsidRPr="001A3D2B">
        <w:t>home health care patients which indicates rehospitalization is prevalent but largely not predictable. (d) Patient outcomes research is inconclusive at this point, primarily because there are few studies that examine patient outcomes using a consistent set</w:t>
      </w:r>
      <w:r w:rsidR="00427468">
        <w:t xml:space="preserve"> of </w:t>
      </w:r>
      <w:r w:rsidRPr="001A3D2B">
        <w:t>measures</w:t>
      </w:r>
      <w:r w:rsidR="00A37C1D">
        <w:t>. The</w:t>
      </w:r>
      <w:r w:rsidR="003A1917">
        <w:t xml:space="preserve"> </w:t>
      </w:r>
      <w:r w:rsidRPr="001A3D2B">
        <w:t>main recommendations are: to study rehospitalization using a more profile-based approach to determine visit patterns that may be effective, to further specify</w:t>
      </w:r>
      <w:r w:rsidR="003A1917">
        <w:t xml:space="preserve"> the </w:t>
      </w:r>
      <w:r w:rsidRPr="001A3D2B">
        <w:t>kinds</w:t>
      </w:r>
      <w:r w:rsidR="00427468">
        <w:t xml:space="preserve"> of </w:t>
      </w:r>
      <w:r w:rsidRPr="001A3D2B">
        <w:t>outcomes that may be achieved as a result</w:t>
      </w:r>
      <w:r w:rsidR="00427468">
        <w:t xml:space="preserve"> of </w:t>
      </w:r>
      <w:r w:rsidRPr="001A3D2B">
        <w:t>home health care</w:t>
      </w:r>
      <w:r w:rsidR="005853A9">
        <w:t xml:space="preserve"> and </w:t>
      </w:r>
      <w:r w:rsidRPr="001A3D2B">
        <w:t>which patients might be expected to achieve positive outcomes,</w:t>
      </w:r>
      <w:r w:rsidR="005853A9">
        <w:t xml:space="preserve"> and </w:t>
      </w:r>
      <w:r w:rsidRPr="001A3D2B">
        <w:t>to examine</w:t>
      </w:r>
      <w:r w:rsidR="003A1917">
        <w:t xml:space="preserve"> the </w:t>
      </w:r>
      <w:r w:rsidRPr="001A3D2B">
        <w:lastRenderedPageBreak/>
        <w:t>integration</w:t>
      </w:r>
      <w:r w:rsidR="00427468">
        <w:t xml:space="preserve"> of </w:t>
      </w:r>
      <w:r w:rsidRPr="001A3D2B">
        <w:t>home health care with</w:t>
      </w:r>
      <w:r w:rsidR="003A1917">
        <w:t xml:space="preserve"> the </w:t>
      </w:r>
      <w:r w:rsidRPr="001A3D2B">
        <w:t>broader community-based services.</w:t>
      </w:r>
    </w:p>
    <w:p w:rsidR="003474F2" w:rsidRPr="001A3D2B" w:rsidRDefault="003474F2" w:rsidP="003474F2">
      <w:pPr>
        <w:pStyle w:val="a3"/>
      </w:pPr>
      <w:r w:rsidRPr="001A3D2B">
        <w:t xml:space="preserve">Keywords: Age, Approach, Care, Community Based, Data, Evidence, Health, Health Care, Health Services, Health Services Research, Home Visits, Integration, </w:t>
      </w:r>
      <w:r w:rsidR="00D5664A">
        <w:t>MEDLINE</w:t>
      </w:r>
      <w:r w:rsidRPr="001A3D2B">
        <w:t>, Model, Outcomes, Outcomes Research, Patients, Positive Outcomes, Recommendations, Rehospitalization, Research, Resource Use, Reviews, Services</w:t>
      </w:r>
    </w:p>
    <w:p w:rsidR="00872587" w:rsidRPr="00F219CA" w:rsidRDefault="00872587" w:rsidP="00872587">
      <w:pPr>
        <w:pStyle w:val="1"/>
      </w:pPr>
      <w:r w:rsidRPr="00F219CA">
        <w:br w:type="page"/>
      </w:r>
      <w:bookmarkStart w:id="515" w:name="_Toc420814536"/>
      <w:r w:rsidRPr="00F219CA">
        <w:lastRenderedPageBreak/>
        <w:t xml:space="preserve">Title: </w:t>
      </w:r>
      <w:r w:rsidRPr="009E4E30">
        <w:rPr>
          <w:szCs w:val="24"/>
        </w:rPr>
        <w:t>Annual Review</w:t>
      </w:r>
      <w:r w:rsidR="00427468">
        <w:rPr>
          <w:szCs w:val="24"/>
        </w:rPr>
        <w:t xml:space="preserve"> of </w:t>
      </w:r>
      <w:r w:rsidRPr="009E4E30">
        <w:rPr>
          <w:szCs w:val="24"/>
        </w:rPr>
        <w:t>Sociology</w:t>
      </w:r>
      <w:bookmarkEnd w:id="515"/>
    </w:p>
    <w:p w:rsidR="00872587" w:rsidRPr="00F219CA" w:rsidRDefault="00872587" w:rsidP="00872587">
      <w:pPr>
        <w:pStyle w:val="12"/>
      </w:pPr>
      <w:r w:rsidRPr="00F219CA">
        <w:t xml:space="preserve">Full Journal Title: </w:t>
      </w:r>
      <w:r w:rsidRPr="009E4E30">
        <w:rPr>
          <w:kern w:val="0"/>
        </w:rPr>
        <w:t>Annual Review</w:t>
      </w:r>
      <w:r w:rsidR="00427468">
        <w:rPr>
          <w:kern w:val="0"/>
        </w:rPr>
        <w:t xml:space="preserve"> of </w:t>
      </w:r>
      <w:r w:rsidRPr="009E4E30">
        <w:rPr>
          <w:kern w:val="0"/>
        </w:rPr>
        <w:t>Sociology</w:t>
      </w:r>
    </w:p>
    <w:p w:rsidR="00872587" w:rsidRPr="00F219CA" w:rsidRDefault="00872587" w:rsidP="00872587">
      <w:pPr>
        <w:pStyle w:val="12"/>
      </w:pPr>
      <w:r w:rsidRPr="00F219CA">
        <w:t xml:space="preserve">ISO Abbreviated Title: </w:t>
      </w:r>
    </w:p>
    <w:p w:rsidR="00872587" w:rsidRPr="00F219CA" w:rsidRDefault="00872587" w:rsidP="00872587">
      <w:pPr>
        <w:pStyle w:val="12"/>
      </w:pPr>
      <w:r w:rsidRPr="00F219CA">
        <w:t xml:space="preserve">JCR Abbreviated Title: </w:t>
      </w:r>
    </w:p>
    <w:p w:rsidR="00872587" w:rsidRPr="00F219CA" w:rsidRDefault="00872587" w:rsidP="00872587">
      <w:pPr>
        <w:pStyle w:val="12"/>
      </w:pPr>
      <w:r w:rsidRPr="00F219CA">
        <w:t xml:space="preserve">ISSN: </w:t>
      </w:r>
    </w:p>
    <w:p w:rsidR="00872587" w:rsidRPr="00F219CA" w:rsidRDefault="00872587" w:rsidP="00872587">
      <w:pPr>
        <w:pStyle w:val="12"/>
      </w:pPr>
      <w:r w:rsidRPr="00F219CA">
        <w:t xml:space="preserve">Issues/Year: </w:t>
      </w:r>
    </w:p>
    <w:p w:rsidR="00872587" w:rsidRPr="00F219CA" w:rsidRDefault="00872587" w:rsidP="00872587">
      <w:pPr>
        <w:pStyle w:val="12"/>
      </w:pPr>
      <w:r w:rsidRPr="00F219CA">
        <w:t xml:space="preserve">Journal Country/Territory: </w:t>
      </w:r>
    </w:p>
    <w:p w:rsidR="00872587" w:rsidRPr="00F219CA" w:rsidRDefault="00872587" w:rsidP="00872587">
      <w:pPr>
        <w:pStyle w:val="12"/>
      </w:pPr>
      <w:r w:rsidRPr="00F219CA">
        <w:t xml:space="preserve">Language: </w:t>
      </w:r>
    </w:p>
    <w:p w:rsidR="00872587" w:rsidRPr="00F219CA" w:rsidRDefault="00872587" w:rsidP="00872587">
      <w:pPr>
        <w:pStyle w:val="12"/>
      </w:pPr>
      <w:r w:rsidRPr="00F219CA">
        <w:t xml:space="preserve">Publisher: </w:t>
      </w:r>
    </w:p>
    <w:p w:rsidR="00872587" w:rsidRPr="00F219CA" w:rsidRDefault="00872587" w:rsidP="00872587">
      <w:pPr>
        <w:pStyle w:val="12"/>
      </w:pPr>
      <w:r w:rsidRPr="00F219CA">
        <w:t xml:space="preserve">Publisher Address: </w:t>
      </w:r>
    </w:p>
    <w:p w:rsidR="00872587" w:rsidRPr="00F219CA" w:rsidRDefault="00872587" w:rsidP="00872587">
      <w:pPr>
        <w:pStyle w:val="12"/>
      </w:pPr>
      <w:r w:rsidRPr="00F219CA">
        <w:t xml:space="preserve">Subject Categories: </w:t>
      </w:r>
    </w:p>
    <w:p w:rsidR="00872587" w:rsidRDefault="00872587" w:rsidP="00872587">
      <w:pPr>
        <w:pStyle w:val="12"/>
      </w:pPr>
      <w:r w:rsidRPr="00F219CA">
        <w:t xml:space="preserve">: Impact Factor </w:t>
      </w:r>
    </w:p>
    <w:p w:rsidR="00872587" w:rsidRDefault="00872587" w:rsidP="00872587">
      <w:pPr>
        <w:pStyle w:val="a3"/>
        <w:rPr>
          <w:kern w:val="0"/>
          <w:szCs w:val="24"/>
        </w:rPr>
      </w:pPr>
      <w:r w:rsidRPr="00121E61">
        <w:rPr>
          <w:kern w:val="0"/>
          <w:szCs w:val="24"/>
        </w:rPr>
        <w:t xml:space="preserve">? </w:t>
      </w:r>
      <w:r w:rsidRPr="009E4E30">
        <w:rPr>
          <w:kern w:val="0"/>
          <w:szCs w:val="24"/>
        </w:rPr>
        <w:t>Chasedunn, C</w:t>
      </w:r>
      <w:r>
        <w:rPr>
          <w:rFonts w:hint="eastAsia"/>
          <w:kern w:val="0"/>
          <w:szCs w:val="24"/>
        </w:rPr>
        <w:t>.</w:t>
      </w:r>
      <w:r w:rsidR="005853A9">
        <w:rPr>
          <w:rFonts w:hint="eastAsia"/>
          <w:kern w:val="0"/>
          <w:szCs w:val="24"/>
        </w:rPr>
        <w:t xml:space="preserve"> and </w:t>
      </w:r>
      <w:r w:rsidRPr="009E4E30">
        <w:rPr>
          <w:kern w:val="0"/>
          <w:szCs w:val="24"/>
        </w:rPr>
        <w:t>Grimes, P</w:t>
      </w:r>
      <w:r>
        <w:rPr>
          <w:rFonts w:hint="eastAsia"/>
          <w:kern w:val="0"/>
          <w:szCs w:val="24"/>
        </w:rPr>
        <w:t>.</w:t>
      </w:r>
      <w:r>
        <w:rPr>
          <w:rFonts w:hint="eastAsia"/>
        </w:rPr>
        <w:t xml:space="preserve"> (1995), </w:t>
      </w:r>
      <w:r w:rsidRPr="009E4E30">
        <w:rPr>
          <w:kern w:val="0"/>
          <w:szCs w:val="24"/>
        </w:rPr>
        <w:t>World</w:t>
      </w:r>
      <w:r>
        <w:rPr>
          <w:rFonts w:hint="eastAsia"/>
          <w:kern w:val="0"/>
          <w:szCs w:val="24"/>
        </w:rPr>
        <w:t>-</w:t>
      </w:r>
      <w:r w:rsidRPr="009E4E30">
        <w:rPr>
          <w:kern w:val="0"/>
          <w:szCs w:val="24"/>
        </w:rPr>
        <w:t>systems</w:t>
      </w:r>
      <w:r>
        <w:rPr>
          <w:rFonts w:hint="eastAsia"/>
          <w:kern w:val="0"/>
          <w:szCs w:val="24"/>
        </w:rPr>
        <w:t xml:space="preserve"> </w:t>
      </w:r>
      <w:r w:rsidRPr="009E4E30">
        <w:rPr>
          <w:kern w:val="0"/>
          <w:szCs w:val="24"/>
        </w:rPr>
        <w:t>analysis</w:t>
      </w:r>
      <w:r>
        <w:rPr>
          <w:rFonts w:hint="eastAsia"/>
        </w:rPr>
        <w:t xml:space="preserve">. </w:t>
      </w:r>
      <w:r w:rsidRPr="009E4E30">
        <w:rPr>
          <w:i/>
          <w:kern w:val="0"/>
          <w:szCs w:val="24"/>
        </w:rPr>
        <w:t>Annual Review</w:t>
      </w:r>
      <w:r w:rsidR="00427468">
        <w:rPr>
          <w:i/>
          <w:kern w:val="0"/>
          <w:szCs w:val="24"/>
        </w:rPr>
        <w:t xml:space="preserve"> of </w:t>
      </w:r>
      <w:r w:rsidRPr="009E4E30">
        <w:rPr>
          <w:i/>
          <w:kern w:val="0"/>
          <w:szCs w:val="24"/>
        </w:rPr>
        <w:t>Sociology</w:t>
      </w:r>
      <w:r>
        <w:rPr>
          <w:rFonts w:hint="eastAsia"/>
        </w:rPr>
        <w:t xml:space="preserve">, </w:t>
      </w:r>
      <w:r>
        <w:rPr>
          <w:rFonts w:hint="eastAsia"/>
          <w:b/>
          <w:bCs/>
        </w:rPr>
        <w:t>21</w:t>
      </w:r>
      <w:r>
        <w:rPr>
          <w:rFonts w:hint="eastAsia"/>
        </w:rPr>
        <w:t xml:space="preserve">, </w:t>
      </w:r>
      <w:r w:rsidRPr="009E4E30">
        <w:rPr>
          <w:kern w:val="0"/>
          <w:szCs w:val="24"/>
        </w:rPr>
        <w:t>387-417</w:t>
      </w:r>
      <w:r w:rsidRPr="00121E61">
        <w:rPr>
          <w:kern w:val="0"/>
          <w:szCs w:val="24"/>
        </w:rPr>
        <w:t>.</w:t>
      </w:r>
    </w:p>
    <w:p w:rsidR="00872587" w:rsidRDefault="00872587" w:rsidP="00872587">
      <w:pPr>
        <w:pStyle w:val="a3"/>
        <w:rPr>
          <w:kern w:val="0"/>
          <w:szCs w:val="24"/>
        </w:rPr>
      </w:pPr>
      <w:r>
        <w:rPr>
          <w:rFonts w:hint="eastAsia"/>
          <w:kern w:val="0"/>
          <w:szCs w:val="24"/>
        </w:rPr>
        <w:t xml:space="preserve">Full </w:t>
      </w:r>
      <w:r>
        <w:rPr>
          <w:kern w:val="0"/>
          <w:szCs w:val="24"/>
        </w:rPr>
        <w:t>Text</w:t>
      </w:r>
      <w:r>
        <w:rPr>
          <w:rFonts w:hint="eastAsia"/>
          <w:kern w:val="0"/>
          <w:szCs w:val="24"/>
        </w:rPr>
        <w:t xml:space="preserve">: </w:t>
      </w:r>
      <w:hyperlink r:id="rId994" w:history="1">
        <w:r w:rsidRPr="009E4E30">
          <w:rPr>
            <w:rStyle w:val="a5"/>
            <w:kern w:val="0"/>
            <w:szCs w:val="24"/>
          </w:rPr>
          <w:t>1995\Ann Rev Soc21, 387.pdf</w:t>
        </w:r>
      </w:hyperlink>
    </w:p>
    <w:p w:rsidR="00872587" w:rsidRPr="009E4E30" w:rsidRDefault="00872587" w:rsidP="00872587">
      <w:pPr>
        <w:pStyle w:val="a3"/>
        <w:rPr>
          <w:kern w:val="0"/>
          <w:szCs w:val="24"/>
        </w:rPr>
      </w:pPr>
      <w:r w:rsidRPr="009E4E30">
        <w:rPr>
          <w:kern w:val="0"/>
          <w:szCs w:val="24"/>
        </w:rPr>
        <w:t>Abstract: This is a review</w:t>
      </w:r>
      <w:r w:rsidR="00427468">
        <w:rPr>
          <w:kern w:val="0"/>
          <w:szCs w:val="24"/>
        </w:rPr>
        <w:t xml:space="preserve"> of </w:t>
      </w:r>
      <w:r w:rsidRPr="009E4E30">
        <w:rPr>
          <w:kern w:val="0"/>
          <w:szCs w:val="24"/>
        </w:rPr>
        <w:t>recent research on world-systems. We cover studies</w:t>
      </w:r>
      <w:r w:rsidR="00427468">
        <w:rPr>
          <w:kern w:val="0"/>
          <w:szCs w:val="24"/>
        </w:rPr>
        <w:t xml:space="preserve"> of </w:t>
      </w:r>
      <w:r w:rsidR="003A1917">
        <w:rPr>
          <w:kern w:val="0"/>
          <w:szCs w:val="24"/>
        </w:rPr>
        <w:t xml:space="preserve">the </w:t>
      </w:r>
      <w:r w:rsidRPr="009E4E30">
        <w:rPr>
          <w:kern w:val="0"/>
          <w:szCs w:val="24"/>
        </w:rPr>
        <w:t>current system</w:t>
      </w:r>
      <w:r w:rsidR="005853A9">
        <w:rPr>
          <w:kern w:val="0"/>
          <w:szCs w:val="24"/>
        </w:rPr>
        <w:t xml:space="preserve"> and </w:t>
      </w:r>
      <w:r w:rsidRPr="009E4E30">
        <w:rPr>
          <w:kern w:val="0"/>
          <w:szCs w:val="24"/>
        </w:rPr>
        <w:t>studies that compare</w:t>
      </w:r>
      <w:r w:rsidR="003A1917">
        <w:rPr>
          <w:kern w:val="0"/>
          <w:szCs w:val="24"/>
        </w:rPr>
        <w:t xml:space="preserve"> the </w:t>
      </w:r>
      <w:r w:rsidRPr="009E4E30">
        <w:rPr>
          <w:kern w:val="0"/>
          <w:szCs w:val="24"/>
        </w:rPr>
        <w:t>contemporary global system with earlier, smaller intersocietal systems. Research on</w:t>
      </w:r>
      <w:r w:rsidR="003A1917">
        <w:rPr>
          <w:kern w:val="0"/>
          <w:szCs w:val="24"/>
        </w:rPr>
        <w:t xml:space="preserve"> the </w:t>
      </w:r>
      <w:r w:rsidRPr="009E4E30">
        <w:rPr>
          <w:kern w:val="0"/>
          <w:szCs w:val="24"/>
        </w:rPr>
        <w:t>cycles</w:t>
      </w:r>
      <w:r w:rsidR="005853A9">
        <w:rPr>
          <w:kern w:val="0"/>
          <w:szCs w:val="24"/>
        </w:rPr>
        <w:t xml:space="preserve"> and </w:t>
      </w:r>
      <w:r w:rsidRPr="009E4E30">
        <w:rPr>
          <w:kern w:val="0"/>
          <w:szCs w:val="24"/>
        </w:rPr>
        <w:t>secular trends found in</w:t>
      </w:r>
      <w:r w:rsidR="003A1917">
        <w:rPr>
          <w:kern w:val="0"/>
          <w:szCs w:val="24"/>
        </w:rPr>
        <w:t xml:space="preserve"> the </w:t>
      </w:r>
      <w:r w:rsidRPr="009E4E30">
        <w:rPr>
          <w:kern w:val="0"/>
          <w:szCs w:val="24"/>
        </w:rPr>
        <w:t>modern world-system is discussed at length. This includes an examination</w:t>
      </w:r>
      <w:r w:rsidR="00427468">
        <w:rPr>
          <w:kern w:val="0"/>
          <w:szCs w:val="24"/>
        </w:rPr>
        <w:t xml:space="preserve"> of </w:t>
      </w:r>
      <w:r w:rsidRPr="009E4E30">
        <w:rPr>
          <w:kern w:val="0"/>
          <w:szCs w:val="24"/>
        </w:rPr>
        <w:t>economic cycles</w:t>
      </w:r>
      <w:r w:rsidR="00427468">
        <w:rPr>
          <w:kern w:val="0"/>
          <w:szCs w:val="24"/>
        </w:rPr>
        <w:t xml:space="preserve"> of </w:t>
      </w:r>
      <w:r w:rsidRPr="009E4E30">
        <w:rPr>
          <w:kern w:val="0"/>
          <w:szCs w:val="24"/>
        </w:rPr>
        <w:t>various lengths as well as their Links with broader cycles like</w:t>
      </w:r>
      <w:r w:rsidR="003A1917">
        <w:rPr>
          <w:kern w:val="0"/>
          <w:szCs w:val="24"/>
        </w:rPr>
        <w:t xml:space="preserve"> the </w:t>
      </w:r>
      <w:r w:rsidRPr="009E4E30">
        <w:rPr>
          <w:kern w:val="0"/>
          <w:szCs w:val="24"/>
        </w:rPr>
        <w:t>rise</w:t>
      </w:r>
      <w:r w:rsidR="005853A9">
        <w:rPr>
          <w:kern w:val="0"/>
          <w:szCs w:val="24"/>
        </w:rPr>
        <w:t xml:space="preserve"> and </w:t>
      </w:r>
      <w:r w:rsidRPr="009E4E30">
        <w:rPr>
          <w:kern w:val="0"/>
          <w:szCs w:val="24"/>
        </w:rPr>
        <w:t>fall</w:t>
      </w:r>
      <w:r w:rsidR="00427468">
        <w:rPr>
          <w:kern w:val="0"/>
          <w:szCs w:val="24"/>
        </w:rPr>
        <w:t xml:space="preserve"> of </w:t>
      </w:r>
      <w:r w:rsidRPr="009E4E30">
        <w:rPr>
          <w:kern w:val="0"/>
          <w:szCs w:val="24"/>
        </w:rPr>
        <w:t>hegemonic core powers, international financial crises,</w:t>
      </w:r>
      <w:r w:rsidR="005853A9">
        <w:rPr>
          <w:kern w:val="0"/>
          <w:szCs w:val="24"/>
        </w:rPr>
        <w:t xml:space="preserve"> and </w:t>
      </w:r>
      <w:r w:rsidR="003A1917">
        <w:rPr>
          <w:kern w:val="0"/>
          <w:szCs w:val="24"/>
        </w:rPr>
        <w:t xml:space="preserve">the </w:t>
      </w:r>
      <w:r w:rsidRPr="009E4E30">
        <w:rPr>
          <w:kern w:val="0"/>
          <w:szCs w:val="24"/>
        </w:rPr>
        <w:t>cycle</w:t>
      </w:r>
      <w:r w:rsidR="00427468">
        <w:rPr>
          <w:kern w:val="0"/>
          <w:szCs w:val="24"/>
        </w:rPr>
        <w:t xml:space="preserve"> of </w:t>
      </w:r>
      <w:r w:rsidRPr="009E4E30">
        <w:rPr>
          <w:kern w:val="0"/>
          <w:szCs w:val="24"/>
        </w:rPr>
        <w:t>global war. We also survey recent studie</w:t>
      </w:r>
      <w:r>
        <w:rPr>
          <w:kern w:val="0"/>
          <w:szCs w:val="24"/>
        </w:rPr>
        <w:t>s</w:t>
      </w:r>
      <w:r w:rsidR="00427468">
        <w:rPr>
          <w:kern w:val="0"/>
          <w:szCs w:val="24"/>
        </w:rPr>
        <w:t xml:space="preserve"> of </w:t>
      </w:r>
      <w:r>
        <w:rPr>
          <w:kern w:val="0"/>
          <w:szCs w:val="24"/>
        </w:rPr>
        <w:t>core-periphery hierarchy.</w:t>
      </w:r>
    </w:p>
    <w:p w:rsidR="00872587" w:rsidRPr="00121E61" w:rsidRDefault="00872587" w:rsidP="00872587">
      <w:pPr>
        <w:pStyle w:val="a3"/>
        <w:rPr>
          <w:kern w:val="0"/>
          <w:szCs w:val="24"/>
        </w:rPr>
      </w:pPr>
      <w:r w:rsidRPr="009E4E30">
        <w:rPr>
          <w:kern w:val="0"/>
          <w:szCs w:val="24"/>
        </w:rPr>
        <w:t>Keywords: Economic Cycles</w:t>
      </w:r>
      <w:r>
        <w:rPr>
          <w:kern w:val="0"/>
          <w:szCs w:val="24"/>
        </w:rPr>
        <w:t>,</w:t>
      </w:r>
      <w:r w:rsidRPr="009E4E30">
        <w:rPr>
          <w:kern w:val="0"/>
          <w:szCs w:val="24"/>
        </w:rPr>
        <w:t xml:space="preserve"> Warfare</w:t>
      </w:r>
      <w:r>
        <w:rPr>
          <w:kern w:val="0"/>
          <w:szCs w:val="24"/>
        </w:rPr>
        <w:t>,</w:t>
      </w:r>
      <w:r w:rsidRPr="009E4E30">
        <w:rPr>
          <w:kern w:val="0"/>
          <w:szCs w:val="24"/>
        </w:rPr>
        <w:t xml:space="preserve"> Social Evolution</w:t>
      </w:r>
      <w:r>
        <w:rPr>
          <w:kern w:val="0"/>
          <w:szCs w:val="24"/>
        </w:rPr>
        <w:t>,</w:t>
      </w:r>
      <w:r w:rsidRPr="009E4E30">
        <w:rPr>
          <w:kern w:val="0"/>
          <w:szCs w:val="24"/>
        </w:rPr>
        <w:t xml:space="preserve"> Global Crisis</w:t>
      </w:r>
      <w:r>
        <w:rPr>
          <w:kern w:val="0"/>
          <w:szCs w:val="24"/>
        </w:rPr>
        <w:t>,</w:t>
      </w:r>
      <w:r w:rsidRPr="009E4E30">
        <w:rPr>
          <w:kern w:val="0"/>
          <w:szCs w:val="24"/>
        </w:rPr>
        <w:t xml:space="preserve"> Capitalism</w:t>
      </w:r>
      <w:r>
        <w:rPr>
          <w:kern w:val="0"/>
          <w:szCs w:val="24"/>
        </w:rPr>
        <w:t>,</w:t>
      </w:r>
      <w:r w:rsidRPr="009E4E30">
        <w:rPr>
          <w:kern w:val="0"/>
          <w:szCs w:val="24"/>
        </w:rPr>
        <w:t xml:space="preserve"> International-Trade</w:t>
      </w:r>
      <w:r>
        <w:rPr>
          <w:kern w:val="0"/>
          <w:szCs w:val="24"/>
        </w:rPr>
        <w:t>,</w:t>
      </w:r>
      <w:r w:rsidRPr="009E4E30">
        <w:rPr>
          <w:kern w:val="0"/>
          <w:szCs w:val="24"/>
        </w:rPr>
        <w:t xml:space="preserve"> Perspective</w:t>
      </w:r>
      <w:r>
        <w:rPr>
          <w:kern w:val="0"/>
          <w:szCs w:val="24"/>
        </w:rPr>
        <w:t>, Revolution</w:t>
      </w:r>
    </w:p>
    <w:p w:rsidR="00B94950" w:rsidRPr="001A3D2B" w:rsidRDefault="00B94950" w:rsidP="00B94950">
      <w:pPr>
        <w:pStyle w:val="1"/>
      </w:pPr>
      <w:r w:rsidRPr="001A3D2B">
        <w:br w:type="page"/>
      </w:r>
      <w:bookmarkStart w:id="516" w:name="_Toc420814537"/>
      <w:r w:rsidRPr="001A3D2B">
        <w:lastRenderedPageBreak/>
        <w:t>Title: AMIA Annual Symposium Proceedings</w:t>
      </w:r>
      <w:bookmarkEnd w:id="516"/>
    </w:p>
    <w:p w:rsidR="00B94950" w:rsidRPr="001A3D2B" w:rsidRDefault="00B94950" w:rsidP="00B94950">
      <w:pPr>
        <w:pStyle w:val="12"/>
      </w:pPr>
      <w:r w:rsidRPr="001A3D2B">
        <w:t xml:space="preserve">Full Journal Title: </w:t>
      </w:r>
      <w:hyperlink r:id="rId995" w:history="1">
        <w:r w:rsidRPr="001A3D2B">
          <w:rPr>
            <w:rStyle w:val="a5"/>
          </w:rPr>
          <w:t>AMIA Annual Symposium Proceedings</w:t>
        </w:r>
      </w:hyperlink>
    </w:p>
    <w:p w:rsidR="00B94950" w:rsidRPr="001A3D2B" w:rsidRDefault="00B94950" w:rsidP="00B94950">
      <w:pPr>
        <w:pStyle w:val="12"/>
      </w:pPr>
      <w:r w:rsidRPr="001A3D2B">
        <w:t xml:space="preserve">ISO Abbreviated Title: </w:t>
      </w:r>
    </w:p>
    <w:p w:rsidR="00B94950" w:rsidRPr="001A3D2B" w:rsidRDefault="00B94950" w:rsidP="00B94950">
      <w:pPr>
        <w:pStyle w:val="12"/>
      </w:pPr>
      <w:r w:rsidRPr="001A3D2B">
        <w:t>JCR Abbreviated Title: AMIA Annu Symp Proc</w:t>
      </w:r>
    </w:p>
    <w:p w:rsidR="00B94950" w:rsidRPr="001A3D2B" w:rsidRDefault="00B94950" w:rsidP="00B94950">
      <w:pPr>
        <w:pStyle w:val="12"/>
      </w:pPr>
      <w:r w:rsidRPr="001A3D2B">
        <w:t>ISSN: 1559-4076</w:t>
      </w:r>
    </w:p>
    <w:p w:rsidR="00B94950" w:rsidRPr="001A3D2B" w:rsidRDefault="00B94950" w:rsidP="00B94950">
      <w:pPr>
        <w:pStyle w:val="12"/>
      </w:pPr>
      <w:r w:rsidRPr="001A3D2B">
        <w:t xml:space="preserve">Issues/Year: </w:t>
      </w:r>
    </w:p>
    <w:p w:rsidR="00B94950" w:rsidRPr="001A3D2B" w:rsidRDefault="00B94950" w:rsidP="00B94950">
      <w:pPr>
        <w:pStyle w:val="12"/>
      </w:pPr>
      <w:r w:rsidRPr="001A3D2B">
        <w:t xml:space="preserve">Journal Country/Territory: </w:t>
      </w:r>
    </w:p>
    <w:p w:rsidR="00B94950" w:rsidRPr="001A3D2B" w:rsidRDefault="00B94950" w:rsidP="00B94950">
      <w:pPr>
        <w:pStyle w:val="12"/>
      </w:pPr>
      <w:r w:rsidRPr="001A3D2B">
        <w:t xml:space="preserve">Language: </w:t>
      </w:r>
    </w:p>
    <w:p w:rsidR="00B94950" w:rsidRPr="001A3D2B" w:rsidRDefault="00B94950" w:rsidP="00B94950">
      <w:pPr>
        <w:pStyle w:val="12"/>
      </w:pPr>
      <w:r w:rsidRPr="001A3D2B">
        <w:t xml:space="preserve">Publisher: </w:t>
      </w:r>
    </w:p>
    <w:p w:rsidR="00B94950" w:rsidRPr="001A3D2B" w:rsidRDefault="00B94950" w:rsidP="00B94950">
      <w:pPr>
        <w:pStyle w:val="12"/>
      </w:pPr>
      <w:r w:rsidRPr="001A3D2B">
        <w:t xml:space="preserve">Publisher Address: </w:t>
      </w:r>
    </w:p>
    <w:p w:rsidR="00B94950" w:rsidRPr="001A3D2B" w:rsidRDefault="00B94950" w:rsidP="00B94950">
      <w:pPr>
        <w:pStyle w:val="12"/>
      </w:pPr>
      <w:r w:rsidRPr="001A3D2B">
        <w:t xml:space="preserve">Subject Categories: </w:t>
      </w:r>
    </w:p>
    <w:p w:rsidR="00B94950" w:rsidRPr="001A3D2B" w:rsidRDefault="00B94950" w:rsidP="00B94950">
      <w:pPr>
        <w:pStyle w:val="12"/>
      </w:pPr>
      <w:r w:rsidRPr="001A3D2B">
        <w:t xml:space="preserve">: Impact Factor </w:t>
      </w:r>
    </w:p>
    <w:p w:rsidR="00B94950" w:rsidRPr="001A3D2B" w:rsidRDefault="00B94950" w:rsidP="00B94950">
      <w:pPr>
        <w:pStyle w:val="a3"/>
      </w:pPr>
      <w:r w:rsidRPr="001A3D2B">
        <w:t>? Synnestvedt, M.</w:t>
      </w:r>
      <w:r w:rsidR="005853A9">
        <w:t xml:space="preserve"> and </w:t>
      </w:r>
      <w:r w:rsidRPr="001A3D2B">
        <w:t xml:space="preserve">Chen, C. (2003), Visualizing AMIA: A medical informatics knowledge domain analysis. </w:t>
      </w:r>
      <w:r w:rsidRPr="001A3D2B">
        <w:rPr>
          <w:i/>
          <w:iCs/>
        </w:rPr>
        <w:t>AMIA Annual Symposium Proceedings</w:t>
      </w:r>
      <w:r w:rsidRPr="001A3D2B">
        <w:t>, 1024.</w:t>
      </w:r>
    </w:p>
    <w:p w:rsidR="00B94950" w:rsidRPr="001A3D2B" w:rsidRDefault="00B94950" w:rsidP="00B94950">
      <w:pPr>
        <w:pStyle w:val="a3"/>
      </w:pPr>
      <w:r w:rsidRPr="001A3D2B">
        <w:t xml:space="preserve">Full Text: </w:t>
      </w:r>
      <w:hyperlink r:id="rId996" w:history="1">
        <w:r w:rsidRPr="001A3D2B">
          <w:rPr>
            <w:rStyle w:val="a5"/>
          </w:rPr>
          <w:t>2003\AMIA Ann Sym Pro03, 1024.pdf</w:t>
        </w:r>
      </w:hyperlink>
    </w:p>
    <w:p w:rsidR="00B94950" w:rsidRPr="001A3D2B" w:rsidRDefault="00B94950" w:rsidP="00B94950">
      <w:pPr>
        <w:pStyle w:val="a3"/>
      </w:pPr>
      <w:r w:rsidRPr="001A3D2B">
        <w:t xml:space="preserve">Abstract: Medical Informatics has been described as having a </w:t>
      </w:r>
      <w:r w:rsidR="00B5188C">
        <w:t>“</w:t>
      </w:r>
      <w:r w:rsidRPr="001A3D2B">
        <w:t>long</w:t>
      </w:r>
      <w:r w:rsidR="005853A9">
        <w:t xml:space="preserve"> and </w:t>
      </w:r>
      <w:r w:rsidRPr="001A3D2B">
        <w:t>delayed adolescence</w:t>
      </w:r>
      <w:r w:rsidR="00B5188C">
        <w:t>”</w:t>
      </w:r>
      <w:r w:rsidRPr="001A3D2B">
        <w:t xml:space="preserve"> which continues to </w:t>
      </w:r>
      <w:r w:rsidR="00B5188C">
        <w:t>“</w:t>
      </w:r>
      <w:r w:rsidRPr="001A3D2B">
        <w:t>find itself in search</w:t>
      </w:r>
      <w:r w:rsidR="00427468">
        <w:t xml:space="preserve"> of </w:t>
      </w:r>
      <w:r w:rsidRPr="001A3D2B">
        <w:t>self-definition</w:t>
      </w:r>
      <w:r w:rsidR="00B5188C">
        <w:t>”</w:t>
      </w:r>
      <w:r w:rsidRPr="001A3D2B">
        <w:t>,</w:t>
      </w:r>
      <w:r w:rsidR="005853A9">
        <w:t xml:space="preserve"> and </w:t>
      </w:r>
      <w:r w:rsidR="003A1917">
        <w:t xml:space="preserve">the </w:t>
      </w:r>
      <w:r w:rsidRPr="001A3D2B">
        <w:t>AMIA Symposium Proceedings have been viewed as an indicator</w:t>
      </w:r>
      <w:r w:rsidR="00427468">
        <w:t xml:space="preserve"> of </w:t>
      </w:r>
      <w:r w:rsidRPr="001A3D2B">
        <w:t>trends in</w:t>
      </w:r>
      <w:r w:rsidR="003A1917">
        <w:t xml:space="preserve"> the </w:t>
      </w:r>
      <w:r w:rsidRPr="001A3D2B">
        <w:t>field. This pilot study investigated</w:t>
      </w:r>
      <w:r w:rsidR="003A1917">
        <w:t xml:space="preserve"> the </w:t>
      </w:r>
      <w:r w:rsidRPr="001A3D2B">
        <w:t>feasibility</w:t>
      </w:r>
      <w:r w:rsidR="00427468">
        <w:t xml:space="preserve"> of </w:t>
      </w:r>
      <w:r w:rsidRPr="001A3D2B">
        <w:t>applying a knowledge domain visualization approach to clarifying</w:t>
      </w:r>
      <w:r w:rsidR="003A1917">
        <w:t xml:space="preserve"> the </w:t>
      </w:r>
      <w:r w:rsidRPr="001A3D2B">
        <w:t>domain</w:t>
      </w:r>
      <w:r w:rsidR="00427468">
        <w:t xml:space="preserve"> of </w:t>
      </w:r>
      <w:r w:rsidRPr="001A3D2B">
        <w:t>medical informatics based on</w:t>
      </w:r>
      <w:r w:rsidR="003A1917">
        <w:t xml:space="preserve"> the </w:t>
      </w:r>
      <w:r w:rsidRPr="001A3D2B">
        <w:t>AMIA publications. Document co-citation analysis (DCA) is combined with Pathfinder Network Scaling (PFNET), visualization,</w:t>
      </w:r>
      <w:r w:rsidR="005853A9">
        <w:t xml:space="preserve"> and </w:t>
      </w:r>
      <w:r w:rsidRPr="001A3D2B">
        <w:t>animation to develop a 3-D knowledge landscape.</w:t>
      </w:r>
    </w:p>
    <w:p w:rsidR="00B94950" w:rsidRPr="001A3D2B" w:rsidRDefault="00B94950" w:rsidP="00B94950">
      <w:pPr>
        <w:pStyle w:val="a3"/>
      </w:pPr>
      <w:r w:rsidRPr="001A3D2B">
        <w:t>Keywords: 3D, Analysis, Approach, Co-Citation, Co-Citation Analysis, Cocitation, Domain Analysis, Feasibility, Field, Indicator, Informatics, Knowledge, Landscape, Medical, Medical Informatics, Pilot, Publications, Trends, Visualization</w:t>
      </w:r>
    </w:p>
    <w:p w:rsidR="00B94950" w:rsidRPr="001A3D2B" w:rsidRDefault="00B94950" w:rsidP="00B94950">
      <w:pPr>
        <w:pStyle w:val="a3"/>
      </w:pPr>
      <w:r w:rsidRPr="001A3D2B">
        <w:t>? Synnestvedt, M.B., Chen, C.</w:t>
      </w:r>
      <w:r w:rsidR="005853A9">
        <w:t xml:space="preserve"> and </w:t>
      </w:r>
      <w:r w:rsidRPr="001A3D2B">
        <w:t>Holmes, J.H. (2005), CiteSpace II: visualization</w:t>
      </w:r>
      <w:r w:rsidR="005853A9">
        <w:t xml:space="preserve"> and </w:t>
      </w:r>
      <w:r w:rsidRPr="001A3D2B">
        <w:t xml:space="preserve">knowledge discovery in bibliographic databases. </w:t>
      </w:r>
      <w:r w:rsidRPr="001A3D2B">
        <w:rPr>
          <w:i/>
          <w:iCs/>
        </w:rPr>
        <w:t>AMIA Annual Symposium Proceedings</w:t>
      </w:r>
      <w:r w:rsidRPr="001A3D2B">
        <w:t>, 724-728.</w:t>
      </w:r>
    </w:p>
    <w:p w:rsidR="00B94950" w:rsidRPr="001A3D2B" w:rsidRDefault="00B94950" w:rsidP="00B94950">
      <w:pPr>
        <w:pStyle w:val="a3"/>
      </w:pPr>
      <w:r w:rsidRPr="001A3D2B">
        <w:t xml:space="preserve">Full Text: </w:t>
      </w:r>
      <w:hyperlink r:id="rId997" w:history="1">
        <w:r w:rsidRPr="001A3D2B">
          <w:rPr>
            <w:rStyle w:val="a5"/>
          </w:rPr>
          <w:t>2005\AMIA Ann Sym Pro05, 724.pdf</w:t>
        </w:r>
      </w:hyperlink>
    </w:p>
    <w:p w:rsidR="00B94950" w:rsidRPr="001A3D2B" w:rsidRDefault="00B94950" w:rsidP="00B94950">
      <w:pPr>
        <w:pStyle w:val="a3"/>
      </w:pPr>
      <w:r w:rsidRPr="001A3D2B">
        <w:t>Abstract: This article presents a description</w:t>
      </w:r>
      <w:r w:rsidR="005853A9">
        <w:t xml:space="preserve"> and </w:t>
      </w:r>
      <w:r w:rsidRPr="001A3D2B">
        <w:t>case study</w:t>
      </w:r>
      <w:r w:rsidR="00427468">
        <w:t xml:space="preserve"> of </w:t>
      </w:r>
      <w:r w:rsidRPr="001A3D2B">
        <w:t>CiteSpace II, a Java application which supports visual exploration with knowledge discovery in bibliographic databases. Highly cited</w:t>
      </w:r>
      <w:r w:rsidR="005853A9">
        <w:t xml:space="preserve"> and </w:t>
      </w:r>
      <w:r w:rsidRPr="001A3D2B">
        <w:t>pivotal documents, areas</w:t>
      </w:r>
      <w:r w:rsidR="00427468">
        <w:t xml:space="preserve"> of </w:t>
      </w:r>
      <w:r w:rsidRPr="001A3D2B">
        <w:t>specialization within a knowledge domain,</w:t>
      </w:r>
      <w:r w:rsidR="005853A9">
        <w:t xml:space="preserve"> and </w:t>
      </w:r>
      <w:r w:rsidRPr="001A3D2B">
        <w:t>emergence</w:t>
      </w:r>
      <w:r w:rsidR="00427468">
        <w:t xml:space="preserve"> of </w:t>
      </w:r>
      <w:r w:rsidRPr="001A3D2B">
        <w:t>research topics are visually mapped through a progressive knowledge domain visualization approach to detecting</w:t>
      </w:r>
      <w:r w:rsidR="005853A9">
        <w:t xml:space="preserve"> and </w:t>
      </w:r>
      <w:r w:rsidRPr="001A3D2B">
        <w:t>visualizing trends</w:t>
      </w:r>
      <w:r w:rsidR="005853A9">
        <w:t xml:space="preserve"> and </w:t>
      </w:r>
      <w:r w:rsidRPr="001A3D2B">
        <w:t>patterns in scientific literature</w:t>
      </w:r>
      <w:r w:rsidR="00A37C1D">
        <w:t>. The</w:t>
      </w:r>
      <w:r w:rsidR="003A1917">
        <w:t xml:space="preserve"> </w:t>
      </w:r>
      <w:r w:rsidRPr="001A3D2B">
        <w:t>test case in this study is progressive knowledge domain visualization</w:t>
      </w:r>
      <w:r w:rsidR="00427468">
        <w:t xml:space="preserve"> of </w:t>
      </w:r>
      <w:r w:rsidR="003A1917">
        <w:t xml:space="preserve">the </w:t>
      </w:r>
      <w:r w:rsidRPr="001A3D2B">
        <w:t>field</w:t>
      </w:r>
      <w:r w:rsidR="00427468">
        <w:t xml:space="preserve"> of </w:t>
      </w:r>
      <w:r w:rsidRPr="001A3D2B">
        <w:t xml:space="preserve">medical informatics. </w:t>
      </w:r>
      <w:r w:rsidRPr="001A3D2B">
        <w:lastRenderedPageBreak/>
        <w:t>Datasets based on publications from twelve journals in</w:t>
      </w:r>
      <w:r w:rsidR="003A1917">
        <w:t xml:space="preserve"> the </w:t>
      </w:r>
      <w:r w:rsidRPr="001A3D2B">
        <w:t>medical informatics field covering</w:t>
      </w:r>
      <w:r w:rsidR="003A1917">
        <w:t xml:space="preserve"> the </w:t>
      </w:r>
      <w:r w:rsidRPr="001A3D2B">
        <w:t xml:space="preserve">time period from 1964-2004 were extracted from </w:t>
      </w:r>
      <w:r w:rsidR="002C12F0">
        <w:t>PUBMED</w:t>
      </w:r>
      <w:r w:rsidR="005853A9">
        <w:t xml:space="preserve"> and </w:t>
      </w:r>
      <w:r w:rsidR="00D5664A">
        <w:t>Web</w:t>
      </w:r>
      <w:r w:rsidR="00427468">
        <w:t xml:space="preserve"> of </w:t>
      </w:r>
      <w:r w:rsidR="00D5664A">
        <w:t>Science</w:t>
      </w:r>
      <w:r w:rsidRPr="001A3D2B">
        <w:t xml:space="preserve"> (WOS)</w:t>
      </w:r>
      <w:r w:rsidR="005853A9">
        <w:t xml:space="preserve"> and </w:t>
      </w:r>
      <w:r w:rsidRPr="001A3D2B">
        <w:t>developed as testbeds for evaluation</w:t>
      </w:r>
      <w:r w:rsidR="00427468">
        <w:t xml:space="preserve"> of </w:t>
      </w:r>
      <w:r w:rsidR="003A1917">
        <w:t xml:space="preserve">the </w:t>
      </w:r>
      <w:r w:rsidRPr="001A3D2B">
        <w:t>CiteSpace system. Two resulting document-term co-citation</w:t>
      </w:r>
      <w:r w:rsidR="005853A9">
        <w:t xml:space="preserve"> and </w:t>
      </w:r>
      <w:r w:rsidRPr="001A3D2B">
        <w:t>MeSH term co-occurrence visualizations are qualitatively evaluated for identification</w:t>
      </w:r>
      <w:r w:rsidR="00427468">
        <w:t xml:space="preserve"> of </w:t>
      </w:r>
      <w:r w:rsidRPr="001A3D2B">
        <w:t>pivotal documents, areas</w:t>
      </w:r>
      <w:r w:rsidR="00427468">
        <w:t xml:space="preserve"> of </w:t>
      </w:r>
      <w:r w:rsidRPr="001A3D2B">
        <w:t>specialization,</w:t>
      </w:r>
      <w:r w:rsidR="005853A9">
        <w:t xml:space="preserve"> and </w:t>
      </w:r>
      <w:r w:rsidRPr="001A3D2B">
        <w:t>research trends. Practical applications in bio-medical research settings are discussed.</w:t>
      </w:r>
    </w:p>
    <w:p w:rsidR="00B94950" w:rsidRPr="001A3D2B" w:rsidRDefault="00B94950" w:rsidP="00B94950">
      <w:pPr>
        <w:pStyle w:val="a3"/>
      </w:pPr>
      <w:r w:rsidRPr="001A3D2B">
        <w:t xml:space="preserve">Keywords: Application, Approach, Bibliographic Databases, Biomedical, Biomedical Research, Case Study, Co-Citation, Cocitation, Databases, Discovery, Evaluation, Field, Identification, Informatics, Journals, Knowledge, Literature, Medical, Medical Informatics, Publications, </w:t>
      </w:r>
      <w:r w:rsidR="002C12F0">
        <w:t>PUBMED</w:t>
      </w:r>
      <w:r w:rsidRPr="001A3D2B">
        <w:t xml:space="preserve">, Research, Scientific Literature, Term, Trends, Visualization, </w:t>
      </w:r>
      <w:r w:rsidR="00D5664A">
        <w:t>Web</w:t>
      </w:r>
      <w:r w:rsidR="00427468">
        <w:t xml:space="preserve"> of </w:t>
      </w:r>
      <w:r w:rsidR="00D5664A">
        <w:t>Science</w:t>
      </w:r>
    </w:p>
    <w:p w:rsidR="00B94950" w:rsidRPr="001A3D2B" w:rsidRDefault="00B94950" w:rsidP="00B94950">
      <w:pPr>
        <w:pStyle w:val="a3"/>
      </w:pPr>
      <w:r w:rsidRPr="001A3D2B">
        <w:t>? Lavallie, D.L.</w:t>
      </w:r>
      <w:r w:rsidR="005853A9">
        <w:t xml:space="preserve"> and </w:t>
      </w:r>
      <w:r w:rsidRPr="001A3D2B">
        <w:t>Wolf, F.M. (2005), Publication trends</w:t>
      </w:r>
      <w:r w:rsidR="005853A9">
        <w:t xml:space="preserve"> and </w:t>
      </w:r>
      <w:r w:rsidRPr="001A3D2B">
        <w:t>impact factors in</w:t>
      </w:r>
      <w:r w:rsidR="003A1917">
        <w:t xml:space="preserve"> the </w:t>
      </w:r>
      <w:r w:rsidRPr="001A3D2B">
        <w:t xml:space="preserve">Medical Informatics literature. </w:t>
      </w:r>
      <w:r w:rsidRPr="001A3D2B">
        <w:rPr>
          <w:i/>
          <w:iCs/>
        </w:rPr>
        <w:t>AMIA Annual Symposium Proceedings</w:t>
      </w:r>
      <w:r w:rsidRPr="001A3D2B">
        <w:t>, 1018.</w:t>
      </w:r>
    </w:p>
    <w:p w:rsidR="00B94950" w:rsidRPr="001A3D2B" w:rsidRDefault="00B94950" w:rsidP="00B94950">
      <w:pPr>
        <w:pStyle w:val="a3"/>
      </w:pPr>
      <w:r w:rsidRPr="001A3D2B">
        <w:t xml:space="preserve">Full Text: </w:t>
      </w:r>
      <w:hyperlink r:id="rId998" w:history="1">
        <w:r w:rsidRPr="001A3D2B">
          <w:rPr>
            <w:rStyle w:val="a5"/>
          </w:rPr>
          <w:t>2005\AMIA Ann Sym Pro05, 1018.pdf</w:t>
        </w:r>
      </w:hyperlink>
    </w:p>
    <w:p w:rsidR="00B94950" w:rsidRPr="001A3D2B" w:rsidRDefault="00B94950" w:rsidP="00B94950">
      <w:pPr>
        <w:pStyle w:val="a3"/>
      </w:pPr>
      <w:r w:rsidRPr="001A3D2B">
        <w:t>Abstract: We survey</w:t>
      </w:r>
      <w:r w:rsidR="003A1917">
        <w:t xml:space="preserve"> the </w:t>
      </w:r>
      <w:r w:rsidR="00B5188C">
        <w:t>“</w:t>
      </w:r>
      <w:r w:rsidRPr="001A3D2B">
        <w:t>evolution</w:t>
      </w:r>
      <w:r w:rsidR="00B5188C">
        <w:t>”</w:t>
      </w:r>
      <w:r w:rsidR="00427468">
        <w:t xml:space="preserve"> of </w:t>
      </w:r>
      <w:r w:rsidR="003A1917">
        <w:t xml:space="preserve">the </w:t>
      </w:r>
      <w:r w:rsidRPr="001A3D2B">
        <w:t>field</w:t>
      </w:r>
      <w:r w:rsidR="00427468">
        <w:t xml:space="preserve"> of </w:t>
      </w:r>
      <w:r w:rsidRPr="001A3D2B">
        <w:t>Medical Informatics by describing trends in volume (quantity)</w:t>
      </w:r>
      <w:r w:rsidR="00427468">
        <w:t xml:space="preserve"> of </w:t>
      </w:r>
      <w:r w:rsidRPr="001A3D2B">
        <w:t>Medical Informatics-indexed publications, identifying major journals</w:t>
      </w:r>
      <w:r w:rsidR="00427468">
        <w:t xml:space="preserve"> of </w:t>
      </w:r>
      <w:r w:rsidRPr="001A3D2B">
        <w:t>publication</w:t>
      </w:r>
      <w:r w:rsidR="005853A9">
        <w:t xml:space="preserve"> and </w:t>
      </w:r>
      <w:r w:rsidRPr="001A3D2B">
        <w:t>their focus areas</w:t>
      </w:r>
      <w:r w:rsidR="005853A9">
        <w:t xml:space="preserve"> and </w:t>
      </w:r>
      <w:r w:rsidRPr="001A3D2B">
        <w:t>presenting trends in impact factor scores during</w:t>
      </w:r>
      <w:r w:rsidR="003A1917">
        <w:t xml:space="preserve"> the </w:t>
      </w:r>
      <w:r w:rsidRPr="001A3D2B">
        <w:t>1994-2003 period. Changes in total impact-scores suggest an increasing trend</w:t>
      </w:r>
      <w:r w:rsidR="00427468">
        <w:t xml:space="preserve"> of </w:t>
      </w:r>
      <w:r w:rsidRPr="001A3D2B">
        <w:t>publication in journals</w:t>
      </w:r>
      <w:r w:rsidR="00427468">
        <w:t xml:space="preserve"> of </w:t>
      </w:r>
      <w:r w:rsidRPr="001A3D2B">
        <w:t>higher impact.</w:t>
      </w:r>
    </w:p>
    <w:p w:rsidR="00B94950" w:rsidRPr="001A3D2B" w:rsidRDefault="00B94950" w:rsidP="00B94950">
      <w:pPr>
        <w:pStyle w:val="a3"/>
      </w:pPr>
      <w:r w:rsidRPr="001A3D2B">
        <w:t>Keywords: Factor Scores, Field, Impact, Impact Factor, Impact Factor Scores, Impact Factors, Journals, Literature, Publication, Publications, Survey, Trend, Trends</w:t>
      </w:r>
    </w:p>
    <w:p w:rsidR="00B94950" w:rsidRPr="001A3D2B" w:rsidRDefault="00B94950" w:rsidP="00B94950">
      <w:pPr>
        <w:pStyle w:val="a3"/>
      </w:pPr>
      <w:r w:rsidRPr="001A3D2B">
        <w:t>? Synnestvedt, M.B., Chen, C.</w:t>
      </w:r>
      <w:r w:rsidR="005853A9">
        <w:t xml:space="preserve"> and </w:t>
      </w:r>
      <w:r w:rsidRPr="001A3D2B">
        <w:t>Holmes, J.H. (2005), Visual exploration</w:t>
      </w:r>
      <w:r w:rsidR="00427468">
        <w:t xml:space="preserve"> of </w:t>
      </w:r>
      <w:r w:rsidRPr="001A3D2B">
        <w:t>landmarks</w:t>
      </w:r>
      <w:r w:rsidR="005853A9">
        <w:t xml:space="preserve"> and </w:t>
      </w:r>
      <w:r w:rsidRPr="001A3D2B">
        <w:t>trends in</w:t>
      </w:r>
      <w:r w:rsidR="003A1917">
        <w:t xml:space="preserve"> the </w:t>
      </w:r>
      <w:r w:rsidRPr="001A3D2B">
        <w:t xml:space="preserve">medical informatics literature. </w:t>
      </w:r>
      <w:r w:rsidRPr="001A3D2B">
        <w:rPr>
          <w:i/>
          <w:iCs/>
        </w:rPr>
        <w:t>AMIA Annual Symposium Proceedings</w:t>
      </w:r>
      <w:r w:rsidRPr="001A3D2B">
        <w:t>, 1129.</w:t>
      </w:r>
    </w:p>
    <w:p w:rsidR="00B94950" w:rsidRPr="001A3D2B" w:rsidRDefault="00B94950" w:rsidP="00B94950">
      <w:pPr>
        <w:pStyle w:val="a3"/>
      </w:pPr>
      <w:r w:rsidRPr="001A3D2B">
        <w:t xml:space="preserve">Full Text: </w:t>
      </w:r>
      <w:hyperlink r:id="rId999" w:history="1">
        <w:r w:rsidRPr="001A3D2B">
          <w:rPr>
            <w:rStyle w:val="a5"/>
          </w:rPr>
          <w:t>2005\AMIA Ann Sym Pro05, 1129.pdf</w:t>
        </w:r>
      </w:hyperlink>
    </w:p>
    <w:p w:rsidR="00B94950" w:rsidRPr="001A3D2B" w:rsidRDefault="00B94950" w:rsidP="00B94950">
      <w:pPr>
        <w:pStyle w:val="a3"/>
      </w:pPr>
      <w:r w:rsidRPr="001A3D2B">
        <w:t>Abstract: This study presents preliminary results from a visual study</w:t>
      </w:r>
      <w:r w:rsidR="00427468">
        <w:t xml:space="preserve"> of </w:t>
      </w:r>
      <w:r w:rsidRPr="001A3D2B">
        <w:t>a new dataset</w:t>
      </w:r>
      <w:r w:rsidR="00427468">
        <w:t xml:space="preserve"> of </w:t>
      </w:r>
      <w:r w:rsidRPr="001A3D2B">
        <w:t>forty years</w:t>
      </w:r>
      <w:r w:rsidR="00427468">
        <w:t xml:space="preserve"> of </w:t>
      </w:r>
      <w:r w:rsidRPr="001A3D2B">
        <w:t>citation data from publications</w:t>
      </w:r>
      <w:r w:rsidR="00427468">
        <w:t xml:space="preserve"> of </w:t>
      </w:r>
      <w:r w:rsidRPr="001A3D2B">
        <w:t>twelve journals in</w:t>
      </w:r>
      <w:r w:rsidR="003A1917">
        <w:t xml:space="preserve"> the </w:t>
      </w:r>
      <w:r w:rsidRPr="001A3D2B">
        <w:t>medical informatics field covering</w:t>
      </w:r>
      <w:r w:rsidR="003A1917">
        <w:t xml:space="preserve"> the </w:t>
      </w:r>
      <w:r w:rsidRPr="001A3D2B">
        <w:t>time period from 1964-2004. Highly cited</w:t>
      </w:r>
      <w:r w:rsidR="005853A9">
        <w:t xml:space="preserve"> and </w:t>
      </w:r>
      <w:r w:rsidRPr="001A3D2B">
        <w:t>pivotal documents, areas</w:t>
      </w:r>
      <w:r w:rsidR="00427468">
        <w:t xml:space="preserve"> of </w:t>
      </w:r>
      <w:r w:rsidRPr="001A3D2B">
        <w:t>specialization within medical informatics,</w:t>
      </w:r>
      <w:r w:rsidR="005853A9">
        <w:t xml:space="preserve"> and </w:t>
      </w:r>
      <w:r w:rsidRPr="001A3D2B">
        <w:t>emergence</w:t>
      </w:r>
      <w:r w:rsidR="00427468">
        <w:t xml:space="preserve"> of </w:t>
      </w:r>
      <w:r w:rsidRPr="001A3D2B">
        <w:t>research topics are visually mapped through a progressive knowledge domain visualization approach to detecting</w:t>
      </w:r>
      <w:r w:rsidR="005853A9">
        <w:t xml:space="preserve"> and </w:t>
      </w:r>
      <w:r w:rsidRPr="001A3D2B">
        <w:t>visualizing trends</w:t>
      </w:r>
      <w:r w:rsidR="005853A9">
        <w:t xml:space="preserve"> and </w:t>
      </w:r>
      <w:r w:rsidRPr="001A3D2B">
        <w:t>patterns in scientific literature.</w:t>
      </w:r>
    </w:p>
    <w:p w:rsidR="00B94950" w:rsidRPr="001A3D2B" w:rsidRDefault="00B94950" w:rsidP="00B94950">
      <w:pPr>
        <w:pStyle w:val="a3"/>
      </w:pPr>
      <w:r w:rsidRPr="001A3D2B">
        <w:t>Keywords: Approach, Citation, Data, Field, Informatics, Journals, Knowledge, Literature, Medical, Medical Informatics, Publications, Research, Scientific Literature, Trends, Visualization</w:t>
      </w:r>
    </w:p>
    <w:p w:rsidR="00597F5F" w:rsidRPr="00F219CA" w:rsidRDefault="00597F5F" w:rsidP="00597F5F">
      <w:pPr>
        <w:pStyle w:val="1"/>
      </w:pPr>
      <w:r w:rsidRPr="00F219CA">
        <w:br w:type="page"/>
      </w:r>
      <w:bookmarkStart w:id="517" w:name="_Toc374572645"/>
      <w:bookmarkStart w:id="518" w:name="_Toc420814538"/>
      <w:r w:rsidRPr="00F219CA">
        <w:lastRenderedPageBreak/>
        <w:t>Title: Anticancer Research</w:t>
      </w:r>
      <w:bookmarkEnd w:id="517"/>
      <w:bookmarkEnd w:id="518"/>
    </w:p>
    <w:p w:rsidR="00597F5F" w:rsidRPr="00F219CA" w:rsidRDefault="00597F5F" w:rsidP="00597F5F">
      <w:pPr>
        <w:pStyle w:val="12"/>
      </w:pPr>
      <w:r w:rsidRPr="00F219CA">
        <w:t>Full Journal Title: Anticancer Research</w:t>
      </w:r>
    </w:p>
    <w:p w:rsidR="00597F5F" w:rsidRPr="00F219CA" w:rsidRDefault="00597F5F" w:rsidP="00597F5F">
      <w:pPr>
        <w:pStyle w:val="12"/>
      </w:pPr>
      <w:r w:rsidRPr="00F219CA">
        <w:t>ISO Abbreviated Title: Anticancer Res.</w:t>
      </w:r>
    </w:p>
    <w:p w:rsidR="00597F5F" w:rsidRPr="00F219CA" w:rsidRDefault="00597F5F" w:rsidP="00597F5F">
      <w:pPr>
        <w:pStyle w:val="12"/>
      </w:pPr>
      <w:r w:rsidRPr="00F219CA">
        <w:t>JCR Abbreviated Title: Anticancer Res</w:t>
      </w:r>
    </w:p>
    <w:p w:rsidR="00597F5F" w:rsidRPr="00F219CA" w:rsidRDefault="00597F5F" w:rsidP="00597F5F">
      <w:pPr>
        <w:pStyle w:val="12"/>
      </w:pPr>
      <w:r w:rsidRPr="00F219CA">
        <w:t>ISSN: 0250-7005</w:t>
      </w:r>
    </w:p>
    <w:p w:rsidR="00597F5F" w:rsidRPr="00F219CA" w:rsidRDefault="00597F5F" w:rsidP="00597F5F">
      <w:pPr>
        <w:pStyle w:val="12"/>
      </w:pPr>
      <w:r w:rsidRPr="00F219CA">
        <w:t>Issues/Year: 6</w:t>
      </w:r>
    </w:p>
    <w:p w:rsidR="00597F5F" w:rsidRPr="00F219CA" w:rsidRDefault="00597F5F" w:rsidP="00597F5F">
      <w:pPr>
        <w:pStyle w:val="12"/>
      </w:pPr>
      <w:r w:rsidRPr="00F219CA">
        <w:t xml:space="preserve">Journal Country/Territory: </w:t>
      </w:r>
      <w:smartTag w:uri="urn:schemas-microsoft-com:office:smarttags" w:element="place">
        <w:smartTag w:uri="urn:schemas-microsoft-com:office:smarttags" w:element="country-region">
          <w:r w:rsidRPr="00F219CA">
            <w:t>Greece</w:t>
          </w:r>
        </w:smartTag>
      </w:smartTag>
    </w:p>
    <w:p w:rsidR="00597F5F" w:rsidRPr="00F219CA" w:rsidRDefault="00597F5F" w:rsidP="00597F5F">
      <w:pPr>
        <w:pStyle w:val="12"/>
      </w:pPr>
      <w:r w:rsidRPr="00F219CA">
        <w:t>Language: English</w:t>
      </w:r>
    </w:p>
    <w:p w:rsidR="00597F5F" w:rsidRPr="00F219CA" w:rsidRDefault="00597F5F" w:rsidP="00597F5F">
      <w:pPr>
        <w:pStyle w:val="12"/>
      </w:pPr>
      <w:r w:rsidRPr="00F219CA">
        <w:t>Publisher: Int Inst Anticancer Research</w:t>
      </w:r>
    </w:p>
    <w:p w:rsidR="00597F5F" w:rsidRPr="00F219CA" w:rsidRDefault="00597F5F" w:rsidP="00597F5F">
      <w:pPr>
        <w:pStyle w:val="12"/>
      </w:pPr>
      <w:r w:rsidRPr="00F219CA">
        <w:t>Publisher Address: Editorial Office 1st Km Kapandntiou-Kalamou Rd Kapandriti, Pob 22, Athens 1</w:t>
      </w:r>
    </w:p>
    <w:p w:rsidR="00597F5F" w:rsidRPr="00F219CA" w:rsidRDefault="00597F5F" w:rsidP="00597F5F">
      <w:pPr>
        <w:pStyle w:val="12"/>
      </w:pPr>
      <w:r w:rsidRPr="00F219CA">
        <w:t xml:space="preserve">Subject Categories: </w:t>
      </w:r>
    </w:p>
    <w:p w:rsidR="00597F5F" w:rsidRPr="00F219CA" w:rsidRDefault="00597F5F" w:rsidP="00597F5F">
      <w:pPr>
        <w:pStyle w:val="12"/>
      </w:pPr>
      <w:r w:rsidRPr="00F219CA">
        <w:t>Oncology: Impact Factor 1.447, 76/114 (2002)</w:t>
      </w:r>
    </w:p>
    <w:p w:rsidR="00597F5F" w:rsidRDefault="00597F5F" w:rsidP="00597F5F">
      <w:pPr>
        <w:pStyle w:val="a3"/>
        <w:rPr>
          <w:kern w:val="0"/>
        </w:rPr>
      </w:pPr>
      <w:r>
        <w:rPr>
          <w:rFonts w:hint="eastAsia"/>
          <w:kern w:val="0"/>
        </w:rPr>
        <w:t xml:space="preserve">? </w:t>
      </w:r>
      <w:r>
        <w:rPr>
          <w:kern w:val="0"/>
        </w:rPr>
        <w:t>Ohtani, H., Maeda, K., Noda, E., Nagahara, H., Shibutani, M., Ohira, M., Muguruma, K., Tanaka, H., Kubo, N., Toyokawa, T., Sakurai, K., Yamashita, Y., Yamamoto, A.</w:t>
      </w:r>
      <w:r w:rsidR="005853A9">
        <w:rPr>
          <w:kern w:val="0"/>
        </w:rPr>
        <w:t xml:space="preserve"> and </w:t>
      </w:r>
      <w:r>
        <w:rPr>
          <w:kern w:val="0"/>
        </w:rPr>
        <w:t>Hirakawa, K. (2013), Meta-analysis</w:t>
      </w:r>
      <w:r w:rsidR="00427468">
        <w:rPr>
          <w:kern w:val="0"/>
        </w:rPr>
        <w:t xml:space="preserve"> of </w:t>
      </w:r>
      <w:r>
        <w:rPr>
          <w:kern w:val="0"/>
        </w:rPr>
        <w:t>laparoscopic</w:t>
      </w:r>
      <w:r w:rsidR="005853A9">
        <w:rPr>
          <w:kern w:val="0"/>
        </w:rPr>
        <w:t xml:space="preserve"> and </w:t>
      </w:r>
      <w:r>
        <w:rPr>
          <w:kern w:val="0"/>
        </w:rPr>
        <w:t xml:space="preserve">open surgery for gastric gastrointestinal Stromal tumor. </w:t>
      </w:r>
      <w:r>
        <w:rPr>
          <w:i/>
          <w:iCs/>
          <w:kern w:val="0"/>
        </w:rPr>
        <w:t>Anticancer Research</w:t>
      </w:r>
      <w:r>
        <w:rPr>
          <w:kern w:val="0"/>
        </w:rPr>
        <w:t xml:space="preserve">, </w:t>
      </w:r>
      <w:r>
        <w:rPr>
          <w:b/>
          <w:bCs/>
          <w:kern w:val="0"/>
        </w:rPr>
        <w:t>33</w:t>
      </w:r>
      <w:r>
        <w:rPr>
          <w:kern w:val="0"/>
        </w:rPr>
        <w:t xml:space="preserve"> (11), 5031-5041.</w:t>
      </w:r>
    </w:p>
    <w:p w:rsidR="00597F5F" w:rsidRDefault="00597F5F" w:rsidP="00597F5F">
      <w:pPr>
        <w:pStyle w:val="a3"/>
        <w:rPr>
          <w:kern w:val="0"/>
        </w:rPr>
      </w:pPr>
      <w:r>
        <w:rPr>
          <w:rFonts w:hint="eastAsia"/>
          <w:kern w:val="0"/>
        </w:rPr>
        <w:t>Full Text: 2013\</w:t>
      </w:r>
      <w:r>
        <w:rPr>
          <w:iCs/>
          <w:kern w:val="0"/>
        </w:rPr>
        <w:t>Ant Res</w:t>
      </w:r>
      <w:r>
        <w:rPr>
          <w:rFonts w:hint="eastAsia"/>
          <w:bCs/>
          <w:kern w:val="0"/>
        </w:rPr>
        <w:t>33</w:t>
      </w:r>
      <w:r>
        <w:rPr>
          <w:kern w:val="0"/>
        </w:rPr>
        <w:t xml:space="preserve">, </w:t>
      </w:r>
      <w:r>
        <w:rPr>
          <w:rFonts w:hint="eastAsia"/>
          <w:kern w:val="0"/>
        </w:rPr>
        <w:t>5031.pdf</w:t>
      </w:r>
    </w:p>
    <w:p w:rsidR="00597F5F" w:rsidRDefault="00597F5F" w:rsidP="00597F5F">
      <w:pPr>
        <w:pStyle w:val="a3"/>
        <w:rPr>
          <w:kern w:val="0"/>
        </w:rPr>
      </w:pPr>
      <w:r>
        <w:rPr>
          <w:kern w:val="0"/>
        </w:rPr>
        <w:t>Abstract: Aim: A meta-analysis was conducted to evaluate</w:t>
      </w:r>
      <w:r w:rsidR="005853A9">
        <w:rPr>
          <w:kern w:val="0"/>
        </w:rPr>
        <w:t xml:space="preserve"> and </w:t>
      </w:r>
      <w:r>
        <w:rPr>
          <w:kern w:val="0"/>
        </w:rPr>
        <w:t>compare the short-</w:t>
      </w:r>
      <w:r w:rsidR="005853A9">
        <w:rPr>
          <w:kern w:val="0"/>
        </w:rPr>
        <w:t xml:space="preserve"> and </w:t>
      </w:r>
      <w:r>
        <w:rPr>
          <w:kern w:val="0"/>
        </w:rPr>
        <w:t>long-term outcomes</w:t>
      </w:r>
      <w:r w:rsidR="00427468">
        <w:rPr>
          <w:kern w:val="0"/>
        </w:rPr>
        <w:t xml:space="preserve"> of </w:t>
      </w:r>
      <w:r>
        <w:rPr>
          <w:kern w:val="0"/>
        </w:rPr>
        <w:t>laparoscopic</w:t>
      </w:r>
      <w:r w:rsidR="005853A9">
        <w:rPr>
          <w:kern w:val="0"/>
        </w:rPr>
        <w:t xml:space="preserve"> and </w:t>
      </w:r>
      <w:r>
        <w:rPr>
          <w:kern w:val="0"/>
        </w:rPr>
        <w:t>conventional open surgery for gastric gastrointestinal stromal tumors (GISTs). Materials</w:t>
      </w:r>
      <w:r w:rsidR="005853A9">
        <w:rPr>
          <w:kern w:val="0"/>
        </w:rPr>
        <w:t xml:space="preserve"> and </w:t>
      </w:r>
      <w:r>
        <w:rPr>
          <w:kern w:val="0"/>
        </w:rPr>
        <w:t xml:space="preserve">Methods: We searched </w:t>
      </w:r>
      <w:r w:rsidR="00D5664A">
        <w:rPr>
          <w:kern w:val="0"/>
        </w:rPr>
        <w:t>MEDLINE</w:t>
      </w:r>
      <w:r>
        <w:rPr>
          <w:kern w:val="0"/>
        </w:rPr>
        <w:t>, EMBASE, Science Citation Index,</w:t>
      </w:r>
      <w:r w:rsidR="005853A9">
        <w:rPr>
          <w:kern w:val="0"/>
        </w:rPr>
        <w:t xml:space="preserve"> and </w:t>
      </w:r>
      <w:r>
        <w:rPr>
          <w:kern w:val="0"/>
        </w:rPr>
        <w:t>the Cochrane Controlled Trial Register for relevant articles published between 2000</w:t>
      </w:r>
      <w:r w:rsidR="005853A9">
        <w:rPr>
          <w:kern w:val="0"/>
        </w:rPr>
        <w:t xml:space="preserve"> and </w:t>
      </w:r>
      <w:r>
        <w:rPr>
          <w:kern w:val="0"/>
        </w:rPr>
        <w:t>July 2013 by using the search terms “laparoscopic”, “laparoscopy-assisted”, “surgery”, “gastrointestinal tumor”, “GIST”</w:t>
      </w:r>
      <w:r w:rsidR="005853A9">
        <w:rPr>
          <w:kern w:val="0"/>
        </w:rPr>
        <w:t xml:space="preserve"> and </w:t>
      </w:r>
      <w:r>
        <w:rPr>
          <w:kern w:val="0"/>
        </w:rPr>
        <w:t>“gastric”. Results: We identified 12 articles reporting results that compared laparoscopic surgery with open surgery for gastric GISTs. Our meta-analysis included 644 patients with GISTs; 312 had undergone laparoscopic surgery,</w:t>
      </w:r>
      <w:r w:rsidR="005853A9">
        <w:rPr>
          <w:kern w:val="0"/>
        </w:rPr>
        <w:t xml:space="preserve"> and </w:t>
      </w:r>
      <w:r>
        <w:rPr>
          <w:kern w:val="0"/>
        </w:rPr>
        <w:t>332 had undergone open surgery. In the short-term period, 14 outcome variables were examined. In the long-term period, six oncological variables were analyzed. Laparoscopic surgery for gastric GIST was associated with a reduction in intraoperative blood loss, shorter period to flatus, earlier resumption</w:t>
      </w:r>
      <w:r w:rsidR="00427468">
        <w:rPr>
          <w:kern w:val="0"/>
        </w:rPr>
        <w:t xml:space="preserve"> of </w:t>
      </w:r>
      <w:r>
        <w:rPr>
          <w:kern w:val="0"/>
        </w:rPr>
        <w:t>oral intake,</w:t>
      </w:r>
      <w:r w:rsidR="005853A9">
        <w:rPr>
          <w:kern w:val="0"/>
        </w:rPr>
        <w:t xml:space="preserve"> and </w:t>
      </w:r>
      <w:r>
        <w:rPr>
          <w:kern w:val="0"/>
        </w:rPr>
        <w:t>shorter duration</w:t>
      </w:r>
      <w:r w:rsidR="00427468">
        <w:rPr>
          <w:kern w:val="0"/>
        </w:rPr>
        <w:t xml:space="preserve"> of </w:t>
      </w:r>
      <w:r>
        <w:rPr>
          <w:kern w:val="0"/>
        </w:rPr>
        <w:t>hospital stay over the short-term,</w:t>
      </w:r>
      <w:r w:rsidR="005853A9">
        <w:rPr>
          <w:kern w:val="0"/>
        </w:rPr>
        <w:t xml:space="preserve"> and </w:t>
      </w:r>
      <w:r>
        <w:rPr>
          <w:kern w:val="0"/>
        </w:rPr>
        <w:t>with a significantly lower rate</w:t>
      </w:r>
      <w:r w:rsidR="00427468">
        <w:rPr>
          <w:kern w:val="0"/>
        </w:rPr>
        <w:t xml:space="preserve"> of </w:t>
      </w:r>
      <w:r>
        <w:rPr>
          <w:kern w:val="0"/>
        </w:rPr>
        <w:t>overall recurrence, metastatic recurrence</w:t>
      </w:r>
      <w:r w:rsidR="005853A9">
        <w:rPr>
          <w:kern w:val="0"/>
        </w:rPr>
        <w:t xml:space="preserve"> and </w:t>
      </w:r>
      <w:r>
        <w:rPr>
          <w:kern w:val="0"/>
        </w:rPr>
        <w:t>local recurrence in the long-term compared to open surgery. Conclusion: Laparoscopic surgery may be an acceptable surgical treatment option compared to open surgery for gastric GIST.</w:t>
      </w:r>
    </w:p>
    <w:p w:rsidR="00597F5F" w:rsidRDefault="00597F5F" w:rsidP="00597F5F">
      <w:pPr>
        <w:pStyle w:val="a3"/>
        <w:rPr>
          <w:kern w:val="0"/>
        </w:rPr>
      </w:pPr>
      <w:r>
        <w:rPr>
          <w:kern w:val="0"/>
        </w:rPr>
        <w:t>Keywords: Adjuvant, Blood, Blood Loss, Citation, Colorectal-Cancer, Conventional, Duration, Duration</w:t>
      </w:r>
      <w:r w:rsidR="00427468">
        <w:rPr>
          <w:kern w:val="0"/>
        </w:rPr>
        <w:t xml:space="preserve"> of </w:t>
      </w:r>
      <w:r>
        <w:rPr>
          <w:kern w:val="0"/>
        </w:rPr>
        <w:t xml:space="preserve">Hospital Stay, Embase, Flatus, Gastric, Gastric </w:t>
      </w:r>
      <w:r>
        <w:rPr>
          <w:kern w:val="0"/>
        </w:rPr>
        <w:lastRenderedPageBreak/>
        <w:t xml:space="preserve">Gastrointestinal Stromal Tumor, Gastrointestinal, Gist, Hospital, Hospital Stay, Imatinib, Intraoperative Blood Loss, Laparoscopic, Laparoscopic Surgery, Laparoscopy-Assisted Surgery, Local, Long Term, Long-Term, Long-Term Outcomes, Management, Materials, </w:t>
      </w:r>
      <w:r w:rsidR="00D5664A">
        <w:rPr>
          <w:kern w:val="0"/>
        </w:rPr>
        <w:t>MEDLINE</w:t>
      </w:r>
      <w:r>
        <w:rPr>
          <w:kern w:val="0"/>
        </w:rPr>
        <w:t>, Meta Analysis, Meta-Analysis, Metaanalysis, Methods, Neoadjuvant Therapy, Nov, Open, Oral, Outcome, Outcomes, Patients, Prognostic-Factors, Recurrence, Reduction, Reporting, Results, Science, Science Citation Index, Stomach, Surgery, Surgical Treatment, Survival, Treatment, Treatment Option, Vs.</w:t>
      </w:r>
      <w:r>
        <w:rPr>
          <w:rFonts w:hint="eastAsia"/>
          <w:kern w:val="0"/>
        </w:rPr>
        <w:t xml:space="preserve"> </w:t>
      </w:r>
      <w:r>
        <w:rPr>
          <w:kern w:val="0"/>
        </w:rPr>
        <w:t>Open Resection</w:t>
      </w:r>
    </w:p>
    <w:p w:rsidR="00911088" w:rsidRDefault="00911088" w:rsidP="00911088">
      <w:pPr>
        <w:pStyle w:val="1"/>
      </w:pPr>
      <w:r>
        <w:rPr>
          <w:b w:val="0"/>
        </w:rPr>
        <w:br w:type="page"/>
      </w:r>
      <w:bookmarkStart w:id="519" w:name="_Toc420814539"/>
      <w:r>
        <w:lastRenderedPageBreak/>
        <w:t xml:space="preserve">Title: </w:t>
      </w:r>
      <w:r>
        <w:rPr>
          <w:iCs w:val="0"/>
        </w:rPr>
        <w:t>Anti-Cancer Drugs</w:t>
      </w:r>
      <w:bookmarkEnd w:id="519"/>
    </w:p>
    <w:p w:rsidR="00911088" w:rsidRDefault="00911088" w:rsidP="00911088">
      <w:pPr>
        <w:pStyle w:val="12"/>
      </w:pPr>
      <w:r>
        <w:t xml:space="preserve">Full Journal Title: </w:t>
      </w:r>
      <w:r>
        <w:rPr>
          <w:iCs/>
          <w:kern w:val="0"/>
        </w:rPr>
        <w:t>Anti-Cancer Drugs</w:t>
      </w:r>
    </w:p>
    <w:p w:rsidR="00911088" w:rsidRDefault="00911088" w:rsidP="00911088">
      <w:pPr>
        <w:pStyle w:val="12"/>
      </w:pPr>
      <w:r>
        <w:t xml:space="preserve">ISO Abbreviated Title: </w:t>
      </w:r>
    </w:p>
    <w:p w:rsidR="00911088" w:rsidRDefault="00911088" w:rsidP="00911088">
      <w:pPr>
        <w:pStyle w:val="12"/>
      </w:pPr>
      <w:r>
        <w:t xml:space="preserve">JCR Abbreviated Title: </w:t>
      </w:r>
    </w:p>
    <w:p w:rsidR="00911088" w:rsidRDefault="00911088" w:rsidP="00911088">
      <w:pPr>
        <w:pStyle w:val="12"/>
      </w:pPr>
      <w:r>
        <w:t xml:space="preserve">ISSN: </w:t>
      </w:r>
    </w:p>
    <w:p w:rsidR="00911088" w:rsidRDefault="00911088" w:rsidP="00911088">
      <w:pPr>
        <w:pStyle w:val="12"/>
      </w:pPr>
      <w:r>
        <w:t xml:space="preserve">Issues/Year: </w:t>
      </w:r>
    </w:p>
    <w:p w:rsidR="00911088" w:rsidRDefault="00911088" w:rsidP="00911088">
      <w:pPr>
        <w:pStyle w:val="12"/>
      </w:pPr>
      <w:r>
        <w:t xml:space="preserve">Journal Country/Territory: </w:t>
      </w:r>
    </w:p>
    <w:p w:rsidR="00911088" w:rsidRDefault="00911088" w:rsidP="00911088">
      <w:pPr>
        <w:pStyle w:val="12"/>
      </w:pPr>
      <w:r>
        <w:t xml:space="preserve">Language: </w:t>
      </w:r>
    </w:p>
    <w:p w:rsidR="00911088" w:rsidRDefault="00911088" w:rsidP="00911088">
      <w:pPr>
        <w:pStyle w:val="12"/>
      </w:pPr>
      <w:r>
        <w:t xml:space="preserve">Publisher: </w:t>
      </w:r>
    </w:p>
    <w:p w:rsidR="00911088" w:rsidRDefault="00911088" w:rsidP="00911088">
      <w:pPr>
        <w:pStyle w:val="12"/>
      </w:pPr>
      <w:r>
        <w:t xml:space="preserve">Publisher Address: </w:t>
      </w:r>
    </w:p>
    <w:p w:rsidR="00911088" w:rsidRDefault="00911088" w:rsidP="00911088">
      <w:pPr>
        <w:pStyle w:val="12"/>
      </w:pPr>
      <w:r>
        <w:t>Subject Categories:</w:t>
      </w:r>
    </w:p>
    <w:p w:rsidR="00911088" w:rsidRDefault="00911088" w:rsidP="00911088">
      <w:pPr>
        <w:pStyle w:val="12"/>
      </w:pPr>
      <w:r>
        <w:t xml:space="preserve">: Impact Factor </w:t>
      </w:r>
    </w:p>
    <w:p w:rsidR="00911088" w:rsidRDefault="00911088" w:rsidP="00911088">
      <w:pPr>
        <w:pStyle w:val="a3"/>
        <w:rPr>
          <w:kern w:val="0"/>
        </w:rPr>
      </w:pPr>
      <w:r>
        <w:rPr>
          <w:kern w:val="0"/>
        </w:rPr>
        <w:t>? Wang, L.D., Chen, X.M., Li, W.</w:t>
      </w:r>
      <w:r w:rsidR="005853A9">
        <w:rPr>
          <w:kern w:val="0"/>
        </w:rPr>
        <w:t xml:space="preserve"> and </w:t>
      </w:r>
      <w:r>
        <w:rPr>
          <w:kern w:val="0"/>
        </w:rPr>
        <w:t>Sheng, Z.X. (2012), Antiepidermal growth factor receptor monoclonal antibody improves survival outcomes in</w:t>
      </w:r>
      <w:r w:rsidR="003A1917">
        <w:rPr>
          <w:kern w:val="0"/>
        </w:rPr>
        <w:t xml:space="preserve"> the </w:t>
      </w:r>
      <w:r>
        <w:rPr>
          <w:kern w:val="0"/>
        </w:rPr>
        <w:t>treatment</w:t>
      </w:r>
      <w:r w:rsidR="00427468">
        <w:rPr>
          <w:kern w:val="0"/>
        </w:rPr>
        <w:t xml:space="preserve"> of </w:t>
      </w:r>
      <w:r>
        <w:rPr>
          <w:kern w:val="0"/>
        </w:rPr>
        <w:t xml:space="preserve">patients with metastatic colorectal cancer. </w:t>
      </w:r>
      <w:r>
        <w:rPr>
          <w:i/>
          <w:iCs/>
          <w:kern w:val="0"/>
        </w:rPr>
        <w:t>Anti-Cancer Drugs</w:t>
      </w:r>
      <w:r>
        <w:rPr>
          <w:kern w:val="0"/>
        </w:rPr>
        <w:t xml:space="preserve">, </w:t>
      </w:r>
      <w:r>
        <w:rPr>
          <w:b/>
          <w:bCs/>
          <w:kern w:val="0"/>
        </w:rPr>
        <w:t>23</w:t>
      </w:r>
      <w:r>
        <w:rPr>
          <w:kern w:val="0"/>
        </w:rPr>
        <w:t xml:space="preserve"> (2), 155-160.</w:t>
      </w:r>
    </w:p>
    <w:p w:rsidR="00F85147" w:rsidRDefault="00F85147" w:rsidP="00F85147">
      <w:pPr>
        <w:pStyle w:val="a3"/>
      </w:pPr>
      <w:r w:rsidRPr="003862C4">
        <w:rPr>
          <w:rFonts w:hint="eastAsia"/>
        </w:rPr>
        <w:t xml:space="preserve">Full Text: </w:t>
      </w:r>
      <w:hyperlink r:id="rId1000" w:history="1">
        <w:r w:rsidRPr="004D2093">
          <w:rPr>
            <w:rStyle w:val="a5"/>
          </w:rPr>
          <w:t>2012\Ant-Can Dru23, 155.pdf</w:t>
        </w:r>
      </w:hyperlink>
    </w:p>
    <w:p w:rsidR="00911088" w:rsidRDefault="00911088" w:rsidP="00911088">
      <w:pPr>
        <w:pStyle w:val="a3"/>
        <w:rPr>
          <w:kern w:val="0"/>
        </w:rPr>
      </w:pPr>
      <w:r>
        <w:rPr>
          <w:kern w:val="0"/>
        </w:rPr>
        <w:t>Abstract:</w:t>
      </w:r>
      <w:r w:rsidR="003A1917">
        <w:rPr>
          <w:kern w:val="0"/>
        </w:rPr>
        <w:t xml:space="preserve"> the </w:t>
      </w:r>
      <w:r>
        <w:rPr>
          <w:kern w:val="0"/>
        </w:rPr>
        <w:t>aim</w:t>
      </w:r>
      <w:r w:rsidR="00427468">
        <w:rPr>
          <w:kern w:val="0"/>
        </w:rPr>
        <w:t xml:space="preserve"> of </w:t>
      </w:r>
      <w:r>
        <w:rPr>
          <w:kern w:val="0"/>
        </w:rPr>
        <w:t>this study was to determine whether or not</w:t>
      </w:r>
      <w:r w:rsidR="003A1917">
        <w:rPr>
          <w:kern w:val="0"/>
        </w:rPr>
        <w:t xml:space="preserve"> the </w:t>
      </w:r>
      <w:r>
        <w:rPr>
          <w:kern w:val="0"/>
        </w:rPr>
        <w:t>addition</w:t>
      </w:r>
      <w:r w:rsidR="00427468">
        <w:rPr>
          <w:kern w:val="0"/>
        </w:rPr>
        <w:t xml:space="preserve"> of </w:t>
      </w:r>
      <w:r>
        <w:rPr>
          <w:kern w:val="0"/>
        </w:rPr>
        <w:t>anti-epidermal growth factor receptor (anti-EGFR) monoclonal antibody (mAb) to standard chemotherapy or best supportive care (BSC), compared with chemotherapy or BSC alone, can improve overall survival (OS)</w:t>
      </w:r>
      <w:r w:rsidR="005853A9">
        <w:rPr>
          <w:kern w:val="0"/>
        </w:rPr>
        <w:t xml:space="preserve"> and </w:t>
      </w:r>
      <w:r>
        <w:rPr>
          <w:kern w:val="0"/>
        </w:rPr>
        <w:t>progression-free survival (PFS) in patients with metastatic colorectal cancer (mCRC),</w:t>
      </w:r>
      <w:r w:rsidR="005853A9">
        <w:rPr>
          <w:kern w:val="0"/>
        </w:rPr>
        <w:t xml:space="preserve"> and </w:t>
      </w:r>
      <w:r>
        <w:rPr>
          <w:kern w:val="0"/>
        </w:rPr>
        <w:t>evaluate</w:t>
      </w:r>
      <w:r w:rsidR="003A1917">
        <w:rPr>
          <w:kern w:val="0"/>
        </w:rPr>
        <w:t xml:space="preserve"> the </w:t>
      </w:r>
      <w:r>
        <w:rPr>
          <w:kern w:val="0"/>
        </w:rPr>
        <w:t>influence</w:t>
      </w:r>
      <w:r w:rsidR="00427468">
        <w:rPr>
          <w:kern w:val="0"/>
        </w:rPr>
        <w:t xml:space="preserve"> of </w:t>
      </w:r>
      <w:r>
        <w:rPr>
          <w:kern w:val="0"/>
        </w:rPr>
        <w:t>KRAS mutant status on</w:t>
      </w:r>
      <w:r w:rsidR="003A1917">
        <w:rPr>
          <w:kern w:val="0"/>
        </w:rPr>
        <w:t xml:space="preserve"> the </w:t>
      </w:r>
      <w:r>
        <w:rPr>
          <w:kern w:val="0"/>
        </w:rPr>
        <w:t>efficacy</w:t>
      </w:r>
      <w:r w:rsidR="00427468">
        <w:rPr>
          <w:kern w:val="0"/>
        </w:rPr>
        <w:t xml:space="preserve"> of </w:t>
      </w:r>
      <w:r>
        <w:rPr>
          <w:kern w:val="0"/>
        </w:rPr>
        <w:t xml:space="preserve">anti-EGFR mAb. </w:t>
      </w:r>
      <w:r w:rsidR="00D5664A">
        <w:rPr>
          <w:kern w:val="0"/>
        </w:rPr>
        <w:t>MEDLINE</w:t>
      </w:r>
      <w:r>
        <w:rPr>
          <w:kern w:val="0"/>
        </w:rPr>
        <w:t>, Embase,</w:t>
      </w:r>
      <w:r w:rsidR="003A1917">
        <w:rPr>
          <w:kern w:val="0"/>
        </w:rPr>
        <w:t xml:space="preserve"> the </w:t>
      </w:r>
      <w:r>
        <w:rPr>
          <w:kern w:val="0"/>
        </w:rPr>
        <w:t>Cochrane controlled trials register,</w:t>
      </w:r>
      <w:r w:rsidR="005853A9">
        <w:rPr>
          <w:kern w:val="0"/>
        </w:rPr>
        <w:t xml:space="preserve"> and </w:t>
      </w:r>
      <w:r w:rsidR="003A1917">
        <w:rPr>
          <w:kern w:val="0"/>
        </w:rPr>
        <w:t xml:space="preserve">the </w:t>
      </w:r>
      <w:r>
        <w:rPr>
          <w:kern w:val="0"/>
        </w:rPr>
        <w:t>Science Citation Index were searched. Nine trials were identified, covering a total</w:t>
      </w:r>
      <w:r w:rsidR="00427468">
        <w:rPr>
          <w:kern w:val="0"/>
        </w:rPr>
        <w:t xml:space="preserve"> of </w:t>
      </w:r>
      <w:r>
        <w:rPr>
          <w:kern w:val="0"/>
        </w:rPr>
        <w:t>7941 patients</w:t>
      </w:r>
      <w:r w:rsidR="00A37C1D">
        <w:rPr>
          <w:kern w:val="0"/>
        </w:rPr>
        <w:t>. The</w:t>
      </w:r>
      <w:r w:rsidR="003A1917">
        <w:rPr>
          <w:kern w:val="0"/>
        </w:rPr>
        <w:t xml:space="preserve"> </w:t>
      </w:r>
      <w:r>
        <w:rPr>
          <w:kern w:val="0"/>
        </w:rPr>
        <w:t>treatment</w:t>
      </w:r>
      <w:r w:rsidR="00427468">
        <w:rPr>
          <w:kern w:val="0"/>
        </w:rPr>
        <w:t xml:space="preserve"> of </w:t>
      </w:r>
      <w:r>
        <w:rPr>
          <w:kern w:val="0"/>
        </w:rPr>
        <w:t>mCRC with a combination</w:t>
      </w:r>
      <w:r w:rsidR="00427468">
        <w:rPr>
          <w:kern w:val="0"/>
        </w:rPr>
        <w:t xml:space="preserve"> of </w:t>
      </w:r>
      <w:r>
        <w:rPr>
          <w:kern w:val="0"/>
        </w:rPr>
        <w:t>anti-EGFR mAb</w:t>
      </w:r>
      <w:r w:rsidR="005853A9">
        <w:rPr>
          <w:kern w:val="0"/>
        </w:rPr>
        <w:t xml:space="preserve"> and </w:t>
      </w:r>
      <w:r>
        <w:rPr>
          <w:kern w:val="0"/>
        </w:rPr>
        <w:t>chemotherapy or BSC, as compared with chemotherapy or BSC alone, improved</w:t>
      </w:r>
      <w:r w:rsidR="003A1917">
        <w:rPr>
          <w:kern w:val="0"/>
        </w:rPr>
        <w:t xml:space="preserve"> the </w:t>
      </w:r>
      <w:r>
        <w:rPr>
          <w:kern w:val="0"/>
        </w:rPr>
        <w:t>OS [hazard ratio (HR), 0.90 (0.84-0.96); P = 0.002]</w:t>
      </w:r>
      <w:r w:rsidR="00A37C1D">
        <w:rPr>
          <w:kern w:val="0"/>
        </w:rPr>
        <w:t>. The</w:t>
      </w:r>
      <w:r w:rsidR="003A1917">
        <w:rPr>
          <w:kern w:val="0"/>
        </w:rPr>
        <w:t xml:space="preserve"> </w:t>
      </w:r>
      <w:r>
        <w:rPr>
          <w:kern w:val="0"/>
        </w:rPr>
        <w:t>benefit</w:t>
      </w:r>
      <w:r w:rsidR="00427468">
        <w:rPr>
          <w:kern w:val="0"/>
        </w:rPr>
        <w:t xml:space="preserve"> of </w:t>
      </w:r>
      <w:r>
        <w:rPr>
          <w:kern w:val="0"/>
        </w:rPr>
        <w:t>anti-EGFR mAb in patients with KRAS wild-type tumors was apparent in relation to a marginal trend toward improved OS [HR, 0.84 (0.70-1.01); P = 0.06],</w:t>
      </w:r>
      <w:r w:rsidR="005853A9">
        <w:rPr>
          <w:kern w:val="0"/>
        </w:rPr>
        <w:t xml:space="preserve"> and </w:t>
      </w:r>
      <w:r>
        <w:rPr>
          <w:kern w:val="0"/>
        </w:rPr>
        <w:t>significantly improved PFS [HR, 0.64 (0.51-0.81); P &lt; 0.001]. No benefit for</w:t>
      </w:r>
      <w:r w:rsidR="003A1917">
        <w:rPr>
          <w:kern w:val="0"/>
        </w:rPr>
        <w:t xml:space="preserve"> the </w:t>
      </w:r>
      <w:r>
        <w:rPr>
          <w:kern w:val="0"/>
        </w:rPr>
        <w:t>addition</w:t>
      </w:r>
      <w:r w:rsidR="00427468">
        <w:rPr>
          <w:kern w:val="0"/>
        </w:rPr>
        <w:t xml:space="preserve"> of </w:t>
      </w:r>
      <w:r>
        <w:rPr>
          <w:kern w:val="0"/>
        </w:rPr>
        <w:t>anti-EGFR mAb was detected for any efficacy end-point in patients with KRAS mutant tumors</w:t>
      </w:r>
      <w:r w:rsidR="00A37C1D">
        <w:rPr>
          <w:kern w:val="0"/>
        </w:rPr>
        <w:t>. The</w:t>
      </w:r>
      <w:r w:rsidR="003A1917">
        <w:rPr>
          <w:kern w:val="0"/>
        </w:rPr>
        <w:t xml:space="preserve"> </w:t>
      </w:r>
      <w:r>
        <w:rPr>
          <w:kern w:val="0"/>
        </w:rPr>
        <w:t>summary HRs (anti-EGFR mAb vs control) were 0.98 (0.88-1.08) (P = 0.71) for OS</w:t>
      </w:r>
      <w:r w:rsidR="005853A9">
        <w:rPr>
          <w:kern w:val="0"/>
        </w:rPr>
        <w:t xml:space="preserve"> and </w:t>
      </w:r>
      <w:r>
        <w:rPr>
          <w:kern w:val="0"/>
        </w:rPr>
        <w:t>1.08 (0.94-1.25) (P = 0.27) for PFS, respectively. In conclusion, this analysis provides confirmation that, compared with chemotherapy or BSC alone, anti-EGFR mAb with chemotherapy or BSC reduces</w:t>
      </w:r>
      <w:r w:rsidR="003A1917">
        <w:rPr>
          <w:kern w:val="0"/>
        </w:rPr>
        <w:t xml:space="preserve"> the </w:t>
      </w:r>
      <w:r>
        <w:rPr>
          <w:kern w:val="0"/>
        </w:rPr>
        <w:t>risk</w:t>
      </w:r>
      <w:r w:rsidR="00427468">
        <w:rPr>
          <w:kern w:val="0"/>
        </w:rPr>
        <w:t xml:space="preserve"> of </w:t>
      </w:r>
      <w:r>
        <w:rPr>
          <w:kern w:val="0"/>
        </w:rPr>
        <w:t>progression</w:t>
      </w:r>
      <w:r w:rsidR="005853A9">
        <w:rPr>
          <w:kern w:val="0"/>
        </w:rPr>
        <w:t xml:space="preserve"> and </w:t>
      </w:r>
      <w:r>
        <w:rPr>
          <w:kern w:val="0"/>
        </w:rPr>
        <w:t>death</w:t>
      </w:r>
      <w:r w:rsidR="00427468">
        <w:rPr>
          <w:kern w:val="0"/>
        </w:rPr>
        <w:t xml:space="preserve"> of </w:t>
      </w:r>
      <w:r>
        <w:rPr>
          <w:kern w:val="0"/>
        </w:rPr>
        <w:t>mCRC</w:t>
      </w:r>
      <w:r w:rsidR="005853A9">
        <w:rPr>
          <w:kern w:val="0"/>
        </w:rPr>
        <w:t xml:space="preserve"> and </w:t>
      </w:r>
      <w:r>
        <w:rPr>
          <w:kern w:val="0"/>
        </w:rPr>
        <w:t>that this benefit is seen only in patients with wild-type KRAS tumors. Anti-Cancer Drugs 23: 155-160 (C) 2012 Wolters Kluwer Health | Lippincott Williams &amp; Wilkins.</w:t>
      </w:r>
    </w:p>
    <w:p w:rsidR="00911088" w:rsidRDefault="00911088" w:rsidP="00911088">
      <w:pPr>
        <w:pStyle w:val="a3"/>
        <w:rPr>
          <w:kern w:val="0"/>
        </w:rPr>
      </w:pPr>
      <w:r>
        <w:rPr>
          <w:kern w:val="0"/>
        </w:rPr>
        <w:lastRenderedPageBreak/>
        <w:t xml:space="preserve">Keywords: 1st-Line Treatment, Analysis, Anti-Epidermal Growth Factor Receptor Monoclonal Body, Best Supportive Care, Bsc, Cancer, Care, Cetuximab Plus Irinotecan, Chemotherapy, Citation, Cochrane, Colorectal Cancer, Control, Drugs, Efficacy, Fluorouracil, Growth, Health, Leucovorin, </w:t>
      </w:r>
      <w:r w:rsidR="00D5664A">
        <w:rPr>
          <w:kern w:val="0"/>
        </w:rPr>
        <w:t>MEDLINE</w:t>
      </w:r>
      <w:r>
        <w:rPr>
          <w:kern w:val="0"/>
        </w:rPr>
        <w:t>, Metaanalysis, Outcomes, Overall Survival, Oxaliplatin, Panitumumab, Patients, Phase-III Trial, Progression, Ratio, Risk, Science, Science Citation Index, Statistics, Survival, Treatment, Trend</w:t>
      </w:r>
    </w:p>
    <w:p w:rsidR="006911AE" w:rsidRDefault="006911AE" w:rsidP="006911AE">
      <w:pPr>
        <w:pStyle w:val="a3"/>
        <w:rPr>
          <w:kern w:val="0"/>
        </w:rPr>
      </w:pPr>
      <w:r>
        <w:rPr>
          <w:rFonts w:hint="eastAsia"/>
          <w:kern w:val="0"/>
        </w:rPr>
        <w:t xml:space="preserve">? </w:t>
      </w:r>
      <w:r>
        <w:rPr>
          <w:kern w:val="0"/>
        </w:rPr>
        <w:t>Zou, Y.D., Sheng, Z.X., Lu, H.K.</w:t>
      </w:r>
      <w:r w:rsidR="005853A9">
        <w:rPr>
          <w:kern w:val="0"/>
        </w:rPr>
        <w:t xml:space="preserve"> and </w:t>
      </w:r>
      <w:r>
        <w:rPr>
          <w:kern w:val="0"/>
        </w:rPr>
        <w:t xml:space="preserve">Yu, J.M. (2013), Continuous treatment with new agents for newly diagnosed multiple myeloma. </w:t>
      </w:r>
      <w:r>
        <w:rPr>
          <w:i/>
          <w:iCs/>
          <w:kern w:val="0"/>
        </w:rPr>
        <w:t>Anti-Cancer Drugs</w:t>
      </w:r>
      <w:r>
        <w:rPr>
          <w:kern w:val="0"/>
        </w:rPr>
        <w:t xml:space="preserve">, </w:t>
      </w:r>
      <w:r>
        <w:rPr>
          <w:b/>
          <w:bCs/>
          <w:kern w:val="0"/>
        </w:rPr>
        <w:t>24</w:t>
      </w:r>
      <w:r>
        <w:rPr>
          <w:kern w:val="0"/>
        </w:rPr>
        <w:t xml:space="preserve"> (5), 527-533.</w:t>
      </w:r>
    </w:p>
    <w:p w:rsidR="006911AE" w:rsidRDefault="006911AE" w:rsidP="006911AE">
      <w:pPr>
        <w:pStyle w:val="a3"/>
      </w:pPr>
      <w:r w:rsidRPr="003862C4">
        <w:rPr>
          <w:rFonts w:hint="eastAsia"/>
        </w:rPr>
        <w:t xml:space="preserve">Full Text: </w:t>
      </w:r>
      <w:r w:rsidRPr="00CC17C8">
        <w:t>2013\Ant-Can Dru24, 527.pdf</w:t>
      </w:r>
    </w:p>
    <w:p w:rsidR="006911AE" w:rsidRDefault="006911AE" w:rsidP="006911AE">
      <w:pPr>
        <w:pStyle w:val="a3"/>
        <w:rPr>
          <w:kern w:val="0"/>
        </w:rPr>
      </w:pPr>
      <w:r>
        <w:rPr>
          <w:kern w:val="0"/>
        </w:rPr>
        <w:t>Abstract: To examine the role</w:t>
      </w:r>
      <w:r w:rsidR="00427468">
        <w:rPr>
          <w:kern w:val="0"/>
        </w:rPr>
        <w:t xml:space="preserve"> of </w:t>
      </w:r>
      <w:r>
        <w:rPr>
          <w:kern w:val="0"/>
        </w:rPr>
        <w:t>novel agents such as bortezomib, lenalidomide,</w:t>
      </w:r>
      <w:r w:rsidR="005853A9">
        <w:rPr>
          <w:kern w:val="0"/>
        </w:rPr>
        <w:t xml:space="preserve"> and </w:t>
      </w:r>
      <w:r>
        <w:rPr>
          <w:kern w:val="0"/>
        </w:rPr>
        <w:t>thalidomide as continuous therapy (induction</w:t>
      </w:r>
      <w:r w:rsidR="005853A9">
        <w:rPr>
          <w:kern w:val="0"/>
        </w:rPr>
        <w:t xml:space="preserve"> and </w:t>
      </w:r>
      <w:r>
        <w:rPr>
          <w:kern w:val="0"/>
        </w:rPr>
        <w:t>consolidation/maintenance) in the treatment</w:t>
      </w:r>
      <w:r w:rsidR="00427468">
        <w:rPr>
          <w:kern w:val="0"/>
        </w:rPr>
        <w:t xml:space="preserve"> of </w:t>
      </w:r>
      <w:r>
        <w:rPr>
          <w:kern w:val="0"/>
        </w:rPr>
        <w:t>newly diagnosed patients with multiple myeloma, we carried out a meta-analysis</w:t>
      </w:r>
      <w:r w:rsidR="00427468">
        <w:rPr>
          <w:kern w:val="0"/>
        </w:rPr>
        <w:t xml:space="preserve"> of </w:t>
      </w:r>
      <w:r>
        <w:rPr>
          <w:kern w:val="0"/>
        </w:rPr>
        <w:t>randomized-controlled trials. A comprehensive literature search (</w:t>
      </w:r>
      <w:r w:rsidR="00D5664A">
        <w:rPr>
          <w:kern w:val="0"/>
        </w:rPr>
        <w:t>MEDLINE</w:t>
      </w:r>
      <w:r>
        <w:rPr>
          <w:kern w:val="0"/>
        </w:rPr>
        <w:t>, Embase, the Cochrane controlled trials register,</w:t>
      </w:r>
      <w:r w:rsidR="005853A9">
        <w:rPr>
          <w:kern w:val="0"/>
        </w:rPr>
        <w:t xml:space="preserve"> and </w:t>
      </w:r>
      <w:r>
        <w:rPr>
          <w:kern w:val="0"/>
        </w:rPr>
        <w:t>the Science Citation Index) was performed</w:t>
      </w:r>
      <w:r w:rsidR="00A37C1D">
        <w:rPr>
          <w:kern w:val="0"/>
        </w:rPr>
        <w:t>. The</w:t>
      </w:r>
      <w:r>
        <w:rPr>
          <w:kern w:val="0"/>
        </w:rPr>
        <w:t xml:space="preserve"> initial search yielded 849 citations,</w:t>
      </w:r>
      <w:r w:rsidR="00427468">
        <w:rPr>
          <w:kern w:val="0"/>
        </w:rPr>
        <w:t xml:space="preserve"> of </w:t>
      </w:r>
      <w:r>
        <w:rPr>
          <w:kern w:val="0"/>
        </w:rPr>
        <w:t>which 11 randomized-controlled trials enrolling 4775 patients fulfilled the inclusion criteria. Continuous addition</w:t>
      </w:r>
      <w:r w:rsidR="00427468">
        <w:rPr>
          <w:kern w:val="0"/>
        </w:rPr>
        <w:t xml:space="preserve"> of </w:t>
      </w:r>
      <w:r>
        <w:rPr>
          <w:kern w:val="0"/>
        </w:rPr>
        <w:t>bortezomib to conventional therapy before</w:t>
      </w:r>
      <w:r w:rsidR="005853A9">
        <w:rPr>
          <w:kern w:val="0"/>
        </w:rPr>
        <w:t xml:space="preserve"> and </w:t>
      </w:r>
      <w:r>
        <w:rPr>
          <w:kern w:val="0"/>
        </w:rPr>
        <w:t>after autologous stem cell transplantation prolonged overall survival significantly: the summary hazard ratio was 0.80, 95% confidence interval [0.64, 0.99] (P = 0.04). Continuous therapy with novel agents consistently improved progression-free survival (PFS) compared with therapy with conventional agents alone. For those patients ineligible for a transplant, the summary hazard ratios for PFS were 0.69 [0.56, 0.85] (P &lt; 0.001) for continuous thalidomide therapy</w:t>
      </w:r>
      <w:r w:rsidR="005853A9">
        <w:rPr>
          <w:kern w:val="0"/>
        </w:rPr>
        <w:t xml:space="preserve"> and </w:t>
      </w:r>
      <w:r>
        <w:rPr>
          <w:kern w:val="0"/>
        </w:rPr>
        <w:t>0.47 [0.33, 0.68] (P &lt; 0.001) for continuous lenalidomide therapy; for those patients ineligible for a transplant, the summary hazard ratios for PFS were 0.68 [0.59, 0.79] (P &lt; 0.001) for continuous thalidomide therapy</w:t>
      </w:r>
      <w:r w:rsidR="005853A9">
        <w:rPr>
          <w:kern w:val="0"/>
        </w:rPr>
        <w:t xml:space="preserve"> and </w:t>
      </w:r>
      <w:r>
        <w:rPr>
          <w:kern w:val="0"/>
        </w:rPr>
        <w:t>0.72 [0.61, 0.85] (P &lt; 0.001) for continuous lenalidomide therapy. In summary, continuous therapy with novel agents improved PFS consistently,</w:t>
      </w:r>
      <w:r w:rsidR="005853A9">
        <w:rPr>
          <w:kern w:val="0"/>
        </w:rPr>
        <w:t xml:space="preserve"> and </w:t>
      </w:r>
      <w:r>
        <w:rPr>
          <w:kern w:val="0"/>
        </w:rPr>
        <w:t>bortezomib may improve the overall survival</w:t>
      </w:r>
      <w:r w:rsidR="00427468">
        <w:rPr>
          <w:kern w:val="0"/>
        </w:rPr>
        <w:t xml:space="preserve"> of </w:t>
      </w:r>
      <w:r>
        <w:rPr>
          <w:kern w:val="0"/>
        </w:rPr>
        <w:t>patients with newly diagnosed myeloma when it is added to standard transplantation therapy continuously. Anti-Cancer Drugs 24:527-533 (C) 2013 Wolters Kluwer Health vertical bar Lippincott Williams &amp; Wilkins. Anti-Cancer Drugs 2013, 24:527-533.</w:t>
      </w:r>
    </w:p>
    <w:p w:rsidR="006911AE" w:rsidRDefault="006911AE" w:rsidP="006911AE">
      <w:pPr>
        <w:pStyle w:val="a3"/>
        <w:rPr>
          <w:kern w:val="0"/>
        </w:rPr>
      </w:pPr>
      <w:r>
        <w:rPr>
          <w:kern w:val="0"/>
        </w:rPr>
        <w:t xml:space="preserve">Keywords: Autologous Stem Cell Transplantation, Bortezomib, Cell Transplantation, Citation, Citations, Confidence, Consolidation Therapy, Conventional, Criteria, Drugs, Elderly-Patients, Hazard, Induction, Initial Therapy, Interval, Lenalidomide, Lenalidomide, Literature, </w:t>
      </w:r>
      <w:r w:rsidR="00D5664A">
        <w:rPr>
          <w:kern w:val="0"/>
        </w:rPr>
        <w:t>MEDLINE</w:t>
      </w:r>
      <w:r>
        <w:rPr>
          <w:kern w:val="0"/>
        </w:rPr>
        <w:t xml:space="preserve">, Meta Analysis, Meta-Analysis, Metaanalysis, Multiple Myeloma, Oral Melphalan, P, Patients, Phase-Iii, Prednisone, Prolonged, Randomized Controlled Trials, Randomized Controlled-Trial, Role, Science, Science </w:t>
      </w:r>
      <w:r>
        <w:rPr>
          <w:kern w:val="0"/>
        </w:rPr>
        <w:lastRenderedPageBreak/>
        <w:t>Citation Index, Standard, Stem Cell, Stem Cell Transplantation, Stem-Cell Transplantation, Survival, Thalidomide, Thalidomide Plus Dexamethasone, Therapy, Transplantation, Treatment, Vertical</w:t>
      </w:r>
    </w:p>
    <w:p w:rsidR="0030347C" w:rsidRDefault="0030347C" w:rsidP="0030347C">
      <w:pPr>
        <w:pStyle w:val="a3"/>
        <w:rPr>
          <w:kern w:val="0"/>
        </w:rPr>
      </w:pPr>
      <w:r>
        <w:rPr>
          <w:rFonts w:hint="eastAsia"/>
          <w:kern w:val="0"/>
        </w:rPr>
        <w:t xml:space="preserve">? </w:t>
      </w:r>
      <w:r>
        <w:rPr>
          <w:kern w:val="0"/>
        </w:rPr>
        <w:t xml:space="preserve">Barni, S., Ghidini, A., Coinu, A., Borgonovo, K. and Petrelli, F. (2014), A systematic review of raltitrexed-based first-line chemotherapy in advanced colorectal cancer. </w:t>
      </w:r>
      <w:r>
        <w:rPr>
          <w:i/>
          <w:iCs/>
          <w:kern w:val="0"/>
        </w:rPr>
        <w:t>Anti-Cancer Drugs</w:t>
      </w:r>
      <w:r>
        <w:rPr>
          <w:kern w:val="0"/>
        </w:rPr>
        <w:t xml:space="preserve">, </w:t>
      </w:r>
      <w:r>
        <w:rPr>
          <w:b/>
          <w:bCs/>
          <w:kern w:val="0"/>
        </w:rPr>
        <w:t>25</w:t>
      </w:r>
      <w:r>
        <w:rPr>
          <w:kern w:val="0"/>
        </w:rPr>
        <w:t xml:space="preserve"> (10), 1122-1128.</w:t>
      </w:r>
    </w:p>
    <w:p w:rsidR="0030347C" w:rsidRDefault="0030347C" w:rsidP="0030347C">
      <w:pPr>
        <w:pStyle w:val="a3"/>
      </w:pPr>
      <w:r w:rsidRPr="003862C4">
        <w:rPr>
          <w:rFonts w:hint="eastAsia"/>
        </w:rPr>
        <w:t xml:space="preserve">Full Text: </w:t>
      </w:r>
      <w:r w:rsidRPr="00CC17C8">
        <w:t>201</w:t>
      </w:r>
      <w:r>
        <w:rPr>
          <w:rFonts w:hint="eastAsia"/>
        </w:rPr>
        <w:t>4</w:t>
      </w:r>
      <w:r w:rsidRPr="00CC17C8">
        <w:t>\Ant-Can Dru2</w:t>
      </w:r>
      <w:r>
        <w:rPr>
          <w:rFonts w:hint="eastAsia"/>
        </w:rPr>
        <w:t>5</w:t>
      </w:r>
      <w:r w:rsidRPr="00CC17C8">
        <w:t xml:space="preserve">, </w:t>
      </w:r>
      <w:r>
        <w:rPr>
          <w:kern w:val="0"/>
        </w:rPr>
        <w:t>1122</w:t>
      </w:r>
      <w:r w:rsidRPr="00CC17C8">
        <w:t>.pdf</w:t>
      </w:r>
    </w:p>
    <w:p w:rsidR="0030347C" w:rsidRDefault="0030347C" w:rsidP="0030347C">
      <w:pPr>
        <w:pStyle w:val="a3"/>
        <w:rPr>
          <w:kern w:val="0"/>
        </w:rPr>
      </w:pPr>
      <w:r>
        <w:rPr>
          <w:kern w:val="0"/>
        </w:rPr>
        <w:t>Abstract: Raltitrexed is a thymidylate synthase inhibitor belonging to the antimetabolite class of cytotoxic drugs. It is also effective in colorectal cancer (CRC) both as a single agent and in combination with other drugs, in particular in those patients with cardiologic risk factors or previous cardiotoxicity. The efficacy of first-line raltitrexed-based chemotherapy containing oxaliplatin (TOMOX) and irinotecan (TOMIRI) was investigated in this systematic review. Studies that enrolled advanced CRC patients for first-line therapy with TOMOX/ TOMIRI combinations were identified using electronic databases (Pubmed, SCOPUS, Web of Science, EMBASE, and the Cochrane Library). A systematic analysis was carried out using Comprehensive Meta Analysis (version 2.2.064) software to calculate the pooled response rate and 95% confidence limits. The median pooled overall survival and progression-free survival were also calculated. Results for TOMOX and TOMIRI studies were compared using the two-sided Student's t-test. We tested for significant heterogeneity using Cochran's chi(2)-test and I-2 index. Twelve studies published between 2001 and 2012 were eligible for this analysis and a total of 735 patients were enrolled in these studies. The overall response rate was 40% (95% confidence interval 34-46%): 43.9% for TOMOX and 34.1% for TOMIRI arms. The weighted median overall survival and progression-free survival times were 14.6 and 6.7 months, respectively. Neutropenia and liver toxicity were more frequent with TOMOX, whereas neutropenia and diarrhea were more frequent with TOMIRI. However, compared with historical FOLFOX and FOLFIRI trials, raltitrexed-based doublets are associated with less neutropenia and gastrointestinal toxicity and uncommon cardiotoxicity. TOMOX and TOMIRI doublets are active as first-line chemotherapy for advanced CRC and seem useful in particular when the use of 5-fluorouracil is contraindicated for cardiac comorbidity. (C) 2014 Wolters Kluwer Health vertical bar Lippincott Williams &amp; Wilkins.</w:t>
      </w:r>
    </w:p>
    <w:p w:rsidR="0030347C" w:rsidRDefault="0030347C" w:rsidP="0030347C">
      <w:pPr>
        <w:pStyle w:val="a3"/>
        <w:rPr>
          <w:kern w:val="0"/>
        </w:rPr>
      </w:pPr>
      <w:r>
        <w:rPr>
          <w:kern w:val="0"/>
        </w:rPr>
        <w:t xml:space="preserve">Keywords: 5-Fluorouracil, Active, Analysis, Cancer, Capecitabine, Cardiotoxicity, Chemotherapy, Colorectal Cancer, Combination Chemotherapy, Comorbidity, Confidence, Cytotoxic, Databases, Drugs, Efficacy, Embase, First Line, First-Line Therapy, Fluoropyrimidines, Fluorouracil, Health, Heterogeneity, Index, Inhibitor, Interval, Irinotecan, Leucovorin, Liver, Meta-Analysis, Metastatic, Neutropenia, Nov, Overall Survival, Oxaliplatin, Patients, Phase-Ii Trial, Plus Oxaliplatin, Raltitrexed, </w:t>
      </w:r>
      <w:r>
        <w:rPr>
          <w:kern w:val="0"/>
        </w:rPr>
        <w:lastRenderedPageBreak/>
        <w:t>Randomized-Trial, Response, Results, Review, Risk, Risk Factors, Science, Scopus, Software, Survival, Systematic, Systematic Analysis, Systematic Review, Therapy, Toxicity, Version, Vertical, Web Of Science</w:t>
      </w:r>
    </w:p>
    <w:p w:rsidR="003474F2" w:rsidRPr="001A3D2B" w:rsidRDefault="003474F2" w:rsidP="003474F2">
      <w:pPr>
        <w:pStyle w:val="1"/>
      </w:pPr>
      <w:r w:rsidRPr="001A3D2B">
        <w:br w:type="page"/>
      </w:r>
      <w:bookmarkStart w:id="520" w:name="_Toc420814540"/>
      <w:r w:rsidRPr="001A3D2B">
        <w:lastRenderedPageBreak/>
        <w:t>Title: Antimicrobial Agents</w:t>
      </w:r>
      <w:r w:rsidR="005853A9">
        <w:t xml:space="preserve"> and </w:t>
      </w:r>
      <w:r w:rsidRPr="001A3D2B">
        <w:t>Chemotherapy</w:t>
      </w:r>
      <w:bookmarkEnd w:id="520"/>
    </w:p>
    <w:p w:rsidR="003474F2" w:rsidRPr="001A3D2B" w:rsidRDefault="003474F2" w:rsidP="003474F2">
      <w:pPr>
        <w:pStyle w:val="12"/>
      </w:pPr>
      <w:r w:rsidRPr="001A3D2B">
        <w:t>F</w:t>
      </w:r>
      <w:bookmarkStart w:id="521" w:name="_Toc516560393"/>
      <w:bookmarkStart w:id="522" w:name="_Toc57177790"/>
      <w:bookmarkStart w:id="523" w:name="_Toc81215617"/>
      <w:r w:rsidRPr="001A3D2B">
        <w:t xml:space="preserve">ull Journal Title: </w:t>
      </w:r>
      <w:r w:rsidR="00206C8A">
        <w:fldChar w:fldCharType="begin"/>
      </w:r>
      <w:r w:rsidR="00FD158B">
        <w:instrText>HYPERLINK "http://aac.as</w:instrText>
      </w:r>
      <w:bookmarkEnd w:id="521"/>
      <w:bookmarkEnd w:id="522"/>
      <w:bookmarkEnd w:id="523"/>
      <w:r w:rsidR="00FD158B">
        <w:instrText>m.org/"</w:instrText>
      </w:r>
      <w:r w:rsidR="00206C8A">
        <w:fldChar w:fldCharType="separate"/>
      </w:r>
      <w:r w:rsidRPr="001A3D2B">
        <w:rPr>
          <w:rStyle w:val="a5"/>
        </w:rPr>
        <w:t>Antimicrobial Agents</w:t>
      </w:r>
      <w:r w:rsidR="005853A9">
        <w:rPr>
          <w:rStyle w:val="a5"/>
        </w:rPr>
        <w:t xml:space="preserve"> and </w:t>
      </w:r>
      <w:r w:rsidRPr="001A3D2B">
        <w:rPr>
          <w:rStyle w:val="a5"/>
        </w:rPr>
        <w:t>Chemotherapy</w:t>
      </w:r>
      <w:r w:rsidR="00206C8A">
        <w:fldChar w:fldCharType="end"/>
      </w:r>
    </w:p>
    <w:p w:rsidR="003474F2" w:rsidRPr="001A3D2B" w:rsidRDefault="003474F2" w:rsidP="003474F2">
      <w:pPr>
        <w:pStyle w:val="12"/>
      </w:pPr>
      <w:r w:rsidRPr="001A3D2B">
        <w:t>ISO Abbreviated Title: Antimicrob. Agents Chemother.</w:t>
      </w:r>
    </w:p>
    <w:p w:rsidR="003474F2" w:rsidRPr="001A3D2B" w:rsidRDefault="003474F2" w:rsidP="003474F2">
      <w:pPr>
        <w:pStyle w:val="12"/>
      </w:pPr>
      <w:r w:rsidRPr="001A3D2B">
        <w:t>JCR Abbreviated Title: Antimicrob Agents Ch</w:t>
      </w:r>
    </w:p>
    <w:p w:rsidR="003474F2" w:rsidRPr="001A3D2B" w:rsidRDefault="003474F2" w:rsidP="003474F2">
      <w:pPr>
        <w:pStyle w:val="12"/>
      </w:pPr>
      <w:r w:rsidRPr="001A3D2B">
        <w:t>ISSN: 0066-4804</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Soc Microbiology</w:t>
      </w:r>
    </w:p>
    <w:p w:rsidR="003474F2" w:rsidRPr="001A3D2B" w:rsidRDefault="003474F2" w:rsidP="003474F2">
      <w:pPr>
        <w:pStyle w:val="12"/>
      </w:pPr>
      <w:r w:rsidRPr="001A3D2B">
        <w:t xml:space="preserve">Publisher Address: 1752 N St Nw, </w:t>
      </w:r>
      <w:smartTag w:uri="urn:schemas-microsoft-com:office:smarttags" w:element="place">
        <w:smartTag w:uri="urn:schemas-microsoft-com:office:smarttags" w:element="City">
          <w:r w:rsidRPr="001A3D2B">
            <w:t>Washington</w:t>
          </w:r>
        </w:smartTag>
        <w:r w:rsidRPr="001A3D2B">
          <w:t xml:space="preserve">, </w:t>
        </w:r>
        <w:smartTag w:uri="urn:schemas-microsoft-com:office:smarttags" w:element="State">
          <w:r w:rsidRPr="001A3D2B">
            <w:t>DC</w:t>
          </w:r>
        </w:smartTag>
        <w:r w:rsidRPr="001A3D2B">
          <w:t xml:space="preserve"> </w:t>
        </w:r>
        <w:smartTag w:uri="urn:schemas-microsoft-com:office:smarttags" w:element="PostalCode">
          <w:r w:rsidRPr="001A3D2B">
            <w:t>20036-2904</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Microbiology: Impact Factor 4.562, 9/81 (2001)</w:t>
      </w:r>
    </w:p>
    <w:p w:rsidR="003474F2" w:rsidRPr="001A3D2B" w:rsidRDefault="003474F2" w:rsidP="003474F2">
      <w:pPr>
        <w:pStyle w:val="12"/>
      </w:pPr>
      <w:r w:rsidRPr="001A3D2B">
        <w:t>Pharmacology &amp; Pharmacy: Impact Factor 4.562, 12/186 (2001)</w:t>
      </w:r>
    </w:p>
    <w:p w:rsidR="003474F2" w:rsidRPr="001A3D2B" w:rsidRDefault="003474F2" w:rsidP="003474F2">
      <w:pPr>
        <w:pStyle w:val="a3"/>
      </w:pPr>
      <w:r w:rsidRPr="001A3D2B">
        <w:t>? Rastogi, N.</w:t>
      </w:r>
      <w:r w:rsidR="005853A9">
        <w:t xml:space="preserve"> and </w:t>
      </w:r>
      <w:r w:rsidRPr="001A3D2B">
        <w:t>Goh, K.S. (1991), Invitro activity</w:t>
      </w:r>
      <w:r w:rsidR="00427468">
        <w:t xml:space="preserve"> of </w:t>
      </w:r>
      <w:r w:rsidR="003A1917">
        <w:t xml:space="preserve">the </w:t>
      </w:r>
      <w:r w:rsidRPr="001A3D2B">
        <w:t xml:space="preserve">new difluorinated quinolone sparfloxacin (At-4140) against </w:t>
      </w:r>
      <w:r w:rsidRPr="001A3D2B">
        <w:rPr>
          <w:i/>
          <w:iCs/>
        </w:rPr>
        <w:t>Mycobacterium tuberculosis</w:t>
      </w:r>
      <w:r w:rsidRPr="001A3D2B">
        <w:t xml:space="preserve"> compared with activities</w:t>
      </w:r>
      <w:r w:rsidR="00427468">
        <w:t xml:space="preserve"> of </w:t>
      </w:r>
      <w:r w:rsidRPr="001A3D2B">
        <w:t>ofloxacin</w:t>
      </w:r>
      <w:r w:rsidR="005853A9">
        <w:t xml:space="preserve"> and </w:t>
      </w:r>
      <w:r w:rsidRPr="001A3D2B">
        <w:t xml:space="preserve">ciprofloxacin.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35</w:t>
      </w:r>
      <w:r w:rsidRPr="001A3D2B">
        <w:t xml:space="preserve"> (9), 1933-1936.</w:t>
      </w:r>
    </w:p>
    <w:p w:rsidR="003474F2" w:rsidRPr="001A3D2B" w:rsidRDefault="003474F2" w:rsidP="003474F2">
      <w:pPr>
        <w:pStyle w:val="a3"/>
      </w:pPr>
      <w:r w:rsidRPr="001A3D2B">
        <w:t xml:space="preserve">Full Text: </w:t>
      </w:r>
      <w:hyperlink r:id="rId1001" w:history="1">
        <w:r w:rsidRPr="001A3D2B">
          <w:rPr>
            <w:rStyle w:val="a5"/>
          </w:rPr>
          <w:t>1991\Ant Age Che35, 1933.pdf</w:t>
        </w:r>
      </w:hyperlink>
    </w:p>
    <w:p w:rsidR="003474F2" w:rsidRPr="001A3D2B" w:rsidRDefault="003474F2" w:rsidP="003474F2">
      <w:pPr>
        <w:pStyle w:val="a3"/>
      </w:pPr>
      <w:r w:rsidRPr="001A3D2B">
        <w:t>Abstract: MICs</w:t>
      </w:r>
      <w:r w:rsidR="00427468">
        <w:t xml:space="preserve"> of </w:t>
      </w:r>
      <w:r w:rsidR="003A1917">
        <w:t xml:space="preserve">the </w:t>
      </w:r>
      <w:r w:rsidRPr="001A3D2B">
        <w:t>new fluoroquinolone drugs ofloxacin, ciprofloxacin,</w:t>
      </w:r>
      <w:r w:rsidR="005853A9">
        <w:t xml:space="preserve"> and </w:t>
      </w:r>
      <w:r w:rsidRPr="001A3D2B">
        <w:t>sparfloxacin (AT-4140) for 10 strains</w:t>
      </w:r>
      <w:r w:rsidR="00427468">
        <w:t xml:space="preserve"> of </w:t>
      </w:r>
      <w:r w:rsidRPr="001A3D2B">
        <w:rPr>
          <w:i/>
          <w:iCs/>
        </w:rPr>
        <w:t>Mycobacterium tuberculosis</w:t>
      </w:r>
      <w:r w:rsidRPr="001A3D2B">
        <w:t xml:space="preserve"> were determined by using both a BACTEC radiometric method</w:t>
      </w:r>
      <w:r w:rsidR="005853A9">
        <w:t xml:space="preserve"> and </w:t>
      </w:r>
      <w:r w:rsidRPr="001A3D2B">
        <w:t>testing on solid 7H11 agar medium. Radiometric MICs by 7H12 broth testing ranged from 0.5 to 1.0, 0.25 to 0.5,</w:t>
      </w:r>
      <w:r w:rsidR="005853A9">
        <w:t xml:space="preserve"> and </w:t>
      </w:r>
      <w:r w:rsidRPr="001A3D2B">
        <w:t>0.1 to 0.2-mu-g, ml for ofloxacin, ciprofloxacin,</w:t>
      </w:r>
      <w:r w:rsidR="005853A9">
        <w:t xml:space="preserve"> and </w:t>
      </w:r>
      <w:r w:rsidRPr="001A3D2B">
        <w:t>sparfloxacin respectively, whereas MICs in solid medium ranged from 0.5 to 1.0, 0.5 to 1.0,</w:t>
      </w:r>
      <w:r w:rsidR="005853A9">
        <w:t xml:space="preserve"> and </w:t>
      </w:r>
      <w:r w:rsidRPr="001A3D2B">
        <w:t>0.2 to 0.5-mu-g, ml, respectively</w:t>
      </w:r>
      <w:r w:rsidR="00A37C1D">
        <w:t>. The</w:t>
      </w:r>
      <w:r w:rsidR="003A1917">
        <w:t xml:space="preserve"> </w:t>
      </w:r>
      <w:r w:rsidRPr="001A3D2B">
        <w:t>bactericidal action</w:t>
      </w:r>
      <w:r w:rsidR="00427468">
        <w:t xml:space="preserve"> of </w:t>
      </w:r>
      <w:r w:rsidR="003A1917">
        <w:t xml:space="preserve">the </w:t>
      </w:r>
      <w:r w:rsidRPr="001A3D2B">
        <w:t>quinolones compared with their reported peak concentrations in human serum showed that sparfloxacin is</w:t>
      </w:r>
      <w:r w:rsidR="003A1917">
        <w:t xml:space="preserve"> the </w:t>
      </w:r>
      <w:r w:rsidRPr="001A3D2B">
        <w:t>most bactericidal, followed by ciprofloxacin</w:t>
      </w:r>
      <w:r w:rsidR="005853A9">
        <w:t xml:space="preserve"> and </w:t>
      </w:r>
      <w:r w:rsidRPr="001A3D2B">
        <w:t>ofloxacin. Our results suggest that potential</w:t>
      </w:r>
      <w:r w:rsidR="00427468">
        <w:t xml:space="preserve"> of </w:t>
      </w:r>
      <w:r w:rsidR="003A1917">
        <w:t xml:space="preserve">the </w:t>
      </w:r>
      <w:r w:rsidRPr="001A3D2B">
        <w:t>new difluorinated quinolone sparfloxacin for use against</w:t>
      </w:r>
      <w:r w:rsidR="003A1917">
        <w:t xml:space="preserve"> the </w:t>
      </w:r>
      <w:r w:rsidRPr="001A3D2B">
        <w:t>tubercle bacillus</w:t>
      </w:r>
      <w:r w:rsidR="005853A9">
        <w:t xml:space="preserve"> and </w:t>
      </w:r>
      <w:r w:rsidRPr="001A3D2B">
        <w:t>indicate that further determination</w:t>
      </w:r>
      <w:r w:rsidR="00427468">
        <w:t xml:space="preserve"> of </w:t>
      </w:r>
      <w:r w:rsidRPr="001A3D2B">
        <w:t>its antimycobacterial spectrum</w:t>
      </w:r>
      <w:r w:rsidR="005853A9">
        <w:t xml:space="preserve"> and </w:t>
      </w:r>
      <w:r w:rsidRPr="001A3D2B">
        <w:t>intracellular efficacy may be fruitful</w:t>
      </w:r>
    </w:p>
    <w:p w:rsidR="003474F2" w:rsidRPr="001A3D2B" w:rsidRDefault="003474F2" w:rsidP="003474F2">
      <w:pPr>
        <w:pStyle w:val="a3"/>
      </w:pPr>
      <w:r w:rsidRPr="001A3D2B">
        <w:t xml:space="preserve">Keywords: Agents, Antimycobacterial, At-4140, Avium Complex, Bactericidal Activity, Drug Susceptibility, Enhancement, Intracellular, </w:t>
      </w:r>
      <w:r w:rsidRPr="001A3D2B">
        <w:rPr>
          <w:i/>
          <w:iCs/>
        </w:rPr>
        <w:t>Mycobacterium tuberculosis</w:t>
      </w:r>
      <w:r w:rsidRPr="001A3D2B">
        <w:t>, Ofloxacin, Quinolones, Radiometric Method, Sparfloxacin, Tuberculosis</w:t>
      </w:r>
    </w:p>
    <w:p w:rsidR="003474F2" w:rsidRPr="001A3D2B" w:rsidRDefault="003474F2" w:rsidP="003474F2">
      <w:pPr>
        <w:pStyle w:val="a3"/>
      </w:pPr>
      <w:r w:rsidRPr="001A3D2B">
        <w:t>? Rastogi, N., Labrousse, V., Goh, K.S.</w:t>
      </w:r>
      <w:r w:rsidR="005853A9">
        <w:t xml:space="preserve"> and </w:t>
      </w:r>
      <w:r w:rsidRPr="001A3D2B">
        <w:t>Deso</w:t>
      </w:r>
      <w:r w:rsidR="00D5664A">
        <w:t>USA</w:t>
      </w:r>
      <w:r w:rsidRPr="001A3D2B">
        <w:t>, J.P.C. (1991), Antimycobacterial spectrum</w:t>
      </w:r>
      <w:r w:rsidR="00427468">
        <w:t xml:space="preserve"> of </w:t>
      </w:r>
      <w:r w:rsidRPr="001A3D2B">
        <w:t>sparfloxacin</w:t>
      </w:r>
      <w:r w:rsidR="005853A9">
        <w:t xml:space="preserve"> and </w:t>
      </w:r>
      <w:r w:rsidRPr="001A3D2B">
        <w:t>its activities alone</w:t>
      </w:r>
      <w:r w:rsidR="005853A9">
        <w:t xml:space="preserve"> and </w:t>
      </w:r>
      <w:r w:rsidRPr="001A3D2B">
        <w:t>in association with other drugs against mycobacterium-avium complex growing extracellularly</w:t>
      </w:r>
      <w:r w:rsidR="005853A9">
        <w:t xml:space="preserve"> and </w:t>
      </w:r>
      <w:r w:rsidRPr="001A3D2B">
        <w:t>intracellularly in murine</w:t>
      </w:r>
      <w:r w:rsidR="005853A9">
        <w:t xml:space="preserve"> and </w:t>
      </w:r>
      <w:r w:rsidRPr="001A3D2B">
        <w:t xml:space="preserve">human macrophages. </w:t>
      </w:r>
      <w:r w:rsidRPr="001A3D2B">
        <w:rPr>
          <w:i/>
          <w:iCs/>
        </w:rPr>
        <w:t>Antimicrobial Agents</w:t>
      </w:r>
      <w:r w:rsidR="005853A9">
        <w:rPr>
          <w:i/>
          <w:iCs/>
        </w:rPr>
        <w:t xml:space="preserve"> and </w:t>
      </w:r>
      <w:r w:rsidRPr="001A3D2B">
        <w:rPr>
          <w:i/>
          <w:iCs/>
        </w:rPr>
        <w:lastRenderedPageBreak/>
        <w:t>Chemotherapy</w:t>
      </w:r>
      <w:r w:rsidRPr="001A3D2B">
        <w:t xml:space="preserve">, </w:t>
      </w:r>
      <w:r w:rsidRPr="001A3D2B">
        <w:rPr>
          <w:b/>
          <w:bCs/>
        </w:rPr>
        <w:t>35</w:t>
      </w:r>
      <w:r w:rsidRPr="001A3D2B">
        <w:t xml:space="preserve"> (12), 2473-2480.</w:t>
      </w:r>
    </w:p>
    <w:p w:rsidR="003474F2" w:rsidRPr="001A3D2B" w:rsidRDefault="003474F2" w:rsidP="003474F2">
      <w:pPr>
        <w:pStyle w:val="a3"/>
      </w:pPr>
      <w:r w:rsidRPr="001A3D2B">
        <w:t xml:space="preserve">Full Text: </w:t>
      </w:r>
      <w:hyperlink r:id="rId1002" w:history="1">
        <w:r w:rsidRPr="001A3D2B">
          <w:rPr>
            <w:rStyle w:val="a5"/>
          </w:rPr>
          <w:t>1991\Ant Age Che35, 2473.pdf</w:t>
        </w:r>
      </w:hyperlink>
    </w:p>
    <w:p w:rsidR="003474F2" w:rsidRPr="001A3D2B" w:rsidRDefault="003474F2" w:rsidP="003474F2">
      <w:pPr>
        <w:pStyle w:val="a3"/>
      </w:pPr>
      <w:r w:rsidRPr="001A3D2B">
        <w:t>Abstract:</w:t>
      </w:r>
      <w:r w:rsidR="003A1917">
        <w:t xml:space="preserve"> the </w:t>
      </w:r>
      <w:r w:rsidRPr="001A3D2B">
        <w:t>MICs</w:t>
      </w:r>
      <w:r w:rsidR="005853A9">
        <w:t xml:space="preserve"> and </w:t>
      </w:r>
      <w:r w:rsidRPr="001A3D2B">
        <w:t>MBCs</w:t>
      </w:r>
      <w:r w:rsidR="00427468">
        <w:t xml:space="preserve"> of </w:t>
      </w:r>
      <w:r w:rsidR="003A1917">
        <w:t xml:space="preserve">the </w:t>
      </w:r>
      <w:r w:rsidRPr="001A3D2B">
        <w:t>new difluorinated quinolone drug sparfloxacin against type strains belonging to 21 species</w:t>
      </w:r>
      <w:r w:rsidR="00427468">
        <w:t xml:space="preserve"> of </w:t>
      </w:r>
      <w:r w:rsidRPr="001A3D2B">
        <w:t>mycobacteria were screened</w:t>
      </w:r>
      <w:r w:rsidR="00A37C1D">
        <w:t>. The</w:t>
      </w:r>
      <w:r w:rsidR="003A1917">
        <w:t xml:space="preserve"> </w:t>
      </w:r>
      <w:r w:rsidRPr="001A3D2B">
        <w:t>MICs</w:t>
      </w:r>
      <w:r w:rsidR="005853A9">
        <w:t xml:space="preserve"> and </w:t>
      </w:r>
      <w:r w:rsidRPr="001A3D2B">
        <w:t>MBCs were within</w:t>
      </w:r>
      <w:r w:rsidR="003A1917">
        <w:t xml:space="preserve"> the </w:t>
      </w:r>
      <w:r w:rsidRPr="001A3D2B">
        <w:t>range</w:t>
      </w:r>
      <w:r w:rsidR="00427468">
        <w:t xml:space="preserve"> of </w:t>
      </w:r>
      <w:r w:rsidRPr="001A3D2B">
        <w:t>0.1 to 2.0</w:t>
      </w:r>
      <w:r w:rsidR="005853A9">
        <w:t xml:space="preserve"> and </w:t>
      </w:r>
      <w:r w:rsidRPr="001A3D2B">
        <w:t>0.1 to 4.0-mu-g, ml, respectively (with an MBC, MIC ratio</w:t>
      </w:r>
      <w:r w:rsidR="00427468">
        <w:t xml:space="preserve"> of </w:t>
      </w:r>
      <w:r w:rsidRPr="001A3D2B">
        <w:t>1 to 2),</w:t>
      </w:r>
      <w:r w:rsidR="005853A9">
        <w:t xml:space="preserve"> and </w:t>
      </w:r>
      <w:r w:rsidRPr="001A3D2B">
        <w:t>against 18</w:t>
      </w:r>
      <w:r w:rsidR="00427468">
        <w:t xml:space="preserve"> of </w:t>
      </w:r>
      <w:r w:rsidR="003A1917">
        <w:t xml:space="preserve">the </w:t>
      </w:r>
      <w:r w:rsidRPr="001A3D2B">
        <w:t>21 species tested,</w:t>
      </w:r>
      <w:r w:rsidR="003A1917">
        <w:t xml:space="preserve"> the </w:t>
      </w:r>
      <w:r w:rsidRPr="001A3D2B">
        <w:t>drug showed significant bactericidal activity (at least 99% killing or more</w:t>
      </w:r>
      <w:r w:rsidR="00427468">
        <w:t xml:space="preserve"> of </w:t>
      </w:r>
      <w:r w:rsidR="003A1917">
        <w:t xml:space="preserve">the </w:t>
      </w:r>
      <w:r w:rsidRPr="001A3D2B">
        <w:t>initial inoculum added) at concentrations well within</w:t>
      </w:r>
      <w:r w:rsidR="003A1917">
        <w:t xml:space="preserve"> the </w:t>
      </w:r>
      <w:r w:rsidRPr="001A3D2B">
        <w:t>reported peak concentrations in serum (C(max)) in humans. MICs</w:t>
      </w:r>
      <w:r w:rsidR="00427468">
        <w:t xml:space="preserve"> of </w:t>
      </w:r>
      <w:r w:rsidRPr="001A3D2B">
        <w:t>sparfloxacin for 7</w:t>
      </w:r>
      <w:r w:rsidR="00427468">
        <w:t xml:space="preserve"> of </w:t>
      </w:r>
      <w:r w:rsidRPr="001A3D2B">
        <w:t xml:space="preserve">10 </w:t>
      </w:r>
      <w:r w:rsidRPr="001A3D2B">
        <w:rPr>
          <w:i/>
          <w:iCs/>
        </w:rPr>
        <w:t>Mycobacterium avium</w:t>
      </w:r>
      <w:r w:rsidRPr="001A3D2B">
        <w:t xml:space="preserve"> complex strains were below</w:t>
      </w:r>
      <w:r w:rsidR="003A1917">
        <w:t xml:space="preserve"> the </w:t>
      </w:r>
      <w:r w:rsidRPr="001A3D2B">
        <w:t>C(max), with MBC, MIC ratios within</w:t>
      </w:r>
      <w:r w:rsidR="003A1917">
        <w:t xml:space="preserve"> the </w:t>
      </w:r>
      <w:r w:rsidRPr="001A3D2B">
        <w:t>range</w:t>
      </w:r>
      <w:r w:rsidR="00427468">
        <w:t xml:space="preserve"> of </w:t>
      </w:r>
      <w:r w:rsidRPr="001A3D2B">
        <w:t>2 to 4. Enhancement</w:t>
      </w:r>
      <w:r w:rsidR="00427468">
        <w:t xml:space="preserve"> of </w:t>
      </w:r>
      <w:r w:rsidRPr="001A3D2B">
        <w:t>its activity by ethambutol, rifampin, amikacin,</w:t>
      </w:r>
      <w:r w:rsidR="005853A9">
        <w:t xml:space="preserve"> and </w:t>
      </w:r>
      <w:r w:rsidRPr="001A3D2B">
        <w:t>clarithromycin (which were used at sublethal concentrations) assessed by using BACTEC radiometry revealed that its activity was further enhanced in 2</w:t>
      </w:r>
      <w:r w:rsidR="00427468">
        <w:t xml:space="preserve"> of </w:t>
      </w:r>
      <w:r w:rsidRPr="001A3D2B">
        <w:t>10 strains by rifampin</w:t>
      </w:r>
      <w:r w:rsidR="005853A9">
        <w:t xml:space="preserve"> and </w:t>
      </w:r>
      <w:r w:rsidRPr="001A3D2B">
        <w:t>in 7</w:t>
      </w:r>
      <w:r w:rsidR="00427468">
        <w:t xml:space="preserve"> of </w:t>
      </w:r>
      <w:r w:rsidRPr="001A3D2B">
        <w:t>10 strains by ethambutol</w:t>
      </w:r>
      <w:r w:rsidR="00A37C1D">
        <w:t>. The</w:t>
      </w:r>
      <w:r w:rsidR="003A1917">
        <w:t xml:space="preserve"> </w:t>
      </w:r>
      <w:r w:rsidRPr="001A3D2B">
        <w:t>bactericidal effects</w:t>
      </w:r>
      <w:r w:rsidR="00427468">
        <w:t xml:space="preserve"> of </w:t>
      </w:r>
      <w:r w:rsidRPr="001A3D2B">
        <w:t>various drugs used alone as well as two-drug combinations used at C(max) levels were also screened against four strains</w:t>
      </w:r>
      <w:r w:rsidR="00427468">
        <w:t xml:space="preserve"> of </w:t>
      </w:r>
      <w:r w:rsidRPr="001A3D2B">
        <w:t>M. avium complex growing intracellularly in two different macrophage systems, namely, mouse bone marrow-derived macrophages</w:t>
      </w:r>
      <w:r w:rsidR="005853A9">
        <w:t xml:space="preserve"> and </w:t>
      </w:r>
      <w:r w:rsidRPr="001A3D2B">
        <w:t>peripheral blood monocyte-derived human macrophages. Our results showed a satisfactory correlation between</w:t>
      </w:r>
      <w:r w:rsidR="003A1917">
        <w:t xml:space="preserve"> the </w:t>
      </w:r>
      <w:r w:rsidRPr="001A3D2B">
        <w:t>extracellular</w:t>
      </w:r>
      <w:r w:rsidR="005853A9">
        <w:t xml:space="preserve"> and </w:t>
      </w:r>
      <w:r w:rsidRPr="001A3D2B">
        <w:t>intracellular drug activity data</w:t>
      </w:r>
    </w:p>
    <w:p w:rsidR="003474F2" w:rsidRPr="001A3D2B" w:rsidRDefault="003474F2" w:rsidP="003474F2">
      <w:pPr>
        <w:pStyle w:val="a3"/>
      </w:pPr>
      <w:r w:rsidRPr="001A3D2B">
        <w:t>Keywords: 5 Fluoroquinolones, Agents, Envelope, Ethambutol, Inhibition, Intracellular, Invitro, Macrophage Cell-Line, Macrophages, Pharmacokinetics, Sparfloxacin, Susceptibility, Tuberculosis, Wall</w:t>
      </w:r>
    </w:p>
    <w:p w:rsidR="003474F2" w:rsidRPr="001A3D2B" w:rsidRDefault="003474F2" w:rsidP="003474F2">
      <w:pPr>
        <w:pStyle w:val="a3"/>
      </w:pPr>
      <w:r w:rsidRPr="001A3D2B">
        <w:t>? Lalande, V., Truffotpernot, C., Paccalymoulin, A., Grosset, J.</w:t>
      </w:r>
      <w:r w:rsidR="005853A9">
        <w:t xml:space="preserve"> and </w:t>
      </w:r>
      <w:r w:rsidRPr="001A3D2B">
        <w:t>Ji, B.H. (1993), Powerful Bactericidal Activity</w:t>
      </w:r>
      <w:r w:rsidR="00427468">
        <w:t xml:space="preserve"> of </w:t>
      </w:r>
      <w:r w:rsidRPr="001A3D2B">
        <w:t xml:space="preserve">Sparfloxacin (At-4140) Against </w:t>
      </w:r>
      <w:r w:rsidRPr="001A3D2B">
        <w:rPr>
          <w:i/>
          <w:iCs/>
        </w:rPr>
        <w:t>Mycobacterium tuberculosis</w:t>
      </w:r>
      <w:r w:rsidRPr="001A3D2B">
        <w:t xml:space="preserve"> in Mice.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37</w:t>
      </w:r>
      <w:r w:rsidRPr="001A3D2B">
        <w:t xml:space="preserve"> (3), 407-413.</w:t>
      </w:r>
    </w:p>
    <w:p w:rsidR="003474F2" w:rsidRPr="001A3D2B" w:rsidRDefault="003474F2" w:rsidP="003474F2">
      <w:pPr>
        <w:pStyle w:val="a3"/>
      </w:pPr>
      <w:r w:rsidRPr="001A3D2B">
        <w:t xml:space="preserve">Full Text: </w:t>
      </w:r>
      <w:hyperlink r:id="rId1003" w:history="1">
        <w:r w:rsidRPr="001A3D2B">
          <w:rPr>
            <w:rStyle w:val="a5"/>
          </w:rPr>
          <w:t>1993\Ant Age Che37, 407.pdf</w:t>
        </w:r>
      </w:hyperlink>
    </w:p>
    <w:p w:rsidR="003474F2" w:rsidRPr="001A3D2B" w:rsidRDefault="003474F2" w:rsidP="003474F2">
      <w:pPr>
        <w:pStyle w:val="a3"/>
      </w:pPr>
      <w:r w:rsidRPr="001A3D2B">
        <w:t>Abstract:</w:t>
      </w:r>
      <w:r w:rsidR="003A1917">
        <w:t xml:space="preserve"> the </w:t>
      </w:r>
      <w:r w:rsidRPr="001A3D2B">
        <w:t>bactericidal activities</w:t>
      </w:r>
      <w:r w:rsidR="00427468">
        <w:t xml:space="preserve"> of </w:t>
      </w:r>
      <w:r w:rsidRPr="001A3D2B">
        <w:t>various monotherapies</w:t>
      </w:r>
      <w:r w:rsidR="005853A9">
        <w:t xml:space="preserve"> and </w:t>
      </w:r>
      <w:r w:rsidRPr="001A3D2B">
        <w:t xml:space="preserve">combined regimens were compared in mice at different stages after infection with </w:t>
      </w:r>
      <w:r w:rsidRPr="001A3D2B">
        <w:rPr>
          <w:i/>
          <w:iCs/>
        </w:rPr>
        <w:t>Mycobacterium tuberculosis</w:t>
      </w:r>
      <w:r w:rsidR="00A37C1D">
        <w:t>. The</w:t>
      </w:r>
      <w:r w:rsidRPr="001A3D2B">
        <w:t>se therapies mimicked</w:t>
      </w:r>
      <w:r w:rsidR="003A1917">
        <w:t xml:space="preserve"> the </w:t>
      </w:r>
      <w:r w:rsidRPr="001A3D2B">
        <w:t>initial</w:t>
      </w:r>
      <w:r w:rsidR="005853A9">
        <w:t xml:space="preserve"> and </w:t>
      </w:r>
      <w:r w:rsidRPr="001A3D2B">
        <w:t>continuation phases</w:t>
      </w:r>
      <w:r w:rsidR="00427468">
        <w:t xml:space="preserve"> of </w:t>
      </w:r>
      <w:r w:rsidRPr="001A3D2B">
        <w:t>chemotherapy for human tuberculosis. As monotherapy,</w:t>
      </w:r>
      <w:r w:rsidR="003A1917">
        <w:t xml:space="preserve"> the </w:t>
      </w:r>
      <w:r w:rsidRPr="001A3D2B">
        <w:t>bactericidal activity</w:t>
      </w:r>
      <w:r w:rsidR="00427468">
        <w:t xml:space="preserve"> of </w:t>
      </w:r>
      <w:r w:rsidRPr="001A3D2B">
        <w:t>sparfloxacin (SPFX) was dose related;</w:t>
      </w:r>
      <w:r w:rsidR="003A1917">
        <w:t xml:space="preserve"> the </w:t>
      </w:r>
      <w:r w:rsidRPr="001A3D2B">
        <w:t>activity</w:t>
      </w:r>
      <w:r w:rsidR="00427468">
        <w:t xml:space="preserve"> of </w:t>
      </w:r>
      <w:r w:rsidRPr="001A3D2B">
        <w:t>SPFX at 100 mg, kg</w:t>
      </w:r>
      <w:r w:rsidR="00427468">
        <w:t xml:space="preserve"> of </w:t>
      </w:r>
      <w:r w:rsidRPr="001A3D2B">
        <w:t>body weight was comparable to that</w:t>
      </w:r>
      <w:r w:rsidR="00427468">
        <w:t xml:space="preserve"> of </w:t>
      </w:r>
      <w:r w:rsidRPr="001A3D2B">
        <w:t>rifampin (RMP)</w:t>
      </w:r>
      <w:r w:rsidR="005853A9">
        <w:t xml:space="preserve"> and </w:t>
      </w:r>
      <w:r w:rsidRPr="001A3D2B">
        <w:t>was significantly greater than those</w:t>
      </w:r>
      <w:r w:rsidR="00427468">
        <w:t xml:space="preserve"> of </w:t>
      </w:r>
      <w:r w:rsidRPr="001A3D2B">
        <w:t>isoniazid (INH), pyrazinamide (PZA), or ofloxacin (OFLO) during both</w:t>
      </w:r>
      <w:r w:rsidR="003A1917">
        <w:t xml:space="preserve"> the </w:t>
      </w:r>
      <w:r w:rsidRPr="001A3D2B">
        <w:t>initial</w:t>
      </w:r>
      <w:r w:rsidR="005853A9">
        <w:t xml:space="preserve"> and </w:t>
      </w:r>
      <w:r w:rsidRPr="001A3D2B">
        <w:t>continuation phases</w:t>
      </w:r>
      <w:r w:rsidR="00427468">
        <w:t xml:space="preserve"> of </w:t>
      </w:r>
      <w:r w:rsidRPr="001A3D2B">
        <w:t>chemotherapy. During</w:t>
      </w:r>
      <w:r w:rsidR="003A1917">
        <w:t xml:space="preserve"> the </w:t>
      </w:r>
      <w:r w:rsidRPr="001A3D2B">
        <w:t>initial phase,</w:t>
      </w:r>
      <w:r w:rsidR="003A1917">
        <w:t xml:space="preserve"> the </w:t>
      </w:r>
      <w:r w:rsidRPr="001A3D2B">
        <w:t>addition</w:t>
      </w:r>
      <w:r w:rsidR="00427468">
        <w:t xml:space="preserve"> of </w:t>
      </w:r>
      <w:r w:rsidRPr="001A3D2B">
        <w:t>SPFX did not enhance or diminish</w:t>
      </w:r>
      <w:r w:rsidR="003A1917">
        <w:t xml:space="preserve"> the </w:t>
      </w:r>
      <w:r w:rsidRPr="001A3D2B">
        <w:t>activities</w:t>
      </w:r>
      <w:r w:rsidR="00427468">
        <w:t xml:space="preserve"> of </w:t>
      </w:r>
      <w:r w:rsidR="003A1917">
        <w:t xml:space="preserve">the </w:t>
      </w:r>
      <w:r w:rsidRPr="001A3D2B">
        <w:t>combinations INH-RMP-PZA or RMP-PZA;</w:t>
      </w:r>
      <w:r w:rsidR="003A1917">
        <w:t xml:space="preserve"> the </w:t>
      </w:r>
      <w:r w:rsidRPr="001A3D2B">
        <w:t>combinations SPFX-PZA-streptomycin (SM)</w:t>
      </w:r>
      <w:r w:rsidR="005853A9">
        <w:t xml:space="preserve"> and </w:t>
      </w:r>
      <w:r w:rsidRPr="001A3D2B">
        <w:t>SPFX-PZA-kanamycin (KANA) displayed powerful bactericidal activity. Because</w:t>
      </w:r>
      <w:r w:rsidR="003A1917">
        <w:t xml:space="preserve"> the </w:t>
      </w:r>
      <w:r w:rsidRPr="001A3D2B">
        <w:t>area under</w:t>
      </w:r>
      <w:r w:rsidR="003A1917">
        <w:t xml:space="preserve"> the </w:t>
      </w:r>
      <w:r w:rsidRPr="001A3D2B">
        <w:t>plasma concentration-time curve</w:t>
      </w:r>
      <w:r w:rsidR="00427468">
        <w:t xml:space="preserve"> of </w:t>
      </w:r>
      <w:r w:rsidRPr="001A3D2B">
        <w:t xml:space="preserve">SPFX (100 mg, kg) in mice is </w:t>
      </w:r>
      <w:r w:rsidRPr="001A3D2B">
        <w:lastRenderedPageBreak/>
        <w:t>similar to that</w:t>
      </w:r>
      <w:r w:rsidR="00427468">
        <w:t xml:space="preserve"> of </w:t>
      </w:r>
      <w:r w:rsidRPr="001A3D2B">
        <w:t>SPFX (400 mg) in humans,</w:t>
      </w:r>
      <w:r w:rsidR="003A1917">
        <w:t xml:space="preserve"> the </w:t>
      </w:r>
      <w:r w:rsidRPr="001A3D2B">
        <w:t>promising bactericidal activity displayed by SPFX in mice might be achieved in humans by administration</w:t>
      </w:r>
      <w:r w:rsidR="00427468">
        <w:t xml:space="preserve"> of </w:t>
      </w:r>
      <w:r w:rsidR="003A1917">
        <w:t xml:space="preserve">the </w:t>
      </w:r>
      <w:r w:rsidRPr="001A3D2B">
        <w:t>drug in a clinically tolerated dosage. In addition,</w:t>
      </w:r>
      <w:r w:rsidR="003A1917">
        <w:t xml:space="preserve"> the </w:t>
      </w:r>
      <w:r w:rsidRPr="001A3D2B">
        <w:t>combinations SPFX-PZA-SM</w:t>
      </w:r>
      <w:r w:rsidR="005853A9">
        <w:t xml:space="preserve"> and </w:t>
      </w:r>
      <w:r w:rsidRPr="001A3D2B">
        <w:t>SPFX-PZA-KANA may be useful for</w:t>
      </w:r>
      <w:r w:rsidR="003A1917">
        <w:t xml:space="preserve"> the </w:t>
      </w:r>
      <w:r w:rsidRPr="001A3D2B">
        <w:t>treatment</w:t>
      </w:r>
      <w:r w:rsidR="00427468">
        <w:t xml:space="preserve"> of </w:t>
      </w:r>
      <w:r w:rsidRPr="001A3D2B">
        <w:t>multidrug-resistant tuberculosis</w:t>
      </w:r>
    </w:p>
    <w:p w:rsidR="003474F2" w:rsidRPr="001A3D2B" w:rsidRDefault="003474F2" w:rsidP="003474F2">
      <w:pPr>
        <w:pStyle w:val="a3"/>
      </w:pPr>
      <w:r w:rsidRPr="001A3D2B">
        <w:t xml:space="preserve">Keywords: Agents, Control Programmes, Drug Sensitivity, Invitro, Mice, </w:t>
      </w:r>
      <w:r w:rsidRPr="001A3D2B">
        <w:rPr>
          <w:i/>
          <w:iCs/>
        </w:rPr>
        <w:t>Mycobacterium tuberculosis</w:t>
      </w:r>
      <w:r w:rsidRPr="001A3D2B">
        <w:t>, Ofloxacin, Pyrazinamide, Quinolone, Sensitivity Tests, Sparfloxacin, Tuberculosis</w:t>
      </w:r>
    </w:p>
    <w:p w:rsidR="003474F2" w:rsidRPr="001A3D2B" w:rsidRDefault="003474F2" w:rsidP="003474F2">
      <w:pPr>
        <w:pStyle w:val="a3"/>
      </w:pPr>
      <w:r w:rsidRPr="001A3D2B">
        <w:t>? Tomioka, H., Saito, H.</w:t>
      </w:r>
      <w:r w:rsidR="005853A9">
        <w:t xml:space="preserve"> and </w:t>
      </w:r>
      <w:r w:rsidRPr="001A3D2B">
        <w:t>Sato, K. (1993), Comparative Antimycobacterial Activities</w:t>
      </w:r>
      <w:r w:rsidR="00427468">
        <w:t xml:space="preserve"> of </w:t>
      </w:r>
      <w:r w:rsidR="003A1917">
        <w:t xml:space="preserve">the </w:t>
      </w:r>
      <w:r w:rsidRPr="001A3D2B">
        <w:t>Newly Synthesized Quinolone Am-1155, Sparfloxacin,</w:t>
      </w:r>
      <w:r w:rsidR="005853A9">
        <w:t xml:space="preserve"> and </w:t>
      </w:r>
      <w:r w:rsidRPr="001A3D2B">
        <w:t xml:space="preserve">Ofloxacin.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37</w:t>
      </w:r>
      <w:r w:rsidRPr="001A3D2B">
        <w:t xml:space="preserve"> (6), 1259-1263.</w:t>
      </w:r>
    </w:p>
    <w:p w:rsidR="003474F2" w:rsidRPr="001A3D2B" w:rsidRDefault="003474F2" w:rsidP="003474F2">
      <w:pPr>
        <w:pStyle w:val="a3"/>
      </w:pPr>
      <w:r w:rsidRPr="001A3D2B">
        <w:t xml:space="preserve">Full Text: </w:t>
      </w:r>
      <w:hyperlink r:id="rId1004" w:history="1">
        <w:r w:rsidRPr="001A3D2B">
          <w:rPr>
            <w:rStyle w:val="a5"/>
          </w:rPr>
          <w:t>1993\Ant Age Che37, 1259.pdf</w:t>
        </w:r>
      </w:hyperlink>
    </w:p>
    <w:p w:rsidR="003474F2" w:rsidRPr="001A3D2B" w:rsidRDefault="003474F2" w:rsidP="003474F2">
      <w:pPr>
        <w:pStyle w:val="a3"/>
      </w:pPr>
      <w:r w:rsidRPr="001A3D2B">
        <w:t>Abstract: AM-1155 is a newly synthesized 6-fluoro-8-methoxy quinolone. We assessed its in vitro antimycobacterial activity using sparfloxacin (SPFX)</w:t>
      </w:r>
      <w:r w:rsidR="005853A9">
        <w:t xml:space="preserve"> and </w:t>
      </w:r>
      <w:r w:rsidRPr="001A3D2B">
        <w:t>ofloxacin (OFLX) as comparison drugs,</w:t>
      </w:r>
      <w:r w:rsidR="003A1917">
        <w:t xml:space="preserve"> the </w:t>
      </w:r>
      <w:r w:rsidRPr="001A3D2B">
        <w:t>MICs</w:t>
      </w:r>
      <w:r w:rsidR="00427468">
        <w:t xml:space="preserve"> of </w:t>
      </w:r>
      <w:r w:rsidRPr="001A3D2B">
        <w:t>these agents for various mycobacterial strains were determined by</w:t>
      </w:r>
      <w:r w:rsidR="003A1917">
        <w:t xml:space="preserve"> the </w:t>
      </w:r>
      <w:r w:rsidRPr="001A3D2B">
        <w:t>agar dilution method with 7H11 medium. AM- 1155 had lower MICs for 50</w:t>
      </w:r>
      <w:r w:rsidR="005853A9">
        <w:t xml:space="preserve"> and </w:t>
      </w:r>
      <w:r w:rsidRPr="001A3D2B">
        <w:t>90%</w:t>
      </w:r>
      <w:r w:rsidR="00427468">
        <w:t xml:space="preserve"> of </w:t>
      </w:r>
      <w:r w:rsidRPr="001A3D2B">
        <w:t>tested strains</w:t>
      </w:r>
      <w:r w:rsidR="00427468">
        <w:t xml:space="preserve"> of </w:t>
      </w:r>
      <w:r w:rsidRPr="001A3D2B">
        <w:t>Mycobacterium kansasii, M. marinum,</w:t>
      </w:r>
      <w:r w:rsidR="005853A9">
        <w:t xml:space="preserve"> and </w:t>
      </w:r>
      <w:r w:rsidRPr="001A3D2B">
        <w:t>M. fortuitum-M. chelonae complex than SPFX</w:t>
      </w:r>
      <w:r w:rsidR="005853A9">
        <w:t xml:space="preserve"> and </w:t>
      </w:r>
      <w:r w:rsidRPr="001A3D2B">
        <w:t>OFLX,</w:t>
      </w:r>
      <w:r w:rsidR="005853A9">
        <w:t xml:space="preserve"> and </w:t>
      </w:r>
      <w:r w:rsidR="003A1917">
        <w:t xml:space="preserve">the </w:t>
      </w:r>
      <w:r w:rsidRPr="001A3D2B">
        <w:t>values for M. tuberculosis, M. scrofulaceum,</w:t>
      </w:r>
      <w:r w:rsidR="005853A9">
        <w:t xml:space="preserve"> and </w:t>
      </w:r>
      <w:r w:rsidR="003A1917">
        <w:t xml:space="preserve">the </w:t>
      </w:r>
      <w:r w:rsidRPr="001A3D2B">
        <w:t>M. avium-M. intracellulare complex were similar to those</w:t>
      </w:r>
      <w:r w:rsidR="00427468">
        <w:t xml:space="preserve"> of </w:t>
      </w:r>
      <w:r w:rsidRPr="001A3D2B">
        <w:t>SPFX</w:t>
      </w:r>
      <w:r w:rsidR="005853A9">
        <w:t xml:space="preserve"> and </w:t>
      </w:r>
      <w:r w:rsidRPr="001A3D2B">
        <w:t>considerably lower than those</w:t>
      </w:r>
      <w:r w:rsidR="00427468">
        <w:t xml:space="preserve"> of </w:t>
      </w:r>
      <w:r w:rsidRPr="001A3D2B">
        <w:t>OFLX. In addition,</w:t>
      </w:r>
      <w:r w:rsidR="003A1917">
        <w:t xml:space="preserve"> the </w:t>
      </w:r>
      <w:r w:rsidRPr="001A3D2B">
        <w:t>antimicrobial activity</w:t>
      </w:r>
      <w:r w:rsidR="00427468">
        <w:t xml:space="preserve"> of </w:t>
      </w:r>
      <w:r w:rsidRPr="001A3D2B">
        <w:t>AM-1155 against M. tuberculosis</w:t>
      </w:r>
      <w:r w:rsidR="005853A9">
        <w:t xml:space="preserve"> and </w:t>
      </w:r>
      <w:r w:rsidRPr="001A3D2B">
        <w:t>M. intracellulare phagocytosed into murine peritoneal macrophages was compared with that</w:t>
      </w:r>
      <w:r w:rsidR="00427468">
        <w:t xml:space="preserve"> of </w:t>
      </w:r>
      <w:r w:rsidRPr="001A3D2B">
        <w:t>OFLX. AM-1155 (1 mug, ml) inhibited</w:t>
      </w:r>
      <w:r w:rsidR="003A1917">
        <w:t xml:space="preserve"> the </w:t>
      </w:r>
      <w:r w:rsidRPr="001A3D2B">
        <w:t>intracellular growth</w:t>
      </w:r>
      <w:r w:rsidR="00427468">
        <w:t xml:space="preserve"> of </w:t>
      </w:r>
      <w:r w:rsidRPr="001A3D2B">
        <w:t>both M. tuberculosis</w:t>
      </w:r>
      <w:r w:rsidR="005853A9">
        <w:t xml:space="preserve"> and </w:t>
      </w:r>
      <w:r w:rsidRPr="001A3D2B">
        <w:t>M. intracellulare, whereas OFLX at</w:t>
      </w:r>
      <w:r w:rsidR="003A1917">
        <w:t xml:space="preserve"> the </w:t>
      </w:r>
      <w:r w:rsidRPr="001A3D2B">
        <w:t>same concentration failed to show any such effect. Moreover, AM-1155 (10 mug, ml) exhibited a steady bactericidal action against M. tuberculosis, whereas OFLX at</w:t>
      </w:r>
      <w:r w:rsidR="003A1917">
        <w:t xml:space="preserve"> the </w:t>
      </w:r>
      <w:r w:rsidRPr="001A3D2B">
        <w:t>same concentration had only a weak effect. AM-1155 (10 mug, ml) also inhibited</w:t>
      </w:r>
      <w:r w:rsidR="003A1917">
        <w:t xml:space="preserve"> the </w:t>
      </w:r>
      <w:r w:rsidRPr="001A3D2B">
        <w:t>growth</w:t>
      </w:r>
      <w:r w:rsidR="00427468">
        <w:t xml:space="preserve"> of </w:t>
      </w:r>
      <w:r w:rsidRPr="001A3D2B">
        <w:t>M. intracellulare more effectively than OFLX</w:t>
      </w:r>
    </w:p>
    <w:p w:rsidR="003474F2" w:rsidRPr="001A3D2B" w:rsidRDefault="003474F2" w:rsidP="003474F2">
      <w:pPr>
        <w:pStyle w:val="a3"/>
      </w:pPr>
      <w:r w:rsidRPr="001A3D2B">
        <w:t>Keywords: Agents, Am-1155, Antimycobacterial, Ciprofloxacin, Comparison, Complex, Fluoroquinolones, Intracellular, Invitro Activity, Macrophages, Mycobacterium-Fortuitum, Ofloxacin, Pefloxacin, Pharmacokinetics, Sparfloxacin, Tissue Penetration, Tuberculosis</w:t>
      </w:r>
    </w:p>
    <w:p w:rsidR="003474F2" w:rsidRPr="001A3D2B" w:rsidRDefault="003474F2" w:rsidP="003474F2">
      <w:pPr>
        <w:pStyle w:val="a3"/>
      </w:pPr>
      <w:r w:rsidRPr="001A3D2B">
        <w:t>? Klemens, S.P., Destefano, M.S.</w:t>
      </w:r>
      <w:r w:rsidR="005853A9">
        <w:t xml:space="preserve"> and </w:t>
      </w:r>
      <w:r w:rsidRPr="001A3D2B">
        <w:t>Cynamon, M.H. (1993</w:t>
      </w:r>
      <w:r w:rsidR="00F42EAC">
        <w:t>), The</w:t>
      </w:r>
      <w:r w:rsidRPr="001A3D2B">
        <w:t>rapy</w:t>
      </w:r>
      <w:r w:rsidR="00427468">
        <w:t xml:space="preserve"> of </w:t>
      </w:r>
      <w:r w:rsidRPr="001A3D2B">
        <w:t xml:space="preserve">Multidrug-Resistant Tuberculosis - Lessons from Studies with Mice.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37</w:t>
      </w:r>
      <w:r w:rsidRPr="001A3D2B">
        <w:t xml:space="preserve"> (11), 2344-2347.</w:t>
      </w:r>
    </w:p>
    <w:p w:rsidR="003474F2" w:rsidRPr="001A3D2B" w:rsidRDefault="003474F2" w:rsidP="003474F2">
      <w:pPr>
        <w:pStyle w:val="a3"/>
      </w:pPr>
      <w:r w:rsidRPr="001A3D2B">
        <w:t xml:space="preserve">Full Text: </w:t>
      </w:r>
      <w:hyperlink r:id="rId1005" w:history="1">
        <w:r w:rsidRPr="001A3D2B">
          <w:rPr>
            <w:rStyle w:val="a5"/>
          </w:rPr>
          <w:t>1993\Ant Age Che37, 2344.pdf</w:t>
        </w:r>
      </w:hyperlink>
    </w:p>
    <w:p w:rsidR="003474F2" w:rsidRPr="001A3D2B" w:rsidRDefault="003474F2" w:rsidP="003474F2">
      <w:pPr>
        <w:pStyle w:val="a3"/>
      </w:pPr>
      <w:r w:rsidRPr="001A3D2B">
        <w:t>Abstract:</w:t>
      </w:r>
      <w:r w:rsidR="003A1917">
        <w:t xml:space="preserve"> the </w:t>
      </w:r>
      <w:r w:rsidRPr="001A3D2B">
        <w:t>activities</w:t>
      </w:r>
      <w:r w:rsidR="00427468">
        <w:t xml:space="preserve"> of </w:t>
      </w:r>
      <w:r w:rsidRPr="001A3D2B">
        <w:t>antituberculosis agents were evaluated in a murine tuberculosis model using a drug-resistant isolate. A multidrug-resistant clinical isolate from a recent outbreak</w:t>
      </w:r>
      <w:r w:rsidR="00427468">
        <w:t xml:space="preserve"> of </w:t>
      </w:r>
      <w:r w:rsidRPr="001A3D2B">
        <w:t>tuberculosis in</w:t>
      </w:r>
      <w:r w:rsidR="003A1917">
        <w:t xml:space="preserve"> the </w:t>
      </w:r>
      <w:r w:rsidRPr="001A3D2B">
        <w:t xml:space="preserve">New York </w:t>
      </w:r>
      <w:smartTag w:uri="urn:schemas-microsoft-com:office:smarttags" w:element="PlaceType">
        <w:r w:rsidRPr="001A3D2B">
          <w:t>State</w:t>
        </w:r>
      </w:smartTag>
      <w:r w:rsidRPr="001A3D2B">
        <w:t xml:space="preserve"> correctional </w:t>
      </w:r>
      <w:r w:rsidRPr="001A3D2B">
        <w:lastRenderedPageBreak/>
        <w:t xml:space="preserve">system was used for infection. Approximately 10(7) viable </w:t>
      </w:r>
      <w:r w:rsidRPr="001A3D2B">
        <w:rPr>
          <w:i/>
          <w:iCs/>
        </w:rPr>
        <w:t>Mycobacterium tuberculosis</w:t>
      </w:r>
      <w:r w:rsidRPr="001A3D2B">
        <w:t xml:space="preserve"> ATCC 49967 (strain CNL) organisms were given intravenously to 4-week-old female outbred mice. Treatment was started 1 day after infection</w:t>
      </w:r>
      <w:r w:rsidR="005853A9">
        <w:t xml:space="preserve"> and </w:t>
      </w:r>
      <w:r w:rsidRPr="001A3D2B">
        <w:t>given for 4 weeks. Spleens</w:t>
      </w:r>
      <w:r w:rsidR="005853A9">
        <w:t xml:space="preserve"> and </w:t>
      </w:r>
      <w:r w:rsidRPr="001A3D2B">
        <w:t>lungs were homogenized,</w:t>
      </w:r>
      <w:r w:rsidR="005853A9">
        <w:t xml:space="preserve"> and </w:t>
      </w:r>
      <w:r w:rsidRPr="001A3D2B">
        <w:t>viable cell counts were determined. Statistical analysis indicated that ethionamide, sparfloxacin, ofloxacin, capreomycin, clarithromycin,</w:t>
      </w:r>
      <w:r w:rsidR="005853A9">
        <w:t xml:space="preserve"> and </w:t>
      </w:r>
      <w:r w:rsidRPr="001A3D2B">
        <w:t>clofazimine are active in</w:t>
      </w:r>
      <w:r w:rsidR="003A1917">
        <w:t xml:space="preserve"> the </w:t>
      </w:r>
      <w:r w:rsidRPr="001A3D2B">
        <w:t>murine test system with this multidrug-resistant tuberculosis isolate. Sparfloxacin is</w:t>
      </w:r>
      <w:r w:rsidR="003A1917">
        <w:t xml:space="preserve"> the </w:t>
      </w:r>
      <w:r w:rsidRPr="001A3D2B">
        <w:t>most active quinolone. Despite in vitro resistance, isoniazid has moderate activity. In vitro susceptibility data coupled with evaluation</w:t>
      </w:r>
      <w:r w:rsidR="00427468">
        <w:t xml:space="preserve"> of </w:t>
      </w:r>
      <w:r w:rsidRPr="001A3D2B">
        <w:t>agents against drug-resistant isolates in</w:t>
      </w:r>
      <w:r w:rsidR="003A1917">
        <w:t xml:space="preserve"> the </w:t>
      </w:r>
      <w:r w:rsidRPr="001A3D2B">
        <w:t>murine system should provide information necessary to design clinical trials for treatment</w:t>
      </w:r>
      <w:r w:rsidR="00427468">
        <w:t xml:space="preserve"> of </w:t>
      </w:r>
      <w:r w:rsidRPr="001A3D2B">
        <w:t>infections with these organisms</w:t>
      </w:r>
    </w:p>
    <w:p w:rsidR="003474F2" w:rsidRPr="001A3D2B" w:rsidRDefault="003474F2" w:rsidP="003474F2">
      <w:pPr>
        <w:pStyle w:val="a3"/>
      </w:pPr>
      <w:r w:rsidRPr="001A3D2B">
        <w:t xml:space="preserve">Keywords: Agents, Bacilli, HIV- Infection, Human-Immunodeficiency-Virus, Invitro, Mice, </w:t>
      </w:r>
      <w:r w:rsidRPr="001A3D2B">
        <w:rPr>
          <w:i/>
          <w:iCs/>
        </w:rPr>
        <w:t>Mycobacterium tuberculosis</w:t>
      </w:r>
      <w:r w:rsidRPr="001A3D2B">
        <w:t xml:space="preserve">, </w:t>
      </w:r>
      <w:r w:rsidRPr="001A3D2B">
        <w:rPr>
          <w:i/>
          <w:iCs/>
        </w:rPr>
        <w:t>Mycobacterium tuberculosis</w:t>
      </w:r>
      <w:r w:rsidRPr="001A3D2B">
        <w:t>, Ofloxacin, Resistance, Sparfloxacin, Tuberculosis</w:t>
      </w:r>
    </w:p>
    <w:p w:rsidR="003474F2" w:rsidRPr="001A3D2B" w:rsidRDefault="003474F2" w:rsidP="003474F2">
      <w:pPr>
        <w:pStyle w:val="a3"/>
      </w:pPr>
      <w:r w:rsidRPr="001A3D2B">
        <w:t>? Mehta, R.T., Keyhani, A., Mcqueen, T.J., Rosenbaum, B., Rolston, K.V.</w:t>
      </w:r>
      <w:r w:rsidR="005853A9">
        <w:t xml:space="preserve"> and </w:t>
      </w:r>
      <w:r w:rsidRPr="001A3D2B">
        <w:t>Tarrand, J.J. (1993), In-Vitro Activities</w:t>
      </w:r>
      <w:r w:rsidR="00427468">
        <w:t xml:space="preserve"> of </w:t>
      </w:r>
      <w:r w:rsidRPr="001A3D2B">
        <w:t>Free</w:t>
      </w:r>
      <w:r w:rsidR="005853A9">
        <w:t xml:space="preserve"> and </w:t>
      </w:r>
      <w:r w:rsidRPr="001A3D2B">
        <w:t xml:space="preserve">Liposomal Drugs Against </w:t>
      </w:r>
      <w:r w:rsidRPr="001A3D2B">
        <w:rPr>
          <w:i/>
          <w:iCs/>
        </w:rPr>
        <w:t>Mycobacterium avium</w:t>
      </w:r>
      <w:r w:rsidRPr="001A3D2B">
        <w:t>-M-Intracellulare Complex</w:t>
      </w:r>
      <w:r w:rsidR="005853A9">
        <w:t xml:space="preserve"> and </w:t>
      </w:r>
      <w:r w:rsidRPr="001A3D2B">
        <w:t xml:space="preserve">Mycobacterium- Tuberculosis.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37</w:t>
      </w:r>
      <w:r w:rsidRPr="001A3D2B">
        <w:t xml:space="preserve"> (12), 2584-2587.</w:t>
      </w:r>
    </w:p>
    <w:p w:rsidR="003474F2" w:rsidRPr="001A3D2B" w:rsidRDefault="003474F2" w:rsidP="003474F2">
      <w:pPr>
        <w:pStyle w:val="a3"/>
      </w:pPr>
      <w:r w:rsidRPr="001A3D2B">
        <w:t xml:space="preserve">Full Text: </w:t>
      </w:r>
      <w:hyperlink r:id="rId1006" w:history="1">
        <w:r w:rsidRPr="001A3D2B">
          <w:rPr>
            <w:rStyle w:val="a5"/>
          </w:rPr>
          <w:t>1993\Ant Age Che37, 2584.pdf</w:t>
        </w:r>
      </w:hyperlink>
    </w:p>
    <w:p w:rsidR="003474F2" w:rsidRPr="001A3D2B" w:rsidRDefault="003474F2" w:rsidP="003474F2">
      <w:pPr>
        <w:pStyle w:val="a3"/>
      </w:pPr>
      <w:r w:rsidRPr="001A3D2B">
        <w:t>Abstract: We compared MICs</w:t>
      </w:r>
      <w:r w:rsidR="005853A9">
        <w:t xml:space="preserve"> and </w:t>
      </w:r>
      <w:r w:rsidRPr="001A3D2B">
        <w:t>MBCs</w:t>
      </w:r>
      <w:r w:rsidR="00427468">
        <w:t xml:space="preserve"> of </w:t>
      </w:r>
      <w:r w:rsidRPr="001A3D2B">
        <w:t>various free-</w:t>
      </w:r>
      <w:r w:rsidR="005853A9">
        <w:t xml:space="preserve"> and </w:t>
      </w:r>
      <w:r w:rsidRPr="001A3D2B">
        <w:t>liposome- incorporated antimicrobial agents against several patient isolates</w:t>
      </w:r>
      <w:r w:rsidR="00427468">
        <w:t xml:space="preserve"> of </w:t>
      </w:r>
      <w:r w:rsidRPr="001A3D2B">
        <w:rPr>
          <w:i/>
          <w:iCs/>
        </w:rPr>
        <w:t>Mycobacterium avium</w:t>
      </w:r>
      <w:r w:rsidRPr="001A3D2B">
        <w:t>-M. intracellulare complex</w:t>
      </w:r>
      <w:r w:rsidR="005853A9">
        <w:t xml:space="preserve"> and </w:t>
      </w:r>
      <w:r w:rsidRPr="001A3D2B">
        <w:t>certain American Type Culture Collection strains</w:t>
      </w:r>
      <w:r w:rsidR="00427468">
        <w:t xml:space="preserve"> of </w:t>
      </w:r>
      <w:r w:rsidRPr="001A3D2B">
        <w:t>M. avium, M. intracellulare,</w:t>
      </w:r>
      <w:r w:rsidR="005853A9">
        <w:t xml:space="preserve"> and </w:t>
      </w:r>
      <w:r w:rsidRPr="001A3D2B">
        <w:rPr>
          <w:i/>
          <w:iCs/>
        </w:rPr>
        <w:t>Mycobacterium tuberculosis</w:t>
      </w:r>
      <w:r w:rsidRPr="001A3D2B">
        <w:t>. Seven</w:t>
      </w:r>
      <w:r w:rsidR="00427468">
        <w:t xml:space="preserve"> of </w:t>
      </w:r>
      <w:r w:rsidRPr="001A3D2B">
        <w:t>19 agents were selected for incorporation into liposomes</w:t>
      </w:r>
      <w:r w:rsidR="00A37C1D">
        <w:t>. The</w:t>
      </w:r>
      <w:r w:rsidR="003A1917">
        <w:t xml:space="preserve"> </w:t>
      </w:r>
      <w:r w:rsidRPr="001A3D2B">
        <w:t>MICs</w:t>
      </w:r>
      <w:r w:rsidR="00427468">
        <w:t xml:space="preserve"> of </w:t>
      </w:r>
      <w:r w:rsidRPr="001A3D2B">
        <w:t>these agents for 50</w:t>
      </w:r>
      <w:r w:rsidR="005853A9">
        <w:t xml:space="preserve"> and </w:t>
      </w:r>
      <w:r w:rsidRPr="001A3D2B">
        <w:t>90%</w:t>
      </w:r>
      <w:r w:rsidR="00427468">
        <w:t xml:space="preserve"> of </w:t>
      </w:r>
      <w:r w:rsidRPr="001A3D2B">
        <w:t>isolates tested (MIC(50)s</w:t>
      </w:r>
      <w:r w:rsidR="005853A9">
        <w:t xml:space="preserve"> and </w:t>
      </w:r>
      <w:r w:rsidRPr="001A3D2B">
        <w:t xml:space="preserve">MIC(90)s, respectively) ranged from 0.5 to </w:t>
      </w:r>
      <w:smartTag w:uri="urn:schemas-microsoft-com:office:smarttags" w:element="chmetcnv">
        <w:smartTagPr>
          <w:attr w:name="TCSC" w:val="0"/>
          <w:attr w:name="NumberType" w:val="1"/>
          <w:attr w:name="Negative" w:val="False"/>
          <w:attr w:name="HasSpace" w:val="False"/>
          <w:attr w:name="SourceValue" w:val="62"/>
          <w:attr w:name="UnitName" w:val="g"/>
        </w:smartTagPr>
        <w:r w:rsidRPr="001A3D2B">
          <w:t xml:space="preserve">62 </w:t>
        </w:r>
      </w:smartTag>
      <w:r w:rsidRPr="001A3D2B">
        <w:sym w:font="Symbol" w:char="F06D"/>
      </w:r>
      <w:r w:rsidRPr="001A3D2B">
        <w:t>g, ml. Members</w:t>
      </w:r>
      <w:r w:rsidR="00427468">
        <w:t xml:space="preserve"> of </w:t>
      </w:r>
      <w:r w:rsidR="003A1917">
        <w:t xml:space="preserve">the </w:t>
      </w:r>
      <w:r w:rsidRPr="001A3D2B">
        <w:t>M. avium-M. intracellulare complex were resistant to killing by most</w:t>
      </w:r>
      <w:r w:rsidR="00427468">
        <w:t xml:space="preserve"> of </w:t>
      </w:r>
      <w:r w:rsidR="003A1917">
        <w:t xml:space="preserve">the </w:t>
      </w:r>
      <w:r w:rsidRPr="001A3D2B">
        <w:t>other agents tested in</w:t>
      </w:r>
      <w:r w:rsidR="003A1917">
        <w:t xml:space="preserve"> the </w:t>
      </w:r>
      <w:r w:rsidRPr="001A3D2B">
        <w:t>free form. However, clofazimine, resorcinomycin A,</w:t>
      </w:r>
      <w:r w:rsidR="005853A9">
        <w:t xml:space="preserve"> and </w:t>
      </w:r>
      <w:r w:rsidRPr="001A3D2B">
        <w:t>PD 117558 showed complete killing</w:t>
      </w:r>
      <w:r w:rsidR="00427468">
        <w:t xml:space="preserve"> of </w:t>
      </w:r>
      <w:r w:rsidRPr="001A3D2B">
        <w:t xml:space="preserve">bacteria at concentrations ranging from 8 to </w:t>
      </w:r>
      <w:smartTag w:uri="urn:schemas-microsoft-com:office:smarttags" w:element="chmetcnv">
        <w:smartTagPr>
          <w:attr w:name="TCSC" w:val="0"/>
          <w:attr w:name="NumberType" w:val="1"/>
          <w:attr w:name="Negative" w:val="False"/>
          <w:attr w:name="HasSpace" w:val="False"/>
          <w:attr w:name="SourceValue" w:val="31"/>
          <w:attr w:name="UnitName" w:val="g"/>
        </w:smartTagPr>
        <w:r w:rsidRPr="001A3D2B">
          <w:t xml:space="preserve">31 </w:t>
        </w:r>
      </w:smartTag>
      <w:r w:rsidRPr="001A3D2B">
        <w:sym w:font="Symbol" w:char="F06D"/>
      </w:r>
      <w:r w:rsidRPr="001A3D2B">
        <w:t>g, ml, represented as MBC(90)s. Among</w:t>
      </w:r>
      <w:r w:rsidR="003A1917">
        <w:t xml:space="preserve"> the </w:t>
      </w:r>
      <w:r w:rsidRPr="001A3D2B">
        <w:t>liposome- incorporated agents, clofazimine anti resorcinomycin A had</w:t>
      </w:r>
      <w:r w:rsidR="003A1917">
        <w:t xml:space="preserve"> the </w:t>
      </w:r>
      <w:r w:rsidRPr="001A3D2B">
        <w:t>highest killing effects (MBC(90)s, 8</w:t>
      </w:r>
      <w:r w:rsidR="005853A9">
        <w:t xml:space="preserve"> and </w:t>
      </w:r>
      <w:smartTag w:uri="urn:schemas-microsoft-com:office:smarttags" w:element="chmetcnv">
        <w:smartTagPr>
          <w:attr w:name="TCSC" w:val="0"/>
          <w:attr w:name="NumberType" w:val="1"/>
          <w:attr w:name="Negative" w:val="False"/>
          <w:attr w:name="HasSpace" w:val="False"/>
          <w:attr w:name="SourceValue" w:val="16"/>
          <w:attr w:name="UnitName" w:val="g"/>
        </w:smartTagPr>
        <w:r w:rsidRPr="001A3D2B">
          <w:t xml:space="preserve">16 </w:t>
        </w:r>
      </w:smartTag>
      <w:r w:rsidRPr="001A3D2B">
        <w:sym w:font="Symbol" w:char="F06D"/>
      </w:r>
      <w:r w:rsidRPr="001A3D2B">
        <w:t>g, ml, respectively). Furthermore, both free</w:t>
      </w:r>
      <w:r w:rsidR="005853A9">
        <w:t xml:space="preserve"> and </w:t>
      </w:r>
      <w:r w:rsidRPr="001A3D2B">
        <w:t>liposome-incorporated clofazimine had equivalent growth-inhibitory</w:t>
      </w:r>
      <w:r w:rsidR="005853A9">
        <w:t xml:space="preserve"> and </w:t>
      </w:r>
      <w:r w:rsidRPr="001A3D2B">
        <w:t>killing effects on all American Type Culture Collection strains</w:t>
      </w:r>
      <w:r w:rsidR="00427468">
        <w:t xml:space="preserve"> of </w:t>
      </w:r>
      <w:r w:rsidRPr="001A3D2B">
        <w:t>M. avium, M. intracellulare,</w:t>
      </w:r>
      <w:r w:rsidR="005853A9">
        <w:t xml:space="preserve"> and </w:t>
      </w:r>
      <w:r w:rsidRPr="001A3D2B">
        <w:t>M. tuberculosis tested</w:t>
      </w:r>
      <w:r w:rsidR="00A37C1D">
        <w:t>. The</w:t>
      </w:r>
      <w:r w:rsidRPr="001A3D2B">
        <w:t>se results show that</w:t>
      </w:r>
      <w:r w:rsidR="003A1917">
        <w:t xml:space="preserve"> the </w:t>
      </w:r>
      <w:r w:rsidRPr="001A3D2B">
        <w:t>antibacterial activities</w:t>
      </w:r>
      <w:r w:rsidR="00427468">
        <w:t xml:space="preserve"> of </w:t>
      </w:r>
      <w:r w:rsidRPr="001A3D2B">
        <w:t>certain drugs, particularly those</w:t>
      </w:r>
      <w:r w:rsidR="00427468">
        <w:t xml:space="preserve"> of </w:t>
      </w:r>
      <w:r w:rsidRPr="001A3D2B">
        <w:t>clofazimine</w:t>
      </w:r>
      <w:r w:rsidR="005853A9">
        <w:t xml:space="preserve"> and </w:t>
      </w:r>
      <w:r w:rsidRPr="001A3D2B">
        <w:t>resorcinomycin, were maintained after</w:t>
      </w:r>
      <w:r w:rsidR="003A1917">
        <w:t xml:space="preserve"> the </w:t>
      </w:r>
      <w:r w:rsidRPr="001A3D2B">
        <w:t>drugs were incorporated into liposomes</w:t>
      </w:r>
    </w:p>
    <w:p w:rsidR="003474F2" w:rsidRPr="001A3D2B" w:rsidRDefault="003474F2" w:rsidP="003474F2">
      <w:pPr>
        <w:pStyle w:val="a3"/>
      </w:pPr>
      <w:r w:rsidRPr="001A3D2B">
        <w:t xml:space="preserve">Keywords: Acquired Immunodeficiency Syndrome, Agents, Antifungal Efficacy, Antimicrobial Agents, Cancer- Patients, Clofazimine, Infections, Invitro Activity, </w:t>
      </w:r>
      <w:r w:rsidRPr="001A3D2B">
        <w:rPr>
          <w:i/>
          <w:iCs/>
        </w:rPr>
        <w:t>Mycobacterium tuberculosis</w:t>
      </w:r>
      <w:r w:rsidRPr="001A3D2B">
        <w:t>, Quinolone, Susceptibility, Toxicity, Tuberculosis</w:t>
      </w:r>
    </w:p>
    <w:p w:rsidR="003474F2" w:rsidRPr="001A3D2B" w:rsidRDefault="003474F2" w:rsidP="003474F2">
      <w:pPr>
        <w:pStyle w:val="a3"/>
      </w:pPr>
      <w:r w:rsidRPr="001A3D2B">
        <w:lastRenderedPageBreak/>
        <w:t>? Takiff, H.E., Salazar, L., Guerrero, C., Philipp, W., Huang, W.M., Kreiswirth, B., Cole, S.T., Jacobs, W.R.</w:t>
      </w:r>
      <w:r w:rsidR="005853A9">
        <w:t xml:space="preserve"> and </w:t>
      </w:r>
      <w:r w:rsidRPr="001A3D2B">
        <w:t>Telenti, A. (1994), Cloning</w:t>
      </w:r>
      <w:r w:rsidR="005853A9">
        <w:t xml:space="preserve"> and </w:t>
      </w:r>
      <w:r w:rsidRPr="001A3D2B">
        <w:t>nucleotide-sequence</w:t>
      </w:r>
      <w:r w:rsidR="00427468">
        <w:t xml:space="preserve"> of </w:t>
      </w:r>
      <w:r w:rsidRPr="001A3D2B">
        <w:rPr>
          <w:i/>
          <w:iCs/>
        </w:rPr>
        <w:t>Mycobacterium tuberculosis</w:t>
      </w:r>
      <w:r w:rsidRPr="001A3D2B">
        <w:t xml:space="preserve"> gyra</w:t>
      </w:r>
      <w:r w:rsidR="005853A9">
        <w:t xml:space="preserve"> and </w:t>
      </w:r>
      <w:r w:rsidRPr="001A3D2B">
        <w:t>gyrb genes</w:t>
      </w:r>
      <w:r w:rsidR="005853A9">
        <w:t xml:space="preserve"> and </w:t>
      </w:r>
      <w:r w:rsidRPr="001A3D2B">
        <w:t>detection</w:t>
      </w:r>
      <w:r w:rsidR="00427468">
        <w:t xml:space="preserve"> of </w:t>
      </w:r>
      <w:r w:rsidRPr="001A3D2B">
        <w:t xml:space="preserve">quinolone resistance mutations.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38</w:t>
      </w:r>
      <w:r w:rsidRPr="001A3D2B">
        <w:t xml:space="preserve"> (4), 773-780.</w:t>
      </w:r>
    </w:p>
    <w:p w:rsidR="003474F2" w:rsidRPr="001A3D2B" w:rsidRDefault="003474F2" w:rsidP="003474F2">
      <w:pPr>
        <w:pStyle w:val="a3"/>
      </w:pPr>
      <w:r w:rsidRPr="001A3D2B">
        <w:t xml:space="preserve">Full Text: </w:t>
      </w:r>
      <w:hyperlink r:id="rId1007" w:history="1">
        <w:r w:rsidRPr="001A3D2B">
          <w:rPr>
            <w:rStyle w:val="a5"/>
          </w:rPr>
          <w:t>1994\Ant Age Che38, 773.pdf</w:t>
        </w:r>
      </w:hyperlink>
    </w:p>
    <w:p w:rsidR="003474F2" w:rsidRPr="001A3D2B" w:rsidRDefault="003474F2" w:rsidP="003474F2">
      <w:pPr>
        <w:pStyle w:val="a3"/>
      </w:pPr>
      <w:r w:rsidRPr="001A3D2B">
        <w:t>Abstract:</w:t>
      </w:r>
      <w:r w:rsidR="003A1917">
        <w:t xml:space="preserve"> the </w:t>
      </w:r>
      <w:r w:rsidRPr="001A3D2B">
        <w:t>emergence</w:t>
      </w:r>
      <w:r w:rsidR="00427468">
        <w:t xml:space="preserve"> of </w:t>
      </w:r>
      <w:r w:rsidRPr="001A3D2B">
        <w:t>multidrug-resistant strains</w:t>
      </w:r>
      <w:r w:rsidR="00427468">
        <w:t xml:space="preserve"> of </w:t>
      </w:r>
      <w:r w:rsidRPr="001A3D2B">
        <w:rPr>
          <w:i/>
          <w:iCs/>
        </w:rPr>
        <w:t>Mycobacterium tuberculosis</w:t>
      </w:r>
      <w:r w:rsidRPr="001A3D2B">
        <w:t xml:space="preserve"> has resulted in increased interest in</w:t>
      </w:r>
      <w:r w:rsidR="003A1917">
        <w:t xml:space="preserve"> the </w:t>
      </w:r>
      <w:r w:rsidRPr="001A3D2B">
        <w:t>fluoroquinolones (FQs) as antituberculosis agents. To investigate</w:t>
      </w:r>
      <w:r w:rsidR="003A1917">
        <w:t xml:space="preserve"> the </w:t>
      </w:r>
      <w:r w:rsidRPr="001A3D2B">
        <w:t>frequency</w:t>
      </w:r>
      <w:r w:rsidR="005853A9">
        <w:t xml:space="preserve"> and </w:t>
      </w:r>
      <w:r w:rsidRPr="001A3D2B">
        <w:t>mechanisms</w:t>
      </w:r>
      <w:r w:rsidR="00427468">
        <w:t xml:space="preserve"> of </w:t>
      </w:r>
      <w:r w:rsidRPr="001A3D2B">
        <w:t>FQ resistance in M. tuberculosis, we cloned</w:t>
      </w:r>
      <w:r w:rsidR="005853A9">
        <w:t xml:space="preserve"> and </w:t>
      </w:r>
      <w:r w:rsidRPr="001A3D2B">
        <w:t>sequenced</w:t>
      </w:r>
      <w:r w:rsidR="003A1917">
        <w:t xml:space="preserve"> the </w:t>
      </w:r>
      <w:r w:rsidRPr="001A3D2B">
        <w:t>wild-type gyrA</w:t>
      </w:r>
      <w:r w:rsidR="005853A9">
        <w:t xml:space="preserve"> and </w:t>
      </w:r>
      <w:r w:rsidRPr="001A3D2B">
        <w:t>gyrB genes, which encode</w:t>
      </w:r>
      <w:r w:rsidR="003A1917">
        <w:t xml:space="preserve"> the </w:t>
      </w:r>
      <w:r w:rsidRPr="001A3D2B">
        <w:t>A</w:t>
      </w:r>
      <w:r w:rsidR="005853A9">
        <w:t xml:space="preserve"> and </w:t>
      </w:r>
      <w:r w:rsidRPr="001A3D2B">
        <w:t>B subunits</w:t>
      </w:r>
      <w:r w:rsidR="00427468">
        <w:t xml:space="preserve"> of </w:t>
      </w:r>
      <w:r w:rsidR="003A1917">
        <w:t xml:space="preserve">the </w:t>
      </w:r>
      <w:r w:rsidRPr="001A3D2B">
        <w:t>DNA gyrase, respectively; DNA gyrase is</w:t>
      </w:r>
      <w:r w:rsidR="003A1917">
        <w:t xml:space="preserve"> the </w:t>
      </w:r>
      <w:r w:rsidRPr="001A3D2B">
        <w:t>main target</w:t>
      </w:r>
      <w:r w:rsidR="00427468">
        <w:t xml:space="preserve"> of </w:t>
      </w:r>
      <w:r w:rsidR="003A1917">
        <w:t xml:space="preserve">the </w:t>
      </w:r>
      <w:r w:rsidRPr="001A3D2B">
        <w:t>FQs. On</w:t>
      </w:r>
      <w:r w:rsidR="003A1917">
        <w:t xml:space="preserve"> the </w:t>
      </w:r>
      <w:r w:rsidRPr="001A3D2B">
        <w:t>basis</w:t>
      </w:r>
      <w:r w:rsidR="00427468">
        <w:t xml:space="preserve"> of </w:t>
      </w:r>
      <w:r w:rsidR="003A1917">
        <w:t xml:space="preserve">the </w:t>
      </w:r>
      <w:r w:rsidRPr="001A3D2B">
        <w:t>sequence information, we performed DNA amplification for sequencing</w:t>
      </w:r>
      <w:r w:rsidR="005853A9">
        <w:t xml:space="preserve"> and </w:t>
      </w:r>
      <w:r w:rsidRPr="001A3D2B">
        <w:t>single-strand conformation polymorphism analysis to examine</w:t>
      </w:r>
      <w:r w:rsidR="003A1917">
        <w:t xml:space="preserve"> the </w:t>
      </w:r>
      <w:r w:rsidRPr="001A3D2B">
        <w:t>presumed quinolone resistance regions</w:t>
      </w:r>
      <w:r w:rsidR="00427468">
        <w:t xml:space="preserve"> of </w:t>
      </w:r>
      <w:r w:rsidRPr="001A3D2B">
        <w:t>gyrA</w:t>
      </w:r>
      <w:r w:rsidR="005853A9">
        <w:t xml:space="preserve"> and </w:t>
      </w:r>
      <w:r w:rsidRPr="001A3D2B">
        <w:t>gyrB from reference strains (n = 4)</w:t>
      </w:r>
      <w:r w:rsidR="005853A9">
        <w:t xml:space="preserve"> and </w:t>
      </w:r>
      <w:r w:rsidRPr="001A3D2B">
        <w:t>clinical isolates (n = 55). Mutations in codons</w:t>
      </w:r>
      <w:r w:rsidR="00427468">
        <w:t xml:space="preserve"> of </w:t>
      </w:r>
      <w:r w:rsidRPr="001A3D2B">
        <w:t>gyrA analogous to those described in other FQ-resistant bacteria were identified in all isolates (n = 14) for which</w:t>
      </w:r>
      <w:r w:rsidR="003A1917">
        <w:t xml:space="preserve"> the </w:t>
      </w:r>
      <w:r w:rsidRPr="001A3D2B">
        <w:t>ciprofloxacin MIC was &gt;2 mug, ml. In addition, we selected ciprofloxacin-resistant mutants</w:t>
      </w:r>
      <w:r w:rsidR="00427468">
        <w:t xml:space="preserve"> of </w:t>
      </w:r>
      <w:r w:rsidRPr="001A3D2B">
        <w:t>Mycobacterium bovis BCG</w:t>
      </w:r>
      <w:r w:rsidR="005853A9">
        <w:t xml:space="preserve"> and </w:t>
      </w:r>
      <w:r w:rsidRPr="001A3D2B">
        <w:t>M. tuberculosis Erdman</w:t>
      </w:r>
      <w:r w:rsidR="005853A9">
        <w:t xml:space="preserve"> and </w:t>
      </w:r>
      <w:r w:rsidRPr="001A3D2B">
        <w:t>H37ra. Spontaneously resistant mutants developed at a frequency</w:t>
      </w:r>
      <w:r w:rsidR="00427468">
        <w:t xml:space="preserve"> of </w:t>
      </w:r>
      <w:smartTag w:uri="urn:schemas-microsoft-com:office:smarttags" w:element="chmetcnv">
        <w:smartTagPr>
          <w:attr w:name="TCSC" w:val="0"/>
          <w:attr w:name="NumberType" w:val="1"/>
          <w:attr w:name="Negative" w:val="False"/>
          <w:attr w:name="HasSpace" w:val="True"/>
          <w:attr w:name="SourceValue" w:val="1"/>
          <w:attr w:name="UnitName" w:val="in"/>
        </w:smartTagPr>
        <w:r w:rsidRPr="001A3D2B">
          <w:t>1 in</w:t>
        </w:r>
      </w:smartTag>
      <w:r w:rsidRPr="001A3D2B">
        <w:t xml:space="preserve"> 10(7) to 10(8) at ciprofloxacin concentrations</w:t>
      </w:r>
      <w:r w:rsidR="00427468">
        <w:t xml:space="preserve"> of </w:t>
      </w:r>
      <w:r w:rsidRPr="001A3D2B">
        <w:t>2 mug, ml, but no primary resistant colonies were selected at higher ciprofloxacin concentrations. Replating</w:t>
      </w:r>
      <w:r w:rsidR="00427468">
        <w:t xml:space="preserve"> of </w:t>
      </w:r>
      <w:r w:rsidRPr="001A3D2B">
        <w:t>those first-step mutants selected for mutants with high levels</w:t>
      </w:r>
      <w:r w:rsidR="00427468">
        <w:t xml:space="preserve"> of </w:t>
      </w:r>
      <w:r w:rsidRPr="001A3D2B">
        <w:t>resistance which harbored gyrA mutations similar to those found among clinical FQ-resistant isolates</w:t>
      </w:r>
      <w:r w:rsidR="00A37C1D">
        <w:t>. The</w:t>
      </w:r>
      <w:r w:rsidR="003A1917">
        <w:t xml:space="preserve"> </w:t>
      </w:r>
      <w:r w:rsidRPr="001A3D2B">
        <w:t>gyrA</w:t>
      </w:r>
      <w:r w:rsidR="005853A9">
        <w:t xml:space="preserve"> and </w:t>
      </w:r>
      <w:r w:rsidRPr="001A3D2B">
        <w:t>gyrB sequence information will facilitate analysis</w:t>
      </w:r>
      <w:r w:rsidR="00427468">
        <w:t xml:space="preserve"> of </w:t>
      </w:r>
      <w:r w:rsidR="003A1917">
        <w:t xml:space="preserve">the </w:t>
      </w:r>
      <w:r w:rsidRPr="001A3D2B">
        <w:t>mechanisms</w:t>
      </w:r>
      <w:r w:rsidR="00427468">
        <w:t xml:space="preserve"> of </w:t>
      </w:r>
      <w:r w:rsidRPr="001A3D2B">
        <w:t>resistance to drugs which target</w:t>
      </w:r>
      <w:r w:rsidR="003A1917">
        <w:t xml:space="preserve"> the </w:t>
      </w:r>
      <w:r w:rsidRPr="001A3D2B">
        <w:t>gyrase</w:t>
      </w:r>
      <w:r w:rsidR="005853A9">
        <w:t xml:space="preserve"> and </w:t>
      </w:r>
      <w:r w:rsidR="003A1917">
        <w:t xml:space="preserve">the </w:t>
      </w:r>
      <w:r w:rsidRPr="001A3D2B">
        <w:t>implementation</w:t>
      </w:r>
      <w:r w:rsidR="00427468">
        <w:t xml:space="preserve"> of </w:t>
      </w:r>
      <w:r w:rsidRPr="001A3D2B">
        <w:t>rapid strategies for</w:t>
      </w:r>
      <w:r w:rsidR="003A1917">
        <w:t xml:space="preserve"> the </w:t>
      </w:r>
      <w:r w:rsidRPr="001A3D2B">
        <w:t>estimation</w:t>
      </w:r>
      <w:r w:rsidR="00427468">
        <w:t xml:space="preserve"> of </w:t>
      </w:r>
      <w:r w:rsidRPr="001A3D2B">
        <w:t>FQ susceptibility in clinical M. tuberculosis isolates</w:t>
      </w:r>
    </w:p>
    <w:p w:rsidR="003474F2" w:rsidRPr="001A3D2B" w:rsidRDefault="003474F2" w:rsidP="003474F2">
      <w:pPr>
        <w:pStyle w:val="a3"/>
      </w:pPr>
      <w:r w:rsidRPr="001A3D2B">
        <w:t xml:space="preserve">Keywords: Agents, Bcg, Chromosome, Ciprofloxacin, Determining Region, Dna Gyrase, Escherichia-Coli, Fluoroquinolones, Gyrase, Invitro Selection, Methicillin-Resistant, </w:t>
      </w:r>
      <w:r w:rsidRPr="001A3D2B">
        <w:rPr>
          <w:i/>
          <w:iCs/>
        </w:rPr>
        <w:t>Mycobacterium tuberculosis</w:t>
      </w:r>
      <w:r w:rsidRPr="001A3D2B">
        <w:t>, Norfloxacin, Polymerase Chain-Reaction, Resistance, Staphylococcus-Aureus, Tuberculosis</w:t>
      </w:r>
    </w:p>
    <w:p w:rsidR="003474F2" w:rsidRPr="001A3D2B" w:rsidRDefault="003474F2" w:rsidP="003474F2">
      <w:pPr>
        <w:pStyle w:val="a3"/>
      </w:pPr>
      <w:r w:rsidRPr="001A3D2B">
        <w:t>? Saito, H., Tomioka, H., Sato, K.</w:t>
      </w:r>
      <w:r w:rsidR="005853A9">
        <w:t xml:space="preserve"> and </w:t>
      </w:r>
      <w:r w:rsidRPr="001A3D2B">
        <w:t>Dekio, S. (1994), In-vitro</w:t>
      </w:r>
      <w:r w:rsidR="005853A9">
        <w:t xml:space="preserve"> and </w:t>
      </w:r>
      <w:r w:rsidRPr="001A3D2B">
        <w:t>in-vivo antimycobacterial activities</w:t>
      </w:r>
      <w:r w:rsidR="00427468">
        <w:t xml:space="preserve"> of </w:t>
      </w:r>
      <w:r w:rsidRPr="001A3D2B">
        <w:t>a new quinolone, 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1A3D2B">
          <w:t>-6859A</w:t>
        </w:r>
      </w:smartTag>
      <w:r w:rsidRPr="001A3D2B">
        <w:t xml:space="preserv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38</w:t>
      </w:r>
      <w:r w:rsidRPr="001A3D2B">
        <w:t xml:space="preserve"> (12), 2877-2882.</w:t>
      </w:r>
    </w:p>
    <w:p w:rsidR="003474F2" w:rsidRPr="001A3D2B" w:rsidRDefault="003474F2" w:rsidP="003474F2">
      <w:pPr>
        <w:pStyle w:val="a3"/>
      </w:pPr>
      <w:r w:rsidRPr="001A3D2B">
        <w:t xml:space="preserve">Full Text: </w:t>
      </w:r>
      <w:hyperlink r:id="rId1008" w:history="1">
        <w:r w:rsidRPr="001A3D2B">
          <w:rPr>
            <w:rStyle w:val="a5"/>
          </w:rPr>
          <w:t>1994\Ant Age Che38, 2877.pdf</w:t>
        </w:r>
      </w:hyperlink>
    </w:p>
    <w:p w:rsidR="003474F2" w:rsidRPr="001A3D2B" w:rsidRDefault="003474F2" w:rsidP="003474F2">
      <w:pPr>
        <w:pStyle w:val="a3"/>
      </w:pPr>
      <w:r w:rsidRPr="001A3D2B">
        <w:t>Abstract: A new fluoroquinolone, 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1A3D2B">
          <w:t>-6859a</w:t>
        </w:r>
      </w:smartTag>
      <w:r w:rsidRPr="001A3D2B">
        <w:t>, was studied for its in vitro</w:t>
      </w:r>
      <w:r w:rsidR="005853A9">
        <w:t xml:space="preserve"> and </w:t>
      </w:r>
      <w:r w:rsidRPr="001A3D2B">
        <w:t>in vivo antimycobacterial activities. MIC determination by</w:t>
      </w:r>
      <w:r w:rsidR="003A1917">
        <w:t xml:space="preserve"> the </w:t>
      </w:r>
      <w:r w:rsidRPr="001A3D2B">
        <w:t xml:space="preserve">agar dilution method with 7H11 medium revealed that DU- </w:t>
      </w:r>
      <w:smartTag w:uri="urn:schemas-microsoft-com:office:smarttags" w:element="chmetcnv">
        <w:smartTagPr>
          <w:attr w:name="TCSC" w:val="0"/>
          <w:attr w:name="NumberType" w:val="1"/>
          <w:attr w:name="Negative" w:val="False"/>
          <w:attr w:name="HasSpace" w:val="False"/>
          <w:attr w:name="SourceValue" w:val="6859"/>
          <w:attr w:name="UnitName" w:val="a"/>
        </w:smartTagPr>
        <w:r w:rsidRPr="001A3D2B">
          <w:t>6859a</w:t>
        </w:r>
      </w:smartTag>
      <w:r w:rsidRPr="001A3D2B">
        <w:t xml:space="preserve"> had MICs at which 90%</w:t>
      </w:r>
      <w:r w:rsidR="00427468">
        <w:t xml:space="preserve"> of </w:t>
      </w:r>
      <w:r w:rsidRPr="001A3D2B">
        <w:t>M. kansasii (</w:t>
      </w:r>
      <w:smartTag w:uri="urn:schemas-microsoft-com:office:smarttags" w:element="chmetcnv">
        <w:smartTagPr>
          <w:attr w:name="TCSC" w:val="0"/>
          <w:attr w:name="NumberType" w:val="1"/>
          <w:attr w:name="Negative" w:val="False"/>
          <w:attr w:name="HasSpace" w:val="False"/>
          <w:attr w:name="SourceValue" w:val="0.78"/>
          <w:attr w:name="UnitName" w:val="g"/>
        </w:smartTagPr>
        <w:r w:rsidRPr="001A3D2B">
          <w:t xml:space="preserve">0.78 </w:t>
        </w:r>
      </w:smartTag>
      <w:r w:rsidRPr="001A3D2B">
        <w:sym w:font="Symbol" w:char="F06D"/>
      </w:r>
      <w:r w:rsidRPr="001A3D2B">
        <w:t>g, ml), M. marinum (</w:t>
      </w:r>
      <w:smartTag w:uri="urn:schemas-microsoft-com:office:smarttags" w:element="chmetcnv">
        <w:smartTagPr>
          <w:attr w:name="TCSC" w:val="0"/>
          <w:attr w:name="NumberType" w:val="1"/>
          <w:attr w:name="Negative" w:val="False"/>
          <w:attr w:name="HasSpace" w:val="False"/>
          <w:attr w:name="SourceValue" w:val="1.56"/>
          <w:attr w:name="UnitName" w:val="g"/>
        </w:smartTagPr>
        <w:r w:rsidRPr="001A3D2B">
          <w:t xml:space="preserve">1.56 </w:t>
        </w:r>
      </w:smartTag>
      <w:r w:rsidRPr="001A3D2B">
        <w:sym w:font="Symbol" w:char="F06D"/>
      </w:r>
      <w:r w:rsidRPr="001A3D2B">
        <w:t>g, ml), M. scrofulaceum (</w:t>
      </w:r>
      <w:smartTag w:uri="urn:schemas-microsoft-com:office:smarttags" w:element="chmetcnv">
        <w:smartTagPr>
          <w:attr w:name="TCSC" w:val="0"/>
          <w:attr w:name="NumberType" w:val="1"/>
          <w:attr w:name="Negative" w:val="False"/>
          <w:attr w:name="HasSpace" w:val="False"/>
          <w:attr w:name="SourceValue" w:val="1.56"/>
          <w:attr w:name="UnitName" w:val="g"/>
        </w:smartTagPr>
        <w:r w:rsidRPr="001A3D2B">
          <w:t xml:space="preserve">1.56 </w:t>
        </w:r>
      </w:smartTag>
      <w:r w:rsidRPr="001A3D2B">
        <w:sym w:font="Symbol" w:char="F06D"/>
      </w:r>
      <w:r w:rsidRPr="001A3D2B">
        <w:t xml:space="preserve">g, ml), M. fortuitum </w:t>
      </w:r>
      <w:r w:rsidRPr="001A3D2B">
        <w:lastRenderedPageBreak/>
        <w:t>(</w:t>
      </w:r>
      <w:smartTag w:uri="urn:schemas-microsoft-com:office:smarttags" w:element="chmetcnv">
        <w:smartTagPr>
          <w:attr w:name="TCSC" w:val="0"/>
          <w:attr w:name="NumberType" w:val="1"/>
          <w:attr w:name="Negative" w:val="False"/>
          <w:attr w:name="HasSpace" w:val="False"/>
          <w:attr w:name="SourceValue" w:val="0.39"/>
          <w:attr w:name="UnitName" w:val="g"/>
        </w:smartTagPr>
        <w:r w:rsidRPr="001A3D2B">
          <w:t xml:space="preserve">0.39 </w:t>
        </w:r>
      </w:smartTag>
      <w:r w:rsidRPr="001A3D2B">
        <w:sym w:font="Symbol" w:char="F06D"/>
      </w:r>
      <w:r w:rsidRPr="001A3D2B">
        <w:t>g, ml), M. chelonae subsp. abscessus (</w:t>
      </w:r>
      <w:smartTag w:uri="urn:schemas-microsoft-com:office:smarttags" w:element="chmetcnv">
        <w:smartTagPr>
          <w:attr w:name="TCSC" w:val="0"/>
          <w:attr w:name="NumberType" w:val="1"/>
          <w:attr w:name="Negative" w:val="False"/>
          <w:attr w:name="HasSpace" w:val="False"/>
          <w:attr w:name="SourceValue" w:val="6.25"/>
          <w:attr w:name="UnitName" w:val="g"/>
        </w:smartTagPr>
        <w:r w:rsidRPr="001A3D2B">
          <w:t xml:space="preserve">6.25 </w:t>
        </w:r>
      </w:smartTag>
      <w:r w:rsidRPr="001A3D2B">
        <w:sym w:font="Symbol" w:char="F06D"/>
      </w:r>
      <w:r w:rsidRPr="001A3D2B">
        <w:t>g, ml),</w:t>
      </w:r>
      <w:r w:rsidR="005853A9">
        <w:t xml:space="preserve"> and </w:t>
      </w:r>
      <w:r w:rsidRPr="001A3D2B">
        <w:t>M. chelonae subsp. chelonae (</w:t>
      </w:r>
      <w:smartTag w:uri="urn:schemas-microsoft-com:office:smarttags" w:element="chmetcnv">
        <w:smartTagPr>
          <w:attr w:name="TCSC" w:val="0"/>
          <w:attr w:name="NumberType" w:val="1"/>
          <w:attr w:name="Negative" w:val="False"/>
          <w:attr w:name="HasSpace" w:val="False"/>
          <w:attr w:name="SourceValue" w:val="1.56"/>
          <w:attr w:name="UnitName" w:val="g"/>
        </w:smartTagPr>
        <w:r w:rsidRPr="001A3D2B">
          <w:t xml:space="preserve">1.56 </w:t>
        </w:r>
      </w:smartTag>
      <w:r w:rsidRPr="001A3D2B">
        <w:sym w:font="Symbol" w:char="F06D"/>
      </w:r>
      <w:r w:rsidRPr="001A3D2B">
        <w:t>g, ml) were inhibited were 4 to 32 times lower than those</w:t>
      </w:r>
      <w:r w:rsidR="00427468">
        <w:t xml:space="preserve"> of </w:t>
      </w:r>
      <w:r w:rsidRPr="001A3D2B">
        <w:t>ofloxacin</w:t>
      </w:r>
      <w:r w:rsidR="005853A9">
        <w:t xml:space="preserve"> and </w:t>
      </w:r>
      <w:r w:rsidRPr="001A3D2B">
        <w:t>sparfloxacin</w:t>
      </w:r>
      <w:r w:rsidR="00A37C1D">
        <w:t>. The</w:t>
      </w:r>
      <w:r w:rsidR="003A1917">
        <w:t xml:space="preserve"> </w:t>
      </w:r>
      <w:r w:rsidRPr="001A3D2B">
        <w:t>MICs</w:t>
      </w:r>
      <w:r w:rsidR="00427468">
        <w:t xml:space="preserve"> of </w:t>
      </w:r>
      <w:r w:rsidRPr="001A3D2B">
        <w:t>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1A3D2B">
          <w:t>-6859a</w:t>
        </w:r>
      </w:smartTag>
      <w:r w:rsidRPr="001A3D2B">
        <w:t xml:space="preserve"> at which 90%</w:t>
      </w:r>
      <w:r w:rsidR="00427468">
        <w:t xml:space="preserve"> of </w:t>
      </w:r>
      <w:r w:rsidRPr="001A3D2B">
        <w:t>M. tuberculosis (</w:t>
      </w:r>
      <w:smartTag w:uri="urn:schemas-microsoft-com:office:smarttags" w:element="chmetcnv">
        <w:smartTagPr>
          <w:attr w:name="TCSC" w:val="0"/>
          <w:attr w:name="NumberType" w:val="1"/>
          <w:attr w:name="Negative" w:val="False"/>
          <w:attr w:name="HasSpace" w:val="False"/>
          <w:attr w:name="SourceValue" w:val="0.2"/>
          <w:attr w:name="UnitName" w:val="g"/>
        </w:smartTagPr>
        <w:r w:rsidRPr="001A3D2B">
          <w:t xml:space="preserve">0.2 </w:t>
        </w:r>
      </w:smartTag>
      <w:r w:rsidRPr="001A3D2B">
        <w:sym w:font="Symbol" w:char="F06D"/>
      </w:r>
      <w:r w:rsidRPr="001A3D2B">
        <w:t>g, ml)</w:t>
      </w:r>
      <w:r w:rsidR="005853A9">
        <w:t xml:space="preserve"> and </w:t>
      </w:r>
      <w:r w:rsidRPr="001A3D2B">
        <w:t>M. avium-M. intracellulare complex (</w:t>
      </w:r>
      <w:smartTag w:uri="urn:schemas-microsoft-com:office:smarttags" w:element="chmetcnv">
        <w:smartTagPr>
          <w:attr w:name="TCSC" w:val="0"/>
          <w:attr w:name="NumberType" w:val="1"/>
          <w:attr w:name="Negative" w:val="False"/>
          <w:attr w:name="HasSpace" w:val="False"/>
          <w:attr w:name="SourceValue" w:val="12.5"/>
          <w:attr w:name="UnitName" w:val="g"/>
        </w:smartTagPr>
        <w:r w:rsidRPr="001A3D2B">
          <w:t xml:space="preserve">12.5 </w:t>
        </w:r>
      </w:smartTag>
      <w:r w:rsidRPr="001A3D2B">
        <w:sym w:font="Symbol" w:char="F06D"/>
      </w:r>
      <w:r w:rsidRPr="001A3D2B">
        <w:t>g, ml each) were inhibited were comparable to those</w:t>
      </w:r>
      <w:r w:rsidR="00427468">
        <w:t xml:space="preserve"> of </w:t>
      </w:r>
      <w:r w:rsidRPr="001A3D2B">
        <w:t>sparfloxacin but were four- to eightfold lower than those</w:t>
      </w:r>
      <w:r w:rsidR="00427468">
        <w:t xml:space="preserve"> of </w:t>
      </w:r>
      <w:r w:rsidRPr="001A3D2B">
        <w:t>ofloxacin. Thus, 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1A3D2B">
          <w:t>-6859a</w:t>
        </w:r>
      </w:smartTag>
      <w:r w:rsidRPr="001A3D2B">
        <w:t xml:space="preserve"> possessed more potent in vitro activity than sparfloxacin</w:t>
      </w:r>
      <w:r w:rsidR="005853A9">
        <w:t xml:space="preserve"> and </w:t>
      </w:r>
      <w:r w:rsidRPr="001A3D2B">
        <w:t>ofloxacin against most mycobacterial species. 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1A3D2B">
          <w:t>-6859a</w:t>
        </w:r>
      </w:smartTag>
      <w:r w:rsidRPr="001A3D2B">
        <w:t xml:space="preserve"> exerted significant efficacy against infections caused by M. intracellulare</w:t>
      </w:r>
      <w:r w:rsidR="005853A9">
        <w:t xml:space="preserve"> and </w:t>
      </w:r>
      <w:r w:rsidRPr="001A3D2B">
        <w:t>M. chelonae subsp. abscessus induced in mice when it was given at a dose</w:t>
      </w:r>
      <w:r w:rsidR="00427468">
        <w:t xml:space="preserve"> of </w:t>
      </w:r>
      <w:r w:rsidRPr="001A3D2B">
        <w:t>1 mg per mouse (ca. 50 mg, kg</w:t>
      </w:r>
      <w:r w:rsidR="00427468">
        <w:t xml:space="preserve"> of </w:t>
      </w:r>
      <w:r w:rsidRPr="001A3D2B">
        <w:t>body weight) in terms</w:t>
      </w:r>
      <w:r w:rsidR="00427468">
        <w:t xml:space="preserve"> of </w:t>
      </w:r>
      <w:r w:rsidRPr="001A3D2B">
        <w:t>reducing</w:t>
      </w:r>
      <w:r w:rsidR="003A1917">
        <w:t xml:space="preserve"> the </w:t>
      </w:r>
      <w:r w:rsidRPr="001A3D2B">
        <w:t>frequency</w:t>
      </w:r>
      <w:r w:rsidR="00427468">
        <w:t xml:space="preserve"> of </w:t>
      </w:r>
      <w:r w:rsidRPr="001A3D2B">
        <w:t>occurrence</w:t>
      </w:r>
      <w:r w:rsidR="005853A9">
        <w:t xml:space="preserve"> and </w:t>
      </w:r>
      <w:r w:rsidR="003A1917">
        <w:t xml:space="preserve">the </w:t>
      </w:r>
      <w:r w:rsidRPr="001A3D2B">
        <w:t>degree</w:t>
      </w:r>
      <w:r w:rsidR="00427468">
        <w:t xml:space="preserve"> of </w:t>
      </w:r>
      <w:r w:rsidRPr="001A3D2B">
        <w:t>gross pulmonary or renal lesions</w:t>
      </w:r>
      <w:r w:rsidR="005853A9">
        <w:t xml:space="preserve"> and </w:t>
      </w:r>
      <w:r w:rsidRPr="001A3D2B">
        <w:t>bacterial loads in</w:t>
      </w:r>
      <w:r w:rsidR="003A1917">
        <w:t xml:space="preserve"> the </w:t>
      </w:r>
      <w:r w:rsidRPr="001A3D2B">
        <w:t>lungs, spleens, or kidneys</w:t>
      </w:r>
      <w:r w:rsidR="00A37C1D">
        <w:t>. The</w:t>
      </w:r>
      <w:r w:rsidR="003A1917">
        <w:t xml:space="preserve"> </w:t>
      </w:r>
      <w:r w:rsidRPr="001A3D2B">
        <w:t>efficacy</w:t>
      </w:r>
      <w:r w:rsidR="00427468">
        <w:t xml:space="preserve"> of </w:t>
      </w:r>
      <w:r w:rsidRPr="001A3D2B">
        <w:t>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1A3D2B">
          <w:t>-6859a</w:t>
        </w:r>
      </w:smartTag>
      <w:r w:rsidRPr="001A3D2B">
        <w:t xml:space="preserve"> was greater than that</w:t>
      </w:r>
      <w:r w:rsidR="00427468">
        <w:t xml:space="preserve"> of </w:t>
      </w:r>
      <w:r w:rsidRPr="001A3D2B">
        <w:t>ofloxacin</w:t>
      </w:r>
      <w:r w:rsidR="005853A9">
        <w:t xml:space="preserve"> and </w:t>
      </w:r>
      <w:r w:rsidRPr="001A3D2B">
        <w:t>was more pronounced against M. chelonae infections than against M. intracellulare infections</w:t>
      </w:r>
    </w:p>
    <w:p w:rsidR="003474F2" w:rsidRPr="001A3D2B" w:rsidRDefault="003474F2" w:rsidP="003474F2">
      <w:pPr>
        <w:pStyle w:val="a3"/>
      </w:pPr>
      <w:r w:rsidRPr="001A3D2B">
        <w:t>Keywords: Acquired-Immunodeficiency- Syndrome, Agents, AIDS Patients, Antimycobacterial, Ciprofloxacin, Ethambutol, in Vitro Activity, Invitro, Mice, Mycobacterium-Avium Complex, Ofloxacin, Phagocyte Functions, Sparfloxacin, Substance Ofloxacin Dl8280, Tuberculosis, Virus-Infection</w:t>
      </w:r>
    </w:p>
    <w:p w:rsidR="003474F2" w:rsidRPr="001A3D2B" w:rsidRDefault="003474F2" w:rsidP="003474F2">
      <w:pPr>
        <w:pStyle w:val="a3"/>
      </w:pPr>
      <w:r w:rsidRPr="001A3D2B">
        <w:t xml:space="preserve">Alangaden, G.J., Manavathu, E.K., Vakulenko, S.B., </w:t>
      </w:r>
      <w:smartTag w:uri="urn:schemas-microsoft-com:office:smarttags" w:element="City">
        <w:r w:rsidRPr="001A3D2B">
          <w:t>Zvonok</w:t>
        </w:r>
      </w:smartTag>
      <w:r w:rsidRPr="001A3D2B">
        <w:t>, N.M.</w:t>
      </w:r>
      <w:r w:rsidR="005853A9">
        <w:t xml:space="preserve"> and </w:t>
      </w:r>
      <w:r w:rsidRPr="001A3D2B">
        <w:t xml:space="preserve">Lerner, </w:t>
      </w:r>
      <w:smartTag w:uri="urn:schemas-microsoft-com:office:smarttags" w:element="country-region">
        <w:r w:rsidRPr="001A3D2B">
          <w:t>S.A.</w:t>
        </w:r>
      </w:smartTag>
      <w:r w:rsidRPr="001A3D2B">
        <w:t xml:space="preserve"> (1995), Characterization</w:t>
      </w:r>
      <w:r w:rsidR="00427468">
        <w:t xml:space="preserve"> of </w:t>
      </w:r>
      <w:r w:rsidRPr="001A3D2B">
        <w:t>Fluoroquinolone-Resistant mutant strains</w:t>
      </w:r>
      <w:r w:rsidR="00427468">
        <w:t xml:space="preserve"> of </w:t>
      </w:r>
      <w:r w:rsidRPr="001A3D2B">
        <w:rPr>
          <w:i/>
          <w:iCs/>
        </w:rPr>
        <w:t>Mycobacterium tuberculosis</w:t>
      </w:r>
      <w:r w:rsidRPr="001A3D2B">
        <w:t xml:space="preserve"> selected in</w:t>
      </w:r>
      <w:r w:rsidR="003A1917">
        <w:t xml:space="preserve"> the </w:t>
      </w:r>
      <w:r w:rsidRPr="001A3D2B">
        <w:t>laboratory</w:t>
      </w:r>
      <w:r w:rsidR="005853A9">
        <w:t xml:space="preserve"> and </w:t>
      </w:r>
      <w:r w:rsidRPr="001A3D2B">
        <w:t xml:space="preserve">isolated from patients.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39</w:t>
      </w:r>
      <w:r w:rsidRPr="001A3D2B">
        <w:t xml:space="preserve"> (8), 1700-1703.</w:t>
      </w:r>
    </w:p>
    <w:p w:rsidR="003474F2" w:rsidRPr="001A3D2B" w:rsidRDefault="003474F2" w:rsidP="003474F2">
      <w:pPr>
        <w:pStyle w:val="a3"/>
      </w:pPr>
      <w:r w:rsidRPr="001A3D2B">
        <w:t xml:space="preserve">Full Text: </w:t>
      </w:r>
      <w:hyperlink r:id="rId1009" w:history="1">
        <w:r w:rsidRPr="001A3D2B">
          <w:rPr>
            <w:rStyle w:val="a5"/>
          </w:rPr>
          <w:t>1995\Ant Age Che39, 1700.pdf</w:t>
        </w:r>
      </w:hyperlink>
    </w:p>
    <w:p w:rsidR="003474F2" w:rsidRPr="001A3D2B" w:rsidRDefault="003474F2" w:rsidP="003474F2">
      <w:pPr>
        <w:pStyle w:val="a3"/>
      </w:pPr>
      <w:r w:rsidRPr="001A3D2B">
        <w:t>Abstract: To examine</w:t>
      </w:r>
      <w:r w:rsidR="003A1917">
        <w:t xml:space="preserve"> the </w:t>
      </w:r>
      <w:r w:rsidRPr="001A3D2B">
        <w:t>mechanism</w:t>
      </w:r>
      <w:r w:rsidR="00427468">
        <w:t xml:space="preserve"> of </w:t>
      </w:r>
      <w:r w:rsidRPr="001A3D2B">
        <w:t xml:space="preserve">resistance to fluoroquinolones in </w:t>
      </w:r>
      <w:r w:rsidRPr="001A3D2B">
        <w:rPr>
          <w:i/>
          <w:iCs/>
        </w:rPr>
        <w:t>Mycobacterium tuberculosis</w:t>
      </w:r>
      <w:r w:rsidRPr="001A3D2B">
        <w:t>, we selected spontaneous fluoroquinolone-resistant mutants from a susceptible strain, H37Rv,</w:t>
      </w:r>
      <w:r w:rsidR="005853A9">
        <w:t xml:space="preserve"> and </w:t>
      </w:r>
      <w:r w:rsidRPr="001A3D2B">
        <w:t>studied</w:t>
      </w:r>
      <w:r w:rsidR="003A1917">
        <w:t xml:space="preserve"> the </w:t>
      </w:r>
      <w:r w:rsidRPr="001A3D2B">
        <w:t>susceptibilities</w:t>
      </w:r>
      <w:r w:rsidR="00427468">
        <w:t xml:space="preserve"> of </w:t>
      </w:r>
      <w:r w:rsidRPr="001A3D2B">
        <w:t>these mutants</w:t>
      </w:r>
      <w:r w:rsidR="005853A9">
        <w:t xml:space="preserve"> and </w:t>
      </w:r>
      <w:r w:rsidRPr="001A3D2B">
        <w:t>two fluoroquinolone-resistant clinical isolates (A-382, A-564) to various fluoroquinolones</w:t>
      </w:r>
      <w:r w:rsidR="005853A9">
        <w:t xml:space="preserve"> and </w:t>
      </w:r>
      <w:r w:rsidRPr="001A3D2B">
        <w:t>to isoniazid</w:t>
      </w:r>
      <w:r w:rsidR="005853A9">
        <w:t xml:space="preserve"> and </w:t>
      </w:r>
      <w:r w:rsidRPr="001A3D2B">
        <w:t>rifampin. Furthermore, since mutations within</w:t>
      </w:r>
      <w:r w:rsidR="003A1917">
        <w:t xml:space="preserve"> the </w:t>
      </w:r>
      <w:r w:rsidRPr="001A3D2B">
        <w:t>quinolone resistance- determining region</w:t>
      </w:r>
      <w:r w:rsidR="00427468">
        <w:t xml:space="preserve"> of </w:t>
      </w:r>
      <w:r w:rsidR="003A1917">
        <w:t xml:space="preserve">the </w:t>
      </w:r>
      <w:r w:rsidRPr="001A3D2B">
        <w:t>structural gene encoding</w:t>
      </w:r>
      <w:r w:rsidR="003A1917">
        <w:t xml:space="preserve"> the </w:t>
      </w:r>
      <w:r w:rsidRPr="001A3D2B">
        <w:t>A subunit</w:t>
      </w:r>
      <w:r w:rsidR="00427468">
        <w:t xml:space="preserve"> of </w:t>
      </w:r>
      <w:r w:rsidRPr="001A3D2B">
        <w:t>DNA gyrase are</w:t>
      </w:r>
      <w:r w:rsidR="003A1917">
        <w:t xml:space="preserve"> the </w:t>
      </w:r>
      <w:r w:rsidRPr="001A3D2B">
        <w:t>most common mechanism</w:t>
      </w:r>
      <w:r w:rsidR="00427468">
        <w:t xml:space="preserve"> of </w:t>
      </w:r>
      <w:r w:rsidRPr="001A3D2B">
        <w:t>acquired resistance, we amplified this region by PCR</w:t>
      </w:r>
      <w:r w:rsidR="005853A9">
        <w:t xml:space="preserve"> and </w:t>
      </w:r>
      <w:r w:rsidRPr="001A3D2B">
        <w:t>compared</w:t>
      </w:r>
      <w:r w:rsidR="003A1917">
        <w:t xml:space="preserve"> the </w:t>
      </w:r>
      <w:r w:rsidRPr="001A3D2B">
        <w:t>nucleotide sequences</w:t>
      </w:r>
      <w:r w:rsidR="00427468">
        <w:t xml:space="preserve"> of </w:t>
      </w:r>
      <w:r w:rsidR="003A1917">
        <w:t xml:space="preserve">the </w:t>
      </w:r>
      <w:r w:rsidRPr="001A3D2B">
        <w:t>fluoroquinolone-resistant strains with that</w:t>
      </w:r>
      <w:r w:rsidR="00427468">
        <w:t xml:space="preserve"> of </w:t>
      </w:r>
      <w:r w:rsidR="003A1917">
        <w:t xml:space="preserve">the </w:t>
      </w:r>
      <w:r w:rsidRPr="001A3D2B">
        <w:t>susceptible strain. Fluoroquinolone-resistant mutants</w:t>
      </w:r>
      <w:r w:rsidR="00427468">
        <w:t xml:space="preserve"> of </w:t>
      </w:r>
      <w:r w:rsidRPr="001A3D2B">
        <w:t>H37Rv appeared at frequencies</w:t>
      </w:r>
      <w:r w:rsidR="00427468">
        <w:t xml:space="preserve"> of </w:t>
      </w:r>
      <w:r w:rsidRPr="001A3D2B">
        <w:t>2</w:t>
      </w:r>
      <w:r w:rsidRPr="001A3D2B">
        <w:sym w:font="Symbol" w:char="F0B4"/>
      </w:r>
      <w:r w:rsidRPr="001A3D2B">
        <w:t>10</w:t>
      </w:r>
      <w:r w:rsidRPr="001A3D2B">
        <w:rPr>
          <w:vertAlign w:val="superscript"/>
        </w:rPr>
        <w:t>-6</w:t>
      </w:r>
      <w:r w:rsidRPr="001A3D2B">
        <w:t xml:space="preserve"> to 1</w:t>
      </w:r>
      <w:r w:rsidRPr="001A3D2B">
        <w:sym w:font="Symbol" w:char="F0B4"/>
      </w:r>
      <w:r w:rsidRPr="001A3D2B">
        <w:t>10</w:t>
      </w:r>
      <w:r w:rsidRPr="001A3D2B">
        <w:rPr>
          <w:vertAlign w:val="superscript"/>
        </w:rPr>
        <w:t>-8</w:t>
      </w:r>
      <w:r w:rsidRPr="001A3D2B">
        <w:t>, For three mutants selected on ciprofloxacin, ofloxacin,</w:t>
      </w:r>
      <w:r w:rsidR="005853A9">
        <w:t xml:space="preserve"> and </w:t>
      </w:r>
      <w:r w:rsidRPr="001A3D2B">
        <w:t>sparfloxacin, respectively,</w:t>
      </w:r>
      <w:r w:rsidR="005853A9">
        <w:t xml:space="preserve"> and </w:t>
      </w:r>
      <w:r w:rsidR="003A1917">
        <w:t xml:space="preserve">the </w:t>
      </w:r>
      <w:r w:rsidRPr="001A3D2B">
        <w:t>two clinical isolates, MICs</w:t>
      </w:r>
      <w:r w:rsidR="00427468">
        <w:t xml:space="preserve"> of </w:t>
      </w:r>
      <w:r w:rsidRPr="001A3D2B">
        <w:t>ciprofloxacin</w:t>
      </w:r>
      <w:r w:rsidR="005853A9">
        <w:t xml:space="preserve"> and </w:t>
      </w:r>
      <w:r w:rsidRPr="001A3D2B">
        <w:t xml:space="preserve">ofloxacin were as high as </w:t>
      </w:r>
      <w:smartTag w:uri="urn:schemas-microsoft-com:office:smarttags" w:element="chmetcnv">
        <w:smartTagPr>
          <w:attr w:name="TCSC" w:val="0"/>
          <w:attr w:name="NumberType" w:val="1"/>
          <w:attr w:name="Negative" w:val="False"/>
          <w:attr w:name="HasSpace" w:val="False"/>
          <w:attr w:name="SourceValue" w:val="16"/>
          <w:attr w:name="UnitName" w:val="g"/>
        </w:smartTagPr>
        <w:r w:rsidRPr="001A3D2B">
          <w:t xml:space="preserve">16 </w:t>
        </w:r>
      </w:smartTag>
      <w:r w:rsidRPr="001A3D2B">
        <w:sym w:font="Symbol" w:char="F06D"/>
      </w:r>
      <w:r w:rsidRPr="001A3D2B">
        <w:t>g, ml,</w:t>
      </w:r>
      <w:r w:rsidR="005853A9">
        <w:t xml:space="preserve"> and </w:t>
      </w:r>
      <w:r w:rsidRPr="001A3D2B">
        <w:t>those</w:t>
      </w:r>
      <w:r w:rsidR="00427468">
        <w:t xml:space="preserve"> of </w:t>
      </w:r>
      <w:r w:rsidRPr="001A3D2B">
        <w:t xml:space="preserve">sparfloxacin were 3 to </w:t>
      </w:r>
      <w:smartTag w:uri="urn:schemas-microsoft-com:office:smarttags" w:element="chmetcnv">
        <w:smartTagPr>
          <w:attr w:name="TCSC" w:val="0"/>
          <w:attr w:name="NumberType" w:val="1"/>
          <w:attr w:name="Negative" w:val="False"/>
          <w:attr w:name="HasSpace" w:val="False"/>
          <w:attr w:name="SourceValue" w:val="8"/>
          <w:attr w:name="UnitName" w:val="g"/>
        </w:smartTagPr>
        <w:r w:rsidRPr="001A3D2B">
          <w:t xml:space="preserve">8 </w:t>
        </w:r>
      </w:smartTag>
      <w:r w:rsidRPr="001A3D2B">
        <w:sym w:font="Symbol" w:char="F06D"/>
      </w:r>
      <w:r w:rsidRPr="001A3D2B">
        <w:t>g, ml</w:t>
      </w:r>
      <w:r w:rsidR="00A37C1D">
        <w:t>. The</w:t>
      </w:r>
      <w:r w:rsidRPr="001A3D2B">
        <w:t>y displayed cross-resistance to all fluoroquinolones tested but not to isoniazid or rifampin, Sparfloxacin</w:t>
      </w:r>
      <w:r w:rsidR="005853A9">
        <w:t xml:space="preserve"> and </w:t>
      </w:r>
      <w:r w:rsidRPr="001A3D2B">
        <w:t>FQ-A (PD 127391-0002) were</w:t>
      </w:r>
      <w:r w:rsidR="003A1917">
        <w:t xml:space="preserve"> the </w:t>
      </w:r>
      <w:r w:rsidRPr="001A3D2B">
        <w:t xml:space="preserve">most potent fluoroquinolones. </w:t>
      </w:r>
      <w:r w:rsidRPr="001A3D2B">
        <w:lastRenderedPageBreak/>
        <w:t>All</w:t>
      </w:r>
      <w:r w:rsidR="00427468">
        <w:t xml:space="preserve"> of </w:t>
      </w:r>
      <w:r w:rsidR="003A1917">
        <w:t xml:space="preserve">the </w:t>
      </w:r>
      <w:r w:rsidRPr="001A3D2B">
        <w:t xml:space="preserve">fluoroquinolone-resistant strains (MICs, greater than or equal to </w:t>
      </w:r>
      <w:smartTag w:uri="urn:schemas-microsoft-com:office:smarttags" w:element="chmetcnv">
        <w:smartTagPr>
          <w:attr w:name="TCSC" w:val="0"/>
          <w:attr w:name="NumberType" w:val="1"/>
          <w:attr w:name="Negative" w:val="False"/>
          <w:attr w:name="HasSpace" w:val="False"/>
          <w:attr w:name="SourceValue" w:val="4"/>
          <w:attr w:name="UnitName" w:val="g"/>
        </w:smartTagPr>
        <w:r w:rsidRPr="001A3D2B">
          <w:t xml:space="preserve">4 </w:t>
        </w:r>
      </w:smartTag>
      <w:r w:rsidRPr="001A3D2B">
        <w:sym w:font="Symbol" w:char="F06D"/>
      </w:r>
      <w:r w:rsidRPr="001A3D2B">
        <w:t>g, ml) had mutations in</w:t>
      </w:r>
      <w:r w:rsidR="003A1917">
        <w:t xml:space="preserve"> the </w:t>
      </w:r>
      <w:r w:rsidRPr="001A3D2B">
        <w:t>quinolone resistance- determining region which led to substitution</w:t>
      </w:r>
      <w:r w:rsidR="00427468">
        <w:t xml:space="preserve"> of </w:t>
      </w:r>
      <w:r w:rsidR="003A1917">
        <w:t xml:space="preserve">the </w:t>
      </w:r>
      <w:r w:rsidRPr="001A3D2B">
        <w:t xml:space="preserve">Asp residue at position 87 (Asp-87) by Asn or </w:t>
      </w:r>
      <w:smartTag w:uri="urn:schemas-microsoft-com:office:smarttags" w:element="place">
        <w:smartTag w:uri="urn:schemas-microsoft-com:office:smarttags" w:element="State">
          <w:r w:rsidRPr="001A3D2B">
            <w:t>Ala</w:t>
          </w:r>
        </w:smartTag>
      </w:smartTag>
      <w:r w:rsidRPr="001A3D2B">
        <w:t xml:space="preserve"> or</w:t>
      </w:r>
      <w:r w:rsidR="003A1917">
        <w:t xml:space="preserve"> the </w:t>
      </w:r>
      <w:r w:rsidRPr="001A3D2B">
        <w:t>substitution</w:t>
      </w:r>
      <w:r w:rsidR="00427468">
        <w:t xml:space="preserve"> of </w:t>
      </w:r>
      <w:r w:rsidRPr="001A3D2B">
        <w:t>Ala-83 by Val in</w:t>
      </w:r>
      <w:r w:rsidR="003A1917">
        <w:t xml:space="preserve"> the </w:t>
      </w:r>
      <w:r w:rsidRPr="001A3D2B">
        <w:t>A subunit</w:t>
      </w:r>
      <w:r w:rsidR="00427468">
        <w:t xml:space="preserve"> of </w:t>
      </w:r>
      <w:r w:rsidRPr="001A3D2B">
        <w:t>DNA gyrase. Similar mutations have been noted in other bacterial species</w:t>
      </w:r>
      <w:r w:rsidR="005853A9">
        <w:t xml:space="preserve"> and </w:t>
      </w:r>
      <w:r w:rsidRPr="001A3D2B">
        <w:t>recently in mycobacteria</w:t>
      </w:r>
      <w:r w:rsidR="00A37C1D">
        <w:t>. The</w:t>
      </w:r>
      <w:r w:rsidR="003A1917">
        <w:t xml:space="preserve"> </w:t>
      </w:r>
      <w:r w:rsidRPr="001A3D2B">
        <w:t>broad resistance to fluoroquinolones that arose readily by point mutation in</w:t>
      </w:r>
      <w:r w:rsidR="003A1917">
        <w:t xml:space="preserve"> the </w:t>
      </w:r>
      <w:r w:rsidRPr="001A3D2B">
        <w:t>laboratory</w:t>
      </w:r>
      <w:r w:rsidR="005853A9">
        <w:t xml:space="preserve"> and </w:t>
      </w:r>
      <w:r w:rsidRPr="001A3D2B">
        <w:t>apparently during inadequate therapy, as was</w:t>
      </w:r>
      <w:r w:rsidR="003A1917">
        <w:t xml:space="preserve"> the </w:t>
      </w:r>
      <w:r w:rsidRPr="001A3D2B">
        <w:t>case in</w:t>
      </w:r>
      <w:r w:rsidR="003A1917">
        <w:t xml:space="preserve"> the </w:t>
      </w:r>
      <w:r w:rsidRPr="001A3D2B">
        <w:t>clinical isolates, may ultimately lead to serious restriction</w:t>
      </w:r>
      <w:r w:rsidR="00427468">
        <w:t xml:space="preserve"> of </w:t>
      </w:r>
      <w:r w:rsidR="003A1917">
        <w:t xml:space="preserve">the </w:t>
      </w:r>
      <w:r w:rsidRPr="001A3D2B">
        <w:t>use</w:t>
      </w:r>
      <w:r w:rsidR="00427468">
        <w:t xml:space="preserve"> of </w:t>
      </w:r>
      <w:r w:rsidRPr="001A3D2B">
        <w:t>these drugs in</w:t>
      </w:r>
      <w:r w:rsidR="003A1917">
        <w:t xml:space="preserve"> the </w:t>
      </w:r>
      <w:r w:rsidRPr="001A3D2B">
        <w:t>treatment</w:t>
      </w:r>
      <w:r w:rsidR="00427468">
        <w:t xml:space="preserve"> of </w:t>
      </w:r>
      <w:r w:rsidRPr="001A3D2B">
        <w:t>tuberculosis</w:t>
      </w:r>
    </w:p>
    <w:p w:rsidR="003474F2" w:rsidRPr="001A3D2B" w:rsidRDefault="003474F2" w:rsidP="003474F2">
      <w:pPr>
        <w:pStyle w:val="a3"/>
      </w:pPr>
      <w:r w:rsidRPr="001A3D2B">
        <w:t xml:space="preserve">Keywords: Agents, Ciprofloxacin, DNA Gyrase, Escherichia-Coli, Fluoroquinolones, Gene, Gyrase, Mutations, </w:t>
      </w:r>
      <w:r w:rsidRPr="001A3D2B">
        <w:rPr>
          <w:i/>
          <w:iCs/>
        </w:rPr>
        <w:t>Mycobacterium tuberculosis</w:t>
      </w:r>
      <w:r w:rsidRPr="001A3D2B">
        <w:t>, Ofloxacin, Polymerase Chain-Reaction, Pulmonary Tuberculosis, Resistance, Sparfloxacin, Sparfloxacin AT-4140, Staphylococcus-Aureus, Substance Ofloxacin Dl8280, Tuberculosis</w:t>
      </w:r>
    </w:p>
    <w:p w:rsidR="003474F2" w:rsidRPr="001A3D2B" w:rsidRDefault="003474F2" w:rsidP="003474F2">
      <w:pPr>
        <w:pStyle w:val="a3"/>
      </w:pPr>
      <w:r w:rsidRPr="001A3D2B">
        <w:t xml:space="preserve">Guillemin, </w:t>
      </w:r>
      <w:smartTag w:uri="urn:schemas-microsoft-com:office:smarttags" w:element="place">
        <w:r w:rsidRPr="001A3D2B">
          <w:t>I.</w:t>
        </w:r>
      </w:smartTag>
      <w:r w:rsidRPr="001A3D2B">
        <w:t>, Cambau, E.</w:t>
      </w:r>
      <w:r w:rsidR="005853A9">
        <w:t xml:space="preserve"> and </w:t>
      </w:r>
      <w:r w:rsidRPr="001A3D2B">
        <w:t>Jarlier, V. (1995), Sequences</w:t>
      </w:r>
      <w:r w:rsidR="00427468">
        <w:t xml:space="preserve"> of </w:t>
      </w:r>
      <w:r w:rsidRPr="001A3D2B">
        <w:t>conserved region in</w:t>
      </w:r>
      <w:r w:rsidR="003A1917">
        <w:t xml:space="preserve"> the </w:t>
      </w:r>
      <w:r w:rsidRPr="001A3D2B">
        <w:t>a subunit</w:t>
      </w:r>
      <w:r w:rsidR="00427468">
        <w:t xml:space="preserve"> of </w:t>
      </w:r>
      <w:r w:rsidRPr="001A3D2B">
        <w:t>DNA gyrase from 9 species</w:t>
      </w:r>
      <w:r w:rsidR="00427468">
        <w:t xml:space="preserve"> of </w:t>
      </w:r>
      <w:r w:rsidR="003A1917">
        <w:t xml:space="preserve">the </w:t>
      </w:r>
      <w:r w:rsidRPr="001A3D2B">
        <w:t>genus mycobacterium - phylogenetic analysis</w:t>
      </w:r>
      <w:r w:rsidR="005853A9">
        <w:t xml:space="preserve"> and </w:t>
      </w:r>
      <w:r w:rsidRPr="001A3D2B">
        <w:t xml:space="preserve">implication for intrinsic susceptibility to quinolones.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39</w:t>
      </w:r>
      <w:r w:rsidRPr="001A3D2B">
        <w:t xml:space="preserve"> (9), 2145-2149.</w:t>
      </w:r>
    </w:p>
    <w:p w:rsidR="003474F2" w:rsidRPr="001A3D2B" w:rsidRDefault="003474F2" w:rsidP="003474F2">
      <w:pPr>
        <w:pStyle w:val="a3"/>
      </w:pPr>
      <w:r w:rsidRPr="001A3D2B">
        <w:t xml:space="preserve">Full Text: </w:t>
      </w:r>
      <w:hyperlink r:id="rId1010" w:history="1">
        <w:r w:rsidRPr="001A3D2B">
          <w:rPr>
            <w:rStyle w:val="a5"/>
          </w:rPr>
          <w:t>1995\Ant Age Che39, 2145.pdf</w:t>
        </w:r>
      </w:hyperlink>
    </w:p>
    <w:p w:rsidR="003474F2" w:rsidRPr="001A3D2B" w:rsidRDefault="003474F2" w:rsidP="003474F2">
      <w:pPr>
        <w:pStyle w:val="a3"/>
      </w:pPr>
      <w:r w:rsidRPr="001A3D2B">
        <w:t>Abstract:</w:t>
      </w:r>
      <w:r w:rsidR="003A1917">
        <w:t xml:space="preserve"> the </w:t>
      </w:r>
      <w:r w:rsidRPr="001A3D2B">
        <w:t>sequences</w:t>
      </w:r>
      <w:r w:rsidR="00427468">
        <w:t xml:space="preserve"> of </w:t>
      </w:r>
      <w:r w:rsidRPr="001A3D2B">
        <w:t>a conserved region in</w:t>
      </w:r>
      <w:r w:rsidR="003A1917">
        <w:t xml:space="preserve"> the </w:t>
      </w:r>
      <w:r w:rsidRPr="001A3D2B">
        <w:t>A subunit</w:t>
      </w:r>
      <w:r w:rsidR="00427468">
        <w:t xml:space="preserve"> of </w:t>
      </w:r>
      <w:r w:rsidRPr="001A3D2B">
        <w:t>DNA gyrase corresponding to</w:t>
      </w:r>
      <w:r w:rsidR="003A1917">
        <w:t xml:space="preserve"> the </w:t>
      </w:r>
      <w:r w:rsidRPr="001A3D2B">
        <w:t>quinolone resistance-determining region were determined for nine mycobacterial species</w:t>
      </w:r>
      <w:r w:rsidR="005853A9">
        <w:t xml:space="preserve"> and </w:t>
      </w:r>
      <w:r w:rsidRPr="001A3D2B">
        <w:t>were compared. Although</w:t>
      </w:r>
      <w:r w:rsidR="003A1917">
        <w:t xml:space="preserve"> the </w:t>
      </w:r>
      <w:r w:rsidRPr="001A3D2B">
        <w:t>nucleotide sequences were highly conserved, they clearly differentiated one species from another</w:t>
      </w:r>
      <w:r w:rsidR="00A37C1D">
        <w:t>. The</w:t>
      </w:r>
      <w:r w:rsidR="003A1917">
        <w:t xml:space="preserve"> </w:t>
      </w:r>
      <w:r w:rsidRPr="001A3D2B">
        <w:t>results</w:t>
      </w:r>
      <w:r w:rsidR="00427468">
        <w:t xml:space="preserve"> of </w:t>
      </w:r>
      <w:r w:rsidR="003A1917">
        <w:t xml:space="preserve">the </w:t>
      </w:r>
      <w:r w:rsidRPr="001A3D2B">
        <w:t>phylogenetic analysis based on</w:t>
      </w:r>
      <w:r w:rsidR="003A1917">
        <w:t xml:space="preserve"> the </w:t>
      </w:r>
      <w:r w:rsidRPr="001A3D2B">
        <w:t>sequences</w:t>
      </w:r>
      <w:r w:rsidR="00427468">
        <w:t xml:space="preserve"> of </w:t>
      </w:r>
      <w:r w:rsidR="003A1917">
        <w:t xml:space="preserve">the </w:t>
      </w:r>
      <w:r w:rsidRPr="001A3D2B">
        <w:t>quinolone resistance-determining regions were compared with those provided by</w:t>
      </w:r>
      <w:r w:rsidR="003A1917">
        <w:t xml:space="preserve"> the </w:t>
      </w:r>
      <w:r w:rsidRPr="001A3D2B">
        <w:t>16S rRNA sequences. Deduced amino acid sequences were identical within</w:t>
      </w:r>
      <w:r w:rsidR="003A1917">
        <w:t xml:space="preserve"> the </w:t>
      </w:r>
      <w:r w:rsidRPr="001A3D2B">
        <w:t>nine species except for amino acid 83, which was frequently involved in acquired resistance to quinolones in many genera, including mycobacteria,</w:t>
      </w:r>
      <w:r w:rsidR="003A1917">
        <w:t xml:space="preserve"> the </w:t>
      </w:r>
      <w:r w:rsidRPr="001A3D2B">
        <w:t>presence at position 83</w:t>
      </w:r>
      <w:r w:rsidR="00427468">
        <w:t xml:space="preserve"> of </w:t>
      </w:r>
      <w:r w:rsidRPr="001A3D2B">
        <w:t>an alanine for seven mycobacterial species (M. tuberculosis, M. bovis BCG, M. leprae, M. avium, M. kansasii, M. chelonae,</w:t>
      </w:r>
      <w:r w:rsidR="005853A9">
        <w:t xml:space="preserve"> and </w:t>
      </w:r>
      <w:r w:rsidRPr="001A3D2B">
        <w:t>M. smegmatis)</w:t>
      </w:r>
      <w:r w:rsidR="005853A9">
        <w:t xml:space="preserve"> and</w:t>
      </w:r>
      <w:r w:rsidR="00427468">
        <w:t xml:space="preserve"> of </w:t>
      </w:r>
      <w:r w:rsidRPr="001A3D2B">
        <w:t>a serine for</w:t>
      </w:r>
      <w:r w:rsidR="003A1917">
        <w:t xml:space="preserve"> the </w:t>
      </w:r>
      <w:r w:rsidRPr="001A3D2B">
        <w:t>two remaining mycobacterial species (M. tuberculosis</w:t>
      </w:r>
      <w:r w:rsidR="005853A9">
        <w:t xml:space="preserve"> and </w:t>
      </w:r>
      <w:r w:rsidRPr="001A3D2B">
        <w:t>M. aurum) correlated well with</w:t>
      </w:r>
      <w:r w:rsidR="003A1917">
        <w:t xml:space="preserve"> the </w:t>
      </w:r>
      <w:r w:rsidRPr="001A3D2B">
        <w:t>MICs</w:t>
      </w:r>
      <w:r w:rsidR="00427468">
        <w:t xml:space="preserve"> of </w:t>
      </w:r>
      <w:r w:rsidRPr="001A3D2B">
        <w:t>ofloxacin for both groups</w:t>
      </w:r>
      <w:r w:rsidR="00427468">
        <w:t xml:space="preserve"> of </w:t>
      </w:r>
      <w:r w:rsidRPr="001A3D2B">
        <w:t>species, suggesting</w:t>
      </w:r>
      <w:r w:rsidR="003A1917">
        <w:t xml:space="preserve"> the </w:t>
      </w:r>
      <w:r w:rsidRPr="001A3D2B">
        <w:t>role</w:t>
      </w:r>
      <w:r w:rsidR="00427468">
        <w:t xml:space="preserve"> of </w:t>
      </w:r>
      <w:r w:rsidRPr="001A3D2B">
        <w:t>this residue in intrinsic susceptibility to quinolones in mycobacteria</w:t>
      </w:r>
    </w:p>
    <w:p w:rsidR="003474F2" w:rsidRPr="001A3D2B" w:rsidRDefault="003474F2" w:rsidP="003474F2">
      <w:pPr>
        <w:pStyle w:val="a3"/>
      </w:pPr>
      <w:r w:rsidRPr="001A3D2B">
        <w:t>Keywords: A-Protein, Agents, Bcg, Ciprofloxacin, Cloning, DNA Gyrase, Escherichia-Coli, Gyrase, Nucleotide-Sequence, Ofloxacin, Quinolones, Resistance, Resistance Mutations, Single, Staphylococcus-Aureus, Tuberculosis</w:t>
      </w:r>
    </w:p>
    <w:p w:rsidR="003474F2" w:rsidRPr="001A3D2B" w:rsidRDefault="003474F2" w:rsidP="003474F2">
      <w:pPr>
        <w:pStyle w:val="a3"/>
      </w:pPr>
      <w:r w:rsidRPr="001A3D2B">
        <w:t xml:space="preserve">Kocagöz, T., Hackbarth, C.J., Ünsal, I., </w:t>
      </w:r>
      <w:smartTag w:uri="urn:schemas-microsoft-com:office:smarttags" w:element="place">
        <w:smartTag w:uri="urn:schemas-microsoft-com:office:smarttags" w:element="City">
          <w:r w:rsidRPr="001A3D2B">
            <w:t>Rosenberg</w:t>
          </w:r>
        </w:smartTag>
      </w:smartTag>
      <w:r w:rsidRPr="001A3D2B">
        <w:t>, E.Y., Nikaido, H.</w:t>
      </w:r>
      <w:r w:rsidR="005853A9">
        <w:t xml:space="preserve"> and </w:t>
      </w:r>
      <w:r w:rsidRPr="001A3D2B">
        <w:t>Chambers, H.F. (1996), Gyrase mutations in laboratory-selected, fluoroquinolone- resistant mutants</w:t>
      </w:r>
      <w:r w:rsidR="00427468">
        <w:t xml:space="preserve"> of </w:t>
      </w:r>
      <w:r w:rsidRPr="001A3D2B">
        <w:rPr>
          <w:i/>
          <w:iCs/>
        </w:rPr>
        <w:t>Mycobacterium tuberculosis</w:t>
      </w:r>
      <w:r w:rsidRPr="001A3D2B">
        <w:t xml:space="preserve"> H37Ra.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40</w:t>
      </w:r>
      <w:r w:rsidRPr="001A3D2B">
        <w:t xml:space="preserve"> (8), 1768-1774.</w:t>
      </w:r>
    </w:p>
    <w:p w:rsidR="003474F2" w:rsidRPr="001A3D2B" w:rsidRDefault="003474F2" w:rsidP="003474F2">
      <w:pPr>
        <w:pStyle w:val="a3"/>
      </w:pPr>
      <w:r w:rsidRPr="001A3D2B">
        <w:lastRenderedPageBreak/>
        <w:t xml:space="preserve">Full Text: </w:t>
      </w:r>
      <w:hyperlink r:id="rId1011" w:history="1">
        <w:r w:rsidRPr="001A3D2B">
          <w:rPr>
            <w:rStyle w:val="a5"/>
          </w:rPr>
          <w:t>1996\Ant Age Che40, 1768.pdf</w:t>
        </w:r>
      </w:hyperlink>
    </w:p>
    <w:p w:rsidR="003474F2" w:rsidRPr="001A3D2B" w:rsidRDefault="003474F2" w:rsidP="003474F2">
      <w:pPr>
        <w:pStyle w:val="a3"/>
      </w:pPr>
      <w:r w:rsidRPr="001A3D2B">
        <w:t>Abstract: To characterize mechanisms</w:t>
      </w:r>
      <w:r w:rsidR="00427468">
        <w:t xml:space="preserve"> of </w:t>
      </w:r>
      <w:r w:rsidRPr="001A3D2B">
        <w:t xml:space="preserve">resistance to fluoroquinolones by </w:t>
      </w:r>
      <w:r w:rsidRPr="001A3D2B">
        <w:rPr>
          <w:i/>
          <w:iCs/>
        </w:rPr>
        <w:t>Mycobacterium tuberculosis</w:t>
      </w:r>
      <w:r w:rsidRPr="001A3D2B">
        <w:t>, mutants</w:t>
      </w:r>
      <w:r w:rsidR="00427468">
        <w:t xml:space="preserve"> of </w:t>
      </w:r>
      <w:r w:rsidRPr="001A3D2B">
        <w:t>strain H37Ra were selected in vitro with ofloxacin</w:t>
      </w:r>
      <w:r w:rsidR="00A37C1D">
        <w:t>. The</w:t>
      </w:r>
      <w:r w:rsidRPr="001A3D2B">
        <w:t>ir quinolone resistance- determining regions</w:t>
      </w:r>
      <w:r w:rsidR="00427468">
        <w:t xml:space="preserve"> of </w:t>
      </w:r>
      <w:r w:rsidRPr="001A3D2B">
        <w:t>gyrA</w:t>
      </w:r>
      <w:r w:rsidR="005853A9">
        <w:t xml:space="preserve"> and </w:t>
      </w:r>
      <w:r w:rsidRPr="001A3D2B">
        <w:t>gyrB were amplified</w:t>
      </w:r>
      <w:r w:rsidR="005853A9">
        <w:t xml:space="preserve"> and </w:t>
      </w:r>
      <w:r w:rsidRPr="001A3D2B">
        <w:t>sequenced to identify mutations in gyrase A or B, Three types</w:t>
      </w:r>
      <w:r w:rsidR="00427468">
        <w:t xml:space="preserve"> of </w:t>
      </w:r>
      <w:r w:rsidRPr="001A3D2B">
        <w:t>mutants were obtained: (i) one mutant (TKp1) had no mutations in gyrA or gyrB; (ii) mutants that had single missense mutations in gyrA,</w:t>
      </w:r>
      <w:r w:rsidR="005853A9">
        <w:t xml:space="preserve"> and </w:t>
      </w:r>
      <w:r w:rsidRPr="001A3D2B">
        <w:t>(iii) mutants that had two missense mutations resulting in either two altered gyrase A residues or an altered residue in both gyrases A</w:t>
      </w:r>
      <w:r w:rsidR="005853A9">
        <w:t xml:space="preserve"> and </w:t>
      </w:r>
      <w:r w:rsidRPr="001A3D2B">
        <w:t>B,</w:t>
      </w:r>
      <w:r w:rsidR="003A1917">
        <w:t xml:space="preserve"> the </w:t>
      </w:r>
      <w:r w:rsidRPr="001A3D2B">
        <w:t>TKp1 mutant had slightly reduced levels</w:t>
      </w:r>
      <w:r w:rsidR="00427468">
        <w:t xml:space="preserve"> of </w:t>
      </w:r>
      <w:r w:rsidRPr="001A3D2B">
        <w:t>uptake</w:t>
      </w:r>
      <w:r w:rsidR="00427468">
        <w:t xml:space="preserve"> of </w:t>
      </w:r>
      <w:r w:rsidRPr="001A3D2B">
        <w:t>[C- 14]norfloxacin, which was associated with two- to fourfold increases in</w:t>
      </w:r>
      <w:r w:rsidR="003A1917">
        <w:t xml:space="preserve"> the </w:t>
      </w:r>
      <w:r w:rsidRPr="001A3D2B">
        <w:t>MICs</w:t>
      </w:r>
      <w:r w:rsidR="00427468">
        <w:t xml:space="preserve"> of </w:t>
      </w:r>
      <w:r w:rsidRPr="001A3D2B">
        <w:t>ofloxacin, ciprofloxacin,</w:t>
      </w:r>
      <w:r w:rsidR="005853A9">
        <w:t xml:space="preserve"> and </w:t>
      </w:r>
      <w:r w:rsidRPr="001A3D2B">
        <w:t>sparfloxacin. Gyrase mutations caused a much greater increase in</w:t>
      </w:r>
      <w:r w:rsidR="003A1917">
        <w:t xml:space="preserve"> the </w:t>
      </w:r>
      <w:r w:rsidRPr="001A3D2B">
        <w:t>MICs</w:t>
      </w:r>
      <w:r w:rsidR="00427468">
        <w:t xml:space="preserve"> of </w:t>
      </w:r>
      <w:r w:rsidRPr="001A3D2B">
        <w:t>fluoroquinolones, For mutants with single gyrA mutations,</w:t>
      </w:r>
      <w:r w:rsidR="003A1917">
        <w:t xml:space="preserve"> the </w:t>
      </w:r>
      <w:r w:rsidRPr="001A3D2B">
        <w:t>increases in</w:t>
      </w:r>
      <w:r w:rsidR="003A1917">
        <w:t xml:space="preserve"> the </w:t>
      </w:r>
      <w:r w:rsidRPr="001A3D2B">
        <w:t>MICs were 4 to 16-fold,</w:t>
      </w:r>
      <w:r w:rsidR="005853A9">
        <w:t xml:space="preserve"> and </w:t>
      </w:r>
      <w:r w:rsidRPr="001A3D2B">
        <w:t>for mutants with double gyrase mutations,</w:t>
      </w:r>
      <w:r w:rsidR="003A1917">
        <w:t xml:space="preserve"> the </w:t>
      </w:r>
      <w:r w:rsidRPr="001A3D2B">
        <w:t>MICs were increased 32-fold or more compared with those for</w:t>
      </w:r>
      <w:r w:rsidR="003A1917">
        <w:t xml:space="preserve"> the </w:t>
      </w:r>
      <w:r w:rsidRPr="001A3D2B">
        <w:t>parent. A gyrA mutation in TKp1 secondary mutants was associated with 32- to 128-fold increases in</w:t>
      </w:r>
      <w:r w:rsidR="003A1917">
        <w:t xml:space="preserve"> the </w:t>
      </w:r>
      <w:r w:rsidRPr="001A3D2B">
        <w:t>MICs</w:t>
      </w:r>
      <w:r w:rsidR="00427468">
        <w:t xml:space="preserve"> of </w:t>
      </w:r>
      <w:r w:rsidRPr="001A3D2B">
        <w:t>ofloxacin</w:t>
      </w:r>
      <w:r w:rsidR="005853A9">
        <w:t xml:space="preserve"> and </w:t>
      </w:r>
      <w:r w:rsidRPr="001A3D2B">
        <w:t>ciprofloxacin compared with</w:t>
      </w:r>
      <w:r w:rsidR="003A1917">
        <w:t xml:space="preserve"> the </w:t>
      </w:r>
      <w:r w:rsidRPr="001A3D2B">
        <w:t>MICs for H37Ra</w:t>
      </w:r>
      <w:r w:rsidR="005853A9">
        <w:t xml:space="preserve"> and </w:t>
      </w:r>
      <w:r w:rsidRPr="001A3D2B">
        <w:t>an eight-fold increase in</w:t>
      </w:r>
      <w:r w:rsidR="003A1917">
        <w:t xml:space="preserve"> the </w:t>
      </w:r>
      <w:r w:rsidRPr="001A3D2B">
        <w:t>MIC</w:t>
      </w:r>
      <w:r w:rsidR="00427468">
        <w:t xml:space="preserve"> of </w:t>
      </w:r>
      <w:r w:rsidRPr="001A3D2B">
        <w:t>sparfloxacin. Sparfloxacin was</w:t>
      </w:r>
      <w:r w:rsidR="003A1917">
        <w:t xml:space="preserve"> the </w:t>
      </w:r>
      <w:r w:rsidRPr="001A3D2B">
        <w:t>most active fluoroquinolone tested, No sparfloxacin-resistant single-step mutants were selected at concentrations</w:t>
      </w:r>
      <w:r w:rsidR="00427468">
        <w:t xml:space="preserve"> of </w:t>
      </w:r>
      <w:r w:rsidRPr="001A3D2B">
        <w:t>&gt;</w:t>
      </w:r>
      <w:smartTag w:uri="urn:schemas-microsoft-com:office:smarttags" w:element="chmetcnv">
        <w:smartTagPr>
          <w:attr w:name="TCSC" w:val="0"/>
          <w:attr w:name="NumberType" w:val="1"/>
          <w:attr w:name="Negative" w:val="False"/>
          <w:attr w:name="HasSpace" w:val="False"/>
          <w:attr w:name="SourceValue" w:val="2.5"/>
          <w:attr w:name="UnitName" w:val="g"/>
        </w:smartTagPr>
        <w:r w:rsidRPr="001A3D2B">
          <w:t xml:space="preserve">2.5 </w:t>
        </w:r>
      </w:smartTag>
      <w:r w:rsidRPr="001A3D2B">
        <w:sym w:font="Symbol" w:char="F06D"/>
      </w:r>
      <w:r w:rsidRPr="001A3D2B">
        <w:t>g, ml,</w:t>
      </w:r>
      <w:r w:rsidR="005853A9">
        <w:t xml:space="preserve"> and </w:t>
      </w:r>
      <w:r w:rsidRPr="001A3D2B">
        <w:t xml:space="preserve">high-level resistance (i.e., MIC, greater than or equal to </w:t>
      </w:r>
      <w:smartTag w:uri="urn:schemas-microsoft-com:office:smarttags" w:element="chmetcnv">
        <w:smartTagPr>
          <w:attr w:name="TCSC" w:val="0"/>
          <w:attr w:name="NumberType" w:val="1"/>
          <w:attr w:name="Negative" w:val="False"/>
          <w:attr w:name="HasSpace" w:val="False"/>
          <w:attr w:name="SourceValue" w:val="5"/>
          <w:attr w:name="UnitName" w:val="g"/>
        </w:smartTagPr>
        <w:r w:rsidRPr="001A3D2B">
          <w:t xml:space="preserve">5 </w:t>
        </w:r>
      </w:smartTag>
      <w:r w:rsidRPr="001A3D2B">
        <w:sym w:font="Symbol" w:char="F06D"/>
      </w:r>
      <w:r w:rsidRPr="001A3D2B">
        <w:t>g, ml) was associated with two gyrase mutations. Mutations in gyrB</w:t>
      </w:r>
      <w:r w:rsidR="005853A9">
        <w:t xml:space="preserve"> and </w:t>
      </w:r>
      <w:r w:rsidRPr="001A3D2B">
        <w:t>possibly altered levels</w:t>
      </w:r>
      <w:r w:rsidR="00427468">
        <w:t xml:space="preserve"> of </w:t>
      </w:r>
      <w:r w:rsidRPr="001A3D2B">
        <w:t>intracellular accumulation</w:t>
      </w:r>
      <w:r w:rsidR="00427468">
        <w:t xml:space="preserve"> of </w:t>
      </w:r>
      <w:r w:rsidRPr="001A3D2B">
        <w:t>drug are two additional mechanisms that may be used by M. tuberculosis in</w:t>
      </w:r>
      <w:r w:rsidR="003A1917">
        <w:t xml:space="preserve"> the </w:t>
      </w:r>
      <w:r w:rsidRPr="001A3D2B">
        <w:t>development</w:t>
      </w:r>
      <w:r w:rsidR="00427468">
        <w:t xml:space="preserve"> of </w:t>
      </w:r>
      <w:r w:rsidRPr="001A3D2B">
        <w:t>fluoroquinolone resistance, Because sparfloxacin is more active in vitro</w:t>
      </w:r>
      <w:r w:rsidR="005853A9">
        <w:t xml:space="preserve"> and </w:t>
      </w:r>
      <w:r w:rsidRPr="001A3D2B">
        <w:t>selection</w:t>
      </w:r>
      <w:r w:rsidR="00427468">
        <w:t xml:space="preserve"> of </w:t>
      </w:r>
      <w:r w:rsidRPr="001A3D2B">
        <w:t>resistance appears to be less likely to occur, it may have important advantages over ofloxacin or ciprofloxacin for</w:t>
      </w:r>
      <w:r w:rsidR="003A1917">
        <w:t xml:space="preserve"> the </w:t>
      </w:r>
      <w:r w:rsidRPr="001A3D2B">
        <w:t>treatment</w:t>
      </w:r>
      <w:r w:rsidR="00427468">
        <w:t xml:space="preserve"> of </w:t>
      </w:r>
      <w:r w:rsidRPr="001A3D2B">
        <w:t>tuberculosis</w:t>
      </w:r>
    </w:p>
    <w:p w:rsidR="003474F2" w:rsidRPr="001A3D2B" w:rsidRDefault="003474F2" w:rsidP="003474F2">
      <w:pPr>
        <w:pStyle w:val="a3"/>
      </w:pPr>
      <w:r w:rsidRPr="001A3D2B">
        <w:t xml:space="preserve">Keywords: Active Efflux, Agents, Dna Gyrase, Escherichia-Coli, Fluoroquinolones, Gyrase, Minimal Inhibitory Concentrations, </w:t>
      </w:r>
      <w:r w:rsidRPr="001A3D2B">
        <w:rPr>
          <w:i/>
          <w:iCs/>
        </w:rPr>
        <w:t>Mycobacterium tuberculosis</w:t>
      </w:r>
      <w:r w:rsidRPr="001A3D2B">
        <w:t>, Nucleotide-Sequence, Ofloxacin, Outer-Membrane, Polymerase Chain-Reaction, Pseudomonas-Aeruginosa, Quinolone Resistance, Resistance, Sparfloxacin, Staphylococcus-Aureus, Tuberculosis</w:t>
      </w:r>
    </w:p>
    <w:p w:rsidR="003474F2" w:rsidRPr="001A3D2B" w:rsidRDefault="003474F2" w:rsidP="003474F2">
      <w:pPr>
        <w:pStyle w:val="a3"/>
      </w:pPr>
      <w:r w:rsidRPr="001A3D2B">
        <w:t>Revel-Viravau, V., Truong, Q.C., Moreau, N., Jarlier, V.</w:t>
      </w:r>
      <w:r w:rsidR="005853A9">
        <w:t xml:space="preserve"> and </w:t>
      </w:r>
      <w:r w:rsidRPr="001A3D2B">
        <w:t>Sougakoff, W. (1996), Sequence analysis, purification,</w:t>
      </w:r>
      <w:r w:rsidR="005853A9">
        <w:t xml:space="preserve"> and </w:t>
      </w:r>
      <w:r w:rsidRPr="001A3D2B">
        <w:t>study</w:t>
      </w:r>
      <w:r w:rsidR="00427468">
        <w:t xml:space="preserve"> of </w:t>
      </w:r>
      <w:r w:rsidRPr="001A3D2B">
        <w:t>inhibition by 4- quinolones</w:t>
      </w:r>
      <w:r w:rsidR="00427468">
        <w:t xml:space="preserve"> of </w:t>
      </w:r>
      <w:r w:rsidR="003A1917">
        <w:t xml:space="preserve">the </w:t>
      </w:r>
      <w:r w:rsidRPr="001A3D2B">
        <w:t xml:space="preserve">DNA gyrase from </w:t>
      </w:r>
      <w:r w:rsidRPr="001A3D2B">
        <w:rPr>
          <w:i/>
          <w:iCs/>
        </w:rPr>
        <w:t>Mycobacterium smegmatis</w:t>
      </w:r>
      <w:r w:rsidRPr="001A3D2B">
        <w:t xml:space="preserv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40</w:t>
      </w:r>
      <w:r w:rsidRPr="001A3D2B">
        <w:t xml:space="preserve"> (9), 2054-2061.</w:t>
      </w:r>
    </w:p>
    <w:p w:rsidR="003474F2" w:rsidRPr="001A3D2B" w:rsidRDefault="003474F2" w:rsidP="003474F2">
      <w:pPr>
        <w:pStyle w:val="a3"/>
      </w:pPr>
      <w:r w:rsidRPr="001A3D2B">
        <w:t xml:space="preserve">Full Text: </w:t>
      </w:r>
      <w:hyperlink r:id="rId1012" w:history="1">
        <w:r w:rsidRPr="001A3D2B">
          <w:rPr>
            <w:rStyle w:val="a5"/>
          </w:rPr>
          <w:t>1996\Ant Age Che40, 2054.pdf</w:t>
        </w:r>
      </w:hyperlink>
    </w:p>
    <w:p w:rsidR="003474F2" w:rsidRPr="001A3D2B" w:rsidRDefault="003474F2" w:rsidP="003474F2">
      <w:pPr>
        <w:pStyle w:val="a3"/>
      </w:pPr>
      <w:r w:rsidRPr="001A3D2B">
        <w:t>Abstract: We determined</w:t>
      </w:r>
      <w:r w:rsidR="003A1917">
        <w:t xml:space="preserve"> the </w:t>
      </w:r>
      <w:r w:rsidRPr="001A3D2B">
        <w:t>nucleotide sequence</w:t>
      </w:r>
      <w:r w:rsidR="00427468">
        <w:t xml:space="preserve"> of </w:t>
      </w:r>
      <w:r w:rsidRPr="001A3D2B">
        <w:t>a 6-kb DNA region harboring</w:t>
      </w:r>
      <w:r w:rsidR="003A1917">
        <w:t xml:space="preserve"> the </w:t>
      </w:r>
      <w:r w:rsidRPr="001A3D2B">
        <w:t>recF, orf192, gyrB,</w:t>
      </w:r>
      <w:r w:rsidR="005853A9">
        <w:t xml:space="preserve"> and </w:t>
      </w:r>
      <w:r w:rsidRPr="001A3D2B">
        <w:t>gyrA genes from Mycobacterium smegmatis mc(2)155,</w:t>
      </w:r>
      <w:r w:rsidR="003A1917">
        <w:t xml:space="preserve"> the </w:t>
      </w:r>
      <w:r w:rsidRPr="001A3D2B">
        <w:t>amino acid sequences deduced from gyrA</w:t>
      </w:r>
      <w:r w:rsidR="005853A9">
        <w:t xml:space="preserve"> and </w:t>
      </w:r>
      <w:r w:rsidRPr="001A3D2B">
        <w:t>gyrB displayed 89</w:t>
      </w:r>
      <w:r w:rsidR="005853A9">
        <w:t xml:space="preserve"> and </w:t>
      </w:r>
      <w:r w:rsidRPr="001A3D2B">
        <w:t xml:space="preserve">86% identity, </w:t>
      </w:r>
      <w:r w:rsidRPr="001A3D2B">
        <w:lastRenderedPageBreak/>
        <w:t>respectively, with</w:t>
      </w:r>
      <w:r w:rsidR="003A1917">
        <w:t xml:space="preserve"> the </w:t>
      </w:r>
      <w:r w:rsidRPr="001A3D2B">
        <w:t xml:space="preserve">DNA gyrase from </w:t>
      </w:r>
      <w:r w:rsidRPr="001A3D2B">
        <w:rPr>
          <w:i/>
          <w:iCs/>
        </w:rPr>
        <w:t>Mycobacterium tuberculosis</w:t>
      </w:r>
      <w:r w:rsidRPr="001A3D2B">
        <w:t>,</w:t>
      </w:r>
      <w:r w:rsidR="005853A9">
        <w:t xml:space="preserve"> and </w:t>
      </w:r>
      <w:r w:rsidRPr="001A3D2B">
        <w:t>67</w:t>
      </w:r>
      <w:r w:rsidR="005853A9">
        <w:t xml:space="preserve"> and </w:t>
      </w:r>
      <w:r w:rsidRPr="001A3D2B">
        <w:t>65% identity, respectively, with that from Streptomyces coelicolor. An open reading frame encoding</w:t>
      </w:r>
      <w:r w:rsidR="003A1917">
        <w:t xml:space="preserve"> the </w:t>
      </w:r>
      <w:r w:rsidRPr="001A3D2B">
        <w:t>C-terminal region</w:t>
      </w:r>
      <w:r w:rsidR="00427468">
        <w:t xml:space="preserve"> of </w:t>
      </w:r>
      <w:r w:rsidR="003A1917">
        <w:t xml:space="preserve">the </w:t>
      </w:r>
      <w:r w:rsidRPr="001A3D2B">
        <w:t>M. smegmatis RecF polypeptide was found upstream from gyrB</w:t>
      </w:r>
      <w:r w:rsidR="005853A9">
        <w:t xml:space="preserve"> and </w:t>
      </w:r>
      <w:r w:rsidRPr="001A3D2B">
        <w:t>was 57% identical to</w:t>
      </w:r>
      <w:r w:rsidR="003A1917">
        <w:t xml:space="preserve"> the </w:t>
      </w:r>
      <w:r w:rsidRPr="001A3D2B">
        <w:t>open reading frame encoding</w:t>
      </w:r>
      <w:r w:rsidR="003A1917">
        <w:t xml:space="preserve"> the </w:t>
      </w:r>
      <w:r w:rsidRPr="001A3D2B">
        <w:t>C-terminal region</w:t>
      </w:r>
      <w:r w:rsidR="00427468">
        <w:t xml:space="preserve"> of </w:t>
      </w:r>
      <w:r w:rsidR="003A1917">
        <w:t xml:space="preserve">the </w:t>
      </w:r>
      <w:r w:rsidRPr="001A3D2B">
        <w:t>S, coelicolor RecF protein,</w:t>
      </w:r>
      <w:r w:rsidR="003A1917">
        <w:t xml:space="preserve"> the </w:t>
      </w:r>
      <w:r w:rsidRPr="001A3D2B">
        <w:t>gene orf192 was identified between recF</w:t>
      </w:r>
      <w:r w:rsidR="005853A9">
        <w:t xml:space="preserve"> and </w:t>
      </w:r>
      <w:r w:rsidRPr="001A3D2B">
        <w:t>gyrB</w:t>
      </w:r>
      <w:r w:rsidR="005853A9">
        <w:t xml:space="preserve"> and </w:t>
      </w:r>
      <w:r w:rsidRPr="001A3D2B">
        <w:t>was 39% identical to orf191 found in S, coelicolor in</w:t>
      </w:r>
      <w:r w:rsidR="003A1917">
        <w:t xml:space="preserve"> the </w:t>
      </w:r>
      <w:r w:rsidRPr="001A3D2B">
        <w:t>recF-gyrB region,</w:t>
      </w:r>
      <w:r w:rsidR="003A1917">
        <w:t xml:space="preserve"> the </w:t>
      </w:r>
      <w:r w:rsidRPr="001A3D2B">
        <w:t>M. smegmatis DNA gyrase, which was purified by affinity chromatography on novobiocin-Sepharose, consisted</w:t>
      </w:r>
      <w:r w:rsidR="00427468">
        <w:t xml:space="preserve"> of </w:t>
      </w:r>
      <w:r w:rsidRPr="001A3D2B">
        <w:t>two polypeptides with apparent molecular masses</w:t>
      </w:r>
      <w:r w:rsidR="00427468">
        <w:t xml:space="preserve"> of </w:t>
      </w:r>
      <w:r w:rsidRPr="001A3D2B">
        <w:t>98</w:t>
      </w:r>
      <w:r w:rsidR="005853A9">
        <w:t xml:space="preserve"> and </w:t>
      </w:r>
      <w:r w:rsidRPr="001A3D2B">
        <w:t>80 kDa, Determination</w:t>
      </w:r>
      <w:r w:rsidR="00427468">
        <w:t xml:space="preserve"> of </w:t>
      </w:r>
      <w:r w:rsidR="003A1917">
        <w:t xml:space="preserve">the </w:t>
      </w:r>
      <w:r w:rsidRPr="001A3D2B">
        <w:t>N-terminal amino acid sequence</w:t>
      </w:r>
      <w:r w:rsidR="00427468">
        <w:t xml:space="preserve"> of </w:t>
      </w:r>
      <w:r w:rsidR="003A1917">
        <w:t xml:space="preserve">the </w:t>
      </w:r>
      <w:r w:rsidRPr="001A3D2B">
        <w:t>B subunit confirmed GTG as</w:t>
      </w:r>
      <w:r w:rsidR="003A1917">
        <w:t xml:space="preserve"> the </w:t>
      </w:r>
      <w:r w:rsidRPr="001A3D2B">
        <w:t>start codon in gyrB. Analysis</w:t>
      </w:r>
      <w:r w:rsidR="00427468">
        <w:t xml:space="preserve"> of </w:t>
      </w:r>
      <w:r w:rsidR="003A1917">
        <w:t xml:space="preserve">the </w:t>
      </w:r>
      <w:r w:rsidRPr="001A3D2B">
        <w:t>supercoiling activity</w:t>
      </w:r>
      <w:r w:rsidR="00427468">
        <w:t xml:space="preserve"> of </w:t>
      </w:r>
      <w:r w:rsidR="003A1917">
        <w:t xml:space="preserve">the </w:t>
      </w:r>
      <w:r w:rsidRPr="001A3D2B">
        <w:t>enzyme indicated that</w:t>
      </w:r>
      <w:r w:rsidR="003A1917">
        <w:t xml:space="preserve"> the </w:t>
      </w:r>
      <w:r w:rsidRPr="001A3D2B">
        <w:t>ill, smegmatis DNA gyrase was characterized by a specific activity equivalent to that</w:t>
      </w:r>
      <w:r w:rsidR="00427468">
        <w:t xml:space="preserve"> of </w:t>
      </w:r>
      <w:r w:rsidR="003A1917">
        <w:t xml:space="preserve">the </w:t>
      </w:r>
      <w:r w:rsidRPr="001A3D2B">
        <w:t>Escherichia coli DNA gyrase. Inhibition</w:t>
      </w:r>
      <w:r w:rsidR="00427468">
        <w:t xml:space="preserve"> of </w:t>
      </w:r>
      <w:r w:rsidRPr="001A3D2B">
        <w:t>this activity by 4-quinolones was investigated by determining</w:t>
      </w:r>
      <w:r w:rsidR="003A1917">
        <w:t xml:space="preserve"> the </w:t>
      </w:r>
      <w:r w:rsidRPr="001A3D2B">
        <w:t>50% inhibitory concentrations (IC(50)s)</w:t>
      </w:r>
      <w:r w:rsidR="00427468">
        <w:t xml:space="preserve"> of </w:t>
      </w:r>
      <w:r w:rsidRPr="001A3D2B">
        <w:t>nalidixic acid, ofloxacin,</w:t>
      </w:r>
      <w:r w:rsidR="005853A9">
        <w:t xml:space="preserve"> and </w:t>
      </w:r>
      <w:r w:rsidRPr="001A3D2B">
        <w:t>ciprofloxacin,</w:t>
      </w:r>
      <w:r w:rsidR="003A1917">
        <w:t xml:space="preserve"> the </w:t>
      </w:r>
      <w:r w:rsidRPr="001A3D2B">
        <w:t>results indicated that</w:t>
      </w:r>
      <w:r w:rsidR="003A1917">
        <w:t xml:space="preserve"> the </w:t>
      </w:r>
      <w:r w:rsidRPr="001A3D2B">
        <w:t>inhibitory activities</w:t>
      </w:r>
      <w:r w:rsidR="00427468">
        <w:t xml:space="preserve"> of </w:t>
      </w:r>
      <w:r w:rsidRPr="001A3D2B">
        <w:t>these drugs against</w:t>
      </w:r>
      <w:r w:rsidR="003A1917">
        <w:t xml:space="preserve"> the </w:t>
      </w:r>
      <w:r w:rsidRPr="001A3D2B">
        <w:t>M, smegmatis DNA gyrase were markedly lower than those previously reported for</w:t>
      </w:r>
      <w:r w:rsidR="003A1917">
        <w:t xml:space="preserve"> the </w:t>
      </w:r>
      <w:r w:rsidRPr="001A3D2B">
        <w:t>E, coli DNA gyrase</w:t>
      </w:r>
      <w:r w:rsidR="00A37C1D">
        <w:t>. The</w:t>
      </w:r>
      <w:r w:rsidR="003A1917">
        <w:t xml:space="preserve"> </w:t>
      </w:r>
      <w:r w:rsidRPr="001A3D2B">
        <w:t>results also suggested that</w:t>
      </w:r>
      <w:r w:rsidR="003A1917">
        <w:t xml:space="preserve"> the </w:t>
      </w:r>
      <w:r w:rsidRPr="001A3D2B">
        <w:t>higher levels</w:t>
      </w:r>
      <w:r w:rsidR="00427468">
        <w:t xml:space="preserve"> of </w:t>
      </w:r>
      <w:r w:rsidRPr="001A3D2B">
        <w:t>activity</w:t>
      </w:r>
      <w:r w:rsidR="00427468">
        <w:t xml:space="preserve"> of </w:t>
      </w:r>
      <w:r w:rsidRPr="001A3D2B">
        <w:t>ofloxacin</w:t>
      </w:r>
      <w:r w:rsidR="005853A9">
        <w:t xml:space="preserve"> and </w:t>
      </w:r>
      <w:r w:rsidRPr="001A3D2B">
        <w:t xml:space="preserve">ciprofloxacin against ill. smegmatis (MICs, 0.5 to </w:t>
      </w:r>
      <w:smartTag w:uri="urn:schemas-microsoft-com:office:smarttags" w:element="chmetcnv">
        <w:smartTagPr>
          <w:attr w:name="TCSC" w:val="0"/>
          <w:attr w:name="NumberType" w:val="1"/>
          <w:attr w:name="Negative" w:val="False"/>
          <w:attr w:name="HasSpace" w:val="False"/>
          <w:attr w:name="SourceValue" w:val="1"/>
          <w:attr w:name="UnitName" w:val="g"/>
        </w:smartTagPr>
        <w:r w:rsidRPr="001A3D2B">
          <w:t xml:space="preserve">1 </w:t>
        </w:r>
      </w:smartTag>
      <w:r w:rsidRPr="001A3D2B">
        <w:sym w:font="Symbol" w:char="F06D"/>
      </w:r>
      <w:r w:rsidRPr="001A3D2B">
        <w:t>g, ml), in contrast to that</w:t>
      </w:r>
      <w:r w:rsidR="00427468">
        <w:t xml:space="preserve"> of </w:t>
      </w:r>
      <w:r w:rsidRPr="001A3D2B">
        <w:t xml:space="preserve">nalidixic acid (MIG, </w:t>
      </w:r>
      <w:smartTag w:uri="urn:schemas-microsoft-com:office:smarttags" w:element="chmetcnv">
        <w:smartTagPr>
          <w:attr w:name="TCSC" w:val="0"/>
          <w:attr w:name="NumberType" w:val="1"/>
          <w:attr w:name="Negative" w:val="False"/>
          <w:attr w:name="HasSpace" w:val="False"/>
          <w:attr w:name="SourceValue" w:val="256"/>
          <w:attr w:name="UnitName" w:val="g"/>
        </w:smartTagPr>
        <w:r w:rsidRPr="001A3D2B">
          <w:t xml:space="preserve">256 </w:t>
        </w:r>
      </w:smartTag>
      <w:r w:rsidRPr="001A3D2B">
        <w:sym w:font="Symbol" w:char="F06D"/>
      </w:r>
      <w:r w:rsidRPr="001A3D2B">
        <w:t>g, ml), could be related to</w:t>
      </w:r>
      <w:r w:rsidR="003A1917">
        <w:t xml:space="preserve"> the </w:t>
      </w:r>
      <w:r w:rsidRPr="001A3D2B">
        <w:t>higher inhibitory activities</w:t>
      </w:r>
      <w:r w:rsidR="00427468">
        <w:t xml:space="preserve"> of </w:t>
      </w:r>
      <w:r w:rsidRPr="001A3D2B">
        <w:t>fluoroquinolones against</w:t>
      </w:r>
      <w:r w:rsidR="003A1917">
        <w:t xml:space="preserve"> the </w:t>
      </w:r>
      <w:r w:rsidRPr="001A3D2B">
        <w:t xml:space="preserve">DNA gyrase from this species (IC(50)s, 7 to </w:t>
      </w:r>
      <w:smartTag w:uri="urn:schemas-microsoft-com:office:smarttags" w:element="chmetcnv">
        <w:smartTagPr>
          <w:attr w:name="TCSC" w:val="0"/>
          <w:attr w:name="NumberType" w:val="1"/>
          <w:attr w:name="Negative" w:val="False"/>
          <w:attr w:name="HasSpace" w:val="False"/>
          <w:attr w:name="SourceValue" w:val="14"/>
          <w:attr w:name="UnitName" w:val="g"/>
        </w:smartTagPr>
        <w:r w:rsidRPr="001A3D2B">
          <w:t xml:space="preserve">14 </w:t>
        </w:r>
      </w:smartTag>
      <w:r w:rsidRPr="001A3D2B">
        <w:sym w:font="Symbol" w:char="F06D"/>
      </w:r>
      <w:r w:rsidRPr="001A3D2B">
        <w:t>g, ml) compared with that</w:t>
      </w:r>
      <w:r w:rsidR="00427468">
        <w:t xml:space="preserve"> of </w:t>
      </w:r>
      <w:r w:rsidRPr="001A3D2B">
        <w:t xml:space="preserve">nalidixic acid(IC50, </w:t>
      </w:r>
      <w:smartTag w:uri="urn:schemas-microsoft-com:office:smarttags" w:element="chmetcnv">
        <w:smartTagPr>
          <w:attr w:name="TCSC" w:val="0"/>
          <w:attr w:name="NumberType" w:val="1"/>
          <w:attr w:name="Negative" w:val="False"/>
          <w:attr w:name="HasSpace" w:val="False"/>
          <w:attr w:name="SourceValue" w:val="1400"/>
          <w:attr w:name="UnitName" w:val="g"/>
        </w:smartTagPr>
        <w:r w:rsidRPr="001A3D2B">
          <w:t xml:space="preserve">1,400 </w:t>
        </w:r>
      </w:smartTag>
      <w:r w:rsidRPr="001A3D2B">
        <w:sym w:font="Symbol" w:char="F06D"/>
      </w:r>
      <w:r w:rsidRPr="001A3D2B">
        <w:t>g, ml)</w:t>
      </w:r>
    </w:p>
    <w:p w:rsidR="003474F2" w:rsidRPr="001A3D2B" w:rsidRDefault="003474F2" w:rsidP="003474F2">
      <w:pPr>
        <w:pStyle w:val="a3"/>
      </w:pPr>
      <w:r w:rsidRPr="001A3D2B">
        <w:t xml:space="preserve">Keywords: Agents, Bacillus-Subtilis, Coli Gyrb-Gene, Determining Region, Dna Gyrase, Escherichia- Coli, Fluoroquinolones, Gyrase, </w:t>
      </w:r>
      <w:r w:rsidRPr="001A3D2B">
        <w:rPr>
          <w:i/>
          <w:iCs/>
        </w:rPr>
        <w:t>Mycobacterium tuberculosis</w:t>
      </w:r>
      <w:r w:rsidRPr="001A3D2B">
        <w:t>, Neisseria-Gonorrhoeae, Nucleotide-Sequence, Ofloxacin, Pseudomonas-Putida, Quinolone Resistance Mutations, Quinolones, Staphylococcus- Aureus, Streptomyces-Sphaeroides, Tuberculosis</w:t>
      </w:r>
    </w:p>
    <w:p w:rsidR="003474F2" w:rsidRPr="001A3D2B" w:rsidRDefault="003474F2" w:rsidP="003474F2">
      <w:pPr>
        <w:pStyle w:val="a3"/>
      </w:pPr>
      <w:r w:rsidRPr="001A3D2B">
        <w:t>Renau, T.E., Gage, J.W., Dever, J.A., Roland, G.E., Joannides, E.T., Shapiro, M.A., Sanchez, J.P., Gracheck, S.J., Domagala, J.M., Jacobs, M.R.</w:t>
      </w:r>
      <w:r w:rsidR="005853A9">
        <w:t xml:space="preserve"> and </w:t>
      </w:r>
      <w:r w:rsidRPr="001A3D2B">
        <w:t>Reynolds, R.C. (1996), Structure-activity relationships</w:t>
      </w:r>
      <w:r w:rsidR="00427468">
        <w:t xml:space="preserve"> of </w:t>
      </w:r>
      <w:r w:rsidRPr="001A3D2B">
        <w:t>quinolone agents against mycobacteria: Effect</w:t>
      </w:r>
      <w:r w:rsidR="00427468">
        <w:t xml:space="preserve"> of </w:t>
      </w:r>
      <w:r w:rsidRPr="001A3D2B">
        <w:t>structural modifications at</w:t>
      </w:r>
      <w:r w:rsidR="003A1917">
        <w:t xml:space="preserve"> the </w:t>
      </w:r>
      <w:r w:rsidRPr="001A3D2B">
        <w:t xml:space="preserve">8 position.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40</w:t>
      </w:r>
      <w:r w:rsidRPr="001A3D2B">
        <w:t xml:space="preserve"> (10), 2363-2368.</w:t>
      </w:r>
    </w:p>
    <w:p w:rsidR="003474F2" w:rsidRPr="001A3D2B" w:rsidRDefault="003474F2" w:rsidP="003474F2">
      <w:pPr>
        <w:pStyle w:val="a3"/>
      </w:pPr>
      <w:r w:rsidRPr="001A3D2B">
        <w:t xml:space="preserve">Full Text: </w:t>
      </w:r>
      <w:hyperlink r:id="rId1013" w:history="1">
        <w:r w:rsidRPr="001A3D2B">
          <w:rPr>
            <w:rStyle w:val="a5"/>
          </w:rPr>
          <w:t>1996\Ant Age Che40, 2363.pdf</w:t>
        </w:r>
      </w:hyperlink>
    </w:p>
    <w:p w:rsidR="003474F2" w:rsidRPr="001A3D2B" w:rsidRDefault="003474F2" w:rsidP="003474F2">
      <w:pPr>
        <w:pStyle w:val="a3"/>
      </w:pPr>
      <w:r w:rsidRPr="001A3D2B">
        <w:t>Abstract: A series</w:t>
      </w:r>
      <w:r w:rsidR="00427468">
        <w:t xml:space="preserve"> of </w:t>
      </w:r>
      <w:r w:rsidRPr="001A3D2B">
        <w:t>quinolones with substitutions at</w:t>
      </w:r>
      <w:r w:rsidR="003A1917">
        <w:t xml:space="preserve"> the </w:t>
      </w:r>
      <w:r w:rsidRPr="001A3D2B">
        <w:t>8 position has been prepared as part</w:t>
      </w:r>
      <w:r w:rsidR="00427468">
        <w:t xml:space="preserve"> of </w:t>
      </w:r>
      <w:r w:rsidRPr="001A3D2B">
        <w:t>a study to examine</w:t>
      </w:r>
      <w:r w:rsidR="003A1917">
        <w:t xml:space="preserve"> the </w:t>
      </w:r>
      <w:r w:rsidRPr="001A3D2B">
        <w:t>relationship between structural modifications at this position</w:t>
      </w:r>
      <w:r w:rsidR="005853A9">
        <w:t xml:space="preserve"> and </w:t>
      </w:r>
      <w:r w:rsidRPr="001A3D2B">
        <w:t>activity against mycobacteria,</w:t>
      </w:r>
      <w:r w:rsidR="003A1917">
        <w:t xml:space="preserve"> the </w:t>
      </w:r>
      <w:r w:rsidRPr="001A3D2B">
        <w:t>compounds were prepared by procedures described in</w:t>
      </w:r>
      <w:r w:rsidR="003A1917">
        <w:t xml:space="preserve"> the </w:t>
      </w:r>
      <w:r w:rsidRPr="001A3D2B">
        <w:t>literature</w:t>
      </w:r>
      <w:r w:rsidR="005853A9">
        <w:t xml:space="preserve"> and </w:t>
      </w:r>
      <w:r w:rsidRPr="001A3D2B">
        <w:t>were evaluated for their activities against Mycobacterium fortuitum</w:t>
      </w:r>
      <w:r w:rsidR="005853A9">
        <w:t xml:space="preserve"> and </w:t>
      </w:r>
      <w:r w:rsidRPr="001A3D2B">
        <w:t>Mycobacterium smegmatis</w:t>
      </w:r>
      <w:r w:rsidR="00A37C1D">
        <w:t>. The</w:t>
      </w:r>
      <w:r w:rsidR="003A1917">
        <w:t xml:space="preserve"> </w:t>
      </w:r>
      <w:r w:rsidRPr="001A3D2B">
        <w:t>activities</w:t>
      </w:r>
      <w:r w:rsidR="00427468">
        <w:t xml:space="preserve"> of </w:t>
      </w:r>
      <w:r w:rsidR="003A1917">
        <w:t xml:space="preserve">the </w:t>
      </w:r>
      <w:r w:rsidRPr="001A3D2B">
        <w:t>compounds against these two organisms were used as a measure</w:t>
      </w:r>
      <w:r w:rsidR="00427468">
        <w:t xml:space="preserve"> of </w:t>
      </w:r>
      <w:r w:rsidRPr="001A3D2B">
        <w:rPr>
          <w:i/>
          <w:iCs/>
        </w:rPr>
        <w:t xml:space="preserve">Mycobacterium </w:t>
      </w:r>
      <w:r w:rsidRPr="001A3D2B">
        <w:rPr>
          <w:i/>
          <w:iCs/>
        </w:rPr>
        <w:lastRenderedPageBreak/>
        <w:t>tuberculosis</w:t>
      </w:r>
      <w:r w:rsidRPr="001A3D2B">
        <w:t xml:space="preserve"> activity,</w:t>
      </w:r>
      <w:r w:rsidR="003A1917">
        <w:t xml:space="preserve"> the </w:t>
      </w:r>
      <w:r w:rsidRPr="001A3D2B">
        <w:t>results demonstrate that</w:t>
      </w:r>
      <w:r w:rsidR="003A1917">
        <w:t xml:space="preserve"> the </w:t>
      </w:r>
      <w:r w:rsidRPr="001A3D2B">
        <w:t>contribution</w:t>
      </w:r>
      <w:r w:rsidR="00427468">
        <w:t xml:space="preserve"> of </w:t>
      </w:r>
      <w:r w:rsidR="003A1917">
        <w:t xml:space="preserve">the </w:t>
      </w:r>
      <w:r w:rsidRPr="001A3D2B">
        <w:t>8 position to antimycobacterial activity was dependent on</w:t>
      </w:r>
      <w:r w:rsidR="003A1917">
        <w:t xml:space="preserve"> the </w:t>
      </w:r>
      <w:r w:rsidRPr="001A3D2B">
        <w:t>substituent at N-1</w:t>
      </w:r>
      <w:r w:rsidR="005853A9">
        <w:t xml:space="preserve"> and </w:t>
      </w:r>
      <w:r w:rsidRPr="001A3D2B">
        <w:t>was in</w:t>
      </w:r>
      <w:r w:rsidR="003A1917">
        <w:t xml:space="preserve"> the </w:t>
      </w:r>
      <w:r w:rsidRPr="001A3D2B">
        <w:t>order (i) COMe approximate to CBr &gt; CCl &gt; CH approximate to CF approximate to COEt &gt; N &gt; CCF3 when N-1 was cyclopropyl; (ii) N approximate to CH &gt; CF &gt; COMe when N-1 was 2,4-difluorophenyl; (iii) N greater than or equal to CH when N-1 was tert-butyl;</w:t>
      </w:r>
      <w:r w:rsidR="005853A9">
        <w:t xml:space="preserve"> and </w:t>
      </w:r>
      <w:r w:rsidRPr="001A3D2B">
        <w:t>(iv) N &gt; CH when N-1 was ethyl, In general, derivatives with piperazine substitutions at C-7 were slightly less active against mycobacteria than</w:t>
      </w:r>
      <w:r w:rsidR="003A1917">
        <w:t xml:space="preserve"> the </w:t>
      </w:r>
      <w:r w:rsidRPr="001A3D2B">
        <w:t>analogs with pyrrolidine substitutions, regardless</w:t>
      </w:r>
      <w:r w:rsidR="00427468">
        <w:t xml:space="preserve"> of </w:t>
      </w:r>
      <w:r w:rsidR="003A1917">
        <w:t xml:space="preserve">the </w:t>
      </w:r>
      <w:r w:rsidRPr="001A3D2B">
        <w:t>pattern</w:t>
      </w:r>
      <w:r w:rsidR="00427468">
        <w:t xml:space="preserve"> of </w:t>
      </w:r>
      <w:r w:rsidRPr="001A3D2B">
        <w:t>substitution at</w:t>
      </w:r>
      <w:r w:rsidR="003A1917">
        <w:t xml:space="preserve"> the </w:t>
      </w:r>
      <w:r w:rsidRPr="001A3D2B">
        <w:t>8 position, Several</w:t>
      </w:r>
      <w:r w:rsidR="00427468">
        <w:t xml:space="preserve"> of </w:t>
      </w:r>
      <w:r w:rsidR="003A1917">
        <w:t xml:space="preserve">the </w:t>
      </w:r>
      <w:r w:rsidRPr="001A3D2B">
        <w:t xml:space="preserve">best compounds were evaluated for their potential side effects as well as their activities against Mycobacterium aurum, </w:t>
      </w:r>
      <w:r w:rsidRPr="001A3D2B">
        <w:rPr>
          <w:i/>
          <w:iCs/>
        </w:rPr>
        <w:t>Mycobacterium avium</w:t>
      </w:r>
      <w:r w:rsidRPr="001A3D2B">
        <w:t>-M. intracellulare,</w:t>
      </w:r>
      <w:r w:rsidR="005853A9">
        <w:t xml:space="preserve"> and </w:t>
      </w:r>
      <w:r w:rsidRPr="001A3D2B">
        <w:t>M. tuberculosis</w:t>
      </w:r>
      <w:r w:rsidR="00A37C1D">
        <w:t>. The</w:t>
      </w:r>
      <w:r w:rsidRPr="001A3D2B">
        <w:t>se agents exhibited biological profiles similar to or better than those</w:t>
      </w:r>
      <w:r w:rsidR="00427468">
        <w:t xml:space="preserve"> of </w:t>
      </w:r>
      <w:r w:rsidR="003A1917">
        <w:t xml:space="preserve">the </w:t>
      </w:r>
      <w:r w:rsidRPr="001A3D2B">
        <w:t>positive controls ciprofloxacin</w:t>
      </w:r>
      <w:r w:rsidR="005853A9">
        <w:t xml:space="preserve"> and </w:t>
      </w:r>
      <w:r w:rsidRPr="001A3D2B">
        <w:t>sparfloxacin</w:t>
      </w:r>
    </w:p>
    <w:p w:rsidR="003474F2" w:rsidRPr="001A3D2B" w:rsidRDefault="003474F2" w:rsidP="003474F2">
      <w:pPr>
        <w:pStyle w:val="a3"/>
      </w:pPr>
      <w:r w:rsidRPr="001A3D2B">
        <w:t xml:space="preserve">Keywords: Agents, Am-1155, Antibacterial Agents, Derivatives, Drug-Resistant Tuberculosis, Fluoronaphthyridines, Fluoroquinolones, </w:t>
      </w:r>
      <w:r w:rsidRPr="001A3D2B">
        <w:rPr>
          <w:i/>
          <w:iCs/>
        </w:rPr>
        <w:t>Mycobacterium tuberculosis</w:t>
      </w:r>
      <w:r w:rsidRPr="001A3D2B">
        <w:t>, N-1, Pyridonecarboxylic Acids, Quinolones, Side-Effect Relationships, Sparfloxacin, Tuberculosis</w:t>
      </w:r>
    </w:p>
    <w:p w:rsidR="003474F2" w:rsidRPr="001A3D2B" w:rsidRDefault="003474F2" w:rsidP="003474F2">
      <w:pPr>
        <w:pStyle w:val="a3"/>
      </w:pPr>
      <w:r w:rsidRPr="001A3D2B">
        <w:t xml:space="preserve">Guillemin, </w:t>
      </w:r>
      <w:smartTag w:uri="urn:schemas-microsoft-com:office:smarttags" w:element="place">
        <w:r w:rsidRPr="001A3D2B">
          <w:t>I.</w:t>
        </w:r>
      </w:smartTag>
      <w:r w:rsidRPr="001A3D2B">
        <w:t>, Jarlier, V.</w:t>
      </w:r>
      <w:r w:rsidR="005853A9">
        <w:t xml:space="preserve"> and </w:t>
      </w:r>
      <w:r w:rsidRPr="001A3D2B">
        <w:t>Cambau, E. (1998), Correlation between quinolone susceptibility patterns</w:t>
      </w:r>
      <w:r w:rsidR="005853A9">
        <w:t xml:space="preserve"> and </w:t>
      </w:r>
      <w:r w:rsidRPr="001A3D2B">
        <w:t>sequences in</w:t>
      </w:r>
      <w:r w:rsidR="003A1917">
        <w:t xml:space="preserve"> the </w:t>
      </w:r>
      <w:r w:rsidRPr="001A3D2B">
        <w:t>A</w:t>
      </w:r>
      <w:r w:rsidR="005853A9">
        <w:t xml:space="preserve"> and </w:t>
      </w:r>
      <w:r w:rsidRPr="001A3D2B">
        <w:t>B subunits</w:t>
      </w:r>
      <w:r w:rsidR="00427468">
        <w:t xml:space="preserve"> of </w:t>
      </w:r>
      <w:r w:rsidRPr="001A3D2B">
        <w:t xml:space="preserve">DNA gyrase in mycobacteria.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42</w:t>
      </w:r>
      <w:r w:rsidRPr="001A3D2B">
        <w:t xml:space="preserve"> (8), 2084-2088.</w:t>
      </w:r>
    </w:p>
    <w:p w:rsidR="003474F2" w:rsidRPr="001A3D2B" w:rsidRDefault="003474F2" w:rsidP="003474F2">
      <w:pPr>
        <w:pStyle w:val="a3"/>
      </w:pPr>
      <w:r w:rsidRPr="001A3D2B">
        <w:t xml:space="preserve">Full Text: </w:t>
      </w:r>
      <w:hyperlink r:id="rId1014" w:history="1">
        <w:r w:rsidRPr="001A3D2B">
          <w:rPr>
            <w:rStyle w:val="a5"/>
          </w:rPr>
          <w:t>1998\Ant Age Che42, 2048.pdf</w:t>
        </w:r>
      </w:hyperlink>
    </w:p>
    <w:p w:rsidR="003474F2" w:rsidRPr="001A3D2B" w:rsidRDefault="003474F2" w:rsidP="003474F2">
      <w:pPr>
        <w:pStyle w:val="a3"/>
      </w:pPr>
      <w:r w:rsidRPr="001A3D2B">
        <w:t>Abstract:</w:t>
      </w:r>
      <w:r w:rsidR="003A1917">
        <w:t xml:space="preserve"> the </w:t>
      </w:r>
      <w:r w:rsidRPr="001A3D2B">
        <w:t>in vitro activities</w:t>
      </w:r>
      <w:r w:rsidR="00427468">
        <w:t xml:space="preserve"> of </w:t>
      </w:r>
      <w:r w:rsidRPr="001A3D2B">
        <w:t>seven quinolones</w:t>
      </w:r>
      <w:r w:rsidR="005853A9">
        <w:t xml:space="preserve"> and </w:t>
      </w:r>
      <w:r w:rsidR="003A1917">
        <w:t xml:space="preserve">the </w:t>
      </w:r>
      <w:r w:rsidRPr="001A3D2B">
        <w:t>sequences</w:t>
      </w:r>
      <w:r w:rsidR="00427468">
        <w:t xml:space="preserve"> of </w:t>
      </w:r>
      <w:r w:rsidR="003A1917">
        <w:t xml:space="preserve">the </w:t>
      </w:r>
      <w:r w:rsidRPr="001A3D2B">
        <w:t>quinolone resistance determining regions (QRDR) in</w:t>
      </w:r>
      <w:r w:rsidR="003A1917">
        <w:t xml:space="preserve"> the </w:t>
      </w:r>
      <w:r w:rsidRPr="001A3D2B">
        <w:t>A</w:t>
      </w:r>
      <w:r w:rsidR="005853A9">
        <w:t xml:space="preserve"> and </w:t>
      </w:r>
      <w:r w:rsidRPr="001A3D2B">
        <w:t>B subunits</w:t>
      </w:r>
      <w:r w:rsidR="00427468">
        <w:t xml:space="preserve"> of </w:t>
      </w:r>
      <w:r w:rsidRPr="001A3D2B">
        <w:t>DNA gyrase were determined for 14 mycobacterial species, On</w:t>
      </w:r>
      <w:r w:rsidR="003A1917">
        <w:t xml:space="preserve"> the </w:t>
      </w:r>
      <w:r w:rsidRPr="001A3D2B">
        <w:t>basis</w:t>
      </w:r>
      <w:r w:rsidR="00427468">
        <w:t xml:space="preserve"> of </w:t>
      </w:r>
      <w:r w:rsidRPr="001A3D2B">
        <w:t>quinolone activity, quinolones were arranged from that with</w:t>
      </w:r>
      <w:r w:rsidR="003A1917">
        <w:t xml:space="preserve"> the </w:t>
      </w:r>
      <w:r w:rsidRPr="001A3D2B">
        <w:t>greatest to that with</w:t>
      </w:r>
      <w:r w:rsidR="003A1917">
        <w:t xml:space="preserve"> the </w:t>
      </w:r>
      <w:r w:rsidRPr="001A3D2B">
        <w:t>least activity as follows: sparfloxacin, levofloxacin, ciprofloxacin, ofloxacin, pefloxacin, flumequine,</w:t>
      </w:r>
      <w:r w:rsidR="005853A9">
        <w:t xml:space="preserve"> and </w:t>
      </w:r>
      <w:r w:rsidRPr="001A3D2B">
        <w:t>nalidixic acid. Based on MICs,</w:t>
      </w:r>
      <w:r w:rsidR="003A1917">
        <w:t xml:space="preserve"> the </w:t>
      </w:r>
      <w:r w:rsidRPr="001A3D2B">
        <w:t>species could be organized into three groups: resistant (</w:t>
      </w:r>
      <w:r w:rsidRPr="001A3D2B">
        <w:rPr>
          <w:i/>
          <w:iCs/>
        </w:rPr>
        <w:t>Mycobacterium avium</w:t>
      </w:r>
      <w:r w:rsidRPr="001A3D2B">
        <w:t xml:space="preserve">, M. intracellulare, M. marinum, M. chelonae, M. abscessus [ofloxacin MICs, greater than or equal to </w:t>
      </w:r>
      <w:smartTag w:uri="urn:schemas-microsoft-com:office:smarttags" w:element="chmetcnv">
        <w:smartTagPr>
          <w:attr w:name="TCSC" w:val="0"/>
          <w:attr w:name="NumberType" w:val="1"/>
          <w:attr w:name="Negative" w:val="False"/>
          <w:attr w:name="HasSpace" w:val="False"/>
          <w:attr w:name="SourceValue" w:val="8"/>
          <w:attr w:name="UnitName" w:val="g"/>
        </w:smartTagPr>
        <w:r w:rsidRPr="001A3D2B">
          <w:t xml:space="preserve">8 </w:t>
        </w:r>
      </w:smartTag>
      <w:r w:rsidRPr="001A3D2B">
        <w:sym w:font="Symbol" w:char="F06D"/>
      </w:r>
      <w:r w:rsidRPr="001A3D2B">
        <w:t xml:space="preserve">g, ml]), moderately susceptible (M. tuberculosis, M. bovis BCG, M. kansasii, M. leprae, M. fortuitum third biovariant, M. smegmatis [ofloxacin MICs, 0.5 to </w:t>
      </w:r>
      <w:smartTag w:uri="urn:schemas-microsoft-com:office:smarttags" w:element="chmetcnv">
        <w:smartTagPr>
          <w:attr w:name="TCSC" w:val="0"/>
          <w:attr w:name="NumberType" w:val="1"/>
          <w:attr w:name="Negative" w:val="False"/>
          <w:attr w:name="HasSpace" w:val="False"/>
          <w:attr w:name="SourceValue" w:val="1"/>
          <w:attr w:name="UnitName" w:val="g"/>
        </w:smartTagPr>
        <w:r w:rsidRPr="001A3D2B">
          <w:t xml:space="preserve">1 </w:t>
        </w:r>
      </w:smartTag>
      <w:r w:rsidRPr="001A3D2B">
        <w:sym w:font="Symbol" w:char="F06D"/>
      </w:r>
      <w:r w:rsidRPr="001A3D2B">
        <w:t>g, ml]),</w:t>
      </w:r>
      <w:r w:rsidR="005853A9">
        <w:t xml:space="preserve"> and </w:t>
      </w:r>
      <w:r w:rsidRPr="001A3D2B">
        <w:t xml:space="preserve">susceptible (M. fortuitum, M. peregrinum, M. aurum [ofloxacin MICs, less than or equal to </w:t>
      </w:r>
      <w:smartTag w:uri="urn:schemas-microsoft-com:office:smarttags" w:element="chmetcnv">
        <w:smartTagPr>
          <w:attr w:name="TCSC" w:val="0"/>
          <w:attr w:name="NumberType" w:val="1"/>
          <w:attr w:name="Negative" w:val="False"/>
          <w:attr w:name="HasSpace" w:val="False"/>
          <w:attr w:name="SourceValue" w:val="0.25"/>
          <w:attr w:name="UnitName" w:val="g"/>
        </w:smartTagPr>
        <w:r w:rsidRPr="001A3D2B">
          <w:t xml:space="preserve">0.25 </w:t>
        </w:r>
      </w:smartTag>
      <w:r w:rsidRPr="001A3D2B">
        <w:sym w:font="Symbol" w:char="F06D"/>
      </w:r>
      <w:r w:rsidRPr="001A3D2B">
        <w:t>g, ml]). Peptide sequences</w:t>
      </w:r>
      <w:r w:rsidR="00427468">
        <w:t xml:space="preserve"> of </w:t>
      </w:r>
      <w:r w:rsidR="003A1917">
        <w:t xml:space="preserve">the </w:t>
      </w:r>
      <w:r w:rsidRPr="001A3D2B">
        <w:t>QRDR</w:t>
      </w:r>
      <w:r w:rsidR="00427468">
        <w:t xml:space="preserve"> of </w:t>
      </w:r>
      <w:r w:rsidRPr="001A3D2B">
        <w:t>GyrB were identical in all</w:t>
      </w:r>
      <w:r w:rsidR="003A1917">
        <w:t xml:space="preserve"> the </w:t>
      </w:r>
      <w:r w:rsidRPr="001A3D2B">
        <w:t>species, including</w:t>
      </w:r>
      <w:r w:rsidR="003A1917">
        <w:t xml:space="preserve"> the </w:t>
      </w:r>
      <w:r w:rsidRPr="001A3D2B">
        <w:t>amino acids at</w:t>
      </w:r>
      <w:r w:rsidR="003A1917">
        <w:t xml:space="preserve"> the </w:t>
      </w:r>
      <w:r w:rsidRPr="001A3D2B">
        <w:t>three positions known to be involved in acquired resistance to quinolone, i.e, 426 (Asp), 447 (Arg),</w:t>
      </w:r>
      <w:r w:rsidR="005853A9">
        <w:t xml:space="preserve"> and </w:t>
      </w:r>
      <w:r w:rsidRPr="001A3D2B">
        <w:t>464 (Asn) (numbering system used for Escherichia coli</w:t>
      </w:r>
      <w:r w:rsidR="00F42EAC">
        <w:t>), The</w:t>
      </w:r>
      <w:r w:rsidR="003A1917">
        <w:t xml:space="preserve"> </w:t>
      </w:r>
      <w:r w:rsidRPr="001A3D2B">
        <w:t>last two residues could be involved in</w:t>
      </w:r>
      <w:r w:rsidR="003A1917">
        <w:t xml:space="preserve"> the </w:t>
      </w:r>
      <w:r w:rsidRPr="001A3D2B">
        <w:t>overall low level</w:t>
      </w:r>
      <w:r w:rsidR="00427468">
        <w:t xml:space="preserve"> of </w:t>
      </w:r>
      <w:r w:rsidRPr="001A3D2B">
        <w:t>susceptibility</w:t>
      </w:r>
      <w:r w:rsidR="00427468">
        <w:t xml:space="preserve"> of </w:t>
      </w:r>
      <w:r w:rsidRPr="001A3D2B">
        <w:t>mycobacteria to quinolones since they differ from those found in</w:t>
      </w:r>
      <w:r w:rsidR="003A1917">
        <w:t xml:space="preserve"> the </w:t>
      </w:r>
      <w:r w:rsidRPr="001A3D2B">
        <w:t>very susceptible E. coli (Lys-447</w:t>
      </w:r>
      <w:r w:rsidR="005853A9">
        <w:t xml:space="preserve"> and </w:t>
      </w:r>
      <w:r w:rsidRPr="001A3D2B">
        <w:t>Ser-464) but are identical to those found in</w:t>
      </w:r>
      <w:r w:rsidR="003A1917">
        <w:t xml:space="preserve"> the </w:t>
      </w:r>
      <w:r w:rsidRPr="001A3D2B">
        <w:t>less susceptible Staphylococcus aureus</w:t>
      </w:r>
      <w:r w:rsidR="005853A9">
        <w:t xml:space="preserve"> and </w:t>
      </w:r>
      <w:r w:rsidRPr="001A3D2B">
        <w:rPr>
          <w:i/>
          <w:iCs/>
        </w:rPr>
        <w:t>Streptococcus pneumoniae</w:t>
      </w:r>
      <w:r w:rsidRPr="001A3D2B">
        <w:t xml:space="preserve">. </w:t>
      </w:r>
      <w:r w:rsidRPr="001A3D2B">
        <w:lastRenderedPageBreak/>
        <w:t>Peptide sequences</w:t>
      </w:r>
      <w:r w:rsidR="00427468">
        <w:t xml:space="preserve"> of </w:t>
      </w:r>
      <w:r w:rsidR="003A1917">
        <w:t xml:space="preserve">the </w:t>
      </w:r>
      <w:r w:rsidRPr="001A3D2B">
        <w:t>QRDR</w:t>
      </w:r>
      <w:r w:rsidR="00427468">
        <w:t xml:space="preserve"> of </w:t>
      </w:r>
      <w:r w:rsidRPr="001A3D2B">
        <w:t>GyrA were identical in all</w:t>
      </w:r>
      <w:r w:rsidR="003A1917">
        <w:t xml:space="preserve"> the </w:t>
      </w:r>
      <w:r w:rsidRPr="001A3D2B">
        <w:t>species, except for</w:t>
      </w:r>
      <w:r w:rsidR="003A1917">
        <w:t xml:space="preserve"> the </w:t>
      </w:r>
      <w:r w:rsidRPr="001A3D2B">
        <w:t>amino acid at position 83, which was an alanine in</w:t>
      </w:r>
      <w:r w:rsidR="003A1917">
        <w:t xml:space="preserve"> the </w:t>
      </w:r>
      <w:r w:rsidRPr="001A3D2B">
        <w:t>two less susceptible groups</w:t>
      </w:r>
      <w:r w:rsidR="005853A9">
        <w:t xml:space="preserve"> and </w:t>
      </w:r>
      <w:r w:rsidRPr="001A3D2B">
        <w:t>a serine in</w:t>
      </w:r>
      <w:r w:rsidR="003A1917">
        <w:t xml:space="preserve"> the </w:t>
      </w:r>
      <w:r w:rsidRPr="001A3D2B">
        <w:t>most susceptible one, as in E. coli, suggesting that this amino acid is involved in</w:t>
      </w:r>
      <w:r w:rsidR="003A1917">
        <w:t xml:space="preserve"> the </w:t>
      </w:r>
      <w:r w:rsidRPr="001A3D2B">
        <w:t>observed differences</w:t>
      </w:r>
      <w:r w:rsidR="00427468">
        <w:t xml:space="preserve"> of </w:t>
      </w:r>
      <w:r w:rsidRPr="001A3D2B">
        <w:t>quinolone susceptibility within</w:t>
      </w:r>
      <w:r w:rsidR="003A1917">
        <w:t xml:space="preserve"> the </w:t>
      </w:r>
      <w:r w:rsidRPr="001A3D2B">
        <w:t>Mycobacterium genus</w:t>
      </w:r>
    </w:p>
    <w:p w:rsidR="003474F2" w:rsidRPr="001A3D2B" w:rsidRDefault="003474F2" w:rsidP="003474F2">
      <w:pPr>
        <w:pStyle w:val="a3"/>
      </w:pPr>
      <w:r w:rsidRPr="001A3D2B">
        <w:t>Keywords: Ciprofloxacin, Escherichia-Coli, Fluoroquinolones, Gyrase, Gyrb Genes, Levofloxacin, Mutations, Neisseria- Gonorrhoeae, Ofloxacin, Quinolones, Resistance, Resistance-Determining Region, Smegmatis, Sparfloxacin, Tuberculosis</w:t>
      </w:r>
    </w:p>
    <w:p w:rsidR="003474F2" w:rsidRPr="001A3D2B" w:rsidRDefault="003474F2" w:rsidP="003474F2">
      <w:pPr>
        <w:pStyle w:val="a3"/>
      </w:pPr>
      <w:r w:rsidRPr="001A3D2B">
        <w:t xml:space="preserve">Oleksijew, A., Meulbroek, J., Ewing, P., Jarvis, K., Mitten, M., Paige, L., Tovcimak, A., Nukkula, M., </w:t>
      </w:r>
      <w:smartTag w:uri="urn:schemas-microsoft-com:office:smarttags" w:element="place">
        <w:r w:rsidRPr="001A3D2B">
          <w:t>Chu</w:t>
        </w:r>
      </w:smartTag>
      <w:r w:rsidRPr="001A3D2B">
        <w:t>, D.</w:t>
      </w:r>
      <w:r w:rsidR="005853A9">
        <w:t xml:space="preserve"> and </w:t>
      </w:r>
      <w:r w:rsidRPr="001A3D2B">
        <w:t>Alder, J.D. (1998), In vivo efficacy</w:t>
      </w:r>
      <w:r w:rsidR="00427468">
        <w:t xml:space="preserve"> of </w:t>
      </w:r>
      <w:r w:rsidRPr="001A3D2B">
        <w:t>ABT-255 against drug-sensitive</w:t>
      </w:r>
      <w:r w:rsidR="005853A9">
        <w:t xml:space="preserve"> and </w:t>
      </w:r>
      <w:r w:rsidRPr="001A3D2B">
        <w:t xml:space="preserve">- resistant </w:t>
      </w:r>
      <w:r w:rsidRPr="001A3D2B">
        <w:rPr>
          <w:i/>
          <w:iCs/>
        </w:rPr>
        <w:t>Mycobacterium tuberculosis</w:t>
      </w:r>
      <w:r w:rsidRPr="001A3D2B">
        <w:t xml:space="preserve"> strains.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42</w:t>
      </w:r>
      <w:r w:rsidRPr="001A3D2B">
        <w:t xml:space="preserve"> (10), 2674-2677.</w:t>
      </w:r>
    </w:p>
    <w:p w:rsidR="003474F2" w:rsidRPr="001A3D2B" w:rsidRDefault="003474F2" w:rsidP="003474F2">
      <w:pPr>
        <w:pStyle w:val="a3"/>
      </w:pPr>
      <w:r w:rsidRPr="001A3D2B">
        <w:t xml:space="preserve">Full Text: </w:t>
      </w:r>
      <w:hyperlink r:id="rId1015" w:history="1">
        <w:r w:rsidRPr="001A3D2B">
          <w:rPr>
            <w:rStyle w:val="a5"/>
          </w:rPr>
          <w:t>1998\Ant Age Che42, 2674.pdf</w:t>
        </w:r>
      </w:hyperlink>
    </w:p>
    <w:p w:rsidR="003474F2" w:rsidRPr="001A3D2B" w:rsidRDefault="003474F2" w:rsidP="003474F2">
      <w:pPr>
        <w:pStyle w:val="a3"/>
      </w:pPr>
      <w:r w:rsidRPr="001A3D2B">
        <w:t>Abstract: Current therapy for pulmonary tuberculosis involves 6 months</w:t>
      </w:r>
      <w:r w:rsidR="00427468">
        <w:t xml:space="preserve"> of </w:t>
      </w:r>
      <w:r w:rsidRPr="001A3D2B">
        <w:t>treatment with isoniazid, pyrazinamide, rifampin,</w:t>
      </w:r>
      <w:r w:rsidR="005853A9">
        <w:t xml:space="preserve"> and </w:t>
      </w:r>
      <w:r w:rsidRPr="001A3D2B">
        <w:t>ethambutol or streptomycin for reliable treatment efficacy</w:t>
      </w:r>
      <w:r w:rsidR="00A37C1D">
        <w:t>. The</w:t>
      </w:r>
      <w:r w:rsidR="003A1917">
        <w:t xml:space="preserve"> </w:t>
      </w:r>
      <w:r w:rsidRPr="001A3D2B">
        <w:t>long treatment period increases</w:t>
      </w:r>
      <w:r w:rsidR="003A1917">
        <w:t xml:space="preserve"> the </w:t>
      </w:r>
      <w:r w:rsidRPr="001A3D2B">
        <w:t>probability</w:t>
      </w:r>
      <w:r w:rsidR="00427468">
        <w:t xml:space="preserve"> of </w:t>
      </w:r>
      <w:r w:rsidRPr="001A3D2B">
        <w:t>noncompliance, leading to</w:t>
      </w:r>
      <w:r w:rsidR="003A1917">
        <w:t xml:space="preserve"> the </w:t>
      </w:r>
      <w:r w:rsidRPr="001A3D2B">
        <w:t>generation</w:t>
      </w:r>
      <w:r w:rsidR="00427468">
        <w:t xml:space="preserve"> of </w:t>
      </w:r>
      <w:r w:rsidRPr="001A3D2B">
        <w:t>multidrug-resistant isolates</w:t>
      </w:r>
      <w:r w:rsidR="00427468">
        <w:t xml:space="preserve"> of </w:t>
      </w:r>
      <w:r w:rsidRPr="001A3D2B">
        <w:rPr>
          <w:i/>
          <w:iCs/>
        </w:rPr>
        <w:t>Mycobacterium tuberculosis</w:t>
      </w:r>
      <w:r w:rsidRPr="001A3D2B">
        <w:t>. A treatment option that significantly shortened</w:t>
      </w:r>
      <w:r w:rsidR="003A1917">
        <w:t xml:space="preserve"> the </w:t>
      </w:r>
      <w:r w:rsidRPr="001A3D2B">
        <w:t>course</w:t>
      </w:r>
      <w:r w:rsidR="00427468">
        <w:t xml:space="preserve"> of </w:t>
      </w:r>
      <w:r w:rsidRPr="001A3D2B">
        <w:t>therapy, or a new class</w:t>
      </w:r>
      <w:r w:rsidR="00427468">
        <w:t xml:space="preserve"> of </w:t>
      </w:r>
      <w:r w:rsidRPr="001A3D2B">
        <w:t>antibacterial effective against drug-resistant M. tuberculosis would be</w:t>
      </w:r>
      <w:r w:rsidR="00427468">
        <w:t xml:space="preserve"> of </w:t>
      </w:r>
      <w:r w:rsidRPr="001A3D2B">
        <w:t>value, ABT-255 is a novel 2-pyridone antibacterial agent which demonstrates in vitro potency</w:t>
      </w:r>
      <w:r w:rsidR="005853A9">
        <w:t xml:space="preserve"> and </w:t>
      </w:r>
      <w:r w:rsidRPr="001A3D2B">
        <w:t>in vivo efficacy against drug-susceptible</w:t>
      </w:r>
      <w:r w:rsidR="005853A9">
        <w:t xml:space="preserve"> and </w:t>
      </w:r>
      <w:r w:rsidRPr="001A3D2B">
        <w:t>drug-resistant M. tuberculosis strains. By</w:t>
      </w:r>
      <w:r w:rsidR="003A1917">
        <w:t xml:space="preserve"> the </w:t>
      </w:r>
      <w:r w:rsidRPr="001A3D2B">
        <w:t>Alamar blue reduction technique,</w:t>
      </w:r>
      <w:r w:rsidR="003A1917">
        <w:t xml:space="preserve"> the </w:t>
      </w:r>
      <w:r w:rsidRPr="001A3D2B">
        <w:t>MIC</w:t>
      </w:r>
      <w:r w:rsidR="00427468">
        <w:t xml:space="preserve"> of </w:t>
      </w:r>
      <w:r w:rsidRPr="001A3D2B">
        <w:t>ABT-255 against susceptible strains</w:t>
      </w:r>
      <w:r w:rsidR="00427468">
        <w:t xml:space="preserve"> of </w:t>
      </w:r>
      <w:r w:rsidRPr="001A3D2B">
        <w:t xml:space="preserve">M. tuberculosis ranged from 0.016 to </w:t>
      </w:r>
      <w:smartTag w:uri="urn:schemas-microsoft-com:office:smarttags" w:element="chmetcnv">
        <w:smartTagPr>
          <w:attr w:name="TCSC" w:val="0"/>
          <w:attr w:name="NumberType" w:val="1"/>
          <w:attr w:name="Negative" w:val="False"/>
          <w:attr w:name="HasSpace" w:val="False"/>
          <w:attr w:name="SourceValue" w:val="0.031"/>
          <w:attr w:name="UnitName" w:val="g"/>
        </w:smartTagPr>
        <w:r w:rsidRPr="001A3D2B">
          <w:t xml:space="preserve">0.031 </w:t>
        </w:r>
      </w:smartTag>
      <w:r w:rsidRPr="001A3D2B">
        <w:sym w:font="Symbol" w:char="F06D"/>
      </w:r>
      <w:r w:rsidRPr="001A3D2B">
        <w:t>g, ml,</w:t>
      </w:r>
      <w:r w:rsidR="003A1917">
        <w:t xml:space="preserve"> the </w:t>
      </w:r>
      <w:r w:rsidRPr="001A3D2B">
        <w:t>MIC</w:t>
      </w:r>
      <w:r w:rsidR="00427468">
        <w:t xml:space="preserve"> of </w:t>
      </w:r>
      <w:r w:rsidRPr="001A3D2B">
        <w:t xml:space="preserve">ABT-255 against rifampin- or ethambutol-resistant nl. tuberculosis isolates was </w:t>
      </w:r>
      <w:smartTag w:uri="urn:schemas-microsoft-com:office:smarttags" w:element="chmetcnv">
        <w:smartTagPr>
          <w:attr w:name="TCSC" w:val="0"/>
          <w:attr w:name="NumberType" w:val="1"/>
          <w:attr w:name="Negative" w:val="False"/>
          <w:attr w:name="HasSpace" w:val="False"/>
          <w:attr w:name="SourceValue" w:val="0.031"/>
          <w:attr w:name="UnitName" w:val="g"/>
        </w:smartTagPr>
        <w:r w:rsidRPr="001A3D2B">
          <w:t xml:space="preserve">0.031 </w:t>
        </w:r>
      </w:smartTag>
      <w:r w:rsidRPr="001A3D2B">
        <w:sym w:font="Symbol" w:char="F06D"/>
      </w:r>
      <w:r w:rsidRPr="001A3D2B">
        <w:t>g, ml, In a murine model</w:t>
      </w:r>
      <w:r w:rsidR="00427468">
        <w:t xml:space="preserve"> of </w:t>
      </w:r>
      <w:r w:rsidRPr="001A3D2B">
        <w:t>pulmonary tuberculosis, 4 weeks</w:t>
      </w:r>
      <w:r w:rsidR="00427468">
        <w:t xml:space="preserve"> of </w:t>
      </w:r>
      <w:r w:rsidRPr="001A3D2B">
        <w:t>oral ABT-255 therapy produced a 2- to 5-log(10) reduction in viable drug-susceptible Rt tuberculosis counts from lung tissue. Against drug-resistant strains</w:t>
      </w:r>
      <w:r w:rsidR="00427468">
        <w:t xml:space="preserve"> of </w:t>
      </w:r>
      <w:r w:rsidRPr="001A3D2B">
        <w:t>RI. tuberculosis. ABT-255 produced a 2- to 3-log(10) reduction in viable bacterial counts from lung tissue. ABT-255 is a promising new antibacterial agent with activity against M. tuberculosis</w:t>
      </w:r>
    </w:p>
    <w:p w:rsidR="003474F2" w:rsidRPr="001A3D2B" w:rsidRDefault="003474F2" w:rsidP="003474F2">
      <w:pPr>
        <w:pStyle w:val="a3"/>
      </w:pPr>
      <w:r w:rsidRPr="001A3D2B">
        <w:t xml:space="preserve">Keywords: 2-Pyridones, Abt-719, Antibacterial Agents, Fluoroquinolone, In-Vitro, Levofloxacin, </w:t>
      </w:r>
      <w:r w:rsidRPr="001A3D2B">
        <w:rPr>
          <w:i/>
          <w:iCs/>
        </w:rPr>
        <w:t>Mycobacterium tuberculosis</w:t>
      </w:r>
      <w:r w:rsidRPr="001A3D2B">
        <w:t>, Quinolone, Tuberculosis</w:t>
      </w:r>
    </w:p>
    <w:p w:rsidR="003474F2" w:rsidRPr="001A3D2B" w:rsidRDefault="003474F2" w:rsidP="003474F2">
      <w:pPr>
        <w:pStyle w:val="a3"/>
      </w:pPr>
      <w:r w:rsidRPr="001A3D2B">
        <w:t>Zhao, B.Y., Pine, R., Domagala, J.</w:t>
      </w:r>
      <w:r w:rsidR="005853A9">
        <w:t xml:space="preserve"> and </w:t>
      </w:r>
      <w:r w:rsidRPr="001A3D2B">
        <w:t>Drlica, K. (1999), Fluoroquinolone action against clinical isolates</w:t>
      </w:r>
      <w:r w:rsidR="00427468">
        <w:t xml:space="preserve"> of </w:t>
      </w:r>
      <w:r w:rsidRPr="001A3D2B">
        <w:rPr>
          <w:i/>
          <w:iCs/>
        </w:rPr>
        <w:t>Mycobacterium tuberculosis</w:t>
      </w:r>
      <w:r w:rsidRPr="001A3D2B">
        <w:t>: Effects</w:t>
      </w:r>
      <w:r w:rsidR="00427468">
        <w:t xml:space="preserve"> of </w:t>
      </w:r>
      <w:r w:rsidRPr="001A3D2B">
        <w:t>a C-8 methoxyl group on survival in liquid media</w:t>
      </w:r>
      <w:r w:rsidR="005853A9">
        <w:t xml:space="preserve"> and </w:t>
      </w:r>
      <w:r w:rsidRPr="001A3D2B">
        <w:t xml:space="preserve">in human macrophages.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43</w:t>
      </w:r>
      <w:r w:rsidRPr="001A3D2B">
        <w:t xml:space="preserve"> (3), 661-666.</w:t>
      </w:r>
    </w:p>
    <w:p w:rsidR="003474F2" w:rsidRPr="001A3D2B" w:rsidRDefault="003474F2" w:rsidP="003474F2">
      <w:pPr>
        <w:pStyle w:val="a3"/>
      </w:pPr>
      <w:r w:rsidRPr="001A3D2B">
        <w:t xml:space="preserve">Full Text: </w:t>
      </w:r>
      <w:hyperlink r:id="rId1016" w:history="1">
        <w:r w:rsidRPr="001A3D2B">
          <w:rPr>
            <w:rStyle w:val="a5"/>
          </w:rPr>
          <w:t>1999\Ant Age Che43, 661.pdf</w:t>
        </w:r>
      </w:hyperlink>
    </w:p>
    <w:p w:rsidR="003474F2" w:rsidRPr="001A3D2B" w:rsidRDefault="003474F2" w:rsidP="003474F2">
      <w:pPr>
        <w:pStyle w:val="a3"/>
      </w:pPr>
      <w:r w:rsidRPr="001A3D2B">
        <w:t>Abstract: When</w:t>
      </w:r>
      <w:r w:rsidR="003A1917">
        <w:t xml:space="preserve"> the </w:t>
      </w:r>
      <w:r w:rsidRPr="001A3D2B">
        <w:t>lethal action</w:t>
      </w:r>
      <w:r w:rsidR="00427468">
        <w:t xml:space="preserve"> of </w:t>
      </w:r>
      <w:r w:rsidRPr="001A3D2B">
        <w:t>a C-8 methoxyl fluoroqninolone against clinical isolates</w:t>
      </w:r>
      <w:r w:rsidR="00427468">
        <w:t xml:space="preserve"> of </w:t>
      </w:r>
      <w:r w:rsidRPr="001A3D2B">
        <w:rPr>
          <w:i/>
          <w:iCs/>
        </w:rPr>
        <w:t>Mycobacterium tuberculosis</w:t>
      </w:r>
      <w:r w:rsidRPr="001A3D2B">
        <w:t xml:space="preserve"> in liquid medium was measured,</w:t>
      </w:r>
      <w:r w:rsidR="003A1917">
        <w:t xml:space="preserve"> the </w:t>
      </w:r>
      <w:r w:rsidRPr="001A3D2B">
        <w:lastRenderedPageBreak/>
        <w:t>compound was found to be three to four times more effective (as determined by measuring</w:t>
      </w:r>
      <w:r w:rsidR="003A1917">
        <w:t xml:space="preserve"> the </w:t>
      </w:r>
      <w:r w:rsidRPr="001A3D2B">
        <w:t>90% lethal dose) than a C-8-H control fluoroquinolone or ciprofloxacin against cells having a wild-type gyrA (gyrase) gene. Against ciprofloxacin-resistant strains,</w:t>
      </w:r>
      <w:r w:rsidR="003A1917">
        <w:t xml:space="preserve"> the </w:t>
      </w:r>
      <w:r w:rsidRPr="001A3D2B">
        <w:t>C-8 methoxyl group enhanced lethality when alanine was replaced by valine at position 90</w:t>
      </w:r>
      <w:r w:rsidR="00427468">
        <w:t xml:space="preserve"> of </w:t>
      </w:r>
      <w:r w:rsidR="003A1917">
        <w:t xml:space="preserve">the </w:t>
      </w:r>
      <w:r w:rsidRPr="001A3D2B">
        <w:t>GyrA protein or when aspartic acid 94 was replaced by glycine, histidine, or tyrosine. During infection</w:t>
      </w:r>
      <w:r w:rsidR="00427468">
        <w:t xml:space="preserve"> of </w:t>
      </w:r>
      <w:r w:rsidRPr="001A3D2B">
        <w:t>a human macrophage model by wild-type Mycobacterium bovis BCG,</w:t>
      </w:r>
      <w:r w:rsidR="003A1917">
        <w:t xml:space="preserve"> the </w:t>
      </w:r>
      <w:r w:rsidRPr="001A3D2B">
        <w:t>C-8 methoxyl group lowered survival 20- to 100-fold compared with</w:t>
      </w:r>
      <w:r w:rsidR="003A1917">
        <w:t xml:space="preserve"> the </w:t>
      </w:r>
      <w:r w:rsidRPr="001A3D2B">
        <w:t>same concentration</w:t>
      </w:r>
      <w:r w:rsidR="00427468">
        <w:t xml:space="preserve"> of </w:t>
      </w:r>
      <w:r w:rsidRPr="001A3D2B">
        <w:t>a C-8-H fluoroquinolone</w:t>
      </w:r>
      <w:r w:rsidR="00A37C1D">
        <w:t>. The</w:t>
      </w:r>
      <w:r w:rsidR="003A1917">
        <w:t xml:space="preserve"> </w:t>
      </w:r>
      <w:r w:rsidRPr="001A3D2B">
        <w:t>C-8 methoxyl fluoroquinolone was also more effective than ciprofloxacin against a gyrA Asn94 mutant</w:t>
      </w:r>
      <w:r w:rsidR="00427468">
        <w:t xml:space="preserve"> of </w:t>
      </w:r>
      <w:r w:rsidRPr="001A3D2B">
        <w:t>M. bovis BCG. In an M. tuberculosis-macrophage system</w:t>
      </w:r>
      <w:r w:rsidR="003A1917">
        <w:t xml:space="preserve"> the </w:t>
      </w:r>
      <w:r w:rsidRPr="001A3D2B">
        <w:t>C-8 methoxyl group improved fluoroquinolone action against both quinolone-susceptible</w:t>
      </w:r>
      <w:r w:rsidR="005853A9">
        <w:t xml:space="preserve"> and </w:t>
      </w:r>
      <w:r w:rsidRPr="001A3D2B">
        <w:t>quinolone-resistant clinical isolates. Thus, a C-8 methoxyl group enhances</w:t>
      </w:r>
      <w:r w:rsidR="003A1917">
        <w:t xml:space="preserve"> the </w:t>
      </w:r>
      <w:r w:rsidRPr="001A3D2B">
        <w:t>bactericidal activity</w:t>
      </w:r>
      <w:r w:rsidR="00427468">
        <w:t xml:space="preserve"> of </w:t>
      </w:r>
      <w:r w:rsidRPr="001A3D2B">
        <w:t>quinolones with N1-cyclopropyl substitutions; these data encourage further refinement</w:t>
      </w:r>
      <w:r w:rsidR="00427468">
        <w:t xml:space="preserve"> of </w:t>
      </w:r>
      <w:r w:rsidRPr="001A3D2B">
        <w:t>fluoroquinolones as antituberculosis agents</w:t>
      </w:r>
    </w:p>
    <w:p w:rsidR="003474F2" w:rsidRPr="001A3D2B" w:rsidRDefault="003474F2" w:rsidP="003474F2">
      <w:pPr>
        <w:pStyle w:val="a3"/>
      </w:pPr>
      <w:r w:rsidRPr="001A3D2B">
        <w:t xml:space="preserve">Keywords: Bactericidal Activity, DNA Gyrase, Emergence, Escherichia-Coli, Fluoroquinolones, Gyrase, Human Polymorphonuclear Leukocytes, Macrophages, Mutations, </w:t>
      </w:r>
      <w:r w:rsidRPr="001A3D2B">
        <w:rPr>
          <w:i/>
          <w:iCs/>
        </w:rPr>
        <w:t>Mycobacterium tuberculosis</w:t>
      </w:r>
      <w:r w:rsidRPr="001A3D2B">
        <w:t>, New-York-City, Ofloxacin, Quinolones, Resistant Tuberculosis, Topoisomerase- Iv, Tuberculosis</w:t>
      </w:r>
    </w:p>
    <w:p w:rsidR="003474F2" w:rsidRPr="001A3D2B" w:rsidRDefault="003474F2" w:rsidP="003474F2">
      <w:pPr>
        <w:pStyle w:val="a3"/>
      </w:pPr>
      <w:r w:rsidRPr="001A3D2B">
        <w:t>Takahata, M., Mitsuyama, J., Yamashiro, Y., Yonezawa, M., Araki, H., Todo, Y., Minami, S., Watanabe, Y.</w:t>
      </w:r>
      <w:r w:rsidR="005853A9">
        <w:t xml:space="preserve"> and </w:t>
      </w:r>
      <w:r w:rsidRPr="001A3D2B">
        <w:t>Narita, H. (1999), In vitro</w:t>
      </w:r>
      <w:r w:rsidR="005853A9">
        <w:t xml:space="preserve"> and </w:t>
      </w:r>
      <w:r w:rsidRPr="001A3D2B">
        <w:t>in vivo antimicrobial activities</w:t>
      </w:r>
      <w:r w:rsidR="00427468">
        <w:t xml:space="preserve"> of </w:t>
      </w:r>
      <w:r w:rsidRPr="001A3D2B">
        <w:t xml:space="preserve">T-3811ME, a novel des-F(6)-quinolone.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43</w:t>
      </w:r>
      <w:r w:rsidRPr="001A3D2B">
        <w:t xml:space="preserve"> (5), 1077-1084.</w:t>
      </w:r>
    </w:p>
    <w:p w:rsidR="003474F2" w:rsidRPr="001A3D2B" w:rsidRDefault="003474F2" w:rsidP="003474F2">
      <w:pPr>
        <w:pStyle w:val="a3"/>
      </w:pPr>
      <w:r w:rsidRPr="001A3D2B">
        <w:t xml:space="preserve">Full Text: </w:t>
      </w:r>
      <w:hyperlink r:id="rId1017" w:history="1">
        <w:r w:rsidRPr="001A3D2B">
          <w:rPr>
            <w:rStyle w:val="a5"/>
          </w:rPr>
          <w:t>1999\Ant Age Che43, 1077.pdf</w:t>
        </w:r>
      </w:hyperlink>
    </w:p>
    <w:p w:rsidR="003474F2" w:rsidRPr="001A3D2B" w:rsidRDefault="003474F2" w:rsidP="003474F2">
      <w:pPr>
        <w:pStyle w:val="a3"/>
      </w:pPr>
      <w:r w:rsidRPr="001A3D2B">
        <w:t>Abstract:</w:t>
      </w:r>
      <w:r w:rsidR="003A1917">
        <w:t xml:space="preserve"> the </w:t>
      </w:r>
      <w:r w:rsidRPr="001A3D2B">
        <w:t>in vitro</w:t>
      </w:r>
      <w:r w:rsidR="005853A9">
        <w:t xml:space="preserve"> and </w:t>
      </w:r>
      <w:r w:rsidRPr="001A3D2B">
        <w:t>in vivo activities</w:t>
      </w:r>
      <w:r w:rsidR="00427468">
        <w:t xml:space="preserve"> of </w:t>
      </w:r>
      <w:r w:rsidRPr="001A3D2B">
        <w:t>T-3811ME, a novel des- F(6)-quinolone, were evaluated in comparison with those</w:t>
      </w:r>
      <w:r w:rsidR="00427468">
        <w:t xml:space="preserve"> of </w:t>
      </w:r>
      <w:r w:rsidRPr="001A3D2B">
        <w:t>some fluoroquinolones, including a newly developed one, trovafloxacin. T-3811, a free base</w:t>
      </w:r>
      <w:r w:rsidR="00427468">
        <w:t xml:space="preserve"> of </w:t>
      </w:r>
      <w:r w:rsidRPr="001A3D2B">
        <w:t>T-3811ME, showed a wide range</w:t>
      </w:r>
      <w:r w:rsidR="00427468">
        <w:t xml:space="preserve"> of </w:t>
      </w:r>
      <w:r w:rsidRPr="001A3D2B">
        <w:t>antimicrobial spectra, including activities against Chlamydia trachomatis, Mycoplasma pneumoniae,</w:t>
      </w:r>
      <w:r w:rsidR="005853A9">
        <w:t xml:space="preserve"> and </w:t>
      </w:r>
      <w:r w:rsidRPr="001A3D2B">
        <w:rPr>
          <w:i/>
          <w:iCs/>
        </w:rPr>
        <w:t>Mycobacterium tuberculosis</w:t>
      </w:r>
      <w:r w:rsidRPr="001A3D2B">
        <w:t>. In particular, T-3811 exhibited potent activity against various gram-positive cocci, with MICs at which 90%</w:t>
      </w:r>
      <w:r w:rsidR="00427468">
        <w:t xml:space="preserve"> of </w:t>
      </w:r>
      <w:r w:rsidR="003A1917">
        <w:t xml:space="preserve">the </w:t>
      </w:r>
      <w:r w:rsidRPr="001A3D2B">
        <w:t>isolates are inhibited (MIC(90)s)</w:t>
      </w:r>
      <w:r w:rsidR="00427468">
        <w:t xml:space="preserve"> of </w:t>
      </w:r>
      <w:r w:rsidRPr="001A3D2B">
        <w:t xml:space="preserve">0.025 to </w:t>
      </w:r>
      <w:smartTag w:uri="urn:schemas-microsoft-com:office:smarttags" w:element="chmetcnv">
        <w:smartTagPr>
          <w:attr w:name="TCSC" w:val="0"/>
          <w:attr w:name="NumberType" w:val="1"/>
          <w:attr w:name="Negative" w:val="False"/>
          <w:attr w:name="HasSpace" w:val="False"/>
          <w:attr w:name="SourceValue" w:val="6.25"/>
          <w:attr w:name="UnitName" w:val="g"/>
        </w:smartTagPr>
        <w:r w:rsidRPr="001A3D2B">
          <w:t xml:space="preserve">6.25 </w:t>
        </w:r>
      </w:smartTag>
      <w:r w:rsidRPr="001A3D2B">
        <w:sym w:font="Symbol" w:char="F06D"/>
      </w:r>
      <w:r w:rsidRPr="001A3D2B">
        <w:t>g, ml. T-3811 was</w:t>
      </w:r>
      <w:r w:rsidR="003A1917">
        <w:t xml:space="preserve"> the </w:t>
      </w:r>
      <w:r w:rsidRPr="001A3D2B">
        <w:t>most active agent against methicillin-resistant Staphylococcus aureus</w:t>
      </w:r>
      <w:r w:rsidR="005853A9">
        <w:t xml:space="preserve"> and </w:t>
      </w:r>
      <w:r w:rsidRPr="001A3D2B">
        <w:t xml:space="preserve">streptococci, including penicillin- resistant </w:t>
      </w:r>
      <w:r w:rsidRPr="001A3D2B">
        <w:rPr>
          <w:i/>
          <w:iCs/>
        </w:rPr>
        <w:t>Streptococcus pneumoniae</w:t>
      </w:r>
      <w:r w:rsidRPr="001A3D2B">
        <w:t xml:space="preserve"> (PRSP). T-3811 also showed potent activity against quinolone-resistant gram-positive cocci with GyrA</w:t>
      </w:r>
      <w:r w:rsidR="005853A9">
        <w:t xml:space="preserve"> and </w:t>
      </w:r>
      <w:r w:rsidRPr="001A3D2B">
        <w:t>ParC (GrlA) mutations</w:t>
      </w:r>
      <w:r w:rsidR="00A37C1D">
        <w:t>. The</w:t>
      </w:r>
      <w:r w:rsidR="003A1917">
        <w:t xml:space="preserve"> </w:t>
      </w:r>
      <w:r w:rsidRPr="001A3D2B">
        <w:t>activity</w:t>
      </w:r>
      <w:r w:rsidR="00427468">
        <w:t xml:space="preserve"> of </w:t>
      </w:r>
      <w:r w:rsidRPr="001A3D2B">
        <w:t>T-3811 against members</w:t>
      </w:r>
      <w:r w:rsidR="00427468">
        <w:t xml:space="preserve"> of </w:t>
      </w:r>
      <w:r w:rsidR="003A1917">
        <w:t xml:space="preserve">the </w:t>
      </w:r>
      <w:r w:rsidRPr="001A3D2B">
        <w:t>family Enterobacteriaceae</w:t>
      </w:r>
      <w:r w:rsidR="005853A9">
        <w:t xml:space="preserve"> and </w:t>
      </w:r>
      <w:r w:rsidRPr="001A3D2B">
        <w:t>nonfermentative gram-negative rods was comparable to that</w:t>
      </w:r>
      <w:r w:rsidR="00427468">
        <w:t xml:space="preserve"> of </w:t>
      </w:r>
      <w:r w:rsidRPr="001A3D2B">
        <w:t>trovafloxacin. In common with other fluoroquinolones, T-3811 was highly active against Haemophilus influenzae, Moraxella catarrhalis,</w:t>
      </w:r>
      <w:r w:rsidR="005853A9">
        <w:t xml:space="preserve"> and </w:t>
      </w:r>
      <w:r w:rsidRPr="001A3D2B">
        <w:lastRenderedPageBreak/>
        <w:t>Legionella sp., with MIC(90)s</w:t>
      </w:r>
      <w:r w:rsidR="00427468">
        <w:t xml:space="preserve"> of </w:t>
      </w:r>
      <w:r w:rsidRPr="001A3D2B">
        <w:t xml:space="preserve">0.0125 to </w:t>
      </w:r>
      <w:smartTag w:uri="urn:schemas-microsoft-com:office:smarttags" w:element="chmetcnv">
        <w:smartTagPr>
          <w:attr w:name="TCSC" w:val="0"/>
          <w:attr w:name="NumberType" w:val="1"/>
          <w:attr w:name="Negative" w:val="False"/>
          <w:attr w:name="HasSpace" w:val="False"/>
          <w:attr w:name="SourceValue" w:val="0.1"/>
          <w:attr w:name="UnitName" w:val="g"/>
        </w:smartTagPr>
        <w:r w:rsidRPr="001A3D2B">
          <w:t xml:space="preserve">0.1 </w:t>
        </w:r>
      </w:smartTag>
      <w:r w:rsidRPr="001A3D2B">
        <w:sym w:font="Symbol" w:char="F06D"/>
      </w:r>
      <w:r w:rsidRPr="001A3D2B">
        <w:t>g, ml. T-3811 showed a potent activity against anaerobic bacteria, such as Bacteroides fragilis</w:t>
      </w:r>
      <w:r w:rsidR="005853A9">
        <w:t xml:space="preserve"> and </w:t>
      </w:r>
      <w:r w:rsidRPr="001A3D2B">
        <w:t>Clostridium difficile. T-3811 was</w:t>
      </w:r>
      <w:r w:rsidR="003A1917">
        <w:t xml:space="preserve"> the </w:t>
      </w:r>
      <w:r w:rsidRPr="001A3D2B">
        <w:t xml:space="preserve">most active agent against C. trachomatis (MIC, </w:t>
      </w:r>
      <w:smartTag w:uri="urn:schemas-microsoft-com:office:smarttags" w:element="chmetcnv">
        <w:smartTagPr>
          <w:attr w:name="TCSC" w:val="0"/>
          <w:attr w:name="NumberType" w:val="1"/>
          <w:attr w:name="Negative" w:val="False"/>
          <w:attr w:name="HasSpace" w:val="False"/>
          <w:attr w:name="SourceValue" w:val="0.008"/>
          <w:attr w:name="UnitName" w:val="g"/>
        </w:smartTagPr>
        <w:r w:rsidRPr="001A3D2B">
          <w:t xml:space="preserve">0.008 </w:t>
        </w:r>
      </w:smartTag>
      <w:r w:rsidRPr="001A3D2B">
        <w:sym w:font="Symbol" w:char="F06D"/>
      </w:r>
      <w:r w:rsidRPr="001A3D2B">
        <w:t>g, ml)</w:t>
      </w:r>
      <w:r w:rsidR="005853A9">
        <w:t xml:space="preserve"> and </w:t>
      </w:r>
      <w:r w:rsidRPr="001A3D2B">
        <w:t xml:space="preserve">M. pneumoniae (MIC90, </w:t>
      </w:r>
      <w:smartTag w:uri="urn:schemas-microsoft-com:office:smarttags" w:element="chmetcnv">
        <w:smartTagPr>
          <w:attr w:name="TCSC" w:val="0"/>
          <w:attr w:name="NumberType" w:val="1"/>
          <w:attr w:name="Negative" w:val="False"/>
          <w:attr w:name="HasSpace" w:val="False"/>
          <w:attr w:name="SourceValue" w:val="0.0313"/>
          <w:attr w:name="UnitName" w:val="g"/>
        </w:smartTagPr>
        <w:r w:rsidRPr="001A3D2B">
          <w:t xml:space="preserve">0.0313 </w:t>
        </w:r>
      </w:smartTag>
      <w:r w:rsidRPr="001A3D2B">
        <w:sym w:font="Symbol" w:char="F06D"/>
      </w:r>
      <w:r w:rsidRPr="001A3D2B">
        <w:t>g, ml)</w:t>
      </w:r>
      <w:r w:rsidR="00A37C1D">
        <w:t>. The</w:t>
      </w:r>
      <w:r w:rsidR="003A1917">
        <w:t xml:space="preserve"> </w:t>
      </w:r>
      <w:r w:rsidRPr="001A3D2B">
        <w:t>activity</w:t>
      </w:r>
      <w:r w:rsidR="00427468">
        <w:t xml:space="preserve"> of </w:t>
      </w:r>
      <w:r w:rsidRPr="001A3D2B">
        <w:t xml:space="preserve">T-3811 against M. tuberculosis (MIC90, </w:t>
      </w:r>
      <w:smartTag w:uri="urn:schemas-microsoft-com:office:smarttags" w:element="chmetcnv">
        <w:smartTagPr>
          <w:attr w:name="TCSC" w:val="0"/>
          <w:attr w:name="NumberType" w:val="1"/>
          <w:attr w:name="Negative" w:val="False"/>
          <w:attr w:name="HasSpace" w:val="False"/>
          <w:attr w:name="SourceValue" w:val="0.0625"/>
          <w:attr w:name="UnitName" w:val="g"/>
        </w:smartTagPr>
        <w:r w:rsidRPr="001A3D2B">
          <w:t xml:space="preserve">0.0625 </w:t>
        </w:r>
      </w:smartTag>
      <w:r w:rsidRPr="001A3D2B">
        <w:sym w:font="Symbol" w:char="F06D"/>
      </w:r>
      <w:r w:rsidRPr="001A3D2B">
        <w:t>g, ml) was potent</w:t>
      </w:r>
      <w:r w:rsidR="005853A9">
        <w:t xml:space="preserve"> and </w:t>
      </w:r>
      <w:r w:rsidRPr="001A3D2B">
        <w:t>superior to that</w:t>
      </w:r>
      <w:r w:rsidR="00427468">
        <w:t xml:space="preserve"> of </w:t>
      </w:r>
      <w:r w:rsidRPr="001A3D2B">
        <w:t>trovafloxacin, In experimental systemic infection with a GrlA mutant</w:t>
      </w:r>
      <w:r w:rsidR="00427468">
        <w:t xml:space="preserve"> of </w:t>
      </w:r>
      <w:r w:rsidRPr="001A3D2B">
        <w:t>S. aureus</w:t>
      </w:r>
      <w:r w:rsidR="005853A9">
        <w:t xml:space="preserve"> and </w:t>
      </w:r>
      <w:r w:rsidRPr="001A3D2B">
        <w:t>experimental pneumonia with PRSP in mice, T-3811ME showed excellent therapeutic efficacy in oral</w:t>
      </w:r>
      <w:r w:rsidR="005853A9">
        <w:t xml:space="preserve"> and </w:t>
      </w:r>
      <w:r w:rsidRPr="001A3D2B">
        <w:t>subcutaneous administrations</w:t>
      </w:r>
    </w:p>
    <w:p w:rsidR="003474F2" w:rsidRPr="001A3D2B" w:rsidRDefault="003474F2" w:rsidP="003474F2">
      <w:pPr>
        <w:pStyle w:val="a3"/>
      </w:pPr>
      <w:r w:rsidRPr="001A3D2B">
        <w:t xml:space="preserve">Keywords: Bacteria, Comparison, Fluoroquinolone, Fluoroquinolones, Mice, </w:t>
      </w:r>
      <w:r w:rsidRPr="001A3D2B">
        <w:rPr>
          <w:i/>
          <w:iCs/>
        </w:rPr>
        <w:t>Mycobacterium tuberculosis</w:t>
      </w:r>
      <w:r w:rsidRPr="001A3D2B">
        <w:t xml:space="preserve">, Strains, </w:t>
      </w:r>
      <w:r w:rsidRPr="001A3D2B">
        <w:rPr>
          <w:i/>
          <w:iCs/>
        </w:rPr>
        <w:t>Streptococcus pneumoniae</w:t>
      </w:r>
      <w:r w:rsidRPr="001A3D2B">
        <w:t>, T-3811, Trovafloxacin CP-99, 219, Tuberculosis</w:t>
      </w:r>
    </w:p>
    <w:p w:rsidR="003474F2" w:rsidRPr="001A3D2B" w:rsidRDefault="003474F2" w:rsidP="003474F2">
      <w:pPr>
        <w:pStyle w:val="a3"/>
      </w:pPr>
      <w:r w:rsidRPr="001A3D2B">
        <w:t>Okuda, J., Hayakawa, E., Nishibuchi, M.</w:t>
      </w:r>
      <w:r w:rsidR="005853A9">
        <w:t xml:space="preserve"> and </w:t>
      </w:r>
      <w:r w:rsidRPr="001A3D2B">
        <w:t>Nishino, T. (1999), Sequence analysis</w:t>
      </w:r>
      <w:r w:rsidR="00427468">
        <w:t xml:space="preserve"> of </w:t>
      </w:r>
      <w:r w:rsidR="003A1917">
        <w:t xml:space="preserve">the </w:t>
      </w:r>
      <w:r w:rsidRPr="001A3D2B">
        <w:rPr>
          <w:i/>
          <w:iCs/>
        </w:rPr>
        <w:t>gyr</w:t>
      </w:r>
      <w:r w:rsidRPr="001A3D2B">
        <w:t>A</w:t>
      </w:r>
      <w:r w:rsidR="005853A9">
        <w:t xml:space="preserve"> and </w:t>
      </w:r>
      <w:r w:rsidRPr="001A3D2B">
        <w:rPr>
          <w:i/>
          <w:iCs/>
        </w:rPr>
        <w:t>par</w:t>
      </w:r>
      <w:r w:rsidRPr="001A3D2B">
        <w:t>C homologues</w:t>
      </w:r>
      <w:r w:rsidR="00427468">
        <w:t xml:space="preserve"> of </w:t>
      </w:r>
      <w:r w:rsidRPr="001A3D2B">
        <w:t>a wild- type strain</w:t>
      </w:r>
      <w:r w:rsidR="00427468">
        <w:t xml:space="preserve"> of </w:t>
      </w:r>
      <w:r w:rsidRPr="001A3D2B">
        <w:rPr>
          <w:i/>
          <w:iCs/>
        </w:rPr>
        <w:t>Vibrio parahaemolyticus</w:t>
      </w:r>
      <w:r w:rsidR="005853A9">
        <w:t xml:space="preserve"> and </w:t>
      </w:r>
      <w:r w:rsidRPr="001A3D2B">
        <w:t xml:space="preserve">its fluoroquinolone- resistant mutants.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43</w:t>
      </w:r>
      <w:r w:rsidRPr="001A3D2B">
        <w:t xml:space="preserve"> (5), 1156-1162.</w:t>
      </w:r>
    </w:p>
    <w:p w:rsidR="003474F2" w:rsidRPr="001A3D2B" w:rsidRDefault="003474F2" w:rsidP="003474F2">
      <w:pPr>
        <w:pStyle w:val="a3"/>
      </w:pPr>
      <w:r w:rsidRPr="001A3D2B">
        <w:t xml:space="preserve">Full Text: </w:t>
      </w:r>
      <w:hyperlink r:id="rId1018" w:history="1">
        <w:r w:rsidRPr="001A3D2B">
          <w:rPr>
            <w:rStyle w:val="a5"/>
          </w:rPr>
          <w:t>1999\Ant Age Che43, 1156.pdf</w:t>
        </w:r>
      </w:hyperlink>
    </w:p>
    <w:p w:rsidR="003474F2" w:rsidRPr="001A3D2B" w:rsidRDefault="003474F2" w:rsidP="003474F2">
      <w:pPr>
        <w:pStyle w:val="a3"/>
      </w:pPr>
      <w:r w:rsidRPr="001A3D2B">
        <w:t xml:space="preserve">Abstract: </w:t>
      </w:r>
      <w:r w:rsidRPr="001A3D2B">
        <w:rPr>
          <w:i/>
          <w:iCs/>
        </w:rPr>
        <w:t>Vibrio parahaemolyticus</w:t>
      </w:r>
      <w:r w:rsidRPr="001A3D2B">
        <w:t xml:space="preserve"> causes seafood-borne gastroenteritis in humans. It is particularly important in </w:t>
      </w:r>
      <w:smartTag w:uri="urn:schemas-microsoft-com:office:smarttags" w:element="place">
        <w:smartTag w:uri="urn:schemas-microsoft-com:office:smarttags" w:element="country-region">
          <w:r w:rsidRPr="001A3D2B">
            <w:t>Japan</w:t>
          </w:r>
        </w:smartTag>
      </w:smartTag>
      <w:r w:rsidRPr="001A3D2B">
        <w:t>, where raw seafood is frequently consumed. Fluoroquinolone is one</w:t>
      </w:r>
      <w:r w:rsidR="00427468">
        <w:t xml:space="preserve"> of </w:t>
      </w:r>
      <w:r w:rsidR="003A1917">
        <w:t xml:space="preserve">the </w:t>
      </w:r>
      <w:r w:rsidRPr="001A3D2B">
        <w:t>current drugs</w:t>
      </w:r>
      <w:r w:rsidR="00427468">
        <w:t xml:space="preserve"> of </w:t>
      </w:r>
      <w:r w:rsidRPr="001A3D2B">
        <w:t>choice for treating patients infected by V. parahaemolyticus because resistant strains are rarely found. To study a possible fluoroquiuolone resistance mechanism in this organism, nucleotide sequences that are homologous to known gyrA</w:t>
      </w:r>
      <w:r w:rsidR="005853A9">
        <w:t xml:space="preserve"> and </w:t>
      </w:r>
      <w:r w:rsidRPr="001A3D2B">
        <w:t>parC genes have been cloned from IT. parahaemolyticus AQ3815</w:t>
      </w:r>
      <w:r w:rsidR="005853A9">
        <w:t xml:space="preserve"> and </w:t>
      </w:r>
      <w:r w:rsidRPr="001A3D2B">
        <w:t>sequenced by amplification with degenerate primers</w:t>
      </w:r>
      <w:r w:rsidR="00427468">
        <w:t xml:space="preserve"> of </w:t>
      </w:r>
      <w:r w:rsidR="003A1917">
        <w:t xml:space="preserve">the </w:t>
      </w:r>
      <w:r w:rsidRPr="001A3D2B">
        <w:t>quinolone resistance-determining region (QRDR), followed by cassette ligation-mediated PCR Open reading frames encoding polypeptides</w:t>
      </w:r>
      <w:r w:rsidR="00427468">
        <w:t xml:space="preserve"> of </w:t>
      </w:r>
      <w:r w:rsidRPr="001A3D2B">
        <w:t>878</w:t>
      </w:r>
      <w:r w:rsidR="005853A9">
        <w:t xml:space="preserve"> and </w:t>
      </w:r>
      <w:r w:rsidRPr="001A3D2B">
        <w:t>761 amino acid residues were detected in</w:t>
      </w:r>
      <w:r w:rsidR="003A1917">
        <w:t xml:space="preserve"> the </w:t>
      </w:r>
      <w:r w:rsidRPr="001A3D2B">
        <w:t>gyrA</w:t>
      </w:r>
      <w:r w:rsidR="005853A9">
        <w:t xml:space="preserve"> and </w:t>
      </w:r>
      <w:r w:rsidRPr="001A3D2B">
        <w:t>parC homologues, respectively</w:t>
      </w:r>
      <w:r w:rsidR="00A37C1D">
        <w:t>. The</w:t>
      </w:r>
      <w:r w:rsidR="003A1917">
        <w:t xml:space="preserve"> </w:t>
      </w:r>
      <w:r w:rsidRPr="001A3D2B">
        <w:t>V. parahaemolyticus GyrA</w:t>
      </w:r>
      <w:r w:rsidR="005853A9">
        <w:t xml:space="preserve"> and </w:t>
      </w:r>
      <w:r w:rsidRPr="001A3D2B">
        <w:t>ParC sequences were most closely related to Erwinia carotovora GyrA (76% identity)</w:t>
      </w:r>
      <w:r w:rsidR="005853A9">
        <w:t xml:space="preserve"> and </w:t>
      </w:r>
      <w:r w:rsidRPr="001A3D2B">
        <w:t>Escherichia coli ParC (69% identity) sequences, respectively. Ciprofloxacin-resistant mutants</w:t>
      </w:r>
      <w:r w:rsidR="00427468">
        <w:t xml:space="preserve"> of </w:t>
      </w:r>
      <w:r w:rsidRPr="001A3D2B">
        <w:t>AQ3815 were obtained on an agar medium by multistep selection with increasing levels</w:t>
      </w:r>
      <w:r w:rsidR="00427468">
        <w:t xml:space="preserve"> of </w:t>
      </w:r>
      <w:r w:rsidR="003A1917">
        <w:t xml:space="preserve">the </w:t>
      </w:r>
      <w:r w:rsidRPr="001A3D2B">
        <w:t>quinolone. One point mutation only in</w:t>
      </w:r>
      <w:r w:rsidR="003A1917">
        <w:t xml:space="preserve"> the </w:t>
      </w:r>
      <w:r w:rsidRPr="001A3D2B">
        <w:t>gyrA QRDR was detected among mutants with low- to intermediate-level resistance, while point mutations in both</w:t>
      </w:r>
      <w:r w:rsidR="003A1917">
        <w:t xml:space="preserve"> the </w:t>
      </w:r>
      <w:r w:rsidRPr="001A3D2B">
        <w:t>gyrA</w:t>
      </w:r>
      <w:r w:rsidR="005853A9">
        <w:t xml:space="preserve"> and </w:t>
      </w:r>
      <w:r w:rsidRPr="001A3D2B">
        <w:t>parC QRDRs were detected only in strains with high-level resistance</w:t>
      </w:r>
      <w:r w:rsidR="00A37C1D">
        <w:t>. The</w:t>
      </w:r>
      <w:r w:rsidRPr="001A3D2B">
        <w:t>se results strongly suggest that, as in other gram-negative bacteria, GyrA</w:t>
      </w:r>
      <w:r w:rsidR="005853A9">
        <w:t xml:space="preserve"> and </w:t>
      </w:r>
      <w:r w:rsidRPr="001A3D2B">
        <w:t>ParC are</w:t>
      </w:r>
      <w:r w:rsidR="003A1917">
        <w:t xml:space="preserve"> the </w:t>
      </w:r>
      <w:r w:rsidRPr="001A3D2B">
        <w:t>primary</w:t>
      </w:r>
      <w:r w:rsidR="005853A9">
        <w:t xml:space="preserve"> and </w:t>
      </w:r>
      <w:r w:rsidRPr="001A3D2B">
        <w:t>secondary targets, respectively,</w:t>
      </w:r>
      <w:r w:rsidR="00427468">
        <w:t xml:space="preserve"> of </w:t>
      </w:r>
      <w:r w:rsidRPr="001A3D2B">
        <w:t>ciprofloxacin in V. parahaemolyticus</w:t>
      </w:r>
    </w:p>
    <w:p w:rsidR="003474F2" w:rsidRPr="001A3D2B" w:rsidRDefault="003474F2" w:rsidP="003474F2">
      <w:pPr>
        <w:pStyle w:val="a3"/>
      </w:pPr>
      <w:r w:rsidRPr="001A3D2B">
        <w:t xml:space="preserve">Keywords: Cloning, DNA Topoisomerase-Iv, Escherichia-Coli, Gene, Klebsiella-Pneumoniae, </w:t>
      </w:r>
      <w:r w:rsidRPr="001A3D2B">
        <w:rPr>
          <w:i/>
          <w:iCs/>
        </w:rPr>
        <w:t>Mycobacterium tuberculosis</w:t>
      </w:r>
      <w:r w:rsidRPr="001A3D2B">
        <w:t xml:space="preserve">, Nucleotide-Sequence, Resistance, Staphylococcus-Aureus, </w:t>
      </w:r>
      <w:r w:rsidRPr="001A3D2B">
        <w:rPr>
          <w:i/>
          <w:iCs/>
        </w:rPr>
        <w:t>Streptococcus pneumoniae</w:t>
      </w:r>
      <w:r w:rsidRPr="001A3D2B">
        <w:t>, Thermostable Direct Hemolysin</w:t>
      </w:r>
    </w:p>
    <w:p w:rsidR="003474F2" w:rsidRPr="001A3D2B" w:rsidRDefault="003474F2" w:rsidP="003474F2">
      <w:pPr>
        <w:pStyle w:val="a3"/>
      </w:pPr>
      <w:r w:rsidRPr="001A3D2B">
        <w:lastRenderedPageBreak/>
        <w:t>Tomioka, H., Sato, K., Akaki, T., Kajitani, H., Kawahara, S.</w:t>
      </w:r>
      <w:r w:rsidR="005853A9">
        <w:t xml:space="preserve"> and </w:t>
      </w:r>
      <w:r w:rsidRPr="001A3D2B">
        <w:t>Sakatani, M. (1999), Comparative in vitro antimicrobial activities</w:t>
      </w:r>
      <w:r w:rsidR="00427468">
        <w:t xml:space="preserve"> of </w:t>
      </w:r>
      <w:r w:rsidR="003A1917">
        <w:t xml:space="preserve">the </w:t>
      </w:r>
      <w:r w:rsidRPr="001A3D2B">
        <w:t>newly synthesized quinolone HSR-903, sitafloxacin (DU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1A3D2B">
          <w:t>-6859a</w:t>
        </w:r>
      </w:smartTag>
      <w:r w:rsidRPr="001A3D2B">
        <w:t>), gatifloxacin (AM-1155),</w:t>
      </w:r>
      <w:r w:rsidR="005853A9">
        <w:t xml:space="preserve"> and </w:t>
      </w:r>
      <w:r w:rsidRPr="001A3D2B">
        <w:t xml:space="preserve">levofloxacin against </w:t>
      </w:r>
      <w:r w:rsidRPr="001A3D2B">
        <w:rPr>
          <w:i/>
          <w:iCs/>
        </w:rPr>
        <w:t>Mycobacterium tuberculosis</w:t>
      </w:r>
      <w:r w:rsidR="005853A9">
        <w:t xml:space="preserve"> and </w:t>
      </w:r>
      <w:r w:rsidRPr="001A3D2B">
        <w:rPr>
          <w:i/>
          <w:iCs/>
        </w:rPr>
        <w:t>Mycobacterium avium</w:t>
      </w:r>
      <w:r w:rsidRPr="001A3D2B">
        <w:t xml:space="preserve"> complex.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43</w:t>
      </w:r>
      <w:r w:rsidRPr="001A3D2B">
        <w:t xml:space="preserve"> (12), 3001-3004.</w:t>
      </w:r>
    </w:p>
    <w:p w:rsidR="003474F2" w:rsidRPr="001A3D2B" w:rsidRDefault="003474F2" w:rsidP="003474F2">
      <w:pPr>
        <w:pStyle w:val="a3"/>
      </w:pPr>
      <w:r w:rsidRPr="001A3D2B">
        <w:t xml:space="preserve">Full Text: </w:t>
      </w:r>
      <w:hyperlink r:id="rId1019" w:history="1">
        <w:r w:rsidRPr="001A3D2B">
          <w:rPr>
            <w:rStyle w:val="a5"/>
          </w:rPr>
          <w:t>1999\Ant Age Che43, 3001.pdf</w:t>
        </w:r>
      </w:hyperlink>
    </w:p>
    <w:p w:rsidR="003474F2" w:rsidRPr="001A3D2B" w:rsidRDefault="003474F2" w:rsidP="003474F2">
      <w:pPr>
        <w:pStyle w:val="a3"/>
      </w:pPr>
      <w:r w:rsidRPr="001A3D2B">
        <w:t>Abstract: We compared</w:t>
      </w:r>
      <w:r w:rsidR="003A1917">
        <w:t xml:space="preserve"> the </w:t>
      </w:r>
      <w:r w:rsidRPr="001A3D2B">
        <w:t>in vitro antimycobacterial activity</w:t>
      </w:r>
      <w:r w:rsidR="00427468">
        <w:t xml:space="preserve"> of </w:t>
      </w:r>
      <w:r w:rsidRPr="001A3D2B">
        <w:t>a new fluoroquinolone, HSR-903, with strong activity against gram- positive cocci with those</w:t>
      </w:r>
      <w:r w:rsidR="00427468">
        <w:t xml:space="preserve"> of </w:t>
      </w:r>
      <w:r w:rsidRPr="001A3D2B">
        <w:t>levofloxacin (LVFX), sitafloxacin (STFX),</w:t>
      </w:r>
      <w:r w:rsidR="005853A9">
        <w:t xml:space="preserve"> and </w:t>
      </w:r>
      <w:r w:rsidRPr="001A3D2B">
        <w:t>gatifloxacin (GFLX)</w:t>
      </w:r>
      <w:r w:rsidR="00A37C1D">
        <w:t>. The</w:t>
      </w:r>
      <w:r w:rsidR="003A1917">
        <w:t xml:space="preserve"> </w:t>
      </w:r>
      <w:r w:rsidRPr="001A3D2B">
        <w:t>MICs</w:t>
      </w:r>
      <w:r w:rsidR="00427468">
        <w:t xml:space="preserve"> of </w:t>
      </w:r>
      <w:r w:rsidR="003A1917">
        <w:t xml:space="preserve">the </w:t>
      </w:r>
      <w:r w:rsidRPr="001A3D2B">
        <w:t xml:space="preserve">quinolones for </w:t>
      </w:r>
      <w:r w:rsidRPr="001A3D2B">
        <w:rPr>
          <w:i/>
          <w:iCs/>
        </w:rPr>
        <w:t>Mycobacterium tuberculosis</w:t>
      </w:r>
      <w:r w:rsidR="005853A9">
        <w:t xml:space="preserve"> and </w:t>
      </w:r>
      <w:r w:rsidRPr="001A3D2B">
        <w:rPr>
          <w:i/>
          <w:iCs/>
        </w:rPr>
        <w:t>Mycobacterium avium</w:t>
      </w:r>
      <w:r w:rsidRPr="001A3D2B">
        <w:t xml:space="preserve"> complex were in</w:t>
      </w:r>
      <w:r w:rsidR="003A1917">
        <w:t xml:space="preserve"> the </w:t>
      </w:r>
      <w:r w:rsidRPr="001A3D2B">
        <w:t>order STFX approximate to GFLX &lt; LVFX less than or equal to HSR-903</w:t>
      </w:r>
      <w:r w:rsidR="005853A9">
        <w:t xml:space="preserve"> and </w:t>
      </w:r>
      <w:r w:rsidRPr="001A3D2B">
        <w:t>STFX less than or equal to GFLX less than or equal to HSR-903 less than or equal to LVFX, respectively. HSR- 903 effectively eliminated intramacrophagial M. tuberculosis, as did LVFX,</w:t>
      </w:r>
      <w:r w:rsidR="005853A9">
        <w:t xml:space="preserve"> and </w:t>
      </w:r>
      <w:r w:rsidRPr="001A3D2B">
        <w:t>exhibited bacteriostatic effects against M. tuberculosis replicating in type II alveolar cells</w:t>
      </w:r>
    </w:p>
    <w:p w:rsidR="003474F2" w:rsidRPr="001A3D2B" w:rsidRDefault="003474F2" w:rsidP="003474F2">
      <w:pPr>
        <w:pStyle w:val="a3"/>
      </w:pPr>
      <w:r w:rsidRPr="001A3D2B">
        <w:t xml:space="preserve">Keywords: AM-1155, Antimycobacterial Activities, Cells, Gatifloxacin, In-Vitro, Levofloxacin, </w:t>
      </w:r>
      <w:r w:rsidRPr="001A3D2B">
        <w:rPr>
          <w:i/>
          <w:iCs/>
        </w:rPr>
        <w:t>Mycobacterium tuberculosis</w:t>
      </w:r>
      <w:r w:rsidRPr="001A3D2B">
        <w:t>, Nontuberculous Mycobacteria, Quinolones, Sitafloxacin, Tuberculosis</w:t>
      </w:r>
    </w:p>
    <w:p w:rsidR="003474F2" w:rsidRPr="001A3D2B" w:rsidRDefault="003474F2" w:rsidP="003474F2">
      <w:pPr>
        <w:pStyle w:val="a3"/>
      </w:pPr>
      <w:r w:rsidRPr="001A3D2B">
        <w:t>Tomioka, H., Sato, K., Kajitani, H., Akaki, T.</w:t>
      </w:r>
      <w:r w:rsidR="005853A9">
        <w:t xml:space="preserve"> and </w:t>
      </w:r>
      <w:r w:rsidRPr="001A3D2B">
        <w:t>Shishido, S. (2000), Comparative antimicrobial activities</w:t>
      </w:r>
      <w:r w:rsidR="00427468">
        <w:t xml:space="preserve"> of </w:t>
      </w:r>
      <w:r w:rsidR="003A1917">
        <w:t xml:space="preserve">the </w:t>
      </w:r>
      <w:r w:rsidRPr="001A3D2B">
        <w:t>newly synthesized quinolone WQ-3034, levofloxacin, sparfloxacin,</w:t>
      </w:r>
      <w:r w:rsidR="005853A9">
        <w:t xml:space="preserve"> and </w:t>
      </w:r>
      <w:r w:rsidRPr="001A3D2B">
        <w:t xml:space="preserve">ciproffoxacin against </w:t>
      </w:r>
      <w:r w:rsidRPr="001A3D2B">
        <w:rPr>
          <w:i/>
          <w:iCs/>
        </w:rPr>
        <w:t>Mycobacterium tuberculosis</w:t>
      </w:r>
      <w:r w:rsidR="005853A9">
        <w:t xml:space="preserve"> and </w:t>
      </w:r>
      <w:r w:rsidRPr="001A3D2B">
        <w:rPr>
          <w:i/>
          <w:iCs/>
        </w:rPr>
        <w:t>Mycobacterium avium</w:t>
      </w:r>
      <w:r w:rsidRPr="001A3D2B">
        <w:t xml:space="preserve"> complex.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44</w:t>
      </w:r>
      <w:r w:rsidRPr="001A3D2B">
        <w:t xml:space="preserve"> (2), 283-286.</w:t>
      </w:r>
    </w:p>
    <w:p w:rsidR="003474F2" w:rsidRPr="001A3D2B" w:rsidRDefault="003474F2" w:rsidP="003474F2">
      <w:pPr>
        <w:pStyle w:val="a3"/>
      </w:pPr>
      <w:r w:rsidRPr="001A3D2B">
        <w:t xml:space="preserve">Full Text: </w:t>
      </w:r>
      <w:hyperlink r:id="rId1020" w:history="1">
        <w:r w:rsidRPr="001A3D2B">
          <w:rPr>
            <w:rStyle w:val="a5"/>
          </w:rPr>
          <w:t>2000\Ant Age Che44, 283.pdf</w:t>
        </w:r>
      </w:hyperlink>
    </w:p>
    <w:p w:rsidR="003474F2" w:rsidRPr="001A3D2B" w:rsidRDefault="003474F2" w:rsidP="003474F2">
      <w:pPr>
        <w:pStyle w:val="a3"/>
      </w:pPr>
      <w:r w:rsidRPr="001A3D2B">
        <w:t xml:space="preserve">Abstract: WQ-3034 is a newly synthesized acidic fluoroquinolone. We assessed its in vitro activity against </w:t>
      </w:r>
      <w:r w:rsidRPr="001A3D2B">
        <w:rPr>
          <w:i/>
          <w:iCs/>
        </w:rPr>
        <w:t>Mycobacterium tuberculosis</w:t>
      </w:r>
      <w:r w:rsidR="005853A9">
        <w:t xml:space="preserve"> and </w:t>
      </w:r>
      <w:r w:rsidRPr="001A3D2B">
        <w:t>M. avium complex using levofloxacin (LVFX), ciprofloxacin (CPFX), sparfloxacin (SPFX),</w:t>
      </w:r>
      <w:r w:rsidR="005853A9">
        <w:t xml:space="preserve"> and </w:t>
      </w:r>
      <w:r w:rsidRPr="001A3D2B">
        <w:t>KRM-1648 (KRM) as reference drugs</w:t>
      </w:r>
      <w:r w:rsidR="00A37C1D">
        <w:t>. The</w:t>
      </w:r>
      <w:r w:rsidR="003A1917">
        <w:t xml:space="preserve"> </w:t>
      </w:r>
      <w:r w:rsidRPr="001A3D2B">
        <w:t>MICs</w:t>
      </w:r>
      <w:r w:rsidR="00427468">
        <w:t xml:space="preserve"> of </w:t>
      </w:r>
      <w:r w:rsidRPr="001A3D2B">
        <w:t>these agents were determined by</w:t>
      </w:r>
      <w:r w:rsidR="003A1917">
        <w:t xml:space="preserve"> the </w:t>
      </w:r>
      <w:r w:rsidRPr="001A3D2B">
        <w:t>agar dilution method with 7H11 medium</w:t>
      </w:r>
      <w:r w:rsidR="00A37C1D">
        <w:t>. The</w:t>
      </w:r>
      <w:r w:rsidR="003A1917">
        <w:t xml:space="preserve"> </w:t>
      </w:r>
      <w:r w:rsidRPr="001A3D2B">
        <w:t>MICs at which 50</w:t>
      </w:r>
      <w:r w:rsidR="005853A9">
        <w:t xml:space="preserve"> and </w:t>
      </w:r>
      <w:r w:rsidRPr="001A3D2B">
        <w:t>90%</w:t>
      </w:r>
      <w:r w:rsidR="00427468">
        <w:t xml:space="preserve"> of </w:t>
      </w:r>
      <w:r w:rsidR="003A1917">
        <w:t xml:space="preserve">the </w:t>
      </w:r>
      <w:r w:rsidRPr="001A3D2B">
        <w:t>test strains were inhibited (MIC(50)s,</w:t>
      </w:r>
      <w:r w:rsidR="005853A9">
        <w:t xml:space="preserve"> and </w:t>
      </w:r>
      <w:r w:rsidRPr="001A3D2B">
        <w:t>MIC(90)s, respectively) for</w:t>
      </w:r>
      <w:r w:rsidR="003A1917">
        <w:t xml:space="preserve"> the </w:t>
      </w:r>
      <w:r w:rsidRPr="001A3D2B">
        <w:t>test quinolones for rifampin (RMP)-susceptible M. tuberculosis strains were in</w:t>
      </w:r>
      <w:r w:rsidR="003A1917">
        <w:t xml:space="preserve"> the </w:t>
      </w:r>
      <w:r w:rsidRPr="001A3D2B">
        <w:t>order SPFX &lt; LVFX less than or equal to WQ-3034 less than or equal to CPFX, while those for RMP-resistant M. tuberculosis strains were in</w:t>
      </w:r>
      <w:r w:rsidR="003A1917">
        <w:t xml:space="preserve"> the </w:t>
      </w:r>
      <w:r w:rsidRPr="001A3D2B">
        <w:t>order SPFX less than or equal to WQ-3034 less than or equal to LVFX &lt; CPFX,</w:t>
      </w:r>
      <w:r w:rsidR="003A1917">
        <w:t xml:space="preserve"> the </w:t>
      </w:r>
      <w:r w:rsidRPr="001A3D2B">
        <w:t>MICs</w:t>
      </w:r>
      <w:r w:rsidR="00427468">
        <w:t xml:space="preserve"> of </w:t>
      </w:r>
      <w:r w:rsidRPr="001A3D2B">
        <w:t>KRM for RMP-susceptible M. tuberculosis were much lower than those</w:t>
      </w:r>
      <w:r w:rsidR="00427468">
        <w:t xml:space="preserve"> of </w:t>
      </w:r>
      <w:r w:rsidR="003A1917">
        <w:t xml:space="preserve">the </w:t>
      </w:r>
      <w:r w:rsidRPr="001A3D2B">
        <w:t>test quinolones, while</w:t>
      </w:r>
      <w:r w:rsidR="003A1917">
        <w:t xml:space="preserve"> the </w:t>
      </w:r>
      <w:r w:rsidRPr="001A3D2B">
        <w:t>MIC90</w:t>
      </w:r>
      <w:r w:rsidR="00427468">
        <w:t xml:space="preserve"> of </w:t>
      </w:r>
      <w:r w:rsidRPr="001A3D2B">
        <w:t>KRM for RMP-resistant M. tuberculosis strains was higher than those</w:t>
      </w:r>
      <w:r w:rsidR="00427468">
        <w:t xml:space="preserve"> of </w:t>
      </w:r>
      <w:r w:rsidR="003A1917">
        <w:t xml:space="preserve">the </w:t>
      </w:r>
      <w:r w:rsidRPr="001A3D2B">
        <w:t>quinolones</w:t>
      </w:r>
      <w:r w:rsidR="00A37C1D">
        <w:t>. The</w:t>
      </w:r>
      <w:r w:rsidR="003A1917">
        <w:t xml:space="preserve"> </w:t>
      </w:r>
      <w:r w:rsidRPr="001A3D2B">
        <w:t>MIC(50)s</w:t>
      </w:r>
      <w:r w:rsidR="005853A9">
        <w:t xml:space="preserve"> and </w:t>
      </w:r>
      <w:r w:rsidRPr="001A3D2B">
        <w:t>MIC(90)s</w:t>
      </w:r>
      <w:r w:rsidR="00427468">
        <w:t xml:space="preserve"> of </w:t>
      </w:r>
      <w:r w:rsidR="003A1917">
        <w:t xml:space="preserve">the </w:t>
      </w:r>
      <w:r w:rsidRPr="001A3D2B">
        <w:t>test drugs for M. avium were in</w:t>
      </w:r>
      <w:r w:rsidR="003A1917">
        <w:t xml:space="preserve"> the </w:t>
      </w:r>
      <w:r w:rsidRPr="001A3D2B">
        <w:t>order KRM &lt; SPFX &lt; CPFX less than or equal to WQ-3034 less than or equal to LVFX, while those for M. intracellulare were in</w:t>
      </w:r>
      <w:r w:rsidR="003A1917">
        <w:t xml:space="preserve"> the </w:t>
      </w:r>
      <w:r w:rsidRPr="001A3D2B">
        <w:t xml:space="preserve">order KRM &lt; SPFX &lt; </w:t>
      </w:r>
      <w:r w:rsidRPr="001A3D2B">
        <w:lastRenderedPageBreak/>
        <w:t>WQ-3034 is approximately equal to LVFX less than or equal to CPFX. Next, we compared</w:t>
      </w:r>
      <w:r w:rsidR="003A1917">
        <w:t xml:space="preserve"> the </w:t>
      </w:r>
      <w:r w:rsidRPr="001A3D2B">
        <w:t>antimicrobial activities</w:t>
      </w:r>
      <w:r w:rsidR="00427468">
        <w:t xml:space="preserve"> of </w:t>
      </w:r>
      <w:r w:rsidR="003A1917">
        <w:t xml:space="preserve">the </w:t>
      </w:r>
      <w:r w:rsidRPr="001A3D2B">
        <w:t>test drugs against M. tuberculosis organisms residing in cells</w:t>
      </w:r>
      <w:r w:rsidR="00427468">
        <w:t xml:space="preserve"> of </w:t>
      </w:r>
      <w:r w:rsidR="003A1917">
        <w:t xml:space="preserve">the </w:t>
      </w:r>
      <w:r w:rsidRPr="001A3D2B">
        <w:t>Mono Mac 6 macrophage (M phi)-like cell line (MM6-M phi s)</w:t>
      </w:r>
      <w:r w:rsidR="005853A9">
        <w:t xml:space="preserve"> and</w:t>
      </w:r>
      <w:r w:rsidR="00427468">
        <w:t xml:space="preserve"> of </w:t>
      </w:r>
      <w:r w:rsidR="003A1917">
        <w:t xml:space="preserve">the </w:t>
      </w:r>
      <w:r w:rsidRPr="001A3D2B">
        <w:t>A-549 type II alveolar cell line (A-549 cells), When drugs were added at</w:t>
      </w:r>
      <w:r w:rsidR="003A1917">
        <w:t xml:space="preserve"> the </w:t>
      </w:r>
      <w:r w:rsidRPr="001A3D2B">
        <w:t>concentration that achieves</w:t>
      </w:r>
      <w:r w:rsidR="003A1917">
        <w:t xml:space="preserve"> the </w:t>
      </w:r>
      <w:r w:rsidRPr="001A3D2B">
        <w:t>maximum concentration in blood, progressive killing or inhibition</w:t>
      </w:r>
      <w:r w:rsidR="00427468">
        <w:t xml:space="preserve"> of </w:t>
      </w:r>
      <w:r w:rsidR="003A1917">
        <w:t xml:space="preserve">the </w:t>
      </w:r>
      <w:r w:rsidRPr="001A3D2B">
        <w:t>M. tuberculosis organisms residing in MM6-M phi s</w:t>
      </w:r>
      <w:r w:rsidR="005853A9">
        <w:t xml:space="preserve"> and </w:t>
      </w:r>
      <w:r w:rsidRPr="001A3D2B">
        <w:t>A-549 cells was observed in</w:t>
      </w:r>
      <w:r w:rsidR="003A1917">
        <w:t xml:space="preserve"> the </w:t>
      </w:r>
      <w:r w:rsidRPr="001A3D2B">
        <w:t>order KRM &gt; SPFX greater than or equal to LVFX &gt; WQ-3034 &gt; CPFX</w:t>
      </w:r>
      <w:r w:rsidR="00A37C1D">
        <w:t>. The</w:t>
      </w:r>
      <w:r w:rsidR="003A1917">
        <w:t xml:space="preserve"> </w:t>
      </w:r>
      <w:r w:rsidRPr="001A3D2B">
        <w:t>efficacies</w:t>
      </w:r>
      <w:r w:rsidR="00427468">
        <w:t xml:space="preserve"> of </w:t>
      </w:r>
      <w:r w:rsidRPr="001A3D2B">
        <w:t>all quinolones against intracellular M. tuberculosis organisms were significantly Lower in A-549 cells than in MM6-M phi s. WQ-3034 at</w:t>
      </w:r>
      <w:r w:rsidR="003A1917">
        <w:t xml:space="preserve"> the </w:t>
      </w:r>
      <w:r w:rsidRPr="001A3D2B">
        <w:t>MIC caused more marked growth inhibition</w:t>
      </w:r>
      <w:r w:rsidR="00427468">
        <w:t xml:space="preserve"> of </w:t>
      </w:r>
      <w:r w:rsidRPr="001A3D2B">
        <w:t>intramacrophage M. tuberculosis than did LVFX</w:t>
      </w:r>
      <w:r w:rsidR="00A37C1D">
        <w:t>. The</w:t>
      </w:r>
      <w:r w:rsidRPr="001A3D2B">
        <w:t>se findings indicate that</w:t>
      </w:r>
      <w:r w:rsidR="003A1917">
        <w:t xml:space="preserve"> the </w:t>
      </w:r>
      <w:r w:rsidRPr="001A3D2B">
        <w:t>in vitro anti-M. tuberculosis activity</w:t>
      </w:r>
      <w:r w:rsidR="00427468">
        <w:t xml:space="preserve"> of </w:t>
      </w:r>
      <w:r w:rsidRPr="001A3D2B">
        <w:t>WQ-3034 is greater than that</w:t>
      </w:r>
      <w:r w:rsidR="00427468">
        <w:t xml:space="preserve"> of </w:t>
      </w:r>
      <w:r w:rsidRPr="001A3D2B">
        <w:t>CPFX</w:t>
      </w:r>
      <w:r w:rsidR="005853A9">
        <w:t xml:space="preserve"> and </w:t>
      </w:r>
      <w:r w:rsidRPr="001A3D2B">
        <w:t>is comparable to that</w:t>
      </w:r>
      <w:r w:rsidR="00427468">
        <w:t xml:space="preserve"> of </w:t>
      </w:r>
      <w:r w:rsidRPr="001A3D2B">
        <w:t>LVFX</w:t>
      </w:r>
    </w:p>
    <w:p w:rsidR="003474F2" w:rsidRPr="001A3D2B" w:rsidRDefault="003474F2" w:rsidP="003474F2">
      <w:pPr>
        <w:pStyle w:val="a3"/>
      </w:pPr>
      <w:r w:rsidRPr="001A3D2B">
        <w:t xml:space="preserve">Keywords: Cells, Drugs, Fluoroquinolones, In Vitro Activity, In-Vitro, Levofloxacin, Macrophages, Mycobacterium, </w:t>
      </w:r>
      <w:r w:rsidRPr="001A3D2B">
        <w:rPr>
          <w:i/>
          <w:iCs/>
        </w:rPr>
        <w:t>Mycobacterium tuberculosis</w:t>
      </w:r>
      <w:r w:rsidRPr="001A3D2B">
        <w:t>, Quinolones, Sparfloxacin, Tuberculosis</w:t>
      </w:r>
    </w:p>
    <w:p w:rsidR="003474F2" w:rsidRPr="001A3D2B" w:rsidRDefault="003474F2" w:rsidP="003474F2">
      <w:pPr>
        <w:pStyle w:val="a3"/>
      </w:pPr>
      <w:r w:rsidRPr="001A3D2B">
        <w:t>Dong, Y.Z., Zhao, X.L., Kreiswirth, B.N.</w:t>
      </w:r>
      <w:r w:rsidR="005853A9">
        <w:t xml:space="preserve"> and </w:t>
      </w:r>
      <w:r w:rsidRPr="001A3D2B">
        <w:t>Drlica, K. (2000), Mutant prevention concentration as a measure</w:t>
      </w:r>
      <w:r w:rsidR="00427468">
        <w:t xml:space="preserve"> of </w:t>
      </w:r>
      <w:r w:rsidRPr="001A3D2B">
        <w:t>antibiotic potency: Studies with clinical isolates</w:t>
      </w:r>
      <w:r w:rsidR="00427468">
        <w:t xml:space="preserve"> of </w:t>
      </w:r>
      <w:r w:rsidRPr="001A3D2B">
        <w:rPr>
          <w:i/>
          <w:iCs/>
        </w:rPr>
        <w:t>Mycobacterium tuberculosis</w:t>
      </w:r>
      <w:r w:rsidRPr="001A3D2B">
        <w:t xml:space="preserv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44</w:t>
      </w:r>
      <w:r w:rsidRPr="001A3D2B">
        <w:t xml:space="preserve"> (9), 2581-2584.</w:t>
      </w:r>
    </w:p>
    <w:p w:rsidR="003474F2" w:rsidRPr="001A3D2B" w:rsidRDefault="003474F2" w:rsidP="003474F2">
      <w:pPr>
        <w:pStyle w:val="a3"/>
      </w:pPr>
      <w:r w:rsidRPr="001A3D2B">
        <w:t xml:space="preserve">Full Text: </w:t>
      </w:r>
      <w:hyperlink r:id="rId1021" w:history="1">
        <w:r w:rsidRPr="001A3D2B">
          <w:rPr>
            <w:rStyle w:val="a5"/>
          </w:rPr>
          <w:t>2000\Ant Age Che44, 2581.pdf</w:t>
        </w:r>
      </w:hyperlink>
    </w:p>
    <w:p w:rsidR="003474F2" w:rsidRPr="001A3D2B" w:rsidRDefault="003474F2" w:rsidP="003474F2">
      <w:pPr>
        <w:pStyle w:val="a3"/>
      </w:pPr>
      <w:r w:rsidRPr="001A3D2B">
        <w:t>Abstract:</w:t>
      </w:r>
      <w:r w:rsidR="003A1917">
        <w:t xml:space="preserve"> the </w:t>
      </w:r>
      <w:r w:rsidRPr="001A3D2B">
        <w:t>mutant prevention concentration (MPC)</w:t>
      </w:r>
      <w:r w:rsidR="00427468">
        <w:t xml:space="preserve"> of </w:t>
      </w:r>
      <w:r w:rsidRPr="001A3D2B">
        <w:t>a C-8-methoxy fluoroquinolone exhibited a narrow distribution for 14 genetically diverse clinical isolates</w:t>
      </w:r>
      <w:r w:rsidR="00427468">
        <w:t xml:space="preserve"> of </w:t>
      </w:r>
      <w:r w:rsidRPr="001A3D2B">
        <w:rPr>
          <w:i/>
          <w:iCs/>
        </w:rPr>
        <w:t>Mycobacterium tuberculosis</w:t>
      </w:r>
      <w:r w:rsidRPr="001A3D2B">
        <w:t>, indicating that results from single-isolate studies are likely to be representative. When one isolate was challenged with a variety</w:t>
      </w:r>
      <w:r w:rsidR="00427468">
        <w:t xml:space="preserve"> of </w:t>
      </w:r>
      <w:r w:rsidRPr="001A3D2B">
        <w:t>antituberculosis agents, C-8- methoxy fluoroquinolones were exceptional in having MPCs below</w:t>
      </w:r>
      <w:r w:rsidR="003A1917">
        <w:t xml:space="preserve"> the </w:t>
      </w:r>
      <w:r w:rsidRPr="001A3D2B">
        <w:t>maximum concentration attained in serum by use</w:t>
      </w:r>
      <w:r w:rsidR="00427468">
        <w:t xml:space="preserve"> of </w:t>
      </w:r>
      <w:r w:rsidRPr="001A3D2B">
        <w:t>commonly recommended doses</w:t>
      </w:r>
    </w:p>
    <w:p w:rsidR="003474F2" w:rsidRPr="001A3D2B" w:rsidRDefault="003474F2" w:rsidP="003474F2">
      <w:pPr>
        <w:pStyle w:val="a3"/>
      </w:pPr>
      <w:r w:rsidRPr="001A3D2B">
        <w:t xml:space="preserve">Keywords: Fluoroquinolone Action, Fluoroquinolones, Healthy- Volunteers, Humans, Identification, Mutant Prevention Concentration, </w:t>
      </w:r>
      <w:r w:rsidRPr="001A3D2B">
        <w:rPr>
          <w:i/>
          <w:iCs/>
        </w:rPr>
        <w:t>Mycobacterium tuberculosis</w:t>
      </w:r>
      <w:r w:rsidRPr="001A3D2B">
        <w:t>, Pharmacokinetics, Quinolone, Resistance, Staphylococcus-Aureus, Survival, Tuberculosis</w:t>
      </w:r>
    </w:p>
    <w:p w:rsidR="003474F2" w:rsidRPr="001A3D2B" w:rsidRDefault="003474F2" w:rsidP="003474F2">
      <w:pPr>
        <w:pStyle w:val="a3"/>
      </w:pPr>
      <w:r w:rsidRPr="001A3D2B">
        <w:t>Aubry, A., Jarlier, V., Escolano, S., Truffot-Pernot, C.</w:t>
      </w:r>
      <w:r w:rsidR="005853A9">
        <w:t xml:space="preserve"> and </w:t>
      </w:r>
      <w:r w:rsidRPr="001A3D2B">
        <w:t>Cambau, E. (2000), Antibiotic susceptibility pattern</w:t>
      </w:r>
      <w:r w:rsidR="00427468">
        <w:t xml:space="preserve"> of </w:t>
      </w:r>
      <w:r w:rsidRPr="001A3D2B">
        <w:rPr>
          <w:i/>
          <w:iCs/>
        </w:rPr>
        <w:t>Mycobacterium marinum</w:t>
      </w:r>
      <w:r w:rsidRPr="001A3D2B">
        <w:t xml:space="preserv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44</w:t>
      </w:r>
      <w:r w:rsidRPr="001A3D2B">
        <w:t xml:space="preserve"> (11), 3133-3136.</w:t>
      </w:r>
    </w:p>
    <w:p w:rsidR="003474F2" w:rsidRPr="001A3D2B" w:rsidRDefault="003474F2" w:rsidP="003474F2">
      <w:pPr>
        <w:pStyle w:val="a3"/>
      </w:pPr>
      <w:r w:rsidRPr="001A3D2B">
        <w:t xml:space="preserve">Full Text: </w:t>
      </w:r>
      <w:hyperlink r:id="rId1022" w:history="1">
        <w:r w:rsidRPr="001A3D2B">
          <w:rPr>
            <w:rStyle w:val="a5"/>
          </w:rPr>
          <w:t>2000\Ant Age Che44, 3133.pdf</w:t>
        </w:r>
      </w:hyperlink>
    </w:p>
    <w:p w:rsidR="003474F2" w:rsidRPr="001A3D2B" w:rsidRDefault="003474F2" w:rsidP="003474F2">
      <w:pPr>
        <w:pStyle w:val="a3"/>
      </w:pPr>
      <w:r w:rsidRPr="001A3D2B">
        <w:t>Abstract: In vitro activities</w:t>
      </w:r>
      <w:r w:rsidR="00427468">
        <w:t xml:space="preserve"> of </w:t>
      </w:r>
      <w:r w:rsidRPr="001A3D2B">
        <w:t>17 antibiotics against 53 clinical strains</w:t>
      </w:r>
      <w:r w:rsidR="00427468">
        <w:t xml:space="preserve"> of </w:t>
      </w:r>
      <w:r w:rsidRPr="001A3D2B">
        <w:t>Mycobacterium marinum, an atypical mycobacterium responsible for cutaneous infections, were determined using</w:t>
      </w:r>
      <w:r w:rsidR="003A1917">
        <w:t xml:space="preserve"> the </w:t>
      </w:r>
      <w:r w:rsidRPr="001A3D2B">
        <w:t>reference agar dilution method. Rifampin</w:t>
      </w:r>
      <w:r w:rsidR="005853A9">
        <w:t xml:space="preserve"> and </w:t>
      </w:r>
      <w:r w:rsidRPr="001A3D2B">
        <w:lastRenderedPageBreak/>
        <w:t>rifabutin were</w:t>
      </w:r>
      <w:r w:rsidR="003A1917">
        <w:t xml:space="preserve"> the </w:t>
      </w:r>
      <w:r w:rsidRPr="001A3D2B">
        <w:t>most active drugs (MICs at which 90%</w:t>
      </w:r>
      <w:r w:rsidR="00427468">
        <w:t xml:space="preserve"> of </w:t>
      </w:r>
      <w:r w:rsidR="003A1917">
        <w:t xml:space="preserve">the </w:t>
      </w:r>
      <w:r w:rsidRPr="001A3D2B">
        <w:t>isolates tested were inhibited [MIC(90)s], 0.5</w:t>
      </w:r>
      <w:r w:rsidR="005853A9">
        <w:t xml:space="preserve"> and </w:t>
      </w:r>
      <w:smartTag w:uri="urn:schemas-microsoft-com:office:smarttags" w:element="chmetcnv">
        <w:smartTagPr>
          <w:attr w:name="TCSC" w:val="0"/>
          <w:attr w:name="NumberType" w:val="1"/>
          <w:attr w:name="Negative" w:val="False"/>
          <w:attr w:name="HasSpace" w:val="False"/>
          <w:attr w:name="SourceValue" w:val="0.6"/>
          <w:attr w:name="UnitName" w:val="g"/>
        </w:smartTagPr>
        <w:r w:rsidRPr="001A3D2B">
          <w:t xml:space="preserve">0.6 </w:t>
        </w:r>
      </w:smartTag>
      <w:r w:rsidRPr="001A3D2B">
        <w:sym w:font="Symbol" w:char="F06D"/>
      </w:r>
      <w:r w:rsidRPr="001A3D2B">
        <w:t>g, ml, respectively). MICs</w:t>
      </w:r>
      <w:r w:rsidR="00427468">
        <w:t xml:space="preserve"> of </w:t>
      </w:r>
      <w:r w:rsidRPr="001A3D2B">
        <w:t xml:space="preserve">minocycline (MIC90, </w:t>
      </w:r>
      <w:smartTag w:uri="urn:schemas-microsoft-com:office:smarttags" w:element="chmetcnv">
        <w:smartTagPr>
          <w:attr w:name="TCSC" w:val="0"/>
          <w:attr w:name="NumberType" w:val="1"/>
          <w:attr w:name="Negative" w:val="False"/>
          <w:attr w:name="HasSpace" w:val="False"/>
          <w:attr w:name="SourceValue" w:val="4"/>
          <w:attr w:name="UnitName" w:val="g"/>
        </w:smartTagPr>
        <w:r w:rsidRPr="001A3D2B">
          <w:t xml:space="preserve">4 </w:t>
        </w:r>
      </w:smartTag>
      <w:r w:rsidRPr="001A3D2B">
        <w:sym w:font="Symbol" w:char="F06D"/>
      </w:r>
      <w:r w:rsidRPr="001A3D2B">
        <w:t xml:space="preserve">g, ml), doxycycline (MIC90, </w:t>
      </w:r>
      <w:smartTag w:uri="urn:schemas-microsoft-com:office:smarttags" w:element="chmetcnv">
        <w:smartTagPr>
          <w:attr w:name="TCSC" w:val="0"/>
          <w:attr w:name="NumberType" w:val="1"/>
          <w:attr w:name="Negative" w:val="False"/>
          <w:attr w:name="HasSpace" w:val="False"/>
          <w:attr w:name="SourceValue" w:val="16"/>
          <w:attr w:name="UnitName" w:val="g"/>
        </w:smartTagPr>
        <w:r w:rsidRPr="001A3D2B">
          <w:t xml:space="preserve">16 </w:t>
        </w:r>
      </w:smartTag>
      <w:r w:rsidRPr="001A3D2B">
        <w:sym w:font="Symbol" w:char="F06D"/>
      </w:r>
      <w:r w:rsidRPr="001A3D2B">
        <w:t xml:space="preserve">g, ml) clarithromycin (MIC90, </w:t>
      </w:r>
      <w:smartTag w:uri="urn:schemas-microsoft-com:office:smarttags" w:element="chmetcnv">
        <w:smartTagPr>
          <w:attr w:name="TCSC" w:val="0"/>
          <w:attr w:name="NumberType" w:val="1"/>
          <w:attr w:name="Negative" w:val="False"/>
          <w:attr w:name="HasSpace" w:val="False"/>
          <w:attr w:name="SourceValue" w:val="4"/>
          <w:attr w:name="UnitName" w:val="g"/>
        </w:smartTagPr>
        <w:r w:rsidRPr="001A3D2B">
          <w:t xml:space="preserve">4 </w:t>
        </w:r>
      </w:smartTag>
      <w:r w:rsidRPr="001A3D2B">
        <w:sym w:font="Symbol" w:char="F06D"/>
      </w:r>
      <w:r w:rsidRPr="001A3D2B">
        <w:t xml:space="preserve">g, ml), sparfloxacin (MIC90, </w:t>
      </w:r>
      <w:smartTag w:uri="urn:schemas-microsoft-com:office:smarttags" w:element="chmetcnv">
        <w:smartTagPr>
          <w:attr w:name="TCSC" w:val="0"/>
          <w:attr w:name="NumberType" w:val="1"/>
          <w:attr w:name="Negative" w:val="False"/>
          <w:attr w:name="HasSpace" w:val="False"/>
          <w:attr w:name="SourceValue" w:val="2"/>
          <w:attr w:name="UnitName" w:val="g"/>
        </w:smartTagPr>
        <w:r w:rsidRPr="001A3D2B">
          <w:t xml:space="preserve">2 </w:t>
        </w:r>
      </w:smartTag>
      <w:r w:rsidRPr="001A3D2B">
        <w:sym w:font="Symbol" w:char="F06D"/>
      </w:r>
      <w:r w:rsidRPr="001A3D2B">
        <w:t xml:space="preserve">g, ml), moxifloxacin (MIC90, </w:t>
      </w:r>
      <w:smartTag w:uri="urn:schemas-microsoft-com:office:smarttags" w:element="chmetcnv">
        <w:smartTagPr>
          <w:attr w:name="TCSC" w:val="0"/>
          <w:attr w:name="NumberType" w:val="1"/>
          <w:attr w:name="Negative" w:val="False"/>
          <w:attr w:name="HasSpace" w:val="False"/>
          <w:attr w:name="SourceValue" w:val="1"/>
          <w:attr w:name="UnitName" w:val="g"/>
        </w:smartTagPr>
        <w:r w:rsidRPr="001A3D2B">
          <w:t xml:space="preserve">1 </w:t>
        </w:r>
      </w:smartTag>
      <w:r w:rsidRPr="001A3D2B">
        <w:sym w:font="Symbol" w:char="F06D"/>
      </w:r>
      <w:r w:rsidRPr="001A3D2B">
        <w:t xml:space="preserve">g, ml), imipenem (MIC90, </w:t>
      </w:r>
      <w:smartTag w:uri="urn:schemas-microsoft-com:office:smarttags" w:element="chmetcnv">
        <w:smartTagPr>
          <w:attr w:name="TCSC" w:val="0"/>
          <w:attr w:name="NumberType" w:val="1"/>
          <w:attr w:name="Negative" w:val="False"/>
          <w:attr w:name="HasSpace" w:val="False"/>
          <w:attr w:name="SourceValue" w:val="8"/>
          <w:attr w:name="UnitName" w:val="g"/>
        </w:smartTagPr>
        <w:r w:rsidRPr="001A3D2B">
          <w:t xml:space="preserve">8 </w:t>
        </w:r>
      </w:smartTag>
      <w:r w:rsidRPr="001A3D2B">
        <w:sym w:font="Symbol" w:char="F06D"/>
      </w:r>
      <w:r w:rsidRPr="001A3D2B">
        <w:t xml:space="preserve">g, ml), sulfamethoxazole (MIC90, </w:t>
      </w:r>
      <w:smartTag w:uri="urn:schemas-microsoft-com:office:smarttags" w:element="chmetcnv">
        <w:smartTagPr>
          <w:attr w:name="TCSC" w:val="0"/>
          <w:attr w:name="NumberType" w:val="1"/>
          <w:attr w:name="Negative" w:val="False"/>
          <w:attr w:name="HasSpace" w:val="False"/>
          <w:attr w:name="SourceValue" w:val="8"/>
          <w:attr w:name="UnitName" w:val="g"/>
        </w:smartTagPr>
        <w:r w:rsidRPr="001A3D2B">
          <w:t xml:space="preserve">8 </w:t>
        </w:r>
      </w:smartTag>
      <w:r w:rsidRPr="001A3D2B">
        <w:sym w:font="Symbol" w:char="F06D"/>
      </w:r>
      <w:r w:rsidRPr="001A3D2B">
        <w:t>g, ml)</w:t>
      </w:r>
      <w:r w:rsidR="005853A9">
        <w:t xml:space="preserve"> and </w:t>
      </w:r>
      <w:r w:rsidRPr="001A3D2B">
        <w:t xml:space="preserve">amikacin (MIC90, </w:t>
      </w:r>
      <w:smartTag w:uri="urn:schemas-microsoft-com:office:smarttags" w:element="chmetcnv">
        <w:smartTagPr>
          <w:attr w:name="TCSC" w:val="0"/>
          <w:attr w:name="NumberType" w:val="1"/>
          <w:attr w:name="Negative" w:val="False"/>
          <w:attr w:name="HasSpace" w:val="False"/>
          <w:attr w:name="SourceValue" w:val="4"/>
          <w:attr w:name="UnitName" w:val="g"/>
        </w:smartTagPr>
        <w:r w:rsidRPr="001A3D2B">
          <w:t xml:space="preserve">4 </w:t>
        </w:r>
      </w:smartTag>
      <w:r w:rsidRPr="001A3D2B">
        <w:sym w:font="Symbol" w:char="F06D"/>
      </w:r>
      <w:r w:rsidRPr="001A3D2B">
        <w:t>g, ml) were close to</w:t>
      </w:r>
      <w:r w:rsidR="003A1917">
        <w:t xml:space="preserve"> the </w:t>
      </w:r>
      <w:r w:rsidRPr="001A3D2B">
        <w:t>susceptibility breakpoints. MICs</w:t>
      </w:r>
      <w:r w:rsidR="00427468">
        <w:t xml:space="preserve"> of </w:t>
      </w:r>
      <w:r w:rsidRPr="001A3D2B">
        <w:t>isoniazid, ethambutol, trimethoprim, azithromycin, ciprofloxacin, ofloxacin,</w:t>
      </w:r>
      <w:r w:rsidR="005853A9">
        <w:t xml:space="preserve"> and </w:t>
      </w:r>
      <w:r w:rsidRPr="001A3D2B">
        <w:t>levofloxacin were above</w:t>
      </w:r>
      <w:r w:rsidR="003A1917">
        <w:t xml:space="preserve"> the </w:t>
      </w:r>
      <w:r w:rsidRPr="001A3D2B">
        <w:t>concentrations usually obtained in vivo. For each drug,</w:t>
      </w:r>
      <w:r w:rsidR="003A1917">
        <w:t xml:space="preserve"> the </w:t>
      </w:r>
      <w:r w:rsidRPr="001A3D2B">
        <w:t>MIC50, geometric mean MIC,</w:t>
      </w:r>
      <w:r w:rsidR="005853A9">
        <w:t xml:space="preserve"> and </w:t>
      </w:r>
      <w:r w:rsidRPr="001A3D2B">
        <w:t>modal MIC were very close, showing that all</w:t>
      </w:r>
      <w:r w:rsidR="003A1917">
        <w:t xml:space="preserve"> the </w:t>
      </w:r>
      <w:r w:rsidRPr="001A3D2B">
        <w:t>strains had a similar susceptibility pattern. Percent agreement (within +, -1 log, dilution) between MICs yielded by</w:t>
      </w:r>
      <w:r w:rsidR="003A1917">
        <w:t xml:space="preserve"> the </w:t>
      </w:r>
      <w:r w:rsidRPr="001A3D2B">
        <w:t>Etest method</w:t>
      </w:r>
      <w:r w:rsidR="005853A9">
        <w:t xml:space="preserve"> and </w:t>
      </w:r>
      <w:r w:rsidRPr="001A3D2B">
        <w:t>by</w:t>
      </w:r>
      <w:r w:rsidR="003A1917">
        <w:t xml:space="preserve"> the </w:t>
      </w:r>
      <w:r w:rsidRPr="001A3D2B">
        <w:t>agar dilution method used as reference were 83, 59, 43,</w:t>
      </w:r>
      <w:r w:rsidR="005853A9">
        <w:t xml:space="preserve"> and </w:t>
      </w:r>
      <w:r w:rsidRPr="001A3D2B">
        <w:t>24% for minocycline, rifampin, clarithromycin,</w:t>
      </w:r>
      <w:r w:rsidR="005853A9">
        <w:t xml:space="preserve"> and </w:t>
      </w:r>
      <w:r w:rsidRPr="001A3D2B">
        <w:t>sparfloxacin, respectively. Reproducibility with</w:t>
      </w:r>
      <w:r w:rsidR="003A1917">
        <w:t xml:space="preserve"> the </w:t>
      </w:r>
      <w:r w:rsidRPr="001A3D2B">
        <w:t>Etest was Low, in contrast to that with</w:t>
      </w:r>
      <w:r w:rsidR="003A1917">
        <w:t xml:space="preserve"> the </w:t>
      </w:r>
      <w:r w:rsidRPr="001A3D2B">
        <w:t>agar dilution method. In conclusion, M. marinum is a naturally multidrug-resistant species for which</w:t>
      </w:r>
      <w:r w:rsidR="003A1917">
        <w:t xml:space="preserve"> the </w:t>
      </w:r>
      <w:r w:rsidRPr="001A3D2B">
        <w:t>agar dilution method is more accurate than</w:t>
      </w:r>
      <w:r w:rsidR="003A1917">
        <w:t xml:space="preserve"> the </w:t>
      </w:r>
      <w:r w:rsidRPr="001A3D2B">
        <w:t>Etest for antibiotic susceptibility testing</w:t>
      </w:r>
    </w:p>
    <w:p w:rsidR="003474F2" w:rsidRPr="001A3D2B" w:rsidRDefault="003474F2" w:rsidP="003474F2">
      <w:pPr>
        <w:pStyle w:val="a3"/>
      </w:pPr>
      <w:r w:rsidRPr="001A3D2B">
        <w:t>Keywords: Chelonae, Clarithromycin, Etest, Fortuitum, In-Vitro, Infections, Levofloxacin, Moxifloxacin, Mycobacterium, Quinolone, Rifabutin, Rifampin, Sparfloxacin, Tetracyclines, Tuberculosis</w:t>
      </w:r>
    </w:p>
    <w:p w:rsidR="003474F2" w:rsidRPr="001A3D2B" w:rsidRDefault="003474F2" w:rsidP="003474F2">
      <w:pPr>
        <w:pStyle w:val="a3"/>
      </w:pPr>
      <w:r w:rsidRPr="001A3D2B">
        <w:t>Sindelar, G., Zhao, X.L., Liew, A., Dong, Y.Z., Lu, T., Zhou, J.F., Domagala, J.</w:t>
      </w:r>
      <w:r w:rsidR="005853A9">
        <w:t xml:space="preserve"> and </w:t>
      </w:r>
      <w:r w:rsidRPr="001A3D2B">
        <w:t>Drlica, K. (2000), Mutant prevention concentration as a measure</w:t>
      </w:r>
      <w:r w:rsidR="00427468">
        <w:t xml:space="preserve"> of </w:t>
      </w:r>
      <w:r w:rsidRPr="001A3D2B">
        <w:t xml:space="preserve">fluoroquinolone potency against mycobacteria.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44</w:t>
      </w:r>
      <w:r w:rsidRPr="001A3D2B">
        <w:t xml:space="preserve"> (12), 3337-3343.</w:t>
      </w:r>
    </w:p>
    <w:p w:rsidR="003474F2" w:rsidRPr="001A3D2B" w:rsidRDefault="003474F2" w:rsidP="003474F2">
      <w:pPr>
        <w:pStyle w:val="a3"/>
      </w:pPr>
      <w:r w:rsidRPr="001A3D2B">
        <w:t xml:space="preserve">Full Text: </w:t>
      </w:r>
      <w:hyperlink r:id="rId1023" w:history="1">
        <w:r w:rsidRPr="001A3D2B">
          <w:rPr>
            <w:rStyle w:val="a5"/>
          </w:rPr>
          <w:t>2000\Ant Age Che44, 3337.pdf</w:t>
        </w:r>
      </w:hyperlink>
    </w:p>
    <w:p w:rsidR="003474F2" w:rsidRPr="001A3D2B" w:rsidRDefault="003474F2" w:rsidP="003474F2">
      <w:pPr>
        <w:pStyle w:val="a3"/>
      </w:pPr>
      <w:r w:rsidRPr="001A3D2B">
        <w:t>Abstract: Mutant prevention concentration (MPC) has been proposed as a new measure</w:t>
      </w:r>
      <w:r w:rsidR="00427468">
        <w:t xml:space="preserve"> of </w:t>
      </w:r>
      <w:r w:rsidRPr="001A3D2B">
        <w:t>antibiotic potency by which</w:t>
      </w:r>
      <w:r w:rsidR="003A1917">
        <w:t xml:space="preserve"> the </w:t>
      </w:r>
      <w:r w:rsidRPr="001A3D2B">
        <w:t>ability to restrict selection</w:t>
      </w:r>
      <w:r w:rsidR="00427468">
        <w:t xml:space="preserve"> of </w:t>
      </w:r>
      <w:r w:rsidRPr="001A3D2B">
        <w:t>resistant mutants is evaluated. To determine whether MPC provides potency information unavailable from</w:t>
      </w:r>
      <w:r w:rsidR="003A1917">
        <w:t xml:space="preserve"> the </w:t>
      </w:r>
      <w:r w:rsidRPr="001A3D2B">
        <w:t>more customary measurement</w:t>
      </w:r>
      <w:r w:rsidR="00427468">
        <w:t xml:space="preserve"> of </w:t>
      </w:r>
      <w:r w:rsidR="003A1917">
        <w:t xml:space="preserve">the </w:t>
      </w:r>
      <w:r w:rsidRPr="001A3D2B">
        <w:t>MIG, 18 fluoroquinolones were examined for their ability to block</w:t>
      </w:r>
      <w:r w:rsidR="003A1917">
        <w:t xml:space="preserve"> the </w:t>
      </w:r>
      <w:r w:rsidRPr="001A3D2B">
        <w:t>growth</w:t>
      </w:r>
      <w:r w:rsidR="00427468">
        <w:t xml:space="preserve"> of </w:t>
      </w:r>
      <w:r w:rsidRPr="001A3D2B">
        <w:t>Mycobacterium smegmatis</w:t>
      </w:r>
      <w:r w:rsidR="005853A9">
        <w:t xml:space="preserve"> and </w:t>
      </w:r>
      <w:r w:rsidRPr="001A3D2B">
        <w:t>to select resistant mutants from wild-type populations. Both MPC</w:t>
      </w:r>
      <w:r w:rsidR="005853A9">
        <w:t xml:space="preserve"> and </w:t>
      </w:r>
      <w:r w:rsidRPr="001A3D2B">
        <w:t>MIC were affected by changes in</w:t>
      </w:r>
      <w:r w:rsidR="003A1917">
        <w:t xml:space="preserve"> the </w:t>
      </w:r>
      <w:r w:rsidRPr="001A3D2B">
        <w:t>moiety at</w:t>
      </w:r>
      <w:r w:rsidR="003A1917">
        <w:t xml:space="preserve"> the </w:t>
      </w:r>
      <w:r w:rsidRPr="001A3D2B">
        <w:t>fluoroquinolone C-8 position</w:t>
      </w:r>
      <w:r w:rsidR="005853A9">
        <w:t xml:space="preserve"> and </w:t>
      </w:r>
      <w:r w:rsidRPr="001A3D2B">
        <w:t>in alkyl groups attached to</w:t>
      </w:r>
      <w:r w:rsidR="003A1917">
        <w:t xml:space="preserve"> the </w:t>
      </w:r>
      <w:r w:rsidRPr="001A3D2B">
        <w:t>C-7 piperazinyl ring. When eight resistant mutants, altered in</w:t>
      </w:r>
      <w:r w:rsidR="003A1917">
        <w:t xml:space="preserve"> the </w:t>
      </w:r>
      <w:r w:rsidRPr="001A3D2B">
        <w:t>gyrase A protein, were tested with fluoroquinolones having either a methoxy or a hydrogen at</w:t>
      </w:r>
      <w:r w:rsidR="003A1917">
        <w:t xml:space="preserve"> the </w:t>
      </w:r>
      <w:r w:rsidRPr="001A3D2B">
        <w:t>C-8 position,</w:t>
      </w:r>
      <w:r w:rsidR="003A1917">
        <w:t xml:space="preserve"> the </w:t>
      </w:r>
      <w:r w:rsidRPr="001A3D2B">
        <w:t>MIC for</w:t>
      </w:r>
      <w:r w:rsidR="003A1917">
        <w:t xml:space="preserve"> the </w:t>
      </w:r>
      <w:r w:rsidRPr="001A3D2B">
        <w:t>most resistant mutant correlated better with</w:t>
      </w:r>
      <w:r w:rsidR="003A1917">
        <w:t xml:space="preserve"> the </w:t>
      </w:r>
      <w:r w:rsidRPr="001A3D2B">
        <w:t>MPC than did</w:t>
      </w:r>
      <w:r w:rsidR="003A1917">
        <w:t xml:space="preserve"> the </w:t>
      </w:r>
      <w:r w:rsidRPr="001A3D2B">
        <w:t>MIC for wild-type cells. For C-8-fluorine derivatives, which were generally less active than</w:t>
      </w:r>
      <w:r w:rsidR="003A1917">
        <w:t xml:space="preserve"> the </w:t>
      </w:r>
      <w:r w:rsidRPr="001A3D2B">
        <w:t>C-8-methoxy compounds but which were more active than C-8-hydrogen derivatives,</w:t>
      </w:r>
      <w:r w:rsidR="003A1917">
        <w:t xml:space="preserve"> the </w:t>
      </w:r>
      <w:r w:rsidRPr="001A3D2B">
        <w:t>MICs for both</w:t>
      </w:r>
      <w:r w:rsidR="003A1917">
        <w:t xml:space="preserve"> the </w:t>
      </w:r>
      <w:r w:rsidRPr="001A3D2B">
        <w:t>mutant</w:t>
      </w:r>
      <w:r w:rsidR="005853A9">
        <w:t xml:space="preserve"> and </w:t>
      </w:r>
      <w:r w:rsidR="003A1917">
        <w:t xml:space="preserve">the </w:t>
      </w:r>
      <w:r w:rsidRPr="001A3D2B">
        <w:t>wild type correlated well, vith</w:t>
      </w:r>
      <w:r w:rsidR="003A1917">
        <w:t xml:space="preserve"> the </w:t>
      </w:r>
      <w:r w:rsidRPr="001A3D2B">
        <w:t>MPCs. Thus, measurement</w:t>
      </w:r>
      <w:r w:rsidR="00427468">
        <w:t xml:space="preserve"> of </w:t>
      </w:r>
      <w:r w:rsidR="003A1917">
        <w:t xml:space="preserve">the </w:t>
      </w:r>
      <w:r w:rsidRPr="001A3D2B">
        <w:t>MICs for wild-type cells can reflect</w:t>
      </w:r>
      <w:r w:rsidR="003A1917">
        <w:t xml:space="preserve"> the </w:t>
      </w:r>
      <w:r w:rsidRPr="001A3D2B">
        <w:t>ability</w:t>
      </w:r>
      <w:r w:rsidR="00427468">
        <w:t xml:space="preserve"> of </w:t>
      </w:r>
      <w:r w:rsidRPr="001A3D2B">
        <w:t>a quinolone to restrict</w:t>
      </w:r>
      <w:r w:rsidR="003A1917">
        <w:t xml:space="preserve"> the </w:t>
      </w:r>
      <w:r w:rsidRPr="001A3D2B">
        <w:t>selection</w:t>
      </w:r>
      <w:r w:rsidR="00427468">
        <w:t xml:space="preserve"> of </w:t>
      </w:r>
      <w:r w:rsidRPr="001A3D2B">
        <w:lastRenderedPageBreak/>
        <w:t>resistance, but often it does not. With</w:t>
      </w:r>
      <w:r w:rsidR="003A1917">
        <w:t xml:space="preserve"> the </w:t>
      </w:r>
      <w:r w:rsidRPr="001A3D2B">
        <w:t>present series</w:t>
      </w:r>
      <w:r w:rsidR="00427468">
        <w:t xml:space="preserve"> of </w:t>
      </w:r>
      <w:r w:rsidRPr="001A3D2B">
        <w:t>compounds,</w:t>
      </w:r>
      <w:r w:rsidR="003A1917">
        <w:t xml:space="preserve"> the </w:t>
      </w:r>
      <w:r w:rsidRPr="001A3D2B">
        <w:t>most potent contained a C-l-methoxy</w:t>
      </w:r>
      <w:r w:rsidR="005853A9">
        <w:t xml:space="preserve"> and </w:t>
      </w:r>
      <w:r w:rsidRPr="001A3D2B">
        <w:t>a small group attached to</w:t>
      </w:r>
      <w:r w:rsidR="003A1917">
        <w:t xml:space="preserve"> the </w:t>
      </w:r>
      <w:r w:rsidRPr="001A3D2B">
        <w:t>C-7 ring</w:t>
      </w:r>
    </w:p>
    <w:p w:rsidR="003474F2" w:rsidRPr="001A3D2B" w:rsidRDefault="003474F2" w:rsidP="003474F2">
      <w:pPr>
        <w:pStyle w:val="a3"/>
      </w:pPr>
      <w:r w:rsidRPr="001A3D2B">
        <w:t>Keywords: Fluoroquinolones, Gyrase, Mutations, New-York-City, Resistance, Resistant, Selection, Survival, Tuberculosis</w:t>
      </w:r>
    </w:p>
    <w:p w:rsidR="003474F2" w:rsidRPr="001A3D2B" w:rsidRDefault="003474F2" w:rsidP="003474F2">
      <w:pPr>
        <w:pStyle w:val="a3"/>
      </w:pPr>
      <w:r w:rsidRPr="001A3D2B">
        <w:t>Raherison, S., Gonzalez, P., Renaudin, H., Charron, A., Bebear, C.</w:t>
      </w:r>
      <w:r w:rsidR="005853A9">
        <w:t xml:space="preserve"> and </w:t>
      </w:r>
      <w:r w:rsidRPr="001A3D2B">
        <w:t>Bebear, C.M. (2002), Evidence</w:t>
      </w:r>
      <w:r w:rsidR="00427468">
        <w:t xml:space="preserve"> of </w:t>
      </w:r>
      <w:r w:rsidRPr="001A3D2B">
        <w:t>active efflux in resistance to ciprofloxacin</w:t>
      </w:r>
      <w:r w:rsidR="005853A9">
        <w:t xml:space="preserve"> and </w:t>
      </w:r>
      <w:r w:rsidRPr="001A3D2B">
        <w:t xml:space="preserve">to ethidium bromide by </w:t>
      </w:r>
      <w:r w:rsidRPr="001A3D2B">
        <w:rPr>
          <w:i/>
          <w:iCs/>
        </w:rPr>
        <w:t>Mycoplasma hominis</w:t>
      </w:r>
      <w:r w:rsidRPr="001A3D2B">
        <w:t xml:space="preserv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46</w:t>
      </w:r>
      <w:r w:rsidRPr="001A3D2B">
        <w:t xml:space="preserve"> (3), 672-679.</w:t>
      </w:r>
    </w:p>
    <w:p w:rsidR="003474F2" w:rsidRPr="001A3D2B" w:rsidRDefault="003474F2" w:rsidP="003474F2">
      <w:pPr>
        <w:pStyle w:val="a3"/>
      </w:pPr>
      <w:r w:rsidRPr="001A3D2B">
        <w:t xml:space="preserve">Full Text: </w:t>
      </w:r>
      <w:hyperlink r:id="rId1024" w:history="1">
        <w:r w:rsidRPr="001A3D2B">
          <w:rPr>
            <w:rStyle w:val="a5"/>
          </w:rPr>
          <w:t>2002\Ant Age Che46, 672.pdf</w:t>
        </w:r>
      </w:hyperlink>
    </w:p>
    <w:p w:rsidR="003474F2" w:rsidRPr="001A3D2B" w:rsidRDefault="003474F2" w:rsidP="003474F2">
      <w:pPr>
        <w:pStyle w:val="a3"/>
      </w:pPr>
      <w:r w:rsidRPr="001A3D2B">
        <w:t>Abstract:</w:t>
      </w:r>
      <w:r w:rsidR="003A1917">
        <w:t xml:space="preserve"> the </w:t>
      </w:r>
      <w:r w:rsidRPr="001A3D2B">
        <w:t>uptake</w:t>
      </w:r>
      <w:r w:rsidR="00427468">
        <w:t xml:space="preserve"> of </w:t>
      </w:r>
      <w:r w:rsidRPr="001A3D2B">
        <w:t>fluoroquinolones was characterized for</w:t>
      </w:r>
      <w:r w:rsidR="003A1917">
        <w:t xml:space="preserve"> the </w:t>
      </w:r>
      <w:r w:rsidRPr="001A3D2B">
        <w:t>fluoroquinolone-susceptible strain PG21</w:t>
      </w:r>
      <w:r w:rsidR="00427468">
        <w:t xml:space="preserve"> of </w:t>
      </w:r>
      <w:r w:rsidRPr="001A3D2B">
        <w:rPr>
          <w:i/>
          <w:iCs/>
        </w:rPr>
        <w:t>Mycoplasma hominis</w:t>
      </w:r>
      <w:r w:rsidRPr="001A3D2B">
        <w:t>. Accumulation</w:t>
      </w:r>
      <w:r w:rsidR="00427468">
        <w:t xml:space="preserve"> of </w:t>
      </w:r>
      <w:r w:rsidRPr="001A3D2B">
        <w:t>fluoroquinolones appeared to occur by passive diffusion. Addition</w:t>
      </w:r>
      <w:r w:rsidR="00427468">
        <w:t xml:space="preserve"> of </w:t>
      </w:r>
      <w:r w:rsidRPr="001A3D2B">
        <w:t>arginine as</w:t>
      </w:r>
      <w:r w:rsidR="003A1917">
        <w:t xml:space="preserve"> the </w:t>
      </w:r>
      <w:r w:rsidRPr="001A3D2B">
        <w:t>energizer significantly reduced</w:t>
      </w:r>
      <w:r w:rsidR="003A1917">
        <w:t xml:space="preserve"> the </w:t>
      </w:r>
      <w:r w:rsidRPr="001A3D2B">
        <w:t>uptake</w:t>
      </w:r>
      <w:r w:rsidR="00427468">
        <w:t xml:space="preserve"> of </w:t>
      </w:r>
      <w:r w:rsidRPr="001A3D2B">
        <w:t>fluoroquinolones, suggesting</w:t>
      </w:r>
      <w:r w:rsidR="003A1917">
        <w:t xml:space="preserve"> the </w:t>
      </w:r>
      <w:r w:rsidRPr="001A3D2B">
        <w:t>presence</w:t>
      </w:r>
      <w:r w:rsidR="00427468">
        <w:t xml:space="preserve"> of </w:t>
      </w:r>
      <w:r w:rsidRPr="001A3D2B">
        <w:t>an energy-dependent efflux process. Reserpine</w:t>
      </w:r>
      <w:r w:rsidR="005853A9">
        <w:t xml:space="preserve"> and </w:t>
      </w:r>
      <w:r w:rsidRPr="001A3D2B">
        <w:t>orthovanadate, two multidrug pump inhibitors, increased significantly</w:t>
      </w:r>
      <w:r w:rsidR="003A1917">
        <w:t xml:space="preserve"> the </w:t>
      </w:r>
      <w:r w:rsidRPr="001A3D2B">
        <w:t>ciprofloxacin (CIP) uptake. In contrast, such a strong effect was not observed for moxifloxacin</w:t>
      </w:r>
      <w:r w:rsidR="005853A9">
        <w:t xml:space="preserve"> and </w:t>
      </w:r>
      <w:r w:rsidRPr="001A3D2B">
        <w:t>pefloxacin uptakes. Two ethidium bromide (EtBr)-resistant strains, selected in vitro, showed a resistance profile compatible with a multidrug-resistant phenotype, with increased MICs for</w:t>
      </w:r>
      <w:r w:rsidR="003A1917">
        <w:t xml:space="preserve"> the </w:t>
      </w:r>
      <w:r w:rsidRPr="001A3D2B">
        <w:t>hydrophilic fluoroquinolones, CIP</w:t>
      </w:r>
      <w:r w:rsidR="005853A9">
        <w:t xml:space="preserve"> and </w:t>
      </w:r>
      <w:r w:rsidRPr="001A3D2B">
        <w:t>norfloxacin, EtBr,</w:t>
      </w:r>
      <w:r w:rsidR="005853A9">
        <w:t xml:space="preserve"> and </w:t>
      </w:r>
      <w:r w:rsidRPr="001A3D2B">
        <w:t>acriflavine. Taking</w:t>
      </w:r>
      <w:r w:rsidR="003A1917">
        <w:t xml:space="preserve"> the </w:t>
      </w:r>
      <w:r w:rsidRPr="001A3D2B">
        <w:t>EtBr-resistant strain RB1La as a model, a significant decrease</w:t>
      </w:r>
      <w:r w:rsidR="00427468">
        <w:t xml:space="preserve"> of </w:t>
      </w:r>
      <w:r w:rsidR="003A1917">
        <w:t xml:space="preserve">the </w:t>
      </w:r>
      <w:r w:rsidRPr="001A3D2B">
        <w:t>CIP</w:t>
      </w:r>
      <w:r w:rsidR="005853A9">
        <w:t xml:space="preserve"> and </w:t>
      </w:r>
      <w:r w:rsidRPr="001A3D2B">
        <w:t>EtBr uptakes was observed compared to</w:t>
      </w:r>
      <w:r w:rsidR="003A1917">
        <w:t xml:space="preserve"> the </w:t>
      </w:r>
      <w:r w:rsidRPr="001A3D2B">
        <w:t>reference strain PG21. In</w:t>
      </w:r>
      <w:r w:rsidR="003A1917">
        <w:t xml:space="preserve"> the </w:t>
      </w:r>
      <w:r w:rsidRPr="001A3D2B">
        <w:t>presence</w:t>
      </w:r>
      <w:r w:rsidR="00427468">
        <w:t xml:space="preserve"> of </w:t>
      </w:r>
      <w:r w:rsidRPr="001A3D2B">
        <w:t>reserpine</w:t>
      </w:r>
      <w:r w:rsidR="005853A9">
        <w:t xml:space="preserve"> and </w:t>
      </w:r>
      <w:r w:rsidRPr="001A3D2B">
        <w:t>orthovanadate, both inhibitors</w:t>
      </w:r>
      <w:r w:rsidR="00427468">
        <w:t xml:space="preserve"> of </w:t>
      </w:r>
      <w:r w:rsidRPr="001A3D2B">
        <w:t>ATP-dependent efflux pumps,</w:t>
      </w:r>
      <w:r w:rsidR="003A1917">
        <w:t xml:space="preserve"> the </w:t>
      </w:r>
      <w:r w:rsidRPr="001A3D2B">
        <w:t>CIP uptake increased significantly, reaching approximately</w:t>
      </w:r>
      <w:r w:rsidR="003A1917">
        <w:t xml:space="preserve"> the </w:t>
      </w:r>
      <w:r w:rsidRPr="001A3D2B">
        <w:t>same level as that</w:t>
      </w:r>
      <w:r w:rsidR="00427468">
        <w:t xml:space="preserve"> of </w:t>
      </w:r>
      <w:r w:rsidR="003A1917">
        <w:t xml:space="preserve">the </w:t>
      </w:r>
      <w:r w:rsidRPr="001A3D2B">
        <w:t>susceptible strain. Similar results were obtained with EtBr uptake</w:t>
      </w:r>
      <w:r w:rsidR="005853A9">
        <w:t xml:space="preserve"> and </w:t>
      </w:r>
      <w:r w:rsidRPr="001A3D2B">
        <w:t>efflux experiments. Our data suggest</w:t>
      </w:r>
      <w:r w:rsidR="003A1917">
        <w:t xml:space="preserve"> the </w:t>
      </w:r>
      <w:r w:rsidRPr="001A3D2B">
        <w:t>presence</w:t>
      </w:r>
      <w:r w:rsidR="00427468">
        <w:t xml:space="preserve"> of </w:t>
      </w:r>
      <w:r w:rsidRPr="001A3D2B">
        <w:t>an active efflux system, possibly an ABC-type efflux pump, implicated in</w:t>
      </w:r>
      <w:r w:rsidR="003A1917">
        <w:t xml:space="preserve"> the </w:t>
      </w:r>
      <w:r w:rsidRPr="001A3D2B">
        <w:t>resistance to CIP</w:t>
      </w:r>
      <w:r w:rsidR="005853A9">
        <w:t xml:space="preserve"> and </w:t>
      </w:r>
      <w:r w:rsidRPr="001A3D2B">
        <w:t>unrelated compounds like EtBr in</w:t>
      </w:r>
      <w:r w:rsidR="003A1917">
        <w:t xml:space="preserve"> the </w:t>
      </w:r>
      <w:r w:rsidRPr="001A3D2B">
        <w:t>human mycoplasma M. hominis</w:t>
      </w:r>
    </w:p>
    <w:p w:rsidR="003474F2" w:rsidRPr="001A3D2B" w:rsidRDefault="003474F2" w:rsidP="003474F2">
      <w:pPr>
        <w:pStyle w:val="a3"/>
      </w:pPr>
      <w:r w:rsidRPr="001A3D2B">
        <w:t xml:space="preserve">Keywords: Bacillus-Subtilis, Dna Gyrase, Escherichia-Coli, Fluoroquinolone Resistance, Fluoroquinolones, Mediated Multidrug-Resistance, Moxifloxacin, </w:t>
      </w:r>
      <w:r w:rsidRPr="001A3D2B">
        <w:rPr>
          <w:i/>
          <w:iCs/>
        </w:rPr>
        <w:t>Mycobacterium tuberculosis</w:t>
      </w:r>
      <w:r w:rsidRPr="001A3D2B">
        <w:t xml:space="preserve">, Pseudomonas-Aeruginosa, Quinolone Accumulation, Resistance, Staphylococcus-Aureus, </w:t>
      </w:r>
      <w:r w:rsidRPr="001A3D2B">
        <w:rPr>
          <w:i/>
          <w:iCs/>
        </w:rPr>
        <w:t>Streptococcus pneumoniae</w:t>
      </w:r>
    </w:p>
    <w:p w:rsidR="003474F2" w:rsidRPr="001A3D2B" w:rsidRDefault="003474F2" w:rsidP="003474F2">
      <w:pPr>
        <w:pStyle w:val="a3"/>
      </w:pPr>
      <w:r w:rsidRPr="001A3D2B">
        <w:t>Yoshimatsu, T., Nuermberger, E., Tyagi, S., Chaisson, R., Bishai, W.</w:t>
      </w:r>
      <w:r w:rsidR="005853A9">
        <w:t xml:space="preserve"> and </w:t>
      </w:r>
      <w:r w:rsidRPr="001A3D2B">
        <w:t>Grosset, J. (2002), Bactericidal activity</w:t>
      </w:r>
      <w:r w:rsidR="00427468">
        <w:t xml:space="preserve"> of </w:t>
      </w:r>
      <w:r w:rsidRPr="001A3D2B">
        <w:t>increasing daily</w:t>
      </w:r>
      <w:r w:rsidR="005853A9">
        <w:t xml:space="preserve"> and </w:t>
      </w:r>
      <w:r w:rsidRPr="001A3D2B">
        <w:t>weekly doses</w:t>
      </w:r>
      <w:r w:rsidR="00427468">
        <w:t xml:space="preserve"> of </w:t>
      </w:r>
      <w:r w:rsidRPr="001A3D2B">
        <w:t xml:space="preserve">moxifloxacin in murine tuberculosis.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46</w:t>
      </w:r>
      <w:r w:rsidRPr="001A3D2B">
        <w:t xml:space="preserve"> (6), 1875-1879.</w:t>
      </w:r>
    </w:p>
    <w:p w:rsidR="003474F2" w:rsidRPr="001A3D2B" w:rsidRDefault="003474F2" w:rsidP="003474F2">
      <w:pPr>
        <w:pStyle w:val="a3"/>
      </w:pPr>
      <w:r w:rsidRPr="001A3D2B">
        <w:t xml:space="preserve">Full Text: </w:t>
      </w:r>
      <w:hyperlink r:id="rId1025" w:history="1">
        <w:r w:rsidRPr="001A3D2B">
          <w:rPr>
            <w:rStyle w:val="a5"/>
          </w:rPr>
          <w:t>2002\Ant Age Che46, 1875.pdf</w:t>
        </w:r>
      </w:hyperlink>
    </w:p>
    <w:p w:rsidR="003474F2" w:rsidRPr="001A3D2B" w:rsidRDefault="003474F2" w:rsidP="003474F2">
      <w:pPr>
        <w:pStyle w:val="a3"/>
      </w:pPr>
      <w:r w:rsidRPr="001A3D2B">
        <w:t xml:space="preserve">Abstract: Moxifloxacin (MXF) is a new 8-methoxyquinolone with potent activity against </w:t>
      </w:r>
      <w:r w:rsidRPr="001A3D2B">
        <w:rPr>
          <w:i/>
          <w:iCs/>
        </w:rPr>
        <w:t>Mycobacterium tuberculosis</w:t>
      </w:r>
      <w:r w:rsidR="005853A9">
        <w:t xml:space="preserve"> and </w:t>
      </w:r>
      <w:r w:rsidRPr="001A3D2B">
        <w:t>a half-life</w:t>
      </w:r>
      <w:r w:rsidR="00427468">
        <w:t xml:space="preserve"> of </w:t>
      </w:r>
      <w:r w:rsidRPr="001A3D2B">
        <w:t>9 to 12 h in humans. Previous in vivo studies using daily doses</w:t>
      </w:r>
      <w:r w:rsidR="00427468">
        <w:t xml:space="preserve"> of </w:t>
      </w:r>
      <w:r w:rsidRPr="001A3D2B">
        <w:t>100 mg, kg</w:t>
      </w:r>
      <w:r w:rsidR="00427468">
        <w:t xml:space="preserve"> of </w:t>
      </w:r>
      <w:r w:rsidRPr="001A3D2B">
        <w:t>body weight have demonstrated bactericidal activity comparable to that</w:t>
      </w:r>
      <w:r w:rsidR="00427468">
        <w:t xml:space="preserve"> of </w:t>
      </w:r>
      <w:r w:rsidRPr="001A3D2B">
        <w:t>isoniazid (INH) in a murine model</w:t>
      </w:r>
      <w:r w:rsidR="00427468">
        <w:t xml:space="preserve"> of </w:t>
      </w:r>
      <w:r w:rsidRPr="001A3D2B">
        <w:lastRenderedPageBreak/>
        <w:t>tuberculosis (TB). Recent pharmacokinetic data suggest that MXF may have been underadministered in these studies</w:t>
      </w:r>
      <w:r w:rsidR="005853A9">
        <w:t xml:space="preserve"> and </w:t>
      </w:r>
      <w:r w:rsidRPr="001A3D2B">
        <w:t>that a 400-mg, kg dose in mice better approximates</w:t>
      </w:r>
      <w:r w:rsidR="003A1917">
        <w:t xml:space="preserve"> the </w:t>
      </w:r>
      <w:r w:rsidRPr="001A3D2B">
        <w:t>area under</w:t>
      </w:r>
      <w:r w:rsidR="003A1917">
        <w:t xml:space="preserve"> the </w:t>
      </w:r>
      <w:r w:rsidRPr="001A3D2B">
        <w:t>concentration-time curve obtained in humans after a 400-mg oral dose</w:t>
      </w:r>
      <w:r w:rsidR="00A37C1D">
        <w:t>. The</w:t>
      </w:r>
      <w:r w:rsidRPr="001A3D2B">
        <w:t>refore,</w:t>
      </w:r>
      <w:r w:rsidR="003A1917">
        <w:t xml:space="preserve"> the </w:t>
      </w:r>
      <w:r w:rsidRPr="001A3D2B">
        <w:t>bactericidal activity</w:t>
      </w:r>
      <w:r w:rsidR="00427468">
        <w:t xml:space="preserve"> of </w:t>
      </w:r>
      <w:r w:rsidRPr="001A3D2B">
        <w:t>MXF in doses up to 400 mg, kg given daily or weekly for 28 days was assessed in mice infected intravenously with 5×106 CFU</w:t>
      </w:r>
      <w:r w:rsidR="00427468">
        <w:t xml:space="preserve"> of </w:t>
      </w:r>
      <w:r w:rsidRPr="001A3D2B">
        <w:t>M. tuberculosis. INH was used as a positive control. After 3 days</w:t>
      </w:r>
      <w:r w:rsidR="00427468">
        <w:t xml:space="preserve"> of </w:t>
      </w:r>
      <w:r w:rsidRPr="001A3D2B">
        <w:t>daily therapy,</w:t>
      </w:r>
      <w:r w:rsidR="003A1917">
        <w:t xml:space="preserve"> the </w:t>
      </w:r>
      <w:r w:rsidRPr="001A3D2B">
        <w:t>CFU counts from splenic homogenates for mice treated with MXF in doses</w:t>
      </w:r>
      <w:r w:rsidR="00427468">
        <w:t xml:space="preserve"> of </w:t>
      </w:r>
      <w:r w:rsidRPr="001A3D2B">
        <w:t>100 to 400 mg, kg, day were lower than those from pretreatment controls. No significant differences in CFU counts were seen when mice receiving INH or MXF at 50 mg, kg, day were compared to pretreatment controls. After 28 days</w:t>
      </w:r>
      <w:r w:rsidR="00427468">
        <w:t xml:space="preserve"> of </w:t>
      </w:r>
      <w:r w:rsidRPr="001A3D2B">
        <w:t>therapy, dose-dependent reductions in CFU counts in splenic homogenates were seen for daily MXF therapy</w:t>
      </w:r>
      <w:r w:rsidR="00A37C1D">
        <w:t>. The</w:t>
      </w:r>
      <w:r w:rsidR="003A1917">
        <w:t xml:space="preserve"> </w:t>
      </w:r>
      <w:r w:rsidRPr="001A3D2B">
        <w:t>maximum bactericidal effect was seen with daily doses</w:t>
      </w:r>
      <w:r w:rsidR="00427468">
        <w:t xml:space="preserve"> of </w:t>
      </w:r>
      <w:r w:rsidRPr="001A3D2B">
        <w:t>400 mg, kg, which resulted in a reduction in CFU counts</w:t>
      </w:r>
      <w:r w:rsidR="00427468">
        <w:t xml:space="preserve"> of </w:t>
      </w:r>
      <w:r w:rsidRPr="001A3D2B">
        <w:t>1 log, 0 greater than that with INH treatment, although</w:t>
      </w:r>
      <w:r w:rsidR="003A1917">
        <w:t xml:space="preserve"> the </w:t>
      </w:r>
      <w:r w:rsidRPr="001A3D2B">
        <w:t>difference was not statistically significant. CFU counts from lung homogenates after 28 days</w:t>
      </w:r>
      <w:r w:rsidR="00427468">
        <w:t xml:space="preserve"> of </w:t>
      </w:r>
      <w:r w:rsidRPr="001A3D2B">
        <w:t>therapy were significantly lower in all treatment groups than in untreated controls</w:t>
      </w:r>
      <w:r w:rsidR="00A37C1D">
        <w:t>. The</w:t>
      </w:r>
      <w:r w:rsidR="003A1917">
        <w:t xml:space="preserve"> </w:t>
      </w:r>
      <w:r w:rsidRPr="001A3D2B">
        <w:t>weekly administration</w:t>
      </w:r>
      <w:r w:rsidR="00427468">
        <w:t xml:space="preserve"> of </w:t>
      </w:r>
      <w:r w:rsidRPr="001A3D2B">
        <w:t>MXF in doses ranging from 50 to 400 mg, kg resulted in no significant bactericidal activity. Mice receiving daily MXF doses</w:t>
      </w:r>
      <w:r w:rsidR="00427468">
        <w:t xml:space="preserve"> of </w:t>
      </w:r>
      <w:r w:rsidRPr="001A3D2B">
        <w:t>200</w:t>
      </w:r>
      <w:r w:rsidR="005853A9">
        <w:t xml:space="preserve"> and </w:t>
      </w:r>
      <w:r w:rsidRPr="001A3D2B">
        <w:t>400 mg, kg, day failed to gain weight</w:t>
      </w:r>
      <w:r w:rsidR="005853A9">
        <w:t xml:space="preserve"> and </w:t>
      </w:r>
      <w:r w:rsidRPr="001A3D2B">
        <w:t>appeared ill after 28 days</w:t>
      </w:r>
      <w:r w:rsidR="00427468">
        <w:t xml:space="preserve"> of </w:t>
      </w:r>
      <w:r w:rsidRPr="001A3D2B">
        <w:t>therapy, findings suggestive</w:t>
      </w:r>
      <w:r w:rsidR="00427468">
        <w:t xml:space="preserve"> of </w:t>
      </w:r>
      <w:r w:rsidRPr="001A3D2B">
        <w:t>drug toxicity. In conclusion, MXF has dose- dependent bactericidal activity against M. tuberculosis in</w:t>
      </w:r>
      <w:r w:rsidR="003A1917">
        <w:t xml:space="preserve"> the </w:t>
      </w:r>
      <w:r w:rsidRPr="001A3D2B">
        <w:t>mouse when given in doses up to 400 mg, kg, where its pharmacokinetic profile better approximates that</w:t>
      </w:r>
      <w:r w:rsidR="00427468">
        <w:t xml:space="preserve"> of </w:t>
      </w:r>
      <w:r w:rsidRPr="001A3D2B">
        <w:t>standard human dosages. Combination regimens which take advantage</w:t>
      </w:r>
      <w:r w:rsidR="00427468">
        <w:t xml:space="preserve"> of </w:t>
      </w:r>
      <w:r w:rsidR="003A1917">
        <w:t xml:space="preserve">the </w:t>
      </w:r>
      <w:r w:rsidRPr="001A3D2B">
        <w:t>enhanced pharmacodynamic profile</w:t>
      </w:r>
      <w:r w:rsidR="00427468">
        <w:t xml:space="preserve"> of </w:t>
      </w:r>
      <w:r w:rsidRPr="001A3D2B">
        <w:t>MXF at these doses have</w:t>
      </w:r>
      <w:r w:rsidR="003A1917">
        <w:t xml:space="preserve"> the </w:t>
      </w:r>
      <w:r w:rsidRPr="001A3D2B">
        <w:t>potential to shorten</w:t>
      </w:r>
      <w:r w:rsidR="003A1917">
        <w:t xml:space="preserve"> the </w:t>
      </w:r>
      <w:r w:rsidRPr="001A3D2B">
        <w:t>course</w:t>
      </w:r>
      <w:r w:rsidR="00427468">
        <w:t xml:space="preserve"> of </w:t>
      </w:r>
      <w:r w:rsidRPr="001A3D2B">
        <w:t>antituberculous therapy or allow more intermittent (i.e., once-weekly) therapy</w:t>
      </w:r>
      <w:r w:rsidR="005853A9">
        <w:t xml:space="preserve"> and </w:t>
      </w:r>
      <w:r w:rsidRPr="001A3D2B">
        <w:t>should be evaluated in</w:t>
      </w:r>
      <w:r w:rsidR="003A1917">
        <w:t xml:space="preserve"> the </w:t>
      </w:r>
      <w:r w:rsidRPr="001A3D2B">
        <w:t>mouse model</w:t>
      </w:r>
      <w:r w:rsidR="00427468">
        <w:t xml:space="preserve"> of </w:t>
      </w:r>
      <w:r w:rsidRPr="001A3D2B">
        <w:t>TB</w:t>
      </w:r>
    </w:p>
    <w:p w:rsidR="003474F2" w:rsidRPr="001A3D2B" w:rsidRDefault="003474F2" w:rsidP="003474F2">
      <w:pPr>
        <w:pStyle w:val="a3"/>
      </w:pPr>
      <w:r w:rsidRPr="001A3D2B">
        <w:t xml:space="preserve">Keywords: 8-Methoxy Quinolone, Drugs, Fluoroquinolone, In-Vitro, Mice, Moxifloxacin, </w:t>
      </w:r>
      <w:r w:rsidRPr="001A3D2B">
        <w:rPr>
          <w:i/>
          <w:iCs/>
        </w:rPr>
        <w:t>Mycobacterium tuberculosis</w:t>
      </w:r>
      <w:r w:rsidRPr="001A3D2B">
        <w:t xml:space="preserve">, </w:t>
      </w:r>
      <w:r w:rsidRPr="001A3D2B">
        <w:rPr>
          <w:i/>
          <w:iCs/>
        </w:rPr>
        <w:t>Mycobacterium tuberculosis</w:t>
      </w:r>
      <w:r w:rsidRPr="001A3D2B">
        <w:t>, Pharmacokinetics, Safety, Toxicity, Tuberculosis</w:t>
      </w:r>
    </w:p>
    <w:p w:rsidR="003474F2" w:rsidRPr="001A3D2B" w:rsidRDefault="003474F2" w:rsidP="003474F2">
      <w:pPr>
        <w:pStyle w:val="a3"/>
      </w:pPr>
      <w:r w:rsidRPr="001A3D2B">
        <w:t>Kishii, R., Takei, M., Fukuda, H., Hayashi, K.</w:t>
      </w:r>
      <w:r w:rsidR="005853A9">
        <w:t xml:space="preserve"> and </w:t>
      </w:r>
      <w:r w:rsidRPr="001A3D2B">
        <w:t>Hosaka, M. (2003), Contribution</w:t>
      </w:r>
      <w:r w:rsidR="00427468">
        <w:t xml:space="preserve"> of </w:t>
      </w:r>
      <w:r w:rsidR="003A1917">
        <w:t xml:space="preserve">the </w:t>
      </w:r>
      <w:r w:rsidRPr="001A3D2B">
        <w:t>8-methoxy group to</w:t>
      </w:r>
      <w:r w:rsidR="003A1917">
        <w:t xml:space="preserve"> the </w:t>
      </w:r>
      <w:r w:rsidRPr="001A3D2B">
        <w:t>activity</w:t>
      </w:r>
      <w:r w:rsidR="00427468">
        <w:t xml:space="preserve"> of </w:t>
      </w:r>
      <w:r w:rsidRPr="001A3D2B">
        <w:t>gatifloxacin against type II topoisornerases</w:t>
      </w:r>
      <w:r w:rsidR="00427468">
        <w:t xml:space="preserve"> of </w:t>
      </w:r>
      <w:r w:rsidRPr="001A3D2B">
        <w:rPr>
          <w:i/>
          <w:iCs/>
        </w:rPr>
        <w:t>Streptococcus pneumoniae</w:t>
      </w:r>
      <w:r w:rsidRPr="001A3D2B">
        <w:t xml:space="preserve">.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47</w:t>
      </w:r>
      <w:r w:rsidRPr="001A3D2B">
        <w:t xml:space="preserve"> (1), 77-81.</w:t>
      </w:r>
    </w:p>
    <w:p w:rsidR="003474F2" w:rsidRPr="001A3D2B" w:rsidRDefault="003474F2" w:rsidP="003474F2">
      <w:pPr>
        <w:pStyle w:val="a3"/>
      </w:pPr>
      <w:r w:rsidRPr="001A3D2B">
        <w:t xml:space="preserve">Full Text: </w:t>
      </w:r>
      <w:hyperlink r:id="rId1026" w:history="1">
        <w:r w:rsidRPr="001A3D2B">
          <w:rPr>
            <w:rStyle w:val="a5"/>
          </w:rPr>
          <w:t>2003\Ant Age Che47, 77.pdf</w:t>
        </w:r>
      </w:hyperlink>
    </w:p>
    <w:p w:rsidR="003474F2" w:rsidRPr="001A3D2B" w:rsidRDefault="003474F2" w:rsidP="003474F2">
      <w:pPr>
        <w:pStyle w:val="a3"/>
      </w:pPr>
      <w:r w:rsidRPr="001A3D2B">
        <w:t>Abstract:</w:t>
      </w:r>
      <w:r w:rsidR="003A1917">
        <w:t xml:space="preserve"> the </w:t>
      </w:r>
      <w:r w:rsidRPr="001A3D2B">
        <w:t>inhibitory activities (50% inhibitory concentrations [IC(50)s])</w:t>
      </w:r>
      <w:r w:rsidR="00427468">
        <w:t xml:space="preserve"> of </w:t>
      </w:r>
      <w:r w:rsidRPr="001A3D2B">
        <w:t>gatifloxacin</w:t>
      </w:r>
      <w:r w:rsidR="005853A9">
        <w:t xml:space="preserve"> and </w:t>
      </w:r>
      <w:r w:rsidRPr="001A3D2B">
        <w:t>other quinolones against both DNA gyrase</w:t>
      </w:r>
      <w:r w:rsidR="005853A9">
        <w:t xml:space="preserve"> and </w:t>
      </w:r>
      <w:r w:rsidRPr="001A3D2B">
        <w:t>topoisomerase IV</w:t>
      </w:r>
      <w:r w:rsidR="00427468">
        <w:t xml:space="preserve"> of </w:t>
      </w:r>
      <w:r w:rsidR="003A1917">
        <w:t xml:space="preserve">the </w:t>
      </w:r>
      <w:r w:rsidRPr="001A3D2B">
        <w:t xml:space="preserve">wild-type </w:t>
      </w:r>
      <w:r w:rsidRPr="001A3D2B">
        <w:rPr>
          <w:i/>
          <w:iCs/>
        </w:rPr>
        <w:t>Streptococcus pneumoniae</w:t>
      </w:r>
      <w:r w:rsidRPr="001A3D2B">
        <w:t xml:space="preserve"> IID553 were determined</w:t>
      </w:r>
      <w:r w:rsidR="00A37C1D">
        <w:t>. The</w:t>
      </w:r>
      <w:r w:rsidR="003A1917">
        <w:t xml:space="preserve"> </w:t>
      </w:r>
      <w:r w:rsidRPr="001A3D2B">
        <w:t>IC(50)s</w:t>
      </w:r>
      <w:r w:rsidR="00427468">
        <w:t xml:space="preserve"> of </w:t>
      </w:r>
      <w:r w:rsidRPr="001A3D2B">
        <w:t>10 compounds ranged from 4.28 to 582 mug, ml against DNA gyrase</w:t>
      </w:r>
      <w:r w:rsidR="005853A9">
        <w:t xml:space="preserve"> and </w:t>
      </w:r>
      <w:r w:rsidRPr="001A3D2B">
        <w:t>from 1.90 to 35.2 mug, ml against topoisomerase IV</w:t>
      </w:r>
      <w:r w:rsidR="00A37C1D">
        <w:t>. The</w:t>
      </w:r>
      <w:r w:rsidR="003A1917">
        <w:t xml:space="preserve"> </w:t>
      </w:r>
      <w:r w:rsidRPr="001A3D2B">
        <w:t>inhibitory activity against DNA gyrase was more varied than that against topoisomerase IV among fluoroquinolones</w:t>
      </w:r>
      <w:r w:rsidR="00A37C1D">
        <w:t>. The</w:t>
      </w:r>
      <w:r w:rsidR="003A1917">
        <w:t xml:space="preserve"> </w:t>
      </w:r>
      <w:r w:rsidRPr="001A3D2B">
        <w:lastRenderedPageBreak/>
        <w:t>IC(50)s for DNA gyrase</w:t>
      </w:r>
      <w:r w:rsidR="00427468">
        <w:t xml:space="preserve"> of </w:t>
      </w:r>
      <w:r w:rsidR="003A1917">
        <w:t xml:space="preserve">the </w:t>
      </w:r>
      <w:r w:rsidRPr="001A3D2B">
        <w:t>8-methoxy quinolones gatifloxacin</w:t>
      </w:r>
      <w:r w:rsidR="005853A9">
        <w:t xml:space="preserve"> and </w:t>
      </w:r>
      <w:r w:rsidRPr="001A3D2B">
        <w:t>AM-1147 were approximately seven times lower than those</w:t>
      </w:r>
      <w:r w:rsidR="00427468">
        <w:t xml:space="preserve"> of </w:t>
      </w:r>
      <w:r w:rsidRPr="001A3D2B">
        <w:t>their 8-H counterparts AM-1121</w:t>
      </w:r>
      <w:r w:rsidR="005853A9">
        <w:t xml:space="preserve"> and </w:t>
      </w:r>
      <w:r w:rsidRPr="001A3D2B">
        <w:t>ciprofloxacin, whereas</w:t>
      </w:r>
      <w:r w:rsidR="003A1917">
        <w:t xml:space="preserve"> the </w:t>
      </w:r>
      <w:r w:rsidRPr="001A3D2B">
        <w:t>IC(50)s for topoisomerase IV were 1.5 times lower. Moreover,</w:t>
      </w:r>
      <w:r w:rsidR="003A1917">
        <w:t xml:space="preserve"> the </w:t>
      </w:r>
      <w:r w:rsidRPr="001A3D2B">
        <w:t>IC50 ratios (IC50 for DNA gyrase, IC50 for topoisomerase IV)</w:t>
      </w:r>
      <w:r w:rsidR="00427468">
        <w:t xml:space="preserve"> of </w:t>
      </w:r>
      <w:r w:rsidRPr="001A3D2B">
        <w:t>gatifloxacin, AM-1147,</w:t>
      </w:r>
      <w:r w:rsidR="005853A9">
        <w:t xml:space="preserve"> and </w:t>
      </w:r>
      <w:r w:rsidRPr="001A3D2B">
        <w:t>moxifloxacin, which possess 8- methoxy groups, were almost</w:t>
      </w:r>
      <w:r w:rsidR="003A1917">
        <w:t xml:space="preserve"> the </w:t>
      </w:r>
      <w:r w:rsidRPr="001A3D2B">
        <w:t>same</w:t>
      </w:r>
      <w:r w:rsidR="00A37C1D">
        <w:t>. The</w:t>
      </w:r>
      <w:r w:rsidR="003A1917">
        <w:t xml:space="preserve"> </w:t>
      </w:r>
      <w:r w:rsidRPr="001A3D2B">
        <w:t>8-methoxy quinolones showed higher antibacterial activity</w:t>
      </w:r>
      <w:r w:rsidR="005853A9">
        <w:t xml:space="preserve"> and </w:t>
      </w:r>
      <w:r w:rsidRPr="001A3D2B">
        <w:t>less mutant selectivity against IID553 than their 8-H counterparts</w:t>
      </w:r>
      <w:r w:rsidR="00A37C1D">
        <w:t>. The</w:t>
      </w:r>
      <w:r w:rsidRPr="001A3D2B">
        <w:t>se results suggest that</w:t>
      </w:r>
      <w:r w:rsidR="003A1917">
        <w:t xml:space="preserve"> the </w:t>
      </w:r>
      <w:r w:rsidRPr="001A3D2B">
        <w:t>8-methoxy group enhances both target inhibition, especially for DNA gyrase, leading to potent antipneumococcal activity</w:t>
      </w:r>
      <w:r w:rsidR="005853A9">
        <w:t xml:space="preserve"> and </w:t>
      </w:r>
      <w:r w:rsidRPr="001A3D2B">
        <w:t>dual inhibition against both DNA gyrase</w:t>
      </w:r>
      <w:r w:rsidR="005853A9">
        <w:t xml:space="preserve"> and </w:t>
      </w:r>
      <w:r w:rsidRPr="001A3D2B">
        <w:t>topoisomerase IV in</w:t>
      </w:r>
      <w:r w:rsidR="003A1917">
        <w:t xml:space="preserve"> the </w:t>
      </w:r>
      <w:r w:rsidRPr="001A3D2B">
        <w:t>bacterial cell</w:t>
      </w:r>
    </w:p>
    <w:p w:rsidR="003474F2" w:rsidRPr="001A3D2B" w:rsidRDefault="003474F2" w:rsidP="003474F2">
      <w:pPr>
        <w:pStyle w:val="a3"/>
      </w:pPr>
      <w:r w:rsidRPr="001A3D2B">
        <w:t xml:space="preserve">Keywords: Antibacterial Activities, Antibacterial Activity, Dna Gyrase, Fluoroquinolone Action, Fluoroquinolones, Gatifloxacin, Gyrase, In-Vitro, Mechanisms, Moxifloxacin, </w:t>
      </w:r>
      <w:r w:rsidRPr="001A3D2B">
        <w:rPr>
          <w:i/>
          <w:iCs/>
        </w:rPr>
        <w:t>Mycobacterium tuberculosis</w:t>
      </w:r>
      <w:r w:rsidRPr="001A3D2B">
        <w:t>, Quinolone Resistance, Staphylococcus-Aureus, Target Preference, Topoisomerase IV, Topoisomerase-IV</w:t>
      </w:r>
    </w:p>
    <w:p w:rsidR="003474F2" w:rsidRPr="001A3D2B" w:rsidRDefault="003474F2" w:rsidP="003474F2">
      <w:pPr>
        <w:pStyle w:val="a3"/>
      </w:pPr>
      <w:r w:rsidRPr="001A3D2B">
        <w:t>Martín-Galiano, A.J.</w:t>
      </w:r>
      <w:r w:rsidR="005853A9">
        <w:t xml:space="preserve"> and </w:t>
      </w:r>
      <w:r w:rsidRPr="001A3D2B">
        <w:t>de la Campa, A.G. (2003), High-efficiency generation</w:t>
      </w:r>
      <w:r w:rsidR="00427468">
        <w:t xml:space="preserve"> of </w:t>
      </w:r>
      <w:r w:rsidRPr="001A3D2B">
        <w:t>antibiotic-resistant strains</w:t>
      </w:r>
      <w:r w:rsidR="00427468">
        <w:t xml:space="preserve"> of </w:t>
      </w:r>
      <w:r w:rsidRPr="001A3D2B">
        <w:rPr>
          <w:i/>
          <w:iCs/>
        </w:rPr>
        <w:t>Streptococcus pneumoniae</w:t>
      </w:r>
      <w:r w:rsidRPr="001A3D2B">
        <w:t xml:space="preserve"> by PCR</w:t>
      </w:r>
      <w:r w:rsidR="005853A9">
        <w:t xml:space="preserve"> and </w:t>
      </w:r>
      <w:r w:rsidRPr="001A3D2B">
        <w:t xml:space="preserve">transformation. </w:t>
      </w:r>
      <w:r w:rsidRPr="001A3D2B">
        <w:rPr>
          <w:i/>
          <w:iCs/>
        </w:rPr>
        <w:t>Antimicrobial Agents</w:t>
      </w:r>
      <w:r w:rsidR="005853A9">
        <w:rPr>
          <w:i/>
          <w:iCs/>
        </w:rPr>
        <w:t xml:space="preserve"> and </w:t>
      </w:r>
      <w:r w:rsidRPr="001A3D2B">
        <w:rPr>
          <w:i/>
          <w:iCs/>
        </w:rPr>
        <w:t>Chemotherapy</w:t>
      </w:r>
      <w:r w:rsidRPr="001A3D2B">
        <w:t xml:space="preserve">, </w:t>
      </w:r>
      <w:r w:rsidRPr="001A3D2B">
        <w:rPr>
          <w:b/>
          <w:bCs/>
        </w:rPr>
        <w:t>47</w:t>
      </w:r>
      <w:r w:rsidRPr="001A3D2B">
        <w:t xml:space="preserve"> (4), 1257-1261.</w:t>
      </w:r>
    </w:p>
    <w:p w:rsidR="003474F2" w:rsidRPr="001A3D2B" w:rsidRDefault="003474F2" w:rsidP="003474F2">
      <w:pPr>
        <w:pStyle w:val="a3"/>
      </w:pPr>
      <w:r w:rsidRPr="001A3D2B">
        <w:t xml:space="preserve">Full Text: </w:t>
      </w:r>
      <w:hyperlink r:id="rId1027" w:history="1">
        <w:r w:rsidRPr="001A3D2B">
          <w:rPr>
            <w:rStyle w:val="a5"/>
          </w:rPr>
          <w:t>2003\Ant Age Che47, 1257.pdf</w:t>
        </w:r>
      </w:hyperlink>
    </w:p>
    <w:p w:rsidR="003474F2" w:rsidRPr="001A3D2B" w:rsidRDefault="003474F2" w:rsidP="003474F2">
      <w:pPr>
        <w:pStyle w:val="a3"/>
      </w:pPr>
      <w:r w:rsidRPr="001A3D2B">
        <w:t>Abstract: We designed a method by which to generate antibiotic-resistant strains</w:t>
      </w:r>
      <w:r w:rsidR="00427468">
        <w:t xml:space="preserve"> of </w:t>
      </w:r>
      <w:r w:rsidRPr="001A3D2B">
        <w:rPr>
          <w:i/>
          <w:iCs/>
        </w:rPr>
        <w:t>Streptococcus pneumoniae</w:t>
      </w:r>
      <w:r w:rsidRPr="001A3D2B">
        <w:t xml:space="preserve"> at frequencies 4 orders</w:t>
      </w:r>
      <w:r w:rsidR="00427468">
        <w:t xml:space="preserve"> of </w:t>
      </w:r>
      <w:r w:rsidRPr="001A3D2B">
        <w:t>magnitude greater than</w:t>
      </w:r>
      <w:r w:rsidR="003A1917">
        <w:t xml:space="preserve"> the </w:t>
      </w:r>
      <w:r w:rsidRPr="001A3D2B">
        <w:t>spontaneous mutation rate</w:t>
      </w:r>
      <w:r w:rsidR="00A37C1D">
        <w:t>. The</w:t>
      </w:r>
      <w:r w:rsidR="003A1917">
        <w:t xml:space="preserve"> </w:t>
      </w:r>
      <w:r w:rsidRPr="001A3D2B">
        <w:t>method is based on</w:t>
      </w:r>
      <w:r w:rsidR="003A1917">
        <w:t xml:space="preserve"> the </w:t>
      </w:r>
      <w:r w:rsidRPr="001A3D2B">
        <w:t>natural ability</w:t>
      </w:r>
      <w:r w:rsidR="00427468">
        <w:t xml:space="preserve"> of </w:t>
      </w:r>
      <w:r w:rsidRPr="001A3D2B">
        <w:t>this organism to be genetically transformed with PCR products carrying sequences homologous to its chromosome</w:t>
      </w:r>
      <w:r w:rsidR="00A37C1D">
        <w:t>. The</w:t>
      </w:r>
      <w:r w:rsidR="003A1917">
        <w:t xml:space="preserve"> </w:t>
      </w:r>
      <w:r w:rsidRPr="001A3D2B">
        <w:t>genes encoding</w:t>
      </w:r>
      <w:r w:rsidR="003A1917">
        <w:t xml:space="preserve"> the </w:t>
      </w:r>
      <w:r w:rsidRPr="001A3D2B">
        <w:t>targets</w:t>
      </w:r>
      <w:r w:rsidR="00427468">
        <w:t xml:space="preserve"> of </w:t>
      </w:r>
      <w:r w:rsidRPr="001A3D2B">
        <w:t>ciprofloxacin (parC, encoding</w:t>
      </w:r>
      <w:r w:rsidR="003A1917">
        <w:t xml:space="preserve"> the </w:t>
      </w:r>
      <w:r w:rsidRPr="001A3D2B">
        <w:t>ParC subunit</w:t>
      </w:r>
      <w:r w:rsidR="00427468">
        <w:t xml:space="preserve"> of </w:t>
      </w:r>
      <w:r w:rsidRPr="001A3D2B">
        <w:t>DNA topoisomerase IV), rifampin (rpoB, encoding</w:t>
      </w:r>
      <w:r w:rsidR="003A1917">
        <w:t xml:space="preserve"> the </w:t>
      </w:r>
      <w:r w:rsidRPr="001A3D2B">
        <w:t>P subunit</w:t>
      </w:r>
      <w:r w:rsidR="00427468">
        <w:t xml:space="preserve"> of </w:t>
      </w:r>
      <w:r w:rsidRPr="001A3D2B">
        <w:t>RNA polymerase),</w:t>
      </w:r>
      <w:r w:rsidR="005853A9">
        <w:t xml:space="preserve"> and </w:t>
      </w:r>
      <w:r w:rsidRPr="001A3D2B">
        <w:t>streptomycin (rpsL, encoding</w:t>
      </w:r>
      <w:r w:rsidR="003A1917">
        <w:t xml:space="preserve"> the </w:t>
      </w:r>
      <w:r w:rsidRPr="001A3D2B">
        <w:t>S12 ribosomal protein) from susceptible laboratory strain R6 were amplified by PCR</w:t>
      </w:r>
      <w:r w:rsidR="005853A9">
        <w:t xml:space="preserve"> and </w:t>
      </w:r>
      <w:r w:rsidRPr="001A3D2B">
        <w:t>used to transform</w:t>
      </w:r>
      <w:r w:rsidR="003A1917">
        <w:t xml:space="preserve"> the </w:t>
      </w:r>
      <w:r w:rsidRPr="001A3D2B">
        <w:t>same strain. Resistant mutants were obtained with a frequency</w:t>
      </w:r>
      <w:r w:rsidR="00427468">
        <w:t xml:space="preserve"> of </w:t>
      </w:r>
      <w:r w:rsidRPr="001A3D2B">
        <w:t>10-4 to 10-5, depending on</w:t>
      </w:r>
      <w:r w:rsidR="003A1917">
        <w:t xml:space="preserve"> the </w:t>
      </w:r>
      <w:r w:rsidRPr="001A3D2B">
        <w:t>fidelity</w:t>
      </w:r>
      <w:r w:rsidR="00427468">
        <w:t xml:space="preserve"> of </w:t>
      </w:r>
      <w:r w:rsidR="003A1917">
        <w:t xml:space="preserve">the </w:t>
      </w:r>
      <w:r w:rsidRPr="001A3D2B">
        <w:t>DNA polymerase used for PCR amplifications. Ciprofloxacin-resistant mutants, for which</w:t>
      </w:r>
      <w:r w:rsidR="003A1917">
        <w:t xml:space="preserve"> the </w:t>
      </w:r>
      <w:r w:rsidRPr="001A3D2B">
        <w:t>MICs were four-to eightfold higher than that for R6, carried a single mutation</w:t>
      </w:r>
      <w:r w:rsidR="00427468">
        <w:t xml:space="preserve"> of </w:t>
      </w:r>
      <w:r w:rsidRPr="001A3D2B">
        <w:t>a residue in</w:t>
      </w:r>
      <w:r w:rsidR="003A1917">
        <w:t xml:space="preserve"> the </w:t>
      </w:r>
      <w:r w:rsidRPr="001A3D2B">
        <w:t>quinolone resistance-determining region: S79 (change to A, F, or Y) or D83 (change to N or V). Rifampin-resistant strains, for which</w:t>
      </w:r>
      <w:r w:rsidR="003A1917">
        <w:t xml:space="preserve"> the </w:t>
      </w:r>
      <w:r w:rsidRPr="001A3D2B">
        <w:t>MICs were at least 133-fold higher than that for R6, contained a single mutation within cluster I</w:t>
      </w:r>
      <w:r w:rsidR="00427468">
        <w:t xml:space="preserve"> of </w:t>
      </w:r>
      <w:r w:rsidRPr="001A3D2B">
        <w:t>rpoB: S482 (change to P), Q486 (change to L), D489 (change to V), or H499 (change to L or Y). Streptomycin-resistant mutants, for which</w:t>
      </w:r>
      <w:r w:rsidR="003A1917">
        <w:t xml:space="preserve"> the </w:t>
      </w:r>
      <w:r w:rsidRPr="001A3D2B">
        <w:t>MICs were at least 64-fold higher than that for R6, carried a mutation at either K56 (change to I, R, or T) or K101 (change to E). PCR products obtained from</w:t>
      </w:r>
      <w:r w:rsidR="003A1917">
        <w:t xml:space="preserve"> the </w:t>
      </w:r>
      <w:r w:rsidRPr="001A3D2B">
        <w:t>mutants were able to transform R6 to resistance with high efficiency (&gt; 104). This method could be used to efficiently obtain resistant mutants for any drug whose target is known</w:t>
      </w:r>
    </w:p>
    <w:p w:rsidR="003474F2" w:rsidRPr="001A3D2B" w:rsidRDefault="003474F2" w:rsidP="003474F2">
      <w:pPr>
        <w:pStyle w:val="a3"/>
      </w:pPr>
      <w:r w:rsidRPr="001A3D2B">
        <w:lastRenderedPageBreak/>
        <w:t xml:space="preserve">Keywords: Escherichia-Coli, F-0 Complex, Fluoroquinolone Resistance, Molecular-Basis, </w:t>
      </w:r>
      <w:r w:rsidRPr="001A3D2B">
        <w:rPr>
          <w:i/>
          <w:iCs/>
        </w:rPr>
        <w:t>Mycobacterium tuberculosis</w:t>
      </w:r>
      <w:r w:rsidRPr="001A3D2B">
        <w:t>, Protein S12 Gene, Rifampicin Resistance, RNA- Polymerase, Streptomycin Resistance, Topoisomerase-IV</w:t>
      </w:r>
    </w:p>
    <w:p w:rsidR="00CA6DB2" w:rsidRDefault="00CA6DB2" w:rsidP="00CA6DB2">
      <w:pPr>
        <w:pStyle w:val="a3"/>
        <w:rPr>
          <w:kern w:val="0"/>
        </w:rPr>
      </w:pPr>
      <w:r>
        <w:rPr>
          <w:kern w:val="0"/>
        </w:rPr>
        <w:t>? Balli, E.P., Venetis, C.A. and Miyakis, S. (2014), Systematic review and meta-analysis</w:t>
      </w:r>
      <w:r w:rsidR="00427468">
        <w:rPr>
          <w:kern w:val="0"/>
        </w:rPr>
        <w:t xml:space="preserve"> of </w:t>
      </w:r>
      <w:r>
        <w:rPr>
          <w:kern w:val="0"/>
        </w:rPr>
        <w:t>linezolid versus daptomycin for treatment</w:t>
      </w:r>
      <w:r w:rsidR="00427468">
        <w:rPr>
          <w:kern w:val="0"/>
        </w:rPr>
        <w:t xml:space="preserve"> of </w:t>
      </w:r>
      <w:r>
        <w:rPr>
          <w:kern w:val="0"/>
        </w:rPr>
        <w:t xml:space="preserve">vancomycin-resistant enterococcal bacteremia. </w:t>
      </w:r>
      <w:r>
        <w:rPr>
          <w:i/>
          <w:iCs/>
          <w:kern w:val="0"/>
        </w:rPr>
        <w:t>Antimicrobial Agents and Chemotherapy</w:t>
      </w:r>
      <w:r>
        <w:rPr>
          <w:kern w:val="0"/>
        </w:rPr>
        <w:t xml:space="preserve">, </w:t>
      </w:r>
      <w:r>
        <w:rPr>
          <w:b/>
          <w:bCs/>
          <w:kern w:val="0"/>
        </w:rPr>
        <w:t>58</w:t>
      </w:r>
      <w:r>
        <w:rPr>
          <w:kern w:val="0"/>
        </w:rPr>
        <w:t xml:space="preserve"> (2), 734-739.</w:t>
      </w:r>
    </w:p>
    <w:p w:rsidR="00CA6DB2" w:rsidRPr="00F219CA" w:rsidRDefault="00CA6DB2" w:rsidP="00CA6DB2">
      <w:pPr>
        <w:pStyle w:val="a3"/>
      </w:pPr>
      <w:r w:rsidRPr="00F219CA">
        <w:t xml:space="preserve">Full Text: </w:t>
      </w:r>
      <w:r w:rsidRPr="007C1A2F">
        <w:t>20</w:t>
      </w:r>
      <w:r>
        <w:rPr>
          <w:rFonts w:hint="eastAsia"/>
        </w:rPr>
        <w:t>14</w:t>
      </w:r>
      <w:r w:rsidRPr="007C1A2F">
        <w:t>\Ant Age Che</w:t>
      </w:r>
      <w:r>
        <w:rPr>
          <w:rFonts w:hint="eastAsia"/>
        </w:rPr>
        <w:t>58</w:t>
      </w:r>
      <w:r w:rsidRPr="007C1A2F">
        <w:t xml:space="preserve">, </w:t>
      </w:r>
      <w:r>
        <w:rPr>
          <w:rFonts w:hint="eastAsia"/>
        </w:rPr>
        <w:t>734</w:t>
      </w:r>
      <w:r w:rsidRPr="007C1A2F">
        <w:t>.pdf</w:t>
      </w:r>
    </w:p>
    <w:p w:rsidR="00CA6DB2" w:rsidRDefault="00CA6DB2" w:rsidP="00CA6DB2">
      <w:pPr>
        <w:pStyle w:val="a3"/>
        <w:rPr>
          <w:kern w:val="0"/>
        </w:rPr>
      </w:pPr>
      <w:r>
        <w:rPr>
          <w:kern w:val="0"/>
        </w:rPr>
        <w:t>Abstract: Limited therapeutic options exist for the treatment</w:t>
      </w:r>
      <w:r w:rsidR="00427468">
        <w:rPr>
          <w:kern w:val="0"/>
        </w:rPr>
        <w:t xml:space="preserve"> of </w:t>
      </w:r>
      <w:r>
        <w:rPr>
          <w:kern w:val="0"/>
        </w:rPr>
        <w:t>vancomycin-resistant Enterococcus (VRE) bacteremia; the most commonly used are daptomycin and linezolid. We attempted a systematic review and meta-analysis</w:t>
      </w:r>
      <w:r w:rsidR="00427468">
        <w:rPr>
          <w:kern w:val="0"/>
        </w:rPr>
        <w:t xml:space="preserve"> of </w:t>
      </w:r>
      <w:r>
        <w:rPr>
          <w:kern w:val="0"/>
        </w:rPr>
        <w:t>the comparative efficacy</w:t>
      </w:r>
      <w:r w:rsidR="00427468">
        <w:rPr>
          <w:kern w:val="0"/>
        </w:rPr>
        <w:t xml:space="preserve"> of </w:t>
      </w:r>
      <w:r>
        <w:rPr>
          <w:kern w:val="0"/>
        </w:rPr>
        <w:t>those two agents. Studies comparing daptomycin to linezolid treatment for VRE bacteremia, published until August 2012, were identified from the MEDLINE, EMBASE, CENTRAL, ISI Web</w:t>
      </w:r>
      <w:r w:rsidR="00427468">
        <w:rPr>
          <w:kern w:val="0"/>
        </w:rPr>
        <w:t xml:space="preserve"> of </w:t>
      </w:r>
      <w:r>
        <w:rPr>
          <w:kern w:val="0"/>
        </w:rPr>
        <w:t>Science, and SCOPUS databases. All comparative studies on patients older than 18 years</w:t>
      </w:r>
      <w:r w:rsidR="00427468">
        <w:rPr>
          <w:kern w:val="0"/>
        </w:rPr>
        <w:t xml:space="preserve"> of </w:t>
      </w:r>
      <w:r>
        <w:rPr>
          <w:kern w:val="0"/>
        </w:rPr>
        <w:t>age that provided mortality data were considered eligible for this systematic review and meta-analysis</w:t>
      </w:r>
      <w:r w:rsidR="00A37C1D">
        <w:rPr>
          <w:kern w:val="0"/>
        </w:rPr>
        <w:t>. The</w:t>
      </w:r>
      <w:r>
        <w:rPr>
          <w:kern w:val="0"/>
        </w:rPr>
        <w:t xml:space="preserve"> primary outcome</w:t>
      </w:r>
      <w:r w:rsidR="00427468">
        <w:rPr>
          <w:kern w:val="0"/>
        </w:rPr>
        <w:t xml:space="preserve"> of </w:t>
      </w:r>
      <w:r>
        <w:rPr>
          <w:kern w:val="0"/>
        </w:rPr>
        <w:t>the meta-analysis was 30-day all-cause mortality. Ten retrospective studies including 967 patients were identified. Patients treated with daptomycin had significantly higher 30-day all-cause mortality (odds ratio [OR], 1.61; 95% confidence interval [CI], 1.08 to 2.40) and infection-related mortality (OR, 3.61; 95% CI, 1.42 to 9.20) rates than patients treated with linezolid. When data from all 10 studies were combined, overall mortality was also significantly increased among patients treated with daptomycin (OR, 1.41; 95% CI, 1.06 to 1.89)</w:t>
      </w:r>
      <w:r w:rsidR="00A37C1D">
        <w:rPr>
          <w:kern w:val="0"/>
        </w:rPr>
        <w:t>. The</w:t>
      </w:r>
      <w:r>
        <w:rPr>
          <w:kern w:val="0"/>
        </w:rPr>
        <w:t>se findings were confirmed when odds ratios adjusted for potential confounders were pooled. Relapse rates among patients treated with daptomycin were also higher (OR, 2.51; 95% CI, 0.94 to 6.72), although this difference did not reach statistical significance. Adverse event rates were not significantly different between the two groups. Notwithstanding the absence</w:t>
      </w:r>
      <w:r w:rsidR="00427468">
        <w:rPr>
          <w:kern w:val="0"/>
        </w:rPr>
        <w:t xml:space="preserve"> of </w:t>
      </w:r>
      <w:r>
        <w:rPr>
          <w:kern w:val="0"/>
        </w:rPr>
        <w:t>randomized prospective data, available evidence suggests that mortality rates may be higher with daptomycin than with linezolid among patients treated for VRE bacteremia.</w:t>
      </w:r>
    </w:p>
    <w:p w:rsidR="00CA6DB2" w:rsidRDefault="00CA6DB2" w:rsidP="00CA6DB2">
      <w:pPr>
        <w:pStyle w:val="a3"/>
        <w:rPr>
          <w:kern w:val="0"/>
        </w:rPr>
      </w:pPr>
      <w:r>
        <w:rPr>
          <w:kern w:val="0"/>
        </w:rPr>
        <w:t>Keywords: Age, Attempted, Confidence, Data, Databases, Efficacy, Embase, Enterococcus, Evidence, Groups, Interval, ISI, ISI Web</w:t>
      </w:r>
      <w:r w:rsidR="00427468">
        <w:rPr>
          <w:kern w:val="0"/>
        </w:rPr>
        <w:t xml:space="preserve"> of </w:t>
      </w:r>
      <w:r>
        <w:rPr>
          <w:kern w:val="0"/>
        </w:rPr>
        <w:t>Science, Medline, Meta Analysis, Meta-Analysis, Metaanalysis, Mortality, Odds Ratio, Options, Outcome, Patients, Potential, Primary, Prospective, Randomized, Rates, Retrospective Studies, Review, Science, Scopus, Significance, Systematic Review, Therapeutic, Therapeutic Options, Treatment, Web</w:t>
      </w:r>
      <w:r w:rsidR="00427468">
        <w:rPr>
          <w:kern w:val="0"/>
        </w:rPr>
        <w:t xml:space="preserve"> of </w:t>
      </w:r>
      <w:r>
        <w:rPr>
          <w:kern w:val="0"/>
        </w:rPr>
        <w:t>Science</w:t>
      </w:r>
    </w:p>
    <w:p w:rsidR="006B6C20" w:rsidRPr="001A3D2B" w:rsidRDefault="006B6C20" w:rsidP="006B6C20">
      <w:pPr>
        <w:pStyle w:val="1"/>
      </w:pPr>
      <w:r w:rsidRPr="001A3D2B">
        <w:br w:type="page"/>
      </w:r>
      <w:bookmarkStart w:id="524" w:name="_Toc420814541"/>
      <w:r w:rsidRPr="001A3D2B">
        <w:lastRenderedPageBreak/>
        <w:t xml:space="preserve">Title: </w:t>
      </w:r>
      <w:r w:rsidRPr="00F15D31">
        <w:rPr>
          <w:iCs w:val="0"/>
        </w:rPr>
        <w:t>Antioxidants &amp; Redox Signaling</w:t>
      </w:r>
      <w:bookmarkEnd w:id="524"/>
    </w:p>
    <w:p w:rsidR="006B6C20" w:rsidRPr="001A3D2B" w:rsidRDefault="006B6C20" w:rsidP="006B6C20">
      <w:pPr>
        <w:pStyle w:val="12"/>
      </w:pPr>
      <w:r w:rsidRPr="001A3D2B">
        <w:t xml:space="preserve">Full Journal Title: </w:t>
      </w:r>
      <w:r w:rsidRPr="00F15D31">
        <w:rPr>
          <w:iCs/>
          <w:kern w:val="0"/>
        </w:rPr>
        <w:t>Antioxidants &amp; Redox Signaling</w:t>
      </w:r>
    </w:p>
    <w:p w:rsidR="006B6C20" w:rsidRPr="001A3D2B" w:rsidRDefault="006B6C20" w:rsidP="006B6C20">
      <w:pPr>
        <w:pStyle w:val="12"/>
      </w:pPr>
      <w:r w:rsidRPr="001A3D2B">
        <w:t xml:space="preserve">ISO Abbreviated Title: </w:t>
      </w:r>
    </w:p>
    <w:p w:rsidR="006B6C20" w:rsidRPr="001A3D2B" w:rsidRDefault="006B6C20" w:rsidP="006B6C20">
      <w:pPr>
        <w:pStyle w:val="12"/>
      </w:pPr>
      <w:r w:rsidRPr="001A3D2B">
        <w:t xml:space="preserve">JCR Abbreviated Title: </w:t>
      </w:r>
    </w:p>
    <w:p w:rsidR="006B6C20" w:rsidRPr="001A3D2B" w:rsidRDefault="006B6C20" w:rsidP="006B6C20">
      <w:pPr>
        <w:pStyle w:val="12"/>
      </w:pPr>
      <w:r>
        <w:t xml:space="preserve">ISSN: </w:t>
      </w:r>
    </w:p>
    <w:p w:rsidR="006B6C20" w:rsidRPr="001A3D2B" w:rsidRDefault="006B6C20" w:rsidP="006B6C20">
      <w:pPr>
        <w:pStyle w:val="12"/>
      </w:pPr>
      <w:r w:rsidRPr="001A3D2B">
        <w:t xml:space="preserve">Issues/Year: </w:t>
      </w:r>
    </w:p>
    <w:p w:rsidR="006B6C20" w:rsidRPr="001A3D2B" w:rsidRDefault="006B6C20" w:rsidP="006B6C20">
      <w:pPr>
        <w:pStyle w:val="12"/>
      </w:pPr>
      <w:r w:rsidRPr="001A3D2B">
        <w:t xml:space="preserve">Journal Country/Territory: </w:t>
      </w:r>
    </w:p>
    <w:p w:rsidR="006B6C20" w:rsidRPr="001A3D2B" w:rsidRDefault="006B6C20" w:rsidP="006B6C20">
      <w:pPr>
        <w:pStyle w:val="12"/>
      </w:pPr>
      <w:r w:rsidRPr="001A3D2B">
        <w:t xml:space="preserve">Language: </w:t>
      </w:r>
    </w:p>
    <w:p w:rsidR="006B6C20" w:rsidRPr="001A3D2B" w:rsidRDefault="006B6C20" w:rsidP="006B6C20">
      <w:pPr>
        <w:pStyle w:val="12"/>
      </w:pPr>
      <w:r w:rsidRPr="001A3D2B">
        <w:t xml:space="preserve">Publisher: </w:t>
      </w:r>
    </w:p>
    <w:p w:rsidR="006B6C20" w:rsidRPr="001A3D2B" w:rsidRDefault="006B6C20" w:rsidP="006B6C20">
      <w:pPr>
        <w:pStyle w:val="12"/>
      </w:pPr>
      <w:r w:rsidRPr="001A3D2B">
        <w:t xml:space="preserve">Publisher Address: </w:t>
      </w:r>
    </w:p>
    <w:p w:rsidR="006B6C20" w:rsidRPr="001A3D2B" w:rsidRDefault="006B6C20" w:rsidP="006B6C20">
      <w:pPr>
        <w:pStyle w:val="12"/>
      </w:pPr>
      <w:r w:rsidRPr="001A3D2B">
        <w:t xml:space="preserve">Subject Categories: </w:t>
      </w:r>
    </w:p>
    <w:p w:rsidR="006B6C20" w:rsidRPr="001A3D2B" w:rsidRDefault="006B6C20" w:rsidP="006B6C20">
      <w:pPr>
        <w:pStyle w:val="12"/>
      </w:pPr>
      <w:r w:rsidRPr="001A3D2B">
        <w:t>: Impact Factor</w:t>
      </w:r>
    </w:p>
    <w:p w:rsidR="006B6C20" w:rsidRDefault="006B6C20" w:rsidP="006B6C20">
      <w:pPr>
        <w:pStyle w:val="a3"/>
        <w:rPr>
          <w:kern w:val="0"/>
        </w:rPr>
      </w:pPr>
      <w:r>
        <w:rPr>
          <w:rFonts w:hint="eastAsia"/>
          <w:kern w:val="0"/>
        </w:rPr>
        <w:t>? (</w:t>
      </w:r>
      <w:r>
        <w:rPr>
          <w:kern w:val="0"/>
        </w:rPr>
        <w:t>2003), Trend</w:t>
      </w:r>
      <w:r w:rsidR="00427468">
        <w:rPr>
          <w:kern w:val="0"/>
        </w:rPr>
        <w:t xml:space="preserve"> of </w:t>
      </w:r>
      <w:r>
        <w:rPr>
          <w:kern w:val="0"/>
        </w:rPr>
        <w:t xml:space="preserve">most cited papers (2001-2002) in </w:t>
      </w:r>
      <w:r w:rsidRPr="00F15D31">
        <w:rPr>
          <w:i/>
          <w:kern w:val="0"/>
        </w:rPr>
        <w:t>ARS</w:t>
      </w:r>
      <w:r>
        <w:rPr>
          <w:kern w:val="0"/>
        </w:rPr>
        <w:t xml:space="preserve">. </w:t>
      </w:r>
      <w:r w:rsidRPr="00F15D31">
        <w:rPr>
          <w:i/>
          <w:iCs/>
          <w:kern w:val="0"/>
        </w:rPr>
        <w:t>Antioxidants &amp; Redox Signaling</w:t>
      </w:r>
      <w:r>
        <w:rPr>
          <w:kern w:val="0"/>
        </w:rPr>
        <w:t xml:space="preserve">, </w:t>
      </w:r>
      <w:r>
        <w:rPr>
          <w:b/>
          <w:bCs/>
          <w:kern w:val="0"/>
        </w:rPr>
        <w:t>5</w:t>
      </w:r>
      <w:r>
        <w:rPr>
          <w:kern w:val="0"/>
        </w:rPr>
        <w:t xml:space="preserve"> (6), 813-815</w:t>
      </w:r>
      <w:r>
        <w:rPr>
          <w:rFonts w:hint="eastAsia"/>
          <w:kern w:val="0"/>
        </w:rPr>
        <w:t>.</w:t>
      </w:r>
    </w:p>
    <w:p w:rsidR="006B6C20" w:rsidRDefault="006B6C20" w:rsidP="006B6C20">
      <w:pPr>
        <w:pStyle w:val="a3"/>
        <w:rPr>
          <w:kern w:val="0"/>
        </w:rPr>
      </w:pPr>
      <w:r>
        <w:rPr>
          <w:rFonts w:hint="eastAsia"/>
          <w:kern w:val="0"/>
        </w:rPr>
        <w:t>Full Text: 2003\</w:t>
      </w:r>
      <w:r>
        <w:rPr>
          <w:iCs/>
          <w:kern w:val="0"/>
        </w:rPr>
        <w:t>Ant Red Sig</w:t>
      </w:r>
      <w:r w:rsidRPr="006B6C20">
        <w:rPr>
          <w:bCs/>
          <w:kern w:val="0"/>
        </w:rPr>
        <w:t>5</w:t>
      </w:r>
      <w:r>
        <w:rPr>
          <w:kern w:val="0"/>
        </w:rPr>
        <w:t>, 813</w:t>
      </w:r>
      <w:r>
        <w:rPr>
          <w:rFonts w:hint="eastAsia"/>
          <w:kern w:val="0"/>
        </w:rPr>
        <w:t>.pdf</w:t>
      </w:r>
    </w:p>
    <w:p w:rsidR="006B6C20" w:rsidRDefault="006B6C20" w:rsidP="006B6C20">
      <w:pPr>
        <w:pStyle w:val="a3"/>
        <w:rPr>
          <w:kern w:val="0"/>
        </w:rPr>
      </w:pPr>
      <w:r>
        <w:rPr>
          <w:kern w:val="0"/>
        </w:rPr>
        <w:t>Keywords: Papers</w:t>
      </w:r>
    </w:p>
    <w:p w:rsidR="004A3B0D" w:rsidRPr="00F219CA" w:rsidRDefault="004A3B0D" w:rsidP="004A3B0D">
      <w:pPr>
        <w:pStyle w:val="1"/>
      </w:pPr>
      <w:r w:rsidRPr="00F219CA">
        <w:br w:type="page"/>
      </w:r>
      <w:bookmarkStart w:id="525" w:name="_Toc420814542"/>
      <w:r w:rsidRPr="00F219CA">
        <w:lastRenderedPageBreak/>
        <w:t>Title: Antiviral Research</w:t>
      </w:r>
      <w:bookmarkEnd w:id="525"/>
    </w:p>
    <w:p w:rsidR="004A3B0D" w:rsidRPr="00F219CA" w:rsidRDefault="004A3B0D" w:rsidP="004A3B0D">
      <w:pPr>
        <w:pStyle w:val="12"/>
      </w:pPr>
      <w:r w:rsidRPr="00F219CA">
        <w:t xml:space="preserve">Full Journal Title: </w:t>
      </w:r>
      <w:bookmarkStart w:id="526" w:name="_Toc286909509"/>
      <w:r w:rsidR="00206C8A">
        <w:fldChar w:fldCharType="begin"/>
      </w:r>
      <w:r w:rsidR="00FD158B">
        <w:instrText>HYPERLINK "http://www.sc</w:instrText>
      </w:r>
      <w:bookmarkEnd w:id="526"/>
      <w:r w:rsidR="00FD158B">
        <w:instrText>iencedirect.com/science/journal/01663542"</w:instrText>
      </w:r>
      <w:r w:rsidR="00206C8A">
        <w:fldChar w:fldCharType="separate"/>
      </w:r>
      <w:r w:rsidRPr="00A20FBE">
        <w:rPr>
          <w:rStyle w:val="a5"/>
        </w:rPr>
        <w:t>Antiviral Research</w:t>
      </w:r>
      <w:r w:rsidR="00206C8A">
        <w:fldChar w:fldCharType="end"/>
      </w:r>
    </w:p>
    <w:p w:rsidR="004A3B0D" w:rsidRPr="00F219CA" w:rsidRDefault="004A3B0D" w:rsidP="004A3B0D">
      <w:pPr>
        <w:pStyle w:val="12"/>
      </w:pPr>
      <w:r w:rsidRPr="00F219CA">
        <w:t>ISO Abbreviated Title: Antiviral Res.</w:t>
      </w:r>
    </w:p>
    <w:p w:rsidR="004A3B0D" w:rsidRPr="00F219CA" w:rsidRDefault="004A3B0D" w:rsidP="004A3B0D">
      <w:pPr>
        <w:pStyle w:val="12"/>
      </w:pPr>
      <w:r w:rsidRPr="00F219CA">
        <w:t>JCR Abbreviated Title: Antivir Res</w:t>
      </w:r>
    </w:p>
    <w:p w:rsidR="004A3B0D" w:rsidRPr="00F219CA" w:rsidRDefault="004A3B0D" w:rsidP="004A3B0D">
      <w:pPr>
        <w:pStyle w:val="12"/>
      </w:pPr>
      <w:r w:rsidRPr="00F219CA">
        <w:t>ISSN: 0166-3542</w:t>
      </w:r>
    </w:p>
    <w:p w:rsidR="004A3B0D" w:rsidRPr="00F219CA" w:rsidRDefault="004A3B0D" w:rsidP="004A3B0D">
      <w:pPr>
        <w:pStyle w:val="12"/>
      </w:pPr>
      <w:r w:rsidRPr="00F219CA">
        <w:t>Issues/Year: 1</w:t>
      </w:r>
    </w:p>
    <w:p w:rsidR="004A3B0D" w:rsidRPr="00F219CA" w:rsidRDefault="004A3B0D" w:rsidP="004A3B0D">
      <w:pPr>
        <w:pStyle w:val="12"/>
      </w:pPr>
      <w:r w:rsidRPr="00F219CA">
        <w:t>Journal Country/Territory: Netherlands</w:t>
      </w:r>
    </w:p>
    <w:p w:rsidR="004A3B0D" w:rsidRPr="00F219CA" w:rsidRDefault="004A3B0D" w:rsidP="004A3B0D">
      <w:pPr>
        <w:pStyle w:val="12"/>
      </w:pPr>
      <w:r w:rsidRPr="00F219CA">
        <w:t>Language: English</w:t>
      </w:r>
    </w:p>
    <w:p w:rsidR="004A3B0D" w:rsidRPr="00F219CA" w:rsidRDefault="004A3B0D" w:rsidP="004A3B0D">
      <w:pPr>
        <w:pStyle w:val="12"/>
      </w:pPr>
      <w:r w:rsidRPr="00F219CA">
        <w:t>Publisher: Elsevier Science BV</w:t>
      </w:r>
    </w:p>
    <w:p w:rsidR="004A3B0D" w:rsidRPr="00F219CA" w:rsidRDefault="004A3B0D" w:rsidP="004A3B0D">
      <w:pPr>
        <w:pStyle w:val="12"/>
      </w:pPr>
      <w:r w:rsidRPr="00F219CA">
        <w:t>Publisher Address: PO Box 211, 1000 AE Amsterdam, Netherlands</w:t>
      </w:r>
    </w:p>
    <w:p w:rsidR="004A3B0D" w:rsidRPr="00F219CA" w:rsidRDefault="004A3B0D" w:rsidP="004A3B0D">
      <w:pPr>
        <w:pStyle w:val="12"/>
      </w:pPr>
      <w:r w:rsidRPr="00F219CA">
        <w:t xml:space="preserve">Subject Categories: </w:t>
      </w:r>
    </w:p>
    <w:p w:rsidR="004A3B0D" w:rsidRPr="00F219CA" w:rsidRDefault="004A3B0D" w:rsidP="004A3B0D">
      <w:pPr>
        <w:pStyle w:val="12"/>
      </w:pPr>
      <w:r w:rsidRPr="00F219CA">
        <w:t>Pharmacology &amp; Pharmacy: Impact Factor 2.758, / (2000); Impact Factor 1.934, 56/186 (2001)</w:t>
      </w:r>
    </w:p>
    <w:p w:rsidR="004A3B0D" w:rsidRPr="00F219CA" w:rsidRDefault="004A3B0D" w:rsidP="004A3B0D">
      <w:pPr>
        <w:pStyle w:val="12"/>
      </w:pPr>
      <w:r w:rsidRPr="00F219CA">
        <w:t>Virology: Impact Factor 2.758, / (2000); Impact Factor 1.934, 14/25 (2001)</w:t>
      </w:r>
    </w:p>
    <w:p w:rsidR="004A3B0D" w:rsidRDefault="004A3B0D" w:rsidP="004A3B0D">
      <w:pPr>
        <w:pStyle w:val="a3"/>
        <w:rPr>
          <w:kern w:val="0"/>
        </w:rPr>
      </w:pPr>
      <w:r>
        <w:rPr>
          <w:rFonts w:hint="eastAsia"/>
          <w:kern w:val="0"/>
        </w:rPr>
        <w:t xml:space="preserve">? </w:t>
      </w:r>
      <w:r>
        <w:rPr>
          <w:kern w:val="0"/>
        </w:rPr>
        <w:t>Zhao, S.H., Liu, E.Q., Wei, K.N., Lu, S.M., Chu, Y.L., Li, Y.F., Wang, Y.L., Huang, B.Q., Chen, Y.L.</w:t>
      </w:r>
      <w:r w:rsidR="005853A9">
        <w:rPr>
          <w:kern w:val="0"/>
        </w:rPr>
        <w:t xml:space="preserve"> and </w:t>
      </w:r>
      <w:r>
        <w:rPr>
          <w:kern w:val="0"/>
        </w:rPr>
        <w:t>Yang, P.H. (2011), Interferon plus Chinese herbs are associated with higher sustained virological response than interferon alone in chronic Hepatitis C: A meta-analysis</w:t>
      </w:r>
      <w:r w:rsidR="00427468">
        <w:rPr>
          <w:kern w:val="0"/>
        </w:rPr>
        <w:t xml:space="preserve"> of </w:t>
      </w:r>
      <w:r>
        <w:rPr>
          <w:kern w:val="0"/>
        </w:rPr>
        <w:t xml:space="preserve">randomised trials. </w:t>
      </w:r>
      <w:r>
        <w:rPr>
          <w:i/>
          <w:iCs/>
          <w:kern w:val="0"/>
        </w:rPr>
        <w:t>Antiviral Research</w:t>
      </w:r>
      <w:r>
        <w:rPr>
          <w:kern w:val="0"/>
        </w:rPr>
        <w:t xml:space="preserve">, </w:t>
      </w:r>
      <w:r>
        <w:rPr>
          <w:b/>
          <w:bCs/>
          <w:kern w:val="0"/>
        </w:rPr>
        <w:t>89</w:t>
      </w:r>
      <w:r>
        <w:rPr>
          <w:kern w:val="0"/>
        </w:rPr>
        <w:t xml:space="preserve"> (2), 156-164.</w:t>
      </w:r>
    </w:p>
    <w:p w:rsidR="004A3B0D" w:rsidRDefault="004A3B0D" w:rsidP="004A3B0D">
      <w:pPr>
        <w:pStyle w:val="a3"/>
        <w:rPr>
          <w:kern w:val="0"/>
        </w:rPr>
      </w:pPr>
      <w:r>
        <w:rPr>
          <w:rFonts w:hint="eastAsia"/>
          <w:kern w:val="0"/>
        </w:rPr>
        <w:t xml:space="preserve">Full Text: </w:t>
      </w:r>
      <w:hyperlink r:id="rId1028" w:history="1">
        <w:r w:rsidRPr="00A20FBE">
          <w:rPr>
            <w:rStyle w:val="a5"/>
            <w:kern w:val="0"/>
          </w:rPr>
          <w:t>2011\Ant Res89, 156.pdf</w:t>
        </w:r>
      </w:hyperlink>
    </w:p>
    <w:p w:rsidR="004A3B0D" w:rsidRDefault="004A3B0D" w:rsidP="004A3B0D">
      <w:pPr>
        <w:pStyle w:val="a3"/>
        <w:rPr>
          <w:kern w:val="0"/>
        </w:rPr>
      </w:pPr>
      <w:r>
        <w:rPr>
          <w:kern w:val="0"/>
        </w:rPr>
        <w:t>Abstract: Background/aims: Traditional Chinese herbal therapies are widely used for</w:t>
      </w:r>
      <w:r w:rsidR="003A1917">
        <w:rPr>
          <w:kern w:val="0"/>
        </w:rPr>
        <w:t xml:space="preserve"> the </w:t>
      </w:r>
      <w:r>
        <w:rPr>
          <w:kern w:val="0"/>
        </w:rPr>
        <w:t>treatment</w:t>
      </w:r>
      <w:r w:rsidR="00427468">
        <w:rPr>
          <w:kern w:val="0"/>
        </w:rPr>
        <w:t xml:space="preserve"> of </w:t>
      </w:r>
      <w:r>
        <w:rPr>
          <w:kern w:val="0"/>
        </w:rPr>
        <w:t>chronic hepatitis C (CHC) in Asia</w:t>
      </w:r>
      <w:r w:rsidR="00A37C1D">
        <w:rPr>
          <w:kern w:val="0"/>
        </w:rPr>
        <w:t>. The</w:t>
      </w:r>
      <w:r w:rsidR="003A1917">
        <w:rPr>
          <w:kern w:val="0"/>
        </w:rPr>
        <w:t xml:space="preserve"> </w:t>
      </w:r>
      <w:r>
        <w:rPr>
          <w:kern w:val="0"/>
        </w:rPr>
        <w:t>aim</w:t>
      </w:r>
      <w:r w:rsidR="00427468">
        <w:rPr>
          <w:kern w:val="0"/>
        </w:rPr>
        <w:t xml:space="preserve"> of </w:t>
      </w:r>
      <w:r>
        <w:rPr>
          <w:kern w:val="0"/>
        </w:rPr>
        <w:t>this study was to perform a meta-analysis</w:t>
      </w:r>
      <w:r w:rsidR="00427468">
        <w:rPr>
          <w:kern w:val="0"/>
        </w:rPr>
        <w:t xml:space="preserve"> of </w:t>
      </w:r>
      <w:r>
        <w:rPr>
          <w:kern w:val="0"/>
        </w:rPr>
        <w:t>randomised controlled trials (RCTs) comparing interferon therapies with Chinese herbal therapies and/or interferon plus Chinese herb therapies for</w:t>
      </w:r>
      <w:r w:rsidR="003A1917">
        <w:rPr>
          <w:kern w:val="0"/>
        </w:rPr>
        <w:t xml:space="preserve"> the </w:t>
      </w:r>
      <w:r>
        <w:rPr>
          <w:kern w:val="0"/>
        </w:rPr>
        <w:t>treatment</w:t>
      </w:r>
      <w:r w:rsidR="00427468">
        <w:rPr>
          <w:kern w:val="0"/>
        </w:rPr>
        <w:t xml:space="preserve"> of </w:t>
      </w:r>
      <w:r>
        <w:rPr>
          <w:kern w:val="0"/>
        </w:rPr>
        <w:t>CHC. Methods:</w:t>
      </w:r>
      <w:r w:rsidR="003A1917">
        <w:rPr>
          <w:kern w:val="0"/>
        </w:rPr>
        <w:t xml:space="preserve"> the </w:t>
      </w:r>
      <w:r>
        <w:rPr>
          <w:kern w:val="0"/>
        </w:rPr>
        <w:t>Cochrane Central Register</w:t>
      </w:r>
      <w:r w:rsidR="00427468">
        <w:rPr>
          <w:kern w:val="0"/>
        </w:rPr>
        <w:t xml:space="preserve"> of </w:t>
      </w:r>
      <w:r>
        <w:rPr>
          <w:kern w:val="0"/>
        </w:rPr>
        <w:t xml:space="preserve">Controlled Trials, </w:t>
      </w:r>
      <w:r w:rsidR="00D5664A">
        <w:rPr>
          <w:kern w:val="0"/>
        </w:rPr>
        <w:t>MEDLINE</w:t>
      </w:r>
      <w:r>
        <w:rPr>
          <w:kern w:val="0"/>
        </w:rPr>
        <w:t>, Science Citation Index, EMBASE, China National Knowledge Infrastructure, Wanfang Database</w:t>
      </w:r>
      <w:r w:rsidR="005853A9">
        <w:rPr>
          <w:kern w:val="0"/>
        </w:rPr>
        <w:t xml:space="preserve"> and </w:t>
      </w:r>
      <w:r>
        <w:rPr>
          <w:kern w:val="0"/>
        </w:rPr>
        <w:t>China Biomedical Database were searched to identify RCTs that evaluated</w:t>
      </w:r>
      <w:r w:rsidR="003A1917">
        <w:rPr>
          <w:kern w:val="0"/>
        </w:rPr>
        <w:t xml:space="preserve"> the </w:t>
      </w:r>
      <w:r>
        <w:rPr>
          <w:kern w:val="0"/>
        </w:rPr>
        <w:t>virological response to interferon therapies, Chinese herbal therapies</w:t>
      </w:r>
      <w:r w:rsidR="005853A9">
        <w:rPr>
          <w:kern w:val="0"/>
        </w:rPr>
        <w:t xml:space="preserve"> and </w:t>
      </w:r>
      <w:r>
        <w:rPr>
          <w:kern w:val="0"/>
        </w:rPr>
        <w:t>interferon plus Chinese herb therapies in CHC patients. We statistically combined data using a random-effect meta-analysis according to</w:t>
      </w:r>
      <w:r w:rsidR="003A1917">
        <w:rPr>
          <w:kern w:val="0"/>
        </w:rPr>
        <w:t xml:space="preserve"> the </w:t>
      </w:r>
      <w:r>
        <w:rPr>
          <w:kern w:val="0"/>
        </w:rPr>
        <w:t>intention-to-treat principle. Results:</w:t>
      </w:r>
      <w:r w:rsidR="003A1917">
        <w:rPr>
          <w:kern w:val="0"/>
        </w:rPr>
        <w:t xml:space="preserve"> the </w:t>
      </w:r>
      <w:r>
        <w:rPr>
          <w:kern w:val="0"/>
        </w:rPr>
        <w:t>literature search yielded 770 studies,</w:t>
      </w:r>
      <w:r w:rsidR="005853A9">
        <w:rPr>
          <w:kern w:val="0"/>
        </w:rPr>
        <w:t xml:space="preserve"> and </w:t>
      </w:r>
      <w:r>
        <w:rPr>
          <w:kern w:val="0"/>
        </w:rPr>
        <w:t>26 RCTs comprising 1905 patients matched</w:t>
      </w:r>
      <w:r w:rsidR="003A1917">
        <w:rPr>
          <w:kern w:val="0"/>
        </w:rPr>
        <w:t xml:space="preserve"> the </w:t>
      </w:r>
      <w:r>
        <w:rPr>
          <w:kern w:val="0"/>
        </w:rPr>
        <w:t>selection criteria. Overall,</w:t>
      </w:r>
      <w:r w:rsidR="003A1917">
        <w:rPr>
          <w:kern w:val="0"/>
        </w:rPr>
        <w:t xml:space="preserve"> the </w:t>
      </w:r>
      <w:r>
        <w:rPr>
          <w:kern w:val="0"/>
        </w:rPr>
        <w:t>sustained virological response (SVR) was significantly higher in patients treated with interferon plus Chinese herbs than in patients treated with interferon alone (49% vs 33%, relative risk, 1.52; 95% confidence interval: 1.23-1.89; p&lt; 0.05). Combined therapies</w:t>
      </w:r>
      <w:r w:rsidR="00427468">
        <w:rPr>
          <w:kern w:val="0"/>
        </w:rPr>
        <w:t xml:space="preserve"> of </w:t>
      </w:r>
      <w:r>
        <w:rPr>
          <w:kern w:val="0"/>
        </w:rPr>
        <w:t>interferon plus Chinese herb therapies were also superior to interferon therapies alone in achieving</w:t>
      </w:r>
      <w:r w:rsidR="003A1917">
        <w:rPr>
          <w:kern w:val="0"/>
        </w:rPr>
        <w:t xml:space="preserve"> the </w:t>
      </w:r>
      <w:r>
        <w:rPr>
          <w:kern w:val="0"/>
        </w:rPr>
        <w:t>end</w:t>
      </w:r>
      <w:r w:rsidR="00434900">
        <w:rPr>
          <w:kern w:val="0"/>
        </w:rPr>
        <w:t>-of-</w:t>
      </w:r>
      <w:r>
        <w:rPr>
          <w:kern w:val="0"/>
        </w:rPr>
        <w:t>treatment viral response (ETVR),</w:t>
      </w:r>
      <w:r w:rsidR="005853A9">
        <w:rPr>
          <w:kern w:val="0"/>
        </w:rPr>
        <w:t xml:space="preserve"> and </w:t>
      </w:r>
      <w:r>
        <w:rPr>
          <w:kern w:val="0"/>
        </w:rPr>
        <w:lastRenderedPageBreak/>
        <w:t>resulted in fewer relapses, fewer adverse events</w:t>
      </w:r>
      <w:r w:rsidR="005853A9">
        <w:rPr>
          <w:kern w:val="0"/>
        </w:rPr>
        <w:t xml:space="preserve"> and </w:t>
      </w:r>
      <w:r>
        <w:rPr>
          <w:kern w:val="0"/>
        </w:rPr>
        <w:t>more rapid alanine transaminase normalisation. Interferon therapies achieved higher ETVR than Chinese herbal therapies, but they yielded a similar SVR. Conclusions:</w:t>
      </w:r>
      <w:r w:rsidR="003A1917">
        <w:rPr>
          <w:kern w:val="0"/>
        </w:rPr>
        <w:t xml:space="preserve"> the </w:t>
      </w:r>
      <w:r>
        <w:rPr>
          <w:kern w:val="0"/>
        </w:rPr>
        <w:t>current evidence suggests that combined therapies</w:t>
      </w:r>
      <w:r w:rsidR="00427468">
        <w:rPr>
          <w:kern w:val="0"/>
        </w:rPr>
        <w:t xml:space="preserve"> of </w:t>
      </w:r>
      <w:r>
        <w:rPr>
          <w:kern w:val="0"/>
        </w:rPr>
        <w:t>interferon plus Chinese herbs yielded a higher SVR,</w:t>
      </w:r>
      <w:r w:rsidR="005853A9">
        <w:rPr>
          <w:kern w:val="0"/>
        </w:rPr>
        <w:t xml:space="preserve"> and </w:t>
      </w:r>
      <w:r>
        <w:rPr>
          <w:kern w:val="0"/>
        </w:rPr>
        <w:t>resulted in fewer relapses</w:t>
      </w:r>
      <w:r w:rsidR="005853A9">
        <w:rPr>
          <w:kern w:val="0"/>
        </w:rPr>
        <w:t xml:space="preserve"> and </w:t>
      </w:r>
      <w:r>
        <w:rPr>
          <w:kern w:val="0"/>
        </w:rPr>
        <w:t>fewer adverse events than interferon therapies. (C) 2010 Elsevier B.V. All rights reserved.</w:t>
      </w:r>
    </w:p>
    <w:p w:rsidR="004A3B0D" w:rsidRDefault="004A3B0D" w:rsidP="004A3B0D">
      <w:pPr>
        <w:pStyle w:val="a3"/>
        <w:rPr>
          <w:kern w:val="0"/>
        </w:rPr>
      </w:pPr>
      <w:r>
        <w:rPr>
          <w:kern w:val="0"/>
        </w:rPr>
        <w:t>Keywords: Alternative Medicine, Asia, China, Chinese, Chinese Herbs, Chronic, Chronic Hepatitis, Chronic Hepatitis C, Confidence, Criteria, Data, Diseases, Events, Evidence, Hepatitis, Hepatitis C, Interferon, Interval, Literature, Meta-Analysis, Metaanalysis, Patients, Quality, Randomised, Randomised Controlled Trials, Relative Risk, Ribavirin, Rights, Risk, Science Citation Index, Selection Criteria, Therapy, Treatment, United-States, Viral, Virus-Infection</w:t>
      </w:r>
    </w:p>
    <w:p w:rsidR="008C1C37" w:rsidRPr="001A3D2B" w:rsidRDefault="008C1C37" w:rsidP="008C1C37">
      <w:pPr>
        <w:pStyle w:val="1"/>
      </w:pPr>
      <w:r w:rsidRPr="001A3D2B">
        <w:br w:type="page"/>
      </w:r>
      <w:bookmarkStart w:id="527" w:name="_Toc420814543"/>
      <w:r w:rsidRPr="001A3D2B">
        <w:lastRenderedPageBreak/>
        <w:t xml:space="preserve">Title: </w:t>
      </w:r>
      <w:r w:rsidRPr="008C1C37">
        <w:rPr>
          <w:iCs w:val="0"/>
        </w:rPr>
        <w:t>ANZ Journal</w:t>
      </w:r>
      <w:r w:rsidR="00427468">
        <w:rPr>
          <w:iCs w:val="0"/>
        </w:rPr>
        <w:t xml:space="preserve"> of </w:t>
      </w:r>
      <w:r w:rsidRPr="008C1C37">
        <w:rPr>
          <w:iCs w:val="0"/>
        </w:rPr>
        <w:t>Surgery</w:t>
      </w:r>
      <w:bookmarkEnd w:id="527"/>
    </w:p>
    <w:p w:rsidR="008C1C37" w:rsidRPr="001A3D2B" w:rsidRDefault="008C1C37" w:rsidP="008C1C37">
      <w:pPr>
        <w:pStyle w:val="12"/>
      </w:pPr>
      <w:r w:rsidRPr="001A3D2B">
        <w:t xml:space="preserve">Full Journal Title: </w:t>
      </w:r>
      <w:r w:rsidRPr="008C1C37">
        <w:rPr>
          <w:iCs/>
          <w:kern w:val="0"/>
        </w:rPr>
        <w:t>ANZ Journal</w:t>
      </w:r>
      <w:r w:rsidR="00427468">
        <w:rPr>
          <w:iCs/>
          <w:kern w:val="0"/>
        </w:rPr>
        <w:t xml:space="preserve"> of </w:t>
      </w:r>
      <w:r w:rsidRPr="008C1C37">
        <w:rPr>
          <w:iCs/>
          <w:kern w:val="0"/>
        </w:rPr>
        <w:t>Surgery</w:t>
      </w:r>
    </w:p>
    <w:p w:rsidR="008C1C37" w:rsidRPr="001A3D2B" w:rsidRDefault="008C1C37" w:rsidP="008C1C37">
      <w:pPr>
        <w:pStyle w:val="12"/>
      </w:pPr>
      <w:r w:rsidRPr="001A3D2B">
        <w:t xml:space="preserve">ISO Abbreviated Title: </w:t>
      </w:r>
    </w:p>
    <w:p w:rsidR="008C1C37" w:rsidRPr="001A3D2B" w:rsidRDefault="008C1C37" w:rsidP="008C1C37">
      <w:pPr>
        <w:pStyle w:val="12"/>
      </w:pPr>
      <w:r w:rsidRPr="001A3D2B">
        <w:t xml:space="preserve">JCR Abbreviated Title: </w:t>
      </w:r>
    </w:p>
    <w:p w:rsidR="008C1C37" w:rsidRPr="001A3D2B" w:rsidRDefault="008C1C37" w:rsidP="008C1C37">
      <w:pPr>
        <w:pStyle w:val="12"/>
      </w:pPr>
      <w:r w:rsidRPr="001A3D2B">
        <w:t xml:space="preserve">ISSN: </w:t>
      </w:r>
    </w:p>
    <w:p w:rsidR="008C1C37" w:rsidRPr="001A3D2B" w:rsidRDefault="008C1C37" w:rsidP="008C1C37">
      <w:pPr>
        <w:pStyle w:val="12"/>
      </w:pPr>
      <w:r w:rsidRPr="001A3D2B">
        <w:t xml:space="preserve">Issues/Year: </w:t>
      </w:r>
    </w:p>
    <w:p w:rsidR="008C1C37" w:rsidRPr="001A3D2B" w:rsidRDefault="008C1C37" w:rsidP="008C1C37">
      <w:pPr>
        <w:pStyle w:val="12"/>
      </w:pPr>
      <w:r w:rsidRPr="001A3D2B">
        <w:t xml:space="preserve">Journal Country/Territory: </w:t>
      </w:r>
    </w:p>
    <w:p w:rsidR="008C1C37" w:rsidRPr="001A3D2B" w:rsidRDefault="008C1C37" w:rsidP="008C1C37">
      <w:pPr>
        <w:pStyle w:val="12"/>
      </w:pPr>
      <w:r w:rsidRPr="001A3D2B">
        <w:t xml:space="preserve">Language: </w:t>
      </w:r>
    </w:p>
    <w:p w:rsidR="008C1C37" w:rsidRPr="001A3D2B" w:rsidRDefault="008C1C37" w:rsidP="008C1C37">
      <w:pPr>
        <w:pStyle w:val="12"/>
      </w:pPr>
      <w:r w:rsidRPr="001A3D2B">
        <w:t xml:space="preserve">Publisher: </w:t>
      </w:r>
    </w:p>
    <w:p w:rsidR="008C1C37" w:rsidRPr="001A3D2B" w:rsidRDefault="008C1C37" w:rsidP="008C1C37">
      <w:pPr>
        <w:pStyle w:val="12"/>
      </w:pPr>
      <w:r w:rsidRPr="001A3D2B">
        <w:t xml:space="preserve">Publisher Address: </w:t>
      </w:r>
    </w:p>
    <w:p w:rsidR="008C1C37" w:rsidRPr="001A3D2B" w:rsidRDefault="008C1C37" w:rsidP="008C1C37">
      <w:pPr>
        <w:pStyle w:val="12"/>
      </w:pPr>
      <w:r w:rsidRPr="001A3D2B">
        <w:t xml:space="preserve">Subject Categories: </w:t>
      </w:r>
    </w:p>
    <w:p w:rsidR="008C1C37" w:rsidRPr="001A3D2B" w:rsidRDefault="008C1C37" w:rsidP="008C1C37">
      <w:pPr>
        <w:pStyle w:val="12"/>
      </w:pPr>
      <w:r w:rsidRPr="001A3D2B">
        <w:t xml:space="preserve">: Impact Factor </w:t>
      </w:r>
    </w:p>
    <w:p w:rsidR="008C1C37" w:rsidRDefault="008C1C37" w:rsidP="008C1C37">
      <w:pPr>
        <w:pStyle w:val="a3"/>
        <w:rPr>
          <w:kern w:val="0"/>
        </w:rPr>
      </w:pPr>
      <w:r>
        <w:rPr>
          <w:rFonts w:hint="eastAsia"/>
          <w:kern w:val="0"/>
        </w:rPr>
        <w:t xml:space="preserve">? </w:t>
      </w:r>
      <w:r>
        <w:rPr>
          <w:kern w:val="0"/>
        </w:rPr>
        <w:t>Garcea, G., Dennison, A.R., Steward, W.P.</w:t>
      </w:r>
      <w:r w:rsidR="005853A9">
        <w:rPr>
          <w:kern w:val="0"/>
        </w:rPr>
        <w:t xml:space="preserve"> and </w:t>
      </w:r>
      <w:r>
        <w:rPr>
          <w:kern w:val="0"/>
        </w:rPr>
        <w:t>Berry, D.P. (2003), Chemoprevention</w:t>
      </w:r>
      <w:r w:rsidR="00427468">
        <w:rPr>
          <w:kern w:val="0"/>
        </w:rPr>
        <w:t xml:space="preserve"> of </w:t>
      </w:r>
      <w:r>
        <w:rPr>
          <w:kern w:val="0"/>
        </w:rPr>
        <w:t xml:space="preserve">gastrointestinal malignancies. </w:t>
      </w:r>
      <w:r w:rsidRPr="008C1C37">
        <w:rPr>
          <w:i/>
          <w:iCs/>
          <w:kern w:val="0"/>
        </w:rPr>
        <w:t>ANZ Journal</w:t>
      </w:r>
      <w:r w:rsidR="00427468">
        <w:rPr>
          <w:i/>
          <w:iCs/>
          <w:kern w:val="0"/>
        </w:rPr>
        <w:t xml:space="preserve"> of </w:t>
      </w:r>
      <w:r w:rsidRPr="008C1C37">
        <w:rPr>
          <w:i/>
          <w:iCs/>
          <w:kern w:val="0"/>
        </w:rPr>
        <w:t>Surgery</w:t>
      </w:r>
      <w:r>
        <w:rPr>
          <w:kern w:val="0"/>
        </w:rPr>
        <w:t xml:space="preserve">, </w:t>
      </w:r>
      <w:r>
        <w:rPr>
          <w:b/>
          <w:bCs/>
          <w:kern w:val="0"/>
        </w:rPr>
        <w:t>73</w:t>
      </w:r>
      <w:r>
        <w:rPr>
          <w:kern w:val="0"/>
        </w:rPr>
        <w:t xml:space="preserve"> (9), 680-686.</w:t>
      </w:r>
    </w:p>
    <w:p w:rsidR="009305E8" w:rsidRDefault="009305E8" w:rsidP="009305E8">
      <w:pPr>
        <w:pStyle w:val="a3"/>
        <w:rPr>
          <w:kern w:val="0"/>
        </w:rPr>
      </w:pPr>
      <w:r>
        <w:rPr>
          <w:rFonts w:hint="eastAsia"/>
          <w:kern w:val="0"/>
        </w:rPr>
        <w:t xml:space="preserve">Full Text: </w:t>
      </w:r>
      <w:hyperlink r:id="rId1029" w:history="1">
        <w:r w:rsidRPr="00845364">
          <w:rPr>
            <w:rStyle w:val="a5"/>
            <w:kern w:val="0"/>
          </w:rPr>
          <w:t>2003\ANZ J Sur73, 680.pdf</w:t>
        </w:r>
      </w:hyperlink>
    </w:p>
    <w:p w:rsidR="008C1C37" w:rsidRDefault="008C1C37" w:rsidP="008C1C37">
      <w:pPr>
        <w:pStyle w:val="a3"/>
        <w:rPr>
          <w:kern w:val="0"/>
        </w:rPr>
      </w:pPr>
      <w:r>
        <w:rPr>
          <w:kern w:val="0"/>
        </w:rPr>
        <w:t>Abstract: Background: There has been considerable interest in</w:t>
      </w:r>
      <w:r w:rsidR="003A1917">
        <w:rPr>
          <w:kern w:val="0"/>
        </w:rPr>
        <w:t xml:space="preserve"> the </w:t>
      </w:r>
      <w:r>
        <w:rPr>
          <w:kern w:val="0"/>
        </w:rPr>
        <w:t>use</w:t>
      </w:r>
      <w:r w:rsidR="00427468">
        <w:rPr>
          <w:kern w:val="0"/>
        </w:rPr>
        <w:t xml:space="preserve"> of </w:t>
      </w:r>
      <w:r>
        <w:rPr>
          <w:kern w:val="0"/>
        </w:rPr>
        <w:t>chemical or dietary agents to suppress or inhibit</w:t>
      </w:r>
      <w:r w:rsidR="003A1917">
        <w:rPr>
          <w:kern w:val="0"/>
        </w:rPr>
        <w:t xml:space="preserve"> the </w:t>
      </w:r>
      <w:r>
        <w:rPr>
          <w:kern w:val="0"/>
        </w:rPr>
        <w:t>development</w:t>
      </w:r>
      <w:r w:rsidR="00427468">
        <w:rPr>
          <w:kern w:val="0"/>
        </w:rPr>
        <w:t xml:space="preserve"> of </w:t>
      </w:r>
      <w:r>
        <w:rPr>
          <w:kern w:val="0"/>
        </w:rPr>
        <w:t>tumours in</w:t>
      </w:r>
      <w:r w:rsidR="003A1917">
        <w:rPr>
          <w:kern w:val="0"/>
        </w:rPr>
        <w:t xml:space="preserve"> the </w:t>
      </w:r>
      <w:r>
        <w:rPr>
          <w:kern w:val="0"/>
        </w:rPr>
        <w:t>early stages</w:t>
      </w:r>
      <w:r w:rsidR="00427468">
        <w:rPr>
          <w:kern w:val="0"/>
        </w:rPr>
        <w:t xml:space="preserve"> of </w:t>
      </w:r>
      <w:r>
        <w:rPr>
          <w:kern w:val="0"/>
        </w:rPr>
        <w:t>carcinogenesis. This concept is known as chemoprevention</w:t>
      </w:r>
      <w:r w:rsidR="005853A9">
        <w:rPr>
          <w:kern w:val="0"/>
        </w:rPr>
        <w:t xml:space="preserve"> and </w:t>
      </w:r>
      <w:r>
        <w:rPr>
          <w:kern w:val="0"/>
        </w:rPr>
        <w:t>although</w:t>
      </w:r>
      <w:r w:rsidR="003A1917">
        <w:rPr>
          <w:kern w:val="0"/>
        </w:rPr>
        <w:t xml:space="preserve"> the </w:t>
      </w:r>
      <w:r>
        <w:rPr>
          <w:kern w:val="0"/>
        </w:rPr>
        <w:t>potential for such agents is tremendous, evaluating their clinical benefit is beset with difficulties. Aims: Using selected agents, such as curcumin</w:t>
      </w:r>
      <w:r w:rsidR="005853A9">
        <w:rPr>
          <w:kern w:val="0"/>
        </w:rPr>
        <w:t xml:space="preserve"> and </w:t>
      </w:r>
      <w:r>
        <w:rPr>
          <w:kern w:val="0"/>
        </w:rPr>
        <w:t>indole-3-carbinol, as examples,</w:t>
      </w:r>
      <w:r w:rsidR="003A1917">
        <w:rPr>
          <w:kern w:val="0"/>
        </w:rPr>
        <w:t xml:space="preserve"> the </w:t>
      </w:r>
      <w:r>
        <w:rPr>
          <w:kern w:val="0"/>
        </w:rPr>
        <w:t>present review will discuss</w:t>
      </w:r>
      <w:r w:rsidR="003A1917">
        <w:rPr>
          <w:kern w:val="0"/>
        </w:rPr>
        <w:t xml:space="preserve"> the </w:t>
      </w:r>
      <w:r>
        <w:rPr>
          <w:kern w:val="0"/>
        </w:rPr>
        <w:t>possible mechanisms</w:t>
      </w:r>
      <w:r w:rsidR="00427468">
        <w:rPr>
          <w:kern w:val="0"/>
        </w:rPr>
        <w:t xml:space="preserve"> of </w:t>
      </w:r>
      <w:r>
        <w:rPr>
          <w:kern w:val="0"/>
        </w:rPr>
        <w:t>chemoprevention</w:t>
      </w:r>
      <w:r w:rsidR="005853A9">
        <w:rPr>
          <w:kern w:val="0"/>
        </w:rPr>
        <w:t xml:space="preserve"> and </w:t>
      </w:r>
      <w:r w:rsidR="003A1917">
        <w:rPr>
          <w:kern w:val="0"/>
        </w:rPr>
        <w:t xml:space="preserve">the </w:t>
      </w:r>
      <w:r>
        <w:rPr>
          <w:kern w:val="0"/>
        </w:rPr>
        <w:t>problems encountered in developing these agents into clinical drugs. Methods: A review</w:t>
      </w:r>
      <w:r w:rsidR="00427468">
        <w:rPr>
          <w:kern w:val="0"/>
        </w:rPr>
        <w:t xml:space="preserve"> of </w:t>
      </w:r>
      <w:r w:rsidR="003A1917">
        <w:rPr>
          <w:kern w:val="0"/>
        </w:rPr>
        <w:t xml:space="preserve">the </w:t>
      </w:r>
      <w:r>
        <w:rPr>
          <w:kern w:val="0"/>
        </w:rPr>
        <w:t>published literature from 1985 to</w:t>
      </w:r>
      <w:r w:rsidR="003A1917">
        <w:rPr>
          <w:kern w:val="0"/>
        </w:rPr>
        <w:t xml:space="preserve"> the </w:t>
      </w:r>
      <w:r>
        <w:rPr>
          <w:kern w:val="0"/>
        </w:rPr>
        <w:t xml:space="preserve">present day was performed using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search engines. Key words used were </w:t>
      </w:r>
      <w:r w:rsidR="00700038">
        <w:rPr>
          <w:kern w:val="0"/>
        </w:rPr>
        <w:t>‘</w:t>
      </w:r>
      <w:r>
        <w:rPr>
          <w:kern w:val="0"/>
        </w:rPr>
        <w:t>gastrointestinal cancer</w:t>
      </w:r>
      <w:r w:rsidR="00700038">
        <w:rPr>
          <w:kern w:val="0"/>
        </w:rPr>
        <w:t>’</w:t>
      </w:r>
      <w:r w:rsidR="005853A9">
        <w:rPr>
          <w:kern w:val="0"/>
        </w:rPr>
        <w:t xml:space="preserve"> and </w:t>
      </w:r>
      <w:r w:rsidR="00700038">
        <w:rPr>
          <w:kern w:val="0"/>
        </w:rPr>
        <w:t>‘</w:t>
      </w:r>
      <w:r>
        <w:rPr>
          <w:kern w:val="0"/>
        </w:rPr>
        <w:t>chemoprevention</w:t>
      </w:r>
      <w:r w:rsidR="00700038">
        <w:rPr>
          <w:kern w:val="0"/>
        </w:rPr>
        <w:t>’</w:t>
      </w:r>
      <w:r>
        <w:rPr>
          <w:kern w:val="0"/>
        </w:rPr>
        <w:t>. Conclusion: A huge number</w:t>
      </w:r>
      <w:r w:rsidR="00427468">
        <w:rPr>
          <w:kern w:val="0"/>
        </w:rPr>
        <w:t xml:space="preserve"> of </w:t>
      </w:r>
      <w:r>
        <w:rPr>
          <w:kern w:val="0"/>
        </w:rPr>
        <w:t>agents with possible chemopreventive action has been identified. Pilot trials using molecular signatures</w:t>
      </w:r>
      <w:r w:rsidR="00427468">
        <w:rPr>
          <w:kern w:val="0"/>
        </w:rPr>
        <w:t xml:space="preserve"> of </w:t>
      </w:r>
      <w:r>
        <w:rPr>
          <w:kern w:val="0"/>
        </w:rPr>
        <w:t>cancer activity can be used to select which agents should be included in large-scale phase III clinical trials. Publications concerning chemoprevention are concentrated in</w:t>
      </w:r>
      <w:r w:rsidR="003A1917">
        <w:rPr>
          <w:kern w:val="0"/>
        </w:rPr>
        <w:t xml:space="preserve"> the </w:t>
      </w:r>
      <w:r>
        <w:rPr>
          <w:kern w:val="0"/>
        </w:rPr>
        <w:t>scientific</w:t>
      </w:r>
      <w:r w:rsidR="005853A9">
        <w:rPr>
          <w:kern w:val="0"/>
        </w:rPr>
        <w:t xml:space="preserve"> and </w:t>
      </w:r>
      <w:r>
        <w:rPr>
          <w:kern w:val="0"/>
        </w:rPr>
        <w:t>oncological literature but surgeons with their greater exposure to premalignant gastrointestinal disease need to be aware</w:t>
      </w:r>
      <w:r w:rsidR="00427468">
        <w:rPr>
          <w:kern w:val="0"/>
        </w:rPr>
        <w:t xml:space="preserve"> of </w:t>
      </w:r>
      <w:r>
        <w:rPr>
          <w:kern w:val="0"/>
        </w:rPr>
        <w:t>current concepts in this rapidly expanding field. This knowledge would allow collaboration between oncologists</w:t>
      </w:r>
      <w:r w:rsidR="005853A9">
        <w:rPr>
          <w:kern w:val="0"/>
        </w:rPr>
        <w:t xml:space="preserve"> and </w:t>
      </w:r>
      <w:r>
        <w:rPr>
          <w:kern w:val="0"/>
        </w:rPr>
        <w:t>surgeons in clinical trials to further evaluate chemopreventive compounds</w:t>
      </w:r>
      <w:r w:rsidR="005853A9">
        <w:rPr>
          <w:kern w:val="0"/>
        </w:rPr>
        <w:t xml:space="preserve"> and </w:t>
      </w:r>
      <w:r>
        <w:rPr>
          <w:kern w:val="0"/>
        </w:rPr>
        <w:t>ascertain their clinical impact.</w:t>
      </w:r>
    </w:p>
    <w:p w:rsidR="008C1C37" w:rsidRDefault="008C1C37" w:rsidP="008C1C37">
      <w:pPr>
        <w:pStyle w:val="a3"/>
        <w:rPr>
          <w:kern w:val="0"/>
        </w:rPr>
      </w:pPr>
      <w:r>
        <w:rPr>
          <w:kern w:val="0"/>
        </w:rPr>
        <w:t xml:space="preserve">Keywords: 5-(2-Pyrazinyl)-4-Methyl-1,2-Dithiole-3-Thione Oltipraz, Cancer, Carcinogenesis, Chemoprevention, Clinical Trials, Collaboration, Colon-Cancer, Colorectal-Cancer, Curcumin, Development, Dietary Curcumin, Disease, Ferulic </w:t>
      </w:r>
      <w:r>
        <w:rPr>
          <w:kern w:val="0"/>
        </w:rPr>
        <w:lastRenderedPageBreak/>
        <w:t xml:space="preserve">Acid, Gastrointestinal, Glutathione-S-Transferase, Impact, Indole-3-Carbinol, Interest, Kappa-B Activation, Knowledge, Literature, Malignancy, Methods, Molecular, Nonsteroidal Antiinflammatory Drugs, Protein-Kinase, Publications, Rat-Liver, Review, Science, Tumours, </w:t>
      </w:r>
      <w:r w:rsidR="00D5664A">
        <w:rPr>
          <w:kern w:val="0"/>
        </w:rPr>
        <w:t>Web</w:t>
      </w:r>
      <w:r w:rsidR="00427468">
        <w:rPr>
          <w:kern w:val="0"/>
        </w:rPr>
        <w:t xml:space="preserve"> of </w:t>
      </w:r>
      <w:r w:rsidR="00D5664A">
        <w:rPr>
          <w:kern w:val="0"/>
        </w:rPr>
        <w:t>Science</w:t>
      </w:r>
    </w:p>
    <w:p w:rsidR="008C1C37" w:rsidRDefault="008C1C37" w:rsidP="008C1C37">
      <w:pPr>
        <w:pStyle w:val="a3"/>
        <w:rPr>
          <w:kern w:val="0"/>
        </w:rPr>
      </w:pPr>
      <w:r>
        <w:rPr>
          <w:rFonts w:hint="eastAsia"/>
          <w:kern w:val="0"/>
        </w:rPr>
        <w:t xml:space="preserve">? </w:t>
      </w:r>
      <w:r>
        <w:rPr>
          <w:kern w:val="0"/>
        </w:rPr>
        <w:t>Dowsey, M.M.</w:t>
      </w:r>
      <w:r w:rsidR="005853A9">
        <w:rPr>
          <w:kern w:val="0"/>
        </w:rPr>
        <w:t xml:space="preserve"> and </w:t>
      </w:r>
      <w:r>
        <w:rPr>
          <w:kern w:val="0"/>
        </w:rPr>
        <w:t>Choong, P.F.M. (2008), Early outcomes</w:t>
      </w:r>
      <w:r w:rsidR="005853A9">
        <w:rPr>
          <w:kern w:val="0"/>
        </w:rPr>
        <w:t xml:space="preserve"> and </w:t>
      </w:r>
      <w:r>
        <w:rPr>
          <w:kern w:val="0"/>
        </w:rPr>
        <w:t>complications following joint arthroplasty in obese patients: A review</w:t>
      </w:r>
      <w:r w:rsidR="00427468">
        <w:rPr>
          <w:kern w:val="0"/>
        </w:rPr>
        <w:t xml:space="preserve"> of </w:t>
      </w:r>
      <w:r w:rsidR="003A1917">
        <w:rPr>
          <w:kern w:val="0"/>
        </w:rPr>
        <w:t xml:space="preserve">the </w:t>
      </w:r>
      <w:r>
        <w:rPr>
          <w:kern w:val="0"/>
        </w:rPr>
        <w:t xml:space="preserve">published reports. </w:t>
      </w:r>
      <w:r>
        <w:rPr>
          <w:i/>
          <w:iCs/>
          <w:kern w:val="0"/>
        </w:rPr>
        <w:t>ANZ Journal</w:t>
      </w:r>
      <w:r w:rsidR="00427468">
        <w:rPr>
          <w:i/>
          <w:iCs/>
          <w:kern w:val="0"/>
        </w:rPr>
        <w:t xml:space="preserve"> of </w:t>
      </w:r>
      <w:r>
        <w:rPr>
          <w:i/>
          <w:iCs/>
          <w:kern w:val="0"/>
        </w:rPr>
        <w:t>Surgery</w:t>
      </w:r>
      <w:r>
        <w:rPr>
          <w:kern w:val="0"/>
        </w:rPr>
        <w:t xml:space="preserve">, </w:t>
      </w:r>
      <w:r>
        <w:rPr>
          <w:b/>
          <w:bCs/>
          <w:kern w:val="0"/>
        </w:rPr>
        <w:t>78</w:t>
      </w:r>
      <w:r>
        <w:rPr>
          <w:kern w:val="0"/>
        </w:rPr>
        <w:t xml:space="preserve"> (6), 439-444.</w:t>
      </w:r>
    </w:p>
    <w:p w:rsidR="009305E8" w:rsidRDefault="009305E8" w:rsidP="009305E8">
      <w:pPr>
        <w:pStyle w:val="a3"/>
        <w:rPr>
          <w:kern w:val="0"/>
        </w:rPr>
      </w:pPr>
      <w:r>
        <w:rPr>
          <w:rFonts w:hint="eastAsia"/>
          <w:kern w:val="0"/>
        </w:rPr>
        <w:t xml:space="preserve">Full Text: </w:t>
      </w:r>
      <w:hyperlink r:id="rId1030" w:history="1">
        <w:r w:rsidRPr="009305E8">
          <w:rPr>
            <w:rStyle w:val="a5"/>
            <w:kern w:val="0"/>
          </w:rPr>
          <w:t>2008\ANZ J Sur78, 439.pdf</w:t>
        </w:r>
      </w:hyperlink>
    </w:p>
    <w:p w:rsidR="008C1C37" w:rsidRDefault="008C1C37" w:rsidP="008C1C37">
      <w:pPr>
        <w:pStyle w:val="a3"/>
        <w:rPr>
          <w:kern w:val="0"/>
        </w:rPr>
      </w:pPr>
      <w:r>
        <w:rPr>
          <w:kern w:val="0"/>
        </w:rPr>
        <w:t>Abstract:</w:t>
      </w:r>
      <w:r w:rsidR="003A1917">
        <w:rPr>
          <w:kern w:val="0"/>
        </w:rPr>
        <w:t xml:space="preserve"> the </w:t>
      </w:r>
      <w:r>
        <w:rPr>
          <w:kern w:val="0"/>
        </w:rPr>
        <w:t>incidence</w:t>
      </w:r>
      <w:r w:rsidR="00427468">
        <w:rPr>
          <w:kern w:val="0"/>
        </w:rPr>
        <w:t xml:space="preserve"> of </w:t>
      </w:r>
      <w:r>
        <w:rPr>
          <w:kern w:val="0"/>
        </w:rPr>
        <w:t>obesity</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hip arthroplasties being carried out in Australia each year are significantly increasing</w:t>
      </w:r>
      <w:r w:rsidR="00A37C1D">
        <w:rPr>
          <w:kern w:val="0"/>
        </w:rPr>
        <w:t>. The</w:t>
      </w:r>
      <w:r>
        <w:rPr>
          <w:kern w:val="0"/>
        </w:rPr>
        <w:t>re is an overrepresentation</w:t>
      </w:r>
      <w:r w:rsidR="00427468">
        <w:rPr>
          <w:kern w:val="0"/>
        </w:rPr>
        <w:t xml:space="preserve"> of </w:t>
      </w:r>
      <w:r>
        <w:rPr>
          <w:kern w:val="0"/>
        </w:rPr>
        <w:t>obesity among patients presenting for elective orthopaedic surgery</w:t>
      </w:r>
      <w:r w:rsidR="00A37C1D">
        <w:rPr>
          <w:kern w:val="0"/>
        </w:rPr>
        <w:t>. The</w:t>
      </w:r>
      <w:r w:rsidR="003A1917">
        <w:rPr>
          <w:kern w:val="0"/>
        </w:rPr>
        <w:t xml:space="preserve"> </w:t>
      </w:r>
      <w:r>
        <w:rPr>
          <w:kern w:val="0"/>
        </w:rPr>
        <w:t>aim</w:t>
      </w:r>
      <w:r w:rsidR="00427468">
        <w:rPr>
          <w:kern w:val="0"/>
        </w:rPr>
        <w:t xml:space="preserve"> of </w:t>
      </w:r>
      <w:r>
        <w:rPr>
          <w:kern w:val="0"/>
        </w:rPr>
        <w:t>this study was to present a review</w:t>
      </w:r>
      <w:r w:rsidR="00427468">
        <w:rPr>
          <w:kern w:val="0"/>
        </w:rPr>
        <w:t xml:space="preserve"> of </w:t>
      </w:r>
      <w:r>
        <w:rPr>
          <w:kern w:val="0"/>
        </w:rPr>
        <w:t>published works reporting on obesity</w:t>
      </w:r>
      <w:r w:rsidR="005853A9">
        <w:rPr>
          <w:kern w:val="0"/>
        </w:rPr>
        <w:t xml:space="preserve"> and </w:t>
      </w:r>
      <w:r>
        <w:rPr>
          <w:kern w:val="0"/>
        </w:rPr>
        <w:t>joint replacement surgery in terms</w:t>
      </w:r>
      <w:r w:rsidR="00427468">
        <w:rPr>
          <w:kern w:val="0"/>
        </w:rPr>
        <w:t xml:space="preserve"> of </w:t>
      </w:r>
      <w:r>
        <w:rPr>
          <w:kern w:val="0"/>
        </w:rPr>
        <w:t>early clinical, functional</w:t>
      </w:r>
      <w:r w:rsidR="005853A9">
        <w:rPr>
          <w:kern w:val="0"/>
        </w:rPr>
        <w:t xml:space="preserve"> and </w:t>
      </w:r>
      <w:r>
        <w:rPr>
          <w:kern w:val="0"/>
        </w:rPr>
        <w:t>quality</w:t>
      </w:r>
      <w:r w:rsidR="00434900">
        <w:rPr>
          <w:kern w:val="0"/>
        </w:rPr>
        <w:t>-of-</w:t>
      </w:r>
      <w:r>
        <w:rPr>
          <w:kern w:val="0"/>
        </w:rPr>
        <w:t>life outcomes. We conducted a metasearch</w:t>
      </w:r>
      <w:r w:rsidR="00427468">
        <w:rPr>
          <w:kern w:val="0"/>
        </w:rPr>
        <w:t xml:space="preserve"> of </w:t>
      </w:r>
      <w:r>
        <w:rPr>
          <w:kern w:val="0"/>
        </w:rPr>
        <w:t xml:space="preserve">databases, including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Cochrane Library, from January 1990 to May 2007. Studies published in English with a primary intention</w:t>
      </w:r>
      <w:r w:rsidR="00427468">
        <w:rPr>
          <w:kern w:val="0"/>
        </w:rPr>
        <w:t xml:space="preserve"> of </w:t>
      </w:r>
      <w:r>
        <w:rPr>
          <w:kern w:val="0"/>
        </w:rPr>
        <w:t>exploring</w:t>
      </w:r>
      <w:r w:rsidR="003A1917">
        <w:rPr>
          <w:kern w:val="0"/>
        </w:rPr>
        <w:t xml:space="preserve"> the </w:t>
      </w:r>
      <w:r>
        <w:rPr>
          <w:kern w:val="0"/>
        </w:rPr>
        <w:t>relationship between obesity</w:t>
      </w:r>
      <w:r w:rsidR="005853A9">
        <w:rPr>
          <w:kern w:val="0"/>
        </w:rPr>
        <w:t xml:space="preserve"> and </w:t>
      </w:r>
      <w:r>
        <w:rPr>
          <w:kern w:val="0"/>
        </w:rPr>
        <w:t>joint arthroplasty were reviewed</w:t>
      </w:r>
      <w:r w:rsidR="005853A9">
        <w:rPr>
          <w:kern w:val="0"/>
        </w:rPr>
        <w:t xml:space="preserve"> and </w:t>
      </w:r>
      <w:r>
        <w:rPr>
          <w:kern w:val="0"/>
        </w:rPr>
        <w:t>results summarized. Key issues identified in relation to obesity</w:t>
      </w:r>
      <w:r w:rsidR="005853A9">
        <w:rPr>
          <w:kern w:val="0"/>
        </w:rPr>
        <w:t xml:space="preserve"> and </w:t>
      </w:r>
      <w:r>
        <w:rPr>
          <w:kern w:val="0"/>
        </w:rPr>
        <w:t>joint replacement surgery included clinical outcomes</w:t>
      </w:r>
      <w:r w:rsidR="005853A9">
        <w:rPr>
          <w:kern w:val="0"/>
        </w:rPr>
        <w:t xml:space="preserve"> and </w:t>
      </w:r>
      <w:r>
        <w:rPr>
          <w:kern w:val="0"/>
        </w:rPr>
        <w:t>complications, functional</w:t>
      </w:r>
      <w:r w:rsidR="005853A9">
        <w:rPr>
          <w:kern w:val="0"/>
        </w:rPr>
        <w:t xml:space="preserve"> and </w:t>
      </w:r>
      <w:r>
        <w:rPr>
          <w:kern w:val="0"/>
        </w:rPr>
        <w:t>quality</w:t>
      </w:r>
      <w:r w:rsidR="00427468">
        <w:rPr>
          <w:kern w:val="0"/>
        </w:rPr>
        <w:t xml:space="preserve"> of </w:t>
      </w:r>
      <w:r>
        <w:rPr>
          <w:kern w:val="0"/>
        </w:rPr>
        <w:t>life</w:t>
      </w:r>
      <w:r w:rsidR="005853A9">
        <w:rPr>
          <w:kern w:val="0"/>
        </w:rPr>
        <w:t xml:space="preserve"> and </w:t>
      </w:r>
      <w:r w:rsidR="003A1917">
        <w:rPr>
          <w:kern w:val="0"/>
        </w:rPr>
        <w:t xml:space="preserve">the </w:t>
      </w:r>
      <w:r>
        <w:rPr>
          <w:kern w:val="0"/>
        </w:rPr>
        <w:t>influence</w:t>
      </w:r>
      <w:r w:rsidR="00427468">
        <w:rPr>
          <w:kern w:val="0"/>
        </w:rPr>
        <w:t xml:space="preserve"> of </w:t>
      </w:r>
      <w:r>
        <w:rPr>
          <w:kern w:val="0"/>
        </w:rPr>
        <w:t>arthroplasty surgery on</w:t>
      </w:r>
      <w:r w:rsidR="003A1917">
        <w:rPr>
          <w:kern w:val="0"/>
        </w:rPr>
        <w:t xml:space="preserve"> the </w:t>
      </w:r>
      <w:r>
        <w:rPr>
          <w:kern w:val="0"/>
        </w:rPr>
        <w:t>management</w:t>
      </w:r>
      <w:r w:rsidR="00427468">
        <w:rPr>
          <w:kern w:val="0"/>
        </w:rPr>
        <w:t xml:space="preserve"> of </w:t>
      </w:r>
      <w:r>
        <w:rPr>
          <w:kern w:val="0"/>
        </w:rPr>
        <w:t>obesity. Reports on early outcomes, that is in</w:t>
      </w:r>
      <w:r w:rsidR="003A1917">
        <w:rPr>
          <w:kern w:val="0"/>
        </w:rPr>
        <w:t xml:space="preserve"> the </w:t>
      </w:r>
      <w:r>
        <w:rPr>
          <w:kern w:val="0"/>
        </w:rPr>
        <w:t>first 12 months following joint replacement surgery, were included in</w:t>
      </w:r>
      <w:r w:rsidR="003A1917">
        <w:rPr>
          <w:kern w:val="0"/>
        </w:rPr>
        <w:t xml:space="preserve"> the </w:t>
      </w:r>
      <w:r>
        <w:rPr>
          <w:kern w:val="0"/>
        </w:rPr>
        <w:t>review. Results for these three key issues were summarized</w:t>
      </w:r>
      <w:r w:rsidR="005853A9">
        <w:rPr>
          <w:kern w:val="0"/>
        </w:rPr>
        <w:t xml:space="preserve"> and </w:t>
      </w:r>
      <w:r>
        <w:rPr>
          <w:kern w:val="0"/>
        </w:rPr>
        <w:t>reported separately</w:t>
      </w:r>
      <w:r w:rsidR="00A37C1D">
        <w:rPr>
          <w:kern w:val="0"/>
        </w:rPr>
        <w:t>. The</w:t>
      </w:r>
      <w:r>
        <w:rPr>
          <w:kern w:val="0"/>
        </w:rPr>
        <w:t>re is evidence in</w:t>
      </w:r>
      <w:r w:rsidR="003A1917">
        <w:rPr>
          <w:kern w:val="0"/>
        </w:rPr>
        <w:t xml:space="preserve"> the </w:t>
      </w:r>
      <w:r>
        <w:rPr>
          <w:kern w:val="0"/>
        </w:rPr>
        <w:t>published reports to support a correlation between obesity</w:t>
      </w:r>
      <w:r w:rsidR="005853A9">
        <w:rPr>
          <w:kern w:val="0"/>
        </w:rPr>
        <w:t xml:space="preserve"> and </w:t>
      </w:r>
      <w:r>
        <w:rPr>
          <w:kern w:val="0"/>
        </w:rPr>
        <w:t>complications following joint replacement surgery. Obesity has been found to be a specific risk factor for joint infection. Research on early functional</w:t>
      </w:r>
      <w:r w:rsidR="005853A9">
        <w:rPr>
          <w:kern w:val="0"/>
        </w:rPr>
        <w:t xml:space="preserve"> and </w:t>
      </w:r>
      <w:r>
        <w:rPr>
          <w:kern w:val="0"/>
        </w:rPr>
        <w:t>quality</w:t>
      </w:r>
      <w:r w:rsidR="00434900">
        <w:rPr>
          <w:kern w:val="0"/>
        </w:rPr>
        <w:t>-of-</w:t>
      </w:r>
      <w:r>
        <w:rPr>
          <w:kern w:val="0"/>
        </w:rPr>
        <w:t>life data as well as on</w:t>
      </w:r>
      <w:r w:rsidR="003A1917">
        <w:rPr>
          <w:kern w:val="0"/>
        </w:rPr>
        <w:t xml:space="preserve"> the </w:t>
      </w:r>
      <w:r>
        <w:rPr>
          <w:kern w:val="0"/>
        </w:rPr>
        <w:t>influence arthroplasty surgery has on weight management is lacking,</w:t>
      </w:r>
      <w:r w:rsidR="005853A9">
        <w:rPr>
          <w:kern w:val="0"/>
        </w:rPr>
        <w:t xml:space="preserve"> and </w:t>
      </w:r>
      <w:r>
        <w:rPr>
          <w:kern w:val="0"/>
        </w:rPr>
        <w:t>few conclusions can be drawn from</w:t>
      </w:r>
      <w:r w:rsidR="003A1917">
        <w:rPr>
          <w:kern w:val="0"/>
        </w:rPr>
        <w:t xml:space="preserve"> the </w:t>
      </w:r>
      <w:r>
        <w:rPr>
          <w:kern w:val="0"/>
        </w:rPr>
        <w:t>published reports. A study</w:t>
      </w:r>
      <w:r w:rsidR="00427468">
        <w:rPr>
          <w:kern w:val="0"/>
        </w:rPr>
        <w:t xml:space="preserve"> of </w:t>
      </w:r>
      <w:r>
        <w:rPr>
          <w:kern w:val="0"/>
        </w:rPr>
        <w:t>significant size that examines all three issues in conjunction would be</w:t>
      </w:r>
      <w:r w:rsidR="00427468">
        <w:rPr>
          <w:kern w:val="0"/>
        </w:rPr>
        <w:t xml:space="preserve"> of </w:t>
      </w:r>
      <w:r>
        <w:rPr>
          <w:kern w:val="0"/>
        </w:rPr>
        <w:t>value in identifying patients at high risk</w:t>
      </w:r>
      <w:r w:rsidR="00427468">
        <w:rPr>
          <w:kern w:val="0"/>
        </w:rPr>
        <w:t xml:space="preserve"> of </w:t>
      </w:r>
      <w:r>
        <w:rPr>
          <w:kern w:val="0"/>
        </w:rPr>
        <w:t>failure in terms</w:t>
      </w:r>
      <w:r w:rsidR="00427468">
        <w:rPr>
          <w:kern w:val="0"/>
        </w:rPr>
        <w:t xml:space="preserve"> of </w:t>
      </w:r>
      <w:r>
        <w:rPr>
          <w:kern w:val="0"/>
        </w:rPr>
        <w:t>both clinical</w:t>
      </w:r>
      <w:r w:rsidR="005853A9">
        <w:rPr>
          <w:kern w:val="0"/>
        </w:rPr>
        <w:t xml:space="preserve"> and </w:t>
      </w:r>
      <w:r>
        <w:rPr>
          <w:kern w:val="0"/>
        </w:rPr>
        <w:t>quality</w:t>
      </w:r>
      <w:r w:rsidR="00434900">
        <w:rPr>
          <w:kern w:val="0"/>
        </w:rPr>
        <w:t>-of-</w:t>
      </w:r>
      <w:r>
        <w:rPr>
          <w:kern w:val="0"/>
        </w:rPr>
        <w:t>life perspectives.</w:t>
      </w:r>
    </w:p>
    <w:p w:rsidR="008C1C37" w:rsidRDefault="008C1C37" w:rsidP="008C1C37">
      <w:pPr>
        <w:pStyle w:val="a3"/>
        <w:rPr>
          <w:kern w:val="0"/>
        </w:rPr>
      </w:pPr>
      <w:r>
        <w:rPr>
          <w:kern w:val="0"/>
        </w:rPr>
        <w:t xml:space="preserve">Keywords: Arthroplasty, Body-Mass Index, Cochrane, Databases, Functional, Infection, Infections, Management, Obesity, Outcomes, Patient Outcomes, Perioperative Morbidity, Postoperative Complications, Primary, Published Works, </w:t>
      </w:r>
      <w:r w:rsidR="002C12F0">
        <w:rPr>
          <w:kern w:val="0"/>
        </w:rPr>
        <w:t>PUBMED</w:t>
      </w:r>
      <w:r>
        <w:rPr>
          <w:kern w:val="0"/>
        </w:rPr>
        <w:t>, Quality</w:t>
      </w:r>
      <w:r w:rsidR="00427468">
        <w:rPr>
          <w:kern w:val="0"/>
        </w:rPr>
        <w:t xml:space="preserve"> of </w:t>
      </w:r>
      <w:r>
        <w:rPr>
          <w:kern w:val="0"/>
        </w:rPr>
        <w:t xml:space="preserve">Life, Replacement, Research, Review, Risk, Science, Surgery, Total Hip-Arthroplasty, Total Knee Arthroplasty, </w:t>
      </w:r>
      <w:r w:rsidR="00D5664A">
        <w:rPr>
          <w:kern w:val="0"/>
        </w:rPr>
        <w:t>Web</w:t>
      </w:r>
      <w:r w:rsidR="00427468">
        <w:rPr>
          <w:kern w:val="0"/>
        </w:rPr>
        <w:t xml:space="preserve"> of </w:t>
      </w:r>
      <w:r w:rsidR="00D5664A">
        <w:rPr>
          <w:kern w:val="0"/>
        </w:rPr>
        <w:t>Science</w:t>
      </w:r>
    </w:p>
    <w:p w:rsidR="00D33592" w:rsidRDefault="00D33592" w:rsidP="00D33592">
      <w:pPr>
        <w:pStyle w:val="a3"/>
        <w:rPr>
          <w:kern w:val="0"/>
        </w:rPr>
      </w:pPr>
      <w:r>
        <w:rPr>
          <w:rFonts w:hint="eastAsia"/>
          <w:kern w:val="0"/>
        </w:rPr>
        <w:t xml:space="preserve">? </w:t>
      </w:r>
      <w:r w:rsidRPr="00D33592">
        <w:rPr>
          <w:kern w:val="0"/>
        </w:rPr>
        <w:t>Patel, V</w:t>
      </w:r>
      <w:r>
        <w:rPr>
          <w:rFonts w:hint="eastAsia"/>
          <w:kern w:val="0"/>
        </w:rPr>
        <w:t>.</w:t>
      </w:r>
      <w:r w:rsidRPr="00D33592">
        <w:rPr>
          <w:kern w:val="0"/>
        </w:rPr>
        <w:t>M</w:t>
      </w:r>
      <w:r>
        <w:rPr>
          <w:rFonts w:hint="eastAsia"/>
          <w:kern w:val="0"/>
        </w:rPr>
        <w:t>.,</w:t>
      </w:r>
      <w:r w:rsidRPr="00D33592">
        <w:rPr>
          <w:kern w:val="0"/>
        </w:rPr>
        <w:t xml:space="preserve"> Warren, O</w:t>
      </w:r>
      <w:r>
        <w:rPr>
          <w:rFonts w:hint="eastAsia"/>
          <w:kern w:val="0"/>
        </w:rPr>
        <w:t>.,</w:t>
      </w:r>
      <w:r w:rsidRPr="00D33592">
        <w:rPr>
          <w:kern w:val="0"/>
        </w:rPr>
        <w:t xml:space="preserve"> Humphris, P</w:t>
      </w:r>
      <w:r>
        <w:rPr>
          <w:rFonts w:hint="eastAsia"/>
          <w:kern w:val="0"/>
        </w:rPr>
        <w:t>.,</w:t>
      </w:r>
      <w:r w:rsidRPr="00D33592">
        <w:rPr>
          <w:kern w:val="0"/>
        </w:rPr>
        <w:t xml:space="preserve"> Ahmed, K</w:t>
      </w:r>
      <w:r>
        <w:rPr>
          <w:rFonts w:hint="eastAsia"/>
          <w:kern w:val="0"/>
        </w:rPr>
        <w:t>.,</w:t>
      </w:r>
      <w:r w:rsidRPr="00D33592">
        <w:rPr>
          <w:kern w:val="0"/>
        </w:rPr>
        <w:t xml:space="preserve"> Ashrafian, H</w:t>
      </w:r>
      <w:r>
        <w:rPr>
          <w:rFonts w:hint="eastAsia"/>
          <w:kern w:val="0"/>
        </w:rPr>
        <w:t>.,</w:t>
      </w:r>
      <w:r w:rsidRPr="00D33592">
        <w:rPr>
          <w:kern w:val="0"/>
        </w:rPr>
        <w:t xml:space="preserve"> Rao, C</w:t>
      </w:r>
      <w:r>
        <w:rPr>
          <w:rFonts w:hint="eastAsia"/>
          <w:kern w:val="0"/>
        </w:rPr>
        <w:t>.,</w:t>
      </w:r>
      <w:r w:rsidRPr="00D33592">
        <w:rPr>
          <w:kern w:val="0"/>
        </w:rPr>
        <w:t xml:space="preserve"> Athanasiou, T</w:t>
      </w:r>
      <w:r>
        <w:rPr>
          <w:rFonts w:hint="eastAsia"/>
          <w:kern w:val="0"/>
        </w:rPr>
        <w:t>.</w:t>
      </w:r>
      <w:r w:rsidR="005853A9">
        <w:rPr>
          <w:rFonts w:hint="eastAsia"/>
          <w:kern w:val="0"/>
        </w:rPr>
        <w:t xml:space="preserve"> and </w:t>
      </w:r>
      <w:r w:rsidRPr="00D33592">
        <w:rPr>
          <w:kern w:val="0"/>
        </w:rPr>
        <w:t>Darzi, A</w:t>
      </w:r>
      <w:r>
        <w:rPr>
          <w:rFonts w:hint="eastAsia"/>
          <w:kern w:val="0"/>
        </w:rPr>
        <w:t>.</w:t>
      </w:r>
      <w:r>
        <w:rPr>
          <w:kern w:val="0"/>
        </w:rPr>
        <w:t xml:space="preserve"> (201</w:t>
      </w:r>
      <w:r>
        <w:rPr>
          <w:rFonts w:hint="eastAsia"/>
          <w:kern w:val="0"/>
        </w:rPr>
        <w:t>0</w:t>
      </w:r>
      <w:r>
        <w:rPr>
          <w:kern w:val="0"/>
        </w:rPr>
        <w:t xml:space="preserve">), </w:t>
      </w:r>
      <w:r w:rsidRPr="00D33592">
        <w:rPr>
          <w:kern w:val="0"/>
        </w:rPr>
        <w:t>What does leadership in surgery entail?</w:t>
      </w:r>
      <w:r>
        <w:rPr>
          <w:kern w:val="0"/>
        </w:rPr>
        <w:t xml:space="preserve"> </w:t>
      </w:r>
      <w:r>
        <w:rPr>
          <w:i/>
          <w:iCs/>
          <w:kern w:val="0"/>
        </w:rPr>
        <w:t>ANZ Journal</w:t>
      </w:r>
      <w:r w:rsidR="00427468">
        <w:rPr>
          <w:i/>
          <w:iCs/>
          <w:kern w:val="0"/>
        </w:rPr>
        <w:t xml:space="preserve"> of </w:t>
      </w:r>
      <w:r>
        <w:rPr>
          <w:i/>
          <w:iCs/>
          <w:kern w:val="0"/>
        </w:rPr>
        <w:t>Surgery</w:t>
      </w:r>
      <w:r>
        <w:rPr>
          <w:kern w:val="0"/>
        </w:rPr>
        <w:t xml:space="preserve">, </w:t>
      </w:r>
      <w:r>
        <w:rPr>
          <w:b/>
          <w:bCs/>
          <w:kern w:val="0"/>
        </w:rPr>
        <w:t>8</w:t>
      </w:r>
      <w:r>
        <w:rPr>
          <w:rFonts w:hint="eastAsia"/>
          <w:b/>
          <w:bCs/>
          <w:kern w:val="0"/>
        </w:rPr>
        <w:t>0</w:t>
      </w:r>
      <w:r>
        <w:rPr>
          <w:kern w:val="0"/>
        </w:rPr>
        <w:t xml:space="preserve"> (1</w:t>
      </w:r>
      <w:r>
        <w:rPr>
          <w:rFonts w:hint="eastAsia"/>
          <w:kern w:val="0"/>
        </w:rPr>
        <w:t>2</w:t>
      </w:r>
      <w:r>
        <w:rPr>
          <w:kern w:val="0"/>
        </w:rPr>
        <w:t xml:space="preserve">), </w:t>
      </w:r>
      <w:r w:rsidRPr="00D33592">
        <w:rPr>
          <w:kern w:val="0"/>
        </w:rPr>
        <w:t>876-883</w:t>
      </w:r>
      <w:r>
        <w:rPr>
          <w:kern w:val="0"/>
        </w:rPr>
        <w:t>.</w:t>
      </w:r>
    </w:p>
    <w:p w:rsidR="00D33592" w:rsidRDefault="00D33592" w:rsidP="00D33592">
      <w:pPr>
        <w:pStyle w:val="a3"/>
        <w:rPr>
          <w:kern w:val="0"/>
        </w:rPr>
      </w:pPr>
      <w:r>
        <w:rPr>
          <w:rFonts w:hint="eastAsia"/>
          <w:kern w:val="0"/>
        </w:rPr>
        <w:t xml:space="preserve">Full Text: </w:t>
      </w:r>
      <w:hyperlink r:id="rId1031" w:history="1">
        <w:r w:rsidRPr="00D33592">
          <w:rPr>
            <w:rStyle w:val="a5"/>
            <w:kern w:val="0"/>
          </w:rPr>
          <w:t>2010\ANZ J Sur80, 876.pdf</w:t>
        </w:r>
      </w:hyperlink>
    </w:p>
    <w:p w:rsidR="00D33592" w:rsidRPr="00D33592" w:rsidRDefault="00D33592" w:rsidP="00D33592">
      <w:pPr>
        <w:pStyle w:val="a3"/>
        <w:rPr>
          <w:kern w:val="0"/>
        </w:rPr>
      </w:pPr>
      <w:r w:rsidRPr="00D33592">
        <w:rPr>
          <w:kern w:val="0"/>
        </w:rPr>
        <w:lastRenderedPageBreak/>
        <w:t>Abstract: Background: Leadership is not formally taught at any level in surgical training; there are no mandatory leadership courses or qualifications for trainees or specialists,</w:t>
      </w:r>
      <w:r w:rsidR="005853A9">
        <w:rPr>
          <w:kern w:val="0"/>
        </w:rPr>
        <w:t xml:space="preserve"> and </w:t>
      </w:r>
      <w:r w:rsidRPr="00D33592">
        <w:rPr>
          <w:kern w:val="0"/>
        </w:rPr>
        <w:t>leadership performance is rarely evaluated within surgical appr</w:t>
      </w:r>
      <w:r>
        <w:rPr>
          <w:kern w:val="0"/>
        </w:rPr>
        <w:t>aisal or assessment programmes.</w:t>
      </w:r>
    </w:p>
    <w:p w:rsidR="00D33592" w:rsidRPr="00D33592" w:rsidRDefault="00D33592" w:rsidP="00D33592">
      <w:pPr>
        <w:pStyle w:val="a3"/>
        <w:rPr>
          <w:kern w:val="0"/>
        </w:rPr>
      </w:pPr>
      <w:r w:rsidRPr="00D33592">
        <w:rPr>
          <w:kern w:val="0"/>
        </w:rPr>
        <w:t xml:space="preserve">Methods: Literature obtained from a </w:t>
      </w:r>
      <w:r w:rsidR="00D5664A">
        <w:rPr>
          <w:kern w:val="0"/>
        </w:rPr>
        <w:t>MEDLINE</w:t>
      </w:r>
      <w:r w:rsidRPr="00D33592">
        <w:rPr>
          <w:kern w:val="0"/>
        </w:rPr>
        <w:t xml:space="preserve"> search was reviewed to determine the characteristics</w:t>
      </w:r>
      <w:r w:rsidR="00427468">
        <w:rPr>
          <w:kern w:val="0"/>
        </w:rPr>
        <w:t xml:space="preserve"> of </w:t>
      </w:r>
      <w:r w:rsidRPr="00D33592">
        <w:rPr>
          <w:kern w:val="0"/>
        </w:rPr>
        <w:t>surgical leaders; outline an analytical framework through which these characteristics can be developed both in surgeons</w:t>
      </w:r>
      <w:r w:rsidR="005853A9">
        <w:rPr>
          <w:kern w:val="0"/>
        </w:rPr>
        <w:t xml:space="preserve"> and </w:t>
      </w:r>
      <w:r w:rsidRPr="00D33592">
        <w:rPr>
          <w:kern w:val="0"/>
        </w:rPr>
        <w:t>surgical departments;</w:t>
      </w:r>
      <w:r w:rsidR="005853A9">
        <w:rPr>
          <w:kern w:val="0"/>
        </w:rPr>
        <w:t xml:space="preserve"> and </w:t>
      </w:r>
      <w:r w:rsidRPr="00D33592">
        <w:rPr>
          <w:kern w:val="0"/>
        </w:rPr>
        <w:t>reflect on future challenges</w:t>
      </w:r>
      <w:r w:rsidR="005853A9">
        <w:rPr>
          <w:kern w:val="0"/>
        </w:rPr>
        <w:t xml:space="preserve"> and </w:t>
      </w:r>
      <w:r w:rsidRPr="00D33592">
        <w:rPr>
          <w:kern w:val="0"/>
        </w:rPr>
        <w:t>recommendations for the central role</w:t>
      </w:r>
      <w:r w:rsidR="00427468">
        <w:rPr>
          <w:kern w:val="0"/>
        </w:rPr>
        <w:t xml:space="preserve"> of </w:t>
      </w:r>
      <w:r w:rsidRPr="00D33592">
        <w:rPr>
          <w:kern w:val="0"/>
        </w:rPr>
        <w:t>lead</w:t>
      </w:r>
      <w:r>
        <w:rPr>
          <w:kern w:val="0"/>
        </w:rPr>
        <w:t>ership in the field</w:t>
      </w:r>
      <w:r w:rsidR="00427468">
        <w:rPr>
          <w:kern w:val="0"/>
        </w:rPr>
        <w:t xml:space="preserve"> of </w:t>
      </w:r>
      <w:r>
        <w:rPr>
          <w:kern w:val="0"/>
        </w:rPr>
        <w:t>surgery.</w:t>
      </w:r>
    </w:p>
    <w:p w:rsidR="00D33592" w:rsidRPr="00D33592" w:rsidRDefault="00D33592" w:rsidP="00D33592">
      <w:pPr>
        <w:pStyle w:val="a3"/>
        <w:rPr>
          <w:kern w:val="0"/>
        </w:rPr>
      </w:pPr>
      <w:r w:rsidRPr="00D33592">
        <w:rPr>
          <w:kern w:val="0"/>
        </w:rPr>
        <w:t>Results: Leadership in surgery entails professionalism, technical competence, motivation, innovation, teamwork, communication skills, decision-making, business acumen, emotional competence, resilience</w:t>
      </w:r>
      <w:r w:rsidR="005853A9">
        <w:rPr>
          <w:kern w:val="0"/>
        </w:rPr>
        <w:t xml:space="preserve"> and </w:t>
      </w:r>
      <w:r w:rsidRPr="00D33592">
        <w:rPr>
          <w:kern w:val="0"/>
        </w:rPr>
        <w:t>effective teaching. Leadership skills can be developed through experience, observation,</w:t>
      </w:r>
      <w:r w:rsidR="005853A9">
        <w:rPr>
          <w:kern w:val="0"/>
        </w:rPr>
        <w:t xml:space="preserve"> and </w:t>
      </w:r>
      <w:r w:rsidRPr="00D33592">
        <w:rPr>
          <w:kern w:val="0"/>
        </w:rPr>
        <w:t>education using a framework including mentoring, coaching, networking, stretch assignments</w:t>
      </w:r>
      <w:r>
        <w:rPr>
          <w:kern w:val="0"/>
        </w:rPr>
        <w:t>, action learning</w:t>
      </w:r>
      <w:r w:rsidR="005853A9">
        <w:rPr>
          <w:kern w:val="0"/>
        </w:rPr>
        <w:t xml:space="preserve"> and </w:t>
      </w:r>
      <w:r>
        <w:rPr>
          <w:kern w:val="0"/>
        </w:rPr>
        <w:t>feedback.</w:t>
      </w:r>
    </w:p>
    <w:p w:rsidR="00D33592" w:rsidRPr="00D33592" w:rsidRDefault="00D33592" w:rsidP="00D33592">
      <w:pPr>
        <w:pStyle w:val="a3"/>
        <w:rPr>
          <w:kern w:val="0"/>
        </w:rPr>
      </w:pPr>
      <w:r w:rsidRPr="00D33592">
        <w:rPr>
          <w:kern w:val="0"/>
        </w:rPr>
        <w:t>Conclusion: Modern surgery will need leaders with superior leadership skills that are well defined. It is vital that leadership programmes to develop leadership skills are put into practice in medical education curriculum</w:t>
      </w:r>
      <w:r w:rsidR="005853A9">
        <w:rPr>
          <w:kern w:val="0"/>
        </w:rPr>
        <w:t xml:space="preserve"> and </w:t>
      </w:r>
      <w:r w:rsidRPr="00D33592">
        <w:rPr>
          <w:kern w:val="0"/>
        </w:rPr>
        <w:t>postgraduate surgical training. This will ensure maintenance</w:t>
      </w:r>
      <w:r w:rsidR="005853A9">
        <w:rPr>
          <w:kern w:val="0"/>
        </w:rPr>
        <w:t xml:space="preserve"> and </w:t>
      </w:r>
      <w:r w:rsidRPr="00D33592">
        <w:rPr>
          <w:kern w:val="0"/>
        </w:rPr>
        <w:t>improvement i</w:t>
      </w:r>
      <w:r>
        <w:rPr>
          <w:kern w:val="0"/>
        </w:rPr>
        <w:t>n the quality</w:t>
      </w:r>
      <w:r w:rsidR="00427468">
        <w:rPr>
          <w:kern w:val="0"/>
        </w:rPr>
        <w:t xml:space="preserve"> of </w:t>
      </w:r>
      <w:r>
        <w:rPr>
          <w:kern w:val="0"/>
        </w:rPr>
        <w:t>patient care.</w:t>
      </w:r>
    </w:p>
    <w:p w:rsidR="00D33592" w:rsidRDefault="00D33592" w:rsidP="00D33592">
      <w:pPr>
        <w:pStyle w:val="a3"/>
        <w:rPr>
          <w:kern w:val="0"/>
        </w:rPr>
      </w:pPr>
      <w:r w:rsidRPr="00D33592">
        <w:rPr>
          <w:kern w:val="0"/>
        </w:rPr>
        <w:t>Keywords: Academic</w:t>
      </w:r>
      <w:r>
        <w:rPr>
          <w:kern w:val="0"/>
        </w:rPr>
        <w:t>,</w:t>
      </w:r>
      <w:r w:rsidRPr="00D33592">
        <w:rPr>
          <w:kern w:val="0"/>
        </w:rPr>
        <w:t xml:space="preserve"> Emotional Intelligence</w:t>
      </w:r>
      <w:r>
        <w:rPr>
          <w:kern w:val="0"/>
        </w:rPr>
        <w:t>,</w:t>
      </w:r>
      <w:r w:rsidRPr="00D33592">
        <w:rPr>
          <w:kern w:val="0"/>
        </w:rPr>
        <w:t xml:space="preserve"> Health Care</w:t>
      </w:r>
      <w:r>
        <w:rPr>
          <w:kern w:val="0"/>
        </w:rPr>
        <w:t>,</w:t>
      </w:r>
      <w:r w:rsidRPr="00D33592">
        <w:rPr>
          <w:kern w:val="0"/>
        </w:rPr>
        <w:t xml:space="preserve"> Leadership</w:t>
      </w:r>
      <w:r>
        <w:rPr>
          <w:kern w:val="0"/>
        </w:rPr>
        <w:t>,</w:t>
      </w:r>
      <w:r w:rsidRPr="00D33592">
        <w:rPr>
          <w:kern w:val="0"/>
        </w:rPr>
        <w:t xml:space="preserve"> Surgery</w:t>
      </w:r>
      <w:r>
        <w:rPr>
          <w:kern w:val="0"/>
        </w:rPr>
        <w:t>,</w:t>
      </w:r>
      <w:r w:rsidRPr="00D33592">
        <w:rPr>
          <w:kern w:val="0"/>
        </w:rPr>
        <w:t xml:space="preserve"> Transformational</w:t>
      </w:r>
      <w:r>
        <w:rPr>
          <w:kern w:val="0"/>
        </w:rPr>
        <w:t>,</w:t>
      </w:r>
      <w:r w:rsidRPr="00D33592">
        <w:rPr>
          <w:kern w:val="0"/>
        </w:rPr>
        <w:t xml:space="preserve"> Physician Leadership</w:t>
      </w:r>
      <w:r>
        <w:rPr>
          <w:kern w:val="0"/>
        </w:rPr>
        <w:t>,</w:t>
      </w:r>
      <w:r w:rsidRPr="00D33592">
        <w:rPr>
          <w:kern w:val="0"/>
        </w:rPr>
        <w:t xml:space="preserve"> Academi</w:t>
      </w:r>
      <w:r>
        <w:rPr>
          <w:kern w:val="0"/>
        </w:rPr>
        <w:t>c Surgery, Environment, Impact</w:t>
      </w:r>
    </w:p>
    <w:p w:rsidR="00D33592" w:rsidRDefault="00D33592" w:rsidP="00D33592">
      <w:pPr>
        <w:pStyle w:val="a3"/>
        <w:rPr>
          <w:kern w:val="0"/>
        </w:rPr>
      </w:pPr>
      <w:r>
        <w:rPr>
          <w:rFonts w:hint="eastAsia"/>
          <w:kern w:val="0"/>
        </w:rPr>
        <w:t xml:space="preserve">? </w:t>
      </w:r>
      <w:r w:rsidRPr="00F70541">
        <w:rPr>
          <w:kern w:val="0"/>
        </w:rPr>
        <w:t>Patel, V</w:t>
      </w:r>
      <w:r>
        <w:rPr>
          <w:rFonts w:hint="eastAsia"/>
          <w:kern w:val="0"/>
        </w:rPr>
        <w:t>.</w:t>
      </w:r>
      <w:r w:rsidRPr="00F70541">
        <w:rPr>
          <w:kern w:val="0"/>
        </w:rPr>
        <w:t>M</w:t>
      </w:r>
      <w:r>
        <w:rPr>
          <w:rFonts w:hint="eastAsia"/>
          <w:kern w:val="0"/>
        </w:rPr>
        <w:t xml:space="preserve">., </w:t>
      </w:r>
      <w:r w:rsidRPr="00F70541">
        <w:rPr>
          <w:kern w:val="0"/>
        </w:rPr>
        <w:t>Warren, O</w:t>
      </w:r>
      <w:r>
        <w:rPr>
          <w:rFonts w:hint="eastAsia"/>
          <w:kern w:val="0"/>
        </w:rPr>
        <w:t>.,</w:t>
      </w:r>
      <w:r w:rsidRPr="00F70541">
        <w:rPr>
          <w:kern w:val="0"/>
        </w:rPr>
        <w:t xml:space="preserve"> Ahmed, K</w:t>
      </w:r>
      <w:r>
        <w:rPr>
          <w:rFonts w:hint="eastAsia"/>
          <w:kern w:val="0"/>
        </w:rPr>
        <w:t>.,</w:t>
      </w:r>
      <w:r w:rsidRPr="00F70541">
        <w:rPr>
          <w:kern w:val="0"/>
        </w:rPr>
        <w:t xml:space="preserve"> Humphris, P</w:t>
      </w:r>
      <w:r>
        <w:rPr>
          <w:rFonts w:hint="eastAsia"/>
          <w:kern w:val="0"/>
        </w:rPr>
        <w:t>.,</w:t>
      </w:r>
      <w:r w:rsidRPr="00F70541">
        <w:rPr>
          <w:kern w:val="0"/>
        </w:rPr>
        <w:t xml:space="preserve"> Abbasi, S</w:t>
      </w:r>
      <w:r>
        <w:rPr>
          <w:rFonts w:hint="eastAsia"/>
          <w:kern w:val="0"/>
        </w:rPr>
        <w:t>.,</w:t>
      </w:r>
      <w:r w:rsidRPr="00F70541">
        <w:rPr>
          <w:kern w:val="0"/>
        </w:rPr>
        <w:t xml:space="preserve"> Ashrafian, H</w:t>
      </w:r>
      <w:r>
        <w:rPr>
          <w:rFonts w:hint="eastAsia"/>
          <w:kern w:val="0"/>
        </w:rPr>
        <w:t>.,</w:t>
      </w:r>
      <w:r w:rsidRPr="00F70541">
        <w:rPr>
          <w:kern w:val="0"/>
        </w:rPr>
        <w:t xml:space="preserve"> Darzi, A</w:t>
      </w:r>
      <w:r>
        <w:rPr>
          <w:rFonts w:hint="eastAsia"/>
          <w:kern w:val="0"/>
        </w:rPr>
        <w:t>.</w:t>
      </w:r>
      <w:r w:rsidR="005853A9">
        <w:rPr>
          <w:rFonts w:hint="eastAsia"/>
          <w:kern w:val="0"/>
        </w:rPr>
        <w:t xml:space="preserve"> and </w:t>
      </w:r>
      <w:r w:rsidRPr="00F70541">
        <w:rPr>
          <w:kern w:val="0"/>
        </w:rPr>
        <w:t>Athanasiou, T</w:t>
      </w:r>
      <w:r>
        <w:rPr>
          <w:rFonts w:hint="eastAsia"/>
          <w:kern w:val="0"/>
        </w:rPr>
        <w:t>.</w:t>
      </w:r>
      <w:r>
        <w:rPr>
          <w:kern w:val="0"/>
        </w:rPr>
        <w:t xml:space="preserve"> (2011), </w:t>
      </w:r>
      <w:r w:rsidRPr="00F70541">
        <w:rPr>
          <w:kern w:val="0"/>
        </w:rPr>
        <w:t>How can we build mentorship in surgeons</w:t>
      </w:r>
      <w:r w:rsidR="00427468">
        <w:rPr>
          <w:kern w:val="0"/>
        </w:rPr>
        <w:t xml:space="preserve"> of </w:t>
      </w:r>
      <w:r w:rsidRPr="00F70541">
        <w:rPr>
          <w:kern w:val="0"/>
        </w:rPr>
        <w:t>the future?</w:t>
      </w:r>
      <w:r>
        <w:rPr>
          <w:kern w:val="0"/>
        </w:rPr>
        <w:t xml:space="preserve"> </w:t>
      </w:r>
      <w:r>
        <w:rPr>
          <w:i/>
          <w:iCs/>
          <w:kern w:val="0"/>
        </w:rPr>
        <w:t>ANZ Journal</w:t>
      </w:r>
      <w:r w:rsidR="00427468">
        <w:rPr>
          <w:i/>
          <w:iCs/>
          <w:kern w:val="0"/>
        </w:rPr>
        <w:t xml:space="preserve"> of </w:t>
      </w:r>
      <w:r>
        <w:rPr>
          <w:i/>
          <w:iCs/>
          <w:kern w:val="0"/>
        </w:rPr>
        <w:t>Surgery</w:t>
      </w:r>
      <w:r>
        <w:rPr>
          <w:kern w:val="0"/>
        </w:rPr>
        <w:t xml:space="preserve">, </w:t>
      </w:r>
      <w:r>
        <w:rPr>
          <w:b/>
          <w:bCs/>
          <w:kern w:val="0"/>
        </w:rPr>
        <w:t>81</w:t>
      </w:r>
      <w:r>
        <w:rPr>
          <w:kern w:val="0"/>
        </w:rPr>
        <w:t xml:space="preserve"> (10), </w:t>
      </w:r>
      <w:r w:rsidRPr="00F70541">
        <w:rPr>
          <w:kern w:val="0"/>
        </w:rPr>
        <w:t>418-424</w:t>
      </w:r>
      <w:r>
        <w:rPr>
          <w:kern w:val="0"/>
        </w:rPr>
        <w:t>.</w:t>
      </w:r>
    </w:p>
    <w:p w:rsidR="00D33592" w:rsidRDefault="00D33592" w:rsidP="00D33592">
      <w:pPr>
        <w:pStyle w:val="a3"/>
        <w:rPr>
          <w:kern w:val="0"/>
        </w:rPr>
      </w:pPr>
      <w:r>
        <w:rPr>
          <w:rFonts w:hint="eastAsia"/>
          <w:kern w:val="0"/>
        </w:rPr>
        <w:t xml:space="preserve">Full Text: </w:t>
      </w:r>
      <w:hyperlink r:id="rId1032" w:history="1">
        <w:r w:rsidRPr="003750B1">
          <w:rPr>
            <w:rStyle w:val="a5"/>
            <w:kern w:val="0"/>
          </w:rPr>
          <w:t>2011\ANZ J Sur81, 418.pdf</w:t>
        </w:r>
      </w:hyperlink>
    </w:p>
    <w:p w:rsidR="00D33592" w:rsidRPr="00F70541" w:rsidRDefault="00D33592" w:rsidP="00D33592">
      <w:pPr>
        <w:pStyle w:val="a3"/>
        <w:rPr>
          <w:kern w:val="0"/>
        </w:rPr>
      </w:pPr>
      <w:r w:rsidRPr="00F70541">
        <w:rPr>
          <w:kern w:val="0"/>
        </w:rPr>
        <w:t>Abstract: Background: In the past, surgical training has been based on traditional apprenticeship model</w:t>
      </w:r>
      <w:r w:rsidR="00427468">
        <w:rPr>
          <w:kern w:val="0"/>
        </w:rPr>
        <w:t xml:space="preserve"> of </w:t>
      </w:r>
      <w:r w:rsidRPr="00F70541">
        <w:rPr>
          <w:kern w:val="0"/>
        </w:rPr>
        <w:t>mentoring. To cope with the rapidly changing environment</w:t>
      </w:r>
      <w:r w:rsidR="00427468">
        <w:rPr>
          <w:kern w:val="0"/>
        </w:rPr>
        <w:t xml:space="preserve"> of </w:t>
      </w:r>
      <w:r w:rsidRPr="00F70541">
        <w:rPr>
          <w:kern w:val="0"/>
        </w:rPr>
        <w:t>modern surgery, the mentoring process may req</w:t>
      </w:r>
      <w:r>
        <w:rPr>
          <w:kern w:val="0"/>
        </w:rPr>
        <w:t>uire significant modernization.</w:t>
      </w:r>
    </w:p>
    <w:p w:rsidR="00D33592" w:rsidRPr="00F70541" w:rsidRDefault="00D33592" w:rsidP="00D33592">
      <w:pPr>
        <w:pStyle w:val="a3"/>
        <w:rPr>
          <w:kern w:val="0"/>
        </w:rPr>
      </w:pPr>
      <w:r w:rsidRPr="00F70541">
        <w:rPr>
          <w:kern w:val="0"/>
        </w:rPr>
        <w:t xml:space="preserve">Methods: Literature for this review was identified by searching for the MeSH heading </w:t>
      </w:r>
      <w:r w:rsidR="00700038">
        <w:rPr>
          <w:kern w:val="0"/>
        </w:rPr>
        <w:t>‘</w:t>
      </w:r>
      <w:r w:rsidRPr="00F70541">
        <w:rPr>
          <w:kern w:val="0"/>
        </w:rPr>
        <w:t>mentors</w:t>
      </w:r>
      <w:r w:rsidR="00700038">
        <w:rPr>
          <w:kern w:val="0"/>
        </w:rPr>
        <w:t>’</w:t>
      </w:r>
      <w:r w:rsidRPr="00F70541">
        <w:rPr>
          <w:kern w:val="0"/>
        </w:rPr>
        <w:t xml:space="preserve"> in Ovid </w:t>
      </w:r>
      <w:r w:rsidR="00D5664A">
        <w:rPr>
          <w:kern w:val="0"/>
        </w:rPr>
        <w:t>MEDLINE</w:t>
      </w:r>
      <w:r w:rsidRPr="00F70541">
        <w:rPr>
          <w:kern w:val="0"/>
        </w:rPr>
        <w:t>, EMBASE, PsycINFO</w:t>
      </w:r>
      <w:r w:rsidR="005853A9">
        <w:rPr>
          <w:kern w:val="0"/>
        </w:rPr>
        <w:t xml:space="preserve"> and </w:t>
      </w:r>
      <w:r w:rsidRPr="00F70541">
        <w:rPr>
          <w:kern w:val="0"/>
        </w:rPr>
        <w:t>Cochrane Library databases (1950 to September 2010)</w:t>
      </w:r>
      <w:r w:rsidR="00A37C1D">
        <w:rPr>
          <w:kern w:val="0"/>
        </w:rPr>
        <w:t>. The</w:t>
      </w:r>
      <w:r w:rsidRPr="00F70541">
        <w:rPr>
          <w:kern w:val="0"/>
        </w:rPr>
        <w:t xml:space="preserve"> literature was reviewed to specifically identify challenges</w:t>
      </w:r>
      <w:r w:rsidR="00427468">
        <w:rPr>
          <w:kern w:val="0"/>
        </w:rPr>
        <w:t xml:space="preserve"> of </w:t>
      </w:r>
      <w:r w:rsidRPr="00F70541">
        <w:rPr>
          <w:kern w:val="0"/>
        </w:rPr>
        <w:t>mentoring future surgeons</w:t>
      </w:r>
      <w:r w:rsidR="005853A9">
        <w:rPr>
          <w:kern w:val="0"/>
        </w:rPr>
        <w:t xml:space="preserve"> and </w:t>
      </w:r>
      <w:r w:rsidRPr="00F70541">
        <w:rPr>
          <w:kern w:val="0"/>
        </w:rPr>
        <w:t>to delineate a framework to establish a mentor-mentee relationship by mean</w:t>
      </w:r>
      <w:r>
        <w:rPr>
          <w:kern w:val="0"/>
        </w:rPr>
        <w:t>s</w:t>
      </w:r>
      <w:r w:rsidR="00427468">
        <w:rPr>
          <w:kern w:val="0"/>
        </w:rPr>
        <w:t xml:space="preserve"> of </w:t>
      </w:r>
      <w:r>
        <w:rPr>
          <w:kern w:val="0"/>
        </w:rPr>
        <w:t>a formal mentoring scheme.</w:t>
      </w:r>
    </w:p>
    <w:p w:rsidR="00D33592" w:rsidRPr="00F70541" w:rsidRDefault="00D33592" w:rsidP="00D33592">
      <w:pPr>
        <w:pStyle w:val="a3"/>
        <w:rPr>
          <w:kern w:val="0"/>
        </w:rPr>
      </w:pPr>
      <w:r w:rsidRPr="00F70541">
        <w:rPr>
          <w:kern w:val="0"/>
        </w:rPr>
        <w:t>Results: Multidimensional approaches, models</w:t>
      </w:r>
      <w:r w:rsidR="005853A9">
        <w:rPr>
          <w:kern w:val="0"/>
        </w:rPr>
        <w:t xml:space="preserve"> and </w:t>
      </w:r>
      <w:r w:rsidRPr="00F70541">
        <w:rPr>
          <w:kern w:val="0"/>
        </w:rPr>
        <w:t>methods</w:t>
      </w:r>
      <w:r w:rsidR="00427468">
        <w:rPr>
          <w:kern w:val="0"/>
        </w:rPr>
        <w:t xml:space="preserve"> of </w:t>
      </w:r>
      <w:r w:rsidRPr="00F70541">
        <w:rPr>
          <w:kern w:val="0"/>
        </w:rPr>
        <w:t>delivering mentoring are essential to meet the challenges</w:t>
      </w:r>
      <w:r w:rsidR="00427468">
        <w:rPr>
          <w:kern w:val="0"/>
        </w:rPr>
        <w:t xml:space="preserve"> of </w:t>
      </w:r>
      <w:r w:rsidRPr="00F70541">
        <w:rPr>
          <w:kern w:val="0"/>
        </w:rPr>
        <w:t>modern surgery. We advocate a 10-stage approach to implement a formal mentoring scheme at local, nat</w:t>
      </w:r>
      <w:r>
        <w:rPr>
          <w:kern w:val="0"/>
        </w:rPr>
        <w:t>ional</w:t>
      </w:r>
      <w:r w:rsidR="005853A9">
        <w:rPr>
          <w:kern w:val="0"/>
        </w:rPr>
        <w:t xml:space="preserve"> and </w:t>
      </w:r>
      <w:r>
        <w:rPr>
          <w:kern w:val="0"/>
        </w:rPr>
        <w:t>international levels.</w:t>
      </w:r>
    </w:p>
    <w:p w:rsidR="00D33592" w:rsidRPr="00F70541" w:rsidRDefault="00D33592" w:rsidP="00D33592">
      <w:pPr>
        <w:pStyle w:val="a3"/>
        <w:rPr>
          <w:kern w:val="0"/>
        </w:rPr>
      </w:pPr>
      <w:r w:rsidRPr="00F70541">
        <w:rPr>
          <w:kern w:val="0"/>
        </w:rPr>
        <w:t>Conclusion: Formalizing the mentoring process, with local, national</w:t>
      </w:r>
      <w:r w:rsidR="005853A9">
        <w:rPr>
          <w:kern w:val="0"/>
        </w:rPr>
        <w:t xml:space="preserve"> and </w:t>
      </w:r>
      <w:r w:rsidRPr="00F70541">
        <w:rPr>
          <w:kern w:val="0"/>
        </w:rPr>
        <w:t>international schemes, will initiate mentoring relationships</w:t>
      </w:r>
      <w:r w:rsidR="005853A9">
        <w:rPr>
          <w:kern w:val="0"/>
        </w:rPr>
        <w:t xml:space="preserve"> and </w:t>
      </w:r>
      <w:r w:rsidRPr="00F70541">
        <w:rPr>
          <w:kern w:val="0"/>
        </w:rPr>
        <w:t>cultivate a mentoring culture. Ultimately, this will main</w:t>
      </w:r>
      <w:r>
        <w:rPr>
          <w:kern w:val="0"/>
        </w:rPr>
        <w:t>tain</w:t>
      </w:r>
      <w:r w:rsidR="005853A9">
        <w:rPr>
          <w:kern w:val="0"/>
        </w:rPr>
        <w:t xml:space="preserve"> and </w:t>
      </w:r>
      <w:r>
        <w:rPr>
          <w:kern w:val="0"/>
        </w:rPr>
        <w:t>improve patient care.</w:t>
      </w:r>
    </w:p>
    <w:p w:rsidR="00D33592" w:rsidRDefault="00D33592" w:rsidP="00D33592">
      <w:pPr>
        <w:pStyle w:val="a3"/>
        <w:rPr>
          <w:kern w:val="0"/>
        </w:rPr>
      </w:pPr>
      <w:r w:rsidRPr="00F70541">
        <w:rPr>
          <w:kern w:val="0"/>
        </w:rPr>
        <w:lastRenderedPageBreak/>
        <w:t>Keywords: Education</w:t>
      </w:r>
      <w:r>
        <w:rPr>
          <w:kern w:val="0"/>
        </w:rPr>
        <w:t>,</w:t>
      </w:r>
      <w:r w:rsidRPr="00F70541">
        <w:rPr>
          <w:kern w:val="0"/>
        </w:rPr>
        <w:t xml:space="preserve"> Mentors</w:t>
      </w:r>
      <w:r>
        <w:rPr>
          <w:kern w:val="0"/>
        </w:rPr>
        <w:t>,</w:t>
      </w:r>
      <w:r w:rsidRPr="00F70541">
        <w:rPr>
          <w:kern w:val="0"/>
        </w:rPr>
        <w:t xml:space="preserve"> Programme Development</w:t>
      </w:r>
      <w:r>
        <w:rPr>
          <w:kern w:val="0"/>
        </w:rPr>
        <w:t>,</w:t>
      </w:r>
      <w:r w:rsidRPr="00F70541">
        <w:rPr>
          <w:kern w:val="0"/>
        </w:rPr>
        <w:t xml:space="preserve"> Surgery</w:t>
      </w:r>
      <w:r>
        <w:rPr>
          <w:kern w:val="0"/>
        </w:rPr>
        <w:t>,</w:t>
      </w:r>
      <w:r w:rsidRPr="00F70541">
        <w:rPr>
          <w:kern w:val="0"/>
        </w:rPr>
        <w:t xml:space="preserve"> Teaching</w:t>
      </w:r>
      <w:r>
        <w:rPr>
          <w:kern w:val="0"/>
        </w:rPr>
        <w:t>,</w:t>
      </w:r>
      <w:r w:rsidRPr="00F70541">
        <w:rPr>
          <w:kern w:val="0"/>
        </w:rPr>
        <w:t xml:space="preserve"> Mentoring Surgeons</w:t>
      </w:r>
      <w:r>
        <w:rPr>
          <w:kern w:val="0"/>
        </w:rPr>
        <w:t>,</w:t>
      </w:r>
      <w:r w:rsidRPr="00F70541">
        <w:rPr>
          <w:kern w:val="0"/>
        </w:rPr>
        <w:t xml:space="preserve"> Leadership</w:t>
      </w:r>
      <w:r>
        <w:rPr>
          <w:kern w:val="0"/>
        </w:rPr>
        <w:t>,</w:t>
      </w:r>
      <w:r w:rsidRPr="00F70541">
        <w:rPr>
          <w:kern w:val="0"/>
        </w:rPr>
        <w:t xml:space="preserve"> Reside</w:t>
      </w:r>
      <w:r>
        <w:rPr>
          <w:kern w:val="0"/>
        </w:rPr>
        <w:t>nts, Medicine, Faculty, Impact</w:t>
      </w:r>
    </w:p>
    <w:p w:rsidR="00D33592" w:rsidRDefault="00D33592" w:rsidP="00D33592">
      <w:pPr>
        <w:pStyle w:val="a3"/>
        <w:rPr>
          <w:kern w:val="0"/>
        </w:rPr>
      </w:pPr>
      <w:r>
        <w:rPr>
          <w:rFonts w:hint="eastAsia"/>
          <w:kern w:val="0"/>
        </w:rPr>
        <w:t xml:space="preserve">? </w:t>
      </w:r>
      <w:r>
        <w:rPr>
          <w:kern w:val="0"/>
        </w:rPr>
        <w:t>Paulsen, M.G., Dowsey, M.M., Castle, D.</w:t>
      </w:r>
      <w:r w:rsidR="005853A9">
        <w:rPr>
          <w:kern w:val="0"/>
        </w:rPr>
        <w:t xml:space="preserve"> and </w:t>
      </w:r>
      <w:r>
        <w:rPr>
          <w:kern w:val="0"/>
        </w:rPr>
        <w:t>Choong, P.F.M. (2011), Preoperative psychological distress</w:t>
      </w:r>
      <w:r w:rsidR="005853A9">
        <w:rPr>
          <w:kern w:val="0"/>
        </w:rPr>
        <w:t xml:space="preserve"> and </w:t>
      </w:r>
      <w:r>
        <w:rPr>
          <w:kern w:val="0"/>
        </w:rPr>
        <w:t xml:space="preserve">functional outcome after knee replacement. </w:t>
      </w:r>
      <w:r>
        <w:rPr>
          <w:i/>
          <w:iCs/>
          <w:kern w:val="0"/>
        </w:rPr>
        <w:t>ANZ Journal</w:t>
      </w:r>
      <w:r w:rsidR="00427468">
        <w:rPr>
          <w:i/>
          <w:iCs/>
          <w:kern w:val="0"/>
        </w:rPr>
        <w:t xml:space="preserve"> of </w:t>
      </w:r>
      <w:r>
        <w:rPr>
          <w:i/>
          <w:iCs/>
          <w:kern w:val="0"/>
        </w:rPr>
        <w:t>Surgery</w:t>
      </w:r>
      <w:r>
        <w:rPr>
          <w:kern w:val="0"/>
        </w:rPr>
        <w:t xml:space="preserve">, </w:t>
      </w:r>
      <w:r>
        <w:rPr>
          <w:b/>
          <w:bCs/>
          <w:kern w:val="0"/>
        </w:rPr>
        <w:t>81</w:t>
      </w:r>
      <w:r>
        <w:rPr>
          <w:kern w:val="0"/>
        </w:rPr>
        <w:t xml:space="preserve"> (10), 681-687.</w:t>
      </w:r>
    </w:p>
    <w:p w:rsidR="00D33592" w:rsidRDefault="00D33592" w:rsidP="00D33592">
      <w:pPr>
        <w:pStyle w:val="a3"/>
        <w:rPr>
          <w:kern w:val="0"/>
        </w:rPr>
      </w:pPr>
      <w:r>
        <w:rPr>
          <w:rFonts w:hint="eastAsia"/>
          <w:kern w:val="0"/>
        </w:rPr>
        <w:t xml:space="preserve">Full Text: </w:t>
      </w:r>
      <w:hyperlink r:id="rId1033" w:history="1">
        <w:r w:rsidRPr="00845364">
          <w:rPr>
            <w:rStyle w:val="a5"/>
            <w:kern w:val="0"/>
          </w:rPr>
          <w:t>2011\ANZ J Sur81, 681.pdf</w:t>
        </w:r>
      </w:hyperlink>
    </w:p>
    <w:p w:rsidR="009305E8" w:rsidRDefault="009305E8" w:rsidP="009305E8">
      <w:pPr>
        <w:pStyle w:val="a3"/>
        <w:rPr>
          <w:kern w:val="0"/>
        </w:rPr>
      </w:pPr>
      <w:r>
        <w:rPr>
          <w:kern w:val="0"/>
        </w:rPr>
        <w:t>Abstract: Background: Fifteen to thirty percent</w:t>
      </w:r>
      <w:r w:rsidR="00427468">
        <w:rPr>
          <w:kern w:val="0"/>
        </w:rPr>
        <w:t xml:space="preserve"> of </w:t>
      </w:r>
      <w:r>
        <w:rPr>
          <w:kern w:val="0"/>
        </w:rPr>
        <w:t>patients report no or little functional improvement 12 months after total knee replacement (TKR). Self-reported psychological distress prior to knee replacement is common</w:t>
      </w:r>
      <w:r w:rsidR="005853A9">
        <w:rPr>
          <w:kern w:val="0"/>
        </w:rPr>
        <w:t xml:space="preserve"> and </w:t>
      </w:r>
      <w:r>
        <w:rPr>
          <w:kern w:val="0"/>
        </w:rPr>
        <w:t>there is some evidence that it may be an important determinant</w:t>
      </w:r>
      <w:r w:rsidR="00427468">
        <w:rPr>
          <w:kern w:val="0"/>
        </w:rPr>
        <w:t xml:space="preserve"> of </w:t>
      </w:r>
      <w:r>
        <w:rPr>
          <w:kern w:val="0"/>
        </w:rPr>
        <w:t>poor functional outcome in</w:t>
      </w:r>
      <w:r w:rsidR="003A1917">
        <w:rPr>
          <w:kern w:val="0"/>
        </w:rPr>
        <w:t xml:space="preserve"> the </w:t>
      </w:r>
      <w:r>
        <w:rPr>
          <w:kern w:val="0"/>
        </w:rPr>
        <w:t>short to medium term</w:t>
      </w:r>
      <w:r w:rsidR="00A37C1D">
        <w:rPr>
          <w:kern w:val="0"/>
        </w:rPr>
        <w:t>. The</w:t>
      </w:r>
      <w:r w:rsidR="003A1917">
        <w:rPr>
          <w:kern w:val="0"/>
        </w:rPr>
        <w:t xml:space="preserve"> </w:t>
      </w:r>
      <w:r>
        <w:rPr>
          <w:kern w:val="0"/>
        </w:rPr>
        <w:t>aim</w:t>
      </w:r>
      <w:r w:rsidR="00427468">
        <w:rPr>
          <w:kern w:val="0"/>
        </w:rPr>
        <w:t xml:space="preserve"> of </w:t>
      </w:r>
      <w:r>
        <w:rPr>
          <w:kern w:val="0"/>
        </w:rPr>
        <w:t>this study was to review systematically</w:t>
      </w:r>
      <w:r w:rsidR="003A1917">
        <w:rPr>
          <w:kern w:val="0"/>
        </w:rPr>
        <w:t xml:space="preserve"> the </w:t>
      </w:r>
      <w:r>
        <w:rPr>
          <w:kern w:val="0"/>
        </w:rPr>
        <w:t>literature on</w:t>
      </w:r>
      <w:r w:rsidR="003A1917">
        <w:rPr>
          <w:kern w:val="0"/>
        </w:rPr>
        <w:t xml:space="preserve"> the </w:t>
      </w:r>
      <w:r>
        <w:rPr>
          <w:kern w:val="0"/>
        </w:rPr>
        <w:t>relationship between preoperative psychological distress</w:t>
      </w:r>
      <w:r w:rsidR="005853A9">
        <w:rPr>
          <w:kern w:val="0"/>
        </w:rPr>
        <w:t xml:space="preserve"> and </w:t>
      </w:r>
      <w:r>
        <w:rPr>
          <w:kern w:val="0"/>
        </w:rPr>
        <w:t>post-operative functional outcome after TKR. Methods: A literature search through</w:t>
      </w:r>
      <w:r w:rsidR="003A1917">
        <w:rPr>
          <w:kern w:val="0"/>
        </w:rPr>
        <w:t xml:space="preserve"> the </w:t>
      </w:r>
      <w:r>
        <w:rPr>
          <w:kern w:val="0"/>
        </w:rPr>
        <w:t>University</w:t>
      </w:r>
      <w:r w:rsidR="00427468">
        <w:rPr>
          <w:kern w:val="0"/>
        </w:rPr>
        <w:t xml:space="preserve"> of </w:t>
      </w:r>
      <w:r>
        <w:rPr>
          <w:kern w:val="0"/>
        </w:rPr>
        <w:t xml:space="preserve">Melbourne Library Catalogue, </w:t>
      </w:r>
      <w:r w:rsidR="00D5664A">
        <w:rPr>
          <w:kern w:val="0"/>
        </w:rPr>
        <w:t>Web</w:t>
      </w:r>
      <w:r w:rsidR="00427468">
        <w:rPr>
          <w:kern w:val="0"/>
        </w:rPr>
        <w:t xml:space="preserve"> of </w:t>
      </w:r>
      <w:r w:rsidR="00D5664A">
        <w:rPr>
          <w:kern w:val="0"/>
        </w:rPr>
        <w:t>Science</w:t>
      </w:r>
      <w:r>
        <w:rPr>
          <w:kern w:val="0"/>
        </w:rPr>
        <w:t xml:space="preserve">, SCOPUS - V.4, </w:t>
      </w:r>
      <w:r w:rsidR="00D5664A">
        <w:rPr>
          <w:kern w:val="0"/>
        </w:rPr>
        <w:t>MEDLINE</w:t>
      </w:r>
      <w:r>
        <w:rPr>
          <w:kern w:val="0"/>
        </w:rPr>
        <w:t>, CINAHL PLUS, PsycINFO, Pubmed</w:t>
      </w:r>
      <w:r w:rsidR="005853A9">
        <w:rPr>
          <w:kern w:val="0"/>
        </w:rPr>
        <w:t xml:space="preserve"> and </w:t>
      </w:r>
      <w:r w:rsidR="003A1917">
        <w:rPr>
          <w:kern w:val="0"/>
        </w:rPr>
        <w:t xml:space="preserve">the </w:t>
      </w:r>
      <w:r>
        <w:rPr>
          <w:kern w:val="0"/>
        </w:rPr>
        <w:t>Cochrane Library was performed with</w:t>
      </w:r>
      <w:r w:rsidR="003A1917">
        <w:rPr>
          <w:kern w:val="0"/>
        </w:rPr>
        <w:t xml:space="preserve"> the </w:t>
      </w:r>
      <w:r>
        <w:rPr>
          <w:kern w:val="0"/>
        </w:rPr>
        <w:t>following key words</w:t>
      </w:r>
      <w:r w:rsidR="005853A9">
        <w:rPr>
          <w:kern w:val="0"/>
        </w:rPr>
        <w:t xml:space="preserve"> and </w:t>
      </w:r>
      <w:r>
        <w:rPr>
          <w:kern w:val="0"/>
        </w:rPr>
        <w:t>terms: joint replacement, arthroplasty, mental health, pre-operative distress, preoperative distress, psychological distress</w:t>
      </w:r>
      <w:r w:rsidR="005853A9">
        <w:rPr>
          <w:kern w:val="0"/>
        </w:rPr>
        <w:t xml:space="preserve"> and </w:t>
      </w:r>
      <w:r>
        <w:rPr>
          <w:kern w:val="0"/>
        </w:rPr>
        <w:t>knee. Additional screening</w:t>
      </w:r>
      <w:r w:rsidR="00427468">
        <w:rPr>
          <w:kern w:val="0"/>
        </w:rPr>
        <w:t xml:space="preserve"> of </w:t>
      </w:r>
      <w:r w:rsidR="003A1917">
        <w:rPr>
          <w:kern w:val="0"/>
        </w:rPr>
        <w:t xml:space="preserve">the </w:t>
      </w:r>
      <w:r>
        <w:rPr>
          <w:kern w:val="0"/>
        </w:rPr>
        <w:t>reference lists was performed. All eligible publications were quality assessed by two independent reviewers according to</w:t>
      </w:r>
      <w:r w:rsidR="003A1917">
        <w:rPr>
          <w:kern w:val="0"/>
        </w:rPr>
        <w:t xml:space="preserve"> the </w:t>
      </w:r>
      <w:r>
        <w:rPr>
          <w:kern w:val="0"/>
        </w:rPr>
        <w:t>Newcastle-Ottawa Scale. Results:</w:t>
      </w:r>
      <w:r w:rsidR="003A1917">
        <w:rPr>
          <w:kern w:val="0"/>
        </w:rPr>
        <w:t xml:space="preserve"> the </w:t>
      </w:r>
      <w:r>
        <w:rPr>
          <w:kern w:val="0"/>
        </w:rPr>
        <w:t>search found 10 cohort studies</w:t>
      </w:r>
      <w:r w:rsidR="00A37C1D">
        <w:rPr>
          <w:kern w:val="0"/>
        </w:rPr>
        <w:t>. The</w:t>
      </w:r>
      <w:r w:rsidR="003A1917">
        <w:rPr>
          <w:kern w:val="0"/>
        </w:rPr>
        <w:t xml:space="preserve"> </w:t>
      </w:r>
      <w:r>
        <w:rPr>
          <w:kern w:val="0"/>
        </w:rPr>
        <w:t>results</w:t>
      </w:r>
      <w:r w:rsidR="00427468">
        <w:rPr>
          <w:kern w:val="0"/>
        </w:rPr>
        <w:t xml:space="preserve"> of </w:t>
      </w:r>
      <w:r w:rsidR="003A1917">
        <w:rPr>
          <w:kern w:val="0"/>
        </w:rPr>
        <w:t xml:space="preserve">the </w:t>
      </w:r>
      <w:r>
        <w:rPr>
          <w:kern w:val="0"/>
        </w:rPr>
        <w:t>studies were conflicting as six studies found a correlation between preoperative distress</w:t>
      </w:r>
      <w:r w:rsidR="005853A9">
        <w:rPr>
          <w:kern w:val="0"/>
        </w:rPr>
        <w:t xml:space="preserve"> and </w:t>
      </w:r>
      <w:r>
        <w:rPr>
          <w:kern w:val="0"/>
        </w:rPr>
        <w:t>functional outcome, whereas four did not. Conclusion:</w:t>
      </w:r>
      <w:r w:rsidR="003A1917">
        <w:rPr>
          <w:kern w:val="0"/>
        </w:rPr>
        <w:t xml:space="preserve"> the </w:t>
      </w:r>
      <w:r>
        <w:rPr>
          <w:kern w:val="0"/>
        </w:rPr>
        <w:t>results from this review are conflicting</w:t>
      </w:r>
      <w:r w:rsidR="00A37C1D">
        <w:rPr>
          <w:kern w:val="0"/>
        </w:rPr>
        <w:t>. The</w:t>
      </w:r>
      <w:r w:rsidR="003A1917">
        <w:rPr>
          <w:kern w:val="0"/>
        </w:rPr>
        <w:t xml:space="preserve"> </w:t>
      </w:r>
      <w:r>
        <w:rPr>
          <w:kern w:val="0"/>
        </w:rPr>
        <w:t>use</w:t>
      </w:r>
      <w:r w:rsidR="00427468">
        <w:rPr>
          <w:kern w:val="0"/>
        </w:rPr>
        <w:t xml:space="preserve"> of </w:t>
      </w:r>
      <w:r>
        <w:rPr>
          <w:kern w:val="0"/>
        </w:rPr>
        <w:t>different questionnaires to assess psychological distress</w:t>
      </w:r>
      <w:r w:rsidR="005853A9">
        <w:rPr>
          <w:kern w:val="0"/>
        </w:rPr>
        <w:t xml:space="preserve"> and </w:t>
      </w:r>
      <w:r>
        <w:rPr>
          <w:kern w:val="0"/>
        </w:rPr>
        <w:t>functional outcome makes it difficult to draw any conclusions. Future research should focus on using appropriate scales to measure exposure</w:t>
      </w:r>
      <w:r w:rsidR="005853A9">
        <w:rPr>
          <w:kern w:val="0"/>
        </w:rPr>
        <w:t xml:space="preserve"> and </w:t>
      </w:r>
      <w:r>
        <w:rPr>
          <w:kern w:val="0"/>
        </w:rPr>
        <w:t>outcome. We suggest using disease-specific questionnaires to assess preoperative psychological distress</w:t>
      </w:r>
      <w:r w:rsidR="005853A9">
        <w:rPr>
          <w:kern w:val="0"/>
        </w:rPr>
        <w:t xml:space="preserve"> and </w:t>
      </w:r>
      <w:r>
        <w:rPr>
          <w:kern w:val="0"/>
        </w:rPr>
        <w:t>a sensitive knee-specific outcome score to assess post-operative function.</w:t>
      </w:r>
    </w:p>
    <w:p w:rsidR="009305E8" w:rsidRDefault="009305E8" w:rsidP="009305E8">
      <w:pPr>
        <w:pStyle w:val="a3"/>
        <w:rPr>
          <w:kern w:val="0"/>
        </w:rPr>
      </w:pPr>
      <w:r>
        <w:rPr>
          <w:kern w:val="0"/>
        </w:rPr>
        <w:t xml:space="preserve">Keywords: Arthroplasty, Author, Cochrane, Cohort Studies, Depression Scale, Distress, Exposure, Functional, Health Survey, Hospital Anxiety, Joint, Knee, Literature, </w:t>
      </w:r>
      <w:r w:rsidR="00D5664A">
        <w:rPr>
          <w:kern w:val="0"/>
        </w:rPr>
        <w:t>MEDLINE</w:t>
      </w:r>
      <w:r>
        <w:rPr>
          <w:kern w:val="0"/>
        </w:rPr>
        <w:t>, Mental Health, Methods, Outcome, Pain, Patient Outcomes, Patients, Physical-Function, Plus, Psychological, Publications, Quality</w:t>
      </w:r>
      <w:r w:rsidR="00434900">
        <w:rPr>
          <w:kern w:val="0"/>
        </w:rPr>
        <w:t>-of-</w:t>
      </w:r>
      <w:r>
        <w:rPr>
          <w:kern w:val="0"/>
        </w:rPr>
        <w:t xml:space="preserve">Life, Questionnaires, Research, Review, Scale, Science, Scopus, Screening, Surgery, Total Hip-Arthroplasty, Total Joint Arthroplasty, University, </w:t>
      </w:r>
      <w:r w:rsidR="00D5664A">
        <w:rPr>
          <w:kern w:val="0"/>
        </w:rPr>
        <w:t>Web</w:t>
      </w:r>
      <w:r w:rsidR="00427468">
        <w:rPr>
          <w:kern w:val="0"/>
        </w:rPr>
        <w:t xml:space="preserve"> of </w:t>
      </w:r>
      <w:r w:rsidR="00D5664A">
        <w:rPr>
          <w:kern w:val="0"/>
        </w:rPr>
        <w:t>Science</w:t>
      </w:r>
    </w:p>
    <w:p w:rsidR="00624F6C" w:rsidRDefault="00624F6C" w:rsidP="00624F6C">
      <w:pPr>
        <w:pStyle w:val="a3"/>
        <w:rPr>
          <w:kern w:val="0"/>
          <w:szCs w:val="24"/>
        </w:rPr>
      </w:pPr>
      <w:r>
        <w:rPr>
          <w:rFonts w:hint="eastAsia"/>
          <w:kern w:val="0"/>
          <w:szCs w:val="24"/>
        </w:rPr>
        <w:t xml:space="preserve">? </w:t>
      </w:r>
      <w:r>
        <w:rPr>
          <w:kern w:val="0"/>
          <w:szCs w:val="24"/>
        </w:rPr>
        <w:t>Yang, J., Tong, D.N., Yao, J.</w:t>
      </w:r>
      <w:r w:rsidR="005853A9">
        <w:rPr>
          <w:kern w:val="0"/>
          <w:szCs w:val="24"/>
        </w:rPr>
        <w:t xml:space="preserve"> and </w:t>
      </w:r>
      <w:r>
        <w:rPr>
          <w:kern w:val="0"/>
          <w:szCs w:val="24"/>
        </w:rPr>
        <w:t>Chen, W. (2013), Laparoscopic or Lichtenstein repair for recurrent inguinal hernia: A meta-analysis</w:t>
      </w:r>
      <w:r w:rsidR="00427468">
        <w:rPr>
          <w:kern w:val="0"/>
          <w:szCs w:val="24"/>
        </w:rPr>
        <w:t xml:space="preserve"> of </w:t>
      </w:r>
      <w:r>
        <w:rPr>
          <w:kern w:val="0"/>
          <w:szCs w:val="24"/>
        </w:rPr>
        <w:t xml:space="preserve">randomized controlled trials. </w:t>
      </w:r>
      <w:r>
        <w:rPr>
          <w:i/>
          <w:iCs/>
          <w:kern w:val="0"/>
          <w:szCs w:val="24"/>
        </w:rPr>
        <w:t>ANZ Journal</w:t>
      </w:r>
      <w:r w:rsidR="00427468">
        <w:rPr>
          <w:i/>
          <w:iCs/>
          <w:kern w:val="0"/>
          <w:szCs w:val="24"/>
        </w:rPr>
        <w:t xml:space="preserve"> of </w:t>
      </w:r>
      <w:r>
        <w:rPr>
          <w:i/>
          <w:iCs/>
          <w:kern w:val="0"/>
          <w:szCs w:val="24"/>
        </w:rPr>
        <w:t>Surgery</w:t>
      </w:r>
      <w:r>
        <w:rPr>
          <w:kern w:val="0"/>
          <w:szCs w:val="24"/>
        </w:rPr>
        <w:t xml:space="preserve">, </w:t>
      </w:r>
      <w:r>
        <w:rPr>
          <w:b/>
          <w:bCs/>
          <w:kern w:val="0"/>
          <w:szCs w:val="24"/>
        </w:rPr>
        <w:t>83</w:t>
      </w:r>
      <w:r>
        <w:rPr>
          <w:kern w:val="0"/>
          <w:szCs w:val="24"/>
        </w:rPr>
        <w:t xml:space="preserve"> (5), 312-318.</w:t>
      </w:r>
    </w:p>
    <w:p w:rsidR="00624F6C" w:rsidRDefault="00624F6C" w:rsidP="00624F6C">
      <w:pPr>
        <w:pStyle w:val="a3"/>
        <w:rPr>
          <w:kern w:val="0"/>
        </w:rPr>
      </w:pPr>
      <w:r>
        <w:rPr>
          <w:rFonts w:hint="eastAsia"/>
          <w:kern w:val="0"/>
        </w:rPr>
        <w:t xml:space="preserve">Full Text: </w:t>
      </w:r>
      <w:hyperlink r:id="rId1034" w:history="1">
        <w:r w:rsidRPr="00D36EFD">
          <w:rPr>
            <w:rStyle w:val="a5"/>
            <w:kern w:val="0"/>
          </w:rPr>
          <w:t>2013\ANZ J Sur83, 312.pdf</w:t>
        </w:r>
      </w:hyperlink>
    </w:p>
    <w:p w:rsidR="00624F6C" w:rsidRDefault="00624F6C" w:rsidP="00624F6C">
      <w:pPr>
        <w:pStyle w:val="a3"/>
        <w:rPr>
          <w:kern w:val="0"/>
          <w:szCs w:val="24"/>
        </w:rPr>
      </w:pPr>
      <w:r>
        <w:rPr>
          <w:kern w:val="0"/>
          <w:szCs w:val="24"/>
        </w:rPr>
        <w:t>Abstract: Background There is no clear answer regarding the use</w:t>
      </w:r>
      <w:r w:rsidR="00427468">
        <w:rPr>
          <w:kern w:val="0"/>
          <w:szCs w:val="24"/>
        </w:rPr>
        <w:t xml:space="preserve"> of </w:t>
      </w:r>
      <w:r>
        <w:rPr>
          <w:kern w:val="0"/>
          <w:szCs w:val="24"/>
        </w:rPr>
        <w:t xml:space="preserve">laparoscopic </w:t>
      </w:r>
      <w:r>
        <w:rPr>
          <w:kern w:val="0"/>
          <w:szCs w:val="24"/>
        </w:rPr>
        <w:lastRenderedPageBreak/>
        <w:t>techniques versus the Lichtenstein method for the treatment</w:t>
      </w:r>
      <w:r w:rsidR="00427468">
        <w:rPr>
          <w:kern w:val="0"/>
          <w:szCs w:val="24"/>
        </w:rPr>
        <w:t xml:space="preserve"> of </w:t>
      </w:r>
      <w:r>
        <w:rPr>
          <w:kern w:val="0"/>
          <w:szCs w:val="24"/>
        </w:rPr>
        <w:t>recurrent inguinal hernia. Objective The aim</w:t>
      </w:r>
      <w:r w:rsidR="00427468">
        <w:rPr>
          <w:kern w:val="0"/>
          <w:szCs w:val="24"/>
        </w:rPr>
        <w:t xml:space="preserve"> of </w:t>
      </w:r>
      <w:r>
        <w:rPr>
          <w:kern w:val="0"/>
          <w:szCs w:val="24"/>
        </w:rPr>
        <w:t>this study was to compare the outcomes</w:t>
      </w:r>
      <w:r w:rsidR="00427468">
        <w:rPr>
          <w:kern w:val="0"/>
          <w:szCs w:val="24"/>
        </w:rPr>
        <w:t xml:space="preserve"> of </w:t>
      </w:r>
      <w:r>
        <w:rPr>
          <w:kern w:val="0"/>
          <w:szCs w:val="24"/>
        </w:rPr>
        <w:t>laparoscopy versus the Lichtenstein repair by a meta-analysis</w:t>
      </w:r>
      <w:r w:rsidR="00427468">
        <w:rPr>
          <w:kern w:val="0"/>
          <w:szCs w:val="24"/>
        </w:rPr>
        <w:t xml:space="preserve"> of </w:t>
      </w:r>
      <w:r>
        <w:rPr>
          <w:kern w:val="0"/>
          <w:szCs w:val="24"/>
        </w:rPr>
        <w:t>available randomized controlled trials (RCTs). Methods Databases, including PubMed, EMBASE, the Cochrane Library,</w:t>
      </w:r>
      <w:r w:rsidR="005853A9">
        <w:rPr>
          <w:kern w:val="0"/>
          <w:szCs w:val="24"/>
        </w:rPr>
        <w:t xml:space="preserve"> and </w:t>
      </w:r>
      <w:r>
        <w:rPr>
          <w:kern w:val="0"/>
          <w:szCs w:val="24"/>
        </w:rPr>
        <w:t>the Science Citation Index updated to May 2012, were searched</w:t>
      </w:r>
      <w:r w:rsidR="00A37C1D">
        <w:rPr>
          <w:kern w:val="0"/>
          <w:szCs w:val="24"/>
        </w:rPr>
        <w:t>. The</w:t>
      </w:r>
      <w:r>
        <w:rPr>
          <w:kern w:val="0"/>
          <w:szCs w:val="24"/>
        </w:rPr>
        <w:t xml:space="preserve"> main outcome measures were wound infections</w:t>
      </w:r>
      <w:r w:rsidR="005853A9">
        <w:rPr>
          <w:kern w:val="0"/>
          <w:szCs w:val="24"/>
        </w:rPr>
        <w:t xml:space="preserve"> and </w:t>
      </w:r>
      <w:r>
        <w:rPr>
          <w:kern w:val="0"/>
          <w:szCs w:val="24"/>
        </w:rPr>
        <w:t>haematoma, urinary retention, post-operative chronic pain</w:t>
      </w:r>
      <w:r w:rsidR="005853A9">
        <w:rPr>
          <w:kern w:val="0"/>
          <w:szCs w:val="24"/>
        </w:rPr>
        <w:t xml:space="preserve"> and </w:t>
      </w:r>
      <w:r>
        <w:rPr>
          <w:kern w:val="0"/>
          <w:szCs w:val="24"/>
        </w:rPr>
        <w:t>recurrence. A meta-analysis</w:t>
      </w:r>
      <w:r w:rsidR="00427468">
        <w:rPr>
          <w:kern w:val="0"/>
          <w:szCs w:val="24"/>
        </w:rPr>
        <w:t xml:space="preserve"> of </w:t>
      </w:r>
      <w:r>
        <w:rPr>
          <w:kern w:val="0"/>
          <w:szCs w:val="24"/>
        </w:rPr>
        <w:t>included RCTs was performed. Results Five RCTs, comprising a total</w:t>
      </w:r>
      <w:r w:rsidR="00427468">
        <w:rPr>
          <w:kern w:val="0"/>
          <w:szCs w:val="24"/>
        </w:rPr>
        <w:t xml:space="preserve"> of </w:t>
      </w:r>
      <w:r>
        <w:rPr>
          <w:kern w:val="0"/>
          <w:szCs w:val="24"/>
        </w:rPr>
        <w:t>427 patients, were included. Although most</w:t>
      </w:r>
      <w:r w:rsidR="00427468">
        <w:rPr>
          <w:kern w:val="0"/>
          <w:szCs w:val="24"/>
        </w:rPr>
        <w:t xml:space="preserve"> of </w:t>
      </w:r>
      <w:r>
        <w:rPr>
          <w:kern w:val="0"/>
          <w:szCs w:val="24"/>
        </w:rPr>
        <w:t>the analysed outcomes were similar between groups, wound infection rates</w:t>
      </w:r>
      <w:r w:rsidR="005853A9">
        <w:rPr>
          <w:kern w:val="0"/>
          <w:szCs w:val="24"/>
        </w:rPr>
        <w:t xml:space="preserve"> and </w:t>
      </w:r>
      <w:r>
        <w:rPr>
          <w:kern w:val="0"/>
          <w:szCs w:val="24"/>
        </w:rPr>
        <w:t>post-operative chronic pain occurred less frequently in the laparoscopic group than in the Lichtenstein group (odds ratio: 0.28, 95% CI: 0.080.97; P = 0.05; odds ratio: 0.33, 95% CI: 0.170.68; P = 0.002, respectively). Conclusion The laparoscopic approach to the treatment</w:t>
      </w:r>
      <w:r w:rsidR="00427468">
        <w:rPr>
          <w:kern w:val="0"/>
          <w:szCs w:val="24"/>
        </w:rPr>
        <w:t xml:space="preserve"> of </w:t>
      </w:r>
      <w:r>
        <w:rPr>
          <w:kern w:val="0"/>
          <w:szCs w:val="24"/>
        </w:rPr>
        <w:t>recurrent inguinal hernia is superior to the Lichtenstein hernioplasty in some aspects that affect patient satisfaction.</w:t>
      </w:r>
    </w:p>
    <w:p w:rsidR="00624F6C" w:rsidRDefault="00624F6C" w:rsidP="00624F6C">
      <w:pPr>
        <w:pStyle w:val="a3"/>
        <w:rPr>
          <w:kern w:val="0"/>
          <w:szCs w:val="24"/>
        </w:rPr>
      </w:pPr>
      <w:r>
        <w:rPr>
          <w:kern w:val="0"/>
          <w:szCs w:val="24"/>
        </w:rPr>
        <w:t>Keywords: Adult Patients, Approach, Chronic, Chronic Pain, Citation, Clinical-Trials, Databases, Embase, Follow-Up, Groups, Herniorrhaphy, Infection, Infections, Inguinal Hernia, Laparoscopic, Laparoscopy, Lichtenstein Repair, Local-Anesthesia, Meta Analysis, Meta-Analysis, Metaanalysis, Methods, Multicenter Trial, Odds Ratio, Open Mesh, Outcome, Outcome Measures, Outcomes, P, Pain, Patient Satisfaction, Patients, Postoperative, Pubmed, Randomized, Randomized Controlled Trials, Rates, Recurrence, Recurrent, Recurrent Inguinal Hernia, Results, Retention, Satisfaction, Science, Science Citation Index, Techniques, Tension-Free Hernioplasty, Treatment, Urinary, Urinary Retention, Wound, Wound Infection, Wound Infections</w:t>
      </w:r>
    </w:p>
    <w:p w:rsidR="004F3E0E" w:rsidRDefault="004F3E0E" w:rsidP="004F3E0E">
      <w:pPr>
        <w:pStyle w:val="a3"/>
        <w:rPr>
          <w:kern w:val="0"/>
        </w:rPr>
      </w:pPr>
      <w:r>
        <w:rPr>
          <w:rFonts w:hint="eastAsia"/>
          <w:kern w:val="0"/>
        </w:rPr>
        <w:t xml:space="preserve">? </w:t>
      </w:r>
      <w:r>
        <w:rPr>
          <w:kern w:val="0"/>
        </w:rPr>
        <w:t xml:space="preserve">Bell, R., Pandanaboyana, S. and Prasad, K.R. (2015), Epidural versus local anaesthetic infiltration via wound catheters in open liver resection: a meta-analysis. </w:t>
      </w:r>
      <w:r>
        <w:rPr>
          <w:i/>
          <w:iCs/>
          <w:kern w:val="0"/>
        </w:rPr>
        <w:t>ANZ Journal of Surgery</w:t>
      </w:r>
      <w:r>
        <w:rPr>
          <w:kern w:val="0"/>
        </w:rPr>
        <w:t xml:space="preserve">, </w:t>
      </w:r>
      <w:r>
        <w:rPr>
          <w:b/>
          <w:bCs/>
          <w:kern w:val="0"/>
        </w:rPr>
        <w:t>85</w:t>
      </w:r>
      <w:r>
        <w:rPr>
          <w:kern w:val="0"/>
        </w:rPr>
        <w:t xml:space="preserve"> (1-2), 16-21.</w:t>
      </w:r>
    </w:p>
    <w:p w:rsidR="004F3E0E" w:rsidRDefault="004F3E0E" w:rsidP="004F3E0E">
      <w:pPr>
        <w:pStyle w:val="a3"/>
        <w:rPr>
          <w:kern w:val="0"/>
        </w:rPr>
      </w:pPr>
      <w:r>
        <w:rPr>
          <w:rFonts w:hint="eastAsia"/>
          <w:kern w:val="0"/>
        </w:rPr>
        <w:t xml:space="preserve">Full Text: </w:t>
      </w:r>
      <w:hyperlink r:id="rId1035" w:history="1">
        <w:r w:rsidRPr="00AD2612">
          <w:rPr>
            <w:rStyle w:val="a5"/>
            <w:kern w:val="0"/>
          </w:rPr>
          <w:t>2015\ANZ J Sur85, 16.pdf</w:t>
        </w:r>
      </w:hyperlink>
    </w:p>
    <w:p w:rsidR="004F3E0E" w:rsidRDefault="004F3E0E" w:rsidP="004F3E0E">
      <w:pPr>
        <w:pStyle w:val="a3"/>
        <w:rPr>
          <w:kern w:val="0"/>
        </w:rPr>
      </w:pPr>
      <w:r>
        <w:rPr>
          <w:kern w:val="0"/>
        </w:rPr>
        <w:t xml:space="preserve">Abstract: BackgroundThis meta-analysis was designed to systematically analyse all published studies comparing local anaesthetic infiltration with wound catheters and epidural catheters in open liver resection. MethodsA literature search was performed using the Cochrane Colorectal Cancer Group Controlled Trials Register, the Cochrane Central Register of Controlled Trials in the Cochrane Library, MEDLINE, Embase and Science Citation Index Expanded. Randomized trials, and prospective and retrospective studies comparing wound catheters with epidural catheters were included. Statistical analysis was performed using Review Manager Version 5.2 software. The primary outcome measures were pain scores in the post-operative period operation. Secondary outcome measures were hospital stay, time to opening </w:t>
      </w:r>
      <w:r>
        <w:rPr>
          <w:kern w:val="0"/>
        </w:rPr>
        <w:lastRenderedPageBreak/>
        <w:t>bowels, overall complications and analgesia-specific complications. ResultsFour studies including 705 patients were included in the analysis. The pain scores were significantly lower in those patients with epidural on the first post-operative day (POD) (mean difference of -0.90 [-1.29, -0.52], Z=4.61) (P&lt;0.00001) with comparable pain scores on PODs 2 and 3. There was no significant difference in the time to opening bowels, opioid use and hospital stay between the techniques. The post-operative complication rate was higher in the epidural group (risk ratio 1.40 [1.07, 1.83]; (2)=0.60, df=1) (P=0.44); I-2=0%; Z=2.42 (P=0.02). ConclusionLocal anaesthetic infiltration via wound catheters combined with patient-controlled opiate analgesia provides comparable pain relief to epidural catheters except for the first POD. Both techniques are associated with similar hospital stay and opioid use with wound catheters associated with lower complication rate.</w:t>
      </w:r>
    </w:p>
    <w:p w:rsidR="004F3E0E" w:rsidRDefault="004F3E0E" w:rsidP="004F3E0E">
      <w:pPr>
        <w:pStyle w:val="a3"/>
        <w:rPr>
          <w:kern w:val="0"/>
        </w:rPr>
      </w:pPr>
      <w:r>
        <w:rPr>
          <w:kern w:val="0"/>
        </w:rPr>
        <w:t>Keywords: Analgesia, Analysis, Cancer, Citation, Colorectal, Complication, Complications, Efficacy, England, Enhanced Recovery, Epidural, Epidural Catheters, First, Hospital, Hospital Stay, Infiltration, Literature, Literature Search, Liver, Liver Resection, Local, Measures, Medline, Meta Analysis, Meta-Analysis, Metaanalysis, Open, Operation, Opiate, Opioid, Outcome, Outcome Measures, Pain, Pain Relief, Patient Controlled, Patients, Post-Operative Analgesia, Postoperative, Postoperative Analgesia, Postoperative Complication, Primary, Prospective, R, Randomized, Randomized Clinical-Trial, Retrospective, Retrospective Studies, Review, Risk, Science, Science Citation Index, Science Citation Index Expanded, Software, Statistical Analysis, Surgery, Techniques, Wound, Wound Catheter</w:t>
      </w:r>
    </w:p>
    <w:p w:rsidR="0056312E" w:rsidRPr="001A3D2B" w:rsidRDefault="0056312E" w:rsidP="0056312E">
      <w:pPr>
        <w:pStyle w:val="1"/>
      </w:pPr>
      <w:r w:rsidRPr="001A3D2B">
        <w:br w:type="page"/>
      </w:r>
      <w:bookmarkStart w:id="528" w:name="_Toc420814544"/>
      <w:r w:rsidRPr="001A3D2B">
        <w:lastRenderedPageBreak/>
        <w:t xml:space="preserve">Title: </w:t>
      </w:r>
      <w:r w:rsidRPr="0056312E">
        <w:rPr>
          <w:iCs w:val="0"/>
        </w:rPr>
        <w:t>Aphasiology</w:t>
      </w:r>
      <w:bookmarkEnd w:id="528"/>
    </w:p>
    <w:p w:rsidR="0056312E" w:rsidRPr="001A3D2B" w:rsidRDefault="0056312E" w:rsidP="0056312E">
      <w:pPr>
        <w:pStyle w:val="12"/>
      </w:pPr>
      <w:r w:rsidRPr="001A3D2B">
        <w:t xml:space="preserve">Full Journal Title: </w:t>
      </w:r>
      <w:r w:rsidRPr="0056312E">
        <w:rPr>
          <w:iCs/>
          <w:kern w:val="0"/>
        </w:rPr>
        <w:t>Aphasiology</w:t>
      </w:r>
    </w:p>
    <w:p w:rsidR="0056312E" w:rsidRPr="001A3D2B" w:rsidRDefault="0056312E" w:rsidP="0056312E">
      <w:pPr>
        <w:pStyle w:val="12"/>
      </w:pPr>
      <w:r w:rsidRPr="001A3D2B">
        <w:t xml:space="preserve">ISO Abbreviated Title: </w:t>
      </w:r>
      <w:r w:rsidRPr="0056312E">
        <w:rPr>
          <w:iCs/>
          <w:kern w:val="0"/>
        </w:rPr>
        <w:t>Aphasiology</w:t>
      </w:r>
    </w:p>
    <w:p w:rsidR="0056312E" w:rsidRPr="001A3D2B" w:rsidRDefault="0056312E" w:rsidP="0056312E">
      <w:pPr>
        <w:pStyle w:val="12"/>
      </w:pPr>
      <w:r w:rsidRPr="001A3D2B">
        <w:t xml:space="preserve">JCR Abbreviated Title: </w:t>
      </w:r>
      <w:r w:rsidRPr="0056312E">
        <w:rPr>
          <w:iCs/>
          <w:kern w:val="0"/>
        </w:rPr>
        <w:t>Aphasiology</w:t>
      </w:r>
    </w:p>
    <w:p w:rsidR="0056312E" w:rsidRPr="001A3D2B" w:rsidRDefault="0056312E" w:rsidP="0056312E">
      <w:pPr>
        <w:pStyle w:val="12"/>
      </w:pPr>
      <w:r w:rsidRPr="001A3D2B">
        <w:t xml:space="preserve">ISSN: </w:t>
      </w:r>
    </w:p>
    <w:p w:rsidR="0056312E" w:rsidRPr="001A3D2B" w:rsidRDefault="0056312E" w:rsidP="0056312E">
      <w:pPr>
        <w:pStyle w:val="12"/>
      </w:pPr>
      <w:r w:rsidRPr="001A3D2B">
        <w:t xml:space="preserve">Issues/Year: </w:t>
      </w:r>
    </w:p>
    <w:p w:rsidR="0056312E" w:rsidRPr="001A3D2B" w:rsidRDefault="0056312E" w:rsidP="0056312E">
      <w:pPr>
        <w:pStyle w:val="12"/>
      </w:pPr>
      <w:r w:rsidRPr="001A3D2B">
        <w:t xml:space="preserve">Journal Country/Territory: </w:t>
      </w:r>
    </w:p>
    <w:p w:rsidR="0056312E" w:rsidRPr="001A3D2B" w:rsidRDefault="0056312E" w:rsidP="0056312E">
      <w:pPr>
        <w:pStyle w:val="12"/>
      </w:pPr>
      <w:r w:rsidRPr="001A3D2B">
        <w:t xml:space="preserve">Language: </w:t>
      </w:r>
    </w:p>
    <w:p w:rsidR="0056312E" w:rsidRPr="001A3D2B" w:rsidRDefault="0056312E" w:rsidP="0056312E">
      <w:pPr>
        <w:pStyle w:val="12"/>
      </w:pPr>
      <w:r w:rsidRPr="001A3D2B">
        <w:t xml:space="preserve">Publisher: </w:t>
      </w:r>
    </w:p>
    <w:p w:rsidR="0056312E" w:rsidRPr="001A3D2B" w:rsidRDefault="0056312E" w:rsidP="0056312E">
      <w:pPr>
        <w:pStyle w:val="12"/>
      </w:pPr>
      <w:r w:rsidRPr="001A3D2B">
        <w:t xml:space="preserve">Publisher Address: </w:t>
      </w:r>
    </w:p>
    <w:p w:rsidR="0056312E" w:rsidRPr="001A3D2B" w:rsidRDefault="0056312E" w:rsidP="0056312E">
      <w:pPr>
        <w:pStyle w:val="12"/>
      </w:pPr>
      <w:r w:rsidRPr="001A3D2B">
        <w:t xml:space="preserve">Subject Categories: </w:t>
      </w:r>
    </w:p>
    <w:p w:rsidR="0056312E" w:rsidRPr="001A3D2B" w:rsidRDefault="0056312E" w:rsidP="0056312E">
      <w:pPr>
        <w:pStyle w:val="12"/>
      </w:pPr>
      <w:r w:rsidRPr="001A3D2B">
        <w:t xml:space="preserve">: Impact Factor </w:t>
      </w:r>
    </w:p>
    <w:p w:rsidR="0056312E" w:rsidRDefault="0056312E" w:rsidP="0056312E">
      <w:pPr>
        <w:pStyle w:val="a3"/>
        <w:rPr>
          <w:kern w:val="0"/>
        </w:rPr>
      </w:pPr>
      <w:r>
        <w:rPr>
          <w:kern w:val="0"/>
        </w:rPr>
        <w:t xml:space="preserve">? Martínez-Ferreiro, S., de Aguiar, V. and Rofes, A. (2015), Non-fluent aphasia in Ibero-Romance: A review of morphosyntactic deficits. </w:t>
      </w:r>
      <w:r w:rsidRPr="0056312E">
        <w:rPr>
          <w:i/>
          <w:iCs/>
          <w:kern w:val="0"/>
        </w:rPr>
        <w:t>Aphasiology</w:t>
      </w:r>
      <w:r>
        <w:rPr>
          <w:kern w:val="0"/>
        </w:rPr>
        <w:t xml:space="preserve">, </w:t>
      </w:r>
      <w:r>
        <w:rPr>
          <w:b/>
          <w:bCs/>
          <w:kern w:val="0"/>
        </w:rPr>
        <w:t>29</w:t>
      </w:r>
      <w:r>
        <w:rPr>
          <w:kern w:val="0"/>
        </w:rPr>
        <w:t xml:space="preserve"> (1), 101-126.</w:t>
      </w:r>
    </w:p>
    <w:p w:rsidR="0056312E" w:rsidRDefault="0056312E" w:rsidP="0056312E">
      <w:pPr>
        <w:pStyle w:val="a3"/>
        <w:rPr>
          <w:kern w:val="0"/>
        </w:rPr>
      </w:pPr>
      <w:r>
        <w:rPr>
          <w:rFonts w:hint="eastAsia"/>
          <w:kern w:val="0"/>
        </w:rPr>
        <w:t xml:space="preserve">Full Text: </w:t>
      </w:r>
      <w:hyperlink r:id="rId1036" w:history="1">
        <w:r w:rsidRPr="0056312E">
          <w:rPr>
            <w:rStyle w:val="a5"/>
            <w:kern w:val="0"/>
          </w:rPr>
          <w:t>2015\Aphasiology29, 101.pdf</w:t>
        </w:r>
      </w:hyperlink>
    </w:p>
    <w:p w:rsidR="0056312E" w:rsidRDefault="0056312E" w:rsidP="0056312E">
      <w:pPr>
        <w:pStyle w:val="a3"/>
        <w:rPr>
          <w:kern w:val="0"/>
        </w:rPr>
      </w:pPr>
      <w:r>
        <w:rPr>
          <w:kern w:val="0"/>
        </w:rPr>
        <w:t xml:space="preserve">Abstract: Background: Castilian-Spanish, Catalan, Galician, and European Portuguese are the most widely spoken languages of the Ibero-Romance group. An increasing number of authors have addressed the impact of aphasia on the morphosyntax of these varieties. However, accurate linguistic characterisations are scarce and the different sources of data have not been yet compiled.Aims: To stimulate state-of-the-art research, we provided a comprehensive summary of morphosyntactic aspects of Ibero-Romance and a review of how these are affected in non-fluent aphasia. The topics we dealt with are the use of verb argument structure and morphology, sentential negation and word order, definite articles, personal and reflexive pronouns, passives, topicalised constructions, questions, and relative clauses.Methods &amp; Procedures: An exhaustive fieldwork and search of PubMed, Web of Science, and Medline records were performed to retrieve studies focused on morphosyntactic issues concerning the Ibero-Romance varieties. A total of 27 studies produced by 46 authors of varying background emerged. We did not review studies of category-specific deficits and aspects related to bilingual aphasia, although we assume that most speakers of Galician and Catalan are bilingual. Studies of spontaneous speech were included when no controlled experimental tasks were available.Outcomes &amp; Results: The morphosyntactic commonalities of Ibero-Romance have been tackled from different theoretical perspectives. There exist asymmetries in findings which we explain with the use of different tasks (and task complexity) and individual differences between participants.Conclusions: Discourse-linking factors as well as deviations from the canonical pattern are </w:t>
      </w:r>
      <w:r>
        <w:rPr>
          <w:kern w:val="0"/>
        </w:rPr>
        <w:lastRenderedPageBreak/>
        <w:t>recurrent answers to these asymmetries. A comprehensive theory of impairments in non-fluent aphasia integrating relevant aspects of both structural and processing accounts seems necessary.</w:t>
      </w:r>
    </w:p>
    <w:p w:rsidR="0056312E" w:rsidRDefault="0056312E" w:rsidP="0056312E">
      <w:pPr>
        <w:pStyle w:val="a3"/>
        <w:rPr>
          <w:kern w:val="0"/>
        </w:rPr>
      </w:pPr>
      <w:r>
        <w:rPr>
          <w:kern w:val="0"/>
        </w:rPr>
        <w:t>Keywords: Agrammatic Aphasia, Agreement, Aphasia, Articles, Authors, Brocas-Aphasia, Catalan Agrammatism, Complexity, Data, Experimental, From, Ibero-Romance, Impact, Issues, Languages, Medline, Morphology, Morphosyntax, Non-Fluent Aphasia, Pattern, Pubmed, Records, Recurrent, Research, Results, Review, Science, Sources, Spanish, Spontaneous, State-Of-The-Art, Structure, Syntactic Tree, Tense, Theoretical, Theory, Time Reference, Verb, Web Of Science</w:t>
      </w:r>
    </w:p>
    <w:p w:rsidR="00CD7B0F" w:rsidRPr="001A3D2B" w:rsidRDefault="00CD7B0F" w:rsidP="00CD7B0F">
      <w:pPr>
        <w:pStyle w:val="1"/>
      </w:pPr>
      <w:r w:rsidRPr="001A3D2B">
        <w:br w:type="page"/>
      </w:r>
      <w:bookmarkStart w:id="529" w:name="_Toc420814545"/>
      <w:r w:rsidRPr="001A3D2B">
        <w:lastRenderedPageBreak/>
        <w:t xml:space="preserve">Title: </w:t>
      </w:r>
      <w:r w:rsidRPr="00CD7B0F">
        <w:t>Appetite</w:t>
      </w:r>
      <w:bookmarkEnd w:id="529"/>
    </w:p>
    <w:p w:rsidR="00CD7B0F" w:rsidRPr="001A3D2B" w:rsidRDefault="00CD7B0F" w:rsidP="00CD7B0F">
      <w:pPr>
        <w:pStyle w:val="12"/>
      </w:pPr>
      <w:r w:rsidRPr="001A3D2B">
        <w:t xml:space="preserve">Full Journal Title: </w:t>
      </w:r>
      <w:r w:rsidRPr="00CD7B0F">
        <w:rPr>
          <w:iCs/>
          <w:kern w:val="0"/>
        </w:rPr>
        <w:t>Appetite</w:t>
      </w:r>
    </w:p>
    <w:p w:rsidR="00CD7B0F" w:rsidRPr="001A3D2B" w:rsidRDefault="00CD7B0F" w:rsidP="00CD7B0F">
      <w:pPr>
        <w:pStyle w:val="12"/>
      </w:pPr>
      <w:r w:rsidRPr="001A3D2B">
        <w:t xml:space="preserve">ISO Abbreviated Title: </w:t>
      </w:r>
      <w:r w:rsidRPr="00CD7B0F">
        <w:rPr>
          <w:iCs/>
          <w:kern w:val="0"/>
        </w:rPr>
        <w:t>Appetite</w:t>
      </w:r>
    </w:p>
    <w:p w:rsidR="00CD7B0F" w:rsidRPr="001A3D2B" w:rsidRDefault="00CD7B0F" w:rsidP="00CD7B0F">
      <w:pPr>
        <w:pStyle w:val="12"/>
      </w:pPr>
      <w:r w:rsidRPr="001A3D2B">
        <w:t xml:space="preserve">JCR Abbreviated Title: </w:t>
      </w:r>
      <w:r w:rsidRPr="00CD7B0F">
        <w:rPr>
          <w:iCs/>
          <w:kern w:val="0"/>
        </w:rPr>
        <w:t>Appetite</w:t>
      </w:r>
    </w:p>
    <w:p w:rsidR="00CD7B0F" w:rsidRPr="001A3D2B" w:rsidRDefault="00CD7B0F" w:rsidP="00CD7B0F">
      <w:pPr>
        <w:pStyle w:val="12"/>
      </w:pPr>
      <w:r w:rsidRPr="001A3D2B">
        <w:t xml:space="preserve">ISSN: </w:t>
      </w:r>
    </w:p>
    <w:p w:rsidR="00CD7B0F" w:rsidRPr="001A3D2B" w:rsidRDefault="00CD7B0F" w:rsidP="00CD7B0F">
      <w:pPr>
        <w:pStyle w:val="12"/>
      </w:pPr>
      <w:r w:rsidRPr="001A3D2B">
        <w:t xml:space="preserve">Issues/Year: </w:t>
      </w:r>
    </w:p>
    <w:p w:rsidR="00CD7B0F" w:rsidRPr="001A3D2B" w:rsidRDefault="00CD7B0F" w:rsidP="00CD7B0F">
      <w:pPr>
        <w:pStyle w:val="12"/>
      </w:pPr>
      <w:r w:rsidRPr="001A3D2B">
        <w:t xml:space="preserve">Journal Country/Territory: </w:t>
      </w:r>
    </w:p>
    <w:p w:rsidR="00CD7B0F" w:rsidRPr="001A3D2B" w:rsidRDefault="00CD7B0F" w:rsidP="00CD7B0F">
      <w:pPr>
        <w:pStyle w:val="12"/>
      </w:pPr>
      <w:r w:rsidRPr="001A3D2B">
        <w:t xml:space="preserve">Language: </w:t>
      </w:r>
    </w:p>
    <w:p w:rsidR="00CD7B0F" w:rsidRPr="001A3D2B" w:rsidRDefault="00CD7B0F" w:rsidP="00CD7B0F">
      <w:pPr>
        <w:pStyle w:val="12"/>
      </w:pPr>
      <w:r w:rsidRPr="001A3D2B">
        <w:t xml:space="preserve">Publisher: </w:t>
      </w:r>
    </w:p>
    <w:p w:rsidR="00CD7B0F" w:rsidRPr="001A3D2B" w:rsidRDefault="00CD7B0F" w:rsidP="00CD7B0F">
      <w:pPr>
        <w:pStyle w:val="12"/>
      </w:pPr>
      <w:r w:rsidRPr="001A3D2B">
        <w:t xml:space="preserve">Publisher Address: </w:t>
      </w:r>
    </w:p>
    <w:p w:rsidR="00CD7B0F" w:rsidRPr="001A3D2B" w:rsidRDefault="00CD7B0F" w:rsidP="00CD7B0F">
      <w:pPr>
        <w:pStyle w:val="12"/>
      </w:pPr>
      <w:r w:rsidRPr="001A3D2B">
        <w:t xml:space="preserve">Subject Categories: </w:t>
      </w:r>
    </w:p>
    <w:p w:rsidR="00CD7B0F" w:rsidRPr="001A3D2B" w:rsidRDefault="00CD7B0F" w:rsidP="00CD7B0F">
      <w:pPr>
        <w:pStyle w:val="12"/>
      </w:pPr>
      <w:r w:rsidRPr="001A3D2B">
        <w:t xml:space="preserve">: Impact Factor </w:t>
      </w:r>
    </w:p>
    <w:p w:rsidR="00CD7B0F" w:rsidRDefault="00CD7B0F" w:rsidP="00CD7B0F">
      <w:pPr>
        <w:pStyle w:val="a3"/>
        <w:rPr>
          <w:kern w:val="0"/>
        </w:rPr>
      </w:pPr>
      <w:r>
        <w:rPr>
          <w:rFonts w:hint="eastAsia"/>
          <w:kern w:val="0"/>
        </w:rPr>
        <w:t xml:space="preserve">? </w:t>
      </w:r>
      <w:r>
        <w:rPr>
          <w:kern w:val="0"/>
        </w:rPr>
        <w:t xml:space="preserve">Carlucci, D., Nocella, G., De Devitiis, B., Viscecchia, R., Bimbo, F. and Nardone, G. (2015), Consumer purchasing behaviour towards fish and seafood products. Patterns and insights from a sample of international studies. </w:t>
      </w:r>
      <w:r w:rsidRPr="00CD7B0F">
        <w:rPr>
          <w:i/>
          <w:iCs/>
          <w:kern w:val="0"/>
        </w:rPr>
        <w:t>Appetite</w:t>
      </w:r>
      <w:r>
        <w:rPr>
          <w:kern w:val="0"/>
        </w:rPr>
        <w:t xml:space="preserve">, </w:t>
      </w:r>
      <w:r>
        <w:rPr>
          <w:b/>
          <w:bCs/>
          <w:kern w:val="0"/>
        </w:rPr>
        <w:t>84</w:t>
      </w:r>
      <w:r>
        <w:rPr>
          <w:kern w:val="0"/>
        </w:rPr>
        <w:t>, 212-227.</w:t>
      </w:r>
    </w:p>
    <w:p w:rsidR="00CD7B0F" w:rsidRDefault="00CD7B0F" w:rsidP="00CD7B0F">
      <w:pPr>
        <w:pStyle w:val="a3"/>
        <w:rPr>
          <w:kern w:val="0"/>
        </w:rPr>
      </w:pPr>
      <w:r>
        <w:rPr>
          <w:rFonts w:hint="eastAsia"/>
          <w:kern w:val="0"/>
        </w:rPr>
        <w:t xml:space="preserve">Full Text: </w:t>
      </w:r>
      <w:hyperlink r:id="rId1037" w:history="1">
        <w:r w:rsidRPr="00CD7B0F">
          <w:rPr>
            <w:rStyle w:val="a5"/>
            <w:kern w:val="0"/>
          </w:rPr>
          <w:t>2015\Appetite84, 212.pdf</w:t>
        </w:r>
      </w:hyperlink>
    </w:p>
    <w:p w:rsidR="00CD7B0F" w:rsidRDefault="00CD7B0F" w:rsidP="00CD7B0F">
      <w:pPr>
        <w:pStyle w:val="a3"/>
        <w:rPr>
          <w:kern w:val="0"/>
        </w:rPr>
      </w:pPr>
      <w:r>
        <w:rPr>
          <w:kern w:val="0"/>
        </w:rPr>
        <w:t>Abstract: The present systematic review was performed to assess consumer purchasing behaviour towards fish and seafood products in the wide context of developed countries. Web of Science, Scopus, ScienceDirect and Google Scholar engines were used to search the existing literature and a total of 49 studies were identified for inclusion. These studies investigated consumer purchasing behaviour towards a variety of fish and seafood products, in different countries and by means of different methodological approaches. In particular, the review identifies and discusses the main drivers and barriers of fish consumption as well as consumers’ preferences about the most relevant attributes of fish and seafood products providing useful insights for both practitioners and policy makers. Finally, main gaps of the existing literature and possible trajectories for future research are also discussed. (C) 2014 Elsevier Ltd. All rights reserved.</w:t>
      </w:r>
    </w:p>
    <w:p w:rsidR="00CD7B0F" w:rsidRDefault="00CD7B0F" w:rsidP="00CD7B0F">
      <w:pPr>
        <w:pStyle w:val="a3"/>
        <w:rPr>
          <w:kern w:val="0"/>
        </w:rPr>
      </w:pPr>
      <w:r>
        <w:rPr>
          <w:kern w:val="0"/>
        </w:rPr>
        <w:t>Keywords: Attitudes, Barriers, Behaviour, Consideration Set Size, Consumers, Consumption, Consumption Segments, Context, Fish, From, Google, Google Scholar, Health, Intention, International, Literature, Norway, Patterns, Planned Behavior, Policy, Preferences, Preferences, Research, Review, Rights, Science, Sciencedirect, Scopus, Seafood, Self-Regulation, Systematic, Systematic Review, Web, Web Of Science</w:t>
      </w:r>
    </w:p>
    <w:p w:rsidR="00CD7B0F" w:rsidRDefault="00CD7B0F" w:rsidP="00CD7B0F">
      <w:pPr>
        <w:pStyle w:val="a3"/>
        <w:rPr>
          <w:kern w:val="0"/>
        </w:rPr>
      </w:pPr>
      <w:r>
        <w:rPr>
          <w:rFonts w:hint="eastAsia"/>
          <w:kern w:val="0"/>
        </w:rPr>
        <w:t xml:space="preserve">? </w:t>
      </w:r>
      <w:r>
        <w:rPr>
          <w:kern w:val="0"/>
        </w:rPr>
        <w:t xml:space="preserve">Satherley, R., Howard, R. and Higgs, S. (2015), Disordered eating practices in gastrointestinal disorders. </w:t>
      </w:r>
      <w:r>
        <w:rPr>
          <w:i/>
          <w:iCs/>
          <w:kern w:val="0"/>
        </w:rPr>
        <w:t>Appetite</w:t>
      </w:r>
      <w:r>
        <w:rPr>
          <w:kern w:val="0"/>
        </w:rPr>
        <w:t xml:space="preserve">, </w:t>
      </w:r>
      <w:r>
        <w:rPr>
          <w:b/>
          <w:bCs/>
          <w:kern w:val="0"/>
        </w:rPr>
        <w:t>84</w:t>
      </w:r>
      <w:r>
        <w:rPr>
          <w:kern w:val="0"/>
        </w:rPr>
        <w:t>, 240-250.</w:t>
      </w:r>
    </w:p>
    <w:p w:rsidR="00CD7B0F" w:rsidRDefault="00CD7B0F" w:rsidP="00CD7B0F">
      <w:pPr>
        <w:pStyle w:val="a3"/>
        <w:rPr>
          <w:kern w:val="0"/>
        </w:rPr>
      </w:pPr>
      <w:r>
        <w:rPr>
          <w:rFonts w:hint="eastAsia"/>
          <w:kern w:val="0"/>
        </w:rPr>
        <w:t xml:space="preserve">Full Text: </w:t>
      </w:r>
      <w:hyperlink r:id="rId1038" w:history="1">
        <w:r w:rsidRPr="00CD7B0F">
          <w:rPr>
            <w:rStyle w:val="a5"/>
            <w:kern w:val="0"/>
          </w:rPr>
          <w:t>2015\Appetite84, 240.pdf</w:t>
        </w:r>
      </w:hyperlink>
    </w:p>
    <w:p w:rsidR="00CD7B0F" w:rsidRDefault="00CD7B0F" w:rsidP="00CD7B0F">
      <w:pPr>
        <w:pStyle w:val="a3"/>
        <w:rPr>
          <w:kern w:val="0"/>
        </w:rPr>
      </w:pPr>
      <w:r>
        <w:rPr>
          <w:kern w:val="0"/>
        </w:rPr>
        <w:lastRenderedPageBreak/>
        <w:t>Abstract: Purpose: To systematically review evidence concerning disordered eating practices in dietary-controlled gastrointestinal conditions. Three key questions were examined: a) are disordered eating practices a feature of GI disorders?; b) what abnormal eating practices are present in those with GI disorders?; and c) what factors are associated with the presence of disordered eating in those with GI disorders? By exploring these questions, we aim to develop a conceptual model of disordered eating development in Cl disease. Methods: Five key databases, Web of Science with Conference Proceedings (1900-2014) and MEDLINE (1950-2014), PubMed, PsycINFO (1967-2014) and Google Scholar, were searched for papers relating to disordered eating practices in those with GI disorders. All papers were quality assessed before being included in the review. Results: Nine papers were included in the review. The majority of papers reported that the prevalence of disordered eating behaviours is greater in populations with GI disorders than in populations of healthy controls. Disordered eating patterns in dietary-controlled GI disorders may be associated with both anxiety and GI symptoms. Evidence concerning the correlates of disordered eating was limited. Conclusions: The presence of disordered eating behaviours is greater in populations with GI disorders than in populations of healthy controls, but the direction of the relationship is not clear. Implications for further research are discussed. (C) 2014 Elsevier Ltd. All rights reserved.</w:t>
      </w:r>
    </w:p>
    <w:p w:rsidR="00CD7B0F" w:rsidRDefault="00CD7B0F" w:rsidP="00CD7B0F">
      <w:pPr>
        <w:pStyle w:val="a3"/>
        <w:rPr>
          <w:kern w:val="0"/>
        </w:rPr>
      </w:pPr>
      <w:r>
        <w:rPr>
          <w:kern w:val="0"/>
        </w:rPr>
        <w:t>Keywords: Adolescents, Anorexia-Nervosa, Anxiety, Celiac-Disease, Coeliac Disease, Conceptual Model, Conference, Correlates, Databases, Depression, Development, Disease, Disordered Eating, Eating Disorder, Evidence, Factors, Feature, Gastrointestinal, German Version, Gi, Gi Symptoms, Google, Google Scholar, Illness, Inflammatory Bowel Disease, Inflammatory-Bowel-Disease, Irritable Bowel Syndrome, Medline, Methods, Model, Papers, Populations, Practices, Prevalence, Proceedings, Psycinfo, Pubmed, Quality, Quality-Of-Life, Research, Results, Review, Rights, Science, Symptoms, Web, Web Of Science</w:t>
      </w:r>
    </w:p>
    <w:p w:rsidR="00485005" w:rsidRDefault="00485005" w:rsidP="00485005">
      <w:pPr>
        <w:pStyle w:val="a3"/>
        <w:rPr>
          <w:kern w:val="0"/>
        </w:rPr>
      </w:pPr>
      <w:r>
        <w:rPr>
          <w:rFonts w:hint="eastAsia"/>
          <w:kern w:val="0"/>
        </w:rPr>
        <w:t xml:space="preserve">? </w:t>
      </w:r>
      <w:r>
        <w:rPr>
          <w:kern w:val="0"/>
        </w:rPr>
        <w:t xml:space="preserve">Lansigan, R.K., Emond, J.A. and Gilbert-Diamond, D. (2015), Understanding eating in the absence of hunger among young children: A systematic review of existing studies. </w:t>
      </w:r>
      <w:r>
        <w:rPr>
          <w:i/>
          <w:iCs/>
          <w:kern w:val="0"/>
        </w:rPr>
        <w:t>Appetite</w:t>
      </w:r>
      <w:r>
        <w:rPr>
          <w:kern w:val="0"/>
        </w:rPr>
        <w:t xml:space="preserve">, </w:t>
      </w:r>
      <w:r>
        <w:rPr>
          <w:b/>
          <w:bCs/>
          <w:kern w:val="0"/>
        </w:rPr>
        <w:t>85</w:t>
      </w:r>
      <w:r>
        <w:rPr>
          <w:kern w:val="0"/>
        </w:rPr>
        <w:t>, 36-47.</w:t>
      </w:r>
    </w:p>
    <w:p w:rsidR="00485005" w:rsidRDefault="00485005" w:rsidP="00485005">
      <w:pPr>
        <w:pStyle w:val="a3"/>
        <w:rPr>
          <w:kern w:val="0"/>
        </w:rPr>
      </w:pPr>
      <w:r>
        <w:rPr>
          <w:rFonts w:hint="eastAsia"/>
          <w:kern w:val="0"/>
        </w:rPr>
        <w:t xml:space="preserve">Full Text: </w:t>
      </w:r>
      <w:hyperlink r:id="rId1039" w:history="1">
        <w:r w:rsidRPr="00485005">
          <w:rPr>
            <w:rStyle w:val="a5"/>
            <w:kern w:val="0"/>
          </w:rPr>
          <w:t>2015\Appetite85, 36.pdf</w:t>
        </w:r>
      </w:hyperlink>
    </w:p>
    <w:p w:rsidR="00485005" w:rsidRDefault="00485005" w:rsidP="00485005">
      <w:pPr>
        <w:pStyle w:val="a3"/>
        <w:rPr>
          <w:kern w:val="0"/>
        </w:rPr>
      </w:pPr>
      <w:r>
        <w:rPr>
          <w:kern w:val="0"/>
        </w:rPr>
        <w:t xml:space="preserve">Abstract: Background: Eating in the Absence of Hunger (EAH), or consuming highly palatable foods when satiated, is one behavioral pathway that may lead to childhood obesity. EAH is an objective, laboratorybased measure. A more comprehensive understanding of potential determinants of EAH could inform childhood obesity programs outside of a laboratory setting. Objective: Systematic review of EAH experiments to identify individual, familial, and societal-level correlates of EAH among children &lt;= 12 years of age or younger. Design: 1487 studies were retrieved from five electronic databases (Medline [PubMed], Web of Science, Cochrane </w:t>
      </w:r>
      <w:r>
        <w:rPr>
          <w:kern w:val="0"/>
        </w:rPr>
        <w:lastRenderedPageBreak/>
        <w:t>Library, CINAHL, PsycINFO). Eligible studies were those that measured EAH as initially operationalized in a laboratory setting enrolling children &lt;= 12 years or reporting age-specific results for children years. Only articles written in English were included. Results: 12 cross-sectional, six prospective, and one behavioral-intervention studies were included in the review. EAH was observable among boys and girls; absolute levels of EAH increased with age; and maternal feeding styles were associated with EAH among girls. The most consistent evidence supported increased levels of EAH among overweight and obese versus normal weight children, both cross-sectionally and prospectively. Two studies supported a genetic component to EAH. Conclusions: Studies enrolling independent samples support a positive association between weight status and EAH among children; studies addressing causality are needed. Other various individual, genetic, and familiar characteristics were associated with EAH, yet studies among more heterogeneous sample populations are needed to confirm findings. Studies addressing societal-level factors related to EAH were absent. (C) 2014 Elsevier Ltd. All rights reserved.</w:t>
      </w:r>
    </w:p>
    <w:p w:rsidR="00485005" w:rsidRDefault="00485005" w:rsidP="00485005">
      <w:pPr>
        <w:pStyle w:val="a3"/>
        <w:rPr>
          <w:kern w:val="0"/>
        </w:rPr>
      </w:pPr>
      <w:r>
        <w:rPr>
          <w:kern w:val="0"/>
        </w:rPr>
        <w:t>Keywords: Age, Articles, Association, Body-Mass Index, Causality, Characteristics, Childhood, Childhood Obesity, Children, Correlates, Cross-Sectional, Databases, Design, Dietary Restraint, EAH, Eating, Eating In The Absence Of Hunger, English, Evidence, Experiments, Factors, Familial, Familiar, Feeding, Food, Food-Intake, From, FTO Gene, Genetic, Girls, Hunger, Laboratory, Lead, Maternal, Measure, Medline, Normal, Nutrition Examination Survey, Obese, Obesity, Obesogenic Environments, Overweight, Overweight Children, Populations, Potential, Prospective, Psycinfo, Reporting, Restrictive Feeding Practices, Results, Review, Rights, School-Aged Children, Science, Support, Systematic, Systematic Review, Understanding, Web, Web Of Science, Young</w:t>
      </w:r>
    </w:p>
    <w:p w:rsidR="003474F2" w:rsidRPr="001A3D2B" w:rsidRDefault="003474F2" w:rsidP="003474F2">
      <w:pPr>
        <w:pStyle w:val="1"/>
      </w:pPr>
      <w:r w:rsidRPr="001A3D2B">
        <w:br w:type="page"/>
      </w:r>
      <w:bookmarkStart w:id="530" w:name="_Toc420814546"/>
      <w:r w:rsidRPr="001A3D2B">
        <w:lastRenderedPageBreak/>
        <w:t>Title: Application Research</w:t>
      </w:r>
      <w:r w:rsidR="00427468">
        <w:t xml:space="preserve"> of </w:t>
      </w:r>
      <w:r w:rsidRPr="001A3D2B">
        <w:t>Computers</w:t>
      </w:r>
      <w:bookmarkEnd w:id="530"/>
    </w:p>
    <w:p w:rsidR="003474F2" w:rsidRPr="001A3D2B" w:rsidRDefault="003474F2" w:rsidP="003474F2">
      <w:pPr>
        <w:pStyle w:val="12"/>
      </w:pPr>
      <w:r w:rsidRPr="001A3D2B">
        <w:t>Full Journal Title: Application Research</w:t>
      </w:r>
      <w:r w:rsidR="00427468">
        <w:t xml:space="preserve"> of </w:t>
      </w:r>
      <w:r w:rsidRPr="001A3D2B">
        <w:t>Computers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Guo, Y.</w:t>
      </w:r>
      <w:r w:rsidR="005853A9">
        <w:t xml:space="preserve"> and </w:t>
      </w:r>
      <w:r w:rsidRPr="001A3D2B">
        <w:t>Yu, H. (2007), Biblio-metrilogical analysis on development trend</w:t>
      </w:r>
      <w:r w:rsidR="00427468">
        <w:t xml:space="preserve"> of </w:t>
      </w:r>
      <w:r w:rsidRPr="001A3D2B">
        <w:t xml:space="preserve">computer science in China. </w:t>
      </w:r>
      <w:r w:rsidRPr="001A3D2B">
        <w:rPr>
          <w:i/>
          <w:iCs/>
        </w:rPr>
        <w:t>Application Research</w:t>
      </w:r>
      <w:r w:rsidR="00427468">
        <w:rPr>
          <w:i/>
          <w:iCs/>
        </w:rPr>
        <w:t xml:space="preserve"> of </w:t>
      </w:r>
      <w:r w:rsidRPr="001A3D2B">
        <w:rPr>
          <w:i/>
          <w:iCs/>
        </w:rPr>
        <w:t>Computers</w:t>
      </w:r>
      <w:r w:rsidRPr="001A3D2B">
        <w:t xml:space="preserve">, </w:t>
      </w:r>
      <w:r w:rsidRPr="001A3D2B">
        <w:rPr>
          <w:b/>
          <w:bCs/>
        </w:rPr>
        <w:t>24</w:t>
      </w:r>
      <w:r w:rsidRPr="001A3D2B">
        <w:t xml:space="preserve"> (12), 28-31.</w:t>
      </w:r>
    </w:p>
    <w:p w:rsidR="003474F2" w:rsidRPr="001A3D2B" w:rsidRDefault="003474F2" w:rsidP="003474F2">
      <w:pPr>
        <w:pStyle w:val="a3"/>
      </w:pPr>
      <w:r w:rsidRPr="001A3D2B">
        <w:t>Abstract:</w:t>
      </w:r>
      <w:r w:rsidR="003A1917">
        <w:t xml:space="preserve"> the </w:t>
      </w:r>
      <w:r w:rsidRPr="001A3D2B">
        <w:t>paper analyzed</w:t>
      </w:r>
      <w:r w:rsidR="003A1917">
        <w:t xml:space="preserve"> the </w:t>
      </w:r>
      <w:r w:rsidRPr="001A3D2B">
        <w:t>status quo</w:t>
      </w:r>
      <w:r w:rsidR="005853A9">
        <w:t xml:space="preserve"> and </w:t>
      </w:r>
      <w:r w:rsidRPr="001A3D2B">
        <w:t>development trend</w:t>
      </w:r>
      <w:r w:rsidR="00427468">
        <w:t xml:space="preserve"> of </w:t>
      </w:r>
      <w:r w:rsidRPr="001A3D2B">
        <w:t>computer science in China based on bibliometrics. According to</w:t>
      </w:r>
      <w:r w:rsidR="003A1917">
        <w:t xml:space="preserve"> the </w:t>
      </w:r>
      <w:r w:rsidRPr="001A3D2B">
        <w:t xml:space="preserve">data from </w:t>
      </w:r>
      <w:r w:rsidR="00D5664A">
        <w:t>Web</w:t>
      </w:r>
      <w:r w:rsidR="00427468">
        <w:t xml:space="preserve"> of </w:t>
      </w:r>
      <w:r w:rsidR="00D5664A">
        <w:t>Science</w:t>
      </w:r>
      <w:r w:rsidR="005853A9">
        <w:t xml:space="preserve"> and </w:t>
      </w:r>
      <w:r w:rsidRPr="001A3D2B">
        <w:t>ESI, analyzed some indices such as number</w:t>
      </w:r>
      <w:r w:rsidR="00427468">
        <w:t xml:space="preserve"> of </w:t>
      </w:r>
      <w:r w:rsidRPr="001A3D2B">
        <w:t>papers, citation frequency, average citations per paper</w:t>
      </w:r>
      <w:r w:rsidR="005853A9">
        <w:t xml:space="preserve"> and </w:t>
      </w:r>
      <w:r w:rsidRPr="001A3D2B">
        <w:t>impact factor, in order to study</w:t>
      </w:r>
      <w:r w:rsidR="003A1917">
        <w:t xml:space="preserve"> the </w:t>
      </w:r>
      <w:r w:rsidRPr="001A3D2B">
        <w:t>trend</w:t>
      </w:r>
      <w:r w:rsidR="00427468">
        <w:t xml:space="preserve"> of </w:t>
      </w:r>
      <w:r w:rsidRPr="001A3D2B">
        <w:t>papers in computer science,</w:t>
      </w:r>
      <w:r w:rsidR="003A1917">
        <w:t xml:space="preserve"> the </w:t>
      </w:r>
      <w:r w:rsidRPr="001A3D2B">
        <w:t>development</w:t>
      </w:r>
      <w:r w:rsidR="00427468">
        <w:t xml:space="preserve"> of </w:t>
      </w:r>
      <w:r w:rsidRPr="001A3D2B">
        <w:t>main sub-fields</w:t>
      </w:r>
      <w:r w:rsidR="005853A9">
        <w:t xml:space="preserve"> and </w:t>
      </w:r>
      <w:r w:rsidR="003A1917">
        <w:t xml:space="preserve">the </w:t>
      </w:r>
      <w:r w:rsidRPr="001A3D2B">
        <w:t>influence</w:t>
      </w:r>
      <w:r w:rsidR="00427468">
        <w:t xml:space="preserve"> of </w:t>
      </w:r>
      <w:r w:rsidR="003A1917">
        <w:t xml:space="preserve">the </w:t>
      </w:r>
      <w:r w:rsidRPr="001A3D2B">
        <w:t>periodicals that publish these papers.</w:t>
      </w:r>
    </w:p>
    <w:p w:rsidR="003474F2" w:rsidRPr="001A3D2B" w:rsidRDefault="003474F2" w:rsidP="003474F2">
      <w:pPr>
        <w:pStyle w:val="a3"/>
      </w:pPr>
      <w:r w:rsidRPr="001A3D2B">
        <w:t>Keywords: Analysis, Bibliometrics, China, Citation, Citation Frequency, Citations, Data, Development, Impact, Impact Factor, Indices, Papers, Periodicals, Science, Trend</w:t>
      </w:r>
    </w:p>
    <w:p w:rsidR="00D777D6" w:rsidRPr="00F219CA" w:rsidRDefault="00D777D6" w:rsidP="00D777D6">
      <w:pPr>
        <w:pStyle w:val="1"/>
      </w:pPr>
      <w:r w:rsidRPr="00F219CA">
        <w:br w:type="page"/>
      </w:r>
      <w:bookmarkStart w:id="531" w:name="_Toc420814547"/>
      <w:r w:rsidRPr="00F219CA">
        <w:lastRenderedPageBreak/>
        <w:t xml:space="preserve">Title: </w:t>
      </w:r>
      <w:r w:rsidRPr="00C52AFD">
        <w:t>Applied Clinical Informatics</w:t>
      </w:r>
      <w:bookmarkEnd w:id="531"/>
    </w:p>
    <w:p w:rsidR="00D777D6" w:rsidRDefault="00D777D6" w:rsidP="00D777D6">
      <w:pPr>
        <w:pStyle w:val="12"/>
      </w:pPr>
      <w:r w:rsidRPr="00F219CA">
        <w:t xml:space="preserve">Full Journal Title: </w:t>
      </w:r>
      <w:r w:rsidRPr="00C52AFD">
        <w:rPr>
          <w:iCs/>
          <w:kern w:val="0"/>
        </w:rPr>
        <w:t>Applied Clinical Informatics</w:t>
      </w:r>
    </w:p>
    <w:p w:rsidR="00D777D6" w:rsidRPr="00F219CA" w:rsidRDefault="00D777D6" w:rsidP="00D777D6">
      <w:pPr>
        <w:pStyle w:val="12"/>
      </w:pPr>
      <w:r w:rsidRPr="00F219CA">
        <w:t xml:space="preserve">ISO Abbreviated Title: </w:t>
      </w:r>
    </w:p>
    <w:p w:rsidR="00D777D6" w:rsidRPr="00F219CA" w:rsidRDefault="00D777D6" w:rsidP="00D777D6">
      <w:pPr>
        <w:pStyle w:val="12"/>
      </w:pPr>
      <w:r w:rsidRPr="00F219CA">
        <w:t xml:space="preserve">JCR Abbreviated Title: </w:t>
      </w:r>
    </w:p>
    <w:p w:rsidR="00D777D6" w:rsidRPr="00F219CA" w:rsidRDefault="00D777D6" w:rsidP="00D777D6">
      <w:pPr>
        <w:pStyle w:val="12"/>
      </w:pPr>
      <w:r w:rsidRPr="00F219CA">
        <w:t xml:space="preserve">ISSN: </w:t>
      </w:r>
    </w:p>
    <w:p w:rsidR="00D777D6" w:rsidRPr="00F219CA" w:rsidRDefault="00D777D6" w:rsidP="00D777D6">
      <w:pPr>
        <w:pStyle w:val="12"/>
      </w:pPr>
      <w:r w:rsidRPr="00F219CA">
        <w:t xml:space="preserve">Issues/Year: </w:t>
      </w:r>
    </w:p>
    <w:p w:rsidR="00D777D6" w:rsidRPr="00F219CA" w:rsidRDefault="00D777D6" w:rsidP="00D777D6">
      <w:pPr>
        <w:pStyle w:val="12"/>
      </w:pPr>
      <w:r w:rsidRPr="00F219CA">
        <w:t xml:space="preserve">Journal Country/Territory: </w:t>
      </w:r>
    </w:p>
    <w:p w:rsidR="00D777D6" w:rsidRPr="00F219CA" w:rsidRDefault="00D777D6" w:rsidP="00D777D6">
      <w:pPr>
        <w:pStyle w:val="12"/>
      </w:pPr>
      <w:r w:rsidRPr="00F219CA">
        <w:t xml:space="preserve">Language: </w:t>
      </w:r>
    </w:p>
    <w:p w:rsidR="00D777D6" w:rsidRPr="00F219CA" w:rsidRDefault="00D777D6" w:rsidP="00D777D6">
      <w:pPr>
        <w:pStyle w:val="12"/>
      </w:pPr>
      <w:r w:rsidRPr="00F219CA">
        <w:t xml:space="preserve">Publisher: </w:t>
      </w:r>
    </w:p>
    <w:p w:rsidR="00D777D6" w:rsidRPr="00F219CA" w:rsidRDefault="00D777D6" w:rsidP="00D777D6">
      <w:pPr>
        <w:pStyle w:val="12"/>
      </w:pPr>
      <w:r w:rsidRPr="00F219CA">
        <w:t xml:space="preserve">Publisher Address: </w:t>
      </w:r>
    </w:p>
    <w:p w:rsidR="00D777D6" w:rsidRPr="00F219CA" w:rsidRDefault="00D777D6" w:rsidP="00D777D6">
      <w:pPr>
        <w:pStyle w:val="12"/>
      </w:pPr>
      <w:r w:rsidRPr="00F219CA">
        <w:t xml:space="preserve">Subject Categories: </w:t>
      </w:r>
    </w:p>
    <w:p w:rsidR="00D777D6" w:rsidRPr="00F219CA" w:rsidRDefault="00D777D6" w:rsidP="00D777D6">
      <w:pPr>
        <w:pStyle w:val="12"/>
      </w:pPr>
      <w:r w:rsidRPr="00F219CA">
        <w:t xml:space="preserve">: Impact Factor </w:t>
      </w:r>
    </w:p>
    <w:p w:rsidR="00D777D6" w:rsidRDefault="00D777D6" w:rsidP="00D777D6">
      <w:pPr>
        <w:pStyle w:val="a3"/>
        <w:rPr>
          <w:kern w:val="0"/>
        </w:rPr>
      </w:pPr>
      <w:r>
        <w:rPr>
          <w:rFonts w:hint="eastAsia"/>
          <w:kern w:val="0"/>
        </w:rPr>
        <w:t xml:space="preserve">? </w:t>
      </w:r>
      <w:r>
        <w:rPr>
          <w:kern w:val="0"/>
        </w:rPr>
        <w:t>Habibzadeh, P. (2013), Decay</w:t>
      </w:r>
      <w:r w:rsidR="00427468">
        <w:rPr>
          <w:kern w:val="0"/>
        </w:rPr>
        <w:t xml:space="preserve"> of </w:t>
      </w:r>
      <w:r>
        <w:rPr>
          <w:kern w:val="0"/>
        </w:rPr>
        <w:t xml:space="preserve">references to Web sites in articles published in General medical journals: Mainstream vs small journals. </w:t>
      </w:r>
      <w:r w:rsidRPr="00C52AFD">
        <w:rPr>
          <w:i/>
          <w:iCs/>
          <w:kern w:val="0"/>
        </w:rPr>
        <w:t>Applied Clinical Informatics</w:t>
      </w:r>
      <w:r>
        <w:rPr>
          <w:kern w:val="0"/>
        </w:rPr>
        <w:t xml:space="preserve">, </w:t>
      </w:r>
      <w:r>
        <w:rPr>
          <w:b/>
          <w:bCs/>
          <w:kern w:val="0"/>
        </w:rPr>
        <w:t>4</w:t>
      </w:r>
      <w:r>
        <w:rPr>
          <w:kern w:val="0"/>
        </w:rPr>
        <w:t xml:space="preserve"> (4), 455-464.</w:t>
      </w:r>
    </w:p>
    <w:p w:rsidR="00D777D6" w:rsidRDefault="00D777D6" w:rsidP="00D777D6">
      <w:pPr>
        <w:pStyle w:val="a3"/>
        <w:rPr>
          <w:kern w:val="0"/>
        </w:rPr>
      </w:pPr>
      <w:r>
        <w:rPr>
          <w:rFonts w:hint="eastAsia"/>
          <w:kern w:val="0"/>
        </w:rPr>
        <w:t>Full Text: 2013\</w:t>
      </w:r>
      <w:r>
        <w:rPr>
          <w:iCs/>
          <w:kern w:val="0"/>
        </w:rPr>
        <w:t>App Cli Inf</w:t>
      </w:r>
      <w:r w:rsidRPr="00362BD7">
        <w:rPr>
          <w:bCs/>
          <w:kern w:val="0"/>
        </w:rPr>
        <w:t>4</w:t>
      </w:r>
      <w:r>
        <w:rPr>
          <w:kern w:val="0"/>
        </w:rPr>
        <w:t>, 455</w:t>
      </w:r>
      <w:r>
        <w:rPr>
          <w:rFonts w:hint="eastAsia"/>
          <w:kern w:val="0"/>
        </w:rPr>
        <w:t>.pdf</w:t>
      </w:r>
    </w:p>
    <w:p w:rsidR="00D777D6" w:rsidRDefault="00D777D6" w:rsidP="00D777D6">
      <w:pPr>
        <w:pStyle w:val="a3"/>
        <w:rPr>
          <w:kern w:val="0"/>
        </w:rPr>
      </w:pPr>
      <w:r>
        <w:rPr>
          <w:kern w:val="0"/>
        </w:rPr>
        <w:t>Abstract: Background: Over the last decade, Web sites (URLs) have been increasingly cited in scientific articles. However, the contents</w:t>
      </w:r>
      <w:r w:rsidR="00427468">
        <w:rPr>
          <w:kern w:val="0"/>
        </w:rPr>
        <w:t xml:space="preserve"> of </w:t>
      </w:r>
      <w:r>
        <w:rPr>
          <w:kern w:val="0"/>
        </w:rPr>
        <w:t>the page</w:t>
      </w:r>
      <w:r w:rsidR="00427468">
        <w:rPr>
          <w:kern w:val="0"/>
        </w:rPr>
        <w:t xml:space="preserve"> of </w:t>
      </w:r>
      <w:r>
        <w:rPr>
          <w:kern w:val="0"/>
        </w:rPr>
        <w:t>interest may change over the time. Objective: To investigate the trend</w:t>
      </w:r>
      <w:r w:rsidR="00427468">
        <w:rPr>
          <w:kern w:val="0"/>
        </w:rPr>
        <w:t xml:space="preserve"> of </w:t>
      </w:r>
      <w:r>
        <w:rPr>
          <w:kern w:val="0"/>
        </w:rPr>
        <w:t>citation to URLs in five general medical journals since January 2006 to June 2013</w:t>
      </w:r>
      <w:r w:rsidR="005853A9">
        <w:rPr>
          <w:kern w:val="0"/>
        </w:rPr>
        <w:t xml:space="preserve"> and </w:t>
      </w:r>
      <w:r>
        <w:rPr>
          <w:kern w:val="0"/>
        </w:rPr>
        <w:t>to compare the trends in mainstream journals with small journals. Methods: References</w:t>
      </w:r>
      <w:r w:rsidR="00427468">
        <w:rPr>
          <w:kern w:val="0"/>
        </w:rPr>
        <w:t xml:space="preserve"> of </w:t>
      </w:r>
      <w:r>
        <w:rPr>
          <w:kern w:val="0"/>
        </w:rPr>
        <w:t>all original articles</w:t>
      </w:r>
      <w:r w:rsidR="005853A9">
        <w:rPr>
          <w:kern w:val="0"/>
        </w:rPr>
        <w:t xml:space="preserve"> and </w:t>
      </w:r>
      <w:r>
        <w:rPr>
          <w:kern w:val="0"/>
        </w:rPr>
        <w:t>review articles published between January 2006</w:t>
      </w:r>
      <w:r w:rsidR="005853A9">
        <w:rPr>
          <w:kern w:val="0"/>
        </w:rPr>
        <w:t xml:space="preserve"> and </w:t>
      </w:r>
      <w:r>
        <w:rPr>
          <w:kern w:val="0"/>
        </w:rPr>
        <w:t>June 2013 in three regional journals - Archives</w:t>
      </w:r>
      <w:r w:rsidR="00427468">
        <w:rPr>
          <w:kern w:val="0"/>
        </w:rPr>
        <w:t xml:space="preserve"> of </w:t>
      </w:r>
      <w:r>
        <w:rPr>
          <w:kern w:val="0"/>
        </w:rPr>
        <w:t>Iranian Medicine (AIM), Eastern Mediterranean Health Journal (EMHJ),</w:t>
      </w:r>
      <w:r w:rsidR="005853A9">
        <w:rPr>
          <w:kern w:val="0"/>
        </w:rPr>
        <w:t xml:space="preserve"> and </w:t>
      </w:r>
      <w:r>
        <w:rPr>
          <w:kern w:val="0"/>
        </w:rPr>
        <w:t>Journal</w:t>
      </w:r>
      <w:r w:rsidR="00427468">
        <w:rPr>
          <w:kern w:val="0"/>
        </w:rPr>
        <w:t xml:space="preserve"> of </w:t>
      </w:r>
      <w:r>
        <w:rPr>
          <w:kern w:val="0"/>
        </w:rPr>
        <w:t>Postgraduate Medical Institute (JPMI) -</w:t>
      </w:r>
      <w:r w:rsidR="005853A9">
        <w:rPr>
          <w:kern w:val="0"/>
        </w:rPr>
        <w:t xml:space="preserve"> and </w:t>
      </w:r>
      <w:r>
        <w:rPr>
          <w:kern w:val="0"/>
        </w:rPr>
        <w:t>two mainstream journals - The Lancet</w:t>
      </w:r>
      <w:r w:rsidR="005853A9">
        <w:rPr>
          <w:kern w:val="0"/>
        </w:rPr>
        <w:t xml:space="preserve"> and </w:t>
      </w:r>
      <w:r>
        <w:rPr>
          <w:kern w:val="0"/>
        </w:rPr>
        <w:t>British Medical Journal (BMJ) - were reviewed</w:t>
      </w:r>
      <w:r w:rsidR="00A37C1D">
        <w:rPr>
          <w:kern w:val="0"/>
        </w:rPr>
        <w:t>. The</w:t>
      </w:r>
      <w:r>
        <w:rPr>
          <w:kern w:val="0"/>
        </w:rPr>
        <w:t xml:space="preserve"> references were checked to determine the frequency</w:t>
      </w:r>
      <w:r w:rsidR="00427468">
        <w:rPr>
          <w:kern w:val="0"/>
        </w:rPr>
        <w:t xml:space="preserve"> of </w:t>
      </w:r>
      <w:r>
        <w:rPr>
          <w:kern w:val="0"/>
        </w:rPr>
        <w:t>citation to URLs as well as the rate</w:t>
      </w:r>
      <w:r w:rsidR="00427468">
        <w:rPr>
          <w:kern w:val="0"/>
        </w:rPr>
        <w:t xml:space="preserve"> of </w:t>
      </w:r>
      <w:r>
        <w:rPr>
          <w:kern w:val="0"/>
        </w:rPr>
        <w:t>accessibility</w:t>
      </w:r>
      <w:r w:rsidR="00427468">
        <w:rPr>
          <w:kern w:val="0"/>
        </w:rPr>
        <w:t xml:space="preserve"> of </w:t>
      </w:r>
      <w:r>
        <w:rPr>
          <w:kern w:val="0"/>
        </w:rPr>
        <w:t>the URLs cited. Results: A total</w:t>
      </w:r>
      <w:r w:rsidR="00427468">
        <w:rPr>
          <w:kern w:val="0"/>
        </w:rPr>
        <w:t xml:space="preserve"> of </w:t>
      </w:r>
      <w:r>
        <w:rPr>
          <w:kern w:val="0"/>
        </w:rPr>
        <w:t>2822 articles was studied. Since January 2006 onward, the number</w:t>
      </w:r>
      <w:r w:rsidR="00427468">
        <w:rPr>
          <w:kern w:val="0"/>
        </w:rPr>
        <w:t xml:space="preserve"> of </w:t>
      </w:r>
      <w:r>
        <w:rPr>
          <w:kern w:val="0"/>
        </w:rPr>
        <w:t>citations to URLs increased in the journals (doubling time ranged from 4.2 years in EMHJ to 13.9 years in AIM). Overall, the percentage</w:t>
      </w:r>
      <w:r w:rsidR="00427468">
        <w:rPr>
          <w:kern w:val="0"/>
        </w:rPr>
        <w:t xml:space="preserve"> of </w:t>
      </w:r>
      <w:r>
        <w:rPr>
          <w:kern w:val="0"/>
        </w:rPr>
        <w:t>articles citing at least one URL has increased from 24% in 2006 to 48.5% in 2013. Accessibility to URLs decayed as the references got old (half life ranged from 2.2 years in EMHJ to 5.3 years in BMJ)</w:t>
      </w:r>
      <w:r w:rsidR="00A37C1D">
        <w:rPr>
          <w:kern w:val="0"/>
        </w:rPr>
        <w:t>. The</w:t>
      </w:r>
      <w:r>
        <w:rPr>
          <w:kern w:val="0"/>
        </w:rPr>
        <w:t xml:space="preserve"> ratio</w:t>
      </w:r>
      <w:r w:rsidR="00427468">
        <w:rPr>
          <w:kern w:val="0"/>
        </w:rPr>
        <w:t xml:space="preserve"> of </w:t>
      </w:r>
      <w:r>
        <w:rPr>
          <w:kern w:val="0"/>
        </w:rPr>
        <w:t>citation to URLs in the studied mainstream journals, as well as the ratio</w:t>
      </w:r>
      <w:r w:rsidR="00427468">
        <w:rPr>
          <w:kern w:val="0"/>
        </w:rPr>
        <w:t xml:space="preserve"> of </w:t>
      </w:r>
      <w:r>
        <w:rPr>
          <w:kern w:val="0"/>
        </w:rPr>
        <w:t>URLs accessible were significantly (p&lt;0.001) higher than the small medical journals. Conclusion: URLs are increasingly cited, but their contents decay with time</w:t>
      </w:r>
      <w:r w:rsidR="00A37C1D">
        <w:rPr>
          <w:kern w:val="0"/>
        </w:rPr>
        <w:t>. The</w:t>
      </w:r>
      <w:r>
        <w:rPr>
          <w:kern w:val="0"/>
        </w:rPr>
        <w:t xml:space="preserve"> trend</w:t>
      </w:r>
      <w:r w:rsidR="00427468">
        <w:rPr>
          <w:kern w:val="0"/>
        </w:rPr>
        <w:t xml:space="preserve"> of </w:t>
      </w:r>
      <w:r>
        <w:rPr>
          <w:kern w:val="0"/>
        </w:rPr>
        <w:t>citing</w:t>
      </w:r>
      <w:r w:rsidR="005853A9">
        <w:rPr>
          <w:kern w:val="0"/>
        </w:rPr>
        <w:t xml:space="preserve"> and </w:t>
      </w:r>
      <w:r>
        <w:rPr>
          <w:kern w:val="0"/>
        </w:rPr>
        <w:t>decaying URLs are different in mainstream journals compared to small medical journals. Decay</w:t>
      </w:r>
      <w:r w:rsidR="00427468">
        <w:rPr>
          <w:kern w:val="0"/>
        </w:rPr>
        <w:t xml:space="preserve"> of </w:t>
      </w:r>
      <w:r>
        <w:rPr>
          <w:kern w:val="0"/>
        </w:rPr>
        <w:t xml:space="preserve">URL contents would jeopardize the </w:t>
      </w:r>
      <w:r>
        <w:rPr>
          <w:kern w:val="0"/>
        </w:rPr>
        <w:lastRenderedPageBreak/>
        <w:t>accuracy</w:t>
      </w:r>
      <w:r w:rsidR="00427468">
        <w:rPr>
          <w:kern w:val="0"/>
        </w:rPr>
        <w:t xml:space="preserve"> of </w:t>
      </w:r>
      <w:r>
        <w:rPr>
          <w:kern w:val="0"/>
        </w:rPr>
        <w:t>the references</w:t>
      </w:r>
      <w:r w:rsidR="005853A9">
        <w:rPr>
          <w:kern w:val="0"/>
        </w:rPr>
        <w:t xml:space="preserve"> and </w:t>
      </w:r>
      <w:r>
        <w:rPr>
          <w:kern w:val="0"/>
        </w:rPr>
        <w:t>thus, the body</w:t>
      </w:r>
      <w:r w:rsidR="00427468">
        <w:rPr>
          <w:kern w:val="0"/>
        </w:rPr>
        <w:t xml:space="preserve"> of </w:t>
      </w:r>
      <w:r>
        <w:rPr>
          <w:kern w:val="0"/>
        </w:rPr>
        <w:t>evidence. One way to tackle this important obstacle is to archive URLs permanently.</w:t>
      </w:r>
    </w:p>
    <w:p w:rsidR="00D777D6" w:rsidRDefault="00D777D6" w:rsidP="00D777D6">
      <w:pPr>
        <w:pStyle w:val="a3"/>
        <w:rPr>
          <w:kern w:val="0"/>
        </w:rPr>
      </w:pPr>
      <w:r>
        <w:rPr>
          <w:kern w:val="0"/>
        </w:rPr>
        <w:t xml:space="preserve">Keywords: Accessibility, Accuracy, Archives, Articles, Citation, Citation Analysis, Citations, Doubling Time, Eastern Mediterranean, Evidence, General, Half-Life, Internet, Internet References, Journal, Journals, Life, Mainstream, Medical, Medical Journals, Medicine, Mediterranean, </w:t>
      </w:r>
      <w:r w:rsidR="00D5664A">
        <w:rPr>
          <w:kern w:val="0"/>
        </w:rPr>
        <w:t>MEDLINE</w:t>
      </w:r>
      <w:r>
        <w:rPr>
          <w:kern w:val="0"/>
        </w:rPr>
        <w:t>, Methods, Persistence, Publication, Reference Accuracy, References, Regional, Results, Review, Scientometrics, Small, Trend, Trends, Uniform Resource Locator, Uniform Resource Locator, URL, URL Decay</w:t>
      </w:r>
    </w:p>
    <w:p w:rsidR="005C7B8A" w:rsidRPr="00F219CA" w:rsidRDefault="005C7B8A" w:rsidP="005C7B8A">
      <w:pPr>
        <w:pStyle w:val="1"/>
      </w:pPr>
      <w:r w:rsidRPr="00F219CA">
        <w:br w:type="page"/>
      </w:r>
      <w:bookmarkStart w:id="532" w:name="_Toc401608933"/>
      <w:bookmarkStart w:id="533" w:name="_Toc420814548"/>
      <w:r w:rsidRPr="00F219CA">
        <w:lastRenderedPageBreak/>
        <w:t>Title: Applied Ecology</w:t>
      </w:r>
      <w:r>
        <w:t xml:space="preserve"> and </w:t>
      </w:r>
      <w:r w:rsidRPr="00F219CA">
        <w:t>Environmental Research</w:t>
      </w:r>
      <w:bookmarkEnd w:id="532"/>
      <w:bookmarkEnd w:id="533"/>
    </w:p>
    <w:p w:rsidR="005C7B8A" w:rsidRPr="00F219CA" w:rsidRDefault="005C7B8A" w:rsidP="005C7B8A">
      <w:pPr>
        <w:pStyle w:val="12"/>
      </w:pPr>
      <w:r w:rsidRPr="00F219CA">
        <w:t xml:space="preserve">Full Journal Title: </w:t>
      </w:r>
      <w:hyperlink r:id="rId1040" w:history="1">
        <w:r w:rsidRPr="00F219CA">
          <w:rPr>
            <w:rStyle w:val="a5"/>
          </w:rPr>
          <w:t>Applied Ecology</w:t>
        </w:r>
        <w:r>
          <w:rPr>
            <w:rStyle w:val="a5"/>
          </w:rPr>
          <w:t xml:space="preserve"> and </w:t>
        </w:r>
        <w:r w:rsidRPr="00F219CA">
          <w:rPr>
            <w:rStyle w:val="a5"/>
          </w:rPr>
          <w:t>Environmental Research</w:t>
        </w:r>
      </w:hyperlink>
    </w:p>
    <w:p w:rsidR="005C7B8A" w:rsidRPr="00F219CA" w:rsidRDefault="005C7B8A" w:rsidP="005C7B8A">
      <w:pPr>
        <w:pStyle w:val="12"/>
      </w:pPr>
      <w:r w:rsidRPr="00F219CA">
        <w:t xml:space="preserve">ISO Abbreviated Title: </w:t>
      </w:r>
    </w:p>
    <w:p w:rsidR="005C7B8A" w:rsidRPr="00F219CA" w:rsidRDefault="005C7B8A" w:rsidP="005C7B8A">
      <w:pPr>
        <w:pStyle w:val="12"/>
      </w:pPr>
      <w:r w:rsidRPr="00F219CA">
        <w:t xml:space="preserve">JCR Abbreviated Title: </w:t>
      </w:r>
    </w:p>
    <w:p w:rsidR="005C7B8A" w:rsidRPr="00F219CA" w:rsidRDefault="005C7B8A" w:rsidP="005C7B8A">
      <w:pPr>
        <w:pStyle w:val="12"/>
      </w:pPr>
      <w:r w:rsidRPr="00F219CA">
        <w:t>ISSN: 1589-1623 (print); 1785-0037 (electronic)</w:t>
      </w:r>
    </w:p>
    <w:p w:rsidR="005C7B8A" w:rsidRPr="00F219CA" w:rsidRDefault="005C7B8A" w:rsidP="005C7B8A">
      <w:pPr>
        <w:pStyle w:val="12"/>
      </w:pPr>
      <w:r w:rsidRPr="00F219CA">
        <w:t xml:space="preserve">Issues/Year: </w:t>
      </w:r>
    </w:p>
    <w:p w:rsidR="005C7B8A" w:rsidRPr="00F219CA" w:rsidRDefault="005C7B8A" w:rsidP="005C7B8A">
      <w:pPr>
        <w:pStyle w:val="12"/>
      </w:pPr>
      <w:r w:rsidRPr="00F219CA">
        <w:t xml:space="preserve">Journal Country/Territory: </w:t>
      </w:r>
    </w:p>
    <w:p w:rsidR="005C7B8A" w:rsidRPr="00F219CA" w:rsidRDefault="005C7B8A" w:rsidP="005C7B8A">
      <w:pPr>
        <w:pStyle w:val="12"/>
      </w:pPr>
      <w:r w:rsidRPr="00F219CA">
        <w:t xml:space="preserve">Language: </w:t>
      </w:r>
    </w:p>
    <w:p w:rsidR="005C7B8A" w:rsidRPr="00F219CA" w:rsidRDefault="005C7B8A" w:rsidP="005C7B8A">
      <w:pPr>
        <w:pStyle w:val="12"/>
      </w:pPr>
      <w:r w:rsidRPr="00F219CA">
        <w:t xml:space="preserve">Publisher: </w:t>
      </w:r>
    </w:p>
    <w:p w:rsidR="005C7B8A" w:rsidRPr="00F219CA" w:rsidRDefault="005C7B8A" w:rsidP="005C7B8A">
      <w:pPr>
        <w:pStyle w:val="12"/>
      </w:pPr>
      <w:r w:rsidRPr="00F219CA">
        <w:t xml:space="preserve">Publisher Address: </w:t>
      </w:r>
    </w:p>
    <w:p w:rsidR="005C7B8A" w:rsidRPr="00F219CA" w:rsidRDefault="005C7B8A" w:rsidP="005C7B8A">
      <w:pPr>
        <w:pStyle w:val="12"/>
      </w:pPr>
      <w:r w:rsidRPr="00F219CA">
        <w:t xml:space="preserve">Subject Categories: </w:t>
      </w:r>
    </w:p>
    <w:p w:rsidR="005C7B8A" w:rsidRPr="00F219CA" w:rsidRDefault="005C7B8A" w:rsidP="005C7B8A">
      <w:pPr>
        <w:pStyle w:val="12"/>
      </w:pPr>
      <w:r w:rsidRPr="00F219CA">
        <w:t xml:space="preserve">: Impact Factor </w:t>
      </w:r>
    </w:p>
    <w:p w:rsidR="005C7B8A" w:rsidRDefault="005C7B8A" w:rsidP="005C7B8A">
      <w:pPr>
        <w:pStyle w:val="a3"/>
        <w:rPr>
          <w:kern w:val="0"/>
        </w:rPr>
      </w:pPr>
      <w:r>
        <w:rPr>
          <w:rFonts w:hint="eastAsia"/>
          <w:kern w:val="0"/>
        </w:rPr>
        <w:t xml:space="preserve">? </w:t>
      </w:r>
      <w:r>
        <w:rPr>
          <w:kern w:val="0"/>
        </w:rPr>
        <w:t xml:space="preserve">Hufnagel, L. and Garamvölgyi, A. (2014), Impacts of climate change on vegetation distribution No. 2-climate change induced vegetation shifts in the new world. </w:t>
      </w:r>
      <w:r>
        <w:rPr>
          <w:i/>
          <w:iCs/>
          <w:kern w:val="0"/>
        </w:rPr>
        <w:t>Applied Ecology and Environmental Research</w:t>
      </w:r>
      <w:r>
        <w:rPr>
          <w:kern w:val="0"/>
        </w:rPr>
        <w:t xml:space="preserve">, </w:t>
      </w:r>
      <w:r>
        <w:rPr>
          <w:b/>
          <w:bCs/>
          <w:kern w:val="0"/>
        </w:rPr>
        <w:t>12</w:t>
      </w:r>
      <w:r>
        <w:rPr>
          <w:kern w:val="0"/>
        </w:rPr>
        <w:t xml:space="preserve"> (2), 355-422.</w:t>
      </w:r>
    </w:p>
    <w:p w:rsidR="005C7B8A" w:rsidRPr="00F219CA" w:rsidRDefault="005C7B8A" w:rsidP="005C7B8A">
      <w:pPr>
        <w:pStyle w:val="a3"/>
        <w:rPr>
          <w:kern w:val="0"/>
        </w:rPr>
      </w:pPr>
      <w:r w:rsidRPr="00F219CA">
        <w:rPr>
          <w:kern w:val="0"/>
        </w:rPr>
        <w:t xml:space="preserve">Full Text: </w:t>
      </w:r>
      <w:hyperlink r:id="rId1041" w:history="1">
        <w:r w:rsidRPr="00BB55DD">
          <w:rPr>
            <w:rStyle w:val="a5"/>
            <w:kern w:val="0"/>
          </w:rPr>
          <w:t>2014\App Eco Env Res12, 355.pdf</w:t>
        </w:r>
      </w:hyperlink>
    </w:p>
    <w:p w:rsidR="005C7B8A" w:rsidRDefault="005C7B8A" w:rsidP="005C7B8A">
      <w:pPr>
        <w:pStyle w:val="a3"/>
        <w:rPr>
          <w:kern w:val="0"/>
        </w:rPr>
      </w:pPr>
      <w:r>
        <w:rPr>
          <w:kern w:val="0"/>
        </w:rPr>
        <w:t>Abstract: After giving an overview of climate change induced vegetation shifts in the Palearctic region in our previous paper, in this article we review literature available in Web of Science on North and South America. We study different geographical regions such as Canada, Alaska, California, Southwestern, Eastern and Southeastern USA, the Great Lakes region, the Great Plains, intermontane basins and plateaus, Rocky Mountains and the Cascades as well as Central and South America. We summarize main results of relevant field studies, experiments and model simulations. Predicted environmental changes include temperature increases, altering precipitation patterns, droughts, permafrost thaw and ground subsidence in arctic regions, enhanced El Nino Southern Oscillation, sea level rise, increasing salinity of the vadose zone, snowpack declines and various disturbances. All vegetation types are affected by these changes, to the most important phenomena belong e.g. reduction of arctic and alpine communities, decreasing area of taiga, shrub encroachment in tundra areas, northward expansion of the tree line, reduction in wetland areas, invasion, altering forest regeneration patterns, decrease in dominance of conifer species, increased cover of salt-tolerant plant species in tidal marshes, expansion of grassland, compositional and structural changes of grasslands and forests, drying up of bogs, landward migration of mangroves, savannification of forests, expansion of chaparral as well as upward migration of species in the mountains.</w:t>
      </w:r>
    </w:p>
    <w:p w:rsidR="005C7B8A" w:rsidRDefault="005C7B8A" w:rsidP="005C7B8A">
      <w:pPr>
        <w:pStyle w:val="a3"/>
        <w:rPr>
          <w:kern w:val="0"/>
        </w:rPr>
      </w:pPr>
      <w:r>
        <w:rPr>
          <w:kern w:val="0"/>
        </w:rPr>
        <w:t xml:space="preserve">Keywords: Alaska, Alpine, Altered Rainfall Patterns, Article, Basins, Biome, California, </w:t>
      </w:r>
      <w:r>
        <w:rPr>
          <w:kern w:val="0"/>
        </w:rPr>
        <w:lastRenderedPageBreak/>
        <w:t>Canada, Carbon-Dioxide Emissions, Change-Type Drought, Changes, Climate, Climate Change, Conterminous United-States, Distribution, Disturbances, Eastern North-America, El, El Nino, Environmental, Environmental Changes, Everglades National-Park, Experiments, Field, Forest, Forests, Global Warming, Grassland, Great Lakes, Greater Yellowstone Ecosystem, Impacts, Induced, Lakes, Literature, Migration, Model, North, Overview, Plant, Plant Community, Plant-Species Composition, Precipitation, Reduction, Regeneration, Region, Review, Review Literature, Salinity, Science, Secondary Succession Rates, South America, Species, Taxodium-Distichum Swamps, Temperature, USA, Vadose Zone, Vegetation, Vegetation Distribution, Vegetation Zone, Web Of Science, Wetland</w:t>
      </w:r>
    </w:p>
    <w:p w:rsidR="003474F2" w:rsidRPr="001A3D2B" w:rsidRDefault="003474F2" w:rsidP="003474F2">
      <w:pPr>
        <w:pStyle w:val="1"/>
      </w:pPr>
      <w:r w:rsidRPr="001A3D2B">
        <w:br w:type="page"/>
      </w:r>
      <w:bookmarkStart w:id="534" w:name="_Toc420814549"/>
      <w:r w:rsidRPr="001A3D2B">
        <w:lastRenderedPageBreak/>
        <w:t>Title: Applied Economics</w:t>
      </w:r>
      <w:bookmarkEnd w:id="534"/>
    </w:p>
    <w:p w:rsidR="003474F2" w:rsidRPr="001A3D2B" w:rsidRDefault="003474F2" w:rsidP="003474F2">
      <w:pPr>
        <w:pStyle w:val="12"/>
      </w:pPr>
      <w:r w:rsidRPr="001A3D2B">
        <w:t xml:space="preserve">Full Journal Title: </w:t>
      </w:r>
      <w:r w:rsidR="00206C8A">
        <w:fldChar w:fldCharType="begin"/>
      </w:r>
      <w:bookmarkStart w:id="535" w:name="_Toc81215618"/>
      <w:bookmarkStart w:id="536" w:name="_Toc43634534"/>
      <w:r w:rsidR="00FD158B">
        <w:instrText>HYPERLINK "http://ejourn</w:instrText>
      </w:r>
      <w:bookmarkEnd w:id="535"/>
      <w:bookmarkEnd w:id="536"/>
      <w:r w:rsidR="00FD158B">
        <w:instrText>als.ebsco.com/Journal.asp?JournalID=101477"</w:instrText>
      </w:r>
      <w:r w:rsidR="00206C8A">
        <w:fldChar w:fldCharType="separate"/>
      </w:r>
      <w:r w:rsidRPr="001A3D2B">
        <w:rPr>
          <w:rStyle w:val="a5"/>
          <w:szCs w:val="10"/>
        </w:rPr>
        <w:t>Applied Economics</w:t>
      </w:r>
      <w:r w:rsidR="00206C8A">
        <w:fldChar w:fldCharType="end"/>
      </w:r>
    </w:p>
    <w:p w:rsidR="003474F2" w:rsidRPr="001A3D2B" w:rsidRDefault="003474F2" w:rsidP="003474F2">
      <w:pPr>
        <w:pStyle w:val="12"/>
      </w:pPr>
      <w:r w:rsidRPr="001A3D2B">
        <w:t>ISO Abbreviated Title: Appl. Econ.</w:t>
      </w:r>
    </w:p>
    <w:p w:rsidR="003474F2" w:rsidRPr="001A3D2B" w:rsidRDefault="003474F2" w:rsidP="003474F2">
      <w:pPr>
        <w:pStyle w:val="12"/>
      </w:pPr>
      <w:r w:rsidRPr="001A3D2B">
        <w:t>JCR Abbreviated Title: Appl Econ</w:t>
      </w:r>
    </w:p>
    <w:p w:rsidR="003474F2" w:rsidRPr="001A3D2B" w:rsidRDefault="003474F2" w:rsidP="003474F2">
      <w:pPr>
        <w:pStyle w:val="12"/>
      </w:pPr>
      <w:r w:rsidRPr="001A3D2B">
        <w:t>ISSN: 0003-6846</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Routledge</w:t>
      </w:r>
    </w:p>
    <w:p w:rsidR="003474F2" w:rsidRPr="001A3D2B" w:rsidRDefault="003474F2" w:rsidP="003474F2">
      <w:pPr>
        <w:pStyle w:val="12"/>
      </w:pPr>
      <w:r w:rsidRPr="001A3D2B">
        <w:t xml:space="preserve">Publisher Address: Customer Services Dept, </w:t>
      </w:r>
      <w:smartTag w:uri="urn:schemas-microsoft-com:office:smarttags" w:element="Street">
        <w:smartTag w:uri="urn:schemas-microsoft-com:office:smarttags" w:element="address">
          <w:r w:rsidRPr="001A3D2B">
            <w:t>Rankine Rd</w:t>
          </w:r>
        </w:smartTag>
      </w:smartTag>
      <w:r w:rsidRPr="001A3D2B">
        <w:t xml:space="preserve">, Basingstoke, </w:t>
      </w:r>
      <w:smartTag w:uri="urn:schemas-microsoft-com:office:smarttags" w:element="place">
        <w:smartTag w:uri="urn:schemas-microsoft-com:office:smarttags" w:element="City">
          <w:r w:rsidRPr="001A3D2B">
            <w:t>Hants</w:t>
          </w:r>
        </w:smartTag>
        <w:r w:rsidRPr="001A3D2B">
          <w:t xml:space="preserve"> </w:t>
        </w:r>
        <w:smartTag w:uri="urn:schemas-microsoft-com:office:smarttags" w:element="PostalCode">
          <w:r w:rsidRPr="001A3D2B">
            <w:t>RG24 8PR</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Economics: Impact Factor 0.170,/(2001) </w:t>
      </w:r>
      <w:r w:rsidR="00D5664A">
        <w:t>SSCI</w:t>
      </w:r>
    </w:p>
    <w:p w:rsidR="003474F2" w:rsidRPr="001A3D2B" w:rsidRDefault="003474F2" w:rsidP="003474F2">
      <w:pPr>
        <w:pStyle w:val="a3"/>
      </w:pPr>
      <w:r w:rsidRPr="001A3D2B">
        <w:t>Notes: TTopic</w:t>
      </w:r>
    </w:p>
    <w:p w:rsidR="003474F2" w:rsidRPr="001A3D2B" w:rsidRDefault="003474F2" w:rsidP="003474F2">
      <w:pPr>
        <w:pStyle w:val="a3"/>
      </w:pPr>
      <w:r w:rsidRPr="001A3D2B">
        <w:rPr>
          <w:szCs w:val="11"/>
        </w:rPr>
        <w:t>García-Castrillo, P., Montañés, A.</w:t>
      </w:r>
      <w:r w:rsidR="005853A9">
        <w:rPr>
          <w:szCs w:val="11"/>
        </w:rPr>
        <w:t xml:space="preserve"> and </w:t>
      </w:r>
      <w:r w:rsidRPr="001A3D2B">
        <w:rPr>
          <w:szCs w:val="11"/>
        </w:rPr>
        <w:t>Sanz-Gracia, F.</w:t>
      </w:r>
      <w:r w:rsidRPr="001A3D2B">
        <w:t xml:space="preserve"> (2002), </w:t>
      </w:r>
      <w:r w:rsidRPr="001A3D2B">
        <w:rPr>
          <w:szCs w:val="11"/>
        </w:rPr>
        <w:t>A worldwide assessment</w:t>
      </w:r>
      <w:r w:rsidR="00427468">
        <w:rPr>
          <w:szCs w:val="11"/>
        </w:rPr>
        <w:t xml:space="preserve"> of </w:t>
      </w:r>
      <w:r w:rsidRPr="001A3D2B">
        <w:rPr>
          <w:szCs w:val="11"/>
        </w:rPr>
        <w:t>scientific production in economics (1992–1997)</w:t>
      </w:r>
      <w:r w:rsidRPr="001A3D2B">
        <w:t xml:space="preserve">. </w:t>
      </w:r>
      <w:r w:rsidRPr="001A3D2B">
        <w:rPr>
          <w:i/>
          <w:iCs/>
          <w:szCs w:val="10"/>
        </w:rPr>
        <w:t>Applied Economics</w:t>
      </w:r>
      <w:r w:rsidRPr="001A3D2B">
        <w:t xml:space="preserve">, </w:t>
      </w:r>
      <w:r w:rsidRPr="001A3D2B">
        <w:rPr>
          <w:b/>
        </w:rPr>
        <w:t>34</w:t>
      </w:r>
      <w:r w:rsidRPr="001A3D2B">
        <w:t xml:space="preserve"> (12), </w:t>
      </w:r>
      <w:r w:rsidRPr="001A3D2B">
        <w:rPr>
          <w:szCs w:val="10"/>
        </w:rPr>
        <w:t>1453-1475</w:t>
      </w:r>
      <w:r w:rsidRPr="001A3D2B">
        <w:t>.</w:t>
      </w:r>
    </w:p>
    <w:p w:rsidR="003474F2" w:rsidRPr="001A3D2B" w:rsidRDefault="003474F2" w:rsidP="003474F2">
      <w:pPr>
        <w:pStyle w:val="a3"/>
      </w:pPr>
      <w:r w:rsidRPr="001A3D2B">
        <w:t xml:space="preserve">Full Text: </w:t>
      </w:r>
      <w:hyperlink r:id="rId1042" w:history="1">
        <w:r w:rsidRPr="001A3D2B">
          <w:rPr>
            <w:rStyle w:val="a5"/>
          </w:rPr>
          <w:t>2002\App Eco34, 1453.pdf</w:t>
        </w:r>
      </w:hyperlink>
    </w:p>
    <w:p w:rsidR="003474F2" w:rsidRPr="001A3D2B" w:rsidRDefault="003474F2" w:rsidP="003474F2">
      <w:pPr>
        <w:pStyle w:val="a3"/>
      </w:pPr>
      <w:r w:rsidRPr="001A3D2B">
        <w:rPr>
          <w:szCs w:val="10"/>
        </w:rPr>
        <w:t>Abstract:</w:t>
      </w:r>
      <w:r w:rsidR="003A1917">
        <w:rPr>
          <w:szCs w:val="10"/>
        </w:rPr>
        <w:t xml:space="preserve"> the </w:t>
      </w:r>
      <w:r w:rsidRPr="001A3D2B">
        <w:rPr>
          <w:szCs w:val="10"/>
        </w:rPr>
        <w:t>aim</w:t>
      </w:r>
      <w:r w:rsidR="00427468">
        <w:rPr>
          <w:szCs w:val="10"/>
        </w:rPr>
        <w:t xml:space="preserve"> of </w:t>
      </w:r>
      <w:r w:rsidRPr="001A3D2B">
        <w:rPr>
          <w:szCs w:val="10"/>
        </w:rPr>
        <w:t>this article is to analyse</w:t>
      </w:r>
      <w:r w:rsidR="003A1917">
        <w:rPr>
          <w:szCs w:val="10"/>
        </w:rPr>
        <w:t xml:space="preserve"> the </w:t>
      </w:r>
      <w:r w:rsidRPr="001A3D2B">
        <w:rPr>
          <w:szCs w:val="10"/>
        </w:rPr>
        <w:t>worldwide production in economics. To that end, bibliometric indicators are constructed by way</w:t>
      </w:r>
      <w:r w:rsidR="00427468">
        <w:rPr>
          <w:szCs w:val="10"/>
        </w:rPr>
        <w:t xml:space="preserve"> of </w:t>
      </w:r>
      <w:r w:rsidRPr="001A3D2B">
        <w:rPr>
          <w:szCs w:val="10"/>
        </w:rPr>
        <w:t>a database made-up</w:t>
      </w:r>
      <w:r w:rsidR="00427468">
        <w:rPr>
          <w:szCs w:val="10"/>
        </w:rPr>
        <w:t xml:space="preserve"> of </w:t>
      </w:r>
      <w:r w:rsidRPr="001A3D2B">
        <w:rPr>
          <w:szCs w:val="10"/>
        </w:rPr>
        <w:t>55 international journals, covering</w:t>
      </w:r>
      <w:r w:rsidR="003A1917">
        <w:rPr>
          <w:szCs w:val="10"/>
        </w:rPr>
        <w:t xml:space="preserve"> the </w:t>
      </w:r>
      <w:r w:rsidRPr="001A3D2B">
        <w:rPr>
          <w:szCs w:val="10"/>
        </w:rPr>
        <w:t>period 1992–1997. A ranking</w:t>
      </w:r>
      <w:r w:rsidR="00427468">
        <w:rPr>
          <w:szCs w:val="10"/>
        </w:rPr>
        <w:t xml:space="preserve"> of </w:t>
      </w:r>
      <w:r w:rsidR="003A1917">
        <w:rPr>
          <w:szCs w:val="10"/>
        </w:rPr>
        <w:t xml:space="preserve">the </w:t>
      </w:r>
      <w:r w:rsidRPr="001A3D2B">
        <w:rPr>
          <w:szCs w:val="10"/>
        </w:rPr>
        <w:t>leading tho</w:t>
      </w:r>
      <w:r w:rsidR="00D5664A">
        <w:rPr>
          <w:szCs w:val="10"/>
        </w:rPr>
        <w:t>USA</w:t>
      </w:r>
      <w:r w:rsidRPr="001A3D2B">
        <w:rPr>
          <w:szCs w:val="10"/>
        </w:rPr>
        <w:t>nd international affiliations is established</w:t>
      </w:r>
      <w:r w:rsidR="005853A9">
        <w:rPr>
          <w:szCs w:val="10"/>
        </w:rPr>
        <w:t xml:space="preserve"> and </w:t>
      </w:r>
      <w:r w:rsidRPr="001A3D2B">
        <w:rPr>
          <w:szCs w:val="10"/>
        </w:rPr>
        <w:t>quality indices</w:t>
      </w:r>
      <w:r w:rsidR="00427468">
        <w:rPr>
          <w:szCs w:val="10"/>
        </w:rPr>
        <w:t xml:space="preserve"> of </w:t>
      </w:r>
      <w:r w:rsidR="003A1917">
        <w:rPr>
          <w:szCs w:val="10"/>
        </w:rPr>
        <w:t xml:space="preserve">the </w:t>
      </w:r>
      <w:r w:rsidRPr="001A3D2B">
        <w:rPr>
          <w:szCs w:val="10"/>
        </w:rPr>
        <w:t>first 200 are presented. Finally, a detailed analysis is carried out at country level</w:t>
      </w:r>
      <w:r w:rsidR="005853A9">
        <w:rPr>
          <w:szCs w:val="10"/>
        </w:rPr>
        <w:t xml:space="preserve"> and </w:t>
      </w:r>
      <w:r w:rsidRPr="001A3D2B">
        <w:rPr>
          <w:szCs w:val="10"/>
        </w:rPr>
        <w:t>with respect to</w:t>
      </w:r>
      <w:r w:rsidR="003A1917">
        <w:rPr>
          <w:szCs w:val="10"/>
        </w:rPr>
        <w:t xml:space="preserve"> the </w:t>
      </w:r>
      <w:r w:rsidRPr="001A3D2B">
        <w:rPr>
          <w:szCs w:val="10"/>
        </w:rPr>
        <w:t>12 leading countries.</w:t>
      </w:r>
    </w:p>
    <w:p w:rsidR="00F44FF1" w:rsidRDefault="00F44FF1" w:rsidP="00F44FF1">
      <w:pPr>
        <w:pStyle w:val="a3"/>
        <w:rPr>
          <w:kern w:val="0"/>
        </w:rPr>
      </w:pPr>
      <w:r>
        <w:rPr>
          <w:rFonts w:hint="eastAsia"/>
          <w:kern w:val="0"/>
        </w:rPr>
        <w:t xml:space="preserve">? </w:t>
      </w:r>
      <w:r>
        <w:rPr>
          <w:kern w:val="0"/>
        </w:rPr>
        <w:t>Barrett, C.B., Olia, A.</w:t>
      </w:r>
      <w:r w:rsidR="005853A9">
        <w:rPr>
          <w:kern w:val="0"/>
        </w:rPr>
        <w:t xml:space="preserve"> and </w:t>
      </w:r>
      <w:r>
        <w:rPr>
          <w:kern w:val="0"/>
        </w:rPr>
        <w:t xml:space="preserve">Von Bailey, D. (2000), Subdiscipline-specific journal rankings: Whither </w:t>
      </w:r>
      <w:r w:rsidRPr="00F44FF1">
        <w:rPr>
          <w:i/>
          <w:kern w:val="0"/>
        </w:rPr>
        <w:t>Applied Economics</w:t>
      </w:r>
      <w:r>
        <w:rPr>
          <w:kern w:val="0"/>
        </w:rPr>
        <w:t xml:space="preserve">? </w:t>
      </w:r>
      <w:r>
        <w:rPr>
          <w:i/>
          <w:iCs/>
          <w:kern w:val="0"/>
        </w:rPr>
        <w:t>Applied Economics</w:t>
      </w:r>
      <w:r>
        <w:rPr>
          <w:kern w:val="0"/>
        </w:rPr>
        <w:t xml:space="preserve">, </w:t>
      </w:r>
      <w:r>
        <w:rPr>
          <w:b/>
          <w:bCs/>
          <w:kern w:val="0"/>
        </w:rPr>
        <w:t>32</w:t>
      </w:r>
      <w:r>
        <w:rPr>
          <w:kern w:val="0"/>
        </w:rPr>
        <w:t xml:space="preserve"> (2), 239-252.</w:t>
      </w:r>
    </w:p>
    <w:p w:rsidR="00F44FF1" w:rsidRPr="001A3D2B" w:rsidRDefault="00F44FF1" w:rsidP="00F44FF1">
      <w:pPr>
        <w:pStyle w:val="a3"/>
      </w:pPr>
      <w:r w:rsidRPr="001A3D2B">
        <w:t xml:space="preserve">Full Text: </w:t>
      </w:r>
      <w:hyperlink r:id="rId1043" w:history="1">
        <w:r w:rsidRPr="00F44FF1">
          <w:rPr>
            <w:rStyle w:val="a5"/>
          </w:rPr>
          <w:t>2000\App Eco32, 239.pdf</w:t>
        </w:r>
      </w:hyperlink>
    </w:p>
    <w:p w:rsidR="00F44FF1" w:rsidRDefault="00F44FF1" w:rsidP="00F44FF1">
      <w:pPr>
        <w:pStyle w:val="a3"/>
        <w:rPr>
          <w:kern w:val="0"/>
        </w:rPr>
      </w:pPr>
      <w:r>
        <w:rPr>
          <w:kern w:val="0"/>
        </w:rPr>
        <w:t>Abstract: In light</w:t>
      </w:r>
      <w:r w:rsidR="00427468">
        <w:rPr>
          <w:kern w:val="0"/>
        </w:rPr>
        <w:t xml:space="preserve"> of </w:t>
      </w:r>
      <w:r>
        <w:rPr>
          <w:kern w:val="0"/>
        </w:rPr>
        <w:t>widespread specialization</w:t>
      </w:r>
      <w:r w:rsidR="00427468">
        <w:rPr>
          <w:kern w:val="0"/>
        </w:rPr>
        <w:t xml:space="preserve"> of </w:t>
      </w:r>
      <w:r>
        <w:rPr>
          <w:kern w:val="0"/>
        </w:rPr>
        <w:t>research</w:t>
      </w:r>
      <w:r w:rsidR="005853A9">
        <w:rPr>
          <w:kern w:val="0"/>
        </w:rPr>
        <w:t xml:space="preserve"> and </w:t>
      </w:r>
      <w:r>
        <w:rPr>
          <w:kern w:val="0"/>
        </w:rPr>
        <w:t>teaching, it seems appropriate to supplement</w:t>
      </w:r>
      <w:r w:rsidR="003A1917">
        <w:rPr>
          <w:kern w:val="0"/>
        </w:rPr>
        <w:t xml:space="preserve"> the </w:t>
      </w:r>
      <w:r>
        <w:rPr>
          <w:kern w:val="0"/>
        </w:rPr>
        <w:t>existing general rankings</w:t>
      </w:r>
      <w:r w:rsidR="00427468">
        <w:rPr>
          <w:kern w:val="0"/>
        </w:rPr>
        <w:t xml:space="preserve"> of </w:t>
      </w:r>
      <w:r>
        <w:rPr>
          <w:kern w:val="0"/>
        </w:rPr>
        <w:t>economics journals with subdiscipline-specific rankings. That is</w:t>
      </w:r>
      <w:r w:rsidR="003A1917">
        <w:rPr>
          <w:kern w:val="0"/>
        </w:rPr>
        <w:t xml:space="preserve"> the </w:t>
      </w:r>
      <w:r>
        <w:rPr>
          <w:kern w:val="0"/>
        </w:rPr>
        <w:t>primary objective</w:t>
      </w:r>
      <w:r w:rsidR="00427468">
        <w:rPr>
          <w:kern w:val="0"/>
        </w:rPr>
        <w:t xml:space="preserve"> of </w:t>
      </w:r>
      <w:r>
        <w:rPr>
          <w:kern w:val="0"/>
        </w:rPr>
        <w:t>this paper</w:t>
      </w:r>
      <w:r w:rsidR="00A37C1D">
        <w:rPr>
          <w:kern w:val="0"/>
        </w:rPr>
        <w:t>. The</w:t>
      </w:r>
      <w:r w:rsidR="003A1917">
        <w:rPr>
          <w:kern w:val="0"/>
        </w:rPr>
        <w:t xml:space="preserve"> </w:t>
      </w:r>
      <w:r>
        <w:rPr>
          <w:kern w:val="0"/>
        </w:rPr>
        <w:t>availability</w:t>
      </w:r>
      <w:r w:rsidR="00427468">
        <w:rPr>
          <w:kern w:val="0"/>
        </w:rPr>
        <w:t xml:space="preserve"> of </w:t>
      </w:r>
      <w:r>
        <w:rPr>
          <w:kern w:val="0"/>
        </w:rPr>
        <w:t>subdiscipline-specific rankings also permits both (i) alternative journal ranking methods for</w:t>
      </w:r>
      <w:r w:rsidR="003A1917">
        <w:rPr>
          <w:kern w:val="0"/>
        </w:rPr>
        <w:t xml:space="preserve"> the </w:t>
      </w:r>
      <w:r>
        <w:rPr>
          <w:kern w:val="0"/>
        </w:rPr>
        <w:t>general discipline that account for</w:t>
      </w:r>
      <w:r w:rsidR="003A1917">
        <w:rPr>
          <w:kern w:val="0"/>
        </w:rPr>
        <w:t xml:space="preserve"> the </w:t>
      </w:r>
      <w:r>
        <w:rPr>
          <w:kern w:val="0"/>
        </w:rPr>
        <w:t>breadth</w:t>
      </w:r>
      <w:r w:rsidR="00427468">
        <w:rPr>
          <w:kern w:val="0"/>
        </w:rPr>
        <w:t xml:space="preserve"> of </w:t>
      </w:r>
      <w:r>
        <w:rPr>
          <w:kern w:val="0"/>
        </w:rPr>
        <w:t>a journal</w:t>
      </w:r>
      <w:r w:rsidR="00700038">
        <w:rPr>
          <w:kern w:val="0"/>
        </w:rPr>
        <w:t>’</w:t>
      </w:r>
      <w:r w:rsidR="00C13DDC">
        <w:rPr>
          <w:kern w:val="0"/>
        </w:rPr>
        <w:t>s</w:t>
      </w:r>
      <w:r>
        <w:rPr>
          <w:kern w:val="0"/>
        </w:rPr>
        <w:t xml:space="preserve"> impact across specialized fields,</w:t>
      </w:r>
      <w:r w:rsidR="005853A9">
        <w:rPr>
          <w:kern w:val="0"/>
        </w:rPr>
        <w:t xml:space="preserve"> and </w:t>
      </w:r>
      <w:r>
        <w:rPr>
          <w:kern w:val="0"/>
        </w:rPr>
        <w:t>(ii) estimation</w:t>
      </w:r>
      <w:r w:rsidR="00427468">
        <w:rPr>
          <w:kern w:val="0"/>
        </w:rPr>
        <w:t xml:space="preserve"> of </w:t>
      </w:r>
      <w:r w:rsidR="003A1917">
        <w:rPr>
          <w:kern w:val="0"/>
        </w:rPr>
        <w:t xml:space="preserve">the </w:t>
      </w:r>
      <w:r>
        <w:rPr>
          <w:kern w:val="0"/>
        </w:rPr>
        <w:t>relative weights implicitly associated with each field in traditional disciplinary journal rankings</w:t>
      </w:r>
      <w:r w:rsidR="00A37C1D">
        <w:rPr>
          <w:kern w:val="0"/>
        </w:rPr>
        <w:t>. The</w:t>
      </w:r>
      <w:r w:rsidR="003A1917">
        <w:rPr>
          <w:kern w:val="0"/>
        </w:rPr>
        <w:t xml:space="preserve"> </w:t>
      </w:r>
      <w:r>
        <w:rPr>
          <w:kern w:val="0"/>
        </w:rPr>
        <w:t>results are robust to</w:t>
      </w:r>
      <w:r w:rsidR="003A1917">
        <w:rPr>
          <w:kern w:val="0"/>
        </w:rPr>
        <w:t xml:space="preserve"> the </w:t>
      </w:r>
      <w:r>
        <w:rPr>
          <w:kern w:val="0"/>
        </w:rPr>
        <w:t>exclusion</w:t>
      </w:r>
      <w:r w:rsidR="00427468">
        <w:rPr>
          <w:kern w:val="0"/>
        </w:rPr>
        <w:t xml:space="preserve"> of </w:t>
      </w:r>
      <w:r>
        <w:rPr>
          <w:kern w:val="0"/>
        </w:rPr>
        <w:t>self-citations.</w:t>
      </w:r>
    </w:p>
    <w:p w:rsidR="00F44FF1" w:rsidRDefault="00F44FF1" w:rsidP="00F44FF1">
      <w:pPr>
        <w:pStyle w:val="a3"/>
        <w:rPr>
          <w:kern w:val="0"/>
        </w:rPr>
      </w:pPr>
      <w:r>
        <w:rPr>
          <w:kern w:val="0"/>
        </w:rPr>
        <w:t>Keywords: Journals, Relative Impacts, Research, Self-Citations</w:t>
      </w:r>
    </w:p>
    <w:p w:rsidR="00A63E1E" w:rsidRDefault="00A63E1E" w:rsidP="00A63E1E">
      <w:pPr>
        <w:pStyle w:val="a3"/>
        <w:rPr>
          <w:kern w:val="0"/>
        </w:rPr>
      </w:pPr>
      <w:r>
        <w:rPr>
          <w:rFonts w:hint="eastAsia"/>
          <w:kern w:val="0"/>
        </w:rPr>
        <w:t xml:space="preserve">? </w:t>
      </w:r>
      <w:r>
        <w:rPr>
          <w:kern w:val="0"/>
        </w:rPr>
        <w:t>Schubert, T.</w:t>
      </w:r>
      <w:r w:rsidR="005853A9">
        <w:rPr>
          <w:kern w:val="0"/>
        </w:rPr>
        <w:t xml:space="preserve"> and </w:t>
      </w:r>
      <w:r>
        <w:rPr>
          <w:kern w:val="0"/>
        </w:rPr>
        <w:t>Grupp, H. (2011), Tests</w:t>
      </w:r>
      <w:r w:rsidR="005853A9">
        <w:rPr>
          <w:kern w:val="0"/>
        </w:rPr>
        <w:t xml:space="preserve"> and </w:t>
      </w:r>
      <w:r>
        <w:rPr>
          <w:kern w:val="0"/>
        </w:rPr>
        <w:t>confidence intervals for a class</w:t>
      </w:r>
      <w:r w:rsidR="00427468">
        <w:rPr>
          <w:kern w:val="0"/>
        </w:rPr>
        <w:t xml:space="preserve"> of </w:t>
      </w:r>
      <w:r>
        <w:rPr>
          <w:kern w:val="0"/>
        </w:rPr>
        <w:lastRenderedPageBreak/>
        <w:t>scientometric, technological</w:t>
      </w:r>
      <w:r w:rsidR="005853A9">
        <w:rPr>
          <w:kern w:val="0"/>
        </w:rPr>
        <w:t xml:space="preserve"> and </w:t>
      </w:r>
      <w:r>
        <w:rPr>
          <w:kern w:val="0"/>
        </w:rPr>
        <w:t xml:space="preserve">economic specialization ratios. </w:t>
      </w:r>
      <w:r>
        <w:rPr>
          <w:i/>
          <w:iCs/>
          <w:kern w:val="0"/>
        </w:rPr>
        <w:t>Applied Economics</w:t>
      </w:r>
      <w:r>
        <w:rPr>
          <w:kern w:val="0"/>
        </w:rPr>
        <w:t xml:space="preserve">, </w:t>
      </w:r>
      <w:r>
        <w:rPr>
          <w:b/>
          <w:bCs/>
          <w:kern w:val="0"/>
        </w:rPr>
        <w:t>43</w:t>
      </w:r>
      <w:r>
        <w:rPr>
          <w:kern w:val="0"/>
        </w:rPr>
        <w:t xml:space="preserve"> (8), 941-950.</w:t>
      </w:r>
    </w:p>
    <w:p w:rsidR="00A63E1E" w:rsidRPr="001A3D2B" w:rsidRDefault="00A63E1E" w:rsidP="00A63E1E">
      <w:pPr>
        <w:pStyle w:val="a3"/>
      </w:pPr>
      <w:r w:rsidRPr="001A3D2B">
        <w:t xml:space="preserve">Full Text: </w:t>
      </w:r>
      <w:hyperlink r:id="rId1044" w:history="1">
        <w:r w:rsidRPr="00A63E1E">
          <w:rPr>
            <w:rStyle w:val="a5"/>
          </w:rPr>
          <w:t>2011\App Eco43, 941.pdf</w:t>
        </w:r>
      </w:hyperlink>
    </w:p>
    <w:p w:rsidR="00A63E1E" w:rsidRDefault="00A63E1E" w:rsidP="00A63E1E">
      <w:pPr>
        <w:pStyle w:val="a3"/>
        <w:rPr>
          <w:kern w:val="0"/>
        </w:rPr>
      </w:pPr>
      <w:r>
        <w:rPr>
          <w:kern w:val="0"/>
        </w:rPr>
        <w:t>Abstract: In economic, scientometric</w:t>
      </w:r>
      <w:r w:rsidR="005853A9">
        <w:rPr>
          <w:kern w:val="0"/>
        </w:rPr>
        <w:t xml:space="preserve"> and </w:t>
      </w:r>
      <w:r>
        <w:rPr>
          <w:kern w:val="0"/>
        </w:rPr>
        <w:t>innovation research, often so-called specialization indices are used</w:t>
      </w:r>
      <w:r w:rsidR="00A37C1D">
        <w:rPr>
          <w:kern w:val="0"/>
        </w:rPr>
        <w:t>. The</w:t>
      </w:r>
      <w:r>
        <w:rPr>
          <w:kern w:val="0"/>
        </w:rPr>
        <w:t>se indices measure comparative strengths or weaknesses as well as specialization profiles</w:t>
      </w:r>
      <w:r w:rsidR="00427468">
        <w:rPr>
          <w:kern w:val="0"/>
        </w:rPr>
        <w:t xml:space="preserve"> of </w:t>
      </w:r>
      <w:r w:rsidR="003A1917">
        <w:rPr>
          <w:kern w:val="0"/>
        </w:rPr>
        <w:t xml:space="preserve">the </w:t>
      </w:r>
      <w:r>
        <w:rPr>
          <w:kern w:val="0"/>
        </w:rPr>
        <w:t>observation units with respect to certain criteria, such as patenting</w:t>
      </w:r>
      <w:r w:rsidR="005853A9">
        <w:rPr>
          <w:kern w:val="0"/>
        </w:rPr>
        <w:t xml:space="preserve"> and </w:t>
      </w:r>
      <w:r>
        <w:rPr>
          <w:kern w:val="0"/>
        </w:rPr>
        <w:t>publication or trade activities</w:t>
      </w:r>
      <w:r w:rsidR="00A37C1D">
        <w:rPr>
          <w:kern w:val="0"/>
        </w:rPr>
        <w:t>. The</w:t>
      </w:r>
      <w:r>
        <w:rPr>
          <w:kern w:val="0"/>
        </w:rPr>
        <w:t>y allow question like: is Germany specialized in</w:t>
      </w:r>
      <w:r w:rsidR="003A1917">
        <w:rPr>
          <w:kern w:val="0"/>
        </w:rPr>
        <w:t xml:space="preserve"> the </w:t>
      </w:r>
      <w:r>
        <w:rPr>
          <w:kern w:val="0"/>
        </w:rPr>
        <w:t>export</w:t>
      </w:r>
      <w:r w:rsidR="00427468">
        <w:rPr>
          <w:kern w:val="0"/>
        </w:rPr>
        <w:t xml:space="preserve"> of </w:t>
      </w:r>
      <w:r>
        <w:rPr>
          <w:kern w:val="0"/>
        </w:rPr>
        <w:t>motor vehicles? Or is</w:t>
      </w:r>
      <w:r w:rsidR="003A1917">
        <w:rPr>
          <w:kern w:val="0"/>
        </w:rPr>
        <w:t xml:space="preserve"> the </w:t>
      </w:r>
      <w:r>
        <w:rPr>
          <w:kern w:val="0"/>
        </w:rPr>
        <w:t>UK specialized in biotech patents? Unfortunately, little is known about their statistical properties, which makes valid inferencing difficult. In this article we prove asymptotic normality for a certain class</w:t>
      </w:r>
      <w:r w:rsidR="00427468">
        <w:rPr>
          <w:kern w:val="0"/>
        </w:rPr>
        <w:t xml:space="preserve"> of </w:t>
      </w:r>
      <w:r>
        <w:rPr>
          <w:kern w:val="0"/>
        </w:rPr>
        <w:t>scientometric, technological</w:t>
      </w:r>
      <w:r w:rsidR="005853A9">
        <w:rPr>
          <w:kern w:val="0"/>
        </w:rPr>
        <w:t xml:space="preserve"> and </w:t>
      </w:r>
      <w:r>
        <w:rPr>
          <w:kern w:val="0"/>
        </w:rPr>
        <w:t>some economic, though nonmonetary, specialization indices. We provide asymptotic confidence intervals</w:t>
      </w:r>
      <w:r w:rsidR="005853A9">
        <w:rPr>
          <w:kern w:val="0"/>
        </w:rPr>
        <w:t xml:space="preserve"> and </w:t>
      </w:r>
      <w:r>
        <w:rPr>
          <w:kern w:val="0"/>
        </w:rPr>
        <w:t>demonstrate in an example how to obtain statistically sound results. We will also address</w:t>
      </w:r>
      <w:r w:rsidR="003A1917">
        <w:rPr>
          <w:kern w:val="0"/>
        </w:rPr>
        <w:t xml:space="preserve"> the </w:t>
      </w:r>
      <w:r>
        <w:rPr>
          <w:kern w:val="0"/>
        </w:rPr>
        <w:t>problem</w:t>
      </w:r>
      <w:r w:rsidR="00427468">
        <w:rPr>
          <w:kern w:val="0"/>
        </w:rPr>
        <w:t xml:space="preserve"> of </w:t>
      </w:r>
      <w:r>
        <w:rPr>
          <w:kern w:val="0"/>
        </w:rPr>
        <w:t>normalization</w:t>
      </w:r>
      <w:r w:rsidR="00427468">
        <w:rPr>
          <w:kern w:val="0"/>
        </w:rPr>
        <w:t xml:space="preserve"> of </w:t>
      </w:r>
      <w:r>
        <w:rPr>
          <w:kern w:val="0"/>
        </w:rPr>
        <w:t>these indicators. All procedures proposed are provided in an add on package for R statistical environment.</w:t>
      </w:r>
    </w:p>
    <w:p w:rsidR="00A63E1E" w:rsidRDefault="00A63E1E" w:rsidP="00A63E1E">
      <w:pPr>
        <w:pStyle w:val="a3"/>
        <w:rPr>
          <w:kern w:val="0"/>
        </w:rPr>
      </w:pPr>
      <w:r>
        <w:rPr>
          <w:kern w:val="0"/>
        </w:rPr>
        <w:t>Keywords: Confidence, Confidence Intervals, Criteria, Economic, Environment, Export, Flows, Germany, Impact, Indicators, Indices, Innovation, Innovations, International-Trade, Intervals, Intra-Industry Trade, Measure, Normalization, Observation, Patents, Procedures, Profiles, Publication, Research, Scientometric, Sound, UK</w:t>
      </w:r>
    </w:p>
    <w:p w:rsidR="00912F4E" w:rsidRDefault="00912F4E" w:rsidP="00912F4E">
      <w:pPr>
        <w:pStyle w:val="a3"/>
        <w:rPr>
          <w:kern w:val="0"/>
        </w:rPr>
      </w:pPr>
      <w:r>
        <w:rPr>
          <w:rFonts w:hint="eastAsia"/>
          <w:kern w:val="0"/>
        </w:rPr>
        <w:t xml:space="preserve">? </w:t>
      </w:r>
      <w:r>
        <w:t>Brown, C</w:t>
      </w:r>
      <w:r>
        <w:rPr>
          <w:rFonts w:hint="eastAsia"/>
        </w:rPr>
        <w:t>.</w:t>
      </w:r>
      <w:r>
        <w:t>L</w:t>
      </w:r>
      <w:r>
        <w:rPr>
          <w:rFonts w:hint="eastAsia"/>
        </w:rPr>
        <w:t>.,</w:t>
      </w:r>
      <w:r>
        <w:t xml:space="preserve"> Chan, K</w:t>
      </w:r>
      <w:r>
        <w:rPr>
          <w:rFonts w:hint="eastAsia"/>
        </w:rPr>
        <w:t>.</w:t>
      </w:r>
      <w:r>
        <w:t>C</w:t>
      </w:r>
      <w:r>
        <w:rPr>
          <w:rFonts w:hint="eastAsia"/>
        </w:rPr>
        <w:t>.</w:t>
      </w:r>
      <w:r w:rsidR="005853A9">
        <w:rPr>
          <w:rFonts w:hint="eastAsia"/>
        </w:rPr>
        <w:t xml:space="preserve"> and </w:t>
      </w:r>
      <w:r>
        <w:t>Chen, C</w:t>
      </w:r>
      <w:r>
        <w:rPr>
          <w:rFonts w:hint="eastAsia"/>
        </w:rPr>
        <w:t>.</w:t>
      </w:r>
      <w:r>
        <w:t>R</w:t>
      </w:r>
      <w:r>
        <w:rPr>
          <w:rFonts w:hint="eastAsia"/>
        </w:rPr>
        <w:t>.</w:t>
      </w:r>
      <w:r>
        <w:rPr>
          <w:kern w:val="0"/>
        </w:rPr>
        <w:t xml:space="preserve"> (2011), </w:t>
      </w:r>
      <w:r>
        <w:t>First-author conditions: Evidence from finance journal coauthorship</w:t>
      </w:r>
      <w:r>
        <w:rPr>
          <w:kern w:val="0"/>
        </w:rPr>
        <w:t xml:space="preserve">. </w:t>
      </w:r>
      <w:r>
        <w:rPr>
          <w:i/>
          <w:iCs/>
          <w:kern w:val="0"/>
        </w:rPr>
        <w:t>Applied Economics</w:t>
      </w:r>
      <w:r>
        <w:rPr>
          <w:kern w:val="0"/>
        </w:rPr>
        <w:t xml:space="preserve">, </w:t>
      </w:r>
      <w:r>
        <w:rPr>
          <w:b/>
          <w:bCs/>
          <w:kern w:val="0"/>
        </w:rPr>
        <w:t>43</w:t>
      </w:r>
      <w:r>
        <w:rPr>
          <w:kern w:val="0"/>
        </w:rPr>
        <w:t xml:space="preserve"> (</w:t>
      </w:r>
      <w:r>
        <w:rPr>
          <w:rFonts w:hint="eastAsia"/>
          <w:kern w:val="0"/>
        </w:rPr>
        <w:t>25</w:t>
      </w:r>
      <w:r>
        <w:rPr>
          <w:kern w:val="0"/>
        </w:rPr>
        <w:t xml:space="preserve">), </w:t>
      </w:r>
      <w:r>
        <w:t>3687-3697</w:t>
      </w:r>
      <w:r>
        <w:rPr>
          <w:kern w:val="0"/>
        </w:rPr>
        <w:t>.</w:t>
      </w:r>
    </w:p>
    <w:p w:rsidR="00912F4E" w:rsidRDefault="00912F4E" w:rsidP="00912F4E">
      <w:pPr>
        <w:pStyle w:val="a3"/>
      </w:pPr>
      <w:r w:rsidRPr="001A3D2B">
        <w:t xml:space="preserve">Full Text: </w:t>
      </w:r>
      <w:hyperlink r:id="rId1045" w:history="1">
        <w:r w:rsidRPr="00912F4E">
          <w:rPr>
            <w:rStyle w:val="a5"/>
          </w:rPr>
          <w:t>2011\App Eco43, 3687.pdf</w:t>
        </w:r>
      </w:hyperlink>
    </w:p>
    <w:p w:rsidR="00912F4E" w:rsidRDefault="00912F4E" w:rsidP="00912F4E">
      <w:pPr>
        <w:pStyle w:val="a3"/>
      </w:pPr>
      <w:r>
        <w:t>Abstract: We study</w:t>
      </w:r>
      <w:r w:rsidR="003A1917">
        <w:t xml:space="preserve"> the </w:t>
      </w:r>
      <w:r>
        <w:t>trend</w:t>
      </w:r>
      <w:r w:rsidR="005853A9">
        <w:t xml:space="preserve"> and </w:t>
      </w:r>
      <w:r w:rsidR="003A1917">
        <w:t xml:space="preserve">the </w:t>
      </w:r>
      <w:r>
        <w:t>author name-ordering rule in finance publication using</w:t>
      </w:r>
      <w:r w:rsidR="003A1917">
        <w:t xml:space="preserve"> the </w:t>
      </w:r>
      <w:r>
        <w:t>publication records</w:t>
      </w:r>
      <w:r w:rsidR="00427468">
        <w:t xml:space="preserve"> of </w:t>
      </w:r>
      <w:r>
        <w:t>21 core finance journals during</w:t>
      </w:r>
      <w:r w:rsidR="003A1917">
        <w:t xml:space="preserve"> the </w:t>
      </w:r>
      <w:r>
        <w:t>period from 1990 to 2004. We empirically model</w:t>
      </w:r>
      <w:r w:rsidR="003A1917">
        <w:t xml:space="preserve"> the </w:t>
      </w:r>
      <w:r>
        <w:t>underlying factors that affect</w:t>
      </w:r>
      <w:r w:rsidR="003A1917">
        <w:t xml:space="preserve"> the </w:t>
      </w:r>
      <w:r>
        <w:t>alphabetical ordering rule among multi-authored finance articles. We find that</w:t>
      </w:r>
      <w:r w:rsidR="003A1917">
        <w:t xml:space="preserve"> the </w:t>
      </w:r>
      <w:r>
        <w:t>choice</w:t>
      </w:r>
      <w:r w:rsidR="00427468">
        <w:t xml:space="preserve"> of </w:t>
      </w:r>
      <w:r>
        <w:t>alphabetical ordering is based on</w:t>
      </w:r>
      <w:r w:rsidR="003A1917">
        <w:t xml:space="preserve"> the </w:t>
      </w:r>
      <w:r>
        <w:t>quality</w:t>
      </w:r>
      <w:r w:rsidR="00427468">
        <w:t xml:space="preserve"> of </w:t>
      </w:r>
      <w:r w:rsidR="003A1917">
        <w:t xml:space="preserve">the </w:t>
      </w:r>
      <w:r>
        <w:t>article, institutional heterogeneity, team size</w:t>
      </w:r>
      <w:r w:rsidR="005853A9">
        <w:t xml:space="preserve"> and </w:t>
      </w:r>
      <w:r>
        <w:t>cultural factors</w:t>
      </w:r>
      <w:r w:rsidR="00A37C1D">
        <w:t>. The</w:t>
      </w:r>
      <w:r w:rsidR="003A1917">
        <w:t xml:space="preserve"> </w:t>
      </w:r>
      <w:r>
        <w:t>central argument rests upon</w:t>
      </w:r>
      <w:r w:rsidR="003A1917">
        <w:t xml:space="preserve"> the </w:t>
      </w:r>
      <w:r>
        <w:t>need to signal</w:t>
      </w:r>
      <w:r w:rsidR="005853A9">
        <w:t xml:space="preserve"> and </w:t>
      </w:r>
      <w:r w:rsidR="003A1917">
        <w:t xml:space="preserve">the </w:t>
      </w:r>
      <w:r>
        <w:t>importance</w:t>
      </w:r>
      <w:r w:rsidR="00427468">
        <w:t xml:space="preserve"> of </w:t>
      </w:r>
      <w:r>
        <w:t>signalling within</w:t>
      </w:r>
      <w:r w:rsidR="003A1917">
        <w:t xml:space="preserve"> the </w:t>
      </w:r>
      <w:r>
        <w:t>context</w:t>
      </w:r>
      <w:r w:rsidR="00427468">
        <w:t xml:space="preserve"> of </w:t>
      </w:r>
      <w:r>
        <w:t>bargaining behaviour among coauthors</w:t>
      </w:r>
      <w:r w:rsidR="00A37C1D">
        <w:t>. The</w:t>
      </w:r>
      <w:r w:rsidR="003A1917">
        <w:t xml:space="preserve"> </w:t>
      </w:r>
      <w:r>
        <w:t>probability</w:t>
      </w:r>
      <w:r w:rsidR="00427468">
        <w:t xml:space="preserve"> of </w:t>
      </w:r>
      <w:r>
        <w:t>choosing alphabetical name ordering rule is associated with high article quality, higher ranked institutions, smaller research team</w:t>
      </w:r>
      <w:r w:rsidR="005853A9">
        <w:t xml:space="preserve"> and </w:t>
      </w:r>
      <w:r w:rsidR="003A1917">
        <w:t xml:space="preserve">the </w:t>
      </w:r>
      <w:r>
        <w:t>presence</w:t>
      </w:r>
      <w:r w:rsidR="00427468">
        <w:t xml:space="preserve"> of </w:t>
      </w:r>
      <w:r>
        <w:t>European authors.</w:t>
      </w:r>
    </w:p>
    <w:p w:rsidR="00912F4E" w:rsidRPr="001A3D2B" w:rsidRDefault="00912F4E" w:rsidP="00912F4E">
      <w:pPr>
        <w:pStyle w:val="a3"/>
      </w:pPr>
      <w:r>
        <w:t>Keywords: Co-Authorship, Economics, Patterns</w:t>
      </w:r>
    </w:p>
    <w:p w:rsidR="007809FC" w:rsidRDefault="007809FC" w:rsidP="007809FC">
      <w:pPr>
        <w:pStyle w:val="a3"/>
        <w:rPr>
          <w:kern w:val="0"/>
        </w:rPr>
      </w:pPr>
      <w:r>
        <w:rPr>
          <w:rFonts w:hint="eastAsia"/>
          <w:kern w:val="0"/>
        </w:rPr>
        <w:t xml:space="preserve">? </w:t>
      </w:r>
      <w:r>
        <w:rPr>
          <w:kern w:val="0"/>
        </w:rPr>
        <w:t>Chun-Hao, C.</w:t>
      </w:r>
      <w:r w:rsidR="005853A9">
        <w:rPr>
          <w:kern w:val="0"/>
        </w:rPr>
        <w:t xml:space="preserve"> and </w:t>
      </w:r>
      <w:r>
        <w:rPr>
          <w:kern w:val="0"/>
        </w:rPr>
        <w:t>Jian-Min, Y. (2012), A bibliometric study</w:t>
      </w:r>
      <w:r w:rsidR="00427468">
        <w:rPr>
          <w:kern w:val="0"/>
        </w:rPr>
        <w:t xml:space="preserve"> of </w:t>
      </w:r>
      <w:r>
        <w:rPr>
          <w:kern w:val="0"/>
        </w:rPr>
        <w:t xml:space="preserve">financial risk literature: A historic approach. </w:t>
      </w:r>
      <w:r>
        <w:rPr>
          <w:i/>
          <w:iCs/>
          <w:kern w:val="0"/>
        </w:rPr>
        <w:t>Applied Economics</w:t>
      </w:r>
      <w:r>
        <w:rPr>
          <w:kern w:val="0"/>
        </w:rPr>
        <w:t xml:space="preserve">, </w:t>
      </w:r>
      <w:r>
        <w:rPr>
          <w:b/>
          <w:bCs/>
          <w:kern w:val="0"/>
        </w:rPr>
        <w:t>44</w:t>
      </w:r>
      <w:r>
        <w:rPr>
          <w:kern w:val="0"/>
        </w:rPr>
        <w:t xml:space="preserve"> (22), 2827-2839.</w:t>
      </w:r>
    </w:p>
    <w:p w:rsidR="007809FC" w:rsidRDefault="007809FC" w:rsidP="007809FC">
      <w:pPr>
        <w:pStyle w:val="a3"/>
      </w:pPr>
      <w:r w:rsidRPr="001A3D2B">
        <w:t xml:space="preserve">Full Text: </w:t>
      </w:r>
      <w:hyperlink r:id="rId1046" w:history="1">
        <w:r w:rsidRPr="007809FC">
          <w:rPr>
            <w:rStyle w:val="a5"/>
          </w:rPr>
          <w:t>2012\App Eco44, 2827.pdf</w:t>
        </w:r>
      </w:hyperlink>
    </w:p>
    <w:p w:rsidR="007809FC" w:rsidRDefault="007809FC" w:rsidP="007809FC">
      <w:pPr>
        <w:pStyle w:val="a3"/>
        <w:rPr>
          <w:kern w:val="0"/>
        </w:rPr>
      </w:pPr>
      <w:r>
        <w:rPr>
          <w:kern w:val="0"/>
        </w:rPr>
        <w:t>Abstract: This study probes into</w:t>
      </w:r>
      <w:r w:rsidR="003A1917">
        <w:rPr>
          <w:kern w:val="0"/>
        </w:rPr>
        <w:t xml:space="preserve"> the </w:t>
      </w:r>
      <w:r>
        <w:rPr>
          <w:kern w:val="0"/>
        </w:rPr>
        <w:t>development</w:t>
      </w:r>
      <w:r w:rsidR="00427468">
        <w:rPr>
          <w:kern w:val="0"/>
        </w:rPr>
        <w:t xml:space="preserve"> of </w:t>
      </w:r>
      <w:r>
        <w:rPr>
          <w:kern w:val="0"/>
        </w:rPr>
        <w:t>financial risk literatures through</w:t>
      </w:r>
      <w:r w:rsidR="003A1917">
        <w:rPr>
          <w:kern w:val="0"/>
        </w:rPr>
        <w:t xml:space="preserve"> the </w:t>
      </w:r>
      <w:r>
        <w:rPr>
          <w:kern w:val="0"/>
        </w:rPr>
        <w:t>perspective</w:t>
      </w:r>
      <w:r w:rsidR="00427468">
        <w:rPr>
          <w:kern w:val="0"/>
        </w:rPr>
        <w:t xml:space="preserve"> of </w:t>
      </w:r>
      <w:r>
        <w:rPr>
          <w:kern w:val="0"/>
        </w:rPr>
        <w:t>bibliometrics</w:t>
      </w:r>
      <w:r w:rsidR="00A37C1D">
        <w:rPr>
          <w:kern w:val="0"/>
        </w:rPr>
        <w:t>. The</w:t>
      </w:r>
      <w:r w:rsidR="003A1917">
        <w:rPr>
          <w:kern w:val="0"/>
        </w:rPr>
        <w:t xml:space="preserve"> </w:t>
      </w:r>
      <w:r>
        <w:rPr>
          <w:kern w:val="0"/>
        </w:rPr>
        <w:t>research samples were collected from</w:t>
      </w:r>
      <w:r w:rsidR="003A1917">
        <w:rPr>
          <w:kern w:val="0"/>
        </w:rPr>
        <w:t xml:space="preserve"> the </w:t>
      </w:r>
      <w:r>
        <w:rPr>
          <w:kern w:val="0"/>
        </w:rPr>
        <w:t xml:space="preserve">relevant </w:t>
      </w:r>
      <w:r>
        <w:rPr>
          <w:kern w:val="0"/>
        </w:rPr>
        <w:lastRenderedPageBreak/>
        <w:t>international financial business bibliographic databases. A total</w:t>
      </w:r>
      <w:r w:rsidR="00427468">
        <w:rPr>
          <w:kern w:val="0"/>
        </w:rPr>
        <w:t xml:space="preserve"> of </w:t>
      </w:r>
      <w:r>
        <w:rPr>
          <w:kern w:val="0"/>
        </w:rPr>
        <w:t>2727 entries in a span</w:t>
      </w:r>
      <w:r w:rsidR="00427468">
        <w:rPr>
          <w:kern w:val="0"/>
        </w:rPr>
        <w:t xml:space="preserve"> of </w:t>
      </w:r>
      <w:r>
        <w:rPr>
          <w:kern w:val="0"/>
        </w:rPr>
        <w:t>29 years from 1970 to 2009 were collected</w:t>
      </w:r>
      <w:r w:rsidR="005853A9">
        <w:rPr>
          <w:kern w:val="0"/>
        </w:rPr>
        <w:t xml:space="preserve"> and </w:t>
      </w:r>
      <w:r w:rsidR="003A1917">
        <w:rPr>
          <w:kern w:val="0"/>
        </w:rPr>
        <w:t xml:space="preserve">the </w:t>
      </w:r>
      <w:r>
        <w:rPr>
          <w:kern w:val="0"/>
        </w:rPr>
        <w:t>results are summarized as follows: (1)</w:t>
      </w:r>
      <w:r w:rsidR="003A1917">
        <w:rPr>
          <w:kern w:val="0"/>
        </w:rPr>
        <w:t xml:space="preserve"> the </w:t>
      </w:r>
      <w:r>
        <w:rPr>
          <w:kern w:val="0"/>
        </w:rPr>
        <w:t>financial risk literatures under influence</w:t>
      </w:r>
      <w:r w:rsidR="00427468">
        <w:rPr>
          <w:kern w:val="0"/>
        </w:rPr>
        <w:t xml:space="preserve"> of </w:t>
      </w:r>
      <w:r w:rsidR="003A1917">
        <w:rPr>
          <w:kern w:val="0"/>
        </w:rPr>
        <w:t xml:space="preserve">the </w:t>
      </w:r>
      <w:r>
        <w:rPr>
          <w:kern w:val="0"/>
        </w:rPr>
        <w:t>financial turmoil in Asia achieved substantial growth from 1997 to 1998</w:t>
      </w:r>
      <w:r w:rsidR="005853A9">
        <w:rPr>
          <w:kern w:val="0"/>
        </w:rPr>
        <w:t xml:space="preserve"> and </w:t>
      </w:r>
      <w:r>
        <w:rPr>
          <w:kern w:val="0"/>
        </w:rPr>
        <w:t>an exponential growth curve during</w:t>
      </w:r>
      <w:r w:rsidR="003A1917">
        <w:rPr>
          <w:kern w:val="0"/>
        </w:rPr>
        <w:t xml:space="preserve"> the </w:t>
      </w:r>
      <w:r>
        <w:rPr>
          <w:kern w:val="0"/>
        </w:rPr>
        <w:t>global financial turmoil from 2007 to 2009; (2)</w:t>
      </w:r>
      <w:r w:rsidR="003A1917">
        <w:rPr>
          <w:kern w:val="0"/>
        </w:rPr>
        <w:t xml:space="preserve"> the </w:t>
      </w:r>
      <w:r>
        <w:rPr>
          <w:kern w:val="0"/>
        </w:rPr>
        <w:t>literatures were mainly journals</w:t>
      </w:r>
      <w:r w:rsidR="005853A9">
        <w:rPr>
          <w:kern w:val="0"/>
        </w:rPr>
        <w:t xml:space="preserve"> and </w:t>
      </w:r>
      <w:r>
        <w:rPr>
          <w:kern w:val="0"/>
        </w:rPr>
        <w:t>articles written in English; (3)</w:t>
      </w:r>
      <w:r w:rsidR="003A1917">
        <w:rPr>
          <w:kern w:val="0"/>
        </w:rPr>
        <w:t xml:space="preserve"> the </w:t>
      </w:r>
      <w:r>
        <w:rPr>
          <w:kern w:val="0"/>
        </w:rPr>
        <w:t>United States ranked first in sector productivity; (4)</w:t>
      </w:r>
      <w:r w:rsidR="003A1917">
        <w:rPr>
          <w:kern w:val="0"/>
        </w:rPr>
        <w:t xml:space="preserve"> the </w:t>
      </w:r>
      <w:r>
        <w:rPr>
          <w:kern w:val="0"/>
        </w:rPr>
        <w:t>author productivity</w:t>
      </w:r>
      <w:r w:rsidR="00427468">
        <w:rPr>
          <w:kern w:val="0"/>
        </w:rPr>
        <w:t xml:space="preserve"> of </w:t>
      </w:r>
      <w:r w:rsidR="003A1917">
        <w:rPr>
          <w:kern w:val="0"/>
        </w:rPr>
        <w:t xml:space="preserve">the </w:t>
      </w:r>
      <w:r>
        <w:rPr>
          <w:kern w:val="0"/>
        </w:rPr>
        <w:t>financial risks was consistent with</w:t>
      </w:r>
      <w:r w:rsidR="003A1917">
        <w:rPr>
          <w:kern w:val="0"/>
        </w:rPr>
        <w:t xml:space="preserve"> the </w:t>
      </w:r>
      <w:r>
        <w:rPr>
          <w:kern w:val="0"/>
        </w:rPr>
        <w:t>Lotka</w:t>
      </w:r>
      <w:r w:rsidR="00700038">
        <w:rPr>
          <w:kern w:val="0"/>
        </w:rPr>
        <w:t>’</w:t>
      </w:r>
      <w:r>
        <w:rPr>
          <w:kern w:val="0"/>
        </w:rPr>
        <w:t>s Law</w:t>
      </w:r>
      <w:r w:rsidR="005853A9">
        <w:rPr>
          <w:kern w:val="0"/>
        </w:rPr>
        <w:t xml:space="preserve"> and </w:t>
      </w:r>
      <w:r>
        <w:rPr>
          <w:kern w:val="0"/>
        </w:rPr>
        <w:t>(5)</w:t>
      </w:r>
      <w:r w:rsidR="003A1917">
        <w:rPr>
          <w:kern w:val="0"/>
        </w:rPr>
        <w:t xml:space="preserve"> the </w:t>
      </w:r>
      <w:r>
        <w:rPr>
          <w:kern w:val="0"/>
        </w:rPr>
        <w:t>document types</w:t>
      </w:r>
      <w:r w:rsidR="00427468">
        <w:rPr>
          <w:kern w:val="0"/>
        </w:rPr>
        <w:t xml:space="preserve"> of </w:t>
      </w:r>
      <w:r w:rsidR="003A1917">
        <w:rPr>
          <w:kern w:val="0"/>
        </w:rPr>
        <w:t xml:space="preserve">the </w:t>
      </w:r>
      <w:r>
        <w:rPr>
          <w:kern w:val="0"/>
        </w:rPr>
        <w:t>financial risk literatures were mostly dissertation papers on economics</w:t>
      </w:r>
      <w:r w:rsidR="005853A9">
        <w:rPr>
          <w:kern w:val="0"/>
        </w:rPr>
        <w:t xml:space="preserve"> and </w:t>
      </w:r>
      <w:r>
        <w:rPr>
          <w:kern w:val="0"/>
        </w:rPr>
        <w:t>business.</w:t>
      </w:r>
    </w:p>
    <w:p w:rsidR="007809FC" w:rsidRDefault="007809FC" w:rsidP="007809FC">
      <w:pPr>
        <w:pStyle w:val="a3"/>
        <w:rPr>
          <w:kern w:val="0"/>
        </w:rPr>
      </w:pPr>
      <w:r>
        <w:rPr>
          <w:kern w:val="0"/>
        </w:rPr>
        <w:t>Keywords: Approach, Articles, Asia, Author Productivity, Bibliographic Databases, Bibliometric, Bibliometric Study, Bibliometrics, Business, Crisis, Databases, Development, Economics, Financial Risk, First, Global, Growth, International, Journals, Literature, Lotka</w:t>
      </w:r>
      <w:r w:rsidR="00700038">
        <w:rPr>
          <w:kern w:val="0"/>
        </w:rPr>
        <w:t>’</w:t>
      </w:r>
      <w:r>
        <w:rPr>
          <w:kern w:val="0"/>
        </w:rPr>
        <w:t>s Law, Papers, Productivity, Research, Risk, Risks, Sector, United States</w:t>
      </w:r>
    </w:p>
    <w:p w:rsidR="00E02BDB" w:rsidRDefault="00E02BDB" w:rsidP="00E02BDB">
      <w:pPr>
        <w:pStyle w:val="a3"/>
        <w:rPr>
          <w:kern w:val="0"/>
        </w:rPr>
      </w:pPr>
      <w:r>
        <w:rPr>
          <w:rFonts w:hint="eastAsia"/>
          <w:kern w:val="0"/>
        </w:rPr>
        <w:t xml:space="preserve">? </w:t>
      </w:r>
      <w:r>
        <w:rPr>
          <w:kern w:val="0"/>
        </w:rPr>
        <w:t>Moh, F.Y., Lu, H.P.</w:t>
      </w:r>
      <w:r w:rsidR="005853A9">
        <w:rPr>
          <w:kern w:val="0"/>
        </w:rPr>
        <w:t xml:space="preserve"> and </w:t>
      </w:r>
      <w:r>
        <w:rPr>
          <w:kern w:val="0"/>
        </w:rPr>
        <w:t>Lin, B.H. (2012), Contributions to financial crisis research: an assessment</w:t>
      </w:r>
      <w:r w:rsidR="00427468">
        <w:rPr>
          <w:kern w:val="0"/>
        </w:rPr>
        <w:t xml:space="preserve"> of </w:t>
      </w:r>
      <w:r w:rsidR="003A1917">
        <w:rPr>
          <w:kern w:val="0"/>
        </w:rPr>
        <w:t xml:space="preserve">the </w:t>
      </w:r>
      <w:r>
        <w:rPr>
          <w:kern w:val="0"/>
        </w:rPr>
        <w:t xml:space="preserve">literature in Social Science Citation Index journals from 1990 to 2008. </w:t>
      </w:r>
      <w:r>
        <w:rPr>
          <w:i/>
          <w:iCs/>
          <w:kern w:val="0"/>
        </w:rPr>
        <w:t>Applied Economics</w:t>
      </w:r>
      <w:r>
        <w:rPr>
          <w:kern w:val="0"/>
        </w:rPr>
        <w:t xml:space="preserve">, </w:t>
      </w:r>
      <w:r>
        <w:rPr>
          <w:b/>
          <w:bCs/>
          <w:kern w:val="0"/>
        </w:rPr>
        <w:t>44</w:t>
      </w:r>
      <w:r>
        <w:rPr>
          <w:kern w:val="0"/>
        </w:rPr>
        <w:t xml:space="preserve"> (36), 4689-4700.</w:t>
      </w:r>
    </w:p>
    <w:p w:rsidR="00E02BDB" w:rsidRDefault="00E02BDB" w:rsidP="00E02BDB">
      <w:pPr>
        <w:pStyle w:val="a3"/>
      </w:pPr>
      <w:r w:rsidRPr="001A3D2B">
        <w:t xml:space="preserve">Full Text: </w:t>
      </w:r>
      <w:hyperlink r:id="rId1047" w:history="1">
        <w:r w:rsidRPr="00E66649">
          <w:rPr>
            <w:rStyle w:val="a5"/>
          </w:rPr>
          <w:t>2012\App Eco44, 4689.pdf</w:t>
        </w:r>
      </w:hyperlink>
    </w:p>
    <w:p w:rsidR="00E02BDB" w:rsidRDefault="00E02BDB" w:rsidP="00E02BDB">
      <w:pPr>
        <w:pStyle w:val="a3"/>
        <w:rPr>
          <w:kern w:val="0"/>
        </w:rPr>
      </w:pPr>
      <w:r>
        <w:rPr>
          <w:kern w:val="0"/>
        </w:rPr>
        <w:t>Abstract: Research in</w:t>
      </w:r>
      <w:r w:rsidR="003A1917">
        <w:rPr>
          <w:kern w:val="0"/>
        </w:rPr>
        <w:t xml:space="preserve"> the </w:t>
      </w:r>
      <w:r>
        <w:rPr>
          <w:kern w:val="0"/>
        </w:rPr>
        <w:t>field</w:t>
      </w:r>
      <w:r w:rsidR="00427468">
        <w:rPr>
          <w:kern w:val="0"/>
        </w:rPr>
        <w:t xml:space="preserve"> of </w:t>
      </w:r>
      <w:r>
        <w:rPr>
          <w:kern w:val="0"/>
        </w:rPr>
        <w:t>financial crisis has generated a considerable amount</w:t>
      </w:r>
      <w:r w:rsidR="00427468">
        <w:rPr>
          <w:kern w:val="0"/>
        </w:rPr>
        <w:t xml:space="preserve"> of </w:t>
      </w:r>
      <w:r>
        <w:rPr>
          <w:kern w:val="0"/>
        </w:rPr>
        <w:t>literature in</w:t>
      </w:r>
      <w:r w:rsidR="003A1917">
        <w:rPr>
          <w:kern w:val="0"/>
        </w:rPr>
        <w:t xml:space="preserve"> the </w:t>
      </w:r>
      <w:r>
        <w:rPr>
          <w:kern w:val="0"/>
        </w:rPr>
        <w:t>past, yet there has neither been any study to assess</w:t>
      </w:r>
      <w:r w:rsidR="003A1917">
        <w:rPr>
          <w:kern w:val="0"/>
        </w:rPr>
        <w:t xml:space="preserve"> the </w:t>
      </w:r>
      <w:r>
        <w:rPr>
          <w:kern w:val="0"/>
        </w:rPr>
        <w:t>contributions to</w:t>
      </w:r>
      <w:r w:rsidR="003A1917">
        <w:rPr>
          <w:kern w:val="0"/>
        </w:rPr>
        <w:t xml:space="preserve"> the </w:t>
      </w:r>
      <w:r>
        <w:rPr>
          <w:kern w:val="0"/>
        </w:rPr>
        <w:t>literature made by individuals or institutions, nor any to measure</w:t>
      </w:r>
      <w:r w:rsidR="003A1917">
        <w:rPr>
          <w:kern w:val="0"/>
        </w:rPr>
        <w:t xml:space="preserve"> the </w:t>
      </w:r>
      <w:r>
        <w:rPr>
          <w:kern w:val="0"/>
        </w:rPr>
        <w:t>impact</w:t>
      </w:r>
      <w:r w:rsidR="00427468">
        <w:rPr>
          <w:kern w:val="0"/>
        </w:rPr>
        <w:t xml:space="preserve"> of </w:t>
      </w:r>
      <w:r w:rsidR="003A1917">
        <w:rPr>
          <w:kern w:val="0"/>
        </w:rPr>
        <w:t xml:space="preserve">the </w:t>
      </w:r>
      <w:r>
        <w:rPr>
          <w:kern w:val="0"/>
        </w:rPr>
        <w:t>articles</w:t>
      </w:r>
      <w:r w:rsidR="005853A9">
        <w:rPr>
          <w:kern w:val="0"/>
        </w:rPr>
        <w:t xml:space="preserve"> and </w:t>
      </w:r>
      <w:r>
        <w:rPr>
          <w:kern w:val="0"/>
        </w:rPr>
        <w:t>researchers. This study represents an attempt to: (1) investigate</w:t>
      </w:r>
      <w:r w:rsidR="003A1917">
        <w:rPr>
          <w:kern w:val="0"/>
        </w:rPr>
        <w:t xml:space="preserve"> the </w:t>
      </w:r>
      <w:r>
        <w:rPr>
          <w:kern w:val="0"/>
        </w:rPr>
        <w:t>major journals in publishing financial crisis research, (2) assess</w:t>
      </w:r>
      <w:r w:rsidR="003A1917">
        <w:rPr>
          <w:kern w:val="0"/>
        </w:rPr>
        <w:t xml:space="preserve"> the </w:t>
      </w:r>
      <w:r>
        <w:rPr>
          <w:kern w:val="0"/>
        </w:rPr>
        <w:t>contributions</w:t>
      </w:r>
      <w:r w:rsidR="00427468">
        <w:rPr>
          <w:kern w:val="0"/>
        </w:rPr>
        <w:t xml:space="preserve"> of </w:t>
      </w:r>
      <w:r>
        <w:rPr>
          <w:kern w:val="0"/>
        </w:rPr>
        <w:t>individual researchers</w:t>
      </w:r>
      <w:r w:rsidR="005853A9">
        <w:rPr>
          <w:kern w:val="0"/>
        </w:rPr>
        <w:t xml:space="preserve"> and </w:t>
      </w:r>
      <w:r>
        <w:rPr>
          <w:kern w:val="0"/>
        </w:rPr>
        <w:t>institutions using</w:t>
      </w:r>
      <w:r w:rsidR="003A1917">
        <w:rPr>
          <w:kern w:val="0"/>
        </w:rPr>
        <w:t xml:space="preserve"> the </w:t>
      </w:r>
      <w:r>
        <w:rPr>
          <w:kern w:val="0"/>
        </w:rPr>
        <w:t>credited contribution approach</w:t>
      </w:r>
      <w:r w:rsidR="005853A9">
        <w:rPr>
          <w:kern w:val="0"/>
        </w:rPr>
        <w:t xml:space="preserve"> and </w:t>
      </w:r>
      <w:r>
        <w:rPr>
          <w:kern w:val="0"/>
        </w:rPr>
        <w:t>(3) measure</w:t>
      </w:r>
      <w:r w:rsidR="003A1917">
        <w:rPr>
          <w:kern w:val="0"/>
        </w:rPr>
        <w:t xml:space="preserve"> the </w:t>
      </w:r>
      <w:r>
        <w:rPr>
          <w:kern w:val="0"/>
        </w:rPr>
        <w:t>impact</w:t>
      </w:r>
      <w:r w:rsidR="00427468">
        <w:rPr>
          <w:kern w:val="0"/>
        </w:rPr>
        <w:t xml:space="preserve"> of </w:t>
      </w:r>
      <w:r>
        <w:rPr>
          <w:kern w:val="0"/>
        </w:rPr>
        <w:t>individual publications</w:t>
      </w:r>
      <w:r w:rsidR="005853A9">
        <w:rPr>
          <w:kern w:val="0"/>
        </w:rPr>
        <w:t xml:space="preserve"> and </w:t>
      </w:r>
      <w:r>
        <w:rPr>
          <w:kern w:val="0"/>
        </w:rPr>
        <w:t>individual researchers on</w:t>
      </w:r>
      <w:r w:rsidR="003A1917">
        <w:rPr>
          <w:kern w:val="0"/>
        </w:rPr>
        <w:t xml:space="preserve"> the </w:t>
      </w:r>
      <w:r>
        <w:rPr>
          <w:kern w:val="0"/>
        </w:rPr>
        <w:t>financial crisis literature through citation analysis, based on</w:t>
      </w:r>
      <w:r w:rsidR="003A1917">
        <w:rPr>
          <w:kern w:val="0"/>
        </w:rPr>
        <w:t xml:space="preserve"> the </w:t>
      </w:r>
      <w:r>
        <w:rPr>
          <w:kern w:val="0"/>
        </w:rPr>
        <w:t>publications in Social Science Citation Index (</w:t>
      </w:r>
      <w:r w:rsidR="00D5664A">
        <w:rPr>
          <w:kern w:val="0"/>
        </w:rPr>
        <w:t>SSCI</w:t>
      </w:r>
      <w:r>
        <w:rPr>
          <w:kern w:val="0"/>
        </w:rPr>
        <w:t>) journals from 1990 to 2008</w:t>
      </w:r>
      <w:r w:rsidR="00A37C1D">
        <w:rPr>
          <w:kern w:val="0"/>
        </w:rPr>
        <w:t>. The</w:t>
      </w:r>
      <w:r w:rsidR="003A1917">
        <w:rPr>
          <w:kern w:val="0"/>
        </w:rPr>
        <w:t xml:space="preserve"> </w:t>
      </w:r>
      <w:r>
        <w:rPr>
          <w:kern w:val="0"/>
        </w:rPr>
        <w:t>findings provide a useful benchmark for assessing individual</w:t>
      </w:r>
      <w:r w:rsidR="005853A9">
        <w:rPr>
          <w:kern w:val="0"/>
        </w:rPr>
        <w:t xml:space="preserve"> and </w:t>
      </w:r>
      <w:r>
        <w:rPr>
          <w:kern w:val="0"/>
        </w:rPr>
        <w:t>institutional research productivity,</w:t>
      </w:r>
      <w:r w:rsidR="005853A9">
        <w:rPr>
          <w:kern w:val="0"/>
        </w:rPr>
        <w:t xml:space="preserve"> and </w:t>
      </w:r>
      <w:r>
        <w:rPr>
          <w:kern w:val="0"/>
        </w:rPr>
        <w:t>trends for future research</w:t>
      </w:r>
      <w:r w:rsidR="005853A9">
        <w:rPr>
          <w:kern w:val="0"/>
        </w:rPr>
        <w:t xml:space="preserve"> and </w:t>
      </w:r>
      <w:r>
        <w:rPr>
          <w:kern w:val="0"/>
        </w:rPr>
        <w:t>venues for publications are identified.</w:t>
      </w:r>
    </w:p>
    <w:p w:rsidR="00E02BDB" w:rsidRDefault="00E02BDB" w:rsidP="00E02BDB">
      <w:pPr>
        <w:pStyle w:val="a3"/>
        <w:rPr>
          <w:kern w:val="0"/>
        </w:rPr>
      </w:pPr>
      <w:r>
        <w:rPr>
          <w:kern w:val="0"/>
        </w:rPr>
        <w:t xml:space="preserve">Keywords: Analysis, Approach, Articles, Assessing, Assessment, Authors, Banking Crisis, Citation, Citation Analysis, Corporate Governance, Crisis, Currency Crisis, Debt Crisis, Field, Impact, Institutions, International-Business, Journals, Lessons, Literature, Measure, Productivity, Publications, Publishing, Research, Research Productivity, Returns, Science, Science Citation Index, Social Science Citation Index, </w:t>
      </w:r>
      <w:r w:rsidR="00D5664A">
        <w:rPr>
          <w:kern w:val="0"/>
        </w:rPr>
        <w:t>SSCI</w:t>
      </w:r>
      <w:r>
        <w:rPr>
          <w:kern w:val="0"/>
        </w:rPr>
        <w:t>, Trends</w:t>
      </w:r>
    </w:p>
    <w:p w:rsidR="004812C8" w:rsidRPr="00F219CA" w:rsidRDefault="004812C8" w:rsidP="004812C8">
      <w:pPr>
        <w:pStyle w:val="1"/>
      </w:pPr>
      <w:r w:rsidRPr="00F219CA">
        <w:br w:type="page"/>
      </w:r>
      <w:bookmarkStart w:id="537" w:name="_Toc420814550"/>
      <w:r w:rsidRPr="00F219CA">
        <w:lastRenderedPageBreak/>
        <w:t xml:space="preserve">Title: </w:t>
      </w:r>
      <w:r w:rsidRPr="004812C8">
        <w:t>Applied Economics Letters</w:t>
      </w:r>
      <w:bookmarkEnd w:id="537"/>
    </w:p>
    <w:p w:rsidR="004812C8" w:rsidRPr="00F219CA" w:rsidRDefault="004812C8" w:rsidP="004812C8">
      <w:pPr>
        <w:pStyle w:val="12"/>
      </w:pPr>
      <w:r w:rsidRPr="00F219CA">
        <w:t xml:space="preserve">Full Journal Title: </w:t>
      </w:r>
      <w:r w:rsidRPr="004812C8">
        <w:rPr>
          <w:iCs/>
          <w:kern w:val="0"/>
        </w:rPr>
        <w:t>Applied Economics Letters</w:t>
      </w:r>
    </w:p>
    <w:p w:rsidR="004812C8" w:rsidRPr="00F219CA" w:rsidRDefault="004812C8" w:rsidP="004812C8">
      <w:pPr>
        <w:pStyle w:val="12"/>
      </w:pPr>
      <w:r w:rsidRPr="00F219CA">
        <w:t xml:space="preserve">ISO Abbreviated Title: </w:t>
      </w:r>
    </w:p>
    <w:p w:rsidR="004812C8" w:rsidRPr="00F219CA" w:rsidRDefault="004812C8" w:rsidP="004812C8">
      <w:pPr>
        <w:pStyle w:val="12"/>
      </w:pPr>
      <w:r w:rsidRPr="00F219CA">
        <w:t xml:space="preserve">JCR Abbreviated Title: </w:t>
      </w:r>
    </w:p>
    <w:p w:rsidR="004812C8" w:rsidRPr="00F219CA" w:rsidRDefault="004812C8" w:rsidP="004812C8">
      <w:pPr>
        <w:pStyle w:val="12"/>
      </w:pPr>
      <w:r>
        <w:t xml:space="preserve">ISSN: </w:t>
      </w:r>
    </w:p>
    <w:p w:rsidR="004812C8" w:rsidRPr="00F219CA" w:rsidRDefault="004812C8" w:rsidP="004812C8">
      <w:pPr>
        <w:pStyle w:val="12"/>
      </w:pPr>
      <w:r w:rsidRPr="00F219CA">
        <w:t xml:space="preserve">Issues/Year: </w:t>
      </w:r>
    </w:p>
    <w:p w:rsidR="004812C8" w:rsidRPr="00F219CA" w:rsidRDefault="004812C8" w:rsidP="004812C8">
      <w:pPr>
        <w:pStyle w:val="12"/>
      </w:pPr>
      <w:r w:rsidRPr="00F219CA">
        <w:t xml:space="preserve">Journal Country/Territory: </w:t>
      </w:r>
    </w:p>
    <w:p w:rsidR="004812C8" w:rsidRPr="00F219CA" w:rsidRDefault="004812C8" w:rsidP="004812C8">
      <w:pPr>
        <w:pStyle w:val="12"/>
      </w:pPr>
      <w:r w:rsidRPr="00F219CA">
        <w:t xml:space="preserve">Language: </w:t>
      </w:r>
    </w:p>
    <w:p w:rsidR="004812C8" w:rsidRPr="00F219CA" w:rsidRDefault="004812C8" w:rsidP="004812C8">
      <w:pPr>
        <w:pStyle w:val="12"/>
      </w:pPr>
      <w:r w:rsidRPr="00F219CA">
        <w:t xml:space="preserve">Publisher: </w:t>
      </w:r>
    </w:p>
    <w:p w:rsidR="004812C8" w:rsidRPr="00F219CA" w:rsidRDefault="004812C8" w:rsidP="004812C8">
      <w:pPr>
        <w:pStyle w:val="12"/>
      </w:pPr>
      <w:r w:rsidRPr="00F219CA">
        <w:t xml:space="preserve">Publisher Address: </w:t>
      </w:r>
    </w:p>
    <w:p w:rsidR="004812C8" w:rsidRPr="00F219CA" w:rsidRDefault="004812C8" w:rsidP="004812C8">
      <w:pPr>
        <w:pStyle w:val="12"/>
      </w:pPr>
      <w:r w:rsidRPr="00F219CA">
        <w:t xml:space="preserve">Subject Categories: </w:t>
      </w:r>
    </w:p>
    <w:p w:rsidR="004812C8" w:rsidRPr="00F219CA" w:rsidRDefault="004812C8" w:rsidP="004812C8">
      <w:pPr>
        <w:pStyle w:val="12"/>
      </w:pPr>
      <w:r w:rsidRPr="00F219CA">
        <w:t xml:space="preserve">: Impact Factor </w:t>
      </w:r>
    </w:p>
    <w:p w:rsidR="004812C8" w:rsidRDefault="004812C8" w:rsidP="004812C8">
      <w:pPr>
        <w:pStyle w:val="a3"/>
        <w:rPr>
          <w:kern w:val="0"/>
        </w:rPr>
      </w:pPr>
      <w:r>
        <w:rPr>
          <w:rFonts w:hint="eastAsia"/>
          <w:kern w:val="0"/>
        </w:rPr>
        <w:t xml:space="preserve">? </w:t>
      </w:r>
      <w:r>
        <w:rPr>
          <w:kern w:val="0"/>
        </w:rPr>
        <w:t>Cainelli, G., Maggioni, M.A., Uberti, T.E.</w:t>
      </w:r>
      <w:r w:rsidR="005853A9">
        <w:rPr>
          <w:kern w:val="0"/>
        </w:rPr>
        <w:t xml:space="preserve"> and </w:t>
      </w:r>
      <w:r>
        <w:rPr>
          <w:kern w:val="0"/>
        </w:rPr>
        <w:t>de Felice, A. (2012), Co-authorship</w:t>
      </w:r>
      <w:r w:rsidR="005853A9">
        <w:rPr>
          <w:kern w:val="0"/>
        </w:rPr>
        <w:t xml:space="preserve"> and </w:t>
      </w:r>
      <w:r>
        <w:rPr>
          <w:kern w:val="0"/>
        </w:rPr>
        <w:t xml:space="preserve">productivity among Italian economists. </w:t>
      </w:r>
      <w:r w:rsidRPr="004812C8">
        <w:rPr>
          <w:i/>
          <w:iCs/>
          <w:kern w:val="0"/>
        </w:rPr>
        <w:t>Applied Economics Letters</w:t>
      </w:r>
      <w:r>
        <w:rPr>
          <w:kern w:val="0"/>
        </w:rPr>
        <w:t xml:space="preserve">, </w:t>
      </w:r>
      <w:r>
        <w:rPr>
          <w:b/>
          <w:bCs/>
          <w:kern w:val="0"/>
        </w:rPr>
        <w:t>19</w:t>
      </w:r>
      <w:r>
        <w:rPr>
          <w:kern w:val="0"/>
        </w:rPr>
        <w:t xml:space="preserve"> (16), 1609-1613.</w:t>
      </w:r>
    </w:p>
    <w:p w:rsidR="004812C8" w:rsidRDefault="004812C8" w:rsidP="004812C8">
      <w:pPr>
        <w:pStyle w:val="a3"/>
        <w:rPr>
          <w:kern w:val="0"/>
        </w:rPr>
      </w:pPr>
      <w:r>
        <w:rPr>
          <w:rFonts w:hint="eastAsia"/>
          <w:kern w:val="0"/>
        </w:rPr>
        <w:t xml:space="preserve">Full Text: </w:t>
      </w:r>
      <w:hyperlink r:id="rId1048" w:history="1">
        <w:r w:rsidRPr="004812C8">
          <w:rPr>
            <w:rStyle w:val="a5"/>
            <w:kern w:val="0"/>
          </w:rPr>
          <w:t>2012\App Eco Let19, 1609.pdf</w:t>
        </w:r>
      </w:hyperlink>
    </w:p>
    <w:p w:rsidR="004812C8" w:rsidRDefault="004812C8" w:rsidP="004812C8">
      <w:pPr>
        <w:pStyle w:val="a3"/>
        <w:rPr>
          <w:kern w:val="0"/>
        </w:rPr>
      </w:pPr>
      <w:r>
        <w:rPr>
          <w:kern w:val="0"/>
        </w:rPr>
        <w:t>Abstract:</w:t>
      </w:r>
      <w:r w:rsidR="003A1917">
        <w:rPr>
          <w:kern w:val="0"/>
        </w:rPr>
        <w:t xml:space="preserve"> the </w:t>
      </w:r>
      <w:r>
        <w:rPr>
          <w:kern w:val="0"/>
        </w:rPr>
        <w:t>world</w:t>
      </w:r>
      <w:r w:rsidR="00427468">
        <w:rPr>
          <w:kern w:val="0"/>
        </w:rPr>
        <w:t xml:space="preserve"> of </w:t>
      </w:r>
      <w:r>
        <w:rPr>
          <w:kern w:val="0"/>
        </w:rPr>
        <w:t>scientific research has undergone dramatic changes in recent decades</w:t>
      </w:r>
      <w:r w:rsidR="00A37C1D">
        <w:rPr>
          <w:kern w:val="0"/>
        </w:rPr>
        <w:t>. The</w:t>
      </w:r>
      <w:r>
        <w:rPr>
          <w:kern w:val="0"/>
        </w:rPr>
        <w:t>se changes, which likely originated in</w:t>
      </w:r>
      <w:r w:rsidR="003A1917">
        <w:rPr>
          <w:kern w:val="0"/>
        </w:rPr>
        <w:t xml:space="preserve"> the </w:t>
      </w:r>
      <w:r w:rsidR="00700038">
        <w:rPr>
          <w:kern w:val="0"/>
        </w:rPr>
        <w:t>‘</w:t>
      </w:r>
      <w:r>
        <w:rPr>
          <w:kern w:val="0"/>
        </w:rPr>
        <w:t>hard sciences</w:t>
      </w:r>
      <w:r w:rsidR="00700038">
        <w:rPr>
          <w:kern w:val="0"/>
        </w:rPr>
        <w:t>’</w:t>
      </w:r>
      <w:r>
        <w:rPr>
          <w:kern w:val="0"/>
        </w:rPr>
        <w:t xml:space="preserve"> realm, rapidly extended to</w:t>
      </w:r>
      <w:r w:rsidR="003A1917">
        <w:rPr>
          <w:kern w:val="0"/>
        </w:rPr>
        <w:t xml:space="preserve"> the </w:t>
      </w:r>
      <w:r>
        <w:rPr>
          <w:kern w:val="0"/>
        </w:rPr>
        <w:t>social sciences and, in particular, to economics, often seen as bridging these two areas. Increased specialization</w:t>
      </w:r>
      <w:r w:rsidR="005853A9">
        <w:rPr>
          <w:kern w:val="0"/>
        </w:rPr>
        <w:t xml:space="preserve"> and </w:t>
      </w:r>
      <w:r>
        <w:rPr>
          <w:kern w:val="0"/>
        </w:rPr>
        <w:t>extensive collaboration are common behaviours in</w:t>
      </w:r>
      <w:r w:rsidR="003A1917">
        <w:rPr>
          <w:kern w:val="0"/>
        </w:rPr>
        <w:t xml:space="preserve"> the </w:t>
      </w:r>
      <w:r>
        <w:rPr>
          <w:kern w:val="0"/>
        </w:rPr>
        <w:t>scientific community, as well as in</w:t>
      </w:r>
      <w:r w:rsidR="003A1917">
        <w:rPr>
          <w:kern w:val="0"/>
        </w:rPr>
        <w:t xml:space="preserve"> the </w:t>
      </w:r>
      <w:r>
        <w:rPr>
          <w:kern w:val="0"/>
        </w:rPr>
        <w:t>evaluation</w:t>
      </w:r>
      <w:r w:rsidR="00427468">
        <w:rPr>
          <w:kern w:val="0"/>
        </w:rPr>
        <w:t xml:space="preserve"> of </w:t>
      </w:r>
      <w:r>
        <w:rPr>
          <w:kern w:val="0"/>
        </w:rPr>
        <w:t>scientific research based on bibliometric indicators. This article aims to analyse</w:t>
      </w:r>
      <w:r w:rsidR="003A1917">
        <w:rPr>
          <w:kern w:val="0"/>
        </w:rPr>
        <w:t xml:space="preserve"> the </w:t>
      </w:r>
      <w:r>
        <w:rPr>
          <w:kern w:val="0"/>
        </w:rPr>
        <w:t>effect</w:t>
      </w:r>
      <w:r w:rsidR="00427468">
        <w:rPr>
          <w:kern w:val="0"/>
        </w:rPr>
        <w:t xml:space="preserve"> of </w:t>
      </w:r>
      <w:r>
        <w:rPr>
          <w:kern w:val="0"/>
        </w:rPr>
        <w:t>co-authorships on</w:t>
      </w:r>
      <w:r w:rsidR="003A1917">
        <w:rPr>
          <w:kern w:val="0"/>
        </w:rPr>
        <w:t xml:space="preserve"> the </w:t>
      </w:r>
      <w:r>
        <w:rPr>
          <w:kern w:val="0"/>
        </w:rPr>
        <w:t>scientific productivity</w:t>
      </w:r>
      <w:r w:rsidR="00427468">
        <w:rPr>
          <w:kern w:val="0"/>
        </w:rPr>
        <w:t xml:space="preserve"> of </w:t>
      </w:r>
      <w:r>
        <w:rPr>
          <w:kern w:val="0"/>
        </w:rPr>
        <w:t>Italian economists</w:t>
      </w:r>
      <w:r w:rsidR="00A37C1D">
        <w:rPr>
          <w:kern w:val="0"/>
        </w:rPr>
        <w:t>. The</w:t>
      </w:r>
      <w:r w:rsidR="003A1917">
        <w:rPr>
          <w:kern w:val="0"/>
        </w:rPr>
        <w:t xml:space="preserve"> </w:t>
      </w:r>
      <w:r>
        <w:rPr>
          <w:kern w:val="0"/>
        </w:rPr>
        <w:t>empirical analysis is based on an original database using two independent data sources:</w:t>
      </w:r>
      <w:r w:rsidR="003A1917">
        <w:rPr>
          <w:kern w:val="0"/>
        </w:rPr>
        <w:t xml:space="preserve"> the </w:t>
      </w:r>
      <w:r>
        <w:rPr>
          <w:kern w:val="0"/>
        </w:rPr>
        <w:t>Econlit database</w:t>
      </w:r>
      <w:r w:rsidR="00427468">
        <w:rPr>
          <w:kern w:val="0"/>
        </w:rPr>
        <w:t xml:space="preserve"> of </w:t>
      </w:r>
      <w:r w:rsidR="003A1917">
        <w:rPr>
          <w:kern w:val="0"/>
        </w:rPr>
        <w:t xml:space="preserve">the </w:t>
      </w:r>
      <w:r>
        <w:rPr>
          <w:kern w:val="0"/>
        </w:rPr>
        <w:t>American Economic Association</w:t>
      </w:r>
      <w:r w:rsidR="005853A9">
        <w:rPr>
          <w:kern w:val="0"/>
        </w:rPr>
        <w:t xml:space="preserve"> and </w:t>
      </w:r>
      <w:r w:rsidR="003A1917">
        <w:rPr>
          <w:kern w:val="0"/>
        </w:rPr>
        <w:t xml:space="preserve">the </w:t>
      </w:r>
      <w:r>
        <w:rPr>
          <w:kern w:val="0"/>
        </w:rPr>
        <w:t>official database</w:t>
      </w:r>
      <w:r w:rsidR="00427468">
        <w:rPr>
          <w:kern w:val="0"/>
        </w:rPr>
        <w:t xml:space="preserve"> of </w:t>
      </w:r>
      <w:r w:rsidR="003A1917">
        <w:rPr>
          <w:kern w:val="0"/>
        </w:rPr>
        <w:t xml:space="preserve">the </w:t>
      </w:r>
      <w:r>
        <w:rPr>
          <w:kern w:val="0"/>
        </w:rPr>
        <w:t>Italian Ministry</w:t>
      </w:r>
      <w:r w:rsidR="00427468">
        <w:rPr>
          <w:kern w:val="0"/>
        </w:rPr>
        <w:t xml:space="preserve"> of </w:t>
      </w:r>
      <w:r>
        <w:rPr>
          <w:kern w:val="0"/>
        </w:rPr>
        <w:t>Universities</w:t>
      </w:r>
      <w:r w:rsidR="005853A9">
        <w:rPr>
          <w:kern w:val="0"/>
        </w:rPr>
        <w:t xml:space="preserve"> and </w:t>
      </w:r>
      <w:r>
        <w:rPr>
          <w:kern w:val="0"/>
        </w:rPr>
        <w:t>Research. Using econometric methods we explain</w:t>
      </w:r>
      <w:r w:rsidR="003A1917">
        <w:rPr>
          <w:kern w:val="0"/>
        </w:rPr>
        <w:t xml:space="preserve"> the </w:t>
      </w:r>
      <w:r>
        <w:rPr>
          <w:kern w:val="0"/>
        </w:rPr>
        <w:t>productivity</w:t>
      </w:r>
      <w:r w:rsidR="00427468">
        <w:rPr>
          <w:kern w:val="0"/>
        </w:rPr>
        <w:t xml:space="preserve"> of </w:t>
      </w:r>
      <w:r>
        <w:rPr>
          <w:kern w:val="0"/>
        </w:rPr>
        <w:t>individual Italian economists in terms</w:t>
      </w:r>
      <w:r w:rsidR="00427468">
        <w:rPr>
          <w:kern w:val="0"/>
        </w:rPr>
        <w:t xml:space="preserve"> of </w:t>
      </w:r>
      <w:r w:rsidR="00700038">
        <w:rPr>
          <w:kern w:val="0"/>
        </w:rPr>
        <w:t>‘</w:t>
      </w:r>
      <w:r>
        <w:rPr>
          <w:kern w:val="0"/>
        </w:rPr>
        <w:t>attributional</w:t>
      </w:r>
      <w:r w:rsidR="00700038">
        <w:rPr>
          <w:kern w:val="0"/>
        </w:rPr>
        <w:t>’</w:t>
      </w:r>
      <w:r>
        <w:rPr>
          <w:kern w:val="0"/>
        </w:rPr>
        <w:t xml:space="preserve"> variables (such as age, gender, academic position, tenure, scientific sub-discipline</w:t>
      </w:r>
      <w:r w:rsidR="005853A9">
        <w:rPr>
          <w:kern w:val="0"/>
        </w:rPr>
        <w:t xml:space="preserve"> and </w:t>
      </w:r>
      <w:r>
        <w:rPr>
          <w:kern w:val="0"/>
        </w:rPr>
        <w:t>geographical location)</w:t>
      </w:r>
      <w:r w:rsidR="005853A9">
        <w:rPr>
          <w:kern w:val="0"/>
        </w:rPr>
        <w:t xml:space="preserve"> and </w:t>
      </w:r>
      <w:r w:rsidR="00700038">
        <w:rPr>
          <w:kern w:val="0"/>
        </w:rPr>
        <w:t>‘</w:t>
      </w:r>
      <w:r>
        <w:rPr>
          <w:kern w:val="0"/>
        </w:rPr>
        <w:t>relational</w:t>
      </w:r>
      <w:r w:rsidR="00700038">
        <w:rPr>
          <w:kern w:val="0"/>
        </w:rPr>
        <w:t>’</w:t>
      </w:r>
      <w:r>
        <w:rPr>
          <w:kern w:val="0"/>
        </w:rPr>
        <w:t xml:space="preserve"> variables (such as</w:t>
      </w:r>
      <w:r w:rsidR="003A1917">
        <w:rPr>
          <w:kern w:val="0"/>
        </w:rPr>
        <w:t xml:space="preserve"> the </w:t>
      </w:r>
      <w:r>
        <w:rPr>
          <w:kern w:val="0"/>
        </w:rPr>
        <w:t>propensity to cooperate</w:t>
      </w:r>
      <w:r w:rsidR="005853A9">
        <w:rPr>
          <w:kern w:val="0"/>
        </w:rPr>
        <w:t xml:space="preserve"> and </w:t>
      </w:r>
      <w:r w:rsidR="003A1917">
        <w:rPr>
          <w:kern w:val="0"/>
        </w:rPr>
        <w:t xml:space="preserve">the </w:t>
      </w:r>
      <w:r>
        <w:rPr>
          <w:kern w:val="0"/>
        </w:rPr>
        <w:t>international reach</w:t>
      </w:r>
      <w:r w:rsidR="00427468">
        <w:rPr>
          <w:kern w:val="0"/>
        </w:rPr>
        <w:t xml:space="preserve"> of </w:t>
      </w:r>
      <w:r w:rsidR="003A1917">
        <w:rPr>
          <w:kern w:val="0"/>
        </w:rPr>
        <w:t xml:space="preserve">the </w:t>
      </w:r>
      <w:r>
        <w:rPr>
          <w:kern w:val="0"/>
        </w:rPr>
        <w:t>individual co-authorship network).</w:t>
      </w:r>
    </w:p>
    <w:p w:rsidR="004812C8" w:rsidRDefault="004812C8" w:rsidP="004812C8">
      <w:pPr>
        <w:pStyle w:val="a3"/>
        <w:rPr>
          <w:kern w:val="0"/>
        </w:rPr>
      </w:pPr>
      <w:r>
        <w:rPr>
          <w:kern w:val="0"/>
        </w:rPr>
        <w:t>Keywords: Age, Analysis, Bibliometric, Bibliometric Indicators, Changes, Co-Authorship, Coauthorship, Coauthorship Network, Collaboration, Community, Data, Database, Economics, Evaluation, Gender, Indicators, International, Italian Economists, Location, Methods, Network, Productivity, Recent, Research, Sciences, Scientific Productivity, Scientific Research, Social, Social Sciences, Sources, Tenure, Universities, World</w:t>
      </w:r>
    </w:p>
    <w:p w:rsidR="00920492" w:rsidRDefault="00920492" w:rsidP="00920492">
      <w:pPr>
        <w:pStyle w:val="a3"/>
        <w:rPr>
          <w:kern w:val="0"/>
          <w:szCs w:val="24"/>
        </w:rPr>
      </w:pPr>
      <w:r>
        <w:rPr>
          <w:rFonts w:hint="eastAsia"/>
          <w:kern w:val="0"/>
          <w:szCs w:val="24"/>
        </w:rPr>
        <w:lastRenderedPageBreak/>
        <w:t>? Haley, M.R. (2013), Rank variability</w:t>
      </w:r>
      <w:r w:rsidR="00427468">
        <w:rPr>
          <w:rFonts w:hint="eastAsia"/>
          <w:kern w:val="0"/>
          <w:szCs w:val="24"/>
        </w:rPr>
        <w:t xml:space="preserve"> of </w:t>
      </w:r>
      <w:r>
        <w:rPr>
          <w:rFonts w:hint="eastAsia"/>
          <w:kern w:val="0"/>
          <w:szCs w:val="24"/>
        </w:rPr>
        <w:t>the Publish or Perish metrics for economics</w:t>
      </w:r>
      <w:r w:rsidR="005853A9">
        <w:rPr>
          <w:rFonts w:hint="eastAsia"/>
          <w:kern w:val="0"/>
          <w:szCs w:val="24"/>
        </w:rPr>
        <w:t xml:space="preserve"> and </w:t>
      </w:r>
      <w:r>
        <w:rPr>
          <w:rFonts w:hint="eastAsia"/>
          <w:kern w:val="0"/>
          <w:szCs w:val="24"/>
        </w:rPr>
        <w:t xml:space="preserve">finance journals. </w:t>
      </w:r>
      <w:r>
        <w:rPr>
          <w:rFonts w:hint="eastAsia"/>
          <w:i/>
          <w:iCs/>
          <w:kern w:val="0"/>
          <w:szCs w:val="24"/>
        </w:rPr>
        <w:t>Applied Economics Letters</w:t>
      </w:r>
      <w:r>
        <w:rPr>
          <w:rFonts w:hint="eastAsia"/>
          <w:kern w:val="0"/>
          <w:szCs w:val="24"/>
        </w:rPr>
        <w:t xml:space="preserve">, </w:t>
      </w:r>
      <w:r>
        <w:rPr>
          <w:rFonts w:hint="eastAsia"/>
          <w:b/>
          <w:bCs/>
          <w:kern w:val="0"/>
          <w:szCs w:val="24"/>
        </w:rPr>
        <w:t>20</w:t>
      </w:r>
      <w:r>
        <w:rPr>
          <w:rFonts w:hint="eastAsia"/>
          <w:kern w:val="0"/>
          <w:szCs w:val="24"/>
        </w:rPr>
        <w:t xml:space="preserve"> (9), 830-836.</w:t>
      </w:r>
    </w:p>
    <w:p w:rsidR="00920492" w:rsidRDefault="00920492" w:rsidP="00920492">
      <w:pPr>
        <w:pStyle w:val="a3"/>
        <w:rPr>
          <w:kern w:val="0"/>
        </w:rPr>
      </w:pPr>
      <w:r>
        <w:rPr>
          <w:rFonts w:hint="eastAsia"/>
          <w:kern w:val="0"/>
        </w:rPr>
        <w:t xml:space="preserve">Full Text: </w:t>
      </w:r>
      <w:hyperlink r:id="rId1049" w:history="1">
        <w:r>
          <w:rPr>
            <w:rStyle w:val="a5"/>
            <w:rFonts w:hint="eastAsia"/>
          </w:rPr>
          <w:t>2013\App Eco Let20, 830.pdf</w:t>
        </w:r>
      </w:hyperlink>
    </w:p>
    <w:p w:rsidR="00920492" w:rsidRDefault="00920492" w:rsidP="00920492">
      <w:pPr>
        <w:pStyle w:val="a3"/>
        <w:rPr>
          <w:kern w:val="0"/>
          <w:szCs w:val="24"/>
        </w:rPr>
      </w:pPr>
      <w:r>
        <w:rPr>
          <w:rFonts w:hint="eastAsia"/>
          <w:kern w:val="0"/>
          <w:szCs w:val="24"/>
        </w:rPr>
        <w:t>Abstract: This article analyses the 10 citation-based journal ranking metrics reported by Harzing</w:t>
      </w:r>
      <w:r w:rsidR="00700038">
        <w:rPr>
          <w:kern w:val="0"/>
          <w:szCs w:val="24"/>
        </w:rPr>
        <w:t>’</w:t>
      </w:r>
      <w:r>
        <w:rPr>
          <w:rFonts w:hint="eastAsia"/>
          <w:kern w:val="0"/>
          <w:szCs w:val="24"/>
        </w:rPr>
        <w:t>s (2007) Publish or Perish (PoP) software (http://www.harzing.com/pop.htm) for 163 economics</w:t>
      </w:r>
      <w:r w:rsidR="005853A9">
        <w:rPr>
          <w:rFonts w:hint="eastAsia"/>
          <w:kern w:val="0"/>
          <w:szCs w:val="24"/>
        </w:rPr>
        <w:t xml:space="preserve"> and </w:t>
      </w:r>
      <w:r>
        <w:rPr>
          <w:rFonts w:hint="eastAsia"/>
          <w:kern w:val="0"/>
          <w:szCs w:val="24"/>
        </w:rPr>
        <w:t>finance journals</w:t>
      </w:r>
      <w:r w:rsidR="00A37C1D">
        <w:rPr>
          <w:rFonts w:hint="eastAsia"/>
          <w:kern w:val="0"/>
          <w:szCs w:val="24"/>
        </w:rPr>
        <w:t>. The</w:t>
      </w:r>
      <w:r>
        <w:rPr>
          <w:rFonts w:hint="eastAsia"/>
          <w:kern w:val="0"/>
          <w:szCs w:val="24"/>
        </w:rPr>
        <w:t xml:space="preserve"> results indicate that the 10 metrics produce rankings that are highly correlated. However, closer examination reveals that the variability in rank across the 10 metrics is significantly larger for some journals than others; this article identifies journals for which this is most poignant</w:t>
      </w:r>
      <w:r w:rsidR="005853A9">
        <w:rPr>
          <w:rFonts w:hint="eastAsia"/>
          <w:kern w:val="0"/>
          <w:szCs w:val="24"/>
        </w:rPr>
        <w:t xml:space="preserve"> and </w:t>
      </w:r>
      <w:r>
        <w:rPr>
          <w:rFonts w:hint="eastAsia"/>
          <w:kern w:val="0"/>
          <w:szCs w:val="24"/>
        </w:rPr>
        <w:t>offers possible solutions.</w:t>
      </w:r>
    </w:p>
    <w:p w:rsidR="00920492" w:rsidRDefault="00920492" w:rsidP="00920492">
      <w:pPr>
        <w:pStyle w:val="a3"/>
        <w:rPr>
          <w:kern w:val="0"/>
          <w:szCs w:val="24"/>
        </w:rPr>
      </w:pPr>
      <w:r>
        <w:rPr>
          <w:rFonts w:hint="eastAsia"/>
          <w:kern w:val="0"/>
          <w:szCs w:val="24"/>
        </w:rPr>
        <w:t xml:space="preserve">Keywords: A10, A11, A12, Analyses, Business, Economics, Examination, g-Index, </w:t>
      </w:r>
      <w:r w:rsidR="00D5664A">
        <w:rPr>
          <w:rFonts w:hint="eastAsia"/>
          <w:kern w:val="0"/>
          <w:szCs w:val="24"/>
        </w:rPr>
        <w:t>h-Index</w:t>
      </w:r>
      <w:r>
        <w:rPr>
          <w:rFonts w:hint="eastAsia"/>
          <w:kern w:val="0"/>
          <w:szCs w:val="24"/>
        </w:rPr>
        <w:t xml:space="preserve">, </w:t>
      </w:r>
      <w:r w:rsidR="00D5664A">
        <w:rPr>
          <w:rFonts w:hint="eastAsia"/>
          <w:kern w:val="0"/>
          <w:szCs w:val="24"/>
        </w:rPr>
        <w:t>h-Index</w:t>
      </w:r>
      <w:r>
        <w:rPr>
          <w:rFonts w:hint="eastAsia"/>
          <w:kern w:val="0"/>
          <w:szCs w:val="24"/>
        </w:rPr>
        <w:t>, Journal, Journal Ranking, Journals, Metrics, Publish or Perish, Rank, Ranking, Rankings, Software, Solutions, Variability</w:t>
      </w:r>
    </w:p>
    <w:p w:rsidR="005B4629" w:rsidRDefault="005B4629" w:rsidP="005B4629">
      <w:pPr>
        <w:pStyle w:val="a3"/>
        <w:rPr>
          <w:kern w:val="0"/>
        </w:rPr>
      </w:pPr>
      <w:r>
        <w:rPr>
          <w:rFonts w:hint="eastAsia"/>
          <w:kern w:val="0"/>
        </w:rPr>
        <w:t xml:space="preserve">? </w:t>
      </w:r>
      <w:r>
        <w:rPr>
          <w:kern w:val="0"/>
        </w:rPr>
        <w:t xml:space="preserve">Yuret, T. (2014), Why do economists publish less? </w:t>
      </w:r>
      <w:r>
        <w:rPr>
          <w:i/>
          <w:iCs/>
          <w:kern w:val="0"/>
        </w:rPr>
        <w:t>Applied Economics Letters</w:t>
      </w:r>
      <w:r>
        <w:rPr>
          <w:kern w:val="0"/>
        </w:rPr>
        <w:t xml:space="preserve">, </w:t>
      </w:r>
      <w:r>
        <w:rPr>
          <w:b/>
          <w:bCs/>
          <w:kern w:val="0"/>
        </w:rPr>
        <w:t>21</w:t>
      </w:r>
      <w:r>
        <w:rPr>
          <w:kern w:val="0"/>
        </w:rPr>
        <w:t xml:space="preserve"> (11), 760-762.</w:t>
      </w:r>
    </w:p>
    <w:p w:rsidR="005B4629" w:rsidRDefault="005B4629" w:rsidP="005B4629">
      <w:pPr>
        <w:pStyle w:val="a3"/>
        <w:rPr>
          <w:kern w:val="0"/>
        </w:rPr>
      </w:pPr>
      <w:r>
        <w:rPr>
          <w:kern w:val="0"/>
        </w:rPr>
        <w:t xml:space="preserve">Full Text: </w:t>
      </w:r>
      <w:hyperlink r:id="rId1050" w:history="1">
        <w:r w:rsidRPr="005B4629">
          <w:rPr>
            <w:rStyle w:val="a5"/>
            <w:kern w:val="0"/>
          </w:rPr>
          <w:t>2014\App Eco Let21, 760.pdf</w:t>
        </w:r>
      </w:hyperlink>
    </w:p>
    <w:p w:rsidR="005B4629" w:rsidRDefault="005B4629" w:rsidP="005B4629">
      <w:pPr>
        <w:pStyle w:val="a3"/>
        <w:rPr>
          <w:kern w:val="0"/>
        </w:rPr>
      </w:pPr>
      <w:r>
        <w:rPr>
          <w:kern w:val="0"/>
        </w:rPr>
        <w:t>Abstract: We estimate that the economists publish much less than their colleagues in natural sciences, health and engineering disciplines even after we control for the quality of the publications. A possible explanation for the poor performance of economists is that the journals specialized in economics have a smaller capacity.</w:t>
      </w:r>
    </w:p>
    <w:p w:rsidR="005B4629" w:rsidRDefault="005B4629" w:rsidP="005B4629">
      <w:pPr>
        <w:pStyle w:val="a3"/>
        <w:rPr>
          <w:kern w:val="0"/>
        </w:rPr>
      </w:pPr>
      <w:r>
        <w:rPr>
          <w:kern w:val="0"/>
        </w:rPr>
        <w:t>Keywords: Academic Ranking, Bibliometrics, Capacity, Control, Disciplines, Economics, Engineering, Explanation, Health, Journals, Natural, Natural Sciences, Performance, Poor Performance, Publication Performance, Publications, Quality, Quality Of, Sciences, Tenure</w:t>
      </w:r>
    </w:p>
    <w:p w:rsidR="001C0A33" w:rsidRPr="00F219CA" w:rsidRDefault="001C0A33" w:rsidP="001C0A33">
      <w:pPr>
        <w:pStyle w:val="1"/>
      </w:pPr>
      <w:r w:rsidRPr="00F219CA">
        <w:br w:type="page"/>
      </w:r>
      <w:bookmarkStart w:id="538" w:name="_Toc420814551"/>
      <w:r w:rsidRPr="00F219CA">
        <w:lastRenderedPageBreak/>
        <w:t>Title: Applied Energy</w:t>
      </w:r>
      <w:bookmarkEnd w:id="538"/>
    </w:p>
    <w:p w:rsidR="001C0A33" w:rsidRPr="00F219CA" w:rsidRDefault="001C0A33" w:rsidP="001C0A33">
      <w:pPr>
        <w:pStyle w:val="12"/>
      </w:pPr>
      <w:r w:rsidRPr="00F219CA">
        <w:t xml:space="preserve">Full Journal Title: </w:t>
      </w:r>
      <w:r w:rsidR="00206C8A">
        <w:fldChar w:fldCharType="begin"/>
      </w:r>
      <w:r w:rsidR="00FD158B">
        <w:instrText>HYP</w:instrText>
      </w:r>
      <w:bookmarkStart w:id="539" w:name="_Toc299696971"/>
      <w:r w:rsidR="00FD158B">
        <w:instrText>ERLINK "http://www.sc</w:instrText>
      </w:r>
      <w:bookmarkEnd w:id="539"/>
      <w:r w:rsidR="00FD158B">
        <w:instrText>iencedirect.com/science/journal/03062619"</w:instrText>
      </w:r>
      <w:r w:rsidR="00206C8A">
        <w:fldChar w:fldCharType="separate"/>
      </w:r>
      <w:r w:rsidRPr="00F219CA">
        <w:rPr>
          <w:iCs/>
          <w:kern w:val="0"/>
        </w:rPr>
        <w:t>Applied Energy</w:t>
      </w:r>
      <w:r w:rsidR="00206C8A">
        <w:fldChar w:fldCharType="end"/>
      </w:r>
    </w:p>
    <w:p w:rsidR="001C0A33" w:rsidRPr="00F219CA" w:rsidRDefault="001C0A33" w:rsidP="001C0A33">
      <w:pPr>
        <w:pStyle w:val="12"/>
      </w:pPr>
      <w:r w:rsidRPr="00F219CA">
        <w:t xml:space="preserve">ISO Abbreviated Title: </w:t>
      </w:r>
    </w:p>
    <w:p w:rsidR="001C0A33" w:rsidRPr="00F219CA" w:rsidRDefault="001C0A33" w:rsidP="001C0A33">
      <w:pPr>
        <w:pStyle w:val="12"/>
      </w:pPr>
      <w:r w:rsidRPr="00F219CA">
        <w:t xml:space="preserve">JCR Abbreviated Title: </w:t>
      </w:r>
    </w:p>
    <w:p w:rsidR="001C0A33" w:rsidRPr="00F219CA" w:rsidRDefault="001C0A33" w:rsidP="001C0A33">
      <w:pPr>
        <w:pStyle w:val="12"/>
      </w:pPr>
      <w:r w:rsidRPr="00F219CA">
        <w:t>ISSN: 0306-2619</w:t>
      </w:r>
    </w:p>
    <w:p w:rsidR="001C0A33" w:rsidRPr="00F219CA" w:rsidRDefault="001C0A33" w:rsidP="001C0A33">
      <w:pPr>
        <w:pStyle w:val="12"/>
      </w:pPr>
      <w:r w:rsidRPr="00F219CA">
        <w:t xml:space="preserve">Issues/Year: </w:t>
      </w:r>
    </w:p>
    <w:p w:rsidR="001C0A33" w:rsidRPr="00F219CA" w:rsidRDefault="001C0A33" w:rsidP="001C0A33">
      <w:pPr>
        <w:pStyle w:val="12"/>
      </w:pPr>
      <w:r w:rsidRPr="00F219CA">
        <w:t xml:space="preserve">Journal Country/Territory: </w:t>
      </w:r>
    </w:p>
    <w:p w:rsidR="001C0A33" w:rsidRPr="00F219CA" w:rsidRDefault="001C0A33" w:rsidP="001C0A33">
      <w:pPr>
        <w:pStyle w:val="12"/>
      </w:pPr>
      <w:r w:rsidRPr="00F219CA">
        <w:t xml:space="preserve">Language: </w:t>
      </w:r>
    </w:p>
    <w:p w:rsidR="001C0A33" w:rsidRPr="00F219CA" w:rsidRDefault="001C0A33" w:rsidP="001C0A33">
      <w:pPr>
        <w:pStyle w:val="12"/>
      </w:pPr>
      <w:r w:rsidRPr="00F219CA">
        <w:t xml:space="preserve">Publisher: </w:t>
      </w:r>
    </w:p>
    <w:p w:rsidR="001C0A33" w:rsidRPr="00F219CA" w:rsidRDefault="001C0A33" w:rsidP="001C0A33">
      <w:pPr>
        <w:pStyle w:val="12"/>
      </w:pPr>
      <w:r w:rsidRPr="00F219CA">
        <w:t xml:space="preserve">Publisher Address: </w:t>
      </w:r>
    </w:p>
    <w:p w:rsidR="001C0A33" w:rsidRPr="00F219CA" w:rsidRDefault="001C0A33" w:rsidP="001C0A33">
      <w:pPr>
        <w:pStyle w:val="12"/>
      </w:pPr>
      <w:r w:rsidRPr="00F219CA">
        <w:t xml:space="preserve">Subject Categories: </w:t>
      </w:r>
    </w:p>
    <w:p w:rsidR="001C0A33" w:rsidRPr="00F219CA" w:rsidRDefault="001C0A33" w:rsidP="001C0A33">
      <w:pPr>
        <w:pStyle w:val="12"/>
      </w:pPr>
      <w:r w:rsidRPr="00F219CA">
        <w:t xml:space="preserve">: Impact Factor </w:t>
      </w:r>
    </w:p>
    <w:p w:rsidR="001C0A33" w:rsidRDefault="001C0A33" w:rsidP="001C0A33">
      <w:pPr>
        <w:pStyle w:val="a3"/>
        <w:rPr>
          <w:kern w:val="0"/>
        </w:rPr>
      </w:pPr>
      <w:r>
        <w:rPr>
          <w:rFonts w:hint="eastAsia"/>
          <w:kern w:val="0"/>
        </w:rPr>
        <w:t xml:space="preserve">? </w:t>
      </w:r>
      <w:r>
        <w:rPr>
          <w:kern w:val="0"/>
        </w:rPr>
        <w:t>Konur, O. (2011</w:t>
      </w:r>
      <w:r w:rsidR="00F42EAC">
        <w:rPr>
          <w:kern w:val="0"/>
        </w:rPr>
        <w:t>), The</w:t>
      </w:r>
      <w:r w:rsidR="003A1917">
        <w:rPr>
          <w:kern w:val="0"/>
        </w:rPr>
        <w:t xml:space="preserve"> </w:t>
      </w:r>
      <w:r>
        <w:rPr>
          <w:kern w:val="0"/>
        </w:rPr>
        <w:t>scientometric evaluation</w:t>
      </w:r>
      <w:r w:rsidR="00427468">
        <w:rPr>
          <w:kern w:val="0"/>
        </w:rPr>
        <w:t xml:space="preserve"> of </w:t>
      </w:r>
      <w:r w:rsidR="003A1917">
        <w:rPr>
          <w:kern w:val="0"/>
        </w:rPr>
        <w:t xml:space="preserve">the </w:t>
      </w:r>
      <w:r>
        <w:rPr>
          <w:kern w:val="0"/>
        </w:rPr>
        <w:t>research on</w:t>
      </w:r>
      <w:r w:rsidR="003A1917">
        <w:rPr>
          <w:kern w:val="0"/>
        </w:rPr>
        <w:t xml:space="preserve"> the </w:t>
      </w:r>
      <w:r>
        <w:rPr>
          <w:kern w:val="0"/>
        </w:rPr>
        <w:t>algae</w:t>
      </w:r>
      <w:r w:rsidR="005853A9">
        <w:rPr>
          <w:kern w:val="0"/>
        </w:rPr>
        <w:t xml:space="preserve"> and </w:t>
      </w:r>
      <w:r>
        <w:rPr>
          <w:kern w:val="0"/>
        </w:rPr>
        <w:t xml:space="preserve">bio-energy. </w:t>
      </w:r>
      <w:r>
        <w:rPr>
          <w:i/>
          <w:iCs/>
          <w:kern w:val="0"/>
        </w:rPr>
        <w:t>Applied Energy</w:t>
      </w:r>
      <w:r>
        <w:rPr>
          <w:kern w:val="0"/>
        </w:rPr>
        <w:t xml:space="preserve">, </w:t>
      </w:r>
      <w:r>
        <w:rPr>
          <w:b/>
          <w:bCs/>
          <w:kern w:val="0"/>
        </w:rPr>
        <w:t>88</w:t>
      </w:r>
      <w:r>
        <w:rPr>
          <w:kern w:val="0"/>
        </w:rPr>
        <w:t xml:space="preserve"> (10), 3532-3540.</w:t>
      </w:r>
    </w:p>
    <w:p w:rsidR="001C0A33" w:rsidRPr="00F219CA" w:rsidRDefault="001C0A33" w:rsidP="001C0A33">
      <w:pPr>
        <w:pStyle w:val="a3"/>
        <w:rPr>
          <w:kern w:val="0"/>
        </w:rPr>
      </w:pPr>
      <w:r w:rsidRPr="00F219CA">
        <w:rPr>
          <w:kern w:val="0"/>
        </w:rPr>
        <w:t xml:space="preserve">Full Text: </w:t>
      </w:r>
      <w:hyperlink r:id="rId1051" w:history="1">
        <w:r w:rsidRPr="008A695F">
          <w:rPr>
            <w:rStyle w:val="a5"/>
            <w:kern w:val="0"/>
          </w:rPr>
          <w:t>2011\App Ene88, 3532.pdf</w:t>
        </w:r>
      </w:hyperlink>
    </w:p>
    <w:p w:rsidR="001C0A33" w:rsidRDefault="001C0A33" w:rsidP="001C0A33">
      <w:pPr>
        <w:pStyle w:val="a3"/>
        <w:rPr>
          <w:kern w:val="0"/>
        </w:rPr>
      </w:pPr>
      <w:r>
        <w:rPr>
          <w:kern w:val="0"/>
        </w:rPr>
        <w:t>Abstract:</w:t>
      </w:r>
      <w:r w:rsidR="003A1917">
        <w:rPr>
          <w:kern w:val="0"/>
        </w:rPr>
        <w:t xml:space="preserve"> the </w:t>
      </w:r>
      <w:r>
        <w:rPr>
          <w:kern w:val="0"/>
        </w:rPr>
        <w:t>present study explores</w:t>
      </w:r>
      <w:r w:rsidR="003A1917">
        <w:rPr>
          <w:kern w:val="0"/>
        </w:rPr>
        <w:t xml:space="preserve"> the </w:t>
      </w:r>
      <w:r>
        <w:rPr>
          <w:kern w:val="0"/>
        </w:rPr>
        <w:t>characteristics</w:t>
      </w:r>
      <w:r w:rsidR="00427468">
        <w:rPr>
          <w:kern w:val="0"/>
        </w:rPr>
        <w:t xml:space="preserve"> of </w:t>
      </w:r>
      <w:r w:rsidR="003A1917">
        <w:rPr>
          <w:kern w:val="0"/>
        </w:rPr>
        <w:t xml:space="preserve">the </w:t>
      </w:r>
      <w:r>
        <w:rPr>
          <w:kern w:val="0"/>
        </w:rPr>
        <w:t>literature on</w:t>
      </w:r>
      <w:r w:rsidR="003A1917">
        <w:rPr>
          <w:kern w:val="0"/>
        </w:rPr>
        <w:t xml:space="preserve"> the </w:t>
      </w:r>
      <w:r>
        <w:rPr>
          <w:kern w:val="0"/>
        </w:rPr>
        <w:t>algae</w:t>
      </w:r>
      <w:r w:rsidR="005853A9">
        <w:rPr>
          <w:kern w:val="0"/>
        </w:rPr>
        <w:t xml:space="preserve"> and </w:t>
      </w:r>
      <w:r>
        <w:rPr>
          <w:kern w:val="0"/>
        </w:rPr>
        <w:t>bio-energy published during</w:t>
      </w:r>
      <w:r w:rsidR="003A1917">
        <w:rPr>
          <w:kern w:val="0"/>
        </w:rPr>
        <w:t xml:space="preserve"> the </w:t>
      </w:r>
      <w:r>
        <w:rPr>
          <w:kern w:val="0"/>
        </w:rPr>
        <w:t>last three decades, based on</w:t>
      </w:r>
      <w:r w:rsidR="003A1917">
        <w:rPr>
          <w:kern w:val="0"/>
        </w:rPr>
        <w:t xml:space="preserve"> the </w:t>
      </w:r>
      <w:r>
        <w:rPr>
          <w:kern w:val="0"/>
        </w:rPr>
        <w:t>database</w:t>
      </w:r>
      <w:r w:rsidR="00427468">
        <w:rPr>
          <w:kern w:val="0"/>
        </w:rPr>
        <w:t xml:space="preserve"> of </w:t>
      </w:r>
      <w:r>
        <w:rPr>
          <w:kern w:val="0"/>
        </w:rPr>
        <w:t>Science Citation Index-Expanded (SCIE)</w:t>
      </w:r>
      <w:r w:rsidR="005853A9">
        <w:rPr>
          <w:kern w:val="0"/>
        </w:rPr>
        <w:t xml:space="preserve"> and </w:t>
      </w:r>
      <w:r>
        <w:rPr>
          <w:kern w:val="0"/>
        </w:rPr>
        <w:t>Social Sciences Citation Index (</w:t>
      </w:r>
      <w:r w:rsidR="00D5664A">
        <w:rPr>
          <w:kern w:val="0"/>
        </w:rPr>
        <w:t>SSCI</w:t>
      </w:r>
      <w:r>
        <w:rPr>
          <w:kern w:val="0"/>
        </w:rPr>
        <w:t>)</w:t>
      </w:r>
      <w:r w:rsidR="005853A9">
        <w:rPr>
          <w:kern w:val="0"/>
        </w:rPr>
        <w:t xml:space="preserve"> and </w:t>
      </w:r>
      <w:r>
        <w:rPr>
          <w:kern w:val="0"/>
        </w:rPr>
        <w:t>its implications using</w:t>
      </w:r>
      <w:r w:rsidR="003A1917">
        <w:rPr>
          <w:kern w:val="0"/>
        </w:rPr>
        <w:t xml:space="preserve"> the </w:t>
      </w:r>
      <w:r>
        <w:rPr>
          <w:kern w:val="0"/>
        </w:rPr>
        <w:t>scientometric techniques</w:t>
      </w:r>
      <w:r w:rsidR="00A37C1D">
        <w:rPr>
          <w:kern w:val="0"/>
        </w:rPr>
        <w:t>. The</w:t>
      </w:r>
      <w:r w:rsidR="003A1917">
        <w:rPr>
          <w:kern w:val="0"/>
        </w:rPr>
        <w:t xml:space="preserve"> </w:t>
      </w:r>
      <w:r>
        <w:rPr>
          <w:kern w:val="0"/>
        </w:rPr>
        <w:t>results</w:t>
      </w:r>
      <w:r w:rsidR="00427468">
        <w:rPr>
          <w:kern w:val="0"/>
        </w:rPr>
        <w:t xml:space="preserve"> of </w:t>
      </w:r>
      <w:r>
        <w:rPr>
          <w:kern w:val="0"/>
        </w:rPr>
        <w:t>this work reveal that</w:t>
      </w:r>
      <w:r w:rsidR="003A1917">
        <w:rPr>
          <w:kern w:val="0"/>
        </w:rPr>
        <w:t xml:space="preserve"> the </w:t>
      </w:r>
      <w:r>
        <w:rPr>
          <w:kern w:val="0"/>
        </w:rPr>
        <w:t>literature on</w:t>
      </w:r>
      <w:r w:rsidR="003A1917">
        <w:rPr>
          <w:kern w:val="0"/>
        </w:rPr>
        <w:t xml:space="preserve"> the </w:t>
      </w:r>
      <w:r>
        <w:rPr>
          <w:kern w:val="0"/>
        </w:rPr>
        <w:t>algae</w:t>
      </w:r>
      <w:r w:rsidR="005853A9">
        <w:rPr>
          <w:kern w:val="0"/>
        </w:rPr>
        <w:t xml:space="preserve"> and </w:t>
      </w:r>
      <w:r>
        <w:rPr>
          <w:kern w:val="0"/>
        </w:rPr>
        <w:t>bio-energy has grown exponentially during this period reaching 717 papers in total. Most</w:t>
      </w:r>
      <w:r w:rsidR="00427468">
        <w:rPr>
          <w:kern w:val="0"/>
        </w:rPr>
        <w:t xml:space="preserve"> of </w:t>
      </w:r>
      <w:r>
        <w:rPr>
          <w:kern w:val="0"/>
        </w:rPr>
        <w:t>document type is in</w:t>
      </w:r>
      <w:r w:rsidR="003A1917">
        <w:rPr>
          <w:kern w:val="0"/>
        </w:rPr>
        <w:t xml:space="preserve"> the </w:t>
      </w:r>
      <w:r>
        <w:rPr>
          <w:kern w:val="0"/>
        </w:rPr>
        <w:t>form</w:t>
      </w:r>
      <w:r w:rsidR="00427468">
        <w:rPr>
          <w:kern w:val="0"/>
        </w:rPr>
        <w:t xml:space="preserve"> of </w:t>
      </w:r>
      <w:r>
        <w:rPr>
          <w:kern w:val="0"/>
        </w:rPr>
        <w:t>journal articles, reviews,</w:t>
      </w:r>
      <w:r w:rsidR="005853A9">
        <w:rPr>
          <w:kern w:val="0"/>
        </w:rPr>
        <w:t xml:space="preserve"> and </w:t>
      </w:r>
      <w:r>
        <w:rPr>
          <w:kern w:val="0"/>
        </w:rPr>
        <w:t>proceedings, constituting 98%</w:t>
      </w:r>
      <w:r w:rsidR="00427468">
        <w:rPr>
          <w:kern w:val="0"/>
        </w:rPr>
        <w:t xml:space="preserve"> of </w:t>
      </w:r>
      <w:r w:rsidR="003A1917">
        <w:rPr>
          <w:kern w:val="0"/>
        </w:rPr>
        <w:t xml:space="preserve">the </w:t>
      </w:r>
      <w:r>
        <w:rPr>
          <w:kern w:val="0"/>
        </w:rPr>
        <w:t>total literature</w:t>
      </w:r>
      <w:r w:rsidR="005853A9">
        <w:rPr>
          <w:kern w:val="0"/>
        </w:rPr>
        <w:t xml:space="preserve"> and </w:t>
      </w:r>
      <w:r>
        <w:rPr>
          <w:kern w:val="0"/>
        </w:rPr>
        <w:t>English is</w:t>
      </w:r>
      <w:r w:rsidR="003A1917">
        <w:rPr>
          <w:kern w:val="0"/>
        </w:rPr>
        <w:t xml:space="preserve"> the </w:t>
      </w:r>
      <w:r>
        <w:rPr>
          <w:kern w:val="0"/>
        </w:rPr>
        <w:t xml:space="preserve">predominant language (97.6%). </w:t>
      </w:r>
      <w:r w:rsidR="00D5664A">
        <w:rPr>
          <w:kern w:val="0"/>
        </w:rPr>
        <w:t>USA</w:t>
      </w:r>
      <w:r>
        <w:rPr>
          <w:kern w:val="0"/>
        </w:rPr>
        <w:t>, China, Germany,</w:t>
      </w:r>
      <w:r w:rsidR="005853A9">
        <w:rPr>
          <w:kern w:val="0"/>
        </w:rPr>
        <w:t xml:space="preserve"> and </w:t>
      </w:r>
      <w:r>
        <w:rPr>
          <w:kern w:val="0"/>
        </w:rPr>
        <w:t>England are</w:t>
      </w:r>
      <w:r w:rsidR="003A1917">
        <w:rPr>
          <w:kern w:val="0"/>
        </w:rPr>
        <w:t xml:space="preserve"> the </w:t>
      </w:r>
      <w:r>
        <w:rPr>
          <w:kern w:val="0"/>
        </w:rPr>
        <w:t>four biggest contributing countries on</w:t>
      </w:r>
      <w:r w:rsidR="003A1917">
        <w:rPr>
          <w:kern w:val="0"/>
        </w:rPr>
        <w:t xml:space="preserve"> the </w:t>
      </w:r>
      <w:r>
        <w:rPr>
          <w:kern w:val="0"/>
        </w:rPr>
        <w:t>algae</w:t>
      </w:r>
      <w:r w:rsidR="005853A9">
        <w:rPr>
          <w:kern w:val="0"/>
        </w:rPr>
        <w:t xml:space="preserve"> and </w:t>
      </w:r>
      <w:r>
        <w:rPr>
          <w:kern w:val="0"/>
        </w:rPr>
        <w:t>bio-energy literature publishing, 26%, 8%, 8%,</w:t>
      </w:r>
      <w:r w:rsidR="005853A9">
        <w:rPr>
          <w:kern w:val="0"/>
        </w:rPr>
        <w:t xml:space="preserve"> and </w:t>
      </w:r>
      <w:r>
        <w:rPr>
          <w:kern w:val="0"/>
        </w:rPr>
        <w:t>8%</w:t>
      </w:r>
      <w:r w:rsidR="00427468">
        <w:rPr>
          <w:kern w:val="0"/>
        </w:rPr>
        <w:t xml:space="preserve"> of </w:t>
      </w:r>
      <w:r w:rsidR="003A1917">
        <w:rPr>
          <w:kern w:val="0"/>
        </w:rPr>
        <w:t xml:space="preserve">the </w:t>
      </w:r>
      <w:r>
        <w:rPr>
          <w:kern w:val="0"/>
        </w:rPr>
        <w:t>sample, respectively</w:t>
      </w:r>
      <w:r w:rsidR="00A37C1D">
        <w:rPr>
          <w:kern w:val="0"/>
        </w:rPr>
        <w:t>. The</w:t>
      </w:r>
      <w:r w:rsidR="003A1917">
        <w:rPr>
          <w:kern w:val="0"/>
        </w:rPr>
        <w:t xml:space="preserve"> </w:t>
      </w:r>
      <w:r>
        <w:rPr>
          <w:kern w:val="0"/>
        </w:rPr>
        <w:t>Chinese Academy</w:t>
      </w:r>
      <w:r w:rsidR="00427468">
        <w:rPr>
          <w:kern w:val="0"/>
        </w:rPr>
        <w:t xml:space="preserve"> of </w:t>
      </w:r>
      <w:r>
        <w:rPr>
          <w:kern w:val="0"/>
        </w:rPr>
        <w:t>Sciences is</w:t>
      </w:r>
      <w:r w:rsidR="003A1917">
        <w:rPr>
          <w:kern w:val="0"/>
        </w:rPr>
        <w:t xml:space="preserve"> the </w:t>
      </w:r>
      <w:r>
        <w:rPr>
          <w:kern w:val="0"/>
        </w:rPr>
        <w:t>largest institutional contributor publishing 2.6%</w:t>
      </w:r>
      <w:r w:rsidR="00427468">
        <w:rPr>
          <w:kern w:val="0"/>
        </w:rPr>
        <w:t xml:space="preserve"> of </w:t>
      </w:r>
      <w:r w:rsidR="003A1917">
        <w:rPr>
          <w:kern w:val="0"/>
        </w:rPr>
        <w:t xml:space="preserve">the </w:t>
      </w:r>
      <w:r>
        <w:rPr>
          <w:kern w:val="0"/>
        </w:rPr>
        <w:t>papers</w:t>
      </w:r>
      <w:r w:rsidR="00A37C1D">
        <w:rPr>
          <w:kern w:val="0"/>
        </w:rPr>
        <w:t>. The</w:t>
      </w:r>
      <w:r w:rsidR="003A1917">
        <w:rPr>
          <w:kern w:val="0"/>
        </w:rPr>
        <w:t xml:space="preserve"> </w:t>
      </w:r>
      <w:r>
        <w:rPr>
          <w:kern w:val="0"/>
        </w:rPr>
        <w:t>most publishing four authors are Wilhelm (13 papers) followed by Wu (15 papers), Mimuro (10 papers),</w:t>
      </w:r>
      <w:r w:rsidR="005853A9">
        <w:rPr>
          <w:kern w:val="0"/>
        </w:rPr>
        <w:t xml:space="preserve"> and </w:t>
      </w:r>
      <w:r>
        <w:rPr>
          <w:kern w:val="0"/>
        </w:rPr>
        <w:t xml:space="preserve">Zhao (9 papers). </w:t>
      </w:r>
      <w:r w:rsidR="00B5188C">
        <w:rPr>
          <w:kern w:val="0"/>
        </w:rPr>
        <w:t>“</w:t>
      </w:r>
      <w:r>
        <w:rPr>
          <w:kern w:val="0"/>
        </w:rPr>
        <w:t>Bioresource Technology</w:t>
      </w:r>
      <w:r w:rsidR="00B5188C">
        <w:rPr>
          <w:kern w:val="0"/>
        </w:rPr>
        <w:t>”</w:t>
      </w:r>
      <w:r>
        <w:rPr>
          <w:kern w:val="0"/>
        </w:rPr>
        <w:t xml:space="preserve"> is</w:t>
      </w:r>
      <w:r w:rsidR="003A1917">
        <w:rPr>
          <w:kern w:val="0"/>
        </w:rPr>
        <w:t xml:space="preserve"> the </w:t>
      </w:r>
      <w:r>
        <w:rPr>
          <w:kern w:val="0"/>
        </w:rPr>
        <w:t xml:space="preserve">most publishing journal with 24 published papers, followed by </w:t>
      </w:r>
      <w:r w:rsidR="00B5188C">
        <w:rPr>
          <w:kern w:val="0"/>
        </w:rPr>
        <w:t>“</w:t>
      </w:r>
      <w:r>
        <w:rPr>
          <w:kern w:val="0"/>
        </w:rPr>
        <w:t>Journal</w:t>
      </w:r>
      <w:r w:rsidR="00427468">
        <w:rPr>
          <w:kern w:val="0"/>
        </w:rPr>
        <w:t xml:space="preserve"> of </w:t>
      </w:r>
      <w:r>
        <w:rPr>
          <w:kern w:val="0"/>
        </w:rPr>
        <w:t>Applied Phycology</w:t>
      </w:r>
      <w:r w:rsidR="00B5188C">
        <w:rPr>
          <w:kern w:val="0"/>
        </w:rPr>
        <w:t>”</w:t>
      </w:r>
      <w:r>
        <w:rPr>
          <w:kern w:val="0"/>
        </w:rPr>
        <w:t xml:space="preserve"> (17 papers).</w:t>
      </w:r>
      <w:r w:rsidR="005853A9">
        <w:rPr>
          <w:kern w:val="0"/>
        </w:rPr>
        <w:t xml:space="preserve"> and </w:t>
      </w:r>
      <w:r w:rsidR="00B5188C">
        <w:rPr>
          <w:kern w:val="0"/>
        </w:rPr>
        <w:t>“</w:t>
      </w:r>
      <w:r>
        <w:rPr>
          <w:kern w:val="0"/>
        </w:rPr>
        <w:t>Biotechnology</w:t>
      </w:r>
      <w:r w:rsidR="005853A9">
        <w:rPr>
          <w:kern w:val="0"/>
        </w:rPr>
        <w:t xml:space="preserve"> and </w:t>
      </w:r>
      <w:r>
        <w:rPr>
          <w:kern w:val="0"/>
        </w:rPr>
        <w:t>Bioengineering</w:t>
      </w:r>
      <w:r w:rsidR="00B5188C">
        <w:rPr>
          <w:kern w:val="0"/>
        </w:rPr>
        <w:t>”</w:t>
      </w:r>
      <w:r>
        <w:rPr>
          <w:kern w:val="0"/>
        </w:rPr>
        <w:t xml:space="preserve"> (15 papers). </w:t>
      </w:r>
      <w:r w:rsidR="00B5188C">
        <w:rPr>
          <w:kern w:val="0"/>
        </w:rPr>
        <w:t>“</w:t>
      </w:r>
      <w:r>
        <w:rPr>
          <w:kern w:val="0"/>
        </w:rPr>
        <w:t>Biotechnology &amp; Applied Microbiology</w:t>
      </w:r>
      <w:r w:rsidR="00B5188C">
        <w:rPr>
          <w:kern w:val="0"/>
        </w:rPr>
        <w:t>”</w:t>
      </w:r>
      <w:r>
        <w:rPr>
          <w:kern w:val="0"/>
        </w:rPr>
        <w:t xml:space="preserve"> is</w:t>
      </w:r>
      <w:r w:rsidR="003A1917">
        <w:rPr>
          <w:kern w:val="0"/>
        </w:rPr>
        <w:t xml:space="preserve"> the </w:t>
      </w:r>
      <w:r>
        <w:rPr>
          <w:kern w:val="0"/>
        </w:rPr>
        <w:t>subject area with 24.3%</w:t>
      </w:r>
      <w:r w:rsidR="00427468">
        <w:rPr>
          <w:kern w:val="0"/>
        </w:rPr>
        <w:t xml:space="preserve"> of </w:t>
      </w:r>
      <w:r w:rsidR="003A1917">
        <w:rPr>
          <w:kern w:val="0"/>
        </w:rPr>
        <w:t xml:space="preserve">the </w:t>
      </w:r>
      <w:r>
        <w:rPr>
          <w:kern w:val="0"/>
        </w:rPr>
        <w:t xml:space="preserve">sample published. This is followed by </w:t>
      </w:r>
      <w:r w:rsidR="00B5188C">
        <w:rPr>
          <w:kern w:val="0"/>
        </w:rPr>
        <w:t>“</w:t>
      </w:r>
      <w:r>
        <w:rPr>
          <w:kern w:val="0"/>
        </w:rPr>
        <w:t>Energy &amp; Fuels</w:t>
      </w:r>
      <w:r w:rsidR="00B5188C">
        <w:rPr>
          <w:kern w:val="0"/>
        </w:rPr>
        <w:t>”</w:t>
      </w:r>
      <w:r>
        <w:rPr>
          <w:kern w:val="0"/>
        </w:rPr>
        <w:t xml:space="preserve"> (16.3%), </w:t>
      </w:r>
      <w:r w:rsidR="00B5188C">
        <w:rPr>
          <w:kern w:val="0"/>
        </w:rPr>
        <w:t>“</w:t>
      </w:r>
      <w:r>
        <w:rPr>
          <w:kern w:val="0"/>
        </w:rPr>
        <w:t>Marine &amp; Freshwater Biology</w:t>
      </w:r>
      <w:r w:rsidR="00B5188C">
        <w:rPr>
          <w:kern w:val="0"/>
        </w:rPr>
        <w:t>”</w:t>
      </w:r>
      <w:r>
        <w:rPr>
          <w:kern w:val="0"/>
        </w:rPr>
        <w:t xml:space="preserve"> (14.2%),</w:t>
      </w:r>
      <w:r w:rsidR="005853A9">
        <w:rPr>
          <w:kern w:val="0"/>
        </w:rPr>
        <w:t xml:space="preserve"> and </w:t>
      </w:r>
      <w:r w:rsidR="00B5188C">
        <w:rPr>
          <w:kern w:val="0"/>
        </w:rPr>
        <w:t>“</w:t>
      </w:r>
      <w:r>
        <w:rPr>
          <w:kern w:val="0"/>
        </w:rPr>
        <w:t>Environmental Sciences</w:t>
      </w:r>
      <w:r w:rsidR="00B5188C">
        <w:rPr>
          <w:kern w:val="0"/>
        </w:rPr>
        <w:t>”</w:t>
      </w:r>
      <w:r>
        <w:rPr>
          <w:kern w:val="0"/>
        </w:rPr>
        <w:t xml:space="preserve"> (12.3%)</w:t>
      </w:r>
      <w:r w:rsidR="00A37C1D">
        <w:rPr>
          <w:kern w:val="0"/>
        </w:rPr>
        <w:t>. The</w:t>
      </w:r>
      <w:r w:rsidR="003A1917">
        <w:rPr>
          <w:kern w:val="0"/>
        </w:rPr>
        <w:t xml:space="preserve"> </w:t>
      </w:r>
      <w:r>
        <w:rPr>
          <w:kern w:val="0"/>
        </w:rPr>
        <w:t>total number</w:t>
      </w:r>
      <w:r w:rsidR="00427468">
        <w:rPr>
          <w:kern w:val="0"/>
        </w:rPr>
        <w:t xml:space="preserve"> of </w:t>
      </w:r>
      <w:r>
        <w:rPr>
          <w:kern w:val="0"/>
        </w:rPr>
        <w:t>citations is 11,079, giving a ratio for</w:t>
      </w:r>
      <w:r w:rsidR="003A1917">
        <w:rPr>
          <w:kern w:val="0"/>
        </w:rPr>
        <w:t xml:space="preserve"> the </w:t>
      </w:r>
      <w:r w:rsidR="00B5188C">
        <w:rPr>
          <w:kern w:val="0"/>
        </w:rPr>
        <w:t>“</w:t>
      </w:r>
      <w:r>
        <w:rPr>
          <w:kern w:val="0"/>
        </w:rPr>
        <w:t>Average Citations per Item</w:t>
      </w:r>
      <w:r w:rsidR="00B5188C">
        <w:rPr>
          <w:kern w:val="0"/>
        </w:rPr>
        <w:t>”</w:t>
      </w:r>
      <w:r>
        <w:rPr>
          <w:kern w:val="0"/>
        </w:rPr>
        <w:t xml:space="preserve"> as 15.45</w:t>
      </w:r>
      <w:r w:rsidR="005853A9">
        <w:rPr>
          <w:kern w:val="0"/>
        </w:rPr>
        <w:t xml:space="preserve"> and </w:t>
      </w:r>
      <w:r w:rsidR="00B5188C">
        <w:rPr>
          <w:kern w:val="0"/>
        </w:rPr>
        <w:t>“</w:t>
      </w:r>
      <w:r w:rsidR="00D5664A">
        <w:rPr>
          <w:kern w:val="0"/>
        </w:rPr>
        <w:t>H-Index</w:t>
      </w:r>
      <w:r w:rsidR="00B5188C">
        <w:rPr>
          <w:kern w:val="0"/>
        </w:rPr>
        <w:t>”</w:t>
      </w:r>
      <w:r>
        <w:rPr>
          <w:kern w:val="0"/>
        </w:rPr>
        <w:t xml:space="preserve"> as 52. A list</w:t>
      </w:r>
      <w:r w:rsidR="00427468">
        <w:rPr>
          <w:kern w:val="0"/>
        </w:rPr>
        <w:t xml:space="preserve"> of </w:t>
      </w:r>
      <w:r>
        <w:rPr>
          <w:kern w:val="0"/>
        </w:rPr>
        <w:t>most-cited 25 authors is produced</w:t>
      </w:r>
      <w:r w:rsidR="005853A9">
        <w:rPr>
          <w:kern w:val="0"/>
        </w:rPr>
        <w:t xml:space="preserve"> and </w:t>
      </w:r>
      <w:r>
        <w:rPr>
          <w:kern w:val="0"/>
        </w:rPr>
        <w:t>Chisti (2007) receives 320 citations with 80 total average citations per year. This paper is followed by Lewis</w:t>
      </w:r>
      <w:r w:rsidR="005853A9">
        <w:rPr>
          <w:kern w:val="0"/>
        </w:rPr>
        <w:t xml:space="preserve"> and </w:t>
      </w:r>
      <w:r>
        <w:rPr>
          <w:kern w:val="0"/>
        </w:rPr>
        <w:t xml:space="preserve">Nocera (2006; 296 citations). Demirbas (2001; 187 citations). </w:t>
      </w:r>
      <w:r>
        <w:rPr>
          <w:kern w:val="0"/>
        </w:rPr>
        <w:lastRenderedPageBreak/>
        <w:t>Chisti (2007) has</w:t>
      </w:r>
      <w:r w:rsidR="003A1917">
        <w:rPr>
          <w:kern w:val="0"/>
        </w:rPr>
        <w:t xml:space="preserve"> the </w:t>
      </w:r>
      <w:r>
        <w:rPr>
          <w:kern w:val="0"/>
        </w:rPr>
        <w:t>highest impact on</w:t>
      </w:r>
      <w:r w:rsidR="003A1917">
        <w:rPr>
          <w:kern w:val="0"/>
        </w:rPr>
        <w:t xml:space="preserve"> the </w:t>
      </w:r>
      <w:r>
        <w:rPr>
          <w:kern w:val="0"/>
        </w:rPr>
        <w:t>literature on</w:t>
      </w:r>
      <w:r w:rsidR="003A1917">
        <w:rPr>
          <w:kern w:val="0"/>
        </w:rPr>
        <w:t xml:space="preserve"> the </w:t>
      </w:r>
      <w:r>
        <w:rPr>
          <w:kern w:val="0"/>
        </w:rPr>
        <w:t>algae</w:t>
      </w:r>
      <w:r w:rsidR="005853A9">
        <w:rPr>
          <w:kern w:val="0"/>
        </w:rPr>
        <w:t xml:space="preserve"> and </w:t>
      </w:r>
      <w:r>
        <w:rPr>
          <w:kern w:val="0"/>
        </w:rPr>
        <w:t>energy with total average citations per year</w:t>
      </w:r>
      <w:r w:rsidR="00427468">
        <w:rPr>
          <w:kern w:val="0"/>
        </w:rPr>
        <w:t xml:space="preserve"> of </w:t>
      </w:r>
      <w:r>
        <w:rPr>
          <w:kern w:val="0"/>
        </w:rPr>
        <w:t>80. This is followed by Lewis</w:t>
      </w:r>
      <w:r w:rsidR="005853A9">
        <w:rPr>
          <w:kern w:val="0"/>
        </w:rPr>
        <w:t xml:space="preserve"> and </w:t>
      </w:r>
      <w:r>
        <w:rPr>
          <w:kern w:val="0"/>
        </w:rPr>
        <w:t>Nocera (2006, 59.8 annual citations)</w:t>
      </w:r>
      <w:r w:rsidR="005853A9">
        <w:rPr>
          <w:kern w:val="0"/>
        </w:rPr>
        <w:t xml:space="preserve"> and </w:t>
      </w:r>
      <w:r>
        <w:rPr>
          <w:kern w:val="0"/>
        </w:rPr>
        <w:t>Chisti (20(18, 41 annual citations). An analysis</w:t>
      </w:r>
      <w:r w:rsidR="00427468">
        <w:rPr>
          <w:kern w:val="0"/>
        </w:rPr>
        <w:t xml:space="preserve"> of </w:t>
      </w:r>
      <w:r w:rsidR="003A1917">
        <w:rPr>
          <w:kern w:val="0"/>
        </w:rPr>
        <w:t xml:space="preserve">the </w:t>
      </w:r>
      <w:r>
        <w:rPr>
          <w:kern w:val="0"/>
        </w:rPr>
        <w:t>citing papers shows</w:t>
      </w:r>
      <w:r w:rsidR="003A1917">
        <w:rPr>
          <w:kern w:val="0"/>
        </w:rPr>
        <w:t xml:space="preserve"> the </w:t>
      </w:r>
      <w:r>
        <w:rPr>
          <w:kern w:val="0"/>
        </w:rPr>
        <w:t>impact</w:t>
      </w:r>
      <w:r w:rsidR="00427468">
        <w:rPr>
          <w:kern w:val="0"/>
        </w:rPr>
        <w:t xml:space="preserve"> of </w:t>
      </w:r>
      <w:r w:rsidR="003A1917">
        <w:rPr>
          <w:kern w:val="0"/>
        </w:rPr>
        <w:t xml:space="preserve">the </w:t>
      </w:r>
      <w:r>
        <w:rPr>
          <w:kern w:val="0"/>
        </w:rPr>
        <w:t>research on</w:t>
      </w:r>
      <w:r w:rsidR="003A1917">
        <w:rPr>
          <w:kern w:val="0"/>
        </w:rPr>
        <w:t xml:space="preserve"> the </w:t>
      </w:r>
      <w:r>
        <w:rPr>
          <w:kern w:val="0"/>
        </w:rPr>
        <w:t>algae</w:t>
      </w:r>
      <w:r w:rsidR="005853A9">
        <w:rPr>
          <w:kern w:val="0"/>
        </w:rPr>
        <w:t xml:space="preserve"> and </w:t>
      </w:r>
      <w:r>
        <w:rPr>
          <w:kern w:val="0"/>
        </w:rPr>
        <w:t>bio-energy for</w:t>
      </w:r>
      <w:r w:rsidR="003A1917">
        <w:rPr>
          <w:kern w:val="0"/>
        </w:rPr>
        <w:t xml:space="preserve"> the </w:t>
      </w:r>
      <w:r>
        <w:rPr>
          <w:kern w:val="0"/>
        </w:rPr>
        <w:t>related academic disciplines. This provides further incentives for all</w:t>
      </w:r>
      <w:r w:rsidR="003A1917">
        <w:rPr>
          <w:kern w:val="0"/>
        </w:rPr>
        <w:t xml:space="preserve"> the </w:t>
      </w:r>
      <w:r>
        <w:rPr>
          <w:kern w:val="0"/>
        </w:rPr>
        <w:t>stakeholders</w:t>
      </w:r>
      <w:r w:rsidR="00427468">
        <w:rPr>
          <w:kern w:val="0"/>
        </w:rPr>
        <w:t xml:space="preserve"> of </w:t>
      </w:r>
      <w:r w:rsidR="003A1917">
        <w:rPr>
          <w:kern w:val="0"/>
        </w:rPr>
        <w:t xml:space="preserve">the </w:t>
      </w:r>
      <w:r>
        <w:rPr>
          <w:kern w:val="0"/>
        </w:rPr>
        <w:t>research on</w:t>
      </w:r>
      <w:r w:rsidR="003A1917">
        <w:rPr>
          <w:kern w:val="0"/>
        </w:rPr>
        <w:t xml:space="preserve"> the </w:t>
      </w:r>
      <w:r>
        <w:rPr>
          <w:kern w:val="0"/>
        </w:rPr>
        <w:t>algae</w:t>
      </w:r>
      <w:r w:rsidR="005853A9">
        <w:rPr>
          <w:kern w:val="0"/>
        </w:rPr>
        <w:t xml:space="preserve"> and </w:t>
      </w:r>
      <w:r>
        <w:rPr>
          <w:kern w:val="0"/>
        </w:rPr>
        <w:t>energy, but especially for</w:t>
      </w:r>
      <w:r w:rsidR="003A1917">
        <w:rPr>
          <w:kern w:val="0"/>
        </w:rPr>
        <w:t xml:space="preserve"> the </w:t>
      </w:r>
      <w:r>
        <w:rPr>
          <w:kern w:val="0"/>
        </w:rPr>
        <w:t>researchers</w:t>
      </w:r>
      <w:r w:rsidR="005853A9">
        <w:rPr>
          <w:kern w:val="0"/>
        </w:rPr>
        <w:t xml:space="preserve"> and </w:t>
      </w:r>
      <w:r>
        <w:rPr>
          <w:kern w:val="0"/>
        </w:rPr>
        <w:t>their institutions</w:t>
      </w:r>
      <w:r w:rsidR="005853A9">
        <w:rPr>
          <w:kern w:val="0"/>
        </w:rPr>
        <w:t xml:space="preserve"> and </w:t>
      </w:r>
      <w:r>
        <w:rPr>
          <w:kern w:val="0"/>
        </w:rPr>
        <w:t>their countries to do more research in this area</w:t>
      </w:r>
      <w:r w:rsidR="00A37C1D">
        <w:rPr>
          <w:kern w:val="0"/>
        </w:rPr>
        <w:t>. The</w:t>
      </w:r>
      <w:r w:rsidR="003A1917">
        <w:rPr>
          <w:kern w:val="0"/>
        </w:rPr>
        <w:t xml:space="preserve"> </w:t>
      </w:r>
      <w:r>
        <w:rPr>
          <w:kern w:val="0"/>
        </w:rPr>
        <w:t>results</w:t>
      </w:r>
      <w:r w:rsidR="00427468">
        <w:rPr>
          <w:kern w:val="0"/>
        </w:rPr>
        <w:t xml:space="preserve"> of </w:t>
      </w:r>
      <w:r>
        <w:rPr>
          <w:kern w:val="0"/>
        </w:rPr>
        <w:t>this first ever such study</w:t>
      </w:r>
      <w:r w:rsidR="00427468">
        <w:rPr>
          <w:kern w:val="0"/>
        </w:rPr>
        <w:t xml:space="preserve"> of </w:t>
      </w:r>
      <w:r>
        <w:rPr>
          <w:kern w:val="0"/>
        </w:rPr>
        <w:t>its kind show that</w:t>
      </w:r>
      <w:r w:rsidR="003A1917">
        <w:rPr>
          <w:kern w:val="0"/>
        </w:rPr>
        <w:t xml:space="preserve"> the </w:t>
      </w:r>
      <w:r>
        <w:rPr>
          <w:kern w:val="0"/>
        </w:rPr>
        <w:t>scientometric analysis has a great potential to gain valuable insights into</w:t>
      </w:r>
      <w:r w:rsidR="003A1917">
        <w:rPr>
          <w:kern w:val="0"/>
        </w:rPr>
        <w:t xml:space="preserve"> the </w:t>
      </w:r>
      <w:r>
        <w:rPr>
          <w:kern w:val="0"/>
        </w:rPr>
        <w:t>evolution</w:t>
      </w:r>
      <w:r w:rsidR="00427468">
        <w:rPr>
          <w:kern w:val="0"/>
        </w:rPr>
        <w:t xml:space="preserve"> of </w:t>
      </w:r>
      <w:r w:rsidR="003A1917">
        <w:rPr>
          <w:kern w:val="0"/>
        </w:rPr>
        <w:t xml:space="preserve">the </w:t>
      </w:r>
      <w:r>
        <w:rPr>
          <w:kern w:val="0"/>
        </w:rPr>
        <w:t>research</w:t>
      </w:r>
      <w:r w:rsidR="003A1917">
        <w:rPr>
          <w:kern w:val="0"/>
        </w:rPr>
        <w:t xml:space="preserve"> the </w:t>
      </w:r>
      <w:r>
        <w:rPr>
          <w:kern w:val="0"/>
        </w:rPr>
        <w:t>on algae</w:t>
      </w:r>
      <w:r w:rsidR="005853A9">
        <w:rPr>
          <w:kern w:val="0"/>
        </w:rPr>
        <w:t xml:space="preserve"> and </w:t>
      </w:r>
      <w:r>
        <w:rPr>
          <w:kern w:val="0"/>
        </w:rPr>
        <w:t>bio-energy as in</w:t>
      </w:r>
      <w:r w:rsidR="003A1917">
        <w:rPr>
          <w:kern w:val="0"/>
        </w:rPr>
        <w:t xml:space="preserve"> the </w:t>
      </w:r>
      <w:r>
        <w:rPr>
          <w:kern w:val="0"/>
        </w:rPr>
        <w:t>case</w:t>
      </w:r>
      <w:r w:rsidR="00427468">
        <w:rPr>
          <w:kern w:val="0"/>
        </w:rPr>
        <w:t xml:space="preserve"> of </w:t>
      </w:r>
      <w:r>
        <w:rPr>
          <w:kern w:val="0"/>
        </w:rPr>
        <w:t>new emerging technologies</w:t>
      </w:r>
      <w:r w:rsidR="005853A9">
        <w:rPr>
          <w:kern w:val="0"/>
        </w:rPr>
        <w:t xml:space="preserve"> and </w:t>
      </w:r>
      <w:r>
        <w:rPr>
          <w:kern w:val="0"/>
        </w:rPr>
        <w:t>processes such as nanoscience</w:t>
      </w:r>
      <w:r w:rsidR="005853A9">
        <w:rPr>
          <w:kern w:val="0"/>
        </w:rPr>
        <w:t xml:space="preserve"> and </w:t>
      </w:r>
      <w:r>
        <w:rPr>
          <w:kern w:val="0"/>
        </w:rPr>
        <w:t>nanotechnology complementing literature reviews, content analysis</w:t>
      </w:r>
      <w:r w:rsidR="005853A9">
        <w:rPr>
          <w:kern w:val="0"/>
        </w:rPr>
        <w:t xml:space="preserve"> and </w:t>
      </w:r>
      <w:r>
        <w:rPr>
          <w:kern w:val="0"/>
        </w:rPr>
        <w:t>metaanalysis research techniques. (C) 2010 Elsevier Ltd. All rights reserved.</w:t>
      </w:r>
    </w:p>
    <w:p w:rsidR="001C0A33" w:rsidRDefault="001C0A33" w:rsidP="001C0A33">
      <w:pPr>
        <w:pStyle w:val="a3"/>
        <w:rPr>
          <w:kern w:val="0"/>
        </w:rPr>
      </w:pPr>
      <w:r>
        <w:rPr>
          <w:kern w:val="0"/>
        </w:rPr>
        <w:t>Keywords: Algae, Authors, Bio-Energy, Biodiesel Production, Biofuel Production, Biofuels, Biomass, Challenges, China, Citation, Citations, Content Analysis, Efficiency, England, Evaluation, Flow, Fluorescence, Hydrogen-Production, Impact, Incentives, Journal, Literature, Microalga Chlorella-Protothecoides, Microalgae, Papers, Publishing, Research, Research Evaluation, Science, Scientometric Analysis, Scientometric Techniques, Scientometrics, Social Sciences, Stable-Isotopes</w:t>
      </w:r>
    </w:p>
    <w:p w:rsidR="00D733C5" w:rsidRDefault="00D733C5" w:rsidP="00D733C5">
      <w:pPr>
        <w:pStyle w:val="a3"/>
        <w:rPr>
          <w:kern w:val="0"/>
        </w:rPr>
      </w:pPr>
      <w:r>
        <w:rPr>
          <w:kern w:val="0"/>
        </w:rPr>
        <w:t>? Duan, L.P. (2011), Analysis</w:t>
      </w:r>
      <w:r w:rsidR="00427468">
        <w:rPr>
          <w:kern w:val="0"/>
        </w:rPr>
        <w:t xml:space="preserve"> of </w:t>
      </w:r>
      <w:r w:rsidR="003A1917">
        <w:rPr>
          <w:kern w:val="0"/>
        </w:rPr>
        <w:t xml:space="preserve">the </w:t>
      </w:r>
      <w:r>
        <w:rPr>
          <w:kern w:val="0"/>
        </w:rPr>
        <w:t>relationship between international cooperation</w:t>
      </w:r>
      <w:r w:rsidR="005853A9">
        <w:rPr>
          <w:kern w:val="0"/>
        </w:rPr>
        <w:t xml:space="preserve"> and </w:t>
      </w:r>
      <w:r>
        <w:rPr>
          <w:kern w:val="0"/>
        </w:rPr>
        <w:t xml:space="preserve">scientific publications in energy R&amp;D in China. </w:t>
      </w:r>
      <w:r>
        <w:rPr>
          <w:i/>
          <w:iCs/>
          <w:kern w:val="0"/>
        </w:rPr>
        <w:t>Applied Energy</w:t>
      </w:r>
      <w:r>
        <w:rPr>
          <w:kern w:val="0"/>
        </w:rPr>
        <w:t xml:space="preserve">, </w:t>
      </w:r>
      <w:r>
        <w:rPr>
          <w:b/>
          <w:bCs/>
          <w:kern w:val="0"/>
        </w:rPr>
        <w:t>88</w:t>
      </w:r>
      <w:r>
        <w:rPr>
          <w:kern w:val="0"/>
        </w:rPr>
        <w:t xml:space="preserve"> (12), 4229-4238.</w:t>
      </w:r>
    </w:p>
    <w:p w:rsidR="00D733C5" w:rsidRPr="00F219CA" w:rsidRDefault="00D733C5" w:rsidP="00D733C5">
      <w:pPr>
        <w:pStyle w:val="a3"/>
        <w:rPr>
          <w:kern w:val="0"/>
        </w:rPr>
      </w:pPr>
      <w:r w:rsidRPr="00F219CA">
        <w:rPr>
          <w:kern w:val="0"/>
        </w:rPr>
        <w:t xml:space="preserve">Full Text: </w:t>
      </w:r>
      <w:hyperlink r:id="rId1052" w:history="1">
        <w:r w:rsidRPr="00D733C5">
          <w:rPr>
            <w:rStyle w:val="a5"/>
            <w:kern w:val="0"/>
          </w:rPr>
          <w:t>2011\App Ene88, 4229.pdf</w:t>
        </w:r>
      </w:hyperlink>
    </w:p>
    <w:p w:rsidR="00D733C5" w:rsidRDefault="00D733C5" w:rsidP="00D733C5">
      <w:pPr>
        <w:pStyle w:val="a3"/>
        <w:rPr>
          <w:kern w:val="0"/>
        </w:rPr>
      </w:pPr>
      <w:r>
        <w:rPr>
          <w:kern w:val="0"/>
        </w:rPr>
        <w:t>Abstract: Energy is important for China</w:t>
      </w:r>
      <w:r w:rsidR="005853A9">
        <w:rPr>
          <w:kern w:val="0"/>
        </w:rPr>
        <w:t xml:space="preserve"> and </w:t>
      </w:r>
      <w:r>
        <w:rPr>
          <w:kern w:val="0"/>
        </w:rPr>
        <w:t>for</w:t>
      </w:r>
      <w:r w:rsidR="003A1917">
        <w:rPr>
          <w:kern w:val="0"/>
        </w:rPr>
        <w:t xml:space="preserve"> the </w:t>
      </w:r>
      <w:r>
        <w:rPr>
          <w:kern w:val="0"/>
        </w:rPr>
        <w:t>whole world. Previously,</w:t>
      </w:r>
      <w:r w:rsidR="003A1917">
        <w:rPr>
          <w:kern w:val="0"/>
        </w:rPr>
        <w:t xml:space="preserve"> the </w:t>
      </w:r>
      <w:r>
        <w:rPr>
          <w:kern w:val="0"/>
        </w:rPr>
        <w:t>huge investment in energy-related research</w:t>
      </w:r>
      <w:r w:rsidR="005853A9">
        <w:rPr>
          <w:kern w:val="0"/>
        </w:rPr>
        <w:t xml:space="preserve"> and </w:t>
      </w:r>
      <w:r>
        <w:rPr>
          <w:kern w:val="0"/>
        </w:rPr>
        <w:t>commercialisation made it possible for China to cooperate with its international partners in various channels,</w:t>
      </w:r>
      <w:r w:rsidR="005853A9">
        <w:rPr>
          <w:kern w:val="0"/>
        </w:rPr>
        <w:t xml:space="preserve"> and </w:t>
      </w:r>
      <w:r>
        <w:rPr>
          <w:kern w:val="0"/>
        </w:rPr>
        <w:t>programs involving international cooperation</w:t>
      </w:r>
      <w:r w:rsidR="005853A9">
        <w:rPr>
          <w:kern w:val="0"/>
        </w:rPr>
        <w:t xml:space="preserve"> and </w:t>
      </w:r>
      <w:r>
        <w:rPr>
          <w:kern w:val="0"/>
        </w:rPr>
        <w:t>co-published papers increased annually. In this paper, through</w:t>
      </w:r>
      <w:r w:rsidR="003A1917">
        <w:rPr>
          <w:kern w:val="0"/>
        </w:rPr>
        <w:t xml:space="preserve"> the </w:t>
      </w:r>
      <w:r>
        <w:rPr>
          <w:kern w:val="0"/>
        </w:rPr>
        <w:t>review</w:t>
      </w:r>
      <w:r w:rsidR="00427468">
        <w:rPr>
          <w:kern w:val="0"/>
        </w:rPr>
        <w:t xml:space="preserve"> of </w:t>
      </w:r>
      <w:r>
        <w:rPr>
          <w:kern w:val="0"/>
        </w:rPr>
        <w:t>intergovernmental cooperation programs</w:t>
      </w:r>
      <w:r w:rsidR="005853A9">
        <w:rPr>
          <w:kern w:val="0"/>
        </w:rPr>
        <w:t xml:space="preserve"> and </w:t>
      </w:r>
      <w:r>
        <w:rPr>
          <w:kern w:val="0"/>
        </w:rPr>
        <w:t>bibliometric analysis</w:t>
      </w:r>
      <w:r w:rsidR="00427468">
        <w:rPr>
          <w:kern w:val="0"/>
        </w:rPr>
        <w:t xml:space="preserve"> of </w:t>
      </w:r>
      <w:r w:rsidR="003A1917">
        <w:rPr>
          <w:kern w:val="0"/>
        </w:rPr>
        <w:t xml:space="preserve">the </w:t>
      </w:r>
      <w:r>
        <w:rPr>
          <w:kern w:val="0"/>
        </w:rPr>
        <w:t>top energy journals, it was found that: (1) intergovernmental cooperation</w:t>
      </w:r>
      <w:r w:rsidR="005853A9">
        <w:rPr>
          <w:kern w:val="0"/>
        </w:rPr>
        <w:t xml:space="preserve"> and </w:t>
      </w:r>
      <w:r>
        <w:rPr>
          <w:kern w:val="0"/>
        </w:rPr>
        <w:t>non-governmental cooperation are two effective channels for energy R&amp;D. (2) In these two channels, most participants</w:t>
      </w:r>
      <w:r w:rsidR="00427468">
        <w:rPr>
          <w:kern w:val="0"/>
        </w:rPr>
        <w:t xml:space="preserve"> of </w:t>
      </w:r>
      <w:r>
        <w:rPr>
          <w:kern w:val="0"/>
        </w:rPr>
        <w:t>international cooperation are universities</w:t>
      </w:r>
      <w:r w:rsidR="005853A9">
        <w:rPr>
          <w:kern w:val="0"/>
        </w:rPr>
        <w:t xml:space="preserve"> and </w:t>
      </w:r>
      <w:r>
        <w:rPr>
          <w:kern w:val="0"/>
        </w:rPr>
        <w:t>institutes,</w:t>
      </w:r>
      <w:r w:rsidR="005853A9">
        <w:rPr>
          <w:kern w:val="0"/>
        </w:rPr>
        <w:t xml:space="preserve"> and </w:t>
      </w:r>
      <w:r w:rsidR="003A1917">
        <w:rPr>
          <w:kern w:val="0"/>
        </w:rPr>
        <w:t xml:space="preserve">the </w:t>
      </w:r>
      <w:r>
        <w:rPr>
          <w:kern w:val="0"/>
        </w:rPr>
        <w:t>most important partner countries are</w:t>
      </w:r>
      <w:r w:rsidR="003A1917">
        <w:rPr>
          <w:kern w:val="0"/>
        </w:rPr>
        <w:t xml:space="preserve"> the </w:t>
      </w:r>
      <w:r>
        <w:rPr>
          <w:kern w:val="0"/>
        </w:rPr>
        <w:t>US, Japan,</w:t>
      </w:r>
      <w:r w:rsidR="005853A9">
        <w:rPr>
          <w:kern w:val="0"/>
        </w:rPr>
        <w:t xml:space="preserve"> and </w:t>
      </w:r>
      <w:r>
        <w:rPr>
          <w:kern w:val="0"/>
        </w:rPr>
        <w:t>European Countries. (3) Industries began to be involved in international cooperation gradually. (4) For different areas,</w:t>
      </w:r>
      <w:r w:rsidR="003A1917">
        <w:rPr>
          <w:kern w:val="0"/>
        </w:rPr>
        <w:t xml:space="preserve"> the </w:t>
      </w:r>
      <w:r>
        <w:rPr>
          <w:kern w:val="0"/>
        </w:rPr>
        <w:t>degree</w:t>
      </w:r>
      <w:r w:rsidR="00427468">
        <w:rPr>
          <w:kern w:val="0"/>
        </w:rPr>
        <w:t xml:space="preserve"> of </w:t>
      </w:r>
      <w:r>
        <w:rPr>
          <w:kern w:val="0"/>
        </w:rPr>
        <w:t>cooperation is not</w:t>
      </w:r>
      <w:r w:rsidR="003A1917">
        <w:rPr>
          <w:kern w:val="0"/>
        </w:rPr>
        <w:t xml:space="preserve"> the </w:t>
      </w:r>
      <w:r>
        <w:rPr>
          <w:kern w:val="0"/>
        </w:rPr>
        <w:t>same. Some areas have been more fruitful in cooperation, some are just beginning hydrogen energy, fuel energy</w:t>
      </w:r>
      <w:r w:rsidR="005853A9">
        <w:rPr>
          <w:kern w:val="0"/>
        </w:rPr>
        <w:t xml:space="preserve"> and </w:t>
      </w:r>
      <w:r>
        <w:rPr>
          <w:kern w:val="0"/>
        </w:rPr>
        <w:t>applied energy are</w:t>
      </w:r>
      <w:r w:rsidR="003A1917">
        <w:rPr>
          <w:kern w:val="0"/>
        </w:rPr>
        <w:t xml:space="preserve"> the </w:t>
      </w:r>
      <w:r>
        <w:rPr>
          <w:kern w:val="0"/>
        </w:rPr>
        <w:t>main co-publication areas with Chinese involvement; while wind energy, solar energy, fuel cells</w:t>
      </w:r>
      <w:r w:rsidR="005853A9">
        <w:rPr>
          <w:kern w:val="0"/>
        </w:rPr>
        <w:t xml:space="preserve"> and </w:t>
      </w:r>
      <w:r>
        <w:rPr>
          <w:kern w:val="0"/>
        </w:rPr>
        <w:t>bio-energy are new areas for China</w:t>
      </w:r>
      <w:r w:rsidR="005853A9">
        <w:rPr>
          <w:kern w:val="0"/>
        </w:rPr>
        <w:t xml:space="preserve"> and </w:t>
      </w:r>
      <w:r>
        <w:rPr>
          <w:kern w:val="0"/>
        </w:rPr>
        <w:t>there has not been so much co-publication until now. (C) 2011 Elsevier Ltd. All rights reserved.</w:t>
      </w:r>
    </w:p>
    <w:p w:rsidR="00D733C5" w:rsidRDefault="00D733C5" w:rsidP="00D733C5">
      <w:pPr>
        <w:pStyle w:val="a3"/>
        <w:rPr>
          <w:kern w:val="0"/>
        </w:rPr>
      </w:pPr>
      <w:r>
        <w:rPr>
          <w:kern w:val="0"/>
        </w:rPr>
        <w:t xml:space="preserve">Keywords: Analysis, Bibliometric, Bibliometric Analysis, China, Cooperation, Energy, Energy R&amp;D, Gas Hydrate, India, International Cooperation, Involvement, Japan, </w:t>
      </w:r>
      <w:r>
        <w:rPr>
          <w:kern w:val="0"/>
        </w:rPr>
        <w:lastRenderedPageBreak/>
        <w:t>Journals, Papers, Prediction, Publications, Research, Review, Scientific Publications, US</w:t>
      </w:r>
    </w:p>
    <w:p w:rsidR="00480E14" w:rsidRDefault="00480E14" w:rsidP="00480E14">
      <w:pPr>
        <w:pStyle w:val="a3"/>
        <w:rPr>
          <w:kern w:val="0"/>
        </w:rPr>
      </w:pPr>
      <w:r>
        <w:rPr>
          <w:rFonts w:hint="eastAsia"/>
          <w:kern w:val="0"/>
        </w:rPr>
        <w:t xml:space="preserve">? </w:t>
      </w:r>
      <w:r>
        <w:rPr>
          <w:kern w:val="0"/>
        </w:rPr>
        <w:t>Kiriyama, E., Kajikawa, Y., Fujita, K.</w:t>
      </w:r>
      <w:r w:rsidR="005853A9">
        <w:rPr>
          <w:kern w:val="0"/>
        </w:rPr>
        <w:t xml:space="preserve"> and </w:t>
      </w:r>
      <w:r>
        <w:rPr>
          <w:kern w:val="0"/>
        </w:rPr>
        <w:t>Iwata, S. (2013), A lead for transvaluation</w:t>
      </w:r>
      <w:r w:rsidR="00427468">
        <w:rPr>
          <w:kern w:val="0"/>
        </w:rPr>
        <w:t xml:space="preserve"> of </w:t>
      </w:r>
      <w:r>
        <w:rPr>
          <w:kern w:val="0"/>
        </w:rPr>
        <w:t>global nuclear energy research</w:t>
      </w:r>
      <w:r w:rsidR="005853A9">
        <w:rPr>
          <w:kern w:val="0"/>
        </w:rPr>
        <w:t xml:space="preserve"> and </w:t>
      </w:r>
      <w:r>
        <w:rPr>
          <w:kern w:val="0"/>
        </w:rPr>
        <w:t xml:space="preserve">funded projects in Japan. </w:t>
      </w:r>
      <w:r>
        <w:rPr>
          <w:i/>
          <w:iCs/>
          <w:kern w:val="0"/>
        </w:rPr>
        <w:t>Applied Energy</w:t>
      </w:r>
      <w:r>
        <w:rPr>
          <w:kern w:val="0"/>
        </w:rPr>
        <w:t xml:space="preserve">, </w:t>
      </w:r>
      <w:r>
        <w:rPr>
          <w:b/>
          <w:bCs/>
          <w:kern w:val="0"/>
        </w:rPr>
        <w:t>109</w:t>
      </w:r>
      <w:r>
        <w:rPr>
          <w:kern w:val="0"/>
        </w:rPr>
        <w:t>, 145-153.</w:t>
      </w:r>
    </w:p>
    <w:p w:rsidR="00480E14" w:rsidRPr="00F219CA" w:rsidRDefault="00480E14" w:rsidP="00480E14">
      <w:pPr>
        <w:pStyle w:val="a3"/>
        <w:rPr>
          <w:kern w:val="0"/>
        </w:rPr>
      </w:pPr>
      <w:r w:rsidRPr="00F219CA">
        <w:rPr>
          <w:kern w:val="0"/>
        </w:rPr>
        <w:t xml:space="preserve">Full Text: </w:t>
      </w:r>
      <w:hyperlink r:id="rId1053" w:history="1">
        <w:r w:rsidR="001D3A71" w:rsidRPr="001D3A71">
          <w:rPr>
            <w:rStyle w:val="a5"/>
            <w:kern w:val="0"/>
          </w:rPr>
          <w:t>2013\App Ene109, 145.pdf</w:t>
        </w:r>
      </w:hyperlink>
    </w:p>
    <w:p w:rsidR="00480E14" w:rsidRDefault="00480E14" w:rsidP="00480E14">
      <w:pPr>
        <w:pStyle w:val="a3"/>
        <w:rPr>
          <w:kern w:val="0"/>
        </w:rPr>
      </w:pPr>
      <w:r>
        <w:rPr>
          <w:kern w:val="0"/>
        </w:rPr>
        <w:t>Abstract: The decision-making process that precedes the introduction</w:t>
      </w:r>
      <w:r w:rsidR="00427468">
        <w:rPr>
          <w:kern w:val="0"/>
        </w:rPr>
        <w:t xml:space="preserve"> of </w:t>
      </w:r>
      <w:r>
        <w:rPr>
          <w:kern w:val="0"/>
        </w:rPr>
        <w:t>a new energy system should strive for a balance among human security, environmental safeguards, energy security, proliferation risk, economic risks, etc. For nuclear energy, the Fukushima Daiichi nuclear disaster (Fukushima disaster) has brought forth a strong need for transvaluation</w:t>
      </w:r>
      <w:r w:rsidR="00427468">
        <w:rPr>
          <w:kern w:val="0"/>
        </w:rPr>
        <w:t xml:space="preserve"> of </w:t>
      </w:r>
      <w:r>
        <w:rPr>
          <w:kern w:val="0"/>
        </w:rPr>
        <w:t>the present technology. Here, we analyzed bibliographic records</w:t>
      </w:r>
      <w:r w:rsidR="00427468">
        <w:rPr>
          <w:kern w:val="0"/>
        </w:rPr>
        <w:t xml:space="preserve"> of </w:t>
      </w:r>
      <w:r>
        <w:rPr>
          <w:kern w:val="0"/>
        </w:rPr>
        <w:t>publications in nuclear science</w:t>
      </w:r>
      <w:r w:rsidR="005853A9">
        <w:rPr>
          <w:kern w:val="0"/>
        </w:rPr>
        <w:t xml:space="preserve"> and </w:t>
      </w:r>
      <w:r>
        <w:rPr>
          <w:kern w:val="0"/>
        </w:rPr>
        <w:t>technology to illustrate an overview</w:t>
      </w:r>
      <w:r w:rsidR="005853A9">
        <w:rPr>
          <w:kern w:val="0"/>
        </w:rPr>
        <w:t xml:space="preserve"> and </w:t>
      </w:r>
      <w:r>
        <w:rPr>
          <w:kern w:val="0"/>
        </w:rPr>
        <w:t>trends in nuclear energy technology</w:t>
      </w:r>
      <w:r w:rsidR="005853A9">
        <w:rPr>
          <w:kern w:val="0"/>
        </w:rPr>
        <w:t xml:space="preserve"> and </w:t>
      </w:r>
      <w:r>
        <w:rPr>
          <w:kern w:val="0"/>
        </w:rPr>
        <w:t>related fields by using citation network analysis. We also analyzed funding data</w:t>
      </w:r>
      <w:r w:rsidR="005853A9">
        <w:rPr>
          <w:kern w:val="0"/>
        </w:rPr>
        <w:t xml:space="preserve"> and </w:t>
      </w:r>
      <w:r>
        <w:rPr>
          <w:kern w:val="0"/>
        </w:rPr>
        <w:t>keywords assigned for each project by co-occurrence network analysis. This research integrates citation network analysis</w:t>
      </w:r>
      <w:r w:rsidR="005853A9">
        <w:rPr>
          <w:kern w:val="0"/>
        </w:rPr>
        <w:t xml:space="preserve"> and </w:t>
      </w:r>
      <w:r>
        <w:rPr>
          <w:kern w:val="0"/>
        </w:rPr>
        <w:t>bibliometric keyword analysis to compare the global trends in nuclear energy research</w:t>
      </w:r>
      <w:r w:rsidR="005853A9">
        <w:rPr>
          <w:kern w:val="0"/>
        </w:rPr>
        <w:t xml:space="preserve"> and </w:t>
      </w:r>
      <w:r>
        <w:rPr>
          <w:kern w:val="0"/>
        </w:rPr>
        <w:t>characteristics</w:t>
      </w:r>
      <w:r w:rsidR="00427468">
        <w:rPr>
          <w:kern w:val="0"/>
        </w:rPr>
        <w:t xml:space="preserve"> of </w:t>
      </w:r>
      <w:r>
        <w:rPr>
          <w:kern w:val="0"/>
        </w:rPr>
        <w:t>research conducted at universities</w:t>
      </w:r>
      <w:r w:rsidR="005853A9">
        <w:rPr>
          <w:kern w:val="0"/>
        </w:rPr>
        <w:t xml:space="preserve"> and </w:t>
      </w:r>
      <w:r>
        <w:rPr>
          <w:kern w:val="0"/>
        </w:rPr>
        <w:t>institutes in Japan. We show that the Chernobyl accident had only a limited influence on basic research</w:t>
      </w:r>
      <w:r w:rsidR="00A37C1D">
        <w:rPr>
          <w:kern w:val="0"/>
        </w:rPr>
        <w:t>. The</w:t>
      </w:r>
      <w:r>
        <w:rPr>
          <w:kern w:val="0"/>
        </w:rPr>
        <w:t xml:space="preserve"> results</w:t>
      </w:r>
      <w:r w:rsidR="00427468">
        <w:rPr>
          <w:kern w:val="0"/>
        </w:rPr>
        <w:t xml:space="preserve"> of </w:t>
      </w:r>
      <w:r>
        <w:rPr>
          <w:kern w:val="0"/>
        </w:rPr>
        <w:t>papers are dispersed in diverse areas</w:t>
      </w:r>
      <w:r w:rsidR="00427468">
        <w:rPr>
          <w:kern w:val="0"/>
        </w:rPr>
        <w:t xml:space="preserve"> of </w:t>
      </w:r>
      <w:r>
        <w:rPr>
          <w:kern w:val="0"/>
        </w:rPr>
        <w:t>nuclear energy technology research,</w:t>
      </w:r>
      <w:r w:rsidR="005853A9">
        <w:rPr>
          <w:kern w:val="0"/>
        </w:rPr>
        <w:t xml:space="preserve"> and </w:t>
      </w:r>
      <w:r>
        <w:rPr>
          <w:kern w:val="0"/>
        </w:rPr>
        <w:t>the results</w:t>
      </w:r>
      <w:r w:rsidR="00427468">
        <w:rPr>
          <w:kern w:val="0"/>
        </w:rPr>
        <w:t xml:space="preserve"> of </w:t>
      </w:r>
      <w:r>
        <w:rPr>
          <w:kern w:val="0"/>
        </w:rPr>
        <w:t>KAKEN projects in Japan are highly influenced by national energy policy with a focus on nuclear fuel cycle for energy security, although KAKEN allows much freedom in the selection</w:t>
      </w:r>
      <w:r w:rsidR="00427468">
        <w:rPr>
          <w:kern w:val="0"/>
        </w:rPr>
        <w:t xml:space="preserve"> of </w:t>
      </w:r>
      <w:r>
        <w:rPr>
          <w:kern w:val="0"/>
        </w:rPr>
        <w:t>research projects to academic community. (C) 2013 Elsevier Ltd. All rights reserved.</w:t>
      </w:r>
    </w:p>
    <w:p w:rsidR="00480E14" w:rsidRDefault="00480E14" w:rsidP="00480E14">
      <w:pPr>
        <w:pStyle w:val="a3"/>
        <w:rPr>
          <w:kern w:val="0"/>
        </w:rPr>
      </w:pPr>
      <w:r>
        <w:rPr>
          <w:kern w:val="0"/>
        </w:rPr>
        <w:t>Keywords: Accident, Analysis, Bibliographic, Bibliometric, Bibliometrics, Characteristics, Chernobyl, Citation, Citation Network, Citation Network Analysis, Community, Data, Database Tomography, Decision Making, Decision-Making, Decision-Making Process, Economic, Energy, Energy Policy, Energy Technology R&amp;D, Environmental, Freedom, Funding, Global, Global Trends, Human, Influence, Investment, Japan, Lead, Network, Network Analysis, Nuclear Energy Research, Nuclear Science</w:t>
      </w:r>
      <w:r w:rsidR="005853A9">
        <w:rPr>
          <w:kern w:val="0"/>
        </w:rPr>
        <w:t xml:space="preserve"> and </w:t>
      </w:r>
      <w:r>
        <w:rPr>
          <w:kern w:val="0"/>
        </w:rPr>
        <w:t>Technology, Papers, Policy, Power, Proliferation, Publications, Records, Reductions, Research, Research-And-Development, Rights, Risk, Risks, Science, Science</w:t>
      </w:r>
      <w:r w:rsidR="005853A9">
        <w:rPr>
          <w:kern w:val="0"/>
        </w:rPr>
        <w:t xml:space="preserve"> and </w:t>
      </w:r>
      <w:r>
        <w:rPr>
          <w:kern w:val="0"/>
        </w:rPr>
        <w:t>Technology, Security, Selection, Si, Technologies, Technology, Trends, Universities</w:t>
      </w:r>
    </w:p>
    <w:p w:rsidR="001D3A71" w:rsidRDefault="001D3A71" w:rsidP="001D3A71">
      <w:pPr>
        <w:pStyle w:val="a3"/>
        <w:rPr>
          <w:kern w:val="0"/>
        </w:rPr>
      </w:pPr>
      <w:r>
        <w:rPr>
          <w:kern w:val="0"/>
        </w:rPr>
        <w:t xml:space="preserve">? Kiriyama, E. and Kajikawa, Y. (2014), A multilayered analysis of energy security research and the energy supply process. </w:t>
      </w:r>
      <w:r>
        <w:rPr>
          <w:i/>
          <w:iCs/>
          <w:kern w:val="0"/>
        </w:rPr>
        <w:t>Applied Energy</w:t>
      </w:r>
      <w:r>
        <w:rPr>
          <w:kern w:val="0"/>
        </w:rPr>
        <w:t xml:space="preserve">, </w:t>
      </w:r>
      <w:r>
        <w:rPr>
          <w:b/>
          <w:bCs/>
          <w:kern w:val="0"/>
        </w:rPr>
        <w:t>123</w:t>
      </w:r>
      <w:r>
        <w:rPr>
          <w:kern w:val="0"/>
        </w:rPr>
        <w:t>, 415-423.</w:t>
      </w:r>
    </w:p>
    <w:p w:rsidR="001D3A71" w:rsidRPr="00F219CA" w:rsidRDefault="001D3A71" w:rsidP="001D3A71">
      <w:pPr>
        <w:pStyle w:val="a3"/>
        <w:rPr>
          <w:kern w:val="0"/>
        </w:rPr>
      </w:pPr>
      <w:r w:rsidRPr="00F219CA">
        <w:rPr>
          <w:kern w:val="0"/>
        </w:rPr>
        <w:t xml:space="preserve">Full Text: </w:t>
      </w:r>
      <w:hyperlink r:id="rId1054" w:history="1">
        <w:r w:rsidRPr="008369CA">
          <w:rPr>
            <w:rStyle w:val="a5"/>
            <w:kern w:val="0"/>
          </w:rPr>
          <w:t>2014\App Ene109, 415.pdf</w:t>
        </w:r>
      </w:hyperlink>
    </w:p>
    <w:p w:rsidR="001D3A71" w:rsidRDefault="001D3A71" w:rsidP="001D3A71">
      <w:pPr>
        <w:pStyle w:val="a3"/>
        <w:rPr>
          <w:kern w:val="0"/>
        </w:rPr>
      </w:pPr>
      <w:r>
        <w:rPr>
          <w:kern w:val="0"/>
        </w:rPr>
        <w:t xml:space="preserve">Abstract: After the Fukushima nuclear disaster, a reassessment of the energy system is needed in order to include such aspects as human security and resilience. More open and careful discussions are needed concerning the various risks and uncertainties of </w:t>
      </w:r>
      <w:r>
        <w:rPr>
          <w:kern w:val="0"/>
        </w:rPr>
        <w:lastRenderedPageBreak/>
        <w:t>future energy options, both in Japan and globally. In this paper, we aim to offer a fundamental basis for discourse on energy security by analyzing the status and trends in academic publications on that issue. Our bibliometrics analysis indicates that research has shifted from promoting strategies for ensuring the self-sufficiency of the primary energy to diversification of the secondary energy supply chain by introducing energy networks consisting of an infrastructure established through international coordination. In the literature, the concept of energy security is ambiguous and allows for multiple interpretations. Our results illustrate the existence of highly multidisciplinary topics within energy security, which can be categorized into four perspectives: geopolitical, economic, policy related, and technological. (C) 2014 Elsevier Ltd. All rights reserved.</w:t>
      </w:r>
    </w:p>
    <w:p w:rsidR="001D3A71" w:rsidRDefault="001D3A71" w:rsidP="001D3A71">
      <w:pPr>
        <w:pStyle w:val="a3"/>
        <w:rPr>
          <w:kern w:val="0"/>
        </w:rPr>
      </w:pPr>
      <w:r>
        <w:rPr>
          <w:kern w:val="0"/>
        </w:rPr>
        <w:t>Keywords: Analysis, Asia, Battery Electric Vehicles, Bibliometrics, Bibliometrics Analysis, Biofuels, China, Climate-Change, Concept, Coordination, Database Tomography, Discourse, Economic, Energy, Energy Policy, Energy Security, Energy Supply Chain, Fuel-Cell, Human, Infrastructure, Integration, International, Japan, Literature, Multidisciplinary, Network Analysis, Networks, Open, Options, Perspective, Policy, Primary, Publications, Renewable Energy, Research, Resilience, Rights, Risks, Security, Si, Trends, Uncertainties</w:t>
      </w:r>
    </w:p>
    <w:p w:rsidR="00122A87" w:rsidRPr="00F219CA" w:rsidRDefault="00122A87" w:rsidP="00122A87">
      <w:pPr>
        <w:pStyle w:val="1"/>
      </w:pPr>
      <w:r w:rsidRPr="00F219CA">
        <w:br w:type="page"/>
      </w:r>
      <w:bookmarkStart w:id="540" w:name="_Toc420814552"/>
      <w:r w:rsidRPr="00F219CA">
        <w:lastRenderedPageBreak/>
        <w:t>Title: Applied Linguistics</w:t>
      </w:r>
      <w:bookmarkEnd w:id="540"/>
    </w:p>
    <w:p w:rsidR="00122A87" w:rsidRPr="00F219CA" w:rsidRDefault="00122A87" w:rsidP="00122A87">
      <w:pPr>
        <w:pStyle w:val="12"/>
      </w:pPr>
      <w:r w:rsidRPr="00F219CA">
        <w:t>Full Journal Title:</w:t>
      </w:r>
      <w:bookmarkStart w:id="541" w:name="_Toc276883681"/>
      <w:r w:rsidRPr="00F219CA">
        <w:t xml:space="preserve"> Applied Linguistics</w:t>
      </w:r>
    </w:p>
    <w:p w:rsidR="00122A87" w:rsidRPr="00F219CA" w:rsidRDefault="00122A87" w:rsidP="00122A87">
      <w:pPr>
        <w:pStyle w:val="12"/>
      </w:pPr>
      <w:r w:rsidRPr="00F219CA">
        <w:t>ISO A</w:t>
      </w:r>
      <w:bookmarkEnd w:id="541"/>
      <w:r w:rsidRPr="00F219CA">
        <w:t xml:space="preserve">bbreviated Title: </w:t>
      </w:r>
    </w:p>
    <w:p w:rsidR="00122A87" w:rsidRPr="00F219CA" w:rsidRDefault="00122A87" w:rsidP="00122A87">
      <w:pPr>
        <w:pStyle w:val="12"/>
      </w:pPr>
      <w:r w:rsidRPr="00F219CA">
        <w:t xml:space="preserve">JCR Abbreviated Title: </w:t>
      </w:r>
    </w:p>
    <w:p w:rsidR="00122A87" w:rsidRPr="00F219CA" w:rsidRDefault="00122A87" w:rsidP="00122A87">
      <w:pPr>
        <w:pStyle w:val="12"/>
      </w:pPr>
      <w:r w:rsidRPr="00F219CA">
        <w:t xml:space="preserve">ISSN: </w:t>
      </w:r>
    </w:p>
    <w:p w:rsidR="00122A87" w:rsidRPr="00F219CA" w:rsidRDefault="00122A87" w:rsidP="00122A87">
      <w:pPr>
        <w:pStyle w:val="12"/>
      </w:pPr>
      <w:r w:rsidRPr="00F219CA">
        <w:t xml:space="preserve">Issues/Year: </w:t>
      </w:r>
    </w:p>
    <w:p w:rsidR="00122A87" w:rsidRPr="00F219CA" w:rsidRDefault="00122A87" w:rsidP="00122A87">
      <w:pPr>
        <w:pStyle w:val="12"/>
      </w:pPr>
      <w:r w:rsidRPr="00F219CA">
        <w:t xml:space="preserve">Journal Country/Territory: </w:t>
      </w:r>
    </w:p>
    <w:p w:rsidR="00122A87" w:rsidRPr="00F219CA" w:rsidRDefault="00122A87" w:rsidP="00122A87">
      <w:pPr>
        <w:pStyle w:val="12"/>
      </w:pPr>
      <w:r w:rsidRPr="00F219CA">
        <w:t xml:space="preserve">Language: </w:t>
      </w:r>
    </w:p>
    <w:p w:rsidR="00122A87" w:rsidRPr="00F219CA" w:rsidRDefault="00122A87" w:rsidP="00122A87">
      <w:pPr>
        <w:pStyle w:val="12"/>
      </w:pPr>
      <w:r w:rsidRPr="00F219CA">
        <w:t xml:space="preserve">Publisher: </w:t>
      </w:r>
    </w:p>
    <w:p w:rsidR="00122A87" w:rsidRPr="00F219CA" w:rsidRDefault="00122A87" w:rsidP="00122A87">
      <w:pPr>
        <w:pStyle w:val="12"/>
      </w:pPr>
      <w:r w:rsidRPr="00F219CA">
        <w:t xml:space="preserve">Publisher Address: </w:t>
      </w:r>
    </w:p>
    <w:p w:rsidR="00122A87" w:rsidRPr="00F219CA" w:rsidRDefault="00122A87" w:rsidP="00122A87">
      <w:pPr>
        <w:pStyle w:val="12"/>
      </w:pPr>
      <w:r w:rsidRPr="00F219CA">
        <w:t>Subject Categories:</w:t>
      </w:r>
    </w:p>
    <w:p w:rsidR="00122A87" w:rsidRPr="00F219CA" w:rsidRDefault="00122A87" w:rsidP="00122A87">
      <w:pPr>
        <w:pStyle w:val="12"/>
      </w:pPr>
      <w:r w:rsidRPr="00F219CA">
        <w:t xml:space="preserve">: Impact Factor </w:t>
      </w:r>
    </w:p>
    <w:p w:rsidR="00122A87" w:rsidRPr="00F219CA" w:rsidRDefault="00122A87" w:rsidP="00122A87">
      <w:pPr>
        <w:pStyle w:val="a3"/>
        <w:rPr>
          <w:kern w:val="0"/>
          <w:szCs w:val="24"/>
        </w:rPr>
      </w:pPr>
      <w:r w:rsidRPr="00F219CA">
        <w:rPr>
          <w:kern w:val="0"/>
          <w:szCs w:val="24"/>
        </w:rPr>
        <w:t>? White, H.D. (2004), Citation analysis</w:t>
      </w:r>
      <w:r w:rsidR="005853A9">
        <w:rPr>
          <w:kern w:val="0"/>
          <w:szCs w:val="24"/>
        </w:rPr>
        <w:t xml:space="preserve"> and </w:t>
      </w:r>
      <w:r w:rsidRPr="00F219CA">
        <w:rPr>
          <w:kern w:val="0"/>
          <w:szCs w:val="24"/>
        </w:rPr>
        <w:t xml:space="preserve">discourse analysis revisited. </w:t>
      </w:r>
      <w:r w:rsidRPr="00F219CA">
        <w:rPr>
          <w:i/>
          <w:iCs/>
          <w:kern w:val="0"/>
          <w:szCs w:val="24"/>
        </w:rPr>
        <w:t>Applied Linguistics</w:t>
      </w:r>
      <w:r w:rsidRPr="00F219CA">
        <w:rPr>
          <w:kern w:val="0"/>
          <w:szCs w:val="24"/>
        </w:rPr>
        <w:t xml:space="preserve">, </w:t>
      </w:r>
      <w:r w:rsidRPr="00F219CA">
        <w:rPr>
          <w:b/>
          <w:bCs/>
          <w:kern w:val="0"/>
          <w:szCs w:val="24"/>
        </w:rPr>
        <w:t>25</w:t>
      </w:r>
      <w:r w:rsidRPr="00F219CA">
        <w:rPr>
          <w:kern w:val="0"/>
          <w:szCs w:val="24"/>
        </w:rPr>
        <w:t xml:space="preserve"> (1), 89-116.</w:t>
      </w:r>
    </w:p>
    <w:p w:rsidR="00122A87" w:rsidRPr="00F219CA" w:rsidRDefault="00122A87" w:rsidP="00122A87">
      <w:pPr>
        <w:pStyle w:val="a3"/>
        <w:rPr>
          <w:kern w:val="0"/>
          <w:szCs w:val="24"/>
        </w:rPr>
      </w:pPr>
      <w:r>
        <w:rPr>
          <w:rFonts w:hint="eastAsia"/>
          <w:kern w:val="0"/>
          <w:szCs w:val="24"/>
        </w:rPr>
        <w:t xml:space="preserve">Full Text: </w:t>
      </w:r>
      <w:hyperlink r:id="rId1055" w:history="1">
        <w:r w:rsidRPr="00520DD3">
          <w:rPr>
            <w:rStyle w:val="a5"/>
            <w:kern w:val="0"/>
            <w:szCs w:val="24"/>
          </w:rPr>
          <w:t>2004\App Lin25, 89.pdf</w:t>
        </w:r>
      </w:hyperlink>
    </w:p>
    <w:p w:rsidR="00122A87" w:rsidRPr="00F219CA" w:rsidRDefault="00122A87" w:rsidP="00122A87">
      <w:pPr>
        <w:pStyle w:val="a3"/>
        <w:rPr>
          <w:kern w:val="0"/>
          <w:szCs w:val="24"/>
        </w:rPr>
      </w:pPr>
      <w:r w:rsidRPr="00F219CA">
        <w:rPr>
          <w:kern w:val="0"/>
          <w:szCs w:val="24"/>
        </w:rPr>
        <w:t>Abstract: John Swales</w:t>
      </w:r>
      <w:r w:rsidR="00700038">
        <w:rPr>
          <w:kern w:val="0"/>
          <w:szCs w:val="24"/>
        </w:rPr>
        <w:t>’</w:t>
      </w:r>
      <w:r w:rsidR="00C13DDC">
        <w:rPr>
          <w:kern w:val="0"/>
          <w:szCs w:val="24"/>
        </w:rPr>
        <w:t>s</w:t>
      </w:r>
      <w:r w:rsidRPr="00F219CA">
        <w:rPr>
          <w:kern w:val="0"/>
          <w:szCs w:val="24"/>
        </w:rPr>
        <w:t xml:space="preserve"> 1986 article </w:t>
      </w:r>
      <w:r w:rsidR="00700038">
        <w:rPr>
          <w:kern w:val="0"/>
          <w:szCs w:val="24"/>
        </w:rPr>
        <w:t>‘</w:t>
      </w:r>
      <w:r w:rsidRPr="00F219CA">
        <w:rPr>
          <w:kern w:val="0"/>
          <w:szCs w:val="24"/>
        </w:rPr>
        <w:t>Citation analysis</w:t>
      </w:r>
      <w:r w:rsidR="005853A9">
        <w:rPr>
          <w:kern w:val="0"/>
          <w:szCs w:val="24"/>
        </w:rPr>
        <w:t xml:space="preserve"> and </w:t>
      </w:r>
      <w:r w:rsidRPr="00F219CA">
        <w:rPr>
          <w:kern w:val="0"/>
          <w:szCs w:val="24"/>
        </w:rPr>
        <w:t>discourse analysis</w:t>
      </w:r>
      <w:r w:rsidR="00700038">
        <w:rPr>
          <w:kern w:val="0"/>
          <w:szCs w:val="24"/>
        </w:rPr>
        <w:t>’</w:t>
      </w:r>
      <w:r w:rsidRPr="00F219CA">
        <w:rPr>
          <w:kern w:val="0"/>
          <w:szCs w:val="24"/>
        </w:rPr>
        <w:t xml:space="preserve"> was written by a discourse analyst to introduce citation research from other fields, mainly sociology</w:t>
      </w:r>
      <w:r w:rsidR="00427468">
        <w:rPr>
          <w:kern w:val="0"/>
          <w:szCs w:val="24"/>
        </w:rPr>
        <w:t xml:space="preserve"> of </w:t>
      </w:r>
      <w:r w:rsidRPr="00F219CA">
        <w:rPr>
          <w:kern w:val="0"/>
          <w:szCs w:val="24"/>
        </w:rPr>
        <w:t>science, to his own discipline. Here, I introduce applied linguists</w:t>
      </w:r>
      <w:r w:rsidR="005853A9">
        <w:rPr>
          <w:kern w:val="0"/>
          <w:szCs w:val="24"/>
        </w:rPr>
        <w:t xml:space="preserve"> and </w:t>
      </w:r>
      <w:r w:rsidRPr="00F219CA">
        <w:rPr>
          <w:kern w:val="0"/>
          <w:szCs w:val="24"/>
        </w:rPr>
        <w:t>discourse analysts to citation studies from information science, a complementary tradition not emphasized by Swales. Using replicable bibliometric techniques, I show that interdisciplinary ties have grown among citation researchers from discourse analysis, sociology</w:t>
      </w:r>
      <w:r w:rsidR="00427468">
        <w:rPr>
          <w:kern w:val="0"/>
          <w:szCs w:val="24"/>
        </w:rPr>
        <w:t xml:space="preserve"> of </w:t>
      </w:r>
      <w:r w:rsidRPr="00F219CA">
        <w:rPr>
          <w:kern w:val="0"/>
          <w:szCs w:val="24"/>
        </w:rPr>
        <w:t>science,</w:t>
      </w:r>
      <w:r w:rsidR="005853A9">
        <w:rPr>
          <w:kern w:val="0"/>
          <w:szCs w:val="24"/>
        </w:rPr>
        <w:t xml:space="preserve"> and </w:t>
      </w:r>
      <w:r w:rsidRPr="00F219CA">
        <w:rPr>
          <w:kern w:val="0"/>
          <w:szCs w:val="24"/>
        </w:rPr>
        <w:t>information science in</w:t>
      </w:r>
      <w:r w:rsidR="003A1917">
        <w:rPr>
          <w:kern w:val="0"/>
          <w:szCs w:val="24"/>
        </w:rPr>
        <w:t xml:space="preserve"> the </w:t>
      </w:r>
      <w:r w:rsidRPr="00F219CA">
        <w:rPr>
          <w:kern w:val="0"/>
          <w:szCs w:val="24"/>
        </w:rPr>
        <w:t>years since Swales wrote. Key authors, journals, articles,</w:t>
      </w:r>
      <w:r w:rsidR="005853A9">
        <w:rPr>
          <w:kern w:val="0"/>
          <w:szCs w:val="24"/>
        </w:rPr>
        <w:t xml:space="preserve"> and </w:t>
      </w:r>
      <w:r w:rsidRPr="00F219CA">
        <w:rPr>
          <w:kern w:val="0"/>
          <w:szCs w:val="24"/>
        </w:rPr>
        <w:t>books are presented in tables based on cocitation data from</w:t>
      </w:r>
      <w:r w:rsidR="003A1917">
        <w:rPr>
          <w:kern w:val="0"/>
          <w:szCs w:val="24"/>
        </w:rPr>
        <w:t xml:space="preserve"> the </w:t>
      </w:r>
      <w:r w:rsidRPr="00F219CA">
        <w:rPr>
          <w:kern w:val="0"/>
          <w:szCs w:val="24"/>
        </w:rPr>
        <w:t>Institute for Scientific Information. While theoretical integration</w:t>
      </w:r>
      <w:r w:rsidR="00427468">
        <w:rPr>
          <w:kern w:val="0"/>
          <w:szCs w:val="24"/>
        </w:rPr>
        <w:t xml:space="preserve"> of </w:t>
      </w:r>
      <w:r w:rsidR="003A1917">
        <w:rPr>
          <w:kern w:val="0"/>
          <w:szCs w:val="24"/>
        </w:rPr>
        <w:t xml:space="preserve">the </w:t>
      </w:r>
      <w:r w:rsidRPr="00F219CA">
        <w:rPr>
          <w:kern w:val="0"/>
          <w:szCs w:val="24"/>
        </w:rPr>
        <w:t>different strands</w:t>
      </w:r>
      <w:r w:rsidR="00427468">
        <w:rPr>
          <w:kern w:val="0"/>
          <w:szCs w:val="24"/>
        </w:rPr>
        <w:t xml:space="preserve"> of </w:t>
      </w:r>
      <w:r w:rsidRPr="00F219CA">
        <w:rPr>
          <w:kern w:val="0"/>
          <w:szCs w:val="24"/>
        </w:rPr>
        <w:t>research is far from complete, this article carries</w:t>
      </w:r>
      <w:r w:rsidR="003A1917">
        <w:rPr>
          <w:kern w:val="0"/>
          <w:szCs w:val="24"/>
        </w:rPr>
        <w:t xml:space="preserve"> the </w:t>
      </w:r>
      <w:r w:rsidRPr="00F219CA">
        <w:rPr>
          <w:kern w:val="0"/>
          <w:szCs w:val="24"/>
        </w:rPr>
        <w:t>effort forward by reviewing contributions from</w:t>
      </w:r>
      <w:r w:rsidR="003A1917">
        <w:rPr>
          <w:kern w:val="0"/>
          <w:szCs w:val="24"/>
        </w:rPr>
        <w:t xml:space="preserve"> the </w:t>
      </w:r>
      <w:r w:rsidRPr="00F219CA">
        <w:rPr>
          <w:kern w:val="0"/>
          <w:szCs w:val="24"/>
        </w:rPr>
        <w:t>1970s to</w:t>
      </w:r>
      <w:r w:rsidR="003A1917">
        <w:rPr>
          <w:kern w:val="0"/>
          <w:szCs w:val="24"/>
        </w:rPr>
        <w:t xml:space="preserve"> the </w:t>
      </w:r>
      <w:r w:rsidRPr="00F219CA">
        <w:rPr>
          <w:kern w:val="0"/>
          <w:szCs w:val="24"/>
        </w:rPr>
        <w:t>present in three major lines</w:t>
      </w:r>
      <w:r w:rsidR="00427468">
        <w:rPr>
          <w:kern w:val="0"/>
          <w:szCs w:val="24"/>
        </w:rPr>
        <w:t xml:space="preserve"> of </w:t>
      </w:r>
      <w:r w:rsidRPr="00F219CA">
        <w:rPr>
          <w:kern w:val="0"/>
          <w:szCs w:val="24"/>
        </w:rPr>
        <w:t>research: citation classification, content analysis</w:t>
      </w:r>
      <w:r w:rsidR="00427468">
        <w:rPr>
          <w:kern w:val="0"/>
          <w:szCs w:val="24"/>
        </w:rPr>
        <w:t xml:space="preserve"> of </w:t>
      </w:r>
      <w:r w:rsidRPr="00F219CA">
        <w:rPr>
          <w:kern w:val="0"/>
          <w:szCs w:val="24"/>
        </w:rPr>
        <w:t>citation contexts,</w:t>
      </w:r>
      <w:r w:rsidR="005853A9">
        <w:rPr>
          <w:kern w:val="0"/>
          <w:szCs w:val="24"/>
        </w:rPr>
        <w:t xml:space="preserve"> and </w:t>
      </w:r>
      <w:r w:rsidRPr="00F219CA">
        <w:rPr>
          <w:kern w:val="0"/>
          <w:szCs w:val="24"/>
        </w:rPr>
        <w:t>studies</w:t>
      </w:r>
      <w:r w:rsidR="00427468">
        <w:rPr>
          <w:kern w:val="0"/>
          <w:szCs w:val="24"/>
        </w:rPr>
        <w:t xml:space="preserve"> of </w:t>
      </w:r>
      <w:r w:rsidRPr="00F219CA">
        <w:rPr>
          <w:kern w:val="0"/>
          <w:szCs w:val="24"/>
        </w:rPr>
        <w:t>citer motivations. I pay particular attention to ideas that bear on teaching</w:t>
      </w:r>
      <w:r w:rsidR="003A1917">
        <w:rPr>
          <w:kern w:val="0"/>
          <w:szCs w:val="24"/>
        </w:rPr>
        <w:t xml:space="preserve"> the </w:t>
      </w:r>
      <w:r w:rsidRPr="00F219CA">
        <w:rPr>
          <w:kern w:val="0"/>
          <w:szCs w:val="24"/>
        </w:rPr>
        <w:t>art</w:t>
      </w:r>
      <w:r w:rsidR="00427468">
        <w:rPr>
          <w:kern w:val="0"/>
          <w:szCs w:val="24"/>
        </w:rPr>
        <w:t xml:space="preserve"> of </w:t>
      </w:r>
      <w:r w:rsidRPr="00F219CA">
        <w:rPr>
          <w:kern w:val="0"/>
          <w:szCs w:val="24"/>
        </w:rPr>
        <w:t>citing-for example, in courses in English for research purposes-and to controversies in citation research</w:t>
      </w:r>
      <w:r w:rsidR="00427468">
        <w:rPr>
          <w:kern w:val="0"/>
          <w:szCs w:val="24"/>
        </w:rPr>
        <w:t xml:space="preserve"> of </w:t>
      </w:r>
      <w:r w:rsidRPr="00F219CA">
        <w:rPr>
          <w:kern w:val="0"/>
          <w:szCs w:val="24"/>
        </w:rPr>
        <w:t>interest to discourse analysts.</w:t>
      </w:r>
    </w:p>
    <w:p w:rsidR="00122A87" w:rsidRPr="00F219CA" w:rsidRDefault="00122A87" w:rsidP="00122A87">
      <w:pPr>
        <w:pStyle w:val="a3"/>
        <w:rPr>
          <w:kern w:val="0"/>
          <w:szCs w:val="24"/>
        </w:rPr>
      </w:pPr>
      <w:r w:rsidRPr="00F219CA">
        <w:rPr>
          <w:kern w:val="0"/>
          <w:szCs w:val="24"/>
        </w:rPr>
        <w:t>Keywords: Authors, Behavior, Bibliometric, Citation, Citation Analysis, Citer Motivations, Classification, Content Analysis, Documents, Information Science, Information-Science, Journals, Knowledge, Model, Research, Science, Scientific Articles, Self-Citations, Sociology</w:t>
      </w:r>
      <w:r w:rsidR="00427468">
        <w:rPr>
          <w:kern w:val="0"/>
          <w:szCs w:val="24"/>
        </w:rPr>
        <w:t xml:space="preserve"> of </w:t>
      </w:r>
      <w:r w:rsidRPr="00F219CA">
        <w:rPr>
          <w:kern w:val="0"/>
          <w:szCs w:val="24"/>
        </w:rPr>
        <w:t>Science</w:t>
      </w:r>
    </w:p>
    <w:p w:rsidR="00D12710" w:rsidRDefault="00D12710" w:rsidP="00D12710">
      <w:pPr>
        <w:pStyle w:val="a3"/>
        <w:rPr>
          <w:kern w:val="0"/>
          <w:szCs w:val="24"/>
        </w:rPr>
      </w:pPr>
      <w:r>
        <w:rPr>
          <w:rFonts w:hint="eastAsia"/>
          <w:kern w:val="0"/>
          <w:szCs w:val="24"/>
        </w:rPr>
        <w:t xml:space="preserve">? </w:t>
      </w:r>
      <w:r>
        <w:rPr>
          <w:kern w:val="0"/>
          <w:szCs w:val="24"/>
        </w:rPr>
        <w:t>Shi, L. (2010), Textual appropriation</w:t>
      </w:r>
      <w:r w:rsidR="005853A9">
        <w:rPr>
          <w:kern w:val="0"/>
          <w:szCs w:val="24"/>
        </w:rPr>
        <w:t xml:space="preserve"> and </w:t>
      </w:r>
      <w:r>
        <w:rPr>
          <w:kern w:val="0"/>
          <w:szCs w:val="24"/>
        </w:rPr>
        <w:t>citing behaviors</w:t>
      </w:r>
      <w:r w:rsidR="00427468">
        <w:rPr>
          <w:kern w:val="0"/>
          <w:szCs w:val="24"/>
        </w:rPr>
        <w:t xml:space="preserve"> of </w:t>
      </w:r>
      <w:r>
        <w:rPr>
          <w:kern w:val="0"/>
          <w:szCs w:val="24"/>
        </w:rPr>
        <w:t xml:space="preserve">university undergraduates. </w:t>
      </w:r>
      <w:r>
        <w:rPr>
          <w:i/>
          <w:iCs/>
          <w:kern w:val="0"/>
          <w:szCs w:val="24"/>
        </w:rPr>
        <w:t>Applied Linguistics</w:t>
      </w:r>
      <w:r>
        <w:rPr>
          <w:kern w:val="0"/>
          <w:szCs w:val="24"/>
        </w:rPr>
        <w:t xml:space="preserve">, </w:t>
      </w:r>
      <w:r>
        <w:rPr>
          <w:b/>
          <w:bCs/>
          <w:kern w:val="0"/>
          <w:szCs w:val="24"/>
        </w:rPr>
        <w:t>31</w:t>
      </w:r>
      <w:r>
        <w:rPr>
          <w:kern w:val="0"/>
          <w:szCs w:val="24"/>
        </w:rPr>
        <w:t xml:space="preserve"> (1), 1-24.</w:t>
      </w:r>
    </w:p>
    <w:p w:rsidR="00D12710" w:rsidRPr="00F219CA" w:rsidRDefault="00D12710" w:rsidP="00D12710">
      <w:pPr>
        <w:pStyle w:val="a3"/>
        <w:rPr>
          <w:kern w:val="0"/>
          <w:szCs w:val="24"/>
        </w:rPr>
      </w:pPr>
      <w:r>
        <w:rPr>
          <w:rFonts w:hint="eastAsia"/>
          <w:kern w:val="0"/>
          <w:szCs w:val="24"/>
        </w:rPr>
        <w:t xml:space="preserve">Full Text: </w:t>
      </w:r>
      <w:hyperlink r:id="rId1056" w:history="1">
        <w:r w:rsidRPr="00D12710">
          <w:rPr>
            <w:rStyle w:val="a5"/>
            <w:kern w:val="0"/>
            <w:szCs w:val="24"/>
          </w:rPr>
          <w:t>2010\App Lin31, 1.pdf</w:t>
        </w:r>
      </w:hyperlink>
    </w:p>
    <w:p w:rsidR="00D12710" w:rsidRDefault="00D12710" w:rsidP="00D12710">
      <w:pPr>
        <w:pStyle w:val="a3"/>
        <w:rPr>
          <w:kern w:val="0"/>
          <w:szCs w:val="24"/>
        </w:rPr>
      </w:pPr>
      <w:r>
        <w:rPr>
          <w:kern w:val="0"/>
          <w:szCs w:val="24"/>
        </w:rPr>
        <w:lastRenderedPageBreak/>
        <w:t>Abstract: This article explores</w:t>
      </w:r>
      <w:r w:rsidR="003A1917">
        <w:rPr>
          <w:kern w:val="0"/>
          <w:szCs w:val="24"/>
        </w:rPr>
        <w:t xml:space="preserve"> the </w:t>
      </w:r>
      <w:r>
        <w:rPr>
          <w:kern w:val="0"/>
          <w:szCs w:val="24"/>
        </w:rPr>
        <w:t>citing behaviors</w:t>
      </w:r>
      <w:r w:rsidR="00427468">
        <w:rPr>
          <w:kern w:val="0"/>
          <w:szCs w:val="24"/>
        </w:rPr>
        <w:t xml:space="preserve"> of </w:t>
      </w:r>
      <w:r>
        <w:rPr>
          <w:kern w:val="0"/>
          <w:szCs w:val="24"/>
        </w:rPr>
        <w:t>16 undergraduates in a North American university. After completing a research paper for their disciplinary courses, each participating student was interviewed to identify in his/her writing words</w:t>
      </w:r>
      <w:r w:rsidR="005853A9">
        <w:rPr>
          <w:kern w:val="0"/>
          <w:szCs w:val="24"/>
        </w:rPr>
        <w:t xml:space="preserve"> and </w:t>
      </w:r>
      <w:r>
        <w:rPr>
          <w:kern w:val="0"/>
          <w:szCs w:val="24"/>
        </w:rPr>
        <w:t>ideas borrowed from source texts</w:t>
      </w:r>
      <w:r w:rsidR="005853A9">
        <w:rPr>
          <w:kern w:val="0"/>
          <w:szCs w:val="24"/>
        </w:rPr>
        <w:t xml:space="preserve"> and </w:t>
      </w:r>
      <w:r>
        <w:rPr>
          <w:kern w:val="0"/>
          <w:szCs w:val="24"/>
        </w:rPr>
        <w:t>to explain why</w:t>
      </w:r>
      <w:r w:rsidR="005853A9">
        <w:rPr>
          <w:kern w:val="0"/>
          <w:szCs w:val="24"/>
        </w:rPr>
        <w:t xml:space="preserve"> and </w:t>
      </w:r>
      <w:r>
        <w:rPr>
          <w:kern w:val="0"/>
          <w:szCs w:val="24"/>
        </w:rPr>
        <w:t>how</w:t>
      </w:r>
      <w:r w:rsidR="003A1917">
        <w:rPr>
          <w:kern w:val="0"/>
          <w:szCs w:val="24"/>
        </w:rPr>
        <w:t xml:space="preserve"> the </w:t>
      </w:r>
      <w:r>
        <w:rPr>
          <w:kern w:val="0"/>
          <w:szCs w:val="24"/>
        </w:rPr>
        <w:t>relevant texts were appropriated with or without citations. Analysis</w:t>
      </w:r>
      <w:r w:rsidR="00427468">
        <w:rPr>
          <w:kern w:val="0"/>
          <w:szCs w:val="24"/>
        </w:rPr>
        <w:t xml:space="preserve"> of </w:t>
      </w:r>
      <w:r>
        <w:rPr>
          <w:kern w:val="0"/>
          <w:szCs w:val="24"/>
        </w:rPr>
        <w:t>students writing</w:t>
      </w:r>
      <w:r w:rsidR="005853A9">
        <w:rPr>
          <w:kern w:val="0"/>
          <w:szCs w:val="24"/>
        </w:rPr>
        <w:t xml:space="preserve"> and </w:t>
      </w:r>
      <w:r>
        <w:rPr>
          <w:kern w:val="0"/>
          <w:szCs w:val="24"/>
        </w:rPr>
        <w:t>comments illustrates how they relied on source texts for various aspects</w:t>
      </w:r>
      <w:r w:rsidR="00427468">
        <w:rPr>
          <w:kern w:val="0"/>
          <w:szCs w:val="24"/>
        </w:rPr>
        <w:t xml:space="preserve"> of </w:t>
      </w:r>
      <w:r>
        <w:rPr>
          <w:kern w:val="0"/>
          <w:szCs w:val="24"/>
        </w:rPr>
        <w:t>their essays, some</w:t>
      </w:r>
      <w:r w:rsidR="00427468">
        <w:rPr>
          <w:kern w:val="0"/>
          <w:szCs w:val="24"/>
        </w:rPr>
        <w:t xml:space="preserve"> of </w:t>
      </w:r>
      <w:r>
        <w:rPr>
          <w:kern w:val="0"/>
          <w:szCs w:val="24"/>
        </w:rPr>
        <w:t>which they believed required citations while some</w:t>
      </w:r>
      <w:r w:rsidR="00427468">
        <w:rPr>
          <w:kern w:val="0"/>
          <w:szCs w:val="24"/>
        </w:rPr>
        <w:t xml:space="preserve"> of </w:t>
      </w:r>
      <w:r>
        <w:rPr>
          <w:kern w:val="0"/>
          <w:szCs w:val="24"/>
        </w:rPr>
        <w:t>which did not. Results showed that they tried to strike a balance between</w:t>
      </w:r>
      <w:r w:rsidR="003A1917">
        <w:rPr>
          <w:kern w:val="0"/>
          <w:szCs w:val="24"/>
        </w:rPr>
        <w:t xml:space="preserve"> the </w:t>
      </w:r>
      <w:r>
        <w:rPr>
          <w:kern w:val="0"/>
          <w:szCs w:val="24"/>
        </w:rPr>
        <w:t>need to cite published authors to gain credit for</w:t>
      </w:r>
      <w:r w:rsidR="003A1917">
        <w:rPr>
          <w:kern w:val="0"/>
          <w:szCs w:val="24"/>
        </w:rPr>
        <w:t xml:space="preserve"> the </w:t>
      </w:r>
      <w:r>
        <w:rPr>
          <w:kern w:val="0"/>
          <w:szCs w:val="24"/>
        </w:rPr>
        <w:t>scholarly quality</w:t>
      </w:r>
      <w:r w:rsidR="00427468">
        <w:rPr>
          <w:kern w:val="0"/>
          <w:szCs w:val="24"/>
        </w:rPr>
        <w:t xml:space="preserve"> of </w:t>
      </w:r>
      <w:r>
        <w:rPr>
          <w:kern w:val="0"/>
          <w:szCs w:val="24"/>
        </w:rPr>
        <w:t>their writing</w:t>
      </w:r>
      <w:r w:rsidR="005853A9">
        <w:rPr>
          <w:kern w:val="0"/>
          <w:szCs w:val="24"/>
        </w:rPr>
        <w:t xml:space="preserve"> and </w:t>
      </w:r>
      <w:r w:rsidR="003A1917">
        <w:rPr>
          <w:kern w:val="0"/>
          <w:szCs w:val="24"/>
        </w:rPr>
        <w:t xml:space="preserve">the </w:t>
      </w:r>
      <w:r>
        <w:rPr>
          <w:kern w:val="0"/>
          <w:szCs w:val="24"/>
        </w:rPr>
        <w:t>desire to establish their own voice by limiting</w:t>
      </w:r>
      <w:r w:rsidR="003A1917">
        <w:rPr>
          <w:kern w:val="0"/>
          <w:szCs w:val="24"/>
        </w:rPr>
        <w:t xml:space="preserve"> the </w:t>
      </w:r>
      <w:r>
        <w:rPr>
          <w:kern w:val="0"/>
          <w:szCs w:val="24"/>
        </w:rPr>
        <w:t>extent to which they cited other texts. Some students also reported how they chose between quoting</w:t>
      </w:r>
      <w:r w:rsidR="005853A9">
        <w:rPr>
          <w:kern w:val="0"/>
          <w:szCs w:val="24"/>
        </w:rPr>
        <w:t xml:space="preserve"> and </w:t>
      </w:r>
      <w:r>
        <w:rPr>
          <w:kern w:val="0"/>
          <w:szCs w:val="24"/>
        </w:rPr>
        <w:t>paraphrasing (though</w:t>
      </w:r>
      <w:r w:rsidR="003A1917">
        <w:rPr>
          <w:kern w:val="0"/>
          <w:szCs w:val="24"/>
        </w:rPr>
        <w:t xml:space="preserve"> the </w:t>
      </w:r>
      <w:r>
        <w:rPr>
          <w:kern w:val="0"/>
          <w:szCs w:val="24"/>
        </w:rPr>
        <w:t>latter sometimes contained direct copying) on</w:t>
      </w:r>
      <w:r w:rsidR="003A1917">
        <w:rPr>
          <w:kern w:val="0"/>
          <w:szCs w:val="24"/>
        </w:rPr>
        <w:t xml:space="preserve"> the </w:t>
      </w:r>
      <w:r>
        <w:rPr>
          <w:kern w:val="0"/>
          <w:szCs w:val="24"/>
        </w:rPr>
        <w:t>basis</w:t>
      </w:r>
      <w:r w:rsidR="00427468">
        <w:rPr>
          <w:kern w:val="0"/>
          <w:szCs w:val="24"/>
        </w:rPr>
        <w:t xml:space="preserve"> of </w:t>
      </w:r>
      <w:r>
        <w:rPr>
          <w:kern w:val="0"/>
          <w:szCs w:val="24"/>
        </w:rPr>
        <w:t>their ability to rephrase others words</w:t>
      </w:r>
      <w:r w:rsidR="005853A9">
        <w:rPr>
          <w:kern w:val="0"/>
          <w:szCs w:val="24"/>
        </w:rPr>
        <w:t xml:space="preserve"> and </w:t>
      </w:r>
      <w:r>
        <w:rPr>
          <w:kern w:val="0"/>
          <w:szCs w:val="24"/>
        </w:rPr>
        <w:t>their understanding</w:t>
      </w:r>
      <w:r w:rsidR="00427468">
        <w:rPr>
          <w:kern w:val="0"/>
          <w:szCs w:val="24"/>
        </w:rPr>
        <w:t xml:space="preserve"> of </w:t>
      </w:r>
      <w:r w:rsidR="003A1917">
        <w:rPr>
          <w:kern w:val="0"/>
          <w:szCs w:val="24"/>
        </w:rPr>
        <w:t xml:space="preserve">the </w:t>
      </w:r>
      <w:r>
        <w:rPr>
          <w:kern w:val="0"/>
          <w:szCs w:val="24"/>
        </w:rPr>
        <w:t>different roles played by</w:t>
      </w:r>
      <w:r w:rsidR="003A1917">
        <w:rPr>
          <w:kern w:val="0"/>
          <w:szCs w:val="24"/>
        </w:rPr>
        <w:t xml:space="preserve"> the </w:t>
      </w:r>
      <w:r>
        <w:rPr>
          <w:kern w:val="0"/>
          <w:szCs w:val="24"/>
        </w:rPr>
        <w:t>two</w:t>
      </w:r>
      <w:r w:rsidR="00A37C1D">
        <w:rPr>
          <w:kern w:val="0"/>
          <w:szCs w:val="24"/>
        </w:rPr>
        <w:t>. The</w:t>
      </w:r>
      <w:r w:rsidR="003A1917">
        <w:rPr>
          <w:kern w:val="0"/>
          <w:szCs w:val="24"/>
        </w:rPr>
        <w:t xml:space="preserve"> </w:t>
      </w:r>
      <w:r>
        <w:rPr>
          <w:kern w:val="0"/>
          <w:szCs w:val="24"/>
        </w:rPr>
        <w:t>study indicates</w:t>
      </w:r>
      <w:r w:rsidR="003A1917">
        <w:rPr>
          <w:kern w:val="0"/>
          <w:szCs w:val="24"/>
        </w:rPr>
        <w:t xml:space="preserve"> the </w:t>
      </w:r>
      <w:r>
        <w:rPr>
          <w:kern w:val="0"/>
          <w:szCs w:val="24"/>
        </w:rPr>
        <w:t>degree to which citational acts are discursive markings</w:t>
      </w:r>
      <w:r w:rsidR="00427468">
        <w:rPr>
          <w:kern w:val="0"/>
          <w:szCs w:val="24"/>
        </w:rPr>
        <w:t xml:space="preserve"> of </w:t>
      </w:r>
      <w:r>
        <w:rPr>
          <w:kern w:val="0"/>
          <w:szCs w:val="24"/>
        </w:rPr>
        <w:t>learning</w:t>
      </w:r>
      <w:r w:rsidR="005853A9">
        <w:rPr>
          <w:kern w:val="0"/>
          <w:szCs w:val="24"/>
        </w:rPr>
        <w:t xml:space="preserve"> and </w:t>
      </w:r>
      <w:r>
        <w:rPr>
          <w:kern w:val="0"/>
          <w:szCs w:val="24"/>
        </w:rPr>
        <w:t>knowledge construction.</w:t>
      </w:r>
    </w:p>
    <w:p w:rsidR="00D12710" w:rsidRDefault="00D12710" w:rsidP="00D12710">
      <w:pPr>
        <w:pStyle w:val="a3"/>
        <w:rPr>
          <w:kern w:val="0"/>
          <w:szCs w:val="24"/>
        </w:rPr>
      </w:pPr>
      <w:r>
        <w:rPr>
          <w:kern w:val="0"/>
          <w:szCs w:val="24"/>
        </w:rPr>
        <w:t>Keywords: Authors, Citations, Essays, Learning, Plagiarism, Research, University</w:t>
      </w:r>
    </w:p>
    <w:p w:rsidR="006C6544" w:rsidRPr="00F219CA" w:rsidRDefault="006C6544" w:rsidP="006C6544">
      <w:pPr>
        <w:pStyle w:val="1"/>
      </w:pPr>
      <w:r w:rsidRPr="00F219CA">
        <w:br w:type="page"/>
      </w:r>
      <w:bookmarkStart w:id="542" w:name="_Toc420814553"/>
      <w:r w:rsidRPr="00F219CA">
        <w:lastRenderedPageBreak/>
        <w:t xml:space="preserve">Title: </w:t>
      </w:r>
      <w:r w:rsidRPr="00EB1047">
        <w:t>Applied Mathematics &amp; Information Sciences</w:t>
      </w:r>
      <w:bookmarkEnd w:id="542"/>
    </w:p>
    <w:p w:rsidR="006C6544" w:rsidRPr="00F219CA" w:rsidRDefault="006C6544" w:rsidP="006C6544">
      <w:pPr>
        <w:pStyle w:val="12"/>
      </w:pPr>
      <w:r w:rsidRPr="00F219CA">
        <w:t xml:space="preserve">Full Journal Title: </w:t>
      </w:r>
      <w:r w:rsidRPr="00EB1047">
        <w:rPr>
          <w:iCs/>
          <w:kern w:val="0"/>
        </w:rPr>
        <w:t>Applied Mathematics &amp; Information Sciences</w:t>
      </w:r>
    </w:p>
    <w:p w:rsidR="006C6544" w:rsidRPr="00F219CA" w:rsidRDefault="006C6544" w:rsidP="006C6544">
      <w:pPr>
        <w:pStyle w:val="12"/>
      </w:pPr>
      <w:r w:rsidRPr="00F219CA">
        <w:t xml:space="preserve">ISO Abbreviated Title: </w:t>
      </w:r>
    </w:p>
    <w:p w:rsidR="006C6544" w:rsidRPr="00F219CA" w:rsidRDefault="006C6544" w:rsidP="006C6544">
      <w:pPr>
        <w:pStyle w:val="12"/>
      </w:pPr>
      <w:r w:rsidRPr="00F219CA">
        <w:t xml:space="preserve">JCR Abbreviated Title: </w:t>
      </w:r>
    </w:p>
    <w:p w:rsidR="006C6544" w:rsidRPr="00F219CA" w:rsidRDefault="006C6544" w:rsidP="006C6544">
      <w:pPr>
        <w:pStyle w:val="12"/>
      </w:pPr>
      <w:r w:rsidRPr="00F219CA">
        <w:t xml:space="preserve">ISSN: </w:t>
      </w:r>
    </w:p>
    <w:p w:rsidR="006C6544" w:rsidRPr="00F219CA" w:rsidRDefault="006C6544" w:rsidP="006C6544">
      <w:pPr>
        <w:pStyle w:val="12"/>
      </w:pPr>
      <w:r w:rsidRPr="00F219CA">
        <w:t xml:space="preserve">Issues/Year: </w:t>
      </w:r>
    </w:p>
    <w:p w:rsidR="006C6544" w:rsidRPr="00F219CA" w:rsidRDefault="006C6544" w:rsidP="006C6544">
      <w:pPr>
        <w:pStyle w:val="12"/>
      </w:pPr>
      <w:r w:rsidRPr="00F219CA">
        <w:t xml:space="preserve">Journal Country/Territory: </w:t>
      </w:r>
    </w:p>
    <w:p w:rsidR="006C6544" w:rsidRPr="00F219CA" w:rsidRDefault="006C6544" w:rsidP="006C6544">
      <w:pPr>
        <w:pStyle w:val="12"/>
      </w:pPr>
      <w:r w:rsidRPr="00F219CA">
        <w:t xml:space="preserve">Language: </w:t>
      </w:r>
    </w:p>
    <w:p w:rsidR="006C6544" w:rsidRPr="00F219CA" w:rsidRDefault="006C6544" w:rsidP="006C6544">
      <w:pPr>
        <w:pStyle w:val="12"/>
      </w:pPr>
      <w:r w:rsidRPr="00F219CA">
        <w:t xml:space="preserve">Publisher: </w:t>
      </w:r>
    </w:p>
    <w:p w:rsidR="006C6544" w:rsidRPr="00F219CA" w:rsidRDefault="006C6544" w:rsidP="006C6544">
      <w:pPr>
        <w:pStyle w:val="12"/>
      </w:pPr>
      <w:r w:rsidRPr="00F219CA">
        <w:t xml:space="preserve">Publisher Address: </w:t>
      </w:r>
    </w:p>
    <w:p w:rsidR="006C6544" w:rsidRPr="00F219CA" w:rsidRDefault="006C6544" w:rsidP="006C6544">
      <w:pPr>
        <w:pStyle w:val="12"/>
      </w:pPr>
      <w:r w:rsidRPr="00F219CA">
        <w:t xml:space="preserve">Subject Categories: </w:t>
      </w:r>
    </w:p>
    <w:p w:rsidR="006C6544" w:rsidRPr="00F219CA" w:rsidRDefault="006C6544" w:rsidP="006C6544">
      <w:pPr>
        <w:pStyle w:val="12"/>
      </w:pPr>
      <w:r w:rsidRPr="00F219CA">
        <w:t xml:space="preserve">: Impact Factor </w:t>
      </w:r>
    </w:p>
    <w:p w:rsidR="006C6544" w:rsidRDefault="006C6544" w:rsidP="006C6544">
      <w:pPr>
        <w:pStyle w:val="a3"/>
        <w:rPr>
          <w:kern w:val="0"/>
        </w:rPr>
      </w:pPr>
      <w:r>
        <w:rPr>
          <w:rFonts w:hint="eastAsia"/>
          <w:kern w:val="0"/>
        </w:rPr>
        <w:t xml:space="preserve">? </w:t>
      </w:r>
      <w:r>
        <w:rPr>
          <w:kern w:val="0"/>
        </w:rPr>
        <w:t>Dai, L., Ding, L.X., Lei, Y.W.</w:t>
      </w:r>
      <w:r w:rsidR="005853A9">
        <w:rPr>
          <w:kern w:val="0"/>
        </w:rPr>
        <w:t xml:space="preserve"> and </w:t>
      </w:r>
      <w:r>
        <w:rPr>
          <w:kern w:val="0"/>
        </w:rPr>
        <w:t>Tian, Y.G. (2012), A study</w:t>
      </w:r>
      <w:r w:rsidR="00427468">
        <w:rPr>
          <w:kern w:val="0"/>
        </w:rPr>
        <w:t xml:space="preserve"> of </w:t>
      </w:r>
      <w:r>
        <w:rPr>
          <w:kern w:val="0"/>
        </w:rPr>
        <w:t>data mining trend through</w:t>
      </w:r>
      <w:r w:rsidR="003A1917">
        <w:rPr>
          <w:kern w:val="0"/>
        </w:rPr>
        <w:t xml:space="preserve"> the </w:t>
      </w:r>
      <w:r>
        <w:rPr>
          <w:kern w:val="0"/>
        </w:rPr>
        <w:t xml:space="preserve">optimized bibliometric methodology based on SCI database from 1993 to 2011. </w:t>
      </w:r>
      <w:r w:rsidRPr="00EB1047">
        <w:rPr>
          <w:i/>
          <w:iCs/>
          <w:kern w:val="0"/>
        </w:rPr>
        <w:t>Applied Mathematics &amp; Information Sciences</w:t>
      </w:r>
      <w:r>
        <w:rPr>
          <w:kern w:val="0"/>
        </w:rPr>
        <w:t xml:space="preserve">, </w:t>
      </w:r>
      <w:r>
        <w:rPr>
          <w:b/>
          <w:bCs/>
          <w:kern w:val="0"/>
        </w:rPr>
        <w:t>6</w:t>
      </w:r>
      <w:r>
        <w:rPr>
          <w:kern w:val="0"/>
        </w:rPr>
        <w:t xml:space="preserve"> (3), 705-712.</w:t>
      </w:r>
    </w:p>
    <w:p w:rsidR="006C6544" w:rsidRDefault="006C6544" w:rsidP="006C6544">
      <w:pPr>
        <w:pStyle w:val="a3"/>
        <w:rPr>
          <w:kern w:val="0"/>
        </w:rPr>
      </w:pPr>
      <w:r>
        <w:rPr>
          <w:rFonts w:hint="eastAsia"/>
          <w:kern w:val="0"/>
        </w:rPr>
        <w:t>Full Text: 2012\</w:t>
      </w:r>
      <w:r>
        <w:rPr>
          <w:iCs/>
          <w:kern w:val="0"/>
        </w:rPr>
        <w:t>App</w:t>
      </w:r>
      <w:r w:rsidRPr="008047FD">
        <w:rPr>
          <w:iCs/>
          <w:kern w:val="0"/>
        </w:rPr>
        <w:t xml:space="preserve"> Ma</w:t>
      </w:r>
      <w:r>
        <w:rPr>
          <w:iCs/>
          <w:kern w:val="0"/>
        </w:rPr>
        <w:t>t Inf Sci</w:t>
      </w:r>
      <w:r w:rsidRPr="008047FD">
        <w:rPr>
          <w:bCs/>
          <w:kern w:val="0"/>
        </w:rPr>
        <w:t>6</w:t>
      </w:r>
      <w:r>
        <w:rPr>
          <w:kern w:val="0"/>
        </w:rPr>
        <w:t>, 705</w:t>
      </w:r>
      <w:r>
        <w:rPr>
          <w:rFonts w:hint="eastAsia"/>
          <w:kern w:val="0"/>
        </w:rPr>
        <w:t>.pdf</w:t>
      </w:r>
    </w:p>
    <w:p w:rsidR="006C6544" w:rsidRDefault="006C6544" w:rsidP="006C6544">
      <w:pPr>
        <w:pStyle w:val="a3"/>
        <w:rPr>
          <w:kern w:val="0"/>
        </w:rPr>
      </w:pPr>
      <w:r>
        <w:rPr>
          <w:kern w:val="0"/>
        </w:rPr>
        <w:t>Abstract: An optimized bibliometric method was applied in this work to evaluate global scientific production</w:t>
      </w:r>
      <w:r w:rsidR="00427468">
        <w:rPr>
          <w:kern w:val="0"/>
        </w:rPr>
        <w:t xml:space="preserve"> of </w:t>
      </w:r>
      <w:r>
        <w:rPr>
          <w:kern w:val="0"/>
        </w:rPr>
        <w:t>data mining papers</w:t>
      </w:r>
      <w:r w:rsidR="00427468">
        <w:rPr>
          <w:kern w:val="0"/>
        </w:rPr>
        <w:t xml:space="preserve"> of </w:t>
      </w:r>
      <w:r w:rsidR="003A1917">
        <w:rPr>
          <w:kern w:val="0"/>
        </w:rPr>
        <w:t xml:space="preserve">the </w:t>
      </w:r>
      <w:r>
        <w:rPr>
          <w:kern w:val="0"/>
        </w:rPr>
        <w:t>Science Citation Index (SCI). In compared with traditional bibliometric keyword analysis, a semantic words class was established by applying</w:t>
      </w:r>
      <w:r w:rsidR="003A1917">
        <w:rPr>
          <w:kern w:val="0"/>
        </w:rPr>
        <w:t xml:space="preserve"> the </w:t>
      </w:r>
      <w:r>
        <w:rPr>
          <w:kern w:val="0"/>
        </w:rPr>
        <w:t>text extraction mode to remove noise in</w:t>
      </w:r>
      <w:r w:rsidR="003A1917">
        <w:rPr>
          <w:kern w:val="0"/>
        </w:rPr>
        <w:t xml:space="preserve"> the </w:t>
      </w:r>
      <w:r>
        <w:rPr>
          <w:kern w:val="0"/>
        </w:rPr>
        <w:t>abstract</w:t>
      </w:r>
      <w:r w:rsidR="005853A9">
        <w:rPr>
          <w:kern w:val="0"/>
        </w:rPr>
        <w:t xml:space="preserve"> and </w:t>
      </w:r>
      <w:r>
        <w:rPr>
          <w:kern w:val="0"/>
        </w:rPr>
        <w:t>combining with</w:t>
      </w:r>
      <w:r w:rsidR="003A1917">
        <w:rPr>
          <w:kern w:val="0"/>
        </w:rPr>
        <w:t xml:space="preserve"> the </w:t>
      </w:r>
      <w:r>
        <w:rPr>
          <w:kern w:val="0"/>
        </w:rPr>
        <w:t>core relative phrases retrieved from keywords to get</w:t>
      </w:r>
      <w:r w:rsidR="003A1917">
        <w:rPr>
          <w:kern w:val="0"/>
        </w:rPr>
        <w:t xml:space="preserve"> the </w:t>
      </w:r>
      <w:r>
        <w:rPr>
          <w:kern w:val="0"/>
        </w:rPr>
        <w:t>sample for further experiment</w:t>
      </w:r>
      <w:r w:rsidR="00A37C1D">
        <w:rPr>
          <w:kern w:val="0"/>
        </w:rPr>
        <w:t>. The</w:t>
      </w:r>
      <w:r w:rsidR="003A1917">
        <w:rPr>
          <w:kern w:val="0"/>
        </w:rPr>
        <w:t xml:space="preserve"> </w:t>
      </w:r>
      <w:r>
        <w:rPr>
          <w:kern w:val="0"/>
        </w:rPr>
        <w:t>analysis shows a high correlation between title</w:t>
      </w:r>
      <w:r w:rsidR="005853A9">
        <w:rPr>
          <w:kern w:val="0"/>
        </w:rPr>
        <w:t xml:space="preserve"> and </w:t>
      </w:r>
      <w:r>
        <w:rPr>
          <w:kern w:val="0"/>
        </w:rPr>
        <w:t>keywords,</w:t>
      </w:r>
      <w:r w:rsidR="005853A9">
        <w:rPr>
          <w:kern w:val="0"/>
        </w:rPr>
        <w:t xml:space="preserve"> and </w:t>
      </w:r>
      <w:r w:rsidR="003A1917">
        <w:rPr>
          <w:kern w:val="0"/>
        </w:rPr>
        <w:t xml:space="preserve">the </w:t>
      </w:r>
      <w:r>
        <w:rPr>
          <w:kern w:val="0"/>
        </w:rPr>
        <w:t>title reports less information than keywords does. Also, keywords provide more positive guidance to know</w:t>
      </w:r>
      <w:r w:rsidR="005853A9">
        <w:rPr>
          <w:kern w:val="0"/>
        </w:rPr>
        <w:t xml:space="preserve"> and </w:t>
      </w:r>
      <w:r>
        <w:rPr>
          <w:kern w:val="0"/>
        </w:rPr>
        <w:t>be familiar with</w:t>
      </w:r>
      <w:r w:rsidR="003A1917">
        <w:rPr>
          <w:kern w:val="0"/>
        </w:rPr>
        <w:t xml:space="preserve"> the </w:t>
      </w:r>
      <w:r>
        <w:rPr>
          <w:kern w:val="0"/>
        </w:rPr>
        <w:t>status</w:t>
      </w:r>
      <w:r w:rsidR="005853A9">
        <w:rPr>
          <w:kern w:val="0"/>
        </w:rPr>
        <w:t xml:space="preserve"> and </w:t>
      </w:r>
      <w:r>
        <w:rPr>
          <w:kern w:val="0"/>
        </w:rPr>
        <w:t>trends</w:t>
      </w:r>
      <w:r w:rsidR="00427468">
        <w:rPr>
          <w:kern w:val="0"/>
        </w:rPr>
        <w:t xml:space="preserve"> of </w:t>
      </w:r>
      <w:r>
        <w:rPr>
          <w:kern w:val="0"/>
        </w:rPr>
        <w:t>this field. In addition, there are distinctions among those semantic words used in publications from</w:t>
      </w:r>
      <w:r w:rsidR="003A1917">
        <w:rPr>
          <w:kern w:val="0"/>
        </w:rPr>
        <w:t xml:space="preserve"> the </w:t>
      </w:r>
      <w:r>
        <w:rPr>
          <w:kern w:val="0"/>
        </w:rPr>
        <w:t>ten most productive countries in data mining research. Generally speaking,</w:t>
      </w:r>
      <w:r w:rsidR="003A1917">
        <w:rPr>
          <w:kern w:val="0"/>
        </w:rPr>
        <w:t xml:space="preserve"> the </w:t>
      </w:r>
      <w:r>
        <w:rPr>
          <w:kern w:val="0"/>
        </w:rPr>
        <w:t>research results can be extended to investigate</w:t>
      </w:r>
      <w:r w:rsidR="003A1917">
        <w:rPr>
          <w:kern w:val="0"/>
        </w:rPr>
        <w:t xml:space="preserve"> the </w:t>
      </w:r>
      <w:r>
        <w:rPr>
          <w:kern w:val="0"/>
        </w:rPr>
        <w:t>roadmap for future research,</w:t>
      </w:r>
      <w:r w:rsidR="005853A9">
        <w:rPr>
          <w:kern w:val="0"/>
        </w:rPr>
        <w:t xml:space="preserve"> and </w:t>
      </w:r>
      <w:r>
        <w:rPr>
          <w:kern w:val="0"/>
        </w:rPr>
        <w:t>this innovative propose is provided with instructive meaning for valuable information retrieval.</w:t>
      </w:r>
    </w:p>
    <w:p w:rsidR="006C6544" w:rsidRDefault="006C6544" w:rsidP="006C6544">
      <w:pPr>
        <w:pStyle w:val="a3"/>
        <w:rPr>
          <w:kern w:val="0"/>
        </w:rPr>
      </w:pPr>
      <w:r>
        <w:rPr>
          <w:kern w:val="0"/>
        </w:rPr>
        <w:t>Keywords: Analysis, Bibliometric, Bibliometric Methodology, Citation, Correlation, Data, Data Mining, Data-Mining, Database, Experiment, Extraction, Familiar, Field, Global, Guidance, Information, Information Retrieval, Methodology, Mining, Mode, Noise, Papers, Publications, Research, Research Results, Research Trend Analysis</w:t>
      </w:r>
      <w:r w:rsidR="00D5664A">
        <w:rPr>
          <w:kern w:val="0"/>
        </w:rPr>
        <w:t>, SCI,</w:t>
      </w:r>
      <w:r>
        <w:rPr>
          <w:kern w:val="0"/>
        </w:rPr>
        <w:t xml:space="preserve"> Science, Science Citation Index, Scientific Production, Semantic Words, Trend, Trends, Work</w:t>
      </w:r>
    </w:p>
    <w:p w:rsidR="00A12410" w:rsidRPr="00F219CA" w:rsidRDefault="00A12410" w:rsidP="00A12410">
      <w:pPr>
        <w:pStyle w:val="1"/>
      </w:pPr>
      <w:r w:rsidRPr="00F219CA">
        <w:br w:type="page"/>
      </w:r>
      <w:bookmarkStart w:id="543" w:name="_Toc420814554"/>
      <w:r w:rsidRPr="00F219CA">
        <w:lastRenderedPageBreak/>
        <w:t xml:space="preserve">Title: </w:t>
      </w:r>
      <w:r w:rsidRPr="00472F3B">
        <w:t>Applied Numerical Mathematics</w:t>
      </w:r>
      <w:bookmarkEnd w:id="543"/>
    </w:p>
    <w:p w:rsidR="00A12410" w:rsidRPr="00F219CA" w:rsidRDefault="00A12410" w:rsidP="00A12410">
      <w:pPr>
        <w:pStyle w:val="12"/>
      </w:pPr>
      <w:r w:rsidRPr="00F219CA">
        <w:t xml:space="preserve">Full Journal Title: </w:t>
      </w:r>
      <w:hyperlink r:id="rId1057" w:history="1">
        <w:r w:rsidRPr="00472F3B">
          <w:rPr>
            <w:rStyle w:val="a5"/>
            <w:iCs/>
            <w:kern w:val="0"/>
          </w:rPr>
          <w:t>Applied Numerical Mathematics</w:t>
        </w:r>
      </w:hyperlink>
    </w:p>
    <w:p w:rsidR="00A12410" w:rsidRPr="00F219CA" w:rsidRDefault="00A12410" w:rsidP="00A12410">
      <w:pPr>
        <w:pStyle w:val="12"/>
      </w:pPr>
      <w:r w:rsidRPr="00F219CA">
        <w:t xml:space="preserve">ISO Abbreviated Title: </w:t>
      </w:r>
    </w:p>
    <w:p w:rsidR="00A12410" w:rsidRPr="00F219CA" w:rsidRDefault="00A12410" w:rsidP="00A12410">
      <w:pPr>
        <w:pStyle w:val="12"/>
      </w:pPr>
      <w:r w:rsidRPr="00F219CA">
        <w:t xml:space="preserve">JCR Abbreviated Title: </w:t>
      </w:r>
    </w:p>
    <w:p w:rsidR="00A12410" w:rsidRPr="00F219CA" w:rsidRDefault="00A12410" w:rsidP="00A12410">
      <w:pPr>
        <w:pStyle w:val="12"/>
      </w:pPr>
      <w:r w:rsidRPr="00F219CA">
        <w:t xml:space="preserve">ISSN: </w:t>
      </w:r>
    </w:p>
    <w:p w:rsidR="00A12410" w:rsidRPr="00F219CA" w:rsidRDefault="00A12410" w:rsidP="00A12410">
      <w:pPr>
        <w:pStyle w:val="12"/>
      </w:pPr>
      <w:r w:rsidRPr="00F219CA">
        <w:t xml:space="preserve">Issues/Year: </w:t>
      </w:r>
    </w:p>
    <w:p w:rsidR="00A12410" w:rsidRPr="00F219CA" w:rsidRDefault="00A12410" w:rsidP="00A12410">
      <w:pPr>
        <w:pStyle w:val="12"/>
      </w:pPr>
      <w:r w:rsidRPr="00F219CA">
        <w:t xml:space="preserve">Journal Country/Territory: </w:t>
      </w:r>
    </w:p>
    <w:p w:rsidR="00A12410" w:rsidRPr="00F219CA" w:rsidRDefault="00A12410" w:rsidP="00A12410">
      <w:pPr>
        <w:pStyle w:val="12"/>
      </w:pPr>
      <w:r w:rsidRPr="00F219CA">
        <w:t xml:space="preserve">Language: </w:t>
      </w:r>
    </w:p>
    <w:p w:rsidR="00A12410" w:rsidRPr="00F219CA" w:rsidRDefault="00A12410" w:rsidP="00A12410">
      <w:pPr>
        <w:pStyle w:val="12"/>
      </w:pPr>
      <w:r w:rsidRPr="00F219CA">
        <w:t xml:space="preserve">Publisher: </w:t>
      </w:r>
    </w:p>
    <w:p w:rsidR="00A12410" w:rsidRPr="00F219CA" w:rsidRDefault="00A12410" w:rsidP="00A12410">
      <w:pPr>
        <w:pStyle w:val="12"/>
      </w:pPr>
      <w:r w:rsidRPr="00F219CA">
        <w:t xml:space="preserve">Publisher Address: </w:t>
      </w:r>
    </w:p>
    <w:p w:rsidR="00A12410" w:rsidRPr="00F219CA" w:rsidRDefault="00A12410" w:rsidP="00A12410">
      <w:pPr>
        <w:pStyle w:val="12"/>
      </w:pPr>
      <w:r w:rsidRPr="00F219CA">
        <w:t xml:space="preserve">Subject Categories: </w:t>
      </w:r>
    </w:p>
    <w:p w:rsidR="00A12410" w:rsidRPr="00F219CA" w:rsidRDefault="00A12410" w:rsidP="00A12410">
      <w:pPr>
        <w:pStyle w:val="12"/>
      </w:pPr>
      <w:r w:rsidRPr="00F219CA">
        <w:t xml:space="preserve">: Impact Factor </w:t>
      </w:r>
    </w:p>
    <w:p w:rsidR="00A12410" w:rsidRDefault="00A12410" w:rsidP="00A12410">
      <w:pPr>
        <w:pStyle w:val="a3"/>
        <w:rPr>
          <w:kern w:val="0"/>
        </w:rPr>
      </w:pPr>
      <w:r>
        <w:rPr>
          <w:rFonts w:hint="eastAsia"/>
          <w:kern w:val="0"/>
        </w:rPr>
        <w:t xml:space="preserve">? </w:t>
      </w:r>
      <w:r>
        <w:rPr>
          <w:kern w:val="0"/>
        </w:rPr>
        <w:t>Araujo, A.</w:t>
      </w:r>
      <w:r w:rsidR="005853A9">
        <w:rPr>
          <w:kern w:val="0"/>
        </w:rPr>
        <w:t xml:space="preserve"> and </w:t>
      </w:r>
      <w:r>
        <w:rPr>
          <w:kern w:val="0"/>
        </w:rPr>
        <w:t>Duran, A. (2001), Error propagation in</w:t>
      </w:r>
      <w:r w:rsidR="003A1917">
        <w:rPr>
          <w:kern w:val="0"/>
        </w:rPr>
        <w:t xml:space="preserve"> the </w:t>
      </w:r>
      <w:r>
        <w:rPr>
          <w:kern w:val="0"/>
        </w:rPr>
        <w:t>numerical integration</w:t>
      </w:r>
      <w:r w:rsidR="00427468">
        <w:rPr>
          <w:kern w:val="0"/>
        </w:rPr>
        <w:t xml:space="preserve"> of </w:t>
      </w:r>
      <w:r>
        <w:rPr>
          <w:kern w:val="0"/>
        </w:rPr>
        <w:t>solitary waves</w:t>
      </w:r>
      <w:r w:rsidR="00A37C1D">
        <w:rPr>
          <w:kern w:val="0"/>
        </w:rPr>
        <w:t>. The</w:t>
      </w:r>
      <w:r w:rsidR="003A1917">
        <w:rPr>
          <w:kern w:val="0"/>
        </w:rPr>
        <w:t xml:space="preserve"> </w:t>
      </w:r>
      <w:r>
        <w:rPr>
          <w:kern w:val="0"/>
        </w:rPr>
        <w:t xml:space="preserve">regularized long wave equation. </w:t>
      </w:r>
      <w:r w:rsidRPr="00472F3B">
        <w:rPr>
          <w:i/>
          <w:iCs/>
          <w:kern w:val="0"/>
        </w:rPr>
        <w:t>Applied Numerical Mathematics</w:t>
      </w:r>
      <w:r>
        <w:rPr>
          <w:kern w:val="0"/>
        </w:rPr>
        <w:t xml:space="preserve">, </w:t>
      </w:r>
      <w:r>
        <w:rPr>
          <w:b/>
          <w:bCs/>
          <w:kern w:val="0"/>
        </w:rPr>
        <w:t>36</w:t>
      </w:r>
      <w:r>
        <w:rPr>
          <w:kern w:val="0"/>
        </w:rPr>
        <w:t xml:space="preserve"> (2-3), 197-217.</w:t>
      </w:r>
    </w:p>
    <w:p w:rsidR="00A12410" w:rsidRDefault="00A12410" w:rsidP="00A12410">
      <w:pPr>
        <w:pStyle w:val="a3"/>
        <w:rPr>
          <w:kern w:val="0"/>
        </w:rPr>
      </w:pPr>
      <w:r>
        <w:rPr>
          <w:rFonts w:hint="eastAsia"/>
          <w:kern w:val="0"/>
        </w:rPr>
        <w:t xml:space="preserve">Full Text: </w:t>
      </w:r>
      <w:hyperlink r:id="rId1058" w:history="1">
        <w:r w:rsidRPr="00472F3B">
          <w:rPr>
            <w:rStyle w:val="a5"/>
            <w:kern w:val="0"/>
          </w:rPr>
          <w:t>2001\App Num Mat36, 197.pdf</w:t>
        </w:r>
      </w:hyperlink>
    </w:p>
    <w:p w:rsidR="00A12410" w:rsidRDefault="00A12410" w:rsidP="00A12410">
      <w:pPr>
        <w:pStyle w:val="a3"/>
        <w:rPr>
          <w:kern w:val="0"/>
        </w:rPr>
      </w:pPr>
      <w:r>
        <w:rPr>
          <w:kern w:val="0"/>
        </w:rPr>
        <w:t>Abstract: We study</w:t>
      </w:r>
      <w:r w:rsidR="003A1917">
        <w:rPr>
          <w:kern w:val="0"/>
        </w:rPr>
        <w:t xml:space="preserve"> the </w:t>
      </w:r>
      <w:r>
        <w:rPr>
          <w:kern w:val="0"/>
        </w:rPr>
        <w:t>error propagation</w:t>
      </w:r>
      <w:r w:rsidR="00427468">
        <w:rPr>
          <w:kern w:val="0"/>
        </w:rPr>
        <w:t xml:space="preserve"> of </w:t>
      </w:r>
      <w:r>
        <w:rPr>
          <w:kern w:val="0"/>
        </w:rPr>
        <w:t>time integrators</w:t>
      </w:r>
      <w:r w:rsidR="00427468">
        <w:rPr>
          <w:kern w:val="0"/>
        </w:rPr>
        <w:t xml:space="preserve"> of </w:t>
      </w:r>
      <w:r>
        <w:rPr>
          <w:kern w:val="0"/>
        </w:rPr>
        <w:t>solitary wave solutions for</w:t>
      </w:r>
      <w:r w:rsidR="003A1917">
        <w:rPr>
          <w:kern w:val="0"/>
        </w:rPr>
        <w:t xml:space="preserve"> the </w:t>
      </w:r>
      <w:r>
        <w:rPr>
          <w:kern w:val="0"/>
        </w:rPr>
        <w:t>regularized long wave equation, u(t) + u(x) + 1/2(u(2))x - u(xxt) = 0, by using a geometric interpretation</w:t>
      </w:r>
      <w:r w:rsidR="00427468">
        <w:rPr>
          <w:kern w:val="0"/>
        </w:rPr>
        <w:t xml:space="preserve"> of </w:t>
      </w:r>
      <w:r>
        <w:rPr>
          <w:kern w:val="0"/>
        </w:rPr>
        <w:t>these waves as relative equilibria. We show that</w:t>
      </w:r>
      <w:r w:rsidR="003A1917">
        <w:rPr>
          <w:kern w:val="0"/>
        </w:rPr>
        <w:t xml:space="preserve"> the </w:t>
      </w:r>
      <w:r>
        <w:rPr>
          <w:kern w:val="0"/>
        </w:rPr>
        <w:t>error growth is linear for schemes that preserve invariant quantities</w:t>
      </w:r>
      <w:r w:rsidR="00427468">
        <w:rPr>
          <w:kern w:val="0"/>
        </w:rPr>
        <w:t xml:space="preserve"> of </w:t>
      </w:r>
      <w:r w:rsidR="003A1917">
        <w:rPr>
          <w:kern w:val="0"/>
        </w:rPr>
        <w:t xml:space="preserve">the </w:t>
      </w:r>
      <w:r>
        <w:rPr>
          <w:kern w:val="0"/>
        </w:rPr>
        <w:t>problem</w:t>
      </w:r>
      <w:r w:rsidR="005853A9">
        <w:rPr>
          <w:kern w:val="0"/>
        </w:rPr>
        <w:t xml:space="preserve"> and </w:t>
      </w:r>
      <w:r>
        <w:rPr>
          <w:kern w:val="0"/>
        </w:rPr>
        <w:t xml:space="preserve">quadratic for </w:t>
      </w:r>
      <w:r w:rsidR="00700038">
        <w:rPr>
          <w:kern w:val="0"/>
        </w:rPr>
        <w:t>‘</w:t>
      </w:r>
      <w:r>
        <w:rPr>
          <w:kern w:val="0"/>
        </w:rPr>
        <w:t>nonconservative</w:t>
      </w:r>
      <w:r w:rsidR="00700038">
        <w:rPr>
          <w:kern w:val="0"/>
        </w:rPr>
        <w:t>’</w:t>
      </w:r>
      <w:r>
        <w:rPr>
          <w:kern w:val="0"/>
        </w:rPr>
        <w:t xml:space="preserve"> methods. Numerical experiments are presented, (C) 2001 IMACS. Published by Elsevier Science B.V. All rights reserved.</w:t>
      </w:r>
    </w:p>
    <w:p w:rsidR="00A12410" w:rsidRDefault="00A12410" w:rsidP="00A12410">
      <w:pPr>
        <w:pStyle w:val="a3"/>
        <w:rPr>
          <w:kern w:val="0"/>
        </w:rPr>
      </w:pPr>
      <w:r>
        <w:rPr>
          <w:kern w:val="0"/>
        </w:rPr>
        <w:t>Keywords: Asymptotic Stability, Conservative Methods, Equilibria, Error, Error Propagation, Experiments, Growth, Hamiltonian Structure, Imac, Integration, Integrators, Methods, Model-Equations, Relative Equilibria, Rights, Science, Solitary Waves, Solutions, Symmetry Groups, Systems</w:t>
      </w:r>
    </w:p>
    <w:p w:rsidR="00045AEB" w:rsidRPr="00F219CA" w:rsidRDefault="00045AEB" w:rsidP="00045AEB">
      <w:pPr>
        <w:pStyle w:val="1"/>
      </w:pPr>
      <w:r w:rsidRPr="00F219CA">
        <w:br w:type="page"/>
      </w:r>
      <w:bookmarkStart w:id="544" w:name="_Toc420814555"/>
      <w:r w:rsidRPr="00F219CA">
        <w:lastRenderedPageBreak/>
        <w:t xml:space="preserve">Title: </w:t>
      </w:r>
      <w:r w:rsidRPr="00520DD3">
        <w:rPr>
          <w:iCs w:val="0"/>
        </w:rPr>
        <w:t>Applied Nursing Research</w:t>
      </w:r>
      <w:bookmarkEnd w:id="544"/>
    </w:p>
    <w:p w:rsidR="00045AEB" w:rsidRPr="00F219CA" w:rsidRDefault="00045AEB" w:rsidP="00045AEB">
      <w:pPr>
        <w:pStyle w:val="12"/>
      </w:pPr>
      <w:r w:rsidRPr="00F219CA">
        <w:t xml:space="preserve">Full Journal Title: </w:t>
      </w:r>
      <w:r w:rsidRPr="00520DD3">
        <w:rPr>
          <w:iCs/>
          <w:kern w:val="0"/>
        </w:rPr>
        <w:t>Applied Nursing Research</w:t>
      </w:r>
    </w:p>
    <w:p w:rsidR="00045AEB" w:rsidRPr="00F219CA" w:rsidRDefault="00045AEB" w:rsidP="00045AEB">
      <w:pPr>
        <w:pStyle w:val="12"/>
      </w:pPr>
      <w:r w:rsidRPr="00F219CA">
        <w:t xml:space="preserve">ISO Abbreviated Title: </w:t>
      </w:r>
    </w:p>
    <w:p w:rsidR="00045AEB" w:rsidRPr="00F219CA" w:rsidRDefault="00045AEB" w:rsidP="00045AEB">
      <w:pPr>
        <w:pStyle w:val="12"/>
      </w:pPr>
      <w:r w:rsidRPr="00F219CA">
        <w:t xml:space="preserve">JCR Abbreviated Title: </w:t>
      </w:r>
    </w:p>
    <w:p w:rsidR="00045AEB" w:rsidRPr="00F219CA" w:rsidRDefault="00045AEB" w:rsidP="00045AEB">
      <w:pPr>
        <w:pStyle w:val="12"/>
      </w:pPr>
      <w:r w:rsidRPr="00F219CA">
        <w:t xml:space="preserve">ISSN: </w:t>
      </w:r>
    </w:p>
    <w:p w:rsidR="00045AEB" w:rsidRPr="00F219CA" w:rsidRDefault="00045AEB" w:rsidP="00045AEB">
      <w:pPr>
        <w:pStyle w:val="12"/>
      </w:pPr>
      <w:r w:rsidRPr="00F219CA">
        <w:t xml:space="preserve">Issues/Year: </w:t>
      </w:r>
    </w:p>
    <w:p w:rsidR="00045AEB" w:rsidRPr="00F219CA" w:rsidRDefault="00045AEB" w:rsidP="00045AEB">
      <w:pPr>
        <w:pStyle w:val="12"/>
      </w:pPr>
      <w:r w:rsidRPr="00F219CA">
        <w:t xml:space="preserve">Journal Country/Territory: </w:t>
      </w:r>
    </w:p>
    <w:p w:rsidR="00045AEB" w:rsidRPr="00F219CA" w:rsidRDefault="00045AEB" w:rsidP="00045AEB">
      <w:pPr>
        <w:pStyle w:val="12"/>
      </w:pPr>
      <w:r w:rsidRPr="00F219CA">
        <w:t xml:space="preserve">Language: </w:t>
      </w:r>
    </w:p>
    <w:p w:rsidR="00045AEB" w:rsidRPr="00F219CA" w:rsidRDefault="00045AEB" w:rsidP="00045AEB">
      <w:pPr>
        <w:pStyle w:val="12"/>
      </w:pPr>
      <w:r w:rsidRPr="00F219CA">
        <w:t xml:space="preserve">Publisher: </w:t>
      </w:r>
    </w:p>
    <w:p w:rsidR="00045AEB" w:rsidRPr="00F219CA" w:rsidRDefault="00045AEB" w:rsidP="00045AEB">
      <w:pPr>
        <w:pStyle w:val="12"/>
      </w:pPr>
      <w:r w:rsidRPr="00F219CA">
        <w:t xml:space="preserve">Publisher Address: </w:t>
      </w:r>
    </w:p>
    <w:p w:rsidR="00045AEB" w:rsidRPr="00F219CA" w:rsidRDefault="00045AEB" w:rsidP="00045AEB">
      <w:pPr>
        <w:pStyle w:val="12"/>
      </w:pPr>
      <w:r w:rsidRPr="00F219CA">
        <w:t xml:space="preserve">Subject Categories: </w:t>
      </w:r>
    </w:p>
    <w:p w:rsidR="00045AEB" w:rsidRPr="00F219CA" w:rsidRDefault="00045AEB" w:rsidP="00045AEB">
      <w:pPr>
        <w:pStyle w:val="12"/>
      </w:pPr>
      <w:r w:rsidRPr="00F219CA">
        <w:t xml:space="preserve">: Impact Factor </w:t>
      </w:r>
    </w:p>
    <w:p w:rsidR="00045AEB" w:rsidRDefault="00045AEB" w:rsidP="00045AEB">
      <w:pPr>
        <w:pStyle w:val="a3"/>
        <w:rPr>
          <w:kern w:val="0"/>
        </w:rPr>
      </w:pPr>
      <w:r>
        <w:rPr>
          <w:rFonts w:hint="eastAsia"/>
          <w:kern w:val="0"/>
        </w:rPr>
        <w:t xml:space="preserve">? </w:t>
      </w:r>
      <w:r>
        <w:rPr>
          <w:kern w:val="0"/>
        </w:rPr>
        <w:t>Fitzpatrick, J.J. (2005), Self-citations</w:t>
      </w:r>
      <w:r w:rsidR="005853A9">
        <w:rPr>
          <w:kern w:val="0"/>
        </w:rPr>
        <w:t xml:space="preserve"> and </w:t>
      </w:r>
      <w:r>
        <w:rPr>
          <w:kern w:val="0"/>
        </w:rPr>
        <w:t xml:space="preserve">other reference matters. </w:t>
      </w:r>
      <w:r w:rsidRPr="00520DD3">
        <w:rPr>
          <w:i/>
          <w:iCs/>
          <w:kern w:val="0"/>
        </w:rPr>
        <w:t>Applied Nursing Research</w:t>
      </w:r>
      <w:r>
        <w:rPr>
          <w:kern w:val="0"/>
        </w:rPr>
        <w:t xml:space="preserve">, </w:t>
      </w:r>
      <w:r>
        <w:rPr>
          <w:b/>
          <w:bCs/>
          <w:kern w:val="0"/>
        </w:rPr>
        <w:t>18</w:t>
      </w:r>
      <w:r>
        <w:rPr>
          <w:kern w:val="0"/>
        </w:rPr>
        <w:t xml:space="preserve"> (1), 1</w:t>
      </w:r>
      <w:r>
        <w:rPr>
          <w:rFonts w:hint="eastAsia"/>
          <w:kern w:val="0"/>
        </w:rPr>
        <w:t>.</w:t>
      </w:r>
    </w:p>
    <w:p w:rsidR="00045AEB" w:rsidRDefault="00045AEB" w:rsidP="00045AEB">
      <w:pPr>
        <w:pStyle w:val="a3"/>
        <w:rPr>
          <w:kern w:val="0"/>
        </w:rPr>
      </w:pPr>
      <w:r>
        <w:rPr>
          <w:rFonts w:hint="eastAsia"/>
          <w:kern w:val="0"/>
        </w:rPr>
        <w:t xml:space="preserve">Full Text: </w:t>
      </w:r>
      <w:hyperlink r:id="rId1059" w:history="1">
        <w:r w:rsidRPr="00520DD3">
          <w:rPr>
            <w:rStyle w:val="a5"/>
            <w:kern w:val="0"/>
          </w:rPr>
          <w:t>2005\App Nur Res18, 1.pdf</w:t>
        </w:r>
      </w:hyperlink>
    </w:p>
    <w:p w:rsidR="003A4CEB" w:rsidRDefault="003A4CEB" w:rsidP="003A4CEB">
      <w:pPr>
        <w:pStyle w:val="a3"/>
        <w:rPr>
          <w:kern w:val="0"/>
        </w:rPr>
      </w:pPr>
      <w:r>
        <w:rPr>
          <w:rFonts w:hint="eastAsia"/>
          <w:kern w:val="0"/>
        </w:rPr>
        <w:t xml:space="preserve">? </w:t>
      </w:r>
      <w:r>
        <w:rPr>
          <w:kern w:val="0"/>
        </w:rPr>
        <w:t>Fitzpatrick, J.J.</w:t>
      </w:r>
      <w:r w:rsidR="005853A9">
        <w:rPr>
          <w:kern w:val="0"/>
        </w:rPr>
        <w:t xml:space="preserve"> and </w:t>
      </w:r>
      <w:r>
        <w:rPr>
          <w:kern w:val="0"/>
        </w:rPr>
        <w:t xml:space="preserve">Madigan, E.A. (2013), Scientist rankings: What nurse scientists need to know. </w:t>
      </w:r>
      <w:r>
        <w:rPr>
          <w:i/>
          <w:iCs/>
          <w:kern w:val="0"/>
        </w:rPr>
        <w:t>Applied Nursing Research</w:t>
      </w:r>
      <w:r>
        <w:rPr>
          <w:kern w:val="0"/>
        </w:rPr>
        <w:t xml:space="preserve">, </w:t>
      </w:r>
      <w:r>
        <w:rPr>
          <w:b/>
          <w:bCs/>
          <w:kern w:val="0"/>
        </w:rPr>
        <w:t>26</w:t>
      </w:r>
      <w:r>
        <w:rPr>
          <w:kern w:val="0"/>
        </w:rPr>
        <w:t xml:space="preserve"> (2), 49-50</w:t>
      </w:r>
    </w:p>
    <w:p w:rsidR="003A4CEB" w:rsidRDefault="003A4CEB" w:rsidP="003A4CEB">
      <w:pPr>
        <w:pStyle w:val="a3"/>
        <w:rPr>
          <w:kern w:val="0"/>
        </w:rPr>
      </w:pPr>
      <w:r>
        <w:rPr>
          <w:rFonts w:hint="eastAsia"/>
          <w:kern w:val="0"/>
        </w:rPr>
        <w:t xml:space="preserve">Full Text: </w:t>
      </w:r>
      <w:hyperlink r:id="rId1060" w:history="1">
        <w:r w:rsidRPr="003A4CEB">
          <w:rPr>
            <w:rStyle w:val="a5"/>
            <w:kern w:val="0"/>
          </w:rPr>
          <w:t>2013\App Nur Res26, 49.pdf</w:t>
        </w:r>
      </w:hyperlink>
    </w:p>
    <w:p w:rsidR="003A4CEB" w:rsidRDefault="003A4CEB" w:rsidP="003A4CEB">
      <w:pPr>
        <w:pStyle w:val="a3"/>
        <w:rPr>
          <w:kern w:val="0"/>
        </w:rPr>
      </w:pPr>
      <w:r>
        <w:rPr>
          <w:kern w:val="0"/>
        </w:rPr>
        <w:t xml:space="preserve">Keywords: </w:t>
      </w:r>
      <w:r w:rsidR="00D5664A">
        <w:rPr>
          <w:kern w:val="0"/>
        </w:rPr>
        <w:t>h-Index</w:t>
      </w:r>
      <w:r>
        <w:rPr>
          <w:kern w:val="0"/>
        </w:rPr>
        <w:t>, Rankings, Scientists</w:t>
      </w:r>
    </w:p>
    <w:p w:rsidR="003474F2" w:rsidRPr="001A3D2B" w:rsidRDefault="003474F2" w:rsidP="003474F2">
      <w:pPr>
        <w:pStyle w:val="1"/>
      </w:pPr>
      <w:r w:rsidRPr="001A3D2B">
        <w:br w:type="page"/>
      </w:r>
      <w:bookmarkStart w:id="545" w:name="_Toc420814556"/>
      <w:r w:rsidRPr="001A3D2B">
        <w:lastRenderedPageBreak/>
        <w:t>Title: Applied Occupational</w:t>
      </w:r>
      <w:r w:rsidR="005853A9">
        <w:t xml:space="preserve"> and </w:t>
      </w:r>
      <w:r w:rsidRPr="001A3D2B">
        <w:t>Environmental Hygiene</w:t>
      </w:r>
      <w:bookmarkEnd w:id="545"/>
    </w:p>
    <w:p w:rsidR="003474F2" w:rsidRPr="001A3D2B" w:rsidRDefault="003474F2" w:rsidP="003474F2">
      <w:pPr>
        <w:pStyle w:val="12"/>
      </w:pPr>
      <w:r w:rsidRPr="001A3D2B">
        <w:t>Full Journal Title: Applied Occupational</w:t>
      </w:r>
      <w:r w:rsidR="005853A9">
        <w:t xml:space="preserve"> and </w:t>
      </w:r>
      <w:r w:rsidRPr="001A3D2B">
        <w:t>Environmental Hygiene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van Wijngaarden, E.</w:t>
      </w:r>
      <w:r w:rsidR="005853A9">
        <w:t xml:space="preserve"> and </w:t>
      </w:r>
      <w:r w:rsidRPr="001A3D2B">
        <w:t>Stewart, P.A. (2003), Critical literature review</w:t>
      </w:r>
      <w:r w:rsidR="00427468">
        <w:t xml:space="preserve"> of </w:t>
      </w:r>
      <w:r w:rsidRPr="001A3D2B">
        <w:t>determinants</w:t>
      </w:r>
      <w:r w:rsidR="005853A9">
        <w:t xml:space="preserve"> and </w:t>
      </w:r>
      <w:r w:rsidRPr="001A3D2B">
        <w:t>levels</w:t>
      </w:r>
      <w:r w:rsidR="00427468">
        <w:t xml:space="preserve"> of </w:t>
      </w:r>
      <w:r w:rsidRPr="001A3D2B">
        <w:t xml:space="preserve">occupational benzene exposure for </w:t>
      </w:r>
      <w:smartTag w:uri="urn:schemas-microsoft-com:office:smarttags" w:element="place">
        <w:smartTag w:uri="urn:schemas-microsoft-com:office:smarttags" w:element="country-region">
          <w:r w:rsidRPr="001A3D2B">
            <w:t>united states</w:t>
          </w:r>
        </w:smartTag>
      </w:smartTag>
      <w:r w:rsidRPr="001A3D2B">
        <w:t xml:space="preserve"> community-based case-control studies. </w:t>
      </w:r>
      <w:r w:rsidRPr="001A3D2B">
        <w:rPr>
          <w:i/>
          <w:iCs/>
        </w:rPr>
        <w:t>Applied Occupational</w:t>
      </w:r>
      <w:r w:rsidR="005853A9">
        <w:rPr>
          <w:i/>
          <w:iCs/>
        </w:rPr>
        <w:t xml:space="preserve"> and </w:t>
      </w:r>
      <w:r w:rsidRPr="001A3D2B">
        <w:rPr>
          <w:i/>
          <w:iCs/>
        </w:rPr>
        <w:t>Environmental Hygiene</w:t>
      </w:r>
      <w:r w:rsidRPr="001A3D2B">
        <w:t xml:space="preserve">, </w:t>
      </w:r>
      <w:r w:rsidRPr="001A3D2B">
        <w:rPr>
          <w:b/>
        </w:rPr>
        <w:t>18</w:t>
      </w:r>
      <w:r w:rsidRPr="001A3D2B">
        <w:t xml:space="preserve"> (9), 678-693.</w:t>
      </w:r>
    </w:p>
    <w:p w:rsidR="003474F2" w:rsidRPr="001A3D2B" w:rsidRDefault="003474F2" w:rsidP="003474F2">
      <w:pPr>
        <w:pStyle w:val="a3"/>
      </w:pPr>
      <w:r w:rsidRPr="001A3D2B">
        <w:t>Abstract: This article presents</w:t>
      </w:r>
      <w:r w:rsidR="003A1917">
        <w:t xml:space="preserve"> the </w:t>
      </w:r>
      <w:r w:rsidRPr="001A3D2B">
        <w:t>results</w:t>
      </w:r>
      <w:r w:rsidR="00427468">
        <w:t xml:space="preserve"> of </w:t>
      </w:r>
      <w:r w:rsidRPr="001A3D2B">
        <w:t>an extensive literature review identifying</w:t>
      </w:r>
      <w:r w:rsidR="003A1917">
        <w:t xml:space="preserve"> the </w:t>
      </w:r>
      <w:r w:rsidRPr="001A3D2B">
        <w:t>uses or occurrences of,</w:t>
      </w:r>
      <w:r w:rsidR="005853A9">
        <w:t xml:space="preserve"> and </w:t>
      </w:r>
      <w:r w:rsidRPr="001A3D2B">
        <w:t>exposures to, benzene in a variety</w:t>
      </w:r>
      <w:r w:rsidR="00427468">
        <w:t xml:space="preserve"> of </w:t>
      </w:r>
      <w:r w:rsidRPr="001A3D2B">
        <w:t>industries for a community-based case-control study</w:t>
      </w:r>
      <w:r w:rsidR="00427468">
        <w:t xml:space="preserve"> of </w:t>
      </w:r>
      <w:r w:rsidRPr="001A3D2B">
        <w:t>childhood brain cancer in</w:t>
      </w:r>
      <w:r w:rsidR="003A1917">
        <w:t xml:space="preserve"> the </w:t>
      </w:r>
      <w:r w:rsidRPr="001A3D2B">
        <w:t>United States</w:t>
      </w:r>
      <w:r w:rsidR="005853A9">
        <w:t xml:space="preserve"> and </w:t>
      </w:r>
      <w:r w:rsidRPr="001A3D2B">
        <w:t xml:space="preserve">Canada. We focused on industries for which quantitative exposure data were identified in studies conducted in </w:t>
      </w:r>
      <w:smartTag w:uri="urn:schemas-microsoft-com:office:smarttags" w:element="place">
        <w:r w:rsidRPr="001A3D2B">
          <w:t>North America</w:t>
        </w:r>
      </w:smartTag>
      <w:r w:rsidRPr="001A3D2B">
        <w:t xml:space="preserve"> in</w:t>
      </w:r>
      <w:r w:rsidR="003A1917">
        <w:t xml:space="preserve"> the </w:t>
      </w:r>
      <w:r w:rsidRPr="001A3D2B">
        <w:t>1980s. Each industry was coded according to</w:t>
      </w:r>
      <w:r w:rsidR="003A1917">
        <w:t xml:space="preserve"> the </w:t>
      </w:r>
      <w:r w:rsidRPr="001A3D2B">
        <w:t>1987 Standard Industrial Classification (SIC) system. For each industry, information relevant to exposure assessment, including process descriptions, job titles, tasks,</w:t>
      </w:r>
      <w:r w:rsidR="005853A9">
        <w:t xml:space="preserve"> and </w:t>
      </w:r>
      <w:r w:rsidRPr="001A3D2B">
        <w:t>work practices, was summarized when available. Estimates</w:t>
      </w:r>
      <w:r w:rsidR="00427468">
        <w:t xml:space="preserve"> of </w:t>
      </w:r>
      <w:r w:rsidRPr="001A3D2B">
        <w:t>probability</w:t>
      </w:r>
      <w:r w:rsidR="005853A9">
        <w:t xml:space="preserve"> and </w:t>
      </w:r>
      <w:r w:rsidRPr="001A3D2B">
        <w:t>intensity</w:t>
      </w:r>
      <w:r w:rsidR="00427468">
        <w:t xml:space="preserve"> of </w:t>
      </w:r>
      <w:r w:rsidRPr="001A3D2B">
        <w:t>exposure,</w:t>
      </w:r>
      <w:r w:rsidR="005853A9">
        <w:t xml:space="preserve"> and </w:t>
      </w:r>
      <w:r w:rsidRPr="001A3D2B">
        <w:t>our confidence in these estimates are presented. Arithmetic means (AMs), weighted for</w:t>
      </w:r>
      <w:r w:rsidR="003A1917">
        <w:t xml:space="preserve"> the </w:t>
      </w:r>
      <w:r w:rsidRPr="001A3D2B">
        <w:t>number</w:t>
      </w:r>
      <w:r w:rsidR="00427468">
        <w:t xml:space="preserve"> of </w:t>
      </w:r>
      <w:r w:rsidRPr="001A3D2B">
        <w:t>measurements for each industry, were calculated based on measurement data from long-term (i.e., 60+ minutes) personal sampling; short-term or area samples were only used when no other data were available for a given industry. Industries for which no quantitative exposure levels were identified in</w:t>
      </w:r>
      <w:r w:rsidR="003A1917">
        <w:t xml:space="preserve"> the </w:t>
      </w:r>
      <w:r w:rsidRPr="001A3D2B">
        <w:t>North American literature but for which information was found on benzene use are briefly described. Published exposure data indicate that workers in most industries in</w:t>
      </w:r>
      <w:r w:rsidR="003A1917">
        <w:t xml:space="preserve"> the </w:t>
      </w:r>
      <w:r w:rsidRPr="001A3D2B">
        <w:t>1980s experienced exposure levels below</w:t>
      </w:r>
      <w:r w:rsidR="003A1917">
        <w:t xml:space="preserve"> the </w:t>
      </w:r>
      <w:r w:rsidRPr="001A3D2B">
        <w:t>current standard</w:t>
      </w:r>
      <w:r w:rsidR="00427468">
        <w:t xml:space="preserve"> of </w:t>
      </w:r>
      <w:r w:rsidRPr="001A3D2B">
        <w:t>1 part per million (ppm), with a weighted AM</w:t>
      </w:r>
      <w:r w:rsidR="00427468">
        <w:t xml:space="preserve"> of </w:t>
      </w:r>
      <w:r w:rsidRPr="001A3D2B">
        <w:t>0.33 ppm across all industries. Despite</w:t>
      </w:r>
      <w:r w:rsidR="003A1917">
        <w:t xml:space="preserve"> the </w:t>
      </w:r>
      <w:r w:rsidRPr="001A3D2B">
        <w:t>longtime recognition</w:t>
      </w:r>
      <w:r w:rsidR="00427468">
        <w:t xml:space="preserve"> of </w:t>
      </w:r>
      <w:r w:rsidR="003A1917">
        <w:t xml:space="preserve">the </w:t>
      </w:r>
      <w:r w:rsidRPr="001A3D2B">
        <w:t>hematological effects</w:t>
      </w:r>
      <w:r w:rsidR="00427468">
        <w:t xml:space="preserve"> of </w:t>
      </w:r>
      <w:r w:rsidRPr="001A3D2B">
        <w:t>benzene, little information was available on exposure levels</w:t>
      </w:r>
      <w:r w:rsidR="005853A9">
        <w:t xml:space="preserve"> and </w:t>
      </w:r>
      <w:r w:rsidRPr="001A3D2B">
        <w:t>determinants for many industries with potential exposure. Nevertheless, this review may clarify some</w:t>
      </w:r>
      <w:r w:rsidR="00427468">
        <w:t xml:space="preserve"> of </w:t>
      </w:r>
      <w:r w:rsidR="003A1917">
        <w:t xml:space="preserve">the </w:t>
      </w:r>
      <w:r w:rsidRPr="001A3D2B">
        <w:t xml:space="preserve">procedures involved in assessing </w:t>
      </w:r>
      <w:r w:rsidRPr="001A3D2B">
        <w:lastRenderedPageBreak/>
        <w:t>occupational exposures in community-based studies</w:t>
      </w:r>
      <w:r w:rsidR="005853A9">
        <w:t xml:space="preserve"> and </w:t>
      </w:r>
      <w:r w:rsidRPr="001A3D2B">
        <w:t>may aid in</w:t>
      </w:r>
      <w:r w:rsidR="003A1917">
        <w:t xml:space="preserve"> the </w:t>
      </w:r>
      <w:r w:rsidRPr="001A3D2B">
        <w:t>interpretation</w:t>
      </w:r>
      <w:r w:rsidR="00427468">
        <w:t xml:space="preserve"> of </w:t>
      </w:r>
      <w:r w:rsidRPr="001A3D2B">
        <w:t>previous occupational studies that relied on job title or industry.</w:t>
      </w:r>
    </w:p>
    <w:p w:rsidR="003474F2" w:rsidRPr="001A3D2B" w:rsidRDefault="003474F2" w:rsidP="003474F2">
      <w:pPr>
        <w:pStyle w:val="a3"/>
      </w:pPr>
      <w:r w:rsidRPr="001A3D2B">
        <w:t>Keywords: Benzene, Exposure Assessment, Industries, Community-Based Studies, Epidemiology</w:t>
      </w:r>
    </w:p>
    <w:p w:rsidR="00B50EAC" w:rsidRPr="001A3D2B" w:rsidRDefault="00B50EAC" w:rsidP="00B50EAC">
      <w:pPr>
        <w:pStyle w:val="1"/>
      </w:pPr>
      <w:r w:rsidRPr="001A3D2B">
        <w:br w:type="page"/>
      </w:r>
      <w:bookmarkStart w:id="546" w:name="_Toc420814557"/>
      <w:r w:rsidRPr="001A3D2B">
        <w:lastRenderedPageBreak/>
        <w:t xml:space="preserve">Title: </w:t>
      </w:r>
      <w:r w:rsidRPr="00B50EAC">
        <w:rPr>
          <w:iCs w:val="0"/>
        </w:rPr>
        <w:t>Applied Soft Computing</w:t>
      </w:r>
      <w:bookmarkEnd w:id="546"/>
    </w:p>
    <w:p w:rsidR="00B50EAC" w:rsidRPr="001A3D2B" w:rsidRDefault="00B50EAC" w:rsidP="00B50EAC">
      <w:pPr>
        <w:pStyle w:val="12"/>
      </w:pPr>
      <w:r w:rsidRPr="001A3D2B">
        <w:t xml:space="preserve">Full Journal Title: </w:t>
      </w:r>
      <w:r w:rsidRPr="00B50EAC">
        <w:rPr>
          <w:iCs/>
          <w:kern w:val="0"/>
        </w:rPr>
        <w:t>Applied Soft Computing</w:t>
      </w:r>
    </w:p>
    <w:p w:rsidR="00B50EAC" w:rsidRPr="001A3D2B" w:rsidRDefault="00B50EAC" w:rsidP="00B50EAC">
      <w:pPr>
        <w:pStyle w:val="12"/>
      </w:pPr>
      <w:r w:rsidRPr="001A3D2B">
        <w:t xml:space="preserve">ISO Abbreviated Title: </w:t>
      </w:r>
    </w:p>
    <w:p w:rsidR="00B50EAC" w:rsidRPr="001A3D2B" w:rsidRDefault="00B50EAC" w:rsidP="00B50EAC">
      <w:pPr>
        <w:pStyle w:val="12"/>
      </w:pPr>
      <w:r w:rsidRPr="001A3D2B">
        <w:t xml:space="preserve">JCR Abbreviated Title: </w:t>
      </w:r>
    </w:p>
    <w:p w:rsidR="00B50EAC" w:rsidRPr="001A3D2B" w:rsidRDefault="00B50EAC" w:rsidP="00B50EAC">
      <w:pPr>
        <w:pStyle w:val="12"/>
      </w:pPr>
      <w:r w:rsidRPr="001A3D2B">
        <w:t xml:space="preserve">ISSN: </w:t>
      </w:r>
    </w:p>
    <w:p w:rsidR="00B50EAC" w:rsidRPr="001A3D2B" w:rsidRDefault="00B50EAC" w:rsidP="00B50EAC">
      <w:pPr>
        <w:pStyle w:val="12"/>
      </w:pPr>
      <w:r w:rsidRPr="001A3D2B">
        <w:t xml:space="preserve">Issues/Year: </w:t>
      </w:r>
    </w:p>
    <w:p w:rsidR="00B50EAC" w:rsidRPr="001A3D2B" w:rsidRDefault="00B50EAC" w:rsidP="00B50EAC">
      <w:pPr>
        <w:pStyle w:val="12"/>
      </w:pPr>
      <w:r w:rsidRPr="001A3D2B">
        <w:t xml:space="preserve">Journal Country/Territory: </w:t>
      </w:r>
    </w:p>
    <w:p w:rsidR="00B50EAC" w:rsidRPr="001A3D2B" w:rsidRDefault="00B50EAC" w:rsidP="00B50EAC">
      <w:pPr>
        <w:pStyle w:val="12"/>
      </w:pPr>
      <w:r w:rsidRPr="001A3D2B">
        <w:t xml:space="preserve">Language: </w:t>
      </w:r>
    </w:p>
    <w:p w:rsidR="00B50EAC" w:rsidRPr="001A3D2B" w:rsidRDefault="00B50EAC" w:rsidP="00B50EAC">
      <w:pPr>
        <w:pStyle w:val="12"/>
      </w:pPr>
      <w:r w:rsidRPr="001A3D2B">
        <w:t xml:space="preserve">Publisher: </w:t>
      </w:r>
    </w:p>
    <w:p w:rsidR="00B50EAC" w:rsidRPr="001A3D2B" w:rsidRDefault="00B50EAC" w:rsidP="00B50EAC">
      <w:pPr>
        <w:pStyle w:val="12"/>
      </w:pPr>
      <w:r w:rsidRPr="001A3D2B">
        <w:t xml:space="preserve">Publisher Address: </w:t>
      </w:r>
    </w:p>
    <w:p w:rsidR="00B50EAC" w:rsidRPr="001A3D2B" w:rsidRDefault="00B50EAC" w:rsidP="00B50EAC">
      <w:pPr>
        <w:pStyle w:val="12"/>
      </w:pPr>
      <w:r w:rsidRPr="001A3D2B">
        <w:t xml:space="preserve">Subject Categories: </w:t>
      </w:r>
    </w:p>
    <w:p w:rsidR="00B50EAC" w:rsidRPr="001A3D2B" w:rsidRDefault="00B50EAC" w:rsidP="00B50EAC">
      <w:pPr>
        <w:pStyle w:val="12"/>
      </w:pPr>
      <w:r w:rsidRPr="001A3D2B">
        <w:t xml:space="preserve">: Impact Factor </w:t>
      </w:r>
    </w:p>
    <w:p w:rsidR="00B50EAC" w:rsidRDefault="00B50EAC" w:rsidP="00B50EAC">
      <w:pPr>
        <w:pStyle w:val="a3"/>
        <w:rPr>
          <w:kern w:val="0"/>
        </w:rPr>
      </w:pPr>
      <w:r>
        <w:rPr>
          <w:rFonts w:hint="eastAsia"/>
          <w:kern w:val="0"/>
        </w:rPr>
        <w:t xml:space="preserve">? </w:t>
      </w:r>
      <w:r>
        <w:rPr>
          <w:kern w:val="0"/>
        </w:rPr>
        <w:t xml:space="preserve">Merigo, J.M., Gil-Lafuente, A.M. and Yager, R.R. (2015), An overview of fuzzy research with bibliometric indicators. </w:t>
      </w:r>
      <w:r w:rsidRPr="00B50EAC">
        <w:rPr>
          <w:i/>
          <w:iCs/>
          <w:kern w:val="0"/>
        </w:rPr>
        <w:t>Applied Soft Computing</w:t>
      </w:r>
      <w:r>
        <w:rPr>
          <w:kern w:val="0"/>
        </w:rPr>
        <w:t xml:space="preserve">, </w:t>
      </w:r>
      <w:r>
        <w:rPr>
          <w:b/>
          <w:bCs/>
          <w:kern w:val="0"/>
        </w:rPr>
        <w:t>27</w:t>
      </w:r>
      <w:r>
        <w:rPr>
          <w:kern w:val="0"/>
        </w:rPr>
        <w:t>, 420-433.</w:t>
      </w:r>
    </w:p>
    <w:p w:rsidR="00B50EAC" w:rsidRDefault="00B50EAC" w:rsidP="00B50EAC">
      <w:pPr>
        <w:pStyle w:val="a3"/>
        <w:rPr>
          <w:kern w:val="0"/>
        </w:rPr>
      </w:pPr>
      <w:r>
        <w:rPr>
          <w:rFonts w:hint="eastAsia"/>
          <w:kern w:val="0"/>
        </w:rPr>
        <w:t xml:space="preserve">Full Text: </w:t>
      </w:r>
      <w:hyperlink r:id="rId1061" w:history="1">
        <w:r w:rsidRPr="00B50EAC">
          <w:rPr>
            <w:rStyle w:val="a5"/>
            <w:kern w:val="0"/>
          </w:rPr>
          <w:t>2015\App Sof Com27, 420.pdf</w:t>
        </w:r>
      </w:hyperlink>
    </w:p>
    <w:p w:rsidR="00B50EAC" w:rsidRDefault="00B50EAC" w:rsidP="00B50EAC">
      <w:pPr>
        <w:pStyle w:val="a3"/>
        <w:rPr>
          <w:kern w:val="0"/>
        </w:rPr>
      </w:pPr>
      <w:r>
        <w:rPr>
          <w:kern w:val="0"/>
        </w:rPr>
        <w:t>Abstract: Bibliometrics is a discipline that analyzes bibliographic material from a quantitative perspective. It is very useful for classifying information according to different variables, including journals, institutions and countries. This paper presents a general overview of research in the fuzzy sciences using bibliometric indicators. The main advantage is that these indicators provide a general picture, identifying some of the most influential research in this area. The analysis is divided into key sections focused on relevant journals, papers, authors, institutions and countries. Most of the results are in accordance with our common knowledge, although some unexpected results are also found. Note that the aim of this paper is to be informative, and these indicators identify most of the fundamental research in this field. However, some very influential issues may be omitted if they are not included in the Web of Science database, which is used for carrying out the bibliometric analysis. Crown Copyright (C) 2014 Published by Elsevier B.V. All rights reserved.</w:t>
      </w:r>
    </w:p>
    <w:p w:rsidR="00B50EAC" w:rsidRDefault="00B50EAC" w:rsidP="00B50EAC">
      <w:pPr>
        <w:pStyle w:val="a3"/>
        <w:rPr>
          <w:kern w:val="0"/>
        </w:rPr>
      </w:pPr>
      <w:r>
        <w:rPr>
          <w:kern w:val="0"/>
        </w:rPr>
        <w:t>Keywords: Analysis, Authors, Bibliographic, Bibliometric, Bibliometric Analysis, Bibliometric Indicators, Bibliometrics, Citation Analysis, Computational Intelligence Field, Database, Evolution, Field, From, Fuzzy Research, General, H-Index, Impact Factor, Indicators, Information, Informetrics, Institutions, Issues, Journals, Knowledge, Knowledge-Base, Management, Overview, Papers, Productivity, Research, Research Output, Rights, Science, Sciences, Web, Web Of Science</w:t>
      </w:r>
    </w:p>
    <w:p w:rsidR="00D94F10" w:rsidRDefault="00D94F10" w:rsidP="00D94F10">
      <w:pPr>
        <w:pStyle w:val="a3"/>
        <w:rPr>
          <w:kern w:val="0"/>
        </w:rPr>
      </w:pPr>
      <w:r>
        <w:rPr>
          <w:rFonts w:hint="eastAsia"/>
          <w:kern w:val="0"/>
        </w:rPr>
        <w:t xml:space="preserve">? </w:t>
      </w:r>
      <w:r>
        <w:rPr>
          <w:kern w:val="0"/>
        </w:rPr>
        <w:t>Tejeda-Lorente, A., Porcel, C., Bernab</w:t>
      </w:r>
      <w:r w:rsidR="003F6D62">
        <w:rPr>
          <w:kern w:val="0"/>
        </w:rPr>
        <w:t>é</w:t>
      </w:r>
      <w:r>
        <w:rPr>
          <w:kern w:val="0"/>
        </w:rPr>
        <w:t xml:space="preserve">-Moreno, J. and Herrera-Viedma, E. (2015), REFORE: A recommender system for researchers based on bibliometrics. </w:t>
      </w:r>
      <w:r>
        <w:rPr>
          <w:i/>
          <w:iCs/>
          <w:kern w:val="0"/>
        </w:rPr>
        <w:t>Applied Soft Computing</w:t>
      </w:r>
      <w:r>
        <w:rPr>
          <w:kern w:val="0"/>
        </w:rPr>
        <w:t xml:space="preserve">, </w:t>
      </w:r>
      <w:r>
        <w:rPr>
          <w:b/>
          <w:bCs/>
          <w:kern w:val="0"/>
        </w:rPr>
        <w:t>30</w:t>
      </w:r>
      <w:r>
        <w:rPr>
          <w:kern w:val="0"/>
        </w:rPr>
        <w:t>, 778-791.</w:t>
      </w:r>
    </w:p>
    <w:p w:rsidR="00D94F10" w:rsidRDefault="00D94F10" w:rsidP="00D94F10">
      <w:pPr>
        <w:pStyle w:val="a3"/>
        <w:rPr>
          <w:kern w:val="0"/>
        </w:rPr>
      </w:pPr>
      <w:r>
        <w:rPr>
          <w:rFonts w:hint="eastAsia"/>
          <w:kern w:val="0"/>
        </w:rPr>
        <w:lastRenderedPageBreak/>
        <w:t xml:space="preserve">Full Text: </w:t>
      </w:r>
      <w:hyperlink r:id="rId1062" w:history="1">
        <w:r w:rsidRPr="00821B9A">
          <w:rPr>
            <w:rStyle w:val="a5"/>
            <w:kern w:val="0"/>
          </w:rPr>
          <w:t>2015\App Sof Com30, 778.pdf</w:t>
        </w:r>
      </w:hyperlink>
    </w:p>
    <w:p w:rsidR="00D94F10" w:rsidRDefault="00D94F10" w:rsidP="00D94F10">
      <w:pPr>
        <w:pStyle w:val="a3"/>
        <w:rPr>
          <w:kern w:val="0"/>
        </w:rPr>
      </w:pPr>
      <w:r>
        <w:rPr>
          <w:kern w:val="0"/>
        </w:rPr>
        <w:t>Abstract: Recommender systems (RSs) exploit past behaviors and user similarities to provide personalized recommendations. There are some precedents of usage in academic environments to assist users finding relevant information, based on assumptions about the characteristics of the items and users. Even if quality has already been taken into account as a property of items in previous works, it has never been given a key role in the re-ranking process for both items and users. In this paper, we present REFORE, a quality-based fuzzy linguistic REcommender system FOr REsearchers. We propose the use of some bibliometric measures as the way to quantify the quality of both items and users without the interaction of experts as well as the use of 2-tuple linguistic approach to describe the linguistic information. The system takes into account the measured quality as the main factor for the re-ranking of the top-N recommendations list in order to point out researchers to the latest and the best papers in their research fileds. To prove the accuracy improvement, we conduct a study involving different recommendation approaches, aiming at measuring their performance gain. The results obtained proved to be satisfactory for the researchers from different departments who took part on the tests. (C) 2015 Elsevier B.V. All rights reserved.</w:t>
      </w:r>
    </w:p>
    <w:p w:rsidR="00D94F10" w:rsidRDefault="00D94F10" w:rsidP="00D94F10">
      <w:pPr>
        <w:pStyle w:val="a3"/>
        <w:rPr>
          <w:kern w:val="0"/>
        </w:rPr>
      </w:pPr>
      <w:r>
        <w:rPr>
          <w:kern w:val="0"/>
        </w:rPr>
        <w:t>Keywords: Accuracy, Approach, Assumptions, Bibliometric, Bibliometrics, Characteristics, Digital Library, Experts, From, Fuzzy Linguistic Modeling, Improvement, Information, Interaction, Item Quality, Journals, Libraries, Measures, Model, Papers, Performance, Property, Quality, Quality Of, Recommendations, Recommender Systems, Representation, Research, Researchers, Retranslation, Rights, Role, Systems, Technology, Web, Words</w:t>
      </w:r>
    </w:p>
    <w:p w:rsidR="003474F2" w:rsidRPr="001A3D2B" w:rsidRDefault="003474F2" w:rsidP="003474F2">
      <w:pPr>
        <w:pStyle w:val="1"/>
      </w:pPr>
      <w:r w:rsidRPr="001A3D2B">
        <w:br w:type="page"/>
      </w:r>
      <w:bookmarkStart w:id="547" w:name="_Toc420814558"/>
      <w:r w:rsidRPr="001A3D2B">
        <w:lastRenderedPageBreak/>
        <w:t>Title: Applied Statistics</w:t>
      </w:r>
      <w:bookmarkEnd w:id="547"/>
    </w:p>
    <w:p w:rsidR="003474F2" w:rsidRPr="001A3D2B" w:rsidRDefault="003474F2" w:rsidP="003474F2">
      <w:pPr>
        <w:pStyle w:val="12"/>
      </w:pPr>
      <w:r w:rsidRPr="001A3D2B">
        <w:t>Full Journal Title: Applied Statistics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Oliver, F.R. (1964), Methods</w:t>
      </w:r>
      <w:r w:rsidR="00427468">
        <w:t xml:space="preserve"> of </w:t>
      </w:r>
      <w:r w:rsidRPr="001A3D2B">
        <w:t>estimating</w:t>
      </w:r>
      <w:r w:rsidR="003A1917">
        <w:t xml:space="preserve"> the </w:t>
      </w:r>
      <w:r w:rsidRPr="001A3D2B">
        <w:t xml:space="preserve">logistic growth function. </w:t>
      </w:r>
      <w:r w:rsidRPr="001A3D2B">
        <w:rPr>
          <w:i/>
          <w:iCs/>
        </w:rPr>
        <w:t>Applied Statistics</w:t>
      </w:r>
      <w:r w:rsidRPr="001A3D2B">
        <w:t xml:space="preserve">, </w:t>
      </w:r>
      <w:r w:rsidRPr="001A3D2B">
        <w:rPr>
          <w:b/>
          <w:bCs/>
        </w:rPr>
        <w:t>13</w:t>
      </w:r>
      <w:r w:rsidRPr="001A3D2B">
        <w:t>, 57-66.</w:t>
      </w:r>
    </w:p>
    <w:p w:rsidR="0039485A" w:rsidRPr="00F219CA" w:rsidRDefault="0039485A" w:rsidP="0039485A">
      <w:pPr>
        <w:pStyle w:val="a3"/>
      </w:pPr>
      <w:r w:rsidRPr="00F219CA">
        <w:t xml:space="preserve">Full Text: </w:t>
      </w:r>
      <w:hyperlink r:id="rId1063" w:history="1">
        <w:r w:rsidRPr="00F567F1">
          <w:rPr>
            <w:rStyle w:val="a5"/>
          </w:rPr>
          <w:t>1960-80\App Sta13, 57.pdf</w:t>
        </w:r>
      </w:hyperlink>
    </w:p>
    <w:p w:rsidR="00376E15" w:rsidRPr="001A3D2B" w:rsidRDefault="00376E15" w:rsidP="00376E15">
      <w:pPr>
        <w:pStyle w:val="1"/>
      </w:pPr>
      <w:r w:rsidRPr="001A3D2B">
        <w:br w:type="page"/>
      </w:r>
      <w:bookmarkStart w:id="548" w:name="_Toc420814559"/>
      <w:r w:rsidRPr="001A3D2B">
        <w:lastRenderedPageBreak/>
        <w:t xml:space="preserve">Title: </w:t>
      </w:r>
      <w:r w:rsidRPr="00376E15">
        <w:rPr>
          <w:iCs w:val="0"/>
        </w:rPr>
        <w:t>Aquatic Invasions</w:t>
      </w:r>
      <w:bookmarkEnd w:id="548"/>
    </w:p>
    <w:p w:rsidR="00376E15" w:rsidRPr="001A3D2B" w:rsidRDefault="00376E15" w:rsidP="00376E15">
      <w:pPr>
        <w:pStyle w:val="12"/>
      </w:pPr>
      <w:r w:rsidRPr="001A3D2B">
        <w:t xml:space="preserve">Full Journal Title: </w:t>
      </w:r>
      <w:r w:rsidRPr="00376E15">
        <w:rPr>
          <w:iCs/>
          <w:kern w:val="0"/>
        </w:rPr>
        <w:t>Aquatic Invasions</w:t>
      </w:r>
    </w:p>
    <w:p w:rsidR="00376E15" w:rsidRPr="001A3D2B" w:rsidRDefault="00376E15" w:rsidP="00376E15">
      <w:pPr>
        <w:pStyle w:val="12"/>
      </w:pPr>
      <w:r w:rsidRPr="001A3D2B">
        <w:t xml:space="preserve">ISO Abbreviated Title: </w:t>
      </w:r>
    </w:p>
    <w:p w:rsidR="00376E15" w:rsidRPr="001A3D2B" w:rsidRDefault="00376E15" w:rsidP="00376E15">
      <w:pPr>
        <w:pStyle w:val="12"/>
      </w:pPr>
      <w:r w:rsidRPr="001A3D2B">
        <w:t xml:space="preserve">JCR Abbreviated Title: </w:t>
      </w:r>
    </w:p>
    <w:p w:rsidR="00376E15" w:rsidRPr="001A3D2B" w:rsidRDefault="00376E15" w:rsidP="00376E15">
      <w:pPr>
        <w:pStyle w:val="12"/>
      </w:pPr>
      <w:r w:rsidRPr="001A3D2B">
        <w:t xml:space="preserve">ISSN: </w:t>
      </w:r>
    </w:p>
    <w:p w:rsidR="00376E15" w:rsidRPr="001A3D2B" w:rsidRDefault="00376E15" w:rsidP="00376E15">
      <w:pPr>
        <w:pStyle w:val="12"/>
      </w:pPr>
      <w:r w:rsidRPr="001A3D2B">
        <w:t xml:space="preserve">Issues/Year: </w:t>
      </w:r>
    </w:p>
    <w:p w:rsidR="00376E15" w:rsidRPr="001A3D2B" w:rsidRDefault="00376E15" w:rsidP="00376E15">
      <w:pPr>
        <w:pStyle w:val="12"/>
      </w:pPr>
      <w:r w:rsidRPr="001A3D2B">
        <w:t xml:space="preserve">Journal Country/Territory: </w:t>
      </w:r>
    </w:p>
    <w:p w:rsidR="00376E15" w:rsidRPr="001A3D2B" w:rsidRDefault="00376E15" w:rsidP="00376E15">
      <w:pPr>
        <w:pStyle w:val="12"/>
      </w:pPr>
      <w:r w:rsidRPr="001A3D2B">
        <w:t xml:space="preserve">Language: </w:t>
      </w:r>
    </w:p>
    <w:p w:rsidR="00376E15" w:rsidRPr="001A3D2B" w:rsidRDefault="00376E15" w:rsidP="00376E15">
      <w:pPr>
        <w:pStyle w:val="12"/>
      </w:pPr>
      <w:r w:rsidRPr="001A3D2B">
        <w:t xml:space="preserve">Publisher: </w:t>
      </w:r>
    </w:p>
    <w:p w:rsidR="00376E15" w:rsidRPr="001A3D2B" w:rsidRDefault="00376E15" w:rsidP="00376E15">
      <w:pPr>
        <w:pStyle w:val="12"/>
      </w:pPr>
      <w:r w:rsidRPr="001A3D2B">
        <w:t xml:space="preserve">Publisher Address: </w:t>
      </w:r>
    </w:p>
    <w:p w:rsidR="00376E15" w:rsidRPr="001A3D2B" w:rsidRDefault="00376E15" w:rsidP="00376E15">
      <w:pPr>
        <w:pStyle w:val="12"/>
      </w:pPr>
      <w:r w:rsidRPr="001A3D2B">
        <w:t xml:space="preserve">Subject Categories: </w:t>
      </w:r>
    </w:p>
    <w:p w:rsidR="00376E15" w:rsidRPr="001A3D2B" w:rsidRDefault="00376E15" w:rsidP="00376E15">
      <w:pPr>
        <w:pStyle w:val="12"/>
      </w:pPr>
      <w:r w:rsidRPr="001A3D2B">
        <w:t xml:space="preserve">: Impact Factor </w:t>
      </w:r>
    </w:p>
    <w:p w:rsidR="00376E15" w:rsidRDefault="00376E15" w:rsidP="00376E15">
      <w:pPr>
        <w:pStyle w:val="a3"/>
        <w:rPr>
          <w:kern w:val="0"/>
        </w:rPr>
      </w:pPr>
      <w:r>
        <w:rPr>
          <w:rFonts w:hint="eastAsia"/>
          <w:kern w:val="0"/>
        </w:rPr>
        <w:t xml:space="preserve">? </w:t>
      </w:r>
      <w:r>
        <w:rPr>
          <w:kern w:val="0"/>
        </w:rPr>
        <w:t xml:space="preserve">Evangelista, H.B.A., Thomaz, S.M. and Umetsu, C.A. (2014), An analysis of publications on invasive macrophytes in aquatic ecosystems. </w:t>
      </w:r>
      <w:r w:rsidRPr="00376E15">
        <w:rPr>
          <w:i/>
          <w:iCs/>
          <w:kern w:val="0"/>
        </w:rPr>
        <w:t>Aquatic Invasions</w:t>
      </w:r>
      <w:r>
        <w:rPr>
          <w:kern w:val="0"/>
        </w:rPr>
        <w:t xml:space="preserve">, </w:t>
      </w:r>
      <w:r>
        <w:rPr>
          <w:b/>
          <w:bCs/>
          <w:kern w:val="0"/>
        </w:rPr>
        <w:t>9</w:t>
      </w:r>
      <w:r>
        <w:rPr>
          <w:kern w:val="0"/>
        </w:rPr>
        <w:t xml:space="preserve"> (4), 521-528.</w:t>
      </w:r>
    </w:p>
    <w:p w:rsidR="00376E15" w:rsidRDefault="00376E15" w:rsidP="00376E15">
      <w:pPr>
        <w:pStyle w:val="a3"/>
        <w:rPr>
          <w:kern w:val="0"/>
        </w:rPr>
      </w:pPr>
      <w:r>
        <w:rPr>
          <w:kern w:val="0"/>
        </w:rPr>
        <w:t>Abstract: In this study, we performed a scientometric analysis of published scientific papers on the biological invasion of macrophytes in freshwater ecosystems to assess the main trends and gaps in research concerning this group of organisms. The analysis showed that publications on invasive macrophytes increased exponentially in the last decade. However, the activity index (a comparison of the quantitative trends of invasive macrophytes in relation to all of the papers on macrophytes) indicated that invasive macrophytes have not been consistently studied more than other topics in the field of limnology over the last decade. The most studied macrophyte species were Myriophyllum spicatum, Hydrilla verticillata, Phragmites australis and Eichhornia crassipes. Certain gaps were related to the limited number of studies on the important species threatening tropical ecosystems, under-representation of investigations on the impacts of invasive macrophytes on fish and lack of studies associating macrophytes with microorganisms (bacteria and fungi). Studies that encompassed several levels of biological complexity were also scarce, indicating that the studies were fragmented at specific levels. Finally, there was a clear geographical bias, with fewer studies occurring in Neotropical and Afrotropical regions. Identification of these gaps may be useful for addressing future studies that might help evaluate the causes of invasion by macrophytes and the impacts of such invasions on freshwater ecosystems.</w:t>
      </w:r>
    </w:p>
    <w:p w:rsidR="00376E15" w:rsidRDefault="00376E15" w:rsidP="00376E15">
      <w:pPr>
        <w:pStyle w:val="a3"/>
        <w:rPr>
          <w:kern w:val="0"/>
        </w:rPr>
      </w:pPr>
      <w:r>
        <w:rPr>
          <w:kern w:val="0"/>
        </w:rPr>
        <w:t xml:space="preserve">Keywords: Activity, Analysis, Aquatic, Aquatic Ecosystems, Bacteria, Bias, Biological, Biological Invasions, Comparison, Complexity, Ecology, Ecosystems, Eichhornia Crassipes, Exotic Plants, Field, Fish, Freshwater, Fungi, Habitat, Impacts, Index, </w:t>
      </w:r>
      <w:r>
        <w:rPr>
          <w:kern w:val="0"/>
        </w:rPr>
        <w:lastRenderedPageBreak/>
        <w:t>Invasibility, Invasive, Invasiveness, Investigations, Lakes, Limnology, Macroinvertebrate Communities, Macrophytes, Microorganisms, Non-Native Macrophytes, Nov, Papers, Phragmites Australis, Plant Invasions, Publications, Research, Scientometric, Scientometric Analysis, Species, System, Trends, Tropical, Verticillata L.F.Royle, Watermilfoil Myriophyllum-Spicatum</w:t>
      </w:r>
    </w:p>
    <w:p w:rsidR="009F5DAB" w:rsidRPr="001A3D2B" w:rsidRDefault="009F5DAB" w:rsidP="009F5DAB">
      <w:pPr>
        <w:pStyle w:val="1"/>
      </w:pPr>
      <w:r w:rsidRPr="001A3D2B">
        <w:br w:type="page"/>
      </w:r>
      <w:bookmarkStart w:id="549" w:name="_Toc420814560"/>
      <w:r w:rsidRPr="001A3D2B">
        <w:lastRenderedPageBreak/>
        <w:t xml:space="preserve">Title: </w:t>
      </w:r>
      <w:r w:rsidRPr="00F36EE3">
        <w:t>Aquichan</w:t>
      </w:r>
      <w:bookmarkEnd w:id="549"/>
    </w:p>
    <w:p w:rsidR="009F5DAB" w:rsidRPr="001A3D2B" w:rsidRDefault="009F5DAB" w:rsidP="009F5DAB">
      <w:pPr>
        <w:pStyle w:val="12"/>
      </w:pPr>
      <w:r w:rsidRPr="001A3D2B">
        <w:t xml:space="preserve">Full Journal Title: </w:t>
      </w:r>
      <w:r w:rsidRPr="00F36EE3">
        <w:rPr>
          <w:iCs/>
          <w:kern w:val="0"/>
        </w:rPr>
        <w:t>Aquichan</w:t>
      </w:r>
    </w:p>
    <w:p w:rsidR="009F5DAB" w:rsidRPr="001A3D2B" w:rsidRDefault="009F5DAB" w:rsidP="009F5DAB">
      <w:pPr>
        <w:pStyle w:val="12"/>
      </w:pPr>
      <w:r w:rsidRPr="001A3D2B">
        <w:t>I</w:t>
      </w:r>
      <w:bookmarkStart w:id="550" w:name="_Toc294242000"/>
      <w:r w:rsidRPr="001A3D2B">
        <w:t xml:space="preserve">SO Abbreviated </w:t>
      </w:r>
      <w:bookmarkEnd w:id="550"/>
      <w:r w:rsidRPr="001A3D2B">
        <w:t xml:space="preserve">Title: </w:t>
      </w:r>
      <w:r w:rsidRPr="00F36EE3">
        <w:rPr>
          <w:iCs/>
          <w:kern w:val="0"/>
        </w:rPr>
        <w:t>Aquichan</w:t>
      </w:r>
    </w:p>
    <w:p w:rsidR="009F5DAB" w:rsidRPr="001A3D2B" w:rsidRDefault="009F5DAB" w:rsidP="009F5DAB">
      <w:pPr>
        <w:pStyle w:val="12"/>
      </w:pPr>
      <w:r w:rsidRPr="001A3D2B">
        <w:t xml:space="preserve">JCR Abbreviated Title: </w:t>
      </w:r>
      <w:r w:rsidRPr="00F36EE3">
        <w:rPr>
          <w:iCs/>
          <w:kern w:val="0"/>
        </w:rPr>
        <w:t>Aquichan</w:t>
      </w:r>
    </w:p>
    <w:p w:rsidR="009F5DAB" w:rsidRPr="001A3D2B" w:rsidRDefault="009F5DAB" w:rsidP="009F5DAB">
      <w:pPr>
        <w:pStyle w:val="12"/>
      </w:pPr>
      <w:r w:rsidRPr="001A3D2B">
        <w:t xml:space="preserve">ISSN: </w:t>
      </w:r>
    </w:p>
    <w:p w:rsidR="009F5DAB" w:rsidRPr="001A3D2B" w:rsidRDefault="009F5DAB" w:rsidP="009F5DAB">
      <w:pPr>
        <w:pStyle w:val="12"/>
      </w:pPr>
      <w:r w:rsidRPr="001A3D2B">
        <w:t xml:space="preserve">Issues/Year: </w:t>
      </w:r>
    </w:p>
    <w:p w:rsidR="009F5DAB" w:rsidRPr="001A3D2B" w:rsidRDefault="009F5DAB" w:rsidP="009F5DAB">
      <w:pPr>
        <w:pStyle w:val="12"/>
      </w:pPr>
      <w:r w:rsidRPr="001A3D2B">
        <w:t xml:space="preserve">Journal Country/Territory: </w:t>
      </w:r>
    </w:p>
    <w:p w:rsidR="009F5DAB" w:rsidRPr="001A3D2B" w:rsidRDefault="009F5DAB" w:rsidP="009F5DAB">
      <w:pPr>
        <w:pStyle w:val="12"/>
      </w:pPr>
      <w:r w:rsidRPr="001A3D2B">
        <w:t xml:space="preserve">Language: </w:t>
      </w:r>
    </w:p>
    <w:p w:rsidR="009F5DAB" w:rsidRPr="001A3D2B" w:rsidRDefault="009F5DAB" w:rsidP="009F5DAB">
      <w:pPr>
        <w:pStyle w:val="12"/>
      </w:pPr>
      <w:r w:rsidRPr="001A3D2B">
        <w:t xml:space="preserve">Publisher: </w:t>
      </w:r>
    </w:p>
    <w:p w:rsidR="009F5DAB" w:rsidRPr="001A3D2B" w:rsidRDefault="009F5DAB" w:rsidP="009F5DAB">
      <w:pPr>
        <w:pStyle w:val="12"/>
      </w:pPr>
      <w:r w:rsidRPr="001A3D2B">
        <w:t xml:space="preserve">Publisher Address: </w:t>
      </w:r>
    </w:p>
    <w:p w:rsidR="009F5DAB" w:rsidRPr="001A3D2B" w:rsidRDefault="009F5DAB" w:rsidP="009F5DAB">
      <w:pPr>
        <w:pStyle w:val="12"/>
      </w:pPr>
      <w:r w:rsidRPr="001A3D2B">
        <w:t xml:space="preserve">Subject Categories: </w:t>
      </w:r>
    </w:p>
    <w:p w:rsidR="009F5DAB" w:rsidRPr="001A3D2B" w:rsidRDefault="009F5DAB" w:rsidP="009F5DAB">
      <w:pPr>
        <w:pStyle w:val="12"/>
      </w:pPr>
      <w:r w:rsidRPr="001A3D2B">
        <w:t xml:space="preserve">: Impact Factor </w:t>
      </w:r>
    </w:p>
    <w:p w:rsidR="009F5DAB" w:rsidRDefault="009F5DAB" w:rsidP="009F5DAB">
      <w:pPr>
        <w:pStyle w:val="a3"/>
        <w:rPr>
          <w:kern w:val="0"/>
        </w:rPr>
      </w:pPr>
      <w:r>
        <w:rPr>
          <w:rFonts w:hint="eastAsia"/>
          <w:kern w:val="0"/>
        </w:rPr>
        <w:t xml:space="preserve">? </w:t>
      </w:r>
      <w:r>
        <w:rPr>
          <w:kern w:val="0"/>
        </w:rPr>
        <w:t>Vernaza-Pinzon, P.</w:t>
      </w:r>
      <w:r w:rsidR="005853A9">
        <w:rPr>
          <w:kern w:val="0"/>
        </w:rPr>
        <w:t xml:space="preserve"> and </w:t>
      </w:r>
      <w:r>
        <w:rPr>
          <w:rFonts w:hint="eastAsia"/>
          <w:kern w:val="0"/>
        </w:rPr>
        <w:t>Al</w:t>
      </w:r>
      <w:r>
        <w:rPr>
          <w:kern w:val="0"/>
        </w:rPr>
        <w:t xml:space="preserve">varez-Bravo, G. (2011), Latin American scientific output in physical therapy/kinesiology. </w:t>
      </w:r>
      <w:r w:rsidRPr="00F36EE3">
        <w:rPr>
          <w:i/>
          <w:iCs/>
          <w:kern w:val="0"/>
        </w:rPr>
        <w:t>Aquichan</w:t>
      </w:r>
      <w:r>
        <w:rPr>
          <w:kern w:val="0"/>
        </w:rPr>
        <w:t xml:space="preserve">, </w:t>
      </w:r>
      <w:r>
        <w:rPr>
          <w:b/>
          <w:bCs/>
          <w:kern w:val="0"/>
        </w:rPr>
        <w:t>11</w:t>
      </w:r>
      <w:r>
        <w:rPr>
          <w:kern w:val="0"/>
        </w:rPr>
        <w:t xml:space="preserve"> (1), 94-107.</w:t>
      </w:r>
    </w:p>
    <w:p w:rsidR="00EA64BA" w:rsidRDefault="00EA64BA" w:rsidP="009F5DAB">
      <w:pPr>
        <w:pStyle w:val="a3"/>
        <w:rPr>
          <w:kern w:val="0"/>
        </w:rPr>
      </w:pPr>
      <w:r>
        <w:rPr>
          <w:rFonts w:hint="eastAsia"/>
          <w:kern w:val="0"/>
        </w:rPr>
        <w:t xml:space="preserve">Full Text: </w:t>
      </w:r>
      <w:hyperlink r:id="rId1064" w:history="1">
        <w:r w:rsidRPr="00EA64BA">
          <w:rPr>
            <w:rStyle w:val="a5"/>
            <w:kern w:val="0"/>
          </w:rPr>
          <w:t>2011\Aquichan11, 94.pdf</w:t>
        </w:r>
      </w:hyperlink>
    </w:p>
    <w:p w:rsidR="009F5DAB" w:rsidRDefault="009F5DAB" w:rsidP="009F5DAB">
      <w:pPr>
        <w:pStyle w:val="a3"/>
        <w:rPr>
          <w:kern w:val="0"/>
        </w:rPr>
      </w:pPr>
      <w:r>
        <w:rPr>
          <w:kern w:val="0"/>
        </w:rPr>
        <w:t>Abstract: Objective: Characterize</w:t>
      </w:r>
      <w:r w:rsidR="003A1917">
        <w:rPr>
          <w:kern w:val="0"/>
        </w:rPr>
        <w:t xml:space="preserve"> the </w:t>
      </w:r>
      <w:r>
        <w:rPr>
          <w:kern w:val="0"/>
        </w:rPr>
        <w:t>output</w:t>
      </w:r>
      <w:r w:rsidR="00427468">
        <w:rPr>
          <w:kern w:val="0"/>
        </w:rPr>
        <w:t xml:space="preserve"> of </w:t>
      </w:r>
      <w:r>
        <w:rPr>
          <w:kern w:val="0"/>
        </w:rPr>
        <w:t>scientific literature in Latin America between 2000</w:t>
      </w:r>
      <w:r w:rsidR="005853A9">
        <w:rPr>
          <w:kern w:val="0"/>
        </w:rPr>
        <w:t xml:space="preserve"> and </w:t>
      </w:r>
      <w:r>
        <w:rPr>
          <w:kern w:val="0"/>
        </w:rPr>
        <w:t>2007 with respect to physical therapy/kinesiology. Method:</w:t>
      </w:r>
      <w:r w:rsidR="003A1917">
        <w:rPr>
          <w:kern w:val="0"/>
        </w:rPr>
        <w:t xml:space="preserve"> the </w:t>
      </w:r>
      <w:r>
        <w:rPr>
          <w:kern w:val="0"/>
        </w:rPr>
        <w:t>authors conducted a retrospective study</w:t>
      </w:r>
      <w:r w:rsidR="00427468">
        <w:rPr>
          <w:kern w:val="0"/>
        </w:rPr>
        <w:t xml:space="preserve"> of </w:t>
      </w:r>
      <w:r>
        <w:rPr>
          <w:kern w:val="0"/>
        </w:rPr>
        <w:t>1,700 articles on physical therapy/kinesiology published in</w:t>
      </w:r>
      <w:r w:rsidR="003A1917">
        <w:rPr>
          <w:kern w:val="0"/>
        </w:rPr>
        <w:t xml:space="preserve"> the </w:t>
      </w:r>
      <w:r>
        <w:rPr>
          <w:kern w:val="0"/>
        </w:rPr>
        <w:t>SciE-LO</w:t>
      </w:r>
      <w:r w:rsidR="005853A9">
        <w:rPr>
          <w:kern w:val="0"/>
        </w:rPr>
        <w:t xml:space="preserve"> and </w:t>
      </w:r>
      <w:r>
        <w:rPr>
          <w:kern w:val="0"/>
        </w:rPr>
        <w:t>LILLACS databases</w:t>
      </w:r>
      <w:r w:rsidR="00A37C1D">
        <w:rPr>
          <w:kern w:val="0"/>
        </w:rPr>
        <w:t>. The</w:t>
      </w:r>
      <w:r w:rsidR="003A1917">
        <w:rPr>
          <w:kern w:val="0"/>
        </w:rPr>
        <w:t xml:space="preserve"> </w:t>
      </w:r>
      <w:r>
        <w:rPr>
          <w:kern w:val="0"/>
        </w:rPr>
        <w:t>variables studied were: document frequency, number</w:t>
      </w:r>
      <w:r w:rsidR="00427468">
        <w:rPr>
          <w:kern w:val="0"/>
        </w:rPr>
        <w:t xml:space="preserve"> of </w:t>
      </w:r>
      <w:r>
        <w:rPr>
          <w:kern w:val="0"/>
        </w:rPr>
        <w:t>documents found, scientific output per country, scientific output for each describer with respect to physical therapy/kinesiology, number</w:t>
      </w:r>
      <w:r w:rsidR="00427468">
        <w:rPr>
          <w:kern w:val="0"/>
        </w:rPr>
        <w:t xml:space="preserve"> of </w:t>
      </w:r>
      <w:r>
        <w:rPr>
          <w:kern w:val="0"/>
        </w:rPr>
        <w:t>authors, institutional affiliation, type</w:t>
      </w:r>
      <w:r w:rsidR="00427468">
        <w:rPr>
          <w:kern w:val="0"/>
        </w:rPr>
        <w:t xml:space="preserve"> of </w:t>
      </w:r>
      <w:r>
        <w:rPr>
          <w:kern w:val="0"/>
        </w:rPr>
        <w:t>publication, language, type</w:t>
      </w:r>
      <w:r w:rsidR="00427468">
        <w:rPr>
          <w:kern w:val="0"/>
        </w:rPr>
        <w:t xml:space="preserve"> of </w:t>
      </w:r>
      <w:r>
        <w:rPr>
          <w:kern w:val="0"/>
        </w:rPr>
        <w:t>study,</w:t>
      </w:r>
      <w:r w:rsidR="005853A9">
        <w:rPr>
          <w:kern w:val="0"/>
        </w:rPr>
        <w:t xml:space="preserve"> and </w:t>
      </w:r>
      <w:r>
        <w:rPr>
          <w:kern w:val="0"/>
        </w:rPr>
        <w:t>number</w:t>
      </w:r>
      <w:r w:rsidR="00427468">
        <w:rPr>
          <w:kern w:val="0"/>
        </w:rPr>
        <w:t xml:space="preserve"> of </w:t>
      </w:r>
      <w:r>
        <w:rPr>
          <w:kern w:val="0"/>
        </w:rPr>
        <w:t>works listed in</w:t>
      </w:r>
      <w:r w:rsidR="003A1917">
        <w:rPr>
          <w:kern w:val="0"/>
        </w:rPr>
        <w:t xml:space="preserve"> the </w:t>
      </w:r>
      <w:r>
        <w:rPr>
          <w:kern w:val="0"/>
        </w:rPr>
        <w:t>bibliography. Results:</w:t>
      </w:r>
      <w:r w:rsidR="003A1917">
        <w:rPr>
          <w:kern w:val="0"/>
        </w:rPr>
        <w:t xml:space="preserve"> the </w:t>
      </w:r>
      <w:r>
        <w:rPr>
          <w:kern w:val="0"/>
        </w:rPr>
        <w:t>trend in scientific output per country shows Brazil leads in Latin America, with 70.1 %</w:t>
      </w:r>
      <w:r w:rsidR="00427468">
        <w:rPr>
          <w:kern w:val="0"/>
        </w:rPr>
        <w:t xml:space="preserve"> of </w:t>
      </w:r>
      <w:r w:rsidR="003A1917">
        <w:rPr>
          <w:kern w:val="0"/>
        </w:rPr>
        <w:t xml:space="preserve">the </w:t>
      </w:r>
      <w:r>
        <w:rPr>
          <w:kern w:val="0"/>
        </w:rPr>
        <w:t>scientific output on physical therapy/kinesiology, followed by Chile with 13.4 %, Colombia</w:t>
      </w:r>
      <w:r w:rsidR="005853A9">
        <w:rPr>
          <w:kern w:val="0"/>
        </w:rPr>
        <w:t xml:space="preserve"> and </w:t>
      </w:r>
      <w:r>
        <w:rPr>
          <w:kern w:val="0"/>
        </w:rPr>
        <w:t>Venezuela with 6 %, Argentina with 3.4 %,</w:t>
      </w:r>
      <w:r w:rsidR="005853A9">
        <w:rPr>
          <w:kern w:val="0"/>
        </w:rPr>
        <w:t xml:space="preserve"> and </w:t>
      </w:r>
      <w:r>
        <w:rPr>
          <w:kern w:val="0"/>
        </w:rPr>
        <w:t>Cuba</w:t>
      </w:r>
      <w:r w:rsidR="005853A9">
        <w:rPr>
          <w:kern w:val="0"/>
        </w:rPr>
        <w:t xml:space="preserve"> and </w:t>
      </w:r>
      <w:r>
        <w:rPr>
          <w:kern w:val="0"/>
        </w:rPr>
        <w:t>Peru with less than 1 %</w:t>
      </w:r>
      <w:r w:rsidR="00427468">
        <w:rPr>
          <w:kern w:val="0"/>
        </w:rPr>
        <w:t xml:space="preserve"> of </w:t>
      </w:r>
      <w:r w:rsidR="003A1917">
        <w:rPr>
          <w:kern w:val="0"/>
        </w:rPr>
        <w:t xml:space="preserve">the </w:t>
      </w:r>
      <w:r>
        <w:rPr>
          <w:kern w:val="0"/>
        </w:rPr>
        <w:t>output. Conclusions: Although bibliometric studies in only one field</w:t>
      </w:r>
      <w:r w:rsidR="00427468">
        <w:rPr>
          <w:kern w:val="0"/>
        </w:rPr>
        <w:t xml:space="preserve"> of </w:t>
      </w:r>
      <w:r>
        <w:rPr>
          <w:kern w:val="0"/>
        </w:rPr>
        <w:t>knowledge do not resolve</w:t>
      </w:r>
      <w:r w:rsidR="003A1917">
        <w:rPr>
          <w:kern w:val="0"/>
        </w:rPr>
        <w:t xml:space="preserve"> the </w:t>
      </w:r>
      <w:r>
        <w:rPr>
          <w:kern w:val="0"/>
        </w:rPr>
        <w:t>need to measure scientific activity, they provide clarity</w:t>
      </w:r>
      <w:r w:rsidR="005853A9">
        <w:rPr>
          <w:kern w:val="0"/>
        </w:rPr>
        <w:t xml:space="preserve"> and </w:t>
      </w:r>
      <w:r>
        <w:rPr>
          <w:kern w:val="0"/>
        </w:rPr>
        <w:t>guide research work. Knowing what studies on physical therapy/kinesiology have been done in</w:t>
      </w:r>
      <w:r w:rsidR="003A1917">
        <w:rPr>
          <w:kern w:val="0"/>
        </w:rPr>
        <w:t xml:space="preserve"> the </w:t>
      </w:r>
      <w:r>
        <w:rPr>
          <w:kern w:val="0"/>
        </w:rPr>
        <w:t>region will enable academics to generate a Latin American research policy that is</w:t>
      </w:r>
      <w:r w:rsidR="00427468">
        <w:rPr>
          <w:kern w:val="0"/>
        </w:rPr>
        <w:t xml:space="preserve"> of </w:t>
      </w:r>
      <w:r>
        <w:rPr>
          <w:kern w:val="0"/>
        </w:rPr>
        <w:t>benefit to</w:t>
      </w:r>
      <w:r w:rsidR="003A1917">
        <w:rPr>
          <w:kern w:val="0"/>
        </w:rPr>
        <w:t xml:space="preserve"> the </w:t>
      </w:r>
      <w:r>
        <w:rPr>
          <w:kern w:val="0"/>
        </w:rPr>
        <w:t>profession,</w:t>
      </w:r>
      <w:r w:rsidR="003A1917">
        <w:rPr>
          <w:kern w:val="0"/>
        </w:rPr>
        <w:t xml:space="preserve"> the </w:t>
      </w:r>
      <w:r>
        <w:rPr>
          <w:kern w:val="0"/>
        </w:rPr>
        <w:t>community</w:t>
      </w:r>
      <w:r w:rsidR="005853A9">
        <w:rPr>
          <w:kern w:val="0"/>
        </w:rPr>
        <w:t xml:space="preserve"> and </w:t>
      </w:r>
      <w:r w:rsidR="003A1917">
        <w:rPr>
          <w:kern w:val="0"/>
        </w:rPr>
        <w:t xml:space="preserve">the </w:t>
      </w:r>
      <w:r>
        <w:rPr>
          <w:kern w:val="0"/>
        </w:rPr>
        <w:t>context.</w:t>
      </w:r>
    </w:p>
    <w:p w:rsidR="009F5DAB" w:rsidRDefault="009F5DAB" w:rsidP="009F5DAB">
      <w:pPr>
        <w:pStyle w:val="a3"/>
        <w:rPr>
          <w:kern w:val="0"/>
        </w:rPr>
      </w:pPr>
      <w:r>
        <w:rPr>
          <w:kern w:val="0"/>
        </w:rPr>
        <w:t>Keywords: Academics, Authors, Bibliometric, Bibliometrics, Brazil, Colombia, Databases, Latin America, Latin America (Source: Decs), Literature, Physical Therapy, Physiotherapy, Policy, Publication, Research, Trend</w:t>
      </w:r>
    </w:p>
    <w:p w:rsidR="003F2A1F" w:rsidRDefault="003F2A1F" w:rsidP="003F2A1F">
      <w:pPr>
        <w:pStyle w:val="a3"/>
        <w:rPr>
          <w:kern w:val="0"/>
        </w:rPr>
      </w:pPr>
      <w:r>
        <w:rPr>
          <w:rFonts w:hint="eastAsia"/>
          <w:kern w:val="0"/>
        </w:rPr>
        <w:t xml:space="preserve">? </w:t>
      </w:r>
      <w:r>
        <w:rPr>
          <w:kern w:val="0"/>
        </w:rPr>
        <w:t>Fernandez-Sola, C., Granero-Molina, J., Hernandez-Padilla, J.M.</w:t>
      </w:r>
      <w:r w:rsidR="005853A9">
        <w:rPr>
          <w:kern w:val="0"/>
        </w:rPr>
        <w:t xml:space="preserve"> and </w:t>
      </w:r>
      <w:r>
        <w:rPr>
          <w:kern w:val="0"/>
        </w:rPr>
        <w:t>guilera-Manrique, G. (2011</w:t>
      </w:r>
      <w:r w:rsidR="00F42EAC">
        <w:rPr>
          <w:kern w:val="0"/>
        </w:rPr>
        <w:t>), The</w:t>
      </w:r>
      <w:r w:rsidR="003A1917">
        <w:rPr>
          <w:kern w:val="0"/>
        </w:rPr>
        <w:t xml:space="preserve"> </w:t>
      </w:r>
      <w:r>
        <w:rPr>
          <w:kern w:val="0"/>
        </w:rPr>
        <w:t xml:space="preserve">journal impact factor: A threat or opportunity? </w:t>
      </w:r>
      <w:r>
        <w:rPr>
          <w:i/>
          <w:iCs/>
          <w:kern w:val="0"/>
        </w:rPr>
        <w:lastRenderedPageBreak/>
        <w:t>Aquichan</w:t>
      </w:r>
      <w:r>
        <w:rPr>
          <w:kern w:val="0"/>
        </w:rPr>
        <w:t xml:space="preserve">, </w:t>
      </w:r>
      <w:r>
        <w:rPr>
          <w:b/>
          <w:bCs/>
          <w:kern w:val="0"/>
        </w:rPr>
        <w:t>11</w:t>
      </w:r>
      <w:r>
        <w:rPr>
          <w:kern w:val="0"/>
        </w:rPr>
        <w:t xml:space="preserve"> (3), 245-255.</w:t>
      </w:r>
    </w:p>
    <w:p w:rsidR="003F2A1F" w:rsidRDefault="003F2A1F" w:rsidP="003F2A1F">
      <w:pPr>
        <w:pStyle w:val="a3"/>
        <w:rPr>
          <w:kern w:val="0"/>
        </w:rPr>
      </w:pPr>
      <w:r>
        <w:rPr>
          <w:rFonts w:hint="eastAsia"/>
          <w:kern w:val="0"/>
        </w:rPr>
        <w:t xml:space="preserve">Full Text: </w:t>
      </w:r>
      <w:hyperlink r:id="rId1065" w:history="1">
        <w:r w:rsidR="00687243" w:rsidRPr="00687243">
          <w:rPr>
            <w:rStyle w:val="a5"/>
            <w:kern w:val="0"/>
          </w:rPr>
          <w:t>2011\Aquichan11, 245.pdf</w:t>
        </w:r>
      </w:hyperlink>
    </w:p>
    <w:p w:rsidR="003F2A1F" w:rsidRDefault="003F2A1F" w:rsidP="003F2A1F">
      <w:pPr>
        <w:pStyle w:val="a3"/>
        <w:rPr>
          <w:kern w:val="0"/>
        </w:rPr>
      </w:pPr>
      <w:r>
        <w:rPr>
          <w:kern w:val="0"/>
        </w:rPr>
        <w:t>Abstract: This paper contains a summary</w:t>
      </w:r>
      <w:r w:rsidR="00427468">
        <w:rPr>
          <w:kern w:val="0"/>
        </w:rPr>
        <w:t xml:space="preserve"> of </w:t>
      </w:r>
      <w:r>
        <w:rPr>
          <w:kern w:val="0"/>
        </w:rPr>
        <w:t>criticism on use</w:t>
      </w:r>
      <w:r w:rsidR="00427468">
        <w:rPr>
          <w:kern w:val="0"/>
        </w:rPr>
        <w:t xml:space="preserve"> of </w:t>
      </w:r>
      <w:r w:rsidR="003A1917">
        <w:rPr>
          <w:kern w:val="0"/>
        </w:rPr>
        <w:t xml:space="preserve">the </w:t>
      </w:r>
      <w:r>
        <w:rPr>
          <w:kern w:val="0"/>
        </w:rPr>
        <w:t>impact factor (IF) as an indicator</w:t>
      </w:r>
      <w:r w:rsidR="00427468">
        <w:rPr>
          <w:kern w:val="0"/>
        </w:rPr>
        <w:t xml:space="preserve"> of </w:t>
      </w:r>
      <w:r w:rsidR="003A1917">
        <w:rPr>
          <w:kern w:val="0"/>
        </w:rPr>
        <w:t xml:space="preserve">the </w:t>
      </w:r>
      <w:r>
        <w:rPr>
          <w:kern w:val="0"/>
        </w:rPr>
        <w:t>quality</w:t>
      </w:r>
      <w:r w:rsidR="00427468">
        <w:rPr>
          <w:kern w:val="0"/>
        </w:rPr>
        <w:t xml:space="preserve"> of </w:t>
      </w:r>
      <w:r>
        <w:rPr>
          <w:kern w:val="0"/>
        </w:rPr>
        <w:t>work published by researchers</w:t>
      </w:r>
      <w:r w:rsidR="00A37C1D">
        <w:rPr>
          <w:kern w:val="0"/>
        </w:rPr>
        <w:t>. The</w:t>
      </w:r>
      <w:r w:rsidR="003A1917">
        <w:rPr>
          <w:kern w:val="0"/>
        </w:rPr>
        <w:t xml:space="preserve"> </w:t>
      </w:r>
      <w:r>
        <w:rPr>
          <w:kern w:val="0"/>
        </w:rPr>
        <w:t>criticism is directed to authors who are trying to publish in journals with IF</w:t>
      </w:r>
      <w:r w:rsidR="00A37C1D">
        <w:rPr>
          <w:kern w:val="0"/>
        </w:rPr>
        <w:t>. The</w:t>
      </w:r>
      <w:r w:rsidR="003A1917">
        <w:rPr>
          <w:kern w:val="0"/>
        </w:rPr>
        <w:t xml:space="preserve"> </w:t>
      </w:r>
      <w:r>
        <w:rPr>
          <w:kern w:val="0"/>
        </w:rPr>
        <w:t>claim is they are renouncing their own identity</w:t>
      </w:r>
      <w:r w:rsidR="005853A9">
        <w:rPr>
          <w:kern w:val="0"/>
        </w:rPr>
        <w:t xml:space="preserve"> and </w:t>
      </w:r>
      <w:r>
        <w:rPr>
          <w:kern w:val="0"/>
        </w:rPr>
        <w:t>prioritizing their curriculum over</w:t>
      </w:r>
      <w:r w:rsidR="003A1917">
        <w:rPr>
          <w:kern w:val="0"/>
        </w:rPr>
        <w:t xml:space="preserve"> the </w:t>
      </w:r>
      <w:r>
        <w:rPr>
          <w:kern w:val="0"/>
        </w:rPr>
        <w:t>usefulness</w:t>
      </w:r>
      <w:r w:rsidR="00427468">
        <w:rPr>
          <w:kern w:val="0"/>
        </w:rPr>
        <w:t xml:space="preserve"> of </w:t>
      </w:r>
      <w:r>
        <w:rPr>
          <w:kern w:val="0"/>
        </w:rPr>
        <w:t>their research</w:t>
      </w:r>
      <w:r w:rsidR="00A37C1D">
        <w:rPr>
          <w:kern w:val="0"/>
        </w:rPr>
        <w:t>. The</w:t>
      </w:r>
      <w:r w:rsidR="003A1917">
        <w:rPr>
          <w:kern w:val="0"/>
        </w:rPr>
        <w:t xml:space="preserve"> </w:t>
      </w:r>
      <w:r>
        <w:rPr>
          <w:kern w:val="0"/>
        </w:rPr>
        <w:t>authors challenge this criticism by arguing that stringent assessment criteria stimulate</w:t>
      </w:r>
      <w:r w:rsidR="003A1917">
        <w:rPr>
          <w:kern w:val="0"/>
        </w:rPr>
        <w:t xml:space="preserve"> the </w:t>
      </w:r>
      <w:r>
        <w:rPr>
          <w:kern w:val="0"/>
        </w:rPr>
        <w:t>internationalisation</w:t>
      </w:r>
      <w:r w:rsidR="00427468">
        <w:rPr>
          <w:kern w:val="0"/>
        </w:rPr>
        <w:t xml:space="preserve"> of </w:t>
      </w:r>
      <w:r>
        <w:rPr>
          <w:kern w:val="0"/>
        </w:rPr>
        <w:t>science, that there is a consensus in</w:t>
      </w:r>
      <w:r w:rsidR="003A1917">
        <w:rPr>
          <w:kern w:val="0"/>
        </w:rPr>
        <w:t xml:space="preserve"> the </w:t>
      </w:r>
      <w:r>
        <w:rPr>
          <w:kern w:val="0"/>
        </w:rPr>
        <w:t>scientific community about</w:t>
      </w:r>
      <w:r w:rsidR="003A1917">
        <w:rPr>
          <w:kern w:val="0"/>
        </w:rPr>
        <w:t xml:space="preserve"> the </w:t>
      </w:r>
      <w:r>
        <w:rPr>
          <w:kern w:val="0"/>
        </w:rPr>
        <w:t>imperfections</w:t>
      </w:r>
      <w:r w:rsidR="00427468">
        <w:rPr>
          <w:kern w:val="0"/>
        </w:rPr>
        <w:t xml:space="preserve"> of </w:t>
      </w:r>
      <w:r>
        <w:rPr>
          <w:kern w:val="0"/>
        </w:rPr>
        <w:t>FI</w:t>
      </w:r>
      <w:r w:rsidR="005853A9">
        <w:rPr>
          <w:kern w:val="0"/>
        </w:rPr>
        <w:t xml:space="preserve"> and </w:t>
      </w:r>
      <w:r>
        <w:rPr>
          <w:kern w:val="0"/>
        </w:rPr>
        <w:t>its acceptance as a valid</w:t>
      </w:r>
      <w:r w:rsidR="005853A9">
        <w:rPr>
          <w:kern w:val="0"/>
        </w:rPr>
        <w:t xml:space="preserve"> and </w:t>
      </w:r>
      <w:r>
        <w:rPr>
          <w:kern w:val="0"/>
        </w:rPr>
        <w:t>necessary tool for scientific evaluation,</w:t>
      </w:r>
      <w:r w:rsidR="005853A9">
        <w:rPr>
          <w:kern w:val="0"/>
        </w:rPr>
        <w:t xml:space="preserve"> and </w:t>
      </w:r>
      <w:r>
        <w:rPr>
          <w:kern w:val="0"/>
        </w:rPr>
        <w:t>that</w:t>
      </w:r>
      <w:r w:rsidR="003A1917">
        <w:rPr>
          <w:kern w:val="0"/>
        </w:rPr>
        <w:t xml:space="preserve"> the </w:t>
      </w:r>
      <w:r>
        <w:rPr>
          <w:kern w:val="0"/>
        </w:rPr>
        <w:t>debate over identity does little to resolve</w:t>
      </w:r>
      <w:r w:rsidR="003A1917">
        <w:rPr>
          <w:kern w:val="0"/>
        </w:rPr>
        <w:t xml:space="preserve"> the </w:t>
      </w:r>
      <w:r>
        <w:rPr>
          <w:kern w:val="0"/>
        </w:rPr>
        <w:t>international invisibility</w:t>
      </w:r>
      <w:r w:rsidR="00427468">
        <w:rPr>
          <w:kern w:val="0"/>
        </w:rPr>
        <w:t xml:space="preserve"> of </w:t>
      </w:r>
      <w:r>
        <w:rPr>
          <w:kern w:val="0"/>
        </w:rPr>
        <w:t>nursing research written up in Spanish. Proposals are outlined on how to benefit from</w:t>
      </w:r>
      <w:r w:rsidR="003A1917">
        <w:rPr>
          <w:kern w:val="0"/>
        </w:rPr>
        <w:t xml:space="preserve"> the </w:t>
      </w:r>
      <w:r>
        <w:rPr>
          <w:kern w:val="0"/>
        </w:rPr>
        <w:t>strengths</w:t>
      </w:r>
      <w:r w:rsidR="00427468">
        <w:rPr>
          <w:kern w:val="0"/>
        </w:rPr>
        <w:t xml:space="preserve"> of </w:t>
      </w:r>
      <w:r>
        <w:rPr>
          <w:kern w:val="0"/>
        </w:rPr>
        <w:t>this system to increase</w:t>
      </w:r>
      <w:r w:rsidR="003A1917">
        <w:rPr>
          <w:kern w:val="0"/>
        </w:rPr>
        <w:t xml:space="preserve"> the </w:t>
      </w:r>
      <w:r>
        <w:rPr>
          <w:kern w:val="0"/>
        </w:rPr>
        <w:t>visibility</w:t>
      </w:r>
      <w:r w:rsidR="00427468">
        <w:rPr>
          <w:kern w:val="0"/>
        </w:rPr>
        <w:t xml:space="preserve"> of </w:t>
      </w:r>
      <w:r>
        <w:rPr>
          <w:kern w:val="0"/>
        </w:rPr>
        <w:t>nursing research, to develop strategies for including journals written in Spanish in</w:t>
      </w:r>
      <w:r w:rsidR="003A1917">
        <w:rPr>
          <w:kern w:val="0"/>
        </w:rPr>
        <w:t xml:space="preserve"> the </w:t>
      </w:r>
      <w:r>
        <w:rPr>
          <w:kern w:val="0"/>
        </w:rPr>
        <w:t>Journal Citation Reports (JCR), to encourage professional training</w:t>
      </w:r>
      <w:r w:rsidR="005853A9">
        <w:rPr>
          <w:kern w:val="0"/>
        </w:rPr>
        <w:t xml:space="preserve"> and </w:t>
      </w:r>
      <w:r>
        <w:rPr>
          <w:kern w:val="0"/>
        </w:rPr>
        <w:t>interdisciplinary cooperation, to promote</w:t>
      </w:r>
      <w:r w:rsidR="003A1917">
        <w:rPr>
          <w:kern w:val="0"/>
        </w:rPr>
        <w:t xml:space="preserve"> the </w:t>
      </w:r>
      <w:r>
        <w:rPr>
          <w:kern w:val="0"/>
        </w:rPr>
        <w:t>publication</w:t>
      </w:r>
      <w:r w:rsidR="00427468">
        <w:rPr>
          <w:kern w:val="0"/>
        </w:rPr>
        <w:t xml:space="preserve"> of </w:t>
      </w:r>
      <w:r>
        <w:rPr>
          <w:kern w:val="0"/>
        </w:rPr>
        <w:t>research conducted in postgraduate programs,</w:t>
      </w:r>
      <w:r w:rsidR="005853A9">
        <w:rPr>
          <w:kern w:val="0"/>
        </w:rPr>
        <w:t xml:space="preserve"> and </w:t>
      </w:r>
      <w:r>
        <w:rPr>
          <w:kern w:val="0"/>
        </w:rPr>
        <w:t>to claim an editorial commitment for indexing their journals in</w:t>
      </w:r>
      <w:r w:rsidR="003A1917">
        <w:rPr>
          <w:kern w:val="0"/>
        </w:rPr>
        <w:t xml:space="preserve"> the </w:t>
      </w:r>
      <w:r>
        <w:rPr>
          <w:kern w:val="0"/>
        </w:rPr>
        <w:t>JCR. It can be concluded that, although difficult, it would be possible to increase</w:t>
      </w:r>
      <w:r w:rsidR="003A1917">
        <w:rPr>
          <w:kern w:val="0"/>
        </w:rPr>
        <w:t xml:space="preserve"> the </w:t>
      </w:r>
      <w:r>
        <w:rPr>
          <w:kern w:val="0"/>
        </w:rPr>
        <w:t>visibility</w:t>
      </w:r>
      <w:r w:rsidR="00427468">
        <w:rPr>
          <w:kern w:val="0"/>
        </w:rPr>
        <w:t xml:space="preserve"> of </w:t>
      </w:r>
      <w:r>
        <w:rPr>
          <w:kern w:val="0"/>
        </w:rPr>
        <w:t>nursing scientific research in Spanish.</w:t>
      </w:r>
    </w:p>
    <w:p w:rsidR="003F2A1F" w:rsidRDefault="003F2A1F" w:rsidP="003F2A1F">
      <w:pPr>
        <w:pStyle w:val="a3"/>
        <w:rPr>
          <w:kern w:val="0"/>
        </w:rPr>
      </w:pPr>
      <w:r>
        <w:rPr>
          <w:kern w:val="0"/>
        </w:rPr>
        <w:t>Keywords: Acceptance, Assessment, Authors, Bibliometric Indicators, Bibliometrics, Challenge, Citation, Commitment, Community, Consensus, Cooperation, Criteria, Curriculum, Evaluation, Impact, Impact Factor, Indexing, Indicator, Interdisciplinary, International, Journal, Journal Citation Reports, Journal Impact Factor, Journals, Nursing, Nursing Research, Nursing-Research, Professional Training, Publication, Quality, Quality of, Research, Science, Scientific Research, Training, Visibility, Work</w:t>
      </w:r>
    </w:p>
    <w:p w:rsidR="00700038" w:rsidRDefault="00700038" w:rsidP="00700038">
      <w:pPr>
        <w:pStyle w:val="a3"/>
        <w:rPr>
          <w:kern w:val="0"/>
        </w:rPr>
      </w:pPr>
      <w:r>
        <w:rPr>
          <w:rFonts w:hint="eastAsia"/>
          <w:kern w:val="0"/>
        </w:rPr>
        <w:t xml:space="preserve">? </w:t>
      </w:r>
      <w:r w:rsidRPr="00700038">
        <w:rPr>
          <w:kern w:val="0"/>
        </w:rPr>
        <w:t>Vargas-Escobar, L</w:t>
      </w:r>
      <w:r>
        <w:rPr>
          <w:rFonts w:hint="eastAsia"/>
          <w:kern w:val="0"/>
        </w:rPr>
        <w:t>.</w:t>
      </w:r>
      <w:r w:rsidRPr="00700038">
        <w:rPr>
          <w:kern w:val="0"/>
        </w:rPr>
        <w:t>M</w:t>
      </w:r>
      <w:r>
        <w:rPr>
          <w:rFonts w:hint="eastAsia"/>
          <w:kern w:val="0"/>
        </w:rPr>
        <w:t>.</w:t>
      </w:r>
      <w:r>
        <w:rPr>
          <w:kern w:val="0"/>
        </w:rPr>
        <w:t xml:space="preserve"> (201</w:t>
      </w:r>
      <w:r>
        <w:rPr>
          <w:rFonts w:hint="eastAsia"/>
          <w:kern w:val="0"/>
        </w:rPr>
        <w:t>2</w:t>
      </w:r>
      <w:r>
        <w:rPr>
          <w:kern w:val="0"/>
        </w:rPr>
        <w:t xml:space="preserve">), </w:t>
      </w:r>
      <w:r w:rsidRPr="00700038">
        <w:rPr>
          <w:kern w:val="0"/>
        </w:rPr>
        <w:t>Nursing</w:t>
      </w:r>
      <w:r>
        <w:rPr>
          <w:kern w:val="0"/>
        </w:rPr>
        <w:t>’</w:t>
      </w:r>
      <w:r w:rsidRPr="00700038">
        <w:rPr>
          <w:kern w:val="0"/>
        </w:rPr>
        <w:t>s contribution to the quality of life of family caregivers of Alzheimer patients</w:t>
      </w:r>
      <w:r>
        <w:rPr>
          <w:rFonts w:hint="eastAsia"/>
          <w:kern w:val="0"/>
        </w:rPr>
        <w:t>.</w:t>
      </w:r>
      <w:r>
        <w:rPr>
          <w:kern w:val="0"/>
        </w:rPr>
        <w:t xml:space="preserve"> </w:t>
      </w:r>
      <w:r>
        <w:rPr>
          <w:i/>
          <w:iCs/>
          <w:kern w:val="0"/>
        </w:rPr>
        <w:t>Aquichan</w:t>
      </w:r>
      <w:r>
        <w:rPr>
          <w:kern w:val="0"/>
        </w:rPr>
        <w:t xml:space="preserve">, </w:t>
      </w:r>
      <w:r>
        <w:rPr>
          <w:b/>
          <w:bCs/>
          <w:kern w:val="0"/>
        </w:rPr>
        <w:t>1</w:t>
      </w:r>
      <w:r>
        <w:rPr>
          <w:rFonts w:hint="eastAsia"/>
          <w:b/>
          <w:bCs/>
          <w:kern w:val="0"/>
        </w:rPr>
        <w:t>2</w:t>
      </w:r>
      <w:r>
        <w:rPr>
          <w:kern w:val="0"/>
        </w:rPr>
        <w:t xml:space="preserve"> (</w:t>
      </w:r>
      <w:r>
        <w:rPr>
          <w:rFonts w:hint="eastAsia"/>
          <w:kern w:val="0"/>
        </w:rPr>
        <w:t>1</w:t>
      </w:r>
      <w:r>
        <w:rPr>
          <w:kern w:val="0"/>
        </w:rPr>
        <w:t xml:space="preserve">), </w:t>
      </w:r>
      <w:r w:rsidRPr="00700038">
        <w:rPr>
          <w:kern w:val="0"/>
        </w:rPr>
        <w:t>62-76</w:t>
      </w:r>
      <w:r>
        <w:rPr>
          <w:kern w:val="0"/>
        </w:rPr>
        <w:t>.</w:t>
      </w:r>
    </w:p>
    <w:p w:rsidR="00700038" w:rsidRDefault="00700038" w:rsidP="00700038">
      <w:pPr>
        <w:pStyle w:val="a3"/>
        <w:rPr>
          <w:kern w:val="0"/>
        </w:rPr>
      </w:pPr>
      <w:r>
        <w:rPr>
          <w:rFonts w:hint="eastAsia"/>
          <w:kern w:val="0"/>
        </w:rPr>
        <w:t xml:space="preserve">Full Text: </w:t>
      </w:r>
      <w:r w:rsidRPr="00700038">
        <w:rPr>
          <w:kern w:val="0"/>
        </w:rPr>
        <w:t>2012\Aquichan12, 62.pdf</w:t>
      </w:r>
    </w:p>
    <w:p w:rsidR="00700038" w:rsidRPr="00700038" w:rsidRDefault="00700038" w:rsidP="00700038">
      <w:pPr>
        <w:pStyle w:val="a3"/>
        <w:rPr>
          <w:kern w:val="0"/>
        </w:rPr>
      </w:pPr>
      <w:r w:rsidRPr="00700038">
        <w:rPr>
          <w:kern w:val="0"/>
        </w:rPr>
        <w:t>Abstract</w:t>
      </w:r>
      <w:r>
        <w:rPr>
          <w:rFonts w:hint="eastAsia"/>
          <w:kern w:val="0"/>
        </w:rPr>
        <w:t xml:space="preserve">: </w:t>
      </w:r>
      <w:r w:rsidRPr="00700038">
        <w:rPr>
          <w:kern w:val="0"/>
        </w:rPr>
        <w:t>Objective: The idea is to prompt reflection on nursing intervention in caring for the caregivers of patients with Alzheimer</w:t>
      </w:r>
      <w:r>
        <w:rPr>
          <w:kern w:val="0"/>
        </w:rPr>
        <w:t>’</w:t>
      </w:r>
      <w:r w:rsidRPr="00700038">
        <w:rPr>
          <w:kern w:val="0"/>
        </w:rPr>
        <w:t>s disease, based on a literature review that addresses the different aspects of the quality of life enjoyed by this population. Method: A review of scientific and academic literature was conducted, featuring 40 articles published between 2000 and 2011 in databases (ISI Web of Science, SciELO, Medline, Pubmed, ScienceDirect and Ovid) and the results of Google Scholar. Results: The review showed the chief physical, psychological, social and spiritual elements that contribute to the caregiver</w:t>
      </w:r>
      <w:r>
        <w:rPr>
          <w:kern w:val="0"/>
        </w:rPr>
        <w:t>’</w:t>
      </w:r>
      <w:r w:rsidRPr="00700038">
        <w:rPr>
          <w:kern w:val="0"/>
        </w:rPr>
        <w:t>s quality of life, particularly in the subjective realm. Conclusions: The quality of life of a family caregiver of a patient with Alzheimer</w:t>
      </w:r>
      <w:r>
        <w:rPr>
          <w:kern w:val="0"/>
        </w:rPr>
        <w:t>’</w:t>
      </w:r>
      <w:r w:rsidRPr="00700038">
        <w:rPr>
          <w:kern w:val="0"/>
        </w:rPr>
        <w:t xml:space="preserve">s disease is determined by the objective and subjective conditions </w:t>
      </w:r>
      <w:r w:rsidRPr="00700038">
        <w:rPr>
          <w:kern w:val="0"/>
        </w:rPr>
        <w:lastRenderedPageBreak/>
        <w:t>that make up the concept. Nursing has the potential to participate, not only from the standpoint of clinical and community practice, but also through roles in education, research and public policy.</w:t>
      </w:r>
    </w:p>
    <w:p w:rsidR="00700038" w:rsidRDefault="00700038" w:rsidP="00700038">
      <w:pPr>
        <w:pStyle w:val="a3"/>
        <w:rPr>
          <w:kern w:val="0"/>
        </w:rPr>
      </w:pPr>
      <w:r w:rsidRPr="00700038">
        <w:rPr>
          <w:kern w:val="0"/>
        </w:rPr>
        <w:t>Keywords:</w:t>
      </w:r>
      <w:r>
        <w:rPr>
          <w:kern w:val="0"/>
        </w:rPr>
        <w:t xml:space="preserve"> </w:t>
      </w:r>
      <w:r w:rsidRPr="00700038">
        <w:rPr>
          <w:kern w:val="0"/>
        </w:rPr>
        <w:t>Quality Of Life</w:t>
      </w:r>
      <w:r>
        <w:rPr>
          <w:kern w:val="0"/>
        </w:rPr>
        <w:t>,</w:t>
      </w:r>
      <w:r w:rsidRPr="00700038">
        <w:rPr>
          <w:kern w:val="0"/>
        </w:rPr>
        <w:t xml:space="preserve"> Caregiver</w:t>
      </w:r>
      <w:r>
        <w:rPr>
          <w:kern w:val="0"/>
        </w:rPr>
        <w:t>,</w:t>
      </w:r>
      <w:r w:rsidRPr="00700038">
        <w:rPr>
          <w:kern w:val="0"/>
        </w:rPr>
        <w:t xml:space="preserve"> Alzheimer</w:t>
      </w:r>
      <w:r>
        <w:rPr>
          <w:kern w:val="0"/>
        </w:rPr>
        <w:t>’</w:t>
      </w:r>
      <w:r w:rsidRPr="00700038">
        <w:rPr>
          <w:kern w:val="0"/>
        </w:rPr>
        <w:t>s Disease</w:t>
      </w:r>
      <w:r>
        <w:rPr>
          <w:kern w:val="0"/>
        </w:rPr>
        <w:t>,</w:t>
      </w:r>
      <w:r w:rsidRPr="00700038">
        <w:rPr>
          <w:kern w:val="0"/>
        </w:rPr>
        <w:t xml:space="preserve"> Nursing Care</w:t>
      </w:r>
      <w:r>
        <w:rPr>
          <w:kern w:val="0"/>
        </w:rPr>
        <w:t xml:space="preserve">, </w:t>
      </w:r>
      <w:r w:rsidRPr="00700038">
        <w:rPr>
          <w:kern w:val="0"/>
        </w:rPr>
        <w:t>Dementia</w:t>
      </w:r>
      <w:r>
        <w:rPr>
          <w:kern w:val="0"/>
        </w:rPr>
        <w:t>,</w:t>
      </w:r>
      <w:r w:rsidRPr="00700038">
        <w:rPr>
          <w:kern w:val="0"/>
        </w:rPr>
        <w:t xml:space="preserve"> Disease</w:t>
      </w:r>
      <w:r>
        <w:rPr>
          <w:kern w:val="0"/>
        </w:rPr>
        <w:t>,</w:t>
      </w:r>
      <w:r w:rsidRPr="00700038">
        <w:rPr>
          <w:kern w:val="0"/>
        </w:rPr>
        <w:t xml:space="preserve"> Burden</w:t>
      </w:r>
      <w:r>
        <w:rPr>
          <w:kern w:val="0"/>
        </w:rPr>
        <w:t>,</w:t>
      </w:r>
      <w:r w:rsidRPr="00700038">
        <w:rPr>
          <w:kern w:val="0"/>
        </w:rPr>
        <w:t xml:space="preserve"> Care</w:t>
      </w:r>
    </w:p>
    <w:p w:rsidR="003474F2" w:rsidRPr="001A3D2B" w:rsidRDefault="003474F2" w:rsidP="003474F2">
      <w:pPr>
        <w:pStyle w:val="1"/>
      </w:pPr>
      <w:r w:rsidRPr="001A3D2B">
        <w:br w:type="page"/>
      </w:r>
      <w:bookmarkStart w:id="551" w:name="_Toc420814561"/>
      <w:r w:rsidRPr="001A3D2B">
        <w:lastRenderedPageBreak/>
        <w:t xml:space="preserve">Title: </w:t>
      </w:r>
      <w:r w:rsidRPr="001A3D2B">
        <w:rPr>
          <w:iCs w:val="0"/>
          <w:szCs w:val="24"/>
        </w:rPr>
        <w:t>Arbor-Ciencia Pensamiento y Cultura</w:t>
      </w:r>
      <w:bookmarkEnd w:id="551"/>
    </w:p>
    <w:p w:rsidR="003474F2" w:rsidRPr="001A3D2B" w:rsidRDefault="003474F2" w:rsidP="003474F2">
      <w:pPr>
        <w:pStyle w:val="12"/>
      </w:pPr>
      <w:r w:rsidRPr="001A3D2B">
        <w:t xml:space="preserve">Full Journal Title: </w:t>
      </w:r>
      <w:hyperlink r:id="rId1066" w:history="1">
        <w:r w:rsidRPr="003E236C">
          <w:rPr>
            <w:rStyle w:val="a5"/>
          </w:rPr>
          <w:t>Arbor-Ciencia Pensamiento y Cultura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rPr>
          <w:kern w:val="0"/>
        </w:rPr>
      </w:pPr>
      <w:r w:rsidRPr="001A3D2B">
        <w:rPr>
          <w:kern w:val="0"/>
        </w:rPr>
        <w:t>? XAlberola, A., Fernandez, M.T., Vazquez, M.</w:t>
      </w:r>
      <w:r w:rsidR="005853A9">
        <w:rPr>
          <w:kern w:val="0"/>
        </w:rPr>
        <w:t xml:space="preserve"> and </w:t>
      </w:r>
      <w:r w:rsidRPr="001A3D2B">
        <w:rPr>
          <w:kern w:val="0"/>
        </w:rPr>
        <w:t>Viesca, R. (1985), Bibliometric study</w:t>
      </w:r>
      <w:r w:rsidR="00427468">
        <w:rPr>
          <w:kern w:val="0"/>
        </w:rPr>
        <w:t xml:space="preserve"> of </w:t>
      </w:r>
      <w:r w:rsidRPr="001A3D2B">
        <w:rPr>
          <w:kern w:val="0"/>
        </w:rPr>
        <w:t xml:space="preserve">Arbor. </w:t>
      </w:r>
      <w:r w:rsidRPr="001A3D2B">
        <w:rPr>
          <w:i/>
          <w:iCs/>
          <w:kern w:val="0"/>
        </w:rPr>
        <w:t>Arbor-Ciencia Pensamiento y Cultura</w:t>
      </w:r>
      <w:r w:rsidRPr="001A3D2B">
        <w:rPr>
          <w:kern w:val="0"/>
        </w:rPr>
        <w:t xml:space="preserve">, </w:t>
      </w:r>
      <w:r w:rsidRPr="001A3D2B">
        <w:rPr>
          <w:b/>
          <w:bCs/>
          <w:kern w:val="0"/>
        </w:rPr>
        <w:t>122</w:t>
      </w:r>
      <w:r w:rsidRPr="001A3D2B">
        <w:rPr>
          <w:kern w:val="0"/>
        </w:rPr>
        <w:t xml:space="preserve"> (479-480), 125-137.</w:t>
      </w:r>
    </w:p>
    <w:p w:rsidR="003474F2" w:rsidRPr="001A3D2B" w:rsidRDefault="003474F2" w:rsidP="003474F2">
      <w:pPr>
        <w:pStyle w:val="a3"/>
        <w:rPr>
          <w:kern w:val="0"/>
        </w:rPr>
      </w:pPr>
      <w:r w:rsidRPr="001A3D2B">
        <w:rPr>
          <w:kern w:val="0"/>
        </w:rPr>
        <w:t>Keywords: Bibliometric</w:t>
      </w:r>
    </w:p>
    <w:p w:rsidR="003474F2" w:rsidRPr="001A3D2B" w:rsidRDefault="003474F2" w:rsidP="003474F2">
      <w:pPr>
        <w:pStyle w:val="a3"/>
      </w:pPr>
      <w:r w:rsidRPr="001A3D2B">
        <w:t>? Deandres, M.P. (1987), Is it possible to evaluate</w:t>
      </w:r>
      <w:r w:rsidR="003A1917">
        <w:t xml:space="preserve"> the </w:t>
      </w:r>
      <w:r w:rsidRPr="001A3D2B">
        <w:t>scientific-technical activities</w:t>
      </w:r>
      <w:r w:rsidR="00427468">
        <w:t xml:space="preserve"> of </w:t>
      </w:r>
      <w:r w:rsidR="003A1917">
        <w:t xml:space="preserve">the </w:t>
      </w:r>
      <w:r w:rsidRPr="001A3D2B">
        <w:t>Csic + Statistical-methods, bibliometric indicators</w:t>
      </w:r>
      <w:r w:rsidR="005853A9">
        <w:t xml:space="preserve"> and </w:t>
      </w:r>
      <w:r w:rsidR="003A1917">
        <w:t xml:space="preserve">the </w:t>
      </w:r>
      <w:r w:rsidR="00700038">
        <w:t>‘</w:t>
      </w:r>
      <w:r w:rsidR="00C13DDC">
        <w:t>s</w:t>
      </w:r>
      <w:r w:rsidRPr="001A3D2B">
        <w:t>cience Citation Index</w:t>
      </w:r>
      <w:r w:rsidR="00700038">
        <w:t>’</w:t>
      </w:r>
      <w:r w:rsidRPr="001A3D2B">
        <w:t xml:space="preserve">. </w:t>
      </w:r>
      <w:r w:rsidRPr="001A3D2B">
        <w:rPr>
          <w:i/>
          <w:iCs/>
        </w:rPr>
        <w:t>Arbor-Ciencia Pensamiento y Cultura</w:t>
      </w:r>
      <w:r w:rsidRPr="001A3D2B">
        <w:t xml:space="preserve">, </w:t>
      </w:r>
      <w:r w:rsidRPr="001A3D2B">
        <w:rPr>
          <w:b/>
          <w:bCs/>
        </w:rPr>
        <w:t>126</w:t>
      </w:r>
      <w:r w:rsidRPr="001A3D2B">
        <w:t xml:space="preserve"> (495), 9-48.</w:t>
      </w:r>
    </w:p>
    <w:p w:rsidR="003474F2" w:rsidRPr="001A3D2B" w:rsidRDefault="003474F2" w:rsidP="003474F2">
      <w:pPr>
        <w:pStyle w:val="a3"/>
      </w:pPr>
      <w:r w:rsidRPr="001A3D2B">
        <w:t>Keywords: Bibliometric, Citation, Mar, Science Citation Index</w:t>
      </w:r>
    </w:p>
    <w:p w:rsidR="003474F2" w:rsidRPr="001A3D2B" w:rsidRDefault="003474F2" w:rsidP="003474F2">
      <w:pPr>
        <w:pStyle w:val="a3"/>
        <w:rPr>
          <w:kern w:val="0"/>
        </w:rPr>
      </w:pPr>
      <w:r w:rsidRPr="001A3D2B">
        <w:rPr>
          <w:kern w:val="0"/>
        </w:rPr>
        <w:t>? Vazquez, M., Fernandez, M.T., Dedios, M.V.</w:t>
      </w:r>
      <w:r w:rsidR="005853A9">
        <w:rPr>
          <w:kern w:val="0"/>
        </w:rPr>
        <w:t xml:space="preserve"> and </w:t>
      </w:r>
      <w:r w:rsidRPr="001A3D2B">
        <w:rPr>
          <w:kern w:val="0"/>
        </w:rPr>
        <w:t>Delaviesca, R. (1988), Bibliographical</w:t>
      </w:r>
      <w:r w:rsidR="005853A9">
        <w:rPr>
          <w:kern w:val="0"/>
        </w:rPr>
        <w:t xml:space="preserve"> and </w:t>
      </w:r>
      <w:r w:rsidRPr="001A3D2B">
        <w:rPr>
          <w:kern w:val="0"/>
        </w:rPr>
        <w:t>bibliometric study</w:t>
      </w:r>
      <w:r w:rsidR="00427468">
        <w:rPr>
          <w:kern w:val="0"/>
        </w:rPr>
        <w:t xml:space="preserve"> of </w:t>
      </w:r>
      <w:r w:rsidR="003A1917">
        <w:rPr>
          <w:kern w:val="0"/>
        </w:rPr>
        <w:t xml:space="preserve">the </w:t>
      </w:r>
      <w:r w:rsidRPr="001A3D2B">
        <w:rPr>
          <w:kern w:val="0"/>
        </w:rPr>
        <w:t xml:space="preserve">Revista-Espanola-de-Fisiologia. </w:t>
      </w:r>
      <w:r w:rsidRPr="001A3D2B">
        <w:rPr>
          <w:i/>
          <w:iCs/>
          <w:kern w:val="0"/>
        </w:rPr>
        <w:t>Arbor-Ciencia Pensamiento y Cultura</w:t>
      </w:r>
      <w:r w:rsidRPr="001A3D2B">
        <w:rPr>
          <w:kern w:val="0"/>
        </w:rPr>
        <w:t xml:space="preserve">, </w:t>
      </w:r>
      <w:r w:rsidRPr="001A3D2B">
        <w:rPr>
          <w:b/>
          <w:bCs/>
          <w:kern w:val="0"/>
        </w:rPr>
        <w:t>130</w:t>
      </w:r>
      <w:r w:rsidRPr="001A3D2B">
        <w:rPr>
          <w:kern w:val="0"/>
        </w:rPr>
        <w:t xml:space="preserve"> (511-512), 21-43.</w:t>
      </w:r>
    </w:p>
    <w:p w:rsidR="003474F2" w:rsidRPr="001A3D2B" w:rsidRDefault="003474F2" w:rsidP="003474F2">
      <w:pPr>
        <w:pStyle w:val="a3"/>
        <w:rPr>
          <w:kern w:val="0"/>
        </w:rPr>
      </w:pPr>
      <w:r w:rsidRPr="001A3D2B">
        <w:rPr>
          <w:kern w:val="0"/>
        </w:rPr>
        <w:t>Keywords: Bibliometric</w:t>
      </w:r>
    </w:p>
    <w:p w:rsidR="003474F2" w:rsidRPr="001A3D2B" w:rsidRDefault="003474F2" w:rsidP="003474F2">
      <w:pPr>
        <w:pStyle w:val="a3"/>
        <w:rPr>
          <w:kern w:val="0"/>
        </w:rPr>
      </w:pPr>
      <w:r w:rsidRPr="001A3D2B">
        <w:rPr>
          <w:kern w:val="0"/>
        </w:rPr>
        <w:t>? Martin, M.J., Rey, J.</w:t>
      </w:r>
      <w:r w:rsidR="005853A9">
        <w:rPr>
          <w:kern w:val="0"/>
        </w:rPr>
        <w:t xml:space="preserve"> and </w:t>
      </w:r>
      <w:r w:rsidRPr="001A3D2B">
        <w:rPr>
          <w:kern w:val="0"/>
        </w:rPr>
        <w:t>Plaza, L.M. (1999), Spanish research published in national science</w:t>
      </w:r>
      <w:r w:rsidR="005853A9">
        <w:rPr>
          <w:kern w:val="0"/>
        </w:rPr>
        <w:t xml:space="preserve"> and </w:t>
      </w:r>
      <w:r w:rsidRPr="001A3D2B">
        <w:rPr>
          <w:kern w:val="0"/>
        </w:rPr>
        <w:t>technology journals during</w:t>
      </w:r>
      <w:r w:rsidR="003A1917">
        <w:rPr>
          <w:kern w:val="0"/>
        </w:rPr>
        <w:t xml:space="preserve"> the </w:t>
      </w:r>
      <w:r w:rsidRPr="001A3D2B">
        <w:rPr>
          <w:kern w:val="0"/>
        </w:rPr>
        <w:t xml:space="preserve">period 1991-1996. A bibliometric study. </w:t>
      </w:r>
      <w:r w:rsidRPr="001A3D2B">
        <w:rPr>
          <w:i/>
          <w:iCs/>
          <w:kern w:val="0"/>
        </w:rPr>
        <w:t>Arbor-Ciencia Pensamiento y Cultura</w:t>
      </w:r>
      <w:r w:rsidRPr="001A3D2B">
        <w:rPr>
          <w:kern w:val="0"/>
        </w:rPr>
        <w:t xml:space="preserve">, </w:t>
      </w:r>
      <w:r w:rsidRPr="001A3D2B">
        <w:rPr>
          <w:b/>
          <w:bCs/>
          <w:kern w:val="0"/>
        </w:rPr>
        <w:t>162</w:t>
      </w:r>
      <w:r w:rsidRPr="001A3D2B">
        <w:rPr>
          <w:kern w:val="0"/>
        </w:rPr>
        <w:t xml:space="preserve"> (639), 307-325.</w:t>
      </w:r>
    </w:p>
    <w:p w:rsidR="0005247A" w:rsidRPr="001A3D2B" w:rsidRDefault="0005247A" w:rsidP="0005247A">
      <w:pPr>
        <w:pStyle w:val="a3"/>
        <w:rPr>
          <w:kern w:val="0"/>
        </w:rPr>
      </w:pPr>
      <w:r>
        <w:rPr>
          <w:rFonts w:hint="eastAsia"/>
          <w:kern w:val="0"/>
        </w:rPr>
        <w:t xml:space="preserve">Full Text: </w:t>
      </w:r>
      <w:hyperlink r:id="rId1067" w:history="1">
        <w:r w:rsidR="007F3CD6" w:rsidRPr="007F3CD6">
          <w:rPr>
            <w:rStyle w:val="a5"/>
            <w:kern w:val="0"/>
          </w:rPr>
          <w:t>1999\Arb-Cie Pen Cul162, 307.pdf</w:t>
        </w:r>
      </w:hyperlink>
    </w:p>
    <w:p w:rsidR="003474F2" w:rsidRPr="001A3D2B" w:rsidRDefault="003474F2" w:rsidP="003474F2">
      <w:pPr>
        <w:pStyle w:val="a3"/>
        <w:rPr>
          <w:kern w:val="0"/>
        </w:rPr>
      </w:pPr>
      <w:r w:rsidRPr="001A3D2B">
        <w:rPr>
          <w:kern w:val="0"/>
        </w:rPr>
        <w:t>Keywords: Bibliometric, Bibliometric Study, Journals, MAR, National, Research, Science, Science</w:t>
      </w:r>
      <w:r w:rsidR="005853A9">
        <w:rPr>
          <w:kern w:val="0"/>
        </w:rPr>
        <w:t xml:space="preserve"> and </w:t>
      </w:r>
      <w:r w:rsidRPr="001A3D2B">
        <w:rPr>
          <w:kern w:val="0"/>
        </w:rPr>
        <w:t>Technology, Spanish, Technology</w:t>
      </w:r>
    </w:p>
    <w:p w:rsidR="003474F2" w:rsidRPr="001A3D2B" w:rsidRDefault="003474F2" w:rsidP="003474F2">
      <w:pPr>
        <w:pStyle w:val="a3"/>
      </w:pPr>
      <w:r w:rsidRPr="001A3D2B">
        <w:t>? Delgado Lopez-Cozar, E.</w:t>
      </w:r>
      <w:r w:rsidR="005853A9">
        <w:t xml:space="preserve"> and </w:t>
      </w:r>
      <w:r w:rsidRPr="001A3D2B">
        <w:t>Fernandez Cano, A. (2002</w:t>
      </w:r>
      <w:r w:rsidR="00F42EAC">
        <w:t>), The</w:t>
      </w:r>
      <w:r w:rsidR="003A1917">
        <w:t xml:space="preserve"> </w:t>
      </w:r>
      <w:r w:rsidRPr="001A3D2B">
        <w:t>case study in</w:t>
      </w:r>
      <w:r w:rsidR="003A1917">
        <w:t xml:space="preserve"> the </w:t>
      </w:r>
      <w:r w:rsidRPr="001A3D2B">
        <w:t>databases</w:t>
      </w:r>
      <w:r w:rsidR="00427468">
        <w:t xml:space="preserve"> of </w:t>
      </w:r>
      <w:r w:rsidR="003A1917">
        <w:t xml:space="preserve">the </w:t>
      </w:r>
      <w:r w:rsidRPr="001A3D2B">
        <w:t>Science Citation Index, Social Science Citation Index,</w:t>
      </w:r>
      <w:r w:rsidR="005853A9">
        <w:t xml:space="preserve"> and </w:t>
      </w:r>
      <w:r w:rsidRPr="001A3D2B">
        <w:t>Arts</w:t>
      </w:r>
      <w:r w:rsidR="005853A9">
        <w:t xml:space="preserve"> and </w:t>
      </w:r>
      <w:r w:rsidRPr="001A3D2B">
        <w:t xml:space="preserve">Humantities Citation Index (1992-2000). </w:t>
      </w:r>
      <w:r w:rsidRPr="001A3D2B">
        <w:rPr>
          <w:i/>
          <w:iCs/>
        </w:rPr>
        <w:t>Arbor-Ciencia Pensamiento y Cultura</w:t>
      </w:r>
      <w:r w:rsidRPr="001A3D2B">
        <w:t xml:space="preserve">, </w:t>
      </w:r>
      <w:r w:rsidRPr="001A3D2B">
        <w:rPr>
          <w:b/>
          <w:bCs/>
        </w:rPr>
        <w:t>171</w:t>
      </w:r>
      <w:r w:rsidRPr="001A3D2B">
        <w:t xml:space="preserve"> (675), 609-629.</w:t>
      </w:r>
    </w:p>
    <w:p w:rsidR="0005247A" w:rsidRPr="001A3D2B" w:rsidRDefault="0005247A" w:rsidP="0005247A">
      <w:pPr>
        <w:pStyle w:val="a3"/>
        <w:rPr>
          <w:kern w:val="0"/>
        </w:rPr>
      </w:pPr>
      <w:r>
        <w:rPr>
          <w:rFonts w:hint="eastAsia"/>
          <w:kern w:val="0"/>
        </w:rPr>
        <w:t xml:space="preserve">Full Text: </w:t>
      </w:r>
      <w:hyperlink r:id="rId1068" w:history="1">
        <w:r w:rsidR="00C33341" w:rsidRPr="00C33341">
          <w:rPr>
            <w:rStyle w:val="a5"/>
            <w:kern w:val="0"/>
          </w:rPr>
          <w:t>2002\Arb-Cie Pen Cul171, 609.pdf</w:t>
        </w:r>
      </w:hyperlink>
    </w:p>
    <w:p w:rsidR="003474F2" w:rsidRPr="001A3D2B" w:rsidRDefault="003474F2" w:rsidP="003474F2">
      <w:pPr>
        <w:pStyle w:val="a3"/>
      </w:pPr>
      <w:r w:rsidRPr="001A3D2B">
        <w:t>Keywords: Case Study, Citation, Databases, Mar, Science Citation Index, Social Science Citation Index</w:t>
      </w:r>
    </w:p>
    <w:p w:rsidR="0005247A" w:rsidRPr="00F219CA" w:rsidRDefault="0005247A" w:rsidP="0005247A">
      <w:pPr>
        <w:pStyle w:val="a3"/>
        <w:rPr>
          <w:kern w:val="0"/>
        </w:rPr>
      </w:pPr>
      <w:r w:rsidRPr="00F219CA">
        <w:rPr>
          <w:kern w:val="0"/>
        </w:rPr>
        <w:t xml:space="preserve">? </w:t>
      </w:r>
      <w:r>
        <w:rPr>
          <w:kern w:val="0"/>
        </w:rPr>
        <w:t>Gonzá</w:t>
      </w:r>
      <w:r w:rsidRPr="00F219CA">
        <w:rPr>
          <w:kern w:val="0"/>
        </w:rPr>
        <w:t>lez-Alcaide, G., Valderrama-Zuri</w:t>
      </w:r>
      <w:r>
        <w:rPr>
          <w:kern w:val="0"/>
        </w:rPr>
        <w:t>á</w:t>
      </w:r>
      <w:r w:rsidRPr="00F219CA">
        <w:rPr>
          <w:kern w:val="0"/>
        </w:rPr>
        <w:t>n, J.C.</w:t>
      </w:r>
      <w:r>
        <w:rPr>
          <w:kern w:val="0"/>
        </w:rPr>
        <w:t xml:space="preserve"> and </w:t>
      </w:r>
      <w:r w:rsidRPr="00F219CA">
        <w:t>Aleixandre</w:t>
      </w:r>
      <w:r w:rsidRPr="00F219CA">
        <w:rPr>
          <w:kern w:val="0"/>
        </w:rPr>
        <w:t xml:space="preserve">-Benavent, R. (2009), </w:t>
      </w:r>
      <w:r w:rsidRPr="00F219CA">
        <w:rPr>
          <w:kern w:val="0"/>
        </w:rPr>
        <w:lastRenderedPageBreak/>
        <w:t>Spanish scientific research about popular science: Actual position</w:t>
      </w:r>
      <w:r>
        <w:rPr>
          <w:kern w:val="0"/>
        </w:rPr>
        <w:t xml:space="preserve"> and </w:t>
      </w:r>
      <w:r w:rsidRPr="00F219CA">
        <w:rPr>
          <w:kern w:val="0"/>
        </w:rPr>
        <w:t xml:space="preserve">futur challenges. </w:t>
      </w:r>
      <w:r w:rsidRPr="00F219CA">
        <w:rPr>
          <w:i/>
          <w:iCs/>
          <w:kern w:val="0"/>
        </w:rPr>
        <w:t>Arbor-Ciencia Pensamiento y Cultura</w:t>
      </w:r>
      <w:r w:rsidRPr="00F219CA">
        <w:rPr>
          <w:kern w:val="0"/>
        </w:rPr>
        <w:t xml:space="preserve">, </w:t>
      </w:r>
      <w:r w:rsidRPr="00F219CA">
        <w:rPr>
          <w:b/>
          <w:bCs/>
          <w:kern w:val="0"/>
        </w:rPr>
        <w:t>185</w:t>
      </w:r>
      <w:r w:rsidRPr="00F219CA">
        <w:rPr>
          <w:kern w:val="0"/>
        </w:rPr>
        <w:t xml:space="preserve"> (738), 861-869.</w:t>
      </w:r>
    </w:p>
    <w:p w:rsidR="0005247A" w:rsidRPr="001A3D2B" w:rsidRDefault="0005247A" w:rsidP="00B2573F">
      <w:pPr>
        <w:pStyle w:val="a3"/>
        <w:rPr>
          <w:kern w:val="0"/>
        </w:rPr>
      </w:pPr>
      <w:r>
        <w:rPr>
          <w:rFonts w:hint="eastAsia"/>
          <w:kern w:val="0"/>
        </w:rPr>
        <w:t xml:space="preserve">Full Text: </w:t>
      </w:r>
      <w:hyperlink r:id="rId1069" w:history="1">
        <w:r w:rsidRPr="0005247A">
          <w:rPr>
            <w:rStyle w:val="a5"/>
            <w:kern w:val="0"/>
          </w:rPr>
          <w:t>2009\Arb-Cie Pen Cul185, 861.pdf</w:t>
        </w:r>
      </w:hyperlink>
    </w:p>
    <w:p w:rsidR="00B2573F" w:rsidRPr="001A3D2B" w:rsidRDefault="00B2573F" w:rsidP="00B2573F">
      <w:pPr>
        <w:pStyle w:val="a3"/>
        <w:rPr>
          <w:kern w:val="0"/>
        </w:rPr>
      </w:pPr>
      <w:r w:rsidRPr="001A3D2B">
        <w:rPr>
          <w:kern w:val="0"/>
        </w:rPr>
        <w:t>Abstract: Spanish Scientific Research about Popular Science is analyzed to identify</w:t>
      </w:r>
      <w:r w:rsidR="003A1917">
        <w:rPr>
          <w:kern w:val="0"/>
        </w:rPr>
        <w:t xml:space="preserve"> the </w:t>
      </w:r>
      <w:r w:rsidRPr="001A3D2B">
        <w:rPr>
          <w:kern w:val="0"/>
        </w:rPr>
        <w:t>main scientific agents, dissemination means</w:t>
      </w:r>
      <w:r w:rsidR="005853A9">
        <w:rPr>
          <w:kern w:val="0"/>
        </w:rPr>
        <w:t xml:space="preserve"> and </w:t>
      </w:r>
      <w:r w:rsidRPr="001A3D2B">
        <w:rPr>
          <w:kern w:val="0"/>
        </w:rPr>
        <w:t>subjects in this field. It is an heterogeneous area related to several scientific disciplines</w:t>
      </w:r>
      <w:r w:rsidR="005853A9">
        <w:rPr>
          <w:kern w:val="0"/>
        </w:rPr>
        <w:t xml:space="preserve"> and </w:t>
      </w:r>
      <w:r w:rsidRPr="001A3D2B">
        <w:rPr>
          <w:kern w:val="0"/>
        </w:rPr>
        <w:t>purposes, stand out above them Information</w:t>
      </w:r>
      <w:r w:rsidR="005853A9">
        <w:rPr>
          <w:kern w:val="0"/>
        </w:rPr>
        <w:t xml:space="preserve"> and </w:t>
      </w:r>
      <w:r w:rsidRPr="001A3D2B">
        <w:rPr>
          <w:kern w:val="0"/>
        </w:rPr>
        <w:t>Education. 286 journal articles</w:t>
      </w:r>
      <w:r w:rsidR="005853A9">
        <w:rPr>
          <w:kern w:val="0"/>
        </w:rPr>
        <w:t xml:space="preserve"> and </w:t>
      </w:r>
      <w:r w:rsidRPr="001A3D2B">
        <w:rPr>
          <w:kern w:val="0"/>
        </w:rPr>
        <w:t>50 PhD Thesis have been analyzed, observing a high increase</w:t>
      </w:r>
      <w:r w:rsidR="00427468">
        <w:rPr>
          <w:kern w:val="0"/>
        </w:rPr>
        <w:t xml:space="preserve"> of </w:t>
      </w:r>
      <w:r w:rsidRPr="001A3D2B">
        <w:rPr>
          <w:kern w:val="0"/>
        </w:rPr>
        <w:t>publications in 90s remaining until now</w:t>
      </w:r>
      <w:r w:rsidR="00A37C1D">
        <w:rPr>
          <w:kern w:val="0"/>
        </w:rPr>
        <w:t>. The</w:t>
      </w:r>
      <w:r w:rsidR="003A1917">
        <w:rPr>
          <w:kern w:val="0"/>
        </w:rPr>
        <w:t xml:space="preserve"> </w:t>
      </w:r>
      <w:r w:rsidRPr="001A3D2B">
        <w:rPr>
          <w:kern w:val="0"/>
        </w:rPr>
        <w:t>five most important research cores identified are</w:t>
      </w:r>
      <w:r w:rsidR="003A1917">
        <w:rPr>
          <w:kern w:val="0"/>
        </w:rPr>
        <w:t xml:space="preserve"> the </w:t>
      </w:r>
      <w:r w:rsidRPr="001A3D2B">
        <w:rPr>
          <w:kern w:val="0"/>
        </w:rPr>
        <w:t>followings: Science Journalism, Science Literacy, Linguistics</w:t>
      </w:r>
      <w:r w:rsidR="005853A9">
        <w:rPr>
          <w:kern w:val="0"/>
        </w:rPr>
        <w:t xml:space="preserve"> and </w:t>
      </w:r>
      <w:r w:rsidR="003A1917">
        <w:rPr>
          <w:kern w:val="0"/>
        </w:rPr>
        <w:t xml:space="preserve">the </w:t>
      </w:r>
      <w:r w:rsidRPr="001A3D2B">
        <w:rPr>
          <w:kern w:val="0"/>
        </w:rPr>
        <w:t>researches related to Museums</w:t>
      </w:r>
      <w:r w:rsidR="005853A9">
        <w:rPr>
          <w:kern w:val="0"/>
        </w:rPr>
        <w:t xml:space="preserve"> and </w:t>
      </w:r>
      <w:r w:rsidRPr="001A3D2B">
        <w:rPr>
          <w:kern w:val="0"/>
        </w:rPr>
        <w:t>Scientific Disciplines such as Medicine, Environment or Archaeology.</w:t>
      </w:r>
    </w:p>
    <w:p w:rsidR="00B2573F" w:rsidRPr="001A3D2B" w:rsidRDefault="00B2573F" w:rsidP="00B2573F">
      <w:pPr>
        <w:pStyle w:val="a3"/>
        <w:rPr>
          <w:kern w:val="0"/>
        </w:rPr>
      </w:pPr>
      <w:r w:rsidRPr="001A3D2B">
        <w:rPr>
          <w:kern w:val="0"/>
        </w:rPr>
        <w:t>Keywords: Bibliometrics, Popular Science, Publications, Research, Research Areas</w:t>
      </w:r>
    </w:p>
    <w:p w:rsidR="00D6223C" w:rsidRPr="00F219CA" w:rsidRDefault="00D6223C" w:rsidP="00D6223C">
      <w:pPr>
        <w:pStyle w:val="a3"/>
        <w:rPr>
          <w:kern w:val="0"/>
        </w:rPr>
      </w:pPr>
      <w:r w:rsidRPr="00F219CA">
        <w:rPr>
          <w:kern w:val="0"/>
        </w:rPr>
        <w:t>?</w:t>
      </w:r>
      <w:r>
        <w:rPr>
          <w:rFonts w:hint="eastAsia"/>
          <w:kern w:val="0"/>
        </w:rPr>
        <w:t xml:space="preserve"> </w:t>
      </w:r>
      <w:r w:rsidRPr="00324B64">
        <w:rPr>
          <w:kern w:val="0"/>
        </w:rPr>
        <w:t>Dorta-Gonz</w:t>
      </w:r>
      <w:r>
        <w:rPr>
          <w:kern w:val="0"/>
        </w:rPr>
        <w:t>á</w:t>
      </w:r>
      <w:r w:rsidRPr="00324B64">
        <w:rPr>
          <w:kern w:val="0"/>
        </w:rPr>
        <w:t>lez, P</w:t>
      </w:r>
      <w:r>
        <w:rPr>
          <w:rFonts w:hint="eastAsia"/>
          <w:kern w:val="0"/>
        </w:rPr>
        <w:t xml:space="preserve">. and </w:t>
      </w:r>
      <w:r w:rsidRPr="00324B64">
        <w:rPr>
          <w:kern w:val="0"/>
        </w:rPr>
        <w:t>Ram</w:t>
      </w:r>
      <w:r>
        <w:rPr>
          <w:kern w:val="0"/>
        </w:rPr>
        <w:t>í</w:t>
      </w:r>
      <w:r w:rsidRPr="00324B64">
        <w:rPr>
          <w:kern w:val="0"/>
        </w:rPr>
        <w:t>rez-S</w:t>
      </w:r>
      <w:r>
        <w:rPr>
          <w:kern w:val="0"/>
        </w:rPr>
        <w:t>á</w:t>
      </w:r>
      <w:r w:rsidRPr="00324B64">
        <w:rPr>
          <w:kern w:val="0"/>
        </w:rPr>
        <w:t>nchez, M</w:t>
      </w:r>
      <w:r>
        <w:rPr>
          <w:rFonts w:hint="eastAsia"/>
          <w:kern w:val="0"/>
        </w:rPr>
        <w:t>.</w:t>
      </w:r>
      <w:r w:rsidRPr="00F219CA">
        <w:rPr>
          <w:kern w:val="0"/>
        </w:rPr>
        <w:t xml:space="preserve"> (20</w:t>
      </w:r>
      <w:r>
        <w:rPr>
          <w:rFonts w:hint="eastAsia"/>
          <w:kern w:val="0"/>
        </w:rPr>
        <w:t>14</w:t>
      </w:r>
      <w:r w:rsidRPr="00F219CA">
        <w:rPr>
          <w:kern w:val="0"/>
        </w:rPr>
        <w:t xml:space="preserve">), </w:t>
      </w:r>
      <w:r w:rsidRPr="00324B64">
        <w:rPr>
          <w:kern w:val="0"/>
        </w:rPr>
        <w:t xml:space="preserve">Production and impact of the Spanish research institutions in </w:t>
      </w:r>
      <w:r w:rsidRPr="00324B64">
        <w:rPr>
          <w:i/>
          <w:kern w:val="0"/>
        </w:rPr>
        <w:t>Arts &amp; Humanities Citation Index</w:t>
      </w:r>
      <w:r w:rsidRPr="00324B64">
        <w:rPr>
          <w:kern w:val="0"/>
        </w:rPr>
        <w:t xml:space="preserve"> (2003-2012)</w:t>
      </w:r>
      <w:r w:rsidRPr="00F219CA">
        <w:rPr>
          <w:kern w:val="0"/>
        </w:rPr>
        <w:t xml:space="preserve">. </w:t>
      </w:r>
      <w:r w:rsidRPr="00F219CA">
        <w:rPr>
          <w:i/>
          <w:iCs/>
          <w:kern w:val="0"/>
        </w:rPr>
        <w:t>Arbor-Ciencia Pensamiento y Cultura</w:t>
      </w:r>
      <w:r w:rsidRPr="00F219CA">
        <w:rPr>
          <w:kern w:val="0"/>
        </w:rPr>
        <w:t xml:space="preserve">, </w:t>
      </w:r>
      <w:r w:rsidRPr="00F219CA">
        <w:rPr>
          <w:b/>
          <w:bCs/>
          <w:kern w:val="0"/>
        </w:rPr>
        <w:t>1</w:t>
      </w:r>
      <w:r>
        <w:rPr>
          <w:rFonts w:hint="eastAsia"/>
          <w:b/>
          <w:bCs/>
          <w:kern w:val="0"/>
        </w:rPr>
        <w:t>90</w:t>
      </w:r>
      <w:r w:rsidRPr="00F219CA">
        <w:rPr>
          <w:kern w:val="0"/>
        </w:rPr>
        <w:t xml:space="preserve"> (7</w:t>
      </w:r>
      <w:r>
        <w:rPr>
          <w:rFonts w:hint="eastAsia"/>
          <w:kern w:val="0"/>
        </w:rPr>
        <w:t>70</w:t>
      </w:r>
      <w:r w:rsidRPr="00F219CA">
        <w:rPr>
          <w:kern w:val="0"/>
        </w:rPr>
        <w:t xml:space="preserve">), </w:t>
      </w:r>
      <w:r w:rsidRPr="00324B64">
        <w:rPr>
          <w:kern w:val="0"/>
        </w:rPr>
        <w:t>Article Number: a191</w:t>
      </w:r>
      <w:r w:rsidRPr="00F219CA">
        <w:rPr>
          <w:kern w:val="0"/>
        </w:rPr>
        <w:t>.</w:t>
      </w:r>
    </w:p>
    <w:p w:rsidR="00D6223C" w:rsidRDefault="00D6223C" w:rsidP="00D6223C">
      <w:pPr>
        <w:pStyle w:val="a3"/>
        <w:rPr>
          <w:kern w:val="0"/>
        </w:rPr>
      </w:pPr>
      <w:r>
        <w:rPr>
          <w:rFonts w:hint="eastAsia"/>
          <w:kern w:val="0"/>
        </w:rPr>
        <w:t xml:space="preserve">Full Text: </w:t>
      </w:r>
      <w:hyperlink r:id="rId1070" w:history="1">
        <w:r w:rsidRPr="00324B64">
          <w:rPr>
            <w:rStyle w:val="a5"/>
            <w:kern w:val="0"/>
          </w:rPr>
          <w:t>2014\Arb-Cie Pen Cul190, a191.pdf</w:t>
        </w:r>
      </w:hyperlink>
    </w:p>
    <w:p w:rsidR="00D6223C" w:rsidRPr="00324B64" w:rsidRDefault="00D6223C" w:rsidP="00D6223C">
      <w:pPr>
        <w:pStyle w:val="a3"/>
        <w:rPr>
          <w:kern w:val="0"/>
        </w:rPr>
      </w:pPr>
      <w:r w:rsidRPr="00324B64">
        <w:rPr>
          <w:kern w:val="0"/>
        </w:rPr>
        <w:t>Abstract</w:t>
      </w:r>
      <w:r>
        <w:rPr>
          <w:rFonts w:hint="eastAsia"/>
          <w:kern w:val="0"/>
        </w:rPr>
        <w:t xml:space="preserve">: </w:t>
      </w:r>
      <w:r w:rsidRPr="00324B64">
        <w:rPr>
          <w:kern w:val="0"/>
        </w:rPr>
        <w:t>This essay reviews both the scholarly output and impact factor of Spanish research institutions in the Arts &amp; Humanities Citation Index (A&amp;HCI) database, managed by the Thomson-Reuters Web of Science. Based on a bibliometric analysis of a range of variables it has been possible to identify those institutions with the best performance indicators, the journals publishing the most articles, the most productive areas of research, and other relevant data on publishing patterns in the Humanities. The study reveals that the most productive Spanish institutions in the Humanities are the same as those that lead the performance figures in other areas; it also highlights the outstanding production of the Spanish National Research Council (CSIC).</w:t>
      </w:r>
    </w:p>
    <w:p w:rsidR="00D6223C" w:rsidRPr="001A3D2B" w:rsidRDefault="00D6223C" w:rsidP="00D6223C">
      <w:pPr>
        <w:pStyle w:val="a3"/>
        <w:rPr>
          <w:kern w:val="0"/>
        </w:rPr>
      </w:pPr>
      <w:r w:rsidRPr="00324B64">
        <w:rPr>
          <w:kern w:val="0"/>
        </w:rPr>
        <w:t>Keywords:</w:t>
      </w:r>
      <w:r>
        <w:rPr>
          <w:kern w:val="0"/>
        </w:rPr>
        <w:t xml:space="preserve"> </w:t>
      </w:r>
      <w:r w:rsidRPr="00324B64">
        <w:rPr>
          <w:kern w:val="0"/>
        </w:rPr>
        <w:t>Production</w:t>
      </w:r>
      <w:r>
        <w:rPr>
          <w:kern w:val="0"/>
        </w:rPr>
        <w:t>,</w:t>
      </w:r>
      <w:r w:rsidRPr="00324B64">
        <w:rPr>
          <w:kern w:val="0"/>
        </w:rPr>
        <w:t xml:space="preserve"> Impact</w:t>
      </w:r>
      <w:r>
        <w:rPr>
          <w:kern w:val="0"/>
        </w:rPr>
        <w:t>,</w:t>
      </w:r>
      <w:r w:rsidRPr="00324B64">
        <w:rPr>
          <w:kern w:val="0"/>
        </w:rPr>
        <w:t xml:space="preserve"> Humanities</w:t>
      </w:r>
      <w:r>
        <w:rPr>
          <w:kern w:val="0"/>
        </w:rPr>
        <w:t>,</w:t>
      </w:r>
      <w:r w:rsidRPr="00324B64">
        <w:rPr>
          <w:kern w:val="0"/>
        </w:rPr>
        <w:t xml:space="preserve"> Scientific Journals</w:t>
      </w:r>
      <w:r>
        <w:rPr>
          <w:kern w:val="0"/>
        </w:rPr>
        <w:t>,</w:t>
      </w:r>
      <w:r w:rsidRPr="00324B64">
        <w:rPr>
          <w:kern w:val="0"/>
        </w:rPr>
        <w:t xml:space="preserve"> Spain</w:t>
      </w:r>
      <w:r>
        <w:rPr>
          <w:kern w:val="0"/>
        </w:rPr>
        <w:t xml:space="preserve">, </w:t>
      </w:r>
      <w:r w:rsidRPr="00324B64">
        <w:rPr>
          <w:kern w:val="0"/>
        </w:rPr>
        <w:t>Social-Sciences</w:t>
      </w:r>
    </w:p>
    <w:p w:rsidR="003474F2" w:rsidRPr="001A3D2B" w:rsidRDefault="003474F2" w:rsidP="003474F2">
      <w:pPr>
        <w:pStyle w:val="1"/>
      </w:pPr>
      <w:r w:rsidRPr="001A3D2B">
        <w:br w:type="page"/>
      </w:r>
      <w:bookmarkStart w:id="552" w:name="_Toc420814562"/>
      <w:r w:rsidRPr="001A3D2B">
        <w:lastRenderedPageBreak/>
        <w:t>Title: Archaeofauna</w:t>
      </w:r>
      <w:bookmarkEnd w:id="552"/>
    </w:p>
    <w:p w:rsidR="003474F2" w:rsidRPr="001A3D2B" w:rsidRDefault="003474F2" w:rsidP="003474F2">
      <w:pPr>
        <w:pStyle w:val="12"/>
      </w:pPr>
      <w:r w:rsidRPr="001A3D2B">
        <w:t>Full Journal Title: Archaeofauna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Bartosiewicz, L.</w:t>
      </w:r>
      <w:r w:rsidR="005853A9">
        <w:t xml:space="preserve"> and </w:t>
      </w:r>
      <w:r w:rsidRPr="001A3D2B">
        <w:t xml:space="preserve">Choyke, A.M. (2002), Archaeozoology in Hungary. </w:t>
      </w:r>
      <w:r w:rsidRPr="001A3D2B">
        <w:rPr>
          <w:i/>
          <w:iCs/>
        </w:rPr>
        <w:t>Archaeofauna</w:t>
      </w:r>
      <w:r w:rsidRPr="001A3D2B">
        <w:t xml:space="preserve">, </w:t>
      </w:r>
      <w:r w:rsidRPr="001A3D2B">
        <w:rPr>
          <w:b/>
          <w:bCs/>
        </w:rPr>
        <w:t>11</w:t>
      </w:r>
      <w:r w:rsidRPr="001A3D2B">
        <w:t>, 117-129.</w:t>
      </w:r>
    </w:p>
    <w:p w:rsidR="003474F2" w:rsidRPr="001A3D2B" w:rsidRDefault="003474F2" w:rsidP="003474F2">
      <w:pPr>
        <w:pStyle w:val="a3"/>
      </w:pPr>
      <w:r w:rsidRPr="001A3D2B">
        <w:t>Abstract: This study describes how two different branches</w:t>
      </w:r>
      <w:r w:rsidR="00427468">
        <w:t xml:space="preserve"> of </w:t>
      </w:r>
      <w:r w:rsidRPr="001A3D2B">
        <w:t>investigation, archaeology</w:t>
      </w:r>
      <w:r w:rsidR="005853A9">
        <w:t xml:space="preserve"> and </w:t>
      </w:r>
      <w:r w:rsidRPr="001A3D2B">
        <w:t>zoology/paleontology, dependent on geopolitical</w:t>
      </w:r>
      <w:r w:rsidR="005853A9">
        <w:t xml:space="preserve"> and </w:t>
      </w:r>
      <w:r w:rsidRPr="001A3D2B">
        <w:t>ideological circumstances, have effected</w:t>
      </w:r>
      <w:r w:rsidR="003A1917">
        <w:t xml:space="preserve"> the </w:t>
      </w:r>
      <w:r w:rsidRPr="001A3D2B">
        <w:t>emergence</w:t>
      </w:r>
      <w:r w:rsidR="00427468">
        <w:t xml:space="preserve"> of </w:t>
      </w:r>
      <w:r w:rsidRPr="001A3D2B">
        <w:t>archaeozoology in Hungary during</w:t>
      </w:r>
      <w:r w:rsidR="003A1917">
        <w:t xml:space="preserve"> the </w:t>
      </w:r>
      <w:r w:rsidRPr="001A3D2B">
        <w:t>1860s</w:t>
      </w:r>
      <w:r w:rsidR="00A37C1D">
        <w:t>. The</w:t>
      </w:r>
      <w:r w:rsidR="003A1917">
        <w:t xml:space="preserve"> </w:t>
      </w:r>
      <w:r w:rsidRPr="001A3D2B">
        <w:t>second aim was to study, whether</w:t>
      </w:r>
      <w:r w:rsidR="003A1917">
        <w:t xml:space="preserve"> the </w:t>
      </w:r>
      <w:r w:rsidRPr="001A3D2B">
        <w:t>consideration</w:t>
      </w:r>
      <w:r w:rsidR="00427468">
        <w:t xml:space="preserve"> of </w:t>
      </w:r>
      <w:r w:rsidRPr="001A3D2B">
        <w:t>ideological context by certain scholars may have been</w:t>
      </w:r>
      <w:r w:rsidR="003A1917">
        <w:t xml:space="preserve"> the </w:t>
      </w:r>
      <w:r w:rsidRPr="001A3D2B">
        <w:t>reason behind historical influences in archaeozoology. Our results, however, suggest that individual contribution have been</w:t>
      </w:r>
      <w:r w:rsidR="00427468">
        <w:t xml:space="preserve"> of </w:t>
      </w:r>
      <w:r w:rsidRPr="001A3D2B">
        <w:t>major significance in this discipline, cultivated only by a minority</w:t>
      </w:r>
      <w:r w:rsidR="00427468">
        <w:t xml:space="preserve"> of </w:t>
      </w:r>
      <w:r w:rsidRPr="001A3D2B">
        <w:t>experts in Hungary. A quantitative analysis was carried out on</w:t>
      </w:r>
      <w:r w:rsidR="003A1917">
        <w:t xml:space="preserve"> the </w:t>
      </w:r>
      <w:r w:rsidRPr="001A3D2B">
        <w:t>basis</w:t>
      </w:r>
      <w:r w:rsidR="00427468">
        <w:t xml:space="preserve"> of </w:t>
      </w:r>
      <w:r w:rsidRPr="001A3D2B">
        <w:t>bibliographical data representing 30 years, in order to characterize key features</w:t>
      </w:r>
      <w:r w:rsidR="00427468">
        <w:t xml:space="preserve"> of </w:t>
      </w:r>
      <w:r w:rsidRPr="001A3D2B">
        <w:t>archaeozoological research in Hungary</w:t>
      </w:r>
      <w:r w:rsidR="005853A9">
        <w:t xml:space="preserve"> and </w:t>
      </w:r>
      <w:r w:rsidRPr="001A3D2B">
        <w:t>their coincidence with political</w:t>
      </w:r>
      <w:r w:rsidR="005853A9">
        <w:t xml:space="preserve"> and </w:t>
      </w:r>
      <w:r w:rsidRPr="001A3D2B">
        <w:t>cultural trends</w:t>
      </w:r>
      <w:r w:rsidR="00A37C1D">
        <w:t>. The</w:t>
      </w:r>
      <w:r w:rsidR="003A1917">
        <w:t xml:space="preserve"> </w:t>
      </w:r>
      <w:r w:rsidRPr="001A3D2B">
        <w:t>basis</w:t>
      </w:r>
      <w:r w:rsidR="00427468">
        <w:t xml:space="preserve"> of </w:t>
      </w:r>
      <w:r w:rsidRPr="001A3D2B">
        <w:t>calculations was</w:t>
      </w:r>
      <w:r w:rsidR="003A1917">
        <w:t xml:space="preserve"> the </w:t>
      </w:r>
      <w:r w:rsidRPr="001A3D2B">
        <w:t>chronological, regional</w:t>
      </w:r>
      <w:r w:rsidR="005853A9">
        <w:t xml:space="preserve"> and </w:t>
      </w:r>
      <w:r w:rsidRPr="001A3D2B">
        <w:t>linguistic composition</w:t>
      </w:r>
      <w:r w:rsidR="00427468">
        <w:t xml:space="preserve"> of </w:t>
      </w:r>
      <w:r w:rsidRPr="001A3D2B">
        <w:t>publications dated to between 1965</w:t>
      </w:r>
      <w:r w:rsidR="005853A9">
        <w:t xml:space="preserve"> and </w:t>
      </w:r>
      <w:r w:rsidRPr="001A3D2B">
        <w:t>1995. This simple scientometric description shows that international cooperation in archaeozoology has profited from both economic stability</w:t>
      </w:r>
      <w:r w:rsidR="005853A9">
        <w:t xml:space="preserve"> and </w:t>
      </w:r>
      <w:r w:rsidR="003A1917">
        <w:t xml:space="preserve">the </w:t>
      </w:r>
      <w:r w:rsidRPr="001A3D2B">
        <w:t>gradual decline</w:t>
      </w:r>
      <w:r w:rsidR="00427468">
        <w:t xml:space="preserve"> of </w:t>
      </w:r>
      <w:r w:rsidRPr="001A3D2B">
        <w:t>political isolation during</w:t>
      </w:r>
      <w:r w:rsidR="003A1917">
        <w:t xml:space="preserve"> the </w:t>
      </w:r>
      <w:r w:rsidRPr="001A3D2B">
        <w:t>1960s</w:t>
      </w:r>
      <w:r w:rsidR="005853A9">
        <w:t xml:space="preserve"> and </w:t>
      </w:r>
      <w:r w:rsidRPr="001A3D2B">
        <w:t>1990s</w:t>
      </w:r>
      <w:r w:rsidR="00A37C1D">
        <w:t>. The</w:t>
      </w:r>
      <w:r w:rsidR="003A1917">
        <w:t xml:space="preserve"> </w:t>
      </w:r>
      <w:r w:rsidRPr="001A3D2B">
        <w:t>dominance</w:t>
      </w:r>
      <w:r w:rsidR="00427468">
        <w:t xml:space="preserve"> of </w:t>
      </w:r>
      <w:r w:rsidRPr="001A3D2B">
        <w:t>prehistoric research (a very international period)</w:t>
      </w:r>
      <w:r w:rsidR="005853A9">
        <w:t xml:space="preserve"> and </w:t>
      </w:r>
      <w:r w:rsidR="003A1917">
        <w:t xml:space="preserve">the </w:t>
      </w:r>
      <w:r w:rsidRPr="001A3D2B">
        <w:t>quantities</w:t>
      </w:r>
      <w:r w:rsidR="00427468">
        <w:t xml:space="preserve"> of </w:t>
      </w:r>
      <w:r w:rsidRPr="001A3D2B">
        <w:t>foreign language publications (especially in English) clearly illustrate this trend. Considering these forces may help in fine-tuning</w:t>
      </w:r>
      <w:r w:rsidR="003A1917">
        <w:t xml:space="preserve"> the </w:t>
      </w:r>
      <w:r w:rsidRPr="001A3D2B">
        <w:t>education</w:t>
      </w:r>
      <w:r w:rsidR="005853A9">
        <w:t xml:space="preserve"> and </w:t>
      </w:r>
      <w:r w:rsidRPr="001A3D2B">
        <w:t>practice</w:t>
      </w:r>
      <w:r w:rsidR="00427468">
        <w:t xml:space="preserve"> of </w:t>
      </w:r>
      <w:r w:rsidRPr="001A3D2B">
        <w:t>our discipline in spite</w:t>
      </w:r>
      <w:r w:rsidR="00427468">
        <w:t xml:space="preserve"> of </w:t>
      </w:r>
      <w:r w:rsidRPr="001A3D2B">
        <w:t>mounting difficulties in employment</w:t>
      </w:r>
      <w:r w:rsidR="005853A9">
        <w:t xml:space="preserve"> and </w:t>
      </w:r>
      <w:r w:rsidRPr="001A3D2B">
        <w:t>funding in general at</w:t>
      </w:r>
      <w:r w:rsidR="003A1917">
        <w:t xml:space="preserve"> the </w:t>
      </w:r>
      <w:r w:rsidRPr="001A3D2B">
        <w:t>beginning</w:t>
      </w:r>
      <w:r w:rsidR="00427468">
        <w:t xml:space="preserve"> of </w:t>
      </w:r>
      <w:r w:rsidR="003A1917">
        <w:t xml:space="preserve">the </w:t>
      </w:r>
      <w:r w:rsidRPr="001A3D2B">
        <w:t>new millennium.</w:t>
      </w:r>
    </w:p>
    <w:p w:rsidR="003474F2" w:rsidRPr="001A3D2B" w:rsidRDefault="003474F2" w:rsidP="003474F2">
      <w:pPr>
        <w:pStyle w:val="a3"/>
      </w:pPr>
      <w:r w:rsidRPr="001A3D2B">
        <w:t xml:space="preserve">Keywords: Analysis, Archaeology, Composition, Context, Cooperation, Cultural, Data, Economic, Education, Employment, Experts, Funding, General, Hungary, International, International Cooperation, Investigation, Practice, Publications, Quantitative Analysis, Regional, Research, Scientometric, Significance, Stability, </w:t>
      </w:r>
      <w:r w:rsidRPr="001A3D2B">
        <w:lastRenderedPageBreak/>
        <w:t>Trend, Trends</w:t>
      </w:r>
    </w:p>
    <w:p w:rsidR="006449C2" w:rsidRPr="001A3D2B" w:rsidRDefault="006449C2" w:rsidP="006449C2">
      <w:pPr>
        <w:pStyle w:val="1"/>
      </w:pPr>
      <w:r w:rsidRPr="001A3D2B">
        <w:br w:type="page"/>
      </w:r>
      <w:bookmarkStart w:id="553" w:name="_Toc420814563"/>
      <w:r w:rsidRPr="001A3D2B">
        <w:lastRenderedPageBreak/>
        <w:t xml:space="preserve">Title: </w:t>
      </w:r>
      <w:r w:rsidRPr="001A3D2B">
        <w:rPr>
          <w:szCs w:val="24"/>
        </w:rPr>
        <w:t>Archaeologies-Journal</w:t>
      </w:r>
      <w:r w:rsidR="00427468">
        <w:rPr>
          <w:szCs w:val="24"/>
        </w:rPr>
        <w:t xml:space="preserve"> of </w:t>
      </w:r>
      <w:r w:rsidR="003A1917">
        <w:rPr>
          <w:szCs w:val="24"/>
        </w:rPr>
        <w:t xml:space="preserve">the </w:t>
      </w:r>
      <w:r w:rsidRPr="001A3D2B">
        <w:rPr>
          <w:szCs w:val="24"/>
        </w:rPr>
        <w:t>World Archaeological Congress</w:t>
      </w:r>
      <w:bookmarkEnd w:id="553"/>
    </w:p>
    <w:p w:rsidR="006449C2" w:rsidRPr="001A3D2B" w:rsidRDefault="006449C2" w:rsidP="006449C2">
      <w:pPr>
        <w:pStyle w:val="12"/>
      </w:pPr>
      <w:r w:rsidRPr="001A3D2B">
        <w:t xml:space="preserve">Full Journal Title: </w:t>
      </w:r>
      <w:hyperlink r:id="rId1071" w:history="1">
        <w:r w:rsidRPr="001A3D2B">
          <w:rPr>
            <w:rStyle w:val="a5"/>
            <w:iCs/>
            <w:kern w:val="0"/>
          </w:rPr>
          <w:t>Archaeologies-Journal</w:t>
        </w:r>
        <w:r w:rsidR="00427468">
          <w:rPr>
            <w:rStyle w:val="a5"/>
            <w:iCs/>
            <w:kern w:val="0"/>
          </w:rPr>
          <w:t xml:space="preserve"> of </w:t>
        </w:r>
        <w:r w:rsidR="003A1917">
          <w:rPr>
            <w:rStyle w:val="a5"/>
            <w:iCs/>
            <w:kern w:val="0"/>
          </w:rPr>
          <w:t xml:space="preserve">the </w:t>
        </w:r>
        <w:r w:rsidRPr="001A3D2B">
          <w:rPr>
            <w:rStyle w:val="a5"/>
            <w:iCs/>
            <w:kern w:val="0"/>
          </w:rPr>
          <w:t>World Archaeological Congress</w:t>
        </w:r>
      </w:hyperlink>
    </w:p>
    <w:p w:rsidR="006449C2" w:rsidRPr="001A3D2B" w:rsidRDefault="006449C2" w:rsidP="006449C2">
      <w:pPr>
        <w:pStyle w:val="12"/>
      </w:pPr>
      <w:r w:rsidRPr="001A3D2B">
        <w:t xml:space="preserve">ISO Abbreviated Title: </w:t>
      </w:r>
    </w:p>
    <w:p w:rsidR="006449C2" w:rsidRPr="001A3D2B" w:rsidRDefault="006449C2" w:rsidP="006449C2">
      <w:pPr>
        <w:pStyle w:val="12"/>
      </w:pPr>
      <w:r w:rsidRPr="001A3D2B">
        <w:t xml:space="preserve">JCR Abbreviated Title: </w:t>
      </w:r>
    </w:p>
    <w:p w:rsidR="006449C2" w:rsidRPr="001A3D2B" w:rsidRDefault="006449C2" w:rsidP="006449C2">
      <w:pPr>
        <w:pStyle w:val="12"/>
      </w:pPr>
      <w:r w:rsidRPr="001A3D2B">
        <w:t xml:space="preserve">ISSN: </w:t>
      </w:r>
    </w:p>
    <w:p w:rsidR="006449C2" w:rsidRPr="001A3D2B" w:rsidRDefault="006449C2" w:rsidP="006449C2">
      <w:pPr>
        <w:pStyle w:val="12"/>
      </w:pPr>
      <w:r w:rsidRPr="001A3D2B">
        <w:t xml:space="preserve">Issues/Year: </w:t>
      </w:r>
    </w:p>
    <w:p w:rsidR="006449C2" w:rsidRPr="001A3D2B" w:rsidRDefault="006449C2" w:rsidP="006449C2">
      <w:pPr>
        <w:pStyle w:val="12"/>
      </w:pPr>
      <w:r w:rsidRPr="001A3D2B">
        <w:t xml:space="preserve">Journal Country/Territory: </w:t>
      </w:r>
    </w:p>
    <w:p w:rsidR="006449C2" w:rsidRPr="001A3D2B" w:rsidRDefault="006449C2" w:rsidP="006449C2">
      <w:pPr>
        <w:pStyle w:val="12"/>
      </w:pPr>
      <w:r w:rsidRPr="001A3D2B">
        <w:t xml:space="preserve">Language: </w:t>
      </w:r>
    </w:p>
    <w:p w:rsidR="006449C2" w:rsidRPr="001A3D2B" w:rsidRDefault="006449C2" w:rsidP="006449C2">
      <w:pPr>
        <w:pStyle w:val="12"/>
      </w:pPr>
      <w:r w:rsidRPr="001A3D2B">
        <w:t xml:space="preserve">Publisher: </w:t>
      </w:r>
    </w:p>
    <w:p w:rsidR="006449C2" w:rsidRPr="001A3D2B" w:rsidRDefault="006449C2" w:rsidP="006449C2">
      <w:pPr>
        <w:pStyle w:val="12"/>
      </w:pPr>
      <w:r w:rsidRPr="001A3D2B">
        <w:t xml:space="preserve">Publisher Address: </w:t>
      </w:r>
    </w:p>
    <w:p w:rsidR="006449C2" w:rsidRPr="001A3D2B" w:rsidRDefault="006449C2" w:rsidP="006449C2">
      <w:pPr>
        <w:pStyle w:val="12"/>
      </w:pPr>
      <w:r w:rsidRPr="001A3D2B">
        <w:t xml:space="preserve">Subject Categories: </w:t>
      </w:r>
    </w:p>
    <w:p w:rsidR="006449C2" w:rsidRPr="001A3D2B" w:rsidRDefault="006449C2" w:rsidP="006449C2">
      <w:pPr>
        <w:pStyle w:val="12"/>
      </w:pPr>
      <w:r w:rsidRPr="001A3D2B">
        <w:t xml:space="preserve">: Impact Factor </w:t>
      </w:r>
    </w:p>
    <w:p w:rsidR="006449C2" w:rsidRPr="001A3D2B" w:rsidRDefault="006449C2" w:rsidP="006449C2">
      <w:pPr>
        <w:pStyle w:val="a3"/>
        <w:rPr>
          <w:kern w:val="0"/>
          <w:szCs w:val="24"/>
        </w:rPr>
      </w:pPr>
      <w:r w:rsidRPr="001A3D2B">
        <w:rPr>
          <w:kern w:val="0"/>
          <w:szCs w:val="24"/>
        </w:rPr>
        <w:t>? Mallía, M.S.</w:t>
      </w:r>
      <w:r w:rsidR="005853A9">
        <w:rPr>
          <w:kern w:val="0"/>
          <w:szCs w:val="24"/>
        </w:rPr>
        <w:t xml:space="preserve"> and </w:t>
      </w:r>
      <w:r w:rsidRPr="001A3D2B">
        <w:rPr>
          <w:kern w:val="0"/>
          <w:szCs w:val="24"/>
        </w:rPr>
        <w:t>Vidal, A.S. (2009), From</w:t>
      </w:r>
      <w:r w:rsidR="003A1917">
        <w:rPr>
          <w:kern w:val="0"/>
          <w:szCs w:val="24"/>
        </w:rPr>
        <w:t xml:space="preserve"> the </w:t>
      </w:r>
      <w:r w:rsidRPr="001A3D2B">
        <w:rPr>
          <w:kern w:val="0"/>
          <w:szCs w:val="24"/>
        </w:rPr>
        <w:t>opposite corner: A bibliometric analysis</w:t>
      </w:r>
      <w:r w:rsidR="00427468">
        <w:rPr>
          <w:kern w:val="0"/>
          <w:szCs w:val="24"/>
        </w:rPr>
        <w:t xml:space="preserve"> of </w:t>
      </w:r>
      <w:r w:rsidRPr="001A3D2B">
        <w:rPr>
          <w:kern w:val="0"/>
          <w:szCs w:val="24"/>
        </w:rPr>
        <w:t xml:space="preserve">research on American archaeology in European publications. </w:t>
      </w:r>
      <w:r w:rsidRPr="001A3D2B">
        <w:rPr>
          <w:i/>
          <w:iCs/>
          <w:kern w:val="0"/>
          <w:szCs w:val="24"/>
        </w:rPr>
        <w:t>Archaeologies-Journal</w:t>
      </w:r>
      <w:r w:rsidR="00427468">
        <w:rPr>
          <w:i/>
          <w:iCs/>
          <w:kern w:val="0"/>
          <w:szCs w:val="24"/>
        </w:rPr>
        <w:t xml:space="preserve"> of </w:t>
      </w:r>
      <w:r w:rsidR="003A1917">
        <w:rPr>
          <w:i/>
          <w:iCs/>
          <w:kern w:val="0"/>
          <w:szCs w:val="24"/>
        </w:rPr>
        <w:t xml:space="preserve">the </w:t>
      </w:r>
      <w:r w:rsidRPr="001A3D2B">
        <w:rPr>
          <w:i/>
          <w:iCs/>
          <w:kern w:val="0"/>
          <w:szCs w:val="24"/>
        </w:rPr>
        <w:t>World Archaeological Congress</w:t>
      </w:r>
      <w:r w:rsidRPr="001A3D2B">
        <w:rPr>
          <w:kern w:val="0"/>
          <w:szCs w:val="24"/>
        </w:rPr>
        <w:t xml:space="preserve">, </w:t>
      </w:r>
      <w:r w:rsidRPr="001A3D2B">
        <w:rPr>
          <w:b/>
          <w:bCs/>
          <w:kern w:val="0"/>
          <w:szCs w:val="24"/>
        </w:rPr>
        <w:t>5</w:t>
      </w:r>
      <w:r w:rsidRPr="001A3D2B">
        <w:rPr>
          <w:kern w:val="0"/>
          <w:szCs w:val="24"/>
        </w:rPr>
        <w:t xml:space="preserve"> (3), 446-467.</w:t>
      </w:r>
    </w:p>
    <w:p w:rsidR="006449C2" w:rsidRPr="001A3D2B" w:rsidRDefault="006449C2" w:rsidP="006449C2">
      <w:pPr>
        <w:pStyle w:val="a3"/>
        <w:rPr>
          <w:kern w:val="0"/>
          <w:szCs w:val="24"/>
        </w:rPr>
      </w:pPr>
      <w:r w:rsidRPr="001A3D2B">
        <w:rPr>
          <w:kern w:val="0"/>
          <w:szCs w:val="24"/>
        </w:rPr>
        <w:t xml:space="preserve">Full Text: </w:t>
      </w:r>
      <w:hyperlink r:id="rId1072" w:history="1">
        <w:r w:rsidRPr="001A3D2B">
          <w:rPr>
            <w:rStyle w:val="a5"/>
            <w:kern w:val="0"/>
            <w:szCs w:val="24"/>
          </w:rPr>
          <w:t>2009\Arc-J Wor Arc Con5, 446.pdf</w:t>
        </w:r>
      </w:hyperlink>
    </w:p>
    <w:p w:rsidR="006449C2" w:rsidRPr="001A3D2B" w:rsidRDefault="006449C2" w:rsidP="006449C2">
      <w:pPr>
        <w:pStyle w:val="a3"/>
        <w:rPr>
          <w:kern w:val="0"/>
          <w:szCs w:val="24"/>
        </w:rPr>
      </w:pPr>
      <w:r w:rsidRPr="001A3D2B">
        <w:rPr>
          <w:kern w:val="0"/>
          <w:szCs w:val="24"/>
        </w:rPr>
        <w:t>Abstract: We see what we are prepared to see. Scientific research aims at breaking down this situation, analysing its subjects/objects</w:t>
      </w:r>
      <w:r w:rsidR="00427468">
        <w:rPr>
          <w:kern w:val="0"/>
          <w:szCs w:val="24"/>
        </w:rPr>
        <w:t xml:space="preserve"> of </w:t>
      </w:r>
      <w:r w:rsidRPr="001A3D2B">
        <w:rPr>
          <w:kern w:val="0"/>
          <w:szCs w:val="24"/>
        </w:rPr>
        <w:t>study from different points</w:t>
      </w:r>
      <w:r w:rsidR="00427468">
        <w:rPr>
          <w:kern w:val="0"/>
          <w:szCs w:val="24"/>
        </w:rPr>
        <w:t xml:space="preserve"> of </w:t>
      </w:r>
      <w:r w:rsidRPr="001A3D2B">
        <w:rPr>
          <w:kern w:val="0"/>
          <w:szCs w:val="24"/>
        </w:rPr>
        <w:t>view. Although multiple meanings can be derived from every question</w:t>
      </w:r>
      <w:r w:rsidR="005853A9">
        <w:rPr>
          <w:kern w:val="0"/>
          <w:szCs w:val="24"/>
        </w:rPr>
        <w:t xml:space="preserve"> and </w:t>
      </w:r>
      <w:r w:rsidRPr="001A3D2B">
        <w:rPr>
          <w:kern w:val="0"/>
          <w:szCs w:val="24"/>
        </w:rPr>
        <w:t>a myriad</w:t>
      </w:r>
      <w:r w:rsidR="00427468">
        <w:rPr>
          <w:kern w:val="0"/>
          <w:szCs w:val="24"/>
        </w:rPr>
        <w:t xml:space="preserve"> of </w:t>
      </w:r>
      <w:r w:rsidRPr="001A3D2B">
        <w:rPr>
          <w:kern w:val="0"/>
          <w:szCs w:val="24"/>
        </w:rPr>
        <w:t>positions can be adopted, some are bound to be silenced by traditional criteria</w:t>
      </w:r>
      <w:r w:rsidR="00427468">
        <w:rPr>
          <w:kern w:val="0"/>
          <w:szCs w:val="24"/>
        </w:rPr>
        <w:t xml:space="preserve"> of </w:t>
      </w:r>
      <w:r w:rsidRPr="001A3D2B">
        <w:rPr>
          <w:kern w:val="0"/>
          <w:szCs w:val="24"/>
        </w:rPr>
        <w:t>authenticity. Archaeology is not an exception to this:</w:t>
      </w:r>
      <w:r w:rsidR="003A1917">
        <w:rPr>
          <w:kern w:val="0"/>
          <w:szCs w:val="24"/>
        </w:rPr>
        <w:t xml:space="preserve"> the </w:t>
      </w:r>
      <w:r w:rsidRPr="001A3D2B">
        <w:rPr>
          <w:kern w:val="0"/>
          <w:szCs w:val="24"/>
        </w:rPr>
        <w:t>prevailing agenda severely impacts on our perception</w:t>
      </w:r>
      <w:r w:rsidR="00427468">
        <w:rPr>
          <w:kern w:val="0"/>
          <w:szCs w:val="24"/>
        </w:rPr>
        <w:t xml:space="preserve"> of </w:t>
      </w:r>
      <w:r w:rsidRPr="001A3D2B">
        <w:rPr>
          <w:kern w:val="0"/>
          <w:szCs w:val="24"/>
        </w:rPr>
        <w:t>what archaeological practice consists. In turn, its ethos is recreated as part</w:t>
      </w:r>
      <w:r w:rsidR="00427468">
        <w:rPr>
          <w:kern w:val="0"/>
          <w:szCs w:val="24"/>
        </w:rPr>
        <w:t xml:space="preserve"> of </w:t>
      </w:r>
      <w:r w:rsidRPr="001A3D2B">
        <w:rPr>
          <w:kern w:val="0"/>
          <w:szCs w:val="24"/>
        </w:rPr>
        <w:t>our own identity processes through our productions, whether by passively accepting monolithic standards or by dynamically proposing alternative positions in response</w:t>
      </w:r>
      <w:r w:rsidR="00A37C1D">
        <w:rPr>
          <w:kern w:val="0"/>
          <w:szCs w:val="24"/>
        </w:rPr>
        <w:t>. The</w:t>
      </w:r>
      <w:r w:rsidR="003A1917">
        <w:rPr>
          <w:kern w:val="0"/>
          <w:szCs w:val="24"/>
        </w:rPr>
        <w:t xml:space="preserve"> </w:t>
      </w:r>
      <w:r w:rsidRPr="001A3D2B">
        <w:rPr>
          <w:kern w:val="0"/>
          <w:szCs w:val="24"/>
        </w:rPr>
        <w:t>study</w:t>
      </w:r>
      <w:r w:rsidR="00427468">
        <w:rPr>
          <w:kern w:val="0"/>
          <w:szCs w:val="24"/>
        </w:rPr>
        <w:t xml:space="preserve"> of </w:t>
      </w:r>
      <w:r w:rsidR="003A1917">
        <w:rPr>
          <w:kern w:val="0"/>
          <w:szCs w:val="24"/>
        </w:rPr>
        <w:t xml:space="preserve">the </w:t>
      </w:r>
      <w:r w:rsidRPr="001A3D2B">
        <w:rPr>
          <w:kern w:val="0"/>
          <w:szCs w:val="24"/>
        </w:rPr>
        <w:t>prehistoric</w:t>
      </w:r>
      <w:r w:rsidR="005853A9">
        <w:rPr>
          <w:kern w:val="0"/>
          <w:szCs w:val="24"/>
        </w:rPr>
        <w:t xml:space="preserve"> and </w:t>
      </w:r>
      <w:r w:rsidRPr="001A3D2B">
        <w:rPr>
          <w:kern w:val="0"/>
          <w:szCs w:val="24"/>
        </w:rPr>
        <w:t>colonial periods in America can be a good test bed for surveying</w:t>
      </w:r>
      <w:r w:rsidR="003A1917">
        <w:rPr>
          <w:kern w:val="0"/>
          <w:szCs w:val="24"/>
        </w:rPr>
        <w:t xml:space="preserve"> the </w:t>
      </w:r>
      <w:r w:rsidRPr="001A3D2B">
        <w:rPr>
          <w:kern w:val="0"/>
          <w:szCs w:val="24"/>
        </w:rPr>
        <w:t>influence</w:t>
      </w:r>
      <w:r w:rsidR="00427468">
        <w:rPr>
          <w:kern w:val="0"/>
          <w:szCs w:val="24"/>
        </w:rPr>
        <w:t xml:space="preserve"> of </w:t>
      </w:r>
      <w:r w:rsidRPr="001A3D2B">
        <w:rPr>
          <w:kern w:val="0"/>
          <w:szCs w:val="24"/>
        </w:rPr>
        <w:t>academic background upon</w:t>
      </w:r>
      <w:r w:rsidR="003A1917">
        <w:rPr>
          <w:kern w:val="0"/>
          <w:szCs w:val="24"/>
        </w:rPr>
        <w:t xml:space="preserve"> the </w:t>
      </w:r>
      <w:r w:rsidRPr="001A3D2B">
        <w:rPr>
          <w:kern w:val="0"/>
          <w:szCs w:val="24"/>
        </w:rPr>
        <w:t>analysis</w:t>
      </w:r>
      <w:r w:rsidR="00427468">
        <w:rPr>
          <w:kern w:val="0"/>
          <w:szCs w:val="24"/>
        </w:rPr>
        <w:t xml:space="preserve"> of </w:t>
      </w:r>
      <w:r w:rsidRPr="001A3D2B">
        <w:rPr>
          <w:kern w:val="0"/>
          <w:szCs w:val="24"/>
        </w:rPr>
        <w:t>human history. Here we review two Spanish journals</w:t>
      </w:r>
      <w:r w:rsidR="00427468">
        <w:rPr>
          <w:kern w:val="0"/>
          <w:szCs w:val="24"/>
        </w:rPr>
        <w:t xml:space="preserve"> of </w:t>
      </w:r>
      <w:r w:rsidRPr="001A3D2B">
        <w:rPr>
          <w:kern w:val="0"/>
          <w:szCs w:val="24"/>
        </w:rPr>
        <w:t>American studies to discuss</w:t>
      </w:r>
      <w:r w:rsidR="003A1917">
        <w:rPr>
          <w:kern w:val="0"/>
          <w:szCs w:val="24"/>
        </w:rPr>
        <w:t xml:space="preserve"> the </w:t>
      </w:r>
      <w:r w:rsidRPr="001A3D2B">
        <w:rPr>
          <w:kern w:val="0"/>
          <w:szCs w:val="24"/>
        </w:rPr>
        <w:t>different orientations</w:t>
      </w:r>
      <w:r w:rsidR="00427468">
        <w:rPr>
          <w:kern w:val="0"/>
          <w:szCs w:val="24"/>
        </w:rPr>
        <w:t xml:space="preserve"> of </w:t>
      </w:r>
      <w:r w:rsidR="003A1917">
        <w:rPr>
          <w:kern w:val="0"/>
          <w:szCs w:val="24"/>
        </w:rPr>
        <w:t xml:space="preserve">the </w:t>
      </w:r>
      <w:r w:rsidRPr="001A3D2B">
        <w:rPr>
          <w:kern w:val="0"/>
          <w:szCs w:val="24"/>
        </w:rPr>
        <w:t>authors according to their provenance. Plotted against</w:t>
      </w:r>
      <w:r w:rsidR="003A1917">
        <w:rPr>
          <w:kern w:val="0"/>
          <w:szCs w:val="24"/>
        </w:rPr>
        <w:t xml:space="preserve"> the </w:t>
      </w:r>
      <w:r w:rsidRPr="001A3D2B">
        <w:rPr>
          <w:kern w:val="0"/>
          <w:szCs w:val="24"/>
        </w:rPr>
        <w:t>country represented by</w:t>
      </w:r>
      <w:r w:rsidR="003A1917">
        <w:rPr>
          <w:kern w:val="0"/>
          <w:szCs w:val="24"/>
        </w:rPr>
        <w:t xml:space="preserve"> the </w:t>
      </w:r>
      <w:r w:rsidRPr="001A3D2B">
        <w:rPr>
          <w:kern w:val="0"/>
          <w:szCs w:val="24"/>
        </w:rPr>
        <w:t>authors, we consider his/her research as regards</w:t>
      </w:r>
      <w:r w:rsidR="003A1917">
        <w:rPr>
          <w:kern w:val="0"/>
          <w:szCs w:val="24"/>
        </w:rPr>
        <w:t xml:space="preserve"> the </w:t>
      </w:r>
      <w:r w:rsidRPr="001A3D2B">
        <w:rPr>
          <w:kern w:val="0"/>
          <w:szCs w:val="24"/>
        </w:rPr>
        <w:t>object</w:t>
      </w:r>
      <w:r w:rsidR="00427468">
        <w:rPr>
          <w:kern w:val="0"/>
          <w:szCs w:val="24"/>
        </w:rPr>
        <w:t xml:space="preserve"> of </w:t>
      </w:r>
      <w:r w:rsidRPr="001A3D2B">
        <w:rPr>
          <w:kern w:val="0"/>
          <w:szCs w:val="24"/>
        </w:rPr>
        <w:t>study (ie. artefacts/written sources), its origin, chronology and, finally,</w:t>
      </w:r>
      <w:r w:rsidR="003A1917">
        <w:rPr>
          <w:kern w:val="0"/>
          <w:szCs w:val="24"/>
        </w:rPr>
        <w:t xml:space="preserve"> the </w:t>
      </w:r>
      <w:r w:rsidRPr="001A3D2B">
        <w:rPr>
          <w:kern w:val="0"/>
          <w:szCs w:val="24"/>
        </w:rPr>
        <w:t>aim</w:t>
      </w:r>
      <w:r w:rsidR="00427468">
        <w:rPr>
          <w:kern w:val="0"/>
          <w:szCs w:val="24"/>
        </w:rPr>
        <w:t xml:space="preserve"> of </w:t>
      </w:r>
      <w:r w:rsidR="003A1917">
        <w:rPr>
          <w:kern w:val="0"/>
          <w:szCs w:val="24"/>
        </w:rPr>
        <w:t xml:space="preserve">the </w:t>
      </w:r>
      <w:r w:rsidRPr="001A3D2B">
        <w:rPr>
          <w:kern w:val="0"/>
          <w:szCs w:val="24"/>
        </w:rPr>
        <w:t>paper. We found interesting orientations in relation to focus on particular subjects, most probably conditioned by</w:t>
      </w:r>
      <w:r w:rsidR="003A1917">
        <w:rPr>
          <w:kern w:val="0"/>
          <w:szCs w:val="24"/>
        </w:rPr>
        <w:t xml:space="preserve"> the </w:t>
      </w:r>
      <w:r w:rsidRPr="001A3D2B">
        <w:rPr>
          <w:kern w:val="0"/>
          <w:szCs w:val="24"/>
        </w:rPr>
        <w:t>ontology</w:t>
      </w:r>
      <w:r w:rsidR="00427468">
        <w:rPr>
          <w:kern w:val="0"/>
          <w:szCs w:val="24"/>
        </w:rPr>
        <w:t xml:space="preserve"> of </w:t>
      </w:r>
      <w:r w:rsidR="003A1917">
        <w:rPr>
          <w:kern w:val="0"/>
          <w:szCs w:val="24"/>
        </w:rPr>
        <w:t xml:space="preserve">the </w:t>
      </w:r>
      <w:r w:rsidRPr="001A3D2B">
        <w:rPr>
          <w:kern w:val="0"/>
          <w:szCs w:val="24"/>
        </w:rPr>
        <w:t>researchers. Although</w:t>
      </w:r>
      <w:r w:rsidR="003A1917">
        <w:rPr>
          <w:kern w:val="0"/>
          <w:szCs w:val="24"/>
        </w:rPr>
        <w:t xml:space="preserve"> the </w:t>
      </w:r>
      <w:r w:rsidRPr="001A3D2B">
        <w:rPr>
          <w:kern w:val="0"/>
          <w:szCs w:val="24"/>
        </w:rPr>
        <w:t>selection is quite taxative, it may usefully complement studies carried out in</w:t>
      </w:r>
      <w:r w:rsidR="003A1917">
        <w:rPr>
          <w:kern w:val="0"/>
          <w:szCs w:val="24"/>
        </w:rPr>
        <w:t xml:space="preserve"> the </w:t>
      </w:r>
      <w:r w:rsidRPr="001A3D2B">
        <w:rPr>
          <w:kern w:val="0"/>
          <w:szCs w:val="24"/>
        </w:rPr>
        <w:t>Americas.</w:t>
      </w:r>
    </w:p>
    <w:p w:rsidR="006449C2" w:rsidRPr="001A3D2B" w:rsidRDefault="006449C2" w:rsidP="006449C2">
      <w:pPr>
        <w:pStyle w:val="a3"/>
        <w:rPr>
          <w:kern w:val="0"/>
          <w:szCs w:val="24"/>
        </w:rPr>
      </w:pPr>
      <w:r w:rsidRPr="001A3D2B">
        <w:rPr>
          <w:kern w:val="0"/>
          <w:szCs w:val="24"/>
        </w:rPr>
        <w:t>Keywords: American Studies, Archaeology, Bibliometric Analysis, Research, Research Ontology, Spanish Journals</w:t>
      </w:r>
    </w:p>
    <w:p w:rsidR="003474F2" w:rsidRPr="001A3D2B" w:rsidRDefault="003474F2" w:rsidP="003474F2">
      <w:pPr>
        <w:pStyle w:val="1"/>
      </w:pPr>
      <w:r w:rsidRPr="001A3D2B">
        <w:br w:type="page"/>
      </w:r>
      <w:bookmarkStart w:id="554" w:name="_Toc420814564"/>
      <w:r w:rsidRPr="001A3D2B">
        <w:lastRenderedPageBreak/>
        <w:t>Title: Archives</w:t>
      </w:r>
      <w:r w:rsidR="00427468">
        <w:t xml:space="preserve"> of </w:t>
      </w:r>
      <w:r w:rsidRPr="001A3D2B">
        <w:t>Andrology</w:t>
      </w:r>
      <w:bookmarkEnd w:id="554"/>
    </w:p>
    <w:p w:rsidR="004814D8" w:rsidRPr="00F219CA" w:rsidRDefault="004814D8" w:rsidP="004814D8">
      <w:pPr>
        <w:pStyle w:val="12"/>
      </w:pPr>
      <w:r w:rsidRPr="00F219CA">
        <w:t xml:space="preserve">Full Journal Title: </w:t>
      </w:r>
      <w:hyperlink r:id="rId1073" w:history="1">
        <w:r w:rsidRPr="00E00BBE">
          <w:rPr>
            <w:rStyle w:val="a5"/>
          </w:rPr>
          <w:t>Archives</w:t>
        </w:r>
        <w:r w:rsidR="00427468">
          <w:rPr>
            <w:rStyle w:val="a5"/>
          </w:rPr>
          <w:t xml:space="preserve"> of </w:t>
        </w:r>
        <w:r w:rsidRPr="00E00BBE">
          <w:rPr>
            <w:rStyle w:val="a5"/>
          </w:rPr>
          <w:t>Andrology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0148-5016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Pr="001A3D2B" w:rsidRDefault="003474F2" w:rsidP="003474F2">
      <w:pPr>
        <w:pStyle w:val="a3"/>
      </w:pPr>
      <w:r w:rsidRPr="001A3D2B">
        <w:t>? Yang, H., Pan, B.C.</w:t>
      </w:r>
      <w:r w:rsidR="005853A9">
        <w:t xml:space="preserve"> and </w:t>
      </w:r>
      <w:r w:rsidRPr="001A3D2B">
        <w:t>Chen, J. (2006), Citation analysis</w:t>
      </w:r>
      <w:r w:rsidR="00427468">
        <w:t xml:space="preserve"> of </w:t>
      </w:r>
      <w:r w:rsidRPr="001A3D2B">
        <w:t xml:space="preserve">five journals in andrology. </w:t>
      </w:r>
      <w:r w:rsidRPr="001A3D2B">
        <w:rPr>
          <w:i/>
          <w:iCs/>
        </w:rPr>
        <w:t>Archives</w:t>
      </w:r>
      <w:r w:rsidR="00427468">
        <w:rPr>
          <w:i/>
          <w:iCs/>
        </w:rPr>
        <w:t xml:space="preserve"> of </w:t>
      </w:r>
      <w:r w:rsidRPr="001A3D2B">
        <w:rPr>
          <w:i/>
          <w:iCs/>
        </w:rPr>
        <w:t>Andrology</w:t>
      </w:r>
      <w:r w:rsidRPr="001A3D2B">
        <w:t xml:space="preserve">, </w:t>
      </w:r>
      <w:r w:rsidRPr="001A3D2B">
        <w:rPr>
          <w:b/>
          <w:bCs/>
        </w:rPr>
        <w:t>52</w:t>
      </w:r>
      <w:r w:rsidRPr="001A3D2B">
        <w:t xml:space="preserve"> (6), 433-440.</w:t>
      </w:r>
    </w:p>
    <w:p w:rsidR="004814D8" w:rsidRPr="00F219CA" w:rsidRDefault="004814D8" w:rsidP="004814D8">
      <w:pPr>
        <w:pStyle w:val="a3"/>
        <w:rPr>
          <w:kern w:val="0"/>
        </w:rPr>
      </w:pPr>
      <w:r>
        <w:rPr>
          <w:rFonts w:hint="eastAsia"/>
          <w:kern w:val="0"/>
        </w:rPr>
        <w:t xml:space="preserve">Full Text: </w:t>
      </w:r>
      <w:hyperlink r:id="rId1074" w:history="1">
        <w:r w:rsidRPr="00E00BBE">
          <w:rPr>
            <w:rStyle w:val="a5"/>
            <w:kern w:val="0"/>
          </w:rPr>
          <w:t>2006\Arc And52, 433.pdf</w:t>
        </w:r>
      </w:hyperlink>
    </w:p>
    <w:p w:rsidR="003474F2" w:rsidRPr="001A3D2B" w:rsidRDefault="003474F2" w:rsidP="003474F2">
      <w:pPr>
        <w:pStyle w:val="a3"/>
      </w:pPr>
      <w:r w:rsidRPr="001A3D2B">
        <w:t>Abstract: Aim: To find out features in literature demand by researchers in</w:t>
      </w:r>
      <w:r w:rsidR="003A1917">
        <w:t xml:space="preserve"> the </w:t>
      </w:r>
      <w:r w:rsidRPr="001A3D2B">
        <w:t>field</w:t>
      </w:r>
      <w:r w:rsidR="00427468">
        <w:t xml:space="preserve"> of </w:t>
      </w:r>
      <w:r w:rsidRPr="001A3D2B">
        <w:t>andrology</w:t>
      </w:r>
      <w:r w:rsidR="005853A9">
        <w:t xml:space="preserve"> and </w:t>
      </w:r>
      <w:r w:rsidRPr="001A3D2B">
        <w:t>to offer advice on literature utilization</w:t>
      </w:r>
      <w:r w:rsidR="005853A9">
        <w:t xml:space="preserve"> and </w:t>
      </w:r>
      <w:r w:rsidRPr="001A3D2B">
        <w:t>journal management. Methods: Five andrology journals indexed by Science Citation Index Expanded (SCI-E) (Andrologia, Archives</w:t>
      </w:r>
      <w:r w:rsidR="00427468">
        <w:t xml:space="preserve"> of </w:t>
      </w:r>
      <w:r w:rsidRPr="001A3D2B">
        <w:t>Andrology, Asian Journal</w:t>
      </w:r>
      <w:r w:rsidR="00427468">
        <w:t xml:space="preserve"> of </w:t>
      </w:r>
      <w:r w:rsidRPr="001A3D2B">
        <w:t>Andrology, International Journal</w:t>
      </w:r>
      <w:r w:rsidR="00427468">
        <w:t xml:space="preserve"> of </w:t>
      </w:r>
      <w:r w:rsidRPr="001A3D2B">
        <w:t>Andrology,</w:t>
      </w:r>
      <w:r w:rsidR="005853A9">
        <w:t xml:space="preserve"> and </w:t>
      </w:r>
      <w:r w:rsidRPr="001A3D2B">
        <w:t>Journal</w:t>
      </w:r>
      <w:r w:rsidR="00427468">
        <w:t xml:space="preserve"> of </w:t>
      </w:r>
      <w:r w:rsidRPr="001A3D2B">
        <w:t>Andrology) were included in</w:t>
      </w:r>
      <w:r w:rsidR="003A1917">
        <w:t xml:space="preserve"> the </w:t>
      </w:r>
      <w:r w:rsidRPr="001A3D2B">
        <w:t>study. Original articles, editorials, reviews, corrections</w:t>
      </w:r>
      <w:r w:rsidR="005853A9">
        <w:t xml:space="preserve"> and </w:t>
      </w:r>
      <w:r w:rsidRPr="001A3D2B">
        <w:t>letters from these journals were analyzed with bibliometric method for document loading, citations, information absorbing ability,</w:t>
      </w:r>
      <w:r w:rsidR="005853A9">
        <w:t xml:space="preserve"> and </w:t>
      </w:r>
      <w:r w:rsidRPr="001A3D2B">
        <w:t>geographical coverage. Results:</w:t>
      </w:r>
      <w:r w:rsidR="003A1917">
        <w:t xml:space="preserve"> the </w:t>
      </w:r>
      <w:r w:rsidRPr="001A3D2B">
        <w:t>average number</w:t>
      </w:r>
      <w:r w:rsidR="00427468">
        <w:t xml:space="preserve"> of </w:t>
      </w:r>
      <w:r w:rsidRPr="001A3D2B">
        <w:t>references in each paper was 28.78</w:t>
      </w:r>
      <w:r w:rsidR="00A37C1D">
        <w:t>. The</w:t>
      </w:r>
      <w:r w:rsidR="003A1917">
        <w:t xml:space="preserve"> </w:t>
      </w:r>
      <w:r w:rsidRPr="001A3D2B">
        <w:t>main type</w:t>
      </w:r>
      <w:r w:rsidR="00427468">
        <w:t xml:space="preserve"> of </w:t>
      </w:r>
      <w:r w:rsidRPr="001A3D2B">
        <w:t>references was periodicals (94.32%), while books</w:t>
      </w:r>
      <w:r w:rsidR="005853A9">
        <w:t xml:space="preserve"> and </w:t>
      </w:r>
      <w:r w:rsidRPr="001A3D2B">
        <w:t>other sources accounted for only 5.68%. Average Price index was 30.14%</w:t>
      </w:r>
      <w:r w:rsidR="00A37C1D">
        <w:t>. The</w:t>
      </w:r>
      <w:r w:rsidR="003A1917">
        <w:t xml:space="preserve"> </w:t>
      </w:r>
      <w:r w:rsidRPr="001A3D2B">
        <w:t>number</w:t>
      </w:r>
      <w:r w:rsidR="00427468">
        <w:t xml:space="preserve"> of </w:t>
      </w:r>
      <w:r w:rsidRPr="001A3D2B">
        <w:t>references in</w:t>
      </w:r>
      <w:r w:rsidR="003A1917">
        <w:t xml:space="preserve"> the </w:t>
      </w:r>
      <w:r w:rsidRPr="001A3D2B">
        <w:t>first ranking 10 periodicals cited by</w:t>
      </w:r>
      <w:r w:rsidR="003A1917">
        <w:t xml:space="preserve"> the </w:t>
      </w:r>
      <w:r w:rsidRPr="001A3D2B">
        <w:t>five journals made up 34.53%</w:t>
      </w:r>
      <w:r w:rsidR="00427468">
        <w:t xml:space="preserve"> of </w:t>
      </w:r>
      <w:r w:rsidR="003A1917">
        <w:t xml:space="preserve">the </w:t>
      </w:r>
      <w:r w:rsidRPr="001A3D2B">
        <w:t>total references cited. Geographically,</w:t>
      </w:r>
      <w:r w:rsidR="003A1917">
        <w:t xml:space="preserve"> the </w:t>
      </w:r>
      <w:r w:rsidRPr="001A3D2B">
        <w:t>five journals covered 6 continents with 42 countries or regions. Conclusion: Andrology journals have a wide coverage</w:t>
      </w:r>
      <w:r w:rsidR="00427468">
        <w:t xml:space="preserve"> of </w:t>
      </w:r>
      <w:r w:rsidRPr="001A3D2B">
        <w:t>literatures, which are related to reproductive medicine, urology, endocrinology</w:t>
      </w:r>
      <w:r w:rsidR="005853A9">
        <w:t xml:space="preserve"> and </w:t>
      </w:r>
      <w:r w:rsidRPr="001A3D2B">
        <w:t>biochemistry. References in andrology journals are mainly periodicals</w:t>
      </w:r>
      <w:r w:rsidR="005853A9">
        <w:t xml:space="preserve"> and </w:t>
      </w:r>
      <w:r w:rsidRPr="001A3D2B">
        <w:t>are relatively old. US, China</w:t>
      </w:r>
      <w:r w:rsidR="005853A9">
        <w:t xml:space="preserve"> and </w:t>
      </w:r>
      <w:r w:rsidRPr="001A3D2B">
        <w:t>Japan lead</w:t>
      </w:r>
      <w:r w:rsidR="003A1917">
        <w:t xml:space="preserve"> the </w:t>
      </w:r>
      <w:r w:rsidRPr="001A3D2B">
        <w:t>world in andrology researches for</w:t>
      </w:r>
      <w:r w:rsidR="003A1917">
        <w:t xml:space="preserve"> the </w:t>
      </w:r>
      <w:r w:rsidRPr="001A3D2B">
        <w:t>number</w:t>
      </w:r>
      <w:r w:rsidR="00427468">
        <w:t xml:space="preserve"> of </w:t>
      </w:r>
      <w:r w:rsidRPr="001A3D2B">
        <w:t>papers published.</w:t>
      </w:r>
    </w:p>
    <w:p w:rsidR="003474F2" w:rsidRPr="001A3D2B" w:rsidRDefault="003474F2" w:rsidP="003474F2">
      <w:pPr>
        <w:pStyle w:val="a3"/>
      </w:pPr>
      <w:r w:rsidRPr="001A3D2B">
        <w:t xml:space="preserve">Keywords: Analysis, Andrology, Bibliometric, Biochemistry, China, Citation Analysis, Citations, Demand, First, Impact, Information, Japan, Journal, Journals, Lead, Literature, Management, Medical Literature, Medicine, Papers, Patterns, Periodicals, </w:t>
      </w:r>
      <w:r w:rsidRPr="001A3D2B">
        <w:lastRenderedPageBreak/>
        <w:t>Ranking, Science Citation Index</w:t>
      </w:r>
      <w:r w:rsidR="008C1C37">
        <w:t>, US,</w:t>
      </w:r>
      <w:r w:rsidRPr="001A3D2B">
        <w:t xml:space="preserve"> Utilization</w:t>
      </w:r>
    </w:p>
    <w:p w:rsidR="00FB195A" w:rsidRPr="001A3D2B" w:rsidRDefault="00FB195A" w:rsidP="00FB195A">
      <w:pPr>
        <w:pStyle w:val="1"/>
      </w:pPr>
      <w:r w:rsidRPr="001A3D2B">
        <w:br w:type="page"/>
      </w:r>
      <w:bookmarkStart w:id="555" w:name="_Toc420814565"/>
      <w:r w:rsidRPr="001A3D2B">
        <w:lastRenderedPageBreak/>
        <w:t xml:space="preserve">Title: </w:t>
      </w:r>
      <w:r w:rsidRPr="00FB195A">
        <w:t>Archives</w:t>
      </w:r>
      <w:r w:rsidR="00427468">
        <w:t xml:space="preserve"> of </w:t>
      </w:r>
      <w:r w:rsidRPr="00FB195A">
        <w:t>Budo</w:t>
      </w:r>
      <w:bookmarkEnd w:id="555"/>
    </w:p>
    <w:p w:rsidR="00FB195A" w:rsidRPr="00F219CA" w:rsidRDefault="00FB195A" w:rsidP="00FB195A">
      <w:pPr>
        <w:pStyle w:val="12"/>
      </w:pPr>
      <w:r w:rsidRPr="00F219CA">
        <w:t xml:space="preserve">Full Journal Title: </w:t>
      </w:r>
      <w:hyperlink r:id="rId1075" w:history="1">
        <w:r w:rsidRPr="00FB195A">
          <w:rPr>
            <w:rStyle w:val="a5"/>
            <w:iCs/>
            <w:kern w:val="0"/>
          </w:rPr>
          <w:t>Archives</w:t>
        </w:r>
        <w:r w:rsidR="00427468">
          <w:rPr>
            <w:rStyle w:val="a5"/>
            <w:iCs/>
            <w:kern w:val="0"/>
          </w:rPr>
          <w:t xml:space="preserve"> of </w:t>
        </w:r>
        <w:r w:rsidRPr="00FB195A">
          <w:rPr>
            <w:rStyle w:val="a5"/>
            <w:iCs/>
            <w:kern w:val="0"/>
          </w:rPr>
          <w:t>Budo</w:t>
        </w:r>
      </w:hyperlink>
    </w:p>
    <w:p w:rsidR="00FB195A" w:rsidRPr="001A3D2B" w:rsidRDefault="00FB195A" w:rsidP="00FB195A">
      <w:pPr>
        <w:pStyle w:val="12"/>
      </w:pPr>
      <w:r w:rsidRPr="001A3D2B">
        <w:t xml:space="preserve">ISO Abbreviated Title: </w:t>
      </w:r>
    </w:p>
    <w:p w:rsidR="00FB195A" w:rsidRPr="001A3D2B" w:rsidRDefault="00FB195A" w:rsidP="00FB195A">
      <w:pPr>
        <w:pStyle w:val="12"/>
      </w:pPr>
      <w:r w:rsidRPr="001A3D2B">
        <w:t xml:space="preserve">JCR Abbreviated Title: </w:t>
      </w:r>
    </w:p>
    <w:p w:rsidR="00FB195A" w:rsidRPr="001A3D2B" w:rsidRDefault="00FB195A" w:rsidP="00FB195A">
      <w:pPr>
        <w:pStyle w:val="12"/>
      </w:pPr>
      <w:r>
        <w:t xml:space="preserve">ISSN: </w:t>
      </w:r>
    </w:p>
    <w:p w:rsidR="00FB195A" w:rsidRPr="001A3D2B" w:rsidRDefault="00FB195A" w:rsidP="00FB195A">
      <w:pPr>
        <w:pStyle w:val="12"/>
      </w:pPr>
      <w:r w:rsidRPr="001A3D2B">
        <w:t xml:space="preserve">Issues/Year: </w:t>
      </w:r>
    </w:p>
    <w:p w:rsidR="00FB195A" w:rsidRPr="001A3D2B" w:rsidRDefault="00FB195A" w:rsidP="00FB195A">
      <w:pPr>
        <w:pStyle w:val="12"/>
      </w:pPr>
      <w:r w:rsidRPr="001A3D2B">
        <w:t xml:space="preserve">Journal Country/Territory: </w:t>
      </w:r>
    </w:p>
    <w:p w:rsidR="00FB195A" w:rsidRPr="001A3D2B" w:rsidRDefault="00FB195A" w:rsidP="00FB195A">
      <w:pPr>
        <w:pStyle w:val="12"/>
      </w:pPr>
      <w:r w:rsidRPr="001A3D2B">
        <w:t xml:space="preserve">Language: </w:t>
      </w:r>
    </w:p>
    <w:p w:rsidR="00FB195A" w:rsidRPr="001A3D2B" w:rsidRDefault="00FB195A" w:rsidP="00FB195A">
      <w:pPr>
        <w:pStyle w:val="12"/>
      </w:pPr>
      <w:r w:rsidRPr="001A3D2B">
        <w:t xml:space="preserve">Publisher: </w:t>
      </w:r>
    </w:p>
    <w:p w:rsidR="00FB195A" w:rsidRPr="001A3D2B" w:rsidRDefault="00FB195A" w:rsidP="00FB195A">
      <w:pPr>
        <w:pStyle w:val="12"/>
      </w:pPr>
      <w:r w:rsidRPr="001A3D2B">
        <w:t xml:space="preserve">Publisher Address: </w:t>
      </w:r>
    </w:p>
    <w:p w:rsidR="00FB195A" w:rsidRPr="001A3D2B" w:rsidRDefault="00FB195A" w:rsidP="00FB195A">
      <w:pPr>
        <w:pStyle w:val="12"/>
      </w:pPr>
      <w:r w:rsidRPr="001A3D2B">
        <w:t xml:space="preserve">Subject Categories: </w:t>
      </w:r>
    </w:p>
    <w:p w:rsidR="00FB195A" w:rsidRPr="001A3D2B" w:rsidRDefault="00FB195A" w:rsidP="00FB195A">
      <w:pPr>
        <w:pStyle w:val="12"/>
      </w:pPr>
      <w:r w:rsidRPr="001A3D2B">
        <w:t xml:space="preserve">: Impact Factor </w:t>
      </w:r>
    </w:p>
    <w:p w:rsidR="00FB195A" w:rsidRDefault="00FB195A" w:rsidP="00FB195A">
      <w:pPr>
        <w:pStyle w:val="a3"/>
        <w:rPr>
          <w:kern w:val="0"/>
        </w:rPr>
      </w:pPr>
      <w:r>
        <w:rPr>
          <w:rFonts w:hint="eastAsia"/>
          <w:kern w:val="0"/>
        </w:rPr>
        <w:t xml:space="preserve">? </w:t>
      </w:r>
      <w:r>
        <w:rPr>
          <w:kern w:val="0"/>
        </w:rPr>
        <w:t>Barczynski, B.J. (2010), Preferences</w:t>
      </w:r>
      <w:r w:rsidR="00427468">
        <w:rPr>
          <w:kern w:val="0"/>
        </w:rPr>
        <w:t xml:space="preserve"> of </w:t>
      </w:r>
      <w:r w:rsidR="003A1917">
        <w:rPr>
          <w:kern w:val="0"/>
        </w:rPr>
        <w:t xml:space="preserve">the </w:t>
      </w:r>
      <w:r>
        <w:rPr>
          <w:kern w:val="0"/>
        </w:rPr>
        <w:t>employees</w:t>
      </w:r>
      <w:r w:rsidR="00427468">
        <w:rPr>
          <w:kern w:val="0"/>
        </w:rPr>
        <w:t xml:space="preserve"> of </w:t>
      </w:r>
      <w:r w:rsidR="003A1917">
        <w:rPr>
          <w:kern w:val="0"/>
        </w:rPr>
        <w:t xml:space="preserve">the </w:t>
      </w:r>
      <w:r>
        <w:rPr>
          <w:kern w:val="0"/>
        </w:rPr>
        <w:t>Polish Academies</w:t>
      </w:r>
      <w:r w:rsidR="00427468">
        <w:rPr>
          <w:kern w:val="0"/>
        </w:rPr>
        <w:t xml:space="preserve"> of </w:t>
      </w:r>
      <w:r>
        <w:rPr>
          <w:kern w:val="0"/>
        </w:rPr>
        <w:t>Physical Education concerning articles published in Polish journals on sports science</w:t>
      </w:r>
      <w:r w:rsidR="005853A9">
        <w:rPr>
          <w:kern w:val="0"/>
        </w:rPr>
        <w:t xml:space="preserve"> and </w:t>
      </w:r>
      <w:r>
        <w:rPr>
          <w:kern w:val="0"/>
        </w:rPr>
        <w:t>sports medicine, included in</w:t>
      </w:r>
      <w:r w:rsidR="003A1917">
        <w:rPr>
          <w:kern w:val="0"/>
        </w:rPr>
        <w:t xml:space="preserve"> the </w:t>
      </w:r>
      <w:r>
        <w:rPr>
          <w:kern w:val="0"/>
        </w:rPr>
        <w:t>ministerial list - contribution to scientometrics analyses from</w:t>
      </w:r>
      <w:r w:rsidR="003A1917">
        <w:rPr>
          <w:kern w:val="0"/>
        </w:rPr>
        <w:t xml:space="preserve"> the </w:t>
      </w:r>
      <w:r>
        <w:rPr>
          <w:kern w:val="0"/>
        </w:rPr>
        <w:t>perspective</w:t>
      </w:r>
      <w:r w:rsidR="00427468">
        <w:rPr>
          <w:kern w:val="0"/>
        </w:rPr>
        <w:t xml:space="preserve"> of </w:t>
      </w:r>
      <w:r w:rsidR="003A1917">
        <w:rPr>
          <w:kern w:val="0"/>
        </w:rPr>
        <w:t xml:space="preserve">the </w:t>
      </w:r>
      <w:r>
        <w:rPr>
          <w:kern w:val="0"/>
        </w:rPr>
        <w:t>educational aim</w:t>
      </w:r>
      <w:r w:rsidR="005853A9">
        <w:rPr>
          <w:kern w:val="0"/>
        </w:rPr>
        <w:t xml:space="preserve"> and</w:t>
      </w:r>
      <w:r w:rsidR="00427468">
        <w:rPr>
          <w:kern w:val="0"/>
        </w:rPr>
        <w:t xml:space="preserve"> of </w:t>
      </w:r>
      <w:r w:rsidR="003A1917">
        <w:rPr>
          <w:kern w:val="0"/>
        </w:rPr>
        <w:t xml:space="preserve">the </w:t>
      </w:r>
      <w:r>
        <w:rPr>
          <w:kern w:val="0"/>
        </w:rPr>
        <w:t>process</w:t>
      </w:r>
      <w:r w:rsidR="00427468">
        <w:rPr>
          <w:kern w:val="0"/>
        </w:rPr>
        <w:t xml:space="preserve"> of </w:t>
      </w:r>
      <w:r>
        <w:rPr>
          <w:kern w:val="0"/>
        </w:rPr>
        <w:t>creation</w:t>
      </w:r>
      <w:r w:rsidR="00427468">
        <w:rPr>
          <w:kern w:val="0"/>
        </w:rPr>
        <w:t xml:space="preserve"> of </w:t>
      </w:r>
      <w:r w:rsidR="003A1917">
        <w:rPr>
          <w:kern w:val="0"/>
        </w:rPr>
        <w:t xml:space="preserve">the </w:t>
      </w:r>
      <w:r>
        <w:rPr>
          <w:kern w:val="0"/>
        </w:rPr>
        <w:t xml:space="preserve">knowledge society. </w:t>
      </w:r>
      <w:r w:rsidRPr="00FB195A">
        <w:rPr>
          <w:i/>
          <w:iCs/>
          <w:kern w:val="0"/>
        </w:rPr>
        <w:t>Archives</w:t>
      </w:r>
      <w:r w:rsidR="00427468">
        <w:rPr>
          <w:i/>
          <w:iCs/>
          <w:kern w:val="0"/>
        </w:rPr>
        <w:t xml:space="preserve"> of </w:t>
      </w:r>
      <w:r w:rsidRPr="00FB195A">
        <w:rPr>
          <w:i/>
          <w:iCs/>
          <w:kern w:val="0"/>
        </w:rPr>
        <w:t>Budo</w:t>
      </w:r>
      <w:r>
        <w:rPr>
          <w:kern w:val="0"/>
        </w:rPr>
        <w:t xml:space="preserve">, </w:t>
      </w:r>
      <w:r>
        <w:rPr>
          <w:b/>
          <w:bCs/>
          <w:kern w:val="0"/>
        </w:rPr>
        <w:t>6</w:t>
      </w:r>
      <w:r>
        <w:rPr>
          <w:kern w:val="0"/>
        </w:rPr>
        <w:t xml:space="preserve"> (2), 101-110.</w:t>
      </w:r>
    </w:p>
    <w:p w:rsidR="00FB195A" w:rsidRDefault="00FB195A" w:rsidP="00FB195A">
      <w:pPr>
        <w:pStyle w:val="a3"/>
        <w:rPr>
          <w:kern w:val="0"/>
        </w:rPr>
      </w:pPr>
      <w:r>
        <w:rPr>
          <w:rFonts w:hint="eastAsia"/>
          <w:kern w:val="0"/>
        </w:rPr>
        <w:t xml:space="preserve">Full Text: </w:t>
      </w:r>
      <w:hyperlink r:id="rId1076" w:history="1">
        <w:r w:rsidRPr="00FB195A">
          <w:rPr>
            <w:rStyle w:val="a5"/>
            <w:kern w:val="0"/>
          </w:rPr>
          <w:t>2010\Arc Bud6, 101.pdf</w:t>
        </w:r>
      </w:hyperlink>
    </w:p>
    <w:p w:rsidR="00FB195A" w:rsidRDefault="00FB195A" w:rsidP="00FB195A">
      <w:pPr>
        <w:pStyle w:val="a3"/>
        <w:rPr>
          <w:kern w:val="0"/>
        </w:rPr>
      </w:pPr>
      <w:r>
        <w:rPr>
          <w:kern w:val="0"/>
        </w:rPr>
        <w:t>Abstract: Background</w:t>
      </w:r>
      <w:r w:rsidR="005853A9">
        <w:rPr>
          <w:kern w:val="0"/>
        </w:rPr>
        <w:t xml:space="preserve"> and </w:t>
      </w:r>
      <w:r>
        <w:rPr>
          <w:kern w:val="0"/>
        </w:rPr>
        <w:t>Study Aim One</w:t>
      </w:r>
      <w:r w:rsidR="00427468">
        <w:rPr>
          <w:kern w:val="0"/>
        </w:rPr>
        <w:t xml:space="preserve"> of </w:t>
      </w:r>
      <w:r w:rsidR="003A1917">
        <w:rPr>
          <w:kern w:val="0"/>
        </w:rPr>
        <w:t xml:space="preserve">the </w:t>
      </w:r>
      <w:r>
        <w:rPr>
          <w:kern w:val="0"/>
        </w:rPr>
        <w:t>key elements</w:t>
      </w:r>
      <w:r w:rsidR="00427468">
        <w:rPr>
          <w:kern w:val="0"/>
        </w:rPr>
        <w:t xml:space="preserve"> of </w:t>
      </w:r>
      <w:r>
        <w:rPr>
          <w:kern w:val="0"/>
        </w:rPr>
        <w:t>evaluation</w:t>
      </w:r>
      <w:r w:rsidR="00427468">
        <w:rPr>
          <w:kern w:val="0"/>
        </w:rPr>
        <w:t xml:space="preserve"> of </w:t>
      </w:r>
      <w:r>
        <w:rPr>
          <w:kern w:val="0"/>
        </w:rPr>
        <w:t>achievements obtained by scientists</w:t>
      </w:r>
      <w:r w:rsidR="005853A9">
        <w:rPr>
          <w:kern w:val="0"/>
        </w:rPr>
        <w:t xml:space="preserve"> and </w:t>
      </w:r>
      <w:r>
        <w:rPr>
          <w:kern w:val="0"/>
        </w:rPr>
        <w:t>scientific institutions are</w:t>
      </w:r>
      <w:r w:rsidR="003A1917">
        <w:rPr>
          <w:kern w:val="0"/>
        </w:rPr>
        <w:t xml:space="preserve"> the </w:t>
      </w:r>
      <w:r>
        <w:rPr>
          <w:kern w:val="0"/>
        </w:rPr>
        <w:t>scientific articles published in journals included in</w:t>
      </w:r>
      <w:r w:rsidR="003A1917">
        <w:rPr>
          <w:kern w:val="0"/>
        </w:rPr>
        <w:t xml:space="preserve"> the </w:t>
      </w:r>
      <w:r w:rsidR="00700038">
        <w:rPr>
          <w:kern w:val="0"/>
        </w:rPr>
        <w:t>‘</w:t>
      </w:r>
      <w:r>
        <w:rPr>
          <w:kern w:val="0"/>
        </w:rPr>
        <w:t>ministerial list</w:t>
      </w:r>
      <w:r w:rsidR="00700038">
        <w:rPr>
          <w:kern w:val="0"/>
        </w:rPr>
        <w:t>’</w:t>
      </w:r>
      <w:r>
        <w:rPr>
          <w:kern w:val="0"/>
        </w:rPr>
        <w:t>. In Poland,</w:t>
      </w:r>
      <w:r w:rsidR="003A1917">
        <w:rPr>
          <w:kern w:val="0"/>
        </w:rPr>
        <w:t xml:space="preserve"> the </w:t>
      </w:r>
      <w:r>
        <w:rPr>
          <w:kern w:val="0"/>
        </w:rPr>
        <w:t>evaluation is conducted in two categories: (A) journals listed in Journal Citation Report (10-30 scores), (B) Polish or foreign journals mentioned in</w:t>
      </w:r>
      <w:r w:rsidR="003A1917">
        <w:rPr>
          <w:kern w:val="0"/>
        </w:rPr>
        <w:t xml:space="preserve"> the </w:t>
      </w:r>
      <w:r w:rsidR="00700038">
        <w:rPr>
          <w:kern w:val="0"/>
        </w:rPr>
        <w:t>‘</w:t>
      </w:r>
      <w:r>
        <w:rPr>
          <w:kern w:val="0"/>
        </w:rPr>
        <w:t>ministerial list</w:t>
      </w:r>
      <w:r w:rsidR="00700038">
        <w:rPr>
          <w:kern w:val="0"/>
        </w:rPr>
        <w:t>’</w:t>
      </w:r>
      <w:r>
        <w:rPr>
          <w:kern w:val="0"/>
        </w:rPr>
        <w:t xml:space="preserve"> (1-6 scores). It is hard to reliably estimate motives crucial for</w:t>
      </w:r>
      <w:r w:rsidR="003A1917">
        <w:rPr>
          <w:kern w:val="0"/>
        </w:rPr>
        <w:t xml:space="preserve"> the </w:t>
      </w:r>
      <w:r>
        <w:rPr>
          <w:kern w:val="0"/>
        </w:rPr>
        <w:t>decision on publication</w:t>
      </w:r>
      <w:r w:rsidR="00427468">
        <w:rPr>
          <w:kern w:val="0"/>
        </w:rPr>
        <w:t xml:space="preserve"> of </w:t>
      </w:r>
      <w:r>
        <w:rPr>
          <w:kern w:val="0"/>
        </w:rPr>
        <w:t>a selected article in a given scientific journal. It is much easier to establish</w:t>
      </w:r>
      <w:r w:rsidR="003A1917">
        <w:rPr>
          <w:kern w:val="0"/>
        </w:rPr>
        <w:t xml:space="preserve"> the </w:t>
      </w:r>
      <w:r>
        <w:rPr>
          <w:kern w:val="0"/>
        </w:rPr>
        <w:t>preferences</w:t>
      </w:r>
      <w:r w:rsidR="00427468">
        <w:rPr>
          <w:kern w:val="0"/>
        </w:rPr>
        <w:t xml:space="preserve"> of </w:t>
      </w:r>
      <w:r>
        <w:rPr>
          <w:kern w:val="0"/>
        </w:rPr>
        <w:t>authors concerning their choice</w:t>
      </w:r>
      <w:r w:rsidR="00427468">
        <w:rPr>
          <w:kern w:val="0"/>
        </w:rPr>
        <w:t xml:space="preserve"> of </w:t>
      </w:r>
      <w:r>
        <w:rPr>
          <w:kern w:val="0"/>
        </w:rPr>
        <w:t>journal to publish</w:t>
      </w:r>
      <w:r w:rsidR="003A1917">
        <w:rPr>
          <w:kern w:val="0"/>
        </w:rPr>
        <w:t xml:space="preserve"> the </w:t>
      </w:r>
      <w:r>
        <w:rPr>
          <w:kern w:val="0"/>
        </w:rPr>
        <w:t>article. Pragmatics requires that</w:t>
      </w:r>
      <w:r w:rsidR="003A1917">
        <w:rPr>
          <w:kern w:val="0"/>
        </w:rPr>
        <w:t xml:space="preserve"> the </w:t>
      </w:r>
      <w:r>
        <w:rPr>
          <w:kern w:val="0"/>
        </w:rPr>
        <w:t>author employed at a university</w:t>
      </w:r>
      <w:r w:rsidR="00427468">
        <w:rPr>
          <w:kern w:val="0"/>
        </w:rPr>
        <w:t xml:space="preserve"> of </w:t>
      </w:r>
      <w:r>
        <w:rPr>
          <w:kern w:val="0"/>
        </w:rPr>
        <w:t>specific type preferred journals</w:t>
      </w:r>
      <w:r w:rsidR="00427468">
        <w:rPr>
          <w:kern w:val="0"/>
        </w:rPr>
        <w:t xml:space="preserve"> of </w:t>
      </w:r>
      <w:r>
        <w:rPr>
          <w:kern w:val="0"/>
        </w:rPr>
        <w:t>category (A)</w:t>
      </w:r>
      <w:r w:rsidR="005853A9">
        <w:rPr>
          <w:kern w:val="0"/>
        </w:rPr>
        <w:t xml:space="preserve"> and </w:t>
      </w:r>
      <w:r>
        <w:rPr>
          <w:kern w:val="0"/>
        </w:rPr>
        <w:t>those</w:t>
      </w:r>
      <w:r w:rsidR="00427468">
        <w:rPr>
          <w:kern w:val="0"/>
        </w:rPr>
        <w:t xml:space="preserve"> of </w:t>
      </w:r>
      <w:r w:rsidR="003A1917">
        <w:rPr>
          <w:kern w:val="0"/>
        </w:rPr>
        <w:t xml:space="preserve">the </w:t>
      </w:r>
      <w:r>
        <w:rPr>
          <w:kern w:val="0"/>
        </w:rPr>
        <w:t>highest score in category (B)</w:t>
      </w:r>
      <w:r w:rsidR="005853A9">
        <w:rPr>
          <w:kern w:val="0"/>
        </w:rPr>
        <w:t xml:space="preserve"> and </w:t>
      </w:r>
      <w:r>
        <w:rPr>
          <w:kern w:val="0"/>
        </w:rPr>
        <w:t>corresponding to</w:t>
      </w:r>
      <w:r w:rsidR="003A1917">
        <w:rPr>
          <w:kern w:val="0"/>
        </w:rPr>
        <w:t xml:space="preserve"> the </w:t>
      </w:r>
      <w:r>
        <w:rPr>
          <w:kern w:val="0"/>
        </w:rPr>
        <w:t>type</w:t>
      </w:r>
      <w:r w:rsidR="00427468">
        <w:rPr>
          <w:kern w:val="0"/>
        </w:rPr>
        <w:t xml:space="preserve"> of </w:t>
      </w:r>
      <w:r>
        <w:rPr>
          <w:kern w:val="0"/>
        </w:rPr>
        <w:t>university at</w:t>
      </w:r>
      <w:r w:rsidR="003A1917">
        <w:rPr>
          <w:kern w:val="0"/>
        </w:rPr>
        <w:t xml:space="preserve"> the </w:t>
      </w:r>
      <w:r>
        <w:rPr>
          <w:kern w:val="0"/>
        </w:rPr>
        <w:t>same time. As far as Polish Academies</w:t>
      </w:r>
      <w:r w:rsidR="00427468">
        <w:rPr>
          <w:kern w:val="0"/>
        </w:rPr>
        <w:t xml:space="preserve"> of </w:t>
      </w:r>
      <w:r>
        <w:rPr>
          <w:kern w:val="0"/>
        </w:rPr>
        <w:t>Physical Education (APE) are concerned (there are 6</w:t>
      </w:r>
      <w:r w:rsidR="00427468">
        <w:rPr>
          <w:kern w:val="0"/>
        </w:rPr>
        <w:t xml:space="preserve"> of </w:t>
      </w:r>
      <w:r>
        <w:rPr>
          <w:kern w:val="0"/>
        </w:rPr>
        <w:t>them), corresponding journals are</w:t>
      </w:r>
      <w:r w:rsidR="003A1917">
        <w:rPr>
          <w:kern w:val="0"/>
        </w:rPr>
        <w:t xml:space="preserve"> the </w:t>
      </w:r>
      <w:r>
        <w:rPr>
          <w:kern w:val="0"/>
        </w:rPr>
        <w:t>ones on sports science</w:t>
      </w:r>
      <w:r w:rsidR="005853A9">
        <w:rPr>
          <w:kern w:val="0"/>
        </w:rPr>
        <w:t xml:space="preserve"> and </w:t>
      </w:r>
      <w:r>
        <w:rPr>
          <w:kern w:val="0"/>
        </w:rPr>
        <w:t>sports medicine</w:t>
      </w:r>
      <w:r w:rsidR="00A37C1D">
        <w:rPr>
          <w:kern w:val="0"/>
        </w:rPr>
        <w:t>. The</w:t>
      </w:r>
      <w:r w:rsidR="003A1917">
        <w:rPr>
          <w:kern w:val="0"/>
        </w:rPr>
        <w:t xml:space="preserve"> </w:t>
      </w:r>
      <w:r>
        <w:rPr>
          <w:kern w:val="0"/>
        </w:rPr>
        <w:t>aim</w:t>
      </w:r>
      <w:r w:rsidR="00427468">
        <w:rPr>
          <w:kern w:val="0"/>
        </w:rPr>
        <w:t xml:space="preserve"> of </w:t>
      </w:r>
      <w:r>
        <w:rPr>
          <w:kern w:val="0"/>
        </w:rPr>
        <w:t>this paper was to find out whether</w:t>
      </w:r>
      <w:r w:rsidR="003A1917">
        <w:rPr>
          <w:kern w:val="0"/>
        </w:rPr>
        <w:t xml:space="preserve"> the </w:t>
      </w:r>
      <w:r>
        <w:rPr>
          <w:kern w:val="0"/>
        </w:rPr>
        <w:t>employees</w:t>
      </w:r>
      <w:r w:rsidR="00427468">
        <w:rPr>
          <w:kern w:val="0"/>
        </w:rPr>
        <w:t xml:space="preserve"> of </w:t>
      </w:r>
      <w:r w:rsidR="003A1917">
        <w:rPr>
          <w:kern w:val="0"/>
        </w:rPr>
        <w:t xml:space="preserve">the </w:t>
      </w:r>
      <w:r>
        <w:rPr>
          <w:kern w:val="0"/>
        </w:rPr>
        <w:t>Polish Academies</w:t>
      </w:r>
      <w:r w:rsidR="00427468">
        <w:rPr>
          <w:kern w:val="0"/>
        </w:rPr>
        <w:t xml:space="preserve"> of </w:t>
      </w:r>
      <w:r>
        <w:rPr>
          <w:kern w:val="0"/>
        </w:rPr>
        <w:t>Physical Education publish their articles in journals on sports science</w:t>
      </w:r>
      <w:r w:rsidR="005853A9">
        <w:rPr>
          <w:kern w:val="0"/>
        </w:rPr>
        <w:t xml:space="preserve"> and </w:t>
      </w:r>
      <w:r>
        <w:rPr>
          <w:kern w:val="0"/>
        </w:rPr>
        <w:t>sports medicine, included in</w:t>
      </w:r>
      <w:r w:rsidR="003A1917">
        <w:rPr>
          <w:kern w:val="0"/>
        </w:rPr>
        <w:t xml:space="preserve"> the </w:t>
      </w:r>
      <w:r>
        <w:rPr>
          <w:kern w:val="0"/>
        </w:rPr>
        <w:t>ministerial list, primarily</w:t>
      </w:r>
      <w:r w:rsidR="00427468">
        <w:rPr>
          <w:kern w:val="0"/>
        </w:rPr>
        <w:t xml:space="preserve"> of </w:t>
      </w:r>
      <w:r w:rsidR="003A1917">
        <w:rPr>
          <w:kern w:val="0"/>
        </w:rPr>
        <w:t xml:space="preserve">the </w:t>
      </w:r>
      <w:r>
        <w:rPr>
          <w:kern w:val="0"/>
        </w:rPr>
        <w:t>highest value. Material/Methods:</w:t>
      </w:r>
      <w:r w:rsidR="003A1917">
        <w:rPr>
          <w:kern w:val="0"/>
        </w:rPr>
        <w:t xml:space="preserve"> the </w:t>
      </w:r>
      <w:r>
        <w:rPr>
          <w:kern w:val="0"/>
        </w:rPr>
        <w:t>study applied</w:t>
      </w:r>
      <w:r w:rsidR="003A1917">
        <w:rPr>
          <w:kern w:val="0"/>
        </w:rPr>
        <w:t xml:space="preserve"> the </w:t>
      </w:r>
      <w:r>
        <w:rPr>
          <w:kern w:val="0"/>
        </w:rPr>
        <w:t>method</w:t>
      </w:r>
      <w:r w:rsidR="00427468">
        <w:rPr>
          <w:kern w:val="0"/>
        </w:rPr>
        <w:t xml:space="preserve"> of </w:t>
      </w:r>
      <w:r>
        <w:rPr>
          <w:kern w:val="0"/>
        </w:rPr>
        <w:t>documentation analysis</w:t>
      </w:r>
      <w:r w:rsidR="00A37C1D">
        <w:rPr>
          <w:kern w:val="0"/>
        </w:rPr>
        <w:t>. The</w:t>
      </w:r>
      <w:r w:rsidR="003A1917">
        <w:rPr>
          <w:kern w:val="0"/>
        </w:rPr>
        <w:t xml:space="preserve"> </w:t>
      </w:r>
      <w:r>
        <w:rPr>
          <w:kern w:val="0"/>
        </w:rPr>
        <w:t>analysis included original papers, reviews, short communications, editorials</w:t>
      </w:r>
      <w:r w:rsidR="005853A9">
        <w:rPr>
          <w:kern w:val="0"/>
        </w:rPr>
        <w:t xml:space="preserve"> and </w:t>
      </w:r>
      <w:r>
        <w:rPr>
          <w:kern w:val="0"/>
        </w:rPr>
        <w:t>letters to</w:t>
      </w:r>
      <w:r w:rsidR="003A1917">
        <w:rPr>
          <w:kern w:val="0"/>
        </w:rPr>
        <w:t xml:space="preserve"> the </w:t>
      </w:r>
      <w:r>
        <w:rPr>
          <w:kern w:val="0"/>
        </w:rPr>
        <w:t>Editors published by</w:t>
      </w:r>
      <w:r w:rsidR="003A1917">
        <w:rPr>
          <w:kern w:val="0"/>
        </w:rPr>
        <w:t xml:space="preserve"> the </w:t>
      </w:r>
      <w:r>
        <w:rPr>
          <w:kern w:val="0"/>
        </w:rPr>
        <w:t>employees</w:t>
      </w:r>
      <w:r w:rsidR="00427468">
        <w:rPr>
          <w:kern w:val="0"/>
        </w:rPr>
        <w:t xml:space="preserve"> of </w:t>
      </w:r>
      <w:r>
        <w:rPr>
          <w:kern w:val="0"/>
        </w:rPr>
        <w:t xml:space="preserve">Polish higher schools in 30 Polish journals concerning sports </w:t>
      </w:r>
      <w:r>
        <w:rPr>
          <w:kern w:val="0"/>
        </w:rPr>
        <w:lastRenderedPageBreak/>
        <w:t>science</w:t>
      </w:r>
      <w:r w:rsidR="005853A9">
        <w:rPr>
          <w:kern w:val="0"/>
        </w:rPr>
        <w:t xml:space="preserve"> and </w:t>
      </w:r>
      <w:r>
        <w:rPr>
          <w:kern w:val="0"/>
        </w:rPr>
        <w:t>sports medicine</w:t>
      </w:r>
      <w:r w:rsidR="00A37C1D">
        <w:rPr>
          <w:kern w:val="0"/>
        </w:rPr>
        <w:t>. The</w:t>
      </w:r>
      <w:r w:rsidR="003A1917">
        <w:rPr>
          <w:kern w:val="0"/>
        </w:rPr>
        <w:t xml:space="preserve"> </w:t>
      </w:r>
      <w:r>
        <w:rPr>
          <w:kern w:val="0"/>
        </w:rPr>
        <w:t>preference criterion was established on</w:t>
      </w:r>
      <w:r w:rsidR="003A1917">
        <w:rPr>
          <w:kern w:val="0"/>
        </w:rPr>
        <w:t xml:space="preserve"> the </w:t>
      </w:r>
      <w:r>
        <w:rPr>
          <w:kern w:val="0"/>
        </w:rPr>
        <w:t>basis</w:t>
      </w:r>
      <w:r w:rsidR="00427468">
        <w:rPr>
          <w:kern w:val="0"/>
        </w:rPr>
        <w:t xml:space="preserve"> of </w:t>
      </w:r>
      <w:r w:rsidR="003A1917">
        <w:rPr>
          <w:kern w:val="0"/>
        </w:rPr>
        <w:t xml:space="preserve">the </w:t>
      </w:r>
      <w:r>
        <w:rPr>
          <w:kern w:val="0"/>
        </w:rPr>
        <w:t>number</w:t>
      </w:r>
      <w:r w:rsidR="00427468">
        <w:rPr>
          <w:kern w:val="0"/>
        </w:rPr>
        <w:t xml:space="preserve"> of </w:t>
      </w:r>
      <w:r>
        <w:rPr>
          <w:kern w:val="0"/>
        </w:rPr>
        <w:t>articles published by authors</w:t>
      </w:r>
      <w:r w:rsidR="00427468">
        <w:rPr>
          <w:kern w:val="0"/>
        </w:rPr>
        <w:t xml:space="preserve"> of </w:t>
      </w:r>
      <w:r>
        <w:rPr>
          <w:kern w:val="0"/>
        </w:rPr>
        <w:t>one kind</w:t>
      </w:r>
      <w:r w:rsidR="00427468">
        <w:rPr>
          <w:kern w:val="0"/>
        </w:rPr>
        <w:t xml:space="preserve"> of </w:t>
      </w:r>
      <w:r>
        <w:rPr>
          <w:kern w:val="0"/>
        </w:rPr>
        <w:t>Polish higher schools in a specific, scored journal from</w:t>
      </w:r>
      <w:r w:rsidR="003A1917">
        <w:rPr>
          <w:kern w:val="0"/>
        </w:rPr>
        <w:t xml:space="preserve"> the </w:t>
      </w:r>
      <w:r w:rsidR="00700038">
        <w:rPr>
          <w:kern w:val="0"/>
        </w:rPr>
        <w:t>‘</w:t>
      </w:r>
      <w:r>
        <w:rPr>
          <w:kern w:val="0"/>
        </w:rPr>
        <w:t>ministerial list</w:t>
      </w:r>
      <w:r w:rsidR="00700038">
        <w:rPr>
          <w:kern w:val="0"/>
        </w:rPr>
        <w:t>’</w:t>
      </w:r>
      <w:r>
        <w:rPr>
          <w:kern w:val="0"/>
        </w:rPr>
        <w:t>. Results: In</w:t>
      </w:r>
      <w:r w:rsidR="003A1917">
        <w:rPr>
          <w:kern w:val="0"/>
        </w:rPr>
        <w:t xml:space="preserve"> the </w:t>
      </w:r>
      <w:r>
        <w:rPr>
          <w:kern w:val="0"/>
        </w:rPr>
        <w:t>year 2008,</w:t>
      </w:r>
      <w:r w:rsidR="003A1917">
        <w:rPr>
          <w:kern w:val="0"/>
        </w:rPr>
        <w:t xml:space="preserve"> the </w:t>
      </w:r>
      <w:r>
        <w:rPr>
          <w:kern w:val="0"/>
        </w:rPr>
        <w:t>employees</w:t>
      </w:r>
      <w:r w:rsidR="00427468">
        <w:rPr>
          <w:kern w:val="0"/>
        </w:rPr>
        <w:t xml:space="preserve"> of </w:t>
      </w:r>
      <w:r>
        <w:rPr>
          <w:kern w:val="0"/>
        </w:rPr>
        <w:t>67 Polish higher schools published 751 articles in total (original papers, reviews, short communications, editorials</w:t>
      </w:r>
      <w:r w:rsidR="005853A9">
        <w:rPr>
          <w:kern w:val="0"/>
        </w:rPr>
        <w:t xml:space="preserve"> and </w:t>
      </w:r>
      <w:r>
        <w:rPr>
          <w:kern w:val="0"/>
        </w:rPr>
        <w:t>letters to</w:t>
      </w:r>
      <w:r w:rsidR="003A1917">
        <w:rPr>
          <w:kern w:val="0"/>
        </w:rPr>
        <w:t xml:space="preserve"> the </w:t>
      </w:r>
      <w:r>
        <w:rPr>
          <w:kern w:val="0"/>
        </w:rPr>
        <w:t>Editors) in 30 Polish journals on sports science</w:t>
      </w:r>
      <w:r w:rsidR="005853A9">
        <w:rPr>
          <w:kern w:val="0"/>
        </w:rPr>
        <w:t xml:space="preserve"> and </w:t>
      </w:r>
      <w:r>
        <w:rPr>
          <w:kern w:val="0"/>
        </w:rPr>
        <w:t>sports medicine, included in</w:t>
      </w:r>
      <w:r w:rsidR="003A1917">
        <w:rPr>
          <w:kern w:val="0"/>
        </w:rPr>
        <w:t xml:space="preserve"> the </w:t>
      </w:r>
      <w:r w:rsidR="00700038">
        <w:rPr>
          <w:kern w:val="0"/>
        </w:rPr>
        <w:t>‘</w:t>
      </w:r>
      <w:r>
        <w:rPr>
          <w:kern w:val="0"/>
        </w:rPr>
        <w:t>ministerial list</w:t>
      </w:r>
      <w:r w:rsidR="00700038">
        <w:rPr>
          <w:kern w:val="0"/>
        </w:rPr>
        <w:t>’</w:t>
      </w:r>
      <w:r>
        <w:rPr>
          <w:kern w:val="0"/>
        </w:rPr>
        <w:t>. Authors published their articles mainly in 4-score journals (55%)</w:t>
      </w:r>
      <w:r w:rsidR="005853A9">
        <w:rPr>
          <w:kern w:val="0"/>
        </w:rPr>
        <w:t xml:space="preserve"> and </w:t>
      </w:r>
      <w:r>
        <w:rPr>
          <w:kern w:val="0"/>
        </w:rPr>
        <w:t>only 2%</w:t>
      </w:r>
      <w:r w:rsidR="00427468">
        <w:rPr>
          <w:kern w:val="0"/>
        </w:rPr>
        <w:t xml:space="preserve"> of </w:t>
      </w:r>
      <w:r>
        <w:rPr>
          <w:kern w:val="0"/>
        </w:rPr>
        <w:t>all articles were published in 10-score journals. Conclusions: Possibility</w:t>
      </w:r>
      <w:r w:rsidR="00427468">
        <w:rPr>
          <w:kern w:val="0"/>
        </w:rPr>
        <w:t xml:space="preserve"> of </w:t>
      </w:r>
      <w:r>
        <w:rPr>
          <w:kern w:val="0"/>
        </w:rPr>
        <w:t>deepen analysis</w:t>
      </w:r>
      <w:r w:rsidR="00427468">
        <w:rPr>
          <w:kern w:val="0"/>
        </w:rPr>
        <w:t xml:space="preserve"> of </w:t>
      </w:r>
      <w:r w:rsidR="003A1917">
        <w:rPr>
          <w:kern w:val="0"/>
        </w:rPr>
        <w:t xml:space="preserve">the </w:t>
      </w:r>
      <w:r>
        <w:rPr>
          <w:kern w:val="0"/>
        </w:rPr>
        <w:t>preferences</w:t>
      </w:r>
      <w:r w:rsidR="00427468">
        <w:rPr>
          <w:kern w:val="0"/>
        </w:rPr>
        <w:t xml:space="preserve"> of </w:t>
      </w:r>
      <w:r w:rsidR="003A1917">
        <w:rPr>
          <w:kern w:val="0"/>
        </w:rPr>
        <w:t xml:space="preserve">the </w:t>
      </w:r>
      <w:r>
        <w:rPr>
          <w:kern w:val="0"/>
        </w:rPr>
        <w:t>employees</w:t>
      </w:r>
      <w:r w:rsidR="00427468">
        <w:rPr>
          <w:kern w:val="0"/>
        </w:rPr>
        <w:t xml:space="preserve"> of </w:t>
      </w:r>
      <w:r w:rsidR="003A1917">
        <w:rPr>
          <w:kern w:val="0"/>
        </w:rPr>
        <w:t xml:space="preserve">the </w:t>
      </w:r>
      <w:r>
        <w:rPr>
          <w:kern w:val="0"/>
        </w:rPr>
        <w:t>Polish APEs</w:t>
      </w:r>
      <w:r w:rsidR="005853A9">
        <w:rPr>
          <w:kern w:val="0"/>
        </w:rPr>
        <w:t xml:space="preserve"> and </w:t>
      </w:r>
      <w:r>
        <w:rPr>
          <w:kern w:val="0"/>
        </w:rPr>
        <w:t>other Polish higher schools concerning publication</w:t>
      </w:r>
      <w:r w:rsidR="00427468">
        <w:rPr>
          <w:kern w:val="0"/>
        </w:rPr>
        <w:t xml:space="preserve"> of </w:t>
      </w:r>
      <w:r w:rsidR="003A1917">
        <w:rPr>
          <w:kern w:val="0"/>
        </w:rPr>
        <w:t xml:space="preserve">the </w:t>
      </w:r>
      <w:r>
        <w:rPr>
          <w:kern w:val="0"/>
        </w:rPr>
        <w:t>articles in Polish journals on sports science</w:t>
      </w:r>
      <w:r w:rsidR="005853A9">
        <w:rPr>
          <w:kern w:val="0"/>
        </w:rPr>
        <w:t xml:space="preserve"> and </w:t>
      </w:r>
      <w:r>
        <w:rPr>
          <w:kern w:val="0"/>
        </w:rPr>
        <w:t>sports medicine from</w:t>
      </w:r>
      <w:r w:rsidR="003A1917">
        <w:rPr>
          <w:kern w:val="0"/>
        </w:rPr>
        <w:t xml:space="preserve"> the </w:t>
      </w:r>
      <w:r>
        <w:rPr>
          <w:kern w:val="0"/>
        </w:rPr>
        <w:t>ministerial list is limited by</w:t>
      </w:r>
      <w:r w:rsidR="003A1917">
        <w:rPr>
          <w:kern w:val="0"/>
        </w:rPr>
        <w:t xml:space="preserve"> the </w:t>
      </w:r>
      <w:r>
        <w:rPr>
          <w:kern w:val="0"/>
        </w:rPr>
        <w:t>lack</w:t>
      </w:r>
      <w:r w:rsidR="00427468">
        <w:rPr>
          <w:kern w:val="0"/>
        </w:rPr>
        <w:t xml:space="preserve"> of </w:t>
      </w:r>
      <w:r>
        <w:rPr>
          <w:kern w:val="0"/>
        </w:rPr>
        <w:t>access to basic information on authors (scientific speciality, research field, accomplished</w:t>
      </w:r>
      <w:r w:rsidR="005853A9">
        <w:rPr>
          <w:kern w:val="0"/>
        </w:rPr>
        <w:t xml:space="preserve"> and </w:t>
      </w:r>
      <w:r>
        <w:rPr>
          <w:kern w:val="0"/>
        </w:rPr>
        <w:t>implemented grants, publications etc.). Thus, this relatively high publishing activity</w:t>
      </w:r>
      <w:r w:rsidR="00427468">
        <w:rPr>
          <w:kern w:val="0"/>
        </w:rPr>
        <w:t xml:space="preserve"> of </w:t>
      </w:r>
      <w:r w:rsidR="003A1917">
        <w:rPr>
          <w:kern w:val="0"/>
        </w:rPr>
        <w:t xml:space="preserve">the </w:t>
      </w:r>
      <w:r>
        <w:rPr>
          <w:kern w:val="0"/>
        </w:rPr>
        <w:t>employees</w:t>
      </w:r>
      <w:r w:rsidR="00427468">
        <w:rPr>
          <w:kern w:val="0"/>
        </w:rPr>
        <w:t xml:space="preserve"> of </w:t>
      </w:r>
      <w:r>
        <w:rPr>
          <w:kern w:val="0"/>
        </w:rPr>
        <w:t>universities, medical universities, non-public higher schools, technical universities</w:t>
      </w:r>
      <w:r w:rsidR="005853A9">
        <w:rPr>
          <w:kern w:val="0"/>
        </w:rPr>
        <w:t xml:space="preserve"> and </w:t>
      </w:r>
      <w:r>
        <w:rPr>
          <w:kern w:val="0"/>
        </w:rPr>
        <w:t>pedagogical universities in journals devoted to</w:t>
      </w:r>
      <w:r w:rsidR="003A1917">
        <w:rPr>
          <w:kern w:val="0"/>
        </w:rPr>
        <w:t xml:space="preserve"> the </w:t>
      </w:r>
      <w:r>
        <w:rPr>
          <w:kern w:val="0"/>
        </w:rPr>
        <w:t>aforementioned subjects should be explained by interesting field</w:t>
      </w:r>
      <w:r w:rsidR="00427468">
        <w:rPr>
          <w:kern w:val="0"/>
        </w:rPr>
        <w:t xml:space="preserve"> of </w:t>
      </w:r>
      <w:r>
        <w:rPr>
          <w:kern w:val="0"/>
        </w:rPr>
        <w:t>research, not only for APEs</w:t>
      </w:r>
      <w:r w:rsidR="00700038">
        <w:rPr>
          <w:kern w:val="0"/>
        </w:rPr>
        <w:t>’</w:t>
      </w:r>
      <w:r>
        <w:rPr>
          <w:kern w:val="0"/>
        </w:rPr>
        <w:t xml:space="preserve"> employees. This interest demonstrated by authors is</w:t>
      </w:r>
      <w:r w:rsidR="003A1917">
        <w:rPr>
          <w:kern w:val="0"/>
        </w:rPr>
        <w:t xml:space="preserve"> the </w:t>
      </w:r>
      <w:r>
        <w:rPr>
          <w:kern w:val="0"/>
        </w:rPr>
        <w:t>proof that</w:t>
      </w:r>
      <w:r w:rsidR="003A1917">
        <w:rPr>
          <w:kern w:val="0"/>
        </w:rPr>
        <w:t xml:space="preserve"> the </w:t>
      </w:r>
      <w:r>
        <w:rPr>
          <w:kern w:val="0"/>
        </w:rPr>
        <w:t>subject</w:t>
      </w:r>
      <w:r w:rsidR="00427468">
        <w:rPr>
          <w:kern w:val="0"/>
        </w:rPr>
        <w:t xml:space="preserve"> of </w:t>
      </w:r>
      <w:r>
        <w:rPr>
          <w:kern w:val="0"/>
        </w:rPr>
        <w:t>articles published in sports science</w:t>
      </w:r>
      <w:r w:rsidR="005853A9">
        <w:rPr>
          <w:kern w:val="0"/>
        </w:rPr>
        <w:t xml:space="preserve"> and </w:t>
      </w:r>
      <w:r>
        <w:rPr>
          <w:kern w:val="0"/>
        </w:rPr>
        <w:t>sports medicine journals is being taken at many Polish APEs. However, there are no empirical arguments allowing for a clear statement that articles are written only or mostly by specialists</w:t>
      </w:r>
      <w:r w:rsidR="00427468">
        <w:rPr>
          <w:kern w:val="0"/>
        </w:rPr>
        <w:t xml:space="preserve"> of </w:t>
      </w:r>
      <w:r>
        <w:rPr>
          <w:kern w:val="0"/>
        </w:rPr>
        <w:t>sports science</w:t>
      </w:r>
      <w:r w:rsidR="005853A9">
        <w:rPr>
          <w:kern w:val="0"/>
        </w:rPr>
        <w:t xml:space="preserve"> and </w:t>
      </w:r>
      <w:r>
        <w:rPr>
          <w:kern w:val="0"/>
        </w:rPr>
        <w:t>sports medicine.</w:t>
      </w:r>
    </w:p>
    <w:p w:rsidR="00FB195A" w:rsidRDefault="00FB195A" w:rsidP="00FB195A">
      <w:pPr>
        <w:pStyle w:val="a3"/>
        <w:rPr>
          <w:kern w:val="0"/>
        </w:rPr>
      </w:pPr>
      <w:r>
        <w:rPr>
          <w:kern w:val="0"/>
        </w:rPr>
        <w:t>Keywords: Author, Citation, Contribution, Evaluation, Institutions, Journals, Medicine, Preferences, Publication, Publications, Research, Science, Scientometrics, Sports Science</w:t>
      </w:r>
    </w:p>
    <w:p w:rsidR="00DF35F9" w:rsidRDefault="00DF35F9" w:rsidP="00DF35F9">
      <w:pPr>
        <w:pStyle w:val="a3"/>
        <w:rPr>
          <w:kern w:val="0"/>
        </w:rPr>
      </w:pPr>
      <w:r>
        <w:rPr>
          <w:rFonts w:hint="eastAsia"/>
          <w:kern w:val="0"/>
        </w:rPr>
        <w:t xml:space="preserve">? </w:t>
      </w:r>
      <w:r>
        <w:rPr>
          <w:kern w:val="0"/>
        </w:rPr>
        <w:t>Barczynski, B.J., Bak, R., Czamy, W.</w:t>
      </w:r>
      <w:r w:rsidR="005853A9">
        <w:rPr>
          <w:kern w:val="0"/>
        </w:rPr>
        <w:t xml:space="preserve"> and </w:t>
      </w:r>
      <w:r>
        <w:rPr>
          <w:kern w:val="0"/>
        </w:rPr>
        <w:t>Kalina, R.M. (2011), Preferred by Polish students</w:t>
      </w:r>
      <w:r w:rsidR="00427468">
        <w:rPr>
          <w:kern w:val="0"/>
        </w:rPr>
        <w:t xml:space="preserve"> of </w:t>
      </w:r>
      <w:r>
        <w:rPr>
          <w:kern w:val="0"/>
        </w:rPr>
        <w:t>physical education subject matter</w:t>
      </w:r>
      <w:r w:rsidR="005853A9">
        <w:rPr>
          <w:kern w:val="0"/>
        </w:rPr>
        <w:t xml:space="preserve"> and </w:t>
      </w:r>
      <w:r>
        <w:rPr>
          <w:kern w:val="0"/>
        </w:rPr>
        <w:t>type</w:t>
      </w:r>
      <w:r w:rsidR="00427468">
        <w:rPr>
          <w:kern w:val="0"/>
        </w:rPr>
        <w:t xml:space="preserve"> of </w:t>
      </w:r>
      <w:r>
        <w:rPr>
          <w:kern w:val="0"/>
        </w:rPr>
        <w:t xml:space="preserve">bachelor theses in 2008-2010. </w:t>
      </w:r>
      <w:r>
        <w:rPr>
          <w:i/>
          <w:iCs/>
          <w:kern w:val="0"/>
        </w:rPr>
        <w:t>Archives</w:t>
      </w:r>
      <w:r w:rsidR="00427468">
        <w:rPr>
          <w:i/>
          <w:iCs/>
          <w:kern w:val="0"/>
        </w:rPr>
        <w:t xml:space="preserve"> of </w:t>
      </w:r>
      <w:r>
        <w:rPr>
          <w:i/>
          <w:iCs/>
          <w:kern w:val="0"/>
        </w:rPr>
        <w:t>Budo</w:t>
      </w:r>
      <w:r>
        <w:rPr>
          <w:kern w:val="0"/>
        </w:rPr>
        <w:t xml:space="preserve">, </w:t>
      </w:r>
      <w:r>
        <w:rPr>
          <w:b/>
          <w:bCs/>
          <w:kern w:val="0"/>
        </w:rPr>
        <w:t>7</w:t>
      </w:r>
      <w:r>
        <w:rPr>
          <w:kern w:val="0"/>
        </w:rPr>
        <w:t xml:space="preserve"> (1), 41-47.</w:t>
      </w:r>
    </w:p>
    <w:p w:rsidR="00DF35F9" w:rsidRDefault="00DF35F9" w:rsidP="00DF35F9">
      <w:pPr>
        <w:pStyle w:val="a3"/>
        <w:rPr>
          <w:kern w:val="0"/>
        </w:rPr>
      </w:pPr>
      <w:r>
        <w:rPr>
          <w:rFonts w:hint="eastAsia"/>
          <w:kern w:val="0"/>
        </w:rPr>
        <w:t xml:space="preserve">Full Text: </w:t>
      </w:r>
      <w:hyperlink r:id="rId1077" w:history="1">
        <w:r w:rsidRPr="00DC6238">
          <w:rPr>
            <w:rStyle w:val="a5"/>
            <w:kern w:val="0"/>
          </w:rPr>
          <w:t>2011\Arc Bud7, 41.pdf</w:t>
        </w:r>
      </w:hyperlink>
    </w:p>
    <w:p w:rsidR="00DF35F9" w:rsidRDefault="00DF35F9" w:rsidP="00DF35F9">
      <w:pPr>
        <w:pStyle w:val="a3"/>
        <w:rPr>
          <w:kern w:val="0"/>
        </w:rPr>
      </w:pPr>
      <w:r>
        <w:rPr>
          <w:kern w:val="0"/>
        </w:rPr>
        <w:t>Abstract: Background One</w:t>
      </w:r>
      <w:r w:rsidR="00427468">
        <w:rPr>
          <w:kern w:val="0"/>
        </w:rPr>
        <w:t xml:space="preserve"> of </w:t>
      </w:r>
      <w:r w:rsidR="003A1917">
        <w:rPr>
          <w:kern w:val="0"/>
        </w:rPr>
        <w:t xml:space="preserve">the </w:t>
      </w:r>
      <w:r>
        <w:rPr>
          <w:kern w:val="0"/>
        </w:rPr>
        <w:t>simplest, synthetic criteria for evaluation</w:t>
      </w:r>
      <w:r w:rsidR="003A1917">
        <w:rPr>
          <w:kern w:val="0"/>
        </w:rPr>
        <w:t xml:space="preserve"> the </w:t>
      </w:r>
      <w:r>
        <w:rPr>
          <w:kern w:val="0"/>
        </w:rPr>
        <w:t>candidate</w:t>
      </w:r>
      <w:r w:rsidR="00700038">
        <w:rPr>
          <w:kern w:val="0"/>
        </w:rPr>
        <w:t>’</w:t>
      </w:r>
      <w:r w:rsidR="00C13DDC">
        <w:rPr>
          <w:kern w:val="0"/>
        </w:rPr>
        <w:t>s</w:t>
      </w:r>
      <w:r>
        <w:rPr>
          <w:kern w:val="0"/>
        </w:rPr>
        <w:t xml:space="preserve"> qualifications for employment as a teacher</w:t>
      </w:r>
      <w:r w:rsidR="00427468">
        <w:rPr>
          <w:kern w:val="0"/>
        </w:rPr>
        <w:t xml:space="preserve"> of </w:t>
      </w:r>
      <w:r>
        <w:rPr>
          <w:kern w:val="0"/>
        </w:rPr>
        <w:t>a particular subject is</w:t>
      </w:r>
      <w:r w:rsidR="003A1917">
        <w:rPr>
          <w:kern w:val="0"/>
        </w:rPr>
        <w:t xml:space="preserve"> the </w:t>
      </w:r>
      <w:r>
        <w:rPr>
          <w:kern w:val="0"/>
        </w:rPr>
        <w:t>quality</w:t>
      </w:r>
      <w:r w:rsidR="00427468">
        <w:rPr>
          <w:kern w:val="0"/>
        </w:rPr>
        <w:t xml:space="preserve"> of </w:t>
      </w:r>
      <w:r>
        <w:rPr>
          <w:kern w:val="0"/>
        </w:rPr>
        <w:t>bachelor</w:t>
      </w:r>
      <w:r w:rsidR="00700038">
        <w:rPr>
          <w:kern w:val="0"/>
        </w:rPr>
        <w:t>’</w:t>
      </w:r>
      <w:r w:rsidR="00C13DDC">
        <w:rPr>
          <w:kern w:val="0"/>
        </w:rPr>
        <w:t>s</w:t>
      </w:r>
      <w:r>
        <w:rPr>
          <w:kern w:val="0"/>
        </w:rPr>
        <w:t xml:space="preserve"> or master</w:t>
      </w:r>
      <w:r w:rsidR="00700038">
        <w:rPr>
          <w:kern w:val="0"/>
        </w:rPr>
        <w:t>’</w:t>
      </w:r>
      <w:r w:rsidR="00C13DDC">
        <w:rPr>
          <w:kern w:val="0"/>
        </w:rPr>
        <w:t>s</w:t>
      </w:r>
      <w:r>
        <w:rPr>
          <w:kern w:val="0"/>
        </w:rPr>
        <w:t xml:space="preserve"> thesis. This recommendation can be deduced from</w:t>
      </w:r>
      <w:r w:rsidR="003A1917">
        <w:rPr>
          <w:kern w:val="0"/>
        </w:rPr>
        <w:t xml:space="preserve"> the </w:t>
      </w:r>
      <w:r>
        <w:rPr>
          <w:kern w:val="0"/>
        </w:rPr>
        <w:t>main arrangements</w:t>
      </w:r>
      <w:r w:rsidR="00427468">
        <w:rPr>
          <w:kern w:val="0"/>
        </w:rPr>
        <w:t xml:space="preserve"> of </w:t>
      </w:r>
      <w:r w:rsidR="003A1917">
        <w:rPr>
          <w:kern w:val="0"/>
        </w:rPr>
        <w:t xml:space="preserve">the </w:t>
      </w:r>
      <w:r>
        <w:rPr>
          <w:kern w:val="0"/>
        </w:rPr>
        <w:t>European Qualifications Framework (EQF)</w:t>
      </w:r>
      <w:r w:rsidR="00A37C1D">
        <w:rPr>
          <w:kern w:val="0"/>
        </w:rPr>
        <w:t>. The</w:t>
      </w:r>
      <w:r w:rsidR="003A1917">
        <w:rPr>
          <w:kern w:val="0"/>
        </w:rPr>
        <w:t xml:space="preserve"> </w:t>
      </w:r>
      <w:r>
        <w:rPr>
          <w:kern w:val="0"/>
        </w:rPr>
        <w:t>aim</w:t>
      </w:r>
      <w:r w:rsidR="00427468">
        <w:rPr>
          <w:kern w:val="0"/>
        </w:rPr>
        <w:t xml:space="preserve"> of </w:t>
      </w:r>
      <w:r>
        <w:rPr>
          <w:kern w:val="0"/>
        </w:rPr>
        <w:t>study is to answer three questions: (1) Is</w:t>
      </w:r>
      <w:r w:rsidR="003A1917">
        <w:rPr>
          <w:kern w:val="0"/>
        </w:rPr>
        <w:t xml:space="preserve"> the </w:t>
      </w:r>
      <w:r>
        <w:rPr>
          <w:kern w:val="0"/>
        </w:rPr>
        <w:t>type</w:t>
      </w:r>
      <w:r w:rsidR="00427468">
        <w:rPr>
          <w:kern w:val="0"/>
        </w:rPr>
        <w:t xml:space="preserve"> of </w:t>
      </w:r>
      <w:r>
        <w:rPr>
          <w:kern w:val="0"/>
        </w:rPr>
        <w:t>school a significant differentiating factor preferred by students</w:t>
      </w:r>
      <w:r w:rsidR="00427468">
        <w:rPr>
          <w:kern w:val="0"/>
        </w:rPr>
        <w:t xml:space="preserve"> of </w:t>
      </w:r>
      <w:r>
        <w:rPr>
          <w:kern w:val="0"/>
        </w:rPr>
        <w:t>subject matter</w:t>
      </w:r>
      <w:r w:rsidR="005853A9">
        <w:rPr>
          <w:kern w:val="0"/>
        </w:rPr>
        <w:t xml:space="preserve"> and </w:t>
      </w:r>
      <w:r>
        <w:rPr>
          <w:kern w:val="0"/>
        </w:rPr>
        <w:t>type</w:t>
      </w:r>
      <w:r w:rsidR="00427468">
        <w:rPr>
          <w:kern w:val="0"/>
        </w:rPr>
        <w:t xml:space="preserve"> of </w:t>
      </w:r>
      <w:r>
        <w:rPr>
          <w:kern w:val="0"/>
        </w:rPr>
        <w:t>bachelor thesis? (2) Is certain subject matter</w:t>
      </w:r>
      <w:r w:rsidR="00427468">
        <w:rPr>
          <w:kern w:val="0"/>
        </w:rPr>
        <w:t xml:space="preserve"> of </w:t>
      </w:r>
      <w:r>
        <w:rPr>
          <w:kern w:val="0"/>
        </w:rPr>
        <w:t>bachelor theses particularly dominate in</w:t>
      </w:r>
      <w:r w:rsidR="003A1917">
        <w:rPr>
          <w:kern w:val="0"/>
        </w:rPr>
        <w:t xml:space="preserve"> the </w:t>
      </w:r>
      <w:r>
        <w:rPr>
          <w:kern w:val="0"/>
        </w:rPr>
        <w:t>preferences</w:t>
      </w:r>
      <w:r w:rsidR="00427468">
        <w:rPr>
          <w:kern w:val="0"/>
        </w:rPr>
        <w:t xml:space="preserve"> of </w:t>
      </w:r>
      <w:r>
        <w:rPr>
          <w:kern w:val="0"/>
        </w:rPr>
        <w:t>students? (3) Do students regardless</w:t>
      </w:r>
      <w:r w:rsidR="00427468">
        <w:rPr>
          <w:kern w:val="0"/>
        </w:rPr>
        <w:t xml:space="preserve"> of </w:t>
      </w:r>
      <w:r w:rsidR="003A1917">
        <w:rPr>
          <w:kern w:val="0"/>
        </w:rPr>
        <w:t xml:space="preserve">the </w:t>
      </w:r>
      <w:r>
        <w:rPr>
          <w:kern w:val="0"/>
        </w:rPr>
        <w:t>type</w:t>
      </w:r>
      <w:r w:rsidR="00427468">
        <w:rPr>
          <w:kern w:val="0"/>
        </w:rPr>
        <w:t xml:space="preserve"> of </w:t>
      </w:r>
      <w:r>
        <w:rPr>
          <w:kern w:val="0"/>
        </w:rPr>
        <w:t>school definitely prefer one</w:t>
      </w:r>
      <w:r w:rsidR="00427468">
        <w:rPr>
          <w:kern w:val="0"/>
        </w:rPr>
        <w:t xml:space="preserve"> of </w:t>
      </w:r>
      <w:r>
        <w:rPr>
          <w:kern w:val="0"/>
        </w:rPr>
        <w:t>possible forms</w:t>
      </w:r>
      <w:r w:rsidR="00427468">
        <w:rPr>
          <w:kern w:val="0"/>
        </w:rPr>
        <w:t xml:space="preserve"> of </w:t>
      </w:r>
      <w:r>
        <w:rPr>
          <w:kern w:val="0"/>
        </w:rPr>
        <w:t>graduation - writing</w:t>
      </w:r>
      <w:r w:rsidR="005853A9">
        <w:rPr>
          <w:kern w:val="0"/>
        </w:rPr>
        <w:t xml:space="preserve"> and </w:t>
      </w:r>
      <w:r w:rsidR="003A1917">
        <w:rPr>
          <w:kern w:val="0"/>
        </w:rPr>
        <w:t xml:space="preserve">the </w:t>
      </w:r>
      <w:r>
        <w:rPr>
          <w:kern w:val="0"/>
        </w:rPr>
        <w:t>defence</w:t>
      </w:r>
      <w:r w:rsidR="00427468">
        <w:rPr>
          <w:kern w:val="0"/>
        </w:rPr>
        <w:t xml:space="preserve"> of </w:t>
      </w:r>
      <w:r>
        <w:rPr>
          <w:kern w:val="0"/>
        </w:rPr>
        <w:t>bachelor thesis or graduation exam? Material/Methods: Randomization was based on intentional selection. 176 graduates from Faculty</w:t>
      </w:r>
      <w:r w:rsidR="00427468">
        <w:rPr>
          <w:kern w:val="0"/>
        </w:rPr>
        <w:t xml:space="preserve"> of </w:t>
      </w:r>
      <w:r>
        <w:rPr>
          <w:kern w:val="0"/>
        </w:rPr>
        <w:t>Physical Education, University</w:t>
      </w:r>
      <w:r w:rsidR="00427468">
        <w:rPr>
          <w:kern w:val="0"/>
        </w:rPr>
        <w:t xml:space="preserve"> </w:t>
      </w:r>
      <w:r w:rsidR="00427468">
        <w:rPr>
          <w:kern w:val="0"/>
        </w:rPr>
        <w:lastRenderedPageBreak/>
        <w:t xml:space="preserve">of </w:t>
      </w:r>
      <w:r>
        <w:rPr>
          <w:kern w:val="0"/>
        </w:rPr>
        <w:t>Rzeszow (UR) were examined</w:t>
      </w:r>
      <w:r w:rsidR="005853A9">
        <w:rPr>
          <w:kern w:val="0"/>
        </w:rPr>
        <w:t xml:space="preserve"> and </w:t>
      </w:r>
      <w:r>
        <w:rPr>
          <w:kern w:val="0"/>
        </w:rPr>
        <w:t>86 graduates from Faculty</w:t>
      </w:r>
      <w:r w:rsidR="00427468">
        <w:rPr>
          <w:kern w:val="0"/>
        </w:rPr>
        <w:t xml:space="preserve"> of </w:t>
      </w:r>
      <w:r>
        <w:rPr>
          <w:kern w:val="0"/>
        </w:rPr>
        <w:t>Physical Education, Pawel Wlodkowic University College in Plock (UC), who completed first cycle physical education studies in Poland in 2008-2010</w:t>
      </w:r>
      <w:r w:rsidR="00A37C1D">
        <w:rPr>
          <w:kern w:val="0"/>
        </w:rPr>
        <w:t>. The</w:t>
      </w:r>
      <w:r w:rsidR="003A1917">
        <w:rPr>
          <w:kern w:val="0"/>
        </w:rPr>
        <w:t xml:space="preserve"> </w:t>
      </w:r>
      <w:r>
        <w:rPr>
          <w:kern w:val="0"/>
        </w:rPr>
        <w:t>period</w:t>
      </w:r>
      <w:r w:rsidR="00427468">
        <w:rPr>
          <w:kern w:val="0"/>
        </w:rPr>
        <w:t xml:space="preserve"> of </w:t>
      </w:r>
      <w:r>
        <w:rPr>
          <w:kern w:val="0"/>
        </w:rPr>
        <w:t>functioning each</w:t>
      </w:r>
      <w:r w:rsidR="00427468">
        <w:rPr>
          <w:kern w:val="0"/>
        </w:rPr>
        <w:t xml:space="preserve"> of </w:t>
      </w:r>
      <w:r>
        <w:rPr>
          <w:kern w:val="0"/>
        </w:rPr>
        <w:t>these faculties did not exceed ten years. An anonymous questionnaire was used in</w:t>
      </w:r>
      <w:r w:rsidR="003A1917">
        <w:rPr>
          <w:kern w:val="0"/>
        </w:rPr>
        <w:t xml:space="preserve"> the </w:t>
      </w:r>
      <w:r>
        <w:rPr>
          <w:kern w:val="0"/>
        </w:rPr>
        <w:t>own elaboration. Results: UC graduates prefer subject matter</w:t>
      </w:r>
      <w:r w:rsidR="00427468">
        <w:rPr>
          <w:kern w:val="0"/>
        </w:rPr>
        <w:t xml:space="preserve"> of </w:t>
      </w:r>
      <w:r>
        <w:rPr>
          <w:kern w:val="0"/>
        </w:rPr>
        <w:t>bachelor theses specific to</w:t>
      </w:r>
      <w:r w:rsidR="003A1917">
        <w:rPr>
          <w:kern w:val="0"/>
        </w:rPr>
        <w:t xml:space="preserve"> the </w:t>
      </w:r>
      <w:r>
        <w:rPr>
          <w:kern w:val="0"/>
        </w:rPr>
        <w:t>education</w:t>
      </w:r>
      <w:r w:rsidR="00427468">
        <w:rPr>
          <w:kern w:val="0"/>
        </w:rPr>
        <w:t xml:space="preserve"> of </w:t>
      </w:r>
      <w:r>
        <w:rPr>
          <w:kern w:val="0"/>
        </w:rPr>
        <w:t>physical education: 59% concerns to</w:t>
      </w:r>
      <w:r w:rsidR="003A1917">
        <w:rPr>
          <w:kern w:val="0"/>
        </w:rPr>
        <w:t xml:space="preserve"> the </w:t>
      </w:r>
      <w:r>
        <w:rPr>
          <w:kern w:val="0"/>
        </w:rPr>
        <w:t>biological basis</w:t>
      </w:r>
      <w:r w:rsidR="00427468">
        <w:rPr>
          <w:kern w:val="0"/>
        </w:rPr>
        <w:t xml:space="preserve"> of </w:t>
      </w:r>
      <w:r>
        <w:rPr>
          <w:kern w:val="0"/>
        </w:rPr>
        <w:t>human development (dominate Kinesiology, Anatomy, Anthropology)</w:t>
      </w:r>
      <w:r w:rsidR="005853A9">
        <w:rPr>
          <w:kern w:val="0"/>
        </w:rPr>
        <w:t xml:space="preserve"> and </w:t>
      </w:r>
      <w:r>
        <w:rPr>
          <w:kern w:val="0"/>
        </w:rPr>
        <w:t>27%</w:t>
      </w:r>
      <w:r w:rsidR="00427468">
        <w:rPr>
          <w:kern w:val="0"/>
        </w:rPr>
        <w:t xml:space="preserve"> of </w:t>
      </w:r>
      <w:r>
        <w:rPr>
          <w:kern w:val="0"/>
        </w:rPr>
        <w:t>managing this development (dominate</w:t>
      </w:r>
      <w:r w:rsidR="003A1917">
        <w:rPr>
          <w:kern w:val="0"/>
        </w:rPr>
        <w:t xml:space="preserve"> the </w:t>
      </w:r>
      <w:r>
        <w:rPr>
          <w:kern w:val="0"/>
        </w:rPr>
        <w:t>methodology</w:t>
      </w:r>
      <w:r w:rsidR="00427468">
        <w:rPr>
          <w:kern w:val="0"/>
        </w:rPr>
        <w:t xml:space="preserve"> of </w:t>
      </w:r>
      <w:r>
        <w:rPr>
          <w:kern w:val="0"/>
        </w:rPr>
        <w:t>physical education, sport theory.) Furthermore 62%</w:t>
      </w:r>
      <w:r w:rsidR="00427468">
        <w:rPr>
          <w:kern w:val="0"/>
        </w:rPr>
        <w:t xml:space="preserve"> of </w:t>
      </w:r>
      <w:r>
        <w:rPr>
          <w:kern w:val="0"/>
        </w:rPr>
        <w:t>them as</w:t>
      </w:r>
      <w:r w:rsidR="003A1917">
        <w:rPr>
          <w:kern w:val="0"/>
        </w:rPr>
        <w:t xml:space="preserve"> the </w:t>
      </w:r>
      <w:r>
        <w:rPr>
          <w:kern w:val="0"/>
        </w:rPr>
        <w:t>proper form</w:t>
      </w:r>
      <w:r w:rsidR="00427468">
        <w:rPr>
          <w:kern w:val="0"/>
        </w:rPr>
        <w:t xml:space="preserve"> of </w:t>
      </w:r>
      <w:r>
        <w:rPr>
          <w:kern w:val="0"/>
        </w:rPr>
        <w:t>completion</w:t>
      </w:r>
      <w:r w:rsidR="00427468">
        <w:rPr>
          <w:kern w:val="0"/>
        </w:rPr>
        <w:t xml:space="preserve"> of </w:t>
      </w:r>
      <w:r w:rsidR="003A1917">
        <w:rPr>
          <w:kern w:val="0"/>
        </w:rPr>
        <w:t xml:space="preserve">the </w:t>
      </w:r>
      <w:r>
        <w:rPr>
          <w:kern w:val="0"/>
        </w:rPr>
        <w:t>studies point out writing</w:t>
      </w:r>
      <w:r w:rsidR="005853A9">
        <w:rPr>
          <w:kern w:val="0"/>
        </w:rPr>
        <w:t xml:space="preserve"> and </w:t>
      </w:r>
      <w:r w:rsidR="003A1917">
        <w:rPr>
          <w:kern w:val="0"/>
        </w:rPr>
        <w:t xml:space="preserve">the </w:t>
      </w:r>
      <w:r>
        <w:rPr>
          <w:kern w:val="0"/>
        </w:rPr>
        <w:t>defence</w:t>
      </w:r>
      <w:r w:rsidR="00427468">
        <w:rPr>
          <w:kern w:val="0"/>
        </w:rPr>
        <w:t xml:space="preserve"> of </w:t>
      </w:r>
      <w:r>
        <w:rPr>
          <w:kern w:val="0"/>
        </w:rPr>
        <w:t>bachelor thesis,</w:t>
      </w:r>
      <w:r w:rsidR="005853A9">
        <w:rPr>
          <w:kern w:val="0"/>
        </w:rPr>
        <w:t xml:space="preserve"> and </w:t>
      </w:r>
      <w:r>
        <w:rPr>
          <w:kern w:val="0"/>
        </w:rPr>
        <w:t>65% that it should be an empirical work, 7% declare theoretical. UR graduates prefer subject matter</w:t>
      </w:r>
      <w:r w:rsidR="00427468">
        <w:rPr>
          <w:kern w:val="0"/>
        </w:rPr>
        <w:t xml:space="preserve"> of </w:t>
      </w:r>
      <w:r>
        <w:rPr>
          <w:kern w:val="0"/>
        </w:rPr>
        <w:t>bachelor theses which are not qualify directly to</w:t>
      </w:r>
      <w:r w:rsidR="003A1917">
        <w:rPr>
          <w:kern w:val="0"/>
        </w:rPr>
        <w:t xml:space="preserve"> the </w:t>
      </w:r>
      <w:r>
        <w:rPr>
          <w:kern w:val="0"/>
        </w:rPr>
        <w:t>competence</w:t>
      </w:r>
      <w:r w:rsidR="00427468">
        <w:rPr>
          <w:kern w:val="0"/>
        </w:rPr>
        <w:t xml:space="preserve"> of </w:t>
      </w:r>
      <w:r w:rsidR="003A1917">
        <w:rPr>
          <w:kern w:val="0"/>
        </w:rPr>
        <w:t xml:space="preserve">the </w:t>
      </w:r>
      <w:r>
        <w:rPr>
          <w:kern w:val="0"/>
        </w:rPr>
        <w:t>physical education teacher (27%) or qualify indirectly i.e. history (17%); writing</w:t>
      </w:r>
      <w:r w:rsidR="005853A9">
        <w:rPr>
          <w:kern w:val="0"/>
        </w:rPr>
        <w:t xml:space="preserve"> and </w:t>
      </w:r>
      <w:r w:rsidR="003A1917">
        <w:rPr>
          <w:kern w:val="0"/>
        </w:rPr>
        <w:t xml:space="preserve">the </w:t>
      </w:r>
      <w:r>
        <w:rPr>
          <w:kern w:val="0"/>
        </w:rPr>
        <w:t>defence</w:t>
      </w:r>
      <w:r w:rsidR="00427468">
        <w:rPr>
          <w:kern w:val="0"/>
        </w:rPr>
        <w:t xml:space="preserve"> of </w:t>
      </w:r>
      <w:r>
        <w:rPr>
          <w:kern w:val="0"/>
        </w:rPr>
        <w:t>bachelor thesis considered respectively 62%</w:t>
      </w:r>
      <w:r w:rsidR="00427468">
        <w:rPr>
          <w:kern w:val="0"/>
        </w:rPr>
        <w:t xml:space="preserve"> of </w:t>
      </w:r>
      <w:r>
        <w:rPr>
          <w:kern w:val="0"/>
        </w:rPr>
        <w:t>them, 17% point out graduation exam. Empirical works prefer a 52%,</w:t>
      </w:r>
      <w:r w:rsidR="005853A9">
        <w:rPr>
          <w:kern w:val="0"/>
        </w:rPr>
        <w:t xml:space="preserve"> and </w:t>
      </w:r>
      <w:r>
        <w:rPr>
          <w:kern w:val="0"/>
        </w:rPr>
        <w:t>theoretical 48% respectively</w:t>
      </w:r>
      <w:r w:rsidR="00A37C1D">
        <w:rPr>
          <w:kern w:val="0"/>
        </w:rPr>
        <w:t>. The</w:t>
      </w:r>
      <w:r w:rsidR="003A1917">
        <w:rPr>
          <w:kern w:val="0"/>
        </w:rPr>
        <w:t xml:space="preserve"> </w:t>
      </w:r>
      <w:r>
        <w:rPr>
          <w:kern w:val="0"/>
        </w:rPr>
        <w:t>difference</w:t>
      </w:r>
      <w:r w:rsidR="00427468">
        <w:rPr>
          <w:kern w:val="0"/>
        </w:rPr>
        <w:t xml:space="preserve"> of </w:t>
      </w:r>
      <w:r>
        <w:rPr>
          <w:kern w:val="0"/>
        </w:rPr>
        <w:t>statements between graduates</w:t>
      </w:r>
      <w:r w:rsidR="00427468">
        <w:rPr>
          <w:kern w:val="0"/>
        </w:rPr>
        <w:t xml:space="preserve"> of </w:t>
      </w:r>
      <w:r>
        <w:rPr>
          <w:kern w:val="0"/>
        </w:rPr>
        <w:t>both types</w:t>
      </w:r>
      <w:r w:rsidR="00427468">
        <w:rPr>
          <w:kern w:val="0"/>
        </w:rPr>
        <w:t xml:space="preserve"> of </w:t>
      </w:r>
      <w:r>
        <w:rPr>
          <w:kern w:val="0"/>
        </w:rPr>
        <w:t>higher schools is statistically significant. Conclusions: Students preferences are primarily determined by scientific interests</w:t>
      </w:r>
      <w:r w:rsidR="005853A9">
        <w:rPr>
          <w:kern w:val="0"/>
        </w:rPr>
        <w:t xml:space="preserve"> and </w:t>
      </w:r>
      <w:r>
        <w:rPr>
          <w:kern w:val="0"/>
        </w:rPr>
        <w:t>research achievements</w:t>
      </w:r>
      <w:r w:rsidR="00427468">
        <w:rPr>
          <w:kern w:val="0"/>
        </w:rPr>
        <w:t xml:space="preserve"> of </w:t>
      </w:r>
      <w:r w:rsidR="003A1917">
        <w:rPr>
          <w:kern w:val="0"/>
        </w:rPr>
        <w:t xml:space="preserve">the </w:t>
      </w:r>
      <w:r>
        <w:rPr>
          <w:kern w:val="0"/>
        </w:rPr>
        <w:t>promoters</w:t>
      </w:r>
      <w:r w:rsidR="00427468">
        <w:rPr>
          <w:kern w:val="0"/>
        </w:rPr>
        <w:t xml:space="preserve"> of </w:t>
      </w:r>
      <w:r>
        <w:rPr>
          <w:kern w:val="0"/>
        </w:rPr>
        <w:t>their theses,</w:t>
      </w:r>
      <w:r w:rsidR="005853A9">
        <w:rPr>
          <w:kern w:val="0"/>
        </w:rPr>
        <w:t xml:space="preserve"> and </w:t>
      </w:r>
      <w:r>
        <w:rPr>
          <w:kern w:val="0"/>
        </w:rPr>
        <w:t>are related to</w:t>
      </w:r>
      <w:r w:rsidR="003A1917">
        <w:rPr>
          <w:kern w:val="0"/>
        </w:rPr>
        <w:t xml:space="preserve"> the </w:t>
      </w:r>
      <w:r>
        <w:rPr>
          <w:kern w:val="0"/>
        </w:rPr>
        <w:t>internal regulations</w:t>
      </w:r>
      <w:r w:rsidR="00427468">
        <w:rPr>
          <w:kern w:val="0"/>
        </w:rPr>
        <w:t xml:space="preserve"> of </w:t>
      </w:r>
      <w:r>
        <w:rPr>
          <w:kern w:val="0"/>
        </w:rPr>
        <w:t>higher schools.</w:t>
      </w:r>
    </w:p>
    <w:p w:rsidR="00DF35F9" w:rsidRDefault="00DF35F9" w:rsidP="00DF35F9">
      <w:pPr>
        <w:pStyle w:val="a3"/>
        <w:rPr>
          <w:kern w:val="0"/>
        </w:rPr>
      </w:pPr>
      <w:r>
        <w:rPr>
          <w:kern w:val="0"/>
        </w:rPr>
        <w:t>Keywords: Burnout, Development, Education, Educational Standards, European Qualifications Framework, History, Methodology, Physical Education Teachers</w:t>
      </w:r>
      <w:r w:rsidR="00700038">
        <w:rPr>
          <w:kern w:val="0"/>
        </w:rPr>
        <w:t>’</w:t>
      </w:r>
      <w:r>
        <w:rPr>
          <w:kern w:val="0"/>
        </w:rPr>
        <w:t xml:space="preserve"> Competences, Questionnaire, Research, Scientometrics, Students, Teachers, University, Writing</w:t>
      </w:r>
    </w:p>
    <w:p w:rsidR="00FE2F86" w:rsidRDefault="00FE2F86" w:rsidP="00FE2F86">
      <w:pPr>
        <w:pStyle w:val="a3"/>
        <w:rPr>
          <w:kern w:val="0"/>
          <w:szCs w:val="24"/>
        </w:rPr>
      </w:pPr>
      <w:r>
        <w:rPr>
          <w:rFonts w:hint="eastAsia"/>
          <w:kern w:val="0"/>
          <w:szCs w:val="24"/>
        </w:rPr>
        <w:t xml:space="preserve">? </w:t>
      </w:r>
      <w:r>
        <w:rPr>
          <w:kern w:val="0"/>
          <w:szCs w:val="24"/>
        </w:rPr>
        <w:t>Barczynski, B.J.</w:t>
      </w:r>
      <w:r w:rsidR="005853A9">
        <w:rPr>
          <w:kern w:val="0"/>
          <w:szCs w:val="24"/>
        </w:rPr>
        <w:t xml:space="preserve"> and </w:t>
      </w:r>
      <w:r>
        <w:rPr>
          <w:kern w:val="0"/>
          <w:szCs w:val="24"/>
        </w:rPr>
        <w:t>Rek, M. (2011), Evaluation in science - Index Copernicus case study</w:t>
      </w:r>
      <w:r w:rsidR="00427468">
        <w:rPr>
          <w:kern w:val="0"/>
          <w:szCs w:val="24"/>
        </w:rPr>
        <w:t xml:space="preserve"> of </w:t>
      </w:r>
      <w:r>
        <w:rPr>
          <w:kern w:val="0"/>
          <w:szCs w:val="24"/>
        </w:rPr>
        <w:t xml:space="preserve">multi-parametric evaluation system. </w:t>
      </w:r>
      <w:r>
        <w:rPr>
          <w:i/>
          <w:iCs/>
          <w:kern w:val="0"/>
          <w:szCs w:val="24"/>
        </w:rPr>
        <w:t>Archives</w:t>
      </w:r>
      <w:r w:rsidR="00427468">
        <w:rPr>
          <w:i/>
          <w:iCs/>
          <w:kern w:val="0"/>
          <w:szCs w:val="24"/>
        </w:rPr>
        <w:t xml:space="preserve"> of </w:t>
      </w:r>
      <w:r>
        <w:rPr>
          <w:i/>
          <w:iCs/>
          <w:kern w:val="0"/>
          <w:szCs w:val="24"/>
        </w:rPr>
        <w:t>Budo</w:t>
      </w:r>
      <w:r>
        <w:rPr>
          <w:kern w:val="0"/>
          <w:szCs w:val="24"/>
        </w:rPr>
        <w:t xml:space="preserve">, </w:t>
      </w:r>
      <w:r>
        <w:rPr>
          <w:b/>
          <w:bCs/>
          <w:kern w:val="0"/>
          <w:szCs w:val="24"/>
        </w:rPr>
        <w:t>7</w:t>
      </w:r>
      <w:r>
        <w:rPr>
          <w:kern w:val="0"/>
          <w:szCs w:val="24"/>
        </w:rPr>
        <w:t xml:space="preserve"> (2</w:t>
      </w:r>
      <w:r>
        <w:rPr>
          <w:rFonts w:hint="eastAsia"/>
          <w:kern w:val="0"/>
          <w:szCs w:val="24"/>
        </w:rPr>
        <w:t xml:space="preserve">), </w:t>
      </w:r>
      <w:r w:rsidRPr="00A93871">
        <w:rPr>
          <w:kern w:val="0"/>
          <w:szCs w:val="24"/>
        </w:rPr>
        <w:t>93-103</w:t>
      </w:r>
      <w:r>
        <w:rPr>
          <w:kern w:val="0"/>
          <w:szCs w:val="24"/>
        </w:rPr>
        <w:t>.</w:t>
      </w:r>
    </w:p>
    <w:p w:rsidR="00FE2F86" w:rsidRDefault="00FE2F86" w:rsidP="00FE2F86">
      <w:pPr>
        <w:pStyle w:val="a3"/>
        <w:rPr>
          <w:kern w:val="0"/>
        </w:rPr>
      </w:pPr>
      <w:r>
        <w:rPr>
          <w:rFonts w:hint="eastAsia"/>
          <w:kern w:val="0"/>
        </w:rPr>
        <w:t xml:space="preserve">Full Text: </w:t>
      </w:r>
      <w:hyperlink r:id="rId1078" w:history="1">
        <w:r w:rsidRPr="00A93871">
          <w:rPr>
            <w:rStyle w:val="a5"/>
            <w:kern w:val="0"/>
          </w:rPr>
          <w:t>2011\Arc Bud7, 93.pdf</w:t>
        </w:r>
      </w:hyperlink>
    </w:p>
    <w:p w:rsidR="00FE2F86" w:rsidRDefault="00FE2F86" w:rsidP="00FE2F86">
      <w:pPr>
        <w:pStyle w:val="a3"/>
        <w:rPr>
          <w:kern w:val="0"/>
          <w:szCs w:val="24"/>
        </w:rPr>
      </w:pPr>
      <w:r>
        <w:rPr>
          <w:kern w:val="0"/>
          <w:szCs w:val="24"/>
        </w:rPr>
        <w:t>Abstract:</w:t>
      </w:r>
      <w:r w:rsidR="003A1917">
        <w:rPr>
          <w:kern w:val="0"/>
          <w:szCs w:val="24"/>
        </w:rPr>
        <w:t xml:space="preserve"> the </w:t>
      </w:r>
      <w:r>
        <w:rPr>
          <w:kern w:val="0"/>
          <w:szCs w:val="24"/>
        </w:rPr>
        <w:t>essential part</w:t>
      </w:r>
      <w:r w:rsidR="00427468">
        <w:rPr>
          <w:kern w:val="0"/>
          <w:szCs w:val="24"/>
        </w:rPr>
        <w:t xml:space="preserve"> of </w:t>
      </w:r>
      <w:r>
        <w:rPr>
          <w:kern w:val="0"/>
          <w:szCs w:val="24"/>
        </w:rPr>
        <w:t>rational administration</w:t>
      </w:r>
      <w:r w:rsidR="00427468">
        <w:rPr>
          <w:kern w:val="0"/>
          <w:szCs w:val="24"/>
        </w:rPr>
        <w:t xml:space="preserve"> of </w:t>
      </w:r>
      <w:r>
        <w:rPr>
          <w:kern w:val="0"/>
          <w:szCs w:val="24"/>
        </w:rPr>
        <w:t>science is</w:t>
      </w:r>
      <w:r w:rsidR="003A1917">
        <w:rPr>
          <w:kern w:val="0"/>
          <w:szCs w:val="24"/>
        </w:rPr>
        <w:t xml:space="preserve"> the </w:t>
      </w:r>
      <w:r>
        <w:rPr>
          <w:kern w:val="0"/>
          <w:szCs w:val="24"/>
        </w:rPr>
        <w:t>evaluation</w:t>
      </w:r>
      <w:r w:rsidR="00427468">
        <w:rPr>
          <w:kern w:val="0"/>
          <w:szCs w:val="24"/>
        </w:rPr>
        <w:t xml:space="preserve"> of </w:t>
      </w:r>
      <w:r>
        <w:rPr>
          <w:kern w:val="0"/>
          <w:szCs w:val="24"/>
        </w:rPr>
        <w:t>academic</w:t>
      </w:r>
      <w:r w:rsidR="005853A9">
        <w:rPr>
          <w:kern w:val="0"/>
          <w:szCs w:val="24"/>
        </w:rPr>
        <w:t xml:space="preserve"> and </w:t>
      </w:r>
      <w:r>
        <w:rPr>
          <w:kern w:val="0"/>
          <w:szCs w:val="24"/>
        </w:rPr>
        <w:t>scientific institutions activity, subsidized by public funds, which should be conducted in</w:t>
      </w:r>
      <w:r w:rsidR="003A1917">
        <w:rPr>
          <w:kern w:val="0"/>
          <w:szCs w:val="24"/>
        </w:rPr>
        <w:t xml:space="preserve"> the </w:t>
      </w:r>
      <w:r>
        <w:rPr>
          <w:kern w:val="0"/>
          <w:szCs w:val="24"/>
        </w:rPr>
        <w:t>form</w:t>
      </w:r>
      <w:r w:rsidR="00427468">
        <w:rPr>
          <w:kern w:val="0"/>
          <w:szCs w:val="24"/>
        </w:rPr>
        <w:t xml:space="preserve"> of </w:t>
      </w:r>
      <w:r>
        <w:rPr>
          <w:kern w:val="0"/>
          <w:szCs w:val="24"/>
        </w:rPr>
        <w:t>assessment</w:t>
      </w:r>
      <w:r w:rsidR="00427468">
        <w:rPr>
          <w:kern w:val="0"/>
          <w:szCs w:val="24"/>
        </w:rPr>
        <w:t xml:space="preserve"> of </w:t>
      </w:r>
      <w:r>
        <w:rPr>
          <w:kern w:val="0"/>
          <w:szCs w:val="24"/>
        </w:rPr>
        <w:t>researchers</w:t>
      </w:r>
      <w:r w:rsidR="005853A9">
        <w:rPr>
          <w:kern w:val="0"/>
          <w:szCs w:val="24"/>
        </w:rPr>
        <w:t xml:space="preserve"> and </w:t>
      </w:r>
      <w:r>
        <w:rPr>
          <w:kern w:val="0"/>
          <w:szCs w:val="24"/>
        </w:rPr>
        <w:t>academic institutes as well as</w:t>
      </w:r>
      <w:r w:rsidR="003A1917">
        <w:rPr>
          <w:kern w:val="0"/>
          <w:szCs w:val="24"/>
        </w:rPr>
        <w:t xml:space="preserve"> the </w:t>
      </w:r>
      <w:r>
        <w:rPr>
          <w:kern w:val="0"/>
          <w:szCs w:val="24"/>
        </w:rPr>
        <w:t>appraisal</w:t>
      </w:r>
      <w:r w:rsidR="00427468">
        <w:rPr>
          <w:kern w:val="0"/>
          <w:szCs w:val="24"/>
        </w:rPr>
        <w:t xml:space="preserve"> of </w:t>
      </w:r>
      <w:r>
        <w:rPr>
          <w:kern w:val="0"/>
          <w:szCs w:val="24"/>
        </w:rPr>
        <w:t>programs</w:t>
      </w:r>
      <w:r w:rsidR="005853A9">
        <w:rPr>
          <w:kern w:val="0"/>
          <w:szCs w:val="24"/>
        </w:rPr>
        <w:t xml:space="preserve"> and </w:t>
      </w:r>
      <w:r>
        <w:rPr>
          <w:kern w:val="0"/>
          <w:szCs w:val="24"/>
        </w:rPr>
        <w:t>research projects along with currently conducted academic policy</w:t>
      </w:r>
      <w:r w:rsidR="005853A9">
        <w:rPr>
          <w:kern w:val="0"/>
          <w:szCs w:val="24"/>
        </w:rPr>
        <w:t xml:space="preserve"> and </w:t>
      </w:r>
      <w:r>
        <w:rPr>
          <w:kern w:val="0"/>
          <w:szCs w:val="24"/>
        </w:rPr>
        <w:t>innovative strategies. It should be performed on every administrative level in a systematic, reliable</w:t>
      </w:r>
      <w:r w:rsidR="005853A9">
        <w:rPr>
          <w:kern w:val="0"/>
          <w:szCs w:val="24"/>
        </w:rPr>
        <w:t xml:space="preserve"> and </w:t>
      </w:r>
      <w:r>
        <w:rPr>
          <w:kern w:val="0"/>
          <w:szCs w:val="24"/>
        </w:rPr>
        <w:t>objective way in order to estimate</w:t>
      </w:r>
      <w:r w:rsidR="003A1917">
        <w:rPr>
          <w:kern w:val="0"/>
          <w:szCs w:val="24"/>
        </w:rPr>
        <w:t xml:space="preserve"> the </w:t>
      </w:r>
      <w:r>
        <w:rPr>
          <w:kern w:val="0"/>
          <w:szCs w:val="24"/>
        </w:rPr>
        <w:t>value</w:t>
      </w:r>
      <w:r w:rsidR="00427468">
        <w:rPr>
          <w:kern w:val="0"/>
          <w:szCs w:val="24"/>
        </w:rPr>
        <w:t xml:space="preserve"> of </w:t>
      </w:r>
      <w:r>
        <w:rPr>
          <w:kern w:val="0"/>
          <w:szCs w:val="24"/>
        </w:rPr>
        <w:t>public intervention in relation to previously determined aims</w:t>
      </w:r>
      <w:r w:rsidR="005853A9">
        <w:rPr>
          <w:kern w:val="0"/>
          <w:szCs w:val="24"/>
        </w:rPr>
        <w:t xml:space="preserve"> and </w:t>
      </w:r>
      <w:r>
        <w:rPr>
          <w:kern w:val="0"/>
          <w:szCs w:val="24"/>
        </w:rPr>
        <w:t>criteria. In this context, Index Copernicus provides an interactive system that combines different information areas useful to academic level researchers, administration units, information providers, librarians, journal editors, scientific institutions, universities, government agencies</w:t>
      </w:r>
      <w:r w:rsidR="005853A9">
        <w:rPr>
          <w:kern w:val="0"/>
          <w:szCs w:val="24"/>
        </w:rPr>
        <w:t xml:space="preserve"> and </w:t>
      </w:r>
      <w:r>
        <w:rPr>
          <w:kern w:val="0"/>
          <w:szCs w:val="24"/>
        </w:rPr>
        <w:t>industry. An information-based scientific system that utilizes a web-based communication platform to provide lifelong documentation</w:t>
      </w:r>
      <w:r w:rsidR="00427468">
        <w:rPr>
          <w:kern w:val="0"/>
          <w:szCs w:val="24"/>
        </w:rPr>
        <w:t xml:space="preserve"> of </w:t>
      </w:r>
      <w:r>
        <w:rPr>
          <w:kern w:val="0"/>
          <w:szCs w:val="24"/>
        </w:rPr>
        <w:t>scientific</w:t>
      </w:r>
      <w:r w:rsidR="005853A9">
        <w:rPr>
          <w:kern w:val="0"/>
          <w:szCs w:val="24"/>
        </w:rPr>
        <w:t xml:space="preserve"> and </w:t>
      </w:r>
      <w:r>
        <w:rPr>
          <w:kern w:val="0"/>
          <w:szCs w:val="24"/>
        </w:rPr>
        <w:t>profession achievements</w:t>
      </w:r>
      <w:r w:rsidR="00427468">
        <w:rPr>
          <w:kern w:val="0"/>
          <w:szCs w:val="24"/>
        </w:rPr>
        <w:t xml:space="preserve"> of </w:t>
      </w:r>
      <w:r w:rsidR="003A1917">
        <w:rPr>
          <w:kern w:val="0"/>
          <w:szCs w:val="24"/>
        </w:rPr>
        <w:t xml:space="preserve">the </w:t>
      </w:r>
      <w:r>
        <w:rPr>
          <w:kern w:val="0"/>
          <w:szCs w:val="24"/>
        </w:rPr>
        <w:t xml:space="preserve">scientific </w:t>
      </w:r>
      <w:r>
        <w:rPr>
          <w:kern w:val="0"/>
          <w:szCs w:val="24"/>
        </w:rPr>
        <w:lastRenderedPageBreak/>
        <w:t>communities world-wide, promote exchange</w:t>
      </w:r>
      <w:r w:rsidR="00427468">
        <w:rPr>
          <w:kern w:val="0"/>
          <w:szCs w:val="24"/>
        </w:rPr>
        <w:t xml:space="preserve"> of </w:t>
      </w:r>
      <w:r>
        <w:rPr>
          <w:kern w:val="0"/>
          <w:szCs w:val="24"/>
        </w:rPr>
        <w:t>information</w:t>
      </w:r>
      <w:r w:rsidR="005853A9">
        <w:rPr>
          <w:kern w:val="0"/>
          <w:szCs w:val="24"/>
        </w:rPr>
        <w:t xml:space="preserve"> and </w:t>
      </w:r>
      <w:r>
        <w:rPr>
          <w:kern w:val="0"/>
          <w:szCs w:val="24"/>
        </w:rPr>
        <w:t>collaboration between</w:t>
      </w:r>
      <w:r w:rsidR="003A1917">
        <w:rPr>
          <w:kern w:val="0"/>
          <w:szCs w:val="24"/>
        </w:rPr>
        <w:t xml:space="preserve"> the </w:t>
      </w:r>
      <w:r>
        <w:rPr>
          <w:kern w:val="0"/>
          <w:szCs w:val="24"/>
        </w:rPr>
        <w:t>scientists,</w:t>
      </w:r>
      <w:r w:rsidR="005853A9">
        <w:rPr>
          <w:kern w:val="0"/>
          <w:szCs w:val="24"/>
        </w:rPr>
        <w:t xml:space="preserve"> and </w:t>
      </w:r>
      <w:r>
        <w:rPr>
          <w:kern w:val="0"/>
          <w:szCs w:val="24"/>
        </w:rPr>
        <w:t>provides a qualitative evaluation</w:t>
      </w:r>
      <w:r w:rsidR="00427468">
        <w:rPr>
          <w:kern w:val="0"/>
          <w:szCs w:val="24"/>
        </w:rPr>
        <w:t xml:space="preserve"> of </w:t>
      </w:r>
      <w:r w:rsidR="003A1917">
        <w:rPr>
          <w:kern w:val="0"/>
          <w:szCs w:val="24"/>
        </w:rPr>
        <w:t xml:space="preserve">the </w:t>
      </w:r>
      <w:r>
        <w:rPr>
          <w:kern w:val="0"/>
          <w:szCs w:val="24"/>
        </w:rPr>
        <w:t>scientific performance.</w:t>
      </w:r>
    </w:p>
    <w:p w:rsidR="00FE2F86" w:rsidRDefault="00FE2F86" w:rsidP="00FE2F86">
      <w:pPr>
        <w:pStyle w:val="a3"/>
        <w:rPr>
          <w:kern w:val="0"/>
          <w:szCs w:val="24"/>
        </w:rPr>
      </w:pPr>
      <w:r>
        <w:rPr>
          <w:kern w:val="0"/>
          <w:szCs w:val="24"/>
        </w:rPr>
        <w:t>Keywords: Assessment, Collaboration, Documentation, Education, Evaluation, Grant Management Kit, Index Copernicus, Information, Institutions Index Copernicus, Journal, Journal Editors, Journals, Journals Master List, Patent, Policy, Publishers Panel, Ranking, Research, Scientists Index Copernicus, Scientometrics, Sports Science, Virtual Research Groups</w:t>
      </w:r>
    </w:p>
    <w:p w:rsidR="00CA4C0E" w:rsidRDefault="00CA4C0E" w:rsidP="00CA4C0E">
      <w:pPr>
        <w:pStyle w:val="a3"/>
        <w:rPr>
          <w:kern w:val="0"/>
        </w:rPr>
      </w:pPr>
      <w:r>
        <w:rPr>
          <w:rFonts w:hint="eastAsia"/>
          <w:kern w:val="0"/>
        </w:rPr>
        <w:t xml:space="preserve">? </w:t>
      </w:r>
      <w:r>
        <w:rPr>
          <w:kern w:val="0"/>
        </w:rPr>
        <w:t>Pérez-Gutiérrez, M., Gutiérrez-García, C.</w:t>
      </w:r>
      <w:r w:rsidR="005853A9">
        <w:rPr>
          <w:kern w:val="0"/>
        </w:rPr>
        <w:t xml:space="preserve"> and </w:t>
      </w:r>
      <w:r>
        <w:rPr>
          <w:kern w:val="0"/>
        </w:rPr>
        <w:t>Escobar-Molina, R. (2011), Terminological recommendations for improving</w:t>
      </w:r>
      <w:r w:rsidR="003A1917">
        <w:rPr>
          <w:kern w:val="0"/>
        </w:rPr>
        <w:t xml:space="preserve"> the </w:t>
      </w:r>
      <w:r>
        <w:rPr>
          <w:kern w:val="0"/>
        </w:rPr>
        <w:t>visibility</w:t>
      </w:r>
      <w:r w:rsidR="00427468">
        <w:rPr>
          <w:kern w:val="0"/>
        </w:rPr>
        <w:t xml:space="preserve"> of </w:t>
      </w:r>
      <w:r>
        <w:rPr>
          <w:kern w:val="0"/>
        </w:rPr>
        <w:t>scientific literature on martial arts</w:t>
      </w:r>
      <w:r w:rsidR="005853A9">
        <w:rPr>
          <w:kern w:val="0"/>
        </w:rPr>
        <w:t xml:space="preserve"> and </w:t>
      </w:r>
      <w:r>
        <w:rPr>
          <w:kern w:val="0"/>
        </w:rPr>
        <w:t xml:space="preserve">combat sports. </w:t>
      </w:r>
      <w:r>
        <w:rPr>
          <w:i/>
          <w:iCs/>
          <w:kern w:val="0"/>
        </w:rPr>
        <w:t>Archives</w:t>
      </w:r>
      <w:r w:rsidR="00427468">
        <w:rPr>
          <w:i/>
          <w:iCs/>
          <w:kern w:val="0"/>
        </w:rPr>
        <w:t xml:space="preserve"> of </w:t>
      </w:r>
      <w:r>
        <w:rPr>
          <w:i/>
          <w:iCs/>
          <w:kern w:val="0"/>
        </w:rPr>
        <w:t>Budo</w:t>
      </w:r>
      <w:r>
        <w:rPr>
          <w:kern w:val="0"/>
        </w:rPr>
        <w:t xml:space="preserve">, </w:t>
      </w:r>
      <w:r>
        <w:rPr>
          <w:b/>
          <w:bCs/>
          <w:kern w:val="0"/>
        </w:rPr>
        <w:t>7</w:t>
      </w:r>
      <w:r>
        <w:rPr>
          <w:kern w:val="0"/>
        </w:rPr>
        <w:t xml:space="preserve"> (3), 159-166.</w:t>
      </w:r>
    </w:p>
    <w:p w:rsidR="00CA4C0E" w:rsidRDefault="00CA4C0E" w:rsidP="00CA4C0E">
      <w:pPr>
        <w:pStyle w:val="a3"/>
        <w:rPr>
          <w:kern w:val="0"/>
        </w:rPr>
      </w:pPr>
      <w:r>
        <w:rPr>
          <w:rFonts w:hint="eastAsia"/>
          <w:kern w:val="0"/>
        </w:rPr>
        <w:t xml:space="preserve">Full Text: </w:t>
      </w:r>
      <w:hyperlink r:id="rId1079" w:history="1">
        <w:r w:rsidRPr="0089763C">
          <w:rPr>
            <w:rStyle w:val="a5"/>
            <w:kern w:val="0"/>
          </w:rPr>
          <w:t>2011\Arc Bud7, 159.pdf</w:t>
        </w:r>
      </w:hyperlink>
    </w:p>
    <w:p w:rsidR="00DA6412" w:rsidRDefault="00DA6412" w:rsidP="00DA6412">
      <w:pPr>
        <w:pStyle w:val="a3"/>
        <w:rPr>
          <w:kern w:val="0"/>
        </w:rPr>
      </w:pPr>
      <w:r>
        <w:rPr>
          <w:kern w:val="0"/>
        </w:rPr>
        <w:t>Abstract: Background</w:t>
      </w:r>
      <w:r w:rsidR="005853A9">
        <w:rPr>
          <w:kern w:val="0"/>
        </w:rPr>
        <w:t xml:space="preserve"> and </w:t>
      </w:r>
      <w:r>
        <w:rPr>
          <w:kern w:val="0"/>
        </w:rPr>
        <w:t>Study Aim: Martial Arts</w:t>
      </w:r>
      <w:r w:rsidR="005853A9">
        <w:rPr>
          <w:kern w:val="0"/>
        </w:rPr>
        <w:t xml:space="preserve"> and </w:t>
      </w:r>
      <w:r>
        <w:rPr>
          <w:kern w:val="0"/>
        </w:rPr>
        <w:t>Combat Sports (MA&amp;CS) terminology is diverse</w:t>
      </w:r>
      <w:r w:rsidR="005853A9">
        <w:rPr>
          <w:kern w:val="0"/>
        </w:rPr>
        <w:t xml:space="preserve"> and </w:t>
      </w:r>
      <w:r>
        <w:rPr>
          <w:kern w:val="0"/>
        </w:rPr>
        <w:t>heterogeneous, limiting</w:t>
      </w:r>
      <w:r w:rsidR="003A1917">
        <w:rPr>
          <w:kern w:val="0"/>
        </w:rPr>
        <w:t xml:space="preserve"> the </w:t>
      </w:r>
      <w:r>
        <w:rPr>
          <w:kern w:val="0"/>
        </w:rPr>
        <w:t>research visibility</w:t>
      </w:r>
      <w:r w:rsidR="005853A9">
        <w:rPr>
          <w:kern w:val="0"/>
        </w:rPr>
        <w:t xml:space="preserve"> and </w:t>
      </w:r>
      <w:r>
        <w:rPr>
          <w:kern w:val="0"/>
        </w:rPr>
        <w:t>information retrieval. This study points out</w:t>
      </w:r>
      <w:r w:rsidR="003A1917">
        <w:rPr>
          <w:kern w:val="0"/>
        </w:rPr>
        <w:t xml:space="preserve"> the </w:t>
      </w:r>
      <w:r>
        <w:rPr>
          <w:kern w:val="0"/>
        </w:rPr>
        <w:t>different terms related to MA&amp;CS names included in</w:t>
      </w:r>
      <w:r w:rsidR="003A1917">
        <w:rPr>
          <w:kern w:val="0"/>
        </w:rPr>
        <w:t xml:space="preserve"> the </w:t>
      </w:r>
      <w:r>
        <w:rPr>
          <w:kern w:val="0"/>
        </w:rPr>
        <w:t>scientific literature. From this basis, a set</w:t>
      </w:r>
      <w:r w:rsidR="00427468">
        <w:rPr>
          <w:kern w:val="0"/>
        </w:rPr>
        <w:t xml:space="preserve"> of </w:t>
      </w:r>
      <w:r>
        <w:rPr>
          <w:kern w:val="0"/>
        </w:rPr>
        <w:t xml:space="preserve">recommendations are offered for improving publication visibility. Material/Methods: </w:t>
      </w:r>
      <w:r w:rsidR="00D5664A">
        <w:rPr>
          <w:kern w:val="0"/>
        </w:rPr>
        <w:t>Web</w:t>
      </w:r>
      <w:r w:rsidR="00427468">
        <w:rPr>
          <w:kern w:val="0"/>
        </w:rPr>
        <w:t xml:space="preserve"> of </w:t>
      </w:r>
      <w:r w:rsidR="00D5664A">
        <w:rPr>
          <w:kern w:val="0"/>
        </w:rPr>
        <w:t>Science</w:t>
      </w:r>
      <w:r>
        <w:rPr>
          <w:kern w:val="0"/>
        </w:rPr>
        <w:t xml:space="preserve"> (WOS) databases SCI-EXPANDED,</w:t>
      </w:r>
      <w:r w:rsidR="008E3069">
        <w:rPr>
          <w:kern w:val="0"/>
        </w:rPr>
        <w:t xml:space="preserve"> </w:t>
      </w:r>
      <w:r w:rsidR="00D5664A">
        <w:rPr>
          <w:kern w:val="0"/>
        </w:rPr>
        <w:t>SSCI</w:t>
      </w:r>
      <w:r w:rsidR="008E3069">
        <w:rPr>
          <w:kern w:val="0"/>
        </w:rPr>
        <w:t>,</w:t>
      </w:r>
      <w:r>
        <w:rPr>
          <w:kern w:val="0"/>
        </w:rPr>
        <w:t xml:space="preserve"> A&amp;HCI for</w:t>
      </w:r>
      <w:r w:rsidR="003A1917">
        <w:rPr>
          <w:kern w:val="0"/>
        </w:rPr>
        <w:t xml:space="preserve"> the </w:t>
      </w:r>
      <w:r>
        <w:rPr>
          <w:kern w:val="0"/>
        </w:rPr>
        <w:t>period 2000-2009 were used for generating</w:t>
      </w:r>
      <w:r w:rsidR="003A1917">
        <w:rPr>
          <w:kern w:val="0"/>
        </w:rPr>
        <w:t xml:space="preserve"> the </w:t>
      </w:r>
      <w:r>
        <w:rPr>
          <w:kern w:val="0"/>
        </w:rPr>
        <w:t>data. A list</w:t>
      </w:r>
      <w:r w:rsidR="00427468">
        <w:rPr>
          <w:kern w:val="0"/>
        </w:rPr>
        <w:t xml:space="preserve"> of </w:t>
      </w:r>
      <w:r>
        <w:rPr>
          <w:kern w:val="0"/>
        </w:rPr>
        <w:t>278 searching terms was compiled, each</w:t>
      </w:r>
      <w:r w:rsidR="00427468">
        <w:rPr>
          <w:kern w:val="0"/>
        </w:rPr>
        <w:t xml:space="preserve"> of </w:t>
      </w:r>
      <w:r>
        <w:rPr>
          <w:kern w:val="0"/>
        </w:rPr>
        <w:t>them enter individually in WOS databases. Results were collected in reference management software</w:t>
      </w:r>
      <w:r w:rsidR="005853A9">
        <w:rPr>
          <w:kern w:val="0"/>
        </w:rPr>
        <w:t xml:space="preserve"> and </w:t>
      </w:r>
      <w:r>
        <w:rPr>
          <w:kern w:val="0"/>
        </w:rPr>
        <w:t>filtered manually. Statistical analysis was focused on precision, noise factor, recall</w:t>
      </w:r>
      <w:r w:rsidR="005853A9">
        <w:rPr>
          <w:kern w:val="0"/>
        </w:rPr>
        <w:t xml:space="preserve"> and </w:t>
      </w:r>
      <w:r>
        <w:rPr>
          <w:kern w:val="0"/>
        </w:rPr>
        <w:t>snobbery ratio indexes. Results: As far as 53.2% searching terms showed no result, 14.0% obtained some result but not related to MA&amp;CS,</w:t>
      </w:r>
      <w:r w:rsidR="005853A9">
        <w:rPr>
          <w:kern w:val="0"/>
        </w:rPr>
        <w:t xml:space="preserve"> and </w:t>
      </w:r>
      <w:r>
        <w:rPr>
          <w:kern w:val="0"/>
        </w:rPr>
        <w:t>32.7% showed results related to MA&amp;CS. Specific terminology is quite standardized, although there are some MA&amp;CS showing different names. Generally, a preferred</w:t>
      </w:r>
      <w:r w:rsidR="005853A9">
        <w:rPr>
          <w:kern w:val="0"/>
        </w:rPr>
        <w:t xml:space="preserve"> and </w:t>
      </w:r>
      <w:r>
        <w:rPr>
          <w:kern w:val="0"/>
        </w:rPr>
        <w:t>most common term is used by authors. Precision values vary between 1</w:t>
      </w:r>
      <w:r w:rsidR="005853A9">
        <w:rPr>
          <w:kern w:val="0"/>
        </w:rPr>
        <w:t xml:space="preserve"> and </w:t>
      </w:r>
      <w:r>
        <w:rPr>
          <w:kern w:val="0"/>
        </w:rPr>
        <w:t>0.02 (noise factor values vary inversely) while recall values vary between 1</w:t>
      </w:r>
      <w:r w:rsidR="005853A9">
        <w:rPr>
          <w:kern w:val="0"/>
        </w:rPr>
        <w:t xml:space="preserve"> and </w:t>
      </w:r>
      <w:r>
        <w:rPr>
          <w:kern w:val="0"/>
        </w:rPr>
        <w:t>0.04 (snobbery ratio values vary inversely). Conclusions: MA&amp;CS terminology used in scientific literature is quite varied</w:t>
      </w:r>
      <w:r w:rsidR="005853A9">
        <w:rPr>
          <w:kern w:val="0"/>
        </w:rPr>
        <w:t xml:space="preserve"> and </w:t>
      </w:r>
      <w:r>
        <w:rPr>
          <w:kern w:val="0"/>
        </w:rPr>
        <w:t>can cause diverse problems</w:t>
      </w:r>
      <w:r w:rsidR="005853A9">
        <w:rPr>
          <w:kern w:val="0"/>
        </w:rPr>
        <w:t xml:space="preserve"> and </w:t>
      </w:r>
      <w:r>
        <w:rPr>
          <w:kern w:val="0"/>
        </w:rPr>
        <w:t>slow down researcher</w:t>
      </w:r>
      <w:r w:rsidR="00700038">
        <w:rPr>
          <w:kern w:val="0"/>
        </w:rPr>
        <w:t>’</w:t>
      </w:r>
      <w:r>
        <w:rPr>
          <w:kern w:val="0"/>
        </w:rPr>
        <w:t>s bibliographic data collection. Romanization, popularization</w:t>
      </w:r>
      <w:r w:rsidR="00427468">
        <w:rPr>
          <w:kern w:val="0"/>
        </w:rPr>
        <w:t xml:space="preserve"> of </w:t>
      </w:r>
      <w:r>
        <w:rPr>
          <w:kern w:val="0"/>
        </w:rPr>
        <w:t>some terms, names given to MA&amp;CS by different organizations</w:t>
      </w:r>
      <w:r w:rsidR="005853A9">
        <w:rPr>
          <w:kern w:val="0"/>
        </w:rPr>
        <w:t xml:space="preserve"> and </w:t>
      </w:r>
      <w:r>
        <w:rPr>
          <w:kern w:val="0"/>
        </w:rPr>
        <w:t>terms syllable separation are</w:t>
      </w:r>
      <w:r w:rsidR="003A1917">
        <w:rPr>
          <w:kern w:val="0"/>
        </w:rPr>
        <w:t xml:space="preserve"> the </w:t>
      </w:r>
      <w:r>
        <w:rPr>
          <w:kern w:val="0"/>
        </w:rPr>
        <w:t>main problems for</w:t>
      </w:r>
      <w:r w:rsidR="003A1917">
        <w:rPr>
          <w:kern w:val="0"/>
        </w:rPr>
        <w:t xml:space="preserve"> the </w:t>
      </w:r>
      <w:r>
        <w:rPr>
          <w:kern w:val="0"/>
        </w:rPr>
        <w:t>lack</w:t>
      </w:r>
      <w:r w:rsidR="00427468">
        <w:rPr>
          <w:kern w:val="0"/>
        </w:rPr>
        <w:t xml:space="preserve"> of </w:t>
      </w:r>
      <w:r>
        <w:rPr>
          <w:kern w:val="0"/>
        </w:rPr>
        <w:t>standardized terms in this area</w:t>
      </w:r>
      <w:r w:rsidR="00427468">
        <w:rPr>
          <w:kern w:val="0"/>
        </w:rPr>
        <w:t xml:space="preserve"> of </w:t>
      </w:r>
      <w:r>
        <w:rPr>
          <w:kern w:val="0"/>
        </w:rPr>
        <w:t>knowledge. A group</w:t>
      </w:r>
      <w:r w:rsidR="00427468">
        <w:rPr>
          <w:kern w:val="0"/>
        </w:rPr>
        <w:t xml:space="preserve"> of </w:t>
      </w:r>
      <w:r>
        <w:rPr>
          <w:kern w:val="0"/>
        </w:rPr>
        <w:t>seven recommendations are provided for enhancing</w:t>
      </w:r>
      <w:r w:rsidR="003A1917">
        <w:rPr>
          <w:kern w:val="0"/>
        </w:rPr>
        <w:t xml:space="preserve"> the </w:t>
      </w:r>
      <w:r>
        <w:rPr>
          <w:kern w:val="0"/>
        </w:rPr>
        <w:t>visibility</w:t>
      </w:r>
      <w:r w:rsidR="00427468">
        <w:rPr>
          <w:kern w:val="0"/>
        </w:rPr>
        <w:t xml:space="preserve"> of </w:t>
      </w:r>
      <w:r>
        <w:rPr>
          <w:kern w:val="0"/>
        </w:rPr>
        <w:t>MA&amp;CS researches.</w:t>
      </w:r>
    </w:p>
    <w:p w:rsidR="00DA6412" w:rsidRDefault="00DA6412" w:rsidP="00DA6412">
      <w:pPr>
        <w:pStyle w:val="a3"/>
        <w:rPr>
          <w:kern w:val="0"/>
        </w:rPr>
      </w:pPr>
      <w:r>
        <w:rPr>
          <w:kern w:val="0"/>
        </w:rPr>
        <w:t>Keywords: Analysis, Authors, Bibliographic, Data Collection, Databases, Documentary Analysis, Indexes, Indexing, Information, Information Retrieval, Information-Retrieval, Knowledge, Literature, Management, Noise, Points, Precision, Publication, Ratio, Research, Research Performance, Science, Scientific Databases, Software, Sports,</w:t>
      </w:r>
      <w:r w:rsidR="008E3069">
        <w:rPr>
          <w:kern w:val="0"/>
        </w:rPr>
        <w:t xml:space="preserve"> </w:t>
      </w:r>
      <w:r w:rsidR="00D5664A">
        <w:rPr>
          <w:kern w:val="0"/>
        </w:rPr>
        <w:t>SSCI</w:t>
      </w:r>
      <w:r w:rsidR="008E3069">
        <w:rPr>
          <w:kern w:val="0"/>
        </w:rPr>
        <w:t>,</w:t>
      </w:r>
      <w:r>
        <w:rPr>
          <w:kern w:val="0"/>
        </w:rPr>
        <w:t xml:space="preserve"> Visibility, </w:t>
      </w:r>
      <w:r w:rsidR="00D5664A">
        <w:rPr>
          <w:kern w:val="0"/>
        </w:rPr>
        <w:t>Web</w:t>
      </w:r>
      <w:r w:rsidR="00427468">
        <w:rPr>
          <w:kern w:val="0"/>
        </w:rPr>
        <w:t xml:space="preserve"> of </w:t>
      </w:r>
      <w:r w:rsidR="00D5664A">
        <w:rPr>
          <w:kern w:val="0"/>
        </w:rPr>
        <w:t>Science</w:t>
      </w:r>
    </w:p>
    <w:p w:rsidR="00B136D2" w:rsidRDefault="00B136D2" w:rsidP="00B136D2">
      <w:pPr>
        <w:pStyle w:val="a3"/>
        <w:rPr>
          <w:kern w:val="0"/>
        </w:rPr>
      </w:pPr>
      <w:r>
        <w:rPr>
          <w:rFonts w:hint="eastAsia"/>
          <w:kern w:val="0"/>
        </w:rPr>
        <w:lastRenderedPageBreak/>
        <w:t xml:space="preserve">? </w:t>
      </w:r>
      <w:r>
        <w:rPr>
          <w:kern w:val="0"/>
        </w:rPr>
        <w:t>Peset, F., Ferrer-Sapena, A., Villamon, M., Gonzalez, L.M., Toca-Herrera, J.L.</w:t>
      </w:r>
      <w:r w:rsidR="005853A9">
        <w:rPr>
          <w:kern w:val="0"/>
        </w:rPr>
        <w:t xml:space="preserve"> and </w:t>
      </w:r>
      <w:r>
        <w:rPr>
          <w:kern w:val="0"/>
        </w:rPr>
        <w:t>Aleixandre-Benavent, R. (2013), Scientific literature analysis</w:t>
      </w:r>
      <w:r w:rsidR="00427468">
        <w:rPr>
          <w:kern w:val="0"/>
        </w:rPr>
        <w:t xml:space="preserve"> of </w:t>
      </w:r>
      <w:r>
        <w:rPr>
          <w:kern w:val="0"/>
        </w:rPr>
        <w:t xml:space="preserve">Judo in </w:t>
      </w:r>
      <w:r w:rsidR="00D5664A">
        <w:rPr>
          <w:kern w:val="0"/>
        </w:rPr>
        <w:t>Web</w:t>
      </w:r>
      <w:r w:rsidR="00427468">
        <w:rPr>
          <w:kern w:val="0"/>
        </w:rPr>
        <w:t xml:space="preserve"> of </w:t>
      </w:r>
      <w:r w:rsidR="00D5664A">
        <w:rPr>
          <w:kern w:val="0"/>
        </w:rPr>
        <w:t>Science</w:t>
      </w:r>
      <w:r>
        <w:rPr>
          <w:kern w:val="0"/>
        </w:rPr>
        <w:t xml:space="preserve"> (R). </w:t>
      </w:r>
      <w:r>
        <w:rPr>
          <w:i/>
          <w:iCs/>
          <w:kern w:val="0"/>
        </w:rPr>
        <w:t>Archives</w:t>
      </w:r>
      <w:r w:rsidR="00427468">
        <w:rPr>
          <w:i/>
          <w:iCs/>
          <w:kern w:val="0"/>
        </w:rPr>
        <w:t xml:space="preserve"> of </w:t>
      </w:r>
      <w:r>
        <w:rPr>
          <w:i/>
          <w:iCs/>
          <w:kern w:val="0"/>
        </w:rPr>
        <w:t>Budo</w:t>
      </w:r>
      <w:r>
        <w:rPr>
          <w:kern w:val="0"/>
        </w:rPr>
        <w:t xml:space="preserve">, </w:t>
      </w:r>
      <w:r>
        <w:rPr>
          <w:b/>
          <w:bCs/>
          <w:kern w:val="0"/>
        </w:rPr>
        <w:t>9</w:t>
      </w:r>
      <w:r>
        <w:rPr>
          <w:kern w:val="0"/>
        </w:rPr>
        <w:t xml:space="preserve"> (2), 81-91.</w:t>
      </w:r>
    </w:p>
    <w:p w:rsidR="00B136D2" w:rsidRDefault="00B136D2" w:rsidP="00B136D2">
      <w:pPr>
        <w:pStyle w:val="a3"/>
        <w:rPr>
          <w:kern w:val="0"/>
        </w:rPr>
      </w:pPr>
      <w:r>
        <w:rPr>
          <w:rFonts w:hint="eastAsia"/>
          <w:kern w:val="0"/>
        </w:rPr>
        <w:t xml:space="preserve">Full Text: </w:t>
      </w:r>
      <w:hyperlink r:id="rId1080" w:history="1">
        <w:r w:rsidRPr="00B136D2">
          <w:rPr>
            <w:rStyle w:val="a5"/>
            <w:kern w:val="0"/>
          </w:rPr>
          <w:t>2013\Arc Bud9, 81.pdf</w:t>
        </w:r>
      </w:hyperlink>
    </w:p>
    <w:p w:rsidR="00B136D2" w:rsidRDefault="00B136D2" w:rsidP="00B136D2">
      <w:pPr>
        <w:pStyle w:val="a3"/>
        <w:rPr>
          <w:kern w:val="0"/>
        </w:rPr>
      </w:pPr>
      <w:r>
        <w:rPr>
          <w:kern w:val="0"/>
        </w:rPr>
        <w:t>Abstract: Background &amp; Study Aim: Although judo is a sport with great tradition that is practised worldwide, the state</w:t>
      </w:r>
      <w:r w:rsidR="00427468">
        <w:rPr>
          <w:kern w:val="0"/>
        </w:rPr>
        <w:t xml:space="preserve"> of </w:t>
      </w:r>
      <w:r>
        <w:rPr>
          <w:kern w:val="0"/>
        </w:rPr>
        <w:t>the art</w:t>
      </w:r>
      <w:r w:rsidR="005853A9">
        <w:rPr>
          <w:kern w:val="0"/>
        </w:rPr>
        <w:t xml:space="preserve"> and </w:t>
      </w:r>
      <w:r>
        <w:rPr>
          <w:kern w:val="0"/>
        </w:rPr>
        <w:t>scientific advances have not been analysed from a bibliometric point</w:t>
      </w:r>
      <w:r w:rsidR="00427468">
        <w:rPr>
          <w:kern w:val="0"/>
        </w:rPr>
        <w:t xml:space="preserve"> of </w:t>
      </w:r>
      <w:r>
        <w:rPr>
          <w:kern w:val="0"/>
        </w:rPr>
        <w:t>view up to now</w:t>
      </w:r>
      <w:r w:rsidR="00A37C1D">
        <w:rPr>
          <w:kern w:val="0"/>
        </w:rPr>
        <w:t>. The</w:t>
      </w:r>
      <w:r>
        <w:rPr>
          <w:kern w:val="0"/>
        </w:rPr>
        <w:t xml:space="preserve"> aim</w:t>
      </w:r>
      <w:r w:rsidR="00427468">
        <w:rPr>
          <w:kern w:val="0"/>
        </w:rPr>
        <w:t xml:space="preserve"> of </w:t>
      </w:r>
      <w:r>
        <w:rPr>
          <w:kern w:val="0"/>
        </w:rPr>
        <w:t>the present article is the status</w:t>
      </w:r>
      <w:r w:rsidR="00427468">
        <w:rPr>
          <w:kern w:val="0"/>
        </w:rPr>
        <w:t xml:space="preserve"> of </w:t>
      </w:r>
      <w:r>
        <w:rPr>
          <w:kern w:val="0"/>
        </w:rPr>
        <w:t>the scientific production, collaboration,</w:t>
      </w:r>
      <w:r w:rsidR="005853A9">
        <w:rPr>
          <w:kern w:val="0"/>
        </w:rPr>
        <w:t xml:space="preserve"> and </w:t>
      </w:r>
      <w:r>
        <w:rPr>
          <w:kern w:val="0"/>
        </w:rPr>
        <w:t>impact</w:t>
      </w:r>
      <w:r w:rsidR="00427468">
        <w:rPr>
          <w:kern w:val="0"/>
        </w:rPr>
        <w:t xml:space="preserve"> of </w:t>
      </w:r>
      <w:r>
        <w:rPr>
          <w:kern w:val="0"/>
        </w:rPr>
        <w:t>scientific papers on judo, as well as the most active research groups working on this topic. Material &amp; Methods: Our analysis was based on documents retrieved from the Science Citation Index</w:t>
      </w:r>
      <w:r w:rsidR="005853A9">
        <w:rPr>
          <w:kern w:val="0"/>
        </w:rPr>
        <w:t xml:space="preserve"> and </w:t>
      </w:r>
      <w:r>
        <w:rPr>
          <w:kern w:val="0"/>
        </w:rPr>
        <w:t>Social Science Citation Index. Bibliometric analysis</w:t>
      </w:r>
      <w:r w:rsidR="005853A9">
        <w:rPr>
          <w:kern w:val="0"/>
        </w:rPr>
        <w:t xml:space="preserve"> and </w:t>
      </w:r>
      <w:r>
        <w:rPr>
          <w:kern w:val="0"/>
        </w:rPr>
        <w:t>network construction were performed using Histcite</w:t>
      </w:r>
      <w:r w:rsidR="005853A9">
        <w:rPr>
          <w:kern w:val="0"/>
        </w:rPr>
        <w:t xml:space="preserve"> and </w:t>
      </w:r>
      <w:r>
        <w:rPr>
          <w:kern w:val="0"/>
        </w:rPr>
        <w:t>Bibexcel software. Results: As a result, 383 original papers</w:t>
      </w:r>
      <w:r w:rsidR="005853A9">
        <w:rPr>
          <w:kern w:val="0"/>
        </w:rPr>
        <w:t xml:space="preserve"> and </w:t>
      </w:r>
      <w:r>
        <w:rPr>
          <w:kern w:val="0"/>
        </w:rPr>
        <w:t xml:space="preserve">scientific reviews were retrieved from 162 journals in 78 </w:t>
      </w:r>
      <w:r w:rsidR="00D5664A">
        <w:rPr>
          <w:kern w:val="0"/>
        </w:rPr>
        <w:t>Web</w:t>
      </w:r>
      <w:r w:rsidR="00427468">
        <w:rPr>
          <w:kern w:val="0"/>
        </w:rPr>
        <w:t xml:space="preserve"> of </w:t>
      </w:r>
      <w:r w:rsidR="00D5664A">
        <w:rPr>
          <w:kern w:val="0"/>
        </w:rPr>
        <w:t>Science</w:t>
      </w:r>
      <w:r>
        <w:rPr>
          <w:kern w:val="0"/>
        </w:rPr>
        <w:t xml:space="preserve"> (R) categories. Archives</w:t>
      </w:r>
      <w:r w:rsidR="00427468">
        <w:rPr>
          <w:kern w:val="0"/>
        </w:rPr>
        <w:t xml:space="preserve"> of </w:t>
      </w:r>
      <w:r>
        <w:rPr>
          <w:kern w:val="0"/>
        </w:rPr>
        <w:t>Budo had the highest number</w:t>
      </w:r>
      <w:r w:rsidR="00427468">
        <w:rPr>
          <w:kern w:val="0"/>
        </w:rPr>
        <w:t xml:space="preserve"> of </w:t>
      </w:r>
      <w:r>
        <w:rPr>
          <w:kern w:val="0"/>
        </w:rPr>
        <w:t>articles (56),</w:t>
      </w:r>
      <w:r w:rsidR="005853A9">
        <w:rPr>
          <w:kern w:val="0"/>
        </w:rPr>
        <w:t xml:space="preserve"> and </w:t>
      </w:r>
      <w:r>
        <w:rPr>
          <w:kern w:val="0"/>
        </w:rPr>
        <w:t>International Journal</w:t>
      </w:r>
      <w:r w:rsidR="00427468">
        <w:rPr>
          <w:kern w:val="0"/>
        </w:rPr>
        <w:t xml:space="preserve"> of </w:t>
      </w:r>
      <w:r>
        <w:rPr>
          <w:kern w:val="0"/>
        </w:rPr>
        <w:t>Sports Medicine had the highest number</w:t>
      </w:r>
      <w:r w:rsidR="00427468">
        <w:rPr>
          <w:kern w:val="0"/>
        </w:rPr>
        <w:t xml:space="preserve"> of </w:t>
      </w:r>
      <w:r>
        <w:rPr>
          <w:kern w:val="0"/>
        </w:rPr>
        <w:t>citations (192). More than half</w:t>
      </w:r>
      <w:r w:rsidR="00427468">
        <w:rPr>
          <w:kern w:val="0"/>
        </w:rPr>
        <w:t xml:space="preserve"> of </w:t>
      </w:r>
      <w:r>
        <w:rPr>
          <w:kern w:val="0"/>
        </w:rPr>
        <w:t>the articles were within the area</w:t>
      </w:r>
      <w:r w:rsidR="00427468">
        <w:rPr>
          <w:kern w:val="0"/>
        </w:rPr>
        <w:t xml:space="preserve"> of </w:t>
      </w:r>
      <w:r>
        <w:rPr>
          <w:kern w:val="0"/>
        </w:rPr>
        <w:t>sports science</w:t>
      </w:r>
      <w:r w:rsidR="00A37C1D">
        <w:rPr>
          <w:kern w:val="0"/>
        </w:rPr>
        <w:t>. The</w:t>
      </w:r>
      <w:r>
        <w:rPr>
          <w:kern w:val="0"/>
        </w:rPr>
        <w:t xml:space="preserve"> co-authorship network (threshold &gt;= 3 articles) enabled us to identify 6 clusters</w:t>
      </w:r>
      <w:r w:rsidR="00427468">
        <w:rPr>
          <w:kern w:val="0"/>
        </w:rPr>
        <w:t xml:space="preserve"> of </w:t>
      </w:r>
      <w:r>
        <w:rPr>
          <w:kern w:val="0"/>
        </w:rPr>
        <w:t>authors written in partnership</w:t>
      </w:r>
      <w:r w:rsidR="00A37C1D">
        <w:rPr>
          <w:kern w:val="0"/>
        </w:rPr>
        <w:t>. The</w:t>
      </w:r>
      <w:r>
        <w:rPr>
          <w:kern w:val="0"/>
        </w:rPr>
        <w:t xml:space="preserve"> citation network was formed mainly by 14 authors. Conclusions: Although research on judo is still at an early stage</w:t>
      </w:r>
      <w:r w:rsidR="005853A9">
        <w:rPr>
          <w:kern w:val="0"/>
        </w:rPr>
        <w:t xml:space="preserve"> and </w:t>
      </w:r>
      <w:r>
        <w:rPr>
          <w:kern w:val="0"/>
        </w:rPr>
        <w:t>has a lower profile than other sports, its development has potential interest to many scientific fields</w:t>
      </w:r>
      <w:r w:rsidR="005853A9">
        <w:rPr>
          <w:kern w:val="0"/>
        </w:rPr>
        <w:t xml:space="preserve"> and </w:t>
      </w:r>
      <w:r>
        <w:rPr>
          <w:kern w:val="0"/>
        </w:rPr>
        <w:t>sports in general. Judo research is mainly published in journals covering sport science</w:t>
      </w:r>
      <w:r w:rsidR="005853A9">
        <w:rPr>
          <w:kern w:val="0"/>
        </w:rPr>
        <w:t xml:space="preserve"> and </w:t>
      </w:r>
      <w:r>
        <w:rPr>
          <w:kern w:val="0"/>
        </w:rPr>
        <w:t>sport medicine topics; the latter being the most cited ones</w:t>
      </w:r>
      <w:r w:rsidR="00A37C1D">
        <w:rPr>
          <w:kern w:val="0"/>
        </w:rPr>
        <w:t>. The</w:t>
      </w:r>
      <w:r>
        <w:rPr>
          <w:kern w:val="0"/>
        </w:rPr>
        <w:t xml:space="preserve"> co-authorship networks tended to be centralized, with a single lead author, while citation networks between authors were usually directed towards other areas</w:t>
      </w:r>
      <w:r w:rsidR="00427468">
        <w:rPr>
          <w:kern w:val="0"/>
        </w:rPr>
        <w:t xml:space="preserve"> of </w:t>
      </w:r>
      <w:r>
        <w:rPr>
          <w:kern w:val="0"/>
        </w:rPr>
        <w:t>research.</w:t>
      </w:r>
    </w:p>
    <w:p w:rsidR="00B136D2" w:rsidRDefault="00B136D2" w:rsidP="00B136D2">
      <w:pPr>
        <w:pStyle w:val="a3"/>
        <w:rPr>
          <w:kern w:val="0"/>
        </w:rPr>
      </w:pPr>
      <w:r>
        <w:rPr>
          <w:kern w:val="0"/>
        </w:rPr>
        <w:t xml:space="preserve">Keywords: Advances, Analysis, Art, Authors, Bibexcel, Bibliometric, Bibliometric Analysis, Bibliometrics, Citation, Citation Network, Citations, Co-Authorship, Co-Authorship Networks, Coauthorship, Coauthorship Network, Collaboration, Combat Sport, Construction, Cooperative Behaviour, Development, Elusive 10th Kata, Force, Forms, General, Go-No-Kata, Groups, Impact, Journal, Journals, Judo, Lead, Literature, Martial Arts, Martial Arts, Medicine, Methods, Network, Networks, Papers, Physical-Activity, Physiological Profiles, Potential, Proper Use, R, Research, Results, Reviews, Science, Science Citation Index, Scientific Literature, Scientific Literature Databases, Scientific Production, Social Networks, Social Science Citation Index, Software, Sport, Sport Journals, Sports Medicine Journals, State, Threshold, Topic, </w:t>
      </w:r>
      <w:r w:rsidR="00D5664A">
        <w:rPr>
          <w:kern w:val="0"/>
        </w:rPr>
        <w:t>Web</w:t>
      </w:r>
      <w:r w:rsidR="00427468">
        <w:rPr>
          <w:kern w:val="0"/>
        </w:rPr>
        <w:t xml:space="preserve"> of </w:t>
      </w:r>
      <w:r w:rsidR="00D5664A">
        <w:rPr>
          <w:kern w:val="0"/>
        </w:rPr>
        <w:t>Science</w:t>
      </w:r>
    </w:p>
    <w:p w:rsidR="00427468" w:rsidRDefault="00427468" w:rsidP="00427468">
      <w:pPr>
        <w:pStyle w:val="a3"/>
        <w:rPr>
          <w:kern w:val="0"/>
        </w:rPr>
      </w:pPr>
      <w:r>
        <w:rPr>
          <w:kern w:val="0"/>
        </w:rPr>
        <w:t xml:space="preserve">? Barczyński, B.J. (2013), Ranking of Polish physical education higher schools based on the articles published in 2009-2012 indexed by the Polish Ministry of Science and Higher Education. </w:t>
      </w:r>
      <w:r>
        <w:rPr>
          <w:i/>
          <w:iCs/>
          <w:kern w:val="0"/>
        </w:rPr>
        <w:t>Archives of Budo</w:t>
      </w:r>
      <w:r>
        <w:rPr>
          <w:kern w:val="0"/>
        </w:rPr>
        <w:t xml:space="preserve">, </w:t>
      </w:r>
      <w:r>
        <w:rPr>
          <w:b/>
          <w:bCs/>
          <w:kern w:val="0"/>
        </w:rPr>
        <w:t>9</w:t>
      </w:r>
      <w:r>
        <w:rPr>
          <w:kern w:val="0"/>
        </w:rPr>
        <w:t xml:space="preserve"> (4), 273-296.</w:t>
      </w:r>
    </w:p>
    <w:p w:rsidR="00427468" w:rsidRDefault="00427468" w:rsidP="00427468">
      <w:pPr>
        <w:pStyle w:val="a3"/>
        <w:rPr>
          <w:kern w:val="0"/>
        </w:rPr>
      </w:pPr>
      <w:r>
        <w:rPr>
          <w:kern w:val="0"/>
        </w:rPr>
        <w:lastRenderedPageBreak/>
        <w:t xml:space="preserve">Full Text: </w:t>
      </w:r>
      <w:hyperlink r:id="rId1081" w:history="1">
        <w:r w:rsidRPr="00427468">
          <w:rPr>
            <w:rStyle w:val="a5"/>
            <w:kern w:val="0"/>
          </w:rPr>
          <w:t>2013\Arc Bud9, 273.pdf</w:t>
        </w:r>
      </w:hyperlink>
    </w:p>
    <w:p w:rsidR="00427468" w:rsidRDefault="00427468" w:rsidP="00427468">
      <w:pPr>
        <w:pStyle w:val="a3"/>
        <w:rPr>
          <w:kern w:val="0"/>
        </w:rPr>
      </w:pPr>
      <w:r>
        <w:rPr>
          <w:kern w:val="0"/>
        </w:rPr>
        <w:t>Abstract: Background &amp; Study Aim : There are two basic applications of bibliometrics: descriptive and evaluative, with the following functionalities: accountability, knowledge and development that are the mechanisms of strategic management of science. Such approach is consistent with the model of evidence-based policy, based on use of the results of analyses and research in political decision-making, especially decisions about funds allocation. This approach can be also observed in reformed higher education system in Poland. Hence, the ministerial list as well as the Impact Factor adopted for the purpose of this article, which is a ranking of Polish physical education higher schools based on publications appearing in 2009-2012. Material &amp; methods: The study uses scientific articles reported by 25 Polish physical education higher schools with a sport science and related profile, for the period 2009-2012</w:t>
      </w:r>
      <w:r w:rsidR="00A37C1D">
        <w:rPr>
          <w:kern w:val="0"/>
        </w:rPr>
        <w:t>. The</w:t>
      </w:r>
      <w:r>
        <w:rPr>
          <w:kern w:val="0"/>
        </w:rPr>
        <w:t xml:space="preserve"> verification tool was journals indexes of the Polish Ministry of Science and Higher Education with the assigned points for publications and the Impact Factor scoring, based on the Journal Citation Reports of 2009-2012. Results: From 25 evaluated institutions, 17 (68%) are academies of physical education and 8 (32%) other types of higher schools identified with sports sciences. Among the higher schools, academies of physical education occupied the first seven positions of the ranking. In the period 2009-2012 all institutions published 4,372 scientific articles; 3,455 (79%) were published by academies of physical education, whereas 917 (21%) by academics of eight other types of institutions. Based on two percentile rank classes, the 10% most impacted publications (n= 444) were selected, which have the highest score on the ministerial list and the highest Impact Factor as potentially highly cited</w:t>
      </w:r>
      <w:r w:rsidR="00A37C1D">
        <w:rPr>
          <w:kern w:val="0"/>
        </w:rPr>
        <w:t>. The</w:t>
      </w:r>
      <w:r>
        <w:rPr>
          <w:kern w:val="0"/>
        </w:rPr>
        <w:t xml:space="preserve"> scholars mostly prefer journals with 20 (27%), 25 (16%) and 35 (11%) points. Conclusions: The ranking being the result of evaluation process allowed to determine the position of the unit in relation to other rated units proving that the academies of physical education fulfil their statutory, social and economic mission. High values of indicators obtained every year confirm the great interest of the academies of physical education to meet challenges put before the higher education by both society and business.</w:t>
      </w:r>
    </w:p>
    <w:p w:rsidR="00427468" w:rsidRDefault="00427468" w:rsidP="00427468">
      <w:pPr>
        <w:pStyle w:val="a3"/>
        <w:rPr>
          <w:kern w:val="0"/>
        </w:rPr>
      </w:pPr>
      <w:r>
        <w:rPr>
          <w:kern w:val="0"/>
        </w:rPr>
        <w:t>Keywords: Academics, Academy of Physical Education, Accountability, Allocation, Analyses, Approach, Assessment, Bibliometric Analysis, Bibliometrics, Business, Citation, Decision Making, Decision-Making, Development, Economic, Education, Evaluation, Evidence Based, Evidence-Based, First, Higher Education, Highly Cited, Highly-Cited, Impact, Impact Factor, Indicators, Institutions, Journal, Journal Citation Reports, Journals, Knowledge, Management, Mechanisms, Methods, Model, Percentile, Physical, Physical Education, Policy, Publications, Purpose, Rank, Ranking, Research, Results, Science, Sciences, Scientific Journals, Social, Society, Sport, Sports Science, Strategic, Strategic Management, Verification</w:t>
      </w:r>
    </w:p>
    <w:p w:rsidR="00BB4FB5" w:rsidRDefault="00BB4FB5" w:rsidP="00BB4FB5">
      <w:pPr>
        <w:pStyle w:val="a3"/>
        <w:rPr>
          <w:kern w:val="0"/>
        </w:rPr>
      </w:pPr>
      <w:r>
        <w:rPr>
          <w:rFonts w:hint="eastAsia"/>
          <w:kern w:val="0"/>
        </w:rPr>
        <w:lastRenderedPageBreak/>
        <w:t xml:space="preserve">? </w:t>
      </w:r>
      <w:r>
        <w:rPr>
          <w:kern w:val="0"/>
        </w:rPr>
        <w:t xml:space="preserve">Barczynski, B.J. (2014), The first ranking of the scientific units of Polish physical education higher schools based on the monographs published in 2009-2012 indexed by the Polish Ministry of Science and Higher Education. </w:t>
      </w:r>
      <w:r>
        <w:rPr>
          <w:i/>
          <w:iCs/>
          <w:kern w:val="0"/>
        </w:rPr>
        <w:t>Archives of Budo</w:t>
      </w:r>
      <w:r>
        <w:rPr>
          <w:kern w:val="0"/>
        </w:rPr>
        <w:t xml:space="preserve">, </w:t>
      </w:r>
      <w:r>
        <w:rPr>
          <w:b/>
          <w:bCs/>
          <w:kern w:val="0"/>
        </w:rPr>
        <w:t>10</w:t>
      </w:r>
      <w:r>
        <w:rPr>
          <w:kern w:val="0"/>
        </w:rPr>
        <w:t>, 79-90.</w:t>
      </w:r>
    </w:p>
    <w:p w:rsidR="00BB4FB5" w:rsidRDefault="00BB4FB5" w:rsidP="00BB4FB5">
      <w:pPr>
        <w:pStyle w:val="a3"/>
        <w:rPr>
          <w:kern w:val="0"/>
        </w:rPr>
      </w:pPr>
      <w:r>
        <w:rPr>
          <w:kern w:val="0"/>
        </w:rPr>
        <w:t xml:space="preserve">Full Text: </w:t>
      </w:r>
      <w:r w:rsidRPr="003C7D01">
        <w:rPr>
          <w:kern w:val="0"/>
        </w:rPr>
        <w:t>2014\Arc Bud10, 79.pdf</w:t>
      </w:r>
    </w:p>
    <w:p w:rsidR="00BB4FB5" w:rsidRDefault="00BB4FB5" w:rsidP="00BB4FB5">
      <w:pPr>
        <w:pStyle w:val="a3"/>
        <w:rPr>
          <w:kern w:val="0"/>
        </w:rPr>
      </w:pPr>
      <w:r>
        <w:rPr>
          <w:kern w:val="0"/>
        </w:rPr>
        <w:t>Abstract: Background In parallel with the scientific journals, the scholarly monographs are the key driver for the dissemination of scientific achievements. The aim of this article is to present the ranking of scientific units of Polish physical education higher schools based on the scholarly monographs published in 2009-2012. Material &amp; Methods: Scholarly monographs and chapters in the monographs reported by 25 scientific units (faculties) of Polish physical education higher schools and related units in 2009-2012 were subjected to analysis. The Spearman’s rank correlation identifies the strength of correlation among publications and monographs, publications and chapters of the monographs, monographs and chapters in the monographs published by evaluated scientific units. Results: In the evaluated period (2009-2012) all units published 333 monographs, 222 (67%) of which were issued by academies of physical education and 111 (33%) were published by academics from the institutions of other types. In the same period 25 evaluated institutions published 3,139 chapters in monographs, 2,162 (69%) of which were issued by academies of physical education and 977 (31%) were published by academics from the institutions of other types. The analysis of rankings containing scientific units of Polish physical education higher schools evaluated for the monographs and chapters in monographs with ranking developed on the basis of scientific articles published in 2009-2012 in journals by computing the Spearman correlation revealed that the correlation between publications and monographs was 0.264, whereas between publications and chapters in monographs 0.207, indicating poor correlation in both cases. There was a significant correlation (0.658) between monographs and chapters in monographs, that evidences strong relationship. Conclusions: Monographs - regardless of other products of scientific activity - constitute a complementary bibliometric criterion measuring the productivity of authors, research groups, institutions and countries. Scientific achievements reported by institutions allowed to compare the scientific performance in the scientific units of Polish physical education higher schools on the unprecedented scale, measured both by the number of scholarly monographs and chapters in monographs, showing their potential, as well as the scientific activities directions and competitive capacity.</w:t>
      </w:r>
    </w:p>
    <w:p w:rsidR="00BB4FB5" w:rsidRDefault="00BB4FB5" w:rsidP="00BB4FB5">
      <w:pPr>
        <w:pStyle w:val="a3"/>
        <w:rPr>
          <w:kern w:val="0"/>
        </w:rPr>
      </w:pPr>
      <w:r>
        <w:rPr>
          <w:kern w:val="0"/>
        </w:rPr>
        <w:t xml:space="preserve">Keywords: Academics, Academy Of Physical Education, Activity, Analysis, Article, Articles, Authors, Barriers, Bibliometric, Bibliometric Analysis, Capacity, Chapters In Monographs, Competitive, Complementary, Complementary Monographs, Correlation, Education, Evaluation, First, From, Groups, Institutions, Journals, Mar, </w:t>
      </w:r>
      <w:r>
        <w:rPr>
          <w:kern w:val="0"/>
        </w:rPr>
        <w:lastRenderedPageBreak/>
        <w:t>Methods, Monographs, Performance, Physical, Physical Education, Potential, Productivity, Publications, Rank, Ranking, Rankings, Research, Results, Scale, Science, Scientific Activities, Scientific Journals, Scientific Performance, Sports Science, Strength</w:t>
      </w:r>
    </w:p>
    <w:p w:rsidR="00923C4A" w:rsidRPr="001A3D2B" w:rsidRDefault="00923C4A" w:rsidP="00923C4A">
      <w:pPr>
        <w:pStyle w:val="1"/>
      </w:pPr>
      <w:r w:rsidRPr="001A3D2B">
        <w:br w:type="page"/>
      </w:r>
      <w:bookmarkStart w:id="556" w:name="_Toc420814566"/>
      <w:r w:rsidRPr="001A3D2B">
        <w:lastRenderedPageBreak/>
        <w:t xml:space="preserve">Title: </w:t>
      </w:r>
      <w:r w:rsidRPr="00923C4A">
        <w:rPr>
          <w:iCs w:val="0"/>
        </w:rPr>
        <w:t>Archives of Civil and Mechanical Engineering</w:t>
      </w:r>
      <w:bookmarkEnd w:id="556"/>
    </w:p>
    <w:p w:rsidR="00923C4A" w:rsidRPr="00F219CA" w:rsidRDefault="00923C4A" w:rsidP="00923C4A">
      <w:pPr>
        <w:pStyle w:val="12"/>
      </w:pPr>
      <w:r w:rsidRPr="00F219CA">
        <w:t xml:space="preserve">Full Journal Title: </w:t>
      </w:r>
      <w:r w:rsidRPr="00923C4A">
        <w:rPr>
          <w:iCs/>
          <w:kern w:val="0"/>
        </w:rPr>
        <w:t>Archives of Civil and Mechanical Engineering</w:t>
      </w:r>
    </w:p>
    <w:p w:rsidR="00923C4A" w:rsidRPr="001A3D2B" w:rsidRDefault="00923C4A" w:rsidP="00923C4A">
      <w:pPr>
        <w:pStyle w:val="12"/>
      </w:pPr>
      <w:r w:rsidRPr="001A3D2B">
        <w:t xml:space="preserve">ISO Abbreviated Title: </w:t>
      </w:r>
    </w:p>
    <w:p w:rsidR="00923C4A" w:rsidRPr="001A3D2B" w:rsidRDefault="00923C4A" w:rsidP="00923C4A">
      <w:pPr>
        <w:pStyle w:val="12"/>
      </w:pPr>
      <w:r w:rsidRPr="001A3D2B">
        <w:t xml:space="preserve">JCR Abbreviated Title: </w:t>
      </w:r>
    </w:p>
    <w:p w:rsidR="00923C4A" w:rsidRPr="001A3D2B" w:rsidRDefault="00923C4A" w:rsidP="00923C4A">
      <w:pPr>
        <w:pStyle w:val="12"/>
      </w:pPr>
      <w:r>
        <w:t xml:space="preserve">ISSN: </w:t>
      </w:r>
    </w:p>
    <w:p w:rsidR="00923C4A" w:rsidRPr="001A3D2B" w:rsidRDefault="00923C4A" w:rsidP="00923C4A">
      <w:pPr>
        <w:pStyle w:val="12"/>
      </w:pPr>
      <w:r w:rsidRPr="001A3D2B">
        <w:t xml:space="preserve">Issues/Year: </w:t>
      </w:r>
    </w:p>
    <w:p w:rsidR="00923C4A" w:rsidRPr="001A3D2B" w:rsidRDefault="00923C4A" w:rsidP="00923C4A">
      <w:pPr>
        <w:pStyle w:val="12"/>
      </w:pPr>
      <w:r w:rsidRPr="001A3D2B">
        <w:t xml:space="preserve">Journal Country/Territory: </w:t>
      </w:r>
    </w:p>
    <w:p w:rsidR="00923C4A" w:rsidRPr="001A3D2B" w:rsidRDefault="00923C4A" w:rsidP="00923C4A">
      <w:pPr>
        <w:pStyle w:val="12"/>
      </w:pPr>
      <w:r w:rsidRPr="001A3D2B">
        <w:t xml:space="preserve">Language: </w:t>
      </w:r>
    </w:p>
    <w:p w:rsidR="00923C4A" w:rsidRPr="001A3D2B" w:rsidRDefault="00923C4A" w:rsidP="00923C4A">
      <w:pPr>
        <w:pStyle w:val="12"/>
      </w:pPr>
      <w:r w:rsidRPr="001A3D2B">
        <w:t xml:space="preserve">Publisher: </w:t>
      </w:r>
    </w:p>
    <w:p w:rsidR="00923C4A" w:rsidRPr="001A3D2B" w:rsidRDefault="00923C4A" w:rsidP="00923C4A">
      <w:pPr>
        <w:pStyle w:val="12"/>
      </w:pPr>
      <w:r w:rsidRPr="001A3D2B">
        <w:t xml:space="preserve">Publisher Address: </w:t>
      </w:r>
    </w:p>
    <w:p w:rsidR="00923C4A" w:rsidRPr="001A3D2B" w:rsidRDefault="00923C4A" w:rsidP="00923C4A">
      <w:pPr>
        <w:pStyle w:val="12"/>
      </w:pPr>
      <w:r w:rsidRPr="001A3D2B">
        <w:t xml:space="preserve">Subject Categories: </w:t>
      </w:r>
    </w:p>
    <w:p w:rsidR="00923C4A" w:rsidRPr="001A3D2B" w:rsidRDefault="00923C4A" w:rsidP="00923C4A">
      <w:pPr>
        <w:pStyle w:val="12"/>
      </w:pPr>
      <w:r w:rsidRPr="001A3D2B">
        <w:t xml:space="preserve">: Impact Factor </w:t>
      </w:r>
    </w:p>
    <w:p w:rsidR="00923C4A" w:rsidRDefault="00923C4A" w:rsidP="00923C4A">
      <w:pPr>
        <w:pStyle w:val="a3"/>
        <w:rPr>
          <w:kern w:val="0"/>
        </w:rPr>
      </w:pPr>
      <w:r>
        <w:rPr>
          <w:rFonts w:hint="eastAsia"/>
          <w:kern w:val="0"/>
        </w:rPr>
        <w:t xml:space="preserve">? </w:t>
      </w:r>
      <w:r>
        <w:rPr>
          <w:kern w:val="0"/>
        </w:rPr>
        <w:t xml:space="preserve">Zavadskas, E.K., Skibniewski, M.J. and Antucheviciene, J. (2014), Performance analysis of civil engineering journals based on the Web of Science (R) database. </w:t>
      </w:r>
      <w:r w:rsidRPr="00923C4A">
        <w:rPr>
          <w:i/>
          <w:iCs/>
          <w:kern w:val="0"/>
        </w:rPr>
        <w:t>Archives of Civil and Mechanical Engineering</w:t>
      </w:r>
      <w:r>
        <w:rPr>
          <w:kern w:val="0"/>
        </w:rPr>
        <w:t xml:space="preserve">, </w:t>
      </w:r>
      <w:r>
        <w:rPr>
          <w:b/>
          <w:bCs/>
          <w:kern w:val="0"/>
        </w:rPr>
        <w:t>14</w:t>
      </w:r>
      <w:r>
        <w:rPr>
          <w:kern w:val="0"/>
        </w:rPr>
        <w:t xml:space="preserve"> (4), 519-527.</w:t>
      </w:r>
    </w:p>
    <w:p w:rsidR="00923C4A" w:rsidRDefault="00923C4A" w:rsidP="00923C4A">
      <w:pPr>
        <w:pStyle w:val="a3"/>
        <w:rPr>
          <w:kern w:val="0"/>
        </w:rPr>
      </w:pPr>
      <w:r>
        <w:rPr>
          <w:rFonts w:hint="eastAsia"/>
          <w:kern w:val="0"/>
        </w:rPr>
        <w:t xml:space="preserve">Full Text: </w:t>
      </w:r>
      <w:hyperlink r:id="rId1082" w:history="1">
        <w:r w:rsidRPr="00923C4A">
          <w:rPr>
            <w:rStyle w:val="a5"/>
            <w:kern w:val="0"/>
          </w:rPr>
          <w:t>2014\Arc Civ Mec Eng14, 519.pdf</w:t>
        </w:r>
      </w:hyperlink>
    </w:p>
    <w:p w:rsidR="00923C4A" w:rsidRDefault="00923C4A" w:rsidP="00923C4A">
      <w:pPr>
        <w:pStyle w:val="a3"/>
        <w:rPr>
          <w:kern w:val="0"/>
        </w:rPr>
      </w:pPr>
      <w:r>
        <w:rPr>
          <w:kern w:val="0"/>
        </w:rPr>
        <w:t>Abstract: The presented study analyses the development and performance measures of research journals in the field of civil engineering. As the paper was prepared on the occasion of the 20th anniversary since the Journal of Civil Engineering and Management (JCEM) was founded, it presents detailed description of its evolution. This journal is currently ranked in the 12th position worldwide, based on the values of Impact Factors (IF) published by the Thomson Reuters Institute for Scientific Information (ISI) Web of Knowledge Journal Citation Reports. JCEM entered the first quartile (Q1) of its peer journals based on its worldwide impact in “Engineering, Civil” category of the ISI Web of Science. However, it has been argued that the IF value is not the sole and possibly not the best measure of journal quality. A number of metrics as well as bibliometaic indicators have been developed to measure the impact of scholarly journals. The paper proposes an integrated multiple criteria approach for ranking journals. The essence of the approach lies in the ability to rank journals considering several criteria simultaneously and applying Multiple Criteria Decision Making (MCDM) methods to derive the rankings. Journals from the Q1 quartile of the “Engineering, Civil” category of the Web of Science were analyzed based on seven indicators derived from Journal Citation Reports while applying Weighted Aggregated Sum Product Assessment (WASPAS) method. Integrated rankings with the use of this method were then compared with journal rankings based on their ISI Impact Factor values. (C) 2014 Politechnika Wroclawska. Published by Elsevier Urban &amp; Partner Sp. z o.o. All rights reserved.</w:t>
      </w:r>
    </w:p>
    <w:p w:rsidR="00923C4A" w:rsidRDefault="00923C4A" w:rsidP="00923C4A">
      <w:pPr>
        <w:pStyle w:val="a3"/>
        <w:rPr>
          <w:kern w:val="0"/>
        </w:rPr>
      </w:pPr>
      <w:r>
        <w:rPr>
          <w:kern w:val="0"/>
        </w:rPr>
        <w:lastRenderedPageBreak/>
        <w:t>Keywords: Analyses, Analysis, Approach, Assessment, Citation, Civil Engineering, Civil Engineering Journals, Criteria, Database, Decision, Decision Making, Development, Engineering, Evolution, Factors, Field, First, From, Impact, Impact Factor, Index, Indicators, Information, Institute For Scientific Information, Integrated, ISI, ISI Impact Factor, Isi Web Of Science, Journal, Journal Citation Reports, Journal Quality, Journal Rankings, Journals, Knowledge, Management, Mcdm, Measure, Measures, Methods, Metrics, Multiple Criteria, Performance, Performance Measures, Position, Quality, R, Rank, Ranking, Rankings, Research, Research Journals, Rights, Scholarly Journals, Science, Scopus, Thomson Reuters, Thomson-Reuters, Value, Waspas, Web, Web Of Knowledge, Web Of Science</w:t>
      </w:r>
    </w:p>
    <w:p w:rsidR="003474F2" w:rsidRPr="001A3D2B" w:rsidRDefault="003474F2" w:rsidP="003474F2">
      <w:pPr>
        <w:pStyle w:val="1"/>
      </w:pPr>
      <w:r w:rsidRPr="001A3D2B">
        <w:br w:type="page"/>
      </w:r>
      <w:bookmarkStart w:id="557" w:name="_Toc420814567"/>
      <w:r w:rsidRPr="001A3D2B">
        <w:lastRenderedPageBreak/>
        <w:t>Title: Archives</w:t>
      </w:r>
      <w:r w:rsidR="00427468">
        <w:t xml:space="preserve"> of </w:t>
      </w:r>
      <w:r w:rsidRPr="001A3D2B">
        <w:t>Dermatology</w:t>
      </w:r>
      <w:bookmarkEnd w:id="557"/>
    </w:p>
    <w:p w:rsidR="003474F2" w:rsidRPr="001A3D2B" w:rsidRDefault="003474F2" w:rsidP="003474F2">
      <w:pPr>
        <w:pStyle w:val="12"/>
      </w:pPr>
      <w:r w:rsidRPr="001A3D2B">
        <w:t>Full Journal Ti</w:t>
      </w:r>
      <w:bookmarkStart w:id="558" w:name="_Toc30748096"/>
      <w:bookmarkStart w:id="559" w:name="_Toc43634535"/>
      <w:bookmarkStart w:id="560" w:name="_Toc81215619"/>
      <w:bookmarkEnd w:id="203"/>
      <w:r w:rsidRPr="001A3D2B">
        <w:t xml:space="preserve">tle: </w:t>
      </w:r>
      <w:r w:rsidR="00206C8A">
        <w:fldChar w:fldCharType="begin"/>
      </w:r>
      <w:r w:rsidR="00FD158B">
        <w:instrText>HYPERLINK "http://archde</w:instrText>
      </w:r>
      <w:bookmarkEnd w:id="558"/>
      <w:bookmarkEnd w:id="559"/>
      <w:bookmarkEnd w:id="560"/>
      <w:r w:rsidR="00FD158B">
        <w:instrText>rm.ama-assn.org/contents-by-date.0.dtl"</w:instrText>
      </w:r>
      <w:r w:rsidR="00206C8A">
        <w:fldChar w:fldCharType="separate"/>
      </w:r>
      <w:r w:rsidRPr="001A3D2B">
        <w:rPr>
          <w:rStyle w:val="a5"/>
        </w:rPr>
        <w:t>Archives</w:t>
      </w:r>
      <w:r w:rsidR="00427468">
        <w:rPr>
          <w:rStyle w:val="a5"/>
        </w:rPr>
        <w:t xml:space="preserve"> of </w:t>
      </w:r>
      <w:r w:rsidRPr="001A3D2B">
        <w:rPr>
          <w:rStyle w:val="a5"/>
        </w:rPr>
        <w:t>Dermatology</w:t>
      </w:r>
      <w:r w:rsidR="00206C8A">
        <w:fldChar w:fldCharType="end"/>
      </w:r>
    </w:p>
    <w:p w:rsidR="003474F2" w:rsidRPr="001A3D2B" w:rsidRDefault="003474F2" w:rsidP="003474F2">
      <w:pPr>
        <w:pStyle w:val="12"/>
      </w:pPr>
      <w:r w:rsidRPr="001A3D2B">
        <w:t>ISO Abbreviated Title: Arch. Dermatol.</w:t>
      </w:r>
    </w:p>
    <w:p w:rsidR="003474F2" w:rsidRPr="001A3D2B" w:rsidRDefault="003474F2" w:rsidP="003474F2">
      <w:pPr>
        <w:pStyle w:val="12"/>
      </w:pPr>
      <w:r w:rsidRPr="001A3D2B">
        <w:t>JCR Abbreviated Title: Arch Dermatol</w:t>
      </w:r>
    </w:p>
    <w:p w:rsidR="003474F2" w:rsidRPr="001A3D2B" w:rsidRDefault="003474F2" w:rsidP="003474F2">
      <w:pPr>
        <w:pStyle w:val="12"/>
      </w:pPr>
      <w:r w:rsidRPr="001A3D2B">
        <w:t>ISSN: 0003-987X</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Medical Assoc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515 N State St</w:t>
          </w:r>
        </w:smartTag>
        <w:r w:rsidRPr="001A3D2B">
          <w:t xml:space="preserve">, </w:t>
        </w:r>
        <w:smartTag w:uri="urn:schemas-microsoft-com:office:smarttags" w:element="City">
          <w:r w:rsidRPr="001A3D2B">
            <w:t>Chicago</w:t>
          </w:r>
        </w:smartTag>
        <w:r w:rsidRPr="001A3D2B">
          <w:t xml:space="preserve">, </w:t>
        </w:r>
        <w:smartTag w:uri="urn:schemas-microsoft-com:office:smarttags" w:element="State">
          <w:r w:rsidRPr="001A3D2B">
            <w:t>IL</w:t>
          </w:r>
        </w:smartTag>
        <w:r w:rsidRPr="001A3D2B">
          <w:t xml:space="preserve"> </w:t>
        </w:r>
        <w:smartTag w:uri="urn:schemas-microsoft-com:office:smarttags" w:element="PostalCode">
          <w:r w:rsidRPr="001A3D2B">
            <w:t>60610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Dermatology &amp; Venereal Diseases: Impact Factor 2.714,/(2001)</w:t>
      </w:r>
    </w:p>
    <w:p w:rsidR="003474F2" w:rsidRPr="001A3D2B" w:rsidRDefault="003474F2" w:rsidP="003474F2">
      <w:pPr>
        <w:pStyle w:val="a3"/>
      </w:pPr>
      <w:r w:rsidRPr="001A3D2B">
        <w:t>Arndt, K.A. (1992), Information excess in medicine: Overview, relevance to dermatology,</w:t>
      </w:r>
      <w:r w:rsidR="005853A9">
        <w:t xml:space="preserve"> and </w:t>
      </w:r>
      <w:r w:rsidRPr="001A3D2B">
        <w:t xml:space="preserve">strategies for coping. </w:t>
      </w:r>
      <w:r w:rsidRPr="001A3D2B">
        <w:rPr>
          <w:i/>
          <w:iCs/>
        </w:rPr>
        <w:t>Archives</w:t>
      </w:r>
      <w:r w:rsidR="00427468">
        <w:rPr>
          <w:i/>
          <w:iCs/>
        </w:rPr>
        <w:t xml:space="preserve"> of </w:t>
      </w:r>
      <w:r w:rsidRPr="001A3D2B">
        <w:rPr>
          <w:i/>
          <w:iCs/>
        </w:rPr>
        <w:t>Dermatology</w:t>
      </w:r>
      <w:r w:rsidRPr="001A3D2B">
        <w:t xml:space="preserve">, </w:t>
      </w:r>
      <w:r w:rsidRPr="001A3D2B">
        <w:rPr>
          <w:b/>
        </w:rPr>
        <w:t>128</w:t>
      </w:r>
      <w:r w:rsidRPr="001A3D2B">
        <w:t xml:space="preserve"> (9), 1249-1256.</w:t>
      </w:r>
    </w:p>
    <w:p w:rsidR="003474F2" w:rsidRPr="001A3D2B" w:rsidRDefault="003474F2" w:rsidP="003474F2">
      <w:pPr>
        <w:pStyle w:val="a3"/>
      </w:pPr>
      <w:r w:rsidRPr="001A3D2B">
        <w:t xml:space="preserve">Full Text: </w:t>
      </w:r>
      <w:hyperlink r:id="rId1083" w:history="1">
        <w:r w:rsidR="00AB0680" w:rsidRPr="00353B4A">
          <w:rPr>
            <w:rStyle w:val="a5"/>
            <w:rFonts w:hint="eastAsia"/>
          </w:rPr>
          <w:t>1992\</w:t>
        </w:r>
        <w:r w:rsidRPr="00353B4A">
          <w:rPr>
            <w:rStyle w:val="a5"/>
            <w:iCs/>
          </w:rPr>
          <w:t>Arc Der</w:t>
        </w:r>
        <w:r w:rsidRPr="00353B4A">
          <w:rPr>
            <w:rStyle w:val="a5"/>
          </w:rPr>
          <w:t>128, 1249</w:t>
        </w:r>
        <w:r w:rsidR="00AB0680" w:rsidRPr="00353B4A">
          <w:rPr>
            <w:rStyle w:val="a5"/>
            <w:rFonts w:hint="eastAsia"/>
          </w:rPr>
          <w:t>.pdf</w:t>
        </w:r>
      </w:hyperlink>
    </w:p>
    <w:p w:rsidR="003474F2" w:rsidRPr="001A3D2B" w:rsidRDefault="003474F2" w:rsidP="003474F2">
      <w:pPr>
        <w:pStyle w:val="a3"/>
      </w:pPr>
      <w:r w:rsidRPr="001A3D2B">
        <w:t>Abstract: Background</w:t>
      </w:r>
      <w:r w:rsidR="00A37C1D">
        <w:t>. The</w:t>
      </w:r>
      <w:r w:rsidR="003A1917">
        <w:t xml:space="preserve"> </w:t>
      </w:r>
      <w:r w:rsidRPr="001A3D2B">
        <w:t>amount</w:t>
      </w:r>
      <w:r w:rsidR="00427468">
        <w:t xml:space="preserve"> of </w:t>
      </w:r>
      <w:r w:rsidRPr="001A3D2B">
        <w:t>biomedical information contained in scientific journals has grown to</w:t>
      </w:r>
      <w:r w:rsidR="003A1917">
        <w:t xml:space="preserve"> the </w:t>
      </w:r>
      <w:r w:rsidRPr="001A3D2B">
        <w:t>point that complete coverage</w:t>
      </w:r>
      <w:r w:rsidR="00427468">
        <w:t xml:space="preserve"> of </w:t>
      </w:r>
      <w:r w:rsidRPr="001A3D2B">
        <w:t>this material is impossible</w:t>
      </w:r>
      <w:r w:rsidR="00A37C1D">
        <w:t>. The</w:t>
      </w:r>
      <w:r w:rsidR="003A1917">
        <w:t xml:space="preserve"> </w:t>
      </w:r>
      <w:r w:rsidRPr="001A3D2B">
        <w:t>number</w:t>
      </w:r>
      <w:r w:rsidR="00427468">
        <w:t xml:space="preserve"> of </w:t>
      </w:r>
      <w:r w:rsidRPr="001A3D2B">
        <w:t>articles</w:t>
      </w:r>
      <w:r w:rsidR="005853A9">
        <w:t xml:space="preserve"> and </w:t>
      </w:r>
      <w:r w:rsidRPr="001A3D2B">
        <w:t>journals being published has been growing at an exponential rate since 1750. Thirty-four tho</w:t>
      </w:r>
      <w:r w:rsidR="00D5664A">
        <w:t>USA</w:t>
      </w:r>
      <w:r w:rsidRPr="001A3D2B">
        <w:t>nd references from 4000 journals are added each month to</w:t>
      </w:r>
      <w:r w:rsidR="003A1917">
        <w:t xml:space="preserve"> the </w:t>
      </w:r>
      <w:r w:rsidRPr="001A3D2B">
        <w:t>National Library</w:t>
      </w:r>
      <w:r w:rsidR="00427468">
        <w:t xml:space="preserve"> of </w:t>
      </w:r>
      <w:r w:rsidRPr="001A3D2B">
        <w:t xml:space="preserve">Medicine </w:t>
      </w:r>
      <w:r w:rsidR="00D5664A">
        <w:t>MEDLINE</w:t>
      </w:r>
      <w:r w:rsidRPr="001A3D2B">
        <w:t xml:space="preserve"> database from among</w:t>
      </w:r>
      <w:r w:rsidR="003A1917">
        <w:t xml:space="preserve"> the </w:t>
      </w:r>
      <w:r w:rsidRPr="001A3D2B">
        <w:t>more than 100</w:t>
      </w:r>
      <w:r w:rsidR="00353B4A">
        <w:rPr>
          <w:rFonts w:hint="eastAsia"/>
        </w:rPr>
        <w:t>,</w:t>
      </w:r>
      <w:r w:rsidRPr="001A3D2B">
        <w:t>000 scientific journals now published. This increase in scientific literature reflects not greater productivity but simply a larger number</w:t>
      </w:r>
      <w:r w:rsidR="00427468">
        <w:t xml:space="preserve"> of </w:t>
      </w:r>
      <w:r w:rsidRPr="001A3D2B">
        <w:t>scientists at work. Most articles written are eventually published in</w:t>
      </w:r>
      <w:r w:rsidR="003A1917">
        <w:t xml:space="preserve"> the </w:t>
      </w:r>
      <w:r w:rsidRPr="001A3D2B">
        <w:t>medical literature, but a large number</w:t>
      </w:r>
      <w:r w:rsidR="00427468">
        <w:t xml:space="preserve"> of </w:t>
      </w:r>
      <w:r w:rsidRPr="001A3D2B">
        <w:t>scientific articles are</w:t>
      </w:r>
      <w:r w:rsidR="00427468">
        <w:t xml:space="preserve"> of </w:t>
      </w:r>
      <w:r w:rsidRPr="001A3D2B">
        <w:t>less than optimal quality,</w:t>
      </w:r>
      <w:r w:rsidR="005853A9">
        <w:t xml:space="preserve"> and </w:t>
      </w:r>
      <w:r w:rsidRPr="001A3D2B">
        <w:t>most scientific articles that are published are never cited. Articles</w:t>
      </w:r>
      <w:r w:rsidR="00427468">
        <w:t xml:space="preserve"> of </w:t>
      </w:r>
      <w:r w:rsidRPr="001A3D2B">
        <w:t>higher quality</w:t>
      </w:r>
      <w:r w:rsidR="005853A9">
        <w:t xml:space="preserve"> and </w:t>
      </w:r>
      <w:r w:rsidRPr="001A3D2B">
        <w:t>usefulness cluster in a few journals that enjoy great use in medical libraries</w:t>
      </w:r>
      <w:r w:rsidR="005853A9">
        <w:t xml:space="preserve"> and </w:t>
      </w:r>
      <w:r w:rsidRPr="001A3D2B">
        <w:t>high scores on bibliometric scores such as</w:t>
      </w:r>
      <w:r w:rsidR="003A1917">
        <w:t xml:space="preserve"> the </w:t>
      </w:r>
      <w:r w:rsidRPr="001A3D2B">
        <w:t>Science Citation Index.</w:t>
      </w:r>
    </w:p>
    <w:p w:rsidR="003474F2" w:rsidRPr="001A3D2B" w:rsidRDefault="003474F2" w:rsidP="003474F2">
      <w:pPr>
        <w:pStyle w:val="a3"/>
      </w:pPr>
      <w:r w:rsidRPr="001A3D2B">
        <w:t>Observations. -To assess</w:t>
      </w:r>
      <w:r w:rsidR="003A1917">
        <w:t xml:space="preserve"> the </w:t>
      </w:r>
      <w:r w:rsidRPr="001A3D2B">
        <w:t>reading habits</w:t>
      </w:r>
      <w:r w:rsidR="00427468">
        <w:t xml:space="preserve"> of </w:t>
      </w:r>
      <w:r w:rsidRPr="001A3D2B">
        <w:t>dermatologic trainees</w:t>
      </w:r>
      <w:r w:rsidR="005853A9">
        <w:t xml:space="preserve"> and </w:t>
      </w:r>
      <w:r w:rsidRPr="001A3D2B">
        <w:t>evaluate how they cope with this information excess, a survey was distributed to 36 residents in three training programs</w:t>
      </w:r>
      <w:r w:rsidR="00A37C1D">
        <w:t>. The</w:t>
      </w:r>
      <w:r w:rsidR="003A1917">
        <w:t xml:space="preserve"> </w:t>
      </w:r>
      <w:r w:rsidRPr="001A3D2B">
        <w:t>average number</w:t>
      </w:r>
      <w:r w:rsidR="00427468">
        <w:t xml:space="preserve"> of </w:t>
      </w:r>
      <w:r w:rsidRPr="001A3D2B">
        <w:t>medical journal reading hours per month was 17;</w:t>
      </w:r>
      <w:r w:rsidR="003A1917">
        <w:t xml:space="preserve"> the </w:t>
      </w:r>
      <w:r w:rsidRPr="001A3D2B">
        <w:t>number</w:t>
      </w:r>
      <w:r w:rsidR="00427468">
        <w:t xml:space="preserve"> of </w:t>
      </w:r>
      <w:r w:rsidRPr="001A3D2B">
        <w:t>hours devoted to reading issues</w:t>
      </w:r>
      <w:r w:rsidR="00427468">
        <w:t xml:space="preserve"> of </w:t>
      </w:r>
      <w:r w:rsidR="003A1917">
        <w:t xml:space="preserve">the </w:t>
      </w:r>
      <w:r w:rsidRPr="001A3D2B">
        <w:t>Archives</w:t>
      </w:r>
      <w:r w:rsidR="00427468">
        <w:t xml:space="preserve"> of </w:t>
      </w:r>
      <w:r w:rsidRPr="001A3D2B">
        <w:t>Dermatology,</w:t>
      </w:r>
      <w:r w:rsidR="003A1917">
        <w:t xml:space="preserve"> the </w:t>
      </w:r>
      <w:r w:rsidRPr="001A3D2B">
        <w:t>Journal</w:t>
      </w:r>
      <w:r w:rsidR="00427468">
        <w:t xml:space="preserve"> of </w:t>
      </w:r>
      <w:r w:rsidR="003A1917">
        <w:t xml:space="preserve">the </w:t>
      </w:r>
      <w:r w:rsidRPr="001A3D2B">
        <w:t>American Academy</w:t>
      </w:r>
      <w:r w:rsidR="00427468">
        <w:t xml:space="preserve"> of </w:t>
      </w:r>
      <w:r w:rsidRPr="001A3D2B">
        <w:t>Dermatology,</w:t>
      </w:r>
      <w:r w:rsidR="005853A9">
        <w:t xml:space="preserve"> and </w:t>
      </w:r>
      <w:r w:rsidR="003A1917">
        <w:t xml:space="preserve">the </w:t>
      </w:r>
      <w:r w:rsidRPr="001A3D2B">
        <w:t>Journal</w:t>
      </w:r>
      <w:r w:rsidR="00427468">
        <w:t xml:space="preserve"> of </w:t>
      </w:r>
      <w:r w:rsidRPr="001A3D2B">
        <w:t>Investigative Dermatology were 3.2, 5.0,</w:t>
      </w:r>
      <w:r w:rsidR="005853A9">
        <w:t xml:space="preserve"> and </w:t>
      </w:r>
      <w:r w:rsidRPr="001A3D2B">
        <w:t>1.4, respectively;</w:t>
      </w:r>
      <w:r w:rsidR="005853A9">
        <w:t xml:space="preserve"> and </w:t>
      </w:r>
      <w:r w:rsidR="003A1917">
        <w:t xml:space="preserve">the </w:t>
      </w:r>
      <w:r w:rsidRPr="001A3D2B">
        <w:t>average resident read seven peer-reviewed journals, two to four dermatologic tabloids,</w:t>
      </w:r>
      <w:r w:rsidR="005853A9">
        <w:t xml:space="preserve"> and </w:t>
      </w:r>
      <w:r w:rsidRPr="001A3D2B">
        <w:t>four peer-reviewed medical journals.</w:t>
      </w:r>
    </w:p>
    <w:p w:rsidR="003474F2" w:rsidRPr="001A3D2B" w:rsidRDefault="003474F2" w:rsidP="003474F2">
      <w:pPr>
        <w:pStyle w:val="a3"/>
      </w:pPr>
      <w:r w:rsidRPr="001A3D2B">
        <w:t>Conclusions. -Critically</w:t>
      </w:r>
      <w:r w:rsidR="005853A9">
        <w:t xml:space="preserve"> and </w:t>
      </w:r>
      <w:r w:rsidRPr="001A3D2B">
        <w:t>consistently reading a limited number</w:t>
      </w:r>
      <w:r w:rsidR="00427468">
        <w:t xml:space="preserve"> of </w:t>
      </w:r>
      <w:r w:rsidRPr="001A3D2B">
        <w:t xml:space="preserve">high-quality </w:t>
      </w:r>
      <w:r w:rsidRPr="001A3D2B">
        <w:lastRenderedPageBreak/>
        <w:t>peer-reviewed journals as well as taking advantage</w:t>
      </w:r>
      <w:r w:rsidR="00427468">
        <w:t xml:space="preserve"> of </w:t>
      </w:r>
      <w:r w:rsidRPr="001A3D2B">
        <w:t>information available through computer networks</w:t>
      </w:r>
      <w:r w:rsidR="005853A9">
        <w:t xml:space="preserve"> and </w:t>
      </w:r>
      <w:r w:rsidRPr="001A3D2B">
        <w:t>bibliographic</w:t>
      </w:r>
      <w:r w:rsidR="005853A9">
        <w:t xml:space="preserve"> and </w:t>
      </w:r>
      <w:r w:rsidRPr="001A3D2B">
        <w:t>full-text databases is</w:t>
      </w:r>
      <w:r w:rsidR="003A1917">
        <w:t xml:space="preserve"> the </w:t>
      </w:r>
      <w:r w:rsidRPr="001A3D2B">
        <w:t>best approach to coping with</w:t>
      </w:r>
      <w:r w:rsidR="003A1917">
        <w:t xml:space="preserve"> the </w:t>
      </w:r>
      <w:r w:rsidRPr="001A3D2B">
        <w:t>volume</w:t>
      </w:r>
      <w:r w:rsidR="00427468">
        <w:t xml:space="preserve"> of </w:t>
      </w:r>
      <w:r w:rsidRPr="001A3D2B">
        <w:t>medical literature. Translating this information into a change in attitude</w:t>
      </w:r>
      <w:r w:rsidR="005853A9">
        <w:t xml:space="preserve"> and </w:t>
      </w:r>
      <w:r w:rsidRPr="001A3D2B">
        <w:t>modification</w:t>
      </w:r>
      <w:r w:rsidR="00427468">
        <w:t xml:space="preserve"> of </w:t>
      </w:r>
      <w:r w:rsidRPr="001A3D2B">
        <w:t>physician behavior is best accomplished when local role models incorporate new ideas into their practice</w:t>
      </w:r>
      <w:r w:rsidR="005853A9">
        <w:t xml:space="preserve"> and </w:t>
      </w:r>
      <w:r w:rsidRPr="001A3D2B">
        <w:t>teaching. Modifications that would, in fact, bring about truly useful changes, such as decreasing</w:t>
      </w:r>
      <w:r w:rsidR="003A1917">
        <w:t xml:space="preserve"> the </w:t>
      </w:r>
      <w:r w:rsidRPr="001A3D2B">
        <w:t>number</w:t>
      </w:r>
      <w:r w:rsidR="00427468">
        <w:t xml:space="preserve"> of </w:t>
      </w:r>
      <w:r w:rsidRPr="001A3D2B">
        <w:t>new publications, melding journals already present into smaller numbers</w:t>
      </w:r>
      <w:r w:rsidR="00427468">
        <w:t xml:space="preserve"> of </w:t>
      </w:r>
      <w:r w:rsidRPr="001A3D2B">
        <w:t>publications rather than instituting new journals, altering</w:t>
      </w:r>
      <w:r w:rsidR="003A1917">
        <w:t xml:space="preserve"> the </w:t>
      </w:r>
      <w:r w:rsidR="00700038">
        <w:t>‘</w:t>
      </w:r>
      <w:r w:rsidRPr="001A3D2B">
        <w:t>publish-or-perish</w:t>
      </w:r>
      <w:r w:rsidR="00700038">
        <w:t>’</w:t>
      </w:r>
      <w:r w:rsidRPr="001A3D2B">
        <w:t xml:space="preserve"> rules,</w:t>
      </w:r>
      <w:r w:rsidR="005853A9">
        <w:t xml:space="preserve"> and </w:t>
      </w:r>
      <w:r w:rsidRPr="001A3D2B">
        <w:t>writing more comprehensive articles rather than multiple small contributions, all await fundamental alterations in long-accepted policies in medicine.</w:t>
      </w:r>
    </w:p>
    <w:p w:rsidR="003474F2" w:rsidRPr="001A3D2B" w:rsidRDefault="003474F2" w:rsidP="003474F2">
      <w:pPr>
        <w:pStyle w:val="a3"/>
      </w:pPr>
      <w:r w:rsidRPr="001A3D2B">
        <w:t xml:space="preserve">Keywords: Approach, Attitude, Behavior, Bibliometric, Bibliometric Scores, Biomedical, Changes, Cluster, Coping, Coverage, Database, Databases, Distributed, Information, Journal, Journals, Literature, Local, Medical, Medical Journals, Medical Literature, Medicine, </w:t>
      </w:r>
      <w:r w:rsidR="00D5664A">
        <w:t>MEDLINE</w:t>
      </w:r>
      <w:r w:rsidRPr="001A3D2B">
        <w:t>, Models, Modification, Networks, Peer Reviewed Journals, Peer-Reviewed, Physician, Physician Behavior, Policies, Practice, Productivity, Publications, Quality, Reading, Resident, Role, Science Citation Index, Scientific Journals, Scientific Literature, Small, Survey, Teaching, Training, Volume, Work</w:t>
      </w:r>
    </w:p>
    <w:p w:rsidR="003474F2" w:rsidRPr="001A3D2B" w:rsidRDefault="003474F2" w:rsidP="003474F2">
      <w:pPr>
        <w:pStyle w:val="a3"/>
      </w:pPr>
      <w:r w:rsidRPr="001A3D2B">
        <w:t>Notes: JJournal</w:t>
      </w:r>
    </w:p>
    <w:p w:rsidR="003474F2" w:rsidRPr="001A3D2B" w:rsidRDefault="003474F2" w:rsidP="003474F2">
      <w:pPr>
        <w:pStyle w:val="a3"/>
      </w:pPr>
      <w:r w:rsidRPr="001A3D2B">
        <w:t xml:space="preserve">? Dubin, D., </w:t>
      </w:r>
      <w:r w:rsidR="006D17DE">
        <w:t>Hä</w:t>
      </w:r>
      <w:r w:rsidR="006D17DE" w:rsidRPr="00F219CA">
        <w:t>fner</w:t>
      </w:r>
      <w:r w:rsidRPr="001A3D2B">
        <w:t>, A.W.</w:t>
      </w:r>
      <w:r w:rsidR="005853A9">
        <w:t xml:space="preserve"> and </w:t>
      </w:r>
      <w:r w:rsidRPr="001A3D2B">
        <w:t>Arndt, K.A. (1993), Citation-classics in clinical dermatological journals: Citation analysis, biomedical journals,</w:t>
      </w:r>
      <w:r w:rsidR="005853A9">
        <w:t xml:space="preserve"> and </w:t>
      </w:r>
      <w:r w:rsidRPr="001A3D2B">
        <w:t xml:space="preserve">landmark articles, 1945-1990. </w:t>
      </w:r>
      <w:r w:rsidRPr="001A3D2B">
        <w:rPr>
          <w:i/>
          <w:iCs/>
        </w:rPr>
        <w:t>Archives</w:t>
      </w:r>
      <w:r w:rsidR="00427468">
        <w:rPr>
          <w:i/>
          <w:iCs/>
        </w:rPr>
        <w:t xml:space="preserve"> of </w:t>
      </w:r>
      <w:r w:rsidRPr="001A3D2B">
        <w:rPr>
          <w:i/>
          <w:iCs/>
        </w:rPr>
        <w:t>Dermatology</w:t>
      </w:r>
      <w:r w:rsidRPr="001A3D2B">
        <w:t xml:space="preserve">, </w:t>
      </w:r>
      <w:r w:rsidRPr="001A3D2B">
        <w:rPr>
          <w:b/>
        </w:rPr>
        <w:t>129</w:t>
      </w:r>
      <w:r w:rsidRPr="001A3D2B">
        <w:t xml:space="preserve"> (9), 1121-1129.</w:t>
      </w:r>
    </w:p>
    <w:p w:rsidR="00A16DCA" w:rsidRPr="00F219CA" w:rsidRDefault="00A16DCA" w:rsidP="00A16DCA">
      <w:pPr>
        <w:pStyle w:val="a3"/>
        <w:rPr>
          <w:kern w:val="0"/>
        </w:rPr>
      </w:pPr>
      <w:r w:rsidRPr="00F219CA">
        <w:rPr>
          <w:kern w:val="0"/>
        </w:rPr>
        <w:t xml:space="preserve">Full Text: </w:t>
      </w:r>
      <w:hyperlink r:id="rId1084" w:history="1">
        <w:r w:rsidR="0083520D" w:rsidRPr="0083520D">
          <w:rPr>
            <w:rStyle w:val="a5"/>
            <w:kern w:val="0"/>
          </w:rPr>
          <w:t>1993\Arc Der129, 1121.pdf</w:t>
        </w:r>
      </w:hyperlink>
    </w:p>
    <w:p w:rsidR="003474F2" w:rsidRPr="001A3D2B" w:rsidRDefault="003474F2" w:rsidP="003474F2">
      <w:pPr>
        <w:pStyle w:val="a3"/>
      </w:pPr>
      <w:r w:rsidRPr="001A3D2B">
        <w:t>Abstract: Background</w:t>
      </w:r>
      <w:r w:rsidR="005853A9">
        <w:t xml:space="preserve"> and </w:t>
      </w:r>
      <w:r w:rsidRPr="001A3D2B">
        <w:t>Design: Analysis</w:t>
      </w:r>
      <w:r w:rsidR="00427468">
        <w:t xml:space="preserve"> of </w:t>
      </w:r>
      <w:r w:rsidR="003A1917">
        <w:t xml:space="preserve">the </w:t>
      </w:r>
      <w:r w:rsidRPr="001A3D2B">
        <w:t>most frequently cited dermatology articles</w:t>
      </w:r>
      <w:r w:rsidR="005853A9">
        <w:t xml:space="preserve"> and </w:t>
      </w:r>
      <w:r w:rsidR="003A1917">
        <w:t xml:space="preserve">the </w:t>
      </w:r>
      <w:r w:rsidRPr="001A3D2B">
        <w:t>journals in which they appear identifies</w:t>
      </w:r>
      <w:r w:rsidR="005853A9">
        <w:t xml:space="preserve"> and </w:t>
      </w:r>
      <w:r w:rsidRPr="001A3D2B">
        <w:t>emphasizes</w:t>
      </w:r>
      <w:r w:rsidR="003A1917">
        <w:t xml:space="preserve"> the </w:t>
      </w:r>
      <w:r w:rsidRPr="001A3D2B">
        <w:t>impact</w:t>
      </w:r>
      <w:r w:rsidR="00427468">
        <w:t xml:space="preserve"> of </w:t>
      </w:r>
      <w:r w:rsidRPr="001A3D2B">
        <w:t>works</w:t>
      </w:r>
      <w:r w:rsidR="00427468">
        <w:t xml:space="preserve"> of </w:t>
      </w:r>
      <w:r w:rsidRPr="001A3D2B">
        <w:t>colleagues</w:t>
      </w:r>
      <w:r w:rsidR="005853A9">
        <w:t xml:space="preserve"> and </w:t>
      </w:r>
      <w:r w:rsidRPr="001A3D2B">
        <w:t>predecessors, recognizes key advances in cutaneous medicine</w:t>
      </w:r>
      <w:r w:rsidR="005853A9">
        <w:t xml:space="preserve"> and </w:t>
      </w:r>
      <w:r w:rsidRPr="001A3D2B">
        <w:t>surgery,</w:t>
      </w:r>
      <w:r w:rsidR="005853A9">
        <w:t xml:space="preserve"> and </w:t>
      </w:r>
      <w:r w:rsidRPr="001A3D2B">
        <w:t>adds useful data about historical developments in dermatology. Use</w:t>
      </w:r>
      <w:r w:rsidR="00427468">
        <w:t xml:space="preserve"> of </w:t>
      </w:r>
      <w:r w:rsidRPr="001A3D2B">
        <w:t>citation analysis to examine</w:t>
      </w:r>
      <w:r w:rsidR="003A1917">
        <w:t xml:space="preserve"> the </w:t>
      </w:r>
      <w:r w:rsidRPr="001A3D2B">
        <w:t>dermatologic literature reveals quantitative information about authors, articles,</w:t>
      </w:r>
      <w:r w:rsidR="005853A9">
        <w:t xml:space="preserve"> and </w:t>
      </w:r>
      <w:r w:rsidRPr="001A3D2B">
        <w:t>journals helpful in identifying classic works</w:t>
      </w:r>
      <w:r w:rsidR="005853A9">
        <w:t xml:space="preserve"> and </w:t>
      </w:r>
      <w:r w:rsidRPr="001A3D2B">
        <w:t>high-impact journals. We analyze</w:t>
      </w:r>
      <w:r w:rsidR="003A1917">
        <w:t xml:space="preserve"> the </w:t>
      </w:r>
      <w:r w:rsidRPr="001A3D2B">
        <w:t>characteristics</w:t>
      </w:r>
      <w:r w:rsidR="00427468">
        <w:t xml:space="preserve"> of </w:t>
      </w:r>
      <w:r w:rsidRPr="001A3D2B">
        <w:t>all dermatology articles cited 100 or more times in one</w:t>
      </w:r>
      <w:r w:rsidR="00427468">
        <w:t xml:space="preserve"> of </w:t>
      </w:r>
      <w:r w:rsidR="003A1917">
        <w:t xml:space="preserve">the </w:t>
      </w:r>
      <w:r w:rsidRPr="001A3D2B">
        <w:t>10 most highly ranked clinical dermatology journals as indicated by</w:t>
      </w:r>
      <w:r w:rsidR="003A1917">
        <w:t xml:space="preserve"> the </w:t>
      </w:r>
      <w:r w:rsidRPr="001A3D2B">
        <w:t>Institute</w:t>
      </w:r>
      <w:r w:rsidR="00427468">
        <w:t xml:space="preserve"> of </w:t>
      </w:r>
      <w:r w:rsidRPr="001A3D2B">
        <w:t>Scientific Information (</w:t>
      </w:r>
      <w:smartTag w:uri="urn:schemas-microsoft-com:office:smarttags" w:element="place">
        <w:smartTag w:uri="urn:schemas-microsoft-com:office:smarttags" w:element="City">
          <w:r w:rsidRPr="001A3D2B">
            <w:t>Philadelphia</w:t>
          </w:r>
        </w:smartTag>
        <w:r w:rsidRPr="001A3D2B">
          <w:t xml:space="preserve">, </w:t>
        </w:r>
        <w:smartTag w:uri="urn:schemas-microsoft-com:office:smarttags" w:element="State">
          <w:r w:rsidRPr="001A3D2B">
            <w:t>PA</w:t>
          </w:r>
        </w:smartTag>
      </w:smartTag>
      <w:r w:rsidRPr="001A3D2B">
        <w:t>) database from 1945 through 1990</w:t>
      </w:r>
      <w:r w:rsidR="005853A9">
        <w:t xml:space="preserve"> and </w:t>
      </w:r>
      <w:r w:rsidRPr="001A3D2B">
        <w:t>also discuss</w:t>
      </w:r>
      <w:r w:rsidR="003A1917">
        <w:t xml:space="preserve"> the </w:t>
      </w:r>
      <w:r w:rsidRPr="001A3D2B">
        <w:t>standard and, as well, more recently described bibliometic indexes for dermatologic journals.</w:t>
      </w:r>
    </w:p>
    <w:p w:rsidR="003474F2" w:rsidRPr="001A3D2B" w:rsidRDefault="003474F2" w:rsidP="003474F2">
      <w:pPr>
        <w:pStyle w:val="a3"/>
      </w:pPr>
      <w:r w:rsidRPr="001A3D2B">
        <w:t>Results: Thirty-one institutions located in 11 different countries produced 129 landmark articles. Ninety-two percent</w:t>
      </w:r>
      <w:r w:rsidR="00427468">
        <w:t xml:space="preserve"> of </w:t>
      </w:r>
      <w:r w:rsidR="003A1917">
        <w:t xml:space="preserve">the </w:t>
      </w:r>
      <w:r w:rsidRPr="001A3D2B">
        <w:t>citation classics originated in</w:t>
      </w:r>
      <w:r w:rsidR="003A1917">
        <w:t xml:space="preserve"> the </w:t>
      </w:r>
      <w:r w:rsidRPr="001A3D2B">
        <w:t xml:space="preserve">United States, </w:t>
      </w:r>
      <w:smartTag w:uri="urn:schemas-microsoft-com:office:smarttags" w:element="country-region">
        <w:r w:rsidRPr="001A3D2B">
          <w:t>United Kingdom</w:t>
        </w:r>
      </w:smartTag>
      <w:r w:rsidRPr="001A3D2B">
        <w:t xml:space="preserve">, </w:t>
      </w:r>
      <w:smartTag w:uri="urn:schemas-microsoft-com:office:smarttags" w:element="country-region">
        <w:r w:rsidRPr="001A3D2B">
          <w:t>Sweden</w:t>
        </w:r>
      </w:smartTag>
      <w:r w:rsidRPr="001A3D2B">
        <w:t>,</w:t>
      </w:r>
      <w:r w:rsidR="005853A9">
        <w:t xml:space="preserve"> and </w:t>
      </w:r>
      <w:r w:rsidRPr="001A3D2B">
        <w:t>Germany</w:t>
      </w:r>
      <w:r w:rsidR="00A37C1D">
        <w:t>. The</w:t>
      </w:r>
      <w:r w:rsidRPr="001A3D2B">
        <w:t>re were 16 authors with three or more top-cited articles. Fifty-two percent</w:t>
      </w:r>
      <w:r w:rsidR="00427468">
        <w:t xml:space="preserve"> of </w:t>
      </w:r>
      <w:r w:rsidR="003A1917">
        <w:t xml:space="preserve">the </w:t>
      </w:r>
      <w:r w:rsidRPr="001A3D2B">
        <w:t>articles were</w:t>
      </w:r>
      <w:r w:rsidR="00427468">
        <w:t xml:space="preserve"> of </w:t>
      </w:r>
      <w:r w:rsidR="003A1917">
        <w:t xml:space="preserve">the </w:t>
      </w:r>
      <w:r w:rsidRPr="001A3D2B">
        <w:t xml:space="preserve">clinical type, 22% </w:t>
      </w:r>
      <w:r w:rsidRPr="001A3D2B">
        <w:lastRenderedPageBreak/>
        <w:t>were clinical review articles,</w:t>
      </w:r>
      <w:r w:rsidR="005853A9">
        <w:t xml:space="preserve"> and </w:t>
      </w:r>
      <w:r w:rsidRPr="001A3D2B">
        <w:t>26% discussed basic science topics</w:t>
      </w:r>
      <w:r w:rsidR="00A37C1D">
        <w:t>. The</w:t>
      </w:r>
      <w:r w:rsidR="003A1917">
        <w:t xml:space="preserve"> </w:t>
      </w:r>
      <w:r w:rsidRPr="001A3D2B">
        <w:t>mean number</w:t>
      </w:r>
      <w:r w:rsidR="00427468">
        <w:t xml:space="preserve"> of </w:t>
      </w:r>
      <w:r w:rsidRPr="001A3D2B">
        <w:t>authors has increased gradually over</w:t>
      </w:r>
      <w:r w:rsidR="003A1917">
        <w:t xml:space="preserve"> the </w:t>
      </w:r>
      <w:r w:rsidRPr="001A3D2B">
        <w:t>past 80 years</w:t>
      </w:r>
      <w:r w:rsidR="00A37C1D">
        <w:t>. The</w:t>
      </w:r>
      <w:r w:rsidR="003A1917">
        <w:t xml:space="preserve"> </w:t>
      </w:r>
      <w:r w:rsidRPr="001A3D2B">
        <w:t>average classic article was published in 1969, peaked in popularity 9 years later with 26 peer citations,</w:t>
      </w:r>
      <w:r w:rsidR="005853A9">
        <w:t xml:space="preserve"> and </w:t>
      </w:r>
      <w:r w:rsidRPr="001A3D2B">
        <w:t>received only 11 citations in 1990.</w:t>
      </w:r>
    </w:p>
    <w:p w:rsidR="003474F2" w:rsidRPr="001A3D2B" w:rsidRDefault="003474F2" w:rsidP="003474F2">
      <w:pPr>
        <w:pStyle w:val="a3"/>
      </w:pPr>
      <w:r w:rsidRPr="001A3D2B">
        <w:t>Conclusions: Citation frequency</w:t>
      </w:r>
      <w:r w:rsidR="005853A9">
        <w:t xml:space="preserve"> and </w:t>
      </w:r>
      <w:r w:rsidRPr="001A3D2B">
        <w:t>citation analysis reveal useful</w:t>
      </w:r>
      <w:r w:rsidR="005853A9">
        <w:t xml:space="preserve"> and </w:t>
      </w:r>
      <w:r w:rsidRPr="001A3D2B">
        <w:t>interesting information about scientific communication</w:t>
      </w:r>
      <w:r w:rsidR="00A37C1D">
        <w:t>. The</w:t>
      </w:r>
      <w:r w:rsidR="003A1917">
        <w:t xml:space="preserve"> </w:t>
      </w:r>
      <w:r w:rsidRPr="001A3D2B">
        <w:t>data on citation classics we describe can be interpreted in many ways, but certainly reflects</w:t>
      </w:r>
      <w:r w:rsidR="003A1917">
        <w:t xml:space="preserve"> the </w:t>
      </w:r>
      <w:r w:rsidRPr="001A3D2B">
        <w:t>attention that articles have received over</w:t>
      </w:r>
      <w:r w:rsidR="003A1917">
        <w:t xml:space="preserve"> the </w:t>
      </w:r>
      <w:r w:rsidRPr="001A3D2B">
        <w:t>past 48 years</w:t>
      </w:r>
      <w:r w:rsidR="00A37C1D">
        <w:t>. The</w:t>
      </w:r>
      <w:r w:rsidR="003A1917">
        <w:t xml:space="preserve"> </w:t>
      </w:r>
      <w:r w:rsidRPr="001A3D2B">
        <w:t>half-life</w:t>
      </w:r>
      <w:r w:rsidR="00427468">
        <w:t xml:space="preserve"> of </w:t>
      </w:r>
      <w:r w:rsidR="003A1917">
        <w:t xml:space="preserve">the </w:t>
      </w:r>
      <w:r w:rsidRPr="001A3D2B">
        <w:t>average citation classic</w:t>
      </w:r>
      <w:r w:rsidR="00427468">
        <w:t xml:space="preserve"> of </w:t>
      </w:r>
      <w:r w:rsidRPr="001A3D2B">
        <w:t>about 10 years reflects</w:t>
      </w:r>
      <w:r w:rsidR="003A1917">
        <w:t xml:space="preserve"> the </w:t>
      </w:r>
      <w:r w:rsidRPr="001A3D2B">
        <w:t>rapid pace</w:t>
      </w:r>
      <w:r w:rsidR="00427468">
        <w:t xml:space="preserve"> of </w:t>
      </w:r>
      <w:r w:rsidRPr="001A3D2B">
        <w:t>advances in</w:t>
      </w:r>
      <w:r w:rsidR="003A1917">
        <w:t xml:space="preserve"> the </w:t>
      </w:r>
      <w:r w:rsidRPr="001A3D2B">
        <w:t>science</w:t>
      </w:r>
      <w:r w:rsidR="005853A9">
        <w:t xml:space="preserve"> and </w:t>
      </w:r>
      <w:r w:rsidRPr="001A3D2B">
        <w:t>practice</w:t>
      </w:r>
      <w:r w:rsidR="00427468">
        <w:t xml:space="preserve"> of </w:t>
      </w:r>
      <w:r w:rsidRPr="001A3D2B">
        <w:t>dermatology over</w:t>
      </w:r>
      <w:r w:rsidR="003A1917">
        <w:t xml:space="preserve"> the </w:t>
      </w:r>
      <w:r w:rsidRPr="001A3D2B">
        <w:t>past several decades. This information, along with current bibliometric indexes, may assist physicians in optimizing</w:t>
      </w:r>
      <w:r w:rsidR="003A1917">
        <w:t xml:space="preserve"> the </w:t>
      </w:r>
      <w:r w:rsidRPr="001A3D2B">
        <w:t>time they spend reading</w:t>
      </w:r>
      <w:r w:rsidR="003A1917">
        <w:t xml:space="preserve"> the </w:t>
      </w:r>
      <w:r w:rsidRPr="001A3D2B">
        <w:t>medical literature.</w:t>
      </w:r>
    </w:p>
    <w:p w:rsidR="003474F2" w:rsidRPr="001A3D2B" w:rsidRDefault="003474F2" w:rsidP="003474F2">
      <w:pPr>
        <w:pStyle w:val="a3"/>
      </w:pPr>
      <w:r w:rsidRPr="001A3D2B">
        <w:t>Keywords: Advances, Analysis, Attention, Autho</w:t>
      </w:r>
      <w:bookmarkStart w:id="561" w:name="_Toc30179491"/>
      <w:r w:rsidRPr="001A3D2B">
        <w:t>rs, Bibliometric, Bibliometric Indexes, Characteristics, Citation, Citation Analysis, Citation Classics, Citations, Clinical, Communication, Data, Database, Germany, Half-Life, Impact, Indexes, Information, Institutions, Journals, Literature, Medical, Medical Literature, Medicine, Peer, Physicians, Practice, Rapid, Reading, Review, Science, Scientific Communication, Standard, Surgery, Sweden, Time, United Kingdom, United States</w:t>
      </w:r>
    </w:p>
    <w:p w:rsidR="00325E77" w:rsidRPr="001A3D2B" w:rsidRDefault="00325E77" w:rsidP="00325E77">
      <w:pPr>
        <w:pStyle w:val="a3"/>
        <w:rPr>
          <w:kern w:val="0"/>
        </w:rPr>
      </w:pPr>
      <w:r w:rsidRPr="001A3D2B">
        <w:rPr>
          <w:kern w:val="0"/>
        </w:rPr>
        <w:t>? Dubin, D.B.</w:t>
      </w:r>
      <w:r w:rsidR="005853A9">
        <w:rPr>
          <w:kern w:val="0"/>
        </w:rPr>
        <w:t xml:space="preserve"> and </w:t>
      </w:r>
      <w:r w:rsidRPr="001A3D2B">
        <w:rPr>
          <w:kern w:val="0"/>
        </w:rPr>
        <w:t>Arndt, K.A. (1997</w:t>
      </w:r>
      <w:r w:rsidR="00F42EAC">
        <w:rPr>
          <w:kern w:val="0"/>
        </w:rPr>
        <w:t>), The</w:t>
      </w:r>
      <w:r w:rsidR="003A1917">
        <w:rPr>
          <w:kern w:val="0"/>
        </w:rPr>
        <w:t xml:space="preserve"> </w:t>
      </w:r>
      <w:r w:rsidRPr="001A3D2B">
        <w:rPr>
          <w:kern w:val="0"/>
        </w:rPr>
        <w:t>homelands</w:t>
      </w:r>
      <w:r w:rsidR="00427468">
        <w:rPr>
          <w:kern w:val="0"/>
        </w:rPr>
        <w:t xml:space="preserve"> of </w:t>
      </w:r>
      <w:r w:rsidRPr="001A3D2B">
        <w:rPr>
          <w:kern w:val="0"/>
        </w:rPr>
        <w:t xml:space="preserve">top-cited articles. </w:t>
      </w:r>
      <w:r w:rsidRPr="001A3D2B">
        <w:rPr>
          <w:i/>
          <w:iCs/>
          <w:kern w:val="0"/>
        </w:rPr>
        <w:t>Archives</w:t>
      </w:r>
      <w:r w:rsidR="00427468">
        <w:rPr>
          <w:i/>
          <w:iCs/>
          <w:kern w:val="0"/>
        </w:rPr>
        <w:t xml:space="preserve"> of </w:t>
      </w:r>
      <w:r w:rsidRPr="001A3D2B">
        <w:rPr>
          <w:i/>
          <w:iCs/>
          <w:kern w:val="0"/>
        </w:rPr>
        <w:t>Dermatology</w:t>
      </w:r>
      <w:r w:rsidRPr="001A3D2B">
        <w:rPr>
          <w:kern w:val="0"/>
        </w:rPr>
        <w:t xml:space="preserve">, </w:t>
      </w:r>
      <w:r w:rsidRPr="001A3D2B">
        <w:rPr>
          <w:b/>
          <w:bCs/>
          <w:kern w:val="0"/>
        </w:rPr>
        <w:t>133</w:t>
      </w:r>
      <w:r w:rsidRPr="001A3D2B">
        <w:rPr>
          <w:kern w:val="0"/>
        </w:rPr>
        <w:t xml:space="preserve"> (1), 21-22</w:t>
      </w:r>
      <w:r w:rsidR="00F54FE8">
        <w:rPr>
          <w:rFonts w:hint="eastAsia"/>
          <w:kern w:val="0"/>
        </w:rPr>
        <w:t>.</w:t>
      </w:r>
    </w:p>
    <w:p w:rsidR="00F54FE8" w:rsidRPr="00F219CA" w:rsidRDefault="00F54FE8" w:rsidP="00F54FE8">
      <w:pPr>
        <w:pStyle w:val="a3"/>
        <w:rPr>
          <w:kern w:val="0"/>
        </w:rPr>
      </w:pPr>
      <w:r w:rsidRPr="00F219CA">
        <w:rPr>
          <w:kern w:val="0"/>
        </w:rPr>
        <w:t xml:space="preserve">Full Text: </w:t>
      </w:r>
      <w:hyperlink r:id="rId1085" w:history="1">
        <w:r w:rsidR="00353B4A" w:rsidRPr="00353B4A">
          <w:rPr>
            <w:rStyle w:val="a5"/>
            <w:kern w:val="0"/>
          </w:rPr>
          <w:t>1997\Arc Der133, 21.pdf</w:t>
        </w:r>
      </w:hyperlink>
    </w:p>
    <w:p w:rsidR="00325E77" w:rsidRPr="001A3D2B" w:rsidRDefault="00325E77" w:rsidP="00325E77">
      <w:pPr>
        <w:pStyle w:val="a3"/>
        <w:rPr>
          <w:kern w:val="0"/>
        </w:rPr>
      </w:pPr>
      <w:r w:rsidRPr="001A3D2B">
        <w:rPr>
          <w:kern w:val="0"/>
        </w:rPr>
        <w:t>? Stern, R.S.</w:t>
      </w:r>
      <w:r w:rsidR="005853A9">
        <w:rPr>
          <w:kern w:val="0"/>
        </w:rPr>
        <w:t xml:space="preserve"> and </w:t>
      </w:r>
      <w:r w:rsidRPr="001A3D2B">
        <w:rPr>
          <w:kern w:val="0"/>
        </w:rPr>
        <w:t xml:space="preserve">Arndt, K.A. (1999), Top cited authors in dermatology - A citation study from 24 journals: 1982-1996. </w:t>
      </w:r>
      <w:r w:rsidRPr="001A3D2B">
        <w:rPr>
          <w:i/>
          <w:iCs/>
          <w:kern w:val="0"/>
        </w:rPr>
        <w:t>Archives</w:t>
      </w:r>
      <w:r w:rsidR="00427468">
        <w:rPr>
          <w:i/>
          <w:iCs/>
          <w:kern w:val="0"/>
        </w:rPr>
        <w:t xml:space="preserve"> of </w:t>
      </w:r>
      <w:r w:rsidRPr="001A3D2B">
        <w:rPr>
          <w:i/>
          <w:iCs/>
          <w:kern w:val="0"/>
        </w:rPr>
        <w:t>Dermatology</w:t>
      </w:r>
      <w:r w:rsidRPr="001A3D2B">
        <w:rPr>
          <w:kern w:val="0"/>
        </w:rPr>
        <w:t xml:space="preserve">, </w:t>
      </w:r>
      <w:r w:rsidRPr="001A3D2B">
        <w:rPr>
          <w:b/>
          <w:bCs/>
          <w:kern w:val="0"/>
        </w:rPr>
        <w:t>135</w:t>
      </w:r>
      <w:r w:rsidRPr="001A3D2B">
        <w:rPr>
          <w:kern w:val="0"/>
        </w:rPr>
        <w:t xml:space="preserve"> (3), 299-302.</w:t>
      </w:r>
    </w:p>
    <w:p w:rsidR="00325E77" w:rsidRPr="001A3D2B" w:rsidRDefault="00325E77" w:rsidP="00325E77">
      <w:pPr>
        <w:pStyle w:val="a3"/>
        <w:rPr>
          <w:kern w:val="0"/>
        </w:rPr>
      </w:pPr>
      <w:r w:rsidRPr="001A3D2B">
        <w:rPr>
          <w:kern w:val="0"/>
        </w:rPr>
        <w:t xml:space="preserve">Full Text: </w:t>
      </w:r>
      <w:hyperlink r:id="rId1086" w:history="1">
        <w:r w:rsidRPr="001A3D2B">
          <w:rPr>
            <w:rStyle w:val="a5"/>
            <w:kern w:val="0"/>
          </w:rPr>
          <w:t>1999\Arc Der135, 299.pdf</w:t>
        </w:r>
      </w:hyperlink>
    </w:p>
    <w:p w:rsidR="00325E77" w:rsidRPr="001A3D2B" w:rsidRDefault="00325E77" w:rsidP="00325E77">
      <w:pPr>
        <w:pStyle w:val="a3"/>
        <w:rPr>
          <w:kern w:val="0"/>
        </w:rPr>
      </w:pPr>
      <w:r w:rsidRPr="001A3D2B">
        <w:rPr>
          <w:kern w:val="0"/>
        </w:rPr>
        <w:t>Abstract: Background: One measure</w:t>
      </w:r>
      <w:r w:rsidR="00427468">
        <w:rPr>
          <w:kern w:val="0"/>
        </w:rPr>
        <w:t xml:space="preserve"> of </w:t>
      </w:r>
      <w:r w:rsidR="003A1917">
        <w:rPr>
          <w:kern w:val="0"/>
        </w:rPr>
        <w:t xml:space="preserve">the </w:t>
      </w:r>
      <w:r w:rsidRPr="001A3D2B">
        <w:rPr>
          <w:kern w:val="0"/>
        </w:rPr>
        <w:t>impact</w:t>
      </w:r>
      <w:r w:rsidR="00427468">
        <w:rPr>
          <w:kern w:val="0"/>
        </w:rPr>
        <w:t xml:space="preserve"> of </w:t>
      </w:r>
      <w:r w:rsidRPr="001A3D2B">
        <w:rPr>
          <w:kern w:val="0"/>
        </w:rPr>
        <w:t>a medical article is how often it is cited in other articles. Many authors</w:t>
      </w:r>
      <w:r w:rsidR="00427468">
        <w:rPr>
          <w:kern w:val="0"/>
        </w:rPr>
        <w:t xml:space="preserve"> of </w:t>
      </w:r>
      <w:r w:rsidRPr="001A3D2B">
        <w:rPr>
          <w:kern w:val="0"/>
        </w:rPr>
        <w:t>articles published in dermatologic journals are seldom, if ever, cited while other authors are often cited. Objective: To identify</w:t>
      </w:r>
      <w:r w:rsidR="003A1917">
        <w:rPr>
          <w:kern w:val="0"/>
        </w:rPr>
        <w:t xml:space="preserve"> the </w:t>
      </w:r>
      <w:r w:rsidRPr="001A3D2B">
        <w:rPr>
          <w:kern w:val="0"/>
        </w:rPr>
        <w:t>25 authors whose publications in</w:t>
      </w:r>
      <w:r w:rsidR="003A1917">
        <w:rPr>
          <w:kern w:val="0"/>
        </w:rPr>
        <w:t xml:space="preserve"> the </w:t>
      </w:r>
      <w:r w:rsidRPr="001A3D2B">
        <w:rPr>
          <w:kern w:val="0"/>
        </w:rPr>
        <w:t>dermatology literature were most often cited. Design: We obtained a citation database from</w:t>
      </w:r>
      <w:r w:rsidR="003A1917">
        <w:rPr>
          <w:kern w:val="0"/>
        </w:rPr>
        <w:t xml:space="preserve"> the </w:t>
      </w:r>
      <w:r w:rsidRPr="001A3D2B">
        <w:rPr>
          <w:kern w:val="0"/>
        </w:rPr>
        <w:t>Institute for Scientific Information. From this database we separately quantified</w:t>
      </w:r>
      <w:r w:rsidR="003A1917">
        <w:rPr>
          <w:kern w:val="0"/>
        </w:rPr>
        <w:t xml:space="preserve"> the </w:t>
      </w:r>
      <w:r w:rsidRPr="001A3D2B">
        <w:rPr>
          <w:kern w:val="0"/>
        </w:rPr>
        <w:t>total number</w:t>
      </w:r>
      <w:r w:rsidR="00427468">
        <w:rPr>
          <w:kern w:val="0"/>
        </w:rPr>
        <w:t xml:space="preserve"> of </w:t>
      </w:r>
      <w:r w:rsidRPr="001A3D2B">
        <w:rPr>
          <w:kern w:val="0"/>
        </w:rPr>
        <w:t>citations for each author</w:t>
      </w:r>
      <w:r w:rsidR="005853A9">
        <w:rPr>
          <w:kern w:val="0"/>
        </w:rPr>
        <w:t xml:space="preserve"> and </w:t>
      </w:r>
      <w:r w:rsidR="003A1917">
        <w:rPr>
          <w:kern w:val="0"/>
        </w:rPr>
        <w:t xml:space="preserve">the </w:t>
      </w:r>
      <w:r w:rsidRPr="001A3D2B">
        <w:rPr>
          <w:kern w:val="0"/>
        </w:rPr>
        <w:t>total number</w:t>
      </w:r>
      <w:r w:rsidR="00427468">
        <w:rPr>
          <w:kern w:val="0"/>
        </w:rPr>
        <w:t xml:space="preserve"> of </w:t>
      </w:r>
      <w:r w:rsidRPr="001A3D2B">
        <w:rPr>
          <w:kern w:val="0"/>
        </w:rPr>
        <w:t>citations to first authors</w:t>
      </w:r>
      <w:r w:rsidR="00427468">
        <w:rPr>
          <w:kern w:val="0"/>
        </w:rPr>
        <w:t xml:space="preserve"> of </w:t>
      </w:r>
      <w:r w:rsidRPr="001A3D2B">
        <w:rPr>
          <w:kern w:val="0"/>
        </w:rPr>
        <w:t>original articles. Setting: Dermatology journals. Subjects: All authors</w:t>
      </w:r>
      <w:r w:rsidR="00427468">
        <w:rPr>
          <w:kern w:val="0"/>
        </w:rPr>
        <w:t xml:space="preserve"> of </w:t>
      </w:r>
      <w:r w:rsidRPr="001A3D2B">
        <w:rPr>
          <w:kern w:val="0"/>
        </w:rPr>
        <w:t>papers published in 24 dermatology journals between 1981</w:t>
      </w:r>
      <w:r w:rsidR="005853A9">
        <w:rPr>
          <w:kern w:val="0"/>
        </w:rPr>
        <w:t xml:space="preserve"> and </w:t>
      </w:r>
      <w:r w:rsidRPr="001A3D2B">
        <w:rPr>
          <w:kern w:val="0"/>
        </w:rPr>
        <w:t>1996. Intervention: None. Main Outcome Measure: Number</w:t>
      </w:r>
      <w:r w:rsidR="00427468">
        <w:rPr>
          <w:kern w:val="0"/>
        </w:rPr>
        <w:t xml:space="preserve"> of </w:t>
      </w:r>
      <w:r w:rsidRPr="001A3D2B">
        <w:rPr>
          <w:kern w:val="0"/>
        </w:rPr>
        <w:t>citations. Results: If all articles irrespective</w:t>
      </w:r>
      <w:r w:rsidR="00427468">
        <w:rPr>
          <w:kern w:val="0"/>
        </w:rPr>
        <w:t xml:space="preserve"> of </w:t>
      </w:r>
      <w:r w:rsidR="003A1917">
        <w:rPr>
          <w:kern w:val="0"/>
        </w:rPr>
        <w:t xml:space="preserve">the </w:t>
      </w:r>
      <w:r w:rsidRPr="001A3D2B">
        <w:rPr>
          <w:kern w:val="0"/>
        </w:rPr>
        <w:t>author</w:t>
      </w:r>
      <w:r w:rsidR="00700038">
        <w:rPr>
          <w:kern w:val="0"/>
        </w:rPr>
        <w:t>’</w:t>
      </w:r>
      <w:r w:rsidR="00C13DDC">
        <w:rPr>
          <w:kern w:val="0"/>
        </w:rPr>
        <w:t>s</w:t>
      </w:r>
      <w:r w:rsidRPr="001A3D2B">
        <w:rPr>
          <w:kern w:val="0"/>
        </w:rPr>
        <w:t xml:space="preserve"> listing (eg, first or second) are counted,</w:t>
      </w:r>
      <w:r w:rsidR="003A1917">
        <w:rPr>
          <w:kern w:val="0"/>
        </w:rPr>
        <w:t xml:space="preserve"> the </w:t>
      </w:r>
      <w:r w:rsidRPr="001A3D2B">
        <w:rPr>
          <w:kern w:val="0"/>
        </w:rPr>
        <w:t>top 25 cited authors in</w:t>
      </w:r>
      <w:r w:rsidR="003A1917">
        <w:rPr>
          <w:kern w:val="0"/>
        </w:rPr>
        <w:t xml:space="preserve"> the </w:t>
      </w:r>
      <w:r w:rsidRPr="001A3D2B">
        <w:rPr>
          <w:kern w:val="0"/>
        </w:rPr>
        <w:t>dermatology literature from 1981 to 1996 were cited between 1480</w:t>
      </w:r>
      <w:r w:rsidR="005853A9">
        <w:rPr>
          <w:kern w:val="0"/>
        </w:rPr>
        <w:t xml:space="preserve"> and </w:t>
      </w:r>
      <w:r w:rsidRPr="001A3D2B">
        <w:rPr>
          <w:kern w:val="0"/>
        </w:rPr>
        <w:t>4706 times. If only citations</w:t>
      </w:r>
      <w:r w:rsidR="005853A9">
        <w:rPr>
          <w:kern w:val="0"/>
        </w:rPr>
        <w:t xml:space="preserve"> and </w:t>
      </w:r>
      <w:r w:rsidRPr="001A3D2B">
        <w:rPr>
          <w:kern w:val="0"/>
        </w:rPr>
        <w:t>articles</w:t>
      </w:r>
      <w:r w:rsidR="00427468">
        <w:rPr>
          <w:kern w:val="0"/>
        </w:rPr>
        <w:t xml:space="preserve"> of </w:t>
      </w:r>
      <w:r w:rsidRPr="001A3D2B">
        <w:rPr>
          <w:kern w:val="0"/>
        </w:rPr>
        <w:t>which an author was</w:t>
      </w:r>
      <w:r w:rsidR="003A1917">
        <w:rPr>
          <w:kern w:val="0"/>
        </w:rPr>
        <w:t xml:space="preserve"> the </w:t>
      </w:r>
      <w:r w:rsidRPr="001A3D2B">
        <w:rPr>
          <w:kern w:val="0"/>
        </w:rPr>
        <w:t>first listed author are counted,</w:t>
      </w:r>
      <w:r w:rsidR="003A1917">
        <w:rPr>
          <w:kern w:val="0"/>
        </w:rPr>
        <w:t xml:space="preserve"> the </w:t>
      </w:r>
      <w:r w:rsidRPr="001A3D2B">
        <w:rPr>
          <w:kern w:val="0"/>
        </w:rPr>
        <w:t>top 25 authors were cited between 400</w:t>
      </w:r>
      <w:r w:rsidR="005853A9">
        <w:rPr>
          <w:kern w:val="0"/>
        </w:rPr>
        <w:t xml:space="preserve"> and </w:t>
      </w:r>
      <w:r w:rsidRPr="001A3D2B">
        <w:rPr>
          <w:kern w:val="0"/>
        </w:rPr>
        <w:t>813 times. Only 4 authors were among</w:t>
      </w:r>
      <w:r w:rsidR="003A1917">
        <w:rPr>
          <w:kern w:val="0"/>
        </w:rPr>
        <w:t xml:space="preserve"> the </w:t>
      </w:r>
      <w:r w:rsidRPr="001A3D2B">
        <w:rPr>
          <w:kern w:val="0"/>
        </w:rPr>
        <w:t>top 25 cited authors by both criteria. Conclusions: A relatively small proportion</w:t>
      </w:r>
      <w:r w:rsidR="00427468">
        <w:rPr>
          <w:kern w:val="0"/>
        </w:rPr>
        <w:t xml:space="preserve"> of </w:t>
      </w:r>
      <w:r w:rsidRPr="001A3D2B">
        <w:rPr>
          <w:kern w:val="0"/>
        </w:rPr>
        <w:t xml:space="preserve">all authors </w:t>
      </w:r>
      <w:r w:rsidRPr="001A3D2B">
        <w:rPr>
          <w:kern w:val="0"/>
        </w:rPr>
        <w:lastRenderedPageBreak/>
        <w:t>account for a high proportion</w:t>
      </w:r>
      <w:r w:rsidR="00427468">
        <w:rPr>
          <w:kern w:val="0"/>
        </w:rPr>
        <w:t xml:space="preserve"> of </w:t>
      </w:r>
      <w:r w:rsidRPr="001A3D2B">
        <w:rPr>
          <w:kern w:val="0"/>
        </w:rPr>
        <w:t>all citations</w:t>
      </w:r>
      <w:r w:rsidR="00427468">
        <w:rPr>
          <w:kern w:val="0"/>
        </w:rPr>
        <w:t xml:space="preserve"> of </w:t>
      </w:r>
      <w:r w:rsidR="003A1917">
        <w:rPr>
          <w:kern w:val="0"/>
        </w:rPr>
        <w:t xml:space="preserve">the </w:t>
      </w:r>
      <w:r w:rsidRPr="001A3D2B">
        <w:rPr>
          <w:kern w:val="0"/>
        </w:rPr>
        <w:t>dermatologic literature</w:t>
      </w:r>
      <w:r w:rsidR="00A37C1D">
        <w:rPr>
          <w:kern w:val="0"/>
        </w:rPr>
        <w:t>. The</w:t>
      </w:r>
      <w:r w:rsidR="003A1917">
        <w:rPr>
          <w:kern w:val="0"/>
        </w:rPr>
        <w:t xml:space="preserve"> </w:t>
      </w:r>
      <w:r w:rsidRPr="001A3D2B">
        <w:rPr>
          <w:kern w:val="0"/>
        </w:rPr>
        <w:t>most frequently cited first authors</w:t>
      </w:r>
      <w:r w:rsidR="00427468">
        <w:rPr>
          <w:kern w:val="0"/>
        </w:rPr>
        <w:t xml:space="preserve"> of </w:t>
      </w:r>
      <w:r w:rsidRPr="001A3D2B">
        <w:rPr>
          <w:kern w:val="0"/>
        </w:rPr>
        <w:t>original articles were different in 84%</w:t>
      </w:r>
      <w:r w:rsidR="00427468">
        <w:rPr>
          <w:kern w:val="0"/>
        </w:rPr>
        <w:t xml:space="preserve"> of </w:t>
      </w:r>
      <w:r w:rsidRPr="001A3D2B">
        <w:rPr>
          <w:kern w:val="0"/>
        </w:rPr>
        <w:t>cases from</w:t>
      </w:r>
      <w:r w:rsidR="003A1917">
        <w:rPr>
          <w:kern w:val="0"/>
        </w:rPr>
        <w:t xml:space="preserve"> the </w:t>
      </w:r>
      <w:r w:rsidRPr="001A3D2B">
        <w:rPr>
          <w:kern w:val="0"/>
        </w:rPr>
        <w:t>most often cited authors</w:t>
      </w:r>
      <w:r w:rsidR="00427468">
        <w:rPr>
          <w:kern w:val="0"/>
        </w:rPr>
        <w:t xml:space="preserve"> of </w:t>
      </w:r>
      <w:r w:rsidRPr="001A3D2B">
        <w:rPr>
          <w:kern w:val="0"/>
        </w:rPr>
        <w:t>all papers irrespective</w:t>
      </w:r>
      <w:r w:rsidR="00427468">
        <w:rPr>
          <w:kern w:val="0"/>
        </w:rPr>
        <w:t xml:space="preserve"> of </w:t>
      </w:r>
      <w:r w:rsidR="003A1917">
        <w:rPr>
          <w:kern w:val="0"/>
        </w:rPr>
        <w:t xml:space="preserve">the </w:t>
      </w:r>
      <w:r w:rsidRPr="001A3D2B">
        <w:rPr>
          <w:kern w:val="0"/>
        </w:rPr>
        <w:t>individuals placement in</w:t>
      </w:r>
      <w:r w:rsidR="003A1917">
        <w:rPr>
          <w:kern w:val="0"/>
        </w:rPr>
        <w:t xml:space="preserve"> the </w:t>
      </w:r>
      <w:r w:rsidRPr="001A3D2B">
        <w:rPr>
          <w:kern w:val="0"/>
        </w:rPr>
        <w:t>authorship listing.</w:t>
      </w:r>
    </w:p>
    <w:p w:rsidR="00325E77" w:rsidRPr="001A3D2B" w:rsidRDefault="00325E77" w:rsidP="00325E77">
      <w:pPr>
        <w:pStyle w:val="a3"/>
        <w:rPr>
          <w:kern w:val="0"/>
        </w:rPr>
      </w:pPr>
      <w:r w:rsidRPr="001A3D2B">
        <w:rPr>
          <w:kern w:val="0"/>
        </w:rPr>
        <w:t>Keywords: Citation, Citations, Impact</w:t>
      </w:r>
    </w:p>
    <w:p w:rsidR="00E80505" w:rsidRPr="001A3D2B" w:rsidRDefault="00E80505" w:rsidP="00E80505">
      <w:pPr>
        <w:pStyle w:val="a3"/>
        <w:rPr>
          <w:kern w:val="0"/>
        </w:rPr>
      </w:pPr>
      <w:r w:rsidRPr="001A3D2B">
        <w:rPr>
          <w:kern w:val="0"/>
        </w:rPr>
        <w:t>? Stern, R.S.</w:t>
      </w:r>
      <w:r w:rsidR="005853A9">
        <w:rPr>
          <w:kern w:val="0"/>
        </w:rPr>
        <w:t xml:space="preserve"> and </w:t>
      </w:r>
      <w:r w:rsidRPr="001A3D2B">
        <w:rPr>
          <w:kern w:val="0"/>
        </w:rPr>
        <w:t>Arndt, K.A. (1999), Classic</w:t>
      </w:r>
      <w:r w:rsidR="005853A9">
        <w:rPr>
          <w:kern w:val="0"/>
        </w:rPr>
        <w:t xml:space="preserve"> and </w:t>
      </w:r>
      <w:r w:rsidRPr="001A3D2B">
        <w:rPr>
          <w:kern w:val="0"/>
        </w:rPr>
        <w:t>near-classic articles in</w:t>
      </w:r>
      <w:r w:rsidR="003A1917">
        <w:rPr>
          <w:kern w:val="0"/>
        </w:rPr>
        <w:t xml:space="preserve"> the </w:t>
      </w:r>
      <w:r w:rsidRPr="001A3D2B">
        <w:rPr>
          <w:kern w:val="0"/>
        </w:rPr>
        <w:t xml:space="preserve">dermatologic literature. </w:t>
      </w:r>
      <w:r w:rsidRPr="001A3D2B">
        <w:rPr>
          <w:i/>
          <w:iCs/>
          <w:kern w:val="0"/>
        </w:rPr>
        <w:t>Archives</w:t>
      </w:r>
      <w:r w:rsidR="00427468">
        <w:rPr>
          <w:i/>
          <w:iCs/>
          <w:kern w:val="0"/>
        </w:rPr>
        <w:t xml:space="preserve"> of </w:t>
      </w:r>
      <w:r w:rsidRPr="001A3D2B">
        <w:rPr>
          <w:i/>
          <w:iCs/>
          <w:kern w:val="0"/>
        </w:rPr>
        <w:t>Dermatology</w:t>
      </w:r>
      <w:r w:rsidRPr="001A3D2B">
        <w:rPr>
          <w:kern w:val="0"/>
        </w:rPr>
        <w:t xml:space="preserve">, </w:t>
      </w:r>
      <w:r w:rsidRPr="001A3D2B">
        <w:rPr>
          <w:b/>
          <w:bCs/>
          <w:kern w:val="0"/>
        </w:rPr>
        <w:t>135</w:t>
      </w:r>
      <w:r w:rsidRPr="001A3D2B">
        <w:rPr>
          <w:kern w:val="0"/>
        </w:rPr>
        <w:t xml:space="preserve"> (8), 948-950.</w:t>
      </w:r>
    </w:p>
    <w:p w:rsidR="00E80505" w:rsidRPr="001A3D2B" w:rsidRDefault="00E80505" w:rsidP="00E80505">
      <w:pPr>
        <w:pStyle w:val="a3"/>
        <w:rPr>
          <w:kern w:val="0"/>
        </w:rPr>
      </w:pPr>
      <w:r w:rsidRPr="001A3D2B">
        <w:rPr>
          <w:kern w:val="0"/>
        </w:rPr>
        <w:t xml:space="preserve">Full Text: </w:t>
      </w:r>
      <w:hyperlink r:id="rId1087" w:history="1">
        <w:r w:rsidRPr="001A3D2B">
          <w:rPr>
            <w:rStyle w:val="a5"/>
            <w:kern w:val="0"/>
          </w:rPr>
          <w:t>1999\Arc Der135, 948.pdf</w:t>
        </w:r>
      </w:hyperlink>
    </w:p>
    <w:p w:rsidR="00E80505" w:rsidRPr="001A3D2B" w:rsidRDefault="00E80505" w:rsidP="00E80505">
      <w:pPr>
        <w:pStyle w:val="a3"/>
        <w:rPr>
          <w:kern w:val="0"/>
        </w:rPr>
      </w:pPr>
      <w:r w:rsidRPr="001A3D2B">
        <w:rPr>
          <w:kern w:val="0"/>
        </w:rPr>
        <w:t>Abstract: Background: Only a small fraction</w:t>
      </w:r>
      <w:r w:rsidR="00427468">
        <w:rPr>
          <w:kern w:val="0"/>
        </w:rPr>
        <w:t xml:space="preserve"> of </w:t>
      </w:r>
      <w:r w:rsidRPr="001A3D2B">
        <w:rPr>
          <w:kern w:val="0"/>
        </w:rPr>
        <w:t>articles published in</w:t>
      </w:r>
      <w:r w:rsidR="003A1917">
        <w:rPr>
          <w:kern w:val="0"/>
        </w:rPr>
        <w:t xml:space="preserve"> the </w:t>
      </w:r>
      <w:r w:rsidRPr="001A3D2B">
        <w:rPr>
          <w:kern w:val="0"/>
        </w:rPr>
        <w:t xml:space="preserve">dermatologic literature are cited frequently. Articles cited at least 100 times are known as </w:t>
      </w:r>
      <w:r w:rsidR="00B5188C">
        <w:rPr>
          <w:kern w:val="0"/>
        </w:rPr>
        <w:t>“</w:t>
      </w:r>
      <w:r w:rsidRPr="001A3D2B">
        <w:rPr>
          <w:kern w:val="0"/>
        </w:rPr>
        <w:t>citation classics</w:t>
      </w:r>
      <w:r w:rsidR="00B5188C">
        <w:rPr>
          <w:kern w:val="0"/>
        </w:rPr>
        <w:t>”</w:t>
      </w:r>
      <w:r w:rsidR="005853A9">
        <w:rPr>
          <w:kern w:val="0"/>
        </w:rPr>
        <w:t xml:space="preserve"> and </w:t>
      </w:r>
      <w:r w:rsidRPr="001A3D2B">
        <w:rPr>
          <w:kern w:val="0"/>
        </w:rPr>
        <w:t>have been previously discussed</w:t>
      </w:r>
      <w:r w:rsidR="00A37C1D">
        <w:rPr>
          <w:kern w:val="0"/>
        </w:rPr>
        <w:t>. The</w:t>
      </w:r>
      <w:r w:rsidR="003A1917">
        <w:rPr>
          <w:kern w:val="0"/>
        </w:rPr>
        <w:t xml:space="preserve"> </w:t>
      </w:r>
      <w:r w:rsidRPr="001A3D2B">
        <w:rPr>
          <w:kern w:val="0"/>
        </w:rPr>
        <w:t>nature</w:t>
      </w:r>
      <w:r w:rsidR="00427468">
        <w:rPr>
          <w:kern w:val="0"/>
        </w:rPr>
        <w:t xml:space="preserve"> of </w:t>
      </w:r>
      <w:r w:rsidRPr="001A3D2B">
        <w:rPr>
          <w:kern w:val="0"/>
        </w:rPr>
        <w:t>dermatologic articles cited fewer than 100 times but still much more frequently cited than average has not been clearly elucidated. Objective: To identify</w:t>
      </w:r>
      <w:r w:rsidR="003A1917">
        <w:rPr>
          <w:kern w:val="0"/>
        </w:rPr>
        <w:t xml:space="preserve"> the </w:t>
      </w:r>
      <w:r w:rsidRPr="001A3D2B">
        <w:rPr>
          <w:kern w:val="0"/>
        </w:rPr>
        <w:t>source, authorship,</w:t>
      </w:r>
      <w:r w:rsidR="005853A9">
        <w:rPr>
          <w:kern w:val="0"/>
        </w:rPr>
        <w:t xml:space="preserve"> and </w:t>
      </w:r>
      <w:r w:rsidRPr="001A3D2B">
        <w:rPr>
          <w:kern w:val="0"/>
        </w:rPr>
        <w:t>citation history</w:t>
      </w:r>
      <w:r w:rsidR="00427468">
        <w:rPr>
          <w:kern w:val="0"/>
        </w:rPr>
        <w:t xml:space="preserve"> of </w:t>
      </w:r>
      <w:r w:rsidRPr="001A3D2B">
        <w:rPr>
          <w:kern w:val="0"/>
        </w:rPr>
        <w:t>original articles published in 24 dermatologic journals that were cited more than 25 times. Design: We analyzed a citation database provided by</w:t>
      </w:r>
      <w:r w:rsidR="003A1917">
        <w:rPr>
          <w:kern w:val="0"/>
        </w:rPr>
        <w:t xml:space="preserve"> the </w:t>
      </w:r>
      <w:r w:rsidRPr="001A3D2B">
        <w:rPr>
          <w:kern w:val="0"/>
        </w:rPr>
        <w:t>Institute for Scientific Information. We identified</w:t>
      </w:r>
      <w:r w:rsidR="003A1917">
        <w:rPr>
          <w:kern w:val="0"/>
        </w:rPr>
        <w:t xml:space="preserve"> the </w:t>
      </w:r>
      <w:r w:rsidRPr="001A3D2B">
        <w:rPr>
          <w:kern w:val="0"/>
        </w:rPr>
        <w:t>journal</w:t>
      </w:r>
      <w:r w:rsidR="00427468">
        <w:rPr>
          <w:kern w:val="0"/>
        </w:rPr>
        <w:t xml:space="preserve"> of </w:t>
      </w:r>
      <w:r w:rsidRPr="001A3D2B">
        <w:rPr>
          <w:kern w:val="0"/>
        </w:rPr>
        <w:t>publication, authorship,</w:t>
      </w:r>
      <w:r w:rsidR="005853A9">
        <w:rPr>
          <w:kern w:val="0"/>
        </w:rPr>
        <w:t xml:space="preserve"> and </w:t>
      </w:r>
      <w:r w:rsidRPr="001A3D2B">
        <w:rPr>
          <w:kern w:val="0"/>
        </w:rPr>
        <w:t>country</w:t>
      </w:r>
      <w:r w:rsidR="00427468">
        <w:rPr>
          <w:kern w:val="0"/>
        </w:rPr>
        <w:t xml:space="preserve"> of </w:t>
      </w:r>
      <w:r w:rsidRPr="001A3D2B">
        <w:rPr>
          <w:kern w:val="0"/>
        </w:rPr>
        <w:t>authorship for all original articles cited at least 25 times</w:t>
      </w:r>
      <w:r w:rsidR="005853A9">
        <w:rPr>
          <w:kern w:val="0"/>
        </w:rPr>
        <w:t xml:space="preserve"> and </w:t>
      </w:r>
      <w:r w:rsidRPr="001A3D2B">
        <w:rPr>
          <w:kern w:val="0"/>
        </w:rPr>
        <w:t>published from 1982 to 1996 in 24 dermatologic journals. Main Outcome Measure: Source</w:t>
      </w:r>
      <w:r w:rsidR="00427468">
        <w:rPr>
          <w:kern w:val="0"/>
        </w:rPr>
        <w:t xml:space="preserve"> of </w:t>
      </w:r>
      <w:r w:rsidRPr="001A3D2B">
        <w:rPr>
          <w:kern w:val="0"/>
        </w:rPr>
        <w:t>most frequently cited dermatologic articles. Results: Only 2139 (6.45%)</w:t>
      </w:r>
      <w:r w:rsidR="00427468">
        <w:rPr>
          <w:kern w:val="0"/>
        </w:rPr>
        <w:t xml:space="preserve"> of </w:t>
      </w:r>
      <w:r w:rsidRPr="001A3D2B">
        <w:rPr>
          <w:kern w:val="0"/>
        </w:rPr>
        <w:t>all original articles were cited more than 25 times. Articles published in 4</w:t>
      </w:r>
      <w:r w:rsidR="00427468">
        <w:rPr>
          <w:kern w:val="0"/>
        </w:rPr>
        <w:t xml:space="preserve"> of </w:t>
      </w:r>
      <w:r w:rsidRPr="001A3D2B">
        <w:rPr>
          <w:kern w:val="0"/>
        </w:rPr>
        <w:t>24 journals accounted for</w:t>
      </w:r>
      <w:r w:rsidR="003A1917">
        <w:rPr>
          <w:kern w:val="0"/>
        </w:rPr>
        <w:t xml:space="preserve"> the </w:t>
      </w:r>
      <w:r w:rsidRPr="001A3D2B">
        <w:rPr>
          <w:kern w:val="0"/>
        </w:rPr>
        <w:t>most frequently cited articles. Only 18 (0.13%)</w:t>
      </w:r>
      <w:r w:rsidR="00427468">
        <w:rPr>
          <w:kern w:val="0"/>
        </w:rPr>
        <w:t xml:space="preserve"> of </w:t>
      </w:r>
      <w:r w:rsidRPr="001A3D2B">
        <w:rPr>
          <w:kern w:val="0"/>
        </w:rPr>
        <w:t>more than 13 500 first authors published at least 5 articles that were cited more than 25 times. Conclusions: Few articles are cited at least 25 times,</w:t>
      </w:r>
      <w:r w:rsidR="005853A9">
        <w:rPr>
          <w:kern w:val="0"/>
        </w:rPr>
        <w:t xml:space="preserve"> and </w:t>
      </w:r>
      <w:r w:rsidRPr="001A3D2B">
        <w:rPr>
          <w:kern w:val="0"/>
        </w:rPr>
        <w:t>few persons are first authors</w:t>
      </w:r>
      <w:r w:rsidR="00427468">
        <w:rPr>
          <w:kern w:val="0"/>
        </w:rPr>
        <w:t xml:space="preserve"> of </w:t>
      </w:r>
      <w:r w:rsidRPr="001A3D2B">
        <w:rPr>
          <w:kern w:val="0"/>
        </w:rPr>
        <w:t>multiple articles in</w:t>
      </w:r>
      <w:r w:rsidR="003A1917">
        <w:rPr>
          <w:kern w:val="0"/>
        </w:rPr>
        <w:t xml:space="preserve"> the </w:t>
      </w:r>
      <w:r w:rsidRPr="001A3D2B">
        <w:rPr>
          <w:kern w:val="0"/>
        </w:rPr>
        <w:t>dermatologic literature cited at least that frequently.</w:t>
      </w:r>
    </w:p>
    <w:p w:rsidR="00325E77" w:rsidRPr="001A3D2B" w:rsidRDefault="00325E77" w:rsidP="00325E77">
      <w:pPr>
        <w:pStyle w:val="a3"/>
        <w:rPr>
          <w:kern w:val="0"/>
        </w:rPr>
      </w:pPr>
      <w:r w:rsidRPr="001A3D2B">
        <w:rPr>
          <w:kern w:val="0"/>
        </w:rPr>
        <w:t>? Stern, R.S.</w:t>
      </w:r>
      <w:r w:rsidR="005853A9">
        <w:rPr>
          <w:kern w:val="0"/>
        </w:rPr>
        <w:t xml:space="preserve"> and </w:t>
      </w:r>
      <w:r w:rsidRPr="001A3D2B">
        <w:rPr>
          <w:kern w:val="0"/>
        </w:rPr>
        <w:t xml:space="preserve">Arndt, K.A. (2000), Top-cited dermatology authors publishing in 5 </w:t>
      </w:r>
      <w:r w:rsidR="00B5188C">
        <w:rPr>
          <w:kern w:val="0"/>
        </w:rPr>
        <w:t>“</w:t>
      </w:r>
      <w:r w:rsidRPr="001A3D2B">
        <w:rPr>
          <w:kern w:val="0"/>
        </w:rPr>
        <w:t>high-impact</w:t>
      </w:r>
      <w:r w:rsidR="00B5188C">
        <w:rPr>
          <w:kern w:val="0"/>
        </w:rPr>
        <w:t>”</w:t>
      </w:r>
      <w:r w:rsidRPr="001A3D2B">
        <w:rPr>
          <w:kern w:val="0"/>
        </w:rPr>
        <w:t xml:space="preserve"> general medical journals. </w:t>
      </w:r>
      <w:r w:rsidRPr="001A3D2B">
        <w:rPr>
          <w:i/>
          <w:iCs/>
          <w:kern w:val="0"/>
        </w:rPr>
        <w:t>Archives</w:t>
      </w:r>
      <w:r w:rsidR="00427468">
        <w:rPr>
          <w:i/>
          <w:iCs/>
          <w:kern w:val="0"/>
        </w:rPr>
        <w:t xml:space="preserve"> of </w:t>
      </w:r>
      <w:r w:rsidRPr="001A3D2B">
        <w:rPr>
          <w:i/>
          <w:iCs/>
          <w:kern w:val="0"/>
        </w:rPr>
        <w:t>Dermatology</w:t>
      </w:r>
      <w:r w:rsidRPr="001A3D2B">
        <w:rPr>
          <w:kern w:val="0"/>
        </w:rPr>
        <w:t xml:space="preserve">, </w:t>
      </w:r>
      <w:r w:rsidRPr="001A3D2B">
        <w:rPr>
          <w:b/>
          <w:bCs/>
          <w:kern w:val="0"/>
        </w:rPr>
        <w:t>136</w:t>
      </w:r>
      <w:r w:rsidRPr="001A3D2B">
        <w:rPr>
          <w:kern w:val="0"/>
        </w:rPr>
        <w:t xml:space="preserve"> (3), 357-361.</w:t>
      </w:r>
    </w:p>
    <w:p w:rsidR="00325E77" w:rsidRPr="001A3D2B" w:rsidRDefault="00325E77" w:rsidP="00325E77">
      <w:pPr>
        <w:pStyle w:val="a3"/>
        <w:rPr>
          <w:kern w:val="0"/>
        </w:rPr>
      </w:pPr>
      <w:r w:rsidRPr="001A3D2B">
        <w:rPr>
          <w:kern w:val="0"/>
        </w:rPr>
        <w:t xml:space="preserve">Full Text: </w:t>
      </w:r>
      <w:hyperlink r:id="rId1088" w:history="1">
        <w:r w:rsidRPr="001A3D2B">
          <w:rPr>
            <w:rStyle w:val="a5"/>
            <w:kern w:val="0"/>
          </w:rPr>
          <w:t>2000\Arc Der136, 357.pdf</w:t>
        </w:r>
      </w:hyperlink>
    </w:p>
    <w:p w:rsidR="00325E77" w:rsidRPr="001A3D2B" w:rsidRDefault="00325E77" w:rsidP="00325E77">
      <w:pPr>
        <w:pStyle w:val="a3"/>
        <w:rPr>
          <w:kern w:val="0"/>
        </w:rPr>
      </w:pPr>
      <w:r w:rsidRPr="001A3D2B">
        <w:rPr>
          <w:kern w:val="0"/>
        </w:rPr>
        <w:t>Abstract: Background: In addition to publishing in</w:t>
      </w:r>
      <w:r w:rsidR="003A1917">
        <w:rPr>
          <w:kern w:val="0"/>
        </w:rPr>
        <w:t xml:space="preserve"> the </w:t>
      </w:r>
      <w:r w:rsidRPr="001A3D2B">
        <w:rPr>
          <w:kern w:val="0"/>
        </w:rPr>
        <w:t>dermatologic literature, some dermatologists also publish articles in</w:t>
      </w:r>
      <w:r w:rsidR="003A1917">
        <w:rPr>
          <w:kern w:val="0"/>
        </w:rPr>
        <w:t xml:space="preserve"> the </w:t>
      </w:r>
      <w:r w:rsidRPr="001A3D2B">
        <w:rPr>
          <w:kern w:val="0"/>
        </w:rPr>
        <w:t>general medical journals, which enjoy wide circulation</w:t>
      </w:r>
      <w:r w:rsidR="005853A9">
        <w:rPr>
          <w:kern w:val="0"/>
        </w:rPr>
        <w:t xml:space="preserve"> and </w:t>
      </w:r>
      <w:r w:rsidRPr="001A3D2B">
        <w:rPr>
          <w:kern w:val="0"/>
        </w:rPr>
        <w:t>whose articles are often cited. Objective: To identify articles</w:t>
      </w:r>
      <w:r w:rsidR="005853A9">
        <w:rPr>
          <w:kern w:val="0"/>
        </w:rPr>
        <w:t xml:space="preserve"> and </w:t>
      </w:r>
      <w:r w:rsidRPr="001A3D2B">
        <w:rPr>
          <w:kern w:val="0"/>
        </w:rPr>
        <w:t>citations to these articles that</w:t>
      </w:r>
      <w:r w:rsidR="003A1917">
        <w:rPr>
          <w:kern w:val="0"/>
        </w:rPr>
        <w:t xml:space="preserve"> the </w:t>
      </w:r>
      <w:r w:rsidRPr="001A3D2B">
        <w:rPr>
          <w:kern w:val="0"/>
        </w:rPr>
        <w:t>most frequently cited authors in</w:t>
      </w:r>
      <w:r w:rsidR="003A1917">
        <w:rPr>
          <w:kern w:val="0"/>
        </w:rPr>
        <w:t xml:space="preserve"> the </w:t>
      </w:r>
      <w:r w:rsidRPr="001A3D2B">
        <w:rPr>
          <w:kern w:val="0"/>
        </w:rPr>
        <w:t>dermatologic literature published in highly cited general medical journals. Design: We obtained a citation database from</w:t>
      </w:r>
      <w:r w:rsidR="003A1917">
        <w:rPr>
          <w:kern w:val="0"/>
        </w:rPr>
        <w:t xml:space="preserve"> the </w:t>
      </w:r>
      <w:r w:rsidRPr="001A3D2B">
        <w:rPr>
          <w:kern w:val="0"/>
        </w:rPr>
        <w:t>Institute</w:t>
      </w:r>
      <w:r w:rsidR="00427468">
        <w:rPr>
          <w:kern w:val="0"/>
        </w:rPr>
        <w:t xml:space="preserve"> of </w:t>
      </w:r>
      <w:r w:rsidRPr="001A3D2B">
        <w:rPr>
          <w:kern w:val="0"/>
        </w:rPr>
        <w:t xml:space="preserve">Scientific Information, Philadelphia, </w:t>
      </w:r>
      <w:r w:rsidR="007169F0" w:rsidRPr="001A3D2B">
        <w:rPr>
          <w:kern w:val="0"/>
        </w:rPr>
        <w:t>PA</w:t>
      </w:r>
      <w:r w:rsidRPr="001A3D2B">
        <w:rPr>
          <w:kern w:val="0"/>
        </w:rPr>
        <w:t>, that identified all articles published by</w:t>
      </w:r>
      <w:r w:rsidR="003A1917">
        <w:rPr>
          <w:kern w:val="0"/>
        </w:rPr>
        <w:t xml:space="preserve"> the </w:t>
      </w:r>
      <w:r w:rsidRPr="001A3D2B">
        <w:rPr>
          <w:kern w:val="0"/>
        </w:rPr>
        <w:t>top-cited authors in</w:t>
      </w:r>
      <w:r w:rsidR="003A1917">
        <w:rPr>
          <w:kern w:val="0"/>
        </w:rPr>
        <w:t xml:space="preserve"> the </w:t>
      </w:r>
      <w:r w:rsidRPr="001A3D2B">
        <w:rPr>
          <w:kern w:val="0"/>
        </w:rPr>
        <w:t xml:space="preserve">dermatologic literature in 5 </w:t>
      </w:r>
      <w:r w:rsidR="00B5188C">
        <w:rPr>
          <w:kern w:val="0"/>
        </w:rPr>
        <w:t>“</w:t>
      </w:r>
      <w:r w:rsidRPr="001A3D2B">
        <w:rPr>
          <w:kern w:val="0"/>
        </w:rPr>
        <w:t>high-impact</w:t>
      </w:r>
      <w:r w:rsidR="00B5188C">
        <w:rPr>
          <w:kern w:val="0"/>
        </w:rPr>
        <w:t>”</w:t>
      </w:r>
      <w:r w:rsidRPr="001A3D2B">
        <w:rPr>
          <w:kern w:val="0"/>
        </w:rPr>
        <w:t xml:space="preserve"> general medical journals. Setting:</w:t>
      </w:r>
      <w:r w:rsidR="003A1917">
        <w:rPr>
          <w:kern w:val="0"/>
        </w:rPr>
        <w:t xml:space="preserve"> the </w:t>
      </w:r>
      <w:r w:rsidRPr="001A3D2B">
        <w:rPr>
          <w:kern w:val="0"/>
        </w:rPr>
        <w:t>5 high-impact general medical journals with</w:t>
      </w:r>
      <w:r w:rsidR="003A1917">
        <w:rPr>
          <w:kern w:val="0"/>
        </w:rPr>
        <w:t xml:space="preserve"> the </w:t>
      </w:r>
      <w:r w:rsidRPr="001A3D2B">
        <w:rPr>
          <w:kern w:val="0"/>
        </w:rPr>
        <w:t>historically highest impact factors. Subjects: Two hundred top-cited authors in dermatology journals</w:t>
      </w:r>
      <w:r w:rsidR="005853A9">
        <w:rPr>
          <w:kern w:val="0"/>
        </w:rPr>
        <w:t xml:space="preserve"> and </w:t>
      </w:r>
      <w:r w:rsidRPr="001A3D2B">
        <w:rPr>
          <w:kern w:val="0"/>
        </w:rPr>
        <w:t>their coauthors. Main Outcome Measure: Number</w:t>
      </w:r>
      <w:r w:rsidR="00427468">
        <w:rPr>
          <w:kern w:val="0"/>
        </w:rPr>
        <w:t xml:space="preserve"> of </w:t>
      </w:r>
      <w:r w:rsidRPr="001A3D2B">
        <w:rPr>
          <w:kern w:val="0"/>
        </w:rPr>
        <w:t>citations to articles published in 5 high-impact general medical journals. Results: From 1981 to 1998, 120</w:t>
      </w:r>
      <w:r w:rsidR="00427468">
        <w:rPr>
          <w:kern w:val="0"/>
        </w:rPr>
        <w:t xml:space="preserve"> of </w:t>
      </w:r>
      <w:r w:rsidR="003A1917">
        <w:rPr>
          <w:kern w:val="0"/>
        </w:rPr>
        <w:t xml:space="preserve">the </w:t>
      </w:r>
      <w:r w:rsidRPr="001A3D2B">
        <w:rPr>
          <w:kern w:val="0"/>
        </w:rPr>
        <w:t xml:space="preserve">200 top-cited </w:t>
      </w:r>
      <w:r w:rsidRPr="001A3D2B">
        <w:rPr>
          <w:kern w:val="0"/>
        </w:rPr>
        <w:lastRenderedPageBreak/>
        <w:t>dermatology authors published a total</w:t>
      </w:r>
      <w:r w:rsidR="00427468">
        <w:rPr>
          <w:kern w:val="0"/>
        </w:rPr>
        <w:t xml:space="preserve"> of </w:t>
      </w:r>
      <w:r w:rsidRPr="001A3D2B">
        <w:rPr>
          <w:kern w:val="0"/>
        </w:rPr>
        <w:t>674 papers in</w:t>
      </w:r>
      <w:r w:rsidR="003A1917">
        <w:rPr>
          <w:kern w:val="0"/>
        </w:rPr>
        <w:t xml:space="preserve"> the </w:t>
      </w:r>
      <w:r w:rsidRPr="001A3D2B">
        <w:rPr>
          <w:kern w:val="0"/>
        </w:rPr>
        <w:t>5 most highly cited general medical journals. Original articles published in these high-impact general medical journals were cited an average 7.5 times more often than articles published in dermatology journals. Conclusions: Top-cited authors in dermatology journals also frequently publish in</w:t>
      </w:r>
      <w:r w:rsidR="003A1917">
        <w:rPr>
          <w:kern w:val="0"/>
        </w:rPr>
        <w:t xml:space="preserve"> the </w:t>
      </w:r>
      <w:r w:rsidRPr="001A3D2B">
        <w:rPr>
          <w:kern w:val="0"/>
        </w:rPr>
        <w:t>leading 5 high-impact general medical journals. Publications in these journals by dermatologists are often highly cited.</w:t>
      </w:r>
    </w:p>
    <w:p w:rsidR="00325E77" w:rsidRDefault="00325E77" w:rsidP="00325E77">
      <w:pPr>
        <w:pStyle w:val="a3"/>
        <w:rPr>
          <w:kern w:val="0"/>
        </w:rPr>
      </w:pPr>
      <w:r w:rsidRPr="001A3D2B">
        <w:rPr>
          <w:kern w:val="0"/>
        </w:rPr>
        <w:t>Keywords: Citation, Citations, Medical Journals</w:t>
      </w:r>
    </w:p>
    <w:p w:rsidR="00CD1414" w:rsidRDefault="00CD1414" w:rsidP="00CD1414">
      <w:pPr>
        <w:pStyle w:val="a3"/>
        <w:rPr>
          <w:kern w:val="0"/>
        </w:rPr>
      </w:pPr>
      <w:r>
        <w:rPr>
          <w:rFonts w:hint="eastAsia"/>
          <w:kern w:val="0"/>
        </w:rPr>
        <w:t xml:space="preserve">? </w:t>
      </w:r>
      <w:r>
        <w:rPr>
          <w:kern w:val="0"/>
        </w:rPr>
        <w:t>Levin, C.</w:t>
      </w:r>
      <w:r w:rsidR="005853A9">
        <w:rPr>
          <w:kern w:val="0"/>
        </w:rPr>
        <w:t xml:space="preserve"> and </w:t>
      </w:r>
      <w:r>
        <w:rPr>
          <w:kern w:val="0"/>
        </w:rPr>
        <w:t>Maibach, H. (2002), Exploration</w:t>
      </w:r>
      <w:r w:rsidR="00427468">
        <w:rPr>
          <w:kern w:val="0"/>
        </w:rPr>
        <w:t xml:space="preserve"> of </w:t>
      </w:r>
      <w:r w:rsidR="00B5188C">
        <w:rPr>
          <w:kern w:val="0"/>
        </w:rPr>
        <w:t>“</w:t>
      </w:r>
      <w:r>
        <w:rPr>
          <w:kern w:val="0"/>
        </w:rPr>
        <w:t>alternative</w:t>
      </w:r>
      <w:r w:rsidR="00B5188C">
        <w:rPr>
          <w:kern w:val="0"/>
        </w:rPr>
        <w:t>”</w:t>
      </w:r>
      <w:r w:rsidR="005853A9">
        <w:rPr>
          <w:kern w:val="0"/>
        </w:rPr>
        <w:t xml:space="preserve"> and </w:t>
      </w:r>
      <w:r w:rsidR="00B5188C">
        <w:rPr>
          <w:kern w:val="0"/>
        </w:rPr>
        <w:t>“</w:t>
      </w:r>
      <w:r>
        <w:rPr>
          <w:kern w:val="0"/>
        </w:rPr>
        <w:t>natural</w:t>
      </w:r>
      <w:r w:rsidR="00B5188C">
        <w:rPr>
          <w:kern w:val="0"/>
        </w:rPr>
        <w:t>”</w:t>
      </w:r>
      <w:r>
        <w:rPr>
          <w:kern w:val="0"/>
        </w:rPr>
        <w:t xml:space="preserve"> drugs in dermatology. </w:t>
      </w:r>
      <w:r>
        <w:rPr>
          <w:i/>
          <w:iCs/>
          <w:kern w:val="0"/>
        </w:rPr>
        <w:t>Archives</w:t>
      </w:r>
      <w:r w:rsidR="00427468">
        <w:rPr>
          <w:i/>
          <w:iCs/>
          <w:kern w:val="0"/>
        </w:rPr>
        <w:t xml:space="preserve"> of </w:t>
      </w:r>
      <w:r>
        <w:rPr>
          <w:i/>
          <w:iCs/>
          <w:kern w:val="0"/>
        </w:rPr>
        <w:t>Dermatology</w:t>
      </w:r>
      <w:r>
        <w:rPr>
          <w:kern w:val="0"/>
        </w:rPr>
        <w:t xml:space="preserve">, </w:t>
      </w:r>
      <w:r>
        <w:rPr>
          <w:b/>
          <w:bCs/>
          <w:kern w:val="0"/>
        </w:rPr>
        <w:t>138</w:t>
      </w:r>
      <w:r>
        <w:rPr>
          <w:kern w:val="0"/>
        </w:rPr>
        <w:t xml:space="preserve"> (2), 207-211.</w:t>
      </w:r>
    </w:p>
    <w:p w:rsidR="00CD1414" w:rsidRDefault="00CD1414" w:rsidP="00CD1414">
      <w:pPr>
        <w:pStyle w:val="a3"/>
        <w:rPr>
          <w:kern w:val="0"/>
        </w:rPr>
      </w:pPr>
      <w:r w:rsidRPr="001A3D2B">
        <w:rPr>
          <w:kern w:val="0"/>
        </w:rPr>
        <w:t xml:space="preserve">Full Text: </w:t>
      </w:r>
      <w:hyperlink r:id="rId1089" w:history="1">
        <w:r w:rsidRPr="00CD1414">
          <w:rPr>
            <w:rStyle w:val="a5"/>
            <w:kern w:val="0"/>
          </w:rPr>
          <w:t>2002\Arc Der138, 207.pdf</w:t>
        </w:r>
      </w:hyperlink>
    </w:p>
    <w:p w:rsidR="00CD1414" w:rsidRDefault="00CD1414" w:rsidP="00CD1414">
      <w:pPr>
        <w:pStyle w:val="a3"/>
        <w:rPr>
          <w:kern w:val="0"/>
        </w:rPr>
      </w:pPr>
      <w:r>
        <w:rPr>
          <w:kern w:val="0"/>
        </w:rPr>
        <w:t>Abstract: Objective: To review some</w:t>
      </w:r>
      <w:r w:rsidR="00427468">
        <w:rPr>
          <w:kern w:val="0"/>
        </w:rPr>
        <w:t xml:space="preserve"> of </w:t>
      </w:r>
      <w:r w:rsidR="003A1917">
        <w:rPr>
          <w:kern w:val="0"/>
        </w:rPr>
        <w:t xml:space="preserve">the </w:t>
      </w:r>
      <w:r>
        <w:rPr>
          <w:kern w:val="0"/>
        </w:rPr>
        <w:t xml:space="preserve">promising natural remedies within dermatology to explore their potential clinical benefit in supplementing conventional drugs. Data Sources: </w:t>
      </w:r>
      <w:r w:rsidR="00D5664A">
        <w:rPr>
          <w:kern w:val="0"/>
        </w:rPr>
        <w:t>MEDLINE</w:t>
      </w:r>
      <w:r>
        <w:rPr>
          <w:kern w:val="0"/>
        </w:rPr>
        <w:t xml:space="preserve"> searches from January 1966 through October 2000</w:t>
      </w:r>
      <w:r w:rsidR="005853A9">
        <w:rPr>
          <w:kern w:val="0"/>
        </w:rPr>
        <w:t xml:space="preserve"> and </w:t>
      </w:r>
      <w:r>
        <w:rPr>
          <w:kern w:val="0"/>
        </w:rPr>
        <w:t>Science Citation Index searches from January 1974 through October 2000 were conducted, Study Selection: Primary importance was given to in vivo</w:t>
      </w:r>
      <w:r w:rsidR="005853A9">
        <w:rPr>
          <w:kern w:val="0"/>
        </w:rPr>
        <w:t xml:space="preserve"> and </w:t>
      </w:r>
      <w:r>
        <w:rPr>
          <w:kern w:val="0"/>
        </w:rPr>
        <w:t>in vitro controlled studies,</w:t>
      </w:r>
      <w:r w:rsidR="003A1917">
        <w:rPr>
          <w:kern w:val="0"/>
        </w:rPr>
        <w:t xml:space="preserve"> the </w:t>
      </w:r>
      <w:r>
        <w:rPr>
          <w:kern w:val="0"/>
        </w:rPr>
        <w:t>results</w:t>
      </w:r>
      <w:r w:rsidR="00427468">
        <w:rPr>
          <w:kern w:val="0"/>
        </w:rPr>
        <w:t xml:space="preserve"> of </w:t>
      </w:r>
      <w:r>
        <w:rPr>
          <w:kern w:val="0"/>
        </w:rPr>
        <w:t>which encourage further exploration. Data Extraction:</w:t>
      </w:r>
      <w:r w:rsidR="003A1917">
        <w:rPr>
          <w:kern w:val="0"/>
        </w:rPr>
        <w:t xml:space="preserve"> the </w:t>
      </w:r>
      <w:r>
        <w:rPr>
          <w:kern w:val="0"/>
        </w:rPr>
        <w:t>controls used,</w:t>
      </w:r>
      <w:r w:rsidR="003A1917">
        <w:rPr>
          <w:kern w:val="0"/>
        </w:rPr>
        <w:t xml:space="preserve"> the </w:t>
      </w:r>
      <w:r>
        <w:rPr>
          <w:kern w:val="0"/>
        </w:rPr>
        <w:t>statistical approach to analysis,</w:t>
      </w:r>
      <w:r w:rsidR="005853A9">
        <w:rPr>
          <w:kern w:val="0"/>
        </w:rPr>
        <w:t xml:space="preserve"> and </w:t>
      </w:r>
      <w:r w:rsidR="003A1917">
        <w:rPr>
          <w:kern w:val="0"/>
        </w:rPr>
        <w:t xml:space="preserve">the </w:t>
      </w:r>
      <w:r>
        <w:rPr>
          <w:kern w:val="0"/>
        </w:rPr>
        <w:t>validity</w:t>
      </w:r>
      <w:r w:rsidR="00427468">
        <w:rPr>
          <w:kern w:val="0"/>
        </w:rPr>
        <w:t xml:space="preserve"> of </w:t>
      </w:r>
      <w:r w:rsidR="003A1917">
        <w:rPr>
          <w:kern w:val="0"/>
        </w:rPr>
        <w:t xml:space="preserve">the </w:t>
      </w:r>
      <w:r>
        <w:rPr>
          <w:kern w:val="0"/>
        </w:rPr>
        <w:t>experimental method analyzed were considered particularly important. Data were independently extracted by multiple observers. Data Synthesis: Natural remedies seem promising in treating a wide variety</w:t>
      </w:r>
      <w:r w:rsidR="00427468">
        <w:rPr>
          <w:kern w:val="0"/>
        </w:rPr>
        <w:t xml:space="preserve"> of </w:t>
      </w:r>
      <w:r>
        <w:rPr>
          <w:kern w:val="0"/>
        </w:rPr>
        <w:t>dermatologic disorders, including inflammation, phototoxicity, psoriasis, atopic dermatitis, alopecia areata,</w:t>
      </w:r>
      <w:r w:rsidR="005853A9">
        <w:rPr>
          <w:kern w:val="0"/>
        </w:rPr>
        <w:t xml:space="preserve"> and </w:t>
      </w:r>
      <w:r>
        <w:rPr>
          <w:kern w:val="0"/>
        </w:rPr>
        <w:t>poison oak. Conclusions:</w:t>
      </w:r>
      <w:r w:rsidR="003A1917">
        <w:rPr>
          <w:kern w:val="0"/>
        </w:rPr>
        <w:t xml:space="preserve"> the </w:t>
      </w:r>
      <w:r>
        <w:rPr>
          <w:kern w:val="0"/>
        </w:rPr>
        <w:t>alternative medications presented seem promising, although their true effects are unknown. Many</w:t>
      </w:r>
      <w:r w:rsidR="00427468">
        <w:rPr>
          <w:kern w:val="0"/>
        </w:rPr>
        <w:t xml:space="preserve"> of </w:t>
      </w:r>
      <w:r w:rsidR="003A1917">
        <w:rPr>
          <w:kern w:val="0"/>
        </w:rPr>
        <w:t xml:space="preserve">the </w:t>
      </w:r>
      <w:r>
        <w:rPr>
          <w:kern w:val="0"/>
        </w:rPr>
        <w:t>presented studies do not allow deduction</w:t>
      </w:r>
      <w:r w:rsidR="00427468">
        <w:rPr>
          <w:kern w:val="0"/>
        </w:rPr>
        <w:t xml:space="preserve"> of </w:t>
      </w:r>
      <w:r>
        <w:rPr>
          <w:kern w:val="0"/>
        </w:rPr>
        <w:t>clinical effects. Further experimentation must be performed to assess clinical benefit.</w:t>
      </w:r>
    </w:p>
    <w:p w:rsidR="00CD1414" w:rsidRDefault="00CD1414" w:rsidP="00CD1414">
      <w:pPr>
        <w:pStyle w:val="a3"/>
        <w:rPr>
          <w:kern w:val="0"/>
        </w:rPr>
      </w:pPr>
      <w:r>
        <w:rPr>
          <w:kern w:val="0"/>
        </w:rPr>
        <w:t xml:space="preserve">Keywords: Alopecia-Areata, Analysis, Atopic Eczema, Benzoyl Peroxide, Citation, Clinical Status, Controlled Studies, Drugs, Evening Primrose Oil, Experimental, Extraction, Fatty-Acid Composition, Gamma-Linolenic Acid, Green Tea, In Vivo, Inflammation, </w:t>
      </w:r>
      <w:r w:rsidR="00D5664A">
        <w:rPr>
          <w:kern w:val="0"/>
        </w:rPr>
        <w:t>MEDLINE</w:t>
      </w:r>
      <w:r>
        <w:rPr>
          <w:kern w:val="0"/>
        </w:rPr>
        <w:t>, Natural, Primary, Randomized Trial, Review, Science, Science Citation Index, Selection, Sources, Statistical, Synthesis, Validity, Vitamin-C</w:t>
      </w:r>
    </w:p>
    <w:p w:rsidR="001E3F9D" w:rsidRDefault="001E3F9D" w:rsidP="001E3F9D">
      <w:pPr>
        <w:pStyle w:val="a3"/>
        <w:rPr>
          <w:kern w:val="0"/>
        </w:rPr>
      </w:pPr>
      <w:r>
        <w:rPr>
          <w:rFonts w:hint="eastAsia"/>
          <w:kern w:val="0"/>
        </w:rPr>
        <w:t xml:space="preserve">? </w:t>
      </w:r>
      <w:r w:rsidR="009A6360" w:rsidRPr="001E3F9D">
        <w:rPr>
          <w:kern w:val="0"/>
        </w:rPr>
        <w:t>Robinson</w:t>
      </w:r>
      <w:r w:rsidR="009A6360">
        <w:rPr>
          <w:rFonts w:hint="eastAsia"/>
          <w:kern w:val="0"/>
        </w:rPr>
        <w:t>, J.K.</w:t>
      </w:r>
      <w:r w:rsidR="005853A9">
        <w:rPr>
          <w:rFonts w:hint="eastAsia"/>
          <w:kern w:val="0"/>
        </w:rPr>
        <w:t xml:space="preserve"> and </w:t>
      </w:r>
      <w:r w:rsidR="009A6360" w:rsidRPr="001E3F9D">
        <w:rPr>
          <w:kern w:val="0"/>
        </w:rPr>
        <w:t>Callen</w:t>
      </w:r>
      <w:r w:rsidR="009A6360">
        <w:rPr>
          <w:rFonts w:hint="eastAsia"/>
          <w:kern w:val="0"/>
        </w:rPr>
        <w:t>, J.P.</w:t>
      </w:r>
      <w:r>
        <w:rPr>
          <w:kern w:val="0"/>
        </w:rPr>
        <w:t xml:space="preserve"> (2010</w:t>
      </w:r>
      <w:r w:rsidR="00F42EAC">
        <w:rPr>
          <w:kern w:val="0"/>
        </w:rPr>
        <w:t>), The</w:t>
      </w:r>
      <w:r w:rsidR="003A1917">
        <w:rPr>
          <w:kern w:val="0"/>
        </w:rPr>
        <w:t xml:space="preserve"> </w:t>
      </w:r>
      <w:r w:rsidR="009A6360" w:rsidRPr="001E3F9D">
        <w:rPr>
          <w:kern w:val="0"/>
        </w:rPr>
        <w:t>best</w:t>
      </w:r>
      <w:r w:rsidR="00427468">
        <w:rPr>
          <w:kern w:val="0"/>
        </w:rPr>
        <w:t xml:space="preserve"> of </w:t>
      </w:r>
      <w:r w:rsidR="003A1917">
        <w:rPr>
          <w:kern w:val="0"/>
        </w:rPr>
        <w:t xml:space="preserve">the </w:t>
      </w:r>
      <w:r w:rsidR="009A6360" w:rsidRPr="001E3F9D">
        <w:rPr>
          <w:kern w:val="0"/>
        </w:rPr>
        <w:t>best: A new section led by Henry W. Lim, MD</w:t>
      </w:r>
      <w:r>
        <w:rPr>
          <w:kern w:val="0"/>
        </w:rPr>
        <w:t xml:space="preserve">. </w:t>
      </w:r>
      <w:r>
        <w:rPr>
          <w:i/>
          <w:iCs/>
          <w:kern w:val="0"/>
        </w:rPr>
        <w:t>Archives</w:t>
      </w:r>
      <w:r w:rsidR="00427468">
        <w:rPr>
          <w:i/>
          <w:iCs/>
          <w:kern w:val="0"/>
        </w:rPr>
        <w:t xml:space="preserve"> of </w:t>
      </w:r>
      <w:r>
        <w:rPr>
          <w:i/>
          <w:iCs/>
          <w:kern w:val="0"/>
        </w:rPr>
        <w:t>Dermatology</w:t>
      </w:r>
      <w:r>
        <w:rPr>
          <w:kern w:val="0"/>
        </w:rPr>
        <w:t xml:space="preserve">, </w:t>
      </w:r>
      <w:r>
        <w:rPr>
          <w:b/>
          <w:bCs/>
          <w:kern w:val="0"/>
        </w:rPr>
        <w:t>146</w:t>
      </w:r>
      <w:r>
        <w:rPr>
          <w:kern w:val="0"/>
        </w:rPr>
        <w:t xml:space="preserve"> (5), 554</w:t>
      </w:r>
      <w:r>
        <w:rPr>
          <w:rFonts w:hint="eastAsia"/>
          <w:kern w:val="0"/>
        </w:rPr>
        <w:t>.</w:t>
      </w:r>
    </w:p>
    <w:p w:rsidR="001E3F9D" w:rsidRDefault="001E3F9D" w:rsidP="001E3F9D">
      <w:pPr>
        <w:pStyle w:val="a3"/>
      </w:pPr>
      <w:r w:rsidRPr="001A3D2B">
        <w:rPr>
          <w:kern w:val="0"/>
        </w:rPr>
        <w:t xml:space="preserve">Full Text: </w:t>
      </w:r>
      <w:hyperlink r:id="rId1090" w:history="1">
        <w:r w:rsidRPr="00D95942">
          <w:rPr>
            <w:rStyle w:val="a5"/>
            <w:kern w:val="0"/>
          </w:rPr>
          <w:t>2010\Arc Der146, 554.pdf</w:t>
        </w:r>
      </w:hyperlink>
    </w:p>
    <w:p w:rsidR="001E3F9D" w:rsidRDefault="001E3F9D" w:rsidP="001E3F9D">
      <w:pPr>
        <w:pStyle w:val="a3"/>
        <w:rPr>
          <w:kern w:val="0"/>
        </w:rPr>
      </w:pPr>
      <w:r>
        <w:rPr>
          <w:rFonts w:hint="eastAsia"/>
          <w:kern w:val="0"/>
        </w:rPr>
        <w:t xml:space="preserve">? </w:t>
      </w:r>
      <w:r>
        <w:rPr>
          <w:kern w:val="0"/>
        </w:rPr>
        <w:t>Carney, C.K.</w:t>
      </w:r>
      <w:r w:rsidR="005853A9">
        <w:rPr>
          <w:kern w:val="0"/>
        </w:rPr>
        <w:t xml:space="preserve"> and </w:t>
      </w:r>
      <w:r>
        <w:rPr>
          <w:kern w:val="0"/>
        </w:rPr>
        <w:t xml:space="preserve">Elewski, B.E. (2010), Top-accessed article: White superficial onychomycosis. </w:t>
      </w:r>
      <w:r>
        <w:rPr>
          <w:i/>
          <w:iCs/>
          <w:kern w:val="0"/>
        </w:rPr>
        <w:t>Archives</w:t>
      </w:r>
      <w:r w:rsidR="00427468">
        <w:rPr>
          <w:i/>
          <w:iCs/>
          <w:kern w:val="0"/>
        </w:rPr>
        <w:t xml:space="preserve"> of </w:t>
      </w:r>
      <w:r>
        <w:rPr>
          <w:i/>
          <w:iCs/>
          <w:kern w:val="0"/>
        </w:rPr>
        <w:t>Dermatology</w:t>
      </w:r>
      <w:r>
        <w:rPr>
          <w:kern w:val="0"/>
        </w:rPr>
        <w:t xml:space="preserve">, </w:t>
      </w:r>
      <w:r>
        <w:rPr>
          <w:b/>
          <w:bCs/>
          <w:kern w:val="0"/>
        </w:rPr>
        <w:t>146</w:t>
      </w:r>
      <w:r>
        <w:rPr>
          <w:kern w:val="0"/>
        </w:rPr>
        <w:t xml:space="preserve"> (5), 554</w:t>
      </w:r>
      <w:r>
        <w:rPr>
          <w:rFonts w:hint="eastAsia"/>
          <w:kern w:val="0"/>
        </w:rPr>
        <w:t>.</w:t>
      </w:r>
    </w:p>
    <w:p w:rsidR="001E3F9D" w:rsidRPr="001A3D2B" w:rsidRDefault="001E3F9D" w:rsidP="001E3F9D">
      <w:pPr>
        <w:pStyle w:val="a3"/>
        <w:rPr>
          <w:kern w:val="0"/>
        </w:rPr>
      </w:pPr>
      <w:r w:rsidRPr="001A3D2B">
        <w:rPr>
          <w:kern w:val="0"/>
        </w:rPr>
        <w:t xml:space="preserve">Full Text: </w:t>
      </w:r>
      <w:hyperlink r:id="rId1091" w:history="1">
        <w:r w:rsidRPr="00D95942">
          <w:rPr>
            <w:rStyle w:val="a5"/>
            <w:kern w:val="0"/>
          </w:rPr>
          <w:t>2010\Arc Der146, 554.pdf</w:t>
        </w:r>
      </w:hyperlink>
    </w:p>
    <w:p w:rsidR="00CF36DD" w:rsidRDefault="00CF36DD" w:rsidP="00CF36DD">
      <w:pPr>
        <w:pStyle w:val="a3"/>
        <w:rPr>
          <w:kern w:val="0"/>
        </w:rPr>
      </w:pPr>
      <w:r>
        <w:rPr>
          <w:rFonts w:hint="eastAsia"/>
          <w:kern w:val="0"/>
        </w:rPr>
        <w:t xml:space="preserve">? </w:t>
      </w:r>
      <w:r>
        <w:rPr>
          <w:kern w:val="0"/>
        </w:rPr>
        <w:t>Zhao, Y.E., Wu, L.P., Peng, Y.</w:t>
      </w:r>
      <w:r w:rsidR="005853A9">
        <w:rPr>
          <w:kern w:val="0"/>
        </w:rPr>
        <w:t xml:space="preserve"> and </w:t>
      </w:r>
      <w:r>
        <w:rPr>
          <w:kern w:val="0"/>
        </w:rPr>
        <w:t>Cheng, H. (2010), Retrospective analysis</w:t>
      </w:r>
      <w:r w:rsidR="00427468">
        <w:rPr>
          <w:kern w:val="0"/>
        </w:rPr>
        <w:t xml:space="preserve"> of </w:t>
      </w:r>
      <w:r w:rsidR="003A1917">
        <w:rPr>
          <w:kern w:val="0"/>
        </w:rPr>
        <w:t xml:space="preserve">the </w:t>
      </w:r>
      <w:r>
        <w:rPr>
          <w:kern w:val="0"/>
        </w:rPr>
        <w:t xml:space="preserve">association between </w:t>
      </w:r>
      <w:r w:rsidRPr="00CF36DD">
        <w:rPr>
          <w:i/>
          <w:kern w:val="0"/>
        </w:rPr>
        <w:t>Demodex</w:t>
      </w:r>
      <w:r>
        <w:rPr>
          <w:kern w:val="0"/>
        </w:rPr>
        <w:t xml:space="preserve"> infestation</w:t>
      </w:r>
      <w:r w:rsidR="005853A9">
        <w:rPr>
          <w:kern w:val="0"/>
        </w:rPr>
        <w:t xml:space="preserve"> and </w:t>
      </w:r>
      <w:r>
        <w:rPr>
          <w:kern w:val="0"/>
        </w:rPr>
        <w:t xml:space="preserve">rosacea. </w:t>
      </w:r>
      <w:r>
        <w:rPr>
          <w:i/>
          <w:iCs/>
          <w:kern w:val="0"/>
        </w:rPr>
        <w:t>Archives</w:t>
      </w:r>
      <w:r w:rsidR="00427468">
        <w:rPr>
          <w:i/>
          <w:iCs/>
          <w:kern w:val="0"/>
        </w:rPr>
        <w:t xml:space="preserve"> of </w:t>
      </w:r>
      <w:r>
        <w:rPr>
          <w:i/>
          <w:iCs/>
          <w:kern w:val="0"/>
        </w:rPr>
        <w:t>Dermatology</w:t>
      </w:r>
      <w:r>
        <w:rPr>
          <w:kern w:val="0"/>
        </w:rPr>
        <w:t xml:space="preserve">, </w:t>
      </w:r>
      <w:r>
        <w:rPr>
          <w:b/>
          <w:bCs/>
          <w:kern w:val="0"/>
        </w:rPr>
        <w:t>146</w:t>
      </w:r>
      <w:r>
        <w:rPr>
          <w:kern w:val="0"/>
        </w:rPr>
        <w:t xml:space="preserve"> </w:t>
      </w:r>
      <w:r>
        <w:rPr>
          <w:kern w:val="0"/>
        </w:rPr>
        <w:lastRenderedPageBreak/>
        <w:t>(8), 896-902.</w:t>
      </w:r>
    </w:p>
    <w:p w:rsidR="00CF36DD" w:rsidRPr="001A3D2B" w:rsidRDefault="00CF36DD" w:rsidP="00CF36DD">
      <w:pPr>
        <w:pStyle w:val="a3"/>
        <w:rPr>
          <w:kern w:val="0"/>
        </w:rPr>
      </w:pPr>
      <w:r w:rsidRPr="001A3D2B">
        <w:rPr>
          <w:kern w:val="0"/>
        </w:rPr>
        <w:t xml:space="preserve">Full Text: </w:t>
      </w:r>
      <w:hyperlink r:id="rId1092" w:history="1">
        <w:r w:rsidRPr="00CF36DD">
          <w:rPr>
            <w:rStyle w:val="a5"/>
            <w:kern w:val="0"/>
          </w:rPr>
          <w:t>2010\Arc Der146, 896.pdf</w:t>
        </w:r>
      </w:hyperlink>
    </w:p>
    <w:p w:rsidR="00CF36DD" w:rsidRDefault="00CF36DD" w:rsidP="00CF36DD">
      <w:pPr>
        <w:pStyle w:val="a3"/>
        <w:rPr>
          <w:kern w:val="0"/>
        </w:rPr>
      </w:pPr>
      <w:r>
        <w:rPr>
          <w:kern w:val="0"/>
        </w:rPr>
        <w:t>Abstract: Objectives: To explore</w:t>
      </w:r>
      <w:r w:rsidR="003A1917">
        <w:rPr>
          <w:kern w:val="0"/>
        </w:rPr>
        <w:t xml:space="preserve"> the </w:t>
      </w:r>
      <w:r>
        <w:rPr>
          <w:kern w:val="0"/>
        </w:rPr>
        <w:t>association between Demodex infestation</w:t>
      </w:r>
      <w:r w:rsidR="005853A9">
        <w:rPr>
          <w:kern w:val="0"/>
        </w:rPr>
        <w:t xml:space="preserve"> and </w:t>
      </w:r>
      <w:r>
        <w:rPr>
          <w:kern w:val="0"/>
        </w:rPr>
        <w:t>rosacea</w:t>
      </w:r>
      <w:r w:rsidR="005853A9">
        <w:rPr>
          <w:kern w:val="0"/>
        </w:rPr>
        <w:t xml:space="preserve"> and </w:t>
      </w:r>
      <w:r w:rsidR="003A1917">
        <w:rPr>
          <w:kern w:val="0"/>
        </w:rPr>
        <w:t xml:space="preserve">the </w:t>
      </w:r>
      <w:r>
        <w:rPr>
          <w:kern w:val="0"/>
        </w:rPr>
        <w:t>pathogenesis</w:t>
      </w:r>
      <w:r w:rsidR="00427468">
        <w:rPr>
          <w:kern w:val="0"/>
        </w:rPr>
        <w:t xml:space="preserve"> of </w:t>
      </w:r>
      <w:r>
        <w:rPr>
          <w:kern w:val="0"/>
        </w:rPr>
        <w:t>demodicosis rosacea by means</w:t>
      </w:r>
      <w:r w:rsidR="00427468">
        <w:rPr>
          <w:kern w:val="0"/>
        </w:rPr>
        <w:t xml:space="preserve"> of </w:t>
      </w:r>
      <w:r>
        <w:rPr>
          <w:kern w:val="0"/>
        </w:rPr>
        <w:t>a meta-analysis. Data Sources: Electronic searches</w:t>
      </w:r>
      <w:r w:rsidR="00427468">
        <w:rPr>
          <w:kern w:val="0"/>
        </w:rPr>
        <w:t xml:space="preserve"> of </w:t>
      </w:r>
      <w:r w:rsidR="003A1917">
        <w:rPr>
          <w:kern w:val="0"/>
        </w:rPr>
        <w:t xml:space="preserve">the </w:t>
      </w:r>
      <w:r>
        <w:rPr>
          <w:kern w:val="0"/>
        </w:rPr>
        <w:t>ISI Web</w:t>
      </w:r>
      <w:r w:rsidR="00427468">
        <w:rPr>
          <w:kern w:val="0"/>
        </w:rPr>
        <w:t xml:space="preserve"> of </w:t>
      </w:r>
      <w:r>
        <w:rPr>
          <w:kern w:val="0"/>
        </w:rPr>
        <w:t>Knowledge (Science Citation Index, ISTP [Index to Scientific &amp; Technical Proceedings], Journal Citation Reports, BP [BIOSIS Preview], INSPEC [Ination Service in Physics, Electronics Technology,</w:t>
      </w:r>
      <w:r w:rsidR="005853A9">
        <w:rPr>
          <w:kern w:val="0"/>
        </w:rPr>
        <w:t xml:space="preserve"> and </w:t>
      </w:r>
      <w:r>
        <w:rPr>
          <w:kern w:val="0"/>
        </w:rPr>
        <w:t>Computer</w:t>
      </w:r>
      <w:r w:rsidR="005853A9">
        <w:rPr>
          <w:kern w:val="0"/>
        </w:rPr>
        <w:t xml:space="preserve"> and </w:t>
      </w:r>
      <w:r>
        <w:rPr>
          <w:kern w:val="0"/>
        </w:rPr>
        <w:t>Control],</w:t>
      </w:r>
      <w:r w:rsidR="005853A9">
        <w:rPr>
          <w:kern w:val="0"/>
        </w:rPr>
        <w:t xml:space="preserve"> and </w:t>
      </w:r>
      <w:r>
        <w:rPr>
          <w:kern w:val="0"/>
        </w:rPr>
        <w:t xml:space="preserve">DII [Derwent Innovation Index]), </w:t>
      </w:r>
      <w:r w:rsidR="00D5664A">
        <w:rPr>
          <w:kern w:val="0"/>
        </w:rPr>
        <w:t>MEDLINE</w:t>
      </w:r>
      <w:r>
        <w:rPr>
          <w:kern w:val="0"/>
        </w:rPr>
        <w:t>,</w:t>
      </w:r>
      <w:r w:rsidR="005853A9">
        <w:rPr>
          <w:kern w:val="0"/>
        </w:rPr>
        <w:t xml:space="preserve"> and </w:t>
      </w:r>
      <w:r>
        <w:rPr>
          <w:kern w:val="0"/>
        </w:rPr>
        <w:t>CNKI (China National Knowledge Infrastructure) databases (January 1, 1950, to December 31, 2009). We also performed hand searches</w:t>
      </w:r>
      <w:r w:rsidR="00427468">
        <w:rPr>
          <w:kern w:val="0"/>
        </w:rPr>
        <w:t xml:space="preserve"> of </w:t>
      </w:r>
      <w:r>
        <w:rPr>
          <w:kern w:val="0"/>
        </w:rPr>
        <w:t>reference lists</w:t>
      </w:r>
      <w:r w:rsidR="005853A9">
        <w:rPr>
          <w:kern w:val="0"/>
        </w:rPr>
        <w:t xml:space="preserve"> and </w:t>
      </w:r>
      <w:r>
        <w:rPr>
          <w:kern w:val="0"/>
        </w:rPr>
        <w:t>conference proceedings. Study Selection: Predefined selection criteria were applied to all published case-control studies that analyzed</w:t>
      </w:r>
      <w:r w:rsidR="003A1917">
        <w:rPr>
          <w:kern w:val="0"/>
        </w:rPr>
        <w:t xml:space="preserve"> the </w:t>
      </w:r>
      <w:r>
        <w:rPr>
          <w:kern w:val="0"/>
        </w:rPr>
        <w:t>association between Demodex infestation</w:t>
      </w:r>
      <w:r w:rsidR="005853A9">
        <w:rPr>
          <w:kern w:val="0"/>
        </w:rPr>
        <w:t xml:space="preserve"> and </w:t>
      </w:r>
      <w:r>
        <w:rPr>
          <w:kern w:val="0"/>
        </w:rPr>
        <w:t>rosacea. Data Extraction: Two</w:t>
      </w:r>
      <w:r w:rsidR="00427468">
        <w:rPr>
          <w:kern w:val="0"/>
        </w:rPr>
        <w:t xml:space="preserve"> of </w:t>
      </w:r>
      <w:r>
        <w:rPr>
          <w:kern w:val="0"/>
        </w:rPr>
        <w:t>us independently extracted data from</w:t>
      </w:r>
      <w:r w:rsidR="003A1917">
        <w:rPr>
          <w:kern w:val="0"/>
        </w:rPr>
        <w:t xml:space="preserve"> the </w:t>
      </w:r>
      <w:r>
        <w:rPr>
          <w:kern w:val="0"/>
        </w:rPr>
        <w:t>included studies. For disputed articles, a third party mediated whether to include</w:t>
      </w:r>
      <w:r w:rsidR="003A1917">
        <w:rPr>
          <w:kern w:val="0"/>
        </w:rPr>
        <w:t xml:space="preserve"> the </w:t>
      </w:r>
      <w:r>
        <w:rPr>
          <w:kern w:val="0"/>
        </w:rPr>
        <w:t>study. Data Synthesis: Forty-eight English-</w:t>
      </w:r>
      <w:r w:rsidR="005853A9">
        <w:rPr>
          <w:kern w:val="0"/>
        </w:rPr>
        <w:t xml:space="preserve"> and </w:t>
      </w:r>
      <w:r>
        <w:rPr>
          <w:kern w:val="0"/>
        </w:rPr>
        <w:t>Chinese-language articles, which covered 10 different countries</w:t>
      </w:r>
      <w:r w:rsidR="005853A9">
        <w:rPr>
          <w:kern w:val="0"/>
        </w:rPr>
        <w:t xml:space="preserve"> and </w:t>
      </w:r>
      <w:r>
        <w:rPr>
          <w:kern w:val="0"/>
        </w:rPr>
        <w:t>28 527 participants, were eligible</w:t>
      </w:r>
      <w:r w:rsidR="00A37C1D">
        <w:rPr>
          <w:kern w:val="0"/>
        </w:rPr>
        <w:t>. The</w:t>
      </w:r>
      <w:r w:rsidR="003A1917">
        <w:rPr>
          <w:kern w:val="0"/>
        </w:rPr>
        <w:t xml:space="preserve"> </w:t>
      </w:r>
      <w:r>
        <w:rPr>
          <w:kern w:val="0"/>
        </w:rPr>
        <w:t>pooled odds ratio in random-effects models is 7.57 (95% confidence interval, 5.39-10.62). Stability is good according to sensitivity analy</w:t>
      </w:r>
      <w:r w:rsidR="008E59DD">
        <w:rPr>
          <w:kern w:val="0"/>
        </w:rPr>
        <w:t>sis</w:t>
      </w:r>
      <w:r w:rsidR="00A37C1D">
        <w:rPr>
          <w:kern w:val="0"/>
        </w:rPr>
        <w:t>. The</w:t>
      </w:r>
      <w:r w:rsidR="003A1917">
        <w:rPr>
          <w:kern w:val="0"/>
        </w:rPr>
        <w:t xml:space="preserve"> </w:t>
      </w:r>
      <w:r w:rsidR="008E59DD">
        <w:rPr>
          <w:kern w:val="0"/>
        </w:rPr>
        <w:t>fail-safe number is 18</w:t>
      </w:r>
      <w:r w:rsidR="008E59DD">
        <w:rPr>
          <w:rFonts w:hint="eastAsia"/>
          <w:kern w:val="0"/>
        </w:rPr>
        <w:t>,</w:t>
      </w:r>
      <w:r>
        <w:rPr>
          <w:kern w:val="0"/>
        </w:rPr>
        <w:t>456 in</w:t>
      </w:r>
      <w:r w:rsidR="003A1917">
        <w:rPr>
          <w:kern w:val="0"/>
        </w:rPr>
        <w:t xml:space="preserve"> the </w:t>
      </w:r>
      <w:r>
        <w:rPr>
          <w:kern w:val="0"/>
        </w:rPr>
        <w:t>quantitative analysis</w:t>
      </w:r>
      <w:r w:rsidR="00427468">
        <w:rPr>
          <w:kern w:val="0"/>
        </w:rPr>
        <w:t xml:space="preserve"> of </w:t>
      </w:r>
      <w:r>
        <w:rPr>
          <w:kern w:val="0"/>
        </w:rPr>
        <w:t>publication bias. Conclusions: A significant association exists between Demodex infestation</w:t>
      </w:r>
      <w:r w:rsidR="005853A9">
        <w:rPr>
          <w:kern w:val="0"/>
        </w:rPr>
        <w:t xml:space="preserve"> and </w:t>
      </w:r>
      <w:r w:rsidR="003A1917">
        <w:rPr>
          <w:kern w:val="0"/>
        </w:rPr>
        <w:t xml:space="preserve">the </w:t>
      </w:r>
      <w:r>
        <w:rPr>
          <w:kern w:val="0"/>
        </w:rPr>
        <w:t>development</w:t>
      </w:r>
      <w:r w:rsidR="00427468">
        <w:rPr>
          <w:kern w:val="0"/>
        </w:rPr>
        <w:t xml:space="preserve"> of </w:t>
      </w:r>
      <w:r>
        <w:rPr>
          <w:kern w:val="0"/>
        </w:rPr>
        <w:t>rosacea. Demodex infestation is a vital risk factor for rosacea according to</w:t>
      </w:r>
      <w:r w:rsidR="003A1917">
        <w:rPr>
          <w:kern w:val="0"/>
        </w:rPr>
        <w:t xml:space="preserve"> the </w:t>
      </w:r>
      <w:r>
        <w:rPr>
          <w:kern w:val="0"/>
        </w:rPr>
        <w:t>time-to-event relationship,</w:t>
      </w:r>
      <w:r w:rsidR="005853A9">
        <w:rPr>
          <w:kern w:val="0"/>
        </w:rPr>
        <w:t xml:space="preserve"> and </w:t>
      </w:r>
      <w:r w:rsidR="003A1917">
        <w:rPr>
          <w:kern w:val="0"/>
        </w:rPr>
        <w:t xml:space="preserve">the </w:t>
      </w:r>
      <w:r>
        <w:rPr>
          <w:kern w:val="0"/>
        </w:rPr>
        <w:t>degree</w:t>
      </w:r>
      <w:r w:rsidR="00427468">
        <w:rPr>
          <w:kern w:val="0"/>
        </w:rPr>
        <w:t xml:space="preserve"> of </w:t>
      </w:r>
      <w:r>
        <w:rPr>
          <w:kern w:val="0"/>
        </w:rPr>
        <w:t>infestation played a more important role than did</w:t>
      </w:r>
      <w:r w:rsidR="003A1917">
        <w:rPr>
          <w:kern w:val="0"/>
        </w:rPr>
        <w:t xml:space="preserve"> the </w:t>
      </w:r>
      <w:r>
        <w:rPr>
          <w:kern w:val="0"/>
        </w:rPr>
        <w:t>mite infestation rate in</w:t>
      </w:r>
      <w:r w:rsidR="003A1917">
        <w:rPr>
          <w:kern w:val="0"/>
        </w:rPr>
        <w:t xml:space="preserve"> the </w:t>
      </w:r>
      <w:r>
        <w:rPr>
          <w:kern w:val="0"/>
        </w:rPr>
        <w:t>development</w:t>
      </w:r>
      <w:r w:rsidR="00427468">
        <w:rPr>
          <w:kern w:val="0"/>
        </w:rPr>
        <w:t xml:space="preserve"> of </w:t>
      </w:r>
      <w:r>
        <w:rPr>
          <w:kern w:val="0"/>
        </w:rPr>
        <w:t>rosacea.</w:t>
      </w:r>
    </w:p>
    <w:p w:rsidR="00CF36DD" w:rsidRDefault="00CF36DD" w:rsidP="00CF36DD">
      <w:pPr>
        <w:pStyle w:val="a3"/>
        <w:rPr>
          <w:kern w:val="0"/>
        </w:rPr>
      </w:pPr>
      <w:r>
        <w:rPr>
          <w:kern w:val="0"/>
        </w:rPr>
        <w:t>Keywords: Acne Rosacea, Citation, Demodicosis, Density, Folliculorum</w:t>
      </w:r>
      <w:r w:rsidR="00D5664A">
        <w:rPr>
          <w:kern w:val="0"/>
        </w:rPr>
        <w:t>, ISI,</w:t>
      </w:r>
      <w:r>
        <w:rPr>
          <w:kern w:val="0"/>
        </w:rPr>
        <w:t xml:space="preserve"> Pathogenesis, Population, Publication</w:t>
      </w:r>
    </w:p>
    <w:p w:rsidR="003474F2" w:rsidRPr="001A3D2B" w:rsidRDefault="003474F2" w:rsidP="003474F2">
      <w:pPr>
        <w:pStyle w:val="1"/>
      </w:pPr>
      <w:r w:rsidRPr="001A3D2B">
        <w:br w:type="page"/>
      </w:r>
      <w:bookmarkStart w:id="562" w:name="_Toc420814568"/>
      <w:r w:rsidRPr="001A3D2B">
        <w:lastRenderedPageBreak/>
        <w:t>Title: Archives</w:t>
      </w:r>
      <w:r w:rsidR="00427468">
        <w:t xml:space="preserve"> of </w:t>
      </w:r>
      <w:r w:rsidRPr="001A3D2B">
        <w:t>Disease in Childhood</w:t>
      </w:r>
      <w:bookmarkEnd w:id="562"/>
    </w:p>
    <w:p w:rsidR="003474F2" w:rsidRPr="001A3D2B" w:rsidRDefault="003474F2" w:rsidP="003474F2">
      <w:pPr>
        <w:pStyle w:val="12"/>
      </w:pPr>
      <w:r w:rsidRPr="001A3D2B">
        <w:t>Full J</w:t>
      </w:r>
      <w:bookmarkStart w:id="563" w:name="_Toc489709616"/>
      <w:bookmarkStart w:id="564" w:name="_Toc490687654"/>
      <w:bookmarkStart w:id="565" w:name="_Toc492777899"/>
      <w:bookmarkStart w:id="566" w:name="_Toc78534705"/>
      <w:bookmarkStart w:id="567" w:name="_Toc81215620"/>
      <w:r w:rsidRPr="001A3D2B">
        <w:t xml:space="preserve">ournal </w:t>
      </w:r>
      <w:bookmarkEnd w:id="563"/>
      <w:r w:rsidRPr="001A3D2B">
        <w:t xml:space="preserve">Title: </w:t>
      </w:r>
      <w:r w:rsidR="00206C8A">
        <w:fldChar w:fldCharType="begin"/>
      </w:r>
      <w:r w:rsidR="00FD158B">
        <w:instrText>HYPERLINK "http://www.sw</w:instrText>
      </w:r>
      <w:bookmarkEnd w:id="564"/>
      <w:bookmarkEnd w:id="565"/>
      <w:bookmarkEnd w:id="566"/>
      <w:bookmarkEnd w:id="567"/>
      <w:r w:rsidR="00FD158B">
        <w:instrText>etswise.com/eAccess/viewTitleIssues.do?titleID=15302"</w:instrText>
      </w:r>
      <w:r w:rsidR="00206C8A">
        <w:fldChar w:fldCharType="separate"/>
      </w:r>
      <w:r w:rsidRPr="001A3D2B">
        <w:rPr>
          <w:rStyle w:val="a5"/>
        </w:rPr>
        <w:t>Archives</w:t>
      </w:r>
      <w:r w:rsidR="00427468">
        <w:rPr>
          <w:rStyle w:val="a5"/>
        </w:rPr>
        <w:t xml:space="preserve"> of </w:t>
      </w:r>
      <w:r w:rsidRPr="001A3D2B">
        <w:rPr>
          <w:rStyle w:val="a5"/>
        </w:rPr>
        <w:t>Disease in Childhood</w:t>
      </w:r>
      <w:r w:rsidR="00206C8A">
        <w:fldChar w:fldCharType="end"/>
      </w:r>
    </w:p>
    <w:p w:rsidR="003474F2" w:rsidRPr="001A3D2B" w:rsidRDefault="003474F2" w:rsidP="003474F2">
      <w:pPr>
        <w:pStyle w:val="12"/>
      </w:pPr>
      <w:r w:rsidRPr="001A3D2B">
        <w:t>ISO Abbreviated Title: Arch. Dis. Child.</w:t>
      </w:r>
    </w:p>
    <w:p w:rsidR="003474F2" w:rsidRPr="001A3D2B" w:rsidRDefault="003474F2" w:rsidP="003474F2">
      <w:pPr>
        <w:pStyle w:val="12"/>
      </w:pPr>
      <w:r w:rsidRPr="001A3D2B">
        <w:t>JCR Abbreviated Title: Arch Dis Child</w:t>
      </w:r>
    </w:p>
    <w:p w:rsidR="003474F2" w:rsidRPr="001A3D2B" w:rsidRDefault="003474F2" w:rsidP="003474F2">
      <w:pPr>
        <w:pStyle w:val="12"/>
      </w:pPr>
      <w:r w:rsidRPr="001A3D2B">
        <w:t>ISSN: 0003-9888</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British Med Journal Publ Group</w:t>
      </w:r>
    </w:p>
    <w:p w:rsidR="003474F2" w:rsidRPr="001A3D2B" w:rsidRDefault="003474F2" w:rsidP="003474F2">
      <w:pPr>
        <w:pStyle w:val="12"/>
      </w:pPr>
      <w:r w:rsidRPr="001A3D2B">
        <w:t>Publisher Address: British Med Assoc House, Tavistock Square, London WC1H 9JR, England</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Pediatrics: Impact Factor </w:t>
      </w:r>
    </w:p>
    <w:p w:rsidR="004A4A6C" w:rsidRDefault="004A4A6C" w:rsidP="004A4A6C">
      <w:pPr>
        <w:pStyle w:val="a3"/>
        <w:rPr>
          <w:kern w:val="0"/>
        </w:rPr>
      </w:pPr>
      <w:r>
        <w:rPr>
          <w:rFonts w:hint="eastAsia"/>
          <w:kern w:val="0"/>
        </w:rPr>
        <w:t xml:space="preserve">? </w:t>
      </w:r>
      <w:r>
        <w:rPr>
          <w:kern w:val="0"/>
        </w:rPr>
        <w:t>Kenny, S.E., Shankar, K.R., Rintala, R., Lamont, G.L.</w:t>
      </w:r>
      <w:r w:rsidR="005853A9">
        <w:rPr>
          <w:kern w:val="0"/>
        </w:rPr>
        <w:t xml:space="preserve"> and </w:t>
      </w:r>
      <w:r>
        <w:rPr>
          <w:kern w:val="0"/>
        </w:rPr>
        <w:t xml:space="preserve">Lloyd, D.A. (1997), Evidence-based surgery: Interventions in a regional paediatric surgical unit. </w:t>
      </w:r>
      <w:r>
        <w:rPr>
          <w:i/>
          <w:iCs/>
          <w:kern w:val="0"/>
        </w:rPr>
        <w:t>Archives</w:t>
      </w:r>
      <w:r w:rsidR="00427468">
        <w:rPr>
          <w:i/>
          <w:iCs/>
          <w:kern w:val="0"/>
        </w:rPr>
        <w:t xml:space="preserve"> of </w:t>
      </w:r>
      <w:r>
        <w:rPr>
          <w:i/>
          <w:iCs/>
          <w:kern w:val="0"/>
        </w:rPr>
        <w:t>Disease in Childhood</w:t>
      </w:r>
      <w:r>
        <w:rPr>
          <w:kern w:val="0"/>
        </w:rPr>
        <w:t xml:space="preserve">, </w:t>
      </w:r>
      <w:r>
        <w:rPr>
          <w:b/>
          <w:bCs/>
          <w:kern w:val="0"/>
        </w:rPr>
        <w:t>76</w:t>
      </w:r>
      <w:r>
        <w:rPr>
          <w:kern w:val="0"/>
        </w:rPr>
        <w:t xml:space="preserve"> (1), 50-53.</w:t>
      </w:r>
    </w:p>
    <w:p w:rsidR="00DF0E4C" w:rsidRPr="001A3D2B" w:rsidRDefault="00DF0E4C" w:rsidP="00DF0E4C">
      <w:pPr>
        <w:pStyle w:val="a3"/>
      </w:pPr>
      <w:r w:rsidRPr="001A3D2B">
        <w:t xml:space="preserve">Full Text: </w:t>
      </w:r>
      <w:hyperlink r:id="rId1093" w:history="1">
        <w:r w:rsidRPr="00094915">
          <w:rPr>
            <w:rStyle w:val="a5"/>
          </w:rPr>
          <w:t>1997\Arc Dis Chi76, 50.pdf</w:t>
        </w:r>
      </w:hyperlink>
    </w:p>
    <w:p w:rsidR="004A4A6C" w:rsidRDefault="004A4A6C" w:rsidP="004A4A6C">
      <w:pPr>
        <w:pStyle w:val="a3"/>
        <w:rPr>
          <w:kern w:val="0"/>
        </w:rPr>
      </w:pPr>
      <w:r>
        <w:rPr>
          <w:kern w:val="0"/>
        </w:rPr>
        <w:t>Abstract: Objectives-To determine</w:t>
      </w:r>
      <w:r w:rsidR="003A1917">
        <w:rPr>
          <w:kern w:val="0"/>
        </w:rPr>
        <w:t xml:space="preserve"> the </w:t>
      </w:r>
      <w:r>
        <w:rPr>
          <w:kern w:val="0"/>
        </w:rPr>
        <w:t>proportion</w:t>
      </w:r>
      <w:r w:rsidR="00427468">
        <w:rPr>
          <w:kern w:val="0"/>
        </w:rPr>
        <w:t xml:space="preserve"> of </w:t>
      </w:r>
      <w:r>
        <w:rPr>
          <w:kern w:val="0"/>
        </w:rPr>
        <w:t>paediatric surgical interventions that are evidence-based</w:t>
      </w:r>
      <w:r w:rsidR="005853A9">
        <w:rPr>
          <w:kern w:val="0"/>
        </w:rPr>
        <w:t xml:space="preserve"> and </w:t>
      </w:r>
      <w:r>
        <w:rPr>
          <w:kern w:val="0"/>
        </w:rPr>
        <w:t>to identify areas where randomised controlled trials (RCTs) or further research are required. Design-Prospective review</w:t>
      </w:r>
      <w:r w:rsidR="00427468">
        <w:rPr>
          <w:kern w:val="0"/>
        </w:rPr>
        <w:t xml:space="preserve"> of </w:t>
      </w:r>
      <w:r>
        <w:rPr>
          <w:kern w:val="0"/>
        </w:rPr>
        <w:t>paediatric general surgical inpatients. Setting-A regional paediatric surgical unit. Subjects-All consecutive paediatric general surgical patients admitted in November, 1995. Main outcome measures-Each patient on whom a diagnosis had been made was allocated a primary diagnosis</w:t>
      </w:r>
      <w:r w:rsidR="005853A9">
        <w:rPr>
          <w:kern w:val="0"/>
        </w:rPr>
        <w:t xml:space="preserve"> and </w:t>
      </w:r>
      <w:r>
        <w:rPr>
          <w:kern w:val="0"/>
        </w:rPr>
        <w:t>primary intervention (n=281). On</w:t>
      </w:r>
      <w:r w:rsidR="003A1917">
        <w:rPr>
          <w:kern w:val="0"/>
        </w:rPr>
        <w:t xml:space="preserve"> the </w:t>
      </w:r>
      <w:r>
        <w:rPr>
          <w:kern w:val="0"/>
        </w:rPr>
        <w:t>basis</w:t>
      </w:r>
      <w:r w:rsidR="00427468">
        <w:rPr>
          <w:kern w:val="0"/>
        </w:rPr>
        <w:t xml:space="preserve"> of </w:t>
      </w:r>
      <w:r>
        <w:rPr>
          <w:kern w:val="0"/>
        </w:rPr>
        <w:t xml:space="preserve">expert knowledge, Plusnet </w:t>
      </w:r>
      <w:r w:rsidR="00D5664A">
        <w:rPr>
          <w:kern w:val="0"/>
        </w:rPr>
        <w:t>MEDLINE</w:t>
      </w:r>
      <w:r>
        <w:rPr>
          <w:kern w:val="0"/>
        </w:rPr>
        <w:t>,</w:t>
      </w:r>
      <w:r w:rsidR="005853A9">
        <w:rPr>
          <w:kern w:val="0"/>
        </w:rPr>
        <w:t xml:space="preserve"> and </w:t>
      </w:r>
      <w:r>
        <w:rPr>
          <w:kern w:val="0"/>
        </w:rPr>
        <w:t>ISI Science Citation database searches, each intervention was categorised according to</w:t>
      </w:r>
      <w:r w:rsidR="003A1917">
        <w:rPr>
          <w:kern w:val="0"/>
        </w:rPr>
        <w:t xml:space="preserve"> the </w:t>
      </w:r>
      <w:r>
        <w:rPr>
          <w:kern w:val="0"/>
        </w:rPr>
        <w:t>level</w:t>
      </w:r>
      <w:r w:rsidR="00427468">
        <w:rPr>
          <w:kern w:val="0"/>
        </w:rPr>
        <w:t xml:space="preserve"> of </w:t>
      </w:r>
      <w:r>
        <w:rPr>
          <w:kern w:val="0"/>
        </w:rPr>
        <w:t>supporting evidence: category 1, intervention based on RCT evidence; category 2, intervention with convincing non-experimental evidence such that an RCT would be unethical</w:t>
      </w:r>
      <w:r w:rsidR="005853A9">
        <w:rPr>
          <w:kern w:val="0"/>
        </w:rPr>
        <w:t xml:space="preserve"> and </w:t>
      </w:r>
      <w:r>
        <w:rPr>
          <w:kern w:val="0"/>
        </w:rPr>
        <w:t>unjustified; category 3, intervention without substantial supportive evidence. Results-Of 281 patient interventions, 31 (11%) were based on controlled trials</w:t>
      </w:r>
      <w:r w:rsidR="005853A9">
        <w:rPr>
          <w:kern w:val="0"/>
        </w:rPr>
        <w:t xml:space="preserve"> and </w:t>
      </w:r>
      <w:r>
        <w:rPr>
          <w:kern w:val="0"/>
        </w:rPr>
        <w:t>185 (66%) on convincing nonexperimental evidence. Only 23%</w:t>
      </w:r>
      <w:r w:rsidR="00427468">
        <w:rPr>
          <w:kern w:val="0"/>
        </w:rPr>
        <w:t xml:space="preserve"> of </w:t>
      </w:r>
      <w:r>
        <w:rPr>
          <w:kern w:val="0"/>
        </w:rPr>
        <w:t>interventions were category 3. Conclusions-In common with other medical specialties,</w:t>
      </w:r>
      <w:r w:rsidR="003A1917">
        <w:rPr>
          <w:kern w:val="0"/>
        </w:rPr>
        <w:t xml:space="preserve"> the </w:t>
      </w:r>
      <w:r>
        <w:rPr>
          <w:kern w:val="0"/>
        </w:rPr>
        <w:t>majority</w:t>
      </w:r>
      <w:r w:rsidR="00427468">
        <w:rPr>
          <w:kern w:val="0"/>
        </w:rPr>
        <w:t xml:space="preserve"> of </w:t>
      </w:r>
      <w:r>
        <w:rPr>
          <w:kern w:val="0"/>
        </w:rPr>
        <w:t>paediatric surgical interventions are based on sound evidence. However, only 11%</w:t>
      </w:r>
      <w:r w:rsidR="00427468">
        <w:rPr>
          <w:kern w:val="0"/>
        </w:rPr>
        <w:t xml:space="preserve"> of </w:t>
      </w:r>
      <w:r>
        <w:rPr>
          <w:kern w:val="0"/>
        </w:rPr>
        <w:t>interventions are based on RCT data, perhaps reflecting</w:t>
      </w:r>
      <w:r w:rsidR="003A1917">
        <w:rPr>
          <w:kern w:val="0"/>
        </w:rPr>
        <w:t xml:space="preserve"> the </w:t>
      </w:r>
      <w:r>
        <w:rPr>
          <w:kern w:val="0"/>
        </w:rPr>
        <w:t>nature</w:t>
      </w:r>
      <w:r w:rsidR="00427468">
        <w:rPr>
          <w:kern w:val="0"/>
        </w:rPr>
        <w:t xml:space="preserve"> of </w:t>
      </w:r>
      <w:r>
        <w:rPr>
          <w:kern w:val="0"/>
        </w:rPr>
        <w:t>surgical practice. Further RCTs or research is indicated in a proportion</w:t>
      </w:r>
      <w:r w:rsidR="00427468">
        <w:rPr>
          <w:kern w:val="0"/>
        </w:rPr>
        <w:t xml:space="preserve"> of </w:t>
      </w:r>
      <w:r>
        <w:rPr>
          <w:kern w:val="0"/>
        </w:rPr>
        <w:t>category 3 interventions.</w:t>
      </w:r>
    </w:p>
    <w:p w:rsidR="004A4A6C" w:rsidRDefault="004A4A6C" w:rsidP="004A4A6C">
      <w:pPr>
        <w:pStyle w:val="a3"/>
        <w:rPr>
          <w:kern w:val="0"/>
        </w:rPr>
      </w:pPr>
      <w:r>
        <w:rPr>
          <w:kern w:val="0"/>
        </w:rPr>
        <w:t xml:space="preserve">Keywords: Cholecystectomy, Citation, Database, Diagnosis, Endoscopic Sclerotherapy, </w:t>
      </w:r>
      <w:r>
        <w:rPr>
          <w:kern w:val="0"/>
        </w:rPr>
        <w:lastRenderedPageBreak/>
        <w:t>Esophageal-Varices, Evidence-Based Medicine, Injection Sclerotherapy, Intervention</w:t>
      </w:r>
      <w:r w:rsidR="00D5664A">
        <w:rPr>
          <w:kern w:val="0"/>
        </w:rPr>
        <w:t>, ISI,</w:t>
      </w:r>
      <w:r>
        <w:rPr>
          <w:kern w:val="0"/>
        </w:rPr>
        <w:t xml:space="preserve"> Knowledge, Liver-Cirrhosis, Management, Medical, </w:t>
      </w:r>
      <w:r w:rsidR="00D5664A">
        <w:rPr>
          <w:kern w:val="0"/>
        </w:rPr>
        <w:t>MEDLINE</w:t>
      </w:r>
      <w:r>
        <w:rPr>
          <w:kern w:val="0"/>
        </w:rPr>
        <w:t>, Paediatric Surgery, Pilonidal-Sinus, Primary, Prospective Controlled Trial, Randomized Trial, Research, Review, Science, Surgery, Testicular Torsion</w:t>
      </w:r>
    </w:p>
    <w:p w:rsidR="003474F2" w:rsidRPr="001A3D2B" w:rsidRDefault="003474F2" w:rsidP="003474F2">
      <w:pPr>
        <w:pStyle w:val="a3"/>
      </w:pPr>
      <w:r w:rsidRPr="001A3D2B">
        <w:t>Vargas-Origel, A., Gómez-Martínez, G.</w:t>
      </w:r>
      <w:r w:rsidR="005853A9">
        <w:t xml:space="preserve"> and </w:t>
      </w:r>
      <w:r w:rsidRPr="001A3D2B">
        <w:t>Vargas-Nieto, M.A. (2001</w:t>
      </w:r>
      <w:r w:rsidR="00F42EAC">
        <w:t>), The</w:t>
      </w:r>
      <w:r w:rsidR="003A1917">
        <w:t xml:space="preserve"> </w:t>
      </w:r>
      <w:r w:rsidRPr="001A3D2B">
        <w:t>accuracy</w:t>
      </w:r>
      <w:r w:rsidR="00427468">
        <w:t xml:space="preserve"> of </w:t>
      </w:r>
      <w:r w:rsidRPr="001A3D2B">
        <w:t xml:space="preserve">references in paediatric journals. </w:t>
      </w:r>
      <w:r w:rsidRPr="001A3D2B">
        <w:rPr>
          <w:i/>
          <w:iCs/>
        </w:rPr>
        <w:t>Archives</w:t>
      </w:r>
      <w:r w:rsidR="00427468">
        <w:rPr>
          <w:i/>
          <w:iCs/>
        </w:rPr>
        <w:t xml:space="preserve"> of </w:t>
      </w:r>
      <w:r w:rsidRPr="001A3D2B">
        <w:rPr>
          <w:i/>
          <w:iCs/>
        </w:rPr>
        <w:t>Disease in Childhood</w:t>
      </w:r>
      <w:r w:rsidRPr="001A3D2B">
        <w:t xml:space="preserve">, </w:t>
      </w:r>
      <w:r w:rsidRPr="001A3D2B">
        <w:rPr>
          <w:b/>
          <w:bCs/>
        </w:rPr>
        <w:t>85</w:t>
      </w:r>
      <w:r w:rsidRPr="001A3D2B">
        <w:t xml:space="preserve"> (6), 497-498.</w:t>
      </w:r>
    </w:p>
    <w:p w:rsidR="003474F2" w:rsidRPr="001A3D2B" w:rsidRDefault="003474F2" w:rsidP="003474F2">
      <w:pPr>
        <w:pStyle w:val="a3"/>
      </w:pPr>
      <w:r w:rsidRPr="001A3D2B">
        <w:t xml:space="preserve">Full Text: </w:t>
      </w:r>
      <w:hyperlink r:id="rId1094" w:history="1">
        <w:r w:rsidRPr="001A3D2B">
          <w:rPr>
            <w:rStyle w:val="a5"/>
          </w:rPr>
          <w:t>2001\Arc Dis Chi85, 497.pdf</w:t>
        </w:r>
      </w:hyperlink>
    </w:p>
    <w:p w:rsidR="003474F2" w:rsidRPr="001A3D2B" w:rsidRDefault="003474F2" w:rsidP="003474F2">
      <w:pPr>
        <w:pStyle w:val="a3"/>
      </w:pPr>
      <w:r w:rsidRPr="001A3D2B">
        <w:t>Abstract: We analysed</w:t>
      </w:r>
      <w:r w:rsidR="003A1917">
        <w:t xml:space="preserve"> the </w:t>
      </w:r>
      <w:r w:rsidRPr="001A3D2B">
        <w:t>reference error rate</w:t>
      </w:r>
      <w:r w:rsidR="00427468">
        <w:t xml:space="preserve"> of </w:t>
      </w:r>
      <w:r w:rsidRPr="001A3D2B">
        <w:t>four paediatric journals</w:t>
      </w:r>
      <w:r w:rsidR="00A37C1D">
        <w:t>. The</w:t>
      </w:r>
      <w:r w:rsidR="003A1917">
        <w:t xml:space="preserve"> </w:t>
      </w:r>
      <w:r w:rsidRPr="001A3D2B">
        <w:t>overall rate was 29.7%. Individual rates were as follows: Acta Paediatr 36%, Arch Dis Child 22%, J Pediatr 29%, Pediatrics 32%;</w:t>
      </w:r>
      <w:r w:rsidR="003A1917">
        <w:t xml:space="preserve"> the </w:t>
      </w:r>
      <w:r w:rsidRPr="001A3D2B">
        <w:t>rate</w:t>
      </w:r>
      <w:r w:rsidR="00427468">
        <w:t xml:space="preserve"> of </w:t>
      </w:r>
      <w:r w:rsidRPr="001A3D2B">
        <w:t>major errors was 1%, 1%, 2%,</w:t>
      </w:r>
      <w:r w:rsidR="005853A9">
        <w:t xml:space="preserve"> and </w:t>
      </w:r>
      <w:r w:rsidRPr="001A3D2B">
        <w:t>4%, respectively.</w:t>
      </w:r>
    </w:p>
    <w:p w:rsidR="003474F2" w:rsidRPr="001A3D2B" w:rsidRDefault="003474F2" w:rsidP="003474F2">
      <w:pPr>
        <w:pStyle w:val="a3"/>
      </w:pPr>
      <w:r w:rsidRPr="001A3D2B">
        <w:t>Keywords: Accuracy, Error, Errors, Journal, Journals, Rates, Reference</w:t>
      </w:r>
    </w:p>
    <w:p w:rsidR="004E00C2" w:rsidRDefault="004E00C2" w:rsidP="004E00C2">
      <w:pPr>
        <w:pStyle w:val="a3"/>
        <w:rPr>
          <w:kern w:val="0"/>
        </w:rPr>
      </w:pPr>
      <w:r>
        <w:rPr>
          <w:rFonts w:hint="eastAsia"/>
          <w:kern w:val="0"/>
        </w:rPr>
        <w:t xml:space="preserve">? </w:t>
      </w:r>
      <w:r>
        <w:rPr>
          <w:kern w:val="0"/>
        </w:rPr>
        <w:t>Rudolf, M.C.J.</w:t>
      </w:r>
      <w:r w:rsidR="005853A9">
        <w:rPr>
          <w:kern w:val="0"/>
        </w:rPr>
        <w:t xml:space="preserve"> and </w:t>
      </w:r>
      <w:r>
        <w:rPr>
          <w:kern w:val="0"/>
        </w:rPr>
        <w:t>Logan, S. (2005), What is</w:t>
      </w:r>
      <w:r w:rsidR="003A1917">
        <w:rPr>
          <w:kern w:val="0"/>
        </w:rPr>
        <w:t xml:space="preserve"> the </w:t>
      </w:r>
      <w:r>
        <w:rPr>
          <w:kern w:val="0"/>
        </w:rPr>
        <w:t xml:space="preserve">long term outcome for children who fail to thrive? A systematic review. </w:t>
      </w:r>
      <w:r>
        <w:rPr>
          <w:i/>
          <w:iCs/>
          <w:kern w:val="0"/>
        </w:rPr>
        <w:t>Archives</w:t>
      </w:r>
      <w:r w:rsidR="00427468">
        <w:rPr>
          <w:i/>
          <w:iCs/>
          <w:kern w:val="0"/>
        </w:rPr>
        <w:t xml:space="preserve"> of </w:t>
      </w:r>
      <w:r>
        <w:rPr>
          <w:i/>
          <w:iCs/>
          <w:kern w:val="0"/>
        </w:rPr>
        <w:t>Disease in Childhood</w:t>
      </w:r>
      <w:r>
        <w:rPr>
          <w:kern w:val="0"/>
        </w:rPr>
        <w:t xml:space="preserve">, </w:t>
      </w:r>
      <w:r>
        <w:rPr>
          <w:b/>
          <w:bCs/>
          <w:kern w:val="0"/>
        </w:rPr>
        <w:t>90</w:t>
      </w:r>
      <w:r>
        <w:rPr>
          <w:kern w:val="0"/>
        </w:rPr>
        <w:t xml:space="preserve"> (9), 925-931.</w:t>
      </w:r>
    </w:p>
    <w:p w:rsidR="00DF0E4C" w:rsidRPr="00F219CA" w:rsidRDefault="00DF0E4C" w:rsidP="00DF0E4C">
      <w:pPr>
        <w:pStyle w:val="a3"/>
      </w:pPr>
      <w:r w:rsidRPr="00F219CA">
        <w:t xml:space="preserve">Full Text: </w:t>
      </w:r>
      <w:hyperlink r:id="rId1095" w:history="1">
        <w:r w:rsidRPr="00094915">
          <w:rPr>
            <w:rStyle w:val="a5"/>
          </w:rPr>
          <w:t>2005\Arc Dis Chi90, 925.pdf</w:t>
        </w:r>
      </w:hyperlink>
    </w:p>
    <w:p w:rsidR="004E00C2" w:rsidRDefault="004E00C2" w:rsidP="004E00C2">
      <w:pPr>
        <w:pStyle w:val="a3"/>
        <w:rPr>
          <w:kern w:val="0"/>
        </w:rPr>
      </w:pPr>
      <w:r>
        <w:rPr>
          <w:kern w:val="0"/>
        </w:rPr>
        <w:t>Abstract: Aims: To ascertain</w:t>
      </w:r>
      <w:r w:rsidR="003A1917">
        <w:rPr>
          <w:kern w:val="0"/>
        </w:rPr>
        <w:t xml:space="preserve"> the </w:t>
      </w:r>
      <w:r>
        <w:rPr>
          <w:kern w:val="0"/>
        </w:rPr>
        <w:t>long term outcomes in children diagnosed as having failure to thrive (FTT). Methods: Systematic review</w:t>
      </w:r>
      <w:r w:rsidR="00427468">
        <w:rPr>
          <w:kern w:val="0"/>
        </w:rPr>
        <w:t xml:space="preserve"> of </w:t>
      </w:r>
      <w:r>
        <w:rPr>
          <w:kern w:val="0"/>
        </w:rPr>
        <w:t xml:space="preserve">cohort studies. </w:t>
      </w:r>
      <w:r w:rsidR="00D5664A">
        <w:rPr>
          <w:kern w:val="0"/>
        </w:rPr>
        <w:t>MEDLINE</w:t>
      </w:r>
      <w:r>
        <w:rPr>
          <w:kern w:val="0"/>
        </w:rPr>
        <w:t xml:space="preserve">, Psychinfo, EMBASE, Cinahl, </w:t>
      </w:r>
      <w:r w:rsidR="00D5664A">
        <w:rPr>
          <w:kern w:val="0"/>
        </w:rPr>
        <w:t>Web</w:t>
      </w:r>
      <w:r w:rsidR="00427468">
        <w:rPr>
          <w:kern w:val="0"/>
        </w:rPr>
        <w:t xml:space="preserve"> of </w:t>
      </w:r>
      <w:r w:rsidR="00D5664A">
        <w:rPr>
          <w:kern w:val="0"/>
        </w:rPr>
        <w:t>Science</w:t>
      </w:r>
      <w:r>
        <w:rPr>
          <w:kern w:val="0"/>
        </w:rPr>
        <w:t>, Cochrane,</w:t>
      </w:r>
      <w:r w:rsidR="005853A9">
        <w:rPr>
          <w:kern w:val="0"/>
        </w:rPr>
        <w:t xml:space="preserve"> and </w:t>
      </w:r>
      <w:r>
        <w:rPr>
          <w:kern w:val="0"/>
        </w:rPr>
        <w:t>DARE databases were searched for potentially relevant studies. Inclusion criteria: cohort studies or randomised controlled trials in children &lt; 2 years old with failure to thrive defined as weight &lt; 10th centile or lower centile and/or weight velocity &lt; 10th centile, with growth, development, or behaviour measured at 3 years</w:t>
      </w:r>
      <w:r w:rsidR="00427468">
        <w:rPr>
          <w:kern w:val="0"/>
        </w:rPr>
        <w:t xml:space="preserve"> of </w:t>
      </w:r>
      <w:r>
        <w:rPr>
          <w:kern w:val="0"/>
        </w:rPr>
        <w:t>age or older. Results: Thirteen studies met</w:t>
      </w:r>
      <w:r w:rsidR="003A1917">
        <w:rPr>
          <w:kern w:val="0"/>
        </w:rPr>
        <w:t xml:space="preserve"> the </w:t>
      </w:r>
      <w:r>
        <w:rPr>
          <w:kern w:val="0"/>
        </w:rPr>
        <w:t>inclusion criteria; eight included a comparison group,</w:t>
      </w:r>
      <w:r w:rsidR="00427468">
        <w:rPr>
          <w:kern w:val="0"/>
        </w:rPr>
        <w:t xml:space="preserve"> of </w:t>
      </w:r>
      <w:r>
        <w:rPr>
          <w:kern w:val="0"/>
        </w:rPr>
        <w:t>which five included children identified in community settings. Two were randomised controlled trials. Attrition rates were 10-30%. Data from population based studies with comparison groups</w:t>
      </w:r>
      <w:r w:rsidR="005853A9">
        <w:rPr>
          <w:kern w:val="0"/>
        </w:rPr>
        <w:t xml:space="preserve"> and </w:t>
      </w:r>
      <w:r>
        <w:rPr>
          <w:kern w:val="0"/>
        </w:rPr>
        <w:t>which reported comparable outcomes in an appropriate form were pooled in a random effects meta-analysis. Four studies report IQ scores at follow up</w:t>
      </w:r>
      <w:r w:rsidR="005853A9">
        <w:rPr>
          <w:kern w:val="0"/>
        </w:rPr>
        <w:t xml:space="preserve"> and </w:t>
      </w:r>
      <w:r w:rsidR="003A1917">
        <w:rPr>
          <w:kern w:val="0"/>
        </w:rPr>
        <w:t xml:space="preserve">the </w:t>
      </w:r>
      <w:r>
        <w:rPr>
          <w:kern w:val="0"/>
        </w:rPr>
        <w:t>pooled standardised mean difference was 20.22 (95% CI -0.41 to -0.03). Two studies reported growth data as standard deviation scores</w:t>
      </w:r>
      <w:r w:rsidR="00A37C1D">
        <w:rPr>
          <w:kern w:val="0"/>
        </w:rPr>
        <w:t>. The</w:t>
      </w:r>
      <w:r>
        <w:rPr>
          <w:kern w:val="0"/>
        </w:rPr>
        <w:t>ir pooled weighted mean difference for weight was -1.24 SDS (95% CI -2.00 to -0.48),</w:t>
      </w:r>
      <w:r w:rsidR="005853A9">
        <w:rPr>
          <w:kern w:val="0"/>
        </w:rPr>
        <w:t xml:space="preserve"> and </w:t>
      </w:r>
      <w:r>
        <w:rPr>
          <w:kern w:val="0"/>
        </w:rPr>
        <w:t>for height -0.87 SDS (95% CI -1.47 to -0.28). No studies corrected for parental height, but two reported that parents</w:t>
      </w:r>
      <w:r w:rsidR="00427468">
        <w:rPr>
          <w:kern w:val="0"/>
        </w:rPr>
        <w:t xml:space="preserve"> of </w:t>
      </w:r>
      <w:r>
        <w:rPr>
          <w:kern w:val="0"/>
        </w:rPr>
        <w:t>index children were shorter. Conclusions:</w:t>
      </w:r>
      <w:r w:rsidR="003A1917">
        <w:rPr>
          <w:kern w:val="0"/>
        </w:rPr>
        <w:t xml:space="preserve"> the </w:t>
      </w:r>
      <w:r>
        <w:rPr>
          <w:kern w:val="0"/>
        </w:rPr>
        <w:t>IQ difference (equivalent to similar to 3 IQ points) is</w:t>
      </w:r>
      <w:r w:rsidR="00427468">
        <w:rPr>
          <w:kern w:val="0"/>
        </w:rPr>
        <w:t xml:space="preserve"> of </w:t>
      </w:r>
      <w:r>
        <w:rPr>
          <w:kern w:val="0"/>
        </w:rPr>
        <w:t>questionable clinical significance</w:t>
      </w:r>
      <w:r w:rsidR="00A37C1D">
        <w:rPr>
          <w:kern w:val="0"/>
        </w:rPr>
        <w:t>. The</w:t>
      </w:r>
      <w:r w:rsidR="003A1917">
        <w:rPr>
          <w:kern w:val="0"/>
        </w:rPr>
        <w:t xml:space="preserve"> </w:t>
      </w:r>
      <w:r>
        <w:rPr>
          <w:kern w:val="0"/>
        </w:rPr>
        <w:t>height</w:t>
      </w:r>
      <w:r w:rsidR="005853A9">
        <w:rPr>
          <w:kern w:val="0"/>
        </w:rPr>
        <w:t xml:space="preserve"> and </w:t>
      </w:r>
      <w:r>
        <w:rPr>
          <w:kern w:val="0"/>
        </w:rPr>
        <w:t>weight differences are larger, but few children were below</w:t>
      </w:r>
      <w:r w:rsidR="003A1917">
        <w:rPr>
          <w:kern w:val="0"/>
        </w:rPr>
        <w:t xml:space="preserve"> the </w:t>
      </w:r>
      <w:r>
        <w:rPr>
          <w:kern w:val="0"/>
        </w:rPr>
        <w:t>3rd centile at follow up. It is unclear to what extent observed differences reflect ca</w:t>
      </w:r>
      <w:r w:rsidR="00D5664A">
        <w:rPr>
          <w:kern w:val="0"/>
        </w:rPr>
        <w:t>USA</w:t>
      </w:r>
      <w:r>
        <w:rPr>
          <w:kern w:val="0"/>
        </w:rPr>
        <w:t>l relations or confounding due to other variables. In</w:t>
      </w:r>
      <w:r w:rsidR="003A1917">
        <w:rPr>
          <w:kern w:val="0"/>
        </w:rPr>
        <w:t xml:space="preserve"> the </w:t>
      </w:r>
      <w:r>
        <w:rPr>
          <w:kern w:val="0"/>
        </w:rPr>
        <w:t>light</w:t>
      </w:r>
      <w:r w:rsidR="00427468">
        <w:rPr>
          <w:kern w:val="0"/>
        </w:rPr>
        <w:t xml:space="preserve"> of </w:t>
      </w:r>
      <w:r>
        <w:rPr>
          <w:kern w:val="0"/>
        </w:rPr>
        <w:t>these results</w:t>
      </w:r>
      <w:r w:rsidR="003A1917">
        <w:rPr>
          <w:kern w:val="0"/>
        </w:rPr>
        <w:t xml:space="preserve"> the </w:t>
      </w:r>
      <w:r>
        <w:rPr>
          <w:kern w:val="0"/>
        </w:rPr>
        <w:t>aggressive approach to identification</w:t>
      </w:r>
      <w:r w:rsidR="005853A9">
        <w:rPr>
          <w:kern w:val="0"/>
        </w:rPr>
        <w:t xml:space="preserve"> and </w:t>
      </w:r>
      <w:r>
        <w:rPr>
          <w:kern w:val="0"/>
        </w:rPr>
        <w:t>management</w:t>
      </w:r>
      <w:r w:rsidR="00427468">
        <w:rPr>
          <w:kern w:val="0"/>
        </w:rPr>
        <w:t xml:space="preserve"> of </w:t>
      </w:r>
      <w:r>
        <w:rPr>
          <w:kern w:val="0"/>
        </w:rPr>
        <w:t xml:space="preserve">failure to thrive </w:t>
      </w:r>
      <w:r>
        <w:rPr>
          <w:kern w:val="0"/>
        </w:rPr>
        <w:lastRenderedPageBreak/>
        <w:t>needs reassessing.</w:t>
      </w:r>
    </w:p>
    <w:p w:rsidR="004E00C2" w:rsidRDefault="004E00C2" w:rsidP="004E00C2">
      <w:pPr>
        <w:pStyle w:val="a3"/>
        <w:rPr>
          <w:kern w:val="0"/>
        </w:rPr>
      </w:pPr>
      <w:r>
        <w:rPr>
          <w:kern w:val="0"/>
        </w:rPr>
        <w:t xml:space="preserve">Keywords: Children, Cochrane, Cognitive-Development, Cohort Studies, Confounding, Databases, Development, Developmental Sequelae, Early Histories, Follow-up, Health Visitor Intervention, Home Intervention, Management, Meta-Analysis, Methods, Nonorganic Failure, Outcome, Outcomes, Parents, Points, Preschool-Children, Randomized Controlled-Trial, Review, Science, Systematic, Systematic Review, To-Thrive, </w:t>
      </w:r>
      <w:r w:rsidR="00D5664A">
        <w:rPr>
          <w:kern w:val="0"/>
        </w:rPr>
        <w:t>Web</w:t>
      </w:r>
      <w:r w:rsidR="00427468">
        <w:rPr>
          <w:kern w:val="0"/>
        </w:rPr>
        <w:t xml:space="preserve"> of </w:t>
      </w:r>
      <w:r w:rsidR="00D5664A">
        <w:rPr>
          <w:kern w:val="0"/>
        </w:rPr>
        <w:t>Science</w:t>
      </w:r>
    </w:p>
    <w:p w:rsidR="004E00C2" w:rsidRDefault="004E00C2" w:rsidP="004E00C2">
      <w:pPr>
        <w:pStyle w:val="a3"/>
        <w:rPr>
          <w:kern w:val="0"/>
        </w:rPr>
      </w:pPr>
      <w:r>
        <w:rPr>
          <w:rFonts w:hint="eastAsia"/>
          <w:kern w:val="0"/>
        </w:rPr>
        <w:t xml:space="preserve">? </w:t>
      </w:r>
      <w:r>
        <w:rPr>
          <w:kern w:val="0"/>
        </w:rPr>
        <w:t>Kendrick, D., Smith, S., Sutton, A., Watson, M., Coupland, C., Mulvaney, C.</w:t>
      </w:r>
      <w:r w:rsidR="005853A9">
        <w:rPr>
          <w:kern w:val="0"/>
        </w:rPr>
        <w:t xml:space="preserve"> and </w:t>
      </w:r>
      <w:r>
        <w:rPr>
          <w:kern w:val="0"/>
        </w:rPr>
        <w:t>Mason-Jones, A. (2008), Effect</w:t>
      </w:r>
      <w:r w:rsidR="00427468">
        <w:rPr>
          <w:kern w:val="0"/>
        </w:rPr>
        <w:t xml:space="preserve"> of </w:t>
      </w:r>
      <w:r>
        <w:rPr>
          <w:kern w:val="0"/>
        </w:rPr>
        <w:t>education</w:t>
      </w:r>
      <w:r w:rsidR="005853A9">
        <w:rPr>
          <w:kern w:val="0"/>
        </w:rPr>
        <w:t xml:space="preserve"> and </w:t>
      </w:r>
      <w:r>
        <w:rPr>
          <w:kern w:val="0"/>
        </w:rPr>
        <w:t>safety equipment on poisoning-prevention practices</w:t>
      </w:r>
      <w:r w:rsidR="005853A9">
        <w:rPr>
          <w:kern w:val="0"/>
        </w:rPr>
        <w:t xml:space="preserve"> and </w:t>
      </w:r>
      <w:r>
        <w:rPr>
          <w:kern w:val="0"/>
        </w:rPr>
        <w:t>poisoning: systematic review, meta-analysis</w:t>
      </w:r>
      <w:r w:rsidR="005853A9">
        <w:rPr>
          <w:kern w:val="0"/>
        </w:rPr>
        <w:t xml:space="preserve"> and </w:t>
      </w:r>
      <w:r>
        <w:rPr>
          <w:kern w:val="0"/>
        </w:rPr>
        <w:t xml:space="preserve">meta-regression. </w:t>
      </w:r>
      <w:r>
        <w:rPr>
          <w:i/>
          <w:iCs/>
          <w:kern w:val="0"/>
        </w:rPr>
        <w:t>Archives</w:t>
      </w:r>
      <w:r w:rsidR="00427468">
        <w:rPr>
          <w:i/>
          <w:iCs/>
          <w:kern w:val="0"/>
        </w:rPr>
        <w:t xml:space="preserve"> of </w:t>
      </w:r>
      <w:r>
        <w:rPr>
          <w:i/>
          <w:iCs/>
          <w:kern w:val="0"/>
        </w:rPr>
        <w:t>Disease in Childhood</w:t>
      </w:r>
      <w:r>
        <w:rPr>
          <w:kern w:val="0"/>
        </w:rPr>
        <w:t xml:space="preserve">, </w:t>
      </w:r>
      <w:r>
        <w:rPr>
          <w:b/>
          <w:bCs/>
          <w:kern w:val="0"/>
        </w:rPr>
        <w:t>93</w:t>
      </w:r>
      <w:r>
        <w:rPr>
          <w:kern w:val="0"/>
        </w:rPr>
        <w:t xml:space="preserve"> (7), 599-608.</w:t>
      </w:r>
    </w:p>
    <w:p w:rsidR="00DF0E4C" w:rsidRPr="00F219CA" w:rsidRDefault="00DF0E4C" w:rsidP="00DF0E4C">
      <w:pPr>
        <w:pStyle w:val="a3"/>
      </w:pPr>
      <w:r w:rsidRPr="00F219CA">
        <w:t xml:space="preserve">Full Text: </w:t>
      </w:r>
      <w:hyperlink r:id="rId1096" w:history="1">
        <w:r w:rsidRPr="00094915">
          <w:rPr>
            <w:rStyle w:val="a5"/>
          </w:rPr>
          <w:t>2008\Arc Dis Chi93, 599.pdf</w:t>
        </w:r>
      </w:hyperlink>
    </w:p>
    <w:p w:rsidR="004E00C2" w:rsidRDefault="004E00C2" w:rsidP="004E00C2">
      <w:pPr>
        <w:pStyle w:val="a3"/>
        <w:rPr>
          <w:kern w:val="0"/>
        </w:rPr>
      </w:pPr>
      <w:r>
        <w:rPr>
          <w:kern w:val="0"/>
        </w:rPr>
        <w:t>Abstract: Objective: To assess (a)</w:t>
      </w:r>
      <w:r w:rsidR="003A1917">
        <w:rPr>
          <w:kern w:val="0"/>
        </w:rPr>
        <w:t xml:space="preserve"> the </w:t>
      </w:r>
      <w:r>
        <w:rPr>
          <w:kern w:val="0"/>
        </w:rPr>
        <w:t>effect</w:t>
      </w:r>
      <w:r w:rsidR="00427468">
        <w:rPr>
          <w:kern w:val="0"/>
        </w:rPr>
        <w:t xml:space="preserve"> of </w:t>
      </w:r>
      <w:r>
        <w:rPr>
          <w:kern w:val="0"/>
        </w:rPr>
        <w:t>home safety education</w:t>
      </w:r>
      <w:r w:rsidR="005853A9">
        <w:rPr>
          <w:kern w:val="0"/>
        </w:rPr>
        <w:t xml:space="preserve"> and </w:t>
      </w:r>
      <w:r w:rsidR="003A1917">
        <w:rPr>
          <w:kern w:val="0"/>
        </w:rPr>
        <w:t xml:space="preserve">the </w:t>
      </w:r>
      <w:r>
        <w:rPr>
          <w:kern w:val="0"/>
        </w:rPr>
        <w:t>provision</w:t>
      </w:r>
      <w:r w:rsidR="00427468">
        <w:rPr>
          <w:kern w:val="0"/>
        </w:rPr>
        <w:t xml:space="preserve"> of </w:t>
      </w:r>
      <w:r>
        <w:rPr>
          <w:kern w:val="0"/>
        </w:rPr>
        <w:t>safety equipment on poison-prevention practices</w:t>
      </w:r>
      <w:r w:rsidR="005853A9">
        <w:rPr>
          <w:kern w:val="0"/>
        </w:rPr>
        <w:t xml:space="preserve"> and </w:t>
      </w:r>
      <w:r>
        <w:rPr>
          <w:kern w:val="0"/>
        </w:rPr>
        <w:t>poisoning rates,</w:t>
      </w:r>
      <w:r w:rsidR="005853A9">
        <w:rPr>
          <w:kern w:val="0"/>
        </w:rPr>
        <w:t xml:space="preserve"> and </w:t>
      </w:r>
      <w:r>
        <w:rPr>
          <w:kern w:val="0"/>
        </w:rPr>
        <w:t>(b) whether</w:t>
      </w:r>
      <w:r w:rsidR="003A1917">
        <w:rPr>
          <w:kern w:val="0"/>
        </w:rPr>
        <w:t xml:space="preserve"> the </w:t>
      </w:r>
      <w:r>
        <w:rPr>
          <w:kern w:val="0"/>
        </w:rPr>
        <w:t>effect</w:t>
      </w:r>
      <w:r w:rsidR="00427468">
        <w:rPr>
          <w:kern w:val="0"/>
        </w:rPr>
        <w:t xml:space="preserve"> of </w:t>
      </w:r>
      <w:r>
        <w:rPr>
          <w:kern w:val="0"/>
        </w:rPr>
        <w:t xml:space="preserve">interventions differs by social group. Data sources: </w:t>
      </w:r>
      <w:r w:rsidR="00D5664A">
        <w:rPr>
          <w:kern w:val="0"/>
        </w:rPr>
        <w:t>MEDLINE</w:t>
      </w:r>
      <w:r>
        <w:rPr>
          <w:kern w:val="0"/>
        </w:rPr>
        <w:t xml:space="preserve">, EMBASE, Cinahl, ASSIA, Psychinfo, </w:t>
      </w:r>
      <w:r w:rsidR="00D5664A">
        <w:rPr>
          <w:kern w:val="0"/>
        </w:rPr>
        <w:t>Web</w:t>
      </w:r>
      <w:r w:rsidR="00427468">
        <w:rPr>
          <w:kern w:val="0"/>
        </w:rPr>
        <w:t xml:space="preserve"> of </w:t>
      </w:r>
      <w:r w:rsidR="00D5664A">
        <w:rPr>
          <w:kern w:val="0"/>
        </w:rPr>
        <w:t>Science</w:t>
      </w:r>
      <w:r>
        <w:rPr>
          <w:kern w:val="0"/>
        </w:rPr>
        <w:t>, plus other electronic sources</w:t>
      </w:r>
      <w:r w:rsidR="005853A9">
        <w:rPr>
          <w:kern w:val="0"/>
        </w:rPr>
        <w:t xml:space="preserve"> and </w:t>
      </w:r>
      <w:r>
        <w:rPr>
          <w:kern w:val="0"/>
        </w:rPr>
        <w:t>hand searching</w:t>
      </w:r>
      <w:r w:rsidR="00427468">
        <w:rPr>
          <w:kern w:val="0"/>
        </w:rPr>
        <w:t xml:space="preserve"> of </w:t>
      </w:r>
      <w:r>
        <w:rPr>
          <w:kern w:val="0"/>
        </w:rPr>
        <w:t>conference abstracts</w:t>
      </w:r>
      <w:r w:rsidR="005853A9">
        <w:rPr>
          <w:kern w:val="0"/>
        </w:rPr>
        <w:t xml:space="preserve"> and </w:t>
      </w:r>
      <w:r>
        <w:rPr>
          <w:kern w:val="0"/>
        </w:rPr>
        <w:t>reference lists. Authors</w:t>
      </w:r>
      <w:r w:rsidR="00427468">
        <w:rPr>
          <w:kern w:val="0"/>
        </w:rPr>
        <w:t xml:space="preserve"> of </w:t>
      </w:r>
      <w:r>
        <w:rPr>
          <w:kern w:val="0"/>
        </w:rPr>
        <w:t>included studies were asked to supply individual participant data. Review methods: Randomised controlled trials, non-randomised controlled trials</w:t>
      </w:r>
      <w:r w:rsidR="005853A9">
        <w:rPr>
          <w:kern w:val="0"/>
        </w:rPr>
        <w:t xml:space="preserve"> and </w:t>
      </w:r>
      <w:r>
        <w:rPr>
          <w:kern w:val="0"/>
        </w:rPr>
        <w:t>controlled before-and-after studies, with participants aged (19 years, providing home safety education with or without free or subsidised safety equipment</w:t>
      </w:r>
      <w:r w:rsidR="005853A9">
        <w:rPr>
          <w:kern w:val="0"/>
        </w:rPr>
        <w:t xml:space="preserve"> and </w:t>
      </w:r>
      <w:r>
        <w:rPr>
          <w:kern w:val="0"/>
        </w:rPr>
        <w:t>reporting poison-prevention practices or poisoning incidents were included. Pooled odds ratios</w:t>
      </w:r>
      <w:r w:rsidR="005853A9">
        <w:rPr>
          <w:kern w:val="0"/>
        </w:rPr>
        <w:t xml:space="preserve"> and </w:t>
      </w:r>
      <w:r>
        <w:rPr>
          <w:kern w:val="0"/>
        </w:rPr>
        <w:t>pooled rate ratios were estimated,</w:t>
      </w:r>
      <w:r w:rsidR="005853A9">
        <w:rPr>
          <w:kern w:val="0"/>
        </w:rPr>
        <w:t xml:space="preserve"> and </w:t>
      </w:r>
      <w:r>
        <w:rPr>
          <w:kern w:val="0"/>
        </w:rPr>
        <w:t>meta-regression estimated intervention effects by child age, gender</w:t>
      </w:r>
      <w:r w:rsidR="005853A9">
        <w:rPr>
          <w:kern w:val="0"/>
        </w:rPr>
        <w:t xml:space="preserve"> and </w:t>
      </w:r>
      <w:r>
        <w:rPr>
          <w:kern w:val="0"/>
        </w:rPr>
        <w:t>social variables. Results: Home safety interventions increased safe storage</w:t>
      </w:r>
      <w:r w:rsidR="00427468">
        <w:rPr>
          <w:kern w:val="0"/>
        </w:rPr>
        <w:t xml:space="preserve"> of </w:t>
      </w:r>
      <w:r>
        <w:rPr>
          <w:kern w:val="0"/>
        </w:rPr>
        <w:t>medicines (OR 1.57, 95% CI 1.22 to 2.02)</w:t>
      </w:r>
      <w:r w:rsidR="005853A9">
        <w:rPr>
          <w:kern w:val="0"/>
        </w:rPr>
        <w:t xml:space="preserve"> and </w:t>
      </w:r>
      <w:r>
        <w:rPr>
          <w:kern w:val="0"/>
        </w:rPr>
        <w:t>cleaning products (OR 1.63, 95% CI 1.22 to 2.17</w:t>
      </w:r>
      <w:r w:rsidR="00F42EAC">
        <w:rPr>
          <w:kern w:val="0"/>
        </w:rPr>
        <w:t>), The</w:t>
      </w:r>
      <w:r w:rsidR="003A1917">
        <w:rPr>
          <w:kern w:val="0"/>
        </w:rPr>
        <w:t xml:space="preserve"> </w:t>
      </w:r>
      <w:r>
        <w:rPr>
          <w:kern w:val="0"/>
        </w:rPr>
        <w:t>possession</w:t>
      </w:r>
      <w:r w:rsidR="00427468">
        <w:rPr>
          <w:kern w:val="0"/>
        </w:rPr>
        <w:t xml:space="preserve"> of </w:t>
      </w:r>
      <w:r>
        <w:rPr>
          <w:kern w:val="0"/>
        </w:rPr>
        <w:t>syrup</w:t>
      </w:r>
      <w:r w:rsidR="00427468">
        <w:rPr>
          <w:kern w:val="0"/>
        </w:rPr>
        <w:t xml:space="preserve"> of </w:t>
      </w:r>
      <w:r>
        <w:rPr>
          <w:kern w:val="0"/>
        </w:rPr>
        <w:t>ipecac (OR 3.34, 95% CI 1.50 to 7.41),</w:t>
      </w:r>
      <w:r w:rsidR="005853A9">
        <w:rPr>
          <w:kern w:val="0"/>
        </w:rPr>
        <w:t xml:space="preserve"> and </w:t>
      </w:r>
      <w:r>
        <w:rPr>
          <w:kern w:val="0"/>
        </w:rPr>
        <w:t>having poison control centre numbers accessible (OR 3.67, 95% CI 1.84 to 7.33)</w:t>
      </w:r>
      <w:r w:rsidR="00A37C1D">
        <w:rPr>
          <w:kern w:val="0"/>
        </w:rPr>
        <w:t>. The</w:t>
      </w:r>
      <w:r>
        <w:rPr>
          <w:kern w:val="0"/>
        </w:rPr>
        <w:t>re was a lack</w:t>
      </w:r>
      <w:r w:rsidR="00427468">
        <w:rPr>
          <w:kern w:val="0"/>
        </w:rPr>
        <w:t xml:space="preserve"> of </w:t>
      </w:r>
      <w:r>
        <w:rPr>
          <w:kern w:val="0"/>
        </w:rPr>
        <w:t>evidence on poisoning rates (rate ratio 1.03, 95% CI 0.78 to 1.36)</w:t>
      </w:r>
      <w:r w:rsidR="005853A9">
        <w:rPr>
          <w:kern w:val="0"/>
        </w:rPr>
        <w:t xml:space="preserve"> and </w:t>
      </w:r>
      <w:r>
        <w:rPr>
          <w:kern w:val="0"/>
        </w:rPr>
        <w:t>no consistent evidence that intervention effects differed by child age, gender or social group. Conclusions: Home safety education</w:t>
      </w:r>
      <w:r w:rsidR="005853A9">
        <w:rPr>
          <w:kern w:val="0"/>
        </w:rPr>
        <w:t xml:space="preserve"> and </w:t>
      </w:r>
      <w:r w:rsidR="003A1917">
        <w:rPr>
          <w:kern w:val="0"/>
        </w:rPr>
        <w:t xml:space="preserve">the </w:t>
      </w:r>
      <w:r>
        <w:rPr>
          <w:kern w:val="0"/>
        </w:rPr>
        <w:t>provision</w:t>
      </w:r>
      <w:r w:rsidR="00427468">
        <w:rPr>
          <w:kern w:val="0"/>
        </w:rPr>
        <w:t xml:space="preserve"> of </w:t>
      </w:r>
      <w:r>
        <w:rPr>
          <w:kern w:val="0"/>
        </w:rPr>
        <w:t>safety equipment improve poison-prevention practices, but</w:t>
      </w:r>
      <w:r w:rsidR="003A1917">
        <w:rPr>
          <w:kern w:val="0"/>
        </w:rPr>
        <w:t xml:space="preserve"> the </w:t>
      </w:r>
      <w:r>
        <w:rPr>
          <w:kern w:val="0"/>
        </w:rPr>
        <w:t>impact on poisoning rates is unclear. Such interventions are unlikely to widen inequalities in childhood poisoning-prevention practices.</w:t>
      </w:r>
    </w:p>
    <w:p w:rsidR="004E00C2" w:rsidRDefault="004E00C2" w:rsidP="004E00C2">
      <w:pPr>
        <w:pStyle w:val="a3"/>
        <w:rPr>
          <w:kern w:val="0"/>
        </w:rPr>
      </w:pPr>
      <w:r>
        <w:rPr>
          <w:kern w:val="0"/>
        </w:rPr>
        <w:t xml:space="preserve">Keywords: Aged, Child, Childhood, Children, Community, Control, Education, Families, Gender, Home, Impact, Injury, Intervention, Interventions, Meta-Analysis, Multicenter Survey, Primary-Care, Randomized Controlled-Trial, Ratio, Review, Safety, Science, Social, Systematic, Systematic Review, </w:t>
      </w:r>
      <w:r w:rsidR="00D5664A">
        <w:rPr>
          <w:kern w:val="0"/>
        </w:rPr>
        <w:t>Web</w:t>
      </w:r>
      <w:r w:rsidR="00427468">
        <w:rPr>
          <w:kern w:val="0"/>
        </w:rPr>
        <w:t xml:space="preserve"> of </w:t>
      </w:r>
      <w:r w:rsidR="00D5664A">
        <w:rPr>
          <w:kern w:val="0"/>
        </w:rPr>
        <w:t>Science</w:t>
      </w:r>
    </w:p>
    <w:p w:rsidR="004E00C2" w:rsidRDefault="004E00C2" w:rsidP="004E00C2">
      <w:pPr>
        <w:pStyle w:val="a3"/>
        <w:rPr>
          <w:kern w:val="0"/>
        </w:rPr>
      </w:pPr>
      <w:r>
        <w:rPr>
          <w:rFonts w:hint="eastAsia"/>
          <w:kern w:val="0"/>
        </w:rPr>
        <w:t>?</w:t>
      </w:r>
      <w:r w:rsidR="00DF0E4C">
        <w:rPr>
          <w:rFonts w:hint="eastAsia"/>
          <w:kern w:val="0"/>
        </w:rPr>
        <w:t xml:space="preserve"> </w:t>
      </w:r>
      <w:r>
        <w:rPr>
          <w:kern w:val="0"/>
        </w:rPr>
        <w:t>Louwers, E.C.F.M., Affourtit, M.J., Moll, H.A., de Koning, H.J.</w:t>
      </w:r>
      <w:r w:rsidR="005853A9">
        <w:rPr>
          <w:kern w:val="0"/>
        </w:rPr>
        <w:t xml:space="preserve"> and </w:t>
      </w:r>
      <w:r>
        <w:rPr>
          <w:kern w:val="0"/>
        </w:rPr>
        <w:t xml:space="preserve">Korfage, I.J. (2010), Screening for child abuse at emergency departments: A systematic review. </w:t>
      </w:r>
      <w:r>
        <w:rPr>
          <w:i/>
          <w:iCs/>
          <w:kern w:val="0"/>
        </w:rPr>
        <w:lastRenderedPageBreak/>
        <w:t>Archives</w:t>
      </w:r>
      <w:r w:rsidR="00427468">
        <w:rPr>
          <w:i/>
          <w:iCs/>
          <w:kern w:val="0"/>
        </w:rPr>
        <w:t xml:space="preserve"> of </w:t>
      </w:r>
      <w:r>
        <w:rPr>
          <w:i/>
          <w:iCs/>
          <w:kern w:val="0"/>
        </w:rPr>
        <w:t>Disease in Childhood</w:t>
      </w:r>
      <w:r>
        <w:rPr>
          <w:kern w:val="0"/>
        </w:rPr>
        <w:t xml:space="preserve">, </w:t>
      </w:r>
      <w:r>
        <w:rPr>
          <w:b/>
          <w:bCs/>
          <w:kern w:val="0"/>
        </w:rPr>
        <w:t>95</w:t>
      </w:r>
      <w:r>
        <w:rPr>
          <w:kern w:val="0"/>
        </w:rPr>
        <w:t xml:space="preserve"> (3), 214-218.</w:t>
      </w:r>
    </w:p>
    <w:p w:rsidR="00DF0E4C" w:rsidRPr="00F219CA" w:rsidRDefault="00DF0E4C" w:rsidP="00DF0E4C">
      <w:pPr>
        <w:pStyle w:val="a3"/>
      </w:pPr>
      <w:r w:rsidRPr="00F219CA">
        <w:t xml:space="preserve">Full Text: </w:t>
      </w:r>
      <w:hyperlink r:id="rId1097" w:history="1">
        <w:r w:rsidRPr="00094915">
          <w:rPr>
            <w:rStyle w:val="a5"/>
          </w:rPr>
          <w:t>2010\Arc Dis Chi95, 214.pdf</w:t>
        </w:r>
      </w:hyperlink>
    </w:p>
    <w:p w:rsidR="004E00C2" w:rsidRDefault="004E00C2" w:rsidP="004E00C2">
      <w:pPr>
        <w:pStyle w:val="a3"/>
        <w:rPr>
          <w:kern w:val="0"/>
        </w:rPr>
      </w:pPr>
      <w:r>
        <w:rPr>
          <w:kern w:val="0"/>
        </w:rPr>
        <w:t>Abstract: Introduction Child abuse is a serious problem worldwide</w:t>
      </w:r>
      <w:r w:rsidR="005853A9">
        <w:rPr>
          <w:kern w:val="0"/>
        </w:rPr>
        <w:t xml:space="preserve"> and </w:t>
      </w:r>
      <w:r>
        <w:rPr>
          <w:kern w:val="0"/>
        </w:rPr>
        <w:t>can be difficult to detect. Although children who experience</w:t>
      </w:r>
      <w:r w:rsidR="003A1917">
        <w:rPr>
          <w:kern w:val="0"/>
        </w:rPr>
        <w:t xml:space="preserve"> the </w:t>
      </w:r>
      <w:r>
        <w:rPr>
          <w:kern w:val="0"/>
        </w:rPr>
        <w:t>consequences</w:t>
      </w:r>
      <w:r w:rsidR="00427468">
        <w:rPr>
          <w:kern w:val="0"/>
        </w:rPr>
        <w:t xml:space="preserve"> of </w:t>
      </w:r>
      <w:r>
        <w:rPr>
          <w:kern w:val="0"/>
        </w:rPr>
        <w:t>abuse will probably be treated at an emergency department, detection rates</w:t>
      </w:r>
      <w:r w:rsidR="00427468">
        <w:rPr>
          <w:kern w:val="0"/>
        </w:rPr>
        <w:t xml:space="preserve"> of </w:t>
      </w:r>
      <w:r>
        <w:rPr>
          <w:kern w:val="0"/>
        </w:rPr>
        <w:t>child abuse at emergency departments remain low. Objective To identify effective interventions applied at emergency departments that significantly increase</w:t>
      </w:r>
      <w:r w:rsidR="003A1917">
        <w:rPr>
          <w:kern w:val="0"/>
        </w:rPr>
        <w:t xml:space="preserve"> the </w:t>
      </w:r>
      <w:r>
        <w:rPr>
          <w:kern w:val="0"/>
        </w:rPr>
        <w:t>detection rate</w:t>
      </w:r>
      <w:r w:rsidR="00427468">
        <w:rPr>
          <w:kern w:val="0"/>
        </w:rPr>
        <w:t xml:space="preserve"> of </w:t>
      </w:r>
      <w:r>
        <w:rPr>
          <w:kern w:val="0"/>
        </w:rPr>
        <w:t>confirmed cases</w:t>
      </w:r>
      <w:r w:rsidR="00427468">
        <w:rPr>
          <w:kern w:val="0"/>
        </w:rPr>
        <w:t xml:space="preserve"> of </w:t>
      </w:r>
      <w:r>
        <w:rPr>
          <w:kern w:val="0"/>
        </w:rPr>
        <w:t>child abuse. Design This review was carried out according to</w:t>
      </w:r>
      <w:r w:rsidR="003A1917">
        <w:rPr>
          <w:kern w:val="0"/>
        </w:rPr>
        <w:t xml:space="preserve"> the </w:t>
      </w:r>
      <w:r>
        <w:rPr>
          <w:kern w:val="0"/>
        </w:rPr>
        <w:t xml:space="preserve">Cochrane Handbook. Two reviewers individually searched </w:t>
      </w:r>
      <w:r w:rsidR="002C12F0">
        <w:rPr>
          <w:kern w:val="0"/>
        </w:rPr>
        <w:t>PUBMED</w:t>
      </w:r>
      <w:r>
        <w:rPr>
          <w:kern w:val="0"/>
        </w:rPr>
        <w:t>,</w:t>
      </w:r>
      <w:r w:rsidR="003A1917">
        <w:rPr>
          <w:kern w:val="0"/>
        </w:rPr>
        <w:t xml:space="preserve"> the </w:t>
      </w:r>
      <w:r>
        <w:rPr>
          <w:kern w:val="0"/>
        </w:rPr>
        <w:t xml:space="preserve">Cochrane Library, EMBASE,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CINAHL for papers that met</w:t>
      </w:r>
      <w:r w:rsidR="003A1917">
        <w:rPr>
          <w:kern w:val="0"/>
        </w:rPr>
        <w:t xml:space="preserve"> the </w:t>
      </w:r>
      <w:r>
        <w:rPr>
          <w:kern w:val="0"/>
        </w:rPr>
        <w:t>inclusion criteria. Results Fifteen papers describing interventions were selected</w:t>
      </w:r>
      <w:r w:rsidR="005853A9">
        <w:rPr>
          <w:kern w:val="0"/>
        </w:rPr>
        <w:t xml:space="preserve"> and </w:t>
      </w:r>
      <w:r>
        <w:rPr>
          <w:kern w:val="0"/>
        </w:rPr>
        <w:t>reviewed; four</w:t>
      </w:r>
      <w:r w:rsidR="00427468">
        <w:rPr>
          <w:kern w:val="0"/>
        </w:rPr>
        <w:t xml:space="preserve"> of </w:t>
      </w:r>
      <w:r>
        <w:rPr>
          <w:kern w:val="0"/>
        </w:rPr>
        <w:t>these were finally included</w:t>
      </w:r>
      <w:r w:rsidR="005853A9">
        <w:rPr>
          <w:kern w:val="0"/>
        </w:rPr>
        <w:t xml:space="preserve"> and </w:t>
      </w:r>
      <w:r>
        <w:rPr>
          <w:kern w:val="0"/>
        </w:rPr>
        <w:t>assessed for quality. In these studies</w:t>
      </w:r>
      <w:r w:rsidR="003A1917">
        <w:rPr>
          <w:kern w:val="0"/>
        </w:rPr>
        <w:t xml:space="preserve"> the </w:t>
      </w:r>
      <w:r>
        <w:rPr>
          <w:kern w:val="0"/>
        </w:rPr>
        <w:t>intervention consisted</w:t>
      </w:r>
      <w:r w:rsidR="00427468">
        <w:rPr>
          <w:kern w:val="0"/>
        </w:rPr>
        <w:t xml:space="preserve"> of </w:t>
      </w:r>
      <w:r>
        <w:rPr>
          <w:kern w:val="0"/>
        </w:rPr>
        <w:t>a checklist</w:t>
      </w:r>
      <w:r w:rsidR="00427468">
        <w:rPr>
          <w:kern w:val="0"/>
        </w:rPr>
        <w:t xml:space="preserve"> of </w:t>
      </w:r>
      <w:r>
        <w:rPr>
          <w:kern w:val="0"/>
        </w:rPr>
        <w:t>indicators</w:t>
      </w:r>
      <w:r w:rsidR="00427468">
        <w:rPr>
          <w:kern w:val="0"/>
        </w:rPr>
        <w:t xml:space="preserve"> of </w:t>
      </w:r>
      <w:r>
        <w:rPr>
          <w:kern w:val="0"/>
        </w:rPr>
        <w:t>risk for child abuse. After implementation,</w:t>
      </w:r>
      <w:r w:rsidR="003A1917">
        <w:rPr>
          <w:kern w:val="0"/>
        </w:rPr>
        <w:t xml:space="preserve"> the </w:t>
      </w:r>
      <w:r>
        <w:rPr>
          <w:kern w:val="0"/>
        </w:rPr>
        <w:t>rate</w:t>
      </w:r>
      <w:r w:rsidR="00427468">
        <w:rPr>
          <w:kern w:val="0"/>
        </w:rPr>
        <w:t xml:space="preserve"> of </w:t>
      </w:r>
      <w:r>
        <w:rPr>
          <w:kern w:val="0"/>
        </w:rPr>
        <w:t>detected cases</w:t>
      </w:r>
      <w:r w:rsidR="00427468">
        <w:rPr>
          <w:kern w:val="0"/>
        </w:rPr>
        <w:t xml:space="preserve"> of </w:t>
      </w:r>
      <w:r>
        <w:rPr>
          <w:kern w:val="0"/>
        </w:rPr>
        <w:t>suspected child abuse increased by 180% (weighted mean in three studies)</w:t>
      </w:r>
      <w:r w:rsidR="00A37C1D">
        <w:rPr>
          <w:kern w:val="0"/>
        </w:rPr>
        <w:t>. The</w:t>
      </w:r>
      <w:r w:rsidR="003A1917">
        <w:rPr>
          <w:kern w:val="0"/>
        </w:rPr>
        <w:t xml:space="preserve"> </w:t>
      </w:r>
      <w:r>
        <w:rPr>
          <w:kern w:val="0"/>
        </w:rPr>
        <w:t>number</w:t>
      </w:r>
      <w:r w:rsidR="00427468">
        <w:rPr>
          <w:kern w:val="0"/>
        </w:rPr>
        <w:t xml:space="preserve"> of </w:t>
      </w:r>
      <w:r>
        <w:rPr>
          <w:kern w:val="0"/>
        </w:rPr>
        <w:t>confirmed cases</w:t>
      </w:r>
      <w:r w:rsidR="00427468">
        <w:rPr>
          <w:kern w:val="0"/>
        </w:rPr>
        <w:t xml:space="preserve"> of </w:t>
      </w:r>
      <w:r>
        <w:rPr>
          <w:kern w:val="0"/>
        </w:rPr>
        <w:t>child abuse, reported in two out</w:t>
      </w:r>
      <w:r w:rsidR="00427468">
        <w:rPr>
          <w:kern w:val="0"/>
        </w:rPr>
        <w:t xml:space="preserve"> of </w:t>
      </w:r>
      <w:r>
        <w:rPr>
          <w:kern w:val="0"/>
        </w:rPr>
        <w:t>four studies, showed no significant increase. Conclusions Interventions at emergency departments to increase</w:t>
      </w:r>
      <w:r w:rsidR="003A1917">
        <w:rPr>
          <w:kern w:val="0"/>
        </w:rPr>
        <w:t xml:space="preserve"> the </w:t>
      </w:r>
      <w:r>
        <w:rPr>
          <w:kern w:val="0"/>
        </w:rPr>
        <w:t>detection rate</w:t>
      </w:r>
      <w:r w:rsidR="00427468">
        <w:rPr>
          <w:kern w:val="0"/>
        </w:rPr>
        <w:t xml:space="preserve"> of </w:t>
      </w:r>
      <w:r>
        <w:rPr>
          <w:kern w:val="0"/>
        </w:rPr>
        <w:t>cases</w:t>
      </w:r>
      <w:r w:rsidR="00427468">
        <w:rPr>
          <w:kern w:val="0"/>
        </w:rPr>
        <w:t xml:space="preserve"> of </w:t>
      </w:r>
      <w:r>
        <w:rPr>
          <w:kern w:val="0"/>
        </w:rPr>
        <w:t>confirmed child abuse are scarce in</w:t>
      </w:r>
      <w:r w:rsidR="003A1917">
        <w:rPr>
          <w:kern w:val="0"/>
        </w:rPr>
        <w:t xml:space="preserve"> the </w:t>
      </w:r>
      <w:r>
        <w:rPr>
          <w:kern w:val="0"/>
        </w:rPr>
        <w:t>literature. Past study numbers</w:t>
      </w:r>
      <w:r w:rsidR="005853A9">
        <w:rPr>
          <w:kern w:val="0"/>
        </w:rPr>
        <w:t xml:space="preserve"> and </w:t>
      </w:r>
      <w:r>
        <w:rPr>
          <w:kern w:val="0"/>
        </w:rPr>
        <w:t>methodology have been inadequate to show conclusive evidence on effectiveness.</w:t>
      </w:r>
    </w:p>
    <w:p w:rsidR="004E00C2" w:rsidRDefault="004E00C2" w:rsidP="004E00C2">
      <w:pPr>
        <w:pStyle w:val="a3"/>
        <w:rPr>
          <w:kern w:val="0"/>
        </w:rPr>
      </w:pPr>
      <w:r>
        <w:rPr>
          <w:kern w:val="0"/>
        </w:rPr>
        <w:t xml:space="preserve">Keywords: Accident, Audit, Burns, Child, Children, Cochrane, Effective Interventions, Effectiveness, EMBASE, Emergency Department, Intervention, Interventions, Literature, Maltreatment, Methodology, Neglect, Papers, Pediatric Emergency, Protection Procedures, </w:t>
      </w:r>
      <w:r w:rsidR="002C12F0">
        <w:rPr>
          <w:kern w:val="0"/>
        </w:rPr>
        <w:t>PUBMED</w:t>
      </w:r>
      <w:r>
        <w:rPr>
          <w:kern w:val="0"/>
        </w:rPr>
        <w:t xml:space="preserve">, Review, Risk, Science, Systematic, Systematic Review, </w:t>
      </w:r>
      <w:r w:rsidR="00D5664A">
        <w:rPr>
          <w:kern w:val="0"/>
        </w:rPr>
        <w:t>Web</w:t>
      </w:r>
      <w:r w:rsidR="00427468">
        <w:rPr>
          <w:kern w:val="0"/>
        </w:rPr>
        <w:t xml:space="preserve"> of </w:t>
      </w:r>
      <w:r w:rsidR="00D5664A">
        <w:rPr>
          <w:kern w:val="0"/>
        </w:rPr>
        <w:t>Science</w:t>
      </w:r>
    </w:p>
    <w:p w:rsidR="00DF0E4C" w:rsidRDefault="00DF0E4C" w:rsidP="00DF0E4C">
      <w:pPr>
        <w:pStyle w:val="a3"/>
        <w:rPr>
          <w:kern w:val="0"/>
          <w:szCs w:val="24"/>
        </w:rPr>
      </w:pPr>
      <w:r>
        <w:rPr>
          <w:rFonts w:hint="eastAsia"/>
          <w:kern w:val="0"/>
          <w:szCs w:val="24"/>
        </w:rPr>
        <w:t xml:space="preserve">? </w:t>
      </w:r>
      <w:r>
        <w:rPr>
          <w:kern w:val="0"/>
          <w:szCs w:val="24"/>
        </w:rPr>
        <w:t>Coon, J.T., Martin, A., bdul-Rahman, A.K., Boddy, K., Whear, R., Collinson, A., Stein, K.</w:t>
      </w:r>
      <w:r w:rsidR="005853A9">
        <w:rPr>
          <w:kern w:val="0"/>
          <w:szCs w:val="24"/>
        </w:rPr>
        <w:t xml:space="preserve"> and </w:t>
      </w:r>
      <w:r>
        <w:rPr>
          <w:kern w:val="0"/>
          <w:szCs w:val="24"/>
        </w:rPr>
        <w:t xml:space="preserve">Logan, S. (2012), Interventions to reduce acute paediatric hospital admissions: A systematic review. </w:t>
      </w:r>
      <w:r>
        <w:rPr>
          <w:i/>
          <w:iCs/>
          <w:kern w:val="0"/>
          <w:szCs w:val="24"/>
        </w:rPr>
        <w:t>Archives</w:t>
      </w:r>
      <w:r w:rsidR="00427468">
        <w:rPr>
          <w:i/>
          <w:iCs/>
          <w:kern w:val="0"/>
          <w:szCs w:val="24"/>
        </w:rPr>
        <w:t xml:space="preserve"> of </w:t>
      </w:r>
      <w:r>
        <w:rPr>
          <w:i/>
          <w:iCs/>
          <w:kern w:val="0"/>
          <w:szCs w:val="24"/>
        </w:rPr>
        <w:t>Disease in Childhood</w:t>
      </w:r>
      <w:r>
        <w:rPr>
          <w:kern w:val="0"/>
          <w:szCs w:val="24"/>
        </w:rPr>
        <w:t xml:space="preserve">, </w:t>
      </w:r>
      <w:r>
        <w:rPr>
          <w:b/>
          <w:bCs/>
          <w:kern w:val="0"/>
          <w:szCs w:val="24"/>
        </w:rPr>
        <w:t>97</w:t>
      </w:r>
      <w:r>
        <w:rPr>
          <w:kern w:val="0"/>
          <w:szCs w:val="24"/>
        </w:rPr>
        <w:t xml:space="preserve"> (4), 304-311.</w:t>
      </w:r>
    </w:p>
    <w:p w:rsidR="00DF0E4C" w:rsidRPr="00F219CA" w:rsidRDefault="00DF0E4C" w:rsidP="00DF0E4C">
      <w:pPr>
        <w:pStyle w:val="a3"/>
      </w:pPr>
      <w:r w:rsidRPr="00F219CA">
        <w:t xml:space="preserve">Full Text: </w:t>
      </w:r>
      <w:hyperlink r:id="rId1098" w:history="1">
        <w:r w:rsidRPr="00DF0E4C">
          <w:rPr>
            <w:rStyle w:val="a5"/>
          </w:rPr>
          <w:t>2012\Arc Dis Chi97, 304.pdf</w:t>
        </w:r>
      </w:hyperlink>
    </w:p>
    <w:p w:rsidR="00DF0E4C" w:rsidRDefault="00DF0E4C" w:rsidP="00DF0E4C">
      <w:pPr>
        <w:pStyle w:val="a3"/>
        <w:rPr>
          <w:kern w:val="0"/>
          <w:szCs w:val="24"/>
        </w:rPr>
      </w:pPr>
      <w:r>
        <w:rPr>
          <w:kern w:val="0"/>
          <w:szCs w:val="24"/>
        </w:rPr>
        <w:t>Abstract: Objective To compare</w:t>
      </w:r>
      <w:r w:rsidR="003A1917">
        <w:rPr>
          <w:kern w:val="0"/>
          <w:szCs w:val="24"/>
        </w:rPr>
        <w:t xml:space="preserve"> the </w:t>
      </w:r>
      <w:r>
        <w:rPr>
          <w:kern w:val="0"/>
          <w:szCs w:val="24"/>
        </w:rPr>
        <w:t>effectiveness</w:t>
      </w:r>
      <w:r w:rsidR="00427468">
        <w:rPr>
          <w:kern w:val="0"/>
          <w:szCs w:val="24"/>
        </w:rPr>
        <w:t xml:space="preserve"> of </w:t>
      </w:r>
      <w:r>
        <w:rPr>
          <w:kern w:val="0"/>
          <w:szCs w:val="24"/>
        </w:rPr>
        <w:t>interventions aimed at reducing</w:t>
      </w:r>
      <w:r w:rsidR="003A1917">
        <w:rPr>
          <w:kern w:val="0"/>
          <w:szCs w:val="24"/>
        </w:rPr>
        <w:t xml:space="preserve"> the </w:t>
      </w:r>
      <w:r>
        <w:rPr>
          <w:kern w:val="0"/>
          <w:szCs w:val="24"/>
        </w:rPr>
        <w:t>rate</w:t>
      </w:r>
      <w:r w:rsidR="00427468">
        <w:rPr>
          <w:kern w:val="0"/>
          <w:szCs w:val="24"/>
        </w:rPr>
        <w:t xml:space="preserve"> of </w:t>
      </w:r>
      <w:r>
        <w:rPr>
          <w:kern w:val="0"/>
          <w:szCs w:val="24"/>
        </w:rPr>
        <w:t xml:space="preserve">acute paediatric hospital admissions. Design Systematic review. Data sources </w:t>
      </w:r>
      <w:r w:rsidR="00D5664A">
        <w:rPr>
          <w:kern w:val="0"/>
          <w:szCs w:val="24"/>
        </w:rPr>
        <w:t>MEDLINE</w:t>
      </w:r>
      <w:r>
        <w:rPr>
          <w:kern w:val="0"/>
          <w:szCs w:val="24"/>
        </w:rPr>
        <w:t>, Embase, PsychINFO,</w:t>
      </w:r>
      <w:r w:rsidR="003A1917">
        <w:rPr>
          <w:kern w:val="0"/>
          <w:szCs w:val="24"/>
        </w:rPr>
        <w:t xml:space="preserve"> the </w:t>
      </w:r>
      <w:r>
        <w:rPr>
          <w:kern w:val="0"/>
          <w:szCs w:val="24"/>
        </w:rPr>
        <w:t>Cochrane Library, Science Citation Index Expanded from inception to September 2010; hand searches</w:t>
      </w:r>
      <w:r w:rsidR="00427468">
        <w:rPr>
          <w:kern w:val="0"/>
          <w:szCs w:val="24"/>
        </w:rPr>
        <w:t xml:space="preserve"> of </w:t>
      </w:r>
      <w:r w:rsidR="003A1917">
        <w:rPr>
          <w:kern w:val="0"/>
          <w:szCs w:val="24"/>
        </w:rPr>
        <w:t xml:space="preserve">the </w:t>
      </w:r>
      <w:r>
        <w:rPr>
          <w:kern w:val="0"/>
          <w:szCs w:val="24"/>
        </w:rPr>
        <w:t>reference lists</w:t>
      </w:r>
      <w:r w:rsidR="00427468">
        <w:rPr>
          <w:kern w:val="0"/>
          <w:szCs w:val="24"/>
        </w:rPr>
        <w:t xml:space="preserve"> of </w:t>
      </w:r>
      <w:r>
        <w:rPr>
          <w:kern w:val="0"/>
          <w:szCs w:val="24"/>
        </w:rPr>
        <w:t>included papers</w:t>
      </w:r>
      <w:r w:rsidR="005853A9">
        <w:rPr>
          <w:kern w:val="0"/>
          <w:szCs w:val="24"/>
        </w:rPr>
        <w:t xml:space="preserve"> and </w:t>
      </w:r>
      <w:r>
        <w:rPr>
          <w:kern w:val="0"/>
          <w:szCs w:val="24"/>
        </w:rPr>
        <w:t>other review papers identified in</w:t>
      </w:r>
      <w:r w:rsidR="003A1917">
        <w:rPr>
          <w:kern w:val="0"/>
          <w:szCs w:val="24"/>
        </w:rPr>
        <w:t xml:space="preserve"> the </w:t>
      </w:r>
      <w:r>
        <w:rPr>
          <w:kern w:val="0"/>
          <w:szCs w:val="24"/>
        </w:rPr>
        <w:t>search. Review methods Controlled trials were included. Articles were screened for inclusion independently by two reviewers. Data extraction</w:t>
      </w:r>
      <w:r w:rsidR="005853A9">
        <w:rPr>
          <w:kern w:val="0"/>
          <w:szCs w:val="24"/>
        </w:rPr>
        <w:t xml:space="preserve"> and </w:t>
      </w:r>
      <w:r>
        <w:rPr>
          <w:kern w:val="0"/>
          <w:szCs w:val="24"/>
        </w:rPr>
        <w:t>quality appraisal were performed by one reviewer</w:t>
      </w:r>
      <w:r w:rsidR="005853A9">
        <w:rPr>
          <w:kern w:val="0"/>
          <w:szCs w:val="24"/>
        </w:rPr>
        <w:t xml:space="preserve"> and </w:t>
      </w:r>
      <w:r>
        <w:rPr>
          <w:kern w:val="0"/>
          <w:szCs w:val="24"/>
        </w:rPr>
        <w:t>checked by a second with discrepancies resolved by discussion with a third if necessary. Results Seven papers were included</w:t>
      </w:r>
      <w:r w:rsidR="00A37C1D">
        <w:rPr>
          <w:kern w:val="0"/>
          <w:szCs w:val="24"/>
        </w:rPr>
        <w:t>. The</w:t>
      </w:r>
      <w:r>
        <w:rPr>
          <w:kern w:val="0"/>
          <w:szCs w:val="24"/>
        </w:rPr>
        <w:t>re is some evidence to suggest that short stay units may reduce admission rates. However, there is a general lack</w:t>
      </w:r>
      <w:r w:rsidR="00427468">
        <w:rPr>
          <w:kern w:val="0"/>
          <w:szCs w:val="24"/>
        </w:rPr>
        <w:t xml:space="preserve"> of </w:t>
      </w:r>
      <w:r>
        <w:rPr>
          <w:kern w:val="0"/>
          <w:szCs w:val="24"/>
        </w:rPr>
        <w:t>detail in</w:t>
      </w:r>
      <w:r w:rsidR="003A1917">
        <w:rPr>
          <w:kern w:val="0"/>
          <w:szCs w:val="24"/>
        </w:rPr>
        <w:t xml:space="preserve"> the </w:t>
      </w:r>
      <w:r>
        <w:rPr>
          <w:kern w:val="0"/>
          <w:szCs w:val="24"/>
        </w:rPr>
        <w:t>reporting</w:t>
      </w:r>
      <w:r w:rsidR="00427468">
        <w:rPr>
          <w:kern w:val="0"/>
          <w:szCs w:val="24"/>
        </w:rPr>
        <w:t xml:space="preserve"> of </w:t>
      </w:r>
      <w:r>
        <w:rPr>
          <w:kern w:val="0"/>
          <w:szCs w:val="24"/>
        </w:rPr>
        <w:t>interventions</w:t>
      </w:r>
      <w:r w:rsidR="005853A9">
        <w:rPr>
          <w:kern w:val="0"/>
          <w:szCs w:val="24"/>
        </w:rPr>
        <w:t xml:space="preserve"> and </w:t>
      </w:r>
      <w:r w:rsidR="003A1917">
        <w:rPr>
          <w:kern w:val="0"/>
          <w:szCs w:val="24"/>
        </w:rPr>
        <w:t xml:space="preserve">the </w:t>
      </w:r>
      <w:r>
        <w:rPr>
          <w:kern w:val="0"/>
          <w:szCs w:val="24"/>
        </w:rPr>
        <w:t xml:space="preserve">methods used in their </w:t>
      </w:r>
      <w:r>
        <w:rPr>
          <w:kern w:val="0"/>
          <w:szCs w:val="24"/>
        </w:rPr>
        <w:lastRenderedPageBreak/>
        <w:t>evaluation which precludes detailed interpretation</w:t>
      </w:r>
      <w:r w:rsidR="005853A9">
        <w:rPr>
          <w:kern w:val="0"/>
          <w:szCs w:val="24"/>
        </w:rPr>
        <w:t xml:space="preserve"> and </w:t>
      </w:r>
      <w:r>
        <w:rPr>
          <w:kern w:val="0"/>
          <w:szCs w:val="24"/>
        </w:rPr>
        <w:t>extrapolation</w:t>
      </w:r>
      <w:r w:rsidR="00427468">
        <w:rPr>
          <w:kern w:val="0"/>
          <w:szCs w:val="24"/>
        </w:rPr>
        <w:t xml:space="preserve"> of </w:t>
      </w:r>
      <w:r w:rsidR="003A1917">
        <w:rPr>
          <w:kern w:val="0"/>
          <w:szCs w:val="24"/>
        </w:rPr>
        <w:t xml:space="preserve">the </w:t>
      </w:r>
      <w:r>
        <w:rPr>
          <w:kern w:val="0"/>
          <w:szCs w:val="24"/>
        </w:rPr>
        <w:t>results</w:t>
      </w:r>
      <w:r w:rsidR="00A37C1D">
        <w:rPr>
          <w:kern w:val="0"/>
          <w:szCs w:val="24"/>
        </w:rPr>
        <w:t>. The</w:t>
      </w:r>
      <w:r w:rsidR="003A1917">
        <w:rPr>
          <w:kern w:val="0"/>
          <w:szCs w:val="24"/>
        </w:rPr>
        <w:t xml:space="preserve"> </w:t>
      </w:r>
      <w:r>
        <w:rPr>
          <w:kern w:val="0"/>
          <w:szCs w:val="24"/>
        </w:rPr>
        <w:t>authors found no evidence that</w:t>
      </w:r>
      <w:r w:rsidR="003A1917">
        <w:rPr>
          <w:kern w:val="0"/>
          <w:szCs w:val="24"/>
        </w:rPr>
        <w:t xml:space="preserve"> the </w:t>
      </w:r>
      <w:r>
        <w:rPr>
          <w:kern w:val="0"/>
          <w:szCs w:val="24"/>
        </w:rPr>
        <w:t>use</w:t>
      </w:r>
      <w:r w:rsidR="00427468">
        <w:rPr>
          <w:kern w:val="0"/>
          <w:szCs w:val="24"/>
        </w:rPr>
        <w:t xml:space="preserve"> of </w:t>
      </w:r>
      <w:r>
        <w:rPr>
          <w:kern w:val="0"/>
          <w:szCs w:val="24"/>
        </w:rPr>
        <w:t>algorithms</w:t>
      </w:r>
      <w:r w:rsidR="005853A9">
        <w:rPr>
          <w:kern w:val="0"/>
          <w:szCs w:val="24"/>
        </w:rPr>
        <w:t xml:space="preserve"> and </w:t>
      </w:r>
      <w:r>
        <w:rPr>
          <w:kern w:val="0"/>
          <w:szCs w:val="24"/>
        </w:rPr>
        <w:t>guidelines to manage</w:t>
      </w:r>
      <w:r w:rsidR="003A1917">
        <w:rPr>
          <w:kern w:val="0"/>
          <w:szCs w:val="24"/>
        </w:rPr>
        <w:t xml:space="preserve"> the </w:t>
      </w:r>
      <w:r>
        <w:rPr>
          <w:kern w:val="0"/>
          <w:szCs w:val="24"/>
        </w:rPr>
        <w:t>admission decision was effective in reducing acute admission rates. Furthermore,</w:t>
      </w:r>
      <w:r w:rsidR="003A1917">
        <w:rPr>
          <w:kern w:val="0"/>
          <w:szCs w:val="24"/>
        </w:rPr>
        <w:t xml:space="preserve"> the </w:t>
      </w:r>
      <w:r>
        <w:rPr>
          <w:kern w:val="0"/>
          <w:szCs w:val="24"/>
        </w:rPr>
        <w:t>authors were unable to locate any eligible papers reporting</w:t>
      </w:r>
      <w:r w:rsidR="003A1917">
        <w:rPr>
          <w:kern w:val="0"/>
          <w:szCs w:val="24"/>
        </w:rPr>
        <w:t xml:space="preserve"> the </w:t>
      </w:r>
      <w:r>
        <w:rPr>
          <w:kern w:val="0"/>
          <w:szCs w:val="24"/>
        </w:rPr>
        <w:t>effects on admission rates</w:t>
      </w:r>
      <w:r w:rsidR="00427468">
        <w:rPr>
          <w:kern w:val="0"/>
          <w:szCs w:val="24"/>
        </w:rPr>
        <w:t xml:space="preserve"> of </w:t>
      </w:r>
      <w:r>
        <w:rPr>
          <w:kern w:val="0"/>
          <w:szCs w:val="24"/>
        </w:rPr>
        <w:t>admission decision by paediatric consultant, telephone triage by paediatric consultant or</w:t>
      </w:r>
      <w:r w:rsidR="003A1917">
        <w:rPr>
          <w:kern w:val="0"/>
          <w:szCs w:val="24"/>
        </w:rPr>
        <w:t xml:space="preserve"> the </w:t>
      </w:r>
      <w:r>
        <w:rPr>
          <w:kern w:val="0"/>
          <w:szCs w:val="24"/>
        </w:rPr>
        <w:t>establishment</w:t>
      </w:r>
      <w:r w:rsidR="00427468">
        <w:rPr>
          <w:kern w:val="0"/>
          <w:szCs w:val="24"/>
        </w:rPr>
        <w:t xml:space="preserve"> of </w:t>
      </w:r>
      <w:r>
        <w:rPr>
          <w:kern w:val="0"/>
          <w:szCs w:val="24"/>
        </w:rPr>
        <w:t>next day emergency paediatric clinics. Conclusion There is little published evidence upon which to base an optimal strategy for reducing paediatric admission rates</w:t>
      </w:r>
      <w:r w:rsidR="00A37C1D">
        <w:rPr>
          <w:kern w:val="0"/>
          <w:szCs w:val="24"/>
        </w:rPr>
        <w:t>. The</w:t>
      </w:r>
      <w:r w:rsidR="003A1917">
        <w:rPr>
          <w:kern w:val="0"/>
          <w:szCs w:val="24"/>
        </w:rPr>
        <w:t xml:space="preserve"> </w:t>
      </w:r>
      <w:r>
        <w:rPr>
          <w:kern w:val="0"/>
          <w:szCs w:val="24"/>
        </w:rPr>
        <w:t>evidence that does exist is subject to substantial bias</w:t>
      </w:r>
      <w:r w:rsidR="00A37C1D">
        <w:rPr>
          <w:kern w:val="0"/>
          <w:szCs w:val="24"/>
        </w:rPr>
        <w:t>. The</w:t>
      </w:r>
      <w:r>
        <w:rPr>
          <w:kern w:val="0"/>
          <w:szCs w:val="24"/>
        </w:rPr>
        <w:t>re is a pressing need for high quality, well conducted research to enable informed service change.</w:t>
      </w:r>
    </w:p>
    <w:p w:rsidR="00DF0E4C" w:rsidRDefault="00DF0E4C" w:rsidP="00DF0E4C">
      <w:pPr>
        <w:pStyle w:val="a3"/>
        <w:rPr>
          <w:kern w:val="0"/>
          <w:szCs w:val="24"/>
        </w:rPr>
      </w:pPr>
      <w:r>
        <w:rPr>
          <w:kern w:val="0"/>
          <w:szCs w:val="24"/>
        </w:rPr>
        <w:t xml:space="preserve">Keywords: Algorithms, Appropriateness, Articles, Authors, Bias, Citation, Decision, Effectiveness, Effects, Emergency, Evaluation, Evidence, Extraction, Extrapolation, General, Guidelines, Hospital, Impact, Interventions, </w:t>
      </w:r>
      <w:r w:rsidR="00D5664A">
        <w:rPr>
          <w:kern w:val="0"/>
          <w:szCs w:val="24"/>
        </w:rPr>
        <w:t>MEDLINE</w:t>
      </w:r>
      <w:r>
        <w:rPr>
          <w:kern w:val="0"/>
          <w:szCs w:val="24"/>
        </w:rPr>
        <w:t>, Methods, Papers, Quality, Rates, Reference, Reference Lists, Reporting, Research, Review, Science, Science Citation Index, Science Citation Index Expanded, Service, Sources, Strategy, Systematic Review, Telephone Triage, Unit</w:t>
      </w:r>
    </w:p>
    <w:p w:rsidR="00A729D3" w:rsidRPr="00F219CA" w:rsidRDefault="00A729D3" w:rsidP="00A729D3">
      <w:pPr>
        <w:pStyle w:val="1"/>
      </w:pPr>
      <w:r w:rsidRPr="00F219CA">
        <w:br w:type="page"/>
      </w:r>
      <w:bookmarkStart w:id="568" w:name="_Toc420814569"/>
      <w:r w:rsidRPr="00F219CA">
        <w:lastRenderedPageBreak/>
        <w:t xml:space="preserve">Title: </w:t>
      </w:r>
      <w:r w:rsidRPr="00FC1417">
        <w:rPr>
          <w:rFonts w:hint="eastAsia"/>
          <w:iCs w:val="0"/>
          <w:szCs w:val="24"/>
        </w:rPr>
        <w:t>Archives</w:t>
      </w:r>
      <w:r w:rsidR="00427468">
        <w:rPr>
          <w:rFonts w:hint="eastAsia"/>
          <w:iCs w:val="0"/>
          <w:szCs w:val="24"/>
        </w:rPr>
        <w:t xml:space="preserve"> of </w:t>
      </w:r>
      <w:r w:rsidRPr="00FC1417">
        <w:rPr>
          <w:rFonts w:hint="eastAsia"/>
          <w:iCs w:val="0"/>
          <w:szCs w:val="24"/>
        </w:rPr>
        <w:t>Disease in Childhood-Fetal</w:t>
      </w:r>
      <w:r w:rsidR="005853A9">
        <w:rPr>
          <w:rFonts w:hint="eastAsia"/>
          <w:iCs w:val="0"/>
          <w:szCs w:val="24"/>
        </w:rPr>
        <w:t xml:space="preserve"> and </w:t>
      </w:r>
      <w:r w:rsidRPr="00FC1417">
        <w:rPr>
          <w:rFonts w:hint="eastAsia"/>
          <w:iCs w:val="0"/>
          <w:szCs w:val="24"/>
        </w:rPr>
        <w:t>Neonatal Edition</w:t>
      </w:r>
      <w:bookmarkEnd w:id="568"/>
    </w:p>
    <w:p w:rsidR="00A729D3" w:rsidRPr="001A3D2B" w:rsidRDefault="00A729D3" w:rsidP="00A729D3">
      <w:pPr>
        <w:pStyle w:val="12"/>
      </w:pPr>
      <w:r w:rsidRPr="001A3D2B">
        <w:t xml:space="preserve">Full Journal Title: </w:t>
      </w:r>
      <w:r w:rsidRPr="00FC1417">
        <w:rPr>
          <w:rFonts w:hint="eastAsia"/>
          <w:iCs/>
          <w:kern w:val="0"/>
        </w:rPr>
        <w:t>Archives</w:t>
      </w:r>
      <w:r w:rsidR="00427468">
        <w:rPr>
          <w:rFonts w:hint="eastAsia"/>
          <w:iCs/>
          <w:kern w:val="0"/>
        </w:rPr>
        <w:t xml:space="preserve"> of </w:t>
      </w:r>
      <w:r w:rsidRPr="00FC1417">
        <w:rPr>
          <w:rFonts w:hint="eastAsia"/>
          <w:iCs/>
          <w:kern w:val="0"/>
        </w:rPr>
        <w:t>Disease in Childhood-Fetal</w:t>
      </w:r>
      <w:r w:rsidR="005853A9">
        <w:rPr>
          <w:rFonts w:hint="eastAsia"/>
          <w:iCs/>
          <w:kern w:val="0"/>
        </w:rPr>
        <w:t xml:space="preserve"> and </w:t>
      </w:r>
      <w:r w:rsidRPr="00FC1417">
        <w:rPr>
          <w:rFonts w:hint="eastAsia"/>
          <w:iCs/>
          <w:kern w:val="0"/>
        </w:rPr>
        <w:t>Neonatal Edition</w:t>
      </w:r>
    </w:p>
    <w:p w:rsidR="00A729D3" w:rsidRPr="00F219CA" w:rsidRDefault="00A729D3" w:rsidP="00A729D3">
      <w:pPr>
        <w:pStyle w:val="12"/>
      </w:pPr>
      <w:r w:rsidRPr="00F219CA">
        <w:t xml:space="preserve">ISO Abbreviated Title: </w:t>
      </w:r>
    </w:p>
    <w:p w:rsidR="00A729D3" w:rsidRPr="00F219CA" w:rsidRDefault="00A729D3" w:rsidP="00A729D3">
      <w:pPr>
        <w:pStyle w:val="12"/>
      </w:pPr>
      <w:r w:rsidRPr="00F219CA">
        <w:t xml:space="preserve">JCR Abbreviated Title: </w:t>
      </w:r>
    </w:p>
    <w:p w:rsidR="00A729D3" w:rsidRPr="00F219CA" w:rsidRDefault="00A729D3" w:rsidP="00A729D3">
      <w:pPr>
        <w:pStyle w:val="12"/>
      </w:pPr>
      <w:r w:rsidRPr="00F219CA">
        <w:t xml:space="preserve">ISSN: </w:t>
      </w:r>
      <w:r>
        <w:t>1359-2998</w:t>
      </w:r>
    </w:p>
    <w:p w:rsidR="00A729D3" w:rsidRPr="00F219CA" w:rsidRDefault="00A729D3" w:rsidP="00A729D3">
      <w:pPr>
        <w:pStyle w:val="12"/>
      </w:pPr>
      <w:r w:rsidRPr="00F219CA">
        <w:t>Issues/Year:</w:t>
      </w:r>
      <w:r>
        <w:t xml:space="preserve"> </w:t>
      </w:r>
    </w:p>
    <w:p w:rsidR="00A729D3" w:rsidRPr="00F219CA" w:rsidRDefault="00A729D3" w:rsidP="00A729D3">
      <w:pPr>
        <w:pStyle w:val="12"/>
      </w:pPr>
      <w:r w:rsidRPr="00F219CA">
        <w:t xml:space="preserve">Journal Country/Territory: </w:t>
      </w:r>
    </w:p>
    <w:p w:rsidR="00A729D3" w:rsidRPr="00F219CA" w:rsidRDefault="00A729D3" w:rsidP="00A729D3">
      <w:pPr>
        <w:pStyle w:val="12"/>
      </w:pPr>
      <w:r w:rsidRPr="00F219CA">
        <w:t xml:space="preserve">Language: </w:t>
      </w:r>
    </w:p>
    <w:p w:rsidR="00A729D3" w:rsidRPr="00F219CA" w:rsidRDefault="00A729D3" w:rsidP="00A729D3">
      <w:pPr>
        <w:pStyle w:val="12"/>
      </w:pPr>
      <w:r w:rsidRPr="00F219CA">
        <w:t xml:space="preserve">Publisher: </w:t>
      </w:r>
    </w:p>
    <w:p w:rsidR="00A729D3" w:rsidRPr="00F219CA" w:rsidRDefault="00A729D3" w:rsidP="00A729D3">
      <w:pPr>
        <w:pStyle w:val="12"/>
      </w:pPr>
      <w:r w:rsidRPr="00F219CA">
        <w:t xml:space="preserve">Publisher Address: </w:t>
      </w:r>
    </w:p>
    <w:p w:rsidR="00A729D3" w:rsidRPr="00F219CA" w:rsidRDefault="00A729D3" w:rsidP="00A729D3">
      <w:pPr>
        <w:pStyle w:val="12"/>
      </w:pPr>
      <w:r w:rsidRPr="00F219CA">
        <w:t xml:space="preserve">Subject Categories: </w:t>
      </w:r>
    </w:p>
    <w:p w:rsidR="00A729D3" w:rsidRPr="00F219CA" w:rsidRDefault="00A729D3" w:rsidP="00A729D3">
      <w:pPr>
        <w:pStyle w:val="12"/>
      </w:pPr>
      <w:r w:rsidRPr="00F219CA">
        <w:t xml:space="preserve">Pediatrics: Impact Factor </w:t>
      </w:r>
    </w:p>
    <w:p w:rsidR="00A729D3" w:rsidRDefault="00A729D3" w:rsidP="00A729D3">
      <w:pPr>
        <w:pStyle w:val="a3"/>
        <w:rPr>
          <w:kern w:val="0"/>
          <w:szCs w:val="24"/>
        </w:rPr>
      </w:pPr>
      <w:r>
        <w:rPr>
          <w:rFonts w:hint="eastAsia"/>
          <w:kern w:val="0"/>
        </w:rPr>
        <w:t xml:space="preserve">? </w:t>
      </w:r>
      <w:r>
        <w:rPr>
          <w:rFonts w:hint="eastAsia"/>
          <w:kern w:val="0"/>
          <w:szCs w:val="24"/>
        </w:rPr>
        <w:t>Hartling, L., Liang, Y.Y.</w:t>
      </w:r>
      <w:r w:rsidR="005853A9">
        <w:rPr>
          <w:rFonts w:hint="eastAsia"/>
          <w:kern w:val="0"/>
          <w:szCs w:val="24"/>
        </w:rPr>
        <w:t xml:space="preserve"> and </w:t>
      </w:r>
      <w:r>
        <w:rPr>
          <w:rFonts w:hint="eastAsia"/>
          <w:kern w:val="0"/>
          <w:szCs w:val="24"/>
        </w:rPr>
        <w:t>Lacaze-Masmonteil, T. (2012), Chorioamnionitis as a risk factor for bronchopulmonary dysplasia: A systematic review</w:t>
      </w:r>
      <w:r w:rsidR="005853A9">
        <w:rPr>
          <w:rFonts w:hint="eastAsia"/>
          <w:kern w:val="0"/>
          <w:szCs w:val="24"/>
        </w:rPr>
        <w:t xml:space="preserve"> and </w:t>
      </w:r>
      <w:r>
        <w:rPr>
          <w:rFonts w:hint="eastAsia"/>
          <w:kern w:val="0"/>
          <w:szCs w:val="24"/>
        </w:rPr>
        <w:t xml:space="preserve">meta-analysis. </w:t>
      </w:r>
      <w:r w:rsidRPr="00FC1417">
        <w:rPr>
          <w:rFonts w:hint="eastAsia"/>
          <w:i/>
          <w:iCs/>
          <w:kern w:val="0"/>
          <w:szCs w:val="24"/>
        </w:rPr>
        <w:t>Archives</w:t>
      </w:r>
      <w:r w:rsidR="00427468">
        <w:rPr>
          <w:rFonts w:hint="eastAsia"/>
          <w:i/>
          <w:iCs/>
          <w:kern w:val="0"/>
          <w:szCs w:val="24"/>
        </w:rPr>
        <w:t xml:space="preserve"> of </w:t>
      </w:r>
      <w:r w:rsidRPr="00FC1417">
        <w:rPr>
          <w:rFonts w:hint="eastAsia"/>
          <w:i/>
          <w:iCs/>
          <w:kern w:val="0"/>
          <w:szCs w:val="24"/>
        </w:rPr>
        <w:t>Disease in Childhood-Fetal</w:t>
      </w:r>
      <w:r w:rsidR="005853A9">
        <w:rPr>
          <w:rFonts w:hint="eastAsia"/>
          <w:i/>
          <w:iCs/>
          <w:kern w:val="0"/>
          <w:szCs w:val="24"/>
        </w:rPr>
        <w:t xml:space="preserve"> and </w:t>
      </w:r>
      <w:r w:rsidRPr="00FC1417">
        <w:rPr>
          <w:rFonts w:hint="eastAsia"/>
          <w:i/>
          <w:iCs/>
          <w:kern w:val="0"/>
          <w:szCs w:val="24"/>
        </w:rPr>
        <w:t>Neonatal Edition</w:t>
      </w:r>
      <w:r>
        <w:rPr>
          <w:rFonts w:hint="eastAsia"/>
          <w:kern w:val="0"/>
          <w:szCs w:val="24"/>
        </w:rPr>
        <w:t xml:space="preserve">, </w:t>
      </w:r>
      <w:r>
        <w:rPr>
          <w:rFonts w:hint="eastAsia"/>
          <w:b/>
          <w:bCs/>
          <w:kern w:val="0"/>
          <w:szCs w:val="24"/>
        </w:rPr>
        <w:t>97</w:t>
      </w:r>
      <w:r>
        <w:rPr>
          <w:rFonts w:hint="eastAsia"/>
          <w:kern w:val="0"/>
          <w:szCs w:val="24"/>
        </w:rPr>
        <w:t xml:space="preserve"> (1), F8-U14.</w:t>
      </w:r>
    </w:p>
    <w:p w:rsidR="00A729D3" w:rsidRDefault="00A729D3" w:rsidP="00A729D3">
      <w:pPr>
        <w:pStyle w:val="a3"/>
        <w:rPr>
          <w:kern w:val="0"/>
          <w:szCs w:val="24"/>
        </w:rPr>
      </w:pPr>
      <w:r>
        <w:rPr>
          <w:rFonts w:hint="eastAsia"/>
          <w:kern w:val="0"/>
          <w:szCs w:val="24"/>
        </w:rPr>
        <w:t xml:space="preserve">Full Text: </w:t>
      </w:r>
      <w:hyperlink r:id="rId1099" w:history="1">
        <w:r w:rsidRPr="00FC1417">
          <w:rPr>
            <w:rStyle w:val="a5"/>
            <w:kern w:val="0"/>
            <w:szCs w:val="24"/>
          </w:rPr>
          <w:t>2012\Arc Dis Chi-Fet Neo Edi97, F8.pdf</w:t>
        </w:r>
      </w:hyperlink>
    </w:p>
    <w:p w:rsidR="00A729D3" w:rsidRDefault="00A729D3" w:rsidP="00A729D3">
      <w:pPr>
        <w:pStyle w:val="a3"/>
        <w:rPr>
          <w:kern w:val="0"/>
          <w:szCs w:val="24"/>
        </w:rPr>
      </w:pPr>
      <w:r>
        <w:rPr>
          <w:rFonts w:hint="eastAsia"/>
          <w:kern w:val="0"/>
          <w:szCs w:val="24"/>
        </w:rPr>
        <w:t>Abstract: Objective To conduct a systematic review</w:t>
      </w:r>
      <w:r w:rsidR="00427468">
        <w:rPr>
          <w:rFonts w:hint="eastAsia"/>
          <w:kern w:val="0"/>
          <w:szCs w:val="24"/>
        </w:rPr>
        <w:t xml:space="preserve"> of </w:t>
      </w:r>
      <w:r w:rsidR="003A1917">
        <w:rPr>
          <w:rFonts w:hint="eastAsia"/>
          <w:kern w:val="0"/>
          <w:szCs w:val="24"/>
        </w:rPr>
        <w:t xml:space="preserve">the </w:t>
      </w:r>
      <w:r>
        <w:rPr>
          <w:rFonts w:hint="eastAsia"/>
          <w:kern w:val="0"/>
          <w:szCs w:val="24"/>
        </w:rPr>
        <w:t>association between chorioamnionitis (CA)</w:t>
      </w:r>
      <w:r w:rsidR="005853A9">
        <w:rPr>
          <w:rFonts w:hint="eastAsia"/>
          <w:kern w:val="0"/>
          <w:szCs w:val="24"/>
        </w:rPr>
        <w:t xml:space="preserve"> and </w:t>
      </w:r>
      <w:r>
        <w:rPr>
          <w:rFonts w:hint="eastAsia"/>
          <w:kern w:val="0"/>
          <w:szCs w:val="24"/>
        </w:rPr>
        <w:t>bronchopulmonary dysplasia (BPD) in preterm infants. Methods</w:t>
      </w:r>
      <w:r w:rsidR="003A1917">
        <w:rPr>
          <w:rFonts w:hint="eastAsia"/>
          <w:kern w:val="0"/>
          <w:szCs w:val="24"/>
        </w:rPr>
        <w:t xml:space="preserve"> the </w:t>
      </w:r>
      <w:r>
        <w:rPr>
          <w:rFonts w:hint="eastAsia"/>
          <w:kern w:val="0"/>
          <w:szCs w:val="24"/>
        </w:rPr>
        <w:t xml:space="preserve">authors searched </w:t>
      </w:r>
      <w:r w:rsidR="00D5664A">
        <w:rPr>
          <w:rFonts w:hint="eastAsia"/>
          <w:kern w:val="0"/>
          <w:szCs w:val="24"/>
        </w:rPr>
        <w:t>MEDLINE</w:t>
      </w:r>
      <w:r>
        <w:rPr>
          <w:rFonts w:hint="eastAsia"/>
          <w:kern w:val="0"/>
          <w:szCs w:val="24"/>
        </w:rPr>
        <w:t>, Embase, CINAHL, Science Citation Index</w:t>
      </w:r>
      <w:r w:rsidR="005853A9">
        <w:rPr>
          <w:rFonts w:hint="eastAsia"/>
          <w:kern w:val="0"/>
          <w:szCs w:val="24"/>
        </w:rPr>
        <w:t xml:space="preserve"> and </w:t>
      </w:r>
      <w:r>
        <w:rPr>
          <w:rFonts w:hint="eastAsia"/>
          <w:kern w:val="0"/>
          <w:szCs w:val="24"/>
        </w:rPr>
        <w:t>PubMed, reviewed reference lists</w:t>
      </w:r>
      <w:r w:rsidR="005853A9">
        <w:rPr>
          <w:rFonts w:hint="eastAsia"/>
          <w:kern w:val="0"/>
          <w:szCs w:val="24"/>
        </w:rPr>
        <w:t xml:space="preserve"> and </w:t>
      </w:r>
      <w:r>
        <w:rPr>
          <w:rFonts w:hint="eastAsia"/>
          <w:kern w:val="0"/>
          <w:szCs w:val="24"/>
        </w:rPr>
        <w:t>contacted</w:t>
      </w:r>
      <w:r w:rsidR="003A1917">
        <w:rPr>
          <w:rFonts w:hint="eastAsia"/>
          <w:kern w:val="0"/>
          <w:szCs w:val="24"/>
        </w:rPr>
        <w:t xml:space="preserve"> the </w:t>
      </w:r>
      <w:r>
        <w:rPr>
          <w:rFonts w:hint="eastAsia"/>
          <w:kern w:val="0"/>
          <w:szCs w:val="24"/>
        </w:rPr>
        <w:t>primary authors</w:t>
      </w:r>
      <w:r w:rsidR="00427468">
        <w:rPr>
          <w:rFonts w:hint="eastAsia"/>
          <w:kern w:val="0"/>
          <w:szCs w:val="24"/>
        </w:rPr>
        <w:t xml:space="preserve"> of </w:t>
      </w:r>
      <w:r>
        <w:rPr>
          <w:rFonts w:hint="eastAsia"/>
          <w:kern w:val="0"/>
          <w:szCs w:val="24"/>
        </w:rPr>
        <w:t>relevant studies. Studies were included if they had a comparison group, examined preterm or low birthweight infants,</w:t>
      </w:r>
      <w:r w:rsidR="005853A9">
        <w:rPr>
          <w:rFonts w:hint="eastAsia"/>
          <w:kern w:val="0"/>
          <w:szCs w:val="24"/>
        </w:rPr>
        <w:t xml:space="preserve"> and </w:t>
      </w:r>
      <w:r>
        <w:rPr>
          <w:rFonts w:hint="eastAsia"/>
          <w:kern w:val="0"/>
          <w:szCs w:val="24"/>
        </w:rPr>
        <w:t>provided primary data. Two reviewers independently screened</w:t>
      </w:r>
      <w:r w:rsidR="003A1917">
        <w:rPr>
          <w:rFonts w:hint="eastAsia"/>
          <w:kern w:val="0"/>
          <w:szCs w:val="24"/>
        </w:rPr>
        <w:t xml:space="preserve"> the </w:t>
      </w:r>
      <w:r>
        <w:rPr>
          <w:rFonts w:hint="eastAsia"/>
          <w:kern w:val="0"/>
          <w:szCs w:val="24"/>
        </w:rPr>
        <w:t>search results, applied inclusion criteria</w:t>
      </w:r>
      <w:r w:rsidR="005853A9">
        <w:rPr>
          <w:rFonts w:hint="eastAsia"/>
          <w:kern w:val="0"/>
          <w:szCs w:val="24"/>
        </w:rPr>
        <w:t xml:space="preserve"> and </w:t>
      </w:r>
      <w:r>
        <w:rPr>
          <w:rFonts w:hint="eastAsia"/>
          <w:kern w:val="0"/>
          <w:szCs w:val="24"/>
        </w:rPr>
        <w:t>assessed methodological quality. One reviewer extracted data</w:t>
      </w:r>
      <w:r w:rsidR="005853A9">
        <w:rPr>
          <w:rFonts w:hint="eastAsia"/>
          <w:kern w:val="0"/>
          <w:szCs w:val="24"/>
        </w:rPr>
        <w:t xml:space="preserve"> and </w:t>
      </w:r>
      <w:r>
        <w:rPr>
          <w:rFonts w:hint="eastAsia"/>
          <w:kern w:val="0"/>
          <w:szCs w:val="24"/>
        </w:rPr>
        <w:t>a second reviewer checked data extraction. Studies were combined with an OR using a random effects model. Meta-regression was used to explore potential confounders. Results 3587 studies were identified; 59 studies (15 295 patients) were included</w:t>
      </w:r>
      <w:r w:rsidR="00A37C1D">
        <w:rPr>
          <w:rFonts w:hint="eastAsia"/>
          <w:kern w:val="0"/>
          <w:szCs w:val="24"/>
        </w:rPr>
        <w:t>. The</w:t>
      </w:r>
      <w:r w:rsidR="003A1917">
        <w:rPr>
          <w:rFonts w:hint="eastAsia"/>
          <w:kern w:val="0"/>
          <w:szCs w:val="24"/>
        </w:rPr>
        <w:t xml:space="preserve"> </w:t>
      </w:r>
      <w:r>
        <w:rPr>
          <w:rFonts w:hint="eastAsia"/>
          <w:kern w:val="0"/>
          <w:szCs w:val="24"/>
        </w:rPr>
        <w:t>pooled unadjusted OR showed that CA was significantly associated with BPD (OR 1.89, 95% CI 1.56 to 2.3). Heterogeneity was substantial (I(2)=66.2%)</w:t>
      </w:r>
      <w:r w:rsidR="005853A9">
        <w:rPr>
          <w:rFonts w:hint="eastAsia"/>
          <w:kern w:val="0"/>
          <w:szCs w:val="24"/>
        </w:rPr>
        <w:t xml:space="preserve"> and </w:t>
      </w:r>
      <w:r>
        <w:rPr>
          <w:rFonts w:hint="eastAsia"/>
          <w:kern w:val="0"/>
          <w:szCs w:val="24"/>
        </w:rPr>
        <w:t>may be partially explained by</w:t>
      </w:r>
      <w:r w:rsidR="003A1917">
        <w:rPr>
          <w:rFonts w:hint="eastAsia"/>
          <w:kern w:val="0"/>
          <w:szCs w:val="24"/>
        </w:rPr>
        <w:t xml:space="preserve"> the </w:t>
      </w:r>
      <w:r>
        <w:rPr>
          <w:rFonts w:hint="eastAsia"/>
          <w:kern w:val="0"/>
          <w:szCs w:val="24"/>
        </w:rPr>
        <w:t>type</w:t>
      </w:r>
      <w:r w:rsidR="00427468">
        <w:rPr>
          <w:rFonts w:hint="eastAsia"/>
          <w:kern w:val="0"/>
          <w:szCs w:val="24"/>
        </w:rPr>
        <w:t xml:space="preserve"> of </w:t>
      </w:r>
      <w:r>
        <w:rPr>
          <w:rFonts w:hint="eastAsia"/>
          <w:kern w:val="0"/>
          <w:szCs w:val="24"/>
        </w:rPr>
        <w:t>CA. Infants exposed to CA were significantly younger</w:t>
      </w:r>
      <w:r w:rsidR="005853A9">
        <w:rPr>
          <w:rFonts w:hint="eastAsia"/>
          <w:kern w:val="0"/>
          <w:szCs w:val="24"/>
        </w:rPr>
        <w:t xml:space="preserve"> and </w:t>
      </w:r>
      <w:r>
        <w:rPr>
          <w:rFonts w:hint="eastAsia"/>
          <w:kern w:val="0"/>
          <w:szCs w:val="24"/>
        </w:rPr>
        <w:t>lighter at birth</w:t>
      </w:r>
      <w:r w:rsidR="00A37C1D">
        <w:rPr>
          <w:rFonts w:hint="eastAsia"/>
          <w:kern w:val="0"/>
          <w:szCs w:val="24"/>
        </w:rPr>
        <w:t>. The</w:t>
      </w:r>
      <w:r w:rsidR="003A1917">
        <w:rPr>
          <w:rFonts w:hint="eastAsia"/>
          <w:kern w:val="0"/>
          <w:szCs w:val="24"/>
        </w:rPr>
        <w:t xml:space="preserve"> </w:t>
      </w:r>
      <w:r>
        <w:rPr>
          <w:rFonts w:hint="eastAsia"/>
          <w:kern w:val="0"/>
          <w:szCs w:val="24"/>
        </w:rPr>
        <w:t>pooled adjusted OR was 1.58 (95% CI 1.11 to 2.24); heterogeneity was substantial (I(2)=65.1%) which may be due to different variables being controlled in each study</w:t>
      </w:r>
      <w:r w:rsidR="00A37C1D">
        <w:rPr>
          <w:rFonts w:hint="eastAsia"/>
          <w:kern w:val="0"/>
          <w:szCs w:val="24"/>
        </w:rPr>
        <w:t>. The</w:t>
      </w:r>
      <w:r>
        <w:rPr>
          <w:rFonts w:hint="eastAsia"/>
          <w:kern w:val="0"/>
          <w:szCs w:val="24"/>
        </w:rPr>
        <w:t>re was strong evidence</w:t>
      </w:r>
      <w:r w:rsidR="00427468">
        <w:rPr>
          <w:rFonts w:hint="eastAsia"/>
          <w:kern w:val="0"/>
          <w:szCs w:val="24"/>
        </w:rPr>
        <w:t xml:space="preserve"> of </w:t>
      </w:r>
      <w:r>
        <w:rPr>
          <w:rFonts w:hint="eastAsia"/>
          <w:kern w:val="0"/>
          <w:szCs w:val="24"/>
        </w:rPr>
        <w:t>publication bias which suggests potential overestimation</w:t>
      </w:r>
      <w:r w:rsidR="00427468">
        <w:rPr>
          <w:rFonts w:hint="eastAsia"/>
          <w:kern w:val="0"/>
          <w:szCs w:val="24"/>
        </w:rPr>
        <w:t xml:space="preserve"> of </w:t>
      </w:r>
      <w:r w:rsidR="003A1917">
        <w:rPr>
          <w:rFonts w:hint="eastAsia"/>
          <w:kern w:val="0"/>
          <w:szCs w:val="24"/>
        </w:rPr>
        <w:t xml:space="preserve">the </w:t>
      </w:r>
      <w:r>
        <w:rPr>
          <w:rFonts w:hint="eastAsia"/>
          <w:kern w:val="0"/>
          <w:szCs w:val="24"/>
        </w:rPr>
        <w:t>measure</w:t>
      </w:r>
      <w:r w:rsidR="00427468">
        <w:rPr>
          <w:rFonts w:hint="eastAsia"/>
          <w:kern w:val="0"/>
          <w:szCs w:val="24"/>
        </w:rPr>
        <w:t xml:space="preserve"> of </w:t>
      </w:r>
      <w:r>
        <w:rPr>
          <w:rFonts w:hint="eastAsia"/>
          <w:kern w:val="0"/>
          <w:szCs w:val="24"/>
        </w:rPr>
        <w:t>association between CA</w:t>
      </w:r>
      <w:r w:rsidR="005853A9">
        <w:rPr>
          <w:rFonts w:hint="eastAsia"/>
          <w:kern w:val="0"/>
          <w:szCs w:val="24"/>
        </w:rPr>
        <w:t xml:space="preserve"> and </w:t>
      </w:r>
      <w:r>
        <w:rPr>
          <w:rFonts w:hint="eastAsia"/>
          <w:kern w:val="0"/>
          <w:szCs w:val="24"/>
        </w:rPr>
        <w:t>BPD. Conclusions Unadjusted</w:t>
      </w:r>
      <w:r w:rsidR="005853A9">
        <w:rPr>
          <w:rFonts w:hint="eastAsia"/>
          <w:kern w:val="0"/>
          <w:szCs w:val="24"/>
        </w:rPr>
        <w:t xml:space="preserve"> and </w:t>
      </w:r>
      <w:r>
        <w:rPr>
          <w:rFonts w:hint="eastAsia"/>
          <w:kern w:val="0"/>
          <w:szCs w:val="24"/>
        </w:rPr>
        <w:t>adjusted analyses showed that CA was significantly associated with BPD; however,</w:t>
      </w:r>
      <w:r w:rsidR="003A1917">
        <w:rPr>
          <w:rFonts w:hint="eastAsia"/>
          <w:kern w:val="0"/>
          <w:szCs w:val="24"/>
        </w:rPr>
        <w:t xml:space="preserve"> the </w:t>
      </w:r>
      <w:r>
        <w:rPr>
          <w:rFonts w:hint="eastAsia"/>
          <w:kern w:val="0"/>
          <w:szCs w:val="24"/>
        </w:rPr>
        <w:t>adjusted results were more conservative in</w:t>
      </w:r>
      <w:r w:rsidR="003A1917">
        <w:rPr>
          <w:rFonts w:hint="eastAsia"/>
          <w:kern w:val="0"/>
          <w:szCs w:val="24"/>
        </w:rPr>
        <w:t xml:space="preserve"> the </w:t>
      </w:r>
      <w:r>
        <w:rPr>
          <w:rFonts w:hint="eastAsia"/>
          <w:kern w:val="0"/>
          <w:szCs w:val="24"/>
        </w:rPr>
        <w:t>magnitude</w:t>
      </w:r>
      <w:r w:rsidR="00427468">
        <w:rPr>
          <w:rFonts w:hint="eastAsia"/>
          <w:kern w:val="0"/>
          <w:szCs w:val="24"/>
        </w:rPr>
        <w:t xml:space="preserve"> of </w:t>
      </w:r>
      <w:r>
        <w:rPr>
          <w:rFonts w:hint="eastAsia"/>
          <w:kern w:val="0"/>
          <w:szCs w:val="24"/>
        </w:rPr>
        <w:lastRenderedPageBreak/>
        <w:t>association</w:t>
      </w:r>
      <w:r w:rsidR="00A37C1D">
        <w:rPr>
          <w:rFonts w:hint="eastAsia"/>
          <w:kern w:val="0"/>
          <w:szCs w:val="24"/>
        </w:rPr>
        <w:t>. The</w:t>
      </w:r>
      <w:r w:rsidR="003A1917">
        <w:rPr>
          <w:rFonts w:hint="eastAsia"/>
          <w:kern w:val="0"/>
          <w:szCs w:val="24"/>
        </w:rPr>
        <w:t xml:space="preserve"> </w:t>
      </w:r>
      <w:r>
        <w:rPr>
          <w:rFonts w:hint="eastAsia"/>
          <w:kern w:val="0"/>
          <w:szCs w:val="24"/>
        </w:rPr>
        <w:t>authors found strong evidence</w:t>
      </w:r>
      <w:r w:rsidR="00427468">
        <w:rPr>
          <w:rFonts w:hint="eastAsia"/>
          <w:kern w:val="0"/>
          <w:szCs w:val="24"/>
        </w:rPr>
        <w:t xml:space="preserve"> of </w:t>
      </w:r>
      <w:r>
        <w:rPr>
          <w:rFonts w:hint="eastAsia"/>
          <w:kern w:val="0"/>
          <w:szCs w:val="24"/>
        </w:rPr>
        <w:t>publication bias. Despite a large body</w:t>
      </w:r>
      <w:r w:rsidR="00427468">
        <w:rPr>
          <w:rFonts w:hint="eastAsia"/>
          <w:kern w:val="0"/>
          <w:szCs w:val="24"/>
        </w:rPr>
        <w:t xml:space="preserve"> of </w:t>
      </w:r>
      <w:r>
        <w:rPr>
          <w:rFonts w:hint="eastAsia"/>
          <w:kern w:val="0"/>
          <w:szCs w:val="24"/>
        </w:rPr>
        <w:t>evidence, CA cannot be definitively considered a risk factor for BPD.</w:t>
      </w:r>
    </w:p>
    <w:p w:rsidR="00A729D3" w:rsidRDefault="00A729D3" w:rsidP="00A729D3">
      <w:pPr>
        <w:pStyle w:val="a3"/>
        <w:rPr>
          <w:kern w:val="0"/>
          <w:szCs w:val="24"/>
        </w:rPr>
      </w:pPr>
      <w:r>
        <w:rPr>
          <w:rFonts w:hint="eastAsia"/>
          <w:kern w:val="0"/>
          <w:szCs w:val="24"/>
        </w:rPr>
        <w:t xml:space="preserve">Keywords: Association, Authors, Bias, Birth-Weight Infants, Birthweight, Chronic Lung-Disease, Citation, Cord Blood, Early Adrenal Insufficiency, Extraction, Fetal Inflammatory Response, Infants, Low, Low Birthweight, </w:t>
      </w:r>
      <w:r w:rsidR="00D5664A">
        <w:rPr>
          <w:rFonts w:hint="eastAsia"/>
          <w:kern w:val="0"/>
          <w:szCs w:val="24"/>
        </w:rPr>
        <w:t>MEDLINE</w:t>
      </w:r>
      <w:r>
        <w:rPr>
          <w:rFonts w:hint="eastAsia"/>
          <w:kern w:val="0"/>
          <w:szCs w:val="24"/>
        </w:rPr>
        <w:t>, Meta Analysis, Meta-Analysis, Methods, Model, Neonatal Leukemoid Reaction, Patients, Premature-Infants, Preterm, Preterm Infants, Primary, Publication, Publication Bias, Pubmed, Quality, Review, Risk, Risk Factor, Science, Science Citation Index, Systematic, Systematic Review, Ureaplasma-Urealyticum</w:t>
      </w:r>
    </w:p>
    <w:p w:rsidR="00165DDC" w:rsidRDefault="00165DDC" w:rsidP="00165DDC">
      <w:pPr>
        <w:pStyle w:val="a3"/>
        <w:rPr>
          <w:kern w:val="0"/>
        </w:rPr>
      </w:pPr>
      <w:r>
        <w:rPr>
          <w:rFonts w:hint="eastAsia"/>
          <w:kern w:val="0"/>
        </w:rPr>
        <w:t xml:space="preserve">? </w:t>
      </w:r>
      <w:r>
        <w:rPr>
          <w:kern w:val="0"/>
        </w:rPr>
        <w:t xml:space="preserve">Martin, S., Duke, T. and Davis, P. (2014), Efficacy and safety of bubble CPAP in neonatal care in low and middle income countries: A systematic review. </w:t>
      </w:r>
      <w:r>
        <w:rPr>
          <w:i/>
          <w:iCs/>
          <w:kern w:val="0"/>
        </w:rPr>
        <w:t>Archives of Disease in Childhood-Fetal and Neonatal Edition</w:t>
      </w:r>
      <w:r>
        <w:rPr>
          <w:kern w:val="0"/>
        </w:rPr>
        <w:t xml:space="preserve">, </w:t>
      </w:r>
      <w:r>
        <w:rPr>
          <w:b/>
          <w:bCs/>
          <w:kern w:val="0"/>
        </w:rPr>
        <w:t>99</w:t>
      </w:r>
      <w:r>
        <w:rPr>
          <w:kern w:val="0"/>
        </w:rPr>
        <w:t xml:space="preserve"> (6), F495-F504.</w:t>
      </w:r>
    </w:p>
    <w:p w:rsidR="00165DDC" w:rsidRDefault="00165DDC" w:rsidP="00165DDC">
      <w:pPr>
        <w:pStyle w:val="a3"/>
        <w:rPr>
          <w:kern w:val="0"/>
        </w:rPr>
      </w:pPr>
      <w:r>
        <w:rPr>
          <w:rFonts w:hint="eastAsia"/>
          <w:kern w:val="0"/>
        </w:rPr>
        <w:t xml:space="preserve">Full Text: </w:t>
      </w:r>
      <w:hyperlink r:id="rId1100" w:history="1">
        <w:r w:rsidRPr="00D61DF1">
          <w:rPr>
            <w:rStyle w:val="a5"/>
            <w:kern w:val="0"/>
          </w:rPr>
          <w:t>2014\Arc Dis Chi-Fet Neo Edi99, F495.pdf</w:t>
        </w:r>
      </w:hyperlink>
    </w:p>
    <w:p w:rsidR="00165DDC" w:rsidRDefault="00165DDC" w:rsidP="00165DDC">
      <w:pPr>
        <w:pStyle w:val="a3"/>
        <w:rPr>
          <w:kern w:val="0"/>
        </w:rPr>
      </w:pPr>
      <w:r>
        <w:rPr>
          <w:kern w:val="0"/>
        </w:rPr>
        <w:t>Abstract: Introduction Forty per cent of global child deaths occur in the neonatal period. Low and middle income countries need effective and simple methods to improve hospital-based neonatal care. Bubble continuous positive airway pressure (CPAP) may have a role in improving the quality of respiratory support in hospitals in low and middle income countries. Aim To examine the evidence for the efficacy and safety of bubble CPAP in neonates with respiratory distress in low and middle income settings. Method A systematic search (1946-March 2014) was performed of Pubmed, Ovid MEDLINE, Web of Science, Google Scholar and the references of relevant articles. Articles meeting inclusion criteria (CPAP for respiratory distress in infants &lt;28 days of age in hospitals in low and middle income countries) were assessed using Grading of Recommendations, Assessment, Development and Evaluation and Newcastle-Ottawa Quality Assessment Scale methodology. Outcomes included need for mechanical ventilation, complications and mortality. Results In three studies, the initial use of bubble CPAP compared with oxygen therapy, followed by mechanical ventilation if required, reduced the need for mechanical ventilation by 30%-50%. In another three trials comparing bubble CPAP with ventilator CPAP, mortality and complication rates were similar, while meta-analysis of CPAP failure in these same trials showed a lower failure rate in the bubble CPAP groups (p &lt; 0.003). Conclusions There is evidence that bubble CPAP is safe and reduces the need for mechanical ventilation. Further research into the efficacy of bubble CPAP in lowincome and middle-income countries is needed.</w:t>
      </w:r>
    </w:p>
    <w:p w:rsidR="00165DDC" w:rsidRDefault="00165DDC" w:rsidP="00165DDC">
      <w:pPr>
        <w:pStyle w:val="a3"/>
        <w:rPr>
          <w:kern w:val="0"/>
        </w:rPr>
      </w:pPr>
      <w:r>
        <w:rPr>
          <w:kern w:val="0"/>
        </w:rPr>
        <w:t xml:space="preserve">Keywords: Age, Articles, Assessment, Birth-Weight Infants, Bubble, Care, Child, Complication, Complication Rates, Complications, Controlled-Trial, Cpap, Criteria, Development, Distress, Efficacy, Efficacy And Safety, Evaluation, Evidence, Failure, Failure Rate, Global, Google, Google Scholar, Groups, Hospitals, Infants, Interventions, Low And Middle Income Countries, Mechanical Ventilation, Medline, </w:t>
      </w:r>
      <w:r>
        <w:rPr>
          <w:kern w:val="0"/>
        </w:rPr>
        <w:lastRenderedPageBreak/>
        <w:t>Meta Analysis, Meta-Analysis, Metaanalysis, Methodology, Methods, Mortality, Ncpap, Neonatal, Neonates, Nov, Outcomes, Oxygen, Positive Airway Pressure, Pressure, Preterm Infants, Quality, Quality Of, Rates, References, Research, Respiratory-Distress-Syndrome, Results, Review, Role, Safety, Scale, Science, Support, Survival, Systematic, Systematic Review, Therapy, Ventilation, Web Of Science</w:t>
      </w:r>
    </w:p>
    <w:p w:rsidR="003474F2" w:rsidRPr="001A3D2B" w:rsidRDefault="003474F2" w:rsidP="003474F2">
      <w:pPr>
        <w:pStyle w:val="1"/>
      </w:pPr>
      <w:r w:rsidRPr="001A3D2B">
        <w:br w:type="page"/>
      </w:r>
      <w:bookmarkStart w:id="569" w:name="_Toc420814570"/>
      <w:r w:rsidRPr="001A3D2B">
        <w:lastRenderedPageBreak/>
        <w:t>Title: Archives</w:t>
      </w:r>
      <w:r w:rsidR="00427468">
        <w:t xml:space="preserve"> of </w:t>
      </w:r>
      <w:r w:rsidRPr="001A3D2B">
        <w:t>Environmental &amp; Occupational Health</w:t>
      </w:r>
      <w:bookmarkEnd w:id="569"/>
    </w:p>
    <w:p w:rsidR="003474F2" w:rsidRPr="001A3D2B" w:rsidRDefault="003474F2" w:rsidP="003474F2">
      <w:pPr>
        <w:pStyle w:val="12"/>
      </w:pPr>
      <w:r w:rsidRPr="001A3D2B">
        <w:t xml:space="preserve">Full Journal Title: </w:t>
      </w:r>
      <w:hyperlink r:id="rId1101" w:history="1">
        <w:r w:rsidRPr="001A3D2B">
          <w:rPr>
            <w:rStyle w:val="a5"/>
          </w:rPr>
          <w:t>Archives</w:t>
        </w:r>
        <w:r w:rsidR="00427468">
          <w:rPr>
            <w:rStyle w:val="a5"/>
          </w:rPr>
          <w:t xml:space="preserve"> of </w:t>
        </w:r>
        <w:r w:rsidRPr="001A3D2B">
          <w:rPr>
            <w:rStyle w:val="a5"/>
          </w:rPr>
          <w:t>Environmental &amp; Occupational Health</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1933-8244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1A3D2B" w:rsidRDefault="001A3D2B" w:rsidP="001A3D2B">
      <w:pPr>
        <w:pStyle w:val="a3"/>
        <w:rPr>
          <w:kern w:val="0"/>
        </w:rPr>
      </w:pPr>
      <w:r>
        <w:rPr>
          <w:rFonts w:hint="eastAsia"/>
          <w:kern w:val="0"/>
        </w:rPr>
        <w:t>Notes: JJournal</w:t>
      </w:r>
    </w:p>
    <w:p w:rsidR="003474F2" w:rsidRPr="001A3D2B" w:rsidRDefault="003474F2" w:rsidP="003474F2">
      <w:pPr>
        <w:pStyle w:val="a3"/>
      </w:pPr>
      <w:r w:rsidRPr="001A3D2B">
        <w:t>? Smith, D.R. (2008), Citation analysis</w:t>
      </w:r>
      <w:r w:rsidR="005853A9">
        <w:t xml:space="preserve"> and </w:t>
      </w:r>
      <w:r w:rsidRPr="001A3D2B">
        <w:t>impact factor trends</w:t>
      </w:r>
      <w:r w:rsidR="00427468">
        <w:t xml:space="preserve"> of </w:t>
      </w:r>
      <w:r w:rsidRPr="001A3D2B">
        <w:t xml:space="preserve">5 core journals in occupational medicine, 1985-2006. </w:t>
      </w:r>
      <w:r w:rsidRPr="001A3D2B">
        <w:rPr>
          <w:i/>
          <w:iCs/>
        </w:rPr>
        <w:t>Archives</w:t>
      </w:r>
      <w:r w:rsidR="00427468">
        <w:rPr>
          <w:i/>
          <w:iCs/>
        </w:rPr>
        <w:t xml:space="preserve"> of </w:t>
      </w:r>
      <w:r w:rsidRPr="001A3D2B">
        <w:rPr>
          <w:i/>
          <w:iCs/>
        </w:rPr>
        <w:t>Environmental &amp; Occupational Health</w:t>
      </w:r>
      <w:r w:rsidRPr="001A3D2B">
        <w:t xml:space="preserve">, </w:t>
      </w:r>
      <w:r w:rsidRPr="001A3D2B">
        <w:rPr>
          <w:b/>
          <w:bCs/>
        </w:rPr>
        <w:t>63</w:t>
      </w:r>
      <w:r w:rsidRPr="001A3D2B">
        <w:t xml:space="preserve"> (3), 114-122.</w:t>
      </w:r>
    </w:p>
    <w:p w:rsidR="003474F2" w:rsidRPr="001A3D2B" w:rsidRDefault="003474F2" w:rsidP="003474F2">
      <w:pPr>
        <w:pStyle w:val="a3"/>
      </w:pPr>
      <w:r w:rsidRPr="001A3D2B">
        <w:t xml:space="preserve">Full Text: </w:t>
      </w:r>
      <w:hyperlink r:id="rId1102" w:history="1">
        <w:r w:rsidRPr="001A3D2B">
          <w:rPr>
            <w:rStyle w:val="a5"/>
          </w:rPr>
          <w:t>2008\Arc Env Occ Hea63, 114.pdf</w:t>
        </w:r>
      </w:hyperlink>
    </w:p>
    <w:p w:rsidR="003474F2" w:rsidRPr="001A3D2B" w:rsidRDefault="003474F2" w:rsidP="003474F2">
      <w:pPr>
        <w:pStyle w:val="a3"/>
      </w:pPr>
      <w:r w:rsidRPr="001A3D2B">
        <w:t>Abstract: Longitudinal analysis</w:t>
      </w:r>
      <w:r w:rsidR="00427468">
        <w:t xml:space="preserve"> of </w:t>
      </w:r>
      <w:r w:rsidRPr="001A3D2B">
        <w:t>citation data provides useful historical information on research</w:t>
      </w:r>
      <w:r w:rsidR="005853A9">
        <w:t xml:space="preserve"> and </w:t>
      </w:r>
      <w:r w:rsidRPr="001A3D2B">
        <w:t>publishing trends in our field. A citation-based analysis was performed on 5 core journals published between 1985</w:t>
      </w:r>
      <w:r w:rsidR="005853A9">
        <w:t xml:space="preserve"> and </w:t>
      </w:r>
      <w:r w:rsidRPr="001A3D2B">
        <w:t>2006. Detailed historical information on citation rates, cited half-lives, immediacy indices,</w:t>
      </w:r>
      <w:r w:rsidR="005853A9">
        <w:t xml:space="preserve"> and </w:t>
      </w:r>
      <w:r w:rsidRPr="001A3D2B">
        <w:t>impact-factor scores were extracted from</w:t>
      </w:r>
      <w:r w:rsidR="003A1917">
        <w:t xml:space="preserve"> the </w:t>
      </w:r>
      <w:r w:rsidRPr="001A3D2B">
        <w:t>Thomson Scientific Journal Citation Reports via a custom order,</w:t>
      </w:r>
      <w:r w:rsidR="005853A9">
        <w:t xml:space="preserve"> and </w:t>
      </w:r>
      <w:r w:rsidRPr="001A3D2B">
        <w:t>systematically analyzed. Occupational medicine journals have attracted an increasing number</w:t>
      </w:r>
      <w:r w:rsidR="00427468">
        <w:t xml:space="preserve"> of </w:t>
      </w:r>
      <w:r w:rsidRPr="001A3D2B">
        <w:t>citations in recent years, with this figure rising from just over 5,000 per year in 1985 to almost 17,000 per year by 2006. Impact factors have also increased between 108%</w:t>
      </w:r>
      <w:r w:rsidR="005853A9">
        <w:t xml:space="preserve"> and </w:t>
      </w:r>
      <w:r w:rsidRPr="001A3D2B">
        <w:t>186% per journal, with an average rise</w:t>
      </w:r>
      <w:r w:rsidR="00427468">
        <w:t xml:space="preserve"> of </w:t>
      </w:r>
      <w:r w:rsidRPr="001A3D2B">
        <w:t>approximately 158% during</w:t>
      </w:r>
      <w:r w:rsidR="003A1917">
        <w:t xml:space="preserve"> the </w:t>
      </w:r>
      <w:r w:rsidRPr="001A3D2B">
        <w:t>time period examined. Overall, this study suggests that occupational medicine is now attracting increasing attention in</w:t>
      </w:r>
      <w:r w:rsidR="003A1917">
        <w:t xml:space="preserve"> the </w:t>
      </w:r>
      <w:r w:rsidRPr="001A3D2B">
        <w:t>scientific literature, as evidenced by rising citation counts</w:t>
      </w:r>
      <w:r w:rsidR="005853A9">
        <w:t xml:space="preserve"> and </w:t>
      </w:r>
      <w:r w:rsidRPr="001A3D2B">
        <w:t>impact factors.</w:t>
      </w:r>
    </w:p>
    <w:p w:rsidR="003474F2" w:rsidRPr="001A3D2B" w:rsidRDefault="003474F2" w:rsidP="003474F2">
      <w:pPr>
        <w:pStyle w:val="a3"/>
      </w:pPr>
      <w:r w:rsidRPr="001A3D2B">
        <w:t>Keywords: Analysis, Attention, Bibliometric Analysis, Citation, Citation Analysis, Citation Counts, Citation Trends, Citations, Data, Environmental Medicine, Epidemiology, Factors, Field, Future, Health Journals, Impact, Impact Factor, Impact Factor Scores, Impact Factors, Indices, Information, Journal, Journal Citation Reports, Journals, Literature, Medicine, Occupational, Occupational Health, Occupational Medicine, Ophthalmology, Public-Health, Publishing, Rates, Research, Rise, Science, Scientific Journal, Scientific Journals, Scientific Literature, Time, Trends</w:t>
      </w:r>
    </w:p>
    <w:p w:rsidR="001A3D2B" w:rsidRDefault="001A3D2B" w:rsidP="001A3D2B">
      <w:pPr>
        <w:pStyle w:val="a3"/>
        <w:rPr>
          <w:kern w:val="0"/>
        </w:rPr>
      </w:pPr>
      <w:r>
        <w:rPr>
          <w:rFonts w:hint="eastAsia"/>
          <w:kern w:val="0"/>
        </w:rPr>
        <w:lastRenderedPageBreak/>
        <w:t>Notes: JJournal</w:t>
      </w:r>
    </w:p>
    <w:p w:rsidR="001A3D2B" w:rsidRPr="001A3D2B" w:rsidRDefault="001A3D2B" w:rsidP="001A3D2B">
      <w:pPr>
        <w:pStyle w:val="a3"/>
        <w:rPr>
          <w:kern w:val="0"/>
        </w:rPr>
      </w:pPr>
      <w:r w:rsidRPr="001A3D2B">
        <w:rPr>
          <w:kern w:val="0"/>
        </w:rPr>
        <w:t xml:space="preserve">? Smith, D.R. (2009), </w:t>
      </w:r>
      <w:r w:rsidR="00F66BDB">
        <w:rPr>
          <w:kern w:val="0"/>
        </w:rPr>
        <w:t>Highly cited articles</w:t>
      </w:r>
      <w:r w:rsidRPr="001A3D2B">
        <w:rPr>
          <w:kern w:val="0"/>
        </w:rPr>
        <w:t xml:space="preserve"> in environmental</w:t>
      </w:r>
      <w:r w:rsidR="005853A9">
        <w:rPr>
          <w:kern w:val="0"/>
        </w:rPr>
        <w:t xml:space="preserve"> and </w:t>
      </w:r>
      <w:r w:rsidRPr="001A3D2B">
        <w:rPr>
          <w:kern w:val="0"/>
        </w:rPr>
        <w:t xml:space="preserve">occupational health, 1919-1960. </w:t>
      </w:r>
      <w:r w:rsidRPr="001A3D2B">
        <w:rPr>
          <w:i/>
          <w:iCs/>
          <w:kern w:val="0"/>
        </w:rPr>
        <w:t>Archives</w:t>
      </w:r>
      <w:r w:rsidR="00427468">
        <w:rPr>
          <w:i/>
          <w:iCs/>
          <w:kern w:val="0"/>
        </w:rPr>
        <w:t xml:space="preserve"> of </w:t>
      </w:r>
      <w:r w:rsidRPr="001A3D2B">
        <w:rPr>
          <w:i/>
          <w:iCs/>
          <w:kern w:val="0"/>
        </w:rPr>
        <w:t>Environmental &amp; Occupational Health</w:t>
      </w:r>
      <w:r w:rsidRPr="001A3D2B">
        <w:rPr>
          <w:kern w:val="0"/>
        </w:rPr>
        <w:t xml:space="preserve">, </w:t>
      </w:r>
      <w:r w:rsidRPr="001A3D2B">
        <w:rPr>
          <w:b/>
          <w:bCs/>
          <w:kern w:val="0"/>
        </w:rPr>
        <w:t>64</w:t>
      </w:r>
      <w:r w:rsidRPr="001A3D2B">
        <w:rPr>
          <w:kern w:val="0"/>
        </w:rPr>
        <w:t xml:space="preserve"> (S1), 32-42.</w:t>
      </w:r>
    </w:p>
    <w:p w:rsidR="001A3D2B" w:rsidRPr="001A3D2B" w:rsidRDefault="001A3D2B" w:rsidP="001A3D2B">
      <w:pPr>
        <w:pStyle w:val="a3"/>
        <w:rPr>
          <w:kern w:val="2"/>
        </w:rPr>
      </w:pPr>
      <w:r w:rsidRPr="001A3D2B">
        <w:t xml:space="preserve">Full Text: </w:t>
      </w:r>
      <w:hyperlink r:id="rId1103" w:history="1">
        <w:r w:rsidRPr="001A3D2B">
          <w:rPr>
            <w:rStyle w:val="a5"/>
          </w:rPr>
          <w:t>2009\Arc Env Occ Hea64, 32.pdf</w:t>
        </w:r>
      </w:hyperlink>
    </w:p>
    <w:p w:rsidR="001A3D2B" w:rsidRPr="001A3D2B" w:rsidRDefault="001A3D2B" w:rsidP="001A3D2B">
      <w:pPr>
        <w:pStyle w:val="a3"/>
        <w:rPr>
          <w:kern w:val="0"/>
        </w:rPr>
      </w:pPr>
      <w:r w:rsidRPr="001A3D2B">
        <w:rPr>
          <w:kern w:val="0"/>
        </w:rPr>
        <w:t>Abstract: Although numerous lists</w:t>
      </w:r>
      <w:r w:rsidR="00427468">
        <w:rPr>
          <w:kern w:val="0"/>
        </w:rPr>
        <w:t xml:space="preserve"> of </w:t>
      </w:r>
      <w:r w:rsidR="00B5188C">
        <w:rPr>
          <w:kern w:val="0"/>
        </w:rPr>
        <w:t>“</w:t>
      </w:r>
      <w:r w:rsidRPr="001A3D2B">
        <w:rPr>
          <w:kern w:val="0"/>
        </w:rPr>
        <w:t>citation classics</w:t>
      </w:r>
      <w:r w:rsidR="00B5188C">
        <w:rPr>
          <w:kern w:val="0"/>
        </w:rPr>
        <w:t>”</w:t>
      </w:r>
      <w:r w:rsidRPr="001A3D2B">
        <w:rPr>
          <w:kern w:val="0"/>
        </w:rPr>
        <w:t xml:space="preserve"> have been compiled across a variety</w:t>
      </w:r>
      <w:r w:rsidR="00427468">
        <w:rPr>
          <w:kern w:val="0"/>
        </w:rPr>
        <w:t xml:space="preserve"> of </w:t>
      </w:r>
      <w:r w:rsidRPr="001A3D2B">
        <w:rPr>
          <w:kern w:val="0"/>
        </w:rPr>
        <w:t>scientific fields, few have included articles from environmental</w:t>
      </w:r>
      <w:r w:rsidR="005853A9">
        <w:rPr>
          <w:kern w:val="0"/>
        </w:rPr>
        <w:t xml:space="preserve"> and </w:t>
      </w:r>
      <w:r w:rsidRPr="001A3D2B">
        <w:rPr>
          <w:kern w:val="0"/>
        </w:rPr>
        <w:t>occupational health (EOH). This investigation sought to identify</w:t>
      </w:r>
      <w:r w:rsidR="005853A9">
        <w:rPr>
          <w:kern w:val="0"/>
        </w:rPr>
        <w:t xml:space="preserve"> and </w:t>
      </w:r>
      <w:r w:rsidRPr="001A3D2B">
        <w:rPr>
          <w:kern w:val="0"/>
        </w:rPr>
        <w:t>analyze</w:t>
      </w:r>
      <w:r w:rsidR="003A1917">
        <w:rPr>
          <w:kern w:val="0"/>
        </w:rPr>
        <w:t xml:space="preserve"> the </w:t>
      </w:r>
      <w:r w:rsidRPr="001A3D2B">
        <w:rPr>
          <w:kern w:val="0"/>
        </w:rPr>
        <w:t xml:space="preserve">most </w:t>
      </w:r>
      <w:r w:rsidR="00F66BDB">
        <w:rPr>
          <w:kern w:val="0"/>
        </w:rPr>
        <w:t>Highly cited articles</w:t>
      </w:r>
      <w:r w:rsidRPr="001A3D2B">
        <w:rPr>
          <w:kern w:val="0"/>
        </w:rPr>
        <w:t xml:space="preserve"> ever published in</w:t>
      </w:r>
      <w:r w:rsidR="003A1917">
        <w:rPr>
          <w:kern w:val="0"/>
        </w:rPr>
        <w:t xml:space="preserve"> the </w:t>
      </w:r>
      <w:r w:rsidRPr="001A3D2B">
        <w:rPr>
          <w:kern w:val="0"/>
        </w:rPr>
        <w:t>Journal</w:t>
      </w:r>
      <w:r w:rsidR="00427468">
        <w:rPr>
          <w:kern w:val="0"/>
        </w:rPr>
        <w:t xml:space="preserve"> of </w:t>
      </w:r>
      <w:r w:rsidRPr="001A3D2B">
        <w:rPr>
          <w:kern w:val="0"/>
        </w:rPr>
        <w:t>Industrial Hygiene (1919-1935</w:t>
      </w:r>
      <w:r w:rsidR="00F42EAC">
        <w:rPr>
          <w:kern w:val="0"/>
        </w:rPr>
        <w:t>), The</w:t>
      </w:r>
      <w:r w:rsidR="003A1917">
        <w:rPr>
          <w:kern w:val="0"/>
        </w:rPr>
        <w:t xml:space="preserve"> </w:t>
      </w:r>
      <w:r w:rsidRPr="001A3D2B">
        <w:rPr>
          <w:kern w:val="0"/>
        </w:rPr>
        <w:t>Journal</w:t>
      </w:r>
      <w:r w:rsidR="00427468">
        <w:rPr>
          <w:kern w:val="0"/>
        </w:rPr>
        <w:t xml:space="preserve"> of </w:t>
      </w:r>
      <w:r w:rsidRPr="001A3D2B">
        <w:rPr>
          <w:kern w:val="0"/>
        </w:rPr>
        <w:t>Industrial Hygiene</w:t>
      </w:r>
      <w:r w:rsidR="005853A9">
        <w:rPr>
          <w:kern w:val="0"/>
        </w:rPr>
        <w:t xml:space="preserve"> and </w:t>
      </w:r>
      <w:r w:rsidRPr="001A3D2B">
        <w:rPr>
          <w:kern w:val="0"/>
        </w:rPr>
        <w:t>Toxicology (1936-1949)</w:t>
      </w:r>
      <w:r w:rsidR="003A1917">
        <w:rPr>
          <w:kern w:val="0"/>
        </w:rPr>
        <w:t xml:space="preserve"> the </w:t>
      </w:r>
      <w:r w:rsidRPr="001A3D2B">
        <w:rPr>
          <w:kern w:val="0"/>
        </w:rPr>
        <w:t>Archives</w:t>
      </w:r>
      <w:r w:rsidR="00427468">
        <w:rPr>
          <w:kern w:val="0"/>
        </w:rPr>
        <w:t xml:space="preserve"> of </w:t>
      </w:r>
      <w:r w:rsidRPr="001A3D2B">
        <w:rPr>
          <w:kern w:val="0"/>
        </w:rPr>
        <w:t>Industrial Hygiene</w:t>
      </w:r>
      <w:r w:rsidR="005853A9">
        <w:rPr>
          <w:kern w:val="0"/>
        </w:rPr>
        <w:t xml:space="preserve"> and </w:t>
      </w:r>
      <w:r w:rsidRPr="001A3D2B">
        <w:rPr>
          <w:kern w:val="0"/>
        </w:rPr>
        <w:t>Occupational Medicine (1950</w:t>
      </w:r>
      <w:r w:rsidR="00F42EAC">
        <w:rPr>
          <w:kern w:val="0"/>
        </w:rPr>
        <w:t>), The</w:t>
      </w:r>
      <w:r w:rsidR="003A1917">
        <w:rPr>
          <w:kern w:val="0"/>
        </w:rPr>
        <w:t xml:space="preserve"> </w:t>
      </w:r>
      <w:r w:rsidRPr="001A3D2B">
        <w:rPr>
          <w:kern w:val="0"/>
        </w:rPr>
        <w:t>American Medical Association (A.M.A.) Archives</w:t>
      </w:r>
      <w:r w:rsidR="00427468">
        <w:rPr>
          <w:kern w:val="0"/>
        </w:rPr>
        <w:t xml:space="preserve"> of </w:t>
      </w:r>
      <w:r w:rsidRPr="001A3D2B">
        <w:rPr>
          <w:kern w:val="0"/>
        </w:rPr>
        <w:t>Industrial Hygiene</w:t>
      </w:r>
      <w:r w:rsidR="005853A9">
        <w:rPr>
          <w:kern w:val="0"/>
        </w:rPr>
        <w:t xml:space="preserve"> and </w:t>
      </w:r>
      <w:r w:rsidRPr="001A3D2B">
        <w:rPr>
          <w:kern w:val="0"/>
        </w:rPr>
        <w:t>Occupational Medicine (1950-1954),</w:t>
      </w:r>
      <w:r w:rsidR="005853A9">
        <w:rPr>
          <w:kern w:val="0"/>
        </w:rPr>
        <w:t xml:space="preserve"> and </w:t>
      </w:r>
      <w:r w:rsidR="003A1917">
        <w:rPr>
          <w:kern w:val="0"/>
        </w:rPr>
        <w:t xml:space="preserve">the </w:t>
      </w:r>
      <w:r w:rsidRPr="001A3D2B">
        <w:rPr>
          <w:kern w:val="0"/>
        </w:rPr>
        <w:t>A.M.A. Archives</w:t>
      </w:r>
      <w:r w:rsidR="00427468">
        <w:rPr>
          <w:kern w:val="0"/>
        </w:rPr>
        <w:t xml:space="preserve"> of </w:t>
      </w:r>
      <w:r w:rsidRPr="001A3D2B">
        <w:rPr>
          <w:kern w:val="0"/>
        </w:rPr>
        <w:t>Industrial Health (1955-1960). Regularly cited topics included metal fume fever</w:t>
      </w:r>
      <w:r w:rsidR="005853A9">
        <w:rPr>
          <w:kern w:val="0"/>
        </w:rPr>
        <w:t xml:space="preserve"> and </w:t>
      </w:r>
      <w:r w:rsidRPr="001A3D2B">
        <w:rPr>
          <w:kern w:val="0"/>
        </w:rPr>
        <w:t>various studies</w:t>
      </w:r>
      <w:r w:rsidR="00427468">
        <w:rPr>
          <w:kern w:val="0"/>
        </w:rPr>
        <w:t xml:space="preserve"> of </w:t>
      </w:r>
      <w:r w:rsidRPr="001A3D2B">
        <w:rPr>
          <w:kern w:val="0"/>
        </w:rPr>
        <w:t>beryllium, whereas</w:t>
      </w:r>
      <w:r w:rsidR="003A1917">
        <w:rPr>
          <w:kern w:val="0"/>
        </w:rPr>
        <w:t xml:space="preserve"> the </w:t>
      </w:r>
      <w:r w:rsidRPr="001A3D2B">
        <w:rPr>
          <w:kern w:val="0"/>
        </w:rPr>
        <w:t>most highly cited article</w:t>
      </w:r>
      <w:r w:rsidR="00427468">
        <w:rPr>
          <w:kern w:val="0"/>
        </w:rPr>
        <w:t xml:space="preserve"> of </w:t>
      </w:r>
      <w:r w:rsidRPr="001A3D2B">
        <w:rPr>
          <w:kern w:val="0"/>
        </w:rPr>
        <w:t>all was a 1957 paper describing</w:t>
      </w:r>
      <w:r w:rsidR="003A1917">
        <w:rPr>
          <w:kern w:val="0"/>
        </w:rPr>
        <w:t xml:space="preserve"> the </w:t>
      </w:r>
      <w:r w:rsidRPr="001A3D2B">
        <w:rPr>
          <w:kern w:val="0"/>
        </w:rPr>
        <w:t>control</w:t>
      </w:r>
      <w:r w:rsidR="00427468">
        <w:rPr>
          <w:kern w:val="0"/>
        </w:rPr>
        <w:t xml:space="preserve"> of </w:t>
      </w:r>
      <w:r w:rsidRPr="001A3D2B">
        <w:rPr>
          <w:kern w:val="0"/>
        </w:rPr>
        <w:t>heat casualties at military training centers. Interestingly,</w:t>
      </w:r>
      <w:r w:rsidR="003A1917">
        <w:rPr>
          <w:kern w:val="0"/>
        </w:rPr>
        <w:t xml:space="preserve"> the </w:t>
      </w:r>
      <w:r w:rsidRPr="001A3D2B">
        <w:rPr>
          <w:kern w:val="0"/>
        </w:rPr>
        <w:t xml:space="preserve">most </w:t>
      </w:r>
      <w:r w:rsidR="00F66BDB">
        <w:rPr>
          <w:kern w:val="0"/>
        </w:rPr>
        <w:t>Highly cited articles</w:t>
      </w:r>
      <w:r w:rsidRPr="001A3D2B">
        <w:rPr>
          <w:kern w:val="0"/>
        </w:rPr>
        <w:t xml:space="preserve"> were not</w:t>
      </w:r>
      <w:r w:rsidR="003A1917">
        <w:rPr>
          <w:kern w:val="0"/>
        </w:rPr>
        <w:t xml:space="preserve"> the </w:t>
      </w:r>
      <w:r w:rsidRPr="001A3D2B">
        <w:rPr>
          <w:kern w:val="0"/>
        </w:rPr>
        <w:t>oldest,</w:t>
      </w:r>
      <w:r w:rsidR="005853A9">
        <w:rPr>
          <w:kern w:val="0"/>
        </w:rPr>
        <w:t xml:space="preserve"> and </w:t>
      </w:r>
      <w:r w:rsidRPr="001A3D2B">
        <w:rPr>
          <w:kern w:val="0"/>
        </w:rPr>
        <w:t>nor were they written as literature reviews. Overall, this Study suggests that although some citation patterns in EOH reflect those</w:t>
      </w:r>
      <w:r w:rsidR="00427468">
        <w:rPr>
          <w:kern w:val="0"/>
        </w:rPr>
        <w:t xml:space="preserve"> of </w:t>
      </w:r>
      <w:r w:rsidRPr="001A3D2B">
        <w:rPr>
          <w:kern w:val="0"/>
        </w:rPr>
        <w:t>other disciplines,</w:t>
      </w:r>
      <w:r w:rsidR="003A1917">
        <w:rPr>
          <w:kern w:val="0"/>
        </w:rPr>
        <w:t xml:space="preserve"> the </w:t>
      </w:r>
      <w:r w:rsidRPr="001A3D2B">
        <w:rPr>
          <w:kern w:val="0"/>
        </w:rPr>
        <w:t>trend is not uniform</w:t>
      </w:r>
      <w:r w:rsidR="005853A9">
        <w:rPr>
          <w:kern w:val="0"/>
        </w:rPr>
        <w:t xml:space="preserve"> and </w:t>
      </w:r>
      <w:r w:rsidRPr="001A3D2B">
        <w:rPr>
          <w:kern w:val="0"/>
        </w:rPr>
        <w:t>EOH itself appears to have some distinctive bibliometric characteristics.</w:t>
      </w:r>
    </w:p>
    <w:p w:rsidR="001A3D2B" w:rsidRPr="001A3D2B" w:rsidRDefault="001A3D2B" w:rsidP="001A3D2B">
      <w:pPr>
        <w:pStyle w:val="a3"/>
        <w:rPr>
          <w:kern w:val="0"/>
        </w:rPr>
      </w:pPr>
      <w:r w:rsidRPr="001A3D2B">
        <w:rPr>
          <w:kern w:val="0"/>
        </w:rPr>
        <w:t xml:space="preserve">Keywords: 100 Citation-Classics, Bibliometric, Citation, Citation Classics, Environmental Health, Fertility-and-Sterility, Finding Toxicity Data, General Medical Journals, Google-Scholar, </w:t>
      </w:r>
      <w:r w:rsidR="00F66BDB">
        <w:rPr>
          <w:kern w:val="0"/>
        </w:rPr>
        <w:t>Highly cited articles</w:t>
      </w:r>
      <w:r w:rsidRPr="001A3D2B">
        <w:rPr>
          <w:kern w:val="0"/>
        </w:rPr>
        <w:t xml:space="preserve">, Impact Factors, Landmark Articles, Menstrual Disorders, Metal, Occupational Health, Public-Health, Publishing, Training, </w:t>
      </w:r>
      <w:r w:rsidR="00D5664A">
        <w:rPr>
          <w:kern w:val="0"/>
        </w:rPr>
        <w:t>Web-of-Science</w:t>
      </w:r>
    </w:p>
    <w:p w:rsidR="001A3D2B" w:rsidRDefault="001A3D2B" w:rsidP="001A3D2B">
      <w:pPr>
        <w:pStyle w:val="a3"/>
        <w:rPr>
          <w:kern w:val="0"/>
        </w:rPr>
      </w:pPr>
      <w:r>
        <w:rPr>
          <w:rFonts w:hint="eastAsia"/>
          <w:kern w:val="0"/>
        </w:rPr>
        <w:t>Notes: JJournal</w:t>
      </w:r>
    </w:p>
    <w:p w:rsidR="001A3D2B" w:rsidRPr="001A3D2B" w:rsidRDefault="001A3D2B" w:rsidP="001A3D2B">
      <w:pPr>
        <w:pStyle w:val="a3"/>
        <w:rPr>
          <w:kern w:val="0"/>
        </w:rPr>
      </w:pPr>
      <w:r w:rsidRPr="001A3D2B">
        <w:rPr>
          <w:kern w:val="0"/>
        </w:rPr>
        <w:t>? Smith, D.R. (2009), A 30-year citation analysis</w:t>
      </w:r>
      <w:r w:rsidR="00427468">
        <w:rPr>
          <w:kern w:val="0"/>
        </w:rPr>
        <w:t xml:space="preserve"> of </w:t>
      </w:r>
      <w:r w:rsidRPr="001A3D2B">
        <w:rPr>
          <w:kern w:val="0"/>
        </w:rPr>
        <w:t>bibliometric trends at</w:t>
      </w:r>
      <w:r w:rsidR="003A1917">
        <w:rPr>
          <w:kern w:val="0"/>
        </w:rPr>
        <w:t xml:space="preserve"> the </w:t>
      </w:r>
      <w:r w:rsidRPr="001A3D2B">
        <w:rPr>
          <w:i/>
          <w:kern w:val="0"/>
        </w:rPr>
        <w:t>Archives</w:t>
      </w:r>
      <w:r w:rsidR="00427468">
        <w:rPr>
          <w:i/>
          <w:kern w:val="0"/>
        </w:rPr>
        <w:t xml:space="preserve"> of </w:t>
      </w:r>
      <w:r w:rsidRPr="001A3D2B">
        <w:rPr>
          <w:i/>
          <w:kern w:val="0"/>
        </w:rPr>
        <w:t>Environmental Health</w:t>
      </w:r>
      <w:r w:rsidRPr="001A3D2B">
        <w:rPr>
          <w:kern w:val="0"/>
        </w:rPr>
        <w:t xml:space="preserve">, 1975-2004. </w:t>
      </w:r>
      <w:r w:rsidRPr="001A3D2B">
        <w:rPr>
          <w:i/>
          <w:iCs/>
          <w:kern w:val="0"/>
        </w:rPr>
        <w:t>Archives</w:t>
      </w:r>
      <w:r w:rsidR="00427468">
        <w:rPr>
          <w:i/>
          <w:iCs/>
          <w:kern w:val="0"/>
        </w:rPr>
        <w:t xml:space="preserve"> of </w:t>
      </w:r>
      <w:r w:rsidRPr="001A3D2B">
        <w:rPr>
          <w:i/>
          <w:iCs/>
          <w:kern w:val="0"/>
        </w:rPr>
        <w:t>Environmental &amp; Occupational Health</w:t>
      </w:r>
      <w:r w:rsidRPr="001A3D2B">
        <w:rPr>
          <w:kern w:val="0"/>
        </w:rPr>
        <w:t xml:space="preserve">, </w:t>
      </w:r>
      <w:r w:rsidRPr="001A3D2B">
        <w:rPr>
          <w:b/>
          <w:bCs/>
          <w:kern w:val="0"/>
        </w:rPr>
        <w:t>64</w:t>
      </w:r>
      <w:r>
        <w:rPr>
          <w:rFonts w:hint="eastAsia"/>
          <w:kern w:val="0"/>
        </w:rPr>
        <w:t xml:space="preserve"> (S1),</w:t>
      </w:r>
      <w:r w:rsidRPr="001A3D2B">
        <w:rPr>
          <w:kern w:val="0"/>
        </w:rPr>
        <w:t xml:space="preserve"> 43-54.</w:t>
      </w:r>
    </w:p>
    <w:p w:rsidR="001A3D2B" w:rsidRPr="001A3D2B" w:rsidRDefault="001A3D2B" w:rsidP="001A3D2B">
      <w:pPr>
        <w:pStyle w:val="a3"/>
        <w:rPr>
          <w:kern w:val="2"/>
        </w:rPr>
      </w:pPr>
      <w:r w:rsidRPr="001A3D2B">
        <w:t xml:space="preserve">Full Text: </w:t>
      </w:r>
      <w:hyperlink r:id="rId1104" w:history="1">
        <w:r w:rsidRPr="001A3D2B">
          <w:rPr>
            <w:rStyle w:val="a5"/>
          </w:rPr>
          <w:t>2009\Arc Env Occ Hea64, 43.pdf</w:t>
        </w:r>
      </w:hyperlink>
    </w:p>
    <w:p w:rsidR="001A3D2B" w:rsidRPr="001A3D2B" w:rsidRDefault="001A3D2B" w:rsidP="001A3D2B">
      <w:pPr>
        <w:pStyle w:val="a3"/>
        <w:rPr>
          <w:kern w:val="0"/>
        </w:rPr>
      </w:pPr>
      <w:r w:rsidRPr="001A3D2B">
        <w:rPr>
          <w:kern w:val="0"/>
        </w:rPr>
        <w:t>Abstract: This article describes a 30-year citation analysis</w:t>
      </w:r>
      <w:r w:rsidR="00427468">
        <w:rPr>
          <w:kern w:val="0"/>
        </w:rPr>
        <w:t xml:space="preserve"> of </w:t>
      </w:r>
      <w:r w:rsidR="003A1917">
        <w:rPr>
          <w:kern w:val="0"/>
        </w:rPr>
        <w:t xml:space="preserve">the </w:t>
      </w:r>
      <w:r w:rsidRPr="001A3D2B">
        <w:rPr>
          <w:kern w:val="0"/>
        </w:rPr>
        <w:t>Archives</w:t>
      </w:r>
      <w:r w:rsidR="00427468">
        <w:rPr>
          <w:kern w:val="0"/>
        </w:rPr>
        <w:t xml:space="preserve"> of </w:t>
      </w:r>
      <w:r w:rsidRPr="001A3D2B">
        <w:rPr>
          <w:kern w:val="0"/>
        </w:rPr>
        <w:t>Environmental Health (AEH), from</w:t>
      </w:r>
      <w:r w:rsidR="003A1917">
        <w:rPr>
          <w:kern w:val="0"/>
        </w:rPr>
        <w:t xml:space="preserve"> the </w:t>
      </w:r>
      <w:r w:rsidRPr="001A3D2B">
        <w:rPr>
          <w:kern w:val="0"/>
        </w:rPr>
        <w:t>earliest available data in 1975, to 2004, when it became</w:t>
      </w:r>
      <w:r w:rsidR="003A1917">
        <w:rPr>
          <w:kern w:val="0"/>
        </w:rPr>
        <w:t xml:space="preserve"> the </w:t>
      </w:r>
      <w:r w:rsidRPr="001A3D2B">
        <w:rPr>
          <w:kern w:val="0"/>
        </w:rPr>
        <w:t>Archives</w:t>
      </w:r>
      <w:r w:rsidR="00427468">
        <w:rPr>
          <w:kern w:val="0"/>
        </w:rPr>
        <w:t xml:space="preserve"> of </w:t>
      </w:r>
      <w:r w:rsidRPr="001A3D2B">
        <w:rPr>
          <w:kern w:val="0"/>
        </w:rPr>
        <w:t>Environmental &amp; Occupational Health (AEOH). Longitudinal trends were examined regarding</w:t>
      </w:r>
      <w:r w:rsidR="003A1917">
        <w:rPr>
          <w:kern w:val="0"/>
        </w:rPr>
        <w:t xml:space="preserve"> the </w:t>
      </w:r>
      <w:r w:rsidRPr="001A3D2B">
        <w:rPr>
          <w:kern w:val="0"/>
        </w:rPr>
        <w:t>number</w:t>
      </w:r>
      <w:r w:rsidR="00427468">
        <w:rPr>
          <w:kern w:val="0"/>
        </w:rPr>
        <w:t xml:space="preserve"> of </w:t>
      </w:r>
      <w:r w:rsidRPr="001A3D2B">
        <w:rPr>
          <w:kern w:val="0"/>
        </w:rPr>
        <w:t>items published,</w:t>
      </w:r>
      <w:r w:rsidR="003A1917">
        <w:rPr>
          <w:kern w:val="0"/>
        </w:rPr>
        <w:t xml:space="preserve"> the </w:t>
      </w:r>
      <w:r w:rsidRPr="001A3D2B">
        <w:rPr>
          <w:kern w:val="0"/>
        </w:rPr>
        <w:t>number</w:t>
      </w:r>
      <w:r w:rsidR="00427468">
        <w:rPr>
          <w:kern w:val="0"/>
        </w:rPr>
        <w:t xml:space="preserve"> of </w:t>
      </w:r>
      <w:r w:rsidRPr="001A3D2B">
        <w:rPr>
          <w:kern w:val="0"/>
        </w:rPr>
        <w:t>citations received,</w:t>
      </w:r>
      <w:r w:rsidR="003A1917">
        <w:rPr>
          <w:kern w:val="0"/>
        </w:rPr>
        <w:t xml:space="preserve"> the </w:t>
      </w:r>
      <w:r w:rsidRPr="001A3D2B">
        <w:rPr>
          <w:kern w:val="0"/>
        </w:rPr>
        <w:t>immediacy index,</w:t>
      </w:r>
      <w:r w:rsidR="005853A9">
        <w:rPr>
          <w:kern w:val="0"/>
        </w:rPr>
        <w:t xml:space="preserve"> and </w:t>
      </w:r>
      <w:r w:rsidR="003A1917">
        <w:rPr>
          <w:kern w:val="0"/>
        </w:rPr>
        <w:t xml:space="preserve">the </w:t>
      </w:r>
      <w:r w:rsidRPr="001A3D2B">
        <w:rPr>
          <w:kern w:val="0"/>
        </w:rPr>
        <w:t>journal</w:t>
      </w:r>
      <w:r w:rsidR="00700038">
        <w:rPr>
          <w:kern w:val="0"/>
        </w:rPr>
        <w:t>’</w:t>
      </w:r>
      <w:r w:rsidR="00C13DDC">
        <w:rPr>
          <w:kern w:val="0"/>
        </w:rPr>
        <w:t>s</w:t>
      </w:r>
      <w:r w:rsidRPr="001A3D2B">
        <w:rPr>
          <w:kern w:val="0"/>
        </w:rPr>
        <w:t xml:space="preserve"> impact factor. A list</w:t>
      </w:r>
      <w:r w:rsidR="00427468">
        <w:rPr>
          <w:kern w:val="0"/>
        </w:rPr>
        <w:t xml:space="preserve"> of </w:t>
      </w:r>
      <w:r w:rsidR="003A1917">
        <w:rPr>
          <w:kern w:val="0"/>
        </w:rPr>
        <w:t xml:space="preserve">the </w:t>
      </w:r>
      <w:r w:rsidRPr="001A3D2B">
        <w:rPr>
          <w:kern w:val="0"/>
        </w:rPr>
        <w:t xml:space="preserve">5 most </w:t>
      </w:r>
      <w:r w:rsidR="00F66BDB">
        <w:rPr>
          <w:kern w:val="0"/>
        </w:rPr>
        <w:t>Highly cited articles</w:t>
      </w:r>
      <w:r w:rsidRPr="001A3D2B">
        <w:rPr>
          <w:kern w:val="0"/>
        </w:rPr>
        <w:t xml:space="preserve"> was also established, including citation frequency</w:t>
      </w:r>
      <w:r w:rsidR="005853A9">
        <w:rPr>
          <w:kern w:val="0"/>
        </w:rPr>
        <w:t xml:space="preserve"> and </w:t>
      </w:r>
      <w:r w:rsidRPr="001A3D2B">
        <w:rPr>
          <w:kern w:val="0"/>
        </w:rPr>
        <w:t>citation lag times. Overall, this study demonstrates that citation analysis can provide an interesting look at</w:t>
      </w:r>
      <w:r w:rsidR="003A1917">
        <w:rPr>
          <w:kern w:val="0"/>
        </w:rPr>
        <w:t xml:space="preserve"> the </w:t>
      </w:r>
      <w:r w:rsidRPr="001A3D2B">
        <w:rPr>
          <w:kern w:val="0"/>
        </w:rPr>
        <w:t>development</w:t>
      </w:r>
      <w:r w:rsidR="00427468">
        <w:rPr>
          <w:kern w:val="0"/>
        </w:rPr>
        <w:t xml:space="preserve"> of </w:t>
      </w:r>
      <w:r w:rsidRPr="001A3D2B">
        <w:rPr>
          <w:kern w:val="0"/>
        </w:rPr>
        <w:t>a journal over time</w:t>
      </w:r>
      <w:r w:rsidR="00A37C1D">
        <w:rPr>
          <w:kern w:val="0"/>
        </w:rPr>
        <w:t>. The</w:t>
      </w:r>
      <w:r w:rsidR="003A1917">
        <w:rPr>
          <w:kern w:val="0"/>
        </w:rPr>
        <w:t xml:space="preserve"> </w:t>
      </w:r>
      <w:r w:rsidRPr="001A3D2B">
        <w:rPr>
          <w:kern w:val="0"/>
        </w:rPr>
        <w:t>examination</w:t>
      </w:r>
      <w:r w:rsidR="00427468">
        <w:rPr>
          <w:kern w:val="0"/>
        </w:rPr>
        <w:t xml:space="preserve"> of </w:t>
      </w:r>
      <w:r w:rsidRPr="001A3D2B">
        <w:rPr>
          <w:kern w:val="0"/>
        </w:rPr>
        <w:t>what articles, themes,</w:t>
      </w:r>
      <w:r w:rsidR="005853A9">
        <w:rPr>
          <w:kern w:val="0"/>
        </w:rPr>
        <w:t xml:space="preserve"> and </w:t>
      </w:r>
      <w:r w:rsidRPr="001A3D2B">
        <w:rPr>
          <w:kern w:val="0"/>
        </w:rPr>
        <w:t>topics were being published, cited, or ignored also offers a unique insight into</w:t>
      </w:r>
      <w:r w:rsidR="003A1917">
        <w:rPr>
          <w:kern w:val="0"/>
        </w:rPr>
        <w:t xml:space="preserve"> the </w:t>
      </w:r>
      <w:r w:rsidRPr="001A3D2B">
        <w:rPr>
          <w:kern w:val="0"/>
        </w:rPr>
        <w:t>direction</w:t>
      </w:r>
      <w:r w:rsidR="00427468">
        <w:rPr>
          <w:kern w:val="0"/>
        </w:rPr>
        <w:t xml:space="preserve"> of </w:t>
      </w:r>
      <w:r w:rsidRPr="001A3D2B">
        <w:rPr>
          <w:kern w:val="0"/>
        </w:rPr>
        <w:t xml:space="preserve">not only 1 particular journal, </w:t>
      </w:r>
      <w:r w:rsidRPr="001A3D2B">
        <w:rPr>
          <w:kern w:val="0"/>
        </w:rPr>
        <w:lastRenderedPageBreak/>
        <w:t>but also</w:t>
      </w:r>
      <w:r w:rsidR="003A1917">
        <w:rPr>
          <w:kern w:val="0"/>
        </w:rPr>
        <w:t xml:space="preserve"> the </w:t>
      </w:r>
      <w:r w:rsidRPr="001A3D2B">
        <w:rPr>
          <w:kern w:val="0"/>
        </w:rPr>
        <w:t>discipline within which it exists.</w:t>
      </w:r>
    </w:p>
    <w:p w:rsidR="001A3D2B" w:rsidRPr="001A3D2B" w:rsidRDefault="001A3D2B" w:rsidP="001A3D2B">
      <w:pPr>
        <w:pStyle w:val="a3"/>
        <w:rPr>
          <w:kern w:val="0"/>
        </w:rPr>
      </w:pPr>
      <w:r w:rsidRPr="001A3D2B">
        <w:rPr>
          <w:kern w:val="0"/>
        </w:rPr>
        <w:t xml:space="preserve">Keywords: Air-Pollution, Bibliometric, Bibliometrics, Citation, Citation Analysis, Citation Frequency, Citation Trends, Citations, Dose Equivalent Rate, </w:t>
      </w:r>
      <w:r w:rsidR="00F66BDB">
        <w:rPr>
          <w:kern w:val="0"/>
        </w:rPr>
        <w:t>Highly cited articles</w:t>
      </w:r>
      <w:r w:rsidRPr="001A3D2B">
        <w:rPr>
          <w:kern w:val="0"/>
        </w:rPr>
        <w:t>, Human-Fetal Development, Impact, Impact Factor, Journal Impact-Factor, Natural Background-Radiation, Occupational Health, Occupational-Medicine, Past 10 Years, Psychology Journals, Respiratory System Mortality, Scientific Journal, Tropical-Medicine</w:t>
      </w:r>
    </w:p>
    <w:p w:rsidR="008E0CF6" w:rsidRDefault="008E0CF6" w:rsidP="008E0CF6">
      <w:pPr>
        <w:pStyle w:val="a3"/>
        <w:rPr>
          <w:kern w:val="0"/>
        </w:rPr>
      </w:pPr>
      <w:r>
        <w:rPr>
          <w:rFonts w:hint="eastAsia"/>
          <w:kern w:val="0"/>
        </w:rPr>
        <w:t xml:space="preserve">? </w:t>
      </w:r>
      <w:r>
        <w:rPr>
          <w:kern w:val="0"/>
        </w:rPr>
        <w:t xml:space="preserve">Smith, D.R. (2010), </w:t>
      </w:r>
      <w:r w:rsidR="00F66BDB">
        <w:rPr>
          <w:kern w:val="0"/>
        </w:rPr>
        <w:t>Highly cited articles</w:t>
      </w:r>
      <w:r w:rsidRPr="00AD061F">
        <w:rPr>
          <w:i/>
          <w:kern w:val="0"/>
        </w:rPr>
        <w:t xml:space="preserve"> in Environmental</w:t>
      </w:r>
      <w:r w:rsidR="005853A9">
        <w:rPr>
          <w:i/>
          <w:kern w:val="0"/>
        </w:rPr>
        <w:t xml:space="preserve"> and </w:t>
      </w:r>
      <w:r w:rsidRPr="00AD061F">
        <w:rPr>
          <w:i/>
          <w:kern w:val="0"/>
        </w:rPr>
        <w:t>Occupational Health</w:t>
      </w:r>
      <w:r>
        <w:rPr>
          <w:kern w:val="0"/>
        </w:rPr>
        <w:t xml:space="preserve">, 1919-1960 (vol 64, pg 32, 2009). </w:t>
      </w:r>
      <w:r>
        <w:rPr>
          <w:i/>
          <w:iCs/>
          <w:kern w:val="0"/>
        </w:rPr>
        <w:t>Archives</w:t>
      </w:r>
      <w:r w:rsidR="00427468">
        <w:rPr>
          <w:i/>
          <w:iCs/>
          <w:kern w:val="0"/>
        </w:rPr>
        <w:t xml:space="preserve"> of </w:t>
      </w:r>
      <w:r>
        <w:rPr>
          <w:i/>
          <w:iCs/>
          <w:kern w:val="0"/>
        </w:rPr>
        <w:t>Environmental &amp; Occupational Health</w:t>
      </w:r>
      <w:r>
        <w:rPr>
          <w:kern w:val="0"/>
        </w:rPr>
        <w:t xml:space="preserve">, </w:t>
      </w:r>
      <w:r>
        <w:rPr>
          <w:b/>
          <w:bCs/>
          <w:kern w:val="0"/>
        </w:rPr>
        <w:t>65</w:t>
      </w:r>
      <w:r>
        <w:rPr>
          <w:kern w:val="0"/>
        </w:rPr>
        <w:t xml:space="preserve"> (2), 112-115</w:t>
      </w:r>
      <w:r>
        <w:rPr>
          <w:rFonts w:hint="eastAsia"/>
          <w:kern w:val="0"/>
        </w:rPr>
        <w:t>.</w:t>
      </w:r>
    </w:p>
    <w:p w:rsidR="008E0CF6" w:rsidRPr="001A3D2B" w:rsidRDefault="008E0CF6" w:rsidP="008E0CF6">
      <w:pPr>
        <w:pStyle w:val="a3"/>
        <w:rPr>
          <w:kern w:val="2"/>
        </w:rPr>
      </w:pPr>
      <w:r w:rsidRPr="001A3D2B">
        <w:t xml:space="preserve">Full Text: </w:t>
      </w:r>
      <w:hyperlink r:id="rId1105" w:history="1">
        <w:r w:rsidRPr="008E0CF6">
          <w:rPr>
            <w:rStyle w:val="a5"/>
          </w:rPr>
          <w:t>2010\Arc Env Occ Hea65, 112.pdf</w:t>
        </w:r>
      </w:hyperlink>
    </w:p>
    <w:p w:rsidR="008E0CF6" w:rsidRDefault="008E0CF6" w:rsidP="008E0CF6">
      <w:pPr>
        <w:pStyle w:val="a3"/>
        <w:rPr>
          <w:kern w:val="0"/>
        </w:rPr>
      </w:pPr>
      <w:r>
        <w:rPr>
          <w:kern w:val="0"/>
        </w:rPr>
        <w:t xml:space="preserve">Keywords: Citation Analysis, General Medical Journals, Google-Scholar, Historical Development, Impact Factor, Scopus, Trends, </w:t>
      </w:r>
      <w:r w:rsidR="00D5664A">
        <w:rPr>
          <w:kern w:val="0"/>
        </w:rPr>
        <w:t>Web-of-Science</w:t>
      </w:r>
    </w:p>
    <w:p w:rsidR="003A5ECB" w:rsidRDefault="003A5ECB" w:rsidP="003A5ECB">
      <w:pPr>
        <w:pStyle w:val="a3"/>
        <w:rPr>
          <w:kern w:val="0"/>
        </w:rPr>
      </w:pPr>
      <w:r>
        <w:rPr>
          <w:rFonts w:hint="eastAsia"/>
          <w:kern w:val="0"/>
        </w:rPr>
        <w:t xml:space="preserve">? </w:t>
      </w:r>
      <w:r>
        <w:rPr>
          <w:kern w:val="0"/>
        </w:rPr>
        <w:t>Smith, D.R. (2010), Identifying a set</w:t>
      </w:r>
      <w:r w:rsidR="00427468">
        <w:rPr>
          <w:kern w:val="0"/>
        </w:rPr>
        <w:t xml:space="preserve"> of </w:t>
      </w:r>
      <w:r w:rsidR="00700038">
        <w:rPr>
          <w:kern w:val="0"/>
        </w:rPr>
        <w:t>‘</w:t>
      </w:r>
      <w:r>
        <w:rPr>
          <w:kern w:val="0"/>
        </w:rPr>
        <w:t>core</w:t>
      </w:r>
      <w:r w:rsidR="00700038">
        <w:rPr>
          <w:kern w:val="0"/>
        </w:rPr>
        <w:t>’</w:t>
      </w:r>
      <w:r>
        <w:rPr>
          <w:kern w:val="0"/>
        </w:rPr>
        <w:t xml:space="preserve"> journals in occupational health, Part 2: Lists derived by bibliometric techniques. </w:t>
      </w:r>
      <w:r>
        <w:rPr>
          <w:i/>
          <w:iCs/>
          <w:kern w:val="0"/>
        </w:rPr>
        <w:t>Archives</w:t>
      </w:r>
      <w:r w:rsidR="00427468">
        <w:rPr>
          <w:i/>
          <w:iCs/>
          <w:kern w:val="0"/>
        </w:rPr>
        <w:t xml:space="preserve"> of </w:t>
      </w:r>
      <w:r>
        <w:rPr>
          <w:i/>
          <w:iCs/>
          <w:kern w:val="0"/>
        </w:rPr>
        <w:t>Environmental &amp; Occupational Health</w:t>
      </w:r>
      <w:r>
        <w:rPr>
          <w:kern w:val="0"/>
        </w:rPr>
        <w:t xml:space="preserve">, </w:t>
      </w:r>
      <w:r>
        <w:rPr>
          <w:b/>
          <w:bCs/>
          <w:kern w:val="0"/>
        </w:rPr>
        <w:t>65</w:t>
      </w:r>
      <w:r>
        <w:rPr>
          <w:kern w:val="0"/>
        </w:rPr>
        <w:t xml:space="preserve"> (3), 173-175</w:t>
      </w:r>
      <w:r>
        <w:rPr>
          <w:rFonts w:hint="eastAsia"/>
          <w:kern w:val="0"/>
        </w:rPr>
        <w:t>.</w:t>
      </w:r>
    </w:p>
    <w:p w:rsidR="003A5ECB" w:rsidRPr="001A3D2B" w:rsidRDefault="003A5ECB" w:rsidP="003A5ECB">
      <w:pPr>
        <w:pStyle w:val="a3"/>
        <w:rPr>
          <w:kern w:val="2"/>
        </w:rPr>
      </w:pPr>
      <w:r w:rsidRPr="001A3D2B">
        <w:t xml:space="preserve">Full Text: </w:t>
      </w:r>
      <w:hyperlink r:id="rId1106" w:history="1">
        <w:r w:rsidRPr="003A5ECB">
          <w:rPr>
            <w:rStyle w:val="a5"/>
          </w:rPr>
          <w:t>2010\Arc Env Occ Hea65, 173.pdf</w:t>
        </w:r>
      </w:hyperlink>
    </w:p>
    <w:p w:rsidR="003A5ECB" w:rsidRDefault="003A5ECB" w:rsidP="003A5ECB">
      <w:pPr>
        <w:pStyle w:val="a3"/>
        <w:rPr>
          <w:kern w:val="0"/>
        </w:rPr>
      </w:pPr>
      <w:r>
        <w:rPr>
          <w:kern w:val="0"/>
        </w:rPr>
        <w:t xml:space="preserve">Keywords: Articles, Citation Analysis, Ergonomics, Google-Scholar, Historical Development, Impact Factor Trends, Medical Journals, Scientific Journals, Scopus, </w:t>
      </w:r>
      <w:r w:rsidR="00D5664A">
        <w:rPr>
          <w:kern w:val="0"/>
        </w:rPr>
        <w:t>Web-of-Science</w:t>
      </w:r>
    </w:p>
    <w:p w:rsidR="00480E14" w:rsidRDefault="00480E14" w:rsidP="00480E14">
      <w:pPr>
        <w:pStyle w:val="a3"/>
        <w:rPr>
          <w:kern w:val="0"/>
        </w:rPr>
      </w:pPr>
      <w:r>
        <w:rPr>
          <w:rFonts w:hint="eastAsia"/>
          <w:kern w:val="0"/>
        </w:rPr>
        <w:t xml:space="preserve">? </w:t>
      </w:r>
      <w:r>
        <w:rPr>
          <w:kern w:val="0"/>
        </w:rPr>
        <w:t>Franco, G. (2013), Research evaluation</w:t>
      </w:r>
      <w:r w:rsidR="005853A9">
        <w:rPr>
          <w:kern w:val="0"/>
        </w:rPr>
        <w:t xml:space="preserve"> and </w:t>
      </w:r>
      <w:r>
        <w:rPr>
          <w:kern w:val="0"/>
        </w:rPr>
        <w:t xml:space="preserve">competition for academic positions in occupational medicine. </w:t>
      </w:r>
      <w:r>
        <w:rPr>
          <w:i/>
          <w:iCs/>
          <w:kern w:val="0"/>
        </w:rPr>
        <w:t>Archives</w:t>
      </w:r>
      <w:r w:rsidR="00427468">
        <w:rPr>
          <w:i/>
          <w:iCs/>
          <w:kern w:val="0"/>
        </w:rPr>
        <w:t xml:space="preserve"> of </w:t>
      </w:r>
      <w:r>
        <w:rPr>
          <w:i/>
          <w:iCs/>
          <w:kern w:val="0"/>
        </w:rPr>
        <w:t>Environmental &amp; Occupational Health</w:t>
      </w:r>
      <w:r>
        <w:rPr>
          <w:kern w:val="0"/>
        </w:rPr>
        <w:t xml:space="preserve">, </w:t>
      </w:r>
      <w:r>
        <w:rPr>
          <w:b/>
          <w:bCs/>
          <w:kern w:val="0"/>
        </w:rPr>
        <w:t>68</w:t>
      </w:r>
      <w:r>
        <w:rPr>
          <w:kern w:val="0"/>
        </w:rPr>
        <w:t xml:space="preserve"> (2), 123-127.</w:t>
      </w:r>
    </w:p>
    <w:p w:rsidR="00480E14" w:rsidRPr="001A3D2B" w:rsidRDefault="00480E14" w:rsidP="00480E14">
      <w:pPr>
        <w:pStyle w:val="a3"/>
        <w:rPr>
          <w:kern w:val="2"/>
        </w:rPr>
      </w:pPr>
      <w:r w:rsidRPr="001A3D2B">
        <w:t xml:space="preserve">Full Text: </w:t>
      </w:r>
      <w:hyperlink r:id="rId1107" w:history="1">
        <w:r w:rsidRPr="00764A4B">
          <w:rPr>
            <w:rStyle w:val="a5"/>
          </w:rPr>
          <w:t>2013\Arc Env Occ Hea68, 123.pdf</w:t>
        </w:r>
      </w:hyperlink>
    </w:p>
    <w:p w:rsidR="00480E14" w:rsidRDefault="00480E14" w:rsidP="00480E14">
      <w:pPr>
        <w:pStyle w:val="a3"/>
        <w:rPr>
          <w:kern w:val="0"/>
        </w:rPr>
      </w:pPr>
      <w:r>
        <w:rPr>
          <w:kern w:val="0"/>
        </w:rPr>
        <w:t>Abstract: Citation analysis is widely used to evaluate the performance</w:t>
      </w:r>
      <w:r w:rsidR="00427468">
        <w:rPr>
          <w:kern w:val="0"/>
        </w:rPr>
        <w:t xml:space="preserve"> of </w:t>
      </w:r>
      <w:r>
        <w:rPr>
          <w:kern w:val="0"/>
        </w:rPr>
        <w:t>individual researchers, journals,</w:t>
      </w:r>
      <w:r w:rsidR="005853A9">
        <w:rPr>
          <w:kern w:val="0"/>
        </w:rPr>
        <w:t xml:space="preserve"> and </w:t>
      </w:r>
      <w:r>
        <w:rPr>
          <w:kern w:val="0"/>
        </w:rPr>
        <w:t>universities. Its outcome plays a crucial role in the decision-making process</w:t>
      </w:r>
      <w:r w:rsidR="00427468">
        <w:rPr>
          <w:kern w:val="0"/>
        </w:rPr>
        <w:t xml:space="preserve"> of </w:t>
      </w:r>
      <w:r>
        <w:rPr>
          <w:kern w:val="0"/>
        </w:rPr>
        <w:t>ranking applicants for an academic position. A number</w:t>
      </w:r>
      <w:r w:rsidR="00427468">
        <w:rPr>
          <w:kern w:val="0"/>
        </w:rPr>
        <w:t xml:space="preserve"> of </w:t>
      </w:r>
      <w:r>
        <w:rPr>
          <w:kern w:val="0"/>
        </w:rPr>
        <w:t xml:space="preserve">indicators, including the </w:t>
      </w:r>
      <w:r w:rsidR="00D5664A">
        <w:rPr>
          <w:kern w:val="0"/>
        </w:rPr>
        <w:t>h-Index</w:t>
      </w:r>
      <w:r>
        <w:rPr>
          <w:kern w:val="0"/>
        </w:rPr>
        <w:t xml:space="preserve"> reflecting both scientific productivity</w:t>
      </w:r>
      <w:r w:rsidR="005853A9">
        <w:rPr>
          <w:kern w:val="0"/>
        </w:rPr>
        <w:t xml:space="preserve"> and </w:t>
      </w:r>
      <w:r>
        <w:rPr>
          <w:kern w:val="0"/>
        </w:rPr>
        <w:t>its relevance in medical fields, are available through the Web</w:t>
      </w:r>
      <w:r w:rsidR="00427468">
        <w:rPr>
          <w:kern w:val="0"/>
        </w:rPr>
        <w:t xml:space="preserve"> of </w:t>
      </w:r>
      <w:r>
        <w:rPr>
          <w:kern w:val="0"/>
        </w:rPr>
        <w:t>Knowledge(SM)</w:t>
      </w:r>
      <w:r w:rsidR="005853A9">
        <w:rPr>
          <w:kern w:val="0"/>
        </w:rPr>
        <w:t xml:space="preserve"> and </w:t>
      </w:r>
      <w:r>
        <w:rPr>
          <w:kern w:val="0"/>
        </w:rPr>
        <w:t>Scopus (R). In the field</w:t>
      </w:r>
      <w:r w:rsidR="00427468">
        <w:rPr>
          <w:kern w:val="0"/>
        </w:rPr>
        <w:t xml:space="preserve"> of </w:t>
      </w:r>
      <w:r>
        <w:rPr>
          <w:kern w:val="0"/>
        </w:rPr>
        <w:t>occupational medicine, the adoption</w:t>
      </w:r>
      <w:r w:rsidR="00427468">
        <w:rPr>
          <w:kern w:val="0"/>
        </w:rPr>
        <w:t xml:space="preserve"> of </w:t>
      </w:r>
      <w:r>
        <w:rPr>
          <w:kern w:val="0"/>
        </w:rPr>
        <w:t xml:space="preserve">the </w:t>
      </w:r>
      <w:r w:rsidR="00D5664A">
        <w:rPr>
          <w:kern w:val="0"/>
        </w:rPr>
        <w:t>h-Index</w:t>
      </w:r>
      <w:r>
        <w:rPr>
          <w:kern w:val="0"/>
        </w:rPr>
        <w:t xml:space="preserve"> in assessing the value</w:t>
      </w:r>
      <w:r w:rsidR="00427468">
        <w:rPr>
          <w:kern w:val="0"/>
        </w:rPr>
        <w:t xml:space="preserve"> of </w:t>
      </w:r>
      <w:r>
        <w:rPr>
          <w:kern w:val="0"/>
        </w:rPr>
        <w:t>core journals shows some advantages compared with traditional bibliometrics</w:t>
      </w:r>
      <w:r w:rsidR="005853A9">
        <w:rPr>
          <w:kern w:val="0"/>
        </w:rPr>
        <w:t xml:space="preserve"> and </w:t>
      </w:r>
      <w:r>
        <w:rPr>
          <w:kern w:val="0"/>
        </w:rPr>
        <w:t>may encourage researchers to submit their papers. Although evaluation</w:t>
      </w:r>
      <w:r w:rsidR="00427468">
        <w:rPr>
          <w:kern w:val="0"/>
        </w:rPr>
        <w:t xml:space="preserve"> of </w:t>
      </w:r>
      <w:r>
        <w:rPr>
          <w:kern w:val="0"/>
        </w:rPr>
        <w:t>the overall individual performance for academic positions should assess several aspects, scientific performance is usually based on citation analysis indicators. Younger researchers should be aware</w:t>
      </w:r>
      <w:r w:rsidR="00427468">
        <w:rPr>
          <w:kern w:val="0"/>
        </w:rPr>
        <w:t xml:space="preserve"> of </w:t>
      </w:r>
      <w:r>
        <w:rPr>
          <w:kern w:val="0"/>
        </w:rPr>
        <w:t>the new approach based on transparent threshold rules for career promotion</w:t>
      </w:r>
      <w:r w:rsidR="005853A9">
        <w:rPr>
          <w:kern w:val="0"/>
        </w:rPr>
        <w:t xml:space="preserve"> and </w:t>
      </w:r>
      <w:r>
        <w:rPr>
          <w:kern w:val="0"/>
        </w:rPr>
        <w:t>need to understand the new evaluation systems based on metrics.</w:t>
      </w:r>
    </w:p>
    <w:p w:rsidR="00480E14" w:rsidRDefault="00480E14" w:rsidP="00480E14">
      <w:pPr>
        <w:pStyle w:val="a3"/>
        <w:rPr>
          <w:kern w:val="0"/>
        </w:rPr>
      </w:pPr>
      <w:r>
        <w:rPr>
          <w:kern w:val="0"/>
        </w:rPr>
        <w:t xml:space="preserve">Keywords: Academic, Adoption, Analysis, Approach, Assessing, Bibliometrics, Citation, Citation Analysis, Citation Analysis, Competition, Core Journals, Decision </w:t>
      </w:r>
      <w:r>
        <w:rPr>
          <w:kern w:val="0"/>
        </w:rPr>
        <w:lastRenderedPageBreak/>
        <w:t xml:space="preserve">Making, Decision-Making, Decision-Making Process, Evaluation, Field, </w:t>
      </w:r>
      <w:r w:rsidR="00D5664A">
        <w:rPr>
          <w:rFonts w:hint="eastAsia"/>
          <w:kern w:val="0"/>
        </w:rPr>
        <w:t>h Index</w:t>
      </w:r>
      <w:r>
        <w:rPr>
          <w:kern w:val="0"/>
        </w:rPr>
        <w:t xml:space="preserve">, </w:t>
      </w:r>
      <w:r w:rsidR="00D5664A">
        <w:rPr>
          <w:rFonts w:hint="eastAsia"/>
          <w:kern w:val="0"/>
        </w:rPr>
        <w:t>h-Index</w:t>
      </w:r>
      <w:r>
        <w:rPr>
          <w:kern w:val="0"/>
        </w:rPr>
        <w:t>, Health, Impact Factor, Indicators, Journal Impact Factor, Journals, Mar, Medical, Medicine, Metrics, Occupational, Occupational Health, Occupational Medicine, Outcome, Papers, Performance, Productivity, Promotion, Publishing, R, Ranking, Relevance, Research, Role, Scientific Performance, Scientific Productivity, Scientific-Research, Scopus, Set, Systems, Threshold, Universities, Value</w:t>
      </w:r>
    </w:p>
    <w:p w:rsidR="007A52CA" w:rsidRDefault="007A52CA" w:rsidP="007A52CA">
      <w:pPr>
        <w:pStyle w:val="a3"/>
        <w:rPr>
          <w:kern w:val="0"/>
        </w:rPr>
      </w:pPr>
      <w:r>
        <w:rPr>
          <w:rFonts w:hint="eastAsia"/>
          <w:kern w:val="0"/>
        </w:rPr>
        <w:t xml:space="preserve">? </w:t>
      </w:r>
      <w:r>
        <w:rPr>
          <w:kern w:val="0"/>
        </w:rPr>
        <w:t xml:space="preserve">Smith, D.R. (2015), Assessing productivity among university academics and scientific researchers. </w:t>
      </w:r>
      <w:r>
        <w:rPr>
          <w:i/>
          <w:iCs/>
          <w:kern w:val="0"/>
        </w:rPr>
        <w:t>Archives of Environmental &amp; Occupational Health</w:t>
      </w:r>
      <w:r>
        <w:rPr>
          <w:kern w:val="0"/>
        </w:rPr>
        <w:t xml:space="preserve">, </w:t>
      </w:r>
      <w:r>
        <w:rPr>
          <w:b/>
          <w:bCs/>
          <w:kern w:val="0"/>
        </w:rPr>
        <w:t>70</w:t>
      </w:r>
      <w:r>
        <w:rPr>
          <w:kern w:val="0"/>
        </w:rPr>
        <w:t xml:space="preserve"> (1), 1-3</w:t>
      </w:r>
    </w:p>
    <w:p w:rsidR="007A52CA" w:rsidRPr="001A3D2B" w:rsidRDefault="007A52CA" w:rsidP="007A52CA">
      <w:pPr>
        <w:pStyle w:val="a3"/>
        <w:rPr>
          <w:kern w:val="2"/>
        </w:rPr>
      </w:pPr>
      <w:r w:rsidRPr="001A3D2B">
        <w:t xml:space="preserve">Full Text: </w:t>
      </w:r>
      <w:hyperlink r:id="rId1108" w:history="1">
        <w:r w:rsidRPr="00951F33">
          <w:rPr>
            <w:rStyle w:val="a5"/>
          </w:rPr>
          <w:t>2015\Arc Env Occ Hea70, 1.pdf</w:t>
        </w:r>
      </w:hyperlink>
    </w:p>
    <w:p w:rsidR="007A52CA" w:rsidRDefault="007A52CA" w:rsidP="007A52CA">
      <w:pPr>
        <w:pStyle w:val="a3"/>
        <w:rPr>
          <w:kern w:val="0"/>
        </w:rPr>
      </w:pPr>
      <w:r>
        <w:rPr>
          <w:kern w:val="0"/>
        </w:rPr>
        <w:t>Keywords: Citation Analysis, Core Journals, Health, Journal Impact, Occupational-Medicine, Performance, Productivity, Researchers, Science, Scientometrics, University</w:t>
      </w:r>
    </w:p>
    <w:p w:rsidR="006127E4" w:rsidRPr="001A3D2B" w:rsidRDefault="006127E4" w:rsidP="006127E4">
      <w:pPr>
        <w:pStyle w:val="1"/>
      </w:pPr>
      <w:r w:rsidRPr="001A3D2B">
        <w:br w:type="page"/>
      </w:r>
      <w:bookmarkStart w:id="570" w:name="_Toc420814571"/>
      <w:r w:rsidRPr="001A3D2B">
        <w:lastRenderedPageBreak/>
        <w:t xml:space="preserve">Title: </w:t>
      </w:r>
      <w:r w:rsidRPr="00017DB1">
        <w:t>Archives</w:t>
      </w:r>
      <w:r w:rsidR="00427468">
        <w:t xml:space="preserve"> of </w:t>
      </w:r>
      <w:r w:rsidRPr="00017DB1">
        <w:t>Environmental Science</w:t>
      </w:r>
      <w:bookmarkEnd w:id="570"/>
    </w:p>
    <w:p w:rsidR="006127E4" w:rsidRPr="001A3D2B" w:rsidRDefault="006127E4" w:rsidP="006127E4">
      <w:pPr>
        <w:pStyle w:val="12"/>
      </w:pPr>
      <w:r w:rsidRPr="001A3D2B">
        <w:t xml:space="preserve">Full Journal Title: </w:t>
      </w:r>
      <w:r w:rsidRPr="00017DB1">
        <w:t>Archives</w:t>
      </w:r>
      <w:r w:rsidR="00427468">
        <w:t xml:space="preserve"> of </w:t>
      </w:r>
      <w:r w:rsidRPr="00017DB1">
        <w:t>Environmental Science</w:t>
      </w:r>
    </w:p>
    <w:p w:rsidR="006127E4" w:rsidRPr="001A3D2B" w:rsidRDefault="006127E4" w:rsidP="006127E4">
      <w:pPr>
        <w:pStyle w:val="12"/>
      </w:pPr>
      <w:r w:rsidRPr="001A3D2B">
        <w:t xml:space="preserve">ISO Abbreviated Title: </w:t>
      </w:r>
    </w:p>
    <w:p w:rsidR="006127E4" w:rsidRPr="001A3D2B" w:rsidRDefault="006127E4" w:rsidP="006127E4">
      <w:pPr>
        <w:pStyle w:val="12"/>
      </w:pPr>
      <w:r w:rsidRPr="001A3D2B">
        <w:t xml:space="preserve">JCR Abbreviated Title: </w:t>
      </w:r>
    </w:p>
    <w:p w:rsidR="006127E4" w:rsidRPr="001A3D2B" w:rsidRDefault="006127E4" w:rsidP="006127E4">
      <w:pPr>
        <w:pStyle w:val="12"/>
      </w:pPr>
      <w:r w:rsidRPr="001A3D2B">
        <w:t xml:space="preserve">ISSN: </w:t>
      </w:r>
    </w:p>
    <w:p w:rsidR="006127E4" w:rsidRPr="001A3D2B" w:rsidRDefault="006127E4" w:rsidP="006127E4">
      <w:pPr>
        <w:pStyle w:val="12"/>
      </w:pPr>
      <w:r w:rsidRPr="001A3D2B">
        <w:t xml:space="preserve">Issues/Year: </w:t>
      </w:r>
    </w:p>
    <w:p w:rsidR="006127E4" w:rsidRPr="001A3D2B" w:rsidRDefault="006127E4" w:rsidP="006127E4">
      <w:pPr>
        <w:pStyle w:val="12"/>
      </w:pPr>
      <w:r w:rsidRPr="001A3D2B">
        <w:t xml:space="preserve">Journal Country/Territory: </w:t>
      </w:r>
    </w:p>
    <w:p w:rsidR="006127E4" w:rsidRPr="001A3D2B" w:rsidRDefault="006127E4" w:rsidP="006127E4">
      <w:pPr>
        <w:pStyle w:val="12"/>
      </w:pPr>
      <w:r w:rsidRPr="001A3D2B">
        <w:t xml:space="preserve">Language: </w:t>
      </w:r>
    </w:p>
    <w:p w:rsidR="006127E4" w:rsidRPr="001A3D2B" w:rsidRDefault="006127E4" w:rsidP="006127E4">
      <w:pPr>
        <w:pStyle w:val="12"/>
      </w:pPr>
      <w:r w:rsidRPr="001A3D2B">
        <w:t xml:space="preserve">Publisher: </w:t>
      </w:r>
    </w:p>
    <w:p w:rsidR="006127E4" w:rsidRPr="001A3D2B" w:rsidRDefault="006127E4" w:rsidP="006127E4">
      <w:pPr>
        <w:pStyle w:val="12"/>
      </w:pPr>
      <w:r w:rsidRPr="001A3D2B">
        <w:t xml:space="preserve">Publisher Address: </w:t>
      </w:r>
    </w:p>
    <w:p w:rsidR="006127E4" w:rsidRPr="001A3D2B" w:rsidRDefault="006127E4" w:rsidP="006127E4">
      <w:pPr>
        <w:pStyle w:val="12"/>
      </w:pPr>
      <w:r w:rsidRPr="001A3D2B">
        <w:t xml:space="preserve">Subject Categories: </w:t>
      </w:r>
    </w:p>
    <w:p w:rsidR="006127E4" w:rsidRPr="001A3D2B" w:rsidRDefault="006127E4" w:rsidP="006127E4">
      <w:pPr>
        <w:pStyle w:val="12"/>
      </w:pPr>
      <w:r w:rsidRPr="001A3D2B">
        <w:t xml:space="preserve">: Impact Factor </w:t>
      </w:r>
    </w:p>
    <w:p w:rsidR="006127E4" w:rsidRDefault="006127E4" w:rsidP="006127E4">
      <w:pPr>
        <w:pStyle w:val="a3"/>
        <w:rPr>
          <w:kern w:val="0"/>
        </w:rPr>
      </w:pPr>
      <w:r>
        <w:rPr>
          <w:rFonts w:hint="eastAsia"/>
          <w:kern w:val="0"/>
        </w:rPr>
        <w:t>? Wang</w:t>
      </w:r>
      <w:r>
        <w:rPr>
          <w:kern w:val="0"/>
        </w:rPr>
        <w:t xml:space="preserve">, </w:t>
      </w:r>
      <w:r>
        <w:rPr>
          <w:rFonts w:hint="eastAsia"/>
          <w:kern w:val="0"/>
        </w:rPr>
        <w:t>M.H.</w:t>
      </w:r>
      <w:r w:rsidR="005853A9">
        <w:rPr>
          <w:rFonts w:hint="eastAsia"/>
          <w:kern w:val="0"/>
        </w:rPr>
        <w:t xml:space="preserve"> and </w:t>
      </w:r>
      <w:r>
        <w:rPr>
          <w:rFonts w:hint="eastAsia"/>
          <w:kern w:val="0"/>
        </w:rPr>
        <w:t>Ho, Y.S</w:t>
      </w:r>
      <w:r>
        <w:rPr>
          <w:kern w:val="0"/>
        </w:rPr>
        <w:t>. (201</w:t>
      </w:r>
      <w:r>
        <w:rPr>
          <w:rFonts w:hint="eastAsia"/>
          <w:kern w:val="0"/>
        </w:rPr>
        <w:t>1</w:t>
      </w:r>
      <w:r>
        <w:rPr>
          <w:kern w:val="0"/>
        </w:rPr>
        <w:t xml:space="preserve">), </w:t>
      </w:r>
      <w:r w:rsidRPr="00017DB1">
        <w:rPr>
          <w:kern w:val="0"/>
        </w:rPr>
        <w:t>Research articles</w:t>
      </w:r>
      <w:r w:rsidR="005853A9">
        <w:rPr>
          <w:kern w:val="0"/>
        </w:rPr>
        <w:t xml:space="preserve"> and </w:t>
      </w:r>
      <w:r w:rsidRPr="00017DB1">
        <w:rPr>
          <w:kern w:val="0"/>
        </w:rPr>
        <w:t>publication trends in environmental sciences from 1998 to 2009</w:t>
      </w:r>
      <w:r>
        <w:rPr>
          <w:kern w:val="0"/>
        </w:rPr>
        <w:t xml:space="preserve">. </w:t>
      </w:r>
      <w:r w:rsidRPr="00017DB1">
        <w:rPr>
          <w:i/>
        </w:rPr>
        <w:t>Archives</w:t>
      </w:r>
      <w:r w:rsidR="00427468">
        <w:rPr>
          <w:i/>
        </w:rPr>
        <w:t xml:space="preserve"> of </w:t>
      </w:r>
      <w:r w:rsidRPr="00017DB1">
        <w:rPr>
          <w:i/>
        </w:rPr>
        <w:t>Environmental Science</w:t>
      </w:r>
      <w:r>
        <w:rPr>
          <w:kern w:val="0"/>
        </w:rPr>
        <w:t xml:space="preserve">, </w:t>
      </w:r>
      <w:r>
        <w:rPr>
          <w:b/>
          <w:bCs/>
          <w:kern w:val="0"/>
        </w:rPr>
        <w:t>5</w:t>
      </w:r>
      <w:r>
        <w:rPr>
          <w:kern w:val="0"/>
        </w:rPr>
        <w:t xml:space="preserve">, </w:t>
      </w:r>
      <w:r>
        <w:rPr>
          <w:rFonts w:hint="eastAsia"/>
          <w:kern w:val="0"/>
        </w:rPr>
        <w:t>1</w:t>
      </w:r>
      <w:r>
        <w:rPr>
          <w:kern w:val="0"/>
        </w:rPr>
        <w:t>-</w:t>
      </w:r>
      <w:r>
        <w:rPr>
          <w:rFonts w:hint="eastAsia"/>
          <w:kern w:val="0"/>
        </w:rPr>
        <w:t>10</w:t>
      </w:r>
      <w:r>
        <w:rPr>
          <w:kern w:val="0"/>
        </w:rPr>
        <w:t>.</w:t>
      </w:r>
    </w:p>
    <w:p w:rsidR="006127E4" w:rsidRDefault="006127E4" w:rsidP="006127E4">
      <w:pPr>
        <w:pStyle w:val="a3"/>
        <w:rPr>
          <w:kern w:val="0"/>
        </w:rPr>
      </w:pPr>
      <w:r>
        <w:rPr>
          <w:rFonts w:hint="eastAsia"/>
          <w:kern w:val="0"/>
        </w:rPr>
        <w:t xml:space="preserve">Full Text: </w:t>
      </w:r>
      <w:hyperlink r:id="rId1109" w:history="1">
        <w:r w:rsidRPr="00017DB1">
          <w:rPr>
            <w:rStyle w:val="a5"/>
            <w:kern w:val="0"/>
          </w:rPr>
          <w:t>2011\Arc Eur Sci5, 1.pdf</w:t>
        </w:r>
      </w:hyperlink>
    </w:p>
    <w:p w:rsidR="006127E4" w:rsidRPr="00017DB1" w:rsidRDefault="006127E4" w:rsidP="006127E4">
      <w:pPr>
        <w:pStyle w:val="a3"/>
        <w:rPr>
          <w:kern w:val="0"/>
        </w:rPr>
      </w:pPr>
      <w:r>
        <w:rPr>
          <w:rFonts w:hint="eastAsia"/>
          <w:kern w:val="0"/>
        </w:rPr>
        <w:t xml:space="preserve">Abstract: </w:t>
      </w:r>
      <w:r w:rsidRPr="00017DB1">
        <w:rPr>
          <w:kern w:val="0"/>
        </w:rPr>
        <w:t>This study was designed to evaluate global research</w:t>
      </w:r>
      <w:r w:rsidR="005853A9">
        <w:rPr>
          <w:kern w:val="0"/>
        </w:rPr>
        <w:t xml:space="preserve"> and </w:t>
      </w:r>
      <w:r w:rsidRPr="00017DB1">
        <w:rPr>
          <w:kern w:val="0"/>
        </w:rPr>
        <w:t>publishing trends in</w:t>
      </w:r>
      <w:r w:rsidR="003A1917">
        <w:rPr>
          <w:kern w:val="0"/>
        </w:rPr>
        <w:t xml:space="preserve"> the </w:t>
      </w:r>
      <w:r w:rsidRPr="00017DB1">
        <w:rPr>
          <w:kern w:val="0"/>
        </w:rPr>
        <w:t>ISI subject category</w:t>
      </w:r>
      <w:r w:rsidR="00427468">
        <w:rPr>
          <w:kern w:val="0"/>
        </w:rPr>
        <w:t xml:space="preserve"> of </w:t>
      </w:r>
      <w:r w:rsidR="00B5188C">
        <w:rPr>
          <w:kern w:val="0"/>
        </w:rPr>
        <w:t>“</w:t>
      </w:r>
      <w:r w:rsidRPr="00017DB1">
        <w:rPr>
          <w:kern w:val="0"/>
        </w:rPr>
        <w:t>environmental science</w:t>
      </w:r>
      <w:r w:rsidR="00B5188C">
        <w:rPr>
          <w:kern w:val="0"/>
        </w:rPr>
        <w:t>”</w:t>
      </w:r>
      <w:r w:rsidRPr="00017DB1">
        <w:rPr>
          <w:kern w:val="0"/>
        </w:rPr>
        <w:t xml:space="preserve"> from 1998 to 2009. Data were based on</w:t>
      </w:r>
      <w:r w:rsidR="003A1917">
        <w:rPr>
          <w:kern w:val="0"/>
        </w:rPr>
        <w:t xml:space="preserve"> the </w:t>
      </w:r>
      <w:r w:rsidRPr="00017DB1">
        <w:rPr>
          <w:kern w:val="0"/>
        </w:rPr>
        <w:t>online version</w:t>
      </w:r>
      <w:r w:rsidR="00427468">
        <w:rPr>
          <w:kern w:val="0"/>
        </w:rPr>
        <w:t xml:space="preserve"> of </w:t>
      </w:r>
      <w:r w:rsidR="003A1917">
        <w:rPr>
          <w:kern w:val="0"/>
        </w:rPr>
        <w:t xml:space="preserve">the </w:t>
      </w:r>
      <w:r w:rsidRPr="00017DB1">
        <w:rPr>
          <w:kern w:val="0"/>
        </w:rPr>
        <w:t xml:space="preserve">Science Citation Index Expanded, </w:t>
      </w:r>
      <w:r w:rsidR="00D5664A">
        <w:rPr>
          <w:kern w:val="0"/>
        </w:rPr>
        <w:t>Web</w:t>
      </w:r>
      <w:r w:rsidR="00427468">
        <w:rPr>
          <w:kern w:val="0"/>
        </w:rPr>
        <w:t xml:space="preserve"> of </w:t>
      </w:r>
      <w:r w:rsidR="00D5664A">
        <w:rPr>
          <w:kern w:val="0"/>
        </w:rPr>
        <w:t>Science</w:t>
      </w:r>
      <w:r w:rsidRPr="00017DB1">
        <w:rPr>
          <w:kern w:val="0"/>
        </w:rPr>
        <w:t>. Articles referring to environmental science were evaluated based on document-type distributions. Distributions</w:t>
      </w:r>
      <w:r w:rsidR="00427468">
        <w:rPr>
          <w:kern w:val="0"/>
        </w:rPr>
        <w:t xml:space="preserve"> of </w:t>
      </w:r>
      <w:r w:rsidRPr="00017DB1">
        <w:rPr>
          <w:kern w:val="0"/>
        </w:rPr>
        <w:t>words in article titles, author keywords,</w:t>
      </w:r>
      <w:r w:rsidR="005853A9">
        <w:rPr>
          <w:kern w:val="0"/>
        </w:rPr>
        <w:t xml:space="preserve"> and </w:t>
      </w:r>
      <w:r w:rsidRPr="00017DB1">
        <w:rPr>
          <w:kern w:val="0"/>
        </w:rPr>
        <w:t>KeyWords Plus at different periods were analysed</w:t>
      </w:r>
      <w:r w:rsidR="00A37C1D">
        <w:rPr>
          <w:kern w:val="0"/>
        </w:rPr>
        <w:t>. The</w:t>
      </w:r>
      <w:r w:rsidR="003A1917">
        <w:rPr>
          <w:kern w:val="0"/>
        </w:rPr>
        <w:t xml:space="preserve"> </w:t>
      </w:r>
      <w:r w:rsidRPr="00017DB1">
        <w:rPr>
          <w:kern w:val="0"/>
        </w:rPr>
        <w:t>results</w:t>
      </w:r>
      <w:r w:rsidR="00427468">
        <w:rPr>
          <w:kern w:val="0"/>
        </w:rPr>
        <w:t xml:space="preserve"> of </w:t>
      </w:r>
      <w:r w:rsidR="003A1917">
        <w:rPr>
          <w:kern w:val="0"/>
        </w:rPr>
        <w:t xml:space="preserve">the </w:t>
      </w:r>
      <w:r w:rsidRPr="00017DB1">
        <w:rPr>
          <w:kern w:val="0"/>
        </w:rPr>
        <w:t>word distributions were analyzed for word cluster to evaluate research trends</w:t>
      </w:r>
      <w:r w:rsidR="00A37C1D">
        <w:rPr>
          <w:kern w:val="0"/>
        </w:rPr>
        <w:t>. The</w:t>
      </w:r>
      <w:r w:rsidR="003A1917">
        <w:rPr>
          <w:kern w:val="0"/>
        </w:rPr>
        <w:t xml:space="preserve"> </w:t>
      </w:r>
      <w:r w:rsidRPr="00017DB1">
        <w:rPr>
          <w:kern w:val="0"/>
        </w:rPr>
        <w:t>analyses showed that water-related topics received</w:t>
      </w:r>
      <w:r w:rsidR="003A1917">
        <w:rPr>
          <w:kern w:val="0"/>
        </w:rPr>
        <w:t xml:space="preserve"> the </w:t>
      </w:r>
      <w:r w:rsidRPr="00017DB1">
        <w:rPr>
          <w:kern w:val="0"/>
        </w:rPr>
        <w:t>most attention from researchers. An increasing trend was found in wastewater research after 2004. Overall, model, carbon,</w:t>
      </w:r>
      <w:r w:rsidR="005853A9">
        <w:rPr>
          <w:kern w:val="0"/>
        </w:rPr>
        <w:t xml:space="preserve"> and </w:t>
      </w:r>
      <w:r w:rsidRPr="00017DB1">
        <w:rPr>
          <w:kern w:val="0"/>
        </w:rPr>
        <w:t>adsorption were</w:t>
      </w:r>
      <w:r w:rsidR="003A1917">
        <w:rPr>
          <w:kern w:val="0"/>
        </w:rPr>
        <w:t xml:space="preserve"> the </w:t>
      </w:r>
      <w:r w:rsidRPr="00017DB1">
        <w:rPr>
          <w:kern w:val="0"/>
        </w:rPr>
        <w:t>three hot research topics in</w:t>
      </w:r>
      <w:r w:rsidR="003A1917">
        <w:rPr>
          <w:kern w:val="0"/>
        </w:rPr>
        <w:t xml:space="preserve"> the </w:t>
      </w:r>
      <w:r w:rsidRPr="00017DB1">
        <w:rPr>
          <w:kern w:val="0"/>
        </w:rPr>
        <w:t>environmental science category.</w:t>
      </w:r>
    </w:p>
    <w:p w:rsidR="006127E4" w:rsidRPr="00017DB1" w:rsidRDefault="006127E4" w:rsidP="006127E4">
      <w:pPr>
        <w:pStyle w:val="a3"/>
        <w:rPr>
          <w:kern w:val="0"/>
        </w:rPr>
      </w:pPr>
      <w:r w:rsidRPr="00017DB1">
        <w:rPr>
          <w:kern w:val="0"/>
        </w:rPr>
        <w:t>Keywords: Research Trends, Environmental Science, Bibliometric, Word Cluster Analysis</w:t>
      </w:r>
    </w:p>
    <w:p w:rsidR="00483BC4" w:rsidRDefault="00483BC4" w:rsidP="00483BC4">
      <w:pPr>
        <w:pStyle w:val="a3"/>
        <w:rPr>
          <w:kern w:val="0"/>
        </w:rPr>
      </w:pPr>
      <w:r>
        <w:rPr>
          <w:rFonts w:hint="eastAsia"/>
          <w:kern w:val="0"/>
        </w:rPr>
        <w:t xml:space="preserve">? </w:t>
      </w:r>
      <w:r w:rsidRPr="00483BC4">
        <w:rPr>
          <w:kern w:val="0"/>
        </w:rPr>
        <w:t>Zhu</w:t>
      </w:r>
      <w:r>
        <w:rPr>
          <w:kern w:val="0"/>
        </w:rPr>
        <w:t xml:space="preserve">, </w:t>
      </w:r>
      <w:r>
        <w:rPr>
          <w:rFonts w:hint="eastAsia"/>
          <w:kern w:val="0"/>
        </w:rPr>
        <w:t>Y.Q., Wang, M.H.</w:t>
      </w:r>
      <w:r w:rsidR="005853A9">
        <w:rPr>
          <w:rFonts w:hint="eastAsia"/>
          <w:kern w:val="0"/>
        </w:rPr>
        <w:t xml:space="preserve"> and </w:t>
      </w:r>
      <w:r>
        <w:rPr>
          <w:rFonts w:hint="eastAsia"/>
          <w:kern w:val="0"/>
        </w:rPr>
        <w:t>Ho, Y.S</w:t>
      </w:r>
      <w:r>
        <w:rPr>
          <w:kern w:val="0"/>
        </w:rPr>
        <w:t>. (201</w:t>
      </w:r>
      <w:r>
        <w:rPr>
          <w:rFonts w:hint="eastAsia"/>
          <w:kern w:val="0"/>
        </w:rPr>
        <w:t>1</w:t>
      </w:r>
      <w:r>
        <w:rPr>
          <w:kern w:val="0"/>
        </w:rPr>
        <w:t xml:space="preserve">), </w:t>
      </w:r>
      <w:r w:rsidRPr="00483BC4">
        <w:rPr>
          <w:kern w:val="0"/>
        </w:rPr>
        <w:t>An analysis</w:t>
      </w:r>
      <w:r w:rsidR="00427468">
        <w:rPr>
          <w:kern w:val="0"/>
        </w:rPr>
        <w:t xml:space="preserve"> of </w:t>
      </w:r>
      <w:r w:rsidRPr="00483BC4">
        <w:rPr>
          <w:kern w:val="0"/>
        </w:rPr>
        <w:t>research activity in department</w:t>
      </w:r>
      <w:r w:rsidR="00427468">
        <w:rPr>
          <w:kern w:val="0"/>
        </w:rPr>
        <w:t xml:space="preserve"> of </w:t>
      </w:r>
      <w:r w:rsidRPr="00483BC4">
        <w:rPr>
          <w:kern w:val="0"/>
        </w:rPr>
        <w:t xml:space="preserve">chemical engineering in </w:t>
      </w:r>
      <w:r w:rsidR="00D5664A">
        <w:rPr>
          <w:kern w:val="0"/>
        </w:rPr>
        <w:t>USA</w:t>
      </w:r>
      <w:r>
        <w:rPr>
          <w:kern w:val="0"/>
        </w:rPr>
        <w:t xml:space="preserve">. </w:t>
      </w:r>
      <w:r w:rsidRPr="00017DB1">
        <w:rPr>
          <w:i/>
        </w:rPr>
        <w:t>Archives</w:t>
      </w:r>
      <w:r w:rsidR="00427468">
        <w:rPr>
          <w:i/>
        </w:rPr>
        <w:t xml:space="preserve"> of </w:t>
      </w:r>
      <w:r w:rsidRPr="00017DB1">
        <w:rPr>
          <w:i/>
        </w:rPr>
        <w:t>Environmental Science</w:t>
      </w:r>
      <w:r>
        <w:rPr>
          <w:kern w:val="0"/>
        </w:rPr>
        <w:t xml:space="preserve">, </w:t>
      </w:r>
      <w:r>
        <w:rPr>
          <w:b/>
          <w:bCs/>
          <w:kern w:val="0"/>
        </w:rPr>
        <w:t>5</w:t>
      </w:r>
      <w:r>
        <w:rPr>
          <w:kern w:val="0"/>
        </w:rPr>
        <w:t xml:space="preserve">, </w:t>
      </w:r>
      <w:r w:rsidRPr="00483BC4">
        <w:rPr>
          <w:kern w:val="0"/>
        </w:rPr>
        <w:t>62-70</w:t>
      </w:r>
      <w:r>
        <w:rPr>
          <w:kern w:val="0"/>
        </w:rPr>
        <w:t>.</w:t>
      </w:r>
    </w:p>
    <w:p w:rsidR="00483BC4" w:rsidRDefault="00483BC4" w:rsidP="00483BC4">
      <w:pPr>
        <w:pStyle w:val="a3"/>
        <w:rPr>
          <w:kern w:val="0"/>
        </w:rPr>
      </w:pPr>
      <w:r>
        <w:rPr>
          <w:rFonts w:hint="eastAsia"/>
          <w:kern w:val="0"/>
        </w:rPr>
        <w:t xml:space="preserve">Full Text: </w:t>
      </w:r>
      <w:hyperlink r:id="rId1110" w:history="1">
        <w:r w:rsidRPr="00483BC4">
          <w:rPr>
            <w:rStyle w:val="a5"/>
            <w:kern w:val="0"/>
          </w:rPr>
          <w:t>2011\Arc Eur Sci5, 62.pdf</w:t>
        </w:r>
      </w:hyperlink>
    </w:p>
    <w:p w:rsidR="00483BC4" w:rsidRPr="00483BC4" w:rsidRDefault="00483BC4" w:rsidP="00483BC4">
      <w:pPr>
        <w:pStyle w:val="a3"/>
        <w:rPr>
          <w:kern w:val="0"/>
        </w:rPr>
      </w:pPr>
      <w:r w:rsidRPr="00483BC4">
        <w:rPr>
          <w:kern w:val="0"/>
        </w:rPr>
        <w:t>Abstract</w:t>
      </w:r>
      <w:r>
        <w:rPr>
          <w:rFonts w:hint="eastAsia"/>
          <w:kern w:val="0"/>
        </w:rPr>
        <w:t xml:space="preserve">: </w:t>
      </w:r>
      <w:r w:rsidRPr="00483BC4">
        <w:rPr>
          <w:kern w:val="0"/>
        </w:rPr>
        <w:t>A bibliometric analysis was carried out to identify</w:t>
      </w:r>
      <w:r w:rsidR="003A1917">
        <w:rPr>
          <w:kern w:val="0"/>
        </w:rPr>
        <w:t xml:space="preserve"> the </w:t>
      </w:r>
      <w:r w:rsidRPr="00483BC4">
        <w:rPr>
          <w:kern w:val="0"/>
        </w:rPr>
        <w:t>research activities related to</w:t>
      </w:r>
      <w:r w:rsidR="003A1917">
        <w:rPr>
          <w:kern w:val="0"/>
        </w:rPr>
        <w:t xml:space="preserve"> the </w:t>
      </w:r>
      <w:r w:rsidRPr="00483BC4">
        <w:rPr>
          <w:kern w:val="0"/>
        </w:rPr>
        <w:t>department</w:t>
      </w:r>
      <w:r w:rsidR="00427468">
        <w:rPr>
          <w:kern w:val="0"/>
        </w:rPr>
        <w:t xml:space="preserve"> of </w:t>
      </w:r>
      <w:r w:rsidRPr="00483BC4">
        <w:rPr>
          <w:kern w:val="0"/>
        </w:rPr>
        <w:t>chemical engineering (CE) in</w:t>
      </w:r>
      <w:r w:rsidR="003A1917">
        <w:rPr>
          <w:kern w:val="0"/>
        </w:rPr>
        <w:t xml:space="preserve"> the </w:t>
      </w:r>
      <w:r w:rsidRPr="00483BC4">
        <w:rPr>
          <w:kern w:val="0"/>
        </w:rPr>
        <w:t>United States</w:t>
      </w:r>
      <w:r w:rsidR="00427468">
        <w:rPr>
          <w:kern w:val="0"/>
        </w:rPr>
        <w:t xml:space="preserve"> of </w:t>
      </w:r>
      <w:r w:rsidRPr="00483BC4">
        <w:rPr>
          <w:kern w:val="0"/>
        </w:rPr>
        <w:t>America from 2002 to 2010</w:t>
      </w:r>
      <w:r w:rsidR="005853A9">
        <w:rPr>
          <w:kern w:val="0"/>
        </w:rPr>
        <w:t xml:space="preserve"> and </w:t>
      </w:r>
      <w:r w:rsidRPr="00483BC4">
        <w:rPr>
          <w:kern w:val="0"/>
        </w:rPr>
        <w:t>to improve</w:t>
      </w:r>
      <w:r w:rsidR="003A1917">
        <w:rPr>
          <w:kern w:val="0"/>
        </w:rPr>
        <w:t xml:space="preserve"> the </w:t>
      </w:r>
      <w:r w:rsidRPr="00483BC4">
        <w:rPr>
          <w:kern w:val="0"/>
        </w:rPr>
        <w:t>understanding</w:t>
      </w:r>
      <w:r w:rsidR="00427468">
        <w:rPr>
          <w:kern w:val="0"/>
        </w:rPr>
        <w:t xml:space="preserve"> of </w:t>
      </w:r>
      <w:r w:rsidRPr="00483BC4">
        <w:rPr>
          <w:kern w:val="0"/>
        </w:rPr>
        <w:t>research trends in</w:t>
      </w:r>
      <w:r w:rsidR="003A1917">
        <w:rPr>
          <w:kern w:val="0"/>
        </w:rPr>
        <w:t xml:space="preserve"> the </w:t>
      </w:r>
      <w:r w:rsidRPr="00483BC4">
        <w:rPr>
          <w:kern w:val="0"/>
        </w:rPr>
        <w:t>same period, based on</w:t>
      </w:r>
      <w:r w:rsidR="003A1917">
        <w:rPr>
          <w:kern w:val="0"/>
        </w:rPr>
        <w:t xml:space="preserve"> the </w:t>
      </w:r>
      <w:r w:rsidRPr="00483BC4">
        <w:rPr>
          <w:kern w:val="0"/>
        </w:rPr>
        <w:t>online version</w:t>
      </w:r>
      <w:r w:rsidR="00427468">
        <w:rPr>
          <w:kern w:val="0"/>
        </w:rPr>
        <w:t xml:space="preserve"> of </w:t>
      </w:r>
      <w:r w:rsidRPr="00483BC4">
        <w:rPr>
          <w:kern w:val="0"/>
        </w:rPr>
        <w:t>Science Citation Index Expanded (SCI-EXPANDED</w:t>
      </w:r>
      <w:r w:rsidR="00F42EAC">
        <w:rPr>
          <w:kern w:val="0"/>
        </w:rPr>
        <w:t>), The</w:t>
      </w:r>
      <w:r w:rsidR="003A1917">
        <w:rPr>
          <w:kern w:val="0"/>
        </w:rPr>
        <w:t xml:space="preserve"> </w:t>
      </w:r>
      <w:r w:rsidRPr="00483BC4">
        <w:rPr>
          <w:kern w:val="0"/>
        </w:rPr>
        <w:t xml:space="preserve">Thomson Reuters </w:t>
      </w:r>
      <w:r w:rsidR="00D5664A">
        <w:rPr>
          <w:kern w:val="0"/>
        </w:rPr>
        <w:t>Web</w:t>
      </w:r>
      <w:r w:rsidR="00427468">
        <w:rPr>
          <w:kern w:val="0"/>
        </w:rPr>
        <w:t xml:space="preserve"> of </w:t>
      </w:r>
      <w:r w:rsidR="00D5664A">
        <w:rPr>
          <w:kern w:val="0"/>
        </w:rPr>
        <w:t>Science</w:t>
      </w:r>
      <w:r w:rsidRPr="00483BC4">
        <w:rPr>
          <w:kern w:val="0"/>
        </w:rPr>
        <w:t xml:space="preserve">. Articles published by </w:t>
      </w:r>
      <w:r w:rsidRPr="00483BC4">
        <w:rPr>
          <w:kern w:val="0"/>
        </w:rPr>
        <w:lastRenderedPageBreak/>
        <w:t>CE researchers were evaluated, basing on</w:t>
      </w:r>
      <w:r w:rsidR="003A1917">
        <w:rPr>
          <w:kern w:val="0"/>
        </w:rPr>
        <w:t xml:space="preserve"> the </w:t>
      </w:r>
      <w:r w:rsidRPr="00483BC4">
        <w:rPr>
          <w:kern w:val="0"/>
        </w:rPr>
        <w:t>distribution</w:t>
      </w:r>
      <w:r w:rsidR="00427468">
        <w:rPr>
          <w:kern w:val="0"/>
        </w:rPr>
        <w:t xml:space="preserve"> of </w:t>
      </w:r>
      <w:r w:rsidRPr="00483BC4">
        <w:rPr>
          <w:kern w:val="0"/>
        </w:rPr>
        <w:t>journals</w:t>
      </w:r>
      <w:r w:rsidR="005853A9">
        <w:rPr>
          <w:kern w:val="0"/>
        </w:rPr>
        <w:t xml:space="preserve"> and </w:t>
      </w:r>
      <w:r w:rsidR="003A1917">
        <w:rPr>
          <w:kern w:val="0"/>
        </w:rPr>
        <w:t xml:space="preserve">the </w:t>
      </w:r>
      <w:r w:rsidRPr="00483BC4">
        <w:rPr>
          <w:kern w:val="0"/>
        </w:rPr>
        <w:t>collaborative relations. Research tendency was investigated by statistically analyzing</w:t>
      </w:r>
      <w:r w:rsidR="003A1917">
        <w:rPr>
          <w:kern w:val="0"/>
        </w:rPr>
        <w:t xml:space="preserve"> the </w:t>
      </w:r>
      <w:r w:rsidRPr="00483BC4">
        <w:rPr>
          <w:kern w:val="0"/>
        </w:rPr>
        <w:t>distribution</w:t>
      </w:r>
      <w:r w:rsidR="00427468">
        <w:rPr>
          <w:kern w:val="0"/>
        </w:rPr>
        <w:t xml:space="preserve"> of </w:t>
      </w:r>
      <w:r w:rsidRPr="00483BC4">
        <w:rPr>
          <w:kern w:val="0"/>
        </w:rPr>
        <w:t>words in article title, author keywords,</w:t>
      </w:r>
      <w:r w:rsidR="005853A9">
        <w:rPr>
          <w:kern w:val="0"/>
        </w:rPr>
        <w:t xml:space="preserve"> and </w:t>
      </w:r>
      <w:r w:rsidRPr="00483BC4">
        <w:rPr>
          <w:kern w:val="0"/>
        </w:rPr>
        <w:t>KeyWords Plus in different periods</w:t>
      </w:r>
      <w:r w:rsidR="005853A9">
        <w:rPr>
          <w:kern w:val="0"/>
        </w:rPr>
        <w:t xml:space="preserve"> and </w:t>
      </w:r>
      <w:r w:rsidR="003A1917">
        <w:rPr>
          <w:kern w:val="0"/>
        </w:rPr>
        <w:t xml:space="preserve">the </w:t>
      </w:r>
      <w:r w:rsidRPr="00483BC4">
        <w:rPr>
          <w:kern w:val="0"/>
        </w:rPr>
        <w:t>research behavior</w:t>
      </w:r>
      <w:r w:rsidR="00427468">
        <w:rPr>
          <w:kern w:val="0"/>
        </w:rPr>
        <w:t xml:space="preserve"> of </w:t>
      </w:r>
      <w:r w:rsidR="003A1917">
        <w:rPr>
          <w:kern w:val="0"/>
        </w:rPr>
        <w:t xml:space="preserve">the </w:t>
      </w:r>
      <w:r w:rsidRPr="00483BC4">
        <w:rPr>
          <w:kern w:val="0"/>
        </w:rPr>
        <w:t>top institutes were studied according to journals</w:t>
      </w:r>
      <w:r w:rsidR="005853A9">
        <w:rPr>
          <w:kern w:val="0"/>
        </w:rPr>
        <w:t xml:space="preserve"> and </w:t>
      </w:r>
      <w:r w:rsidRPr="00483BC4">
        <w:rPr>
          <w:kern w:val="0"/>
        </w:rPr>
        <w:t>author keywords. Results showed that research activities in CE have been more involved in interdisciplinary projects. Areas related to nanoscale science, biochem, as well as energy &amp; environmental had an increasing trend during</w:t>
      </w:r>
      <w:r w:rsidR="003A1917">
        <w:rPr>
          <w:kern w:val="0"/>
        </w:rPr>
        <w:t xml:space="preserve"> the </w:t>
      </w:r>
      <w:r w:rsidRPr="00483BC4">
        <w:rPr>
          <w:kern w:val="0"/>
        </w:rPr>
        <w:t>recent 9 years.</w:t>
      </w:r>
    </w:p>
    <w:p w:rsidR="00483BC4" w:rsidRDefault="00483BC4" w:rsidP="00483BC4">
      <w:pPr>
        <w:pStyle w:val="a3"/>
        <w:rPr>
          <w:kern w:val="0"/>
        </w:rPr>
      </w:pPr>
      <w:r w:rsidRPr="00483BC4">
        <w:rPr>
          <w:kern w:val="0"/>
        </w:rPr>
        <w:t xml:space="preserve">Keywords: Bibliometric, </w:t>
      </w:r>
      <w:r w:rsidR="00D5664A">
        <w:rPr>
          <w:kern w:val="0"/>
        </w:rPr>
        <w:t>Web</w:t>
      </w:r>
      <w:r w:rsidR="00427468">
        <w:rPr>
          <w:kern w:val="0"/>
        </w:rPr>
        <w:t xml:space="preserve"> of </w:t>
      </w:r>
      <w:r w:rsidR="00D5664A">
        <w:rPr>
          <w:kern w:val="0"/>
        </w:rPr>
        <w:t>Science</w:t>
      </w:r>
      <w:r w:rsidRPr="00483BC4">
        <w:rPr>
          <w:kern w:val="0"/>
        </w:rPr>
        <w:t xml:space="preserve">, </w:t>
      </w:r>
      <w:r w:rsidR="00D5664A">
        <w:rPr>
          <w:kern w:val="0"/>
        </w:rPr>
        <w:t>USA</w:t>
      </w:r>
      <w:r w:rsidRPr="00483BC4">
        <w:rPr>
          <w:kern w:val="0"/>
        </w:rPr>
        <w:t>, Chemical Engineering, Research Trends</w:t>
      </w:r>
    </w:p>
    <w:p w:rsidR="00483BC4" w:rsidRDefault="00483BC4" w:rsidP="00483BC4">
      <w:pPr>
        <w:pStyle w:val="a3"/>
        <w:rPr>
          <w:kern w:val="0"/>
        </w:rPr>
      </w:pPr>
      <w:r>
        <w:rPr>
          <w:rFonts w:hint="eastAsia"/>
          <w:kern w:val="0"/>
        </w:rPr>
        <w:t>? Ma</w:t>
      </w:r>
      <w:r>
        <w:rPr>
          <w:kern w:val="0"/>
        </w:rPr>
        <w:t xml:space="preserve">, </w:t>
      </w:r>
      <w:r>
        <w:rPr>
          <w:rFonts w:hint="eastAsia"/>
          <w:kern w:val="0"/>
        </w:rPr>
        <w:t>H.Y., Ho, Y.S</w:t>
      </w:r>
      <w:r>
        <w:rPr>
          <w:kern w:val="0"/>
        </w:rPr>
        <w:t>.</w:t>
      </w:r>
      <w:r w:rsidR="005853A9">
        <w:rPr>
          <w:rFonts w:hint="eastAsia"/>
          <w:kern w:val="0"/>
        </w:rPr>
        <w:t xml:space="preserve"> and </w:t>
      </w:r>
      <w:r>
        <w:rPr>
          <w:rFonts w:hint="eastAsia"/>
          <w:kern w:val="0"/>
        </w:rPr>
        <w:t>Fu, H.Z.</w:t>
      </w:r>
      <w:r>
        <w:rPr>
          <w:kern w:val="0"/>
        </w:rPr>
        <w:t xml:space="preserve"> (201</w:t>
      </w:r>
      <w:r>
        <w:rPr>
          <w:rFonts w:hint="eastAsia"/>
          <w:kern w:val="0"/>
        </w:rPr>
        <w:t>1</w:t>
      </w:r>
      <w:r>
        <w:rPr>
          <w:kern w:val="0"/>
        </w:rPr>
        <w:t xml:space="preserve">), </w:t>
      </w:r>
      <w:r w:rsidRPr="00483BC4">
        <w:rPr>
          <w:kern w:val="0"/>
        </w:rPr>
        <w:t>Solid waste related research in Science Citation Index Expanded</w:t>
      </w:r>
      <w:r>
        <w:rPr>
          <w:kern w:val="0"/>
        </w:rPr>
        <w:t xml:space="preserve">. </w:t>
      </w:r>
      <w:r w:rsidRPr="00017DB1">
        <w:rPr>
          <w:i/>
        </w:rPr>
        <w:t>Archives</w:t>
      </w:r>
      <w:r w:rsidR="00427468">
        <w:rPr>
          <w:i/>
        </w:rPr>
        <w:t xml:space="preserve"> of </w:t>
      </w:r>
      <w:r w:rsidRPr="00017DB1">
        <w:rPr>
          <w:i/>
        </w:rPr>
        <w:t>Environmental Science</w:t>
      </w:r>
      <w:r>
        <w:rPr>
          <w:kern w:val="0"/>
        </w:rPr>
        <w:t xml:space="preserve">, </w:t>
      </w:r>
      <w:r>
        <w:rPr>
          <w:b/>
          <w:bCs/>
          <w:kern w:val="0"/>
        </w:rPr>
        <w:t>5</w:t>
      </w:r>
      <w:r>
        <w:rPr>
          <w:kern w:val="0"/>
        </w:rPr>
        <w:t xml:space="preserve">, </w:t>
      </w:r>
      <w:r w:rsidRPr="00483BC4">
        <w:rPr>
          <w:kern w:val="0"/>
        </w:rPr>
        <w:t>89-100</w:t>
      </w:r>
      <w:r>
        <w:rPr>
          <w:kern w:val="0"/>
        </w:rPr>
        <w:t>.</w:t>
      </w:r>
    </w:p>
    <w:p w:rsidR="00483BC4" w:rsidRDefault="00483BC4" w:rsidP="00483BC4">
      <w:pPr>
        <w:pStyle w:val="a3"/>
        <w:rPr>
          <w:kern w:val="0"/>
        </w:rPr>
      </w:pPr>
      <w:r>
        <w:rPr>
          <w:rFonts w:hint="eastAsia"/>
          <w:kern w:val="0"/>
        </w:rPr>
        <w:t xml:space="preserve">Full Text: </w:t>
      </w:r>
      <w:hyperlink r:id="rId1111" w:history="1">
        <w:r w:rsidRPr="00483BC4">
          <w:rPr>
            <w:rStyle w:val="a5"/>
            <w:kern w:val="0"/>
          </w:rPr>
          <w:t>2011\Arc Eur Sci5, 89.pdf</w:t>
        </w:r>
      </w:hyperlink>
    </w:p>
    <w:p w:rsidR="00483BC4" w:rsidRPr="00483BC4" w:rsidRDefault="00483BC4" w:rsidP="00483BC4">
      <w:pPr>
        <w:pStyle w:val="a3"/>
        <w:rPr>
          <w:kern w:val="0"/>
        </w:rPr>
      </w:pPr>
      <w:r w:rsidRPr="00483BC4">
        <w:rPr>
          <w:kern w:val="0"/>
        </w:rPr>
        <w:t>Abstract</w:t>
      </w:r>
      <w:r>
        <w:rPr>
          <w:rFonts w:hint="eastAsia"/>
          <w:kern w:val="0"/>
        </w:rPr>
        <w:t xml:space="preserve">: </w:t>
      </w:r>
      <w:r w:rsidRPr="00483BC4">
        <w:rPr>
          <w:kern w:val="0"/>
        </w:rPr>
        <w:t>A bibliometric approach was employed to quantitatively assess current research trends on solid waste by analyzing</w:t>
      </w:r>
      <w:r w:rsidR="003A1917">
        <w:rPr>
          <w:kern w:val="0"/>
        </w:rPr>
        <w:t xml:space="preserve"> the </w:t>
      </w:r>
      <w:r w:rsidRPr="00483BC4">
        <w:rPr>
          <w:kern w:val="0"/>
        </w:rPr>
        <w:t>related publications in</w:t>
      </w:r>
      <w:r w:rsidR="003A1917">
        <w:rPr>
          <w:kern w:val="0"/>
        </w:rPr>
        <w:t xml:space="preserve"> the </w:t>
      </w:r>
      <w:r w:rsidRPr="00483BC4">
        <w:rPr>
          <w:kern w:val="0"/>
        </w:rPr>
        <w:t>Science Citation Index Expanded (SCI-Expanded) database from 1991 to 2010</w:t>
      </w:r>
      <w:r w:rsidR="00A37C1D">
        <w:rPr>
          <w:kern w:val="0"/>
        </w:rPr>
        <w:t>. The</w:t>
      </w:r>
      <w:r w:rsidR="003A1917">
        <w:rPr>
          <w:kern w:val="0"/>
        </w:rPr>
        <w:t xml:space="preserve"> </w:t>
      </w:r>
      <w:r w:rsidRPr="00483BC4">
        <w:rPr>
          <w:kern w:val="0"/>
        </w:rPr>
        <w:t>general analyses were processed by characteristics</w:t>
      </w:r>
      <w:r w:rsidR="00427468">
        <w:rPr>
          <w:kern w:val="0"/>
        </w:rPr>
        <w:t xml:space="preserve"> of </w:t>
      </w:r>
      <w:r w:rsidRPr="00483BC4">
        <w:rPr>
          <w:kern w:val="0"/>
        </w:rPr>
        <w:t xml:space="preserve">distribution covering publication outputs, journals, </w:t>
      </w:r>
      <w:r w:rsidR="00D5664A">
        <w:rPr>
          <w:kern w:val="0"/>
        </w:rPr>
        <w:t>Web</w:t>
      </w:r>
      <w:r w:rsidR="00427468">
        <w:rPr>
          <w:kern w:val="0"/>
        </w:rPr>
        <w:t xml:space="preserve"> of </w:t>
      </w:r>
      <w:r w:rsidR="00D5664A">
        <w:rPr>
          <w:kern w:val="0"/>
        </w:rPr>
        <w:t>Science</w:t>
      </w:r>
      <w:r w:rsidRPr="00483BC4">
        <w:rPr>
          <w:kern w:val="0"/>
        </w:rPr>
        <w:t xml:space="preserve"> categories, countries,</w:t>
      </w:r>
      <w:r w:rsidR="005853A9">
        <w:rPr>
          <w:kern w:val="0"/>
        </w:rPr>
        <w:t xml:space="preserve"> and </w:t>
      </w:r>
      <w:r w:rsidRPr="00483BC4">
        <w:rPr>
          <w:kern w:val="0"/>
        </w:rPr>
        <w:t>institutes,</w:t>
      </w:r>
      <w:r w:rsidR="005853A9">
        <w:rPr>
          <w:kern w:val="0"/>
        </w:rPr>
        <w:t xml:space="preserve"> and </w:t>
      </w:r>
      <w:r w:rsidRPr="00483BC4">
        <w:rPr>
          <w:kern w:val="0"/>
        </w:rPr>
        <w:t>research emphases</w:t>
      </w:r>
      <w:r w:rsidR="005853A9">
        <w:rPr>
          <w:kern w:val="0"/>
        </w:rPr>
        <w:t xml:space="preserve"> and </w:t>
      </w:r>
      <w:r w:rsidRPr="00483BC4">
        <w:rPr>
          <w:kern w:val="0"/>
        </w:rPr>
        <w:t>trends including author keywords, words in title, words in abstract,</w:t>
      </w:r>
      <w:r w:rsidR="005853A9">
        <w:rPr>
          <w:kern w:val="0"/>
        </w:rPr>
        <w:t xml:space="preserve"> and </w:t>
      </w:r>
      <w:r w:rsidRPr="00483BC4">
        <w:rPr>
          <w:kern w:val="0"/>
        </w:rPr>
        <w:t>KeyWords Plus analysis. Over</w:t>
      </w:r>
      <w:r w:rsidR="003A1917">
        <w:rPr>
          <w:kern w:val="0"/>
        </w:rPr>
        <w:t xml:space="preserve"> the </w:t>
      </w:r>
      <w:r w:rsidRPr="00483BC4">
        <w:rPr>
          <w:kern w:val="0"/>
        </w:rPr>
        <w:t>last 20 years, annual publication outputs showed a notable growth trend. Waste Management published</w:t>
      </w:r>
      <w:r w:rsidR="003A1917">
        <w:rPr>
          <w:kern w:val="0"/>
        </w:rPr>
        <w:t xml:space="preserve"> the </w:t>
      </w:r>
      <w:r w:rsidRPr="00483BC4">
        <w:rPr>
          <w:kern w:val="0"/>
        </w:rPr>
        <w:t>most articles,</w:t>
      </w:r>
      <w:r w:rsidR="005853A9">
        <w:rPr>
          <w:kern w:val="0"/>
        </w:rPr>
        <w:t xml:space="preserve"> and </w:t>
      </w:r>
      <w:r w:rsidR="003A1917">
        <w:rPr>
          <w:kern w:val="0"/>
        </w:rPr>
        <w:t xml:space="preserve">the </w:t>
      </w:r>
      <w:r w:rsidRPr="00483BC4">
        <w:rPr>
          <w:kern w:val="0"/>
        </w:rPr>
        <w:t>solid waste related articles were becoming centered in this journal, especially in 2009</w:t>
      </w:r>
      <w:r w:rsidR="005853A9">
        <w:rPr>
          <w:kern w:val="0"/>
        </w:rPr>
        <w:t xml:space="preserve"> and </w:t>
      </w:r>
      <w:r w:rsidRPr="00483BC4">
        <w:rPr>
          <w:kern w:val="0"/>
        </w:rPr>
        <w:t>2010</w:t>
      </w:r>
      <w:r w:rsidR="00A37C1D">
        <w:rPr>
          <w:kern w:val="0"/>
        </w:rPr>
        <w:t>. The</w:t>
      </w:r>
      <w:r w:rsidR="003A1917">
        <w:rPr>
          <w:kern w:val="0"/>
        </w:rPr>
        <w:t xml:space="preserve"> </w:t>
      </w:r>
      <w:r w:rsidRPr="00483BC4">
        <w:rPr>
          <w:kern w:val="0"/>
        </w:rPr>
        <w:t xml:space="preserve">G7 (the </w:t>
      </w:r>
      <w:r w:rsidR="00D5664A">
        <w:rPr>
          <w:kern w:val="0"/>
        </w:rPr>
        <w:t>USA</w:t>
      </w:r>
      <w:r w:rsidRPr="00483BC4">
        <w:rPr>
          <w:kern w:val="0"/>
        </w:rPr>
        <w:t>, Germany,</w:t>
      </w:r>
      <w:r w:rsidR="003A1917">
        <w:rPr>
          <w:kern w:val="0"/>
        </w:rPr>
        <w:t xml:space="preserve"> the </w:t>
      </w:r>
      <w:r w:rsidR="008E3069">
        <w:rPr>
          <w:kern w:val="0"/>
        </w:rPr>
        <w:t>UK,</w:t>
      </w:r>
      <w:r w:rsidRPr="00483BC4">
        <w:rPr>
          <w:kern w:val="0"/>
        </w:rPr>
        <w:t xml:space="preserve"> Japan, France, Canada,</w:t>
      </w:r>
      <w:r w:rsidR="005853A9">
        <w:rPr>
          <w:kern w:val="0"/>
        </w:rPr>
        <w:t xml:space="preserve"> and </w:t>
      </w:r>
      <w:r w:rsidRPr="00483BC4">
        <w:rPr>
          <w:kern w:val="0"/>
        </w:rPr>
        <w:t>Italy) played active roles in publication,</w:t>
      </w:r>
      <w:r w:rsidR="005853A9">
        <w:rPr>
          <w:kern w:val="0"/>
        </w:rPr>
        <w:t xml:space="preserve"> and </w:t>
      </w:r>
      <w:r w:rsidR="003A1917">
        <w:rPr>
          <w:kern w:val="0"/>
        </w:rPr>
        <w:t xml:space="preserve">the </w:t>
      </w:r>
      <w:r w:rsidR="00D5664A">
        <w:rPr>
          <w:kern w:val="0"/>
        </w:rPr>
        <w:t>USA</w:t>
      </w:r>
      <w:r w:rsidRPr="00483BC4">
        <w:rPr>
          <w:kern w:val="0"/>
        </w:rPr>
        <w:t xml:space="preserve"> was</w:t>
      </w:r>
      <w:r w:rsidR="003A1917">
        <w:rPr>
          <w:kern w:val="0"/>
        </w:rPr>
        <w:t xml:space="preserve"> the </w:t>
      </w:r>
      <w:r w:rsidRPr="00483BC4">
        <w:rPr>
          <w:kern w:val="0"/>
        </w:rPr>
        <w:t>most productive country. Particularly, China experienced</w:t>
      </w:r>
      <w:r w:rsidR="003A1917">
        <w:rPr>
          <w:kern w:val="0"/>
        </w:rPr>
        <w:t xml:space="preserve"> the </w:t>
      </w:r>
      <w:r w:rsidRPr="00483BC4">
        <w:rPr>
          <w:kern w:val="0"/>
        </w:rPr>
        <w:t>greatest growth rate,</w:t>
      </w:r>
      <w:r w:rsidR="005853A9">
        <w:rPr>
          <w:kern w:val="0"/>
        </w:rPr>
        <w:t xml:space="preserve"> and </w:t>
      </w:r>
      <w:r w:rsidRPr="00483BC4">
        <w:rPr>
          <w:kern w:val="0"/>
        </w:rPr>
        <w:t>surpassed</w:t>
      </w:r>
      <w:r w:rsidR="003A1917">
        <w:rPr>
          <w:kern w:val="0"/>
        </w:rPr>
        <w:t xml:space="preserve"> the </w:t>
      </w:r>
      <w:r w:rsidR="00D5664A">
        <w:rPr>
          <w:kern w:val="0"/>
        </w:rPr>
        <w:t>USA</w:t>
      </w:r>
      <w:r w:rsidRPr="00483BC4">
        <w:rPr>
          <w:kern w:val="0"/>
        </w:rPr>
        <w:t xml:space="preserve"> in annual production in 2008. Furthermore,</w:t>
      </w:r>
      <w:r w:rsidR="003A1917">
        <w:rPr>
          <w:kern w:val="0"/>
        </w:rPr>
        <w:t xml:space="preserve"> the </w:t>
      </w:r>
      <w:r w:rsidRPr="00483BC4">
        <w:rPr>
          <w:kern w:val="0"/>
        </w:rPr>
        <w:t xml:space="preserve">searching keyword </w:t>
      </w:r>
      <w:r w:rsidR="00B5188C">
        <w:rPr>
          <w:kern w:val="0"/>
        </w:rPr>
        <w:t>“</w:t>
      </w:r>
      <w:r w:rsidRPr="00483BC4">
        <w:rPr>
          <w:kern w:val="0"/>
        </w:rPr>
        <w:t>solid waste*</w:t>
      </w:r>
      <w:r w:rsidR="00B5188C">
        <w:rPr>
          <w:kern w:val="0"/>
        </w:rPr>
        <w:t>”</w:t>
      </w:r>
      <w:r w:rsidRPr="00483BC4">
        <w:rPr>
          <w:kern w:val="0"/>
        </w:rPr>
        <w:t xml:space="preserve"> was migrating from</w:t>
      </w:r>
      <w:r w:rsidR="003A1917">
        <w:rPr>
          <w:kern w:val="0"/>
        </w:rPr>
        <w:t xml:space="preserve"> the </w:t>
      </w:r>
      <w:r w:rsidRPr="00483BC4">
        <w:rPr>
          <w:kern w:val="0"/>
        </w:rPr>
        <w:t>fields</w:t>
      </w:r>
      <w:r w:rsidR="00427468">
        <w:rPr>
          <w:kern w:val="0"/>
        </w:rPr>
        <w:t xml:space="preserve"> of </w:t>
      </w:r>
      <w:r w:rsidRPr="00483BC4">
        <w:rPr>
          <w:kern w:val="0"/>
        </w:rPr>
        <w:t>author keywords, title,</w:t>
      </w:r>
      <w:r w:rsidR="005853A9">
        <w:rPr>
          <w:kern w:val="0"/>
        </w:rPr>
        <w:t xml:space="preserve"> and </w:t>
      </w:r>
      <w:r w:rsidRPr="00483BC4">
        <w:rPr>
          <w:kern w:val="0"/>
        </w:rPr>
        <w:t>abstract to</w:t>
      </w:r>
      <w:r w:rsidR="003A1917">
        <w:rPr>
          <w:kern w:val="0"/>
        </w:rPr>
        <w:t xml:space="preserve"> the </w:t>
      </w:r>
      <w:r w:rsidRPr="00483BC4">
        <w:rPr>
          <w:kern w:val="0"/>
        </w:rPr>
        <w:t>field</w:t>
      </w:r>
      <w:r w:rsidR="00427468">
        <w:rPr>
          <w:kern w:val="0"/>
        </w:rPr>
        <w:t xml:space="preserve"> of </w:t>
      </w:r>
      <w:r w:rsidRPr="00483BC4">
        <w:rPr>
          <w:kern w:val="0"/>
        </w:rPr>
        <w:t>KeyWords Plus. By synthetic analysis</w:t>
      </w:r>
      <w:r w:rsidR="00427468">
        <w:rPr>
          <w:kern w:val="0"/>
        </w:rPr>
        <w:t xml:space="preserve"> of </w:t>
      </w:r>
      <w:r w:rsidRPr="00483BC4">
        <w:rPr>
          <w:kern w:val="0"/>
        </w:rPr>
        <w:t>these keywords, it was concluded that landfill, waste-to-energy, composting,</w:t>
      </w:r>
      <w:r w:rsidR="005853A9">
        <w:rPr>
          <w:kern w:val="0"/>
        </w:rPr>
        <w:t xml:space="preserve"> and </w:t>
      </w:r>
      <w:r w:rsidRPr="00483BC4">
        <w:rPr>
          <w:kern w:val="0"/>
        </w:rPr>
        <w:t>recycling were</w:t>
      </w:r>
      <w:r w:rsidR="003A1917">
        <w:rPr>
          <w:kern w:val="0"/>
        </w:rPr>
        <w:t xml:space="preserve"> the </w:t>
      </w:r>
      <w:r w:rsidRPr="00483BC4">
        <w:rPr>
          <w:kern w:val="0"/>
        </w:rPr>
        <w:t>common solution methods for solid waste problems,</w:t>
      </w:r>
      <w:r w:rsidR="005853A9">
        <w:rPr>
          <w:kern w:val="0"/>
        </w:rPr>
        <w:t xml:space="preserve"> and </w:t>
      </w:r>
      <w:r w:rsidRPr="00483BC4">
        <w:rPr>
          <w:kern w:val="0"/>
        </w:rPr>
        <w:t>would continue to be</w:t>
      </w:r>
      <w:r w:rsidR="003A1917">
        <w:rPr>
          <w:kern w:val="0"/>
        </w:rPr>
        <w:t xml:space="preserve"> the </w:t>
      </w:r>
      <w:r w:rsidRPr="00483BC4">
        <w:rPr>
          <w:kern w:val="0"/>
        </w:rPr>
        <w:t>leading research methods. Heavy metals, anaerobic digestion, sewage sludge, soil,</w:t>
      </w:r>
      <w:r w:rsidR="005853A9">
        <w:rPr>
          <w:kern w:val="0"/>
        </w:rPr>
        <w:t xml:space="preserve"> and </w:t>
      </w:r>
      <w:r w:rsidRPr="00483BC4">
        <w:rPr>
          <w:kern w:val="0"/>
        </w:rPr>
        <w:t>adsorption were also considered as hot spots. Food waste, another increasing concern, had strong potential in</w:t>
      </w:r>
      <w:r w:rsidR="003A1917">
        <w:rPr>
          <w:kern w:val="0"/>
        </w:rPr>
        <w:t xml:space="preserve"> the </w:t>
      </w:r>
      <w:r w:rsidRPr="00483BC4">
        <w:rPr>
          <w:kern w:val="0"/>
        </w:rPr>
        <w:t>near future.</w:t>
      </w:r>
    </w:p>
    <w:p w:rsidR="00483BC4" w:rsidRDefault="00483BC4" w:rsidP="00483BC4">
      <w:pPr>
        <w:pStyle w:val="a3"/>
        <w:rPr>
          <w:kern w:val="0"/>
        </w:rPr>
      </w:pPr>
      <w:r w:rsidRPr="00483BC4">
        <w:rPr>
          <w:kern w:val="0"/>
        </w:rPr>
        <w:t>Keywords: Solid Waste, Research Trends, Bibliometric, SCI-Expanded</w:t>
      </w:r>
    </w:p>
    <w:p w:rsidR="00547F0A" w:rsidRDefault="00547F0A" w:rsidP="00547F0A">
      <w:pPr>
        <w:pStyle w:val="a3"/>
        <w:rPr>
          <w:kern w:val="0"/>
        </w:rPr>
      </w:pPr>
      <w:r>
        <w:rPr>
          <w:rFonts w:hint="eastAsia"/>
          <w:kern w:val="0"/>
        </w:rPr>
        <w:t>? Wang, M.H.</w:t>
      </w:r>
      <w:r w:rsidR="005853A9">
        <w:rPr>
          <w:rFonts w:hint="eastAsia"/>
          <w:kern w:val="0"/>
        </w:rPr>
        <w:t xml:space="preserve"> and </w:t>
      </w:r>
      <w:r>
        <w:rPr>
          <w:rFonts w:hint="eastAsia"/>
          <w:kern w:val="0"/>
        </w:rPr>
        <w:t>Ho, Y.S</w:t>
      </w:r>
      <w:r>
        <w:rPr>
          <w:kern w:val="0"/>
        </w:rPr>
        <w:t>. (201</w:t>
      </w:r>
      <w:r>
        <w:rPr>
          <w:rFonts w:hint="eastAsia"/>
          <w:kern w:val="0"/>
        </w:rPr>
        <w:t>2</w:t>
      </w:r>
      <w:r>
        <w:rPr>
          <w:kern w:val="0"/>
        </w:rPr>
        <w:t xml:space="preserve">), </w:t>
      </w:r>
      <w:r w:rsidRPr="00547F0A">
        <w:rPr>
          <w:kern w:val="0"/>
        </w:rPr>
        <w:t>A bibliometric analysis</w:t>
      </w:r>
      <w:r w:rsidR="00427468">
        <w:rPr>
          <w:kern w:val="0"/>
        </w:rPr>
        <w:t xml:space="preserve"> of </w:t>
      </w:r>
      <w:r w:rsidRPr="00547F0A">
        <w:rPr>
          <w:kern w:val="0"/>
        </w:rPr>
        <w:t>global research on bamboo from 1992 to 2011</w:t>
      </w:r>
      <w:r>
        <w:rPr>
          <w:rFonts w:hint="eastAsia"/>
        </w:rPr>
        <w:t xml:space="preserve">. </w:t>
      </w:r>
      <w:r w:rsidRPr="002206D8">
        <w:rPr>
          <w:i/>
        </w:rPr>
        <w:t>Archives</w:t>
      </w:r>
      <w:r w:rsidR="00427468">
        <w:rPr>
          <w:i/>
        </w:rPr>
        <w:t xml:space="preserve"> of </w:t>
      </w:r>
      <w:r w:rsidRPr="002206D8">
        <w:rPr>
          <w:i/>
        </w:rPr>
        <w:t>Environmental Science</w:t>
      </w:r>
      <w:r>
        <w:rPr>
          <w:rFonts w:hint="eastAsia"/>
        </w:rPr>
        <w:t>,</w:t>
      </w:r>
      <w:r>
        <w:t xml:space="preserve"> </w:t>
      </w:r>
      <w:r w:rsidRPr="002206D8">
        <w:rPr>
          <w:b/>
        </w:rPr>
        <w:t>6</w:t>
      </w:r>
      <w:r>
        <w:t xml:space="preserve">, </w:t>
      </w:r>
      <w:r w:rsidRPr="00547F0A">
        <w:rPr>
          <w:kern w:val="0"/>
        </w:rPr>
        <w:t>68-79</w:t>
      </w:r>
      <w:r>
        <w:t>.</w:t>
      </w:r>
    </w:p>
    <w:p w:rsidR="00547F0A" w:rsidRDefault="00547F0A" w:rsidP="00547F0A">
      <w:pPr>
        <w:pStyle w:val="a3"/>
        <w:rPr>
          <w:kern w:val="0"/>
        </w:rPr>
      </w:pPr>
      <w:r>
        <w:rPr>
          <w:rFonts w:hint="eastAsia"/>
          <w:kern w:val="0"/>
        </w:rPr>
        <w:t>Full Text:</w:t>
      </w:r>
      <w:r w:rsidRPr="00547F0A">
        <w:rPr>
          <w:kern w:val="0"/>
        </w:rPr>
        <w:t xml:space="preserve"> </w:t>
      </w:r>
      <w:hyperlink r:id="rId1112" w:history="1">
        <w:r w:rsidRPr="00547F0A">
          <w:rPr>
            <w:rStyle w:val="a5"/>
            <w:kern w:val="0"/>
          </w:rPr>
          <w:t>2012\Arc Eur Sci6, 68-1.pdf</w:t>
        </w:r>
      </w:hyperlink>
      <w:r>
        <w:rPr>
          <w:rFonts w:hint="eastAsia"/>
          <w:kern w:val="0"/>
        </w:rPr>
        <w:t xml:space="preserve">; </w:t>
      </w:r>
      <w:hyperlink r:id="rId1113" w:history="1">
        <w:r w:rsidRPr="00547F0A">
          <w:rPr>
            <w:rStyle w:val="a5"/>
            <w:kern w:val="0"/>
          </w:rPr>
          <w:t>2012\Arc Eur Sci6, 68.pdf</w:t>
        </w:r>
      </w:hyperlink>
    </w:p>
    <w:p w:rsidR="00547F0A" w:rsidRPr="00547F0A" w:rsidRDefault="00547F0A" w:rsidP="00547F0A">
      <w:pPr>
        <w:pStyle w:val="a3"/>
        <w:rPr>
          <w:kern w:val="0"/>
        </w:rPr>
      </w:pPr>
      <w:r w:rsidRPr="00547F0A">
        <w:rPr>
          <w:kern w:val="0"/>
        </w:rPr>
        <w:t>Abstract</w:t>
      </w:r>
      <w:r>
        <w:rPr>
          <w:rFonts w:hint="eastAsia"/>
          <w:kern w:val="0"/>
        </w:rPr>
        <w:t xml:space="preserve">: </w:t>
      </w:r>
      <w:r w:rsidRPr="00547F0A">
        <w:rPr>
          <w:kern w:val="0"/>
        </w:rPr>
        <w:t>The Essential Science Indicators (ESI) database</w:t>
      </w:r>
      <w:r w:rsidR="00427468">
        <w:rPr>
          <w:kern w:val="0"/>
        </w:rPr>
        <w:t xml:space="preserve"> of </w:t>
      </w:r>
      <w:r w:rsidRPr="00547F0A">
        <w:rPr>
          <w:kern w:val="0"/>
        </w:rPr>
        <w:t>Thomson Reuters is widely used to evaluate</w:t>
      </w:r>
      <w:r w:rsidR="005853A9">
        <w:rPr>
          <w:kern w:val="0"/>
        </w:rPr>
        <w:t xml:space="preserve"> and </w:t>
      </w:r>
      <w:r w:rsidRPr="00547F0A">
        <w:rPr>
          <w:kern w:val="0"/>
        </w:rPr>
        <w:t xml:space="preserve">identify important, high-impact papers, but few researches have </w:t>
      </w:r>
      <w:r w:rsidRPr="00547F0A">
        <w:rPr>
          <w:kern w:val="0"/>
        </w:rPr>
        <w:lastRenderedPageBreak/>
        <w:t>looked at attributes</w:t>
      </w:r>
      <w:r w:rsidR="00427468">
        <w:rPr>
          <w:kern w:val="0"/>
        </w:rPr>
        <w:t xml:space="preserve"> of </w:t>
      </w:r>
      <w:r w:rsidRPr="00547F0A">
        <w:rPr>
          <w:kern w:val="0"/>
        </w:rPr>
        <w:t>the ESI database. Using the category</w:t>
      </w:r>
      <w:r w:rsidR="00427468">
        <w:rPr>
          <w:kern w:val="0"/>
        </w:rPr>
        <w:t xml:space="preserve"> of </w:t>
      </w:r>
      <w:r w:rsidRPr="00547F0A">
        <w:rPr>
          <w:kern w:val="0"/>
        </w:rPr>
        <w:t>“chemical engineering” as an example, characteristics</w:t>
      </w:r>
      <w:r w:rsidR="00427468">
        <w:rPr>
          <w:kern w:val="0"/>
        </w:rPr>
        <w:t xml:space="preserve"> of </w:t>
      </w:r>
      <w:r w:rsidRPr="00547F0A">
        <w:rPr>
          <w:kern w:val="0"/>
        </w:rPr>
        <w:t>the ESI database were described,</w:t>
      </w:r>
      <w:r w:rsidR="005853A9">
        <w:rPr>
          <w:kern w:val="0"/>
        </w:rPr>
        <w:t xml:space="preserve"> and </w:t>
      </w:r>
      <w:r w:rsidRPr="00547F0A">
        <w:rPr>
          <w:kern w:val="0"/>
        </w:rPr>
        <w:t>distributions</w:t>
      </w:r>
      <w:r w:rsidR="00427468">
        <w:rPr>
          <w:kern w:val="0"/>
        </w:rPr>
        <w:t xml:space="preserve"> of </w:t>
      </w:r>
      <w:r w:rsidRPr="00547F0A">
        <w:rPr>
          <w:kern w:val="0"/>
        </w:rPr>
        <w:t>document type, language</w:t>
      </w:r>
      <w:r w:rsidR="00427468">
        <w:rPr>
          <w:kern w:val="0"/>
        </w:rPr>
        <w:t xml:space="preserve"> of </w:t>
      </w:r>
      <w:r w:rsidRPr="00547F0A">
        <w:rPr>
          <w:kern w:val="0"/>
        </w:rPr>
        <w:t>the paper,</w:t>
      </w:r>
      <w:r w:rsidR="005853A9">
        <w:rPr>
          <w:kern w:val="0"/>
        </w:rPr>
        <w:t xml:space="preserve"> and </w:t>
      </w:r>
      <w:r w:rsidRPr="00547F0A">
        <w:rPr>
          <w:kern w:val="0"/>
        </w:rPr>
        <w:t>journal</w:t>
      </w:r>
      <w:r w:rsidR="00427468">
        <w:rPr>
          <w:kern w:val="0"/>
        </w:rPr>
        <w:t xml:space="preserve"> of </w:t>
      </w:r>
      <w:r w:rsidRPr="00547F0A">
        <w:rPr>
          <w:kern w:val="0"/>
        </w:rPr>
        <w:t>publication were reported. Five indicators, total number</w:t>
      </w:r>
      <w:r w:rsidR="00427468">
        <w:rPr>
          <w:kern w:val="0"/>
        </w:rPr>
        <w:t xml:space="preserve"> of </w:t>
      </w:r>
      <w:r w:rsidRPr="00547F0A">
        <w:rPr>
          <w:kern w:val="0"/>
        </w:rPr>
        <w:t>papers, first-author papers, corresponding-author papers, independent papers,</w:t>
      </w:r>
      <w:r w:rsidR="005853A9">
        <w:rPr>
          <w:kern w:val="0"/>
        </w:rPr>
        <w:t xml:space="preserve"> and </w:t>
      </w:r>
      <w:r w:rsidRPr="00547F0A">
        <w:rPr>
          <w:kern w:val="0"/>
        </w:rPr>
        <w:t>collaborative papers, were applied to evaluate publications by country, institute,</w:t>
      </w:r>
      <w:r w:rsidR="005853A9">
        <w:rPr>
          <w:kern w:val="0"/>
        </w:rPr>
        <w:t xml:space="preserve"> and </w:t>
      </w:r>
      <w:r w:rsidRPr="00547F0A">
        <w:rPr>
          <w:kern w:val="0"/>
        </w:rPr>
        <w:t>author. In addition, the number</w:t>
      </w:r>
      <w:r w:rsidR="00427468">
        <w:rPr>
          <w:kern w:val="0"/>
        </w:rPr>
        <w:t xml:space="preserve"> of </w:t>
      </w:r>
      <w:r w:rsidRPr="00547F0A">
        <w:rPr>
          <w:kern w:val="0"/>
        </w:rPr>
        <w:t>authors cited, number</w:t>
      </w:r>
      <w:r w:rsidR="00427468">
        <w:rPr>
          <w:kern w:val="0"/>
        </w:rPr>
        <w:t xml:space="preserve"> of </w:t>
      </w:r>
      <w:r w:rsidRPr="00547F0A">
        <w:rPr>
          <w:kern w:val="0"/>
        </w:rPr>
        <w:t>institutes cited, number</w:t>
      </w:r>
      <w:r w:rsidR="00427468">
        <w:rPr>
          <w:kern w:val="0"/>
        </w:rPr>
        <w:t xml:space="preserve"> of </w:t>
      </w:r>
      <w:r w:rsidRPr="00547F0A">
        <w:rPr>
          <w:kern w:val="0"/>
        </w:rPr>
        <w:t>countries cited, number</w:t>
      </w:r>
      <w:r w:rsidR="00427468">
        <w:rPr>
          <w:kern w:val="0"/>
        </w:rPr>
        <w:t xml:space="preserve"> of </w:t>
      </w:r>
      <w:r w:rsidRPr="00547F0A">
        <w:rPr>
          <w:kern w:val="0"/>
        </w:rPr>
        <w:t>subject areas cited,</w:t>
      </w:r>
      <w:r w:rsidR="005853A9">
        <w:rPr>
          <w:kern w:val="0"/>
        </w:rPr>
        <w:t xml:space="preserve"> and </w:t>
      </w:r>
      <w:r w:rsidRPr="00547F0A">
        <w:rPr>
          <w:kern w:val="0"/>
        </w:rPr>
        <w:t>number</w:t>
      </w:r>
      <w:r w:rsidR="00427468">
        <w:rPr>
          <w:kern w:val="0"/>
        </w:rPr>
        <w:t xml:space="preserve"> of </w:t>
      </w:r>
      <w:r w:rsidRPr="00547F0A">
        <w:rPr>
          <w:kern w:val="0"/>
        </w:rPr>
        <w:t>journals cited were also used to evaluate highly-cited ESI papers. Results showed that journals with a higher impact factor did not necessarily to have more papers in the ESI</w:t>
      </w:r>
      <w:r w:rsidR="00A37C1D">
        <w:rPr>
          <w:kern w:val="0"/>
        </w:rPr>
        <w:t>. The</w:t>
      </w:r>
      <w:r w:rsidRPr="00547F0A">
        <w:rPr>
          <w:kern w:val="0"/>
        </w:rPr>
        <w:t xml:space="preserve"> most highly cited ESI papers had fewer authors, were more likely to be single-country papers,</w:t>
      </w:r>
      <w:r w:rsidR="005853A9">
        <w:rPr>
          <w:kern w:val="0"/>
        </w:rPr>
        <w:t xml:space="preserve"> and </w:t>
      </w:r>
      <w:r w:rsidRPr="00547F0A">
        <w:rPr>
          <w:kern w:val="0"/>
        </w:rPr>
        <w:t>in general had not yet reached a citation peak, or had an extended citation peak over several years. Self-citation does not appear to be an issue among them</w:t>
      </w:r>
      <w:r w:rsidR="00A37C1D">
        <w:rPr>
          <w:kern w:val="0"/>
        </w:rPr>
        <w:t>. The</w:t>
      </w:r>
      <w:r w:rsidRPr="00547F0A">
        <w:rPr>
          <w:kern w:val="0"/>
        </w:rPr>
        <w:t xml:space="preserve"> ESI database only includes papers that were published within the last ten years,</w:t>
      </w:r>
      <w:r w:rsidR="005853A9">
        <w:rPr>
          <w:kern w:val="0"/>
        </w:rPr>
        <w:t xml:space="preserve"> and </w:t>
      </w:r>
      <w:r w:rsidRPr="00547F0A">
        <w:rPr>
          <w:kern w:val="0"/>
        </w:rPr>
        <w:t>likely excludes some top-cited papers even before their citation peak is reached. We suggest that ESI criteria should be amended to include all papers but only consider citation frequencies within the last ten years.</w:t>
      </w:r>
    </w:p>
    <w:p w:rsidR="00547F0A" w:rsidRDefault="00547F0A" w:rsidP="00547F0A">
      <w:pPr>
        <w:pStyle w:val="a3"/>
        <w:rPr>
          <w:kern w:val="0"/>
        </w:rPr>
      </w:pPr>
      <w:r w:rsidRPr="00547F0A">
        <w:rPr>
          <w:kern w:val="0"/>
        </w:rPr>
        <w:t>Keywords: Indicators, ESI, Number</w:t>
      </w:r>
      <w:r w:rsidR="00427468">
        <w:rPr>
          <w:kern w:val="0"/>
        </w:rPr>
        <w:t xml:space="preserve"> of </w:t>
      </w:r>
      <w:r w:rsidRPr="00547F0A">
        <w:rPr>
          <w:kern w:val="0"/>
        </w:rPr>
        <w:t>Institutes Cited, Number</w:t>
      </w:r>
      <w:r w:rsidR="00427468">
        <w:rPr>
          <w:kern w:val="0"/>
        </w:rPr>
        <w:t xml:space="preserve"> of </w:t>
      </w:r>
      <w:r w:rsidRPr="00547F0A">
        <w:rPr>
          <w:kern w:val="0"/>
        </w:rPr>
        <w:t>Countries Cited, Number</w:t>
      </w:r>
      <w:r w:rsidR="00427468">
        <w:rPr>
          <w:kern w:val="0"/>
        </w:rPr>
        <w:t xml:space="preserve"> of </w:t>
      </w:r>
      <w:r w:rsidRPr="00547F0A">
        <w:rPr>
          <w:kern w:val="0"/>
        </w:rPr>
        <w:t>Subject Areas Cited</w:t>
      </w:r>
    </w:p>
    <w:p w:rsidR="00547F0A" w:rsidRDefault="00547F0A" w:rsidP="00547F0A">
      <w:pPr>
        <w:pStyle w:val="a3"/>
        <w:rPr>
          <w:kern w:val="0"/>
        </w:rPr>
      </w:pPr>
      <w:r>
        <w:rPr>
          <w:rFonts w:hint="eastAsia"/>
          <w:kern w:val="0"/>
        </w:rPr>
        <w:t>? Chen, Y., Xie, S.D.</w:t>
      </w:r>
      <w:r w:rsidR="005853A9">
        <w:rPr>
          <w:rFonts w:hint="eastAsia"/>
          <w:kern w:val="0"/>
        </w:rPr>
        <w:t xml:space="preserve"> and </w:t>
      </w:r>
      <w:r>
        <w:rPr>
          <w:rFonts w:hint="eastAsia"/>
          <w:kern w:val="0"/>
        </w:rPr>
        <w:t>Ho, Y.S</w:t>
      </w:r>
      <w:r>
        <w:rPr>
          <w:kern w:val="0"/>
        </w:rPr>
        <w:t>. (201</w:t>
      </w:r>
      <w:r>
        <w:rPr>
          <w:rFonts w:hint="eastAsia"/>
          <w:kern w:val="0"/>
        </w:rPr>
        <w:t>2</w:t>
      </w:r>
      <w:r>
        <w:rPr>
          <w:kern w:val="0"/>
        </w:rPr>
        <w:t xml:space="preserve">), </w:t>
      </w:r>
      <w:r w:rsidRPr="00B51341">
        <w:rPr>
          <w:szCs w:val="24"/>
        </w:rPr>
        <w:t>A bibliometric analysis</w:t>
      </w:r>
      <w:r w:rsidR="00427468">
        <w:rPr>
          <w:szCs w:val="24"/>
        </w:rPr>
        <w:t xml:space="preserve"> of </w:t>
      </w:r>
      <w:r w:rsidRPr="00B51341">
        <w:rPr>
          <w:szCs w:val="24"/>
        </w:rPr>
        <w:t>research trend in global nitrogen cycle</w:t>
      </w:r>
      <w:r>
        <w:rPr>
          <w:rFonts w:hint="eastAsia"/>
        </w:rPr>
        <w:t xml:space="preserve">. </w:t>
      </w:r>
      <w:r w:rsidRPr="002206D8">
        <w:rPr>
          <w:i/>
        </w:rPr>
        <w:t>Archives</w:t>
      </w:r>
      <w:r w:rsidR="00427468">
        <w:rPr>
          <w:i/>
        </w:rPr>
        <w:t xml:space="preserve"> of </w:t>
      </w:r>
      <w:r w:rsidRPr="002206D8">
        <w:rPr>
          <w:i/>
        </w:rPr>
        <w:t>Environmental Science</w:t>
      </w:r>
      <w:r>
        <w:rPr>
          <w:rFonts w:hint="eastAsia"/>
        </w:rPr>
        <w:t>,</w:t>
      </w:r>
      <w:r>
        <w:t xml:space="preserve"> </w:t>
      </w:r>
      <w:r w:rsidRPr="002206D8">
        <w:rPr>
          <w:b/>
        </w:rPr>
        <w:t>6</w:t>
      </w:r>
      <w:r>
        <w:t xml:space="preserve">, </w:t>
      </w:r>
      <w:r>
        <w:rPr>
          <w:rFonts w:hint="eastAsia"/>
        </w:rPr>
        <w:t>96-110</w:t>
      </w:r>
      <w:r>
        <w:t>.</w:t>
      </w:r>
    </w:p>
    <w:p w:rsidR="00547F0A" w:rsidRDefault="00547F0A" w:rsidP="00547F0A">
      <w:pPr>
        <w:pStyle w:val="a3"/>
        <w:rPr>
          <w:kern w:val="0"/>
        </w:rPr>
      </w:pPr>
      <w:r>
        <w:rPr>
          <w:rFonts w:hint="eastAsia"/>
          <w:kern w:val="0"/>
        </w:rPr>
        <w:t xml:space="preserve">Full Text: </w:t>
      </w:r>
      <w:hyperlink r:id="rId1114" w:history="1">
        <w:r w:rsidRPr="00B51341">
          <w:rPr>
            <w:rStyle w:val="a5"/>
            <w:kern w:val="0"/>
          </w:rPr>
          <w:t>2012\Arc Eur Sci6, 96.pdf</w:t>
        </w:r>
      </w:hyperlink>
    </w:p>
    <w:p w:rsidR="00FD4E26" w:rsidRDefault="00FD4E26" w:rsidP="00FD4E26">
      <w:pPr>
        <w:pStyle w:val="a3"/>
      </w:pPr>
      <w:r>
        <w:t>Abstract</w:t>
      </w:r>
      <w:r>
        <w:rPr>
          <w:rFonts w:hint="eastAsia"/>
        </w:rPr>
        <w:t xml:space="preserve">: </w:t>
      </w:r>
      <w:r>
        <w:t>This study aims at exploring</w:t>
      </w:r>
      <w:r w:rsidR="003A1917">
        <w:t xml:space="preserve"> the </w:t>
      </w:r>
      <w:r>
        <w:t>research characteristics</w:t>
      </w:r>
      <w:r w:rsidR="00427468">
        <w:t xml:space="preserve"> of </w:t>
      </w:r>
      <w:r>
        <w:t>nitrogen cycle, through quantitatively analysis</w:t>
      </w:r>
      <w:r w:rsidR="00427468">
        <w:t xml:space="preserve"> of </w:t>
      </w:r>
      <w:r>
        <w:t>related literature gathered from</w:t>
      </w:r>
      <w:r w:rsidR="003A1917">
        <w:t xml:space="preserve"> the </w:t>
      </w:r>
      <w:r>
        <w:t>online version</w:t>
      </w:r>
      <w:r w:rsidR="00427468">
        <w:t xml:space="preserve"> of </w:t>
      </w:r>
      <w:r>
        <w:t>Science Citation Index-Expanded,</w:t>
      </w:r>
      <w:r w:rsidR="003A1917">
        <w:t xml:space="preserve"> the </w:t>
      </w:r>
      <w:r>
        <w:t xml:space="preserve">Thomson Reuters </w:t>
      </w:r>
      <w:r w:rsidR="00D5664A">
        <w:t>Web</w:t>
      </w:r>
      <w:r w:rsidR="00427468">
        <w:t xml:space="preserve"> of </w:t>
      </w:r>
      <w:r w:rsidR="00D5664A">
        <w:t>Science</w:t>
      </w:r>
      <w:r>
        <w:t xml:space="preserve"> from 1992-2009. General analysis</w:t>
      </w:r>
      <w:r w:rsidR="00427468">
        <w:t xml:space="preserve"> of </w:t>
      </w:r>
      <w:r>
        <w:t>scientific output such as subject category, journal, language,</w:t>
      </w:r>
      <w:r w:rsidR="005853A9">
        <w:t xml:space="preserve"> and </w:t>
      </w:r>
      <w:r>
        <w:t>research performance by countries</w:t>
      </w:r>
      <w:r w:rsidR="005853A9">
        <w:t xml:space="preserve"> and </w:t>
      </w:r>
      <w:r>
        <w:t>institutions were presented. Distribution</w:t>
      </w:r>
      <w:r w:rsidR="00427468">
        <w:t xml:space="preserve"> of </w:t>
      </w:r>
      <w:r>
        <w:t>author keywords, words in title,</w:t>
      </w:r>
      <w:r w:rsidR="005853A9">
        <w:t xml:space="preserve"> and </w:t>
      </w:r>
      <w:r>
        <w:t>KeyWords Plus was analyzed to map</w:t>
      </w:r>
      <w:r w:rsidR="003A1917">
        <w:t xml:space="preserve"> the </w:t>
      </w:r>
      <w:r>
        <w:t>research trend. Results show that articles related to nitrogen cycle grew significantly after 1995 along with more collaboration between countries</w:t>
      </w:r>
      <w:r w:rsidR="005853A9">
        <w:t xml:space="preserve"> and </w:t>
      </w:r>
      <w:r>
        <w:t>institutions.</w:t>
      </w:r>
      <w:r w:rsidR="00427468">
        <w:t xml:space="preserve"> of </w:t>
      </w:r>
      <w:r>
        <w:t>all</w:t>
      </w:r>
      <w:r w:rsidR="003A1917">
        <w:t xml:space="preserve"> the </w:t>
      </w:r>
      <w:r>
        <w:t xml:space="preserve">involved countries, </w:t>
      </w:r>
      <w:r w:rsidR="00D5664A">
        <w:t>USA</w:t>
      </w:r>
      <w:r>
        <w:t xml:space="preserve"> possessed a stronger power in nitrogen cycle research. Synthetic analysis</w:t>
      </w:r>
      <w:r w:rsidR="00427468">
        <w:t xml:space="preserve"> of </w:t>
      </w:r>
      <w:r>
        <w:t>three kinds</w:t>
      </w:r>
      <w:r w:rsidR="00427468">
        <w:t xml:space="preserve"> of </w:t>
      </w:r>
      <w:r>
        <w:t xml:space="preserve">keywords showed that </w:t>
      </w:r>
      <w:r w:rsidR="00B5188C">
        <w:t>“</w:t>
      </w:r>
      <w:r>
        <w:t>mineralization</w:t>
      </w:r>
      <w:r w:rsidR="00B5188C">
        <w:t>”</w:t>
      </w:r>
      <w:r>
        <w:t xml:space="preserve">, </w:t>
      </w:r>
      <w:r w:rsidR="00B5188C">
        <w:t>“</w:t>
      </w:r>
      <w:r>
        <w:t>dynamics</w:t>
      </w:r>
      <w:r w:rsidR="00B5188C">
        <w:t>”</w:t>
      </w:r>
      <w:r>
        <w:t xml:space="preserve">, </w:t>
      </w:r>
      <w:r w:rsidR="00B5188C">
        <w:t>“</w:t>
      </w:r>
      <w:r>
        <w:t>soils</w:t>
      </w:r>
      <w:r w:rsidR="00B5188C">
        <w:t>”</w:t>
      </w:r>
      <w:r>
        <w:t xml:space="preserve">, </w:t>
      </w:r>
      <w:r w:rsidR="00B5188C">
        <w:t>“</w:t>
      </w:r>
      <w:r>
        <w:t>ecosystems</w:t>
      </w:r>
      <w:r w:rsidR="00B5188C">
        <w:t>”</w:t>
      </w:r>
      <w:r>
        <w:t xml:space="preserve">, </w:t>
      </w:r>
      <w:r w:rsidR="00B5188C">
        <w:t>“</w:t>
      </w:r>
      <w:r>
        <w:t>nitrification</w:t>
      </w:r>
      <w:r w:rsidR="00B5188C">
        <w:t>”</w:t>
      </w:r>
      <w:r>
        <w:t>,</w:t>
      </w:r>
      <w:r w:rsidR="005853A9">
        <w:t xml:space="preserve"> and </w:t>
      </w:r>
      <w:r w:rsidR="00B5188C">
        <w:t>“</w:t>
      </w:r>
      <w:r>
        <w:t>denitrification</w:t>
      </w:r>
      <w:r w:rsidR="00B5188C">
        <w:t>”</w:t>
      </w:r>
      <w:r>
        <w:t xml:space="preserve"> were popular research topics, while</w:t>
      </w:r>
      <w:r w:rsidR="003A1917">
        <w:t xml:space="preserve"> the </w:t>
      </w:r>
      <w:r>
        <w:t>responses</w:t>
      </w:r>
      <w:r w:rsidR="00427468">
        <w:t xml:space="preserve"> of </w:t>
      </w:r>
      <w:r w:rsidR="00B5188C">
        <w:t>“</w:t>
      </w:r>
      <w:r>
        <w:t>water</w:t>
      </w:r>
      <w:r w:rsidR="00B5188C">
        <w:t>”</w:t>
      </w:r>
      <w:r>
        <w:t xml:space="preserve">, </w:t>
      </w:r>
      <w:r w:rsidR="00B5188C">
        <w:t>“</w:t>
      </w:r>
      <w:r>
        <w:t>plant</w:t>
      </w:r>
      <w:r w:rsidR="00B5188C">
        <w:t>”</w:t>
      </w:r>
      <w:r>
        <w:t xml:space="preserve">, </w:t>
      </w:r>
      <w:r w:rsidR="00B5188C">
        <w:t>“</w:t>
      </w:r>
      <w:r>
        <w:t>forest</w:t>
      </w:r>
      <w:r w:rsidR="00B5188C">
        <w:t>”</w:t>
      </w:r>
      <w:r>
        <w:t>,</w:t>
      </w:r>
      <w:r w:rsidR="005853A9">
        <w:t xml:space="preserve"> and </w:t>
      </w:r>
      <w:r w:rsidR="00B5188C">
        <w:t>“</w:t>
      </w:r>
      <w:r>
        <w:t>grassland</w:t>
      </w:r>
      <w:r w:rsidR="00B5188C">
        <w:t>”</w:t>
      </w:r>
      <w:r>
        <w:t xml:space="preserve"> as well as</w:t>
      </w:r>
      <w:r w:rsidR="003A1917">
        <w:t xml:space="preserve"> the </w:t>
      </w:r>
      <w:r>
        <w:t>climate effect</w:t>
      </w:r>
      <w:r w:rsidR="00427468">
        <w:t xml:space="preserve"> of </w:t>
      </w:r>
      <w:r w:rsidR="00B5188C">
        <w:t>“</w:t>
      </w:r>
      <w:r>
        <w:t>N</w:t>
      </w:r>
      <w:r>
        <w:rPr>
          <w:sz w:val="16"/>
          <w:szCs w:val="16"/>
        </w:rPr>
        <w:t>2</w:t>
      </w:r>
      <w:r>
        <w:t>O</w:t>
      </w:r>
      <w:r w:rsidR="00B5188C">
        <w:t>”</w:t>
      </w:r>
      <w:r w:rsidR="005853A9">
        <w:t xml:space="preserve"> and </w:t>
      </w:r>
      <w:r w:rsidR="00B5188C">
        <w:t>“</w:t>
      </w:r>
      <w:r>
        <w:t>carbon</w:t>
      </w:r>
      <w:r w:rsidR="00B5188C">
        <w:t>”</w:t>
      </w:r>
      <w:r>
        <w:t xml:space="preserve"> due to alteration</w:t>
      </w:r>
      <w:r w:rsidR="00427468">
        <w:t xml:space="preserve"> of </w:t>
      </w:r>
      <w:r>
        <w:t>nitrogen cycle may be new focus in nitrogen cycle research field in</w:t>
      </w:r>
      <w:r w:rsidR="003A1917">
        <w:t xml:space="preserve"> the </w:t>
      </w:r>
      <w:r>
        <w:t>future.</w:t>
      </w:r>
    </w:p>
    <w:p w:rsidR="00FD4E26" w:rsidRPr="00B51341" w:rsidRDefault="00FD4E26" w:rsidP="00FD4E26">
      <w:pPr>
        <w:pStyle w:val="a3"/>
      </w:pPr>
      <w:r w:rsidRPr="00B51341">
        <w:rPr>
          <w:szCs w:val="23"/>
        </w:rPr>
        <w:t>Keywords: Scientometrics, Nitrogen Cycle</w:t>
      </w:r>
      <w:r w:rsidR="00D5664A">
        <w:rPr>
          <w:szCs w:val="23"/>
        </w:rPr>
        <w:t>, SCI,</w:t>
      </w:r>
      <w:r w:rsidRPr="00B51341">
        <w:rPr>
          <w:szCs w:val="23"/>
        </w:rPr>
        <w:t xml:space="preserve"> Research Trend</w:t>
      </w:r>
    </w:p>
    <w:p w:rsidR="0051774E" w:rsidRPr="001A3D2B" w:rsidRDefault="0051774E" w:rsidP="0051774E">
      <w:pPr>
        <w:pStyle w:val="1"/>
      </w:pPr>
      <w:r w:rsidRPr="001A3D2B">
        <w:br w:type="page"/>
      </w:r>
      <w:bookmarkStart w:id="571" w:name="_Toc420814572"/>
      <w:r w:rsidRPr="001A3D2B">
        <w:lastRenderedPageBreak/>
        <w:t xml:space="preserve">Title: </w:t>
      </w:r>
      <w:r w:rsidRPr="0051774E">
        <w:t>Archives Europeennes de Sociologie</w:t>
      </w:r>
      <w:bookmarkEnd w:id="571"/>
    </w:p>
    <w:p w:rsidR="0051774E" w:rsidRPr="001A3D2B" w:rsidRDefault="0051774E" w:rsidP="0051774E">
      <w:pPr>
        <w:pStyle w:val="12"/>
      </w:pPr>
      <w:r w:rsidRPr="001A3D2B">
        <w:t xml:space="preserve">Full Journal Title: </w:t>
      </w:r>
      <w:r w:rsidRPr="0051774E">
        <w:rPr>
          <w:iCs/>
          <w:kern w:val="0"/>
        </w:rPr>
        <w:t>Archives Europeennes de Sociologie</w:t>
      </w:r>
    </w:p>
    <w:p w:rsidR="0051774E" w:rsidRPr="001A3D2B" w:rsidRDefault="0051774E" w:rsidP="0051774E">
      <w:pPr>
        <w:pStyle w:val="12"/>
      </w:pPr>
      <w:r w:rsidRPr="001A3D2B">
        <w:t xml:space="preserve">ISO Abbreviated Title: </w:t>
      </w:r>
    </w:p>
    <w:p w:rsidR="0051774E" w:rsidRPr="001A3D2B" w:rsidRDefault="0051774E" w:rsidP="0051774E">
      <w:pPr>
        <w:pStyle w:val="12"/>
      </w:pPr>
      <w:r w:rsidRPr="001A3D2B">
        <w:t xml:space="preserve">JCR Abbreviated Title: </w:t>
      </w:r>
    </w:p>
    <w:p w:rsidR="0051774E" w:rsidRPr="001A3D2B" w:rsidRDefault="0051774E" w:rsidP="0051774E">
      <w:pPr>
        <w:pStyle w:val="12"/>
      </w:pPr>
      <w:r w:rsidRPr="001A3D2B">
        <w:t xml:space="preserve">ISSN: </w:t>
      </w:r>
    </w:p>
    <w:p w:rsidR="0051774E" w:rsidRPr="001A3D2B" w:rsidRDefault="0051774E" w:rsidP="0051774E">
      <w:pPr>
        <w:pStyle w:val="12"/>
      </w:pPr>
      <w:r w:rsidRPr="001A3D2B">
        <w:t xml:space="preserve">Issues/Year: </w:t>
      </w:r>
    </w:p>
    <w:p w:rsidR="0051774E" w:rsidRPr="001A3D2B" w:rsidRDefault="0051774E" w:rsidP="0051774E">
      <w:pPr>
        <w:pStyle w:val="12"/>
      </w:pPr>
      <w:r w:rsidRPr="001A3D2B">
        <w:t xml:space="preserve">Journal Country/Territory: </w:t>
      </w:r>
    </w:p>
    <w:p w:rsidR="0051774E" w:rsidRPr="001A3D2B" w:rsidRDefault="0051774E" w:rsidP="0051774E">
      <w:pPr>
        <w:pStyle w:val="12"/>
      </w:pPr>
      <w:r w:rsidRPr="001A3D2B">
        <w:t xml:space="preserve">Language: </w:t>
      </w:r>
    </w:p>
    <w:p w:rsidR="0051774E" w:rsidRPr="001A3D2B" w:rsidRDefault="0051774E" w:rsidP="0051774E">
      <w:pPr>
        <w:pStyle w:val="12"/>
      </w:pPr>
      <w:r w:rsidRPr="001A3D2B">
        <w:t xml:space="preserve">Publisher: </w:t>
      </w:r>
    </w:p>
    <w:p w:rsidR="0051774E" w:rsidRPr="001A3D2B" w:rsidRDefault="0051774E" w:rsidP="0051774E">
      <w:pPr>
        <w:pStyle w:val="12"/>
      </w:pPr>
      <w:r w:rsidRPr="001A3D2B">
        <w:t xml:space="preserve">Publisher Address: </w:t>
      </w:r>
    </w:p>
    <w:p w:rsidR="0051774E" w:rsidRPr="001A3D2B" w:rsidRDefault="0051774E" w:rsidP="0051774E">
      <w:pPr>
        <w:pStyle w:val="12"/>
      </w:pPr>
      <w:r w:rsidRPr="001A3D2B">
        <w:t xml:space="preserve">Subject Categories: </w:t>
      </w:r>
    </w:p>
    <w:p w:rsidR="0051774E" w:rsidRPr="001A3D2B" w:rsidRDefault="0051774E" w:rsidP="0051774E">
      <w:pPr>
        <w:pStyle w:val="12"/>
      </w:pPr>
      <w:r w:rsidRPr="001A3D2B">
        <w:t xml:space="preserve">: Impact Factor </w:t>
      </w:r>
    </w:p>
    <w:p w:rsidR="0051774E" w:rsidRDefault="0051774E" w:rsidP="0051774E">
      <w:pPr>
        <w:pStyle w:val="a3"/>
        <w:rPr>
          <w:kern w:val="0"/>
        </w:rPr>
      </w:pPr>
      <w:r>
        <w:rPr>
          <w:rFonts w:hint="eastAsia"/>
          <w:kern w:val="0"/>
        </w:rPr>
        <w:t xml:space="preserve">? </w:t>
      </w:r>
      <w:r>
        <w:rPr>
          <w:kern w:val="0"/>
        </w:rPr>
        <w:t>Mirowski, P. (2010), Bibliometrics</w:t>
      </w:r>
      <w:r w:rsidR="005853A9">
        <w:rPr>
          <w:kern w:val="0"/>
        </w:rPr>
        <w:t xml:space="preserve"> and </w:t>
      </w:r>
      <w:r w:rsidR="003A1917">
        <w:rPr>
          <w:kern w:val="0"/>
        </w:rPr>
        <w:t xml:space="preserve">the </w:t>
      </w:r>
      <w:r>
        <w:rPr>
          <w:kern w:val="0"/>
        </w:rPr>
        <w:t xml:space="preserve">Modern Commercial Regime. </w:t>
      </w:r>
      <w:r w:rsidRPr="0051774E">
        <w:rPr>
          <w:i/>
          <w:iCs/>
          <w:kern w:val="0"/>
        </w:rPr>
        <w:t>Archives Europeennes de Sociologie</w:t>
      </w:r>
      <w:r>
        <w:rPr>
          <w:kern w:val="0"/>
        </w:rPr>
        <w:t xml:space="preserve">, </w:t>
      </w:r>
      <w:r>
        <w:rPr>
          <w:b/>
          <w:bCs/>
          <w:kern w:val="0"/>
        </w:rPr>
        <w:t>51</w:t>
      </w:r>
      <w:r>
        <w:rPr>
          <w:kern w:val="0"/>
        </w:rPr>
        <w:t xml:space="preserve"> (2), 243-270.</w:t>
      </w:r>
    </w:p>
    <w:p w:rsidR="0051774E" w:rsidRDefault="0051774E" w:rsidP="0051774E">
      <w:pPr>
        <w:pStyle w:val="a3"/>
        <w:rPr>
          <w:kern w:val="0"/>
        </w:rPr>
      </w:pPr>
      <w:r>
        <w:rPr>
          <w:rFonts w:hint="eastAsia"/>
          <w:kern w:val="0"/>
        </w:rPr>
        <w:t xml:space="preserve">Full Text: </w:t>
      </w:r>
      <w:hyperlink r:id="rId1115" w:history="1">
        <w:r w:rsidRPr="0052059C">
          <w:rPr>
            <w:rStyle w:val="a5"/>
            <w:kern w:val="0"/>
          </w:rPr>
          <w:t>2010\Arc Eur Soc51, 243.pdf</w:t>
        </w:r>
      </w:hyperlink>
    </w:p>
    <w:p w:rsidR="0051774E" w:rsidRDefault="0051774E" w:rsidP="0051774E">
      <w:pPr>
        <w:pStyle w:val="a3"/>
        <w:rPr>
          <w:kern w:val="0"/>
        </w:rPr>
      </w:pPr>
      <w:r>
        <w:rPr>
          <w:kern w:val="0"/>
        </w:rPr>
        <w:t>Abstract: This paper examines</w:t>
      </w:r>
      <w:r w:rsidR="003A1917">
        <w:rPr>
          <w:kern w:val="0"/>
        </w:rPr>
        <w:t xml:space="preserve"> the </w:t>
      </w:r>
      <w:r>
        <w:rPr>
          <w:kern w:val="0"/>
        </w:rPr>
        <w:t>role</w:t>
      </w:r>
      <w:r w:rsidR="00427468">
        <w:rPr>
          <w:kern w:val="0"/>
        </w:rPr>
        <w:t xml:space="preserve"> of </w:t>
      </w:r>
      <w:r>
        <w:rPr>
          <w:kern w:val="0"/>
        </w:rPr>
        <w:t>bibliometrics in exploring</w:t>
      </w:r>
      <w:r w:rsidR="003A1917">
        <w:rPr>
          <w:kern w:val="0"/>
        </w:rPr>
        <w:t xml:space="preserve"> the </w:t>
      </w:r>
      <w:r>
        <w:rPr>
          <w:kern w:val="0"/>
        </w:rPr>
        <w:t>question</w:t>
      </w:r>
      <w:r w:rsidR="00427468">
        <w:rPr>
          <w:kern w:val="0"/>
        </w:rPr>
        <w:t xml:space="preserve"> of </w:t>
      </w:r>
      <w:r w:rsidR="003A1917">
        <w:rPr>
          <w:kern w:val="0"/>
        </w:rPr>
        <w:t xml:space="preserve">the </w:t>
      </w:r>
      <w:r>
        <w:rPr>
          <w:kern w:val="0"/>
        </w:rPr>
        <w:t>effect</w:t>
      </w:r>
      <w:r w:rsidR="00427468">
        <w:rPr>
          <w:kern w:val="0"/>
        </w:rPr>
        <w:t xml:space="preserve"> of </w:t>
      </w:r>
      <w:r>
        <w:rPr>
          <w:kern w:val="0"/>
        </w:rPr>
        <w:t>commercialization upon</w:t>
      </w:r>
      <w:r w:rsidR="003A1917">
        <w:rPr>
          <w:kern w:val="0"/>
        </w:rPr>
        <w:t xml:space="preserve"> the </w:t>
      </w:r>
      <w:r>
        <w:rPr>
          <w:kern w:val="0"/>
        </w:rPr>
        <w:t>health</w:t>
      </w:r>
      <w:r w:rsidR="00427468">
        <w:rPr>
          <w:kern w:val="0"/>
        </w:rPr>
        <w:t xml:space="preserve"> of </w:t>
      </w:r>
      <w:r>
        <w:rPr>
          <w:kern w:val="0"/>
        </w:rPr>
        <w:t>American science. It approaches</w:t>
      </w:r>
      <w:r w:rsidR="003A1917">
        <w:rPr>
          <w:kern w:val="0"/>
        </w:rPr>
        <w:t xml:space="preserve"> the </w:t>
      </w:r>
      <w:r>
        <w:rPr>
          <w:kern w:val="0"/>
        </w:rPr>
        <w:t>problem through</w:t>
      </w:r>
      <w:r w:rsidR="003A1917">
        <w:rPr>
          <w:kern w:val="0"/>
        </w:rPr>
        <w:t xml:space="preserve"> the </w:t>
      </w:r>
      <w:r>
        <w:rPr>
          <w:kern w:val="0"/>
        </w:rPr>
        <w:t>question: What would constitute relevant evidence documenting decline in</w:t>
      </w:r>
      <w:r w:rsidR="003A1917">
        <w:rPr>
          <w:kern w:val="0"/>
        </w:rPr>
        <w:t xml:space="preserve"> the </w:t>
      </w:r>
      <w:r>
        <w:rPr>
          <w:kern w:val="0"/>
        </w:rPr>
        <w:t>number</w:t>
      </w:r>
      <w:r w:rsidR="00427468">
        <w:rPr>
          <w:kern w:val="0"/>
        </w:rPr>
        <w:t xml:space="preserve"> of </w:t>
      </w:r>
      <w:r>
        <w:rPr>
          <w:kern w:val="0"/>
        </w:rPr>
        <w:t>scientific articles published by American authors in</w:t>
      </w:r>
      <w:r w:rsidR="003A1917">
        <w:rPr>
          <w:kern w:val="0"/>
        </w:rPr>
        <w:t xml:space="preserve"> the </w:t>
      </w:r>
      <w:r>
        <w:rPr>
          <w:kern w:val="0"/>
        </w:rPr>
        <w:t>last two decades? Because even</w:t>
      </w:r>
      <w:r w:rsidR="003A1917">
        <w:rPr>
          <w:kern w:val="0"/>
        </w:rPr>
        <w:t xml:space="preserve"> the </w:t>
      </w:r>
      <w:r>
        <w:rPr>
          <w:kern w:val="0"/>
        </w:rPr>
        <w:t>data have been privatized recently, it begins by criticizing article counts used in other venues. It concludes by demonstrating that</w:t>
      </w:r>
      <w:r w:rsidR="003A1917">
        <w:rPr>
          <w:kern w:val="0"/>
        </w:rPr>
        <w:t xml:space="preserve"> the </w:t>
      </w:r>
      <w:r>
        <w:rPr>
          <w:kern w:val="0"/>
        </w:rPr>
        <w:t>problem</w:t>
      </w:r>
      <w:r w:rsidR="00427468">
        <w:rPr>
          <w:kern w:val="0"/>
        </w:rPr>
        <w:t xml:space="preserve"> of </w:t>
      </w:r>
      <w:r>
        <w:rPr>
          <w:kern w:val="0"/>
        </w:rPr>
        <w:t>decline is not merely in relative shares between countries, but also an absolute decline in American-authored articles across</w:t>
      </w:r>
      <w:r w:rsidR="003A1917">
        <w:rPr>
          <w:kern w:val="0"/>
        </w:rPr>
        <w:t xml:space="preserve"> the </w:t>
      </w:r>
      <w:r>
        <w:rPr>
          <w:kern w:val="0"/>
        </w:rPr>
        <w:t>board. We close with some proposed causes</w:t>
      </w:r>
      <w:r w:rsidR="00427468">
        <w:rPr>
          <w:kern w:val="0"/>
        </w:rPr>
        <w:t xml:space="preserve"> of </w:t>
      </w:r>
      <w:r w:rsidR="003A1917">
        <w:rPr>
          <w:kern w:val="0"/>
        </w:rPr>
        <w:t xml:space="preserve">the </w:t>
      </w:r>
      <w:r>
        <w:rPr>
          <w:kern w:val="0"/>
        </w:rPr>
        <w:t>decline.</w:t>
      </w:r>
    </w:p>
    <w:p w:rsidR="0051774E" w:rsidRDefault="0051774E" w:rsidP="0051774E">
      <w:pPr>
        <w:pStyle w:val="a3"/>
        <w:rPr>
          <w:kern w:val="0"/>
        </w:rPr>
      </w:pPr>
      <w:r>
        <w:rPr>
          <w:kern w:val="0"/>
        </w:rPr>
        <w:t xml:space="preserve">Keywords: America, Bibliometric Organizations, Bibliometrics, Output, Press, Privatisation, Science, Science, Trends, </w:t>
      </w:r>
      <w:r w:rsidR="00D5664A">
        <w:rPr>
          <w:kern w:val="0"/>
        </w:rPr>
        <w:t>USA</w:t>
      </w:r>
    </w:p>
    <w:p w:rsidR="00FD465C" w:rsidRDefault="00FD465C" w:rsidP="00FD465C">
      <w:pPr>
        <w:pStyle w:val="a3"/>
        <w:rPr>
          <w:kern w:val="0"/>
        </w:rPr>
      </w:pPr>
      <w:r>
        <w:rPr>
          <w:rFonts w:hint="eastAsia"/>
          <w:kern w:val="0"/>
        </w:rPr>
        <w:t xml:space="preserve">? </w:t>
      </w:r>
      <w:r>
        <w:rPr>
          <w:kern w:val="0"/>
        </w:rPr>
        <w:t xml:space="preserve">Fleck, C. (2013), The impact factor fetishism. </w:t>
      </w:r>
      <w:r>
        <w:rPr>
          <w:i/>
          <w:iCs/>
          <w:kern w:val="0"/>
        </w:rPr>
        <w:t>Archives Europeennes de Sociologie</w:t>
      </w:r>
      <w:r>
        <w:rPr>
          <w:kern w:val="0"/>
        </w:rPr>
        <w:t xml:space="preserve">, </w:t>
      </w:r>
      <w:r>
        <w:rPr>
          <w:b/>
          <w:bCs/>
          <w:kern w:val="0"/>
        </w:rPr>
        <w:t>54</w:t>
      </w:r>
      <w:r>
        <w:rPr>
          <w:kern w:val="0"/>
        </w:rPr>
        <w:t xml:space="preserve"> (2), 327-356.</w:t>
      </w:r>
    </w:p>
    <w:p w:rsidR="00FD465C" w:rsidRDefault="00FD465C" w:rsidP="00FD465C">
      <w:pPr>
        <w:pStyle w:val="a3"/>
        <w:rPr>
          <w:kern w:val="0"/>
        </w:rPr>
      </w:pPr>
      <w:r>
        <w:rPr>
          <w:rFonts w:hint="eastAsia"/>
          <w:kern w:val="0"/>
        </w:rPr>
        <w:t xml:space="preserve">Full Text: </w:t>
      </w:r>
      <w:hyperlink r:id="rId1116" w:history="1">
        <w:r w:rsidRPr="00DC786C">
          <w:rPr>
            <w:rStyle w:val="a5"/>
            <w:kern w:val="0"/>
          </w:rPr>
          <w:t>2013\Arc Eur Soc54, 327.pdf</w:t>
        </w:r>
      </w:hyperlink>
    </w:p>
    <w:p w:rsidR="00FD465C" w:rsidRDefault="00FD465C" w:rsidP="00FD465C">
      <w:pPr>
        <w:pStyle w:val="a3"/>
        <w:rPr>
          <w:kern w:val="0"/>
        </w:rPr>
      </w:pPr>
      <w:r>
        <w:rPr>
          <w:kern w:val="0"/>
        </w:rPr>
        <w:t>Abstract: One</w:t>
      </w:r>
      <w:r w:rsidR="00427468">
        <w:rPr>
          <w:kern w:val="0"/>
        </w:rPr>
        <w:t xml:space="preserve"> of </w:t>
      </w:r>
      <w:r>
        <w:rPr>
          <w:kern w:val="0"/>
        </w:rPr>
        <w:t>the most popular indicators is the Impact Factor. This paper examines the coming into being</w:t>
      </w:r>
      <w:r w:rsidR="00427468">
        <w:rPr>
          <w:kern w:val="0"/>
        </w:rPr>
        <w:t xml:space="preserve"> of </w:t>
      </w:r>
      <w:r>
        <w:rPr>
          <w:kern w:val="0"/>
        </w:rPr>
        <w:t>this highly influential figure. It is the offspring</w:t>
      </w:r>
      <w:r w:rsidR="00427468">
        <w:rPr>
          <w:kern w:val="0"/>
        </w:rPr>
        <w:t xml:space="preserve"> of </w:t>
      </w:r>
      <w:r>
        <w:rPr>
          <w:kern w:val="0"/>
        </w:rPr>
        <w:t>Eugene Garfield</w:t>
      </w:r>
      <w:r w:rsidR="00700038">
        <w:rPr>
          <w:kern w:val="0"/>
        </w:rPr>
        <w:t>’</w:t>
      </w:r>
      <w:r>
        <w:rPr>
          <w:kern w:val="0"/>
        </w:rPr>
        <w:t>s experimentation with the huge amounts</w:t>
      </w:r>
      <w:r w:rsidR="00427468">
        <w:rPr>
          <w:kern w:val="0"/>
        </w:rPr>
        <w:t xml:space="preserve"> of </w:t>
      </w:r>
      <w:r>
        <w:rPr>
          <w:kern w:val="0"/>
        </w:rPr>
        <w:t>data available at his Institute for Scientific Information</w:t>
      </w:r>
      <w:r w:rsidR="005853A9">
        <w:rPr>
          <w:kern w:val="0"/>
        </w:rPr>
        <w:t xml:space="preserve"> and </w:t>
      </w:r>
      <w:r>
        <w:rPr>
          <w:kern w:val="0"/>
        </w:rPr>
        <w:t>the result</w:t>
      </w:r>
      <w:r w:rsidR="00427468">
        <w:rPr>
          <w:kern w:val="0"/>
        </w:rPr>
        <w:t xml:space="preserve"> of </w:t>
      </w:r>
      <w:r>
        <w:rPr>
          <w:kern w:val="0"/>
        </w:rPr>
        <w:t>a number</w:t>
      </w:r>
      <w:r w:rsidR="00427468">
        <w:rPr>
          <w:kern w:val="0"/>
        </w:rPr>
        <w:t xml:space="preserve"> of </w:t>
      </w:r>
      <w:r>
        <w:rPr>
          <w:kern w:val="0"/>
        </w:rPr>
        <w:t>attempts to find appropriate measurements for the success (“impact”)</w:t>
      </w:r>
      <w:r w:rsidR="00427468">
        <w:rPr>
          <w:kern w:val="0"/>
        </w:rPr>
        <w:t xml:space="preserve"> of </w:t>
      </w:r>
      <w:r>
        <w:rPr>
          <w:kern w:val="0"/>
        </w:rPr>
        <w:t>articles</w:t>
      </w:r>
      <w:r w:rsidR="005853A9">
        <w:rPr>
          <w:kern w:val="0"/>
        </w:rPr>
        <w:t xml:space="preserve"> and </w:t>
      </w:r>
      <w:r>
        <w:rPr>
          <w:kern w:val="0"/>
        </w:rPr>
        <w:t>journals</w:t>
      </w:r>
      <w:r w:rsidR="00A37C1D">
        <w:rPr>
          <w:kern w:val="0"/>
        </w:rPr>
        <w:t>. The</w:t>
      </w:r>
      <w:r>
        <w:rPr>
          <w:kern w:val="0"/>
        </w:rPr>
        <w:t xml:space="preserve"> completely inductive procedure was initially adjusted by examining the data thoughtfully</w:t>
      </w:r>
      <w:r w:rsidR="005853A9">
        <w:rPr>
          <w:kern w:val="0"/>
        </w:rPr>
        <w:t xml:space="preserve"> and </w:t>
      </w:r>
      <w:r>
        <w:rPr>
          <w:kern w:val="0"/>
        </w:rPr>
        <w:t>by consulting with experts from different scientific disciplines. Later, its calculation modes were imposed on other disciplines without further consideration</w:t>
      </w:r>
      <w:r w:rsidR="00A37C1D">
        <w:rPr>
          <w:kern w:val="0"/>
        </w:rPr>
        <w:t>. The</w:t>
      </w:r>
      <w:r>
        <w:rPr>
          <w:kern w:val="0"/>
        </w:rPr>
        <w:t xml:space="preserve"> paper </w:t>
      </w:r>
      <w:r>
        <w:rPr>
          <w:kern w:val="0"/>
        </w:rPr>
        <w:lastRenderedPageBreak/>
        <w:t>demonstrates in detail the inopportune consequences</w:t>
      </w:r>
      <w:r w:rsidR="00427468">
        <w:rPr>
          <w:kern w:val="0"/>
        </w:rPr>
        <w:t xml:space="preserve"> of </w:t>
      </w:r>
      <w:r>
        <w:rPr>
          <w:kern w:val="0"/>
        </w:rPr>
        <w:t>this, in particular for sociology. Neither the definition</w:t>
      </w:r>
      <w:r w:rsidR="00427468">
        <w:rPr>
          <w:kern w:val="0"/>
        </w:rPr>
        <w:t xml:space="preserve"> of </w:t>
      </w:r>
      <w:r>
        <w:rPr>
          <w:kern w:val="0"/>
        </w:rPr>
        <w:t>disciplines, nor the selection</w:t>
      </w:r>
      <w:r w:rsidR="00427468">
        <w:rPr>
          <w:kern w:val="0"/>
        </w:rPr>
        <w:t xml:space="preserve"> of </w:t>
      </w:r>
      <w:r>
        <w:rPr>
          <w:kern w:val="0"/>
        </w:rPr>
        <w:t xml:space="preserve">journals for the </w:t>
      </w:r>
      <w:r w:rsidR="00D5664A">
        <w:rPr>
          <w:kern w:val="0"/>
        </w:rPr>
        <w:t>Web</w:t>
      </w:r>
      <w:r w:rsidR="00427468">
        <w:rPr>
          <w:kern w:val="0"/>
        </w:rPr>
        <w:t xml:space="preserve"> of </w:t>
      </w:r>
      <w:r w:rsidR="00D5664A">
        <w:rPr>
          <w:kern w:val="0"/>
        </w:rPr>
        <w:t>Science</w:t>
      </w:r>
      <w:r>
        <w:rPr>
          <w:kern w:val="0"/>
        </w:rPr>
        <w:t>/Social Science Citation Index follows any comprehensible rationale</w:t>
      </w:r>
      <w:r w:rsidR="00A37C1D">
        <w:rPr>
          <w:kern w:val="0"/>
        </w:rPr>
        <w:t>. The</w:t>
      </w:r>
      <w:r>
        <w:rPr>
          <w:kern w:val="0"/>
        </w:rPr>
        <w:t xml:space="preserve"> procedures for calculating the impact factor are inappropriate. Despite its obvious unsuitability, the impact factor is used by editors</w:t>
      </w:r>
      <w:r w:rsidR="00427468">
        <w:rPr>
          <w:kern w:val="0"/>
        </w:rPr>
        <w:t xml:space="preserve"> of </w:t>
      </w:r>
      <w:r>
        <w:rPr>
          <w:kern w:val="0"/>
        </w:rPr>
        <w:t>sociological journals for marketing</w:t>
      </w:r>
      <w:r w:rsidR="005853A9">
        <w:rPr>
          <w:kern w:val="0"/>
        </w:rPr>
        <w:t xml:space="preserve"> and </w:t>
      </w:r>
      <w:r>
        <w:rPr>
          <w:kern w:val="0"/>
        </w:rPr>
        <w:t>impression management purposes. Fetishism!</w:t>
      </w:r>
    </w:p>
    <w:p w:rsidR="00FD465C" w:rsidRDefault="00FD465C" w:rsidP="00FD465C">
      <w:pPr>
        <w:pStyle w:val="a3"/>
        <w:rPr>
          <w:kern w:val="0"/>
        </w:rPr>
      </w:pPr>
      <w:r>
        <w:rPr>
          <w:kern w:val="0"/>
        </w:rPr>
        <w:t xml:space="preserve">Keywords: Calculation, Citation, Data, Disciplines, Eugene Garfield, European Sociology, Experts, Impact, Impact Factor, Indicators, Information, Institute for Scientific Information, Journals, Management, Marketing, Measurement, Procedure, Procedures, Science, Science Citation Index, Scientometrics, Selection, Sociology, </w:t>
      </w:r>
      <w:r w:rsidR="00D5664A">
        <w:rPr>
          <w:kern w:val="0"/>
        </w:rPr>
        <w:t>Web</w:t>
      </w:r>
      <w:r w:rsidR="00427468">
        <w:rPr>
          <w:kern w:val="0"/>
        </w:rPr>
        <w:t xml:space="preserve"> of </w:t>
      </w:r>
      <w:r w:rsidR="00D5664A">
        <w:rPr>
          <w:kern w:val="0"/>
        </w:rPr>
        <w:t>Science</w:t>
      </w:r>
      <w:r>
        <w:rPr>
          <w:kern w:val="0"/>
        </w:rPr>
        <w:t>, Social Science Citation Index</w:t>
      </w:r>
    </w:p>
    <w:p w:rsidR="004E00C2" w:rsidRPr="001A3D2B" w:rsidRDefault="004E00C2" w:rsidP="004E00C2">
      <w:pPr>
        <w:pStyle w:val="1"/>
      </w:pPr>
      <w:r w:rsidRPr="001A3D2B">
        <w:br w:type="page"/>
      </w:r>
      <w:bookmarkStart w:id="572" w:name="_Toc420814573"/>
      <w:r w:rsidRPr="001A3D2B">
        <w:lastRenderedPageBreak/>
        <w:t xml:space="preserve">Title: </w:t>
      </w:r>
      <w:r w:rsidRPr="004E00C2">
        <w:rPr>
          <w:iCs w:val="0"/>
        </w:rPr>
        <w:t>Archives</w:t>
      </w:r>
      <w:r w:rsidR="00427468">
        <w:rPr>
          <w:iCs w:val="0"/>
        </w:rPr>
        <w:t xml:space="preserve"> of </w:t>
      </w:r>
      <w:r w:rsidRPr="004E00C2">
        <w:rPr>
          <w:iCs w:val="0"/>
        </w:rPr>
        <w:t>General Psychiatry</w:t>
      </w:r>
      <w:bookmarkEnd w:id="572"/>
    </w:p>
    <w:p w:rsidR="004E00C2" w:rsidRPr="001A3D2B" w:rsidRDefault="004E00C2" w:rsidP="004E00C2">
      <w:pPr>
        <w:pStyle w:val="12"/>
      </w:pPr>
      <w:r w:rsidRPr="001A3D2B">
        <w:t xml:space="preserve">Full Journal Title: </w:t>
      </w:r>
      <w:r w:rsidRPr="004E00C2">
        <w:rPr>
          <w:iCs/>
          <w:kern w:val="0"/>
        </w:rPr>
        <w:t>Archives</w:t>
      </w:r>
      <w:r w:rsidR="00427468">
        <w:rPr>
          <w:iCs/>
          <w:kern w:val="0"/>
        </w:rPr>
        <w:t xml:space="preserve"> of </w:t>
      </w:r>
      <w:r w:rsidRPr="004E00C2">
        <w:rPr>
          <w:iCs/>
          <w:kern w:val="0"/>
        </w:rPr>
        <w:t>General Psychiatry</w:t>
      </w:r>
    </w:p>
    <w:p w:rsidR="004E00C2" w:rsidRPr="001A3D2B" w:rsidRDefault="004E00C2" w:rsidP="004E00C2">
      <w:pPr>
        <w:pStyle w:val="12"/>
      </w:pPr>
      <w:r w:rsidRPr="001A3D2B">
        <w:t xml:space="preserve">ISO Abbreviated Title: </w:t>
      </w:r>
    </w:p>
    <w:p w:rsidR="004E00C2" w:rsidRPr="001A3D2B" w:rsidRDefault="004E00C2" w:rsidP="004E00C2">
      <w:pPr>
        <w:pStyle w:val="12"/>
      </w:pPr>
      <w:r w:rsidRPr="001A3D2B">
        <w:t xml:space="preserve">JCR Abbreviated Title: </w:t>
      </w:r>
    </w:p>
    <w:p w:rsidR="004E00C2" w:rsidRPr="001A3D2B" w:rsidRDefault="004E00C2" w:rsidP="004E00C2">
      <w:pPr>
        <w:pStyle w:val="12"/>
      </w:pPr>
      <w:r w:rsidRPr="001A3D2B">
        <w:t xml:space="preserve">ISSN: </w:t>
      </w:r>
    </w:p>
    <w:p w:rsidR="004E00C2" w:rsidRPr="001A3D2B" w:rsidRDefault="004E00C2" w:rsidP="004E00C2">
      <w:pPr>
        <w:pStyle w:val="12"/>
      </w:pPr>
      <w:r w:rsidRPr="001A3D2B">
        <w:t xml:space="preserve">Issues/Year: </w:t>
      </w:r>
    </w:p>
    <w:p w:rsidR="004E00C2" w:rsidRPr="001A3D2B" w:rsidRDefault="004E00C2" w:rsidP="004E00C2">
      <w:pPr>
        <w:pStyle w:val="12"/>
      </w:pPr>
      <w:r w:rsidRPr="001A3D2B">
        <w:t xml:space="preserve">Journal Country/Territory: </w:t>
      </w:r>
    </w:p>
    <w:p w:rsidR="004E00C2" w:rsidRPr="001A3D2B" w:rsidRDefault="004E00C2" w:rsidP="004E00C2">
      <w:pPr>
        <w:pStyle w:val="12"/>
      </w:pPr>
      <w:r w:rsidRPr="001A3D2B">
        <w:t xml:space="preserve">Language: </w:t>
      </w:r>
    </w:p>
    <w:p w:rsidR="004E00C2" w:rsidRPr="001A3D2B" w:rsidRDefault="004E00C2" w:rsidP="004E00C2">
      <w:pPr>
        <w:pStyle w:val="12"/>
      </w:pPr>
      <w:r w:rsidRPr="001A3D2B">
        <w:t xml:space="preserve">Publisher: </w:t>
      </w:r>
    </w:p>
    <w:p w:rsidR="004E00C2" w:rsidRPr="001A3D2B" w:rsidRDefault="004E00C2" w:rsidP="004E00C2">
      <w:pPr>
        <w:pStyle w:val="12"/>
      </w:pPr>
      <w:r w:rsidRPr="001A3D2B">
        <w:t xml:space="preserve">Publisher Address: </w:t>
      </w:r>
    </w:p>
    <w:p w:rsidR="004E00C2" w:rsidRPr="001A3D2B" w:rsidRDefault="004E00C2" w:rsidP="004E00C2">
      <w:pPr>
        <w:pStyle w:val="12"/>
      </w:pPr>
      <w:r w:rsidRPr="001A3D2B">
        <w:t xml:space="preserve">Subject Categories: </w:t>
      </w:r>
    </w:p>
    <w:p w:rsidR="004E00C2" w:rsidRPr="001A3D2B" w:rsidRDefault="004E00C2" w:rsidP="004E00C2">
      <w:pPr>
        <w:pStyle w:val="12"/>
      </w:pPr>
      <w:r w:rsidRPr="001A3D2B">
        <w:t xml:space="preserve">: Impact Factor </w:t>
      </w:r>
    </w:p>
    <w:p w:rsidR="004E00C2" w:rsidRDefault="004E00C2" w:rsidP="004E00C2">
      <w:pPr>
        <w:pStyle w:val="a3"/>
        <w:rPr>
          <w:kern w:val="0"/>
        </w:rPr>
      </w:pPr>
      <w:r>
        <w:rPr>
          <w:rFonts w:hint="eastAsia"/>
          <w:kern w:val="0"/>
        </w:rPr>
        <w:t xml:space="preserve">? </w:t>
      </w:r>
      <w:r>
        <w:rPr>
          <w:kern w:val="0"/>
        </w:rPr>
        <w:t>Saha, S., Chant, D.</w:t>
      </w:r>
      <w:r w:rsidR="005853A9">
        <w:rPr>
          <w:kern w:val="0"/>
        </w:rPr>
        <w:t xml:space="preserve"> and </w:t>
      </w:r>
      <w:r>
        <w:rPr>
          <w:kern w:val="0"/>
        </w:rPr>
        <w:t>McGrath, J. (2007), A systematic review</w:t>
      </w:r>
      <w:r w:rsidR="00427468">
        <w:rPr>
          <w:kern w:val="0"/>
        </w:rPr>
        <w:t xml:space="preserve"> of </w:t>
      </w:r>
      <w:r>
        <w:rPr>
          <w:kern w:val="0"/>
        </w:rPr>
        <w:t>mortality in schizophrenia</w:t>
      </w:r>
      <w:r>
        <w:rPr>
          <w:rFonts w:hint="eastAsia"/>
          <w:kern w:val="0"/>
        </w:rPr>
        <w:t>:</w:t>
      </w:r>
      <w:r>
        <w:rPr>
          <w:kern w:val="0"/>
        </w:rPr>
        <w:t xml:space="preserve"> Is</w:t>
      </w:r>
      <w:r w:rsidR="003A1917">
        <w:rPr>
          <w:kern w:val="0"/>
        </w:rPr>
        <w:t xml:space="preserve"> the </w:t>
      </w:r>
      <w:r>
        <w:rPr>
          <w:kern w:val="0"/>
        </w:rPr>
        <w:t xml:space="preserve">differential mortality gap worsening over time? </w:t>
      </w:r>
      <w:r w:rsidRPr="004E00C2">
        <w:rPr>
          <w:i/>
          <w:iCs/>
          <w:kern w:val="0"/>
        </w:rPr>
        <w:t>Archives</w:t>
      </w:r>
      <w:r w:rsidR="00427468">
        <w:rPr>
          <w:i/>
          <w:iCs/>
          <w:kern w:val="0"/>
        </w:rPr>
        <w:t xml:space="preserve"> of </w:t>
      </w:r>
      <w:r w:rsidRPr="004E00C2">
        <w:rPr>
          <w:i/>
          <w:iCs/>
          <w:kern w:val="0"/>
        </w:rPr>
        <w:t>General Psychiatry</w:t>
      </w:r>
      <w:r>
        <w:rPr>
          <w:kern w:val="0"/>
        </w:rPr>
        <w:t xml:space="preserve">, </w:t>
      </w:r>
      <w:r>
        <w:rPr>
          <w:b/>
          <w:bCs/>
          <w:kern w:val="0"/>
        </w:rPr>
        <w:t>64</w:t>
      </w:r>
      <w:r>
        <w:rPr>
          <w:kern w:val="0"/>
        </w:rPr>
        <w:t xml:space="preserve"> (10), 1123-1131.</w:t>
      </w:r>
    </w:p>
    <w:p w:rsidR="00CA39AC" w:rsidRDefault="00CA39AC" w:rsidP="00CA39AC">
      <w:pPr>
        <w:pStyle w:val="a3"/>
        <w:rPr>
          <w:kern w:val="0"/>
        </w:rPr>
      </w:pPr>
      <w:r>
        <w:rPr>
          <w:rFonts w:hint="eastAsia"/>
          <w:kern w:val="0"/>
        </w:rPr>
        <w:t xml:space="preserve">Full Text: </w:t>
      </w:r>
      <w:hyperlink r:id="rId1117" w:history="1">
        <w:r w:rsidRPr="006C01B8">
          <w:rPr>
            <w:rStyle w:val="a5"/>
            <w:kern w:val="0"/>
          </w:rPr>
          <w:t>2007\Arc Gen Psy64, 1123.pdf</w:t>
        </w:r>
      </w:hyperlink>
    </w:p>
    <w:p w:rsidR="004E00C2" w:rsidRDefault="004E00C2" w:rsidP="004E00C2">
      <w:pPr>
        <w:pStyle w:val="a3"/>
        <w:rPr>
          <w:kern w:val="0"/>
        </w:rPr>
      </w:pPr>
      <w:r>
        <w:rPr>
          <w:kern w:val="0"/>
        </w:rPr>
        <w:t>Abstract: Context: Despite improvements in mental health services in recent decades, it is unclear whether</w:t>
      </w:r>
      <w:r w:rsidR="003A1917">
        <w:rPr>
          <w:kern w:val="0"/>
        </w:rPr>
        <w:t xml:space="preserve"> the </w:t>
      </w:r>
      <w:r>
        <w:rPr>
          <w:kern w:val="0"/>
        </w:rPr>
        <w:t>risk</w:t>
      </w:r>
      <w:r w:rsidR="00427468">
        <w:rPr>
          <w:kern w:val="0"/>
        </w:rPr>
        <w:t xml:space="preserve"> of </w:t>
      </w:r>
      <w:r>
        <w:rPr>
          <w:kern w:val="0"/>
        </w:rPr>
        <w:t>mortality in schizophrenia has changed over time. Objective: To explore</w:t>
      </w:r>
      <w:r w:rsidR="003A1917">
        <w:rPr>
          <w:kern w:val="0"/>
        </w:rPr>
        <w:t xml:space="preserve"> the </w:t>
      </w:r>
      <w:r>
        <w:rPr>
          <w:kern w:val="0"/>
        </w:rPr>
        <w:t>distribution</w:t>
      </w:r>
      <w:r w:rsidR="00427468">
        <w:rPr>
          <w:kern w:val="0"/>
        </w:rPr>
        <w:t xml:space="preserve"> of </w:t>
      </w:r>
      <w:r>
        <w:rPr>
          <w:kern w:val="0"/>
        </w:rPr>
        <w:t xml:space="preserve">standardized mortality ratios </w:t>
      </w:r>
      <w:r w:rsidR="005A48B0">
        <w:rPr>
          <w:kern w:val="0"/>
        </w:rPr>
        <w:t>(</w:t>
      </w:r>
      <w:r>
        <w:rPr>
          <w:kern w:val="0"/>
        </w:rPr>
        <w:t xml:space="preserve">SMRs) for people with schizophrenia. Data Sources: Broad search terms were used in </w:t>
      </w:r>
      <w:r w:rsidR="00D5664A">
        <w:rPr>
          <w:kern w:val="0"/>
        </w:rPr>
        <w:t>MEDLINE</w:t>
      </w:r>
      <w:r>
        <w:rPr>
          <w:kern w:val="0"/>
        </w:rPr>
        <w:t xml:space="preserve">, PsychINFO,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Google Scholar to identify all studies that investigated mortality in schizophrenia, published between January 1, 1980,</w:t>
      </w:r>
      <w:r w:rsidR="005853A9">
        <w:rPr>
          <w:kern w:val="0"/>
        </w:rPr>
        <w:t xml:space="preserve"> and </w:t>
      </w:r>
      <w:r>
        <w:rPr>
          <w:kern w:val="0"/>
        </w:rPr>
        <w:t>January 31, 2006. References were also identified from review articles, reference lists,</w:t>
      </w:r>
      <w:r w:rsidR="005853A9">
        <w:rPr>
          <w:kern w:val="0"/>
        </w:rPr>
        <w:t xml:space="preserve"> and </w:t>
      </w:r>
      <w:r>
        <w:rPr>
          <w:kern w:val="0"/>
        </w:rPr>
        <w:t>communication with authors. Study Selection: Population- based studies that reported primary data on deaths in people with schizophrenia. Data Extraction: Operationalized criteria were used to extract key study features</w:t>
      </w:r>
      <w:r w:rsidR="005853A9">
        <w:rPr>
          <w:kern w:val="0"/>
        </w:rPr>
        <w:t xml:space="preserve"> and </w:t>
      </w:r>
      <w:r>
        <w:rPr>
          <w:kern w:val="0"/>
        </w:rPr>
        <w:t>mortality data. Data Synthesis: We examined</w:t>
      </w:r>
      <w:r w:rsidR="003A1917">
        <w:rPr>
          <w:kern w:val="0"/>
        </w:rPr>
        <w:t xml:space="preserve"> the </w:t>
      </w:r>
      <w:r>
        <w:rPr>
          <w:kern w:val="0"/>
        </w:rPr>
        <w:t>distribution</w:t>
      </w:r>
      <w:r w:rsidR="00427468">
        <w:rPr>
          <w:kern w:val="0"/>
        </w:rPr>
        <w:t xml:space="preserve"> of </w:t>
      </w:r>
      <w:r>
        <w:rPr>
          <w:kern w:val="0"/>
        </w:rPr>
        <w:t>SMRs</w:t>
      </w:r>
      <w:r w:rsidR="005853A9">
        <w:rPr>
          <w:kern w:val="0"/>
        </w:rPr>
        <w:t xml:space="preserve"> and </w:t>
      </w:r>
      <w:r>
        <w:rPr>
          <w:kern w:val="0"/>
        </w:rPr>
        <w:t>pooled selected estimates using random- effects meta- analysis. We identified 37 articles drawn from 25 different nations</w:t>
      </w:r>
      <w:r w:rsidR="00A37C1D">
        <w:rPr>
          <w:kern w:val="0"/>
        </w:rPr>
        <w:t>. The</w:t>
      </w:r>
      <w:r w:rsidR="003A1917">
        <w:rPr>
          <w:kern w:val="0"/>
        </w:rPr>
        <w:t xml:space="preserve"> </w:t>
      </w:r>
      <w:r>
        <w:rPr>
          <w:kern w:val="0"/>
        </w:rPr>
        <w:t xml:space="preserve">median SMR for all persons for all- cause mortality was 2.58 </w:t>
      </w:r>
      <w:r w:rsidR="005A48B0">
        <w:rPr>
          <w:kern w:val="0"/>
        </w:rPr>
        <w:t>(</w:t>
      </w:r>
      <w:r>
        <w:rPr>
          <w:kern w:val="0"/>
        </w:rPr>
        <w:t>10%- 90% quantile, 1.185.76), with a corresponding random- effects pooled SMR</w:t>
      </w:r>
      <w:r w:rsidR="00427468">
        <w:rPr>
          <w:kern w:val="0"/>
        </w:rPr>
        <w:t xml:space="preserve"> of </w:t>
      </w:r>
      <w:r>
        <w:rPr>
          <w:kern w:val="0"/>
        </w:rPr>
        <w:t xml:space="preserve">2.50 </w:t>
      </w:r>
      <w:r w:rsidR="005A48B0">
        <w:rPr>
          <w:kern w:val="0"/>
        </w:rPr>
        <w:t>(</w:t>
      </w:r>
      <w:r>
        <w:rPr>
          <w:kern w:val="0"/>
        </w:rPr>
        <w:t>95% confidence interval, 2.18- 2.43). No sex difference was detected. Suicide was associated with</w:t>
      </w:r>
      <w:r w:rsidR="003A1917">
        <w:rPr>
          <w:kern w:val="0"/>
        </w:rPr>
        <w:t xml:space="preserve"> the </w:t>
      </w:r>
      <w:r>
        <w:rPr>
          <w:kern w:val="0"/>
        </w:rPr>
        <w:t xml:space="preserve">highest SMR </w:t>
      </w:r>
      <w:r w:rsidR="005A48B0">
        <w:rPr>
          <w:kern w:val="0"/>
        </w:rPr>
        <w:t>(</w:t>
      </w:r>
      <w:r>
        <w:rPr>
          <w:kern w:val="0"/>
        </w:rPr>
        <w:t>12.86); however, most</w:t>
      </w:r>
      <w:r w:rsidR="00427468">
        <w:rPr>
          <w:kern w:val="0"/>
        </w:rPr>
        <w:t xml:space="preserve"> of </w:t>
      </w:r>
      <w:r w:rsidR="003A1917">
        <w:rPr>
          <w:kern w:val="0"/>
        </w:rPr>
        <w:t xml:space="preserve">the </w:t>
      </w:r>
      <w:r>
        <w:rPr>
          <w:kern w:val="0"/>
        </w:rPr>
        <w:t>major causes- ofdeath categories were found to be elevated in people with schizophrenia</w:t>
      </w:r>
      <w:r w:rsidR="00A37C1D">
        <w:rPr>
          <w:kern w:val="0"/>
        </w:rPr>
        <w:t>. The</w:t>
      </w:r>
      <w:r w:rsidR="003A1917">
        <w:rPr>
          <w:kern w:val="0"/>
        </w:rPr>
        <w:t xml:space="preserve"> </w:t>
      </w:r>
      <w:r>
        <w:rPr>
          <w:kern w:val="0"/>
        </w:rPr>
        <w:t xml:space="preserve">SMRs for all- cause mortality have increased during recent decades </w:t>
      </w:r>
      <w:r w:rsidR="005A48B0">
        <w:rPr>
          <w:kern w:val="0"/>
        </w:rPr>
        <w:t>(</w:t>
      </w:r>
      <w:r>
        <w:rPr>
          <w:kern w:val="0"/>
        </w:rPr>
        <w:t>P=. 03). Conclusions: With respect to mortality, a substantial gap exists between</w:t>
      </w:r>
      <w:r w:rsidR="003A1917">
        <w:rPr>
          <w:kern w:val="0"/>
        </w:rPr>
        <w:t xml:space="preserve"> the </w:t>
      </w:r>
      <w:r>
        <w:rPr>
          <w:kern w:val="0"/>
        </w:rPr>
        <w:t>health</w:t>
      </w:r>
      <w:r w:rsidR="00427468">
        <w:rPr>
          <w:kern w:val="0"/>
        </w:rPr>
        <w:t xml:space="preserve"> of </w:t>
      </w:r>
      <w:r>
        <w:rPr>
          <w:kern w:val="0"/>
        </w:rPr>
        <w:t>people with schizophrenia</w:t>
      </w:r>
      <w:r w:rsidR="005853A9">
        <w:rPr>
          <w:kern w:val="0"/>
        </w:rPr>
        <w:t xml:space="preserve"> and </w:t>
      </w:r>
      <w:r w:rsidR="003A1917">
        <w:rPr>
          <w:kern w:val="0"/>
        </w:rPr>
        <w:t xml:space="preserve">the </w:t>
      </w:r>
      <w:r>
        <w:rPr>
          <w:kern w:val="0"/>
        </w:rPr>
        <w:t>general community. This differential mortality gap has worsened in recent decades. In light</w:t>
      </w:r>
      <w:r w:rsidR="00427468">
        <w:rPr>
          <w:kern w:val="0"/>
        </w:rPr>
        <w:t xml:space="preserve"> of </w:t>
      </w:r>
      <w:r w:rsidR="003A1917">
        <w:rPr>
          <w:kern w:val="0"/>
        </w:rPr>
        <w:t xml:space="preserve">the </w:t>
      </w:r>
      <w:r>
        <w:rPr>
          <w:kern w:val="0"/>
        </w:rPr>
        <w:t xml:space="preserve">potential for second- generation </w:t>
      </w:r>
      <w:r>
        <w:rPr>
          <w:kern w:val="0"/>
        </w:rPr>
        <w:lastRenderedPageBreak/>
        <w:t>antipsychotic medications to further adversely influence mortality rates in</w:t>
      </w:r>
      <w:r w:rsidR="003A1917">
        <w:rPr>
          <w:kern w:val="0"/>
        </w:rPr>
        <w:t xml:space="preserve"> the </w:t>
      </w:r>
      <w:r>
        <w:rPr>
          <w:kern w:val="0"/>
        </w:rPr>
        <w:t>decades to come, optimizing</w:t>
      </w:r>
      <w:r w:rsidR="003A1917">
        <w:rPr>
          <w:kern w:val="0"/>
        </w:rPr>
        <w:t xml:space="preserve"> the </w:t>
      </w:r>
      <w:r>
        <w:rPr>
          <w:kern w:val="0"/>
        </w:rPr>
        <w:t>general health</w:t>
      </w:r>
      <w:r w:rsidR="00427468">
        <w:rPr>
          <w:kern w:val="0"/>
        </w:rPr>
        <w:t xml:space="preserve"> of </w:t>
      </w:r>
      <w:r>
        <w:rPr>
          <w:kern w:val="0"/>
        </w:rPr>
        <w:t>people with schizophrenia warrants urgent attention.</w:t>
      </w:r>
    </w:p>
    <w:p w:rsidR="004E00C2" w:rsidRDefault="004E00C2" w:rsidP="004E00C2">
      <w:pPr>
        <w:pStyle w:val="a3"/>
        <w:rPr>
          <w:kern w:val="0"/>
        </w:rPr>
      </w:pPr>
      <w:r>
        <w:rPr>
          <w:kern w:val="0"/>
        </w:rPr>
        <w:t xml:space="preserve">Keywords: Analysis, Attention, Authors, Cardiovascular-Disease, Communication, Excess Mortality, Extraction, Follow-up, Global Burden, Google Scholar, Health Services, Induced Weight-Gain, </w:t>
      </w:r>
      <w:r w:rsidR="00D5664A">
        <w:rPr>
          <w:kern w:val="0"/>
        </w:rPr>
        <w:t>MEDLINE</w:t>
      </w:r>
      <w:r>
        <w:rPr>
          <w:kern w:val="0"/>
        </w:rPr>
        <w:t>, Mental Health, Metabolic Syndrome, Mortality, New-Generation Antipsychotics, Primary, Psychiatric Case Register, Quality</w:t>
      </w:r>
      <w:r w:rsidR="00434900">
        <w:rPr>
          <w:kern w:val="0"/>
        </w:rPr>
        <w:t>-of-</w:t>
      </w:r>
      <w:r>
        <w:rPr>
          <w:kern w:val="0"/>
        </w:rPr>
        <w:t xml:space="preserve">Life, Record-Linkage, References, Review, Risk, Schizophrenia, Science, Sex Difference, Sources, Systematic, Systematic Review, </w:t>
      </w:r>
      <w:r w:rsidR="00D5664A">
        <w:rPr>
          <w:kern w:val="0"/>
        </w:rPr>
        <w:t>Web</w:t>
      </w:r>
      <w:r w:rsidR="00427468">
        <w:rPr>
          <w:kern w:val="0"/>
        </w:rPr>
        <w:t xml:space="preserve"> of </w:t>
      </w:r>
      <w:r w:rsidR="00D5664A">
        <w:rPr>
          <w:kern w:val="0"/>
        </w:rPr>
        <w:t>Science</w:t>
      </w:r>
    </w:p>
    <w:p w:rsidR="004E00C2" w:rsidRDefault="004E00C2" w:rsidP="004E00C2">
      <w:pPr>
        <w:pStyle w:val="a3"/>
        <w:rPr>
          <w:kern w:val="0"/>
        </w:rPr>
      </w:pPr>
      <w:r>
        <w:rPr>
          <w:rFonts w:hint="eastAsia"/>
          <w:kern w:val="0"/>
        </w:rPr>
        <w:t xml:space="preserve">? </w:t>
      </w:r>
      <w:r>
        <w:rPr>
          <w:kern w:val="0"/>
        </w:rPr>
        <w:t>Large, M., Sharma, S., Compton, M.T., Slade, T.</w:t>
      </w:r>
      <w:r w:rsidR="005853A9">
        <w:rPr>
          <w:kern w:val="0"/>
        </w:rPr>
        <w:t xml:space="preserve"> and </w:t>
      </w:r>
      <w:r>
        <w:rPr>
          <w:kern w:val="0"/>
        </w:rPr>
        <w:t>Nielssen, O. (2011), Cannabis use</w:t>
      </w:r>
      <w:r w:rsidR="005853A9">
        <w:rPr>
          <w:kern w:val="0"/>
        </w:rPr>
        <w:t xml:space="preserve"> and </w:t>
      </w:r>
      <w:r>
        <w:rPr>
          <w:kern w:val="0"/>
        </w:rPr>
        <w:t>earlier onset</w:t>
      </w:r>
      <w:r w:rsidR="00427468">
        <w:rPr>
          <w:kern w:val="0"/>
        </w:rPr>
        <w:t xml:space="preserve"> of </w:t>
      </w:r>
      <w:r>
        <w:rPr>
          <w:kern w:val="0"/>
        </w:rPr>
        <w:t xml:space="preserve">psychosis. </w:t>
      </w:r>
      <w:r>
        <w:rPr>
          <w:i/>
          <w:iCs/>
          <w:kern w:val="0"/>
        </w:rPr>
        <w:t>Archives</w:t>
      </w:r>
      <w:r w:rsidR="00427468">
        <w:rPr>
          <w:i/>
          <w:iCs/>
          <w:kern w:val="0"/>
        </w:rPr>
        <w:t xml:space="preserve"> of </w:t>
      </w:r>
      <w:r>
        <w:rPr>
          <w:i/>
          <w:iCs/>
          <w:kern w:val="0"/>
        </w:rPr>
        <w:t>General Psychiatry</w:t>
      </w:r>
      <w:r>
        <w:rPr>
          <w:kern w:val="0"/>
        </w:rPr>
        <w:t xml:space="preserve">, </w:t>
      </w:r>
      <w:r>
        <w:rPr>
          <w:b/>
          <w:bCs/>
          <w:kern w:val="0"/>
        </w:rPr>
        <w:t>68</w:t>
      </w:r>
      <w:r>
        <w:rPr>
          <w:kern w:val="0"/>
        </w:rPr>
        <w:t xml:space="preserve"> (6), 555-561.</w:t>
      </w:r>
    </w:p>
    <w:p w:rsidR="00CA39AC" w:rsidRDefault="00CA39AC" w:rsidP="00CA39AC">
      <w:pPr>
        <w:pStyle w:val="a3"/>
        <w:rPr>
          <w:kern w:val="0"/>
        </w:rPr>
      </w:pPr>
      <w:r>
        <w:rPr>
          <w:rFonts w:hint="eastAsia"/>
          <w:kern w:val="0"/>
        </w:rPr>
        <w:t xml:space="preserve">Full Text: </w:t>
      </w:r>
      <w:hyperlink r:id="rId1118" w:history="1">
        <w:r w:rsidRPr="006C01B8">
          <w:rPr>
            <w:rStyle w:val="a5"/>
            <w:kern w:val="0"/>
          </w:rPr>
          <w:t>2011\Arc Gen Psy68, 555.pdf</w:t>
        </w:r>
      </w:hyperlink>
    </w:p>
    <w:p w:rsidR="004E00C2" w:rsidRDefault="004E00C2" w:rsidP="004E00C2">
      <w:pPr>
        <w:pStyle w:val="a3"/>
        <w:rPr>
          <w:kern w:val="0"/>
        </w:rPr>
      </w:pPr>
      <w:r>
        <w:rPr>
          <w:kern w:val="0"/>
        </w:rPr>
        <w:t>Abstract: Context: A number</w:t>
      </w:r>
      <w:r w:rsidR="00427468">
        <w:rPr>
          <w:kern w:val="0"/>
        </w:rPr>
        <w:t xml:space="preserve"> of </w:t>
      </w:r>
      <w:r>
        <w:rPr>
          <w:kern w:val="0"/>
        </w:rPr>
        <w:t>studies have found that</w:t>
      </w:r>
      <w:r w:rsidR="003A1917">
        <w:rPr>
          <w:kern w:val="0"/>
        </w:rPr>
        <w:t xml:space="preserve"> the </w:t>
      </w:r>
      <w:r>
        <w:rPr>
          <w:kern w:val="0"/>
        </w:rPr>
        <w:t>use</w:t>
      </w:r>
      <w:r w:rsidR="00427468">
        <w:rPr>
          <w:kern w:val="0"/>
        </w:rPr>
        <w:t xml:space="preserve"> of </w:t>
      </w:r>
      <w:r>
        <w:rPr>
          <w:kern w:val="0"/>
        </w:rPr>
        <w:t>cannabis</w:t>
      </w:r>
      <w:r w:rsidR="005853A9">
        <w:rPr>
          <w:kern w:val="0"/>
        </w:rPr>
        <w:t xml:space="preserve"> and </w:t>
      </w:r>
      <w:r>
        <w:rPr>
          <w:kern w:val="0"/>
        </w:rPr>
        <w:t>other psychoactive substances is associated with an earlier onset</w:t>
      </w:r>
      <w:r w:rsidR="00427468">
        <w:rPr>
          <w:kern w:val="0"/>
        </w:rPr>
        <w:t xml:space="preserve"> of </w:t>
      </w:r>
      <w:r>
        <w:rPr>
          <w:kern w:val="0"/>
        </w:rPr>
        <w:t>psychotic illness. Objective: To establish</w:t>
      </w:r>
      <w:r w:rsidR="003A1917">
        <w:rPr>
          <w:kern w:val="0"/>
        </w:rPr>
        <w:t xml:space="preserve"> the </w:t>
      </w:r>
      <w:r>
        <w:rPr>
          <w:kern w:val="0"/>
        </w:rPr>
        <w:t>extent to which use</w:t>
      </w:r>
      <w:r w:rsidR="00427468">
        <w:rPr>
          <w:kern w:val="0"/>
        </w:rPr>
        <w:t xml:space="preserve"> of </w:t>
      </w:r>
      <w:r>
        <w:rPr>
          <w:kern w:val="0"/>
        </w:rPr>
        <w:t>cannabis, alcohol,</w:t>
      </w:r>
      <w:r w:rsidR="005853A9">
        <w:rPr>
          <w:kern w:val="0"/>
        </w:rPr>
        <w:t xml:space="preserve"> and </w:t>
      </w:r>
      <w:r>
        <w:rPr>
          <w:kern w:val="0"/>
        </w:rPr>
        <w:t>other psychoactive substances affects</w:t>
      </w:r>
      <w:r w:rsidR="003A1917">
        <w:rPr>
          <w:kern w:val="0"/>
        </w:rPr>
        <w:t xml:space="preserve"> the </w:t>
      </w:r>
      <w:r>
        <w:rPr>
          <w:kern w:val="0"/>
        </w:rPr>
        <w:t>age at onset</w:t>
      </w:r>
      <w:r w:rsidR="00427468">
        <w:rPr>
          <w:kern w:val="0"/>
        </w:rPr>
        <w:t xml:space="preserve"> of </w:t>
      </w:r>
      <w:r>
        <w:rPr>
          <w:kern w:val="0"/>
        </w:rPr>
        <w:t>psychosis by meta-analysis. Data Sources: Peer-reviewed publications in English reporting age at onset</w:t>
      </w:r>
      <w:r w:rsidR="00427468">
        <w:rPr>
          <w:kern w:val="0"/>
        </w:rPr>
        <w:t xml:space="preserve"> of </w:t>
      </w:r>
      <w:r>
        <w:rPr>
          <w:kern w:val="0"/>
        </w:rPr>
        <w:t>psychotic illness in substance-using</w:t>
      </w:r>
      <w:r w:rsidR="005853A9">
        <w:rPr>
          <w:kern w:val="0"/>
        </w:rPr>
        <w:t xml:space="preserve"> and </w:t>
      </w:r>
      <w:r>
        <w:rPr>
          <w:kern w:val="0"/>
        </w:rPr>
        <w:t>non-substance-using groups were located using searches</w:t>
      </w:r>
      <w:r w:rsidR="00427468">
        <w:rPr>
          <w:kern w:val="0"/>
        </w:rPr>
        <w:t xml:space="preserve"> of </w:t>
      </w:r>
      <w:r>
        <w:rPr>
          <w:kern w:val="0"/>
        </w:rPr>
        <w:t xml:space="preserve">CINAHL, EMBASE, </w:t>
      </w:r>
      <w:r w:rsidR="00D5664A">
        <w:rPr>
          <w:kern w:val="0"/>
        </w:rPr>
        <w:t>MEDLINE</w:t>
      </w:r>
      <w:r>
        <w:rPr>
          <w:kern w:val="0"/>
        </w:rPr>
        <w:t>, PsycINFO,</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Study Selection: Studies in English comparing</w:t>
      </w:r>
      <w:r w:rsidR="003A1917">
        <w:rPr>
          <w:kern w:val="0"/>
        </w:rPr>
        <w:t xml:space="preserve"> the </w:t>
      </w:r>
      <w:r>
        <w:rPr>
          <w:kern w:val="0"/>
        </w:rPr>
        <w:t>age at onset</w:t>
      </w:r>
      <w:r w:rsidR="00427468">
        <w:rPr>
          <w:kern w:val="0"/>
        </w:rPr>
        <w:t xml:space="preserve"> of </w:t>
      </w:r>
      <w:r>
        <w:rPr>
          <w:kern w:val="0"/>
        </w:rPr>
        <w:t>psychosis in cohorts</w:t>
      </w:r>
      <w:r w:rsidR="00427468">
        <w:rPr>
          <w:kern w:val="0"/>
        </w:rPr>
        <w:t xml:space="preserve"> of </w:t>
      </w:r>
      <w:r>
        <w:rPr>
          <w:kern w:val="0"/>
        </w:rPr>
        <w:t>patients who use substances with age at onset</w:t>
      </w:r>
      <w:r w:rsidR="00427468">
        <w:rPr>
          <w:kern w:val="0"/>
        </w:rPr>
        <w:t xml:space="preserve"> of </w:t>
      </w:r>
      <w:r>
        <w:rPr>
          <w:kern w:val="0"/>
        </w:rPr>
        <w:t>psychosis in non-substance-using patients</w:t>
      </w:r>
      <w:r w:rsidR="00A37C1D">
        <w:rPr>
          <w:kern w:val="0"/>
        </w:rPr>
        <w:t>. The</w:t>
      </w:r>
      <w:r w:rsidR="003A1917">
        <w:rPr>
          <w:kern w:val="0"/>
        </w:rPr>
        <w:t xml:space="preserve"> </w:t>
      </w:r>
      <w:r>
        <w:rPr>
          <w:kern w:val="0"/>
        </w:rPr>
        <w:t>searches yielded 443 articles, from which 83 studies met</w:t>
      </w:r>
      <w:r w:rsidR="003A1917">
        <w:rPr>
          <w:kern w:val="0"/>
        </w:rPr>
        <w:t xml:space="preserve"> the </w:t>
      </w:r>
      <w:r>
        <w:rPr>
          <w:kern w:val="0"/>
        </w:rPr>
        <w:t>inclusion criteria. Data Extraction: Information on study design, study population,</w:t>
      </w:r>
      <w:r w:rsidR="005853A9">
        <w:rPr>
          <w:kern w:val="0"/>
        </w:rPr>
        <w:t xml:space="preserve"> and </w:t>
      </w:r>
      <w:r>
        <w:rPr>
          <w:kern w:val="0"/>
        </w:rPr>
        <w:t>effect size were extracted independently by 2</w:t>
      </w:r>
      <w:r w:rsidR="00427468">
        <w:rPr>
          <w:kern w:val="0"/>
        </w:rPr>
        <w:t xml:space="preserve"> of </w:t>
      </w:r>
      <w:r>
        <w:rPr>
          <w:kern w:val="0"/>
        </w:rPr>
        <w:t>us. Data Synthesis: Meta-analysis found that</w:t>
      </w:r>
      <w:r w:rsidR="003A1917">
        <w:rPr>
          <w:kern w:val="0"/>
        </w:rPr>
        <w:t xml:space="preserve"> the </w:t>
      </w:r>
      <w:r>
        <w:rPr>
          <w:kern w:val="0"/>
        </w:rPr>
        <w:t>age at onset</w:t>
      </w:r>
      <w:r w:rsidR="00427468">
        <w:rPr>
          <w:kern w:val="0"/>
        </w:rPr>
        <w:t xml:space="preserve"> of </w:t>
      </w:r>
      <w:r>
        <w:rPr>
          <w:kern w:val="0"/>
        </w:rPr>
        <w:t>psychosis for cannabis users was 2.70 years younger (standardized mean difference=-0.414) than for nonusers; for those with broadly defined substance use,</w:t>
      </w:r>
      <w:r w:rsidR="003A1917">
        <w:rPr>
          <w:kern w:val="0"/>
        </w:rPr>
        <w:t xml:space="preserve"> the </w:t>
      </w:r>
      <w:r>
        <w:rPr>
          <w:kern w:val="0"/>
        </w:rPr>
        <w:t>age at onset</w:t>
      </w:r>
      <w:r w:rsidR="00427468">
        <w:rPr>
          <w:kern w:val="0"/>
        </w:rPr>
        <w:t xml:space="preserve"> of </w:t>
      </w:r>
      <w:r>
        <w:rPr>
          <w:kern w:val="0"/>
        </w:rPr>
        <w:t>psychosis was 2.00 years younger (standardized mean difference=-0.315) than for nonusers. Alcohol use was not associated with a significantly earlier age at onset</w:t>
      </w:r>
      <w:r w:rsidR="00427468">
        <w:rPr>
          <w:kern w:val="0"/>
        </w:rPr>
        <w:t xml:space="preserve"> of </w:t>
      </w:r>
      <w:r>
        <w:rPr>
          <w:kern w:val="0"/>
        </w:rPr>
        <w:t>psychosis. Differences in</w:t>
      </w:r>
      <w:r w:rsidR="003A1917">
        <w:rPr>
          <w:kern w:val="0"/>
        </w:rPr>
        <w:t xml:space="preserve"> the </w:t>
      </w:r>
      <w:r>
        <w:rPr>
          <w:kern w:val="0"/>
        </w:rPr>
        <w:t>proportion</w:t>
      </w:r>
      <w:r w:rsidR="00427468">
        <w:rPr>
          <w:kern w:val="0"/>
        </w:rPr>
        <w:t xml:space="preserve"> of </w:t>
      </w:r>
      <w:r>
        <w:rPr>
          <w:kern w:val="0"/>
        </w:rPr>
        <w:t>cannabis users in</w:t>
      </w:r>
      <w:r w:rsidR="003A1917">
        <w:rPr>
          <w:kern w:val="0"/>
        </w:rPr>
        <w:t xml:space="preserve"> the </w:t>
      </w:r>
      <w:r>
        <w:rPr>
          <w:kern w:val="0"/>
        </w:rPr>
        <w:t>substance-using group made a significant contribution to</w:t>
      </w:r>
      <w:r w:rsidR="003A1917">
        <w:rPr>
          <w:kern w:val="0"/>
        </w:rPr>
        <w:t xml:space="preserve"> the </w:t>
      </w:r>
      <w:r>
        <w:rPr>
          <w:kern w:val="0"/>
        </w:rPr>
        <w:t>heterogeneity in</w:t>
      </w:r>
      <w:r w:rsidR="003A1917">
        <w:rPr>
          <w:kern w:val="0"/>
        </w:rPr>
        <w:t xml:space="preserve"> the </w:t>
      </w:r>
      <w:r>
        <w:rPr>
          <w:kern w:val="0"/>
        </w:rPr>
        <w:t>effect sizes between studies, confirming an association between cannabis use</w:t>
      </w:r>
      <w:r w:rsidR="005853A9">
        <w:rPr>
          <w:kern w:val="0"/>
        </w:rPr>
        <w:t xml:space="preserve"> and </w:t>
      </w:r>
      <w:r>
        <w:rPr>
          <w:kern w:val="0"/>
        </w:rPr>
        <w:t>earlier mean age at onset</w:t>
      </w:r>
      <w:r w:rsidR="00427468">
        <w:rPr>
          <w:kern w:val="0"/>
        </w:rPr>
        <w:t xml:space="preserve"> of </w:t>
      </w:r>
      <w:r>
        <w:rPr>
          <w:kern w:val="0"/>
        </w:rPr>
        <w:t>psychotic illness. Conclusions:</w:t>
      </w:r>
      <w:r w:rsidR="003A1917">
        <w:rPr>
          <w:kern w:val="0"/>
        </w:rPr>
        <w:t xml:space="preserve"> the </w:t>
      </w:r>
      <w:r>
        <w:rPr>
          <w:kern w:val="0"/>
        </w:rPr>
        <w:t>results</w:t>
      </w:r>
      <w:r w:rsidR="00427468">
        <w:rPr>
          <w:kern w:val="0"/>
        </w:rPr>
        <w:t xml:space="preserve"> of </w:t>
      </w:r>
      <w:r>
        <w:rPr>
          <w:kern w:val="0"/>
        </w:rPr>
        <w:t>meta-analysis provide evidence for a relationship between cannabis use</w:t>
      </w:r>
      <w:r w:rsidR="005853A9">
        <w:rPr>
          <w:kern w:val="0"/>
        </w:rPr>
        <w:t xml:space="preserve"> and </w:t>
      </w:r>
      <w:r>
        <w:rPr>
          <w:kern w:val="0"/>
        </w:rPr>
        <w:t>earlier onset</w:t>
      </w:r>
      <w:r w:rsidR="00427468">
        <w:rPr>
          <w:kern w:val="0"/>
        </w:rPr>
        <w:t xml:space="preserve"> of </w:t>
      </w:r>
      <w:r>
        <w:rPr>
          <w:kern w:val="0"/>
        </w:rPr>
        <w:t>psychotic illness,</w:t>
      </w:r>
      <w:r w:rsidR="005853A9">
        <w:rPr>
          <w:kern w:val="0"/>
        </w:rPr>
        <w:t xml:space="preserve"> and </w:t>
      </w:r>
      <w:r>
        <w:rPr>
          <w:kern w:val="0"/>
        </w:rPr>
        <w:t>they support</w:t>
      </w:r>
      <w:r w:rsidR="003A1917">
        <w:rPr>
          <w:kern w:val="0"/>
        </w:rPr>
        <w:t xml:space="preserve"> the </w:t>
      </w:r>
      <w:r>
        <w:rPr>
          <w:kern w:val="0"/>
        </w:rPr>
        <w:t>hypothesis that cannabis use plays a ca</w:t>
      </w:r>
      <w:r w:rsidR="00D5664A">
        <w:rPr>
          <w:kern w:val="0"/>
        </w:rPr>
        <w:t>USA</w:t>
      </w:r>
      <w:r>
        <w:rPr>
          <w:kern w:val="0"/>
        </w:rPr>
        <w:t>l role in</w:t>
      </w:r>
      <w:r w:rsidR="003A1917">
        <w:rPr>
          <w:kern w:val="0"/>
        </w:rPr>
        <w:t xml:space="preserve"> the </w:t>
      </w:r>
      <w:r>
        <w:rPr>
          <w:kern w:val="0"/>
        </w:rPr>
        <w:t>development</w:t>
      </w:r>
      <w:r w:rsidR="00427468">
        <w:rPr>
          <w:kern w:val="0"/>
        </w:rPr>
        <w:t xml:space="preserve"> of </w:t>
      </w:r>
      <w:r>
        <w:rPr>
          <w:kern w:val="0"/>
        </w:rPr>
        <w:t>psychosis in some patients</w:t>
      </w:r>
      <w:r w:rsidR="00A37C1D">
        <w:rPr>
          <w:kern w:val="0"/>
        </w:rPr>
        <w:t>. The</w:t>
      </w:r>
      <w:r w:rsidR="003A1917">
        <w:rPr>
          <w:kern w:val="0"/>
        </w:rPr>
        <w:t xml:space="preserve"> </w:t>
      </w:r>
      <w:r>
        <w:rPr>
          <w:kern w:val="0"/>
        </w:rPr>
        <w:t>results suggest</w:t>
      </w:r>
      <w:r w:rsidR="003A1917">
        <w:rPr>
          <w:kern w:val="0"/>
        </w:rPr>
        <w:t xml:space="preserve"> the </w:t>
      </w:r>
      <w:r>
        <w:rPr>
          <w:kern w:val="0"/>
        </w:rPr>
        <w:t>need for renewed warnings about</w:t>
      </w:r>
      <w:r w:rsidR="003A1917">
        <w:rPr>
          <w:kern w:val="0"/>
        </w:rPr>
        <w:t xml:space="preserve"> the </w:t>
      </w:r>
      <w:r>
        <w:rPr>
          <w:kern w:val="0"/>
        </w:rPr>
        <w:t>potentially harmful effects</w:t>
      </w:r>
      <w:r w:rsidR="00427468">
        <w:rPr>
          <w:kern w:val="0"/>
        </w:rPr>
        <w:t xml:space="preserve"> of </w:t>
      </w:r>
      <w:r>
        <w:rPr>
          <w:kern w:val="0"/>
        </w:rPr>
        <w:t>cannabis.</w:t>
      </w:r>
    </w:p>
    <w:p w:rsidR="004E00C2" w:rsidRDefault="004E00C2" w:rsidP="004E00C2">
      <w:pPr>
        <w:pStyle w:val="a3"/>
        <w:rPr>
          <w:kern w:val="0"/>
        </w:rPr>
      </w:pPr>
      <w:r>
        <w:rPr>
          <w:kern w:val="0"/>
        </w:rPr>
        <w:t>Keywords: 1st-Episode Psychosis, Abuse, Age, Alcohol, Cannabis, Comorbid Substance Use, Contribution, Development, EMBASE, Extraction</w:t>
      </w:r>
      <w:r w:rsidR="00D5664A">
        <w:rPr>
          <w:kern w:val="0"/>
        </w:rPr>
        <w:t>, ISI,</w:t>
      </w:r>
      <w:r>
        <w:rPr>
          <w:kern w:val="0"/>
        </w:rPr>
        <w:t xml:space="preserve"> </w:t>
      </w:r>
      <w:r w:rsidR="00D5664A">
        <w:rPr>
          <w:kern w:val="0"/>
        </w:rPr>
        <w:t>MEDLINE</w:t>
      </w:r>
      <w:r>
        <w:rPr>
          <w:kern w:val="0"/>
        </w:rPr>
        <w:t xml:space="preserve">, </w:t>
      </w:r>
      <w:r>
        <w:rPr>
          <w:kern w:val="0"/>
        </w:rPr>
        <w:lastRenderedPageBreak/>
        <w:t xml:space="preserve">Mental-Disorders, Meta Analysis, Meta-Analysis, Metaanalysis, Misuse, Psychosis, Publications, Schizophrenia, Science, Sources, Use Disorders, </w:t>
      </w:r>
      <w:r w:rsidR="00D5664A">
        <w:rPr>
          <w:kern w:val="0"/>
        </w:rPr>
        <w:t>Web</w:t>
      </w:r>
      <w:r w:rsidR="00427468">
        <w:rPr>
          <w:kern w:val="0"/>
        </w:rPr>
        <w:t xml:space="preserve"> of </w:t>
      </w:r>
      <w:r w:rsidR="00D5664A">
        <w:rPr>
          <w:kern w:val="0"/>
        </w:rPr>
        <w:t>Science</w:t>
      </w:r>
    </w:p>
    <w:p w:rsidR="0046448A" w:rsidRPr="001A3D2B" w:rsidRDefault="0046448A" w:rsidP="0046448A">
      <w:pPr>
        <w:pStyle w:val="1"/>
      </w:pPr>
      <w:r w:rsidRPr="001A3D2B">
        <w:br w:type="page"/>
      </w:r>
      <w:bookmarkStart w:id="573" w:name="_Toc420814574"/>
      <w:r w:rsidRPr="001A3D2B">
        <w:lastRenderedPageBreak/>
        <w:t xml:space="preserve">Title: </w:t>
      </w:r>
      <w:r w:rsidRPr="0046448A">
        <w:t>Archives</w:t>
      </w:r>
      <w:r w:rsidR="00427468">
        <w:t xml:space="preserve"> of </w:t>
      </w:r>
      <w:r w:rsidRPr="0046448A">
        <w:t>Gerontology</w:t>
      </w:r>
      <w:r w:rsidR="005853A9">
        <w:t xml:space="preserve"> and </w:t>
      </w:r>
      <w:r w:rsidRPr="0046448A">
        <w:t>Geriatrics</w:t>
      </w:r>
      <w:bookmarkEnd w:id="573"/>
    </w:p>
    <w:p w:rsidR="0046448A" w:rsidRPr="001A3D2B" w:rsidRDefault="0046448A" w:rsidP="0046448A">
      <w:pPr>
        <w:pStyle w:val="12"/>
      </w:pPr>
      <w:r w:rsidRPr="001A3D2B">
        <w:t xml:space="preserve">Full Journal Title: </w:t>
      </w:r>
      <w:r w:rsidRPr="0046448A">
        <w:rPr>
          <w:iCs/>
          <w:kern w:val="0"/>
        </w:rPr>
        <w:t>Archives</w:t>
      </w:r>
      <w:r w:rsidR="00427468">
        <w:rPr>
          <w:iCs/>
          <w:kern w:val="0"/>
        </w:rPr>
        <w:t xml:space="preserve"> of </w:t>
      </w:r>
      <w:r w:rsidRPr="0046448A">
        <w:rPr>
          <w:iCs/>
          <w:kern w:val="0"/>
        </w:rPr>
        <w:t>Gerontology</w:t>
      </w:r>
      <w:r w:rsidR="005853A9">
        <w:rPr>
          <w:iCs/>
          <w:kern w:val="0"/>
        </w:rPr>
        <w:t xml:space="preserve"> and </w:t>
      </w:r>
      <w:r w:rsidRPr="0046448A">
        <w:rPr>
          <w:iCs/>
          <w:kern w:val="0"/>
        </w:rPr>
        <w:t>Geriatrics</w:t>
      </w:r>
    </w:p>
    <w:p w:rsidR="0046448A" w:rsidRPr="001A3D2B" w:rsidRDefault="0046448A" w:rsidP="0046448A">
      <w:pPr>
        <w:pStyle w:val="12"/>
      </w:pPr>
      <w:r w:rsidRPr="001A3D2B">
        <w:t xml:space="preserve">ISO Abbreviated Title: </w:t>
      </w:r>
    </w:p>
    <w:p w:rsidR="0046448A" w:rsidRPr="001A3D2B" w:rsidRDefault="0046448A" w:rsidP="0046448A">
      <w:pPr>
        <w:pStyle w:val="12"/>
      </w:pPr>
      <w:r w:rsidRPr="001A3D2B">
        <w:t xml:space="preserve">JCR Abbreviated Title: </w:t>
      </w:r>
    </w:p>
    <w:p w:rsidR="0046448A" w:rsidRPr="001A3D2B" w:rsidRDefault="0046448A" w:rsidP="0046448A">
      <w:pPr>
        <w:pStyle w:val="12"/>
      </w:pPr>
      <w:r w:rsidRPr="001A3D2B">
        <w:t xml:space="preserve">ISSN: </w:t>
      </w:r>
    </w:p>
    <w:p w:rsidR="0046448A" w:rsidRPr="001A3D2B" w:rsidRDefault="0046448A" w:rsidP="0046448A">
      <w:pPr>
        <w:pStyle w:val="12"/>
      </w:pPr>
      <w:r w:rsidRPr="001A3D2B">
        <w:t xml:space="preserve">Issues/Year: </w:t>
      </w:r>
    </w:p>
    <w:p w:rsidR="0046448A" w:rsidRPr="001A3D2B" w:rsidRDefault="0046448A" w:rsidP="0046448A">
      <w:pPr>
        <w:pStyle w:val="12"/>
      </w:pPr>
      <w:r w:rsidRPr="001A3D2B">
        <w:t xml:space="preserve">Journal Country/Territory: </w:t>
      </w:r>
    </w:p>
    <w:p w:rsidR="0046448A" w:rsidRPr="001A3D2B" w:rsidRDefault="0046448A" w:rsidP="0046448A">
      <w:pPr>
        <w:pStyle w:val="12"/>
      </w:pPr>
      <w:r w:rsidRPr="001A3D2B">
        <w:t xml:space="preserve">Language: </w:t>
      </w:r>
    </w:p>
    <w:p w:rsidR="0046448A" w:rsidRPr="001A3D2B" w:rsidRDefault="0046448A" w:rsidP="0046448A">
      <w:pPr>
        <w:pStyle w:val="12"/>
      </w:pPr>
      <w:r w:rsidRPr="001A3D2B">
        <w:t xml:space="preserve">Publisher: </w:t>
      </w:r>
    </w:p>
    <w:p w:rsidR="0046448A" w:rsidRPr="001A3D2B" w:rsidRDefault="0046448A" w:rsidP="0046448A">
      <w:pPr>
        <w:pStyle w:val="12"/>
      </w:pPr>
      <w:r w:rsidRPr="001A3D2B">
        <w:t xml:space="preserve">Publisher Address: </w:t>
      </w:r>
    </w:p>
    <w:p w:rsidR="0046448A" w:rsidRPr="001A3D2B" w:rsidRDefault="0046448A" w:rsidP="0046448A">
      <w:pPr>
        <w:pStyle w:val="12"/>
      </w:pPr>
      <w:r w:rsidRPr="001A3D2B">
        <w:t xml:space="preserve">Subject Categories: </w:t>
      </w:r>
    </w:p>
    <w:p w:rsidR="0046448A" w:rsidRPr="001A3D2B" w:rsidRDefault="0046448A" w:rsidP="0046448A">
      <w:pPr>
        <w:pStyle w:val="12"/>
      </w:pPr>
      <w:r w:rsidRPr="001A3D2B">
        <w:t xml:space="preserve">: Impact Factor </w:t>
      </w:r>
    </w:p>
    <w:p w:rsidR="0046448A" w:rsidRDefault="0046448A" w:rsidP="0046448A">
      <w:pPr>
        <w:pStyle w:val="a3"/>
        <w:rPr>
          <w:kern w:val="0"/>
        </w:rPr>
      </w:pPr>
      <w:r>
        <w:rPr>
          <w:rFonts w:hint="eastAsia"/>
          <w:kern w:val="0"/>
        </w:rPr>
        <w:t xml:space="preserve">? </w:t>
      </w:r>
      <w:r>
        <w:rPr>
          <w:kern w:val="0"/>
        </w:rPr>
        <w:t>Teixeira, C.V.L., Gobbi, L.T.B., Corazza, D.I., Stella, F., Costa, J.L.R.</w:t>
      </w:r>
      <w:r w:rsidR="005853A9">
        <w:rPr>
          <w:kern w:val="0"/>
        </w:rPr>
        <w:t xml:space="preserve"> and </w:t>
      </w:r>
      <w:r>
        <w:rPr>
          <w:kern w:val="0"/>
        </w:rPr>
        <w:t xml:space="preserve">Gobbi, S. (2011), Non-pharmacological interventions on cognitive functions in older people with mild cognitive impairment (MCI). </w:t>
      </w:r>
      <w:r w:rsidRPr="0046448A">
        <w:rPr>
          <w:i/>
          <w:iCs/>
          <w:kern w:val="0"/>
        </w:rPr>
        <w:t>Archives</w:t>
      </w:r>
      <w:r w:rsidR="00427468">
        <w:rPr>
          <w:i/>
          <w:iCs/>
          <w:kern w:val="0"/>
        </w:rPr>
        <w:t xml:space="preserve"> of </w:t>
      </w:r>
      <w:r w:rsidRPr="0046448A">
        <w:rPr>
          <w:i/>
          <w:iCs/>
          <w:kern w:val="0"/>
        </w:rPr>
        <w:t>Gerontology</w:t>
      </w:r>
      <w:r w:rsidR="005853A9">
        <w:rPr>
          <w:i/>
          <w:iCs/>
          <w:kern w:val="0"/>
        </w:rPr>
        <w:t xml:space="preserve"> and </w:t>
      </w:r>
      <w:r w:rsidRPr="0046448A">
        <w:rPr>
          <w:i/>
          <w:iCs/>
          <w:kern w:val="0"/>
        </w:rPr>
        <w:t>Geriatrics</w:t>
      </w:r>
      <w:r>
        <w:rPr>
          <w:kern w:val="0"/>
        </w:rPr>
        <w:t xml:space="preserve">, </w:t>
      </w:r>
      <w:r>
        <w:rPr>
          <w:b/>
          <w:bCs/>
          <w:kern w:val="0"/>
        </w:rPr>
        <w:t>54</w:t>
      </w:r>
      <w:r>
        <w:rPr>
          <w:kern w:val="0"/>
        </w:rPr>
        <w:t xml:space="preserve"> (1), 175-180.</w:t>
      </w:r>
    </w:p>
    <w:p w:rsidR="0046448A" w:rsidRDefault="0046448A" w:rsidP="0046448A">
      <w:pPr>
        <w:pStyle w:val="a3"/>
        <w:rPr>
          <w:kern w:val="0"/>
        </w:rPr>
      </w:pPr>
      <w:r>
        <w:rPr>
          <w:rFonts w:hint="eastAsia"/>
          <w:kern w:val="0"/>
        </w:rPr>
        <w:t xml:space="preserve">Full Text: </w:t>
      </w:r>
      <w:hyperlink r:id="rId1119" w:history="1">
        <w:r w:rsidRPr="0046448A">
          <w:rPr>
            <w:rStyle w:val="a5"/>
            <w:kern w:val="0"/>
          </w:rPr>
          <w:t>2011\Arc Ger Ger54, 175.pdf</w:t>
        </w:r>
      </w:hyperlink>
    </w:p>
    <w:p w:rsidR="0046448A" w:rsidRDefault="0046448A" w:rsidP="0046448A">
      <w:pPr>
        <w:pStyle w:val="a3"/>
        <w:rPr>
          <w:kern w:val="0"/>
        </w:rPr>
      </w:pPr>
      <w:r>
        <w:rPr>
          <w:kern w:val="0"/>
        </w:rPr>
        <w:t>Abstract: Mild cognitive impairment (MCI) can be a stage</w:t>
      </w:r>
      <w:r w:rsidR="00427468">
        <w:rPr>
          <w:kern w:val="0"/>
        </w:rPr>
        <w:t xml:space="preserve"> of </w:t>
      </w:r>
      <w:r>
        <w:rPr>
          <w:kern w:val="0"/>
        </w:rPr>
        <w:t>pre-dementia</w:t>
      </w:r>
      <w:r w:rsidR="00A37C1D">
        <w:rPr>
          <w:kern w:val="0"/>
        </w:rPr>
        <w:t>. The</w:t>
      </w:r>
      <w:r>
        <w:rPr>
          <w:kern w:val="0"/>
        </w:rPr>
        <w:t>re is no consensus about pharmacological treatment for this population, so it is important to structure non-pharmacological interventions for increasing their cognitive reserve. We intended to analyze</w:t>
      </w:r>
      <w:r w:rsidR="003A1917">
        <w:rPr>
          <w:kern w:val="0"/>
        </w:rPr>
        <w:t xml:space="preserve"> the </w:t>
      </w:r>
      <w:r>
        <w:rPr>
          <w:kern w:val="0"/>
        </w:rPr>
        <w:t>effects</w:t>
      </w:r>
      <w:r w:rsidR="00427468">
        <w:rPr>
          <w:kern w:val="0"/>
        </w:rPr>
        <w:t xml:space="preserve"> of </w:t>
      </w:r>
      <w:r>
        <w:rPr>
          <w:kern w:val="0"/>
        </w:rPr>
        <w:t>non-pharmacological interventions in</w:t>
      </w:r>
      <w:r w:rsidR="003A1917">
        <w:rPr>
          <w:kern w:val="0"/>
        </w:rPr>
        <w:t xml:space="preserve"> the </w:t>
      </w:r>
      <w:r>
        <w:rPr>
          <w:kern w:val="0"/>
        </w:rPr>
        <w:t>cognitive functions in older people with MC, in form</w:t>
      </w:r>
      <w:r w:rsidR="00427468">
        <w:rPr>
          <w:kern w:val="0"/>
        </w:rPr>
        <w:t xml:space="preserve"> of </w:t>
      </w:r>
      <w:r>
        <w:rPr>
          <w:kern w:val="0"/>
        </w:rPr>
        <w:t>a systemic review. Data sources were</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Biological Abstracts, </w:t>
      </w:r>
      <w:r w:rsidR="00D5664A">
        <w:rPr>
          <w:kern w:val="0"/>
        </w:rPr>
        <w:t>MEDLINE</w:t>
      </w:r>
      <w:r>
        <w:rPr>
          <w:kern w:val="0"/>
        </w:rPr>
        <w:t>, Pub Med, EBSCHost, Scirus</w:t>
      </w:r>
      <w:r w:rsidR="005853A9">
        <w:rPr>
          <w:kern w:val="0"/>
        </w:rPr>
        <w:t xml:space="preserve"> and </w:t>
      </w:r>
      <w:r>
        <w:rPr>
          <w:kern w:val="0"/>
        </w:rPr>
        <w:t>Google Scholar. All studies were longitudinal trials, with MCI sample, aged &gt; 60 years, community-dwelling,</w:t>
      </w:r>
      <w:r w:rsidR="005853A9">
        <w:rPr>
          <w:kern w:val="0"/>
        </w:rPr>
        <w:t xml:space="preserve"> and </w:t>
      </w:r>
      <w:r>
        <w:rPr>
          <w:kern w:val="0"/>
        </w:rPr>
        <w:t>having cognitive functions as dependent variable. Seven studies, from 91 previously selected ones, were identified according to</w:t>
      </w:r>
      <w:r w:rsidR="003A1917">
        <w:rPr>
          <w:kern w:val="0"/>
        </w:rPr>
        <w:t xml:space="preserve"> the </w:t>
      </w:r>
      <w:r>
        <w:rPr>
          <w:kern w:val="0"/>
        </w:rPr>
        <w:t>inclusion criteria. Six studies used cognitive intervention, improving memory</w:t>
      </w:r>
      <w:r w:rsidR="005853A9">
        <w:rPr>
          <w:kern w:val="0"/>
        </w:rPr>
        <w:t xml:space="preserve"> and </w:t>
      </w:r>
      <w:r>
        <w:rPr>
          <w:kern w:val="0"/>
        </w:rPr>
        <w:t>one study used physical activity as intervention, improving executive functions</w:t>
      </w:r>
      <w:r w:rsidR="00A37C1D">
        <w:rPr>
          <w:kern w:val="0"/>
        </w:rPr>
        <w:t>. The</w:t>
      </w:r>
      <w:r w:rsidR="003A1917">
        <w:rPr>
          <w:kern w:val="0"/>
        </w:rPr>
        <w:t xml:space="preserve"> </w:t>
      </w:r>
      <w:r>
        <w:rPr>
          <w:kern w:val="0"/>
        </w:rPr>
        <w:t>results show evidence that physical activity</w:t>
      </w:r>
      <w:r w:rsidR="005853A9">
        <w:rPr>
          <w:kern w:val="0"/>
        </w:rPr>
        <w:t xml:space="preserve"> and </w:t>
      </w:r>
      <w:r>
        <w:rPr>
          <w:kern w:val="0"/>
        </w:rPr>
        <w:t>cognitive exercise may improve memory</w:t>
      </w:r>
      <w:r w:rsidR="005853A9">
        <w:rPr>
          <w:kern w:val="0"/>
        </w:rPr>
        <w:t xml:space="preserve"> and </w:t>
      </w:r>
      <w:r>
        <w:rPr>
          <w:kern w:val="0"/>
        </w:rPr>
        <w:t>executive functions in older people with MCI. But yet, more controlled studies are needed to establish a protocol</w:t>
      </w:r>
      <w:r w:rsidR="00427468">
        <w:rPr>
          <w:kern w:val="0"/>
        </w:rPr>
        <w:t xml:space="preserve"> of </w:t>
      </w:r>
      <w:r>
        <w:rPr>
          <w:kern w:val="0"/>
        </w:rPr>
        <w:t>recommendations regarding</w:t>
      </w:r>
      <w:r w:rsidR="003A1917">
        <w:rPr>
          <w:kern w:val="0"/>
        </w:rPr>
        <w:t xml:space="preserve"> the </w:t>
      </w:r>
      <w:r>
        <w:rPr>
          <w:kern w:val="0"/>
        </w:rPr>
        <w:t>systemization</w:t>
      </w:r>
      <w:r w:rsidR="00427468">
        <w:rPr>
          <w:kern w:val="0"/>
        </w:rPr>
        <w:t xml:space="preserve"> of </w:t>
      </w:r>
      <w:r>
        <w:rPr>
          <w:kern w:val="0"/>
        </w:rPr>
        <w:t>exercise, necessary to produce benefits in</w:t>
      </w:r>
      <w:r w:rsidR="003A1917">
        <w:rPr>
          <w:kern w:val="0"/>
        </w:rPr>
        <w:t xml:space="preserve"> the </w:t>
      </w:r>
      <w:r>
        <w:rPr>
          <w:kern w:val="0"/>
        </w:rPr>
        <w:t>cognitive functioning in older people with MCI. (C) 2011 Elsevier Ireland Ltd. All rights reserved.</w:t>
      </w:r>
    </w:p>
    <w:p w:rsidR="0046448A" w:rsidRDefault="0046448A" w:rsidP="0046448A">
      <w:pPr>
        <w:pStyle w:val="a3"/>
        <w:rPr>
          <w:kern w:val="0"/>
        </w:rPr>
      </w:pPr>
      <w:r>
        <w:rPr>
          <w:kern w:val="0"/>
        </w:rPr>
        <w:t xml:space="preserve">Keywords: Adults, Aged, Alzheimers-Disease Patients, Cognitive Functions, Cognitive Impairment, Cognitive Intervention, Controlled Studies, Dementia, Elderly Subjects, Exercise, Google Scholar, Health, Improvement, Intervention, Interventions, </w:t>
      </w:r>
      <w:r w:rsidR="00D5664A">
        <w:rPr>
          <w:kern w:val="0"/>
        </w:rPr>
        <w:lastRenderedPageBreak/>
        <w:t>MEDLINE</w:t>
      </w:r>
      <w:r>
        <w:rPr>
          <w:kern w:val="0"/>
        </w:rPr>
        <w:t xml:space="preserve">, Memory, Mild Cognitive Impairment, Non-Pharmacological Interventions, Older People, Physical Activity, Physical-Activity, Protocol, Pub Med, Recommendations, Rehabilitation Program, Review, Science, Systemic Review, Treatment, </w:t>
      </w:r>
      <w:r w:rsidR="00D5664A">
        <w:rPr>
          <w:kern w:val="0"/>
        </w:rPr>
        <w:t>Web</w:t>
      </w:r>
      <w:r w:rsidR="00427468">
        <w:rPr>
          <w:kern w:val="0"/>
        </w:rPr>
        <w:t xml:space="preserve"> of </w:t>
      </w:r>
      <w:r w:rsidR="00D5664A">
        <w:rPr>
          <w:kern w:val="0"/>
        </w:rPr>
        <w:t>Science</w:t>
      </w:r>
    </w:p>
    <w:p w:rsidR="001A6521" w:rsidRDefault="001A6521" w:rsidP="001A6521">
      <w:pPr>
        <w:pStyle w:val="a3"/>
        <w:rPr>
          <w:kern w:val="0"/>
        </w:rPr>
      </w:pPr>
      <w:r>
        <w:rPr>
          <w:rFonts w:hint="eastAsia"/>
          <w:kern w:val="0"/>
        </w:rPr>
        <w:t xml:space="preserve">? </w:t>
      </w:r>
      <w:r>
        <w:rPr>
          <w:kern w:val="0"/>
        </w:rPr>
        <w:t xml:space="preserve">Silva, J.E.D., Souza, C.A.S., da Silva, T.B., Gomes, I.A., Brito, G.D., Araujo, A.A.D., de Lyra, D.P., da Silva, W.B. and da Silva, F.A. (2014), Use of herbal medicines by elderly patients: A systematic review. </w:t>
      </w:r>
      <w:r>
        <w:rPr>
          <w:i/>
          <w:iCs/>
          <w:kern w:val="0"/>
        </w:rPr>
        <w:t>Archives of Gerontology and Geriatrics</w:t>
      </w:r>
      <w:r>
        <w:rPr>
          <w:kern w:val="0"/>
        </w:rPr>
        <w:t xml:space="preserve">, </w:t>
      </w:r>
      <w:r>
        <w:rPr>
          <w:b/>
          <w:bCs/>
          <w:kern w:val="0"/>
        </w:rPr>
        <w:t>59</w:t>
      </w:r>
      <w:r>
        <w:rPr>
          <w:kern w:val="0"/>
        </w:rPr>
        <w:t xml:space="preserve"> (2), 227-233.</w:t>
      </w:r>
    </w:p>
    <w:p w:rsidR="001A6521" w:rsidRDefault="001A6521" w:rsidP="001A6521">
      <w:pPr>
        <w:pStyle w:val="a3"/>
        <w:rPr>
          <w:kern w:val="0"/>
        </w:rPr>
      </w:pPr>
      <w:r>
        <w:rPr>
          <w:rFonts w:hint="eastAsia"/>
          <w:kern w:val="0"/>
        </w:rPr>
        <w:t xml:space="preserve">Full Text: </w:t>
      </w:r>
      <w:hyperlink r:id="rId1120" w:history="1">
        <w:r w:rsidRPr="007B27B2">
          <w:rPr>
            <w:rStyle w:val="a5"/>
            <w:kern w:val="0"/>
          </w:rPr>
          <w:t>2014\Arc Ger Ger59, 227.pdf</w:t>
        </w:r>
      </w:hyperlink>
    </w:p>
    <w:p w:rsidR="001A6521" w:rsidRDefault="001A6521" w:rsidP="001A6521">
      <w:pPr>
        <w:pStyle w:val="a3"/>
        <w:rPr>
          <w:kern w:val="0"/>
        </w:rPr>
      </w:pPr>
      <w:r>
        <w:rPr>
          <w:kern w:val="0"/>
        </w:rPr>
        <w:t>Abstract: Objectives: We aimed to survey the published literature for articles that describe the use of herbal supplements by elderly patients and to summarize important aspects of selected studies, including most commonly used supplements, study type, study location, and potential hazards of herbal supplement use. Methods: Literature searches were conducted on three scientific/medical databases: Medline, Web of Science, and Scopus. Search results were examined for articles involving the use of herbal products in the elderly population that met selection criteria. Results: Initial searches yielded 1297 articles. Of these original results, only 16 met specific selection criteria. Twelve (75%) of studies identified were performed in North America. Nine studies (56.25%) were conducted in the United States. Seven of the studies were cross-sectional (43.8%). The most commonly reported were gingko biloba, garlic, ginseng, aloe vera, chamomile, spearmint, and ginger. Of these, gingko and garlic are the most commonly used among community-dwelling elderly. Both of these supplements have the potential to interact with anticoagulants and produce bruising or bleeding problems. Conclusions: The use of herbal supplements is common among the elderly, a population that takes a disproportionate share of prescription medications compared to that taken by younger populations. Among the problems uncovered by these studies was a lack of dialog between medical professionals and patients about the use of herbal supplements. Prescribers need to consider the use of herbal supplements and discuss the matter with their elderly patients when making decisions about pharmacological treatments. (C) 2014 Published by Elsevier Ireland Ltd.</w:t>
      </w:r>
    </w:p>
    <w:p w:rsidR="001A6521" w:rsidRDefault="001A6521" w:rsidP="001A6521">
      <w:pPr>
        <w:pStyle w:val="a3"/>
        <w:rPr>
          <w:kern w:val="0"/>
        </w:rPr>
      </w:pPr>
      <w:r>
        <w:rPr>
          <w:kern w:val="0"/>
        </w:rPr>
        <w:t>Keywords: Anticoagulants, Articles, Bleeding, Complementary Alternative Medicine, Criteria, Databases, Drug-Interactions, Elderly, Garlic, Herbal Drug, Herbal Medicines, Herbal Supplements, Ireland, Literature, Location, Medical, Medicinal Plants, Medline, Methods, Natural Health Products, North, North America, Older People, Older-Adults, Patients, Population, Populations, Potential, Potential Interactions, Prescription, Results, Review, Science, Scopus, Search, Selection, Selection Criteria, Supplements, Survey, Systematic, Systematic Review, The Elderly, Therapies, United States, Web Of Science, Women</w:t>
      </w:r>
    </w:p>
    <w:p w:rsidR="00165DDC" w:rsidRDefault="00165DDC" w:rsidP="00165DDC">
      <w:pPr>
        <w:pStyle w:val="a3"/>
        <w:rPr>
          <w:kern w:val="0"/>
        </w:rPr>
      </w:pPr>
      <w:r>
        <w:rPr>
          <w:kern w:val="0"/>
        </w:rPr>
        <w:lastRenderedPageBreak/>
        <w:t xml:space="preserve">? Tada, A. and Miura, H. (2014), Systematic review of the association of mastication with food and nutrient intake in the independent elderly. </w:t>
      </w:r>
      <w:r>
        <w:rPr>
          <w:i/>
          <w:iCs/>
          <w:kern w:val="0"/>
        </w:rPr>
        <w:t>Archives of Gerontology and Geriatrics</w:t>
      </w:r>
      <w:r>
        <w:rPr>
          <w:kern w:val="0"/>
        </w:rPr>
        <w:t xml:space="preserve">, </w:t>
      </w:r>
      <w:r>
        <w:rPr>
          <w:b/>
          <w:bCs/>
          <w:kern w:val="0"/>
        </w:rPr>
        <w:t>59</w:t>
      </w:r>
      <w:r>
        <w:rPr>
          <w:kern w:val="0"/>
        </w:rPr>
        <w:t xml:space="preserve"> (3), 497-505.</w:t>
      </w:r>
    </w:p>
    <w:p w:rsidR="00165DDC" w:rsidRDefault="00165DDC" w:rsidP="00165DDC">
      <w:pPr>
        <w:pStyle w:val="a3"/>
        <w:rPr>
          <w:kern w:val="0"/>
        </w:rPr>
      </w:pPr>
      <w:r>
        <w:rPr>
          <w:rFonts w:hint="eastAsia"/>
          <w:kern w:val="0"/>
        </w:rPr>
        <w:t xml:space="preserve">Full Text: </w:t>
      </w:r>
      <w:hyperlink r:id="rId1121" w:history="1">
        <w:r w:rsidRPr="00D61DF1">
          <w:rPr>
            <w:rStyle w:val="a5"/>
            <w:kern w:val="0"/>
          </w:rPr>
          <w:t>2014\Arc Ger Ger59, 497.pdf</w:t>
        </w:r>
      </w:hyperlink>
    </w:p>
    <w:p w:rsidR="00165DDC" w:rsidRDefault="00165DDC" w:rsidP="00165DDC">
      <w:pPr>
        <w:pStyle w:val="a3"/>
        <w:rPr>
          <w:kern w:val="0"/>
        </w:rPr>
      </w:pPr>
      <w:r>
        <w:rPr>
          <w:kern w:val="0"/>
        </w:rPr>
        <w:t>Abstract: Substantial number of elderly people suffer from poor mastication, which is considered to have a detrimental effect on their dietary habits. However, the association between mastication and diet is far from conclusive. The objective of this systematic review was to assess the association of mastication with food and nutrient intake in the community dwelling elderly. We searched the PubMed, Web of Science, Cochrane Library, and Scirus databases to obtain information on the epidemiological studies in this research area. The included publications were analyzed for study design, main conclusions, and strength of evidence. A comprehensive quality assessment of all the included studies (28 cross-sectional and 7 intervention studies) was performed. In 22 of the 28 cross-sectional studies, elderly persons with better mastication and dentition reported significantly higher consumption of foods and intake of some nutrients than those with poorer oral health; however, the remaining studies showed no such differences. Five of the 7 intervention studies with an intervention involving the provision of new prostheses did not show significant improvement in food and/or nutrient intake. These discrepant findings suggest that masticatory ability explains only part of the variance in food and nutrient intake of the elderly. Two intervention studies with the combination of prosthetic treatment and dietary intervention produced changes in intake of foods such as fruits and vegetables. (C) 2014 Elsevier Ireland Ltd. All rights reserved.</w:t>
      </w:r>
    </w:p>
    <w:p w:rsidR="00165DDC" w:rsidRDefault="00165DDC" w:rsidP="00165DDC">
      <w:pPr>
        <w:pStyle w:val="a3"/>
        <w:rPr>
          <w:kern w:val="0"/>
        </w:rPr>
      </w:pPr>
      <w:r>
        <w:rPr>
          <w:kern w:val="0"/>
        </w:rPr>
        <w:t>Keywords: Assessment, Association, Changes, Chewing Ability, Community, Consumption, Cross-Sectional, Cross-Sectional Studies, Databases, Dental Status, Dentition Status, Design, Diet, Dietary Adequacy, Edentulous Subjects, Elderly, Elderly People, Evidence, Food, Food Intake, From, Fruits, Health, Improvement, Information, Intervention, Intervention Studies, Ireland, Mastication, Nutrient, Nutrient Intake, Nutrients, Nutritional-Status, Older-Adults, Oral, Oral Health, Oral-Health, Prosthesis, Publications, Pubmed, Quality, Research, Review, Rights, Science, Strength, Study Design, Systematic, Systematic Review, The Elderly, Tooth Loss, Treatment, Vegetable Intake, Vegetables, Web Of Science</w:t>
      </w:r>
    </w:p>
    <w:p w:rsidR="004E00C2" w:rsidRPr="001A3D2B" w:rsidRDefault="004E00C2" w:rsidP="004E00C2">
      <w:pPr>
        <w:pStyle w:val="1"/>
      </w:pPr>
      <w:r w:rsidRPr="001A3D2B">
        <w:br w:type="page"/>
      </w:r>
      <w:bookmarkStart w:id="574" w:name="_Toc420814575"/>
      <w:r w:rsidRPr="001A3D2B">
        <w:lastRenderedPageBreak/>
        <w:t xml:space="preserve">Title: </w:t>
      </w:r>
      <w:r w:rsidRPr="004E00C2">
        <w:rPr>
          <w:iCs w:val="0"/>
        </w:rPr>
        <w:t>Archives</w:t>
      </w:r>
      <w:r w:rsidR="00427468">
        <w:rPr>
          <w:iCs w:val="0"/>
        </w:rPr>
        <w:t xml:space="preserve"> of </w:t>
      </w:r>
      <w:r w:rsidRPr="004E00C2">
        <w:rPr>
          <w:iCs w:val="0"/>
        </w:rPr>
        <w:t>Gynecology</w:t>
      </w:r>
      <w:r w:rsidR="005853A9">
        <w:rPr>
          <w:iCs w:val="0"/>
        </w:rPr>
        <w:t xml:space="preserve"> and </w:t>
      </w:r>
      <w:r w:rsidRPr="004E00C2">
        <w:rPr>
          <w:iCs w:val="0"/>
        </w:rPr>
        <w:t>Obstetrics</w:t>
      </w:r>
      <w:bookmarkEnd w:id="574"/>
    </w:p>
    <w:p w:rsidR="004E00C2" w:rsidRPr="001A3D2B" w:rsidRDefault="004E00C2" w:rsidP="004E00C2">
      <w:pPr>
        <w:pStyle w:val="12"/>
      </w:pPr>
      <w:r w:rsidRPr="001A3D2B">
        <w:t xml:space="preserve">Full Journal Title: </w:t>
      </w:r>
      <w:r w:rsidRPr="004E00C2">
        <w:rPr>
          <w:iCs/>
          <w:kern w:val="0"/>
        </w:rPr>
        <w:t>Archives</w:t>
      </w:r>
      <w:r w:rsidR="00427468">
        <w:rPr>
          <w:iCs/>
          <w:kern w:val="0"/>
        </w:rPr>
        <w:t xml:space="preserve"> of </w:t>
      </w:r>
      <w:r w:rsidRPr="004E00C2">
        <w:rPr>
          <w:iCs/>
          <w:kern w:val="0"/>
        </w:rPr>
        <w:t>Gynecology</w:t>
      </w:r>
      <w:r w:rsidR="005853A9">
        <w:rPr>
          <w:iCs/>
          <w:kern w:val="0"/>
        </w:rPr>
        <w:t xml:space="preserve"> and </w:t>
      </w:r>
      <w:r w:rsidRPr="004E00C2">
        <w:rPr>
          <w:iCs/>
          <w:kern w:val="0"/>
        </w:rPr>
        <w:t>Obstetrics</w:t>
      </w:r>
    </w:p>
    <w:p w:rsidR="004E00C2" w:rsidRPr="001A3D2B" w:rsidRDefault="004E00C2" w:rsidP="004E00C2">
      <w:pPr>
        <w:pStyle w:val="12"/>
      </w:pPr>
      <w:r w:rsidRPr="001A3D2B">
        <w:t xml:space="preserve">ISO Abbreviated Title: </w:t>
      </w:r>
    </w:p>
    <w:p w:rsidR="004E00C2" w:rsidRPr="001A3D2B" w:rsidRDefault="004E00C2" w:rsidP="004E00C2">
      <w:pPr>
        <w:pStyle w:val="12"/>
      </w:pPr>
      <w:r w:rsidRPr="001A3D2B">
        <w:t xml:space="preserve">JCR Abbreviated Title: </w:t>
      </w:r>
    </w:p>
    <w:p w:rsidR="004E00C2" w:rsidRPr="001A3D2B" w:rsidRDefault="004E00C2" w:rsidP="004E00C2">
      <w:pPr>
        <w:pStyle w:val="12"/>
      </w:pPr>
      <w:r w:rsidRPr="001A3D2B">
        <w:t xml:space="preserve">ISSN: </w:t>
      </w:r>
    </w:p>
    <w:p w:rsidR="004E00C2" w:rsidRPr="001A3D2B" w:rsidRDefault="004E00C2" w:rsidP="004E00C2">
      <w:pPr>
        <w:pStyle w:val="12"/>
      </w:pPr>
      <w:r w:rsidRPr="001A3D2B">
        <w:t xml:space="preserve">Issues/Year: </w:t>
      </w:r>
    </w:p>
    <w:p w:rsidR="004E00C2" w:rsidRPr="001A3D2B" w:rsidRDefault="004E00C2" w:rsidP="004E00C2">
      <w:pPr>
        <w:pStyle w:val="12"/>
      </w:pPr>
      <w:r w:rsidRPr="001A3D2B">
        <w:t xml:space="preserve">Journal Country/Territory: </w:t>
      </w:r>
    </w:p>
    <w:p w:rsidR="004E00C2" w:rsidRPr="001A3D2B" w:rsidRDefault="004E00C2" w:rsidP="004E00C2">
      <w:pPr>
        <w:pStyle w:val="12"/>
      </w:pPr>
      <w:r w:rsidRPr="001A3D2B">
        <w:t xml:space="preserve">Language: </w:t>
      </w:r>
    </w:p>
    <w:p w:rsidR="004E00C2" w:rsidRPr="001A3D2B" w:rsidRDefault="004E00C2" w:rsidP="004E00C2">
      <w:pPr>
        <w:pStyle w:val="12"/>
      </w:pPr>
      <w:r w:rsidRPr="001A3D2B">
        <w:t xml:space="preserve">Publisher: </w:t>
      </w:r>
    </w:p>
    <w:p w:rsidR="004E00C2" w:rsidRPr="001A3D2B" w:rsidRDefault="004E00C2" w:rsidP="004E00C2">
      <w:pPr>
        <w:pStyle w:val="12"/>
      </w:pPr>
      <w:r w:rsidRPr="001A3D2B">
        <w:t xml:space="preserve">Publisher Address: </w:t>
      </w:r>
    </w:p>
    <w:p w:rsidR="004E00C2" w:rsidRPr="001A3D2B" w:rsidRDefault="004E00C2" w:rsidP="004E00C2">
      <w:pPr>
        <w:pStyle w:val="12"/>
      </w:pPr>
      <w:r w:rsidRPr="001A3D2B">
        <w:t xml:space="preserve">Subject Categories: </w:t>
      </w:r>
    </w:p>
    <w:p w:rsidR="004E00C2" w:rsidRPr="001A3D2B" w:rsidRDefault="004E00C2" w:rsidP="004E00C2">
      <w:pPr>
        <w:pStyle w:val="12"/>
      </w:pPr>
      <w:r w:rsidRPr="001A3D2B">
        <w:t xml:space="preserve">: Impact Factor </w:t>
      </w:r>
    </w:p>
    <w:p w:rsidR="004E00C2" w:rsidRDefault="004E00C2" w:rsidP="004E00C2">
      <w:pPr>
        <w:pStyle w:val="a3"/>
        <w:rPr>
          <w:kern w:val="0"/>
        </w:rPr>
      </w:pPr>
      <w:r>
        <w:rPr>
          <w:rFonts w:hint="eastAsia"/>
          <w:kern w:val="0"/>
        </w:rPr>
        <w:t xml:space="preserve">? </w:t>
      </w:r>
      <w:r>
        <w:rPr>
          <w:kern w:val="0"/>
        </w:rPr>
        <w:t>Kamel, R.M. (2010</w:t>
      </w:r>
      <w:r w:rsidR="00F42EAC">
        <w:rPr>
          <w:kern w:val="0"/>
        </w:rPr>
        <w:t>), The</w:t>
      </w:r>
      <w:r w:rsidR="003A1917">
        <w:rPr>
          <w:kern w:val="0"/>
        </w:rPr>
        <w:t xml:space="preserve"> </w:t>
      </w:r>
      <w:r>
        <w:rPr>
          <w:kern w:val="0"/>
        </w:rPr>
        <w:t>onset</w:t>
      </w:r>
      <w:r w:rsidR="00427468">
        <w:rPr>
          <w:kern w:val="0"/>
        </w:rPr>
        <w:t xml:space="preserve"> of </w:t>
      </w:r>
      <w:r>
        <w:rPr>
          <w:kern w:val="0"/>
        </w:rPr>
        <w:t xml:space="preserve">human parturition. </w:t>
      </w:r>
      <w:r w:rsidRPr="004E00C2">
        <w:rPr>
          <w:i/>
          <w:iCs/>
          <w:kern w:val="0"/>
        </w:rPr>
        <w:t>Archives</w:t>
      </w:r>
      <w:r w:rsidR="00427468">
        <w:rPr>
          <w:i/>
          <w:iCs/>
          <w:kern w:val="0"/>
        </w:rPr>
        <w:t xml:space="preserve"> of </w:t>
      </w:r>
      <w:r w:rsidRPr="004E00C2">
        <w:rPr>
          <w:i/>
          <w:iCs/>
          <w:kern w:val="0"/>
        </w:rPr>
        <w:t>Gynecology</w:t>
      </w:r>
      <w:r w:rsidR="005853A9">
        <w:rPr>
          <w:i/>
          <w:iCs/>
          <w:kern w:val="0"/>
        </w:rPr>
        <w:t xml:space="preserve"> and </w:t>
      </w:r>
      <w:r w:rsidRPr="004E00C2">
        <w:rPr>
          <w:i/>
          <w:iCs/>
          <w:kern w:val="0"/>
        </w:rPr>
        <w:t>Obstetrics</w:t>
      </w:r>
      <w:r>
        <w:rPr>
          <w:kern w:val="0"/>
        </w:rPr>
        <w:t xml:space="preserve">, </w:t>
      </w:r>
      <w:r>
        <w:rPr>
          <w:b/>
          <w:bCs/>
          <w:kern w:val="0"/>
        </w:rPr>
        <w:t>281</w:t>
      </w:r>
      <w:r>
        <w:rPr>
          <w:kern w:val="0"/>
        </w:rPr>
        <w:t xml:space="preserve"> (6), 975-982.</w:t>
      </w:r>
    </w:p>
    <w:p w:rsidR="00BD6DF3" w:rsidRDefault="00BD6DF3" w:rsidP="00BD6DF3">
      <w:pPr>
        <w:pStyle w:val="a3"/>
        <w:rPr>
          <w:kern w:val="0"/>
        </w:rPr>
      </w:pPr>
      <w:r>
        <w:rPr>
          <w:rFonts w:hint="eastAsia"/>
          <w:kern w:val="0"/>
        </w:rPr>
        <w:t xml:space="preserve">Full Text: </w:t>
      </w:r>
      <w:hyperlink r:id="rId1122" w:history="1">
        <w:r w:rsidRPr="004225D9">
          <w:rPr>
            <w:rStyle w:val="a5"/>
            <w:kern w:val="0"/>
          </w:rPr>
          <w:t>2010\Arc Gyn Obs281, 975.pdf</w:t>
        </w:r>
      </w:hyperlink>
    </w:p>
    <w:p w:rsidR="004E00C2" w:rsidRDefault="004E00C2" w:rsidP="004E00C2">
      <w:pPr>
        <w:pStyle w:val="a3"/>
        <w:rPr>
          <w:kern w:val="0"/>
        </w:rPr>
      </w:pPr>
      <w:r>
        <w:rPr>
          <w:kern w:val="0"/>
        </w:rPr>
        <w:t>Abstract: Despite impressive progress in</w:t>
      </w:r>
      <w:r w:rsidR="003A1917">
        <w:rPr>
          <w:kern w:val="0"/>
        </w:rPr>
        <w:t xml:space="preserve"> the </w:t>
      </w:r>
      <w:r>
        <w:rPr>
          <w:kern w:val="0"/>
        </w:rPr>
        <w:t>science</w:t>
      </w:r>
      <w:r w:rsidR="005853A9">
        <w:rPr>
          <w:kern w:val="0"/>
        </w:rPr>
        <w:t xml:space="preserve"> and </w:t>
      </w:r>
      <w:r>
        <w:rPr>
          <w:kern w:val="0"/>
        </w:rPr>
        <w:t>technology</w:t>
      </w:r>
      <w:r w:rsidR="00427468">
        <w:rPr>
          <w:kern w:val="0"/>
        </w:rPr>
        <w:t xml:space="preserve"> of </w:t>
      </w:r>
      <w:r>
        <w:rPr>
          <w:kern w:val="0"/>
        </w:rPr>
        <w:t>reproduction,</w:t>
      </w:r>
      <w:r w:rsidR="003A1917">
        <w:rPr>
          <w:kern w:val="0"/>
        </w:rPr>
        <w:t xml:space="preserve"> the </w:t>
      </w:r>
      <w:r>
        <w:rPr>
          <w:kern w:val="0"/>
        </w:rPr>
        <w:t>mechanism by which labour is initiated in humans remains obscure. As</w:t>
      </w:r>
      <w:r w:rsidR="003A1917">
        <w:rPr>
          <w:kern w:val="0"/>
        </w:rPr>
        <w:t xml:space="preserve"> the </w:t>
      </w:r>
      <w:r>
        <w:rPr>
          <w:kern w:val="0"/>
        </w:rPr>
        <w:t>labour in humans is a distinct event differs from what happens in animals, this study aims to gather</w:t>
      </w:r>
      <w:r w:rsidR="003A1917">
        <w:rPr>
          <w:kern w:val="0"/>
        </w:rPr>
        <w:t xml:space="preserve"> the </w:t>
      </w:r>
      <w:r>
        <w:rPr>
          <w:kern w:val="0"/>
        </w:rPr>
        <w:t>current theories that could explain when</w:t>
      </w:r>
      <w:r w:rsidR="005853A9">
        <w:rPr>
          <w:kern w:val="0"/>
        </w:rPr>
        <w:t xml:space="preserve"> and </w:t>
      </w:r>
      <w:r>
        <w:rPr>
          <w:kern w:val="0"/>
        </w:rPr>
        <w:t>why</w:t>
      </w:r>
      <w:r w:rsidR="003A1917">
        <w:rPr>
          <w:kern w:val="0"/>
        </w:rPr>
        <w:t xml:space="preserve"> the </w:t>
      </w:r>
      <w:r>
        <w:rPr>
          <w:kern w:val="0"/>
        </w:rPr>
        <w:t>onset</w:t>
      </w:r>
      <w:r w:rsidR="00427468">
        <w:rPr>
          <w:kern w:val="0"/>
        </w:rPr>
        <w:t xml:space="preserve"> of </w:t>
      </w:r>
      <w:r>
        <w:rPr>
          <w:kern w:val="0"/>
        </w:rPr>
        <w:t>human parturition occurs. In a comprehensive review study done at</w:t>
      </w:r>
      <w:r w:rsidR="003A1917">
        <w:rPr>
          <w:kern w:val="0"/>
        </w:rPr>
        <w:t xml:space="preserve"> the </w:t>
      </w:r>
      <w:r>
        <w:rPr>
          <w:kern w:val="0"/>
        </w:rPr>
        <w:t>School</w:t>
      </w:r>
      <w:r w:rsidR="00427468">
        <w:rPr>
          <w:kern w:val="0"/>
        </w:rPr>
        <w:t xml:space="preserve"> of </w:t>
      </w:r>
      <w:r>
        <w:rPr>
          <w:kern w:val="0"/>
        </w:rPr>
        <w:t>Medicine</w:t>
      </w:r>
      <w:r w:rsidR="005853A9">
        <w:rPr>
          <w:kern w:val="0"/>
        </w:rPr>
        <w:t xml:space="preserve"> and </w:t>
      </w:r>
      <w:r>
        <w:rPr>
          <w:kern w:val="0"/>
        </w:rPr>
        <w:t>Dentistry, University</w:t>
      </w:r>
      <w:r w:rsidR="00427468">
        <w:rPr>
          <w:kern w:val="0"/>
        </w:rPr>
        <w:t xml:space="preserve"> of </w:t>
      </w:r>
      <w:r>
        <w:rPr>
          <w:kern w:val="0"/>
        </w:rPr>
        <w:t>Bristol, United Kingdom, MetaLib,</w:t>
      </w:r>
      <w:r w:rsidR="003A1917">
        <w:rPr>
          <w:kern w:val="0"/>
        </w:rPr>
        <w:t xml:space="preserve"> the </w:t>
      </w:r>
      <w:r>
        <w:rPr>
          <w:kern w:val="0"/>
        </w:rPr>
        <w:t>university web-based electronic library, was cross-searched for</w:t>
      </w:r>
      <w:r w:rsidR="003A1917">
        <w:rPr>
          <w:kern w:val="0"/>
        </w:rPr>
        <w:t xml:space="preserve"> the </w:t>
      </w:r>
      <w:r>
        <w:rPr>
          <w:kern w:val="0"/>
        </w:rPr>
        <w:t>factors behind</w:t>
      </w:r>
      <w:r w:rsidR="003A1917">
        <w:rPr>
          <w:kern w:val="0"/>
        </w:rPr>
        <w:t xml:space="preserve"> the </w:t>
      </w:r>
      <w:r>
        <w:rPr>
          <w:kern w:val="0"/>
        </w:rPr>
        <w:t>onset</w:t>
      </w:r>
      <w:r w:rsidR="00427468">
        <w:rPr>
          <w:kern w:val="0"/>
        </w:rPr>
        <w:t xml:space="preserve"> of </w:t>
      </w:r>
      <w:r>
        <w:rPr>
          <w:kern w:val="0"/>
        </w:rPr>
        <w:t>labour in humans through different medical databases such as; Allied</w:t>
      </w:r>
      <w:r w:rsidR="005853A9">
        <w:rPr>
          <w:kern w:val="0"/>
        </w:rPr>
        <w:t xml:space="preserve"> and </w:t>
      </w:r>
      <w:r>
        <w:rPr>
          <w:kern w:val="0"/>
        </w:rPr>
        <w:t>Complementary Medicine Database (AMED), BIOSIS Previews on Web</w:t>
      </w:r>
      <w:r w:rsidR="00427468">
        <w:rPr>
          <w:kern w:val="0"/>
        </w:rPr>
        <w:t xml:space="preserve"> of </w:t>
      </w:r>
      <w:r>
        <w:rPr>
          <w:kern w:val="0"/>
        </w:rPr>
        <w:t xml:space="preserve">Knowledge, </w:t>
      </w:r>
      <w:r w:rsidR="002C12F0">
        <w:rPr>
          <w:kern w:val="0"/>
        </w:rPr>
        <w:t>PUBMED</w:t>
      </w:r>
      <w:r>
        <w:rPr>
          <w:kern w:val="0"/>
        </w:rPr>
        <w:t xml:space="preserve">, Cochrane Library,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in-addition to</w:t>
      </w:r>
      <w:r w:rsidR="003A1917">
        <w:rPr>
          <w:kern w:val="0"/>
        </w:rPr>
        <w:t xml:space="preserve"> the </w:t>
      </w:r>
      <w:r>
        <w:rPr>
          <w:kern w:val="0"/>
        </w:rPr>
        <w:t>relevant printed medical journals</w:t>
      </w:r>
      <w:r w:rsidR="005853A9">
        <w:rPr>
          <w:kern w:val="0"/>
        </w:rPr>
        <w:t xml:space="preserve"> and </w:t>
      </w:r>
      <w:r>
        <w:rPr>
          <w:kern w:val="0"/>
        </w:rPr>
        <w:t>periodicals</w:t>
      </w:r>
      <w:r w:rsidR="00A37C1D">
        <w:rPr>
          <w:kern w:val="0"/>
        </w:rPr>
        <w:t>. The</w:t>
      </w:r>
      <w:r w:rsidR="003A1917">
        <w:rPr>
          <w:kern w:val="0"/>
        </w:rPr>
        <w:t xml:space="preserve"> </w:t>
      </w:r>
      <w:r>
        <w:rPr>
          <w:kern w:val="0"/>
        </w:rPr>
        <w:t>study revealed that among</w:t>
      </w:r>
      <w:r w:rsidR="003A1917">
        <w:rPr>
          <w:kern w:val="0"/>
        </w:rPr>
        <w:t xml:space="preserve"> the </w:t>
      </w:r>
      <w:r>
        <w:rPr>
          <w:kern w:val="0"/>
        </w:rPr>
        <w:t>potential factors involved in</w:t>
      </w:r>
      <w:r w:rsidR="003A1917">
        <w:rPr>
          <w:kern w:val="0"/>
        </w:rPr>
        <w:t xml:space="preserve"> the </w:t>
      </w:r>
      <w:r>
        <w:rPr>
          <w:kern w:val="0"/>
        </w:rPr>
        <w:t>process</w:t>
      </w:r>
      <w:r w:rsidR="00427468">
        <w:rPr>
          <w:kern w:val="0"/>
        </w:rPr>
        <w:t xml:space="preserve"> of </w:t>
      </w:r>
      <w:r>
        <w:rPr>
          <w:kern w:val="0"/>
        </w:rPr>
        <w:t>human parturition are</w:t>
      </w:r>
      <w:r w:rsidR="003A1917">
        <w:rPr>
          <w:kern w:val="0"/>
        </w:rPr>
        <w:t xml:space="preserve"> the </w:t>
      </w:r>
      <w:r>
        <w:rPr>
          <w:kern w:val="0"/>
        </w:rPr>
        <w:t>changes in hormonal levels</w:t>
      </w:r>
      <w:r w:rsidR="00427468">
        <w:rPr>
          <w:kern w:val="0"/>
        </w:rPr>
        <w:t xml:space="preserve"> of </w:t>
      </w:r>
      <w:r>
        <w:rPr>
          <w:kern w:val="0"/>
        </w:rPr>
        <w:t>estrogen</w:t>
      </w:r>
      <w:r w:rsidR="005853A9">
        <w:rPr>
          <w:kern w:val="0"/>
        </w:rPr>
        <w:t xml:space="preserve"> and </w:t>
      </w:r>
      <w:r>
        <w:rPr>
          <w:kern w:val="0"/>
        </w:rPr>
        <w:t>progesterone, increased production</w:t>
      </w:r>
      <w:r w:rsidR="00427468">
        <w:rPr>
          <w:kern w:val="0"/>
        </w:rPr>
        <w:t xml:space="preserve"> of </w:t>
      </w:r>
      <w:r>
        <w:rPr>
          <w:kern w:val="0"/>
        </w:rPr>
        <w:t>prostaglandins</w:t>
      </w:r>
      <w:r w:rsidR="005853A9">
        <w:rPr>
          <w:kern w:val="0"/>
        </w:rPr>
        <w:t xml:space="preserve"> and </w:t>
      </w:r>
      <w:r>
        <w:rPr>
          <w:kern w:val="0"/>
        </w:rPr>
        <w:t>oxytocin,</w:t>
      </w:r>
      <w:r w:rsidR="005853A9">
        <w:rPr>
          <w:kern w:val="0"/>
        </w:rPr>
        <w:t xml:space="preserve"> and </w:t>
      </w:r>
      <w:r w:rsidR="003A1917">
        <w:rPr>
          <w:kern w:val="0"/>
        </w:rPr>
        <w:t xml:space="preserve">the </w:t>
      </w:r>
      <w:r>
        <w:rPr>
          <w:kern w:val="0"/>
        </w:rPr>
        <w:t>high levels</w:t>
      </w:r>
      <w:r w:rsidR="00427468">
        <w:rPr>
          <w:kern w:val="0"/>
        </w:rPr>
        <w:t xml:space="preserve"> of </w:t>
      </w:r>
      <w:r>
        <w:rPr>
          <w:kern w:val="0"/>
        </w:rPr>
        <w:t>corticotrophin releasing hormone</w:t>
      </w:r>
      <w:r w:rsidR="005853A9">
        <w:rPr>
          <w:kern w:val="0"/>
        </w:rPr>
        <w:t xml:space="preserve"> and </w:t>
      </w:r>
      <w:r>
        <w:rPr>
          <w:kern w:val="0"/>
        </w:rPr>
        <w:t>cortisol are some among</w:t>
      </w:r>
      <w:r w:rsidR="003A1917">
        <w:rPr>
          <w:kern w:val="0"/>
        </w:rPr>
        <w:t xml:space="preserve"> the </w:t>
      </w:r>
      <w:r>
        <w:rPr>
          <w:kern w:val="0"/>
        </w:rPr>
        <w:t>potential factors involved in</w:t>
      </w:r>
      <w:r w:rsidR="003A1917">
        <w:rPr>
          <w:kern w:val="0"/>
        </w:rPr>
        <w:t xml:space="preserve"> the </w:t>
      </w:r>
      <w:r>
        <w:rPr>
          <w:kern w:val="0"/>
        </w:rPr>
        <w:t>process</w:t>
      </w:r>
      <w:r w:rsidR="00427468">
        <w:rPr>
          <w:kern w:val="0"/>
        </w:rPr>
        <w:t xml:space="preserve"> of </w:t>
      </w:r>
      <w:r>
        <w:rPr>
          <w:kern w:val="0"/>
        </w:rPr>
        <w:t>human parturition. Inflammatory reactions with</w:t>
      </w:r>
      <w:r w:rsidR="003A1917">
        <w:rPr>
          <w:kern w:val="0"/>
        </w:rPr>
        <w:t xml:space="preserve"> the </w:t>
      </w:r>
      <w:r>
        <w:rPr>
          <w:kern w:val="0"/>
        </w:rPr>
        <w:t>release</w:t>
      </w:r>
      <w:r w:rsidR="00427468">
        <w:rPr>
          <w:kern w:val="0"/>
        </w:rPr>
        <w:t xml:space="preserve"> of </w:t>
      </w:r>
      <w:r>
        <w:rPr>
          <w:kern w:val="0"/>
        </w:rPr>
        <w:t>cytokines are among</w:t>
      </w:r>
      <w:r w:rsidR="003A1917">
        <w:rPr>
          <w:kern w:val="0"/>
        </w:rPr>
        <w:t xml:space="preserve"> the </w:t>
      </w:r>
      <w:r>
        <w:rPr>
          <w:kern w:val="0"/>
        </w:rPr>
        <w:t>most accepted theories for term</w:t>
      </w:r>
      <w:r w:rsidR="005853A9">
        <w:rPr>
          <w:kern w:val="0"/>
        </w:rPr>
        <w:t xml:space="preserve"> and </w:t>
      </w:r>
      <w:r>
        <w:rPr>
          <w:kern w:val="0"/>
        </w:rPr>
        <w:t>preterm labours. It is most likely that</w:t>
      </w:r>
      <w:r w:rsidR="003A1917">
        <w:rPr>
          <w:kern w:val="0"/>
        </w:rPr>
        <w:t xml:space="preserve"> the </w:t>
      </w:r>
      <w:r>
        <w:rPr>
          <w:kern w:val="0"/>
        </w:rPr>
        <w:t>interaction between all these factors</w:t>
      </w:r>
      <w:r w:rsidR="005853A9">
        <w:rPr>
          <w:kern w:val="0"/>
        </w:rPr>
        <w:t xml:space="preserve"> and </w:t>
      </w:r>
      <w:r>
        <w:rPr>
          <w:kern w:val="0"/>
        </w:rPr>
        <w:t>others, yet to be discovered, play in harmony to initiate</w:t>
      </w:r>
      <w:r w:rsidR="003A1917">
        <w:rPr>
          <w:kern w:val="0"/>
        </w:rPr>
        <w:t xml:space="preserve"> the </w:t>
      </w:r>
      <w:r>
        <w:rPr>
          <w:kern w:val="0"/>
        </w:rPr>
        <w:t>process</w:t>
      </w:r>
      <w:r w:rsidR="00427468">
        <w:rPr>
          <w:kern w:val="0"/>
        </w:rPr>
        <w:t xml:space="preserve"> of </w:t>
      </w:r>
      <w:r>
        <w:rPr>
          <w:kern w:val="0"/>
        </w:rPr>
        <w:t>labour in women</w:t>
      </w:r>
      <w:r w:rsidR="00A37C1D">
        <w:rPr>
          <w:kern w:val="0"/>
        </w:rPr>
        <w:t>. The</w:t>
      </w:r>
      <w:r w:rsidR="003A1917">
        <w:rPr>
          <w:kern w:val="0"/>
        </w:rPr>
        <w:t xml:space="preserve"> </w:t>
      </w:r>
      <w:r>
        <w:rPr>
          <w:kern w:val="0"/>
        </w:rPr>
        <w:t>result show that birth is a result</w:t>
      </w:r>
      <w:r w:rsidR="00427468">
        <w:rPr>
          <w:kern w:val="0"/>
        </w:rPr>
        <w:t xml:space="preserve"> of </w:t>
      </w:r>
      <w:r>
        <w:rPr>
          <w:kern w:val="0"/>
        </w:rPr>
        <w:t>complex, partially defined, events that are tightly regulated by a variety</w:t>
      </w:r>
      <w:r w:rsidR="00427468">
        <w:rPr>
          <w:kern w:val="0"/>
        </w:rPr>
        <w:t xml:space="preserve"> of </w:t>
      </w:r>
      <w:r>
        <w:rPr>
          <w:kern w:val="0"/>
        </w:rPr>
        <w:t>mechanisms</w:t>
      </w:r>
      <w:r w:rsidR="005853A9">
        <w:rPr>
          <w:kern w:val="0"/>
        </w:rPr>
        <w:t xml:space="preserve"> and </w:t>
      </w:r>
      <w:r>
        <w:rPr>
          <w:kern w:val="0"/>
        </w:rPr>
        <w:t>mediators</w:t>
      </w:r>
      <w:r w:rsidR="00427468">
        <w:rPr>
          <w:kern w:val="0"/>
        </w:rPr>
        <w:t xml:space="preserve"> of </w:t>
      </w:r>
      <w:r>
        <w:rPr>
          <w:kern w:val="0"/>
        </w:rPr>
        <w:t>endocrine, nervous</w:t>
      </w:r>
      <w:r w:rsidR="005853A9">
        <w:rPr>
          <w:kern w:val="0"/>
        </w:rPr>
        <w:t xml:space="preserve"> and </w:t>
      </w:r>
      <w:r>
        <w:rPr>
          <w:kern w:val="0"/>
        </w:rPr>
        <w:t>immune systems. Unfortunately, none</w:t>
      </w:r>
      <w:r w:rsidR="00427468">
        <w:rPr>
          <w:kern w:val="0"/>
        </w:rPr>
        <w:t xml:space="preserve"> of </w:t>
      </w:r>
      <w:r>
        <w:rPr>
          <w:kern w:val="0"/>
        </w:rPr>
        <w:t>them is completely elucidated.</w:t>
      </w:r>
    </w:p>
    <w:p w:rsidR="004E00C2" w:rsidRDefault="004E00C2" w:rsidP="004E00C2">
      <w:pPr>
        <w:pStyle w:val="a3"/>
        <w:rPr>
          <w:kern w:val="0"/>
        </w:rPr>
      </w:pPr>
      <w:r>
        <w:rPr>
          <w:kern w:val="0"/>
        </w:rPr>
        <w:lastRenderedPageBreak/>
        <w:t>Keywords: Amniotic-Fluid, Cochrane, Corticotropin-Releasing Hormone, Cortisol, Databases, Estrogen, Factor-Kappa-B, Functional Progesterone Withdrawal, Gestational Tissues, Human, Human Fetal Membranes, Human Labor, Humans, Inositol Phosphoglycan-P, Journals, Knowledge, Labour, Mechanism, Medical, Medical Journals, Necrosis-Factor-Alpha, Onset</w:t>
      </w:r>
      <w:r w:rsidR="00427468">
        <w:rPr>
          <w:kern w:val="0"/>
        </w:rPr>
        <w:t xml:space="preserve"> of </w:t>
      </w:r>
      <w:r>
        <w:rPr>
          <w:kern w:val="0"/>
        </w:rPr>
        <w:t xml:space="preserve">Human Birth, Parturition, Periodicals, Preterm Birth, Progesterone, </w:t>
      </w:r>
      <w:r w:rsidR="002C12F0">
        <w:rPr>
          <w:kern w:val="0"/>
        </w:rPr>
        <w:t>PUBMED</w:t>
      </w:r>
      <w:r>
        <w:rPr>
          <w:kern w:val="0"/>
        </w:rPr>
        <w:t>, Reproduction, Review, Science, Science</w:t>
      </w:r>
      <w:r w:rsidR="005853A9">
        <w:rPr>
          <w:kern w:val="0"/>
        </w:rPr>
        <w:t xml:space="preserve"> and </w:t>
      </w:r>
      <w:r>
        <w:rPr>
          <w:kern w:val="0"/>
        </w:rPr>
        <w:t>Technology, Theories, United Kingdom, University, Web</w:t>
      </w:r>
      <w:r w:rsidR="00427468">
        <w:rPr>
          <w:kern w:val="0"/>
        </w:rPr>
        <w:t xml:space="preserve"> of </w:t>
      </w:r>
      <w:r>
        <w:rPr>
          <w:kern w:val="0"/>
        </w:rPr>
        <w:t xml:space="preserve">Knowledge, </w:t>
      </w:r>
      <w:r w:rsidR="00D5664A">
        <w:rPr>
          <w:kern w:val="0"/>
        </w:rPr>
        <w:t>Web</w:t>
      </w:r>
      <w:r w:rsidR="00427468">
        <w:rPr>
          <w:kern w:val="0"/>
        </w:rPr>
        <w:t xml:space="preserve"> of </w:t>
      </w:r>
      <w:r w:rsidR="00D5664A">
        <w:rPr>
          <w:kern w:val="0"/>
        </w:rPr>
        <w:t>Science</w:t>
      </w:r>
      <w:r>
        <w:rPr>
          <w:kern w:val="0"/>
        </w:rPr>
        <w:t>, Women</w:t>
      </w:r>
    </w:p>
    <w:p w:rsidR="004E00C2" w:rsidRDefault="004E00C2" w:rsidP="004E00C2">
      <w:pPr>
        <w:pStyle w:val="a3"/>
        <w:rPr>
          <w:kern w:val="0"/>
        </w:rPr>
      </w:pPr>
      <w:r>
        <w:rPr>
          <w:rFonts w:hint="eastAsia"/>
          <w:kern w:val="0"/>
        </w:rPr>
        <w:t xml:space="preserve">? </w:t>
      </w:r>
      <w:r>
        <w:rPr>
          <w:kern w:val="0"/>
        </w:rPr>
        <w:t>Mylonas, I., Br</w:t>
      </w:r>
      <w:r w:rsidR="00BD6DF3">
        <w:rPr>
          <w:kern w:val="0"/>
        </w:rPr>
        <w:t>ü</w:t>
      </w:r>
      <w:r>
        <w:rPr>
          <w:kern w:val="0"/>
        </w:rPr>
        <w:t>ning, A., Kainer, F.</w:t>
      </w:r>
      <w:r w:rsidR="005853A9">
        <w:rPr>
          <w:kern w:val="0"/>
        </w:rPr>
        <w:t xml:space="preserve"> and </w:t>
      </w:r>
      <w:r>
        <w:rPr>
          <w:kern w:val="0"/>
        </w:rPr>
        <w:t>Friese, K. (2010), HTLV infection</w:t>
      </w:r>
      <w:r w:rsidR="005853A9">
        <w:rPr>
          <w:kern w:val="0"/>
        </w:rPr>
        <w:t xml:space="preserve"> and </w:t>
      </w:r>
      <w:r>
        <w:rPr>
          <w:kern w:val="0"/>
        </w:rPr>
        <w:t>its implication in gynaecology</w:t>
      </w:r>
      <w:r w:rsidR="005853A9">
        <w:rPr>
          <w:kern w:val="0"/>
        </w:rPr>
        <w:t xml:space="preserve"> and </w:t>
      </w:r>
      <w:r>
        <w:rPr>
          <w:kern w:val="0"/>
        </w:rPr>
        <w:t xml:space="preserve">obstetrics. </w:t>
      </w:r>
      <w:r>
        <w:rPr>
          <w:i/>
          <w:iCs/>
          <w:kern w:val="0"/>
        </w:rPr>
        <w:t>Archives</w:t>
      </w:r>
      <w:r w:rsidR="00427468">
        <w:rPr>
          <w:i/>
          <w:iCs/>
          <w:kern w:val="0"/>
        </w:rPr>
        <w:t xml:space="preserve"> of </w:t>
      </w:r>
      <w:r>
        <w:rPr>
          <w:i/>
          <w:iCs/>
          <w:kern w:val="0"/>
        </w:rPr>
        <w:t>Gynecology</w:t>
      </w:r>
      <w:r w:rsidR="005853A9">
        <w:rPr>
          <w:i/>
          <w:iCs/>
          <w:kern w:val="0"/>
        </w:rPr>
        <w:t xml:space="preserve"> and </w:t>
      </w:r>
      <w:r>
        <w:rPr>
          <w:i/>
          <w:iCs/>
          <w:kern w:val="0"/>
        </w:rPr>
        <w:t>Obstetrics</w:t>
      </w:r>
      <w:r>
        <w:rPr>
          <w:kern w:val="0"/>
        </w:rPr>
        <w:t xml:space="preserve">, </w:t>
      </w:r>
      <w:r>
        <w:rPr>
          <w:b/>
          <w:bCs/>
          <w:kern w:val="0"/>
        </w:rPr>
        <w:t>282</w:t>
      </w:r>
      <w:r>
        <w:rPr>
          <w:kern w:val="0"/>
        </w:rPr>
        <w:t xml:space="preserve"> (5), 493-501.</w:t>
      </w:r>
    </w:p>
    <w:p w:rsidR="00BD6DF3" w:rsidRDefault="00BD6DF3" w:rsidP="00BD6DF3">
      <w:pPr>
        <w:pStyle w:val="a3"/>
        <w:rPr>
          <w:kern w:val="0"/>
        </w:rPr>
      </w:pPr>
      <w:r>
        <w:rPr>
          <w:rFonts w:hint="eastAsia"/>
          <w:kern w:val="0"/>
        </w:rPr>
        <w:t xml:space="preserve">Full Text: </w:t>
      </w:r>
      <w:hyperlink r:id="rId1123" w:history="1">
        <w:r w:rsidRPr="00BD6DF3">
          <w:rPr>
            <w:rStyle w:val="a5"/>
            <w:kern w:val="0"/>
          </w:rPr>
          <w:t>2010\Arc Gyn Obs282, 493.pdf</w:t>
        </w:r>
      </w:hyperlink>
    </w:p>
    <w:p w:rsidR="004E00C2" w:rsidRDefault="004E00C2" w:rsidP="004E00C2">
      <w:pPr>
        <w:pStyle w:val="a3"/>
        <w:rPr>
          <w:kern w:val="0"/>
        </w:rPr>
      </w:pPr>
      <w:r>
        <w:rPr>
          <w:kern w:val="0"/>
        </w:rPr>
        <w:t>Abstract: Worldwide, 20-30 million people are estimated to be infected with HTLV. HTLV-1 is endemic in Western Africa</w:t>
      </w:r>
      <w:r w:rsidR="005853A9">
        <w:rPr>
          <w:kern w:val="0"/>
        </w:rPr>
        <w:t xml:space="preserve"> and </w:t>
      </w:r>
      <w:r>
        <w:rPr>
          <w:kern w:val="0"/>
        </w:rPr>
        <w:t>Southern Japan, whereas HTLV-2 is considered to be spread among native American people</w:t>
      </w:r>
      <w:r w:rsidR="00A37C1D">
        <w:rPr>
          <w:kern w:val="0"/>
        </w:rPr>
        <w:t>. The</w:t>
      </w:r>
      <w:r w:rsidR="003A1917">
        <w:rPr>
          <w:kern w:val="0"/>
        </w:rPr>
        <w:t xml:space="preserve"> </w:t>
      </w:r>
      <w:r>
        <w:rPr>
          <w:kern w:val="0"/>
        </w:rPr>
        <w:t>impact</w:t>
      </w:r>
      <w:r w:rsidR="00427468">
        <w:rPr>
          <w:kern w:val="0"/>
        </w:rPr>
        <w:t xml:space="preserve"> of </w:t>
      </w:r>
      <w:r>
        <w:rPr>
          <w:kern w:val="0"/>
        </w:rPr>
        <w:t>HTLV in gynaecology</w:t>
      </w:r>
      <w:r w:rsidR="005853A9">
        <w:rPr>
          <w:kern w:val="0"/>
        </w:rPr>
        <w:t xml:space="preserve"> and </w:t>
      </w:r>
      <w:r>
        <w:rPr>
          <w:kern w:val="0"/>
        </w:rPr>
        <w:t>obstetrics is being reviewed. Search strategy</w:t>
      </w:r>
      <w:r w:rsidR="005853A9">
        <w:rPr>
          <w:kern w:val="0"/>
        </w:rPr>
        <w:t xml:space="preserve"> and </w:t>
      </w:r>
      <w:r>
        <w:rPr>
          <w:kern w:val="0"/>
        </w:rPr>
        <w:t xml:space="preserve">selection criteria for identifying relevant data were peformed by searching </w:t>
      </w:r>
      <w:r w:rsidR="00D5664A">
        <w:rPr>
          <w:kern w:val="0"/>
        </w:rPr>
        <w:t>MEDLINE</w:t>
      </w:r>
      <w:r>
        <w:rPr>
          <w:kern w:val="0"/>
        </w:rPr>
        <w:t xml:space="preserve">, Current Contents,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Pr>
          <w:kern w:val="0"/>
        </w:rPr>
        <w:t>references from relevant articles. English</w:t>
      </w:r>
      <w:r w:rsidR="005853A9">
        <w:rPr>
          <w:kern w:val="0"/>
        </w:rPr>
        <w:t xml:space="preserve"> and </w:t>
      </w:r>
      <w:r>
        <w:rPr>
          <w:kern w:val="0"/>
        </w:rPr>
        <w:t>German gynaecological</w:t>
      </w:r>
      <w:r w:rsidR="005853A9">
        <w:rPr>
          <w:kern w:val="0"/>
        </w:rPr>
        <w:t xml:space="preserve"> and </w:t>
      </w:r>
      <w:r>
        <w:rPr>
          <w:kern w:val="0"/>
        </w:rPr>
        <w:t>infectious diseases textbooks as well as national</w:t>
      </w:r>
      <w:r w:rsidR="005853A9">
        <w:rPr>
          <w:kern w:val="0"/>
        </w:rPr>
        <w:t xml:space="preserve"> and </w:t>
      </w:r>
      <w:r>
        <w:rPr>
          <w:kern w:val="0"/>
        </w:rPr>
        <w:t>international guidelines</w:t>
      </w:r>
      <w:r w:rsidR="005853A9">
        <w:rPr>
          <w:kern w:val="0"/>
        </w:rPr>
        <w:t xml:space="preserve"> and </w:t>
      </w:r>
      <w:r>
        <w:rPr>
          <w:kern w:val="0"/>
        </w:rPr>
        <w:t>recommendations were also reviewed. Transmission may occur by sexual intercourse or cellular blood products. Although materno-fetal transmission is debated, transmission through maternal breast milk has been confirmed. An HTLV-infection can lead to adult T-cell leukaemia (ATL) or cumulative opportunistic</w:t>
      </w:r>
      <w:r w:rsidR="005853A9">
        <w:rPr>
          <w:kern w:val="0"/>
        </w:rPr>
        <w:t xml:space="preserve"> and </w:t>
      </w:r>
      <w:r>
        <w:rPr>
          <w:kern w:val="0"/>
        </w:rPr>
        <w:t>neurological disorders that can occur with varying degrees</w:t>
      </w:r>
      <w:r w:rsidR="00427468">
        <w:rPr>
          <w:kern w:val="0"/>
        </w:rPr>
        <w:t xml:space="preserve"> of </w:t>
      </w:r>
      <w:r>
        <w:rPr>
          <w:kern w:val="0"/>
        </w:rPr>
        <w:t>severity. Diagnosis can be done by antibody detection via</w:t>
      </w:r>
      <w:r w:rsidR="003A1917">
        <w:rPr>
          <w:kern w:val="0"/>
        </w:rPr>
        <w:t xml:space="preserve"> the </w:t>
      </w:r>
      <w:r>
        <w:rPr>
          <w:kern w:val="0"/>
        </w:rPr>
        <w:t>use</w:t>
      </w:r>
      <w:r w:rsidR="00427468">
        <w:rPr>
          <w:kern w:val="0"/>
        </w:rPr>
        <w:t xml:space="preserve"> of </w:t>
      </w:r>
      <w:r>
        <w:rPr>
          <w:kern w:val="0"/>
        </w:rPr>
        <w:t>ELISA</w:t>
      </w:r>
      <w:r w:rsidR="005853A9">
        <w:rPr>
          <w:kern w:val="0"/>
        </w:rPr>
        <w:t xml:space="preserve"> and </w:t>
      </w:r>
      <w:r>
        <w:rPr>
          <w:kern w:val="0"/>
        </w:rPr>
        <w:t>western blot analysis as well as PCR diagnosis. Due to inadequate treatment options</w:t>
      </w:r>
      <w:r w:rsidR="005853A9">
        <w:rPr>
          <w:kern w:val="0"/>
        </w:rPr>
        <w:t xml:space="preserve"> and </w:t>
      </w:r>
      <w:r w:rsidR="003A1917">
        <w:rPr>
          <w:kern w:val="0"/>
        </w:rPr>
        <w:t xml:space="preserve">the </w:t>
      </w:r>
      <w:r>
        <w:rPr>
          <w:kern w:val="0"/>
        </w:rPr>
        <w:t>lack</w:t>
      </w:r>
      <w:r w:rsidR="00427468">
        <w:rPr>
          <w:kern w:val="0"/>
        </w:rPr>
        <w:t xml:space="preserve"> of </w:t>
      </w:r>
      <w:r>
        <w:rPr>
          <w:kern w:val="0"/>
        </w:rPr>
        <w:t>an effective vaccination, prevention is currently only possible by restricting transmission, including</w:t>
      </w:r>
      <w:r w:rsidR="003A1917">
        <w:rPr>
          <w:kern w:val="0"/>
        </w:rPr>
        <w:t xml:space="preserve"> the </w:t>
      </w:r>
      <w:r w:rsidR="00D5664A">
        <w:rPr>
          <w:kern w:val="0"/>
        </w:rPr>
        <w:t>USA</w:t>
      </w:r>
      <w:r>
        <w:rPr>
          <w:kern w:val="0"/>
        </w:rPr>
        <w:t>ge</w:t>
      </w:r>
      <w:r w:rsidR="00427468">
        <w:rPr>
          <w:kern w:val="0"/>
        </w:rPr>
        <w:t xml:space="preserve"> of </w:t>
      </w:r>
      <w:r>
        <w:rPr>
          <w:kern w:val="0"/>
        </w:rPr>
        <w:t>condoms during sexual intercourse or avoiding breastfeeding in HTLV-seropositive mothers. If, due to socio-economic reasons, breastfeeding cannot be avoided, short-term breastfeeding for a maximum</w:t>
      </w:r>
      <w:r w:rsidR="00427468">
        <w:rPr>
          <w:kern w:val="0"/>
        </w:rPr>
        <w:t xml:space="preserve"> of </w:t>
      </w:r>
      <w:r>
        <w:rPr>
          <w:kern w:val="0"/>
        </w:rPr>
        <w:t>up to 6 months is suggested.</w:t>
      </w:r>
    </w:p>
    <w:p w:rsidR="004E00C2" w:rsidRDefault="004E00C2" w:rsidP="004E00C2">
      <w:pPr>
        <w:pStyle w:val="a3"/>
        <w:rPr>
          <w:kern w:val="0"/>
        </w:rPr>
      </w:pPr>
      <w:r>
        <w:rPr>
          <w:kern w:val="0"/>
        </w:rPr>
        <w:t xml:space="preserve">Keywords: Adult, Africa, Analysis, Blood, Breast Feeding, Cell Leukaemia, Lymphoma Virus, Child Transmission, Diagnosis, Female-Sex-Workers, Guidelines, Htlv Infection, I-Associated Myelopathy, Impact, Infection, Infectious Diseases, Japan, Lead, Mothers, Obstetrics, PCR, Prevention, Prevention Strategies, Proviral Load, Real-Time PCR, Science, Search Strategy, Strategy, T-Lymphotropic-Virus, Textbooks, Transmission, Treatment, Tropical Spastic Paraparesis, Type-1 HTLV-1, Vaccination, Vertical Transmission, </w:t>
      </w:r>
      <w:r w:rsidR="00D5664A">
        <w:rPr>
          <w:kern w:val="0"/>
        </w:rPr>
        <w:t>Web</w:t>
      </w:r>
      <w:r w:rsidR="00427468">
        <w:rPr>
          <w:kern w:val="0"/>
        </w:rPr>
        <w:t xml:space="preserve"> of </w:t>
      </w:r>
      <w:r w:rsidR="00D5664A">
        <w:rPr>
          <w:kern w:val="0"/>
        </w:rPr>
        <w:t>Science</w:t>
      </w:r>
    </w:p>
    <w:p w:rsidR="004E00C2" w:rsidRDefault="004E00C2" w:rsidP="004E00C2">
      <w:pPr>
        <w:pStyle w:val="a3"/>
        <w:rPr>
          <w:kern w:val="0"/>
        </w:rPr>
      </w:pPr>
      <w:r>
        <w:rPr>
          <w:rFonts w:hint="eastAsia"/>
          <w:kern w:val="0"/>
        </w:rPr>
        <w:t xml:space="preserve">? </w:t>
      </w:r>
      <w:r>
        <w:rPr>
          <w:kern w:val="0"/>
        </w:rPr>
        <w:t>Basaran, A., Basaran, M.</w:t>
      </w:r>
      <w:r w:rsidR="005853A9">
        <w:rPr>
          <w:kern w:val="0"/>
        </w:rPr>
        <w:t xml:space="preserve"> and </w:t>
      </w:r>
      <w:r>
        <w:rPr>
          <w:kern w:val="0"/>
        </w:rPr>
        <w:t>Topatan, B. (2011), Chorionic villus sampling</w:t>
      </w:r>
      <w:r w:rsidR="005853A9">
        <w:rPr>
          <w:kern w:val="0"/>
        </w:rPr>
        <w:t xml:space="preserve"> and </w:t>
      </w:r>
      <w:r w:rsidR="003A1917">
        <w:rPr>
          <w:kern w:val="0"/>
        </w:rPr>
        <w:t xml:space="preserve">the </w:t>
      </w:r>
      <w:r>
        <w:rPr>
          <w:kern w:val="0"/>
        </w:rPr>
        <w:lastRenderedPageBreak/>
        <w:t>risk</w:t>
      </w:r>
      <w:r w:rsidR="00427468">
        <w:rPr>
          <w:kern w:val="0"/>
        </w:rPr>
        <w:t xml:space="preserve"> of </w:t>
      </w:r>
      <w:r>
        <w:rPr>
          <w:kern w:val="0"/>
        </w:rPr>
        <w:t>preeclamspia: A systematic review</w:t>
      </w:r>
      <w:r w:rsidR="005853A9">
        <w:rPr>
          <w:kern w:val="0"/>
        </w:rPr>
        <w:t xml:space="preserve"> and </w:t>
      </w:r>
      <w:r>
        <w:rPr>
          <w:kern w:val="0"/>
        </w:rPr>
        <w:t xml:space="preserve">meta-analysis. </w:t>
      </w:r>
      <w:r>
        <w:rPr>
          <w:i/>
          <w:iCs/>
          <w:kern w:val="0"/>
        </w:rPr>
        <w:t>Archives</w:t>
      </w:r>
      <w:r w:rsidR="00427468">
        <w:rPr>
          <w:i/>
          <w:iCs/>
          <w:kern w:val="0"/>
        </w:rPr>
        <w:t xml:space="preserve"> of </w:t>
      </w:r>
      <w:r>
        <w:rPr>
          <w:i/>
          <w:iCs/>
          <w:kern w:val="0"/>
        </w:rPr>
        <w:t>Gynecology</w:t>
      </w:r>
      <w:r w:rsidR="005853A9">
        <w:rPr>
          <w:i/>
          <w:iCs/>
          <w:kern w:val="0"/>
        </w:rPr>
        <w:t xml:space="preserve"> and </w:t>
      </w:r>
      <w:r>
        <w:rPr>
          <w:i/>
          <w:iCs/>
          <w:kern w:val="0"/>
        </w:rPr>
        <w:t>Obstetrics</w:t>
      </w:r>
      <w:r>
        <w:rPr>
          <w:kern w:val="0"/>
        </w:rPr>
        <w:t xml:space="preserve">, </w:t>
      </w:r>
      <w:r>
        <w:rPr>
          <w:b/>
          <w:bCs/>
          <w:kern w:val="0"/>
        </w:rPr>
        <w:t>283</w:t>
      </w:r>
      <w:r>
        <w:rPr>
          <w:kern w:val="0"/>
        </w:rPr>
        <w:t xml:space="preserve"> (6), 1175-1181.</w:t>
      </w:r>
    </w:p>
    <w:p w:rsidR="00BD6DF3" w:rsidRDefault="00BD6DF3" w:rsidP="00BD6DF3">
      <w:pPr>
        <w:pStyle w:val="a3"/>
        <w:rPr>
          <w:kern w:val="0"/>
        </w:rPr>
      </w:pPr>
      <w:r>
        <w:rPr>
          <w:rFonts w:hint="eastAsia"/>
          <w:kern w:val="0"/>
        </w:rPr>
        <w:t xml:space="preserve">Full Text: </w:t>
      </w:r>
      <w:hyperlink r:id="rId1124" w:history="1">
        <w:r w:rsidRPr="000E20FF">
          <w:rPr>
            <w:rStyle w:val="a5"/>
            <w:kern w:val="0"/>
          </w:rPr>
          <w:t>2011\Arc Gyn Obs283, 1175.pdf</w:t>
        </w:r>
      </w:hyperlink>
    </w:p>
    <w:p w:rsidR="004E00C2" w:rsidRDefault="004E00C2" w:rsidP="004E00C2">
      <w:pPr>
        <w:pStyle w:val="a3"/>
        <w:rPr>
          <w:kern w:val="0"/>
        </w:rPr>
      </w:pPr>
      <w:r>
        <w:rPr>
          <w:kern w:val="0"/>
        </w:rPr>
        <w:t>Abstract: To perform systematic review</w:t>
      </w:r>
      <w:r w:rsidR="005853A9">
        <w:rPr>
          <w:kern w:val="0"/>
        </w:rPr>
        <w:t xml:space="preserve"> and </w:t>
      </w:r>
      <w:r>
        <w:rPr>
          <w:kern w:val="0"/>
        </w:rPr>
        <w:t>meta-analysis to evaluate</w:t>
      </w:r>
      <w:r w:rsidR="003A1917">
        <w:rPr>
          <w:kern w:val="0"/>
        </w:rPr>
        <w:t xml:space="preserve"> the </w:t>
      </w:r>
      <w:r>
        <w:rPr>
          <w:kern w:val="0"/>
        </w:rPr>
        <w:t>risk</w:t>
      </w:r>
      <w:r w:rsidR="00427468">
        <w:rPr>
          <w:kern w:val="0"/>
        </w:rPr>
        <w:t xml:space="preserve"> of </w:t>
      </w:r>
      <w:r>
        <w:rPr>
          <w:kern w:val="0"/>
        </w:rPr>
        <w:t>preeclampsia after chorionic villus sampling (CVS). A systematic search</w:t>
      </w:r>
      <w:r w:rsidR="00427468">
        <w:rPr>
          <w:kern w:val="0"/>
        </w:rPr>
        <w:t xml:space="preserve"> of </w:t>
      </w:r>
      <w:r w:rsidR="002C12F0">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inception through August 2010,</w:t>
      </w:r>
      <w:r w:rsidR="005853A9">
        <w:rPr>
          <w:kern w:val="0"/>
        </w:rPr>
        <w:t xml:space="preserve"> and </w:t>
      </w:r>
      <w:r>
        <w:rPr>
          <w:kern w:val="0"/>
        </w:rPr>
        <w:t>bibliographies</w:t>
      </w:r>
      <w:r w:rsidR="00427468">
        <w:rPr>
          <w:kern w:val="0"/>
        </w:rPr>
        <w:t xml:space="preserve"> of </w:t>
      </w:r>
      <w:r>
        <w:rPr>
          <w:kern w:val="0"/>
        </w:rPr>
        <w:t>review articles</w:t>
      </w:r>
      <w:r w:rsidR="005853A9">
        <w:rPr>
          <w:kern w:val="0"/>
        </w:rPr>
        <w:t xml:space="preserve"> and </w:t>
      </w:r>
      <w:r>
        <w:rPr>
          <w:kern w:val="0"/>
        </w:rPr>
        <w:t>eligible studies were performed. Six studies reported</w:t>
      </w:r>
      <w:r w:rsidR="003A1917">
        <w:rPr>
          <w:kern w:val="0"/>
        </w:rPr>
        <w:t xml:space="preserve"> the </w:t>
      </w:r>
      <w:r>
        <w:rPr>
          <w:kern w:val="0"/>
        </w:rPr>
        <w:t>risk</w:t>
      </w:r>
      <w:r w:rsidR="00427468">
        <w:rPr>
          <w:kern w:val="0"/>
        </w:rPr>
        <w:t xml:space="preserve"> of </w:t>
      </w:r>
      <w:r>
        <w:rPr>
          <w:kern w:val="0"/>
        </w:rPr>
        <w:t>preeclampsia after CVS. All</w:t>
      </w:r>
      <w:r w:rsidR="00427468">
        <w:rPr>
          <w:kern w:val="0"/>
        </w:rPr>
        <w:t xml:space="preserve"> of </w:t>
      </w:r>
      <w:r w:rsidR="003A1917">
        <w:rPr>
          <w:kern w:val="0"/>
        </w:rPr>
        <w:t xml:space="preserve">the </w:t>
      </w:r>
      <w:r>
        <w:rPr>
          <w:kern w:val="0"/>
        </w:rPr>
        <w:t>identified studies were retrospective</w:t>
      </w:r>
      <w:r w:rsidR="005853A9">
        <w:rPr>
          <w:kern w:val="0"/>
        </w:rPr>
        <w:t xml:space="preserve"> and </w:t>
      </w:r>
      <w:r>
        <w:rPr>
          <w:kern w:val="0"/>
        </w:rPr>
        <w:t>included in analysis. Reporting quality</w:t>
      </w:r>
      <w:r w:rsidR="00427468">
        <w:rPr>
          <w:kern w:val="0"/>
        </w:rPr>
        <w:t xml:space="preserve"> of </w:t>
      </w:r>
      <w:r w:rsidR="003A1917">
        <w:rPr>
          <w:kern w:val="0"/>
        </w:rPr>
        <w:t xml:space="preserve">the </w:t>
      </w:r>
      <w:r>
        <w:rPr>
          <w:kern w:val="0"/>
        </w:rPr>
        <w:t>identified studies according to quality assessment scale for methodology in retrospective clinical reporting was moderate. Pooling was performed in two strata for control: (1) patients without any invasive prenatal diagnostic procedure served as control group: no significant difference was found in</w:t>
      </w:r>
      <w:r w:rsidR="003A1917">
        <w:rPr>
          <w:kern w:val="0"/>
        </w:rPr>
        <w:t xml:space="preserve"> the </w:t>
      </w:r>
      <w:r>
        <w:rPr>
          <w:kern w:val="0"/>
        </w:rPr>
        <w:t>odds ratio (OR)</w:t>
      </w:r>
      <w:r w:rsidR="00427468">
        <w:rPr>
          <w:kern w:val="0"/>
        </w:rPr>
        <w:t xml:space="preserve"> of </w:t>
      </w:r>
      <w:r>
        <w:rPr>
          <w:kern w:val="0"/>
        </w:rPr>
        <w:t>preeclampsia (OR 0.79, 95% CI 0.38-1.64), severe preeclampsia (OR 0.49, 95% CI 0.04-5.78), gestational hypertension (OR 0.76, 95% CI 0.46-1.26), all pregnancy-induced hypertensive disorders (OR 0.80, 95% CI 0.46-1.41) between CVS</w:t>
      </w:r>
      <w:r w:rsidR="005853A9">
        <w:rPr>
          <w:kern w:val="0"/>
        </w:rPr>
        <w:t xml:space="preserve"> and </w:t>
      </w:r>
      <w:r>
        <w:rPr>
          <w:kern w:val="0"/>
        </w:rPr>
        <w:t>control groups. (2) Patients with amniocentesis combined with patients without any invasive prenatal diagnostic procedure served as control group: no significant difference was found in</w:t>
      </w:r>
      <w:r w:rsidR="003A1917">
        <w:rPr>
          <w:kern w:val="0"/>
        </w:rPr>
        <w:t xml:space="preserve"> the </w:t>
      </w:r>
      <w:r>
        <w:rPr>
          <w:kern w:val="0"/>
        </w:rPr>
        <w:t>OR</w:t>
      </w:r>
      <w:r w:rsidR="00427468">
        <w:rPr>
          <w:kern w:val="0"/>
        </w:rPr>
        <w:t xml:space="preserve"> of </w:t>
      </w:r>
      <w:r>
        <w:rPr>
          <w:kern w:val="0"/>
        </w:rPr>
        <w:t>preeclampsia (OR 0.76, 95% CI 0.37-1.53), severe preeclampsia (OR 0.83, 95% CI 0.14-4.85), all pregnancy-induced hypertensive disorders (OR 0.92, 95% CI 0.55-1.53) between CVS</w:t>
      </w:r>
      <w:r w:rsidR="005853A9">
        <w:rPr>
          <w:kern w:val="0"/>
        </w:rPr>
        <w:t xml:space="preserve"> and </w:t>
      </w:r>
      <w:r>
        <w:rPr>
          <w:kern w:val="0"/>
        </w:rPr>
        <w:t>combined control groups. None</w:t>
      </w:r>
      <w:r w:rsidR="00427468">
        <w:rPr>
          <w:kern w:val="0"/>
        </w:rPr>
        <w:t xml:space="preserve"> of </w:t>
      </w:r>
      <w:r w:rsidR="003A1917">
        <w:rPr>
          <w:kern w:val="0"/>
        </w:rPr>
        <w:t xml:space="preserve">the </w:t>
      </w:r>
      <w:r>
        <w:rPr>
          <w:kern w:val="0"/>
        </w:rPr>
        <w:t>included studies were randomized prospective trials designed to investigate</w:t>
      </w:r>
      <w:r w:rsidR="003A1917">
        <w:rPr>
          <w:kern w:val="0"/>
        </w:rPr>
        <w:t xml:space="preserve"> the </w:t>
      </w:r>
      <w:r>
        <w:rPr>
          <w:kern w:val="0"/>
        </w:rPr>
        <w:t>effect</w:t>
      </w:r>
      <w:r w:rsidR="00427468">
        <w:rPr>
          <w:kern w:val="0"/>
        </w:rPr>
        <w:t xml:space="preserve"> of </w:t>
      </w:r>
      <w:r>
        <w:rPr>
          <w:kern w:val="0"/>
        </w:rPr>
        <w:t>CVS on preeclampsia. Accordingly, this review is limited by</w:t>
      </w:r>
      <w:r w:rsidR="003A1917">
        <w:rPr>
          <w:kern w:val="0"/>
        </w:rPr>
        <w:t xml:space="preserve"> the </w:t>
      </w:r>
      <w:r>
        <w:rPr>
          <w:kern w:val="0"/>
        </w:rPr>
        <w:t>heterogeneity, small number</w:t>
      </w:r>
      <w:r w:rsidR="005853A9">
        <w:rPr>
          <w:kern w:val="0"/>
        </w:rPr>
        <w:t xml:space="preserve"> and </w:t>
      </w:r>
      <w:r>
        <w:rPr>
          <w:kern w:val="0"/>
        </w:rPr>
        <w:t>retrospective nature</w:t>
      </w:r>
      <w:r w:rsidR="00427468">
        <w:rPr>
          <w:kern w:val="0"/>
        </w:rPr>
        <w:t xml:space="preserve"> of </w:t>
      </w:r>
      <w:r w:rsidR="003A1917">
        <w:rPr>
          <w:kern w:val="0"/>
        </w:rPr>
        <w:t xml:space="preserve">the </w:t>
      </w:r>
      <w:r>
        <w:rPr>
          <w:kern w:val="0"/>
        </w:rPr>
        <w:t>available studies. CVS does not seem to increase</w:t>
      </w:r>
      <w:r w:rsidR="003A1917">
        <w:rPr>
          <w:kern w:val="0"/>
        </w:rPr>
        <w:t xml:space="preserve"> the </w:t>
      </w:r>
      <w:r>
        <w:rPr>
          <w:kern w:val="0"/>
        </w:rPr>
        <w:t>risk</w:t>
      </w:r>
      <w:r w:rsidR="00427468">
        <w:rPr>
          <w:kern w:val="0"/>
        </w:rPr>
        <w:t xml:space="preserve"> of </w:t>
      </w:r>
      <w:r>
        <w:rPr>
          <w:kern w:val="0"/>
        </w:rPr>
        <w:t>preeclampsia or other pregnancy-induced hypertensive disorders. However, randomized prospective trials that are designed to investigate</w:t>
      </w:r>
      <w:r w:rsidR="003A1917">
        <w:rPr>
          <w:kern w:val="0"/>
        </w:rPr>
        <w:t xml:space="preserve"> the </w:t>
      </w:r>
      <w:r>
        <w:rPr>
          <w:kern w:val="0"/>
        </w:rPr>
        <w:t>risk</w:t>
      </w:r>
      <w:r w:rsidR="00427468">
        <w:rPr>
          <w:kern w:val="0"/>
        </w:rPr>
        <w:t xml:space="preserve"> of </w:t>
      </w:r>
      <w:r>
        <w:rPr>
          <w:kern w:val="0"/>
        </w:rPr>
        <w:t>preeclampsia after CVS are needed to make a definite conclusion.</w:t>
      </w:r>
    </w:p>
    <w:p w:rsidR="004E00C2" w:rsidRDefault="004E00C2" w:rsidP="004E00C2">
      <w:pPr>
        <w:pStyle w:val="a3"/>
        <w:rPr>
          <w:kern w:val="0"/>
        </w:rPr>
      </w:pPr>
      <w:r>
        <w:rPr>
          <w:kern w:val="0"/>
        </w:rPr>
        <w:t xml:space="preserve">Keywords: Analysis, Assessment, Association, Chorionic Villus Sampling, Control, Control Groups, Gestational Hypertension, Hypertension, Hypertensive Disorders, Meta-Analysis, Methodology, Placental Disruption, Preeclampsia, Pregnancy, Pregnancy, Pregnancy Induced Hypertension, Ratio, Review, Risk, Science, Systematic, Systematic Review, </w:t>
      </w:r>
      <w:r w:rsidR="00D5664A">
        <w:rPr>
          <w:kern w:val="0"/>
        </w:rPr>
        <w:t>Web</w:t>
      </w:r>
      <w:r w:rsidR="00427468">
        <w:rPr>
          <w:kern w:val="0"/>
        </w:rPr>
        <w:t xml:space="preserve"> of </w:t>
      </w:r>
      <w:r w:rsidR="00D5664A">
        <w:rPr>
          <w:kern w:val="0"/>
        </w:rPr>
        <w:t>Science</w:t>
      </w:r>
    </w:p>
    <w:p w:rsidR="004E00C2" w:rsidRDefault="004E00C2" w:rsidP="004E00C2">
      <w:pPr>
        <w:pStyle w:val="a3"/>
        <w:rPr>
          <w:kern w:val="0"/>
        </w:rPr>
      </w:pPr>
      <w:r>
        <w:rPr>
          <w:rFonts w:hint="eastAsia"/>
          <w:kern w:val="0"/>
        </w:rPr>
        <w:t xml:space="preserve">? </w:t>
      </w:r>
      <w:r>
        <w:rPr>
          <w:kern w:val="0"/>
        </w:rPr>
        <w:t>Yi, Y.X., Zhang, W., Guo, W.R., Zhou, Q.</w:t>
      </w:r>
      <w:r w:rsidR="005853A9">
        <w:rPr>
          <w:kern w:val="0"/>
        </w:rPr>
        <w:t xml:space="preserve"> and </w:t>
      </w:r>
      <w:r>
        <w:rPr>
          <w:kern w:val="0"/>
        </w:rPr>
        <w:t>Su, Y. (2011), Meta-analysis:</w:t>
      </w:r>
      <w:r w:rsidR="003A1917">
        <w:rPr>
          <w:kern w:val="0"/>
        </w:rPr>
        <w:t xml:space="preserve"> the </w:t>
      </w:r>
      <w:r>
        <w:rPr>
          <w:kern w:val="0"/>
        </w:rPr>
        <w:t>comparison</w:t>
      </w:r>
      <w:r w:rsidR="00427468">
        <w:rPr>
          <w:kern w:val="0"/>
        </w:rPr>
        <w:t xml:space="preserve"> of </w:t>
      </w:r>
      <w:r>
        <w:rPr>
          <w:kern w:val="0"/>
        </w:rPr>
        <w:t>clinical results between vaginal</w:t>
      </w:r>
      <w:r w:rsidR="005853A9">
        <w:rPr>
          <w:kern w:val="0"/>
        </w:rPr>
        <w:t xml:space="preserve"> and </w:t>
      </w:r>
      <w:r>
        <w:rPr>
          <w:kern w:val="0"/>
        </w:rPr>
        <w:t xml:space="preserve">laparoscopic myomectomy. </w:t>
      </w:r>
      <w:r>
        <w:rPr>
          <w:i/>
          <w:iCs/>
          <w:kern w:val="0"/>
        </w:rPr>
        <w:t>Archives</w:t>
      </w:r>
      <w:r w:rsidR="00427468">
        <w:rPr>
          <w:i/>
          <w:iCs/>
          <w:kern w:val="0"/>
        </w:rPr>
        <w:t xml:space="preserve"> of </w:t>
      </w:r>
      <w:r>
        <w:rPr>
          <w:i/>
          <w:iCs/>
          <w:kern w:val="0"/>
        </w:rPr>
        <w:t>Gynecology</w:t>
      </w:r>
      <w:r w:rsidR="005853A9">
        <w:rPr>
          <w:i/>
          <w:iCs/>
          <w:kern w:val="0"/>
        </w:rPr>
        <w:t xml:space="preserve"> and </w:t>
      </w:r>
      <w:r>
        <w:rPr>
          <w:i/>
          <w:iCs/>
          <w:kern w:val="0"/>
        </w:rPr>
        <w:t>Obstetrics</w:t>
      </w:r>
      <w:r>
        <w:rPr>
          <w:kern w:val="0"/>
        </w:rPr>
        <w:t xml:space="preserve">, </w:t>
      </w:r>
      <w:r>
        <w:rPr>
          <w:b/>
          <w:bCs/>
          <w:kern w:val="0"/>
        </w:rPr>
        <w:t>283</w:t>
      </w:r>
      <w:r>
        <w:rPr>
          <w:kern w:val="0"/>
        </w:rPr>
        <w:t xml:space="preserve"> (6), 1275-1289.</w:t>
      </w:r>
    </w:p>
    <w:p w:rsidR="00BD6DF3" w:rsidRDefault="00BD6DF3" w:rsidP="00BD6DF3">
      <w:pPr>
        <w:pStyle w:val="a3"/>
        <w:rPr>
          <w:kern w:val="0"/>
        </w:rPr>
      </w:pPr>
      <w:r>
        <w:rPr>
          <w:rFonts w:hint="eastAsia"/>
          <w:kern w:val="0"/>
        </w:rPr>
        <w:t xml:space="preserve">Full Text: </w:t>
      </w:r>
      <w:hyperlink r:id="rId1125" w:history="1">
        <w:r w:rsidRPr="00BD6DF3">
          <w:rPr>
            <w:rStyle w:val="a5"/>
            <w:kern w:val="0"/>
          </w:rPr>
          <w:t>2011\Arc Gyn Obs283, 1275.pdf</w:t>
        </w:r>
      </w:hyperlink>
    </w:p>
    <w:p w:rsidR="004E00C2" w:rsidRDefault="004E00C2" w:rsidP="004E00C2">
      <w:pPr>
        <w:pStyle w:val="a3"/>
        <w:rPr>
          <w:kern w:val="0"/>
        </w:rPr>
      </w:pPr>
      <w:r>
        <w:rPr>
          <w:kern w:val="0"/>
        </w:rPr>
        <w:t>Abstract: To evaluate</w:t>
      </w:r>
      <w:r w:rsidR="003A1917">
        <w:rPr>
          <w:kern w:val="0"/>
        </w:rPr>
        <w:t xml:space="preserve"> the </w:t>
      </w:r>
      <w:r>
        <w:rPr>
          <w:kern w:val="0"/>
        </w:rPr>
        <w:t>clinical results</w:t>
      </w:r>
      <w:r w:rsidR="00427468">
        <w:rPr>
          <w:kern w:val="0"/>
        </w:rPr>
        <w:t xml:space="preserve"> of </w:t>
      </w:r>
      <w:r>
        <w:rPr>
          <w:kern w:val="0"/>
        </w:rPr>
        <w:t>vaginal myomectomy</w:t>
      </w:r>
      <w:r w:rsidR="005853A9">
        <w:rPr>
          <w:kern w:val="0"/>
        </w:rPr>
        <w:t xml:space="preserve"> and </w:t>
      </w:r>
      <w:r>
        <w:rPr>
          <w:kern w:val="0"/>
        </w:rPr>
        <w:t>laparoscopic myomectomy (LM)</w:t>
      </w:r>
      <w:r w:rsidR="00A37C1D">
        <w:rPr>
          <w:kern w:val="0"/>
        </w:rPr>
        <w:t>. The</w:t>
      </w:r>
      <w:r w:rsidR="003A1917">
        <w:rPr>
          <w:kern w:val="0"/>
        </w:rPr>
        <w:t xml:space="preserve"> </w:t>
      </w:r>
      <w:r>
        <w:rPr>
          <w:kern w:val="0"/>
        </w:rPr>
        <w:t>database</w:t>
      </w:r>
      <w:r w:rsidR="00427468">
        <w:rPr>
          <w:kern w:val="0"/>
        </w:rPr>
        <w:t xml:space="preserve"> of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 ProQuest, Cochrane library</w:t>
      </w:r>
      <w:r w:rsidR="005853A9">
        <w:rPr>
          <w:kern w:val="0"/>
        </w:rPr>
        <w:t xml:space="preserve"> and </w:t>
      </w:r>
      <w:r>
        <w:rPr>
          <w:kern w:val="0"/>
        </w:rPr>
        <w:t xml:space="preserve">China Biological Medicine Database (CBM), </w:t>
      </w:r>
      <w:r>
        <w:rPr>
          <w:kern w:val="0"/>
        </w:rPr>
        <w:lastRenderedPageBreak/>
        <w:t>Chinese National Knowledge Infrastructure (CNKI), Wanfang (Chinese)</w:t>
      </w:r>
      <w:r w:rsidR="005853A9">
        <w:rPr>
          <w:kern w:val="0"/>
        </w:rPr>
        <w:t xml:space="preserve"> and </w:t>
      </w:r>
      <w:r>
        <w:rPr>
          <w:kern w:val="0"/>
        </w:rPr>
        <w:t>VIP (Chinese) were searched using</w:t>
      </w:r>
      <w:r w:rsidR="003A1917">
        <w:rPr>
          <w:kern w:val="0"/>
        </w:rPr>
        <w:t xml:space="preserve"> the </w:t>
      </w:r>
      <w:r>
        <w:rPr>
          <w:kern w:val="0"/>
        </w:rPr>
        <w:t xml:space="preserve">keywords </w:t>
      </w:r>
      <w:r w:rsidR="00B5188C">
        <w:rPr>
          <w:kern w:val="0"/>
        </w:rPr>
        <w:t>“</w:t>
      </w:r>
      <w:r>
        <w:rPr>
          <w:kern w:val="0"/>
        </w:rPr>
        <w:t>laparoscopic</w:t>
      </w:r>
      <w:r w:rsidR="00B5188C">
        <w:rPr>
          <w:kern w:val="0"/>
        </w:rPr>
        <w:t>”</w:t>
      </w:r>
      <w:r>
        <w:rPr>
          <w:kern w:val="0"/>
        </w:rPr>
        <w:t xml:space="preserve">, </w:t>
      </w:r>
      <w:r w:rsidR="00B5188C">
        <w:rPr>
          <w:kern w:val="0"/>
        </w:rPr>
        <w:t>“</w:t>
      </w:r>
      <w:r>
        <w:rPr>
          <w:kern w:val="0"/>
        </w:rPr>
        <w:t>laparoscopically</w:t>
      </w:r>
      <w:r w:rsidR="00B5188C">
        <w:rPr>
          <w:kern w:val="0"/>
        </w:rPr>
        <w:t>”</w:t>
      </w:r>
      <w:r>
        <w:rPr>
          <w:kern w:val="0"/>
        </w:rPr>
        <w:t xml:space="preserve">, </w:t>
      </w:r>
      <w:r w:rsidR="00B5188C">
        <w:rPr>
          <w:kern w:val="0"/>
        </w:rPr>
        <w:t>“</w:t>
      </w:r>
      <w:r>
        <w:rPr>
          <w:kern w:val="0"/>
        </w:rPr>
        <w:t>vaginal</w:t>
      </w:r>
      <w:r w:rsidR="00B5188C">
        <w:rPr>
          <w:kern w:val="0"/>
        </w:rPr>
        <w:t>”</w:t>
      </w:r>
      <w:r>
        <w:rPr>
          <w:kern w:val="0"/>
        </w:rPr>
        <w:t xml:space="preserve">, </w:t>
      </w:r>
      <w:r w:rsidR="00B5188C">
        <w:rPr>
          <w:kern w:val="0"/>
        </w:rPr>
        <w:t>“</w:t>
      </w:r>
      <w:r>
        <w:rPr>
          <w:kern w:val="0"/>
        </w:rPr>
        <w:t>trasvaginal</w:t>
      </w:r>
      <w:r w:rsidR="00B5188C">
        <w:rPr>
          <w:kern w:val="0"/>
        </w:rPr>
        <w:t>”</w:t>
      </w:r>
      <w:r>
        <w:rPr>
          <w:kern w:val="0"/>
        </w:rPr>
        <w:t xml:space="preserve">, </w:t>
      </w:r>
      <w:r w:rsidR="00B5188C">
        <w:rPr>
          <w:kern w:val="0"/>
        </w:rPr>
        <w:t>“</w:t>
      </w:r>
      <w:r>
        <w:rPr>
          <w:kern w:val="0"/>
        </w:rPr>
        <w:t>myomectomy</w:t>
      </w:r>
      <w:r w:rsidR="00B5188C">
        <w:rPr>
          <w:kern w:val="0"/>
        </w:rPr>
        <w:t>”</w:t>
      </w:r>
      <w:r>
        <w:rPr>
          <w:kern w:val="0"/>
        </w:rPr>
        <w:t xml:space="preserve">, </w:t>
      </w:r>
      <w:r w:rsidR="00B5188C">
        <w:rPr>
          <w:kern w:val="0"/>
        </w:rPr>
        <w:t>“</w:t>
      </w:r>
      <w:r>
        <w:rPr>
          <w:kern w:val="0"/>
        </w:rPr>
        <w:t>randomized</w:t>
      </w:r>
      <w:r w:rsidR="00B5188C">
        <w:rPr>
          <w:kern w:val="0"/>
        </w:rPr>
        <w:t>”</w:t>
      </w:r>
      <w:r>
        <w:rPr>
          <w:kern w:val="0"/>
        </w:rPr>
        <w:t xml:space="preserve">, </w:t>
      </w:r>
      <w:r w:rsidR="00B5188C">
        <w:rPr>
          <w:kern w:val="0"/>
        </w:rPr>
        <w:t>“</w:t>
      </w:r>
      <w:r>
        <w:rPr>
          <w:kern w:val="0"/>
        </w:rPr>
        <w:t>randomised</w:t>
      </w:r>
      <w:r w:rsidR="00B5188C">
        <w:rPr>
          <w:kern w:val="0"/>
        </w:rPr>
        <w:t>”</w:t>
      </w:r>
      <w:r w:rsidR="005853A9">
        <w:rPr>
          <w:kern w:val="0"/>
        </w:rPr>
        <w:t xml:space="preserve"> and </w:t>
      </w:r>
      <w:r w:rsidR="00B5188C">
        <w:rPr>
          <w:kern w:val="0"/>
        </w:rPr>
        <w:t>“</w:t>
      </w:r>
      <w:r>
        <w:rPr>
          <w:kern w:val="0"/>
        </w:rPr>
        <w:t>randomly</w:t>
      </w:r>
      <w:r w:rsidR="00B5188C">
        <w:rPr>
          <w:kern w:val="0"/>
        </w:rPr>
        <w:t>”</w:t>
      </w:r>
      <w:r>
        <w:rPr>
          <w:kern w:val="0"/>
        </w:rPr>
        <w:t xml:space="preserve"> to identify randomized controlled trails which compared vaginal myomectomy</w:t>
      </w:r>
      <w:r w:rsidR="005853A9">
        <w:rPr>
          <w:kern w:val="0"/>
        </w:rPr>
        <w:t xml:space="preserve"> and </w:t>
      </w:r>
      <w:r>
        <w:rPr>
          <w:kern w:val="0"/>
        </w:rPr>
        <w:t>LM. Studies are also searched by hand. No language restrictions were made. Four trials were studied</w:t>
      </w:r>
      <w:r w:rsidR="005853A9">
        <w:rPr>
          <w:kern w:val="0"/>
        </w:rPr>
        <w:t xml:space="preserve"> and </w:t>
      </w:r>
      <w:r w:rsidR="003A1917">
        <w:rPr>
          <w:kern w:val="0"/>
        </w:rPr>
        <w:t xml:space="preserve">the </w:t>
      </w:r>
      <w:r>
        <w:rPr>
          <w:kern w:val="0"/>
        </w:rPr>
        <w:t>analysis was performed using Review Manager Version 5</w:t>
      </w:r>
      <w:r w:rsidR="005853A9">
        <w:rPr>
          <w:kern w:val="0"/>
        </w:rPr>
        <w:t xml:space="preserve"> and </w:t>
      </w:r>
      <w:r>
        <w:rPr>
          <w:kern w:val="0"/>
        </w:rPr>
        <w:t>R software Version 2.11.1</w:t>
      </w:r>
      <w:r w:rsidR="00A37C1D">
        <w:rPr>
          <w:kern w:val="0"/>
        </w:rPr>
        <w:t>. The</w:t>
      </w:r>
      <w:r w:rsidR="003A1917">
        <w:rPr>
          <w:kern w:val="0"/>
        </w:rPr>
        <w:t xml:space="preserve"> </w:t>
      </w:r>
      <w:r>
        <w:rPr>
          <w:kern w:val="0"/>
        </w:rPr>
        <w:t>results had shown that vaginal myomectomy was associated with less operation time significantly, but reduced blood loss, hospital stay</w:t>
      </w:r>
      <w:r w:rsidR="005853A9">
        <w:rPr>
          <w:kern w:val="0"/>
        </w:rPr>
        <w:t xml:space="preserve"> and </w:t>
      </w:r>
      <w:r>
        <w:rPr>
          <w:kern w:val="0"/>
        </w:rPr>
        <w:t>gas recovery</w:t>
      </w:r>
      <w:r w:rsidR="005853A9">
        <w:rPr>
          <w:kern w:val="0"/>
        </w:rPr>
        <w:t xml:space="preserve"> and </w:t>
      </w:r>
      <w:r>
        <w:rPr>
          <w:kern w:val="0"/>
        </w:rPr>
        <w:t>more minor complications without significant difference. This meta-analysis was not powerful to form an accurate conclusion because</w:t>
      </w:r>
      <w:r w:rsidR="00427468">
        <w:rPr>
          <w:kern w:val="0"/>
        </w:rPr>
        <w:t xml:space="preserve"> of </w:t>
      </w:r>
      <w:r>
        <w:rPr>
          <w:kern w:val="0"/>
        </w:rPr>
        <w:t>less number, low quality</w:t>
      </w:r>
      <w:r w:rsidR="00427468">
        <w:rPr>
          <w:kern w:val="0"/>
        </w:rPr>
        <w:t xml:space="preserve"> of </w:t>
      </w:r>
      <w:r>
        <w:rPr>
          <w:kern w:val="0"/>
        </w:rPr>
        <w:t>included studies</w:t>
      </w:r>
      <w:r w:rsidR="005853A9">
        <w:rPr>
          <w:kern w:val="0"/>
        </w:rPr>
        <w:t xml:space="preserve"> and </w:t>
      </w:r>
      <w:r>
        <w:rPr>
          <w:kern w:val="0"/>
        </w:rPr>
        <w:t>no data on major complications</w:t>
      </w:r>
      <w:r w:rsidR="005853A9">
        <w:rPr>
          <w:kern w:val="0"/>
        </w:rPr>
        <w:t xml:space="preserve"> and </w:t>
      </w:r>
      <w:r>
        <w:rPr>
          <w:kern w:val="0"/>
        </w:rPr>
        <w:t>long-term outcomes such as recurrence</w:t>
      </w:r>
      <w:r w:rsidR="005853A9">
        <w:rPr>
          <w:kern w:val="0"/>
        </w:rPr>
        <w:t xml:space="preserve"> and </w:t>
      </w:r>
      <w:r>
        <w:rPr>
          <w:kern w:val="0"/>
        </w:rPr>
        <w:t>pregnancy. Hence, more studies</w:t>
      </w:r>
      <w:r w:rsidR="005853A9">
        <w:rPr>
          <w:kern w:val="0"/>
        </w:rPr>
        <w:t xml:space="preserve"> and </w:t>
      </w:r>
      <w:r>
        <w:rPr>
          <w:kern w:val="0"/>
        </w:rPr>
        <w:t>data should be awaited</w:t>
      </w:r>
      <w:r w:rsidR="005853A9">
        <w:rPr>
          <w:kern w:val="0"/>
        </w:rPr>
        <w:t xml:space="preserve"> and </w:t>
      </w:r>
      <w:r>
        <w:rPr>
          <w:kern w:val="0"/>
        </w:rPr>
        <w:t>involved for further evaluation.</w:t>
      </w:r>
    </w:p>
    <w:p w:rsidR="004E00C2" w:rsidRDefault="004E00C2" w:rsidP="004E00C2">
      <w:pPr>
        <w:pStyle w:val="a3"/>
        <w:rPr>
          <w:kern w:val="0"/>
        </w:rPr>
      </w:pPr>
      <w:r>
        <w:rPr>
          <w:kern w:val="0"/>
        </w:rPr>
        <w:t xml:space="preserve">Keywords: Analysis, Blood, China, Clinical Results, Cochrane, EMBASE, Evaluation, Feasibility, Hospital, Knowledge, Laparoscopic Myomectomy, Meta Analysis, Meta-Analysis, Myomas, Outcomes, Posterior Colpotomy, Pregnancy, </w:t>
      </w:r>
      <w:r w:rsidR="002C12F0">
        <w:rPr>
          <w:kern w:val="0"/>
        </w:rPr>
        <w:t>PUBMED</w:t>
      </w:r>
      <w:r>
        <w:rPr>
          <w:kern w:val="0"/>
        </w:rPr>
        <w:t xml:space="preserve">, Recurrence, Review, Safety, Science, Software, Surgery, Vaginal Myomectomy, </w:t>
      </w:r>
      <w:r w:rsidR="00D5664A">
        <w:rPr>
          <w:kern w:val="0"/>
        </w:rPr>
        <w:t>Web</w:t>
      </w:r>
      <w:r w:rsidR="00427468">
        <w:rPr>
          <w:kern w:val="0"/>
        </w:rPr>
        <w:t xml:space="preserve"> of </w:t>
      </w:r>
      <w:r w:rsidR="00D5664A">
        <w:rPr>
          <w:kern w:val="0"/>
        </w:rPr>
        <w:t>Science</w:t>
      </w:r>
    </w:p>
    <w:p w:rsidR="00BD6DF3" w:rsidRDefault="00BD6DF3" w:rsidP="00BD6DF3">
      <w:pPr>
        <w:pStyle w:val="a3"/>
        <w:rPr>
          <w:kern w:val="0"/>
        </w:rPr>
      </w:pPr>
      <w:r>
        <w:rPr>
          <w:rFonts w:hint="eastAsia"/>
          <w:kern w:val="0"/>
        </w:rPr>
        <w:t xml:space="preserve">? </w:t>
      </w:r>
      <w:r>
        <w:rPr>
          <w:kern w:val="0"/>
        </w:rPr>
        <w:t>Erel, T.</w:t>
      </w:r>
      <w:r w:rsidR="005853A9">
        <w:rPr>
          <w:kern w:val="0"/>
        </w:rPr>
        <w:t xml:space="preserve"> and </w:t>
      </w:r>
      <w:r>
        <w:rPr>
          <w:kern w:val="0"/>
        </w:rPr>
        <w:t>Guralp, O. (2011), Epilepsy</w:t>
      </w:r>
      <w:r w:rsidR="005853A9">
        <w:rPr>
          <w:kern w:val="0"/>
        </w:rPr>
        <w:t xml:space="preserve"> and </w:t>
      </w:r>
      <w:r>
        <w:rPr>
          <w:kern w:val="0"/>
        </w:rPr>
        <w:t xml:space="preserve">menopause. </w:t>
      </w:r>
      <w:r>
        <w:rPr>
          <w:i/>
          <w:iCs/>
          <w:kern w:val="0"/>
        </w:rPr>
        <w:t>Archives</w:t>
      </w:r>
      <w:r w:rsidR="00427468">
        <w:rPr>
          <w:i/>
          <w:iCs/>
          <w:kern w:val="0"/>
        </w:rPr>
        <w:t xml:space="preserve"> of </w:t>
      </w:r>
      <w:r>
        <w:rPr>
          <w:i/>
          <w:iCs/>
          <w:kern w:val="0"/>
        </w:rPr>
        <w:t>Gynecology</w:t>
      </w:r>
      <w:r w:rsidR="005853A9">
        <w:rPr>
          <w:i/>
          <w:iCs/>
          <w:kern w:val="0"/>
        </w:rPr>
        <w:t xml:space="preserve"> and </w:t>
      </w:r>
      <w:r>
        <w:rPr>
          <w:i/>
          <w:iCs/>
          <w:kern w:val="0"/>
        </w:rPr>
        <w:t>Obstetrics</w:t>
      </w:r>
      <w:r>
        <w:rPr>
          <w:kern w:val="0"/>
        </w:rPr>
        <w:t xml:space="preserve">, </w:t>
      </w:r>
      <w:r>
        <w:rPr>
          <w:b/>
          <w:bCs/>
          <w:kern w:val="0"/>
        </w:rPr>
        <w:t>284</w:t>
      </w:r>
      <w:r>
        <w:rPr>
          <w:kern w:val="0"/>
        </w:rPr>
        <w:t xml:space="preserve"> (3), 749-755.</w:t>
      </w:r>
    </w:p>
    <w:p w:rsidR="00BD6DF3" w:rsidRDefault="00BD6DF3" w:rsidP="00BD6DF3">
      <w:pPr>
        <w:pStyle w:val="a3"/>
        <w:rPr>
          <w:kern w:val="0"/>
        </w:rPr>
      </w:pPr>
      <w:r>
        <w:rPr>
          <w:rFonts w:hint="eastAsia"/>
          <w:kern w:val="0"/>
        </w:rPr>
        <w:t xml:space="preserve">Full Text: </w:t>
      </w:r>
      <w:hyperlink r:id="rId1126" w:history="1">
        <w:r w:rsidRPr="000E20FF">
          <w:rPr>
            <w:rStyle w:val="a5"/>
            <w:kern w:val="0"/>
          </w:rPr>
          <w:t>2011\Arc Gyn Obs284, 749.pdf</w:t>
        </w:r>
      </w:hyperlink>
    </w:p>
    <w:p w:rsidR="00BD6DF3" w:rsidRDefault="00BD6DF3" w:rsidP="00BD6DF3">
      <w:pPr>
        <w:pStyle w:val="a3"/>
        <w:rPr>
          <w:kern w:val="0"/>
        </w:rPr>
      </w:pPr>
      <w:r>
        <w:rPr>
          <w:kern w:val="0"/>
        </w:rPr>
        <w:t>Abstract: Epilepsy</w:t>
      </w:r>
      <w:r w:rsidR="005853A9">
        <w:rPr>
          <w:kern w:val="0"/>
        </w:rPr>
        <w:t xml:space="preserve"> and </w:t>
      </w:r>
      <w:r>
        <w:rPr>
          <w:kern w:val="0"/>
        </w:rPr>
        <w:t>menopause have complicated interactions. Treatment</w:t>
      </w:r>
      <w:r w:rsidR="00427468">
        <w:rPr>
          <w:kern w:val="0"/>
        </w:rPr>
        <w:t xml:space="preserve"> of </w:t>
      </w:r>
      <w:r>
        <w:rPr>
          <w:kern w:val="0"/>
        </w:rPr>
        <w:t>epilepsy may cause exacerbation</w:t>
      </w:r>
      <w:r w:rsidR="00427468">
        <w:rPr>
          <w:kern w:val="0"/>
        </w:rPr>
        <w:t xml:space="preserve"> of </w:t>
      </w:r>
      <w:r>
        <w:rPr>
          <w:kern w:val="0"/>
        </w:rPr>
        <w:t>osteoporosis</w:t>
      </w:r>
      <w:r w:rsidR="005853A9">
        <w:rPr>
          <w:kern w:val="0"/>
        </w:rPr>
        <w:t xml:space="preserve"> and </w:t>
      </w:r>
      <w:r>
        <w:rPr>
          <w:kern w:val="0"/>
        </w:rPr>
        <w:t>alter</w:t>
      </w:r>
      <w:r w:rsidR="003A1917">
        <w:rPr>
          <w:kern w:val="0"/>
        </w:rPr>
        <w:t xml:space="preserve"> the </w:t>
      </w:r>
      <w:r>
        <w:rPr>
          <w:kern w:val="0"/>
        </w:rPr>
        <w:t>effects</w:t>
      </w:r>
      <w:r w:rsidR="00427468">
        <w:rPr>
          <w:kern w:val="0"/>
        </w:rPr>
        <w:t xml:space="preserve"> of </w:t>
      </w:r>
      <w:r>
        <w:rPr>
          <w:kern w:val="0"/>
        </w:rPr>
        <w:t>hormone replacement therapy (HRT) whereas HRT may influence</w:t>
      </w:r>
      <w:r w:rsidR="003A1917">
        <w:rPr>
          <w:kern w:val="0"/>
        </w:rPr>
        <w:t xml:space="preserve"> the </w:t>
      </w:r>
      <w:r>
        <w:rPr>
          <w:kern w:val="0"/>
        </w:rPr>
        <w:t>frequency</w:t>
      </w:r>
      <w:r w:rsidR="00427468">
        <w:rPr>
          <w:kern w:val="0"/>
        </w:rPr>
        <w:t xml:space="preserve"> of </w:t>
      </w:r>
      <w:r>
        <w:rPr>
          <w:kern w:val="0"/>
        </w:rPr>
        <w:t>seizures. An extensive search was performed in</w:t>
      </w:r>
      <w:r w:rsidR="003A1917">
        <w:rPr>
          <w:kern w:val="0"/>
        </w:rPr>
        <w:t xml:space="preserve"> the </w:t>
      </w:r>
      <w:r>
        <w:rPr>
          <w:kern w:val="0"/>
        </w:rPr>
        <w:t>Cochrane Central Trials Registry,</w:t>
      </w:r>
      <w:r w:rsidR="003A1917">
        <w:rPr>
          <w:kern w:val="0"/>
        </w:rPr>
        <w:t xml:space="preserve"> the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PubMed for publications using</w:t>
      </w:r>
      <w:r w:rsidR="003A1917">
        <w:rPr>
          <w:kern w:val="0"/>
        </w:rPr>
        <w:t xml:space="preserve"> the </w:t>
      </w:r>
      <w:r>
        <w:rPr>
          <w:kern w:val="0"/>
        </w:rPr>
        <w:t xml:space="preserve">keywords </w:t>
      </w:r>
      <w:r w:rsidR="00B5188C">
        <w:rPr>
          <w:kern w:val="0"/>
        </w:rPr>
        <w:t>“</w:t>
      </w:r>
      <w:r>
        <w:rPr>
          <w:kern w:val="0"/>
        </w:rPr>
        <w:t>(epilepsy OR Seizure)</w:t>
      </w:r>
      <w:r w:rsidR="005853A9">
        <w:rPr>
          <w:kern w:val="0"/>
        </w:rPr>
        <w:t xml:space="preserve"> and </w:t>
      </w:r>
      <w:r>
        <w:rPr>
          <w:kern w:val="0"/>
        </w:rPr>
        <w:t>(menopause OR osteoporosis)</w:t>
      </w:r>
      <w:r w:rsidR="00B5188C">
        <w:rPr>
          <w:kern w:val="0"/>
        </w:rPr>
        <w:t>”</w:t>
      </w:r>
      <w:r>
        <w:rPr>
          <w:kern w:val="0"/>
        </w:rPr>
        <w:t xml:space="preserve">; </w:t>
      </w:r>
      <w:r w:rsidR="00B5188C">
        <w:rPr>
          <w:kern w:val="0"/>
        </w:rPr>
        <w:t>“</w:t>
      </w:r>
      <w:r>
        <w:rPr>
          <w:kern w:val="0"/>
        </w:rPr>
        <w:t>Anti-epileptic drugs</w:t>
      </w:r>
      <w:r w:rsidR="005853A9">
        <w:rPr>
          <w:kern w:val="0"/>
        </w:rPr>
        <w:t xml:space="preserve"> and </w:t>
      </w:r>
      <w:r>
        <w:rPr>
          <w:kern w:val="0"/>
        </w:rPr>
        <w:t>(menopause OR osteoporosis); HRT</w:t>
      </w:r>
      <w:r w:rsidR="005853A9">
        <w:rPr>
          <w:kern w:val="0"/>
        </w:rPr>
        <w:t xml:space="preserve"> and </w:t>
      </w:r>
      <w:r>
        <w:rPr>
          <w:kern w:val="0"/>
        </w:rPr>
        <w:t>epilepsy</w:t>
      </w:r>
      <w:r w:rsidR="00B5188C">
        <w:rPr>
          <w:kern w:val="0"/>
        </w:rPr>
        <w:t>”</w:t>
      </w:r>
      <w:r>
        <w:rPr>
          <w:kern w:val="0"/>
        </w:rPr>
        <w:t xml:space="preserve"> between 1970</w:t>
      </w:r>
      <w:r w:rsidR="005853A9">
        <w:rPr>
          <w:kern w:val="0"/>
        </w:rPr>
        <w:t xml:space="preserve"> and </w:t>
      </w:r>
      <w:r>
        <w:rPr>
          <w:kern w:val="0"/>
        </w:rPr>
        <w:t>2010</w:t>
      </w:r>
      <w:r w:rsidR="005853A9">
        <w:rPr>
          <w:kern w:val="0"/>
        </w:rPr>
        <w:t xml:space="preserve"> and </w:t>
      </w:r>
      <w:r>
        <w:rPr>
          <w:kern w:val="0"/>
        </w:rPr>
        <w:t>English language. All eligible trials were included</w:t>
      </w:r>
      <w:r w:rsidR="00A37C1D">
        <w:rPr>
          <w:kern w:val="0"/>
        </w:rPr>
        <w:t>. The</w:t>
      </w:r>
      <w:r w:rsidR="003A1917">
        <w:rPr>
          <w:kern w:val="0"/>
        </w:rPr>
        <w:t xml:space="preserve"> </w:t>
      </w:r>
      <w:r>
        <w:rPr>
          <w:kern w:val="0"/>
        </w:rPr>
        <w:t>frequency</w:t>
      </w:r>
      <w:r w:rsidR="00427468">
        <w:rPr>
          <w:kern w:val="0"/>
        </w:rPr>
        <w:t xml:space="preserve"> of </w:t>
      </w:r>
      <w:r>
        <w:rPr>
          <w:kern w:val="0"/>
        </w:rPr>
        <w:t>catamenial type</w:t>
      </w:r>
      <w:r w:rsidR="00427468">
        <w:rPr>
          <w:kern w:val="0"/>
        </w:rPr>
        <w:t xml:space="preserve"> of </w:t>
      </w:r>
      <w:r>
        <w:rPr>
          <w:kern w:val="0"/>
        </w:rPr>
        <w:t>epileptic seizures may increase during perimenopause due to hyperestrogenism</w:t>
      </w:r>
      <w:r w:rsidR="005853A9">
        <w:rPr>
          <w:kern w:val="0"/>
        </w:rPr>
        <w:t xml:space="preserve"> and </w:t>
      </w:r>
      <w:r>
        <w:rPr>
          <w:kern w:val="0"/>
        </w:rPr>
        <w:t>subside after menopause. Sexual dysfunction can be severe depending upon</w:t>
      </w:r>
      <w:r w:rsidR="003A1917">
        <w:rPr>
          <w:kern w:val="0"/>
        </w:rPr>
        <w:t xml:space="preserve"> the </w:t>
      </w:r>
      <w:r>
        <w:rPr>
          <w:kern w:val="0"/>
        </w:rPr>
        <w:t>effect</w:t>
      </w:r>
      <w:r w:rsidR="00427468">
        <w:rPr>
          <w:kern w:val="0"/>
        </w:rPr>
        <w:t xml:space="preserve"> of </w:t>
      </w:r>
      <w:r>
        <w:rPr>
          <w:kern w:val="0"/>
        </w:rPr>
        <w:t>lack</w:t>
      </w:r>
      <w:r w:rsidR="00427468">
        <w:rPr>
          <w:kern w:val="0"/>
        </w:rPr>
        <w:t xml:space="preserve"> of </w:t>
      </w:r>
      <w:r>
        <w:rPr>
          <w:kern w:val="0"/>
        </w:rPr>
        <w:t>estrogen in menopause</w:t>
      </w:r>
      <w:r w:rsidR="005853A9">
        <w:rPr>
          <w:kern w:val="0"/>
        </w:rPr>
        <w:t xml:space="preserve"> and </w:t>
      </w:r>
      <w:r>
        <w:rPr>
          <w:kern w:val="0"/>
        </w:rPr>
        <w:t>epilepsy itself. Osteoporosis</w:t>
      </w:r>
      <w:r w:rsidR="005853A9">
        <w:rPr>
          <w:kern w:val="0"/>
        </w:rPr>
        <w:t xml:space="preserve"> and </w:t>
      </w:r>
      <w:r>
        <w:rPr>
          <w:kern w:val="0"/>
        </w:rPr>
        <w:t>fractures may increase due to hypoestrogenism in menopause</w:t>
      </w:r>
      <w:r w:rsidR="005853A9">
        <w:rPr>
          <w:kern w:val="0"/>
        </w:rPr>
        <w:t xml:space="preserve"> and </w:t>
      </w:r>
      <w:r>
        <w:rPr>
          <w:kern w:val="0"/>
        </w:rPr>
        <w:t>cytochrome P450 inducing anti-epileptic drugs. According to</w:t>
      </w:r>
      <w:r w:rsidR="003A1917">
        <w:rPr>
          <w:kern w:val="0"/>
        </w:rPr>
        <w:t xml:space="preserve"> the </w:t>
      </w:r>
      <w:r>
        <w:rPr>
          <w:kern w:val="0"/>
        </w:rPr>
        <w:t>current data, conjugated equine estrogens plus 2.5 mg</w:t>
      </w:r>
      <w:r w:rsidR="00427468">
        <w:rPr>
          <w:kern w:val="0"/>
        </w:rPr>
        <w:t xml:space="preserve"> of </w:t>
      </w:r>
      <w:r>
        <w:rPr>
          <w:kern w:val="0"/>
        </w:rPr>
        <w:t>medroxyprogesterone acetate may increase</w:t>
      </w:r>
      <w:r w:rsidR="003A1917">
        <w:rPr>
          <w:kern w:val="0"/>
        </w:rPr>
        <w:t xml:space="preserve"> the </w:t>
      </w:r>
      <w:r>
        <w:rPr>
          <w:kern w:val="0"/>
        </w:rPr>
        <w:t>frequency</w:t>
      </w:r>
      <w:r w:rsidR="00427468">
        <w:rPr>
          <w:kern w:val="0"/>
        </w:rPr>
        <w:t xml:space="preserve"> of </w:t>
      </w:r>
      <w:r>
        <w:rPr>
          <w:kern w:val="0"/>
        </w:rPr>
        <w:t>epileptic seizures. Women with epilepsy may need to take HRT, at least for symptomatic relief</w:t>
      </w:r>
      <w:r w:rsidR="005853A9">
        <w:rPr>
          <w:kern w:val="0"/>
        </w:rPr>
        <w:t xml:space="preserve"> and </w:t>
      </w:r>
      <w:r>
        <w:rPr>
          <w:kern w:val="0"/>
        </w:rPr>
        <w:t xml:space="preserve">to allow adequate sleep when </w:t>
      </w:r>
      <w:r w:rsidR="00B5188C">
        <w:rPr>
          <w:kern w:val="0"/>
        </w:rPr>
        <w:t>“</w:t>
      </w:r>
      <w:r>
        <w:rPr>
          <w:kern w:val="0"/>
        </w:rPr>
        <w:t>hot flushes</w:t>
      </w:r>
      <w:r w:rsidR="00B5188C">
        <w:rPr>
          <w:kern w:val="0"/>
        </w:rPr>
        <w:t>”</w:t>
      </w:r>
      <w:r>
        <w:rPr>
          <w:kern w:val="0"/>
        </w:rPr>
        <w:t xml:space="preserve"> are disruptive. A combination</w:t>
      </w:r>
      <w:r w:rsidR="00427468">
        <w:rPr>
          <w:kern w:val="0"/>
        </w:rPr>
        <w:t xml:space="preserve"> of </w:t>
      </w:r>
      <w:r>
        <w:rPr>
          <w:kern w:val="0"/>
        </w:rPr>
        <w:t xml:space="preserve">a single estrogenic compound such as 17-beta-estradiol along with natural progesterone could </w:t>
      </w:r>
      <w:r>
        <w:rPr>
          <w:kern w:val="0"/>
        </w:rPr>
        <w:lastRenderedPageBreak/>
        <w:t>be considered in these patients.</w:t>
      </w:r>
    </w:p>
    <w:p w:rsidR="00BD6DF3" w:rsidRDefault="00BD6DF3" w:rsidP="00BD6DF3">
      <w:pPr>
        <w:pStyle w:val="a3"/>
        <w:rPr>
          <w:kern w:val="0"/>
        </w:rPr>
      </w:pPr>
      <w:r>
        <w:rPr>
          <w:kern w:val="0"/>
        </w:rPr>
        <w:t xml:space="preserve">Keywords: Anti-Epileptic Drugs, Antiepileptic Drugs, Bone-Density, Cochrane, Cytochrome P450, Double-Blind, Drugs, Epilepsy, Estrogen, Estrogens, Ethinyl Estradiol, Exacerbation, Frequency, Healthy Women, Hormone Replacement Therapy, Menopause, Osteoporosis, Ovariectomized Female Rats, P450, Partial Seizures, Patients, Progesterone, Publications, Pubmed, Reproductive Endocrine Disorders, Science, Seizure, Temporal-Lobe Origin, Therapy, </w:t>
      </w:r>
      <w:r w:rsidR="00D5664A">
        <w:rPr>
          <w:kern w:val="0"/>
        </w:rPr>
        <w:t>Web</w:t>
      </w:r>
      <w:r w:rsidR="00427468">
        <w:rPr>
          <w:kern w:val="0"/>
        </w:rPr>
        <w:t xml:space="preserve"> of </w:t>
      </w:r>
      <w:r w:rsidR="00D5664A">
        <w:rPr>
          <w:kern w:val="0"/>
        </w:rPr>
        <w:t>Science</w:t>
      </w:r>
      <w:r>
        <w:rPr>
          <w:kern w:val="0"/>
        </w:rPr>
        <w:t>, Women</w:t>
      </w:r>
    </w:p>
    <w:p w:rsidR="00C80D7A" w:rsidRDefault="00C80D7A" w:rsidP="00C80D7A">
      <w:pPr>
        <w:pStyle w:val="a3"/>
        <w:rPr>
          <w:kern w:val="0"/>
        </w:rPr>
      </w:pPr>
      <w:r>
        <w:rPr>
          <w:rFonts w:hint="eastAsia"/>
          <w:kern w:val="0"/>
        </w:rPr>
        <w:t xml:space="preserve">? </w:t>
      </w:r>
      <w:r>
        <w:rPr>
          <w:kern w:val="0"/>
        </w:rPr>
        <w:t>Guralp, O.</w:t>
      </w:r>
      <w:r w:rsidR="005853A9">
        <w:rPr>
          <w:kern w:val="0"/>
        </w:rPr>
        <w:t xml:space="preserve"> and </w:t>
      </w:r>
      <w:r>
        <w:rPr>
          <w:kern w:val="0"/>
        </w:rPr>
        <w:t>Kushner, D.M. (2011), Iatrogenic transtubal spill</w:t>
      </w:r>
      <w:r w:rsidR="00427468">
        <w:rPr>
          <w:kern w:val="0"/>
        </w:rPr>
        <w:t xml:space="preserve"> of </w:t>
      </w:r>
      <w:r>
        <w:rPr>
          <w:kern w:val="0"/>
        </w:rPr>
        <w:t xml:space="preserve">endometrial cancer: Risk or myth. </w:t>
      </w:r>
      <w:r>
        <w:rPr>
          <w:i/>
          <w:iCs/>
          <w:kern w:val="0"/>
        </w:rPr>
        <w:t>Archives</w:t>
      </w:r>
      <w:r w:rsidR="00427468">
        <w:rPr>
          <w:i/>
          <w:iCs/>
          <w:kern w:val="0"/>
        </w:rPr>
        <w:t xml:space="preserve"> of </w:t>
      </w:r>
      <w:r>
        <w:rPr>
          <w:i/>
          <w:iCs/>
          <w:kern w:val="0"/>
        </w:rPr>
        <w:t>Gynecology</w:t>
      </w:r>
      <w:r w:rsidR="005853A9">
        <w:rPr>
          <w:i/>
          <w:iCs/>
          <w:kern w:val="0"/>
        </w:rPr>
        <w:t xml:space="preserve"> and </w:t>
      </w:r>
      <w:r>
        <w:rPr>
          <w:i/>
          <w:iCs/>
          <w:kern w:val="0"/>
        </w:rPr>
        <w:t>Obstetrics</w:t>
      </w:r>
      <w:r>
        <w:rPr>
          <w:kern w:val="0"/>
        </w:rPr>
        <w:t xml:space="preserve">, </w:t>
      </w:r>
      <w:r>
        <w:rPr>
          <w:b/>
          <w:bCs/>
          <w:kern w:val="0"/>
        </w:rPr>
        <w:t>284</w:t>
      </w:r>
      <w:r>
        <w:rPr>
          <w:kern w:val="0"/>
        </w:rPr>
        <w:t xml:space="preserve"> (5), 1209-1221.</w:t>
      </w:r>
    </w:p>
    <w:p w:rsidR="00C80D7A" w:rsidRDefault="00C80D7A" w:rsidP="00C80D7A">
      <w:pPr>
        <w:pStyle w:val="a3"/>
        <w:rPr>
          <w:kern w:val="0"/>
        </w:rPr>
      </w:pPr>
      <w:r>
        <w:rPr>
          <w:rFonts w:hint="eastAsia"/>
          <w:kern w:val="0"/>
        </w:rPr>
        <w:t xml:space="preserve">Full Text: </w:t>
      </w:r>
      <w:hyperlink r:id="rId1127" w:history="1">
        <w:r w:rsidRPr="002E582A">
          <w:rPr>
            <w:rStyle w:val="a5"/>
            <w:kern w:val="0"/>
          </w:rPr>
          <w:t>2011\Arc Gyn Obs284, 1209.pdf</w:t>
        </w:r>
      </w:hyperlink>
    </w:p>
    <w:p w:rsidR="00C80D7A" w:rsidRDefault="00C80D7A" w:rsidP="00C80D7A">
      <w:pPr>
        <w:pStyle w:val="a3"/>
        <w:rPr>
          <w:kern w:val="0"/>
        </w:rPr>
      </w:pPr>
      <w:r>
        <w:rPr>
          <w:kern w:val="0"/>
        </w:rPr>
        <w:t>Abstract: Introduction Although intrauterine procedures are essential for endometrial evaluation in many cases,</w:t>
      </w:r>
      <w:r w:rsidR="003A1917">
        <w:rPr>
          <w:kern w:val="0"/>
        </w:rPr>
        <w:t xml:space="preserve"> the </w:t>
      </w:r>
      <w:r>
        <w:rPr>
          <w:kern w:val="0"/>
        </w:rPr>
        <w:t>significance</w:t>
      </w:r>
      <w:r w:rsidR="00427468">
        <w:rPr>
          <w:kern w:val="0"/>
        </w:rPr>
        <w:t xml:space="preserve"> of </w:t>
      </w:r>
      <w:r w:rsidR="003A1917">
        <w:rPr>
          <w:kern w:val="0"/>
        </w:rPr>
        <w:t xml:space="preserve">the </w:t>
      </w:r>
      <w:r>
        <w:rPr>
          <w:kern w:val="0"/>
        </w:rPr>
        <w:t>amount</w:t>
      </w:r>
      <w:r w:rsidR="00427468">
        <w:rPr>
          <w:kern w:val="0"/>
        </w:rPr>
        <w:t xml:space="preserve"> of </w:t>
      </w:r>
      <w:r>
        <w:rPr>
          <w:kern w:val="0"/>
        </w:rPr>
        <w:t>tumor cell dissemination during these procedures,</w:t>
      </w:r>
      <w:r w:rsidR="003A1917">
        <w:rPr>
          <w:kern w:val="0"/>
        </w:rPr>
        <w:t xml:space="preserve"> the </w:t>
      </w:r>
      <w:r>
        <w:rPr>
          <w:kern w:val="0"/>
        </w:rPr>
        <w:t>viability</w:t>
      </w:r>
      <w:r w:rsidR="005853A9">
        <w:rPr>
          <w:kern w:val="0"/>
        </w:rPr>
        <w:t xml:space="preserve"> and </w:t>
      </w:r>
      <w:r>
        <w:rPr>
          <w:kern w:val="0"/>
        </w:rPr>
        <w:t>invasive potential</w:t>
      </w:r>
      <w:r w:rsidR="00427468">
        <w:rPr>
          <w:kern w:val="0"/>
        </w:rPr>
        <w:t xml:space="preserve"> of </w:t>
      </w:r>
      <w:r w:rsidR="003A1917">
        <w:rPr>
          <w:kern w:val="0"/>
        </w:rPr>
        <w:t xml:space="preserve">the </w:t>
      </w:r>
      <w:r>
        <w:rPr>
          <w:kern w:val="0"/>
        </w:rPr>
        <w:t>endometrial cancer (EC) cells,</w:t>
      </w:r>
      <w:r w:rsidR="005853A9">
        <w:rPr>
          <w:kern w:val="0"/>
        </w:rPr>
        <w:t xml:space="preserve"> and </w:t>
      </w:r>
      <w:r>
        <w:rPr>
          <w:kern w:val="0"/>
        </w:rPr>
        <w:t>their impact on prognosis remain elusive. Materials</w:t>
      </w:r>
      <w:r w:rsidR="005853A9">
        <w:rPr>
          <w:kern w:val="0"/>
        </w:rPr>
        <w:t xml:space="preserve"> and </w:t>
      </w:r>
      <w:r>
        <w:rPr>
          <w:kern w:val="0"/>
        </w:rPr>
        <w:t>methods An extensive search was performed in</w:t>
      </w:r>
      <w:r w:rsidR="003A1917">
        <w:rPr>
          <w:kern w:val="0"/>
        </w:rPr>
        <w:t xml:space="preserve"> the </w:t>
      </w:r>
      <w:r>
        <w:rPr>
          <w:kern w:val="0"/>
        </w:rPr>
        <w:t>Cochrane Central Trials Registry,</w:t>
      </w:r>
      <w:r w:rsidR="003A1917">
        <w:rPr>
          <w:kern w:val="0"/>
        </w:rPr>
        <w:t xml:space="preserve"> the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PubMed for publications about</w:t>
      </w:r>
      <w:r w:rsidR="003A1917">
        <w:rPr>
          <w:kern w:val="0"/>
        </w:rPr>
        <w:t xml:space="preserve"> the </w:t>
      </w:r>
      <w:r>
        <w:rPr>
          <w:kern w:val="0"/>
        </w:rPr>
        <w:t>role</w:t>
      </w:r>
      <w:r w:rsidR="00427468">
        <w:rPr>
          <w:kern w:val="0"/>
        </w:rPr>
        <w:t xml:space="preserve"> of </w:t>
      </w:r>
      <w:r>
        <w:rPr>
          <w:kern w:val="0"/>
        </w:rPr>
        <w:t>hysteroscopy (H/S), saline infusion sonography (SIS)</w:t>
      </w:r>
      <w:r w:rsidR="005853A9">
        <w:rPr>
          <w:kern w:val="0"/>
        </w:rPr>
        <w:t xml:space="preserve"> and </w:t>
      </w:r>
      <w:r>
        <w:rPr>
          <w:kern w:val="0"/>
        </w:rPr>
        <w:t>laparoscopy (L/S) in dissemination</w:t>
      </w:r>
      <w:r w:rsidR="00427468">
        <w:rPr>
          <w:kern w:val="0"/>
        </w:rPr>
        <w:t xml:space="preserve"> of </w:t>
      </w:r>
      <w:r>
        <w:rPr>
          <w:kern w:val="0"/>
        </w:rPr>
        <w:t>EC cells</w:t>
      </w:r>
      <w:r w:rsidR="005853A9">
        <w:rPr>
          <w:kern w:val="0"/>
        </w:rPr>
        <w:t xml:space="preserve"> and </w:t>
      </w:r>
      <w:r>
        <w:rPr>
          <w:kern w:val="0"/>
        </w:rPr>
        <w:t>prognostic significance</w:t>
      </w:r>
      <w:r w:rsidR="00427468">
        <w:rPr>
          <w:kern w:val="0"/>
        </w:rPr>
        <w:t xml:space="preserve"> of </w:t>
      </w:r>
      <w:r>
        <w:rPr>
          <w:kern w:val="0"/>
        </w:rPr>
        <w:t>positive peritoneal washings (PPW), between 1988</w:t>
      </w:r>
      <w:r w:rsidR="005853A9">
        <w:rPr>
          <w:kern w:val="0"/>
        </w:rPr>
        <w:t xml:space="preserve"> and </w:t>
      </w:r>
      <w:r>
        <w:rPr>
          <w:kern w:val="0"/>
        </w:rPr>
        <w:t>2010</w:t>
      </w:r>
      <w:r w:rsidR="005853A9">
        <w:rPr>
          <w:kern w:val="0"/>
        </w:rPr>
        <w:t xml:space="preserve"> and </w:t>
      </w:r>
      <w:r>
        <w:rPr>
          <w:kern w:val="0"/>
        </w:rPr>
        <w:t>English language. All eligible trials were included. Conclusion PPW rates vary between 0-14% after dilatation</w:t>
      </w:r>
      <w:r w:rsidR="005853A9">
        <w:rPr>
          <w:kern w:val="0"/>
        </w:rPr>
        <w:t xml:space="preserve"> and </w:t>
      </w:r>
      <w:r>
        <w:rPr>
          <w:kern w:val="0"/>
        </w:rPr>
        <w:t>curettage (D&amp;C), 0-83% after H/S, 0-10% after L/S</w:t>
      </w:r>
      <w:r w:rsidR="005853A9">
        <w:rPr>
          <w:kern w:val="0"/>
        </w:rPr>
        <w:t xml:space="preserve"> and </w:t>
      </w:r>
      <w:r>
        <w:rPr>
          <w:kern w:val="0"/>
        </w:rPr>
        <w:t>12-52% after SIS</w:t>
      </w:r>
      <w:r w:rsidR="00A37C1D">
        <w:rPr>
          <w:kern w:val="0"/>
        </w:rPr>
        <w:t>. The</w:t>
      </w:r>
      <w:r w:rsidR="003A1917">
        <w:rPr>
          <w:kern w:val="0"/>
        </w:rPr>
        <w:t xml:space="preserve"> </w:t>
      </w:r>
      <w:r>
        <w:rPr>
          <w:kern w:val="0"/>
        </w:rPr>
        <w:t>majority</w:t>
      </w:r>
      <w:r w:rsidR="00427468">
        <w:rPr>
          <w:kern w:val="0"/>
        </w:rPr>
        <w:t xml:space="preserve"> of </w:t>
      </w:r>
      <w:r w:rsidR="003A1917">
        <w:rPr>
          <w:kern w:val="0"/>
        </w:rPr>
        <w:t xml:space="preserve">the </w:t>
      </w:r>
      <w:r>
        <w:rPr>
          <w:kern w:val="0"/>
        </w:rPr>
        <w:t>studies about EC cell dissemination during H/S</w:t>
      </w:r>
      <w:r w:rsidR="005853A9">
        <w:rPr>
          <w:kern w:val="0"/>
        </w:rPr>
        <w:t xml:space="preserve"> and </w:t>
      </w:r>
      <w:r>
        <w:rPr>
          <w:kern w:val="0"/>
        </w:rPr>
        <w:t>SIS suggest that they increase</w:t>
      </w:r>
      <w:r w:rsidR="003A1917">
        <w:rPr>
          <w:kern w:val="0"/>
        </w:rPr>
        <w:t xml:space="preserve"> the </w:t>
      </w:r>
      <w:r>
        <w:rPr>
          <w:kern w:val="0"/>
        </w:rPr>
        <w:t>risk</w:t>
      </w:r>
      <w:r w:rsidR="00427468">
        <w:rPr>
          <w:kern w:val="0"/>
        </w:rPr>
        <w:t xml:space="preserve"> of </w:t>
      </w:r>
      <w:r>
        <w:rPr>
          <w:kern w:val="0"/>
        </w:rPr>
        <w:t>spill</w:t>
      </w:r>
      <w:r w:rsidR="00A37C1D">
        <w:rPr>
          <w:kern w:val="0"/>
        </w:rPr>
        <w:t>. The</w:t>
      </w:r>
      <w:r>
        <w:rPr>
          <w:kern w:val="0"/>
        </w:rPr>
        <w:t>re is not enough evidence to support</w:t>
      </w:r>
      <w:r w:rsidR="003A1917">
        <w:rPr>
          <w:kern w:val="0"/>
        </w:rPr>
        <w:t xml:space="preserve"> the </w:t>
      </w:r>
      <w:r>
        <w:rPr>
          <w:kern w:val="0"/>
        </w:rPr>
        <w:t>association between tumor spill</w:t>
      </w:r>
      <w:r w:rsidR="005853A9">
        <w:rPr>
          <w:kern w:val="0"/>
        </w:rPr>
        <w:t xml:space="preserve"> and </w:t>
      </w:r>
      <w:r>
        <w:rPr>
          <w:kern w:val="0"/>
        </w:rPr>
        <w:t>pressure, type</w:t>
      </w:r>
      <w:r w:rsidR="005853A9">
        <w:rPr>
          <w:kern w:val="0"/>
        </w:rPr>
        <w:t xml:space="preserve"> and </w:t>
      </w:r>
      <w:r>
        <w:rPr>
          <w:kern w:val="0"/>
        </w:rPr>
        <w:t>volume</w:t>
      </w:r>
      <w:r w:rsidR="00427468">
        <w:rPr>
          <w:kern w:val="0"/>
        </w:rPr>
        <w:t xml:space="preserve"> of </w:t>
      </w:r>
      <w:r>
        <w:rPr>
          <w:kern w:val="0"/>
        </w:rPr>
        <w:t>distension medium, duration</w:t>
      </w:r>
      <w:r w:rsidR="00427468">
        <w:rPr>
          <w:kern w:val="0"/>
        </w:rPr>
        <w:t xml:space="preserve"> of </w:t>
      </w:r>
      <w:r w:rsidR="003A1917">
        <w:rPr>
          <w:kern w:val="0"/>
        </w:rPr>
        <w:t xml:space="preserve">the </w:t>
      </w:r>
      <w:r>
        <w:rPr>
          <w:kern w:val="0"/>
        </w:rPr>
        <w:t>procedure, stage, grade</w:t>
      </w:r>
      <w:r w:rsidR="005853A9">
        <w:rPr>
          <w:kern w:val="0"/>
        </w:rPr>
        <w:t xml:space="preserve"> and </w:t>
      </w:r>
      <w:r>
        <w:rPr>
          <w:kern w:val="0"/>
        </w:rPr>
        <w:t>interval between H/S or SIS</w:t>
      </w:r>
      <w:r w:rsidR="005853A9">
        <w:rPr>
          <w:kern w:val="0"/>
        </w:rPr>
        <w:t xml:space="preserve"> and </w:t>
      </w:r>
      <w:r>
        <w:rPr>
          <w:kern w:val="0"/>
        </w:rPr>
        <w:t>laparotomy. Investigation into</w:t>
      </w:r>
      <w:r w:rsidR="003A1917">
        <w:rPr>
          <w:kern w:val="0"/>
        </w:rPr>
        <w:t xml:space="preserve"> the </w:t>
      </w:r>
      <w:r>
        <w:rPr>
          <w:kern w:val="0"/>
        </w:rPr>
        <w:t>rate</w:t>
      </w:r>
      <w:r w:rsidR="00427468">
        <w:rPr>
          <w:kern w:val="0"/>
        </w:rPr>
        <w:t xml:space="preserve"> of </w:t>
      </w:r>
      <w:r>
        <w:rPr>
          <w:kern w:val="0"/>
        </w:rPr>
        <w:t>spill</w:t>
      </w:r>
      <w:r w:rsidR="00427468">
        <w:rPr>
          <w:kern w:val="0"/>
        </w:rPr>
        <w:t xml:space="preserve"> of </w:t>
      </w:r>
      <w:r>
        <w:rPr>
          <w:kern w:val="0"/>
        </w:rPr>
        <w:t>EC cells during laparoscopic surgery is in</w:t>
      </w:r>
      <w:r w:rsidR="003A1917">
        <w:rPr>
          <w:kern w:val="0"/>
        </w:rPr>
        <w:t xml:space="preserve"> the </w:t>
      </w:r>
      <w:r>
        <w:rPr>
          <w:kern w:val="0"/>
        </w:rPr>
        <w:t>early stages</w:t>
      </w:r>
      <w:r w:rsidR="005853A9">
        <w:rPr>
          <w:kern w:val="0"/>
        </w:rPr>
        <w:t xml:space="preserve"> and </w:t>
      </w:r>
      <w:r>
        <w:rPr>
          <w:kern w:val="0"/>
        </w:rPr>
        <w:t>not yet definitive</w:t>
      </w:r>
      <w:r w:rsidR="00A37C1D">
        <w:rPr>
          <w:kern w:val="0"/>
        </w:rPr>
        <w:t>. The</w:t>
      </w:r>
      <w:r>
        <w:rPr>
          <w:kern w:val="0"/>
        </w:rPr>
        <w:t>re are too few in vivo</w:t>
      </w:r>
      <w:r w:rsidR="005853A9">
        <w:rPr>
          <w:kern w:val="0"/>
        </w:rPr>
        <w:t xml:space="preserve"> and </w:t>
      </w:r>
      <w:r>
        <w:rPr>
          <w:kern w:val="0"/>
        </w:rPr>
        <w:t>in vitro studies to comment definitively on</w:t>
      </w:r>
      <w:r w:rsidR="003A1917">
        <w:rPr>
          <w:kern w:val="0"/>
        </w:rPr>
        <w:t xml:space="preserve"> the </w:t>
      </w:r>
      <w:r>
        <w:rPr>
          <w:kern w:val="0"/>
        </w:rPr>
        <w:t>viability</w:t>
      </w:r>
      <w:r w:rsidR="00427468">
        <w:rPr>
          <w:kern w:val="0"/>
        </w:rPr>
        <w:t xml:space="preserve"> of </w:t>
      </w:r>
      <w:r w:rsidR="003A1917">
        <w:rPr>
          <w:kern w:val="0"/>
        </w:rPr>
        <w:t xml:space="preserve">the </w:t>
      </w:r>
      <w:r>
        <w:rPr>
          <w:kern w:val="0"/>
        </w:rPr>
        <w:t>disseminated EC cells</w:t>
      </w:r>
      <w:r w:rsidR="00A37C1D">
        <w:rPr>
          <w:kern w:val="0"/>
        </w:rPr>
        <w:t>. The</w:t>
      </w:r>
      <w:r w:rsidR="003A1917">
        <w:rPr>
          <w:kern w:val="0"/>
        </w:rPr>
        <w:t xml:space="preserve"> </w:t>
      </w:r>
      <w:r>
        <w:rPr>
          <w:kern w:val="0"/>
        </w:rPr>
        <w:t>limited data we do have, however, questions</w:t>
      </w:r>
      <w:r w:rsidR="003A1917">
        <w:rPr>
          <w:kern w:val="0"/>
        </w:rPr>
        <w:t xml:space="preserve"> the </w:t>
      </w:r>
      <w:r>
        <w:rPr>
          <w:kern w:val="0"/>
        </w:rPr>
        <w:t>ability</w:t>
      </w:r>
      <w:r w:rsidR="00427468">
        <w:rPr>
          <w:kern w:val="0"/>
        </w:rPr>
        <w:t xml:space="preserve"> of </w:t>
      </w:r>
      <w:r>
        <w:rPr>
          <w:kern w:val="0"/>
        </w:rPr>
        <w:t>disseminated EC cells to maintain</w:t>
      </w:r>
      <w:r w:rsidR="005853A9">
        <w:rPr>
          <w:kern w:val="0"/>
        </w:rPr>
        <w:t xml:space="preserve"> and </w:t>
      </w:r>
      <w:r>
        <w:rPr>
          <w:kern w:val="0"/>
        </w:rPr>
        <w:t>grow. Most published studies support</w:t>
      </w:r>
      <w:r w:rsidR="003A1917">
        <w:rPr>
          <w:kern w:val="0"/>
        </w:rPr>
        <w:t xml:space="preserve"> the </w:t>
      </w:r>
      <w:r>
        <w:rPr>
          <w:kern w:val="0"/>
        </w:rPr>
        <w:t>idea that prognosis is not affected by PPW in stage I EC</w:t>
      </w:r>
      <w:r w:rsidR="00A37C1D">
        <w:rPr>
          <w:kern w:val="0"/>
        </w:rPr>
        <w:t>. The</w:t>
      </w:r>
      <w:r w:rsidR="003A1917">
        <w:rPr>
          <w:kern w:val="0"/>
        </w:rPr>
        <w:t xml:space="preserve"> </w:t>
      </w:r>
      <w:r>
        <w:rPr>
          <w:kern w:val="0"/>
        </w:rPr>
        <w:t>changes in FIGO 2009 staging</w:t>
      </w:r>
      <w:r w:rsidR="00427468">
        <w:rPr>
          <w:kern w:val="0"/>
        </w:rPr>
        <w:t xml:space="preserve"> of </w:t>
      </w:r>
      <w:r>
        <w:rPr>
          <w:kern w:val="0"/>
        </w:rPr>
        <w:t>EC appears to have merit when considering</w:t>
      </w:r>
      <w:r w:rsidR="003A1917">
        <w:rPr>
          <w:kern w:val="0"/>
        </w:rPr>
        <w:t xml:space="preserve"> the </w:t>
      </w:r>
      <w:r>
        <w:rPr>
          <w:kern w:val="0"/>
        </w:rPr>
        <w:t>sum</w:t>
      </w:r>
      <w:r w:rsidR="00427468">
        <w:rPr>
          <w:kern w:val="0"/>
        </w:rPr>
        <w:t xml:space="preserve"> of </w:t>
      </w:r>
      <w:r w:rsidR="003A1917">
        <w:rPr>
          <w:kern w:val="0"/>
        </w:rPr>
        <w:t xml:space="preserve">the </w:t>
      </w:r>
      <w:r>
        <w:rPr>
          <w:kern w:val="0"/>
        </w:rPr>
        <w:t>data. H/S</w:t>
      </w:r>
      <w:r w:rsidR="005853A9">
        <w:rPr>
          <w:kern w:val="0"/>
        </w:rPr>
        <w:t xml:space="preserve"> and </w:t>
      </w:r>
      <w:r>
        <w:rPr>
          <w:kern w:val="0"/>
        </w:rPr>
        <w:t>SIS probably increase</w:t>
      </w:r>
      <w:r w:rsidR="003A1917">
        <w:rPr>
          <w:kern w:val="0"/>
        </w:rPr>
        <w:t xml:space="preserve"> the </w:t>
      </w:r>
      <w:r>
        <w:rPr>
          <w:kern w:val="0"/>
        </w:rPr>
        <w:t>risk</w:t>
      </w:r>
      <w:r w:rsidR="00427468">
        <w:rPr>
          <w:kern w:val="0"/>
        </w:rPr>
        <w:t xml:space="preserve"> of </w:t>
      </w:r>
      <w:r>
        <w:rPr>
          <w:kern w:val="0"/>
        </w:rPr>
        <w:t>spill, however this increase does not seem effect prognosis. Although peritoneal washings are still expected to be performed, PPW itself does not necessitate additional treatment.</w:t>
      </w:r>
    </w:p>
    <w:p w:rsidR="00C80D7A" w:rsidRDefault="00C80D7A" w:rsidP="00C80D7A">
      <w:pPr>
        <w:pStyle w:val="a3"/>
        <w:rPr>
          <w:kern w:val="0"/>
        </w:rPr>
      </w:pPr>
      <w:r>
        <w:rPr>
          <w:kern w:val="0"/>
        </w:rPr>
        <w:t xml:space="preserve">Keywords: Author, Cancer, Carcinoma-Cells, Cell Seeding, Clinical Stage-I, Cochrane, Diagnostic Hysteroscopy, Dissemination, Endometrial Cancer, Endometrial Carcinoma Cell Dissemination, English, Evaluation, Hysteroscopy, Impact, In Vivo, Laparoscopic Surgery, Laparoscopy, Malignant-Cells, Microscopic Extrauterine </w:t>
      </w:r>
      <w:r>
        <w:rPr>
          <w:kern w:val="0"/>
        </w:rPr>
        <w:lastRenderedPageBreak/>
        <w:t xml:space="preserve">Spread, Office Hysteroscopy, Positive Peritoneal Cytology, Pressure, Prognosis, Prognostic-Significance, Prospective Trial, Publications, Pubmed, Risk, Saline Infusion Sonography, Saline Infusion Sonohysterography, Science, Sonohysterosalphingography, Surgery, Treatment, Turkey, Viability, </w:t>
      </w:r>
      <w:r w:rsidR="00D5664A">
        <w:rPr>
          <w:kern w:val="0"/>
        </w:rPr>
        <w:t>Web</w:t>
      </w:r>
      <w:r w:rsidR="00427468">
        <w:rPr>
          <w:kern w:val="0"/>
        </w:rPr>
        <w:t xml:space="preserve"> of </w:t>
      </w:r>
      <w:r w:rsidR="00D5664A">
        <w:rPr>
          <w:kern w:val="0"/>
        </w:rPr>
        <w:t>Science</w:t>
      </w:r>
    </w:p>
    <w:p w:rsidR="00C37AD8" w:rsidRDefault="00C37AD8" w:rsidP="00C37AD8">
      <w:pPr>
        <w:pStyle w:val="a3"/>
        <w:rPr>
          <w:kern w:val="0"/>
        </w:rPr>
      </w:pPr>
      <w:r>
        <w:rPr>
          <w:rFonts w:hint="eastAsia"/>
          <w:kern w:val="0"/>
        </w:rPr>
        <w:t xml:space="preserve">? </w:t>
      </w:r>
      <w:r>
        <w:rPr>
          <w:kern w:val="0"/>
        </w:rPr>
        <w:t>Ye, Q.</w:t>
      </w:r>
      <w:r w:rsidR="005853A9">
        <w:rPr>
          <w:kern w:val="0"/>
        </w:rPr>
        <w:t xml:space="preserve"> and </w:t>
      </w:r>
      <w:r>
        <w:rPr>
          <w:kern w:val="0"/>
        </w:rPr>
        <w:t>Chen, H.L. (2013), Bevacizumab in the treatment</w:t>
      </w:r>
      <w:r w:rsidR="00427468">
        <w:rPr>
          <w:kern w:val="0"/>
        </w:rPr>
        <w:t xml:space="preserve"> of </w:t>
      </w:r>
      <w:r>
        <w:rPr>
          <w:kern w:val="0"/>
        </w:rPr>
        <w:t xml:space="preserve">ovarian cancer: A meta-analysis from four phase III randomized controlled trials. </w:t>
      </w:r>
      <w:r>
        <w:rPr>
          <w:i/>
          <w:iCs/>
          <w:kern w:val="0"/>
        </w:rPr>
        <w:t>Archives</w:t>
      </w:r>
      <w:r w:rsidR="00427468">
        <w:rPr>
          <w:i/>
          <w:iCs/>
          <w:kern w:val="0"/>
        </w:rPr>
        <w:t xml:space="preserve"> of </w:t>
      </w:r>
      <w:r>
        <w:rPr>
          <w:i/>
          <w:iCs/>
          <w:kern w:val="0"/>
        </w:rPr>
        <w:t>Gynecology</w:t>
      </w:r>
      <w:r w:rsidR="005853A9">
        <w:rPr>
          <w:i/>
          <w:iCs/>
          <w:kern w:val="0"/>
        </w:rPr>
        <w:t xml:space="preserve"> and </w:t>
      </w:r>
      <w:r>
        <w:rPr>
          <w:i/>
          <w:iCs/>
          <w:kern w:val="0"/>
        </w:rPr>
        <w:t>Obstetrics</w:t>
      </w:r>
      <w:r>
        <w:rPr>
          <w:kern w:val="0"/>
        </w:rPr>
        <w:t xml:space="preserve">, </w:t>
      </w:r>
      <w:r>
        <w:rPr>
          <w:b/>
          <w:bCs/>
          <w:kern w:val="0"/>
        </w:rPr>
        <w:t>288</w:t>
      </w:r>
      <w:r>
        <w:rPr>
          <w:kern w:val="0"/>
        </w:rPr>
        <w:t xml:space="preserve"> (3), 655-666.</w:t>
      </w:r>
    </w:p>
    <w:p w:rsidR="00C37AD8" w:rsidRDefault="00C37AD8" w:rsidP="00C37AD8">
      <w:pPr>
        <w:pStyle w:val="a3"/>
        <w:rPr>
          <w:kern w:val="0"/>
        </w:rPr>
      </w:pPr>
      <w:r>
        <w:rPr>
          <w:rFonts w:hint="eastAsia"/>
          <w:kern w:val="0"/>
        </w:rPr>
        <w:t xml:space="preserve">Full Text: </w:t>
      </w:r>
      <w:hyperlink r:id="rId1128" w:history="1">
        <w:r w:rsidRPr="00D673A2">
          <w:rPr>
            <w:rStyle w:val="a5"/>
            <w:kern w:val="0"/>
          </w:rPr>
          <w:t>2013\Arc Gyn Obs288, 655.pdf</w:t>
        </w:r>
      </w:hyperlink>
    </w:p>
    <w:p w:rsidR="00C37AD8" w:rsidRDefault="00C37AD8" w:rsidP="00C37AD8">
      <w:pPr>
        <w:pStyle w:val="a3"/>
        <w:rPr>
          <w:kern w:val="0"/>
        </w:rPr>
      </w:pPr>
      <w:r>
        <w:rPr>
          <w:kern w:val="0"/>
        </w:rPr>
        <w:t>Abstract: The aim</w:t>
      </w:r>
      <w:r w:rsidR="00427468">
        <w:rPr>
          <w:kern w:val="0"/>
        </w:rPr>
        <w:t xml:space="preserve"> of </w:t>
      </w:r>
      <w:r>
        <w:rPr>
          <w:kern w:val="0"/>
        </w:rPr>
        <w:t>this meta-analysis was to summarize the efficacy</w:t>
      </w:r>
      <w:r w:rsidR="005853A9">
        <w:rPr>
          <w:kern w:val="0"/>
        </w:rPr>
        <w:t xml:space="preserve"> and </w:t>
      </w:r>
      <w:r>
        <w:rPr>
          <w:kern w:val="0"/>
        </w:rPr>
        <w:t>safety</w:t>
      </w:r>
      <w:r w:rsidR="00427468">
        <w:rPr>
          <w:kern w:val="0"/>
        </w:rPr>
        <w:t xml:space="preserve"> of </w:t>
      </w:r>
      <w:r>
        <w:rPr>
          <w:kern w:val="0"/>
        </w:rPr>
        <w:t>bevacizumab in the treatment</w:t>
      </w:r>
      <w:r w:rsidR="00427468">
        <w:rPr>
          <w:kern w:val="0"/>
        </w:rPr>
        <w:t xml:space="preserve"> of </w:t>
      </w:r>
      <w:r>
        <w:rPr>
          <w:kern w:val="0"/>
        </w:rPr>
        <w:t>ovarian cancer. We sought to identify randomised controlled trials (RCTs) by searching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Outcomes were objective response rate (ORR), progression-free survival (PFS), overall survival (OS),</w:t>
      </w:r>
      <w:r w:rsidR="005853A9">
        <w:rPr>
          <w:kern w:val="0"/>
        </w:rPr>
        <w:t xml:space="preserve"> and </w:t>
      </w:r>
      <w:r>
        <w:rPr>
          <w:kern w:val="0"/>
        </w:rPr>
        <w:t>adverse events. Four studies with 4,246 patients were included. Combination</w:t>
      </w:r>
      <w:r w:rsidR="00427468">
        <w:rPr>
          <w:kern w:val="0"/>
        </w:rPr>
        <w:t xml:space="preserve"> of </w:t>
      </w:r>
      <w:r>
        <w:rPr>
          <w:kern w:val="0"/>
        </w:rPr>
        <w:t>bevacizumab</w:t>
      </w:r>
      <w:r w:rsidR="005853A9">
        <w:rPr>
          <w:kern w:val="0"/>
        </w:rPr>
        <w:t xml:space="preserve"> and </w:t>
      </w:r>
      <w:r>
        <w:rPr>
          <w:kern w:val="0"/>
        </w:rPr>
        <w:t>chemotherapy resulted in a statistically significant improvement in ORR (OR 2.165, 95 % CI 1.511-3.103)</w:t>
      </w:r>
      <w:r w:rsidR="005853A9">
        <w:rPr>
          <w:kern w:val="0"/>
        </w:rPr>
        <w:t xml:space="preserve"> and </w:t>
      </w:r>
      <w:r>
        <w:rPr>
          <w:kern w:val="0"/>
        </w:rPr>
        <w:t>in PFS (HR 0.691, 95 % CI 0.517-0.865), compared with chemotherapy alone</w:t>
      </w:r>
      <w:r w:rsidR="00A37C1D">
        <w:rPr>
          <w:kern w:val="0"/>
        </w:rPr>
        <w:t>. The</w:t>
      </w:r>
      <w:r>
        <w:rPr>
          <w:kern w:val="0"/>
        </w:rPr>
        <w:t>re was no evidence</w:t>
      </w:r>
      <w:r w:rsidR="00427468">
        <w:rPr>
          <w:kern w:val="0"/>
        </w:rPr>
        <w:t xml:space="preserve"> of </w:t>
      </w:r>
      <w:r>
        <w:rPr>
          <w:kern w:val="0"/>
        </w:rPr>
        <w:t>a significant improvement in OS (HR 0.934, 95 % CI 0.826-1.041). It also had significantly increased risk</w:t>
      </w:r>
      <w:r w:rsidR="00427468">
        <w:rPr>
          <w:kern w:val="0"/>
        </w:rPr>
        <w:t xml:space="preserve"> of </w:t>
      </w:r>
      <w:r>
        <w:rPr>
          <w:kern w:val="0"/>
        </w:rPr>
        <w:t>gastrointestinal events (OR 2.743, 95 % CI 1.580-4.763; P &lt; 0.001), hypertension (OR 4.630, 95 % CI 3.737 to 5.737; P &lt; 0.001), proteinuria (OR 4.872, 95 % CI 2.617-9.069; P &lt; 0.001),</w:t>
      </w:r>
      <w:r w:rsidR="005853A9">
        <w:rPr>
          <w:kern w:val="0"/>
        </w:rPr>
        <w:t xml:space="preserve"> and </w:t>
      </w:r>
      <w:r>
        <w:rPr>
          <w:kern w:val="0"/>
        </w:rPr>
        <w:t>arterial thromboembolism (OR 1.994, 95 % CI 1.210-3.286; P = 0.007). This meta-analysis suggests that the addition</w:t>
      </w:r>
      <w:r w:rsidR="00427468">
        <w:rPr>
          <w:kern w:val="0"/>
        </w:rPr>
        <w:t xml:space="preserve"> of </w:t>
      </w:r>
      <w:r>
        <w:rPr>
          <w:kern w:val="0"/>
        </w:rPr>
        <w:t>bevacizumab to chemotherapy offers meaningful improvement in objective response rate</w:t>
      </w:r>
      <w:r w:rsidR="005853A9">
        <w:rPr>
          <w:kern w:val="0"/>
        </w:rPr>
        <w:t xml:space="preserve"> and </w:t>
      </w:r>
      <w:r>
        <w:rPr>
          <w:kern w:val="0"/>
        </w:rPr>
        <w:t>progression-free survival in ovarian cancer treatment, but does not benefit overall survival. It also significantly increased the occurrence</w:t>
      </w:r>
      <w:r w:rsidR="00427468">
        <w:rPr>
          <w:kern w:val="0"/>
        </w:rPr>
        <w:t xml:space="preserve"> of </w:t>
      </w:r>
      <w:r>
        <w:rPr>
          <w:kern w:val="0"/>
        </w:rPr>
        <w:t>gastrointestinal events, hypertension, proteinuria,</w:t>
      </w:r>
      <w:r w:rsidR="005853A9">
        <w:rPr>
          <w:kern w:val="0"/>
        </w:rPr>
        <w:t xml:space="preserve"> and </w:t>
      </w:r>
      <w:r>
        <w:rPr>
          <w:kern w:val="0"/>
        </w:rPr>
        <w:t>arterial thromboembolism.</w:t>
      </w:r>
    </w:p>
    <w:p w:rsidR="00C37AD8" w:rsidRDefault="00C37AD8" w:rsidP="00C37AD8">
      <w:pPr>
        <w:pStyle w:val="a3"/>
        <w:rPr>
          <w:kern w:val="0"/>
        </w:rPr>
      </w:pPr>
      <w:r>
        <w:rPr>
          <w:kern w:val="0"/>
        </w:rPr>
        <w:t xml:space="preserve">Keywords: Angiogenesis, Antibody, Bevacizumab, Cancer, Cancer Treatment, Chemotherapy, Cyclophosphamide, Efficacy, Endothelial Growth-Factor, Epithelial Ovarian, Events, Evidence, Fallopian-Tube Cancer, Hypertension, Improvement, Meta Analysis, Meta-Analysis, Metaanalysis, Monoclonal Antibodies, Outcomes, Ovarian Cancer, P, Patients, Peritoneal, Phase III, Proteinuria, Pubmed, Randomised, Randomised Controlled Trials, Randomized, Randomized Controlled Trials, Risk, Safety, Science, Survival, Thromboembolism, Treatment, Vascular Endothelial Growth Factor, </w:t>
      </w:r>
      <w:r w:rsidR="00D5664A">
        <w:rPr>
          <w:kern w:val="0"/>
        </w:rPr>
        <w:t>Web</w:t>
      </w:r>
      <w:r w:rsidR="00427468">
        <w:rPr>
          <w:kern w:val="0"/>
        </w:rPr>
        <w:t xml:space="preserve"> of </w:t>
      </w:r>
      <w:r w:rsidR="00D5664A">
        <w:rPr>
          <w:kern w:val="0"/>
        </w:rPr>
        <w:t>Science</w:t>
      </w:r>
    </w:p>
    <w:p w:rsidR="00A323E8" w:rsidRDefault="00A323E8" w:rsidP="00A323E8">
      <w:pPr>
        <w:pStyle w:val="a3"/>
        <w:rPr>
          <w:kern w:val="0"/>
        </w:rPr>
      </w:pPr>
      <w:r>
        <w:rPr>
          <w:rFonts w:hint="eastAsia"/>
          <w:kern w:val="0"/>
        </w:rPr>
        <w:t xml:space="preserve">? </w:t>
      </w:r>
      <w:r>
        <w:rPr>
          <w:kern w:val="0"/>
        </w:rPr>
        <w:t>Shen, W.J., Li, T.R., Hu, Y.J., Liu, H.B.</w:t>
      </w:r>
      <w:r w:rsidR="005853A9">
        <w:rPr>
          <w:kern w:val="0"/>
        </w:rPr>
        <w:t xml:space="preserve"> and </w:t>
      </w:r>
      <w:r>
        <w:rPr>
          <w:kern w:val="0"/>
        </w:rPr>
        <w:t>Song, M. (2014), Common polymorphisms in the CYP1A1</w:t>
      </w:r>
      <w:r w:rsidR="005853A9">
        <w:rPr>
          <w:kern w:val="0"/>
        </w:rPr>
        <w:t xml:space="preserve"> and </w:t>
      </w:r>
      <w:r>
        <w:rPr>
          <w:kern w:val="0"/>
        </w:rPr>
        <w:t>CYP11A1 genes</w:t>
      </w:r>
      <w:r w:rsidR="005853A9">
        <w:rPr>
          <w:kern w:val="0"/>
        </w:rPr>
        <w:t xml:space="preserve"> and </w:t>
      </w:r>
      <w:r>
        <w:rPr>
          <w:kern w:val="0"/>
        </w:rPr>
        <w:t>polycystic ovary syndrome risk: A meta-analysis</w:t>
      </w:r>
      <w:r w:rsidR="005853A9">
        <w:rPr>
          <w:kern w:val="0"/>
        </w:rPr>
        <w:t xml:space="preserve"> and </w:t>
      </w:r>
      <w:r>
        <w:rPr>
          <w:kern w:val="0"/>
        </w:rPr>
        <w:t xml:space="preserve">meta-regression. </w:t>
      </w:r>
      <w:r>
        <w:rPr>
          <w:i/>
          <w:iCs/>
          <w:kern w:val="0"/>
        </w:rPr>
        <w:t>Archives</w:t>
      </w:r>
      <w:r w:rsidR="00427468">
        <w:rPr>
          <w:i/>
          <w:iCs/>
          <w:kern w:val="0"/>
        </w:rPr>
        <w:t xml:space="preserve"> of </w:t>
      </w:r>
      <w:r>
        <w:rPr>
          <w:i/>
          <w:iCs/>
          <w:kern w:val="0"/>
        </w:rPr>
        <w:t>Gynecology</w:t>
      </w:r>
      <w:r w:rsidR="005853A9">
        <w:rPr>
          <w:i/>
          <w:iCs/>
          <w:kern w:val="0"/>
        </w:rPr>
        <w:t xml:space="preserve"> and </w:t>
      </w:r>
      <w:r>
        <w:rPr>
          <w:i/>
          <w:iCs/>
          <w:kern w:val="0"/>
        </w:rPr>
        <w:t>Obstetrics</w:t>
      </w:r>
      <w:r>
        <w:rPr>
          <w:kern w:val="0"/>
        </w:rPr>
        <w:t xml:space="preserve">, </w:t>
      </w:r>
      <w:r>
        <w:rPr>
          <w:b/>
          <w:bCs/>
          <w:kern w:val="0"/>
        </w:rPr>
        <w:t>289</w:t>
      </w:r>
      <w:r>
        <w:rPr>
          <w:kern w:val="0"/>
        </w:rPr>
        <w:t xml:space="preserve"> (1), 107-118.</w:t>
      </w:r>
    </w:p>
    <w:p w:rsidR="00A323E8" w:rsidRDefault="00A323E8" w:rsidP="00A323E8">
      <w:pPr>
        <w:pStyle w:val="a3"/>
        <w:rPr>
          <w:kern w:val="0"/>
        </w:rPr>
      </w:pPr>
      <w:r>
        <w:rPr>
          <w:rFonts w:hint="eastAsia"/>
          <w:kern w:val="0"/>
        </w:rPr>
        <w:t xml:space="preserve">Full Text: </w:t>
      </w:r>
      <w:hyperlink r:id="rId1129" w:history="1">
        <w:r w:rsidRPr="00386AA4">
          <w:rPr>
            <w:rStyle w:val="a5"/>
            <w:kern w:val="0"/>
          </w:rPr>
          <w:t>2014\Arc Gyn Obs289, 107.pdf</w:t>
        </w:r>
      </w:hyperlink>
    </w:p>
    <w:p w:rsidR="00A323E8" w:rsidRDefault="00A323E8" w:rsidP="00A323E8">
      <w:pPr>
        <w:pStyle w:val="a3"/>
        <w:rPr>
          <w:kern w:val="0"/>
        </w:rPr>
      </w:pPr>
      <w:r>
        <w:rPr>
          <w:kern w:val="0"/>
        </w:rPr>
        <w:t xml:space="preserve">Abstract: Increasing scientific evidences suggest that common polymorphisms in the </w:t>
      </w:r>
      <w:r>
        <w:rPr>
          <w:kern w:val="0"/>
        </w:rPr>
        <w:lastRenderedPageBreak/>
        <w:t>CYP1A1</w:t>
      </w:r>
      <w:r w:rsidR="005853A9">
        <w:rPr>
          <w:kern w:val="0"/>
        </w:rPr>
        <w:t xml:space="preserve"> and </w:t>
      </w:r>
      <w:r>
        <w:rPr>
          <w:kern w:val="0"/>
        </w:rPr>
        <w:t>CYP11A1 genes may contribute to the development</w:t>
      </w:r>
      <w:r w:rsidR="005853A9">
        <w:rPr>
          <w:kern w:val="0"/>
        </w:rPr>
        <w:t xml:space="preserve"> and </w:t>
      </w:r>
      <w:r>
        <w:rPr>
          <w:kern w:val="0"/>
        </w:rPr>
        <w:t>progression</w:t>
      </w:r>
      <w:r w:rsidR="00427468">
        <w:rPr>
          <w:kern w:val="0"/>
        </w:rPr>
        <w:t xml:space="preserve"> of </w:t>
      </w:r>
      <w:r>
        <w:rPr>
          <w:kern w:val="0"/>
        </w:rPr>
        <w:t>polycystic ovary syndrome (PCOS), but many existing studies have yielded inconclusive results</w:t>
      </w:r>
      <w:r w:rsidR="00A37C1D">
        <w:rPr>
          <w:kern w:val="0"/>
        </w:rPr>
        <w:t>. The</w:t>
      </w:r>
      <w:r>
        <w:rPr>
          <w:kern w:val="0"/>
        </w:rPr>
        <w:t xml:space="preserve"> aim</w:t>
      </w:r>
      <w:r w:rsidR="00427468">
        <w:rPr>
          <w:kern w:val="0"/>
        </w:rPr>
        <w:t xml:space="preserve"> of </w:t>
      </w:r>
      <w:r>
        <w:rPr>
          <w:kern w:val="0"/>
        </w:rPr>
        <w:t>this study was to perform a meta-analysis</w:t>
      </w:r>
      <w:r w:rsidR="00427468">
        <w:rPr>
          <w:kern w:val="0"/>
        </w:rPr>
        <w:t xml:space="preserve"> of </w:t>
      </w:r>
      <w:r>
        <w:rPr>
          <w:kern w:val="0"/>
        </w:rPr>
        <w:t>published studies on the associations between common polymorphisms in the CYP1A1</w:t>
      </w:r>
      <w:r w:rsidR="005853A9">
        <w:rPr>
          <w:kern w:val="0"/>
        </w:rPr>
        <w:t xml:space="preserve"> and </w:t>
      </w:r>
      <w:r>
        <w:rPr>
          <w:kern w:val="0"/>
        </w:rPr>
        <w:t>CYP11A1 genes</w:t>
      </w:r>
      <w:r w:rsidR="005853A9">
        <w:rPr>
          <w:kern w:val="0"/>
        </w:rPr>
        <w:t xml:space="preserve"> and </w:t>
      </w:r>
      <w:r>
        <w:rPr>
          <w:kern w:val="0"/>
        </w:rPr>
        <w:t>susceptibility to PCOS. An extensive literature search for relevant studies was conducted on PubMed, Embase, Web</w:t>
      </w:r>
      <w:r w:rsidR="00427468">
        <w:rPr>
          <w:kern w:val="0"/>
        </w:rPr>
        <w:t xml:space="preserve"> of </w:t>
      </w:r>
      <w:r>
        <w:rPr>
          <w:kern w:val="0"/>
        </w:rPr>
        <w:t>Science, Cochrane Library,</w:t>
      </w:r>
      <w:r w:rsidR="005853A9">
        <w:rPr>
          <w:kern w:val="0"/>
        </w:rPr>
        <w:t xml:space="preserve"> and </w:t>
      </w:r>
      <w:r>
        <w:rPr>
          <w:kern w:val="0"/>
        </w:rPr>
        <w:t>CBM databases from their inception through 1 June, 2013. This meta-analysis was performed using the STATA 12.0 software</w:t>
      </w:r>
      <w:r w:rsidR="00A37C1D">
        <w:rPr>
          <w:kern w:val="0"/>
        </w:rPr>
        <w:t>. The</w:t>
      </w:r>
      <w:r>
        <w:rPr>
          <w:kern w:val="0"/>
        </w:rPr>
        <w:t xml:space="preserve"> crude risk ratio (RR) with 95 % confidence interval was calculated. Thirteen case-control studies were included in this meta-analysis with a total</w:t>
      </w:r>
      <w:r w:rsidR="00427468">
        <w:rPr>
          <w:kern w:val="0"/>
        </w:rPr>
        <w:t xml:space="preserve"> of </w:t>
      </w:r>
      <w:r>
        <w:rPr>
          <w:kern w:val="0"/>
        </w:rPr>
        <w:t>1,571 PCOS cases</w:t>
      </w:r>
      <w:r w:rsidR="005853A9">
        <w:rPr>
          <w:kern w:val="0"/>
        </w:rPr>
        <w:t xml:space="preserve"> and </w:t>
      </w:r>
      <w:r>
        <w:rPr>
          <w:kern w:val="0"/>
        </w:rPr>
        <w:t>1,918 healthy controls. Our meta-analysis revealed that CYP1A1 MspI (rs4646903 T &gt; C) polymorphism may increase the risk</w:t>
      </w:r>
      <w:r w:rsidR="00427468">
        <w:rPr>
          <w:kern w:val="0"/>
        </w:rPr>
        <w:t xml:space="preserve"> of </w:t>
      </w:r>
      <w:r>
        <w:rPr>
          <w:kern w:val="0"/>
        </w:rPr>
        <w:t>PCOS, especially among Caucasian populations. Furthermore, CYP11A1 microsatellite [TTTA]n repeat polymorphism also showed significant associations with increased risk</w:t>
      </w:r>
      <w:r w:rsidR="00427468">
        <w:rPr>
          <w:kern w:val="0"/>
        </w:rPr>
        <w:t xml:space="preserve"> of </w:t>
      </w:r>
      <w:r>
        <w:rPr>
          <w:kern w:val="0"/>
        </w:rPr>
        <w:t>PCOS among Caucasian populations. However, there was no statistically significant association between CYP1A1 Ile462Val (rs1048943 A &gt; G) polymorphism</w:t>
      </w:r>
      <w:r w:rsidR="005853A9">
        <w:rPr>
          <w:kern w:val="0"/>
        </w:rPr>
        <w:t xml:space="preserve"> and </w:t>
      </w:r>
      <w:r>
        <w:rPr>
          <w:kern w:val="0"/>
        </w:rPr>
        <w:t>PCOS risk. Our meta-analysis suggests that CYP1A1 MspI</w:t>
      </w:r>
      <w:r w:rsidR="005853A9">
        <w:rPr>
          <w:kern w:val="0"/>
        </w:rPr>
        <w:t xml:space="preserve"> and </w:t>
      </w:r>
      <w:r>
        <w:rPr>
          <w:kern w:val="0"/>
        </w:rPr>
        <w:t>CYP11A1 microsatellite [TTTA]n repeat polymorphisms may contribute to increasing susceptibility to PCOS among Caucasian populations. Detection</w:t>
      </w:r>
      <w:r w:rsidR="00427468">
        <w:rPr>
          <w:kern w:val="0"/>
        </w:rPr>
        <w:t xml:space="preserve"> of </w:t>
      </w:r>
      <w:r>
        <w:rPr>
          <w:kern w:val="0"/>
        </w:rPr>
        <w:t>common polymorphisms in the CYP1A1</w:t>
      </w:r>
      <w:r w:rsidR="005853A9">
        <w:rPr>
          <w:kern w:val="0"/>
        </w:rPr>
        <w:t xml:space="preserve"> and </w:t>
      </w:r>
      <w:r>
        <w:rPr>
          <w:kern w:val="0"/>
        </w:rPr>
        <w:t>CYP11A1 genes might be promising biomarkers for the diagnosis</w:t>
      </w:r>
      <w:r w:rsidR="005853A9">
        <w:rPr>
          <w:kern w:val="0"/>
        </w:rPr>
        <w:t xml:space="preserve"> and </w:t>
      </w:r>
      <w:r>
        <w:rPr>
          <w:kern w:val="0"/>
        </w:rPr>
        <w:t>prognosis</w:t>
      </w:r>
      <w:r w:rsidR="00427468">
        <w:rPr>
          <w:kern w:val="0"/>
        </w:rPr>
        <w:t xml:space="preserve"> of </w:t>
      </w:r>
      <w:r>
        <w:rPr>
          <w:kern w:val="0"/>
        </w:rPr>
        <w:t>PCOS.</w:t>
      </w:r>
    </w:p>
    <w:p w:rsidR="00A323E8" w:rsidRDefault="00A323E8" w:rsidP="00A323E8">
      <w:pPr>
        <w:pStyle w:val="a3"/>
        <w:rPr>
          <w:kern w:val="0"/>
        </w:rPr>
      </w:pPr>
      <w:r>
        <w:rPr>
          <w:kern w:val="0"/>
        </w:rPr>
        <w:t>Keywords: Association, Biomarkers, Cancer Susceptibility, Case-Control, Case-Control Studies, Caucasian, Chinese Women, Confidence, C</w:t>
      </w:r>
      <w:r w:rsidR="00582DE3">
        <w:rPr>
          <w:kern w:val="0"/>
        </w:rPr>
        <w:t>YP11A1, CYP1A</w:t>
      </w:r>
      <w:r>
        <w:rPr>
          <w:kern w:val="0"/>
        </w:rPr>
        <w:t>1, Databases, Development, Diagnosis, Genes, Heterogeneity, Hyperandrogenemia, Interval, Literature, Literature Search, Meta Analysis, Meta-Analysis, Meta-Regression, Metaanalysis, Microsatellite, Ovary, Polycystic Ovary Syndrome, Polymorphism, Polymorphisms, Populations, Prognosis, Progression, Promoter, Pubmed, Risk, Scale, Science, Side-Chain Cleavage, Software, Syndrome, Syndrome PCOS, Web</w:t>
      </w:r>
      <w:r w:rsidR="00427468">
        <w:rPr>
          <w:kern w:val="0"/>
        </w:rPr>
        <w:t xml:space="preserve"> of </w:t>
      </w:r>
      <w:r>
        <w:rPr>
          <w:kern w:val="0"/>
        </w:rPr>
        <w:t>Science</w:t>
      </w:r>
    </w:p>
    <w:p w:rsidR="0082380E" w:rsidRDefault="0082380E" w:rsidP="0082380E">
      <w:pPr>
        <w:pStyle w:val="a3"/>
        <w:rPr>
          <w:kern w:val="0"/>
        </w:rPr>
      </w:pPr>
      <w:r>
        <w:rPr>
          <w:rFonts w:hint="eastAsia"/>
          <w:kern w:val="0"/>
        </w:rPr>
        <w:t xml:space="preserve">? </w:t>
      </w:r>
      <w:r>
        <w:rPr>
          <w:kern w:val="0"/>
        </w:rPr>
        <w:t xml:space="preserve">Medeiros, L.R., Rosa, M.I., Silva, B.R., Reis, M.E., Simon, C.S., Dondossola, E.R. and da Cunha, J.S. (2015), Accuracy of magnetic resonance in deeply infiltrating endometriosis: A systematic review and meta-analysis. </w:t>
      </w:r>
      <w:r>
        <w:rPr>
          <w:i/>
          <w:iCs/>
          <w:kern w:val="0"/>
        </w:rPr>
        <w:t>Archives of Gynecology and Obstetrics</w:t>
      </w:r>
      <w:r>
        <w:rPr>
          <w:kern w:val="0"/>
        </w:rPr>
        <w:t xml:space="preserve">, </w:t>
      </w:r>
      <w:r>
        <w:rPr>
          <w:b/>
          <w:bCs/>
          <w:kern w:val="0"/>
        </w:rPr>
        <w:t>291</w:t>
      </w:r>
      <w:r>
        <w:rPr>
          <w:kern w:val="0"/>
        </w:rPr>
        <w:t xml:space="preserve"> (3), 611-621.</w:t>
      </w:r>
    </w:p>
    <w:p w:rsidR="0082380E" w:rsidRDefault="0082380E" w:rsidP="0082380E">
      <w:pPr>
        <w:pStyle w:val="a3"/>
        <w:rPr>
          <w:kern w:val="0"/>
        </w:rPr>
      </w:pPr>
      <w:r>
        <w:rPr>
          <w:rFonts w:hint="eastAsia"/>
          <w:kern w:val="0"/>
        </w:rPr>
        <w:t xml:space="preserve">Full Text: </w:t>
      </w:r>
      <w:hyperlink r:id="rId1130" w:history="1">
        <w:r w:rsidRPr="00953AFB">
          <w:rPr>
            <w:rStyle w:val="a5"/>
            <w:kern w:val="0"/>
          </w:rPr>
          <w:t>2015\Arc Gyn Obs291, 611.pdf</w:t>
        </w:r>
      </w:hyperlink>
    </w:p>
    <w:p w:rsidR="0082380E" w:rsidRDefault="0082380E" w:rsidP="0082380E">
      <w:pPr>
        <w:pStyle w:val="a3"/>
        <w:rPr>
          <w:kern w:val="0"/>
        </w:rPr>
      </w:pPr>
      <w:r>
        <w:rPr>
          <w:kern w:val="0"/>
        </w:rPr>
        <w:t xml:space="preserve">Abstract: To estimate the accuracy of pelvic magnetic resonance imaging (MRI) in the diagnosis of deeply infiltrating endometriosis (DIE). A comprehensive search of the Medline, Pubmed, Lilacs, Scopus, Embase, Cochrane Central Register of Controlled Trials (CENTRAL), Biomed Central, and ISI Web of Science databases was conducted from January 1990 to December 2013. The medical subject headings </w:t>
      </w:r>
      <w:r>
        <w:rPr>
          <w:kern w:val="0"/>
        </w:rPr>
        <w:lastRenderedPageBreak/>
        <w:t>(MeSHs) and text words “deep endometriosis”, “deeply infiltrating endometriosis”, “DIE”, “magnetic resonance”, and “MRI” were searched. Studies that compared the parameters of pelvic MRIs with those of paraffin-embedded sections for the diagnosis of DIE were included. Twenty studies were analyzed, which included 1,819 women. Pooled sensitivity and specificity were calculated across eight subgroups: for all sites, these were 0.83 and 0.90, respectively; for the bladder, 0.64 and 0.98, respectively; for the intestine, 0.84 and 0.97, respectively; for the pouch of Douglas, 0.89 and 0.94, respectively; for the rectosigmoid, 0.83 and 0.88, respectively; for the rectovaginal, 0.77 and 0.95, respectively; for the uterosacral ligaments, 0.85 and 0.80, respectively; and for the vagina and the posterior vaginal fornix, 0.82 and 0.82, respectively. In summary, pelvic MRI is a useful preoperative test for predicting the diagnosis of multiple sites of deep infiltrating endometriosis.</w:t>
      </w:r>
    </w:p>
    <w:p w:rsidR="0082380E" w:rsidRDefault="0082380E" w:rsidP="0082380E">
      <w:pPr>
        <w:pStyle w:val="a3"/>
        <w:rPr>
          <w:kern w:val="0"/>
        </w:rPr>
      </w:pPr>
      <w:r>
        <w:rPr>
          <w:kern w:val="0"/>
        </w:rPr>
        <w:t>Keywords: Accuracy, Bladder, Clinical Examination, Databases, Deep Infiltrating Endometriosis, Deeply Infiltrating Endometriosis, Diagnosis, Die, Endometriosis, From, Imaging, Intestine, Isi, Isi Web Of Science, Isi Web Of Science Databases, Location, Magnetic, Magnetic Resonance, Magnetic Resonance Imaging, Mar, Medical, Medical Subject Headings, Medline, Meta Analysis, Meta-Analysis, Metaanalysis, Mri, Pelvic, Pelvic Endometriosis, Preoperative, Preoperative Diagnosis, Quadas-2, Rectovaginal Endometriosis, Review, Science, Scopus, Sensitivity, Specificity, Systematic, Systematic Review, Tests, Tool, Transvaginal Sonography, Ultrasonography, Vagina, Vaginal, Web, Web Of Science, Web Of Science Databases, Women</w:t>
      </w:r>
    </w:p>
    <w:p w:rsidR="003474F2" w:rsidRPr="001A3D2B" w:rsidRDefault="003474F2" w:rsidP="003474F2">
      <w:pPr>
        <w:pStyle w:val="1"/>
      </w:pPr>
      <w:r w:rsidRPr="001A3D2B">
        <w:br w:type="page"/>
      </w:r>
      <w:bookmarkStart w:id="575" w:name="_Toc420814576"/>
      <w:r w:rsidRPr="001A3D2B">
        <w:lastRenderedPageBreak/>
        <w:t>Title: Archives</w:t>
      </w:r>
      <w:r w:rsidR="00427468">
        <w:t xml:space="preserve"> of </w:t>
      </w:r>
      <w:r w:rsidRPr="001A3D2B">
        <w:t>History</w:t>
      </w:r>
      <w:r w:rsidR="00427468">
        <w:t xml:space="preserve"> of </w:t>
      </w:r>
      <w:r w:rsidRPr="001A3D2B">
        <w:t>Exact Sciences</w:t>
      </w:r>
      <w:bookmarkEnd w:id="575"/>
    </w:p>
    <w:p w:rsidR="003474F2" w:rsidRPr="001A3D2B" w:rsidRDefault="003474F2" w:rsidP="003474F2">
      <w:pPr>
        <w:pStyle w:val="12"/>
      </w:pPr>
      <w:r w:rsidRPr="001A3D2B">
        <w:t>Full Journal Title: Archives</w:t>
      </w:r>
      <w:r w:rsidR="00427468">
        <w:t xml:space="preserve"> of </w:t>
      </w:r>
      <w:r w:rsidRPr="001A3D2B">
        <w:t>History</w:t>
      </w:r>
      <w:r w:rsidR="00427468">
        <w:t xml:space="preserve"> of </w:t>
      </w:r>
      <w:r w:rsidRPr="001A3D2B">
        <w:t>Exact Sciences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MModel</w:t>
      </w:r>
    </w:p>
    <w:p w:rsidR="003474F2" w:rsidRPr="001A3D2B" w:rsidRDefault="003474F2" w:rsidP="003474F2">
      <w:pPr>
        <w:pStyle w:val="a3"/>
      </w:pPr>
      <w:r w:rsidRPr="001A3D2B">
        <w:t>? Fisher, C.S. (1966</w:t>
      </w:r>
      <w:r w:rsidR="00F42EAC">
        <w:t>), The</w:t>
      </w:r>
      <w:r w:rsidR="003A1917">
        <w:t xml:space="preserve"> </w:t>
      </w:r>
      <w:r w:rsidRPr="001A3D2B">
        <w:t>death</w:t>
      </w:r>
      <w:r w:rsidR="00427468">
        <w:t xml:space="preserve"> of </w:t>
      </w:r>
      <w:r w:rsidRPr="001A3D2B">
        <w:t>mathematical theory: A study in</w:t>
      </w:r>
      <w:r w:rsidR="003A1917">
        <w:t xml:space="preserve"> the </w:t>
      </w:r>
      <w:r w:rsidRPr="001A3D2B">
        <w:t>ssociology</w:t>
      </w:r>
      <w:r w:rsidR="00427468">
        <w:t xml:space="preserve"> of </w:t>
      </w:r>
      <w:r w:rsidRPr="001A3D2B">
        <w:t xml:space="preserve">knowledge. </w:t>
      </w:r>
      <w:r w:rsidRPr="001A3D2B">
        <w:rPr>
          <w:i/>
          <w:iCs/>
        </w:rPr>
        <w:t>Archives</w:t>
      </w:r>
      <w:r w:rsidR="00427468">
        <w:rPr>
          <w:i/>
          <w:iCs/>
        </w:rPr>
        <w:t xml:space="preserve"> of </w:t>
      </w:r>
      <w:r w:rsidRPr="001A3D2B">
        <w:rPr>
          <w:i/>
          <w:iCs/>
        </w:rPr>
        <w:t>History</w:t>
      </w:r>
      <w:r w:rsidR="00427468">
        <w:rPr>
          <w:i/>
          <w:iCs/>
        </w:rPr>
        <w:t xml:space="preserve"> of </w:t>
      </w:r>
      <w:r w:rsidRPr="001A3D2B">
        <w:rPr>
          <w:i/>
          <w:iCs/>
        </w:rPr>
        <w:t>Exact Sciences</w:t>
      </w:r>
      <w:r w:rsidRPr="001A3D2B">
        <w:t xml:space="preserve">, </w:t>
      </w:r>
      <w:r w:rsidRPr="001A3D2B">
        <w:rPr>
          <w:b/>
          <w:bCs/>
        </w:rPr>
        <w:t>3</w:t>
      </w:r>
      <w:r w:rsidRPr="001A3D2B">
        <w:t>, 137-159.</w:t>
      </w:r>
    </w:p>
    <w:p w:rsidR="003474F2" w:rsidRPr="001A3D2B" w:rsidRDefault="003474F2" w:rsidP="003474F2">
      <w:pPr>
        <w:pStyle w:val="1"/>
      </w:pPr>
      <w:r w:rsidRPr="001A3D2B">
        <w:br w:type="page"/>
      </w:r>
      <w:bookmarkStart w:id="576" w:name="_Toc420814577"/>
      <w:r w:rsidRPr="001A3D2B">
        <w:lastRenderedPageBreak/>
        <w:t>Title: Archives</w:t>
      </w:r>
      <w:r w:rsidR="00427468">
        <w:t xml:space="preserve"> of </w:t>
      </w:r>
      <w:r w:rsidRPr="001A3D2B">
        <w:t>Internal Medicine</w:t>
      </w:r>
      <w:bookmarkEnd w:id="576"/>
    </w:p>
    <w:p w:rsidR="003474F2" w:rsidRPr="001A3D2B" w:rsidRDefault="003474F2" w:rsidP="003474F2">
      <w:pPr>
        <w:pStyle w:val="12"/>
      </w:pPr>
      <w:r w:rsidRPr="001A3D2B">
        <w:t>Full Jour</w:t>
      </w:r>
      <w:bookmarkStart w:id="577" w:name="_Toc81215621"/>
      <w:r w:rsidRPr="001A3D2B">
        <w:t xml:space="preserve">nal Title: </w:t>
      </w:r>
      <w:r w:rsidR="00206C8A">
        <w:fldChar w:fldCharType="begin"/>
      </w:r>
      <w:r w:rsidR="00FD158B">
        <w:instrText>HYPERLINK "http://archin</w:instrText>
      </w:r>
      <w:bookmarkEnd w:id="577"/>
      <w:r w:rsidR="00FD158B">
        <w:instrText>te.ama-assn.org/"</w:instrText>
      </w:r>
      <w:r w:rsidR="00206C8A">
        <w:fldChar w:fldCharType="separate"/>
      </w:r>
      <w:r w:rsidRPr="001A3D2B">
        <w:rPr>
          <w:rStyle w:val="a5"/>
        </w:rPr>
        <w:t>Archives</w:t>
      </w:r>
      <w:r w:rsidR="00427468">
        <w:rPr>
          <w:rStyle w:val="a5"/>
        </w:rPr>
        <w:t xml:space="preserve"> of </w:t>
      </w:r>
      <w:r w:rsidRPr="001A3D2B">
        <w:rPr>
          <w:rStyle w:val="a5"/>
        </w:rPr>
        <w:t>Internal Medicine</w:t>
      </w:r>
      <w:r w:rsidR="00206C8A">
        <w:fldChar w:fldCharType="end"/>
      </w:r>
    </w:p>
    <w:p w:rsidR="003474F2" w:rsidRPr="001A3D2B" w:rsidRDefault="003474F2" w:rsidP="003474F2">
      <w:pPr>
        <w:pStyle w:val="12"/>
      </w:pPr>
      <w:r w:rsidRPr="001A3D2B">
        <w:t>ISO Abbreviated Title: Arch. Intern. Med.</w:t>
      </w:r>
    </w:p>
    <w:p w:rsidR="003474F2" w:rsidRPr="001A3D2B" w:rsidRDefault="003474F2" w:rsidP="003474F2">
      <w:pPr>
        <w:pStyle w:val="12"/>
      </w:pPr>
      <w:r w:rsidRPr="001A3D2B">
        <w:t>JCR Abbreviated Title: Arch Intern Med</w:t>
      </w:r>
    </w:p>
    <w:p w:rsidR="003474F2" w:rsidRPr="001A3D2B" w:rsidRDefault="003474F2" w:rsidP="003474F2">
      <w:pPr>
        <w:pStyle w:val="12"/>
      </w:pPr>
      <w:r w:rsidRPr="001A3D2B">
        <w:t>ISSN: 0003-9926</w:t>
      </w:r>
    </w:p>
    <w:p w:rsidR="003474F2" w:rsidRPr="001A3D2B" w:rsidRDefault="003474F2" w:rsidP="003474F2">
      <w:pPr>
        <w:pStyle w:val="12"/>
      </w:pPr>
      <w:r w:rsidRPr="001A3D2B">
        <w:t>Issues/Year: 22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Medical Assoc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515 N State St</w:t>
          </w:r>
        </w:smartTag>
        <w:r w:rsidRPr="001A3D2B">
          <w:t xml:space="preserve">, </w:t>
        </w:r>
        <w:smartTag w:uri="urn:schemas-microsoft-com:office:smarttags" w:element="City">
          <w:r w:rsidRPr="001A3D2B">
            <w:t>Chicago</w:t>
          </w:r>
        </w:smartTag>
        <w:r w:rsidRPr="001A3D2B">
          <w:t xml:space="preserve">, </w:t>
        </w:r>
        <w:smartTag w:uri="urn:schemas-microsoft-com:office:smarttags" w:element="State">
          <w:r w:rsidRPr="001A3D2B">
            <w:t>IL</w:t>
          </w:r>
        </w:smartTag>
        <w:r w:rsidRPr="001A3D2B">
          <w:t xml:space="preserve"> </w:t>
        </w:r>
        <w:smartTag w:uri="urn:schemas-microsoft-com:office:smarttags" w:element="PostalCode">
          <w:r w:rsidRPr="001A3D2B">
            <w:t>60610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Medicine, General &amp; Internal: Impact Factor 6.749 (2002)</w:t>
      </w:r>
    </w:p>
    <w:p w:rsidR="003474F2" w:rsidRPr="001A3D2B" w:rsidRDefault="003474F2" w:rsidP="003474F2">
      <w:pPr>
        <w:pStyle w:val="a3"/>
      </w:pPr>
      <w:r w:rsidRPr="001A3D2B">
        <w:t>? Khan, K.S., Daya, S.</w:t>
      </w:r>
      <w:r w:rsidR="005853A9">
        <w:t xml:space="preserve"> and </w:t>
      </w:r>
      <w:r w:rsidRPr="001A3D2B">
        <w:t>Jadad, A.R. (1996</w:t>
      </w:r>
      <w:r w:rsidR="00F42EAC">
        <w:t>), The</w:t>
      </w:r>
      <w:r w:rsidR="003A1917">
        <w:t xml:space="preserve"> </w:t>
      </w:r>
      <w:r w:rsidRPr="001A3D2B">
        <w:t>importance</w:t>
      </w:r>
      <w:r w:rsidR="00427468">
        <w:t xml:space="preserve"> of </w:t>
      </w:r>
      <w:r w:rsidRPr="001A3D2B">
        <w:t>quality</w:t>
      </w:r>
      <w:r w:rsidR="00427468">
        <w:t xml:space="preserve"> of </w:t>
      </w:r>
      <w:r w:rsidRPr="001A3D2B">
        <w:t xml:space="preserve">primary studies in producing unbiased systematic reviews. </w:t>
      </w:r>
      <w:r w:rsidRPr="001A3D2B">
        <w:rPr>
          <w:i/>
          <w:iCs/>
        </w:rPr>
        <w:t>Archives</w:t>
      </w:r>
      <w:r w:rsidR="00427468">
        <w:rPr>
          <w:i/>
          <w:iCs/>
        </w:rPr>
        <w:t xml:space="preserve"> of </w:t>
      </w:r>
      <w:r w:rsidRPr="001A3D2B">
        <w:rPr>
          <w:i/>
          <w:iCs/>
        </w:rPr>
        <w:t>Internal Medicine</w:t>
      </w:r>
      <w:r w:rsidRPr="001A3D2B">
        <w:t xml:space="preserve">, </w:t>
      </w:r>
      <w:r w:rsidRPr="001A3D2B">
        <w:rPr>
          <w:b/>
          <w:bCs/>
        </w:rPr>
        <w:t>156</w:t>
      </w:r>
      <w:r w:rsidRPr="001A3D2B">
        <w:t xml:space="preserve"> (6), 661-666.</w:t>
      </w:r>
    </w:p>
    <w:p w:rsidR="003474F2" w:rsidRPr="001A3D2B" w:rsidRDefault="003474F2" w:rsidP="003474F2">
      <w:pPr>
        <w:pStyle w:val="a3"/>
      </w:pPr>
      <w:r w:rsidRPr="001A3D2B">
        <w:t xml:space="preserve">Full Text: </w:t>
      </w:r>
      <w:hyperlink r:id="rId1131" w:history="1">
        <w:r w:rsidRPr="001A3D2B">
          <w:rPr>
            <w:rStyle w:val="a5"/>
          </w:rPr>
          <w:t>1996\Arc Int Med156, 661.pdf</w:t>
        </w:r>
      </w:hyperlink>
    </w:p>
    <w:p w:rsidR="003474F2" w:rsidRPr="001A3D2B" w:rsidRDefault="003474F2" w:rsidP="003474F2">
      <w:pPr>
        <w:pStyle w:val="a3"/>
      </w:pPr>
      <w:r w:rsidRPr="001A3D2B">
        <w:t>Abstract: Background: Traditional</w:t>
      </w:r>
      <w:r w:rsidR="005853A9">
        <w:t xml:space="preserve"> and </w:t>
      </w:r>
      <w:r w:rsidRPr="001A3D2B">
        <w:t>largely qualitative reviews</w:t>
      </w:r>
      <w:r w:rsidR="00427468">
        <w:t xml:space="preserve"> of </w:t>
      </w:r>
      <w:r w:rsidRPr="001A3D2B">
        <w:t>evidence are now giving way to much more structured systematic overviews that use a quantitative method to calculate</w:t>
      </w:r>
      <w:r w:rsidR="003A1917">
        <w:t xml:space="preserve"> the </w:t>
      </w:r>
      <w:r w:rsidRPr="001A3D2B">
        <w:t>overall effect</w:t>
      </w:r>
      <w:r w:rsidR="00427468">
        <w:t xml:space="preserve"> of </w:t>
      </w:r>
      <w:r w:rsidRPr="001A3D2B">
        <w:t>treatment</w:t>
      </w:r>
      <w:r w:rsidR="00A37C1D">
        <w:t>. The</w:t>
      </w:r>
      <w:r w:rsidR="003A1917">
        <w:t xml:space="preserve"> </w:t>
      </w:r>
      <w:r w:rsidRPr="001A3D2B">
        <w:t>latter approach is dependent on</w:t>
      </w:r>
      <w:r w:rsidR="003A1917">
        <w:t xml:space="preserve"> the </w:t>
      </w:r>
      <w:r w:rsidRPr="001A3D2B">
        <w:t>quality</w:t>
      </w:r>
      <w:r w:rsidR="00427468">
        <w:t xml:space="preserve"> of </w:t>
      </w:r>
      <w:r w:rsidRPr="001A3D2B">
        <w:t>primary studies, which may introduce bias if they are</w:t>
      </w:r>
      <w:r w:rsidR="00427468">
        <w:t xml:space="preserve"> of </w:t>
      </w:r>
      <w:r w:rsidRPr="001A3D2B">
        <w:t>poor methodologic quality.</w:t>
      </w:r>
    </w:p>
    <w:p w:rsidR="003474F2" w:rsidRPr="001A3D2B" w:rsidRDefault="003474F2" w:rsidP="003474F2">
      <w:pPr>
        <w:pStyle w:val="a3"/>
      </w:pPr>
      <w:r w:rsidRPr="001A3D2B">
        <w:t>Objective: To test</w:t>
      </w:r>
      <w:r w:rsidR="003A1917">
        <w:t xml:space="preserve"> the </w:t>
      </w:r>
      <w:r w:rsidRPr="001A3D2B">
        <w:t>hypothesis that</w:t>
      </w:r>
      <w:r w:rsidR="003A1917">
        <w:t xml:space="preserve"> the </w:t>
      </w:r>
      <w:r w:rsidRPr="001A3D2B">
        <w:t>inclusion</w:t>
      </w:r>
      <w:r w:rsidR="00427468">
        <w:t xml:space="preserve"> of </w:t>
      </w:r>
      <w:r w:rsidRPr="001A3D2B">
        <w:t>poor-quality trials in meta-analyses would bias</w:t>
      </w:r>
      <w:r w:rsidR="003A1917">
        <w:t xml:space="preserve"> the </w:t>
      </w:r>
      <w:r w:rsidRPr="001A3D2B">
        <w:t>conclusions</w:t>
      </w:r>
      <w:r w:rsidR="005853A9">
        <w:t xml:space="preserve"> and </w:t>
      </w:r>
      <w:r w:rsidRPr="001A3D2B">
        <w:t>produce incorrect estimates</w:t>
      </w:r>
      <w:r w:rsidR="00427468">
        <w:t xml:space="preserve"> of </w:t>
      </w:r>
      <w:r w:rsidRPr="001A3D2B">
        <w:t>treatment effect.</w:t>
      </w:r>
    </w:p>
    <w:p w:rsidR="003474F2" w:rsidRPr="001A3D2B" w:rsidRDefault="003474F2" w:rsidP="003474F2">
      <w:pPr>
        <w:pStyle w:val="a3"/>
      </w:pPr>
      <w:r w:rsidRPr="001A3D2B">
        <w:t>Methods: An overview</w:t>
      </w:r>
      <w:r w:rsidR="00427468">
        <w:t xml:space="preserve"> of </w:t>
      </w:r>
      <w:r w:rsidRPr="001A3D2B">
        <w:t>randomized trials</w:t>
      </w:r>
      <w:r w:rsidR="00427468">
        <w:t xml:space="preserve"> of </w:t>
      </w:r>
      <w:r w:rsidRPr="001A3D2B">
        <w:t>antiestrogen therapy in subfertile men with oligospermia was performed to test</w:t>
      </w:r>
      <w:r w:rsidR="003A1917">
        <w:t xml:space="preserve"> the </w:t>
      </w:r>
      <w:r w:rsidRPr="001A3D2B">
        <w:t>hypothesis. Data sources included online searching</w:t>
      </w:r>
      <w:r w:rsidR="00427468">
        <w:t xml:space="preserve"> of </w:t>
      </w:r>
      <w:r w:rsidR="00D5664A">
        <w:t>MEDLINE</w:t>
      </w:r>
      <w:r w:rsidR="005853A9">
        <w:t xml:space="preserve"> and </w:t>
      </w:r>
      <w:r w:rsidRPr="001A3D2B">
        <w:t>Science Citation Index databases between 1966</w:t>
      </w:r>
      <w:r w:rsidR="005853A9">
        <w:t xml:space="preserve"> and </w:t>
      </w:r>
      <w:r w:rsidRPr="001A3D2B">
        <w:t>1994, scanning</w:t>
      </w:r>
      <w:r w:rsidR="003A1917">
        <w:t xml:space="preserve"> the </w:t>
      </w:r>
      <w:r w:rsidRPr="001A3D2B">
        <w:t>bibliography</w:t>
      </w:r>
      <w:r w:rsidR="00427468">
        <w:t xml:space="preserve"> of </w:t>
      </w:r>
      <w:r w:rsidRPr="001A3D2B">
        <w:t>known primary studies</w:t>
      </w:r>
      <w:r w:rsidR="005853A9">
        <w:t xml:space="preserve"> and </w:t>
      </w:r>
      <w:r w:rsidRPr="001A3D2B">
        <w:t>review articles,</w:t>
      </w:r>
      <w:r w:rsidR="005853A9">
        <w:t xml:space="preserve"> and </w:t>
      </w:r>
      <w:r w:rsidRPr="001A3D2B">
        <w:t>contacting experts in</w:t>
      </w:r>
      <w:r w:rsidR="003A1917">
        <w:t xml:space="preserve"> the </w:t>
      </w:r>
      <w:r w:rsidRPr="001A3D2B">
        <w:t>field. After independent, blind assessment, nine</w:t>
      </w:r>
      <w:r w:rsidR="00427468">
        <w:t xml:space="preserve"> of </w:t>
      </w:r>
      <w:r w:rsidRPr="001A3D2B">
        <w:t>149 originally identified studies met</w:t>
      </w:r>
      <w:r w:rsidR="003A1917">
        <w:t xml:space="preserve"> the </w:t>
      </w:r>
      <w:r w:rsidRPr="001A3D2B">
        <w:t>inclusion criteria</w:t>
      </w:r>
      <w:r w:rsidR="005853A9">
        <w:t xml:space="preserve"> and </w:t>
      </w:r>
      <w:r w:rsidRPr="001A3D2B">
        <w:t>were selected. We assessed study quality independently. Outcome data from each study were pooled</w:t>
      </w:r>
      <w:r w:rsidR="005853A9">
        <w:t xml:space="preserve"> and </w:t>
      </w:r>
      <w:r w:rsidRPr="001A3D2B">
        <w:t>statistically summarized.</w:t>
      </w:r>
    </w:p>
    <w:p w:rsidR="003474F2" w:rsidRPr="001A3D2B" w:rsidRDefault="003474F2" w:rsidP="003474F2">
      <w:pPr>
        <w:pStyle w:val="a3"/>
      </w:pPr>
      <w:r w:rsidRPr="001A3D2B">
        <w:t>Results: There was a marginal improvement in pregnancy rate with antiestrogen treatment (odds ratio, 1.6; 95% confidence interval, 0.9 to 2.6). Sensitivity analyses on</w:t>
      </w:r>
      <w:r w:rsidR="003A1917">
        <w:t xml:space="preserve"> the </w:t>
      </w:r>
      <w:r w:rsidRPr="001A3D2B">
        <w:t>basis</w:t>
      </w:r>
      <w:r w:rsidR="00427468">
        <w:t xml:space="preserve"> of </w:t>
      </w:r>
      <w:r w:rsidRPr="001A3D2B">
        <w:t>methodologic quality demonstrated that poor-quality studies produced a positive effect with treatment, whereas no benefit was observed with high-quality studies.</w:t>
      </w:r>
    </w:p>
    <w:p w:rsidR="003474F2" w:rsidRPr="001A3D2B" w:rsidRDefault="003474F2" w:rsidP="003474F2">
      <w:pPr>
        <w:pStyle w:val="a3"/>
      </w:pPr>
      <w:r w:rsidRPr="001A3D2B">
        <w:lastRenderedPageBreak/>
        <w:t>Conclusions:</w:t>
      </w:r>
      <w:r w:rsidR="003A1917">
        <w:t xml:space="preserve"> the </w:t>
      </w:r>
      <w:r w:rsidRPr="001A3D2B">
        <w:t>results</w:t>
      </w:r>
      <w:r w:rsidR="00427468">
        <w:t xml:space="preserve"> of </w:t>
      </w:r>
      <w:r w:rsidRPr="001A3D2B">
        <w:t>a meta-analysis are influenced by</w:t>
      </w:r>
      <w:r w:rsidR="003A1917">
        <w:t xml:space="preserve"> the </w:t>
      </w:r>
      <w:r w:rsidRPr="001A3D2B">
        <w:t>quality</w:t>
      </w:r>
      <w:r w:rsidR="00427468">
        <w:t xml:space="preserve"> of </w:t>
      </w:r>
      <w:r w:rsidR="003A1917">
        <w:t xml:space="preserve">the </w:t>
      </w:r>
      <w:r w:rsidRPr="001A3D2B">
        <w:t>primary studies included. Methodologically, poor studies tend to exaggerate</w:t>
      </w:r>
      <w:r w:rsidR="003A1917">
        <w:t xml:space="preserve"> the </w:t>
      </w:r>
      <w:r w:rsidRPr="001A3D2B">
        <w:t>overall estimate</w:t>
      </w:r>
      <w:r w:rsidR="00427468">
        <w:t xml:space="preserve"> of </w:t>
      </w:r>
      <w:r w:rsidRPr="001A3D2B">
        <w:t>treatment effect</w:t>
      </w:r>
      <w:r w:rsidR="005853A9">
        <w:t xml:space="preserve"> and </w:t>
      </w:r>
      <w:r w:rsidRPr="001A3D2B">
        <w:t>may lead to incorrect inferences.</w:t>
      </w:r>
    </w:p>
    <w:p w:rsidR="003474F2" w:rsidRPr="001A3D2B" w:rsidRDefault="003474F2" w:rsidP="003474F2">
      <w:pPr>
        <w:pStyle w:val="a3"/>
      </w:pPr>
      <w:r w:rsidRPr="001A3D2B">
        <w:t>Keywords: Randomized Controlled Trials, Design Affects Outcomes, Clomiphene Citrate, Male-Infertility, Sperm Parameters, Oligospermic Men, Tamoxifen, Therapy, Metaanalysis, Oligozoospermia</w:t>
      </w:r>
    </w:p>
    <w:p w:rsidR="003474F2" w:rsidRPr="001A3D2B" w:rsidRDefault="003474F2" w:rsidP="003474F2">
      <w:pPr>
        <w:pStyle w:val="a3"/>
      </w:pPr>
      <w:r w:rsidRPr="001A3D2B">
        <w:t>Notes: TTopic</w:t>
      </w:r>
    </w:p>
    <w:p w:rsidR="003474F2" w:rsidRPr="001A3D2B" w:rsidRDefault="003474F2" w:rsidP="003474F2">
      <w:pPr>
        <w:pStyle w:val="a3"/>
      </w:pPr>
      <w:r w:rsidRPr="001A3D2B">
        <w:t>Barnes, J., Abbot, N.C., Harkness, E.F.</w:t>
      </w:r>
      <w:r w:rsidR="005853A9">
        <w:t xml:space="preserve"> and </w:t>
      </w:r>
      <w:r w:rsidRPr="001A3D2B">
        <w:t>Ernst, E. (1999), Articles on complementary medicine in</w:t>
      </w:r>
      <w:r w:rsidR="003A1917">
        <w:t xml:space="preserve"> the </w:t>
      </w:r>
      <w:r w:rsidRPr="001A3D2B">
        <w:t>mainstream medical literature: An investigation</w:t>
      </w:r>
      <w:r w:rsidR="00427468">
        <w:t xml:space="preserve"> of </w:t>
      </w:r>
      <w:r w:rsidR="00D5664A">
        <w:t>MEDLINE</w:t>
      </w:r>
      <w:r w:rsidRPr="001A3D2B">
        <w:t xml:space="preserve">, 1966 through 1996. </w:t>
      </w:r>
      <w:r w:rsidRPr="001A3D2B">
        <w:rPr>
          <w:i/>
          <w:iCs/>
        </w:rPr>
        <w:t>Archives</w:t>
      </w:r>
      <w:r w:rsidR="00427468">
        <w:rPr>
          <w:i/>
          <w:iCs/>
        </w:rPr>
        <w:t xml:space="preserve"> of </w:t>
      </w:r>
      <w:r w:rsidRPr="001A3D2B">
        <w:rPr>
          <w:i/>
          <w:iCs/>
        </w:rPr>
        <w:t>Internal Medicine</w:t>
      </w:r>
      <w:r w:rsidRPr="001A3D2B">
        <w:t xml:space="preserve">, </w:t>
      </w:r>
      <w:r w:rsidRPr="001A3D2B">
        <w:rPr>
          <w:b/>
        </w:rPr>
        <w:t>159</w:t>
      </w:r>
      <w:r w:rsidRPr="001A3D2B">
        <w:rPr>
          <w:bCs/>
        </w:rPr>
        <w:t xml:space="preserve"> (15)</w:t>
      </w:r>
      <w:r w:rsidRPr="001A3D2B">
        <w:t>, 1721-1725.</w:t>
      </w:r>
    </w:p>
    <w:p w:rsidR="003474F2" w:rsidRPr="001A3D2B" w:rsidRDefault="003474F2" w:rsidP="003474F2">
      <w:pPr>
        <w:pStyle w:val="a3"/>
      </w:pPr>
      <w:r w:rsidRPr="001A3D2B">
        <w:t xml:space="preserve">Full Text: </w:t>
      </w:r>
      <w:hyperlink r:id="rId1132" w:history="1">
        <w:r w:rsidRPr="001A3D2B">
          <w:rPr>
            <w:rStyle w:val="a5"/>
          </w:rPr>
          <w:t>1999\Arc Int Med159, 1721.pdf</w:t>
        </w:r>
      </w:hyperlink>
    </w:p>
    <w:p w:rsidR="003474F2" w:rsidRPr="001A3D2B" w:rsidRDefault="003474F2" w:rsidP="003474F2">
      <w:pPr>
        <w:pStyle w:val="a3"/>
      </w:pPr>
      <w:r w:rsidRPr="001A3D2B">
        <w:t>Abstract: Objective To investigate</w:t>
      </w:r>
      <w:r w:rsidR="003A1917">
        <w:t xml:space="preserve"> the </w:t>
      </w:r>
      <w:r w:rsidRPr="001A3D2B">
        <w:t>growth</w:t>
      </w:r>
      <w:r w:rsidR="00427468">
        <w:t xml:space="preserve"> of </w:t>
      </w:r>
      <w:r w:rsidRPr="001A3D2B">
        <w:t>interest, if any, in complementary or alternative medicine by</w:t>
      </w:r>
      <w:r w:rsidR="003A1917">
        <w:t xml:space="preserve"> the </w:t>
      </w:r>
      <w:r w:rsidRPr="001A3D2B">
        <w:t>professional scientific community from</w:t>
      </w:r>
      <w:r w:rsidR="003A1917">
        <w:t xml:space="preserve"> the </w:t>
      </w:r>
      <w:r w:rsidRPr="001A3D2B">
        <w:t>number</w:t>
      </w:r>
      <w:r w:rsidR="00427468">
        <w:t xml:space="preserve"> of </w:t>
      </w:r>
      <w:r w:rsidR="00D5664A">
        <w:t>MEDLINE</w:t>
      </w:r>
      <w:r w:rsidRPr="001A3D2B">
        <w:t>-listed</w:t>
      </w:r>
      <w:r w:rsidR="005853A9">
        <w:t xml:space="preserve"> and </w:t>
      </w:r>
      <w:r w:rsidRPr="001A3D2B">
        <w:t>clinical trial–type articles for January 1, 1966, through December 31, 1996.</w:t>
      </w:r>
    </w:p>
    <w:p w:rsidR="003474F2" w:rsidRPr="001A3D2B" w:rsidRDefault="003474F2" w:rsidP="003474F2">
      <w:pPr>
        <w:pStyle w:val="a3"/>
      </w:pPr>
      <w:r w:rsidRPr="001A3D2B">
        <w:t>Methods Systematic literature searches</w:t>
      </w:r>
      <w:r w:rsidR="00427468">
        <w:t xml:space="preserve"> of </w:t>
      </w:r>
      <w:r w:rsidR="003A1917">
        <w:t xml:space="preserve">the </w:t>
      </w:r>
      <w:r w:rsidR="00D5664A">
        <w:t>MEDLINE</w:t>
      </w:r>
      <w:r w:rsidRPr="001A3D2B">
        <w:t xml:space="preserve"> database, using</w:t>
      </w:r>
      <w:r w:rsidR="003A1917">
        <w:t xml:space="preserve"> the </w:t>
      </w:r>
      <w:r w:rsidRPr="001A3D2B">
        <w:t xml:space="preserve">expanded terms </w:t>
      </w:r>
      <w:r w:rsidR="00B5188C">
        <w:t>“</w:t>
      </w:r>
      <w:r w:rsidRPr="001A3D2B">
        <w:t>alternative medicine,</w:t>
      </w:r>
      <w:r w:rsidR="00B5188C">
        <w:t>”</w:t>
      </w:r>
      <w:r w:rsidR="00CD1414">
        <w:rPr>
          <w:rFonts w:hint="eastAsia"/>
        </w:rPr>
        <w:t xml:space="preserve"> </w:t>
      </w:r>
      <w:r w:rsidR="00B5188C">
        <w:t>“</w:t>
      </w:r>
      <w:r w:rsidRPr="001A3D2B">
        <w:t>traditional medicine,</w:t>
      </w:r>
      <w:r w:rsidR="00B5188C">
        <w:t>”</w:t>
      </w:r>
      <w:r w:rsidR="00CD1414">
        <w:rPr>
          <w:rFonts w:hint="eastAsia"/>
        </w:rPr>
        <w:t xml:space="preserve"> </w:t>
      </w:r>
      <w:r w:rsidR="00B5188C">
        <w:t>“</w:t>
      </w:r>
      <w:r w:rsidRPr="001A3D2B">
        <w:t>acupuncture,</w:t>
      </w:r>
      <w:r w:rsidR="00B5188C">
        <w:t>”</w:t>
      </w:r>
      <w:r w:rsidR="00CD1414">
        <w:rPr>
          <w:rFonts w:hint="eastAsia"/>
        </w:rPr>
        <w:t xml:space="preserve"> </w:t>
      </w:r>
      <w:r w:rsidR="00B5188C">
        <w:t>“</w:t>
      </w:r>
      <w:r w:rsidRPr="001A3D2B">
        <w:t>homeopathy,</w:t>
      </w:r>
      <w:r w:rsidR="00B5188C">
        <w:t>”</w:t>
      </w:r>
      <w:r w:rsidR="005853A9">
        <w:t xml:space="preserve"> and </w:t>
      </w:r>
      <w:r w:rsidR="00B5188C">
        <w:t>“</w:t>
      </w:r>
      <w:r w:rsidRPr="001A3D2B">
        <w:t>chiropractic,</w:t>
      </w:r>
      <w:r w:rsidR="00B5188C">
        <w:t>”</w:t>
      </w:r>
      <w:r w:rsidRPr="001A3D2B">
        <w:t xml:space="preserve"> were conducted in January 1998 to evaluate</w:t>
      </w:r>
      <w:r w:rsidR="003A1917">
        <w:t xml:space="preserve"> the </w:t>
      </w:r>
      <w:r w:rsidRPr="001A3D2B">
        <w:t>number</w:t>
      </w:r>
      <w:r w:rsidR="00427468">
        <w:t xml:space="preserve"> of </w:t>
      </w:r>
      <w:r w:rsidRPr="001A3D2B">
        <w:t>all articles</w:t>
      </w:r>
      <w:r w:rsidR="00A37C1D">
        <w:t>. The</w:t>
      </w:r>
      <w:r w:rsidR="003A1917">
        <w:t xml:space="preserve"> </w:t>
      </w:r>
      <w:r w:rsidRPr="001A3D2B">
        <w:t>number</w:t>
      </w:r>
      <w:r w:rsidR="00427468">
        <w:t xml:space="preserve"> of </w:t>
      </w:r>
      <w:r w:rsidRPr="001A3D2B">
        <w:t>clinical trial–type articles on</w:t>
      </w:r>
      <w:r w:rsidR="003A1917">
        <w:t xml:space="preserve"> the </w:t>
      </w:r>
      <w:r w:rsidRPr="001A3D2B">
        <w:t>above was obtained by conducting searches for those indexed as 1 or more</w:t>
      </w:r>
      <w:r w:rsidR="00427468">
        <w:t xml:space="preserve"> of </w:t>
      </w:r>
      <w:r w:rsidR="003A1917">
        <w:t xml:space="preserve">the </w:t>
      </w:r>
      <w:r w:rsidRPr="001A3D2B">
        <w:t>following publication types: clinical trial; clinical trial phase 1, 2, 3, or 4; controlled clinical trial; meta-analysis; randomized controlled trial;</w:t>
      </w:r>
      <w:r w:rsidR="005853A9">
        <w:t xml:space="preserve"> and </w:t>
      </w:r>
      <w:r w:rsidRPr="001A3D2B">
        <w:t xml:space="preserve">limited to </w:t>
      </w:r>
      <w:r w:rsidR="00700038">
        <w:t>‘</w:t>
      </w:r>
      <w:r w:rsidRPr="001A3D2B">
        <w:t>human</w:t>
      </w:r>
      <w:r w:rsidR="00700038">
        <w:t>’</w:t>
      </w:r>
      <w:r w:rsidRPr="001A3D2B">
        <w:t xml:space="preserve"> trials only.</w:t>
      </w:r>
    </w:p>
    <w:p w:rsidR="003474F2" w:rsidRPr="001A3D2B" w:rsidRDefault="003474F2" w:rsidP="003474F2">
      <w:pPr>
        <w:pStyle w:val="a3"/>
      </w:pPr>
      <w:r w:rsidRPr="001A3D2B">
        <w:t>Results Articles indexed as alternative medicine formed a small proportion (0.4%)</w:t>
      </w:r>
      <w:r w:rsidR="00427468">
        <w:t xml:space="preserve"> of </w:t>
      </w:r>
      <w:r w:rsidR="003A1917">
        <w:t xml:space="preserve">the </w:t>
      </w:r>
      <w:r w:rsidRPr="001A3D2B">
        <w:t>total number</w:t>
      </w:r>
      <w:r w:rsidR="00427468">
        <w:t xml:space="preserve"> of </w:t>
      </w:r>
      <w:r w:rsidR="00D5664A">
        <w:t>MEDLINE</w:t>
      </w:r>
      <w:r w:rsidRPr="001A3D2B">
        <w:t>-listed articles throughout</w:t>
      </w:r>
      <w:r w:rsidR="003A1917">
        <w:t xml:space="preserve"> the </w:t>
      </w:r>
      <w:r w:rsidRPr="001A3D2B">
        <w:t>period studied. From 1966 through 1996,</w:t>
      </w:r>
      <w:r w:rsidR="003A1917">
        <w:t xml:space="preserve"> the </w:t>
      </w:r>
      <w:r w:rsidRPr="001A3D2B">
        <w:t>total number</w:t>
      </w:r>
      <w:r w:rsidR="00427468">
        <w:t xml:space="preserve"> of </w:t>
      </w:r>
      <w:r w:rsidRPr="001A3D2B">
        <w:t xml:space="preserve">articles listed in </w:t>
      </w:r>
      <w:r w:rsidR="00D5664A">
        <w:t>MEDLINE</w:t>
      </w:r>
      <w:r w:rsidRPr="001A3D2B">
        <w:t xml:space="preserve"> rose significantly to a peak</w:t>
      </w:r>
      <w:r w:rsidR="00427468">
        <w:t xml:space="preserve"> of </w:t>
      </w:r>
      <w:r w:rsidRPr="001A3D2B">
        <w:t>400,000 additions per annum in 1996 (</w:t>
      </w:r>
      <w:r w:rsidRPr="001A3D2B">
        <w:rPr>
          <w:i/>
          <w:iCs/>
        </w:rPr>
        <w:t>r</w:t>
      </w:r>
      <w:r w:rsidRPr="001A3D2B">
        <w:t xml:space="preserve"> = 0.97; </w:t>
      </w:r>
      <w:r w:rsidRPr="001A3D2B">
        <w:rPr>
          <w:i/>
          <w:iCs/>
        </w:rPr>
        <w:t>P</w:t>
      </w:r>
      <w:r w:rsidRPr="001A3D2B">
        <w:t>&lt;.001). By contrast,</w:t>
      </w:r>
      <w:r w:rsidR="003A1917">
        <w:t xml:space="preserve"> the </w:t>
      </w:r>
      <w:r w:rsidRPr="001A3D2B">
        <w:t>number</w:t>
      </w:r>
      <w:r w:rsidR="00427468">
        <w:t xml:space="preserve"> of </w:t>
      </w:r>
      <w:r w:rsidRPr="001A3D2B">
        <w:t>articles indexed under alternative medicine rose progressively only from 1972 through 1986</w:t>
      </w:r>
      <w:r w:rsidR="005853A9">
        <w:t xml:space="preserve"> and </w:t>
      </w:r>
      <w:r w:rsidRPr="001A3D2B">
        <w:t>since then has been relatively stable at around 1500 additions per annum. For this period,</w:t>
      </w:r>
      <w:r w:rsidR="003A1917">
        <w:t xml:space="preserve"> the </w:t>
      </w:r>
      <w:r w:rsidRPr="001A3D2B">
        <w:t>proportion</w:t>
      </w:r>
      <w:r w:rsidR="00427468">
        <w:t xml:space="preserve"> of </w:t>
      </w:r>
      <w:r w:rsidRPr="001A3D2B">
        <w:t>clinical trial–type alternative medicine articles was low (mean, 2.1% per annum) but increased significantly from 1987 through 1996, reaching around 10%</w:t>
      </w:r>
      <w:r w:rsidR="00427468">
        <w:t xml:space="preserve"> of </w:t>
      </w:r>
      <w:r w:rsidR="003A1917">
        <w:t xml:space="preserve">the </w:t>
      </w:r>
      <w:r w:rsidRPr="001A3D2B">
        <w:t>total in 1996 (</w:t>
      </w:r>
      <w:r w:rsidRPr="001A3D2B">
        <w:rPr>
          <w:i/>
          <w:iCs/>
        </w:rPr>
        <w:t>r</w:t>
      </w:r>
      <w:r w:rsidRPr="001A3D2B">
        <w:t xml:space="preserve"> = 0.79; </w:t>
      </w:r>
      <w:r w:rsidRPr="001A3D2B">
        <w:rPr>
          <w:i/>
          <w:iCs/>
        </w:rPr>
        <w:t>P</w:t>
      </w:r>
      <w:r w:rsidRPr="001A3D2B">
        <w:t>&lt;.001). Patterns</w:t>
      </w:r>
      <w:r w:rsidR="00427468">
        <w:t xml:space="preserve"> of </w:t>
      </w:r>
      <w:r w:rsidRPr="001A3D2B">
        <w:t>growth in</w:t>
      </w:r>
      <w:r w:rsidR="003A1917">
        <w:t xml:space="preserve"> the </w:t>
      </w:r>
      <w:r w:rsidRPr="001A3D2B">
        <w:t>number</w:t>
      </w:r>
      <w:r w:rsidR="00427468">
        <w:t xml:space="preserve"> of </w:t>
      </w:r>
      <w:r w:rsidRPr="001A3D2B">
        <w:t>publications for individual therapies have varied during</w:t>
      </w:r>
      <w:r w:rsidR="003A1917">
        <w:t xml:space="preserve"> the </w:t>
      </w:r>
      <w:r w:rsidRPr="001A3D2B">
        <w:t>period studied,</w:t>
      </w:r>
      <w:r w:rsidR="005853A9">
        <w:t xml:space="preserve"> and </w:t>
      </w:r>
      <w:r w:rsidRPr="001A3D2B">
        <w:t>clinical trial–type articles form only a small part</w:t>
      </w:r>
      <w:r w:rsidR="00427468">
        <w:t xml:space="preserve"> of </w:t>
      </w:r>
      <w:r w:rsidRPr="001A3D2B">
        <w:t>any increase.</w:t>
      </w:r>
    </w:p>
    <w:p w:rsidR="003474F2" w:rsidRPr="001A3D2B" w:rsidRDefault="003474F2" w:rsidP="003474F2">
      <w:pPr>
        <w:pStyle w:val="a3"/>
      </w:pPr>
      <w:r w:rsidRPr="001A3D2B">
        <w:t>Conclusions Interest in</w:t>
      </w:r>
      <w:r w:rsidR="005853A9">
        <w:t xml:space="preserve"> and </w:t>
      </w:r>
      <w:r w:rsidRPr="001A3D2B">
        <w:t>awareness</w:t>
      </w:r>
      <w:r w:rsidR="00427468">
        <w:t xml:space="preserve"> of </w:t>
      </w:r>
      <w:r w:rsidRPr="001A3D2B">
        <w:t>complementary medicine among orthodox health care professionals has increased in</w:t>
      </w:r>
      <w:r w:rsidR="003A1917">
        <w:t xml:space="preserve"> the </w:t>
      </w:r>
      <w:r w:rsidRPr="001A3D2B">
        <w:t>past 30 years</w:t>
      </w:r>
      <w:r w:rsidR="00A37C1D">
        <w:t>. The</w:t>
      </w:r>
      <w:r w:rsidR="003A1917">
        <w:t xml:space="preserve"> </w:t>
      </w:r>
      <w:r w:rsidRPr="001A3D2B">
        <w:t>increase in</w:t>
      </w:r>
      <w:r w:rsidR="003A1917">
        <w:t xml:space="preserve"> the </w:t>
      </w:r>
      <w:r w:rsidRPr="001A3D2B">
        <w:t>number</w:t>
      </w:r>
      <w:r w:rsidR="005853A9">
        <w:t xml:space="preserve"> and </w:t>
      </w:r>
      <w:r w:rsidRPr="001A3D2B">
        <w:t>proportion</w:t>
      </w:r>
      <w:r w:rsidR="00427468">
        <w:t xml:space="preserve"> of </w:t>
      </w:r>
      <w:r w:rsidRPr="001A3D2B">
        <w:t>reports</w:t>
      </w:r>
      <w:r w:rsidR="00427468">
        <w:t xml:space="preserve"> of </w:t>
      </w:r>
      <w:r w:rsidRPr="001A3D2B">
        <w:t>clinical trials indicates an increasing level</w:t>
      </w:r>
      <w:r w:rsidR="00427468">
        <w:t xml:space="preserve"> of </w:t>
      </w:r>
      <w:r w:rsidRPr="001A3D2B">
        <w:t>original research activity in complementary medicine</w:t>
      </w:r>
      <w:r w:rsidR="005853A9">
        <w:t xml:space="preserve"> and </w:t>
      </w:r>
      <w:r w:rsidRPr="001A3D2B">
        <w:t>suggests a trend toward an evidence-based approach in this discipline</w:t>
      </w:r>
      <w:r w:rsidR="00A37C1D">
        <w:t>. The</w:t>
      </w:r>
      <w:r w:rsidR="003A1917">
        <w:t xml:space="preserve"> </w:t>
      </w:r>
      <w:r w:rsidRPr="001A3D2B">
        <w:t>cumulative number</w:t>
      </w:r>
      <w:r w:rsidR="00427468">
        <w:t xml:space="preserve"> of </w:t>
      </w:r>
      <w:r w:rsidRPr="001A3D2B">
        <w:t>clinical trial–</w:t>
      </w:r>
      <w:r w:rsidRPr="001A3D2B">
        <w:lastRenderedPageBreak/>
        <w:t>type articles is small, however,</w:t>
      </w:r>
      <w:r w:rsidR="005853A9">
        <w:t xml:space="preserve"> and </w:t>
      </w:r>
      <w:r w:rsidRPr="001A3D2B">
        <w:t>more high-quality original research in complementary medicine is required.</w:t>
      </w:r>
    </w:p>
    <w:p w:rsidR="006653A3" w:rsidRDefault="006653A3" w:rsidP="006653A3">
      <w:pPr>
        <w:pStyle w:val="a3"/>
        <w:rPr>
          <w:kern w:val="0"/>
        </w:rPr>
      </w:pPr>
      <w:r>
        <w:rPr>
          <w:rFonts w:hint="eastAsia"/>
          <w:kern w:val="0"/>
        </w:rPr>
        <w:t xml:space="preserve">? </w:t>
      </w:r>
      <w:r>
        <w:rPr>
          <w:kern w:val="0"/>
        </w:rPr>
        <w:t>Bertholet, N., Daeppen, J.B., Wietlisbach, V., Fleming, M.</w:t>
      </w:r>
      <w:r w:rsidR="005853A9">
        <w:rPr>
          <w:kern w:val="0"/>
        </w:rPr>
        <w:t xml:space="preserve"> and </w:t>
      </w:r>
      <w:r>
        <w:rPr>
          <w:kern w:val="0"/>
        </w:rPr>
        <w:t>Burnand, B. (2005), Reduction</w:t>
      </w:r>
      <w:r w:rsidR="00427468">
        <w:rPr>
          <w:kern w:val="0"/>
        </w:rPr>
        <w:t xml:space="preserve"> of </w:t>
      </w:r>
      <w:r>
        <w:rPr>
          <w:kern w:val="0"/>
        </w:rPr>
        <w:t>alcohol consumption by brief alcohol intervention in primary care</w:t>
      </w:r>
      <w:r>
        <w:rPr>
          <w:rFonts w:hint="eastAsia"/>
          <w:kern w:val="0"/>
        </w:rPr>
        <w:t>:</w:t>
      </w:r>
      <w:r>
        <w:rPr>
          <w:kern w:val="0"/>
        </w:rPr>
        <w:t xml:space="preserve"> Systematic review</w:t>
      </w:r>
      <w:r w:rsidR="005853A9">
        <w:rPr>
          <w:kern w:val="0"/>
        </w:rPr>
        <w:t xml:space="preserve"> and </w:t>
      </w:r>
      <w:r>
        <w:rPr>
          <w:kern w:val="0"/>
        </w:rPr>
        <w:t xml:space="preserve">meta-analysis. </w:t>
      </w:r>
      <w:r>
        <w:rPr>
          <w:i/>
          <w:iCs/>
          <w:kern w:val="0"/>
        </w:rPr>
        <w:t>Archives</w:t>
      </w:r>
      <w:r w:rsidR="00427468">
        <w:rPr>
          <w:i/>
          <w:iCs/>
          <w:kern w:val="0"/>
        </w:rPr>
        <w:t xml:space="preserve"> of </w:t>
      </w:r>
      <w:r>
        <w:rPr>
          <w:i/>
          <w:iCs/>
          <w:kern w:val="0"/>
        </w:rPr>
        <w:t>Internal Medicine</w:t>
      </w:r>
      <w:r>
        <w:rPr>
          <w:kern w:val="0"/>
        </w:rPr>
        <w:t xml:space="preserve">, </w:t>
      </w:r>
      <w:r>
        <w:rPr>
          <w:b/>
          <w:bCs/>
          <w:kern w:val="0"/>
        </w:rPr>
        <w:t>165</w:t>
      </w:r>
      <w:r>
        <w:rPr>
          <w:kern w:val="0"/>
        </w:rPr>
        <w:t xml:space="preserve"> (9), 986-995.</w:t>
      </w:r>
    </w:p>
    <w:p w:rsidR="00CD1414" w:rsidRDefault="00CD1414" w:rsidP="00CD1414">
      <w:pPr>
        <w:pStyle w:val="a3"/>
        <w:rPr>
          <w:kern w:val="0"/>
          <w:szCs w:val="24"/>
        </w:rPr>
      </w:pPr>
      <w:r>
        <w:rPr>
          <w:rFonts w:hint="eastAsia"/>
          <w:kern w:val="0"/>
          <w:szCs w:val="24"/>
        </w:rPr>
        <w:t xml:space="preserve">Full Text: </w:t>
      </w:r>
      <w:hyperlink r:id="rId1133" w:history="1">
        <w:r w:rsidRPr="00CD1414">
          <w:rPr>
            <w:rStyle w:val="a5"/>
            <w:kern w:val="0"/>
            <w:szCs w:val="24"/>
          </w:rPr>
          <w:t>2005\Arc Int Med165, 986.pdf</w:t>
        </w:r>
      </w:hyperlink>
    </w:p>
    <w:p w:rsidR="006653A3" w:rsidRDefault="006653A3" w:rsidP="006653A3">
      <w:pPr>
        <w:pStyle w:val="a3"/>
        <w:rPr>
          <w:kern w:val="0"/>
        </w:rPr>
      </w:pPr>
      <w:r>
        <w:rPr>
          <w:kern w:val="0"/>
        </w:rPr>
        <w:t>Abstract: Background: Numerous trials</w:t>
      </w:r>
      <w:r w:rsidR="00427468">
        <w:rPr>
          <w:kern w:val="0"/>
        </w:rPr>
        <w:t xml:space="preserve"> of </w:t>
      </w:r>
      <w:r w:rsidR="003A1917">
        <w:rPr>
          <w:kern w:val="0"/>
        </w:rPr>
        <w:t xml:space="preserve">the </w:t>
      </w:r>
      <w:r>
        <w:rPr>
          <w:kern w:val="0"/>
        </w:rPr>
        <w:t>efficacy</w:t>
      </w:r>
      <w:r w:rsidR="00427468">
        <w:rPr>
          <w:kern w:val="0"/>
        </w:rPr>
        <w:t xml:space="preserve"> of </w:t>
      </w:r>
      <w:r>
        <w:rPr>
          <w:kern w:val="0"/>
        </w:rPr>
        <w:t>brief alcohol intervention have been conducted in various settings among individuals with a wide range</w:t>
      </w:r>
      <w:r w:rsidR="00427468">
        <w:rPr>
          <w:kern w:val="0"/>
        </w:rPr>
        <w:t xml:space="preserve"> of </w:t>
      </w:r>
      <w:r>
        <w:rPr>
          <w:kern w:val="0"/>
        </w:rPr>
        <w:t>alcohol disorders. Nevertheless,</w:t>
      </w:r>
      <w:r w:rsidR="003A1917">
        <w:rPr>
          <w:kern w:val="0"/>
        </w:rPr>
        <w:t xml:space="preserve"> the </w:t>
      </w:r>
      <w:r>
        <w:rPr>
          <w:kern w:val="0"/>
        </w:rPr>
        <w:t>efficacy</w:t>
      </w:r>
      <w:r w:rsidR="00427468">
        <w:rPr>
          <w:kern w:val="0"/>
        </w:rPr>
        <w:t xml:space="preserve"> of </w:t>
      </w:r>
      <w:r w:rsidR="003A1917">
        <w:rPr>
          <w:kern w:val="0"/>
        </w:rPr>
        <w:t xml:space="preserve">the </w:t>
      </w:r>
      <w:r>
        <w:rPr>
          <w:kern w:val="0"/>
        </w:rPr>
        <w:t>intervention is likely to be influenced by</w:t>
      </w:r>
      <w:r w:rsidR="003A1917">
        <w:rPr>
          <w:kern w:val="0"/>
        </w:rPr>
        <w:t xml:space="preserve"> the </w:t>
      </w:r>
      <w:r>
        <w:rPr>
          <w:kern w:val="0"/>
        </w:rPr>
        <w:t>context. We evaluated</w:t>
      </w:r>
      <w:r w:rsidR="003A1917">
        <w:rPr>
          <w:kern w:val="0"/>
        </w:rPr>
        <w:t xml:space="preserve"> the </w:t>
      </w:r>
      <w:r>
        <w:rPr>
          <w:kern w:val="0"/>
        </w:rPr>
        <w:t>evidence</w:t>
      </w:r>
      <w:r w:rsidR="00427468">
        <w:rPr>
          <w:kern w:val="0"/>
        </w:rPr>
        <w:t xml:space="preserve"> of </w:t>
      </w:r>
      <w:r>
        <w:rPr>
          <w:kern w:val="0"/>
        </w:rPr>
        <w:t>efficacy</w:t>
      </w:r>
      <w:r w:rsidR="00427468">
        <w:rPr>
          <w:kern w:val="0"/>
        </w:rPr>
        <w:t xml:space="preserve"> of </w:t>
      </w:r>
      <w:r>
        <w:rPr>
          <w:kern w:val="0"/>
        </w:rPr>
        <w:t>brief alcohol interventions aimed at reducing long-term alcohol use</w:t>
      </w:r>
      <w:r w:rsidR="005853A9">
        <w:rPr>
          <w:kern w:val="0"/>
        </w:rPr>
        <w:t xml:space="preserve"> and </w:t>
      </w:r>
      <w:r>
        <w:rPr>
          <w:kern w:val="0"/>
        </w:rPr>
        <w:t>related harm in individuals attending primary care facilities but not seeking help for alcohol-related problems. Methods: We selected randomized trials reporting at least I outcome related to alcohol consumption conducted in outpatients who were actively attending primary care centers or seeing providers. Data sources were</w:t>
      </w:r>
      <w:r w:rsidR="003A1917">
        <w:rPr>
          <w:kern w:val="0"/>
        </w:rPr>
        <w:t xml:space="preserve"> the </w:t>
      </w:r>
      <w:r>
        <w:rPr>
          <w:kern w:val="0"/>
        </w:rPr>
        <w:t>Cochrane Central Register</w:t>
      </w:r>
      <w:r w:rsidR="00427468">
        <w:rPr>
          <w:kern w:val="0"/>
        </w:rPr>
        <w:t xml:space="preserve"> of </w:t>
      </w:r>
      <w:r>
        <w:rPr>
          <w:kern w:val="0"/>
        </w:rPr>
        <w:t xml:space="preserve">Controlled Trials, </w:t>
      </w:r>
      <w:r w:rsidR="00D5664A">
        <w:rPr>
          <w:kern w:val="0"/>
        </w:rPr>
        <w:t>MEDLINE</w:t>
      </w:r>
      <w:r>
        <w:rPr>
          <w:kern w:val="0"/>
        </w:rPr>
        <w:t xml:space="preserve">, PsycINFO, </w:t>
      </w:r>
      <w:r w:rsidR="00730B6D">
        <w:rPr>
          <w:kern w:val="0"/>
        </w:rPr>
        <w:t xml:space="preserve">ISI </w:t>
      </w:r>
      <w:r w:rsidR="00D5664A">
        <w:rPr>
          <w:kern w:val="0"/>
        </w:rPr>
        <w:t>Web</w:t>
      </w:r>
      <w:r w:rsidR="00427468">
        <w:rPr>
          <w:kern w:val="0"/>
        </w:rPr>
        <w:t xml:space="preserve"> of </w:t>
      </w:r>
      <w:r w:rsidR="00D5664A">
        <w:rPr>
          <w:kern w:val="0"/>
        </w:rPr>
        <w:t>Science</w:t>
      </w:r>
      <w:r>
        <w:rPr>
          <w:kern w:val="0"/>
        </w:rPr>
        <w:t>, ETOH database,</w:t>
      </w:r>
      <w:r w:rsidR="005853A9">
        <w:rPr>
          <w:kern w:val="0"/>
        </w:rPr>
        <w:t xml:space="preserve"> and </w:t>
      </w:r>
      <w:r>
        <w:rPr>
          <w:kern w:val="0"/>
        </w:rPr>
        <w:t>bibliographies</w:t>
      </w:r>
      <w:r w:rsidR="00427468">
        <w:rPr>
          <w:kern w:val="0"/>
        </w:rPr>
        <w:t xml:space="preserve"> of </w:t>
      </w:r>
      <w:r>
        <w:rPr>
          <w:kern w:val="0"/>
        </w:rPr>
        <w:t>retrieved references</w:t>
      </w:r>
      <w:r w:rsidR="005853A9">
        <w:rPr>
          <w:kern w:val="0"/>
        </w:rPr>
        <w:t xml:space="preserve"> and </w:t>
      </w:r>
      <w:r>
        <w:rPr>
          <w:kern w:val="0"/>
        </w:rPr>
        <w:t>previous reviews. Study selection</w:t>
      </w:r>
      <w:r w:rsidR="005853A9">
        <w:rPr>
          <w:kern w:val="0"/>
        </w:rPr>
        <w:t xml:space="preserve"> and </w:t>
      </w:r>
      <w:r>
        <w:rPr>
          <w:kern w:val="0"/>
        </w:rPr>
        <w:t>data abstraction were performed independently</w:t>
      </w:r>
      <w:r w:rsidR="005853A9">
        <w:rPr>
          <w:kern w:val="0"/>
        </w:rPr>
        <w:t xml:space="preserve"> and </w:t>
      </w:r>
      <w:r>
        <w:rPr>
          <w:kern w:val="0"/>
        </w:rPr>
        <w:t>in duplicate. We assessed</w:t>
      </w:r>
      <w:r w:rsidR="003A1917">
        <w:rPr>
          <w:kern w:val="0"/>
        </w:rPr>
        <w:t xml:space="preserve"> the </w:t>
      </w:r>
      <w:r>
        <w:rPr>
          <w:kern w:val="0"/>
        </w:rPr>
        <w:t>validity</w:t>
      </w:r>
      <w:r w:rsidR="00427468">
        <w:rPr>
          <w:kern w:val="0"/>
        </w:rPr>
        <w:t xml:space="preserve"> of </w:t>
      </w:r>
      <w:r w:rsidR="003A1917">
        <w:rPr>
          <w:kern w:val="0"/>
        </w:rPr>
        <w:t xml:space="preserve">the </w:t>
      </w:r>
      <w:r>
        <w:rPr>
          <w:kern w:val="0"/>
        </w:rPr>
        <w:t>studies</w:t>
      </w:r>
      <w:r w:rsidR="005853A9">
        <w:rPr>
          <w:kern w:val="0"/>
        </w:rPr>
        <w:t xml:space="preserve"> and </w:t>
      </w:r>
      <w:r>
        <w:rPr>
          <w:kern w:val="0"/>
        </w:rPr>
        <w:t>performed a meta-analysis</w:t>
      </w:r>
      <w:r w:rsidR="00427468">
        <w:rPr>
          <w:kern w:val="0"/>
        </w:rPr>
        <w:t xml:space="preserve"> of </w:t>
      </w:r>
      <w:r>
        <w:rPr>
          <w:kern w:val="0"/>
        </w:rPr>
        <w:t>studies reporting alcohol consumption at 6 or 12 months</w:t>
      </w:r>
      <w:r w:rsidR="00427468">
        <w:rPr>
          <w:kern w:val="0"/>
        </w:rPr>
        <w:t xml:space="preserve"> of </w:t>
      </w:r>
      <w:r>
        <w:rPr>
          <w:kern w:val="0"/>
        </w:rPr>
        <w:t>follow-up. Results: We examined 19 trials that included 5639 individuals. Seventeen trials reported a measure</w:t>
      </w:r>
      <w:r w:rsidR="00427468">
        <w:rPr>
          <w:kern w:val="0"/>
        </w:rPr>
        <w:t xml:space="preserve"> of </w:t>
      </w:r>
      <w:r>
        <w:rPr>
          <w:kern w:val="0"/>
        </w:rPr>
        <w:t>alcohol consumption,</w:t>
      </w:r>
      <w:r w:rsidR="00427468">
        <w:rPr>
          <w:kern w:val="0"/>
        </w:rPr>
        <w:t xml:space="preserve"> of </w:t>
      </w:r>
      <w:r>
        <w:rPr>
          <w:kern w:val="0"/>
        </w:rPr>
        <w:t>which 8 reported a significant effect</w:t>
      </w:r>
      <w:r w:rsidR="00427468">
        <w:rPr>
          <w:kern w:val="0"/>
        </w:rPr>
        <w:t xml:space="preserve"> of </w:t>
      </w:r>
      <w:r>
        <w:rPr>
          <w:kern w:val="0"/>
        </w:rPr>
        <w:t>intervention</w:t>
      </w:r>
      <w:r w:rsidR="00A37C1D">
        <w:rPr>
          <w:kern w:val="0"/>
        </w:rPr>
        <w:t>. The</w:t>
      </w:r>
      <w:r w:rsidR="003A1917">
        <w:rPr>
          <w:kern w:val="0"/>
        </w:rPr>
        <w:t xml:space="preserve"> </w:t>
      </w:r>
      <w:r>
        <w:rPr>
          <w:kern w:val="0"/>
        </w:rPr>
        <w:t>adjusted intention-to-treat analysis showed a mean pooled difference</w:t>
      </w:r>
      <w:r w:rsidR="00427468">
        <w:rPr>
          <w:kern w:val="0"/>
        </w:rPr>
        <w:t xml:space="preserve"> of </w:t>
      </w:r>
      <w:r>
        <w:rPr>
          <w:kern w:val="0"/>
        </w:rPr>
        <w:t>-38 g</w:t>
      </w:r>
      <w:r w:rsidR="00427468">
        <w:rPr>
          <w:kern w:val="0"/>
        </w:rPr>
        <w:t xml:space="preserve"> of </w:t>
      </w:r>
      <w:r>
        <w:rPr>
          <w:kern w:val="0"/>
        </w:rPr>
        <w:t>ethanol (approximately 4 drinks) per week (95% confidence interval, -51 to -24g/wk) in favor</w:t>
      </w:r>
      <w:r w:rsidR="00427468">
        <w:rPr>
          <w:kern w:val="0"/>
        </w:rPr>
        <w:t xml:space="preserve"> of </w:t>
      </w:r>
      <w:r w:rsidR="003A1917">
        <w:rPr>
          <w:kern w:val="0"/>
        </w:rPr>
        <w:t xml:space="preserve">the </w:t>
      </w:r>
      <w:r>
        <w:rPr>
          <w:kern w:val="0"/>
        </w:rPr>
        <w:t>brief alcohol intervention group. Evidence</w:t>
      </w:r>
      <w:r w:rsidR="00427468">
        <w:rPr>
          <w:kern w:val="0"/>
        </w:rPr>
        <w:t xml:space="preserve"> of </w:t>
      </w:r>
      <w:r>
        <w:rPr>
          <w:kern w:val="0"/>
        </w:rPr>
        <w:t>other outcome measures was inconclusive. Conclusion: Focusing on patients in primary care, our systematic review</w:t>
      </w:r>
      <w:r w:rsidR="005853A9">
        <w:rPr>
          <w:kern w:val="0"/>
        </w:rPr>
        <w:t xml:space="preserve"> and </w:t>
      </w:r>
      <w:r>
        <w:rPr>
          <w:kern w:val="0"/>
        </w:rPr>
        <w:t>meta-analysis indicated that brief alcohol intervention is effective in reducing alcohol consumption at 6</w:t>
      </w:r>
      <w:r w:rsidR="005853A9">
        <w:rPr>
          <w:kern w:val="0"/>
        </w:rPr>
        <w:t xml:space="preserve"> and </w:t>
      </w:r>
      <w:r>
        <w:rPr>
          <w:kern w:val="0"/>
        </w:rPr>
        <w:t>12 months.</w:t>
      </w:r>
    </w:p>
    <w:p w:rsidR="006653A3" w:rsidRDefault="006653A3" w:rsidP="006653A3">
      <w:pPr>
        <w:pStyle w:val="a3"/>
        <w:rPr>
          <w:kern w:val="0"/>
        </w:rPr>
      </w:pPr>
      <w:r>
        <w:rPr>
          <w:kern w:val="0"/>
        </w:rPr>
        <w:t>Keywords: Alcohol, Alcohol Consumption, Analysis, Benefit-Cost-Analysis, Brief Physician Advice, Carbohydrate-Deficient Transferrin, Cochrane, Drinking, Efficacy, Ethanol, Follow-up, Hazardous Drinkers, Heavy Drinkers, Intervention, Interventions</w:t>
      </w:r>
      <w:r w:rsidR="00D5664A">
        <w:rPr>
          <w:kern w:val="0"/>
        </w:rPr>
        <w:t>, ISI,</w:t>
      </w:r>
      <w:r>
        <w:rPr>
          <w:kern w:val="0"/>
        </w:rPr>
        <w:t xml:space="preserve"> </w:t>
      </w:r>
      <w:r w:rsidR="00D5664A">
        <w:rPr>
          <w:kern w:val="0"/>
        </w:rPr>
        <w:t>MEDLINE</w:t>
      </w:r>
      <w:r>
        <w:rPr>
          <w:kern w:val="0"/>
        </w:rPr>
        <w:t xml:space="preserve">, Meta-Analysis, Methods, Outcome, Primary, Primary Care, Primary-Health-Care, Problem Drinkers, Randomized Controlled Trial, Reduction, Review, Routine General-Practice, Science, Systematic, Systematic Review, Validity, </w:t>
      </w:r>
      <w:r w:rsidR="00D5664A">
        <w:rPr>
          <w:kern w:val="0"/>
        </w:rPr>
        <w:t>Web</w:t>
      </w:r>
      <w:r w:rsidR="00427468">
        <w:rPr>
          <w:kern w:val="0"/>
        </w:rPr>
        <w:t xml:space="preserve"> of </w:t>
      </w:r>
      <w:r w:rsidR="00D5664A">
        <w:rPr>
          <w:kern w:val="0"/>
        </w:rPr>
        <w:t>Science</w:t>
      </w:r>
    </w:p>
    <w:p w:rsidR="006653A3" w:rsidRDefault="006653A3" w:rsidP="006653A3">
      <w:pPr>
        <w:pStyle w:val="a3"/>
        <w:rPr>
          <w:kern w:val="0"/>
        </w:rPr>
      </w:pPr>
      <w:r>
        <w:rPr>
          <w:rFonts w:hint="eastAsia"/>
          <w:kern w:val="0"/>
        </w:rPr>
        <w:t xml:space="preserve">? </w:t>
      </w:r>
      <w:r>
        <w:rPr>
          <w:kern w:val="0"/>
        </w:rPr>
        <w:t>Cockayne, S., Adamson, J., Lanham-New, S., Shearer, M.J., Gilbody, S.</w:t>
      </w:r>
      <w:r w:rsidR="005853A9">
        <w:rPr>
          <w:kern w:val="0"/>
        </w:rPr>
        <w:t xml:space="preserve"> and </w:t>
      </w:r>
      <w:r>
        <w:rPr>
          <w:kern w:val="0"/>
        </w:rPr>
        <w:t>Torgerson, D.J. (2006), Vitamin K</w:t>
      </w:r>
      <w:r w:rsidR="005853A9">
        <w:rPr>
          <w:kern w:val="0"/>
        </w:rPr>
        <w:t xml:space="preserve"> and </w:t>
      </w:r>
      <w:r w:rsidR="003A1917">
        <w:rPr>
          <w:kern w:val="0"/>
        </w:rPr>
        <w:t xml:space="preserve">the </w:t>
      </w:r>
      <w:r>
        <w:rPr>
          <w:kern w:val="0"/>
        </w:rPr>
        <w:t>prevention</w:t>
      </w:r>
      <w:r w:rsidR="00427468">
        <w:rPr>
          <w:kern w:val="0"/>
        </w:rPr>
        <w:t xml:space="preserve"> of </w:t>
      </w:r>
      <w:r>
        <w:rPr>
          <w:kern w:val="0"/>
        </w:rPr>
        <w:t>fractures</w:t>
      </w:r>
      <w:r>
        <w:rPr>
          <w:rFonts w:hint="eastAsia"/>
          <w:kern w:val="0"/>
        </w:rPr>
        <w:t>:</w:t>
      </w:r>
      <w:r>
        <w:rPr>
          <w:kern w:val="0"/>
        </w:rPr>
        <w:t xml:space="preserve">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Pr>
          <w:i/>
          <w:iCs/>
          <w:kern w:val="0"/>
        </w:rPr>
        <w:t>Archives</w:t>
      </w:r>
      <w:r w:rsidR="00427468">
        <w:rPr>
          <w:i/>
          <w:iCs/>
          <w:kern w:val="0"/>
        </w:rPr>
        <w:t xml:space="preserve"> of </w:t>
      </w:r>
      <w:r>
        <w:rPr>
          <w:i/>
          <w:iCs/>
          <w:kern w:val="0"/>
        </w:rPr>
        <w:t xml:space="preserve">Internal </w:t>
      </w:r>
      <w:r>
        <w:rPr>
          <w:i/>
          <w:iCs/>
          <w:kern w:val="0"/>
        </w:rPr>
        <w:lastRenderedPageBreak/>
        <w:t>Medicine</w:t>
      </w:r>
      <w:r>
        <w:rPr>
          <w:kern w:val="0"/>
        </w:rPr>
        <w:t xml:space="preserve">, </w:t>
      </w:r>
      <w:r>
        <w:rPr>
          <w:b/>
          <w:bCs/>
          <w:kern w:val="0"/>
        </w:rPr>
        <w:t>166</w:t>
      </w:r>
      <w:r>
        <w:rPr>
          <w:kern w:val="0"/>
        </w:rPr>
        <w:t xml:space="preserve"> (12), 1256-1261.</w:t>
      </w:r>
    </w:p>
    <w:p w:rsidR="00CD1414" w:rsidRDefault="00CD1414" w:rsidP="00CD1414">
      <w:pPr>
        <w:pStyle w:val="a3"/>
        <w:rPr>
          <w:kern w:val="0"/>
          <w:szCs w:val="24"/>
        </w:rPr>
      </w:pPr>
      <w:r>
        <w:rPr>
          <w:rFonts w:hint="eastAsia"/>
          <w:kern w:val="0"/>
          <w:szCs w:val="24"/>
        </w:rPr>
        <w:t xml:space="preserve">Full Text: </w:t>
      </w:r>
      <w:hyperlink r:id="rId1134" w:history="1">
        <w:r w:rsidRPr="003A1FF6">
          <w:rPr>
            <w:rStyle w:val="a5"/>
            <w:kern w:val="0"/>
            <w:szCs w:val="24"/>
          </w:rPr>
          <w:t>2006\Arc Int Med166, 1256.pdf</w:t>
        </w:r>
      </w:hyperlink>
    </w:p>
    <w:p w:rsidR="006653A3" w:rsidRDefault="006653A3" w:rsidP="006653A3">
      <w:pPr>
        <w:pStyle w:val="a3"/>
        <w:rPr>
          <w:kern w:val="0"/>
        </w:rPr>
      </w:pPr>
      <w:r>
        <w:rPr>
          <w:kern w:val="0"/>
        </w:rPr>
        <w:t>Abstract: Background: Observational</w:t>
      </w:r>
      <w:r w:rsidR="005853A9">
        <w:rPr>
          <w:kern w:val="0"/>
        </w:rPr>
        <w:t xml:space="preserve"> and </w:t>
      </w:r>
      <w:r>
        <w:rPr>
          <w:kern w:val="0"/>
        </w:rPr>
        <w:t>some experimental data suggest that low intake</w:t>
      </w:r>
      <w:r w:rsidR="00427468">
        <w:rPr>
          <w:kern w:val="0"/>
        </w:rPr>
        <w:t xml:space="preserve"> of </w:t>
      </w:r>
      <w:r>
        <w:rPr>
          <w:kern w:val="0"/>
        </w:rPr>
        <w:t>vitamin K may be associated with an increased risk</w:t>
      </w:r>
      <w:r w:rsidR="00427468">
        <w:rPr>
          <w:kern w:val="0"/>
        </w:rPr>
        <w:t xml:space="preserve"> of </w:t>
      </w:r>
      <w:r>
        <w:rPr>
          <w:kern w:val="0"/>
        </w:rPr>
        <w:t>fracture. Objective: To assess whether oral vitamin K (phytonadione</w:t>
      </w:r>
      <w:r w:rsidR="005853A9">
        <w:rPr>
          <w:kern w:val="0"/>
        </w:rPr>
        <w:t xml:space="preserve"> and </w:t>
      </w:r>
      <w:r>
        <w:rPr>
          <w:kern w:val="0"/>
        </w:rPr>
        <w:t>menaquinone) supplementation can reduce bone loss</w:t>
      </w:r>
      <w:r w:rsidR="005853A9">
        <w:rPr>
          <w:kern w:val="0"/>
        </w:rPr>
        <w:t xml:space="preserve"> and </w:t>
      </w:r>
      <w:r>
        <w:rPr>
          <w:kern w:val="0"/>
        </w:rPr>
        <w:t>prevent fractures. Data Sources:</w:t>
      </w:r>
      <w:r w:rsidR="003A1917">
        <w:rPr>
          <w:kern w:val="0"/>
        </w:rPr>
        <w:t xml:space="preserve"> the </w:t>
      </w:r>
      <w:r>
        <w:rPr>
          <w:kern w:val="0"/>
        </w:rPr>
        <w:t>search included</w:t>
      </w:r>
      <w:r w:rsidR="003A1917">
        <w:rPr>
          <w:kern w:val="0"/>
        </w:rPr>
        <w:t xml:space="preserve"> the </w:t>
      </w:r>
      <w:r>
        <w:rPr>
          <w:kern w:val="0"/>
        </w:rPr>
        <w:t xml:space="preserve">following electronic databases: </w:t>
      </w:r>
      <w:r w:rsidR="00D5664A">
        <w:rPr>
          <w:kern w:val="0"/>
        </w:rPr>
        <w:t>MEDLINE</w:t>
      </w:r>
      <w:r>
        <w:rPr>
          <w:kern w:val="0"/>
        </w:rPr>
        <w:t xml:space="preserve"> (1966 to June 2005), EMBASE (1980 to June 2005</w:t>
      </w:r>
      <w:r w:rsidR="00F42EAC">
        <w:rPr>
          <w:kern w:val="0"/>
        </w:rPr>
        <w:t>), The</w:t>
      </w:r>
      <w:r w:rsidR="003A1917">
        <w:rPr>
          <w:kern w:val="0"/>
        </w:rPr>
        <w:t xml:space="preserve"> </w:t>
      </w:r>
      <w:r>
        <w:rPr>
          <w:kern w:val="0"/>
        </w:rPr>
        <w:t>Cochrane Library (issue 2, 2005</w:t>
      </w:r>
      <w:r w:rsidR="00F42EAC">
        <w:rPr>
          <w:kern w:val="0"/>
        </w:rPr>
        <w:t>), The</w:t>
      </w:r>
      <w:r w:rsidR="003A1917">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(1945 to June 2005</w:t>
      </w:r>
      <w:r w:rsidR="00F42EAC">
        <w:rPr>
          <w:kern w:val="0"/>
        </w:rPr>
        <w:t>), The</w:t>
      </w:r>
      <w:r w:rsidR="003A1917">
        <w:rPr>
          <w:kern w:val="0"/>
        </w:rPr>
        <w:t xml:space="preserve"> </w:t>
      </w:r>
      <w:r>
        <w:rPr>
          <w:kern w:val="0"/>
        </w:rPr>
        <w:t>National Research Register (inception to</w:t>
      </w:r>
      <w:r w:rsidR="003A1917">
        <w:rPr>
          <w:kern w:val="0"/>
        </w:rPr>
        <w:t xml:space="preserve"> the </w:t>
      </w:r>
      <w:r>
        <w:rPr>
          <w:kern w:val="0"/>
        </w:rPr>
        <w:t>present), Current Controlled Trials,</w:t>
      </w:r>
      <w:r w:rsidR="005853A9">
        <w:rPr>
          <w:kern w:val="0"/>
        </w:rPr>
        <w:t xml:space="preserve"> and </w:t>
      </w:r>
      <w:r w:rsidR="003A1917">
        <w:rPr>
          <w:kern w:val="0"/>
        </w:rPr>
        <w:t xml:space="preserve">the </w:t>
      </w:r>
      <w:r>
        <w:rPr>
          <w:kern w:val="0"/>
        </w:rPr>
        <w:t>Medical Research Council Research Register. Study Selection: Randomized controlled trials that gave adult participants oral phytonadione</w:t>
      </w:r>
      <w:r w:rsidR="005853A9">
        <w:rPr>
          <w:kern w:val="0"/>
        </w:rPr>
        <w:t xml:space="preserve"> and </w:t>
      </w:r>
      <w:r>
        <w:rPr>
          <w:kern w:val="0"/>
        </w:rPr>
        <w:t>menaquinone supplements for longer than 6 months were included in this review. Data Extraction: Four authors extracted data on changes in bone density</w:t>
      </w:r>
      <w:r w:rsidR="005853A9">
        <w:rPr>
          <w:kern w:val="0"/>
        </w:rPr>
        <w:t xml:space="preserve"> and </w:t>
      </w:r>
      <w:r>
        <w:rPr>
          <w:kern w:val="0"/>
        </w:rPr>
        <w:t>type</w:t>
      </w:r>
      <w:r w:rsidR="00427468">
        <w:rPr>
          <w:kern w:val="0"/>
        </w:rPr>
        <w:t xml:space="preserve"> of </w:t>
      </w:r>
      <w:r>
        <w:rPr>
          <w:kern w:val="0"/>
        </w:rPr>
        <w:t>fracture. All articles were double screened</w:t>
      </w:r>
      <w:r w:rsidR="005853A9">
        <w:rPr>
          <w:kern w:val="0"/>
        </w:rPr>
        <w:t xml:space="preserve"> and </w:t>
      </w:r>
      <w:r>
        <w:rPr>
          <w:kern w:val="0"/>
        </w:rPr>
        <w:t>double data extracted. Data Synthesis: Thirteen trials were identified with data on bone loss,</w:t>
      </w:r>
      <w:r w:rsidR="005853A9">
        <w:rPr>
          <w:kern w:val="0"/>
        </w:rPr>
        <w:t xml:space="preserve"> and </w:t>
      </w:r>
      <w:r>
        <w:rPr>
          <w:kern w:val="0"/>
        </w:rPr>
        <w:t>7 reported fracture data. All studies but 1 showed an advantage</w:t>
      </w:r>
      <w:r w:rsidR="00427468">
        <w:rPr>
          <w:kern w:val="0"/>
        </w:rPr>
        <w:t xml:space="preserve"> of </w:t>
      </w:r>
      <w:r>
        <w:rPr>
          <w:kern w:val="0"/>
        </w:rPr>
        <w:t>phytonadione</w:t>
      </w:r>
      <w:r w:rsidR="005853A9">
        <w:rPr>
          <w:kern w:val="0"/>
        </w:rPr>
        <w:t xml:space="preserve"> and </w:t>
      </w:r>
      <w:r>
        <w:rPr>
          <w:kern w:val="0"/>
        </w:rPr>
        <w:t>menaquinone in reducing bone loss. All 7 trials that reported fracture effects were Japanese</w:t>
      </w:r>
      <w:r w:rsidR="005853A9">
        <w:rPr>
          <w:kern w:val="0"/>
        </w:rPr>
        <w:t xml:space="preserve"> and </w:t>
      </w:r>
      <w:r>
        <w:rPr>
          <w:kern w:val="0"/>
        </w:rPr>
        <w:t>used menaquinone. Pooling</w:t>
      </w:r>
      <w:r w:rsidR="003A1917">
        <w:rPr>
          <w:kern w:val="0"/>
        </w:rPr>
        <w:t xml:space="preserve"> the </w:t>
      </w:r>
      <w:r>
        <w:rPr>
          <w:kern w:val="0"/>
        </w:rPr>
        <w:t>7 trials with fracture data in a meta-analysis, we found an odds ratio (OR) favoring menaquinone</w:t>
      </w:r>
      <w:r w:rsidR="00427468">
        <w:rPr>
          <w:kern w:val="0"/>
        </w:rPr>
        <w:t xml:space="preserve"> of </w:t>
      </w:r>
      <w:r>
        <w:rPr>
          <w:kern w:val="0"/>
        </w:rPr>
        <w:t>0.40 (95% confidence interval [CI], 0.25-0.65) for vertebral fractures, an OR</w:t>
      </w:r>
      <w:r w:rsidR="00427468">
        <w:rPr>
          <w:kern w:val="0"/>
        </w:rPr>
        <w:t xml:space="preserve"> of </w:t>
      </w:r>
      <w:r>
        <w:rPr>
          <w:kern w:val="0"/>
        </w:rPr>
        <w:t>0.23 (95% CI, 0.12-0.47) for hip fractures,</w:t>
      </w:r>
      <w:r w:rsidR="005853A9">
        <w:rPr>
          <w:kern w:val="0"/>
        </w:rPr>
        <w:t xml:space="preserve"> and </w:t>
      </w:r>
      <w:r>
        <w:rPr>
          <w:kern w:val="0"/>
        </w:rPr>
        <w:t>an OR</w:t>
      </w:r>
      <w:r w:rsidR="00427468">
        <w:rPr>
          <w:kern w:val="0"/>
        </w:rPr>
        <w:t xml:space="preserve"> of </w:t>
      </w:r>
      <w:r>
        <w:rPr>
          <w:kern w:val="0"/>
        </w:rPr>
        <w:t>0.19 (95% CI, 0.11-0.35) for all nonvertebral fractures. Conclusions: This systematic review suggests that supplementation with phytonadione</w:t>
      </w:r>
      <w:r w:rsidR="005853A9">
        <w:rPr>
          <w:kern w:val="0"/>
        </w:rPr>
        <w:t xml:space="preserve"> and </w:t>
      </w:r>
      <w:r>
        <w:rPr>
          <w:kern w:val="0"/>
        </w:rPr>
        <w:t>menaquinone-4 reduces bone loss. In</w:t>
      </w:r>
      <w:r w:rsidR="003A1917">
        <w:rPr>
          <w:kern w:val="0"/>
        </w:rPr>
        <w:t xml:space="preserve"> the </w:t>
      </w:r>
      <w:r>
        <w:rPr>
          <w:kern w:val="0"/>
        </w:rPr>
        <w:t>case</w:t>
      </w:r>
      <w:r w:rsidR="00427468">
        <w:rPr>
          <w:kern w:val="0"/>
        </w:rPr>
        <w:t xml:space="preserve"> of </w:t>
      </w:r>
      <w:r w:rsidR="003A1917">
        <w:rPr>
          <w:kern w:val="0"/>
        </w:rPr>
        <w:t xml:space="preserve">the </w:t>
      </w:r>
      <w:r>
        <w:rPr>
          <w:kern w:val="0"/>
        </w:rPr>
        <w:t>latter, there is a strong effect on incident fractures among Japanese patients.</w:t>
      </w:r>
    </w:p>
    <w:p w:rsidR="006653A3" w:rsidRDefault="006653A3" w:rsidP="006653A3">
      <w:pPr>
        <w:pStyle w:val="a3"/>
        <w:rPr>
          <w:kern w:val="0"/>
        </w:rPr>
      </w:pPr>
      <w:r>
        <w:rPr>
          <w:kern w:val="0"/>
        </w:rPr>
        <w:t>Keywords: Adult, Authors, Bone, Bone Loss, Bone-Mineral Density, Calcium, Cochrane, Databases, Elderly-Women, EMBASE, Extraction, Fracture, Hip Fracture</w:t>
      </w:r>
      <w:r w:rsidR="00D5664A">
        <w:rPr>
          <w:kern w:val="0"/>
        </w:rPr>
        <w:t>, ISI,</w:t>
      </w:r>
      <w:r>
        <w:rPr>
          <w:kern w:val="0"/>
        </w:rPr>
        <w:t xml:space="preserve"> Japanese, Medical Research, </w:t>
      </w:r>
      <w:r w:rsidR="00D5664A">
        <w:rPr>
          <w:kern w:val="0"/>
        </w:rPr>
        <w:t>MEDLINE</w:t>
      </w:r>
      <w:r>
        <w:rPr>
          <w:kern w:val="0"/>
        </w:rPr>
        <w:t>, Men, Menatetrenone, Meta-Analysis, Osteoporosis, Postmenopa</w:t>
      </w:r>
      <w:r w:rsidR="00D5664A">
        <w:rPr>
          <w:kern w:val="0"/>
        </w:rPr>
        <w:t>USA</w:t>
      </w:r>
      <w:r>
        <w:rPr>
          <w:kern w:val="0"/>
        </w:rPr>
        <w:t xml:space="preserve">l Women, Prevention, Randomized Controlled Trials, Ratio, Research, Review, Risk, Science, Sources, Supplementation, Systematic, Systematic Review, </w:t>
      </w:r>
      <w:r w:rsidR="00D5664A">
        <w:rPr>
          <w:kern w:val="0"/>
        </w:rPr>
        <w:t>Web</w:t>
      </w:r>
      <w:r w:rsidR="00427468">
        <w:rPr>
          <w:kern w:val="0"/>
        </w:rPr>
        <w:t xml:space="preserve"> of </w:t>
      </w:r>
      <w:r w:rsidR="00D5664A">
        <w:rPr>
          <w:kern w:val="0"/>
        </w:rPr>
        <w:t>Science</w:t>
      </w:r>
    </w:p>
    <w:p w:rsidR="006653A3" w:rsidRDefault="006653A3" w:rsidP="006653A3">
      <w:pPr>
        <w:pStyle w:val="a3"/>
        <w:rPr>
          <w:kern w:val="0"/>
        </w:rPr>
      </w:pPr>
      <w:r>
        <w:rPr>
          <w:rFonts w:hint="eastAsia"/>
          <w:kern w:val="0"/>
        </w:rPr>
        <w:t xml:space="preserve">? </w:t>
      </w:r>
      <w:r>
        <w:rPr>
          <w:kern w:val="0"/>
        </w:rPr>
        <w:t>Bates, M.N., Khalakdina, A., Pai, M., Chang, L., Lessa, F.</w:t>
      </w:r>
      <w:r w:rsidR="005853A9">
        <w:rPr>
          <w:kern w:val="0"/>
        </w:rPr>
        <w:t xml:space="preserve"> and </w:t>
      </w:r>
      <w:r>
        <w:rPr>
          <w:kern w:val="0"/>
        </w:rPr>
        <w:t>Smith, K.R. (2007), Risk</w:t>
      </w:r>
      <w:r w:rsidR="00427468">
        <w:rPr>
          <w:kern w:val="0"/>
        </w:rPr>
        <w:t xml:space="preserve"> of </w:t>
      </w:r>
      <w:r>
        <w:rPr>
          <w:kern w:val="0"/>
        </w:rPr>
        <w:t>tuberculosis from exposure to tobacco smoke: A systematic review</w:t>
      </w:r>
      <w:r w:rsidR="005853A9">
        <w:rPr>
          <w:kern w:val="0"/>
        </w:rPr>
        <w:t xml:space="preserve"> and </w:t>
      </w:r>
      <w:r>
        <w:rPr>
          <w:kern w:val="0"/>
        </w:rPr>
        <w:t xml:space="preserve">meta-analysis. </w:t>
      </w:r>
      <w:r>
        <w:rPr>
          <w:i/>
          <w:iCs/>
          <w:kern w:val="0"/>
        </w:rPr>
        <w:t>Archives</w:t>
      </w:r>
      <w:r w:rsidR="00427468">
        <w:rPr>
          <w:i/>
          <w:iCs/>
          <w:kern w:val="0"/>
        </w:rPr>
        <w:t xml:space="preserve"> of </w:t>
      </w:r>
      <w:r>
        <w:rPr>
          <w:i/>
          <w:iCs/>
          <w:kern w:val="0"/>
        </w:rPr>
        <w:t>Internal Medicine</w:t>
      </w:r>
      <w:r>
        <w:rPr>
          <w:kern w:val="0"/>
        </w:rPr>
        <w:t xml:space="preserve">, </w:t>
      </w:r>
      <w:r>
        <w:rPr>
          <w:b/>
          <w:bCs/>
          <w:kern w:val="0"/>
        </w:rPr>
        <w:t>167</w:t>
      </w:r>
      <w:r>
        <w:rPr>
          <w:kern w:val="0"/>
        </w:rPr>
        <w:t xml:space="preserve"> (4), 335-342.</w:t>
      </w:r>
    </w:p>
    <w:p w:rsidR="00CD1414" w:rsidRDefault="00CD1414" w:rsidP="00CD1414">
      <w:pPr>
        <w:pStyle w:val="a3"/>
        <w:rPr>
          <w:kern w:val="0"/>
          <w:szCs w:val="24"/>
        </w:rPr>
      </w:pPr>
      <w:r>
        <w:rPr>
          <w:rFonts w:hint="eastAsia"/>
          <w:kern w:val="0"/>
          <w:szCs w:val="24"/>
        </w:rPr>
        <w:t xml:space="preserve">Full Text: </w:t>
      </w:r>
      <w:hyperlink r:id="rId1135" w:history="1">
        <w:r w:rsidRPr="00CD1414">
          <w:rPr>
            <w:rStyle w:val="a5"/>
            <w:kern w:val="0"/>
            <w:szCs w:val="24"/>
          </w:rPr>
          <w:t>2007\Arc Int Med167, 335.pdf</w:t>
        </w:r>
      </w:hyperlink>
    </w:p>
    <w:p w:rsidR="006653A3" w:rsidRDefault="006653A3" w:rsidP="006653A3">
      <w:pPr>
        <w:pStyle w:val="a3"/>
        <w:rPr>
          <w:kern w:val="0"/>
        </w:rPr>
      </w:pPr>
      <w:r>
        <w:rPr>
          <w:kern w:val="0"/>
        </w:rPr>
        <w:t>Abstract: Background: There is no consensus whether tobacco smoking increases risk</w:t>
      </w:r>
      <w:r w:rsidR="00427468">
        <w:rPr>
          <w:kern w:val="0"/>
        </w:rPr>
        <w:t xml:space="preserve"> of </w:t>
      </w:r>
      <w:r>
        <w:rPr>
          <w:kern w:val="0"/>
        </w:rPr>
        <w:t xml:space="preserve">tuberculosis </w:t>
      </w:r>
      <w:r w:rsidR="005A48B0">
        <w:rPr>
          <w:kern w:val="0"/>
        </w:rPr>
        <w:t>(</w:t>
      </w:r>
      <w:r>
        <w:rPr>
          <w:kern w:val="0"/>
        </w:rPr>
        <w:t>TB) infection, disease, or mortality. Whether this is so has substantial implications for tobacco</w:t>
      </w:r>
      <w:r w:rsidR="005853A9">
        <w:rPr>
          <w:kern w:val="0"/>
        </w:rPr>
        <w:t xml:space="preserve"> and </w:t>
      </w:r>
      <w:r>
        <w:rPr>
          <w:kern w:val="0"/>
        </w:rPr>
        <w:t>TB control policies. Objective: To quantify</w:t>
      </w:r>
      <w:r w:rsidR="003A1917">
        <w:rPr>
          <w:kern w:val="0"/>
        </w:rPr>
        <w:t xml:space="preserve"> the </w:t>
      </w:r>
      <w:r>
        <w:rPr>
          <w:kern w:val="0"/>
        </w:rPr>
        <w:t>relationship between active tobacco smoking</w:t>
      </w:r>
      <w:r w:rsidR="005853A9">
        <w:rPr>
          <w:kern w:val="0"/>
        </w:rPr>
        <w:t xml:space="preserve"> and </w:t>
      </w:r>
      <w:r>
        <w:rPr>
          <w:kern w:val="0"/>
        </w:rPr>
        <w:t>TB infection, pulmonary disease,</w:t>
      </w:r>
      <w:r w:rsidR="005853A9">
        <w:rPr>
          <w:kern w:val="0"/>
        </w:rPr>
        <w:t xml:space="preserve"> </w:t>
      </w:r>
      <w:r w:rsidR="005853A9">
        <w:rPr>
          <w:kern w:val="0"/>
        </w:rPr>
        <w:lastRenderedPageBreak/>
        <w:t xml:space="preserve">and </w:t>
      </w:r>
      <w:r>
        <w:rPr>
          <w:kern w:val="0"/>
        </w:rPr>
        <w:t>mortality using meta-analytic methods. Methods: Eight databases (</w:t>
      </w:r>
      <w:r w:rsidR="002C12F0">
        <w:rPr>
          <w:kern w:val="0"/>
        </w:rPr>
        <w:t>PUBMED</w:t>
      </w:r>
      <w:r>
        <w:rPr>
          <w:kern w:val="0"/>
        </w:rPr>
        <w:t xml:space="preserve">, Current Contents, BIOSIS, EMBASE, </w:t>
      </w:r>
      <w:r w:rsidR="00D5664A">
        <w:rPr>
          <w:kern w:val="0"/>
        </w:rPr>
        <w:t>Web</w:t>
      </w:r>
      <w:r w:rsidR="00427468">
        <w:rPr>
          <w:kern w:val="0"/>
        </w:rPr>
        <w:t xml:space="preserve"> of </w:t>
      </w:r>
      <w:r w:rsidR="00D5664A">
        <w:rPr>
          <w:kern w:val="0"/>
        </w:rPr>
        <w:t>Science</w:t>
      </w:r>
      <w:r>
        <w:rPr>
          <w:kern w:val="0"/>
        </w:rPr>
        <w:t>, Centers for Disease Control</w:t>
      </w:r>
      <w:r w:rsidR="005853A9">
        <w:rPr>
          <w:kern w:val="0"/>
        </w:rPr>
        <w:t xml:space="preserve"> and </w:t>
      </w:r>
      <w:r>
        <w:rPr>
          <w:kern w:val="0"/>
        </w:rPr>
        <w:t>Prevention Tobacco Information</w:t>
      </w:r>
      <w:r w:rsidR="005853A9">
        <w:rPr>
          <w:kern w:val="0"/>
        </w:rPr>
        <w:t xml:space="preserve"> and </w:t>
      </w:r>
      <w:r>
        <w:rPr>
          <w:kern w:val="0"/>
        </w:rPr>
        <w:t>Prevention Source [TIPS], Smoking</w:t>
      </w:r>
      <w:r w:rsidR="005853A9">
        <w:rPr>
          <w:kern w:val="0"/>
        </w:rPr>
        <w:t xml:space="preserve"> and </w:t>
      </w:r>
      <w:r>
        <w:rPr>
          <w:kern w:val="0"/>
        </w:rPr>
        <w:t xml:space="preserve">Health Database </w:t>
      </w:r>
      <w:r w:rsidR="00A636E3">
        <w:rPr>
          <w:kern w:val="0"/>
        </w:rPr>
        <w:t>[</w:t>
      </w:r>
      <w:r>
        <w:rPr>
          <w:kern w:val="0"/>
        </w:rPr>
        <w:t>Institute for Science</w:t>
      </w:r>
      <w:r w:rsidR="005853A9">
        <w:rPr>
          <w:kern w:val="0"/>
        </w:rPr>
        <w:t xml:space="preserve"> and </w:t>
      </w:r>
      <w:r>
        <w:rPr>
          <w:kern w:val="0"/>
        </w:rPr>
        <w:t>Health],</w:t>
      </w:r>
      <w:r w:rsidR="005853A9">
        <w:rPr>
          <w:kern w:val="0"/>
        </w:rPr>
        <w:t xml:space="preserve"> and </w:t>
      </w:r>
      <w:r>
        <w:rPr>
          <w:kern w:val="0"/>
        </w:rPr>
        <w:t>National Library</w:t>
      </w:r>
      <w:r w:rsidR="00427468">
        <w:rPr>
          <w:kern w:val="0"/>
        </w:rPr>
        <w:t xml:space="preserve"> of </w:t>
      </w:r>
      <w:r>
        <w:rPr>
          <w:kern w:val="0"/>
        </w:rPr>
        <w:t>Medicine Gateway)</w:t>
      </w:r>
      <w:r w:rsidR="005853A9">
        <w:rPr>
          <w:kern w:val="0"/>
        </w:rPr>
        <w:t xml:space="preserve"> and </w:t>
      </w:r>
      <w:r w:rsidR="003A1917">
        <w:rPr>
          <w:kern w:val="0"/>
        </w:rPr>
        <w:t xml:space="preserve">the </w:t>
      </w:r>
      <w:r>
        <w:rPr>
          <w:kern w:val="0"/>
        </w:rPr>
        <w:t>Cochrane Tobacco Addiction Group Trials Register were searched for relevant articles published between 1953</w:t>
      </w:r>
      <w:r w:rsidR="005853A9">
        <w:rPr>
          <w:kern w:val="0"/>
        </w:rPr>
        <w:t xml:space="preserve"> and </w:t>
      </w:r>
      <w:r>
        <w:rPr>
          <w:kern w:val="0"/>
        </w:rPr>
        <w:t>2005. Study Selection: Included were epidemiologic studies that provided a relative risk (RR) estimate for</w:t>
      </w:r>
      <w:r w:rsidR="003A1917">
        <w:rPr>
          <w:kern w:val="0"/>
        </w:rPr>
        <w:t xml:space="preserve"> the </w:t>
      </w:r>
      <w:r>
        <w:rPr>
          <w:kern w:val="0"/>
        </w:rPr>
        <w:t>association between TB (infection, pulmonary disease, or mortality)</w:t>
      </w:r>
      <w:r w:rsidR="005853A9">
        <w:rPr>
          <w:kern w:val="0"/>
        </w:rPr>
        <w:t xml:space="preserve"> and </w:t>
      </w:r>
      <w:r>
        <w:rPr>
          <w:kern w:val="0"/>
        </w:rPr>
        <w:t>active tobacco smoking stratified by (or adjusted for) at least age</w:t>
      </w:r>
      <w:r w:rsidR="005853A9">
        <w:rPr>
          <w:kern w:val="0"/>
        </w:rPr>
        <w:t xml:space="preserve"> and </w:t>
      </w:r>
      <w:r>
        <w:rPr>
          <w:kern w:val="0"/>
        </w:rPr>
        <w:t>sex</w:t>
      </w:r>
      <w:r w:rsidR="005853A9">
        <w:rPr>
          <w:kern w:val="0"/>
        </w:rPr>
        <w:t xml:space="preserve"> and </w:t>
      </w:r>
      <w:r>
        <w:rPr>
          <w:kern w:val="0"/>
        </w:rPr>
        <w:t>a corresponding 95% confidence interval (CI) (or data for calculation). Excluded were reports</w:t>
      </w:r>
      <w:r w:rsidR="00427468">
        <w:rPr>
          <w:kern w:val="0"/>
        </w:rPr>
        <w:t xml:space="preserve"> of </w:t>
      </w:r>
      <w:r>
        <w:rPr>
          <w:kern w:val="0"/>
        </w:rPr>
        <w:t>extrapulmonary TB, studies conducted in populations prone to high levels</w:t>
      </w:r>
      <w:r w:rsidR="00427468">
        <w:rPr>
          <w:kern w:val="0"/>
        </w:rPr>
        <w:t xml:space="preserve"> of </w:t>
      </w:r>
      <w:r>
        <w:rPr>
          <w:kern w:val="0"/>
        </w:rPr>
        <w:t>smoking or high rates</w:t>
      </w:r>
      <w:r w:rsidR="00427468">
        <w:rPr>
          <w:kern w:val="0"/>
        </w:rPr>
        <w:t xml:space="preserve"> of </w:t>
      </w:r>
      <w:r>
        <w:rPr>
          <w:kern w:val="0"/>
        </w:rPr>
        <w:t>TB,</w:t>
      </w:r>
      <w:r w:rsidR="005853A9">
        <w:rPr>
          <w:kern w:val="0"/>
        </w:rPr>
        <w:t xml:space="preserve"> and </w:t>
      </w:r>
      <w:r>
        <w:rPr>
          <w:kern w:val="0"/>
        </w:rPr>
        <w:t>case-control studies in which controls were not representative</w:t>
      </w:r>
      <w:r w:rsidR="00427468">
        <w:rPr>
          <w:kern w:val="0"/>
        </w:rPr>
        <w:t xml:space="preserve"> of </w:t>
      </w:r>
      <w:r w:rsidR="003A1917">
        <w:rPr>
          <w:kern w:val="0"/>
        </w:rPr>
        <w:t xml:space="preserve">the </w:t>
      </w:r>
      <w:r>
        <w:rPr>
          <w:kern w:val="0"/>
        </w:rPr>
        <w:t>population that generated</w:t>
      </w:r>
      <w:r w:rsidR="003A1917">
        <w:rPr>
          <w:kern w:val="0"/>
        </w:rPr>
        <w:t xml:space="preserve"> the </w:t>
      </w:r>
      <w:r>
        <w:rPr>
          <w:kern w:val="0"/>
        </w:rPr>
        <w:t>cases, as well as case series, case reports, abstracts, editorials,</w:t>
      </w:r>
      <w:r w:rsidR="005853A9">
        <w:rPr>
          <w:kern w:val="0"/>
        </w:rPr>
        <w:t xml:space="preserve"> and </w:t>
      </w:r>
      <w:r>
        <w:rPr>
          <w:kern w:val="0"/>
        </w:rPr>
        <w:t>literature reviews. Data Extraction: Twenty-four studies were included in</w:t>
      </w:r>
      <w:r w:rsidR="003A1917">
        <w:rPr>
          <w:kern w:val="0"/>
        </w:rPr>
        <w:t xml:space="preserve"> the </w:t>
      </w:r>
      <w:r>
        <w:rPr>
          <w:kern w:val="0"/>
        </w:rPr>
        <w:t>meta-analysis. Extracted data included study design, population</w:t>
      </w:r>
      <w:r w:rsidR="005853A9">
        <w:rPr>
          <w:kern w:val="0"/>
        </w:rPr>
        <w:t xml:space="preserve"> and </w:t>
      </w:r>
      <w:r>
        <w:rPr>
          <w:kern w:val="0"/>
        </w:rPr>
        <w:t>diagnostic details, smoking type,</w:t>
      </w:r>
      <w:r w:rsidR="005853A9">
        <w:rPr>
          <w:kern w:val="0"/>
        </w:rPr>
        <w:t xml:space="preserve"> and </w:t>
      </w:r>
      <w:r>
        <w:rPr>
          <w:kern w:val="0"/>
        </w:rPr>
        <w:t>TB outcomes. Data Synthesis: A random-effects model was used to pool data across studies. Separate analyses were performed for TB infection (6 studies), TB disease (13 studies),</w:t>
      </w:r>
      <w:r w:rsidR="005853A9">
        <w:rPr>
          <w:kern w:val="0"/>
        </w:rPr>
        <w:t xml:space="preserve"> and </w:t>
      </w:r>
      <w:r>
        <w:rPr>
          <w:kern w:val="0"/>
        </w:rPr>
        <w:t>TB mortality (5 studies). For TB infection,</w:t>
      </w:r>
      <w:r w:rsidR="003A1917">
        <w:rPr>
          <w:kern w:val="0"/>
        </w:rPr>
        <w:t xml:space="preserve"> the </w:t>
      </w:r>
      <w:r>
        <w:rPr>
          <w:kern w:val="0"/>
        </w:rPr>
        <w:t>summary RR estimate was 1.73 (95% CI, 1.46-2.04); for TB disease, estimates ranged from 2.33 (95% CI, 1.97-2.75) to 2.66 (95% CI, 2.15- 3.28). This suggests an RR</w:t>
      </w:r>
      <w:r w:rsidR="00427468">
        <w:rPr>
          <w:kern w:val="0"/>
        </w:rPr>
        <w:t xml:space="preserve"> of </w:t>
      </w:r>
      <w:r>
        <w:rPr>
          <w:kern w:val="0"/>
        </w:rPr>
        <w:t>1.4 to 1.6 for development</w:t>
      </w:r>
      <w:r w:rsidR="00427468">
        <w:rPr>
          <w:kern w:val="0"/>
        </w:rPr>
        <w:t xml:space="preserve"> of </w:t>
      </w:r>
      <w:r>
        <w:rPr>
          <w:kern w:val="0"/>
        </w:rPr>
        <w:t>disease in an infected population</w:t>
      </w:r>
      <w:r w:rsidR="00A37C1D">
        <w:rPr>
          <w:kern w:val="0"/>
        </w:rPr>
        <w:t>. The</w:t>
      </w:r>
      <w:r w:rsidR="003A1917">
        <w:rPr>
          <w:kern w:val="0"/>
        </w:rPr>
        <w:t xml:space="preserve"> </w:t>
      </w:r>
      <w:r>
        <w:rPr>
          <w:kern w:val="0"/>
        </w:rPr>
        <w:t>TB mortality RRs were mostly below</w:t>
      </w:r>
      <w:r w:rsidR="003A1917">
        <w:rPr>
          <w:kern w:val="0"/>
        </w:rPr>
        <w:t xml:space="preserve"> the </w:t>
      </w:r>
      <w:r>
        <w:rPr>
          <w:kern w:val="0"/>
        </w:rPr>
        <w:t>TB disease RRs, suggesting no additional mortality risk from smoking in those with active TB. Conclusions:</w:t>
      </w:r>
      <w:r w:rsidR="003A1917">
        <w:rPr>
          <w:kern w:val="0"/>
        </w:rPr>
        <w:t xml:space="preserve"> the </w:t>
      </w:r>
      <w:r>
        <w:rPr>
          <w:kern w:val="0"/>
        </w:rPr>
        <w:t>meta- analysis produced evidence that smoking is a risk factor for TB infection</w:t>
      </w:r>
      <w:r w:rsidR="005853A9">
        <w:rPr>
          <w:kern w:val="0"/>
        </w:rPr>
        <w:t xml:space="preserve"> and </w:t>
      </w:r>
      <w:r>
        <w:rPr>
          <w:kern w:val="0"/>
        </w:rPr>
        <w:t>TB disease. However, it is not clear that smoking causes additional mortality risk in persons who already have active TB. Tuberculosis control policies should in</w:t>
      </w:r>
      <w:r w:rsidR="003A1917">
        <w:rPr>
          <w:kern w:val="0"/>
        </w:rPr>
        <w:t xml:space="preserve"> the </w:t>
      </w:r>
      <w:r>
        <w:rPr>
          <w:kern w:val="0"/>
        </w:rPr>
        <w:t>future incorporate tobacco control as a preventive intervention.</w:t>
      </w:r>
    </w:p>
    <w:p w:rsidR="006653A3" w:rsidRDefault="006653A3" w:rsidP="006653A3">
      <w:pPr>
        <w:pStyle w:val="a3"/>
        <w:rPr>
          <w:kern w:val="0"/>
        </w:rPr>
      </w:pPr>
      <w:r>
        <w:rPr>
          <w:kern w:val="0"/>
        </w:rPr>
        <w:t xml:space="preserve">Keywords: Addiction, Analysis, Association, Case Reports, Case Series, Case-Control Studies, Cigarette-Smoking, Cochrane, Control, Databases, Deaths, Development, Disease, EMBASE, Epidemiologic Studies, Extraction, Health, Hong-Kong, India, Infection, Intervention, Literature, Meta-Analysis, Methods, Model, Mortality, Outcomes, Policies, Prevalence, </w:t>
      </w:r>
      <w:r w:rsidR="002C12F0">
        <w:rPr>
          <w:kern w:val="0"/>
        </w:rPr>
        <w:t>PUBMED</w:t>
      </w:r>
      <w:r>
        <w:rPr>
          <w:kern w:val="0"/>
        </w:rPr>
        <w:t xml:space="preserve">, Pulmonary Tuberculosis, Relative Risk, Review, Risk, Science, Smoking, Systematic, Systematic Review, Tb, Tobacco, Tobacco Control, Tuberculosis, Verbal Autopsy, </w:t>
      </w:r>
      <w:r w:rsidR="00D5664A">
        <w:rPr>
          <w:kern w:val="0"/>
        </w:rPr>
        <w:t>Web</w:t>
      </w:r>
      <w:r w:rsidR="00427468">
        <w:rPr>
          <w:kern w:val="0"/>
        </w:rPr>
        <w:t xml:space="preserve"> of </w:t>
      </w:r>
      <w:r w:rsidR="00D5664A">
        <w:rPr>
          <w:kern w:val="0"/>
        </w:rPr>
        <w:t>Science</w:t>
      </w:r>
    </w:p>
    <w:p w:rsidR="00CD1414" w:rsidRDefault="00CD1414" w:rsidP="00CD1414">
      <w:pPr>
        <w:pStyle w:val="a3"/>
        <w:rPr>
          <w:kern w:val="0"/>
        </w:rPr>
      </w:pPr>
      <w:r>
        <w:rPr>
          <w:rFonts w:hint="eastAsia"/>
          <w:kern w:val="0"/>
        </w:rPr>
        <w:t xml:space="preserve">? </w:t>
      </w:r>
      <w:r>
        <w:rPr>
          <w:kern w:val="0"/>
        </w:rPr>
        <w:t>Taubert, D., Roesen, R.</w:t>
      </w:r>
      <w:r w:rsidR="005853A9">
        <w:rPr>
          <w:kern w:val="0"/>
        </w:rPr>
        <w:t xml:space="preserve"> and </w:t>
      </w:r>
      <w:r>
        <w:rPr>
          <w:kern w:val="0"/>
        </w:rPr>
        <w:t>Schoemig, E. (2007), Effect</w:t>
      </w:r>
      <w:r w:rsidR="00427468">
        <w:rPr>
          <w:kern w:val="0"/>
        </w:rPr>
        <w:t xml:space="preserve"> of </w:t>
      </w:r>
      <w:r>
        <w:rPr>
          <w:kern w:val="0"/>
        </w:rPr>
        <w:t>cocoa</w:t>
      </w:r>
      <w:r w:rsidR="005853A9">
        <w:rPr>
          <w:kern w:val="0"/>
        </w:rPr>
        <w:t xml:space="preserve"> and </w:t>
      </w:r>
      <w:r>
        <w:rPr>
          <w:kern w:val="0"/>
        </w:rPr>
        <w:t xml:space="preserve">tea intake on blood pressure - A meta-analysis. </w:t>
      </w:r>
      <w:r>
        <w:rPr>
          <w:i/>
          <w:iCs/>
          <w:kern w:val="0"/>
        </w:rPr>
        <w:t>Archives</w:t>
      </w:r>
      <w:r w:rsidR="00427468">
        <w:rPr>
          <w:i/>
          <w:iCs/>
          <w:kern w:val="0"/>
        </w:rPr>
        <w:t xml:space="preserve"> of </w:t>
      </w:r>
      <w:r>
        <w:rPr>
          <w:i/>
          <w:iCs/>
          <w:kern w:val="0"/>
        </w:rPr>
        <w:t>Internal Medicine</w:t>
      </w:r>
      <w:r>
        <w:rPr>
          <w:kern w:val="0"/>
        </w:rPr>
        <w:t xml:space="preserve">, </w:t>
      </w:r>
      <w:r>
        <w:rPr>
          <w:b/>
          <w:bCs/>
          <w:kern w:val="0"/>
        </w:rPr>
        <w:t>167</w:t>
      </w:r>
      <w:r>
        <w:rPr>
          <w:kern w:val="0"/>
        </w:rPr>
        <w:t xml:space="preserve"> (7), 626-634.</w:t>
      </w:r>
    </w:p>
    <w:p w:rsidR="00CD1414" w:rsidRDefault="00CD1414" w:rsidP="00CD1414">
      <w:pPr>
        <w:pStyle w:val="a3"/>
        <w:rPr>
          <w:kern w:val="0"/>
          <w:szCs w:val="24"/>
        </w:rPr>
      </w:pPr>
      <w:r>
        <w:rPr>
          <w:rFonts w:hint="eastAsia"/>
          <w:kern w:val="0"/>
          <w:szCs w:val="24"/>
        </w:rPr>
        <w:t xml:space="preserve">Full Text: </w:t>
      </w:r>
      <w:hyperlink r:id="rId1136" w:history="1">
        <w:r w:rsidRPr="00CD1414">
          <w:rPr>
            <w:rStyle w:val="a5"/>
            <w:kern w:val="0"/>
            <w:szCs w:val="24"/>
          </w:rPr>
          <w:t>2007\Arc Int Med167, 626.pdf</w:t>
        </w:r>
      </w:hyperlink>
    </w:p>
    <w:p w:rsidR="00CD1414" w:rsidRDefault="00CD1414" w:rsidP="00CD1414">
      <w:pPr>
        <w:pStyle w:val="a3"/>
        <w:rPr>
          <w:kern w:val="0"/>
        </w:rPr>
      </w:pPr>
      <w:r>
        <w:rPr>
          <w:kern w:val="0"/>
        </w:rPr>
        <w:t>Abstract: Background: Epidemiological evidence suggests blood pressure-lowering effects</w:t>
      </w:r>
      <w:r w:rsidR="00427468">
        <w:rPr>
          <w:kern w:val="0"/>
        </w:rPr>
        <w:t xml:space="preserve"> of </w:t>
      </w:r>
      <w:r>
        <w:rPr>
          <w:kern w:val="0"/>
        </w:rPr>
        <w:t>cocoa</w:t>
      </w:r>
      <w:r w:rsidR="005853A9">
        <w:rPr>
          <w:kern w:val="0"/>
        </w:rPr>
        <w:t xml:space="preserve"> and </w:t>
      </w:r>
      <w:r>
        <w:rPr>
          <w:kern w:val="0"/>
        </w:rPr>
        <w:t>tea. We undertook a meta-analysis</w:t>
      </w:r>
      <w:r w:rsidR="00427468">
        <w:rPr>
          <w:kern w:val="0"/>
        </w:rPr>
        <w:t xml:space="preserve"> of </w:t>
      </w:r>
      <w:r>
        <w:rPr>
          <w:kern w:val="0"/>
        </w:rPr>
        <w:t xml:space="preserve">randomized controlled </w:t>
      </w:r>
      <w:r>
        <w:rPr>
          <w:kern w:val="0"/>
        </w:rPr>
        <w:lastRenderedPageBreak/>
        <w:t>trials to determine changes in systolic</w:t>
      </w:r>
      <w:r w:rsidR="005853A9">
        <w:rPr>
          <w:kern w:val="0"/>
        </w:rPr>
        <w:t xml:space="preserve"> and </w:t>
      </w:r>
      <w:r>
        <w:rPr>
          <w:kern w:val="0"/>
        </w:rPr>
        <w:t>diastolic blood pressure due to</w:t>
      </w:r>
      <w:r w:rsidR="003A1917">
        <w:rPr>
          <w:kern w:val="0"/>
        </w:rPr>
        <w:t xml:space="preserve"> the </w:t>
      </w:r>
      <w:r>
        <w:rPr>
          <w:kern w:val="0"/>
        </w:rPr>
        <w:t>intake</w:t>
      </w:r>
      <w:r w:rsidR="00427468">
        <w:rPr>
          <w:kern w:val="0"/>
        </w:rPr>
        <w:t xml:space="preserve"> of </w:t>
      </w:r>
      <w:r>
        <w:rPr>
          <w:kern w:val="0"/>
        </w:rPr>
        <w:t>cocoa products or black</w:t>
      </w:r>
      <w:r w:rsidR="005853A9">
        <w:rPr>
          <w:kern w:val="0"/>
        </w:rPr>
        <w:t xml:space="preserve"> and </w:t>
      </w:r>
      <w:r>
        <w:rPr>
          <w:kern w:val="0"/>
        </w:rPr>
        <w:t xml:space="preserve">green tea. Methods: </w:t>
      </w:r>
      <w:r w:rsidR="00D5664A">
        <w:rPr>
          <w:kern w:val="0"/>
        </w:rPr>
        <w:t>MEDLINE</w:t>
      </w:r>
      <w:r>
        <w:rPr>
          <w:kern w:val="0"/>
        </w:rPr>
        <w:t>, EMBASE, SCOPUS, Science Citation Index,</w:t>
      </w:r>
      <w:r w:rsidR="005853A9">
        <w:rPr>
          <w:kern w:val="0"/>
        </w:rPr>
        <w:t xml:space="preserve"> and </w:t>
      </w:r>
      <w:r w:rsidR="003A1917">
        <w:rPr>
          <w:kern w:val="0"/>
        </w:rPr>
        <w:t xml:space="preserve">the </w:t>
      </w:r>
      <w:r>
        <w:rPr>
          <w:kern w:val="0"/>
        </w:rPr>
        <w:t>Cochrane Controlled Trials Register were searched from 1966 until October 2006 for studies in parallel group or crossover design involving 10 or more adults in whom blood pressure was assessed before</w:t>
      </w:r>
      <w:r w:rsidR="005853A9">
        <w:rPr>
          <w:kern w:val="0"/>
        </w:rPr>
        <w:t xml:space="preserve"> and </w:t>
      </w:r>
      <w:r>
        <w:rPr>
          <w:kern w:val="0"/>
        </w:rPr>
        <w:t>after receiving cocoa products or black or green tea for at least 7 days. Results: Five randomized controlled studies</w:t>
      </w:r>
      <w:r w:rsidR="00427468">
        <w:rPr>
          <w:kern w:val="0"/>
        </w:rPr>
        <w:t xml:space="preserve"> of </w:t>
      </w:r>
      <w:r>
        <w:rPr>
          <w:kern w:val="0"/>
        </w:rPr>
        <w:t>cocoa administration involving a total</w:t>
      </w:r>
      <w:r w:rsidR="00427468">
        <w:rPr>
          <w:kern w:val="0"/>
        </w:rPr>
        <w:t xml:space="preserve"> of </w:t>
      </w:r>
      <w:r>
        <w:rPr>
          <w:kern w:val="0"/>
        </w:rPr>
        <w:t>173 subjects with a median duration</w:t>
      </w:r>
      <w:r w:rsidR="00427468">
        <w:rPr>
          <w:kern w:val="0"/>
        </w:rPr>
        <w:t xml:space="preserve"> of </w:t>
      </w:r>
      <w:r>
        <w:rPr>
          <w:kern w:val="0"/>
        </w:rPr>
        <w:t>2 weeks were included. After</w:t>
      </w:r>
      <w:r w:rsidR="003A1917">
        <w:rPr>
          <w:kern w:val="0"/>
        </w:rPr>
        <w:t xml:space="preserve"> the </w:t>
      </w:r>
      <w:r>
        <w:rPr>
          <w:kern w:val="0"/>
        </w:rPr>
        <w:t>cocoa diets,</w:t>
      </w:r>
      <w:r w:rsidR="003A1917">
        <w:rPr>
          <w:kern w:val="0"/>
        </w:rPr>
        <w:t xml:space="preserve"> the </w:t>
      </w:r>
      <w:r>
        <w:rPr>
          <w:kern w:val="0"/>
        </w:rPr>
        <w:t>pooled mean systolic</w:t>
      </w:r>
      <w:r w:rsidR="005853A9">
        <w:rPr>
          <w:kern w:val="0"/>
        </w:rPr>
        <w:t xml:space="preserve"> and </w:t>
      </w:r>
      <w:r>
        <w:rPr>
          <w:kern w:val="0"/>
        </w:rPr>
        <w:t>diastolic blood pressure were -4.7 mm Hg (95% confidence interval [CI], -7.6 to -1.8 mm Hg; P=.002)</w:t>
      </w:r>
      <w:r w:rsidR="005853A9">
        <w:rPr>
          <w:kern w:val="0"/>
        </w:rPr>
        <w:t xml:space="preserve"> and </w:t>
      </w:r>
      <w:r>
        <w:rPr>
          <w:kern w:val="0"/>
        </w:rPr>
        <w:t>-2.8 mm Hg (95% Cl, -4.8 to -0.8 mm Hg; P=.006) lower, respectively, compared with</w:t>
      </w:r>
      <w:r w:rsidR="003A1917">
        <w:rPr>
          <w:kern w:val="0"/>
        </w:rPr>
        <w:t xml:space="preserve"> the </w:t>
      </w:r>
      <w:r>
        <w:rPr>
          <w:kern w:val="0"/>
        </w:rPr>
        <w:t>cocoa-free controls. Five studies</w:t>
      </w:r>
      <w:r w:rsidR="00427468">
        <w:rPr>
          <w:kern w:val="0"/>
        </w:rPr>
        <w:t xml:space="preserve"> of </w:t>
      </w:r>
      <w:r>
        <w:rPr>
          <w:kern w:val="0"/>
        </w:rPr>
        <w:t>tea consumption involving a total</w:t>
      </w:r>
      <w:r w:rsidR="00427468">
        <w:rPr>
          <w:kern w:val="0"/>
        </w:rPr>
        <w:t xml:space="preserve"> of </w:t>
      </w:r>
      <w:r>
        <w:rPr>
          <w:kern w:val="0"/>
        </w:rPr>
        <w:t>343 subjects with a median duration</w:t>
      </w:r>
      <w:r w:rsidR="00427468">
        <w:rPr>
          <w:kern w:val="0"/>
        </w:rPr>
        <w:t xml:space="preserve"> of </w:t>
      </w:r>
      <w:r>
        <w:rPr>
          <w:kern w:val="0"/>
        </w:rPr>
        <w:t>4 weeks were selected</w:t>
      </w:r>
      <w:r w:rsidR="00A37C1D">
        <w:rPr>
          <w:kern w:val="0"/>
        </w:rPr>
        <w:t>. The</w:t>
      </w:r>
      <w:r w:rsidR="003A1917">
        <w:rPr>
          <w:kern w:val="0"/>
        </w:rPr>
        <w:t xml:space="preserve"> </w:t>
      </w:r>
      <w:r>
        <w:rPr>
          <w:kern w:val="0"/>
        </w:rPr>
        <w:t>tea intake had no significant effects on blood pressure</w:t>
      </w:r>
      <w:r w:rsidR="00A37C1D">
        <w:rPr>
          <w:kern w:val="0"/>
        </w:rPr>
        <w:t>. The</w:t>
      </w:r>
      <w:r w:rsidR="003A1917">
        <w:rPr>
          <w:kern w:val="0"/>
        </w:rPr>
        <w:t xml:space="preserve"> </w:t>
      </w:r>
      <w:r>
        <w:rPr>
          <w:kern w:val="0"/>
        </w:rPr>
        <w:t>estimated pooled changes were 0.4 mm Hg (95% CI, -1.3 to 2.2 mm. Hg; P=.63) in systolic</w:t>
      </w:r>
      <w:r w:rsidR="005853A9">
        <w:rPr>
          <w:kern w:val="0"/>
        </w:rPr>
        <w:t xml:space="preserve"> and </w:t>
      </w:r>
      <w:r>
        <w:rPr>
          <w:kern w:val="0"/>
        </w:rPr>
        <w:t>-0.6 mm Hg (95% Cl, -1.5 to 0.4 mm Hg; P=38) in diastolic blood pressure compared with controls. Conclusion: Current randomized dietary studies indicate that consumption</w:t>
      </w:r>
      <w:r w:rsidR="00427468">
        <w:rPr>
          <w:kern w:val="0"/>
        </w:rPr>
        <w:t xml:space="preserve"> of </w:t>
      </w:r>
      <w:r>
        <w:rPr>
          <w:kern w:val="0"/>
        </w:rPr>
        <w:t>foods rich in cocoa may reduce blood pressure, while tea intake appears to have no effect.</w:t>
      </w:r>
    </w:p>
    <w:p w:rsidR="00CD1414" w:rsidRDefault="00CD1414" w:rsidP="00CD1414">
      <w:pPr>
        <w:pStyle w:val="a3"/>
        <w:rPr>
          <w:kern w:val="0"/>
        </w:rPr>
      </w:pPr>
      <w:r>
        <w:rPr>
          <w:kern w:val="0"/>
        </w:rPr>
        <w:t xml:space="preserve">Keywords: Adults, Black Tea, Blood, Blood Pressure, Cardiovascular-Disease, Citation, Clinical-Trials, Cochrane, Controlled Studies, Coronary-Heart-Disease, Dependent Vasodilation, Design, Embase, Flavanol-Rich Cocoa, Green Tea, Insulin-Resistance, </w:t>
      </w:r>
      <w:r w:rsidR="00D5664A">
        <w:rPr>
          <w:kern w:val="0"/>
        </w:rPr>
        <w:t>MEDLINE</w:t>
      </w:r>
      <w:r>
        <w:rPr>
          <w:kern w:val="0"/>
        </w:rPr>
        <w:t>, Meta Analysis, Meta-Analysis, Methods, Platelet-Function, Pressure, Randomized Controlled Trials, Science, Science Citation Index, Scopus, Systolic Hypertension</w:t>
      </w:r>
    </w:p>
    <w:p w:rsidR="00C921D0" w:rsidRDefault="00C921D0" w:rsidP="00C921D0">
      <w:pPr>
        <w:pStyle w:val="a3"/>
        <w:rPr>
          <w:kern w:val="0"/>
        </w:rPr>
      </w:pPr>
      <w:r>
        <w:rPr>
          <w:rFonts w:hint="eastAsia"/>
          <w:kern w:val="0"/>
        </w:rPr>
        <w:t xml:space="preserve">? </w:t>
      </w:r>
      <w:r>
        <w:rPr>
          <w:kern w:val="0"/>
        </w:rPr>
        <w:t>Abdel-Latif, A., Bolli, R., Tleyjeh, I.M., Montori, V.M., Perin, E.C., Hornung, C.A., Zuba-Surma, E.K., Al-Mallah, M.</w:t>
      </w:r>
      <w:r w:rsidR="005853A9">
        <w:rPr>
          <w:kern w:val="0"/>
        </w:rPr>
        <w:t xml:space="preserve"> and </w:t>
      </w:r>
      <w:r>
        <w:rPr>
          <w:kern w:val="0"/>
        </w:rPr>
        <w:t>Dawn, B. (2007), Adult bone marrow-derived cells for cardiac repair</w:t>
      </w:r>
      <w:r>
        <w:rPr>
          <w:rFonts w:hint="eastAsia"/>
          <w:kern w:val="0"/>
        </w:rPr>
        <w:t>:</w:t>
      </w:r>
      <w:r>
        <w:rPr>
          <w:kern w:val="0"/>
        </w:rPr>
        <w:t xml:space="preserve"> A systematic review</w:t>
      </w:r>
      <w:r w:rsidR="005853A9">
        <w:rPr>
          <w:kern w:val="0"/>
        </w:rPr>
        <w:t xml:space="preserve"> and </w:t>
      </w:r>
      <w:r>
        <w:rPr>
          <w:kern w:val="0"/>
        </w:rPr>
        <w:t xml:space="preserve">meta-analysis. </w:t>
      </w:r>
      <w:r>
        <w:rPr>
          <w:i/>
          <w:iCs/>
          <w:kern w:val="0"/>
        </w:rPr>
        <w:t>Archives</w:t>
      </w:r>
      <w:r w:rsidR="00427468">
        <w:rPr>
          <w:i/>
          <w:iCs/>
          <w:kern w:val="0"/>
        </w:rPr>
        <w:t xml:space="preserve"> of </w:t>
      </w:r>
      <w:r>
        <w:rPr>
          <w:i/>
          <w:iCs/>
          <w:kern w:val="0"/>
        </w:rPr>
        <w:t>Internal Medicine</w:t>
      </w:r>
      <w:r>
        <w:rPr>
          <w:kern w:val="0"/>
        </w:rPr>
        <w:t xml:space="preserve">, </w:t>
      </w:r>
      <w:r>
        <w:rPr>
          <w:b/>
          <w:bCs/>
          <w:kern w:val="0"/>
        </w:rPr>
        <w:t>167</w:t>
      </w:r>
      <w:r>
        <w:rPr>
          <w:kern w:val="0"/>
        </w:rPr>
        <w:t xml:space="preserve"> (10), 989-997.</w:t>
      </w:r>
    </w:p>
    <w:p w:rsidR="00C921D0" w:rsidRDefault="00C921D0" w:rsidP="00C921D0">
      <w:pPr>
        <w:pStyle w:val="a3"/>
        <w:rPr>
          <w:kern w:val="0"/>
          <w:szCs w:val="24"/>
        </w:rPr>
      </w:pPr>
      <w:r>
        <w:rPr>
          <w:rFonts w:hint="eastAsia"/>
          <w:kern w:val="0"/>
          <w:szCs w:val="24"/>
        </w:rPr>
        <w:t xml:space="preserve">Full Text: </w:t>
      </w:r>
      <w:r w:rsidRPr="00C921D0">
        <w:rPr>
          <w:kern w:val="0"/>
          <w:szCs w:val="24"/>
        </w:rPr>
        <w:t>2007\Arc Int Med167, 989.pdf</w:t>
      </w:r>
    </w:p>
    <w:p w:rsidR="00C921D0" w:rsidRDefault="00C921D0" w:rsidP="00C921D0">
      <w:pPr>
        <w:pStyle w:val="a3"/>
        <w:rPr>
          <w:kern w:val="0"/>
        </w:rPr>
      </w:pPr>
      <w:r>
        <w:rPr>
          <w:kern w:val="0"/>
        </w:rPr>
        <w:t>Abstract: Background: The results from small clinical studies suggest that therapy with adult bone marrow ( BM) derived cells (BMCs) reduces infarct size</w:t>
      </w:r>
      <w:r w:rsidR="005853A9">
        <w:rPr>
          <w:kern w:val="0"/>
        </w:rPr>
        <w:t xml:space="preserve"> and </w:t>
      </w:r>
      <w:r>
        <w:rPr>
          <w:kern w:val="0"/>
        </w:rPr>
        <w:t>improves left ventricular function</w:t>
      </w:r>
      <w:r w:rsidR="005853A9">
        <w:rPr>
          <w:kern w:val="0"/>
        </w:rPr>
        <w:t xml:space="preserve"> and </w:t>
      </w:r>
      <w:r>
        <w:rPr>
          <w:kern w:val="0"/>
        </w:rPr>
        <w:t>perfusion. However, the effects</w:t>
      </w:r>
      <w:r w:rsidR="00427468">
        <w:rPr>
          <w:kern w:val="0"/>
        </w:rPr>
        <w:t xml:space="preserve"> of </w:t>
      </w:r>
      <w:r>
        <w:rPr>
          <w:kern w:val="0"/>
        </w:rPr>
        <w:t xml:space="preserve">BMC transplantation in patients with ischemic heart disease remains unclear. Methods: We searched </w:t>
      </w:r>
      <w:r w:rsidR="00D5664A">
        <w:rPr>
          <w:kern w:val="0"/>
        </w:rPr>
        <w:t>MEDLINE</w:t>
      </w:r>
      <w:r>
        <w:rPr>
          <w:kern w:val="0"/>
        </w:rPr>
        <w:t>, EMBASE, Science Citation Index, CINAHL (Cumulative Index to Nursing</w:t>
      </w:r>
      <w:r w:rsidR="005853A9">
        <w:rPr>
          <w:kern w:val="0"/>
        </w:rPr>
        <w:t xml:space="preserve"> and </w:t>
      </w:r>
      <w:r>
        <w:rPr>
          <w:kern w:val="0"/>
        </w:rPr>
        <w:t>Allied Health),</w:t>
      </w:r>
      <w:r w:rsidR="005853A9">
        <w:rPr>
          <w:kern w:val="0"/>
        </w:rPr>
        <w:t xml:space="preserve"> and </w:t>
      </w:r>
      <w:r>
        <w:rPr>
          <w:kern w:val="0"/>
        </w:rPr>
        <w:t>the Cochrane Central Register</w:t>
      </w:r>
      <w:r w:rsidR="00427468">
        <w:rPr>
          <w:kern w:val="0"/>
        </w:rPr>
        <w:t xml:space="preserve"> of </w:t>
      </w:r>
      <w:r>
        <w:rPr>
          <w:kern w:val="0"/>
        </w:rPr>
        <w:t>Controlled Trials (CENTRAL) (through July 2006) for randomized controlled trials</w:t>
      </w:r>
      <w:r w:rsidR="005853A9">
        <w:rPr>
          <w:kern w:val="0"/>
        </w:rPr>
        <w:t xml:space="preserve"> and </w:t>
      </w:r>
      <w:r>
        <w:rPr>
          <w:kern w:val="0"/>
        </w:rPr>
        <w:t>cohort studies</w:t>
      </w:r>
      <w:r w:rsidR="00427468">
        <w:rPr>
          <w:kern w:val="0"/>
        </w:rPr>
        <w:t xml:space="preserve"> of </w:t>
      </w:r>
      <w:r>
        <w:rPr>
          <w:kern w:val="0"/>
        </w:rPr>
        <w:t>BMC transplantation to treat ischemic heart disease. We conducted a random-effects meta-analysis across eligible studies measuring the same outcomes. Results: Eighteen studies (N = 999 patients) were eligible</w:t>
      </w:r>
      <w:r w:rsidR="00A37C1D">
        <w:rPr>
          <w:kern w:val="0"/>
        </w:rPr>
        <w:t>. The</w:t>
      </w:r>
      <w:r>
        <w:rPr>
          <w:kern w:val="0"/>
        </w:rPr>
        <w:t xml:space="preserve"> adult BMCs included </w:t>
      </w:r>
      <w:r>
        <w:rPr>
          <w:kern w:val="0"/>
        </w:rPr>
        <w:lastRenderedPageBreak/>
        <w:t>BM mononuclear cells, BM mesenchymal stem cells,</w:t>
      </w:r>
      <w:r w:rsidR="005853A9">
        <w:rPr>
          <w:kern w:val="0"/>
        </w:rPr>
        <w:t xml:space="preserve"> and </w:t>
      </w:r>
      <w:r>
        <w:rPr>
          <w:kern w:val="0"/>
        </w:rPr>
        <w:t>BM-derived circulating progenitor cells. Compared with controls, BMC-transplantation improved left ventricular ejection fraction ( pooled difference, 3.66%; 95% confidence interval [CI], 1.93% to 5.40%; P &lt;. 001); reduced infarct scar size (-5.49%; 95% CI, -9.10% to -1.88%; P=. 003);</w:t>
      </w:r>
      <w:r w:rsidR="005853A9">
        <w:rPr>
          <w:kern w:val="0"/>
        </w:rPr>
        <w:t xml:space="preserve"> and </w:t>
      </w:r>
      <w:r>
        <w:rPr>
          <w:kern w:val="0"/>
        </w:rPr>
        <w:t>reduced left ventricular end-systolic volume (-4.80 mL; 95% CI, -8.20 to -1.41 mL; P=. 006). Conclusions: The available evidence suggests that BMC transplantation is associated with modest improvements in physiologic</w:t>
      </w:r>
      <w:r w:rsidR="005853A9">
        <w:rPr>
          <w:kern w:val="0"/>
        </w:rPr>
        <w:t xml:space="preserve"> and </w:t>
      </w:r>
      <w:r>
        <w:rPr>
          <w:kern w:val="0"/>
        </w:rPr>
        <w:t>anatomic parameters in patients with both acute myocardial infarction</w:t>
      </w:r>
      <w:r w:rsidR="005853A9">
        <w:rPr>
          <w:kern w:val="0"/>
        </w:rPr>
        <w:t xml:space="preserve"> and </w:t>
      </w:r>
      <w:r>
        <w:rPr>
          <w:kern w:val="0"/>
        </w:rPr>
        <w:t>chronic ischemic heart disease, above</w:t>
      </w:r>
      <w:r w:rsidR="005853A9">
        <w:rPr>
          <w:kern w:val="0"/>
        </w:rPr>
        <w:t xml:space="preserve"> and </w:t>
      </w:r>
      <w:r>
        <w:rPr>
          <w:kern w:val="0"/>
        </w:rPr>
        <w:t>beyond conventional therapy</w:t>
      </w:r>
      <w:r w:rsidR="00A37C1D">
        <w:rPr>
          <w:kern w:val="0"/>
        </w:rPr>
        <w:t>. The</w:t>
      </w:r>
      <w:r>
        <w:rPr>
          <w:kern w:val="0"/>
        </w:rPr>
        <w:t>rapy with BMCs seems safe</w:t>
      </w:r>
      <w:r w:rsidR="00A37C1D">
        <w:rPr>
          <w:kern w:val="0"/>
        </w:rPr>
        <w:t>. The</w:t>
      </w:r>
      <w:r>
        <w:rPr>
          <w:kern w:val="0"/>
        </w:rPr>
        <w:t>se results support conducting large randomized trials to evaluate the impact</w:t>
      </w:r>
      <w:r w:rsidR="00427468">
        <w:rPr>
          <w:kern w:val="0"/>
        </w:rPr>
        <w:t xml:space="preserve"> of </w:t>
      </w:r>
      <w:r>
        <w:rPr>
          <w:kern w:val="0"/>
        </w:rPr>
        <w:t>BMC therapy vs the standard</w:t>
      </w:r>
      <w:r w:rsidR="00427468">
        <w:rPr>
          <w:kern w:val="0"/>
        </w:rPr>
        <w:t xml:space="preserve"> of </w:t>
      </w:r>
      <w:r>
        <w:rPr>
          <w:kern w:val="0"/>
        </w:rPr>
        <w:t>care on patient-important outcomes.</w:t>
      </w:r>
    </w:p>
    <w:p w:rsidR="00C921D0" w:rsidRDefault="00C921D0" w:rsidP="00C921D0">
      <w:pPr>
        <w:pStyle w:val="a3"/>
        <w:rPr>
          <w:kern w:val="0"/>
        </w:rPr>
      </w:pPr>
      <w:r>
        <w:rPr>
          <w:kern w:val="0"/>
        </w:rPr>
        <w:t xml:space="preserve">Keywords: Acute Myocardial-Infarction, Adult, Bone, Bone Marrow, Cardiomyocytes, Care, Chronic, Citation, Clinical, Clinical Studies, Cohort, Confidence, Conventional, Differentiate, Disease, Effects, Embase, Endothelial Progenitor Cells, Evidence, Function, Heart, Heart-Failure, Impact, Infarction, Interval, Ischemic Heart Disease, </w:t>
      </w:r>
      <w:r w:rsidR="00D5664A">
        <w:rPr>
          <w:kern w:val="0"/>
        </w:rPr>
        <w:t>MEDLINE</w:t>
      </w:r>
      <w:r>
        <w:rPr>
          <w:kern w:val="0"/>
        </w:rPr>
        <w:t>, Mesenchymal Stem Cells, Mesenchymal Stem-Cells, Meta Analysis, Meta-Analysis, Metaanalysis, Myocardial Infarction, N, Nursing, Outcomes, P, Patients, Progenitor, Progenitor Cells, Quality, Randomized, Randomized Controlled Trials, Regeneration, Results, Review, Science, Science Citation Index, Size, Small, Standard, Standard</w:t>
      </w:r>
      <w:r w:rsidR="00427468">
        <w:rPr>
          <w:kern w:val="0"/>
        </w:rPr>
        <w:t xml:space="preserve"> of </w:t>
      </w:r>
      <w:r>
        <w:rPr>
          <w:kern w:val="0"/>
        </w:rPr>
        <w:t>Care, Stem Cells, Support, Survival, Systematic Review, Therapy, Transcoronary Transplantation, Transplantation, Volume</w:t>
      </w:r>
    </w:p>
    <w:p w:rsidR="0056359C" w:rsidRDefault="0056359C" w:rsidP="0056359C">
      <w:pPr>
        <w:pStyle w:val="a3"/>
        <w:rPr>
          <w:kern w:val="0"/>
          <w:szCs w:val="24"/>
        </w:rPr>
      </w:pPr>
      <w:r>
        <w:rPr>
          <w:rFonts w:hint="eastAsia"/>
          <w:kern w:val="0"/>
          <w:szCs w:val="24"/>
        </w:rPr>
        <w:t>Notes: highly cited</w:t>
      </w:r>
    </w:p>
    <w:p w:rsidR="0056359C" w:rsidRDefault="0056359C" w:rsidP="0056359C">
      <w:pPr>
        <w:pStyle w:val="a3"/>
        <w:rPr>
          <w:kern w:val="0"/>
          <w:szCs w:val="24"/>
        </w:rPr>
      </w:pPr>
      <w:r>
        <w:rPr>
          <w:rFonts w:hint="eastAsia"/>
          <w:kern w:val="0"/>
          <w:szCs w:val="24"/>
        </w:rPr>
        <w:t xml:space="preserve">? </w:t>
      </w:r>
      <w:r>
        <w:rPr>
          <w:kern w:val="0"/>
          <w:szCs w:val="24"/>
        </w:rPr>
        <w:t>Autier, P.</w:t>
      </w:r>
      <w:r w:rsidR="005853A9">
        <w:rPr>
          <w:kern w:val="0"/>
          <w:szCs w:val="24"/>
        </w:rPr>
        <w:t xml:space="preserve"> and </w:t>
      </w:r>
      <w:r>
        <w:rPr>
          <w:kern w:val="0"/>
          <w:szCs w:val="24"/>
        </w:rPr>
        <w:t>Gandini, S. (2007), Vitamin D supplementation</w:t>
      </w:r>
      <w:r w:rsidR="005853A9">
        <w:rPr>
          <w:kern w:val="0"/>
          <w:szCs w:val="24"/>
        </w:rPr>
        <w:t xml:space="preserve"> and </w:t>
      </w:r>
      <w:r>
        <w:rPr>
          <w:kern w:val="0"/>
          <w:szCs w:val="24"/>
        </w:rPr>
        <w:t>total mortality - A meta-analysis</w:t>
      </w:r>
      <w:r w:rsidR="00427468">
        <w:rPr>
          <w:kern w:val="0"/>
          <w:szCs w:val="24"/>
        </w:rPr>
        <w:t xml:space="preserve"> of </w:t>
      </w:r>
      <w:r>
        <w:rPr>
          <w:kern w:val="0"/>
          <w:szCs w:val="24"/>
        </w:rPr>
        <w:t xml:space="preserve">randomized controlled trials. </w:t>
      </w:r>
      <w:r>
        <w:rPr>
          <w:i/>
          <w:iCs/>
          <w:kern w:val="0"/>
          <w:szCs w:val="24"/>
        </w:rPr>
        <w:t>Archives</w:t>
      </w:r>
      <w:r w:rsidR="00427468">
        <w:rPr>
          <w:i/>
          <w:iCs/>
          <w:kern w:val="0"/>
          <w:szCs w:val="24"/>
        </w:rPr>
        <w:t xml:space="preserve"> of </w:t>
      </w:r>
      <w:r>
        <w:rPr>
          <w:i/>
          <w:iCs/>
          <w:kern w:val="0"/>
          <w:szCs w:val="24"/>
        </w:rPr>
        <w:t>Internal Medicine</w:t>
      </w:r>
      <w:r>
        <w:rPr>
          <w:kern w:val="0"/>
          <w:szCs w:val="24"/>
        </w:rPr>
        <w:t xml:space="preserve">, </w:t>
      </w:r>
      <w:r>
        <w:rPr>
          <w:b/>
          <w:bCs/>
          <w:kern w:val="0"/>
          <w:szCs w:val="24"/>
        </w:rPr>
        <w:t>167</w:t>
      </w:r>
      <w:r>
        <w:rPr>
          <w:kern w:val="0"/>
          <w:szCs w:val="24"/>
        </w:rPr>
        <w:t xml:space="preserve"> (16), 1730-1737.</w:t>
      </w:r>
    </w:p>
    <w:p w:rsidR="0056359C" w:rsidRDefault="0056359C" w:rsidP="0056359C">
      <w:pPr>
        <w:pStyle w:val="a3"/>
        <w:rPr>
          <w:kern w:val="0"/>
          <w:szCs w:val="24"/>
        </w:rPr>
      </w:pPr>
      <w:r>
        <w:rPr>
          <w:rFonts w:hint="eastAsia"/>
          <w:kern w:val="0"/>
          <w:szCs w:val="24"/>
        </w:rPr>
        <w:t xml:space="preserve">Full Text: </w:t>
      </w:r>
      <w:hyperlink r:id="rId1137" w:history="1">
        <w:r w:rsidRPr="00757741">
          <w:rPr>
            <w:rStyle w:val="a5"/>
            <w:kern w:val="0"/>
            <w:szCs w:val="24"/>
          </w:rPr>
          <w:t>2007\Arc Int Med167, 1730.pdf</w:t>
        </w:r>
      </w:hyperlink>
    </w:p>
    <w:p w:rsidR="0056359C" w:rsidRDefault="0056359C" w:rsidP="0056359C">
      <w:pPr>
        <w:pStyle w:val="a3"/>
        <w:rPr>
          <w:kern w:val="0"/>
          <w:szCs w:val="24"/>
        </w:rPr>
      </w:pPr>
      <w:r>
        <w:rPr>
          <w:kern w:val="0"/>
          <w:szCs w:val="24"/>
        </w:rPr>
        <w:t>Abstract: Background: Ecological</w:t>
      </w:r>
      <w:r w:rsidR="005853A9">
        <w:rPr>
          <w:kern w:val="0"/>
          <w:szCs w:val="24"/>
        </w:rPr>
        <w:t xml:space="preserve"> and </w:t>
      </w:r>
      <w:r>
        <w:rPr>
          <w:kern w:val="0"/>
          <w:szCs w:val="24"/>
        </w:rPr>
        <w:t>observational studies suggest that low vitamin D status could be associated with higher mortality from life-threatening conditions including cancer, cardiovascular disease,</w:t>
      </w:r>
      <w:r w:rsidR="005853A9">
        <w:rPr>
          <w:kern w:val="0"/>
          <w:szCs w:val="24"/>
        </w:rPr>
        <w:t xml:space="preserve"> and </w:t>
      </w:r>
      <w:r>
        <w:rPr>
          <w:kern w:val="0"/>
          <w:szCs w:val="24"/>
        </w:rPr>
        <w:t>diabetes mellitus that account for 60% to 70%</w:t>
      </w:r>
      <w:r w:rsidR="00427468">
        <w:rPr>
          <w:kern w:val="0"/>
          <w:szCs w:val="24"/>
        </w:rPr>
        <w:t xml:space="preserve"> of </w:t>
      </w:r>
      <w:r>
        <w:rPr>
          <w:kern w:val="0"/>
          <w:szCs w:val="24"/>
        </w:rPr>
        <w:t>total mortality in high-income countries. We examined</w:t>
      </w:r>
      <w:r w:rsidR="003A1917">
        <w:rPr>
          <w:kern w:val="0"/>
          <w:szCs w:val="24"/>
        </w:rPr>
        <w:t xml:space="preserve"> the </w:t>
      </w:r>
      <w:r>
        <w:rPr>
          <w:kern w:val="0"/>
          <w:szCs w:val="24"/>
        </w:rPr>
        <w:t>risk</w:t>
      </w:r>
      <w:r w:rsidR="00427468">
        <w:rPr>
          <w:kern w:val="0"/>
          <w:szCs w:val="24"/>
        </w:rPr>
        <w:t xml:space="preserve"> of </w:t>
      </w:r>
      <w:r>
        <w:rPr>
          <w:kern w:val="0"/>
          <w:szCs w:val="24"/>
        </w:rPr>
        <w:t>dying from any cause in subjects who participated in randomized trials testing</w:t>
      </w:r>
      <w:r w:rsidR="003A1917">
        <w:rPr>
          <w:kern w:val="0"/>
          <w:szCs w:val="24"/>
        </w:rPr>
        <w:t xml:space="preserve"> the </w:t>
      </w:r>
      <w:r>
        <w:rPr>
          <w:kern w:val="0"/>
          <w:szCs w:val="24"/>
        </w:rPr>
        <w:t>impact</w:t>
      </w:r>
      <w:r w:rsidR="00427468">
        <w:rPr>
          <w:kern w:val="0"/>
          <w:szCs w:val="24"/>
        </w:rPr>
        <w:t xml:space="preserve"> of </w:t>
      </w:r>
      <w:r>
        <w:rPr>
          <w:kern w:val="0"/>
          <w:szCs w:val="24"/>
        </w:rPr>
        <w:t>vitamin D supplementation (ergocalciferol [vitamin D-2] or cholecalciferol [vitamin D-3]) on any health condition. Methods:</w:t>
      </w:r>
      <w:r w:rsidR="003A1917">
        <w:rPr>
          <w:kern w:val="0"/>
          <w:szCs w:val="24"/>
        </w:rPr>
        <w:t xml:space="preserve"> the </w:t>
      </w:r>
      <w:r>
        <w:rPr>
          <w:kern w:val="0"/>
          <w:szCs w:val="24"/>
        </w:rPr>
        <w:t>literature up to November 2006 was searched without language restriction using</w:t>
      </w:r>
      <w:r w:rsidR="003A1917">
        <w:rPr>
          <w:kern w:val="0"/>
          <w:szCs w:val="24"/>
        </w:rPr>
        <w:t xml:space="preserve"> the </w:t>
      </w:r>
      <w:r>
        <w:rPr>
          <w:kern w:val="0"/>
          <w:szCs w:val="24"/>
        </w:rPr>
        <w:t xml:space="preserve">following databases: </w:t>
      </w:r>
      <w:r w:rsidR="002C12F0">
        <w:rPr>
          <w:kern w:val="0"/>
          <w:szCs w:val="24"/>
        </w:rPr>
        <w:t>PUBMED</w:t>
      </w:r>
      <w:r>
        <w:rPr>
          <w:kern w:val="0"/>
          <w:szCs w:val="24"/>
        </w:rPr>
        <w:t xml:space="preserve">,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(Science Citation Index Expanded), EMBASE,</w:t>
      </w:r>
      <w:r w:rsidR="005853A9">
        <w:rPr>
          <w:kern w:val="0"/>
          <w:szCs w:val="24"/>
        </w:rPr>
        <w:t xml:space="preserve"> and </w:t>
      </w:r>
      <w:r w:rsidR="003A1917">
        <w:rPr>
          <w:kern w:val="0"/>
          <w:szCs w:val="24"/>
        </w:rPr>
        <w:t xml:space="preserve">the </w:t>
      </w:r>
      <w:r>
        <w:rPr>
          <w:kern w:val="0"/>
          <w:szCs w:val="24"/>
        </w:rPr>
        <w:t>Cochrane Library. Results: We identified 18 independent randomized controlled trials, including 57 311 participants. A total</w:t>
      </w:r>
      <w:r w:rsidR="00427468">
        <w:rPr>
          <w:kern w:val="0"/>
          <w:szCs w:val="24"/>
        </w:rPr>
        <w:t xml:space="preserve"> of </w:t>
      </w:r>
      <w:r>
        <w:rPr>
          <w:kern w:val="0"/>
          <w:szCs w:val="24"/>
        </w:rPr>
        <w:t>4777 deaths from any cause occurred during a trial size-adjusted mean</w:t>
      </w:r>
      <w:r w:rsidR="00427468">
        <w:rPr>
          <w:kern w:val="0"/>
          <w:szCs w:val="24"/>
        </w:rPr>
        <w:t xml:space="preserve"> of </w:t>
      </w:r>
      <w:r>
        <w:rPr>
          <w:kern w:val="0"/>
          <w:szCs w:val="24"/>
        </w:rPr>
        <w:t>5.7 years. Daily doses</w:t>
      </w:r>
      <w:r w:rsidR="00427468">
        <w:rPr>
          <w:kern w:val="0"/>
          <w:szCs w:val="24"/>
        </w:rPr>
        <w:t xml:space="preserve"> of </w:t>
      </w:r>
      <w:r>
        <w:rPr>
          <w:kern w:val="0"/>
          <w:szCs w:val="24"/>
        </w:rPr>
        <w:t>vitamin D supplements varied from 300 to 2000 IU</w:t>
      </w:r>
      <w:r w:rsidR="00A37C1D">
        <w:rPr>
          <w:kern w:val="0"/>
          <w:szCs w:val="24"/>
        </w:rPr>
        <w:t>. The</w:t>
      </w:r>
      <w:r w:rsidR="003A1917">
        <w:rPr>
          <w:kern w:val="0"/>
          <w:szCs w:val="24"/>
        </w:rPr>
        <w:t xml:space="preserve"> </w:t>
      </w:r>
      <w:r>
        <w:rPr>
          <w:kern w:val="0"/>
          <w:szCs w:val="24"/>
        </w:rPr>
        <w:t xml:space="preserve">trial size-adjusted mean daily vitamin D dose was 528 IU. </w:t>
      </w:r>
      <w:r>
        <w:rPr>
          <w:kern w:val="0"/>
          <w:szCs w:val="24"/>
        </w:rPr>
        <w:lastRenderedPageBreak/>
        <w:t>In 9 trials, there was a 1.4-to 5.2-fold difference in serum 25-hydroxyvitamin D between</w:t>
      </w:r>
      <w:r w:rsidR="003A1917">
        <w:rPr>
          <w:kern w:val="0"/>
          <w:szCs w:val="24"/>
        </w:rPr>
        <w:t xml:space="preserve"> the </w:t>
      </w:r>
      <w:r>
        <w:rPr>
          <w:kern w:val="0"/>
          <w:szCs w:val="24"/>
        </w:rPr>
        <w:t>intervention</w:t>
      </w:r>
      <w:r w:rsidR="005853A9">
        <w:rPr>
          <w:kern w:val="0"/>
          <w:szCs w:val="24"/>
        </w:rPr>
        <w:t xml:space="preserve"> and </w:t>
      </w:r>
      <w:r>
        <w:rPr>
          <w:kern w:val="0"/>
          <w:szCs w:val="24"/>
        </w:rPr>
        <w:t>control groups</w:t>
      </w:r>
      <w:r w:rsidR="00A37C1D">
        <w:rPr>
          <w:kern w:val="0"/>
          <w:szCs w:val="24"/>
        </w:rPr>
        <w:t>. The</w:t>
      </w:r>
      <w:r w:rsidR="003A1917">
        <w:rPr>
          <w:kern w:val="0"/>
          <w:szCs w:val="24"/>
        </w:rPr>
        <w:t xml:space="preserve"> </w:t>
      </w:r>
      <w:r>
        <w:rPr>
          <w:kern w:val="0"/>
          <w:szCs w:val="24"/>
        </w:rPr>
        <w:t>summary relative risk for mortality from any cause was 0.93(95% confidence interval, 0.87-0.99)</w:t>
      </w:r>
      <w:r w:rsidR="00A37C1D">
        <w:rPr>
          <w:kern w:val="0"/>
          <w:szCs w:val="24"/>
        </w:rPr>
        <w:t>. The</w:t>
      </w:r>
      <w:r>
        <w:rPr>
          <w:kern w:val="0"/>
          <w:szCs w:val="24"/>
        </w:rPr>
        <w:t>re was neither indication for heterogeneity nor indication for publication biases</w:t>
      </w:r>
      <w:r w:rsidR="00A37C1D">
        <w:rPr>
          <w:kern w:val="0"/>
          <w:szCs w:val="24"/>
        </w:rPr>
        <w:t>. The</w:t>
      </w:r>
      <w:r w:rsidR="003A1917">
        <w:rPr>
          <w:kern w:val="0"/>
          <w:szCs w:val="24"/>
        </w:rPr>
        <w:t xml:space="preserve"> </w:t>
      </w:r>
      <w:r>
        <w:rPr>
          <w:kern w:val="0"/>
          <w:szCs w:val="24"/>
        </w:rPr>
        <w:t>summary relative risk did not change according to</w:t>
      </w:r>
      <w:r w:rsidR="003A1917">
        <w:rPr>
          <w:kern w:val="0"/>
          <w:szCs w:val="24"/>
        </w:rPr>
        <w:t xml:space="preserve"> the </w:t>
      </w:r>
      <w:r>
        <w:rPr>
          <w:kern w:val="0"/>
          <w:szCs w:val="24"/>
        </w:rPr>
        <w:t>addition</w:t>
      </w:r>
      <w:r w:rsidR="00427468">
        <w:rPr>
          <w:kern w:val="0"/>
          <w:szCs w:val="24"/>
        </w:rPr>
        <w:t xml:space="preserve"> of </w:t>
      </w:r>
      <w:r>
        <w:rPr>
          <w:kern w:val="0"/>
          <w:szCs w:val="24"/>
        </w:rPr>
        <w:t>calcium supplements in</w:t>
      </w:r>
      <w:r w:rsidR="003A1917">
        <w:rPr>
          <w:kern w:val="0"/>
          <w:szCs w:val="24"/>
        </w:rPr>
        <w:t xml:space="preserve"> the </w:t>
      </w:r>
      <w:r>
        <w:rPr>
          <w:kern w:val="0"/>
          <w:szCs w:val="24"/>
        </w:rPr>
        <w:t>intervention. Conclusions: Intake</w:t>
      </w:r>
      <w:r w:rsidR="00427468">
        <w:rPr>
          <w:kern w:val="0"/>
          <w:szCs w:val="24"/>
        </w:rPr>
        <w:t xml:space="preserve"> of </w:t>
      </w:r>
      <w:r>
        <w:rPr>
          <w:kern w:val="0"/>
          <w:szCs w:val="24"/>
        </w:rPr>
        <w:t>ordinary doses</w:t>
      </w:r>
      <w:r w:rsidR="00427468">
        <w:rPr>
          <w:kern w:val="0"/>
          <w:szCs w:val="24"/>
        </w:rPr>
        <w:t xml:space="preserve"> of </w:t>
      </w:r>
      <w:r>
        <w:rPr>
          <w:kern w:val="0"/>
          <w:szCs w:val="24"/>
        </w:rPr>
        <w:t>vitamin D supplements seems to be associated with decreases in total mortality rates</w:t>
      </w:r>
      <w:r w:rsidR="00A37C1D">
        <w:rPr>
          <w:kern w:val="0"/>
          <w:szCs w:val="24"/>
        </w:rPr>
        <w:t>. The</w:t>
      </w:r>
      <w:r w:rsidR="003A1917">
        <w:rPr>
          <w:kern w:val="0"/>
          <w:szCs w:val="24"/>
        </w:rPr>
        <w:t xml:space="preserve"> </w:t>
      </w:r>
      <w:r>
        <w:rPr>
          <w:kern w:val="0"/>
          <w:szCs w:val="24"/>
        </w:rPr>
        <w:t>relationship between baseline vitaminD status, dose</w:t>
      </w:r>
      <w:r w:rsidR="00427468">
        <w:rPr>
          <w:kern w:val="0"/>
          <w:szCs w:val="24"/>
        </w:rPr>
        <w:t xml:space="preserve"> of </w:t>
      </w:r>
      <w:r>
        <w:rPr>
          <w:kern w:val="0"/>
          <w:szCs w:val="24"/>
        </w:rPr>
        <w:t>vitamin D supplements,</w:t>
      </w:r>
      <w:r w:rsidR="005853A9">
        <w:rPr>
          <w:kern w:val="0"/>
          <w:szCs w:val="24"/>
        </w:rPr>
        <w:t xml:space="preserve"> and </w:t>
      </w:r>
      <w:r>
        <w:rPr>
          <w:kern w:val="0"/>
          <w:szCs w:val="24"/>
        </w:rPr>
        <w:t>total mortality rates remains to be investigated. Population-based, placebo-controlled randomized trials with total mortality as</w:t>
      </w:r>
      <w:r w:rsidR="003A1917">
        <w:rPr>
          <w:kern w:val="0"/>
          <w:szCs w:val="24"/>
        </w:rPr>
        <w:t xml:space="preserve"> the </w:t>
      </w:r>
      <w:r>
        <w:rPr>
          <w:kern w:val="0"/>
          <w:szCs w:val="24"/>
        </w:rPr>
        <w:t>main end point should be organized for confirming these findings.</w:t>
      </w:r>
    </w:p>
    <w:p w:rsidR="0056359C" w:rsidRDefault="0056359C" w:rsidP="0056359C">
      <w:pPr>
        <w:pStyle w:val="a3"/>
        <w:rPr>
          <w:kern w:val="0"/>
          <w:szCs w:val="24"/>
        </w:rPr>
      </w:pPr>
      <w:r>
        <w:rPr>
          <w:kern w:val="0"/>
          <w:szCs w:val="24"/>
        </w:rPr>
        <w:t>Keywords: Calcium, Calcium Supplementation, Cancer, Cancer Incidence, Cardiovascular-Disease, Change, Citation, Databases, Dose, Double-Blind, Elderly-Women, Groups, Health, Heterogeneity, Hip Fracture, Impact, Indication, Intervention</w:t>
      </w:r>
      <w:r w:rsidR="00D5664A">
        <w:rPr>
          <w:kern w:val="0"/>
          <w:szCs w:val="24"/>
        </w:rPr>
        <w:t>, ISI,</w:t>
      </w:r>
      <w:r>
        <w:rPr>
          <w:kern w:val="0"/>
          <w:szCs w:val="24"/>
        </w:rPr>
        <w:t xml:space="preserve"> ISI Web,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Pr>
          <w:kern w:val="0"/>
          <w:szCs w:val="24"/>
        </w:rPr>
        <w:t>, Language, Literature, Meta-Analysis, Mortality, Oral Vitamin-D-3, Placebo-Controlled Trial, Postmenopa</w:t>
      </w:r>
      <w:r w:rsidR="00D5664A">
        <w:rPr>
          <w:kern w:val="0"/>
          <w:szCs w:val="24"/>
        </w:rPr>
        <w:t>USA</w:t>
      </w:r>
      <w:r>
        <w:rPr>
          <w:kern w:val="0"/>
          <w:szCs w:val="24"/>
        </w:rPr>
        <w:t xml:space="preserve">l Women, Publication, Publication Bias, </w:t>
      </w:r>
      <w:r w:rsidR="002C12F0">
        <w:rPr>
          <w:kern w:val="0"/>
          <w:szCs w:val="24"/>
        </w:rPr>
        <w:t>PUBMED</w:t>
      </w:r>
      <w:r>
        <w:rPr>
          <w:kern w:val="0"/>
          <w:szCs w:val="24"/>
        </w:rPr>
        <w:t xml:space="preserve">, Randomized Controlled Trials, Risk, Science, Science Citation Index, </w:t>
      </w:r>
      <w:r w:rsidR="00D5664A">
        <w:rPr>
          <w:kern w:val="0"/>
          <w:szCs w:val="24"/>
        </w:rPr>
        <w:t>Web</w:t>
      </w:r>
      <w:r w:rsidR="00427468">
        <w:rPr>
          <w:kern w:val="0"/>
          <w:szCs w:val="24"/>
        </w:rPr>
        <w:t xml:space="preserve"> of </w:t>
      </w:r>
      <w:r w:rsidR="00D5664A">
        <w:rPr>
          <w:kern w:val="0"/>
          <w:szCs w:val="24"/>
        </w:rPr>
        <w:t>Science</w:t>
      </w:r>
    </w:p>
    <w:p w:rsidR="0056359C" w:rsidRPr="00F219CA" w:rsidRDefault="0056359C" w:rsidP="0056359C">
      <w:pPr>
        <w:pStyle w:val="a3"/>
        <w:rPr>
          <w:kern w:val="0"/>
        </w:rPr>
      </w:pPr>
      <w:r w:rsidRPr="00F219CA">
        <w:rPr>
          <w:kern w:val="0"/>
        </w:rPr>
        <w:t>? Dalen, J.E. (2008), Venous thromboembolism</w:t>
      </w:r>
      <w:r w:rsidR="005853A9">
        <w:rPr>
          <w:kern w:val="0"/>
        </w:rPr>
        <w:t xml:space="preserve"> and </w:t>
      </w:r>
      <w:r w:rsidR="003A1917">
        <w:rPr>
          <w:kern w:val="0"/>
        </w:rPr>
        <w:t xml:space="preserve">the </w:t>
      </w:r>
      <w:r w:rsidRPr="00757741">
        <w:rPr>
          <w:i/>
          <w:kern w:val="0"/>
        </w:rPr>
        <w:t>Archives</w:t>
      </w:r>
      <w:r w:rsidR="00427468">
        <w:rPr>
          <w:i/>
          <w:kern w:val="0"/>
        </w:rPr>
        <w:t xml:space="preserve"> of </w:t>
      </w:r>
      <w:r w:rsidRPr="00757741">
        <w:rPr>
          <w:i/>
          <w:kern w:val="0"/>
        </w:rPr>
        <w:t>Internal Medicine</w:t>
      </w:r>
      <w:r w:rsidRPr="00F219CA">
        <w:rPr>
          <w:kern w:val="0"/>
        </w:rPr>
        <w:t xml:space="preserve">, 1908 to 2005. </w:t>
      </w:r>
      <w:r w:rsidRPr="00F219CA">
        <w:rPr>
          <w:i/>
          <w:iCs/>
          <w:kern w:val="0"/>
        </w:rPr>
        <w:t>Archives</w:t>
      </w:r>
      <w:r w:rsidR="00427468">
        <w:rPr>
          <w:i/>
          <w:iCs/>
          <w:kern w:val="0"/>
        </w:rPr>
        <w:t xml:space="preserve"> of </w:t>
      </w:r>
      <w:r w:rsidRPr="00F219CA">
        <w:rPr>
          <w:i/>
          <w:iCs/>
          <w:kern w:val="0"/>
        </w:rPr>
        <w:t>Internal Medicine</w:t>
      </w:r>
      <w:r w:rsidRPr="00F219CA">
        <w:rPr>
          <w:kern w:val="0"/>
        </w:rPr>
        <w:t xml:space="preserve">, </w:t>
      </w:r>
      <w:r w:rsidRPr="00F219CA">
        <w:rPr>
          <w:b/>
          <w:bCs/>
          <w:kern w:val="0"/>
        </w:rPr>
        <w:t>168</w:t>
      </w:r>
      <w:r>
        <w:rPr>
          <w:rFonts w:hint="eastAsia"/>
          <w:kern w:val="0"/>
        </w:rPr>
        <w:t xml:space="preserve"> (1),</w:t>
      </w:r>
      <w:r w:rsidRPr="00F219CA">
        <w:rPr>
          <w:kern w:val="0"/>
        </w:rPr>
        <w:t xml:space="preserve"> 14-15.</w:t>
      </w:r>
    </w:p>
    <w:p w:rsidR="0056359C" w:rsidRDefault="0056359C" w:rsidP="0056359C">
      <w:pPr>
        <w:pStyle w:val="a3"/>
        <w:rPr>
          <w:kern w:val="0"/>
          <w:szCs w:val="24"/>
        </w:rPr>
      </w:pPr>
      <w:r>
        <w:rPr>
          <w:rFonts w:hint="eastAsia"/>
          <w:kern w:val="0"/>
          <w:szCs w:val="24"/>
        </w:rPr>
        <w:t xml:space="preserve">Full Text: </w:t>
      </w:r>
      <w:hyperlink r:id="rId1138" w:history="1">
        <w:r w:rsidRPr="00757741">
          <w:rPr>
            <w:rStyle w:val="a5"/>
            <w:kern w:val="0"/>
            <w:szCs w:val="24"/>
          </w:rPr>
          <w:t>2008\Arc Int Med168, 14.pdf</w:t>
        </w:r>
      </w:hyperlink>
    </w:p>
    <w:p w:rsidR="003474F2" w:rsidRPr="001A3D2B" w:rsidRDefault="003474F2" w:rsidP="003474F2">
      <w:pPr>
        <w:pStyle w:val="a3"/>
      </w:pPr>
      <w:r w:rsidRPr="001A3D2B">
        <w:t>Keywords: Thromboembolism</w:t>
      </w:r>
    </w:p>
    <w:p w:rsidR="006653A3" w:rsidRDefault="006653A3" w:rsidP="006653A3">
      <w:pPr>
        <w:pStyle w:val="a3"/>
        <w:rPr>
          <w:kern w:val="0"/>
        </w:rPr>
      </w:pPr>
      <w:r>
        <w:rPr>
          <w:rFonts w:hint="eastAsia"/>
          <w:kern w:val="0"/>
        </w:rPr>
        <w:t xml:space="preserve">? </w:t>
      </w:r>
      <w:r>
        <w:rPr>
          <w:kern w:val="0"/>
        </w:rPr>
        <w:t>Koshman, S.L., Charrois, T.L., Simpson, S.H., McAlister, F.A.</w:t>
      </w:r>
      <w:r w:rsidR="005853A9">
        <w:rPr>
          <w:kern w:val="0"/>
        </w:rPr>
        <w:t xml:space="preserve"> and </w:t>
      </w:r>
      <w:r>
        <w:rPr>
          <w:kern w:val="0"/>
        </w:rPr>
        <w:t>Tsuyuki, R.T. (2008), Pharmacist care</w:t>
      </w:r>
      <w:r w:rsidR="00427468">
        <w:rPr>
          <w:kern w:val="0"/>
        </w:rPr>
        <w:t xml:space="preserve"> of </w:t>
      </w:r>
      <w:r>
        <w:rPr>
          <w:kern w:val="0"/>
        </w:rPr>
        <w:t>patients with heart failure: A systematic review</w:t>
      </w:r>
      <w:r w:rsidR="00427468">
        <w:rPr>
          <w:kern w:val="0"/>
        </w:rPr>
        <w:t xml:space="preserve"> of </w:t>
      </w:r>
      <w:r>
        <w:rPr>
          <w:kern w:val="0"/>
        </w:rPr>
        <w:t xml:space="preserve">randomized trials. </w:t>
      </w:r>
      <w:r>
        <w:rPr>
          <w:i/>
          <w:iCs/>
          <w:kern w:val="0"/>
        </w:rPr>
        <w:t>Archives</w:t>
      </w:r>
      <w:r w:rsidR="00427468">
        <w:rPr>
          <w:i/>
          <w:iCs/>
          <w:kern w:val="0"/>
        </w:rPr>
        <w:t xml:space="preserve"> of </w:t>
      </w:r>
      <w:r>
        <w:rPr>
          <w:i/>
          <w:iCs/>
          <w:kern w:val="0"/>
        </w:rPr>
        <w:t>Internal Medicine</w:t>
      </w:r>
      <w:r>
        <w:rPr>
          <w:kern w:val="0"/>
        </w:rPr>
        <w:t xml:space="preserve">, </w:t>
      </w:r>
      <w:r>
        <w:rPr>
          <w:b/>
          <w:bCs/>
          <w:kern w:val="0"/>
        </w:rPr>
        <w:t>168</w:t>
      </w:r>
      <w:r>
        <w:rPr>
          <w:kern w:val="0"/>
        </w:rPr>
        <w:t xml:space="preserve"> (7), 687-694.</w:t>
      </w:r>
    </w:p>
    <w:p w:rsidR="006653A3" w:rsidRDefault="006653A3" w:rsidP="006653A3">
      <w:pPr>
        <w:pStyle w:val="a3"/>
        <w:rPr>
          <w:kern w:val="0"/>
        </w:rPr>
      </w:pPr>
      <w:r>
        <w:rPr>
          <w:kern w:val="0"/>
        </w:rPr>
        <w:t>Abstract: Background: While</w:t>
      </w:r>
      <w:r w:rsidR="003A1917">
        <w:rPr>
          <w:kern w:val="0"/>
        </w:rPr>
        <w:t xml:space="preserve"> the </w:t>
      </w:r>
      <w:r>
        <w:rPr>
          <w:kern w:val="0"/>
        </w:rPr>
        <w:t>role</w:t>
      </w:r>
      <w:r w:rsidR="00427468">
        <w:rPr>
          <w:kern w:val="0"/>
        </w:rPr>
        <w:t xml:space="preserve"> of </w:t>
      </w:r>
      <w:r>
        <w:rPr>
          <w:kern w:val="0"/>
        </w:rPr>
        <w:t>multidisciplinary teams in</w:t>
      </w:r>
      <w:r w:rsidR="003A1917">
        <w:rPr>
          <w:kern w:val="0"/>
        </w:rPr>
        <w:t xml:space="preserve"> the </w:t>
      </w:r>
      <w:r>
        <w:rPr>
          <w:kern w:val="0"/>
        </w:rPr>
        <w:t>treatment</w:t>
      </w:r>
      <w:r w:rsidR="00427468">
        <w:rPr>
          <w:kern w:val="0"/>
        </w:rPr>
        <w:t xml:space="preserve"> of </w:t>
      </w:r>
      <w:r>
        <w:rPr>
          <w:kern w:val="0"/>
        </w:rPr>
        <w:t>patients with heart failure (HF) is well established, there is less evidence to characterize</w:t>
      </w:r>
      <w:r w:rsidR="003A1917">
        <w:rPr>
          <w:kern w:val="0"/>
        </w:rPr>
        <w:t xml:space="preserve"> the </w:t>
      </w:r>
      <w:r>
        <w:rPr>
          <w:kern w:val="0"/>
        </w:rPr>
        <w:t>role</w:t>
      </w:r>
      <w:r w:rsidR="00427468">
        <w:rPr>
          <w:kern w:val="0"/>
        </w:rPr>
        <w:t xml:space="preserve"> of </w:t>
      </w:r>
      <w:r>
        <w:rPr>
          <w:kern w:val="0"/>
        </w:rPr>
        <w:t>individual team members. To clarify</w:t>
      </w:r>
      <w:r w:rsidR="003A1917">
        <w:rPr>
          <w:kern w:val="0"/>
        </w:rPr>
        <w:t xml:space="preserve"> the </w:t>
      </w:r>
      <w:r>
        <w:rPr>
          <w:kern w:val="0"/>
        </w:rPr>
        <w:t>role</w:t>
      </w:r>
      <w:r w:rsidR="00427468">
        <w:rPr>
          <w:kern w:val="0"/>
        </w:rPr>
        <w:t xml:space="preserve"> of </w:t>
      </w:r>
      <w:r>
        <w:rPr>
          <w:kern w:val="0"/>
        </w:rPr>
        <w:t>pharmacists in</w:t>
      </w:r>
      <w:r w:rsidR="003A1917">
        <w:rPr>
          <w:kern w:val="0"/>
        </w:rPr>
        <w:t xml:space="preserve"> the </w:t>
      </w:r>
      <w:r>
        <w:rPr>
          <w:kern w:val="0"/>
        </w:rPr>
        <w:t>care</w:t>
      </w:r>
      <w:r w:rsidR="00427468">
        <w:rPr>
          <w:kern w:val="0"/>
        </w:rPr>
        <w:t xml:space="preserve"> of </w:t>
      </w:r>
      <w:r>
        <w:rPr>
          <w:kern w:val="0"/>
        </w:rPr>
        <w:t>patients with HF, we performed a systematic review evaluating</w:t>
      </w:r>
      <w:r w:rsidR="003A1917">
        <w:rPr>
          <w:kern w:val="0"/>
        </w:rPr>
        <w:t xml:space="preserve"> the </w:t>
      </w:r>
      <w:r>
        <w:rPr>
          <w:kern w:val="0"/>
        </w:rPr>
        <w:t>effect</w:t>
      </w:r>
      <w:r w:rsidR="00427468">
        <w:rPr>
          <w:kern w:val="0"/>
        </w:rPr>
        <w:t xml:space="preserve"> of </w:t>
      </w:r>
      <w:r>
        <w:rPr>
          <w:kern w:val="0"/>
        </w:rPr>
        <w:t xml:space="preserve">pharmacist care on patient outcomes in HF. Methods: We searched </w:t>
      </w:r>
      <w:r w:rsidR="002C12F0">
        <w:rPr>
          <w:kern w:val="0"/>
        </w:rPr>
        <w:t>PUBMED</w:t>
      </w:r>
      <w:r>
        <w:rPr>
          <w:kern w:val="0"/>
        </w:rPr>
        <w:t xml:space="preserve">, </w:t>
      </w:r>
      <w:r w:rsidR="00D5664A">
        <w:rPr>
          <w:kern w:val="0"/>
        </w:rPr>
        <w:t>MEDLINE</w:t>
      </w:r>
      <w:r>
        <w:rPr>
          <w:kern w:val="0"/>
        </w:rPr>
        <w:t xml:space="preserve">, EMBASE, International Pharmaceutical Abstracts, </w:t>
      </w:r>
      <w:r w:rsidR="00D5664A">
        <w:rPr>
          <w:kern w:val="0"/>
        </w:rPr>
        <w:t>Web</w:t>
      </w:r>
      <w:r w:rsidR="00427468">
        <w:rPr>
          <w:kern w:val="0"/>
        </w:rPr>
        <w:t xml:space="preserve"> of </w:t>
      </w:r>
      <w:r w:rsidR="00D5664A">
        <w:rPr>
          <w:kern w:val="0"/>
        </w:rPr>
        <w:t>Science</w:t>
      </w:r>
      <w:r>
        <w:rPr>
          <w:kern w:val="0"/>
        </w:rPr>
        <w:t>, Scopus, Dissertation Abstracts, CINAHL, Pascal,</w:t>
      </w:r>
      <w:r w:rsidR="005853A9">
        <w:rPr>
          <w:kern w:val="0"/>
        </w:rPr>
        <w:t xml:space="preserve"> and </w:t>
      </w:r>
      <w:r>
        <w:rPr>
          <w:kern w:val="0"/>
        </w:rPr>
        <w:t>Cochrane Central Register</w:t>
      </w:r>
      <w:r w:rsidR="00427468">
        <w:rPr>
          <w:kern w:val="0"/>
        </w:rPr>
        <w:t xml:space="preserve"> of </w:t>
      </w:r>
      <w:r>
        <w:rPr>
          <w:kern w:val="0"/>
        </w:rPr>
        <w:t>Controlled Trials for controlled studies from database inception to August 2007. We included randomized controlled trials that evaluated</w:t>
      </w:r>
      <w:r w:rsidR="003A1917">
        <w:rPr>
          <w:kern w:val="0"/>
        </w:rPr>
        <w:t xml:space="preserve"> the </w:t>
      </w:r>
      <w:r>
        <w:rPr>
          <w:kern w:val="0"/>
        </w:rPr>
        <w:t>impact</w:t>
      </w:r>
      <w:r w:rsidR="00427468">
        <w:rPr>
          <w:kern w:val="0"/>
        </w:rPr>
        <w:t xml:space="preserve"> of </w:t>
      </w:r>
      <w:r>
        <w:rPr>
          <w:kern w:val="0"/>
        </w:rPr>
        <w:t>pharmacist care activities on patients with HF (in both inpatient</w:t>
      </w:r>
      <w:r w:rsidR="005853A9">
        <w:rPr>
          <w:kern w:val="0"/>
        </w:rPr>
        <w:t xml:space="preserve"> and </w:t>
      </w:r>
      <w:r>
        <w:rPr>
          <w:kern w:val="0"/>
        </w:rPr>
        <w:t>outpatient settings). Summary odds ratios (ORs) with 95% confidence intervals (CIs) were calculated using a random-effects model for rates</w:t>
      </w:r>
      <w:r w:rsidR="00427468">
        <w:rPr>
          <w:kern w:val="0"/>
        </w:rPr>
        <w:t xml:space="preserve"> of </w:t>
      </w:r>
      <w:r>
        <w:rPr>
          <w:kern w:val="0"/>
        </w:rPr>
        <w:t>all-cause hospitalization, HF hospitalization,</w:t>
      </w:r>
      <w:r w:rsidR="005853A9">
        <w:rPr>
          <w:kern w:val="0"/>
        </w:rPr>
        <w:t xml:space="preserve"> and </w:t>
      </w:r>
      <w:r>
        <w:rPr>
          <w:kern w:val="0"/>
        </w:rPr>
        <w:t>mortality. Results: A total</w:t>
      </w:r>
      <w:r w:rsidR="00427468">
        <w:rPr>
          <w:kern w:val="0"/>
        </w:rPr>
        <w:t xml:space="preserve"> of </w:t>
      </w:r>
      <w:r>
        <w:rPr>
          <w:kern w:val="0"/>
        </w:rPr>
        <w:t>12 randomized controlled trials (2060 patients) were identified. Extent</w:t>
      </w:r>
      <w:r w:rsidR="00427468">
        <w:rPr>
          <w:kern w:val="0"/>
        </w:rPr>
        <w:t xml:space="preserve"> of </w:t>
      </w:r>
      <w:r>
        <w:rPr>
          <w:kern w:val="0"/>
        </w:rPr>
        <w:t xml:space="preserve">pharmacist involvement varied among </w:t>
      </w:r>
      <w:r>
        <w:rPr>
          <w:kern w:val="0"/>
        </w:rPr>
        <w:lastRenderedPageBreak/>
        <w:t>studies,</w:t>
      </w:r>
      <w:r w:rsidR="005853A9">
        <w:rPr>
          <w:kern w:val="0"/>
        </w:rPr>
        <w:t xml:space="preserve"> and </w:t>
      </w:r>
      <w:r>
        <w:rPr>
          <w:kern w:val="0"/>
        </w:rPr>
        <w:t>each study intervention was categorized as pharmacist-directed care or pharmacist collaborative care using a priori definitions</w:t>
      </w:r>
      <w:r w:rsidR="005853A9">
        <w:rPr>
          <w:kern w:val="0"/>
        </w:rPr>
        <w:t xml:space="preserve"> and </w:t>
      </w:r>
      <w:r>
        <w:rPr>
          <w:kern w:val="0"/>
        </w:rPr>
        <w:t>feedback from primary study authors. Pharmacist care was associated with significant reductions in</w:t>
      </w:r>
      <w:r w:rsidR="003A1917">
        <w:rPr>
          <w:kern w:val="0"/>
        </w:rPr>
        <w:t xml:space="preserve"> the </w:t>
      </w:r>
      <w:r>
        <w:rPr>
          <w:kern w:val="0"/>
        </w:rPr>
        <w:t>rate</w:t>
      </w:r>
      <w:r w:rsidR="00427468">
        <w:rPr>
          <w:kern w:val="0"/>
        </w:rPr>
        <w:t xml:space="preserve"> of </w:t>
      </w:r>
      <w:r>
        <w:rPr>
          <w:kern w:val="0"/>
        </w:rPr>
        <w:t>all-cause hospitalizations (11 studies [2026 patients]) (OR, 0.71; 95% CI, 0.54-0.94)</w:t>
      </w:r>
      <w:r w:rsidR="005853A9">
        <w:rPr>
          <w:kern w:val="0"/>
        </w:rPr>
        <w:t xml:space="preserve"> and </w:t>
      </w:r>
      <w:r>
        <w:rPr>
          <w:kern w:val="0"/>
        </w:rPr>
        <w:t>HF hospitalizations (11 studies [1977 patients]) (OR, 0.69; 95% CI, 0.51-0.94),</w:t>
      </w:r>
      <w:r w:rsidR="005853A9">
        <w:rPr>
          <w:kern w:val="0"/>
        </w:rPr>
        <w:t xml:space="preserve"> and </w:t>
      </w:r>
      <w:r>
        <w:rPr>
          <w:kern w:val="0"/>
        </w:rPr>
        <w:t>a nonsignificant reduction in mortality (12 studies [2060 patients]) (OR, 0.84; 95% CI, 0.61-1.15). Pharmacist collaborative care led to greater reductions in</w:t>
      </w:r>
      <w:r w:rsidR="003A1917">
        <w:rPr>
          <w:kern w:val="0"/>
        </w:rPr>
        <w:t xml:space="preserve"> the </w:t>
      </w:r>
      <w:r>
        <w:rPr>
          <w:kern w:val="0"/>
        </w:rPr>
        <w:t>rate</w:t>
      </w:r>
      <w:r w:rsidR="00427468">
        <w:rPr>
          <w:kern w:val="0"/>
        </w:rPr>
        <w:t xml:space="preserve"> of </w:t>
      </w:r>
      <w:r>
        <w:rPr>
          <w:kern w:val="0"/>
        </w:rPr>
        <w:t>HF hospitalizations (OR, 0.42; 95% CI, 0.24-0.74) than pharmacist-directed care (OR, 0.89; 95% Cl, 0.68-1.17). Conclusions: Pharmacist care in</w:t>
      </w:r>
      <w:r w:rsidR="003A1917">
        <w:rPr>
          <w:kern w:val="0"/>
        </w:rPr>
        <w:t xml:space="preserve"> the </w:t>
      </w:r>
      <w:r>
        <w:rPr>
          <w:kern w:val="0"/>
        </w:rPr>
        <w:t>treatment</w:t>
      </w:r>
      <w:r w:rsidR="00427468">
        <w:rPr>
          <w:kern w:val="0"/>
        </w:rPr>
        <w:t xml:space="preserve"> of </w:t>
      </w:r>
      <w:r>
        <w:rPr>
          <w:kern w:val="0"/>
        </w:rPr>
        <w:t>patients with HF greatly reduces</w:t>
      </w:r>
      <w:r w:rsidR="003A1917">
        <w:rPr>
          <w:kern w:val="0"/>
        </w:rPr>
        <w:t xml:space="preserve"> the </w:t>
      </w:r>
      <w:r>
        <w:rPr>
          <w:kern w:val="0"/>
        </w:rPr>
        <w:t>risk</w:t>
      </w:r>
      <w:r w:rsidR="00427468">
        <w:rPr>
          <w:kern w:val="0"/>
        </w:rPr>
        <w:t xml:space="preserve"> of </w:t>
      </w:r>
      <w:r>
        <w:rPr>
          <w:kern w:val="0"/>
        </w:rPr>
        <w:t>all-cause</w:t>
      </w:r>
      <w:r w:rsidR="005853A9">
        <w:rPr>
          <w:kern w:val="0"/>
        </w:rPr>
        <w:t xml:space="preserve"> and </w:t>
      </w:r>
      <w:r>
        <w:rPr>
          <w:kern w:val="0"/>
        </w:rPr>
        <w:t>HF hospitalizations. Since hospitalizations associated with HF are a major public health problem,</w:t>
      </w:r>
      <w:r w:rsidR="003A1917">
        <w:rPr>
          <w:kern w:val="0"/>
        </w:rPr>
        <w:t xml:space="preserve"> the </w:t>
      </w:r>
      <w:r>
        <w:rPr>
          <w:kern w:val="0"/>
        </w:rPr>
        <w:t>incorporation</w:t>
      </w:r>
      <w:r w:rsidR="00427468">
        <w:rPr>
          <w:kern w:val="0"/>
        </w:rPr>
        <w:t xml:space="preserve"> of </w:t>
      </w:r>
      <w:r>
        <w:rPr>
          <w:kern w:val="0"/>
        </w:rPr>
        <w:t>pharmacists into HF care teams should be strongly considered.</w:t>
      </w:r>
    </w:p>
    <w:p w:rsidR="006653A3" w:rsidRDefault="006653A3" w:rsidP="006653A3">
      <w:pPr>
        <w:pStyle w:val="a3"/>
        <w:rPr>
          <w:kern w:val="0"/>
        </w:rPr>
      </w:pPr>
      <w:r>
        <w:rPr>
          <w:kern w:val="0"/>
        </w:rPr>
        <w:t xml:space="preserve">Keywords: Activities, Authors, Burden, Cochrane, Confidence Intervals, Controlled Studies, Definitions, EMBASE, Feedback, Hospitalization, Hospitalizations, Illness, Impact, Intervention, Interventions, Involvement, Management, </w:t>
      </w:r>
      <w:r w:rsidR="00D5664A">
        <w:rPr>
          <w:kern w:val="0"/>
        </w:rPr>
        <w:t>MEDLINE</w:t>
      </w:r>
      <w:r>
        <w:rPr>
          <w:kern w:val="0"/>
        </w:rPr>
        <w:t xml:space="preserve">, Methods, Model, Mortality, Outcomes, Patient Outcomes, Pharmaceutical Care, Pharmacist, Pharmacists, Primary, Program, Public Health, </w:t>
      </w:r>
      <w:r w:rsidR="002C12F0">
        <w:rPr>
          <w:kern w:val="0"/>
        </w:rPr>
        <w:t>PUBMED</w:t>
      </w:r>
      <w:r>
        <w:rPr>
          <w:kern w:val="0"/>
        </w:rPr>
        <w:t xml:space="preserve">, Randomized Controlled Trials, Review, Risk, Science, Scopus, Systematic, Systematic Review, Treatment, </w:t>
      </w:r>
      <w:r w:rsidR="00D5664A">
        <w:rPr>
          <w:kern w:val="0"/>
        </w:rPr>
        <w:t>Web</w:t>
      </w:r>
      <w:r w:rsidR="00427468">
        <w:rPr>
          <w:kern w:val="0"/>
        </w:rPr>
        <w:t xml:space="preserve"> of </w:t>
      </w:r>
      <w:r w:rsidR="00D5664A">
        <w:rPr>
          <w:kern w:val="0"/>
        </w:rPr>
        <w:t>Science</w:t>
      </w:r>
    </w:p>
    <w:p w:rsidR="006653A3" w:rsidRDefault="006653A3" w:rsidP="006653A3">
      <w:pPr>
        <w:pStyle w:val="a3"/>
        <w:rPr>
          <w:kern w:val="0"/>
        </w:rPr>
      </w:pPr>
      <w:r>
        <w:rPr>
          <w:rFonts w:hint="eastAsia"/>
          <w:kern w:val="0"/>
        </w:rPr>
        <w:t xml:space="preserve">? </w:t>
      </w:r>
      <w:r>
        <w:rPr>
          <w:kern w:val="0"/>
        </w:rPr>
        <w:t>Akl, E.A., Terrenato, I., Barba, M., Sperati, F., Sempos, E.V., Muti, P., Cook, D.J.</w:t>
      </w:r>
      <w:r w:rsidR="005853A9">
        <w:rPr>
          <w:kern w:val="0"/>
        </w:rPr>
        <w:t xml:space="preserve"> and </w:t>
      </w:r>
      <w:r>
        <w:rPr>
          <w:kern w:val="0"/>
        </w:rPr>
        <w:t>Schunemann, H.J. (2008), Low-molecular-weight heparin vs unfractionated heparin for perioperative thromboprophylaxis in patients with cancer: A systematic review</w:t>
      </w:r>
      <w:r w:rsidR="005853A9">
        <w:rPr>
          <w:kern w:val="0"/>
        </w:rPr>
        <w:t xml:space="preserve"> and </w:t>
      </w:r>
      <w:r>
        <w:rPr>
          <w:kern w:val="0"/>
        </w:rPr>
        <w:t xml:space="preserve">meta-analysis. </w:t>
      </w:r>
      <w:r>
        <w:rPr>
          <w:i/>
          <w:iCs/>
          <w:kern w:val="0"/>
        </w:rPr>
        <w:t>Archives</w:t>
      </w:r>
      <w:r w:rsidR="00427468">
        <w:rPr>
          <w:i/>
          <w:iCs/>
          <w:kern w:val="0"/>
        </w:rPr>
        <w:t xml:space="preserve"> of </w:t>
      </w:r>
      <w:r>
        <w:rPr>
          <w:i/>
          <w:iCs/>
          <w:kern w:val="0"/>
        </w:rPr>
        <w:t>Internal Medicine</w:t>
      </w:r>
      <w:r>
        <w:rPr>
          <w:kern w:val="0"/>
        </w:rPr>
        <w:t xml:space="preserve">, </w:t>
      </w:r>
      <w:r>
        <w:rPr>
          <w:b/>
          <w:bCs/>
          <w:kern w:val="0"/>
        </w:rPr>
        <w:t>168</w:t>
      </w:r>
      <w:r>
        <w:rPr>
          <w:kern w:val="0"/>
        </w:rPr>
        <w:t xml:space="preserve"> (12), 1261-1269.</w:t>
      </w:r>
    </w:p>
    <w:p w:rsidR="006653A3" w:rsidRDefault="006653A3" w:rsidP="006653A3">
      <w:pPr>
        <w:pStyle w:val="a3"/>
        <w:rPr>
          <w:kern w:val="0"/>
        </w:rPr>
      </w:pPr>
      <w:r>
        <w:rPr>
          <w:kern w:val="0"/>
        </w:rPr>
        <w:t>Abstract: Background:</w:t>
      </w:r>
      <w:r w:rsidR="003A1917">
        <w:rPr>
          <w:kern w:val="0"/>
        </w:rPr>
        <w:t xml:space="preserve"> the </w:t>
      </w:r>
      <w:r>
        <w:rPr>
          <w:kern w:val="0"/>
        </w:rPr>
        <w:t>relative benefits</w:t>
      </w:r>
      <w:r w:rsidR="005853A9">
        <w:rPr>
          <w:kern w:val="0"/>
        </w:rPr>
        <w:t xml:space="preserve"> and </w:t>
      </w:r>
      <w:r>
        <w:rPr>
          <w:kern w:val="0"/>
        </w:rPr>
        <w:t>harms</w:t>
      </w:r>
      <w:r w:rsidR="00427468">
        <w:rPr>
          <w:kern w:val="0"/>
        </w:rPr>
        <w:t xml:space="preserve"> of </w:t>
      </w:r>
      <w:r>
        <w:rPr>
          <w:kern w:val="0"/>
        </w:rPr>
        <w:t>low-molecular-weight heparin (LMWH)</w:t>
      </w:r>
      <w:r w:rsidR="005853A9">
        <w:rPr>
          <w:kern w:val="0"/>
        </w:rPr>
        <w:t xml:space="preserve"> and </w:t>
      </w:r>
      <w:r>
        <w:rPr>
          <w:kern w:val="0"/>
        </w:rPr>
        <w:t>unfractionated heparin (UFH) are required for judgments regarding</w:t>
      </w:r>
      <w:r w:rsidR="003A1917">
        <w:rPr>
          <w:kern w:val="0"/>
        </w:rPr>
        <w:t xml:space="preserve"> the </w:t>
      </w:r>
      <w:r>
        <w:rPr>
          <w:kern w:val="0"/>
        </w:rPr>
        <w:t>appropriate perioperative thromboprophylaxis in patients with cancer. We systematically reviewed</w:t>
      </w:r>
      <w:r w:rsidR="003A1917">
        <w:rPr>
          <w:kern w:val="0"/>
        </w:rPr>
        <w:t xml:space="preserve"> the </w:t>
      </w:r>
      <w:r>
        <w:rPr>
          <w:kern w:val="0"/>
        </w:rPr>
        <w:t>literature to quantify these effects. Methods:</w:t>
      </w:r>
      <w:r w:rsidR="003A1917">
        <w:rPr>
          <w:kern w:val="0"/>
        </w:rPr>
        <w:t xml:space="preserve"> the </w:t>
      </w:r>
      <w:r>
        <w:rPr>
          <w:kern w:val="0"/>
        </w:rPr>
        <w:t>comprehensive searches included (1) an electronic search</w:t>
      </w:r>
      <w:r w:rsidR="00427468">
        <w:rPr>
          <w:kern w:val="0"/>
        </w:rPr>
        <w:t xml:space="preserve"> of </w:t>
      </w:r>
      <w:r w:rsidR="00D5664A">
        <w:rPr>
          <w:kern w:val="0"/>
        </w:rPr>
        <w:t>MEDLINE</w:t>
      </w:r>
      <w:r>
        <w:rPr>
          <w:kern w:val="0"/>
        </w:rPr>
        <w:t>, EMBASE, ISI</w:t>
      </w:r>
      <w:r w:rsidR="003A1917">
        <w:rPr>
          <w:kern w:val="0"/>
        </w:rPr>
        <w:t xml:space="preserve"> the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CENTRAL (The Cochrane Central Register</w:t>
      </w:r>
      <w:r w:rsidR="00427468">
        <w:rPr>
          <w:kern w:val="0"/>
        </w:rPr>
        <w:t xml:space="preserve"> of </w:t>
      </w:r>
      <w:r>
        <w:rPr>
          <w:kern w:val="0"/>
        </w:rPr>
        <w:t>Controlled Trials); (2) a hand search</w:t>
      </w:r>
      <w:r w:rsidR="00427468">
        <w:rPr>
          <w:kern w:val="0"/>
        </w:rPr>
        <w:t xml:space="preserve"> of </w:t>
      </w:r>
      <w:r>
        <w:rPr>
          <w:kern w:val="0"/>
        </w:rPr>
        <w:t>relevant conference proceedings; (3) a reference check</w:t>
      </w:r>
      <w:r w:rsidR="00427468">
        <w:rPr>
          <w:kern w:val="0"/>
        </w:rPr>
        <w:t xml:space="preserve"> of </w:t>
      </w:r>
      <w:r>
        <w:rPr>
          <w:kern w:val="0"/>
        </w:rPr>
        <w:t>included trials;</w:t>
      </w:r>
      <w:r w:rsidR="005853A9">
        <w:rPr>
          <w:kern w:val="0"/>
        </w:rPr>
        <w:t xml:space="preserve"> and </w:t>
      </w:r>
      <w:r>
        <w:rPr>
          <w:kern w:val="0"/>
        </w:rPr>
        <w:t>(4) use</w:t>
      </w:r>
      <w:r w:rsidR="00427468">
        <w:rPr>
          <w:kern w:val="0"/>
        </w:rPr>
        <w:t xml:space="preserve"> of </w:t>
      </w:r>
      <w:r w:rsidR="003A1917">
        <w:rPr>
          <w:kern w:val="0"/>
        </w:rPr>
        <w:t xml:space="preserve">the </w:t>
      </w:r>
      <w:r w:rsidR="002C12F0">
        <w:rPr>
          <w:kern w:val="0"/>
        </w:rPr>
        <w:t>PUBMED</w:t>
      </w:r>
      <w:r>
        <w:rPr>
          <w:kern w:val="0"/>
        </w:rPr>
        <w:t xml:space="preserve"> </w:t>
      </w:r>
      <w:r w:rsidR="00B5188C">
        <w:rPr>
          <w:kern w:val="0"/>
        </w:rPr>
        <w:t>“</w:t>
      </w:r>
      <w:r>
        <w:rPr>
          <w:kern w:val="0"/>
        </w:rPr>
        <w:t>Related Articles</w:t>
      </w:r>
      <w:r w:rsidR="00B5188C">
        <w:rPr>
          <w:kern w:val="0"/>
        </w:rPr>
        <w:t>”</w:t>
      </w:r>
      <w:r>
        <w:rPr>
          <w:kern w:val="0"/>
        </w:rPr>
        <w:t xml:space="preserve"> feature. Outcomes</w:t>
      </w:r>
      <w:r w:rsidR="00427468">
        <w:rPr>
          <w:kern w:val="0"/>
        </w:rPr>
        <w:t xml:space="preserve"> of </w:t>
      </w:r>
      <w:r>
        <w:rPr>
          <w:kern w:val="0"/>
        </w:rPr>
        <w:t>interest included mortality, deep venous thrombosis, pulmonary embolism, bleeding complications,</w:t>
      </w:r>
      <w:r w:rsidR="005853A9">
        <w:rPr>
          <w:kern w:val="0"/>
        </w:rPr>
        <w:t xml:space="preserve"> and </w:t>
      </w:r>
      <w:r>
        <w:rPr>
          <w:kern w:val="0"/>
        </w:rPr>
        <w:t>thrombocytopenia. Results:</w:t>
      </w:r>
      <w:r w:rsidR="00427468">
        <w:rPr>
          <w:kern w:val="0"/>
        </w:rPr>
        <w:t xml:space="preserve"> of </w:t>
      </w:r>
      <w:r>
        <w:rPr>
          <w:kern w:val="0"/>
        </w:rPr>
        <w:t>3986 identified citations, we included 14 randomized clinical trials in</w:t>
      </w:r>
      <w:r w:rsidR="003A1917">
        <w:rPr>
          <w:kern w:val="0"/>
        </w:rPr>
        <w:t xml:space="preserve"> the </w:t>
      </w:r>
      <w:r>
        <w:rPr>
          <w:kern w:val="0"/>
        </w:rPr>
        <w:t>meta-analysis (all using preoperative prophylactic anticoagulation)</w:t>
      </w:r>
      <w:r w:rsidR="00A37C1D">
        <w:rPr>
          <w:kern w:val="0"/>
        </w:rPr>
        <w:t>. The</w:t>
      </w:r>
      <w:r w:rsidR="003A1917">
        <w:rPr>
          <w:kern w:val="0"/>
        </w:rPr>
        <w:t xml:space="preserve"> </w:t>
      </w:r>
      <w:r>
        <w:rPr>
          <w:kern w:val="0"/>
        </w:rPr>
        <w:t>overall methodological quality was moderate</w:t>
      </w:r>
      <w:r w:rsidR="00A37C1D">
        <w:rPr>
          <w:kern w:val="0"/>
        </w:rPr>
        <w:t>. The</w:t>
      </w:r>
      <w:r w:rsidR="003A1917">
        <w:rPr>
          <w:kern w:val="0"/>
        </w:rPr>
        <w:t xml:space="preserve"> </w:t>
      </w:r>
      <w:r>
        <w:rPr>
          <w:kern w:val="0"/>
        </w:rPr>
        <w:t xml:space="preserve">meta-analysis showed no differences in mortality in patients receiving LMWH compared with UFH (relative risk [RR], 0.89; 95% confidence interval [CI], 0.61-1.28) or in clinically suspected deep venous </w:t>
      </w:r>
      <w:r>
        <w:rPr>
          <w:kern w:val="0"/>
        </w:rPr>
        <w:lastRenderedPageBreak/>
        <w:t>thrombosis (RR, 0.73; 95% CI, 0.23-2.28). In a post hoc analysis including all studies assessing deep venous thrombosis, irrespective</w:t>
      </w:r>
      <w:r w:rsidR="00427468">
        <w:rPr>
          <w:kern w:val="0"/>
        </w:rPr>
        <w:t xml:space="preserve"> of </w:t>
      </w:r>
      <w:r w:rsidR="003A1917">
        <w:rPr>
          <w:kern w:val="0"/>
        </w:rPr>
        <w:t xml:space="preserve">the </w:t>
      </w:r>
      <w:r>
        <w:rPr>
          <w:kern w:val="0"/>
        </w:rPr>
        <w:t>diagnostic strategy used, LMWH was superior to UFH (RR, 0.72; 95% CI, 0.55-0.94)</w:t>
      </w:r>
      <w:r w:rsidR="00A37C1D">
        <w:rPr>
          <w:kern w:val="0"/>
        </w:rPr>
        <w:t>. The</w:t>
      </w:r>
      <w:r>
        <w:rPr>
          <w:kern w:val="0"/>
        </w:rPr>
        <w:t>re were no differences in rates</w:t>
      </w:r>
      <w:r w:rsidR="00427468">
        <w:rPr>
          <w:kern w:val="0"/>
        </w:rPr>
        <w:t xml:space="preserve"> of </w:t>
      </w:r>
      <w:r>
        <w:rPr>
          <w:kern w:val="0"/>
        </w:rPr>
        <w:t>pulmonary embolism (RR, 0.60; 95% CI, 0.22-1.64), minor bleeding (RR, 0.88; 95% CI, 0.47-1.66), or major bleeding (RR, 0.95; 95% CI, 0.51-1.77). Conclusions: We found no differences in mortality in patients with cancer receiving perioperative thromboprophylaxis with LMWH vs UFH. Further trials are needed to more carefully evaluate</w:t>
      </w:r>
      <w:r w:rsidR="003A1917">
        <w:rPr>
          <w:kern w:val="0"/>
        </w:rPr>
        <w:t xml:space="preserve"> the </w:t>
      </w:r>
      <w:r>
        <w:rPr>
          <w:kern w:val="0"/>
        </w:rPr>
        <w:t>benefits</w:t>
      </w:r>
      <w:r w:rsidR="005853A9">
        <w:rPr>
          <w:kern w:val="0"/>
        </w:rPr>
        <w:t xml:space="preserve"> and </w:t>
      </w:r>
      <w:r>
        <w:rPr>
          <w:kern w:val="0"/>
        </w:rPr>
        <w:t>harms</w:t>
      </w:r>
      <w:r w:rsidR="00427468">
        <w:rPr>
          <w:kern w:val="0"/>
        </w:rPr>
        <w:t xml:space="preserve"> of </w:t>
      </w:r>
      <w:r>
        <w:rPr>
          <w:kern w:val="0"/>
        </w:rPr>
        <w:t>different heparin thromboprophylaxis strategies in this population.</w:t>
      </w:r>
    </w:p>
    <w:p w:rsidR="006653A3" w:rsidRDefault="006653A3" w:rsidP="006653A3">
      <w:pPr>
        <w:pStyle w:val="a3"/>
        <w:rPr>
          <w:kern w:val="0"/>
        </w:rPr>
      </w:pPr>
      <w:r>
        <w:rPr>
          <w:kern w:val="0"/>
        </w:rPr>
        <w:t>Keywords: Abdominal-Surgery, Analysis, Cancer, Citations, Clinical Trials, Cochrane, Colorectal Surgery, Deep-Vein Thrombosis, Double-Blind Trial, EMBASE, General-Surgery, Gynecological Surgery, Heparin, Interest</w:t>
      </w:r>
      <w:r w:rsidR="00D5664A">
        <w:rPr>
          <w:kern w:val="0"/>
        </w:rPr>
        <w:t>, ISI,</w:t>
      </w:r>
      <w:r>
        <w:rPr>
          <w:kern w:val="0"/>
        </w:rPr>
        <w:t xml:space="preserve"> Literature, Low-Dose Heparin, Low-Molecular-Weight, </w:t>
      </w:r>
      <w:r w:rsidR="00D5664A">
        <w:rPr>
          <w:kern w:val="0"/>
        </w:rPr>
        <w:t>MEDLINE</w:t>
      </w:r>
      <w:r>
        <w:rPr>
          <w:kern w:val="0"/>
        </w:rPr>
        <w:t xml:space="preserve">, Meta-Analysis, Methods, Mortality, Outcomes, Postoperative Thrombosis, </w:t>
      </w:r>
      <w:r w:rsidR="002C12F0">
        <w:rPr>
          <w:kern w:val="0"/>
        </w:rPr>
        <w:t>PUBMED</w:t>
      </w:r>
      <w:r>
        <w:rPr>
          <w:kern w:val="0"/>
        </w:rPr>
        <w:t xml:space="preserve">, Pulmonary Embolism, Randomized Clinical Trials, Relative Risk, Review, Risk, Science, Standard Heparin, Strategy, Systematic, Systematic Review, Thrombosis, Venous Thromboembolism, Venous Thrombosis, </w:t>
      </w:r>
      <w:r w:rsidR="00D5664A">
        <w:rPr>
          <w:kern w:val="0"/>
        </w:rPr>
        <w:t>Web</w:t>
      </w:r>
      <w:r w:rsidR="00427468">
        <w:rPr>
          <w:kern w:val="0"/>
        </w:rPr>
        <w:t xml:space="preserve"> of </w:t>
      </w:r>
      <w:r w:rsidR="00D5664A">
        <w:rPr>
          <w:kern w:val="0"/>
        </w:rPr>
        <w:t>Science</w:t>
      </w:r>
    </w:p>
    <w:p w:rsidR="006653A3" w:rsidRDefault="006653A3" w:rsidP="006653A3">
      <w:pPr>
        <w:pStyle w:val="a3"/>
        <w:rPr>
          <w:kern w:val="0"/>
        </w:rPr>
      </w:pPr>
      <w:r>
        <w:rPr>
          <w:rFonts w:hint="eastAsia"/>
          <w:kern w:val="0"/>
        </w:rPr>
        <w:t xml:space="preserve">? </w:t>
      </w:r>
      <w:r>
        <w:rPr>
          <w:kern w:val="0"/>
        </w:rPr>
        <w:t>Herring, M.P., O</w:t>
      </w:r>
      <w:r w:rsidR="00700038">
        <w:rPr>
          <w:kern w:val="0"/>
        </w:rPr>
        <w:t>’</w:t>
      </w:r>
      <w:r>
        <w:rPr>
          <w:kern w:val="0"/>
        </w:rPr>
        <w:t>Connor, P.J.</w:t>
      </w:r>
      <w:r w:rsidR="005853A9">
        <w:rPr>
          <w:kern w:val="0"/>
        </w:rPr>
        <w:t xml:space="preserve"> and </w:t>
      </w:r>
      <w:r>
        <w:rPr>
          <w:kern w:val="0"/>
        </w:rPr>
        <w:t>Dishman, R.K. (2010</w:t>
      </w:r>
      <w:r w:rsidR="00F42EAC">
        <w:rPr>
          <w:kern w:val="0"/>
        </w:rPr>
        <w:t>), The</w:t>
      </w:r>
      <w:r w:rsidR="003A1917">
        <w:rPr>
          <w:kern w:val="0"/>
        </w:rPr>
        <w:t xml:space="preserve"> </w:t>
      </w:r>
      <w:r>
        <w:rPr>
          <w:kern w:val="0"/>
        </w:rPr>
        <w:t>effect</w:t>
      </w:r>
      <w:r w:rsidR="00427468">
        <w:rPr>
          <w:kern w:val="0"/>
        </w:rPr>
        <w:t xml:space="preserve"> of </w:t>
      </w:r>
      <w:r>
        <w:rPr>
          <w:kern w:val="0"/>
        </w:rPr>
        <w:t>exercise training on anxiety symptoms among patients</w:t>
      </w:r>
      <w:r>
        <w:rPr>
          <w:rFonts w:hint="eastAsia"/>
          <w:kern w:val="0"/>
        </w:rPr>
        <w:t>:</w:t>
      </w:r>
      <w:r>
        <w:rPr>
          <w:kern w:val="0"/>
        </w:rPr>
        <w:t xml:space="preserve"> A systematic review. </w:t>
      </w:r>
      <w:r>
        <w:rPr>
          <w:i/>
          <w:iCs/>
          <w:kern w:val="0"/>
        </w:rPr>
        <w:t>Archives</w:t>
      </w:r>
      <w:r w:rsidR="00427468">
        <w:rPr>
          <w:i/>
          <w:iCs/>
          <w:kern w:val="0"/>
        </w:rPr>
        <w:t xml:space="preserve"> of </w:t>
      </w:r>
      <w:r>
        <w:rPr>
          <w:i/>
          <w:iCs/>
          <w:kern w:val="0"/>
        </w:rPr>
        <w:t>Internal Medicine</w:t>
      </w:r>
      <w:r>
        <w:rPr>
          <w:kern w:val="0"/>
        </w:rPr>
        <w:t xml:space="preserve">, </w:t>
      </w:r>
      <w:r>
        <w:rPr>
          <w:b/>
          <w:bCs/>
          <w:kern w:val="0"/>
        </w:rPr>
        <w:t>170</w:t>
      </w:r>
      <w:r>
        <w:rPr>
          <w:kern w:val="0"/>
        </w:rPr>
        <w:t xml:space="preserve"> (4), 321-331.</w:t>
      </w:r>
    </w:p>
    <w:p w:rsidR="006653A3" w:rsidRDefault="006653A3" w:rsidP="006653A3">
      <w:pPr>
        <w:pStyle w:val="a3"/>
        <w:rPr>
          <w:kern w:val="0"/>
        </w:rPr>
      </w:pPr>
      <w:r>
        <w:rPr>
          <w:kern w:val="0"/>
        </w:rPr>
        <w:t>Abstract: Background: Anxiety often remains unrecognized or untreated among patients with a chronic illness. Exercise training may help improve anxiety symptoms among patients. We estimated</w:t>
      </w:r>
      <w:r w:rsidR="003A1917">
        <w:rPr>
          <w:kern w:val="0"/>
        </w:rPr>
        <w:t xml:space="preserve"> the </w:t>
      </w:r>
      <w:r>
        <w:rPr>
          <w:kern w:val="0"/>
        </w:rPr>
        <w:t>population effect size for exercise training effects on anxiety</w:t>
      </w:r>
      <w:r w:rsidR="005853A9">
        <w:rPr>
          <w:kern w:val="0"/>
        </w:rPr>
        <w:t xml:space="preserve"> and </w:t>
      </w:r>
      <w:r>
        <w:rPr>
          <w:kern w:val="0"/>
        </w:rPr>
        <w:t>determined whether selected variables</w:t>
      </w:r>
      <w:r w:rsidR="00427468">
        <w:rPr>
          <w:kern w:val="0"/>
        </w:rPr>
        <w:t xml:space="preserve"> of </w:t>
      </w:r>
      <w:r>
        <w:rPr>
          <w:kern w:val="0"/>
        </w:rPr>
        <w:t>theoretical or practical importance moderate</w:t>
      </w:r>
      <w:r w:rsidR="003A1917">
        <w:rPr>
          <w:kern w:val="0"/>
        </w:rPr>
        <w:t xml:space="preserve"> the </w:t>
      </w:r>
      <w:r>
        <w:rPr>
          <w:kern w:val="0"/>
        </w:rPr>
        <w:t>effect. Methods: Articles published from January 1995 to August 2007 were located using</w:t>
      </w:r>
      <w:r w:rsidR="003A1917">
        <w:rPr>
          <w:kern w:val="0"/>
        </w:rPr>
        <w:t xml:space="preserve"> the </w:t>
      </w:r>
      <w:r>
        <w:rPr>
          <w:kern w:val="0"/>
        </w:rPr>
        <w:t>Physical Activity Guidelines for Americans Scientific Database, supplemented by additional searches through December 2008</w:t>
      </w:r>
      <w:r w:rsidR="00427468">
        <w:rPr>
          <w:kern w:val="0"/>
        </w:rPr>
        <w:t xml:space="preserve"> of </w:t>
      </w:r>
      <w:r w:rsidR="003A1917">
        <w:rPr>
          <w:kern w:val="0"/>
        </w:rPr>
        <w:t xml:space="preserve">the </w:t>
      </w:r>
      <w:r>
        <w:rPr>
          <w:kern w:val="0"/>
        </w:rPr>
        <w:t xml:space="preserve">following databases: Google Scholar, </w:t>
      </w:r>
      <w:r w:rsidR="00D5664A">
        <w:rPr>
          <w:kern w:val="0"/>
        </w:rPr>
        <w:t>MEDLINE</w:t>
      </w:r>
      <w:r>
        <w:rPr>
          <w:kern w:val="0"/>
        </w:rPr>
        <w:t xml:space="preserve">, PsycINFO, </w:t>
      </w:r>
      <w:r w:rsidR="002C12F0">
        <w:rPr>
          <w:kern w:val="0"/>
        </w:rPr>
        <w:t>PUBMED</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Forty English-language articles in scholarly journals involving sedentary adults with a chronic illness were selected</w:t>
      </w:r>
      <w:r w:rsidR="00A37C1D">
        <w:rPr>
          <w:kern w:val="0"/>
        </w:rPr>
        <w:t>. The</w:t>
      </w:r>
      <w:r>
        <w:rPr>
          <w:kern w:val="0"/>
        </w:rPr>
        <w:t>y included both an anxiety outcome measured at baseline</w:t>
      </w:r>
      <w:r w:rsidR="005853A9">
        <w:rPr>
          <w:kern w:val="0"/>
        </w:rPr>
        <w:t xml:space="preserve"> and </w:t>
      </w:r>
      <w:r>
        <w:rPr>
          <w:kern w:val="0"/>
        </w:rPr>
        <w:t>after exercise training</w:t>
      </w:r>
      <w:r w:rsidR="005853A9">
        <w:rPr>
          <w:kern w:val="0"/>
        </w:rPr>
        <w:t xml:space="preserve"> and </w:t>
      </w:r>
      <w:r>
        <w:rPr>
          <w:kern w:val="0"/>
        </w:rPr>
        <w:t>random assignment to either an exercise intervention</w:t>
      </w:r>
      <w:r w:rsidR="00427468">
        <w:rPr>
          <w:kern w:val="0"/>
        </w:rPr>
        <w:t xml:space="preserve"> of </w:t>
      </w:r>
      <w:r>
        <w:rPr>
          <w:kern w:val="0"/>
        </w:rPr>
        <w:t>3 or more weeks or a comparison condition that lacked exercise. Two co-authors independently calculated</w:t>
      </w:r>
      <w:r w:rsidR="003A1917">
        <w:rPr>
          <w:kern w:val="0"/>
        </w:rPr>
        <w:t xml:space="preserve"> the </w:t>
      </w:r>
      <w:r>
        <w:rPr>
          <w:kern w:val="0"/>
        </w:rPr>
        <w:t>Hedges d effect sizes from studies</w:t>
      </w:r>
      <w:r w:rsidR="00427468">
        <w:rPr>
          <w:kern w:val="0"/>
        </w:rPr>
        <w:t xml:space="preserve"> of </w:t>
      </w:r>
      <w:r>
        <w:rPr>
          <w:kern w:val="0"/>
        </w:rPr>
        <w:t>2914 patients</w:t>
      </w:r>
      <w:r w:rsidR="005853A9">
        <w:rPr>
          <w:kern w:val="0"/>
        </w:rPr>
        <w:t xml:space="preserve"> and </w:t>
      </w:r>
      <w:r>
        <w:rPr>
          <w:kern w:val="0"/>
        </w:rPr>
        <w:t>extracted information regarding potential moderator variables. Random effects models were used to estimate sampling error</w:t>
      </w:r>
      <w:r w:rsidR="005853A9">
        <w:rPr>
          <w:kern w:val="0"/>
        </w:rPr>
        <w:t xml:space="preserve"> and </w:t>
      </w:r>
      <w:r>
        <w:rPr>
          <w:kern w:val="0"/>
        </w:rPr>
        <w:t>population variance for all analyses. Results: Compared with no treatment conditions, exercise training significantly reduced anxiety symptoms by a mean effect Delta</w:t>
      </w:r>
      <w:r w:rsidR="00427468">
        <w:rPr>
          <w:kern w:val="0"/>
        </w:rPr>
        <w:t xml:space="preserve"> of </w:t>
      </w:r>
      <w:r>
        <w:rPr>
          <w:kern w:val="0"/>
        </w:rPr>
        <w:t>0.29 (95% confidence interval, 0.23-0.36). Exercise training programs lasting no more than 12 weeks, using session durations</w:t>
      </w:r>
      <w:r w:rsidR="00427468">
        <w:rPr>
          <w:kern w:val="0"/>
        </w:rPr>
        <w:t xml:space="preserve"> of </w:t>
      </w:r>
      <w:r>
        <w:rPr>
          <w:kern w:val="0"/>
        </w:rPr>
        <w:t>at least 30 minutes,</w:t>
      </w:r>
      <w:r w:rsidR="005853A9">
        <w:rPr>
          <w:kern w:val="0"/>
        </w:rPr>
        <w:t xml:space="preserve"> and </w:t>
      </w:r>
      <w:r>
        <w:rPr>
          <w:kern w:val="0"/>
        </w:rPr>
        <w:t xml:space="preserve">an </w:t>
      </w:r>
      <w:r>
        <w:rPr>
          <w:kern w:val="0"/>
        </w:rPr>
        <w:lastRenderedPageBreak/>
        <w:t>anxiety report time frame greater than</w:t>
      </w:r>
      <w:r w:rsidR="003A1917">
        <w:rPr>
          <w:kern w:val="0"/>
        </w:rPr>
        <w:t xml:space="preserve"> the </w:t>
      </w:r>
      <w:r>
        <w:rPr>
          <w:kern w:val="0"/>
        </w:rPr>
        <w:t>past week resulted in</w:t>
      </w:r>
      <w:r w:rsidR="003A1917">
        <w:rPr>
          <w:kern w:val="0"/>
        </w:rPr>
        <w:t xml:space="preserve"> the </w:t>
      </w:r>
      <w:r>
        <w:rPr>
          <w:kern w:val="0"/>
        </w:rPr>
        <w:t>largest anxiety improvements. Conclusion: Exercise training reduces anxiety symptoms among sedentary patients who have a chronic illness.</w:t>
      </w:r>
    </w:p>
    <w:p w:rsidR="006653A3" w:rsidRDefault="006653A3" w:rsidP="006653A3">
      <w:pPr>
        <w:pStyle w:val="a3"/>
        <w:rPr>
          <w:kern w:val="0"/>
        </w:rPr>
      </w:pPr>
      <w:r>
        <w:rPr>
          <w:kern w:val="0"/>
        </w:rPr>
        <w:t xml:space="preserve">Keywords: Adults, Aerobic Exercise, Anxiety, Articles, Cancer-Patients, Cardiac Rehabilitation Program, Cardiorespiratory Fitness, Chronic Illness, Coronary-Artery-Disease, Databases, Exercise, Google Scholar, Information, Intervention, Journals, </w:t>
      </w:r>
      <w:r w:rsidR="00D5664A">
        <w:rPr>
          <w:kern w:val="0"/>
        </w:rPr>
        <w:t>MEDLINE</w:t>
      </w:r>
      <w:r>
        <w:rPr>
          <w:kern w:val="0"/>
        </w:rPr>
        <w:t xml:space="preserve">, Methods, Multiple-Sclerosis Patients, Outcome, Physical Activity, Physical-Activity, Primary-Care, </w:t>
      </w:r>
      <w:r w:rsidR="002C12F0">
        <w:rPr>
          <w:kern w:val="0"/>
        </w:rPr>
        <w:t>PUBMED</w:t>
      </w:r>
      <w:r>
        <w:rPr>
          <w:kern w:val="0"/>
        </w:rPr>
        <w:t>, Quality</w:t>
      </w:r>
      <w:r w:rsidR="00434900">
        <w:rPr>
          <w:kern w:val="0"/>
        </w:rPr>
        <w:t>-of-</w:t>
      </w:r>
      <w:r>
        <w:rPr>
          <w:kern w:val="0"/>
        </w:rPr>
        <w:t xml:space="preserve">Life, Randomized Controlled-Trial, Review, Science, Symptoms, Systematic, Systematic Review, Training, Treatment, </w:t>
      </w:r>
      <w:r w:rsidR="00D5664A">
        <w:rPr>
          <w:kern w:val="0"/>
        </w:rPr>
        <w:t>Web</w:t>
      </w:r>
      <w:r w:rsidR="00427468">
        <w:rPr>
          <w:kern w:val="0"/>
        </w:rPr>
        <w:t xml:space="preserve"> of </w:t>
      </w:r>
      <w:r w:rsidR="00D5664A">
        <w:rPr>
          <w:kern w:val="0"/>
        </w:rPr>
        <w:t>Science</w:t>
      </w:r>
    </w:p>
    <w:p w:rsidR="006653A3" w:rsidRDefault="006653A3" w:rsidP="006653A3">
      <w:pPr>
        <w:pStyle w:val="a3"/>
        <w:rPr>
          <w:kern w:val="0"/>
        </w:rPr>
      </w:pPr>
      <w:r>
        <w:rPr>
          <w:rFonts w:hint="eastAsia"/>
          <w:kern w:val="0"/>
        </w:rPr>
        <w:t xml:space="preserve">? </w:t>
      </w:r>
      <w:r>
        <w:rPr>
          <w:kern w:val="0"/>
        </w:rPr>
        <w:t>Young, L.B., Chan, P.S., Lu, X., Nallamothu, B.K., Sasson, C.</w:t>
      </w:r>
      <w:r w:rsidR="005853A9">
        <w:rPr>
          <w:kern w:val="0"/>
        </w:rPr>
        <w:t xml:space="preserve"> and </w:t>
      </w:r>
      <w:r>
        <w:rPr>
          <w:kern w:val="0"/>
        </w:rPr>
        <w:t>Cram, P.M. (2011), Impact</w:t>
      </w:r>
      <w:r w:rsidR="00427468">
        <w:rPr>
          <w:kern w:val="0"/>
        </w:rPr>
        <w:t xml:space="preserve"> of </w:t>
      </w:r>
      <w:r>
        <w:rPr>
          <w:kern w:val="0"/>
        </w:rPr>
        <w:t>telemedicine intensive care unit coverage on patient outcomes</w:t>
      </w:r>
      <w:r>
        <w:rPr>
          <w:rFonts w:hint="eastAsia"/>
          <w:kern w:val="0"/>
        </w:rPr>
        <w:t>:</w:t>
      </w:r>
      <w:r>
        <w:rPr>
          <w:kern w:val="0"/>
        </w:rPr>
        <w:t xml:space="preserve"> A systematic review</w:t>
      </w:r>
      <w:r w:rsidR="005853A9">
        <w:rPr>
          <w:kern w:val="0"/>
        </w:rPr>
        <w:t xml:space="preserve"> and </w:t>
      </w:r>
      <w:r>
        <w:rPr>
          <w:kern w:val="0"/>
        </w:rPr>
        <w:t xml:space="preserve">meta-analysis. </w:t>
      </w:r>
      <w:r>
        <w:rPr>
          <w:i/>
          <w:iCs/>
          <w:kern w:val="0"/>
        </w:rPr>
        <w:t>Archives</w:t>
      </w:r>
      <w:r w:rsidR="00427468">
        <w:rPr>
          <w:i/>
          <w:iCs/>
          <w:kern w:val="0"/>
        </w:rPr>
        <w:t xml:space="preserve"> of </w:t>
      </w:r>
      <w:r>
        <w:rPr>
          <w:i/>
          <w:iCs/>
          <w:kern w:val="0"/>
        </w:rPr>
        <w:t>Internal Medicine</w:t>
      </w:r>
      <w:r>
        <w:rPr>
          <w:kern w:val="0"/>
        </w:rPr>
        <w:t xml:space="preserve">, </w:t>
      </w:r>
      <w:r>
        <w:rPr>
          <w:b/>
          <w:bCs/>
          <w:kern w:val="0"/>
        </w:rPr>
        <w:t>171</w:t>
      </w:r>
      <w:r>
        <w:rPr>
          <w:kern w:val="0"/>
        </w:rPr>
        <w:t xml:space="preserve"> (6), 498-506.</w:t>
      </w:r>
    </w:p>
    <w:p w:rsidR="006653A3" w:rsidRDefault="006653A3" w:rsidP="006653A3">
      <w:pPr>
        <w:pStyle w:val="a3"/>
        <w:rPr>
          <w:kern w:val="0"/>
        </w:rPr>
      </w:pPr>
      <w:r>
        <w:rPr>
          <w:kern w:val="0"/>
        </w:rPr>
        <w:t>Abstract: Background: Although remote intensive care unit (ICU) coverage is rapidly being adopted to enhance access to intensivists, its effect on patient outcomes is unclear. We conducted a meta-analysis to examine</w:t>
      </w:r>
      <w:r w:rsidR="003A1917">
        <w:rPr>
          <w:kern w:val="0"/>
        </w:rPr>
        <w:t xml:space="preserve"> the </w:t>
      </w:r>
      <w:r>
        <w:rPr>
          <w:kern w:val="0"/>
        </w:rPr>
        <w:t>impact</w:t>
      </w:r>
      <w:r w:rsidR="00427468">
        <w:rPr>
          <w:kern w:val="0"/>
        </w:rPr>
        <w:t xml:space="preserve"> of </w:t>
      </w:r>
      <w:r>
        <w:rPr>
          <w:kern w:val="0"/>
        </w:rPr>
        <w:t>telemedicine ICU (tele-ICU) coverage on mortality</w:t>
      </w:r>
      <w:r w:rsidR="005853A9">
        <w:rPr>
          <w:kern w:val="0"/>
        </w:rPr>
        <w:t xml:space="preserve"> and </w:t>
      </w:r>
      <w:r>
        <w:rPr>
          <w:kern w:val="0"/>
        </w:rPr>
        <w:t>length</w:t>
      </w:r>
      <w:r w:rsidR="00427468">
        <w:rPr>
          <w:kern w:val="0"/>
        </w:rPr>
        <w:t xml:space="preserve"> of </w:t>
      </w:r>
      <w:r>
        <w:rPr>
          <w:kern w:val="0"/>
        </w:rPr>
        <w:t>stay (LOS). Methods: We conducted a systematic review</w:t>
      </w:r>
      <w:r w:rsidR="00427468">
        <w:rPr>
          <w:kern w:val="0"/>
        </w:rPr>
        <w:t xml:space="preserve"> of </w:t>
      </w:r>
      <w:r>
        <w:rPr>
          <w:kern w:val="0"/>
        </w:rPr>
        <w:t xml:space="preserve">studies published from January 1, 1950, through September 30, 2010, using </w:t>
      </w:r>
      <w:r w:rsidR="002C12F0">
        <w:rPr>
          <w:kern w:val="0"/>
        </w:rPr>
        <w:t>PUBMED</w:t>
      </w:r>
      <w:r>
        <w:rPr>
          <w:kern w:val="0"/>
        </w:rPr>
        <w:t>, CINAHL (Cumulative Index to Nursing</w:t>
      </w:r>
      <w:r w:rsidR="005853A9">
        <w:rPr>
          <w:kern w:val="0"/>
        </w:rPr>
        <w:t xml:space="preserve"> and </w:t>
      </w:r>
      <w:r>
        <w:rPr>
          <w:kern w:val="0"/>
        </w:rPr>
        <w:t xml:space="preserve">Allied Health Literature), Global Health,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Library,</w:t>
      </w:r>
      <w:r w:rsidR="005853A9">
        <w:rPr>
          <w:kern w:val="0"/>
        </w:rPr>
        <w:t xml:space="preserve"> and </w:t>
      </w:r>
      <w:r>
        <w:rPr>
          <w:kern w:val="0"/>
        </w:rPr>
        <w:t>conference abstracts. We included studies that reported data on</w:t>
      </w:r>
      <w:r w:rsidR="003A1917">
        <w:rPr>
          <w:kern w:val="0"/>
        </w:rPr>
        <w:t xml:space="preserve"> the </w:t>
      </w:r>
      <w:r>
        <w:rPr>
          <w:kern w:val="0"/>
        </w:rPr>
        <w:t>primary outcomes</w:t>
      </w:r>
      <w:r w:rsidR="00427468">
        <w:rPr>
          <w:kern w:val="0"/>
        </w:rPr>
        <w:t xml:space="preserve"> of </w:t>
      </w:r>
      <w:r>
        <w:rPr>
          <w:kern w:val="0"/>
        </w:rPr>
        <w:t>ICU</w:t>
      </w:r>
      <w:r w:rsidR="005853A9">
        <w:rPr>
          <w:kern w:val="0"/>
        </w:rPr>
        <w:t xml:space="preserve"> and </w:t>
      </w:r>
      <w:r>
        <w:rPr>
          <w:kern w:val="0"/>
        </w:rPr>
        <w:t>in-hospital mortality or on</w:t>
      </w:r>
      <w:r w:rsidR="003A1917">
        <w:rPr>
          <w:kern w:val="0"/>
        </w:rPr>
        <w:t xml:space="preserve"> the </w:t>
      </w:r>
      <w:r>
        <w:rPr>
          <w:kern w:val="0"/>
        </w:rPr>
        <w:t>secondary outcomes</w:t>
      </w:r>
      <w:r w:rsidR="00427468">
        <w:rPr>
          <w:kern w:val="0"/>
        </w:rPr>
        <w:t xml:space="preserve"> of </w:t>
      </w:r>
      <w:r>
        <w:rPr>
          <w:kern w:val="0"/>
        </w:rPr>
        <w:t>ICU</w:t>
      </w:r>
      <w:r w:rsidR="005853A9">
        <w:rPr>
          <w:kern w:val="0"/>
        </w:rPr>
        <w:t xml:space="preserve"> and </w:t>
      </w:r>
      <w:r>
        <w:rPr>
          <w:kern w:val="0"/>
        </w:rPr>
        <w:t>hospital LOS. Results: We identified 13 eligible studies involving 35 ICUs. All</w:t>
      </w:r>
      <w:r w:rsidR="003A1917">
        <w:rPr>
          <w:kern w:val="0"/>
        </w:rPr>
        <w:t xml:space="preserve"> the </w:t>
      </w:r>
      <w:r>
        <w:rPr>
          <w:kern w:val="0"/>
        </w:rPr>
        <w:t>studies used a before-and-after design</w:t>
      </w:r>
      <w:r w:rsidR="00A37C1D">
        <w:rPr>
          <w:kern w:val="0"/>
        </w:rPr>
        <w:t>. The</w:t>
      </w:r>
      <w:r w:rsidR="003A1917">
        <w:rPr>
          <w:kern w:val="0"/>
        </w:rPr>
        <w:t xml:space="preserve"> </w:t>
      </w:r>
      <w:r>
        <w:rPr>
          <w:kern w:val="0"/>
        </w:rPr>
        <w:t>studies included 41 374 patients (15 667 pre-tele-ICU</w:t>
      </w:r>
      <w:r w:rsidR="005853A9">
        <w:rPr>
          <w:kern w:val="0"/>
        </w:rPr>
        <w:t xml:space="preserve"> and </w:t>
      </w:r>
      <w:r>
        <w:rPr>
          <w:kern w:val="0"/>
        </w:rPr>
        <w:t>25 707 post-tele-ICU patients). Tele-ICU coverage was associated with a reduction in ICU mortality (pooled odds ratio, 0.80; 95% confidence interval [CI], 0.66-0.97; P = .02) but not in-hospital mortality for patients admitted to an ICU (pooled odds ratio, 0.82; 95% CI, 0.65-1.03; P = .08). Similarly, tele-ICU coverage was associated with a reduction in ICU LOS (mean difference, -1.26 days; 95% CI, -2.21 to -0.30; P = .01) but not hospital LOS(mean difference, -0.64; 95% CI, -1.52 to 0.25; P = .16). Conclusion: Tele-ICU coverage is associated with lower ICU mortality</w:t>
      </w:r>
      <w:r w:rsidR="005853A9">
        <w:rPr>
          <w:kern w:val="0"/>
        </w:rPr>
        <w:t xml:space="preserve"> and </w:t>
      </w:r>
      <w:r>
        <w:rPr>
          <w:kern w:val="0"/>
        </w:rPr>
        <w:t>LOS but not with lower in-hospital mortality or hospital LOS.</w:t>
      </w:r>
    </w:p>
    <w:p w:rsidR="006653A3" w:rsidRDefault="006653A3" w:rsidP="006653A3">
      <w:pPr>
        <w:pStyle w:val="a3"/>
        <w:rPr>
          <w:kern w:val="0"/>
        </w:rPr>
      </w:pPr>
      <w:r>
        <w:rPr>
          <w:kern w:val="0"/>
        </w:rPr>
        <w:t>Keywords: Care, Cochrane, Coverage, Critically-Ill Patients, Economic Outcomes, Health, Health System, Hospital, Icu, Impact, Intensive, Intensive Care, Intensive Care Unit, Length</w:t>
      </w:r>
      <w:r w:rsidR="00427468">
        <w:rPr>
          <w:kern w:val="0"/>
        </w:rPr>
        <w:t xml:space="preserve"> of </w:t>
      </w:r>
      <w:r>
        <w:rPr>
          <w:kern w:val="0"/>
        </w:rPr>
        <w:t>Stay, Length</w:t>
      </w:r>
      <w:r w:rsidR="00434900">
        <w:rPr>
          <w:kern w:val="0"/>
        </w:rPr>
        <w:t>-of-</w:t>
      </w:r>
      <w:r>
        <w:rPr>
          <w:kern w:val="0"/>
        </w:rPr>
        <w:t xml:space="preserve">Stay, Management, Mechanical Ventilation, Meta Analysis, Meta-Analysis, Metaanalysis, Methods, Mortality, Nursing, Outcomes, Patient Outcomes, Primary, Program, </w:t>
      </w:r>
      <w:r w:rsidR="002C12F0">
        <w:rPr>
          <w:kern w:val="0"/>
        </w:rPr>
        <w:t>PUBMED</w:t>
      </w:r>
      <w:r>
        <w:rPr>
          <w:kern w:val="0"/>
        </w:rPr>
        <w:t xml:space="preserve">, Ratio, Review, Science, Systematic, Systematic Review, </w:t>
      </w:r>
      <w:r w:rsidR="00D5664A">
        <w:rPr>
          <w:kern w:val="0"/>
        </w:rPr>
        <w:t>Web</w:t>
      </w:r>
      <w:r w:rsidR="00427468">
        <w:rPr>
          <w:kern w:val="0"/>
        </w:rPr>
        <w:t xml:space="preserve"> of </w:t>
      </w:r>
      <w:r w:rsidR="00D5664A">
        <w:rPr>
          <w:kern w:val="0"/>
        </w:rPr>
        <w:t>Science</w:t>
      </w:r>
    </w:p>
    <w:p w:rsidR="006653A3" w:rsidRDefault="006653A3" w:rsidP="006653A3">
      <w:pPr>
        <w:pStyle w:val="a3"/>
        <w:rPr>
          <w:kern w:val="0"/>
        </w:rPr>
      </w:pPr>
      <w:r>
        <w:rPr>
          <w:rFonts w:hint="eastAsia"/>
          <w:kern w:val="0"/>
        </w:rPr>
        <w:lastRenderedPageBreak/>
        <w:t xml:space="preserve">? </w:t>
      </w:r>
      <w:r>
        <w:rPr>
          <w:kern w:val="0"/>
        </w:rPr>
        <w:t>Rose, K.D., Ross, J.S.</w:t>
      </w:r>
      <w:r w:rsidR="005853A9">
        <w:rPr>
          <w:kern w:val="0"/>
        </w:rPr>
        <w:t xml:space="preserve"> and </w:t>
      </w:r>
      <w:r>
        <w:rPr>
          <w:kern w:val="0"/>
        </w:rPr>
        <w:t>Horwitz, L.I. (2011), Advanced access scheduling outcomes</w:t>
      </w:r>
      <w:r>
        <w:rPr>
          <w:rFonts w:hint="eastAsia"/>
          <w:kern w:val="0"/>
        </w:rPr>
        <w:t>:</w:t>
      </w:r>
      <w:r>
        <w:rPr>
          <w:kern w:val="0"/>
        </w:rPr>
        <w:t xml:space="preserve"> A systematic review. </w:t>
      </w:r>
      <w:r>
        <w:rPr>
          <w:i/>
          <w:iCs/>
          <w:kern w:val="0"/>
        </w:rPr>
        <w:t>Archives</w:t>
      </w:r>
      <w:r w:rsidR="00427468">
        <w:rPr>
          <w:i/>
          <w:iCs/>
          <w:kern w:val="0"/>
        </w:rPr>
        <w:t xml:space="preserve"> of </w:t>
      </w:r>
      <w:r>
        <w:rPr>
          <w:i/>
          <w:iCs/>
          <w:kern w:val="0"/>
        </w:rPr>
        <w:t>Internal Medicine</w:t>
      </w:r>
      <w:r>
        <w:rPr>
          <w:kern w:val="0"/>
        </w:rPr>
        <w:t xml:space="preserve">, </w:t>
      </w:r>
      <w:r>
        <w:rPr>
          <w:b/>
          <w:bCs/>
          <w:kern w:val="0"/>
        </w:rPr>
        <w:t>171</w:t>
      </w:r>
      <w:r>
        <w:rPr>
          <w:kern w:val="0"/>
        </w:rPr>
        <w:t xml:space="preserve"> (13), 1150-1159.</w:t>
      </w:r>
    </w:p>
    <w:p w:rsidR="006653A3" w:rsidRDefault="006653A3" w:rsidP="006653A3">
      <w:pPr>
        <w:pStyle w:val="a3"/>
        <w:rPr>
          <w:kern w:val="0"/>
        </w:rPr>
      </w:pPr>
      <w:r>
        <w:rPr>
          <w:kern w:val="0"/>
        </w:rPr>
        <w:t>Abstract: Background: Advanced (</w:t>
      </w:r>
      <w:r w:rsidR="00B5188C">
        <w:rPr>
          <w:kern w:val="0"/>
        </w:rPr>
        <w:t>“</w:t>
      </w:r>
      <w:r>
        <w:rPr>
          <w:kern w:val="0"/>
        </w:rPr>
        <w:t>open</w:t>
      </w:r>
      <w:r w:rsidR="00B5188C">
        <w:rPr>
          <w:kern w:val="0"/>
        </w:rPr>
        <w:t>”</w:t>
      </w:r>
      <w:r>
        <w:rPr>
          <w:kern w:val="0"/>
        </w:rPr>
        <w:t>) access scheduling, which promotes patient-driven scheduling in lieu</w:t>
      </w:r>
      <w:r w:rsidR="00427468">
        <w:rPr>
          <w:kern w:val="0"/>
        </w:rPr>
        <w:t xml:space="preserve"> of </w:t>
      </w:r>
      <w:r>
        <w:rPr>
          <w:kern w:val="0"/>
        </w:rPr>
        <w:t>prearranged appointments, has been proposed as a more patient-centered appointment method</w:t>
      </w:r>
      <w:r w:rsidR="005853A9">
        <w:rPr>
          <w:kern w:val="0"/>
        </w:rPr>
        <w:t xml:space="preserve"> and </w:t>
      </w:r>
      <w:r>
        <w:rPr>
          <w:kern w:val="0"/>
        </w:rPr>
        <w:t>has been widely adopted throughout</w:t>
      </w:r>
      <w:r w:rsidR="003A1917">
        <w:rPr>
          <w:kern w:val="0"/>
        </w:rPr>
        <w:t xml:space="preserve"> the </w:t>
      </w:r>
      <w:r>
        <w:rPr>
          <w:kern w:val="0"/>
        </w:rPr>
        <w:t>United Kingdom, within</w:t>
      </w:r>
      <w:r w:rsidR="003A1917">
        <w:rPr>
          <w:kern w:val="0"/>
        </w:rPr>
        <w:t xml:space="preserve"> the </w:t>
      </w:r>
      <w:r>
        <w:rPr>
          <w:kern w:val="0"/>
        </w:rPr>
        <w:t>US Veterans Health Administration,</w:t>
      </w:r>
      <w:r w:rsidR="005853A9">
        <w:rPr>
          <w:kern w:val="0"/>
        </w:rPr>
        <w:t xml:space="preserve"> and </w:t>
      </w:r>
      <w:r>
        <w:rPr>
          <w:kern w:val="0"/>
        </w:rPr>
        <w:t>among US private practices. Objective: To describe patient</w:t>
      </w:r>
      <w:r w:rsidR="005853A9">
        <w:rPr>
          <w:kern w:val="0"/>
        </w:rPr>
        <w:t xml:space="preserve"> and </w:t>
      </w:r>
      <w:r>
        <w:rPr>
          <w:kern w:val="0"/>
        </w:rPr>
        <w:t>physician and/or practice outcomes resulting from implementation</w:t>
      </w:r>
      <w:r w:rsidR="00427468">
        <w:rPr>
          <w:kern w:val="0"/>
        </w:rPr>
        <w:t xml:space="preserve"> of </w:t>
      </w:r>
      <w:r>
        <w:rPr>
          <w:kern w:val="0"/>
        </w:rPr>
        <w:t>advanced access scheduling in</w:t>
      </w:r>
      <w:r w:rsidR="003A1917">
        <w:rPr>
          <w:kern w:val="0"/>
        </w:rPr>
        <w:t xml:space="preserve"> the </w:t>
      </w:r>
      <w:r>
        <w:rPr>
          <w:kern w:val="0"/>
        </w:rPr>
        <w:t>primary care setting. Data Sources: Comprehensive search</w:t>
      </w:r>
      <w:r w:rsidR="00427468">
        <w:rPr>
          <w:kern w:val="0"/>
        </w:rPr>
        <w:t xml:space="preserve"> of </w:t>
      </w:r>
      <w:r>
        <w:rPr>
          <w:kern w:val="0"/>
        </w:rPr>
        <w:t>electronic databases (</w:t>
      </w:r>
      <w:r w:rsidR="00D5664A">
        <w:rPr>
          <w:kern w:val="0"/>
        </w:rPr>
        <w:t>MEDLINE</w:t>
      </w:r>
      <w:r>
        <w:rPr>
          <w:kern w:val="0"/>
        </w:rPr>
        <w:t xml:space="preserve">, Scopus, </w:t>
      </w:r>
      <w:r w:rsidR="00D5664A">
        <w:rPr>
          <w:kern w:val="0"/>
        </w:rPr>
        <w:t>Web</w:t>
      </w:r>
      <w:r w:rsidR="00427468">
        <w:rPr>
          <w:kern w:val="0"/>
        </w:rPr>
        <w:t xml:space="preserve"> of </w:t>
      </w:r>
      <w:r w:rsidR="00D5664A">
        <w:rPr>
          <w:kern w:val="0"/>
        </w:rPr>
        <w:t>Science</w:t>
      </w:r>
      <w:r>
        <w:rPr>
          <w:kern w:val="0"/>
        </w:rPr>
        <w:t>) through August, 2010, supplemented by reference lists</w:t>
      </w:r>
      <w:r w:rsidR="005853A9">
        <w:rPr>
          <w:kern w:val="0"/>
        </w:rPr>
        <w:t xml:space="preserve"> and </w:t>
      </w:r>
      <w:r>
        <w:rPr>
          <w:kern w:val="0"/>
        </w:rPr>
        <w:t>gray literature. Study Selection: Studies were assessed in duplicate,</w:t>
      </w:r>
      <w:r w:rsidR="005853A9">
        <w:rPr>
          <w:kern w:val="0"/>
        </w:rPr>
        <w:t xml:space="preserve"> and </w:t>
      </w:r>
      <w:r>
        <w:rPr>
          <w:kern w:val="0"/>
        </w:rPr>
        <w:t>reviewers were blinded to author, journal,</w:t>
      </w:r>
      <w:r w:rsidR="005853A9">
        <w:rPr>
          <w:kern w:val="0"/>
        </w:rPr>
        <w:t xml:space="preserve"> and </w:t>
      </w:r>
      <w:r>
        <w:rPr>
          <w:kern w:val="0"/>
        </w:rPr>
        <w:t>date</w:t>
      </w:r>
      <w:r w:rsidR="00427468">
        <w:rPr>
          <w:kern w:val="0"/>
        </w:rPr>
        <w:t xml:space="preserve"> of </w:t>
      </w:r>
      <w:r>
        <w:rPr>
          <w:kern w:val="0"/>
        </w:rPr>
        <w:t>publication. Controlled</w:t>
      </w:r>
      <w:r w:rsidR="005853A9">
        <w:rPr>
          <w:kern w:val="0"/>
        </w:rPr>
        <w:t xml:space="preserve"> and </w:t>
      </w:r>
      <w:r>
        <w:rPr>
          <w:kern w:val="0"/>
        </w:rPr>
        <w:t>uncontrolled English-language studies</w:t>
      </w:r>
      <w:r w:rsidR="00427468">
        <w:rPr>
          <w:kern w:val="0"/>
        </w:rPr>
        <w:t xml:space="preserve"> of </w:t>
      </w:r>
      <w:r>
        <w:rPr>
          <w:kern w:val="0"/>
        </w:rPr>
        <w:t>advanced access implementation in primary care were eligible if they specified methods</w:t>
      </w:r>
      <w:r w:rsidR="005853A9">
        <w:rPr>
          <w:kern w:val="0"/>
        </w:rPr>
        <w:t xml:space="preserve"> and </w:t>
      </w:r>
      <w:r>
        <w:rPr>
          <w:kern w:val="0"/>
        </w:rPr>
        <w:t>reported outcomes data. Data Extraction: Two reviewers collaboratively assessed risk for bias by using</w:t>
      </w:r>
      <w:r w:rsidR="003A1917">
        <w:rPr>
          <w:kern w:val="0"/>
        </w:rPr>
        <w:t xml:space="preserve"> the </w:t>
      </w:r>
      <w:r>
        <w:rPr>
          <w:kern w:val="0"/>
        </w:rPr>
        <w:t>Cochrane Effective Practice</w:t>
      </w:r>
      <w:r w:rsidR="005853A9">
        <w:rPr>
          <w:kern w:val="0"/>
        </w:rPr>
        <w:t xml:space="preserve"> and </w:t>
      </w:r>
      <w:r>
        <w:rPr>
          <w:kern w:val="0"/>
        </w:rPr>
        <w:t>Organisation</w:t>
      </w:r>
      <w:r w:rsidR="00427468">
        <w:rPr>
          <w:kern w:val="0"/>
        </w:rPr>
        <w:t xml:space="preserve"> of </w:t>
      </w:r>
      <w:r>
        <w:rPr>
          <w:kern w:val="0"/>
        </w:rPr>
        <w:t>Care Group Risk</w:t>
      </w:r>
      <w:r w:rsidR="00427468">
        <w:rPr>
          <w:kern w:val="0"/>
        </w:rPr>
        <w:t xml:space="preserve"> of </w:t>
      </w:r>
      <w:r>
        <w:rPr>
          <w:kern w:val="0"/>
        </w:rPr>
        <w:t>Bias criteria. Data were independently extracted in duplicate. Data Synthesis: Twenty-eight articles describing 24 studies met eligibility criteria. All studies had at least 1 source</w:t>
      </w:r>
      <w:r w:rsidR="00427468">
        <w:rPr>
          <w:kern w:val="0"/>
        </w:rPr>
        <w:t xml:space="preserve"> of </w:t>
      </w:r>
      <w:r>
        <w:rPr>
          <w:kern w:val="0"/>
        </w:rPr>
        <w:t>potential bias. All 8 studies evaluating time to third-next-available appointment showed reductions (range</w:t>
      </w:r>
      <w:r w:rsidR="00427468">
        <w:rPr>
          <w:kern w:val="0"/>
        </w:rPr>
        <w:t xml:space="preserve"> of </w:t>
      </w:r>
      <w:r>
        <w:rPr>
          <w:kern w:val="0"/>
        </w:rPr>
        <w:t>decrease, 1.1-32 days), but only 2 achieved a third-next-available appointment in less than 48 hours (25%). No-show rates improved only in practices with baseline no-show rates higher than 15%. Effects on patient satisfaction were variable. Limited data addressed clinical outcomes</w:t>
      </w:r>
      <w:r w:rsidR="005853A9">
        <w:rPr>
          <w:kern w:val="0"/>
        </w:rPr>
        <w:t xml:space="preserve"> and </w:t>
      </w:r>
      <w:r>
        <w:rPr>
          <w:kern w:val="0"/>
        </w:rPr>
        <w:t>loss to follow-up. Conclusions: Studies</w:t>
      </w:r>
      <w:r w:rsidR="00427468">
        <w:rPr>
          <w:kern w:val="0"/>
        </w:rPr>
        <w:t xml:space="preserve"> of </w:t>
      </w:r>
      <w:r>
        <w:rPr>
          <w:kern w:val="0"/>
        </w:rPr>
        <w:t>advanced access support benefits to wait time</w:t>
      </w:r>
      <w:r w:rsidR="005853A9">
        <w:rPr>
          <w:kern w:val="0"/>
        </w:rPr>
        <w:t xml:space="preserve"> and </w:t>
      </w:r>
      <w:r>
        <w:rPr>
          <w:kern w:val="0"/>
        </w:rPr>
        <w:t>no-show rate. However, effects on patient satisfaction were mixed,</w:t>
      </w:r>
      <w:r w:rsidR="005853A9">
        <w:rPr>
          <w:kern w:val="0"/>
        </w:rPr>
        <w:t xml:space="preserve"> and </w:t>
      </w:r>
      <w:r>
        <w:rPr>
          <w:kern w:val="0"/>
        </w:rPr>
        <w:t>data about clinical outcomes</w:t>
      </w:r>
      <w:r w:rsidR="005853A9">
        <w:rPr>
          <w:kern w:val="0"/>
        </w:rPr>
        <w:t xml:space="preserve"> and </w:t>
      </w:r>
      <w:r>
        <w:rPr>
          <w:kern w:val="0"/>
        </w:rPr>
        <w:t>loss to follow-up were lacking.</w:t>
      </w:r>
    </w:p>
    <w:p w:rsidR="006653A3" w:rsidRDefault="006653A3" w:rsidP="006653A3">
      <w:pPr>
        <w:pStyle w:val="a3"/>
        <w:rPr>
          <w:kern w:val="0"/>
        </w:rPr>
      </w:pPr>
      <w:r>
        <w:rPr>
          <w:kern w:val="0"/>
        </w:rPr>
        <w:t xml:space="preserve">Keywords: Administration, Appointment Systems, Author, Bias, Care, Cochrane, Databases, Discrete-Choice Experiment, Extraction, Follow-up, General-Practice, Health, Health-Care, Impact, Implementation, Journal, Literature, Measuring Continuity, </w:t>
      </w:r>
      <w:r w:rsidR="00D5664A">
        <w:rPr>
          <w:kern w:val="0"/>
        </w:rPr>
        <w:t>MEDLINE</w:t>
      </w:r>
      <w:r>
        <w:rPr>
          <w:kern w:val="0"/>
        </w:rPr>
        <w:t xml:space="preserve">, Outcomes, Patient Satisfaction, Practice, Primary, Primary Care, Primary-Care Access, Publication, Quality, Review, Risk, Science, Scopus, Sources, Systematic, Systematic Review, United Kingdom, US, </w:t>
      </w:r>
      <w:r w:rsidR="00D5664A">
        <w:rPr>
          <w:kern w:val="0"/>
        </w:rPr>
        <w:t>Web</w:t>
      </w:r>
      <w:r w:rsidR="00427468">
        <w:rPr>
          <w:kern w:val="0"/>
        </w:rPr>
        <w:t xml:space="preserve"> of </w:t>
      </w:r>
      <w:r w:rsidR="00D5664A">
        <w:rPr>
          <w:kern w:val="0"/>
        </w:rPr>
        <w:t>Science</w:t>
      </w:r>
    </w:p>
    <w:p w:rsidR="00517EB4" w:rsidRDefault="00517EB4" w:rsidP="00517EB4">
      <w:pPr>
        <w:pStyle w:val="a3"/>
        <w:rPr>
          <w:kern w:val="0"/>
        </w:rPr>
      </w:pPr>
      <w:r>
        <w:rPr>
          <w:rFonts w:hint="eastAsia"/>
          <w:kern w:val="0"/>
        </w:rPr>
        <w:t xml:space="preserve">? </w:t>
      </w:r>
      <w:r>
        <w:rPr>
          <w:kern w:val="0"/>
        </w:rPr>
        <w:t>Herring, M.P., Puetz, T.W., O</w:t>
      </w:r>
      <w:r w:rsidR="00700038">
        <w:rPr>
          <w:kern w:val="0"/>
        </w:rPr>
        <w:t>’</w:t>
      </w:r>
      <w:r>
        <w:rPr>
          <w:kern w:val="0"/>
        </w:rPr>
        <w:t>Connor, P.J.</w:t>
      </w:r>
      <w:r w:rsidR="005853A9">
        <w:rPr>
          <w:kern w:val="0"/>
        </w:rPr>
        <w:t xml:space="preserve"> and </w:t>
      </w:r>
      <w:r>
        <w:rPr>
          <w:kern w:val="0"/>
        </w:rPr>
        <w:t>Dishman, R.K. (2012), Effect</w:t>
      </w:r>
      <w:r w:rsidR="00427468">
        <w:rPr>
          <w:kern w:val="0"/>
        </w:rPr>
        <w:t xml:space="preserve"> of </w:t>
      </w:r>
      <w:r>
        <w:rPr>
          <w:kern w:val="0"/>
        </w:rPr>
        <w:t>exercise training on depressive symptoms among patients with a chronic illness a systematic review</w:t>
      </w:r>
      <w:r w:rsidR="005853A9">
        <w:rPr>
          <w:kern w:val="0"/>
        </w:rPr>
        <w:t xml:space="preserve"> and </w:t>
      </w:r>
      <w:r>
        <w:rPr>
          <w:kern w:val="0"/>
        </w:rPr>
        <w:t>meta-analysis</w:t>
      </w:r>
      <w:r w:rsidR="00427468">
        <w:rPr>
          <w:kern w:val="0"/>
        </w:rPr>
        <w:t xml:space="preserve"> of </w:t>
      </w:r>
      <w:r>
        <w:rPr>
          <w:kern w:val="0"/>
        </w:rPr>
        <w:t xml:space="preserve">randomized controlled trials. </w:t>
      </w:r>
      <w:r>
        <w:rPr>
          <w:i/>
          <w:iCs/>
          <w:kern w:val="0"/>
        </w:rPr>
        <w:t>Archives</w:t>
      </w:r>
      <w:r w:rsidR="00427468">
        <w:rPr>
          <w:i/>
          <w:iCs/>
          <w:kern w:val="0"/>
        </w:rPr>
        <w:t xml:space="preserve"> of </w:t>
      </w:r>
      <w:r>
        <w:rPr>
          <w:i/>
          <w:iCs/>
          <w:kern w:val="0"/>
        </w:rPr>
        <w:t>Internal Medicine</w:t>
      </w:r>
      <w:r>
        <w:rPr>
          <w:kern w:val="0"/>
        </w:rPr>
        <w:t xml:space="preserve">, </w:t>
      </w:r>
      <w:r>
        <w:rPr>
          <w:b/>
          <w:bCs/>
          <w:kern w:val="0"/>
        </w:rPr>
        <w:t>172</w:t>
      </w:r>
      <w:r>
        <w:rPr>
          <w:kern w:val="0"/>
        </w:rPr>
        <w:t xml:space="preserve"> (2), 101-111.</w:t>
      </w:r>
    </w:p>
    <w:p w:rsidR="00517EB4" w:rsidRDefault="00517EB4" w:rsidP="00517EB4">
      <w:pPr>
        <w:pStyle w:val="a3"/>
        <w:rPr>
          <w:kern w:val="0"/>
        </w:rPr>
      </w:pPr>
      <w:r>
        <w:rPr>
          <w:rFonts w:hint="eastAsia"/>
          <w:kern w:val="0"/>
        </w:rPr>
        <w:t xml:space="preserve">Full Text: </w:t>
      </w:r>
      <w:hyperlink r:id="rId1139" w:history="1">
        <w:r w:rsidR="00FF5563" w:rsidRPr="00FF5563">
          <w:rPr>
            <w:rStyle w:val="a5"/>
            <w:kern w:val="0"/>
          </w:rPr>
          <w:t>2012\Arc Int Med172, 101.pdf</w:t>
        </w:r>
      </w:hyperlink>
    </w:p>
    <w:p w:rsidR="00517EB4" w:rsidRDefault="00517EB4" w:rsidP="00517EB4">
      <w:pPr>
        <w:pStyle w:val="a3"/>
        <w:rPr>
          <w:kern w:val="0"/>
        </w:rPr>
      </w:pPr>
      <w:r>
        <w:rPr>
          <w:kern w:val="0"/>
        </w:rPr>
        <w:t>Abstract: Background: Physical inactivity</w:t>
      </w:r>
      <w:r w:rsidR="005853A9">
        <w:rPr>
          <w:kern w:val="0"/>
        </w:rPr>
        <w:t xml:space="preserve"> and </w:t>
      </w:r>
      <w:r>
        <w:rPr>
          <w:kern w:val="0"/>
        </w:rPr>
        <w:t xml:space="preserve">comorbid depressive symptoms are prevalent among patients with a chronic illness. To our knowledge, randomized </w:t>
      </w:r>
      <w:r>
        <w:rPr>
          <w:kern w:val="0"/>
        </w:rPr>
        <w:lastRenderedPageBreak/>
        <w:t>controlled trials</w:t>
      </w:r>
      <w:r w:rsidR="00427468">
        <w:rPr>
          <w:kern w:val="0"/>
        </w:rPr>
        <w:t xml:space="preserve"> of </w:t>
      </w:r>
      <w:r w:rsidR="003A1917">
        <w:rPr>
          <w:kern w:val="0"/>
        </w:rPr>
        <w:t xml:space="preserve">the </w:t>
      </w:r>
      <w:r>
        <w:rPr>
          <w:kern w:val="0"/>
        </w:rPr>
        <w:t>effects</w:t>
      </w:r>
      <w:r w:rsidR="00427468">
        <w:rPr>
          <w:kern w:val="0"/>
        </w:rPr>
        <w:t xml:space="preserve"> of </w:t>
      </w:r>
      <w:r>
        <w:rPr>
          <w:kern w:val="0"/>
        </w:rPr>
        <w:t>exercise training on depressive symptoms among patients with a chronic illness have not been systematically reviewed. We estimated</w:t>
      </w:r>
      <w:r w:rsidR="003A1917">
        <w:rPr>
          <w:kern w:val="0"/>
        </w:rPr>
        <w:t xml:space="preserve"> the </w:t>
      </w:r>
      <w:r>
        <w:rPr>
          <w:kern w:val="0"/>
        </w:rPr>
        <w:t>population effect</w:t>
      </w:r>
      <w:r w:rsidR="00427468">
        <w:rPr>
          <w:kern w:val="0"/>
        </w:rPr>
        <w:t xml:space="preserve"> of </w:t>
      </w:r>
      <w:r>
        <w:rPr>
          <w:kern w:val="0"/>
        </w:rPr>
        <w:t>exercise training on depressive symptoms</w:t>
      </w:r>
      <w:r w:rsidR="005853A9">
        <w:rPr>
          <w:kern w:val="0"/>
        </w:rPr>
        <w:t xml:space="preserve"> and </w:t>
      </w:r>
      <w:r>
        <w:rPr>
          <w:kern w:val="0"/>
        </w:rPr>
        <w:t>determined whether</w:t>
      </w:r>
      <w:r w:rsidR="003A1917">
        <w:rPr>
          <w:kern w:val="0"/>
        </w:rPr>
        <w:t xml:space="preserve"> the </w:t>
      </w:r>
      <w:r>
        <w:rPr>
          <w:kern w:val="0"/>
        </w:rPr>
        <w:t>effect varied according to patient characteristics</w:t>
      </w:r>
      <w:r w:rsidR="005853A9">
        <w:rPr>
          <w:kern w:val="0"/>
        </w:rPr>
        <w:t xml:space="preserve"> and </w:t>
      </w:r>
      <w:r>
        <w:rPr>
          <w:kern w:val="0"/>
        </w:rPr>
        <w:t>modifiable features</w:t>
      </w:r>
      <w:r w:rsidR="00427468">
        <w:rPr>
          <w:kern w:val="0"/>
        </w:rPr>
        <w:t xml:space="preserve"> of </w:t>
      </w:r>
      <w:r>
        <w:rPr>
          <w:kern w:val="0"/>
        </w:rPr>
        <w:t>exercise exposure</w:t>
      </w:r>
      <w:r w:rsidR="005853A9">
        <w:rPr>
          <w:kern w:val="0"/>
        </w:rPr>
        <w:t xml:space="preserve"> and </w:t>
      </w:r>
      <w:r>
        <w:rPr>
          <w:kern w:val="0"/>
        </w:rPr>
        <w:t>clinical settings. Methods: Articles published before June 1, 2011, were located using</w:t>
      </w:r>
      <w:r w:rsidR="003A1917">
        <w:rPr>
          <w:kern w:val="0"/>
        </w:rPr>
        <w:t xml:space="preserve"> the </w:t>
      </w:r>
      <w:r>
        <w:rPr>
          <w:kern w:val="0"/>
        </w:rPr>
        <w:t xml:space="preserve">Physical Activity Guidelines for Americans Scientific Database, Google Scholar, </w:t>
      </w:r>
      <w:r w:rsidR="00D5664A">
        <w:rPr>
          <w:kern w:val="0"/>
        </w:rPr>
        <w:t>MEDLINE</w:t>
      </w:r>
      <w:r>
        <w:rPr>
          <w:kern w:val="0"/>
        </w:rPr>
        <w:t>, PsycINFO,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Ninety articles involving 10 534 sedentary patients with a chronic illness were selected. Included articles required (1) randomized allocation to an exercise intervention or nonexercise comparison condition</w:t>
      </w:r>
      <w:r w:rsidR="005853A9">
        <w:rPr>
          <w:kern w:val="0"/>
        </w:rPr>
        <w:t xml:space="preserve"> and </w:t>
      </w:r>
      <w:r>
        <w:rPr>
          <w:kern w:val="0"/>
        </w:rPr>
        <w:t>(2) a depression outcome assessed at baseline</w:t>
      </w:r>
      <w:r w:rsidR="005853A9">
        <w:rPr>
          <w:kern w:val="0"/>
        </w:rPr>
        <w:t xml:space="preserve"> and </w:t>
      </w:r>
      <w:r>
        <w:rPr>
          <w:kern w:val="0"/>
        </w:rPr>
        <w:t>at mid-and/or postintervention. Hedges d effect sizes were computed, study quality was evaluated,</w:t>
      </w:r>
      <w:r w:rsidR="005853A9">
        <w:rPr>
          <w:kern w:val="0"/>
        </w:rPr>
        <w:t xml:space="preserve"> and </w:t>
      </w:r>
      <w:r>
        <w:rPr>
          <w:kern w:val="0"/>
        </w:rPr>
        <w:t>random effects models were used to estimate sampling error</w:t>
      </w:r>
      <w:r w:rsidR="005853A9">
        <w:rPr>
          <w:kern w:val="0"/>
        </w:rPr>
        <w:t xml:space="preserve"> and </w:t>
      </w:r>
      <w:r>
        <w:rPr>
          <w:kern w:val="0"/>
        </w:rPr>
        <w:t>population variance</w:t>
      </w:r>
      <w:r w:rsidR="00427468">
        <w:rPr>
          <w:kern w:val="0"/>
        </w:rPr>
        <w:t xml:space="preserve"> of </w:t>
      </w:r>
      <w:r w:rsidR="003A1917">
        <w:rPr>
          <w:kern w:val="0"/>
        </w:rPr>
        <w:t xml:space="preserve">the </w:t>
      </w:r>
      <w:r>
        <w:rPr>
          <w:kern w:val="0"/>
        </w:rPr>
        <w:t>observed effects. Results: Exercise training significantly reduced depressive symptoms by a heterogeneous mean effect size delta (Delta)</w:t>
      </w:r>
      <w:r w:rsidR="00427468">
        <w:rPr>
          <w:kern w:val="0"/>
        </w:rPr>
        <w:t xml:space="preserve"> of </w:t>
      </w:r>
      <w:r>
        <w:rPr>
          <w:kern w:val="0"/>
        </w:rPr>
        <w:t>0.30 (95% CI, 0.25-0.36). Larger antidepressant effects were obtained when (1) baseline depressive symptoms were higher, (2) patients met recommended physical activity levels,</w:t>
      </w:r>
      <w:r w:rsidR="005853A9">
        <w:rPr>
          <w:kern w:val="0"/>
        </w:rPr>
        <w:t xml:space="preserve"> and </w:t>
      </w:r>
      <w:r>
        <w:rPr>
          <w:kern w:val="0"/>
        </w:rPr>
        <w:t>(3)</w:t>
      </w:r>
      <w:r w:rsidR="003A1917">
        <w:rPr>
          <w:kern w:val="0"/>
        </w:rPr>
        <w:t xml:space="preserve"> the </w:t>
      </w:r>
      <w:r>
        <w:rPr>
          <w:kern w:val="0"/>
        </w:rPr>
        <w:t>trial primary outcome, predominantly function related, was significantly improved among patients having baseline depressive symptoms indicative</w:t>
      </w:r>
      <w:r w:rsidR="00427468">
        <w:rPr>
          <w:kern w:val="0"/>
        </w:rPr>
        <w:t xml:space="preserve"> of </w:t>
      </w:r>
      <w:r>
        <w:rPr>
          <w:kern w:val="0"/>
        </w:rPr>
        <w:t>mild-to-moderate depression. Conclusions: Exercise reduces depressive symptoms among patients with a chronic illness. Patients with depressive symptoms indicative</w:t>
      </w:r>
      <w:r w:rsidR="00427468">
        <w:rPr>
          <w:kern w:val="0"/>
        </w:rPr>
        <w:t xml:space="preserve"> of </w:t>
      </w:r>
      <w:r>
        <w:rPr>
          <w:kern w:val="0"/>
        </w:rPr>
        <w:t>mild-to-moderate depression</w:t>
      </w:r>
      <w:r w:rsidR="005853A9">
        <w:rPr>
          <w:kern w:val="0"/>
        </w:rPr>
        <w:t xml:space="preserve"> and </w:t>
      </w:r>
      <w:r>
        <w:rPr>
          <w:kern w:val="0"/>
        </w:rPr>
        <w:t>for whom exercise training improves function-related outcomes achieve</w:t>
      </w:r>
      <w:r w:rsidR="003A1917">
        <w:rPr>
          <w:kern w:val="0"/>
        </w:rPr>
        <w:t xml:space="preserve"> the </w:t>
      </w:r>
      <w:r>
        <w:rPr>
          <w:kern w:val="0"/>
        </w:rPr>
        <w:t>largest antidepressant effects.</w:t>
      </w:r>
    </w:p>
    <w:p w:rsidR="00517EB4" w:rsidRDefault="00517EB4" w:rsidP="00517EB4">
      <w:pPr>
        <w:pStyle w:val="a3"/>
        <w:rPr>
          <w:kern w:val="0"/>
        </w:rPr>
      </w:pPr>
      <w:r>
        <w:rPr>
          <w:kern w:val="0"/>
        </w:rPr>
        <w:t xml:space="preserve">Keywords: Al, American-Heart-Association, Articles, Author, Cardiac Rehabilitation, Chronic Illness, Database, Depression, Exercise, Exposure, Fibromyalgia Syndrome, Google Scholar, Intervention, Knowledge, Medical Outcomes, </w:t>
      </w:r>
      <w:r w:rsidR="00D5664A">
        <w:rPr>
          <w:kern w:val="0"/>
        </w:rPr>
        <w:t>MEDLINE</w:t>
      </w:r>
      <w:r>
        <w:rPr>
          <w:kern w:val="0"/>
        </w:rPr>
        <w:t xml:space="preserve">, Meta Analysis, Meta-Analysis, Methods, Myocardial-Infarction, Obstructive Pulmonary-Disease, Outcome, Outcomes, Patients, Physical Activity, Physical-Activity, Primary, Primary-Care Patients, Public, Public-Health, Pubmed, Quality, Randomized Controlled Trials, Review, Science, Sports-Medicine, Symptoms, Systematic, Systematic Review, Training,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5C5E6B" w:rsidRPr="00F219CA" w:rsidRDefault="005C5E6B" w:rsidP="005C5E6B">
      <w:pPr>
        <w:pStyle w:val="1"/>
      </w:pPr>
      <w:r w:rsidRPr="00F219CA">
        <w:br w:type="page"/>
      </w:r>
      <w:bookmarkStart w:id="578" w:name="_Toc420814578"/>
      <w:r w:rsidRPr="00F219CA">
        <w:lastRenderedPageBreak/>
        <w:t xml:space="preserve">Title: </w:t>
      </w:r>
      <w:r w:rsidRPr="00056CD8">
        <w:t>Archives</w:t>
      </w:r>
      <w:r w:rsidR="00427468">
        <w:t xml:space="preserve"> of </w:t>
      </w:r>
      <w:r w:rsidRPr="00056CD8">
        <w:t>Iranian Medicine</w:t>
      </w:r>
      <w:bookmarkEnd w:id="578"/>
    </w:p>
    <w:p w:rsidR="005C5E6B" w:rsidRPr="00F219CA" w:rsidRDefault="005C5E6B" w:rsidP="005C5E6B">
      <w:pPr>
        <w:pStyle w:val="12"/>
      </w:pPr>
      <w:r w:rsidRPr="00F219CA">
        <w:t xml:space="preserve">Full Journal Title: </w:t>
      </w:r>
      <w:hyperlink r:id="rId1140" w:history="1">
        <w:r w:rsidRPr="005C5E6B">
          <w:rPr>
            <w:rStyle w:val="a5"/>
            <w:iCs/>
            <w:kern w:val="0"/>
          </w:rPr>
          <w:t>Archives</w:t>
        </w:r>
        <w:r w:rsidR="00427468">
          <w:rPr>
            <w:rStyle w:val="a5"/>
            <w:iCs/>
            <w:kern w:val="0"/>
          </w:rPr>
          <w:t xml:space="preserve"> of </w:t>
        </w:r>
        <w:r w:rsidRPr="005C5E6B">
          <w:rPr>
            <w:rStyle w:val="a5"/>
            <w:iCs/>
            <w:kern w:val="0"/>
          </w:rPr>
          <w:t>Iranian Medicine</w:t>
        </w:r>
      </w:hyperlink>
    </w:p>
    <w:p w:rsidR="005C5E6B" w:rsidRPr="00F219CA" w:rsidRDefault="005C5E6B" w:rsidP="005C5E6B">
      <w:pPr>
        <w:pStyle w:val="12"/>
      </w:pPr>
      <w:r w:rsidRPr="00F219CA">
        <w:t xml:space="preserve">ISO Abbreviated Title: </w:t>
      </w:r>
    </w:p>
    <w:p w:rsidR="005C5E6B" w:rsidRPr="00F219CA" w:rsidRDefault="005C5E6B" w:rsidP="005C5E6B">
      <w:pPr>
        <w:pStyle w:val="12"/>
      </w:pPr>
      <w:r w:rsidRPr="00F219CA">
        <w:t xml:space="preserve">JCR Abbreviated Title: </w:t>
      </w:r>
    </w:p>
    <w:p w:rsidR="005C5E6B" w:rsidRPr="00F219CA" w:rsidRDefault="005C5E6B" w:rsidP="005C5E6B">
      <w:pPr>
        <w:pStyle w:val="12"/>
      </w:pPr>
      <w:r w:rsidRPr="00F219CA">
        <w:t xml:space="preserve">ISSN: </w:t>
      </w:r>
    </w:p>
    <w:p w:rsidR="005C5E6B" w:rsidRPr="00F219CA" w:rsidRDefault="005C5E6B" w:rsidP="005C5E6B">
      <w:pPr>
        <w:pStyle w:val="12"/>
      </w:pPr>
      <w:r w:rsidRPr="00F219CA">
        <w:t xml:space="preserve">Issues/Year: </w:t>
      </w:r>
    </w:p>
    <w:p w:rsidR="005C5E6B" w:rsidRPr="00F219CA" w:rsidRDefault="005C5E6B" w:rsidP="005C5E6B">
      <w:pPr>
        <w:pStyle w:val="12"/>
      </w:pPr>
      <w:r w:rsidRPr="00F219CA">
        <w:t xml:space="preserve">Journal Country/Territory: </w:t>
      </w:r>
    </w:p>
    <w:p w:rsidR="005C5E6B" w:rsidRPr="00F219CA" w:rsidRDefault="005C5E6B" w:rsidP="005C5E6B">
      <w:pPr>
        <w:pStyle w:val="12"/>
      </w:pPr>
      <w:r w:rsidRPr="00F219CA">
        <w:t xml:space="preserve">Language: </w:t>
      </w:r>
    </w:p>
    <w:p w:rsidR="005C5E6B" w:rsidRPr="00F219CA" w:rsidRDefault="005C5E6B" w:rsidP="005C5E6B">
      <w:pPr>
        <w:pStyle w:val="12"/>
      </w:pPr>
      <w:r w:rsidRPr="00F219CA">
        <w:t xml:space="preserve">Publisher: </w:t>
      </w:r>
    </w:p>
    <w:p w:rsidR="005C5E6B" w:rsidRPr="00F219CA" w:rsidRDefault="005C5E6B" w:rsidP="005C5E6B">
      <w:pPr>
        <w:pStyle w:val="12"/>
      </w:pPr>
      <w:r w:rsidRPr="00F219CA">
        <w:t xml:space="preserve">Publisher Address: </w:t>
      </w:r>
    </w:p>
    <w:p w:rsidR="005C5E6B" w:rsidRPr="00F219CA" w:rsidRDefault="005C5E6B" w:rsidP="005C5E6B">
      <w:pPr>
        <w:pStyle w:val="12"/>
      </w:pPr>
      <w:r w:rsidRPr="00F219CA">
        <w:t xml:space="preserve">Subject Categories: </w:t>
      </w:r>
    </w:p>
    <w:p w:rsidR="005C5E6B" w:rsidRPr="00F219CA" w:rsidRDefault="005C5E6B" w:rsidP="005C5E6B">
      <w:pPr>
        <w:pStyle w:val="12"/>
      </w:pPr>
      <w:r w:rsidRPr="00F219CA">
        <w:t xml:space="preserve">: Impact Factor </w:t>
      </w:r>
    </w:p>
    <w:p w:rsidR="00717B98" w:rsidRDefault="00717B98" w:rsidP="005C5E6B">
      <w:pPr>
        <w:pStyle w:val="a3"/>
        <w:rPr>
          <w:kern w:val="0"/>
        </w:rPr>
      </w:pPr>
      <w:r>
        <w:rPr>
          <w:rFonts w:hint="eastAsia"/>
          <w:kern w:val="0"/>
        </w:rPr>
        <w:t>Notes: C</w:t>
      </w:r>
      <w:r w:rsidR="009326AE">
        <w:rPr>
          <w:rFonts w:hint="eastAsia"/>
          <w:kern w:val="0"/>
        </w:rPr>
        <w:t>C</w:t>
      </w:r>
      <w:r>
        <w:rPr>
          <w:rFonts w:hint="eastAsia"/>
          <w:kern w:val="0"/>
        </w:rPr>
        <w:t>ountry</w:t>
      </w:r>
    </w:p>
    <w:p w:rsidR="005C5E6B" w:rsidRDefault="005C5E6B" w:rsidP="005C5E6B">
      <w:pPr>
        <w:pStyle w:val="a3"/>
        <w:rPr>
          <w:kern w:val="0"/>
        </w:rPr>
      </w:pPr>
      <w:r>
        <w:rPr>
          <w:rFonts w:hint="eastAsia"/>
          <w:kern w:val="0"/>
        </w:rPr>
        <w:t xml:space="preserve">? </w:t>
      </w:r>
      <w:r>
        <w:rPr>
          <w:kern w:val="0"/>
        </w:rPr>
        <w:t>Mohammadhassanzadeh, H., Samadikuchaksaraei, A., Shokraneh, F., Valinejad, A., bolghasem-Gorji, H.</w:t>
      </w:r>
      <w:r w:rsidR="005853A9">
        <w:rPr>
          <w:kern w:val="0"/>
        </w:rPr>
        <w:t xml:space="preserve"> and </w:t>
      </w:r>
      <w:r>
        <w:rPr>
          <w:kern w:val="0"/>
        </w:rPr>
        <w:t>Yue, C. (2010), A bibliometric overview</w:t>
      </w:r>
      <w:r w:rsidR="00427468">
        <w:rPr>
          <w:kern w:val="0"/>
        </w:rPr>
        <w:t xml:space="preserve"> of </w:t>
      </w:r>
      <w:r>
        <w:rPr>
          <w:kern w:val="0"/>
        </w:rPr>
        <w:t>30 years</w:t>
      </w:r>
      <w:r w:rsidR="00427468">
        <w:rPr>
          <w:kern w:val="0"/>
        </w:rPr>
        <w:t xml:space="preserve"> of </w:t>
      </w:r>
      <w:r>
        <w:rPr>
          <w:kern w:val="0"/>
        </w:rPr>
        <w:t xml:space="preserve">medical sciences productivity in Iran. </w:t>
      </w:r>
      <w:r w:rsidRPr="00056CD8">
        <w:rPr>
          <w:i/>
          <w:iCs/>
          <w:kern w:val="0"/>
        </w:rPr>
        <w:t>Archives</w:t>
      </w:r>
      <w:r w:rsidR="00427468">
        <w:rPr>
          <w:i/>
          <w:iCs/>
          <w:kern w:val="0"/>
        </w:rPr>
        <w:t xml:space="preserve"> of </w:t>
      </w:r>
      <w:r w:rsidRPr="00056CD8">
        <w:rPr>
          <w:i/>
          <w:iCs/>
          <w:kern w:val="0"/>
        </w:rPr>
        <w:t>Iranian Medicine</w:t>
      </w:r>
      <w:r>
        <w:rPr>
          <w:kern w:val="0"/>
        </w:rPr>
        <w:t xml:space="preserve">, </w:t>
      </w:r>
      <w:r>
        <w:rPr>
          <w:b/>
          <w:bCs/>
          <w:kern w:val="0"/>
        </w:rPr>
        <w:t>13</w:t>
      </w:r>
      <w:r>
        <w:rPr>
          <w:kern w:val="0"/>
        </w:rPr>
        <w:t xml:space="preserve"> (4), 313-317.</w:t>
      </w:r>
    </w:p>
    <w:p w:rsidR="005C5E6B" w:rsidRDefault="005C5E6B" w:rsidP="005C5E6B">
      <w:pPr>
        <w:pStyle w:val="a3"/>
        <w:rPr>
          <w:kern w:val="0"/>
        </w:rPr>
      </w:pPr>
      <w:r>
        <w:rPr>
          <w:rFonts w:hint="eastAsia"/>
          <w:kern w:val="0"/>
        </w:rPr>
        <w:t xml:space="preserve">Full Text: </w:t>
      </w:r>
      <w:hyperlink r:id="rId1141" w:history="1">
        <w:r w:rsidR="006C060E" w:rsidRPr="006C060E">
          <w:rPr>
            <w:rStyle w:val="a5"/>
            <w:kern w:val="0"/>
          </w:rPr>
          <w:t>2010\Arc Ira Med13, 313.pdf</w:t>
        </w:r>
      </w:hyperlink>
    </w:p>
    <w:p w:rsidR="005C5E6B" w:rsidRDefault="005C5E6B" w:rsidP="005C5E6B">
      <w:pPr>
        <w:pStyle w:val="a3"/>
        <w:rPr>
          <w:kern w:val="0"/>
        </w:rPr>
      </w:pPr>
      <w:r>
        <w:rPr>
          <w:kern w:val="0"/>
        </w:rPr>
        <w:t>Abstract: Objectives:</w:t>
      </w:r>
      <w:r w:rsidR="003A1917">
        <w:rPr>
          <w:kern w:val="0"/>
        </w:rPr>
        <w:t xml:space="preserve"> the </w:t>
      </w:r>
      <w:r>
        <w:rPr>
          <w:kern w:val="0"/>
        </w:rPr>
        <w:t>number</w:t>
      </w:r>
      <w:r w:rsidR="00427468">
        <w:rPr>
          <w:kern w:val="0"/>
        </w:rPr>
        <w:t xml:space="preserve"> of </w:t>
      </w:r>
      <w:r>
        <w:rPr>
          <w:kern w:val="0"/>
        </w:rPr>
        <w:t>medical universities</w:t>
      </w:r>
      <w:r w:rsidR="005853A9">
        <w:rPr>
          <w:kern w:val="0"/>
        </w:rPr>
        <w:t xml:space="preserve"> and </w:t>
      </w:r>
      <w:r>
        <w:rPr>
          <w:kern w:val="0"/>
        </w:rPr>
        <w:t>their faculty members has significantly increased in Iran during</w:t>
      </w:r>
      <w:r w:rsidR="003A1917">
        <w:rPr>
          <w:kern w:val="0"/>
        </w:rPr>
        <w:t xml:space="preserve"> the </w:t>
      </w:r>
      <w:r>
        <w:rPr>
          <w:kern w:val="0"/>
        </w:rPr>
        <w:t>last 30 years. This development has led to</w:t>
      </w:r>
      <w:r w:rsidR="003A1917">
        <w:rPr>
          <w:kern w:val="0"/>
        </w:rPr>
        <w:t xml:space="preserve"> the </w:t>
      </w:r>
      <w:r>
        <w:rPr>
          <w:kern w:val="0"/>
        </w:rPr>
        <w:t>training</w:t>
      </w:r>
      <w:r w:rsidR="00427468">
        <w:rPr>
          <w:kern w:val="0"/>
        </w:rPr>
        <w:t xml:space="preserve"> of </w:t>
      </w:r>
      <w:r>
        <w:rPr>
          <w:kern w:val="0"/>
        </w:rPr>
        <w:t>a large number</w:t>
      </w:r>
      <w:r w:rsidR="00427468">
        <w:rPr>
          <w:kern w:val="0"/>
        </w:rPr>
        <w:t xml:space="preserve"> of </w:t>
      </w:r>
      <w:r>
        <w:rPr>
          <w:kern w:val="0"/>
        </w:rPr>
        <w:t>healthcare professionals. But, its effect on medical sciences productivity has not yet been fully analyzed. Here, we use a bibliometric analysis to assess</w:t>
      </w:r>
      <w:r w:rsidR="003A1917">
        <w:rPr>
          <w:kern w:val="0"/>
        </w:rPr>
        <w:t xml:space="preserve"> the </w:t>
      </w:r>
      <w:r>
        <w:rPr>
          <w:kern w:val="0"/>
        </w:rPr>
        <w:t>current status</w:t>
      </w:r>
      <w:r w:rsidR="00427468">
        <w:rPr>
          <w:kern w:val="0"/>
        </w:rPr>
        <w:t xml:space="preserve"> of </w:t>
      </w:r>
      <w:r>
        <w:rPr>
          <w:kern w:val="0"/>
        </w:rPr>
        <w:t>Iranian medical sciences production in different subject areas. Methods:</w:t>
      </w:r>
      <w:r w:rsidR="003A1917">
        <w:rPr>
          <w:kern w:val="0"/>
        </w:rPr>
        <w:t xml:space="preserve"> the </w:t>
      </w:r>
      <w:r>
        <w:rPr>
          <w:kern w:val="0"/>
        </w:rPr>
        <w:t>bibliographic data</w:t>
      </w:r>
      <w:r w:rsidR="00427468">
        <w:rPr>
          <w:kern w:val="0"/>
        </w:rPr>
        <w:t xml:space="preserve"> of </w:t>
      </w:r>
      <w:r>
        <w:rPr>
          <w:kern w:val="0"/>
        </w:rPr>
        <w:t>Iranian medical subjects during</w:t>
      </w:r>
      <w:r w:rsidR="003A1917">
        <w:rPr>
          <w:kern w:val="0"/>
        </w:rPr>
        <w:t xml:space="preserve"> the </w:t>
      </w:r>
      <w:r>
        <w:rPr>
          <w:kern w:val="0"/>
        </w:rPr>
        <w:t>years 1978 - 2008 were collected from</w:t>
      </w:r>
      <w:r w:rsidR="003A1917">
        <w:rPr>
          <w:kern w:val="0"/>
        </w:rPr>
        <w:t xml:space="preserve"> the </w:t>
      </w:r>
      <w:r>
        <w:rPr>
          <w:kern w:val="0"/>
        </w:rPr>
        <w:t>Science Citation Index Expanded database</w:t>
      </w:r>
      <w:r w:rsidR="005853A9">
        <w:rPr>
          <w:kern w:val="0"/>
        </w:rPr>
        <w:t xml:space="preserve"> and </w:t>
      </w:r>
      <w:r>
        <w:rPr>
          <w:kern w:val="0"/>
        </w:rPr>
        <w:t>analyzed according to publication number, different medical subject areas, citations</w:t>
      </w:r>
      <w:r w:rsidR="005853A9">
        <w:rPr>
          <w:kern w:val="0"/>
        </w:rPr>
        <w:t xml:space="preserve"> and </w:t>
      </w:r>
      <w:r w:rsidR="003A1917">
        <w:rPr>
          <w:kern w:val="0"/>
        </w:rPr>
        <w:t xml:space="preserve">the </w:t>
      </w:r>
      <w:r>
        <w:rPr>
          <w:kern w:val="0"/>
        </w:rPr>
        <w:t>annual Iranian mid-year population. Results: It was shown that Iranian scientists have established good collaboration with developed countries</w:t>
      </w:r>
      <w:r w:rsidR="00A37C1D">
        <w:rPr>
          <w:kern w:val="0"/>
        </w:rPr>
        <w:t>. The</w:t>
      </w:r>
      <w:r w:rsidR="003A1917">
        <w:rPr>
          <w:kern w:val="0"/>
        </w:rPr>
        <w:t xml:space="preserve"> </w:t>
      </w:r>
      <w:r>
        <w:rPr>
          <w:kern w:val="0"/>
        </w:rPr>
        <w:t>numbers</w:t>
      </w:r>
      <w:r w:rsidR="00427468">
        <w:rPr>
          <w:kern w:val="0"/>
        </w:rPr>
        <w:t xml:space="preserve"> of </w:t>
      </w:r>
      <w:r>
        <w:rPr>
          <w:kern w:val="0"/>
        </w:rPr>
        <w:t>medical publications, even after normalization to</w:t>
      </w:r>
      <w:r w:rsidR="003A1917">
        <w:rPr>
          <w:kern w:val="0"/>
        </w:rPr>
        <w:t xml:space="preserve"> the </w:t>
      </w:r>
      <w:r>
        <w:rPr>
          <w:kern w:val="0"/>
        </w:rPr>
        <w:t>population size,</w:t>
      </w:r>
      <w:r w:rsidR="005853A9">
        <w:rPr>
          <w:kern w:val="0"/>
        </w:rPr>
        <w:t xml:space="preserve"> and </w:t>
      </w:r>
      <w:r>
        <w:rPr>
          <w:kern w:val="0"/>
        </w:rPr>
        <w:t>citations</w:t>
      </w:r>
      <w:r w:rsidR="00427468">
        <w:rPr>
          <w:kern w:val="0"/>
        </w:rPr>
        <w:t xml:space="preserve"> of </w:t>
      </w:r>
      <w:r>
        <w:rPr>
          <w:kern w:val="0"/>
        </w:rPr>
        <w:t>these publications have significantly increased in recent years. It has also been shown that pharmacologic research constitutes</w:t>
      </w:r>
      <w:r w:rsidR="003A1917">
        <w:rPr>
          <w:kern w:val="0"/>
        </w:rPr>
        <w:t xml:space="preserve"> the </w:t>
      </w:r>
      <w:r>
        <w:rPr>
          <w:kern w:val="0"/>
        </w:rPr>
        <w:t>major theme in</w:t>
      </w:r>
      <w:r w:rsidR="003A1917">
        <w:rPr>
          <w:kern w:val="0"/>
        </w:rPr>
        <w:t xml:space="preserve"> the </w:t>
      </w:r>
      <w:r>
        <w:rPr>
          <w:kern w:val="0"/>
        </w:rPr>
        <w:t>Iranian medical research system</w:t>
      </w:r>
      <w:r w:rsidR="005853A9">
        <w:rPr>
          <w:kern w:val="0"/>
        </w:rPr>
        <w:t xml:space="preserve"> and </w:t>
      </w:r>
      <w:r>
        <w:rPr>
          <w:kern w:val="0"/>
        </w:rPr>
        <w:t>thus enjoys</w:t>
      </w:r>
      <w:r w:rsidR="003A1917">
        <w:rPr>
          <w:kern w:val="0"/>
        </w:rPr>
        <w:t xml:space="preserve"> the </w:t>
      </w:r>
      <w:r>
        <w:rPr>
          <w:kern w:val="0"/>
        </w:rPr>
        <w:t>highest rate</w:t>
      </w:r>
      <w:r w:rsidR="00427468">
        <w:rPr>
          <w:kern w:val="0"/>
        </w:rPr>
        <w:t xml:space="preserve"> of </w:t>
      </w:r>
      <w:r>
        <w:rPr>
          <w:kern w:val="0"/>
        </w:rPr>
        <w:t>growth. Conclusion: Strengthening</w:t>
      </w:r>
      <w:r w:rsidR="00427468">
        <w:rPr>
          <w:kern w:val="0"/>
        </w:rPr>
        <w:t xml:space="preserve"> of </w:t>
      </w:r>
      <w:r w:rsidR="003A1917">
        <w:rPr>
          <w:kern w:val="0"/>
        </w:rPr>
        <w:t xml:space="preserve">the </w:t>
      </w:r>
      <w:r>
        <w:rPr>
          <w:kern w:val="0"/>
        </w:rPr>
        <w:t>non-pharmacologic research infra-structure is advised for both basic</w:t>
      </w:r>
      <w:r w:rsidR="005853A9">
        <w:rPr>
          <w:kern w:val="0"/>
        </w:rPr>
        <w:t xml:space="preserve"> and </w:t>
      </w:r>
      <w:r>
        <w:rPr>
          <w:kern w:val="0"/>
        </w:rPr>
        <w:t>clinical departments, keeping in mind</w:t>
      </w:r>
      <w:r w:rsidR="003A1917">
        <w:rPr>
          <w:kern w:val="0"/>
        </w:rPr>
        <w:t xml:space="preserve"> the </w:t>
      </w:r>
      <w:r>
        <w:rPr>
          <w:kern w:val="0"/>
        </w:rPr>
        <w:t>existing successful research model</w:t>
      </w:r>
      <w:r w:rsidR="00427468">
        <w:rPr>
          <w:kern w:val="0"/>
        </w:rPr>
        <w:t xml:space="preserve"> of </w:t>
      </w:r>
      <w:r>
        <w:rPr>
          <w:kern w:val="0"/>
        </w:rPr>
        <w:t>pharmacology in Iran.</w:t>
      </w:r>
    </w:p>
    <w:p w:rsidR="005C5E6B" w:rsidRDefault="005C5E6B" w:rsidP="005C5E6B">
      <w:pPr>
        <w:pStyle w:val="a3"/>
        <w:rPr>
          <w:kern w:val="0"/>
        </w:rPr>
      </w:pPr>
      <w:r>
        <w:rPr>
          <w:kern w:val="0"/>
        </w:rPr>
        <w:t>Keywords: Bibliometric, Bibliometric Analysis, Bibliometry, Biomedical-Research, Citation, Iran, Medicine, Production, Publication, Publications, Research, Science, Science Citation Index, Science Citation Index Expanded</w:t>
      </w:r>
    </w:p>
    <w:p w:rsidR="005C4A33" w:rsidRDefault="005C4A33" w:rsidP="00FE5A8D">
      <w:pPr>
        <w:pStyle w:val="a3"/>
        <w:rPr>
          <w:kern w:val="0"/>
        </w:rPr>
      </w:pPr>
      <w:r>
        <w:rPr>
          <w:rFonts w:hint="eastAsia"/>
          <w:kern w:val="0"/>
        </w:rPr>
        <w:lastRenderedPageBreak/>
        <w:t>Notes: UUniversity</w:t>
      </w:r>
    </w:p>
    <w:p w:rsidR="00FE5A8D" w:rsidRDefault="00FE5A8D" w:rsidP="00FE5A8D">
      <w:pPr>
        <w:pStyle w:val="a3"/>
        <w:rPr>
          <w:kern w:val="0"/>
        </w:rPr>
      </w:pPr>
      <w:r>
        <w:rPr>
          <w:rFonts w:hint="eastAsia"/>
          <w:kern w:val="0"/>
        </w:rPr>
        <w:t xml:space="preserve">? </w:t>
      </w:r>
      <w:r>
        <w:rPr>
          <w:kern w:val="0"/>
        </w:rPr>
        <w:t>Borzabadi, S.</w:t>
      </w:r>
      <w:r w:rsidR="005853A9">
        <w:rPr>
          <w:kern w:val="0"/>
        </w:rPr>
        <w:t xml:space="preserve"> and </w:t>
      </w:r>
      <w:r>
        <w:rPr>
          <w:kern w:val="0"/>
        </w:rPr>
        <w:t>Etemadi, A. (2011), Scientometric analysis</w:t>
      </w:r>
      <w:r w:rsidR="00427468">
        <w:rPr>
          <w:kern w:val="0"/>
        </w:rPr>
        <w:t xml:space="preserve"> of </w:t>
      </w:r>
      <w:r w:rsidR="003A1917">
        <w:rPr>
          <w:kern w:val="0"/>
        </w:rPr>
        <w:t xml:space="preserve">the </w:t>
      </w:r>
      <w:r>
        <w:rPr>
          <w:kern w:val="0"/>
        </w:rPr>
        <w:t xml:space="preserve">major Iranain medical universities. </w:t>
      </w:r>
      <w:r>
        <w:rPr>
          <w:i/>
          <w:iCs/>
          <w:kern w:val="0"/>
        </w:rPr>
        <w:t>Archives</w:t>
      </w:r>
      <w:r w:rsidR="00427468">
        <w:rPr>
          <w:i/>
          <w:iCs/>
          <w:kern w:val="0"/>
        </w:rPr>
        <w:t xml:space="preserve"> of </w:t>
      </w:r>
      <w:r>
        <w:rPr>
          <w:i/>
          <w:iCs/>
          <w:kern w:val="0"/>
        </w:rPr>
        <w:t>Iranian Medicine</w:t>
      </w:r>
      <w:r>
        <w:rPr>
          <w:kern w:val="0"/>
        </w:rPr>
        <w:t xml:space="preserve">, </w:t>
      </w:r>
      <w:r>
        <w:rPr>
          <w:b/>
          <w:bCs/>
          <w:kern w:val="0"/>
        </w:rPr>
        <w:t>14</w:t>
      </w:r>
      <w:r>
        <w:rPr>
          <w:kern w:val="0"/>
        </w:rPr>
        <w:t xml:space="preserve"> (3), 222-223</w:t>
      </w:r>
      <w:r>
        <w:rPr>
          <w:rFonts w:hint="eastAsia"/>
          <w:kern w:val="0"/>
        </w:rPr>
        <w:t>.</w:t>
      </w:r>
    </w:p>
    <w:p w:rsidR="005C4A33" w:rsidRDefault="005C4A33" w:rsidP="005C4A33">
      <w:pPr>
        <w:pStyle w:val="a3"/>
        <w:rPr>
          <w:kern w:val="0"/>
        </w:rPr>
      </w:pPr>
      <w:r>
        <w:rPr>
          <w:rFonts w:hint="eastAsia"/>
          <w:kern w:val="0"/>
        </w:rPr>
        <w:t xml:space="preserve">Full Text: </w:t>
      </w:r>
      <w:hyperlink r:id="rId1142" w:history="1">
        <w:r w:rsidRPr="00C51C42">
          <w:rPr>
            <w:rStyle w:val="a5"/>
            <w:kern w:val="0"/>
          </w:rPr>
          <w:t>2011\Arc Ira Med14, 222.pdf</w:t>
        </w:r>
      </w:hyperlink>
    </w:p>
    <w:p w:rsidR="0005697A" w:rsidRDefault="0005697A" w:rsidP="0005697A">
      <w:pPr>
        <w:pStyle w:val="a3"/>
        <w:rPr>
          <w:kern w:val="0"/>
          <w:szCs w:val="24"/>
        </w:rPr>
      </w:pPr>
      <w:r>
        <w:rPr>
          <w:rFonts w:hint="eastAsia"/>
          <w:kern w:val="0"/>
          <w:szCs w:val="24"/>
        </w:rPr>
        <w:t xml:space="preserve">? </w:t>
      </w:r>
      <w:r>
        <w:rPr>
          <w:kern w:val="0"/>
          <w:szCs w:val="24"/>
        </w:rPr>
        <w:t>Salimzadeh, H., Larijani, F.A., Abedian, S., Motamedi, S.M.K., Malekzadeh, M.M., Mohaghegh, H., Sadeghi, A., Sepanlou, S.G., Delavari, A., Saberi-Firoozi, M., Vahedi, H., Darzi, E.R., Farzadfar, F. and Malekzadeh, R. (2014), The trend</w:t>
      </w:r>
      <w:r w:rsidR="00427468">
        <w:rPr>
          <w:kern w:val="0"/>
          <w:szCs w:val="24"/>
        </w:rPr>
        <w:t xml:space="preserve"> of </w:t>
      </w:r>
      <w:r>
        <w:rPr>
          <w:kern w:val="0"/>
          <w:szCs w:val="24"/>
        </w:rPr>
        <w:t>national and sub-national burden</w:t>
      </w:r>
      <w:r w:rsidR="00427468">
        <w:rPr>
          <w:kern w:val="0"/>
          <w:szCs w:val="24"/>
        </w:rPr>
        <w:t xml:space="preserve"> of </w:t>
      </w:r>
      <w:r>
        <w:rPr>
          <w:kern w:val="0"/>
          <w:szCs w:val="24"/>
        </w:rPr>
        <w:t xml:space="preserve">gastrointestinal and liver diseases in Iran 1990 to 2013; study protocol. </w:t>
      </w:r>
      <w:r>
        <w:rPr>
          <w:i/>
          <w:iCs/>
          <w:kern w:val="0"/>
          <w:szCs w:val="24"/>
        </w:rPr>
        <w:t>Archives</w:t>
      </w:r>
      <w:r w:rsidR="00427468">
        <w:rPr>
          <w:i/>
          <w:iCs/>
          <w:kern w:val="0"/>
          <w:szCs w:val="24"/>
        </w:rPr>
        <w:t xml:space="preserve"> of </w:t>
      </w:r>
      <w:r>
        <w:rPr>
          <w:i/>
          <w:iCs/>
          <w:kern w:val="0"/>
          <w:szCs w:val="24"/>
        </w:rPr>
        <w:t>Iranian Medicine</w:t>
      </w:r>
      <w:r>
        <w:rPr>
          <w:kern w:val="0"/>
          <w:szCs w:val="24"/>
        </w:rPr>
        <w:t xml:space="preserve">, </w:t>
      </w:r>
      <w:r>
        <w:rPr>
          <w:b/>
          <w:bCs/>
          <w:kern w:val="0"/>
          <w:szCs w:val="24"/>
        </w:rPr>
        <w:t>17</w:t>
      </w:r>
      <w:r>
        <w:rPr>
          <w:kern w:val="0"/>
          <w:szCs w:val="24"/>
        </w:rPr>
        <w:t xml:space="preserve"> (1), 33-53.</w:t>
      </w:r>
    </w:p>
    <w:p w:rsidR="0005697A" w:rsidRDefault="0005697A" w:rsidP="0005697A">
      <w:pPr>
        <w:pStyle w:val="a3"/>
        <w:rPr>
          <w:kern w:val="0"/>
        </w:rPr>
      </w:pPr>
      <w:r>
        <w:rPr>
          <w:rFonts w:hint="eastAsia"/>
          <w:kern w:val="0"/>
        </w:rPr>
        <w:t xml:space="preserve">Full Text: </w:t>
      </w:r>
      <w:r w:rsidRPr="00531748">
        <w:rPr>
          <w:kern w:val="0"/>
        </w:rPr>
        <w:t>201</w:t>
      </w:r>
      <w:r>
        <w:rPr>
          <w:rFonts w:hint="eastAsia"/>
          <w:kern w:val="0"/>
        </w:rPr>
        <w:t>4</w:t>
      </w:r>
      <w:r w:rsidRPr="00531748">
        <w:rPr>
          <w:kern w:val="0"/>
        </w:rPr>
        <w:t>\Arc Ira Med1</w:t>
      </w:r>
      <w:r>
        <w:rPr>
          <w:rFonts w:hint="eastAsia"/>
          <w:kern w:val="0"/>
        </w:rPr>
        <w:t>7</w:t>
      </w:r>
      <w:r w:rsidRPr="00531748">
        <w:rPr>
          <w:kern w:val="0"/>
        </w:rPr>
        <w:t xml:space="preserve">, </w:t>
      </w:r>
      <w:r>
        <w:rPr>
          <w:rFonts w:hint="eastAsia"/>
          <w:kern w:val="0"/>
        </w:rPr>
        <w:t>33</w:t>
      </w:r>
      <w:r w:rsidRPr="00531748">
        <w:rPr>
          <w:kern w:val="0"/>
        </w:rPr>
        <w:t>.pdf</w:t>
      </w:r>
    </w:p>
    <w:p w:rsidR="0005697A" w:rsidRDefault="0005697A" w:rsidP="0005697A">
      <w:pPr>
        <w:pStyle w:val="a3"/>
        <w:rPr>
          <w:kern w:val="0"/>
          <w:szCs w:val="24"/>
        </w:rPr>
      </w:pPr>
      <w:r>
        <w:rPr>
          <w:kern w:val="0"/>
          <w:szCs w:val="24"/>
        </w:rPr>
        <w:t>Abstract: Background: It is expected that gastrointestinal (GI) and liver diseases inflict considerable burden on health systems in Iran; therefore, highlighting the significance</w:t>
      </w:r>
      <w:r w:rsidR="00427468">
        <w:rPr>
          <w:kern w:val="0"/>
          <w:szCs w:val="24"/>
        </w:rPr>
        <w:t xml:space="preserve"> of </w:t>
      </w:r>
      <w:r>
        <w:rPr>
          <w:kern w:val="0"/>
          <w:szCs w:val="24"/>
        </w:rPr>
        <w:t>GI disorders across the other most burdensome diseases requires comprehensive assessment and regular updates</w:t>
      </w:r>
      <w:r w:rsidR="00427468">
        <w:rPr>
          <w:kern w:val="0"/>
          <w:szCs w:val="24"/>
        </w:rPr>
        <w:t xml:space="preserve"> of </w:t>
      </w:r>
      <w:r>
        <w:rPr>
          <w:kern w:val="0"/>
          <w:szCs w:val="24"/>
        </w:rPr>
        <w:t>the statistics</w:t>
      </w:r>
      <w:r w:rsidR="00427468">
        <w:rPr>
          <w:kern w:val="0"/>
          <w:szCs w:val="24"/>
        </w:rPr>
        <w:t xml:space="preserve"> of </w:t>
      </w:r>
      <w:r>
        <w:rPr>
          <w:kern w:val="0"/>
          <w:szCs w:val="24"/>
        </w:rPr>
        <w:t>such diseases in Iran. Objective: To assess in-depth sub-national estimates and trends for the incidence and prevalence</w:t>
      </w:r>
      <w:r w:rsidR="00427468">
        <w:rPr>
          <w:kern w:val="0"/>
          <w:szCs w:val="24"/>
        </w:rPr>
        <w:t xml:space="preserve"> of </w:t>
      </w:r>
      <w:r>
        <w:rPr>
          <w:kern w:val="0"/>
          <w:szCs w:val="24"/>
        </w:rPr>
        <w:t>selected GI and liver diseases by age, gender and province over the period 1990 - 2013 in Iran. Methods: This is a national and sub-national burden</w:t>
      </w:r>
      <w:r w:rsidR="00427468">
        <w:rPr>
          <w:kern w:val="0"/>
          <w:szCs w:val="24"/>
        </w:rPr>
        <w:t xml:space="preserve"> of </w:t>
      </w:r>
      <w:r>
        <w:rPr>
          <w:kern w:val="0"/>
          <w:szCs w:val="24"/>
        </w:rPr>
        <w:t>disease study on 21 GI diseases using all available data sources, including cancer registry, death registration system data, hospital data, and all available published data. Analyses will be performed separately by gender, age groups, year, and province. We will conduct 21 separated systematic reviews</w:t>
      </w:r>
      <w:r w:rsidR="00427468">
        <w:rPr>
          <w:kern w:val="0"/>
          <w:szCs w:val="24"/>
        </w:rPr>
        <w:t xml:space="preserve"> of </w:t>
      </w:r>
      <w:r>
        <w:rPr>
          <w:kern w:val="0"/>
          <w:szCs w:val="24"/>
        </w:rPr>
        <w:t>the literature for 21 diseases categories through searching online international electronic databases (i.e</w:t>
      </w:r>
      <w:r w:rsidR="00A37C1D">
        <w:rPr>
          <w:kern w:val="0"/>
          <w:szCs w:val="24"/>
        </w:rPr>
        <w:t>. The</w:t>
      </w:r>
      <w:r>
        <w:rPr>
          <w:kern w:val="0"/>
          <w:szCs w:val="24"/>
        </w:rPr>
        <w:t xml:space="preserve"> Medline database</w:t>
      </w:r>
      <w:r w:rsidR="00427468">
        <w:rPr>
          <w:kern w:val="0"/>
          <w:szCs w:val="24"/>
        </w:rPr>
        <w:t xml:space="preserve"> of </w:t>
      </w:r>
      <w:r>
        <w:rPr>
          <w:kern w:val="0"/>
          <w:szCs w:val="24"/>
        </w:rPr>
        <w:t>the National Library</w:t>
      </w:r>
      <w:r w:rsidR="00427468">
        <w:rPr>
          <w:kern w:val="0"/>
          <w:szCs w:val="24"/>
        </w:rPr>
        <w:t xml:space="preserve"> of </w:t>
      </w:r>
      <w:r>
        <w:rPr>
          <w:kern w:val="0"/>
          <w:szCs w:val="24"/>
        </w:rPr>
        <w:t>Medicine, Web</w:t>
      </w:r>
      <w:r w:rsidR="00427468">
        <w:rPr>
          <w:kern w:val="0"/>
          <w:szCs w:val="24"/>
        </w:rPr>
        <w:t xml:space="preserve"> of </w:t>
      </w:r>
      <w:r>
        <w:rPr>
          <w:kern w:val="0"/>
          <w:szCs w:val="24"/>
        </w:rPr>
        <w:t>Science, and Scopus), Iranian search engines (i.e., IranMedex, Scientific Information Database (SID), and IRANDOC), and gray literature. We will search the medical literature published between January 1985 and December 2013. We generated two models, Spatio-temporal and Multilevel Autoregressive models, to estimate mean and uncertainty interval for the parameters</w:t>
      </w:r>
      <w:r w:rsidR="00427468">
        <w:rPr>
          <w:kern w:val="0"/>
          <w:szCs w:val="24"/>
        </w:rPr>
        <w:t xml:space="preserve"> of </w:t>
      </w:r>
      <w:r>
        <w:rPr>
          <w:kern w:val="0"/>
          <w:szCs w:val="24"/>
        </w:rPr>
        <w:t>interest by gender, age, year, and province</w:t>
      </w:r>
      <w:r w:rsidR="00A37C1D">
        <w:rPr>
          <w:kern w:val="0"/>
          <w:szCs w:val="24"/>
        </w:rPr>
        <w:t>. The</w:t>
      </w:r>
      <w:r>
        <w:rPr>
          <w:kern w:val="0"/>
          <w:szCs w:val="24"/>
        </w:rPr>
        <w:t xml:space="preserve"> models will be informed by data</w:t>
      </w:r>
      <w:r w:rsidR="00427468">
        <w:rPr>
          <w:kern w:val="0"/>
          <w:szCs w:val="24"/>
        </w:rPr>
        <w:t xml:space="preserve"> of </w:t>
      </w:r>
      <w:r>
        <w:rPr>
          <w:kern w:val="0"/>
          <w:szCs w:val="24"/>
        </w:rPr>
        <w:t>gender, age, year, and province. Markov Chain Monte Carlo (MCMC) methods will be used to perform Bayesian inference in both modeling framework. All programs will be written in R statistical packages (version 3.0.1). Results: We will calculate and present 1990 to 2013 trends in terms</w:t>
      </w:r>
      <w:r w:rsidR="00427468">
        <w:rPr>
          <w:kern w:val="0"/>
          <w:szCs w:val="24"/>
        </w:rPr>
        <w:t xml:space="preserve"> of </w:t>
      </w:r>
      <w:r>
        <w:rPr>
          <w:kern w:val="0"/>
          <w:szCs w:val="24"/>
        </w:rPr>
        <w:t>prevalence, years</w:t>
      </w:r>
      <w:r w:rsidR="00427468">
        <w:rPr>
          <w:kern w:val="0"/>
          <w:szCs w:val="24"/>
        </w:rPr>
        <w:t xml:space="preserve"> of </w:t>
      </w:r>
      <w:r>
        <w:rPr>
          <w:kern w:val="0"/>
          <w:szCs w:val="24"/>
        </w:rPr>
        <w:t>life lost due to premature mortality (YLLs), years lived with disability (YLDs), and disability-adjusted life years DALYs for the 21 selected GI diseases by gender, and province. We will also quantify the uncertainty interval for the estimates</w:t>
      </w:r>
      <w:r w:rsidR="00427468">
        <w:rPr>
          <w:kern w:val="0"/>
          <w:szCs w:val="24"/>
        </w:rPr>
        <w:t xml:space="preserve"> of </w:t>
      </w:r>
      <w:r>
        <w:rPr>
          <w:kern w:val="0"/>
          <w:szCs w:val="24"/>
        </w:rPr>
        <w:t>interest. Conclusion: Results</w:t>
      </w:r>
      <w:r w:rsidR="00427468">
        <w:rPr>
          <w:kern w:val="0"/>
          <w:szCs w:val="24"/>
        </w:rPr>
        <w:t xml:space="preserve"> of </w:t>
      </w:r>
      <w:r>
        <w:rPr>
          <w:kern w:val="0"/>
          <w:szCs w:val="24"/>
        </w:rPr>
        <w:t>the present study will have implications for policy making; as they allow for understanding geographic distributions</w:t>
      </w:r>
      <w:r w:rsidR="00427468">
        <w:rPr>
          <w:kern w:val="0"/>
          <w:szCs w:val="24"/>
        </w:rPr>
        <w:t xml:space="preserve"> of </w:t>
      </w:r>
      <w:r>
        <w:rPr>
          <w:kern w:val="0"/>
          <w:szCs w:val="24"/>
        </w:rPr>
        <w:t>the selected GI diseases, and identifying health disparities across provinces.</w:t>
      </w:r>
    </w:p>
    <w:p w:rsidR="0005697A" w:rsidRDefault="0005697A" w:rsidP="0005697A">
      <w:pPr>
        <w:pStyle w:val="a3"/>
        <w:rPr>
          <w:kern w:val="0"/>
          <w:szCs w:val="24"/>
        </w:rPr>
      </w:pPr>
      <w:r>
        <w:rPr>
          <w:kern w:val="0"/>
          <w:szCs w:val="24"/>
        </w:rPr>
        <w:lastRenderedPageBreak/>
        <w:t>Keywords: Age, Assessment, Bayesian Inference, Burden, Burden</w:t>
      </w:r>
      <w:r w:rsidR="00427468">
        <w:rPr>
          <w:kern w:val="0"/>
          <w:szCs w:val="24"/>
        </w:rPr>
        <w:t xml:space="preserve"> of </w:t>
      </w:r>
      <w:r>
        <w:rPr>
          <w:kern w:val="0"/>
          <w:szCs w:val="24"/>
        </w:rPr>
        <w:t>Illness, Cancer, Costs</w:t>
      </w:r>
      <w:r w:rsidR="00427468">
        <w:rPr>
          <w:kern w:val="0"/>
          <w:szCs w:val="24"/>
        </w:rPr>
        <w:t xml:space="preserve"> of </w:t>
      </w:r>
      <w:r>
        <w:rPr>
          <w:kern w:val="0"/>
          <w:szCs w:val="24"/>
        </w:rPr>
        <w:t>Disease, Data, Database, Databases, Death, Disability, Disease, Diseases, Disparities, Estimates, Framework, Gastrointestinal, Gender, Gi, Gray Literature, Groups, Health, Health Disparities, Health Systems, Hospital, Illness Burden, Incidence, Inference, Information, International, Interval, Iran, Life, Literature, Liver, Mcmc, Medical, Medical Literature, Medicine, Medline, Methods, Modeling, Models, Monte Carlo, Mortality, Online, Policy, Policy Making, Premature, Prevalence, Protocol, R, Registry, Regular, Results, Reviews, Risk-Factors, Science, Scopus, Significance, Sources, Statistics, Systematic Reviews, Systems, Trends, Uncertainty, Understanding, Version, Web</w:t>
      </w:r>
      <w:r w:rsidR="00427468">
        <w:rPr>
          <w:kern w:val="0"/>
          <w:szCs w:val="24"/>
        </w:rPr>
        <w:t xml:space="preserve"> of </w:t>
      </w:r>
      <w:r>
        <w:rPr>
          <w:kern w:val="0"/>
          <w:szCs w:val="24"/>
        </w:rPr>
        <w:t>Science</w:t>
      </w:r>
    </w:p>
    <w:p w:rsidR="005B4629" w:rsidRDefault="005B4629" w:rsidP="005B4629">
      <w:pPr>
        <w:pStyle w:val="a3"/>
        <w:rPr>
          <w:kern w:val="0"/>
        </w:rPr>
      </w:pPr>
      <w:r>
        <w:rPr>
          <w:rFonts w:hint="eastAsia"/>
          <w:kern w:val="0"/>
        </w:rPr>
        <w:t xml:space="preserve">? </w:t>
      </w:r>
      <w:r>
        <w:rPr>
          <w:kern w:val="0"/>
        </w:rPr>
        <w:t xml:space="preserve">Ghasemian, A., Ataie-jafari, A., Khatibzadeh, S., Mirarefin, M., Jafari, L., Nejatinamini, S., Parsaeian, M., Peykari, N., Sobhani, S., Jamshidbeygi, E., Jamshidi, H.R., Ebrahimi, M., Etemad, K., Moradi-Lakeh, M., Larijani, B. and Farzadfar, F. (2014), National and sub-national burden of chronic diseases attributable to lifestyle risk factors in Iran 1990-2013; study protocol. </w:t>
      </w:r>
      <w:r>
        <w:rPr>
          <w:i/>
          <w:iCs/>
          <w:kern w:val="0"/>
        </w:rPr>
        <w:t>Archives of Iranian Medicine</w:t>
      </w:r>
      <w:r>
        <w:rPr>
          <w:kern w:val="0"/>
        </w:rPr>
        <w:t xml:space="preserve">, </w:t>
      </w:r>
      <w:r>
        <w:rPr>
          <w:b/>
          <w:bCs/>
          <w:kern w:val="0"/>
        </w:rPr>
        <w:t>17</w:t>
      </w:r>
      <w:r>
        <w:rPr>
          <w:kern w:val="0"/>
        </w:rPr>
        <w:t xml:space="preserve"> (3), 146-158.</w:t>
      </w:r>
    </w:p>
    <w:p w:rsidR="005B4629" w:rsidRDefault="005B4629" w:rsidP="005B4629">
      <w:pPr>
        <w:pStyle w:val="a3"/>
        <w:rPr>
          <w:kern w:val="0"/>
        </w:rPr>
      </w:pPr>
      <w:r>
        <w:rPr>
          <w:kern w:val="0"/>
        </w:rPr>
        <w:t xml:space="preserve">Full Text: 2014\Arc Ira Med17, </w:t>
      </w:r>
      <w:r>
        <w:rPr>
          <w:rFonts w:hint="eastAsia"/>
          <w:kern w:val="0"/>
        </w:rPr>
        <w:t>146</w:t>
      </w:r>
      <w:r>
        <w:rPr>
          <w:kern w:val="0"/>
        </w:rPr>
        <w:t>.pdf</w:t>
      </w:r>
    </w:p>
    <w:p w:rsidR="005B4629" w:rsidRDefault="005B4629" w:rsidP="005B4629">
      <w:pPr>
        <w:pStyle w:val="a3"/>
        <w:rPr>
          <w:kern w:val="0"/>
        </w:rPr>
      </w:pPr>
      <w:r>
        <w:rPr>
          <w:kern w:val="0"/>
        </w:rPr>
        <w:t>Abstract: Background: Non-communicable diseases, as the major public health problem, are caused by different risk factors</w:t>
      </w:r>
      <w:r w:rsidR="00A37C1D">
        <w:rPr>
          <w:kern w:val="0"/>
        </w:rPr>
        <w:t>. The</w:t>
      </w:r>
      <w:r>
        <w:rPr>
          <w:kern w:val="0"/>
        </w:rPr>
        <w:t xml:space="preserve"> main leading lifestyle risk factors for most diseases burden in Iran are unhealthy diet, physical inactivity, and smoking</w:t>
      </w:r>
      <w:r w:rsidR="00A37C1D">
        <w:rPr>
          <w:kern w:val="0"/>
        </w:rPr>
        <w:t>. The</w:t>
      </w:r>
      <w:r>
        <w:rPr>
          <w:kern w:val="0"/>
        </w:rPr>
        <w:t xml:space="preserve"> aim of this study is to provide data collection and methodology processes for estimating the trends of exposures to the selected lifestyle risk factors and their attributed burden at national and sub-national levels. Methods: Systematic review will be performed through PubMed/MEDLINE, Scopus and ISI/Web of Science as well as Iranian databases such as IranMedex, Irandoc and Scientific Information Database (SID). In addition, hand searching of unpublished data sources will be used to identify relevant population-based studies</w:t>
      </w:r>
      <w:r w:rsidR="00A37C1D">
        <w:rPr>
          <w:kern w:val="0"/>
        </w:rPr>
        <w:t>. The</w:t>
      </w:r>
      <w:r>
        <w:rPr>
          <w:kern w:val="0"/>
        </w:rPr>
        <w:t xml:space="preserve"> searched studies will be included only if it is reasonably population-based and representative, and exposure data has been reported or could be plausibly obtained from the study. For risk factors with no surveys identified, other sources of potential data will be considered</w:t>
      </w:r>
      <w:r w:rsidR="00A37C1D">
        <w:rPr>
          <w:kern w:val="0"/>
        </w:rPr>
        <w:t>. The</w:t>
      </w:r>
      <w:r>
        <w:rPr>
          <w:kern w:val="0"/>
        </w:rPr>
        <w:t xml:space="preserve"> target population is healthy Iranian adult population living within Iran from 1990 to 2013. Other data sources include national censuses, national registration systems, and national and sub-national surveys. Spatio-temporal Bayesian hierarchical model and Bayesian multilevel autoregressive model will be used to overcome the problem of data gaps in provinces, and in some age or sex groups or in urban/rural areas</w:t>
      </w:r>
      <w:r w:rsidR="00A37C1D">
        <w:rPr>
          <w:kern w:val="0"/>
        </w:rPr>
        <w:t>. The</w:t>
      </w:r>
      <w:r>
        <w:rPr>
          <w:kern w:val="0"/>
        </w:rPr>
        <w:t xml:space="preserve"> problem of misaligned areal units will be also addressed in these models. Conclusion: National and sub-national assessment of major lifestyle risk factors such as unhealthy diet, physical inactivity, and smoking is necessary for priority setting and policy making in different regions of Iran.</w:t>
      </w:r>
    </w:p>
    <w:p w:rsidR="005B4629" w:rsidRDefault="005B4629" w:rsidP="005B4629">
      <w:pPr>
        <w:pStyle w:val="a3"/>
        <w:rPr>
          <w:kern w:val="0"/>
        </w:rPr>
      </w:pPr>
      <w:r>
        <w:rPr>
          <w:kern w:val="0"/>
        </w:rPr>
        <w:lastRenderedPageBreak/>
        <w:t>Keywords: Adult, Age, Assessment, Autoregressive Model, Burden, Burden Of Non-Communicable Diseases, Censuses, Collection, Countries, Data, Data Collection, Database, Databases, Diet, Dietary-Fat Intake, Diseases, Exposure, Exposures, Factors, Global Burden, Groups, Health, Health Problem, Information, Injuries, Iran, Lifestyle Risk Factors, Living, Mar, Methodology, Methods, Model, Models, Mortality, Noncommunicable Diseases, Nutrition, Physical, Physical Activity, Policy, Policy Making, Population, Population Based, Population-Based, Population-Based Studies, Potential, Protocol, Public, Public Health, Public Health Problem, Regional Burden, Registration Systems, Review, Risk, Risk Factors, Science, Scopus, Sex, Si, Smoking, Sources, Surveys, Systematic Analysis, Systematic Review, Systems, Trends, Women</w:t>
      </w:r>
    </w:p>
    <w:p w:rsidR="00A04D4B" w:rsidRDefault="00A04D4B" w:rsidP="00A04D4B">
      <w:pPr>
        <w:pStyle w:val="a3"/>
        <w:rPr>
          <w:kern w:val="0"/>
        </w:rPr>
      </w:pPr>
      <w:r>
        <w:rPr>
          <w:rFonts w:hint="eastAsia"/>
          <w:kern w:val="0"/>
        </w:rPr>
        <w:t xml:space="preserve">? </w:t>
      </w:r>
      <w:r>
        <w:rPr>
          <w:kern w:val="0"/>
        </w:rPr>
        <w:t xml:space="preserve">Akbari, F. and Azadbakht, L. (2014), A systematic review on diet quality among Iranian youth: Focusing on reports from Tehran and Isfahan. </w:t>
      </w:r>
      <w:r>
        <w:rPr>
          <w:i/>
          <w:iCs/>
          <w:kern w:val="0"/>
        </w:rPr>
        <w:t>Archives of Iranian Medicine</w:t>
      </w:r>
      <w:r>
        <w:rPr>
          <w:kern w:val="0"/>
        </w:rPr>
        <w:t xml:space="preserve">, </w:t>
      </w:r>
      <w:r>
        <w:rPr>
          <w:b/>
          <w:bCs/>
          <w:kern w:val="0"/>
        </w:rPr>
        <w:t>17</w:t>
      </w:r>
      <w:r>
        <w:rPr>
          <w:kern w:val="0"/>
        </w:rPr>
        <w:t xml:space="preserve"> (8), 574-584.</w:t>
      </w:r>
    </w:p>
    <w:p w:rsidR="00A04D4B" w:rsidRDefault="00A04D4B" w:rsidP="00A04D4B">
      <w:pPr>
        <w:pStyle w:val="a3"/>
        <w:rPr>
          <w:kern w:val="0"/>
        </w:rPr>
      </w:pPr>
      <w:r>
        <w:rPr>
          <w:kern w:val="0"/>
        </w:rPr>
        <w:t>Full Text: 2014\Arc Ira Med17, 574.pdf</w:t>
      </w:r>
    </w:p>
    <w:p w:rsidR="00A04D4B" w:rsidRDefault="00A04D4B" w:rsidP="00A04D4B">
      <w:pPr>
        <w:pStyle w:val="a3"/>
        <w:rPr>
          <w:kern w:val="0"/>
        </w:rPr>
      </w:pPr>
      <w:r>
        <w:rPr>
          <w:kern w:val="0"/>
        </w:rPr>
        <w:t>Abstract: Background: Lifestyle and dietary pattern in adolescence and young adulthood not only affect the general state of health in these years, but also leave long-term effects. Due to the importance of diet in youth, this systematic review summarized observational studies representing dietary intakes among Iranian adolescents and young adults. Methods: PubMed, Scopus and Web of Science databases were searched up to September 2013 using keywords related to diet, youth and Iran. Relevant papers were identified through applying a Series of exclusion criteria in screening Steps. Data were tabulated in 4 tables according to the level of assessed dietary exposure including energy or nutrients, foods or food groups, diet quality indices or dietary patterns, and dietary habits. Results: Out of 1348 retrieved papers, 17 papers were eligible to enter this systematic review. Most studies were conducted in Tehran and Isfahan. Totally, 13113 individual were studied including 7327 girls and 5785 boys aged 10 to 28 years. Receiving lower or higher energy than required resulted in two burdens,of malnutrition. Fiber intake-was nearly half of the recommended amounts. Among micronutrients, calcium, phosphorus, folate and iron had the most common insufficient intakes. The youth consumed low whole grain, fruits, vegetables, dairy and unsaturated fatty, acids and low diverse, diet. Skipping breakfast was rife. Eating fast foods and unhealthy snacks Was another prevalent inappropriate dietary habit. Conclusion: Dietary intakes and habits of young people are not favorable. Implementing informative programs and developing practical policies should be noted to improve the diet quality of adolescents and young adults.</w:t>
      </w:r>
    </w:p>
    <w:p w:rsidR="00A04D4B" w:rsidRDefault="00A04D4B" w:rsidP="00A04D4B">
      <w:pPr>
        <w:pStyle w:val="a3"/>
        <w:rPr>
          <w:kern w:val="0"/>
        </w:rPr>
      </w:pPr>
      <w:r>
        <w:rPr>
          <w:kern w:val="0"/>
        </w:rPr>
        <w:t xml:space="preserve">Keywords: Adolescence, Adolescent, Adolescent Girls, Adolescents, Affect, Aged, Body-Mass Index, Bone-Density, Calcium, Cardiovascular Risk-Factors, Criteria, Dairy, Data, Databases, Developing, Diet, Diversity Score, Eating, Effects, Energy, </w:t>
      </w:r>
      <w:r>
        <w:rPr>
          <w:kern w:val="0"/>
        </w:rPr>
        <w:lastRenderedPageBreak/>
        <w:t>Energy Density, Exposure, Female Students, Food, From, Fruits, General, Girls, Groups, Health, Heart Health-Promotion, Indices, Iran, Iron, Isfahan, Leave, Long Term, Long-Term, Malnutrition, Methods, Nutrients, Observational, Observational Studies, Papers, Pattern, Phosphorus, Policies, Pubmed, Quality, Quality Of, Results, Review, School Girls, Science, Scopus, Screening, State, Systematic, Systematic Review, University-Students, Vegetables, Web Of Science, Web Of Science Databases, Young, Young Adults, Youth</w:t>
      </w:r>
    </w:p>
    <w:p w:rsidR="00485005" w:rsidRDefault="00485005" w:rsidP="00485005">
      <w:pPr>
        <w:pStyle w:val="a3"/>
        <w:rPr>
          <w:kern w:val="0"/>
        </w:rPr>
      </w:pPr>
      <w:r>
        <w:rPr>
          <w:rFonts w:hint="eastAsia"/>
          <w:kern w:val="0"/>
        </w:rPr>
        <w:t xml:space="preserve">? </w:t>
      </w:r>
      <w:r>
        <w:rPr>
          <w:kern w:val="0"/>
        </w:rPr>
        <w:t xml:space="preserve">Djalalinia, S., Kelishadi, R., Qorbani, M., Peykari, N., Kasaeian, A., Moghaddam, S.S., Gohari, K., Larijani, B. and Farzadfar, F. (2014), Suggestions for better data presentation in papers: An experience from a comprehensive study on national and sub-national trends of overweight and obesity. </w:t>
      </w:r>
      <w:r>
        <w:rPr>
          <w:i/>
          <w:iCs/>
          <w:kern w:val="0"/>
        </w:rPr>
        <w:t>Archives of Iranian Medicine</w:t>
      </w:r>
      <w:r>
        <w:rPr>
          <w:kern w:val="0"/>
        </w:rPr>
        <w:t xml:space="preserve">, </w:t>
      </w:r>
      <w:r>
        <w:rPr>
          <w:b/>
          <w:bCs/>
          <w:kern w:val="0"/>
        </w:rPr>
        <w:t>17</w:t>
      </w:r>
      <w:r>
        <w:rPr>
          <w:kern w:val="0"/>
        </w:rPr>
        <w:t xml:space="preserve"> (12), 830-836.</w:t>
      </w:r>
    </w:p>
    <w:p w:rsidR="00485005" w:rsidRDefault="00485005" w:rsidP="00485005">
      <w:pPr>
        <w:pStyle w:val="a3"/>
        <w:rPr>
          <w:kern w:val="0"/>
        </w:rPr>
      </w:pPr>
      <w:r>
        <w:rPr>
          <w:kern w:val="0"/>
        </w:rPr>
        <w:t>Full Text: 2014\Arc Ira Med17, 830.pdf</w:t>
      </w:r>
    </w:p>
    <w:p w:rsidR="00485005" w:rsidRDefault="00485005" w:rsidP="00485005">
      <w:pPr>
        <w:pStyle w:val="a3"/>
        <w:rPr>
          <w:kern w:val="0"/>
        </w:rPr>
      </w:pPr>
      <w:r>
        <w:rPr>
          <w:kern w:val="0"/>
        </w:rPr>
        <w:t>Abstract: Background: The importance of data quality whether in collection, analysis or presenting stage is a tangible and undeniable scientific fact and the main objects of researches implementation. Objective: This paper aims at explaining the main problems of the Iranian scientific papers for providing better data in the field of national and sub-national prevalence, incidence estimates and trends of obesity and overweight. Methods: To assets and evaluate papers, we systematically followed an approved standard protocol. Retrieval of studies was performed through Thomson Reuters Web of Science, PubMed, and Scopus, as well as Iranian databases including Irandoc, Scientific Information Database (SID), and IranMedex. Using GBD (Global Burden of Diseases) validated quality assessment forms to assess the quality and availability of data in papers, we considered the following four main domains: a) Quality of studies, b) Quality report of the results, c) Responsiveness of corresponding authors, and d) Diversity in study settings. Results: We retrieved 3,253 records; of these ‘1,875 were from international and 1378 from national databases. After refining steps, 129 (3.91%) papers remained-related to our study domain. More than 51% Of relevant papers were excluded because of poor quality of studies. The number of reported total population and points of data were 22,972 and 29 for boys, and 38,985 and 47 for girls, respectively. For all measures, Missing values and diversities in studies’ setting limited our ability to compare and analyze the results. Moreover, we had some serious problems in contacting the corresponding authors for complementary information necessary (Receptiveness: 17.9%). Conclusion: As the present paper focused on the main problems of Iranian scientific papers and proposed suggestions, the results will have implications for better policy making.</w:t>
      </w:r>
    </w:p>
    <w:p w:rsidR="00485005" w:rsidRDefault="00485005" w:rsidP="00485005">
      <w:pPr>
        <w:pStyle w:val="a3"/>
        <w:rPr>
          <w:kern w:val="0"/>
        </w:rPr>
      </w:pPr>
      <w:r>
        <w:rPr>
          <w:kern w:val="0"/>
        </w:rPr>
        <w:t xml:space="preserve">Keywords: Analysis, Assessment, Authors, Availability, Burden, Collection, Complementary, Data, Data Presentation, Data Quality, Database, Databases, </w:t>
      </w:r>
      <w:r>
        <w:rPr>
          <w:kern w:val="0"/>
        </w:rPr>
        <w:lastRenderedPageBreak/>
        <w:t>Diversity, Estimates, Experience, Field, Forms, From, Girls, Global, Implementation, Incidence, Information, International, Management, Measures, Methods, Obesity, Overweight, Papers, Pediatric, Policy, Policy Making, Population, Prevalence, Protocol, Pubmed, Quality, Quality Of, Records, Results, Science, Scopus, Standard, Thomson Reuters, Thomson-Reuters, Trends, Web, Web Of Science</w:t>
      </w:r>
    </w:p>
    <w:p w:rsidR="00E579F3" w:rsidRPr="001A3D2B" w:rsidRDefault="00E579F3" w:rsidP="00E579F3">
      <w:pPr>
        <w:pStyle w:val="1"/>
        <w:rPr>
          <w:lang w:val="fr-FR"/>
        </w:rPr>
      </w:pPr>
      <w:r w:rsidRPr="001A3D2B">
        <w:rPr>
          <w:lang w:val="fr-FR"/>
        </w:rPr>
        <w:br w:type="page"/>
      </w:r>
      <w:bookmarkStart w:id="579" w:name="_Toc420814579"/>
      <w:r w:rsidRPr="001A3D2B">
        <w:rPr>
          <w:lang w:val="fr-FR"/>
        </w:rPr>
        <w:lastRenderedPageBreak/>
        <w:t>Title: Archives des Maladies Professionnelles de Medecine du Travail et de Securite Sociale</w:t>
      </w:r>
      <w:bookmarkEnd w:id="579"/>
    </w:p>
    <w:p w:rsidR="00E579F3" w:rsidRPr="001A3D2B" w:rsidRDefault="00E579F3" w:rsidP="00E579F3">
      <w:pPr>
        <w:pStyle w:val="12"/>
        <w:rPr>
          <w:lang w:val="fr-FR"/>
        </w:rPr>
      </w:pPr>
      <w:r w:rsidRPr="001A3D2B">
        <w:rPr>
          <w:lang w:val="fr-FR"/>
        </w:rPr>
        <w:t xml:space="preserve">Full Journal Title: </w:t>
      </w:r>
      <w:r w:rsidRPr="001A3D2B">
        <w:t>Archives des Maladies Professionnelles de Medecine du Travail et de Securite Sociale</w:t>
      </w:r>
    </w:p>
    <w:p w:rsidR="00E579F3" w:rsidRPr="001A3D2B" w:rsidRDefault="00E579F3" w:rsidP="00E579F3">
      <w:pPr>
        <w:pStyle w:val="12"/>
      </w:pPr>
      <w:r w:rsidRPr="001A3D2B">
        <w:t xml:space="preserve">ISO Abbreviated Title: </w:t>
      </w:r>
    </w:p>
    <w:p w:rsidR="00E579F3" w:rsidRPr="001A3D2B" w:rsidRDefault="00E579F3" w:rsidP="00E579F3">
      <w:pPr>
        <w:pStyle w:val="12"/>
      </w:pPr>
      <w:r w:rsidRPr="001A3D2B">
        <w:t xml:space="preserve">JCR Abbreviated Title: </w:t>
      </w:r>
    </w:p>
    <w:p w:rsidR="00E579F3" w:rsidRPr="001A3D2B" w:rsidRDefault="00E579F3" w:rsidP="00E579F3">
      <w:pPr>
        <w:pStyle w:val="12"/>
      </w:pPr>
      <w:r w:rsidRPr="001A3D2B">
        <w:t xml:space="preserve">ISSN: </w:t>
      </w:r>
    </w:p>
    <w:p w:rsidR="00E579F3" w:rsidRPr="001A3D2B" w:rsidRDefault="00E579F3" w:rsidP="00E579F3">
      <w:pPr>
        <w:pStyle w:val="12"/>
      </w:pPr>
      <w:r w:rsidRPr="001A3D2B">
        <w:t xml:space="preserve">Issues/Year: </w:t>
      </w:r>
    </w:p>
    <w:p w:rsidR="00E579F3" w:rsidRPr="001A3D2B" w:rsidRDefault="00E579F3" w:rsidP="00E579F3">
      <w:pPr>
        <w:pStyle w:val="12"/>
      </w:pPr>
      <w:r w:rsidRPr="001A3D2B">
        <w:t xml:space="preserve">Journal Country/Territory: </w:t>
      </w:r>
    </w:p>
    <w:p w:rsidR="00E579F3" w:rsidRPr="001A3D2B" w:rsidRDefault="00E579F3" w:rsidP="00E579F3">
      <w:pPr>
        <w:pStyle w:val="12"/>
      </w:pPr>
      <w:r w:rsidRPr="001A3D2B">
        <w:t xml:space="preserve">Language: </w:t>
      </w:r>
    </w:p>
    <w:p w:rsidR="00E579F3" w:rsidRPr="001A3D2B" w:rsidRDefault="00E579F3" w:rsidP="00E579F3">
      <w:pPr>
        <w:pStyle w:val="12"/>
      </w:pPr>
      <w:r w:rsidRPr="001A3D2B">
        <w:t xml:space="preserve">Publisher: </w:t>
      </w:r>
    </w:p>
    <w:p w:rsidR="00E579F3" w:rsidRPr="001A3D2B" w:rsidRDefault="00E579F3" w:rsidP="00E579F3">
      <w:pPr>
        <w:pStyle w:val="12"/>
      </w:pPr>
      <w:r w:rsidRPr="001A3D2B">
        <w:t xml:space="preserve">Publisher Address: </w:t>
      </w:r>
    </w:p>
    <w:p w:rsidR="00E579F3" w:rsidRPr="001A3D2B" w:rsidRDefault="00E579F3" w:rsidP="00E579F3">
      <w:pPr>
        <w:pStyle w:val="12"/>
      </w:pPr>
      <w:r w:rsidRPr="001A3D2B">
        <w:t xml:space="preserve">Subject Categories: </w:t>
      </w:r>
    </w:p>
    <w:p w:rsidR="00E579F3" w:rsidRPr="001A3D2B" w:rsidRDefault="00E579F3" w:rsidP="00E579F3">
      <w:pPr>
        <w:pStyle w:val="12"/>
      </w:pPr>
      <w:r w:rsidRPr="001A3D2B">
        <w:t xml:space="preserve">: Impact Factor </w:t>
      </w:r>
    </w:p>
    <w:p w:rsidR="00E579F3" w:rsidRPr="001A3D2B" w:rsidRDefault="00E579F3" w:rsidP="00E579F3">
      <w:pPr>
        <w:pStyle w:val="a3"/>
      </w:pPr>
      <w:r w:rsidRPr="001A3D2B">
        <w:t>? Trouve, M., Hermann, S.</w:t>
      </w:r>
      <w:r w:rsidR="005853A9">
        <w:t xml:space="preserve"> and </w:t>
      </w:r>
      <w:r w:rsidRPr="001A3D2B">
        <w:t>Andlauer, P. (1973), Informatics</w:t>
      </w:r>
      <w:r w:rsidR="005853A9">
        <w:t xml:space="preserve"> and </w:t>
      </w:r>
      <w:r w:rsidRPr="001A3D2B">
        <w:t xml:space="preserve">Occupational Medicine. </w:t>
      </w:r>
      <w:r w:rsidRPr="001A3D2B">
        <w:rPr>
          <w:i/>
          <w:iCs/>
        </w:rPr>
        <w:t>Archives des Maladies Professionnelles de Medecine du Travail et de Securite Sociale</w:t>
      </w:r>
      <w:r w:rsidRPr="001A3D2B">
        <w:t xml:space="preserve">, </w:t>
      </w:r>
      <w:r w:rsidRPr="001A3D2B">
        <w:rPr>
          <w:b/>
          <w:bCs/>
        </w:rPr>
        <w:t>34</w:t>
      </w:r>
      <w:r w:rsidRPr="001A3D2B">
        <w:t xml:space="preserve"> (9), 555-556.</w:t>
      </w:r>
    </w:p>
    <w:p w:rsidR="003474F2" w:rsidRPr="001A3D2B" w:rsidRDefault="003474F2" w:rsidP="003474F2">
      <w:pPr>
        <w:pStyle w:val="1"/>
      </w:pPr>
      <w:r w:rsidRPr="001A3D2B">
        <w:br w:type="page"/>
      </w:r>
      <w:bookmarkStart w:id="580" w:name="_Toc420814580"/>
      <w:r w:rsidRPr="001A3D2B">
        <w:lastRenderedPageBreak/>
        <w:t>Title: Archives</w:t>
      </w:r>
      <w:r w:rsidR="00427468">
        <w:t xml:space="preserve"> of </w:t>
      </w:r>
      <w:r w:rsidRPr="001A3D2B">
        <w:t>Medical Research</w:t>
      </w:r>
      <w:bookmarkEnd w:id="580"/>
    </w:p>
    <w:p w:rsidR="003474F2" w:rsidRPr="001A3D2B" w:rsidRDefault="003474F2" w:rsidP="003474F2">
      <w:pPr>
        <w:pStyle w:val="12"/>
      </w:pPr>
      <w:r w:rsidRPr="001A3D2B">
        <w:t>Full Journ</w:t>
      </w:r>
      <w:bookmarkStart w:id="581" w:name="_Toc490687658"/>
      <w:bookmarkStart w:id="582" w:name="_Toc492777903"/>
      <w:bookmarkStart w:id="583" w:name="_Toc30750702"/>
      <w:bookmarkStart w:id="584" w:name="_Toc43634536"/>
      <w:bookmarkStart w:id="585" w:name="_Toc81215622"/>
      <w:r w:rsidRPr="001A3D2B">
        <w:t xml:space="preserve">al Title: </w:t>
      </w:r>
      <w:r w:rsidR="00206C8A">
        <w:fldChar w:fldCharType="begin"/>
      </w:r>
      <w:r w:rsidR="00FD158B">
        <w:instrText>HYPERLINK "http://www.sc</w:instrText>
      </w:r>
      <w:bookmarkEnd w:id="581"/>
      <w:bookmarkEnd w:id="582"/>
      <w:bookmarkEnd w:id="583"/>
      <w:bookmarkEnd w:id="584"/>
      <w:bookmarkEnd w:id="585"/>
      <w:r w:rsidR="00FD158B">
        <w:instrText>iencedirect.com/science?_ob=JournalURL&amp;_cdi=6182&amp;_auth=y&amp;_acct=C000024058&amp;_version=1&amp;_urlVersion=0&amp;_userid=4191814&amp;md5=df1447bf9f51eebb4d26c90636201c12"</w:instrText>
      </w:r>
      <w:r w:rsidR="00206C8A">
        <w:fldChar w:fldCharType="separate"/>
      </w:r>
      <w:r w:rsidRPr="001A3D2B">
        <w:rPr>
          <w:rStyle w:val="a5"/>
        </w:rPr>
        <w:t>Archives</w:t>
      </w:r>
      <w:r w:rsidR="00427468">
        <w:rPr>
          <w:rStyle w:val="a5"/>
        </w:rPr>
        <w:t xml:space="preserve"> of </w:t>
      </w:r>
      <w:r w:rsidRPr="001A3D2B">
        <w:rPr>
          <w:rStyle w:val="a5"/>
        </w:rPr>
        <w:t>Medical Research</w:t>
      </w:r>
      <w:r w:rsidR="00206C8A">
        <w:fldChar w:fldCharType="end"/>
      </w:r>
    </w:p>
    <w:p w:rsidR="003474F2" w:rsidRPr="001A3D2B" w:rsidRDefault="003474F2" w:rsidP="003474F2">
      <w:pPr>
        <w:pStyle w:val="12"/>
      </w:pPr>
      <w:r w:rsidRPr="001A3D2B">
        <w:t>ISO Abbreviated Title: Arch. Med. Res.</w:t>
      </w:r>
    </w:p>
    <w:p w:rsidR="003474F2" w:rsidRPr="001A3D2B" w:rsidRDefault="003474F2" w:rsidP="003474F2">
      <w:pPr>
        <w:pStyle w:val="12"/>
      </w:pPr>
      <w:r w:rsidRPr="001A3D2B">
        <w:t>JCR Abbreviated Title: Arch Med Res</w:t>
      </w:r>
    </w:p>
    <w:p w:rsidR="003474F2" w:rsidRPr="001A3D2B" w:rsidRDefault="003474F2" w:rsidP="003474F2">
      <w:pPr>
        <w:pStyle w:val="12"/>
      </w:pPr>
      <w:r w:rsidRPr="001A3D2B">
        <w:t>ISSN: 0188-0128</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Science Inc</w:t>
      </w:r>
    </w:p>
    <w:p w:rsidR="003474F2" w:rsidRPr="001A3D2B" w:rsidRDefault="003474F2" w:rsidP="003474F2">
      <w:pPr>
        <w:pStyle w:val="12"/>
      </w:pPr>
      <w:r w:rsidRPr="001A3D2B">
        <w:t>Publisher Address: 655 Avenue</w:t>
      </w:r>
      <w:r w:rsidR="00427468">
        <w:t xml:space="preserve"> of </w:t>
      </w:r>
      <w:r w:rsidR="003A1917">
        <w:t xml:space="preserve">the </w:t>
      </w:r>
      <w:r w:rsidRPr="001A3D2B">
        <w:t xml:space="preserve">Americas, </w:t>
      </w:r>
      <w:smartTag w:uri="urn:schemas-microsoft-com:office:smarttags" w:element="place">
        <w:smartTag w:uri="urn:schemas-microsoft-com:office:smarttags" w:element="City">
          <w:r w:rsidRPr="001A3D2B">
            <w:t>New York</w:t>
          </w:r>
        </w:smartTag>
        <w:r w:rsidRPr="001A3D2B">
          <w:t xml:space="preserve">, </w:t>
        </w:r>
        <w:smartTag w:uri="urn:schemas-microsoft-com:office:smarttags" w:element="State">
          <w:r w:rsidRPr="001A3D2B">
            <w:t>NY</w:t>
          </w:r>
        </w:smartTag>
        <w:r w:rsidRPr="001A3D2B">
          <w:t xml:space="preserve"> </w:t>
        </w:r>
        <w:smartTag w:uri="urn:schemas-microsoft-com:office:smarttags" w:element="PostalCode">
          <w:r w:rsidRPr="001A3D2B">
            <w:t>10010</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Medicine, Research &amp; Experimental: Impact Factor</w:t>
      </w:r>
    </w:p>
    <w:p w:rsidR="003474F2" w:rsidRPr="001A3D2B" w:rsidRDefault="003474F2" w:rsidP="003474F2">
      <w:pPr>
        <w:pStyle w:val="a3"/>
      </w:pPr>
      <w:r w:rsidRPr="001A3D2B">
        <w:t>Notes: JJournal</w:t>
      </w:r>
    </w:p>
    <w:p w:rsidR="00B77AEB" w:rsidRDefault="00B77AEB" w:rsidP="00B77AEB">
      <w:pPr>
        <w:pStyle w:val="a3"/>
      </w:pPr>
      <w:r w:rsidRPr="00F219CA">
        <w:t>? Lozoya, X., Rivera</w:t>
      </w:r>
      <w:r>
        <w:rPr>
          <w:rFonts w:hint="eastAsia"/>
        </w:rPr>
        <w:t>-</w:t>
      </w:r>
      <w:r>
        <w:t>Arce, E., Domí</w:t>
      </w:r>
      <w:r w:rsidRPr="00F219CA">
        <w:t>nguez, F., Arellano, M.L.</w:t>
      </w:r>
      <w:r w:rsidR="005853A9">
        <w:t xml:space="preserve"> and </w:t>
      </w:r>
      <w:r w:rsidRPr="00F219CA">
        <w:t>Mu</w:t>
      </w:r>
      <w:r>
        <w:t>ñ</w:t>
      </w:r>
      <w:r w:rsidRPr="00F219CA">
        <w:t xml:space="preserve">oz, O. (1995), </w:t>
      </w:r>
      <w:r w:rsidRPr="009A6935">
        <w:rPr>
          <w:i/>
        </w:rPr>
        <w:t>Archives</w:t>
      </w:r>
      <w:r w:rsidR="00427468">
        <w:rPr>
          <w:i/>
        </w:rPr>
        <w:t xml:space="preserve"> of </w:t>
      </w:r>
      <w:r w:rsidRPr="009A6935">
        <w:rPr>
          <w:i/>
        </w:rPr>
        <w:t>Medical Research</w:t>
      </w:r>
      <w:r w:rsidRPr="00F219CA">
        <w:t>: An historical</w:t>
      </w:r>
      <w:r w:rsidR="005853A9">
        <w:t xml:space="preserve"> and </w:t>
      </w:r>
      <w:r w:rsidRPr="00F219CA">
        <w:t xml:space="preserve">subject coverage overview. </w:t>
      </w:r>
      <w:r w:rsidRPr="00F219CA">
        <w:rPr>
          <w:i/>
        </w:rPr>
        <w:t>Archives</w:t>
      </w:r>
      <w:r w:rsidR="00427468">
        <w:rPr>
          <w:i/>
        </w:rPr>
        <w:t xml:space="preserve"> of </w:t>
      </w:r>
      <w:r w:rsidRPr="00F219CA">
        <w:rPr>
          <w:i/>
        </w:rPr>
        <w:t>Medical Research</w:t>
      </w:r>
      <w:r w:rsidRPr="00F219CA">
        <w:t xml:space="preserve">, </w:t>
      </w:r>
      <w:r w:rsidRPr="00F219CA">
        <w:rPr>
          <w:b/>
        </w:rPr>
        <w:t>26</w:t>
      </w:r>
      <w:r w:rsidRPr="00F219CA">
        <w:t>, S1-S5.</w:t>
      </w:r>
    </w:p>
    <w:p w:rsidR="00D23E09" w:rsidRPr="00F219CA" w:rsidRDefault="00D23E09" w:rsidP="00D23E09">
      <w:pPr>
        <w:pStyle w:val="a3"/>
      </w:pPr>
      <w:r>
        <w:rPr>
          <w:rFonts w:hint="eastAsia"/>
        </w:rPr>
        <w:t>Full Text: 1995\</w:t>
      </w:r>
      <w:r>
        <w:t>Arc Med Res</w:t>
      </w:r>
      <w:r w:rsidRPr="0080655B">
        <w:t>26</w:t>
      </w:r>
      <w:r w:rsidRPr="00F219CA">
        <w:t>, S1</w:t>
      </w:r>
      <w:r>
        <w:rPr>
          <w:rFonts w:hint="eastAsia"/>
        </w:rPr>
        <w:t>.pdf</w:t>
      </w:r>
    </w:p>
    <w:p w:rsidR="003474F2" w:rsidRPr="001A3D2B" w:rsidRDefault="003474F2" w:rsidP="003474F2">
      <w:pPr>
        <w:pStyle w:val="a3"/>
      </w:pPr>
      <w:r w:rsidRPr="001A3D2B">
        <w:t>Abstract: A bibliometric study about</w:t>
      </w:r>
      <w:r w:rsidR="003A1917">
        <w:t xml:space="preserve"> the </w:t>
      </w:r>
      <w:r w:rsidRPr="001A3D2B">
        <w:t>subject content</w:t>
      </w:r>
      <w:r w:rsidR="00427468">
        <w:t xml:space="preserve"> of </w:t>
      </w:r>
      <w:r w:rsidR="003A1917">
        <w:t xml:space="preserve">the </w:t>
      </w:r>
      <w:r w:rsidRPr="001A3D2B">
        <w:t>articles published in</w:t>
      </w:r>
      <w:r w:rsidR="003A1917">
        <w:t xml:space="preserve"> the </w:t>
      </w:r>
      <w:r w:rsidRPr="001A3D2B">
        <w:t>Mexican scientific journal Archives</w:t>
      </w:r>
      <w:r w:rsidR="00427468">
        <w:t xml:space="preserve"> of </w:t>
      </w:r>
      <w:r w:rsidRPr="001A3D2B">
        <w:t>Medical Research is reported</w:t>
      </w:r>
      <w:r w:rsidR="00A37C1D">
        <w:t>. The</w:t>
      </w:r>
      <w:r w:rsidR="003A1917">
        <w:t xml:space="preserve"> </w:t>
      </w:r>
      <w:r w:rsidRPr="001A3D2B">
        <w:t>journal, published by</w:t>
      </w:r>
      <w:r w:rsidR="003A1917">
        <w:t xml:space="preserve"> the </w:t>
      </w:r>
      <w:r w:rsidRPr="001A3D2B">
        <w:t>Mexican Institute</w:t>
      </w:r>
      <w:r w:rsidR="00427468">
        <w:t xml:space="preserve"> of </w:t>
      </w:r>
      <w:r w:rsidRPr="001A3D2B">
        <w:t>Social Security (IMSS), is comprised</w:t>
      </w:r>
      <w:r w:rsidR="00427468">
        <w:t xml:space="preserve"> of </w:t>
      </w:r>
      <w:r w:rsidRPr="001A3D2B">
        <w:t>100 regular issues</w:t>
      </w:r>
      <w:r w:rsidR="005853A9">
        <w:t xml:space="preserve"> and </w:t>
      </w:r>
      <w:r w:rsidRPr="001A3D2B">
        <w:t>12 special supplements giving a total amount</w:t>
      </w:r>
      <w:r w:rsidR="00427468">
        <w:t xml:space="preserve"> of </w:t>
      </w:r>
      <w:r w:rsidRPr="001A3D2B">
        <w:t xml:space="preserve">1,424 reports on medical research performed in </w:t>
      </w:r>
      <w:smartTag w:uri="urn:schemas-microsoft-com:office:smarttags" w:element="place">
        <w:smartTag w:uri="urn:schemas-microsoft-com:office:smarttags" w:element="country-region">
          <w:r w:rsidRPr="001A3D2B">
            <w:t>Mexico</w:t>
          </w:r>
        </w:smartTag>
      </w:smartTag>
      <w:r w:rsidRPr="001A3D2B">
        <w:t xml:space="preserve"> during</w:t>
      </w:r>
      <w:r w:rsidR="003A1917">
        <w:t xml:space="preserve"> the </w:t>
      </w:r>
      <w:r w:rsidRPr="001A3D2B">
        <w:t>last 25 years. According to</w:t>
      </w:r>
      <w:r w:rsidR="003A1917">
        <w:t xml:space="preserve"> the </w:t>
      </w:r>
      <w:r w:rsidRPr="001A3D2B">
        <w:t>type</w:t>
      </w:r>
      <w:r w:rsidR="00427468">
        <w:t xml:space="preserve"> of </w:t>
      </w:r>
      <w:r w:rsidRPr="001A3D2B">
        <w:t>studies published during this period, we found that there is a similar percent</w:t>
      </w:r>
      <w:r w:rsidR="00427468">
        <w:t xml:space="preserve"> of </w:t>
      </w:r>
      <w:r w:rsidRPr="001A3D2B">
        <w:t>biomedical</w:t>
      </w:r>
      <w:r w:rsidR="005853A9">
        <w:t xml:space="preserve"> and </w:t>
      </w:r>
      <w:r w:rsidRPr="001A3D2B">
        <w:t>clinical reports in</w:t>
      </w:r>
      <w:r w:rsidR="003A1917">
        <w:t xml:space="preserve"> the </w:t>
      </w:r>
      <w:r w:rsidRPr="001A3D2B">
        <w:t>journal (47</w:t>
      </w:r>
      <w:r w:rsidR="005853A9">
        <w:t xml:space="preserve"> and </w:t>
      </w:r>
      <w:r w:rsidRPr="001A3D2B">
        <w:t>42%, respectively)</w:t>
      </w:r>
      <w:r w:rsidR="005853A9">
        <w:t xml:space="preserve"> and </w:t>
      </w:r>
      <w:r w:rsidRPr="001A3D2B">
        <w:t>a low proportion</w:t>
      </w:r>
      <w:r w:rsidR="00427468">
        <w:t xml:space="preserve"> of </w:t>
      </w:r>
      <w:r w:rsidRPr="001A3D2B">
        <w:t>epidemiological</w:t>
      </w:r>
      <w:r w:rsidR="005853A9">
        <w:t xml:space="preserve"> and </w:t>
      </w:r>
      <w:r w:rsidRPr="001A3D2B">
        <w:t>medical educational reports (8</w:t>
      </w:r>
      <w:r w:rsidR="005853A9">
        <w:t xml:space="preserve"> and </w:t>
      </w:r>
      <w:r w:rsidRPr="001A3D2B">
        <w:t>3%, respectively). Six thematic areas</w:t>
      </w:r>
      <w:r w:rsidR="00427468">
        <w:t xml:space="preserve"> of </w:t>
      </w:r>
      <w:r w:rsidRPr="001A3D2B">
        <w:t>research have been permanently published in this journal: investigations on infectious</w:t>
      </w:r>
      <w:r w:rsidR="005853A9">
        <w:t xml:space="preserve"> and </w:t>
      </w:r>
      <w:r w:rsidRPr="001A3D2B">
        <w:t>neurological diseases being</w:t>
      </w:r>
      <w:r w:rsidR="003A1917">
        <w:t xml:space="preserve"> the </w:t>
      </w:r>
      <w:r w:rsidRPr="001A3D2B">
        <w:t>areas mainly represented (34%</w:t>
      </w:r>
      <w:r w:rsidR="00427468">
        <w:t xml:space="preserve"> of </w:t>
      </w:r>
      <w:r w:rsidR="003A1917">
        <w:t xml:space="preserve">the </w:t>
      </w:r>
      <w:r w:rsidRPr="001A3D2B">
        <w:t>total, corresponding to 17% in each area), followed by studies in reproductive biology (10%)</w:t>
      </w:r>
      <w:r w:rsidR="005853A9">
        <w:t xml:space="preserve"> and </w:t>
      </w:r>
      <w:r w:rsidRPr="001A3D2B">
        <w:t>endocrine (7%), oncological (5%)</w:t>
      </w:r>
      <w:r w:rsidR="005853A9">
        <w:t xml:space="preserve"> and </w:t>
      </w:r>
      <w:r w:rsidRPr="001A3D2B">
        <w:t>cardiovascular (3%) diseases</w:t>
      </w:r>
      <w:r w:rsidR="00A37C1D">
        <w:t>. The</w:t>
      </w:r>
      <w:r w:rsidR="003A1917">
        <w:t xml:space="preserve"> </w:t>
      </w:r>
      <w:r w:rsidRPr="001A3D2B">
        <w:t>tendency</w:t>
      </w:r>
      <w:r w:rsidR="00427468">
        <w:t xml:space="preserve"> of </w:t>
      </w:r>
      <w:r w:rsidR="003A1917">
        <w:t xml:space="preserve">the </w:t>
      </w:r>
      <w:r w:rsidRPr="001A3D2B">
        <w:t>subjects covered by</w:t>
      </w:r>
      <w:r w:rsidR="003A1917">
        <w:t xml:space="preserve"> the </w:t>
      </w:r>
      <w:r w:rsidRPr="001A3D2B">
        <w:t>journal during this period shows an increment in reports on infectious</w:t>
      </w:r>
      <w:r w:rsidR="005853A9">
        <w:t xml:space="preserve"> and </w:t>
      </w:r>
      <w:r w:rsidRPr="001A3D2B">
        <w:t>parasitic disorders together with an increase in publications related to medicinal plant pharmacology; reproductive biology</w:t>
      </w:r>
      <w:r w:rsidR="005853A9">
        <w:t xml:space="preserve"> and </w:t>
      </w:r>
      <w:r w:rsidRPr="001A3D2B">
        <w:t>endocrine studies show also an increasing tendency. On</w:t>
      </w:r>
      <w:r w:rsidR="003A1917">
        <w:t xml:space="preserve"> the </w:t>
      </w:r>
      <w:r w:rsidRPr="001A3D2B">
        <w:t>other hand, a moderate decrease in studies related to neurological, oncological</w:t>
      </w:r>
      <w:r w:rsidR="005853A9">
        <w:t xml:space="preserve"> and </w:t>
      </w:r>
      <w:r w:rsidRPr="001A3D2B">
        <w:t>cardiovascular diseases is observed,</w:t>
      </w:r>
      <w:r w:rsidR="003A1917">
        <w:t xml:space="preserve"> the </w:t>
      </w:r>
      <w:r w:rsidRPr="001A3D2B">
        <w:t>origin</w:t>
      </w:r>
      <w:r w:rsidR="00427468">
        <w:t xml:space="preserve"> of </w:t>
      </w:r>
      <w:r w:rsidRPr="001A3D2B">
        <w:t>contributions during</w:t>
      </w:r>
      <w:r w:rsidR="003A1917">
        <w:t xml:space="preserve"> the </w:t>
      </w:r>
      <w:r w:rsidRPr="001A3D2B">
        <w:t>last five years has balanced</w:t>
      </w:r>
      <w:r w:rsidR="003A1917">
        <w:t xml:space="preserve"> the </w:t>
      </w:r>
      <w:r w:rsidRPr="001A3D2B">
        <w:t>proportion</w:t>
      </w:r>
      <w:r w:rsidR="00427468">
        <w:t xml:space="preserve"> of </w:t>
      </w:r>
      <w:r w:rsidRPr="001A3D2B">
        <w:t>papers published from IMSS scientists, other Mexican biomedical researchers</w:t>
      </w:r>
      <w:r w:rsidR="005853A9">
        <w:t xml:space="preserve"> and </w:t>
      </w:r>
      <w:r w:rsidRPr="001A3D2B">
        <w:t>foreign contributions, thus reflecting favorably</w:t>
      </w:r>
      <w:r w:rsidR="003A1917">
        <w:t xml:space="preserve"> </w:t>
      </w:r>
      <w:r w:rsidR="003A1917">
        <w:lastRenderedPageBreak/>
        <w:t xml:space="preserve">the </w:t>
      </w:r>
      <w:r w:rsidRPr="001A3D2B">
        <w:t>recent changes in</w:t>
      </w:r>
      <w:r w:rsidR="003A1917">
        <w:t xml:space="preserve"> the </w:t>
      </w:r>
      <w:r w:rsidRPr="001A3D2B">
        <w:t>journal</w:t>
      </w:r>
      <w:r w:rsidR="00700038">
        <w:t>’</w:t>
      </w:r>
      <w:r w:rsidR="00C13DDC">
        <w:t>s</w:t>
      </w:r>
      <w:r w:rsidRPr="001A3D2B">
        <w:t xml:space="preserve"> policies. This journal represents a clear example</w:t>
      </w:r>
      <w:r w:rsidR="00427468">
        <w:t xml:space="preserve"> of </w:t>
      </w:r>
      <w:r w:rsidRPr="001A3D2B">
        <w:t>a scientific publication edited in a developing country, originating as a national publication that evolved progressively into an international biomedical journal.</w:t>
      </w:r>
    </w:p>
    <w:p w:rsidR="003474F2" w:rsidRPr="001A3D2B" w:rsidRDefault="003474F2" w:rsidP="003474F2">
      <w:pPr>
        <w:pStyle w:val="a3"/>
      </w:pPr>
      <w:r w:rsidRPr="001A3D2B">
        <w:t>Keywords: Archives</w:t>
      </w:r>
      <w:r w:rsidR="00427468">
        <w:t xml:space="preserve"> of </w:t>
      </w:r>
      <w:r w:rsidRPr="001A3D2B">
        <w:t>Medical Research, Bibliometric, Bibliometric Study, Biology, Biomedical, Cardiovascular, Cardiovascular Diseases, Changes, Clinical, Content, Country, Coverage, Developing, Developing Country, Diseases, Foreign, International, Investigations, Journal, Medical, Medical Research, Medicinal Plant, Mexican, Mexican Scientific Journal, Mexico, National, Neurological, Origin, Papers, Pharmacology, Plant, Policies, Publication, Publications, Recent Changes, Reproductive, Reproductive Biology, Research, Scientific Journal, SI</w:t>
      </w:r>
    </w:p>
    <w:p w:rsidR="00D13B9B" w:rsidRDefault="00D13B9B" w:rsidP="00D13B9B">
      <w:pPr>
        <w:pStyle w:val="a3"/>
        <w:rPr>
          <w:kern w:val="0"/>
        </w:rPr>
      </w:pPr>
      <w:r>
        <w:rPr>
          <w:rFonts w:hint="eastAsia"/>
          <w:kern w:val="0"/>
        </w:rPr>
        <w:t xml:space="preserve">? </w:t>
      </w:r>
      <w:r>
        <w:rPr>
          <w:kern w:val="0"/>
        </w:rPr>
        <w:t xml:space="preserve">Gu, J.Y. and Li, L.W. (2014), </w:t>
      </w:r>
      <w:r w:rsidRPr="00D13B9B">
        <w:rPr>
          <w:i/>
          <w:kern w:val="0"/>
        </w:rPr>
        <w:t>ALDH2</w:t>
      </w:r>
      <w:r>
        <w:rPr>
          <w:kern w:val="0"/>
        </w:rPr>
        <w:t xml:space="preserve"> Glu504Lys polymorphism and susceptibility to coronary artery disease and myocardial infarction in east Asians: A meta-analysis. </w:t>
      </w:r>
      <w:r>
        <w:rPr>
          <w:i/>
          <w:iCs/>
          <w:kern w:val="0"/>
        </w:rPr>
        <w:t>Archives</w:t>
      </w:r>
      <w:r w:rsidR="00427468">
        <w:rPr>
          <w:i/>
          <w:iCs/>
          <w:kern w:val="0"/>
        </w:rPr>
        <w:t xml:space="preserve"> of </w:t>
      </w:r>
      <w:r>
        <w:rPr>
          <w:i/>
          <w:iCs/>
          <w:kern w:val="0"/>
        </w:rPr>
        <w:t>Medical Research</w:t>
      </w:r>
      <w:r>
        <w:rPr>
          <w:kern w:val="0"/>
        </w:rPr>
        <w:t xml:space="preserve">, </w:t>
      </w:r>
      <w:r>
        <w:rPr>
          <w:b/>
          <w:bCs/>
          <w:kern w:val="0"/>
        </w:rPr>
        <w:t>45</w:t>
      </w:r>
      <w:r>
        <w:rPr>
          <w:kern w:val="0"/>
        </w:rPr>
        <w:t xml:space="preserve"> (1), 76-83.</w:t>
      </w:r>
    </w:p>
    <w:p w:rsidR="00D13B9B" w:rsidRPr="00F219CA" w:rsidRDefault="00D13B9B" w:rsidP="00D13B9B">
      <w:pPr>
        <w:pStyle w:val="a3"/>
      </w:pPr>
      <w:r>
        <w:rPr>
          <w:rFonts w:hint="eastAsia"/>
        </w:rPr>
        <w:t xml:space="preserve">Full Text: </w:t>
      </w:r>
      <w:hyperlink r:id="rId1143" w:history="1">
        <w:r w:rsidRPr="00D13B9B">
          <w:rPr>
            <w:rStyle w:val="a5"/>
          </w:rPr>
          <w:t>2014\Arc Med Res45, 76.pdf</w:t>
        </w:r>
      </w:hyperlink>
    </w:p>
    <w:p w:rsidR="00D13B9B" w:rsidRDefault="00D13B9B" w:rsidP="00D13B9B">
      <w:pPr>
        <w:pStyle w:val="a3"/>
        <w:rPr>
          <w:kern w:val="0"/>
        </w:rPr>
      </w:pPr>
      <w:r>
        <w:rPr>
          <w:kern w:val="0"/>
        </w:rPr>
        <w:t>Abstract: Background and Aims. Emerging evidences have shown that the Glu504Lys variant in ALDH2 gene may greatly reduce the ability</w:t>
      </w:r>
      <w:r w:rsidR="00427468">
        <w:rPr>
          <w:kern w:val="0"/>
        </w:rPr>
        <w:t xml:space="preserve"> of </w:t>
      </w:r>
      <w:r>
        <w:rPr>
          <w:kern w:val="0"/>
        </w:rPr>
        <w:t>ALDH2 to metabolize acetaldehyde, which could increase the risk</w:t>
      </w:r>
      <w:r w:rsidR="00427468">
        <w:rPr>
          <w:kern w:val="0"/>
        </w:rPr>
        <w:t xml:space="preserve"> of </w:t>
      </w:r>
      <w:r>
        <w:rPr>
          <w:kern w:val="0"/>
        </w:rPr>
        <w:t>coronary artery disease (CAD) and myocardial infarction (MI). However, the reported results are still conflicting. To investigate the association between ALDH2 Glu504Lys polymorphism and the risk</w:t>
      </w:r>
      <w:r w:rsidR="00427468">
        <w:rPr>
          <w:kern w:val="0"/>
        </w:rPr>
        <w:t xml:space="preserve"> of </w:t>
      </w:r>
      <w:r>
        <w:rPr>
          <w:kern w:val="0"/>
        </w:rPr>
        <w:t>CAD and MI in Asians, we analyzed all available studies in a meta-analysis. Methods. A literature search</w:t>
      </w:r>
      <w:r w:rsidR="00427468">
        <w:rPr>
          <w:kern w:val="0"/>
        </w:rPr>
        <w:t xml:space="preserve"> of </w:t>
      </w:r>
      <w:r>
        <w:rPr>
          <w:kern w:val="0"/>
        </w:rPr>
        <w:t>PubMed, Embase, Web</w:t>
      </w:r>
      <w:r w:rsidR="00427468">
        <w:rPr>
          <w:kern w:val="0"/>
        </w:rPr>
        <w:t xml:space="preserve"> of </w:t>
      </w:r>
      <w:r>
        <w:rPr>
          <w:kern w:val="0"/>
        </w:rPr>
        <w:t>Science and Chinese BioMedical (CBM) databases was conducted for articles published before March 1, 2013</w:t>
      </w:r>
      <w:r w:rsidR="00A37C1D">
        <w:rPr>
          <w:kern w:val="0"/>
        </w:rPr>
        <w:t>. The</w:t>
      </w:r>
      <w:r>
        <w:rPr>
          <w:kern w:val="0"/>
        </w:rPr>
        <w:t xml:space="preserve"> principal outcome measure was the crude odds ratios (ORs) with their corresponding confidence intervals (95% CIs) for evaluating the strength</w:t>
      </w:r>
      <w:r w:rsidR="00427468">
        <w:rPr>
          <w:kern w:val="0"/>
        </w:rPr>
        <w:t xml:space="preserve"> of </w:t>
      </w:r>
      <w:r>
        <w:rPr>
          <w:kern w:val="0"/>
        </w:rPr>
        <w:t>the association. Results. Meta-analysis showed that carriers</w:t>
      </w:r>
      <w:r w:rsidR="00427468">
        <w:rPr>
          <w:kern w:val="0"/>
        </w:rPr>
        <w:t xml:space="preserve"> of </w:t>
      </w:r>
      <w:r>
        <w:rPr>
          <w:kern w:val="0"/>
        </w:rPr>
        <w:t>ALDH2*5041ys allele were associated with increased risks</w:t>
      </w:r>
      <w:r w:rsidR="00427468">
        <w:rPr>
          <w:kern w:val="0"/>
        </w:rPr>
        <w:t xml:space="preserve"> of </w:t>
      </w:r>
      <w:r>
        <w:rPr>
          <w:kern w:val="0"/>
        </w:rPr>
        <w:t>both CAD and MI (CAD: OR = 1.28, 95% CI: 1.10-1.48, p = 0.001; MI: OR = 1.58, 95% CI: 1.15-2.19, p = 0.005). Subgroup analysis by country showed significant correlations between mutant genotypes (Glu/Lys + Lys/Lys) and increased risk to MI among Chinese and Korean populations (Chinese: OR = 1.89, 95% CI: 1.16-3.09, p = 0.011; Korean: OR = 1.69, 95%CI: 1.12-2.55, p = 0.013), whereas similar associations were not observed among Japanese populations. Conclusions</w:t>
      </w:r>
      <w:r w:rsidR="00A37C1D">
        <w:rPr>
          <w:kern w:val="0"/>
        </w:rPr>
        <w:t>. The</w:t>
      </w:r>
      <w:r>
        <w:rPr>
          <w:kern w:val="0"/>
        </w:rPr>
        <w:t xml:space="preserve"> current meta-analysis provides strong evidence that ALDH2 Glu504Lys polymorphism may be associated with increased risk</w:t>
      </w:r>
      <w:r w:rsidR="00427468">
        <w:rPr>
          <w:kern w:val="0"/>
        </w:rPr>
        <w:t xml:space="preserve"> of </w:t>
      </w:r>
      <w:r>
        <w:rPr>
          <w:kern w:val="0"/>
        </w:rPr>
        <w:t>CAD and MI in East Asians, especially among Chinese and Korean populations. However, more detailed and well-designed studies are still warranted to confirm these findings. (C) 2014 IMSS. Published by Elsevier Inc.</w:t>
      </w:r>
    </w:p>
    <w:p w:rsidR="00D13B9B" w:rsidRDefault="00D13B9B" w:rsidP="00D13B9B">
      <w:pPr>
        <w:pStyle w:val="a3"/>
        <w:rPr>
          <w:kern w:val="0"/>
        </w:rPr>
      </w:pPr>
      <w:r>
        <w:rPr>
          <w:kern w:val="0"/>
        </w:rPr>
        <w:t xml:space="preserve">Keywords: Alcohol-Dehydrogenase, Aldehyde-Dehydrogenase-2, ALDH2, Analysis, Artery, Association, Cad, Chinese, Confidence, Confidence Intervals, Coronary Artery, Coronary Artery Disease, Correlations, Country, Databases, Disease, </w:t>
      </w:r>
      <w:r>
        <w:rPr>
          <w:kern w:val="0"/>
        </w:rPr>
        <w:lastRenderedPageBreak/>
        <w:t>Evidence, Gene, Genotypes, Han Chinese, Heart-Disease, Heterogeneity, Infarction, Intervals, Literature, Literature Search, Measure, Meta Analysis, Meta-Analysis, Metaanalysis, Metabolism, Methods, Myocardial Infarction, Outcome, Outcome Measure, Polymorphism, Populations, Pubmed, Results, Risk, Risk-Factors, Risks, Science, Strength, Susceptibility, Web</w:t>
      </w:r>
      <w:r w:rsidR="00427468">
        <w:rPr>
          <w:kern w:val="0"/>
        </w:rPr>
        <w:t xml:space="preserve"> of </w:t>
      </w:r>
      <w:r>
        <w:rPr>
          <w:kern w:val="0"/>
        </w:rPr>
        <w:t>Science</w:t>
      </w:r>
    </w:p>
    <w:p w:rsidR="004A7891" w:rsidRPr="001A3D2B" w:rsidRDefault="004A7891" w:rsidP="004A7891">
      <w:pPr>
        <w:pStyle w:val="1"/>
      </w:pPr>
      <w:r w:rsidRPr="001A3D2B">
        <w:br w:type="page"/>
      </w:r>
      <w:bookmarkStart w:id="586" w:name="_Toc420814581"/>
      <w:r w:rsidRPr="001A3D2B">
        <w:lastRenderedPageBreak/>
        <w:t xml:space="preserve">Title: </w:t>
      </w:r>
      <w:r w:rsidRPr="004A7891">
        <w:rPr>
          <w:iCs w:val="0"/>
        </w:rPr>
        <w:t>Archives</w:t>
      </w:r>
      <w:r w:rsidR="00427468">
        <w:rPr>
          <w:iCs w:val="0"/>
        </w:rPr>
        <w:t xml:space="preserve"> of </w:t>
      </w:r>
      <w:r w:rsidRPr="004A7891">
        <w:rPr>
          <w:iCs w:val="0"/>
        </w:rPr>
        <w:t>Medical Science</w:t>
      </w:r>
      <w:bookmarkEnd w:id="586"/>
    </w:p>
    <w:p w:rsidR="004A7891" w:rsidRPr="001A3D2B" w:rsidRDefault="004A7891" w:rsidP="004A7891">
      <w:pPr>
        <w:pStyle w:val="12"/>
      </w:pPr>
      <w:r w:rsidRPr="001A3D2B">
        <w:t xml:space="preserve">Full Journal Title: </w:t>
      </w:r>
      <w:r w:rsidRPr="004A7891">
        <w:rPr>
          <w:iCs/>
          <w:kern w:val="0"/>
        </w:rPr>
        <w:t>Archives</w:t>
      </w:r>
      <w:r w:rsidR="00427468">
        <w:rPr>
          <w:iCs/>
          <w:kern w:val="0"/>
        </w:rPr>
        <w:t xml:space="preserve"> of </w:t>
      </w:r>
      <w:r w:rsidRPr="004A7891">
        <w:rPr>
          <w:iCs/>
          <w:kern w:val="0"/>
        </w:rPr>
        <w:t>Medical Science</w:t>
      </w:r>
    </w:p>
    <w:p w:rsidR="004A7891" w:rsidRPr="001A3D2B" w:rsidRDefault="004A7891" w:rsidP="004A7891">
      <w:pPr>
        <w:pStyle w:val="12"/>
      </w:pPr>
      <w:r w:rsidRPr="001A3D2B">
        <w:t xml:space="preserve">ISO Abbreviated Title: </w:t>
      </w:r>
    </w:p>
    <w:p w:rsidR="004A7891" w:rsidRPr="001A3D2B" w:rsidRDefault="004A7891" w:rsidP="004A7891">
      <w:pPr>
        <w:pStyle w:val="12"/>
      </w:pPr>
      <w:r w:rsidRPr="001A3D2B">
        <w:t xml:space="preserve">JCR Abbreviated Title: </w:t>
      </w:r>
    </w:p>
    <w:p w:rsidR="004A7891" w:rsidRPr="001A3D2B" w:rsidRDefault="004A7891" w:rsidP="004A7891">
      <w:pPr>
        <w:pStyle w:val="12"/>
      </w:pPr>
      <w:r w:rsidRPr="001A3D2B">
        <w:t xml:space="preserve">ISSN: </w:t>
      </w:r>
    </w:p>
    <w:p w:rsidR="004A7891" w:rsidRPr="001A3D2B" w:rsidRDefault="004A7891" w:rsidP="004A7891">
      <w:pPr>
        <w:pStyle w:val="12"/>
      </w:pPr>
      <w:r w:rsidRPr="001A3D2B">
        <w:t xml:space="preserve">Issues/Year: </w:t>
      </w:r>
    </w:p>
    <w:p w:rsidR="004A7891" w:rsidRPr="001A3D2B" w:rsidRDefault="004A7891" w:rsidP="004A7891">
      <w:pPr>
        <w:pStyle w:val="12"/>
      </w:pPr>
      <w:r w:rsidRPr="001A3D2B">
        <w:t xml:space="preserve">Journal Country/Territory: </w:t>
      </w:r>
    </w:p>
    <w:p w:rsidR="004A7891" w:rsidRPr="001A3D2B" w:rsidRDefault="004A7891" w:rsidP="004A7891">
      <w:pPr>
        <w:pStyle w:val="12"/>
      </w:pPr>
      <w:r w:rsidRPr="001A3D2B">
        <w:t xml:space="preserve">Language: </w:t>
      </w:r>
    </w:p>
    <w:p w:rsidR="004A7891" w:rsidRPr="001A3D2B" w:rsidRDefault="004A7891" w:rsidP="004A7891">
      <w:pPr>
        <w:pStyle w:val="12"/>
      </w:pPr>
      <w:r w:rsidRPr="001A3D2B">
        <w:t xml:space="preserve">Publisher: </w:t>
      </w:r>
    </w:p>
    <w:p w:rsidR="004A7891" w:rsidRPr="001A3D2B" w:rsidRDefault="004A7891" w:rsidP="004A7891">
      <w:pPr>
        <w:pStyle w:val="12"/>
      </w:pPr>
      <w:r w:rsidRPr="001A3D2B">
        <w:t xml:space="preserve">Publisher Address: </w:t>
      </w:r>
    </w:p>
    <w:p w:rsidR="004A7891" w:rsidRPr="001A3D2B" w:rsidRDefault="004A7891" w:rsidP="004A7891">
      <w:pPr>
        <w:pStyle w:val="12"/>
      </w:pPr>
      <w:r w:rsidRPr="001A3D2B">
        <w:t xml:space="preserve">Subject Categories: </w:t>
      </w:r>
    </w:p>
    <w:p w:rsidR="004A7891" w:rsidRPr="001A3D2B" w:rsidRDefault="004A7891" w:rsidP="004A7891">
      <w:pPr>
        <w:pStyle w:val="12"/>
      </w:pPr>
      <w:r w:rsidRPr="001A3D2B">
        <w:t xml:space="preserve">: Impact Factor </w:t>
      </w:r>
    </w:p>
    <w:p w:rsidR="004A7891" w:rsidRDefault="004A7891" w:rsidP="004A7891">
      <w:pPr>
        <w:pStyle w:val="a3"/>
        <w:rPr>
          <w:kern w:val="0"/>
        </w:rPr>
      </w:pPr>
      <w:r>
        <w:rPr>
          <w:rFonts w:hint="eastAsia"/>
          <w:kern w:val="0"/>
        </w:rPr>
        <w:t xml:space="preserve">? </w:t>
      </w:r>
      <w:r>
        <w:rPr>
          <w:kern w:val="0"/>
        </w:rPr>
        <w:t>Hasani-Ranjbar, S., Larijani, B.</w:t>
      </w:r>
      <w:r w:rsidR="005853A9">
        <w:rPr>
          <w:kern w:val="0"/>
        </w:rPr>
        <w:t xml:space="preserve"> and </w:t>
      </w:r>
      <w:r>
        <w:rPr>
          <w:kern w:val="0"/>
        </w:rPr>
        <w:t>Abdollah, M. (2008), A systematic review</w:t>
      </w:r>
      <w:r w:rsidR="00427468">
        <w:rPr>
          <w:kern w:val="0"/>
        </w:rPr>
        <w:t xml:space="preserve"> of </w:t>
      </w:r>
      <w:r>
        <w:rPr>
          <w:kern w:val="0"/>
        </w:rPr>
        <w:t xml:space="preserve">Iranian medicinal plants useful in diabetes mellitus. </w:t>
      </w:r>
      <w:r w:rsidRPr="004A7891">
        <w:rPr>
          <w:i/>
          <w:iCs/>
          <w:kern w:val="0"/>
        </w:rPr>
        <w:t>Archives</w:t>
      </w:r>
      <w:r w:rsidR="00427468">
        <w:rPr>
          <w:i/>
          <w:iCs/>
          <w:kern w:val="0"/>
        </w:rPr>
        <w:t xml:space="preserve"> of </w:t>
      </w:r>
      <w:r w:rsidRPr="004A7891">
        <w:rPr>
          <w:i/>
          <w:iCs/>
          <w:kern w:val="0"/>
        </w:rPr>
        <w:t>Medical Science</w:t>
      </w:r>
      <w:r>
        <w:rPr>
          <w:kern w:val="0"/>
        </w:rPr>
        <w:t xml:space="preserve">, </w:t>
      </w:r>
      <w:r>
        <w:rPr>
          <w:b/>
          <w:bCs/>
          <w:kern w:val="0"/>
        </w:rPr>
        <w:t>4</w:t>
      </w:r>
      <w:r>
        <w:rPr>
          <w:kern w:val="0"/>
        </w:rPr>
        <w:t xml:space="preserve"> (3), 285-292.</w:t>
      </w:r>
    </w:p>
    <w:p w:rsidR="004A7891" w:rsidRDefault="004A7891" w:rsidP="004A7891">
      <w:pPr>
        <w:pStyle w:val="a3"/>
        <w:rPr>
          <w:kern w:val="0"/>
        </w:rPr>
      </w:pPr>
      <w:r>
        <w:rPr>
          <w:kern w:val="0"/>
        </w:rPr>
        <w:t>Abstract: Introduction: This review focuses on</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Iranian medicinal plants found effective in</w:t>
      </w:r>
      <w:r w:rsidR="003A1917">
        <w:rPr>
          <w:kern w:val="0"/>
        </w:rPr>
        <w:t xml:space="preserve"> the </w:t>
      </w:r>
      <w:r>
        <w:rPr>
          <w:kern w:val="0"/>
        </w:rPr>
        <w:t>management</w:t>
      </w:r>
      <w:r w:rsidR="00427468">
        <w:rPr>
          <w:kern w:val="0"/>
        </w:rPr>
        <w:t xml:space="preserve"> of </w:t>
      </w:r>
      <w:r>
        <w:rPr>
          <w:kern w:val="0"/>
        </w:rPr>
        <w:t>diabetes in humans</w:t>
      </w:r>
      <w:r w:rsidR="005853A9">
        <w:rPr>
          <w:kern w:val="0"/>
        </w:rPr>
        <w:t xml:space="preserve"> and </w:t>
      </w:r>
      <w:r>
        <w:rPr>
          <w:kern w:val="0"/>
        </w:rPr>
        <w:t>animals. Material</w:t>
      </w:r>
      <w:r w:rsidR="005853A9">
        <w:rPr>
          <w:kern w:val="0"/>
        </w:rPr>
        <w:t xml:space="preserve"> and </w:t>
      </w:r>
      <w:r>
        <w:rPr>
          <w:kern w:val="0"/>
        </w:rPr>
        <w:t xml:space="preserve">methods: EMBASE, Scopus,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 Google Scholar,</w:t>
      </w:r>
      <w:r w:rsidR="005853A9">
        <w:rPr>
          <w:kern w:val="0"/>
        </w:rPr>
        <w:t xml:space="preserve"> and </w:t>
      </w:r>
      <w:r>
        <w:rPr>
          <w:kern w:val="0"/>
        </w:rPr>
        <w:t>IranMedex databases were searched up to 8 October 2007</w:t>
      </w:r>
      <w:r w:rsidR="00A37C1D">
        <w:rPr>
          <w:kern w:val="0"/>
        </w:rPr>
        <w:t>. The</w:t>
      </w:r>
      <w:r w:rsidR="003A1917">
        <w:rPr>
          <w:kern w:val="0"/>
        </w:rPr>
        <w:t xml:space="preserve"> </w:t>
      </w:r>
      <w:r>
        <w:rPr>
          <w:kern w:val="0"/>
        </w:rPr>
        <w:t xml:space="preserve">search terms were </w:t>
      </w:r>
      <w:r w:rsidR="00B5188C">
        <w:rPr>
          <w:kern w:val="0"/>
        </w:rPr>
        <w:t>“</w:t>
      </w:r>
      <w:r>
        <w:rPr>
          <w:kern w:val="0"/>
        </w:rPr>
        <w:t>diabetes</w:t>
      </w:r>
      <w:r w:rsidR="00B5188C">
        <w:rPr>
          <w:kern w:val="0"/>
        </w:rPr>
        <w:t>”</w:t>
      </w:r>
      <w:r w:rsidR="005853A9">
        <w:rPr>
          <w:kern w:val="0"/>
        </w:rPr>
        <w:t xml:space="preserve"> and </w:t>
      </w:r>
      <w:r w:rsidR="00B5188C">
        <w:rPr>
          <w:kern w:val="0"/>
        </w:rPr>
        <w:t>“</w:t>
      </w:r>
      <w:r>
        <w:rPr>
          <w:kern w:val="0"/>
        </w:rPr>
        <w:t>plant</w:t>
      </w:r>
      <w:r w:rsidR="00B5188C">
        <w:rPr>
          <w:kern w:val="0"/>
        </w:rPr>
        <w:t>”</w:t>
      </w:r>
      <w:r>
        <w:rPr>
          <w:kern w:val="0"/>
        </w:rPr>
        <w:t xml:space="preserve">, </w:t>
      </w:r>
      <w:r w:rsidR="00B5188C">
        <w:rPr>
          <w:kern w:val="0"/>
        </w:rPr>
        <w:t>“</w:t>
      </w:r>
      <w:r>
        <w:rPr>
          <w:kern w:val="0"/>
        </w:rPr>
        <w:t>herb</w:t>
      </w:r>
      <w:r w:rsidR="00B5188C">
        <w:rPr>
          <w:kern w:val="0"/>
        </w:rPr>
        <w:t>”</w:t>
      </w:r>
      <w:r>
        <w:rPr>
          <w:kern w:val="0"/>
        </w:rPr>
        <w:t xml:space="preserve">, </w:t>
      </w:r>
      <w:r w:rsidR="00B5188C">
        <w:rPr>
          <w:kern w:val="0"/>
        </w:rPr>
        <w:t>“</w:t>
      </w:r>
      <w:r>
        <w:rPr>
          <w:kern w:val="0"/>
        </w:rPr>
        <w:t>traditional</w:t>
      </w:r>
      <w:r w:rsidR="00B5188C">
        <w:rPr>
          <w:kern w:val="0"/>
        </w:rPr>
        <w:t>”</w:t>
      </w:r>
      <w:r>
        <w:rPr>
          <w:kern w:val="0"/>
        </w:rPr>
        <w:t>,</w:t>
      </w:r>
      <w:r w:rsidR="005853A9">
        <w:rPr>
          <w:kern w:val="0"/>
        </w:rPr>
        <w:t xml:space="preserve"> and </w:t>
      </w:r>
      <w:r w:rsidR="00B5188C">
        <w:rPr>
          <w:kern w:val="0"/>
        </w:rPr>
        <w:t>“</w:t>
      </w:r>
      <w:r>
        <w:rPr>
          <w:kern w:val="0"/>
        </w:rPr>
        <w:t>natural</w:t>
      </w:r>
      <w:r w:rsidR="00B5188C">
        <w:rPr>
          <w:kern w:val="0"/>
        </w:rPr>
        <w:t>”</w:t>
      </w:r>
      <w:r>
        <w:rPr>
          <w:kern w:val="0"/>
        </w:rPr>
        <w:t xml:space="preserve"> or </w:t>
      </w:r>
      <w:r w:rsidR="00B5188C">
        <w:rPr>
          <w:kern w:val="0"/>
        </w:rPr>
        <w:t>“</w:t>
      </w:r>
      <w:r>
        <w:rPr>
          <w:kern w:val="0"/>
        </w:rPr>
        <w:t>herbal medicine</w:t>
      </w:r>
      <w:r w:rsidR="00B5188C">
        <w:rPr>
          <w:kern w:val="0"/>
        </w:rPr>
        <w:t>”</w:t>
      </w:r>
      <w:r>
        <w:rPr>
          <w:kern w:val="0"/>
        </w:rPr>
        <w:t>, limited to Iran. All</w:t>
      </w:r>
      <w:r w:rsidR="00427468">
        <w:rPr>
          <w:kern w:val="0"/>
        </w:rPr>
        <w:t xml:space="preserve"> of </w:t>
      </w:r>
      <w:r w:rsidR="003A1917">
        <w:rPr>
          <w:kern w:val="0"/>
        </w:rPr>
        <w:t xml:space="preserve">the </w:t>
      </w:r>
      <w:r>
        <w:rPr>
          <w:kern w:val="0"/>
        </w:rPr>
        <w:t>human studies were included. Animal studies with</w:t>
      </w:r>
      <w:r w:rsidR="003A1917">
        <w:rPr>
          <w:kern w:val="0"/>
        </w:rPr>
        <w:t xml:space="preserve"> the </w:t>
      </w:r>
      <w:r>
        <w:rPr>
          <w:kern w:val="0"/>
        </w:rPr>
        <w:t>outcome</w:t>
      </w:r>
      <w:r w:rsidR="00427468">
        <w:rPr>
          <w:kern w:val="0"/>
        </w:rPr>
        <w:t xml:space="preserve"> of </w:t>
      </w:r>
      <w:r>
        <w:rPr>
          <w:kern w:val="0"/>
        </w:rPr>
        <w:t>blood glucose or serum lipids, antioxidant effect, changes in hepatic enzymes, anti-inflammatory effect, or vascular activity in diabetes were included. Studies performed on cell lines, reviews</w:t>
      </w:r>
      <w:r w:rsidR="005853A9">
        <w:rPr>
          <w:kern w:val="0"/>
        </w:rPr>
        <w:t xml:space="preserve"> and </w:t>
      </w:r>
      <w:r>
        <w:rPr>
          <w:kern w:val="0"/>
        </w:rPr>
        <w:t>letters to editors were excluded. Blood glucose</w:t>
      </w:r>
      <w:r w:rsidR="005853A9">
        <w:rPr>
          <w:kern w:val="0"/>
        </w:rPr>
        <w:t xml:space="preserve"> and </w:t>
      </w:r>
      <w:r>
        <w:rPr>
          <w:kern w:val="0"/>
        </w:rPr>
        <w:t>serum lipids were</w:t>
      </w:r>
      <w:r w:rsidR="003A1917">
        <w:rPr>
          <w:kern w:val="0"/>
        </w:rPr>
        <w:t xml:space="preserve"> the </w:t>
      </w:r>
      <w:r>
        <w:rPr>
          <w:kern w:val="0"/>
        </w:rPr>
        <w:t>key outcomes. Results: Twelve human studies were reviewed for efficacy</w:t>
      </w:r>
      <w:r w:rsidR="00427468">
        <w:rPr>
          <w:kern w:val="0"/>
        </w:rPr>
        <w:t xml:space="preserve"> of </w:t>
      </w:r>
      <w:r>
        <w:rPr>
          <w:kern w:val="0"/>
        </w:rPr>
        <w:t>plants</w:t>
      </w:r>
      <w:r w:rsidR="00A37C1D">
        <w:rPr>
          <w:kern w:val="0"/>
        </w:rPr>
        <w:t>. The</w:t>
      </w:r>
      <w:r>
        <w:rPr>
          <w:kern w:val="0"/>
        </w:rPr>
        <w:t>se studies showed significant decrease in blood glucose after treatment with Citrullus colocynthus L, Silybum marianum, Psyllium, Teucrium polium,</w:t>
      </w:r>
      <w:r w:rsidR="005853A9">
        <w:rPr>
          <w:kern w:val="0"/>
        </w:rPr>
        <w:t xml:space="preserve"> and </w:t>
      </w:r>
      <w:r>
        <w:rPr>
          <w:kern w:val="0"/>
        </w:rPr>
        <w:t>Pomegranate. Thirty-one animal studies were included showing Walnut leaf, Coriander, Pomegranate, Garlic, Satureja khuzestanica, Phlomis anisodonta, Trigonella foenum graecum, Olive (Oleo europaea L.), Capsicum frutescens, Achillea santolina, Aloe vera, Salvia officinalis, Anathum graveolens, Teucrium polium, Urtica dioica, Morus nigra, Morus alba, Salvia lenifolia benth leaf,</w:t>
      </w:r>
      <w:r w:rsidR="005853A9">
        <w:rPr>
          <w:kern w:val="0"/>
        </w:rPr>
        <w:t xml:space="preserve"> and </w:t>
      </w:r>
      <w:r>
        <w:rPr>
          <w:kern w:val="0"/>
        </w:rPr>
        <w:t>Cynara scolymus to be significantly effective in reduction</w:t>
      </w:r>
      <w:r w:rsidR="00427468">
        <w:rPr>
          <w:kern w:val="0"/>
        </w:rPr>
        <w:t xml:space="preserve"> of </w:t>
      </w:r>
      <w:r>
        <w:rPr>
          <w:kern w:val="0"/>
        </w:rPr>
        <w:t>blood glucose. Discussion:</w:t>
      </w:r>
      <w:r w:rsidR="003A1917">
        <w:rPr>
          <w:kern w:val="0"/>
        </w:rPr>
        <w:t xml:space="preserve"> the </w:t>
      </w:r>
      <w:r>
        <w:rPr>
          <w:kern w:val="0"/>
        </w:rPr>
        <w:t>present review indicates that some</w:t>
      </w:r>
      <w:r w:rsidR="00427468">
        <w:rPr>
          <w:kern w:val="0"/>
        </w:rPr>
        <w:t xml:space="preserve"> of </w:t>
      </w:r>
      <w:r>
        <w:rPr>
          <w:kern w:val="0"/>
        </w:rPr>
        <w:t>these plants (Citrullus colocynthus, Silybum marianum, Psyllium, Teucrium polium,</w:t>
      </w:r>
      <w:r w:rsidR="005853A9">
        <w:rPr>
          <w:kern w:val="0"/>
        </w:rPr>
        <w:t xml:space="preserve"> and </w:t>
      </w:r>
      <w:r>
        <w:rPr>
          <w:kern w:val="0"/>
        </w:rPr>
        <w:t>Pomegranate) improve blood hyperglycemia in humans somewhat more effectively than standard chemical drugs used in diabetes. Some</w:t>
      </w:r>
      <w:r w:rsidR="00427468">
        <w:rPr>
          <w:kern w:val="0"/>
        </w:rPr>
        <w:t xml:space="preserve"> of </w:t>
      </w:r>
      <w:r>
        <w:rPr>
          <w:kern w:val="0"/>
        </w:rPr>
        <w:t xml:space="preserve">these plants </w:t>
      </w:r>
      <w:r>
        <w:rPr>
          <w:kern w:val="0"/>
        </w:rPr>
        <w:lastRenderedPageBreak/>
        <w:t>(Garlic, Silybum marianum, Psyllium, Teucrium polium,</w:t>
      </w:r>
      <w:r w:rsidR="005853A9">
        <w:rPr>
          <w:kern w:val="0"/>
        </w:rPr>
        <w:t xml:space="preserve"> and </w:t>
      </w:r>
      <w:r>
        <w:rPr>
          <w:kern w:val="0"/>
        </w:rPr>
        <w:t>Pomegranate) were found to have anti-hyperlipidaemic properties</w:t>
      </w:r>
      <w:r w:rsidR="005853A9">
        <w:rPr>
          <w:kern w:val="0"/>
        </w:rPr>
        <w:t xml:space="preserve"> and </w:t>
      </w:r>
      <w:r>
        <w:rPr>
          <w:kern w:val="0"/>
        </w:rPr>
        <w:t>thus can be supplemented in diabetes. Conclusions: Special attention to these effective medicinal plants will lead us to obtain novel drugs in</w:t>
      </w:r>
      <w:r w:rsidR="003A1917">
        <w:rPr>
          <w:kern w:val="0"/>
        </w:rPr>
        <w:t xml:space="preserve"> the </w:t>
      </w:r>
      <w:r>
        <w:rPr>
          <w:kern w:val="0"/>
        </w:rPr>
        <w:t>management</w:t>
      </w:r>
      <w:r w:rsidR="00427468">
        <w:rPr>
          <w:kern w:val="0"/>
        </w:rPr>
        <w:t xml:space="preserve"> of </w:t>
      </w:r>
      <w:r>
        <w:rPr>
          <w:kern w:val="0"/>
        </w:rPr>
        <w:t>diabetes mellitus.</w:t>
      </w:r>
    </w:p>
    <w:p w:rsidR="004A7891" w:rsidRDefault="004A7891" w:rsidP="004A7891">
      <w:pPr>
        <w:pStyle w:val="a3"/>
        <w:rPr>
          <w:kern w:val="0"/>
        </w:rPr>
      </w:pPr>
      <w:r>
        <w:rPr>
          <w:kern w:val="0"/>
        </w:rPr>
        <w:t xml:space="preserve">Keywords: Attention, Blood, Databases, Diabetes, Diabetes Mellitus, Efficacy, EMBASE, Extracts, Ferula-Szovitsiana, Google Scholar, Herb, Herbal Medicine, Human, Humans, Hyperglycemia, In-Vivo, Insulin, Iran, Khuzestanica Essential Oil, L., Lead, Lipid-Peroxidation, Lipids, Management, Natural Medicine, Outcome, Outcomes, Plant, Plants, Pomegranate, </w:t>
      </w:r>
      <w:r w:rsidR="002C12F0">
        <w:rPr>
          <w:kern w:val="0"/>
        </w:rPr>
        <w:t>PUBMED</w:t>
      </w:r>
      <w:r>
        <w:rPr>
          <w:kern w:val="0"/>
        </w:rPr>
        <w:t xml:space="preserve">, Rats, Review, Safety, Science, SCOPUS, Serum Glucose, Systematic, Systematic Review, Traditional, Treatment, </w:t>
      </w:r>
      <w:r w:rsidR="00D5664A">
        <w:rPr>
          <w:kern w:val="0"/>
        </w:rPr>
        <w:t>Web</w:t>
      </w:r>
      <w:r w:rsidR="00427468">
        <w:rPr>
          <w:kern w:val="0"/>
        </w:rPr>
        <w:t xml:space="preserve"> of </w:t>
      </w:r>
      <w:r w:rsidR="00D5664A">
        <w:rPr>
          <w:kern w:val="0"/>
        </w:rPr>
        <w:t>Science</w:t>
      </w:r>
    </w:p>
    <w:p w:rsidR="004A7891" w:rsidRDefault="004A7891" w:rsidP="004A7891">
      <w:pPr>
        <w:pStyle w:val="a3"/>
        <w:rPr>
          <w:kern w:val="0"/>
        </w:rPr>
      </w:pPr>
      <w:r>
        <w:rPr>
          <w:rFonts w:hint="eastAsia"/>
          <w:kern w:val="0"/>
        </w:rPr>
        <w:t xml:space="preserve">? </w:t>
      </w:r>
      <w:r>
        <w:rPr>
          <w:kern w:val="0"/>
        </w:rPr>
        <w:t>Rezaie, A., Nikfar, S.</w:t>
      </w:r>
      <w:r w:rsidR="005853A9">
        <w:rPr>
          <w:kern w:val="0"/>
        </w:rPr>
        <w:t xml:space="preserve"> and </w:t>
      </w:r>
      <w:r>
        <w:rPr>
          <w:kern w:val="0"/>
        </w:rPr>
        <w:t>Abdollahi, M. (2010</w:t>
      </w:r>
      <w:r w:rsidR="00F42EAC">
        <w:rPr>
          <w:kern w:val="0"/>
        </w:rPr>
        <w:t>), The</w:t>
      </w:r>
      <w:r w:rsidR="003A1917">
        <w:rPr>
          <w:kern w:val="0"/>
        </w:rPr>
        <w:t xml:space="preserve"> </w:t>
      </w:r>
      <w:r>
        <w:rPr>
          <w:kern w:val="0"/>
        </w:rPr>
        <w:t>place</w:t>
      </w:r>
      <w:r w:rsidR="00427468">
        <w:rPr>
          <w:kern w:val="0"/>
        </w:rPr>
        <w:t xml:space="preserve"> of </w:t>
      </w:r>
      <w:r>
        <w:rPr>
          <w:kern w:val="0"/>
        </w:rPr>
        <w:t>antibiotics in management</w:t>
      </w:r>
      <w:r w:rsidR="00427468">
        <w:rPr>
          <w:kern w:val="0"/>
        </w:rPr>
        <w:t xml:space="preserve"> of </w:t>
      </w:r>
      <w:r>
        <w:rPr>
          <w:kern w:val="0"/>
        </w:rPr>
        <w:t>irritable bowel syndrome: A systematic review</w:t>
      </w:r>
      <w:r w:rsidR="005853A9">
        <w:rPr>
          <w:kern w:val="0"/>
        </w:rPr>
        <w:t xml:space="preserve"> and </w:t>
      </w:r>
      <w:r>
        <w:rPr>
          <w:kern w:val="0"/>
        </w:rPr>
        <w:t xml:space="preserve">meta-analysis. </w:t>
      </w:r>
      <w:r>
        <w:rPr>
          <w:i/>
          <w:iCs/>
          <w:kern w:val="0"/>
        </w:rPr>
        <w:t>Archives</w:t>
      </w:r>
      <w:r w:rsidR="00427468">
        <w:rPr>
          <w:i/>
          <w:iCs/>
          <w:kern w:val="0"/>
        </w:rPr>
        <w:t xml:space="preserve"> of </w:t>
      </w:r>
      <w:r>
        <w:rPr>
          <w:i/>
          <w:iCs/>
          <w:kern w:val="0"/>
        </w:rPr>
        <w:t>Medical Science</w:t>
      </w:r>
      <w:r>
        <w:rPr>
          <w:kern w:val="0"/>
        </w:rPr>
        <w:t xml:space="preserve">, </w:t>
      </w:r>
      <w:r>
        <w:rPr>
          <w:b/>
          <w:bCs/>
          <w:kern w:val="0"/>
        </w:rPr>
        <w:t>6</w:t>
      </w:r>
      <w:r>
        <w:rPr>
          <w:kern w:val="0"/>
        </w:rPr>
        <w:t xml:space="preserve"> (1), 49-55.</w:t>
      </w:r>
    </w:p>
    <w:p w:rsidR="004A7891" w:rsidRDefault="004A7891" w:rsidP="004A7891">
      <w:pPr>
        <w:pStyle w:val="a3"/>
        <w:rPr>
          <w:kern w:val="0"/>
        </w:rPr>
      </w:pPr>
      <w:r>
        <w:rPr>
          <w:kern w:val="0"/>
        </w:rPr>
        <w:t>Abstract: Introduction: Irritable bowel syndrome (IBS) is a prevalent gastrointestinal disease with an obscure pathophysiology Current treatments for IBS have modest efficacy at best</w:t>
      </w:r>
      <w:r w:rsidR="005853A9">
        <w:rPr>
          <w:kern w:val="0"/>
        </w:rPr>
        <w:t xml:space="preserve"> and </w:t>
      </w:r>
      <w:r w:rsidR="003A1917">
        <w:rPr>
          <w:kern w:val="0"/>
        </w:rPr>
        <w:t xml:space="preserve">the </w:t>
      </w:r>
      <w:r>
        <w:rPr>
          <w:kern w:val="0"/>
        </w:rPr>
        <w:t>need for a robust therapy for IBS remains unmet As small intestinal bacterial overgrowth has been proposed to be involved in pathogenesis</w:t>
      </w:r>
      <w:r w:rsidR="00427468">
        <w:rPr>
          <w:kern w:val="0"/>
        </w:rPr>
        <w:t xml:space="preserve"> of </w:t>
      </w:r>
      <w:r>
        <w:rPr>
          <w:kern w:val="0"/>
        </w:rPr>
        <w:t>IBS, antibacterial agents might be efficacious in treatment</w:t>
      </w:r>
      <w:r w:rsidR="00427468">
        <w:rPr>
          <w:kern w:val="0"/>
        </w:rPr>
        <w:t xml:space="preserve"> of </w:t>
      </w:r>
      <w:r>
        <w:rPr>
          <w:kern w:val="0"/>
        </w:rPr>
        <w:t>this condition Material</w:t>
      </w:r>
      <w:r w:rsidR="005853A9">
        <w:rPr>
          <w:kern w:val="0"/>
        </w:rPr>
        <w:t xml:space="preserve"> and </w:t>
      </w:r>
      <w:r>
        <w:rPr>
          <w:kern w:val="0"/>
        </w:rPr>
        <w:t xml:space="preserve">methods: </w:t>
      </w:r>
      <w:r w:rsidR="002C12F0">
        <w:rPr>
          <w:kern w:val="0"/>
        </w:rPr>
        <w:t>PUBMED</w:t>
      </w:r>
      <w:r>
        <w:rPr>
          <w:kern w:val="0"/>
        </w:rPr>
        <w:t xml:space="preserve">, EMBASE, Scopus, Google Scholar,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Cochrane Central Register</w:t>
      </w:r>
      <w:r w:rsidR="00427468">
        <w:rPr>
          <w:kern w:val="0"/>
        </w:rPr>
        <w:t xml:space="preserve"> of </w:t>
      </w:r>
      <w:r>
        <w:rPr>
          <w:kern w:val="0"/>
        </w:rPr>
        <w:t>Controlled Trials were searched for studies comparing</w:t>
      </w:r>
      <w:r w:rsidR="003A1917">
        <w:rPr>
          <w:kern w:val="0"/>
        </w:rPr>
        <w:t xml:space="preserve"> the </w:t>
      </w:r>
      <w:r>
        <w:rPr>
          <w:kern w:val="0"/>
        </w:rPr>
        <w:t>efficacy</w:t>
      </w:r>
      <w:r w:rsidR="00427468">
        <w:rPr>
          <w:kern w:val="0"/>
        </w:rPr>
        <w:t xml:space="preserve"> of </w:t>
      </w:r>
      <w:r>
        <w:rPr>
          <w:kern w:val="0"/>
        </w:rPr>
        <w:t>antibiotics in</w:t>
      </w:r>
      <w:r w:rsidR="003A1917">
        <w:rPr>
          <w:kern w:val="0"/>
        </w:rPr>
        <w:t xml:space="preserve"> the </w:t>
      </w:r>
      <w:r>
        <w:rPr>
          <w:kern w:val="0"/>
        </w:rPr>
        <w:t>management</w:t>
      </w:r>
      <w:r w:rsidR="00427468">
        <w:rPr>
          <w:kern w:val="0"/>
        </w:rPr>
        <w:t xml:space="preserve"> of </w:t>
      </w:r>
      <w:r>
        <w:rPr>
          <w:kern w:val="0"/>
        </w:rPr>
        <w:t>IBS and/or IBS type symptoms Data were collected from 1966 to April 2009 Clinical response was considered as our key outcome</w:t>
      </w:r>
      <w:r w:rsidR="00427468">
        <w:rPr>
          <w:kern w:val="0"/>
        </w:rPr>
        <w:t xml:space="preserve"> of </w:t>
      </w:r>
      <w:r>
        <w:rPr>
          <w:kern w:val="0"/>
        </w:rPr>
        <w:t>interest Results:</w:t>
      </w:r>
      <w:r w:rsidR="00427468">
        <w:rPr>
          <w:kern w:val="0"/>
        </w:rPr>
        <w:t xml:space="preserve"> of </w:t>
      </w:r>
      <w:r>
        <w:rPr>
          <w:kern w:val="0"/>
        </w:rPr>
        <w:t>five trials that evaluated</w:t>
      </w:r>
      <w:r w:rsidR="003A1917">
        <w:rPr>
          <w:kern w:val="0"/>
        </w:rPr>
        <w:t xml:space="preserve"> the </w:t>
      </w:r>
      <w:r>
        <w:rPr>
          <w:kern w:val="0"/>
        </w:rPr>
        <w:t>effect</w:t>
      </w:r>
      <w:r w:rsidR="00427468">
        <w:rPr>
          <w:kern w:val="0"/>
        </w:rPr>
        <w:t xml:space="preserve"> of </w:t>
      </w:r>
      <w:r>
        <w:rPr>
          <w:kern w:val="0"/>
        </w:rPr>
        <w:t>antibiotics in IBS, two randomized placebo-controlled trials met</w:t>
      </w:r>
      <w:r w:rsidR="003A1917">
        <w:rPr>
          <w:kern w:val="0"/>
        </w:rPr>
        <w:t xml:space="preserve"> the </w:t>
      </w:r>
      <w:r>
        <w:rPr>
          <w:kern w:val="0"/>
        </w:rPr>
        <w:t>inclusion criteria for</w:t>
      </w:r>
      <w:r w:rsidR="003A1917">
        <w:rPr>
          <w:kern w:val="0"/>
        </w:rPr>
        <w:t xml:space="preserve"> the </w:t>
      </w:r>
      <w:r>
        <w:rPr>
          <w:kern w:val="0"/>
        </w:rPr>
        <w:t>meta-analysis This meta-analysis included 234 patients with IBS-type symptoms</w:t>
      </w:r>
      <w:r w:rsidR="00427468">
        <w:rPr>
          <w:kern w:val="0"/>
        </w:rPr>
        <w:t xml:space="preserve"> of </w:t>
      </w:r>
      <w:r>
        <w:rPr>
          <w:kern w:val="0"/>
        </w:rPr>
        <w:t>whom 181 met</w:t>
      </w:r>
      <w:r w:rsidR="003A1917">
        <w:rPr>
          <w:kern w:val="0"/>
        </w:rPr>
        <w:t xml:space="preserve"> the </w:t>
      </w:r>
      <w:r>
        <w:rPr>
          <w:kern w:val="0"/>
        </w:rPr>
        <w:t>Rome criteria for IBS</w:t>
      </w:r>
      <w:r w:rsidR="003A1917">
        <w:rPr>
          <w:kern w:val="0"/>
        </w:rPr>
        <w:t xml:space="preserve"> the </w:t>
      </w:r>
      <w:r>
        <w:rPr>
          <w:kern w:val="0"/>
        </w:rPr>
        <w:t xml:space="preserve">pooled relative risk (RR) for </w:t>
      </w:r>
      <w:r w:rsidR="00B5188C">
        <w:rPr>
          <w:kern w:val="0"/>
        </w:rPr>
        <w:t>“</w:t>
      </w:r>
      <w:r>
        <w:rPr>
          <w:kern w:val="0"/>
        </w:rPr>
        <w:t>clinical response in IBS</w:t>
      </w:r>
      <w:r w:rsidR="00B5188C">
        <w:rPr>
          <w:kern w:val="0"/>
        </w:rPr>
        <w:t>”</w:t>
      </w:r>
      <w:r>
        <w:rPr>
          <w:kern w:val="0"/>
        </w:rPr>
        <w:t xml:space="preserve"> was 204 (95% confidence interval [Cl]</w:t>
      </w:r>
      <w:r w:rsidR="00427468">
        <w:rPr>
          <w:kern w:val="0"/>
        </w:rPr>
        <w:t xml:space="preserve"> of </w:t>
      </w:r>
      <w:r>
        <w:rPr>
          <w:kern w:val="0"/>
        </w:rPr>
        <w:t>123-3.40, p = 00061)</w:t>
      </w:r>
      <w:r w:rsidR="00A37C1D">
        <w:rPr>
          <w:kern w:val="0"/>
        </w:rPr>
        <w:t>. The</w:t>
      </w:r>
      <w:r w:rsidR="003A1917">
        <w:rPr>
          <w:kern w:val="0"/>
        </w:rPr>
        <w:t xml:space="preserve"> </w:t>
      </w:r>
      <w:r>
        <w:rPr>
          <w:kern w:val="0"/>
        </w:rPr>
        <w:t xml:space="preserve">pooled RR for </w:t>
      </w:r>
      <w:r w:rsidR="00B5188C">
        <w:rPr>
          <w:kern w:val="0"/>
        </w:rPr>
        <w:t>“</w:t>
      </w:r>
      <w:r>
        <w:rPr>
          <w:kern w:val="0"/>
        </w:rPr>
        <w:t>clinical response in IBS-type symptoms</w:t>
      </w:r>
      <w:r w:rsidR="00B5188C">
        <w:rPr>
          <w:kern w:val="0"/>
        </w:rPr>
        <w:t>”</w:t>
      </w:r>
      <w:r>
        <w:rPr>
          <w:kern w:val="0"/>
        </w:rPr>
        <w:t xml:space="preserve"> was 2 06 (95% Cl</w:t>
      </w:r>
      <w:r w:rsidR="00427468">
        <w:rPr>
          <w:kern w:val="0"/>
        </w:rPr>
        <w:t xml:space="preserve"> of </w:t>
      </w:r>
      <w:r>
        <w:rPr>
          <w:kern w:val="0"/>
        </w:rPr>
        <w:t>13-3.27, p = 0 002) Conclusions: Although antibiotics have a statistically significant effect on IBS</w:t>
      </w:r>
      <w:r w:rsidR="005853A9">
        <w:rPr>
          <w:kern w:val="0"/>
        </w:rPr>
        <w:t xml:space="preserve"> and </w:t>
      </w:r>
      <w:r>
        <w:rPr>
          <w:kern w:val="0"/>
        </w:rPr>
        <w:t>bloating, given</w:t>
      </w:r>
      <w:r w:rsidR="003A1917">
        <w:rPr>
          <w:kern w:val="0"/>
        </w:rPr>
        <w:t xml:space="preserve"> the </w:t>
      </w:r>
      <w:r>
        <w:rPr>
          <w:kern w:val="0"/>
        </w:rPr>
        <w:t>evidence for</w:t>
      </w:r>
      <w:r w:rsidR="003A1917">
        <w:rPr>
          <w:kern w:val="0"/>
        </w:rPr>
        <w:t xml:space="preserve"> the </w:t>
      </w:r>
      <w:r>
        <w:rPr>
          <w:kern w:val="0"/>
        </w:rPr>
        <w:t>presence</w:t>
      </w:r>
      <w:r w:rsidR="00427468">
        <w:rPr>
          <w:kern w:val="0"/>
        </w:rPr>
        <w:t xml:space="preserve"> of </w:t>
      </w:r>
      <w:r>
        <w:rPr>
          <w:kern w:val="0"/>
        </w:rPr>
        <w:t>publication bias, methodological variability</w:t>
      </w:r>
      <w:r w:rsidR="00427468">
        <w:rPr>
          <w:kern w:val="0"/>
        </w:rPr>
        <w:t xml:space="preserve"> of </w:t>
      </w:r>
      <w:r w:rsidR="003A1917">
        <w:rPr>
          <w:kern w:val="0"/>
        </w:rPr>
        <w:t xml:space="preserve">the </w:t>
      </w:r>
      <w:r>
        <w:rPr>
          <w:kern w:val="0"/>
        </w:rPr>
        <w:t>trials</w:t>
      </w:r>
      <w:r w:rsidR="005853A9">
        <w:rPr>
          <w:kern w:val="0"/>
        </w:rPr>
        <w:t xml:space="preserve"> and </w:t>
      </w:r>
      <w:r>
        <w:rPr>
          <w:kern w:val="0"/>
        </w:rPr>
        <w:t>lack</w:t>
      </w:r>
      <w:r w:rsidR="00427468">
        <w:rPr>
          <w:kern w:val="0"/>
        </w:rPr>
        <w:t xml:space="preserve"> of </w:t>
      </w:r>
      <w:r>
        <w:rPr>
          <w:kern w:val="0"/>
        </w:rPr>
        <w:t>a precise scientific explanation for</w:t>
      </w:r>
      <w:r w:rsidR="003A1917">
        <w:rPr>
          <w:kern w:val="0"/>
        </w:rPr>
        <w:t xml:space="preserve"> the </w:t>
      </w:r>
      <w:r>
        <w:rPr>
          <w:kern w:val="0"/>
        </w:rPr>
        <w:t>role</w:t>
      </w:r>
      <w:r w:rsidR="00427468">
        <w:rPr>
          <w:kern w:val="0"/>
        </w:rPr>
        <w:t xml:space="preserve"> of </w:t>
      </w:r>
      <w:r>
        <w:rPr>
          <w:kern w:val="0"/>
        </w:rPr>
        <w:t>bacterial overgrowth in</w:t>
      </w:r>
      <w:r w:rsidR="003A1917">
        <w:rPr>
          <w:kern w:val="0"/>
        </w:rPr>
        <w:t xml:space="preserve"> the </w:t>
      </w:r>
      <w:r>
        <w:rPr>
          <w:kern w:val="0"/>
        </w:rPr>
        <w:t>pathophysiology</w:t>
      </w:r>
      <w:r w:rsidR="00427468">
        <w:rPr>
          <w:kern w:val="0"/>
        </w:rPr>
        <w:t xml:space="preserve"> of </w:t>
      </w:r>
      <w:r>
        <w:rPr>
          <w:kern w:val="0"/>
        </w:rPr>
        <w:t>IBS, use</w:t>
      </w:r>
      <w:r w:rsidR="00427468">
        <w:rPr>
          <w:kern w:val="0"/>
        </w:rPr>
        <w:t xml:space="preserve"> of </w:t>
      </w:r>
      <w:r>
        <w:rPr>
          <w:kern w:val="0"/>
        </w:rPr>
        <w:t>antibiotics on a regular basis in IBS patients is not recommended.</w:t>
      </w:r>
    </w:p>
    <w:p w:rsidR="004A7891" w:rsidRDefault="004A7891" w:rsidP="004A7891">
      <w:pPr>
        <w:pStyle w:val="a3"/>
        <w:rPr>
          <w:kern w:val="0"/>
        </w:rPr>
      </w:pPr>
      <w:r>
        <w:rPr>
          <w:kern w:val="0"/>
        </w:rPr>
        <w:t xml:space="preserve">Keywords: Antibiotics, Bias, Bloating, Cochrane, Controlled-Trials, Disease, Double-Blind, Efficacy, Gastrointestinal, Google Scholar, Healthy Controls, Interest, Intestinal Bacterial Overgrowth, Irritable Bowel Syndrome, Management, Meta-Analysis, Microbiota, Outcome, Pathogenesis, Probiotics, Publication, Publication Bias, </w:t>
      </w:r>
      <w:r w:rsidR="002C12F0">
        <w:rPr>
          <w:kern w:val="0"/>
        </w:rPr>
        <w:t>PUBMED</w:t>
      </w:r>
      <w:r>
        <w:rPr>
          <w:kern w:val="0"/>
        </w:rPr>
        <w:t xml:space="preserve">, Relative Risk, Review, Rifaximin, Risk, Science, </w:t>
      </w:r>
      <w:r>
        <w:rPr>
          <w:kern w:val="0"/>
        </w:rPr>
        <w:lastRenderedPageBreak/>
        <w:t xml:space="preserve">Scopus, Symptoms, Systematic, Systematic Review, Therapy, Treatment, Variability,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587" w:name="_Toc420814582"/>
      <w:r w:rsidRPr="001A3D2B">
        <w:lastRenderedPageBreak/>
        <w:t>Title: Archives</w:t>
      </w:r>
      <w:r w:rsidR="00427468">
        <w:t xml:space="preserve"> of </w:t>
      </w:r>
      <w:r w:rsidRPr="001A3D2B">
        <w:t>Neurology</w:t>
      </w:r>
      <w:bookmarkEnd w:id="587"/>
    </w:p>
    <w:p w:rsidR="003474F2" w:rsidRPr="001A3D2B" w:rsidRDefault="003474F2" w:rsidP="003474F2">
      <w:pPr>
        <w:pStyle w:val="12"/>
      </w:pPr>
      <w:r w:rsidRPr="001A3D2B">
        <w:t xml:space="preserve">Full Journal Title: </w:t>
      </w:r>
      <w:hyperlink r:id="rId1144" w:history="1">
        <w:r w:rsidRPr="001A3D2B">
          <w:rPr>
            <w:rStyle w:val="a5"/>
          </w:rPr>
          <w:t>Archives</w:t>
        </w:r>
        <w:r w:rsidR="00427468">
          <w:rPr>
            <w:rStyle w:val="a5"/>
          </w:rPr>
          <w:t xml:space="preserve"> of </w:t>
        </w:r>
        <w:r w:rsidRPr="001A3D2B">
          <w:rPr>
            <w:rStyle w:val="a5"/>
          </w:rPr>
          <w:t>Neurology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4A7891" w:rsidRDefault="004A7891" w:rsidP="004A7891">
      <w:pPr>
        <w:pStyle w:val="a3"/>
        <w:rPr>
          <w:kern w:val="0"/>
        </w:rPr>
      </w:pPr>
      <w:r>
        <w:rPr>
          <w:rFonts w:hint="eastAsia"/>
          <w:kern w:val="0"/>
        </w:rPr>
        <w:t xml:space="preserve">? </w:t>
      </w:r>
      <w:r>
        <w:rPr>
          <w:kern w:val="0"/>
        </w:rPr>
        <w:t>Huang, X.M., Chen, P., Kaufer, D.I., Troster, A.I.</w:t>
      </w:r>
      <w:r w:rsidR="005853A9">
        <w:rPr>
          <w:kern w:val="0"/>
        </w:rPr>
        <w:t xml:space="preserve"> and </w:t>
      </w:r>
      <w:r>
        <w:rPr>
          <w:kern w:val="0"/>
        </w:rPr>
        <w:t>Poole, C. (2006), Apolipoprotein E</w:t>
      </w:r>
      <w:r w:rsidR="005853A9">
        <w:rPr>
          <w:kern w:val="0"/>
        </w:rPr>
        <w:t xml:space="preserve"> and </w:t>
      </w:r>
      <w:r>
        <w:rPr>
          <w:kern w:val="0"/>
        </w:rPr>
        <w:t xml:space="preserve">dementia in Parkinson disease: A meta-analysis. </w:t>
      </w:r>
      <w:r>
        <w:rPr>
          <w:i/>
          <w:iCs/>
          <w:kern w:val="0"/>
        </w:rPr>
        <w:t>Archives</w:t>
      </w:r>
      <w:r w:rsidR="00427468">
        <w:rPr>
          <w:i/>
          <w:iCs/>
          <w:kern w:val="0"/>
        </w:rPr>
        <w:t xml:space="preserve"> of </w:t>
      </w:r>
      <w:r>
        <w:rPr>
          <w:i/>
          <w:iCs/>
          <w:kern w:val="0"/>
        </w:rPr>
        <w:t>Neurology</w:t>
      </w:r>
      <w:r>
        <w:rPr>
          <w:kern w:val="0"/>
        </w:rPr>
        <w:t xml:space="preserve">, </w:t>
      </w:r>
      <w:r>
        <w:rPr>
          <w:b/>
          <w:bCs/>
          <w:kern w:val="0"/>
        </w:rPr>
        <w:t>63</w:t>
      </w:r>
      <w:r>
        <w:rPr>
          <w:kern w:val="0"/>
        </w:rPr>
        <w:t xml:space="preserve"> (2), 189-193.</w:t>
      </w:r>
    </w:p>
    <w:p w:rsidR="000F3530" w:rsidRDefault="000F3530" w:rsidP="000F3530">
      <w:pPr>
        <w:pStyle w:val="a3"/>
        <w:rPr>
          <w:kern w:val="0"/>
        </w:rPr>
      </w:pPr>
      <w:r>
        <w:rPr>
          <w:rFonts w:hint="eastAsia"/>
          <w:kern w:val="0"/>
        </w:rPr>
        <w:t>Full Text:</w:t>
      </w:r>
      <w:r w:rsidRPr="00153151">
        <w:rPr>
          <w:kern w:val="0"/>
        </w:rPr>
        <w:t xml:space="preserve"> </w:t>
      </w:r>
      <w:hyperlink r:id="rId1145" w:history="1">
        <w:r w:rsidRPr="00153151">
          <w:rPr>
            <w:rStyle w:val="a5"/>
            <w:kern w:val="0"/>
          </w:rPr>
          <w:t>2006\Arc Neu63, 189.pdf</w:t>
        </w:r>
      </w:hyperlink>
    </w:p>
    <w:p w:rsidR="004A7891" w:rsidRDefault="004A7891" w:rsidP="004A7891">
      <w:pPr>
        <w:pStyle w:val="a3"/>
        <w:rPr>
          <w:kern w:val="0"/>
        </w:rPr>
      </w:pPr>
      <w:r>
        <w:rPr>
          <w:kern w:val="0"/>
        </w:rPr>
        <w:t>Abstract: Objective: To understand</w:t>
      </w:r>
      <w:r w:rsidR="003A1917">
        <w:rPr>
          <w:kern w:val="0"/>
        </w:rPr>
        <w:t xml:space="preserve"> the </w:t>
      </w:r>
      <w:r>
        <w:rPr>
          <w:kern w:val="0"/>
        </w:rPr>
        <w:t>relationship</w:t>
      </w:r>
      <w:r w:rsidR="00427468">
        <w:rPr>
          <w:kern w:val="0"/>
        </w:rPr>
        <w:t xml:space="preserve"> of </w:t>
      </w:r>
      <w:r>
        <w:rPr>
          <w:kern w:val="0"/>
        </w:rPr>
        <w:t>apolipoprotein E (APOE) polymorphism to dementia in Parkinson disease (PD) because</w:t>
      </w:r>
      <w:r w:rsidR="003A1917">
        <w:rPr>
          <w:kern w:val="0"/>
        </w:rPr>
        <w:t xml:space="preserve"> the </w:t>
      </w:r>
      <w:r>
        <w:rPr>
          <w:kern w:val="0"/>
        </w:rPr>
        <w:t xml:space="preserve">APOE epsilon 4 allele is linked to Alzheimer disease. Data Source: We reviewed </w:t>
      </w:r>
      <w:r w:rsidR="00D5664A">
        <w:rPr>
          <w:kern w:val="0"/>
        </w:rPr>
        <w:t>MEDLINE</w:t>
      </w:r>
      <w:r>
        <w:rPr>
          <w:kern w:val="0"/>
        </w:rPr>
        <w:t>, BIOSIS Previews,</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from January 1, 1966, to May 7, 2004, supplemented by citation analysis from retrieved articles. Study Selection: Case-control studies using clinical or pathologic criteria for PD</w:t>
      </w:r>
      <w:r w:rsidR="005853A9">
        <w:rPr>
          <w:kern w:val="0"/>
        </w:rPr>
        <w:t xml:space="preserve"> and </w:t>
      </w:r>
      <w:r>
        <w:rPr>
          <w:kern w:val="0"/>
        </w:rPr>
        <w:t>dementia,</w:t>
      </w:r>
      <w:r w:rsidR="005853A9">
        <w:rPr>
          <w:kern w:val="0"/>
        </w:rPr>
        <w:t xml:space="preserve"> and </w:t>
      </w:r>
      <w:r>
        <w:rPr>
          <w:kern w:val="0"/>
        </w:rPr>
        <w:t>with complete APOE genotype frequencies data. Data Extraction: We compared estimated prevalence odds ratios for dementia in PD in relation to each allele. We also looked for evidence</w:t>
      </w:r>
      <w:r w:rsidR="00427468">
        <w:rPr>
          <w:kern w:val="0"/>
        </w:rPr>
        <w:t xml:space="preserve"> of </w:t>
      </w:r>
      <w:r>
        <w:rPr>
          <w:kern w:val="0"/>
        </w:rPr>
        <w:t>heterogeneity</w:t>
      </w:r>
      <w:r w:rsidR="005853A9">
        <w:rPr>
          <w:kern w:val="0"/>
        </w:rPr>
        <w:t xml:space="preserve"> and </w:t>
      </w:r>
      <w:r>
        <w:rPr>
          <w:kern w:val="0"/>
        </w:rPr>
        <w:t>publication bias</w:t>
      </w:r>
      <w:r w:rsidR="005853A9">
        <w:rPr>
          <w:kern w:val="0"/>
        </w:rPr>
        <w:t xml:space="preserve"> and </w:t>
      </w:r>
      <w:r>
        <w:rPr>
          <w:kern w:val="0"/>
        </w:rPr>
        <w:t>performed a stratified analysis on several study characteristics. Data Synthesis: Data analyses suggest publication bias</w:t>
      </w:r>
      <w:r w:rsidR="005853A9">
        <w:rPr>
          <w:kern w:val="0"/>
        </w:rPr>
        <w:t xml:space="preserve"> and </w:t>
      </w:r>
      <w:r>
        <w:rPr>
          <w:kern w:val="0"/>
        </w:rPr>
        <w:t>heterogeneity</w:t>
      </w:r>
      <w:r w:rsidR="00427468">
        <w:rPr>
          <w:kern w:val="0"/>
        </w:rPr>
        <w:t xml:space="preserve"> of </w:t>
      </w:r>
      <w:r>
        <w:rPr>
          <w:kern w:val="0"/>
        </w:rPr>
        <w:t>source data for</w:t>
      </w:r>
      <w:r w:rsidR="003A1917">
        <w:rPr>
          <w:kern w:val="0"/>
        </w:rPr>
        <w:t xml:space="preserve"> the </w:t>
      </w:r>
      <w:r>
        <w:rPr>
          <w:kern w:val="0"/>
        </w:rPr>
        <w:t>epsilon 4 allele (homogeneity P = .2; Begg</w:t>
      </w:r>
      <w:r w:rsidR="005853A9">
        <w:rPr>
          <w:kern w:val="0"/>
        </w:rPr>
        <w:t xml:space="preserve"> and </w:t>
      </w:r>
      <w:r>
        <w:rPr>
          <w:kern w:val="0"/>
        </w:rPr>
        <w:t>Mazumdar, P = .06;</w:t>
      </w:r>
      <w:r w:rsidR="005853A9">
        <w:rPr>
          <w:kern w:val="0"/>
        </w:rPr>
        <w:t xml:space="preserve"> and </w:t>
      </w:r>
      <w:r>
        <w:rPr>
          <w:kern w:val="0"/>
        </w:rPr>
        <w:t>Egger et al, P =. 1)</w:t>
      </w:r>
      <w:r w:rsidR="00A37C1D">
        <w:rPr>
          <w:kern w:val="0"/>
        </w:rPr>
        <w:t>. The</w:t>
      </w:r>
      <w:r w:rsidR="003A1917">
        <w:rPr>
          <w:kern w:val="0"/>
        </w:rPr>
        <w:t xml:space="preserve"> </w:t>
      </w:r>
      <w:r>
        <w:rPr>
          <w:kern w:val="0"/>
        </w:rPr>
        <w:t>estimated odds ratios for development</w:t>
      </w:r>
      <w:r w:rsidR="00427468">
        <w:rPr>
          <w:kern w:val="0"/>
        </w:rPr>
        <w:t xml:space="preserve"> of </w:t>
      </w:r>
      <w:r>
        <w:rPr>
          <w:kern w:val="0"/>
        </w:rPr>
        <w:t>dementia in PD are 1.6 for epsilon 4 (95% confidence interval, 1.0-2.5); 1.3 for epsilon 2 (95% confidence interval, 0.73-2.4);</w:t>
      </w:r>
      <w:r w:rsidR="005853A9">
        <w:rPr>
          <w:kern w:val="0"/>
        </w:rPr>
        <w:t xml:space="preserve"> and </w:t>
      </w:r>
      <w:r>
        <w:rPr>
          <w:kern w:val="0"/>
        </w:rPr>
        <w:t>0.54 for epsilon 3 (95% confidence interval, 0.18-1.6)</w:t>
      </w:r>
      <w:r w:rsidR="00A37C1D">
        <w:rPr>
          <w:kern w:val="0"/>
        </w:rPr>
        <w:t>. The</w:t>
      </w:r>
      <w:r w:rsidR="003A1917">
        <w:rPr>
          <w:kern w:val="0"/>
        </w:rPr>
        <w:t xml:space="preserve"> </w:t>
      </w:r>
      <w:r>
        <w:rPr>
          <w:kern w:val="0"/>
        </w:rPr>
        <w:t>odds ratio estimates for epsilon 4 were higher for studies published in 1996 or later (2.3 vs 1.0)</w:t>
      </w:r>
      <w:r w:rsidR="005853A9">
        <w:rPr>
          <w:kern w:val="0"/>
        </w:rPr>
        <w:t xml:space="preserve"> and </w:t>
      </w:r>
      <w:r>
        <w:rPr>
          <w:kern w:val="0"/>
        </w:rPr>
        <w:t>for studies conducted outside North American sites (2.4 vs 1. 2). Conclusions:</w:t>
      </w:r>
      <w:r w:rsidR="003A1917">
        <w:rPr>
          <w:kern w:val="0"/>
        </w:rPr>
        <w:t xml:space="preserve"> the </w:t>
      </w:r>
      <w:r>
        <w:rPr>
          <w:kern w:val="0"/>
        </w:rPr>
        <w:t>APOE epsilon 4 allele appears to be associated with a higher prevalence</w:t>
      </w:r>
      <w:r w:rsidR="00427468">
        <w:rPr>
          <w:kern w:val="0"/>
        </w:rPr>
        <w:t xml:space="preserve"> of </w:t>
      </w:r>
      <w:r>
        <w:rPr>
          <w:kern w:val="0"/>
        </w:rPr>
        <w:t>dementia in PD. Publication bias</w:t>
      </w:r>
      <w:r w:rsidR="005853A9">
        <w:rPr>
          <w:kern w:val="0"/>
        </w:rPr>
        <w:t xml:space="preserve"> and </w:t>
      </w:r>
      <w:r>
        <w:rPr>
          <w:kern w:val="0"/>
        </w:rPr>
        <w:t>heterogeneous source data may, however, confound this conclusion. Confirmatory studies that use standardized</w:t>
      </w:r>
      <w:r w:rsidR="005853A9">
        <w:rPr>
          <w:kern w:val="0"/>
        </w:rPr>
        <w:t xml:space="preserve"> and </w:t>
      </w:r>
      <w:r>
        <w:rPr>
          <w:kern w:val="0"/>
        </w:rPr>
        <w:t>validated diagnostic criteria for dementia in PD are needed.</w:t>
      </w:r>
    </w:p>
    <w:p w:rsidR="004A7891" w:rsidRDefault="004A7891" w:rsidP="004A7891">
      <w:pPr>
        <w:pStyle w:val="a3"/>
        <w:rPr>
          <w:kern w:val="0"/>
        </w:rPr>
      </w:pPr>
      <w:r>
        <w:rPr>
          <w:kern w:val="0"/>
        </w:rPr>
        <w:lastRenderedPageBreak/>
        <w:t>Keywords: Age, Alzheimer, Alzheimers-Disease, Analysis, Apolipoprotein E, Association, Bias, Citation, Citation Analysis, Dementia, Development, Diagnosis, Disease, E Genotype, Epsilon-4 Allele, Extraction, Graphical Test</w:t>
      </w:r>
      <w:r w:rsidR="00D5664A">
        <w:rPr>
          <w:kern w:val="0"/>
        </w:rPr>
        <w:t>, ISI,</w:t>
      </w:r>
      <w:r>
        <w:rPr>
          <w:kern w:val="0"/>
        </w:rPr>
        <w:t xml:space="preserve"> </w:t>
      </w:r>
      <w:r w:rsidR="00D5664A">
        <w:rPr>
          <w:kern w:val="0"/>
        </w:rPr>
        <w:t>MEDLINE</w:t>
      </w:r>
      <w:r>
        <w:rPr>
          <w:kern w:val="0"/>
        </w:rPr>
        <w:t xml:space="preserve">, Meta-Analysis, Onset, Polymorphism, Prevalence, Publication, Publication Bias, Ratio, Risk, Science,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t>? Owolabi, M.O., Bower, J.H.</w:t>
      </w:r>
      <w:r w:rsidR="005853A9">
        <w:t xml:space="preserve"> and </w:t>
      </w:r>
      <w:r w:rsidRPr="001A3D2B">
        <w:t>Ogunniyi, A. (2007), Mapping Africa</w:t>
      </w:r>
      <w:r w:rsidR="00700038">
        <w:t>’</w:t>
      </w:r>
      <w:r w:rsidR="00C13DDC">
        <w:t>s</w:t>
      </w:r>
      <w:r w:rsidRPr="001A3D2B">
        <w:t xml:space="preserve"> way into prominence in</w:t>
      </w:r>
      <w:r w:rsidR="003A1917">
        <w:t xml:space="preserve"> the </w:t>
      </w:r>
      <w:r w:rsidRPr="001A3D2B">
        <w:t>field</w:t>
      </w:r>
      <w:r w:rsidR="00427468">
        <w:t xml:space="preserve"> of </w:t>
      </w:r>
      <w:r w:rsidRPr="001A3D2B">
        <w:t xml:space="preserve">neurology. </w:t>
      </w:r>
      <w:r w:rsidRPr="001A3D2B">
        <w:rPr>
          <w:i/>
          <w:iCs/>
        </w:rPr>
        <w:t>Archives</w:t>
      </w:r>
      <w:r w:rsidR="00427468">
        <w:rPr>
          <w:i/>
          <w:iCs/>
        </w:rPr>
        <w:t xml:space="preserve"> of </w:t>
      </w:r>
      <w:r w:rsidRPr="001A3D2B">
        <w:rPr>
          <w:i/>
          <w:iCs/>
        </w:rPr>
        <w:t>Neurology</w:t>
      </w:r>
      <w:r w:rsidRPr="001A3D2B">
        <w:t xml:space="preserve">, </w:t>
      </w:r>
      <w:r w:rsidRPr="001A3D2B">
        <w:rPr>
          <w:b/>
          <w:bCs/>
        </w:rPr>
        <w:t>64</w:t>
      </w:r>
      <w:r w:rsidRPr="001A3D2B">
        <w:t>, 1696-1700.</w:t>
      </w:r>
    </w:p>
    <w:p w:rsidR="003474F2" w:rsidRPr="001A3D2B" w:rsidRDefault="003474F2" w:rsidP="003474F2">
      <w:pPr>
        <w:pStyle w:val="a3"/>
      </w:pPr>
      <w:r w:rsidRPr="001A3D2B">
        <w:t xml:space="preserve">Full Text: </w:t>
      </w:r>
      <w:hyperlink r:id="rId1146" w:history="1">
        <w:r w:rsidRPr="001A3D2B">
          <w:rPr>
            <w:rStyle w:val="a5"/>
          </w:rPr>
          <w:t>2007\Arc Neu64, 1696.pdf</w:t>
        </w:r>
      </w:hyperlink>
    </w:p>
    <w:p w:rsidR="003474F2" w:rsidRPr="001A3D2B" w:rsidRDefault="003474F2" w:rsidP="003474F2">
      <w:pPr>
        <w:pStyle w:val="a3"/>
      </w:pPr>
      <w:r w:rsidRPr="001A3D2B">
        <w:t>Abstract: Although neurology originated in Africa, there is little modern African contribution to</w:t>
      </w:r>
      <w:r w:rsidR="003A1917">
        <w:t xml:space="preserve"> the </w:t>
      </w:r>
      <w:r w:rsidRPr="001A3D2B">
        <w:t>advancement</w:t>
      </w:r>
      <w:r w:rsidR="00427468">
        <w:t xml:space="preserve"> of </w:t>
      </w:r>
      <w:r w:rsidRPr="001A3D2B">
        <w:t>knowledge in this field. We present</w:t>
      </w:r>
      <w:r w:rsidR="003A1917">
        <w:t xml:space="preserve"> the </w:t>
      </w:r>
      <w:r w:rsidRPr="001A3D2B">
        <w:t>African neurologic service</w:t>
      </w:r>
      <w:r w:rsidR="005853A9">
        <w:t xml:space="preserve"> and </w:t>
      </w:r>
      <w:r w:rsidRPr="001A3D2B">
        <w:t>scientific productivity indices</w:t>
      </w:r>
      <w:r w:rsidR="005853A9">
        <w:t xml:space="preserve"> and </w:t>
      </w:r>
      <w:r w:rsidRPr="001A3D2B">
        <w:t xml:space="preserve">suggest a development plan. We conducted </w:t>
      </w:r>
      <w:r w:rsidR="002C12F0">
        <w:t>PUBMED</w:t>
      </w:r>
      <w:r w:rsidR="005853A9">
        <w:t xml:space="preserve"> and </w:t>
      </w:r>
      <w:r w:rsidRPr="001A3D2B">
        <w:t>EMBASE searches for articles about neurologic services in Africa. To assess scientific productivity, we determined</w:t>
      </w:r>
      <w:r w:rsidR="003A1917">
        <w:t xml:space="preserve"> the </w:t>
      </w:r>
      <w:r w:rsidRPr="001A3D2B">
        <w:t>number</w:t>
      </w:r>
      <w:r w:rsidR="00427468">
        <w:t xml:space="preserve"> of </w:t>
      </w:r>
      <w:r w:rsidRPr="001A3D2B">
        <w:t>publications</w:t>
      </w:r>
      <w:r w:rsidR="00427468">
        <w:t xml:space="preserve"> of </w:t>
      </w:r>
      <w:r w:rsidRPr="001A3D2B">
        <w:t>African origin in journals with high impact</w:t>
      </w:r>
      <w:r w:rsidR="00A37C1D">
        <w:t>. The</w:t>
      </w:r>
      <w:r w:rsidR="003A1917">
        <w:t xml:space="preserve"> </w:t>
      </w:r>
      <w:r w:rsidRPr="001A3D2B">
        <w:t>neurologist-population ratio in African countries varies from 1 per 162 885 persons to none in 11 countries, compared with 1 per 29 200 persons in</w:t>
      </w:r>
      <w:r w:rsidR="003A1917">
        <w:t xml:space="preserve"> the </w:t>
      </w:r>
      <w:r w:rsidRPr="001A3D2B">
        <w:t>United States</w:t>
      </w:r>
      <w:r w:rsidR="00A37C1D">
        <w:t>. The</w:t>
      </w:r>
      <w:r w:rsidRPr="001A3D2B">
        <w:t>re are few African publications in high-impact international journals</w:t>
      </w:r>
      <w:r w:rsidR="00427468">
        <w:t xml:space="preserve"> of </w:t>
      </w:r>
      <w:r w:rsidRPr="001A3D2B">
        <w:t>neurology. Africa faces a heavy burden</w:t>
      </w:r>
      <w:r w:rsidR="00427468">
        <w:t xml:space="preserve"> of </w:t>
      </w:r>
      <w:r w:rsidRPr="001A3D2B">
        <w:t>communicable diseases</w:t>
      </w:r>
      <w:r w:rsidR="005853A9">
        <w:t xml:space="preserve"> and </w:t>
      </w:r>
      <w:r w:rsidRPr="001A3D2B">
        <w:t>increasing noncommunicable diseases, with few workers, poor equipment,</w:t>
      </w:r>
      <w:r w:rsidR="005853A9">
        <w:t xml:space="preserve"> and </w:t>
      </w:r>
      <w:r w:rsidRPr="001A3D2B">
        <w:t>little research effort to bear it</w:t>
      </w:r>
      <w:r w:rsidR="00A37C1D">
        <w:t>. The</w:t>
      </w:r>
      <w:r w:rsidRPr="001A3D2B">
        <w:t>re is a need for African neuro-scientists to discover areas</w:t>
      </w:r>
      <w:r w:rsidR="00427468">
        <w:t xml:space="preserve"> of </w:t>
      </w:r>
      <w:r w:rsidRPr="001A3D2B">
        <w:t>research unique to</w:t>
      </w:r>
      <w:r w:rsidR="003A1917">
        <w:t xml:space="preserve"> the </w:t>
      </w:r>
      <w:r w:rsidRPr="001A3D2B">
        <w:t>continent in order to advance</w:t>
      </w:r>
      <w:r w:rsidR="003A1917">
        <w:t xml:space="preserve"> the </w:t>
      </w:r>
      <w:r w:rsidRPr="001A3D2B">
        <w:t>frontiers</w:t>
      </w:r>
      <w:r w:rsidR="00427468">
        <w:t xml:space="preserve"> of </w:t>
      </w:r>
      <w:r w:rsidRPr="001A3D2B">
        <w:t>knowledge for all neurologists. International collaboration</w:t>
      </w:r>
      <w:r w:rsidR="005853A9">
        <w:t xml:space="preserve"> and </w:t>
      </w:r>
      <w:r w:rsidRPr="001A3D2B">
        <w:t>support are required to improve</w:t>
      </w:r>
      <w:r w:rsidR="003A1917">
        <w:t xml:space="preserve"> the </w:t>
      </w:r>
      <w:r w:rsidRPr="001A3D2B">
        <w:t>number</w:t>
      </w:r>
      <w:r w:rsidR="00427468">
        <w:t xml:space="preserve"> of </w:t>
      </w:r>
      <w:r w:rsidRPr="001A3D2B">
        <w:t>workers, resources,</w:t>
      </w:r>
      <w:r w:rsidR="005853A9">
        <w:t xml:space="preserve"> and </w:t>
      </w:r>
      <w:r w:rsidRPr="001A3D2B">
        <w:t>research productivity.</w:t>
      </w:r>
    </w:p>
    <w:p w:rsidR="003474F2" w:rsidRPr="001A3D2B" w:rsidRDefault="003474F2" w:rsidP="003474F2">
      <w:pPr>
        <w:pStyle w:val="a3"/>
      </w:pPr>
      <w:r w:rsidRPr="001A3D2B">
        <w:t xml:space="preserve">Keywords: Advance, Africa, Bear, Burden, Collaboration, Development, Diseases, Equipment, Field, Impact, Indices, International, Journals, Knowledge, Neurologic, Neurology, Origin, Productivity, Publications, </w:t>
      </w:r>
      <w:r w:rsidR="002C12F0">
        <w:t>PUBMED</w:t>
      </w:r>
      <w:r w:rsidRPr="001A3D2B">
        <w:t>, Research, Research Productivity, Scientific Productivity, Service, Services, Support, United States</w:t>
      </w:r>
    </w:p>
    <w:p w:rsidR="002E57B2" w:rsidRDefault="002E57B2" w:rsidP="002E57B2">
      <w:pPr>
        <w:pStyle w:val="a3"/>
        <w:rPr>
          <w:kern w:val="0"/>
        </w:rPr>
      </w:pPr>
      <w:r>
        <w:rPr>
          <w:rFonts w:hint="eastAsia"/>
          <w:kern w:val="0"/>
        </w:rPr>
        <w:t xml:space="preserve">? </w:t>
      </w:r>
      <w:r>
        <w:rPr>
          <w:kern w:val="0"/>
        </w:rPr>
        <w:t>Campbell, P.G., Lee, Y.H., Bell, R.D., Maltenfort, M.G., Moshfeghi, D.M., Leng, T., Moshfeghi, A.A.</w:t>
      </w:r>
      <w:r w:rsidR="005853A9">
        <w:rPr>
          <w:kern w:val="0"/>
        </w:rPr>
        <w:t xml:space="preserve"> and </w:t>
      </w:r>
      <w:r>
        <w:rPr>
          <w:kern w:val="0"/>
        </w:rPr>
        <w:t>Ratliff, J.K. (2011), Medical school</w:t>
      </w:r>
      <w:r w:rsidR="005853A9">
        <w:rPr>
          <w:kern w:val="0"/>
        </w:rPr>
        <w:t xml:space="preserve"> and </w:t>
      </w:r>
      <w:r>
        <w:rPr>
          <w:kern w:val="0"/>
        </w:rPr>
        <w:t>residency influence on choice</w:t>
      </w:r>
      <w:r w:rsidR="00427468">
        <w:rPr>
          <w:kern w:val="0"/>
        </w:rPr>
        <w:t xml:space="preserve"> of </w:t>
      </w:r>
      <w:r>
        <w:rPr>
          <w:kern w:val="0"/>
        </w:rPr>
        <w:t>an academic career</w:t>
      </w:r>
      <w:r w:rsidR="005853A9">
        <w:rPr>
          <w:kern w:val="0"/>
        </w:rPr>
        <w:t xml:space="preserve"> and </w:t>
      </w:r>
      <w:r>
        <w:rPr>
          <w:kern w:val="0"/>
        </w:rPr>
        <w:t xml:space="preserve">academic productivity among US neurology faculty. </w:t>
      </w:r>
      <w:r>
        <w:rPr>
          <w:i/>
          <w:iCs/>
          <w:kern w:val="0"/>
        </w:rPr>
        <w:t>Archives</w:t>
      </w:r>
      <w:r w:rsidR="00427468">
        <w:rPr>
          <w:i/>
          <w:iCs/>
          <w:kern w:val="0"/>
        </w:rPr>
        <w:t xml:space="preserve"> of </w:t>
      </w:r>
      <w:r>
        <w:rPr>
          <w:i/>
          <w:iCs/>
          <w:kern w:val="0"/>
        </w:rPr>
        <w:t>Neurology</w:t>
      </w:r>
      <w:r>
        <w:rPr>
          <w:kern w:val="0"/>
        </w:rPr>
        <w:t xml:space="preserve">, </w:t>
      </w:r>
      <w:r>
        <w:rPr>
          <w:b/>
          <w:bCs/>
          <w:kern w:val="0"/>
        </w:rPr>
        <w:t>68</w:t>
      </w:r>
      <w:r>
        <w:rPr>
          <w:kern w:val="0"/>
        </w:rPr>
        <w:t xml:space="preserve"> (8), 999-1004.</w:t>
      </w:r>
    </w:p>
    <w:p w:rsidR="002E57B2" w:rsidRPr="001A3D2B" w:rsidRDefault="002E57B2" w:rsidP="002E57B2">
      <w:pPr>
        <w:pStyle w:val="a3"/>
      </w:pPr>
      <w:r w:rsidRPr="001A3D2B">
        <w:t xml:space="preserve">Full Text: </w:t>
      </w:r>
      <w:hyperlink r:id="rId1147" w:history="1">
        <w:r w:rsidR="00880D5B" w:rsidRPr="00880D5B">
          <w:rPr>
            <w:rStyle w:val="a5"/>
          </w:rPr>
          <w:t>2011\Arc Neu68, 999.pdf</w:t>
        </w:r>
      </w:hyperlink>
    </w:p>
    <w:p w:rsidR="002E57B2" w:rsidRDefault="002E57B2" w:rsidP="002E57B2">
      <w:pPr>
        <w:pStyle w:val="a3"/>
        <w:rPr>
          <w:kern w:val="0"/>
        </w:rPr>
      </w:pPr>
      <w:r>
        <w:rPr>
          <w:kern w:val="0"/>
        </w:rPr>
        <w:t>Abstract: Objective: To evaluate</w:t>
      </w:r>
      <w:r w:rsidR="003A1917">
        <w:rPr>
          <w:kern w:val="0"/>
        </w:rPr>
        <w:t xml:space="preserve"> the </w:t>
      </w:r>
      <w:r>
        <w:rPr>
          <w:kern w:val="0"/>
        </w:rPr>
        <w:t>effectiveness</w:t>
      </w:r>
      <w:r w:rsidR="00427468">
        <w:rPr>
          <w:kern w:val="0"/>
        </w:rPr>
        <w:t xml:space="preserve"> of </w:t>
      </w:r>
      <w:r>
        <w:rPr>
          <w:kern w:val="0"/>
        </w:rPr>
        <w:t>medical schools</w:t>
      </w:r>
      <w:r w:rsidR="005853A9">
        <w:rPr>
          <w:kern w:val="0"/>
        </w:rPr>
        <w:t xml:space="preserve"> and </w:t>
      </w:r>
      <w:r>
        <w:rPr>
          <w:kern w:val="0"/>
        </w:rPr>
        <w:t>neurology training programs in</w:t>
      </w:r>
      <w:r w:rsidR="003A1917">
        <w:rPr>
          <w:kern w:val="0"/>
        </w:rPr>
        <w:t xml:space="preserve"> the </w:t>
      </w:r>
      <w:r>
        <w:rPr>
          <w:kern w:val="0"/>
        </w:rPr>
        <w:t>United States by determining their contribution to academic neurology in terms</w:t>
      </w:r>
      <w:r w:rsidR="00427468">
        <w:rPr>
          <w:kern w:val="0"/>
        </w:rPr>
        <w:t xml:space="preserve"> of </w:t>
      </w:r>
      <w:r>
        <w:rPr>
          <w:kern w:val="0"/>
        </w:rPr>
        <w:t>how many graduates choose academic careers</w:t>
      </w:r>
      <w:r w:rsidR="005853A9">
        <w:rPr>
          <w:kern w:val="0"/>
        </w:rPr>
        <w:t xml:space="preserve"> and </w:t>
      </w:r>
      <w:r>
        <w:rPr>
          <w:kern w:val="0"/>
        </w:rPr>
        <w:t>their respective influence on current medical knowledge through bibliometric analysis. Design, Setting,</w:t>
      </w:r>
      <w:r w:rsidR="005853A9">
        <w:rPr>
          <w:kern w:val="0"/>
        </w:rPr>
        <w:t xml:space="preserve"> and </w:t>
      </w:r>
      <w:r>
        <w:rPr>
          <w:kern w:val="0"/>
        </w:rPr>
        <w:t>Participants: Biographical information from current faculty members</w:t>
      </w:r>
      <w:r w:rsidR="00427468">
        <w:rPr>
          <w:kern w:val="0"/>
        </w:rPr>
        <w:t xml:space="preserve"> of </w:t>
      </w:r>
      <w:r>
        <w:rPr>
          <w:kern w:val="0"/>
        </w:rPr>
        <w:t>neurology training programs in</w:t>
      </w:r>
      <w:r w:rsidR="003A1917">
        <w:rPr>
          <w:kern w:val="0"/>
        </w:rPr>
        <w:t xml:space="preserve"> the </w:t>
      </w:r>
      <w:r>
        <w:rPr>
          <w:kern w:val="0"/>
        </w:rPr>
        <w:t>United States was obtained through an Internet-based search</w:t>
      </w:r>
      <w:r w:rsidR="00427468">
        <w:rPr>
          <w:kern w:val="0"/>
        </w:rPr>
        <w:t xml:space="preserve"> of </w:t>
      </w:r>
      <w:r>
        <w:rPr>
          <w:kern w:val="0"/>
        </w:rPr>
        <w:t xml:space="preserve">departmental Web sites. Collected variables included </w:t>
      </w:r>
      <w:r>
        <w:rPr>
          <w:kern w:val="0"/>
        </w:rPr>
        <w:lastRenderedPageBreak/>
        <w:t>medical school attended, residency program completed,</w:t>
      </w:r>
      <w:r w:rsidR="005853A9">
        <w:rPr>
          <w:kern w:val="0"/>
        </w:rPr>
        <w:t xml:space="preserve"> and </w:t>
      </w:r>
      <w:r>
        <w:rPr>
          <w:kern w:val="0"/>
        </w:rPr>
        <w:t xml:space="preserve">current academic rank. For each faculty member,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h-indices were also collected. Results: Data from academic neurologists from 120 training programs with 3249 faculty members were collected. All data regarding training program</w:t>
      </w:r>
      <w:r w:rsidR="005853A9">
        <w:rPr>
          <w:kern w:val="0"/>
        </w:rPr>
        <w:t xml:space="preserve"> and </w:t>
      </w:r>
      <w:r>
        <w:rPr>
          <w:kern w:val="0"/>
        </w:rPr>
        <w:t>medical school education were compiled</w:t>
      </w:r>
      <w:r w:rsidR="005853A9">
        <w:rPr>
          <w:kern w:val="0"/>
        </w:rPr>
        <w:t xml:space="preserve"> and </w:t>
      </w:r>
      <w:r>
        <w:rPr>
          <w:kern w:val="0"/>
        </w:rPr>
        <w:t>analyzed by</w:t>
      </w:r>
      <w:r w:rsidR="003A1917">
        <w:rPr>
          <w:kern w:val="0"/>
        </w:rPr>
        <w:t xml:space="preserve"> the </w:t>
      </w:r>
      <w:r>
        <w:rPr>
          <w:kern w:val="0"/>
        </w:rPr>
        <w:t>institution from which each individual graduated</w:t>
      </w:r>
      <w:r w:rsidR="00A37C1D">
        <w:rPr>
          <w:kern w:val="0"/>
        </w:rPr>
        <w:t>. The</w:t>
      </w:r>
      <w:r w:rsidR="003A1917">
        <w:rPr>
          <w:kern w:val="0"/>
        </w:rPr>
        <w:t xml:space="preserve"> </w:t>
      </w:r>
      <w:r>
        <w:rPr>
          <w:kern w:val="0"/>
        </w:rPr>
        <w:t>20 medical schools</w:t>
      </w:r>
      <w:r w:rsidR="005853A9">
        <w:rPr>
          <w:kern w:val="0"/>
        </w:rPr>
        <w:t xml:space="preserve"> and </w:t>
      </w:r>
      <w:r>
        <w:rPr>
          <w:kern w:val="0"/>
        </w:rPr>
        <w:t>neurology residency training programs producing</w:t>
      </w:r>
      <w:r w:rsidR="003A1917">
        <w:rPr>
          <w:kern w:val="0"/>
        </w:rPr>
        <w:t xml:space="preserve"> the </w:t>
      </w:r>
      <w:r>
        <w:rPr>
          <w:kern w:val="0"/>
        </w:rPr>
        <w:t>greatest number</w:t>
      </w:r>
      <w:r w:rsidR="00427468">
        <w:rPr>
          <w:kern w:val="0"/>
        </w:rPr>
        <w:t xml:space="preserve"> of </w:t>
      </w:r>
      <w:r>
        <w:rPr>
          <w:kern w:val="0"/>
        </w:rPr>
        <w:t>graduates remaining in academic practice</w:t>
      </w:r>
      <w:r w:rsidR="005853A9">
        <w:rPr>
          <w:kern w:val="0"/>
        </w:rPr>
        <w:t xml:space="preserve"> and </w:t>
      </w:r>
      <w:r w:rsidR="003A1917">
        <w:rPr>
          <w:kern w:val="0"/>
        </w:rPr>
        <w:t xml:space="preserve">the </w:t>
      </w:r>
      <w:r>
        <w:rPr>
          <w:kern w:val="0"/>
        </w:rPr>
        <w:t>mean h-indices are reported. More medical school graduates</w:t>
      </w:r>
      <w:r w:rsidR="00427468">
        <w:rPr>
          <w:kern w:val="0"/>
        </w:rPr>
        <w:t xml:space="preserve"> of </w:t>
      </w:r>
      <w:r w:rsidR="003A1917">
        <w:rPr>
          <w:kern w:val="0"/>
        </w:rPr>
        <w:t xml:space="preserve">the </w:t>
      </w:r>
      <w:r>
        <w:rPr>
          <w:kern w:val="0"/>
        </w:rPr>
        <w:t>Columbia University College</w:t>
      </w:r>
      <w:r w:rsidR="00427468">
        <w:rPr>
          <w:kern w:val="0"/>
        </w:rPr>
        <w:t xml:space="preserve"> of </w:t>
      </w:r>
      <w:r>
        <w:rPr>
          <w:kern w:val="0"/>
        </w:rPr>
        <w:t>Physicians</w:t>
      </w:r>
      <w:r w:rsidR="005853A9">
        <w:rPr>
          <w:kern w:val="0"/>
        </w:rPr>
        <w:t xml:space="preserve"> and </w:t>
      </w:r>
      <w:r>
        <w:rPr>
          <w:kern w:val="0"/>
        </w:rPr>
        <w:t>Surgeons chose to enter academic neurology practice than</w:t>
      </w:r>
      <w:r w:rsidR="003A1917">
        <w:rPr>
          <w:kern w:val="0"/>
        </w:rPr>
        <w:t xml:space="preserve"> the </w:t>
      </w:r>
      <w:r>
        <w:rPr>
          <w:kern w:val="0"/>
        </w:rPr>
        <w:t>graduates</w:t>
      </w:r>
      <w:r w:rsidR="00427468">
        <w:rPr>
          <w:kern w:val="0"/>
        </w:rPr>
        <w:t xml:space="preserve"> of </w:t>
      </w:r>
      <w:r>
        <w:rPr>
          <w:kern w:val="0"/>
        </w:rPr>
        <w:t>any other institution. Analyzed by residency training program attended, New York Presbyterian Hospital (Columbia University), Mayo Clinic (Rochester, Minnesota),</w:t>
      </w:r>
      <w:r w:rsidR="005853A9">
        <w:rPr>
          <w:kern w:val="0"/>
        </w:rPr>
        <w:t xml:space="preserve"> and </w:t>
      </w:r>
      <w:r>
        <w:rPr>
          <w:kern w:val="0"/>
        </w:rPr>
        <w:t>Mount Sinai Medical Center (New York, New York) produced</w:t>
      </w:r>
      <w:r w:rsidR="003A1917">
        <w:rPr>
          <w:kern w:val="0"/>
        </w:rPr>
        <w:t xml:space="preserve"> the </w:t>
      </w:r>
      <w:r>
        <w:rPr>
          <w:kern w:val="0"/>
        </w:rPr>
        <w:t>most graduates remaining in academics. Conclusions: This retrospective, longitudinal cohort study examines through quantitative measures</w:t>
      </w:r>
      <w:r w:rsidR="003A1917">
        <w:rPr>
          <w:kern w:val="0"/>
        </w:rPr>
        <w:t xml:space="preserve"> the </w:t>
      </w:r>
      <w:r>
        <w:rPr>
          <w:kern w:val="0"/>
        </w:rPr>
        <w:t>academic productivity</w:t>
      </w:r>
      <w:r w:rsidR="005853A9">
        <w:rPr>
          <w:kern w:val="0"/>
        </w:rPr>
        <w:t xml:space="preserve"> and </w:t>
      </w:r>
      <w:r>
        <w:rPr>
          <w:kern w:val="0"/>
        </w:rPr>
        <w:t>rank</w:t>
      </w:r>
      <w:r w:rsidR="00427468">
        <w:rPr>
          <w:kern w:val="0"/>
        </w:rPr>
        <w:t xml:space="preserve"> of </w:t>
      </w:r>
      <w:r>
        <w:rPr>
          <w:kern w:val="0"/>
        </w:rPr>
        <w:t>academic neurologists</w:t>
      </w:r>
      <w:r w:rsidR="00A37C1D">
        <w:rPr>
          <w:kern w:val="0"/>
        </w:rPr>
        <w:t>. The</w:t>
      </w:r>
      <w:r w:rsidR="003A1917">
        <w:rPr>
          <w:kern w:val="0"/>
        </w:rPr>
        <w:t xml:space="preserve"> </w:t>
      </w:r>
      <w:r>
        <w:rPr>
          <w:kern w:val="0"/>
        </w:rPr>
        <w:t>results demonstrate that several training programs excel in producing a significantly higher proportion</w:t>
      </w:r>
      <w:r w:rsidR="00427468">
        <w:rPr>
          <w:kern w:val="0"/>
        </w:rPr>
        <w:t xml:space="preserve"> of </w:t>
      </w:r>
      <w:r>
        <w:rPr>
          <w:kern w:val="0"/>
        </w:rPr>
        <w:t>academically active neurologists.</w:t>
      </w:r>
    </w:p>
    <w:p w:rsidR="002E57B2" w:rsidRDefault="002E57B2" w:rsidP="002E57B2">
      <w:pPr>
        <w:pStyle w:val="a3"/>
        <w:rPr>
          <w:kern w:val="0"/>
        </w:rPr>
      </w:pPr>
      <w:r>
        <w:rPr>
          <w:kern w:val="0"/>
        </w:rPr>
        <w:t xml:space="preserve">Keywords: Academics, Bibliometric, Bibliometric Analysis, Contribution, Education, Google-Scholar, </w:t>
      </w:r>
      <w:r w:rsidR="00D5664A">
        <w:rPr>
          <w:rFonts w:hint="eastAsia"/>
          <w:kern w:val="0"/>
        </w:rPr>
        <w:t>h-Index</w:t>
      </w:r>
      <w:r>
        <w:rPr>
          <w:kern w:val="0"/>
        </w:rPr>
        <w:t xml:space="preserve">, </w:t>
      </w:r>
      <w:r>
        <w:rPr>
          <w:rFonts w:hint="eastAsia"/>
          <w:kern w:val="0"/>
        </w:rPr>
        <w:t>h</w:t>
      </w:r>
      <w:r>
        <w:rPr>
          <w:kern w:val="0"/>
        </w:rPr>
        <w:t>-Indices, Hospital, Information, Medical, Medical School, Predictors, Productivity, Program, Radiology, Rank, Residency, Schools, Science, Scopus, Training, University</w:t>
      </w:r>
      <w:r w:rsidR="008C1C37">
        <w:rPr>
          <w:kern w:val="0"/>
        </w:rPr>
        <w:t>, US,</w:t>
      </w:r>
      <w:r>
        <w:rPr>
          <w:kern w:val="0"/>
        </w:rPr>
        <w:t xml:space="preserve">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3474F2" w:rsidRPr="001A3D2B" w:rsidRDefault="003474F2" w:rsidP="003474F2">
      <w:pPr>
        <w:pStyle w:val="1"/>
      </w:pPr>
      <w:r w:rsidRPr="001A3D2B">
        <w:br w:type="page"/>
      </w:r>
      <w:bookmarkStart w:id="588" w:name="_Toc420814583"/>
      <w:r w:rsidRPr="001A3D2B">
        <w:lastRenderedPageBreak/>
        <w:t>Title: Archives</w:t>
      </w:r>
      <w:r w:rsidR="00427468">
        <w:t xml:space="preserve"> of </w:t>
      </w:r>
      <w:r w:rsidRPr="001A3D2B">
        <w:t>Ophthalmology</w:t>
      </w:r>
      <w:bookmarkEnd w:id="588"/>
    </w:p>
    <w:p w:rsidR="003474F2" w:rsidRPr="001A3D2B" w:rsidRDefault="003474F2" w:rsidP="003474F2">
      <w:pPr>
        <w:pStyle w:val="12"/>
      </w:pPr>
      <w:r w:rsidRPr="001A3D2B">
        <w:t xml:space="preserve">Full Journal </w:t>
      </w:r>
      <w:bookmarkStart w:id="589" w:name="_Toc211539553"/>
      <w:r w:rsidRPr="001A3D2B">
        <w:t xml:space="preserve">Title: </w:t>
      </w:r>
      <w:r w:rsidR="00206C8A">
        <w:fldChar w:fldCharType="begin"/>
      </w:r>
      <w:r w:rsidR="00FD158B">
        <w:instrText>HYPERLINK "http://archop</w:instrText>
      </w:r>
      <w:bookmarkEnd w:id="589"/>
      <w:r w:rsidR="00FD158B">
        <w:instrText>ht.ama-assn.org/contents-by-date.0.dtl"</w:instrText>
      </w:r>
      <w:r w:rsidR="00206C8A">
        <w:fldChar w:fldCharType="separate"/>
      </w:r>
      <w:r w:rsidRPr="001A3D2B">
        <w:rPr>
          <w:rStyle w:val="a5"/>
        </w:rPr>
        <w:t>Archives</w:t>
      </w:r>
      <w:r w:rsidR="00427468">
        <w:rPr>
          <w:rStyle w:val="a5"/>
        </w:rPr>
        <w:t xml:space="preserve"> of </w:t>
      </w:r>
      <w:r w:rsidRPr="001A3D2B">
        <w:rPr>
          <w:rStyle w:val="a5"/>
        </w:rPr>
        <w:t>Ophthalmology</w:t>
      </w:r>
      <w:r w:rsidR="00206C8A">
        <w:fldChar w:fldCharType="end"/>
      </w:r>
    </w:p>
    <w:p w:rsidR="003474F2" w:rsidRPr="001A3D2B" w:rsidRDefault="003474F2" w:rsidP="003474F2">
      <w:pPr>
        <w:pStyle w:val="12"/>
      </w:pPr>
      <w:r w:rsidRPr="001A3D2B">
        <w:t>ISO Abbreviated Title: Arch. Ophthalmol.</w:t>
      </w:r>
    </w:p>
    <w:p w:rsidR="003474F2" w:rsidRPr="001A3D2B" w:rsidRDefault="003474F2" w:rsidP="003474F2">
      <w:pPr>
        <w:pStyle w:val="12"/>
      </w:pPr>
      <w:r w:rsidRPr="001A3D2B">
        <w:t>JCR Abbreviated Title: Arch Ophthalmol-Chic</w:t>
      </w:r>
    </w:p>
    <w:p w:rsidR="003474F2" w:rsidRPr="001A3D2B" w:rsidRDefault="003474F2" w:rsidP="003474F2">
      <w:pPr>
        <w:pStyle w:val="12"/>
      </w:pPr>
      <w:r w:rsidRPr="001A3D2B">
        <w:t>ISSN: 0003-9950</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Medical Assoc</w:t>
      </w:r>
    </w:p>
    <w:p w:rsidR="003474F2" w:rsidRPr="001A3D2B" w:rsidRDefault="003474F2" w:rsidP="003474F2">
      <w:pPr>
        <w:pStyle w:val="12"/>
      </w:pPr>
      <w:r w:rsidRPr="001A3D2B">
        <w:t xml:space="preserve">Publisher Address: 515 N State St, Chicago, IL </w:t>
      </w:r>
      <w:smartTag w:uri="urn:schemas-microsoft-com:office:smarttags" w:element="PostalCode">
        <w:r w:rsidRPr="001A3D2B">
          <w:t>60610</w:t>
        </w:r>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Ophthalmology: Impact Factor </w:t>
      </w:r>
    </w:p>
    <w:p w:rsidR="00A5367E" w:rsidRPr="001A3D2B" w:rsidRDefault="00A5367E" w:rsidP="00A5367E">
      <w:pPr>
        <w:pStyle w:val="a3"/>
        <w:rPr>
          <w:kern w:val="0"/>
        </w:rPr>
      </w:pPr>
      <w:r w:rsidRPr="001A3D2B">
        <w:rPr>
          <w:kern w:val="0"/>
        </w:rPr>
        <w:t>? Albert, D.M. (1988), Analysis</w:t>
      </w:r>
      <w:r w:rsidR="00427468">
        <w:rPr>
          <w:kern w:val="0"/>
        </w:rPr>
        <w:t xml:space="preserve"> of </w:t>
      </w:r>
      <w:r w:rsidR="003A1917">
        <w:rPr>
          <w:kern w:val="0"/>
        </w:rPr>
        <w:t xml:space="preserve">the </w:t>
      </w:r>
      <w:r w:rsidRPr="001A3D2B">
        <w:rPr>
          <w:kern w:val="0"/>
        </w:rPr>
        <w:t>archives</w:t>
      </w:r>
      <w:r w:rsidR="00700038">
        <w:rPr>
          <w:kern w:val="0"/>
        </w:rPr>
        <w:t>’</w:t>
      </w:r>
      <w:r w:rsidRPr="001A3D2B">
        <w:rPr>
          <w:kern w:val="0"/>
        </w:rPr>
        <w:t xml:space="preserve"> most frequently cited articles. </w:t>
      </w:r>
      <w:r w:rsidRPr="001A3D2B">
        <w:rPr>
          <w:i/>
          <w:iCs/>
          <w:kern w:val="0"/>
        </w:rPr>
        <w:t>Archives</w:t>
      </w:r>
      <w:r w:rsidR="00427468">
        <w:rPr>
          <w:i/>
          <w:iCs/>
          <w:kern w:val="0"/>
        </w:rPr>
        <w:t xml:space="preserve"> of </w:t>
      </w:r>
      <w:r w:rsidRPr="001A3D2B">
        <w:rPr>
          <w:i/>
          <w:iCs/>
          <w:kern w:val="0"/>
        </w:rPr>
        <w:t>Ophthalmology</w:t>
      </w:r>
      <w:r w:rsidRPr="001A3D2B">
        <w:rPr>
          <w:kern w:val="0"/>
        </w:rPr>
        <w:t xml:space="preserve">, </w:t>
      </w:r>
      <w:r w:rsidRPr="001A3D2B">
        <w:rPr>
          <w:b/>
          <w:bCs/>
          <w:kern w:val="0"/>
        </w:rPr>
        <w:t>106</w:t>
      </w:r>
      <w:r w:rsidRPr="001A3D2B">
        <w:rPr>
          <w:kern w:val="0"/>
        </w:rPr>
        <w:t xml:space="preserve"> (4), 465-470</w:t>
      </w:r>
      <w:r w:rsidR="002336E9">
        <w:rPr>
          <w:rFonts w:hint="eastAsia"/>
          <w:kern w:val="0"/>
        </w:rPr>
        <w:t>.</w:t>
      </w:r>
    </w:p>
    <w:p w:rsidR="00F01A6B" w:rsidRPr="00F219CA" w:rsidRDefault="00F01A6B" w:rsidP="00F01A6B">
      <w:pPr>
        <w:pStyle w:val="a3"/>
      </w:pPr>
      <w:r w:rsidRPr="00F219CA">
        <w:t xml:space="preserve">Full Text: </w:t>
      </w:r>
      <w:hyperlink r:id="rId1148" w:history="1">
        <w:r w:rsidR="00976A60" w:rsidRPr="00976A60">
          <w:rPr>
            <w:rStyle w:val="a5"/>
          </w:rPr>
          <w:t>1988\Arc Oph106, 465.pdf</w:t>
        </w:r>
      </w:hyperlink>
    </w:p>
    <w:p w:rsidR="003474F2" w:rsidRPr="001A3D2B" w:rsidRDefault="003474F2" w:rsidP="003474F2">
      <w:pPr>
        <w:pStyle w:val="a3"/>
      </w:pPr>
      <w:r w:rsidRPr="001A3D2B">
        <w:t>? Levin, L.A., Gottlieb, J.L.</w:t>
      </w:r>
      <w:r w:rsidR="005853A9">
        <w:t xml:space="preserve"> and </w:t>
      </w:r>
      <w:r w:rsidRPr="001A3D2B">
        <w:t>Albert, D.M. (2005), Evolution at</w:t>
      </w:r>
      <w:r w:rsidR="003A1917">
        <w:t xml:space="preserve"> the </w:t>
      </w:r>
      <w:r w:rsidRPr="001A3D2B">
        <w:t xml:space="preserve">ARCHIVES. </w:t>
      </w:r>
      <w:r w:rsidRPr="001A3D2B">
        <w:rPr>
          <w:i/>
          <w:iCs/>
        </w:rPr>
        <w:t>Archives</w:t>
      </w:r>
      <w:r w:rsidR="00427468">
        <w:rPr>
          <w:i/>
          <w:iCs/>
        </w:rPr>
        <w:t xml:space="preserve"> of </w:t>
      </w:r>
      <w:r w:rsidRPr="001A3D2B">
        <w:rPr>
          <w:i/>
          <w:iCs/>
        </w:rPr>
        <w:t>Ophthalmology</w:t>
      </w:r>
      <w:r w:rsidRPr="001A3D2B">
        <w:t xml:space="preserve">, </w:t>
      </w:r>
      <w:r w:rsidRPr="001A3D2B">
        <w:rPr>
          <w:b/>
          <w:bCs/>
        </w:rPr>
        <w:t>123</w:t>
      </w:r>
      <w:r w:rsidRPr="001A3D2B">
        <w:t xml:space="preserve"> (2), 263-264.</w:t>
      </w:r>
    </w:p>
    <w:p w:rsidR="003474F2" w:rsidRPr="001A3D2B" w:rsidRDefault="003474F2" w:rsidP="003474F2">
      <w:pPr>
        <w:pStyle w:val="a3"/>
      </w:pPr>
      <w:r w:rsidRPr="001A3D2B">
        <w:t xml:space="preserve">Full Text: </w:t>
      </w:r>
      <w:hyperlink r:id="rId1149" w:history="1">
        <w:r w:rsidRPr="001A3D2B">
          <w:rPr>
            <w:rStyle w:val="a5"/>
          </w:rPr>
          <w:t>2005\Arc Oph123, 263.pdf</w:t>
        </w:r>
      </w:hyperlink>
    </w:p>
    <w:p w:rsidR="003474F2" w:rsidRPr="001A3D2B" w:rsidRDefault="003474F2" w:rsidP="003474F2">
      <w:pPr>
        <w:pStyle w:val="a3"/>
      </w:pPr>
      <w:r w:rsidRPr="001A3D2B">
        <w:t>Keywords: Archives</w:t>
      </w:r>
    </w:p>
    <w:p w:rsidR="007D27CD" w:rsidRDefault="007D27CD" w:rsidP="00A5367E">
      <w:pPr>
        <w:pStyle w:val="a3"/>
        <w:rPr>
          <w:kern w:val="0"/>
        </w:rPr>
      </w:pPr>
      <w:r>
        <w:rPr>
          <w:rFonts w:hint="eastAsia"/>
          <w:kern w:val="0"/>
        </w:rPr>
        <w:t>Notes: JJournal</w:t>
      </w:r>
    </w:p>
    <w:p w:rsidR="00A5367E" w:rsidRPr="001A3D2B" w:rsidRDefault="00A5367E" w:rsidP="00A5367E">
      <w:pPr>
        <w:pStyle w:val="a3"/>
        <w:rPr>
          <w:kern w:val="0"/>
        </w:rPr>
      </w:pPr>
      <w:r w:rsidRPr="001A3D2B">
        <w:rPr>
          <w:kern w:val="0"/>
        </w:rPr>
        <w:t>? Ohba, N., Nakao, K., Isashiki, Y.</w:t>
      </w:r>
      <w:r w:rsidR="005853A9">
        <w:rPr>
          <w:kern w:val="0"/>
        </w:rPr>
        <w:t xml:space="preserve"> and </w:t>
      </w:r>
      <w:r w:rsidRPr="001A3D2B">
        <w:rPr>
          <w:kern w:val="0"/>
        </w:rPr>
        <w:t>Ohba, A. (2007</w:t>
      </w:r>
      <w:r w:rsidR="00F42EAC">
        <w:rPr>
          <w:kern w:val="0"/>
        </w:rPr>
        <w:t>), The</w:t>
      </w:r>
      <w:r w:rsidR="003A1917">
        <w:rPr>
          <w:kern w:val="0"/>
        </w:rPr>
        <w:t xml:space="preserve"> </w:t>
      </w:r>
      <w:r w:rsidRPr="001A3D2B">
        <w:rPr>
          <w:kern w:val="0"/>
        </w:rPr>
        <w:t xml:space="preserve">100 most frequently cited articles in ophthalmology journals. </w:t>
      </w:r>
      <w:r w:rsidRPr="001A3D2B">
        <w:rPr>
          <w:i/>
          <w:iCs/>
          <w:kern w:val="0"/>
        </w:rPr>
        <w:t>Archives</w:t>
      </w:r>
      <w:r w:rsidR="00427468">
        <w:rPr>
          <w:i/>
          <w:iCs/>
          <w:kern w:val="0"/>
        </w:rPr>
        <w:t xml:space="preserve"> of </w:t>
      </w:r>
      <w:r w:rsidRPr="001A3D2B">
        <w:rPr>
          <w:i/>
          <w:iCs/>
          <w:kern w:val="0"/>
        </w:rPr>
        <w:t>Ophthalmology</w:t>
      </w:r>
      <w:r w:rsidRPr="001A3D2B">
        <w:rPr>
          <w:kern w:val="0"/>
        </w:rPr>
        <w:t xml:space="preserve">, </w:t>
      </w:r>
      <w:r w:rsidRPr="001A3D2B">
        <w:rPr>
          <w:b/>
          <w:bCs/>
          <w:kern w:val="0"/>
        </w:rPr>
        <w:t>125</w:t>
      </w:r>
      <w:r w:rsidRPr="001A3D2B">
        <w:rPr>
          <w:kern w:val="0"/>
        </w:rPr>
        <w:t xml:space="preserve"> (7), 952-960.</w:t>
      </w:r>
    </w:p>
    <w:p w:rsidR="00A5367E" w:rsidRPr="001A3D2B" w:rsidRDefault="00A5367E" w:rsidP="00A5367E">
      <w:pPr>
        <w:pStyle w:val="a3"/>
      </w:pPr>
      <w:r w:rsidRPr="001A3D2B">
        <w:t xml:space="preserve">Full Text: </w:t>
      </w:r>
      <w:hyperlink r:id="rId1150" w:history="1">
        <w:r w:rsidRPr="001A3D2B">
          <w:rPr>
            <w:rStyle w:val="a5"/>
          </w:rPr>
          <w:t>2007\Arc Oph125, 952.pdf</w:t>
        </w:r>
      </w:hyperlink>
    </w:p>
    <w:p w:rsidR="00A5367E" w:rsidRPr="001A3D2B" w:rsidRDefault="00A5367E" w:rsidP="00A5367E">
      <w:pPr>
        <w:pStyle w:val="a3"/>
        <w:rPr>
          <w:kern w:val="0"/>
        </w:rPr>
      </w:pPr>
      <w:r w:rsidRPr="001A3D2B">
        <w:rPr>
          <w:kern w:val="0"/>
        </w:rPr>
        <w:t>Abstract: We screened 46 ophthalmology journals to identify</w:t>
      </w:r>
      <w:r w:rsidR="003A1917">
        <w:rPr>
          <w:kern w:val="0"/>
        </w:rPr>
        <w:t xml:space="preserve"> the </w:t>
      </w:r>
      <w:r w:rsidRPr="001A3D2B">
        <w:rPr>
          <w:kern w:val="0"/>
        </w:rPr>
        <w:t>most frequently cited articles using</w:t>
      </w:r>
      <w:r w:rsidR="003A1917">
        <w:rPr>
          <w:kern w:val="0"/>
        </w:rPr>
        <w:t xml:space="preserve"> the </w:t>
      </w:r>
      <w:r w:rsidRPr="001A3D2B">
        <w:rPr>
          <w:kern w:val="0"/>
        </w:rPr>
        <w:t xml:space="preserve">Science Citation Index Expanded </w:t>
      </w:r>
      <w:r w:rsidR="005756A9" w:rsidRPr="001A3D2B">
        <w:rPr>
          <w:kern w:val="0"/>
        </w:rPr>
        <w:t>(</w:t>
      </w:r>
      <w:r w:rsidRPr="001A3D2B">
        <w:rPr>
          <w:kern w:val="0"/>
        </w:rPr>
        <w:t>1975 to 2006)</w:t>
      </w:r>
      <w:r w:rsidR="00A37C1D">
        <w:rPr>
          <w:kern w:val="0"/>
        </w:rPr>
        <w:t>. The</w:t>
      </w:r>
      <w:r w:rsidR="003A1917">
        <w:rPr>
          <w:kern w:val="0"/>
        </w:rPr>
        <w:t xml:space="preserve"> </w:t>
      </w:r>
      <w:r w:rsidRPr="001A3D2B">
        <w:rPr>
          <w:kern w:val="0"/>
        </w:rPr>
        <w:t>100 most-cited articles were published in 13 journals, most in</w:t>
      </w:r>
      <w:r w:rsidR="003A1917">
        <w:rPr>
          <w:kern w:val="0"/>
        </w:rPr>
        <w:t xml:space="preserve"> the </w:t>
      </w:r>
      <w:r w:rsidRPr="001A3D2B">
        <w:rPr>
          <w:kern w:val="0"/>
        </w:rPr>
        <w:t>Archives</w:t>
      </w:r>
      <w:r w:rsidR="00427468">
        <w:rPr>
          <w:kern w:val="0"/>
        </w:rPr>
        <w:t xml:space="preserve"> of </w:t>
      </w:r>
      <w:r w:rsidRPr="001A3D2B">
        <w:rPr>
          <w:kern w:val="0"/>
        </w:rPr>
        <w:t>Ophthalmology (n=30), followed by Ophthalmology (n=27)</w:t>
      </w:r>
      <w:r w:rsidR="005853A9">
        <w:rPr>
          <w:kern w:val="0"/>
        </w:rPr>
        <w:t xml:space="preserve"> and </w:t>
      </w:r>
      <w:r w:rsidR="003A1917">
        <w:rPr>
          <w:kern w:val="0"/>
        </w:rPr>
        <w:t xml:space="preserve">the </w:t>
      </w:r>
      <w:r w:rsidRPr="001A3D2B">
        <w:rPr>
          <w:kern w:val="0"/>
        </w:rPr>
        <w:t>American Journal</w:t>
      </w:r>
      <w:r w:rsidR="00427468">
        <w:rPr>
          <w:kern w:val="0"/>
        </w:rPr>
        <w:t xml:space="preserve"> of </w:t>
      </w:r>
      <w:r w:rsidRPr="001A3D2B">
        <w:rPr>
          <w:kern w:val="0"/>
        </w:rPr>
        <w:t>Ophthalmology (n=11),</w:t>
      </w:r>
      <w:r w:rsidR="005853A9">
        <w:rPr>
          <w:kern w:val="0"/>
        </w:rPr>
        <w:t xml:space="preserve"> and </w:t>
      </w:r>
      <w:r w:rsidRPr="001A3D2B">
        <w:rPr>
          <w:kern w:val="0"/>
        </w:rPr>
        <w:t>originated from 10 countries, led by</w:t>
      </w:r>
      <w:r w:rsidR="003A1917">
        <w:rPr>
          <w:kern w:val="0"/>
        </w:rPr>
        <w:t xml:space="preserve"> the </w:t>
      </w:r>
      <w:r w:rsidRPr="001A3D2B">
        <w:rPr>
          <w:kern w:val="0"/>
        </w:rPr>
        <w:t>United States (n=86)</w:t>
      </w:r>
      <w:r w:rsidR="00A37C1D">
        <w:rPr>
          <w:kern w:val="0"/>
        </w:rPr>
        <w:t>. The</w:t>
      </w:r>
      <w:r w:rsidR="003A1917">
        <w:rPr>
          <w:kern w:val="0"/>
        </w:rPr>
        <w:t xml:space="preserve"> </w:t>
      </w:r>
      <w:r w:rsidRPr="001A3D2B">
        <w:rPr>
          <w:kern w:val="0"/>
        </w:rPr>
        <w:t>topics covered by these classic articles included epidemiology</w:t>
      </w:r>
      <w:r w:rsidR="00427468">
        <w:rPr>
          <w:kern w:val="0"/>
        </w:rPr>
        <w:t xml:space="preserve"> of </w:t>
      </w:r>
      <w:r w:rsidRPr="001A3D2B">
        <w:rPr>
          <w:kern w:val="0"/>
        </w:rPr>
        <w:t>age-related macular degeneration</w:t>
      </w:r>
      <w:r w:rsidR="005853A9">
        <w:rPr>
          <w:kern w:val="0"/>
        </w:rPr>
        <w:t xml:space="preserve"> and </w:t>
      </w:r>
      <w:r w:rsidRPr="001A3D2B">
        <w:rPr>
          <w:kern w:val="0"/>
        </w:rPr>
        <w:t>glaucoma, description</w:t>
      </w:r>
      <w:r w:rsidR="00427468">
        <w:rPr>
          <w:kern w:val="0"/>
        </w:rPr>
        <w:t xml:space="preserve"> of </w:t>
      </w:r>
      <w:r w:rsidRPr="001A3D2B">
        <w:rPr>
          <w:kern w:val="0"/>
        </w:rPr>
        <w:t>new diseases including cytomegalovirus retinitis, optical coherence tomography, hypotensive medications in glaucoma, laser photocoagulation to treat diabetic retinopathy</w:t>
      </w:r>
      <w:r w:rsidR="005853A9">
        <w:rPr>
          <w:kern w:val="0"/>
        </w:rPr>
        <w:t xml:space="preserve"> and </w:t>
      </w:r>
      <w:r w:rsidRPr="001A3D2B">
        <w:rPr>
          <w:kern w:val="0"/>
        </w:rPr>
        <w:t>subfoveal choroidal neovascularization, photorefractive surgery,</w:t>
      </w:r>
      <w:r w:rsidR="005853A9">
        <w:rPr>
          <w:kern w:val="0"/>
        </w:rPr>
        <w:t xml:space="preserve"> and </w:t>
      </w:r>
      <w:r w:rsidRPr="001A3D2B">
        <w:rPr>
          <w:kern w:val="0"/>
        </w:rPr>
        <w:t>vitrectomy to treat idiopathic macular hole</w:t>
      </w:r>
      <w:r w:rsidR="00A37C1D">
        <w:rPr>
          <w:kern w:val="0"/>
        </w:rPr>
        <w:t>. The</w:t>
      </w:r>
      <w:r w:rsidR="003A1917">
        <w:rPr>
          <w:kern w:val="0"/>
        </w:rPr>
        <w:t xml:space="preserve"> </w:t>
      </w:r>
      <w:r w:rsidRPr="001A3D2B">
        <w:rPr>
          <w:kern w:val="0"/>
        </w:rPr>
        <w:t>most frequently cited articles provide a historical perspective in</w:t>
      </w:r>
      <w:r w:rsidR="003A1917">
        <w:rPr>
          <w:kern w:val="0"/>
        </w:rPr>
        <w:t xml:space="preserve"> the </w:t>
      </w:r>
      <w:r w:rsidRPr="001A3D2B">
        <w:rPr>
          <w:kern w:val="0"/>
        </w:rPr>
        <w:t>scientific advancement</w:t>
      </w:r>
      <w:r w:rsidR="00427468">
        <w:rPr>
          <w:kern w:val="0"/>
        </w:rPr>
        <w:t xml:space="preserve"> of </w:t>
      </w:r>
      <w:r w:rsidRPr="001A3D2B">
        <w:rPr>
          <w:kern w:val="0"/>
        </w:rPr>
        <w:t>ophthalmology during</w:t>
      </w:r>
      <w:r w:rsidR="003A1917">
        <w:rPr>
          <w:kern w:val="0"/>
        </w:rPr>
        <w:t xml:space="preserve"> the </w:t>
      </w:r>
      <w:r w:rsidRPr="001A3D2B">
        <w:rPr>
          <w:kern w:val="0"/>
        </w:rPr>
        <w:t>last 3 decades.</w:t>
      </w:r>
    </w:p>
    <w:p w:rsidR="00A5367E" w:rsidRPr="001A3D2B" w:rsidRDefault="00A5367E" w:rsidP="00A5367E">
      <w:pPr>
        <w:pStyle w:val="a3"/>
        <w:rPr>
          <w:kern w:val="0"/>
        </w:rPr>
      </w:pPr>
      <w:r w:rsidRPr="001A3D2B">
        <w:rPr>
          <w:kern w:val="0"/>
        </w:rPr>
        <w:t xml:space="preserve">Keywords: Acquired Immunodeficiency Syndrome, Age-Related Maculopathy, </w:t>
      </w:r>
      <w:r w:rsidRPr="001A3D2B">
        <w:rPr>
          <w:kern w:val="0"/>
        </w:rPr>
        <w:lastRenderedPageBreak/>
        <w:t>Beaver-Dam Eye, Blue Mountains Eye, Immune-Deficiency Syndrome, Macular Degeneration, Open-Angle Glaucoma, Optical Coherence Tomography, Randomized Clinical-Trials, Subfoveal Choroidal Neovascularization</w:t>
      </w:r>
    </w:p>
    <w:p w:rsidR="00A5367E" w:rsidRPr="001A3D2B" w:rsidRDefault="00A5367E" w:rsidP="00A5367E">
      <w:pPr>
        <w:pStyle w:val="a3"/>
        <w:rPr>
          <w:kern w:val="0"/>
        </w:rPr>
      </w:pPr>
      <w:r w:rsidRPr="001A3D2B">
        <w:rPr>
          <w:kern w:val="0"/>
        </w:rPr>
        <w:t>? Yeo, T.K.</w:t>
      </w:r>
      <w:r w:rsidR="005853A9">
        <w:rPr>
          <w:kern w:val="0"/>
        </w:rPr>
        <w:t xml:space="preserve"> and </w:t>
      </w:r>
      <w:r w:rsidRPr="001A3D2B">
        <w:rPr>
          <w:kern w:val="0"/>
        </w:rPr>
        <w:t>Eong, K.G.A. (2008</w:t>
      </w:r>
      <w:r w:rsidR="00F42EAC">
        <w:rPr>
          <w:kern w:val="0"/>
        </w:rPr>
        <w:t>), The</w:t>
      </w:r>
      <w:r w:rsidR="003A1917">
        <w:rPr>
          <w:kern w:val="0"/>
        </w:rPr>
        <w:t xml:space="preserve"> </w:t>
      </w:r>
      <w:r w:rsidRPr="001A3D2B">
        <w:rPr>
          <w:kern w:val="0"/>
        </w:rPr>
        <w:t xml:space="preserve">100 most frequently cited articles in ophthalmology journals: Another perspective. </w:t>
      </w:r>
      <w:r w:rsidRPr="001A3D2B">
        <w:rPr>
          <w:i/>
          <w:iCs/>
          <w:kern w:val="0"/>
        </w:rPr>
        <w:t>Archives</w:t>
      </w:r>
      <w:r w:rsidR="00427468">
        <w:rPr>
          <w:i/>
          <w:iCs/>
          <w:kern w:val="0"/>
        </w:rPr>
        <w:t xml:space="preserve"> of </w:t>
      </w:r>
      <w:r w:rsidRPr="001A3D2B">
        <w:rPr>
          <w:i/>
          <w:iCs/>
          <w:kern w:val="0"/>
        </w:rPr>
        <w:t>Ophthalmology</w:t>
      </w:r>
      <w:r w:rsidRPr="001A3D2B">
        <w:rPr>
          <w:kern w:val="0"/>
        </w:rPr>
        <w:t xml:space="preserve">, </w:t>
      </w:r>
      <w:r w:rsidRPr="001A3D2B">
        <w:rPr>
          <w:b/>
          <w:bCs/>
          <w:kern w:val="0"/>
        </w:rPr>
        <w:t>126</w:t>
      </w:r>
      <w:r w:rsidRPr="001A3D2B">
        <w:rPr>
          <w:kern w:val="0"/>
        </w:rPr>
        <w:t xml:space="preserve"> (6), 873-874.</w:t>
      </w:r>
    </w:p>
    <w:p w:rsidR="00A5367E" w:rsidRPr="001A3D2B" w:rsidRDefault="00A5367E" w:rsidP="00A5367E">
      <w:pPr>
        <w:pStyle w:val="a3"/>
      </w:pPr>
      <w:r w:rsidRPr="001A3D2B">
        <w:t xml:space="preserve">Full Text: </w:t>
      </w:r>
      <w:hyperlink r:id="rId1151" w:history="1">
        <w:r w:rsidRPr="001A3D2B">
          <w:rPr>
            <w:rStyle w:val="a5"/>
          </w:rPr>
          <w:t>2008\Arc Oph126, 873.pdf</w:t>
        </w:r>
      </w:hyperlink>
    </w:p>
    <w:p w:rsidR="00F01A6B" w:rsidRDefault="00F01A6B" w:rsidP="00F01A6B">
      <w:pPr>
        <w:pStyle w:val="a3"/>
        <w:rPr>
          <w:kern w:val="0"/>
        </w:rPr>
      </w:pPr>
      <w:r>
        <w:rPr>
          <w:rFonts w:hint="eastAsia"/>
          <w:kern w:val="0"/>
        </w:rPr>
        <w:t xml:space="preserve">? </w:t>
      </w:r>
      <w:r>
        <w:rPr>
          <w:kern w:val="0"/>
        </w:rPr>
        <w:t>Obha, N. (2008</w:t>
      </w:r>
      <w:r w:rsidR="00F42EAC">
        <w:rPr>
          <w:kern w:val="0"/>
        </w:rPr>
        <w:t>), The</w:t>
      </w:r>
      <w:r w:rsidR="003A1917">
        <w:rPr>
          <w:kern w:val="0"/>
        </w:rPr>
        <w:t xml:space="preserve"> </w:t>
      </w:r>
      <w:r>
        <w:rPr>
          <w:kern w:val="0"/>
        </w:rPr>
        <w:t xml:space="preserve">100 most frequently cited articles in ophthalmology journals: Another perspective - In reply. </w:t>
      </w:r>
      <w:r>
        <w:rPr>
          <w:i/>
          <w:iCs/>
          <w:kern w:val="0"/>
        </w:rPr>
        <w:t>Archives</w:t>
      </w:r>
      <w:r w:rsidR="00427468">
        <w:rPr>
          <w:i/>
          <w:iCs/>
          <w:kern w:val="0"/>
        </w:rPr>
        <w:t xml:space="preserve"> of </w:t>
      </w:r>
      <w:r>
        <w:rPr>
          <w:i/>
          <w:iCs/>
          <w:kern w:val="0"/>
        </w:rPr>
        <w:t>Ophthalmology</w:t>
      </w:r>
      <w:r>
        <w:rPr>
          <w:kern w:val="0"/>
        </w:rPr>
        <w:t xml:space="preserve">, </w:t>
      </w:r>
      <w:r>
        <w:rPr>
          <w:b/>
          <w:bCs/>
          <w:kern w:val="0"/>
        </w:rPr>
        <w:t>126</w:t>
      </w:r>
      <w:r>
        <w:rPr>
          <w:kern w:val="0"/>
        </w:rPr>
        <w:t xml:space="preserve"> (6), 874-875</w:t>
      </w:r>
      <w:r>
        <w:rPr>
          <w:rFonts w:hint="eastAsia"/>
          <w:kern w:val="0"/>
        </w:rPr>
        <w:t>.</w:t>
      </w:r>
    </w:p>
    <w:p w:rsidR="00976A60" w:rsidRPr="00F219CA" w:rsidRDefault="00976A60" w:rsidP="00976A60">
      <w:pPr>
        <w:pStyle w:val="a3"/>
      </w:pPr>
      <w:r w:rsidRPr="00F219CA">
        <w:t xml:space="preserve">Full Text: </w:t>
      </w:r>
      <w:hyperlink r:id="rId1152" w:history="1">
        <w:r w:rsidRPr="00AF5678">
          <w:rPr>
            <w:rStyle w:val="a5"/>
          </w:rPr>
          <w:t>2008\Arc Oph126, 874.pdf</w:t>
        </w:r>
      </w:hyperlink>
    </w:p>
    <w:p w:rsidR="00F01A6B" w:rsidRDefault="00F01A6B" w:rsidP="00F01A6B">
      <w:pPr>
        <w:pStyle w:val="a3"/>
        <w:rPr>
          <w:kern w:val="0"/>
        </w:rPr>
      </w:pPr>
      <w:r>
        <w:rPr>
          <w:kern w:val="0"/>
        </w:rPr>
        <w:t>Keywords: Journals</w:t>
      </w:r>
    </w:p>
    <w:p w:rsidR="004A7891" w:rsidRDefault="004A7891" w:rsidP="004A7891">
      <w:pPr>
        <w:pStyle w:val="a3"/>
        <w:rPr>
          <w:kern w:val="0"/>
        </w:rPr>
      </w:pPr>
      <w:r>
        <w:rPr>
          <w:rFonts w:hint="eastAsia"/>
          <w:kern w:val="0"/>
        </w:rPr>
        <w:t xml:space="preserve">? </w:t>
      </w:r>
      <w:r>
        <w:rPr>
          <w:kern w:val="0"/>
        </w:rPr>
        <w:t>Akbari, M., Akbari, S.</w:t>
      </w:r>
      <w:r w:rsidR="005853A9">
        <w:rPr>
          <w:kern w:val="0"/>
        </w:rPr>
        <w:t xml:space="preserve"> and </w:t>
      </w:r>
      <w:r>
        <w:rPr>
          <w:kern w:val="0"/>
        </w:rPr>
        <w:t>Pasquale, L.R. (2009</w:t>
      </w:r>
      <w:r w:rsidR="00F42EAC">
        <w:rPr>
          <w:kern w:val="0"/>
        </w:rPr>
        <w:t>), The</w:t>
      </w:r>
      <w:r w:rsidR="003A1917">
        <w:rPr>
          <w:kern w:val="0"/>
        </w:rPr>
        <w:t xml:space="preserve"> </w:t>
      </w:r>
      <w:r>
        <w:rPr>
          <w:kern w:val="0"/>
        </w:rPr>
        <w:t>association</w:t>
      </w:r>
      <w:r w:rsidR="00427468">
        <w:rPr>
          <w:kern w:val="0"/>
        </w:rPr>
        <w:t xml:space="preserve"> of </w:t>
      </w:r>
      <w:r>
        <w:rPr>
          <w:kern w:val="0"/>
        </w:rPr>
        <w:t>primary open-angle glaucoma with mortality</w:t>
      </w:r>
      <w:r w:rsidR="00976A60">
        <w:rPr>
          <w:rFonts w:hint="eastAsia"/>
          <w:kern w:val="0"/>
        </w:rPr>
        <w:t>:</w:t>
      </w:r>
      <w:r>
        <w:rPr>
          <w:kern w:val="0"/>
        </w:rPr>
        <w:t xml:space="preserve"> </w:t>
      </w:r>
      <w:r w:rsidR="00976A60">
        <w:rPr>
          <w:kern w:val="0"/>
        </w:rPr>
        <w:t xml:space="preserve">A </w:t>
      </w:r>
      <w:r>
        <w:rPr>
          <w:kern w:val="0"/>
        </w:rPr>
        <w:t>meta-analysis</w:t>
      </w:r>
      <w:r w:rsidR="00427468">
        <w:rPr>
          <w:kern w:val="0"/>
        </w:rPr>
        <w:t xml:space="preserve"> of </w:t>
      </w:r>
      <w:r>
        <w:rPr>
          <w:kern w:val="0"/>
        </w:rPr>
        <w:t xml:space="preserve">observational studies. </w:t>
      </w:r>
      <w:r>
        <w:rPr>
          <w:i/>
          <w:iCs/>
          <w:kern w:val="0"/>
        </w:rPr>
        <w:t>Archives</w:t>
      </w:r>
      <w:r w:rsidR="00427468">
        <w:rPr>
          <w:i/>
          <w:iCs/>
          <w:kern w:val="0"/>
        </w:rPr>
        <w:t xml:space="preserve"> of </w:t>
      </w:r>
      <w:r>
        <w:rPr>
          <w:i/>
          <w:iCs/>
          <w:kern w:val="0"/>
        </w:rPr>
        <w:t>Ophthalmology</w:t>
      </w:r>
      <w:r>
        <w:rPr>
          <w:kern w:val="0"/>
        </w:rPr>
        <w:t xml:space="preserve">, </w:t>
      </w:r>
      <w:r>
        <w:rPr>
          <w:b/>
          <w:bCs/>
          <w:kern w:val="0"/>
        </w:rPr>
        <w:t>127</w:t>
      </w:r>
      <w:r>
        <w:rPr>
          <w:kern w:val="0"/>
        </w:rPr>
        <w:t xml:space="preserve"> (2), 204-210.</w:t>
      </w:r>
    </w:p>
    <w:p w:rsidR="00976A60" w:rsidRPr="00F219CA" w:rsidRDefault="00976A60" w:rsidP="00976A60">
      <w:pPr>
        <w:pStyle w:val="a3"/>
      </w:pPr>
      <w:r w:rsidRPr="00F219CA">
        <w:t xml:space="preserve">Full Text: </w:t>
      </w:r>
      <w:hyperlink r:id="rId1153" w:history="1">
        <w:r w:rsidRPr="00976A60">
          <w:rPr>
            <w:rStyle w:val="a5"/>
          </w:rPr>
          <w:t>2009\Arc Oph127, 204.pdf</w:t>
        </w:r>
      </w:hyperlink>
    </w:p>
    <w:p w:rsidR="004A7891" w:rsidRDefault="004A7891" w:rsidP="004A7891">
      <w:pPr>
        <w:pStyle w:val="a3"/>
        <w:rPr>
          <w:kern w:val="0"/>
        </w:rPr>
      </w:pPr>
      <w:r>
        <w:rPr>
          <w:kern w:val="0"/>
        </w:rPr>
        <w:t>Abstract: Objective: To conduct a meta-analysis to estimate</w:t>
      </w:r>
      <w:r w:rsidR="003A1917">
        <w:rPr>
          <w:kern w:val="0"/>
        </w:rPr>
        <w:t xml:space="preserve"> the </w:t>
      </w:r>
      <w:r>
        <w:rPr>
          <w:kern w:val="0"/>
        </w:rPr>
        <w:t>relationship between primary open-angle glaucoma (POAG)</w:t>
      </w:r>
      <w:r w:rsidR="005853A9">
        <w:rPr>
          <w:kern w:val="0"/>
        </w:rPr>
        <w:t xml:space="preserve"> and </w:t>
      </w:r>
      <w:r>
        <w:rPr>
          <w:kern w:val="0"/>
        </w:rPr>
        <w:t>mortality. Methods: A systematic search</w:t>
      </w:r>
      <w:r w:rsidR="00427468">
        <w:rPr>
          <w:kern w:val="0"/>
        </w:rPr>
        <w:t xml:space="preserve"> of </w:t>
      </w:r>
      <w:r w:rsidR="003A1917">
        <w:rPr>
          <w:kern w:val="0"/>
        </w:rPr>
        <w:t xml:space="preserve">the </w:t>
      </w:r>
      <w:r w:rsidR="002C12F0">
        <w:rPr>
          <w:kern w:val="0"/>
        </w:rPr>
        <w:t>PUBMED</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yielded 9 cohort studies with relative risk (RR) estimates for all-cause mortality</w:t>
      </w:r>
      <w:r w:rsidR="00A37C1D">
        <w:rPr>
          <w:kern w:val="0"/>
        </w:rPr>
        <w:t>. The</w:t>
      </w:r>
      <w:r w:rsidR="003A1917">
        <w:rPr>
          <w:kern w:val="0"/>
        </w:rPr>
        <w:t xml:space="preserve"> </w:t>
      </w:r>
      <w:r>
        <w:rPr>
          <w:kern w:val="0"/>
        </w:rPr>
        <w:t>studies were critically reviewed by an expert in</w:t>
      </w:r>
      <w:r w:rsidR="003A1917">
        <w:rPr>
          <w:kern w:val="0"/>
        </w:rPr>
        <w:t xml:space="preserve"> the </w:t>
      </w:r>
      <w:r>
        <w:rPr>
          <w:kern w:val="0"/>
        </w:rPr>
        <w:t>field</w:t>
      </w:r>
      <w:r w:rsidR="00A37C1D">
        <w:rPr>
          <w:kern w:val="0"/>
        </w:rPr>
        <w:t>. The</w:t>
      </w:r>
      <w:r w:rsidR="003A1917">
        <w:rPr>
          <w:kern w:val="0"/>
        </w:rPr>
        <w:t xml:space="preserve"> </w:t>
      </w:r>
      <w:r>
        <w:rPr>
          <w:kern w:val="0"/>
        </w:rPr>
        <w:t>data were extracted</w:t>
      </w:r>
      <w:r w:rsidR="005853A9">
        <w:rPr>
          <w:kern w:val="0"/>
        </w:rPr>
        <w:t xml:space="preserve"> and </w:t>
      </w:r>
      <w:r>
        <w:rPr>
          <w:kern w:val="0"/>
        </w:rPr>
        <w:t>analyzed in a pooled analysis by</w:t>
      </w:r>
      <w:r w:rsidR="003A1917">
        <w:rPr>
          <w:kern w:val="0"/>
        </w:rPr>
        <w:t xml:space="preserve"> the </w:t>
      </w:r>
      <w:r>
        <w:rPr>
          <w:kern w:val="0"/>
        </w:rPr>
        <w:t>random-effects model. Meta-regression to assess for heterogeneity by several covariates</w:t>
      </w:r>
      <w:r w:rsidR="005853A9">
        <w:rPr>
          <w:kern w:val="0"/>
        </w:rPr>
        <w:t xml:space="preserve"> and </w:t>
      </w:r>
      <w:r>
        <w:rPr>
          <w:kern w:val="0"/>
        </w:rPr>
        <w:t>subgroup analysis on cardiovascular mortality were performed. Results: A significant risk was not detected in</w:t>
      </w:r>
      <w:r w:rsidR="003A1917">
        <w:rPr>
          <w:kern w:val="0"/>
        </w:rPr>
        <w:t xml:space="preserve"> the </w:t>
      </w:r>
      <w:r>
        <w:rPr>
          <w:kern w:val="0"/>
        </w:rPr>
        <w:t>final pooled analysis (RR, 1.13; 95% confidence interval [CI], 0.97-1.31) for all-cause mortality. A meta-regression across mean follow-up time, age,</w:t>
      </w:r>
      <w:r w:rsidR="005853A9">
        <w:rPr>
          <w:kern w:val="0"/>
        </w:rPr>
        <w:t xml:space="preserve"> and </w:t>
      </w:r>
      <w:r>
        <w:rPr>
          <w:kern w:val="0"/>
        </w:rPr>
        <w:t>sex was not significant. A meta-regression across diabetes status in 3</w:t>
      </w:r>
      <w:r w:rsidR="00427468">
        <w:rPr>
          <w:kern w:val="0"/>
        </w:rPr>
        <w:t xml:space="preserve"> of </w:t>
      </w:r>
      <w:r w:rsidR="003A1917">
        <w:rPr>
          <w:kern w:val="0"/>
        </w:rPr>
        <w:t xml:space="preserve">the </w:t>
      </w:r>
      <w:r>
        <w:rPr>
          <w:kern w:val="0"/>
        </w:rPr>
        <w:t>9 studies did not demonstrate significant results (P = .94). Subgroup analysis on cardiovascular mortality from 4</w:t>
      </w:r>
      <w:r w:rsidR="00427468">
        <w:rPr>
          <w:kern w:val="0"/>
        </w:rPr>
        <w:t xml:space="preserve"> of </w:t>
      </w:r>
      <w:r w:rsidR="003A1917">
        <w:rPr>
          <w:kern w:val="0"/>
        </w:rPr>
        <w:t xml:space="preserve">the </w:t>
      </w:r>
      <w:r>
        <w:rPr>
          <w:kern w:val="0"/>
        </w:rPr>
        <w:t>9 studies was marginally significant (RR, 1.20; 95% CI, 1.00-1.43; P = .05), but insignificant after removal</w:t>
      </w:r>
      <w:r w:rsidR="00427468">
        <w:rPr>
          <w:kern w:val="0"/>
        </w:rPr>
        <w:t xml:space="preserve"> of </w:t>
      </w:r>
      <w:r>
        <w:rPr>
          <w:kern w:val="0"/>
        </w:rPr>
        <w:t>a study in which POAG was ascertained by self</w:t>
      </w:r>
      <w:r w:rsidR="005853A9">
        <w:rPr>
          <w:kern w:val="0"/>
        </w:rPr>
        <w:t xml:space="preserve"> and </w:t>
      </w:r>
      <w:r>
        <w:rPr>
          <w:kern w:val="0"/>
        </w:rPr>
        <w:t>proxy report (RR, 1.12; 95% CI, 0.87-1.46). Conclusion: This meta-analysis does not demonstrate an association between POAG</w:t>
      </w:r>
      <w:r w:rsidR="005853A9">
        <w:rPr>
          <w:kern w:val="0"/>
        </w:rPr>
        <w:t xml:space="preserve"> and </w:t>
      </w:r>
      <w:r>
        <w:rPr>
          <w:kern w:val="0"/>
        </w:rPr>
        <w:t>all-cause or cardiovascular mortality.</w:t>
      </w:r>
    </w:p>
    <w:p w:rsidR="004A7891" w:rsidRDefault="004A7891" w:rsidP="004A7891">
      <w:pPr>
        <w:pStyle w:val="a3"/>
        <w:rPr>
          <w:kern w:val="0"/>
        </w:rPr>
      </w:pPr>
      <w:r>
        <w:rPr>
          <w:kern w:val="0"/>
        </w:rPr>
        <w:t xml:space="preserve">Keywords: All-Cause Mortality, Analysis, Angeles Latino Eye, Barbados Eye, Beaver Dam Eye, Blood-Pressure Indexes, Blue Mountains Eye, Cardiovascular, Cohort Studies, Coronary-Heart-Disease, Databases, Diabetes, Follow-up, Intraocular-Pressure, Meta Analysis, Meta-Analysis, Methods, Model, Mortality, Pooled Analysis, Primary, </w:t>
      </w:r>
      <w:r w:rsidR="002C12F0">
        <w:rPr>
          <w:kern w:val="0"/>
        </w:rPr>
        <w:t>PUBMED</w:t>
      </w:r>
      <w:r>
        <w:rPr>
          <w:kern w:val="0"/>
        </w:rPr>
        <w:t xml:space="preserve">, Relative Risk, Risk, Risk-Factors, Science, Systematic, Type-2 Diabetes-Mellitus, </w:t>
      </w:r>
      <w:r w:rsidR="00D5664A">
        <w:rPr>
          <w:kern w:val="0"/>
        </w:rPr>
        <w:t>Web</w:t>
      </w:r>
      <w:r w:rsidR="00427468">
        <w:rPr>
          <w:kern w:val="0"/>
        </w:rPr>
        <w:t xml:space="preserve"> of </w:t>
      </w:r>
      <w:r w:rsidR="00D5664A">
        <w:rPr>
          <w:kern w:val="0"/>
        </w:rPr>
        <w:t>Science</w:t>
      </w:r>
    </w:p>
    <w:p w:rsidR="00AE3B01" w:rsidRDefault="00AE3B01" w:rsidP="00AE3B01">
      <w:pPr>
        <w:pStyle w:val="a3"/>
        <w:rPr>
          <w:kern w:val="0"/>
        </w:rPr>
      </w:pPr>
      <w:r>
        <w:rPr>
          <w:rFonts w:hint="eastAsia"/>
          <w:kern w:val="0"/>
        </w:rPr>
        <w:t xml:space="preserve">? </w:t>
      </w:r>
      <w:r>
        <w:rPr>
          <w:kern w:val="0"/>
        </w:rPr>
        <w:t>Ohba, N.</w:t>
      </w:r>
      <w:r w:rsidR="005853A9">
        <w:rPr>
          <w:kern w:val="0"/>
        </w:rPr>
        <w:t xml:space="preserve"> and </w:t>
      </w:r>
      <w:r>
        <w:rPr>
          <w:kern w:val="0"/>
        </w:rPr>
        <w:t>Nakao, K. (2010</w:t>
      </w:r>
      <w:r w:rsidR="00F42EAC">
        <w:rPr>
          <w:kern w:val="0"/>
        </w:rPr>
        <w:t>), The</w:t>
      </w:r>
      <w:r w:rsidR="003A1917">
        <w:rPr>
          <w:kern w:val="0"/>
        </w:rPr>
        <w:t xml:space="preserve"> </w:t>
      </w:r>
      <w:r>
        <w:rPr>
          <w:kern w:val="0"/>
        </w:rPr>
        <w:t xml:space="preserve">101 most frequently cited articles in ophthalmology journals from 1850 to 1949. </w:t>
      </w:r>
      <w:r>
        <w:rPr>
          <w:i/>
          <w:iCs/>
          <w:kern w:val="0"/>
        </w:rPr>
        <w:t>Archives</w:t>
      </w:r>
      <w:r w:rsidR="00427468">
        <w:rPr>
          <w:i/>
          <w:iCs/>
          <w:kern w:val="0"/>
        </w:rPr>
        <w:t xml:space="preserve"> of </w:t>
      </w:r>
      <w:r>
        <w:rPr>
          <w:i/>
          <w:iCs/>
          <w:kern w:val="0"/>
        </w:rPr>
        <w:t>Ophthalmology</w:t>
      </w:r>
      <w:r>
        <w:rPr>
          <w:kern w:val="0"/>
        </w:rPr>
        <w:t xml:space="preserve">, </w:t>
      </w:r>
      <w:r>
        <w:rPr>
          <w:b/>
          <w:bCs/>
          <w:kern w:val="0"/>
        </w:rPr>
        <w:t>128</w:t>
      </w:r>
      <w:r>
        <w:rPr>
          <w:kern w:val="0"/>
        </w:rPr>
        <w:t xml:space="preserve"> (12), </w:t>
      </w:r>
      <w:r>
        <w:rPr>
          <w:kern w:val="0"/>
        </w:rPr>
        <w:lastRenderedPageBreak/>
        <w:t>1610-1617.</w:t>
      </w:r>
    </w:p>
    <w:p w:rsidR="00AE3B01" w:rsidRPr="00F219CA" w:rsidRDefault="00AE3B01" w:rsidP="00AE3B01">
      <w:pPr>
        <w:pStyle w:val="a3"/>
      </w:pPr>
      <w:r w:rsidRPr="00F219CA">
        <w:t xml:space="preserve">Full Text: </w:t>
      </w:r>
      <w:hyperlink r:id="rId1154" w:history="1">
        <w:r w:rsidRPr="00A85D66">
          <w:rPr>
            <w:rStyle w:val="a5"/>
          </w:rPr>
          <w:t>2010\Arc Oph128, 1610.pdf</w:t>
        </w:r>
      </w:hyperlink>
    </w:p>
    <w:p w:rsidR="00AE3B01" w:rsidRDefault="00AE3B01" w:rsidP="00AE3B01">
      <w:pPr>
        <w:pStyle w:val="a3"/>
        <w:rPr>
          <w:kern w:val="0"/>
        </w:rPr>
      </w:pPr>
      <w:r>
        <w:rPr>
          <w:kern w:val="0"/>
        </w:rPr>
        <w:t>Abstract: We screened 32 ophthalmology journals that had published articles during</w:t>
      </w:r>
      <w:r w:rsidR="003A1917">
        <w:rPr>
          <w:kern w:val="0"/>
        </w:rPr>
        <w:t xml:space="preserve"> the </w:t>
      </w:r>
      <w:r>
        <w:rPr>
          <w:kern w:val="0"/>
        </w:rPr>
        <w:t>period from 1850 through 1949 to identify top-cited articles in</w:t>
      </w:r>
      <w:r w:rsidR="003A1917">
        <w:rPr>
          <w:kern w:val="0"/>
        </w:rPr>
        <w:t xml:space="preserve"> the </w:t>
      </w:r>
      <w:r>
        <w:rPr>
          <w:kern w:val="0"/>
        </w:rPr>
        <w:t>field</w:t>
      </w:r>
      <w:r w:rsidR="00427468">
        <w:rPr>
          <w:kern w:val="0"/>
        </w:rPr>
        <w:t xml:space="preserve"> of </w:t>
      </w:r>
      <w:r>
        <w:rPr>
          <w:kern w:val="0"/>
        </w:rPr>
        <w:t>ophthalmology (hereafter referred to as citation classics) using</w:t>
      </w:r>
      <w:r w:rsidR="003A1917">
        <w:rPr>
          <w:kern w:val="0"/>
        </w:rPr>
        <w:t xml:space="preserve"> the </w:t>
      </w:r>
      <w:r>
        <w:rPr>
          <w:kern w:val="0"/>
        </w:rPr>
        <w:t>online database Science Citation Index Expanded (Thompson Reuters, Chicago, Illinois)</w:t>
      </w:r>
      <w:r w:rsidR="00A37C1D">
        <w:rPr>
          <w:kern w:val="0"/>
        </w:rPr>
        <w:t>. The</w:t>
      </w:r>
      <w:r w:rsidR="003A1917">
        <w:rPr>
          <w:kern w:val="0"/>
        </w:rPr>
        <w:t xml:space="preserve"> </w:t>
      </w:r>
      <w:r>
        <w:rPr>
          <w:kern w:val="0"/>
        </w:rPr>
        <w:t>101 most frequently cited articles were published in 16 journals. Archives</w:t>
      </w:r>
      <w:r w:rsidR="00427468">
        <w:rPr>
          <w:kern w:val="0"/>
        </w:rPr>
        <w:t xml:space="preserve"> of </w:t>
      </w:r>
      <w:r>
        <w:rPr>
          <w:kern w:val="0"/>
        </w:rPr>
        <w:t>Ophthalmology had</w:t>
      </w:r>
      <w:r w:rsidR="003A1917">
        <w:rPr>
          <w:kern w:val="0"/>
        </w:rPr>
        <w:t xml:space="preserve"> the </w:t>
      </w:r>
      <w:r>
        <w:rPr>
          <w:kern w:val="0"/>
        </w:rPr>
        <w:t>most top-cited articles (n=31), followed by American Journal</w:t>
      </w:r>
      <w:r w:rsidR="00427468">
        <w:rPr>
          <w:kern w:val="0"/>
        </w:rPr>
        <w:t xml:space="preserve"> of </w:t>
      </w:r>
      <w:r>
        <w:rPr>
          <w:kern w:val="0"/>
        </w:rPr>
        <w:t>Ophthalmology (n=24)</w:t>
      </w:r>
      <w:r w:rsidR="005853A9">
        <w:rPr>
          <w:kern w:val="0"/>
        </w:rPr>
        <w:t xml:space="preserve"> and </w:t>
      </w:r>
      <w:r>
        <w:rPr>
          <w:kern w:val="0"/>
        </w:rPr>
        <w:t>Albrecht von Graefe</w:t>
      </w:r>
      <w:r w:rsidR="00700038">
        <w:rPr>
          <w:kern w:val="0"/>
        </w:rPr>
        <w:t>’</w:t>
      </w:r>
      <w:r w:rsidR="00C13DDC">
        <w:rPr>
          <w:kern w:val="0"/>
        </w:rPr>
        <w:t>s</w:t>
      </w:r>
      <w:r>
        <w:rPr>
          <w:kern w:val="0"/>
        </w:rPr>
        <w:t xml:space="preserve"> Archiv fur Ophthalmologie (n=9)</w:t>
      </w:r>
      <w:r w:rsidR="00A37C1D">
        <w:rPr>
          <w:kern w:val="0"/>
        </w:rPr>
        <w:t>. The</w:t>
      </w:r>
      <w:r>
        <w:rPr>
          <w:kern w:val="0"/>
        </w:rPr>
        <w:t>se articles originated from 14 countries, with</w:t>
      </w:r>
      <w:r w:rsidR="003A1917">
        <w:rPr>
          <w:kern w:val="0"/>
        </w:rPr>
        <w:t xml:space="preserve"> the </w:t>
      </w:r>
      <w:r>
        <w:rPr>
          <w:kern w:val="0"/>
        </w:rPr>
        <w:t>United States publishing</w:t>
      </w:r>
      <w:r w:rsidR="003A1917">
        <w:rPr>
          <w:kern w:val="0"/>
        </w:rPr>
        <w:t xml:space="preserve"> the </w:t>
      </w:r>
      <w:r>
        <w:rPr>
          <w:kern w:val="0"/>
        </w:rPr>
        <w:t>majority (n=58). Most</w:t>
      </w:r>
      <w:r w:rsidR="00427468">
        <w:rPr>
          <w:kern w:val="0"/>
        </w:rPr>
        <w:t xml:space="preserve"> of </w:t>
      </w:r>
      <w:r w:rsidR="003A1917">
        <w:rPr>
          <w:kern w:val="0"/>
        </w:rPr>
        <w:t xml:space="preserve">the </w:t>
      </w:r>
      <w:r>
        <w:rPr>
          <w:kern w:val="0"/>
        </w:rPr>
        <w:t>citation classics are clinical studies on topics such as rubella cataract, retinopathy</w:t>
      </w:r>
      <w:r w:rsidR="00427468">
        <w:rPr>
          <w:kern w:val="0"/>
        </w:rPr>
        <w:t xml:space="preserve"> of </w:t>
      </w:r>
      <w:r>
        <w:rPr>
          <w:kern w:val="0"/>
        </w:rPr>
        <w:t>prematurity, keratoconjunctivitis sicca, sympathetic ophthalmia,</w:t>
      </w:r>
      <w:r w:rsidR="005853A9">
        <w:rPr>
          <w:kern w:val="0"/>
        </w:rPr>
        <w:t xml:space="preserve"> and </w:t>
      </w:r>
      <w:r w:rsidR="003A1917">
        <w:rPr>
          <w:kern w:val="0"/>
        </w:rPr>
        <w:t xml:space="preserve">the </w:t>
      </w:r>
      <w:r>
        <w:rPr>
          <w:kern w:val="0"/>
        </w:rPr>
        <w:t>first report</w:t>
      </w:r>
      <w:r w:rsidR="00427468">
        <w:rPr>
          <w:kern w:val="0"/>
        </w:rPr>
        <w:t xml:space="preserve"> of </w:t>
      </w:r>
      <w:r>
        <w:rPr>
          <w:kern w:val="0"/>
        </w:rPr>
        <w:t>eponymous diseases (eg, Leber hereditary optic neuropathy, Duane retraction syndrome,</w:t>
      </w:r>
      <w:r w:rsidR="005853A9">
        <w:rPr>
          <w:kern w:val="0"/>
        </w:rPr>
        <w:t xml:space="preserve"> and </w:t>
      </w:r>
      <w:r>
        <w:rPr>
          <w:kern w:val="0"/>
        </w:rPr>
        <w:t>Stargardt disease). A considerable number</w:t>
      </w:r>
      <w:r w:rsidR="00427468">
        <w:rPr>
          <w:kern w:val="0"/>
        </w:rPr>
        <w:t xml:space="preserve"> of </w:t>
      </w:r>
      <w:r>
        <w:rPr>
          <w:kern w:val="0"/>
        </w:rPr>
        <w:t>these articles were ignored initially</w:t>
      </w:r>
      <w:r w:rsidR="005853A9">
        <w:rPr>
          <w:kern w:val="0"/>
        </w:rPr>
        <w:t xml:space="preserve"> and </w:t>
      </w:r>
      <w:r>
        <w:rPr>
          <w:kern w:val="0"/>
        </w:rPr>
        <w:t>for several decades after publication, but, like</w:t>
      </w:r>
      <w:r w:rsidR="003A1917">
        <w:rPr>
          <w:kern w:val="0"/>
        </w:rPr>
        <w:t xml:space="preserve"> the </w:t>
      </w:r>
      <w:r>
        <w:rPr>
          <w:kern w:val="0"/>
        </w:rPr>
        <w:t>classic fairy tale Sleeping Beauty, they have been rediscovered. Our study provides a historical perspective on</w:t>
      </w:r>
      <w:r w:rsidR="003A1917">
        <w:rPr>
          <w:kern w:val="0"/>
        </w:rPr>
        <w:t xml:space="preserve"> the </w:t>
      </w:r>
      <w:r>
        <w:rPr>
          <w:kern w:val="0"/>
        </w:rPr>
        <w:t>classic papers in</w:t>
      </w:r>
      <w:r w:rsidR="003A1917">
        <w:rPr>
          <w:kern w:val="0"/>
        </w:rPr>
        <w:t xml:space="preserve"> the </w:t>
      </w:r>
      <w:r>
        <w:rPr>
          <w:kern w:val="0"/>
        </w:rPr>
        <w:t>literature that are still influential in ophthalmology. Arch Ophthalmol. 2010;128(12):1610-1617.</w:t>
      </w:r>
    </w:p>
    <w:p w:rsidR="00AE3B01" w:rsidRDefault="00AE3B01" w:rsidP="00AE3B01">
      <w:pPr>
        <w:pStyle w:val="a3"/>
        <w:rPr>
          <w:kern w:val="0"/>
        </w:rPr>
      </w:pPr>
      <w:r>
        <w:rPr>
          <w:kern w:val="0"/>
        </w:rPr>
        <w:t>Keywords: Articles, Cataract, Citation, Citation Classics, Database, Field, Journals, Light, Literature, Of-The-Literature, Ophthalmology, Optic-Nerve, Primary Tumors, Publication, Publishing, Recklinghausens-Disease, Science, Science Citation Index, Science Citation Index Expanded</w:t>
      </w:r>
    </w:p>
    <w:p w:rsidR="000A44FA" w:rsidRPr="001A3D2B" w:rsidRDefault="000A44FA" w:rsidP="000A44FA">
      <w:pPr>
        <w:pStyle w:val="1"/>
      </w:pPr>
      <w:r w:rsidRPr="001A3D2B">
        <w:br w:type="page"/>
      </w:r>
      <w:bookmarkStart w:id="590" w:name="_Toc420814584"/>
      <w:r w:rsidRPr="001A3D2B">
        <w:lastRenderedPageBreak/>
        <w:t xml:space="preserve">Title: </w:t>
      </w:r>
      <w:r w:rsidRPr="001A3D2B">
        <w:rPr>
          <w:iCs w:val="0"/>
          <w:szCs w:val="24"/>
        </w:rPr>
        <w:t>Archives</w:t>
      </w:r>
      <w:r w:rsidR="00427468">
        <w:rPr>
          <w:iCs w:val="0"/>
          <w:szCs w:val="24"/>
        </w:rPr>
        <w:t xml:space="preserve"> of </w:t>
      </w:r>
      <w:r w:rsidRPr="001A3D2B">
        <w:rPr>
          <w:iCs w:val="0"/>
          <w:szCs w:val="24"/>
        </w:rPr>
        <w:t>Orthopaedic</w:t>
      </w:r>
      <w:r w:rsidR="005853A9">
        <w:rPr>
          <w:iCs w:val="0"/>
          <w:szCs w:val="24"/>
        </w:rPr>
        <w:t xml:space="preserve"> and </w:t>
      </w:r>
      <w:r w:rsidRPr="001A3D2B">
        <w:rPr>
          <w:iCs w:val="0"/>
          <w:szCs w:val="24"/>
        </w:rPr>
        <w:t>Trauma Surgery</w:t>
      </w:r>
      <w:bookmarkEnd w:id="590"/>
    </w:p>
    <w:p w:rsidR="000A44FA" w:rsidRPr="001A3D2B" w:rsidRDefault="000A44FA" w:rsidP="000A44FA">
      <w:pPr>
        <w:pStyle w:val="12"/>
      </w:pPr>
      <w:r w:rsidRPr="001A3D2B">
        <w:t xml:space="preserve">Full Journal Title: </w:t>
      </w:r>
      <w:hyperlink r:id="rId1155" w:history="1">
        <w:r w:rsidRPr="001A3D2B">
          <w:rPr>
            <w:rStyle w:val="a5"/>
            <w:iCs/>
            <w:kern w:val="0"/>
          </w:rPr>
          <w:t>Archives</w:t>
        </w:r>
        <w:r w:rsidR="00427468">
          <w:rPr>
            <w:rStyle w:val="a5"/>
            <w:iCs/>
            <w:kern w:val="0"/>
          </w:rPr>
          <w:t xml:space="preserve"> of </w:t>
        </w:r>
        <w:r w:rsidRPr="001A3D2B">
          <w:rPr>
            <w:rStyle w:val="a5"/>
            <w:iCs/>
            <w:kern w:val="0"/>
          </w:rPr>
          <w:t>Orthopaedic</w:t>
        </w:r>
        <w:r w:rsidR="005853A9">
          <w:rPr>
            <w:rStyle w:val="a5"/>
            <w:iCs/>
            <w:kern w:val="0"/>
          </w:rPr>
          <w:t xml:space="preserve"> and </w:t>
        </w:r>
        <w:r w:rsidRPr="001A3D2B">
          <w:rPr>
            <w:rStyle w:val="a5"/>
            <w:iCs/>
            <w:kern w:val="0"/>
          </w:rPr>
          <w:t>Trauma Surgery</w:t>
        </w:r>
      </w:hyperlink>
    </w:p>
    <w:p w:rsidR="000A44FA" w:rsidRPr="001A3D2B" w:rsidRDefault="000A44FA" w:rsidP="000A44FA">
      <w:pPr>
        <w:pStyle w:val="12"/>
      </w:pPr>
      <w:r w:rsidRPr="001A3D2B">
        <w:t xml:space="preserve">ISO Abbreviated Title: </w:t>
      </w:r>
    </w:p>
    <w:p w:rsidR="000A44FA" w:rsidRPr="001A3D2B" w:rsidRDefault="000A44FA" w:rsidP="000A44FA">
      <w:pPr>
        <w:pStyle w:val="12"/>
      </w:pPr>
      <w:r w:rsidRPr="001A3D2B">
        <w:t xml:space="preserve">JCR Abbreviated Title: </w:t>
      </w:r>
    </w:p>
    <w:p w:rsidR="000A44FA" w:rsidRPr="001A3D2B" w:rsidRDefault="000A44FA" w:rsidP="000A44FA">
      <w:pPr>
        <w:pStyle w:val="12"/>
      </w:pPr>
      <w:r w:rsidRPr="001A3D2B">
        <w:t xml:space="preserve">ISSN: </w:t>
      </w:r>
    </w:p>
    <w:p w:rsidR="000A44FA" w:rsidRPr="001A3D2B" w:rsidRDefault="000A44FA" w:rsidP="000A44FA">
      <w:pPr>
        <w:pStyle w:val="12"/>
      </w:pPr>
      <w:r w:rsidRPr="001A3D2B">
        <w:t xml:space="preserve">Issues/Year: </w:t>
      </w:r>
    </w:p>
    <w:p w:rsidR="000A44FA" w:rsidRPr="001A3D2B" w:rsidRDefault="000A44FA" w:rsidP="000A44FA">
      <w:pPr>
        <w:pStyle w:val="12"/>
      </w:pPr>
      <w:r w:rsidRPr="001A3D2B">
        <w:t xml:space="preserve">Journal Country </w:t>
      </w:r>
    </w:p>
    <w:p w:rsidR="000A44FA" w:rsidRPr="001A3D2B" w:rsidRDefault="000A44FA" w:rsidP="000A44FA">
      <w:pPr>
        <w:pStyle w:val="12"/>
      </w:pPr>
      <w:r w:rsidRPr="001A3D2B">
        <w:t xml:space="preserve">Language: </w:t>
      </w:r>
    </w:p>
    <w:p w:rsidR="000A44FA" w:rsidRPr="001A3D2B" w:rsidRDefault="000A44FA" w:rsidP="000A44FA">
      <w:pPr>
        <w:pStyle w:val="12"/>
      </w:pPr>
      <w:r w:rsidRPr="001A3D2B">
        <w:t xml:space="preserve">Publisher: </w:t>
      </w:r>
    </w:p>
    <w:p w:rsidR="000A44FA" w:rsidRPr="001A3D2B" w:rsidRDefault="000A44FA" w:rsidP="000A44FA">
      <w:pPr>
        <w:pStyle w:val="12"/>
      </w:pPr>
      <w:r w:rsidRPr="001A3D2B">
        <w:t xml:space="preserve">Publisher Address: </w:t>
      </w:r>
    </w:p>
    <w:p w:rsidR="000A44FA" w:rsidRPr="001A3D2B" w:rsidRDefault="000A44FA" w:rsidP="000A44FA">
      <w:pPr>
        <w:pStyle w:val="12"/>
      </w:pPr>
      <w:r w:rsidRPr="001A3D2B">
        <w:t>Subject Categories:</w:t>
      </w:r>
    </w:p>
    <w:p w:rsidR="000A44FA" w:rsidRPr="001A3D2B" w:rsidRDefault="000A44FA" w:rsidP="000A44FA">
      <w:pPr>
        <w:pStyle w:val="12"/>
      </w:pPr>
      <w:r w:rsidRPr="001A3D2B">
        <w:t xml:space="preserve">: Impact Factor </w:t>
      </w:r>
    </w:p>
    <w:p w:rsidR="000A44FA" w:rsidRPr="001A3D2B" w:rsidRDefault="000A44FA" w:rsidP="000A44FA">
      <w:pPr>
        <w:pStyle w:val="a3"/>
        <w:rPr>
          <w:kern w:val="0"/>
          <w:szCs w:val="24"/>
        </w:rPr>
      </w:pPr>
      <w:r w:rsidRPr="001A3D2B">
        <w:rPr>
          <w:kern w:val="0"/>
          <w:szCs w:val="24"/>
        </w:rPr>
        <w:t>? Schoffel, N., Spallek, M., Scutaru, C., Mache, S., Groneberg, D.A., Quarcoo, D.</w:t>
      </w:r>
      <w:r w:rsidR="005853A9">
        <w:rPr>
          <w:kern w:val="0"/>
          <w:szCs w:val="24"/>
        </w:rPr>
        <w:t xml:space="preserve"> and </w:t>
      </w:r>
      <w:r w:rsidRPr="001A3D2B">
        <w:rPr>
          <w:kern w:val="0"/>
          <w:szCs w:val="24"/>
        </w:rPr>
        <w:t>Vitzthum, K. (2010), Arthroplasty: Critical scientometric analysis</w:t>
      </w:r>
      <w:r w:rsidR="00427468">
        <w:rPr>
          <w:kern w:val="0"/>
          <w:szCs w:val="24"/>
        </w:rPr>
        <w:t xml:space="preserve"> of </w:t>
      </w:r>
      <w:r w:rsidRPr="001A3D2B">
        <w:rPr>
          <w:kern w:val="0"/>
          <w:szCs w:val="24"/>
        </w:rPr>
        <w:t>current benchmarking</w:t>
      </w:r>
      <w:r w:rsidR="005853A9">
        <w:rPr>
          <w:kern w:val="0"/>
          <w:szCs w:val="24"/>
        </w:rPr>
        <w:t xml:space="preserve"> and </w:t>
      </w:r>
      <w:r w:rsidRPr="001A3D2B">
        <w:rPr>
          <w:kern w:val="0"/>
          <w:szCs w:val="24"/>
        </w:rPr>
        <w:t xml:space="preserve">evaluation procedures. </w:t>
      </w:r>
      <w:r w:rsidRPr="001A3D2B">
        <w:rPr>
          <w:i/>
          <w:iCs/>
          <w:kern w:val="0"/>
          <w:szCs w:val="24"/>
        </w:rPr>
        <w:t>Archives</w:t>
      </w:r>
      <w:r w:rsidR="00427468">
        <w:rPr>
          <w:i/>
          <w:iCs/>
          <w:kern w:val="0"/>
          <w:szCs w:val="24"/>
        </w:rPr>
        <w:t xml:space="preserve"> of </w:t>
      </w:r>
      <w:r w:rsidRPr="001A3D2B">
        <w:rPr>
          <w:i/>
          <w:iCs/>
          <w:kern w:val="0"/>
          <w:szCs w:val="24"/>
        </w:rPr>
        <w:t>Orthopaedic</w:t>
      </w:r>
      <w:r w:rsidR="005853A9">
        <w:rPr>
          <w:i/>
          <w:iCs/>
          <w:kern w:val="0"/>
          <w:szCs w:val="24"/>
        </w:rPr>
        <w:t xml:space="preserve"> and </w:t>
      </w:r>
      <w:r w:rsidRPr="001A3D2B">
        <w:rPr>
          <w:i/>
          <w:iCs/>
          <w:kern w:val="0"/>
          <w:szCs w:val="24"/>
        </w:rPr>
        <w:t>Trauma Surgery</w:t>
      </w:r>
      <w:r w:rsidRPr="001A3D2B">
        <w:rPr>
          <w:kern w:val="0"/>
          <w:szCs w:val="24"/>
        </w:rPr>
        <w:t xml:space="preserve">, </w:t>
      </w:r>
      <w:r w:rsidRPr="001A3D2B">
        <w:rPr>
          <w:b/>
          <w:bCs/>
          <w:kern w:val="0"/>
          <w:szCs w:val="24"/>
        </w:rPr>
        <w:t>130</w:t>
      </w:r>
      <w:r w:rsidRPr="001A3D2B">
        <w:rPr>
          <w:kern w:val="0"/>
          <w:szCs w:val="24"/>
        </w:rPr>
        <w:t xml:space="preserve"> (2), 293-296.</w:t>
      </w:r>
    </w:p>
    <w:p w:rsidR="000A44FA" w:rsidRPr="001A3D2B" w:rsidRDefault="000A44FA" w:rsidP="000A44FA">
      <w:pPr>
        <w:pStyle w:val="a3"/>
        <w:rPr>
          <w:kern w:val="0"/>
          <w:szCs w:val="24"/>
        </w:rPr>
      </w:pPr>
      <w:r w:rsidRPr="001A3D2B">
        <w:rPr>
          <w:kern w:val="0"/>
          <w:szCs w:val="24"/>
        </w:rPr>
        <w:t xml:space="preserve">Full Text: </w:t>
      </w:r>
      <w:hyperlink r:id="rId1156" w:history="1">
        <w:r w:rsidRPr="001A3D2B">
          <w:rPr>
            <w:rStyle w:val="a5"/>
            <w:kern w:val="0"/>
            <w:szCs w:val="24"/>
          </w:rPr>
          <w:t>2010\Arc Ort Tra Sur130, 293.pdf</w:t>
        </w:r>
      </w:hyperlink>
    </w:p>
    <w:p w:rsidR="000A44FA" w:rsidRPr="001A3D2B" w:rsidRDefault="000A44FA" w:rsidP="000A44FA">
      <w:pPr>
        <w:pStyle w:val="a3"/>
        <w:rPr>
          <w:kern w:val="0"/>
          <w:szCs w:val="24"/>
        </w:rPr>
      </w:pPr>
      <w:r w:rsidRPr="001A3D2B">
        <w:rPr>
          <w:kern w:val="0"/>
          <w:szCs w:val="24"/>
        </w:rPr>
        <w:t>Keywords: Evaluation, Impact Factor</w:t>
      </w:r>
    </w:p>
    <w:p w:rsidR="003474F2" w:rsidRPr="001A3D2B" w:rsidRDefault="003474F2" w:rsidP="003474F2">
      <w:pPr>
        <w:pStyle w:val="1"/>
      </w:pPr>
      <w:r w:rsidRPr="001A3D2B">
        <w:br w:type="page"/>
      </w:r>
      <w:bookmarkStart w:id="591" w:name="_Toc420814585"/>
      <w:r w:rsidRPr="001A3D2B">
        <w:lastRenderedPageBreak/>
        <w:t>Title: Archives</w:t>
      </w:r>
      <w:r w:rsidR="00427468">
        <w:t xml:space="preserve"> of </w:t>
      </w:r>
      <w:r w:rsidRPr="001A3D2B">
        <w:t xml:space="preserve">Otolaryngology-Head &amp; Neck </w:t>
      </w:r>
      <w:bookmarkStart w:id="592" w:name="_Toc211539555"/>
      <w:r w:rsidRPr="001A3D2B">
        <w:t>Surgery</w:t>
      </w:r>
      <w:bookmarkEnd w:id="591"/>
    </w:p>
    <w:p w:rsidR="003474F2" w:rsidRPr="001A3D2B" w:rsidRDefault="003474F2" w:rsidP="003474F2">
      <w:pPr>
        <w:pStyle w:val="12"/>
      </w:pPr>
      <w:r w:rsidRPr="001A3D2B">
        <w:t>Full Journal Title: Archives</w:t>
      </w:r>
      <w:r w:rsidR="00427468">
        <w:t xml:space="preserve"> of </w:t>
      </w:r>
      <w:r w:rsidRPr="001A3D2B">
        <w:t>Otolaryngolog</w:t>
      </w:r>
      <w:bookmarkEnd w:id="592"/>
      <w:r w:rsidRPr="001A3D2B">
        <w:t>y-Head &amp; Neck Surgery</w:t>
      </w:r>
    </w:p>
    <w:p w:rsidR="003474F2" w:rsidRPr="001A3D2B" w:rsidRDefault="003474F2" w:rsidP="003474F2">
      <w:pPr>
        <w:pStyle w:val="12"/>
      </w:pPr>
      <w:r w:rsidRPr="001A3D2B">
        <w:t>ISO Abbreviated Title: Arch. Otolaryngol. Head Neck Surg.</w:t>
      </w:r>
    </w:p>
    <w:p w:rsidR="003474F2" w:rsidRPr="001A3D2B" w:rsidRDefault="003474F2" w:rsidP="003474F2">
      <w:pPr>
        <w:pStyle w:val="12"/>
      </w:pPr>
      <w:r w:rsidRPr="001A3D2B">
        <w:t>JCR Abbreviated Title: Arch Otolaryngol</w:t>
      </w:r>
    </w:p>
    <w:p w:rsidR="003474F2" w:rsidRPr="001A3D2B" w:rsidRDefault="003474F2" w:rsidP="003474F2">
      <w:pPr>
        <w:pStyle w:val="12"/>
      </w:pPr>
      <w:r w:rsidRPr="001A3D2B">
        <w:t>ISSN: 0886-4470</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Medical Assoc</w:t>
      </w:r>
    </w:p>
    <w:p w:rsidR="003474F2" w:rsidRPr="001A3D2B" w:rsidRDefault="003474F2" w:rsidP="003474F2">
      <w:pPr>
        <w:pStyle w:val="12"/>
      </w:pPr>
      <w:r w:rsidRPr="001A3D2B">
        <w:t>Publisher Address: 515 N State St, Chicago, IL 60610</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Otorhinolaryngology Surgery: Impact Factor </w:t>
      </w:r>
    </w:p>
    <w:p w:rsidR="003474F2" w:rsidRPr="001A3D2B" w:rsidRDefault="003474F2" w:rsidP="003474F2">
      <w:pPr>
        <w:pStyle w:val="a3"/>
      </w:pPr>
      <w:r w:rsidRPr="001A3D2B">
        <w:t xml:space="preserve">? Rosenfeld, R.M. (1991), Clinical research in otolaryngology journals. </w:t>
      </w:r>
      <w:r w:rsidRPr="001A3D2B">
        <w:rPr>
          <w:i/>
          <w:iCs/>
        </w:rPr>
        <w:t>Archives</w:t>
      </w:r>
      <w:r w:rsidR="00427468">
        <w:rPr>
          <w:i/>
          <w:iCs/>
        </w:rPr>
        <w:t xml:space="preserve"> of </w:t>
      </w:r>
      <w:r w:rsidRPr="001A3D2B">
        <w:rPr>
          <w:i/>
          <w:iCs/>
        </w:rPr>
        <w:t>Otolaryngology-Head &amp; Neck Surgery</w:t>
      </w:r>
      <w:r w:rsidRPr="001A3D2B">
        <w:t xml:space="preserve">, </w:t>
      </w:r>
      <w:r w:rsidRPr="001A3D2B">
        <w:rPr>
          <w:b/>
          <w:bCs/>
        </w:rPr>
        <w:t>117</w:t>
      </w:r>
      <w:r w:rsidRPr="001A3D2B">
        <w:t xml:space="preserve"> (2), 164-170.</w:t>
      </w:r>
    </w:p>
    <w:p w:rsidR="003474F2" w:rsidRPr="001A3D2B" w:rsidRDefault="003474F2" w:rsidP="003474F2">
      <w:pPr>
        <w:pStyle w:val="a3"/>
      </w:pPr>
      <w:r w:rsidRPr="001A3D2B">
        <w:t>Abstract: In an era</w:t>
      </w:r>
      <w:r w:rsidR="00427468">
        <w:t xml:space="preserve"> of </w:t>
      </w:r>
      <w:r w:rsidRPr="001A3D2B">
        <w:t>cost-effectiveness</w:t>
      </w:r>
      <w:r w:rsidR="005853A9">
        <w:t xml:space="preserve"> and </w:t>
      </w:r>
      <w:r w:rsidRPr="001A3D2B">
        <w:t>quality control,</w:t>
      </w:r>
      <w:r w:rsidR="003A1917">
        <w:t xml:space="preserve"> the </w:t>
      </w:r>
      <w:r w:rsidRPr="001A3D2B">
        <w:t>need for sound clinical research as a basis for health care decisions has intensified. To identify trends in clinical research, a survey</w:t>
      </w:r>
      <w:r w:rsidR="00427468">
        <w:t xml:space="preserve"> of </w:t>
      </w:r>
      <w:r w:rsidRPr="001A3D2B">
        <w:t>1831 articles in four otolaryngology journals spanning a 20-year period was performed. Clinical research comprised 77%</w:t>
      </w:r>
      <w:r w:rsidR="00427468">
        <w:t xml:space="preserve"> of </w:t>
      </w:r>
      <w:r w:rsidRPr="001A3D2B">
        <w:t>all articles</w:t>
      </w:r>
      <w:r w:rsidR="005853A9">
        <w:t xml:space="preserve"> and </w:t>
      </w:r>
      <w:r w:rsidRPr="001A3D2B">
        <w:t>has steadily increased in volume. Significant trends have occurred toward multiple authorship, more female first authors,</w:t>
      </w:r>
      <w:r w:rsidR="005853A9">
        <w:t xml:space="preserve"> and </w:t>
      </w:r>
      <w:r w:rsidRPr="001A3D2B">
        <w:t>a declining proportion</w:t>
      </w:r>
      <w:r w:rsidR="00427468">
        <w:t xml:space="preserve"> of </w:t>
      </w:r>
      <w:r w:rsidRPr="001A3D2B">
        <w:t>articles with grant support. In 1989, a total</w:t>
      </w:r>
      <w:r w:rsidR="00427468">
        <w:t xml:space="preserve"> of </w:t>
      </w:r>
      <w:r w:rsidRPr="001A3D2B">
        <w:t>224 articles (40%) employed analytic or experimental study designs vs only 64 articles (18%) in 1969. Descriptive studies</w:t>
      </w:r>
      <w:r w:rsidR="005853A9">
        <w:t xml:space="preserve"> and </w:t>
      </w:r>
      <w:r w:rsidRPr="001A3D2B">
        <w:t>review articles have declined in prevalence</w:t>
      </w:r>
      <w:r w:rsidR="00A37C1D">
        <w:t>. The</w:t>
      </w:r>
      <w:r w:rsidRPr="001A3D2B">
        <w:t>se findings suggest that over</w:t>
      </w:r>
      <w:r w:rsidR="003A1917">
        <w:t xml:space="preserve"> the </w:t>
      </w:r>
      <w:r w:rsidRPr="001A3D2B">
        <w:t>past two decades, clinical research in otolaryngology journals has increased in both quantity</w:t>
      </w:r>
      <w:r w:rsidR="005853A9">
        <w:t xml:space="preserve"> and </w:t>
      </w:r>
      <w:r w:rsidRPr="001A3D2B">
        <w:t>quality.</w:t>
      </w:r>
    </w:p>
    <w:p w:rsidR="003474F2" w:rsidRPr="001A3D2B" w:rsidRDefault="003474F2" w:rsidP="003474F2">
      <w:pPr>
        <w:pStyle w:val="a3"/>
      </w:pPr>
      <w:r w:rsidRPr="001A3D2B">
        <w:t>Keywords: Authorship, Care, Clinical, Clinical Research, Control, Cost Effectiveness, Cost-Effectiveness, Experimental, Female, First, Health, Health Care, Journals, Prevalence, Quality, Quality Control, Research, Review, Support, Survey, Trends, Volume</w:t>
      </w:r>
    </w:p>
    <w:p w:rsidR="003474F2" w:rsidRPr="001A3D2B" w:rsidRDefault="003474F2" w:rsidP="003474F2">
      <w:pPr>
        <w:pStyle w:val="a3"/>
      </w:pPr>
      <w:r w:rsidRPr="001A3D2B">
        <w:t>? Rosenfeld, R.M.</w:t>
      </w:r>
      <w:r w:rsidR="005853A9">
        <w:t xml:space="preserve"> and </w:t>
      </w:r>
      <w:r w:rsidRPr="001A3D2B">
        <w:t xml:space="preserve">Rockette, H.E. (1991), Biostatistics in otolaryngology journals. </w:t>
      </w:r>
      <w:r w:rsidRPr="001A3D2B">
        <w:rPr>
          <w:i/>
          <w:iCs/>
        </w:rPr>
        <w:t>Archives</w:t>
      </w:r>
      <w:r w:rsidR="00427468">
        <w:rPr>
          <w:i/>
          <w:iCs/>
        </w:rPr>
        <w:t xml:space="preserve"> of </w:t>
      </w:r>
      <w:r w:rsidRPr="001A3D2B">
        <w:rPr>
          <w:i/>
          <w:iCs/>
        </w:rPr>
        <w:t>Otolaryngology-Head &amp; Neck Surgery</w:t>
      </w:r>
      <w:r w:rsidRPr="001A3D2B">
        <w:t xml:space="preserve">, </w:t>
      </w:r>
      <w:r w:rsidRPr="001A3D2B">
        <w:rPr>
          <w:b/>
          <w:bCs/>
        </w:rPr>
        <w:t>117</w:t>
      </w:r>
      <w:r w:rsidRPr="001A3D2B">
        <w:t xml:space="preserve"> (10), 1172-1176.</w:t>
      </w:r>
    </w:p>
    <w:p w:rsidR="003474F2" w:rsidRPr="001A3D2B" w:rsidRDefault="003474F2" w:rsidP="003474F2">
      <w:pPr>
        <w:pStyle w:val="a3"/>
      </w:pPr>
      <w:r w:rsidRPr="001A3D2B">
        <w:t>Abstract: Clinical research depends on biostatistics to form meaningful inferences from uncertain data. We performed a cross-sectional analysis</w:t>
      </w:r>
      <w:r w:rsidR="00427468">
        <w:t xml:space="preserve"> of </w:t>
      </w:r>
      <w:r w:rsidRPr="001A3D2B">
        <w:t xml:space="preserve">clinical research in otolaryngology journals to identify trends in statistical </w:t>
      </w:r>
      <w:r w:rsidR="00D5664A">
        <w:t>USA</w:t>
      </w:r>
      <w:r w:rsidRPr="001A3D2B">
        <w:t>ge</w:t>
      </w:r>
      <w:r w:rsidR="005853A9">
        <w:t xml:space="preserve"> and </w:t>
      </w:r>
      <w:r w:rsidRPr="001A3D2B">
        <w:t>determine</w:t>
      </w:r>
      <w:r w:rsidR="003A1917">
        <w:t xml:space="preserve"> the </w:t>
      </w:r>
      <w:r w:rsidRPr="001A3D2B">
        <w:t>statistical aptitude expected</w:t>
      </w:r>
      <w:r w:rsidR="00427468">
        <w:t xml:space="preserve"> of </w:t>
      </w:r>
      <w:r w:rsidRPr="001A3D2B">
        <w:t>journal readers. Statistical content</w:t>
      </w:r>
      <w:r w:rsidR="005853A9">
        <w:t xml:space="preserve"> and </w:t>
      </w:r>
      <w:r w:rsidRPr="001A3D2B">
        <w:t>study design were assessed for 1262 articles from 1969, 1979,</w:t>
      </w:r>
      <w:r w:rsidR="005853A9">
        <w:t xml:space="preserve"> and </w:t>
      </w:r>
      <w:r w:rsidRPr="001A3D2B">
        <w:t>1989. General trends toward an increasing use</w:t>
      </w:r>
      <w:r w:rsidR="00427468">
        <w:t xml:space="preserve"> of </w:t>
      </w:r>
      <w:r w:rsidRPr="001A3D2B">
        <w:t>inferential statistics</w:t>
      </w:r>
      <w:r w:rsidR="005853A9">
        <w:t xml:space="preserve"> and </w:t>
      </w:r>
      <w:r w:rsidRPr="001A3D2B">
        <w:t>stronger study designs were observed</w:t>
      </w:r>
      <w:r w:rsidR="00A37C1D">
        <w:t>. The</w:t>
      </w:r>
      <w:r w:rsidR="003A1917">
        <w:t xml:space="preserve"> </w:t>
      </w:r>
      <w:r w:rsidRPr="001A3D2B">
        <w:lastRenderedPageBreak/>
        <w:t>number</w:t>
      </w:r>
      <w:r w:rsidR="00427468">
        <w:t xml:space="preserve"> of </w:t>
      </w:r>
      <w:r w:rsidRPr="001A3D2B">
        <w:t>analytic</w:t>
      </w:r>
      <w:r w:rsidR="005853A9">
        <w:t xml:space="preserve"> and </w:t>
      </w:r>
      <w:r w:rsidRPr="001A3D2B">
        <w:t>experimental studies employing inferential statistics has risen from 20 (31%) in 1969 to 145 (65%) in 1989. Although familiarity with only five statistical techniques gave access to 90%</w:t>
      </w:r>
      <w:r w:rsidR="00427468">
        <w:t xml:space="preserve"> of </w:t>
      </w:r>
      <w:r w:rsidRPr="001A3D2B">
        <w:t>current articles, this study suggests that</w:t>
      </w:r>
      <w:r w:rsidR="003A1917">
        <w:t xml:space="preserve"> the </w:t>
      </w:r>
      <w:r w:rsidRPr="001A3D2B">
        <w:t>level</w:t>
      </w:r>
      <w:r w:rsidR="00427468">
        <w:t xml:space="preserve"> of </w:t>
      </w:r>
      <w:r w:rsidRPr="001A3D2B">
        <w:t>statistical expertise demanded</w:t>
      </w:r>
      <w:r w:rsidR="00427468">
        <w:t xml:space="preserve"> of </w:t>
      </w:r>
      <w:r w:rsidRPr="001A3D2B">
        <w:t>both researchers</w:t>
      </w:r>
      <w:r w:rsidR="005853A9">
        <w:t xml:space="preserve"> and </w:t>
      </w:r>
      <w:r w:rsidRPr="001A3D2B">
        <w:t>readers will continue to increase.</w:t>
      </w:r>
    </w:p>
    <w:p w:rsidR="003474F2" w:rsidRPr="001A3D2B" w:rsidRDefault="003474F2" w:rsidP="003474F2">
      <w:pPr>
        <w:pStyle w:val="a3"/>
      </w:pPr>
      <w:r w:rsidRPr="001A3D2B">
        <w:t>Keywords: Access, Analysis, Aptitude, Clinical, Clinical Research, Data, Design, Experimental, Journal, Journals, Research, Statistics, Study Design, Techniques, Trends</w:t>
      </w:r>
    </w:p>
    <w:p w:rsidR="001252B9" w:rsidRPr="00F219CA" w:rsidRDefault="001252B9" w:rsidP="001252B9">
      <w:pPr>
        <w:pStyle w:val="1"/>
      </w:pPr>
      <w:r w:rsidRPr="00F219CA">
        <w:br w:type="page"/>
      </w:r>
      <w:bookmarkStart w:id="593" w:name="_Toc420814586"/>
      <w:r w:rsidRPr="00F219CA">
        <w:lastRenderedPageBreak/>
        <w:t xml:space="preserve">Title: </w:t>
      </w:r>
      <w:r w:rsidRPr="006E197A">
        <w:t>Archives of Pathology &amp; Laboratory Medicine</w:t>
      </w:r>
      <w:bookmarkEnd w:id="593"/>
    </w:p>
    <w:p w:rsidR="001252B9" w:rsidRPr="00F219CA" w:rsidRDefault="001252B9" w:rsidP="001252B9">
      <w:pPr>
        <w:pStyle w:val="12"/>
      </w:pPr>
      <w:r w:rsidRPr="00F219CA">
        <w:t xml:space="preserve">Full Journal Title: </w:t>
      </w:r>
      <w:r w:rsidRPr="006E197A">
        <w:rPr>
          <w:iCs/>
          <w:kern w:val="0"/>
        </w:rPr>
        <w:t>Archives of Pathology &amp; Laboratory Medicine</w:t>
      </w:r>
    </w:p>
    <w:p w:rsidR="001252B9" w:rsidRPr="00F219CA" w:rsidRDefault="001252B9" w:rsidP="001252B9">
      <w:pPr>
        <w:pStyle w:val="12"/>
      </w:pPr>
      <w:r w:rsidRPr="00F219CA">
        <w:t xml:space="preserve">ISO Abbreviated Title: </w:t>
      </w:r>
    </w:p>
    <w:p w:rsidR="001252B9" w:rsidRPr="00F219CA" w:rsidRDefault="001252B9" w:rsidP="001252B9">
      <w:pPr>
        <w:pStyle w:val="12"/>
      </w:pPr>
      <w:r w:rsidRPr="00F219CA">
        <w:t xml:space="preserve">JCR Abbreviated Title: </w:t>
      </w:r>
    </w:p>
    <w:p w:rsidR="001252B9" w:rsidRPr="00F219CA" w:rsidRDefault="001252B9" w:rsidP="001252B9">
      <w:pPr>
        <w:pStyle w:val="12"/>
      </w:pPr>
      <w:r w:rsidRPr="00F219CA">
        <w:t xml:space="preserve">ISSN: </w:t>
      </w:r>
    </w:p>
    <w:p w:rsidR="001252B9" w:rsidRPr="00F219CA" w:rsidRDefault="001252B9" w:rsidP="001252B9">
      <w:pPr>
        <w:pStyle w:val="12"/>
      </w:pPr>
      <w:r w:rsidRPr="00F219CA">
        <w:t xml:space="preserve">Issues/Year: </w:t>
      </w:r>
    </w:p>
    <w:p w:rsidR="001252B9" w:rsidRPr="00F219CA" w:rsidRDefault="001252B9" w:rsidP="001252B9">
      <w:pPr>
        <w:pStyle w:val="12"/>
      </w:pPr>
      <w:r w:rsidRPr="00F219CA">
        <w:t xml:space="preserve">Journal Country </w:t>
      </w:r>
    </w:p>
    <w:p w:rsidR="001252B9" w:rsidRPr="00F219CA" w:rsidRDefault="001252B9" w:rsidP="001252B9">
      <w:pPr>
        <w:pStyle w:val="12"/>
      </w:pPr>
      <w:r w:rsidRPr="00F219CA">
        <w:t xml:space="preserve">Language: </w:t>
      </w:r>
    </w:p>
    <w:p w:rsidR="001252B9" w:rsidRPr="00F219CA" w:rsidRDefault="001252B9" w:rsidP="001252B9">
      <w:pPr>
        <w:pStyle w:val="12"/>
      </w:pPr>
      <w:r w:rsidRPr="00F219CA">
        <w:t xml:space="preserve">Publisher: </w:t>
      </w:r>
    </w:p>
    <w:p w:rsidR="001252B9" w:rsidRPr="00F219CA" w:rsidRDefault="001252B9" w:rsidP="001252B9">
      <w:pPr>
        <w:pStyle w:val="12"/>
      </w:pPr>
      <w:r w:rsidRPr="00F219CA">
        <w:t xml:space="preserve">Publisher Address: </w:t>
      </w:r>
    </w:p>
    <w:p w:rsidR="001252B9" w:rsidRPr="00F219CA" w:rsidRDefault="001252B9" w:rsidP="001252B9">
      <w:pPr>
        <w:pStyle w:val="12"/>
      </w:pPr>
      <w:r w:rsidRPr="00F219CA">
        <w:t>Subject Categories:</w:t>
      </w:r>
    </w:p>
    <w:p w:rsidR="001252B9" w:rsidRPr="00F219CA" w:rsidRDefault="001252B9" w:rsidP="001252B9">
      <w:pPr>
        <w:pStyle w:val="12"/>
      </w:pPr>
      <w:r w:rsidRPr="00F219CA">
        <w:t xml:space="preserve">: Impact Factor </w:t>
      </w:r>
    </w:p>
    <w:p w:rsidR="001252B9" w:rsidRDefault="001252B9" w:rsidP="001252B9">
      <w:pPr>
        <w:pStyle w:val="a3"/>
        <w:rPr>
          <w:kern w:val="0"/>
        </w:rPr>
      </w:pPr>
      <w:r>
        <w:rPr>
          <w:rFonts w:hint="eastAsia"/>
          <w:kern w:val="0"/>
        </w:rPr>
        <w:t xml:space="preserve">? </w:t>
      </w:r>
      <w:r>
        <w:rPr>
          <w:kern w:val="0"/>
        </w:rPr>
        <w:t>Marchevsky, A.M. and Wick, M.R. (2015), Evidence-based pathology</w:t>
      </w:r>
      <w:r>
        <w:rPr>
          <w:rFonts w:hint="eastAsia"/>
          <w:kern w:val="0"/>
        </w:rPr>
        <w:t>:</w:t>
      </w:r>
      <w:r>
        <w:rPr>
          <w:kern w:val="0"/>
        </w:rPr>
        <w:t xml:space="preserve"> Systematic literature reviews as the basis for guidelines and best practices. </w:t>
      </w:r>
      <w:r w:rsidRPr="006E197A">
        <w:rPr>
          <w:i/>
          <w:iCs/>
          <w:kern w:val="0"/>
        </w:rPr>
        <w:t>Archives of Pathology &amp; Laboratory Medicine</w:t>
      </w:r>
      <w:r>
        <w:rPr>
          <w:kern w:val="0"/>
        </w:rPr>
        <w:t xml:space="preserve">, </w:t>
      </w:r>
      <w:r>
        <w:rPr>
          <w:b/>
          <w:bCs/>
          <w:kern w:val="0"/>
        </w:rPr>
        <w:t>139</w:t>
      </w:r>
      <w:r>
        <w:rPr>
          <w:kern w:val="0"/>
        </w:rPr>
        <w:t xml:space="preserve"> (3), 394-399.</w:t>
      </w:r>
    </w:p>
    <w:p w:rsidR="001252B9" w:rsidRDefault="001252B9" w:rsidP="001252B9">
      <w:pPr>
        <w:pStyle w:val="a3"/>
        <w:rPr>
          <w:kern w:val="0"/>
        </w:rPr>
      </w:pPr>
      <w:r>
        <w:rPr>
          <w:rFonts w:hint="eastAsia"/>
          <w:kern w:val="0"/>
        </w:rPr>
        <w:t xml:space="preserve">Full Text: </w:t>
      </w:r>
      <w:hyperlink r:id="rId1157" w:history="1">
        <w:r w:rsidRPr="006E197A">
          <w:rPr>
            <w:rStyle w:val="a5"/>
            <w:kern w:val="0"/>
          </w:rPr>
          <w:t>2015\Arc Pat Lab Med139, 394.pdf</w:t>
        </w:r>
      </w:hyperlink>
    </w:p>
    <w:p w:rsidR="001252B9" w:rsidRDefault="001252B9" w:rsidP="001252B9">
      <w:pPr>
        <w:pStyle w:val="a3"/>
        <w:rPr>
          <w:kern w:val="0"/>
        </w:rPr>
      </w:pPr>
      <w:r>
        <w:rPr>
          <w:kern w:val="0"/>
        </w:rPr>
        <w:t>Abstract: Context.-Evidence-based medicine has been proposed as a new paradigm for the identification and evaluation of medical information. Best available evidence or data are identified and used as the basis for the diagnosis and treatment of individual patients. Evidence-based pathology has adapted basic evidence-based medicine concepts to the specific needs of pathology and laboratory medicine. Objectives.-To briefly review the history and basic concepts of evidence-based medicine and evidence-based pathology, describe how to perform and interpret systematic reviews, and discuss how to integrate best evidence into guidelines. Data Sources.-PubMed (National Library of Medicine, Washington, DC) and Web of Science (Thompson Reuters, New York, New York) were used. Conclusions.-Evidence-based pathology provides methodology to evaluate the quality of information published in pathology journals and apply it to the diagnosis of tissue samples and other tests from individual patients. Information is gathered through the use of systematic reviews, using a method that is less biased and more comprehensive than ad hoc literature searches. Published data are classified into evidence levels to provide readers with a quick impression about the quality and probable clinical validity of available information. Best available evidence is combined with personal experience for the formulation of evidence-based, rather than opinion-based, guidelines that address specific practice needs.</w:t>
      </w:r>
    </w:p>
    <w:p w:rsidR="001252B9" w:rsidRDefault="001252B9" w:rsidP="001252B9">
      <w:pPr>
        <w:pStyle w:val="a3"/>
        <w:rPr>
          <w:kern w:val="0"/>
        </w:rPr>
      </w:pPr>
      <w:r>
        <w:rPr>
          <w:kern w:val="0"/>
        </w:rPr>
        <w:t xml:space="preserve">Keywords: Anatomic Pathology, Basic, Breast-Cancer, Clinical, Clinical-Practice, Data, Dc, Diagnosis, Evaluation, Evidence, Evidence Based, Evidence Based Medicine, </w:t>
      </w:r>
      <w:r>
        <w:rPr>
          <w:kern w:val="0"/>
        </w:rPr>
        <w:lastRenderedPageBreak/>
        <w:t>Evidence-Based, Evidence-Based Medicine, Evidence-Based Principles, Experience, Formulation, From, Frozen-Section Diagnosis, Guidelines, History, Identification, Information, International Multidisciplinary Classification, Journals, Laboratory, Library, Literature, Lung Adenocarcinoma, Mar, Medical, Medical Information, Medicine, Methodology, Nccn Guidelines, Needs, New York, Paradigm, Pathology, Patients, Personal Experience, Practice, Pulmonary Adenocarcinoma, Quality, Quality Of, Quality Of Information, Review, Reviews, Science, Systematic, Systematic Reviews, Treatment, Validity, Washington, Web, Web Of Science</w:t>
      </w:r>
    </w:p>
    <w:p w:rsidR="008B6324" w:rsidRPr="00F219CA" w:rsidRDefault="008B6324" w:rsidP="008B6324">
      <w:pPr>
        <w:pStyle w:val="1"/>
      </w:pPr>
      <w:r w:rsidRPr="00F219CA">
        <w:br w:type="page"/>
      </w:r>
      <w:bookmarkStart w:id="594" w:name="_Toc420814587"/>
      <w:r w:rsidRPr="00F219CA">
        <w:lastRenderedPageBreak/>
        <w:t xml:space="preserve">Title: </w:t>
      </w:r>
      <w:r w:rsidRPr="00FE0AC8">
        <w:rPr>
          <w:szCs w:val="24"/>
        </w:rPr>
        <w:t>Archives</w:t>
      </w:r>
      <w:r w:rsidR="00427468">
        <w:rPr>
          <w:szCs w:val="24"/>
        </w:rPr>
        <w:t xml:space="preserve"> of </w:t>
      </w:r>
      <w:r w:rsidRPr="00FE0AC8">
        <w:rPr>
          <w:szCs w:val="24"/>
        </w:rPr>
        <w:t>Pediatrics &amp; Adolescent Medicine</w:t>
      </w:r>
      <w:bookmarkEnd w:id="594"/>
    </w:p>
    <w:p w:rsidR="008B6324" w:rsidRPr="00F219CA" w:rsidRDefault="008B6324" w:rsidP="008B6324">
      <w:pPr>
        <w:pStyle w:val="12"/>
      </w:pPr>
      <w:r w:rsidRPr="00F219CA">
        <w:t xml:space="preserve">Full Journal Title: </w:t>
      </w:r>
      <w:hyperlink r:id="rId1158" w:history="1">
        <w:r w:rsidRPr="00FE0AC8">
          <w:rPr>
            <w:rStyle w:val="a5"/>
            <w:iCs/>
            <w:kern w:val="0"/>
          </w:rPr>
          <w:t>Archives</w:t>
        </w:r>
        <w:r w:rsidR="00427468">
          <w:rPr>
            <w:rStyle w:val="a5"/>
            <w:iCs/>
            <w:kern w:val="0"/>
          </w:rPr>
          <w:t xml:space="preserve"> of </w:t>
        </w:r>
        <w:r w:rsidRPr="00FE0AC8">
          <w:rPr>
            <w:rStyle w:val="a5"/>
            <w:iCs/>
            <w:kern w:val="0"/>
          </w:rPr>
          <w:t>Pediatrics &amp; Adolescent Medicine</w:t>
        </w:r>
      </w:hyperlink>
    </w:p>
    <w:p w:rsidR="008B6324" w:rsidRPr="00F219CA" w:rsidRDefault="008B6324" w:rsidP="008B6324">
      <w:pPr>
        <w:pStyle w:val="12"/>
      </w:pPr>
      <w:r w:rsidRPr="00F219CA">
        <w:t xml:space="preserve">ISO Abbreviated Title: </w:t>
      </w:r>
    </w:p>
    <w:p w:rsidR="008B6324" w:rsidRPr="00F219CA" w:rsidRDefault="008B6324" w:rsidP="008B6324">
      <w:pPr>
        <w:pStyle w:val="12"/>
      </w:pPr>
      <w:r w:rsidRPr="00F219CA">
        <w:t xml:space="preserve">JCR Abbreviated Title: </w:t>
      </w:r>
    </w:p>
    <w:p w:rsidR="008B6324" w:rsidRPr="00F219CA" w:rsidRDefault="008B6324" w:rsidP="008B6324">
      <w:pPr>
        <w:pStyle w:val="12"/>
      </w:pPr>
      <w:r w:rsidRPr="00F219CA">
        <w:t xml:space="preserve">ISSN: </w:t>
      </w:r>
    </w:p>
    <w:p w:rsidR="008B6324" w:rsidRPr="00F219CA" w:rsidRDefault="008B6324" w:rsidP="008B6324">
      <w:pPr>
        <w:pStyle w:val="12"/>
      </w:pPr>
      <w:r w:rsidRPr="00F219CA">
        <w:t xml:space="preserve">Issues/Year: </w:t>
      </w:r>
    </w:p>
    <w:p w:rsidR="008B6324" w:rsidRPr="00F219CA" w:rsidRDefault="008B6324" w:rsidP="008B6324">
      <w:pPr>
        <w:pStyle w:val="12"/>
      </w:pPr>
      <w:r w:rsidRPr="00F219CA">
        <w:t xml:space="preserve">Journal Country </w:t>
      </w:r>
    </w:p>
    <w:p w:rsidR="008B6324" w:rsidRPr="00F219CA" w:rsidRDefault="008B6324" w:rsidP="008B6324">
      <w:pPr>
        <w:pStyle w:val="12"/>
      </w:pPr>
      <w:r w:rsidRPr="00F219CA">
        <w:t xml:space="preserve">Language: </w:t>
      </w:r>
    </w:p>
    <w:p w:rsidR="008B6324" w:rsidRPr="00F219CA" w:rsidRDefault="008B6324" w:rsidP="008B6324">
      <w:pPr>
        <w:pStyle w:val="12"/>
      </w:pPr>
      <w:r w:rsidRPr="00F219CA">
        <w:t xml:space="preserve">Publisher: </w:t>
      </w:r>
    </w:p>
    <w:p w:rsidR="008B6324" w:rsidRPr="00F219CA" w:rsidRDefault="008B6324" w:rsidP="008B6324">
      <w:pPr>
        <w:pStyle w:val="12"/>
      </w:pPr>
      <w:r w:rsidRPr="00F219CA">
        <w:t xml:space="preserve">Publisher Address: </w:t>
      </w:r>
    </w:p>
    <w:p w:rsidR="008B6324" w:rsidRPr="00F219CA" w:rsidRDefault="008B6324" w:rsidP="008B6324">
      <w:pPr>
        <w:pStyle w:val="12"/>
      </w:pPr>
      <w:r w:rsidRPr="00F219CA">
        <w:t>Subject Categories:</w:t>
      </w:r>
    </w:p>
    <w:p w:rsidR="008B6324" w:rsidRPr="00F219CA" w:rsidRDefault="008B6324" w:rsidP="008B6324">
      <w:pPr>
        <w:pStyle w:val="12"/>
      </w:pPr>
      <w:r w:rsidRPr="00F219CA">
        <w:t xml:space="preserve">: Impact Factor </w:t>
      </w:r>
    </w:p>
    <w:p w:rsidR="004A7891" w:rsidRDefault="004A7891" w:rsidP="004A7891">
      <w:pPr>
        <w:pStyle w:val="a3"/>
        <w:rPr>
          <w:kern w:val="0"/>
        </w:rPr>
      </w:pPr>
      <w:r>
        <w:rPr>
          <w:rFonts w:hint="eastAsia"/>
          <w:kern w:val="0"/>
        </w:rPr>
        <w:t xml:space="preserve">? </w:t>
      </w:r>
      <w:r>
        <w:rPr>
          <w:kern w:val="0"/>
        </w:rPr>
        <w:t>Liem, E.T., Sauer, P.J.J., Oldehinkel, A.J.</w:t>
      </w:r>
      <w:r w:rsidR="005853A9">
        <w:rPr>
          <w:kern w:val="0"/>
        </w:rPr>
        <w:t xml:space="preserve"> and </w:t>
      </w:r>
      <w:r>
        <w:rPr>
          <w:kern w:val="0"/>
        </w:rPr>
        <w:t>Stolk, R.P. (2008), Association between depressive symptoms in childhood</w:t>
      </w:r>
      <w:r w:rsidR="005853A9">
        <w:rPr>
          <w:kern w:val="0"/>
        </w:rPr>
        <w:t xml:space="preserve"> and </w:t>
      </w:r>
      <w:r>
        <w:rPr>
          <w:kern w:val="0"/>
        </w:rPr>
        <w:t>adolescence</w:t>
      </w:r>
      <w:r w:rsidR="005853A9">
        <w:rPr>
          <w:kern w:val="0"/>
        </w:rPr>
        <w:t xml:space="preserve"> and </w:t>
      </w:r>
      <w:r>
        <w:rPr>
          <w:kern w:val="0"/>
        </w:rPr>
        <w:t xml:space="preserve">overweight in later life. </w:t>
      </w:r>
      <w:r>
        <w:rPr>
          <w:i/>
          <w:iCs/>
          <w:kern w:val="0"/>
        </w:rPr>
        <w:t>Archives</w:t>
      </w:r>
      <w:r w:rsidR="00427468">
        <w:rPr>
          <w:i/>
          <w:iCs/>
          <w:kern w:val="0"/>
        </w:rPr>
        <w:t xml:space="preserve"> of </w:t>
      </w:r>
      <w:r>
        <w:rPr>
          <w:i/>
          <w:iCs/>
          <w:kern w:val="0"/>
        </w:rPr>
        <w:t>Pediatrics &amp; Adolescent Medicine</w:t>
      </w:r>
      <w:r>
        <w:rPr>
          <w:kern w:val="0"/>
        </w:rPr>
        <w:t xml:space="preserve">, </w:t>
      </w:r>
      <w:r>
        <w:rPr>
          <w:b/>
          <w:bCs/>
          <w:kern w:val="0"/>
        </w:rPr>
        <w:t>162</w:t>
      </w:r>
      <w:r>
        <w:rPr>
          <w:kern w:val="0"/>
        </w:rPr>
        <w:t xml:space="preserve"> (10), 981-988.</w:t>
      </w:r>
    </w:p>
    <w:p w:rsidR="004A7891" w:rsidRDefault="004A7891" w:rsidP="004A7891">
      <w:pPr>
        <w:pStyle w:val="a3"/>
        <w:rPr>
          <w:kern w:val="0"/>
        </w:rPr>
      </w:pPr>
      <w:r>
        <w:rPr>
          <w:kern w:val="0"/>
        </w:rPr>
        <w:t>Abstract: Objective: To present an overview</w:t>
      </w:r>
      <w:r w:rsidR="00427468">
        <w:rPr>
          <w:kern w:val="0"/>
        </w:rPr>
        <w:t xml:space="preserve"> of </w:t>
      </w:r>
      <w:r w:rsidR="003A1917">
        <w:rPr>
          <w:kern w:val="0"/>
        </w:rPr>
        <w:t xml:space="preserve">the </w:t>
      </w:r>
      <w:r>
        <w:rPr>
          <w:kern w:val="0"/>
        </w:rPr>
        <w:t>association between depressive symptoms in childhood</w:t>
      </w:r>
      <w:r w:rsidR="005853A9">
        <w:rPr>
          <w:kern w:val="0"/>
        </w:rPr>
        <w:t xml:space="preserve"> and </w:t>
      </w:r>
      <w:r>
        <w:rPr>
          <w:kern w:val="0"/>
        </w:rPr>
        <w:t>adolescence</w:t>
      </w:r>
      <w:r w:rsidR="005853A9">
        <w:rPr>
          <w:kern w:val="0"/>
        </w:rPr>
        <w:t xml:space="preserve"> and </w:t>
      </w:r>
      <w:r>
        <w:rPr>
          <w:kern w:val="0"/>
        </w:rPr>
        <w:t xml:space="preserve">subsequent overweight in later life. Data Sources: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for all indexed journals from January 1, 1997, to May 30, 2007. Study Selection: Abstracts</w:t>
      </w:r>
      <w:r w:rsidR="00427468">
        <w:rPr>
          <w:kern w:val="0"/>
        </w:rPr>
        <w:t xml:space="preserve"> of </w:t>
      </w:r>
      <w:r>
        <w:rPr>
          <w:kern w:val="0"/>
        </w:rPr>
        <w:t>513 articles were reviewed manually. Studies were excluded if unrelated to depressive symptoms</w:t>
      </w:r>
      <w:r w:rsidR="005853A9">
        <w:rPr>
          <w:kern w:val="0"/>
        </w:rPr>
        <w:t xml:space="preserve"> and </w:t>
      </w:r>
      <w:r>
        <w:rPr>
          <w:kern w:val="0"/>
        </w:rPr>
        <w:t>overweight (n = 460), if they were conducted in an adult population (n = 10) or in a population</w:t>
      </w:r>
      <w:r w:rsidR="00427468">
        <w:rPr>
          <w:kern w:val="0"/>
        </w:rPr>
        <w:t xml:space="preserve"> of </w:t>
      </w:r>
      <w:r>
        <w:rPr>
          <w:kern w:val="0"/>
        </w:rPr>
        <w:t>all age groups (n = 2), or if they were performed in clinic-based populations</w:t>
      </w:r>
      <w:r w:rsidR="00427468">
        <w:rPr>
          <w:kern w:val="0"/>
        </w:rPr>
        <w:t xml:space="preserve"> of </w:t>
      </w:r>
      <w:r>
        <w:rPr>
          <w:kern w:val="0"/>
        </w:rPr>
        <w:t>overweight participants. In total, 32 articles were reviewed including 21 cross-sectional</w:t>
      </w:r>
      <w:r w:rsidR="005853A9">
        <w:rPr>
          <w:kern w:val="0"/>
        </w:rPr>
        <w:t xml:space="preserve"> and </w:t>
      </w:r>
      <w:r>
        <w:rPr>
          <w:kern w:val="0"/>
        </w:rPr>
        <w:t>11 longitudinal reports. Main Exposure: Depressive symptoms in childhood</w:t>
      </w:r>
      <w:r w:rsidR="005853A9">
        <w:rPr>
          <w:kern w:val="0"/>
        </w:rPr>
        <w:t xml:space="preserve"> and </w:t>
      </w:r>
      <w:r>
        <w:rPr>
          <w:kern w:val="0"/>
        </w:rPr>
        <w:t>adolescence. Main Outcome Measure: Overweight. Results: Four cross-sectional studies that satisfied our quality criteria revealed an association between depressive symptoms</w:t>
      </w:r>
      <w:r w:rsidR="005853A9">
        <w:rPr>
          <w:kern w:val="0"/>
        </w:rPr>
        <w:t xml:space="preserve"> and </w:t>
      </w:r>
      <w:r>
        <w:rPr>
          <w:kern w:val="0"/>
        </w:rPr>
        <w:t>overweight in girls aged 8 to 15 years, reporting different effect sizes including a correlation coefficient</w:t>
      </w:r>
      <w:r w:rsidR="00427468">
        <w:rPr>
          <w:kern w:val="0"/>
        </w:rPr>
        <w:t xml:space="preserve"> of </w:t>
      </w:r>
      <w:r>
        <w:rPr>
          <w:kern w:val="0"/>
        </w:rPr>
        <w:t>0.14</w:t>
      </w:r>
      <w:r w:rsidR="005853A9">
        <w:rPr>
          <w:kern w:val="0"/>
        </w:rPr>
        <w:t xml:space="preserve"> and </w:t>
      </w:r>
      <w:r>
        <w:rPr>
          <w:kern w:val="0"/>
        </w:rPr>
        <w:t>a regression coefficient</w:t>
      </w:r>
      <w:r w:rsidR="00427468">
        <w:rPr>
          <w:kern w:val="0"/>
        </w:rPr>
        <w:t xml:space="preserve"> of </w:t>
      </w:r>
      <w:r>
        <w:rPr>
          <w:kern w:val="0"/>
        </w:rPr>
        <w:t>0.27. Four longitudinal studies in accord with our quality criteria suggest that depressive symptoms in childhood or adolescence are associated with a 1.90- to 3.50-fold increased risk</w:t>
      </w:r>
      <w:r w:rsidR="00427468">
        <w:rPr>
          <w:kern w:val="0"/>
        </w:rPr>
        <w:t xml:space="preserve"> of </w:t>
      </w:r>
      <w:r>
        <w:rPr>
          <w:kern w:val="0"/>
        </w:rPr>
        <w:t>subsequent overweight (95% confidence intervals varying from 1.02 to 5.80, respectively). Conclusion: These results support a positive association between depressive symptoms at age 6 to 19 years</w:t>
      </w:r>
      <w:r w:rsidR="005853A9">
        <w:rPr>
          <w:kern w:val="0"/>
        </w:rPr>
        <w:t xml:space="preserve"> and </w:t>
      </w:r>
      <w:r>
        <w:rPr>
          <w:kern w:val="0"/>
        </w:rPr>
        <w:t>overweight in later life, assessed after a period</w:t>
      </w:r>
      <w:r w:rsidR="00427468">
        <w:rPr>
          <w:kern w:val="0"/>
        </w:rPr>
        <w:t xml:space="preserve"> of </w:t>
      </w:r>
      <w:r>
        <w:rPr>
          <w:kern w:val="0"/>
        </w:rPr>
        <w:t>1 to 15 years.</w:t>
      </w:r>
    </w:p>
    <w:p w:rsidR="004A7891" w:rsidRDefault="004A7891" w:rsidP="004A7891">
      <w:pPr>
        <w:pStyle w:val="a3"/>
        <w:rPr>
          <w:kern w:val="0"/>
        </w:rPr>
      </w:pPr>
      <w:r>
        <w:rPr>
          <w:kern w:val="0"/>
        </w:rPr>
        <w:t xml:space="preserve">Keywords: Adult, Adult Obesity, Aged, Atypical Depression, Body-Mass Index, Children, Confidence Intervals, EMBASE, Girls, Journals, Longitudinal Studies, </w:t>
      </w:r>
      <w:r w:rsidR="00D5664A">
        <w:rPr>
          <w:kern w:val="0"/>
        </w:rPr>
        <w:t>MEDLINE</w:t>
      </w:r>
      <w:r>
        <w:rPr>
          <w:kern w:val="0"/>
        </w:rPr>
        <w:t xml:space="preserve">, Mental-Health, Overview, Overweight, Population, Prevalence, Risk, </w:t>
      </w:r>
      <w:r>
        <w:rPr>
          <w:kern w:val="0"/>
        </w:rPr>
        <w:lastRenderedPageBreak/>
        <w:t xml:space="preserve">Risk-Factors, Science, Sources, Symptoms, </w:t>
      </w:r>
      <w:r w:rsidR="00D5664A">
        <w:rPr>
          <w:kern w:val="0"/>
        </w:rPr>
        <w:t>Web</w:t>
      </w:r>
      <w:r w:rsidR="00427468">
        <w:rPr>
          <w:kern w:val="0"/>
        </w:rPr>
        <w:t xml:space="preserve"> of </w:t>
      </w:r>
      <w:r w:rsidR="00D5664A">
        <w:rPr>
          <w:kern w:val="0"/>
        </w:rPr>
        <w:t>Science</w:t>
      </w:r>
      <w:r>
        <w:rPr>
          <w:kern w:val="0"/>
        </w:rPr>
        <w:t>, Weight Perception</w:t>
      </w:r>
    </w:p>
    <w:p w:rsidR="008B6324" w:rsidRDefault="008B6324" w:rsidP="008B6324">
      <w:pPr>
        <w:pStyle w:val="a3"/>
        <w:rPr>
          <w:kern w:val="0"/>
          <w:szCs w:val="24"/>
        </w:rPr>
      </w:pPr>
      <w:r>
        <w:rPr>
          <w:rFonts w:hint="eastAsia"/>
          <w:kern w:val="0"/>
          <w:szCs w:val="24"/>
        </w:rPr>
        <w:t xml:space="preserve">? </w:t>
      </w:r>
      <w:r>
        <w:rPr>
          <w:kern w:val="0"/>
          <w:szCs w:val="24"/>
        </w:rPr>
        <w:t>Tripodi, S.J., Bender, K., Litschge, C.</w:t>
      </w:r>
      <w:r w:rsidR="005853A9">
        <w:rPr>
          <w:kern w:val="0"/>
          <w:szCs w:val="24"/>
        </w:rPr>
        <w:t xml:space="preserve"> and </w:t>
      </w:r>
      <w:r>
        <w:rPr>
          <w:kern w:val="0"/>
          <w:szCs w:val="24"/>
        </w:rPr>
        <w:t>Vaughn, M.G. (2010), Interventions for reducing adolescent alcohol abuse</w:t>
      </w:r>
      <w:r>
        <w:rPr>
          <w:rFonts w:hint="eastAsia"/>
          <w:kern w:val="0"/>
          <w:szCs w:val="24"/>
        </w:rPr>
        <w:t>:</w:t>
      </w:r>
      <w:r>
        <w:rPr>
          <w:kern w:val="0"/>
          <w:szCs w:val="24"/>
        </w:rPr>
        <w:t xml:space="preserve"> A meta-analytic review. </w:t>
      </w:r>
      <w:r w:rsidRPr="00FE0AC8">
        <w:rPr>
          <w:i/>
          <w:iCs/>
          <w:kern w:val="0"/>
          <w:szCs w:val="24"/>
        </w:rPr>
        <w:t>Archives</w:t>
      </w:r>
      <w:r w:rsidR="00427468">
        <w:rPr>
          <w:i/>
          <w:iCs/>
          <w:kern w:val="0"/>
          <w:szCs w:val="24"/>
        </w:rPr>
        <w:t xml:space="preserve"> of </w:t>
      </w:r>
      <w:r w:rsidRPr="00FE0AC8">
        <w:rPr>
          <w:i/>
          <w:iCs/>
          <w:kern w:val="0"/>
          <w:szCs w:val="24"/>
        </w:rPr>
        <w:t>Pediatrics &amp; Adolescent Medicine</w:t>
      </w:r>
      <w:r>
        <w:rPr>
          <w:kern w:val="0"/>
          <w:szCs w:val="24"/>
        </w:rPr>
        <w:t xml:space="preserve">, </w:t>
      </w:r>
      <w:r>
        <w:rPr>
          <w:b/>
          <w:bCs/>
          <w:kern w:val="0"/>
          <w:szCs w:val="24"/>
        </w:rPr>
        <w:t>164</w:t>
      </w:r>
      <w:r>
        <w:rPr>
          <w:kern w:val="0"/>
          <w:szCs w:val="24"/>
        </w:rPr>
        <w:t xml:space="preserve"> (1), 85-91.</w:t>
      </w:r>
    </w:p>
    <w:p w:rsidR="008B6324" w:rsidRDefault="008B6324" w:rsidP="008B6324">
      <w:pPr>
        <w:pStyle w:val="a3"/>
        <w:rPr>
          <w:kern w:val="0"/>
          <w:szCs w:val="24"/>
        </w:rPr>
      </w:pPr>
      <w:r>
        <w:rPr>
          <w:rFonts w:hint="eastAsia"/>
          <w:kern w:val="0"/>
          <w:szCs w:val="24"/>
        </w:rPr>
        <w:t xml:space="preserve">Full Text: </w:t>
      </w:r>
      <w:hyperlink r:id="rId1159" w:history="1">
        <w:r w:rsidRPr="00FE0AC8">
          <w:rPr>
            <w:rStyle w:val="a5"/>
            <w:kern w:val="0"/>
            <w:szCs w:val="24"/>
          </w:rPr>
          <w:t>2010\Arc Ped Ado Med164, 85.pdf</w:t>
        </w:r>
      </w:hyperlink>
    </w:p>
    <w:p w:rsidR="008B6324" w:rsidRDefault="008B6324" w:rsidP="008B6324">
      <w:pPr>
        <w:pStyle w:val="a3"/>
        <w:rPr>
          <w:kern w:val="0"/>
          <w:szCs w:val="24"/>
        </w:rPr>
      </w:pPr>
      <w:r>
        <w:rPr>
          <w:kern w:val="0"/>
          <w:szCs w:val="24"/>
        </w:rPr>
        <w:t>Abstract: Objective: To assess</w:t>
      </w:r>
      <w:r w:rsidR="003A1917">
        <w:rPr>
          <w:kern w:val="0"/>
          <w:szCs w:val="24"/>
        </w:rPr>
        <w:t xml:space="preserve"> the </w:t>
      </w:r>
      <w:r>
        <w:rPr>
          <w:kern w:val="0"/>
          <w:szCs w:val="24"/>
        </w:rPr>
        <w:t>effectiveness</w:t>
      </w:r>
      <w:r w:rsidR="00427468">
        <w:rPr>
          <w:kern w:val="0"/>
          <w:szCs w:val="24"/>
        </w:rPr>
        <w:t xml:space="preserve"> of </w:t>
      </w:r>
      <w:r>
        <w:rPr>
          <w:kern w:val="0"/>
          <w:szCs w:val="24"/>
        </w:rPr>
        <w:t xml:space="preserve">substance abuse interventions for their ability to reduce adolescent alcohol use. Data Sources: </w:t>
      </w:r>
      <w:r w:rsidR="00D5664A">
        <w:rPr>
          <w:kern w:val="0"/>
          <w:szCs w:val="24"/>
        </w:rPr>
        <w:t>MEDLINE</w:t>
      </w:r>
      <w:r>
        <w:rPr>
          <w:kern w:val="0"/>
          <w:szCs w:val="24"/>
        </w:rPr>
        <w:t>; PsycINFO; ERIC; Wilson Social Science Abstracts; Criminal Justice Abstracts; Social Work Abstracts; Social Science Citation Index; Dissertations Abstracts International; National Criminal Justice Research Service; Social, Psychological, Criminological, Educational Trials Register;</w:t>
      </w:r>
      <w:r w:rsidR="005853A9">
        <w:rPr>
          <w:kern w:val="0"/>
          <w:szCs w:val="24"/>
        </w:rPr>
        <w:t xml:space="preserve"> and </w:t>
      </w:r>
      <w:r w:rsidR="003A1917">
        <w:rPr>
          <w:kern w:val="0"/>
          <w:szCs w:val="24"/>
        </w:rPr>
        <w:t xml:space="preserve">the </w:t>
      </w:r>
      <w:r>
        <w:rPr>
          <w:kern w:val="0"/>
          <w:szCs w:val="24"/>
        </w:rPr>
        <w:t>PsiTri databases from 1960 through 2008. Study Selection:</w:t>
      </w:r>
      <w:r w:rsidR="00427468">
        <w:rPr>
          <w:kern w:val="0"/>
          <w:szCs w:val="24"/>
        </w:rPr>
        <w:t xml:space="preserve"> of </w:t>
      </w:r>
      <w:r>
        <w:rPr>
          <w:kern w:val="0"/>
          <w:szCs w:val="24"/>
        </w:rPr>
        <w:t>64 titles</w:t>
      </w:r>
      <w:r w:rsidR="005853A9">
        <w:rPr>
          <w:kern w:val="0"/>
          <w:szCs w:val="24"/>
        </w:rPr>
        <w:t xml:space="preserve"> and </w:t>
      </w:r>
      <w:r>
        <w:rPr>
          <w:kern w:val="0"/>
          <w:szCs w:val="24"/>
        </w:rPr>
        <w:t>abstracts identified, 16 studies</w:t>
      </w:r>
      <w:r w:rsidR="005853A9">
        <w:rPr>
          <w:kern w:val="0"/>
          <w:szCs w:val="24"/>
        </w:rPr>
        <w:t xml:space="preserve"> and </w:t>
      </w:r>
      <w:r>
        <w:rPr>
          <w:kern w:val="0"/>
          <w:szCs w:val="24"/>
        </w:rPr>
        <w:t>26 outcomes constituted</w:t>
      </w:r>
      <w:r w:rsidR="003A1917">
        <w:rPr>
          <w:kern w:val="0"/>
          <w:szCs w:val="24"/>
        </w:rPr>
        <w:t xml:space="preserve"> the </w:t>
      </w:r>
      <w:r>
        <w:rPr>
          <w:kern w:val="0"/>
          <w:szCs w:val="24"/>
        </w:rPr>
        <w:t>sample</w:t>
      </w:r>
      <w:r w:rsidR="00A37C1D">
        <w:rPr>
          <w:kern w:val="0"/>
          <w:szCs w:val="24"/>
        </w:rPr>
        <w:t>. The</w:t>
      </w:r>
      <w:r w:rsidR="003A1917">
        <w:rPr>
          <w:kern w:val="0"/>
          <w:szCs w:val="24"/>
        </w:rPr>
        <w:t xml:space="preserve"> </w:t>
      </w:r>
      <w:r>
        <w:rPr>
          <w:kern w:val="0"/>
          <w:szCs w:val="24"/>
        </w:rPr>
        <w:t>researchers calculated Hedges g effect sizes</w:t>
      </w:r>
      <w:r w:rsidR="005853A9">
        <w:rPr>
          <w:kern w:val="0"/>
          <w:szCs w:val="24"/>
        </w:rPr>
        <w:t xml:space="preserve"> and </w:t>
      </w:r>
      <w:r>
        <w:rPr>
          <w:kern w:val="0"/>
          <w:szCs w:val="24"/>
        </w:rPr>
        <w:t>used a random-effects model to calculate adjusted pooled effect sizes. Heterogeneity was explored using stratified analyses. Main Exposure: Completion</w:t>
      </w:r>
      <w:r w:rsidR="00427468">
        <w:rPr>
          <w:kern w:val="0"/>
          <w:szCs w:val="24"/>
        </w:rPr>
        <w:t xml:space="preserve"> of </w:t>
      </w:r>
      <w:r>
        <w:rPr>
          <w:kern w:val="0"/>
          <w:szCs w:val="24"/>
        </w:rPr>
        <w:t>a substance abuse intervention that aimed to reduce or eliminate alcohol consumption. Main Outcome Measures: Abstinence, frequency</w:t>
      </w:r>
      <w:r w:rsidR="00427468">
        <w:rPr>
          <w:kern w:val="0"/>
          <w:szCs w:val="24"/>
        </w:rPr>
        <w:t xml:space="preserve"> of </w:t>
      </w:r>
      <w:r>
        <w:rPr>
          <w:kern w:val="0"/>
          <w:szCs w:val="24"/>
        </w:rPr>
        <w:t>alcohol use,</w:t>
      </w:r>
      <w:r w:rsidR="005853A9">
        <w:rPr>
          <w:kern w:val="0"/>
          <w:szCs w:val="24"/>
        </w:rPr>
        <w:t xml:space="preserve"> and </w:t>
      </w:r>
      <w:r>
        <w:rPr>
          <w:kern w:val="0"/>
          <w:szCs w:val="24"/>
        </w:rPr>
        <w:t>quantity</w:t>
      </w:r>
      <w:r w:rsidR="00427468">
        <w:rPr>
          <w:kern w:val="0"/>
          <w:szCs w:val="24"/>
        </w:rPr>
        <w:t xml:space="preserve"> of </w:t>
      </w:r>
      <w:r>
        <w:rPr>
          <w:kern w:val="0"/>
          <w:szCs w:val="24"/>
        </w:rPr>
        <w:t>alcohol use measured between 1 month</w:t>
      </w:r>
      <w:r w:rsidR="005853A9">
        <w:rPr>
          <w:kern w:val="0"/>
          <w:szCs w:val="24"/>
        </w:rPr>
        <w:t xml:space="preserve"> and </w:t>
      </w:r>
      <w:r>
        <w:rPr>
          <w:kern w:val="0"/>
          <w:szCs w:val="24"/>
        </w:rPr>
        <w:t>1 year upon completion</w:t>
      </w:r>
      <w:r w:rsidR="00427468">
        <w:rPr>
          <w:kern w:val="0"/>
          <w:szCs w:val="24"/>
        </w:rPr>
        <w:t xml:space="preserve"> of </w:t>
      </w:r>
      <w:r>
        <w:rPr>
          <w:kern w:val="0"/>
          <w:szCs w:val="24"/>
        </w:rPr>
        <w:t>treatment. Results: Pooled effects</w:t>
      </w:r>
      <w:r w:rsidR="00427468">
        <w:rPr>
          <w:kern w:val="0"/>
          <w:szCs w:val="24"/>
        </w:rPr>
        <w:t xml:space="preserve"> of </w:t>
      </w:r>
      <w:r>
        <w:rPr>
          <w:kern w:val="0"/>
          <w:szCs w:val="24"/>
        </w:rPr>
        <w:t>standardized mean differences indicate that interventions significantly reduce adolescent alcohol use (Hedges g=-0.61; 95% confidence interval [CI], -0.83 to -0.40). Stratified analyses revealed larger effects for individual treatment (Hedges g=-0.75; 95% CI, -1.05 to -0.40) compared with family- based treatments (Hedges g=-0.46; 95% CI, -0.66 to -0.26). Conclusions: Treatments for adolescent substance abuse appear to be effective in reducing alcohol use. Individual-only interventions had larger effect sizes than family-based interventions</w:t>
      </w:r>
      <w:r w:rsidR="005853A9">
        <w:rPr>
          <w:kern w:val="0"/>
          <w:szCs w:val="24"/>
        </w:rPr>
        <w:t xml:space="preserve"> and </w:t>
      </w:r>
      <w:r>
        <w:rPr>
          <w:kern w:val="0"/>
          <w:szCs w:val="24"/>
        </w:rPr>
        <w:t>effect sizes decreased as length</w:t>
      </w:r>
      <w:r w:rsidR="00427468">
        <w:rPr>
          <w:kern w:val="0"/>
          <w:szCs w:val="24"/>
        </w:rPr>
        <w:t xml:space="preserve"> of </w:t>
      </w:r>
      <w:r>
        <w:rPr>
          <w:kern w:val="0"/>
          <w:szCs w:val="24"/>
        </w:rPr>
        <w:t>follow-up increased. Furthermore, behavior-oriented treatments demonstrated promise in attaining long-term effects.</w:t>
      </w:r>
    </w:p>
    <w:p w:rsidR="008B6324" w:rsidRDefault="008B6324" w:rsidP="008B6324">
      <w:pPr>
        <w:pStyle w:val="a3"/>
        <w:rPr>
          <w:kern w:val="0"/>
          <w:szCs w:val="24"/>
        </w:rPr>
      </w:pPr>
      <w:r>
        <w:rPr>
          <w:kern w:val="0"/>
          <w:szCs w:val="24"/>
        </w:rPr>
        <w:t xml:space="preserve">Keywords: Assertive Continuing Care, Behavior-Therapy, Citation, Consumption, Databases, Drug-Abuse, Efficacy, International, </w:t>
      </w:r>
      <w:r w:rsidR="00D5664A">
        <w:rPr>
          <w:kern w:val="0"/>
          <w:szCs w:val="24"/>
        </w:rPr>
        <w:t>MEDLINE</w:t>
      </w:r>
      <w:r>
        <w:rPr>
          <w:kern w:val="0"/>
          <w:szCs w:val="24"/>
        </w:rPr>
        <w:t>, Metaanalysis, Model, Multidimensional Family-Therapy, Psychiatric Comorbidity, Psychotherapies, Research, Researchers, Residential-Treatment, Review, Science, Science Citation Index, Social Science Citation Index, Sources, Substance Use Disorders, Treatment</w:t>
      </w:r>
    </w:p>
    <w:p w:rsidR="00D74D48" w:rsidRDefault="00D74D48" w:rsidP="00D74D48">
      <w:pPr>
        <w:pStyle w:val="a3"/>
        <w:rPr>
          <w:kern w:val="0"/>
        </w:rPr>
      </w:pPr>
      <w:r>
        <w:rPr>
          <w:rFonts w:hint="eastAsia"/>
          <w:kern w:val="0"/>
        </w:rPr>
        <w:t xml:space="preserve">? </w:t>
      </w:r>
      <w:r>
        <w:rPr>
          <w:kern w:val="0"/>
        </w:rPr>
        <w:t>Meerpohl, J.J., Wolff, R.F., Niemeyer, C.M., Antes, G.</w:t>
      </w:r>
      <w:r w:rsidR="005853A9">
        <w:rPr>
          <w:kern w:val="0"/>
        </w:rPr>
        <w:t xml:space="preserve"> and </w:t>
      </w:r>
      <w:r>
        <w:rPr>
          <w:kern w:val="0"/>
        </w:rPr>
        <w:t>von Elm, E. (2010), Editorial policies</w:t>
      </w:r>
      <w:r w:rsidR="00427468">
        <w:rPr>
          <w:kern w:val="0"/>
        </w:rPr>
        <w:t xml:space="preserve"> of </w:t>
      </w:r>
      <w:r>
        <w:rPr>
          <w:kern w:val="0"/>
        </w:rPr>
        <w:t>pediatric journals survey</w:t>
      </w:r>
      <w:r w:rsidR="00427468">
        <w:rPr>
          <w:kern w:val="0"/>
        </w:rPr>
        <w:t xml:space="preserve"> of </w:t>
      </w:r>
      <w:r>
        <w:rPr>
          <w:kern w:val="0"/>
        </w:rPr>
        <w:t xml:space="preserve">instructions for authors. </w:t>
      </w:r>
      <w:r>
        <w:rPr>
          <w:i/>
          <w:iCs/>
          <w:kern w:val="0"/>
        </w:rPr>
        <w:t>Archives</w:t>
      </w:r>
      <w:r w:rsidR="00427468">
        <w:rPr>
          <w:i/>
          <w:iCs/>
          <w:kern w:val="0"/>
        </w:rPr>
        <w:t xml:space="preserve"> of </w:t>
      </w:r>
      <w:r>
        <w:rPr>
          <w:i/>
          <w:iCs/>
          <w:kern w:val="0"/>
        </w:rPr>
        <w:t>Pediatrics &amp; Adolescent Medicine</w:t>
      </w:r>
      <w:r>
        <w:rPr>
          <w:kern w:val="0"/>
        </w:rPr>
        <w:t xml:space="preserve">, </w:t>
      </w:r>
      <w:r>
        <w:rPr>
          <w:b/>
          <w:bCs/>
          <w:kern w:val="0"/>
        </w:rPr>
        <w:t>164</w:t>
      </w:r>
      <w:r>
        <w:rPr>
          <w:kern w:val="0"/>
        </w:rPr>
        <w:t xml:space="preserve"> (3), 268-272.</w:t>
      </w:r>
    </w:p>
    <w:p w:rsidR="00D74D48" w:rsidRDefault="00D74D48" w:rsidP="00D74D48">
      <w:pPr>
        <w:pStyle w:val="a3"/>
        <w:rPr>
          <w:kern w:val="0"/>
          <w:szCs w:val="24"/>
        </w:rPr>
      </w:pPr>
      <w:r>
        <w:rPr>
          <w:rFonts w:hint="eastAsia"/>
          <w:kern w:val="0"/>
          <w:szCs w:val="24"/>
        </w:rPr>
        <w:t xml:space="preserve">Full Text: </w:t>
      </w:r>
      <w:hyperlink r:id="rId1160" w:history="1">
        <w:r w:rsidRPr="00D74D48">
          <w:rPr>
            <w:rStyle w:val="a5"/>
            <w:kern w:val="0"/>
            <w:szCs w:val="24"/>
          </w:rPr>
          <w:t>2010\Arc Ped Ado Med164, 268.pdf</w:t>
        </w:r>
      </w:hyperlink>
    </w:p>
    <w:p w:rsidR="00D74D48" w:rsidRDefault="00D74D48" w:rsidP="00D74D48">
      <w:pPr>
        <w:pStyle w:val="a3"/>
        <w:rPr>
          <w:kern w:val="0"/>
        </w:rPr>
      </w:pPr>
      <w:r>
        <w:rPr>
          <w:kern w:val="0"/>
        </w:rPr>
        <w:t>Abstract: Objective: To study whether specific recommendations aiming to improve publication practice were included in author instructions</w:t>
      </w:r>
      <w:r w:rsidR="00427468">
        <w:rPr>
          <w:kern w:val="0"/>
        </w:rPr>
        <w:t xml:space="preserve"> of </w:t>
      </w:r>
      <w:r>
        <w:rPr>
          <w:kern w:val="0"/>
        </w:rPr>
        <w:t>pediatric journals. Design: We identified 69 journals in</w:t>
      </w:r>
      <w:r w:rsidR="003A1917">
        <w:rPr>
          <w:kern w:val="0"/>
        </w:rPr>
        <w:t xml:space="preserve"> the </w:t>
      </w:r>
      <w:r>
        <w:rPr>
          <w:kern w:val="0"/>
        </w:rPr>
        <w:t xml:space="preserve">subject category </w:t>
      </w:r>
      <w:r w:rsidR="00B5188C">
        <w:rPr>
          <w:kern w:val="0"/>
        </w:rPr>
        <w:t>“</w:t>
      </w:r>
      <w:r>
        <w:rPr>
          <w:kern w:val="0"/>
        </w:rPr>
        <w:t>pediatrics</w:t>
      </w:r>
      <w:r w:rsidR="00B5188C">
        <w:rPr>
          <w:kern w:val="0"/>
        </w:rPr>
        <w:t>”</w:t>
      </w:r>
      <w:r w:rsidR="00427468">
        <w:rPr>
          <w:kern w:val="0"/>
        </w:rPr>
        <w:t xml:space="preserve"> of </w:t>
      </w:r>
      <w:r w:rsidR="003A1917">
        <w:rPr>
          <w:kern w:val="0"/>
        </w:rPr>
        <w:t xml:space="preserve">the </w:t>
      </w:r>
      <w:r>
        <w:rPr>
          <w:kern w:val="0"/>
        </w:rPr>
        <w:t xml:space="preserve">Journal Citation </w:t>
      </w:r>
      <w:r>
        <w:rPr>
          <w:kern w:val="0"/>
        </w:rPr>
        <w:lastRenderedPageBreak/>
        <w:t>Report 2007 that publish original research articles. From</w:t>
      </w:r>
      <w:r w:rsidR="003A1917">
        <w:rPr>
          <w:kern w:val="0"/>
        </w:rPr>
        <w:t xml:space="preserve"> the </w:t>
      </w:r>
      <w:r>
        <w:rPr>
          <w:kern w:val="0"/>
        </w:rPr>
        <w:t>journals</w:t>
      </w:r>
      <w:r w:rsidR="00700038">
        <w:rPr>
          <w:kern w:val="0"/>
        </w:rPr>
        <w:t>’</w:t>
      </w:r>
      <w:r>
        <w:rPr>
          <w:kern w:val="0"/>
        </w:rPr>
        <w:t xml:space="preserve"> on-line author instructions, we extracted information regarding endorsement</w:t>
      </w:r>
      <w:r w:rsidR="00427468">
        <w:rPr>
          <w:kern w:val="0"/>
        </w:rPr>
        <w:t xml:space="preserve"> of </w:t>
      </w:r>
      <w:r w:rsidR="003A1917">
        <w:rPr>
          <w:kern w:val="0"/>
        </w:rPr>
        <w:t xml:space="preserve">the </w:t>
      </w:r>
      <w:r>
        <w:rPr>
          <w:kern w:val="0"/>
        </w:rPr>
        <w:t>Uniform Requirements for Manuscripts (URM)</w:t>
      </w:r>
      <w:r w:rsidR="00427468">
        <w:rPr>
          <w:kern w:val="0"/>
        </w:rPr>
        <w:t xml:space="preserve"> of </w:t>
      </w:r>
      <w:r w:rsidR="003A1917">
        <w:rPr>
          <w:kern w:val="0"/>
        </w:rPr>
        <w:t xml:space="preserve">the </w:t>
      </w:r>
      <w:r>
        <w:rPr>
          <w:kern w:val="0"/>
        </w:rPr>
        <w:t>International Committee</w:t>
      </w:r>
      <w:r w:rsidR="00427468">
        <w:rPr>
          <w:kern w:val="0"/>
        </w:rPr>
        <w:t xml:space="preserve"> of </w:t>
      </w:r>
      <w:r>
        <w:rPr>
          <w:kern w:val="0"/>
        </w:rPr>
        <w:t>Medical Journal Editors</w:t>
      </w:r>
      <w:r w:rsidR="005853A9">
        <w:rPr>
          <w:kern w:val="0"/>
        </w:rPr>
        <w:t xml:space="preserve"> and</w:t>
      </w:r>
      <w:r w:rsidR="00427468">
        <w:rPr>
          <w:kern w:val="0"/>
        </w:rPr>
        <w:t xml:space="preserve"> of </w:t>
      </w:r>
      <w:r>
        <w:rPr>
          <w:kern w:val="0"/>
        </w:rPr>
        <w:t>5 major reporting guidelines such as</w:t>
      </w:r>
      <w:r w:rsidR="003A1917">
        <w:rPr>
          <w:kern w:val="0"/>
        </w:rPr>
        <w:t xml:space="preserve"> the </w:t>
      </w:r>
      <w:r>
        <w:rPr>
          <w:kern w:val="0"/>
        </w:rPr>
        <w:t>Consolidated Standards</w:t>
      </w:r>
      <w:r w:rsidR="00427468">
        <w:rPr>
          <w:kern w:val="0"/>
        </w:rPr>
        <w:t xml:space="preserve"> of </w:t>
      </w:r>
      <w:r>
        <w:rPr>
          <w:kern w:val="0"/>
        </w:rPr>
        <w:t>Reporting Trials (CONSORT) statement, disclosure</w:t>
      </w:r>
      <w:r w:rsidR="00427468">
        <w:rPr>
          <w:kern w:val="0"/>
        </w:rPr>
        <w:t xml:space="preserve"> of </w:t>
      </w:r>
      <w:r>
        <w:rPr>
          <w:kern w:val="0"/>
        </w:rPr>
        <w:t>conflicts</w:t>
      </w:r>
      <w:r w:rsidR="00427468">
        <w:rPr>
          <w:kern w:val="0"/>
        </w:rPr>
        <w:t xml:space="preserve"> of </w:t>
      </w:r>
      <w:r>
        <w:rPr>
          <w:kern w:val="0"/>
        </w:rPr>
        <w:t>interest,</w:t>
      </w:r>
      <w:r w:rsidR="005853A9">
        <w:rPr>
          <w:kern w:val="0"/>
        </w:rPr>
        <w:t xml:space="preserve"> and </w:t>
      </w:r>
      <w:r>
        <w:rPr>
          <w:kern w:val="0"/>
        </w:rPr>
        <w:t>trial registration. Two investigators collected data independently. Results:</w:t>
      </w:r>
      <w:r w:rsidR="003A1917">
        <w:rPr>
          <w:kern w:val="0"/>
        </w:rPr>
        <w:t xml:space="preserve"> the </w:t>
      </w:r>
      <w:r>
        <w:rPr>
          <w:kern w:val="0"/>
        </w:rPr>
        <w:t>URM were mentioned in author instructions</w:t>
      </w:r>
      <w:r w:rsidR="00427468">
        <w:rPr>
          <w:kern w:val="0"/>
        </w:rPr>
        <w:t xml:space="preserve"> of </w:t>
      </w:r>
      <w:r>
        <w:rPr>
          <w:kern w:val="0"/>
        </w:rPr>
        <w:t>38</w:t>
      </w:r>
      <w:r w:rsidR="00427468">
        <w:rPr>
          <w:kern w:val="0"/>
        </w:rPr>
        <w:t xml:space="preserve"> of </w:t>
      </w:r>
      <w:r w:rsidR="003A1917">
        <w:rPr>
          <w:kern w:val="0"/>
        </w:rPr>
        <w:t xml:space="preserve">the </w:t>
      </w:r>
      <w:r>
        <w:rPr>
          <w:kern w:val="0"/>
        </w:rPr>
        <w:t>69 journals (55%). Endorsement</w:t>
      </w:r>
      <w:r w:rsidR="00427468">
        <w:rPr>
          <w:kern w:val="0"/>
        </w:rPr>
        <w:t xml:space="preserve"> of </w:t>
      </w:r>
      <w:r>
        <w:rPr>
          <w:kern w:val="0"/>
        </w:rPr>
        <w:t>reporting guidelines was low: CONSORT was referred to most frequently (14 journals; 20%); each</w:t>
      </w:r>
      <w:r w:rsidR="00427468">
        <w:rPr>
          <w:kern w:val="0"/>
        </w:rPr>
        <w:t xml:space="preserve"> of </w:t>
      </w:r>
      <w:r w:rsidR="003A1917">
        <w:rPr>
          <w:kern w:val="0"/>
        </w:rPr>
        <w:t xml:space="preserve">the </w:t>
      </w:r>
      <w:r>
        <w:rPr>
          <w:kern w:val="0"/>
        </w:rPr>
        <w:t>other 4 reporting guidelines was mentioned in less than 10%</w:t>
      </w:r>
      <w:r w:rsidR="00427468">
        <w:rPr>
          <w:kern w:val="0"/>
        </w:rPr>
        <w:t xml:space="preserve"> of </w:t>
      </w:r>
      <w:r>
        <w:rPr>
          <w:kern w:val="0"/>
        </w:rPr>
        <w:t>author instructions. Fifty-four journals (78%) explicitly required authors to disclose conflicts</w:t>
      </w:r>
      <w:r w:rsidR="00427468">
        <w:rPr>
          <w:kern w:val="0"/>
        </w:rPr>
        <w:t xml:space="preserve"> of </w:t>
      </w:r>
      <w:r>
        <w:rPr>
          <w:kern w:val="0"/>
        </w:rPr>
        <w:t>interest,</w:t>
      </w:r>
      <w:r w:rsidR="005853A9">
        <w:rPr>
          <w:kern w:val="0"/>
        </w:rPr>
        <w:t xml:space="preserve"> and </w:t>
      </w:r>
      <w:r>
        <w:rPr>
          <w:kern w:val="0"/>
        </w:rPr>
        <w:t>16 (23%) either recommended or required trial registration</w:t>
      </w:r>
      <w:r w:rsidR="00A37C1D">
        <w:rPr>
          <w:kern w:val="0"/>
        </w:rPr>
        <w:t>. The</w:t>
      </w:r>
      <w:r w:rsidR="003A1917">
        <w:rPr>
          <w:kern w:val="0"/>
        </w:rPr>
        <w:t xml:space="preserve"> </w:t>
      </w:r>
      <w:r>
        <w:rPr>
          <w:kern w:val="0"/>
        </w:rPr>
        <w:t>odds</w:t>
      </w:r>
      <w:r w:rsidR="00427468">
        <w:rPr>
          <w:kern w:val="0"/>
        </w:rPr>
        <w:t xml:space="preserve"> of </w:t>
      </w:r>
      <w:r>
        <w:rPr>
          <w:kern w:val="0"/>
        </w:rPr>
        <w:t>endorsing</w:t>
      </w:r>
      <w:r w:rsidR="003A1917">
        <w:rPr>
          <w:kern w:val="0"/>
        </w:rPr>
        <w:t xml:space="preserve"> the </w:t>
      </w:r>
      <w:r>
        <w:rPr>
          <w:kern w:val="0"/>
        </w:rPr>
        <w:t>URM increased by 2.25 (95% confidence interval [CI], 1.17-4.34) per additional impact factor point. Similarly,</w:t>
      </w:r>
      <w:r w:rsidR="003A1917">
        <w:rPr>
          <w:kern w:val="0"/>
        </w:rPr>
        <w:t xml:space="preserve"> the </w:t>
      </w:r>
      <w:r>
        <w:rPr>
          <w:kern w:val="0"/>
        </w:rPr>
        <w:t>odds increased by 2.32 (95% CI, 0.95-5.70) for requiring disclosure</w:t>
      </w:r>
      <w:r w:rsidR="00427468">
        <w:rPr>
          <w:kern w:val="0"/>
        </w:rPr>
        <w:t xml:space="preserve"> of </w:t>
      </w:r>
      <w:r>
        <w:rPr>
          <w:kern w:val="0"/>
        </w:rPr>
        <w:t>conflicts</w:t>
      </w:r>
      <w:r w:rsidR="00427468">
        <w:rPr>
          <w:kern w:val="0"/>
        </w:rPr>
        <w:t xml:space="preserve"> of </w:t>
      </w:r>
      <w:r>
        <w:rPr>
          <w:kern w:val="0"/>
        </w:rPr>
        <w:t>interest</w:t>
      </w:r>
      <w:r w:rsidR="005853A9">
        <w:rPr>
          <w:kern w:val="0"/>
        </w:rPr>
        <w:t xml:space="preserve"> and </w:t>
      </w:r>
      <w:r>
        <w:rPr>
          <w:kern w:val="0"/>
        </w:rPr>
        <w:t>by 3.66 (95% CI, 1.74-7.71) for requiring trial registration. Conclusions: Many pediatric journals do not include recommendations that aim to improve publication practice in their author instructions. About one-fifth</w:t>
      </w:r>
      <w:r w:rsidR="00427468">
        <w:rPr>
          <w:kern w:val="0"/>
        </w:rPr>
        <w:t xml:space="preserve"> of </w:t>
      </w:r>
      <w:r>
        <w:rPr>
          <w:kern w:val="0"/>
        </w:rPr>
        <w:t>journals do not require authors to disclose conflicts</w:t>
      </w:r>
      <w:r w:rsidR="00427468">
        <w:rPr>
          <w:kern w:val="0"/>
        </w:rPr>
        <w:t xml:space="preserve"> of </w:t>
      </w:r>
      <w:r>
        <w:rPr>
          <w:kern w:val="0"/>
        </w:rPr>
        <w:t>interest on manuscript submission</w:t>
      </w:r>
      <w:r w:rsidR="005853A9">
        <w:rPr>
          <w:kern w:val="0"/>
        </w:rPr>
        <w:t xml:space="preserve"> and </w:t>
      </w:r>
      <w:r>
        <w:rPr>
          <w:kern w:val="0"/>
        </w:rPr>
        <w:t>more than three-quarters do not require/recommend trial registration.</w:t>
      </w:r>
    </w:p>
    <w:p w:rsidR="00D74D48" w:rsidRDefault="00D74D48" w:rsidP="00D74D48">
      <w:pPr>
        <w:pStyle w:val="a3"/>
        <w:rPr>
          <w:kern w:val="0"/>
        </w:rPr>
      </w:pPr>
      <w:r>
        <w:rPr>
          <w:kern w:val="0"/>
        </w:rPr>
        <w:t>Keywords: Authors, Biomedical-Research, Citation, Clinical-Trials, Consort Statement, Dec-Net, European Register, Germany, Impact, Impact Factor, Information, Journal, Journals, Publication, Quality, Randomized Controlled-Trials, Registration, Research, Transparency</w:t>
      </w:r>
    </w:p>
    <w:p w:rsidR="004A7891" w:rsidRDefault="004A7891" w:rsidP="004A7891">
      <w:pPr>
        <w:pStyle w:val="a3"/>
        <w:rPr>
          <w:kern w:val="0"/>
        </w:rPr>
      </w:pPr>
      <w:r>
        <w:rPr>
          <w:rFonts w:hint="eastAsia"/>
          <w:kern w:val="0"/>
        </w:rPr>
        <w:t xml:space="preserve">? </w:t>
      </w:r>
      <w:r>
        <w:rPr>
          <w:kern w:val="0"/>
        </w:rPr>
        <w:t>Ciampa, P.J., Kumar, D., Barkin, S.L., Sanders, L.M., Yin, H.S., Perrin, E.M.</w:t>
      </w:r>
      <w:r w:rsidR="005853A9">
        <w:rPr>
          <w:kern w:val="0"/>
        </w:rPr>
        <w:t xml:space="preserve"> and </w:t>
      </w:r>
      <w:r>
        <w:rPr>
          <w:kern w:val="0"/>
        </w:rPr>
        <w:t xml:space="preserve">Rothman, R.L. (2010), Interventions aimed at decreasing obesity in children younger than 2 years: A systematic review. </w:t>
      </w:r>
      <w:r>
        <w:rPr>
          <w:i/>
          <w:iCs/>
          <w:kern w:val="0"/>
        </w:rPr>
        <w:t>Archives</w:t>
      </w:r>
      <w:r w:rsidR="00427468">
        <w:rPr>
          <w:i/>
          <w:iCs/>
          <w:kern w:val="0"/>
        </w:rPr>
        <w:t xml:space="preserve"> of </w:t>
      </w:r>
      <w:r>
        <w:rPr>
          <w:i/>
          <w:iCs/>
          <w:kern w:val="0"/>
        </w:rPr>
        <w:t>Pediatrics &amp; Adolescent Medicine</w:t>
      </w:r>
      <w:r>
        <w:rPr>
          <w:kern w:val="0"/>
        </w:rPr>
        <w:t xml:space="preserve">, </w:t>
      </w:r>
      <w:r>
        <w:rPr>
          <w:b/>
          <w:bCs/>
          <w:kern w:val="0"/>
        </w:rPr>
        <w:t>164</w:t>
      </w:r>
      <w:r>
        <w:rPr>
          <w:kern w:val="0"/>
        </w:rPr>
        <w:t xml:space="preserve"> (12), 1098-1104.</w:t>
      </w:r>
    </w:p>
    <w:p w:rsidR="004A7891" w:rsidRDefault="004A7891" w:rsidP="004A7891">
      <w:pPr>
        <w:pStyle w:val="a3"/>
        <w:rPr>
          <w:kern w:val="0"/>
        </w:rPr>
      </w:pPr>
      <w:r>
        <w:rPr>
          <w:kern w:val="0"/>
        </w:rPr>
        <w:t>Abstract: Objective: To assess</w:t>
      </w:r>
      <w:r w:rsidR="003A1917">
        <w:rPr>
          <w:kern w:val="0"/>
        </w:rPr>
        <w:t xml:space="preserve"> the </w:t>
      </w:r>
      <w:r>
        <w:rPr>
          <w:kern w:val="0"/>
        </w:rPr>
        <w:t>evidence for interventions designed to prevent or reduce overweight</w:t>
      </w:r>
      <w:r w:rsidR="005853A9">
        <w:rPr>
          <w:kern w:val="0"/>
        </w:rPr>
        <w:t xml:space="preserve"> and </w:t>
      </w:r>
      <w:r>
        <w:rPr>
          <w:kern w:val="0"/>
        </w:rPr>
        <w:t xml:space="preserve">obesity in children younger than 2 years. Data Sources: </w:t>
      </w:r>
      <w:r w:rsidR="00D5664A">
        <w:rPr>
          <w:kern w:val="0"/>
        </w:rPr>
        <w:t>MEDLINE</w:t>
      </w:r>
      <w:r>
        <w:rPr>
          <w:kern w:val="0"/>
        </w:rPr>
        <w:t>,</w:t>
      </w:r>
      <w:r w:rsidR="003A1917">
        <w:rPr>
          <w:kern w:val="0"/>
        </w:rPr>
        <w:t xml:space="preserve"> the </w:t>
      </w:r>
      <w:r>
        <w:rPr>
          <w:kern w:val="0"/>
        </w:rPr>
        <w:t>Cochrane Central Register</w:t>
      </w:r>
      <w:r w:rsidR="00427468">
        <w:rPr>
          <w:kern w:val="0"/>
        </w:rPr>
        <w:t xml:space="preserve"> of </w:t>
      </w:r>
      <w:r>
        <w:rPr>
          <w:kern w:val="0"/>
        </w:rPr>
        <w:t xml:space="preserve">Controlled Trials, CINAHL,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references from relevant articles. Study Selection: Included were published studies that evaluated an intervention designed to prevent or reduce overweight or obesity in children younger than 2 years. Data Extraction: Extracted from eligible studies were measured outcomes, including changes in child weight status, dietary intake,</w:t>
      </w:r>
      <w:r w:rsidR="005853A9">
        <w:rPr>
          <w:kern w:val="0"/>
        </w:rPr>
        <w:t xml:space="preserve"> and </w:t>
      </w:r>
      <w:r>
        <w:rPr>
          <w:kern w:val="0"/>
        </w:rPr>
        <w:t>physical activity</w:t>
      </w:r>
      <w:r w:rsidR="005853A9">
        <w:rPr>
          <w:kern w:val="0"/>
        </w:rPr>
        <w:t xml:space="preserve"> and </w:t>
      </w:r>
      <w:r>
        <w:rPr>
          <w:kern w:val="0"/>
        </w:rPr>
        <w:t>parental attitudes</w:t>
      </w:r>
      <w:r w:rsidR="005853A9">
        <w:rPr>
          <w:kern w:val="0"/>
        </w:rPr>
        <w:t xml:space="preserve"> and </w:t>
      </w:r>
      <w:r>
        <w:rPr>
          <w:kern w:val="0"/>
        </w:rPr>
        <w:t>knowledge about nutrition. Studies were assessed for scientific quality using standard criteria, with an assigned quality score ranging from 0.00 to 2.00 (0.00-0.99 is poor, 1.00-1.49 is fair,</w:t>
      </w:r>
      <w:r w:rsidR="005853A9">
        <w:rPr>
          <w:kern w:val="0"/>
        </w:rPr>
        <w:t xml:space="preserve"> and </w:t>
      </w:r>
      <w:r>
        <w:rPr>
          <w:kern w:val="0"/>
        </w:rPr>
        <w:t>1.50-2.00 is good). Data Synthesis: We retrieved 1557 citations; 38 articles were reviewed,</w:t>
      </w:r>
      <w:r w:rsidR="005853A9">
        <w:rPr>
          <w:kern w:val="0"/>
        </w:rPr>
        <w:t xml:space="preserve"> and </w:t>
      </w:r>
      <w:r>
        <w:rPr>
          <w:kern w:val="0"/>
        </w:rPr>
        <w:t xml:space="preserve">12 articles representing 10 studies met study inclusion </w:t>
      </w:r>
      <w:r>
        <w:rPr>
          <w:kern w:val="0"/>
        </w:rPr>
        <w:lastRenderedPageBreak/>
        <w:t>criteria. Eight studies used educational interventions to promote dietary behaviors,</w:t>
      </w:r>
      <w:r w:rsidR="005853A9">
        <w:rPr>
          <w:kern w:val="0"/>
        </w:rPr>
        <w:t xml:space="preserve"> and </w:t>
      </w:r>
      <w:r>
        <w:rPr>
          <w:kern w:val="0"/>
        </w:rPr>
        <w:t>2 studies used a combination</w:t>
      </w:r>
      <w:r w:rsidR="00427468">
        <w:rPr>
          <w:kern w:val="0"/>
        </w:rPr>
        <w:t xml:space="preserve"> of </w:t>
      </w:r>
      <w:r>
        <w:rPr>
          <w:kern w:val="0"/>
        </w:rPr>
        <w:t>nutrition education</w:t>
      </w:r>
      <w:r w:rsidR="005853A9">
        <w:rPr>
          <w:kern w:val="0"/>
        </w:rPr>
        <w:t xml:space="preserve"> and </w:t>
      </w:r>
      <w:r>
        <w:rPr>
          <w:kern w:val="0"/>
        </w:rPr>
        <w:t>physical activity. Study settings included home (n=2), clinic (n=3), classroom (n=4), or a combination (n=1). Intervention durations were generally less than 6 months</w:t>
      </w:r>
      <w:r w:rsidR="005853A9">
        <w:rPr>
          <w:kern w:val="0"/>
        </w:rPr>
        <w:t xml:space="preserve"> and </w:t>
      </w:r>
      <w:r>
        <w:rPr>
          <w:kern w:val="0"/>
        </w:rPr>
        <w:t>had modest success in affecting measures, such as dietary intake</w:t>
      </w:r>
      <w:r w:rsidR="005853A9">
        <w:rPr>
          <w:kern w:val="0"/>
        </w:rPr>
        <w:t xml:space="preserve"> and </w:t>
      </w:r>
      <w:r>
        <w:rPr>
          <w:kern w:val="0"/>
        </w:rPr>
        <w:t>parental attitudes</w:t>
      </w:r>
      <w:r w:rsidR="005853A9">
        <w:rPr>
          <w:kern w:val="0"/>
        </w:rPr>
        <w:t xml:space="preserve"> and </w:t>
      </w:r>
      <w:r>
        <w:rPr>
          <w:kern w:val="0"/>
        </w:rPr>
        <w:t>knowledge about nutrition. No intervention improved child weight status. Studies were</w:t>
      </w:r>
      <w:r w:rsidR="00427468">
        <w:rPr>
          <w:kern w:val="0"/>
        </w:rPr>
        <w:t xml:space="preserve"> of </w:t>
      </w:r>
      <w:r>
        <w:rPr>
          <w:kern w:val="0"/>
        </w:rPr>
        <w:t>poor or fair quality (median quality score, 0.86; range, 0.28-1.43). Conclusions: Few published studies attempted to intervene among children younger than 2 years to prevent or reduce obesity. Limited evidence suggests that interventions may improve dietary intake</w:t>
      </w:r>
      <w:r w:rsidR="005853A9">
        <w:rPr>
          <w:kern w:val="0"/>
        </w:rPr>
        <w:t xml:space="preserve"> and </w:t>
      </w:r>
      <w:r>
        <w:rPr>
          <w:kern w:val="0"/>
        </w:rPr>
        <w:t>parental attitudes</w:t>
      </w:r>
      <w:r w:rsidR="005853A9">
        <w:rPr>
          <w:kern w:val="0"/>
        </w:rPr>
        <w:t xml:space="preserve"> and </w:t>
      </w:r>
      <w:r>
        <w:rPr>
          <w:kern w:val="0"/>
        </w:rPr>
        <w:t>knowledge about nutrition for children in this age group. For clinically important</w:t>
      </w:r>
      <w:r w:rsidR="005853A9">
        <w:rPr>
          <w:kern w:val="0"/>
        </w:rPr>
        <w:t xml:space="preserve"> and </w:t>
      </w:r>
      <w:r>
        <w:rPr>
          <w:kern w:val="0"/>
        </w:rPr>
        <w:t>sustainable effect, future research should focus on designing rigorous interventions that target young children</w:t>
      </w:r>
      <w:r w:rsidR="005853A9">
        <w:rPr>
          <w:kern w:val="0"/>
        </w:rPr>
        <w:t xml:space="preserve"> and </w:t>
      </w:r>
      <w:r>
        <w:rPr>
          <w:kern w:val="0"/>
        </w:rPr>
        <w:t>their families.</w:t>
      </w:r>
    </w:p>
    <w:p w:rsidR="004A7891" w:rsidRDefault="004A7891" w:rsidP="004A7891">
      <w:pPr>
        <w:pStyle w:val="a3"/>
        <w:rPr>
          <w:kern w:val="0"/>
        </w:rPr>
      </w:pPr>
      <w:r>
        <w:rPr>
          <w:kern w:val="0"/>
        </w:rPr>
        <w:t xml:space="preserve">Keywords: Anticipatory Guidance, Body-Mass Index, Child, Childhood Overweight, Children, Citations, Cochrane, Education, Extraction, Families, Infant Weight-Gain, Intervention, Interventions, Knowledge, Low-Income Families, </w:t>
      </w:r>
      <w:r w:rsidR="00D5664A">
        <w:rPr>
          <w:kern w:val="0"/>
        </w:rPr>
        <w:t>MEDLINE</w:t>
      </w:r>
      <w:r>
        <w:rPr>
          <w:kern w:val="0"/>
        </w:rPr>
        <w:t xml:space="preserve">, Nutrition, Obesity, Outcomes, Overweight, Parental Attitudes, Physical Activity, Physical-Activity, Project, Rapid Growth, Research, Review, Risk, Saturated Fat, Science, Sources, Success, Systematic, Systematic Review, </w:t>
      </w:r>
      <w:r w:rsidR="00D5664A">
        <w:rPr>
          <w:kern w:val="0"/>
        </w:rPr>
        <w:t>Web</w:t>
      </w:r>
      <w:r w:rsidR="00427468">
        <w:rPr>
          <w:kern w:val="0"/>
        </w:rPr>
        <w:t xml:space="preserve"> of </w:t>
      </w:r>
      <w:r w:rsidR="00D5664A">
        <w:rPr>
          <w:kern w:val="0"/>
        </w:rPr>
        <w:t>Science</w:t>
      </w:r>
    </w:p>
    <w:p w:rsidR="004A7891" w:rsidRDefault="004A7891" w:rsidP="004A7891">
      <w:pPr>
        <w:pStyle w:val="a3"/>
        <w:rPr>
          <w:kern w:val="0"/>
        </w:rPr>
      </w:pPr>
      <w:r>
        <w:rPr>
          <w:rFonts w:hint="eastAsia"/>
          <w:kern w:val="0"/>
        </w:rPr>
        <w:t xml:space="preserve">? </w:t>
      </w:r>
      <w:r>
        <w:rPr>
          <w:kern w:val="0"/>
        </w:rPr>
        <w:t>Cohen, E., Jovcevska, V., Kuo, D.Z.</w:t>
      </w:r>
      <w:r w:rsidR="005853A9">
        <w:rPr>
          <w:kern w:val="0"/>
        </w:rPr>
        <w:t xml:space="preserve"> and </w:t>
      </w:r>
      <w:r>
        <w:rPr>
          <w:kern w:val="0"/>
        </w:rPr>
        <w:t>Mahant, S. (2011), Hospital-based comprehensive care programs for children with special health care needs</w:t>
      </w:r>
      <w:r>
        <w:rPr>
          <w:rFonts w:hint="eastAsia"/>
          <w:kern w:val="0"/>
        </w:rPr>
        <w:t>:</w:t>
      </w:r>
      <w:r>
        <w:rPr>
          <w:kern w:val="0"/>
        </w:rPr>
        <w:t xml:space="preserve"> A systematic review. </w:t>
      </w:r>
      <w:r>
        <w:rPr>
          <w:i/>
          <w:iCs/>
          <w:kern w:val="0"/>
        </w:rPr>
        <w:t>Archives</w:t>
      </w:r>
      <w:r w:rsidR="00427468">
        <w:rPr>
          <w:i/>
          <w:iCs/>
          <w:kern w:val="0"/>
        </w:rPr>
        <w:t xml:space="preserve"> of </w:t>
      </w:r>
      <w:r>
        <w:rPr>
          <w:i/>
          <w:iCs/>
          <w:kern w:val="0"/>
        </w:rPr>
        <w:t>Pediatrics &amp; Adolescent Medicine</w:t>
      </w:r>
      <w:r>
        <w:rPr>
          <w:kern w:val="0"/>
        </w:rPr>
        <w:t xml:space="preserve">, </w:t>
      </w:r>
      <w:r>
        <w:rPr>
          <w:b/>
          <w:bCs/>
          <w:kern w:val="0"/>
        </w:rPr>
        <w:t>165</w:t>
      </w:r>
      <w:r>
        <w:rPr>
          <w:kern w:val="0"/>
        </w:rPr>
        <w:t xml:space="preserve"> (6), 554-561.</w:t>
      </w:r>
    </w:p>
    <w:p w:rsidR="004A7891" w:rsidRDefault="004A7891" w:rsidP="004A7891">
      <w:pPr>
        <w:pStyle w:val="a3"/>
        <w:rPr>
          <w:kern w:val="0"/>
        </w:rPr>
      </w:pPr>
      <w:r>
        <w:rPr>
          <w:kern w:val="0"/>
        </w:rPr>
        <w:t>Abstract: Objective: To examine</w:t>
      </w:r>
      <w:r w:rsidR="003A1917">
        <w:rPr>
          <w:kern w:val="0"/>
        </w:rPr>
        <w:t xml:space="preserve"> the </w:t>
      </w:r>
      <w:r>
        <w:rPr>
          <w:kern w:val="0"/>
        </w:rPr>
        <w:t>effectiveness</w:t>
      </w:r>
      <w:r w:rsidR="00427468">
        <w:rPr>
          <w:kern w:val="0"/>
        </w:rPr>
        <w:t xml:space="preserve"> of </w:t>
      </w:r>
      <w:r>
        <w:rPr>
          <w:kern w:val="0"/>
        </w:rPr>
        <w:t>hospital-based comprehensive care programs in improving</w:t>
      </w:r>
      <w:r w:rsidR="003A1917">
        <w:rPr>
          <w:kern w:val="0"/>
        </w:rPr>
        <w:t xml:space="preserve"> the </w:t>
      </w:r>
      <w:r>
        <w:rPr>
          <w:kern w:val="0"/>
        </w:rPr>
        <w:t>quality</w:t>
      </w:r>
      <w:r w:rsidR="00427468">
        <w:rPr>
          <w:kern w:val="0"/>
        </w:rPr>
        <w:t xml:space="preserve"> of </w:t>
      </w:r>
      <w:r>
        <w:rPr>
          <w:kern w:val="0"/>
        </w:rPr>
        <w:t xml:space="preserve">care for children with special health care needs. Data Sources: A systematic review was conducted using Ovid </w:t>
      </w:r>
      <w:r w:rsidR="00D5664A">
        <w:rPr>
          <w:kern w:val="0"/>
        </w:rPr>
        <w:t>MEDLINE</w:t>
      </w:r>
      <w:r>
        <w:rPr>
          <w:kern w:val="0"/>
        </w:rPr>
        <w:t>, CINAHL, EMBASE, PsycINFO, Sociological Abstracts SocioFile,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Study Selection: Evaluations</w:t>
      </w:r>
      <w:r w:rsidR="00427468">
        <w:rPr>
          <w:kern w:val="0"/>
        </w:rPr>
        <w:t xml:space="preserve"> of </w:t>
      </w:r>
      <w:r>
        <w:rPr>
          <w:kern w:val="0"/>
        </w:rPr>
        <w:t>comprehensive care programs for categorical (those with single disease)</w:t>
      </w:r>
      <w:r w:rsidR="005853A9">
        <w:rPr>
          <w:kern w:val="0"/>
        </w:rPr>
        <w:t xml:space="preserve"> and </w:t>
      </w:r>
      <w:r>
        <w:rPr>
          <w:kern w:val="0"/>
        </w:rPr>
        <w:t>noncategorical groups</w:t>
      </w:r>
      <w:r w:rsidR="00427468">
        <w:rPr>
          <w:kern w:val="0"/>
        </w:rPr>
        <w:t xml:space="preserve"> of </w:t>
      </w:r>
      <w:r>
        <w:rPr>
          <w:kern w:val="0"/>
        </w:rPr>
        <w:t>children with special health care needs were included. Selected articles were reviewed independently by 2 raters. Data Extraction: Models</w:t>
      </w:r>
      <w:r w:rsidR="00427468">
        <w:rPr>
          <w:kern w:val="0"/>
        </w:rPr>
        <w:t xml:space="preserve"> of </w:t>
      </w:r>
      <w:r>
        <w:rPr>
          <w:kern w:val="0"/>
        </w:rPr>
        <w:t>care focused on comprehensive care based at least partially in a hospital setting</w:t>
      </w:r>
      <w:r w:rsidR="00A37C1D">
        <w:rPr>
          <w:kern w:val="0"/>
        </w:rPr>
        <w:t>. The</w:t>
      </w:r>
      <w:r w:rsidR="003A1917">
        <w:rPr>
          <w:kern w:val="0"/>
        </w:rPr>
        <w:t xml:space="preserve"> </w:t>
      </w:r>
      <w:r>
        <w:rPr>
          <w:kern w:val="0"/>
        </w:rPr>
        <w:t>main outcome measures were</w:t>
      </w:r>
      <w:r w:rsidR="003A1917">
        <w:rPr>
          <w:kern w:val="0"/>
        </w:rPr>
        <w:t xml:space="preserve"> the </w:t>
      </w:r>
      <w:r>
        <w:rPr>
          <w:kern w:val="0"/>
        </w:rPr>
        <w:t>proportions</w:t>
      </w:r>
      <w:r w:rsidR="00427468">
        <w:rPr>
          <w:kern w:val="0"/>
        </w:rPr>
        <w:t xml:space="preserve"> of </w:t>
      </w:r>
      <w:r>
        <w:rPr>
          <w:kern w:val="0"/>
        </w:rPr>
        <w:t>studies demonstrating improvement in</w:t>
      </w:r>
      <w:r w:rsidR="003A1917">
        <w:rPr>
          <w:kern w:val="0"/>
        </w:rPr>
        <w:t xml:space="preserve"> the </w:t>
      </w:r>
      <w:r>
        <w:rPr>
          <w:kern w:val="0"/>
        </w:rPr>
        <w:t>Institute</w:t>
      </w:r>
      <w:r w:rsidR="00427468">
        <w:rPr>
          <w:kern w:val="0"/>
        </w:rPr>
        <w:t xml:space="preserve"> of </w:t>
      </w:r>
      <w:r>
        <w:rPr>
          <w:kern w:val="0"/>
        </w:rPr>
        <w:t>Medicine</w:t>
      </w:r>
      <w:r w:rsidR="00700038">
        <w:rPr>
          <w:kern w:val="0"/>
        </w:rPr>
        <w:t>’</w:t>
      </w:r>
      <w:r w:rsidR="00C13DDC">
        <w:rPr>
          <w:kern w:val="0"/>
        </w:rPr>
        <w:t>s</w:t>
      </w:r>
      <w:r>
        <w:rPr>
          <w:kern w:val="0"/>
        </w:rPr>
        <w:t xml:space="preserve"> quality</w:t>
      </w:r>
      <w:r w:rsidR="00434900">
        <w:rPr>
          <w:kern w:val="0"/>
        </w:rPr>
        <w:t>-of-</w:t>
      </w:r>
      <w:r>
        <w:rPr>
          <w:kern w:val="0"/>
        </w:rPr>
        <w:t>care domains (effectiveness</w:t>
      </w:r>
      <w:r w:rsidR="00427468">
        <w:rPr>
          <w:kern w:val="0"/>
        </w:rPr>
        <w:t xml:space="preserve"> of </w:t>
      </w:r>
      <w:r>
        <w:rPr>
          <w:kern w:val="0"/>
        </w:rPr>
        <w:t>care, efficiency</w:t>
      </w:r>
      <w:r w:rsidR="00427468">
        <w:rPr>
          <w:kern w:val="0"/>
        </w:rPr>
        <w:t xml:space="preserve"> of </w:t>
      </w:r>
      <w:r>
        <w:rPr>
          <w:kern w:val="0"/>
        </w:rPr>
        <w:t>care, patient or family centeredness, patient safety, timeliness</w:t>
      </w:r>
      <w:r w:rsidR="00427468">
        <w:rPr>
          <w:kern w:val="0"/>
        </w:rPr>
        <w:t xml:space="preserve"> of </w:t>
      </w:r>
      <w:r>
        <w:rPr>
          <w:kern w:val="0"/>
        </w:rPr>
        <w:t>care,</w:t>
      </w:r>
      <w:r w:rsidR="005853A9">
        <w:rPr>
          <w:kern w:val="0"/>
        </w:rPr>
        <w:t xml:space="preserve"> and </w:t>
      </w:r>
      <w:r>
        <w:rPr>
          <w:kern w:val="0"/>
        </w:rPr>
        <w:t>equity</w:t>
      </w:r>
      <w:r w:rsidR="00427468">
        <w:rPr>
          <w:kern w:val="0"/>
        </w:rPr>
        <w:t xml:space="preserve"> of </w:t>
      </w:r>
      <w:r>
        <w:rPr>
          <w:kern w:val="0"/>
        </w:rPr>
        <w:t>care). Data Synthesis: Thirty-three unique programs were included, 13 (39%)</w:t>
      </w:r>
      <w:r w:rsidR="00427468">
        <w:rPr>
          <w:kern w:val="0"/>
        </w:rPr>
        <w:t xml:space="preserve"> of </w:t>
      </w:r>
      <w:r>
        <w:rPr>
          <w:kern w:val="0"/>
        </w:rPr>
        <w:t>which were randomized controlled trials. Improved outcomes most commonly reported were efficiency</w:t>
      </w:r>
      <w:r w:rsidR="00427468">
        <w:rPr>
          <w:kern w:val="0"/>
        </w:rPr>
        <w:t xml:space="preserve"> of </w:t>
      </w:r>
      <w:r>
        <w:rPr>
          <w:kern w:val="0"/>
        </w:rPr>
        <w:t>care (64% [49</w:t>
      </w:r>
      <w:r w:rsidR="00427468">
        <w:rPr>
          <w:kern w:val="0"/>
        </w:rPr>
        <w:t xml:space="preserve"> of </w:t>
      </w:r>
      <w:r>
        <w:rPr>
          <w:kern w:val="0"/>
        </w:rPr>
        <w:t>76 outcomes]), effectiveness</w:t>
      </w:r>
      <w:r w:rsidR="00427468">
        <w:rPr>
          <w:kern w:val="0"/>
        </w:rPr>
        <w:t xml:space="preserve"> of </w:t>
      </w:r>
      <w:r>
        <w:rPr>
          <w:kern w:val="0"/>
        </w:rPr>
        <w:t>care (60% [57</w:t>
      </w:r>
      <w:r w:rsidR="00427468">
        <w:rPr>
          <w:kern w:val="0"/>
        </w:rPr>
        <w:t xml:space="preserve"> of </w:t>
      </w:r>
      <w:r>
        <w:rPr>
          <w:kern w:val="0"/>
        </w:rPr>
        <w:t>95 outcomes]),</w:t>
      </w:r>
      <w:r w:rsidR="005853A9">
        <w:rPr>
          <w:kern w:val="0"/>
        </w:rPr>
        <w:t xml:space="preserve"> and </w:t>
      </w:r>
      <w:r>
        <w:rPr>
          <w:kern w:val="0"/>
        </w:rPr>
        <w:t>patient or family centeredness (53% [10</w:t>
      </w:r>
      <w:r w:rsidR="00427468">
        <w:rPr>
          <w:kern w:val="0"/>
        </w:rPr>
        <w:t xml:space="preserve"> of </w:t>
      </w:r>
      <w:r>
        <w:rPr>
          <w:kern w:val="0"/>
        </w:rPr>
        <w:t>19 outcomes). Outcomes less commonly evaluated were patient safety (9% [3</w:t>
      </w:r>
      <w:r w:rsidR="00427468">
        <w:rPr>
          <w:kern w:val="0"/>
        </w:rPr>
        <w:t xml:space="preserve"> of </w:t>
      </w:r>
      <w:r>
        <w:rPr>
          <w:kern w:val="0"/>
        </w:rPr>
        <w:t>33 programs]), timeliness</w:t>
      </w:r>
      <w:r w:rsidR="00427468">
        <w:rPr>
          <w:kern w:val="0"/>
        </w:rPr>
        <w:t xml:space="preserve"> of </w:t>
      </w:r>
      <w:r>
        <w:rPr>
          <w:kern w:val="0"/>
        </w:rPr>
        <w:t>care (6% [2</w:t>
      </w:r>
      <w:r w:rsidR="00427468">
        <w:rPr>
          <w:kern w:val="0"/>
        </w:rPr>
        <w:t xml:space="preserve"> of </w:t>
      </w:r>
      <w:r>
        <w:rPr>
          <w:kern w:val="0"/>
        </w:rPr>
        <w:t>33 programs]),</w:t>
      </w:r>
      <w:r w:rsidR="005853A9">
        <w:rPr>
          <w:kern w:val="0"/>
        </w:rPr>
        <w:t xml:space="preserve"> </w:t>
      </w:r>
      <w:r w:rsidR="005853A9">
        <w:rPr>
          <w:kern w:val="0"/>
        </w:rPr>
        <w:lastRenderedPageBreak/>
        <w:t xml:space="preserve">and </w:t>
      </w:r>
      <w:r>
        <w:rPr>
          <w:kern w:val="0"/>
        </w:rPr>
        <w:t>equity</w:t>
      </w:r>
      <w:r w:rsidR="00427468">
        <w:rPr>
          <w:kern w:val="0"/>
        </w:rPr>
        <w:t xml:space="preserve"> of </w:t>
      </w:r>
      <w:r>
        <w:rPr>
          <w:kern w:val="0"/>
        </w:rPr>
        <w:t>care (0%). Randomized controlled trials occurred more frequently in studies evaluating categorical vs noncategorical disease populations (11</w:t>
      </w:r>
      <w:r w:rsidR="00427468">
        <w:rPr>
          <w:kern w:val="0"/>
        </w:rPr>
        <w:t xml:space="preserve"> of </w:t>
      </w:r>
      <w:r>
        <w:rPr>
          <w:kern w:val="0"/>
        </w:rPr>
        <w:t>17 [65%] vs 2</w:t>
      </w:r>
      <w:r w:rsidR="00427468">
        <w:rPr>
          <w:kern w:val="0"/>
        </w:rPr>
        <w:t xml:space="preserve"> of </w:t>
      </w:r>
      <w:r>
        <w:rPr>
          <w:kern w:val="0"/>
        </w:rPr>
        <w:t>16 [17%], P=.008). Conclusions: Although positive,</w:t>
      </w:r>
      <w:r w:rsidR="003A1917">
        <w:rPr>
          <w:kern w:val="0"/>
        </w:rPr>
        <w:t xml:space="preserve"> the </w:t>
      </w:r>
      <w:r>
        <w:rPr>
          <w:kern w:val="0"/>
        </w:rPr>
        <w:t>evidence supporting comprehensive hospital-based programs for children with special health care needs is restricted primarily to nonexperimental studies</w:t>
      </w:r>
      <w:r w:rsidR="00427468">
        <w:rPr>
          <w:kern w:val="0"/>
        </w:rPr>
        <w:t xml:space="preserve"> of </w:t>
      </w:r>
      <w:r>
        <w:rPr>
          <w:kern w:val="0"/>
        </w:rPr>
        <w:t>children with categorical diseases</w:t>
      </w:r>
      <w:r w:rsidR="005853A9">
        <w:rPr>
          <w:kern w:val="0"/>
        </w:rPr>
        <w:t xml:space="preserve"> and </w:t>
      </w:r>
      <w:r>
        <w:rPr>
          <w:kern w:val="0"/>
        </w:rPr>
        <w:t>is limited by inadequate outcome measures. Additional high-quality evidence with appropriate comparative groups</w:t>
      </w:r>
      <w:r w:rsidR="005853A9">
        <w:rPr>
          <w:kern w:val="0"/>
        </w:rPr>
        <w:t xml:space="preserve"> and </w:t>
      </w:r>
      <w:r>
        <w:rPr>
          <w:kern w:val="0"/>
        </w:rPr>
        <w:t>broad outcomes is necessary to justify continued development</w:t>
      </w:r>
      <w:r w:rsidR="005853A9">
        <w:rPr>
          <w:kern w:val="0"/>
        </w:rPr>
        <w:t xml:space="preserve"> and </w:t>
      </w:r>
      <w:r>
        <w:rPr>
          <w:kern w:val="0"/>
        </w:rPr>
        <w:t>growth</w:t>
      </w:r>
      <w:r w:rsidR="00427468">
        <w:rPr>
          <w:kern w:val="0"/>
        </w:rPr>
        <w:t xml:space="preserve"> of </w:t>
      </w:r>
      <w:r>
        <w:rPr>
          <w:kern w:val="0"/>
        </w:rPr>
        <w:t>programs for broad groups</w:t>
      </w:r>
      <w:r w:rsidR="00427468">
        <w:rPr>
          <w:kern w:val="0"/>
        </w:rPr>
        <w:t xml:space="preserve"> of </w:t>
      </w:r>
      <w:r>
        <w:rPr>
          <w:kern w:val="0"/>
        </w:rPr>
        <w:t>children with special health care needs.</w:t>
      </w:r>
    </w:p>
    <w:p w:rsidR="004A7891" w:rsidRDefault="004A7891" w:rsidP="004A7891">
      <w:pPr>
        <w:pStyle w:val="a3"/>
        <w:rPr>
          <w:kern w:val="0"/>
        </w:rPr>
      </w:pPr>
      <w:r>
        <w:rPr>
          <w:kern w:val="0"/>
        </w:rPr>
        <w:t xml:space="preserve">Keywords: Birth-Weight Infants, Care, Children, Chronic Illness, Complex, Controlled-Trial, Development, Disease, Effectiveness, EMBASE, Extraction, Follow-up, Health, Health Care, Hospital, Intervention, Management, Medical Home, </w:t>
      </w:r>
      <w:r w:rsidR="00D5664A">
        <w:rPr>
          <w:kern w:val="0"/>
        </w:rPr>
        <w:t>MEDLINE</w:t>
      </w:r>
      <w:r>
        <w:rPr>
          <w:kern w:val="0"/>
        </w:rPr>
        <w:t>, Outcome, Outcomes, Pediatric Home Care, Quality</w:t>
      </w:r>
      <w:r w:rsidR="00427468">
        <w:rPr>
          <w:kern w:val="0"/>
        </w:rPr>
        <w:t xml:space="preserve"> of </w:t>
      </w:r>
      <w:r>
        <w:rPr>
          <w:kern w:val="0"/>
        </w:rPr>
        <w:t xml:space="preserve">Care, Randomized Controlled Trials, Randomized Trial, Review, Safety, Science, Sources, Systematic, Systematic Review,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595" w:name="_Toc420814588"/>
      <w:r w:rsidRPr="001A3D2B">
        <w:lastRenderedPageBreak/>
        <w:t>Title: Archives</w:t>
      </w:r>
      <w:r w:rsidR="00427468">
        <w:t xml:space="preserve"> of </w:t>
      </w:r>
      <w:r w:rsidRPr="001A3D2B">
        <w:t>Physical Medicine</w:t>
      </w:r>
      <w:r w:rsidR="005853A9">
        <w:t xml:space="preserve"> and </w:t>
      </w:r>
      <w:r w:rsidRPr="001A3D2B">
        <w:t>Rehab</w:t>
      </w:r>
      <w:bookmarkStart w:id="596" w:name="_Toc43634537"/>
      <w:bookmarkStart w:id="597" w:name="_Toc81215623"/>
      <w:r w:rsidRPr="001A3D2B">
        <w:t>ilitation</w:t>
      </w:r>
      <w:bookmarkEnd w:id="595"/>
    </w:p>
    <w:p w:rsidR="00760A5C" w:rsidRPr="001A3D2B" w:rsidRDefault="00760A5C" w:rsidP="00760A5C">
      <w:pPr>
        <w:pStyle w:val="12"/>
      </w:pPr>
      <w:r w:rsidRPr="001A3D2B">
        <w:t xml:space="preserve">Full Journal Title: </w:t>
      </w:r>
      <w:r w:rsidR="00206C8A">
        <w:fldChar w:fldCharType="begin"/>
      </w:r>
      <w:r w:rsidR="00FD158B">
        <w:instrText>HYPERLINK "http://www.ar</w:instrText>
      </w:r>
      <w:bookmarkEnd w:id="596"/>
      <w:bookmarkEnd w:id="597"/>
      <w:r w:rsidR="00FD158B">
        <w:instrText>chives-pmr.org/"</w:instrText>
      </w:r>
      <w:r w:rsidR="00206C8A">
        <w:fldChar w:fldCharType="separate"/>
      </w:r>
      <w:r w:rsidRPr="001A3D2B">
        <w:rPr>
          <w:rStyle w:val="a5"/>
        </w:rPr>
        <w:t>Archives</w:t>
      </w:r>
      <w:r w:rsidR="00427468">
        <w:rPr>
          <w:rStyle w:val="a5"/>
        </w:rPr>
        <w:t xml:space="preserve"> of </w:t>
      </w:r>
      <w:r w:rsidRPr="001A3D2B">
        <w:rPr>
          <w:rStyle w:val="a5"/>
        </w:rPr>
        <w:t>Physical Medicine</w:t>
      </w:r>
      <w:r w:rsidR="005853A9">
        <w:rPr>
          <w:rStyle w:val="a5"/>
        </w:rPr>
        <w:t xml:space="preserve"> and </w:t>
      </w:r>
      <w:r w:rsidRPr="001A3D2B">
        <w:rPr>
          <w:rStyle w:val="a5"/>
        </w:rPr>
        <w:t>Rehabilitation</w:t>
      </w:r>
      <w:r w:rsidR="00206C8A">
        <w:fldChar w:fldCharType="end"/>
      </w:r>
      <w:r w:rsidRPr="001A3D2B">
        <w:t xml:space="preserve">; </w:t>
      </w:r>
      <w:hyperlink r:id="rId1161" w:history="1">
        <w:r w:rsidRPr="001A3D2B">
          <w:rPr>
            <w:rStyle w:val="a5"/>
          </w:rPr>
          <w:t>Archives</w:t>
        </w:r>
        <w:r w:rsidR="00427468">
          <w:rPr>
            <w:rStyle w:val="a5"/>
          </w:rPr>
          <w:t xml:space="preserve"> of </w:t>
        </w:r>
        <w:r w:rsidRPr="001A3D2B">
          <w:rPr>
            <w:rStyle w:val="a5"/>
          </w:rPr>
          <w:t>Physical Medicine</w:t>
        </w:r>
        <w:r w:rsidR="005853A9">
          <w:rPr>
            <w:rStyle w:val="a5"/>
          </w:rPr>
          <w:t xml:space="preserve"> and </w:t>
        </w:r>
        <w:r w:rsidRPr="001A3D2B">
          <w:rPr>
            <w:rStyle w:val="a5"/>
          </w:rPr>
          <w:t>Rehabilitation</w:t>
        </w:r>
      </w:hyperlink>
    </w:p>
    <w:p w:rsidR="003474F2" w:rsidRPr="001A3D2B" w:rsidRDefault="003474F2" w:rsidP="003474F2">
      <w:pPr>
        <w:pStyle w:val="12"/>
      </w:pPr>
      <w:r w:rsidRPr="001A3D2B">
        <w:t>ISO Abbreviated Title: Arch. Phys. Med. Rehabil.</w:t>
      </w:r>
    </w:p>
    <w:p w:rsidR="003474F2" w:rsidRPr="001A3D2B" w:rsidRDefault="003474F2" w:rsidP="003474F2">
      <w:pPr>
        <w:pStyle w:val="12"/>
      </w:pPr>
      <w:r w:rsidRPr="001A3D2B">
        <w:t>JCR Abbreviated Title: Arch Phys Med Rehab</w:t>
      </w:r>
    </w:p>
    <w:p w:rsidR="003474F2" w:rsidRPr="001A3D2B" w:rsidRDefault="003474F2" w:rsidP="003474F2">
      <w:pPr>
        <w:pStyle w:val="12"/>
      </w:pPr>
      <w:r w:rsidRPr="001A3D2B">
        <w:t>ISSN: 0003-9993</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W B Saunders Co</w:t>
      </w:r>
    </w:p>
    <w:p w:rsidR="003474F2" w:rsidRPr="001A3D2B" w:rsidRDefault="003474F2" w:rsidP="003474F2">
      <w:pPr>
        <w:pStyle w:val="12"/>
      </w:pPr>
      <w:r w:rsidRPr="001A3D2B">
        <w:t xml:space="preserve">Publisher Address: </w:t>
      </w:r>
      <w:smartTag w:uri="urn:schemas-microsoft-com:office:smarttags" w:element="PlaceName">
        <w:r w:rsidRPr="001A3D2B">
          <w:t>Independence</w:t>
        </w:r>
      </w:smartTag>
      <w:r w:rsidRPr="001A3D2B">
        <w:t xml:space="preserve"> </w:t>
      </w:r>
      <w:smartTag w:uri="urn:schemas-microsoft-com:office:smarttags" w:element="PlaceType">
        <w:r w:rsidRPr="001A3D2B">
          <w:t>Square</w:t>
        </w:r>
      </w:smartTag>
      <w:r w:rsidRPr="001A3D2B">
        <w:t xml:space="preserve"> </w:t>
      </w:r>
      <w:smartTag w:uri="urn:schemas-microsoft-com:office:smarttags" w:element="PlaceName">
        <w:r w:rsidRPr="001A3D2B">
          <w:t>West</w:t>
        </w:r>
      </w:smartTag>
      <w:r w:rsidRPr="001A3D2B">
        <w:t xml:space="preserve"> </w:t>
      </w:r>
      <w:smartTag w:uri="urn:schemas-microsoft-com:office:smarttags" w:element="PlaceName">
        <w:r w:rsidRPr="001A3D2B">
          <w:t>Curtis</w:t>
        </w:r>
      </w:smartTag>
      <w:r w:rsidRPr="001A3D2B">
        <w:t xml:space="preserve"> </w:t>
      </w:r>
      <w:smartTag w:uri="urn:schemas-microsoft-com:office:smarttags" w:element="PlaceName">
        <w:r w:rsidRPr="001A3D2B">
          <w:t>Center</w:t>
        </w:r>
      </w:smartTag>
      <w:r w:rsidRPr="001A3D2B">
        <w:t xml:space="preserve">, </w:t>
      </w:r>
      <w:smartTag w:uri="urn:schemas-microsoft-com:office:smarttags" w:element="address">
        <w:smartTag w:uri="urn:schemas-microsoft-com:office:smarttags" w:element="Street">
          <w:r w:rsidRPr="001A3D2B">
            <w:t>Ste</w:t>
          </w:r>
        </w:smartTag>
        <w:r w:rsidRPr="001A3D2B">
          <w:t xml:space="preserve"> 300</w:t>
        </w:r>
      </w:smartTag>
      <w:r w:rsidRPr="001A3D2B">
        <w:t xml:space="preserve">, </w:t>
      </w:r>
      <w:smartTag w:uri="urn:schemas-microsoft-com:office:smarttags" w:element="place">
        <w:smartTag w:uri="urn:schemas-microsoft-com:office:smarttags" w:element="City">
          <w:r w:rsidRPr="001A3D2B">
            <w:t>Philadelphia</w:t>
          </w:r>
        </w:smartTag>
        <w:r w:rsidRPr="001A3D2B">
          <w:t xml:space="preserve">, </w:t>
        </w:r>
        <w:smartTag w:uri="urn:schemas-microsoft-com:office:smarttags" w:element="State">
          <w:r w:rsidRPr="001A3D2B">
            <w:t>PA</w:t>
          </w:r>
        </w:smartTag>
        <w:r w:rsidRPr="001A3D2B">
          <w:t xml:space="preserve"> </w:t>
        </w:r>
        <w:smartTag w:uri="urn:schemas-microsoft-com:office:smarttags" w:element="PostalCode">
          <w:r w:rsidRPr="001A3D2B">
            <w:t>19106-3399</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Rehabilitation: Impact Factor 1.371,/(2001)</w:t>
      </w:r>
    </w:p>
    <w:p w:rsidR="003474F2" w:rsidRPr="001A3D2B" w:rsidRDefault="003474F2" w:rsidP="003474F2">
      <w:pPr>
        <w:pStyle w:val="12"/>
      </w:pPr>
      <w:r w:rsidRPr="001A3D2B">
        <w:t>Sport Sciences: Impact Factor 1.371,/(2001)</w:t>
      </w:r>
    </w:p>
    <w:p w:rsidR="003474F2" w:rsidRPr="001A3D2B" w:rsidRDefault="003474F2" w:rsidP="003474F2">
      <w:pPr>
        <w:pStyle w:val="a3"/>
      </w:pPr>
      <w:r w:rsidRPr="001A3D2B">
        <w:t>? Key, J.D.</w:t>
      </w:r>
      <w:r w:rsidR="005853A9">
        <w:t xml:space="preserve"> and </w:t>
      </w:r>
      <w:r w:rsidRPr="001A3D2B">
        <w:t>Roland C.G. (1977), References accuracy in articles accepted for publication in</w:t>
      </w:r>
      <w:r w:rsidR="003A1917">
        <w:t xml:space="preserve"> the </w:t>
      </w:r>
      <w:r w:rsidRPr="001A3D2B">
        <w:rPr>
          <w:i/>
          <w:iCs/>
        </w:rPr>
        <w:t>Archives</w:t>
      </w:r>
      <w:r w:rsidR="00427468">
        <w:rPr>
          <w:i/>
          <w:iCs/>
        </w:rPr>
        <w:t xml:space="preserve"> of </w:t>
      </w:r>
      <w:r w:rsidRPr="001A3D2B">
        <w:rPr>
          <w:i/>
          <w:iCs/>
        </w:rPr>
        <w:t>Physical Medicine</w:t>
      </w:r>
      <w:r w:rsidR="005853A9">
        <w:rPr>
          <w:i/>
          <w:iCs/>
        </w:rPr>
        <w:t xml:space="preserve"> and </w:t>
      </w:r>
      <w:r w:rsidRPr="001A3D2B">
        <w:rPr>
          <w:i/>
          <w:iCs/>
        </w:rPr>
        <w:t>Rehabilitation</w:t>
      </w:r>
      <w:r w:rsidRPr="001A3D2B">
        <w:t xml:space="preserve">. </w:t>
      </w:r>
      <w:r w:rsidRPr="001A3D2B">
        <w:rPr>
          <w:i/>
          <w:iCs/>
        </w:rPr>
        <w:t>Archives</w:t>
      </w:r>
      <w:r w:rsidR="00427468">
        <w:rPr>
          <w:i/>
          <w:iCs/>
        </w:rPr>
        <w:t xml:space="preserve"> of </w:t>
      </w:r>
      <w:r w:rsidRPr="001A3D2B">
        <w:rPr>
          <w:i/>
          <w:iCs/>
        </w:rPr>
        <w:t>Physical Medicine</w:t>
      </w:r>
      <w:r w:rsidR="005853A9">
        <w:rPr>
          <w:i/>
          <w:iCs/>
        </w:rPr>
        <w:t xml:space="preserve"> and </w:t>
      </w:r>
      <w:r w:rsidRPr="001A3D2B">
        <w:rPr>
          <w:i/>
          <w:iCs/>
        </w:rPr>
        <w:t>Rehabilitation</w:t>
      </w:r>
      <w:r w:rsidRPr="001A3D2B">
        <w:t xml:space="preserve">, </w:t>
      </w:r>
      <w:r w:rsidRPr="001A3D2B">
        <w:rPr>
          <w:b/>
        </w:rPr>
        <w:t>58</w:t>
      </w:r>
      <w:r w:rsidRPr="001A3D2B">
        <w:t xml:space="preserve"> (??), 136-137.</w:t>
      </w:r>
    </w:p>
    <w:p w:rsidR="006B6C20" w:rsidRDefault="006B6C20" w:rsidP="006B6C20">
      <w:pPr>
        <w:pStyle w:val="a3"/>
        <w:rPr>
          <w:kern w:val="0"/>
        </w:rPr>
      </w:pPr>
      <w:r>
        <w:rPr>
          <w:rFonts w:hint="eastAsia"/>
          <w:kern w:val="0"/>
        </w:rPr>
        <w:t xml:space="preserve">? </w:t>
      </w:r>
      <w:r>
        <w:rPr>
          <w:kern w:val="0"/>
        </w:rPr>
        <w:t xml:space="preserve">Key, J.D. (1988), Citation classics - Most-cited articles from </w:t>
      </w:r>
      <w:r w:rsidRPr="00247269">
        <w:rPr>
          <w:i/>
          <w:kern w:val="0"/>
        </w:rPr>
        <w:t>Archives</w:t>
      </w:r>
      <w:r w:rsidR="00427468">
        <w:rPr>
          <w:i/>
          <w:kern w:val="0"/>
        </w:rPr>
        <w:t xml:space="preserve"> of </w:t>
      </w:r>
      <w:r w:rsidRPr="00247269">
        <w:rPr>
          <w:i/>
          <w:kern w:val="0"/>
        </w:rPr>
        <w:t>PM-and-R</w:t>
      </w:r>
      <w:r>
        <w:rPr>
          <w:kern w:val="0"/>
        </w:rPr>
        <w:t xml:space="preserve">.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69</w:t>
      </w:r>
      <w:r>
        <w:rPr>
          <w:kern w:val="0"/>
        </w:rPr>
        <w:t xml:space="preserve"> (12), 1058-1059</w:t>
      </w:r>
      <w:r>
        <w:rPr>
          <w:rFonts w:hint="eastAsia"/>
          <w:kern w:val="0"/>
        </w:rPr>
        <w:t>.</w:t>
      </w:r>
    </w:p>
    <w:p w:rsidR="006B6C20" w:rsidRDefault="006B6C20" w:rsidP="006B6C20">
      <w:pPr>
        <w:pStyle w:val="a3"/>
        <w:rPr>
          <w:kern w:val="0"/>
        </w:rPr>
      </w:pPr>
      <w:r>
        <w:rPr>
          <w:rFonts w:hint="eastAsia"/>
          <w:kern w:val="0"/>
        </w:rPr>
        <w:t>Full Text: 1988\</w:t>
      </w:r>
      <w:r>
        <w:rPr>
          <w:iCs/>
          <w:kern w:val="0"/>
        </w:rPr>
        <w:t>Arc Phy Med Reh</w:t>
      </w:r>
      <w:r w:rsidRPr="006B6C20">
        <w:rPr>
          <w:bCs/>
          <w:kern w:val="0"/>
        </w:rPr>
        <w:t>69</w:t>
      </w:r>
      <w:r>
        <w:rPr>
          <w:kern w:val="0"/>
        </w:rPr>
        <w:t>, 1058</w:t>
      </w:r>
      <w:r>
        <w:rPr>
          <w:rFonts w:hint="eastAsia"/>
          <w:kern w:val="0"/>
        </w:rPr>
        <w:t>.pdf</w:t>
      </w:r>
    </w:p>
    <w:p w:rsidR="006B6C20" w:rsidRDefault="006B6C20" w:rsidP="006B6C20">
      <w:pPr>
        <w:pStyle w:val="a3"/>
        <w:rPr>
          <w:kern w:val="0"/>
        </w:rPr>
      </w:pPr>
      <w:r>
        <w:rPr>
          <w:kern w:val="0"/>
        </w:rPr>
        <w:t>Keywords: Articles</w:t>
      </w:r>
      <w:r>
        <w:rPr>
          <w:rFonts w:hint="eastAsia"/>
          <w:kern w:val="0"/>
        </w:rPr>
        <w:t xml:space="preserve">, </w:t>
      </w:r>
      <w:r>
        <w:rPr>
          <w:kern w:val="0"/>
        </w:rPr>
        <w:t>Citation</w:t>
      </w:r>
    </w:p>
    <w:p w:rsidR="003474F2" w:rsidRPr="001A3D2B" w:rsidRDefault="003474F2" w:rsidP="003474F2">
      <w:pPr>
        <w:pStyle w:val="a3"/>
      </w:pPr>
      <w:r w:rsidRPr="001A3D2B">
        <w:t>Notes: JJournal</w:t>
      </w:r>
    </w:p>
    <w:p w:rsidR="003474F2" w:rsidRPr="001A3D2B" w:rsidRDefault="003474F2" w:rsidP="003474F2">
      <w:pPr>
        <w:pStyle w:val="a3"/>
      </w:pPr>
      <w:r w:rsidRPr="001A3D2B">
        <w:t>Kuhlemeier, K.V. (1992), A bibliometric analysis</w:t>
      </w:r>
      <w:r w:rsidR="00427468">
        <w:t xml:space="preserve"> of </w:t>
      </w:r>
      <w:r w:rsidR="003A1917">
        <w:t xml:space="preserve">the </w:t>
      </w:r>
      <w:r w:rsidRPr="001A3D2B">
        <w:rPr>
          <w:i/>
          <w:iCs/>
        </w:rPr>
        <w:t>Archives</w:t>
      </w:r>
      <w:r w:rsidR="00427468">
        <w:rPr>
          <w:i/>
          <w:iCs/>
        </w:rPr>
        <w:t xml:space="preserve"> of </w:t>
      </w:r>
      <w:r w:rsidRPr="001A3D2B">
        <w:rPr>
          <w:i/>
          <w:iCs/>
        </w:rPr>
        <w:t>Physical Medicine</w:t>
      </w:r>
      <w:r w:rsidR="005853A9">
        <w:rPr>
          <w:i/>
          <w:iCs/>
        </w:rPr>
        <w:t xml:space="preserve"> and </w:t>
      </w:r>
      <w:r w:rsidRPr="001A3D2B">
        <w:rPr>
          <w:i/>
          <w:iCs/>
        </w:rPr>
        <w:t>Rehabilitation</w:t>
      </w:r>
      <w:r w:rsidRPr="001A3D2B">
        <w:t xml:space="preserve">. </w:t>
      </w:r>
      <w:r w:rsidRPr="001A3D2B">
        <w:rPr>
          <w:i/>
          <w:iCs/>
        </w:rPr>
        <w:t>Archives</w:t>
      </w:r>
      <w:r w:rsidR="00427468">
        <w:rPr>
          <w:i/>
          <w:iCs/>
        </w:rPr>
        <w:t xml:space="preserve"> of </w:t>
      </w:r>
      <w:r w:rsidRPr="001A3D2B">
        <w:rPr>
          <w:i/>
          <w:iCs/>
        </w:rPr>
        <w:t>Physical Medicine</w:t>
      </w:r>
      <w:r w:rsidR="005853A9">
        <w:rPr>
          <w:i/>
          <w:iCs/>
        </w:rPr>
        <w:t xml:space="preserve"> and </w:t>
      </w:r>
      <w:r w:rsidRPr="001A3D2B">
        <w:rPr>
          <w:i/>
          <w:iCs/>
        </w:rPr>
        <w:t>Rehabilitation</w:t>
      </w:r>
      <w:r w:rsidRPr="001A3D2B">
        <w:t xml:space="preserve">, </w:t>
      </w:r>
      <w:r w:rsidRPr="001A3D2B">
        <w:rPr>
          <w:b/>
        </w:rPr>
        <w:t>73</w:t>
      </w:r>
      <w:r w:rsidRPr="001A3D2B">
        <w:t xml:space="preserve"> (2), 126-132.</w:t>
      </w:r>
    </w:p>
    <w:p w:rsidR="003474F2" w:rsidRPr="001A3D2B" w:rsidRDefault="003474F2" w:rsidP="003474F2">
      <w:pPr>
        <w:pStyle w:val="a3"/>
      </w:pPr>
      <w:r w:rsidRPr="001A3D2B">
        <w:t>Abstract: A bibliometric analysis based on</w:t>
      </w:r>
      <w:r w:rsidR="003A1917">
        <w:t xml:space="preserve"> the </w:t>
      </w:r>
      <w:r w:rsidRPr="001A3D2B">
        <w:t>Journal Citation Reports distributed by</w:t>
      </w:r>
      <w:r w:rsidR="003A1917">
        <w:t xml:space="preserve"> the </w:t>
      </w:r>
      <w:r w:rsidRPr="001A3D2B">
        <w:t>Institute</w:t>
      </w:r>
      <w:r w:rsidR="00427468">
        <w:t xml:space="preserve"> of </w:t>
      </w:r>
      <w:r w:rsidRPr="001A3D2B">
        <w:t>Scientific Information was made</w:t>
      </w:r>
      <w:r w:rsidR="00427468">
        <w:t xml:space="preserve"> of </w:t>
      </w:r>
      <w:r w:rsidR="003A1917">
        <w:t xml:space="preserve">the </w:t>
      </w:r>
      <w:r w:rsidRPr="001A3D2B">
        <w:t>Archives</w:t>
      </w:r>
      <w:r w:rsidR="00427468">
        <w:t xml:space="preserve"> of </w:t>
      </w:r>
      <w:r w:rsidRPr="001A3D2B">
        <w:t>Physical Medicine</w:t>
      </w:r>
      <w:r w:rsidR="005853A9">
        <w:t xml:space="preserve"> and </w:t>
      </w:r>
      <w:r w:rsidRPr="001A3D2B">
        <w:t>Rehabilitation</w:t>
      </w:r>
      <w:r w:rsidR="005853A9">
        <w:t xml:space="preserve"> and </w:t>
      </w:r>
      <w:r w:rsidRPr="001A3D2B">
        <w:t>related journals to determine</w:t>
      </w:r>
      <w:r w:rsidR="003A1917">
        <w:t xml:space="preserve"> the </w:t>
      </w:r>
      <w:r w:rsidRPr="001A3D2B">
        <w:t>relative ranking</w:t>
      </w:r>
      <w:r w:rsidR="00427468">
        <w:t xml:space="preserve"> of </w:t>
      </w:r>
      <w:r w:rsidR="003A1917">
        <w:t xml:space="preserve">the </w:t>
      </w:r>
      <w:r w:rsidRPr="001A3D2B">
        <w:t>Archives in several bibliometric categories. It was hoped that this process would yield objective evidence for</w:t>
      </w:r>
      <w:r w:rsidR="003A1917">
        <w:t xml:space="preserve"> the </w:t>
      </w:r>
      <w:r w:rsidRPr="001A3D2B">
        <w:t>strengths</w:t>
      </w:r>
      <w:r w:rsidR="005853A9">
        <w:t xml:space="preserve"> and </w:t>
      </w:r>
      <w:r w:rsidRPr="001A3D2B">
        <w:t>weaknesses</w:t>
      </w:r>
      <w:r w:rsidR="00427468">
        <w:t xml:space="preserve"> of </w:t>
      </w:r>
      <w:r w:rsidR="003A1917">
        <w:t xml:space="preserve">the </w:t>
      </w:r>
      <w:r w:rsidRPr="001A3D2B">
        <w:t>Archives. Bibliometric indices that were compared included</w:t>
      </w:r>
      <w:r w:rsidR="003A1917">
        <w:t xml:space="preserve"> the </w:t>
      </w:r>
      <w:r w:rsidRPr="001A3D2B">
        <w:t>impact factor (a reflection</w:t>
      </w:r>
      <w:r w:rsidR="00427468">
        <w:t xml:space="preserve"> of </w:t>
      </w:r>
      <w:r w:rsidRPr="001A3D2B">
        <w:t>how often a journal</w:t>
      </w:r>
      <w:r w:rsidR="00700038">
        <w:t>’</w:t>
      </w:r>
      <w:r w:rsidR="00C13DDC">
        <w:t>s</w:t>
      </w:r>
      <w:r w:rsidRPr="001A3D2B">
        <w:t xml:space="preserve"> articles are cited)</w:t>
      </w:r>
      <w:r w:rsidR="005853A9">
        <w:t xml:space="preserve"> and </w:t>
      </w:r>
      <w:r w:rsidR="003A1917">
        <w:t xml:space="preserve">the </w:t>
      </w:r>
      <w:r w:rsidRPr="001A3D2B">
        <w:t>cited half-life</w:t>
      </w:r>
      <w:r w:rsidR="005853A9">
        <w:t xml:space="preserve"> and </w:t>
      </w:r>
      <w:r w:rsidRPr="001A3D2B">
        <w:t>immediacy (both</w:t>
      </w:r>
      <w:r w:rsidR="00427468">
        <w:t xml:space="preserve"> of </w:t>
      </w:r>
      <w:r w:rsidRPr="001A3D2B">
        <w:t>which deal with</w:t>
      </w:r>
      <w:r w:rsidR="003A1917">
        <w:t xml:space="preserve"> the </w:t>
      </w:r>
      <w:r w:rsidRPr="001A3D2B">
        <w:t>timeliness</w:t>
      </w:r>
      <w:r w:rsidR="00427468">
        <w:t xml:space="preserve"> of </w:t>
      </w:r>
      <w:r w:rsidRPr="001A3D2B">
        <w:t>a journal</w:t>
      </w:r>
      <w:r w:rsidR="00700038">
        <w:t>’</w:t>
      </w:r>
      <w:r w:rsidR="00C13DDC">
        <w:t>s</w:t>
      </w:r>
      <w:r w:rsidRPr="001A3D2B">
        <w:t xml:space="preserve"> articles)</w:t>
      </w:r>
      <w:r w:rsidR="00A37C1D">
        <w:t>. The</w:t>
      </w:r>
      <w:r w:rsidR="003A1917">
        <w:t xml:space="preserve"> </w:t>
      </w:r>
      <w:r w:rsidRPr="001A3D2B">
        <w:t>overall rankings</w:t>
      </w:r>
      <w:r w:rsidR="00427468">
        <w:t xml:space="preserve"> of </w:t>
      </w:r>
      <w:r w:rsidR="003A1917">
        <w:t xml:space="preserve">the </w:t>
      </w:r>
      <w:r w:rsidRPr="001A3D2B">
        <w:t>Archives in 1988 compared to all journals indexed were 1,887</w:t>
      </w:r>
      <w:r w:rsidR="00427468">
        <w:t xml:space="preserve"> of </w:t>
      </w:r>
      <w:r w:rsidRPr="001A3D2B">
        <w:t>4,020 for impact factor, 2,633</w:t>
      </w:r>
      <w:r w:rsidR="00427468">
        <w:t xml:space="preserve"> of </w:t>
      </w:r>
      <w:r w:rsidRPr="001A3D2B">
        <w:t>2,683 for cited half-life</w:t>
      </w:r>
      <w:r w:rsidR="005853A9">
        <w:t xml:space="preserve"> and </w:t>
      </w:r>
      <w:r w:rsidRPr="001A3D2B">
        <w:t>1,793</w:t>
      </w:r>
      <w:r w:rsidR="00427468">
        <w:t xml:space="preserve"> of </w:t>
      </w:r>
      <w:r w:rsidRPr="001A3D2B">
        <w:t>4,020 for immediacy. In general,</w:t>
      </w:r>
      <w:r w:rsidR="003A1917">
        <w:t xml:space="preserve"> the </w:t>
      </w:r>
      <w:r w:rsidRPr="001A3D2B">
        <w:t>Archives ranked higher in most</w:t>
      </w:r>
      <w:r w:rsidR="00427468">
        <w:t xml:space="preserve"> of </w:t>
      </w:r>
      <w:r w:rsidRPr="001A3D2B">
        <w:t xml:space="preserve">these indices than most rehabilitation journals </w:t>
      </w:r>
      <w:r w:rsidRPr="001A3D2B">
        <w:lastRenderedPageBreak/>
        <w:t>but lower than other journals widely cited in</w:t>
      </w:r>
      <w:r w:rsidR="003A1917">
        <w:t xml:space="preserve"> the </w:t>
      </w:r>
      <w:r w:rsidRPr="001A3D2B">
        <w:t>Archives, including general journals, other specialty journals,</w:t>
      </w:r>
      <w:r w:rsidR="005853A9">
        <w:t xml:space="preserve"> and </w:t>
      </w:r>
      <w:r w:rsidRPr="001A3D2B">
        <w:t>a basic science journal.</w:t>
      </w:r>
    </w:p>
    <w:p w:rsidR="003474F2" w:rsidRPr="001A3D2B" w:rsidRDefault="003474F2" w:rsidP="003474F2">
      <w:pPr>
        <w:pStyle w:val="a3"/>
      </w:pPr>
      <w:r w:rsidRPr="001A3D2B">
        <w:t>Keywords: Bibliography, Descriptive, Bibliography</w:t>
      </w:r>
      <w:r w:rsidR="00427468">
        <w:t xml:space="preserve"> of </w:t>
      </w:r>
      <w:r w:rsidRPr="001A3D2B">
        <w:t>Medicine, Periodicals, Publishing, Citation Analysis, Tool</w:t>
      </w:r>
    </w:p>
    <w:p w:rsidR="003474F2" w:rsidRPr="001A3D2B" w:rsidRDefault="003474F2" w:rsidP="003474F2">
      <w:pPr>
        <w:pStyle w:val="a3"/>
      </w:pPr>
      <w:r w:rsidRPr="001A3D2B">
        <w:t>? Terreni, M., Benfenati, E., Pistotti, V.</w:t>
      </w:r>
      <w:r w:rsidR="005853A9">
        <w:t xml:space="preserve"> and </w:t>
      </w:r>
      <w:r w:rsidRPr="001A3D2B">
        <w:t>Fanelli, R. (1995), A library report on</w:t>
      </w:r>
      <w:r w:rsidR="003A1917">
        <w:t xml:space="preserve"> the </w:t>
      </w:r>
      <w:r w:rsidRPr="001A3D2B">
        <w:t>analysis</w:t>
      </w:r>
      <w:r w:rsidR="00427468">
        <w:t xml:space="preserve"> of </w:t>
      </w:r>
      <w:r w:rsidRPr="001A3D2B">
        <w:t>pesticides subject to investigation for</w:t>
      </w:r>
      <w:r w:rsidR="003A1917">
        <w:t xml:space="preserve"> the </w:t>
      </w:r>
      <w:r w:rsidRPr="001A3D2B">
        <w:t xml:space="preserve">European-Communities-Commission. </w:t>
      </w:r>
      <w:r w:rsidRPr="001A3D2B">
        <w:rPr>
          <w:i/>
          <w:iCs/>
        </w:rPr>
        <w:t>Archives</w:t>
      </w:r>
      <w:r w:rsidR="00427468">
        <w:rPr>
          <w:i/>
          <w:iCs/>
        </w:rPr>
        <w:t xml:space="preserve"> of </w:t>
      </w:r>
      <w:r w:rsidRPr="001A3D2B">
        <w:rPr>
          <w:i/>
          <w:iCs/>
        </w:rPr>
        <w:t>Physical Medicine</w:t>
      </w:r>
      <w:r w:rsidR="005853A9">
        <w:rPr>
          <w:i/>
          <w:iCs/>
        </w:rPr>
        <w:t xml:space="preserve"> and </w:t>
      </w:r>
      <w:r w:rsidRPr="001A3D2B">
        <w:rPr>
          <w:i/>
          <w:iCs/>
        </w:rPr>
        <w:t>Rehabilitation</w:t>
      </w:r>
      <w:r w:rsidRPr="001A3D2B">
        <w:t xml:space="preserve">, </w:t>
      </w:r>
      <w:r w:rsidRPr="001A3D2B">
        <w:rPr>
          <w:b/>
        </w:rPr>
        <w:t>58</w:t>
      </w:r>
      <w:r w:rsidRPr="001A3D2B">
        <w:t xml:space="preserve"> (1-4), 31-42.</w:t>
      </w:r>
    </w:p>
    <w:p w:rsidR="00760A5C" w:rsidRPr="001A3D2B" w:rsidRDefault="00760A5C" w:rsidP="00760A5C">
      <w:pPr>
        <w:pStyle w:val="a3"/>
      </w:pPr>
      <w:r w:rsidRPr="001A3D2B">
        <w:t xml:space="preserve">Full Text: </w:t>
      </w:r>
      <w:r w:rsidR="00A13E9A">
        <w:rPr>
          <w:rFonts w:hint="eastAsia"/>
        </w:rPr>
        <w:t>1995\</w:t>
      </w:r>
      <w:r>
        <w:t>Arc Phy Med Reh</w:t>
      </w:r>
      <w:r>
        <w:rPr>
          <w:rFonts w:hint="eastAsia"/>
        </w:rPr>
        <w:t>58</w:t>
      </w:r>
      <w:r>
        <w:t xml:space="preserve">, </w:t>
      </w:r>
      <w:r>
        <w:rPr>
          <w:rFonts w:hint="eastAsia"/>
        </w:rPr>
        <w:t>31</w:t>
      </w:r>
      <w:r w:rsidRPr="00760A5C">
        <w:t>.pdf</w:t>
      </w:r>
    </w:p>
    <w:p w:rsidR="003474F2" w:rsidRPr="001A3D2B" w:rsidRDefault="003474F2" w:rsidP="003474F2">
      <w:pPr>
        <w:pStyle w:val="a3"/>
      </w:pPr>
      <w:r w:rsidRPr="001A3D2B">
        <w:t>Abstract: A recent Report from</w:t>
      </w:r>
      <w:r w:rsidR="003A1917">
        <w:t xml:space="preserve"> the </w:t>
      </w:r>
      <w:r w:rsidRPr="001A3D2B">
        <w:t>Commission</w:t>
      </w:r>
      <w:r w:rsidR="00427468">
        <w:t xml:space="preserve"> of </w:t>
      </w:r>
      <w:r w:rsidR="003A1917">
        <w:t xml:space="preserve">the </w:t>
      </w:r>
      <w:r w:rsidRPr="001A3D2B">
        <w:t>European Communities indicated a list</w:t>
      </w:r>
      <w:r w:rsidR="00427468">
        <w:t xml:space="preserve"> of </w:t>
      </w:r>
      <w:r w:rsidRPr="001A3D2B">
        <w:t>eleven Pesticides (benazolin, bromofenoxim, ethofumesate, fenamiphos, maneb, metham-sodium, oxydemetonmethyl, phenmedipham, trichlorfon, trichloroacetic acid, ziram) to be studied on an analytical point</w:t>
      </w:r>
      <w:r w:rsidR="00427468">
        <w:t xml:space="preserve"> of </w:t>
      </w:r>
      <w:r w:rsidRPr="001A3D2B">
        <w:t>view because</w:t>
      </w:r>
      <w:r w:rsidR="00427468">
        <w:t xml:space="preserve"> of </w:t>
      </w:r>
      <w:r w:rsidRPr="001A3D2B">
        <w:t>their widespread use in Europe, but which lack</w:t>
      </w:r>
      <w:r w:rsidR="00427468">
        <w:t xml:space="preserve"> of </w:t>
      </w:r>
      <w:r w:rsidRPr="001A3D2B">
        <w:t>suitable analytical procedures for water samples at</w:t>
      </w:r>
      <w:r w:rsidR="003A1917">
        <w:t xml:space="preserve"> the </w:t>
      </w:r>
      <w:r w:rsidRPr="001A3D2B">
        <w:t>required limit</w:t>
      </w:r>
      <w:r w:rsidR="00427468">
        <w:t xml:space="preserve"> of </w:t>
      </w:r>
      <w:r w:rsidRPr="001A3D2B">
        <w:t>detection (</w:t>
      </w:r>
      <w:smartTag w:uri="urn:schemas-microsoft-com:office:smarttags" w:element="chmetcnv">
        <w:smartTagPr>
          <w:attr w:name="TCSC" w:val="0"/>
          <w:attr w:name="NumberType" w:val="1"/>
          <w:attr w:name="Negative" w:val="False"/>
          <w:attr w:name="HasSpace" w:val="False"/>
          <w:attr w:name="SourceValue" w:val="0.1"/>
          <w:attr w:name="UnitName" w:val="g"/>
        </w:smartTagPr>
        <w:r w:rsidRPr="001A3D2B">
          <w:t xml:space="preserve">0.1 </w:t>
        </w:r>
      </w:smartTag>
      <w:r w:rsidRPr="001A3D2B">
        <w:sym w:font="Symbol" w:char="F06D"/>
      </w:r>
      <w:r w:rsidRPr="001A3D2B">
        <w:t>g/l)</w:t>
      </w:r>
      <w:r w:rsidR="00A37C1D">
        <w:t>. The</w:t>
      </w:r>
      <w:r w:rsidR="003A1917">
        <w:t xml:space="preserve"> </w:t>
      </w:r>
      <w:r w:rsidRPr="001A3D2B">
        <w:t>present study presents</w:t>
      </w:r>
      <w:r w:rsidR="003A1917">
        <w:t xml:space="preserve"> the </w:t>
      </w:r>
      <w:r w:rsidRPr="001A3D2B">
        <w:t>results</w:t>
      </w:r>
      <w:r w:rsidR="00427468">
        <w:t xml:space="preserve"> of </w:t>
      </w:r>
      <w:r w:rsidRPr="001A3D2B">
        <w:t>a library search,</w:t>
      </w:r>
      <w:r w:rsidR="005853A9">
        <w:t xml:space="preserve"> and </w:t>
      </w:r>
      <w:r w:rsidRPr="001A3D2B">
        <w:t>indicates</w:t>
      </w:r>
      <w:r w:rsidR="003A1917">
        <w:t xml:space="preserve"> the </w:t>
      </w:r>
      <w:r w:rsidRPr="001A3D2B">
        <w:t>principal procedures presented in</w:t>
      </w:r>
      <w:r w:rsidR="003A1917">
        <w:t xml:space="preserve"> the </w:t>
      </w:r>
      <w:r w:rsidRPr="001A3D2B">
        <w:t>literature for these pesticides. Useful techniques appeared for some compounds, but for others more studies are still needed.</w:t>
      </w:r>
    </w:p>
    <w:p w:rsidR="003474F2" w:rsidRPr="001A3D2B" w:rsidRDefault="003474F2" w:rsidP="003474F2">
      <w:pPr>
        <w:pStyle w:val="a3"/>
      </w:pPr>
      <w:r w:rsidRPr="001A3D2B">
        <w:t>Keywords: Pesticides, Library Search, GC, HPLC, Mass Spectrometry, Water, Performance Liquid-Chromatography, Organo-Phosphorus Pesticides, Postcolumn Reaction Detection, Accommodate Megabore Columns, Capillary Gas-Chromatography, Flame Photometric Detection, Plasma Emission Detection, Mass-Spectrometry, Mobile-Phase, Environmental-Samples</w:t>
      </w:r>
    </w:p>
    <w:p w:rsidR="00483F01" w:rsidRDefault="00483F01" w:rsidP="00483F01">
      <w:pPr>
        <w:pStyle w:val="a3"/>
      </w:pPr>
      <w:r>
        <w:rPr>
          <w:rFonts w:hint="eastAsia"/>
        </w:rPr>
        <w:t>Notes: JJournal</w:t>
      </w:r>
    </w:p>
    <w:p w:rsidR="00483F01" w:rsidRPr="00F219CA" w:rsidRDefault="00483F01" w:rsidP="00483F01">
      <w:pPr>
        <w:pStyle w:val="a3"/>
      </w:pPr>
      <w:r>
        <w:rPr>
          <w:rFonts w:hint="eastAsia"/>
        </w:rPr>
        <w:t xml:space="preserve">? </w:t>
      </w:r>
      <w:r>
        <w:t>Kuhlemeier</w:t>
      </w:r>
      <w:r>
        <w:rPr>
          <w:rFonts w:hint="eastAsia"/>
        </w:rPr>
        <w:t>,</w:t>
      </w:r>
      <w:r>
        <w:t xml:space="preserve"> K</w:t>
      </w:r>
      <w:r>
        <w:rPr>
          <w:rFonts w:hint="eastAsia"/>
        </w:rPr>
        <w:t>.</w:t>
      </w:r>
      <w:r>
        <w:t>V</w:t>
      </w:r>
      <w:r>
        <w:rPr>
          <w:rFonts w:hint="eastAsia"/>
        </w:rPr>
        <w:t>.</w:t>
      </w:r>
      <w:r w:rsidRPr="00F219CA">
        <w:t xml:space="preserve"> (</w:t>
      </w:r>
      <w:r>
        <w:rPr>
          <w:rFonts w:hint="eastAsia"/>
        </w:rPr>
        <w:t>1992</w:t>
      </w:r>
      <w:r w:rsidRPr="00F219CA">
        <w:t xml:space="preserve">), </w:t>
      </w:r>
      <w:r>
        <w:t>A bibliometric analysis</w:t>
      </w:r>
      <w:r w:rsidR="00427468">
        <w:t xml:space="preserve"> of </w:t>
      </w:r>
      <w:r w:rsidR="003A1917">
        <w:t xml:space="preserve">the </w:t>
      </w:r>
      <w:r w:rsidRPr="001376D2">
        <w:rPr>
          <w:i/>
        </w:rPr>
        <w:t>Archives</w:t>
      </w:r>
      <w:r w:rsidR="00427468">
        <w:rPr>
          <w:i/>
        </w:rPr>
        <w:t xml:space="preserve"> of </w:t>
      </w:r>
      <w:r w:rsidRPr="001376D2">
        <w:rPr>
          <w:i/>
        </w:rPr>
        <w:t>Physical Medicine</w:t>
      </w:r>
      <w:r w:rsidR="005853A9">
        <w:rPr>
          <w:i/>
        </w:rPr>
        <w:t xml:space="preserve"> and </w:t>
      </w:r>
      <w:r w:rsidRPr="001376D2">
        <w:rPr>
          <w:i/>
        </w:rPr>
        <w:t>Rehabilitation</w:t>
      </w:r>
      <w:r w:rsidRPr="00F219CA">
        <w:t xml:space="preserve">. </w:t>
      </w:r>
      <w:r w:rsidRPr="00F219CA">
        <w:rPr>
          <w:i/>
          <w:iCs/>
        </w:rPr>
        <w:t>Archives</w:t>
      </w:r>
      <w:r w:rsidR="00427468">
        <w:rPr>
          <w:i/>
          <w:iCs/>
        </w:rPr>
        <w:t xml:space="preserve"> of </w:t>
      </w:r>
      <w:r w:rsidRPr="00F219CA">
        <w:rPr>
          <w:i/>
          <w:iCs/>
        </w:rPr>
        <w:t>Physical Medicine</w:t>
      </w:r>
      <w:r w:rsidR="005853A9">
        <w:rPr>
          <w:i/>
          <w:iCs/>
        </w:rPr>
        <w:t xml:space="preserve"> and </w:t>
      </w:r>
      <w:r w:rsidRPr="00F219CA">
        <w:rPr>
          <w:i/>
          <w:iCs/>
        </w:rPr>
        <w:t>Rehabilitation</w:t>
      </w:r>
      <w:r w:rsidRPr="00F219CA">
        <w:t xml:space="preserve">, </w:t>
      </w:r>
      <w:r>
        <w:rPr>
          <w:rFonts w:hint="eastAsia"/>
          <w:b/>
        </w:rPr>
        <w:t>73</w:t>
      </w:r>
      <w:r w:rsidRPr="00F219CA">
        <w:t xml:space="preserve"> (</w:t>
      </w:r>
      <w:r>
        <w:rPr>
          <w:rFonts w:hint="eastAsia"/>
        </w:rPr>
        <w:t>2</w:t>
      </w:r>
      <w:r w:rsidRPr="00F219CA">
        <w:t xml:space="preserve">), </w:t>
      </w:r>
      <w:r>
        <w:t>126-132</w:t>
      </w:r>
      <w:r w:rsidRPr="00F219CA">
        <w:t>.</w:t>
      </w:r>
    </w:p>
    <w:p w:rsidR="00483F01" w:rsidRDefault="00483F01" w:rsidP="00483F01">
      <w:pPr>
        <w:pStyle w:val="a3"/>
      </w:pPr>
      <w:r w:rsidRPr="00F219CA">
        <w:t xml:space="preserve">Full Text: </w:t>
      </w:r>
      <w:r>
        <w:rPr>
          <w:rFonts w:hint="eastAsia"/>
        </w:rPr>
        <w:t>1992</w:t>
      </w:r>
      <w:r w:rsidRPr="001376D2">
        <w:t>\Arc Phy Med Reh</w:t>
      </w:r>
      <w:r>
        <w:rPr>
          <w:rFonts w:hint="eastAsia"/>
        </w:rPr>
        <w:t>73</w:t>
      </w:r>
      <w:r w:rsidRPr="001376D2">
        <w:t xml:space="preserve">, </w:t>
      </w:r>
      <w:r>
        <w:t>126</w:t>
      </w:r>
      <w:r w:rsidRPr="001376D2">
        <w:t>.pdf</w:t>
      </w:r>
    </w:p>
    <w:p w:rsidR="00483F01" w:rsidRDefault="00483F01" w:rsidP="00483F01">
      <w:pPr>
        <w:pStyle w:val="a3"/>
      </w:pPr>
      <w:r>
        <w:t>Abstract: A bibliometric analysis based on</w:t>
      </w:r>
      <w:r w:rsidR="003A1917">
        <w:t xml:space="preserve"> the </w:t>
      </w:r>
      <w:r>
        <w:t>Journal Citation Reports distributed by</w:t>
      </w:r>
      <w:r w:rsidR="003A1917">
        <w:t xml:space="preserve"> the </w:t>
      </w:r>
      <w:r>
        <w:t>Institute</w:t>
      </w:r>
      <w:r w:rsidR="00427468">
        <w:t xml:space="preserve"> of </w:t>
      </w:r>
      <w:r>
        <w:t>Scientific Information was made</w:t>
      </w:r>
      <w:r w:rsidR="00427468">
        <w:t xml:space="preserve"> of </w:t>
      </w:r>
      <w:r w:rsidR="003A1917">
        <w:t xml:space="preserve">the </w:t>
      </w:r>
      <w:r>
        <w:t>Archives</w:t>
      </w:r>
      <w:r w:rsidR="00427468">
        <w:t xml:space="preserve"> of </w:t>
      </w:r>
      <w:r>
        <w:t>Physical Medicine</w:t>
      </w:r>
      <w:r w:rsidR="005853A9">
        <w:t xml:space="preserve"> and </w:t>
      </w:r>
      <w:r>
        <w:t>Rehabilitation</w:t>
      </w:r>
      <w:r w:rsidR="005853A9">
        <w:t xml:space="preserve"> and </w:t>
      </w:r>
      <w:r>
        <w:t>related journals to determine</w:t>
      </w:r>
      <w:r w:rsidR="003A1917">
        <w:t xml:space="preserve"> the </w:t>
      </w:r>
      <w:r>
        <w:t>relative ranking</w:t>
      </w:r>
      <w:r w:rsidR="00427468">
        <w:t xml:space="preserve"> of </w:t>
      </w:r>
      <w:r w:rsidR="003A1917">
        <w:t xml:space="preserve">the </w:t>
      </w:r>
      <w:r>
        <w:t>Archives in several bibliometric categories. It was hoped that this process would yield objective evidence for</w:t>
      </w:r>
      <w:r w:rsidR="003A1917">
        <w:t xml:space="preserve"> the </w:t>
      </w:r>
      <w:r>
        <w:t>strengths</w:t>
      </w:r>
      <w:r w:rsidR="005853A9">
        <w:t xml:space="preserve"> and </w:t>
      </w:r>
      <w:r>
        <w:t>weaknesses</w:t>
      </w:r>
      <w:r w:rsidR="00427468">
        <w:t xml:space="preserve"> of </w:t>
      </w:r>
      <w:r w:rsidR="003A1917">
        <w:t xml:space="preserve">the </w:t>
      </w:r>
      <w:r>
        <w:t>Archives. Bibliometric indices that were compared included</w:t>
      </w:r>
      <w:r w:rsidR="003A1917">
        <w:t xml:space="preserve"> the </w:t>
      </w:r>
      <w:r>
        <w:t>impact factor (a reflection</w:t>
      </w:r>
      <w:r w:rsidR="00427468">
        <w:t xml:space="preserve"> of </w:t>
      </w:r>
      <w:r>
        <w:t>how often a journal</w:t>
      </w:r>
      <w:r w:rsidR="00700038">
        <w:t>’</w:t>
      </w:r>
      <w:r w:rsidR="00C13DDC">
        <w:t>s</w:t>
      </w:r>
      <w:r>
        <w:t xml:space="preserve"> articles are cited)</w:t>
      </w:r>
      <w:r w:rsidR="005853A9">
        <w:t xml:space="preserve"> and </w:t>
      </w:r>
      <w:r w:rsidR="003A1917">
        <w:t xml:space="preserve">the </w:t>
      </w:r>
      <w:r>
        <w:t>cited half-life</w:t>
      </w:r>
      <w:r w:rsidR="005853A9">
        <w:t xml:space="preserve"> and </w:t>
      </w:r>
      <w:r>
        <w:t>immediacy (both</w:t>
      </w:r>
      <w:r w:rsidR="00427468">
        <w:t xml:space="preserve"> of </w:t>
      </w:r>
      <w:r>
        <w:t>which deal with</w:t>
      </w:r>
      <w:r w:rsidR="003A1917">
        <w:t xml:space="preserve"> the </w:t>
      </w:r>
      <w:r>
        <w:t>timeliness</w:t>
      </w:r>
      <w:r w:rsidR="00427468">
        <w:t xml:space="preserve"> of </w:t>
      </w:r>
      <w:r>
        <w:t>a journal</w:t>
      </w:r>
      <w:r w:rsidR="00700038">
        <w:t>’</w:t>
      </w:r>
      <w:r w:rsidR="00C13DDC">
        <w:t>s</w:t>
      </w:r>
      <w:r>
        <w:t xml:space="preserve"> articles)</w:t>
      </w:r>
      <w:r w:rsidR="00A37C1D">
        <w:t>. The</w:t>
      </w:r>
      <w:r w:rsidR="003A1917">
        <w:t xml:space="preserve"> </w:t>
      </w:r>
      <w:r>
        <w:t>overall rankings</w:t>
      </w:r>
      <w:r w:rsidR="00427468">
        <w:t xml:space="preserve"> of </w:t>
      </w:r>
      <w:r w:rsidR="003A1917">
        <w:t xml:space="preserve">the </w:t>
      </w:r>
      <w:r>
        <w:t>Archives in 1988 compared to all journals indexed were 1,887</w:t>
      </w:r>
      <w:r w:rsidR="00427468">
        <w:t xml:space="preserve"> of </w:t>
      </w:r>
      <w:r>
        <w:t>4,020 for impact factor, 2,633</w:t>
      </w:r>
      <w:r w:rsidR="00427468">
        <w:t xml:space="preserve"> of </w:t>
      </w:r>
      <w:r>
        <w:t>2,683 for cited half-life</w:t>
      </w:r>
      <w:r w:rsidR="005853A9">
        <w:t xml:space="preserve"> and </w:t>
      </w:r>
      <w:r>
        <w:t>1,793</w:t>
      </w:r>
      <w:r w:rsidR="00427468">
        <w:t xml:space="preserve"> of </w:t>
      </w:r>
      <w:r>
        <w:t>4,020 for immediacy. In general,</w:t>
      </w:r>
      <w:r w:rsidR="003A1917">
        <w:t xml:space="preserve"> the </w:t>
      </w:r>
      <w:r>
        <w:t>Archives ranked higher in most</w:t>
      </w:r>
      <w:r w:rsidR="00427468">
        <w:t xml:space="preserve"> of </w:t>
      </w:r>
      <w:r>
        <w:t xml:space="preserve">these indices than most rehabilitation journals </w:t>
      </w:r>
      <w:r>
        <w:lastRenderedPageBreak/>
        <w:t>but lower than other journals widely cited in</w:t>
      </w:r>
      <w:r w:rsidR="003A1917">
        <w:t xml:space="preserve"> the </w:t>
      </w:r>
      <w:r>
        <w:t>Archives, including general journals, other specialty journals,</w:t>
      </w:r>
      <w:r w:rsidR="005853A9">
        <w:t xml:space="preserve"> and </w:t>
      </w:r>
      <w:r>
        <w:t>a basic science journal.</w:t>
      </w:r>
    </w:p>
    <w:p w:rsidR="00483F01" w:rsidRPr="00F219CA" w:rsidRDefault="00483F01" w:rsidP="00483F01">
      <w:pPr>
        <w:pStyle w:val="a3"/>
      </w:pPr>
      <w:r>
        <w:t>Keywords: Bibliography, Descriptive, Bibliography</w:t>
      </w:r>
      <w:r w:rsidR="00427468">
        <w:t xml:space="preserve"> of </w:t>
      </w:r>
      <w:r>
        <w:t>Medicine, Periodicals, Publishing, Citation Analysis, Tool</w:t>
      </w:r>
    </w:p>
    <w:p w:rsidR="003474F2" w:rsidRPr="001A3D2B" w:rsidRDefault="003474F2" w:rsidP="003474F2">
      <w:pPr>
        <w:pStyle w:val="a3"/>
      </w:pPr>
      <w:r w:rsidRPr="001A3D2B">
        <w:t>Minozzi, S., Pistotti, V.</w:t>
      </w:r>
      <w:r w:rsidR="005853A9">
        <w:t xml:space="preserve"> and </w:t>
      </w:r>
      <w:r w:rsidRPr="001A3D2B">
        <w:t xml:space="preserve">Forni, M. (2000), Searching for rehabilitation articles on </w:t>
      </w:r>
      <w:r w:rsidR="00D5664A">
        <w:t>MEDLINE</w:t>
      </w:r>
      <w:r w:rsidR="005853A9">
        <w:t xml:space="preserve"> and </w:t>
      </w:r>
      <w:r w:rsidRPr="001A3D2B">
        <w:t xml:space="preserve">EMBASE. An example with cross-over design. </w:t>
      </w:r>
      <w:r w:rsidRPr="001A3D2B">
        <w:rPr>
          <w:i/>
          <w:iCs/>
        </w:rPr>
        <w:t>Archives</w:t>
      </w:r>
      <w:r w:rsidR="00427468">
        <w:rPr>
          <w:i/>
          <w:iCs/>
        </w:rPr>
        <w:t xml:space="preserve"> of </w:t>
      </w:r>
      <w:r w:rsidRPr="001A3D2B">
        <w:rPr>
          <w:i/>
          <w:iCs/>
        </w:rPr>
        <w:t>Physical Medicine</w:t>
      </w:r>
      <w:r w:rsidR="005853A9">
        <w:rPr>
          <w:i/>
          <w:iCs/>
        </w:rPr>
        <w:t xml:space="preserve"> and </w:t>
      </w:r>
      <w:r w:rsidRPr="001A3D2B">
        <w:rPr>
          <w:i/>
          <w:iCs/>
        </w:rPr>
        <w:t>Rehabilitation</w:t>
      </w:r>
      <w:r w:rsidRPr="001A3D2B">
        <w:t xml:space="preserve">, </w:t>
      </w:r>
      <w:r w:rsidRPr="001A3D2B">
        <w:rPr>
          <w:b/>
        </w:rPr>
        <w:t>81</w:t>
      </w:r>
      <w:r w:rsidRPr="001A3D2B">
        <w:t xml:space="preserve"> (6), 720-722.</w:t>
      </w:r>
    </w:p>
    <w:p w:rsidR="003474F2" w:rsidRPr="001A3D2B" w:rsidRDefault="003474F2" w:rsidP="003474F2">
      <w:pPr>
        <w:pStyle w:val="a3"/>
      </w:pPr>
      <w:r w:rsidRPr="001A3D2B">
        <w:t xml:space="preserve">Full Text: </w:t>
      </w:r>
      <w:hyperlink r:id="rId1162" w:history="1">
        <w:r w:rsidRPr="001A3D2B">
          <w:rPr>
            <w:rStyle w:val="a5"/>
          </w:rPr>
          <w:t>2000\Arc Phy Med Reh81, 720.pdf</w:t>
        </w:r>
      </w:hyperlink>
    </w:p>
    <w:p w:rsidR="003474F2" w:rsidRPr="001A3D2B" w:rsidRDefault="003474F2" w:rsidP="003474F2">
      <w:pPr>
        <w:pStyle w:val="a3"/>
      </w:pPr>
      <w:r w:rsidRPr="001A3D2B">
        <w:t>Abstract: Objective: To analyze</w:t>
      </w:r>
      <w:r w:rsidR="003A1917">
        <w:t xml:space="preserve"> the </w:t>
      </w:r>
      <w:r w:rsidRPr="001A3D2B">
        <w:t>usefulness</w:t>
      </w:r>
      <w:r w:rsidR="00427468">
        <w:t xml:space="preserve"> of </w:t>
      </w:r>
      <w:r w:rsidR="00D5664A">
        <w:t>MEDLINE</w:t>
      </w:r>
      <w:r w:rsidR="005853A9">
        <w:t xml:space="preserve"> and </w:t>
      </w:r>
      <w:r w:rsidRPr="001A3D2B">
        <w:t>EMBASE biomedical databases in rehabilitation</w:t>
      </w:r>
      <w:r w:rsidR="005853A9">
        <w:t xml:space="preserve"> and </w:t>
      </w:r>
      <w:r w:rsidRPr="001A3D2B">
        <w:t>to identify descriptors</w:t>
      </w:r>
      <w:r w:rsidR="005853A9">
        <w:t xml:space="preserve"> and </w:t>
      </w:r>
      <w:r w:rsidRPr="001A3D2B">
        <w:t>text words necessary to do a comprehensive search.</w:t>
      </w:r>
    </w:p>
    <w:p w:rsidR="003474F2" w:rsidRPr="001A3D2B" w:rsidRDefault="003474F2" w:rsidP="003474F2">
      <w:pPr>
        <w:pStyle w:val="a3"/>
      </w:pPr>
      <w:r w:rsidRPr="001A3D2B">
        <w:t>Methods: We looked for articles published since 1990 relating to neurologic, orthopedic, respiratory, urologic,</w:t>
      </w:r>
      <w:r w:rsidR="005853A9">
        <w:t xml:space="preserve"> and </w:t>
      </w:r>
      <w:r w:rsidRPr="001A3D2B">
        <w:t>rheumatologic rehabilitation. We looked for all descriptors</w:t>
      </w:r>
      <w:r w:rsidR="005853A9">
        <w:t xml:space="preserve"> and </w:t>
      </w:r>
      <w:r w:rsidRPr="001A3D2B">
        <w:t>text words pertinent to rehabilitation</w:t>
      </w:r>
      <w:r w:rsidR="005853A9">
        <w:t xml:space="preserve"> and </w:t>
      </w:r>
      <w:r w:rsidRPr="001A3D2B">
        <w:t xml:space="preserve">linked them with </w:t>
      </w:r>
      <w:r w:rsidR="00700038">
        <w:t>‘</w:t>
      </w:r>
      <w:r w:rsidRPr="001A3D2B">
        <w:t>cross-over.</w:t>
      </w:r>
      <w:r w:rsidR="00700038">
        <w:t>’</w:t>
      </w:r>
      <w:r w:rsidRPr="001A3D2B">
        <w:t>)</w:t>
      </w:r>
    </w:p>
    <w:p w:rsidR="003474F2" w:rsidRPr="001A3D2B" w:rsidRDefault="003474F2" w:rsidP="003474F2">
      <w:pPr>
        <w:pStyle w:val="a3"/>
      </w:pPr>
      <w:r w:rsidRPr="001A3D2B">
        <w:t xml:space="preserve">Results: We found 165 articles in </w:t>
      </w:r>
      <w:r w:rsidR="00D5664A">
        <w:t>MEDLINE</w:t>
      </w:r>
      <w:r w:rsidR="005853A9">
        <w:t xml:space="preserve"> and </w:t>
      </w:r>
      <w:smartTag w:uri="urn:schemas-microsoft-com:office:smarttags" w:element="chmetcnv">
        <w:smartTagPr>
          <w:attr w:name="TCSC" w:val="0"/>
          <w:attr w:name="NumberType" w:val="1"/>
          <w:attr w:name="Negative" w:val="False"/>
          <w:attr w:name="HasSpace" w:val="True"/>
          <w:attr w:name="SourceValue" w:val="159"/>
          <w:attr w:name="UnitName" w:val="in"/>
        </w:smartTagPr>
        <w:r w:rsidRPr="001A3D2B">
          <w:t>159 in</w:t>
        </w:r>
      </w:smartTag>
      <w:r w:rsidRPr="001A3D2B">
        <w:t xml:space="preserve"> EMBASE with an overlap</w:t>
      </w:r>
      <w:r w:rsidR="00427468">
        <w:t xml:space="preserve"> of </w:t>
      </w:r>
      <w:r w:rsidRPr="001A3D2B">
        <w:t>only 17%</w:t>
      </w:r>
      <w:r w:rsidR="00427468">
        <w:t xml:space="preserve"> of </w:t>
      </w:r>
      <w:r w:rsidRPr="001A3D2B">
        <w:t>articles. Only 32%</w:t>
      </w:r>
      <w:r w:rsidR="00427468">
        <w:t xml:space="preserve"> of </w:t>
      </w:r>
      <w:r w:rsidR="003A1917">
        <w:t xml:space="preserve">the </w:t>
      </w:r>
      <w:r w:rsidRPr="001A3D2B">
        <w:t xml:space="preserve">articles in </w:t>
      </w:r>
      <w:r w:rsidR="00D5664A">
        <w:t>MEDLINE</w:t>
      </w:r>
      <w:r w:rsidR="005853A9">
        <w:t xml:space="preserve"> and </w:t>
      </w:r>
      <w:r w:rsidRPr="001A3D2B">
        <w:t>35% in EMBASE were relevant.</w:t>
      </w:r>
      <w:r w:rsidR="00427468">
        <w:t xml:space="preserve"> of </w:t>
      </w:r>
      <w:r w:rsidR="003A1917">
        <w:t xml:space="preserve">the </w:t>
      </w:r>
      <w:r w:rsidRPr="001A3D2B">
        <w:t>214 nonoverlapping articles, 84% were published in journals present in both databases, but were indexed differently.</w:t>
      </w:r>
    </w:p>
    <w:p w:rsidR="003474F2" w:rsidRPr="001A3D2B" w:rsidRDefault="003474F2" w:rsidP="003474F2">
      <w:pPr>
        <w:pStyle w:val="a3"/>
      </w:pPr>
      <w:r w:rsidRPr="001A3D2B">
        <w:t xml:space="preserve">Conclusion: At least two databases must be used to ensure a comprehensive literature search. Searching in EMBASE after </w:t>
      </w:r>
      <w:r w:rsidR="00D5664A">
        <w:t>MEDLINE</w:t>
      </w:r>
      <w:r w:rsidRPr="001A3D2B">
        <w:t xml:space="preserve"> we gained 25 articles (32%). Bibliographic search in rehabilitation is particularly complex because</w:t>
      </w:r>
      <w:r w:rsidR="00427468">
        <w:t xml:space="preserve"> of </w:t>
      </w:r>
      <w:r w:rsidR="003A1917">
        <w:t xml:space="preserve">the </w:t>
      </w:r>
      <w:r w:rsidRPr="001A3D2B">
        <w:t>heterogeneity</w:t>
      </w:r>
      <w:r w:rsidR="00427468">
        <w:t xml:space="preserve"> of </w:t>
      </w:r>
      <w:r w:rsidR="003A1917">
        <w:t xml:space="preserve">the </w:t>
      </w:r>
      <w:r w:rsidRPr="001A3D2B">
        <w:t>subject matter. Cooperation between an information professional</w:t>
      </w:r>
      <w:r w:rsidR="005853A9">
        <w:t xml:space="preserve"> and </w:t>
      </w:r>
      <w:r w:rsidRPr="001A3D2B">
        <w:t>a clinician is essential to ensure a comprehensive search.</w:t>
      </w:r>
    </w:p>
    <w:p w:rsidR="003474F2" w:rsidRPr="001A3D2B" w:rsidRDefault="003474F2" w:rsidP="003474F2">
      <w:pPr>
        <w:pStyle w:val="a3"/>
      </w:pPr>
      <w:r w:rsidRPr="001A3D2B">
        <w:t xml:space="preserve">Keywords: Rehabilitation, Cross-Over Studies, </w:t>
      </w:r>
      <w:r w:rsidR="00D5664A">
        <w:t>MEDLINE</w:t>
      </w:r>
      <w:r w:rsidRPr="001A3D2B">
        <w:t>, Embase, Databases, Bibliographic</w:t>
      </w:r>
    </w:p>
    <w:p w:rsidR="00483F01" w:rsidRPr="001A3D2B" w:rsidRDefault="00483F01" w:rsidP="00483F01">
      <w:pPr>
        <w:pStyle w:val="a3"/>
      </w:pPr>
      <w:r w:rsidRPr="001A3D2B">
        <w:t xml:space="preserve">? </w:t>
      </w:r>
      <w:r>
        <w:t>de Groot</w:t>
      </w:r>
      <w:r>
        <w:rPr>
          <w:rFonts w:hint="eastAsia"/>
        </w:rPr>
        <w:t>,</w:t>
      </w:r>
      <w:r>
        <w:t xml:space="preserve"> M</w:t>
      </w:r>
      <w:r>
        <w:rPr>
          <w:rFonts w:hint="eastAsia"/>
        </w:rPr>
        <w:t>.</w:t>
      </w:r>
      <w:r>
        <w:t>H</w:t>
      </w:r>
      <w:r>
        <w:rPr>
          <w:rFonts w:hint="eastAsia"/>
        </w:rPr>
        <w:t>.</w:t>
      </w:r>
      <w:r>
        <w:t>, Phillips</w:t>
      </w:r>
      <w:r>
        <w:rPr>
          <w:rFonts w:hint="eastAsia"/>
        </w:rPr>
        <w:t>,</w:t>
      </w:r>
      <w:r>
        <w:t xml:space="preserve"> S</w:t>
      </w:r>
      <w:r>
        <w:rPr>
          <w:rFonts w:hint="eastAsia"/>
        </w:rPr>
        <w:t>.</w:t>
      </w:r>
      <w:r>
        <w:t>J</w:t>
      </w:r>
      <w:r>
        <w:rPr>
          <w:rFonts w:hint="eastAsia"/>
        </w:rPr>
        <w:t>.</w:t>
      </w:r>
      <w:r w:rsidR="005853A9">
        <w:rPr>
          <w:rFonts w:hint="eastAsia"/>
        </w:rPr>
        <w:t xml:space="preserve"> and </w:t>
      </w:r>
      <w:r>
        <w:t>Eskes</w:t>
      </w:r>
      <w:r>
        <w:rPr>
          <w:rFonts w:hint="eastAsia"/>
        </w:rPr>
        <w:t>,</w:t>
      </w:r>
      <w:r>
        <w:t xml:space="preserve"> G</w:t>
      </w:r>
      <w:r>
        <w:rPr>
          <w:rFonts w:hint="eastAsia"/>
        </w:rPr>
        <w:t>.</w:t>
      </w:r>
      <w:r>
        <w:t>A</w:t>
      </w:r>
      <w:r>
        <w:rPr>
          <w:rFonts w:hint="eastAsia"/>
        </w:rPr>
        <w:t>.</w:t>
      </w:r>
      <w:r w:rsidRPr="001A3D2B">
        <w:t xml:space="preserve"> (200</w:t>
      </w:r>
      <w:r>
        <w:rPr>
          <w:rFonts w:hint="eastAsia"/>
        </w:rPr>
        <w:t>3</w:t>
      </w:r>
      <w:r w:rsidRPr="001A3D2B">
        <w:t xml:space="preserve">), </w:t>
      </w:r>
      <w:r>
        <w:t>Fatigue associated with stroke</w:t>
      </w:r>
      <w:r w:rsidR="005853A9">
        <w:t xml:space="preserve"> and </w:t>
      </w:r>
      <w:r>
        <w:t>other neurologic conditions: Implications for stroke rehabilitation</w:t>
      </w:r>
      <w:r>
        <w:rPr>
          <w:rFonts w:hint="eastAsia"/>
        </w:rPr>
        <w:t>.</w:t>
      </w:r>
      <w:r w:rsidRPr="001A3D2B">
        <w:t xml:space="preserve"> </w:t>
      </w:r>
      <w:r w:rsidRPr="001A3D2B">
        <w:rPr>
          <w:i/>
        </w:rPr>
        <w:t>Archives</w:t>
      </w:r>
      <w:r w:rsidR="00427468">
        <w:rPr>
          <w:i/>
        </w:rPr>
        <w:t xml:space="preserve"> of </w:t>
      </w:r>
      <w:r w:rsidRPr="001A3D2B">
        <w:rPr>
          <w:i/>
        </w:rPr>
        <w:t>Physical Medicine</w:t>
      </w:r>
      <w:r w:rsidR="005853A9">
        <w:rPr>
          <w:i/>
        </w:rPr>
        <w:t xml:space="preserve"> and </w:t>
      </w:r>
      <w:r w:rsidRPr="001A3D2B">
        <w:rPr>
          <w:i/>
        </w:rPr>
        <w:t>Rehabilitation</w:t>
      </w:r>
      <w:r w:rsidRPr="001A3D2B">
        <w:t xml:space="preserve">, </w:t>
      </w:r>
      <w:r w:rsidRPr="001A3D2B">
        <w:rPr>
          <w:b/>
          <w:bCs/>
        </w:rPr>
        <w:t>8</w:t>
      </w:r>
      <w:r>
        <w:rPr>
          <w:rFonts w:hint="eastAsia"/>
          <w:b/>
          <w:bCs/>
        </w:rPr>
        <w:t>4</w:t>
      </w:r>
      <w:r w:rsidRPr="001A3D2B">
        <w:t xml:space="preserve"> (</w:t>
      </w:r>
      <w:r>
        <w:rPr>
          <w:rFonts w:hint="eastAsia"/>
        </w:rPr>
        <w:t>11</w:t>
      </w:r>
      <w:r w:rsidRPr="001A3D2B">
        <w:t xml:space="preserve">), </w:t>
      </w:r>
      <w:r>
        <w:t>1714-1720</w:t>
      </w:r>
      <w:r w:rsidRPr="001A3D2B">
        <w:t>.</w:t>
      </w:r>
    </w:p>
    <w:p w:rsidR="00483F01" w:rsidRDefault="00483F01" w:rsidP="00483F01">
      <w:pPr>
        <w:pStyle w:val="a3"/>
      </w:pPr>
      <w:r w:rsidRPr="001A3D2B">
        <w:t xml:space="preserve">Full Text: </w:t>
      </w:r>
      <w:hyperlink r:id="rId1163" w:history="1">
        <w:r w:rsidRPr="00ED51F3">
          <w:rPr>
            <w:rStyle w:val="a5"/>
          </w:rPr>
          <w:t>2003\Arc Phy Med Reh84, 1714.pdf</w:t>
        </w:r>
      </w:hyperlink>
    </w:p>
    <w:p w:rsidR="00483F01" w:rsidRDefault="00483F01" w:rsidP="00483F01">
      <w:pPr>
        <w:pStyle w:val="a3"/>
      </w:pPr>
      <w:r>
        <w:t>Abstract: Objectives: To examine</w:t>
      </w:r>
      <w:r w:rsidR="003A1917">
        <w:t xml:space="preserve"> the </w:t>
      </w:r>
      <w:r>
        <w:t>general phenomenon</w:t>
      </w:r>
      <w:r w:rsidR="00427468">
        <w:t xml:space="preserve"> of </w:t>
      </w:r>
      <w:r>
        <w:t>fatigue in stroke</w:t>
      </w:r>
      <w:r w:rsidR="005853A9">
        <w:t xml:space="preserve"> and </w:t>
      </w:r>
      <w:r>
        <w:t>other neurologic disorders</w:t>
      </w:r>
      <w:r w:rsidR="005853A9">
        <w:t xml:space="preserve"> and </w:t>
      </w:r>
      <w:r>
        <w:t>to review what is currently known about its occurrence, including its frequency, duration, severity,</w:t>
      </w:r>
      <w:r w:rsidR="005853A9">
        <w:t xml:space="preserve"> and </w:t>
      </w:r>
      <w:r>
        <w:t>associated factors, to develop a strategy for treatment.</w:t>
      </w:r>
    </w:p>
    <w:p w:rsidR="00483F01" w:rsidRDefault="00483F01" w:rsidP="00483F01">
      <w:pPr>
        <w:pStyle w:val="a3"/>
      </w:pPr>
      <w:r>
        <w:t xml:space="preserve">Data Sources: Computerized databases (eg, </w:t>
      </w:r>
      <w:r w:rsidR="002C12F0">
        <w:t>PUBMED</w:t>
      </w:r>
      <w:r>
        <w:t xml:space="preserve">, PsycInfo, Science Citation Index, Ovid EMBASE, Ovid </w:t>
      </w:r>
      <w:r w:rsidR="00D5664A">
        <w:t>MEDLINE</w:t>
      </w:r>
      <w:r>
        <w:t>) searched from inception to May 2002. Additional references were identified from bibliographies</w:t>
      </w:r>
      <w:r w:rsidR="00427468">
        <w:t xml:space="preserve"> of </w:t>
      </w:r>
      <w:r>
        <w:t>pertinent articles</w:t>
      </w:r>
      <w:r w:rsidR="005853A9">
        <w:t xml:space="preserve"> and </w:t>
      </w:r>
      <w:r>
        <w:t>books.</w:t>
      </w:r>
    </w:p>
    <w:p w:rsidR="00483F01" w:rsidRDefault="00483F01" w:rsidP="00483F01">
      <w:pPr>
        <w:pStyle w:val="a3"/>
      </w:pPr>
      <w:r>
        <w:t>Study Selection: Over 1000 articles were identified as relevant to fatigue experienced by patients with neurologic or nonneurologic disorders. Articles on fatigue in stroke</w:t>
      </w:r>
      <w:r w:rsidR="005853A9">
        <w:t xml:space="preserve"> and </w:t>
      </w:r>
      <w:r>
        <w:lastRenderedPageBreak/>
        <w:t>neurologic disorders, mechanisms, and/or treatment were selected for inclusion.</w:t>
      </w:r>
    </w:p>
    <w:p w:rsidR="00483F01" w:rsidRDefault="00483F01" w:rsidP="00483F01">
      <w:pPr>
        <w:pStyle w:val="a3"/>
      </w:pPr>
      <w:r>
        <w:t>Data Extraction: Authors reviewed</w:t>
      </w:r>
      <w:r w:rsidR="003A1917">
        <w:t xml:space="preserve"> the </w:t>
      </w:r>
      <w:r>
        <w:t>articles</w:t>
      </w:r>
      <w:r w:rsidR="005853A9">
        <w:t xml:space="preserve"> and </w:t>
      </w:r>
      <w:r>
        <w:t>assessed</w:t>
      </w:r>
      <w:r w:rsidR="003A1917">
        <w:t xml:space="preserve"> the </w:t>
      </w:r>
      <w:r>
        <w:t>purpose, study design,</w:t>
      </w:r>
      <w:r w:rsidR="005853A9">
        <w:t xml:space="preserve"> and </w:t>
      </w:r>
      <w:r>
        <w:t>conclusions for validity</w:t>
      </w:r>
      <w:r w:rsidR="005853A9">
        <w:t xml:space="preserve"> and </w:t>
      </w:r>
      <w:r>
        <w:t>relevance to</w:t>
      </w:r>
      <w:r w:rsidR="003A1917">
        <w:t xml:space="preserve"> the </w:t>
      </w:r>
      <w:r>
        <w:t>topic</w:t>
      </w:r>
      <w:r w:rsidR="00427468">
        <w:t xml:space="preserve"> of </w:t>
      </w:r>
      <w:r>
        <w:t>fatigue in stroke.</w:t>
      </w:r>
    </w:p>
    <w:p w:rsidR="00483F01" w:rsidRDefault="00483F01" w:rsidP="00483F01">
      <w:pPr>
        <w:pStyle w:val="a3"/>
      </w:pPr>
      <w:r>
        <w:t>Data Synthesis: Fatigue is a common complaint among patients with neurologic disorders including stroke. Few studies have documented</w:t>
      </w:r>
      <w:r w:rsidR="003A1917">
        <w:t xml:space="preserve"> the </w:t>
      </w:r>
      <w:r>
        <w:t>high frequency</w:t>
      </w:r>
      <w:r w:rsidR="00427468">
        <w:t xml:space="preserve"> of </w:t>
      </w:r>
      <w:r>
        <w:t>fatigue in poststroke patients</w:t>
      </w:r>
      <w:r w:rsidR="005853A9">
        <w:t xml:space="preserve"> and </w:t>
      </w:r>
      <w:r>
        <w:t>its negative impact on daily functioning</w:t>
      </w:r>
      <w:r w:rsidR="005853A9">
        <w:t xml:space="preserve"> and </w:t>
      </w:r>
      <w:r>
        <w:t>quality</w:t>
      </w:r>
      <w:r w:rsidR="00427468">
        <w:t xml:space="preserve"> of </w:t>
      </w:r>
      <w:r>
        <w:t>life. Little is known about associated factors or about therapeutic strategies that may be used to alleviate it. Examination</w:t>
      </w:r>
      <w:r w:rsidR="00427468">
        <w:t xml:space="preserve"> of </w:t>
      </w:r>
      <w:r>
        <w:t>fatigue in other neurologic populations suggests common characteristics</w:t>
      </w:r>
      <w:r w:rsidR="005853A9">
        <w:t xml:space="preserve"> and </w:t>
      </w:r>
      <w:r>
        <w:t>associated factors that may be useful in</w:t>
      </w:r>
      <w:r w:rsidR="003A1917">
        <w:t xml:space="preserve"> the </w:t>
      </w:r>
      <w:r>
        <w:t>development</w:t>
      </w:r>
      <w:r w:rsidR="00427468">
        <w:t xml:space="preserve"> of </w:t>
      </w:r>
      <w:r>
        <w:t>potential therapeutic strategies. Pharmacologic</w:t>
      </w:r>
      <w:r w:rsidR="005853A9">
        <w:t xml:space="preserve"> and </w:t>
      </w:r>
      <w:r>
        <w:t>nonpharmacologic therapeutic interventions, such as stimulants, amantadine, or sleep</w:t>
      </w:r>
      <w:r w:rsidR="005853A9">
        <w:t xml:space="preserve"> and </w:t>
      </w:r>
      <w:r>
        <w:t>stress-management education, have been used with some success in neurologic</w:t>
      </w:r>
      <w:r w:rsidR="005853A9">
        <w:t xml:space="preserve"> and </w:t>
      </w:r>
      <w:r>
        <w:t>other patient populations (eg, multiple sclerosis, human immunodeficiency virus, acquired immune deficiency syndrome, cancer), but evidence</w:t>
      </w:r>
      <w:r w:rsidR="00427468">
        <w:t xml:space="preserve"> of </w:t>
      </w:r>
      <w:r>
        <w:t>effectiveness based on randomized clinical trials is rare.</w:t>
      </w:r>
    </w:p>
    <w:p w:rsidR="00483F01" w:rsidRDefault="00483F01" w:rsidP="00483F01">
      <w:pPr>
        <w:pStyle w:val="a3"/>
      </w:pPr>
      <w:r>
        <w:t>Conclusions: Poststroke fatigue is common</w:t>
      </w:r>
      <w:r w:rsidR="00A37C1D">
        <w:t>. The</w:t>
      </w:r>
      <w:r>
        <w:t>rapeutic strategies have been used to treat fatigue in other patient populations, but it is unclear whether these will be beneficial to poststroke patients. Frequency, severity, duration, impact, predisposing factors,</w:t>
      </w:r>
      <w:r w:rsidR="005853A9">
        <w:t xml:space="preserve"> and </w:t>
      </w:r>
      <w:r>
        <w:t>causes</w:t>
      </w:r>
      <w:r w:rsidR="00427468">
        <w:t xml:space="preserve"> of </w:t>
      </w:r>
      <w:r>
        <w:t>poststroke fatigue, as well as</w:t>
      </w:r>
      <w:r w:rsidR="003A1917">
        <w:t xml:space="preserve"> the </w:t>
      </w:r>
      <w:r>
        <w:t>development</w:t>
      </w:r>
      <w:r w:rsidR="00427468">
        <w:t xml:space="preserve"> of </w:t>
      </w:r>
      <w:r>
        <w:t>effective treatment, require further research. Criteria for assessment</w:t>
      </w:r>
      <w:r w:rsidR="00427468">
        <w:t xml:space="preserve"> of </w:t>
      </w:r>
      <w:r>
        <w:t>fatigue</w:t>
      </w:r>
      <w:r w:rsidR="005853A9">
        <w:t xml:space="preserve"> and </w:t>
      </w:r>
      <w:r>
        <w:t>potential therapeutic interventions are outlined as a first step for stimulating further research.</w:t>
      </w:r>
    </w:p>
    <w:p w:rsidR="00483F01" w:rsidRDefault="00483F01" w:rsidP="00483F01">
      <w:pPr>
        <w:pStyle w:val="a3"/>
      </w:pPr>
      <w:r>
        <w:t>Keywords: Cerebrovascular Disorders, Fatigue, Neurologic Disorders, Quality</w:t>
      </w:r>
      <w:r w:rsidR="00427468">
        <w:t xml:space="preserve"> of </w:t>
      </w:r>
      <w:r>
        <w:t>Life, Recovery</w:t>
      </w:r>
      <w:r w:rsidR="00427468">
        <w:t xml:space="preserve"> of </w:t>
      </w:r>
      <w:r>
        <w:t>Function, Rehabilitation, Review [Publication Type], Cancer-Related Fatigue, Multiple-Sclerosis, Parkinsons-Disease, Brain-Injury, Head-Injury, Subarachnoid Hemorrhage, Poststroke Depression, Breathing Disorders, Follow</w:t>
      </w:r>
      <w:r w:rsidR="0062028A">
        <w:t>-up,</w:t>
      </w:r>
      <w:r>
        <w:t xml:space="preserve"> Symptoms</w:t>
      </w:r>
    </w:p>
    <w:p w:rsidR="002336E9" w:rsidRPr="001A3D2B" w:rsidRDefault="002336E9" w:rsidP="002336E9">
      <w:pPr>
        <w:pStyle w:val="a3"/>
      </w:pPr>
      <w:r w:rsidRPr="001A3D2B">
        <w:t xml:space="preserve">? </w:t>
      </w:r>
      <w:r>
        <w:t>Wayne</w:t>
      </w:r>
      <w:r>
        <w:rPr>
          <w:rFonts w:hint="eastAsia"/>
        </w:rPr>
        <w:t>,</w:t>
      </w:r>
      <w:r>
        <w:t xml:space="preserve"> P</w:t>
      </w:r>
      <w:r>
        <w:rPr>
          <w:rFonts w:hint="eastAsia"/>
        </w:rPr>
        <w:t>.</w:t>
      </w:r>
      <w:r>
        <w:t>M</w:t>
      </w:r>
      <w:r>
        <w:rPr>
          <w:rFonts w:hint="eastAsia"/>
        </w:rPr>
        <w:t>.</w:t>
      </w:r>
      <w:r>
        <w:t>, Krebs</w:t>
      </w:r>
      <w:r>
        <w:rPr>
          <w:rFonts w:hint="eastAsia"/>
        </w:rPr>
        <w:t>,</w:t>
      </w:r>
      <w:r>
        <w:t xml:space="preserve"> D</w:t>
      </w:r>
      <w:r>
        <w:rPr>
          <w:rFonts w:hint="eastAsia"/>
        </w:rPr>
        <w:t>.</w:t>
      </w:r>
      <w:r>
        <w:t>E</w:t>
      </w:r>
      <w:r>
        <w:rPr>
          <w:rFonts w:hint="eastAsia"/>
        </w:rPr>
        <w:t>.</w:t>
      </w:r>
      <w:r>
        <w:t>, Wolf</w:t>
      </w:r>
      <w:r>
        <w:rPr>
          <w:rFonts w:hint="eastAsia"/>
        </w:rPr>
        <w:t>,</w:t>
      </w:r>
      <w:r>
        <w:t xml:space="preserve"> S</w:t>
      </w:r>
      <w:r>
        <w:rPr>
          <w:rFonts w:hint="eastAsia"/>
        </w:rPr>
        <w:t>.</w:t>
      </w:r>
      <w:r>
        <w:t>L</w:t>
      </w:r>
      <w:r>
        <w:rPr>
          <w:rFonts w:hint="eastAsia"/>
        </w:rPr>
        <w:t>.</w:t>
      </w:r>
      <w:r>
        <w:t>, Gill-Body</w:t>
      </w:r>
      <w:r>
        <w:rPr>
          <w:rFonts w:hint="eastAsia"/>
        </w:rPr>
        <w:t>,</w:t>
      </w:r>
      <w:r>
        <w:t xml:space="preserve"> K</w:t>
      </w:r>
      <w:r>
        <w:rPr>
          <w:rFonts w:hint="eastAsia"/>
        </w:rPr>
        <w:t>.</w:t>
      </w:r>
      <w:r>
        <w:t>M</w:t>
      </w:r>
      <w:r>
        <w:rPr>
          <w:rFonts w:hint="eastAsia"/>
        </w:rPr>
        <w:t>.</w:t>
      </w:r>
      <w:r>
        <w:t>, Scarborough</w:t>
      </w:r>
      <w:r>
        <w:rPr>
          <w:rFonts w:hint="eastAsia"/>
        </w:rPr>
        <w:t>,</w:t>
      </w:r>
      <w:r>
        <w:t xml:space="preserve"> D</w:t>
      </w:r>
      <w:r>
        <w:rPr>
          <w:rFonts w:hint="eastAsia"/>
        </w:rPr>
        <w:t>.</w:t>
      </w:r>
      <w:r>
        <w:t>M</w:t>
      </w:r>
      <w:r>
        <w:rPr>
          <w:rFonts w:hint="eastAsia"/>
        </w:rPr>
        <w:t>.</w:t>
      </w:r>
      <w:r>
        <w:t>, McGibbon</w:t>
      </w:r>
      <w:r>
        <w:rPr>
          <w:rFonts w:hint="eastAsia"/>
        </w:rPr>
        <w:t>,</w:t>
      </w:r>
      <w:r>
        <w:t xml:space="preserve"> C</w:t>
      </w:r>
      <w:r>
        <w:rPr>
          <w:rFonts w:hint="eastAsia"/>
        </w:rPr>
        <w:t>.</w:t>
      </w:r>
      <w:r>
        <w:t>A</w:t>
      </w:r>
      <w:r>
        <w:rPr>
          <w:rFonts w:hint="eastAsia"/>
        </w:rPr>
        <w:t>.</w:t>
      </w:r>
      <w:r>
        <w:t>, Kaptchuk</w:t>
      </w:r>
      <w:r>
        <w:rPr>
          <w:rFonts w:hint="eastAsia"/>
        </w:rPr>
        <w:t>,</w:t>
      </w:r>
      <w:r>
        <w:t xml:space="preserve"> T</w:t>
      </w:r>
      <w:r>
        <w:rPr>
          <w:rFonts w:hint="eastAsia"/>
        </w:rPr>
        <w:t>.</w:t>
      </w:r>
      <w:r>
        <w:t>J</w:t>
      </w:r>
      <w:r>
        <w:rPr>
          <w:rFonts w:hint="eastAsia"/>
        </w:rPr>
        <w:t>.</w:t>
      </w:r>
      <w:r w:rsidR="005853A9">
        <w:rPr>
          <w:rFonts w:hint="eastAsia"/>
        </w:rPr>
        <w:t xml:space="preserve"> and </w:t>
      </w:r>
      <w:r>
        <w:t>Parker</w:t>
      </w:r>
      <w:r>
        <w:rPr>
          <w:rFonts w:hint="eastAsia"/>
        </w:rPr>
        <w:t>,</w:t>
      </w:r>
      <w:r>
        <w:t xml:space="preserve"> S</w:t>
      </w:r>
      <w:r>
        <w:rPr>
          <w:rFonts w:hint="eastAsia"/>
        </w:rPr>
        <w:t>.</w:t>
      </w:r>
      <w:r>
        <w:t>W</w:t>
      </w:r>
      <w:r>
        <w:rPr>
          <w:rFonts w:hint="eastAsia"/>
        </w:rPr>
        <w:t>.</w:t>
      </w:r>
      <w:r w:rsidRPr="001A3D2B">
        <w:t xml:space="preserve"> (2004), </w:t>
      </w:r>
      <w:r>
        <w:t>Can Tai Chi improve vestibulopathic postural control?</w:t>
      </w:r>
      <w:r w:rsidRPr="001A3D2B">
        <w:t xml:space="preserve"> </w:t>
      </w:r>
      <w:r w:rsidRPr="001A3D2B">
        <w:rPr>
          <w:i/>
        </w:rPr>
        <w:t>Archives</w:t>
      </w:r>
      <w:r w:rsidR="00427468">
        <w:rPr>
          <w:i/>
        </w:rPr>
        <w:t xml:space="preserve"> of </w:t>
      </w:r>
      <w:r w:rsidRPr="001A3D2B">
        <w:rPr>
          <w:i/>
        </w:rPr>
        <w:t>Physical Medicine</w:t>
      </w:r>
      <w:r w:rsidR="005853A9">
        <w:rPr>
          <w:i/>
        </w:rPr>
        <w:t xml:space="preserve"> and </w:t>
      </w:r>
      <w:r w:rsidRPr="001A3D2B">
        <w:rPr>
          <w:i/>
        </w:rPr>
        <w:t>Rehabilitation</w:t>
      </w:r>
      <w:r w:rsidRPr="001A3D2B">
        <w:t xml:space="preserve">, </w:t>
      </w:r>
      <w:r w:rsidRPr="001A3D2B">
        <w:rPr>
          <w:b/>
          <w:bCs/>
        </w:rPr>
        <w:t>85</w:t>
      </w:r>
      <w:r w:rsidRPr="001A3D2B">
        <w:t xml:space="preserve"> (</w:t>
      </w:r>
      <w:r>
        <w:rPr>
          <w:rFonts w:hint="eastAsia"/>
        </w:rPr>
        <w:t>1</w:t>
      </w:r>
      <w:r w:rsidRPr="001A3D2B">
        <w:t xml:space="preserve">), </w:t>
      </w:r>
      <w:r>
        <w:t>142-152</w:t>
      </w:r>
      <w:r w:rsidRPr="001A3D2B">
        <w:t>.</w:t>
      </w:r>
    </w:p>
    <w:p w:rsidR="002336E9" w:rsidRDefault="002336E9" w:rsidP="002336E9">
      <w:pPr>
        <w:pStyle w:val="a3"/>
      </w:pPr>
      <w:r w:rsidRPr="001A3D2B">
        <w:t xml:space="preserve">Full Text: </w:t>
      </w:r>
      <w:hyperlink r:id="rId1164" w:history="1">
        <w:r w:rsidRPr="002336E9">
          <w:rPr>
            <w:rStyle w:val="a5"/>
          </w:rPr>
          <w:t>2004\Arc Phy Med Reh85, 142.pdf</w:t>
        </w:r>
      </w:hyperlink>
    </w:p>
    <w:p w:rsidR="002336E9" w:rsidRDefault="002336E9" w:rsidP="002336E9">
      <w:pPr>
        <w:pStyle w:val="a3"/>
      </w:pPr>
      <w:r>
        <w:t>Abstract: Wayne PM, Krebs DE, Wolf SL, Gill-Body KM, Scarborough DM, McGibbon CA, Kaptchuk TJ, Parker SW. Can Tai Chi improve vestibulopathic postural control? Arch Phys Med Rehabil 2004;85:142-52.</w:t>
      </w:r>
    </w:p>
    <w:p w:rsidR="002336E9" w:rsidRDefault="002336E9" w:rsidP="002336E9">
      <w:pPr>
        <w:pStyle w:val="a3"/>
      </w:pPr>
      <w:r>
        <w:t>Objectives: To evaluate</w:t>
      </w:r>
      <w:r w:rsidR="003A1917">
        <w:t xml:space="preserve"> the </w:t>
      </w:r>
      <w:r>
        <w:t>rationale</w:t>
      </w:r>
      <w:r w:rsidR="005853A9">
        <w:t xml:space="preserve"> and </w:t>
      </w:r>
      <w:r>
        <w:t>scientific support for Tai Chi as an intervention for vestibulopathy</w:t>
      </w:r>
      <w:r w:rsidR="005853A9">
        <w:t xml:space="preserve"> and </w:t>
      </w:r>
      <w:r>
        <w:t>to offer recommendations for future studies.</w:t>
      </w:r>
    </w:p>
    <w:p w:rsidR="002336E9" w:rsidRDefault="002336E9" w:rsidP="002336E9">
      <w:pPr>
        <w:pStyle w:val="a3"/>
      </w:pPr>
      <w:r>
        <w:t xml:space="preserve">Data Sources: A computer-aided search, including </w:t>
      </w:r>
      <w:r w:rsidR="00D5664A">
        <w:t>MEDLINE</w:t>
      </w:r>
      <w:r w:rsidR="005853A9">
        <w:t xml:space="preserve"> and </w:t>
      </w:r>
      <w:r>
        <w:t>Science Citation Index, to identify original Tai Chi studies published in English; relevant references cited in</w:t>
      </w:r>
      <w:r w:rsidR="003A1917">
        <w:t xml:space="preserve"> the </w:t>
      </w:r>
      <w:r>
        <w:t>retrieved articles were also included.</w:t>
      </w:r>
    </w:p>
    <w:p w:rsidR="002336E9" w:rsidRDefault="002336E9" w:rsidP="002336E9">
      <w:pPr>
        <w:pStyle w:val="a3"/>
      </w:pPr>
      <w:r>
        <w:lastRenderedPageBreak/>
        <w:t>Study Selection: A preliminary screening selected all randomized controlled trials (RCTs), non-RCTs, case-control studies,</w:t>
      </w:r>
      <w:r w:rsidR="005853A9">
        <w:t xml:space="preserve"> and </w:t>
      </w:r>
      <w:r>
        <w:t>case series that included Tai Chi as an intervention</w:t>
      </w:r>
      <w:r w:rsidR="005853A9">
        <w:t xml:space="preserve"> and </w:t>
      </w:r>
      <w:r>
        <w:t>had at least 1 outcome variable relevant to postural stability.</w:t>
      </w:r>
    </w:p>
    <w:p w:rsidR="002336E9" w:rsidRDefault="002336E9" w:rsidP="002336E9">
      <w:pPr>
        <w:pStyle w:val="a3"/>
      </w:pPr>
      <w:r>
        <w:t>Data Extraction: Authors critically reviewed studies</w:t>
      </w:r>
      <w:r w:rsidR="005853A9">
        <w:t xml:space="preserve"> and </w:t>
      </w:r>
      <w:r>
        <w:t>summarized study designs</w:t>
      </w:r>
      <w:r w:rsidR="005853A9">
        <w:t xml:space="preserve"> and </w:t>
      </w:r>
      <w:r>
        <w:t>outcomes in a summary table.</w:t>
      </w:r>
    </w:p>
    <w:p w:rsidR="002336E9" w:rsidRDefault="002336E9" w:rsidP="002336E9">
      <w:pPr>
        <w:pStyle w:val="a3"/>
      </w:pPr>
      <w:r>
        <w:t>Data Synthesis: Twenty-four Tai Chi studies met screening criteria. No studies specifically studying Tai Chi for vestibulopathy were found. Collectively,</w:t>
      </w:r>
      <w:r w:rsidR="003A1917">
        <w:t xml:space="preserve"> the </w:t>
      </w:r>
      <w:r>
        <w:t>24 studies provide sometimes contradictory but generally supportive evidence that Tai Chi may have beneficial effects for balance</w:t>
      </w:r>
      <w:r w:rsidR="005853A9">
        <w:t xml:space="preserve"> and </w:t>
      </w:r>
      <w:r>
        <w:t>postural impairments, especially those associated with aging. Ten RCTs were found,</w:t>
      </w:r>
      <w:r w:rsidR="00427468">
        <w:t xml:space="preserve"> of </w:t>
      </w:r>
      <w:r>
        <w:t>which 8 provide support that Tai Chi practiced alone, or in combination with other therapies, can reduce risk</w:t>
      </w:r>
      <w:r w:rsidR="00427468">
        <w:t xml:space="preserve"> of </w:t>
      </w:r>
      <w:r>
        <w:t>falls, and/or impact factors associated with postural control, including improved balance</w:t>
      </w:r>
      <w:r w:rsidR="005853A9">
        <w:t xml:space="preserve"> and </w:t>
      </w:r>
      <w:r>
        <w:t>dynamic stability, increased musculoskeletal strength</w:t>
      </w:r>
      <w:r w:rsidR="005853A9">
        <w:t xml:space="preserve"> and </w:t>
      </w:r>
      <w:r>
        <w:t>flexibility, improved performance</w:t>
      </w:r>
      <w:r w:rsidR="00427468">
        <w:t xml:space="preserve"> of </w:t>
      </w:r>
      <w:r>
        <w:t>activities</w:t>
      </w:r>
      <w:r w:rsidR="00427468">
        <w:t xml:space="preserve"> of </w:t>
      </w:r>
      <w:r>
        <w:t>daily living (ADLs), reduced fear</w:t>
      </w:r>
      <w:r w:rsidR="00427468">
        <w:t xml:space="preserve"> of </w:t>
      </w:r>
      <w:r>
        <w:t>falling,</w:t>
      </w:r>
      <w:r w:rsidR="005853A9">
        <w:t xml:space="preserve"> and </w:t>
      </w:r>
      <w:r>
        <w:t>general improvement in psychologic well-being. Studies using other designs support</w:t>
      </w:r>
      <w:r w:rsidR="003A1917">
        <w:t xml:space="preserve"> the </w:t>
      </w:r>
      <w:r>
        <w:t>results observed in RCTs.</w:t>
      </w:r>
    </w:p>
    <w:p w:rsidR="002336E9" w:rsidRDefault="002336E9" w:rsidP="002336E9">
      <w:pPr>
        <w:pStyle w:val="a3"/>
      </w:pPr>
      <w:r>
        <w:t>Conclusions: At present, few data exist to support</w:t>
      </w:r>
      <w:r w:rsidR="003A1917">
        <w:t xml:space="preserve"> the </w:t>
      </w:r>
      <w:r>
        <w:t>contention that Tai Chi specifically targets</w:t>
      </w:r>
      <w:r w:rsidR="003A1917">
        <w:t xml:space="preserve"> the </w:t>
      </w:r>
      <w:r>
        <w:t>impairments, functional limitations, disability,</w:t>
      </w:r>
      <w:r w:rsidR="005853A9">
        <w:t xml:space="preserve"> and </w:t>
      </w:r>
      <w:r>
        <w:t>quality</w:t>
      </w:r>
      <w:r w:rsidR="00427468">
        <w:t xml:space="preserve"> of </w:t>
      </w:r>
      <w:r>
        <w:t>life associated with peripheral vestibulopathy</w:t>
      </w:r>
      <w:r w:rsidR="00A37C1D">
        <w:t>. The</w:t>
      </w:r>
      <w:r>
        <w:t>re are, however, compelling reasons to further investigate Tai Chi for vestibulopathy, in part because Tai Chi appears useful for a variety</w:t>
      </w:r>
      <w:r w:rsidR="00427468">
        <w:t xml:space="preserve"> of </w:t>
      </w:r>
      <w:r>
        <w:t>nonvestibulopathy etiologic balance disorders,</w:t>
      </w:r>
      <w:r w:rsidR="005853A9">
        <w:t xml:space="preserve"> and </w:t>
      </w:r>
      <w:r>
        <w:t>is safe. Especially needed are studies that integrate measures</w:t>
      </w:r>
      <w:r w:rsidR="00427468">
        <w:t xml:space="preserve"> of </w:t>
      </w:r>
      <w:r>
        <w:t>balance relevant to ADLs with other psychologic</w:t>
      </w:r>
      <w:r w:rsidR="005853A9">
        <w:t xml:space="preserve"> and </w:t>
      </w:r>
      <w:r>
        <w:t>cognitive measures; these might help identify specific mechanisms whereby Tai Chi can remedy balance disorders.</w:t>
      </w:r>
    </w:p>
    <w:p w:rsidR="002336E9" w:rsidRPr="001A3D2B" w:rsidRDefault="002336E9" w:rsidP="002336E9">
      <w:pPr>
        <w:pStyle w:val="a3"/>
      </w:pPr>
      <w:r>
        <w:t>Keywords: Balance, Posture, Rehabilitation, Tai Chi, Quality</w:t>
      </w:r>
      <w:r w:rsidR="00434900">
        <w:t>-of-</w:t>
      </w:r>
      <w:r>
        <w:t>Life, Older Adults, Cardiorespiratory Function, Aerobic Exercise, Vestibular Rehabilitation, Rheumatoid-Arthritis, Alternative Medicine, Chuan Practitioners, Acoustic Neuroma, Physical Therapy</w:t>
      </w:r>
    </w:p>
    <w:p w:rsidR="002336E9" w:rsidRPr="001A3D2B" w:rsidRDefault="002336E9" w:rsidP="002336E9">
      <w:pPr>
        <w:pStyle w:val="a3"/>
      </w:pPr>
      <w:r w:rsidRPr="001A3D2B">
        <w:t>? Rocha, A.P.</w:t>
      </w:r>
      <w:r w:rsidR="005853A9">
        <w:t xml:space="preserve"> and </w:t>
      </w:r>
      <w:r w:rsidRPr="001A3D2B">
        <w:t xml:space="preserve">Beraldo, P.S. (2004), Evidence-based PM&amp;R? Yes! </w:t>
      </w:r>
      <w:r w:rsidRPr="001A3D2B">
        <w:rPr>
          <w:i/>
        </w:rPr>
        <w:t>Archives</w:t>
      </w:r>
      <w:r w:rsidR="00427468">
        <w:rPr>
          <w:i/>
        </w:rPr>
        <w:t xml:space="preserve"> of </w:t>
      </w:r>
      <w:r w:rsidRPr="001A3D2B">
        <w:rPr>
          <w:i/>
        </w:rPr>
        <w:t>Physical Medicine</w:t>
      </w:r>
      <w:r w:rsidR="005853A9">
        <w:rPr>
          <w:i/>
        </w:rPr>
        <w:t xml:space="preserve"> and </w:t>
      </w:r>
      <w:r w:rsidRPr="001A3D2B">
        <w:rPr>
          <w:i/>
        </w:rPr>
        <w:t>Rehabilitation</w:t>
      </w:r>
      <w:r w:rsidRPr="001A3D2B">
        <w:t xml:space="preserve">, </w:t>
      </w:r>
      <w:r w:rsidRPr="001A3D2B">
        <w:rPr>
          <w:b/>
          <w:bCs/>
        </w:rPr>
        <w:t>85</w:t>
      </w:r>
      <w:r w:rsidRPr="001A3D2B">
        <w:t xml:space="preserve"> (9), 1561-1562.</w:t>
      </w:r>
    </w:p>
    <w:p w:rsidR="002336E9" w:rsidRPr="001A3D2B" w:rsidRDefault="002336E9" w:rsidP="002336E9">
      <w:pPr>
        <w:pStyle w:val="a3"/>
      </w:pPr>
      <w:r w:rsidRPr="001A3D2B">
        <w:t xml:space="preserve">Full Text: </w:t>
      </w:r>
      <w:hyperlink r:id="rId1165" w:history="1">
        <w:r w:rsidRPr="005B76FE">
          <w:rPr>
            <w:rStyle w:val="a5"/>
          </w:rPr>
          <w:t>2004\Arc Phy Med Reh85, 1561.pdf</w:t>
        </w:r>
      </w:hyperlink>
    </w:p>
    <w:p w:rsidR="008B4CD5" w:rsidRDefault="008B4CD5" w:rsidP="008B4CD5">
      <w:pPr>
        <w:pStyle w:val="a3"/>
        <w:rPr>
          <w:kern w:val="0"/>
        </w:rPr>
      </w:pPr>
      <w:r>
        <w:rPr>
          <w:rFonts w:hint="eastAsia"/>
          <w:kern w:val="0"/>
        </w:rPr>
        <w:t xml:space="preserve">? </w:t>
      </w:r>
      <w:r>
        <w:rPr>
          <w:kern w:val="0"/>
        </w:rPr>
        <w:t>Bateni, H.</w:t>
      </w:r>
      <w:r w:rsidR="005853A9">
        <w:rPr>
          <w:kern w:val="0"/>
        </w:rPr>
        <w:t xml:space="preserve"> and </w:t>
      </w:r>
      <w:r>
        <w:rPr>
          <w:kern w:val="0"/>
        </w:rPr>
        <w:t>Maki, B.E. (2005), Assistive devices for balance</w:t>
      </w:r>
      <w:r w:rsidR="005853A9">
        <w:rPr>
          <w:kern w:val="0"/>
        </w:rPr>
        <w:t xml:space="preserve"> and </w:t>
      </w:r>
      <w:r>
        <w:rPr>
          <w:kern w:val="0"/>
        </w:rPr>
        <w:t>mobility: Benefits, demands,</w:t>
      </w:r>
      <w:r w:rsidR="005853A9">
        <w:rPr>
          <w:kern w:val="0"/>
        </w:rPr>
        <w:t xml:space="preserve"> and </w:t>
      </w:r>
      <w:r>
        <w:rPr>
          <w:kern w:val="0"/>
        </w:rPr>
        <w:t xml:space="preserve">adverse consequences.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86</w:t>
      </w:r>
      <w:r>
        <w:rPr>
          <w:kern w:val="0"/>
        </w:rPr>
        <w:t xml:space="preserve"> (1), 134-145.</w:t>
      </w:r>
    </w:p>
    <w:p w:rsidR="00A13E9A" w:rsidRPr="001A3D2B" w:rsidRDefault="00A13E9A" w:rsidP="00A13E9A">
      <w:pPr>
        <w:pStyle w:val="a3"/>
      </w:pPr>
      <w:r w:rsidRPr="001A3D2B">
        <w:t xml:space="preserve">Full Text: </w:t>
      </w:r>
      <w:hyperlink r:id="rId1166" w:history="1">
        <w:r w:rsidRPr="00121F90">
          <w:rPr>
            <w:rStyle w:val="a5"/>
          </w:rPr>
          <w:t>200</w:t>
        </w:r>
        <w:r w:rsidRPr="00121F90">
          <w:rPr>
            <w:rStyle w:val="a5"/>
            <w:rFonts w:hint="eastAsia"/>
          </w:rPr>
          <w:t>5</w:t>
        </w:r>
        <w:r w:rsidRPr="00121F90">
          <w:rPr>
            <w:rStyle w:val="a5"/>
          </w:rPr>
          <w:t>\Arc Phy Med Reh8</w:t>
        </w:r>
        <w:r w:rsidRPr="00121F90">
          <w:rPr>
            <w:rStyle w:val="a5"/>
            <w:rFonts w:hint="eastAsia"/>
          </w:rPr>
          <w:t>6</w:t>
        </w:r>
        <w:r w:rsidRPr="00121F90">
          <w:rPr>
            <w:rStyle w:val="a5"/>
          </w:rPr>
          <w:t xml:space="preserve">, </w:t>
        </w:r>
        <w:r w:rsidRPr="00121F90">
          <w:rPr>
            <w:rStyle w:val="a5"/>
            <w:kern w:val="0"/>
          </w:rPr>
          <w:t>134</w:t>
        </w:r>
        <w:r w:rsidRPr="00121F90">
          <w:rPr>
            <w:rStyle w:val="a5"/>
          </w:rPr>
          <w:t>.pdf</w:t>
        </w:r>
      </w:hyperlink>
    </w:p>
    <w:p w:rsidR="008B4CD5" w:rsidRDefault="008B4CD5" w:rsidP="008B4CD5">
      <w:pPr>
        <w:pStyle w:val="a3"/>
        <w:rPr>
          <w:kern w:val="0"/>
        </w:rPr>
      </w:pPr>
      <w:r>
        <w:rPr>
          <w:kern w:val="0"/>
        </w:rPr>
        <w:t>Abstract: Objectives: To provide information on</w:t>
      </w:r>
      <w:r w:rsidR="003A1917">
        <w:rPr>
          <w:kern w:val="0"/>
        </w:rPr>
        <w:t xml:space="preserve"> the </w:t>
      </w:r>
      <w:r>
        <w:rPr>
          <w:kern w:val="0"/>
        </w:rPr>
        <w:t>advantages</w:t>
      </w:r>
      <w:r w:rsidR="005853A9">
        <w:rPr>
          <w:kern w:val="0"/>
        </w:rPr>
        <w:t xml:space="preserve"> and </w:t>
      </w:r>
      <w:r>
        <w:rPr>
          <w:kern w:val="0"/>
        </w:rPr>
        <w:t>possible disadvantages</w:t>
      </w:r>
      <w:r w:rsidR="00427468">
        <w:rPr>
          <w:kern w:val="0"/>
        </w:rPr>
        <w:t xml:space="preserve"> of </w:t>
      </w:r>
      <w:r>
        <w:rPr>
          <w:kern w:val="0"/>
        </w:rPr>
        <w:t>using canes</w:t>
      </w:r>
      <w:r w:rsidR="005853A9">
        <w:rPr>
          <w:kern w:val="0"/>
        </w:rPr>
        <w:t xml:space="preserve"> and </w:t>
      </w:r>
      <w:r>
        <w:rPr>
          <w:kern w:val="0"/>
        </w:rPr>
        <w:t xml:space="preserve">walkers. Data Sources: English-language articles were identified by searching </w:t>
      </w:r>
      <w:r w:rsidR="00D5664A">
        <w:rPr>
          <w:kern w:val="0"/>
        </w:rPr>
        <w:t>MEDLINE</w:t>
      </w:r>
      <w:r w:rsidR="005853A9">
        <w:rPr>
          <w:kern w:val="0"/>
        </w:rPr>
        <w:t xml:space="preserve"> and </w:t>
      </w:r>
      <w:r w:rsidR="002C12F0">
        <w:rPr>
          <w:kern w:val="0"/>
        </w:rPr>
        <w:t>PUBMED</w:t>
      </w:r>
      <w:r>
        <w:rPr>
          <w:kern w:val="0"/>
        </w:rPr>
        <w:t xml:space="preserve"> (1966-May 2003) for key words cane or walker, excluding articles unrelated to mobility aids. Bibliographies </w:t>
      </w:r>
      <w:r>
        <w:rPr>
          <w:kern w:val="0"/>
        </w:rPr>
        <w:lastRenderedPageBreak/>
        <w:t>were reviewed</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citation searches were run to identify additional references. Over 1000 articles were selected for further evaluation. Study Selection: We extracted all Studies</w:t>
      </w:r>
      <w:r w:rsidR="00427468">
        <w:rPr>
          <w:kern w:val="0"/>
        </w:rPr>
        <w:t xml:space="preserve"> of </w:t>
      </w:r>
      <w:r>
        <w:rPr>
          <w:kern w:val="0"/>
        </w:rPr>
        <w:t>single-tip canes or pickup walkers addressing: (1) functional, biomechanic, or neuromotor benefits; (2) biomechanic, attentional, neuromotor, metabolic, or physiologic demands;</w:t>
      </w:r>
      <w:r w:rsidR="005853A9">
        <w:rPr>
          <w:kern w:val="0"/>
        </w:rPr>
        <w:t xml:space="preserve"> and </w:t>
      </w:r>
      <w:r>
        <w:rPr>
          <w:kern w:val="0"/>
        </w:rPr>
        <w:t>(3) falls, injuries, or other problems. We included approximately 10%</w:t>
      </w:r>
      <w:r w:rsidR="00427468">
        <w:rPr>
          <w:kern w:val="0"/>
        </w:rPr>
        <w:t xml:space="preserve"> of </w:t>
      </w:r>
      <w:r w:rsidR="003A1917">
        <w:rPr>
          <w:kern w:val="0"/>
        </w:rPr>
        <w:t xml:space="preserve">the </w:t>
      </w:r>
      <w:r>
        <w:rPr>
          <w:kern w:val="0"/>
        </w:rPr>
        <w:t>articles originally identified. Data Extraction:</w:t>
      </w:r>
      <w:r w:rsidR="003A1917">
        <w:rPr>
          <w:kern w:val="0"/>
        </w:rPr>
        <w:t xml:space="preserve"> the </w:t>
      </w:r>
      <w:r>
        <w:rPr>
          <w:kern w:val="0"/>
        </w:rPr>
        <w:t>methodology</w:t>
      </w:r>
      <w:r w:rsidR="00427468">
        <w:rPr>
          <w:kern w:val="0"/>
        </w:rPr>
        <w:t xml:space="preserve"> of </w:t>
      </w:r>
      <w:r>
        <w:rPr>
          <w:kern w:val="0"/>
        </w:rPr>
        <w:t>each selected article,</w:t>
      </w:r>
      <w:r w:rsidR="005853A9">
        <w:rPr>
          <w:kern w:val="0"/>
        </w:rPr>
        <w:t xml:space="preserve"> and </w:t>
      </w:r>
      <w:r>
        <w:rPr>
          <w:kern w:val="0"/>
        </w:rPr>
        <w:t>findings relevant to</w:t>
      </w:r>
      <w:r w:rsidR="003A1917">
        <w:rPr>
          <w:kern w:val="0"/>
        </w:rPr>
        <w:t xml:space="preserve"> the </w:t>
      </w:r>
      <w:r>
        <w:rPr>
          <w:kern w:val="0"/>
        </w:rPr>
        <w:t>benefits, demands, or adverse effects</w:t>
      </w:r>
      <w:r w:rsidR="00427468">
        <w:rPr>
          <w:kern w:val="0"/>
        </w:rPr>
        <w:t xml:space="preserve"> of </w:t>
      </w:r>
      <w:r>
        <w:rPr>
          <w:kern w:val="0"/>
        </w:rPr>
        <w:t>cane or walker use were summarized. Data Synthesis: Findings were synthesized by considering their relation to basic biomechanic principles. Some biomechanic findings appear to support</w:t>
      </w:r>
      <w:r w:rsidR="003A1917">
        <w:rPr>
          <w:kern w:val="0"/>
        </w:rPr>
        <w:t xml:space="preserve"> the </w:t>
      </w:r>
      <w:r>
        <w:rPr>
          <w:kern w:val="0"/>
        </w:rPr>
        <w:t>clinical view that canes</w:t>
      </w:r>
      <w:r w:rsidR="005853A9">
        <w:rPr>
          <w:kern w:val="0"/>
        </w:rPr>
        <w:t xml:space="preserve"> and </w:t>
      </w:r>
      <w:r>
        <w:rPr>
          <w:kern w:val="0"/>
        </w:rPr>
        <w:t>walkers can improve balance</w:t>
      </w:r>
      <w:r w:rsidR="005853A9">
        <w:rPr>
          <w:kern w:val="0"/>
        </w:rPr>
        <w:t xml:space="preserve"> and </w:t>
      </w:r>
      <w:r>
        <w:rPr>
          <w:kern w:val="0"/>
        </w:rPr>
        <w:t>mobility for older adults</w:t>
      </w:r>
      <w:r w:rsidR="005853A9">
        <w:rPr>
          <w:kern w:val="0"/>
        </w:rPr>
        <w:t xml:space="preserve"> and </w:t>
      </w:r>
      <w:r>
        <w:rPr>
          <w:kern w:val="0"/>
        </w:rPr>
        <w:t>people with other clinical conditions. However, a large proportion</w:t>
      </w:r>
      <w:r w:rsidR="00427468">
        <w:rPr>
          <w:kern w:val="0"/>
        </w:rPr>
        <w:t xml:space="preserve"> of </w:t>
      </w:r>
      <w:r>
        <w:rPr>
          <w:kern w:val="0"/>
        </w:rPr>
        <w:t>users experience difficulties,</w:t>
      </w:r>
      <w:r w:rsidR="005853A9">
        <w:rPr>
          <w:kern w:val="0"/>
        </w:rPr>
        <w:t xml:space="preserve"> and </w:t>
      </w:r>
      <w:r w:rsidR="003A1917">
        <w:rPr>
          <w:kern w:val="0"/>
        </w:rPr>
        <w:t xml:space="preserve">the </w:t>
      </w:r>
      <w:r>
        <w:rPr>
          <w:kern w:val="0"/>
        </w:rPr>
        <w:t>use</w:t>
      </w:r>
      <w:r w:rsidR="00427468">
        <w:rPr>
          <w:kern w:val="0"/>
        </w:rPr>
        <w:t xml:space="preserve"> of </w:t>
      </w:r>
      <w:r>
        <w:rPr>
          <w:kern w:val="0"/>
        </w:rPr>
        <w:t>such devices is associated with increased risk</w:t>
      </w:r>
      <w:r w:rsidR="00427468">
        <w:rPr>
          <w:kern w:val="0"/>
        </w:rPr>
        <w:t xml:space="preserve"> of </w:t>
      </w:r>
      <w:r>
        <w:rPr>
          <w:kern w:val="0"/>
        </w:rPr>
        <w:t>falling. A small number</w:t>
      </w:r>
      <w:r w:rsidR="00427468">
        <w:rPr>
          <w:kern w:val="0"/>
        </w:rPr>
        <w:t xml:space="preserve"> of </w:t>
      </w:r>
      <w:r>
        <w:rPr>
          <w:kern w:val="0"/>
        </w:rPr>
        <w:t>studies have characterized some</w:t>
      </w:r>
      <w:r w:rsidR="00427468">
        <w:rPr>
          <w:kern w:val="0"/>
        </w:rPr>
        <w:t xml:space="preserve"> of </w:t>
      </w:r>
      <w:r w:rsidR="003A1917">
        <w:rPr>
          <w:kern w:val="0"/>
        </w:rPr>
        <w:t xml:space="preserve">the </w:t>
      </w:r>
      <w:r>
        <w:rPr>
          <w:kern w:val="0"/>
        </w:rPr>
        <w:t>specific demands</w:t>
      </w:r>
      <w:r w:rsidR="005853A9">
        <w:rPr>
          <w:kern w:val="0"/>
        </w:rPr>
        <w:t xml:space="preserve"> and </w:t>
      </w:r>
      <w:r>
        <w:rPr>
          <w:kern w:val="0"/>
        </w:rPr>
        <w:t>problems associated with using mobility aids. Conclusions: Clinical</w:t>
      </w:r>
      <w:r w:rsidR="005853A9">
        <w:rPr>
          <w:kern w:val="0"/>
        </w:rPr>
        <w:t xml:space="preserve"> and </w:t>
      </w:r>
      <w:r>
        <w:rPr>
          <w:kern w:val="0"/>
        </w:rPr>
        <w:t>biomechanic evaluations</w:t>
      </w:r>
      <w:r w:rsidR="00427468">
        <w:rPr>
          <w:kern w:val="0"/>
        </w:rPr>
        <w:t xml:space="preserve"> of </w:t>
      </w:r>
      <w:r>
        <w:rPr>
          <w:kern w:val="0"/>
        </w:rPr>
        <w:t>canes</w:t>
      </w:r>
      <w:r w:rsidR="005853A9">
        <w:rPr>
          <w:kern w:val="0"/>
        </w:rPr>
        <w:t xml:space="preserve"> and </w:t>
      </w:r>
      <w:r>
        <w:rPr>
          <w:kern w:val="0"/>
        </w:rPr>
        <w:t>walkers confirm that these devices can improve balance</w:t>
      </w:r>
      <w:r w:rsidR="005853A9">
        <w:rPr>
          <w:kern w:val="0"/>
        </w:rPr>
        <w:t xml:space="preserve"> and </w:t>
      </w:r>
      <w:r>
        <w:rPr>
          <w:kern w:val="0"/>
        </w:rPr>
        <w:t>mobility. However, they can also interfere with one</w:t>
      </w:r>
      <w:r w:rsidR="00700038">
        <w:rPr>
          <w:kern w:val="0"/>
        </w:rPr>
        <w:t>’</w:t>
      </w:r>
      <w:r w:rsidR="00C13DDC">
        <w:rPr>
          <w:kern w:val="0"/>
        </w:rPr>
        <w:t>s</w:t>
      </w:r>
      <w:r>
        <w:rPr>
          <w:kern w:val="0"/>
        </w:rPr>
        <w:t xml:space="preserve"> ability to maintain balance in certain situations,</w:t>
      </w:r>
      <w:r w:rsidR="005853A9">
        <w:rPr>
          <w:kern w:val="0"/>
        </w:rPr>
        <w:t xml:space="preserve"> and </w:t>
      </w:r>
      <w:r w:rsidR="003A1917">
        <w:rPr>
          <w:kern w:val="0"/>
        </w:rPr>
        <w:t xml:space="preserve">the </w:t>
      </w:r>
      <w:r>
        <w:rPr>
          <w:kern w:val="0"/>
        </w:rPr>
        <w:t>strength</w:t>
      </w:r>
      <w:r w:rsidR="005853A9">
        <w:rPr>
          <w:kern w:val="0"/>
        </w:rPr>
        <w:t xml:space="preserve"> and </w:t>
      </w:r>
      <w:r>
        <w:rPr>
          <w:kern w:val="0"/>
        </w:rPr>
        <w:t>metabolic demands can be excessive. More research is needed to identify</w:t>
      </w:r>
      <w:r w:rsidR="005853A9">
        <w:rPr>
          <w:kern w:val="0"/>
        </w:rPr>
        <w:t xml:space="preserve"> and </w:t>
      </w:r>
      <w:r>
        <w:rPr>
          <w:kern w:val="0"/>
        </w:rPr>
        <w:t>solve specific problems. Such research may lead to improved designs</w:t>
      </w:r>
      <w:r w:rsidR="005853A9">
        <w:rPr>
          <w:kern w:val="0"/>
        </w:rPr>
        <w:t xml:space="preserve"> and </w:t>
      </w:r>
      <w:r>
        <w:rPr>
          <w:kern w:val="0"/>
        </w:rPr>
        <w:t>guidelines for safer use</w:t>
      </w:r>
      <w:r w:rsidR="00427468">
        <w:rPr>
          <w:kern w:val="0"/>
        </w:rPr>
        <w:t xml:space="preserve"> of </w:t>
      </w:r>
      <w:r>
        <w:rPr>
          <w:kern w:val="0"/>
        </w:rPr>
        <w:t>canes</w:t>
      </w:r>
      <w:r w:rsidR="005853A9">
        <w:rPr>
          <w:kern w:val="0"/>
        </w:rPr>
        <w:t xml:space="preserve"> and </w:t>
      </w:r>
      <w:r>
        <w:rPr>
          <w:kern w:val="0"/>
        </w:rPr>
        <w:t>walkers.</w:t>
      </w:r>
    </w:p>
    <w:p w:rsidR="008B4CD5" w:rsidRDefault="008B4CD5" w:rsidP="008B4CD5">
      <w:pPr>
        <w:pStyle w:val="a3"/>
        <w:rPr>
          <w:kern w:val="0"/>
        </w:rPr>
      </w:pPr>
      <w:r>
        <w:rPr>
          <w:kern w:val="0"/>
        </w:rPr>
        <w:t>Keywords: Accidental Falls, Adults, Adverse Effects, Aging, Anticipatory Postural Adjustments, Assistive Devices, Balance, Bibliographies, Canes, Carpal-Tunnel Syndrome, Citation, Evaluation, Extraction, Fall Prevention, Falls, Functional, Gait, Guidelines, Information</w:t>
      </w:r>
      <w:r w:rsidR="00D5664A">
        <w:rPr>
          <w:kern w:val="0"/>
        </w:rPr>
        <w:t>, ISI,</w:t>
      </w:r>
      <w:r>
        <w:rPr>
          <w:kern w:val="0"/>
        </w:rPr>
        <w:t xml:space="preserve"> Lead, </w:t>
      </w:r>
      <w:r w:rsidR="00D5664A">
        <w:rPr>
          <w:kern w:val="0"/>
        </w:rPr>
        <w:t>MEDLINE</w:t>
      </w:r>
      <w:r>
        <w:rPr>
          <w:kern w:val="0"/>
        </w:rPr>
        <w:t xml:space="preserve">, Methodology, Muscle-Activity, Nonweight-Bearing Ambulation, Older Adults, Posture, </w:t>
      </w:r>
      <w:r w:rsidR="002C12F0">
        <w:rPr>
          <w:kern w:val="0"/>
        </w:rPr>
        <w:t>PUBMED</w:t>
      </w:r>
      <w:r>
        <w:rPr>
          <w:kern w:val="0"/>
        </w:rPr>
        <w:t xml:space="preserve">, Rehabilitation, Research, Risk, Science, Sources, Spinal-Cord-Injury, Standing Balance, Stroke Patients, Voluntary Movement, Walkers, </w:t>
      </w:r>
      <w:r w:rsidR="00D5664A">
        <w:rPr>
          <w:kern w:val="0"/>
        </w:rPr>
        <w:t>Web</w:t>
      </w:r>
      <w:r w:rsidR="00427468">
        <w:rPr>
          <w:kern w:val="0"/>
        </w:rPr>
        <w:t xml:space="preserve"> of </w:t>
      </w:r>
      <w:r w:rsidR="00D5664A">
        <w:rPr>
          <w:kern w:val="0"/>
        </w:rPr>
        <w:t>Science</w:t>
      </w:r>
      <w:r>
        <w:rPr>
          <w:kern w:val="0"/>
        </w:rPr>
        <w:t>, Weight-Bearing</w:t>
      </w:r>
    </w:p>
    <w:p w:rsidR="00A13E9A" w:rsidRDefault="00A13E9A" w:rsidP="00A13E9A">
      <w:pPr>
        <w:pStyle w:val="a3"/>
        <w:rPr>
          <w:kern w:val="0"/>
        </w:rPr>
      </w:pPr>
      <w:r>
        <w:rPr>
          <w:rFonts w:hint="eastAsia"/>
          <w:kern w:val="0"/>
        </w:rPr>
        <w:t xml:space="preserve">? </w:t>
      </w:r>
      <w:r>
        <w:rPr>
          <w:kern w:val="0"/>
        </w:rPr>
        <w:t>Stolwijk-Swüste, J.M., Beelen, A., Lankhorst, G.J.</w:t>
      </w:r>
      <w:r w:rsidR="005853A9">
        <w:rPr>
          <w:kern w:val="0"/>
        </w:rPr>
        <w:t xml:space="preserve"> and </w:t>
      </w:r>
      <w:r>
        <w:rPr>
          <w:kern w:val="0"/>
        </w:rPr>
        <w:t>Nollet, F. (2005</w:t>
      </w:r>
      <w:r w:rsidR="00F42EAC">
        <w:rPr>
          <w:kern w:val="0"/>
        </w:rPr>
        <w:t>), The</w:t>
      </w:r>
      <w:r w:rsidR="003A1917">
        <w:rPr>
          <w:kern w:val="0"/>
        </w:rPr>
        <w:t xml:space="preserve"> </w:t>
      </w:r>
      <w:r>
        <w:rPr>
          <w:kern w:val="0"/>
        </w:rPr>
        <w:t>course</w:t>
      </w:r>
      <w:r w:rsidR="00427468">
        <w:rPr>
          <w:kern w:val="0"/>
        </w:rPr>
        <w:t xml:space="preserve"> of </w:t>
      </w:r>
      <w:r>
        <w:rPr>
          <w:kern w:val="0"/>
        </w:rPr>
        <w:t>functional status</w:t>
      </w:r>
      <w:r w:rsidR="005853A9">
        <w:rPr>
          <w:kern w:val="0"/>
        </w:rPr>
        <w:t xml:space="preserve"> and </w:t>
      </w:r>
      <w:r>
        <w:rPr>
          <w:kern w:val="0"/>
        </w:rPr>
        <w:t>muscle strength in patients with late-onset sequelae</w:t>
      </w:r>
      <w:r w:rsidR="00427468">
        <w:rPr>
          <w:kern w:val="0"/>
        </w:rPr>
        <w:t xml:space="preserve"> of </w:t>
      </w:r>
      <w:r>
        <w:rPr>
          <w:kern w:val="0"/>
        </w:rPr>
        <w:t xml:space="preserve">poliomyelitis: A systematic review.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86</w:t>
      </w:r>
      <w:r>
        <w:rPr>
          <w:kern w:val="0"/>
        </w:rPr>
        <w:t xml:space="preserve"> (8), 1693-1701.</w:t>
      </w:r>
    </w:p>
    <w:p w:rsidR="00A13E9A" w:rsidRPr="001A3D2B" w:rsidRDefault="00A13E9A" w:rsidP="00A13E9A">
      <w:pPr>
        <w:pStyle w:val="a3"/>
      </w:pPr>
      <w:r w:rsidRPr="001A3D2B">
        <w:t xml:space="preserve">Full Text: </w:t>
      </w:r>
      <w:hyperlink r:id="rId1167" w:history="1">
        <w:r w:rsidRPr="00121F90">
          <w:rPr>
            <w:rStyle w:val="a5"/>
          </w:rPr>
          <w:t>2005\Arc Phy Med Reh86, 1693.pdf</w:t>
        </w:r>
      </w:hyperlink>
    </w:p>
    <w:p w:rsidR="008B4CD5" w:rsidRDefault="008B4CD5" w:rsidP="008B4CD5">
      <w:pPr>
        <w:pStyle w:val="a3"/>
        <w:rPr>
          <w:kern w:val="0"/>
        </w:rPr>
      </w:pPr>
      <w:r>
        <w:rPr>
          <w:kern w:val="0"/>
        </w:rPr>
        <w:t>Abstract: Stolwijk-SwUste JM, Beelen A, Lankhorst GJ, Nollet F, for</w:t>
      </w:r>
      <w:r w:rsidR="003A1917">
        <w:rPr>
          <w:kern w:val="0"/>
        </w:rPr>
        <w:t xml:space="preserve"> the </w:t>
      </w:r>
      <w:r>
        <w:rPr>
          <w:kern w:val="0"/>
        </w:rPr>
        <w:t>CARPA Study Group</w:t>
      </w:r>
      <w:r w:rsidR="00A37C1D">
        <w:rPr>
          <w:kern w:val="0"/>
        </w:rPr>
        <w:t>. The</w:t>
      </w:r>
      <w:r w:rsidR="003A1917">
        <w:rPr>
          <w:kern w:val="0"/>
        </w:rPr>
        <w:t xml:space="preserve"> </w:t>
      </w:r>
      <w:r>
        <w:rPr>
          <w:kern w:val="0"/>
        </w:rPr>
        <w:t>course</w:t>
      </w:r>
      <w:r w:rsidR="00427468">
        <w:rPr>
          <w:kern w:val="0"/>
        </w:rPr>
        <w:t xml:space="preserve"> of </w:t>
      </w:r>
      <w:r>
        <w:rPr>
          <w:kern w:val="0"/>
        </w:rPr>
        <w:t>functional status</w:t>
      </w:r>
      <w:r w:rsidR="005853A9">
        <w:rPr>
          <w:kern w:val="0"/>
        </w:rPr>
        <w:t xml:space="preserve"> and </w:t>
      </w:r>
      <w:r>
        <w:rPr>
          <w:kern w:val="0"/>
        </w:rPr>
        <w:t>muscle strength in patients with late-onset sequelae</w:t>
      </w:r>
      <w:r w:rsidR="00427468">
        <w:rPr>
          <w:kern w:val="0"/>
        </w:rPr>
        <w:t xml:space="preserve"> of </w:t>
      </w:r>
      <w:r>
        <w:rPr>
          <w:kern w:val="0"/>
        </w:rPr>
        <w:t>poliomyelitis: a systematic review. Arch Phys Med Rehabil 2005;86:1693-701. Objectives: To review systematically studies</w:t>
      </w:r>
      <w:r w:rsidR="00427468">
        <w:rPr>
          <w:kern w:val="0"/>
        </w:rPr>
        <w:t xml:space="preserve"> of </w:t>
      </w:r>
      <w:r>
        <w:rPr>
          <w:kern w:val="0"/>
        </w:rPr>
        <w:t>late-onset polio sequelae on</w:t>
      </w:r>
      <w:r w:rsidR="003A1917">
        <w:rPr>
          <w:kern w:val="0"/>
        </w:rPr>
        <w:t xml:space="preserve"> the </w:t>
      </w:r>
      <w:r>
        <w:rPr>
          <w:kern w:val="0"/>
        </w:rPr>
        <w:t>course</w:t>
      </w:r>
      <w:r w:rsidR="00427468">
        <w:rPr>
          <w:kern w:val="0"/>
        </w:rPr>
        <w:t xml:space="preserve"> of </w:t>
      </w:r>
      <w:r>
        <w:rPr>
          <w:kern w:val="0"/>
        </w:rPr>
        <w:t>functional status</w:t>
      </w:r>
      <w:r w:rsidR="005853A9">
        <w:rPr>
          <w:kern w:val="0"/>
        </w:rPr>
        <w:t xml:space="preserve"> and </w:t>
      </w:r>
      <w:r>
        <w:rPr>
          <w:kern w:val="0"/>
        </w:rPr>
        <w:t>muscle strength over time</w:t>
      </w:r>
      <w:r w:rsidR="005853A9">
        <w:rPr>
          <w:kern w:val="0"/>
        </w:rPr>
        <w:t xml:space="preserve"> and </w:t>
      </w:r>
      <w:r>
        <w:rPr>
          <w:kern w:val="0"/>
        </w:rPr>
        <w:t>to identify prognostic factors</w:t>
      </w:r>
      <w:r w:rsidR="00427468">
        <w:rPr>
          <w:kern w:val="0"/>
        </w:rPr>
        <w:t xml:space="preserve"> of </w:t>
      </w:r>
      <w:r>
        <w:rPr>
          <w:kern w:val="0"/>
        </w:rPr>
        <w:t xml:space="preserve">change. Data Sources: We conducted a computerized </w:t>
      </w:r>
      <w:r>
        <w:rPr>
          <w:kern w:val="0"/>
        </w:rPr>
        <w:lastRenderedPageBreak/>
        <w:t xml:space="preserve">literature search up to July 2004 in </w:t>
      </w:r>
      <w:r w:rsidR="00D5664A">
        <w:rPr>
          <w:kern w:val="0"/>
        </w:rPr>
        <w:t>MEDLINE</w:t>
      </w:r>
      <w:r>
        <w:rPr>
          <w:kern w:val="0"/>
        </w:rPr>
        <w:t xml:space="preserve">, EMBASE, CINAHL, </w:t>
      </w:r>
      <w:r w:rsidR="00D5664A">
        <w:rPr>
          <w:kern w:val="0"/>
        </w:rPr>
        <w:t>Web</w:t>
      </w:r>
      <w:r w:rsidR="00427468">
        <w:rPr>
          <w:kern w:val="0"/>
        </w:rPr>
        <w:t xml:space="preserve"> of </w:t>
      </w:r>
      <w:r w:rsidR="00D5664A">
        <w:rPr>
          <w:kern w:val="0"/>
        </w:rPr>
        <w:t>Science</w:t>
      </w:r>
      <w:r>
        <w:rPr>
          <w:kern w:val="0"/>
        </w:rPr>
        <w:t>, PsychInfo,</w:t>
      </w:r>
      <w:r w:rsidR="005853A9">
        <w:rPr>
          <w:kern w:val="0"/>
        </w:rPr>
        <w:t xml:space="preserve"> and </w:t>
      </w:r>
      <w:r w:rsidR="003A1917">
        <w:rPr>
          <w:kern w:val="0"/>
        </w:rPr>
        <w:t xml:space="preserve">the </w:t>
      </w:r>
      <w:r>
        <w:rPr>
          <w:kern w:val="0"/>
        </w:rPr>
        <w:t>Cochrane controlled trial register using</w:t>
      </w:r>
      <w:r w:rsidR="003A1917">
        <w:rPr>
          <w:kern w:val="0"/>
        </w:rPr>
        <w:t xml:space="preserve"> the </w:t>
      </w:r>
      <w:r>
        <w:rPr>
          <w:kern w:val="0"/>
        </w:rPr>
        <w:t>key words: postpolio, postpoliomyelitis, postpoliomyelitis syndrome, post poliomyelitis muscular atrophy,</w:t>
      </w:r>
      <w:r w:rsidR="005853A9">
        <w:rPr>
          <w:kern w:val="0"/>
        </w:rPr>
        <w:t xml:space="preserve"> and </w:t>
      </w:r>
      <w:r>
        <w:rPr>
          <w:kern w:val="0"/>
        </w:rPr>
        <w:t>poliomyelitis. Study Selection: Reports were selected by I reviewer if</w:t>
      </w:r>
      <w:r w:rsidR="003A1917">
        <w:rPr>
          <w:kern w:val="0"/>
        </w:rPr>
        <w:t xml:space="preserve"> the </w:t>
      </w:r>
      <w:r>
        <w:rPr>
          <w:kern w:val="0"/>
        </w:rPr>
        <w:t>study involved subjects with a history</w:t>
      </w:r>
      <w:r w:rsidR="00427468">
        <w:rPr>
          <w:kern w:val="0"/>
        </w:rPr>
        <w:t xml:space="preserve"> of </w:t>
      </w:r>
      <w:r>
        <w:rPr>
          <w:kern w:val="0"/>
        </w:rPr>
        <w:t>poliomyelitis,</w:t>
      </w:r>
      <w:r w:rsidR="003A1917">
        <w:rPr>
          <w:kern w:val="0"/>
        </w:rPr>
        <w:t xml:space="preserve"> the </w:t>
      </w:r>
      <w:r>
        <w:rPr>
          <w:kern w:val="0"/>
        </w:rPr>
        <w:t>outcome measures described functional status or muscle strength,</w:t>
      </w:r>
      <w:r w:rsidR="005853A9">
        <w:rPr>
          <w:kern w:val="0"/>
        </w:rPr>
        <w:t xml:space="preserve"> and </w:t>
      </w:r>
      <w:r>
        <w:rPr>
          <w:kern w:val="0"/>
        </w:rPr>
        <w:t>follow-up was for at least 6 months. Data Extraction: Studies were summarized with regard to population, design, sample size, outcome measures, results,</w:t>
      </w:r>
      <w:r w:rsidR="005853A9">
        <w:rPr>
          <w:kern w:val="0"/>
        </w:rPr>
        <w:t xml:space="preserve"> and </w:t>
      </w:r>
      <w:r>
        <w:rPr>
          <w:kern w:val="0"/>
        </w:rPr>
        <w:t>methodologic scores. Overlap in populations between studies was checked. Data Synthesis:</w:t>
      </w:r>
      <w:r w:rsidR="00427468">
        <w:rPr>
          <w:kern w:val="0"/>
        </w:rPr>
        <w:t xml:space="preserve"> of </w:t>
      </w:r>
      <w:r>
        <w:rPr>
          <w:kern w:val="0"/>
        </w:rPr>
        <w:t>71 potentially relevant studies, 19 were included (2 on functional status, 15 on muscle strength, 2 on both muscle strength</w:t>
      </w:r>
      <w:r w:rsidR="005853A9">
        <w:rPr>
          <w:kern w:val="0"/>
        </w:rPr>
        <w:t xml:space="preserve"> and </w:t>
      </w:r>
      <w:r>
        <w:rPr>
          <w:kern w:val="0"/>
        </w:rPr>
        <w:t>functional status). Two studies on</w:t>
      </w:r>
      <w:r w:rsidR="003A1917">
        <w:rPr>
          <w:kern w:val="0"/>
        </w:rPr>
        <w:t xml:space="preserve"> the </w:t>
      </w:r>
      <w:r>
        <w:rPr>
          <w:kern w:val="0"/>
        </w:rPr>
        <w:t>course</w:t>
      </w:r>
      <w:r w:rsidR="00427468">
        <w:rPr>
          <w:kern w:val="0"/>
        </w:rPr>
        <w:t xml:space="preserve"> of </w:t>
      </w:r>
      <w:r>
        <w:rPr>
          <w:kern w:val="0"/>
        </w:rPr>
        <w:t>functional status had sufficient quality</w:t>
      </w:r>
      <w:r w:rsidR="005853A9">
        <w:rPr>
          <w:kern w:val="0"/>
        </w:rPr>
        <w:t xml:space="preserve"> and </w:t>
      </w:r>
      <w:r>
        <w:rPr>
          <w:kern w:val="0"/>
        </w:rPr>
        <w:t>reported inconsistent results. Four studies on</w:t>
      </w:r>
      <w:r w:rsidR="003A1917">
        <w:rPr>
          <w:kern w:val="0"/>
        </w:rPr>
        <w:t xml:space="preserve"> the </w:t>
      </w:r>
      <w:r>
        <w:rPr>
          <w:kern w:val="0"/>
        </w:rPr>
        <w:t>course</w:t>
      </w:r>
      <w:r w:rsidR="00427468">
        <w:rPr>
          <w:kern w:val="0"/>
        </w:rPr>
        <w:t xml:space="preserve"> of </w:t>
      </w:r>
      <w:r>
        <w:rPr>
          <w:kern w:val="0"/>
        </w:rPr>
        <w:t>muscle strength had sufficient quality. Two studies reported a decline in strength</w:t>
      </w:r>
      <w:r w:rsidR="005853A9">
        <w:rPr>
          <w:kern w:val="0"/>
        </w:rPr>
        <w:t xml:space="preserve"> and </w:t>
      </w:r>
      <w:r>
        <w:rPr>
          <w:kern w:val="0"/>
        </w:rPr>
        <w:t>2 reported no change. Decline in strength was only reported in studies with a follow-up period longer than 2 years. One study reported extent</w:t>
      </w:r>
      <w:r w:rsidR="00427468">
        <w:rPr>
          <w:kern w:val="0"/>
        </w:rPr>
        <w:t xml:space="preserve"> of </w:t>
      </w:r>
      <w:r>
        <w:rPr>
          <w:kern w:val="0"/>
        </w:rPr>
        <w:t>paresis as a prognostic factor for change in perceived physical mobility. Conclusions: Conclusions cannot be drawn from</w:t>
      </w:r>
      <w:r w:rsidR="003A1917">
        <w:rPr>
          <w:kern w:val="0"/>
        </w:rPr>
        <w:t xml:space="preserve"> the </w:t>
      </w:r>
      <w:r>
        <w:rPr>
          <w:kern w:val="0"/>
        </w:rPr>
        <w:t>literature with regard to</w:t>
      </w:r>
      <w:r w:rsidR="003A1917">
        <w:rPr>
          <w:kern w:val="0"/>
        </w:rPr>
        <w:t xml:space="preserve"> the </w:t>
      </w:r>
      <w:r>
        <w:rPr>
          <w:kern w:val="0"/>
        </w:rPr>
        <w:t>functional course or prognostic factors in late-onset polio sequelae</w:t>
      </w:r>
      <w:r w:rsidR="00A37C1D">
        <w:rPr>
          <w:kern w:val="0"/>
        </w:rPr>
        <w:t>. The</w:t>
      </w:r>
      <w:r w:rsidR="003A1917">
        <w:rPr>
          <w:kern w:val="0"/>
        </w:rPr>
        <w:t xml:space="preserve"> </w:t>
      </w:r>
      <w:r>
        <w:rPr>
          <w:kern w:val="0"/>
        </w:rPr>
        <w:t>rate</w:t>
      </w:r>
      <w:r w:rsidR="00427468">
        <w:rPr>
          <w:kern w:val="0"/>
        </w:rPr>
        <w:t xml:space="preserve"> of </w:t>
      </w:r>
      <w:r>
        <w:rPr>
          <w:kern w:val="0"/>
        </w:rPr>
        <w:t>decline in muscle strength is slow,</w:t>
      </w:r>
      <w:r w:rsidR="005853A9">
        <w:rPr>
          <w:kern w:val="0"/>
        </w:rPr>
        <w:t xml:space="preserve"> and </w:t>
      </w:r>
      <w:r>
        <w:rPr>
          <w:kern w:val="0"/>
        </w:rPr>
        <w:t>prognostic factors have not yet been identified. Long-term follow-up studies with unselected study populations</w:t>
      </w:r>
      <w:r w:rsidR="005853A9">
        <w:rPr>
          <w:kern w:val="0"/>
        </w:rPr>
        <w:t xml:space="preserve"> and </w:t>
      </w:r>
      <w:r>
        <w:rPr>
          <w:kern w:val="0"/>
        </w:rPr>
        <w:t>age-matched controls are needed, with specific focus on prognostic factors.(c) 2005 by</w:t>
      </w:r>
      <w:r w:rsidR="003A1917">
        <w:rPr>
          <w:kern w:val="0"/>
        </w:rPr>
        <w:t xml:space="preserve"> the </w:t>
      </w:r>
      <w:r>
        <w:rPr>
          <w:kern w:val="0"/>
        </w:rPr>
        <w:t>American Congress</w:t>
      </w:r>
      <w:r w:rsidR="00427468">
        <w:rPr>
          <w:kern w:val="0"/>
        </w:rPr>
        <w:t xml:space="preserve"> of </w:t>
      </w:r>
      <w:r>
        <w:rPr>
          <w:kern w:val="0"/>
        </w:rPr>
        <w:t>Rehabilitation Medicine</w:t>
      </w:r>
      <w:r w:rsidR="005853A9">
        <w:rPr>
          <w:kern w:val="0"/>
        </w:rPr>
        <w:t xml:space="preserve"> and </w:t>
      </w:r>
      <w:r w:rsidR="003A1917">
        <w:rPr>
          <w:kern w:val="0"/>
        </w:rPr>
        <w:t xml:space="preserve">the </w:t>
      </w:r>
      <w:r>
        <w:rPr>
          <w:kern w:val="0"/>
        </w:rPr>
        <w:t>American Academy</w:t>
      </w:r>
      <w:r w:rsidR="00427468">
        <w:rPr>
          <w:kern w:val="0"/>
        </w:rPr>
        <w:t xml:space="preserve"> of </w:t>
      </w:r>
      <w:r>
        <w:rPr>
          <w:kern w:val="0"/>
        </w:rPr>
        <w:t>Physical Medicine</w:t>
      </w:r>
      <w:r w:rsidR="005853A9">
        <w:rPr>
          <w:kern w:val="0"/>
        </w:rPr>
        <w:t xml:space="preserve"> and </w:t>
      </w:r>
      <w:r>
        <w:rPr>
          <w:kern w:val="0"/>
        </w:rPr>
        <w:t>Rehabilitation.</w:t>
      </w:r>
    </w:p>
    <w:p w:rsidR="008B4CD5" w:rsidRDefault="008B4CD5" w:rsidP="008B4CD5">
      <w:pPr>
        <w:pStyle w:val="a3"/>
        <w:rPr>
          <w:kern w:val="0"/>
        </w:rPr>
      </w:pPr>
      <w:r>
        <w:rPr>
          <w:kern w:val="0"/>
        </w:rPr>
        <w:t xml:space="preserve">Keywords: 4-Year Follow-up, Assessments, Cochrane, Cohort, EMBASE, Extraction, Follow-up, Functional, History, Literature, </w:t>
      </w:r>
      <w:r w:rsidR="00D5664A">
        <w:rPr>
          <w:kern w:val="0"/>
        </w:rPr>
        <w:t>MEDLINE</w:t>
      </w:r>
      <w:r>
        <w:rPr>
          <w:kern w:val="0"/>
        </w:rPr>
        <w:t xml:space="preserve">, Motor Units, Neuromuscular Function, Outcome, Polio Survivors, Postpolio Syndrome, Postpoliomyelitis Syndrome, Progression, Rehabilitation, Review, Review Literature, Science, Sources, Symptoms, Systematic, Systematic Review, </w:t>
      </w:r>
      <w:r w:rsidR="00D5664A">
        <w:rPr>
          <w:kern w:val="0"/>
        </w:rPr>
        <w:t>Web</w:t>
      </w:r>
      <w:r w:rsidR="00427468">
        <w:rPr>
          <w:kern w:val="0"/>
        </w:rPr>
        <w:t xml:space="preserve"> of </w:t>
      </w:r>
      <w:r w:rsidR="00D5664A">
        <w:rPr>
          <w:kern w:val="0"/>
        </w:rPr>
        <w:t>Science</w:t>
      </w:r>
    </w:p>
    <w:p w:rsidR="00A13E9A" w:rsidRDefault="00A13E9A" w:rsidP="00A13E9A">
      <w:pPr>
        <w:pStyle w:val="a3"/>
        <w:rPr>
          <w:kern w:val="0"/>
        </w:rPr>
      </w:pPr>
      <w:r>
        <w:rPr>
          <w:rFonts w:hint="eastAsia"/>
          <w:kern w:val="0"/>
        </w:rPr>
        <w:t xml:space="preserve">? </w:t>
      </w:r>
      <w:r>
        <w:rPr>
          <w:kern w:val="0"/>
        </w:rPr>
        <w:t>Kelly, C., Foxe, J.J.</w:t>
      </w:r>
      <w:r w:rsidR="005853A9">
        <w:rPr>
          <w:kern w:val="0"/>
        </w:rPr>
        <w:t xml:space="preserve"> and </w:t>
      </w:r>
      <w:r>
        <w:rPr>
          <w:kern w:val="0"/>
        </w:rPr>
        <w:t>Garavan, H. (2006), Patterns</w:t>
      </w:r>
      <w:r w:rsidR="00427468">
        <w:rPr>
          <w:kern w:val="0"/>
        </w:rPr>
        <w:t xml:space="preserve"> of </w:t>
      </w:r>
      <w:r>
        <w:rPr>
          <w:kern w:val="0"/>
        </w:rPr>
        <w:t>normal human brain plasticity after practice</w:t>
      </w:r>
      <w:r w:rsidR="005853A9">
        <w:rPr>
          <w:kern w:val="0"/>
        </w:rPr>
        <w:t xml:space="preserve"> and </w:t>
      </w:r>
      <w:r>
        <w:rPr>
          <w:kern w:val="0"/>
        </w:rPr>
        <w:t xml:space="preserve">their implications for neurorehabilitation.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87</w:t>
      </w:r>
      <w:r>
        <w:rPr>
          <w:kern w:val="0"/>
        </w:rPr>
        <w:t xml:space="preserve"> (12</w:t>
      </w:r>
      <w:r>
        <w:rPr>
          <w:rFonts w:hint="eastAsia"/>
          <w:kern w:val="0"/>
        </w:rPr>
        <w:t>S</w:t>
      </w:r>
      <w:r>
        <w:rPr>
          <w:kern w:val="0"/>
        </w:rPr>
        <w:t>), 20-29.</w:t>
      </w:r>
    </w:p>
    <w:p w:rsidR="00A13E9A" w:rsidRPr="001A3D2B" w:rsidRDefault="00A13E9A" w:rsidP="00A13E9A">
      <w:pPr>
        <w:pStyle w:val="a3"/>
      </w:pPr>
      <w:r w:rsidRPr="001A3D2B">
        <w:t xml:space="preserve">Full Text: </w:t>
      </w:r>
      <w:hyperlink r:id="rId1168" w:history="1">
        <w:r w:rsidRPr="00121F90">
          <w:rPr>
            <w:rStyle w:val="a5"/>
          </w:rPr>
          <w:t>2006\Arc Phy Med Reh87, 20.pdf</w:t>
        </w:r>
      </w:hyperlink>
    </w:p>
    <w:p w:rsidR="008B4CD5" w:rsidRDefault="008B4CD5" w:rsidP="008B4CD5">
      <w:pPr>
        <w:pStyle w:val="a3"/>
        <w:rPr>
          <w:kern w:val="0"/>
        </w:rPr>
      </w:pPr>
      <w:r>
        <w:rPr>
          <w:kern w:val="0"/>
        </w:rPr>
        <w:t>Abstract: Objectives: To illustrate how our knowledge about normal patterns</w:t>
      </w:r>
      <w:r w:rsidR="00427468">
        <w:rPr>
          <w:kern w:val="0"/>
        </w:rPr>
        <w:t xml:space="preserve"> of </w:t>
      </w:r>
      <w:r>
        <w:rPr>
          <w:kern w:val="0"/>
        </w:rPr>
        <w:t>experience-induced plasticity can provide insights into</w:t>
      </w:r>
      <w:r w:rsidR="003A1917">
        <w:rPr>
          <w:kern w:val="0"/>
        </w:rPr>
        <w:t xml:space="preserve"> the </w:t>
      </w:r>
      <w:r>
        <w:rPr>
          <w:kern w:val="0"/>
        </w:rPr>
        <w:t>mechanisms</w:t>
      </w:r>
      <w:r w:rsidR="00427468">
        <w:rPr>
          <w:kern w:val="0"/>
        </w:rPr>
        <w:t xml:space="preserve"> of </w:t>
      </w:r>
      <w:r>
        <w:rPr>
          <w:kern w:val="0"/>
        </w:rPr>
        <w:t>neurorehabilitation; to provide an overview</w:t>
      </w:r>
      <w:r w:rsidR="00427468">
        <w:rPr>
          <w:kern w:val="0"/>
        </w:rPr>
        <w:t xml:space="preserve"> of </w:t>
      </w:r>
      <w:r w:rsidR="003A1917">
        <w:rPr>
          <w:kern w:val="0"/>
        </w:rPr>
        <w:t xml:space="preserve">the </w:t>
      </w:r>
      <w:r>
        <w:rPr>
          <w:kern w:val="0"/>
        </w:rPr>
        <w:t>practice-effects literature in order to simplify</w:t>
      </w:r>
      <w:r w:rsidR="005853A9">
        <w:rPr>
          <w:kern w:val="0"/>
        </w:rPr>
        <w:t xml:space="preserve"> and </w:t>
      </w:r>
      <w:r>
        <w:rPr>
          <w:kern w:val="0"/>
        </w:rPr>
        <w:t>amalgamate a large number</w:t>
      </w:r>
      <w:r w:rsidR="00427468">
        <w:rPr>
          <w:kern w:val="0"/>
        </w:rPr>
        <w:t xml:space="preserve"> of </w:t>
      </w:r>
      <w:r>
        <w:rPr>
          <w:kern w:val="0"/>
        </w:rPr>
        <w:t>heterogeneous findings</w:t>
      </w:r>
      <w:r w:rsidR="005853A9">
        <w:rPr>
          <w:kern w:val="0"/>
        </w:rPr>
        <w:t xml:space="preserve"> and </w:t>
      </w:r>
      <w:r>
        <w:rPr>
          <w:kern w:val="0"/>
        </w:rPr>
        <w:t>identify typical patterns</w:t>
      </w:r>
      <w:r w:rsidR="00427468">
        <w:rPr>
          <w:kern w:val="0"/>
        </w:rPr>
        <w:t xml:space="preserve"> of </w:t>
      </w:r>
      <w:r>
        <w:rPr>
          <w:kern w:val="0"/>
        </w:rPr>
        <w:t>practice effects</w:t>
      </w:r>
      <w:r w:rsidR="005853A9">
        <w:rPr>
          <w:kern w:val="0"/>
        </w:rPr>
        <w:t xml:space="preserve"> and </w:t>
      </w:r>
      <w:r>
        <w:rPr>
          <w:kern w:val="0"/>
        </w:rPr>
        <w:t>their determining factors;</w:t>
      </w:r>
      <w:r w:rsidR="005853A9">
        <w:rPr>
          <w:kern w:val="0"/>
        </w:rPr>
        <w:t xml:space="preserve"> and </w:t>
      </w:r>
      <w:r>
        <w:rPr>
          <w:kern w:val="0"/>
        </w:rPr>
        <w:t>to concentrate on</w:t>
      </w:r>
      <w:r w:rsidR="003A1917">
        <w:rPr>
          <w:kern w:val="0"/>
        </w:rPr>
        <w:t xml:space="preserve"> the </w:t>
      </w:r>
      <w:r>
        <w:rPr>
          <w:kern w:val="0"/>
        </w:rPr>
        <w:t>impact</w:t>
      </w:r>
      <w:r w:rsidR="00427468">
        <w:rPr>
          <w:kern w:val="0"/>
        </w:rPr>
        <w:t xml:space="preserve"> of </w:t>
      </w:r>
      <w:r>
        <w:rPr>
          <w:kern w:val="0"/>
        </w:rPr>
        <w:t>practice on higher cognitive functions, such as working memory,</w:t>
      </w:r>
      <w:r w:rsidR="005853A9">
        <w:rPr>
          <w:kern w:val="0"/>
        </w:rPr>
        <w:t xml:space="preserve"> and </w:t>
      </w:r>
      <w:r>
        <w:rPr>
          <w:kern w:val="0"/>
        </w:rPr>
        <w:t xml:space="preserve">present some preliminary but promising behavioral data that show how practice </w:t>
      </w:r>
      <w:r>
        <w:rPr>
          <w:kern w:val="0"/>
        </w:rPr>
        <w:lastRenderedPageBreak/>
        <w:t>on a complex cognitive task can benefit cognitive functioning more generally. Data Sources: We performed a systematic search for peer-reviewed journal articles using computerized databases (</w:t>
      </w:r>
      <w:r w:rsidR="002C12F0">
        <w:rPr>
          <w:kern w:val="0"/>
        </w:rPr>
        <w:t>PUBMED</w:t>
      </w:r>
      <w:r>
        <w:rPr>
          <w:kern w:val="0"/>
        </w:rPr>
        <w:t xml:space="preserv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PsycINFO). Data Selection: Neuroimaging studies using functional magnetic resonance imaging (fMRI) or positron-emission tomography (PET) to examine functional activation changes as a result</w:t>
      </w:r>
      <w:r w:rsidR="00427468">
        <w:rPr>
          <w:kern w:val="0"/>
        </w:rPr>
        <w:t xml:space="preserve"> of </w:t>
      </w:r>
      <w:r>
        <w:rPr>
          <w:kern w:val="0"/>
        </w:rPr>
        <w:t>practice on sensory, motor, or cognitive tasks in normal (healthy) populations were included in</w:t>
      </w:r>
      <w:r w:rsidR="003A1917">
        <w:rPr>
          <w:kern w:val="0"/>
        </w:rPr>
        <w:t xml:space="preserve"> the </w:t>
      </w:r>
      <w:r>
        <w:rPr>
          <w:kern w:val="0"/>
        </w:rPr>
        <w:t>review. Further studies were identified that examined</w:t>
      </w:r>
      <w:r w:rsidR="003A1917">
        <w:rPr>
          <w:kern w:val="0"/>
        </w:rPr>
        <w:t xml:space="preserve"> the </w:t>
      </w:r>
      <w:r>
        <w:rPr>
          <w:kern w:val="0"/>
        </w:rPr>
        <w:t>effects</w:t>
      </w:r>
      <w:r w:rsidR="00427468">
        <w:rPr>
          <w:kern w:val="0"/>
        </w:rPr>
        <w:t xml:space="preserve"> of </w:t>
      </w:r>
      <w:r>
        <w:rPr>
          <w:kern w:val="0"/>
        </w:rPr>
        <w:t>rehabilitative training on functional activations in clinical populations using fMRI or PET. Data Extraction: Important characteristics</w:t>
      </w:r>
      <w:r w:rsidR="00427468">
        <w:rPr>
          <w:kern w:val="0"/>
        </w:rPr>
        <w:t xml:space="preserve"> of </w:t>
      </w:r>
      <w:r w:rsidR="003A1917">
        <w:rPr>
          <w:kern w:val="0"/>
        </w:rPr>
        <w:t xml:space="preserve">the </w:t>
      </w:r>
      <w:r>
        <w:rPr>
          <w:kern w:val="0"/>
        </w:rPr>
        <w:t>selected studies were summarized in a systematic manner so to enable</w:t>
      </w:r>
      <w:r w:rsidR="003A1917">
        <w:rPr>
          <w:kern w:val="0"/>
        </w:rPr>
        <w:t xml:space="preserve"> the </w:t>
      </w:r>
      <w:r>
        <w:rPr>
          <w:kern w:val="0"/>
        </w:rPr>
        <w:t>extraction</w:t>
      </w:r>
      <w:r w:rsidR="00427468">
        <w:rPr>
          <w:kern w:val="0"/>
        </w:rPr>
        <w:t xml:space="preserve"> of </w:t>
      </w:r>
      <w:r>
        <w:rPr>
          <w:kern w:val="0"/>
        </w:rPr>
        <w:t>specific factors impacting on</w:t>
      </w:r>
      <w:r w:rsidR="003A1917">
        <w:rPr>
          <w:kern w:val="0"/>
        </w:rPr>
        <w:t xml:space="preserve"> the </w:t>
      </w:r>
      <w:r>
        <w:rPr>
          <w:kern w:val="0"/>
        </w:rPr>
        <w:t>pattern</w:t>
      </w:r>
      <w:r w:rsidR="00427468">
        <w:rPr>
          <w:kern w:val="0"/>
        </w:rPr>
        <w:t xml:space="preserve"> of </w:t>
      </w:r>
      <w:r>
        <w:rPr>
          <w:kern w:val="0"/>
        </w:rPr>
        <w:t>practice effects observed. Data Synthesis: We identified a number</w:t>
      </w:r>
      <w:r w:rsidR="00427468">
        <w:rPr>
          <w:kern w:val="0"/>
        </w:rPr>
        <w:t xml:space="preserve"> of </w:t>
      </w:r>
      <w:r>
        <w:rPr>
          <w:kern w:val="0"/>
        </w:rPr>
        <w:t>factors that impact on</w:t>
      </w:r>
      <w:r w:rsidR="003A1917">
        <w:rPr>
          <w:kern w:val="0"/>
        </w:rPr>
        <w:t xml:space="preserve"> the </w:t>
      </w:r>
      <w:r>
        <w:rPr>
          <w:kern w:val="0"/>
        </w:rPr>
        <w:t>patterns</w:t>
      </w:r>
      <w:r w:rsidR="00427468">
        <w:rPr>
          <w:kern w:val="0"/>
        </w:rPr>
        <w:t xml:space="preserve"> of </w:t>
      </w:r>
      <w:r>
        <w:rPr>
          <w:kern w:val="0"/>
        </w:rPr>
        <w:t>practice effects observed</w:t>
      </w:r>
      <w:r w:rsidR="005853A9">
        <w:rPr>
          <w:kern w:val="0"/>
        </w:rPr>
        <w:t xml:space="preserve"> and </w:t>
      </w:r>
      <w:r>
        <w:rPr>
          <w:kern w:val="0"/>
        </w:rPr>
        <w:t>discuss how</w:t>
      </w:r>
      <w:r w:rsidR="003A1917">
        <w:rPr>
          <w:kern w:val="0"/>
        </w:rPr>
        <w:t xml:space="preserve"> the </w:t>
      </w:r>
      <w:r>
        <w:rPr>
          <w:kern w:val="0"/>
        </w:rPr>
        <w:t>insights gained from</w:t>
      </w:r>
      <w:r w:rsidR="003A1917">
        <w:rPr>
          <w:kern w:val="0"/>
        </w:rPr>
        <w:t xml:space="preserve"> the </w:t>
      </w:r>
      <w:r>
        <w:rPr>
          <w:kern w:val="0"/>
        </w:rPr>
        <w:t>study</w:t>
      </w:r>
      <w:r w:rsidR="00427468">
        <w:rPr>
          <w:kern w:val="0"/>
        </w:rPr>
        <w:t xml:space="preserve"> of </w:t>
      </w:r>
      <w:r>
        <w:rPr>
          <w:kern w:val="0"/>
        </w:rPr>
        <w:t>healthy populations can by applied to rehabilitation</w:t>
      </w:r>
      <w:r w:rsidR="00427468">
        <w:rPr>
          <w:kern w:val="0"/>
        </w:rPr>
        <w:t xml:space="preserve"> of </w:t>
      </w:r>
      <w:r>
        <w:rPr>
          <w:kern w:val="0"/>
        </w:rPr>
        <w:t>cognitive deficits in clinical populations. Conclusions: Progress in our understanding</w:t>
      </w:r>
      <w:r w:rsidR="00427468">
        <w:rPr>
          <w:kern w:val="0"/>
        </w:rPr>
        <w:t xml:space="preserve"> of </w:t>
      </w:r>
      <w:r>
        <w:rPr>
          <w:kern w:val="0"/>
        </w:rPr>
        <w:t>neurorehabilitative plasticity will be enabled by neuroimaging examinations</w:t>
      </w:r>
      <w:r w:rsidR="00427468">
        <w:rPr>
          <w:kern w:val="0"/>
        </w:rPr>
        <w:t xml:space="preserve"> of </w:t>
      </w:r>
      <w:r>
        <w:rPr>
          <w:kern w:val="0"/>
        </w:rPr>
        <w:t>cognitive rehabilitation training grounded in a knowledge</w:t>
      </w:r>
      <w:r w:rsidR="00427468">
        <w:rPr>
          <w:kern w:val="0"/>
        </w:rPr>
        <w:t xml:space="preserve"> of </w:t>
      </w:r>
      <w:r>
        <w:rPr>
          <w:kern w:val="0"/>
        </w:rPr>
        <w:t>normal (healthy) patterns</w:t>
      </w:r>
      <w:r w:rsidR="00427468">
        <w:rPr>
          <w:kern w:val="0"/>
        </w:rPr>
        <w:t xml:space="preserve"> of </w:t>
      </w:r>
      <w:r>
        <w:rPr>
          <w:kern w:val="0"/>
        </w:rPr>
        <w:t>brain activation</w:t>
      </w:r>
      <w:r w:rsidR="005853A9">
        <w:rPr>
          <w:kern w:val="0"/>
        </w:rPr>
        <w:t xml:space="preserve"> and </w:t>
      </w:r>
      <w:r>
        <w:rPr>
          <w:kern w:val="0"/>
        </w:rPr>
        <w:t>practice-induced plasticity.</w:t>
      </w:r>
    </w:p>
    <w:p w:rsidR="008B4CD5" w:rsidRDefault="008B4CD5" w:rsidP="008B4CD5">
      <w:pPr>
        <w:pStyle w:val="a3"/>
        <w:rPr>
          <w:kern w:val="0"/>
        </w:rPr>
      </w:pPr>
      <w:r>
        <w:rPr>
          <w:kern w:val="0"/>
        </w:rPr>
        <w:t>Keywords: Attention-Deficit, Hyperactivity Disorder, Brain, Conditional Oculomotor Associations, Databases, Extraction, FMRI, Functional, Functional Magnetic Resonance Imaging, Functional MRI, General Fluid Intelligence, Human, Imaging, Impact</w:t>
      </w:r>
      <w:r w:rsidR="00D5664A">
        <w:rPr>
          <w:kern w:val="0"/>
        </w:rPr>
        <w:t>, ISI,</w:t>
      </w:r>
      <w:r>
        <w:rPr>
          <w:kern w:val="0"/>
        </w:rPr>
        <w:t xml:space="preserve"> Journal, Knowledge, Literature, Magnetic Resonance Imaging, Memory, Neuronal Plasticity, Normal, Obsessive-Compulsive Disorder, Overview, Pet, Practice, Prefrontal Cortex, Primary Motor Cortex, </w:t>
      </w:r>
      <w:r w:rsidR="002C12F0">
        <w:rPr>
          <w:kern w:val="0"/>
        </w:rPr>
        <w:t>PUBMED</w:t>
      </w:r>
      <w:r>
        <w:rPr>
          <w:kern w:val="0"/>
        </w:rPr>
        <w:t xml:space="preserve">, Rehabilitation, Response-Inhibition, Review, Science, Sources, Supplementary Eye Field, Systematic, Training, </w:t>
      </w:r>
      <w:r w:rsidR="00D5664A">
        <w:rPr>
          <w:kern w:val="0"/>
        </w:rPr>
        <w:t>Web</w:t>
      </w:r>
      <w:r w:rsidR="00427468">
        <w:rPr>
          <w:kern w:val="0"/>
        </w:rPr>
        <w:t xml:space="preserve"> of </w:t>
      </w:r>
      <w:r w:rsidR="00D5664A">
        <w:rPr>
          <w:kern w:val="0"/>
        </w:rPr>
        <w:t>Science</w:t>
      </w:r>
      <w:r>
        <w:rPr>
          <w:kern w:val="0"/>
        </w:rPr>
        <w:t>, Working-Memory Capacity</w:t>
      </w:r>
    </w:p>
    <w:p w:rsidR="002336E9" w:rsidRPr="001A3D2B" w:rsidRDefault="002336E9" w:rsidP="002336E9">
      <w:pPr>
        <w:pStyle w:val="a3"/>
      </w:pPr>
      <w:r w:rsidRPr="001A3D2B">
        <w:t xml:space="preserve">? </w:t>
      </w:r>
      <w:r>
        <w:t>Wayne</w:t>
      </w:r>
      <w:r>
        <w:rPr>
          <w:rFonts w:hint="eastAsia"/>
        </w:rPr>
        <w:t>,</w:t>
      </w:r>
      <w:r>
        <w:t xml:space="preserve"> P</w:t>
      </w:r>
      <w:r>
        <w:rPr>
          <w:rFonts w:hint="eastAsia"/>
        </w:rPr>
        <w:t>.</w:t>
      </w:r>
      <w:r>
        <w:t>M</w:t>
      </w:r>
      <w:r>
        <w:rPr>
          <w:rFonts w:hint="eastAsia"/>
        </w:rPr>
        <w:t>.,</w:t>
      </w:r>
      <w:r>
        <w:t xml:space="preserve"> Kiel</w:t>
      </w:r>
      <w:r>
        <w:rPr>
          <w:rFonts w:hint="eastAsia"/>
        </w:rPr>
        <w:t>,</w:t>
      </w:r>
      <w:r>
        <w:t xml:space="preserve"> D</w:t>
      </w:r>
      <w:r>
        <w:rPr>
          <w:rFonts w:hint="eastAsia"/>
        </w:rPr>
        <w:t>.</w:t>
      </w:r>
      <w:r>
        <w:t>P</w:t>
      </w:r>
      <w:r>
        <w:rPr>
          <w:rFonts w:hint="eastAsia"/>
        </w:rPr>
        <w:t>.,</w:t>
      </w:r>
      <w:r>
        <w:t xml:space="preserve"> Krebs</w:t>
      </w:r>
      <w:r>
        <w:rPr>
          <w:rFonts w:hint="eastAsia"/>
        </w:rPr>
        <w:t>,</w:t>
      </w:r>
      <w:r>
        <w:t xml:space="preserve"> D</w:t>
      </w:r>
      <w:r>
        <w:rPr>
          <w:rFonts w:hint="eastAsia"/>
        </w:rPr>
        <w:t>.</w:t>
      </w:r>
      <w:r>
        <w:t>E</w:t>
      </w:r>
      <w:r>
        <w:rPr>
          <w:rFonts w:hint="eastAsia"/>
        </w:rPr>
        <w:t>.,</w:t>
      </w:r>
      <w:r>
        <w:t xml:space="preserve"> Davis</w:t>
      </w:r>
      <w:r>
        <w:rPr>
          <w:rFonts w:hint="eastAsia"/>
        </w:rPr>
        <w:t>,</w:t>
      </w:r>
      <w:r>
        <w:t xml:space="preserve"> R</w:t>
      </w:r>
      <w:r>
        <w:rPr>
          <w:rFonts w:hint="eastAsia"/>
        </w:rPr>
        <w:t>.</w:t>
      </w:r>
      <w:r>
        <w:t>B</w:t>
      </w:r>
      <w:r>
        <w:rPr>
          <w:rFonts w:hint="eastAsia"/>
        </w:rPr>
        <w:t>.,</w:t>
      </w:r>
      <w:r>
        <w:t xml:space="preserve"> Savetsky-German</w:t>
      </w:r>
      <w:r>
        <w:rPr>
          <w:rFonts w:hint="eastAsia"/>
        </w:rPr>
        <w:t>,</w:t>
      </w:r>
      <w:r>
        <w:t xml:space="preserve"> J</w:t>
      </w:r>
      <w:r>
        <w:rPr>
          <w:rFonts w:hint="eastAsia"/>
        </w:rPr>
        <w:t>.,</w:t>
      </w:r>
      <w:r>
        <w:t xml:space="preserve"> Connelly</w:t>
      </w:r>
      <w:r>
        <w:rPr>
          <w:rFonts w:hint="eastAsia"/>
        </w:rPr>
        <w:t>,</w:t>
      </w:r>
      <w:r>
        <w:t xml:space="preserve"> M</w:t>
      </w:r>
      <w:r>
        <w:rPr>
          <w:rFonts w:hint="eastAsia"/>
        </w:rPr>
        <w:t>.</w:t>
      </w:r>
      <w:r w:rsidR="005853A9">
        <w:rPr>
          <w:rFonts w:hint="eastAsia"/>
        </w:rPr>
        <w:t xml:space="preserve"> and </w:t>
      </w:r>
      <w:r>
        <w:t>Buring</w:t>
      </w:r>
      <w:r>
        <w:rPr>
          <w:rFonts w:hint="eastAsia"/>
        </w:rPr>
        <w:t>,</w:t>
      </w:r>
      <w:r>
        <w:t xml:space="preserve"> J</w:t>
      </w:r>
      <w:r>
        <w:rPr>
          <w:rFonts w:hint="eastAsia"/>
        </w:rPr>
        <w:t>.</w:t>
      </w:r>
      <w:r>
        <w:t>E</w:t>
      </w:r>
      <w:r>
        <w:rPr>
          <w:rFonts w:hint="eastAsia"/>
        </w:rPr>
        <w:t>.</w:t>
      </w:r>
      <w:r>
        <w:t xml:space="preserve"> (200</w:t>
      </w:r>
      <w:r>
        <w:rPr>
          <w:rFonts w:hint="eastAsia"/>
        </w:rPr>
        <w:t>7</w:t>
      </w:r>
      <w:r w:rsidR="00F42EAC">
        <w:t>), The</w:t>
      </w:r>
      <w:r w:rsidR="003A1917">
        <w:t xml:space="preserve"> </w:t>
      </w:r>
      <w:r>
        <w:t>effects</w:t>
      </w:r>
      <w:r w:rsidR="00427468">
        <w:t xml:space="preserve"> of </w:t>
      </w:r>
      <w:r>
        <w:t>Tai Chi on bone mineral density in postmenopa</w:t>
      </w:r>
      <w:r w:rsidR="00D5664A">
        <w:t>USA</w:t>
      </w:r>
      <w:r>
        <w:t>l women: A systematic review</w:t>
      </w:r>
      <w:r>
        <w:rPr>
          <w:rFonts w:hint="eastAsia"/>
        </w:rPr>
        <w:t>.</w:t>
      </w:r>
      <w:r w:rsidRPr="001A3D2B">
        <w:t xml:space="preserve"> </w:t>
      </w:r>
      <w:r w:rsidRPr="001A3D2B">
        <w:rPr>
          <w:i/>
        </w:rPr>
        <w:t>Archives</w:t>
      </w:r>
      <w:r w:rsidR="00427468">
        <w:rPr>
          <w:i/>
        </w:rPr>
        <w:t xml:space="preserve"> of </w:t>
      </w:r>
      <w:r w:rsidRPr="001A3D2B">
        <w:rPr>
          <w:i/>
        </w:rPr>
        <w:t>Physical Medicine</w:t>
      </w:r>
      <w:r w:rsidR="005853A9">
        <w:rPr>
          <w:i/>
        </w:rPr>
        <w:t xml:space="preserve"> and </w:t>
      </w:r>
      <w:r w:rsidRPr="001A3D2B">
        <w:rPr>
          <w:i/>
        </w:rPr>
        <w:t>Rehabilitation</w:t>
      </w:r>
      <w:r w:rsidRPr="001A3D2B">
        <w:t xml:space="preserve">, </w:t>
      </w:r>
      <w:r w:rsidRPr="001A3D2B">
        <w:rPr>
          <w:b/>
          <w:bCs/>
        </w:rPr>
        <w:t>8</w:t>
      </w:r>
      <w:r>
        <w:rPr>
          <w:rFonts w:hint="eastAsia"/>
          <w:b/>
          <w:bCs/>
        </w:rPr>
        <w:t>8</w:t>
      </w:r>
      <w:r w:rsidRPr="001A3D2B">
        <w:t xml:space="preserve"> (</w:t>
      </w:r>
      <w:r>
        <w:rPr>
          <w:rFonts w:hint="eastAsia"/>
        </w:rPr>
        <w:t>5</w:t>
      </w:r>
      <w:r w:rsidRPr="001A3D2B">
        <w:t xml:space="preserve">), </w:t>
      </w:r>
      <w:r>
        <w:t>673-680</w:t>
      </w:r>
      <w:r w:rsidRPr="001A3D2B">
        <w:t>.</w:t>
      </w:r>
    </w:p>
    <w:p w:rsidR="002336E9" w:rsidRDefault="002336E9" w:rsidP="002336E9">
      <w:pPr>
        <w:pStyle w:val="a3"/>
      </w:pPr>
      <w:r w:rsidRPr="001A3D2B">
        <w:t xml:space="preserve">Full Text: </w:t>
      </w:r>
      <w:hyperlink r:id="rId1169" w:history="1">
        <w:r w:rsidRPr="002336E9">
          <w:rPr>
            <w:rStyle w:val="a5"/>
          </w:rPr>
          <w:t>2007\Arc Phy Med Reh88, 673.pdf</w:t>
        </w:r>
      </w:hyperlink>
    </w:p>
    <w:p w:rsidR="002336E9" w:rsidRDefault="002336E9" w:rsidP="002336E9">
      <w:pPr>
        <w:pStyle w:val="a3"/>
      </w:pPr>
      <w:r>
        <w:t>Abstract: Objective: To evaluate</w:t>
      </w:r>
      <w:r w:rsidR="003A1917">
        <w:t xml:space="preserve"> the </w:t>
      </w:r>
      <w:r>
        <w:t>evidence for Tai Chi as an intervention to reduce rate</w:t>
      </w:r>
      <w:r w:rsidR="00427468">
        <w:t xml:space="preserve"> of </w:t>
      </w:r>
      <w:r>
        <w:t>bone loss in postmenopa</w:t>
      </w:r>
      <w:r w:rsidR="00D5664A">
        <w:t>USA</w:t>
      </w:r>
      <w:r>
        <w:t>l women.</w:t>
      </w:r>
    </w:p>
    <w:p w:rsidR="002336E9" w:rsidRDefault="002336E9" w:rsidP="002336E9">
      <w:pPr>
        <w:pStyle w:val="a3"/>
      </w:pPr>
      <w:r>
        <w:t xml:space="preserve">Data Sources: Literature search using </w:t>
      </w:r>
      <w:r w:rsidR="00D5664A">
        <w:t>MEDLINE</w:t>
      </w:r>
      <w:r>
        <w:t>, Science Citation Index, Cochrane databases, China Biological Medicine Database,</w:t>
      </w:r>
      <w:r w:rsidR="005853A9">
        <w:t xml:space="preserve"> and </w:t>
      </w:r>
      <w:r>
        <w:t>additional manual reference searches</w:t>
      </w:r>
      <w:r w:rsidR="00427468">
        <w:t xml:space="preserve"> of </w:t>
      </w:r>
      <w:r>
        <w:t>retrieved articles</w:t>
      </w:r>
      <w:r w:rsidR="005853A9">
        <w:t xml:space="preserve"> and </w:t>
      </w:r>
      <w:r>
        <w:t>personal libraries.</w:t>
      </w:r>
    </w:p>
    <w:p w:rsidR="002336E9" w:rsidRDefault="002336E9" w:rsidP="002336E9">
      <w:pPr>
        <w:pStyle w:val="a3"/>
      </w:pPr>
      <w:r>
        <w:t>Study Selection: Randomized controlled trials (RCTs), prospective cohort studies,</w:t>
      </w:r>
      <w:r w:rsidR="005853A9">
        <w:t xml:space="preserve"> and </w:t>
      </w:r>
      <w:r>
        <w:t>cross-sectional studies that included Tai Chi as an intervention,</w:t>
      </w:r>
      <w:r w:rsidR="005853A9">
        <w:t xml:space="preserve"> and </w:t>
      </w:r>
      <w:r>
        <w:t>had at least 1 outcome related to measurement</w:t>
      </w:r>
      <w:r w:rsidR="00427468">
        <w:t xml:space="preserve"> of </w:t>
      </w:r>
      <w:r>
        <w:t>bone mineral density (BMD).</w:t>
      </w:r>
    </w:p>
    <w:p w:rsidR="002336E9" w:rsidRDefault="002336E9" w:rsidP="002336E9">
      <w:pPr>
        <w:pStyle w:val="a3"/>
      </w:pPr>
      <w:r>
        <w:lastRenderedPageBreak/>
        <w:t>Data Extraction: Authors critically reviewed studies, evaluated methodologic quality,</w:t>
      </w:r>
      <w:r w:rsidR="005853A9">
        <w:t xml:space="preserve"> and </w:t>
      </w:r>
      <w:r>
        <w:t>synthesized study results in a summary table.</w:t>
      </w:r>
    </w:p>
    <w:p w:rsidR="002336E9" w:rsidRDefault="002336E9" w:rsidP="002336E9">
      <w:pPr>
        <w:pStyle w:val="a3"/>
      </w:pPr>
      <w:r>
        <w:t>Data Synthesis: Six controlled studies were identified by our search</w:t>
      </w:r>
      <w:r w:rsidR="00A37C1D">
        <w:t>. The</w:t>
      </w:r>
      <w:r>
        <w:t>re were 2 RCTs, 2 nonrandomized prospective parallel cohort studies,</w:t>
      </w:r>
      <w:r w:rsidR="005853A9">
        <w:t xml:space="preserve"> and </w:t>
      </w:r>
      <w:r>
        <w:t>2 cross-sectional studies</w:t>
      </w:r>
      <w:r w:rsidR="00A37C1D">
        <w:t>. The</w:t>
      </w:r>
      <w:r w:rsidR="003A1917">
        <w:t xml:space="preserve"> </w:t>
      </w:r>
      <w:r>
        <w:t>2 RCTs</w:t>
      </w:r>
      <w:r w:rsidR="005853A9">
        <w:t xml:space="preserve"> and </w:t>
      </w:r>
      <w:r>
        <w:t>1</w:t>
      </w:r>
      <w:r w:rsidR="00427468">
        <w:t xml:space="preserve"> of </w:t>
      </w:r>
      <w:r w:rsidR="003A1917">
        <w:t xml:space="preserve">the </w:t>
      </w:r>
      <w:r>
        <w:t>prospective cohort studies suggested that Tai Chi-naive women who participated in Tai Chi training exhibited reduced rates</w:t>
      </w:r>
      <w:r w:rsidR="00427468">
        <w:t xml:space="preserve"> of </w:t>
      </w:r>
      <w:r>
        <w:t>postmenopa</w:t>
      </w:r>
      <w:r w:rsidR="00D5664A">
        <w:t>USA</w:t>
      </w:r>
      <w:r>
        <w:t>l declines in BMD. Crosssectional studies suggested that long-term Tai Chi practitioners had higher BMD than age-matched sedentary controls,</w:t>
      </w:r>
      <w:r w:rsidR="005853A9">
        <w:t xml:space="preserve"> and </w:t>
      </w:r>
      <w:r>
        <w:t>had slower rates</w:t>
      </w:r>
      <w:r w:rsidR="00427468">
        <w:t xml:space="preserve"> of </w:t>
      </w:r>
      <w:r>
        <w:t>postmenopa</w:t>
      </w:r>
      <w:r w:rsidR="00D5664A">
        <w:t>USA</w:t>
      </w:r>
      <w:r>
        <w:t>l BMD decline. No adverse effects related to Tai Chi were reported in any trial.</w:t>
      </w:r>
    </w:p>
    <w:p w:rsidR="002336E9" w:rsidRDefault="002336E9" w:rsidP="002336E9">
      <w:pPr>
        <w:pStyle w:val="a3"/>
      </w:pPr>
      <w:r>
        <w:t>Conclusions: Conclusions on</w:t>
      </w:r>
      <w:r w:rsidR="003A1917">
        <w:t xml:space="preserve"> the </w:t>
      </w:r>
      <w:r>
        <w:t>impact</w:t>
      </w:r>
      <w:r w:rsidR="00427468">
        <w:t xml:space="preserve"> of </w:t>
      </w:r>
      <w:r>
        <w:t>Tai Chi on BMD are limited by</w:t>
      </w:r>
      <w:r w:rsidR="003A1917">
        <w:t xml:space="preserve"> the </w:t>
      </w:r>
      <w:r>
        <w:t>quantity</w:t>
      </w:r>
      <w:r w:rsidR="005853A9">
        <w:t xml:space="preserve"> and </w:t>
      </w:r>
      <w:r>
        <w:t>quality</w:t>
      </w:r>
      <w:r w:rsidR="00427468">
        <w:t xml:space="preserve"> of </w:t>
      </w:r>
      <w:r>
        <w:t>research to date. This limited evidence suggests Tai Chi may be an effective, safe,</w:t>
      </w:r>
      <w:r w:rsidR="005853A9">
        <w:t xml:space="preserve"> and </w:t>
      </w:r>
      <w:r>
        <w:t>practical intervention for maintaining BMD in postmenopa</w:t>
      </w:r>
      <w:r w:rsidR="00D5664A">
        <w:t>USA</w:t>
      </w:r>
      <w:r>
        <w:t>l women. In combination with research that indicates Tai Chi can positively impact other risk factors associated with low BMD (eg, reduced fall frequency, increased musculoskeletal strength), further methodologically sound research is warranted to better evaluate</w:t>
      </w:r>
      <w:r w:rsidR="003A1917">
        <w:t xml:space="preserve"> the </w:t>
      </w:r>
      <w:r>
        <w:t>impact</w:t>
      </w:r>
      <w:r w:rsidR="00427468">
        <w:t xml:space="preserve"> of </w:t>
      </w:r>
      <w:r>
        <w:t>Tai Chi practice on BNID</w:t>
      </w:r>
      <w:r w:rsidR="005853A9">
        <w:t xml:space="preserve"> and </w:t>
      </w:r>
      <w:r>
        <w:t>fracture risk in postmenopa</w:t>
      </w:r>
      <w:r w:rsidR="00D5664A">
        <w:t>USA</w:t>
      </w:r>
      <w:r>
        <w:t>l women.</w:t>
      </w:r>
    </w:p>
    <w:p w:rsidR="002336E9" w:rsidRPr="001A3D2B" w:rsidRDefault="002336E9" w:rsidP="002336E9">
      <w:pPr>
        <w:pStyle w:val="a3"/>
      </w:pPr>
      <w:r>
        <w:t>Keywords: Bone Mineral Density, Exercise, Osteopenia, Osteoporosis, Rehabilitation, Tai Chi, Quality</w:t>
      </w:r>
      <w:r w:rsidR="00434900">
        <w:t>-of-</w:t>
      </w:r>
      <w:r>
        <w:t>Life, Osteoporotic Fractures, Older-Adults, Cardiorespiratory Function, Rheumatoid-Arthritis, Chuan Practitioners, Postural Stability, Aerobic Exercise, Controlled-Trial, Balance</w:t>
      </w:r>
    </w:p>
    <w:p w:rsidR="008B4CD5" w:rsidRDefault="008B4CD5" w:rsidP="008B4CD5">
      <w:pPr>
        <w:pStyle w:val="a3"/>
        <w:rPr>
          <w:kern w:val="0"/>
        </w:rPr>
      </w:pPr>
      <w:r>
        <w:rPr>
          <w:rFonts w:hint="eastAsia"/>
          <w:kern w:val="0"/>
        </w:rPr>
        <w:t xml:space="preserve">? </w:t>
      </w:r>
      <w:r>
        <w:rPr>
          <w:kern w:val="0"/>
        </w:rPr>
        <w:t>Myburgh, C., Larsen, A.H.</w:t>
      </w:r>
      <w:r w:rsidR="005853A9">
        <w:rPr>
          <w:kern w:val="0"/>
        </w:rPr>
        <w:t xml:space="preserve"> and </w:t>
      </w:r>
      <w:r>
        <w:rPr>
          <w:kern w:val="0"/>
        </w:rPr>
        <w:t>Hartvigsen, J. (2008), A systematic, critical review</w:t>
      </w:r>
      <w:r w:rsidR="00427468">
        <w:rPr>
          <w:kern w:val="0"/>
        </w:rPr>
        <w:t xml:space="preserve"> of </w:t>
      </w:r>
      <w:r>
        <w:rPr>
          <w:kern w:val="0"/>
        </w:rPr>
        <w:t>manual palpation for identifying myofascial trigger points: Evidence</w:t>
      </w:r>
      <w:r w:rsidR="005853A9">
        <w:rPr>
          <w:kern w:val="0"/>
        </w:rPr>
        <w:t xml:space="preserve"> and </w:t>
      </w:r>
      <w:r>
        <w:rPr>
          <w:kern w:val="0"/>
        </w:rPr>
        <w:t xml:space="preserve">clinical significance.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89</w:t>
      </w:r>
      <w:r>
        <w:rPr>
          <w:kern w:val="0"/>
        </w:rPr>
        <w:t xml:space="preserve"> (6), 1169-1176.</w:t>
      </w:r>
    </w:p>
    <w:p w:rsidR="003348ED" w:rsidRPr="001A3D2B" w:rsidRDefault="003348ED" w:rsidP="003348ED">
      <w:pPr>
        <w:pStyle w:val="a3"/>
      </w:pPr>
      <w:r w:rsidRPr="001A3D2B">
        <w:t xml:space="preserve">Full Text: </w:t>
      </w:r>
      <w:hyperlink r:id="rId1170" w:history="1">
        <w:r w:rsidRPr="00121F90">
          <w:rPr>
            <w:rStyle w:val="a5"/>
          </w:rPr>
          <w:t>2008\Arc Phy Med Reh89, 1169.pdf</w:t>
        </w:r>
      </w:hyperlink>
    </w:p>
    <w:p w:rsidR="008B4CD5" w:rsidRDefault="008B4CD5" w:rsidP="008B4CD5">
      <w:pPr>
        <w:pStyle w:val="a3"/>
        <w:rPr>
          <w:kern w:val="0"/>
        </w:rPr>
      </w:pPr>
      <w:r>
        <w:rPr>
          <w:kern w:val="0"/>
        </w:rPr>
        <w:t>Abstract: Objective: To determine</w:t>
      </w:r>
      <w:r w:rsidR="003A1917">
        <w:rPr>
          <w:kern w:val="0"/>
        </w:rPr>
        <w:t xml:space="preserve"> the </w:t>
      </w:r>
      <w:r>
        <w:rPr>
          <w:kern w:val="0"/>
        </w:rPr>
        <w:t>reproducibility</w:t>
      </w:r>
      <w:r w:rsidR="00427468">
        <w:rPr>
          <w:kern w:val="0"/>
        </w:rPr>
        <w:t xml:space="preserve"> of </w:t>
      </w:r>
      <w:r>
        <w:rPr>
          <w:kern w:val="0"/>
        </w:rPr>
        <w:t>manual palpation in identifying trigger points based on a systematic review</w:t>
      </w:r>
      <w:r w:rsidR="00427468">
        <w:rPr>
          <w:kern w:val="0"/>
        </w:rPr>
        <w:t xml:space="preserve"> of </w:t>
      </w:r>
      <w:r>
        <w:rPr>
          <w:kern w:val="0"/>
        </w:rPr>
        <w:t xml:space="preserve">available literature. Data Sources: </w:t>
      </w:r>
      <w:r w:rsidR="00D5664A">
        <w:rPr>
          <w:kern w:val="0"/>
        </w:rPr>
        <w:t>MEDLINE</w:t>
      </w:r>
      <w:r>
        <w:rPr>
          <w:kern w:val="0"/>
        </w:rPr>
        <w:t xml:space="preserve"> (1965-2007), CINHAL (1982-2007),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(1945-2007),</w:t>
      </w:r>
      <w:r w:rsidR="005853A9">
        <w:rPr>
          <w:kern w:val="0"/>
        </w:rPr>
        <w:t xml:space="preserve"> and </w:t>
      </w:r>
      <w:r>
        <w:rPr>
          <w:kern w:val="0"/>
        </w:rPr>
        <w:t>MANTIS (1966-2007) databases</w:t>
      </w:r>
      <w:r w:rsidR="005853A9">
        <w:rPr>
          <w:kern w:val="0"/>
        </w:rPr>
        <w:t xml:space="preserve"> and </w:t>
      </w:r>
      <w:r>
        <w:rPr>
          <w:kern w:val="0"/>
        </w:rPr>
        <w:t>reference lists</w:t>
      </w:r>
      <w:r w:rsidR="00427468">
        <w:rPr>
          <w:kern w:val="0"/>
        </w:rPr>
        <w:t xml:space="preserve"> of </w:t>
      </w:r>
      <w:r>
        <w:rPr>
          <w:kern w:val="0"/>
        </w:rPr>
        <w:t>articles. Study Selection: Reproducibility studies relating to identification</w:t>
      </w:r>
      <w:r w:rsidR="005853A9">
        <w:rPr>
          <w:kern w:val="0"/>
        </w:rPr>
        <w:t xml:space="preserve"> and </w:t>
      </w:r>
      <w:r>
        <w:rPr>
          <w:kern w:val="0"/>
        </w:rPr>
        <w:t>diagnosis</w:t>
      </w:r>
      <w:r w:rsidR="00427468">
        <w:rPr>
          <w:kern w:val="0"/>
        </w:rPr>
        <w:t xml:space="preserve"> of </w:t>
      </w:r>
      <w:r>
        <w:rPr>
          <w:kern w:val="0"/>
        </w:rPr>
        <w:t>trigger points through palpation. Acceptable studies were required to specifically consider either inter- or intrarater reliability</w:t>
      </w:r>
      <w:r w:rsidR="00427468">
        <w:rPr>
          <w:kern w:val="0"/>
        </w:rPr>
        <w:t xml:space="preserve"> of </w:t>
      </w:r>
      <w:r>
        <w:rPr>
          <w:kern w:val="0"/>
        </w:rPr>
        <w:t>trigger point identification through manual palpation</w:t>
      </w:r>
      <w:r w:rsidR="005853A9">
        <w:rPr>
          <w:kern w:val="0"/>
        </w:rPr>
        <w:t xml:space="preserve"> and </w:t>
      </w:r>
      <w:r>
        <w:rPr>
          <w:kern w:val="0"/>
        </w:rPr>
        <w:t>include K statistics as part</w:t>
      </w:r>
      <w:r w:rsidR="00427468">
        <w:rPr>
          <w:kern w:val="0"/>
        </w:rPr>
        <w:t xml:space="preserve"> of </w:t>
      </w:r>
      <w:r>
        <w:rPr>
          <w:kern w:val="0"/>
        </w:rPr>
        <w:t>their statistical assessment. Data Extraction: Three independent reviewers considered</w:t>
      </w:r>
      <w:r w:rsidR="003A1917">
        <w:rPr>
          <w:kern w:val="0"/>
        </w:rPr>
        <w:t xml:space="preserve"> the </w:t>
      </w:r>
      <w:r>
        <w:rPr>
          <w:kern w:val="0"/>
        </w:rPr>
        <w:t>studies for inclusion</w:t>
      </w:r>
      <w:r w:rsidR="005853A9">
        <w:rPr>
          <w:kern w:val="0"/>
        </w:rPr>
        <w:t xml:space="preserve"> and </w:t>
      </w:r>
      <w:r>
        <w:rPr>
          <w:kern w:val="0"/>
        </w:rPr>
        <w:t>rated their methodologic quality based on</w:t>
      </w:r>
      <w:r w:rsidR="003A1917">
        <w:rPr>
          <w:kern w:val="0"/>
        </w:rPr>
        <w:t xml:space="preserve"> the </w:t>
      </w:r>
      <w:r>
        <w:rPr>
          <w:kern w:val="0"/>
        </w:rPr>
        <w:t>Standards for Reporting</w:t>
      </w:r>
      <w:r w:rsidR="00427468">
        <w:rPr>
          <w:kern w:val="0"/>
        </w:rPr>
        <w:t xml:space="preserve"> of </w:t>
      </w:r>
      <w:r>
        <w:rPr>
          <w:kern w:val="0"/>
        </w:rPr>
        <w:t>Diagnostic Accuracy guidelines for</w:t>
      </w:r>
      <w:r w:rsidR="003A1917">
        <w:rPr>
          <w:kern w:val="0"/>
        </w:rPr>
        <w:t xml:space="preserve"> the </w:t>
      </w:r>
      <w:r>
        <w:rPr>
          <w:kern w:val="0"/>
        </w:rPr>
        <w:t>reporting</w:t>
      </w:r>
      <w:r w:rsidR="00427468">
        <w:rPr>
          <w:kern w:val="0"/>
        </w:rPr>
        <w:t xml:space="preserve"> of </w:t>
      </w:r>
      <w:r>
        <w:rPr>
          <w:kern w:val="0"/>
        </w:rPr>
        <w:t>diagnostic studies. Data Synthesis: Eleven studies were initially included; however, 5 were subsequently excluded based on</w:t>
      </w:r>
      <w:r w:rsidR="003A1917">
        <w:rPr>
          <w:kern w:val="0"/>
        </w:rPr>
        <w:t xml:space="preserve"> the </w:t>
      </w:r>
      <w:r>
        <w:rPr>
          <w:kern w:val="0"/>
        </w:rPr>
        <w:t>inclusion</w:t>
      </w:r>
      <w:r w:rsidR="005853A9">
        <w:rPr>
          <w:kern w:val="0"/>
        </w:rPr>
        <w:t xml:space="preserve"> and </w:t>
      </w:r>
      <w:r>
        <w:rPr>
          <w:kern w:val="0"/>
        </w:rPr>
        <w:t>exclusion criteria. Only 2 studies were judged to be</w:t>
      </w:r>
      <w:r w:rsidR="00427468">
        <w:rPr>
          <w:kern w:val="0"/>
        </w:rPr>
        <w:t xml:space="preserve"> of </w:t>
      </w:r>
      <w:r>
        <w:rPr>
          <w:kern w:val="0"/>
        </w:rPr>
        <w:t>high quality,</w:t>
      </w:r>
      <w:r w:rsidR="005853A9">
        <w:rPr>
          <w:kern w:val="0"/>
        </w:rPr>
        <w:t xml:space="preserve"> </w:t>
      </w:r>
      <w:r w:rsidR="005853A9">
        <w:rPr>
          <w:kern w:val="0"/>
        </w:rPr>
        <w:lastRenderedPageBreak/>
        <w:t xml:space="preserve">and </w:t>
      </w:r>
      <w:r w:rsidR="003A1917">
        <w:rPr>
          <w:kern w:val="0"/>
        </w:rPr>
        <w:t xml:space="preserve">the </w:t>
      </w:r>
      <w:r>
        <w:rPr>
          <w:kern w:val="0"/>
        </w:rPr>
        <w:t>level</w:t>
      </w:r>
      <w:r w:rsidR="00427468">
        <w:rPr>
          <w:kern w:val="0"/>
        </w:rPr>
        <w:t xml:space="preserve"> of </w:t>
      </w:r>
      <w:r>
        <w:rPr>
          <w:kern w:val="0"/>
        </w:rPr>
        <w:t>evidence criteria suggested that, at best, moderate evidence could be found from which to make pronouncements on</w:t>
      </w:r>
      <w:r w:rsidR="003A1917">
        <w:rPr>
          <w:kern w:val="0"/>
        </w:rPr>
        <w:t xml:space="preserve"> the </w:t>
      </w:r>
      <w:r>
        <w:rPr>
          <w:kern w:val="0"/>
        </w:rPr>
        <w:t>literature. Only local tenderness</w:t>
      </w:r>
      <w:r w:rsidR="00427468">
        <w:rPr>
          <w:kern w:val="0"/>
        </w:rPr>
        <w:t xml:space="preserve"> of </w:t>
      </w:r>
      <w:r w:rsidR="003A1917">
        <w:rPr>
          <w:kern w:val="0"/>
        </w:rPr>
        <w:t xml:space="preserve">the </w:t>
      </w:r>
      <w:r>
        <w:rPr>
          <w:kern w:val="0"/>
        </w:rPr>
        <w:t>trapezius (kappa range, .15-62)</w:t>
      </w:r>
      <w:r w:rsidR="005853A9">
        <w:rPr>
          <w:kern w:val="0"/>
        </w:rPr>
        <w:t xml:space="preserve"> and </w:t>
      </w:r>
      <w:r>
        <w:rPr>
          <w:kern w:val="0"/>
        </w:rPr>
        <w:t>pain referral</w:t>
      </w:r>
      <w:r w:rsidR="00427468">
        <w:rPr>
          <w:kern w:val="0"/>
        </w:rPr>
        <w:t xml:space="preserve"> of </w:t>
      </w:r>
      <w:r w:rsidR="003A1917">
        <w:rPr>
          <w:kern w:val="0"/>
        </w:rPr>
        <w:t xml:space="preserve">the </w:t>
      </w:r>
      <w:r>
        <w:rPr>
          <w:kern w:val="0"/>
        </w:rPr>
        <w:t>gluteus medius (kappa range, .298-.487)</w:t>
      </w:r>
      <w:r w:rsidR="005853A9">
        <w:rPr>
          <w:kern w:val="0"/>
        </w:rPr>
        <w:t xml:space="preserve"> and </w:t>
      </w:r>
      <w:r>
        <w:rPr>
          <w:kern w:val="0"/>
        </w:rPr>
        <w:t>quadratus lumborum (kappa range, .36-501) were found to be reproducible. Conclusions:</w:t>
      </w:r>
      <w:r w:rsidR="003A1917">
        <w:rPr>
          <w:kern w:val="0"/>
        </w:rPr>
        <w:t xml:space="preserve"> the </w:t>
      </w:r>
      <w:r>
        <w:rPr>
          <w:kern w:val="0"/>
        </w:rPr>
        <w:t>methodologic quality</w:t>
      </w:r>
      <w:r w:rsidR="00427468">
        <w:rPr>
          <w:kern w:val="0"/>
        </w:rPr>
        <w:t xml:space="preserve"> of </w:t>
      </w:r>
      <w:r w:rsidR="003A1917">
        <w:rPr>
          <w:kern w:val="0"/>
        </w:rPr>
        <w:t xml:space="preserve">the </w:t>
      </w:r>
      <w:r>
        <w:rPr>
          <w:kern w:val="0"/>
        </w:rPr>
        <w:t>majority</w:t>
      </w:r>
      <w:r w:rsidR="00427468">
        <w:rPr>
          <w:kern w:val="0"/>
        </w:rPr>
        <w:t xml:space="preserve"> of </w:t>
      </w:r>
      <w:r>
        <w:rPr>
          <w:kern w:val="0"/>
        </w:rPr>
        <w:t>studies for</w:t>
      </w:r>
      <w:r w:rsidR="003A1917">
        <w:rPr>
          <w:kern w:val="0"/>
        </w:rPr>
        <w:t xml:space="preserve"> the </w:t>
      </w:r>
      <w:r>
        <w:rPr>
          <w:kern w:val="0"/>
        </w:rPr>
        <w:t>purpose</w:t>
      </w:r>
      <w:r w:rsidR="00427468">
        <w:rPr>
          <w:kern w:val="0"/>
        </w:rPr>
        <w:t xml:space="preserve"> of </w:t>
      </w:r>
      <w:r>
        <w:rPr>
          <w:kern w:val="0"/>
        </w:rPr>
        <w:t>establishing trigger point reproducibility is generally poor. More high-quality studies are needed to comment on this procedure. Clinicians</w:t>
      </w:r>
      <w:r w:rsidR="005853A9">
        <w:rPr>
          <w:kern w:val="0"/>
        </w:rPr>
        <w:t xml:space="preserve"> and </w:t>
      </w:r>
      <w:r>
        <w:rPr>
          <w:kern w:val="0"/>
        </w:rPr>
        <w:t>scientists are urged to move toward simpler, global assessments</w:t>
      </w:r>
      <w:r w:rsidR="00427468">
        <w:rPr>
          <w:kern w:val="0"/>
        </w:rPr>
        <w:t xml:space="preserve"> of </w:t>
      </w:r>
      <w:r>
        <w:rPr>
          <w:kern w:val="0"/>
        </w:rPr>
        <w:t>patient status.</w:t>
      </w:r>
    </w:p>
    <w:p w:rsidR="008B4CD5" w:rsidRDefault="008B4CD5" w:rsidP="008B4CD5">
      <w:pPr>
        <w:pStyle w:val="a3"/>
        <w:rPr>
          <w:kern w:val="0"/>
        </w:rPr>
      </w:pPr>
      <w:r>
        <w:rPr>
          <w:kern w:val="0"/>
        </w:rPr>
        <w:t>Keywords: Agreement, Assessment, Common, Criteria, Databases, Diagnosis, Differential-Diagnosis, Extraction, Fibromyalgia, Guidelines, Interrater Reliability</w:t>
      </w:r>
      <w:r w:rsidR="00D5664A">
        <w:rPr>
          <w:kern w:val="0"/>
        </w:rPr>
        <w:t>, ISI,</w:t>
      </w:r>
      <w:r>
        <w:rPr>
          <w:kern w:val="0"/>
        </w:rPr>
        <w:t xml:space="preserve"> Literature, Low-Back-Pain, Myofascial Pain Syndromes, Pain, Palpation, Points, Rehabilitation, Reliability, Review, Review [Publication Type], Science, Sources, Statistical, Statistics, Systematic, Systematic Review, Tender Points, Validity, </w:t>
      </w:r>
      <w:r w:rsidR="00D5664A">
        <w:rPr>
          <w:kern w:val="0"/>
        </w:rPr>
        <w:t>Web</w:t>
      </w:r>
      <w:r w:rsidR="00427468">
        <w:rPr>
          <w:kern w:val="0"/>
        </w:rPr>
        <w:t xml:space="preserve"> of </w:t>
      </w:r>
      <w:r w:rsidR="00D5664A">
        <w:rPr>
          <w:kern w:val="0"/>
        </w:rPr>
        <w:t>Science</w:t>
      </w:r>
    </w:p>
    <w:p w:rsidR="008B4CD5" w:rsidRDefault="008B4CD5" w:rsidP="008B4CD5">
      <w:pPr>
        <w:pStyle w:val="a3"/>
        <w:rPr>
          <w:kern w:val="0"/>
        </w:rPr>
      </w:pPr>
      <w:r>
        <w:rPr>
          <w:rFonts w:hint="eastAsia"/>
          <w:kern w:val="0"/>
        </w:rPr>
        <w:t xml:space="preserve">? </w:t>
      </w:r>
      <w:r>
        <w:rPr>
          <w:kern w:val="0"/>
        </w:rPr>
        <w:t>Bovend</w:t>
      </w:r>
      <w:r w:rsidR="00700038">
        <w:rPr>
          <w:kern w:val="0"/>
        </w:rPr>
        <w:t>’</w:t>
      </w:r>
      <w:r>
        <w:rPr>
          <w:kern w:val="0"/>
        </w:rPr>
        <w:t>Eerdt, T.J., Newman, M., Barker, K., Dawes, H., Minelli, C.</w:t>
      </w:r>
      <w:r w:rsidR="005853A9">
        <w:rPr>
          <w:kern w:val="0"/>
        </w:rPr>
        <w:t xml:space="preserve"> and </w:t>
      </w:r>
      <w:r>
        <w:rPr>
          <w:kern w:val="0"/>
        </w:rPr>
        <w:t>Wade, D.T. (2008</w:t>
      </w:r>
      <w:r w:rsidR="00F42EAC">
        <w:rPr>
          <w:kern w:val="0"/>
        </w:rPr>
        <w:t>), The</w:t>
      </w:r>
      <w:r w:rsidR="003A1917">
        <w:rPr>
          <w:kern w:val="0"/>
        </w:rPr>
        <w:t xml:space="preserve"> </w:t>
      </w:r>
      <w:r>
        <w:rPr>
          <w:kern w:val="0"/>
        </w:rPr>
        <w:t>effects</w:t>
      </w:r>
      <w:r w:rsidR="00427468">
        <w:rPr>
          <w:kern w:val="0"/>
        </w:rPr>
        <w:t xml:space="preserve"> of </w:t>
      </w:r>
      <w:r>
        <w:rPr>
          <w:kern w:val="0"/>
        </w:rPr>
        <w:t xml:space="preserve">stretching in spasticity: A systematic review.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89</w:t>
      </w:r>
      <w:r>
        <w:rPr>
          <w:kern w:val="0"/>
        </w:rPr>
        <w:t xml:space="preserve"> (7), 1395-1406.</w:t>
      </w:r>
    </w:p>
    <w:p w:rsidR="003348ED" w:rsidRPr="001A3D2B" w:rsidRDefault="003348ED" w:rsidP="003348ED">
      <w:pPr>
        <w:pStyle w:val="a3"/>
      </w:pPr>
      <w:r w:rsidRPr="001A3D2B">
        <w:t xml:space="preserve">Full Text: </w:t>
      </w:r>
      <w:hyperlink r:id="rId1171" w:history="1">
        <w:r w:rsidRPr="003348ED">
          <w:rPr>
            <w:rStyle w:val="a5"/>
          </w:rPr>
          <w:t>2008\Arc Phy Med Reh89, 1395.pdf</w:t>
        </w:r>
      </w:hyperlink>
    </w:p>
    <w:p w:rsidR="008B4CD5" w:rsidRDefault="008B4CD5" w:rsidP="008B4CD5">
      <w:pPr>
        <w:pStyle w:val="a3"/>
        <w:rPr>
          <w:kern w:val="0"/>
        </w:rPr>
      </w:pPr>
      <w:r>
        <w:rPr>
          <w:kern w:val="0"/>
        </w:rPr>
        <w:t>Abstract: Objectives: To investigate</w:t>
      </w:r>
      <w:r w:rsidR="003A1917">
        <w:rPr>
          <w:kern w:val="0"/>
        </w:rPr>
        <w:t xml:space="preserve"> the </w:t>
      </w:r>
      <w:r>
        <w:rPr>
          <w:kern w:val="0"/>
        </w:rPr>
        <w:t>general effect</w:t>
      </w:r>
      <w:r w:rsidR="00427468">
        <w:rPr>
          <w:kern w:val="0"/>
        </w:rPr>
        <w:t xml:space="preserve"> of </w:t>
      </w:r>
      <w:r>
        <w:rPr>
          <w:kern w:val="0"/>
        </w:rPr>
        <w:t>stretching on spasticity</w:t>
      </w:r>
      <w:r w:rsidR="005853A9">
        <w:rPr>
          <w:kern w:val="0"/>
        </w:rPr>
        <w:t xml:space="preserve"> and </w:t>
      </w:r>
      <w:r>
        <w:rPr>
          <w:kern w:val="0"/>
        </w:rPr>
        <w:t>to explore</w:t>
      </w:r>
      <w:r w:rsidR="003A1917">
        <w:rPr>
          <w:kern w:val="0"/>
        </w:rPr>
        <w:t xml:space="preserve"> the </w:t>
      </w:r>
      <w:r>
        <w:rPr>
          <w:kern w:val="0"/>
        </w:rPr>
        <w:t>complexity</w:t>
      </w:r>
      <w:r w:rsidR="00427468">
        <w:rPr>
          <w:kern w:val="0"/>
        </w:rPr>
        <w:t xml:space="preserve"> of </w:t>
      </w:r>
      <w:r>
        <w:rPr>
          <w:kern w:val="0"/>
        </w:rPr>
        <w:t>stretching in patients with spasticity. Data Sources: Two researchers independently performed a systematic literature search using</w:t>
      </w:r>
      <w:r w:rsidR="003A1917">
        <w:rPr>
          <w:kern w:val="0"/>
        </w:rPr>
        <w:t xml:space="preserve"> the </w:t>
      </w:r>
      <w:r>
        <w:rPr>
          <w:kern w:val="0"/>
        </w:rPr>
        <w:t xml:space="preserve">databases: </w:t>
      </w:r>
      <w:r w:rsidR="00D5664A">
        <w:rPr>
          <w:kern w:val="0"/>
        </w:rPr>
        <w:t>MEDLINE</w:t>
      </w:r>
      <w:r>
        <w:rPr>
          <w:kern w:val="0"/>
        </w:rPr>
        <w:t xml:space="preserve">, PEDro, Cochrane library, </w:t>
      </w:r>
      <w:r w:rsidR="00D5664A">
        <w:rPr>
          <w:kern w:val="0"/>
        </w:rPr>
        <w:t>Web</w:t>
      </w:r>
      <w:r w:rsidR="00427468">
        <w:rPr>
          <w:kern w:val="0"/>
        </w:rPr>
        <w:t xml:space="preserve"> of </w:t>
      </w:r>
      <w:r w:rsidR="00D5664A">
        <w:rPr>
          <w:kern w:val="0"/>
        </w:rPr>
        <w:t>Science</w:t>
      </w:r>
      <w:r>
        <w:rPr>
          <w:kern w:val="0"/>
        </w:rPr>
        <w:t>, CINAHL,</w:t>
      </w:r>
      <w:r w:rsidR="005853A9">
        <w:rPr>
          <w:kern w:val="0"/>
        </w:rPr>
        <w:t xml:space="preserve"> and </w:t>
      </w:r>
      <w:r>
        <w:rPr>
          <w:kern w:val="0"/>
        </w:rPr>
        <w:t>Allied</w:t>
      </w:r>
      <w:r w:rsidR="005853A9">
        <w:rPr>
          <w:kern w:val="0"/>
        </w:rPr>
        <w:t xml:space="preserve"> and </w:t>
      </w:r>
      <w:r>
        <w:rPr>
          <w:kern w:val="0"/>
        </w:rPr>
        <w:t>Complementary Medicine. Study Selection: Studies on adults receiving a stretching technique to reduce spasticity were included. Data Extraction: Randomized controlled trials (RCTs) were assessed on</w:t>
      </w:r>
      <w:r w:rsidR="003A1917">
        <w:rPr>
          <w:kern w:val="0"/>
        </w:rPr>
        <w:t xml:space="preserve"> the </w:t>
      </w:r>
      <w:r>
        <w:rPr>
          <w:kern w:val="0"/>
        </w:rPr>
        <w:t>PEDro scale for methodologic quality. Thirteen items from</w:t>
      </w:r>
      <w:r w:rsidR="003A1917">
        <w:rPr>
          <w:kern w:val="0"/>
        </w:rPr>
        <w:t xml:space="preserve"> the </w:t>
      </w:r>
      <w:r>
        <w:rPr>
          <w:kern w:val="0"/>
        </w:rPr>
        <w:t>CONSORT list</w:t>
      </w:r>
      <w:r w:rsidR="005853A9">
        <w:rPr>
          <w:kern w:val="0"/>
        </w:rPr>
        <w:t xml:space="preserve"> and </w:t>
      </w:r>
      <w:r w:rsidR="003A1917">
        <w:rPr>
          <w:kern w:val="0"/>
        </w:rPr>
        <w:t xml:space="preserve">the </w:t>
      </w:r>
      <w:r>
        <w:rPr>
          <w:kern w:val="0"/>
        </w:rPr>
        <w:t>Critical Appraisal Skills Program guideline were used to assess</w:t>
      </w:r>
      <w:r w:rsidR="003A1917">
        <w:rPr>
          <w:kern w:val="0"/>
        </w:rPr>
        <w:t xml:space="preserve"> the </w:t>
      </w:r>
      <w:r>
        <w:rPr>
          <w:kern w:val="0"/>
        </w:rPr>
        <w:t>methodologic quality</w:t>
      </w:r>
      <w:r w:rsidR="00427468">
        <w:rPr>
          <w:kern w:val="0"/>
        </w:rPr>
        <w:t xml:space="preserve"> of </w:t>
      </w:r>
      <w:r w:rsidR="003A1917">
        <w:rPr>
          <w:kern w:val="0"/>
        </w:rPr>
        <w:t xml:space="preserve">the </w:t>
      </w:r>
      <w:r>
        <w:rPr>
          <w:kern w:val="0"/>
        </w:rPr>
        <w:t>other studies. Data Synthesis: RCTs (n=10)</w:t>
      </w:r>
      <w:r w:rsidR="005853A9">
        <w:rPr>
          <w:kern w:val="0"/>
        </w:rPr>
        <w:t xml:space="preserve"> and </w:t>
      </w:r>
      <w:r>
        <w:rPr>
          <w:kern w:val="0"/>
        </w:rPr>
        <w:t>other clinical trials (n = 11) were included</w:t>
      </w:r>
      <w:r w:rsidR="00A37C1D">
        <w:rPr>
          <w:kern w:val="0"/>
        </w:rPr>
        <w:t>. The</w:t>
      </w:r>
      <w:r w:rsidR="003A1917">
        <w:rPr>
          <w:kern w:val="0"/>
        </w:rPr>
        <w:t xml:space="preserve"> </w:t>
      </w:r>
      <w:r>
        <w:rPr>
          <w:kern w:val="0"/>
        </w:rPr>
        <w:t>methodologic quality</w:t>
      </w:r>
      <w:r w:rsidR="00427468">
        <w:rPr>
          <w:kern w:val="0"/>
        </w:rPr>
        <w:t xml:space="preserve"> of </w:t>
      </w:r>
      <w:r w:rsidR="003A1917">
        <w:rPr>
          <w:kern w:val="0"/>
        </w:rPr>
        <w:t xml:space="preserve">the </w:t>
      </w:r>
      <w:r>
        <w:rPr>
          <w:kern w:val="0"/>
        </w:rPr>
        <w:t>RCTs was low, varying between 4</w:t>
      </w:r>
      <w:r w:rsidR="005853A9">
        <w:rPr>
          <w:kern w:val="0"/>
        </w:rPr>
        <w:t xml:space="preserve"> and </w:t>
      </w:r>
      <w:r>
        <w:rPr>
          <w:kern w:val="0"/>
        </w:rPr>
        <w:t>8 on</w:t>
      </w:r>
      <w:r w:rsidR="003A1917">
        <w:rPr>
          <w:kern w:val="0"/>
        </w:rPr>
        <w:t xml:space="preserve"> the </w:t>
      </w:r>
      <w:r>
        <w:rPr>
          <w:kern w:val="0"/>
        </w:rPr>
        <w:t>PEDro scale. All studies show great diversity at</w:t>
      </w:r>
      <w:r w:rsidR="003A1917">
        <w:rPr>
          <w:kern w:val="0"/>
        </w:rPr>
        <w:t xml:space="preserve"> the </w:t>
      </w:r>
      <w:r>
        <w:rPr>
          <w:kern w:val="0"/>
        </w:rPr>
        <w:t>levels</w:t>
      </w:r>
      <w:r w:rsidR="00427468">
        <w:rPr>
          <w:kern w:val="0"/>
        </w:rPr>
        <w:t xml:space="preserve"> of </w:t>
      </w:r>
      <w:r>
        <w:rPr>
          <w:kern w:val="0"/>
        </w:rPr>
        <w:t>methodology, population, intervention,</w:t>
      </w:r>
      <w:r w:rsidR="005853A9">
        <w:rPr>
          <w:kern w:val="0"/>
        </w:rPr>
        <w:t xml:space="preserve"> and </w:t>
      </w:r>
      <w:r>
        <w:rPr>
          <w:kern w:val="0"/>
        </w:rPr>
        <w:t>outcome measures making a meta-analysis not feasible. Both manual</w:t>
      </w:r>
      <w:r w:rsidR="005853A9">
        <w:rPr>
          <w:kern w:val="0"/>
        </w:rPr>
        <w:t xml:space="preserve"> and </w:t>
      </w:r>
      <w:r>
        <w:rPr>
          <w:kern w:val="0"/>
        </w:rPr>
        <w:t>mechanical stretching methods were studied. Stretching protocols were generally inadequately described</w:t>
      </w:r>
      <w:r w:rsidR="005853A9">
        <w:rPr>
          <w:kern w:val="0"/>
        </w:rPr>
        <w:t xml:space="preserve"> and </w:t>
      </w:r>
      <w:r>
        <w:rPr>
          <w:kern w:val="0"/>
        </w:rPr>
        <w:t>poorly standardized</w:t>
      </w:r>
      <w:r w:rsidR="00A37C1D">
        <w:rPr>
          <w:kern w:val="0"/>
        </w:rPr>
        <w:t>. The</w:t>
      </w:r>
      <w:r w:rsidR="003A1917">
        <w:rPr>
          <w:kern w:val="0"/>
        </w:rPr>
        <w:t xml:space="preserve"> </w:t>
      </w:r>
      <w:r>
        <w:rPr>
          <w:kern w:val="0"/>
        </w:rPr>
        <w:t>outcome measures used often assessed impairments such as available range</w:t>
      </w:r>
      <w:r w:rsidR="00427468">
        <w:rPr>
          <w:kern w:val="0"/>
        </w:rPr>
        <w:t xml:space="preserve"> of </w:t>
      </w:r>
      <w:r>
        <w:rPr>
          <w:kern w:val="0"/>
        </w:rPr>
        <w:t>motion but were unable to distinguish between neural</w:t>
      </w:r>
      <w:r w:rsidR="005853A9">
        <w:rPr>
          <w:kern w:val="0"/>
        </w:rPr>
        <w:t xml:space="preserve"> and </w:t>
      </w:r>
      <w:r>
        <w:rPr>
          <w:kern w:val="0"/>
        </w:rPr>
        <w:t>nonneural components</w:t>
      </w:r>
      <w:r w:rsidR="00427468">
        <w:rPr>
          <w:kern w:val="0"/>
        </w:rPr>
        <w:t xml:space="preserve"> of </w:t>
      </w:r>
      <w:r>
        <w:rPr>
          <w:kern w:val="0"/>
        </w:rPr>
        <w:t>spasticity. Associated functional benefits were not usually investigated. Although there is some positive evidence supporting</w:t>
      </w:r>
      <w:r w:rsidR="003A1917">
        <w:rPr>
          <w:kern w:val="0"/>
        </w:rPr>
        <w:t xml:space="preserve"> the </w:t>
      </w:r>
      <w:r>
        <w:rPr>
          <w:kern w:val="0"/>
        </w:rPr>
        <w:t>immediate effects</w:t>
      </w:r>
      <w:r w:rsidR="00427468">
        <w:rPr>
          <w:kern w:val="0"/>
        </w:rPr>
        <w:t xml:space="preserve"> of </w:t>
      </w:r>
      <w:r>
        <w:rPr>
          <w:kern w:val="0"/>
        </w:rPr>
        <w:t>1 stretching session, it remains unclear how long these effects abide</w:t>
      </w:r>
      <w:r w:rsidR="005853A9">
        <w:rPr>
          <w:kern w:val="0"/>
        </w:rPr>
        <w:t xml:space="preserve"> and </w:t>
      </w:r>
      <w:r>
        <w:rPr>
          <w:kern w:val="0"/>
        </w:rPr>
        <w:t>its long-term consequences. Conclusions: There is a wide diversity in studies investigating</w:t>
      </w:r>
      <w:r w:rsidR="003A1917">
        <w:rPr>
          <w:kern w:val="0"/>
        </w:rPr>
        <w:t xml:space="preserve"> the </w:t>
      </w:r>
      <w:r>
        <w:rPr>
          <w:kern w:val="0"/>
        </w:rPr>
        <w:t>effects</w:t>
      </w:r>
      <w:r w:rsidR="00427468">
        <w:rPr>
          <w:kern w:val="0"/>
        </w:rPr>
        <w:t xml:space="preserve"> of </w:t>
      </w:r>
      <w:r>
        <w:rPr>
          <w:kern w:val="0"/>
        </w:rPr>
        <w:t xml:space="preserve">stretching on </w:t>
      </w:r>
      <w:r>
        <w:rPr>
          <w:kern w:val="0"/>
        </w:rPr>
        <w:lastRenderedPageBreak/>
        <w:t>spasticity,</w:t>
      </w:r>
      <w:r w:rsidR="005853A9">
        <w:rPr>
          <w:kern w:val="0"/>
        </w:rPr>
        <w:t xml:space="preserve"> and </w:t>
      </w:r>
      <w:r w:rsidR="003A1917">
        <w:rPr>
          <w:kern w:val="0"/>
        </w:rPr>
        <w:t xml:space="preserve">the </w:t>
      </w:r>
      <w:r>
        <w:rPr>
          <w:kern w:val="0"/>
        </w:rPr>
        <w:t>available evidence on its clinical benefit is overall inconclusive. We recognize</w:t>
      </w:r>
      <w:r w:rsidR="003A1917">
        <w:rPr>
          <w:kern w:val="0"/>
        </w:rPr>
        <w:t xml:space="preserve"> the </w:t>
      </w:r>
      <w:r>
        <w:rPr>
          <w:kern w:val="0"/>
        </w:rPr>
        <w:t>need for consensus on a paradigm for stretching</w:t>
      </w:r>
      <w:r w:rsidR="005853A9">
        <w:rPr>
          <w:kern w:val="0"/>
        </w:rPr>
        <w:t xml:space="preserve"> and </w:t>
      </w:r>
      <w:r>
        <w:rPr>
          <w:kern w:val="0"/>
        </w:rPr>
        <w:t>for good-quality studies. Future research should address this issue</w:t>
      </w:r>
      <w:r w:rsidR="005853A9">
        <w:rPr>
          <w:kern w:val="0"/>
        </w:rPr>
        <w:t xml:space="preserve"> and </w:t>
      </w:r>
      <w:r>
        <w:rPr>
          <w:kern w:val="0"/>
        </w:rPr>
        <w:t>should investigate</w:t>
      </w:r>
      <w:r w:rsidR="003A1917">
        <w:rPr>
          <w:kern w:val="0"/>
        </w:rPr>
        <w:t xml:space="preserve"> the </w:t>
      </w:r>
      <w:r>
        <w:rPr>
          <w:kern w:val="0"/>
        </w:rPr>
        <w:t>clinical importance</w:t>
      </w:r>
      <w:r w:rsidR="00427468">
        <w:rPr>
          <w:kern w:val="0"/>
        </w:rPr>
        <w:t xml:space="preserve"> of </w:t>
      </w:r>
      <w:r w:rsidR="003A1917">
        <w:rPr>
          <w:kern w:val="0"/>
        </w:rPr>
        <w:t xml:space="preserve">the </w:t>
      </w:r>
      <w:r>
        <w:rPr>
          <w:kern w:val="0"/>
        </w:rPr>
        <w:t>short-</w:t>
      </w:r>
      <w:r w:rsidR="005853A9">
        <w:rPr>
          <w:kern w:val="0"/>
        </w:rPr>
        <w:t xml:space="preserve"> and </w:t>
      </w:r>
      <w:r>
        <w:rPr>
          <w:kern w:val="0"/>
        </w:rPr>
        <w:t>long-term effects.</w:t>
      </w:r>
    </w:p>
    <w:p w:rsidR="008B4CD5" w:rsidRDefault="008B4CD5" w:rsidP="008B4CD5">
      <w:pPr>
        <w:pStyle w:val="a3"/>
        <w:rPr>
          <w:kern w:val="0"/>
        </w:rPr>
      </w:pPr>
      <w:r>
        <w:rPr>
          <w:kern w:val="0"/>
        </w:rPr>
        <w:t xml:space="preserve">Keywords: Acquired Brain-Injury, Adults, Ankle Mobility, Clinical Trials, Cochrane, Consort, Critical, Databases, Extraction, Functional, Immobilized Muscle, Intermittent Stretch, Intervention, Knee Movements, Literature, Meta-Analysis, Methodology, Multiple-Sclerosis, Muscle Spasticity, Outcome, Randomized Controlled Trials, Randomized Controlled-Trial, Rehabilitation, Research, Researchers, Review, Review [Publication Type], Science, Sources, Spinal-Cord Injuries, Stroke Patients, Systematic, Systematic Review, Term Muscle Stretch, </w:t>
      </w:r>
      <w:r w:rsidR="00D5664A">
        <w:rPr>
          <w:kern w:val="0"/>
        </w:rPr>
        <w:t>Web</w:t>
      </w:r>
      <w:r w:rsidR="00427468">
        <w:rPr>
          <w:kern w:val="0"/>
        </w:rPr>
        <w:t xml:space="preserve"> of </w:t>
      </w:r>
      <w:r w:rsidR="00D5664A">
        <w:rPr>
          <w:kern w:val="0"/>
        </w:rPr>
        <w:t>Science</w:t>
      </w:r>
    </w:p>
    <w:p w:rsidR="00AB76E5" w:rsidRDefault="00AB76E5" w:rsidP="00760A5C">
      <w:pPr>
        <w:pStyle w:val="a3"/>
        <w:rPr>
          <w:kern w:val="0"/>
        </w:rPr>
      </w:pPr>
      <w:r>
        <w:rPr>
          <w:rFonts w:hint="eastAsia"/>
          <w:kern w:val="0"/>
        </w:rPr>
        <w:t xml:space="preserve">Notes: </w:t>
      </w:r>
      <w:r w:rsidR="001E3F9D">
        <w:rPr>
          <w:rFonts w:hint="eastAsia"/>
          <w:kern w:val="0"/>
        </w:rPr>
        <w:t>FField</w:t>
      </w:r>
    </w:p>
    <w:p w:rsidR="00760A5C" w:rsidRDefault="00760A5C" w:rsidP="00760A5C">
      <w:pPr>
        <w:pStyle w:val="a3"/>
        <w:rPr>
          <w:kern w:val="0"/>
        </w:rPr>
      </w:pPr>
      <w:r>
        <w:rPr>
          <w:rFonts w:hint="eastAsia"/>
          <w:kern w:val="0"/>
        </w:rPr>
        <w:t xml:space="preserve">? </w:t>
      </w:r>
      <w:r>
        <w:rPr>
          <w:kern w:val="0"/>
        </w:rPr>
        <w:t>Shadgan, B., Roig, M., HajGhanbari, B.</w:t>
      </w:r>
      <w:r w:rsidR="005853A9">
        <w:rPr>
          <w:kern w:val="0"/>
        </w:rPr>
        <w:t xml:space="preserve"> and </w:t>
      </w:r>
      <w:r>
        <w:rPr>
          <w:kern w:val="0"/>
        </w:rPr>
        <w:t xml:space="preserve">Reid, W.D. (2010), Top-cited articles in rehabilitation.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91</w:t>
      </w:r>
      <w:r>
        <w:rPr>
          <w:kern w:val="0"/>
        </w:rPr>
        <w:t xml:space="preserve"> (5), 806-815.</w:t>
      </w:r>
    </w:p>
    <w:p w:rsidR="00760A5C" w:rsidRPr="001A3D2B" w:rsidRDefault="00760A5C" w:rsidP="00760A5C">
      <w:pPr>
        <w:pStyle w:val="a3"/>
      </w:pPr>
      <w:r w:rsidRPr="001A3D2B">
        <w:t xml:space="preserve">Full Text: </w:t>
      </w:r>
      <w:hyperlink r:id="rId1172" w:history="1">
        <w:r w:rsidR="00EC06FE" w:rsidRPr="00EC06FE">
          <w:rPr>
            <w:rStyle w:val="a5"/>
          </w:rPr>
          <w:t>2010\Arc Phy Med Reh91, 806.pdf</w:t>
        </w:r>
      </w:hyperlink>
    </w:p>
    <w:p w:rsidR="00760A5C" w:rsidRDefault="00760A5C" w:rsidP="00760A5C">
      <w:pPr>
        <w:pStyle w:val="a3"/>
        <w:rPr>
          <w:kern w:val="0"/>
        </w:rPr>
      </w:pPr>
      <w:r>
        <w:rPr>
          <w:kern w:val="0"/>
        </w:rPr>
        <w:t>Abstract: Objective: To identify</w:t>
      </w:r>
      <w:r w:rsidR="003A1917">
        <w:rPr>
          <w:kern w:val="0"/>
        </w:rPr>
        <w:t xml:space="preserve"> the </w:t>
      </w:r>
      <w:r>
        <w:rPr>
          <w:kern w:val="0"/>
        </w:rPr>
        <w:t>100 top-cited articles ever published in rehabilitation journals</w:t>
      </w:r>
      <w:r w:rsidR="005853A9">
        <w:rPr>
          <w:kern w:val="0"/>
        </w:rPr>
        <w:t xml:space="preserve"> and </w:t>
      </w:r>
      <w:r>
        <w:rPr>
          <w:kern w:val="0"/>
        </w:rPr>
        <w:t>to analyze their characteristics as a quantitative approach to investigating</w:t>
      </w:r>
      <w:r w:rsidR="003A1917">
        <w:rPr>
          <w:kern w:val="0"/>
        </w:rPr>
        <w:t xml:space="preserve"> the </w:t>
      </w:r>
      <w:r>
        <w:rPr>
          <w:kern w:val="0"/>
        </w:rPr>
        <w:t>quality</w:t>
      </w:r>
      <w:r w:rsidR="005853A9">
        <w:rPr>
          <w:kern w:val="0"/>
        </w:rPr>
        <w:t xml:space="preserve"> and </w:t>
      </w:r>
      <w:r>
        <w:rPr>
          <w:kern w:val="0"/>
        </w:rPr>
        <w:t>evolution</w:t>
      </w:r>
      <w:r w:rsidR="00427468">
        <w:rPr>
          <w:kern w:val="0"/>
        </w:rPr>
        <w:t xml:space="preserve"> of </w:t>
      </w:r>
      <w:r>
        <w:rPr>
          <w:kern w:val="0"/>
        </w:rPr>
        <w:t>rehabilitation research. Data Sources:</w:t>
      </w:r>
      <w:r w:rsidR="003A1917">
        <w:rPr>
          <w:kern w:val="0"/>
        </w:rPr>
        <w:t xml:space="preserve"> the </w:t>
      </w:r>
      <w:r>
        <w:rPr>
          <w:kern w:val="0"/>
        </w:rPr>
        <w:t>Institute for Scientific Information Web</w:t>
      </w:r>
      <w:r w:rsidR="00427468">
        <w:rPr>
          <w:kern w:val="0"/>
        </w:rPr>
        <w:t xml:space="preserve"> of </w:t>
      </w:r>
      <w:r>
        <w:rPr>
          <w:kern w:val="0"/>
        </w:rPr>
        <w:t>Knowledge Database</w:t>
      </w:r>
      <w:r w:rsidR="005853A9">
        <w:rPr>
          <w:kern w:val="0"/>
        </w:rPr>
        <w:t xml:space="preserve"> and </w:t>
      </w:r>
      <w:r w:rsidR="003A1917">
        <w:rPr>
          <w:kern w:val="0"/>
        </w:rPr>
        <w:t xml:space="preserve">the </w:t>
      </w:r>
      <w:r>
        <w:rPr>
          <w:kern w:val="0"/>
        </w:rPr>
        <w:t>2007</w:t>
      </w:r>
      <w:r w:rsidR="005853A9">
        <w:rPr>
          <w:kern w:val="0"/>
        </w:rPr>
        <w:t xml:space="preserve"> and </w:t>
      </w:r>
      <w:r>
        <w:rPr>
          <w:kern w:val="0"/>
        </w:rPr>
        <w:t>2008 Journal Citation Report Science Editions were used to retrieve</w:t>
      </w:r>
      <w:r w:rsidR="003A1917">
        <w:rPr>
          <w:kern w:val="0"/>
        </w:rPr>
        <w:t xml:space="preserve"> the </w:t>
      </w:r>
      <w:r>
        <w:rPr>
          <w:kern w:val="0"/>
        </w:rPr>
        <w:t>100 top-cited articles from 30 rehabilitation dedicated journals. Study Selection:</w:t>
      </w:r>
      <w:r w:rsidR="003A1917">
        <w:rPr>
          <w:kern w:val="0"/>
        </w:rPr>
        <w:t xml:space="preserve"> the </w:t>
      </w:r>
      <w:r>
        <w:rPr>
          <w:kern w:val="0"/>
        </w:rPr>
        <w:t>100 top-cited articles included randomized controlled trials, case-control studies, case series studies, case reports, methodologic studies, systematic reviews, narrative reviews,</w:t>
      </w:r>
      <w:r w:rsidR="005853A9">
        <w:rPr>
          <w:kern w:val="0"/>
        </w:rPr>
        <w:t xml:space="preserve"> and </w:t>
      </w:r>
      <w:r>
        <w:rPr>
          <w:kern w:val="0"/>
        </w:rPr>
        <w:t>expert opinions. Data Extraction: Two independent reviewers performed data extraction from</w:t>
      </w:r>
      <w:r w:rsidR="003A1917">
        <w:rPr>
          <w:kern w:val="0"/>
        </w:rPr>
        <w:t xml:space="preserve"> the </w:t>
      </w:r>
      <w:r>
        <w:rPr>
          <w:kern w:val="0"/>
        </w:rPr>
        <w:t>retrieved articles</w:t>
      </w:r>
      <w:r w:rsidR="005853A9">
        <w:rPr>
          <w:kern w:val="0"/>
        </w:rPr>
        <w:t xml:space="preserve"> and </w:t>
      </w:r>
      <w:r>
        <w:rPr>
          <w:kern w:val="0"/>
        </w:rPr>
        <w:t>compared their results</w:t>
      </w:r>
      <w:r w:rsidR="00A37C1D">
        <w:rPr>
          <w:kern w:val="0"/>
        </w:rPr>
        <w:t>. The</w:t>
      </w:r>
      <w:r w:rsidR="003A1917">
        <w:rPr>
          <w:kern w:val="0"/>
        </w:rPr>
        <w:t xml:space="preserve"> </w:t>
      </w:r>
      <w:r>
        <w:rPr>
          <w:kern w:val="0"/>
        </w:rPr>
        <w:t>Sackett</w:t>
      </w:r>
      <w:r w:rsidR="00700038">
        <w:rPr>
          <w:kern w:val="0"/>
        </w:rPr>
        <w:t>’</w:t>
      </w:r>
      <w:r w:rsidR="00C13DDC">
        <w:rPr>
          <w:kern w:val="0"/>
        </w:rPr>
        <w:t>s</w:t>
      </w:r>
      <w:r>
        <w:rPr>
          <w:kern w:val="0"/>
        </w:rPr>
        <w:t xml:space="preserve"> initial rules</w:t>
      </w:r>
      <w:r w:rsidR="00427468">
        <w:rPr>
          <w:kern w:val="0"/>
        </w:rPr>
        <w:t xml:space="preserve"> of </w:t>
      </w:r>
      <w:r>
        <w:rPr>
          <w:kern w:val="0"/>
        </w:rPr>
        <w:t>evidence were used to categorize</w:t>
      </w:r>
      <w:r w:rsidR="003A1917">
        <w:rPr>
          <w:kern w:val="0"/>
        </w:rPr>
        <w:t xml:space="preserve"> the </w:t>
      </w:r>
      <w:r>
        <w:rPr>
          <w:kern w:val="0"/>
        </w:rPr>
        <w:t>type</w:t>
      </w:r>
      <w:r w:rsidR="00427468">
        <w:rPr>
          <w:kern w:val="0"/>
        </w:rPr>
        <w:t xml:space="preserve"> of </w:t>
      </w:r>
      <w:r>
        <w:rPr>
          <w:kern w:val="0"/>
        </w:rPr>
        <w:t>study design as well as to evaluate</w:t>
      </w:r>
      <w:r w:rsidR="003A1917">
        <w:rPr>
          <w:kern w:val="0"/>
        </w:rPr>
        <w:t xml:space="preserve"> the </w:t>
      </w:r>
      <w:r>
        <w:rPr>
          <w:kern w:val="0"/>
        </w:rPr>
        <w:t>level</w:t>
      </w:r>
      <w:r w:rsidR="00427468">
        <w:rPr>
          <w:kern w:val="0"/>
        </w:rPr>
        <w:t xml:space="preserve"> of </w:t>
      </w:r>
      <w:r>
        <w:rPr>
          <w:kern w:val="0"/>
        </w:rPr>
        <w:t>evidence provided by</w:t>
      </w:r>
      <w:r w:rsidR="003A1917">
        <w:rPr>
          <w:kern w:val="0"/>
        </w:rPr>
        <w:t xml:space="preserve"> the </w:t>
      </w:r>
      <w:r>
        <w:rPr>
          <w:kern w:val="0"/>
        </w:rPr>
        <w:t>results</w:t>
      </w:r>
      <w:r w:rsidR="00427468">
        <w:rPr>
          <w:kern w:val="0"/>
        </w:rPr>
        <w:t xml:space="preserve"> of </w:t>
      </w:r>
      <w:r w:rsidR="003A1917">
        <w:rPr>
          <w:kern w:val="0"/>
        </w:rPr>
        <w:t xml:space="preserve">the </w:t>
      </w:r>
      <w:r>
        <w:rPr>
          <w:kern w:val="0"/>
        </w:rPr>
        <w:t>100 top-cited articles. Data Synthesis: Among</w:t>
      </w:r>
      <w:r w:rsidR="003A1917">
        <w:rPr>
          <w:kern w:val="0"/>
        </w:rPr>
        <w:t xml:space="preserve"> the </w:t>
      </w:r>
      <w:r>
        <w:rPr>
          <w:kern w:val="0"/>
        </w:rPr>
        <w:t>45,700 articles published in these journals,</w:t>
      </w:r>
      <w:r w:rsidR="003A1917">
        <w:rPr>
          <w:kern w:val="0"/>
        </w:rPr>
        <w:t xml:space="preserve"> the </w:t>
      </w:r>
      <w:r>
        <w:rPr>
          <w:kern w:val="0"/>
        </w:rPr>
        <w:t>100 top-cited articles were published between 1959</w:t>
      </w:r>
      <w:r w:rsidR="005853A9">
        <w:rPr>
          <w:kern w:val="0"/>
        </w:rPr>
        <w:t xml:space="preserve"> and </w:t>
      </w:r>
      <w:r>
        <w:rPr>
          <w:kern w:val="0"/>
        </w:rPr>
        <w:t>2002 with an average</w:t>
      </w:r>
      <w:r w:rsidR="00427468">
        <w:rPr>
          <w:kern w:val="0"/>
        </w:rPr>
        <w:t xml:space="preserve"> of </w:t>
      </w:r>
      <w:r>
        <w:rPr>
          <w:kern w:val="0"/>
        </w:rPr>
        <w:t>200 citations an article (range, 131-1109). Top-cited articles were all English-language, primarily from North America (United States=67%; Canada=11%)</w:t>
      </w:r>
      <w:r w:rsidR="005853A9">
        <w:rPr>
          <w:kern w:val="0"/>
        </w:rPr>
        <w:t xml:space="preserve"> and </w:t>
      </w:r>
      <w:r>
        <w:rPr>
          <w:kern w:val="0"/>
        </w:rPr>
        <w:t>published in 11 journals led by</w:t>
      </w:r>
      <w:r w:rsidR="003A1917">
        <w:rPr>
          <w:kern w:val="0"/>
        </w:rPr>
        <w:t xml:space="preserve"> the </w:t>
      </w:r>
      <w:r>
        <w:rPr>
          <w:kern w:val="0"/>
        </w:rPr>
        <w:t>Archives</w:t>
      </w:r>
      <w:r w:rsidR="00427468">
        <w:rPr>
          <w:kern w:val="0"/>
        </w:rPr>
        <w:t xml:space="preserve"> of </w:t>
      </w:r>
      <w:r>
        <w:rPr>
          <w:kern w:val="0"/>
        </w:rPr>
        <w:t>Physical Medicine</w:t>
      </w:r>
      <w:r w:rsidR="005853A9">
        <w:rPr>
          <w:kern w:val="0"/>
        </w:rPr>
        <w:t xml:space="preserve"> and </w:t>
      </w:r>
      <w:r>
        <w:rPr>
          <w:kern w:val="0"/>
        </w:rPr>
        <w:t>Rehabilitation. Eighty-four percent</w:t>
      </w:r>
      <w:r w:rsidR="00427468">
        <w:rPr>
          <w:kern w:val="0"/>
        </w:rPr>
        <w:t xml:space="preserve"> of </w:t>
      </w:r>
      <w:r w:rsidR="003A1917">
        <w:rPr>
          <w:kern w:val="0"/>
        </w:rPr>
        <w:t xml:space="preserve">the </w:t>
      </w:r>
      <w:r>
        <w:rPr>
          <w:kern w:val="0"/>
        </w:rPr>
        <w:t>articles were original publications</w:t>
      </w:r>
      <w:r w:rsidR="005853A9">
        <w:rPr>
          <w:kern w:val="0"/>
        </w:rPr>
        <w:t xml:space="preserve"> and </w:t>
      </w:r>
      <w:r>
        <w:rPr>
          <w:kern w:val="0"/>
        </w:rPr>
        <w:t>were most commonly prospective (76%) case series studies (67%) that used human subjects (96%) providing level 4 evidence. Neurorehabilitation (41%), disability (19%),</w:t>
      </w:r>
      <w:r w:rsidR="005853A9">
        <w:rPr>
          <w:kern w:val="0"/>
        </w:rPr>
        <w:t xml:space="preserve"> and </w:t>
      </w:r>
      <w:r>
        <w:rPr>
          <w:kern w:val="0"/>
        </w:rPr>
        <w:t>biomechanics (18%) were</w:t>
      </w:r>
      <w:r w:rsidR="003A1917">
        <w:rPr>
          <w:kern w:val="0"/>
        </w:rPr>
        <w:t xml:space="preserve"> the </w:t>
      </w:r>
      <w:r>
        <w:rPr>
          <w:kern w:val="0"/>
        </w:rPr>
        <w:t>most common fields</w:t>
      </w:r>
      <w:r w:rsidR="00427468">
        <w:rPr>
          <w:kern w:val="0"/>
        </w:rPr>
        <w:t xml:space="preserve"> of </w:t>
      </w:r>
      <w:r>
        <w:rPr>
          <w:kern w:val="0"/>
        </w:rPr>
        <w:t>study. Conclusions: We demonstrated that methodologic observational studies performed in North America</w:t>
      </w:r>
      <w:r w:rsidR="005853A9">
        <w:rPr>
          <w:kern w:val="0"/>
        </w:rPr>
        <w:t xml:space="preserve"> and </w:t>
      </w:r>
      <w:r>
        <w:rPr>
          <w:kern w:val="0"/>
        </w:rPr>
        <w:t>published in English have had</w:t>
      </w:r>
      <w:r w:rsidR="003A1917">
        <w:rPr>
          <w:kern w:val="0"/>
        </w:rPr>
        <w:t xml:space="preserve"> the </w:t>
      </w:r>
      <w:r>
        <w:rPr>
          <w:kern w:val="0"/>
        </w:rPr>
        <w:t>highest citations in rehabilitation journals.</w:t>
      </w:r>
    </w:p>
    <w:p w:rsidR="00760A5C" w:rsidRDefault="00760A5C" w:rsidP="00760A5C">
      <w:pPr>
        <w:pStyle w:val="a3"/>
        <w:rPr>
          <w:kern w:val="0"/>
        </w:rPr>
      </w:pPr>
      <w:r>
        <w:rPr>
          <w:kern w:val="0"/>
        </w:rPr>
        <w:lastRenderedPageBreak/>
        <w:t>Keywords: 100 Citation-Classics, Archives, Articles, Association, Bias, Bibliometrics, Case Reports, Case Series, Case-Control, Characteristics, Citation, Citations, Database, English, Evolution, Extraction, Human, Institute for Scientific Information, Journal Citation Report, Journals, Knowledge, Narrative, Occupational-Medicine, Physical Therapy Modalities, Physical-Therapy, Publications, Quantitative, Randomized Controlled Trials, Rehabilitation, Research, Review [Publication Type], Science, Sources, Study Design, Synthesis, Web</w:t>
      </w:r>
      <w:r w:rsidR="00427468">
        <w:rPr>
          <w:kern w:val="0"/>
        </w:rPr>
        <w:t xml:space="preserve"> of </w:t>
      </w:r>
      <w:r>
        <w:rPr>
          <w:kern w:val="0"/>
        </w:rPr>
        <w:t>Knowledge</w:t>
      </w:r>
    </w:p>
    <w:p w:rsidR="007705F8" w:rsidRDefault="007705F8" w:rsidP="007705F8">
      <w:pPr>
        <w:pStyle w:val="a3"/>
        <w:rPr>
          <w:kern w:val="0"/>
        </w:rPr>
      </w:pPr>
      <w:r>
        <w:rPr>
          <w:rFonts w:hint="eastAsia"/>
          <w:kern w:val="0"/>
        </w:rPr>
        <w:t xml:space="preserve">? </w:t>
      </w:r>
      <w:r>
        <w:rPr>
          <w:kern w:val="0"/>
        </w:rPr>
        <w:t>Simmons-Mackie, N., Raymer, A., Armstrong, E., Holland, A.</w:t>
      </w:r>
      <w:r w:rsidR="005853A9">
        <w:rPr>
          <w:kern w:val="0"/>
        </w:rPr>
        <w:t xml:space="preserve"> and </w:t>
      </w:r>
      <w:r>
        <w:rPr>
          <w:kern w:val="0"/>
        </w:rPr>
        <w:t xml:space="preserve">Cherney, L.R. (2010), Communication partner training in aphasia: A systematic review.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91</w:t>
      </w:r>
      <w:r>
        <w:rPr>
          <w:kern w:val="0"/>
        </w:rPr>
        <w:t xml:space="preserve"> (12), 1814-1837.</w:t>
      </w:r>
    </w:p>
    <w:p w:rsidR="007705F8" w:rsidRPr="001A3D2B" w:rsidRDefault="007705F8" w:rsidP="007705F8">
      <w:pPr>
        <w:pStyle w:val="a3"/>
      </w:pPr>
      <w:r w:rsidRPr="001A3D2B">
        <w:t xml:space="preserve">Full Text: </w:t>
      </w:r>
      <w:hyperlink r:id="rId1173" w:history="1">
        <w:r w:rsidRPr="007705F8">
          <w:rPr>
            <w:rStyle w:val="a5"/>
          </w:rPr>
          <w:t>2010\Arc Phy Med Reh91, 1814.pdf</w:t>
        </w:r>
      </w:hyperlink>
    </w:p>
    <w:p w:rsidR="007705F8" w:rsidRDefault="007705F8" w:rsidP="007705F8">
      <w:pPr>
        <w:pStyle w:val="a3"/>
        <w:rPr>
          <w:kern w:val="0"/>
        </w:rPr>
      </w:pPr>
      <w:r>
        <w:rPr>
          <w:kern w:val="0"/>
        </w:rPr>
        <w:t>Abstract: Simmons-Mackie N, Raymer A, Armstrong E, Holland A, Cherney LR. Communication partner training in aphasia: a systematic review. Arch Phys Med Rehabil 2010;91: 1814-37. Objectives: To describe</w:t>
      </w:r>
      <w:r w:rsidR="003A1917">
        <w:rPr>
          <w:kern w:val="0"/>
        </w:rPr>
        <w:t xml:space="preserve"> the </w:t>
      </w:r>
      <w:r>
        <w:rPr>
          <w:kern w:val="0"/>
        </w:rPr>
        <w:t>effects</w:t>
      </w:r>
      <w:r w:rsidR="00427468">
        <w:rPr>
          <w:kern w:val="0"/>
        </w:rPr>
        <w:t xml:space="preserve"> of </w:t>
      </w:r>
      <w:r>
        <w:rPr>
          <w:kern w:val="0"/>
        </w:rPr>
        <w:t>communication partner training on persons with aphasia</w:t>
      </w:r>
      <w:r w:rsidR="005853A9">
        <w:rPr>
          <w:kern w:val="0"/>
        </w:rPr>
        <w:t xml:space="preserve"> and </w:t>
      </w:r>
      <w:r>
        <w:rPr>
          <w:kern w:val="0"/>
        </w:rPr>
        <w:t>their communication partners. Specifically</w:t>
      </w:r>
      <w:r w:rsidR="003A1917">
        <w:rPr>
          <w:kern w:val="0"/>
        </w:rPr>
        <w:t xml:space="preserve"> the </w:t>
      </w:r>
      <w:r>
        <w:rPr>
          <w:kern w:val="0"/>
        </w:rPr>
        <w:t>systematic review addressed 3 clinical questions regarding</w:t>
      </w:r>
      <w:r w:rsidR="003A1917">
        <w:rPr>
          <w:kern w:val="0"/>
        </w:rPr>
        <w:t xml:space="preserve"> the </w:t>
      </w:r>
      <w:r>
        <w:rPr>
          <w:kern w:val="0"/>
        </w:rPr>
        <w:t>impact</w:t>
      </w:r>
      <w:r w:rsidR="00427468">
        <w:rPr>
          <w:kern w:val="0"/>
        </w:rPr>
        <w:t xml:space="preserve"> of </w:t>
      </w:r>
      <w:r>
        <w:rPr>
          <w:kern w:val="0"/>
        </w:rPr>
        <w:t>partner training on language, communication activity</w:t>
      </w:r>
      <w:r w:rsidR="005853A9">
        <w:rPr>
          <w:kern w:val="0"/>
        </w:rPr>
        <w:t xml:space="preserve"> and </w:t>
      </w:r>
      <w:r>
        <w:rPr>
          <w:kern w:val="0"/>
        </w:rPr>
        <w:t>participation, psychosocial adjustment,</w:t>
      </w:r>
      <w:r w:rsidR="005853A9">
        <w:rPr>
          <w:kern w:val="0"/>
        </w:rPr>
        <w:t xml:space="preserve"> and </w:t>
      </w:r>
      <w:r>
        <w:rPr>
          <w:kern w:val="0"/>
        </w:rPr>
        <w:t>quality</w:t>
      </w:r>
      <w:r w:rsidR="00427468">
        <w:rPr>
          <w:kern w:val="0"/>
        </w:rPr>
        <w:t xml:space="preserve"> of </w:t>
      </w:r>
      <w:r>
        <w:rPr>
          <w:kern w:val="0"/>
        </w:rPr>
        <w:t>life for adults with aphasia</w:t>
      </w:r>
      <w:r w:rsidR="005853A9">
        <w:rPr>
          <w:kern w:val="0"/>
        </w:rPr>
        <w:t xml:space="preserve"> and </w:t>
      </w:r>
      <w:r>
        <w:rPr>
          <w:kern w:val="0"/>
        </w:rPr>
        <w:t xml:space="preserve">their communication partners. Data Sources: Twenty-three terms were used to search 12 electronic databases (eg, </w:t>
      </w:r>
      <w:r w:rsidR="002C12F0">
        <w:rPr>
          <w:kern w:val="0"/>
        </w:rPr>
        <w:t>PUBMED</w:t>
      </w:r>
      <w:r>
        <w:rPr>
          <w:kern w:val="0"/>
        </w:rPr>
        <w:t>, CINAHL, PsychINFO, Psych Articles, CSA Linguistics</w:t>
      </w:r>
      <w:r w:rsidR="005853A9">
        <w:rPr>
          <w:kern w:val="0"/>
        </w:rPr>
        <w:t xml:space="preserve"> and </w:t>
      </w:r>
      <w:r>
        <w:rPr>
          <w:kern w:val="0"/>
        </w:rPr>
        <w:t>Language Behavior Abstracts, Social Sciences Citation Index [</w:t>
      </w:r>
      <w:r w:rsidR="00D5664A">
        <w:rPr>
          <w:kern w:val="0"/>
        </w:rPr>
        <w:t>Web</w:t>
      </w:r>
      <w:r w:rsidR="00427468">
        <w:rPr>
          <w:kern w:val="0"/>
        </w:rPr>
        <w:t xml:space="preserve"> of </w:t>
      </w:r>
      <w:r w:rsidR="00D5664A">
        <w:rPr>
          <w:kern w:val="0"/>
        </w:rPr>
        <w:t>Science</w:t>
      </w:r>
      <w:r>
        <w:rPr>
          <w:kern w:val="0"/>
        </w:rPr>
        <w:t>], SUMSearch, TRIP, EMBASE, REHABDATA, National Library for Health, Cochrane Database</w:t>
      </w:r>
      <w:r w:rsidR="00427468">
        <w:rPr>
          <w:kern w:val="0"/>
        </w:rPr>
        <w:t xml:space="preserve"> of </w:t>
      </w:r>
      <w:r>
        <w:rPr>
          <w:kern w:val="0"/>
        </w:rPr>
        <w:t>Systematic Reviews)</w:t>
      </w:r>
      <w:r w:rsidR="005853A9">
        <w:rPr>
          <w:kern w:val="0"/>
        </w:rPr>
        <w:t xml:space="preserve"> and </w:t>
      </w:r>
      <w:r w:rsidR="003A1917">
        <w:rPr>
          <w:kern w:val="0"/>
        </w:rPr>
        <w:t xml:space="preserve">the </w:t>
      </w:r>
      <w:r>
        <w:rPr>
          <w:kern w:val="0"/>
        </w:rPr>
        <w:t xml:space="preserve">journal </w:t>
      </w:r>
      <w:r w:rsidR="00B5188C">
        <w:rPr>
          <w:kern w:val="0"/>
        </w:rPr>
        <w:t>“</w:t>
      </w:r>
      <w:r>
        <w:rPr>
          <w:kern w:val="0"/>
        </w:rPr>
        <w:t>Aphasiology.</w:t>
      </w:r>
      <w:r w:rsidR="00B5188C">
        <w:rPr>
          <w:kern w:val="0"/>
        </w:rPr>
        <w:t>”</w:t>
      </w:r>
      <w:r>
        <w:rPr>
          <w:kern w:val="0"/>
        </w:rPr>
        <w:t xml:space="preserve"> References from all relevant articles were hand-searched. Study Selection: Two reviewers independently applied inclusion criteria to select potential relevant articles from</w:t>
      </w:r>
      <w:r w:rsidR="003A1917">
        <w:rPr>
          <w:kern w:val="0"/>
        </w:rPr>
        <w:t xml:space="preserve"> the </w:t>
      </w:r>
      <w:r>
        <w:rPr>
          <w:kern w:val="0"/>
        </w:rPr>
        <w:t>titles</w:t>
      </w:r>
      <w:r w:rsidR="005853A9">
        <w:rPr>
          <w:kern w:val="0"/>
        </w:rPr>
        <w:t xml:space="preserve"> and </w:t>
      </w:r>
      <w:r>
        <w:rPr>
          <w:kern w:val="0"/>
        </w:rPr>
        <w:t>abstracts</w:t>
      </w:r>
      <w:r w:rsidR="00427468">
        <w:rPr>
          <w:kern w:val="0"/>
        </w:rPr>
        <w:t xml:space="preserve"> of </w:t>
      </w:r>
      <w:r>
        <w:rPr>
          <w:kern w:val="0"/>
        </w:rPr>
        <w:t>references retrieved by</w:t>
      </w:r>
      <w:r w:rsidR="003A1917">
        <w:rPr>
          <w:kern w:val="0"/>
        </w:rPr>
        <w:t xml:space="preserve"> the </w:t>
      </w:r>
      <w:r>
        <w:rPr>
          <w:kern w:val="0"/>
        </w:rPr>
        <w:t>literature search</w:t>
      </w:r>
      <w:r w:rsidR="00A37C1D">
        <w:rPr>
          <w:kern w:val="0"/>
        </w:rPr>
        <w:t>. The</w:t>
      </w:r>
      <w:r w:rsidR="003A1917">
        <w:rPr>
          <w:kern w:val="0"/>
        </w:rPr>
        <w:t xml:space="preserve"> </w:t>
      </w:r>
      <w:r>
        <w:rPr>
          <w:kern w:val="0"/>
        </w:rPr>
        <w:t>full text</w:t>
      </w:r>
      <w:r w:rsidR="00427468">
        <w:rPr>
          <w:kern w:val="0"/>
        </w:rPr>
        <w:t xml:space="preserve"> of </w:t>
      </w:r>
      <w:r w:rsidR="003A1917">
        <w:rPr>
          <w:kern w:val="0"/>
        </w:rPr>
        <w:t xml:space="preserve">the </w:t>
      </w:r>
      <w:r>
        <w:rPr>
          <w:kern w:val="0"/>
        </w:rPr>
        <w:t>remaining articles was reviewed by a 5-member panel, resulting in a corpus</w:t>
      </w:r>
      <w:r w:rsidR="00427468">
        <w:rPr>
          <w:kern w:val="0"/>
        </w:rPr>
        <w:t xml:space="preserve"> of </w:t>
      </w:r>
      <w:r>
        <w:rPr>
          <w:kern w:val="0"/>
        </w:rPr>
        <w:t>31 studies that met</w:t>
      </w:r>
      <w:r w:rsidR="003A1917">
        <w:rPr>
          <w:kern w:val="0"/>
        </w:rPr>
        <w:t xml:space="preserve"> the </w:t>
      </w:r>
      <w:r>
        <w:rPr>
          <w:kern w:val="0"/>
        </w:rPr>
        <w:t>final inclusion criteria. Data Extraction: Two independent reviewers extracted</w:t>
      </w:r>
      <w:r w:rsidR="003A1917">
        <w:rPr>
          <w:kern w:val="0"/>
        </w:rPr>
        <w:t xml:space="preserve"> the </w:t>
      </w:r>
      <w:r>
        <w:rPr>
          <w:kern w:val="0"/>
        </w:rPr>
        <w:t>descriptive data related to</w:t>
      </w:r>
      <w:r w:rsidR="003A1917">
        <w:rPr>
          <w:kern w:val="0"/>
        </w:rPr>
        <w:t xml:space="preserve"> the </w:t>
      </w:r>
      <w:r>
        <w:rPr>
          <w:kern w:val="0"/>
        </w:rPr>
        <w:t>participants,</w:t>
      </w:r>
      <w:r w:rsidR="003A1917">
        <w:rPr>
          <w:kern w:val="0"/>
        </w:rPr>
        <w:t xml:space="preserve"> the </w:t>
      </w:r>
      <w:r>
        <w:rPr>
          <w:kern w:val="0"/>
        </w:rPr>
        <w:t>intervention,</w:t>
      </w:r>
      <w:r w:rsidR="003A1917">
        <w:rPr>
          <w:kern w:val="0"/>
        </w:rPr>
        <w:t xml:space="preserve"> the </w:t>
      </w:r>
      <w:r>
        <w:rPr>
          <w:kern w:val="0"/>
        </w:rPr>
        <w:t>outcome measures,</w:t>
      </w:r>
      <w:r w:rsidR="005853A9">
        <w:rPr>
          <w:kern w:val="0"/>
        </w:rPr>
        <w:t xml:space="preserve"> and </w:t>
      </w:r>
      <w:r w:rsidR="003A1917">
        <w:rPr>
          <w:kern w:val="0"/>
        </w:rPr>
        <w:t xml:space="preserve">the </w:t>
      </w:r>
      <w:r>
        <w:rPr>
          <w:kern w:val="0"/>
        </w:rPr>
        <w:t>results. Data Synthesis:</w:t>
      </w:r>
      <w:r w:rsidR="003A1917">
        <w:rPr>
          <w:kern w:val="0"/>
        </w:rPr>
        <w:t xml:space="preserve"> the </w:t>
      </w:r>
      <w:r>
        <w:rPr>
          <w:kern w:val="0"/>
        </w:rPr>
        <w:t>5-member review team by consensus classified</w:t>
      </w:r>
      <w:r w:rsidR="003A1917">
        <w:rPr>
          <w:kern w:val="0"/>
        </w:rPr>
        <w:t xml:space="preserve"> the </w:t>
      </w:r>
      <w:r>
        <w:rPr>
          <w:kern w:val="0"/>
        </w:rPr>
        <w:t>studies using</w:t>
      </w:r>
      <w:r w:rsidR="003A1917">
        <w:rPr>
          <w:kern w:val="0"/>
        </w:rPr>
        <w:t xml:space="preserve"> the </w:t>
      </w:r>
      <w:r>
        <w:rPr>
          <w:kern w:val="0"/>
        </w:rPr>
        <w:t>American Academy</w:t>
      </w:r>
      <w:r w:rsidR="00427468">
        <w:rPr>
          <w:kern w:val="0"/>
        </w:rPr>
        <w:t xml:space="preserve"> of </w:t>
      </w:r>
      <w:r>
        <w:rPr>
          <w:kern w:val="0"/>
        </w:rPr>
        <w:t>Neurology system for classification</w:t>
      </w:r>
      <w:r w:rsidR="00427468">
        <w:rPr>
          <w:kern w:val="0"/>
        </w:rPr>
        <w:t xml:space="preserve"> of </w:t>
      </w:r>
      <w:r>
        <w:rPr>
          <w:kern w:val="0"/>
        </w:rPr>
        <w:t>evidence (2004). Conclusions: Evidence shows that communication partner training is effective in improving communication activities and/or participation</w:t>
      </w:r>
      <w:r w:rsidR="00427468">
        <w:rPr>
          <w:kern w:val="0"/>
        </w:rPr>
        <w:t xml:space="preserve"> of </w:t>
      </w:r>
      <w:r w:rsidR="003A1917">
        <w:rPr>
          <w:kern w:val="0"/>
        </w:rPr>
        <w:t xml:space="preserve">the </w:t>
      </w:r>
      <w:r>
        <w:rPr>
          <w:kern w:val="0"/>
        </w:rPr>
        <w:t>communication partner</w:t>
      </w:r>
      <w:r w:rsidR="005853A9">
        <w:rPr>
          <w:kern w:val="0"/>
        </w:rPr>
        <w:t xml:space="preserve"> and </w:t>
      </w:r>
      <w:r>
        <w:rPr>
          <w:kern w:val="0"/>
        </w:rPr>
        <w:t>is probably effective in improving communication activities and/or participation</w:t>
      </w:r>
      <w:r w:rsidR="00427468">
        <w:rPr>
          <w:kern w:val="0"/>
        </w:rPr>
        <w:t xml:space="preserve"> of </w:t>
      </w:r>
      <w:r>
        <w:rPr>
          <w:kern w:val="0"/>
        </w:rPr>
        <w:t>persons with chronic aphasia when they are interacting with trained communication partners</w:t>
      </w:r>
      <w:r w:rsidR="00A37C1D">
        <w:rPr>
          <w:kern w:val="0"/>
        </w:rPr>
        <w:t>. The</w:t>
      </w:r>
      <w:r>
        <w:rPr>
          <w:kern w:val="0"/>
        </w:rPr>
        <w:t>re is insufficient evidence to make recommendations related to</w:t>
      </w:r>
      <w:r w:rsidR="003A1917">
        <w:rPr>
          <w:kern w:val="0"/>
        </w:rPr>
        <w:t xml:space="preserve"> the </w:t>
      </w:r>
      <w:r>
        <w:rPr>
          <w:kern w:val="0"/>
        </w:rPr>
        <w:t>impact</w:t>
      </w:r>
      <w:r w:rsidR="00427468">
        <w:rPr>
          <w:kern w:val="0"/>
        </w:rPr>
        <w:t xml:space="preserve"> of </w:t>
      </w:r>
      <w:r>
        <w:rPr>
          <w:kern w:val="0"/>
        </w:rPr>
        <w:t>partner training on persons with acute aphasia or</w:t>
      </w:r>
      <w:r w:rsidR="003A1917">
        <w:rPr>
          <w:kern w:val="0"/>
        </w:rPr>
        <w:t xml:space="preserve"> the </w:t>
      </w:r>
      <w:r>
        <w:rPr>
          <w:kern w:val="0"/>
        </w:rPr>
        <w:t>impact</w:t>
      </w:r>
      <w:r w:rsidR="00427468">
        <w:rPr>
          <w:kern w:val="0"/>
        </w:rPr>
        <w:t xml:space="preserve"> of </w:t>
      </w:r>
      <w:r>
        <w:rPr>
          <w:kern w:val="0"/>
        </w:rPr>
        <w:t>training on language impairment, psychosocial adjustment, or quality</w:t>
      </w:r>
      <w:r w:rsidR="00427468">
        <w:rPr>
          <w:kern w:val="0"/>
        </w:rPr>
        <w:t xml:space="preserve"> of </w:t>
      </w:r>
      <w:r>
        <w:rPr>
          <w:kern w:val="0"/>
        </w:rPr>
        <w:t>life for either</w:t>
      </w:r>
      <w:r w:rsidR="003A1917">
        <w:rPr>
          <w:kern w:val="0"/>
        </w:rPr>
        <w:t xml:space="preserve"> the </w:t>
      </w:r>
      <w:r>
        <w:rPr>
          <w:kern w:val="0"/>
        </w:rPr>
        <w:t xml:space="preserve">person with </w:t>
      </w:r>
      <w:r>
        <w:rPr>
          <w:kern w:val="0"/>
        </w:rPr>
        <w:lastRenderedPageBreak/>
        <w:t>aphasia or</w:t>
      </w:r>
      <w:r w:rsidR="003A1917">
        <w:rPr>
          <w:kern w:val="0"/>
        </w:rPr>
        <w:t xml:space="preserve"> the </w:t>
      </w:r>
      <w:r>
        <w:rPr>
          <w:kern w:val="0"/>
        </w:rPr>
        <w:t>communication partner.</w:t>
      </w:r>
    </w:p>
    <w:p w:rsidR="007705F8" w:rsidRDefault="007705F8" w:rsidP="007705F8">
      <w:pPr>
        <w:pStyle w:val="a3"/>
        <w:rPr>
          <w:kern w:val="0"/>
        </w:rPr>
      </w:pPr>
      <w:r>
        <w:rPr>
          <w:kern w:val="0"/>
        </w:rPr>
        <w:t xml:space="preserve">Keywords: Adults, Aphasia, Caregivers, Chronic, Classification, Clinical, Communication, Consensus, Controlled-Trial, Conversation Partners, Criteria, Data, Databases, Evidence, Family-Therapy, Impact, Intervention, Journal, Life, Literature, N, Outcome, Outcome Measures, Outcomes, Participation, People, Person, Potential, Psychosocial, Psychosocial Adjustment, </w:t>
      </w:r>
      <w:r w:rsidR="002C12F0">
        <w:rPr>
          <w:kern w:val="0"/>
        </w:rPr>
        <w:t>PUBMED</w:t>
      </w:r>
      <w:r>
        <w:rPr>
          <w:kern w:val="0"/>
        </w:rPr>
        <w:t>, Quality, Quality of, Quality</w:t>
      </w:r>
      <w:r w:rsidR="00427468">
        <w:rPr>
          <w:kern w:val="0"/>
        </w:rPr>
        <w:t xml:space="preserve"> of </w:t>
      </w:r>
      <w:r>
        <w:rPr>
          <w:kern w:val="0"/>
        </w:rPr>
        <w:t>Life, Quality</w:t>
      </w:r>
      <w:r w:rsidR="00434900">
        <w:rPr>
          <w:kern w:val="0"/>
        </w:rPr>
        <w:t>-of-</w:t>
      </w:r>
      <w:r>
        <w:rPr>
          <w:kern w:val="0"/>
        </w:rPr>
        <w:t>Life, Recommendations, References, Rehabilitation, Review, Stroke-Induced Aphasia, Synthesis, Systematic Review, Training, Treatment Outcome, Volunteers</w:t>
      </w:r>
    </w:p>
    <w:p w:rsidR="008E0CF6" w:rsidRDefault="008E0CF6" w:rsidP="008E0CF6">
      <w:pPr>
        <w:pStyle w:val="a3"/>
        <w:rPr>
          <w:kern w:val="0"/>
        </w:rPr>
      </w:pPr>
      <w:r>
        <w:rPr>
          <w:rFonts w:hint="eastAsia"/>
          <w:kern w:val="0"/>
        </w:rPr>
        <w:t xml:space="preserve">? </w:t>
      </w:r>
      <w:r>
        <w:rPr>
          <w:kern w:val="0"/>
        </w:rPr>
        <w:t>Grimby, G. (2010), Top cited articles in rehabilitation: Additional list</w:t>
      </w:r>
      <w:r w:rsidR="00427468">
        <w:rPr>
          <w:kern w:val="0"/>
        </w:rPr>
        <w:t xml:space="preserve"> of </w:t>
      </w:r>
      <w:r>
        <w:rPr>
          <w:kern w:val="0"/>
        </w:rPr>
        <w:t xml:space="preserve">articles.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91</w:t>
      </w:r>
      <w:r>
        <w:rPr>
          <w:kern w:val="0"/>
        </w:rPr>
        <w:t xml:space="preserve"> (12), 1960-1961</w:t>
      </w:r>
      <w:r w:rsidR="00743106">
        <w:rPr>
          <w:rFonts w:hint="eastAsia"/>
          <w:kern w:val="0"/>
        </w:rPr>
        <w:t>.</w:t>
      </w:r>
    </w:p>
    <w:p w:rsidR="008E0CF6" w:rsidRPr="001A3D2B" w:rsidRDefault="008E0CF6" w:rsidP="008E0CF6">
      <w:pPr>
        <w:pStyle w:val="a3"/>
      </w:pPr>
      <w:r w:rsidRPr="001A3D2B">
        <w:t xml:space="preserve">Full Text: </w:t>
      </w:r>
      <w:hyperlink r:id="rId1174" w:history="1">
        <w:r w:rsidRPr="008E0CF6">
          <w:rPr>
            <w:rStyle w:val="a5"/>
          </w:rPr>
          <w:t>2010\Arc Phy Med Reh91, 1960.pdf</w:t>
        </w:r>
      </w:hyperlink>
    </w:p>
    <w:p w:rsidR="008E0CF6" w:rsidRDefault="008E0CF6" w:rsidP="008E0CF6">
      <w:pPr>
        <w:pStyle w:val="a3"/>
        <w:rPr>
          <w:kern w:val="0"/>
        </w:rPr>
      </w:pPr>
      <w:r>
        <w:rPr>
          <w:kern w:val="0"/>
        </w:rPr>
        <w:t>Keywords: Distinct Scientific Fields</w:t>
      </w:r>
    </w:p>
    <w:p w:rsidR="00F6450F" w:rsidRDefault="00F6450F" w:rsidP="00F6450F">
      <w:pPr>
        <w:pStyle w:val="a3"/>
        <w:rPr>
          <w:kern w:val="0"/>
        </w:rPr>
      </w:pPr>
      <w:r>
        <w:rPr>
          <w:rFonts w:hint="eastAsia"/>
          <w:kern w:val="0"/>
        </w:rPr>
        <w:t xml:space="preserve">? </w:t>
      </w:r>
      <w:r>
        <w:rPr>
          <w:kern w:val="0"/>
        </w:rPr>
        <w:t>Shadgan, B., Roig, M.</w:t>
      </w:r>
      <w:r w:rsidR="005853A9">
        <w:rPr>
          <w:kern w:val="0"/>
        </w:rPr>
        <w:t xml:space="preserve"> and </w:t>
      </w:r>
      <w:r>
        <w:rPr>
          <w:kern w:val="0"/>
        </w:rPr>
        <w:t>HajGhanbari, B. (2010), Top cited articles in rehabilitation: additional list</w:t>
      </w:r>
      <w:r w:rsidR="00427468">
        <w:rPr>
          <w:kern w:val="0"/>
        </w:rPr>
        <w:t xml:space="preserve"> of </w:t>
      </w:r>
      <w:r>
        <w:rPr>
          <w:kern w:val="0"/>
        </w:rPr>
        <w:t xml:space="preserve">articles response.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91</w:t>
      </w:r>
      <w:r>
        <w:rPr>
          <w:kern w:val="0"/>
        </w:rPr>
        <w:t xml:space="preserve"> (12), 1961-1962</w:t>
      </w:r>
      <w:r w:rsidR="00A13E9A">
        <w:rPr>
          <w:rFonts w:hint="eastAsia"/>
          <w:kern w:val="0"/>
        </w:rPr>
        <w:t>.</w:t>
      </w:r>
    </w:p>
    <w:p w:rsidR="00F6450F" w:rsidRPr="001A3D2B" w:rsidRDefault="00F6450F" w:rsidP="00F6450F">
      <w:pPr>
        <w:pStyle w:val="a3"/>
      </w:pPr>
      <w:r w:rsidRPr="001A3D2B">
        <w:t xml:space="preserve">Full Text: </w:t>
      </w:r>
      <w:hyperlink r:id="rId1175" w:history="1">
        <w:r w:rsidRPr="00F6450F">
          <w:rPr>
            <w:rStyle w:val="a5"/>
          </w:rPr>
          <w:t>2010\Arc Phy Med Reh91, 1961.pdf</w:t>
        </w:r>
      </w:hyperlink>
    </w:p>
    <w:p w:rsidR="00F6450F" w:rsidRDefault="00F6450F" w:rsidP="00F6450F">
      <w:pPr>
        <w:pStyle w:val="a3"/>
        <w:rPr>
          <w:kern w:val="0"/>
        </w:rPr>
      </w:pPr>
      <w:r>
        <w:rPr>
          <w:kern w:val="0"/>
        </w:rPr>
        <w:t>Keywords: Citation-Classics, Journals, Medicine</w:t>
      </w:r>
    </w:p>
    <w:p w:rsidR="008B4CD5" w:rsidRDefault="008B4CD5" w:rsidP="008B4CD5">
      <w:pPr>
        <w:pStyle w:val="a3"/>
        <w:rPr>
          <w:kern w:val="0"/>
        </w:rPr>
      </w:pPr>
      <w:r>
        <w:rPr>
          <w:rFonts w:hint="eastAsia"/>
          <w:kern w:val="0"/>
        </w:rPr>
        <w:t xml:space="preserve">? </w:t>
      </w:r>
      <w:r>
        <w:rPr>
          <w:kern w:val="0"/>
        </w:rPr>
        <w:t>Cheung, V.H., Gray, L.</w:t>
      </w:r>
      <w:r w:rsidR="005853A9">
        <w:rPr>
          <w:kern w:val="0"/>
        </w:rPr>
        <w:t xml:space="preserve"> and </w:t>
      </w:r>
      <w:r>
        <w:rPr>
          <w:kern w:val="0"/>
        </w:rPr>
        <w:t>Karunanithi, M. (2011), Review</w:t>
      </w:r>
      <w:r w:rsidR="00427468">
        <w:rPr>
          <w:kern w:val="0"/>
        </w:rPr>
        <w:t xml:space="preserve"> of </w:t>
      </w:r>
      <w:r>
        <w:rPr>
          <w:kern w:val="0"/>
        </w:rPr>
        <w:t xml:space="preserve">accelerometry for determining daily activity among elderly patients.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92</w:t>
      </w:r>
      <w:r>
        <w:rPr>
          <w:kern w:val="0"/>
        </w:rPr>
        <w:t xml:space="preserve"> (6), 998-1014.</w:t>
      </w:r>
    </w:p>
    <w:p w:rsidR="003348ED" w:rsidRPr="001A3D2B" w:rsidRDefault="003348ED" w:rsidP="003348ED">
      <w:pPr>
        <w:pStyle w:val="a3"/>
      </w:pPr>
      <w:r w:rsidRPr="001A3D2B">
        <w:t xml:space="preserve">Full Text: </w:t>
      </w:r>
      <w:hyperlink r:id="rId1176" w:history="1">
        <w:r w:rsidRPr="00121F90">
          <w:rPr>
            <w:rStyle w:val="a5"/>
          </w:rPr>
          <w:t>2011\Arc Phy Med Reh92, 998.pdf</w:t>
        </w:r>
      </w:hyperlink>
    </w:p>
    <w:p w:rsidR="008B4CD5" w:rsidRDefault="008B4CD5" w:rsidP="008B4CD5">
      <w:pPr>
        <w:pStyle w:val="a3"/>
        <w:rPr>
          <w:kern w:val="0"/>
        </w:rPr>
      </w:pPr>
      <w:r>
        <w:rPr>
          <w:kern w:val="0"/>
        </w:rPr>
        <w:t>Abstract: Cheung VH, Gray L, Karunanithi M. Review</w:t>
      </w:r>
      <w:r w:rsidR="00427468">
        <w:rPr>
          <w:kern w:val="0"/>
        </w:rPr>
        <w:t xml:space="preserve"> of </w:t>
      </w:r>
      <w:r>
        <w:rPr>
          <w:kern w:val="0"/>
        </w:rPr>
        <w:t>accelerometry for determining daily activity among elderly patients. Arch Phys Med Rehabil 2011;92:998-1014. Objectives: To review studies that used accelerometers to classify human movements</w:t>
      </w:r>
      <w:r w:rsidR="005853A9">
        <w:rPr>
          <w:kern w:val="0"/>
        </w:rPr>
        <w:t xml:space="preserve"> and </w:t>
      </w:r>
      <w:r>
        <w:rPr>
          <w:kern w:val="0"/>
        </w:rPr>
        <w:t>to appraise their potential to determine</w:t>
      </w:r>
      <w:r w:rsidR="003A1917">
        <w:rPr>
          <w:kern w:val="0"/>
        </w:rPr>
        <w:t xml:space="preserve"> the </w:t>
      </w:r>
      <w:r>
        <w:rPr>
          <w:kern w:val="0"/>
        </w:rPr>
        <w:t>activities</w:t>
      </w:r>
      <w:r w:rsidR="00427468">
        <w:rPr>
          <w:kern w:val="0"/>
        </w:rPr>
        <w:t xml:space="preserve"> of </w:t>
      </w:r>
      <w:r>
        <w:rPr>
          <w:kern w:val="0"/>
        </w:rPr>
        <w:t xml:space="preserve">older patients in hospital settings. Data Sources: </w:t>
      </w:r>
      <w:r w:rsidR="00D5664A">
        <w:rPr>
          <w:kern w:val="0"/>
        </w:rPr>
        <w:t>MEDLINE</w:t>
      </w:r>
      <w:r>
        <w:rPr>
          <w:kern w:val="0"/>
        </w:rPr>
        <w:t>, CINAHL,</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electronic databases. A search constraint</w:t>
      </w:r>
      <w:r w:rsidR="00427468">
        <w:rPr>
          <w:kern w:val="0"/>
        </w:rPr>
        <w:t xml:space="preserve"> of </w:t>
      </w:r>
      <w:r>
        <w:rPr>
          <w:kern w:val="0"/>
        </w:rPr>
        <w:t>articles published in English language between January 1980</w:t>
      </w:r>
      <w:r w:rsidR="005853A9">
        <w:rPr>
          <w:kern w:val="0"/>
        </w:rPr>
        <w:t xml:space="preserve"> and </w:t>
      </w:r>
      <w:r>
        <w:rPr>
          <w:kern w:val="0"/>
        </w:rPr>
        <w:t>March 2010 was applied. Study Selection: All studies that validated</w:t>
      </w:r>
      <w:r w:rsidR="003A1917">
        <w:rPr>
          <w:kern w:val="0"/>
        </w:rPr>
        <w:t xml:space="preserve"> the </w:t>
      </w:r>
      <w:r>
        <w:rPr>
          <w:kern w:val="0"/>
        </w:rPr>
        <w:t>use</w:t>
      </w:r>
      <w:r w:rsidR="00427468">
        <w:rPr>
          <w:kern w:val="0"/>
        </w:rPr>
        <w:t xml:space="preserve"> of </w:t>
      </w:r>
      <w:r>
        <w:rPr>
          <w:kern w:val="0"/>
        </w:rPr>
        <w:t>accelerometers to classify human postural movements</w:t>
      </w:r>
      <w:r w:rsidR="005853A9">
        <w:rPr>
          <w:kern w:val="0"/>
        </w:rPr>
        <w:t xml:space="preserve"> and </w:t>
      </w:r>
      <w:r>
        <w:rPr>
          <w:kern w:val="0"/>
        </w:rPr>
        <w:t>mobility were included. Studies included participants from any age group. All types</w:t>
      </w:r>
      <w:r w:rsidR="00427468">
        <w:rPr>
          <w:kern w:val="0"/>
        </w:rPr>
        <w:t xml:space="preserve"> of </w:t>
      </w:r>
      <w:r>
        <w:rPr>
          <w:kern w:val="0"/>
        </w:rPr>
        <w:t>accelerometers were included. Outcome measures criteria explored within</w:t>
      </w:r>
      <w:r w:rsidR="003A1917">
        <w:rPr>
          <w:kern w:val="0"/>
        </w:rPr>
        <w:t xml:space="preserve"> the </w:t>
      </w:r>
      <w:r>
        <w:rPr>
          <w:kern w:val="0"/>
        </w:rPr>
        <w:t>studies were comparisons</w:t>
      </w:r>
      <w:r w:rsidR="00427468">
        <w:rPr>
          <w:kern w:val="0"/>
        </w:rPr>
        <w:t xml:space="preserve"> of </w:t>
      </w:r>
      <w:r>
        <w:rPr>
          <w:kern w:val="0"/>
        </w:rPr>
        <w:t>derived classifications</w:t>
      </w:r>
      <w:r w:rsidR="00427468">
        <w:rPr>
          <w:kern w:val="0"/>
        </w:rPr>
        <w:t xml:space="preserve"> of </w:t>
      </w:r>
      <w:r>
        <w:rPr>
          <w:kern w:val="0"/>
        </w:rPr>
        <w:t>postural movements</w:t>
      </w:r>
      <w:r w:rsidR="005853A9">
        <w:rPr>
          <w:kern w:val="0"/>
        </w:rPr>
        <w:t xml:space="preserve"> and </w:t>
      </w:r>
      <w:r>
        <w:rPr>
          <w:kern w:val="0"/>
        </w:rPr>
        <w:t>mobility against those made by using observations. Based on these criteria, 54 studies were selected for detailed review from 526 initially identified studies. Data Extraction: Data were extracted by</w:t>
      </w:r>
      <w:r w:rsidR="003A1917">
        <w:rPr>
          <w:kern w:val="0"/>
        </w:rPr>
        <w:t xml:space="preserve"> the </w:t>
      </w:r>
      <w:r>
        <w:rPr>
          <w:kern w:val="0"/>
        </w:rPr>
        <w:t>first author</w:t>
      </w:r>
      <w:r w:rsidR="005853A9">
        <w:rPr>
          <w:kern w:val="0"/>
        </w:rPr>
        <w:t xml:space="preserve"> and </w:t>
      </w:r>
      <w:r>
        <w:rPr>
          <w:kern w:val="0"/>
        </w:rPr>
        <w:t>included characteristics</w:t>
      </w:r>
      <w:r w:rsidR="00427468">
        <w:rPr>
          <w:kern w:val="0"/>
        </w:rPr>
        <w:t xml:space="preserve"> of </w:t>
      </w:r>
      <w:r>
        <w:rPr>
          <w:kern w:val="0"/>
        </w:rPr>
        <w:t>study participants, accelerometers used, body positions</w:t>
      </w:r>
      <w:r w:rsidR="00427468">
        <w:rPr>
          <w:kern w:val="0"/>
        </w:rPr>
        <w:t xml:space="preserve"> of </w:t>
      </w:r>
      <w:r>
        <w:rPr>
          <w:kern w:val="0"/>
        </w:rPr>
        <w:t>device attachment, study setting, duration, methods, results,</w:t>
      </w:r>
      <w:r w:rsidR="005853A9">
        <w:rPr>
          <w:kern w:val="0"/>
        </w:rPr>
        <w:t xml:space="preserve"> and </w:t>
      </w:r>
      <w:r>
        <w:rPr>
          <w:kern w:val="0"/>
        </w:rPr>
        <w:t>limitations</w:t>
      </w:r>
      <w:r w:rsidR="00427468">
        <w:rPr>
          <w:kern w:val="0"/>
        </w:rPr>
        <w:t xml:space="preserve"> of </w:t>
      </w:r>
      <w:r w:rsidR="003A1917">
        <w:rPr>
          <w:kern w:val="0"/>
        </w:rPr>
        <w:t xml:space="preserve">the </w:t>
      </w:r>
      <w:r>
        <w:rPr>
          <w:kern w:val="0"/>
        </w:rPr>
        <w:t>validation studies. Data Synthesis:</w:t>
      </w:r>
      <w:r w:rsidR="003A1917">
        <w:rPr>
          <w:kern w:val="0"/>
        </w:rPr>
        <w:t xml:space="preserve"> the </w:t>
      </w:r>
      <w:r>
        <w:rPr>
          <w:kern w:val="0"/>
        </w:rPr>
        <w:t xml:space="preserve">accelerometer-based monitoring technique was </w:t>
      </w:r>
      <w:r>
        <w:rPr>
          <w:kern w:val="0"/>
        </w:rPr>
        <w:lastRenderedPageBreak/>
        <w:t>investigated predominantly on a small sample</w:t>
      </w:r>
      <w:r w:rsidR="00427468">
        <w:rPr>
          <w:kern w:val="0"/>
        </w:rPr>
        <w:t xml:space="preserve"> of </w:t>
      </w:r>
      <w:r>
        <w:rPr>
          <w:kern w:val="0"/>
        </w:rPr>
        <w:t>healthy adult participants in a laboratory setting. Most studies applied multiple accelerometers on</w:t>
      </w:r>
      <w:r w:rsidR="003A1917">
        <w:rPr>
          <w:kern w:val="0"/>
        </w:rPr>
        <w:t xml:space="preserve"> the </w:t>
      </w:r>
      <w:r>
        <w:rPr>
          <w:kern w:val="0"/>
        </w:rPr>
        <w:t>sternum, wrists, thighs,</w:t>
      </w:r>
      <w:r w:rsidR="005853A9">
        <w:rPr>
          <w:kern w:val="0"/>
        </w:rPr>
        <w:t xml:space="preserve"> and </w:t>
      </w:r>
      <w:r>
        <w:rPr>
          <w:kern w:val="0"/>
        </w:rPr>
        <w:t>shanks</w:t>
      </w:r>
      <w:r w:rsidR="00427468">
        <w:rPr>
          <w:kern w:val="0"/>
        </w:rPr>
        <w:t xml:space="preserve"> of </w:t>
      </w:r>
      <w:r>
        <w:rPr>
          <w:kern w:val="0"/>
        </w:rPr>
        <w:t>participants. Most studies collected validation data while participants performed a predefined standardized activity protocol. Conclusions: Accelerometer devices have</w:t>
      </w:r>
      <w:r w:rsidR="003A1917">
        <w:rPr>
          <w:kern w:val="0"/>
        </w:rPr>
        <w:t xml:space="preserve"> the </w:t>
      </w:r>
      <w:r>
        <w:rPr>
          <w:kern w:val="0"/>
        </w:rPr>
        <w:t>potential to monitor human movements continuously to determine postural movements</w:t>
      </w:r>
      <w:r w:rsidR="005853A9">
        <w:rPr>
          <w:kern w:val="0"/>
        </w:rPr>
        <w:t xml:space="preserve"> and </w:t>
      </w:r>
      <w:r>
        <w:rPr>
          <w:kern w:val="0"/>
        </w:rPr>
        <w:t>mobility for</w:t>
      </w:r>
      <w:r w:rsidR="003A1917">
        <w:rPr>
          <w:kern w:val="0"/>
        </w:rPr>
        <w:t xml:space="preserve"> the </w:t>
      </w:r>
      <w:r>
        <w:rPr>
          <w:kern w:val="0"/>
        </w:rPr>
        <w:t>assessment</w:t>
      </w:r>
      <w:r w:rsidR="00427468">
        <w:rPr>
          <w:kern w:val="0"/>
        </w:rPr>
        <w:t xml:space="preserve"> of </w:t>
      </w:r>
      <w:r>
        <w:rPr>
          <w:kern w:val="0"/>
        </w:rPr>
        <w:t>functional ability. Future studies should focus on long-term monitoring</w:t>
      </w:r>
      <w:r w:rsidR="00427468">
        <w:rPr>
          <w:kern w:val="0"/>
        </w:rPr>
        <w:t xml:space="preserve"> of </w:t>
      </w:r>
      <w:r>
        <w:rPr>
          <w:kern w:val="0"/>
        </w:rPr>
        <w:t>free daily activity</w:t>
      </w:r>
      <w:r w:rsidR="00427468">
        <w:rPr>
          <w:kern w:val="0"/>
        </w:rPr>
        <w:t xml:space="preserve"> of </w:t>
      </w:r>
      <w:r>
        <w:rPr>
          <w:kern w:val="0"/>
        </w:rPr>
        <w:t>a large sample</w:t>
      </w:r>
      <w:r w:rsidR="00427468">
        <w:rPr>
          <w:kern w:val="0"/>
        </w:rPr>
        <w:t xml:space="preserve"> of </w:t>
      </w:r>
      <w:r>
        <w:rPr>
          <w:kern w:val="0"/>
        </w:rPr>
        <w:t>mobility-impaired or older hospitalized patients, who are at risk for functional decline. Use</w:t>
      </w:r>
      <w:r w:rsidR="00427468">
        <w:rPr>
          <w:kern w:val="0"/>
        </w:rPr>
        <w:t xml:space="preserve"> of </w:t>
      </w:r>
      <w:r>
        <w:rPr>
          <w:kern w:val="0"/>
        </w:rPr>
        <w:t>a single waist-mounted triaxial accelerometer would be</w:t>
      </w:r>
      <w:r w:rsidR="003A1917">
        <w:rPr>
          <w:kern w:val="0"/>
        </w:rPr>
        <w:t xml:space="preserve"> the </w:t>
      </w:r>
      <w:r>
        <w:rPr>
          <w:kern w:val="0"/>
        </w:rPr>
        <w:t>most practical</w:t>
      </w:r>
      <w:r w:rsidR="005853A9">
        <w:rPr>
          <w:kern w:val="0"/>
        </w:rPr>
        <w:t xml:space="preserve"> and </w:t>
      </w:r>
      <w:r>
        <w:rPr>
          <w:kern w:val="0"/>
        </w:rPr>
        <w:t>useful option.</w:t>
      </w:r>
    </w:p>
    <w:p w:rsidR="008B4CD5" w:rsidRDefault="008B4CD5" w:rsidP="008B4CD5">
      <w:pPr>
        <w:pStyle w:val="a3"/>
        <w:rPr>
          <w:kern w:val="0"/>
        </w:rPr>
      </w:pPr>
      <w:r>
        <w:rPr>
          <w:kern w:val="0"/>
        </w:rPr>
        <w:t xml:space="preserve">Keywords: Acceleration, Activities, Activity Monitor, Adult, Ambulatory Accelerometry, Ambulatory Monitoring, Assessment, Author, Classification, Daily Physical-Activity, Databases, Dwelling Older-Adults, Elderly, Energy-Expenditure, Extraction, Functional, Hospital, Hospital Rehabilitation, Human, </w:t>
      </w:r>
      <w:r w:rsidR="00D5664A">
        <w:rPr>
          <w:kern w:val="0"/>
        </w:rPr>
        <w:t>MEDLINE</w:t>
      </w:r>
      <w:r>
        <w:rPr>
          <w:kern w:val="0"/>
        </w:rPr>
        <w:t xml:space="preserve">, Monitoring, Motion Sensors, Motor Activity, Movement, Older Patients, Protocol, Rehabilitation, Review, Review Literature, Risk, Science, Sources, Triaxial Accelerometer, Validation, Walking, Wearable Sensors, </w:t>
      </w:r>
      <w:r w:rsidR="00D5664A">
        <w:rPr>
          <w:kern w:val="0"/>
        </w:rPr>
        <w:t>Web</w:t>
      </w:r>
      <w:r w:rsidR="00427468">
        <w:rPr>
          <w:kern w:val="0"/>
        </w:rPr>
        <w:t xml:space="preserve"> of </w:t>
      </w:r>
      <w:r w:rsidR="00D5664A">
        <w:rPr>
          <w:kern w:val="0"/>
        </w:rPr>
        <w:t>Science</w:t>
      </w:r>
    </w:p>
    <w:p w:rsidR="002A68BF" w:rsidRDefault="002A68BF" w:rsidP="002A68BF">
      <w:pPr>
        <w:pStyle w:val="a3"/>
        <w:rPr>
          <w:kern w:val="0"/>
        </w:rPr>
      </w:pPr>
      <w:r>
        <w:rPr>
          <w:rFonts w:hint="eastAsia"/>
          <w:kern w:val="0"/>
        </w:rPr>
        <w:t xml:space="preserve">? </w:t>
      </w:r>
      <w:r>
        <w:rPr>
          <w:kern w:val="0"/>
        </w:rPr>
        <w:t>Disseldorp, L.M., Nieuwenhuis, M.K., Van Baar, M.E.</w:t>
      </w:r>
      <w:r w:rsidR="005853A9">
        <w:rPr>
          <w:kern w:val="0"/>
        </w:rPr>
        <w:t xml:space="preserve"> and </w:t>
      </w:r>
      <w:r>
        <w:rPr>
          <w:kern w:val="0"/>
        </w:rPr>
        <w:t xml:space="preserve">Mouton, L.J. (2011), Physical fitness in people after burn injury: A systematic review.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92</w:t>
      </w:r>
      <w:r>
        <w:rPr>
          <w:kern w:val="0"/>
        </w:rPr>
        <w:t xml:space="preserve"> (9), 1501-1510.</w:t>
      </w:r>
    </w:p>
    <w:p w:rsidR="002A68BF" w:rsidRPr="001A3D2B" w:rsidRDefault="002A68BF" w:rsidP="002A68BF">
      <w:pPr>
        <w:pStyle w:val="a3"/>
      </w:pPr>
      <w:r w:rsidRPr="001A3D2B">
        <w:t xml:space="preserve">Full Text: </w:t>
      </w:r>
      <w:hyperlink r:id="rId1177" w:history="1">
        <w:r w:rsidRPr="002A68BF">
          <w:rPr>
            <w:rStyle w:val="a5"/>
          </w:rPr>
          <w:t>2011\Arc Phy Med Reh92, 1501.pdf</w:t>
        </w:r>
      </w:hyperlink>
    </w:p>
    <w:p w:rsidR="002A68BF" w:rsidRDefault="002A68BF" w:rsidP="002A68BF">
      <w:pPr>
        <w:pStyle w:val="a3"/>
        <w:rPr>
          <w:kern w:val="0"/>
        </w:rPr>
      </w:pPr>
      <w:r>
        <w:rPr>
          <w:kern w:val="0"/>
        </w:rPr>
        <w:t>Abstract: Disseldorp LM, Nieuwenhuis MK, Van Baar ME, Mouton U. Physical fitness in people after burn injury: a systematic review. Arch Phys Med Rehabil 2011;92:1501-10. Objective: To gain insight into</w:t>
      </w:r>
      <w:r w:rsidR="003A1917">
        <w:rPr>
          <w:kern w:val="0"/>
        </w:rPr>
        <w:t xml:space="preserve"> the </w:t>
      </w:r>
      <w:r>
        <w:rPr>
          <w:kern w:val="0"/>
        </w:rPr>
        <w:t>physical fitness</w:t>
      </w:r>
      <w:r w:rsidR="00427468">
        <w:rPr>
          <w:kern w:val="0"/>
        </w:rPr>
        <w:t xml:space="preserve"> of </w:t>
      </w:r>
      <w:r>
        <w:rPr>
          <w:kern w:val="0"/>
        </w:rPr>
        <w:t>people after burn injury compared with healthy subjects,</w:t>
      </w:r>
      <w:r w:rsidR="005853A9">
        <w:rPr>
          <w:kern w:val="0"/>
        </w:rPr>
        <w:t xml:space="preserve"> and </w:t>
      </w:r>
      <w:r>
        <w:rPr>
          <w:kern w:val="0"/>
        </w:rPr>
        <w:t>to present an overview</w:t>
      </w:r>
      <w:r w:rsidR="00427468">
        <w:rPr>
          <w:kern w:val="0"/>
        </w:rPr>
        <w:t xml:space="preserve"> of </w:t>
      </w:r>
      <w:r w:rsidR="003A1917">
        <w:rPr>
          <w:kern w:val="0"/>
        </w:rPr>
        <w:t xml:space="preserve">the </w:t>
      </w:r>
      <w:r>
        <w:rPr>
          <w:kern w:val="0"/>
        </w:rPr>
        <w:t>effectiveness</w:t>
      </w:r>
      <w:r w:rsidR="00427468">
        <w:rPr>
          <w:kern w:val="0"/>
        </w:rPr>
        <w:t xml:space="preserve"> of </w:t>
      </w:r>
      <w:r>
        <w:rPr>
          <w:kern w:val="0"/>
        </w:rPr>
        <w:t>exercise training programs in improving physical fitness in people after burn injury. Data Sources: Electronic databases EMBASE, Pub 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for relevant publications. Additionally, references from retrieved publications were checked. Study Selection:</w:t>
      </w:r>
      <w:r w:rsidR="003A1917">
        <w:rPr>
          <w:kern w:val="0"/>
        </w:rPr>
        <w:t xml:space="preserve"> the </w:t>
      </w:r>
      <w:r>
        <w:rPr>
          <w:kern w:val="0"/>
        </w:rPr>
        <w:t>review includes studies that provide quantitative data from objective measures</w:t>
      </w:r>
      <w:r w:rsidR="00427468">
        <w:rPr>
          <w:kern w:val="0"/>
        </w:rPr>
        <w:t xml:space="preserve"> of </w:t>
      </w:r>
      <w:r>
        <w:rPr>
          <w:kern w:val="0"/>
        </w:rPr>
        <w:t>physical fitness</w:t>
      </w:r>
      <w:r w:rsidR="00427468">
        <w:rPr>
          <w:kern w:val="0"/>
        </w:rPr>
        <w:t xml:space="preserve"> of </w:t>
      </w:r>
      <w:r>
        <w:rPr>
          <w:kern w:val="0"/>
        </w:rPr>
        <w:t>both</w:t>
      </w:r>
      <w:r w:rsidR="003A1917">
        <w:rPr>
          <w:kern w:val="0"/>
        </w:rPr>
        <w:t xml:space="preserve"> the </w:t>
      </w:r>
      <w:r>
        <w:rPr>
          <w:kern w:val="0"/>
        </w:rPr>
        <w:t>intervention group</w:t>
      </w:r>
      <w:r w:rsidR="005853A9">
        <w:rPr>
          <w:kern w:val="0"/>
        </w:rPr>
        <w:t xml:space="preserve"> and </w:t>
      </w:r>
      <w:r w:rsidR="003A1917">
        <w:rPr>
          <w:kern w:val="0"/>
        </w:rPr>
        <w:t xml:space="preserve">the </w:t>
      </w:r>
      <w:r>
        <w:rPr>
          <w:kern w:val="0"/>
        </w:rPr>
        <w:t>control group. Data Extraction: Characteristics</w:t>
      </w:r>
      <w:r w:rsidR="00427468">
        <w:rPr>
          <w:kern w:val="0"/>
        </w:rPr>
        <w:t xml:space="preserve"> of </w:t>
      </w:r>
      <w:r>
        <w:rPr>
          <w:kern w:val="0"/>
        </w:rPr>
        <w:t>each study such as study design, institution,</w:t>
      </w:r>
      <w:r w:rsidR="005853A9">
        <w:rPr>
          <w:kern w:val="0"/>
        </w:rPr>
        <w:t xml:space="preserve"> and </w:t>
      </w:r>
      <w:r>
        <w:rPr>
          <w:kern w:val="0"/>
        </w:rPr>
        <w:t>intervention are reported, as well as mean ages</w:t>
      </w:r>
      <w:r w:rsidR="005853A9">
        <w:rPr>
          <w:kern w:val="0"/>
        </w:rPr>
        <w:t xml:space="preserve"> and </w:t>
      </w:r>
      <w:r>
        <w:rPr>
          <w:kern w:val="0"/>
        </w:rPr>
        <w:t>burn sizes</w:t>
      </w:r>
      <w:r w:rsidR="00427468">
        <w:rPr>
          <w:kern w:val="0"/>
        </w:rPr>
        <w:t xml:space="preserve"> of </w:t>
      </w:r>
      <w:r w:rsidR="003A1917">
        <w:rPr>
          <w:kern w:val="0"/>
        </w:rPr>
        <w:t xml:space="preserve">the </w:t>
      </w:r>
      <w:r>
        <w:rPr>
          <w:kern w:val="0"/>
        </w:rPr>
        <w:t>subjects. Results are divided into 5 components</w:t>
      </w:r>
      <w:r w:rsidR="00427468">
        <w:rPr>
          <w:kern w:val="0"/>
        </w:rPr>
        <w:t xml:space="preserve"> of </w:t>
      </w:r>
      <w:r>
        <w:rPr>
          <w:kern w:val="0"/>
        </w:rPr>
        <w:t>physical fitness muscular strength, muscular endurance, body composition, cardiorespiratory endurance,</w:t>
      </w:r>
      <w:r w:rsidR="005853A9">
        <w:rPr>
          <w:kern w:val="0"/>
        </w:rPr>
        <w:t xml:space="preserve"> and </w:t>
      </w:r>
      <w:r>
        <w:rPr>
          <w:kern w:val="0"/>
        </w:rPr>
        <w:t>flexibility</w:t>
      </w:r>
      <w:r w:rsidR="005853A9">
        <w:rPr>
          <w:kern w:val="0"/>
        </w:rPr>
        <w:t xml:space="preserve"> and </w:t>
      </w:r>
      <w:r>
        <w:rPr>
          <w:kern w:val="0"/>
        </w:rPr>
        <w:t>reported for each component separately. Data Synthesis: Eleven studies met</w:t>
      </w:r>
      <w:r w:rsidR="003A1917">
        <w:rPr>
          <w:kern w:val="0"/>
        </w:rPr>
        <w:t xml:space="preserve"> the </w:t>
      </w:r>
      <w:r>
        <w:rPr>
          <w:kern w:val="0"/>
        </w:rPr>
        <w:t>inclusion criteria,</w:t>
      </w:r>
      <w:r w:rsidR="005853A9">
        <w:rPr>
          <w:kern w:val="0"/>
        </w:rPr>
        <w:t xml:space="preserve"> and </w:t>
      </w:r>
      <w:r>
        <w:rPr>
          <w:kern w:val="0"/>
        </w:rPr>
        <w:t>their methodological quality was assessed using</w:t>
      </w:r>
      <w:r w:rsidR="003A1917">
        <w:rPr>
          <w:kern w:val="0"/>
        </w:rPr>
        <w:t xml:space="preserve"> the </w:t>
      </w:r>
      <w:r>
        <w:rPr>
          <w:kern w:val="0"/>
        </w:rPr>
        <w:t>PEDro score</w:t>
      </w:r>
      <w:r w:rsidR="005853A9">
        <w:rPr>
          <w:kern w:val="0"/>
        </w:rPr>
        <w:t xml:space="preserve"> and </w:t>
      </w:r>
      <w:r>
        <w:rPr>
          <w:kern w:val="0"/>
        </w:rPr>
        <w:t>a modified Sackett scale. Six studies were used for</w:t>
      </w:r>
      <w:r w:rsidR="003A1917">
        <w:rPr>
          <w:kern w:val="0"/>
        </w:rPr>
        <w:t xml:space="preserve"> the </w:t>
      </w:r>
      <w:r>
        <w:rPr>
          <w:kern w:val="0"/>
        </w:rPr>
        <w:t>comparison</w:t>
      </w:r>
      <w:r w:rsidR="00427468">
        <w:rPr>
          <w:kern w:val="0"/>
        </w:rPr>
        <w:t xml:space="preserve"> of </w:t>
      </w:r>
      <w:r>
        <w:rPr>
          <w:kern w:val="0"/>
        </w:rPr>
        <w:t>physical fitness in burned</w:t>
      </w:r>
      <w:r w:rsidR="005853A9">
        <w:rPr>
          <w:kern w:val="0"/>
        </w:rPr>
        <w:t xml:space="preserve"> and </w:t>
      </w:r>
      <w:r>
        <w:rPr>
          <w:kern w:val="0"/>
        </w:rPr>
        <w:t>nonburned subjects,</w:t>
      </w:r>
      <w:r w:rsidR="005853A9">
        <w:rPr>
          <w:kern w:val="0"/>
        </w:rPr>
        <w:t xml:space="preserve"> and </w:t>
      </w:r>
      <w:r>
        <w:rPr>
          <w:kern w:val="0"/>
        </w:rPr>
        <w:t>9 studies for evaluating</w:t>
      </w:r>
      <w:r w:rsidR="003A1917">
        <w:rPr>
          <w:kern w:val="0"/>
        </w:rPr>
        <w:t xml:space="preserve"> the </w:t>
      </w:r>
      <w:r>
        <w:rPr>
          <w:kern w:val="0"/>
        </w:rPr>
        <w:t>effectiveness</w:t>
      </w:r>
      <w:r w:rsidR="00427468">
        <w:rPr>
          <w:kern w:val="0"/>
        </w:rPr>
        <w:t xml:space="preserve"> of </w:t>
      </w:r>
      <w:r>
        <w:rPr>
          <w:kern w:val="0"/>
        </w:rPr>
        <w:t xml:space="preserve">exercise training programs. Conclusions: </w:t>
      </w:r>
      <w:r>
        <w:rPr>
          <w:kern w:val="0"/>
        </w:rPr>
        <w:lastRenderedPageBreak/>
        <w:t>Physical fitness is affected in people with extensive burns,</w:t>
      </w:r>
      <w:r w:rsidR="005853A9">
        <w:rPr>
          <w:kern w:val="0"/>
        </w:rPr>
        <w:t xml:space="preserve"> and </w:t>
      </w:r>
      <w:r>
        <w:rPr>
          <w:kern w:val="0"/>
        </w:rPr>
        <w:t>exercise training programs can bring on relevant improvements in all components. However, because</w:t>
      </w:r>
      <w:r w:rsidR="00427468">
        <w:rPr>
          <w:kern w:val="0"/>
        </w:rPr>
        <w:t xml:space="preserve"> of </w:t>
      </w:r>
      <w:r w:rsidR="003A1917">
        <w:rPr>
          <w:kern w:val="0"/>
        </w:rPr>
        <w:t xml:space="preserve">the </w:t>
      </w:r>
      <w:r>
        <w:rPr>
          <w:kern w:val="0"/>
        </w:rPr>
        <w:t>great similarities in</w:t>
      </w:r>
      <w:r w:rsidR="003A1917">
        <w:rPr>
          <w:kern w:val="0"/>
        </w:rPr>
        <w:t xml:space="preserve"> the </w:t>
      </w:r>
      <w:r>
        <w:rPr>
          <w:kern w:val="0"/>
        </w:rPr>
        <w:t>subjects</w:t>
      </w:r>
      <w:r w:rsidR="005853A9">
        <w:rPr>
          <w:kern w:val="0"/>
        </w:rPr>
        <w:t xml:space="preserve"> and </w:t>
      </w:r>
      <w:r>
        <w:rPr>
          <w:kern w:val="0"/>
        </w:rPr>
        <w:t>protocols used in</w:t>
      </w:r>
      <w:r w:rsidR="003A1917">
        <w:rPr>
          <w:kern w:val="0"/>
        </w:rPr>
        <w:t xml:space="preserve"> the </w:t>
      </w:r>
      <w:r>
        <w:rPr>
          <w:kern w:val="0"/>
        </w:rPr>
        <w:t>included studies,</w:t>
      </w:r>
      <w:r w:rsidR="003A1917">
        <w:rPr>
          <w:kern w:val="0"/>
        </w:rPr>
        <w:t xml:space="preserve"> the </w:t>
      </w:r>
      <w:r>
        <w:rPr>
          <w:kern w:val="0"/>
        </w:rPr>
        <w:t>current knowledge is incomplete. Future research should include people</w:t>
      </w:r>
      <w:r w:rsidR="00427468">
        <w:rPr>
          <w:kern w:val="0"/>
        </w:rPr>
        <w:t xml:space="preserve"> of </w:t>
      </w:r>
      <w:r>
        <w:rPr>
          <w:kern w:val="0"/>
        </w:rPr>
        <w:t>all ages with a broad range</w:t>
      </w:r>
      <w:r w:rsidR="00427468">
        <w:rPr>
          <w:kern w:val="0"/>
        </w:rPr>
        <w:t xml:space="preserve"> of </w:t>
      </w:r>
      <w:r>
        <w:rPr>
          <w:kern w:val="0"/>
        </w:rPr>
        <w:t>burn sizes, for both short-term</w:t>
      </w:r>
      <w:r w:rsidR="005853A9">
        <w:rPr>
          <w:kern w:val="0"/>
        </w:rPr>
        <w:t xml:space="preserve"> and </w:t>
      </w:r>
      <w:r>
        <w:rPr>
          <w:kern w:val="0"/>
        </w:rPr>
        <w:t>long-term outcomes.</w:t>
      </w:r>
    </w:p>
    <w:p w:rsidR="002A68BF" w:rsidRDefault="002A68BF" w:rsidP="002A68BF">
      <w:pPr>
        <w:pStyle w:val="a3"/>
        <w:rPr>
          <w:kern w:val="0"/>
        </w:rPr>
      </w:pPr>
      <w:r>
        <w:rPr>
          <w:kern w:val="0"/>
        </w:rPr>
        <w:t xml:space="preserve">Keywords: Body Composition, Burn Injury, Burns, Characteristics, Children, Control, Databases, Design, Effectiveness, Embase, Exercise, Extraction, Injury, Insight, Intervention, Knowledge, Lean Mass, Modified, Muscle Strength, Outcomes, Outcomes Assessment, Overview, Physical Fitness, Program, Pub Med, Publications, Quantitative, Rehabilitation, Rehabilitation, Research, Review, Science, Selection, Sources, Strength, Supervised Exercise, Synthesis, Systematic, Systematic Review, Thermal-Injury, Training, </w:t>
      </w:r>
      <w:r w:rsidR="00D5664A">
        <w:rPr>
          <w:kern w:val="0"/>
        </w:rPr>
        <w:t>Web</w:t>
      </w:r>
      <w:r w:rsidR="00427468">
        <w:rPr>
          <w:kern w:val="0"/>
        </w:rPr>
        <w:t xml:space="preserve"> of </w:t>
      </w:r>
      <w:r w:rsidR="00D5664A">
        <w:rPr>
          <w:kern w:val="0"/>
        </w:rPr>
        <w:t>Science</w:t>
      </w:r>
      <w:r>
        <w:rPr>
          <w:kern w:val="0"/>
        </w:rPr>
        <w:t>, X-Ray Absorptiometry, Young-Adults</w:t>
      </w:r>
    </w:p>
    <w:p w:rsidR="003F6F41" w:rsidRDefault="003F6F41" w:rsidP="003F6F41">
      <w:pPr>
        <w:pStyle w:val="a3"/>
        <w:rPr>
          <w:kern w:val="0"/>
        </w:rPr>
      </w:pPr>
      <w:r>
        <w:rPr>
          <w:rFonts w:hint="eastAsia"/>
          <w:kern w:val="0"/>
        </w:rPr>
        <w:t xml:space="preserve">? </w:t>
      </w:r>
      <w:r>
        <w:rPr>
          <w:kern w:val="0"/>
        </w:rPr>
        <w:t>Louw, A., Diener, I., Butler, D.S.</w:t>
      </w:r>
      <w:r w:rsidR="005853A9">
        <w:rPr>
          <w:kern w:val="0"/>
        </w:rPr>
        <w:t xml:space="preserve"> and </w:t>
      </w:r>
      <w:r>
        <w:rPr>
          <w:kern w:val="0"/>
        </w:rPr>
        <w:t>Puentedura, E.J. (2011</w:t>
      </w:r>
      <w:r w:rsidR="00F42EAC">
        <w:rPr>
          <w:kern w:val="0"/>
        </w:rPr>
        <w:t>), The</w:t>
      </w:r>
      <w:r w:rsidR="003A1917">
        <w:rPr>
          <w:kern w:val="0"/>
        </w:rPr>
        <w:t xml:space="preserve"> </w:t>
      </w:r>
      <w:r>
        <w:rPr>
          <w:kern w:val="0"/>
        </w:rPr>
        <w:t>effect</w:t>
      </w:r>
      <w:r w:rsidR="00427468">
        <w:rPr>
          <w:kern w:val="0"/>
        </w:rPr>
        <w:t xml:space="preserve"> of </w:t>
      </w:r>
      <w:r>
        <w:rPr>
          <w:kern w:val="0"/>
        </w:rPr>
        <w:t>neuroscience education on pain, disability, anxiety,</w:t>
      </w:r>
      <w:r w:rsidR="005853A9">
        <w:rPr>
          <w:kern w:val="0"/>
        </w:rPr>
        <w:t xml:space="preserve"> and </w:t>
      </w:r>
      <w:r>
        <w:rPr>
          <w:kern w:val="0"/>
        </w:rPr>
        <w:t xml:space="preserve">stress in chronic musculoskeletal pain.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92</w:t>
      </w:r>
      <w:r>
        <w:rPr>
          <w:kern w:val="0"/>
        </w:rPr>
        <w:t xml:space="preserve"> (12), 2041-2056.</w:t>
      </w:r>
    </w:p>
    <w:p w:rsidR="003F6F41" w:rsidRPr="001A3D2B" w:rsidRDefault="003F6F41" w:rsidP="003F6F41">
      <w:pPr>
        <w:pStyle w:val="a3"/>
      </w:pPr>
      <w:r w:rsidRPr="001A3D2B">
        <w:t xml:space="preserve">Full Text: </w:t>
      </w:r>
      <w:hyperlink r:id="rId1178" w:history="1">
        <w:r w:rsidRPr="003F6F41">
          <w:rPr>
            <w:rStyle w:val="a5"/>
          </w:rPr>
          <w:t>2011\Arc Phy Med Reh92, 2041.pdf</w:t>
        </w:r>
      </w:hyperlink>
    </w:p>
    <w:p w:rsidR="003F6F41" w:rsidRDefault="003F6F41" w:rsidP="003F6F41">
      <w:pPr>
        <w:pStyle w:val="a3"/>
        <w:rPr>
          <w:kern w:val="0"/>
        </w:rPr>
      </w:pPr>
      <w:r>
        <w:rPr>
          <w:kern w:val="0"/>
        </w:rPr>
        <w:t>Abstract: Objective: To evaluate</w:t>
      </w:r>
      <w:r w:rsidR="003A1917">
        <w:rPr>
          <w:kern w:val="0"/>
        </w:rPr>
        <w:t xml:space="preserve"> the </w:t>
      </w:r>
      <w:r>
        <w:rPr>
          <w:kern w:val="0"/>
        </w:rPr>
        <w:t>evidence for</w:t>
      </w:r>
      <w:r w:rsidR="003A1917">
        <w:rPr>
          <w:kern w:val="0"/>
        </w:rPr>
        <w:t xml:space="preserve"> the </w:t>
      </w:r>
      <w:r>
        <w:rPr>
          <w:kern w:val="0"/>
        </w:rPr>
        <w:t>effectiveness</w:t>
      </w:r>
      <w:r w:rsidR="00427468">
        <w:rPr>
          <w:kern w:val="0"/>
        </w:rPr>
        <w:t xml:space="preserve"> of </w:t>
      </w:r>
      <w:r>
        <w:rPr>
          <w:kern w:val="0"/>
        </w:rPr>
        <w:t>neuroscience education (NE) for pain, disability, anxiety,</w:t>
      </w:r>
      <w:r w:rsidR="005853A9">
        <w:rPr>
          <w:kern w:val="0"/>
        </w:rPr>
        <w:t xml:space="preserve"> and </w:t>
      </w:r>
      <w:r>
        <w:rPr>
          <w:kern w:val="0"/>
        </w:rPr>
        <w:t>stress in chronic musculoskeletal (MSK) pain. Data Sources: Systematic searches were conducted on Biomed Central, BMJ.com, CINAHL,</w:t>
      </w:r>
      <w:r w:rsidR="003A1917">
        <w:rPr>
          <w:kern w:val="0"/>
        </w:rPr>
        <w:t xml:space="preserve"> the </w:t>
      </w:r>
      <w:r>
        <w:rPr>
          <w:kern w:val="0"/>
        </w:rPr>
        <w:t>Cochrane Library, NLM Central Gateway, OVID, Pro Quest (Digital Dissertations), PsycInfo, PubMed/</w:t>
      </w:r>
      <w:r w:rsidR="00D5664A">
        <w:rPr>
          <w:kern w:val="0"/>
        </w:rPr>
        <w:t>MEDLINE</w:t>
      </w:r>
      <w:r>
        <w:rPr>
          <w:kern w:val="0"/>
        </w:rPr>
        <w:t>, Science Direct,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Secondary searching (PEARLing) was undertaken, whereby reference lists</w:t>
      </w:r>
      <w:r w:rsidR="00427468">
        <w:rPr>
          <w:kern w:val="0"/>
        </w:rPr>
        <w:t xml:space="preserve"> of </w:t>
      </w:r>
      <w:r w:rsidR="003A1917">
        <w:rPr>
          <w:kern w:val="0"/>
        </w:rPr>
        <w:t xml:space="preserve">the </w:t>
      </w:r>
      <w:r>
        <w:rPr>
          <w:kern w:val="0"/>
        </w:rPr>
        <w:t>selected articles were reviewed for additional references not identified in</w:t>
      </w:r>
      <w:r w:rsidR="003A1917">
        <w:rPr>
          <w:kern w:val="0"/>
        </w:rPr>
        <w:t xml:space="preserve"> the </w:t>
      </w:r>
      <w:r>
        <w:rPr>
          <w:kern w:val="0"/>
        </w:rPr>
        <w:t>primary search. Study Selection: All experimental studies including randomized controlled trials (RCTs), nonrandomized clinical trials,</w:t>
      </w:r>
      <w:r w:rsidR="005853A9">
        <w:rPr>
          <w:kern w:val="0"/>
        </w:rPr>
        <w:t xml:space="preserve"> and </w:t>
      </w:r>
      <w:r>
        <w:rPr>
          <w:kern w:val="0"/>
        </w:rPr>
        <w:t>case series evaluating</w:t>
      </w:r>
      <w:r w:rsidR="003A1917">
        <w:rPr>
          <w:kern w:val="0"/>
        </w:rPr>
        <w:t xml:space="preserve"> the </w:t>
      </w:r>
      <w:r>
        <w:rPr>
          <w:kern w:val="0"/>
        </w:rPr>
        <w:t>effect</w:t>
      </w:r>
      <w:r w:rsidR="00427468">
        <w:rPr>
          <w:kern w:val="0"/>
        </w:rPr>
        <w:t xml:space="preserve"> of </w:t>
      </w:r>
      <w:r>
        <w:rPr>
          <w:kern w:val="0"/>
        </w:rPr>
        <w:t>NE on pain, disability, anxiety,</w:t>
      </w:r>
      <w:r w:rsidR="005853A9">
        <w:rPr>
          <w:kern w:val="0"/>
        </w:rPr>
        <w:t xml:space="preserve"> and </w:t>
      </w:r>
      <w:r>
        <w:rPr>
          <w:kern w:val="0"/>
        </w:rPr>
        <w:t>stress for chronic MSK pain were considered for inclusion. Additional limitations: studies published in English, published within</w:t>
      </w:r>
      <w:r w:rsidR="003A1917">
        <w:rPr>
          <w:kern w:val="0"/>
        </w:rPr>
        <w:t xml:space="preserve"> the </w:t>
      </w:r>
      <w:r>
        <w:rPr>
          <w:kern w:val="0"/>
        </w:rPr>
        <w:t>last 10 years,</w:t>
      </w:r>
      <w:r w:rsidR="005853A9">
        <w:rPr>
          <w:kern w:val="0"/>
        </w:rPr>
        <w:t xml:space="preserve"> and </w:t>
      </w:r>
      <w:r>
        <w:rPr>
          <w:kern w:val="0"/>
        </w:rPr>
        <w:t>patients older than 18 years. No limitations were set on specific outcome measures</w:t>
      </w:r>
      <w:r w:rsidR="00427468">
        <w:rPr>
          <w:kern w:val="0"/>
        </w:rPr>
        <w:t xml:space="preserve"> of </w:t>
      </w:r>
      <w:r>
        <w:rPr>
          <w:kern w:val="0"/>
        </w:rPr>
        <w:t>pain, disability, anxiety,</w:t>
      </w:r>
      <w:r w:rsidR="005853A9">
        <w:rPr>
          <w:kern w:val="0"/>
        </w:rPr>
        <w:t xml:space="preserve"> and </w:t>
      </w:r>
      <w:r>
        <w:rPr>
          <w:kern w:val="0"/>
        </w:rPr>
        <w:t>stress. Data Extraction: Data were extracted using</w:t>
      </w:r>
      <w:r w:rsidR="003A1917">
        <w:rPr>
          <w:kern w:val="0"/>
        </w:rPr>
        <w:t xml:space="preserve"> the </w:t>
      </w:r>
      <w:r>
        <w:rPr>
          <w:kern w:val="0"/>
        </w:rPr>
        <w:t>participants, interventions, comparison,</w:t>
      </w:r>
      <w:r w:rsidR="005853A9">
        <w:rPr>
          <w:kern w:val="0"/>
        </w:rPr>
        <w:t xml:space="preserve"> and </w:t>
      </w:r>
      <w:r>
        <w:rPr>
          <w:kern w:val="0"/>
        </w:rPr>
        <w:t>outcomes (PICO) approach. Data Synthesis: Methodological quality was assessed by 2 reviewers using</w:t>
      </w:r>
      <w:r w:rsidR="003A1917">
        <w:rPr>
          <w:kern w:val="0"/>
        </w:rPr>
        <w:t xml:space="preserve"> the </w:t>
      </w:r>
      <w:r>
        <w:rPr>
          <w:kern w:val="0"/>
        </w:rPr>
        <w:t>Critical Review Form Quantitative Studies. This review includes 8 studies comprising 6 high-quality RCTs, 1 pseudo-RCT,</w:t>
      </w:r>
      <w:r w:rsidR="005853A9">
        <w:rPr>
          <w:kern w:val="0"/>
        </w:rPr>
        <w:t xml:space="preserve"> and </w:t>
      </w:r>
      <w:r>
        <w:rPr>
          <w:kern w:val="0"/>
        </w:rPr>
        <w:t>1 comparative study involving 401 subjects. Most articles were</w:t>
      </w:r>
      <w:r w:rsidR="00427468">
        <w:rPr>
          <w:kern w:val="0"/>
        </w:rPr>
        <w:t xml:space="preserve"> of </w:t>
      </w:r>
      <w:r>
        <w:rPr>
          <w:kern w:val="0"/>
        </w:rPr>
        <w:t>good quality, with no studies rated as poor or fair. Heterogeneity across</w:t>
      </w:r>
      <w:r w:rsidR="003A1917">
        <w:rPr>
          <w:kern w:val="0"/>
        </w:rPr>
        <w:t xml:space="preserve"> the </w:t>
      </w:r>
      <w:r>
        <w:rPr>
          <w:kern w:val="0"/>
        </w:rPr>
        <w:t>studies with respect to participants, interventions evaluated,</w:t>
      </w:r>
      <w:r w:rsidR="005853A9">
        <w:rPr>
          <w:kern w:val="0"/>
        </w:rPr>
        <w:t xml:space="preserve"> and </w:t>
      </w:r>
      <w:r>
        <w:rPr>
          <w:kern w:val="0"/>
        </w:rPr>
        <w:t>outcome measures used prevented meta-analyses. Narrative synthesis</w:t>
      </w:r>
      <w:r w:rsidR="00427468">
        <w:rPr>
          <w:kern w:val="0"/>
        </w:rPr>
        <w:t xml:space="preserve"> of </w:t>
      </w:r>
      <w:r>
        <w:rPr>
          <w:kern w:val="0"/>
        </w:rPr>
        <w:t xml:space="preserve">results, based on effect size, established compelling evidence that NE may be effective in reducing pain ratings, increasing </w:t>
      </w:r>
      <w:r>
        <w:rPr>
          <w:kern w:val="0"/>
        </w:rPr>
        <w:lastRenderedPageBreak/>
        <w:t>function, addressing catastrophization,</w:t>
      </w:r>
      <w:r w:rsidR="005853A9">
        <w:rPr>
          <w:kern w:val="0"/>
        </w:rPr>
        <w:t xml:space="preserve"> and </w:t>
      </w:r>
      <w:r>
        <w:rPr>
          <w:kern w:val="0"/>
        </w:rPr>
        <w:t>improving movement in chronic MSK pain. Conclusions: For chronic MSK pain disorders, there is compelling evidence that an educational strategy addressing neurophysiology</w:t>
      </w:r>
      <w:r w:rsidR="005853A9">
        <w:rPr>
          <w:kern w:val="0"/>
        </w:rPr>
        <w:t xml:space="preserve"> and </w:t>
      </w:r>
      <w:r>
        <w:rPr>
          <w:kern w:val="0"/>
        </w:rPr>
        <w:t>neurobiology</w:t>
      </w:r>
      <w:r w:rsidR="00427468">
        <w:rPr>
          <w:kern w:val="0"/>
        </w:rPr>
        <w:t xml:space="preserve"> of </w:t>
      </w:r>
      <w:r>
        <w:rPr>
          <w:kern w:val="0"/>
        </w:rPr>
        <w:t>pain can have a positive effect on pain, disability, catastrophization,</w:t>
      </w:r>
      <w:r w:rsidR="005853A9">
        <w:rPr>
          <w:kern w:val="0"/>
        </w:rPr>
        <w:t xml:space="preserve"> and </w:t>
      </w:r>
      <w:r>
        <w:rPr>
          <w:kern w:val="0"/>
        </w:rPr>
        <w:t>physical performance.</w:t>
      </w:r>
    </w:p>
    <w:p w:rsidR="003F6F41" w:rsidRDefault="003F6F41" w:rsidP="003F6F41">
      <w:pPr>
        <w:pStyle w:val="a3"/>
        <w:rPr>
          <w:kern w:val="0"/>
        </w:rPr>
      </w:pPr>
      <w:r>
        <w:rPr>
          <w:kern w:val="0"/>
        </w:rPr>
        <w:t xml:space="preserve">Keywords: Anxiety, Case Series, Chronic Widespread Pain, Chronic-Fatigue-Syndrome, Clinical Trials, Cochrane, Comparative Study, Consort Statement, Critical, Disability, Dissertations, Education, Effectiveness, English, Experimental, Extraction, Fear-Avoidance Beliefs, Interventions, Low-Back-Pain, Movement, Musculoskeletal System, Neurophysiology, Neurophysiology Education, Neurosciences, Outcome, Outcomes, Pain, Patients, Physical-Therapy Practice, Physiology Education, Primary, Quality, Randomized Controlled Trials, Randomized Controlled-Trial, Rehabilitation, Review, Science, Selection, Sources, Strategy, Stress, Synthesis, Systematic, Systematic Reviews, </w:t>
      </w:r>
      <w:r w:rsidR="00D5664A">
        <w:rPr>
          <w:kern w:val="0"/>
        </w:rPr>
        <w:t>Web</w:t>
      </w:r>
      <w:r w:rsidR="00427468">
        <w:rPr>
          <w:kern w:val="0"/>
        </w:rPr>
        <w:t xml:space="preserve"> of </w:t>
      </w:r>
      <w:r w:rsidR="00D5664A">
        <w:rPr>
          <w:kern w:val="0"/>
        </w:rPr>
        <w:t>Science</w:t>
      </w:r>
    </w:p>
    <w:p w:rsidR="00FB1EE7" w:rsidRDefault="00FB1EE7" w:rsidP="00FB1EE7">
      <w:pPr>
        <w:pStyle w:val="a3"/>
        <w:rPr>
          <w:kern w:val="0"/>
        </w:rPr>
      </w:pPr>
      <w:r>
        <w:rPr>
          <w:rFonts w:hint="eastAsia"/>
          <w:kern w:val="0"/>
        </w:rPr>
        <w:t xml:space="preserve">? </w:t>
      </w:r>
      <w:r>
        <w:rPr>
          <w:kern w:val="0"/>
        </w:rPr>
        <w:t>Cruz-Ferreira, A., Fernandes, J., Laranjo, L., Bernardo, L.M.</w:t>
      </w:r>
      <w:r w:rsidR="005853A9">
        <w:rPr>
          <w:kern w:val="0"/>
        </w:rPr>
        <w:t xml:space="preserve"> and </w:t>
      </w:r>
      <w:r>
        <w:rPr>
          <w:kern w:val="0"/>
        </w:rPr>
        <w:t>Silva, A. (2011), A systematic review</w:t>
      </w:r>
      <w:r w:rsidR="00427468">
        <w:rPr>
          <w:kern w:val="0"/>
        </w:rPr>
        <w:t xml:space="preserve"> of </w:t>
      </w:r>
      <w:r w:rsidR="003A1917">
        <w:rPr>
          <w:kern w:val="0"/>
        </w:rPr>
        <w:t xml:space="preserve">the </w:t>
      </w:r>
      <w:r>
        <w:rPr>
          <w:kern w:val="0"/>
        </w:rPr>
        <w:t>effects</w:t>
      </w:r>
      <w:r w:rsidR="00427468">
        <w:rPr>
          <w:kern w:val="0"/>
        </w:rPr>
        <w:t xml:space="preserve"> of </w:t>
      </w:r>
      <w:r>
        <w:rPr>
          <w:kern w:val="0"/>
        </w:rPr>
        <w:t>pilates method</w:t>
      </w:r>
      <w:r w:rsidR="00427468">
        <w:rPr>
          <w:kern w:val="0"/>
        </w:rPr>
        <w:t xml:space="preserve"> of </w:t>
      </w:r>
      <w:r>
        <w:rPr>
          <w:kern w:val="0"/>
        </w:rPr>
        <w:t xml:space="preserve">exercise in healthy people. </w:t>
      </w:r>
      <w:r>
        <w:rPr>
          <w:i/>
          <w:iCs/>
          <w:kern w:val="0"/>
        </w:rPr>
        <w:t>Archives</w:t>
      </w:r>
      <w:r w:rsidR="00427468">
        <w:rPr>
          <w:i/>
          <w:iCs/>
          <w:kern w:val="0"/>
        </w:rPr>
        <w:t xml:space="preserve"> of </w:t>
      </w:r>
      <w:r>
        <w:rPr>
          <w:i/>
          <w:iCs/>
          <w:kern w:val="0"/>
        </w:rPr>
        <w:t>Physical Medicine</w:t>
      </w:r>
      <w:r w:rsidR="005853A9">
        <w:rPr>
          <w:i/>
          <w:iCs/>
          <w:kern w:val="0"/>
        </w:rPr>
        <w:t xml:space="preserve"> and </w:t>
      </w:r>
      <w:r>
        <w:rPr>
          <w:i/>
          <w:iCs/>
          <w:kern w:val="0"/>
        </w:rPr>
        <w:t>Rehabilitation</w:t>
      </w:r>
      <w:r>
        <w:rPr>
          <w:kern w:val="0"/>
        </w:rPr>
        <w:t xml:space="preserve">, </w:t>
      </w:r>
      <w:r>
        <w:rPr>
          <w:b/>
          <w:bCs/>
          <w:kern w:val="0"/>
        </w:rPr>
        <w:t>92</w:t>
      </w:r>
      <w:r>
        <w:rPr>
          <w:kern w:val="0"/>
        </w:rPr>
        <w:t xml:space="preserve"> (12), 2071-2081.</w:t>
      </w:r>
    </w:p>
    <w:p w:rsidR="00FB1EE7" w:rsidRPr="001A3D2B" w:rsidRDefault="00FB1EE7" w:rsidP="00FB1EE7">
      <w:pPr>
        <w:pStyle w:val="a3"/>
      </w:pPr>
      <w:r w:rsidRPr="001A3D2B">
        <w:t xml:space="preserve">Full Text: </w:t>
      </w:r>
      <w:hyperlink r:id="rId1179" w:history="1">
        <w:r w:rsidRPr="00A9369D">
          <w:rPr>
            <w:rStyle w:val="a5"/>
          </w:rPr>
          <w:t>2011\Arc Phy Med Reh92, 2071.pdf</w:t>
        </w:r>
      </w:hyperlink>
    </w:p>
    <w:p w:rsidR="00FB1EE7" w:rsidRDefault="00FB1EE7" w:rsidP="00FB1EE7">
      <w:pPr>
        <w:pStyle w:val="a3"/>
        <w:rPr>
          <w:kern w:val="0"/>
        </w:rPr>
      </w:pPr>
      <w:r>
        <w:rPr>
          <w:kern w:val="0"/>
        </w:rPr>
        <w:t>Abstract: Objective: To evaluate evidence for</w:t>
      </w:r>
      <w:r w:rsidR="003A1917">
        <w:rPr>
          <w:kern w:val="0"/>
        </w:rPr>
        <w:t xml:space="preserve"> the </w:t>
      </w:r>
      <w:r>
        <w:rPr>
          <w:kern w:val="0"/>
        </w:rPr>
        <w:t>effectiveness</w:t>
      </w:r>
      <w:r w:rsidR="00427468">
        <w:rPr>
          <w:kern w:val="0"/>
        </w:rPr>
        <w:t xml:space="preserve"> of </w:t>
      </w:r>
      <w:r w:rsidR="003A1917">
        <w:rPr>
          <w:kern w:val="0"/>
        </w:rPr>
        <w:t xml:space="preserve">the </w:t>
      </w:r>
      <w:r>
        <w:rPr>
          <w:kern w:val="0"/>
        </w:rPr>
        <w:t>Pilates method</w:t>
      </w:r>
      <w:r w:rsidR="00427468">
        <w:rPr>
          <w:kern w:val="0"/>
        </w:rPr>
        <w:t xml:space="preserve"> of </w:t>
      </w:r>
      <w:r>
        <w:rPr>
          <w:kern w:val="0"/>
        </w:rPr>
        <w:t xml:space="preserve">exercise (PME) in healthy people. Data Sources: Published research was identified by searching Science Direct, </w:t>
      </w:r>
      <w:r w:rsidR="00D5664A">
        <w:rPr>
          <w:kern w:val="0"/>
        </w:rPr>
        <w:t>MEDLINE</w:t>
      </w:r>
      <w:r>
        <w:rPr>
          <w:kern w:val="0"/>
        </w:rPr>
        <w:t>, PubMed, SPORTDiscus, PEDro, Cochrane Central Register</w:t>
      </w:r>
      <w:r w:rsidR="00427468">
        <w:rPr>
          <w:kern w:val="0"/>
        </w:rPr>
        <w:t xml:space="preserve"> of </w:t>
      </w:r>
      <w:r>
        <w:rPr>
          <w:kern w:val="0"/>
        </w:rPr>
        <w:t>Controlled Trials, CINAHL,</w:t>
      </w:r>
      <w:r w:rsidR="005853A9">
        <w:rPr>
          <w:kern w:val="0"/>
        </w:rPr>
        <w:t xml:space="preserve"> and </w:t>
      </w:r>
      <w:r w:rsidR="00D5664A">
        <w:rPr>
          <w:kern w:val="0"/>
        </w:rPr>
        <w:t>Web</w:t>
      </w:r>
      <w:r w:rsidR="00427468">
        <w:rPr>
          <w:kern w:val="0"/>
        </w:rPr>
        <w:t xml:space="preserve"> of </w:t>
      </w:r>
      <w:r w:rsidR="00D5664A">
        <w:rPr>
          <w:kern w:val="0"/>
        </w:rPr>
        <w:t>Science</w:t>
      </w:r>
      <w:r>
        <w:rPr>
          <w:kern w:val="0"/>
        </w:rPr>
        <w:t>. Study Selection: Research studies published from inception to May 7, 2011 were selected for evaluation. Two reviewers independently applied</w:t>
      </w:r>
      <w:r w:rsidR="003A1917">
        <w:rPr>
          <w:kern w:val="0"/>
        </w:rPr>
        <w:t xml:space="preserve"> the </w:t>
      </w:r>
      <w:r>
        <w:rPr>
          <w:kern w:val="0"/>
        </w:rPr>
        <w:t>inclusion criteria to selected potential studies. Studies were included if they were published in a peer-reviewed journal, written in</w:t>
      </w:r>
      <w:r w:rsidR="003A1917">
        <w:rPr>
          <w:kern w:val="0"/>
        </w:rPr>
        <w:t xml:space="preserve"> the </w:t>
      </w:r>
      <w:r>
        <w:rPr>
          <w:kern w:val="0"/>
        </w:rPr>
        <w:t>English language, conducted as a randomized controlled trial (RCT) or quasi-RCT in healthy people, had an inactive and/or exercise control group(s), included key study outcomes,</w:t>
      </w:r>
      <w:r w:rsidR="005853A9">
        <w:rPr>
          <w:kern w:val="0"/>
        </w:rPr>
        <w:t xml:space="preserve"> and </w:t>
      </w:r>
      <w:r>
        <w:rPr>
          <w:kern w:val="0"/>
        </w:rPr>
        <w:t>used</w:t>
      </w:r>
      <w:r w:rsidR="003A1917">
        <w:rPr>
          <w:kern w:val="0"/>
        </w:rPr>
        <w:t xml:space="preserve"> the </w:t>
      </w:r>
      <w:r>
        <w:rPr>
          <w:kern w:val="0"/>
        </w:rPr>
        <w:t>PME as</w:t>
      </w:r>
      <w:r w:rsidR="003A1917">
        <w:rPr>
          <w:kern w:val="0"/>
        </w:rPr>
        <w:t xml:space="preserve"> the </w:t>
      </w:r>
      <w:r>
        <w:rPr>
          <w:kern w:val="0"/>
        </w:rPr>
        <w:t>study intervention in at least 1 study arm. Data Extraction: Two reviewers independently extracted data (study, design, subjects, intervention, key outcomes results), applied</w:t>
      </w:r>
      <w:r w:rsidR="003A1917">
        <w:rPr>
          <w:kern w:val="0"/>
        </w:rPr>
        <w:t xml:space="preserve"> the </w:t>
      </w:r>
      <w:r>
        <w:rPr>
          <w:kern w:val="0"/>
        </w:rPr>
        <w:t>Physiotherapy Evidence Database (PEDro) scale to assess</w:t>
      </w:r>
      <w:r w:rsidR="003A1917">
        <w:rPr>
          <w:kern w:val="0"/>
        </w:rPr>
        <w:t xml:space="preserve"> the </w:t>
      </w:r>
      <w:r>
        <w:rPr>
          <w:kern w:val="0"/>
        </w:rPr>
        <w:t>method quality</w:t>
      </w:r>
      <w:r w:rsidR="00427468">
        <w:rPr>
          <w:kern w:val="0"/>
        </w:rPr>
        <w:t xml:space="preserve"> of </w:t>
      </w:r>
      <w:r>
        <w:rPr>
          <w:kern w:val="0"/>
        </w:rPr>
        <w:t>selected studies,</w:t>
      </w:r>
      <w:r w:rsidR="005853A9">
        <w:rPr>
          <w:kern w:val="0"/>
        </w:rPr>
        <w:t xml:space="preserve"> and </w:t>
      </w:r>
      <w:r>
        <w:rPr>
          <w:kern w:val="0"/>
        </w:rPr>
        <w:t>determined</w:t>
      </w:r>
      <w:r w:rsidR="003A1917">
        <w:rPr>
          <w:kern w:val="0"/>
        </w:rPr>
        <w:t xml:space="preserve"> the </w:t>
      </w:r>
      <w:r>
        <w:rPr>
          <w:kern w:val="0"/>
        </w:rPr>
        <w:t>strength</w:t>
      </w:r>
      <w:r w:rsidR="00427468">
        <w:rPr>
          <w:kern w:val="0"/>
        </w:rPr>
        <w:t xml:space="preserve"> of </w:t>
      </w:r>
      <w:r w:rsidR="003A1917">
        <w:rPr>
          <w:kern w:val="0"/>
        </w:rPr>
        <w:t xml:space="preserve">the </w:t>
      </w:r>
      <w:r>
        <w:rPr>
          <w:kern w:val="0"/>
        </w:rPr>
        <w:t>evidence using</w:t>
      </w:r>
      <w:r w:rsidR="003A1917">
        <w:rPr>
          <w:kern w:val="0"/>
        </w:rPr>
        <w:t xml:space="preserve"> the </w:t>
      </w:r>
      <w:r>
        <w:rPr>
          <w:kern w:val="0"/>
        </w:rPr>
        <w:t>best evidence synthesis grading system. Data Synthesis: Sixteen studies met</w:t>
      </w:r>
      <w:r w:rsidR="003A1917">
        <w:rPr>
          <w:kern w:val="0"/>
        </w:rPr>
        <w:t xml:space="preserve"> the </w:t>
      </w:r>
      <w:r>
        <w:rPr>
          <w:kern w:val="0"/>
        </w:rPr>
        <w:t>inclusion criteria. PEDro scale values ranged from 3 to 7 (mean, 4.1), indicating a low level</w:t>
      </w:r>
      <w:r w:rsidR="00427468">
        <w:rPr>
          <w:kern w:val="0"/>
        </w:rPr>
        <w:t xml:space="preserve"> of </w:t>
      </w:r>
      <w:r>
        <w:rPr>
          <w:kern w:val="0"/>
        </w:rPr>
        <w:t>scientific rigor</w:t>
      </w:r>
      <w:r w:rsidR="00A37C1D">
        <w:rPr>
          <w:kern w:val="0"/>
        </w:rPr>
        <w:t>. The</w:t>
      </w:r>
      <w:r w:rsidR="003A1917">
        <w:rPr>
          <w:kern w:val="0"/>
        </w:rPr>
        <w:t xml:space="preserve"> </w:t>
      </w:r>
      <w:r>
        <w:rPr>
          <w:kern w:val="0"/>
        </w:rPr>
        <w:t>outcomes studied most often were flexibility, muscular endurance, strength,</w:t>
      </w:r>
      <w:r w:rsidR="005853A9">
        <w:rPr>
          <w:kern w:val="0"/>
        </w:rPr>
        <w:t xml:space="preserve"> and </w:t>
      </w:r>
      <w:r>
        <w:rPr>
          <w:kern w:val="0"/>
        </w:rPr>
        <w:t>postural alignment</w:t>
      </w:r>
      <w:r w:rsidR="00A37C1D">
        <w:rPr>
          <w:kern w:val="0"/>
        </w:rPr>
        <w:t>. The</w:t>
      </w:r>
      <w:r w:rsidR="003A1917">
        <w:rPr>
          <w:kern w:val="0"/>
        </w:rPr>
        <w:t xml:space="preserve"> </w:t>
      </w:r>
      <w:r>
        <w:rPr>
          <w:kern w:val="0"/>
        </w:rPr>
        <w:t>PME appears to be effective in improving flexibility (strong evidence), dynamic balance (strong evidence),</w:t>
      </w:r>
      <w:r w:rsidR="005853A9">
        <w:rPr>
          <w:kern w:val="0"/>
        </w:rPr>
        <w:t xml:space="preserve"> and </w:t>
      </w:r>
      <w:r>
        <w:rPr>
          <w:kern w:val="0"/>
        </w:rPr>
        <w:t>muscular endurance (moderate evidence) in healthy people. Conclusions: There was strong evidence to support</w:t>
      </w:r>
      <w:r w:rsidR="003A1917">
        <w:rPr>
          <w:kern w:val="0"/>
        </w:rPr>
        <w:t xml:space="preserve"> the </w:t>
      </w:r>
      <w:r>
        <w:rPr>
          <w:kern w:val="0"/>
        </w:rPr>
        <w:t>use</w:t>
      </w:r>
      <w:r w:rsidR="00427468">
        <w:rPr>
          <w:kern w:val="0"/>
        </w:rPr>
        <w:t xml:space="preserve"> of </w:t>
      </w:r>
      <w:r w:rsidR="003A1917">
        <w:rPr>
          <w:kern w:val="0"/>
        </w:rPr>
        <w:t xml:space="preserve">the </w:t>
      </w:r>
      <w:r>
        <w:rPr>
          <w:kern w:val="0"/>
        </w:rPr>
        <w:t>PME at least to</w:t>
      </w:r>
      <w:r w:rsidR="003A1917">
        <w:rPr>
          <w:kern w:val="0"/>
        </w:rPr>
        <w:t xml:space="preserve"> the </w:t>
      </w:r>
      <w:r>
        <w:rPr>
          <w:kern w:val="0"/>
        </w:rPr>
        <w:t>end</w:t>
      </w:r>
      <w:r w:rsidR="00427468">
        <w:rPr>
          <w:kern w:val="0"/>
        </w:rPr>
        <w:t xml:space="preserve"> of </w:t>
      </w:r>
      <w:r>
        <w:rPr>
          <w:kern w:val="0"/>
        </w:rPr>
        <w:t xml:space="preserve">training to </w:t>
      </w:r>
      <w:r>
        <w:rPr>
          <w:kern w:val="0"/>
        </w:rPr>
        <w:lastRenderedPageBreak/>
        <w:t>improve flexibility</w:t>
      </w:r>
      <w:r w:rsidR="005853A9">
        <w:rPr>
          <w:kern w:val="0"/>
        </w:rPr>
        <w:t xml:space="preserve"> and </w:t>
      </w:r>
      <w:r>
        <w:rPr>
          <w:kern w:val="0"/>
        </w:rPr>
        <w:t>dynamic balance</w:t>
      </w:r>
      <w:r w:rsidR="005853A9">
        <w:rPr>
          <w:kern w:val="0"/>
        </w:rPr>
        <w:t xml:space="preserve"> and </w:t>
      </w:r>
      <w:r>
        <w:rPr>
          <w:kern w:val="0"/>
        </w:rPr>
        <w:t>moderate evidence to enhance muscular endurance. Future RCTs should focus on</w:t>
      </w:r>
      <w:r w:rsidR="003A1917">
        <w:rPr>
          <w:kern w:val="0"/>
        </w:rPr>
        <w:t xml:space="preserve"> the </w:t>
      </w:r>
      <w:r>
        <w:rPr>
          <w:kern w:val="0"/>
        </w:rPr>
        <w:t>components</w:t>
      </w:r>
      <w:r w:rsidR="00427468">
        <w:rPr>
          <w:kern w:val="0"/>
        </w:rPr>
        <w:t xml:space="preserve"> of </w:t>
      </w:r>
      <w:r>
        <w:rPr>
          <w:kern w:val="0"/>
        </w:rPr>
        <w:t>blinding, concealed allocation, subject adherence, intention-to-treat analysis,</w:t>
      </w:r>
      <w:r w:rsidR="005853A9">
        <w:rPr>
          <w:kern w:val="0"/>
        </w:rPr>
        <w:t xml:space="preserve"> and </w:t>
      </w:r>
      <w:r>
        <w:rPr>
          <w:kern w:val="0"/>
        </w:rPr>
        <w:t>follow-up designs.</w:t>
      </w:r>
    </w:p>
    <w:p w:rsidR="00FB1EE7" w:rsidRDefault="00FB1EE7" w:rsidP="00FB1EE7">
      <w:pPr>
        <w:pStyle w:val="a3"/>
        <w:rPr>
          <w:kern w:val="0"/>
        </w:rPr>
      </w:pPr>
      <w:r>
        <w:rPr>
          <w:kern w:val="0"/>
        </w:rPr>
        <w:t xml:space="preserve">Keywords: Adherence, Adults, Analysis, Balance, Body-Composition, Clinical-Trials, Cochrane, Control, Database, Design, Effectiveness, English, Evaluation, Exercise, Extraction, Follow-Up, Intervention, Interventions, Journal, Low, Low-Back-Pain, </w:t>
      </w:r>
      <w:r w:rsidR="00D5664A">
        <w:rPr>
          <w:kern w:val="0"/>
        </w:rPr>
        <w:t>MEDLINE</w:t>
      </w:r>
      <w:r>
        <w:rPr>
          <w:kern w:val="0"/>
        </w:rPr>
        <w:t xml:space="preserve">, Outcomes, Pedro Scale, Physiotherapy, Pilates Training, Program, Pubmed, Quality, Randomized Controlled Trial, Randomized Controlled-Trials, Rehabilitation, Research, Review, Science, Selection, Sources, Strength, Studies Method, Synthesis, Systematic, Systematic Review, Training, </w:t>
      </w:r>
      <w:r w:rsidR="00D5664A">
        <w:rPr>
          <w:kern w:val="0"/>
        </w:rPr>
        <w:t>Web</w:t>
      </w:r>
      <w:r w:rsidR="00427468">
        <w:rPr>
          <w:kern w:val="0"/>
        </w:rPr>
        <w:t xml:space="preserve"> of </w:t>
      </w:r>
      <w:r w:rsidR="00D5664A">
        <w:rPr>
          <w:kern w:val="0"/>
        </w:rPr>
        <w:t>Science</w:t>
      </w:r>
      <w:r>
        <w:rPr>
          <w:kern w:val="0"/>
        </w:rPr>
        <w:t>, Women</w:t>
      </w:r>
    </w:p>
    <w:p w:rsidR="00817A1A" w:rsidRDefault="00817A1A" w:rsidP="00817A1A">
      <w:pPr>
        <w:pStyle w:val="a3"/>
        <w:rPr>
          <w:kern w:val="0"/>
          <w:szCs w:val="24"/>
        </w:rPr>
      </w:pPr>
      <w:r>
        <w:rPr>
          <w:rFonts w:hint="eastAsia"/>
          <w:kern w:val="0"/>
          <w:szCs w:val="24"/>
        </w:rPr>
        <w:t xml:space="preserve">? </w:t>
      </w:r>
      <w:r>
        <w:rPr>
          <w:kern w:val="0"/>
          <w:szCs w:val="24"/>
        </w:rPr>
        <w:t>Ugolini, D., Neri, M., Cesario, A., Marazzi, G., Milazzo, D., Volterrani, M., Bennati, L., Bonassi, S.</w:t>
      </w:r>
      <w:r w:rsidR="005853A9">
        <w:rPr>
          <w:kern w:val="0"/>
          <w:szCs w:val="24"/>
        </w:rPr>
        <w:t xml:space="preserve"> and </w:t>
      </w:r>
      <w:r>
        <w:rPr>
          <w:kern w:val="0"/>
          <w:szCs w:val="24"/>
        </w:rPr>
        <w:t>Pasqualetti, P. (2013), Bibliometric Analysis</w:t>
      </w:r>
      <w:r w:rsidR="00427468">
        <w:rPr>
          <w:kern w:val="0"/>
          <w:szCs w:val="24"/>
        </w:rPr>
        <w:t xml:space="preserve"> of </w:t>
      </w:r>
      <w:r>
        <w:rPr>
          <w:kern w:val="0"/>
          <w:szCs w:val="24"/>
        </w:rPr>
        <w:t>Literature in Cerebrovascular</w:t>
      </w:r>
      <w:r w:rsidR="005853A9">
        <w:rPr>
          <w:kern w:val="0"/>
          <w:szCs w:val="24"/>
        </w:rPr>
        <w:t xml:space="preserve"> and </w:t>
      </w:r>
      <w:r>
        <w:rPr>
          <w:kern w:val="0"/>
          <w:szCs w:val="24"/>
        </w:rPr>
        <w:t xml:space="preserve">Cardiovascular Diseases Rehabilitation: Growing Numbers, Reducing Impact Factor. </w:t>
      </w:r>
      <w:r>
        <w:rPr>
          <w:i/>
          <w:iCs/>
          <w:kern w:val="0"/>
          <w:szCs w:val="24"/>
        </w:rPr>
        <w:t>Archives</w:t>
      </w:r>
      <w:r w:rsidR="00427468">
        <w:rPr>
          <w:i/>
          <w:iCs/>
          <w:kern w:val="0"/>
          <w:szCs w:val="24"/>
        </w:rPr>
        <w:t xml:space="preserve"> of </w:t>
      </w:r>
      <w:r>
        <w:rPr>
          <w:i/>
          <w:iCs/>
          <w:kern w:val="0"/>
          <w:szCs w:val="24"/>
        </w:rPr>
        <w:t>Physical Medicine</w:t>
      </w:r>
      <w:r w:rsidR="005853A9">
        <w:rPr>
          <w:i/>
          <w:iCs/>
          <w:kern w:val="0"/>
          <w:szCs w:val="24"/>
        </w:rPr>
        <w:t xml:space="preserve"> and </w:t>
      </w:r>
      <w:r>
        <w:rPr>
          <w:i/>
          <w:iCs/>
          <w:kern w:val="0"/>
          <w:szCs w:val="24"/>
        </w:rPr>
        <w:t>Rehabilitation</w:t>
      </w:r>
      <w:r>
        <w:rPr>
          <w:kern w:val="0"/>
          <w:szCs w:val="24"/>
        </w:rPr>
        <w:t xml:space="preserve">, </w:t>
      </w:r>
      <w:r>
        <w:rPr>
          <w:b/>
          <w:bCs/>
          <w:kern w:val="0"/>
          <w:szCs w:val="24"/>
        </w:rPr>
        <w:t>94</w:t>
      </w:r>
      <w:r>
        <w:rPr>
          <w:kern w:val="0"/>
          <w:szCs w:val="24"/>
        </w:rPr>
        <w:t xml:space="preserve"> (2), 324-331.</w:t>
      </w:r>
    </w:p>
    <w:p w:rsidR="00817A1A" w:rsidRPr="001A3D2B" w:rsidRDefault="00817A1A" w:rsidP="00817A1A">
      <w:pPr>
        <w:pStyle w:val="a3"/>
      </w:pPr>
      <w:r w:rsidRPr="001A3D2B">
        <w:t xml:space="preserve">Full Text: </w:t>
      </w:r>
      <w:hyperlink r:id="rId1180" w:history="1">
        <w:r w:rsidRPr="00817A1A">
          <w:rPr>
            <w:rStyle w:val="a5"/>
          </w:rPr>
          <w:t>2013\Arc Phy Med Reh94, 324.pdf</w:t>
        </w:r>
      </w:hyperlink>
    </w:p>
    <w:p w:rsidR="00817A1A" w:rsidRDefault="00817A1A" w:rsidP="00817A1A">
      <w:pPr>
        <w:pStyle w:val="a3"/>
        <w:rPr>
          <w:kern w:val="0"/>
          <w:szCs w:val="24"/>
        </w:rPr>
      </w:pPr>
      <w:r>
        <w:rPr>
          <w:kern w:val="0"/>
          <w:szCs w:val="24"/>
        </w:rPr>
        <w:t>Abstract: Objectives: To explore temporal trends, geographic distribution,</w:t>
      </w:r>
      <w:r w:rsidR="005853A9">
        <w:rPr>
          <w:kern w:val="0"/>
          <w:szCs w:val="24"/>
        </w:rPr>
        <w:t xml:space="preserve"> and </w:t>
      </w:r>
      <w:r>
        <w:rPr>
          <w:kern w:val="0"/>
          <w:szCs w:val="24"/>
        </w:rPr>
        <w:t>socioeconomic determinants</w:t>
      </w:r>
      <w:r w:rsidR="00427468">
        <w:rPr>
          <w:kern w:val="0"/>
          <w:szCs w:val="24"/>
        </w:rPr>
        <w:t xml:space="preserve"> of </w:t>
      </w:r>
      <w:r>
        <w:rPr>
          <w:kern w:val="0"/>
          <w:szCs w:val="24"/>
        </w:rPr>
        <w:t>scientific production in the field</w:t>
      </w:r>
      <w:r w:rsidR="00427468">
        <w:rPr>
          <w:kern w:val="0"/>
          <w:szCs w:val="24"/>
        </w:rPr>
        <w:t xml:space="preserve"> of </w:t>
      </w:r>
      <w:r>
        <w:rPr>
          <w:kern w:val="0"/>
          <w:szCs w:val="24"/>
        </w:rPr>
        <w:t>cerebrovascular</w:t>
      </w:r>
      <w:r w:rsidR="005853A9">
        <w:rPr>
          <w:kern w:val="0"/>
          <w:szCs w:val="24"/>
        </w:rPr>
        <w:t xml:space="preserve"> and </w:t>
      </w:r>
      <w:r>
        <w:rPr>
          <w:kern w:val="0"/>
          <w:szCs w:val="24"/>
        </w:rPr>
        <w:t>cardiovascular disease (CCD) rehabilitation. Data Sources: Citations from 1967 to 2008 were downloaded from the PubMed database. Core</w:t>
      </w:r>
      <w:r w:rsidR="00427468">
        <w:rPr>
          <w:kern w:val="0"/>
          <w:szCs w:val="24"/>
        </w:rPr>
        <w:t xml:space="preserve"> of </w:t>
      </w:r>
      <w:r>
        <w:rPr>
          <w:kern w:val="0"/>
          <w:szCs w:val="24"/>
        </w:rPr>
        <w:t>the search strategy was the key word cardiovascular diseases in the Medical Subject Headings major field with the subheading rehabilitation. Journal Citation Reports was used to assign an impact factor (IF). Demographic</w:t>
      </w:r>
      <w:r w:rsidR="005853A9">
        <w:rPr>
          <w:kern w:val="0"/>
          <w:szCs w:val="24"/>
        </w:rPr>
        <w:t xml:space="preserve"> and </w:t>
      </w:r>
      <w:r>
        <w:rPr>
          <w:kern w:val="0"/>
          <w:szCs w:val="24"/>
        </w:rPr>
        <w:t>economic data were retrieved from the International Monetary Fund. Study Selection: All articles retrieved were included in the bibliometric analysis. Data Extraction: The search strategy was validated on a random sample</w:t>
      </w:r>
      <w:r w:rsidR="00427468">
        <w:rPr>
          <w:kern w:val="0"/>
          <w:szCs w:val="24"/>
        </w:rPr>
        <w:t xml:space="preserve"> of </w:t>
      </w:r>
      <w:r>
        <w:rPr>
          <w:kern w:val="0"/>
          <w:szCs w:val="24"/>
        </w:rPr>
        <w:t>the articles retrieved</w:t>
      </w:r>
      <w:r w:rsidR="00A37C1D">
        <w:rPr>
          <w:kern w:val="0"/>
          <w:szCs w:val="24"/>
        </w:rPr>
        <w:t>. The</w:t>
      </w:r>
      <w:r>
        <w:rPr>
          <w:kern w:val="0"/>
          <w:szCs w:val="24"/>
        </w:rPr>
        <w:t xml:space="preserve"> search quality reflected the level</w:t>
      </w:r>
      <w:r w:rsidR="00427468">
        <w:rPr>
          <w:kern w:val="0"/>
          <w:szCs w:val="24"/>
        </w:rPr>
        <w:t xml:space="preserve"> of </w:t>
      </w:r>
      <w:r>
        <w:rPr>
          <w:kern w:val="0"/>
          <w:szCs w:val="24"/>
        </w:rPr>
        <w:t>error</w:t>
      </w:r>
      <w:r w:rsidR="00427468">
        <w:rPr>
          <w:kern w:val="0"/>
          <w:szCs w:val="24"/>
        </w:rPr>
        <w:t xml:space="preserve"> of </w:t>
      </w:r>
      <w:r>
        <w:rPr>
          <w:kern w:val="0"/>
          <w:szCs w:val="24"/>
        </w:rPr>
        <w:t>the PubMed database. Data Synthesis: Publications retrieved were 10,379</w:t>
      </w:r>
      <w:r w:rsidR="005853A9">
        <w:rPr>
          <w:kern w:val="0"/>
          <w:szCs w:val="24"/>
        </w:rPr>
        <w:t xml:space="preserve"> and </w:t>
      </w:r>
      <w:r>
        <w:rPr>
          <w:kern w:val="0"/>
          <w:szCs w:val="24"/>
        </w:rPr>
        <w:t>have grown 8.6 times in 40 years, faster than the all-diseases rehabilitation field (7.8 times), with a particularly steep growth for cerebrovascular diseases in the last 15 years (5 times). However, in the last decade, the articles</w:t>
      </w:r>
      <w:r w:rsidR="00700038">
        <w:rPr>
          <w:kern w:val="0"/>
          <w:szCs w:val="24"/>
        </w:rPr>
        <w:t>’</w:t>
      </w:r>
      <w:r>
        <w:rPr>
          <w:kern w:val="0"/>
          <w:szCs w:val="24"/>
        </w:rPr>
        <w:t xml:space="preserve"> quality (IF) decreased. From 1994 to 2008, 3466 citations were retrieved; 44.4% came from the European Union</w:t>
      </w:r>
      <w:r w:rsidR="005853A9">
        <w:rPr>
          <w:kern w:val="0"/>
          <w:szCs w:val="24"/>
        </w:rPr>
        <w:t xml:space="preserve"> and </w:t>
      </w:r>
      <w:r>
        <w:rPr>
          <w:kern w:val="0"/>
          <w:szCs w:val="24"/>
        </w:rPr>
        <w:t>30.3% from the United States</w:t>
      </w:r>
      <w:r w:rsidR="00A37C1D">
        <w:rPr>
          <w:kern w:val="0"/>
          <w:szCs w:val="24"/>
        </w:rPr>
        <w:t>. The</w:t>
      </w:r>
      <w:r>
        <w:rPr>
          <w:kern w:val="0"/>
          <w:szCs w:val="24"/>
        </w:rPr>
        <w:t xml:space="preserve"> highest mean IF was reported for France (4.127)</w:t>
      </w:r>
      <w:r w:rsidR="00A37C1D">
        <w:rPr>
          <w:kern w:val="0"/>
          <w:szCs w:val="24"/>
        </w:rPr>
        <w:t>. The</w:t>
      </w:r>
      <w:r>
        <w:rPr>
          <w:kern w:val="0"/>
          <w:szCs w:val="24"/>
        </w:rPr>
        <w:t xml:space="preserve"> United Kingdom</w:t>
      </w:r>
      <w:r w:rsidR="005853A9">
        <w:rPr>
          <w:kern w:val="0"/>
          <w:szCs w:val="24"/>
        </w:rPr>
        <w:t xml:space="preserve"> and </w:t>
      </w:r>
      <w:r>
        <w:rPr>
          <w:kern w:val="0"/>
          <w:szCs w:val="24"/>
        </w:rPr>
        <w:t>some relatively small northern European Union countries had the best ratio</w:t>
      </w:r>
      <w:r w:rsidR="00427468">
        <w:rPr>
          <w:kern w:val="0"/>
          <w:szCs w:val="24"/>
        </w:rPr>
        <w:t xml:space="preserve"> of </w:t>
      </w:r>
      <w:r>
        <w:rPr>
          <w:kern w:val="0"/>
          <w:szCs w:val="24"/>
        </w:rPr>
        <w:t>IF (sum) to resident population or to gross domestic product</w:t>
      </w:r>
      <w:r w:rsidR="00A37C1D">
        <w:rPr>
          <w:kern w:val="0"/>
          <w:szCs w:val="24"/>
        </w:rPr>
        <w:t>. The</w:t>
      </w:r>
      <w:r>
        <w:rPr>
          <w:kern w:val="0"/>
          <w:szCs w:val="24"/>
        </w:rPr>
        <w:t xml:space="preserve"> most frequently used key word was stroke,</w:t>
      </w:r>
      <w:r w:rsidR="005853A9">
        <w:rPr>
          <w:kern w:val="0"/>
          <w:szCs w:val="24"/>
        </w:rPr>
        <w:t xml:space="preserve"> and </w:t>
      </w:r>
      <w:r>
        <w:rPr>
          <w:kern w:val="0"/>
          <w:szCs w:val="24"/>
        </w:rPr>
        <w:t>3 journals (Archives</w:t>
      </w:r>
      <w:r w:rsidR="00427468">
        <w:rPr>
          <w:kern w:val="0"/>
          <w:szCs w:val="24"/>
        </w:rPr>
        <w:t xml:space="preserve"> of </w:t>
      </w:r>
      <w:r>
        <w:rPr>
          <w:kern w:val="0"/>
          <w:szCs w:val="24"/>
        </w:rPr>
        <w:t>Physical Medicine</w:t>
      </w:r>
      <w:r w:rsidR="005853A9">
        <w:rPr>
          <w:kern w:val="0"/>
          <w:szCs w:val="24"/>
        </w:rPr>
        <w:t xml:space="preserve"> and </w:t>
      </w:r>
      <w:r>
        <w:rPr>
          <w:kern w:val="0"/>
          <w:szCs w:val="24"/>
        </w:rPr>
        <w:t>Rehabilitation, Clinical Rehabilitation,</w:t>
      </w:r>
      <w:r w:rsidR="005853A9">
        <w:rPr>
          <w:kern w:val="0"/>
          <w:szCs w:val="24"/>
        </w:rPr>
        <w:t xml:space="preserve"> and </w:t>
      </w:r>
      <w:r>
        <w:rPr>
          <w:kern w:val="0"/>
          <w:szCs w:val="24"/>
        </w:rPr>
        <w:t>Stroke) published one quarter</w:t>
      </w:r>
      <w:r w:rsidR="00427468">
        <w:rPr>
          <w:kern w:val="0"/>
          <w:szCs w:val="24"/>
        </w:rPr>
        <w:t xml:space="preserve"> of </w:t>
      </w:r>
      <w:r>
        <w:rPr>
          <w:kern w:val="0"/>
          <w:szCs w:val="24"/>
        </w:rPr>
        <w:t>the articles. Conclusions: The overall scientific production in the field</w:t>
      </w:r>
      <w:r w:rsidR="00427468">
        <w:rPr>
          <w:kern w:val="0"/>
          <w:szCs w:val="24"/>
        </w:rPr>
        <w:t xml:space="preserve"> of </w:t>
      </w:r>
      <w:r>
        <w:rPr>
          <w:kern w:val="0"/>
          <w:szCs w:val="24"/>
        </w:rPr>
        <w:t xml:space="preserve">CCD rehabilitation showed a steep growth in the last </w:t>
      </w:r>
      <w:r>
        <w:rPr>
          <w:kern w:val="0"/>
          <w:szCs w:val="24"/>
        </w:rPr>
        <w:lastRenderedPageBreak/>
        <w:t>decade, especially because</w:t>
      </w:r>
      <w:r w:rsidR="00427468">
        <w:rPr>
          <w:kern w:val="0"/>
          <w:szCs w:val="24"/>
        </w:rPr>
        <w:t xml:space="preserve"> of </w:t>
      </w:r>
      <w:r>
        <w:rPr>
          <w:kern w:val="0"/>
          <w:szCs w:val="24"/>
        </w:rPr>
        <w:t>cerebrovaseular research. In the same period, a decrease in the overall IF was observed</w:t>
      </w:r>
      <w:r w:rsidR="00A37C1D">
        <w:rPr>
          <w:kern w:val="0"/>
          <w:szCs w:val="24"/>
        </w:rPr>
        <w:t>. The</w:t>
      </w:r>
      <w:r>
        <w:rPr>
          <w:kern w:val="0"/>
          <w:szCs w:val="24"/>
        </w:rPr>
        <w:t xml:space="preserve"> European Union</w:t>
      </w:r>
      <w:r w:rsidR="005853A9">
        <w:rPr>
          <w:kern w:val="0"/>
          <w:szCs w:val="24"/>
        </w:rPr>
        <w:t xml:space="preserve"> and </w:t>
      </w:r>
      <w:r>
        <w:rPr>
          <w:kern w:val="0"/>
          <w:szCs w:val="24"/>
        </w:rPr>
        <w:t>the United States contributed 3</w:t>
      </w:r>
      <w:r w:rsidR="00427468">
        <w:rPr>
          <w:kern w:val="0"/>
          <w:szCs w:val="24"/>
        </w:rPr>
        <w:t xml:space="preserve"> of </w:t>
      </w:r>
      <w:r>
        <w:rPr>
          <w:kern w:val="0"/>
          <w:szCs w:val="24"/>
        </w:rPr>
        <w:t>every 4 articles in the field, although some Asian countries showed promising performance. Archives</w:t>
      </w:r>
      <w:r w:rsidR="00427468">
        <w:rPr>
          <w:kern w:val="0"/>
          <w:szCs w:val="24"/>
        </w:rPr>
        <w:t xml:space="preserve"> of </w:t>
      </w:r>
      <w:r>
        <w:rPr>
          <w:kern w:val="0"/>
          <w:szCs w:val="24"/>
        </w:rPr>
        <w:t>Physical Medicine</w:t>
      </w:r>
      <w:r w:rsidR="005853A9">
        <w:rPr>
          <w:kern w:val="0"/>
          <w:szCs w:val="24"/>
        </w:rPr>
        <w:t xml:space="preserve"> and </w:t>
      </w:r>
      <w:r>
        <w:rPr>
          <w:kern w:val="0"/>
          <w:szCs w:val="24"/>
        </w:rPr>
        <w:t>Rehabilitation 2013;94:324-31 (C) 2013 by the American Congress</w:t>
      </w:r>
      <w:r w:rsidR="00427468">
        <w:rPr>
          <w:kern w:val="0"/>
          <w:szCs w:val="24"/>
        </w:rPr>
        <w:t xml:space="preserve"> of </w:t>
      </w:r>
      <w:r>
        <w:rPr>
          <w:kern w:val="0"/>
          <w:szCs w:val="24"/>
        </w:rPr>
        <w:t>Rehabilitation Medicine.</w:t>
      </w:r>
    </w:p>
    <w:p w:rsidR="00817A1A" w:rsidRDefault="00817A1A" w:rsidP="00817A1A">
      <w:pPr>
        <w:pStyle w:val="a3"/>
        <w:rPr>
          <w:kern w:val="0"/>
          <w:szCs w:val="24"/>
        </w:rPr>
      </w:pPr>
      <w:r>
        <w:rPr>
          <w:kern w:val="0"/>
          <w:szCs w:val="24"/>
        </w:rPr>
        <w:t>Keywords: Analysis, Articles, Asian, Bibliometric, Bibliometric Analysis, Bibliometrics, Cardiac Rehabilitation, Cardiovascular, Cardiovascular Disease, Cardiovascular Diseases, CCD, Cerebrovascular Disorders, China, Citation, Citations, Coronary-Heart-Disease, Data, Database, Decline, Disease, Diseases, Distribution, Economic, Error, European Union, European Union Countries, European-Union, Extraction, Field, France, Gross Domestic Product, Growth, Impact, Impact Factor, Journal, Journal Citation Reports, Journals, Literature, Medical, Medicine, Mortality, Performance, Population, Productivity, Publications, Pubmed, Quality, Random Sample, Rehabilitation, Research, Resident, Scientific Production, Search Strategy, Small, Strategy, Stroke, Synthesis, Temporal, Trends, United Kingdom, United States</w:t>
      </w:r>
    </w:p>
    <w:p w:rsidR="004653DF" w:rsidRDefault="004653DF" w:rsidP="004653DF">
      <w:pPr>
        <w:pStyle w:val="a3"/>
        <w:rPr>
          <w:kern w:val="0"/>
        </w:rPr>
      </w:pPr>
      <w:r>
        <w:rPr>
          <w:rFonts w:hint="eastAsia"/>
          <w:kern w:val="0"/>
        </w:rPr>
        <w:t xml:space="preserve">? </w:t>
      </w:r>
      <w:r>
        <w:rPr>
          <w:kern w:val="0"/>
        </w:rPr>
        <w:t xml:space="preserve">Farmer, S.E., Durairaj, V., Swain, I. and Pandyan, D. (2014), Assistive technologies: Can they contribute to rehabilitation of the upper limb after stroke? </w:t>
      </w:r>
      <w:r>
        <w:rPr>
          <w:i/>
          <w:iCs/>
          <w:kern w:val="0"/>
        </w:rPr>
        <w:t>Archives of Physical Medicine and Rehabilitation</w:t>
      </w:r>
      <w:r>
        <w:rPr>
          <w:kern w:val="0"/>
        </w:rPr>
        <w:t xml:space="preserve">, </w:t>
      </w:r>
      <w:r>
        <w:rPr>
          <w:b/>
          <w:bCs/>
          <w:kern w:val="0"/>
        </w:rPr>
        <w:t>95</w:t>
      </w:r>
      <w:r>
        <w:rPr>
          <w:kern w:val="0"/>
        </w:rPr>
        <w:t xml:space="preserve"> (5), 968-985.</w:t>
      </w:r>
    </w:p>
    <w:p w:rsidR="004653DF" w:rsidRPr="001A3D2B" w:rsidRDefault="004653DF" w:rsidP="004653DF">
      <w:pPr>
        <w:pStyle w:val="a3"/>
      </w:pPr>
      <w:r w:rsidRPr="001A3D2B">
        <w:t xml:space="preserve">Full Text: </w:t>
      </w:r>
      <w:hyperlink r:id="rId1181" w:history="1">
        <w:r w:rsidRPr="004653DF">
          <w:rPr>
            <w:rStyle w:val="a5"/>
          </w:rPr>
          <w:t>2014\Arc Phy Med Reh95, 968.pdf</w:t>
        </w:r>
      </w:hyperlink>
    </w:p>
    <w:p w:rsidR="004653DF" w:rsidRDefault="004653DF" w:rsidP="004653DF">
      <w:pPr>
        <w:pStyle w:val="a3"/>
        <w:rPr>
          <w:kern w:val="0"/>
        </w:rPr>
      </w:pPr>
      <w:r>
        <w:rPr>
          <w:kern w:val="0"/>
        </w:rPr>
        <w:t>Abstract: Objective: To systematically identify, review, and explore the evidence for use of assistive technologies (ATs) in poststroke upper limb rehabilitation. Data Sources: AMED, CINTAHL, Cochrane Library, Compendex, CSA Illumina, EMBASE, MEDLINE, PEDro, PyscINFO, and Web of Science were last searched in September 2011. Study Selection: Two independent researchers screened for inclusion criteria (adult poststroke subjects, upper limb rehabilitation with an AT)</w:t>
      </w:r>
      <w:r w:rsidR="00A37C1D">
        <w:rPr>
          <w:kern w:val="0"/>
        </w:rPr>
        <w:t>. The</w:t>
      </w:r>
      <w:r>
        <w:rPr>
          <w:kern w:val="0"/>
        </w:rPr>
        <w:t xml:space="preserve"> risk of bias was assessed. Randomized controlled trials of poststroke subjects with baseline equivalence as assessed by blinded assessors were selected for data extraction. Data Extraction: Details of subjects, experimental and control treatments, and all outcomes were recorded in a spreadsheet. Data Synthesis: These data were used to calculate effect sizes for all outcome measures. Impairment measures ranged from -.39 (95% confidence interval [CI], -1.14 to .62) to 1.46 (95% CI, .72-2.20). Measures of activity effect sizes were from .04 (95% CI, -.35 to .44) to .93 (95% CI, -.39 to 2.25); for Motor Activity Log, from .07 (95% CI, -.66 to .80) to 1.24 (95% CI, .47-2.01); and for participation, from -3.32 (95% CI, -4.52 to 2.11) to 1.78 (95% CI, 0-3.56). Conclusions: AT treatments appear to give modest additional benefit when compared with usual care or in addition to usual care. This is most apparent for subjects early poststroke with 2 caveats: high-intensity constraint-induced movement therapy and electrical stimulation exclusively to the shoulder appear detrimental</w:t>
      </w:r>
      <w:r w:rsidR="00A37C1D">
        <w:rPr>
          <w:kern w:val="0"/>
        </w:rPr>
        <w:t>. The</w:t>
      </w:r>
      <w:r>
        <w:rPr>
          <w:kern w:val="0"/>
        </w:rPr>
        <w:t xml:space="preserve"> </w:t>
      </w:r>
      <w:r>
        <w:rPr>
          <w:kern w:val="0"/>
        </w:rPr>
        <w:lastRenderedPageBreak/>
        <w:t>heterogeneity of treatment parameters and population characteristics precludes specific recommendations. Research would benefit from modeling studies to explicitly define criteria of population, intervention, comparator, and outcomes for effective treatments before the development of efficiently integrated care pathways. (C) 2014 by the American Congress of Rehabilitation Medicine.</w:t>
      </w:r>
    </w:p>
    <w:p w:rsidR="004653DF" w:rsidRDefault="004653DF" w:rsidP="004653DF">
      <w:pPr>
        <w:pStyle w:val="a3"/>
        <w:rPr>
          <w:kern w:val="0"/>
        </w:rPr>
      </w:pPr>
      <w:r>
        <w:rPr>
          <w:kern w:val="0"/>
        </w:rPr>
        <w:t>Keywords: Activity, Adult, Assistive Technology, At, Bias, Care, Characteristics, Clinical-Trial, Confidence, Constraint-Induced Movement, Constraint-Induced Movement Therapy, Control, Criteria, Data, Development, Embase, Evidence, Experimental, Extraction, Functional Recovery, Heterogeneity, Integrated Care, Interval, Intervention, Measures, Medicine, Medline, Modeling, Motor Control, Movement, Neuromuscular Electrical-Stimulation, Outcome, Outcome Measures, Outcomes, Participation, Pathways, Population, Poststroke Shoulder Pain, Randomized Controlled Trials, Randomized Controlled-Trial, Recommendations, Rehabilitation, Research, Review, Risk, Science, Short-Term, Stroke, Subacute Stroke, Synthesis, Systematic, Technologies, Therapy, Treatment, Upper Extremity, Upper-Extremity Function, Web Of Science</w:t>
      </w:r>
    </w:p>
    <w:p w:rsidR="00D3100C" w:rsidRPr="00F219CA" w:rsidRDefault="00D3100C" w:rsidP="00D3100C">
      <w:pPr>
        <w:pStyle w:val="1"/>
      </w:pPr>
      <w:r w:rsidRPr="00F219CA">
        <w:br w:type="page"/>
      </w:r>
      <w:bookmarkStart w:id="598" w:name="_Toc420814589"/>
      <w:r w:rsidRPr="00F219CA">
        <w:lastRenderedPageBreak/>
        <w:t xml:space="preserve">Title: </w:t>
      </w:r>
      <w:r w:rsidRPr="00D3100C">
        <w:t>Archives</w:t>
      </w:r>
      <w:r w:rsidR="00427468">
        <w:t xml:space="preserve"> of </w:t>
      </w:r>
      <w:r w:rsidRPr="00D3100C">
        <w:t>Plastic Surgery</w:t>
      </w:r>
      <w:bookmarkEnd w:id="598"/>
    </w:p>
    <w:p w:rsidR="00D3100C" w:rsidRPr="00F219CA" w:rsidRDefault="00D3100C" w:rsidP="00D3100C">
      <w:pPr>
        <w:pStyle w:val="12"/>
      </w:pPr>
      <w:r w:rsidRPr="00F219CA">
        <w:t xml:space="preserve">Full Journal Title: </w:t>
      </w:r>
      <w:r w:rsidRPr="00D3100C">
        <w:rPr>
          <w:kern w:val="0"/>
        </w:rPr>
        <w:t>Archives</w:t>
      </w:r>
      <w:r w:rsidR="00427468">
        <w:rPr>
          <w:kern w:val="0"/>
        </w:rPr>
        <w:t xml:space="preserve"> of </w:t>
      </w:r>
      <w:r w:rsidRPr="00D3100C">
        <w:rPr>
          <w:kern w:val="0"/>
        </w:rPr>
        <w:t>Plastic Surgery</w:t>
      </w:r>
    </w:p>
    <w:p w:rsidR="00D3100C" w:rsidRPr="00F219CA" w:rsidRDefault="00D3100C" w:rsidP="00D3100C">
      <w:pPr>
        <w:pStyle w:val="12"/>
      </w:pPr>
      <w:r w:rsidRPr="00F219CA">
        <w:t xml:space="preserve">ISO Abbreviated Title: </w:t>
      </w:r>
    </w:p>
    <w:p w:rsidR="00D3100C" w:rsidRPr="00F219CA" w:rsidRDefault="00D3100C" w:rsidP="00D3100C">
      <w:pPr>
        <w:pStyle w:val="12"/>
      </w:pPr>
      <w:r w:rsidRPr="00F219CA">
        <w:t xml:space="preserve">JCR Abbreviated Title: </w:t>
      </w:r>
    </w:p>
    <w:p w:rsidR="00D3100C" w:rsidRPr="00F219CA" w:rsidRDefault="00D3100C" w:rsidP="00D3100C">
      <w:pPr>
        <w:pStyle w:val="12"/>
      </w:pPr>
      <w:r w:rsidRPr="00F219CA">
        <w:t xml:space="preserve">ISSN: </w:t>
      </w:r>
    </w:p>
    <w:p w:rsidR="00D3100C" w:rsidRPr="00F219CA" w:rsidRDefault="00D3100C" w:rsidP="00D3100C">
      <w:pPr>
        <w:pStyle w:val="12"/>
      </w:pPr>
      <w:r w:rsidRPr="00F219CA">
        <w:t xml:space="preserve">Issues/Year: </w:t>
      </w:r>
    </w:p>
    <w:p w:rsidR="00D3100C" w:rsidRPr="00F219CA" w:rsidRDefault="00D3100C" w:rsidP="00D3100C">
      <w:pPr>
        <w:pStyle w:val="12"/>
      </w:pPr>
      <w:r w:rsidRPr="00F219CA">
        <w:t xml:space="preserve">Journal Country/Territory: </w:t>
      </w:r>
    </w:p>
    <w:p w:rsidR="00D3100C" w:rsidRPr="00F219CA" w:rsidRDefault="00D3100C" w:rsidP="00D3100C">
      <w:pPr>
        <w:pStyle w:val="12"/>
      </w:pPr>
      <w:r w:rsidRPr="00F219CA">
        <w:t xml:space="preserve">Language: </w:t>
      </w:r>
    </w:p>
    <w:p w:rsidR="00D3100C" w:rsidRPr="00F219CA" w:rsidRDefault="00D3100C" w:rsidP="00D3100C">
      <w:pPr>
        <w:pStyle w:val="12"/>
      </w:pPr>
      <w:r w:rsidRPr="00F219CA">
        <w:t xml:space="preserve">Publisher: </w:t>
      </w:r>
    </w:p>
    <w:p w:rsidR="00D3100C" w:rsidRPr="00F219CA" w:rsidRDefault="00D3100C" w:rsidP="00D3100C">
      <w:pPr>
        <w:pStyle w:val="12"/>
      </w:pPr>
      <w:r w:rsidRPr="00F219CA">
        <w:t xml:space="preserve">Publisher Address: </w:t>
      </w:r>
    </w:p>
    <w:p w:rsidR="00D3100C" w:rsidRPr="00F219CA" w:rsidRDefault="00D3100C" w:rsidP="00D3100C">
      <w:pPr>
        <w:pStyle w:val="12"/>
      </w:pPr>
      <w:r w:rsidRPr="00F219CA">
        <w:t xml:space="preserve">Subject Categories: </w:t>
      </w:r>
    </w:p>
    <w:p w:rsidR="00D3100C" w:rsidRPr="00F219CA" w:rsidRDefault="00D3100C" w:rsidP="00D3100C">
      <w:pPr>
        <w:pStyle w:val="12"/>
      </w:pPr>
      <w:r w:rsidRPr="00F219CA">
        <w:t>: Impact Factor</w:t>
      </w:r>
    </w:p>
    <w:p w:rsidR="00D3100C" w:rsidRDefault="00D3100C" w:rsidP="00D3100C">
      <w:pPr>
        <w:pStyle w:val="a3"/>
        <w:rPr>
          <w:kern w:val="0"/>
        </w:rPr>
      </w:pPr>
      <w:r>
        <w:rPr>
          <w:rFonts w:hint="eastAsia"/>
          <w:kern w:val="0"/>
        </w:rPr>
        <w:t xml:space="preserve">? </w:t>
      </w:r>
      <w:r w:rsidRPr="00D3100C">
        <w:rPr>
          <w:kern w:val="0"/>
        </w:rPr>
        <w:t>Moghimi, M</w:t>
      </w:r>
      <w:r>
        <w:rPr>
          <w:rFonts w:hint="eastAsia"/>
          <w:kern w:val="0"/>
        </w:rPr>
        <w:t>.,</w:t>
      </w:r>
      <w:r w:rsidRPr="00D3100C">
        <w:rPr>
          <w:kern w:val="0"/>
        </w:rPr>
        <w:t xml:space="preserve"> Fathi, M</w:t>
      </w:r>
      <w:r>
        <w:rPr>
          <w:rFonts w:hint="eastAsia"/>
          <w:kern w:val="0"/>
        </w:rPr>
        <w:t>.,</w:t>
      </w:r>
      <w:r w:rsidRPr="00D3100C">
        <w:rPr>
          <w:kern w:val="0"/>
        </w:rPr>
        <w:t xml:space="preserve"> Marashi, A</w:t>
      </w:r>
      <w:r>
        <w:rPr>
          <w:rFonts w:hint="eastAsia"/>
          <w:kern w:val="0"/>
        </w:rPr>
        <w:t>.,</w:t>
      </w:r>
      <w:r w:rsidRPr="00D3100C">
        <w:rPr>
          <w:kern w:val="0"/>
        </w:rPr>
        <w:t xml:space="preserve"> Kamani, F</w:t>
      </w:r>
      <w:r>
        <w:rPr>
          <w:rFonts w:hint="eastAsia"/>
          <w:kern w:val="0"/>
        </w:rPr>
        <w:t>.,</w:t>
      </w:r>
      <w:r w:rsidRPr="00D3100C">
        <w:rPr>
          <w:kern w:val="0"/>
        </w:rPr>
        <w:t xml:space="preserve"> Habibi, G</w:t>
      </w:r>
      <w:r>
        <w:rPr>
          <w:rFonts w:hint="eastAsia"/>
          <w:kern w:val="0"/>
        </w:rPr>
        <w:t>.,</w:t>
      </w:r>
      <w:r w:rsidRPr="00D3100C">
        <w:rPr>
          <w:kern w:val="0"/>
        </w:rPr>
        <w:t xml:space="preserve"> Hirbod-Mobarakeh, A</w:t>
      </w:r>
      <w:r>
        <w:rPr>
          <w:rFonts w:hint="eastAsia"/>
          <w:kern w:val="0"/>
        </w:rPr>
        <w:t>.,</w:t>
      </w:r>
      <w:r w:rsidRPr="00D3100C">
        <w:rPr>
          <w:kern w:val="0"/>
        </w:rPr>
        <w:t xml:space="preserve"> Ghaemi, M</w:t>
      </w:r>
      <w:r>
        <w:rPr>
          <w:rFonts w:hint="eastAsia"/>
          <w:kern w:val="0"/>
        </w:rPr>
        <w:t>.</w:t>
      </w:r>
      <w:r w:rsidR="005853A9">
        <w:rPr>
          <w:rFonts w:hint="eastAsia"/>
          <w:kern w:val="0"/>
        </w:rPr>
        <w:t xml:space="preserve"> and </w:t>
      </w:r>
      <w:r w:rsidRPr="00D3100C">
        <w:rPr>
          <w:kern w:val="0"/>
        </w:rPr>
        <w:t>Hosseinian-Sarajehlou, M</w:t>
      </w:r>
      <w:r>
        <w:rPr>
          <w:rFonts w:hint="eastAsia"/>
          <w:kern w:val="0"/>
        </w:rPr>
        <w:t>.</w:t>
      </w:r>
      <w:r>
        <w:rPr>
          <w:kern w:val="0"/>
        </w:rPr>
        <w:t xml:space="preserve"> (20</w:t>
      </w:r>
      <w:r>
        <w:rPr>
          <w:rFonts w:hint="eastAsia"/>
          <w:kern w:val="0"/>
        </w:rPr>
        <w:t>13</w:t>
      </w:r>
      <w:r>
        <w:rPr>
          <w:kern w:val="0"/>
        </w:rPr>
        <w:t xml:space="preserve">), </w:t>
      </w:r>
      <w:r w:rsidRPr="00D3100C">
        <w:rPr>
          <w:kern w:val="0"/>
        </w:rPr>
        <w:t>A scientometric analysis</w:t>
      </w:r>
      <w:r w:rsidR="00427468">
        <w:rPr>
          <w:kern w:val="0"/>
        </w:rPr>
        <w:t xml:space="preserve"> of </w:t>
      </w:r>
      <w:r w:rsidRPr="00D3100C">
        <w:rPr>
          <w:kern w:val="0"/>
        </w:rPr>
        <w:t>20 years</w:t>
      </w:r>
      <w:r w:rsidR="00427468">
        <w:rPr>
          <w:kern w:val="0"/>
        </w:rPr>
        <w:t xml:space="preserve"> of </w:t>
      </w:r>
      <w:r w:rsidRPr="00D3100C">
        <w:rPr>
          <w:kern w:val="0"/>
        </w:rPr>
        <w:t>research on breast reconstruction surgery: A guide for research design</w:t>
      </w:r>
      <w:r w:rsidR="005853A9">
        <w:rPr>
          <w:kern w:val="0"/>
        </w:rPr>
        <w:t xml:space="preserve"> and </w:t>
      </w:r>
      <w:r w:rsidRPr="00D3100C">
        <w:rPr>
          <w:kern w:val="0"/>
        </w:rPr>
        <w:t>journal selection</w:t>
      </w:r>
      <w:r>
        <w:rPr>
          <w:kern w:val="0"/>
        </w:rPr>
        <w:t xml:space="preserve">. </w:t>
      </w:r>
      <w:r w:rsidRPr="00D3100C">
        <w:rPr>
          <w:i/>
          <w:kern w:val="0"/>
        </w:rPr>
        <w:t>Archives</w:t>
      </w:r>
      <w:r w:rsidR="00427468">
        <w:rPr>
          <w:i/>
          <w:kern w:val="0"/>
        </w:rPr>
        <w:t xml:space="preserve"> of </w:t>
      </w:r>
      <w:r w:rsidRPr="00D3100C">
        <w:rPr>
          <w:i/>
          <w:kern w:val="0"/>
        </w:rPr>
        <w:t>Plastic Surgery</w:t>
      </w:r>
      <w:r>
        <w:rPr>
          <w:kern w:val="0"/>
        </w:rPr>
        <w:t xml:space="preserve">, </w:t>
      </w:r>
      <w:r>
        <w:rPr>
          <w:rFonts w:hint="eastAsia"/>
          <w:b/>
          <w:bCs/>
          <w:kern w:val="0"/>
        </w:rPr>
        <w:t>40</w:t>
      </w:r>
      <w:r>
        <w:rPr>
          <w:kern w:val="0"/>
        </w:rPr>
        <w:t xml:space="preserve"> (2), </w:t>
      </w:r>
      <w:r w:rsidRPr="00D3100C">
        <w:rPr>
          <w:kern w:val="0"/>
        </w:rPr>
        <w:t>109-</w:t>
      </w:r>
      <w:r>
        <w:rPr>
          <w:rFonts w:hint="eastAsia"/>
          <w:kern w:val="0"/>
        </w:rPr>
        <w:t>1</w:t>
      </w:r>
      <w:r w:rsidRPr="00D3100C">
        <w:rPr>
          <w:kern w:val="0"/>
        </w:rPr>
        <w:t>15</w:t>
      </w:r>
      <w:r>
        <w:rPr>
          <w:kern w:val="0"/>
        </w:rPr>
        <w:t>.</w:t>
      </w:r>
    </w:p>
    <w:p w:rsidR="00D3100C" w:rsidRDefault="00D3100C" w:rsidP="00D3100C">
      <w:pPr>
        <w:pStyle w:val="a3"/>
        <w:rPr>
          <w:kern w:val="0"/>
        </w:rPr>
      </w:pPr>
      <w:r>
        <w:rPr>
          <w:rFonts w:hint="eastAsia"/>
          <w:kern w:val="0"/>
        </w:rPr>
        <w:t xml:space="preserve">Full Text: </w:t>
      </w:r>
      <w:hyperlink r:id="rId1182" w:history="1">
        <w:r w:rsidRPr="00D3100C">
          <w:rPr>
            <w:rStyle w:val="a5"/>
            <w:kern w:val="0"/>
          </w:rPr>
          <w:t>2013\Arc Pla Sur40, 109.pdf</w:t>
        </w:r>
      </w:hyperlink>
    </w:p>
    <w:p w:rsidR="00D3100C" w:rsidRPr="00D3100C" w:rsidRDefault="00D3100C" w:rsidP="00D3100C">
      <w:pPr>
        <w:pStyle w:val="a3"/>
        <w:rPr>
          <w:kern w:val="0"/>
        </w:rPr>
      </w:pPr>
      <w:r w:rsidRPr="00D3100C">
        <w:rPr>
          <w:kern w:val="0"/>
        </w:rPr>
        <w:t>Abstract: BACKGROUND: Breast reconstruction refers to the rebuilding</w:t>
      </w:r>
      <w:r w:rsidR="00427468">
        <w:rPr>
          <w:kern w:val="0"/>
        </w:rPr>
        <w:t xml:space="preserve"> of </w:t>
      </w:r>
      <w:r w:rsidRPr="00D3100C">
        <w:rPr>
          <w:kern w:val="0"/>
        </w:rPr>
        <w:t>a woman</w:t>
      </w:r>
      <w:r w:rsidR="00700038">
        <w:rPr>
          <w:kern w:val="0"/>
        </w:rPr>
        <w:t>’</w:t>
      </w:r>
      <w:r w:rsidRPr="00D3100C">
        <w:rPr>
          <w:kern w:val="0"/>
        </w:rPr>
        <w:t>s breast using autologous tissue or prosthetic material to form a natural-looking breast. It is increasingly offered to women undergoing mastectomy for breast cancer. However, there is no systematic analysis available for the expanding area</w:t>
      </w:r>
      <w:r w:rsidR="00427468">
        <w:rPr>
          <w:kern w:val="0"/>
        </w:rPr>
        <w:t xml:space="preserve"> of </w:t>
      </w:r>
      <w:r w:rsidRPr="00D3100C">
        <w:rPr>
          <w:kern w:val="0"/>
        </w:rPr>
        <w:t>research on breast reconstruction.</w:t>
      </w:r>
    </w:p>
    <w:p w:rsidR="00D3100C" w:rsidRPr="00D3100C" w:rsidRDefault="00D3100C" w:rsidP="00D3100C">
      <w:pPr>
        <w:pStyle w:val="a3"/>
        <w:rPr>
          <w:kern w:val="0"/>
        </w:rPr>
      </w:pPr>
      <w:r w:rsidRPr="00D3100C">
        <w:rPr>
          <w:kern w:val="0"/>
        </w:rPr>
        <w:t>METHODS: A bibliometric method was used to obtain a view</w:t>
      </w:r>
      <w:r w:rsidR="00427468">
        <w:rPr>
          <w:kern w:val="0"/>
        </w:rPr>
        <w:t xml:space="preserve"> of </w:t>
      </w:r>
      <w:r w:rsidRPr="00D3100C">
        <w:rPr>
          <w:kern w:val="0"/>
        </w:rPr>
        <w:t>the scientific production about breast reconstruction by data extracted from the Institute for Scientific Information (ISI). Specific parameters were retrieved from the ISI. Articles about breast reconstruction were analyzed to obtain a view</w:t>
      </w:r>
      <w:r w:rsidR="00427468">
        <w:rPr>
          <w:kern w:val="0"/>
        </w:rPr>
        <w:t xml:space="preserve"> of </w:t>
      </w:r>
      <w:r w:rsidRPr="00D3100C">
        <w:rPr>
          <w:kern w:val="0"/>
        </w:rPr>
        <w:t>the topic</w:t>
      </w:r>
      <w:r w:rsidR="00700038">
        <w:rPr>
          <w:kern w:val="0"/>
        </w:rPr>
        <w:t>’</w:t>
      </w:r>
      <w:r w:rsidRPr="00D3100C">
        <w:rPr>
          <w:kern w:val="0"/>
        </w:rPr>
        <w:t>s structure, history,</w:t>
      </w:r>
      <w:r w:rsidR="005853A9">
        <w:rPr>
          <w:kern w:val="0"/>
        </w:rPr>
        <w:t xml:space="preserve"> and </w:t>
      </w:r>
      <w:r w:rsidRPr="00D3100C">
        <w:rPr>
          <w:kern w:val="0"/>
        </w:rPr>
        <w:t>document relationships using HistCite software. Trends in the most influential publications</w:t>
      </w:r>
      <w:r w:rsidR="005853A9">
        <w:rPr>
          <w:kern w:val="0"/>
        </w:rPr>
        <w:t xml:space="preserve"> and </w:t>
      </w:r>
      <w:r w:rsidRPr="00D3100C">
        <w:rPr>
          <w:kern w:val="0"/>
        </w:rPr>
        <w:t>authors were analyzed.</w:t>
      </w:r>
    </w:p>
    <w:p w:rsidR="00D3100C" w:rsidRPr="00D3100C" w:rsidRDefault="00D3100C" w:rsidP="00D3100C">
      <w:pPr>
        <w:pStyle w:val="a3"/>
        <w:rPr>
          <w:kern w:val="0"/>
        </w:rPr>
      </w:pPr>
      <w:r w:rsidRPr="00D3100C">
        <w:rPr>
          <w:kern w:val="0"/>
        </w:rPr>
        <w:t>RESULTS: The number</w:t>
      </w:r>
      <w:r w:rsidR="00427468">
        <w:rPr>
          <w:kern w:val="0"/>
        </w:rPr>
        <w:t xml:space="preserve"> of </w:t>
      </w:r>
      <w:r w:rsidRPr="00D3100C">
        <w:rPr>
          <w:kern w:val="0"/>
        </w:rPr>
        <w:t>articles was constantly increasing. Most highly cited articles described the methods</w:t>
      </w:r>
      <w:r w:rsidR="00427468">
        <w:rPr>
          <w:kern w:val="0"/>
        </w:rPr>
        <w:t xml:space="preserve"> of </w:t>
      </w:r>
      <w:r w:rsidRPr="00D3100C">
        <w:rPr>
          <w:kern w:val="0"/>
        </w:rPr>
        <w:t>flap construction in the surgery. Other highly cited articles discussed the psychological or emotional aspects</w:t>
      </w:r>
      <w:r w:rsidR="00427468">
        <w:rPr>
          <w:kern w:val="0"/>
        </w:rPr>
        <w:t xml:space="preserve"> of </w:t>
      </w:r>
      <w:r w:rsidRPr="00D3100C">
        <w:rPr>
          <w:kern w:val="0"/>
        </w:rPr>
        <w:t>breast reconstruction, skin sparing mastectomy,</w:t>
      </w:r>
      <w:r w:rsidR="005853A9">
        <w:rPr>
          <w:kern w:val="0"/>
        </w:rPr>
        <w:t xml:space="preserve"> and </w:t>
      </w:r>
      <w:r w:rsidRPr="00D3100C">
        <w:rPr>
          <w:kern w:val="0"/>
        </w:rPr>
        <w:t>breast reconstruction in the irradiated breast.</w:t>
      </w:r>
    </w:p>
    <w:p w:rsidR="00D3100C" w:rsidRPr="00D3100C" w:rsidRDefault="00D3100C" w:rsidP="00D3100C">
      <w:pPr>
        <w:pStyle w:val="a3"/>
        <w:rPr>
          <w:kern w:val="0"/>
        </w:rPr>
      </w:pPr>
      <w:r w:rsidRPr="00D3100C">
        <w:rPr>
          <w:kern w:val="0"/>
        </w:rPr>
        <w:t>CONCLUSIONS: This was the first breast reconstruction scientometric analysis, representing the characteristics</w:t>
      </w:r>
      <w:r w:rsidR="00427468">
        <w:rPr>
          <w:kern w:val="0"/>
        </w:rPr>
        <w:t xml:space="preserve"> of </w:t>
      </w:r>
      <w:r w:rsidRPr="00D3100C">
        <w:rPr>
          <w:kern w:val="0"/>
        </w:rPr>
        <w:t>papers</w:t>
      </w:r>
      <w:r w:rsidR="005853A9">
        <w:rPr>
          <w:kern w:val="0"/>
        </w:rPr>
        <w:t xml:space="preserve"> and </w:t>
      </w:r>
      <w:r w:rsidRPr="00D3100C">
        <w:rPr>
          <w:kern w:val="0"/>
        </w:rPr>
        <w:t>the trends</w:t>
      </w:r>
      <w:r w:rsidR="00427468">
        <w:rPr>
          <w:kern w:val="0"/>
        </w:rPr>
        <w:t xml:space="preserve"> of </w:t>
      </w:r>
      <w:r w:rsidRPr="00D3100C">
        <w:rPr>
          <w:kern w:val="0"/>
        </w:rPr>
        <w:t>scientific production. A constant increase in the number</w:t>
      </w:r>
      <w:r w:rsidR="00427468">
        <w:rPr>
          <w:kern w:val="0"/>
        </w:rPr>
        <w:t xml:space="preserve"> of </w:t>
      </w:r>
      <w:r w:rsidRPr="00D3100C">
        <w:rPr>
          <w:kern w:val="0"/>
        </w:rPr>
        <w:t>breast reconstruction papers</w:t>
      </w:r>
      <w:r w:rsidR="005853A9">
        <w:rPr>
          <w:kern w:val="0"/>
        </w:rPr>
        <w:t xml:space="preserve"> and </w:t>
      </w:r>
      <w:r w:rsidRPr="00D3100C">
        <w:rPr>
          <w:kern w:val="0"/>
        </w:rPr>
        <w:t>also the increasing number</w:t>
      </w:r>
      <w:r w:rsidR="00427468">
        <w:rPr>
          <w:kern w:val="0"/>
        </w:rPr>
        <w:t xml:space="preserve"> of </w:t>
      </w:r>
      <w:r w:rsidRPr="00D3100C">
        <w:rPr>
          <w:kern w:val="0"/>
        </w:rPr>
        <w:t>citations shows that there is an increasing interest in this area</w:t>
      </w:r>
      <w:r w:rsidR="00427468">
        <w:rPr>
          <w:kern w:val="0"/>
        </w:rPr>
        <w:t xml:space="preserve"> of </w:t>
      </w:r>
      <w:r w:rsidRPr="00D3100C">
        <w:rPr>
          <w:kern w:val="0"/>
        </w:rPr>
        <w:t>medical science. It seems that most</w:t>
      </w:r>
      <w:r w:rsidR="00427468">
        <w:rPr>
          <w:kern w:val="0"/>
        </w:rPr>
        <w:t xml:space="preserve"> of </w:t>
      </w:r>
      <w:r w:rsidRPr="00D3100C">
        <w:rPr>
          <w:kern w:val="0"/>
        </w:rPr>
        <w:t xml:space="preserve">the research in this field is focused on the </w:t>
      </w:r>
      <w:r w:rsidRPr="00D3100C">
        <w:rPr>
          <w:kern w:val="0"/>
        </w:rPr>
        <w:lastRenderedPageBreak/>
        <w:t>technical aspects</w:t>
      </w:r>
      <w:r w:rsidR="00427468">
        <w:rPr>
          <w:kern w:val="0"/>
        </w:rPr>
        <w:t xml:space="preserve"> of </w:t>
      </w:r>
      <w:r w:rsidRPr="00D3100C">
        <w:rPr>
          <w:kern w:val="0"/>
        </w:rPr>
        <w:t>surgery.</w:t>
      </w:r>
    </w:p>
    <w:p w:rsidR="00D3100C" w:rsidRDefault="00D3100C" w:rsidP="00D3100C">
      <w:pPr>
        <w:pStyle w:val="a3"/>
        <w:rPr>
          <w:kern w:val="0"/>
        </w:rPr>
      </w:pPr>
      <w:r w:rsidRPr="00D3100C">
        <w:rPr>
          <w:kern w:val="0"/>
        </w:rPr>
        <w:t>Keyword</w:t>
      </w:r>
      <w:r>
        <w:rPr>
          <w:rFonts w:hint="eastAsia"/>
          <w:kern w:val="0"/>
        </w:rPr>
        <w:t>s</w:t>
      </w:r>
      <w:r w:rsidRPr="00D3100C">
        <w:rPr>
          <w:kern w:val="0"/>
        </w:rPr>
        <w:t>: Bibliometrics</w:t>
      </w:r>
      <w:r>
        <w:rPr>
          <w:rFonts w:hint="eastAsia"/>
          <w:kern w:val="0"/>
        </w:rPr>
        <w:t>,</w:t>
      </w:r>
      <w:r>
        <w:rPr>
          <w:kern w:val="0"/>
        </w:rPr>
        <w:t xml:space="preserve"> Historiography</w:t>
      </w:r>
      <w:r>
        <w:rPr>
          <w:rFonts w:hint="eastAsia"/>
          <w:kern w:val="0"/>
        </w:rPr>
        <w:t>,</w:t>
      </w:r>
      <w:r>
        <w:rPr>
          <w:kern w:val="0"/>
        </w:rPr>
        <w:t xml:space="preserve"> Mammaplasty</w:t>
      </w:r>
    </w:p>
    <w:p w:rsidR="004E00C2" w:rsidRPr="00F219CA" w:rsidRDefault="004E00C2" w:rsidP="004E00C2">
      <w:pPr>
        <w:pStyle w:val="1"/>
      </w:pPr>
      <w:r w:rsidRPr="00F219CA">
        <w:br w:type="page"/>
      </w:r>
      <w:bookmarkStart w:id="599" w:name="_Toc420814590"/>
      <w:r w:rsidRPr="00F219CA">
        <w:lastRenderedPageBreak/>
        <w:t xml:space="preserve">Title: </w:t>
      </w:r>
      <w:r w:rsidRPr="0017221F">
        <w:rPr>
          <w:iCs w:val="0"/>
        </w:rPr>
        <w:t>Archives des Sciences</w:t>
      </w:r>
      <w:bookmarkEnd w:id="599"/>
    </w:p>
    <w:p w:rsidR="004E00C2" w:rsidRPr="00F219CA" w:rsidRDefault="004E00C2" w:rsidP="004E00C2">
      <w:pPr>
        <w:pStyle w:val="12"/>
      </w:pPr>
      <w:r w:rsidRPr="00F219CA">
        <w:t xml:space="preserve">Full Journal Title: </w:t>
      </w:r>
      <w:r w:rsidRPr="0017221F">
        <w:rPr>
          <w:iCs/>
          <w:kern w:val="0"/>
        </w:rPr>
        <w:t>Archives des Sciences</w:t>
      </w:r>
    </w:p>
    <w:p w:rsidR="004E00C2" w:rsidRPr="00F219CA" w:rsidRDefault="004E00C2" w:rsidP="004E00C2">
      <w:pPr>
        <w:pStyle w:val="12"/>
      </w:pPr>
      <w:r w:rsidRPr="00F219CA">
        <w:t xml:space="preserve">ISO Abbreviated Title: </w:t>
      </w:r>
    </w:p>
    <w:p w:rsidR="004E00C2" w:rsidRPr="00F219CA" w:rsidRDefault="004E00C2" w:rsidP="004E00C2">
      <w:pPr>
        <w:pStyle w:val="12"/>
      </w:pPr>
      <w:r w:rsidRPr="00F219CA">
        <w:t xml:space="preserve">JCR Abbreviated Title: </w:t>
      </w:r>
    </w:p>
    <w:p w:rsidR="004E00C2" w:rsidRPr="00F219CA" w:rsidRDefault="004E00C2" w:rsidP="004E00C2">
      <w:pPr>
        <w:pStyle w:val="12"/>
      </w:pPr>
      <w:r w:rsidRPr="00F219CA">
        <w:t xml:space="preserve">ISSN: </w:t>
      </w:r>
    </w:p>
    <w:p w:rsidR="004E00C2" w:rsidRPr="00F219CA" w:rsidRDefault="004E00C2" w:rsidP="004E00C2">
      <w:pPr>
        <w:pStyle w:val="12"/>
      </w:pPr>
      <w:r w:rsidRPr="00F219CA">
        <w:t xml:space="preserve">Issues/Year: </w:t>
      </w:r>
    </w:p>
    <w:p w:rsidR="004E00C2" w:rsidRPr="00F219CA" w:rsidRDefault="004E00C2" w:rsidP="004E00C2">
      <w:pPr>
        <w:pStyle w:val="12"/>
      </w:pPr>
      <w:r w:rsidRPr="00F219CA">
        <w:t xml:space="preserve">Journal Country/Territory: </w:t>
      </w:r>
    </w:p>
    <w:p w:rsidR="004E00C2" w:rsidRPr="00F219CA" w:rsidRDefault="004E00C2" w:rsidP="004E00C2">
      <w:pPr>
        <w:pStyle w:val="12"/>
      </w:pPr>
      <w:r w:rsidRPr="00F219CA">
        <w:t xml:space="preserve">Language: </w:t>
      </w:r>
    </w:p>
    <w:p w:rsidR="004E00C2" w:rsidRPr="00F219CA" w:rsidRDefault="004E00C2" w:rsidP="004E00C2">
      <w:pPr>
        <w:pStyle w:val="12"/>
      </w:pPr>
      <w:r w:rsidRPr="00F219CA">
        <w:t xml:space="preserve">Publisher: </w:t>
      </w:r>
    </w:p>
    <w:p w:rsidR="004E00C2" w:rsidRPr="00F219CA" w:rsidRDefault="004E00C2" w:rsidP="004E00C2">
      <w:pPr>
        <w:pStyle w:val="12"/>
      </w:pPr>
      <w:r w:rsidRPr="00F219CA">
        <w:t xml:space="preserve">Publisher Address: </w:t>
      </w:r>
    </w:p>
    <w:p w:rsidR="004E00C2" w:rsidRPr="00F219CA" w:rsidRDefault="004E00C2" w:rsidP="004E00C2">
      <w:pPr>
        <w:pStyle w:val="12"/>
      </w:pPr>
      <w:r w:rsidRPr="00F219CA">
        <w:t xml:space="preserve">Subject Categories: </w:t>
      </w:r>
    </w:p>
    <w:p w:rsidR="004E00C2" w:rsidRPr="00F219CA" w:rsidRDefault="004E00C2" w:rsidP="004E00C2">
      <w:pPr>
        <w:pStyle w:val="12"/>
      </w:pPr>
      <w:r w:rsidRPr="00F219CA">
        <w:t>: Impact Factor</w:t>
      </w:r>
    </w:p>
    <w:p w:rsidR="004E00C2" w:rsidRDefault="004E00C2" w:rsidP="004E00C2">
      <w:pPr>
        <w:pStyle w:val="a3"/>
        <w:rPr>
          <w:kern w:val="0"/>
        </w:rPr>
      </w:pPr>
      <w:r>
        <w:rPr>
          <w:rFonts w:hint="eastAsia"/>
          <w:kern w:val="0"/>
        </w:rPr>
        <w:t xml:space="preserve">? </w:t>
      </w:r>
      <w:r>
        <w:rPr>
          <w:kern w:val="0"/>
        </w:rPr>
        <w:t>Indermuehle, N., Oertli, B., Menetrey, N.</w:t>
      </w:r>
      <w:r w:rsidR="005853A9">
        <w:rPr>
          <w:kern w:val="0"/>
        </w:rPr>
        <w:t xml:space="preserve"> and </w:t>
      </w:r>
      <w:r>
        <w:rPr>
          <w:kern w:val="0"/>
        </w:rPr>
        <w:t>Sager, L. (2004), An overview</w:t>
      </w:r>
      <w:r w:rsidR="00427468">
        <w:rPr>
          <w:kern w:val="0"/>
        </w:rPr>
        <w:t xml:space="preserve"> of </w:t>
      </w:r>
      <w:r>
        <w:rPr>
          <w:kern w:val="0"/>
        </w:rPr>
        <w:t xml:space="preserve">methods potentially suitable for pond biodiversity assessment. </w:t>
      </w:r>
      <w:r w:rsidRPr="0017221F">
        <w:rPr>
          <w:i/>
          <w:iCs/>
          <w:kern w:val="0"/>
        </w:rPr>
        <w:t>Archives des Sciences</w:t>
      </w:r>
      <w:r>
        <w:rPr>
          <w:kern w:val="0"/>
        </w:rPr>
        <w:t xml:space="preserve">, </w:t>
      </w:r>
      <w:r>
        <w:rPr>
          <w:b/>
          <w:bCs/>
          <w:kern w:val="0"/>
        </w:rPr>
        <w:t>57</w:t>
      </w:r>
      <w:r>
        <w:rPr>
          <w:kern w:val="0"/>
        </w:rPr>
        <w:t xml:space="preserve"> (2-3), 131-139.</w:t>
      </w:r>
    </w:p>
    <w:p w:rsidR="004E00C2" w:rsidRDefault="004E00C2" w:rsidP="004E00C2">
      <w:pPr>
        <w:pStyle w:val="a3"/>
        <w:rPr>
          <w:kern w:val="0"/>
        </w:rPr>
      </w:pPr>
      <w:r>
        <w:rPr>
          <w:kern w:val="0"/>
        </w:rPr>
        <w:t>Abstract: This study provides a general overview</w:t>
      </w:r>
      <w:r w:rsidR="00427468">
        <w:rPr>
          <w:kern w:val="0"/>
        </w:rPr>
        <w:t xml:space="preserve"> of </w:t>
      </w:r>
      <w:r>
        <w:rPr>
          <w:kern w:val="0"/>
        </w:rPr>
        <w:t>existing methods potentially suitable for assessing pond biodiversity. A bibliographic review allowed to evaluate</w:t>
      </w:r>
      <w:r w:rsidR="003A1917">
        <w:rPr>
          <w:kern w:val="0"/>
        </w:rPr>
        <w:t xml:space="preserve"> the </w:t>
      </w:r>
      <w:r>
        <w:rPr>
          <w:kern w:val="0"/>
        </w:rPr>
        <w:t>number</w:t>
      </w:r>
      <w:r w:rsidR="00427468">
        <w:rPr>
          <w:kern w:val="0"/>
        </w:rPr>
        <w:t xml:space="preserve"> of </w:t>
      </w:r>
      <w:r>
        <w:rPr>
          <w:kern w:val="0"/>
        </w:rPr>
        <w:t>papers</w:t>
      </w:r>
      <w:r w:rsidR="005853A9">
        <w:rPr>
          <w:kern w:val="0"/>
        </w:rPr>
        <w:t xml:space="preserve"> and </w:t>
      </w:r>
      <w:r>
        <w:rPr>
          <w:kern w:val="0"/>
        </w:rPr>
        <w:t>consequently</w:t>
      </w:r>
      <w:r w:rsidR="003A1917">
        <w:rPr>
          <w:kern w:val="0"/>
        </w:rPr>
        <w:t xml:space="preserve"> the </w:t>
      </w:r>
      <w:r>
        <w:rPr>
          <w:kern w:val="0"/>
        </w:rPr>
        <w:t>interest</w:t>
      </w:r>
      <w:r w:rsidR="00427468">
        <w:rPr>
          <w:kern w:val="0"/>
        </w:rPr>
        <w:t xml:space="preserve"> of </w:t>
      </w:r>
      <w:r>
        <w:rPr>
          <w:kern w:val="0"/>
        </w:rPr>
        <w:t>scientific investigation allocated (i) to different freshwater assessment objectives such as biodiversity water quality or hydrological functions,</w:t>
      </w:r>
      <w:r w:rsidR="005853A9">
        <w:rPr>
          <w:kern w:val="0"/>
        </w:rPr>
        <w:t xml:space="preserve"> and </w:t>
      </w:r>
      <w:r>
        <w:rPr>
          <w:kern w:val="0"/>
        </w:rPr>
        <w:t>(ii) to biodiversity assessment for each</w:t>
      </w:r>
      <w:r w:rsidR="00427468">
        <w:rPr>
          <w:kern w:val="0"/>
        </w:rPr>
        <w:t xml:space="preserve"> of </w:t>
      </w:r>
      <w:r>
        <w:rPr>
          <w:kern w:val="0"/>
        </w:rPr>
        <w:t>four waterbody types (ponds, wetlands, rivers &amp; streams, lakes)</w:t>
      </w:r>
      <w:r w:rsidR="00A37C1D">
        <w:rPr>
          <w:kern w:val="0"/>
        </w:rPr>
        <w:t>. The</w:t>
      </w:r>
      <w:r w:rsidR="003A1917">
        <w:rPr>
          <w:kern w:val="0"/>
        </w:rPr>
        <w:t xml:space="preserve"> </w:t>
      </w:r>
      <w:r>
        <w:rPr>
          <w:kern w:val="0"/>
        </w:rPr>
        <w:t xml:space="preserve">review was conducted using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browsing grey literature (reports from environment agencies</w:t>
      </w:r>
      <w:r w:rsidR="005853A9">
        <w:rPr>
          <w:kern w:val="0"/>
        </w:rPr>
        <w:t xml:space="preserve"> and </w:t>
      </w:r>
      <w:r>
        <w:rPr>
          <w:kern w:val="0"/>
        </w:rPr>
        <w:t>research institutes). Both methods designed for fundamental research</w:t>
      </w:r>
      <w:r w:rsidR="005853A9">
        <w:rPr>
          <w:kern w:val="0"/>
        </w:rPr>
        <w:t xml:space="preserve"> and </w:t>
      </w:r>
      <w:r>
        <w:rPr>
          <w:kern w:val="0"/>
        </w:rPr>
        <w:t>site management were taken into account</w:t>
      </w:r>
      <w:r w:rsidR="00A37C1D">
        <w:rPr>
          <w:kern w:val="0"/>
        </w:rPr>
        <w:t>. The</w:t>
      </w:r>
      <w:r w:rsidR="003A1917">
        <w:rPr>
          <w:kern w:val="0"/>
        </w:rPr>
        <w:t xml:space="preserve"> </w:t>
      </w:r>
      <w:r>
        <w:rPr>
          <w:kern w:val="0"/>
        </w:rPr>
        <w:t>results emphasize that biological assessment methods for routine monitoring have been developed mostly for streams</w:t>
      </w:r>
      <w:r w:rsidR="005853A9">
        <w:rPr>
          <w:kern w:val="0"/>
        </w:rPr>
        <w:t xml:space="preserve"> and </w:t>
      </w:r>
      <w:r>
        <w:rPr>
          <w:kern w:val="0"/>
        </w:rPr>
        <w:t>rivers during</w:t>
      </w:r>
      <w:r w:rsidR="003A1917">
        <w:rPr>
          <w:kern w:val="0"/>
        </w:rPr>
        <w:t xml:space="preserve"> the </w:t>
      </w:r>
      <w:r>
        <w:rPr>
          <w:kern w:val="0"/>
        </w:rPr>
        <w:t>last two decades,</w:t>
      </w:r>
      <w:r w:rsidR="005853A9">
        <w:rPr>
          <w:kern w:val="0"/>
        </w:rPr>
        <w:t xml:space="preserve"> and </w:t>
      </w:r>
      <w:r>
        <w:rPr>
          <w:kern w:val="0"/>
        </w:rPr>
        <w:t>that lentic freshwater habitats have been rather neglected. Ponds, in particular have been widely ignored despite</w:t>
      </w:r>
      <w:r w:rsidR="00427468">
        <w:rPr>
          <w:kern w:val="0"/>
        </w:rPr>
        <w:t xml:space="preserve"> of </w:t>
      </w:r>
      <w:r>
        <w:rPr>
          <w:kern w:val="0"/>
        </w:rPr>
        <w:t>their significant contribution to regional biodiversity. Freshwater assessment methods mainly focus on water quality</w:t>
      </w:r>
      <w:r w:rsidR="005853A9">
        <w:rPr>
          <w:kern w:val="0"/>
        </w:rPr>
        <w:t xml:space="preserve"> and </w:t>
      </w:r>
      <w:r>
        <w:rPr>
          <w:kern w:val="0"/>
        </w:rPr>
        <w:t>hydrological aspects while biodiversity is underrepresented.</w:t>
      </w:r>
    </w:p>
    <w:p w:rsidR="004E00C2" w:rsidRDefault="004E00C2" w:rsidP="004E00C2">
      <w:pPr>
        <w:pStyle w:val="a3"/>
        <w:rPr>
          <w:kern w:val="0"/>
        </w:rPr>
      </w:pPr>
      <w:r>
        <w:rPr>
          <w:kern w:val="0"/>
        </w:rPr>
        <w:t>Keywords: Assessment, Bibliographic, Biodiversity, Conservation Value, Contribution, Diversity, Environment, Integrity, Interest, Invertebrates</w:t>
      </w:r>
      <w:r w:rsidR="00D5664A">
        <w:rPr>
          <w:kern w:val="0"/>
        </w:rPr>
        <w:t>, ISI,</w:t>
      </w:r>
      <w:r>
        <w:rPr>
          <w:kern w:val="0"/>
        </w:rPr>
        <w:t xml:space="preserve"> Lakes, Literature, Management, Management, Mesh Size, Monitoring, Odonata, Overview, Papers, Research, Review, Science, Small Waterbodies, Species Richness, Species Richness, Streams, </w:t>
      </w:r>
      <w:r w:rsidR="00D5664A">
        <w:rPr>
          <w:kern w:val="0"/>
        </w:rPr>
        <w:t>Web</w:t>
      </w:r>
      <w:r w:rsidR="00427468">
        <w:rPr>
          <w:kern w:val="0"/>
        </w:rPr>
        <w:t xml:space="preserve"> of </w:t>
      </w:r>
      <w:r w:rsidR="00D5664A">
        <w:rPr>
          <w:kern w:val="0"/>
        </w:rPr>
        <w:t>Science</w:t>
      </w:r>
      <w:r>
        <w:rPr>
          <w:kern w:val="0"/>
        </w:rPr>
        <w:t>, Wetlands</w:t>
      </w:r>
    </w:p>
    <w:p w:rsidR="003474F2" w:rsidRPr="001A3D2B" w:rsidRDefault="003474F2" w:rsidP="003474F2">
      <w:pPr>
        <w:pStyle w:val="1"/>
      </w:pPr>
      <w:r w:rsidRPr="001A3D2B">
        <w:br w:type="page"/>
      </w:r>
      <w:bookmarkStart w:id="600" w:name="_Toc420814591"/>
      <w:r w:rsidRPr="001A3D2B">
        <w:lastRenderedPageBreak/>
        <w:t>Title: Archives</w:t>
      </w:r>
      <w:r w:rsidR="00427468">
        <w:t xml:space="preserve"> of </w:t>
      </w:r>
      <w:r w:rsidRPr="001A3D2B">
        <w:t>Surgery</w:t>
      </w:r>
      <w:bookmarkEnd w:id="600"/>
    </w:p>
    <w:p w:rsidR="003474F2" w:rsidRPr="001A3D2B" w:rsidRDefault="003474F2" w:rsidP="003474F2">
      <w:pPr>
        <w:pStyle w:val="12"/>
      </w:pPr>
      <w:r w:rsidRPr="001A3D2B">
        <w:t>Full Journal Title:</w:t>
      </w:r>
      <w:bookmarkStart w:id="601" w:name="_Toc211539561"/>
      <w:r w:rsidRPr="001A3D2B">
        <w:t xml:space="preserve"> </w:t>
      </w:r>
      <w:r w:rsidR="00206C8A">
        <w:fldChar w:fldCharType="begin"/>
      </w:r>
      <w:r w:rsidR="00FD158B">
        <w:instrText>HYPERLINK "http://archsu</w:instrText>
      </w:r>
      <w:bookmarkEnd w:id="601"/>
      <w:r w:rsidR="00FD158B">
        <w:instrText>rg.ama-assn.org/contents-by-date.0.dtl"</w:instrText>
      </w:r>
      <w:r w:rsidR="00206C8A">
        <w:fldChar w:fldCharType="separate"/>
      </w:r>
      <w:r w:rsidRPr="001A3D2B">
        <w:rPr>
          <w:rStyle w:val="a5"/>
        </w:rPr>
        <w:t>Archives</w:t>
      </w:r>
      <w:r w:rsidR="00427468">
        <w:rPr>
          <w:rStyle w:val="a5"/>
        </w:rPr>
        <w:t xml:space="preserve"> of </w:t>
      </w:r>
      <w:r w:rsidRPr="001A3D2B">
        <w:rPr>
          <w:rStyle w:val="a5"/>
        </w:rPr>
        <w:t>Surgery</w:t>
      </w:r>
      <w:r w:rsidR="00206C8A">
        <w:fldChar w:fldCharType="end"/>
      </w:r>
    </w:p>
    <w:p w:rsidR="003474F2" w:rsidRPr="001A3D2B" w:rsidRDefault="003474F2" w:rsidP="003474F2">
      <w:pPr>
        <w:pStyle w:val="12"/>
      </w:pPr>
      <w:r w:rsidRPr="001A3D2B">
        <w:t>ISO Abbreviated Title: Arch. Surg.</w:t>
      </w:r>
    </w:p>
    <w:p w:rsidR="003474F2" w:rsidRPr="001A3D2B" w:rsidRDefault="003474F2" w:rsidP="003474F2">
      <w:pPr>
        <w:pStyle w:val="12"/>
      </w:pPr>
      <w:r w:rsidRPr="001A3D2B">
        <w:t>JCR Abbreviated Title: Arch Surg-Chicago</w:t>
      </w:r>
    </w:p>
    <w:p w:rsidR="003474F2" w:rsidRPr="001A3D2B" w:rsidRDefault="003474F2" w:rsidP="003474F2">
      <w:pPr>
        <w:pStyle w:val="12"/>
      </w:pPr>
      <w:r w:rsidRPr="001A3D2B">
        <w:t>ISSN: 0004-0010</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Medical Assoc</w:t>
      </w:r>
    </w:p>
    <w:p w:rsidR="003474F2" w:rsidRPr="001A3D2B" w:rsidRDefault="003474F2" w:rsidP="003474F2">
      <w:pPr>
        <w:pStyle w:val="12"/>
      </w:pPr>
      <w:r w:rsidRPr="001A3D2B">
        <w:t xml:space="preserve">Publisher Address: 515 N State St, Chicago, IL </w:t>
      </w:r>
      <w:smartTag w:uri="urn:schemas-microsoft-com:office:smarttags" w:element="PostalCode">
        <w:r w:rsidRPr="001A3D2B">
          <w:t>60610</w:t>
        </w:r>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Surgery: Impact Factor </w:t>
      </w:r>
    </w:p>
    <w:p w:rsidR="003474F2" w:rsidRPr="001A3D2B" w:rsidRDefault="003474F2" w:rsidP="003474F2">
      <w:pPr>
        <w:pStyle w:val="a3"/>
      </w:pPr>
      <w:r w:rsidRPr="001A3D2B">
        <w:t>? Kurichi, J.E., Kelz, R.R.</w:t>
      </w:r>
      <w:r w:rsidR="005853A9">
        <w:t xml:space="preserve"> and </w:t>
      </w:r>
      <w:r w:rsidRPr="001A3D2B">
        <w:t>Sonnad, S.S. (2005), Women authors</w:t>
      </w:r>
      <w:r w:rsidR="00427468">
        <w:t xml:space="preserve"> of </w:t>
      </w:r>
      <w:r w:rsidRPr="001A3D2B">
        <w:t xml:space="preserve">surgical research. </w:t>
      </w:r>
      <w:r w:rsidRPr="001A3D2B">
        <w:rPr>
          <w:i/>
          <w:iCs/>
        </w:rPr>
        <w:t>Archives</w:t>
      </w:r>
      <w:r w:rsidR="00427468">
        <w:rPr>
          <w:i/>
          <w:iCs/>
        </w:rPr>
        <w:t xml:space="preserve"> of </w:t>
      </w:r>
      <w:r w:rsidRPr="001A3D2B">
        <w:rPr>
          <w:i/>
          <w:iCs/>
        </w:rPr>
        <w:t>Surgery</w:t>
      </w:r>
      <w:r w:rsidRPr="001A3D2B">
        <w:t xml:space="preserve">, </w:t>
      </w:r>
      <w:r w:rsidRPr="001A3D2B">
        <w:rPr>
          <w:b/>
          <w:bCs/>
        </w:rPr>
        <w:t>140</w:t>
      </w:r>
      <w:r w:rsidRPr="001A3D2B">
        <w:t xml:space="preserve"> (11), 1074-1077.</w:t>
      </w:r>
    </w:p>
    <w:p w:rsidR="003474F2" w:rsidRPr="001A3D2B" w:rsidRDefault="003474F2" w:rsidP="003474F2">
      <w:pPr>
        <w:pStyle w:val="a3"/>
      </w:pPr>
      <w:r w:rsidRPr="001A3D2B">
        <w:t xml:space="preserve">Full Text: </w:t>
      </w:r>
      <w:hyperlink r:id="rId1183" w:history="1">
        <w:r w:rsidRPr="001A3D2B">
          <w:rPr>
            <w:rStyle w:val="a5"/>
          </w:rPr>
          <w:t>2005\Arc Sur140, 1074.pdf</w:t>
        </w:r>
      </w:hyperlink>
    </w:p>
    <w:p w:rsidR="003474F2" w:rsidRPr="001A3D2B" w:rsidRDefault="003474F2" w:rsidP="003474F2">
      <w:pPr>
        <w:pStyle w:val="a3"/>
      </w:pPr>
      <w:r w:rsidRPr="001A3D2B">
        <w:t>Abstract: Hypothesis:</w:t>
      </w:r>
      <w:r w:rsidR="003A1917">
        <w:t xml:space="preserve"> the </w:t>
      </w:r>
      <w:r w:rsidRPr="001A3D2B">
        <w:t>number</w:t>
      </w:r>
      <w:r w:rsidR="00427468">
        <w:t xml:space="preserve"> of </w:t>
      </w:r>
      <w:r w:rsidRPr="001A3D2B">
        <w:t>women authors in</w:t>
      </w:r>
      <w:r w:rsidR="003A1917">
        <w:t xml:space="preserve"> the </w:t>
      </w:r>
      <w:r w:rsidRPr="001A3D2B">
        <w:t>surgical literature has increased during</w:t>
      </w:r>
      <w:r w:rsidR="003A1917">
        <w:t xml:space="preserve"> the </w:t>
      </w:r>
      <w:r w:rsidRPr="001A3D2B">
        <w:t>past 20 years. Design: Randomly selected issues</w:t>
      </w:r>
      <w:r w:rsidR="00427468">
        <w:t xml:space="preserve"> of </w:t>
      </w:r>
      <w:r w:rsidRPr="001A3D2B">
        <w:t>odd-year journals in Archives</w:t>
      </w:r>
      <w:r w:rsidR="00427468">
        <w:t xml:space="preserve"> of </w:t>
      </w:r>
      <w:r w:rsidRPr="001A3D2B">
        <w:t>Surgery</w:t>
      </w:r>
      <w:r w:rsidR="005853A9">
        <w:t xml:space="preserve"> and </w:t>
      </w:r>
      <w:r w:rsidRPr="001A3D2B">
        <w:t>Annals</w:t>
      </w:r>
      <w:r w:rsidR="00427468">
        <w:t xml:space="preserve"> of </w:t>
      </w:r>
      <w:r w:rsidRPr="001A3D2B">
        <w:t>Surgery from January 1, 1985, to December 31, 2003, were reviewed. We determined</w:t>
      </w:r>
      <w:r w:rsidR="003A1917">
        <w:t xml:space="preserve"> the </w:t>
      </w:r>
      <w:r w:rsidRPr="001A3D2B">
        <w:t>gender</w:t>
      </w:r>
      <w:r w:rsidR="00427468">
        <w:t xml:space="preserve"> of </w:t>
      </w:r>
      <w:r w:rsidRPr="001A3D2B">
        <w:t>each author</w:t>
      </w:r>
      <w:r w:rsidR="005853A9">
        <w:t xml:space="preserve"> and </w:t>
      </w:r>
      <w:r w:rsidRPr="001A3D2B">
        <w:t>reported trends in</w:t>
      </w:r>
      <w:r w:rsidR="003A1917">
        <w:t xml:space="preserve"> the </w:t>
      </w:r>
      <w:r w:rsidRPr="001A3D2B">
        <w:t>occurrence</w:t>
      </w:r>
      <w:r w:rsidR="00427468">
        <w:t xml:space="preserve"> of </w:t>
      </w:r>
      <w:r w:rsidRPr="001A3D2B">
        <w:t>women authors over time. Results:</w:t>
      </w:r>
      <w:r w:rsidR="003A1917">
        <w:t xml:space="preserve"> the </w:t>
      </w:r>
      <w:r w:rsidRPr="001A3D2B">
        <w:t>percentage</w:t>
      </w:r>
      <w:r w:rsidR="00427468">
        <w:t xml:space="preserve"> of </w:t>
      </w:r>
      <w:r w:rsidRPr="001A3D2B">
        <w:t>women authors has increased over time</w:t>
      </w:r>
      <w:r w:rsidR="005853A9">
        <w:t xml:space="preserve"> and </w:t>
      </w:r>
      <w:r w:rsidRPr="001A3D2B">
        <w:t>parallels</w:t>
      </w:r>
      <w:r w:rsidR="003A1917">
        <w:t xml:space="preserve"> the </w:t>
      </w:r>
      <w:r w:rsidRPr="001A3D2B">
        <w:t>percentage</w:t>
      </w:r>
      <w:r w:rsidR="00427468">
        <w:t xml:space="preserve"> of </w:t>
      </w:r>
      <w:r w:rsidRPr="001A3D2B">
        <w:t>women faculty in academic surgery positions. A much higher percentage</w:t>
      </w:r>
      <w:r w:rsidR="00427468">
        <w:t xml:space="preserve"> of </w:t>
      </w:r>
      <w:r w:rsidRPr="001A3D2B">
        <w:t>women authors than men authors are non-physicians</w:t>
      </w:r>
      <w:r w:rsidR="00A37C1D">
        <w:t>. The</w:t>
      </w:r>
      <w:r w:rsidR="003A1917">
        <w:t xml:space="preserve"> </w:t>
      </w:r>
      <w:r w:rsidRPr="001A3D2B">
        <w:t>trend for increased authorship by women over time was significant in Archives</w:t>
      </w:r>
      <w:r w:rsidR="00427468">
        <w:t xml:space="preserve"> of </w:t>
      </w:r>
      <w:r w:rsidRPr="001A3D2B">
        <w:t>Surgery. Conclusion: Although</w:t>
      </w:r>
      <w:r w:rsidR="003A1917">
        <w:t xml:space="preserve"> the </w:t>
      </w:r>
      <w:r w:rsidRPr="001A3D2B">
        <w:t>number</w:t>
      </w:r>
      <w:r w:rsidR="00427468">
        <w:t xml:space="preserve"> of </w:t>
      </w:r>
      <w:r w:rsidRPr="001A3D2B">
        <w:t>women first authors is low, their contributions to</w:t>
      </w:r>
      <w:r w:rsidR="003A1917">
        <w:t xml:space="preserve"> the </w:t>
      </w:r>
      <w:r w:rsidRPr="001A3D2B">
        <w:t>field</w:t>
      </w:r>
      <w:r w:rsidR="00427468">
        <w:t xml:space="preserve"> of </w:t>
      </w:r>
      <w:r w:rsidRPr="001A3D2B">
        <w:t>surgery should be acknowledged,</w:t>
      </w:r>
      <w:r w:rsidR="005853A9">
        <w:t xml:space="preserve"> and </w:t>
      </w:r>
      <w:r w:rsidRPr="001A3D2B">
        <w:t>efforts to provide women with</w:t>
      </w:r>
      <w:r w:rsidR="003A1917">
        <w:t xml:space="preserve"> the </w:t>
      </w:r>
      <w:r w:rsidRPr="001A3D2B">
        <w:t>resources</w:t>
      </w:r>
      <w:r w:rsidR="005853A9">
        <w:t xml:space="preserve"> and </w:t>
      </w:r>
      <w:r w:rsidRPr="001A3D2B">
        <w:t>opportunities to conduct research</w:t>
      </w:r>
      <w:r w:rsidR="005853A9">
        <w:t xml:space="preserve"> and </w:t>
      </w:r>
      <w:r w:rsidRPr="001A3D2B">
        <w:t>publish their findings should be a focus for surgical departments looking to increase their research productivity.</w:t>
      </w:r>
    </w:p>
    <w:p w:rsidR="003474F2" w:rsidRPr="001A3D2B" w:rsidRDefault="003474F2" w:rsidP="003474F2">
      <w:pPr>
        <w:pStyle w:val="a3"/>
      </w:pPr>
      <w:r w:rsidRPr="001A3D2B">
        <w:t>Keywords: Authorship, Faculty, Field, First, Gender, Journals, Literature, Men, Productivity, Research, Research Productivity, Surgery, Trend, Trends, Women</w:t>
      </w:r>
    </w:p>
    <w:p w:rsidR="009548B3" w:rsidRDefault="009548B3" w:rsidP="009548B3">
      <w:pPr>
        <w:pStyle w:val="a3"/>
        <w:rPr>
          <w:kern w:val="0"/>
        </w:rPr>
      </w:pPr>
      <w:r>
        <w:rPr>
          <w:rFonts w:hint="eastAsia"/>
          <w:kern w:val="0"/>
        </w:rPr>
        <w:t xml:space="preserve">? </w:t>
      </w:r>
      <w:r>
        <w:rPr>
          <w:kern w:val="0"/>
        </w:rPr>
        <w:t>Yin, Z., Sun, J., Yin, D.</w:t>
      </w:r>
      <w:r w:rsidR="005853A9">
        <w:rPr>
          <w:kern w:val="0"/>
        </w:rPr>
        <w:t xml:space="preserve"> and </w:t>
      </w:r>
      <w:r>
        <w:rPr>
          <w:kern w:val="0"/>
        </w:rPr>
        <w:t>Wang, J. (2012), Surgical treatment strategies in chronic pancreatitis</w:t>
      </w:r>
      <w:r w:rsidR="00996A65">
        <w:rPr>
          <w:rFonts w:hint="eastAsia"/>
          <w:kern w:val="0"/>
        </w:rPr>
        <w:t>:</w:t>
      </w:r>
      <w:r>
        <w:rPr>
          <w:kern w:val="0"/>
        </w:rPr>
        <w:t xml:space="preserve"> A meta-analysis. </w:t>
      </w:r>
      <w:r>
        <w:rPr>
          <w:i/>
          <w:iCs/>
          <w:kern w:val="0"/>
        </w:rPr>
        <w:t>Archives</w:t>
      </w:r>
      <w:r w:rsidR="00427468">
        <w:rPr>
          <w:i/>
          <w:iCs/>
          <w:kern w:val="0"/>
        </w:rPr>
        <w:t xml:space="preserve"> of </w:t>
      </w:r>
      <w:r>
        <w:rPr>
          <w:i/>
          <w:iCs/>
          <w:kern w:val="0"/>
        </w:rPr>
        <w:t>Surgery</w:t>
      </w:r>
      <w:r>
        <w:rPr>
          <w:kern w:val="0"/>
        </w:rPr>
        <w:t xml:space="preserve">, </w:t>
      </w:r>
      <w:r>
        <w:rPr>
          <w:b/>
          <w:bCs/>
          <w:kern w:val="0"/>
        </w:rPr>
        <w:t>147</w:t>
      </w:r>
      <w:r>
        <w:rPr>
          <w:kern w:val="0"/>
        </w:rPr>
        <w:t xml:space="preserve"> (10), 961-968.</w:t>
      </w:r>
    </w:p>
    <w:p w:rsidR="009548B3" w:rsidRPr="001A3D2B" w:rsidRDefault="009548B3" w:rsidP="009548B3">
      <w:pPr>
        <w:pStyle w:val="a3"/>
      </w:pPr>
      <w:r w:rsidRPr="001A3D2B">
        <w:t xml:space="preserve">Full Text: </w:t>
      </w:r>
      <w:hyperlink r:id="rId1184" w:history="1">
        <w:r w:rsidR="00996A65" w:rsidRPr="00996A65">
          <w:rPr>
            <w:rStyle w:val="a5"/>
          </w:rPr>
          <w:t>2012\Arc Sur147, 961.pdf</w:t>
        </w:r>
      </w:hyperlink>
    </w:p>
    <w:p w:rsidR="009548B3" w:rsidRDefault="009548B3" w:rsidP="009548B3">
      <w:pPr>
        <w:pStyle w:val="a3"/>
        <w:rPr>
          <w:kern w:val="0"/>
        </w:rPr>
      </w:pPr>
      <w:r>
        <w:rPr>
          <w:kern w:val="0"/>
        </w:rPr>
        <w:t>Abstract: Objective: To research</w:t>
      </w:r>
      <w:r w:rsidR="003A1917">
        <w:rPr>
          <w:kern w:val="0"/>
        </w:rPr>
        <w:t xml:space="preserve"> the </w:t>
      </w:r>
      <w:r>
        <w:rPr>
          <w:kern w:val="0"/>
        </w:rPr>
        <w:t>optimal surgical strategy for chronic pancreatitis. Data Sources: PubMed, EMBASE, Science Citation Index, SpringerLink,</w:t>
      </w:r>
      <w:r w:rsidR="005853A9">
        <w:rPr>
          <w:kern w:val="0"/>
        </w:rPr>
        <w:t xml:space="preserve"> and </w:t>
      </w:r>
      <w:r>
        <w:rPr>
          <w:kern w:val="0"/>
        </w:rPr>
        <w:t>secondary sources from inception through December 31, 2011, with no restrictions on languages or regions. Study Selection: All controlled experimental (randomized</w:t>
      </w:r>
      <w:r w:rsidR="005853A9">
        <w:rPr>
          <w:kern w:val="0"/>
        </w:rPr>
        <w:t xml:space="preserve"> </w:t>
      </w:r>
      <w:r w:rsidR="005853A9">
        <w:rPr>
          <w:kern w:val="0"/>
        </w:rPr>
        <w:lastRenderedPageBreak/>
        <w:t xml:space="preserve">and </w:t>
      </w:r>
      <w:r>
        <w:rPr>
          <w:kern w:val="0"/>
        </w:rPr>
        <w:t>nonrandomized) studies in which duodenum-preserving pancreatic head resection was compared with pancreaticoduodenectomy in chronic pancreatitis. Data Extraction: Data were extracted independently</w:t>
      </w:r>
      <w:r w:rsidR="005853A9">
        <w:rPr>
          <w:kern w:val="0"/>
        </w:rPr>
        <w:t xml:space="preserve"> and </w:t>
      </w:r>
      <w:r>
        <w:rPr>
          <w:kern w:val="0"/>
        </w:rPr>
        <w:t>in duplicate by 2 reviewers; discrepancies were resolved by discussion. Data Synthesis: A total</w:t>
      </w:r>
      <w:r w:rsidR="00427468">
        <w:rPr>
          <w:kern w:val="0"/>
        </w:rPr>
        <w:t xml:space="preserve"> of </w:t>
      </w:r>
      <w:r>
        <w:rPr>
          <w:kern w:val="0"/>
        </w:rPr>
        <w:t>1007 patients from 15 studies were included in</w:t>
      </w:r>
      <w:r w:rsidR="003A1917">
        <w:rPr>
          <w:kern w:val="0"/>
        </w:rPr>
        <w:t xml:space="preserve"> the </w:t>
      </w:r>
      <w:r>
        <w:rPr>
          <w:kern w:val="0"/>
        </w:rPr>
        <w:t>meta-analysis</w:t>
      </w:r>
      <w:r w:rsidR="00A37C1D">
        <w:rPr>
          <w:kern w:val="0"/>
        </w:rPr>
        <w:t>. The</w:t>
      </w:r>
      <w:r w:rsidR="003A1917">
        <w:rPr>
          <w:kern w:val="0"/>
        </w:rPr>
        <w:t xml:space="preserve"> </w:t>
      </w:r>
      <w:r>
        <w:rPr>
          <w:kern w:val="0"/>
        </w:rPr>
        <w:t>relative risks for postoperative pain relief</w:t>
      </w:r>
      <w:r w:rsidR="005853A9">
        <w:rPr>
          <w:kern w:val="0"/>
        </w:rPr>
        <w:t xml:space="preserve"> and </w:t>
      </w:r>
      <w:r>
        <w:rPr>
          <w:kern w:val="0"/>
        </w:rPr>
        <w:t>postoperative morbidity in</w:t>
      </w:r>
      <w:r w:rsidR="003A1917">
        <w:rPr>
          <w:kern w:val="0"/>
        </w:rPr>
        <w:t xml:space="preserve"> the </w:t>
      </w:r>
      <w:r>
        <w:rPr>
          <w:kern w:val="0"/>
        </w:rPr>
        <w:t>Beger procedure were 1.29 (95% CI, 1.03-1.61; P=.03)</w:t>
      </w:r>
      <w:r w:rsidR="005853A9">
        <w:rPr>
          <w:kern w:val="0"/>
        </w:rPr>
        <w:t xml:space="preserve"> and </w:t>
      </w:r>
      <w:r>
        <w:rPr>
          <w:kern w:val="0"/>
        </w:rPr>
        <w:t>0.55 (0.21-1.39; P=.20), respectively, compared with pancreaticoduodenectomy</w:t>
      </w:r>
      <w:r w:rsidR="00A37C1D">
        <w:rPr>
          <w:kern w:val="0"/>
        </w:rPr>
        <w:t>. The</w:t>
      </w:r>
      <w:r>
        <w:rPr>
          <w:kern w:val="0"/>
        </w:rPr>
        <w:t>se results are just</w:t>
      </w:r>
      <w:r w:rsidR="003A1917">
        <w:rPr>
          <w:kern w:val="0"/>
        </w:rPr>
        <w:t xml:space="preserve"> the </w:t>
      </w:r>
      <w:r>
        <w:rPr>
          <w:kern w:val="0"/>
        </w:rPr>
        <w:t>opposite in</w:t>
      </w:r>
      <w:r w:rsidR="003A1917">
        <w:rPr>
          <w:kern w:val="0"/>
        </w:rPr>
        <w:t xml:space="preserve"> the </w:t>
      </w:r>
      <w:r>
        <w:rPr>
          <w:kern w:val="0"/>
        </w:rPr>
        <w:t>Frey procedure, in which a significantly better outcome was shown in postoperative morbidity compared with resection (relative risk, 0.60; 95% CI, 0.46-0.78; P&lt;.01) but not in postoperative pain relief (1.03; 0.90-1.17; P=.67). In terms</w:t>
      </w:r>
      <w:r w:rsidR="00427468">
        <w:rPr>
          <w:kern w:val="0"/>
        </w:rPr>
        <w:t xml:space="preserve"> of </w:t>
      </w:r>
      <w:r>
        <w:rPr>
          <w:kern w:val="0"/>
        </w:rPr>
        <w:t>quality</w:t>
      </w:r>
      <w:r w:rsidR="00427468">
        <w:rPr>
          <w:kern w:val="0"/>
        </w:rPr>
        <w:t xml:space="preserve"> of </w:t>
      </w:r>
      <w:r>
        <w:rPr>
          <w:kern w:val="0"/>
        </w:rPr>
        <w:t>life, pancreatic exocrine function,</w:t>
      </w:r>
      <w:r w:rsidR="005853A9">
        <w:rPr>
          <w:kern w:val="0"/>
        </w:rPr>
        <w:t xml:space="preserve"> and </w:t>
      </w:r>
      <w:r>
        <w:rPr>
          <w:kern w:val="0"/>
        </w:rPr>
        <w:t>delayed gastric emptying,</w:t>
      </w:r>
      <w:r w:rsidR="003A1917">
        <w:rPr>
          <w:kern w:val="0"/>
        </w:rPr>
        <w:t xml:space="preserve"> the </w:t>
      </w:r>
      <w:r>
        <w:rPr>
          <w:kern w:val="0"/>
        </w:rPr>
        <w:t>results also favored duodenum-preserving strategies. Conclusions: For</w:t>
      </w:r>
      <w:r w:rsidR="003A1917">
        <w:rPr>
          <w:kern w:val="0"/>
        </w:rPr>
        <w:t xml:space="preserve"> the </w:t>
      </w:r>
      <w:r>
        <w:rPr>
          <w:kern w:val="0"/>
        </w:rPr>
        <w:t>duodenum-preserving strategy</w:t>
      </w:r>
      <w:r w:rsidR="00427468">
        <w:rPr>
          <w:kern w:val="0"/>
        </w:rPr>
        <w:t xml:space="preserve"> of </w:t>
      </w:r>
      <w:r w:rsidR="003A1917">
        <w:rPr>
          <w:kern w:val="0"/>
        </w:rPr>
        <w:t xml:space="preserve">the </w:t>
      </w:r>
      <w:r>
        <w:rPr>
          <w:kern w:val="0"/>
        </w:rPr>
        <w:t>Beger procedure, complete pain relief is achieved in most patients, but there is no evidence that it has a better result in postoperative morbidity. For</w:t>
      </w:r>
      <w:r w:rsidR="003A1917">
        <w:rPr>
          <w:kern w:val="0"/>
        </w:rPr>
        <w:t xml:space="preserve"> the </w:t>
      </w:r>
      <w:r>
        <w:rPr>
          <w:kern w:val="0"/>
        </w:rPr>
        <w:t>Frey procedure, a significantly lower postoperative morbidity is demonstrated, but complete pain relief is not provided in most cases. Thus, compared with conventional pancreaticoduodenectomy, both new strategies should be recommended on</w:t>
      </w:r>
      <w:r w:rsidR="003A1917">
        <w:rPr>
          <w:kern w:val="0"/>
        </w:rPr>
        <w:t xml:space="preserve"> the </w:t>
      </w:r>
      <w:r>
        <w:rPr>
          <w:kern w:val="0"/>
        </w:rPr>
        <w:t>basis</w:t>
      </w:r>
      <w:r w:rsidR="00427468">
        <w:rPr>
          <w:kern w:val="0"/>
        </w:rPr>
        <w:t xml:space="preserve"> of </w:t>
      </w:r>
      <w:r w:rsidR="003A1917">
        <w:rPr>
          <w:kern w:val="0"/>
        </w:rPr>
        <w:t xml:space="preserve">the </w:t>
      </w:r>
      <w:r>
        <w:rPr>
          <w:kern w:val="0"/>
        </w:rPr>
        <w:t>patients</w:t>
      </w:r>
      <w:r w:rsidR="00700038">
        <w:rPr>
          <w:kern w:val="0"/>
        </w:rPr>
        <w:t>’</w:t>
      </w:r>
      <w:r>
        <w:rPr>
          <w:kern w:val="0"/>
        </w:rPr>
        <w:t xml:space="preserve"> appropriate individual preferences.</w:t>
      </w:r>
    </w:p>
    <w:p w:rsidR="009548B3" w:rsidRDefault="009548B3" w:rsidP="009548B3">
      <w:pPr>
        <w:pStyle w:val="a3"/>
        <w:rPr>
          <w:kern w:val="0"/>
        </w:rPr>
      </w:pPr>
      <w:r>
        <w:rPr>
          <w:kern w:val="0"/>
        </w:rPr>
        <w:t>Keywords: Chronic, Citation, Classic Whipple Procedure, Conventional, Drainage, Duodenum-Preserving Resection, Evidence, Experimental, Extraction, Function, Head Resection, Languages, Life, Meta-Analysis, Metaanalysis, Morbidity, Outcome, Pain, Pain Relief, Pancreaticoduodenectomy, Pancreatitis, Patients, Postoperative, Postoperative Morbidity, Postoperative Pain, Procedure, Pubmed, Pylorus, Quality, Quality Of, Quality</w:t>
      </w:r>
      <w:r w:rsidR="00427468">
        <w:rPr>
          <w:kern w:val="0"/>
        </w:rPr>
        <w:t xml:space="preserve"> of </w:t>
      </w:r>
      <w:r>
        <w:rPr>
          <w:kern w:val="0"/>
        </w:rPr>
        <w:t>Life, Quality</w:t>
      </w:r>
      <w:r w:rsidR="00434900">
        <w:rPr>
          <w:kern w:val="0"/>
        </w:rPr>
        <w:t>-of-</w:t>
      </w:r>
      <w:r>
        <w:rPr>
          <w:kern w:val="0"/>
        </w:rPr>
        <w:t>Life, Randomized, Randomized-Trial, Relative Risk, Research, Restrictions, Risk, Risks, Science, Science Citation Index, Single-Center, Sources, Strategy, Synthesis, Term-Follow-Up, Treatment</w:t>
      </w:r>
    </w:p>
    <w:p w:rsidR="003474F2" w:rsidRPr="001A3D2B" w:rsidRDefault="003474F2" w:rsidP="003474F2">
      <w:pPr>
        <w:pStyle w:val="1"/>
      </w:pPr>
      <w:r w:rsidRPr="001A3D2B">
        <w:br w:type="page"/>
      </w:r>
      <w:bookmarkStart w:id="602" w:name="_Toc420814592"/>
      <w:r w:rsidRPr="001A3D2B">
        <w:lastRenderedPageBreak/>
        <w:t>Title: Archives</w:t>
      </w:r>
      <w:r w:rsidR="00427468">
        <w:t xml:space="preserve"> of </w:t>
      </w:r>
      <w:r w:rsidRPr="001A3D2B">
        <w:t>Toxicology</w:t>
      </w:r>
      <w:bookmarkEnd w:id="602"/>
    </w:p>
    <w:p w:rsidR="003474F2" w:rsidRPr="001A3D2B" w:rsidRDefault="003474F2" w:rsidP="003474F2">
      <w:pPr>
        <w:pStyle w:val="12"/>
      </w:pPr>
      <w:r w:rsidRPr="001A3D2B">
        <w:t>Full Journal Tit</w:t>
      </w:r>
      <w:bookmarkStart w:id="603" w:name="_Toc201845874"/>
      <w:r w:rsidRPr="001A3D2B">
        <w:t xml:space="preserve">le: </w:t>
      </w:r>
      <w:r w:rsidR="00206C8A">
        <w:fldChar w:fldCharType="begin"/>
      </w:r>
      <w:r w:rsidR="00FD158B">
        <w:instrText>HYPERLINK "http://www.sp</w:instrText>
      </w:r>
      <w:bookmarkEnd w:id="603"/>
      <w:r w:rsidR="00FD158B">
        <w:instrText>ringerlink.com/content/100462/?p=46d065a2067941079b58ec3d0f93dad7&amp;pi=0"</w:instrText>
      </w:r>
      <w:r w:rsidR="00206C8A">
        <w:fldChar w:fldCharType="separate"/>
      </w:r>
      <w:r w:rsidRPr="001A3D2B">
        <w:rPr>
          <w:rStyle w:val="a5"/>
        </w:rPr>
        <w:t>Archives</w:t>
      </w:r>
      <w:r w:rsidR="00427468">
        <w:rPr>
          <w:rStyle w:val="a5"/>
        </w:rPr>
        <w:t xml:space="preserve"> of </w:t>
      </w:r>
      <w:r w:rsidRPr="001A3D2B">
        <w:rPr>
          <w:rStyle w:val="a5"/>
        </w:rPr>
        <w:t>Toxicology</w:t>
      </w:r>
      <w:r w:rsidR="00206C8A">
        <w:fldChar w:fldCharType="end"/>
      </w:r>
    </w:p>
    <w:p w:rsidR="003474F2" w:rsidRPr="001A3D2B" w:rsidRDefault="003474F2" w:rsidP="003474F2">
      <w:pPr>
        <w:pStyle w:val="12"/>
      </w:pPr>
      <w:r w:rsidRPr="001A3D2B">
        <w:t>ISO Abbreviated Title: Arch. Toxicol.</w:t>
      </w:r>
    </w:p>
    <w:p w:rsidR="003474F2" w:rsidRPr="001A3D2B" w:rsidRDefault="003474F2" w:rsidP="003474F2">
      <w:pPr>
        <w:pStyle w:val="12"/>
      </w:pPr>
      <w:r w:rsidRPr="001A3D2B">
        <w:t>JCR Abbreviated Title: Arch Toxicol</w:t>
      </w:r>
    </w:p>
    <w:p w:rsidR="003474F2" w:rsidRPr="001A3D2B" w:rsidRDefault="003474F2" w:rsidP="003474F2">
      <w:pPr>
        <w:pStyle w:val="12"/>
      </w:pPr>
      <w:r w:rsidRPr="001A3D2B">
        <w:t>ISSN: 0340-5761</w:t>
      </w:r>
    </w:p>
    <w:p w:rsidR="003474F2" w:rsidRPr="001A3D2B" w:rsidRDefault="003474F2" w:rsidP="003474F2">
      <w:pPr>
        <w:pStyle w:val="12"/>
      </w:pPr>
      <w:r w:rsidRPr="001A3D2B">
        <w:t>Issues/Year: 8</w:t>
      </w:r>
    </w:p>
    <w:p w:rsidR="003474F2" w:rsidRPr="001A3D2B" w:rsidRDefault="00AA25A4" w:rsidP="003474F2">
      <w:pPr>
        <w:pStyle w:val="12"/>
      </w:pPr>
      <w:r w:rsidRPr="001A3D2B">
        <w:t>Journal Country/Territory:</w:t>
      </w:r>
      <w:r w:rsidR="008F46E9" w:rsidRPr="001A3D2B">
        <w:t xml:space="preserve"> </w:t>
      </w:r>
      <w:r w:rsidR="003474F2" w:rsidRPr="001A3D2B">
        <w:t>Germany</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Springer Verlag</w:t>
      </w:r>
    </w:p>
    <w:p w:rsidR="003474F2" w:rsidRPr="001A3D2B" w:rsidRDefault="003474F2" w:rsidP="003474F2">
      <w:pPr>
        <w:pStyle w:val="12"/>
      </w:pPr>
      <w:r w:rsidRPr="001A3D2B">
        <w:t>Publisher Address: 175 Fifth Ave, New York, NY 10010</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Toxicology: Impact Factor </w:t>
      </w:r>
    </w:p>
    <w:p w:rsidR="003474F2" w:rsidRPr="001A3D2B" w:rsidRDefault="003474F2" w:rsidP="003474F2">
      <w:pPr>
        <w:pStyle w:val="a3"/>
      </w:pPr>
      <w:r w:rsidRPr="001A3D2B">
        <w:t>? Bolt, H.M.</w:t>
      </w:r>
      <w:r w:rsidR="005853A9">
        <w:t xml:space="preserve"> and </w:t>
      </w:r>
      <w:r w:rsidRPr="001A3D2B">
        <w:t>Hengstler, J.G. (2008</w:t>
      </w:r>
      <w:r w:rsidR="00F42EAC">
        <w:t>), The</w:t>
      </w:r>
      <w:r w:rsidR="003A1917">
        <w:t xml:space="preserve"> </w:t>
      </w:r>
      <w:r w:rsidRPr="001A3D2B">
        <w:t>past</w:t>
      </w:r>
      <w:r w:rsidR="005853A9">
        <w:t xml:space="preserve"> and </w:t>
      </w:r>
      <w:r w:rsidR="003A1917">
        <w:t xml:space="preserve">the </w:t>
      </w:r>
      <w:r w:rsidRPr="001A3D2B">
        <w:t>future</w:t>
      </w:r>
      <w:r w:rsidR="00427468">
        <w:t xml:space="preserve"> of </w:t>
      </w:r>
      <w:r w:rsidRPr="001A3D2B">
        <w:t xml:space="preserve">toxicology. </w:t>
      </w:r>
      <w:r w:rsidRPr="001A3D2B">
        <w:rPr>
          <w:i/>
          <w:iCs/>
        </w:rPr>
        <w:t>Archives</w:t>
      </w:r>
      <w:r w:rsidR="00427468">
        <w:rPr>
          <w:i/>
          <w:iCs/>
        </w:rPr>
        <w:t xml:space="preserve"> of </w:t>
      </w:r>
      <w:r w:rsidRPr="001A3D2B">
        <w:rPr>
          <w:i/>
          <w:iCs/>
        </w:rPr>
        <w:t>Toxicology</w:t>
      </w:r>
      <w:r w:rsidRPr="001A3D2B">
        <w:t xml:space="preserve">, </w:t>
      </w:r>
      <w:r w:rsidRPr="001A3D2B">
        <w:rPr>
          <w:b/>
          <w:bCs/>
        </w:rPr>
        <w:t>82</w:t>
      </w:r>
      <w:r w:rsidRPr="001A3D2B">
        <w:t>, 1-3.</w:t>
      </w:r>
    </w:p>
    <w:p w:rsidR="003474F2" w:rsidRPr="001A3D2B" w:rsidRDefault="003474F2" w:rsidP="003474F2">
      <w:pPr>
        <w:pStyle w:val="a3"/>
      </w:pPr>
      <w:r w:rsidRPr="001A3D2B">
        <w:t xml:space="preserve">Full Text: </w:t>
      </w:r>
      <w:hyperlink r:id="rId1185" w:history="1">
        <w:r w:rsidRPr="001A3D2B">
          <w:rPr>
            <w:rStyle w:val="a5"/>
          </w:rPr>
          <w:t>2008\Arc Tox82, 1.pdf</w:t>
        </w:r>
      </w:hyperlink>
    </w:p>
    <w:p w:rsidR="003474F2" w:rsidRPr="001A3D2B" w:rsidRDefault="003474F2" w:rsidP="003474F2">
      <w:pPr>
        <w:pStyle w:val="a3"/>
      </w:pPr>
      <w:r w:rsidRPr="001A3D2B">
        <w:t>Keywords: Toxicology</w:t>
      </w:r>
    </w:p>
    <w:p w:rsidR="000C54FC" w:rsidRDefault="000C54FC" w:rsidP="000C54FC">
      <w:pPr>
        <w:pStyle w:val="a3"/>
        <w:rPr>
          <w:kern w:val="0"/>
        </w:rPr>
      </w:pPr>
      <w:r>
        <w:rPr>
          <w:rFonts w:hint="eastAsia"/>
          <w:kern w:val="0"/>
        </w:rPr>
        <w:t xml:space="preserve">? </w:t>
      </w:r>
      <w:r>
        <w:rPr>
          <w:kern w:val="0"/>
        </w:rPr>
        <w:t>Bolt, H.M.</w:t>
      </w:r>
      <w:r w:rsidR="005853A9">
        <w:rPr>
          <w:kern w:val="0"/>
        </w:rPr>
        <w:t xml:space="preserve"> and </w:t>
      </w:r>
      <w:r>
        <w:rPr>
          <w:kern w:val="0"/>
        </w:rPr>
        <w:t>Hengstler, J.G. (2008), Most cited articles in</w:t>
      </w:r>
      <w:r w:rsidR="003A1917">
        <w:rPr>
          <w:kern w:val="0"/>
        </w:rPr>
        <w:t xml:space="preserve"> the </w:t>
      </w:r>
      <w:r w:rsidRPr="00ED3F70">
        <w:rPr>
          <w:i/>
          <w:kern w:val="0"/>
        </w:rPr>
        <w:t>Archives</w:t>
      </w:r>
      <w:r w:rsidR="00427468">
        <w:rPr>
          <w:i/>
          <w:kern w:val="0"/>
        </w:rPr>
        <w:t xml:space="preserve"> of </w:t>
      </w:r>
      <w:r w:rsidRPr="00ED3F70">
        <w:rPr>
          <w:i/>
          <w:kern w:val="0"/>
        </w:rPr>
        <w:t>Toxicology</w:t>
      </w:r>
      <w:r>
        <w:rPr>
          <w:kern w:val="0"/>
        </w:rPr>
        <w:t>:</w:t>
      </w:r>
      <w:r w:rsidR="003A1917">
        <w:rPr>
          <w:kern w:val="0"/>
        </w:rPr>
        <w:t xml:space="preserve"> the </w:t>
      </w:r>
      <w:r>
        <w:rPr>
          <w:kern w:val="0"/>
        </w:rPr>
        <w:t>debate about possibilities</w:t>
      </w:r>
      <w:r w:rsidR="005853A9">
        <w:rPr>
          <w:kern w:val="0"/>
        </w:rPr>
        <w:t xml:space="preserve"> and </w:t>
      </w:r>
      <w:r>
        <w:rPr>
          <w:kern w:val="0"/>
        </w:rPr>
        <w:t>limitations</w:t>
      </w:r>
      <w:r w:rsidR="00427468">
        <w:rPr>
          <w:kern w:val="0"/>
        </w:rPr>
        <w:t xml:space="preserve"> of </w:t>
      </w:r>
      <w:r>
        <w:rPr>
          <w:kern w:val="0"/>
        </w:rPr>
        <w:t>in vitro toxicity tests</w:t>
      </w:r>
      <w:r w:rsidR="005853A9">
        <w:rPr>
          <w:kern w:val="0"/>
        </w:rPr>
        <w:t xml:space="preserve"> and </w:t>
      </w:r>
      <w:r>
        <w:rPr>
          <w:kern w:val="0"/>
        </w:rPr>
        <w:t>replacement</w:t>
      </w:r>
      <w:r w:rsidR="00427468">
        <w:rPr>
          <w:kern w:val="0"/>
        </w:rPr>
        <w:t xml:space="preserve"> of </w:t>
      </w:r>
      <w:r>
        <w:rPr>
          <w:kern w:val="0"/>
        </w:rPr>
        <w:t xml:space="preserve">in vivo studies. </w:t>
      </w:r>
      <w:r>
        <w:rPr>
          <w:i/>
          <w:iCs/>
          <w:kern w:val="0"/>
        </w:rPr>
        <w:t>Archives</w:t>
      </w:r>
      <w:r w:rsidR="00427468">
        <w:rPr>
          <w:i/>
          <w:iCs/>
          <w:kern w:val="0"/>
        </w:rPr>
        <w:t xml:space="preserve"> of </w:t>
      </w:r>
      <w:r>
        <w:rPr>
          <w:i/>
          <w:iCs/>
          <w:kern w:val="0"/>
        </w:rPr>
        <w:t>Toxicology</w:t>
      </w:r>
      <w:r>
        <w:rPr>
          <w:kern w:val="0"/>
        </w:rPr>
        <w:t xml:space="preserve">, </w:t>
      </w:r>
      <w:r>
        <w:rPr>
          <w:b/>
          <w:bCs/>
          <w:kern w:val="0"/>
        </w:rPr>
        <w:t>82</w:t>
      </w:r>
      <w:r>
        <w:rPr>
          <w:kern w:val="0"/>
        </w:rPr>
        <w:t xml:space="preserve"> (12), 881-883</w:t>
      </w:r>
      <w:r w:rsidR="00387789">
        <w:rPr>
          <w:rFonts w:hint="eastAsia"/>
          <w:kern w:val="0"/>
        </w:rPr>
        <w:t>.</w:t>
      </w:r>
    </w:p>
    <w:p w:rsidR="000C54FC" w:rsidRPr="001A3D2B" w:rsidRDefault="000C54FC" w:rsidP="000C54FC">
      <w:pPr>
        <w:pStyle w:val="a3"/>
      </w:pPr>
      <w:r w:rsidRPr="001A3D2B">
        <w:t xml:space="preserve">Full Text: </w:t>
      </w:r>
      <w:hyperlink r:id="rId1186" w:history="1">
        <w:r w:rsidRPr="002D131A">
          <w:rPr>
            <w:rStyle w:val="a5"/>
          </w:rPr>
          <w:t>2008\Arc Tox82, 881.pdf</w:t>
        </w:r>
      </w:hyperlink>
    </w:p>
    <w:p w:rsidR="000C54FC" w:rsidRDefault="000C54FC" w:rsidP="000C54FC">
      <w:pPr>
        <w:pStyle w:val="a3"/>
        <w:rPr>
          <w:kern w:val="0"/>
        </w:rPr>
      </w:pPr>
      <w:r>
        <w:rPr>
          <w:kern w:val="0"/>
        </w:rPr>
        <w:t>Keywords: Apoptosis, Blood Lead, Cells, Cytotoxicity, Drug-Metabolism, Enzyme-Induction, Hepatotoxicity, In Vivo, Oxidative Stress, Primary Hepatocytes, Toxicity, Toxicology, Transporters</w:t>
      </w:r>
    </w:p>
    <w:p w:rsidR="00F6450F" w:rsidRDefault="00F6450F" w:rsidP="00F6450F">
      <w:pPr>
        <w:pStyle w:val="a3"/>
        <w:rPr>
          <w:kern w:val="0"/>
        </w:rPr>
      </w:pPr>
      <w:r>
        <w:rPr>
          <w:rFonts w:hint="eastAsia"/>
          <w:kern w:val="0"/>
        </w:rPr>
        <w:t xml:space="preserve">? </w:t>
      </w:r>
      <w:r>
        <w:rPr>
          <w:kern w:val="0"/>
        </w:rPr>
        <w:t>Bolt, H.M.</w:t>
      </w:r>
      <w:r w:rsidR="005853A9">
        <w:rPr>
          <w:kern w:val="0"/>
        </w:rPr>
        <w:t xml:space="preserve"> and </w:t>
      </w:r>
      <w:r>
        <w:rPr>
          <w:kern w:val="0"/>
        </w:rPr>
        <w:t>Hengstler, J.G. (2010), Most cited articles: metal toxicity, oxidative stress control</w:t>
      </w:r>
      <w:r w:rsidR="005853A9">
        <w:rPr>
          <w:kern w:val="0"/>
        </w:rPr>
        <w:t xml:space="preserve"> and </w:t>
      </w:r>
      <w:r>
        <w:rPr>
          <w:kern w:val="0"/>
        </w:rPr>
        <w:t>induction as well as inhibition</w:t>
      </w:r>
      <w:r w:rsidR="00427468">
        <w:rPr>
          <w:kern w:val="0"/>
        </w:rPr>
        <w:t xml:space="preserve"> of </w:t>
      </w:r>
      <w:r>
        <w:rPr>
          <w:kern w:val="0"/>
        </w:rPr>
        <w:t xml:space="preserve">cytochrome P450 enzymes. </w:t>
      </w:r>
      <w:r>
        <w:rPr>
          <w:i/>
          <w:iCs/>
          <w:kern w:val="0"/>
        </w:rPr>
        <w:t>Archives</w:t>
      </w:r>
      <w:r w:rsidR="00427468">
        <w:rPr>
          <w:i/>
          <w:iCs/>
          <w:kern w:val="0"/>
        </w:rPr>
        <w:t xml:space="preserve"> of </w:t>
      </w:r>
      <w:r>
        <w:rPr>
          <w:i/>
          <w:iCs/>
          <w:kern w:val="0"/>
        </w:rPr>
        <w:t>Toxicology</w:t>
      </w:r>
      <w:r>
        <w:rPr>
          <w:kern w:val="0"/>
        </w:rPr>
        <w:t xml:space="preserve">, </w:t>
      </w:r>
      <w:r>
        <w:rPr>
          <w:b/>
          <w:bCs/>
          <w:kern w:val="0"/>
        </w:rPr>
        <w:t>84</w:t>
      </w:r>
      <w:r>
        <w:rPr>
          <w:kern w:val="0"/>
        </w:rPr>
        <w:t xml:space="preserve"> (12), 903-905</w:t>
      </w:r>
      <w:r w:rsidR="001E081E">
        <w:rPr>
          <w:rFonts w:hint="eastAsia"/>
          <w:kern w:val="0"/>
        </w:rPr>
        <w:t>.</w:t>
      </w:r>
    </w:p>
    <w:p w:rsidR="00F6450F" w:rsidRPr="001A3D2B" w:rsidRDefault="00F6450F" w:rsidP="00F6450F">
      <w:pPr>
        <w:pStyle w:val="a3"/>
      </w:pPr>
      <w:r w:rsidRPr="001A3D2B">
        <w:t xml:space="preserve">Full Text: </w:t>
      </w:r>
      <w:hyperlink r:id="rId1187" w:history="1">
        <w:r w:rsidRPr="00F6450F">
          <w:rPr>
            <w:rStyle w:val="a5"/>
          </w:rPr>
          <w:t>2010\Arc Tox84, 903.pdf</w:t>
        </w:r>
      </w:hyperlink>
    </w:p>
    <w:p w:rsidR="00F6450F" w:rsidRDefault="00F6450F" w:rsidP="00F6450F">
      <w:pPr>
        <w:pStyle w:val="a3"/>
        <w:rPr>
          <w:kern w:val="0"/>
        </w:rPr>
      </w:pPr>
      <w:r>
        <w:rPr>
          <w:kern w:val="0"/>
        </w:rPr>
        <w:t>Keywords: Acid, Cells, Exposure, Gene-Expression, Hepatocytes, Lead, Male Rats, Mechanisms, Methylmercury, Risk-Assessment, Stress</w:t>
      </w:r>
    </w:p>
    <w:p w:rsidR="000C54FC" w:rsidRDefault="000C54FC" w:rsidP="000C54FC">
      <w:pPr>
        <w:pStyle w:val="a3"/>
        <w:rPr>
          <w:kern w:val="0"/>
        </w:rPr>
      </w:pPr>
      <w:r>
        <w:rPr>
          <w:rFonts w:hint="eastAsia"/>
          <w:kern w:val="0"/>
        </w:rPr>
        <w:t xml:space="preserve">? </w:t>
      </w:r>
      <w:r>
        <w:rPr>
          <w:kern w:val="0"/>
        </w:rPr>
        <w:t>Bolt, H.M.</w:t>
      </w:r>
      <w:r w:rsidR="005853A9">
        <w:rPr>
          <w:kern w:val="0"/>
        </w:rPr>
        <w:t xml:space="preserve"> and </w:t>
      </w:r>
      <w:r>
        <w:rPr>
          <w:kern w:val="0"/>
        </w:rPr>
        <w:t>Hengstler, J.G. (2011), Most cited articles: ethanol-induced hepatotoxicity, anticarcinogenic effects</w:t>
      </w:r>
      <w:r w:rsidR="00427468">
        <w:rPr>
          <w:kern w:val="0"/>
        </w:rPr>
        <w:t xml:space="preserve"> of </w:t>
      </w:r>
      <w:r>
        <w:rPr>
          <w:kern w:val="0"/>
        </w:rPr>
        <w:t>polyphenolic compounds in tea, dose-response modeling, novel roles</w:t>
      </w:r>
      <w:r w:rsidR="00427468">
        <w:rPr>
          <w:kern w:val="0"/>
        </w:rPr>
        <w:t xml:space="preserve"> of </w:t>
      </w:r>
      <w:r>
        <w:rPr>
          <w:kern w:val="0"/>
        </w:rPr>
        <w:t>epoxide hydrolases</w:t>
      </w:r>
      <w:r w:rsidR="005853A9">
        <w:rPr>
          <w:kern w:val="0"/>
        </w:rPr>
        <w:t xml:space="preserve"> and </w:t>
      </w:r>
      <w:r>
        <w:rPr>
          <w:kern w:val="0"/>
        </w:rPr>
        <w:t xml:space="preserve">arsenic-induced suicidal erythrocyte death. </w:t>
      </w:r>
      <w:r>
        <w:rPr>
          <w:i/>
          <w:iCs/>
          <w:kern w:val="0"/>
        </w:rPr>
        <w:t>Archives</w:t>
      </w:r>
      <w:r w:rsidR="00427468">
        <w:rPr>
          <w:i/>
          <w:iCs/>
          <w:kern w:val="0"/>
        </w:rPr>
        <w:t xml:space="preserve"> of </w:t>
      </w:r>
      <w:r>
        <w:rPr>
          <w:i/>
          <w:iCs/>
          <w:kern w:val="0"/>
        </w:rPr>
        <w:t>Toxicology</w:t>
      </w:r>
      <w:r>
        <w:rPr>
          <w:kern w:val="0"/>
        </w:rPr>
        <w:t xml:space="preserve">, </w:t>
      </w:r>
      <w:r>
        <w:rPr>
          <w:b/>
          <w:bCs/>
          <w:kern w:val="0"/>
        </w:rPr>
        <w:t>85</w:t>
      </w:r>
      <w:r>
        <w:rPr>
          <w:kern w:val="0"/>
        </w:rPr>
        <w:t xml:space="preserve"> (12), 1485-1489</w:t>
      </w:r>
      <w:r>
        <w:rPr>
          <w:rFonts w:hint="eastAsia"/>
          <w:kern w:val="0"/>
        </w:rPr>
        <w:t>.</w:t>
      </w:r>
    </w:p>
    <w:p w:rsidR="000C54FC" w:rsidRPr="001A3D2B" w:rsidRDefault="000C54FC" w:rsidP="000C54FC">
      <w:pPr>
        <w:pStyle w:val="a3"/>
      </w:pPr>
      <w:r w:rsidRPr="001A3D2B">
        <w:t xml:space="preserve">Full Text: </w:t>
      </w:r>
      <w:hyperlink r:id="rId1188" w:history="1">
        <w:r w:rsidRPr="002D131A">
          <w:rPr>
            <w:rStyle w:val="a5"/>
          </w:rPr>
          <w:t>2011\Arc Tox85, 1485.pdf</w:t>
        </w:r>
      </w:hyperlink>
    </w:p>
    <w:p w:rsidR="000C54FC" w:rsidRDefault="000C54FC" w:rsidP="000C54FC">
      <w:pPr>
        <w:pStyle w:val="a3"/>
        <w:rPr>
          <w:kern w:val="0"/>
        </w:rPr>
      </w:pPr>
      <w:r>
        <w:rPr>
          <w:kern w:val="0"/>
        </w:rPr>
        <w:t>Keywords: Alcohol, Became, Cancer, Cells, Damage, Dose-Response, Exposure, Isolated Rat Hepatocytes, Modeling, Oxidative Stress, Risk, Toxicology</w:t>
      </w:r>
    </w:p>
    <w:p w:rsidR="00365492" w:rsidRPr="00F219CA" w:rsidRDefault="00365492" w:rsidP="00365492">
      <w:pPr>
        <w:pStyle w:val="1"/>
      </w:pPr>
      <w:r w:rsidRPr="00F219CA">
        <w:br w:type="page"/>
      </w:r>
      <w:bookmarkStart w:id="604" w:name="_Toc405892490"/>
      <w:bookmarkStart w:id="605" w:name="_Toc420814593"/>
      <w:r w:rsidRPr="00F219CA">
        <w:lastRenderedPageBreak/>
        <w:t xml:space="preserve">Title: </w:t>
      </w:r>
      <w:bookmarkEnd w:id="604"/>
      <w:r w:rsidRPr="00365492">
        <w:rPr>
          <w:iCs w:val="0"/>
        </w:rPr>
        <w:t>Archives of Virology</w:t>
      </w:r>
      <w:bookmarkEnd w:id="605"/>
    </w:p>
    <w:p w:rsidR="00365492" w:rsidRPr="00F219CA" w:rsidRDefault="00365492" w:rsidP="00365492">
      <w:pPr>
        <w:pStyle w:val="12"/>
      </w:pPr>
      <w:r w:rsidRPr="00F219CA">
        <w:t xml:space="preserve">Full Journal Title: </w:t>
      </w:r>
      <w:r w:rsidRPr="00365492">
        <w:rPr>
          <w:iCs/>
          <w:kern w:val="0"/>
        </w:rPr>
        <w:t>Archives of Virology</w:t>
      </w:r>
    </w:p>
    <w:p w:rsidR="00365492" w:rsidRPr="00F219CA" w:rsidRDefault="00365492" w:rsidP="00365492">
      <w:pPr>
        <w:pStyle w:val="12"/>
      </w:pPr>
      <w:r w:rsidRPr="00F219CA">
        <w:t xml:space="preserve">ISO Abbreviated Title: </w:t>
      </w:r>
    </w:p>
    <w:p w:rsidR="00365492" w:rsidRPr="00F219CA" w:rsidRDefault="00365492" w:rsidP="00365492">
      <w:pPr>
        <w:pStyle w:val="12"/>
      </w:pPr>
      <w:r w:rsidRPr="00F219CA">
        <w:t xml:space="preserve">JCR Abbreviated Title: </w:t>
      </w:r>
    </w:p>
    <w:p w:rsidR="00365492" w:rsidRPr="00F219CA" w:rsidRDefault="00365492" w:rsidP="00365492">
      <w:pPr>
        <w:pStyle w:val="12"/>
      </w:pPr>
      <w:r w:rsidRPr="00F219CA">
        <w:t xml:space="preserve">ISSN: </w:t>
      </w:r>
    </w:p>
    <w:p w:rsidR="00365492" w:rsidRPr="00F219CA" w:rsidRDefault="00365492" w:rsidP="00365492">
      <w:pPr>
        <w:pStyle w:val="12"/>
      </w:pPr>
      <w:r w:rsidRPr="00F219CA">
        <w:t xml:space="preserve">Issues/Year: </w:t>
      </w:r>
    </w:p>
    <w:p w:rsidR="00365492" w:rsidRPr="00F219CA" w:rsidRDefault="00365492" w:rsidP="00365492">
      <w:pPr>
        <w:pStyle w:val="12"/>
      </w:pPr>
      <w:r w:rsidRPr="00F219CA">
        <w:t xml:space="preserve">Journal Country/Territory: </w:t>
      </w:r>
    </w:p>
    <w:p w:rsidR="00365492" w:rsidRPr="00F219CA" w:rsidRDefault="00365492" w:rsidP="00365492">
      <w:pPr>
        <w:pStyle w:val="12"/>
      </w:pPr>
      <w:r w:rsidRPr="00F219CA">
        <w:t xml:space="preserve">Language: </w:t>
      </w:r>
    </w:p>
    <w:p w:rsidR="00365492" w:rsidRPr="00F219CA" w:rsidRDefault="00365492" w:rsidP="00365492">
      <w:pPr>
        <w:pStyle w:val="12"/>
      </w:pPr>
      <w:r w:rsidRPr="00F219CA">
        <w:t xml:space="preserve">Publisher: </w:t>
      </w:r>
    </w:p>
    <w:p w:rsidR="00365492" w:rsidRPr="00F219CA" w:rsidRDefault="00365492" w:rsidP="00365492">
      <w:pPr>
        <w:pStyle w:val="12"/>
      </w:pPr>
      <w:r w:rsidRPr="00F219CA">
        <w:t xml:space="preserve">Publisher Address: </w:t>
      </w:r>
    </w:p>
    <w:p w:rsidR="00365492" w:rsidRPr="00F219CA" w:rsidRDefault="00365492" w:rsidP="00365492">
      <w:pPr>
        <w:pStyle w:val="12"/>
      </w:pPr>
      <w:r w:rsidRPr="00F219CA">
        <w:t xml:space="preserve">Subject Categories: </w:t>
      </w:r>
    </w:p>
    <w:p w:rsidR="00365492" w:rsidRPr="00F219CA" w:rsidRDefault="00365492" w:rsidP="00365492">
      <w:pPr>
        <w:pStyle w:val="12"/>
      </w:pPr>
      <w:r w:rsidRPr="00F219CA">
        <w:t>: Impact Factor</w:t>
      </w:r>
    </w:p>
    <w:p w:rsidR="00365492" w:rsidRDefault="00365492" w:rsidP="00365492">
      <w:pPr>
        <w:pStyle w:val="a3"/>
        <w:rPr>
          <w:kern w:val="0"/>
        </w:rPr>
      </w:pPr>
      <w:r>
        <w:rPr>
          <w:rFonts w:hint="eastAsia"/>
          <w:kern w:val="0"/>
        </w:rPr>
        <w:t xml:space="preserve">? </w:t>
      </w:r>
      <w:r>
        <w:rPr>
          <w:kern w:val="0"/>
        </w:rPr>
        <w:t xml:space="preserve">Goka, E.A., Vallely, P.J., Mutton, K.J. and Klapper, P.E. (2014), Mutations associated with severity of the pandemic influenza A(H1N1)pdm09 in humans: A systematic review and meta-analysis of epidemiological evidence. </w:t>
      </w:r>
      <w:r w:rsidRPr="00365492">
        <w:rPr>
          <w:i/>
          <w:iCs/>
          <w:kern w:val="0"/>
        </w:rPr>
        <w:t>Archives of Virology</w:t>
      </w:r>
      <w:r>
        <w:rPr>
          <w:kern w:val="0"/>
        </w:rPr>
        <w:t xml:space="preserve">, </w:t>
      </w:r>
      <w:r>
        <w:rPr>
          <w:b/>
          <w:bCs/>
          <w:kern w:val="0"/>
        </w:rPr>
        <w:t>159</w:t>
      </w:r>
      <w:r>
        <w:rPr>
          <w:kern w:val="0"/>
        </w:rPr>
        <w:t xml:space="preserve"> (12), 3167-3183.</w:t>
      </w:r>
    </w:p>
    <w:p w:rsidR="00365492" w:rsidRDefault="00365492" w:rsidP="00365492">
      <w:pPr>
        <w:pStyle w:val="a3"/>
        <w:rPr>
          <w:kern w:val="0"/>
        </w:rPr>
      </w:pPr>
      <w:r>
        <w:rPr>
          <w:rFonts w:hint="eastAsia"/>
          <w:kern w:val="0"/>
        </w:rPr>
        <w:t xml:space="preserve">Full Text: </w:t>
      </w:r>
      <w:hyperlink r:id="rId1189" w:history="1">
        <w:r w:rsidRPr="00365492">
          <w:rPr>
            <w:rStyle w:val="a5"/>
            <w:rFonts w:hint="eastAsia"/>
            <w:kern w:val="0"/>
          </w:rPr>
          <w:t>2014\</w:t>
        </w:r>
        <w:r w:rsidRPr="00365492">
          <w:rPr>
            <w:rStyle w:val="a5"/>
            <w:iCs/>
            <w:kern w:val="0"/>
          </w:rPr>
          <w:t>Arc Vir</w:t>
        </w:r>
        <w:r w:rsidRPr="00365492">
          <w:rPr>
            <w:rStyle w:val="a5"/>
            <w:bCs/>
            <w:kern w:val="0"/>
          </w:rPr>
          <w:t>159</w:t>
        </w:r>
        <w:r w:rsidRPr="00365492">
          <w:rPr>
            <w:rStyle w:val="a5"/>
            <w:kern w:val="0"/>
          </w:rPr>
          <w:t>, 3167</w:t>
        </w:r>
        <w:r w:rsidRPr="00365492">
          <w:rPr>
            <w:rStyle w:val="a5"/>
            <w:rFonts w:hint="eastAsia"/>
            <w:kern w:val="0"/>
          </w:rPr>
          <w:t>.pdf</w:t>
        </w:r>
      </w:hyperlink>
    </w:p>
    <w:p w:rsidR="00365492" w:rsidRDefault="00365492" w:rsidP="00365492">
      <w:pPr>
        <w:pStyle w:val="a3"/>
        <w:rPr>
          <w:kern w:val="0"/>
        </w:rPr>
      </w:pPr>
      <w:r>
        <w:rPr>
          <w:kern w:val="0"/>
        </w:rPr>
        <w:t xml:space="preserve">Abstract: Mutations in the haemagglutinin (HA), non-structural protein 1 (NS1) and polymerase basic protein 2 (PB2) of influenza viruses have been associated with virulence. This study investigated the association between mutations in these genes in influenza A(H1N1)pdm09 virus and the risk of severe or fatal disease. Searches were conducted on the MEDLINE, EMBASE and Web of Science electronic databases and the reference lists of published studies. The PRISMA and STROBE guidelines were followed in assessing the quality of studies and writing-up. Eighteen (18) studies, from all continents, were included in the systematic review (recruiting patients 0 - 77 years old). The mutation D222G was associated with a significant increase in severe disease (pooled RD: 11 %, 95 % CI: 3.0 % - 18.0 %, p = 0.004) and the risk of fatality (RD: 23 %, 95 % CI: 14.0 %-31.0 %, p = &lt; 0.0001). No association was observed between the mutations HA-D222N, D222E, PB2-E627K and NS1-T123V and severe/fatal disease. The results suggest that no virus quasispecies bearing virulence-conferring mutations in the HA, PB2 and NS1 predominated. However issues of sampling bias, and bias due to uncontrolled confounders such as comorbidities, and viral and bacterial coinfection, should be born in mind. Influenza A viruses should continue to be monitored for the occurrence of virulence-conferring mutations in HA, PB2 and NS1. There are suggestions that respiratory virus coinfections also affect virus virulence. Studies investigating the role of genetic mutations on disease outcome should make efforts to also investigate </w:t>
      </w:r>
      <w:r>
        <w:rPr>
          <w:kern w:val="0"/>
        </w:rPr>
        <w:lastRenderedPageBreak/>
        <w:t>the role of respiratory virus coinfections.</w:t>
      </w:r>
    </w:p>
    <w:p w:rsidR="00365492" w:rsidRDefault="00365492" w:rsidP="00365492">
      <w:pPr>
        <w:pStyle w:val="a3"/>
        <w:rPr>
          <w:kern w:val="0"/>
        </w:rPr>
      </w:pPr>
      <w:r>
        <w:rPr>
          <w:kern w:val="0"/>
        </w:rPr>
        <w:t>Keywords: A H1n1 Virus, Affect, Antigenic Structure, Assessing, Association, Basic, Bias, Coinfection, Databases, Disease, Double-Stranded-Rna, Embase, Evidence, From, Genes, Genetic, Guidelines, Host-Range Restriction, Humans, Influenza, Issues, Lung Epithelial-Cells, Medline, Meta Analysis, Meta-Analysis, Metaanalysis, Mutation, Mutations, Ns1, Outcome, Patients, Protein, Quality, Quality Of, Receptor Specificity, Reference, Reference Lists, Review, Risk, Role, Sampling, Science, Single Amino-Acid, Structural Basis, Systematic, Systematic Review, Vaccine Effectiveness, Viral, Virulence, Virus Ns1 Protein, Web, Web Of Science</w:t>
      </w:r>
    </w:p>
    <w:p w:rsidR="003474F2" w:rsidRPr="001A3D2B" w:rsidRDefault="003474F2" w:rsidP="003474F2">
      <w:pPr>
        <w:pStyle w:val="1"/>
      </w:pPr>
      <w:r w:rsidRPr="001A3D2B">
        <w:br w:type="page"/>
      </w:r>
      <w:bookmarkStart w:id="606" w:name="_Toc420814594"/>
      <w:r w:rsidRPr="001A3D2B">
        <w:lastRenderedPageBreak/>
        <w:t>Title: Archives</w:t>
      </w:r>
      <w:r w:rsidR="00427468">
        <w:t xml:space="preserve"> of </w:t>
      </w:r>
      <w:r w:rsidRPr="001A3D2B">
        <w:t>Virology Supplement</w:t>
      </w:r>
      <w:bookmarkEnd w:id="606"/>
    </w:p>
    <w:p w:rsidR="003474F2" w:rsidRPr="001A3D2B" w:rsidRDefault="003474F2" w:rsidP="003474F2">
      <w:pPr>
        <w:pStyle w:val="12"/>
      </w:pPr>
      <w:r w:rsidRPr="001A3D2B">
        <w:t>Full Journal Title: Archives</w:t>
      </w:r>
      <w:r w:rsidR="00427468">
        <w:t xml:space="preserve"> of </w:t>
      </w:r>
      <w:r w:rsidRPr="001A3D2B">
        <w:t>Virology Supplement</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Horzinek, M. (1999), Importance</w:t>
      </w:r>
      <w:r w:rsidR="005853A9">
        <w:t xml:space="preserve"> and </w:t>
      </w:r>
      <w:r w:rsidRPr="001A3D2B">
        <w:t>impact</w:t>
      </w:r>
      <w:r w:rsidR="00427468">
        <w:t xml:space="preserve"> of </w:t>
      </w:r>
      <w:r w:rsidRPr="001A3D2B">
        <w:t xml:space="preserve">veterinary virology in </w:t>
      </w:r>
      <w:smartTag w:uri="urn:schemas-microsoft-com:office:smarttags" w:element="place">
        <w:smartTag w:uri="urn:schemas-microsoft-com:office:smarttags" w:element="country-region">
          <w:r w:rsidRPr="001A3D2B">
            <w:t>Germany</w:t>
          </w:r>
        </w:smartTag>
      </w:smartTag>
      <w:r w:rsidRPr="001A3D2B">
        <w:t xml:space="preserve">. </w:t>
      </w:r>
      <w:r w:rsidRPr="001A3D2B">
        <w:rPr>
          <w:i/>
          <w:iCs/>
        </w:rPr>
        <w:t>Archives</w:t>
      </w:r>
      <w:r w:rsidR="00427468">
        <w:rPr>
          <w:i/>
          <w:iCs/>
        </w:rPr>
        <w:t xml:space="preserve"> of </w:t>
      </w:r>
      <w:r w:rsidRPr="001A3D2B">
        <w:rPr>
          <w:i/>
          <w:iCs/>
        </w:rPr>
        <w:t>Virology Supplement</w:t>
      </w:r>
      <w:r w:rsidRPr="001A3D2B">
        <w:t>, (15), 63-72.</w:t>
      </w:r>
    </w:p>
    <w:p w:rsidR="003474F2" w:rsidRPr="001A3D2B" w:rsidRDefault="003474F2" w:rsidP="003474F2">
      <w:pPr>
        <w:pStyle w:val="a3"/>
      </w:pPr>
      <w:r w:rsidRPr="001A3D2B">
        <w:t>Abstract:</w:t>
      </w:r>
      <w:r w:rsidR="003A1917">
        <w:t xml:space="preserve"> the </w:t>
      </w:r>
      <w:r w:rsidRPr="001A3D2B">
        <w:t>ca</w:t>
      </w:r>
      <w:r w:rsidR="00D5664A">
        <w:t>USA</w:t>
      </w:r>
      <w:r w:rsidRPr="001A3D2B">
        <w:t>tive agent</w:t>
      </w:r>
      <w:r w:rsidR="00427468">
        <w:t xml:space="preserve"> of </w:t>
      </w:r>
      <w:r w:rsidRPr="001A3D2B">
        <w:t>tobacco mosaic</w:t>
      </w:r>
      <w:r w:rsidR="005853A9">
        <w:t xml:space="preserve"> and</w:t>
      </w:r>
      <w:r w:rsidR="00427468">
        <w:t xml:space="preserve"> of </w:t>
      </w:r>
      <w:r w:rsidRPr="001A3D2B">
        <w:t>foot</w:t>
      </w:r>
      <w:r w:rsidR="005853A9">
        <w:t xml:space="preserve"> and </w:t>
      </w:r>
      <w:r w:rsidRPr="001A3D2B">
        <w:t xml:space="preserve">mouth disease (FMD) were recognized in 1898 as </w:t>
      </w:r>
      <w:r w:rsidR="00700038">
        <w:t>‘</w:t>
      </w:r>
      <w:r w:rsidRPr="001A3D2B">
        <w:t>filterable</w:t>
      </w:r>
      <w:r w:rsidR="00700038">
        <w:t>’</w:t>
      </w:r>
      <w:r w:rsidRPr="001A3D2B">
        <w:t xml:space="preserve"> or </w:t>
      </w:r>
      <w:r w:rsidR="00700038">
        <w:t>‘</w:t>
      </w:r>
      <w:r w:rsidRPr="001A3D2B">
        <w:t>invisible</w:t>
      </w:r>
      <w:r w:rsidR="00700038">
        <w:t>’</w:t>
      </w:r>
      <w:r w:rsidRPr="001A3D2B">
        <w:t xml:space="preserve"> -</w:t>
      </w:r>
      <w:r w:rsidR="005853A9">
        <w:t xml:space="preserve"> and </w:t>
      </w:r>
      <w:r w:rsidRPr="001A3D2B">
        <w:t xml:space="preserve">eventually termed </w:t>
      </w:r>
      <w:r w:rsidR="00700038">
        <w:t>‘</w:t>
      </w:r>
      <w:r w:rsidRPr="001A3D2B">
        <w:t>virus</w:t>
      </w:r>
      <w:r w:rsidR="00700038">
        <w:t>’</w:t>
      </w:r>
      <w:r w:rsidRPr="001A3D2B">
        <w:t>. Four years later</w:t>
      </w:r>
      <w:r w:rsidR="003A1917">
        <w:t xml:space="preserve"> the </w:t>
      </w:r>
      <w:r w:rsidRPr="001A3D2B">
        <w:t>viral aetiology</w:t>
      </w:r>
      <w:r w:rsidR="00427468">
        <w:t xml:space="preserve"> of </w:t>
      </w:r>
      <w:r w:rsidRPr="001A3D2B">
        <w:t>yellow fever was established,</w:t>
      </w:r>
      <w:r w:rsidR="005853A9">
        <w:t xml:space="preserve"> and </w:t>
      </w:r>
      <w:r w:rsidR="003A1917">
        <w:t xml:space="preserve">the </w:t>
      </w:r>
      <w:r w:rsidRPr="001A3D2B">
        <w:t>new discipline took off. Thus animal virology started with a veterinary problem,</w:t>
      </w:r>
      <w:r w:rsidR="005853A9">
        <w:t xml:space="preserve"> and </w:t>
      </w:r>
      <w:r w:rsidRPr="001A3D2B">
        <w:t>Germany</w:t>
      </w:r>
      <w:r w:rsidR="00700038">
        <w:t>’</w:t>
      </w:r>
      <w:r w:rsidR="00C13DDC">
        <w:t>s</w:t>
      </w:r>
      <w:r w:rsidRPr="001A3D2B">
        <w:t xml:space="preserve"> contribution during</w:t>
      </w:r>
      <w:r w:rsidR="003A1917">
        <w:t xml:space="preserve"> the </w:t>
      </w:r>
      <w:r w:rsidRPr="001A3D2B">
        <w:t>following decades came mainly from</w:t>
      </w:r>
      <w:r w:rsidR="003A1917">
        <w:t xml:space="preserve"> the </w:t>
      </w:r>
      <w:r w:rsidRPr="001A3D2B">
        <w:t>chairs</w:t>
      </w:r>
      <w:r w:rsidR="00427468">
        <w:t xml:space="preserve"> of </w:t>
      </w:r>
      <w:r w:rsidRPr="001A3D2B">
        <w:t>veterinary teaching</w:t>
      </w:r>
      <w:r w:rsidR="005853A9">
        <w:t xml:space="preserve"> and </w:t>
      </w:r>
      <w:r w:rsidRPr="001A3D2B">
        <w:t xml:space="preserve">research establishments in </w:t>
      </w:r>
      <w:smartTag w:uri="urn:schemas-microsoft-com:office:smarttags" w:element="City">
        <w:r w:rsidRPr="001A3D2B">
          <w:t>Giessen</w:t>
        </w:r>
      </w:smartTag>
      <w:r w:rsidRPr="001A3D2B">
        <w:t>, Munich</w:t>
      </w:r>
      <w:r w:rsidR="005853A9">
        <w:t xml:space="preserve"> and </w:t>
      </w:r>
      <w:r w:rsidRPr="001A3D2B">
        <w:t>Hanover,</w:t>
      </w:r>
      <w:r w:rsidR="003A1917">
        <w:t xml:space="preserve"> the </w:t>
      </w:r>
      <w:r w:rsidRPr="001A3D2B">
        <w:t>Riems Institute,</w:t>
      </w:r>
      <w:r w:rsidR="005853A9">
        <w:t xml:space="preserve"> and </w:t>
      </w:r>
      <w:r w:rsidR="003A1917">
        <w:t xml:space="preserve">the </w:t>
      </w:r>
      <w:r w:rsidRPr="001A3D2B">
        <w:t xml:space="preserve">Federal Research Institute for Animal Virus Diseases in </w:t>
      </w:r>
      <w:smartTag w:uri="urn:schemas-microsoft-com:office:smarttags" w:element="place">
        <w:smartTag w:uri="urn:schemas-microsoft-com:office:smarttags" w:element="City">
          <w:r w:rsidRPr="001A3D2B">
            <w:t>Tubingen</w:t>
          </w:r>
        </w:smartTag>
      </w:smartTag>
      <w:r w:rsidRPr="001A3D2B">
        <w:t>. From a superficial bibliometric analysis, a wide divergence in impact figures is noted, with excellent contributions in international virology journals</w:t>
      </w:r>
      <w:r w:rsidR="005853A9">
        <w:t xml:space="preserve"> and </w:t>
      </w:r>
      <w:r w:rsidRPr="001A3D2B">
        <w:t>lesser papers in German veterinary journals</w:t>
      </w:r>
      <w:r w:rsidR="00A37C1D">
        <w:t>. The</w:t>
      </w:r>
      <w:r w:rsidR="003A1917">
        <w:t xml:space="preserve"> </w:t>
      </w:r>
      <w:r w:rsidRPr="001A3D2B">
        <w:t>publications in</w:t>
      </w:r>
      <w:r w:rsidR="003A1917">
        <w:t xml:space="preserve"> the </w:t>
      </w:r>
      <w:r w:rsidRPr="001A3D2B">
        <w:t>observed time frame reveal a fascination by virion structure, physical characteristics</w:t>
      </w:r>
      <w:r w:rsidR="005853A9">
        <w:t xml:space="preserve"> and </w:t>
      </w:r>
      <w:r w:rsidRPr="001A3D2B">
        <w:t>structure-function relationships with little work published in journals dedicated to immunology andpathogenesis.</w:t>
      </w:r>
    </w:p>
    <w:p w:rsidR="00834CD8" w:rsidRPr="001A3D2B" w:rsidRDefault="00834CD8" w:rsidP="00834CD8">
      <w:pPr>
        <w:pStyle w:val="1"/>
      </w:pPr>
      <w:r w:rsidRPr="001A3D2B">
        <w:br w:type="page"/>
      </w:r>
      <w:bookmarkStart w:id="607" w:name="_Toc420814595"/>
      <w:r w:rsidRPr="001A3D2B">
        <w:lastRenderedPageBreak/>
        <w:t xml:space="preserve">Title: </w:t>
      </w:r>
      <w:r w:rsidRPr="00834CD8">
        <w:t>Archives</w:t>
      </w:r>
      <w:r w:rsidR="00427468">
        <w:t xml:space="preserve"> of </w:t>
      </w:r>
      <w:r w:rsidRPr="00834CD8">
        <w:t>Womens Mental Health</w:t>
      </w:r>
      <w:bookmarkEnd w:id="607"/>
    </w:p>
    <w:p w:rsidR="00834CD8" w:rsidRPr="00F219CA" w:rsidRDefault="00834CD8" w:rsidP="00834CD8">
      <w:pPr>
        <w:pStyle w:val="12"/>
      </w:pPr>
      <w:r w:rsidRPr="00F219CA">
        <w:t xml:space="preserve">Full Journal Title: </w:t>
      </w:r>
      <w:r w:rsidRPr="00834CD8">
        <w:rPr>
          <w:iCs/>
          <w:kern w:val="0"/>
        </w:rPr>
        <w:t>Archives</w:t>
      </w:r>
      <w:r w:rsidR="00427468">
        <w:rPr>
          <w:iCs/>
          <w:kern w:val="0"/>
        </w:rPr>
        <w:t xml:space="preserve"> of </w:t>
      </w:r>
      <w:r w:rsidRPr="00834CD8">
        <w:rPr>
          <w:iCs/>
          <w:kern w:val="0"/>
        </w:rPr>
        <w:t>Womens Mental Health</w:t>
      </w:r>
    </w:p>
    <w:p w:rsidR="00834CD8" w:rsidRPr="001A3D2B" w:rsidRDefault="00834CD8" w:rsidP="00834CD8">
      <w:pPr>
        <w:pStyle w:val="12"/>
      </w:pPr>
      <w:r w:rsidRPr="001A3D2B">
        <w:t xml:space="preserve">ISO Abbreviated Title: </w:t>
      </w:r>
    </w:p>
    <w:p w:rsidR="00834CD8" w:rsidRPr="001A3D2B" w:rsidRDefault="00834CD8" w:rsidP="00834CD8">
      <w:pPr>
        <w:pStyle w:val="12"/>
      </w:pPr>
      <w:r w:rsidRPr="001A3D2B">
        <w:t xml:space="preserve">JCR Abbreviated Title: </w:t>
      </w:r>
    </w:p>
    <w:p w:rsidR="00834CD8" w:rsidRPr="001A3D2B" w:rsidRDefault="00834CD8" w:rsidP="00834CD8">
      <w:pPr>
        <w:pStyle w:val="12"/>
      </w:pPr>
      <w:r w:rsidRPr="001A3D2B">
        <w:t xml:space="preserve">ISSN: </w:t>
      </w:r>
    </w:p>
    <w:p w:rsidR="00834CD8" w:rsidRPr="001A3D2B" w:rsidRDefault="00834CD8" w:rsidP="00834CD8">
      <w:pPr>
        <w:pStyle w:val="12"/>
      </w:pPr>
      <w:r w:rsidRPr="001A3D2B">
        <w:t xml:space="preserve">Issues/Year: </w:t>
      </w:r>
    </w:p>
    <w:p w:rsidR="00834CD8" w:rsidRPr="001A3D2B" w:rsidRDefault="00834CD8" w:rsidP="00834CD8">
      <w:pPr>
        <w:pStyle w:val="12"/>
      </w:pPr>
      <w:r w:rsidRPr="001A3D2B">
        <w:t xml:space="preserve">Journal Country/Territory: </w:t>
      </w:r>
    </w:p>
    <w:p w:rsidR="00834CD8" w:rsidRPr="001A3D2B" w:rsidRDefault="00834CD8" w:rsidP="00834CD8">
      <w:pPr>
        <w:pStyle w:val="12"/>
      </w:pPr>
      <w:r w:rsidRPr="001A3D2B">
        <w:t xml:space="preserve">Language: </w:t>
      </w:r>
    </w:p>
    <w:p w:rsidR="00834CD8" w:rsidRPr="001A3D2B" w:rsidRDefault="00834CD8" w:rsidP="00834CD8">
      <w:pPr>
        <w:pStyle w:val="12"/>
      </w:pPr>
      <w:r w:rsidRPr="001A3D2B">
        <w:t xml:space="preserve">Publisher: </w:t>
      </w:r>
    </w:p>
    <w:p w:rsidR="00834CD8" w:rsidRPr="001A3D2B" w:rsidRDefault="00834CD8" w:rsidP="00834CD8">
      <w:pPr>
        <w:pStyle w:val="12"/>
      </w:pPr>
      <w:r w:rsidRPr="001A3D2B">
        <w:t xml:space="preserve">Publisher Address: </w:t>
      </w:r>
    </w:p>
    <w:p w:rsidR="00834CD8" w:rsidRPr="001A3D2B" w:rsidRDefault="00834CD8" w:rsidP="00834CD8">
      <w:pPr>
        <w:pStyle w:val="12"/>
      </w:pPr>
      <w:r w:rsidRPr="001A3D2B">
        <w:t>Subject Categories:</w:t>
      </w:r>
    </w:p>
    <w:p w:rsidR="00834CD8" w:rsidRPr="001A3D2B" w:rsidRDefault="00834CD8" w:rsidP="00834CD8">
      <w:pPr>
        <w:pStyle w:val="12"/>
      </w:pPr>
      <w:r w:rsidRPr="001A3D2B">
        <w:t xml:space="preserve">: Impact Factor </w:t>
      </w:r>
    </w:p>
    <w:p w:rsidR="00834CD8" w:rsidRDefault="00834CD8" w:rsidP="00834CD8">
      <w:pPr>
        <w:pStyle w:val="a3"/>
        <w:rPr>
          <w:kern w:val="0"/>
        </w:rPr>
      </w:pPr>
      <w:r>
        <w:rPr>
          <w:rFonts w:hint="eastAsia"/>
          <w:kern w:val="0"/>
        </w:rPr>
        <w:t xml:space="preserve">? </w:t>
      </w:r>
      <w:r>
        <w:rPr>
          <w:kern w:val="0"/>
        </w:rPr>
        <w:t>Eberhard-Gran, M., Garthus-Niegel, S., Garthus-Niegel, K.</w:t>
      </w:r>
      <w:r w:rsidR="005853A9">
        <w:rPr>
          <w:kern w:val="0"/>
        </w:rPr>
        <w:t xml:space="preserve"> and </w:t>
      </w:r>
      <w:r>
        <w:rPr>
          <w:kern w:val="0"/>
        </w:rPr>
        <w:t>Eskild, A. (2010), Postnatal care: A cross-cultural</w:t>
      </w:r>
      <w:r w:rsidR="005853A9">
        <w:rPr>
          <w:kern w:val="0"/>
        </w:rPr>
        <w:t xml:space="preserve"> and </w:t>
      </w:r>
      <w:r>
        <w:rPr>
          <w:kern w:val="0"/>
        </w:rPr>
        <w:t xml:space="preserve">historical perspective. </w:t>
      </w:r>
      <w:r w:rsidRPr="00834CD8">
        <w:rPr>
          <w:i/>
          <w:iCs/>
          <w:kern w:val="0"/>
        </w:rPr>
        <w:t>Archives</w:t>
      </w:r>
      <w:r w:rsidR="00427468">
        <w:rPr>
          <w:i/>
          <w:iCs/>
          <w:kern w:val="0"/>
        </w:rPr>
        <w:t xml:space="preserve"> of </w:t>
      </w:r>
      <w:r w:rsidRPr="00834CD8">
        <w:rPr>
          <w:i/>
          <w:iCs/>
          <w:kern w:val="0"/>
        </w:rPr>
        <w:t>Womens Mental Health</w:t>
      </w:r>
      <w:r>
        <w:rPr>
          <w:kern w:val="0"/>
        </w:rPr>
        <w:t xml:space="preserve">, </w:t>
      </w:r>
      <w:r>
        <w:rPr>
          <w:b/>
          <w:bCs/>
          <w:kern w:val="0"/>
        </w:rPr>
        <w:t>13</w:t>
      </w:r>
      <w:r>
        <w:rPr>
          <w:kern w:val="0"/>
        </w:rPr>
        <w:t xml:space="preserve"> (6), 459-466.</w:t>
      </w:r>
    </w:p>
    <w:p w:rsidR="00834CD8" w:rsidRPr="00F219CA" w:rsidRDefault="00834CD8" w:rsidP="00834CD8">
      <w:pPr>
        <w:pStyle w:val="a3"/>
      </w:pPr>
      <w:r w:rsidRPr="00F219CA">
        <w:t xml:space="preserve">Full Text: </w:t>
      </w:r>
      <w:hyperlink r:id="rId1190" w:history="1">
        <w:r w:rsidRPr="003318DF">
          <w:rPr>
            <w:rStyle w:val="a5"/>
          </w:rPr>
          <w:t>2010\Arc Wom Men Hea13, 459.pdf</w:t>
        </w:r>
      </w:hyperlink>
    </w:p>
    <w:p w:rsidR="00834CD8" w:rsidRDefault="00834CD8" w:rsidP="00834CD8">
      <w:pPr>
        <w:pStyle w:val="a3"/>
        <w:rPr>
          <w:kern w:val="0"/>
        </w:rPr>
      </w:pPr>
      <w:r>
        <w:rPr>
          <w:kern w:val="0"/>
        </w:rPr>
        <w:t>Abstract: Childbirth</w:t>
      </w:r>
      <w:r w:rsidR="005853A9">
        <w:rPr>
          <w:kern w:val="0"/>
        </w:rPr>
        <w:t xml:space="preserve"> and </w:t>
      </w:r>
      <w:r w:rsidR="003A1917">
        <w:rPr>
          <w:kern w:val="0"/>
        </w:rPr>
        <w:t xml:space="preserve">the </w:t>
      </w:r>
      <w:r>
        <w:rPr>
          <w:kern w:val="0"/>
        </w:rPr>
        <w:t>immediate postpartum period represent a major transition in a woman</w:t>
      </w:r>
      <w:r w:rsidR="00700038">
        <w:rPr>
          <w:kern w:val="0"/>
        </w:rPr>
        <w:t>’</w:t>
      </w:r>
      <w:r w:rsidR="00C13DDC">
        <w:rPr>
          <w:kern w:val="0"/>
        </w:rPr>
        <w:t>s</w:t>
      </w:r>
      <w:r>
        <w:rPr>
          <w:kern w:val="0"/>
        </w:rPr>
        <w:t xml:space="preserve"> life. This period is considered a vulnerable time for</w:t>
      </w:r>
      <w:r w:rsidR="003A1917">
        <w:rPr>
          <w:kern w:val="0"/>
        </w:rPr>
        <w:t xml:space="preserve"> the </w:t>
      </w:r>
      <w:r>
        <w:rPr>
          <w:kern w:val="0"/>
        </w:rPr>
        <w:t>mother</w:t>
      </w:r>
      <w:r w:rsidR="005853A9">
        <w:rPr>
          <w:kern w:val="0"/>
        </w:rPr>
        <w:t xml:space="preserve"> and </w:t>
      </w:r>
      <w:r>
        <w:rPr>
          <w:kern w:val="0"/>
        </w:rPr>
        <w:t>child in most societies,</w:t>
      </w:r>
      <w:r w:rsidR="005853A9">
        <w:rPr>
          <w:kern w:val="0"/>
        </w:rPr>
        <w:t xml:space="preserve"> and </w:t>
      </w:r>
      <w:r>
        <w:rPr>
          <w:kern w:val="0"/>
        </w:rPr>
        <w:t>rituals for this transition are common. In this study, we present some examples</w:t>
      </w:r>
      <w:r w:rsidR="00427468">
        <w:rPr>
          <w:kern w:val="0"/>
        </w:rPr>
        <w:t xml:space="preserve"> of </w:t>
      </w:r>
      <w:r>
        <w:rPr>
          <w:kern w:val="0"/>
        </w:rPr>
        <w:t>postpartum customs in a cross-cultural</w:t>
      </w:r>
      <w:r w:rsidR="005853A9">
        <w:rPr>
          <w:kern w:val="0"/>
        </w:rPr>
        <w:t xml:space="preserve"> and </w:t>
      </w:r>
      <w:r>
        <w:rPr>
          <w:kern w:val="0"/>
        </w:rPr>
        <w:t>historical perspective. Also, we present</w:t>
      </w:r>
      <w:r w:rsidR="003A1917">
        <w:rPr>
          <w:kern w:val="0"/>
        </w:rPr>
        <w:t xml:space="preserve"> the </w:t>
      </w:r>
      <w:r>
        <w:rPr>
          <w:kern w:val="0"/>
        </w:rPr>
        <w:t>current knowledge on</w:t>
      </w:r>
      <w:r w:rsidR="003A1917">
        <w:rPr>
          <w:kern w:val="0"/>
        </w:rPr>
        <w:t xml:space="preserve"> the </w:t>
      </w:r>
      <w:r>
        <w:rPr>
          <w:kern w:val="0"/>
        </w:rPr>
        <w:t>possible impact</w:t>
      </w:r>
      <w:r w:rsidR="00427468">
        <w:rPr>
          <w:kern w:val="0"/>
        </w:rPr>
        <w:t xml:space="preserve"> of </w:t>
      </w:r>
      <w:r>
        <w:rPr>
          <w:kern w:val="0"/>
        </w:rPr>
        <w:t xml:space="preserve">postnatal care on mental health. Systematic literature searches were performed in </w:t>
      </w:r>
      <w:r w:rsidR="00D5664A">
        <w:rPr>
          <w:kern w:val="0"/>
        </w:rPr>
        <w:t>MEDLINE</w:t>
      </w:r>
      <w:r>
        <w:rPr>
          <w:kern w:val="0"/>
        </w:rPr>
        <w:t>, PsycINFO,</w:t>
      </w:r>
      <w:r w:rsidR="005853A9">
        <w:rPr>
          <w:kern w:val="0"/>
        </w:rPr>
        <w:t xml:space="preserve"> and </w:t>
      </w:r>
      <w:r w:rsidR="003A1917">
        <w:rPr>
          <w:kern w:val="0"/>
        </w:rPr>
        <w:t xml:space="preserve">the </w:t>
      </w:r>
      <w:r>
        <w:rPr>
          <w:kern w:val="0"/>
        </w:rPr>
        <w:t>Science Citation Index Expanded (ISI) for</w:t>
      </w:r>
      <w:r w:rsidR="003A1917">
        <w:rPr>
          <w:kern w:val="0"/>
        </w:rPr>
        <w:t xml:space="preserve"> the </w:t>
      </w:r>
      <w:r>
        <w:rPr>
          <w:kern w:val="0"/>
        </w:rPr>
        <w:t>time period 1966 through May 2010. Reference lists in books on pregnancy</w:t>
      </w:r>
      <w:r w:rsidR="005853A9">
        <w:rPr>
          <w:kern w:val="0"/>
        </w:rPr>
        <w:t xml:space="preserve"> and </w:t>
      </w:r>
      <w:r>
        <w:rPr>
          <w:kern w:val="0"/>
        </w:rPr>
        <w:t>childbirth from</w:t>
      </w:r>
      <w:r w:rsidR="003A1917">
        <w:rPr>
          <w:kern w:val="0"/>
        </w:rPr>
        <w:t xml:space="preserve"> the </w:t>
      </w:r>
      <w:r>
        <w:rPr>
          <w:kern w:val="0"/>
        </w:rPr>
        <w:t>University Library in Oslo were used to obtain additional information. We found that</w:t>
      </w:r>
      <w:r w:rsidR="003A1917">
        <w:rPr>
          <w:kern w:val="0"/>
        </w:rPr>
        <w:t xml:space="preserve"> the </w:t>
      </w:r>
      <w:r>
        <w:rPr>
          <w:kern w:val="0"/>
        </w:rPr>
        <w:t>postnatal period seems to be universally defined as 40 days. Most cultures have special postnatal customs, including special diet, isolation, rest,</w:t>
      </w:r>
      <w:r w:rsidR="005853A9">
        <w:rPr>
          <w:kern w:val="0"/>
        </w:rPr>
        <w:t xml:space="preserve"> and </w:t>
      </w:r>
      <w:r>
        <w:rPr>
          <w:kern w:val="0"/>
        </w:rPr>
        <w:t>assistance for</w:t>
      </w:r>
      <w:r w:rsidR="003A1917">
        <w:rPr>
          <w:kern w:val="0"/>
        </w:rPr>
        <w:t xml:space="preserve"> the </w:t>
      </w:r>
      <w:r>
        <w:rPr>
          <w:kern w:val="0"/>
        </w:rPr>
        <w:t>mother</w:t>
      </w:r>
      <w:r w:rsidR="00A37C1D">
        <w:rPr>
          <w:kern w:val="0"/>
        </w:rPr>
        <w:t>. The</w:t>
      </w:r>
      <w:r w:rsidR="003A1917">
        <w:rPr>
          <w:kern w:val="0"/>
        </w:rPr>
        <w:t xml:space="preserve"> </w:t>
      </w:r>
      <w:r>
        <w:rPr>
          <w:kern w:val="0"/>
        </w:rPr>
        <w:t>uniformity</w:t>
      </w:r>
      <w:r w:rsidR="00427468">
        <w:rPr>
          <w:kern w:val="0"/>
        </w:rPr>
        <w:t xml:space="preserve"> of </w:t>
      </w:r>
      <w:r>
        <w:rPr>
          <w:kern w:val="0"/>
        </w:rPr>
        <w:t>customs across different cultures is striking. However, many postnatal customs that were common before 1950 are no longer existent</w:t>
      </w:r>
      <w:r w:rsidR="00A37C1D">
        <w:rPr>
          <w:kern w:val="0"/>
        </w:rPr>
        <w:t>. The</w:t>
      </w:r>
      <w:r w:rsidR="003A1917">
        <w:rPr>
          <w:kern w:val="0"/>
        </w:rPr>
        <w:t xml:space="preserve"> </w:t>
      </w:r>
      <w:r>
        <w:rPr>
          <w:kern w:val="0"/>
        </w:rPr>
        <w:t>focus on rest</w:t>
      </w:r>
      <w:r w:rsidR="005853A9">
        <w:rPr>
          <w:kern w:val="0"/>
        </w:rPr>
        <w:t xml:space="preserve"> and </w:t>
      </w:r>
      <w:r>
        <w:rPr>
          <w:kern w:val="0"/>
        </w:rPr>
        <w:t>assistance for</w:t>
      </w:r>
      <w:r w:rsidR="003A1917">
        <w:rPr>
          <w:kern w:val="0"/>
        </w:rPr>
        <w:t xml:space="preserve"> the </w:t>
      </w:r>
      <w:r>
        <w:rPr>
          <w:kern w:val="0"/>
        </w:rPr>
        <w:t>mother after delivery has gradually decreased. Studies</w:t>
      </w:r>
      <w:r w:rsidR="00427468">
        <w:rPr>
          <w:kern w:val="0"/>
        </w:rPr>
        <w:t xml:space="preserve"> of </w:t>
      </w:r>
      <w:r>
        <w:rPr>
          <w:kern w:val="0"/>
        </w:rPr>
        <w:t>associations</w:t>
      </w:r>
      <w:r w:rsidR="00427468">
        <w:rPr>
          <w:kern w:val="0"/>
        </w:rPr>
        <w:t xml:space="preserve"> of </w:t>
      </w:r>
      <w:r>
        <w:rPr>
          <w:kern w:val="0"/>
        </w:rPr>
        <w:t>postnatal care</w:t>
      </w:r>
      <w:r w:rsidR="005853A9">
        <w:rPr>
          <w:kern w:val="0"/>
        </w:rPr>
        <w:t xml:space="preserve"> and </w:t>
      </w:r>
      <w:r>
        <w:rPr>
          <w:kern w:val="0"/>
        </w:rPr>
        <w:t>mental health in</w:t>
      </w:r>
      <w:r w:rsidR="003A1917">
        <w:rPr>
          <w:kern w:val="0"/>
        </w:rPr>
        <w:t xml:space="preserve"> the </w:t>
      </w:r>
      <w:r>
        <w:rPr>
          <w:kern w:val="0"/>
        </w:rPr>
        <w:t>mother are limited</w:t>
      </w:r>
      <w:r w:rsidR="005853A9">
        <w:rPr>
          <w:kern w:val="0"/>
        </w:rPr>
        <w:t xml:space="preserve"> and </w:t>
      </w:r>
      <w:r>
        <w:rPr>
          <w:kern w:val="0"/>
        </w:rPr>
        <w:t>show inconsistent results. More knowledge is needed on postnatal care</w:t>
      </w:r>
      <w:r w:rsidR="005853A9">
        <w:rPr>
          <w:kern w:val="0"/>
        </w:rPr>
        <w:t xml:space="preserve"> and </w:t>
      </w:r>
      <w:r>
        <w:rPr>
          <w:kern w:val="0"/>
        </w:rPr>
        <w:t>mental health.</w:t>
      </w:r>
    </w:p>
    <w:p w:rsidR="00834CD8" w:rsidRDefault="00834CD8" w:rsidP="00834CD8">
      <w:pPr>
        <w:pStyle w:val="a3"/>
        <w:rPr>
          <w:kern w:val="0"/>
        </w:rPr>
      </w:pPr>
      <w:r>
        <w:rPr>
          <w:kern w:val="0"/>
        </w:rPr>
        <w:t>Keywords: Birth, Childbirth, Citation, Cross-Cultural Customs, Diet, Historical Perspectives, Illness, Impact</w:t>
      </w:r>
      <w:r w:rsidR="00D5664A">
        <w:rPr>
          <w:kern w:val="0"/>
        </w:rPr>
        <w:t>, ISI,</w:t>
      </w:r>
      <w:r>
        <w:rPr>
          <w:kern w:val="0"/>
        </w:rPr>
        <w:t xml:space="preserve"> Japanese Mothers, Life Events, Literature, </w:t>
      </w:r>
      <w:r w:rsidR="00D5664A">
        <w:rPr>
          <w:kern w:val="0"/>
        </w:rPr>
        <w:t>MEDLINE</w:t>
      </w:r>
      <w:r>
        <w:rPr>
          <w:kern w:val="0"/>
        </w:rPr>
        <w:t xml:space="preserve">, Mental Health, Postnatal Care, Postpartum Depression, Pregnancy, Review, Risk-Factors, Science, Science Citation Index, Science Citation Index </w:t>
      </w:r>
      <w:r>
        <w:rPr>
          <w:kern w:val="0"/>
        </w:rPr>
        <w:lastRenderedPageBreak/>
        <w:t>Expanded, Social Support, Women</w:t>
      </w:r>
    </w:p>
    <w:p w:rsidR="00D12710" w:rsidRPr="001A3D2B" w:rsidRDefault="00D12710" w:rsidP="00D12710">
      <w:pPr>
        <w:pStyle w:val="1"/>
      </w:pPr>
      <w:r w:rsidRPr="001A3D2B">
        <w:br w:type="page"/>
      </w:r>
      <w:bookmarkStart w:id="608" w:name="_Toc420814596"/>
      <w:r w:rsidRPr="001A3D2B">
        <w:lastRenderedPageBreak/>
        <w:t xml:space="preserve">Title: </w:t>
      </w:r>
      <w:r w:rsidRPr="00D12710">
        <w:rPr>
          <w:iCs w:val="0"/>
          <w:szCs w:val="24"/>
        </w:rPr>
        <w:t>Archivos Argentinos de Pediatria</w:t>
      </w:r>
      <w:bookmarkEnd w:id="608"/>
    </w:p>
    <w:p w:rsidR="00D12710" w:rsidRPr="00F219CA" w:rsidRDefault="00D12710" w:rsidP="00D12710">
      <w:pPr>
        <w:pStyle w:val="12"/>
      </w:pPr>
      <w:r w:rsidRPr="00F219CA">
        <w:t xml:space="preserve">Full Journal Title: </w:t>
      </w:r>
      <w:r w:rsidRPr="003E2645">
        <w:rPr>
          <w:iCs/>
          <w:kern w:val="0"/>
        </w:rPr>
        <w:t>Archivos Argentinos de Pediatria</w:t>
      </w:r>
    </w:p>
    <w:p w:rsidR="00D12710" w:rsidRPr="001A3D2B" w:rsidRDefault="00D12710" w:rsidP="00D12710">
      <w:pPr>
        <w:pStyle w:val="12"/>
      </w:pPr>
      <w:r w:rsidRPr="001A3D2B">
        <w:t xml:space="preserve">ISO Abbreviated Title: </w:t>
      </w:r>
    </w:p>
    <w:p w:rsidR="00D12710" w:rsidRPr="001A3D2B" w:rsidRDefault="00D12710" w:rsidP="00D12710">
      <w:pPr>
        <w:pStyle w:val="12"/>
      </w:pPr>
      <w:r w:rsidRPr="001A3D2B">
        <w:t xml:space="preserve">JCR Abbreviated Title: </w:t>
      </w:r>
    </w:p>
    <w:p w:rsidR="00D12710" w:rsidRPr="001A3D2B" w:rsidRDefault="00D12710" w:rsidP="00D12710">
      <w:pPr>
        <w:pStyle w:val="12"/>
      </w:pPr>
      <w:r w:rsidRPr="001A3D2B">
        <w:t xml:space="preserve">ISSN: </w:t>
      </w:r>
    </w:p>
    <w:p w:rsidR="00D12710" w:rsidRPr="001A3D2B" w:rsidRDefault="00D12710" w:rsidP="00D12710">
      <w:pPr>
        <w:pStyle w:val="12"/>
      </w:pPr>
      <w:r w:rsidRPr="001A3D2B">
        <w:t xml:space="preserve">Issues/Year: </w:t>
      </w:r>
    </w:p>
    <w:p w:rsidR="00D12710" w:rsidRPr="001A3D2B" w:rsidRDefault="00D12710" w:rsidP="00D12710">
      <w:pPr>
        <w:pStyle w:val="12"/>
      </w:pPr>
      <w:r w:rsidRPr="001A3D2B">
        <w:t xml:space="preserve">Journal Country/Territory: </w:t>
      </w:r>
    </w:p>
    <w:p w:rsidR="00D12710" w:rsidRPr="001A3D2B" w:rsidRDefault="00D12710" w:rsidP="00D12710">
      <w:pPr>
        <w:pStyle w:val="12"/>
      </w:pPr>
      <w:r w:rsidRPr="001A3D2B">
        <w:t xml:space="preserve">Language: </w:t>
      </w:r>
    </w:p>
    <w:p w:rsidR="00D12710" w:rsidRPr="001A3D2B" w:rsidRDefault="00D12710" w:rsidP="00D12710">
      <w:pPr>
        <w:pStyle w:val="12"/>
      </w:pPr>
      <w:r w:rsidRPr="001A3D2B">
        <w:t xml:space="preserve">Publisher: </w:t>
      </w:r>
    </w:p>
    <w:p w:rsidR="00D12710" w:rsidRPr="001A3D2B" w:rsidRDefault="00D12710" w:rsidP="00D12710">
      <w:pPr>
        <w:pStyle w:val="12"/>
      </w:pPr>
      <w:r w:rsidRPr="001A3D2B">
        <w:t xml:space="preserve">Publisher Address: </w:t>
      </w:r>
    </w:p>
    <w:p w:rsidR="00D12710" w:rsidRPr="001A3D2B" w:rsidRDefault="00D12710" w:rsidP="00D12710">
      <w:pPr>
        <w:pStyle w:val="12"/>
      </w:pPr>
      <w:r w:rsidRPr="001A3D2B">
        <w:t>Subject Categories:</w:t>
      </w:r>
    </w:p>
    <w:p w:rsidR="00D12710" w:rsidRPr="001A3D2B" w:rsidRDefault="00D12710" w:rsidP="00D12710">
      <w:pPr>
        <w:pStyle w:val="12"/>
      </w:pPr>
      <w:r w:rsidRPr="001A3D2B">
        <w:t xml:space="preserve">: Impact Factor </w:t>
      </w:r>
    </w:p>
    <w:p w:rsidR="00D12710" w:rsidRDefault="00D12710" w:rsidP="00D12710">
      <w:pPr>
        <w:pStyle w:val="a3"/>
        <w:rPr>
          <w:kern w:val="0"/>
          <w:szCs w:val="24"/>
        </w:rPr>
      </w:pPr>
      <w:r>
        <w:rPr>
          <w:rFonts w:hint="eastAsia"/>
          <w:kern w:val="0"/>
          <w:szCs w:val="24"/>
        </w:rPr>
        <w:t xml:space="preserve">? </w:t>
      </w:r>
      <w:r>
        <w:rPr>
          <w:kern w:val="0"/>
          <w:szCs w:val="24"/>
        </w:rPr>
        <w:t>Ossorio, M.F.</w:t>
      </w:r>
      <w:r w:rsidR="005853A9">
        <w:rPr>
          <w:kern w:val="0"/>
          <w:szCs w:val="24"/>
        </w:rPr>
        <w:t xml:space="preserve"> and </w:t>
      </w:r>
      <w:r>
        <w:rPr>
          <w:kern w:val="0"/>
          <w:szCs w:val="24"/>
        </w:rPr>
        <w:t xml:space="preserve">Ferrero, F. (2010), Plagiarism in scientific publications. </w:t>
      </w:r>
      <w:r w:rsidRPr="00D12710">
        <w:rPr>
          <w:i/>
          <w:iCs/>
          <w:kern w:val="0"/>
          <w:szCs w:val="24"/>
        </w:rPr>
        <w:t>Archivos Argentinos de Pediatria</w:t>
      </w:r>
      <w:r>
        <w:rPr>
          <w:kern w:val="0"/>
          <w:szCs w:val="24"/>
        </w:rPr>
        <w:t xml:space="preserve">, </w:t>
      </w:r>
      <w:r>
        <w:rPr>
          <w:b/>
          <w:bCs/>
          <w:kern w:val="0"/>
          <w:szCs w:val="24"/>
        </w:rPr>
        <w:t>108</w:t>
      </w:r>
      <w:r>
        <w:rPr>
          <w:kern w:val="0"/>
          <w:szCs w:val="24"/>
        </w:rPr>
        <w:t xml:space="preserve"> (2), 103-104</w:t>
      </w:r>
      <w:r>
        <w:rPr>
          <w:rFonts w:hint="eastAsia"/>
          <w:kern w:val="0"/>
          <w:szCs w:val="24"/>
        </w:rPr>
        <w:t>.</w:t>
      </w:r>
    </w:p>
    <w:p w:rsidR="00E36351" w:rsidRDefault="00E36351" w:rsidP="00D12710">
      <w:pPr>
        <w:pStyle w:val="a3"/>
        <w:rPr>
          <w:kern w:val="0"/>
          <w:szCs w:val="24"/>
        </w:rPr>
      </w:pPr>
      <w:r>
        <w:rPr>
          <w:rFonts w:hint="eastAsia"/>
          <w:kern w:val="0"/>
          <w:szCs w:val="24"/>
        </w:rPr>
        <w:t>Full Text: 2010\</w:t>
      </w:r>
      <w:r>
        <w:rPr>
          <w:iCs/>
          <w:kern w:val="0"/>
          <w:szCs w:val="24"/>
        </w:rPr>
        <w:t>Arc Arg Ped</w:t>
      </w:r>
      <w:r w:rsidRPr="00E36351">
        <w:rPr>
          <w:bCs/>
          <w:kern w:val="0"/>
          <w:szCs w:val="24"/>
        </w:rPr>
        <w:t>108</w:t>
      </w:r>
      <w:r>
        <w:rPr>
          <w:kern w:val="0"/>
          <w:szCs w:val="24"/>
        </w:rPr>
        <w:t>, 103</w:t>
      </w:r>
      <w:r>
        <w:rPr>
          <w:rFonts w:hint="eastAsia"/>
          <w:kern w:val="0"/>
          <w:szCs w:val="24"/>
        </w:rPr>
        <w:t>.pdf</w:t>
      </w:r>
    </w:p>
    <w:p w:rsidR="00D12710" w:rsidRDefault="00D12710" w:rsidP="00D12710">
      <w:pPr>
        <w:pStyle w:val="a3"/>
        <w:rPr>
          <w:kern w:val="0"/>
          <w:szCs w:val="24"/>
        </w:rPr>
      </w:pPr>
      <w:r>
        <w:rPr>
          <w:kern w:val="0"/>
          <w:szCs w:val="24"/>
        </w:rPr>
        <w:t>Keywords: Plagiarism, Publications, Scientific Publications</w:t>
      </w:r>
    </w:p>
    <w:p w:rsidR="00896D6E" w:rsidRPr="001A3D2B" w:rsidRDefault="00896D6E" w:rsidP="00896D6E">
      <w:pPr>
        <w:pStyle w:val="1"/>
      </w:pPr>
      <w:r w:rsidRPr="001A3D2B">
        <w:br w:type="page"/>
      </w:r>
      <w:bookmarkStart w:id="609" w:name="_Toc420814597"/>
      <w:r w:rsidRPr="001A3D2B">
        <w:lastRenderedPageBreak/>
        <w:t xml:space="preserve">Title: </w:t>
      </w:r>
      <w:r w:rsidRPr="00896D6E">
        <w:t>Archivos de Biologia y Medicina Experimentales</w:t>
      </w:r>
      <w:bookmarkEnd w:id="609"/>
    </w:p>
    <w:p w:rsidR="00896D6E" w:rsidRPr="00F219CA" w:rsidRDefault="00896D6E" w:rsidP="00896D6E">
      <w:pPr>
        <w:pStyle w:val="12"/>
      </w:pPr>
      <w:r w:rsidRPr="00F219CA">
        <w:t xml:space="preserve">Full Journal Title: </w:t>
      </w:r>
      <w:r w:rsidRPr="00896D6E">
        <w:rPr>
          <w:iCs/>
          <w:kern w:val="0"/>
        </w:rPr>
        <w:t>Archivos de Biologia y Medicina Experimentales</w:t>
      </w:r>
    </w:p>
    <w:p w:rsidR="00896D6E" w:rsidRPr="001A3D2B" w:rsidRDefault="00896D6E" w:rsidP="00896D6E">
      <w:pPr>
        <w:pStyle w:val="12"/>
      </w:pPr>
      <w:r w:rsidRPr="001A3D2B">
        <w:t xml:space="preserve">ISO Abbreviated Title: </w:t>
      </w:r>
    </w:p>
    <w:p w:rsidR="00896D6E" w:rsidRPr="001A3D2B" w:rsidRDefault="00896D6E" w:rsidP="00896D6E">
      <w:pPr>
        <w:pStyle w:val="12"/>
      </w:pPr>
      <w:r w:rsidRPr="001A3D2B">
        <w:t xml:space="preserve">JCR Abbreviated Title: </w:t>
      </w:r>
    </w:p>
    <w:p w:rsidR="00896D6E" w:rsidRPr="001A3D2B" w:rsidRDefault="00896D6E" w:rsidP="00896D6E">
      <w:pPr>
        <w:pStyle w:val="12"/>
      </w:pPr>
      <w:r w:rsidRPr="001A3D2B">
        <w:t xml:space="preserve">ISSN: </w:t>
      </w:r>
    </w:p>
    <w:p w:rsidR="00896D6E" w:rsidRPr="001A3D2B" w:rsidRDefault="00896D6E" w:rsidP="00896D6E">
      <w:pPr>
        <w:pStyle w:val="12"/>
      </w:pPr>
      <w:r w:rsidRPr="001A3D2B">
        <w:t xml:space="preserve">Issues/Year: </w:t>
      </w:r>
    </w:p>
    <w:p w:rsidR="00896D6E" w:rsidRPr="001A3D2B" w:rsidRDefault="00896D6E" w:rsidP="00896D6E">
      <w:pPr>
        <w:pStyle w:val="12"/>
      </w:pPr>
      <w:r w:rsidRPr="001A3D2B">
        <w:t xml:space="preserve">Journal Country/Territory: </w:t>
      </w:r>
    </w:p>
    <w:p w:rsidR="00896D6E" w:rsidRPr="001A3D2B" w:rsidRDefault="00896D6E" w:rsidP="00896D6E">
      <w:pPr>
        <w:pStyle w:val="12"/>
      </w:pPr>
      <w:r w:rsidRPr="001A3D2B">
        <w:t xml:space="preserve">Language: </w:t>
      </w:r>
    </w:p>
    <w:p w:rsidR="00896D6E" w:rsidRPr="001A3D2B" w:rsidRDefault="00896D6E" w:rsidP="00896D6E">
      <w:pPr>
        <w:pStyle w:val="12"/>
      </w:pPr>
      <w:r w:rsidRPr="001A3D2B">
        <w:t xml:space="preserve">Publisher: </w:t>
      </w:r>
    </w:p>
    <w:p w:rsidR="00896D6E" w:rsidRPr="001A3D2B" w:rsidRDefault="00896D6E" w:rsidP="00896D6E">
      <w:pPr>
        <w:pStyle w:val="12"/>
      </w:pPr>
      <w:r w:rsidRPr="001A3D2B">
        <w:t xml:space="preserve">Publisher Address: </w:t>
      </w:r>
    </w:p>
    <w:p w:rsidR="00896D6E" w:rsidRPr="001A3D2B" w:rsidRDefault="00896D6E" w:rsidP="00896D6E">
      <w:pPr>
        <w:pStyle w:val="12"/>
      </w:pPr>
      <w:r w:rsidRPr="001A3D2B">
        <w:t>Subject Categories:</w:t>
      </w:r>
    </w:p>
    <w:p w:rsidR="00896D6E" w:rsidRPr="001A3D2B" w:rsidRDefault="00896D6E" w:rsidP="00896D6E">
      <w:pPr>
        <w:pStyle w:val="12"/>
      </w:pPr>
      <w:r w:rsidRPr="001A3D2B">
        <w:t xml:space="preserve">: Impact Factor </w:t>
      </w:r>
    </w:p>
    <w:p w:rsidR="00896D6E" w:rsidRDefault="00896D6E" w:rsidP="00896D6E">
      <w:pPr>
        <w:pStyle w:val="a3"/>
        <w:rPr>
          <w:kern w:val="0"/>
        </w:rPr>
      </w:pPr>
      <w:r>
        <w:rPr>
          <w:rFonts w:hint="eastAsia"/>
          <w:kern w:val="0"/>
        </w:rPr>
        <w:t xml:space="preserve">? </w:t>
      </w:r>
      <w:r>
        <w:rPr>
          <w:kern w:val="0"/>
        </w:rPr>
        <w:t>Krauskopf, M.</w:t>
      </w:r>
      <w:r w:rsidR="005853A9">
        <w:rPr>
          <w:kern w:val="0"/>
        </w:rPr>
        <w:t xml:space="preserve"> and </w:t>
      </w:r>
      <w:r>
        <w:rPr>
          <w:kern w:val="0"/>
        </w:rPr>
        <w:t>Prat, A.M. (1990), A vision</w:t>
      </w:r>
      <w:r w:rsidR="00427468">
        <w:rPr>
          <w:kern w:val="0"/>
        </w:rPr>
        <w:t xml:space="preserve"> of </w:t>
      </w:r>
      <w:r>
        <w:rPr>
          <w:kern w:val="0"/>
        </w:rPr>
        <w:t xml:space="preserve">research in Chile through some scientometric indicators. </w:t>
      </w:r>
      <w:r w:rsidRPr="00896D6E">
        <w:rPr>
          <w:i/>
          <w:iCs/>
          <w:kern w:val="0"/>
        </w:rPr>
        <w:t>Archivos de Biologia y Medicina Experimentales</w:t>
      </w:r>
      <w:r>
        <w:rPr>
          <w:kern w:val="0"/>
        </w:rPr>
        <w:t xml:space="preserve">, </w:t>
      </w:r>
      <w:r>
        <w:rPr>
          <w:b/>
          <w:bCs/>
          <w:kern w:val="0"/>
        </w:rPr>
        <w:t>23</w:t>
      </w:r>
      <w:r>
        <w:rPr>
          <w:kern w:val="0"/>
        </w:rPr>
        <w:t xml:space="preserve"> (2), 51-64</w:t>
      </w:r>
    </w:p>
    <w:p w:rsidR="00896D6E" w:rsidRPr="00F219CA" w:rsidRDefault="00896D6E" w:rsidP="00896D6E">
      <w:pPr>
        <w:pStyle w:val="a3"/>
      </w:pPr>
      <w:r w:rsidRPr="00F219CA">
        <w:t xml:space="preserve">Full Text: </w:t>
      </w:r>
      <w:r w:rsidR="00CA4EED">
        <w:rPr>
          <w:rFonts w:hint="eastAsia"/>
        </w:rPr>
        <w:t>1990\</w:t>
      </w:r>
      <w:r w:rsidRPr="00F219CA">
        <w:rPr>
          <w:iCs/>
        </w:rPr>
        <w:t>Arc B</w:t>
      </w:r>
      <w:r>
        <w:rPr>
          <w:rFonts w:hint="eastAsia"/>
          <w:iCs/>
        </w:rPr>
        <w:t>io Med Exp23</w:t>
      </w:r>
      <w:r w:rsidRPr="00F219CA">
        <w:t xml:space="preserve">, </w:t>
      </w:r>
      <w:r>
        <w:rPr>
          <w:rFonts w:hint="eastAsia"/>
        </w:rPr>
        <w:t>51.pdf</w:t>
      </w:r>
    </w:p>
    <w:p w:rsidR="00896D6E" w:rsidRDefault="00896D6E" w:rsidP="00896D6E">
      <w:pPr>
        <w:pStyle w:val="a3"/>
        <w:rPr>
          <w:kern w:val="0"/>
        </w:rPr>
      </w:pPr>
      <w:r>
        <w:rPr>
          <w:kern w:val="0"/>
        </w:rPr>
        <w:t>Keywords: Indicators, Research, Scientometric</w:t>
      </w:r>
    </w:p>
    <w:p w:rsidR="003474F2" w:rsidRPr="001A3D2B" w:rsidRDefault="003474F2" w:rsidP="003474F2">
      <w:pPr>
        <w:pStyle w:val="1"/>
      </w:pPr>
      <w:r w:rsidRPr="001A3D2B">
        <w:br w:type="page"/>
      </w:r>
      <w:bookmarkStart w:id="610" w:name="_Toc420814598"/>
      <w:r w:rsidRPr="001A3D2B">
        <w:lastRenderedPageBreak/>
        <w:t xml:space="preserve">Title: </w:t>
      </w:r>
      <w:r w:rsidR="00C53E7B" w:rsidRPr="00C53E7B">
        <w:t>Archivos de Bronconeumología</w:t>
      </w:r>
      <w:bookmarkEnd w:id="610"/>
    </w:p>
    <w:p w:rsidR="005D3454" w:rsidRPr="00F219CA" w:rsidRDefault="005D3454" w:rsidP="005D3454">
      <w:pPr>
        <w:pStyle w:val="12"/>
      </w:pPr>
      <w:r w:rsidRPr="00F219CA">
        <w:t>Full Journ</w:t>
      </w:r>
      <w:bookmarkStart w:id="611" w:name="_Toc43634538"/>
      <w:bookmarkStart w:id="612" w:name="_Toc81215624"/>
      <w:r w:rsidRPr="00F219CA">
        <w:t xml:space="preserve">al Title: </w:t>
      </w:r>
      <w:r w:rsidR="00206C8A">
        <w:fldChar w:fldCharType="begin"/>
      </w:r>
      <w:r w:rsidR="00FD158B">
        <w:instrText>HYPERLINK "http://www.ar</w:instrText>
      </w:r>
      <w:bookmarkEnd w:id="611"/>
      <w:bookmarkEnd w:id="612"/>
      <w:r w:rsidR="00FD158B">
        <w:instrText>chbronconeumol.org/bronco_eng/ctl_servlet?_f=3"</w:instrText>
      </w:r>
      <w:r w:rsidR="00206C8A">
        <w:fldChar w:fldCharType="separate"/>
      </w:r>
      <w:r>
        <w:rPr>
          <w:rStyle w:val="a5"/>
        </w:rPr>
        <w:t>Archivos de Bronconeumolog</w:t>
      </w:r>
      <w:r>
        <w:rPr>
          <w:rStyle w:val="a5"/>
          <w:rFonts w:hint="eastAsia"/>
        </w:rPr>
        <w:t>i</w:t>
      </w:r>
      <w:r w:rsidRPr="00181536">
        <w:rPr>
          <w:rStyle w:val="a5"/>
        </w:rPr>
        <w:t>a</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0300-2896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Tordera, M.P. (2001), </w:t>
      </w:r>
      <w:r w:rsidR="00C53E7B" w:rsidRPr="00C53E7B">
        <w:rPr>
          <w:i/>
          <w:iCs/>
        </w:rPr>
        <w:t>Archivos de Bronconeumología</w:t>
      </w:r>
      <w:r w:rsidRPr="001A3D2B">
        <w:t xml:space="preserve"> now included in</w:t>
      </w:r>
      <w:r w:rsidR="003A1917">
        <w:t xml:space="preserve"> the </w:t>
      </w:r>
      <w:r w:rsidRPr="001A3D2B">
        <w:t xml:space="preserve">Science Citation Index. </w:t>
      </w:r>
      <w:r w:rsidR="00C53E7B" w:rsidRPr="00C53E7B">
        <w:rPr>
          <w:i/>
          <w:iCs/>
        </w:rPr>
        <w:t>Archivos de Bronconeumología</w:t>
      </w:r>
      <w:r w:rsidRPr="001A3D2B">
        <w:t xml:space="preserve">, </w:t>
      </w:r>
      <w:r w:rsidRPr="001A3D2B">
        <w:rPr>
          <w:b/>
          <w:bCs/>
        </w:rPr>
        <w:t>37</w:t>
      </w:r>
      <w:r w:rsidRPr="001A3D2B">
        <w:t xml:space="preserve"> (9), U11.</w:t>
      </w:r>
    </w:p>
    <w:p w:rsidR="00B60F7D" w:rsidRPr="00F219CA" w:rsidRDefault="00B60F7D" w:rsidP="00B60F7D">
      <w:pPr>
        <w:pStyle w:val="a3"/>
      </w:pPr>
      <w:r w:rsidRPr="00F219CA">
        <w:t xml:space="preserve">Full Text: </w:t>
      </w:r>
      <w:r w:rsidR="00D65871">
        <w:rPr>
          <w:rFonts w:hint="eastAsia"/>
        </w:rPr>
        <w:t>2001\</w:t>
      </w:r>
      <w:r w:rsidRPr="00F219CA">
        <w:rPr>
          <w:iCs/>
        </w:rPr>
        <w:t>Arc Bro</w:t>
      </w:r>
      <w:r w:rsidRPr="00F219CA">
        <w:t xml:space="preserve">37, </w:t>
      </w:r>
      <w:r>
        <w:rPr>
          <w:rFonts w:hint="eastAsia"/>
        </w:rPr>
        <w:t>U11.pdf</w:t>
      </w:r>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Notes: JJournal</w:t>
      </w:r>
    </w:p>
    <w:p w:rsidR="003474F2" w:rsidRPr="001A3D2B" w:rsidRDefault="003474F2" w:rsidP="003474F2">
      <w:pPr>
        <w:pStyle w:val="a3"/>
      </w:pPr>
      <w:r w:rsidRPr="001A3D2B">
        <w:t xml:space="preserve">García, F., Mayoralas, S., Dorgham, A., Granda, </w:t>
      </w:r>
      <w:smartTag w:uri="urn:schemas-microsoft-com:office:smarttags" w:element="place">
        <w:r w:rsidRPr="001A3D2B">
          <w:t>I.</w:t>
        </w:r>
      </w:smartTag>
      <w:r w:rsidRPr="001A3D2B">
        <w:t>, Perpiñá, M., Casan, P., Xaubet, A., Agustí, A.G.N.</w:t>
      </w:r>
      <w:r w:rsidR="005853A9">
        <w:t xml:space="preserve"> and </w:t>
      </w:r>
      <w:r w:rsidRPr="001A3D2B">
        <w:t>Álvarez-Sala, J.L. (2001), Analysis</w:t>
      </w:r>
      <w:r w:rsidR="00427468">
        <w:t xml:space="preserve"> of </w:t>
      </w:r>
      <w:r w:rsidR="003A1917">
        <w:t xml:space="preserve">the </w:t>
      </w:r>
      <w:r w:rsidRPr="001A3D2B">
        <w:t>impact</w:t>
      </w:r>
      <w:r w:rsidR="00427468">
        <w:t xml:space="preserve"> of </w:t>
      </w:r>
      <w:r w:rsidR="00C53E7B" w:rsidRPr="00C53E7B">
        <w:rPr>
          <w:i/>
          <w:iCs/>
        </w:rPr>
        <w:t>Archivos de Bronconeumología</w:t>
      </w:r>
      <w:r w:rsidRPr="001A3D2B">
        <w:t xml:space="preserve"> by Science Citation. </w:t>
      </w:r>
      <w:r w:rsidR="00C53E7B" w:rsidRPr="00C53E7B">
        <w:rPr>
          <w:i/>
          <w:iCs/>
        </w:rPr>
        <w:t>Archivos de Bronconeumología</w:t>
      </w:r>
      <w:r w:rsidRPr="001A3D2B">
        <w:t xml:space="preserve">, </w:t>
      </w:r>
      <w:r w:rsidRPr="001A3D2B">
        <w:rPr>
          <w:b/>
        </w:rPr>
        <w:t>37</w:t>
      </w:r>
      <w:r w:rsidRPr="001A3D2B">
        <w:t xml:space="preserve"> (11), 465-470.</w:t>
      </w:r>
    </w:p>
    <w:p w:rsidR="00C8194D" w:rsidRPr="001A3D2B" w:rsidRDefault="00C8194D" w:rsidP="00C8194D">
      <w:pPr>
        <w:pStyle w:val="a3"/>
      </w:pPr>
      <w:r w:rsidRPr="001A3D2B">
        <w:t xml:space="preserve">Full Text: </w:t>
      </w:r>
      <w:r>
        <w:rPr>
          <w:rFonts w:hint="eastAsia"/>
        </w:rPr>
        <w:t>2001\</w:t>
      </w:r>
      <w:r w:rsidRPr="001A3D2B">
        <w:rPr>
          <w:iCs/>
        </w:rPr>
        <w:t>Arc Bro</w:t>
      </w:r>
      <w:r w:rsidRPr="001A3D2B">
        <w:t>37, 465</w:t>
      </w:r>
      <w:r>
        <w:rPr>
          <w:rFonts w:hint="eastAsia"/>
        </w:rPr>
        <w:t>.pdf</w:t>
      </w:r>
    </w:p>
    <w:p w:rsidR="003474F2" w:rsidRPr="001A3D2B" w:rsidRDefault="003474F2" w:rsidP="003474F2">
      <w:pPr>
        <w:pStyle w:val="a3"/>
      </w:pPr>
      <w:r w:rsidRPr="001A3D2B">
        <w:t>Abstract: Objective: To describe</w:t>
      </w:r>
      <w:r w:rsidR="003A1917">
        <w:t xml:space="preserve"> the </w:t>
      </w:r>
      <w:r w:rsidRPr="001A3D2B">
        <w:t>impact factor</w:t>
      </w:r>
      <w:r w:rsidR="00427468">
        <w:t xml:space="preserve"> of </w:t>
      </w:r>
      <w:r w:rsidR="00D53296" w:rsidRPr="00D53296">
        <w:rPr>
          <w:i/>
        </w:rPr>
        <w:t>Archivos de Bronconeumología</w:t>
      </w:r>
      <w:r w:rsidRPr="001A3D2B">
        <w:t xml:space="preserve"> from 1997 until 2000</w:t>
      </w:r>
      <w:r w:rsidR="005853A9">
        <w:t xml:space="preserve"> and </w:t>
      </w:r>
      <w:r w:rsidRPr="001A3D2B">
        <w:t>to identify</w:t>
      </w:r>
      <w:r w:rsidR="003A1917">
        <w:t xml:space="preserve"> the </w:t>
      </w:r>
      <w:r w:rsidRPr="001A3D2B">
        <w:t>patterns</w:t>
      </w:r>
      <w:r w:rsidR="00427468">
        <w:t xml:space="preserve"> of </w:t>
      </w:r>
      <w:r w:rsidRPr="001A3D2B">
        <w:t>citation</w:t>
      </w:r>
      <w:r w:rsidR="00427468">
        <w:t xml:space="preserve"> of </w:t>
      </w:r>
      <w:r w:rsidR="003A1917">
        <w:t xml:space="preserve">the </w:t>
      </w:r>
      <w:r w:rsidRPr="001A3D2B">
        <w:t>journal</w:t>
      </w:r>
      <w:r w:rsidR="005853A9">
        <w:t xml:space="preserve"> and </w:t>
      </w:r>
      <w:r w:rsidRPr="001A3D2B">
        <w:t>topics having</w:t>
      </w:r>
      <w:r w:rsidR="003A1917">
        <w:t xml:space="preserve"> the </w:t>
      </w:r>
      <w:r w:rsidRPr="001A3D2B">
        <w:t>greatest impact.</w:t>
      </w:r>
    </w:p>
    <w:p w:rsidR="003474F2" w:rsidRPr="001A3D2B" w:rsidRDefault="003474F2" w:rsidP="003474F2">
      <w:pPr>
        <w:pStyle w:val="a3"/>
      </w:pPr>
      <w:r w:rsidRPr="001A3D2B">
        <w:t>Method: SCISEARCH was used to locate citations</w:t>
      </w:r>
      <w:r w:rsidR="00427468">
        <w:t xml:space="preserve"> of </w:t>
      </w:r>
      <w:r w:rsidRPr="001A3D2B">
        <w:t xml:space="preserve">articles published by </w:t>
      </w:r>
      <w:r w:rsidR="00D53296" w:rsidRPr="00D53296">
        <w:rPr>
          <w:i/>
        </w:rPr>
        <w:t>Archivos de Bronconeumología</w:t>
      </w:r>
      <w:r w:rsidRPr="001A3D2B">
        <w:t xml:space="preserve"> between 1995</w:t>
      </w:r>
      <w:r w:rsidR="005853A9">
        <w:t xml:space="preserve"> and </w:t>
      </w:r>
      <w:r w:rsidRPr="001A3D2B">
        <w:t>1999</w:t>
      </w:r>
      <w:r w:rsidR="00A37C1D">
        <w:t>. The</w:t>
      </w:r>
      <w:r w:rsidR="003A1917">
        <w:t xml:space="preserve"> </w:t>
      </w:r>
      <w:r w:rsidRPr="001A3D2B">
        <w:t>following data were collected for each article: year</w:t>
      </w:r>
      <w:r w:rsidR="00427468">
        <w:t xml:space="preserve"> of </w:t>
      </w:r>
      <w:r w:rsidRPr="001A3D2B">
        <w:t>publication, authors, journal, country</w:t>
      </w:r>
      <w:r w:rsidR="00427468">
        <w:t xml:space="preserve"> of </w:t>
      </w:r>
      <w:r w:rsidRPr="001A3D2B">
        <w:t>publication, language, specialty or specialties, institution(s), residence</w:t>
      </w:r>
      <w:r w:rsidR="00427468">
        <w:t xml:space="preserve"> of </w:t>
      </w:r>
      <w:r w:rsidR="003A1917">
        <w:t xml:space="preserve">the </w:t>
      </w:r>
      <w:r w:rsidRPr="001A3D2B">
        <w:t>first author</w:t>
      </w:r>
      <w:r w:rsidR="005853A9">
        <w:t xml:space="preserve"> and </w:t>
      </w:r>
      <w:r w:rsidRPr="001A3D2B">
        <w:t>topic</w:t>
      </w:r>
      <w:r w:rsidR="00A37C1D">
        <w:t>. The</w:t>
      </w:r>
      <w:r w:rsidR="003A1917">
        <w:t xml:space="preserve"> </w:t>
      </w:r>
      <w:r w:rsidRPr="001A3D2B">
        <w:t>impact factor was calculated as</w:t>
      </w:r>
      <w:r w:rsidR="003A1917">
        <w:t xml:space="preserve"> the </w:t>
      </w:r>
      <w:r w:rsidRPr="001A3D2B">
        <w:t>ratio</w:t>
      </w:r>
      <w:r w:rsidR="00427468">
        <w:t xml:space="preserve"> of </w:t>
      </w:r>
      <w:r w:rsidRPr="001A3D2B">
        <w:t xml:space="preserve">citations received in one year by articles published in </w:t>
      </w:r>
      <w:r w:rsidR="00D53296" w:rsidRPr="00D53296">
        <w:rPr>
          <w:i/>
        </w:rPr>
        <w:t>Archivos de Bronconeumología</w:t>
      </w:r>
      <w:r w:rsidRPr="001A3D2B">
        <w:t xml:space="preserve"> during</w:t>
      </w:r>
      <w:r w:rsidR="003A1917">
        <w:t xml:space="preserve"> the </w:t>
      </w:r>
      <w:r w:rsidRPr="001A3D2B">
        <w:t>two previous years</w:t>
      </w:r>
      <w:r w:rsidR="005853A9">
        <w:t xml:space="preserve"> and </w:t>
      </w:r>
      <w:r w:rsidR="003A1917">
        <w:t xml:space="preserve">the </w:t>
      </w:r>
      <w:r w:rsidRPr="001A3D2B">
        <w:t>total number</w:t>
      </w:r>
      <w:r w:rsidR="00427468">
        <w:t xml:space="preserve"> of </w:t>
      </w:r>
      <w:r w:rsidRPr="001A3D2B">
        <w:t xml:space="preserve">articles published by </w:t>
      </w:r>
      <w:r w:rsidR="00D53296" w:rsidRPr="00D53296">
        <w:rPr>
          <w:i/>
        </w:rPr>
        <w:t>Archivos de Bronconeumología</w:t>
      </w:r>
      <w:r w:rsidRPr="001A3D2B">
        <w:t xml:space="preserve"> over</w:t>
      </w:r>
      <w:r w:rsidR="003A1917">
        <w:t xml:space="preserve"> the </w:t>
      </w:r>
      <w:r w:rsidRPr="001A3D2B">
        <w:t>two years under study.</w:t>
      </w:r>
    </w:p>
    <w:p w:rsidR="003474F2" w:rsidRPr="001A3D2B" w:rsidRDefault="003474F2" w:rsidP="003474F2">
      <w:pPr>
        <w:pStyle w:val="a3"/>
      </w:pPr>
      <w:r w:rsidRPr="001A3D2B">
        <w:t>Results:</w:t>
      </w:r>
      <w:r w:rsidR="003A1917">
        <w:t xml:space="preserve"> the </w:t>
      </w:r>
      <w:r w:rsidRPr="001A3D2B">
        <w:t>impact factor</w:t>
      </w:r>
      <w:r w:rsidR="00427468">
        <w:t xml:space="preserve"> of </w:t>
      </w:r>
      <w:r w:rsidR="00D53296" w:rsidRPr="00D53296">
        <w:rPr>
          <w:i/>
        </w:rPr>
        <w:t>Archivos de Bronconeumología</w:t>
      </w:r>
      <w:r w:rsidRPr="001A3D2B">
        <w:t xml:space="preserve"> was </w:t>
      </w:r>
      <w:smartTag w:uri="urn:schemas-microsoft-com:office:smarttags" w:element="chmetcnv">
        <w:smartTagPr>
          <w:attr w:name="TCSC" w:val="0"/>
          <w:attr w:name="NumberType" w:val="1"/>
          <w:attr w:name="Negative" w:val="False"/>
          <w:attr w:name="HasSpace" w:val="True"/>
          <w:attr w:name="SourceValue" w:val="0.107"/>
          <w:attr w:name="UnitName" w:val="in"/>
        </w:smartTagPr>
        <w:r w:rsidRPr="001A3D2B">
          <w:t>0.107 in</w:t>
        </w:r>
      </w:smartTag>
      <w:r w:rsidRPr="001A3D2B">
        <w:t xml:space="preserve"> 1997, </w:t>
      </w:r>
      <w:smartTag w:uri="urn:schemas-microsoft-com:office:smarttags" w:element="chmetcnv">
        <w:smartTagPr>
          <w:attr w:name="TCSC" w:val="0"/>
          <w:attr w:name="NumberType" w:val="1"/>
          <w:attr w:name="Negative" w:val="False"/>
          <w:attr w:name="HasSpace" w:val="True"/>
          <w:attr w:name="SourceValue" w:val="0.089"/>
          <w:attr w:name="UnitName" w:val="in"/>
        </w:smartTagPr>
        <w:r w:rsidRPr="001A3D2B">
          <w:t>0.089 in</w:t>
        </w:r>
      </w:smartTag>
      <w:r w:rsidRPr="001A3D2B">
        <w:t xml:space="preserve"> 1998, </w:t>
      </w:r>
      <w:smartTag w:uri="urn:schemas-microsoft-com:office:smarttags" w:element="chmetcnv">
        <w:smartTagPr>
          <w:attr w:name="TCSC" w:val="0"/>
          <w:attr w:name="NumberType" w:val="1"/>
          <w:attr w:name="Negative" w:val="False"/>
          <w:attr w:name="HasSpace" w:val="True"/>
          <w:attr w:name="SourceValue" w:val="0.105"/>
          <w:attr w:name="UnitName" w:val="in"/>
        </w:smartTagPr>
        <w:r w:rsidRPr="001A3D2B">
          <w:t>0.105 in</w:t>
        </w:r>
      </w:smartTag>
      <w:r w:rsidRPr="001A3D2B">
        <w:t xml:space="preserve"> 1999</w:t>
      </w:r>
      <w:r w:rsidR="005853A9">
        <w:t xml:space="preserve"> and </w:t>
      </w:r>
      <w:smartTag w:uri="urn:schemas-microsoft-com:office:smarttags" w:element="chmetcnv">
        <w:smartTagPr>
          <w:attr w:name="TCSC" w:val="0"/>
          <w:attr w:name="NumberType" w:val="1"/>
          <w:attr w:name="Negative" w:val="False"/>
          <w:attr w:name="HasSpace" w:val="True"/>
          <w:attr w:name="SourceValue" w:val="0.119"/>
          <w:attr w:name="UnitName" w:val="in"/>
        </w:smartTagPr>
        <w:r w:rsidRPr="001A3D2B">
          <w:t>0.119 in</w:t>
        </w:r>
      </w:smartTag>
      <w:r w:rsidRPr="001A3D2B">
        <w:t xml:space="preserve"> 2000. Citations were found in a wide range</w:t>
      </w:r>
      <w:r w:rsidR="00427468">
        <w:t xml:space="preserve"> of </w:t>
      </w:r>
      <w:r w:rsidRPr="001A3D2B">
        <w:t>source journals, with respiratory system publications having little weight. Citations were made mainly by Spanish authors (75%)</w:t>
      </w:r>
      <w:r w:rsidR="005853A9">
        <w:t xml:space="preserve"> and </w:t>
      </w:r>
      <w:r w:rsidRPr="001A3D2B">
        <w:t xml:space="preserve">self-citation was restrained (21.1%). </w:t>
      </w:r>
      <w:r w:rsidRPr="001A3D2B">
        <w:lastRenderedPageBreak/>
        <w:t>Topics related to tuberculosis</w:t>
      </w:r>
      <w:r w:rsidR="005853A9">
        <w:t xml:space="preserve"> and </w:t>
      </w:r>
      <w:r w:rsidRPr="001A3D2B">
        <w:t>respiratory infections (23.6%</w:t>
      </w:r>
      <w:r w:rsidR="00427468">
        <w:t xml:space="preserve"> of </w:t>
      </w:r>
      <w:r w:rsidR="003A1917">
        <w:t xml:space="preserve">the </w:t>
      </w:r>
      <w:r w:rsidRPr="001A3D2B">
        <w:t>citations received)</w:t>
      </w:r>
      <w:r w:rsidR="005853A9">
        <w:t xml:space="preserve"> and </w:t>
      </w:r>
      <w:r w:rsidRPr="001A3D2B">
        <w:t>chronic obstructive pulmonary disease (12.5%) made</w:t>
      </w:r>
      <w:r w:rsidR="003A1917">
        <w:t xml:space="preserve"> the </w:t>
      </w:r>
      <w:r w:rsidRPr="001A3D2B">
        <w:t>greatest impact.</w:t>
      </w:r>
    </w:p>
    <w:p w:rsidR="003474F2" w:rsidRPr="001A3D2B" w:rsidRDefault="003474F2" w:rsidP="003474F2">
      <w:pPr>
        <w:pStyle w:val="a3"/>
      </w:pPr>
      <w:r w:rsidRPr="001A3D2B">
        <w:t>Conclusion:</w:t>
      </w:r>
      <w:r w:rsidR="003A1917">
        <w:t xml:space="preserve"> the </w:t>
      </w:r>
      <w:r w:rsidRPr="001A3D2B">
        <w:t>impact factor</w:t>
      </w:r>
      <w:r w:rsidR="00427468">
        <w:t xml:space="preserve"> of </w:t>
      </w:r>
      <w:r w:rsidR="00D53296" w:rsidRPr="00D53296">
        <w:rPr>
          <w:i/>
        </w:rPr>
        <w:t>Archivos de Bronconeumología</w:t>
      </w:r>
      <w:r w:rsidRPr="001A3D2B">
        <w:t xml:space="preserve"> is modest, although higher than those</w:t>
      </w:r>
      <w:r w:rsidR="00427468">
        <w:t xml:space="preserve"> of </w:t>
      </w:r>
      <w:r w:rsidRPr="001A3D2B">
        <w:t>some other publications included in Journal Citation Reports.</w:t>
      </w:r>
    </w:p>
    <w:p w:rsidR="003474F2" w:rsidRPr="001A3D2B" w:rsidRDefault="003474F2" w:rsidP="003474F2">
      <w:pPr>
        <w:pStyle w:val="a3"/>
      </w:pPr>
      <w:r w:rsidRPr="001A3D2B">
        <w:t>Keywords: Documentation, Bibliometry, Impact Factor, Respiratory, System, Statistics, Medical-Scientific Activity, Bibliometric Indicators, Journals, Index</w:t>
      </w:r>
    </w:p>
    <w:p w:rsidR="003474F2" w:rsidRPr="001A3D2B" w:rsidRDefault="003474F2" w:rsidP="003474F2">
      <w:pPr>
        <w:pStyle w:val="a3"/>
      </w:pPr>
      <w:r w:rsidRPr="001A3D2B">
        <w:t>Notes: JJournal</w:t>
      </w:r>
    </w:p>
    <w:p w:rsidR="003474F2" w:rsidRPr="001A3D2B" w:rsidRDefault="003474F2" w:rsidP="003474F2">
      <w:pPr>
        <w:pStyle w:val="a3"/>
      </w:pPr>
      <w:r w:rsidRPr="001A3D2B">
        <w:t>de Granda-Orive, J.I., Río, F.G., Jiménez, T.G., Ruiz, C.A.J., Reina, S.S.</w:t>
      </w:r>
      <w:r w:rsidR="005853A9">
        <w:t xml:space="preserve"> and </w:t>
      </w:r>
      <w:r w:rsidRPr="001A3D2B">
        <w:t>Valls, R.S. (2002), Analysis</w:t>
      </w:r>
      <w:r w:rsidR="005853A9">
        <w:t xml:space="preserve"> and </w:t>
      </w:r>
      <w:r w:rsidRPr="001A3D2B">
        <w:t>evolution</w:t>
      </w:r>
      <w:r w:rsidR="00427468">
        <w:t xml:space="preserve"> of </w:t>
      </w:r>
      <w:r w:rsidRPr="001A3D2B">
        <w:t>bibliometric indicators</w:t>
      </w:r>
      <w:r w:rsidR="00427468">
        <w:t xml:space="preserve"> of </w:t>
      </w:r>
      <w:r w:rsidRPr="001A3D2B">
        <w:t>productivity</w:t>
      </w:r>
      <w:r w:rsidR="005853A9">
        <w:t xml:space="preserve"> and </w:t>
      </w:r>
      <w:r w:rsidRPr="001A3D2B">
        <w:t>readership</w:t>
      </w:r>
      <w:r w:rsidR="00427468">
        <w:t xml:space="preserve"> of </w:t>
      </w:r>
      <w:r w:rsidRPr="001A3D2B">
        <w:t xml:space="preserve">articles on smoking appearing in </w:t>
      </w:r>
      <w:r w:rsidR="00C53E7B" w:rsidRPr="00C53E7B">
        <w:rPr>
          <w:i/>
          <w:iCs/>
        </w:rPr>
        <w:t>Archivos de Bronconeumología</w:t>
      </w:r>
      <w:r w:rsidRPr="001A3D2B">
        <w:t xml:space="preserve"> from 1970 to 2000. A comparison to others topics in respiratory medicine. </w:t>
      </w:r>
      <w:r w:rsidR="00C53E7B" w:rsidRPr="00C53E7B">
        <w:rPr>
          <w:i/>
          <w:iCs/>
        </w:rPr>
        <w:t>Archivos de Bronconeumología</w:t>
      </w:r>
      <w:r w:rsidRPr="001A3D2B">
        <w:t xml:space="preserve">, </w:t>
      </w:r>
      <w:r w:rsidRPr="001A3D2B">
        <w:rPr>
          <w:b/>
        </w:rPr>
        <w:t>38</w:t>
      </w:r>
      <w:r w:rsidRPr="001A3D2B">
        <w:t xml:space="preserve"> (11), 523-529.</w:t>
      </w:r>
    </w:p>
    <w:p w:rsidR="00B60F7D" w:rsidRPr="00F219CA" w:rsidRDefault="00B60F7D" w:rsidP="00B60F7D">
      <w:pPr>
        <w:pStyle w:val="a3"/>
      </w:pPr>
      <w:r w:rsidRPr="00F219CA">
        <w:t xml:space="preserve">Full Text: </w:t>
      </w:r>
      <w:r w:rsidR="00C8194D">
        <w:rPr>
          <w:rFonts w:hint="eastAsia"/>
        </w:rPr>
        <w:t>2002\</w:t>
      </w:r>
      <w:r w:rsidRPr="00F219CA">
        <w:rPr>
          <w:iCs/>
        </w:rPr>
        <w:t>Arc Bro</w:t>
      </w:r>
      <w:r w:rsidRPr="00F219CA">
        <w:t>38, 523</w:t>
      </w:r>
      <w:r>
        <w:rPr>
          <w:rFonts w:hint="eastAsia"/>
        </w:rPr>
        <w:t>.pdf</w:t>
      </w:r>
    </w:p>
    <w:p w:rsidR="003474F2" w:rsidRPr="001A3D2B" w:rsidRDefault="003474F2" w:rsidP="003474F2">
      <w:pPr>
        <w:pStyle w:val="a3"/>
      </w:pPr>
      <w:r w:rsidRPr="001A3D2B">
        <w:t>Abstract: OBJECTIVES: To analyze</w:t>
      </w:r>
      <w:r w:rsidR="003A1917">
        <w:t xml:space="preserve"> the </w:t>
      </w:r>
      <w:r w:rsidRPr="001A3D2B">
        <w:t>evolution</w:t>
      </w:r>
      <w:r w:rsidR="00427468">
        <w:t xml:space="preserve"> of </w:t>
      </w:r>
      <w:r w:rsidRPr="001A3D2B">
        <w:t xml:space="preserve">bibliometric indexes for research on smoking published in </w:t>
      </w:r>
      <w:r w:rsidR="00D53296" w:rsidRPr="00D53296">
        <w:rPr>
          <w:i/>
        </w:rPr>
        <w:t>Archivos de Bronconeumología</w:t>
      </w:r>
      <w:r w:rsidRPr="001A3D2B">
        <w:t xml:space="preserve"> (AB) from 1970 through 2000, to compare indexes for each</w:t>
      </w:r>
      <w:r w:rsidR="00427468">
        <w:t xml:space="preserve"> of </w:t>
      </w:r>
      <w:r w:rsidR="003A1917">
        <w:t xml:space="preserve">the </w:t>
      </w:r>
      <w:r w:rsidRPr="001A3D2B">
        <w:t>three decades under study,</w:t>
      </w:r>
      <w:r w:rsidR="005853A9">
        <w:t xml:space="preserve"> and </w:t>
      </w:r>
      <w:r w:rsidRPr="001A3D2B">
        <w:t>to compare</w:t>
      </w:r>
      <w:r w:rsidR="003A1917">
        <w:t xml:space="preserve"> the </w:t>
      </w:r>
      <w:r w:rsidRPr="001A3D2B">
        <w:t>indexes for smoking research with those</w:t>
      </w:r>
      <w:r w:rsidR="00427468">
        <w:t xml:space="preserve"> of </w:t>
      </w:r>
      <w:r w:rsidRPr="001A3D2B">
        <w:t>other topics in respiratory medicine.</w:t>
      </w:r>
    </w:p>
    <w:p w:rsidR="003474F2" w:rsidRPr="001A3D2B" w:rsidRDefault="003474F2" w:rsidP="003474F2">
      <w:pPr>
        <w:pStyle w:val="a3"/>
      </w:pPr>
      <w:r w:rsidRPr="001A3D2B">
        <w:t>MATERIAL</w:t>
      </w:r>
      <w:r w:rsidR="005853A9">
        <w:t xml:space="preserve"> and </w:t>
      </w:r>
      <w:r w:rsidRPr="001A3D2B">
        <w:t>METHODS: We reviewed all articles published by AB between 1970</w:t>
      </w:r>
      <w:r w:rsidR="005853A9">
        <w:t xml:space="preserve"> and </w:t>
      </w:r>
      <w:r w:rsidRPr="001A3D2B">
        <w:t>2000, recording data on 13 characteristics.</w:t>
      </w:r>
    </w:p>
    <w:p w:rsidR="003474F2" w:rsidRPr="001A3D2B" w:rsidRDefault="003474F2" w:rsidP="003474F2">
      <w:pPr>
        <w:pStyle w:val="a3"/>
      </w:pPr>
      <w:r w:rsidRPr="001A3D2B">
        <w:t>RESULTS:</w:t>
      </w:r>
      <w:r w:rsidR="00427468">
        <w:t xml:space="preserve"> of </w:t>
      </w:r>
      <w:r w:rsidRPr="001A3D2B">
        <w:t>2, 198 documents reviewed, 45 (2.04%) were about smoking; 71%</w:t>
      </w:r>
      <w:r w:rsidR="00427468">
        <w:t xml:space="preserve"> of </w:t>
      </w:r>
      <w:r w:rsidRPr="001A3D2B">
        <w:t>them were published in</w:t>
      </w:r>
      <w:r w:rsidR="003A1917">
        <w:t xml:space="preserve"> the </w:t>
      </w:r>
      <w:r w:rsidRPr="001A3D2B">
        <w:t>last five years</w:t>
      </w:r>
      <w:r w:rsidR="00A37C1D">
        <w:t>. The</w:t>
      </w:r>
      <w:r w:rsidR="003A1917">
        <w:t xml:space="preserve"> </w:t>
      </w:r>
      <w:r w:rsidRPr="001A3D2B">
        <w:t>research came mainly from</w:t>
      </w:r>
      <w:r w:rsidR="003A1917">
        <w:t xml:space="preserve"> the </w:t>
      </w:r>
      <w:r w:rsidRPr="001A3D2B">
        <w:t>most productive four provinces</w:t>
      </w:r>
      <w:r w:rsidR="005853A9">
        <w:t xml:space="preserve"> and </w:t>
      </w:r>
      <w:r w:rsidRPr="001A3D2B">
        <w:t>five hospitals, which produced 68.1%</w:t>
      </w:r>
      <w:r w:rsidR="005853A9">
        <w:t xml:space="preserve"> and </w:t>
      </w:r>
      <w:r w:rsidRPr="001A3D2B">
        <w:t>50%</w:t>
      </w:r>
      <w:r w:rsidR="00427468">
        <w:t xml:space="preserve"> of </w:t>
      </w:r>
      <w:r w:rsidR="003A1917">
        <w:t xml:space="preserve">the </w:t>
      </w:r>
      <w:r w:rsidRPr="001A3D2B">
        <w:t>reports, respectively</w:t>
      </w:r>
      <w:r w:rsidR="00A37C1D">
        <w:t>. The</w:t>
      </w:r>
      <w:r w:rsidR="003A1917">
        <w:t xml:space="preserve"> </w:t>
      </w:r>
      <w:r w:rsidRPr="001A3D2B">
        <w:t>first authors were pneumologists in 78.4%</w:t>
      </w:r>
      <w:r w:rsidR="00427468">
        <w:t xml:space="preserve"> of </w:t>
      </w:r>
      <w:r w:rsidR="003A1917">
        <w:t xml:space="preserve">the </w:t>
      </w:r>
      <w:r w:rsidRPr="001A3D2B">
        <w:t>articles</w:t>
      </w:r>
      <w:r w:rsidR="00A37C1D">
        <w:t>. The</w:t>
      </w:r>
      <w:r w:rsidR="003A1917">
        <w:t xml:space="preserve"> </w:t>
      </w:r>
      <w:r w:rsidRPr="001A3D2B">
        <w:t>productivity index was 1.65,</w:t>
      </w:r>
      <w:r w:rsidR="005853A9">
        <w:t xml:space="preserve"> and </w:t>
      </w:r>
      <w:r w:rsidR="003A1917">
        <w:t xml:space="preserve">the </w:t>
      </w:r>
      <w:r w:rsidRPr="001A3D2B">
        <w:t>mean number</w:t>
      </w:r>
      <w:r w:rsidR="00427468">
        <w:t xml:space="preserve"> of </w:t>
      </w:r>
      <w:r w:rsidRPr="001A3D2B">
        <w:t>authors per document (collaboration index) was 4±3</w:t>
      </w:r>
      <w:r w:rsidR="00A37C1D">
        <w:t>. The</w:t>
      </w:r>
      <w:r w:rsidR="003A1917">
        <w:t xml:space="preserve"> </w:t>
      </w:r>
      <w:r w:rsidRPr="001A3D2B">
        <w:t>total number</w:t>
      </w:r>
      <w:r w:rsidR="00427468">
        <w:t xml:space="preserve"> of </w:t>
      </w:r>
      <w:r w:rsidRPr="001A3D2B">
        <w:t>references was 1,230</w:t>
      </w:r>
      <w:r w:rsidR="005853A9">
        <w:t xml:space="preserve"> and </w:t>
      </w:r>
      <w:r w:rsidR="003A1917">
        <w:t xml:space="preserve">the </w:t>
      </w:r>
      <w:r w:rsidRPr="001A3D2B">
        <w:t>number</w:t>
      </w:r>
      <w:r w:rsidR="00427468">
        <w:t xml:space="preserve"> of </w:t>
      </w:r>
      <w:r w:rsidRPr="001A3D2B">
        <w:t>references per paper was 27.3±26. AB was</w:t>
      </w:r>
      <w:r w:rsidR="003A1917">
        <w:t xml:space="preserve"> the </w:t>
      </w:r>
      <w:r w:rsidRPr="001A3D2B">
        <w:t>most cited journal. We found no change in obsolescence indexes. Insularity</w:t>
      </w:r>
      <w:r w:rsidR="005853A9">
        <w:t xml:space="preserve"> and </w:t>
      </w:r>
      <w:r w:rsidRPr="001A3D2B">
        <w:t>self citation indexes tended to increase. Topics with productivity indexes that were higher than</w:t>
      </w:r>
      <w:r w:rsidR="003A1917">
        <w:t xml:space="preserve"> the </w:t>
      </w:r>
      <w:r w:rsidRPr="001A3D2B">
        <w:t>index for smoking research were asthma (p &lt; 0.05), respiratory insufficiency</w:t>
      </w:r>
      <w:r w:rsidR="005853A9">
        <w:t xml:space="preserve"> and </w:t>
      </w:r>
      <w:r w:rsidRPr="001A3D2B">
        <w:t>sleep disorders, non-tuberculosis infection, oncology</w:t>
      </w:r>
      <w:r w:rsidR="005853A9">
        <w:t xml:space="preserve"> and </w:t>
      </w:r>
      <w:r w:rsidRPr="001A3D2B">
        <w:t>pleural</w:t>
      </w:r>
      <w:r w:rsidR="005853A9">
        <w:t xml:space="preserve"> and </w:t>
      </w:r>
      <w:r w:rsidRPr="001A3D2B">
        <w:t>interstitial diseases (p &lt; 0.001)</w:t>
      </w:r>
      <w:r w:rsidR="00A37C1D">
        <w:t>. The</w:t>
      </w:r>
      <w:r w:rsidR="003A1917">
        <w:t xml:space="preserve"> </w:t>
      </w:r>
      <w:r w:rsidRPr="001A3D2B">
        <w:t>insularity index was higher for tuberculosis than for smoking (p &lt; 0.05).</w:t>
      </w:r>
    </w:p>
    <w:p w:rsidR="003474F2" w:rsidRPr="001A3D2B" w:rsidRDefault="003474F2" w:rsidP="003474F2">
      <w:pPr>
        <w:pStyle w:val="a3"/>
      </w:pPr>
      <w:r w:rsidRPr="001A3D2B">
        <w:t>CONCLUSIONS: Smoking research increased considerably during</w:t>
      </w:r>
      <w:r w:rsidR="003A1917">
        <w:t xml:space="preserve"> the </w:t>
      </w:r>
      <w:r w:rsidRPr="001A3D2B">
        <w:t>period studied. Pulmonologists predominated among</w:t>
      </w:r>
      <w:r w:rsidR="003A1917">
        <w:t xml:space="preserve"> the </w:t>
      </w:r>
      <w:r w:rsidRPr="001A3D2B">
        <w:t>authors</w:t>
      </w:r>
      <w:r w:rsidR="00427468">
        <w:t xml:space="preserve"> of </w:t>
      </w:r>
      <w:r w:rsidRPr="001A3D2B">
        <w:t>studies on smoking. Bibliometric indexes for smoking evolved as did</w:t>
      </w:r>
      <w:r w:rsidR="003A1917">
        <w:t xml:space="preserve"> the </w:t>
      </w:r>
      <w:r w:rsidRPr="001A3D2B">
        <w:t>indexes for other research</w:t>
      </w:r>
      <w:r w:rsidR="00A37C1D">
        <w:t>. The</w:t>
      </w:r>
      <w:r w:rsidR="003A1917">
        <w:t xml:space="preserve"> </w:t>
      </w:r>
      <w:r w:rsidRPr="001A3D2B">
        <w:t>most frequently cited journal was AB.</w:t>
      </w:r>
    </w:p>
    <w:p w:rsidR="003474F2" w:rsidRPr="001A3D2B" w:rsidRDefault="003474F2" w:rsidP="003474F2">
      <w:pPr>
        <w:pStyle w:val="a3"/>
      </w:pPr>
      <w:r w:rsidRPr="001A3D2B">
        <w:t xml:space="preserve">Keywords: Smoking, Bibliometrics, Scientific Information, Spanish Scientific Production, Journals, Spain, Publication, Consumption, Information, Language, </w:t>
      </w:r>
      <w:r w:rsidRPr="001A3D2B">
        <w:lastRenderedPageBreak/>
        <w:t>Authors, Number</w:t>
      </w:r>
    </w:p>
    <w:p w:rsidR="003474F2" w:rsidRPr="001A3D2B" w:rsidRDefault="003474F2" w:rsidP="003474F2">
      <w:pPr>
        <w:pStyle w:val="a3"/>
      </w:pPr>
      <w:r w:rsidRPr="001A3D2B">
        <w:t>? Orive, J.I.D. (2003), Reflections on</w:t>
      </w:r>
      <w:r w:rsidR="003A1917">
        <w:t xml:space="preserve"> the </w:t>
      </w:r>
      <w:r w:rsidRPr="001A3D2B">
        <w:t xml:space="preserve">impact factor. </w:t>
      </w:r>
      <w:r w:rsidR="00C53E7B" w:rsidRPr="00C53E7B">
        <w:rPr>
          <w:i/>
          <w:iCs/>
        </w:rPr>
        <w:t>Archivos de Bronconeumología</w:t>
      </w:r>
      <w:r w:rsidRPr="001A3D2B">
        <w:t xml:space="preserve">, </w:t>
      </w:r>
      <w:r w:rsidRPr="001A3D2B">
        <w:rPr>
          <w:b/>
          <w:bCs/>
        </w:rPr>
        <w:t>39</w:t>
      </w:r>
      <w:r w:rsidRPr="001A3D2B">
        <w:t xml:space="preserve"> (9), 4</w:t>
      </w:r>
      <w:r w:rsidR="000867C4">
        <w:rPr>
          <w:rFonts w:hint="eastAsia"/>
        </w:rPr>
        <w:t>09</w:t>
      </w:r>
      <w:r w:rsidRPr="001A3D2B">
        <w:t>-41</w:t>
      </w:r>
      <w:r w:rsidR="000867C4">
        <w:rPr>
          <w:rFonts w:hint="eastAsia"/>
        </w:rPr>
        <w:t>7</w:t>
      </w:r>
      <w:r w:rsidRPr="001A3D2B">
        <w:t>.</w:t>
      </w:r>
    </w:p>
    <w:p w:rsidR="003474F2" w:rsidRPr="001A3D2B" w:rsidRDefault="003474F2" w:rsidP="003474F2">
      <w:pPr>
        <w:pStyle w:val="a3"/>
      </w:pPr>
      <w:r w:rsidRPr="001A3D2B">
        <w:t xml:space="preserve">Full Text: </w:t>
      </w:r>
      <w:r w:rsidR="00C8194D">
        <w:rPr>
          <w:rFonts w:hint="eastAsia"/>
        </w:rPr>
        <w:t>2003\</w:t>
      </w:r>
      <w:r w:rsidRPr="001A3D2B">
        <w:rPr>
          <w:iCs/>
        </w:rPr>
        <w:t>Arc Bro</w:t>
      </w:r>
      <w:r w:rsidRPr="001A3D2B">
        <w:t>39, 4</w:t>
      </w:r>
      <w:r w:rsidR="000867C4">
        <w:rPr>
          <w:rFonts w:hint="eastAsia"/>
        </w:rPr>
        <w:t>09</w:t>
      </w:r>
      <w:r w:rsidR="00B60F7D">
        <w:rPr>
          <w:rFonts w:hint="eastAsia"/>
        </w:rPr>
        <w:t>.pdf</w:t>
      </w:r>
    </w:p>
    <w:p w:rsidR="003474F2" w:rsidRPr="001A3D2B" w:rsidRDefault="003474F2" w:rsidP="003474F2">
      <w:pPr>
        <w:pStyle w:val="a3"/>
      </w:pPr>
      <w:r w:rsidRPr="001A3D2B">
        <w:t>Keywords: Medical-Scientific Activity, Science Citation Index, Spanish Biomedical Journals, Bibliometric Indicators, Respiratory System, Bronconeumologia, Archivos, Bias, Information, Publication</w:t>
      </w:r>
    </w:p>
    <w:p w:rsidR="003474F2" w:rsidRPr="001A3D2B" w:rsidRDefault="003474F2" w:rsidP="003474F2">
      <w:pPr>
        <w:pStyle w:val="a3"/>
      </w:pPr>
      <w:r w:rsidRPr="001A3D2B">
        <w:t>? Benavent, R.A., Zurian, J.C.V., Gomez, M.C., Melendez, R.S.</w:t>
      </w:r>
      <w:r w:rsidR="005853A9">
        <w:t xml:space="preserve"> and </w:t>
      </w:r>
      <w:r w:rsidRPr="001A3D2B">
        <w:t xml:space="preserve">Molina, C.N. (2004), </w:t>
      </w:r>
      <w:r w:rsidR="00C53E7B" w:rsidRPr="00C53E7B">
        <w:rPr>
          <w:i/>
        </w:rPr>
        <w:t>Archivos de Bronconeumología</w:t>
      </w:r>
      <w:r w:rsidRPr="001A3D2B">
        <w:t>: Among</w:t>
      </w:r>
      <w:r w:rsidR="003A1917">
        <w:t xml:space="preserve"> the </w:t>
      </w:r>
      <w:r w:rsidRPr="001A3D2B">
        <w:t>3 Spanish medical journals with</w:t>
      </w:r>
      <w:r w:rsidR="003A1917">
        <w:t xml:space="preserve"> the </w:t>
      </w:r>
      <w:r w:rsidRPr="001A3D2B">
        <w:t xml:space="preserve">highest national impact factors. </w:t>
      </w:r>
      <w:r w:rsidR="00C53E7B" w:rsidRPr="00C53E7B">
        <w:rPr>
          <w:i/>
          <w:iCs/>
        </w:rPr>
        <w:t>Archivos de Bronconeumología</w:t>
      </w:r>
      <w:r w:rsidRPr="001A3D2B">
        <w:t xml:space="preserve">, </w:t>
      </w:r>
      <w:r w:rsidRPr="001A3D2B">
        <w:rPr>
          <w:b/>
          <w:bCs/>
        </w:rPr>
        <w:t>40</w:t>
      </w:r>
      <w:r w:rsidRPr="001A3D2B">
        <w:t xml:space="preserve"> (12), 563-569.</w:t>
      </w:r>
    </w:p>
    <w:p w:rsidR="003474F2" w:rsidRPr="001A3D2B" w:rsidRDefault="003474F2" w:rsidP="003474F2">
      <w:pPr>
        <w:pStyle w:val="a3"/>
      </w:pPr>
      <w:r w:rsidRPr="001A3D2B">
        <w:t xml:space="preserve">Full Text: </w:t>
      </w:r>
      <w:hyperlink r:id="rId1191" w:history="1">
        <w:r w:rsidRPr="001A3D2B">
          <w:rPr>
            <w:rStyle w:val="a5"/>
          </w:rPr>
          <w:t>2004\Arc Bro40, 563.pdf</w:t>
        </w:r>
      </w:hyperlink>
    </w:p>
    <w:p w:rsidR="003474F2" w:rsidRPr="001A3D2B" w:rsidRDefault="003474F2" w:rsidP="003474F2">
      <w:pPr>
        <w:pStyle w:val="a3"/>
      </w:pPr>
      <w:r w:rsidRPr="001A3D2B">
        <w:t>Abstract: OBJECTIVE: Citation analysis elucidates patterns</w:t>
      </w:r>
      <w:r w:rsidR="00427468">
        <w:t xml:space="preserve"> of </w:t>
      </w:r>
      <w:r w:rsidRPr="001A3D2B">
        <w:t>information consumption within professional communities</w:t>
      </w:r>
      <w:r w:rsidR="00A37C1D">
        <w:t>. The</w:t>
      </w:r>
      <w:r w:rsidR="003A1917">
        <w:t xml:space="preserve"> </w:t>
      </w:r>
      <w:r w:rsidRPr="001A3D2B">
        <w:t>aim</w:t>
      </w:r>
      <w:r w:rsidR="00427468">
        <w:t xml:space="preserve"> of </w:t>
      </w:r>
      <w:r w:rsidRPr="001A3D2B">
        <w:t>this study was to analyze</w:t>
      </w:r>
      <w:r w:rsidR="003A1917">
        <w:t xml:space="preserve"> the </w:t>
      </w:r>
      <w:r w:rsidRPr="001A3D2B">
        <w:t>citations</w:t>
      </w:r>
      <w:r w:rsidR="00427468">
        <w:t xml:space="preserve"> of </w:t>
      </w:r>
      <w:r w:rsidRPr="001A3D2B">
        <w:t>87 Spanish medical journals by calculating their impact factors</w:t>
      </w:r>
      <w:r w:rsidR="005853A9">
        <w:t xml:space="preserve"> and </w:t>
      </w:r>
      <w:r w:rsidRPr="001A3D2B">
        <w:t>immediacy indices for 2001,</w:t>
      </w:r>
      <w:r w:rsidR="005853A9">
        <w:t xml:space="preserve"> and </w:t>
      </w:r>
      <w:r w:rsidRPr="001A3D2B">
        <w:t>to estimate</w:t>
      </w:r>
      <w:r w:rsidR="003A1917">
        <w:t xml:space="preserve"> the </w:t>
      </w:r>
      <w:r w:rsidRPr="001A3D2B">
        <w:t>importance</w:t>
      </w:r>
      <w:r w:rsidR="00427468">
        <w:t xml:space="preserve"> of </w:t>
      </w:r>
      <w:r w:rsidR="00C53E7B" w:rsidRPr="00C53E7B">
        <w:rPr>
          <w:i/>
        </w:rPr>
        <w:t>Archivos de Bronconeumología</w:t>
      </w:r>
      <w:r w:rsidRPr="001A3D2B">
        <w:t xml:space="preserve"> within</w:t>
      </w:r>
      <w:r w:rsidR="003A1917">
        <w:t xml:space="preserve"> the </w:t>
      </w:r>
      <w:r w:rsidRPr="001A3D2B">
        <w:t>framework</w:t>
      </w:r>
      <w:r w:rsidR="00427468">
        <w:t xml:space="preserve"> of </w:t>
      </w:r>
      <w:r w:rsidRPr="001A3D2B">
        <w:t>Spanish medicine. MATERIAL</w:t>
      </w:r>
      <w:r w:rsidR="005853A9">
        <w:t xml:space="preserve"> and </w:t>
      </w:r>
      <w:r w:rsidRPr="001A3D2B">
        <w:t>METHOD: Eighty-seven Spanish medical journals were included. All were listed in</w:t>
      </w:r>
      <w:r w:rsidR="003A1917">
        <w:t xml:space="preserve"> the </w:t>
      </w:r>
      <w:r w:rsidRPr="001A3D2B">
        <w:t>Spanish Medical Index (Indice Medico Espanol)</w:t>
      </w:r>
      <w:r w:rsidR="005853A9">
        <w:t xml:space="preserve"> and </w:t>
      </w:r>
      <w:r w:rsidRPr="001A3D2B">
        <w:t>in at least one</w:t>
      </w:r>
      <w:r w:rsidR="00427468">
        <w:t xml:space="preserve"> of </w:t>
      </w:r>
      <w:r w:rsidR="003A1917">
        <w:t xml:space="preserve">the </w:t>
      </w:r>
      <w:r w:rsidRPr="001A3D2B">
        <w:t xml:space="preserve">following databases: </w:t>
      </w:r>
      <w:r w:rsidR="00D5664A">
        <w:t>MEDLINE</w:t>
      </w:r>
      <w:r w:rsidRPr="001A3D2B">
        <w:t xml:space="preserve">, BIOSIS, EMMASE, or Science Citation Index. References to articles from 1999 through </w:t>
      </w:r>
      <w:smartTag w:uri="urn:schemas-microsoft-com:office:smarttags" w:element="chmetcnv">
        <w:smartTagPr>
          <w:attr w:name="TCSC" w:val="0"/>
          <w:attr w:name="NumberType" w:val="1"/>
          <w:attr w:name="Negative" w:val="False"/>
          <w:attr w:name="HasSpace" w:val="True"/>
          <w:attr w:name="SourceValue" w:val="2001"/>
          <w:attr w:name="UnitName" w:val="in"/>
        </w:smartTagPr>
        <w:r w:rsidRPr="001A3D2B">
          <w:t>2001 in</w:t>
        </w:r>
      </w:smartTag>
      <w:r w:rsidRPr="001A3D2B">
        <w:t xml:space="preserve"> citable articles from 2001 were analyzed. Using</w:t>
      </w:r>
      <w:r w:rsidR="003A1917">
        <w:t xml:space="preserve"> the </w:t>
      </w:r>
      <w:r w:rsidRPr="001A3D2B">
        <w:t>method</w:t>
      </w:r>
      <w:r w:rsidR="00427468">
        <w:t xml:space="preserve"> of </w:t>
      </w:r>
      <w:r w:rsidR="003A1917">
        <w:t xml:space="preserve">the </w:t>
      </w:r>
      <w:r w:rsidRPr="001A3D2B">
        <w:t>Institute for Scientific Information,</w:t>
      </w:r>
      <w:r w:rsidR="00412132">
        <w:rPr>
          <w:rFonts w:hint="eastAsia"/>
        </w:rPr>
        <w:t xml:space="preserve"> </w:t>
      </w:r>
      <w:r w:rsidRPr="001A3D2B">
        <w:t>we calculated</w:t>
      </w:r>
      <w:r w:rsidR="003A1917">
        <w:t xml:space="preserve"> the </w:t>
      </w:r>
      <w:r w:rsidRPr="001A3D2B">
        <w:t>national impact factor</w:t>
      </w:r>
      <w:r w:rsidR="005853A9">
        <w:t xml:space="preserve"> and </w:t>
      </w:r>
      <w:r w:rsidRPr="001A3D2B">
        <w:t>immediacy index for each journal. RESULTS:</w:t>
      </w:r>
      <w:r w:rsidR="003A1917">
        <w:t xml:space="preserve"> the </w:t>
      </w:r>
      <w:r w:rsidRPr="001A3D2B">
        <w:t>journals with</w:t>
      </w:r>
      <w:r w:rsidR="003A1917">
        <w:t xml:space="preserve"> the </w:t>
      </w:r>
      <w:r w:rsidRPr="001A3D2B">
        <w:t>highest national impact factors were Revista Espanola de Quimioterapia (0.894), Medicina Clinica (0.89),</w:t>
      </w:r>
      <w:r w:rsidR="005853A9">
        <w:t xml:space="preserve"> and </w:t>
      </w:r>
      <w:r w:rsidR="00C53E7B" w:rsidRPr="00C53E7B">
        <w:rPr>
          <w:i/>
        </w:rPr>
        <w:t>Archivos de Bronconeumología</w:t>
      </w:r>
      <w:r w:rsidRPr="001A3D2B">
        <w:t xml:space="preserve"> (0.732)</w:t>
      </w:r>
      <w:r w:rsidR="00A37C1D">
        <w:t>. The</w:t>
      </w:r>
      <w:r w:rsidR="003A1917">
        <w:t xml:space="preserve"> </w:t>
      </w:r>
      <w:r w:rsidRPr="001A3D2B">
        <w:t>self-citation percentage</w:t>
      </w:r>
      <w:r w:rsidR="00427468">
        <w:t xml:space="preserve"> of </w:t>
      </w:r>
      <w:r w:rsidR="00D53296" w:rsidRPr="00D53296">
        <w:rPr>
          <w:i/>
        </w:rPr>
        <w:t>Archivos de Bronconeumología</w:t>
      </w:r>
      <w:r w:rsidRPr="001A3D2B">
        <w:t xml:space="preserve"> was 18.3%</w:t>
      </w:r>
      <w:r w:rsidR="005853A9">
        <w:t xml:space="preserve"> and </w:t>
      </w:r>
      <w:r w:rsidR="003A1917">
        <w:t xml:space="preserve">the </w:t>
      </w:r>
      <w:r w:rsidRPr="001A3D2B">
        <w:t>immediacy index was 0.033. CONCLUSIONS:</w:t>
      </w:r>
      <w:r w:rsidR="003A1917">
        <w:t xml:space="preserve"> the </w:t>
      </w:r>
      <w:r w:rsidRPr="001A3D2B">
        <w:t xml:space="preserve">impact factor obtained by </w:t>
      </w:r>
      <w:r w:rsidR="00C53E7B" w:rsidRPr="00C53E7B">
        <w:rPr>
          <w:i/>
        </w:rPr>
        <w:t>Archivos de Bronconeumología</w:t>
      </w:r>
      <w:r w:rsidRPr="001A3D2B">
        <w:t xml:space="preserve"> confirms its importance in Spanish medicine</w:t>
      </w:r>
      <w:r w:rsidR="005853A9">
        <w:t xml:space="preserve"> and </w:t>
      </w:r>
      <w:r w:rsidRPr="001A3D2B">
        <w:t>validates its inclusion as a source journal in Science Citation Index</w:t>
      </w:r>
      <w:r w:rsidR="005853A9">
        <w:t xml:space="preserve"> and </w:t>
      </w:r>
      <w:r w:rsidRPr="001A3D2B">
        <w:t>Journal Citation Report.</w:t>
      </w:r>
    </w:p>
    <w:p w:rsidR="003474F2" w:rsidRPr="001A3D2B" w:rsidRDefault="003474F2" w:rsidP="003474F2">
      <w:pPr>
        <w:pStyle w:val="a3"/>
      </w:pPr>
      <w:r w:rsidRPr="001A3D2B">
        <w:t>Keywords: Bibliometric Indicators, Bibliometrics, Citations, Immediacy Index, Impact Factor, Impact Factor, Impact Factors, Information, Journal, Journals, Medical Journals, Quality, Science Citation Index, Scientific Activity, Scientific Journals, Self-Citation, Spanish Medical Journals</w:t>
      </w:r>
    </w:p>
    <w:p w:rsidR="003474F2" w:rsidRPr="001A3D2B" w:rsidRDefault="003474F2" w:rsidP="003474F2">
      <w:pPr>
        <w:pStyle w:val="a3"/>
      </w:pPr>
      <w:r w:rsidRPr="001A3D2B">
        <w:t>? Orive, J.I.D.G., Rio, F.G., Vazquez, F.R., Sacristan, J.E., Jimenez, T.G.</w:t>
      </w:r>
      <w:r w:rsidR="005853A9">
        <w:t xml:space="preserve"> and </w:t>
      </w:r>
      <w:r w:rsidRPr="001A3D2B">
        <w:t>Sanchez, L.C. (2005), Key words, essential tools for bibliographic research: Analysis</w:t>
      </w:r>
      <w:r w:rsidR="00427468">
        <w:t xml:space="preserve"> of </w:t>
      </w:r>
      <w:r w:rsidR="00D5664A">
        <w:t>USA</w:t>
      </w:r>
      <w:r w:rsidRPr="001A3D2B">
        <w:t xml:space="preserve">ge in </w:t>
      </w:r>
      <w:r w:rsidR="00C53E7B" w:rsidRPr="00C53E7B">
        <w:rPr>
          <w:i/>
        </w:rPr>
        <w:t>Archivos de Bronconeumología</w:t>
      </w:r>
      <w:r w:rsidR="00B60F7D" w:rsidRPr="001A3D2B">
        <w:t xml:space="preserve"> </w:t>
      </w:r>
      <w:r w:rsidRPr="001A3D2B">
        <w:t xml:space="preserve">for respiratory system knowledge areas. </w:t>
      </w:r>
      <w:r w:rsidR="00C53E7B" w:rsidRPr="00C53E7B">
        <w:rPr>
          <w:i/>
          <w:iCs/>
        </w:rPr>
        <w:t>Archivos de Bronconeumología</w:t>
      </w:r>
      <w:r w:rsidRPr="001A3D2B">
        <w:t xml:space="preserve">, </w:t>
      </w:r>
      <w:r w:rsidRPr="001A3D2B">
        <w:rPr>
          <w:b/>
          <w:bCs/>
        </w:rPr>
        <w:t>41</w:t>
      </w:r>
      <w:r w:rsidRPr="001A3D2B">
        <w:t xml:space="preserve"> (2), 78-83.</w:t>
      </w:r>
    </w:p>
    <w:p w:rsidR="003474F2" w:rsidRPr="001A3D2B" w:rsidRDefault="003474F2" w:rsidP="003474F2">
      <w:pPr>
        <w:pStyle w:val="a3"/>
      </w:pPr>
      <w:r w:rsidRPr="001A3D2B">
        <w:t xml:space="preserve">Full Text: </w:t>
      </w:r>
      <w:hyperlink r:id="rId1192" w:history="1">
        <w:r w:rsidRPr="001A3D2B">
          <w:rPr>
            <w:rStyle w:val="a5"/>
          </w:rPr>
          <w:t>2005\Arc Bro41, 78.pdf</w:t>
        </w:r>
      </w:hyperlink>
    </w:p>
    <w:p w:rsidR="003474F2" w:rsidRPr="001A3D2B" w:rsidRDefault="003474F2" w:rsidP="003474F2">
      <w:pPr>
        <w:pStyle w:val="a3"/>
      </w:pPr>
      <w:r w:rsidRPr="001A3D2B">
        <w:lastRenderedPageBreak/>
        <w:t xml:space="preserve">Abstract: OBJECTIVE: To analyze key word </w:t>
      </w:r>
      <w:r w:rsidR="00D5664A">
        <w:t>USA</w:t>
      </w:r>
      <w:r w:rsidRPr="001A3D2B">
        <w:t xml:space="preserve">ge in </w:t>
      </w:r>
      <w:r w:rsidR="00D53296" w:rsidRPr="00D53296">
        <w:rPr>
          <w:i/>
        </w:rPr>
        <w:t>Archivos de Bronconeumología</w:t>
      </w:r>
      <w:r w:rsidRPr="001A3D2B">
        <w:t>, by comparing words used in</w:t>
      </w:r>
      <w:r w:rsidR="003A1917">
        <w:t xml:space="preserve"> the </w:t>
      </w:r>
      <w:r w:rsidRPr="001A3D2B">
        <w:t>journal to those used in</w:t>
      </w:r>
      <w:r w:rsidR="003A1917">
        <w:t xml:space="preserve"> the </w:t>
      </w:r>
      <w:r w:rsidRPr="001A3D2B">
        <w:t>Index Medicus database within various respiratory system knowledge areas,</w:t>
      </w:r>
      <w:r w:rsidR="005853A9">
        <w:t xml:space="preserve"> and </w:t>
      </w:r>
      <w:r w:rsidRPr="001A3D2B">
        <w:t xml:space="preserve">to determine whether </w:t>
      </w:r>
      <w:r w:rsidR="00D5664A">
        <w:t>USA</w:t>
      </w:r>
      <w:r w:rsidRPr="001A3D2B">
        <w:t>ge has changed over time. MATERIAL</w:t>
      </w:r>
      <w:r w:rsidR="005853A9">
        <w:t xml:space="preserve"> and </w:t>
      </w:r>
      <w:r w:rsidRPr="001A3D2B">
        <w:t xml:space="preserve">METHODS: Original articles published in </w:t>
      </w:r>
      <w:r w:rsidR="00D53296" w:rsidRPr="00D53296">
        <w:rPr>
          <w:i/>
        </w:rPr>
        <w:t>Archivos de Bronconeumología</w:t>
      </w:r>
      <w:r w:rsidRPr="001A3D2B">
        <w:t xml:space="preserve"> from 1994 through 2001 were reviewed manually to gather</w:t>
      </w:r>
      <w:r w:rsidR="003A1917">
        <w:t xml:space="preserve"> the </w:t>
      </w:r>
      <w:r w:rsidRPr="001A3D2B">
        <w:t>key words used</w:t>
      </w:r>
      <w:r w:rsidR="00A37C1D">
        <w:t>. The</w:t>
      </w:r>
      <w:r w:rsidR="003A1917">
        <w:t xml:space="preserve"> </w:t>
      </w:r>
      <w:r w:rsidRPr="001A3D2B">
        <w:t>list was translated to English</w:t>
      </w:r>
      <w:r w:rsidR="005853A9">
        <w:t xml:space="preserve"> and </w:t>
      </w:r>
      <w:r w:rsidRPr="001A3D2B">
        <w:t>then compared to</w:t>
      </w:r>
      <w:r w:rsidR="003A1917">
        <w:t xml:space="preserve"> the </w:t>
      </w:r>
      <w:r w:rsidRPr="001A3D2B">
        <w:t>medical subject heading (MeSH) terms used in</w:t>
      </w:r>
      <w:r w:rsidR="003A1917">
        <w:t xml:space="preserve"> the </w:t>
      </w:r>
      <w:r w:rsidR="002C12F0">
        <w:t>PUBMED</w:t>
      </w:r>
      <w:r w:rsidRPr="001A3D2B">
        <w:t xml:space="preserve"> Browser. RESULTS: Seven hundred six original articles published in</w:t>
      </w:r>
      <w:r w:rsidR="003A1917">
        <w:t xml:space="preserve"> the </w:t>
      </w:r>
      <w:r w:rsidRPr="001A3D2B">
        <w:t>study period used a total</w:t>
      </w:r>
      <w:r w:rsidR="00427468">
        <w:t xml:space="preserve"> of </w:t>
      </w:r>
      <w:r w:rsidRPr="001A3D2B">
        <w:t>1163 key words. Matches with MeSH terms were found for 62% (n=46)</w:t>
      </w:r>
      <w:r w:rsidR="00427468">
        <w:t xml:space="preserve"> of </w:t>
      </w:r>
      <w:r w:rsidR="003A1917">
        <w:t xml:space="preserve">the </w:t>
      </w:r>
      <w:r w:rsidRPr="001A3D2B">
        <w:t>key words in smoking research, 48% (n=52) in asthma, 39% (n=82) in respiratory insufficiency</w:t>
      </w:r>
      <w:r w:rsidR="005853A9">
        <w:t xml:space="preserve"> and </w:t>
      </w:r>
      <w:r w:rsidRPr="001A3D2B">
        <w:t>sleep disorders, 60% (n=49) in diagnostic</w:t>
      </w:r>
      <w:r w:rsidR="005853A9">
        <w:t xml:space="preserve"> and </w:t>
      </w:r>
      <w:r w:rsidRPr="001A3D2B">
        <w:t>treatment techniques, 61% (n=35) in tuberculosis, 65% (n=87) in nontuberculous infections, 61% (n=121) in oncology, 60% (n=37) in circulation, 55% (n=47) in pleural diseases, 48% (n=21) in pathophysiology,</w:t>
      </w:r>
      <w:r w:rsidR="005853A9">
        <w:t xml:space="preserve"> and </w:t>
      </w:r>
      <w:r w:rsidRPr="001A3D2B">
        <w:t>64% (n=68) in interstitial diseases. We did not see a clear tendency in</w:t>
      </w:r>
      <w:r w:rsidR="003A1917">
        <w:t xml:space="preserve"> the </w:t>
      </w:r>
      <w:r w:rsidRPr="001A3D2B">
        <w:t>evolution</w:t>
      </w:r>
      <w:r w:rsidR="00427468">
        <w:t xml:space="preserve"> of </w:t>
      </w:r>
      <w:r w:rsidR="003A1917">
        <w:t xml:space="preserve">the </w:t>
      </w:r>
      <w:r w:rsidRPr="001A3D2B">
        <w:t>journal</w:t>
      </w:r>
      <w:r w:rsidR="00700038">
        <w:t>’</w:t>
      </w:r>
      <w:r w:rsidR="00C13DDC">
        <w:t>s</w:t>
      </w:r>
      <w:r w:rsidRPr="001A3D2B">
        <w:t xml:space="preserve"> key word </w:t>
      </w:r>
      <w:r w:rsidR="00D5664A">
        <w:t>USA</w:t>
      </w:r>
      <w:r w:rsidRPr="001A3D2B">
        <w:t>ge for</w:t>
      </w:r>
      <w:r w:rsidR="003A1917">
        <w:t xml:space="preserve"> the </w:t>
      </w:r>
      <w:r w:rsidRPr="001A3D2B">
        <w:t>knowledge areas analyzed during</w:t>
      </w:r>
      <w:r w:rsidR="003A1917">
        <w:t xml:space="preserve"> the </w:t>
      </w:r>
      <w:r w:rsidRPr="001A3D2B">
        <w:t>study period</w:t>
      </w:r>
      <w:r w:rsidR="00A37C1D">
        <w:t>. The</w:t>
      </w:r>
      <w:r w:rsidR="003A1917">
        <w:t xml:space="preserve"> </w:t>
      </w:r>
      <w:r w:rsidRPr="001A3D2B">
        <w:t>percentage</w:t>
      </w:r>
      <w:r w:rsidR="00427468">
        <w:t xml:space="preserve"> of </w:t>
      </w:r>
      <w:r w:rsidRPr="001A3D2B">
        <w:t>matching key words held steady around 50% over</w:t>
      </w:r>
      <w:r w:rsidR="003A1917">
        <w:t xml:space="preserve"> the </w:t>
      </w:r>
      <w:r w:rsidRPr="001A3D2B">
        <w:t>last 3 years. CONCLUSIONS: Respiratory system key words in</w:t>
      </w:r>
      <w:r w:rsidR="003A1917">
        <w:t xml:space="preserve"> the </w:t>
      </w:r>
      <w:r w:rsidRPr="001A3D2B">
        <w:t xml:space="preserve">knowledge areas we investigated are used correctly in </w:t>
      </w:r>
      <w:r w:rsidR="00D53296" w:rsidRPr="00D53296">
        <w:rPr>
          <w:i/>
        </w:rPr>
        <w:t>Archivos de Bronconeumología</w:t>
      </w:r>
      <w:r w:rsidRPr="001A3D2B">
        <w:t xml:space="preserve"> only about 50%</w:t>
      </w:r>
      <w:r w:rsidR="00427468">
        <w:t xml:space="preserve"> of </w:t>
      </w:r>
      <w:r w:rsidR="003A1917">
        <w:t xml:space="preserve">the </w:t>
      </w:r>
      <w:r w:rsidRPr="001A3D2B">
        <w:t>time.</w:t>
      </w:r>
    </w:p>
    <w:p w:rsidR="003474F2" w:rsidRPr="001A3D2B" w:rsidRDefault="003474F2" w:rsidP="003474F2">
      <w:pPr>
        <w:pStyle w:val="a3"/>
      </w:pPr>
      <w:r w:rsidRPr="001A3D2B">
        <w:t xml:space="preserve">Keywords: Bibliographic Search, Bibliometrics, Descriptors, Impact, Journal, Journals, </w:t>
      </w:r>
      <w:r w:rsidR="002C12F0">
        <w:t>PUBMED</w:t>
      </w:r>
      <w:r w:rsidRPr="001A3D2B">
        <w:t>, Research</w:t>
      </w:r>
    </w:p>
    <w:p w:rsidR="00B60F7D" w:rsidRDefault="00B60F7D" w:rsidP="003474F2">
      <w:pPr>
        <w:pStyle w:val="a3"/>
      </w:pPr>
      <w:r>
        <w:rPr>
          <w:rFonts w:hint="eastAsia"/>
        </w:rPr>
        <w:t>Notes: TTopic</w:t>
      </w:r>
    </w:p>
    <w:p w:rsidR="00B60F7D" w:rsidRPr="00F219CA" w:rsidRDefault="00B60F7D" w:rsidP="00B60F7D">
      <w:pPr>
        <w:pStyle w:val="a3"/>
      </w:pPr>
      <w:r w:rsidRPr="00F219CA">
        <w:t>? de Granda Orive, J.I., Río, F.G., Benavent, R.A., Zurían, J.C.V., Ruiz, C.A.J., Reina, S.S., Serrano, S.V.</w:t>
      </w:r>
      <w:r w:rsidR="005853A9">
        <w:t xml:space="preserve"> and </w:t>
      </w:r>
      <w:r w:rsidRPr="00F219CA">
        <w:t>Arroyo, A.A. (2007), Spanish productivity in smoking research relative to world</w:t>
      </w:r>
      <w:r w:rsidR="005853A9">
        <w:t xml:space="preserve"> and </w:t>
      </w:r>
      <w:r w:rsidRPr="00F219CA">
        <w:t>European Union productivity from 1999 through 2003, analyzed with</w:t>
      </w:r>
      <w:r w:rsidR="003A1917">
        <w:t xml:space="preserve"> the </w:t>
      </w:r>
      <w:r w:rsidRPr="00F219CA">
        <w:t xml:space="preserve">Science Citation Index. </w:t>
      </w:r>
      <w:r w:rsidR="00C53E7B" w:rsidRPr="00C53E7B">
        <w:rPr>
          <w:i/>
          <w:iCs/>
          <w:kern w:val="0"/>
        </w:rPr>
        <w:t>Archivos de Bronconeumología</w:t>
      </w:r>
      <w:r w:rsidRPr="00F219CA">
        <w:t xml:space="preserve">, </w:t>
      </w:r>
      <w:r w:rsidRPr="00F219CA">
        <w:rPr>
          <w:b/>
          <w:bCs/>
          <w:kern w:val="0"/>
        </w:rPr>
        <w:t>43</w:t>
      </w:r>
      <w:r w:rsidRPr="00F219CA">
        <w:t xml:space="preserve"> (4), 212-218.</w:t>
      </w:r>
    </w:p>
    <w:p w:rsidR="003474F2" w:rsidRPr="001A3D2B" w:rsidRDefault="003474F2" w:rsidP="003474F2">
      <w:pPr>
        <w:pStyle w:val="a3"/>
      </w:pPr>
      <w:r w:rsidRPr="001A3D2B">
        <w:t xml:space="preserve">Full Text: </w:t>
      </w:r>
      <w:hyperlink r:id="rId1193" w:history="1">
        <w:r w:rsidRPr="001A3D2B">
          <w:rPr>
            <w:rStyle w:val="a5"/>
          </w:rPr>
          <w:t>2007\Arc Bro43, 212.pdf</w:t>
        </w:r>
      </w:hyperlink>
    </w:p>
    <w:p w:rsidR="003474F2" w:rsidRPr="001A3D2B" w:rsidRDefault="003474F2" w:rsidP="003474F2">
      <w:pPr>
        <w:pStyle w:val="a3"/>
      </w:pPr>
      <w:r w:rsidRPr="001A3D2B">
        <w:t>Abstract: OBJECTIVE: To analyze Spanish scientific productivity from 1999 through 2003 in</w:t>
      </w:r>
      <w:r w:rsidR="003A1917">
        <w:t xml:space="preserve"> the </w:t>
      </w:r>
      <w:r w:rsidRPr="001A3D2B">
        <w:t>area</w:t>
      </w:r>
      <w:r w:rsidR="00427468">
        <w:t xml:space="preserve"> of </w:t>
      </w:r>
      <w:r w:rsidRPr="001A3D2B">
        <w:t>smoking research, in comparison with world</w:t>
      </w:r>
      <w:r w:rsidR="005853A9">
        <w:t xml:space="preserve"> and </w:t>
      </w:r>
      <w:r w:rsidRPr="001A3D2B">
        <w:t>European Union research, based on data in</w:t>
      </w:r>
      <w:r w:rsidR="003A1917">
        <w:t xml:space="preserve"> the </w:t>
      </w:r>
      <w:r w:rsidRPr="001A3D2B">
        <w:t>Science Citation (SCI) Index. MATERIAL</w:t>
      </w:r>
      <w:r w:rsidR="005853A9">
        <w:t xml:space="preserve"> and </w:t>
      </w:r>
      <w:r w:rsidRPr="001A3D2B">
        <w:t>METHODS: This bibliometric study was carried out by searching</w:t>
      </w:r>
      <w:r w:rsidR="003A1917">
        <w:t xml:space="preserve"> the </w:t>
      </w:r>
      <w:r w:rsidRPr="001A3D2B">
        <w:t>title field</w:t>
      </w:r>
      <w:r w:rsidR="00427468">
        <w:t xml:space="preserve"> of </w:t>
      </w:r>
      <w:r w:rsidR="003A1917">
        <w:t xml:space="preserve">the </w:t>
      </w:r>
      <w:r w:rsidRPr="001A3D2B">
        <w:t>Science Citation Index Expanded. Descriptive statistics with 95% confidence intervals (CI) were compiled. RESULTS: Two-hundred ninety-two documents on smoking by Spanish authors were located</w:t>
      </w:r>
      <w:r w:rsidR="00A37C1D">
        <w:t>. The</w:t>
      </w:r>
      <w:r w:rsidR="003A1917">
        <w:t xml:space="preserve"> </w:t>
      </w:r>
      <w:r w:rsidRPr="001A3D2B">
        <w:t>most productive subspecialties; were</w:t>
      </w:r>
      <w:r w:rsidR="003A1917">
        <w:t xml:space="preserve"> the </w:t>
      </w:r>
      <w:r w:rsidRPr="001A3D2B">
        <w:t>group comprised</w:t>
      </w:r>
      <w:r w:rsidR="00427468">
        <w:t xml:space="preserve"> of </w:t>
      </w:r>
      <w:r w:rsidRPr="001A3D2B">
        <w:t>public health, education</w:t>
      </w:r>
      <w:r w:rsidR="005853A9">
        <w:t xml:space="preserve"> and </w:t>
      </w:r>
      <w:r w:rsidRPr="001A3D2B">
        <w:t>health economics with 57 articles,</w:t>
      </w:r>
      <w:r w:rsidR="005853A9">
        <w:t xml:space="preserve"> and </w:t>
      </w:r>
      <w:r w:rsidRPr="001A3D2B">
        <w:t>areas</w:t>
      </w:r>
      <w:r w:rsidR="00427468">
        <w:t xml:space="preserve"> of </w:t>
      </w:r>
      <w:r w:rsidR="003A1917">
        <w:t xml:space="preserve">the </w:t>
      </w:r>
      <w:r w:rsidRPr="001A3D2B">
        <w:t>respiratory system, experimental research,</w:t>
      </w:r>
      <w:r w:rsidR="005853A9">
        <w:t xml:space="preserve"> and </w:t>
      </w:r>
      <w:r w:rsidRPr="001A3D2B">
        <w:t>internal medicine with 36 articles each</w:t>
      </w:r>
      <w:r w:rsidR="00A37C1D">
        <w:t>. The</w:t>
      </w:r>
      <w:r w:rsidR="003A1917">
        <w:t xml:space="preserve"> </w:t>
      </w:r>
      <w:r w:rsidRPr="001A3D2B">
        <w:t>journals that published</w:t>
      </w:r>
      <w:r w:rsidR="003A1917">
        <w:t xml:space="preserve"> the </w:t>
      </w:r>
      <w:r w:rsidRPr="001A3D2B">
        <w:t>largest number</w:t>
      </w:r>
      <w:r w:rsidR="00427468">
        <w:t xml:space="preserve"> of </w:t>
      </w:r>
      <w:r w:rsidRPr="001A3D2B">
        <w:t>articles located were Medicina Clinica, with 35 articles (12%)</w:t>
      </w:r>
      <w:r w:rsidR="005853A9">
        <w:t xml:space="preserve"> and </w:t>
      </w:r>
      <w:r w:rsidR="00C53E7B" w:rsidRPr="00C53E7B">
        <w:rPr>
          <w:i/>
        </w:rPr>
        <w:t xml:space="preserve">Archivos de </w:t>
      </w:r>
      <w:r w:rsidR="00C53E7B" w:rsidRPr="00C53E7B">
        <w:rPr>
          <w:i/>
        </w:rPr>
        <w:lastRenderedPageBreak/>
        <w:t>Bronconeumología</w:t>
      </w:r>
      <w:r w:rsidRPr="001A3D2B">
        <w:t xml:space="preserve"> with 20 (6.8%). International collaboration was undertaken with institutions in</w:t>
      </w:r>
      <w:r w:rsidR="003A1917">
        <w:t xml:space="preserve"> the </w:t>
      </w:r>
      <w:r w:rsidRPr="001A3D2B">
        <w:t>United States</w:t>
      </w:r>
      <w:r w:rsidR="00427468">
        <w:t xml:space="preserve"> of </w:t>
      </w:r>
      <w:r w:rsidRPr="001A3D2B">
        <w:t>America</w:t>
      </w:r>
      <w:r w:rsidR="005853A9">
        <w:t xml:space="preserve"> and </w:t>
      </w:r>
      <w:r w:rsidRPr="001A3D2B">
        <w:t>other European Union countries</w:t>
      </w:r>
      <w:r w:rsidR="00A37C1D">
        <w:t>. The</w:t>
      </w:r>
      <w:r w:rsidR="003A1917">
        <w:t xml:space="preserve"> </w:t>
      </w:r>
      <w:r w:rsidRPr="001A3D2B">
        <w:t>mean (SD) number</w:t>
      </w:r>
      <w:r w:rsidR="00427468">
        <w:t xml:space="preserve"> of </w:t>
      </w:r>
      <w:r w:rsidRPr="001A3D2B">
        <w:t>citations received was 5.12 (8.6) (range 59-0). Spain contributed 8.34%</w:t>
      </w:r>
      <w:r w:rsidR="00427468">
        <w:t xml:space="preserve"> of </w:t>
      </w:r>
      <w:r w:rsidR="003A1917">
        <w:t xml:space="preserve">the </w:t>
      </w:r>
      <w:r w:rsidRPr="001A3D2B">
        <w:t>SCI-indexed smoking research overall</w:t>
      </w:r>
      <w:r w:rsidR="005853A9">
        <w:t xml:space="preserve"> and </w:t>
      </w:r>
      <w:r w:rsidRPr="001A3D2B">
        <w:t>12.85%</w:t>
      </w:r>
      <w:r w:rsidR="00427468">
        <w:t xml:space="preserve"> of </w:t>
      </w:r>
      <w:r w:rsidRPr="001A3D2B">
        <w:t>SCI-indexed smoking research from</w:t>
      </w:r>
      <w:r w:rsidR="003A1917">
        <w:t xml:space="preserve"> the </w:t>
      </w:r>
      <w:r w:rsidRPr="001A3D2B">
        <w:t>European Union. CONCLUSIONS: Smoking research is developing appropriately in Spain</w:t>
      </w:r>
      <w:r w:rsidR="005853A9">
        <w:t xml:space="preserve"> and </w:t>
      </w:r>
      <w:r w:rsidRPr="001A3D2B">
        <w:t>has high impact, even though output is modest. Factors associated with increased citation are international collaboration, language (being written in English),</w:t>
      </w:r>
      <w:r w:rsidR="005853A9">
        <w:t xml:space="preserve"> and </w:t>
      </w:r>
      <w:r w:rsidRPr="001A3D2B">
        <w:t>having a non-Spanish first author.</w:t>
      </w:r>
    </w:p>
    <w:p w:rsidR="003474F2" w:rsidRPr="001A3D2B" w:rsidRDefault="003474F2" w:rsidP="003474F2">
      <w:pPr>
        <w:pStyle w:val="a3"/>
      </w:pPr>
      <w:r w:rsidRPr="001A3D2B">
        <w:t>Keywords: America, Authors, Bibliometric, Bibliometric Analysis, Bibliometric Study, Bibliometrics, Biomedicine, Citation, Citations, Collaboration, Comparison, Confidence, Confidence Intervals, Data, Databases, Developing, Economics, Education, European Union, Experimental, Field, First, Group, Health, Health Economics, Impact, Information, Institutions, International, Intervals, Journals, Language, Medicine, Methods, Productivity, Public, Public Health, Research</w:t>
      </w:r>
      <w:r w:rsidR="00D5664A">
        <w:t>, SCI,</w:t>
      </w:r>
      <w:r w:rsidRPr="001A3D2B">
        <w:t xml:space="preserve"> Science Citation Index, Scientific Cooperation, Scientific Information, Scientific Productivity, Smoking, Spain, Spanish, Statistics, System, United States, World</w:t>
      </w:r>
    </w:p>
    <w:p w:rsidR="003474F2" w:rsidRPr="001A3D2B" w:rsidRDefault="003474F2" w:rsidP="003474F2">
      <w:pPr>
        <w:pStyle w:val="a3"/>
      </w:pPr>
      <w:r w:rsidRPr="001A3D2B">
        <w:t>Notes: TTopoc</w:t>
      </w:r>
    </w:p>
    <w:p w:rsidR="003474F2" w:rsidRPr="001A3D2B" w:rsidRDefault="003474F2" w:rsidP="003474F2">
      <w:pPr>
        <w:pStyle w:val="a3"/>
      </w:pPr>
      <w:r w:rsidRPr="001A3D2B">
        <w:t>? Serrano, S.J.V., Orive, J.I.D., Benavent, R.A., Río, F.G., Zurián, J.C.V.</w:t>
      </w:r>
      <w:r w:rsidR="005853A9">
        <w:t xml:space="preserve"> and </w:t>
      </w:r>
      <w:r w:rsidRPr="001A3D2B">
        <w:t>Arroyo, A.A. (2007), Spanish medical center collaboration on smoking research from 1999 through 2003 according to</w:t>
      </w:r>
      <w:r w:rsidR="003A1917">
        <w:t xml:space="preserve"> the </w:t>
      </w:r>
      <w:r w:rsidRPr="001A3D2B">
        <w:t xml:space="preserve">Science Citation Index. </w:t>
      </w:r>
      <w:r w:rsidR="00C53E7B" w:rsidRPr="00C53E7B">
        <w:rPr>
          <w:i/>
          <w:iCs/>
        </w:rPr>
        <w:t>Archivos de Bronconeumología</w:t>
      </w:r>
      <w:r w:rsidRPr="001A3D2B">
        <w:t xml:space="preserve">, </w:t>
      </w:r>
      <w:r w:rsidRPr="001A3D2B">
        <w:rPr>
          <w:b/>
          <w:bCs/>
        </w:rPr>
        <w:t>43</w:t>
      </w:r>
      <w:r w:rsidRPr="001A3D2B">
        <w:t xml:space="preserve"> (7), 378-385.</w:t>
      </w:r>
    </w:p>
    <w:p w:rsidR="003474F2" w:rsidRPr="001A3D2B" w:rsidRDefault="003474F2" w:rsidP="003474F2">
      <w:pPr>
        <w:pStyle w:val="a3"/>
      </w:pPr>
      <w:r w:rsidRPr="001A3D2B">
        <w:t xml:space="preserve">Full Text: </w:t>
      </w:r>
      <w:hyperlink r:id="rId1194" w:history="1">
        <w:r w:rsidRPr="001A3D2B">
          <w:rPr>
            <w:rStyle w:val="a5"/>
          </w:rPr>
          <w:t>2007\Arc Bro43, 378.pdf</w:t>
        </w:r>
      </w:hyperlink>
    </w:p>
    <w:p w:rsidR="003474F2" w:rsidRPr="001A3D2B" w:rsidRDefault="003474F2" w:rsidP="003474F2">
      <w:pPr>
        <w:pStyle w:val="a3"/>
      </w:pPr>
      <w:r w:rsidRPr="001A3D2B">
        <w:t>Abstract: OBJECTIVE: To analyze</w:t>
      </w:r>
      <w:r w:rsidR="003A1917">
        <w:t xml:space="preserve"> the </w:t>
      </w:r>
      <w:r w:rsidRPr="001A3D2B">
        <w:t>network structure</w:t>
      </w:r>
      <w:r w:rsidR="00427468">
        <w:t xml:space="preserve"> of </w:t>
      </w:r>
      <w:r w:rsidRPr="001A3D2B">
        <w:t>collaboration between medical centers sharing authorship</w:t>
      </w:r>
      <w:r w:rsidR="00427468">
        <w:t xml:space="preserve"> of </w:t>
      </w:r>
      <w:r w:rsidRPr="001A3D2B">
        <w:t>scientific articles on smoking. MATERIAL</w:t>
      </w:r>
      <w:r w:rsidR="005853A9">
        <w:t xml:space="preserve"> and </w:t>
      </w:r>
      <w:r w:rsidRPr="001A3D2B">
        <w:t>METHODS: Articles reporting smoking research by authors from 2 or more Spanish medical centers between 1999</w:t>
      </w:r>
      <w:r w:rsidR="005853A9">
        <w:t xml:space="preserve"> and </w:t>
      </w:r>
      <w:r w:rsidR="003A1917">
        <w:t xml:space="preserve">the </w:t>
      </w:r>
      <w:r w:rsidRPr="001A3D2B">
        <w:t>end</w:t>
      </w:r>
      <w:r w:rsidR="00427468">
        <w:t xml:space="preserve"> of </w:t>
      </w:r>
      <w:r w:rsidRPr="001A3D2B">
        <w:t>2003 were identified through</w:t>
      </w:r>
      <w:r w:rsidR="003A1917">
        <w:t xml:space="preserve"> the </w:t>
      </w:r>
      <w:r w:rsidRPr="001A3D2B">
        <w:t>Science Citation Index</w:t>
      </w:r>
      <w:r w:rsidR="00A37C1D">
        <w:t>. The</w:t>
      </w:r>
      <w:r w:rsidR="003A1917">
        <w:t xml:space="preserve"> </w:t>
      </w:r>
      <w:r w:rsidRPr="001A3D2B">
        <w:t>network</w:t>
      </w:r>
      <w:r w:rsidR="00427468">
        <w:t xml:space="preserve"> of </w:t>
      </w:r>
      <w:r w:rsidRPr="001A3D2B">
        <w:t>collaboration behind</w:t>
      </w:r>
      <w:r w:rsidR="003A1917">
        <w:t xml:space="preserve"> the </w:t>
      </w:r>
      <w:r w:rsidRPr="001A3D2B">
        <w:t>research was analyzed</w:t>
      </w:r>
      <w:r w:rsidR="005853A9">
        <w:t xml:space="preserve"> and </w:t>
      </w:r>
      <w:r w:rsidR="003A1917">
        <w:t xml:space="preserve">the </w:t>
      </w:r>
      <w:r w:rsidRPr="001A3D2B">
        <w:t>most important measures</w:t>
      </w:r>
      <w:r w:rsidR="00427468">
        <w:t xml:space="preserve"> of </w:t>
      </w:r>
      <w:r w:rsidRPr="001A3D2B">
        <w:t>centrality were compared. To display</w:t>
      </w:r>
      <w:r w:rsidR="003A1917">
        <w:t xml:space="preserve"> the </w:t>
      </w:r>
      <w:r w:rsidRPr="001A3D2B">
        <w:t>data, scientometric maps were constructed using UCINET</w:t>
      </w:r>
      <w:r w:rsidR="005853A9">
        <w:t xml:space="preserve"> and </w:t>
      </w:r>
      <w:r w:rsidRPr="001A3D2B">
        <w:t>NETDRAW network analysis tools. RESULTS: Thirty-five Spanish medical centers (29 hospitals</w:t>
      </w:r>
      <w:r w:rsidR="005853A9">
        <w:t xml:space="preserve"> and </w:t>
      </w:r>
      <w:r w:rsidRPr="001A3D2B">
        <w:t>6 health care clinics) in 8 autonomous communities were involved in 21 collaborative research projects. Hospital de La Princesa was</w:t>
      </w:r>
      <w:r w:rsidR="003A1917">
        <w:t xml:space="preserve"> the </w:t>
      </w:r>
      <w:r w:rsidRPr="001A3D2B">
        <w:t>network core institution with</w:t>
      </w:r>
      <w:r w:rsidR="003A1917">
        <w:t xml:space="preserve"> the </w:t>
      </w:r>
      <w:r w:rsidRPr="001A3D2B">
        <w:t>highest degrees</w:t>
      </w:r>
      <w:r w:rsidR="00427468">
        <w:t xml:space="preserve"> of </w:t>
      </w:r>
      <w:r w:rsidRPr="001A3D2B">
        <w:t>nodal (16), closeness (88.66),</w:t>
      </w:r>
      <w:r w:rsidR="005853A9">
        <w:t xml:space="preserve"> and </w:t>
      </w:r>
      <w:r w:rsidRPr="001A3D2B">
        <w:t>betweenness (39) centrality. Other core nodes in</w:t>
      </w:r>
      <w:r w:rsidR="003A1917">
        <w:t xml:space="preserve"> the </w:t>
      </w:r>
      <w:r w:rsidRPr="001A3D2B">
        <w:t>network were</w:t>
      </w:r>
      <w:r w:rsidR="003A1917">
        <w:t xml:space="preserve"> the </w:t>
      </w:r>
      <w:r w:rsidRPr="001A3D2B">
        <w:t>following hospitals: de Cruces, San Pedro de Alcantara, La Paz, Vall d</w:t>
      </w:r>
      <w:r w:rsidR="00700038">
        <w:t>’</w:t>
      </w:r>
      <w:r w:rsidRPr="001A3D2B">
        <w:t>Hebron,</w:t>
      </w:r>
      <w:r w:rsidR="005853A9">
        <w:t xml:space="preserve"> and </w:t>
      </w:r>
      <w:r w:rsidRPr="001A3D2B">
        <w:t>General Yague</w:t>
      </w:r>
      <w:r w:rsidR="00A37C1D">
        <w:t>. The</w:t>
      </w:r>
      <w:r w:rsidR="003A1917">
        <w:t xml:space="preserve"> </w:t>
      </w:r>
      <w:r w:rsidRPr="001A3D2B">
        <w:t>autonomous communities</w:t>
      </w:r>
      <w:r w:rsidR="00427468">
        <w:t xml:space="preserve"> of </w:t>
      </w:r>
      <w:r w:rsidRPr="001A3D2B">
        <w:t>Castile</w:t>
      </w:r>
      <w:r w:rsidR="005853A9">
        <w:t xml:space="preserve"> and </w:t>
      </w:r>
      <w:r w:rsidRPr="001A3D2B">
        <w:t>Leon, Madrid,</w:t>
      </w:r>
      <w:r w:rsidR="005853A9">
        <w:t xml:space="preserve"> and </w:t>
      </w:r>
      <w:r w:rsidRPr="001A3D2B">
        <w:t>Catalonia were assigned positions at</w:t>
      </w:r>
      <w:r w:rsidR="003A1917">
        <w:t xml:space="preserve"> the </w:t>
      </w:r>
      <w:r w:rsidRPr="001A3D2B">
        <w:t>core</w:t>
      </w:r>
      <w:r w:rsidR="00427468">
        <w:t xml:space="preserve"> of </w:t>
      </w:r>
      <w:r w:rsidR="003A1917">
        <w:t xml:space="preserve">the </w:t>
      </w:r>
      <w:r w:rsidRPr="001A3D2B">
        <w:t>intercommunity collaborative network based on coauthorship</w:t>
      </w:r>
      <w:r w:rsidR="00427468">
        <w:t xml:space="preserve"> of </w:t>
      </w:r>
      <w:r w:rsidRPr="001A3D2B">
        <w:t xml:space="preserve">scientific papers shared among their medical centers. </w:t>
      </w:r>
      <w:r w:rsidRPr="001A3D2B">
        <w:lastRenderedPageBreak/>
        <w:t>CONCLUSIONS: Network analysis helps identify</w:t>
      </w:r>
      <w:r w:rsidR="003A1917">
        <w:t xml:space="preserve"> the </w:t>
      </w:r>
      <w:r w:rsidRPr="001A3D2B">
        <w:t>most influential institutions in a scientific community that generates coauthored articles in</w:t>
      </w:r>
      <w:r w:rsidR="003A1917">
        <w:t xml:space="preserve"> the </w:t>
      </w:r>
      <w:r w:rsidRPr="001A3D2B">
        <w:t>field</w:t>
      </w:r>
      <w:r w:rsidR="00427468">
        <w:t xml:space="preserve"> of </w:t>
      </w:r>
      <w:r w:rsidRPr="001A3D2B">
        <w:t>smoking research. Hospital de la Princesa had</w:t>
      </w:r>
      <w:r w:rsidR="003A1917">
        <w:t xml:space="preserve"> the </w:t>
      </w:r>
      <w:r w:rsidRPr="001A3D2B">
        <w:t>highest measures</w:t>
      </w:r>
      <w:r w:rsidR="00427468">
        <w:t xml:space="preserve"> of </w:t>
      </w:r>
      <w:r w:rsidRPr="001A3D2B">
        <w:t>centrality</w:t>
      </w:r>
      <w:r w:rsidR="00A37C1D">
        <w:t>. The</w:t>
      </w:r>
      <w:r w:rsidR="003A1917">
        <w:t xml:space="preserve"> </w:t>
      </w:r>
      <w:r w:rsidRPr="001A3D2B">
        <w:t>autonomous communities</w:t>
      </w:r>
      <w:r w:rsidR="00427468">
        <w:t xml:space="preserve"> of </w:t>
      </w:r>
      <w:r w:rsidRPr="001A3D2B">
        <w:t>Castile</w:t>
      </w:r>
      <w:r w:rsidR="005853A9">
        <w:t xml:space="preserve"> and </w:t>
      </w:r>
      <w:r w:rsidRPr="001A3D2B">
        <w:t>Leon, Madrid,</w:t>
      </w:r>
      <w:r w:rsidR="005853A9">
        <w:t xml:space="preserve"> and </w:t>
      </w:r>
      <w:r w:rsidRPr="001A3D2B">
        <w:t>Catalonia form a highly connected, cohesive subgroup within</w:t>
      </w:r>
      <w:r w:rsidR="003A1917">
        <w:t xml:space="preserve"> the </w:t>
      </w:r>
      <w:r w:rsidRPr="001A3D2B">
        <w:t>network.</w:t>
      </w:r>
    </w:p>
    <w:p w:rsidR="003474F2" w:rsidRPr="001A3D2B" w:rsidRDefault="003474F2" w:rsidP="003474F2">
      <w:pPr>
        <w:pStyle w:val="a3"/>
      </w:pPr>
      <w:r w:rsidRPr="001A3D2B">
        <w:t>Keywords: Analysis, Authors, Authorship, Autonomous, Care, Citation, Coauthorship, Collaboration, Collaborative Research, Community, Constructed, Data, Field, Health, Health Care, Hospitals, Institutions, LA, Medical, Methods, Network, Network Analysis, Networks, Papers, Reporting, Research, Science Citation Index, Scientific Publications, Scientometric, Smoking, Spain, Spanish, Structure</w:t>
      </w:r>
    </w:p>
    <w:p w:rsidR="00B2573F" w:rsidRPr="001A3D2B" w:rsidRDefault="00B2573F" w:rsidP="00B2573F">
      <w:pPr>
        <w:pStyle w:val="a3"/>
        <w:rPr>
          <w:kern w:val="0"/>
        </w:rPr>
      </w:pPr>
      <w:r w:rsidRPr="001A3D2B">
        <w:rPr>
          <w:kern w:val="0"/>
        </w:rPr>
        <w:t>? Casan, P., Xaubet, A.</w:t>
      </w:r>
      <w:r w:rsidR="005853A9">
        <w:rPr>
          <w:kern w:val="0"/>
        </w:rPr>
        <w:t xml:space="preserve"> and </w:t>
      </w:r>
      <w:r w:rsidRPr="001A3D2B">
        <w:rPr>
          <w:kern w:val="0"/>
        </w:rPr>
        <w:t xml:space="preserve">Barreiro, F.G.Y.E. (2008), A </w:t>
      </w:r>
      <w:r w:rsidR="000668AE" w:rsidRPr="001A3D2B">
        <w:rPr>
          <w:kern w:val="0"/>
        </w:rPr>
        <w:t>new cove</w:t>
      </w:r>
      <w:r w:rsidRPr="001A3D2B">
        <w:rPr>
          <w:kern w:val="0"/>
        </w:rPr>
        <w:t>r for</w:t>
      </w:r>
      <w:r w:rsidR="003A1917">
        <w:rPr>
          <w:kern w:val="0"/>
        </w:rPr>
        <w:t xml:space="preserve"> the </w:t>
      </w:r>
      <w:r w:rsidRPr="001A3D2B">
        <w:rPr>
          <w:kern w:val="0"/>
        </w:rPr>
        <w:t xml:space="preserve">New Year. </w:t>
      </w:r>
      <w:r w:rsidR="00C53E7B" w:rsidRPr="00C53E7B">
        <w:rPr>
          <w:i/>
          <w:iCs/>
          <w:kern w:val="0"/>
        </w:rPr>
        <w:t>Archivos de Bronconeumología</w:t>
      </w:r>
      <w:r w:rsidRPr="001A3D2B">
        <w:rPr>
          <w:kern w:val="0"/>
        </w:rPr>
        <w:t xml:space="preserve">, </w:t>
      </w:r>
      <w:r w:rsidRPr="001A3D2B">
        <w:rPr>
          <w:b/>
          <w:bCs/>
          <w:kern w:val="0"/>
        </w:rPr>
        <w:t>44</w:t>
      </w:r>
      <w:r w:rsidRPr="001A3D2B">
        <w:rPr>
          <w:kern w:val="0"/>
        </w:rPr>
        <w:t xml:space="preserve"> (12), 655-656</w:t>
      </w:r>
    </w:p>
    <w:p w:rsidR="000668AE" w:rsidRPr="001A3D2B" w:rsidRDefault="000668AE" w:rsidP="000668AE">
      <w:pPr>
        <w:pStyle w:val="a3"/>
      </w:pPr>
      <w:r w:rsidRPr="001A3D2B">
        <w:t xml:space="preserve">Full Text: </w:t>
      </w:r>
      <w:hyperlink r:id="rId1195" w:history="1">
        <w:r w:rsidRPr="001A3D2B">
          <w:rPr>
            <w:rStyle w:val="a5"/>
          </w:rPr>
          <w:t>2008\Arc Bro44, 655.pdf</w:t>
        </w:r>
      </w:hyperlink>
    </w:p>
    <w:p w:rsidR="00B2573F" w:rsidRPr="001A3D2B" w:rsidRDefault="00B2573F" w:rsidP="00B2573F">
      <w:pPr>
        <w:pStyle w:val="a3"/>
        <w:rPr>
          <w:kern w:val="0"/>
        </w:rPr>
      </w:pPr>
      <w:r w:rsidRPr="001A3D2B">
        <w:rPr>
          <w:kern w:val="0"/>
        </w:rPr>
        <w:t>Keywords: Archivos Archive, Diagnosis, Guidelines, Medicine, Pulmonology, Reference Values, Respiratory-Diseases, Science-Citation-Index, Smoking Research, Thoracic-Surgery Separ</w:t>
      </w:r>
    </w:p>
    <w:p w:rsidR="00D9649C" w:rsidRDefault="00D9649C" w:rsidP="00B2573F">
      <w:pPr>
        <w:pStyle w:val="a3"/>
        <w:rPr>
          <w:kern w:val="0"/>
        </w:rPr>
      </w:pPr>
      <w:r>
        <w:rPr>
          <w:rFonts w:hint="eastAsia"/>
          <w:kern w:val="0"/>
        </w:rPr>
        <w:t>Notes: CCounrty, TTopic</w:t>
      </w:r>
    </w:p>
    <w:p w:rsidR="00B2573F" w:rsidRPr="001A3D2B" w:rsidRDefault="00B2573F" w:rsidP="00B2573F">
      <w:pPr>
        <w:pStyle w:val="a3"/>
        <w:rPr>
          <w:kern w:val="0"/>
        </w:rPr>
      </w:pPr>
      <w:r w:rsidRPr="001A3D2B">
        <w:rPr>
          <w:kern w:val="0"/>
        </w:rPr>
        <w:t>? Ramos, J.M., Masia, M., Padilla, S., Garcia-Pachon, E.</w:t>
      </w:r>
      <w:r w:rsidR="005853A9">
        <w:rPr>
          <w:kern w:val="0"/>
        </w:rPr>
        <w:t xml:space="preserve"> and </w:t>
      </w:r>
      <w:r w:rsidRPr="001A3D2B">
        <w:rPr>
          <w:kern w:val="0"/>
        </w:rPr>
        <w:t xml:space="preserve">Gutierrez, F. (2009), Spanish scientific research output on tuberculosis indexed in </w:t>
      </w:r>
      <w:r w:rsidR="00D5664A">
        <w:rPr>
          <w:kern w:val="0"/>
        </w:rPr>
        <w:t>MEDLINE</w:t>
      </w:r>
      <w:r w:rsidRPr="001A3D2B">
        <w:rPr>
          <w:kern w:val="0"/>
        </w:rPr>
        <w:t xml:space="preserve">, 1997-2006. </w:t>
      </w:r>
      <w:r w:rsidR="00C53E7B" w:rsidRPr="00C53E7B">
        <w:rPr>
          <w:i/>
          <w:iCs/>
          <w:kern w:val="0"/>
        </w:rPr>
        <w:t>Archivos de Bronconeumología</w:t>
      </w:r>
      <w:r w:rsidRPr="001A3D2B">
        <w:rPr>
          <w:kern w:val="0"/>
        </w:rPr>
        <w:t xml:space="preserve">, </w:t>
      </w:r>
      <w:r w:rsidRPr="001A3D2B">
        <w:rPr>
          <w:b/>
          <w:bCs/>
          <w:kern w:val="0"/>
        </w:rPr>
        <w:t>45</w:t>
      </w:r>
      <w:r w:rsidRPr="001A3D2B">
        <w:rPr>
          <w:kern w:val="0"/>
        </w:rPr>
        <w:t xml:space="preserve"> (6), 271-278.</w:t>
      </w:r>
    </w:p>
    <w:p w:rsidR="00B2573F" w:rsidRPr="001A3D2B" w:rsidRDefault="00B2573F" w:rsidP="00B2573F">
      <w:pPr>
        <w:pStyle w:val="a3"/>
      </w:pPr>
      <w:r w:rsidRPr="001A3D2B">
        <w:t xml:space="preserve">Full Text: </w:t>
      </w:r>
      <w:hyperlink r:id="rId1196" w:history="1">
        <w:r w:rsidR="00E82FE7" w:rsidRPr="00E82FE7">
          <w:rPr>
            <w:rStyle w:val="a5"/>
          </w:rPr>
          <w:t>2009\Arc Bro45, 271.pdf</w:t>
        </w:r>
      </w:hyperlink>
    </w:p>
    <w:p w:rsidR="00B2573F" w:rsidRPr="001A3D2B" w:rsidRDefault="00B2573F" w:rsidP="00B2573F">
      <w:pPr>
        <w:pStyle w:val="a3"/>
        <w:rPr>
          <w:kern w:val="0"/>
        </w:rPr>
      </w:pPr>
      <w:r w:rsidRPr="001A3D2B">
        <w:rPr>
          <w:kern w:val="0"/>
        </w:rPr>
        <w:t>Abstract: Objective: To analyze Spanish scientific research output related to tuberculosis during</w:t>
      </w:r>
      <w:r w:rsidR="003A1917">
        <w:rPr>
          <w:kern w:val="0"/>
        </w:rPr>
        <w:t xml:space="preserve"> the </w:t>
      </w:r>
      <w:r w:rsidRPr="001A3D2B">
        <w:rPr>
          <w:kern w:val="0"/>
        </w:rPr>
        <w:t>10-year period from 1997 through 2006</w:t>
      </w:r>
      <w:r w:rsidR="005853A9">
        <w:rPr>
          <w:kern w:val="0"/>
        </w:rPr>
        <w:t xml:space="preserve"> and </w:t>
      </w:r>
      <w:r w:rsidRPr="001A3D2B">
        <w:rPr>
          <w:kern w:val="0"/>
        </w:rPr>
        <w:t>to consider it within</w:t>
      </w:r>
      <w:r w:rsidR="003A1917">
        <w:rPr>
          <w:kern w:val="0"/>
        </w:rPr>
        <w:t xml:space="preserve"> the </w:t>
      </w:r>
      <w:r w:rsidRPr="001A3D2B">
        <w:rPr>
          <w:kern w:val="0"/>
        </w:rPr>
        <w:t>context</w:t>
      </w:r>
      <w:r w:rsidR="00427468">
        <w:rPr>
          <w:kern w:val="0"/>
        </w:rPr>
        <w:t xml:space="preserve"> of </w:t>
      </w:r>
      <w:r w:rsidRPr="001A3D2B">
        <w:rPr>
          <w:kern w:val="0"/>
        </w:rPr>
        <w:t>European Union (EU) productivity. Material</w:t>
      </w:r>
      <w:r w:rsidR="005853A9">
        <w:rPr>
          <w:kern w:val="0"/>
        </w:rPr>
        <w:t xml:space="preserve"> and </w:t>
      </w:r>
      <w:r w:rsidRPr="001A3D2B">
        <w:rPr>
          <w:kern w:val="0"/>
        </w:rPr>
        <w:t>methods:</w:t>
      </w:r>
      <w:r w:rsidR="003A1917">
        <w:rPr>
          <w:kern w:val="0"/>
        </w:rPr>
        <w:t xml:space="preserve"> the </w:t>
      </w:r>
      <w:r w:rsidRPr="001A3D2B">
        <w:rPr>
          <w:kern w:val="0"/>
        </w:rPr>
        <w:t>bibliometric study was based on a search</w:t>
      </w:r>
      <w:r w:rsidR="00427468">
        <w:rPr>
          <w:kern w:val="0"/>
        </w:rPr>
        <w:t xml:space="preserve"> of </w:t>
      </w:r>
      <w:r w:rsidR="003A1917">
        <w:rPr>
          <w:kern w:val="0"/>
        </w:rPr>
        <w:t xml:space="preserve">the </w:t>
      </w:r>
      <w:r w:rsidR="00D5664A">
        <w:rPr>
          <w:kern w:val="0"/>
        </w:rPr>
        <w:t>MEDLINE</w:t>
      </w:r>
      <w:r w:rsidRPr="001A3D2B">
        <w:rPr>
          <w:kern w:val="0"/>
        </w:rPr>
        <w:t xml:space="preserve"> database, using</w:t>
      </w:r>
      <w:r w:rsidR="003A1917">
        <w:rPr>
          <w:kern w:val="0"/>
        </w:rPr>
        <w:t xml:space="preserve"> the </w:t>
      </w:r>
      <w:r w:rsidR="002C12F0">
        <w:rPr>
          <w:kern w:val="0"/>
        </w:rPr>
        <w:t>PUBMED</w:t>
      </w:r>
      <w:r w:rsidRPr="001A3D2B">
        <w:rPr>
          <w:kern w:val="0"/>
        </w:rPr>
        <w:t xml:space="preserve"> search interface. Search terms were tuberculosis or tuberculous appearing in any database field. Results:</w:t>
      </w:r>
      <w:r w:rsidR="00427468">
        <w:rPr>
          <w:kern w:val="0"/>
        </w:rPr>
        <w:t xml:space="preserve"> of </w:t>
      </w:r>
      <w:r w:rsidRPr="001A3D2B">
        <w:rPr>
          <w:kern w:val="0"/>
        </w:rPr>
        <w:t>35 735 titles retrieved, 1191 were by Spanish authors. This represented 4.1%</w:t>
      </w:r>
      <w:r w:rsidR="00427468">
        <w:rPr>
          <w:kern w:val="0"/>
        </w:rPr>
        <w:t xml:space="preserve"> of </w:t>
      </w:r>
      <w:r w:rsidRPr="001A3D2B">
        <w:rPr>
          <w:kern w:val="0"/>
        </w:rPr>
        <w:t>world output. Spain, accounting for 13.5%</w:t>
      </w:r>
      <w:r w:rsidR="00427468">
        <w:rPr>
          <w:kern w:val="0"/>
        </w:rPr>
        <w:t xml:space="preserve"> of </w:t>
      </w:r>
      <w:r w:rsidRPr="001A3D2B">
        <w:rPr>
          <w:kern w:val="0"/>
        </w:rPr>
        <w:t>EU scientific output in this area, was</w:t>
      </w:r>
      <w:r w:rsidR="003A1917">
        <w:rPr>
          <w:kern w:val="0"/>
        </w:rPr>
        <w:t xml:space="preserve"> the </w:t>
      </w:r>
      <w:r w:rsidRPr="001A3D2B">
        <w:rPr>
          <w:kern w:val="0"/>
        </w:rPr>
        <w:t>third most productive EU country; 610 (51.2%)</w:t>
      </w:r>
      <w:r w:rsidR="00427468">
        <w:rPr>
          <w:kern w:val="0"/>
        </w:rPr>
        <w:t xml:space="preserve"> of </w:t>
      </w:r>
      <w:r w:rsidR="003A1917">
        <w:rPr>
          <w:kern w:val="0"/>
        </w:rPr>
        <w:t xml:space="preserve">the </w:t>
      </w:r>
      <w:r w:rsidRPr="001A3D2B">
        <w:rPr>
          <w:kern w:val="0"/>
        </w:rPr>
        <w:t>papers were published in English</w:t>
      </w:r>
      <w:r w:rsidR="005853A9">
        <w:rPr>
          <w:kern w:val="0"/>
        </w:rPr>
        <w:t xml:space="preserve"> and </w:t>
      </w:r>
      <w:r w:rsidRPr="001A3D2B">
        <w:rPr>
          <w:kern w:val="0"/>
        </w:rPr>
        <w:t>581 (48.8%) in Spanish</w:t>
      </w:r>
      <w:r w:rsidR="00A37C1D">
        <w:rPr>
          <w:kern w:val="0"/>
        </w:rPr>
        <w:t>. The</w:t>
      </w:r>
      <w:r w:rsidR="003A1917">
        <w:rPr>
          <w:kern w:val="0"/>
        </w:rPr>
        <w:t xml:space="preserve"> </w:t>
      </w:r>
      <w:r w:rsidRPr="001A3D2B">
        <w:rPr>
          <w:kern w:val="0"/>
        </w:rPr>
        <w:t>number</w:t>
      </w:r>
      <w:r w:rsidR="00427468">
        <w:rPr>
          <w:kern w:val="0"/>
        </w:rPr>
        <w:t xml:space="preserve"> of </w:t>
      </w:r>
      <w:r w:rsidRPr="001A3D2B">
        <w:rPr>
          <w:kern w:val="0"/>
        </w:rPr>
        <w:t>papers published remained steady over</w:t>
      </w:r>
      <w:r w:rsidR="003A1917">
        <w:rPr>
          <w:kern w:val="0"/>
        </w:rPr>
        <w:t xml:space="preserve"> the </w:t>
      </w:r>
      <w:r w:rsidRPr="001A3D2B">
        <w:rPr>
          <w:kern w:val="0"/>
        </w:rPr>
        <w:t>10-year period</w:t>
      </w:r>
      <w:r w:rsidR="00A37C1D">
        <w:rPr>
          <w:kern w:val="0"/>
        </w:rPr>
        <w:t>. The</w:t>
      </w:r>
      <w:r w:rsidR="003A1917">
        <w:rPr>
          <w:kern w:val="0"/>
        </w:rPr>
        <w:t xml:space="preserve"> </w:t>
      </w:r>
      <w:r w:rsidRPr="001A3D2B">
        <w:rPr>
          <w:kern w:val="0"/>
        </w:rPr>
        <w:t>first author</w:t>
      </w:r>
      <w:r w:rsidR="00700038">
        <w:rPr>
          <w:kern w:val="0"/>
        </w:rPr>
        <w:t>’</w:t>
      </w:r>
      <w:r w:rsidR="00C13DDC">
        <w:rPr>
          <w:kern w:val="0"/>
        </w:rPr>
        <w:t>s</w:t>
      </w:r>
      <w:r w:rsidRPr="001A3D2B">
        <w:rPr>
          <w:kern w:val="0"/>
        </w:rPr>
        <w:t xml:space="preserve"> specialty was usually microbiology (225 documents, or 20.6%), followed by internal medicine (154, or 14.1%),</w:t>
      </w:r>
      <w:r w:rsidR="005853A9">
        <w:rPr>
          <w:kern w:val="0"/>
        </w:rPr>
        <w:t xml:space="preserve"> and </w:t>
      </w:r>
      <w:r w:rsidRPr="001A3D2B">
        <w:rPr>
          <w:kern w:val="0"/>
        </w:rPr>
        <w:t>respiratory medicine (117, 10.7%). journals publishing</w:t>
      </w:r>
      <w:r w:rsidR="003A1917">
        <w:rPr>
          <w:kern w:val="0"/>
        </w:rPr>
        <w:t xml:space="preserve"> the </w:t>
      </w:r>
      <w:r w:rsidRPr="001A3D2B">
        <w:rPr>
          <w:kern w:val="0"/>
        </w:rPr>
        <w:t>largest numbers</w:t>
      </w:r>
      <w:r w:rsidR="00427468">
        <w:rPr>
          <w:kern w:val="0"/>
        </w:rPr>
        <w:t xml:space="preserve"> of </w:t>
      </w:r>
      <w:r w:rsidRPr="001A3D2B">
        <w:rPr>
          <w:kern w:val="0"/>
        </w:rPr>
        <w:t>papers on tuberculosis were Medicina Clinica</w:t>
      </w:r>
      <w:r w:rsidR="005853A9">
        <w:rPr>
          <w:kern w:val="0"/>
        </w:rPr>
        <w:t xml:space="preserve"> and </w:t>
      </w:r>
      <w:r w:rsidRPr="00C66B34">
        <w:rPr>
          <w:i/>
          <w:kern w:val="0"/>
        </w:rPr>
        <w:t>Enfermedades Infecciosas y Microbiologia Clinica</w:t>
      </w:r>
      <w:r w:rsidRPr="001A3D2B">
        <w:rPr>
          <w:kern w:val="0"/>
        </w:rPr>
        <w:t xml:space="preserve"> with 78 (6.5%) each, Anales de Medicina Interna with 72, Revista Clinica Espanola with 64,</w:t>
      </w:r>
      <w:r w:rsidR="005853A9">
        <w:rPr>
          <w:kern w:val="0"/>
        </w:rPr>
        <w:t xml:space="preserve"> and </w:t>
      </w:r>
      <w:r w:rsidR="00C53E7B" w:rsidRPr="00C53E7B">
        <w:rPr>
          <w:i/>
          <w:kern w:val="0"/>
        </w:rPr>
        <w:t>Archivos de Bronconeumología</w:t>
      </w:r>
      <w:r w:rsidRPr="001A3D2B">
        <w:rPr>
          <w:kern w:val="0"/>
        </w:rPr>
        <w:t xml:space="preserve"> with 63</w:t>
      </w:r>
      <w:r w:rsidR="00A37C1D">
        <w:rPr>
          <w:kern w:val="0"/>
        </w:rPr>
        <w:t>. The</w:t>
      </w:r>
      <w:r w:rsidR="003A1917">
        <w:rPr>
          <w:kern w:val="0"/>
        </w:rPr>
        <w:t xml:space="preserve"> </w:t>
      </w:r>
      <w:r w:rsidRPr="001A3D2B">
        <w:rPr>
          <w:kern w:val="0"/>
        </w:rPr>
        <w:t>most productive provinces were Madrid</w:t>
      </w:r>
      <w:r w:rsidR="005853A9">
        <w:rPr>
          <w:kern w:val="0"/>
        </w:rPr>
        <w:t xml:space="preserve"> and </w:t>
      </w:r>
      <w:r w:rsidRPr="001A3D2B">
        <w:rPr>
          <w:kern w:val="0"/>
        </w:rPr>
        <w:t>Barcelona, with 272 (22.8%)</w:t>
      </w:r>
      <w:r w:rsidR="005853A9">
        <w:rPr>
          <w:kern w:val="0"/>
        </w:rPr>
        <w:t xml:space="preserve"> and </w:t>
      </w:r>
      <w:r w:rsidRPr="001A3D2B">
        <w:rPr>
          <w:kern w:val="0"/>
        </w:rPr>
        <w:t>256 (21.5%) papers, respectively</w:t>
      </w:r>
      <w:r w:rsidR="00A37C1D">
        <w:rPr>
          <w:kern w:val="0"/>
        </w:rPr>
        <w:t>. The</w:t>
      </w:r>
      <w:r w:rsidR="003A1917">
        <w:rPr>
          <w:kern w:val="0"/>
        </w:rPr>
        <w:t xml:space="preserve"> </w:t>
      </w:r>
      <w:r w:rsidRPr="001A3D2B">
        <w:rPr>
          <w:kern w:val="0"/>
        </w:rPr>
        <w:t xml:space="preserve">most productive institutions were hospitals, with 900 titles (75.6%), followed by </w:t>
      </w:r>
      <w:r w:rsidRPr="001A3D2B">
        <w:rPr>
          <w:kern w:val="0"/>
        </w:rPr>
        <w:lastRenderedPageBreak/>
        <w:t>universities, with 132 (11.1%). Conclusions: Tuberculosis research in Spain has taken place at a steady rate over</w:t>
      </w:r>
      <w:r w:rsidR="003A1917">
        <w:rPr>
          <w:kern w:val="0"/>
        </w:rPr>
        <w:t xml:space="preserve"> the </w:t>
      </w:r>
      <w:r w:rsidRPr="001A3D2B">
        <w:rPr>
          <w:kern w:val="0"/>
        </w:rPr>
        <w:t>last 10 years</w:t>
      </w:r>
      <w:r w:rsidR="005853A9">
        <w:rPr>
          <w:kern w:val="0"/>
        </w:rPr>
        <w:t xml:space="preserve"> and </w:t>
      </w:r>
      <w:r w:rsidRPr="001A3D2B">
        <w:rPr>
          <w:kern w:val="0"/>
        </w:rPr>
        <w:t>has accounted for a substantial proportion</w:t>
      </w:r>
      <w:r w:rsidR="00427468">
        <w:rPr>
          <w:kern w:val="0"/>
        </w:rPr>
        <w:t xml:space="preserve"> of </w:t>
      </w:r>
      <w:r w:rsidRPr="001A3D2B">
        <w:rPr>
          <w:kern w:val="0"/>
        </w:rPr>
        <w:t>EU research in this field. Half</w:t>
      </w:r>
      <w:r w:rsidR="003A1917">
        <w:rPr>
          <w:kern w:val="0"/>
        </w:rPr>
        <w:t xml:space="preserve"> the </w:t>
      </w:r>
      <w:r w:rsidRPr="001A3D2B">
        <w:rPr>
          <w:kern w:val="0"/>
        </w:rPr>
        <w:t>papers by Spanish authors were found in international journals published outside Spain</w:t>
      </w:r>
      <w:r w:rsidR="00A37C1D">
        <w:rPr>
          <w:kern w:val="0"/>
        </w:rPr>
        <w:t>. The</w:t>
      </w:r>
      <w:r w:rsidR="003A1917">
        <w:rPr>
          <w:kern w:val="0"/>
        </w:rPr>
        <w:t xml:space="preserve"> </w:t>
      </w:r>
      <w:r w:rsidRPr="001A3D2B">
        <w:rPr>
          <w:kern w:val="0"/>
        </w:rPr>
        <w:t>majority</w:t>
      </w:r>
      <w:r w:rsidR="00427468">
        <w:rPr>
          <w:kern w:val="0"/>
        </w:rPr>
        <w:t xml:space="preserve"> of </w:t>
      </w:r>
      <w:r w:rsidRPr="001A3D2B">
        <w:rPr>
          <w:kern w:val="0"/>
        </w:rPr>
        <w:t>papers were from authors working in hospitals. (C) 2008 SEPAR. Published by Elsevier Espana, S.L. All rights reserved.</w:t>
      </w:r>
    </w:p>
    <w:p w:rsidR="00B2573F" w:rsidRPr="001A3D2B" w:rsidRDefault="00B2573F" w:rsidP="00B2573F">
      <w:pPr>
        <w:pStyle w:val="a3"/>
        <w:rPr>
          <w:kern w:val="0"/>
        </w:rPr>
      </w:pPr>
      <w:r w:rsidRPr="001A3D2B">
        <w:rPr>
          <w:kern w:val="0"/>
        </w:rPr>
        <w:t xml:space="preserve">Keywords: Areas, Bibliometrics, European-Union, Impact, </w:t>
      </w:r>
      <w:r w:rsidR="00D5664A">
        <w:rPr>
          <w:kern w:val="0"/>
        </w:rPr>
        <w:t>MEDLINE</w:t>
      </w:r>
      <w:r w:rsidRPr="001A3D2B">
        <w:rPr>
          <w:kern w:val="0"/>
        </w:rPr>
        <w:t>, Research, Research Output, Science-Citation-Index, Scientific Information, Scientific Research, Spain, Tuberculosis</w:t>
      </w:r>
    </w:p>
    <w:p w:rsidR="00EA6BFC" w:rsidRPr="00F219CA" w:rsidRDefault="00EA6BFC" w:rsidP="00EA6BFC">
      <w:pPr>
        <w:pStyle w:val="a3"/>
        <w:rPr>
          <w:kern w:val="0"/>
        </w:rPr>
      </w:pPr>
      <w:r>
        <w:rPr>
          <w:kern w:val="0"/>
        </w:rPr>
        <w:t>? Jimé</w:t>
      </w:r>
      <w:r w:rsidRPr="00F219CA">
        <w:rPr>
          <w:kern w:val="0"/>
        </w:rPr>
        <w:t>nez-Ruiz, C.A. (2009), SEPAR year 2007. A year for smoking prevention</w:t>
      </w:r>
      <w:r w:rsidR="005853A9">
        <w:rPr>
          <w:kern w:val="0"/>
        </w:rPr>
        <w:t xml:space="preserve"> and </w:t>
      </w:r>
      <w:r w:rsidRPr="00F219CA">
        <w:rPr>
          <w:kern w:val="0"/>
        </w:rPr>
        <w:t xml:space="preserve">treatment. </w:t>
      </w:r>
      <w:r w:rsidR="00C53E7B" w:rsidRPr="00C53E7B">
        <w:rPr>
          <w:i/>
          <w:iCs/>
          <w:kern w:val="0"/>
        </w:rPr>
        <w:t>Archivos de Bronconeumología</w:t>
      </w:r>
      <w:r w:rsidRPr="00F219CA">
        <w:rPr>
          <w:kern w:val="0"/>
        </w:rPr>
        <w:t xml:space="preserve">, </w:t>
      </w:r>
      <w:r w:rsidRPr="00F219CA">
        <w:rPr>
          <w:b/>
          <w:bCs/>
          <w:kern w:val="0"/>
        </w:rPr>
        <w:t>45</w:t>
      </w:r>
      <w:r w:rsidRPr="00F219CA">
        <w:rPr>
          <w:kern w:val="0"/>
        </w:rPr>
        <w:t xml:space="preserve"> (11), 561-563.</w:t>
      </w:r>
    </w:p>
    <w:p w:rsidR="00EA6BFC" w:rsidRPr="00F219CA" w:rsidRDefault="00EA6BFC" w:rsidP="00EA6BFC">
      <w:pPr>
        <w:pStyle w:val="a3"/>
      </w:pPr>
      <w:r w:rsidRPr="00F219CA">
        <w:t xml:space="preserve">Full Text: </w:t>
      </w:r>
      <w:hyperlink r:id="rId1197" w:history="1">
        <w:r w:rsidRPr="00394D88">
          <w:rPr>
            <w:rStyle w:val="a5"/>
          </w:rPr>
          <w:t>2009\Arc Bro45, 561.pdf</w:t>
        </w:r>
      </w:hyperlink>
    </w:p>
    <w:p w:rsidR="00001404" w:rsidRPr="001A3D2B" w:rsidRDefault="00001404" w:rsidP="00001404">
      <w:pPr>
        <w:pStyle w:val="a3"/>
        <w:rPr>
          <w:kern w:val="0"/>
        </w:rPr>
      </w:pPr>
      <w:r w:rsidRPr="001A3D2B">
        <w:rPr>
          <w:kern w:val="0"/>
        </w:rPr>
        <w:t>Keywords: Cessation Treatment, Obstructive Pulmonary-Disease, Prevalence, Science-Citation-Index, Smokers, Spain, Tobacco Cessation</w:t>
      </w:r>
    </w:p>
    <w:p w:rsidR="00C8194D" w:rsidRDefault="00C8194D" w:rsidP="00C8194D">
      <w:pPr>
        <w:pStyle w:val="a3"/>
        <w:rPr>
          <w:kern w:val="0"/>
        </w:rPr>
      </w:pPr>
      <w:r>
        <w:rPr>
          <w:rFonts w:hint="eastAsia"/>
          <w:kern w:val="0"/>
        </w:rPr>
        <w:t xml:space="preserve">? </w:t>
      </w:r>
      <w:r>
        <w:rPr>
          <w:kern w:val="0"/>
        </w:rPr>
        <w:t xml:space="preserve">González-Alcaide, G., </w:t>
      </w:r>
      <w:r>
        <w:rPr>
          <w:rFonts w:hint="eastAsia"/>
          <w:kern w:val="0"/>
        </w:rPr>
        <w:t>Al</w:t>
      </w:r>
      <w:r>
        <w:rPr>
          <w:kern w:val="0"/>
        </w:rPr>
        <w:t>eixandre-Benavent, R.</w:t>
      </w:r>
      <w:r w:rsidR="005853A9">
        <w:rPr>
          <w:kern w:val="0"/>
        </w:rPr>
        <w:t xml:space="preserve"> and </w:t>
      </w:r>
      <w:r>
        <w:rPr>
          <w:kern w:val="0"/>
        </w:rPr>
        <w:t>de Grande-Orive, J.I. (2010), A study</w:t>
      </w:r>
      <w:r w:rsidR="00427468">
        <w:rPr>
          <w:kern w:val="0"/>
        </w:rPr>
        <w:t xml:space="preserve"> of </w:t>
      </w:r>
      <w:r w:rsidR="003A1917">
        <w:rPr>
          <w:kern w:val="0"/>
        </w:rPr>
        <w:t xml:space="preserve">the </w:t>
      </w:r>
      <w:r>
        <w:rPr>
          <w:kern w:val="0"/>
        </w:rPr>
        <w:t>bibliometry</w:t>
      </w:r>
      <w:r w:rsidR="005853A9">
        <w:rPr>
          <w:kern w:val="0"/>
        </w:rPr>
        <w:t xml:space="preserve"> and </w:t>
      </w:r>
      <w:r>
        <w:rPr>
          <w:kern w:val="0"/>
        </w:rPr>
        <w:t>areas</w:t>
      </w:r>
      <w:r w:rsidR="00427468">
        <w:rPr>
          <w:kern w:val="0"/>
        </w:rPr>
        <w:t xml:space="preserve"> of </w:t>
      </w:r>
      <w:r w:rsidR="003A1917">
        <w:rPr>
          <w:kern w:val="0"/>
        </w:rPr>
        <w:t xml:space="preserve">the </w:t>
      </w:r>
      <w:r>
        <w:rPr>
          <w:kern w:val="0"/>
        </w:rPr>
        <w:t>research groups</w:t>
      </w:r>
      <w:r w:rsidR="00427468">
        <w:rPr>
          <w:kern w:val="0"/>
        </w:rPr>
        <w:t xml:space="preserve"> of </w:t>
      </w:r>
      <w:r w:rsidRPr="00181536">
        <w:rPr>
          <w:i/>
          <w:kern w:val="0"/>
        </w:rPr>
        <w:t>Archivos de Bronconeumología</w:t>
      </w:r>
      <w:r>
        <w:rPr>
          <w:kern w:val="0"/>
        </w:rPr>
        <w:t xml:space="preserve"> (2003-2007). </w:t>
      </w:r>
      <w:r w:rsidRPr="00181536">
        <w:rPr>
          <w:i/>
          <w:iCs/>
          <w:kern w:val="0"/>
        </w:rPr>
        <w:t>Archivos de Bronconeumología</w:t>
      </w:r>
      <w:r>
        <w:rPr>
          <w:kern w:val="0"/>
        </w:rPr>
        <w:t xml:space="preserve">, </w:t>
      </w:r>
      <w:r>
        <w:rPr>
          <w:b/>
          <w:bCs/>
          <w:kern w:val="0"/>
        </w:rPr>
        <w:t>46</w:t>
      </w:r>
      <w:r>
        <w:rPr>
          <w:kern w:val="0"/>
        </w:rPr>
        <w:t xml:space="preserve"> (2), 78-84.</w:t>
      </w:r>
    </w:p>
    <w:p w:rsidR="00C8194D" w:rsidRPr="001A3D2B" w:rsidRDefault="00C8194D" w:rsidP="00C8194D">
      <w:pPr>
        <w:pStyle w:val="a3"/>
      </w:pPr>
      <w:r w:rsidRPr="001A3D2B">
        <w:t xml:space="preserve">Full Text: </w:t>
      </w:r>
      <w:hyperlink r:id="rId1198" w:history="1">
        <w:r w:rsidRPr="00D24705">
          <w:rPr>
            <w:rStyle w:val="a5"/>
          </w:rPr>
          <w:t>2010\Arc Bro46, 78.pdf</w:t>
        </w:r>
      </w:hyperlink>
    </w:p>
    <w:p w:rsidR="00EA6BFC" w:rsidRDefault="00EA6BFC" w:rsidP="00EA6BFC">
      <w:pPr>
        <w:pStyle w:val="a3"/>
        <w:rPr>
          <w:kern w:val="0"/>
        </w:rPr>
      </w:pPr>
      <w:r>
        <w:rPr>
          <w:kern w:val="0"/>
        </w:rPr>
        <w:t>Abstract: Introduction: Scientific cooperation is essential for</w:t>
      </w:r>
      <w:r w:rsidR="003A1917">
        <w:rPr>
          <w:kern w:val="0"/>
        </w:rPr>
        <w:t xml:space="preserve"> the </w:t>
      </w:r>
      <w:r>
        <w:rPr>
          <w:kern w:val="0"/>
        </w:rPr>
        <w:t>advance</w:t>
      </w:r>
      <w:r w:rsidR="00427468">
        <w:rPr>
          <w:kern w:val="0"/>
        </w:rPr>
        <w:t xml:space="preserve"> of </w:t>
      </w:r>
      <w:r>
        <w:rPr>
          <w:kern w:val="0"/>
        </w:rPr>
        <w:t>biomedical research. Scientists set up informal groups to work together on common issues, who are</w:t>
      </w:r>
      <w:r w:rsidR="003A1917">
        <w:rPr>
          <w:kern w:val="0"/>
        </w:rPr>
        <w:t xml:space="preserve"> the </w:t>
      </w:r>
      <w:r>
        <w:rPr>
          <w:kern w:val="0"/>
        </w:rPr>
        <w:t>main units in</w:t>
      </w:r>
      <w:r w:rsidR="003A1917">
        <w:rPr>
          <w:kern w:val="0"/>
        </w:rPr>
        <w:t xml:space="preserve"> the </w:t>
      </w:r>
      <w:r>
        <w:rPr>
          <w:kern w:val="0"/>
        </w:rPr>
        <w:t>research funding system. Bibliometric</w:t>
      </w:r>
      <w:r w:rsidR="005853A9">
        <w:rPr>
          <w:kern w:val="0"/>
        </w:rPr>
        <w:t xml:space="preserve"> and </w:t>
      </w:r>
      <w:r>
        <w:rPr>
          <w:kern w:val="0"/>
        </w:rPr>
        <w:t>Social Network Analysis methods allow informal groups in scientific papers to be identified</w:t>
      </w:r>
      <w:r w:rsidR="005853A9">
        <w:rPr>
          <w:kern w:val="0"/>
        </w:rPr>
        <w:t xml:space="preserve"> and </w:t>
      </w:r>
      <w:r>
        <w:rPr>
          <w:kern w:val="0"/>
        </w:rPr>
        <w:t>characterised</w:t>
      </w:r>
      <w:r w:rsidR="00A37C1D">
        <w:rPr>
          <w:kern w:val="0"/>
        </w:rPr>
        <w:t>. The</w:t>
      </w:r>
      <w:r w:rsidR="003A1917">
        <w:rPr>
          <w:kern w:val="0"/>
        </w:rPr>
        <w:t xml:space="preserve"> </w:t>
      </w:r>
      <w:r>
        <w:rPr>
          <w:kern w:val="0"/>
        </w:rPr>
        <w:t>objective</w:t>
      </w:r>
      <w:r w:rsidR="00427468">
        <w:rPr>
          <w:kern w:val="0"/>
        </w:rPr>
        <w:t xml:space="preserve"> of </w:t>
      </w:r>
      <w:r w:rsidR="003A1917">
        <w:rPr>
          <w:kern w:val="0"/>
        </w:rPr>
        <w:t xml:space="preserve">the </w:t>
      </w:r>
      <w:r>
        <w:rPr>
          <w:kern w:val="0"/>
        </w:rPr>
        <w:t xml:space="preserve">study is to identify research groups in </w:t>
      </w:r>
      <w:r w:rsidR="00C53E7B" w:rsidRPr="00C53E7B">
        <w:rPr>
          <w:i/>
          <w:kern w:val="0"/>
        </w:rPr>
        <w:t>Archivos de Bronconeumología</w:t>
      </w:r>
      <w:r>
        <w:rPr>
          <w:kern w:val="0"/>
        </w:rPr>
        <w:t xml:space="preserve"> between 2003</w:t>
      </w:r>
      <w:r w:rsidR="005853A9">
        <w:rPr>
          <w:kern w:val="0"/>
        </w:rPr>
        <w:t xml:space="preserve"> and </w:t>
      </w:r>
      <w:r>
        <w:rPr>
          <w:kern w:val="0"/>
        </w:rPr>
        <w:t>2007 period with</w:t>
      </w:r>
      <w:r w:rsidR="003A1917">
        <w:rPr>
          <w:kern w:val="0"/>
        </w:rPr>
        <w:t xml:space="preserve"> the </w:t>
      </w:r>
      <w:r>
        <w:rPr>
          <w:kern w:val="0"/>
        </w:rPr>
        <w:t>aim</w:t>
      </w:r>
      <w:r w:rsidR="00427468">
        <w:rPr>
          <w:kern w:val="0"/>
        </w:rPr>
        <w:t xml:space="preserve"> of </w:t>
      </w:r>
      <w:r>
        <w:rPr>
          <w:kern w:val="0"/>
        </w:rPr>
        <w:t>characterizing their scientific collaboration patterns</w:t>
      </w:r>
      <w:r w:rsidR="005853A9">
        <w:rPr>
          <w:kern w:val="0"/>
        </w:rPr>
        <w:t xml:space="preserve"> and </w:t>
      </w:r>
      <w:r>
        <w:rPr>
          <w:kern w:val="0"/>
        </w:rPr>
        <w:t>research areas. Methods: Co-authorships, institutional collaboration relationships</w:t>
      </w:r>
      <w:r w:rsidR="005853A9">
        <w:rPr>
          <w:kern w:val="0"/>
        </w:rPr>
        <w:t xml:space="preserve"> and </w:t>
      </w:r>
      <w:r w:rsidR="003A1917">
        <w:rPr>
          <w:kern w:val="0"/>
        </w:rPr>
        <w:t xml:space="preserve">the </w:t>
      </w:r>
      <w:r>
        <w:rPr>
          <w:kern w:val="0"/>
        </w:rPr>
        <w:t>main research areas</w:t>
      </w:r>
      <w:r w:rsidR="00427468">
        <w:rPr>
          <w:kern w:val="0"/>
        </w:rPr>
        <w:t xml:space="preserve"> of </w:t>
      </w:r>
      <w:r>
        <w:rPr>
          <w:kern w:val="0"/>
        </w:rPr>
        <w:t xml:space="preserve">papers published in </w:t>
      </w:r>
      <w:r w:rsidR="00C53E7B" w:rsidRPr="00C53E7B">
        <w:rPr>
          <w:i/>
          <w:kern w:val="0"/>
        </w:rPr>
        <w:t>Archivos de Bronconeumología</w:t>
      </w:r>
      <w:r>
        <w:rPr>
          <w:kern w:val="0"/>
        </w:rPr>
        <w:t xml:space="preserve"> have been identified. Co-authorship networks</w:t>
      </w:r>
      <w:r w:rsidR="005853A9">
        <w:rPr>
          <w:kern w:val="0"/>
        </w:rPr>
        <w:t xml:space="preserve"> and </w:t>
      </w:r>
      <w:r>
        <w:rPr>
          <w:kern w:val="0"/>
        </w:rPr>
        <w:t>institutional collaboration networks have been constructed by using Pajek software tool. Results: A total</w:t>
      </w:r>
      <w:r w:rsidR="00427468">
        <w:rPr>
          <w:kern w:val="0"/>
        </w:rPr>
        <w:t xml:space="preserve"> of </w:t>
      </w:r>
      <w:r>
        <w:rPr>
          <w:kern w:val="0"/>
        </w:rPr>
        <w:t>41 research groups involving 171 investigators have been identified</w:t>
      </w:r>
      <w:r w:rsidR="00A37C1D">
        <w:rPr>
          <w:kern w:val="0"/>
        </w:rPr>
        <w:t>. The</w:t>
      </w:r>
      <w:r w:rsidR="003A1917">
        <w:rPr>
          <w:kern w:val="0"/>
        </w:rPr>
        <w:t xml:space="preserve"> </w:t>
      </w:r>
      <w:r>
        <w:rPr>
          <w:kern w:val="0"/>
        </w:rPr>
        <w:t>Collaboration Index for articles was 5.59</w:t>
      </w:r>
      <w:r w:rsidR="005853A9">
        <w:rPr>
          <w:kern w:val="0"/>
        </w:rPr>
        <w:t xml:space="preserve"> and </w:t>
      </w:r>
      <w:r w:rsidR="003A1917">
        <w:rPr>
          <w:kern w:val="0"/>
        </w:rPr>
        <w:t xml:space="preserve">the </w:t>
      </w:r>
      <w:r>
        <w:rPr>
          <w:kern w:val="0"/>
        </w:rPr>
        <w:t>Transcience Index was 73.11%</w:t>
      </w:r>
      <w:r w:rsidR="00A37C1D">
        <w:rPr>
          <w:kern w:val="0"/>
        </w:rPr>
        <w:t>. The</w:t>
      </w:r>
      <w:r>
        <w:rPr>
          <w:kern w:val="0"/>
        </w:rPr>
        <w:t>re was institutional collaboration in 60.33%</w:t>
      </w:r>
      <w:r w:rsidR="00427468">
        <w:rPr>
          <w:kern w:val="0"/>
        </w:rPr>
        <w:t xml:space="preserve"> of </w:t>
      </w:r>
      <w:r>
        <w:rPr>
          <w:kern w:val="0"/>
        </w:rPr>
        <w:t>papers</w:t>
      </w:r>
      <w:r w:rsidR="00A37C1D">
        <w:rPr>
          <w:kern w:val="0"/>
        </w:rPr>
        <w:t>. The</w:t>
      </w:r>
      <w:r w:rsidR="003A1917">
        <w:rPr>
          <w:kern w:val="0"/>
        </w:rPr>
        <w:t xml:space="preserve"> </w:t>
      </w:r>
      <w:r>
        <w:rPr>
          <w:kern w:val="0"/>
        </w:rPr>
        <w:t>collaboration between institutions</w:t>
      </w:r>
      <w:r w:rsidR="00427468">
        <w:rPr>
          <w:kern w:val="0"/>
        </w:rPr>
        <w:t xml:space="preserve"> of </w:t>
      </w:r>
      <w:r w:rsidR="003A1917">
        <w:rPr>
          <w:kern w:val="0"/>
        </w:rPr>
        <w:t xml:space="preserve">the </w:t>
      </w:r>
      <w:r>
        <w:rPr>
          <w:kern w:val="0"/>
        </w:rPr>
        <w:t>saine region prevails (41.03%), followed by collaborations between departments, services or units</w:t>
      </w:r>
      <w:r w:rsidR="00427468">
        <w:rPr>
          <w:kern w:val="0"/>
        </w:rPr>
        <w:t xml:space="preserve"> of </w:t>
      </w:r>
      <w:r w:rsidR="003A1917">
        <w:rPr>
          <w:kern w:val="0"/>
        </w:rPr>
        <w:t xml:space="preserve">the </w:t>
      </w:r>
      <w:r>
        <w:rPr>
          <w:kern w:val="0"/>
        </w:rPr>
        <w:t>same institution (39.74%), inter-regional collaboration (14.97%)</w:t>
      </w:r>
      <w:r w:rsidR="005853A9">
        <w:rPr>
          <w:kern w:val="0"/>
        </w:rPr>
        <w:t xml:space="preserve"> and </w:t>
      </w:r>
      <w:r>
        <w:rPr>
          <w:kern w:val="0"/>
        </w:rPr>
        <w:t>international collaboration (6.83%). A total</w:t>
      </w:r>
      <w:r w:rsidR="00427468">
        <w:rPr>
          <w:kern w:val="0"/>
        </w:rPr>
        <w:t xml:space="preserve"> of </w:t>
      </w:r>
      <w:r>
        <w:rPr>
          <w:kern w:val="0"/>
        </w:rPr>
        <w:t>83.03%</w:t>
      </w:r>
      <w:r w:rsidR="00427468">
        <w:rPr>
          <w:kern w:val="0"/>
        </w:rPr>
        <w:t xml:space="preserve"> of </w:t>
      </w:r>
      <w:r>
        <w:rPr>
          <w:kern w:val="0"/>
        </w:rPr>
        <w:t>articles were cited</w:t>
      </w:r>
      <w:r w:rsidR="00A37C1D">
        <w:rPr>
          <w:kern w:val="0"/>
        </w:rPr>
        <w:t>. The</w:t>
      </w:r>
      <w:r w:rsidR="003A1917">
        <w:rPr>
          <w:kern w:val="0"/>
        </w:rPr>
        <w:t xml:space="preserve"> </w:t>
      </w:r>
      <w:r>
        <w:rPr>
          <w:kern w:val="0"/>
        </w:rPr>
        <w:t>main research areas covered by groups were chronic obstructive pulmonary disease, asthma, lung neoplasm, bronchogenic carcinoma, smoking</w:t>
      </w:r>
      <w:r w:rsidR="005853A9">
        <w:rPr>
          <w:kern w:val="0"/>
        </w:rPr>
        <w:t xml:space="preserve"> and </w:t>
      </w:r>
      <w:r>
        <w:rPr>
          <w:kern w:val="0"/>
        </w:rPr>
        <w:t>pulmonary embolism. Conclusions:</w:t>
      </w:r>
      <w:r w:rsidR="003A1917">
        <w:rPr>
          <w:kern w:val="0"/>
        </w:rPr>
        <w:t xml:space="preserve"> the </w:t>
      </w:r>
      <w:r>
        <w:rPr>
          <w:kern w:val="0"/>
        </w:rPr>
        <w:t>scientific production</w:t>
      </w:r>
      <w:r w:rsidR="00427468">
        <w:rPr>
          <w:kern w:val="0"/>
        </w:rPr>
        <w:t xml:space="preserve"> of </w:t>
      </w:r>
      <w:r>
        <w:rPr>
          <w:kern w:val="0"/>
        </w:rPr>
        <w:t>a large number</w:t>
      </w:r>
      <w:r w:rsidR="00427468">
        <w:rPr>
          <w:kern w:val="0"/>
        </w:rPr>
        <w:t xml:space="preserve"> of </w:t>
      </w:r>
      <w:r>
        <w:rPr>
          <w:kern w:val="0"/>
        </w:rPr>
        <w:t xml:space="preserve">Respiratory System Spanish research groups is published in </w:t>
      </w:r>
      <w:r w:rsidR="00C53E7B" w:rsidRPr="00C53E7B">
        <w:rPr>
          <w:i/>
          <w:kern w:val="0"/>
        </w:rPr>
        <w:t>Archivos de Bronconeumología</w:t>
      </w:r>
      <w:r>
        <w:rPr>
          <w:kern w:val="0"/>
        </w:rPr>
        <w:t>. A notable collaboration</w:t>
      </w:r>
      <w:r w:rsidR="005853A9">
        <w:rPr>
          <w:kern w:val="0"/>
        </w:rPr>
        <w:t xml:space="preserve"> and </w:t>
      </w:r>
      <w:r>
        <w:rPr>
          <w:kern w:val="0"/>
        </w:rPr>
        <w:lastRenderedPageBreak/>
        <w:t>citation rate has been observed. Nevertheless, it is still essential to encourage inter-regional</w:t>
      </w:r>
      <w:r w:rsidR="005853A9">
        <w:rPr>
          <w:kern w:val="0"/>
        </w:rPr>
        <w:t xml:space="preserve"> and </w:t>
      </w:r>
      <w:r>
        <w:rPr>
          <w:kern w:val="0"/>
        </w:rPr>
        <w:t>international collaboration. (C) 2009 SEPAR. Published by Elsevier Espana, S.L. All rights reserved.</w:t>
      </w:r>
    </w:p>
    <w:p w:rsidR="00EA6BFC" w:rsidRDefault="00EA6BFC" w:rsidP="00EA6BFC">
      <w:pPr>
        <w:pStyle w:val="a3"/>
        <w:rPr>
          <w:kern w:val="0"/>
        </w:rPr>
      </w:pPr>
      <w:r>
        <w:rPr>
          <w:kern w:val="0"/>
        </w:rPr>
        <w:t>Keywords: Articles, Asthma, Authorship, Awareness Year, Bibliometric, Bibliometrics, Bibliometry, Biomedical Research, Citation, Co-Authorship, Coauthorship, Coauthorship Networks, Collaboration, Community Networks, Cooperative Behaviour, Elsevier, Groups, Impact, Institutional Collaboration, Inter-Institutional Relationships, International Collaboration, Periodicals as Topic, Publications, Pulmonology, Research, Respiratory System, Science-Citation-Index, Scientific Production, Smoking, Smoking Research, Software, Spain, System, Thoracic-Surgery Separ</w:t>
      </w:r>
    </w:p>
    <w:p w:rsidR="006C130F" w:rsidRDefault="006C130F" w:rsidP="006C130F">
      <w:pPr>
        <w:pStyle w:val="a3"/>
        <w:rPr>
          <w:kern w:val="0"/>
        </w:rPr>
      </w:pPr>
      <w:r>
        <w:rPr>
          <w:rFonts w:hint="eastAsia"/>
          <w:kern w:val="0"/>
        </w:rPr>
        <w:t>Notes: CCountry</w:t>
      </w:r>
      <w:r w:rsidR="000806EC">
        <w:rPr>
          <w:rFonts w:hint="eastAsia"/>
          <w:kern w:val="0"/>
        </w:rPr>
        <w:t>, TTopics</w:t>
      </w:r>
    </w:p>
    <w:p w:rsidR="006C130F" w:rsidRDefault="006C130F" w:rsidP="006C130F">
      <w:pPr>
        <w:pStyle w:val="a3"/>
        <w:rPr>
          <w:kern w:val="0"/>
        </w:rPr>
      </w:pPr>
      <w:r>
        <w:rPr>
          <w:rFonts w:hint="eastAsia"/>
          <w:kern w:val="0"/>
        </w:rPr>
        <w:t xml:space="preserve">? </w:t>
      </w:r>
      <w:r>
        <w:rPr>
          <w:kern w:val="0"/>
        </w:rPr>
        <w:t xml:space="preserve">de Granda-Orive, J., </w:t>
      </w:r>
      <w:r>
        <w:rPr>
          <w:rFonts w:hint="eastAsia"/>
          <w:kern w:val="0"/>
        </w:rPr>
        <w:t>Al</w:t>
      </w:r>
      <w:r>
        <w:rPr>
          <w:kern w:val="0"/>
        </w:rPr>
        <w:t xml:space="preserve">onso-Arroyo, A., Serrano, S.J.V., </w:t>
      </w:r>
      <w:r>
        <w:rPr>
          <w:rFonts w:hint="eastAsia"/>
          <w:kern w:val="0"/>
        </w:rPr>
        <w:t>Al</w:t>
      </w:r>
      <w:r>
        <w:rPr>
          <w:kern w:val="0"/>
        </w:rPr>
        <w:t>eixandre-Benavent, R., González-Alcaide, G., García-Río, F., Jiménez-Ruiz, C.A., Solano-Reina, S.</w:t>
      </w:r>
      <w:r w:rsidR="005853A9">
        <w:rPr>
          <w:kern w:val="0"/>
        </w:rPr>
        <w:t xml:space="preserve"> and </w:t>
      </w:r>
      <w:r>
        <w:rPr>
          <w:kern w:val="0"/>
        </w:rPr>
        <w:t>Roig-Vázquez, F. (2011), Comparison between two five year periods (1998/2002</w:t>
      </w:r>
      <w:r w:rsidR="005853A9">
        <w:rPr>
          <w:kern w:val="0"/>
        </w:rPr>
        <w:t xml:space="preserve"> and </w:t>
      </w:r>
      <w:r>
        <w:rPr>
          <w:kern w:val="0"/>
        </w:rPr>
        <w:t>2003/2007) on</w:t>
      </w:r>
      <w:r w:rsidR="003A1917">
        <w:rPr>
          <w:kern w:val="0"/>
        </w:rPr>
        <w:t xml:space="preserve"> the </w:t>
      </w:r>
      <w:r>
        <w:rPr>
          <w:kern w:val="0"/>
        </w:rPr>
        <w:t>production, impact</w:t>
      </w:r>
      <w:r w:rsidR="005853A9">
        <w:rPr>
          <w:kern w:val="0"/>
        </w:rPr>
        <w:t xml:space="preserve"> and </w:t>
      </w:r>
      <w:r>
        <w:rPr>
          <w:kern w:val="0"/>
        </w:rPr>
        <w:t>co-authorship</w:t>
      </w:r>
      <w:r w:rsidR="00427468">
        <w:rPr>
          <w:kern w:val="0"/>
        </w:rPr>
        <w:t xml:space="preserve"> of </w:t>
      </w:r>
      <w:r>
        <w:rPr>
          <w:kern w:val="0"/>
        </w:rPr>
        <w:t>publications on tobacco</w:t>
      </w:r>
      <w:r w:rsidR="005853A9">
        <w:rPr>
          <w:kern w:val="0"/>
        </w:rPr>
        <w:t xml:space="preserve"> and </w:t>
      </w:r>
      <w:r>
        <w:rPr>
          <w:kern w:val="0"/>
        </w:rPr>
        <w:t>smoking by Spanish authors using</w:t>
      </w:r>
      <w:r w:rsidR="003A1917">
        <w:rPr>
          <w:kern w:val="0"/>
        </w:rPr>
        <w:t xml:space="preserve"> the </w:t>
      </w:r>
      <w:r>
        <w:rPr>
          <w:kern w:val="0"/>
        </w:rPr>
        <w:t xml:space="preserve">Science Citation Index. </w:t>
      </w:r>
      <w:r w:rsidRPr="00C53E7B">
        <w:rPr>
          <w:i/>
          <w:iCs/>
          <w:kern w:val="0"/>
        </w:rPr>
        <w:t>Archivos de Bronconeumología</w:t>
      </w:r>
      <w:r>
        <w:rPr>
          <w:kern w:val="0"/>
        </w:rPr>
        <w:t xml:space="preserve">, </w:t>
      </w:r>
      <w:r>
        <w:rPr>
          <w:b/>
          <w:bCs/>
          <w:kern w:val="0"/>
        </w:rPr>
        <w:t>47</w:t>
      </w:r>
      <w:r>
        <w:rPr>
          <w:kern w:val="0"/>
        </w:rPr>
        <w:t xml:space="preserve"> (1), 25-34.</w:t>
      </w:r>
    </w:p>
    <w:p w:rsidR="006C130F" w:rsidRPr="001A3D2B" w:rsidRDefault="006C130F" w:rsidP="006C130F">
      <w:pPr>
        <w:pStyle w:val="a3"/>
      </w:pPr>
      <w:r w:rsidRPr="001A3D2B">
        <w:t xml:space="preserve">Full Text: </w:t>
      </w:r>
      <w:hyperlink r:id="rId1199" w:history="1">
        <w:r w:rsidRPr="00D24705">
          <w:rPr>
            <w:rStyle w:val="a5"/>
          </w:rPr>
          <w:t>2011\Arc Bro47, 25.pdf</w:t>
        </w:r>
      </w:hyperlink>
    </w:p>
    <w:p w:rsidR="00E11233" w:rsidRDefault="00E11233" w:rsidP="00E11233">
      <w:pPr>
        <w:pStyle w:val="a3"/>
        <w:rPr>
          <w:kern w:val="0"/>
        </w:rPr>
      </w:pPr>
      <w:r>
        <w:rPr>
          <w:kern w:val="0"/>
        </w:rPr>
        <w:t>Abstract: Objective:</w:t>
      </w:r>
      <w:r w:rsidR="003A1917">
        <w:rPr>
          <w:kern w:val="0"/>
        </w:rPr>
        <w:t xml:space="preserve"> the </w:t>
      </w:r>
      <w:r>
        <w:rPr>
          <w:kern w:val="0"/>
        </w:rPr>
        <w:t>aim</w:t>
      </w:r>
      <w:r w:rsidR="00427468">
        <w:rPr>
          <w:kern w:val="0"/>
        </w:rPr>
        <w:t xml:space="preserve"> of </w:t>
      </w:r>
      <w:r>
        <w:rPr>
          <w:kern w:val="0"/>
        </w:rPr>
        <w:t>this study was to compare</w:t>
      </w:r>
      <w:r w:rsidR="003A1917">
        <w:rPr>
          <w:kern w:val="0"/>
        </w:rPr>
        <w:t xml:space="preserve"> the </w:t>
      </w:r>
      <w:r>
        <w:rPr>
          <w:kern w:val="0"/>
        </w:rPr>
        <w:t>production, impact</w:t>
      </w:r>
      <w:r w:rsidR="005853A9">
        <w:rPr>
          <w:kern w:val="0"/>
        </w:rPr>
        <w:t xml:space="preserve"> and </w:t>
      </w:r>
      <w:r>
        <w:rPr>
          <w:kern w:val="0"/>
        </w:rPr>
        <w:t>co-authorship</w:t>
      </w:r>
      <w:r w:rsidR="00427468">
        <w:rPr>
          <w:kern w:val="0"/>
        </w:rPr>
        <w:t xml:space="preserve"> of </w:t>
      </w:r>
      <w:r>
        <w:rPr>
          <w:kern w:val="0"/>
        </w:rPr>
        <w:t>publications by Spanish authors on smoking</w:t>
      </w:r>
      <w:r w:rsidR="005853A9">
        <w:rPr>
          <w:kern w:val="0"/>
        </w:rPr>
        <w:t xml:space="preserve"> and </w:t>
      </w:r>
      <w:r>
        <w:rPr>
          <w:kern w:val="0"/>
        </w:rPr>
        <w:t>tobacco between two time periods (1998/2002 vs 2003/2007) using Science Citation Index (SCI). Methods:</w:t>
      </w:r>
      <w:r w:rsidR="003A1917">
        <w:rPr>
          <w:kern w:val="0"/>
        </w:rPr>
        <w:t xml:space="preserve"> the </w:t>
      </w:r>
      <w:r>
        <w:rPr>
          <w:kern w:val="0"/>
        </w:rPr>
        <w:t>literature search was performed in</w:t>
      </w:r>
      <w:r w:rsidR="003A1917">
        <w:rPr>
          <w:kern w:val="0"/>
        </w:rPr>
        <w:t xml:space="preserve"> the </w:t>
      </w:r>
      <w:r>
        <w:rPr>
          <w:kern w:val="0"/>
        </w:rPr>
        <w:t>SCI-Expanded on 20 November 2008. All types</w:t>
      </w:r>
      <w:r w:rsidR="00427468">
        <w:rPr>
          <w:kern w:val="0"/>
        </w:rPr>
        <w:t xml:space="preserve"> of </w:t>
      </w:r>
      <w:r>
        <w:rPr>
          <w:kern w:val="0"/>
        </w:rPr>
        <w:t>documents by Spanish authors were selected</w:t>
      </w:r>
      <w:r w:rsidR="00A37C1D">
        <w:rPr>
          <w:kern w:val="0"/>
        </w:rPr>
        <w:t>. The</w:t>
      </w:r>
      <w:r w:rsidR="003A1917">
        <w:rPr>
          <w:kern w:val="0"/>
        </w:rPr>
        <w:t xml:space="preserve"> </w:t>
      </w:r>
      <w:r>
        <w:rPr>
          <w:kern w:val="0"/>
        </w:rPr>
        <w:t>search was restricted to</w:t>
      </w:r>
      <w:r w:rsidR="003A1917">
        <w:rPr>
          <w:kern w:val="0"/>
        </w:rPr>
        <w:t xml:space="preserve"> the </w:t>
      </w:r>
      <w:r>
        <w:rPr>
          <w:kern w:val="0"/>
        </w:rPr>
        <w:t>title,</w:t>
      </w:r>
      <w:r w:rsidR="005853A9">
        <w:rPr>
          <w:kern w:val="0"/>
        </w:rPr>
        <w:t xml:space="preserve"> and </w:t>
      </w:r>
      <w:r w:rsidR="003A1917">
        <w:rPr>
          <w:kern w:val="0"/>
        </w:rPr>
        <w:t xml:space="preserve">the </w:t>
      </w:r>
      <w:r>
        <w:rPr>
          <w:kern w:val="0"/>
        </w:rPr>
        <w:t xml:space="preserve">key words used were </w:t>
      </w:r>
      <w:r w:rsidR="00B5188C">
        <w:rPr>
          <w:kern w:val="0"/>
        </w:rPr>
        <w:t>“</w:t>
      </w:r>
      <w:r>
        <w:rPr>
          <w:kern w:val="0"/>
        </w:rPr>
        <w:t>smok*</w:t>
      </w:r>
      <w:r w:rsidR="00B5188C">
        <w:rPr>
          <w:kern w:val="0"/>
        </w:rPr>
        <w:t>”</w:t>
      </w:r>
      <w:r w:rsidR="005853A9">
        <w:rPr>
          <w:kern w:val="0"/>
        </w:rPr>
        <w:t xml:space="preserve"> and </w:t>
      </w:r>
      <w:r w:rsidR="00B5188C">
        <w:rPr>
          <w:kern w:val="0"/>
        </w:rPr>
        <w:t>“</w:t>
      </w:r>
      <w:r>
        <w:rPr>
          <w:kern w:val="0"/>
        </w:rPr>
        <w:t>tobac*</w:t>
      </w:r>
      <w:r w:rsidR="00B5188C">
        <w:rPr>
          <w:kern w:val="0"/>
        </w:rPr>
        <w:t>”</w:t>
      </w:r>
      <w:r w:rsidR="00A37C1D">
        <w:rPr>
          <w:kern w:val="0"/>
        </w:rPr>
        <w:t>. The</w:t>
      </w:r>
      <w:r w:rsidR="003A1917">
        <w:rPr>
          <w:kern w:val="0"/>
        </w:rPr>
        <w:t xml:space="preserve"> </w:t>
      </w:r>
      <w:r>
        <w:rPr>
          <w:kern w:val="0"/>
        </w:rPr>
        <w:t>statistical analysis was descriptive (95% CI). Results: A total</w:t>
      </w:r>
      <w:r w:rsidR="00427468">
        <w:rPr>
          <w:kern w:val="0"/>
        </w:rPr>
        <w:t xml:space="preserve"> of </w:t>
      </w:r>
      <w:r>
        <w:rPr>
          <w:kern w:val="0"/>
        </w:rPr>
        <w:t>588 documents were obtained, with 399 (67.85%) original papers, 54(9.18%) letters to</w:t>
      </w:r>
      <w:r w:rsidR="003A1917">
        <w:rPr>
          <w:kern w:val="0"/>
        </w:rPr>
        <w:t xml:space="preserve"> the </w:t>
      </w:r>
      <w:r>
        <w:rPr>
          <w:kern w:val="0"/>
        </w:rPr>
        <w:t>editor,</w:t>
      </w:r>
      <w:r w:rsidR="005853A9">
        <w:rPr>
          <w:kern w:val="0"/>
        </w:rPr>
        <w:t xml:space="preserve"> and </w:t>
      </w:r>
      <w:r>
        <w:rPr>
          <w:kern w:val="0"/>
        </w:rPr>
        <w:t>35 (5.95%) editorials. Productivity increased between</w:t>
      </w:r>
      <w:r w:rsidR="003A1917">
        <w:rPr>
          <w:kern w:val="0"/>
        </w:rPr>
        <w:t xml:space="preserve"> the </w:t>
      </w:r>
      <w:r>
        <w:rPr>
          <w:kern w:val="0"/>
        </w:rPr>
        <w:t>98/02 to 03/07 periods: 234 (39.8%) documents versus 354 (60.2%). We have found significant differences between</w:t>
      </w:r>
      <w:r w:rsidR="003A1917">
        <w:rPr>
          <w:kern w:val="0"/>
        </w:rPr>
        <w:t xml:space="preserve"> the </w:t>
      </w:r>
      <w:r>
        <w:rPr>
          <w:kern w:val="0"/>
        </w:rPr>
        <w:t>two periods (98/02 vs 03/07) in total mean annual documents (47 +/- 8 vs 71 +/- 16 [p=0.024])</w:t>
      </w:r>
      <w:r w:rsidR="005853A9">
        <w:rPr>
          <w:kern w:val="0"/>
        </w:rPr>
        <w:t xml:space="preserve"> and </w:t>
      </w:r>
      <w:r>
        <w:rPr>
          <w:kern w:val="0"/>
        </w:rPr>
        <w:t>total mean annual original papers (34 +/- 6 vs 46 +/- 9 [p = 0.041])</w:t>
      </w:r>
      <w:r w:rsidR="00A37C1D">
        <w:rPr>
          <w:kern w:val="0"/>
        </w:rPr>
        <w:t>. The</w:t>
      </w:r>
      <w:r w:rsidR="003A1917">
        <w:rPr>
          <w:kern w:val="0"/>
        </w:rPr>
        <w:t xml:space="preserve"> </w:t>
      </w:r>
      <w:r>
        <w:rPr>
          <w:kern w:val="0"/>
        </w:rPr>
        <w:t>mean number</w:t>
      </w:r>
      <w:r w:rsidR="00427468">
        <w:rPr>
          <w:kern w:val="0"/>
        </w:rPr>
        <w:t xml:space="preserve"> of </w:t>
      </w:r>
      <w:r>
        <w:rPr>
          <w:kern w:val="0"/>
        </w:rPr>
        <w:t>citations per document was 14.1 +/- 2.1 for 98/02 period</w:t>
      </w:r>
      <w:r w:rsidR="005853A9">
        <w:rPr>
          <w:kern w:val="0"/>
        </w:rPr>
        <w:t xml:space="preserve"> and </w:t>
      </w:r>
      <w:r>
        <w:rPr>
          <w:kern w:val="0"/>
        </w:rPr>
        <w:t>5.6 +/- 2.5 for 03/07 period (p = 0.003)</w:t>
      </w:r>
      <w:r w:rsidR="00A37C1D">
        <w:rPr>
          <w:kern w:val="0"/>
        </w:rPr>
        <w:t>. The</w:t>
      </w:r>
      <w:r w:rsidR="003A1917">
        <w:rPr>
          <w:kern w:val="0"/>
        </w:rPr>
        <w:t xml:space="preserve"> </w:t>
      </w:r>
      <w:r>
        <w:rPr>
          <w:kern w:val="0"/>
        </w:rPr>
        <w:t>co-authorship annual index had increased; with a mean</w:t>
      </w:r>
      <w:r w:rsidR="00427468">
        <w:rPr>
          <w:kern w:val="0"/>
        </w:rPr>
        <w:t xml:space="preserve"> of </w:t>
      </w:r>
      <w:r>
        <w:rPr>
          <w:kern w:val="0"/>
        </w:rPr>
        <w:t>6.77 signatures/document for 98/02 period to a mean</w:t>
      </w:r>
      <w:r w:rsidR="00427468">
        <w:rPr>
          <w:kern w:val="0"/>
        </w:rPr>
        <w:t xml:space="preserve"> of </w:t>
      </w:r>
      <w:r>
        <w:rPr>
          <w:kern w:val="0"/>
        </w:rPr>
        <w:t>6.87 for 03/07 period. Authors</w:t>
      </w:r>
      <w:r w:rsidR="005853A9">
        <w:rPr>
          <w:kern w:val="0"/>
        </w:rPr>
        <w:t xml:space="preserve"> and </w:t>
      </w:r>
      <w:r>
        <w:rPr>
          <w:kern w:val="0"/>
        </w:rPr>
        <w:t>institution networks collaborations had increased between</w:t>
      </w:r>
      <w:r w:rsidR="003A1917">
        <w:rPr>
          <w:kern w:val="0"/>
        </w:rPr>
        <w:t xml:space="preserve"> the </w:t>
      </w:r>
      <w:r>
        <w:rPr>
          <w:kern w:val="0"/>
        </w:rPr>
        <w:t>two periods. Conclusions: Spanish production</w:t>
      </w:r>
      <w:r w:rsidR="005853A9">
        <w:rPr>
          <w:kern w:val="0"/>
        </w:rPr>
        <w:t xml:space="preserve"> and </w:t>
      </w:r>
      <w:r>
        <w:rPr>
          <w:kern w:val="0"/>
        </w:rPr>
        <w:t>co-authorship</w:t>
      </w:r>
      <w:r w:rsidR="00427468">
        <w:rPr>
          <w:kern w:val="0"/>
        </w:rPr>
        <w:t xml:space="preserve"> of </w:t>
      </w:r>
      <w:r>
        <w:rPr>
          <w:kern w:val="0"/>
        </w:rPr>
        <w:t>documents on smoking</w:t>
      </w:r>
      <w:r w:rsidR="005853A9">
        <w:rPr>
          <w:kern w:val="0"/>
        </w:rPr>
        <w:t xml:space="preserve"> and </w:t>
      </w:r>
      <w:r>
        <w:rPr>
          <w:kern w:val="0"/>
        </w:rPr>
        <w:t>tobacco have increased between these two periods</w:t>
      </w:r>
      <w:r w:rsidR="00A37C1D">
        <w:rPr>
          <w:kern w:val="0"/>
        </w:rPr>
        <w:t>. The</w:t>
      </w:r>
      <w:r w:rsidR="003A1917">
        <w:rPr>
          <w:kern w:val="0"/>
        </w:rPr>
        <w:t xml:space="preserve"> </w:t>
      </w:r>
      <w:r>
        <w:rPr>
          <w:kern w:val="0"/>
        </w:rPr>
        <w:t>earlier period documents received more citations. (C) 2010 SEPAR. Published by Elsevier Espana, S.L. All rights reserved.</w:t>
      </w:r>
    </w:p>
    <w:p w:rsidR="00E11233" w:rsidRDefault="00E11233" w:rsidP="00E11233">
      <w:pPr>
        <w:pStyle w:val="a3"/>
        <w:rPr>
          <w:kern w:val="0"/>
        </w:rPr>
      </w:pPr>
      <w:r>
        <w:rPr>
          <w:kern w:val="0"/>
        </w:rPr>
        <w:lastRenderedPageBreak/>
        <w:t xml:space="preserve">Keywords: Analysis, Authors, Bibliometric Analysis, Citation, Citations, Co-Authorship, Coauthorship, Coauthorship Networks, Collaborations, Cooperation, Impact, Index, Literature, </w:t>
      </w:r>
      <w:r w:rsidR="00D5664A">
        <w:rPr>
          <w:kern w:val="0"/>
        </w:rPr>
        <w:t>MEDLINE</w:t>
      </w:r>
      <w:r>
        <w:rPr>
          <w:kern w:val="0"/>
        </w:rPr>
        <w:t>, Networks, Papers, Publications, Rights</w:t>
      </w:r>
      <w:r w:rsidR="00D5664A">
        <w:rPr>
          <w:kern w:val="0"/>
        </w:rPr>
        <w:t>, SCI,</w:t>
      </w:r>
      <w:r>
        <w:rPr>
          <w:kern w:val="0"/>
        </w:rPr>
        <w:t xml:space="preserve"> Science, Science Citation Index, Scientific Collaboration, Scientific Publication, Smoking, Spain, Statistical Analysis, Tobacco</w:t>
      </w:r>
    </w:p>
    <w:p w:rsidR="003474F2" w:rsidRPr="001A3D2B" w:rsidRDefault="003474F2" w:rsidP="003474F2">
      <w:pPr>
        <w:pStyle w:val="1"/>
      </w:pPr>
      <w:r w:rsidRPr="001A3D2B">
        <w:br w:type="page"/>
      </w:r>
      <w:bookmarkStart w:id="613" w:name="_Toc420814599"/>
      <w:r w:rsidRPr="001A3D2B">
        <w:lastRenderedPageBreak/>
        <w:t>Title: Archivos Espanoles de Urologia</w:t>
      </w:r>
      <w:bookmarkEnd w:id="613"/>
    </w:p>
    <w:p w:rsidR="003474F2" w:rsidRPr="001A3D2B" w:rsidRDefault="003474F2" w:rsidP="003474F2">
      <w:pPr>
        <w:pStyle w:val="12"/>
      </w:pPr>
      <w:r w:rsidRPr="001A3D2B">
        <w:t>Full Journal Title: Archivos Espanoles de Urologia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Perez Arbej, J.A., Cameo Rico, M.I., rnaiz Esteban, F., Martinez Perez, E., Nogueras Gimeno, M.A., Espuela Org</w:t>
      </w:r>
      <w:r w:rsidR="005853A9">
        <w:t xml:space="preserve"> and </w:t>
      </w:r>
      <w:r w:rsidRPr="001A3D2B">
        <w:t>Crespo Mayor, V. (1997), Urological publications in</w:t>
      </w:r>
      <w:r w:rsidR="003A1917">
        <w:t xml:space="preserve"> the </w:t>
      </w:r>
      <w:r w:rsidRPr="001A3D2B">
        <w:t>Spanish language: Their impact</w:t>
      </w:r>
      <w:r w:rsidR="00427468">
        <w:t xml:space="preserve"> of </w:t>
      </w:r>
      <w:r w:rsidRPr="001A3D2B">
        <w:t>journals in</w:t>
      </w:r>
      <w:r w:rsidR="003A1917">
        <w:t xml:space="preserve"> the </w:t>
      </w:r>
      <w:r w:rsidRPr="001A3D2B">
        <w:t xml:space="preserve">English language. </w:t>
      </w:r>
      <w:r w:rsidRPr="001A3D2B">
        <w:rPr>
          <w:i/>
          <w:iCs/>
        </w:rPr>
        <w:t>Archivos Espanoles de Urologia</w:t>
      </w:r>
      <w:r w:rsidRPr="001A3D2B">
        <w:t xml:space="preserve">, </w:t>
      </w:r>
      <w:r w:rsidRPr="001A3D2B">
        <w:rPr>
          <w:b/>
          <w:bCs/>
        </w:rPr>
        <w:t>50</w:t>
      </w:r>
      <w:r w:rsidRPr="001A3D2B">
        <w:t xml:space="preserve"> (5), 427-432.</w:t>
      </w:r>
    </w:p>
    <w:p w:rsidR="003474F2" w:rsidRPr="001A3D2B" w:rsidRDefault="003474F2" w:rsidP="003474F2">
      <w:pPr>
        <w:pStyle w:val="a3"/>
      </w:pPr>
      <w:r w:rsidRPr="001A3D2B">
        <w:t>Abstract: OBJECTIVE: A study was conducted to analyze</w:t>
      </w:r>
      <w:r w:rsidR="003A1917">
        <w:t xml:space="preserve"> the </w:t>
      </w:r>
      <w:r w:rsidRPr="001A3D2B">
        <w:t>impact</w:t>
      </w:r>
      <w:r w:rsidR="00427468">
        <w:t xml:space="preserve"> of </w:t>
      </w:r>
      <w:r w:rsidR="003A1917">
        <w:t xml:space="preserve">the </w:t>
      </w:r>
      <w:r w:rsidRPr="001A3D2B">
        <w:t>articles published by Spanish authors in</w:t>
      </w:r>
      <w:r w:rsidR="003A1917">
        <w:t xml:space="preserve"> the </w:t>
      </w:r>
      <w:r w:rsidRPr="001A3D2B">
        <w:t>English language urological journals</w:t>
      </w:r>
      <w:r w:rsidR="005853A9">
        <w:t xml:space="preserve"> and </w:t>
      </w:r>
      <w:r w:rsidRPr="001A3D2B">
        <w:t>those published in Spanish journals in</w:t>
      </w:r>
      <w:r w:rsidR="003A1917">
        <w:t xml:space="preserve"> the </w:t>
      </w:r>
      <w:r w:rsidRPr="001A3D2B">
        <w:t>bibliography referenced in</w:t>
      </w:r>
      <w:r w:rsidR="003A1917">
        <w:t xml:space="preserve"> the </w:t>
      </w:r>
      <w:r w:rsidRPr="001A3D2B">
        <w:t>English language urological literature. METHODS: We randomly analyzed volumes 147,39</w:t>
      </w:r>
      <w:r w:rsidR="005853A9">
        <w:t xml:space="preserve"> and </w:t>
      </w:r>
      <w:r w:rsidRPr="001A3D2B">
        <w:t>69</w:t>
      </w:r>
      <w:r w:rsidR="00427468">
        <w:t xml:space="preserve"> of </w:t>
      </w:r>
      <w:r w:rsidR="003A1917">
        <w:t xml:space="preserve">the </w:t>
      </w:r>
      <w:r w:rsidRPr="001A3D2B">
        <w:t>Journal</w:t>
      </w:r>
      <w:r w:rsidR="00427468">
        <w:t xml:space="preserve"> of </w:t>
      </w:r>
      <w:r w:rsidRPr="001A3D2B">
        <w:t>Urology, Urology</w:t>
      </w:r>
      <w:r w:rsidR="005853A9">
        <w:t xml:space="preserve"> and </w:t>
      </w:r>
      <w:r w:rsidR="003A1917">
        <w:t xml:space="preserve">the </w:t>
      </w:r>
      <w:r w:rsidRPr="001A3D2B">
        <w:t>British Journal</w:t>
      </w:r>
      <w:r w:rsidR="00427468">
        <w:t xml:space="preserve"> of </w:t>
      </w:r>
      <w:r w:rsidRPr="001A3D2B">
        <w:t>Urology, respectively. All articles in</w:t>
      </w:r>
      <w:r w:rsidR="003A1917">
        <w:t xml:space="preserve"> the </w:t>
      </w:r>
      <w:r w:rsidRPr="001A3D2B">
        <w:t>foregoing volumes were reviewed</w:t>
      </w:r>
      <w:r w:rsidR="005853A9">
        <w:t xml:space="preserve"> and </w:t>
      </w:r>
      <w:r w:rsidRPr="001A3D2B">
        <w:t>analyzed as follows: sections, country, no.</w:t>
      </w:r>
      <w:r w:rsidR="00427468">
        <w:t xml:space="preserve"> of </w:t>
      </w:r>
      <w:r w:rsidRPr="001A3D2B">
        <w:t>references, no.</w:t>
      </w:r>
      <w:r w:rsidR="00427468">
        <w:t xml:space="preserve"> of </w:t>
      </w:r>
      <w:r w:rsidRPr="001A3D2B">
        <w:t>Spanish publications referenced, no.</w:t>
      </w:r>
      <w:r w:rsidR="00427468">
        <w:t xml:space="preserve"> of </w:t>
      </w:r>
      <w:r w:rsidRPr="001A3D2B">
        <w:t>references</w:t>
      </w:r>
      <w:r w:rsidR="00427468">
        <w:t xml:space="preserve"> of </w:t>
      </w:r>
      <w:r w:rsidRPr="001A3D2B">
        <w:t>Spanish publications</w:t>
      </w:r>
      <w:r w:rsidR="005853A9">
        <w:t xml:space="preserve"> and </w:t>
      </w:r>
      <w:r w:rsidR="003A1917">
        <w:t xml:space="preserve">the </w:t>
      </w:r>
      <w:r w:rsidRPr="001A3D2B">
        <w:t>number</w:t>
      </w:r>
      <w:r w:rsidR="00427468">
        <w:t xml:space="preserve"> of </w:t>
      </w:r>
      <w:r w:rsidRPr="001A3D2B">
        <w:t>Spanish references cited in these. RESULTS: 356 articles were published in</w:t>
      </w:r>
      <w:r w:rsidR="003A1917">
        <w:t xml:space="preserve"> the </w:t>
      </w:r>
      <w:r w:rsidRPr="001A3D2B">
        <w:t>Journal</w:t>
      </w:r>
      <w:r w:rsidR="00427468">
        <w:t xml:space="preserve"> of </w:t>
      </w:r>
      <w:r w:rsidRPr="001A3D2B">
        <w:t>Urology;</w:t>
      </w:r>
      <w:r w:rsidR="00427468">
        <w:t xml:space="preserve"> of </w:t>
      </w:r>
      <w:r w:rsidRPr="001A3D2B">
        <w:t>these, 59% were by American</w:t>
      </w:r>
      <w:r w:rsidR="005853A9">
        <w:t xml:space="preserve"> and </w:t>
      </w:r>
      <w:r w:rsidRPr="001A3D2B">
        <w:t>only 6 (1.68%) were by Spanish authors, which ranked 8th according to number</w:t>
      </w:r>
      <w:r w:rsidR="00A37C1D">
        <w:t>. The</w:t>
      </w:r>
      <w:r w:rsidRPr="001A3D2B">
        <w:t>se 6 articles by Spanish authors cited 84 references;</w:t>
      </w:r>
      <w:r w:rsidR="00427468">
        <w:t xml:space="preserve"> of </w:t>
      </w:r>
      <w:r w:rsidRPr="001A3D2B">
        <w:t>these, only 3 were Spanish publications. Overall, there were 6,708 references (mean 18.8); 6 (0.11%) were articles published by Spanish authors. In Urology, 140 articles were published;</w:t>
      </w:r>
      <w:r w:rsidR="00427468">
        <w:t xml:space="preserve"> of </w:t>
      </w:r>
      <w:r w:rsidRPr="001A3D2B">
        <w:t>these, 75 % were by American</w:t>
      </w:r>
      <w:r w:rsidR="005853A9">
        <w:t xml:space="preserve"> and </w:t>
      </w:r>
      <w:r w:rsidRPr="001A3D2B">
        <w:t>only one (0.71%) by Spanish authors, which ranked 6th according to number. This article by Spanish authors cited 38 references;</w:t>
      </w:r>
      <w:r w:rsidR="00427468">
        <w:t xml:space="preserve"> of </w:t>
      </w:r>
      <w:r w:rsidRPr="001A3D2B">
        <w:t>these, only 3 were Spanish publications. Overall, there were 2,055 references (mean 14.6); only 8 (0.38%) were articles published by Spanish authors. In</w:t>
      </w:r>
      <w:r w:rsidR="003A1917">
        <w:t xml:space="preserve"> the </w:t>
      </w:r>
      <w:r w:rsidRPr="001A3D2B">
        <w:t>British Journal</w:t>
      </w:r>
      <w:r w:rsidR="00427468">
        <w:t xml:space="preserve"> of </w:t>
      </w:r>
      <w:r w:rsidRPr="001A3D2B">
        <w:t>Urology, 177 articles were published;</w:t>
      </w:r>
      <w:r w:rsidR="00427468">
        <w:t xml:space="preserve"> of </w:t>
      </w:r>
      <w:r w:rsidRPr="001A3D2B">
        <w:t>these, 96 (54.2%) were by British authors</w:t>
      </w:r>
      <w:r w:rsidR="005853A9">
        <w:t xml:space="preserve"> and </w:t>
      </w:r>
      <w:r w:rsidRPr="001A3D2B">
        <w:t>only one (0.56%) by Spanis authors, which ranked 9th according to number. This article by Spanish authors cited 11 references; none</w:t>
      </w:r>
      <w:r w:rsidR="00427468">
        <w:t xml:space="preserve"> of </w:t>
      </w:r>
      <w:r w:rsidRPr="001A3D2B">
        <w:t xml:space="preserve">them were Spanish publications. Overall, there were 1,988 references (mean 11.2); </w:t>
      </w:r>
      <w:r w:rsidRPr="001A3D2B">
        <w:lastRenderedPageBreak/>
        <w:t>14 (0.7%) were articles published by Spanish authors. CONCLUSION: Spanish authors are not worse off than those</w:t>
      </w:r>
      <w:r w:rsidR="00427468">
        <w:t xml:space="preserve"> of </w:t>
      </w:r>
      <w:r w:rsidRPr="001A3D2B">
        <w:t>other neighbouring countries in regard to</w:t>
      </w:r>
      <w:r w:rsidR="003A1917">
        <w:t xml:space="preserve"> the </w:t>
      </w:r>
      <w:r w:rsidRPr="001A3D2B">
        <w:t>number</w:t>
      </w:r>
      <w:r w:rsidR="00427468">
        <w:t xml:space="preserve"> of </w:t>
      </w:r>
      <w:r w:rsidRPr="001A3D2B">
        <w:t>articles published (1.18%) in</w:t>
      </w:r>
      <w:r w:rsidR="003A1917">
        <w:t xml:space="preserve"> the </w:t>
      </w:r>
      <w:r w:rsidRPr="001A3D2B">
        <w:t>three journals analyzed, where most</w:t>
      </w:r>
      <w:r w:rsidR="00427468">
        <w:t xml:space="preserve"> of </w:t>
      </w:r>
      <w:r w:rsidR="003A1917">
        <w:t xml:space="preserve">the </w:t>
      </w:r>
      <w:r w:rsidRPr="001A3D2B">
        <w:t>articles were chiefly by American or British authors. Spanish publications have no impact in</w:t>
      </w:r>
      <w:r w:rsidR="003A1917">
        <w:t xml:space="preserve"> the </w:t>
      </w:r>
      <w:r w:rsidRPr="001A3D2B">
        <w:t>English-speaking countries, although</w:t>
      </w:r>
      <w:r w:rsidR="003A1917">
        <w:t xml:space="preserve"> the </w:t>
      </w:r>
      <w:r w:rsidRPr="001A3D2B">
        <w:t>number</w:t>
      </w:r>
      <w:r w:rsidR="00427468">
        <w:t xml:space="preserve"> of </w:t>
      </w:r>
      <w:r w:rsidRPr="001A3D2B">
        <w:t>Spanish publications has been slowly but steadily growing</w:t>
      </w:r>
      <w:r w:rsidR="005853A9">
        <w:t xml:space="preserve"> and </w:t>
      </w:r>
      <w:r w:rsidRPr="001A3D2B">
        <w:t>currently account for 1.21%</w:t>
      </w:r>
      <w:r w:rsidR="00427468">
        <w:t xml:space="preserve"> of </w:t>
      </w:r>
      <w:r w:rsidR="003A1917">
        <w:t xml:space="preserve">the </w:t>
      </w:r>
      <w:r w:rsidRPr="001A3D2B">
        <w:t>publications worldwide; 41.5%</w:t>
      </w:r>
      <w:r w:rsidR="00427468">
        <w:t xml:space="preserve"> of </w:t>
      </w:r>
      <w:r w:rsidRPr="001A3D2B">
        <w:t>these are referenced in</w:t>
      </w:r>
      <w:r w:rsidR="003A1917">
        <w:t xml:space="preserve"> the </w:t>
      </w:r>
      <w:r w:rsidRPr="001A3D2B">
        <w:t>Science Citation Index</w:t>
      </w:r>
      <w:r w:rsidR="005853A9">
        <w:t xml:space="preserve"> and </w:t>
      </w:r>
      <w:r w:rsidR="003A1917">
        <w:t xml:space="preserve">the </w:t>
      </w:r>
      <w:r w:rsidRPr="001A3D2B">
        <w:t>Uro-Andrological publications rank 6th (4.2%). Moreover, when Spanish authors are able to publish articles in</w:t>
      </w:r>
      <w:r w:rsidR="003A1917">
        <w:t xml:space="preserve"> the </w:t>
      </w:r>
      <w:r w:rsidRPr="001A3D2B">
        <w:t>English-language journals, they rarely reference Spanish publications. However, in proportion, these have more impact than</w:t>
      </w:r>
      <w:r w:rsidR="003A1917">
        <w:t xml:space="preserve"> the </w:t>
      </w:r>
      <w:r w:rsidRPr="001A3D2B">
        <w:t>Spanish publications</w:t>
      </w:r>
      <w:r w:rsidR="00A37C1D">
        <w:t>. The</w:t>
      </w:r>
      <w:r w:rsidR="003A1917">
        <w:t xml:space="preserve"> </w:t>
      </w:r>
      <w:r w:rsidRPr="001A3D2B">
        <w:t>current trend in</w:t>
      </w:r>
      <w:r w:rsidR="003A1917">
        <w:t xml:space="preserve"> the </w:t>
      </w:r>
      <w:r w:rsidRPr="001A3D2B">
        <w:t>prevalence</w:t>
      </w:r>
      <w:r w:rsidR="00427468">
        <w:t xml:space="preserve"> of </w:t>
      </w:r>
      <w:r w:rsidR="003A1917">
        <w:t xml:space="preserve">the </w:t>
      </w:r>
      <w:r w:rsidRPr="001A3D2B">
        <w:t>English language in</w:t>
      </w:r>
      <w:r w:rsidR="003A1917">
        <w:t xml:space="preserve"> the </w:t>
      </w:r>
      <w:r w:rsidRPr="001A3D2B">
        <w:t>scientific field is probably</w:t>
      </w:r>
      <w:r w:rsidR="003A1917">
        <w:t xml:space="preserve"> the </w:t>
      </w:r>
      <w:r w:rsidRPr="001A3D2B">
        <w:t>cause</w:t>
      </w:r>
      <w:r w:rsidR="00427468">
        <w:t xml:space="preserve"> of </w:t>
      </w:r>
      <w:r w:rsidR="003A1917">
        <w:t xml:space="preserve">the </w:t>
      </w:r>
      <w:r w:rsidRPr="001A3D2B">
        <w:t>nonexistent impact outside Spain, where they are hardly read by</w:t>
      </w:r>
      <w:r w:rsidR="003A1917">
        <w:t xml:space="preserve"> the </w:t>
      </w:r>
      <w:r w:rsidRPr="001A3D2B">
        <w:t>Spanish-speaking communities</w:t>
      </w:r>
      <w:r w:rsidR="00A37C1D">
        <w:t>. The</w:t>
      </w:r>
      <w:r w:rsidR="003A1917">
        <w:t xml:space="preserve"> </w:t>
      </w:r>
      <w:r w:rsidRPr="001A3D2B">
        <w:t>foregoing situation is further assisted by</w:t>
      </w:r>
      <w:r w:rsidR="003A1917">
        <w:t xml:space="preserve"> the </w:t>
      </w:r>
      <w:r w:rsidRPr="001A3D2B">
        <w:t>fact that indexing is also done in</w:t>
      </w:r>
      <w:r w:rsidR="003A1917">
        <w:t xml:space="preserve"> the </w:t>
      </w:r>
      <w:r w:rsidRPr="001A3D2B">
        <w:t>English language. Spanish authors are encouraged to increase</w:t>
      </w:r>
      <w:r w:rsidR="003A1917">
        <w:t xml:space="preserve"> the </w:t>
      </w:r>
      <w:r w:rsidRPr="001A3D2B">
        <w:t>number</w:t>
      </w:r>
      <w:r w:rsidR="00427468">
        <w:t xml:space="preserve"> of </w:t>
      </w:r>
      <w:r w:rsidRPr="001A3D2B">
        <w:t>Spanish publications referenced, particularly those publishing articles in</w:t>
      </w:r>
      <w:r w:rsidR="003A1917">
        <w:t xml:space="preserve"> the </w:t>
      </w:r>
      <w:r w:rsidRPr="001A3D2B">
        <w:t>foreign journals.</w:t>
      </w:r>
    </w:p>
    <w:p w:rsidR="003474F2" w:rsidRPr="001A3D2B" w:rsidRDefault="003474F2" w:rsidP="003474F2">
      <w:pPr>
        <w:pStyle w:val="a3"/>
      </w:pPr>
      <w:r w:rsidRPr="001A3D2B">
        <w:t>Keywords: Bibliography, Country, Field, Impact, Indexing, Journals, Literature, Methods, Prevalence, Publications, Publishing, Rank, Science Citation Index, Spain, Spanish Journals, Trend</w:t>
      </w:r>
    </w:p>
    <w:p w:rsidR="003474F2" w:rsidRPr="001A3D2B" w:rsidRDefault="003474F2" w:rsidP="003474F2">
      <w:pPr>
        <w:pStyle w:val="1"/>
      </w:pPr>
      <w:r w:rsidRPr="001A3D2B">
        <w:br w:type="page"/>
      </w:r>
      <w:bookmarkStart w:id="614" w:name="_Toc420814600"/>
      <w:r w:rsidRPr="001A3D2B">
        <w:lastRenderedPageBreak/>
        <w:t>Title: Archivum Immunologiae et Therapiae Experimentalis</w:t>
      </w:r>
      <w:bookmarkEnd w:id="614"/>
    </w:p>
    <w:p w:rsidR="003474F2" w:rsidRPr="001A3D2B" w:rsidRDefault="003474F2" w:rsidP="003474F2">
      <w:pPr>
        <w:pStyle w:val="12"/>
      </w:pPr>
      <w:r w:rsidRPr="001A3D2B">
        <w:t xml:space="preserve">Full Journal Title: </w:t>
      </w:r>
      <w:hyperlink r:id="rId1200" w:history="1">
        <w:r w:rsidRPr="001A3D2B">
          <w:rPr>
            <w:rStyle w:val="a5"/>
            <w:iCs/>
          </w:rPr>
          <w:t>Archivum Immunologiae et Therapiae Experimentalis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0004-069X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0867C4" w:rsidRDefault="000867C4" w:rsidP="000867C4">
      <w:pPr>
        <w:pStyle w:val="a3"/>
        <w:rPr>
          <w:kern w:val="0"/>
        </w:rPr>
      </w:pPr>
      <w:r>
        <w:rPr>
          <w:rFonts w:hint="eastAsia"/>
          <w:kern w:val="0"/>
        </w:rPr>
        <w:t xml:space="preserve">? </w:t>
      </w:r>
      <w:r>
        <w:rPr>
          <w:kern w:val="0"/>
        </w:rPr>
        <w:t>Falagas, M.E.</w:t>
      </w:r>
      <w:r w:rsidR="005853A9">
        <w:rPr>
          <w:kern w:val="0"/>
        </w:rPr>
        <w:t xml:space="preserve"> and </w:t>
      </w:r>
      <w:r>
        <w:rPr>
          <w:kern w:val="0"/>
        </w:rPr>
        <w:t>Alexiou, V.G. (2008</w:t>
      </w:r>
      <w:r w:rsidR="00F42EAC">
        <w:rPr>
          <w:kern w:val="0"/>
        </w:rPr>
        <w:t>), The</w:t>
      </w:r>
      <w:r w:rsidR="003A1917">
        <w:rPr>
          <w:kern w:val="0"/>
        </w:rPr>
        <w:t xml:space="preserve"> </w:t>
      </w:r>
      <w:r>
        <w:rPr>
          <w:kern w:val="0"/>
        </w:rPr>
        <w:t xml:space="preserve">top-ten in journal impact factor manipulation. </w:t>
      </w:r>
      <w:r>
        <w:rPr>
          <w:i/>
          <w:iCs/>
          <w:kern w:val="0"/>
        </w:rPr>
        <w:t>Archivum Immunologiae et Therapiae Experimentalis</w:t>
      </w:r>
      <w:r>
        <w:rPr>
          <w:kern w:val="0"/>
        </w:rPr>
        <w:t xml:space="preserve">, </w:t>
      </w:r>
      <w:r>
        <w:rPr>
          <w:b/>
          <w:bCs/>
          <w:kern w:val="0"/>
        </w:rPr>
        <w:t>56</w:t>
      </w:r>
      <w:r>
        <w:rPr>
          <w:kern w:val="0"/>
        </w:rPr>
        <w:t xml:space="preserve"> (4), 223-226.</w:t>
      </w:r>
    </w:p>
    <w:p w:rsidR="000867C4" w:rsidRPr="00F219CA" w:rsidRDefault="000867C4" w:rsidP="000867C4">
      <w:pPr>
        <w:pStyle w:val="a3"/>
      </w:pPr>
      <w:r w:rsidRPr="00F219CA">
        <w:t xml:space="preserve">Full Text: </w:t>
      </w:r>
      <w:hyperlink r:id="rId1201" w:history="1">
        <w:r w:rsidRPr="00586A5C">
          <w:rPr>
            <w:rStyle w:val="a5"/>
          </w:rPr>
          <w:t>2008\Arc Imm</w:t>
        </w:r>
        <w:r w:rsidR="003A1917">
          <w:rPr>
            <w:rStyle w:val="a5"/>
          </w:rPr>
          <w:t xml:space="preserve"> the </w:t>
        </w:r>
        <w:r w:rsidRPr="00586A5C">
          <w:rPr>
            <w:rStyle w:val="a5"/>
          </w:rPr>
          <w:t>Exp56, 223.pdf</w:t>
        </w:r>
      </w:hyperlink>
    </w:p>
    <w:p w:rsidR="000867C4" w:rsidRDefault="000867C4" w:rsidP="000867C4">
      <w:pPr>
        <w:pStyle w:val="a3"/>
        <w:rPr>
          <w:kern w:val="0"/>
        </w:rPr>
      </w:pPr>
      <w:r>
        <w:rPr>
          <w:kern w:val="0"/>
        </w:rPr>
        <w:t>Abstract: A considerable part</w:t>
      </w:r>
      <w:r w:rsidR="00427468">
        <w:rPr>
          <w:kern w:val="0"/>
        </w:rPr>
        <w:t xml:space="preserve"> of </w:t>
      </w:r>
      <w:r w:rsidR="003A1917">
        <w:rPr>
          <w:kern w:val="0"/>
        </w:rPr>
        <w:t xml:space="preserve">the </w:t>
      </w:r>
      <w:r>
        <w:rPr>
          <w:kern w:val="0"/>
        </w:rPr>
        <w:t>scientific community is, at least to some degree, involved in</w:t>
      </w:r>
      <w:r w:rsidR="003A1917">
        <w:rPr>
          <w:kern w:val="0"/>
        </w:rPr>
        <w:t xml:space="preserve"> the </w:t>
      </w:r>
      <w:r w:rsidR="00B5188C">
        <w:rPr>
          <w:kern w:val="0"/>
        </w:rPr>
        <w:t>“</w:t>
      </w:r>
      <w:r>
        <w:rPr>
          <w:kern w:val="0"/>
        </w:rPr>
        <w:t>impact factor game</w:t>
      </w:r>
      <w:r w:rsidR="00B5188C">
        <w:rPr>
          <w:kern w:val="0"/>
        </w:rPr>
        <w:t>”</w:t>
      </w:r>
      <w:r>
        <w:rPr>
          <w:kern w:val="0"/>
        </w:rPr>
        <w:t>. Editors strive to increase their journals</w:t>
      </w:r>
      <w:r w:rsidR="00700038">
        <w:rPr>
          <w:kern w:val="0"/>
        </w:rPr>
        <w:t>’</w:t>
      </w:r>
      <w:r>
        <w:rPr>
          <w:kern w:val="0"/>
        </w:rPr>
        <w:t xml:space="preserve"> impact factor (IF) in order to gain influence in</w:t>
      </w:r>
      <w:r w:rsidR="003A1917">
        <w:rPr>
          <w:kern w:val="0"/>
        </w:rPr>
        <w:t xml:space="preserve"> the </w:t>
      </w:r>
      <w:r>
        <w:rPr>
          <w:kern w:val="0"/>
        </w:rPr>
        <w:t>fields</w:t>
      </w:r>
      <w:r w:rsidR="00427468">
        <w:rPr>
          <w:kern w:val="0"/>
        </w:rPr>
        <w:t xml:space="preserve"> of </w:t>
      </w:r>
      <w:r>
        <w:rPr>
          <w:kern w:val="0"/>
        </w:rPr>
        <w:t>basic</w:t>
      </w:r>
      <w:r w:rsidR="005853A9">
        <w:rPr>
          <w:kern w:val="0"/>
        </w:rPr>
        <w:t xml:space="preserve"> and </w:t>
      </w:r>
      <w:r>
        <w:rPr>
          <w:kern w:val="0"/>
        </w:rPr>
        <w:t>applied research</w:t>
      </w:r>
      <w:r w:rsidR="005853A9">
        <w:rPr>
          <w:kern w:val="0"/>
        </w:rPr>
        <w:t xml:space="preserve"> and </w:t>
      </w:r>
      <w:r>
        <w:rPr>
          <w:kern w:val="0"/>
        </w:rPr>
        <w:t>scientists seek to profit from</w:t>
      </w:r>
      <w:r w:rsidR="003A1917">
        <w:rPr>
          <w:kern w:val="0"/>
        </w:rPr>
        <w:t xml:space="preserve"> the </w:t>
      </w:r>
      <w:r w:rsidR="00B5188C">
        <w:rPr>
          <w:kern w:val="0"/>
        </w:rPr>
        <w:t>“</w:t>
      </w:r>
      <w:r>
        <w:rPr>
          <w:kern w:val="0"/>
        </w:rPr>
        <w:t>added value</w:t>
      </w:r>
      <w:r w:rsidR="00B5188C">
        <w:rPr>
          <w:kern w:val="0"/>
        </w:rPr>
        <w:t>”</w:t>
      </w:r>
      <w:r w:rsidR="00427468">
        <w:rPr>
          <w:kern w:val="0"/>
        </w:rPr>
        <w:t xml:space="preserve"> of </w:t>
      </w:r>
      <w:r>
        <w:rPr>
          <w:kern w:val="0"/>
        </w:rPr>
        <w:t>publishing in top IF journals. In this article we point out</w:t>
      </w:r>
      <w:r w:rsidR="003A1917">
        <w:rPr>
          <w:kern w:val="0"/>
        </w:rPr>
        <w:t xml:space="preserve"> the </w:t>
      </w:r>
      <w:r>
        <w:rPr>
          <w:kern w:val="0"/>
        </w:rPr>
        <w:t xml:space="preserve">most common </w:t>
      </w:r>
      <w:r w:rsidR="00B5188C">
        <w:rPr>
          <w:kern w:val="0"/>
        </w:rPr>
        <w:t>“</w:t>
      </w:r>
      <w:r>
        <w:rPr>
          <w:kern w:val="0"/>
        </w:rPr>
        <w:t>tricks</w:t>
      </w:r>
      <w:r w:rsidR="00B5188C">
        <w:rPr>
          <w:kern w:val="0"/>
        </w:rPr>
        <w:t>”</w:t>
      </w:r>
      <w:r w:rsidR="00427468">
        <w:rPr>
          <w:kern w:val="0"/>
        </w:rPr>
        <w:t xml:space="preserve"> of </w:t>
      </w:r>
      <w:r>
        <w:rPr>
          <w:kern w:val="0"/>
        </w:rPr>
        <w:t>engineering</w:t>
      </w:r>
      <w:r w:rsidR="005853A9">
        <w:rPr>
          <w:kern w:val="0"/>
        </w:rPr>
        <w:t xml:space="preserve"> and </w:t>
      </w:r>
      <w:r>
        <w:rPr>
          <w:kern w:val="0"/>
        </w:rPr>
        <w:t>manipulating</w:t>
      </w:r>
      <w:r w:rsidR="003A1917">
        <w:rPr>
          <w:kern w:val="0"/>
        </w:rPr>
        <w:t xml:space="preserve"> the </w:t>
      </w:r>
      <w:r>
        <w:rPr>
          <w:kern w:val="0"/>
        </w:rPr>
        <w:t>IF undertaken by a portion</w:t>
      </w:r>
      <w:r w:rsidR="00427468">
        <w:rPr>
          <w:kern w:val="0"/>
        </w:rPr>
        <w:t xml:space="preserve"> of </w:t>
      </w:r>
      <w:r>
        <w:rPr>
          <w:kern w:val="0"/>
        </w:rPr>
        <w:t>professionals</w:t>
      </w:r>
      <w:r w:rsidR="00427468">
        <w:rPr>
          <w:kern w:val="0"/>
        </w:rPr>
        <w:t xml:space="preserve"> of </w:t>
      </w:r>
      <w:r w:rsidR="003A1917">
        <w:rPr>
          <w:kern w:val="0"/>
        </w:rPr>
        <w:t xml:space="preserve">the </w:t>
      </w:r>
      <w:r>
        <w:rPr>
          <w:kern w:val="0"/>
        </w:rPr>
        <w:t>scientific publishing industry</w:t>
      </w:r>
      <w:r w:rsidR="00A37C1D">
        <w:rPr>
          <w:kern w:val="0"/>
        </w:rPr>
        <w:t>. The</w:t>
      </w:r>
      <w:r>
        <w:rPr>
          <w:kern w:val="0"/>
        </w:rPr>
        <w:t>y attempt to increase</w:t>
      </w:r>
      <w:r w:rsidR="003A1917">
        <w:rPr>
          <w:kern w:val="0"/>
        </w:rPr>
        <w:t xml:space="preserve"> the </w:t>
      </w:r>
      <w:r>
        <w:rPr>
          <w:kern w:val="0"/>
        </w:rPr>
        <w:t>nominator or decrease</w:t>
      </w:r>
      <w:r w:rsidR="003A1917">
        <w:rPr>
          <w:kern w:val="0"/>
        </w:rPr>
        <w:t xml:space="preserve"> the </w:t>
      </w:r>
      <w:r>
        <w:rPr>
          <w:kern w:val="0"/>
        </w:rPr>
        <w:t>denominator</w:t>
      </w:r>
      <w:r w:rsidR="00427468">
        <w:rPr>
          <w:kern w:val="0"/>
        </w:rPr>
        <w:t xml:space="preserve"> of </w:t>
      </w:r>
      <w:r w:rsidR="003A1917">
        <w:rPr>
          <w:kern w:val="0"/>
        </w:rPr>
        <w:t xml:space="preserve">the </w:t>
      </w:r>
      <w:r>
        <w:rPr>
          <w:kern w:val="0"/>
        </w:rPr>
        <w:t>IF equation by taking advantage</w:t>
      </w:r>
      <w:r w:rsidR="00427468">
        <w:rPr>
          <w:kern w:val="0"/>
        </w:rPr>
        <w:t xml:space="preserve"> of </w:t>
      </w:r>
      <w:r>
        <w:rPr>
          <w:kern w:val="0"/>
        </w:rPr>
        <w:t>certain design flaws</w:t>
      </w:r>
      <w:r w:rsidR="005853A9">
        <w:rPr>
          <w:kern w:val="0"/>
        </w:rPr>
        <w:t xml:space="preserve"> and </w:t>
      </w:r>
      <w:r>
        <w:rPr>
          <w:kern w:val="0"/>
        </w:rPr>
        <w:t>disadvantages</w:t>
      </w:r>
      <w:r w:rsidR="00427468">
        <w:rPr>
          <w:kern w:val="0"/>
        </w:rPr>
        <w:t xml:space="preserve"> of </w:t>
      </w:r>
      <w:r w:rsidR="003A1917">
        <w:rPr>
          <w:kern w:val="0"/>
        </w:rPr>
        <w:t xml:space="preserve">the </w:t>
      </w:r>
      <w:r>
        <w:rPr>
          <w:kern w:val="0"/>
        </w:rPr>
        <w:t>IF that permit a degree</w:t>
      </w:r>
      <w:r w:rsidR="00427468">
        <w:rPr>
          <w:kern w:val="0"/>
        </w:rPr>
        <w:t xml:space="preserve"> of </w:t>
      </w:r>
      <w:r>
        <w:rPr>
          <w:kern w:val="0"/>
        </w:rPr>
        <w:t>artificial</w:t>
      </w:r>
      <w:r w:rsidR="005853A9">
        <w:rPr>
          <w:kern w:val="0"/>
        </w:rPr>
        <w:t xml:space="preserve"> and </w:t>
      </w:r>
      <w:r>
        <w:rPr>
          <w:kern w:val="0"/>
        </w:rPr>
        <w:t>arbitrary inflation. Some</w:t>
      </w:r>
      <w:r w:rsidR="00427468">
        <w:rPr>
          <w:kern w:val="0"/>
        </w:rPr>
        <w:t xml:space="preserve"> of </w:t>
      </w:r>
      <w:r>
        <w:rPr>
          <w:kern w:val="0"/>
        </w:rPr>
        <w:t>these practices, if not scientifically unethical, are at least questionable</w:t>
      </w:r>
      <w:r w:rsidR="005853A9">
        <w:rPr>
          <w:kern w:val="0"/>
        </w:rPr>
        <w:t xml:space="preserve"> and </w:t>
      </w:r>
      <w:r>
        <w:rPr>
          <w:kern w:val="0"/>
        </w:rPr>
        <w:t>should be abandoned. Editors</w:t>
      </w:r>
      <w:r w:rsidR="005853A9">
        <w:rPr>
          <w:kern w:val="0"/>
        </w:rPr>
        <w:t xml:space="preserve"> and </w:t>
      </w:r>
      <w:r>
        <w:rPr>
          <w:kern w:val="0"/>
        </w:rPr>
        <w:t>publishers should strive for quality through fair</w:t>
      </w:r>
      <w:r w:rsidR="005853A9">
        <w:rPr>
          <w:kern w:val="0"/>
        </w:rPr>
        <w:t xml:space="preserve"> and </w:t>
      </w:r>
      <w:r>
        <w:rPr>
          <w:kern w:val="0"/>
        </w:rPr>
        <w:t>thoughtful selection</w:t>
      </w:r>
      <w:r w:rsidR="00427468">
        <w:rPr>
          <w:kern w:val="0"/>
        </w:rPr>
        <w:t xml:space="preserve"> of </w:t>
      </w:r>
      <w:r>
        <w:rPr>
          <w:kern w:val="0"/>
        </w:rPr>
        <w:t>papers forwarded for peer review</w:t>
      </w:r>
      <w:r w:rsidR="005853A9">
        <w:rPr>
          <w:kern w:val="0"/>
        </w:rPr>
        <w:t xml:space="preserve"> and </w:t>
      </w:r>
      <w:r>
        <w:rPr>
          <w:kern w:val="0"/>
        </w:rPr>
        <w:t>editorial comments that enhance</w:t>
      </w:r>
      <w:r w:rsidR="003A1917">
        <w:rPr>
          <w:kern w:val="0"/>
        </w:rPr>
        <w:t xml:space="preserve"> the </w:t>
      </w:r>
      <w:r>
        <w:rPr>
          <w:kern w:val="0"/>
        </w:rPr>
        <w:t>quality</w:t>
      </w:r>
      <w:r w:rsidR="005853A9">
        <w:rPr>
          <w:kern w:val="0"/>
        </w:rPr>
        <w:t xml:space="preserve"> and </w:t>
      </w:r>
      <w:r>
        <w:rPr>
          <w:kern w:val="0"/>
        </w:rPr>
        <w:t>scientific accuracy</w:t>
      </w:r>
      <w:r w:rsidR="00427468">
        <w:rPr>
          <w:kern w:val="0"/>
        </w:rPr>
        <w:t xml:space="preserve"> of </w:t>
      </w:r>
      <w:r>
        <w:rPr>
          <w:kern w:val="0"/>
        </w:rPr>
        <w:t>a manuscript.</w:t>
      </w:r>
    </w:p>
    <w:p w:rsidR="000867C4" w:rsidRDefault="000867C4" w:rsidP="000867C4">
      <w:pPr>
        <w:pStyle w:val="a3"/>
        <w:rPr>
          <w:kern w:val="0"/>
        </w:rPr>
      </w:pPr>
      <w:r>
        <w:rPr>
          <w:kern w:val="0"/>
        </w:rPr>
        <w:t>Keywords: Citation, Citation, Editorial Policies, Impact Factor, Journals, Research, Research Funding, Scientific Productivity, Scientific Quality, Self-Citation</w:t>
      </w:r>
    </w:p>
    <w:p w:rsidR="008B4CD5" w:rsidRDefault="008B4CD5" w:rsidP="008B4CD5">
      <w:pPr>
        <w:pStyle w:val="a3"/>
        <w:rPr>
          <w:kern w:val="0"/>
        </w:rPr>
      </w:pPr>
      <w:r>
        <w:rPr>
          <w:rFonts w:hint="eastAsia"/>
          <w:kern w:val="0"/>
        </w:rPr>
        <w:t xml:space="preserve">? </w:t>
      </w:r>
      <w:r>
        <w:rPr>
          <w:kern w:val="0"/>
        </w:rPr>
        <w:t>Ketcham, C.M. (2008</w:t>
      </w:r>
      <w:r w:rsidR="00F42EAC">
        <w:rPr>
          <w:kern w:val="0"/>
        </w:rPr>
        <w:t>), The</w:t>
      </w:r>
      <w:r w:rsidR="003A1917">
        <w:rPr>
          <w:kern w:val="0"/>
        </w:rPr>
        <w:t xml:space="preserve"> </w:t>
      </w:r>
      <w:r>
        <w:rPr>
          <w:kern w:val="0"/>
        </w:rPr>
        <w:t>proper use</w:t>
      </w:r>
      <w:r w:rsidR="00427468">
        <w:rPr>
          <w:kern w:val="0"/>
        </w:rPr>
        <w:t xml:space="preserve"> of </w:t>
      </w:r>
      <w:r>
        <w:rPr>
          <w:kern w:val="0"/>
        </w:rPr>
        <w:t xml:space="preserve">citation data in journal management. </w:t>
      </w:r>
      <w:r>
        <w:rPr>
          <w:i/>
          <w:iCs/>
          <w:kern w:val="0"/>
        </w:rPr>
        <w:t>Archivum Immunologiae et Therapiae Experimentalis</w:t>
      </w:r>
      <w:r>
        <w:rPr>
          <w:kern w:val="0"/>
        </w:rPr>
        <w:t xml:space="preserve">, </w:t>
      </w:r>
      <w:r>
        <w:rPr>
          <w:b/>
          <w:bCs/>
          <w:kern w:val="0"/>
        </w:rPr>
        <w:t>56</w:t>
      </w:r>
      <w:r>
        <w:rPr>
          <w:kern w:val="0"/>
        </w:rPr>
        <w:t xml:space="preserve"> (6), 357-362.</w:t>
      </w:r>
    </w:p>
    <w:p w:rsidR="008B4CD5" w:rsidRDefault="008B4CD5" w:rsidP="008B4CD5">
      <w:pPr>
        <w:pStyle w:val="a3"/>
        <w:rPr>
          <w:kern w:val="0"/>
        </w:rPr>
      </w:pPr>
      <w:r>
        <w:rPr>
          <w:kern w:val="0"/>
        </w:rPr>
        <w:t>Abstract: Journal impact factors (IF) are often maligned in editorials found in scientific publications, yet citation data can be used appropriately in journal management</w:t>
      </w:r>
      <w:r w:rsidR="00A37C1D">
        <w:rPr>
          <w:kern w:val="0"/>
        </w:rPr>
        <w:t>. The</w:t>
      </w:r>
      <w:r w:rsidR="003A1917">
        <w:rPr>
          <w:kern w:val="0"/>
        </w:rPr>
        <w:t xml:space="preserve"> </w:t>
      </w:r>
      <w:r>
        <w:rPr>
          <w:kern w:val="0"/>
        </w:rPr>
        <w:t>editors</w:t>
      </w:r>
      <w:r w:rsidR="00427468">
        <w:rPr>
          <w:kern w:val="0"/>
        </w:rPr>
        <w:t xml:space="preserve"> of </w:t>
      </w:r>
      <w:r>
        <w:rPr>
          <w:kern w:val="0"/>
        </w:rPr>
        <w:t>Laboratory Investigation have found that weekly tracking</w:t>
      </w:r>
      <w:r w:rsidR="00427468">
        <w:rPr>
          <w:kern w:val="0"/>
        </w:rPr>
        <w:t xml:space="preserve"> of </w:t>
      </w:r>
      <w:r>
        <w:rPr>
          <w:kern w:val="0"/>
        </w:rPr>
        <w:t>citation data for this</w:t>
      </w:r>
      <w:r w:rsidR="005853A9">
        <w:rPr>
          <w:kern w:val="0"/>
        </w:rPr>
        <w:t xml:space="preserve"> and </w:t>
      </w:r>
      <w:r>
        <w:rPr>
          <w:kern w:val="0"/>
        </w:rPr>
        <w:t>other highly ranked pathology journals provides valuable feedback on editorial performance</w:t>
      </w:r>
      <w:r w:rsidR="005853A9">
        <w:rPr>
          <w:kern w:val="0"/>
        </w:rPr>
        <w:t xml:space="preserve"> and </w:t>
      </w:r>
      <w:r>
        <w:rPr>
          <w:kern w:val="0"/>
        </w:rPr>
        <w:t xml:space="preserve">enables us to predict accurate IFs at least six months in </w:t>
      </w:r>
      <w:r>
        <w:rPr>
          <w:kern w:val="0"/>
        </w:rPr>
        <w:lastRenderedPageBreak/>
        <w:t>advance. Once</w:t>
      </w:r>
      <w:r w:rsidR="003A1917">
        <w:rPr>
          <w:kern w:val="0"/>
        </w:rPr>
        <w:t xml:space="preserve"> the </w:t>
      </w:r>
      <w:r>
        <w:rPr>
          <w:kern w:val="0"/>
        </w:rPr>
        <w:t>IFs are released, it is useful to quantify</w:t>
      </w:r>
      <w:r w:rsidR="003A1917">
        <w:rPr>
          <w:kern w:val="0"/>
        </w:rPr>
        <w:t xml:space="preserve"> the </w:t>
      </w:r>
      <w:r>
        <w:rPr>
          <w:kern w:val="0"/>
        </w:rPr>
        <w:t>contributions</w:t>
      </w:r>
      <w:r w:rsidR="00427468">
        <w:rPr>
          <w:kern w:val="0"/>
        </w:rPr>
        <w:t xml:space="preserve"> of </w:t>
      </w:r>
      <w:r>
        <w:rPr>
          <w:kern w:val="0"/>
        </w:rPr>
        <w:t>specific article categories, such as reviews</w:t>
      </w:r>
      <w:r w:rsidR="005853A9">
        <w:rPr>
          <w:kern w:val="0"/>
        </w:rPr>
        <w:t xml:space="preserve"> and </w:t>
      </w:r>
      <w:r>
        <w:rPr>
          <w:kern w:val="0"/>
        </w:rPr>
        <w:t>research articles, to</w:t>
      </w:r>
      <w:r w:rsidR="003A1917">
        <w:rPr>
          <w:kern w:val="0"/>
        </w:rPr>
        <w:t xml:space="preserve"> the </w:t>
      </w:r>
      <w:r>
        <w:rPr>
          <w:kern w:val="0"/>
        </w:rPr>
        <w:t>official IFs. In an ongoing attempt to understand</w:t>
      </w:r>
      <w:r w:rsidR="003A1917">
        <w:rPr>
          <w:kern w:val="0"/>
        </w:rPr>
        <w:t xml:space="preserve"> the </w:t>
      </w:r>
      <w:r>
        <w:rPr>
          <w:kern w:val="0"/>
        </w:rPr>
        <w:t>relationship between article downloads</w:t>
      </w:r>
      <w:r w:rsidR="005853A9">
        <w:rPr>
          <w:kern w:val="0"/>
        </w:rPr>
        <w:t xml:space="preserve"> and </w:t>
      </w:r>
      <w:r>
        <w:rPr>
          <w:kern w:val="0"/>
        </w:rPr>
        <w:t>eventual citations, we also analyze</w:t>
      </w:r>
      <w:r w:rsidR="003A1917">
        <w:rPr>
          <w:kern w:val="0"/>
        </w:rPr>
        <w:t xml:space="preserve"> the </w:t>
      </w:r>
      <w:r>
        <w:rPr>
          <w:kern w:val="0"/>
        </w:rPr>
        <w:t>citation rate</w:t>
      </w:r>
      <w:r w:rsidR="00427468">
        <w:rPr>
          <w:kern w:val="0"/>
        </w:rPr>
        <w:t xml:space="preserve"> of </w:t>
      </w:r>
      <w:r>
        <w:rPr>
          <w:kern w:val="0"/>
        </w:rPr>
        <w:t>papers that had previously been</w:t>
      </w:r>
      <w:r w:rsidR="003A1917">
        <w:rPr>
          <w:kern w:val="0"/>
        </w:rPr>
        <w:t xml:space="preserve"> the </w:t>
      </w:r>
      <w:r>
        <w:rPr>
          <w:kern w:val="0"/>
        </w:rPr>
        <w:t>most frequently accessed on our web site. Finally, as a measure</w:t>
      </w:r>
      <w:r w:rsidR="00427468">
        <w:rPr>
          <w:kern w:val="0"/>
        </w:rPr>
        <w:t xml:space="preserve"> of </w:t>
      </w:r>
      <w:r>
        <w:rPr>
          <w:kern w:val="0"/>
        </w:rPr>
        <w:t>editorial judgment,</w:t>
      </w:r>
      <w:r w:rsidR="003A1917">
        <w:rPr>
          <w:kern w:val="0"/>
        </w:rPr>
        <w:t xml:space="preserve"> the </w:t>
      </w:r>
      <w:r>
        <w:rPr>
          <w:kern w:val="0"/>
        </w:rPr>
        <w:t>papers that contributed no citations to</w:t>
      </w:r>
      <w:r w:rsidR="003A1917">
        <w:rPr>
          <w:kern w:val="0"/>
        </w:rPr>
        <w:t xml:space="preserve"> the </w:t>
      </w:r>
      <w:r>
        <w:rPr>
          <w:kern w:val="0"/>
        </w:rPr>
        <w:t>journal</w:t>
      </w:r>
      <w:r w:rsidR="00700038">
        <w:rPr>
          <w:kern w:val="0"/>
        </w:rPr>
        <w:t>’</w:t>
      </w:r>
      <w:r w:rsidR="00C13DDC">
        <w:rPr>
          <w:kern w:val="0"/>
        </w:rPr>
        <w:t>s</w:t>
      </w:r>
      <w:r>
        <w:rPr>
          <w:kern w:val="0"/>
        </w:rPr>
        <w:t xml:space="preserve"> IF are examined as are</w:t>
      </w:r>
      <w:r w:rsidR="003A1917">
        <w:rPr>
          <w:kern w:val="0"/>
        </w:rPr>
        <w:t xml:space="preserve"> the </w:t>
      </w:r>
      <w:r>
        <w:rPr>
          <w:kern w:val="0"/>
        </w:rPr>
        <w:t>papers that were rejected by Laboratory Investigation (Lab. Invest.) but subsequently published elsewhere. Thus</w:t>
      </w:r>
      <w:r w:rsidR="003A1917">
        <w:rPr>
          <w:kern w:val="0"/>
        </w:rPr>
        <w:t xml:space="preserve"> the </w:t>
      </w:r>
      <w:r>
        <w:rPr>
          <w:kern w:val="0"/>
        </w:rPr>
        <w:t>editors</w:t>
      </w:r>
      <w:r w:rsidR="00427468">
        <w:rPr>
          <w:kern w:val="0"/>
        </w:rPr>
        <w:t xml:space="preserve"> of </w:t>
      </w:r>
      <w:r>
        <w:rPr>
          <w:kern w:val="0"/>
        </w:rPr>
        <w:t>Lab. Invest. use citation data in several ways to measure our progress in elevating</w:t>
      </w:r>
      <w:r w:rsidR="003A1917">
        <w:rPr>
          <w:kern w:val="0"/>
        </w:rPr>
        <w:t xml:space="preserve"> the </w:t>
      </w:r>
      <w:r>
        <w:rPr>
          <w:kern w:val="0"/>
        </w:rPr>
        <w:t>quality</w:t>
      </w:r>
      <w:r w:rsidR="00427468">
        <w:rPr>
          <w:kern w:val="0"/>
        </w:rPr>
        <w:t xml:space="preserve"> of </w:t>
      </w:r>
      <w:r w:rsidR="003A1917">
        <w:rPr>
          <w:kern w:val="0"/>
        </w:rPr>
        <w:t xml:space="preserve">the </w:t>
      </w:r>
      <w:r>
        <w:rPr>
          <w:kern w:val="0"/>
        </w:rPr>
        <w:t>journal</w:t>
      </w:r>
      <w:r w:rsidR="005853A9">
        <w:rPr>
          <w:kern w:val="0"/>
        </w:rPr>
        <w:t xml:space="preserve"> and </w:t>
      </w:r>
      <w:r>
        <w:rPr>
          <w:kern w:val="0"/>
        </w:rPr>
        <w:t>understand</w:t>
      </w:r>
      <w:r w:rsidR="003A1917">
        <w:rPr>
          <w:kern w:val="0"/>
        </w:rPr>
        <w:t xml:space="preserve"> the </w:t>
      </w:r>
      <w:r>
        <w:rPr>
          <w:kern w:val="0"/>
        </w:rPr>
        <w:t>citation dynamics</w:t>
      </w:r>
      <w:r w:rsidR="00427468">
        <w:rPr>
          <w:kern w:val="0"/>
        </w:rPr>
        <w:t xml:space="preserve"> of </w:t>
      </w:r>
      <w:r>
        <w:rPr>
          <w:kern w:val="0"/>
        </w:rPr>
        <w:t>papers we publish, while remaining true to</w:t>
      </w:r>
      <w:r w:rsidR="003A1917">
        <w:rPr>
          <w:kern w:val="0"/>
        </w:rPr>
        <w:t xml:space="preserve"> the </w:t>
      </w:r>
      <w:r>
        <w:rPr>
          <w:kern w:val="0"/>
        </w:rPr>
        <w:t>journal</w:t>
      </w:r>
      <w:r w:rsidR="00700038">
        <w:rPr>
          <w:kern w:val="0"/>
        </w:rPr>
        <w:t>’</w:t>
      </w:r>
      <w:r w:rsidR="00C13DDC">
        <w:rPr>
          <w:kern w:val="0"/>
        </w:rPr>
        <w:t>s</w:t>
      </w:r>
      <w:r>
        <w:rPr>
          <w:kern w:val="0"/>
        </w:rPr>
        <w:t xml:space="preserve"> fundamental operating premise: Publish high-quality original work relating to</w:t>
      </w:r>
      <w:r w:rsidR="003A1917">
        <w:rPr>
          <w:kern w:val="0"/>
        </w:rPr>
        <w:t xml:space="preserve"> the </w:t>
      </w:r>
      <w:r>
        <w:rPr>
          <w:kern w:val="0"/>
        </w:rPr>
        <w:t>mechanisms</w:t>
      </w:r>
      <w:r w:rsidR="00427468">
        <w:rPr>
          <w:kern w:val="0"/>
        </w:rPr>
        <w:t xml:space="preserve"> of </w:t>
      </w:r>
      <w:r>
        <w:rPr>
          <w:kern w:val="0"/>
        </w:rPr>
        <w:t>disease.</w:t>
      </w:r>
    </w:p>
    <w:p w:rsidR="008B4CD5" w:rsidRDefault="008B4CD5" w:rsidP="008B4CD5">
      <w:pPr>
        <w:pStyle w:val="a3"/>
        <w:rPr>
          <w:kern w:val="0"/>
        </w:rPr>
      </w:pPr>
      <w:r>
        <w:rPr>
          <w:kern w:val="0"/>
        </w:rPr>
        <w:t xml:space="preserve">Keywords: Citation, Citations, Disease, Editorial Policy, Feedback, Impact, Impact Factor, Impact Factors, Journal, Journal Impact, Journals, Management, Papers, Pathology, Publications, Research, Scientific Publications, </w:t>
      </w:r>
      <w:r w:rsidR="00D5664A">
        <w:rPr>
          <w:kern w:val="0"/>
        </w:rPr>
        <w:t>Web</w:t>
      </w:r>
      <w:r w:rsidR="00427468">
        <w:rPr>
          <w:kern w:val="0"/>
        </w:rPr>
        <w:t xml:space="preserve"> of </w:t>
      </w:r>
      <w:r w:rsidR="00D5664A">
        <w:rPr>
          <w:kern w:val="0"/>
        </w:rPr>
        <w:t>Science</w:t>
      </w:r>
    </w:p>
    <w:p w:rsidR="003E631D" w:rsidRPr="001A3D2B" w:rsidRDefault="003E631D" w:rsidP="003E631D">
      <w:pPr>
        <w:pStyle w:val="a3"/>
        <w:rPr>
          <w:kern w:val="0"/>
          <w:szCs w:val="24"/>
        </w:rPr>
      </w:pPr>
      <w:r w:rsidRPr="001A3D2B">
        <w:rPr>
          <w:kern w:val="0"/>
          <w:szCs w:val="24"/>
        </w:rPr>
        <w:t xml:space="preserve">? Baneyx, A. (2008), </w:t>
      </w:r>
      <w:r w:rsidR="00B5188C">
        <w:rPr>
          <w:kern w:val="0"/>
          <w:szCs w:val="24"/>
        </w:rPr>
        <w:t>“</w:t>
      </w:r>
      <w:r w:rsidRPr="001A3D2B">
        <w:rPr>
          <w:kern w:val="0"/>
          <w:szCs w:val="24"/>
        </w:rPr>
        <w:t xml:space="preserve">Publish or </w:t>
      </w:r>
      <w:r w:rsidR="008B4CD5" w:rsidRPr="001A3D2B">
        <w:rPr>
          <w:kern w:val="0"/>
          <w:szCs w:val="24"/>
        </w:rPr>
        <w:t>perish</w:t>
      </w:r>
      <w:r w:rsidR="00B5188C">
        <w:rPr>
          <w:kern w:val="0"/>
          <w:szCs w:val="24"/>
        </w:rPr>
        <w:t>”</w:t>
      </w:r>
      <w:r w:rsidRPr="001A3D2B">
        <w:rPr>
          <w:kern w:val="0"/>
          <w:szCs w:val="24"/>
        </w:rPr>
        <w:t xml:space="preserve"> as citation metrics used to analyze scientific output in</w:t>
      </w:r>
      <w:r w:rsidR="003A1917">
        <w:rPr>
          <w:kern w:val="0"/>
          <w:szCs w:val="24"/>
        </w:rPr>
        <w:t xml:space="preserve"> the </w:t>
      </w:r>
      <w:r w:rsidRPr="001A3D2B">
        <w:rPr>
          <w:kern w:val="0"/>
          <w:szCs w:val="24"/>
        </w:rPr>
        <w:t>humanities: International case studies in economics, geography, social sciences, philosophy,</w:t>
      </w:r>
      <w:r w:rsidR="005853A9">
        <w:rPr>
          <w:kern w:val="0"/>
          <w:szCs w:val="24"/>
        </w:rPr>
        <w:t xml:space="preserve"> and </w:t>
      </w:r>
      <w:r w:rsidRPr="001A3D2B">
        <w:rPr>
          <w:kern w:val="0"/>
          <w:szCs w:val="24"/>
        </w:rPr>
        <w:t xml:space="preserve">history. </w:t>
      </w:r>
      <w:r w:rsidRPr="001A3D2B">
        <w:rPr>
          <w:i/>
          <w:iCs/>
          <w:kern w:val="0"/>
          <w:szCs w:val="24"/>
        </w:rPr>
        <w:t>Archivum Immunologiae et Therapiae Experimentalis</w:t>
      </w:r>
      <w:r w:rsidRPr="001A3D2B">
        <w:rPr>
          <w:kern w:val="0"/>
          <w:szCs w:val="24"/>
        </w:rPr>
        <w:t xml:space="preserve">, </w:t>
      </w:r>
      <w:r w:rsidRPr="001A3D2B">
        <w:rPr>
          <w:b/>
          <w:bCs/>
          <w:kern w:val="0"/>
          <w:szCs w:val="24"/>
        </w:rPr>
        <w:t>56</w:t>
      </w:r>
      <w:r w:rsidRPr="001A3D2B">
        <w:rPr>
          <w:kern w:val="0"/>
          <w:szCs w:val="24"/>
        </w:rPr>
        <w:t xml:space="preserve"> (6), 363-371.</w:t>
      </w:r>
    </w:p>
    <w:p w:rsidR="003E631D" w:rsidRPr="001A3D2B" w:rsidRDefault="003E631D" w:rsidP="003E631D">
      <w:pPr>
        <w:pStyle w:val="a3"/>
      </w:pPr>
      <w:r w:rsidRPr="001A3D2B">
        <w:t xml:space="preserve">Full Text: </w:t>
      </w:r>
      <w:hyperlink r:id="rId1202" w:history="1">
        <w:r w:rsidRPr="001A3D2B">
          <w:rPr>
            <w:rStyle w:val="a5"/>
          </w:rPr>
          <w:t>2008\Arc Imm</w:t>
        </w:r>
        <w:r w:rsidR="003A1917">
          <w:rPr>
            <w:rStyle w:val="a5"/>
          </w:rPr>
          <w:t xml:space="preserve"> the </w:t>
        </w:r>
        <w:r w:rsidRPr="001A3D2B">
          <w:rPr>
            <w:rStyle w:val="a5"/>
          </w:rPr>
          <w:t>Exp56, 363.pdf</w:t>
        </w:r>
      </w:hyperlink>
    </w:p>
    <w:p w:rsidR="003E631D" w:rsidRPr="001A3D2B" w:rsidRDefault="003E631D" w:rsidP="003E631D">
      <w:pPr>
        <w:pStyle w:val="a3"/>
        <w:rPr>
          <w:kern w:val="0"/>
          <w:szCs w:val="24"/>
        </w:rPr>
      </w:pPr>
      <w:r w:rsidRPr="001A3D2B">
        <w:rPr>
          <w:kern w:val="0"/>
          <w:szCs w:val="24"/>
        </w:rPr>
        <w:t>Abstract: Traditionally,</w:t>
      </w:r>
      <w:r w:rsidR="003A1917">
        <w:rPr>
          <w:kern w:val="0"/>
          <w:szCs w:val="24"/>
        </w:rPr>
        <w:t xml:space="preserve"> the </w:t>
      </w:r>
      <w:r w:rsidRPr="001A3D2B">
        <w:rPr>
          <w:kern w:val="0"/>
          <w:szCs w:val="24"/>
        </w:rPr>
        <w:t>most commonly used source</w:t>
      </w:r>
      <w:r w:rsidR="00427468">
        <w:rPr>
          <w:kern w:val="0"/>
          <w:szCs w:val="24"/>
        </w:rPr>
        <w:t xml:space="preserve"> of </w:t>
      </w:r>
      <w:r w:rsidRPr="001A3D2B">
        <w:rPr>
          <w:kern w:val="0"/>
          <w:szCs w:val="24"/>
        </w:rPr>
        <w:t>bibliometric data is</w:t>
      </w:r>
      <w:r w:rsidR="003A1917">
        <w:rPr>
          <w:kern w:val="0"/>
          <w:szCs w:val="24"/>
        </w:rPr>
        <w:t xml:space="preserve"> the </w:t>
      </w:r>
      <w:r w:rsidRPr="001A3D2B">
        <w:rPr>
          <w:kern w:val="0"/>
          <w:szCs w:val="24"/>
        </w:rPr>
        <w:t>Thomson ISI Web</w:t>
      </w:r>
      <w:r w:rsidR="00427468">
        <w:rPr>
          <w:kern w:val="0"/>
          <w:szCs w:val="24"/>
        </w:rPr>
        <w:t xml:space="preserve"> of </w:t>
      </w:r>
      <w:r w:rsidRPr="001A3D2B">
        <w:rPr>
          <w:kern w:val="0"/>
          <w:szCs w:val="24"/>
        </w:rPr>
        <w:t>Knowledge, in particular</w:t>
      </w:r>
      <w:r w:rsidR="003A1917">
        <w:rPr>
          <w:kern w:val="0"/>
          <w:szCs w:val="24"/>
        </w:rPr>
        <w:t xml:space="preserve"> the </w:t>
      </w:r>
      <w:r w:rsidRPr="001A3D2B">
        <w:rPr>
          <w:kern w:val="0"/>
          <w:szCs w:val="24"/>
        </w:rPr>
        <w:t>(Social) Science Citation Index</w:t>
      </w:r>
      <w:r w:rsidR="005853A9">
        <w:rPr>
          <w:kern w:val="0"/>
          <w:szCs w:val="24"/>
        </w:rPr>
        <w:t xml:space="preserve"> and </w:t>
      </w:r>
      <w:r w:rsidR="003A1917">
        <w:rPr>
          <w:kern w:val="0"/>
          <w:szCs w:val="24"/>
        </w:rPr>
        <w:t xml:space="preserve">the </w:t>
      </w:r>
      <w:r w:rsidRPr="001A3D2B">
        <w:rPr>
          <w:kern w:val="0"/>
          <w:szCs w:val="24"/>
        </w:rPr>
        <w:t>Journal Citation Reports, which provide</w:t>
      </w:r>
      <w:r w:rsidR="003A1917">
        <w:rPr>
          <w:kern w:val="0"/>
          <w:szCs w:val="24"/>
        </w:rPr>
        <w:t xml:space="preserve"> the </w:t>
      </w:r>
      <w:r w:rsidRPr="001A3D2B">
        <w:rPr>
          <w:kern w:val="0"/>
          <w:szCs w:val="24"/>
        </w:rPr>
        <w:t>yearly Journal Impact Factors. This database used for</w:t>
      </w:r>
      <w:r w:rsidR="003A1917">
        <w:rPr>
          <w:kern w:val="0"/>
          <w:szCs w:val="24"/>
        </w:rPr>
        <w:t xml:space="preserve"> the </w:t>
      </w:r>
      <w:r w:rsidRPr="001A3D2B">
        <w:rPr>
          <w:kern w:val="0"/>
          <w:szCs w:val="24"/>
        </w:rPr>
        <w:t>evaluation</w:t>
      </w:r>
      <w:r w:rsidR="00427468">
        <w:rPr>
          <w:kern w:val="0"/>
          <w:szCs w:val="24"/>
        </w:rPr>
        <w:t xml:space="preserve"> of </w:t>
      </w:r>
      <w:r w:rsidRPr="001A3D2B">
        <w:rPr>
          <w:kern w:val="0"/>
          <w:szCs w:val="24"/>
        </w:rPr>
        <w:t>researchers is not advantageous in</w:t>
      </w:r>
      <w:r w:rsidR="003A1917">
        <w:rPr>
          <w:kern w:val="0"/>
          <w:szCs w:val="24"/>
        </w:rPr>
        <w:t xml:space="preserve"> the </w:t>
      </w:r>
      <w:r w:rsidRPr="001A3D2B">
        <w:rPr>
          <w:kern w:val="0"/>
          <w:szCs w:val="24"/>
        </w:rPr>
        <w:t>humanities, mainly because books, conference papers,</w:t>
      </w:r>
      <w:r w:rsidR="005853A9">
        <w:rPr>
          <w:kern w:val="0"/>
          <w:szCs w:val="24"/>
        </w:rPr>
        <w:t xml:space="preserve"> and </w:t>
      </w:r>
      <w:r w:rsidRPr="001A3D2B">
        <w:rPr>
          <w:kern w:val="0"/>
          <w:szCs w:val="24"/>
        </w:rPr>
        <w:t>non-English journals, which are an important part</w:t>
      </w:r>
      <w:r w:rsidR="00427468">
        <w:rPr>
          <w:kern w:val="0"/>
          <w:szCs w:val="24"/>
        </w:rPr>
        <w:t xml:space="preserve"> of </w:t>
      </w:r>
      <w:r w:rsidRPr="001A3D2B">
        <w:rPr>
          <w:kern w:val="0"/>
          <w:szCs w:val="24"/>
        </w:rPr>
        <w:t>scientific activity, are not (well) covered. This paper presents</w:t>
      </w:r>
      <w:r w:rsidR="003A1917">
        <w:rPr>
          <w:kern w:val="0"/>
          <w:szCs w:val="24"/>
        </w:rPr>
        <w:t xml:space="preserve"> the </w:t>
      </w:r>
      <w:r w:rsidRPr="001A3D2B">
        <w:rPr>
          <w:kern w:val="0"/>
          <w:szCs w:val="24"/>
        </w:rPr>
        <w:t>use</w:t>
      </w:r>
      <w:r w:rsidR="00427468">
        <w:rPr>
          <w:kern w:val="0"/>
          <w:szCs w:val="24"/>
        </w:rPr>
        <w:t xml:space="preserve"> of </w:t>
      </w:r>
      <w:r w:rsidRPr="001A3D2B">
        <w:rPr>
          <w:kern w:val="0"/>
          <w:szCs w:val="24"/>
        </w:rPr>
        <w:t>an alternative source</w:t>
      </w:r>
      <w:r w:rsidR="00427468">
        <w:rPr>
          <w:kern w:val="0"/>
          <w:szCs w:val="24"/>
        </w:rPr>
        <w:t xml:space="preserve"> of </w:t>
      </w:r>
      <w:r w:rsidRPr="001A3D2B">
        <w:rPr>
          <w:kern w:val="0"/>
          <w:szCs w:val="24"/>
        </w:rPr>
        <w:t>data, Google Scholar,</w:t>
      </w:r>
      <w:r w:rsidR="005853A9">
        <w:rPr>
          <w:kern w:val="0"/>
          <w:szCs w:val="24"/>
        </w:rPr>
        <w:t xml:space="preserve"> and </w:t>
      </w:r>
      <w:r w:rsidRPr="001A3D2B">
        <w:rPr>
          <w:kern w:val="0"/>
          <w:szCs w:val="24"/>
        </w:rPr>
        <w:t>its benefits in calculating citation metrics in</w:t>
      </w:r>
      <w:r w:rsidR="003A1917">
        <w:rPr>
          <w:kern w:val="0"/>
          <w:szCs w:val="24"/>
        </w:rPr>
        <w:t xml:space="preserve"> the </w:t>
      </w:r>
      <w:r w:rsidRPr="001A3D2B">
        <w:rPr>
          <w:kern w:val="0"/>
          <w:szCs w:val="24"/>
        </w:rPr>
        <w:t>humanities. Because</w:t>
      </w:r>
      <w:r w:rsidR="00427468">
        <w:rPr>
          <w:kern w:val="0"/>
          <w:szCs w:val="24"/>
        </w:rPr>
        <w:t xml:space="preserve"> of </w:t>
      </w:r>
      <w:r w:rsidRPr="001A3D2B">
        <w:rPr>
          <w:kern w:val="0"/>
          <w:szCs w:val="24"/>
        </w:rPr>
        <w:t>its broader range</w:t>
      </w:r>
      <w:r w:rsidR="00427468">
        <w:rPr>
          <w:kern w:val="0"/>
          <w:szCs w:val="24"/>
        </w:rPr>
        <w:t xml:space="preserve"> of </w:t>
      </w:r>
      <w:r w:rsidRPr="001A3D2B">
        <w:rPr>
          <w:kern w:val="0"/>
          <w:szCs w:val="24"/>
        </w:rPr>
        <w:t>data sources,</w:t>
      </w:r>
      <w:r w:rsidR="003A1917">
        <w:rPr>
          <w:kern w:val="0"/>
          <w:szCs w:val="24"/>
        </w:rPr>
        <w:t xml:space="preserve"> the </w:t>
      </w:r>
      <w:r w:rsidRPr="001A3D2B">
        <w:rPr>
          <w:kern w:val="0"/>
          <w:szCs w:val="24"/>
        </w:rPr>
        <w:t>use</w:t>
      </w:r>
      <w:r w:rsidR="00427468">
        <w:rPr>
          <w:kern w:val="0"/>
          <w:szCs w:val="24"/>
        </w:rPr>
        <w:t xml:space="preserve"> of </w:t>
      </w:r>
      <w:r w:rsidRPr="001A3D2B">
        <w:rPr>
          <w:kern w:val="0"/>
          <w:szCs w:val="24"/>
        </w:rPr>
        <w:t>Google Scholar generally results in more comprehensive citation coverage in</w:t>
      </w:r>
      <w:r w:rsidR="003A1917">
        <w:rPr>
          <w:kern w:val="0"/>
          <w:szCs w:val="24"/>
        </w:rPr>
        <w:t xml:space="preserve"> the </w:t>
      </w:r>
      <w:r w:rsidRPr="001A3D2B">
        <w:rPr>
          <w:kern w:val="0"/>
          <w:szCs w:val="24"/>
        </w:rPr>
        <w:t>humanities. This presentation compares</w:t>
      </w:r>
      <w:r w:rsidR="005853A9">
        <w:rPr>
          <w:kern w:val="0"/>
          <w:szCs w:val="24"/>
        </w:rPr>
        <w:t xml:space="preserve"> and </w:t>
      </w:r>
      <w:r w:rsidRPr="001A3D2B">
        <w:rPr>
          <w:kern w:val="0"/>
          <w:szCs w:val="24"/>
        </w:rPr>
        <w:t>analyzes some international case studies with ISI Web</w:t>
      </w:r>
      <w:r w:rsidR="00427468">
        <w:rPr>
          <w:kern w:val="0"/>
          <w:szCs w:val="24"/>
        </w:rPr>
        <w:t xml:space="preserve"> of </w:t>
      </w:r>
      <w:r w:rsidRPr="001A3D2B">
        <w:rPr>
          <w:kern w:val="0"/>
          <w:szCs w:val="24"/>
        </w:rPr>
        <w:t>Knowledge</w:t>
      </w:r>
      <w:r w:rsidR="005853A9">
        <w:rPr>
          <w:kern w:val="0"/>
          <w:szCs w:val="24"/>
        </w:rPr>
        <w:t xml:space="preserve"> and </w:t>
      </w:r>
      <w:r w:rsidRPr="001A3D2B">
        <w:rPr>
          <w:kern w:val="0"/>
          <w:szCs w:val="24"/>
        </w:rPr>
        <w:t>Google Scholar</w:t>
      </w:r>
      <w:r w:rsidR="00A37C1D">
        <w:rPr>
          <w:kern w:val="0"/>
          <w:szCs w:val="24"/>
        </w:rPr>
        <w:t>. The</w:t>
      </w:r>
      <w:r w:rsidR="003A1917">
        <w:rPr>
          <w:kern w:val="0"/>
          <w:szCs w:val="24"/>
        </w:rPr>
        <w:t xml:space="preserve"> </w:t>
      </w:r>
      <w:r w:rsidRPr="001A3D2B">
        <w:rPr>
          <w:kern w:val="0"/>
          <w:szCs w:val="24"/>
        </w:rPr>
        <w:t>fields</w:t>
      </w:r>
      <w:r w:rsidR="00427468">
        <w:rPr>
          <w:kern w:val="0"/>
          <w:szCs w:val="24"/>
        </w:rPr>
        <w:t xml:space="preserve"> of </w:t>
      </w:r>
      <w:r w:rsidRPr="001A3D2B">
        <w:rPr>
          <w:kern w:val="0"/>
          <w:szCs w:val="24"/>
        </w:rPr>
        <w:t>economics, geography, social sciences, philosophy,</w:t>
      </w:r>
      <w:r w:rsidR="005853A9">
        <w:rPr>
          <w:kern w:val="0"/>
          <w:szCs w:val="24"/>
        </w:rPr>
        <w:t xml:space="preserve"> and </w:t>
      </w:r>
      <w:r w:rsidRPr="001A3D2B">
        <w:rPr>
          <w:kern w:val="0"/>
          <w:szCs w:val="24"/>
        </w:rPr>
        <w:t>history are focused on to illustrate</w:t>
      </w:r>
      <w:r w:rsidR="003A1917">
        <w:rPr>
          <w:kern w:val="0"/>
          <w:szCs w:val="24"/>
        </w:rPr>
        <w:t xml:space="preserve"> the </w:t>
      </w:r>
      <w:r w:rsidRPr="001A3D2B">
        <w:rPr>
          <w:kern w:val="0"/>
          <w:szCs w:val="24"/>
        </w:rPr>
        <w:t>differences</w:t>
      </w:r>
      <w:r w:rsidR="00427468">
        <w:rPr>
          <w:kern w:val="0"/>
          <w:szCs w:val="24"/>
        </w:rPr>
        <w:t xml:space="preserve"> of </w:t>
      </w:r>
      <w:r w:rsidRPr="001A3D2B">
        <w:rPr>
          <w:kern w:val="0"/>
          <w:szCs w:val="24"/>
        </w:rPr>
        <w:t>results between these two databases. To search for relevant publications in</w:t>
      </w:r>
      <w:r w:rsidR="003A1917">
        <w:rPr>
          <w:kern w:val="0"/>
          <w:szCs w:val="24"/>
        </w:rPr>
        <w:t xml:space="preserve"> the </w:t>
      </w:r>
      <w:r w:rsidRPr="001A3D2B">
        <w:rPr>
          <w:kern w:val="0"/>
          <w:szCs w:val="24"/>
        </w:rPr>
        <w:t>Google Scholar database,</w:t>
      </w:r>
      <w:r w:rsidR="003A1917">
        <w:rPr>
          <w:kern w:val="0"/>
          <w:szCs w:val="24"/>
        </w:rPr>
        <w:t xml:space="preserve"> the </w:t>
      </w:r>
      <w:r w:rsidRPr="001A3D2B">
        <w:rPr>
          <w:kern w:val="0"/>
          <w:szCs w:val="24"/>
        </w:rPr>
        <w:t>use</w:t>
      </w:r>
      <w:r w:rsidR="00427468">
        <w:rPr>
          <w:kern w:val="0"/>
          <w:szCs w:val="24"/>
        </w:rPr>
        <w:t xml:space="preserve"> of </w:t>
      </w:r>
      <w:r w:rsidR="00B5188C">
        <w:rPr>
          <w:kern w:val="0"/>
          <w:szCs w:val="24"/>
        </w:rPr>
        <w:t>“</w:t>
      </w:r>
      <w:r w:rsidRPr="001A3D2B">
        <w:rPr>
          <w:kern w:val="0"/>
          <w:szCs w:val="24"/>
        </w:rPr>
        <w:t>Publish or Perish</w:t>
      </w:r>
      <w:r w:rsidR="00B5188C">
        <w:rPr>
          <w:kern w:val="0"/>
          <w:szCs w:val="24"/>
        </w:rPr>
        <w:t>”</w:t>
      </w:r>
      <w:r w:rsidR="005853A9">
        <w:rPr>
          <w:kern w:val="0"/>
          <w:szCs w:val="24"/>
        </w:rPr>
        <w:t xml:space="preserve"> and</w:t>
      </w:r>
      <w:r w:rsidR="00427468">
        <w:rPr>
          <w:kern w:val="0"/>
          <w:szCs w:val="24"/>
        </w:rPr>
        <w:t xml:space="preserve"> of </w:t>
      </w:r>
      <w:r w:rsidRPr="001A3D2B">
        <w:rPr>
          <w:kern w:val="0"/>
          <w:szCs w:val="24"/>
        </w:rPr>
        <w:t>CleanPoP, which</w:t>
      </w:r>
      <w:r w:rsidR="003A1917">
        <w:rPr>
          <w:kern w:val="0"/>
          <w:szCs w:val="24"/>
        </w:rPr>
        <w:t xml:space="preserve"> the </w:t>
      </w:r>
      <w:r w:rsidRPr="001A3D2B">
        <w:rPr>
          <w:kern w:val="0"/>
          <w:szCs w:val="24"/>
        </w:rPr>
        <w:t>author developed to clean</w:t>
      </w:r>
      <w:r w:rsidR="003A1917">
        <w:rPr>
          <w:kern w:val="0"/>
          <w:szCs w:val="24"/>
        </w:rPr>
        <w:t xml:space="preserve"> the </w:t>
      </w:r>
      <w:r w:rsidRPr="001A3D2B">
        <w:rPr>
          <w:kern w:val="0"/>
          <w:szCs w:val="24"/>
        </w:rPr>
        <w:t>results, are compared.</w:t>
      </w:r>
    </w:p>
    <w:p w:rsidR="003E631D" w:rsidRPr="001A3D2B" w:rsidRDefault="003E631D" w:rsidP="003E631D">
      <w:pPr>
        <w:pStyle w:val="a3"/>
        <w:rPr>
          <w:kern w:val="0"/>
          <w:szCs w:val="24"/>
        </w:rPr>
      </w:pPr>
      <w:r w:rsidRPr="001A3D2B">
        <w:rPr>
          <w:kern w:val="0"/>
          <w:szCs w:val="24"/>
        </w:rPr>
        <w:t>Keywords: Activity, Alternative, Benefits, Bibliometric, Bibliometrics, Case Studies, Citation, Citation Analysis, Coverage, Data, Database, Databases, Developed, Economics, Evaluation, Geography, Google, Google Scholar, Google-Scholar, History, Humanities, Impact, Index, International</w:t>
      </w:r>
      <w:r w:rsidR="00D5664A">
        <w:rPr>
          <w:kern w:val="0"/>
          <w:szCs w:val="24"/>
        </w:rPr>
        <w:t>, ISI,</w:t>
      </w:r>
      <w:r w:rsidRPr="001A3D2B">
        <w:rPr>
          <w:kern w:val="0"/>
          <w:szCs w:val="24"/>
        </w:rPr>
        <w:t xml:space="preserve"> Journal Citation Reports, </w:t>
      </w:r>
      <w:r w:rsidRPr="001A3D2B">
        <w:rPr>
          <w:kern w:val="0"/>
          <w:szCs w:val="24"/>
        </w:rPr>
        <w:lastRenderedPageBreak/>
        <w:t>Journals, Metrics, Papers, Philosophy, Presentation, Publications, Publish or Perish, Research Evaluation In</w:t>
      </w:r>
      <w:r w:rsidR="003A1917">
        <w:rPr>
          <w:kern w:val="0"/>
          <w:szCs w:val="24"/>
        </w:rPr>
        <w:t xml:space="preserve"> the </w:t>
      </w:r>
      <w:r w:rsidRPr="001A3D2B">
        <w:rPr>
          <w:kern w:val="0"/>
          <w:szCs w:val="24"/>
        </w:rPr>
        <w:t xml:space="preserve">Humanities, Science, Science Citation Index, Sciences, Scientific Output, Scopus, Search, Social, Social Sciences, Source, Sources, </w:t>
      </w:r>
      <w:r w:rsidR="00D5664A">
        <w:rPr>
          <w:kern w:val="0"/>
          <w:szCs w:val="24"/>
        </w:rPr>
        <w:t>Web</w:t>
      </w:r>
      <w:r w:rsidR="00427468">
        <w:rPr>
          <w:kern w:val="0"/>
          <w:szCs w:val="24"/>
        </w:rPr>
        <w:t xml:space="preserve"> of </w:t>
      </w:r>
      <w:r w:rsidR="00D5664A">
        <w:rPr>
          <w:kern w:val="0"/>
          <w:szCs w:val="24"/>
        </w:rPr>
        <w:t>Science</w:t>
      </w:r>
      <w:r w:rsidRPr="001A3D2B">
        <w:rPr>
          <w:kern w:val="0"/>
          <w:szCs w:val="24"/>
        </w:rPr>
        <w:t xml:space="preserve">, </w:t>
      </w:r>
      <w:r w:rsidR="00D5664A">
        <w:rPr>
          <w:kern w:val="0"/>
          <w:szCs w:val="24"/>
        </w:rPr>
        <w:t>Web-of-Science</w:t>
      </w:r>
    </w:p>
    <w:p w:rsidR="003E631D" w:rsidRPr="001A3D2B" w:rsidRDefault="003E631D" w:rsidP="003E631D">
      <w:pPr>
        <w:pStyle w:val="a3"/>
        <w:rPr>
          <w:kern w:val="0"/>
          <w:szCs w:val="24"/>
        </w:rPr>
      </w:pPr>
      <w:r w:rsidRPr="001A3D2B">
        <w:rPr>
          <w:kern w:val="0"/>
          <w:szCs w:val="24"/>
        </w:rPr>
        <w:t>? Glänzel, W., Schubert, A., Thijs, B.</w:t>
      </w:r>
      <w:r w:rsidR="005853A9">
        <w:rPr>
          <w:kern w:val="0"/>
          <w:szCs w:val="24"/>
        </w:rPr>
        <w:t xml:space="preserve"> and </w:t>
      </w:r>
      <w:r w:rsidRPr="001A3D2B">
        <w:rPr>
          <w:kern w:val="0"/>
          <w:szCs w:val="24"/>
        </w:rPr>
        <w:t>Debackere, K. (2008), A new generation</w:t>
      </w:r>
      <w:r w:rsidR="00427468">
        <w:rPr>
          <w:kern w:val="0"/>
          <w:szCs w:val="24"/>
        </w:rPr>
        <w:t xml:space="preserve"> of </w:t>
      </w:r>
      <w:r w:rsidRPr="001A3D2B">
        <w:rPr>
          <w:kern w:val="0"/>
          <w:szCs w:val="24"/>
        </w:rPr>
        <w:t>relational charts for comparative assessment</w:t>
      </w:r>
      <w:r w:rsidR="00427468">
        <w:rPr>
          <w:kern w:val="0"/>
          <w:szCs w:val="24"/>
        </w:rPr>
        <w:t xml:space="preserve"> of </w:t>
      </w:r>
      <w:r w:rsidRPr="001A3D2B">
        <w:rPr>
          <w:kern w:val="0"/>
          <w:szCs w:val="24"/>
        </w:rPr>
        <w:t xml:space="preserve">citation impact. </w:t>
      </w:r>
      <w:r w:rsidRPr="001A3D2B">
        <w:rPr>
          <w:i/>
          <w:iCs/>
          <w:kern w:val="0"/>
          <w:szCs w:val="24"/>
        </w:rPr>
        <w:t>Archivum Immunologiae et Therapiae Experimentalis</w:t>
      </w:r>
      <w:r w:rsidRPr="001A3D2B">
        <w:rPr>
          <w:kern w:val="0"/>
          <w:szCs w:val="24"/>
        </w:rPr>
        <w:t xml:space="preserve">, </w:t>
      </w:r>
      <w:r w:rsidRPr="001A3D2B">
        <w:rPr>
          <w:b/>
          <w:bCs/>
          <w:kern w:val="0"/>
          <w:szCs w:val="24"/>
        </w:rPr>
        <w:t>56</w:t>
      </w:r>
      <w:r w:rsidRPr="001A3D2B">
        <w:rPr>
          <w:kern w:val="0"/>
          <w:szCs w:val="24"/>
        </w:rPr>
        <w:t xml:space="preserve"> (6), 373-379.</w:t>
      </w:r>
    </w:p>
    <w:p w:rsidR="003E631D" w:rsidRPr="001A3D2B" w:rsidRDefault="003E631D" w:rsidP="003E631D">
      <w:pPr>
        <w:pStyle w:val="a3"/>
      </w:pPr>
      <w:r w:rsidRPr="001A3D2B">
        <w:t xml:space="preserve">Full Text: </w:t>
      </w:r>
      <w:hyperlink r:id="rId1203" w:history="1">
        <w:r w:rsidRPr="001A3D2B">
          <w:rPr>
            <w:rStyle w:val="a5"/>
          </w:rPr>
          <w:t>2008\Arc Imm</w:t>
        </w:r>
        <w:r w:rsidR="003A1917">
          <w:rPr>
            <w:rStyle w:val="a5"/>
          </w:rPr>
          <w:t xml:space="preserve"> the </w:t>
        </w:r>
        <w:r w:rsidRPr="001A3D2B">
          <w:rPr>
            <w:rStyle w:val="a5"/>
          </w:rPr>
          <w:t>Exp56, 373.pdf</w:t>
        </w:r>
      </w:hyperlink>
    </w:p>
    <w:p w:rsidR="003E631D" w:rsidRPr="001A3D2B" w:rsidRDefault="003E631D" w:rsidP="003E631D">
      <w:pPr>
        <w:pStyle w:val="a3"/>
        <w:rPr>
          <w:kern w:val="0"/>
          <w:szCs w:val="24"/>
        </w:rPr>
      </w:pPr>
      <w:r w:rsidRPr="001A3D2B">
        <w:rPr>
          <w:kern w:val="0"/>
          <w:szCs w:val="24"/>
        </w:rPr>
        <w:t>Abstract: A common problem in comparative bibliometric studies at</w:t>
      </w:r>
      <w:r w:rsidR="003A1917">
        <w:rPr>
          <w:kern w:val="0"/>
          <w:szCs w:val="24"/>
        </w:rPr>
        <w:t xml:space="preserve"> the </w:t>
      </w:r>
      <w:r w:rsidRPr="001A3D2B">
        <w:rPr>
          <w:kern w:val="0"/>
          <w:szCs w:val="24"/>
        </w:rPr>
        <w:t>meso</w:t>
      </w:r>
      <w:r w:rsidR="005853A9">
        <w:rPr>
          <w:kern w:val="0"/>
          <w:szCs w:val="24"/>
        </w:rPr>
        <w:t xml:space="preserve"> and </w:t>
      </w:r>
      <w:r w:rsidRPr="001A3D2B">
        <w:rPr>
          <w:kern w:val="0"/>
          <w:szCs w:val="24"/>
        </w:rPr>
        <w:t>micro level is</w:t>
      </w:r>
      <w:r w:rsidR="003A1917">
        <w:rPr>
          <w:kern w:val="0"/>
          <w:szCs w:val="24"/>
        </w:rPr>
        <w:t xml:space="preserve"> the </w:t>
      </w:r>
      <w:r w:rsidRPr="001A3D2B">
        <w:rPr>
          <w:kern w:val="0"/>
          <w:szCs w:val="24"/>
        </w:rPr>
        <w:t>differentiation</w:t>
      </w:r>
      <w:r w:rsidR="005853A9">
        <w:rPr>
          <w:kern w:val="0"/>
          <w:szCs w:val="24"/>
        </w:rPr>
        <w:t xml:space="preserve"> and </w:t>
      </w:r>
      <w:r w:rsidRPr="001A3D2B">
        <w:rPr>
          <w:kern w:val="0"/>
          <w:szCs w:val="24"/>
        </w:rPr>
        <w:t>specialization</w:t>
      </w:r>
      <w:r w:rsidR="00427468">
        <w:rPr>
          <w:kern w:val="0"/>
          <w:szCs w:val="24"/>
        </w:rPr>
        <w:t xml:space="preserve"> of </w:t>
      </w:r>
      <w:r w:rsidRPr="001A3D2B">
        <w:rPr>
          <w:kern w:val="0"/>
          <w:szCs w:val="24"/>
        </w:rPr>
        <w:t>research profiles</w:t>
      </w:r>
      <w:r w:rsidR="00427468">
        <w:rPr>
          <w:kern w:val="0"/>
          <w:szCs w:val="24"/>
        </w:rPr>
        <w:t xml:space="preserve"> of </w:t>
      </w:r>
      <w:r w:rsidR="003A1917">
        <w:rPr>
          <w:kern w:val="0"/>
          <w:szCs w:val="24"/>
        </w:rPr>
        <w:t xml:space="preserve">the </w:t>
      </w:r>
      <w:r w:rsidRPr="001A3D2B">
        <w:rPr>
          <w:kern w:val="0"/>
          <w:szCs w:val="24"/>
        </w:rPr>
        <w:t>objects</w:t>
      </w:r>
      <w:r w:rsidR="00427468">
        <w:rPr>
          <w:kern w:val="0"/>
          <w:szCs w:val="24"/>
        </w:rPr>
        <w:t xml:space="preserve"> of </w:t>
      </w:r>
      <w:r w:rsidRPr="001A3D2B">
        <w:rPr>
          <w:kern w:val="0"/>
          <w:szCs w:val="24"/>
        </w:rPr>
        <w:t>analysis at lower levels</w:t>
      </w:r>
      <w:r w:rsidR="00427468">
        <w:rPr>
          <w:kern w:val="0"/>
          <w:szCs w:val="24"/>
        </w:rPr>
        <w:t xml:space="preserve"> of </w:t>
      </w:r>
      <w:r w:rsidRPr="001A3D2B">
        <w:rPr>
          <w:kern w:val="0"/>
          <w:szCs w:val="24"/>
        </w:rPr>
        <w:t>aggregation. In this study, institutional profile clusters are used to examine which level</w:t>
      </w:r>
      <w:r w:rsidR="00427468">
        <w:rPr>
          <w:kern w:val="0"/>
          <w:szCs w:val="24"/>
        </w:rPr>
        <w:t xml:space="preserve"> of </w:t>
      </w:r>
      <w:r w:rsidR="003A1917">
        <w:rPr>
          <w:kern w:val="0"/>
          <w:szCs w:val="24"/>
        </w:rPr>
        <w:t xml:space="preserve">the </w:t>
      </w:r>
      <w:r w:rsidRPr="001A3D2B">
        <w:rPr>
          <w:kern w:val="0"/>
          <w:szCs w:val="24"/>
        </w:rPr>
        <w:t>hierarchical subject classification should preferably be used to build subject-normalized citation indicators. It is shown that a set</w:t>
      </w:r>
      <w:r w:rsidR="00427468">
        <w:rPr>
          <w:kern w:val="0"/>
          <w:szCs w:val="24"/>
        </w:rPr>
        <w:t xml:space="preserve"> of </w:t>
      </w:r>
      <w:r w:rsidRPr="001A3D2B">
        <w:rPr>
          <w:kern w:val="0"/>
          <w:szCs w:val="24"/>
        </w:rPr>
        <w:t>properly normalized indicators can serve as a basis</w:t>
      </w:r>
      <w:r w:rsidR="00427468">
        <w:rPr>
          <w:kern w:val="0"/>
          <w:szCs w:val="24"/>
        </w:rPr>
        <w:t xml:space="preserve"> of </w:t>
      </w:r>
      <w:r w:rsidRPr="001A3D2B">
        <w:rPr>
          <w:kern w:val="0"/>
          <w:szCs w:val="24"/>
        </w:rPr>
        <w:t>comparative assessment within</w:t>
      </w:r>
      <w:r w:rsidR="005853A9">
        <w:rPr>
          <w:kern w:val="0"/>
          <w:szCs w:val="24"/>
        </w:rPr>
        <w:t xml:space="preserve"> and </w:t>
      </w:r>
      <w:r w:rsidRPr="001A3D2B">
        <w:rPr>
          <w:kern w:val="0"/>
          <w:szCs w:val="24"/>
        </w:rPr>
        <w:t>even among different clusters, provided that their profiles still overlap</w:t>
      </w:r>
      <w:r w:rsidR="005853A9">
        <w:rPr>
          <w:kern w:val="0"/>
          <w:szCs w:val="24"/>
        </w:rPr>
        <w:t xml:space="preserve"> and </w:t>
      </w:r>
      <w:r w:rsidRPr="001A3D2B">
        <w:rPr>
          <w:kern w:val="0"/>
          <w:szCs w:val="24"/>
        </w:rPr>
        <w:t>such comparison is thus meaningful. Using</w:t>
      </w:r>
      <w:r w:rsidR="003A1917">
        <w:rPr>
          <w:kern w:val="0"/>
          <w:szCs w:val="24"/>
        </w:rPr>
        <w:t xml:space="preserve"> the </w:t>
      </w:r>
      <w:r w:rsidRPr="001A3D2B">
        <w:rPr>
          <w:kern w:val="0"/>
          <w:szCs w:val="24"/>
        </w:rPr>
        <w:t>example</w:t>
      </w:r>
      <w:r w:rsidR="00427468">
        <w:rPr>
          <w:kern w:val="0"/>
          <w:szCs w:val="24"/>
        </w:rPr>
        <w:t xml:space="preserve"> of </w:t>
      </w:r>
      <w:r w:rsidRPr="001A3D2B">
        <w:rPr>
          <w:kern w:val="0"/>
          <w:szCs w:val="24"/>
        </w:rPr>
        <w:t>24 European universities, a new version</w:t>
      </w:r>
      <w:r w:rsidR="00427468">
        <w:rPr>
          <w:kern w:val="0"/>
          <w:szCs w:val="24"/>
        </w:rPr>
        <w:t xml:space="preserve"> of </w:t>
      </w:r>
      <w:r w:rsidRPr="001A3D2B">
        <w:rPr>
          <w:kern w:val="0"/>
          <w:szCs w:val="24"/>
        </w:rPr>
        <w:t>relational charts is presented for</w:t>
      </w:r>
      <w:r w:rsidR="003A1917">
        <w:rPr>
          <w:kern w:val="0"/>
          <w:szCs w:val="24"/>
        </w:rPr>
        <w:t xml:space="preserve"> the </w:t>
      </w:r>
      <w:r w:rsidRPr="001A3D2B">
        <w:rPr>
          <w:kern w:val="0"/>
          <w:szCs w:val="24"/>
        </w:rPr>
        <w:t>comparative assessment</w:t>
      </w:r>
      <w:r w:rsidR="00427468">
        <w:rPr>
          <w:kern w:val="0"/>
          <w:szCs w:val="24"/>
        </w:rPr>
        <w:t xml:space="preserve"> of </w:t>
      </w:r>
      <w:r w:rsidRPr="001A3D2B">
        <w:rPr>
          <w:kern w:val="0"/>
          <w:szCs w:val="24"/>
        </w:rPr>
        <w:t>citation impact.</w:t>
      </w:r>
    </w:p>
    <w:p w:rsidR="003E631D" w:rsidRPr="001A3D2B" w:rsidRDefault="003E631D" w:rsidP="003E631D">
      <w:pPr>
        <w:pStyle w:val="a3"/>
        <w:rPr>
          <w:kern w:val="0"/>
          <w:szCs w:val="24"/>
        </w:rPr>
      </w:pPr>
      <w:r w:rsidRPr="001A3D2B">
        <w:rPr>
          <w:kern w:val="0"/>
          <w:szCs w:val="24"/>
        </w:rPr>
        <w:t>Keywords: Aggregation, Analysis, Assessment, Bibliometric, Bibliometric Indicators, Bibliometric Studies, Characteristic Scores, Citation, Citation Analysis, Classification, Comparison, Distributions, Generation, Impact, Index, Indicators, Institutional, Problem, Profiles, Relational Charts, Research, Scales, Science, Scientometric Indicators, Specialization, Subject Normalization, Universities, Version</w:t>
      </w:r>
    </w:p>
    <w:p w:rsidR="003474F2" w:rsidRPr="001A3D2B" w:rsidRDefault="003474F2" w:rsidP="003474F2">
      <w:pPr>
        <w:pStyle w:val="a3"/>
      </w:pPr>
      <w:r w:rsidRPr="001A3D2B">
        <w:t>? Pilc, A. (2008</w:t>
      </w:r>
      <w:r w:rsidR="00F42EAC">
        <w:t>), The</w:t>
      </w:r>
      <w:r w:rsidR="003A1917">
        <w:t xml:space="preserve"> </w:t>
      </w:r>
      <w:r w:rsidRPr="001A3D2B">
        <w:t>use</w:t>
      </w:r>
      <w:r w:rsidR="00427468">
        <w:t xml:space="preserve"> of </w:t>
      </w:r>
      <w:r w:rsidRPr="001A3D2B">
        <w:t>citation indicators to identify</w:t>
      </w:r>
      <w:r w:rsidR="005853A9">
        <w:t xml:space="preserve"> and </w:t>
      </w:r>
      <w:r w:rsidRPr="001A3D2B">
        <w:t xml:space="preserve">support high-quality research in Poland. </w:t>
      </w:r>
      <w:r w:rsidRPr="001A3D2B">
        <w:rPr>
          <w:i/>
          <w:iCs/>
        </w:rPr>
        <w:t>Archivum Immunologiae et Therapiae Experimentalis</w:t>
      </w:r>
      <w:r w:rsidRPr="001A3D2B">
        <w:t xml:space="preserve">, </w:t>
      </w:r>
      <w:r w:rsidRPr="001A3D2B">
        <w:rPr>
          <w:b/>
          <w:bCs/>
        </w:rPr>
        <w:t>56</w:t>
      </w:r>
      <w:r w:rsidRPr="001A3D2B">
        <w:t xml:space="preserve"> (6), 381-384.</w:t>
      </w:r>
    </w:p>
    <w:p w:rsidR="003474F2" w:rsidRPr="001A3D2B" w:rsidRDefault="003474F2" w:rsidP="003474F2">
      <w:pPr>
        <w:pStyle w:val="a3"/>
      </w:pPr>
      <w:r w:rsidRPr="001A3D2B">
        <w:t xml:space="preserve">Full Text: </w:t>
      </w:r>
      <w:hyperlink r:id="rId1204" w:history="1">
        <w:r w:rsidRPr="001A3D2B">
          <w:rPr>
            <w:rStyle w:val="a5"/>
          </w:rPr>
          <w:t>2008\Arc Imm</w:t>
        </w:r>
        <w:r w:rsidR="003A1917">
          <w:rPr>
            <w:rStyle w:val="a5"/>
          </w:rPr>
          <w:t xml:space="preserve"> the </w:t>
        </w:r>
        <w:r w:rsidRPr="001A3D2B">
          <w:rPr>
            <w:rStyle w:val="a5"/>
          </w:rPr>
          <w:t>Exp56, 381.pdf</w:t>
        </w:r>
      </w:hyperlink>
    </w:p>
    <w:p w:rsidR="003474F2" w:rsidRPr="001A3D2B" w:rsidRDefault="003474F2" w:rsidP="003474F2">
      <w:pPr>
        <w:pStyle w:val="a3"/>
      </w:pPr>
      <w:r w:rsidRPr="001A3D2B">
        <w:t>Abstract: In large, mostly English-speaking countries, where</w:t>
      </w:r>
      <w:r w:rsidR="003A1917">
        <w:t xml:space="preserve"> the </w:t>
      </w:r>
      <w:r w:rsidR="00B5188C">
        <w:t>“</w:t>
      </w:r>
      <w:r w:rsidRPr="001A3D2B">
        <w:t>critical mass</w:t>
      </w:r>
      <w:r w:rsidR="00B5188C">
        <w:t>”</w:t>
      </w:r>
      <w:r w:rsidR="00427468">
        <w:t xml:space="preserve"> of </w:t>
      </w:r>
      <w:r w:rsidRPr="001A3D2B">
        <w:t>scientists working in different subfields</w:t>
      </w:r>
      <w:r w:rsidR="00427468">
        <w:t xml:space="preserve"> of </w:t>
      </w:r>
      <w:r w:rsidRPr="001A3D2B">
        <w:t>science is achieved,</w:t>
      </w:r>
      <w:r w:rsidR="003A1917">
        <w:t xml:space="preserve"> the </w:t>
      </w:r>
      <w:r w:rsidRPr="001A3D2B">
        <w:t>peer review system may be sufficient to assess</w:t>
      </w:r>
      <w:r w:rsidR="003A1917">
        <w:t xml:space="preserve"> the </w:t>
      </w:r>
      <w:r w:rsidRPr="001A3D2B">
        <w:t>quality</w:t>
      </w:r>
      <w:r w:rsidR="00427468">
        <w:t xml:space="preserve"> of </w:t>
      </w:r>
      <w:r w:rsidRPr="001A3D2B">
        <w:t>scientific research. However, in smaller countries, outside</w:t>
      </w:r>
      <w:r w:rsidR="003A1917">
        <w:t xml:space="preserve"> the </w:t>
      </w:r>
      <w:r w:rsidRPr="001A3D2B">
        <w:t>Anglo-American circle, it is important to introduce different systems to identify research</w:t>
      </w:r>
      <w:r w:rsidR="00427468">
        <w:t xml:space="preserve"> of </w:t>
      </w:r>
      <w:r w:rsidRPr="001A3D2B">
        <w:t>high quality. In Poland, a parametric system for assessing</w:t>
      </w:r>
      <w:r w:rsidR="003A1917">
        <w:t xml:space="preserve"> the </w:t>
      </w:r>
      <w:r w:rsidRPr="001A3D2B">
        <w:t>quality</w:t>
      </w:r>
      <w:r w:rsidR="00427468">
        <w:t xml:space="preserve"> of </w:t>
      </w:r>
      <w:r w:rsidRPr="001A3D2B">
        <w:t>research has been introduced. It was largely based on</w:t>
      </w:r>
      <w:r w:rsidR="003A1917">
        <w:t xml:space="preserve"> the </w:t>
      </w:r>
      <w:r w:rsidRPr="001A3D2B">
        <w:t>impact factor</w:t>
      </w:r>
      <w:r w:rsidR="00427468">
        <w:t xml:space="preserve"> of </w:t>
      </w:r>
      <w:r w:rsidRPr="001A3D2B">
        <w:t>scientific journals. While</w:t>
      </w:r>
      <w:r w:rsidR="003A1917">
        <w:t xml:space="preserve"> the </w:t>
      </w:r>
      <w:r w:rsidRPr="001A3D2B">
        <w:t>use</w:t>
      </w:r>
      <w:r w:rsidR="00427468">
        <w:t xml:space="preserve"> of </w:t>
      </w:r>
      <w:r w:rsidRPr="001A3D2B">
        <w:t>this indicator to assess research quality is highly questionable,</w:t>
      </w:r>
      <w:r w:rsidR="003A1917">
        <w:t xml:space="preserve"> the </w:t>
      </w:r>
      <w:r w:rsidRPr="001A3D2B">
        <w:t>implementation</w:t>
      </w:r>
      <w:r w:rsidR="00427468">
        <w:t xml:space="preserve"> of </w:t>
      </w:r>
      <w:r w:rsidR="003A1917">
        <w:t xml:space="preserve">the </w:t>
      </w:r>
      <w:r w:rsidRPr="001A3D2B">
        <w:t>system in</w:t>
      </w:r>
      <w:r w:rsidR="003A1917">
        <w:t xml:space="preserve"> the </w:t>
      </w:r>
      <w:r w:rsidRPr="001A3D2B">
        <w:t>Polish reality is even worse</w:t>
      </w:r>
      <w:r w:rsidR="00A37C1D">
        <w:t>. The</w:t>
      </w:r>
      <w:r w:rsidRPr="001A3D2B">
        <w:t>refore it is important to change</w:t>
      </w:r>
      <w:r w:rsidR="005853A9">
        <w:t xml:space="preserve"> and </w:t>
      </w:r>
      <w:r w:rsidRPr="001A3D2B">
        <w:t>improve</w:t>
      </w:r>
      <w:r w:rsidR="003A1917">
        <w:t xml:space="preserve"> the </w:t>
      </w:r>
      <w:r w:rsidRPr="001A3D2B">
        <w:t>system currently used by</w:t>
      </w:r>
      <w:r w:rsidR="003A1917">
        <w:t xml:space="preserve"> the </w:t>
      </w:r>
      <w:r w:rsidRPr="001A3D2B">
        <w:t>Ministry</w:t>
      </w:r>
      <w:r w:rsidR="00427468">
        <w:t xml:space="preserve"> of </w:t>
      </w:r>
      <w:r w:rsidRPr="001A3D2B">
        <w:t>Science</w:t>
      </w:r>
      <w:r w:rsidR="005853A9">
        <w:t xml:space="preserve"> and </w:t>
      </w:r>
      <w:r w:rsidRPr="001A3D2B">
        <w:t>Higher Education to both evaluate and, more importantly, finance science in Poland. Here, a system based on three factors, i.e</w:t>
      </w:r>
      <w:r w:rsidR="00A37C1D">
        <w:t xml:space="preserve">. </w:t>
      </w:r>
      <w:r w:rsidR="00A37C1D">
        <w:lastRenderedPageBreak/>
        <w:t>The</w:t>
      </w:r>
      <w:r w:rsidR="003A1917">
        <w:t xml:space="preserve"> </w:t>
      </w:r>
      <w:r w:rsidRPr="001A3D2B">
        <w:t>impact factor,</w:t>
      </w:r>
      <w:r w:rsidR="003A1917">
        <w:t xml:space="preserve"> the </w:t>
      </w:r>
      <w:r w:rsidRPr="001A3D2B">
        <w:t xml:space="preserve">institutional </w:t>
      </w:r>
      <w:r w:rsidR="00D5664A">
        <w:t>h-Index</w:t>
      </w:r>
      <w:r w:rsidRPr="001A3D2B">
        <w:t>,</w:t>
      </w:r>
      <w:r w:rsidR="005853A9">
        <w:t xml:space="preserve"> and </w:t>
      </w:r>
      <w:r w:rsidR="003A1917">
        <w:t xml:space="preserve">the </w:t>
      </w:r>
      <w:r w:rsidRPr="001A3D2B">
        <w:t>institutional number</w:t>
      </w:r>
      <w:r w:rsidR="00427468">
        <w:t xml:space="preserve"> of </w:t>
      </w:r>
      <w:r w:rsidRPr="001A3D2B">
        <w:t>citations, is proposed</w:t>
      </w:r>
      <w:r w:rsidR="00A37C1D">
        <w:t>. The</w:t>
      </w:r>
      <w:r w:rsidR="003A1917">
        <w:t xml:space="preserve"> </w:t>
      </w:r>
      <w:r w:rsidRPr="001A3D2B">
        <w:t>scientific quality</w:t>
      </w:r>
      <w:r w:rsidR="00427468">
        <w:t xml:space="preserve"> of </w:t>
      </w:r>
      <w:r w:rsidRPr="001A3D2B">
        <w:t>institutions in Division VI: Medical Sciences</w:t>
      </w:r>
      <w:r w:rsidR="00427468">
        <w:t xml:space="preserve"> of </w:t>
      </w:r>
      <w:r w:rsidR="003A1917">
        <w:t xml:space="preserve">the </w:t>
      </w:r>
      <w:r w:rsidRPr="001A3D2B">
        <w:t>Polish Academy</w:t>
      </w:r>
      <w:r w:rsidR="00427468">
        <w:t xml:space="preserve"> of </w:t>
      </w:r>
      <w:r w:rsidRPr="001A3D2B">
        <w:t>Sciences were evaluated</w:t>
      </w:r>
      <w:r w:rsidR="005853A9">
        <w:t xml:space="preserve"> and </w:t>
      </w:r>
      <w:r w:rsidR="003A1917">
        <w:t xml:space="preserve">the </w:t>
      </w:r>
      <w:r w:rsidRPr="001A3D2B">
        <w:t>results were compared with</w:t>
      </w:r>
      <w:r w:rsidR="003A1917">
        <w:t xml:space="preserve"> the </w:t>
      </w:r>
      <w:r w:rsidRPr="001A3D2B">
        <w:t>existing system. Moreover, a method to identify high-quality researchers</w:t>
      </w:r>
      <w:r w:rsidR="005853A9">
        <w:t xml:space="preserve"> and </w:t>
      </w:r>
      <w:r w:rsidRPr="001A3D2B">
        <w:t>institutions at</w:t>
      </w:r>
      <w:r w:rsidR="003A1917">
        <w:t xml:space="preserve"> the </w:t>
      </w:r>
      <w:r w:rsidRPr="001A3D2B">
        <w:t>national level based on</w:t>
      </w:r>
      <w:r w:rsidR="003A1917">
        <w:t xml:space="preserve"> the </w:t>
      </w:r>
      <w:r w:rsidRPr="001A3D2B">
        <w:t>quantity</w:t>
      </w:r>
      <w:r w:rsidR="00427468">
        <w:t xml:space="preserve"> of </w:t>
      </w:r>
      <w:r w:rsidRPr="001A3D2B">
        <w:t>highly cited papers is shown. Additionally, an attempt to identify</w:t>
      </w:r>
      <w:r w:rsidR="003A1917">
        <w:t xml:space="preserve"> the </w:t>
      </w:r>
      <w:r w:rsidRPr="001A3D2B">
        <w:t>highest quality Polish research on an international level is proposed. This is based on</w:t>
      </w:r>
      <w:r w:rsidR="003A1917">
        <w:t xml:space="preserve"> the </w:t>
      </w:r>
      <w:r w:rsidRPr="001A3D2B">
        <w:t>number</w:t>
      </w:r>
      <w:r w:rsidR="00427468">
        <w:t xml:space="preserve"> of </w:t>
      </w:r>
      <w:r w:rsidRPr="001A3D2B">
        <w:t>individual citations,</w:t>
      </w:r>
      <w:r w:rsidR="003A1917">
        <w:t xml:space="preserve"> the </w:t>
      </w:r>
      <w:r w:rsidRPr="001A3D2B">
        <w:t xml:space="preserve">individual </w:t>
      </w:r>
      <w:r w:rsidR="00D5664A">
        <w:t>h-Index</w:t>
      </w:r>
      <w:r w:rsidRPr="001A3D2B">
        <w:t>,</w:t>
      </w:r>
      <w:r w:rsidR="003A1917">
        <w:t xml:space="preserve"> the </w:t>
      </w:r>
      <w:r w:rsidRPr="001A3D2B">
        <w:t>number</w:t>
      </w:r>
      <w:r w:rsidR="00427468">
        <w:t xml:space="preserve"> of </w:t>
      </w:r>
      <w:r w:rsidRPr="001A3D2B">
        <w:t>publications,</w:t>
      </w:r>
      <w:r w:rsidR="005853A9">
        <w:t xml:space="preserve"> and </w:t>
      </w:r>
      <w:r w:rsidR="003A1917">
        <w:t xml:space="preserve">the </w:t>
      </w:r>
      <w:r w:rsidRPr="001A3D2B">
        <w:t>priority</w:t>
      </w:r>
      <w:r w:rsidR="00427468">
        <w:t xml:space="preserve"> of </w:t>
      </w:r>
      <w:r w:rsidR="003A1917">
        <w:t xml:space="preserve">the </w:t>
      </w:r>
      <w:r w:rsidRPr="001A3D2B">
        <w:t>discovery.</w:t>
      </w:r>
    </w:p>
    <w:p w:rsidR="003474F2" w:rsidRPr="001A3D2B" w:rsidRDefault="003474F2" w:rsidP="003474F2">
      <w:pPr>
        <w:pStyle w:val="a3"/>
      </w:pPr>
      <w:r w:rsidRPr="001A3D2B">
        <w:t xml:space="preserve">Keywords: Anglo-American, Assessing, Change, Citation, Citation Number, Citations, Discovery, </w:t>
      </w:r>
      <w:r w:rsidR="00D5664A">
        <w:t>h Index</w:t>
      </w:r>
      <w:r w:rsidRPr="001A3D2B">
        <w:t xml:space="preserve">, </w:t>
      </w:r>
      <w:r w:rsidR="00D5664A">
        <w:t>h-Index</w:t>
      </w:r>
      <w:r w:rsidRPr="001A3D2B">
        <w:t>, h-Ndex, Impact, Impact Factor, Impact Factor, Implementation, Index, Indicator, Indicators, Institutions, International, Journals, National, Papers, Parametric, Peer, Peer Review, Peer-Review, Publications, Quality, Quality of, Research, Research Quality, Review, Science, Scientific Journals, Scientific Research, Support, Systems</w:t>
      </w:r>
    </w:p>
    <w:p w:rsidR="003E631D" w:rsidRPr="001A3D2B" w:rsidRDefault="003E631D" w:rsidP="003E631D">
      <w:pPr>
        <w:pStyle w:val="a3"/>
        <w:rPr>
          <w:kern w:val="0"/>
          <w:szCs w:val="24"/>
        </w:rPr>
      </w:pPr>
      <w:r w:rsidRPr="001A3D2B">
        <w:rPr>
          <w:kern w:val="0"/>
          <w:szCs w:val="24"/>
        </w:rPr>
        <w:t>? Pendlebury, D.A. (2009</w:t>
      </w:r>
      <w:r w:rsidR="00F42EAC">
        <w:rPr>
          <w:kern w:val="0"/>
          <w:szCs w:val="24"/>
        </w:rPr>
        <w:t>), The</w:t>
      </w:r>
      <w:r w:rsidR="003A1917">
        <w:rPr>
          <w:kern w:val="0"/>
          <w:szCs w:val="24"/>
        </w:rPr>
        <w:t xml:space="preserve"> </w:t>
      </w:r>
      <w:r w:rsidRPr="001A3D2B">
        <w:rPr>
          <w:kern w:val="0"/>
          <w:szCs w:val="24"/>
        </w:rPr>
        <w:t>use</w:t>
      </w:r>
      <w:r w:rsidR="005853A9">
        <w:rPr>
          <w:kern w:val="0"/>
          <w:szCs w:val="24"/>
        </w:rPr>
        <w:t xml:space="preserve"> and </w:t>
      </w:r>
      <w:r w:rsidRPr="001A3D2B">
        <w:rPr>
          <w:kern w:val="0"/>
          <w:szCs w:val="24"/>
        </w:rPr>
        <w:t>misuse</w:t>
      </w:r>
      <w:r w:rsidR="00427468">
        <w:rPr>
          <w:kern w:val="0"/>
          <w:szCs w:val="24"/>
        </w:rPr>
        <w:t xml:space="preserve"> of </w:t>
      </w:r>
      <w:r w:rsidRPr="001A3D2B">
        <w:rPr>
          <w:kern w:val="0"/>
          <w:szCs w:val="24"/>
        </w:rPr>
        <w:t>journal metrics</w:t>
      </w:r>
      <w:r w:rsidR="005853A9">
        <w:rPr>
          <w:kern w:val="0"/>
          <w:szCs w:val="24"/>
        </w:rPr>
        <w:t xml:space="preserve"> and </w:t>
      </w:r>
      <w:r w:rsidRPr="001A3D2B">
        <w:rPr>
          <w:kern w:val="0"/>
          <w:szCs w:val="24"/>
        </w:rPr>
        <w:t xml:space="preserve">other citation indicators. </w:t>
      </w:r>
      <w:r w:rsidRPr="001A3D2B">
        <w:rPr>
          <w:i/>
          <w:iCs/>
          <w:kern w:val="0"/>
          <w:szCs w:val="24"/>
        </w:rPr>
        <w:t>Archivum Immunologiae et Therapiae Experimentalis</w:t>
      </w:r>
      <w:r w:rsidRPr="001A3D2B">
        <w:rPr>
          <w:kern w:val="0"/>
          <w:szCs w:val="24"/>
        </w:rPr>
        <w:t xml:space="preserve">, </w:t>
      </w:r>
      <w:r w:rsidRPr="001A3D2B">
        <w:rPr>
          <w:b/>
          <w:bCs/>
          <w:kern w:val="0"/>
          <w:szCs w:val="24"/>
        </w:rPr>
        <w:t>57</w:t>
      </w:r>
      <w:r w:rsidRPr="001A3D2B">
        <w:rPr>
          <w:kern w:val="0"/>
          <w:szCs w:val="24"/>
        </w:rPr>
        <w:t xml:space="preserve"> (1), 1-11.</w:t>
      </w:r>
    </w:p>
    <w:p w:rsidR="003E631D" w:rsidRPr="001A3D2B" w:rsidRDefault="003E631D" w:rsidP="003E631D">
      <w:pPr>
        <w:pStyle w:val="a3"/>
      </w:pPr>
      <w:r w:rsidRPr="001A3D2B">
        <w:t xml:space="preserve">Full Text: </w:t>
      </w:r>
      <w:hyperlink r:id="rId1205" w:history="1">
        <w:r w:rsidRPr="001A3D2B">
          <w:rPr>
            <w:rStyle w:val="a5"/>
          </w:rPr>
          <w:t>2009\Arc Imm</w:t>
        </w:r>
        <w:r w:rsidR="003A1917">
          <w:rPr>
            <w:rStyle w:val="a5"/>
          </w:rPr>
          <w:t xml:space="preserve"> the </w:t>
        </w:r>
        <w:r w:rsidRPr="001A3D2B">
          <w:rPr>
            <w:rStyle w:val="a5"/>
          </w:rPr>
          <w:t>Exp57, 1.pdf</w:t>
        </w:r>
      </w:hyperlink>
    </w:p>
    <w:p w:rsidR="003E631D" w:rsidRPr="001A3D2B" w:rsidRDefault="003E631D" w:rsidP="003E631D">
      <w:pPr>
        <w:pStyle w:val="a3"/>
        <w:rPr>
          <w:kern w:val="0"/>
          <w:szCs w:val="24"/>
        </w:rPr>
      </w:pPr>
      <w:r w:rsidRPr="001A3D2B">
        <w:rPr>
          <w:kern w:val="0"/>
          <w:szCs w:val="24"/>
        </w:rPr>
        <w:t>Abstract: This article reviews</w:t>
      </w:r>
      <w:r w:rsidR="003A1917">
        <w:rPr>
          <w:kern w:val="0"/>
          <w:szCs w:val="24"/>
        </w:rPr>
        <w:t xml:space="preserve"> the </w:t>
      </w:r>
      <w:r w:rsidRPr="001A3D2B">
        <w:rPr>
          <w:kern w:val="0"/>
          <w:szCs w:val="24"/>
        </w:rPr>
        <w:t>nature</w:t>
      </w:r>
      <w:r w:rsidR="005853A9">
        <w:rPr>
          <w:kern w:val="0"/>
          <w:szCs w:val="24"/>
        </w:rPr>
        <w:t xml:space="preserve"> and </w:t>
      </w:r>
      <w:r w:rsidRPr="001A3D2B">
        <w:rPr>
          <w:kern w:val="0"/>
          <w:szCs w:val="24"/>
        </w:rPr>
        <w:t>use</w:t>
      </w:r>
      <w:r w:rsidR="00427468">
        <w:rPr>
          <w:kern w:val="0"/>
          <w:szCs w:val="24"/>
        </w:rPr>
        <w:t xml:space="preserve"> of </w:t>
      </w:r>
      <w:r w:rsidR="003A1917">
        <w:rPr>
          <w:kern w:val="0"/>
          <w:szCs w:val="24"/>
        </w:rPr>
        <w:t xml:space="preserve">the </w:t>
      </w:r>
      <w:r w:rsidRPr="001A3D2B">
        <w:rPr>
          <w:kern w:val="0"/>
          <w:szCs w:val="24"/>
        </w:rPr>
        <w:t>journal impact factor</w:t>
      </w:r>
      <w:r w:rsidR="005853A9">
        <w:rPr>
          <w:kern w:val="0"/>
          <w:szCs w:val="24"/>
        </w:rPr>
        <w:t xml:space="preserve"> and </w:t>
      </w:r>
      <w:r w:rsidRPr="001A3D2B">
        <w:rPr>
          <w:kern w:val="0"/>
          <w:szCs w:val="24"/>
        </w:rPr>
        <w:t>other common bibliometric measures for assessing research in</w:t>
      </w:r>
      <w:r w:rsidR="003A1917">
        <w:rPr>
          <w:kern w:val="0"/>
          <w:szCs w:val="24"/>
        </w:rPr>
        <w:t xml:space="preserve"> the </w:t>
      </w:r>
      <w:r w:rsidRPr="001A3D2B">
        <w:rPr>
          <w:kern w:val="0"/>
          <w:szCs w:val="24"/>
        </w:rPr>
        <w:t>sciences</w:t>
      </w:r>
      <w:r w:rsidR="005853A9">
        <w:rPr>
          <w:kern w:val="0"/>
          <w:szCs w:val="24"/>
        </w:rPr>
        <w:t xml:space="preserve"> and </w:t>
      </w:r>
      <w:r w:rsidRPr="001A3D2B">
        <w:rPr>
          <w:kern w:val="0"/>
          <w:szCs w:val="24"/>
        </w:rPr>
        <w:t>social sciences based on data compiled by Thomson Reuters. Journal impact factors are frequently misused to assess</w:t>
      </w:r>
      <w:r w:rsidR="003A1917">
        <w:rPr>
          <w:kern w:val="0"/>
          <w:szCs w:val="24"/>
        </w:rPr>
        <w:t xml:space="preserve"> the </w:t>
      </w:r>
      <w:r w:rsidRPr="001A3D2B">
        <w:rPr>
          <w:kern w:val="0"/>
          <w:szCs w:val="24"/>
        </w:rPr>
        <w:t>influence</w:t>
      </w:r>
      <w:r w:rsidR="00427468">
        <w:rPr>
          <w:kern w:val="0"/>
          <w:szCs w:val="24"/>
        </w:rPr>
        <w:t xml:space="preserve"> of </w:t>
      </w:r>
      <w:r w:rsidRPr="001A3D2B">
        <w:rPr>
          <w:kern w:val="0"/>
          <w:szCs w:val="24"/>
        </w:rPr>
        <w:t>individual papers</w:t>
      </w:r>
      <w:r w:rsidR="005853A9">
        <w:rPr>
          <w:kern w:val="0"/>
          <w:szCs w:val="24"/>
        </w:rPr>
        <w:t xml:space="preserve"> and </w:t>
      </w:r>
      <w:r w:rsidRPr="001A3D2B">
        <w:rPr>
          <w:kern w:val="0"/>
          <w:szCs w:val="24"/>
        </w:rPr>
        <w:t>authors, but such uses were never intended. Thomson Reuters also employs other measures</w:t>
      </w:r>
      <w:r w:rsidR="00427468">
        <w:rPr>
          <w:kern w:val="0"/>
          <w:szCs w:val="24"/>
        </w:rPr>
        <w:t xml:space="preserve"> of </w:t>
      </w:r>
      <w:r w:rsidRPr="001A3D2B">
        <w:rPr>
          <w:kern w:val="0"/>
          <w:szCs w:val="24"/>
        </w:rPr>
        <w:t>journal influence, which are contrasted with</w:t>
      </w:r>
      <w:r w:rsidR="003A1917">
        <w:rPr>
          <w:kern w:val="0"/>
          <w:szCs w:val="24"/>
        </w:rPr>
        <w:t xml:space="preserve"> the </w:t>
      </w:r>
      <w:r w:rsidRPr="001A3D2B">
        <w:rPr>
          <w:kern w:val="0"/>
          <w:szCs w:val="24"/>
        </w:rPr>
        <w:t>impact factor. Finally,</w:t>
      </w:r>
      <w:r w:rsidR="003A1917">
        <w:rPr>
          <w:kern w:val="0"/>
          <w:szCs w:val="24"/>
        </w:rPr>
        <w:t xml:space="preserve"> the </w:t>
      </w:r>
      <w:r w:rsidRPr="001A3D2B">
        <w:rPr>
          <w:kern w:val="0"/>
          <w:szCs w:val="24"/>
        </w:rPr>
        <w:t>author comments on</w:t>
      </w:r>
      <w:r w:rsidR="003A1917">
        <w:rPr>
          <w:kern w:val="0"/>
          <w:szCs w:val="24"/>
        </w:rPr>
        <w:t xml:space="preserve"> the </w:t>
      </w:r>
      <w:r w:rsidRPr="001A3D2B">
        <w:rPr>
          <w:kern w:val="0"/>
          <w:szCs w:val="24"/>
        </w:rPr>
        <w:t>proper use</w:t>
      </w:r>
      <w:r w:rsidR="00427468">
        <w:rPr>
          <w:kern w:val="0"/>
          <w:szCs w:val="24"/>
        </w:rPr>
        <w:t xml:space="preserve"> of </w:t>
      </w:r>
      <w:r w:rsidRPr="001A3D2B">
        <w:rPr>
          <w:kern w:val="0"/>
          <w:szCs w:val="24"/>
        </w:rPr>
        <w:t>citation data in general, often as a supplement to peer review. This review may help government policymakers, university administrators,</w:t>
      </w:r>
      <w:r w:rsidR="005853A9">
        <w:rPr>
          <w:kern w:val="0"/>
          <w:szCs w:val="24"/>
        </w:rPr>
        <w:t xml:space="preserve"> and </w:t>
      </w:r>
      <w:r w:rsidRPr="001A3D2B">
        <w:rPr>
          <w:kern w:val="0"/>
          <w:szCs w:val="24"/>
        </w:rPr>
        <w:t>individual researchers become better acquainted with</w:t>
      </w:r>
      <w:r w:rsidR="003A1917">
        <w:rPr>
          <w:kern w:val="0"/>
          <w:szCs w:val="24"/>
        </w:rPr>
        <w:t xml:space="preserve"> the </w:t>
      </w:r>
      <w:r w:rsidRPr="001A3D2B">
        <w:rPr>
          <w:kern w:val="0"/>
          <w:szCs w:val="24"/>
        </w:rPr>
        <w:t>potential benefits</w:t>
      </w:r>
      <w:r w:rsidR="005853A9">
        <w:rPr>
          <w:kern w:val="0"/>
          <w:szCs w:val="24"/>
        </w:rPr>
        <w:t xml:space="preserve"> and </w:t>
      </w:r>
      <w:r w:rsidRPr="001A3D2B">
        <w:rPr>
          <w:kern w:val="0"/>
          <w:szCs w:val="24"/>
        </w:rPr>
        <w:t>limitations</w:t>
      </w:r>
      <w:r w:rsidR="00427468">
        <w:rPr>
          <w:kern w:val="0"/>
          <w:szCs w:val="24"/>
        </w:rPr>
        <w:t xml:space="preserve"> of </w:t>
      </w:r>
      <w:r w:rsidRPr="001A3D2B">
        <w:rPr>
          <w:kern w:val="0"/>
          <w:szCs w:val="24"/>
        </w:rPr>
        <w:t>bibliometrics in</w:t>
      </w:r>
      <w:r w:rsidR="003A1917">
        <w:rPr>
          <w:kern w:val="0"/>
          <w:szCs w:val="24"/>
        </w:rPr>
        <w:t xml:space="preserve"> the </w:t>
      </w:r>
      <w:r w:rsidRPr="001A3D2B">
        <w:rPr>
          <w:kern w:val="0"/>
          <w:szCs w:val="24"/>
        </w:rPr>
        <w:t>evaluation</w:t>
      </w:r>
      <w:r w:rsidR="00427468">
        <w:rPr>
          <w:kern w:val="0"/>
          <w:szCs w:val="24"/>
        </w:rPr>
        <w:t xml:space="preserve"> of </w:t>
      </w:r>
      <w:r w:rsidRPr="001A3D2B">
        <w:rPr>
          <w:kern w:val="0"/>
          <w:szCs w:val="24"/>
        </w:rPr>
        <w:t>research.</w:t>
      </w:r>
    </w:p>
    <w:p w:rsidR="003E631D" w:rsidRPr="001A3D2B" w:rsidRDefault="003E631D" w:rsidP="003E631D">
      <w:pPr>
        <w:pStyle w:val="a3"/>
        <w:rPr>
          <w:kern w:val="0"/>
          <w:szCs w:val="24"/>
        </w:rPr>
      </w:pPr>
      <w:r w:rsidRPr="001A3D2B">
        <w:rPr>
          <w:kern w:val="0"/>
          <w:szCs w:val="24"/>
        </w:rPr>
        <w:t>Keywords: Administrators, Assessing, Authors, Benefits, Bibliometric, Bibliometric Indicators, Bibliometrics, Citation, Citation Analysis, Comments, Data, Evaluation, Factors, Garfield, General, Government, Impact, Impact Factor, Impact Factors, Impact-Factors, Index, Indicators, Influence, Information, Institute, Journal, Journal Impact, Journal Impact Factor, Journal Influence, Metrics, Misuse, Papers, Peer, Peer Review, Peer-Review, Performance, Potential, Research, Review, Reviews, Science, Sciences, Social, Social Sciences, Subject Categories, Tool, University, Web</w:t>
      </w:r>
    </w:p>
    <w:p w:rsidR="003E631D" w:rsidRPr="001A3D2B" w:rsidRDefault="003E631D" w:rsidP="003E631D">
      <w:pPr>
        <w:pStyle w:val="a3"/>
        <w:rPr>
          <w:kern w:val="0"/>
          <w:szCs w:val="24"/>
        </w:rPr>
      </w:pPr>
      <w:r w:rsidRPr="001A3D2B">
        <w:rPr>
          <w:kern w:val="0"/>
          <w:szCs w:val="24"/>
        </w:rPr>
        <w:t>? Moed, H.F. (2009), New developments in</w:t>
      </w:r>
      <w:r w:rsidR="003A1917">
        <w:rPr>
          <w:kern w:val="0"/>
          <w:szCs w:val="24"/>
        </w:rPr>
        <w:t xml:space="preserve"> the </w:t>
      </w:r>
      <w:r w:rsidRPr="001A3D2B">
        <w:rPr>
          <w:kern w:val="0"/>
          <w:szCs w:val="24"/>
        </w:rPr>
        <w:t>use</w:t>
      </w:r>
      <w:r w:rsidR="00427468">
        <w:rPr>
          <w:kern w:val="0"/>
          <w:szCs w:val="24"/>
        </w:rPr>
        <w:t xml:space="preserve"> of </w:t>
      </w:r>
      <w:r w:rsidRPr="001A3D2B">
        <w:rPr>
          <w:kern w:val="0"/>
          <w:szCs w:val="24"/>
        </w:rPr>
        <w:t xml:space="preserve">citation analysis in research evaluation. </w:t>
      </w:r>
      <w:r w:rsidRPr="001A3D2B">
        <w:rPr>
          <w:i/>
          <w:iCs/>
          <w:kern w:val="0"/>
          <w:szCs w:val="24"/>
        </w:rPr>
        <w:t>Archivum Immunologiae et Therapiae Experimentalis</w:t>
      </w:r>
      <w:r w:rsidRPr="001A3D2B">
        <w:rPr>
          <w:kern w:val="0"/>
          <w:szCs w:val="24"/>
        </w:rPr>
        <w:t xml:space="preserve">, </w:t>
      </w:r>
      <w:r w:rsidRPr="001A3D2B">
        <w:rPr>
          <w:b/>
          <w:bCs/>
          <w:kern w:val="0"/>
          <w:szCs w:val="24"/>
        </w:rPr>
        <w:t>57</w:t>
      </w:r>
      <w:r w:rsidRPr="001A3D2B">
        <w:rPr>
          <w:kern w:val="0"/>
          <w:szCs w:val="24"/>
        </w:rPr>
        <w:t xml:space="preserve"> (1), 13-18.</w:t>
      </w:r>
    </w:p>
    <w:p w:rsidR="003E631D" w:rsidRPr="001A3D2B" w:rsidRDefault="003E631D" w:rsidP="003E631D">
      <w:pPr>
        <w:pStyle w:val="a3"/>
      </w:pPr>
      <w:r w:rsidRPr="001A3D2B">
        <w:t xml:space="preserve">Full Text: </w:t>
      </w:r>
      <w:hyperlink r:id="rId1206" w:history="1">
        <w:r w:rsidRPr="001A3D2B">
          <w:rPr>
            <w:rStyle w:val="a5"/>
          </w:rPr>
          <w:t>2009\Arc Imm</w:t>
        </w:r>
        <w:r w:rsidR="003A1917">
          <w:rPr>
            <w:rStyle w:val="a5"/>
          </w:rPr>
          <w:t xml:space="preserve"> the </w:t>
        </w:r>
        <w:r w:rsidRPr="001A3D2B">
          <w:rPr>
            <w:rStyle w:val="a5"/>
          </w:rPr>
          <w:t>Exp57, 13.pdf</w:t>
        </w:r>
      </w:hyperlink>
    </w:p>
    <w:p w:rsidR="003E631D" w:rsidRPr="001A3D2B" w:rsidRDefault="003E631D" w:rsidP="003E631D">
      <w:pPr>
        <w:pStyle w:val="a3"/>
        <w:rPr>
          <w:kern w:val="0"/>
          <w:szCs w:val="24"/>
        </w:rPr>
      </w:pPr>
      <w:r w:rsidRPr="001A3D2B">
        <w:rPr>
          <w:kern w:val="0"/>
          <w:szCs w:val="24"/>
        </w:rPr>
        <w:t>Abstract: This paper presents an overview</w:t>
      </w:r>
      <w:r w:rsidR="00427468">
        <w:rPr>
          <w:kern w:val="0"/>
          <w:szCs w:val="24"/>
        </w:rPr>
        <w:t xml:space="preserve"> of </w:t>
      </w:r>
      <w:r w:rsidRPr="001A3D2B">
        <w:rPr>
          <w:kern w:val="0"/>
          <w:szCs w:val="24"/>
        </w:rPr>
        <w:t>research assessment methodologies developed in</w:t>
      </w:r>
      <w:r w:rsidR="003A1917">
        <w:rPr>
          <w:kern w:val="0"/>
          <w:szCs w:val="24"/>
        </w:rPr>
        <w:t xml:space="preserve"> the </w:t>
      </w:r>
      <w:r w:rsidRPr="001A3D2B">
        <w:rPr>
          <w:kern w:val="0"/>
          <w:szCs w:val="24"/>
        </w:rPr>
        <w:t>field</w:t>
      </w:r>
      <w:r w:rsidR="00427468">
        <w:rPr>
          <w:kern w:val="0"/>
          <w:szCs w:val="24"/>
        </w:rPr>
        <w:t xml:space="preserve"> of </w:t>
      </w:r>
      <w:r w:rsidRPr="001A3D2B">
        <w:rPr>
          <w:kern w:val="0"/>
          <w:szCs w:val="24"/>
        </w:rPr>
        <w:t>evaluative bibliometrics, a subfield</w:t>
      </w:r>
      <w:r w:rsidR="00427468">
        <w:rPr>
          <w:kern w:val="0"/>
          <w:szCs w:val="24"/>
        </w:rPr>
        <w:t xml:space="preserve"> of </w:t>
      </w:r>
      <w:r w:rsidRPr="001A3D2B">
        <w:rPr>
          <w:kern w:val="0"/>
          <w:szCs w:val="24"/>
        </w:rPr>
        <w:t>quantitative science</w:t>
      </w:r>
      <w:r w:rsidR="005853A9">
        <w:rPr>
          <w:kern w:val="0"/>
          <w:szCs w:val="24"/>
        </w:rPr>
        <w:t xml:space="preserve"> </w:t>
      </w:r>
      <w:r w:rsidR="005853A9">
        <w:rPr>
          <w:kern w:val="0"/>
          <w:szCs w:val="24"/>
        </w:rPr>
        <w:lastRenderedPageBreak/>
        <w:t xml:space="preserve">and </w:t>
      </w:r>
      <w:r w:rsidRPr="001A3D2B">
        <w:rPr>
          <w:kern w:val="0"/>
          <w:szCs w:val="24"/>
        </w:rPr>
        <w:t>technology studies, aimed to construct indicators</w:t>
      </w:r>
      <w:r w:rsidR="00427468">
        <w:rPr>
          <w:kern w:val="0"/>
          <w:szCs w:val="24"/>
        </w:rPr>
        <w:t xml:space="preserve"> of </w:t>
      </w:r>
      <w:r w:rsidRPr="001A3D2B">
        <w:rPr>
          <w:kern w:val="0"/>
          <w:szCs w:val="24"/>
        </w:rPr>
        <w:t>research performance from a quantitative statistical analysis</w:t>
      </w:r>
      <w:r w:rsidR="00427468">
        <w:rPr>
          <w:kern w:val="0"/>
          <w:szCs w:val="24"/>
        </w:rPr>
        <w:t xml:space="preserve"> of </w:t>
      </w:r>
      <w:r w:rsidRPr="001A3D2B">
        <w:rPr>
          <w:kern w:val="0"/>
          <w:szCs w:val="24"/>
        </w:rPr>
        <w:t>scientific-scholarly documents. Citation analysis is one</w:t>
      </w:r>
      <w:r w:rsidR="00427468">
        <w:rPr>
          <w:kern w:val="0"/>
          <w:szCs w:val="24"/>
        </w:rPr>
        <w:t xml:space="preserve"> of </w:t>
      </w:r>
      <w:r w:rsidRPr="001A3D2B">
        <w:rPr>
          <w:kern w:val="0"/>
          <w:szCs w:val="24"/>
        </w:rPr>
        <w:t>its key methodologies</w:t>
      </w:r>
      <w:r w:rsidR="00A37C1D">
        <w:rPr>
          <w:kern w:val="0"/>
          <w:szCs w:val="24"/>
        </w:rPr>
        <w:t>. The</w:t>
      </w:r>
      <w:r w:rsidR="003A1917">
        <w:rPr>
          <w:kern w:val="0"/>
          <w:szCs w:val="24"/>
        </w:rPr>
        <w:t xml:space="preserve"> </w:t>
      </w:r>
      <w:r w:rsidRPr="001A3D2B">
        <w:rPr>
          <w:kern w:val="0"/>
          <w:szCs w:val="24"/>
        </w:rPr>
        <w:t>paper illustrates</w:t>
      </w:r>
      <w:r w:rsidR="003A1917">
        <w:rPr>
          <w:kern w:val="0"/>
          <w:szCs w:val="24"/>
        </w:rPr>
        <w:t xml:space="preserve"> the </w:t>
      </w:r>
      <w:r w:rsidRPr="001A3D2B">
        <w:rPr>
          <w:kern w:val="0"/>
          <w:szCs w:val="24"/>
        </w:rPr>
        <w:t>potentialities</w:t>
      </w:r>
      <w:r w:rsidR="005853A9">
        <w:rPr>
          <w:kern w:val="0"/>
          <w:szCs w:val="24"/>
        </w:rPr>
        <w:t xml:space="preserve"> and </w:t>
      </w:r>
      <w:r w:rsidRPr="001A3D2B">
        <w:rPr>
          <w:kern w:val="0"/>
          <w:szCs w:val="24"/>
        </w:rPr>
        <w:t>limitations</w:t>
      </w:r>
      <w:r w:rsidR="00427468">
        <w:rPr>
          <w:kern w:val="0"/>
          <w:szCs w:val="24"/>
        </w:rPr>
        <w:t xml:space="preserve"> of </w:t>
      </w:r>
      <w:r w:rsidR="003A1917">
        <w:rPr>
          <w:kern w:val="0"/>
          <w:szCs w:val="24"/>
        </w:rPr>
        <w:t xml:space="preserve">the </w:t>
      </w:r>
      <w:r w:rsidRPr="001A3D2B">
        <w:rPr>
          <w:kern w:val="0"/>
          <w:szCs w:val="24"/>
        </w:rPr>
        <w:t>use</w:t>
      </w:r>
      <w:r w:rsidR="00427468">
        <w:rPr>
          <w:kern w:val="0"/>
          <w:szCs w:val="24"/>
        </w:rPr>
        <w:t xml:space="preserve"> of </w:t>
      </w:r>
      <w:r w:rsidRPr="001A3D2B">
        <w:rPr>
          <w:kern w:val="0"/>
          <w:szCs w:val="24"/>
        </w:rPr>
        <w:t>bibliometric indicators in research assessment. It discusses</w:t>
      </w:r>
      <w:r w:rsidR="003A1917">
        <w:rPr>
          <w:kern w:val="0"/>
          <w:szCs w:val="24"/>
        </w:rPr>
        <w:t xml:space="preserve"> the </w:t>
      </w:r>
      <w:r w:rsidRPr="001A3D2B">
        <w:rPr>
          <w:kern w:val="0"/>
          <w:szCs w:val="24"/>
        </w:rPr>
        <w:t>relationship between metrics</w:t>
      </w:r>
      <w:r w:rsidR="005853A9">
        <w:rPr>
          <w:kern w:val="0"/>
          <w:szCs w:val="24"/>
        </w:rPr>
        <w:t xml:space="preserve"> and </w:t>
      </w:r>
      <w:r w:rsidRPr="001A3D2B">
        <w:rPr>
          <w:kern w:val="0"/>
          <w:szCs w:val="24"/>
        </w:rPr>
        <w:t>peer review; databases used as sources</w:t>
      </w:r>
      <w:r w:rsidR="00427468">
        <w:rPr>
          <w:kern w:val="0"/>
          <w:szCs w:val="24"/>
        </w:rPr>
        <w:t xml:space="preserve"> of </w:t>
      </w:r>
      <w:r w:rsidRPr="001A3D2B">
        <w:rPr>
          <w:kern w:val="0"/>
          <w:szCs w:val="24"/>
        </w:rPr>
        <w:t>bibliometric analysis;</w:t>
      </w:r>
      <w:r w:rsidR="003A1917">
        <w:rPr>
          <w:kern w:val="0"/>
          <w:szCs w:val="24"/>
        </w:rPr>
        <w:t xml:space="preserve"> the </w:t>
      </w:r>
      <w:r w:rsidRPr="001A3D2B">
        <w:rPr>
          <w:kern w:val="0"/>
          <w:szCs w:val="24"/>
        </w:rPr>
        <w:t>pros</w:t>
      </w:r>
      <w:r w:rsidR="005853A9">
        <w:rPr>
          <w:kern w:val="0"/>
          <w:szCs w:val="24"/>
        </w:rPr>
        <w:t xml:space="preserve"> and </w:t>
      </w:r>
      <w:r w:rsidRPr="001A3D2B">
        <w:rPr>
          <w:kern w:val="0"/>
          <w:szCs w:val="24"/>
        </w:rPr>
        <w:t>cons</w:t>
      </w:r>
      <w:r w:rsidR="00427468">
        <w:rPr>
          <w:kern w:val="0"/>
          <w:szCs w:val="24"/>
        </w:rPr>
        <w:t xml:space="preserve"> of </w:t>
      </w:r>
      <w:r w:rsidRPr="001A3D2B">
        <w:rPr>
          <w:kern w:val="0"/>
          <w:szCs w:val="24"/>
        </w:rPr>
        <w:t>indicators often applied, including journal impact factors, Hirsch indices,</w:t>
      </w:r>
      <w:r w:rsidR="005853A9">
        <w:rPr>
          <w:kern w:val="0"/>
          <w:szCs w:val="24"/>
        </w:rPr>
        <w:t xml:space="preserve"> and </w:t>
      </w:r>
      <w:r w:rsidRPr="001A3D2B">
        <w:rPr>
          <w:kern w:val="0"/>
          <w:szCs w:val="24"/>
        </w:rPr>
        <w:t>normalized indicators</w:t>
      </w:r>
      <w:r w:rsidR="00427468">
        <w:rPr>
          <w:kern w:val="0"/>
          <w:szCs w:val="24"/>
        </w:rPr>
        <w:t xml:space="preserve"> of </w:t>
      </w:r>
      <w:r w:rsidRPr="001A3D2B">
        <w:rPr>
          <w:kern w:val="0"/>
          <w:szCs w:val="24"/>
        </w:rPr>
        <w:t>citation impact;</w:t>
      </w:r>
      <w:r w:rsidR="005853A9">
        <w:rPr>
          <w:kern w:val="0"/>
          <w:szCs w:val="24"/>
        </w:rPr>
        <w:t xml:space="preserve"> and </w:t>
      </w:r>
      <w:r w:rsidRPr="001A3D2B">
        <w:rPr>
          <w:kern w:val="0"/>
          <w:szCs w:val="24"/>
        </w:rPr>
        <w:t>approaches to</w:t>
      </w:r>
      <w:r w:rsidR="003A1917">
        <w:rPr>
          <w:kern w:val="0"/>
          <w:szCs w:val="24"/>
        </w:rPr>
        <w:t xml:space="preserve"> the </w:t>
      </w:r>
      <w:r w:rsidRPr="001A3D2B">
        <w:rPr>
          <w:kern w:val="0"/>
          <w:szCs w:val="24"/>
        </w:rPr>
        <w:t>bibliometric measurement</w:t>
      </w:r>
      <w:r w:rsidR="00427468">
        <w:rPr>
          <w:kern w:val="0"/>
          <w:szCs w:val="24"/>
        </w:rPr>
        <w:t xml:space="preserve"> of </w:t>
      </w:r>
      <w:r w:rsidRPr="001A3D2B">
        <w:rPr>
          <w:kern w:val="0"/>
          <w:szCs w:val="24"/>
        </w:rPr>
        <w:t>institutional research performance.</w:t>
      </w:r>
    </w:p>
    <w:p w:rsidR="003E631D" w:rsidRPr="001A3D2B" w:rsidRDefault="003E631D" w:rsidP="003E631D">
      <w:pPr>
        <w:pStyle w:val="a3"/>
        <w:rPr>
          <w:kern w:val="0"/>
          <w:szCs w:val="24"/>
        </w:rPr>
      </w:pPr>
      <w:r w:rsidRPr="001A3D2B">
        <w:rPr>
          <w:kern w:val="0"/>
          <w:szCs w:val="24"/>
        </w:rPr>
        <w:t>Keywords: Analysis, Assessment, Bibliometric, Bibliometric Analysis, Bibliometric Indicators, Bibliometrics, Citation, Citation Analysis, Databases, Developed, Evaluation, Factors, Field, Hirsch, Hirsc</w:t>
      </w:r>
      <w:r w:rsidR="00D5664A">
        <w:rPr>
          <w:kern w:val="0"/>
          <w:szCs w:val="24"/>
        </w:rPr>
        <w:t>h Index</w:t>
      </w:r>
      <w:r w:rsidRPr="001A3D2B">
        <w:rPr>
          <w:kern w:val="0"/>
          <w:szCs w:val="24"/>
        </w:rPr>
        <w:t>, Impact, Impact Factor, Impact Factors, Index, Indicators, Indices, Institutional, Journal, Journal Impact, Journal Impact Factors, Measurement, Methodologies, Metrics, Output, Peer, Peer Review, Peer-Review, Performance, Relationship, Research, Research Assessment, Research Evaluation, Research Performance, Review, Science, Science</w:t>
      </w:r>
      <w:r w:rsidR="005853A9">
        <w:rPr>
          <w:kern w:val="0"/>
          <w:szCs w:val="24"/>
        </w:rPr>
        <w:t xml:space="preserve"> and </w:t>
      </w:r>
      <w:r w:rsidRPr="001A3D2B">
        <w:rPr>
          <w:kern w:val="0"/>
          <w:szCs w:val="24"/>
        </w:rPr>
        <w:t>Technology, Science</w:t>
      </w:r>
      <w:r w:rsidR="005853A9">
        <w:rPr>
          <w:kern w:val="0"/>
          <w:szCs w:val="24"/>
        </w:rPr>
        <w:t xml:space="preserve"> and </w:t>
      </w:r>
      <w:r w:rsidRPr="001A3D2B">
        <w:rPr>
          <w:kern w:val="0"/>
          <w:szCs w:val="24"/>
        </w:rPr>
        <w:t>Technology Studies, Sources, Statistical, Statistical Analysis, Technology</w:t>
      </w:r>
    </w:p>
    <w:p w:rsidR="00CA4EED" w:rsidRDefault="00CA4EED" w:rsidP="003E631D">
      <w:pPr>
        <w:pStyle w:val="a3"/>
        <w:rPr>
          <w:kern w:val="0"/>
          <w:szCs w:val="24"/>
        </w:rPr>
      </w:pPr>
      <w:r>
        <w:rPr>
          <w:rFonts w:hint="eastAsia"/>
          <w:kern w:val="0"/>
          <w:szCs w:val="24"/>
        </w:rPr>
        <w:t>Notes: CCountry</w:t>
      </w:r>
    </w:p>
    <w:p w:rsidR="003E631D" w:rsidRPr="001A3D2B" w:rsidRDefault="003E631D" w:rsidP="003E631D">
      <w:pPr>
        <w:pStyle w:val="a3"/>
        <w:rPr>
          <w:kern w:val="0"/>
          <w:szCs w:val="24"/>
        </w:rPr>
      </w:pPr>
      <w:r w:rsidRPr="001A3D2B">
        <w:rPr>
          <w:kern w:val="0"/>
          <w:szCs w:val="24"/>
        </w:rPr>
        <w:t>? Adams, J. (2009</w:t>
      </w:r>
      <w:r w:rsidR="00F42EAC">
        <w:rPr>
          <w:kern w:val="0"/>
          <w:szCs w:val="24"/>
        </w:rPr>
        <w:t>), The</w:t>
      </w:r>
      <w:r w:rsidR="003A1917">
        <w:rPr>
          <w:kern w:val="0"/>
          <w:szCs w:val="24"/>
        </w:rPr>
        <w:t xml:space="preserve"> </w:t>
      </w:r>
      <w:r w:rsidRPr="001A3D2B">
        <w:rPr>
          <w:kern w:val="0"/>
          <w:szCs w:val="24"/>
        </w:rPr>
        <w:t>use</w:t>
      </w:r>
      <w:r w:rsidR="00427468">
        <w:rPr>
          <w:kern w:val="0"/>
          <w:szCs w:val="24"/>
        </w:rPr>
        <w:t xml:space="preserve"> of </w:t>
      </w:r>
      <w:r w:rsidRPr="001A3D2B">
        <w:rPr>
          <w:kern w:val="0"/>
          <w:szCs w:val="24"/>
        </w:rPr>
        <w:t xml:space="preserve">bibliometrics to measure research quality in UK higher education institutions. </w:t>
      </w:r>
      <w:r w:rsidRPr="001A3D2B">
        <w:rPr>
          <w:i/>
          <w:iCs/>
          <w:kern w:val="0"/>
          <w:szCs w:val="24"/>
        </w:rPr>
        <w:t>Archivum Immunologiae et Therapiae Experimentalis</w:t>
      </w:r>
      <w:r w:rsidRPr="001A3D2B">
        <w:rPr>
          <w:kern w:val="0"/>
          <w:szCs w:val="24"/>
        </w:rPr>
        <w:t xml:space="preserve">, </w:t>
      </w:r>
      <w:r w:rsidRPr="001A3D2B">
        <w:rPr>
          <w:b/>
          <w:bCs/>
          <w:kern w:val="0"/>
          <w:szCs w:val="24"/>
        </w:rPr>
        <w:t>57</w:t>
      </w:r>
      <w:r w:rsidRPr="001A3D2B">
        <w:rPr>
          <w:kern w:val="0"/>
          <w:szCs w:val="24"/>
        </w:rPr>
        <w:t xml:space="preserve"> (1), 19-32.</w:t>
      </w:r>
    </w:p>
    <w:p w:rsidR="003E631D" w:rsidRPr="001A3D2B" w:rsidRDefault="003E631D" w:rsidP="003E631D">
      <w:pPr>
        <w:pStyle w:val="a3"/>
      </w:pPr>
      <w:r w:rsidRPr="001A3D2B">
        <w:t xml:space="preserve">Full Text: </w:t>
      </w:r>
      <w:hyperlink r:id="rId1207" w:history="1">
        <w:r w:rsidRPr="001A3D2B">
          <w:rPr>
            <w:rStyle w:val="a5"/>
          </w:rPr>
          <w:t>2009\Arc Imm</w:t>
        </w:r>
        <w:r w:rsidR="003A1917">
          <w:rPr>
            <w:rStyle w:val="a5"/>
          </w:rPr>
          <w:t xml:space="preserve"> the </w:t>
        </w:r>
        <w:r w:rsidRPr="001A3D2B">
          <w:rPr>
            <w:rStyle w:val="a5"/>
          </w:rPr>
          <w:t>Exp57, 19.pdf</w:t>
        </w:r>
      </w:hyperlink>
    </w:p>
    <w:p w:rsidR="003E631D" w:rsidRPr="001A3D2B" w:rsidRDefault="003E631D" w:rsidP="003E631D">
      <w:pPr>
        <w:pStyle w:val="a3"/>
        <w:rPr>
          <w:kern w:val="0"/>
          <w:szCs w:val="24"/>
        </w:rPr>
      </w:pPr>
      <w:r w:rsidRPr="001A3D2B">
        <w:rPr>
          <w:kern w:val="0"/>
          <w:szCs w:val="24"/>
        </w:rPr>
        <w:t>Abstract: Research assessment in</w:t>
      </w:r>
      <w:r w:rsidR="003A1917">
        <w:rPr>
          <w:kern w:val="0"/>
          <w:szCs w:val="24"/>
        </w:rPr>
        <w:t xml:space="preserve"> the </w:t>
      </w:r>
      <w:r w:rsidRPr="001A3D2B">
        <w:rPr>
          <w:kern w:val="0"/>
          <w:szCs w:val="24"/>
        </w:rPr>
        <w:t>UK has evolved over a quarter</w:t>
      </w:r>
      <w:r w:rsidR="00427468">
        <w:rPr>
          <w:kern w:val="0"/>
          <w:szCs w:val="24"/>
        </w:rPr>
        <w:t xml:space="preserve"> of </w:t>
      </w:r>
      <w:r w:rsidRPr="001A3D2B">
        <w:rPr>
          <w:kern w:val="0"/>
          <w:szCs w:val="24"/>
        </w:rPr>
        <w:t>a century from a loosely structured, peer-review based process to one with a well understood data portfolio</w:t>
      </w:r>
      <w:r w:rsidR="005853A9">
        <w:rPr>
          <w:kern w:val="0"/>
          <w:szCs w:val="24"/>
        </w:rPr>
        <w:t xml:space="preserve"> and </w:t>
      </w:r>
      <w:r w:rsidRPr="001A3D2B">
        <w:rPr>
          <w:kern w:val="0"/>
          <w:szCs w:val="24"/>
        </w:rPr>
        <w:t>assessment methodology. After 2008,</w:t>
      </w:r>
      <w:r w:rsidR="003A1917">
        <w:rPr>
          <w:kern w:val="0"/>
          <w:szCs w:val="24"/>
        </w:rPr>
        <w:t xml:space="preserve"> the </w:t>
      </w:r>
      <w:r w:rsidRPr="001A3D2B">
        <w:rPr>
          <w:kern w:val="0"/>
          <w:szCs w:val="24"/>
        </w:rPr>
        <w:t>assessment process will shift again, to</w:t>
      </w:r>
      <w:r w:rsidR="003A1917">
        <w:rPr>
          <w:kern w:val="0"/>
          <w:szCs w:val="24"/>
        </w:rPr>
        <w:t xml:space="preserve"> the </w:t>
      </w:r>
      <w:r w:rsidRPr="001A3D2B">
        <w:rPr>
          <w:kern w:val="0"/>
          <w:szCs w:val="24"/>
        </w:rPr>
        <w:t>use</w:t>
      </w:r>
      <w:r w:rsidR="00427468">
        <w:rPr>
          <w:kern w:val="0"/>
          <w:szCs w:val="24"/>
        </w:rPr>
        <w:t xml:space="preserve"> of </w:t>
      </w:r>
      <w:r w:rsidRPr="001A3D2B">
        <w:rPr>
          <w:kern w:val="0"/>
          <w:szCs w:val="24"/>
        </w:rPr>
        <w:t>indicators based largely on publication</w:t>
      </w:r>
      <w:r w:rsidR="005853A9">
        <w:rPr>
          <w:kern w:val="0"/>
          <w:szCs w:val="24"/>
        </w:rPr>
        <w:t xml:space="preserve"> and </w:t>
      </w:r>
      <w:r w:rsidRPr="001A3D2B">
        <w:rPr>
          <w:kern w:val="0"/>
          <w:szCs w:val="24"/>
        </w:rPr>
        <w:t>citation data</w:t>
      </w:r>
      <w:r w:rsidR="00A37C1D">
        <w:rPr>
          <w:kern w:val="0"/>
          <w:szCs w:val="24"/>
        </w:rPr>
        <w:t>. The</w:t>
      </w:r>
      <w:r w:rsidRPr="001A3D2B">
        <w:rPr>
          <w:kern w:val="0"/>
          <w:szCs w:val="24"/>
        </w:rPr>
        <w:t>se indicators will in part follow</w:t>
      </w:r>
      <w:r w:rsidR="003A1917">
        <w:rPr>
          <w:kern w:val="0"/>
          <w:szCs w:val="24"/>
        </w:rPr>
        <w:t xml:space="preserve"> the </w:t>
      </w:r>
      <w:r w:rsidRPr="001A3D2B">
        <w:rPr>
          <w:kern w:val="0"/>
          <w:szCs w:val="24"/>
        </w:rPr>
        <w:t>format introduced in 2008, with a profiling</w:t>
      </w:r>
      <w:r w:rsidR="00427468">
        <w:rPr>
          <w:kern w:val="0"/>
          <w:szCs w:val="24"/>
        </w:rPr>
        <w:t xml:space="preserve"> of </w:t>
      </w:r>
      <w:r w:rsidRPr="001A3D2B">
        <w:rPr>
          <w:kern w:val="0"/>
          <w:szCs w:val="24"/>
        </w:rPr>
        <w:t>assessment outcomes at national</w:t>
      </w:r>
      <w:r w:rsidR="005853A9">
        <w:rPr>
          <w:kern w:val="0"/>
          <w:szCs w:val="24"/>
        </w:rPr>
        <w:t xml:space="preserve"> and </w:t>
      </w:r>
      <w:r w:rsidRPr="001A3D2B">
        <w:rPr>
          <w:kern w:val="0"/>
          <w:szCs w:val="24"/>
        </w:rPr>
        <w:t>international levels. However,</w:t>
      </w:r>
      <w:r w:rsidR="003A1917">
        <w:rPr>
          <w:kern w:val="0"/>
          <w:szCs w:val="24"/>
        </w:rPr>
        <w:t xml:space="preserve"> the </w:t>
      </w:r>
      <w:r w:rsidRPr="001A3D2B">
        <w:rPr>
          <w:kern w:val="0"/>
          <w:szCs w:val="24"/>
        </w:rPr>
        <w:t>shift from peer assessment to a quantitative methodology raises critical issues about which metrics are appropriate</w:t>
      </w:r>
      <w:r w:rsidR="005853A9">
        <w:rPr>
          <w:kern w:val="0"/>
          <w:szCs w:val="24"/>
        </w:rPr>
        <w:t xml:space="preserve"> and </w:t>
      </w:r>
      <w:r w:rsidRPr="001A3D2B">
        <w:rPr>
          <w:kern w:val="0"/>
          <w:szCs w:val="24"/>
        </w:rPr>
        <w:t>informative</w:t>
      </w:r>
      <w:r w:rsidR="005853A9">
        <w:rPr>
          <w:kern w:val="0"/>
          <w:szCs w:val="24"/>
        </w:rPr>
        <w:t xml:space="preserve"> and </w:t>
      </w:r>
      <w:r w:rsidRPr="001A3D2B">
        <w:rPr>
          <w:kern w:val="0"/>
          <w:szCs w:val="24"/>
        </w:rPr>
        <w:t>how such metrics should be managed to produce weighting factors for funding formulae</w:t>
      </w:r>
      <w:r w:rsidR="00A37C1D">
        <w:rPr>
          <w:kern w:val="0"/>
          <w:szCs w:val="24"/>
        </w:rPr>
        <w:t>. The</w:t>
      </w:r>
      <w:r w:rsidR="003A1917">
        <w:rPr>
          <w:kern w:val="0"/>
          <w:szCs w:val="24"/>
        </w:rPr>
        <w:t xml:space="preserve"> </w:t>
      </w:r>
      <w:r w:rsidRPr="001A3D2B">
        <w:rPr>
          <w:kern w:val="0"/>
          <w:szCs w:val="24"/>
        </w:rPr>
        <w:t>link between publication metrics</w:t>
      </w:r>
      <w:r w:rsidR="005853A9">
        <w:rPr>
          <w:kern w:val="0"/>
          <w:szCs w:val="24"/>
        </w:rPr>
        <w:t xml:space="preserve"> and </w:t>
      </w:r>
      <w:r w:rsidRPr="001A3D2B">
        <w:rPr>
          <w:kern w:val="0"/>
          <w:szCs w:val="24"/>
        </w:rPr>
        <w:t>other perceptions</w:t>
      </w:r>
      <w:r w:rsidR="00427468">
        <w:rPr>
          <w:kern w:val="0"/>
          <w:szCs w:val="24"/>
        </w:rPr>
        <w:t xml:space="preserve"> of </w:t>
      </w:r>
      <w:r w:rsidRPr="001A3D2B">
        <w:rPr>
          <w:kern w:val="0"/>
          <w:szCs w:val="24"/>
        </w:rPr>
        <w:t>research quality needs to be thoroughly tested</w:t>
      </w:r>
      <w:r w:rsidR="005853A9">
        <w:rPr>
          <w:kern w:val="0"/>
          <w:szCs w:val="24"/>
        </w:rPr>
        <w:t xml:space="preserve"> and </w:t>
      </w:r>
      <w:r w:rsidRPr="001A3D2B">
        <w:rPr>
          <w:kern w:val="0"/>
          <w:szCs w:val="24"/>
        </w:rPr>
        <w:t>reviewed,</w:t>
      </w:r>
      <w:r w:rsidR="005853A9">
        <w:rPr>
          <w:kern w:val="0"/>
          <w:szCs w:val="24"/>
        </w:rPr>
        <w:t xml:space="preserve"> and </w:t>
      </w:r>
      <w:r w:rsidRPr="001A3D2B">
        <w:rPr>
          <w:kern w:val="0"/>
          <w:szCs w:val="24"/>
        </w:rPr>
        <w:t>may be variable between disciplines. Many</w:t>
      </w:r>
      <w:r w:rsidR="00427468">
        <w:rPr>
          <w:kern w:val="0"/>
          <w:szCs w:val="24"/>
        </w:rPr>
        <w:t xml:space="preserve"> of </w:t>
      </w:r>
      <w:r w:rsidR="003A1917">
        <w:rPr>
          <w:kern w:val="0"/>
          <w:szCs w:val="24"/>
        </w:rPr>
        <w:t xml:space="preserve">the </w:t>
      </w:r>
      <w:r w:rsidRPr="001A3D2B">
        <w:rPr>
          <w:kern w:val="0"/>
          <w:szCs w:val="24"/>
        </w:rPr>
        <w:t>indicators that drop out</w:t>
      </w:r>
      <w:r w:rsidR="00427468">
        <w:rPr>
          <w:kern w:val="0"/>
          <w:szCs w:val="24"/>
        </w:rPr>
        <w:t xml:space="preserve"> of </w:t>
      </w:r>
      <w:r w:rsidRPr="001A3D2B">
        <w:rPr>
          <w:kern w:val="0"/>
          <w:szCs w:val="24"/>
        </w:rPr>
        <w:t>publication data are poorly linked to quality</w:t>
      </w:r>
      <w:r w:rsidR="005853A9">
        <w:rPr>
          <w:kern w:val="0"/>
          <w:szCs w:val="24"/>
        </w:rPr>
        <w:t xml:space="preserve"> and </w:t>
      </w:r>
      <w:r w:rsidRPr="001A3D2B">
        <w:rPr>
          <w:kern w:val="0"/>
          <w:szCs w:val="24"/>
        </w:rPr>
        <w:t>should not be used at all</w:t>
      </w:r>
      <w:r w:rsidR="00A37C1D">
        <w:rPr>
          <w:kern w:val="0"/>
          <w:szCs w:val="24"/>
        </w:rPr>
        <w:t>. The</w:t>
      </w:r>
      <w:r w:rsidRPr="001A3D2B">
        <w:rPr>
          <w:kern w:val="0"/>
          <w:szCs w:val="24"/>
        </w:rPr>
        <w:t>re are also issues about which publications are</w:t>
      </w:r>
      <w:r w:rsidR="003A1917">
        <w:rPr>
          <w:kern w:val="0"/>
          <w:szCs w:val="24"/>
        </w:rPr>
        <w:t xml:space="preserve"> the </w:t>
      </w:r>
      <w:r w:rsidRPr="001A3D2B">
        <w:rPr>
          <w:kern w:val="0"/>
          <w:szCs w:val="24"/>
        </w:rPr>
        <w:t>correct base for assessment, which staff should be included in a review, how subjects should be structured</w:t>
      </w:r>
      <w:r w:rsidR="005853A9">
        <w:rPr>
          <w:kern w:val="0"/>
          <w:szCs w:val="24"/>
        </w:rPr>
        <w:t xml:space="preserve"> and </w:t>
      </w:r>
      <w:r w:rsidRPr="001A3D2B">
        <w:rPr>
          <w:kern w:val="0"/>
          <w:szCs w:val="24"/>
        </w:rPr>
        <w:t>how</w:t>
      </w:r>
      <w:r w:rsidR="003A1917">
        <w:rPr>
          <w:kern w:val="0"/>
          <w:szCs w:val="24"/>
        </w:rPr>
        <w:t xml:space="preserve"> the </w:t>
      </w:r>
      <w:r w:rsidRPr="001A3D2B">
        <w:rPr>
          <w:kern w:val="0"/>
          <w:szCs w:val="24"/>
        </w:rPr>
        <w:t>citation data should be normalised to account for discipline-dependent variables. Finally, it is vital to consider</w:t>
      </w:r>
      <w:r w:rsidR="003A1917">
        <w:rPr>
          <w:kern w:val="0"/>
          <w:szCs w:val="24"/>
        </w:rPr>
        <w:t xml:space="preserve"> the </w:t>
      </w:r>
      <w:r w:rsidRPr="001A3D2B">
        <w:rPr>
          <w:kern w:val="0"/>
          <w:szCs w:val="24"/>
        </w:rPr>
        <w:t>effect that any assessment process will have on</w:t>
      </w:r>
      <w:r w:rsidR="003A1917">
        <w:rPr>
          <w:kern w:val="0"/>
          <w:szCs w:val="24"/>
        </w:rPr>
        <w:t xml:space="preserve"> the </w:t>
      </w:r>
      <w:r w:rsidRPr="001A3D2B">
        <w:rPr>
          <w:kern w:val="0"/>
          <w:szCs w:val="24"/>
        </w:rPr>
        <w:t>behaviour</w:t>
      </w:r>
      <w:r w:rsidR="00427468">
        <w:rPr>
          <w:kern w:val="0"/>
          <w:szCs w:val="24"/>
        </w:rPr>
        <w:t xml:space="preserve"> of </w:t>
      </w:r>
      <w:r w:rsidRPr="001A3D2B">
        <w:rPr>
          <w:kern w:val="0"/>
          <w:szCs w:val="24"/>
        </w:rPr>
        <w:t>those to be assessed.</w:t>
      </w:r>
    </w:p>
    <w:p w:rsidR="003E631D" w:rsidRPr="001A3D2B" w:rsidRDefault="003E631D" w:rsidP="003E631D">
      <w:pPr>
        <w:pStyle w:val="a3"/>
        <w:rPr>
          <w:kern w:val="0"/>
          <w:szCs w:val="24"/>
        </w:rPr>
      </w:pPr>
      <w:r w:rsidRPr="001A3D2B">
        <w:rPr>
          <w:kern w:val="0"/>
          <w:szCs w:val="24"/>
        </w:rPr>
        <w:lastRenderedPageBreak/>
        <w:t>Keywords: Assessment, Behaviour, Bibliometrics, Citation, Data, Disciplines, Education, Factors, Funding, Higher Education, Indicators, Institutions, International, Measure, Methodology, Metrics, National, Needs, Outcomes, Peer, Peer Review, Peer-Review, Perceptions, Portfolio, Process, Profiling, Publication, Publications, Quality, Research, Research Quality, Review</w:t>
      </w:r>
      <w:r w:rsidR="00D5664A">
        <w:rPr>
          <w:kern w:val="0"/>
          <w:szCs w:val="24"/>
        </w:rPr>
        <w:t>, UK,</w:t>
      </w:r>
      <w:r w:rsidRPr="001A3D2B">
        <w:rPr>
          <w:kern w:val="0"/>
          <w:szCs w:val="24"/>
        </w:rPr>
        <w:t xml:space="preserve"> Variables, Weighting, Weighting Factors</w:t>
      </w:r>
    </w:p>
    <w:p w:rsidR="003E631D" w:rsidRPr="001A3D2B" w:rsidRDefault="003E631D" w:rsidP="003E631D">
      <w:pPr>
        <w:pStyle w:val="a3"/>
        <w:rPr>
          <w:kern w:val="0"/>
          <w:szCs w:val="24"/>
        </w:rPr>
      </w:pPr>
      <w:r w:rsidRPr="001A3D2B">
        <w:rPr>
          <w:kern w:val="0"/>
          <w:szCs w:val="24"/>
        </w:rPr>
        <w:t>? Haeffner-Cavaillon, N.</w:t>
      </w:r>
      <w:r w:rsidR="005853A9">
        <w:rPr>
          <w:kern w:val="0"/>
          <w:szCs w:val="24"/>
        </w:rPr>
        <w:t xml:space="preserve"> and </w:t>
      </w:r>
      <w:r w:rsidRPr="001A3D2B">
        <w:rPr>
          <w:kern w:val="0"/>
          <w:szCs w:val="24"/>
        </w:rPr>
        <w:t>Graillot-Gak, C. (2009</w:t>
      </w:r>
      <w:r w:rsidR="00F42EAC">
        <w:rPr>
          <w:kern w:val="0"/>
          <w:szCs w:val="24"/>
        </w:rPr>
        <w:t>), The</w:t>
      </w:r>
      <w:r w:rsidR="003A1917">
        <w:rPr>
          <w:kern w:val="0"/>
          <w:szCs w:val="24"/>
        </w:rPr>
        <w:t xml:space="preserve"> </w:t>
      </w:r>
      <w:r w:rsidRPr="001A3D2B">
        <w:rPr>
          <w:kern w:val="0"/>
          <w:szCs w:val="24"/>
        </w:rPr>
        <w:t>use</w:t>
      </w:r>
      <w:r w:rsidR="00427468">
        <w:rPr>
          <w:kern w:val="0"/>
          <w:szCs w:val="24"/>
        </w:rPr>
        <w:t xml:space="preserve"> of </w:t>
      </w:r>
      <w:r w:rsidRPr="001A3D2B">
        <w:rPr>
          <w:kern w:val="0"/>
          <w:szCs w:val="24"/>
        </w:rPr>
        <w:t xml:space="preserve">bibliometric indicators to help peer-review assessment. </w:t>
      </w:r>
      <w:r w:rsidRPr="001A3D2B">
        <w:rPr>
          <w:i/>
          <w:iCs/>
          <w:kern w:val="0"/>
          <w:szCs w:val="24"/>
        </w:rPr>
        <w:t>Archivum Immunologiae et Therapiae Experimentalis</w:t>
      </w:r>
      <w:r w:rsidRPr="001A3D2B">
        <w:rPr>
          <w:kern w:val="0"/>
          <w:szCs w:val="24"/>
        </w:rPr>
        <w:t xml:space="preserve">, </w:t>
      </w:r>
      <w:r w:rsidRPr="001A3D2B">
        <w:rPr>
          <w:b/>
          <w:bCs/>
          <w:kern w:val="0"/>
          <w:szCs w:val="24"/>
        </w:rPr>
        <w:t>57</w:t>
      </w:r>
      <w:r w:rsidRPr="001A3D2B">
        <w:rPr>
          <w:kern w:val="0"/>
          <w:szCs w:val="24"/>
        </w:rPr>
        <w:t xml:space="preserve"> (1), 33-38.</w:t>
      </w:r>
    </w:p>
    <w:p w:rsidR="003E631D" w:rsidRPr="001A3D2B" w:rsidRDefault="003E631D" w:rsidP="003E631D">
      <w:pPr>
        <w:pStyle w:val="a3"/>
      </w:pPr>
      <w:r w:rsidRPr="001A3D2B">
        <w:t xml:space="preserve">Full Text: </w:t>
      </w:r>
      <w:hyperlink r:id="rId1208" w:history="1">
        <w:r w:rsidRPr="001A3D2B">
          <w:rPr>
            <w:rStyle w:val="a5"/>
          </w:rPr>
          <w:t>2009\Arc Imm</w:t>
        </w:r>
        <w:r w:rsidR="003A1917">
          <w:rPr>
            <w:rStyle w:val="a5"/>
          </w:rPr>
          <w:t xml:space="preserve"> the </w:t>
        </w:r>
        <w:r w:rsidRPr="001A3D2B">
          <w:rPr>
            <w:rStyle w:val="a5"/>
          </w:rPr>
          <w:t>Exp57, 33.pdf</w:t>
        </w:r>
      </w:hyperlink>
    </w:p>
    <w:p w:rsidR="003E631D" w:rsidRPr="001A3D2B" w:rsidRDefault="003E631D" w:rsidP="003E631D">
      <w:pPr>
        <w:pStyle w:val="a3"/>
        <w:rPr>
          <w:kern w:val="0"/>
          <w:szCs w:val="24"/>
        </w:rPr>
      </w:pPr>
      <w:r w:rsidRPr="001A3D2B">
        <w:rPr>
          <w:kern w:val="0"/>
          <w:szCs w:val="24"/>
        </w:rPr>
        <w:t>Abstract: Inserm is</w:t>
      </w:r>
      <w:r w:rsidR="003A1917">
        <w:rPr>
          <w:kern w:val="0"/>
          <w:szCs w:val="24"/>
        </w:rPr>
        <w:t xml:space="preserve"> the </w:t>
      </w:r>
      <w:r w:rsidRPr="001A3D2B">
        <w:rPr>
          <w:kern w:val="0"/>
          <w:szCs w:val="24"/>
        </w:rPr>
        <w:t>only French public research institution entirely dedicated to human health. Inserm supports research across</w:t>
      </w:r>
      <w:r w:rsidR="003A1917">
        <w:rPr>
          <w:kern w:val="0"/>
          <w:szCs w:val="24"/>
        </w:rPr>
        <w:t xml:space="preserve"> the </w:t>
      </w:r>
      <w:r w:rsidRPr="001A3D2B">
        <w:rPr>
          <w:kern w:val="0"/>
          <w:szCs w:val="24"/>
        </w:rPr>
        <w:t>biomedical spectrum in all major disease areas, from fundamental lab-based science to clinical trials. To translate its scientists</w:t>
      </w:r>
      <w:r w:rsidR="00700038">
        <w:rPr>
          <w:kern w:val="0"/>
          <w:szCs w:val="24"/>
        </w:rPr>
        <w:t>’</w:t>
      </w:r>
      <w:r w:rsidRPr="001A3D2B">
        <w:rPr>
          <w:kern w:val="0"/>
          <w:szCs w:val="24"/>
        </w:rPr>
        <w:t xml:space="preserve"> findings into tangible health benefits, Inserm has its own affiliated company, Inserm Transfert, which works with industry. Since 2001, Inserm has been setting up on-line file management software for</w:t>
      </w:r>
      <w:r w:rsidR="003A1917">
        <w:rPr>
          <w:kern w:val="0"/>
          <w:szCs w:val="24"/>
        </w:rPr>
        <w:t xml:space="preserve"> the </w:t>
      </w:r>
      <w:r w:rsidRPr="001A3D2B">
        <w:rPr>
          <w:kern w:val="0"/>
          <w:szCs w:val="24"/>
        </w:rPr>
        <w:t>evaluation</w:t>
      </w:r>
      <w:r w:rsidR="00427468">
        <w:rPr>
          <w:kern w:val="0"/>
          <w:szCs w:val="24"/>
        </w:rPr>
        <w:t xml:space="preserve"> of </w:t>
      </w:r>
      <w:r w:rsidRPr="001A3D2B">
        <w:rPr>
          <w:kern w:val="0"/>
          <w:szCs w:val="24"/>
        </w:rPr>
        <w:t>researchers</w:t>
      </w:r>
      <w:r w:rsidR="005853A9">
        <w:rPr>
          <w:kern w:val="0"/>
          <w:szCs w:val="24"/>
        </w:rPr>
        <w:t xml:space="preserve"> and </w:t>
      </w:r>
      <w:r w:rsidRPr="001A3D2B">
        <w:rPr>
          <w:kern w:val="0"/>
          <w:szCs w:val="24"/>
        </w:rPr>
        <w:t>laboratories, called EVA (www.eva.inserm.fr). EVA includes all grant applications, assessment reports, evaluation grading evaluation forms</w:t>
      </w:r>
      <w:r w:rsidR="005853A9">
        <w:rPr>
          <w:kern w:val="0"/>
          <w:szCs w:val="24"/>
        </w:rPr>
        <w:t xml:space="preserve"> and </w:t>
      </w:r>
      <w:r w:rsidRPr="001A3D2B">
        <w:rPr>
          <w:kern w:val="0"/>
          <w:szCs w:val="24"/>
        </w:rPr>
        <w:t>includes automated bibliometric indicator software that enables calculating, for example,</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publications, journal impact factors, number</w:t>
      </w:r>
      <w:r w:rsidR="00427468">
        <w:rPr>
          <w:kern w:val="0"/>
          <w:szCs w:val="24"/>
        </w:rPr>
        <w:t xml:space="preserve"> of </w:t>
      </w:r>
      <w:r w:rsidRPr="001A3D2B">
        <w:rPr>
          <w:kern w:val="0"/>
          <w:szCs w:val="24"/>
        </w:rPr>
        <w:t>citations, citation index,</w:t>
      </w:r>
      <w:r w:rsidR="005853A9">
        <w:rPr>
          <w:kern w:val="0"/>
          <w:szCs w:val="24"/>
        </w:rPr>
        <w:t xml:space="preserve"> and </w:t>
      </w:r>
      <w:r w:rsidRPr="001A3D2B">
        <w:rPr>
          <w:kern w:val="0"/>
          <w:szCs w:val="24"/>
        </w:rPr>
        <w:t>number</w:t>
      </w:r>
      <w:r w:rsidR="00427468">
        <w:rPr>
          <w:kern w:val="0"/>
          <w:szCs w:val="24"/>
        </w:rPr>
        <w:t xml:space="preserve"> of </w:t>
      </w:r>
      <w:r w:rsidR="003A1917">
        <w:rPr>
          <w:kern w:val="0"/>
          <w:szCs w:val="24"/>
        </w:rPr>
        <w:t xml:space="preserve">the </w:t>
      </w:r>
      <w:r w:rsidRPr="001A3D2B">
        <w:rPr>
          <w:kern w:val="0"/>
          <w:szCs w:val="24"/>
        </w:rPr>
        <w:t>Top 1% publications for each researcher</w:t>
      </w:r>
      <w:r w:rsidR="00427468">
        <w:rPr>
          <w:kern w:val="0"/>
          <w:szCs w:val="24"/>
        </w:rPr>
        <w:t xml:space="preserve"> of </w:t>
      </w:r>
      <w:r w:rsidR="003A1917">
        <w:rPr>
          <w:kern w:val="0"/>
          <w:szCs w:val="24"/>
        </w:rPr>
        <w:t xml:space="preserve">the </w:t>
      </w:r>
      <w:r w:rsidRPr="001A3D2B">
        <w:rPr>
          <w:kern w:val="0"/>
          <w:szCs w:val="24"/>
        </w:rPr>
        <w:t>teams</w:t>
      </w:r>
      <w:r w:rsidR="00A37C1D">
        <w:rPr>
          <w:kern w:val="0"/>
          <w:szCs w:val="24"/>
        </w:rPr>
        <w:t>. The</w:t>
      </w:r>
      <w:r w:rsidR="003A1917">
        <w:rPr>
          <w:kern w:val="0"/>
          <w:szCs w:val="24"/>
        </w:rPr>
        <w:t xml:space="preserve"> </w:t>
      </w:r>
      <w:r w:rsidRPr="001A3D2B">
        <w:rPr>
          <w:kern w:val="0"/>
          <w:szCs w:val="24"/>
        </w:rPr>
        <w:t>indicators take into account research fields,</w:t>
      </w:r>
      <w:r w:rsidR="003A1917">
        <w:rPr>
          <w:kern w:val="0"/>
          <w:szCs w:val="24"/>
        </w:rPr>
        <w:t xml:space="preserve"> the </w:t>
      </w:r>
      <w:r w:rsidRPr="001A3D2B">
        <w:rPr>
          <w:kern w:val="0"/>
          <w:szCs w:val="24"/>
        </w:rPr>
        <w:t>year</w:t>
      </w:r>
      <w:r w:rsidR="00427468">
        <w:rPr>
          <w:kern w:val="0"/>
          <w:szCs w:val="24"/>
        </w:rPr>
        <w:t xml:space="preserve"> of </w:t>
      </w:r>
      <w:r w:rsidRPr="001A3D2B">
        <w:rPr>
          <w:kern w:val="0"/>
          <w:szCs w:val="24"/>
        </w:rPr>
        <w:t>publications,</w:t>
      </w:r>
      <w:r w:rsidR="005853A9">
        <w:rPr>
          <w:kern w:val="0"/>
          <w:szCs w:val="24"/>
        </w:rPr>
        <w:t xml:space="preserve"> and </w:t>
      </w:r>
      <w:r w:rsidR="003A1917">
        <w:rPr>
          <w:kern w:val="0"/>
          <w:szCs w:val="24"/>
        </w:rPr>
        <w:t xml:space="preserve">the </w:t>
      </w:r>
      <w:r w:rsidRPr="001A3D2B">
        <w:rPr>
          <w:kern w:val="0"/>
          <w:szCs w:val="24"/>
        </w:rPr>
        <w:t>author</w:t>
      </w:r>
      <w:r w:rsidR="00700038">
        <w:rPr>
          <w:kern w:val="0"/>
          <w:szCs w:val="24"/>
        </w:rPr>
        <w:t>’</w:t>
      </w:r>
      <w:r w:rsidR="00C13DDC">
        <w:rPr>
          <w:kern w:val="0"/>
          <w:szCs w:val="24"/>
        </w:rPr>
        <w:t>s</w:t>
      </w:r>
      <w:r w:rsidRPr="001A3D2B">
        <w:rPr>
          <w:kern w:val="0"/>
          <w:szCs w:val="24"/>
        </w:rPr>
        <w:t xml:space="preserve"> position among</w:t>
      </w:r>
      <w:r w:rsidR="003A1917">
        <w:rPr>
          <w:kern w:val="0"/>
          <w:szCs w:val="24"/>
        </w:rPr>
        <w:t xml:space="preserve"> the </w:t>
      </w:r>
      <w:r w:rsidRPr="001A3D2B">
        <w:rPr>
          <w:kern w:val="0"/>
          <w:szCs w:val="24"/>
        </w:rPr>
        <w:t>participants. Bibliometrics is now considered a tool for science policy providing indicators to measure productivity</w:t>
      </w:r>
      <w:r w:rsidR="005853A9">
        <w:rPr>
          <w:kern w:val="0"/>
          <w:szCs w:val="24"/>
        </w:rPr>
        <w:t xml:space="preserve"> and </w:t>
      </w:r>
      <w:r w:rsidRPr="001A3D2B">
        <w:rPr>
          <w:kern w:val="0"/>
          <w:szCs w:val="24"/>
        </w:rPr>
        <w:t>scientific quality, thereby supplying a basis for evaluating</w:t>
      </w:r>
      <w:r w:rsidR="005853A9">
        <w:rPr>
          <w:kern w:val="0"/>
          <w:szCs w:val="24"/>
        </w:rPr>
        <w:t xml:space="preserve"> and </w:t>
      </w:r>
      <w:r w:rsidRPr="001A3D2B">
        <w:rPr>
          <w:kern w:val="0"/>
          <w:szCs w:val="24"/>
        </w:rPr>
        <w:t>orienting R&amp;D. It is also a potential tool for evaluation. It is neutral, allows comparative (national</w:t>
      </w:r>
      <w:r w:rsidR="005853A9">
        <w:rPr>
          <w:kern w:val="0"/>
          <w:szCs w:val="24"/>
        </w:rPr>
        <w:t xml:space="preserve"> and </w:t>
      </w:r>
      <w:r w:rsidRPr="001A3D2B">
        <w:rPr>
          <w:kern w:val="0"/>
          <w:szCs w:val="24"/>
        </w:rPr>
        <w:t>international) assessment,</w:t>
      </w:r>
      <w:r w:rsidR="005853A9">
        <w:rPr>
          <w:kern w:val="0"/>
          <w:szCs w:val="24"/>
        </w:rPr>
        <w:t xml:space="preserve"> and </w:t>
      </w:r>
      <w:r w:rsidRPr="001A3D2B">
        <w:rPr>
          <w:kern w:val="0"/>
          <w:szCs w:val="24"/>
        </w:rPr>
        <w:t>may select papers in</w:t>
      </w:r>
      <w:r w:rsidR="003A1917">
        <w:rPr>
          <w:kern w:val="0"/>
          <w:szCs w:val="24"/>
        </w:rPr>
        <w:t xml:space="preserve"> the </w:t>
      </w:r>
      <w:r w:rsidRPr="001A3D2B">
        <w:rPr>
          <w:kern w:val="0"/>
          <w:szCs w:val="24"/>
        </w:rPr>
        <w:t>forefront in all fields. For each team, bibliometric indicators are calculated for all researchers with permanent or long-term positions (3-5 years)</w:t>
      </w:r>
      <w:r w:rsidR="00A37C1D">
        <w:rPr>
          <w:kern w:val="0"/>
          <w:szCs w:val="24"/>
        </w:rPr>
        <w:t>. The</w:t>
      </w:r>
      <w:r w:rsidR="003A1917">
        <w:rPr>
          <w:kern w:val="0"/>
          <w:szCs w:val="24"/>
        </w:rPr>
        <w:t xml:space="preserve"> </w:t>
      </w:r>
      <w:r w:rsidRPr="001A3D2B">
        <w:rPr>
          <w:kern w:val="0"/>
          <w:szCs w:val="24"/>
        </w:rPr>
        <w:t>use</w:t>
      </w:r>
      <w:r w:rsidR="00427468">
        <w:rPr>
          <w:kern w:val="0"/>
          <w:szCs w:val="24"/>
        </w:rPr>
        <w:t xml:space="preserve"> of </w:t>
      </w:r>
      <w:r w:rsidRPr="001A3D2B">
        <w:rPr>
          <w:kern w:val="0"/>
          <w:szCs w:val="24"/>
        </w:rPr>
        <w:t>bibliometric indicators requires great vigilance, but according to our experience they enrich</w:t>
      </w:r>
      <w:r w:rsidR="003A1917">
        <w:rPr>
          <w:kern w:val="0"/>
          <w:szCs w:val="24"/>
        </w:rPr>
        <w:t xml:space="preserve"> the </w:t>
      </w:r>
      <w:r w:rsidRPr="001A3D2B">
        <w:rPr>
          <w:kern w:val="0"/>
          <w:szCs w:val="24"/>
        </w:rPr>
        <w:t>committee</w:t>
      </w:r>
      <w:r w:rsidR="00700038">
        <w:rPr>
          <w:kern w:val="0"/>
          <w:szCs w:val="24"/>
        </w:rPr>
        <w:t>’</w:t>
      </w:r>
      <w:r w:rsidR="00C13DDC">
        <w:rPr>
          <w:kern w:val="0"/>
          <w:szCs w:val="24"/>
        </w:rPr>
        <w:t>s</w:t>
      </w:r>
      <w:r w:rsidRPr="001A3D2B">
        <w:rPr>
          <w:kern w:val="0"/>
          <w:szCs w:val="24"/>
        </w:rPr>
        <w:t xml:space="preserve"> debates without any doubt. We present an analysis</w:t>
      </w:r>
      <w:r w:rsidR="00427468">
        <w:rPr>
          <w:kern w:val="0"/>
          <w:szCs w:val="24"/>
        </w:rPr>
        <w:t xml:space="preserve"> of </w:t>
      </w:r>
      <w:r w:rsidR="003A1917">
        <w:rPr>
          <w:kern w:val="0"/>
          <w:szCs w:val="24"/>
        </w:rPr>
        <w:t xml:space="preserve">the </w:t>
      </w:r>
      <w:r w:rsidRPr="001A3D2B">
        <w:rPr>
          <w:kern w:val="0"/>
          <w:szCs w:val="24"/>
        </w:rPr>
        <w:t>data</w:t>
      </w:r>
      <w:r w:rsidR="00427468">
        <w:rPr>
          <w:kern w:val="0"/>
          <w:szCs w:val="24"/>
        </w:rPr>
        <w:t xml:space="preserve"> of </w:t>
      </w:r>
      <w:r w:rsidRPr="001A3D2B">
        <w:rPr>
          <w:kern w:val="0"/>
          <w:szCs w:val="24"/>
        </w:rPr>
        <w:t>600 research teams evaluated in 2007-2008.</w:t>
      </w:r>
    </w:p>
    <w:p w:rsidR="003E631D" w:rsidRPr="001A3D2B" w:rsidRDefault="003E631D" w:rsidP="003E631D">
      <w:pPr>
        <w:pStyle w:val="a3"/>
        <w:rPr>
          <w:kern w:val="0"/>
          <w:szCs w:val="24"/>
        </w:rPr>
      </w:pPr>
      <w:r w:rsidRPr="001A3D2B">
        <w:rPr>
          <w:kern w:val="0"/>
          <w:szCs w:val="24"/>
        </w:rPr>
        <w:t>Keywords: Analysis, Assessment, Benefits, Bibliometric, Bibliometric Indicator, Bibliometric Indicators, Bibliometrics, Biomedical, Citation, Citations, Clinical, Clinical Trials, Company, Data, Disease, Evaluation, Experience, Factors, Forms, French, Grading, Health, Human, Human Health, Impact, Impact Factor, Impact Factor, Impact Factors, Index, Indicator, Indicators, Industry, Institution, International, Journal, Journal Impact, Journal Impact Factors, Long Term, Long-Term, Management, Measure, National, Number</w:t>
      </w:r>
      <w:r w:rsidR="00427468">
        <w:rPr>
          <w:kern w:val="0"/>
          <w:szCs w:val="24"/>
        </w:rPr>
        <w:t xml:space="preserve"> of </w:t>
      </w:r>
      <w:r w:rsidRPr="001A3D2B">
        <w:rPr>
          <w:kern w:val="0"/>
          <w:szCs w:val="24"/>
        </w:rPr>
        <w:t xml:space="preserve">Publications, On-Line, Papers, Peer Review, Peer-Review, Permanent, Policy, Potential, Productivity, </w:t>
      </w:r>
      <w:r w:rsidRPr="001A3D2B">
        <w:rPr>
          <w:kern w:val="0"/>
          <w:szCs w:val="24"/>
        </w:rPr>
        <w:lastRenderedPageBreak/>
        <w:t>Public, Publications, Quality, R&amp;D, Research, Research Performance, Science, Science Policy, Software, Teams, Tool, Vigilance</w:t>
      </w:r>
    </w:p>
    <w:p w:rsidR="003474F2" w:rsidRPr="001A3D2B" w:rsidRDefault="003474F2" w:rsidP="003474F2">
      <w:pPr>
        <w:pStyle w:val="1"/>
      </w:pPr>
      <w:r w:rsidRPr="001A3D2B">
        <w:br w:type="page"/>
      </w:r>
      <w:bookmarkStart w:id="615" w:name="_Toc420814601"/>
      <w:r w:rsidRPr="001A3D2B">
        <w:lastRenderedPageBreak/>
        <w:t>Title: Ardeola</w:t>
      </w:r>
      <w:bookmarkEnd w:id="615"/>
    </w:p>
    <w:p w:rsidR="003474F2" w:rsidRPr="001A3D2B" w:rsidRDefault="003474F2" w:rsidP="003474F2">
      <w:pPr>
        <w:pStyle w:val="12"/>
      </w:pPr>
      <w:r w:rsidRPr="001A3D2B">
        <w:t>Full Journal Title: Ardeola</w:t>
      </w:r>
    </w:p>
    <w:p w:rsidR="003474F2" w:rsidRPr="001A3D2B" w:rsidRDefault="003474F2" w:rsidP="003474F2">
      <w:pPr>
        <w:pStyle w:val="12"/>
      </w:pPr>
      <w:r w:rsidRPr="001A3D2B">
        <w:t xml:space="preserve">ISO Abbreviated Title: </w:t>
      </w:r>
      <w:r w:rsidR="00C41091" w:rsidRPr="001A3D2B">
        <w:t>Ardeola</w:t>
      </w:r>
    </w:p>
    <w:p w:rsidR="003474F2" w:rsidRPr="001A3D2B" w:rsidRDefault="003474F2" w:rsidP="003474F2">
      <w:pPr>
        <w:pStyle w:val="12"/>
      </w:pPr>
      <w:r w:rsidRPr="001A3D2B">
        <w:t xml:space="preserve">JCR Abbreviated Title: </w:t>
      </w:r>
      <w:r w:rsidR="00C41091" w:rsidRPr="001A3D2B">
        <w:t>Ardeola</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990401" w:rsidRDefault="00990401" w:rsidP="00990401">
      <w:pPr>
        <w:pStyle w:val="a3"/>
        <w:rPr>
          <w:kern w:val="0"/>
        </w:rPr>
      </w:pPr>
      <w:r>
        <w:rPr>
          <w:rFonts w:hint="eastAsia"/>
          <w:kern w:val="0"/>
        </w:rPr>
        <w:t xml:space="preserve">? </w:t>
      </w:r>
      <w:r>
        <w:rPr>
          <w:kern w:val="0"/>
        </w:rPr>
        <w:t>Carrascal, L.M.</w:t>
      </w:r>
      <w:r w:rsidR="005853A9">
        <w:rPr>
          <w:kern w:val="0"/>
        </w:rPr>
        <w:t xml:space="preserve"> and </w:t>
      </w:r>
      <w:r>
        <w:rPr>
          <w:kern w:val="0"/>
        </w:rPr>
        <w:t>Diaz, M. (1998), Scientific utility</w:t>
      </w:r>
      <w:r w:rsidR="005853A9">
        <w:rPr>
          <w:kern w:val="0"/>
        </w:rPr>
        <w:t xml:space="preserve"> and </w:t>
      </w:r>
      <w:r>
        <w:rPr>
          <w:kern w:val="0"/>
        </w:rPr>
        <w:t>international diffusion</w:t>
      </w:r>
      <w:r w:rsidR="00427468">
        <w:rPr>
          <w:kern w:val="0"/>
        </w:rPr>
        <w:t xml:space="preserve"> of </w:t>
      </w:r>
      <w:r w:rsidRPr="00B87D33">
        <w:rPr>
          <w:i/>
          <w:kern w:val="0"/>
        </w:rPr>
        <w:t>Ardeola</w:t>
      </w:r>
      <w:r>
        <w:rPr>
          <w:kern w:val="0"/>
        </w:rPr>
        <w:t xml:space="preserve">: A bibliometric analysis. </w:t>
      </w:r>
      <w:r>
        <w:rPr>
          <w:i/>
          <w:iCs/>
          <w:kern w:val="0"/>
        </w:rPr>
        <w:t>Ardeola</w:t>
      </w:r>
      <w:r>
        <w:rPr>
          <w:kern w:val="0"/>
        </w:rPr>
        <w:t xml:space="preserve">, </w:t>
      </w:r>
      <w:r>
        <w:rPr>
          <w:b/>
          <w:bCs/>
          <w:kern w:val="0"/>
        </w:rPr>
        <w:t>45</w:t>
      </w:r>
      <w:r>
        <w:rPr>
          <w:kern w:val="0"/>
        </w:rPr>
        <w:t xml:space="preserve"> (2</w:t>
      </w:r>
      <w:r>
        <w:rPr>
          <w:rFonts w:hint="eastAsia"/>
          <w:kern w:val="0"/>
        </w:rPr>
        <w:t>), 221-239.</w:t>
      </w:r>
    </w:p>
    <w:p w:rsidR="00990401" w:rsidRPr="00F219CA" w:rsidRDefault="00990401" w:rsidP="00990401">
      <w:pPr>
        <w:pStyle w:val="a3"/>
      </w:pPr>
      <w:r>
        <w:rPr>
          <w:rFonts w:hint="eastAsia"/>
        </w:rPr>
        <w:t>Full Text: 1998</w:t>
      </w:r>
      <w:r>
        <w:t>\Ardeola</w:t>
      </w:r>
      <w:r>
        <w:rPr>
          <w:rFonts w:hint="eastAsia"/>
        </w:rPr>
        <w:t>45</w:t>
      </w:r>
      <w:r w:rsidRPr="00B87D33">
        <w:t xml:space="preserve">, </w:t>
      </w:r>
      <w:r>
        <w:rPr>
          <w:rFonts w:hint="eastAsia"/>
        </w:rPr>
        <w:t>221</w:t>
      </w:r>
      <w:r w:rsidRPr="00B87D33">
        <w:t>.pdf</w:t>
      </w:r>
    </w:p>
    <w:p w:rsidR="00990401" w:rsidRDefault="00990401" w:rsidP="00990401">
      <w:pPr>
        <w:pStyle w:val="a3"/>
        <w:rPr>
          <w:kern w:val="0"/>
        </w:rPr>
      </w:pPr>
      <w:r>
        <w:rPr>
          <w:kern w:val="0"/>
        </w:rPr>
        <w:t>Keywords: Analysis, Bibliometric, Bibliometric Analysis, Diffusion, International, Utility</w:t>
      </w:r>
    </w:p>
    <w:p w:rsidR="003474F2" w:rsidRPr="001A3D2B" w:rsidRDefault="003474F2" w:rsidP="003474F2">
      <w:pPr>
        <w:pStyle w:val="a3"/>
      </w:pPr>
      <w:r w:rsidRPr="001A3D2B">
        <w:t>? Bautista, L.M.</w:t>
      </w:r>
      <w:r w:rsidR="005853A9">
        <w:t xml:space="preserve"> and </w:t>
      </w:r>
      <w:r w:rsidRPr="001A3D2B">
        <w:t>Pantoja, J.C. (2000), A bibliometric review</w:t>
      </w:r>
      <w:r w:rsidR="00427468">
        <w:t xml:space="preserve"> of </w:t>
      </w:r>
      <w:r w:rsidR="003A1917">
        <w:t xml:space="preserve">the </w:t>
      </w:r>
      <w:r w:rsidRPr="001A3D2B">
        <w:t xml:space="preserve">recent literature in ornithology. </w:t>
      </w:r>
      <w:r w:rsidRPr="001A3D2B">
        <w:rPr>
          <w:i/>
          <w:iCs/>
        </w:rPr>
        <w:t>Ardeola</w:t>
      </w:r>
      <w:r w:rsidRPr="001A3D2B">
        <w:t xml:space="preserve">, </w:t>
      </w:r>
      <w:r w:rsidRPr="001A3D2B">
        <w:rPr>
          <w:b/>
          <w:bCs/>
        </w:rPr>
        <w:t>47</w:t>
      </w:r>
      <w:r w:rsidRPr="001A3D2B">
        <w:t xml:space="preserve"> (1), 109-121.</w:t>
      </w:r>
    </w:p>
    <w:p w:rsidR="00C41091" w:rsidRPr="00F219CA" w:rsidRDefault="00C41091" w:rsidP="00C41091">
      <w:pPr>
        <w:pStyle w:val="a3"/>
      </w:pPr>
      <w:r>
        <w:rPr>
          <w:rFonts w:hint="eastAsia"/>
        </w:rPr>
        <w:t xml:space="preserve">Full Text: </w:t>
      </w:r>
      <w:hyperlink r:id="rId1209" w:history="1">
        <w:r w:rsidRPr="0067088F">
          <w:rPr>
            <w:rStyle w:val="a5"/>
          </w:rPr>
          <w:t>2000\Ardeola47, 109.pdf</w:t>
        </w:r>
      </w:hyperlink>
    </w:p>
    <w:p w:rsidR="003474F2" w:rsidRPr="001A3D2B" w:rsidRDefault="003474F2" w:rsidP="003474F2">
      <w:pPr>
        <w:pStyle w:val="a3"/>
      </w:pPr>
      <w:r w:rsidRPr="001A3D2B">
        <w:t>Keywords: Bibliometric, Literature, Review</w:t>
      </w:r>
    </w:p>
    <w:p w:rsidR="008B4CD5" w:rsidRDefault="008B4CD5" w:rsidP="008B4CD5">
      <w:pPr>
        <w:pStyle w:val="a3"/>
        <w:rPr>
          <w:kern w:val="0"/>
        </w:rPr>
      </w:pPr>
      <w:r>
        <w:rPr>
          <w:rFonts w:hint="eastAsia"/>
          <w:kern w:val="0"/>
        </w:rPr>
        <w:t xml:space="preserve">? </w:t>
      </w:r>
      <w:r>
        <w:rPr>
          <w:kern w:val="0"/>
        </w:rPr>
        <w:t>Barbosa, A.</w:t>
      </w:r>
      <w:r w:rsidR="005853A9">
        <w:rPr>
          <w:kern w:val="0"/>
        </w:rPr>
        <w:t xml:space="preserve"> and </w:t>
      </w:r>
      <w:r>
        <w:rPr>
          <w:kern w:val="0"/>
        </w:rPr>
        <w:t>Moreno, E. (2004), A vision</w:t>
      </w:r>
      <w:r w:rsidR="00427468">
        <w:rPr>
          <w:kern w:val="0"/>
        </w:rPr>
        <w:t xml:space="preserve"> of </w:t>
      </w:r>
      <w:r w:rsidR="003A1917">
        <w:rPr>
          <w:kern w:val="0"/>
        </w:rPr>
        <w:t xml:space="preserve">the </w:t>
      </w:r>
      <w:r>
        <w:rPr>
          <w:kern w:val="0"/>
        </w:rPr>
        <w:t>Spanish ornithology through 50 years</w:t>
      </w:r>
      <w:r w:rsidR="00427468">
        <w:rPr>
          <w:kern w:val="0"/>
        </w:rPr>
        <w:t xml:space="preserve"> of </w:t>
      </w:r>
      <w:r>
        <w:rPr>
          <w:i/>
          <w:iCs/>
          <w:kern w:val="0"/>
        </w:rPr>
        <w:t>Ardeola</w:t>
      </w:r>
      <w:r>
        <w:rPr>
          <w:kern w:val="0"/>
        </w:rPr>
        <w:t xml:space="preserve"> publication. </w:t>
      </w:r>
      <w:r>
        <w:rPr>
          <w:i/>
          <w:iCs/>
          <w:kern w:val="0"/>
        </w:rPr>
        <w:t>Ardeola</w:t>
      </w:r>
      <w:r>
        <w:rPr>
          <w:kern w:val="0"/>
        </w:rPr>
        <w:t xml:space="preserve">, </w:t>
      </w:r>
      <w:r>
        <w:rPr>
          <w:b/>
          <w:bCs/>
          <w:kern w:val="0"/>
        </w:rPr>
        <w:t>51</w:t>
      </w:r>
      <w:r>
        <w:rPr>
          <w:kern w:val="0"/>
        </w:rPr>
        <w:t xml:space="preserve"> (1), 3-18.</w:t>
      </w:r>
    </w:p>
    <w:p w:rsidR="008B4CD5" w:rsidRDefault="008B4CD5" w:rsidP="008B4CD5">
      <w:pPr>
        <w:pStyle w:val="a3"/>
        <w:rPr>
          <w:kern w:val="0"/>
        </w:rPr>
      </w:pPr>
      <w:r>
        <w:rPr>
          <w:kern w:val="0"/>
        </w:rPr>
        <w:t>Abstract: Aims: This paper analyses</w:t>
      </w:r>
      <w:r w:rsidR="003A1917">
        <w:rPr>
          <w:kern w:val="0"/>
        </w:rPr>
        <w:t xml:space="preserve"> the </w:t>
      </w:r>
      <w:r>
        <w:rPr>
          <w:kern w:val="0"/>
        </w:rPr>
        <w:t>papers published in Ardeola over</w:t>
      </w:r>
      <w:r w:rsidR="003A1917">
        <w:rPr>
          <w:kern w:val="0"/>
        </w:rPr>
        <w:t xml:space="preserve"> the </w:t>
      </w:r>
      <w:r>
        <w:rPr>
          <w:kern w:val="0"/>
        </w:rPr>
        <w:t>last 50 years with respect to research topics in comparison with</w:t>
      </w:r>
      <w:r w:rsidR="003A1917">
        <w:rPr>
          <w:kern w:val="0"/>
        </w:rPr>
        <w:t xml:space="preserve"> the </w:t>
      </w:r>
      <w:r>
        <w:rPr>
          <w:kern w:val="0"/>
        </w:rPr>
        <w:t>papers published in other ornithological journal such as This</w:t>
      </w:r>
      <w:r w:rsidR="005853A9">
        <w:rPr>
          <w:kern w:val="0"/>
        </w:rPr>
        <w:t xml:space="preserve"> and </w:t>
      </w:r>
      <w:r>
        <w:rPr>
          <w:kern w:val="0"/>
        </w:rPr>
        <w:t>with those</w:t>
      </w:r>
      <w:r w:rsidR="00427468">
        <w:rPr>
          <w:kern w:val="0"/>
        </w:rPr>
        <w:t xml:space="preserve"> of </w:t>
      </w:r>
      <w:r>
        <w:rPr>
          <w:kern w:val="0"/>
        </w:rPr>
        <w:t>Spanish authors in ornithology published in other journals included in</w:t>
      </w:r>
      <w:r w:rsidR="003A1917">
        <w:rPr>
          <w:kern w:val="0"/>
        </w:rPr>
        <w:t xml:space="preserve"> the </w:t>
      </w:r>
      <w:r>
        <w:rPr>
          <w:kern w:val="0"/>
        </w:rPr>
        <w:t>SCI. Methods:</w:t>
      </w:r>
      <w:r w:rsidR="003A1917">
        <w:rPr>
          <w:kern w:val="0"/>
        </w:rPr>
        <w:t xml:space="preserve"> the </w:t>
      </w:r>
      <w:r>
        <w:rPr>
          <w:kern w:val="0"/>
        </w:rPr>
        <w:t>whole issues published by both Ardeola</w:t>
      </w:r>
      <w:r w:rsidR="005853A9">
        <w:rPr>
          <w:kern w:val="0"/>
        </w:rPr>
        <w:t xml:space="preserve"> and </w:t>
      </w:r>
      <w:r>
        <w:rPr>
          <w:kern w:val="0"/>
        </w:rPr>
        <w:t>Ibis were reviewed</w:t>
      </w:r>
      <w:r w:rsidR="00A37C1D">
        <w:rPr>
          <w:kern w:val="0"/>
        </w:rPr>
        <w:t>. The</w:t>
      </w:r>
      <w:r w:rsidR="003A1917">
        <w:rPr>
          <w:kern w:val="0"/>
        </w:rPr>
        <w:t xml:space="preserve"> </w:t>
      </w:r>
      <w:r>
        <w:rPr>
          <w:kern w:val="0"/>
        </w:rPr>
        <w:t>data base</w:t>
      </w:r>
      <w:r w:rsidR="00427468">
        <w:rPr>
          <w:kern w:val="0"/>
        </w:rPr>
        <w:t xml:space="preserve"> of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was used to look for papers published in ornithology by Spanish authors as well. Results</w:t>
      </w:r>
      <w:r w:rsidR="005853A9">
        <w:rPr>
          <w:kern w:val="0"/>
        </w:rPr>
        <w:t xml:space="preserve"> and </w:t>
      </w:r>
      <w:r>
        <w:rPr>
          <w:kern w:val="0"/>
        </w:rPr>
        <w:t>Conclusions:</w:t>
      </w:r>
      <w:r w:rsidR="003A1917">
        <w:rPr>
          <w:kern w:val="0"/>
        </w:rPr>
        <w:t xml:space="preserve"> the </w:t>
      </w:r>
      <w:r>
        <w:rPr>
          <w:kern w:val="0"/>
        </w:rPr>
        <w:t>results show an increase in both</w:t>
      </w:r>
      <w:r w:rsidR="003A1917">
        <w:rPr>
          <w:kern w:val="0"/>
        </w:rPr>
        <w:t xml:space="preserve"> the </w:t>
      </w:r>
      <w:r>
        <w:rPr>
          <w:kern w:val="0"/>
        </w:rPr>
        <w:t>number</w:t>
      </w:r>
      <w:r w:rsidR="00427468">
        <w:rPr>
          <w:kern w:val="0"/>
        </w:rPr>
        <w:t xml:space="preserve"> of </w:t>
      </w:r>
      <w:r>
        <w:rPr>
          <w:kern w:val="0"/>
        </w:rPr>
        <w:t>papers (797)</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authors (1,365) publishing in Ardeola over</w:t>
      </w:r>
      <w:r w:rsidR="003A1917">
        <w:rPr>
          <w:kern w:val="0"/>
        </w:rPr>
        <w:t xml:space="preserve"> the </w:t>
      </w:r>
      <w:r>
        <w:rPr>
          <w:kern w:val="0"/>
        </w:rPr>
        <w:t>last 50 years (Fig. 2</w:t>
      </w:r>
      <w:r w:rsidR="005853A9">
        <w:rPr>
          <w:kern w:val="0"/>
        </w:rPr>
        <w:t xml:space="preserve"> and </w:t>
      </w:r>
      <w:r>
        <w:rPr>
          <w:kern w:val="0"/>
        </w:rPr>
        <w:t>3). A 13.11%</w:t>
      </w:r>
      <w:r w:rsidR="00427468">
        <w:rPr>
          <w:kern w:val="0"/>
        </w:rPr>
        <w:t xml:space="preserve"> of </w:t>
      </w:r>
      <w:r>
        <w:rPr>
          <w:kern w:val="0"/>
        </w:rPr>
        <w:t>authors were foreign researchers</w:t>
      </w:r>
      <w:r w:rsidR="00A37C1D">
        <w:rPr>
          <w:kern w:val="0"/>
        </w:rPr>
        <w:t>. The</w:t>
      </w:r>
      <w:r w:rsidR="003A1917">
        <w:rPr>
          <w:kern w:val="0"/>
        </w:rPr>
        <w:t xml:space="preserve"> </w:t>
      </w:r>
      <w:r>
        <w:rPr>
          <w:kern w:val="0"/>
        </w:rPr>
        <w:t>research topics most investigated were biogeography, reproduction, diet/trophic ecology</w:t>
      </w:r>
      <w:r w:rsidR="005853A9">
        <w:rPr>
          <w:kern w:val="0"/>
        </w:rPr>
        <w:t xml:space="preserve"> and </w:t>
      </w:r>
      <w:r>
        <w:rPr>
          <w:kern w:val="0"/>
        </w:rPr>
        <w:t>migration (Fig. 1)</w:t>
      </w:r>
      <w:r w:rsidR="00A37C1D">
        <w:rPr>
          <w:kern w:val="0"/>
        </w:rPr>
        <w:t>. The</w:t>
      </w:r>
      <w:r w:rsidR="003A1917">
        <w:rPr>
          <w:kern w:val="0"/>
        </w:rPr>
        <w:t xml:space="preserve"> </w:t>
      </w:r>
      <w:r>
        <w:rPr>
          <w:kern w:val="0"/>
        </w:rPr>
        <w:t>number</w:t>
      </w:r>
      <w:r w:rsidR="00427468">
        <w:rPr>
          <w:kern w:val="0"/>
        </w:rPr>
        <w:t xml:space="preserve"> of </w:t>
      </w:r>
      <w:r>
        <w:rPr>
          <w:kern w:val="0"/>
        </w:rPr>
        <w:t>papers devoted to biogeography</w:t>
      </w:r>
      <w:r w:rsidR="005853A9">
        <w:rPr>
          <w:kern w:val="0"/>
        </w:rPr>
        <w:t xml:space="preserve"> and </w:t>
      </w:r>
      <w:r>
        <w:rPr>
          <w:kern w:val="0"/>
        </w:rPr>
        <w:t>taxonomy decreased (Fig. 14</w:t>
      </w:r>
      <w:r w:rsidR="005853A9">
        <w:rPr>
          <w:kern w:val="0"/>
        </w:rPr>
        <w:t xml:space="preserve"> and </w:t>
      </w:r>
      <w:r>
        <w:rPr>
          <w:kern w:val="0"/>
        </w:rPr>
        <w:t>15), while those devoted to migration (Fig. 16), genetics</w:t>
      </w:r>
      <w:r w:rsidR="005853A9">
        <w:rPr>
          <w:kern w:val="0"/>
        </w:rPr>
        <w:t xml:space="preserve"> and </w:t>
      </w:r>
      <w:r>
        <w:rPr>
          <w:kern w:val="0"/>
        </w:rPr>
        <w:t>pollution did not show any temporal trend</w:t>
      </w:r>
      <w:r w:rsidR="00A37C1D">
        <w:rPr>
          <w:kern w:val="0"/>
        </w:rPr>
        <w:t>. The</w:t>
      </w:r>
      <w:r w:rsidR="003A1917">
        <w:rPr>
          <w:kern w:val="0"/>
        </w:rPr>
        <w:t xml:space="preserve"> </w:t>
      </w:r>
      <w:r>
        <w:rPr>
          <w:kern w:val="0"/>
        </w:rPr>
        <w:t>remaining research topics showed an increase during these 50 years</w:t>
      </w:r>
      <w:r w:rsidR="00A37C1D">
        <w:rPr>
          <w:kern w:val="0"/>
        </w:rPr>
        <w:t>. The</w:t>
      </w:r>
      <w:r w:rsidR="003A1917">
        <w:rPr>
          <w:kern w:val="0"/>
        </w:rPr>
        <w:t xml:space="preserve"> </w:t>
      </w:r>
      <w:r>
        <w:rPr>
          <w:kern w:val="0"/>
        </w:rPr>
        <w:t xml:space="preserve">comparison with This shows that this journal published more papers than Ardeola. After correction for this factor, more papers were </w:t>
      </w:r>
      <w:r>
        <w:rPr>
          <w:kern w:val="0"/>
        </w:rPr>
        <w:lastRenderedPageBreak/>
        <w:t>published in Ibis in relation to reproduction (Fig. 5), population dynamics (Fig. 7), morphology (Fig. 10), taxonomy (Fig. 15)</w:t>
      </w:r>
      <w:r w:rsidR="005853A9">
        <w:rPr>
          <w:kern w:val="0"/>
        </w:rPr>
        <w:t xml:space="preserve"> and </w:t>
      </w:r>
      <w:r>
        <w:rPr>
          <w:kern w:val="0"/>
        </w:rPr>
        <w:t>behaviour (Fig. 13). However, more papers were published in Ardeola dealing with biogeography (Fig. 14)</w:t>
      </w:r>
      <w:r w:rsidR="005853A9">
        <w:rPr>
          <w:kern w:val="0"/>
        </w:rPr>
        <w:t xml:space="preserve"> and </w:t>
      </w:r>
      <w:r>
        <w:rPr>
          <w:kern w:val="0"/>
        </w:rPr>
        <w:t>conservation (Fig. 8)</w:t>
      </w:r>
      <w:r w:rsidR="00A37C1D">
        <w:rPr>
          <w:kern w:val="0"/>
        </w:rPr>
        <w:t>. The</w:t>
      </w:r>
      <w:r w:rsidR="003A1917">
        <w:rPr>
          <w:kern w:val="0"/>
        </w:rPr>
        <w:t xml:space="preserve"> </w:t>
      </w:r>
      <w:r>
        <w:rPr>
          <w:kern w:val="0"/>
        </w:rPr>
        <w:t>comparison with papers published by Spanish authors in journals covered by ISI shows that Spanish ornithologists preferred Ardeola to publish their papers on migration (Fig. 1)</w:t>
      </w:r>
      <w:r w:rsidR="00A37C1D">
        <w:rPr>
          <w:kern w:val="0"/>
        </w:rPr>
        <w:t>. The</w:t>
      </w:r>
      <w:r>
        <w:rPr>
          <w:kern w:val="0"/>
        </w:rPr>
        <w:t>y did not show any preference in relation to publication</w:t>
      </w:r>
      <w:r w:rsidR="00427468">
        <w:rPr>
          <w:kern w:val="0"/>
        </w:rPr>
        <w:t xml:space="preserve"> of </w:t>
      </w:r>
      <w:r>
        <w:rPr>
          <w:kern w:val="0"/>
        </w:rPr>
        <w:t>studies dealing with habitat selection or diet/trophic ecology, while they preferred to publish</w:t>
      </w:r>
      <w:r w:rsidR="003A1917">
        <w:rPr>
          <w:kern w:val="0"/>
        </w:rPr>
        <w:t xml:space="preserve"> the </w:t>
      </w:r>
      <w:r>
        <w:rPr>
          <w:kern w:val="0"/>
        </w:rPr>
        <w:t>papers</w:t>
      </w:r>
      <w:r w:rsidR="00427468">
        <w:rPr>
          <w:kern w:val="0"/>
        </w:rPr>
        <w:t xml:space="preserve"> of </w:t>
      </w:r>
      <w:r w:rsidR="003A1917">
        <w:rPr>
          <w:kern w:val="0"/>
        </w:rPr>
        <w:t xml:space="preserve">the </w:t>
      </w:r>
      <w:r>
        <w:rPr>
          <w:kern w:val="0"/>
        </w:rPr>
        <w:t>remaining topics in SCI journals (Fig. 1)</w:t>
      </w:r>
      <w:r w:rsidR="00A37C1D">
        <w:rPr>
          <w:kern w:val="0"/>
        </w:rPr>
        <w:t>. The</w:t>
      </w:r>
      <w:r w:rsidR="003A1917">
        <w:rPr>
          <w:kern w:val="0"/>
        </w:rPr>
        <w:t xml:space="preserve"> </w:t>
      </w:r>
      <w:r>
        <w:rPr>
          <w:kern w:val="0"/>
        </w:rPr>
        <w:t>analysis</w:t>
      </w:r>
      <w:r w:rsidR="00427468">
        <w:rPr>
          <w:kern w:val="0"/>
        </w:rPr>
        <w:t xml:space="preserve"> of </w:t>
      </w:r>
      <w:r w:rsidR="003A1917">
        <w:rPr>
          <w:kern w:val="0"/>
        </w:rPr>
        <w:t xml:space="preserve">the </w:t>
      </w:r>
      <w:r>
        <w:rPr>
          <w:kern w:val="0"/>
        </w:rPr>
        <w:t>preferences</w:t>
      </w:r>
      <w:r w:rsidR="00427468">
        <w:rPr>
          <w:kern w:val="0"/>
        </w:rPr>
        <w:t xml:space="preserve"> of </w:t>
      </w:r>
      <w:r>
        <w:rPr>
          <w:kern w:val="0"/>
        </w:rPr>
        <w:t>research by avian orders</w:t>
      </w:r>
      <w:r w:rsidR="005853A9">
        <w:rPr>
          <w:kern w:val="0"/>
        </w:rPr>
        <w:t xml:space="preserve"> and </w:t>
      </w:r>
      <w:r>
        <w:rPr>
          <w:kern w:val="0"/>
        </w:rPr>
        <w:t>families shows that paseriforms, charadriforms</w:t>
      </w:r>
      <w:r w:rsidR="005853A9">
        <w:rPr>
          <w:kern w:val="0"/>
        </w:rPr>
        <w:t xml:space="preserve"> and </w:t>
      </w:r>
      <w:r>
        <w:rPr>
          <w:kern w:val="0"/>
        </w:rPr>
        <w:t>raptors focused</w:t>
      </w:r>
      <w:r w:rsidR="003A1917">
        <w:rPr>
          <w:kern w:val="0"/>
        </w:rPr>
        <w:t xml:space="preserve"> the </w:t>
      </w:r>
      <w:r>
        <w:rPr>
          <w:kern w:val="0"/>
        </w:rPr>
        <w:t>attention</w:t>
      </w:r>
      <w:r w:rsidR="00427468">
        <w:rPr>
          <w:kern w:val="0"/>
        </w:rPr>
        <w:t xml:space="preserve"> of </w:t>
      </w:r>
      <w:r>
        <w:rPr>
          <w:kern w:val="0"/>
        </w:rPr>
        <w:t>Spanish ornithologists (Fig. 17). Within paseriforms, sylvids, corvids, parids, muscicapids,</w:t>
      </w:r>
      <w:r w:rsidR="005853A9">
        <w:rPr>
          <w:kern w:val="0"/>
        </w:rPr>
        <w:t xml:space="preserve"> and </w:t>
      </w:r>
      <w:r>
        <w:rPr>
          <w:kern w:val="0"/>
        </w:rPr>
        <w:t>fringilids were</w:t>
      </w:r>
      <w:r w:rsidR="003A1917">
        <w:rPr>
          <w:kern w:val="0"/>
        </w:rPr>
        <w:t xml:space="preserve"> the </w:t>
      </w:r>
      <w:r>
        <w:rPr>
          <w:kern w:val="0"/>
        </w:rPr>
        <w:t>families most studied (Fig. 18).</w:t>
      </w:r>
    </w:p>
    <w:p w:rsidR="008B4CD5" w:rsidRDefault="008B4CD5" w:rsidP="008B4CD5">
      <w:pPr>
        <w:pStyle w:val="a3"/>
        <w:rPr>
          <w:kern w:val="0"/>
        </w:rPr>
      </w:pPr>
      <w:r>
        <w:rPr>
          <w:kern w:val="0"/>
        </w:rPr>
        <w:t>Keywords: Analysis, Ardeola, Attention, Authors, Bibliometry, Biology, Bird, Families, Genetics, History</w:t>
      </w:r>
      <w:r w:rsidR="00427468">
        <w:rPr>
          <w:kern w:val="0"/>
        </w:rPr>
        <w:t xml:space="preserve"> of </w:t>
      </w:r>
      <w:r>
        <w:rPr>
          <w:kern w:val="0"/>
        </w:rPr>
        <w:t>Science, IBIS</w:t>
      </w:r>
      <w:r w:rsidR="00D5664A">
        <w:rPr>
          <w:kern w:val="0"/>
        </w:rPr>
        <w:t>, ISI,</w:t>
      </w:r>
      <w:r>
        <w:rPr>
          <w:kern w:val="0"/>
        </w:rPr>
        <w:t xml:space="preserve"> Journal, Journals, Methods, Ornithology, Papers, Population Dynamics, Publication, Publication Bias, Publishing, Reproduction, Research, Research Topics, Researchers</w:t>
      </w:r>
      <w:r w:rsidR="00D5664A">
        <w:rPr>
          <w:kern w:val="0"/>
        </w:rPr>
        <w:t>, SCI,</w:t>
      </w:r>
      <w:r>
        <w:rPr>
          <w:kern w:val="0"/>
        </w:rPr>
        <w:t xml:space="preserve"> Science, Sociology</w:t>
      </w:r>
      <w:r w:rsidR="00427468">
        <w:rPr>
          <w:kern w:val="0"/>
        </w:rPr>
        <w:t xml:space="preserve"> of </w:t>
      </w:r>
      <w:r>
        <w:rPr>
          <w:kern w:val="0"/>
        </w:rPr>
        <w:t xml:space="preserve">Science, Spain, Topics, Trend, Trends, </w:t>
      </w:r>
      <w:r w:rsidR="00D5664A">
        <w:rPr>
          <w:kern w:val="0"/>
        </w:rPr>
        <w:t>Web</w:t>
      </w:r>
      <w:r w:rsidR="00427468">
        <w:rPr>
          <w:kern w:val="0"/>
        </w:rPr>
        <w:t xml:space="preserve"> of </w:t>
      </w:r>
      <w:r w:rsidR="00D5664A">
        <w:rPr>
          <w:kern w:val="0"/>
        </w:rPr>
        <w:t>Science</w:t>
      </w:r>
    </w:p>
    <w:p w:rsidR="00B2573F" w:rsidRPr="001A3D2B" w:rsidRDefault="00B2573F" w:rsidP="00B2573F">
      <w:pPr>
        <w:pStyle w:val="1"/>
      </w:pPr>
      <w:r w:rsidRPr="001A3D2B">
        <w:br w:type="page"/>
      </w:r>
      <w:bookmarkStart w:id="616" w:name="_Toc420814602"/>
      <w:r w:rsidRPr="001A3D2B">
        <w:lastRenderedPageBreak/>
        <w:t xml:space="preserve">Title: </w:t>
      </w:r>
      <w:r w:rsidRPr="001A3D2B">
        <w:rPr>
          <w:iCs w:val="0"/>
        </w:rPr>
        <w:t>Area</w:t>
      </w:r>
      <w:bookmarkEnd w:id="616"/>
    </w:p>
    <w:p w:rsidR="00B2573F" w:rsidRPr="001A3D2B" w:rsidRDefault="00B2573F" w:rsidP="00B2573F">
      <w:pPr>
        <w:pStyle w:val="12"/>
      </w:pPr>
      <w:r w:rsidRPr="001A3D2B">
        <w:t xml:space="preserve">Full Journal Title: </w:t>
      </w:r>
      <w:r w:rsidRPr="001A3D2B">
        <w:rPr>
          <w:iCs/>
          <w:kern w:val="0"/>
        </w:rPr>
        <w:t>Area</w:t>
      </w:r>
    </w:p>
    <w:p w:rsidR="00B2573F" w:rsidRPr="001A3D2B" w:rsidRDefault="00B2573F" w:rsidP="00B2573F">
      <w:pPr>
        <w:pStyle w:val="12"/>
      </w:pPr>
      <w:r w:rsidRPr="001A3D2B">
        <w:t xml:space="preserve">ISO Abbreviated Title: </w:t>
      </w:r>
    </w:p>
    <w:p w:rsidR="00B2573F" w:rsidRPr="001A3D2B" w:rsidRDefault="00B2573F" w:rsidP="00B2573F">
      <w:pPr>
        <w:pStyle w:val="12"/>
      </w:pPr>
      <w:r w:rsidRPr="001A3D2B">
        <w:t xml:space="preserve">JCR Abbreviated Title: </w:t>
      </w:r>
    </w:p>
    <w:p w:rsidR="00B2573F" w:rsidRPr="001A3D2B" w:rsidRDefault="00B2573F" w:rsidP="00B2573F">
      <w:pPr>
        <w:pStyle w:val="12"/>
      </w:pPr>
      <w:r w:rsidRPr="001A3D2B">
        <w:t xml:space="preserve">ISSN: </w:t>
      </w:r>
    </w:p>
    <w:p w:rsidR="00B2573F" w:rsidRPr="001A3D2B" w:rsidRDefault="00B2573F" w:rsidP="00B2573F">
      <w:pPr>
        <w:pStyle w:val="12"/>
      </w:pPr>
      <w:r w:rsidRPr="001A3D2B">
        <w:t xml:space="preserve">Issues/Year: </w:t>
      </w:r>
    </w:p>
    <w:p w:rsidR="00B2573F" w:rsidRPr="001A3D2B" w:rsidRDefault="00B2573F" w:rsidP="00B2573F">
      <w:pPr>
        <w:pStyle w:val="12"/>
      </w:pPr>
      <w:r w:rsidRPr="001A3D2B">
        <w:t xml:space="preserve">Journal Country/Territory: </w:t>
      </w:r>
    </w:p>
    <w:p w:rsidR="00B2573F" w:rsidRPr="001A3D2B" w:rsidRDefault="00B2573F" w:rsidP="00B2573F">
      <w:pPr>
        <w:pStyle w:val="12"/>
      </w:pPr>
      <w:r w:rsidRPr="001A3D2B">
        <w:t xml:space="preserve">Language: </w:t>
      </w:r>
    </w:p>
    <w:p w:rsidR="00B2573F" w:rsidRPr="001A3D2B" w:rsidRDefault="00B2573F" w:rsidP="00B2573F">
      <w:pPr>
        <w:pStyle w:val="12"/>
      </w:pPr>
      <w:r w:rsidRPr="001A3D2B">
        <w:t xml:space="preserve">Publisher: </w:t>
      </w:r>
    </w:p>
    <w:p w:rsidR="00B2573F" w:rsidRPr="001A3D2B" w:rsidRDefault="00B2573F" w:rsidP="00B2573F">
      <w:pPr>
        <w:pStyle w:val="12"/>
      </w:pPr>
      <w:r w:rsidRPr="001A3D2B">
        <w:t xml:space="preserve">Publisher Address: </w:t>
      </w:r>
    </w:p>
    <w:p w:rsidR="00B2573F" w:rsidRPr="001A3D2B" w:rsidRDefault="00B2573F" w:rsidP="00B2573F">
      <w:pPr>
        <w:pStyle w:val="12"/>
      </w:pPr>
      <w:r w:rsidRPr="001A3D2B">
        <w:t>Subject Categories:</w:t>
      </w:r>
    </w:p>
    <w:p w:rsidR="00B2573F" w:rsidRPr="001A3D2B" w:rsidRDefault="00B2573F" w:rsidP="00B2573F">
      <w:pPr>
        <w:pStyle w:val="a3"/>
        <w:rPr>
          <w:kern w:val="0"/>
        </w:rPr>
      </w:pPr>
      <w:r w:rsidRPr="001A3D2B">
        <w:rPr>
          <w:kern w:val="0"/>
        </w:rPr>
        <w:t>? Richards, K., Batty, M., Edwards, K., Findlay, A., Foody, G., Frostick, L., Jones, K., Lee, R., Livingstone, D., Marsden, T., Petts, J., Philo, C., Simon, D., Smith, S.</w:t>
      </w:r>
      <w:r w:rsidR="005853A9">
        <w:rPr>
          <w:kern w:val="0"/>
        </w:rPr>
        <w:t xml:space="preserve"> and </w:t>
      </w:r>
      <w:r w:rsidRPr="001A3D2B">
        <w:rPr>
          <w:kern w:val="0"/>
        </w:rPr>
        <w:t>Thomas, D. (2009</w:t>
      </w:r>
      <w:r w:rsidR="00F42EAC">
        <w:rPr>
          <w:kern w:val="0"/>
        </w:rPr>
        <w:t>), The</w:t>
      </w:r>
      <w:r w:rsidR="003A1917">
        <w:rPr>
          <w:kern w:val="0"/>
        </w:rPr>
        <w:t xml:space="preserve"> </w:t>
      </w:r>
      <w:r w:rsidRPr="001A3D2B">
        <w:rPr>
          <w:kern w:val="0"/>
        </w:rPr>
        <w:t>nature</w:t>
      </w:r>
      <w:r w:rsidR="00427468">
        <w:rPr>
          <w:kern w:val="0"/>
        </w:rPr>
        <w:t xml:space="preserve"> of </w:t>
      </w:r>
      <w:r w:rsidRPr="001A3D2B">
        <w:rPr>
          <w:kern w:val="0"/>
        </w:rPr>
        <w:t>publishing</w:t>
      </w:r>
      <w:r w:rsidR="005853A9">
        <w:rPr>
          <w:kern w:val="0"/>
        </w:rPr>
        <w:t xml:space="preserve"> and </w:t>
      </w:r>
      <w:r w:rsidRPr="001A3D2B">
        <w:rPr>
          <w:kern w:val="0"/>
        </w:rPr>
        <w:t>assessment in Geography</w:t>
      </w:r>
      <w:r w:rsidR="005853A9">
        <w:rPr>
          <w:kern w:val="0"/>
        </w:rPr>
        <w:t xml:space="preserve"> and </w:t>
      </w:r>
      <w:r w:rsidRPr="001A3D2B">
        <w:rPr>
          <w:kern w:val="0"/>
        </w:rPr>
        <w:t xml:space="preserve">Environmental Studies: </w:t>
      </w:r>
      <w:r w:rsidR="009A5CFA" w:rsidRPr="001A3D2B">
        <w:rPr>
          <w:kern w:val="0"/>
        </w:rPr>
        <w:t xml:space="preserve">Evidence </w:t>
      </w:r>
      <w:r w:rsidRPr="001A3D2B">
        <w:rPr>
          <w:kern w:val="0"/>
        </w:rPr>
        <w:t>from</w:t>
      </w:r>
      <w:r w:rsidR="003A1917">
        <w:rPr>
          <w:kern w:val="0"/>
        </w:rPr>
        <w:t xml:space="preserve"> the </w:t>
      </w:r>
      <w:r w:rsidRPr="001A3D2B">
        <w:rPr>
          <w:kern w:val="0"/>
        </w:rPr>
        <w:t xml:space="preserve">Research Assessment Exercise 2008. </w:t>
      </w:r>
      <w:r w:rsidRPr="001A3D2B">
        <w:rPr>
          <w:i/>
          <w:iCs/>
          <w:kern w:val="0"/>
        </w:rPr>
        <w:t>Area</w:t>
      </w:r>
      <w:r w:rsidRPr="001A3D2B">
        <w:rPr>
          <w:kern w:val="0"/>
        </w:rPr>
        <w:t xml:space="preserve">, </w:t>
      </w:r>
      <w:r w:rsidRPr="001A3D2B">
        <w:rPr>
          <w:b/>
          <w:bCs/>
          <w:kern w:val="0"/>
        </w:rPr>
        <w:t>41</w:t>
      </w:r>
      <w:r w:rsidRPr="001A3D2B">
        <w:rPr>
          <w:kern w:val="0"/>
        </w:rPr>
        <w:t xml:space="preserve"> (3), 231-243.</w:t>
      </w:r>
    </w:p>
    <w:p w:rsidR="009A5CFA" w:rsidRDefault="009A5CFA" w:rsidP="009A5CFA">
      <w:pPr>
        <w:pStyle w:val="a3"/>
        <w:rPr>
          <w:kern w:val="0"/>
        </w:rPr>
      </w:pPr>
      <w:r>
        <w:rPr>
          <w:rFonts w:hint="eastAsia"/>
          <w:kern w:val="0"/>
        </w:rPr>
        <w:t xml:space="preserve">Full Text: </w:t>
      </w:r>
      <w:hyperlink r:id="rId1210" w:history="1">
        <w:r w:rsidRPr="00426666">
          <w:rPr>
            <w:rStyle w:val="a5"/>
            <w:kern w:val="0"/>
          </w:rPr>
          <w:t>2009\Area41, 231.pdf</w:t>
        </w:r>
      </w:hyperlink>
    </w:p>
    <w:p w:rsidR="00B2573F" w:rsidRPr="001A3D2B" w:rsidRDefault="00B2573F" w:rsidP="00B2573F">
      <w:pPr>
        <w:pStyle w:val="a3"/>
        <w:rPr>
          <w:kern w:val="0"/>
        </w:rPr>
      </w:pPr>
      <w:r w:rsidRPr="001A3D2B">
        <w:rPr>
          <w:kern w:val="0"/>
        </w:rPr>
        <w:t>Abstract: We present a summary</w:t>
      </w:r>
      <w:r w:rsidR="00427468">
        <w:rPr>
          <w:kern w:val="0"/>
        </w:rPr>
        <w:t xml:space="preserve"> of </w:t>
      </w:r>
      <w:r w:rsidR="003A1917">
        <w:rPr>
          <w:kern w:val="0"/>
        </w:rPr>
        <w:t xml:space="preserve">the </w:t>
      </w:r>
      <w:r w:rsidRPr="001A3D2B">
        <w:rPr>
          <w:kern w:val="0"/>
        </w:rPr>
        <w:t>kinds</w:t>
      </w:r>
      <w:r w:rsidR="00427468">
        <w:rPr>
          <w:kern w:val="0"/>
        </w:rPr>
        <w:t xml:space="preserve"> of </w:t>
      </w:r>
      <w:r w:rsidRPr="001A3D2B">
        <w:rPr>
          <w:kern w:val="0"/>
        </w:rPr>
        <w:t>outputs submitted to</w:t>
      </w:r>
      <w:r w:rsidR="003A1917">
        <w:rPr>
          <w:kern w:val="0"/>
        </w:rPr>
        <w:t xml:space="preserve"> the </w:t>
      </w:r>
      <w:r w:rsidRPr="001A3D2B">
        <w:rPr>
          <w:kern w:val="0"/>
        </w:rPr>
        <w:t>Geography</w:t>
      </w:r>
      <w:r w:rsidR="005853A9">
        <w:rPr>
          <w:kern w:val="0"/>
        </w:rPr>
        <w:t xml:space="preserve"> and </w:t>
      </w:r>
      <w:r w:rsidRPr="001A3D2B">
        <w:rPr>
          <w:kern w:val="0"/>
        </w:rPr>
        <w:t>Environmental Studies sub-panel (H-32) for</w:t>
      </w:r>
      <w:r w:rsidR="003A1917">
        <w:rPr>
          <w:kern w:val="0"/>
        </w:rPr>
        <w:t xml:space="preserve"> the </w:t>
      </w:r>
      <w:r w:rsidRPr="001A3D2B">
        <w:rPr>
          <w:kern w:val="0"/>
        </w:rPr>
        <w:t>2008 Research Assessment Exercise (RAE),</w:t>
      </w:r>
      <w:r w:rsidR="005853A9">
        <w:rPr>
          <w:kern w:val="0"/>
        </w:rPr>
        <w:t xml:space="preserve"> and </w:t>
      </w:r>
      <w:r w:rsidRPr="001A3D2B">
        <w:rPr>
          <w:kern w:val="0"/>
        </w:rPr>
        <w:t>examine</w:t>
      </w:r>
      <w:r w:rsidR="003A1917">
        <w:rPr>
          <w:kern w:val="0"/>
        </w:rPr>
        <w:t xml:space="preserve"> the </w:t>
      </w:r>
      <w:r w:rsidRPr="001A3D2B">
        <w:rPr>
          <w:kern w:val="0"/>
        </w:rPr>
        <w:t>relationships between</w:t>
      </w:r>
      <w:r w:rsidR="003A1917">
        <w:rPr>
          <w:kern w:val="0"/>
        </w:rPr>
        <w:t xml:space="preserve"> the </w:t>
      </w:r>
      <w:r w:rsidRPr="001A3D2B">
        <w:rPr>
          <w:kern w:val="0"/>
        </w:rPr>
        <w:t>peer assessment</w:t>
      </w:r>
      <w:r w:rsidR="00427468">
        <w:rPr>
          <w:kern w:val="0"/>
        </w:rPr>
        <w:t xml:space="preserve"> of </w:t>
      </w:r>
      <w:r w:rsidRPr="001A3D2B">
        <w:rPr>
          <w:kern w:val="0"/>
        </w:rPr>
        <w:t>research quality that</w:t>
      </w:r>
      <w:r w:rsidR="003A1917">
        <w:rPr>
          <w:kern w:val="0"/>
        </w:rPr>
        <w:t xml:space="preserve"> the </w:t>
      </w:r>
      <w:r w:rsidRPr="001A3D2B">
        <w:rPr>
          <w:kern w:val="0"/>
        </w:rPr>
        <w:t>RAE process has typified,</w:t>
      </w:r>
      <w:r w:rsidR="005853A9">
        <w:rPr>
          <w:kern w:val="0"/>
        </w:rPr>
        <w:t xml:space="preserve"> and </w:t>
      </w:r>
      <w:r w:rsidRPr="001A3D2B">
        <w:rPr>
          <w:kern w:val="0"/>
        </w:rPr>
        <w:t>alternative modes</w:t>
      </w:r>
      <w:r w:rsidR="00427468">
        <w:rPr>
          <w:kern w:val="0"/>
        </w:rPr>
        <w:t xml:space="preserve"> of </w:t>
      </w:r>
      <w:r w:rsidRPr="001A3D2B">
        <w:rPr>
          <w:kern w:val="0"/>
        </w:rPr>
        <w:t>assessment based on bibliometrics. This comparison is effected using (in aggregate form) some</w:t>
      </w:r>
      <w:r w:rsidR="00427468">
        <w:rPr>
          <w:kern w:val="0"/>
        </w:rPr>
        <w:t xml:space="preserve"> of </w:t>
      </w:r>
      <w:r w:rsidR="003A1917">
        <w:rPr>
          <w:kern w:val="0"/>
        </w:rPr>
        <w:t xml:space="preserve">the </w:t>
      </w:r>
      <w:r w:rsidRPr="001A3D2B">
        <w:rPr>
          <w:kern w:val="0"/>
        </w:rPr>
        <w:t>results from</w:t>
      </w:r>
      <w:r w:rsidR="003A1917">
        <w:rPr>
          <w:kern w:val="0"/>
        </w:rPr>
        <w:t xml:space="preserve"> the </w:t>
      </w:r>
      <w:r w:rsidRPr="001A3D2B">
        <w:rPr>
          <w:kern w:val="0"/>
        </w:rPr>
        <w:t>RAE, together with citation data gathered after completion</w:t>
      </w:r>
      <w:r w:rsidR="00427468">
        <w:rPr>
          <w:kern w:val="0"/>
        </w:rPr>
        <w:t xml:space="preserve"> of </w:t>
      </w:r>
      <w:r w:rsidR="003A1917">
        <w:rPr>
          <w:kern w:val="0"/>
        </w:rPr>
        <w:t xml:space="preserve">the </w:t>
      </w:r>
      <w:r w:rsidRPr="001A3D2B">
        <w:rPr>
          <w:kern w:val="0"/>
        </w:rPr>
        <w:t>RAE assessment, specifically for</w:t>
      </w:r>
      <w:r w:rsidR="003A1917">
        <w:rPr>
          <w:kern w:val="0"/>
        </w:rPr>
        <w:t xml:space="preserve"> the </w:t>
      </w:r>
      <w:r w:rsidRPr="001A3D2B">
        <w:rPr>
          <w:kern w:val="0"/>
        </w:rPr>
        <w:t>purpose</w:t>
      </w:r>
      <w:r w:rsidR="00427468">
        <w:rPr>
          <w:kern w:val="0"/>
        </w:rPr>
        <w:t xml:space="preserve"> of </w:t>
      </w:r>
      <w:r w:rsidRPr="001A3D2B">
        <w:rPr>
          <w:kern w:val="0"/>
        </w:rPr>
        <w:t>this paper. We conclude that, if it continues to be necessary</w:t>
      </w:r>
      <w:r w:rsidR="005853A9">
        <w:rPr>
          <w:kern w:val="0"/>
        </w:rPr>
        <w:t xml:space="preserve"> and </w:t>
      </w:r>
      <w:r w:rsidRPr="001A3D2B">
        <w:rPr>
          <w:kern w:val="0"/>
        </w:rPr>
        <w:t>desirable to assess, in some measure</w:t>
      </w:r>
      <w:r w:rsidR="005853A9">
        <w:rPr>
          <w:kern w:val="0"/>
        </w:rPr>
        <w:t xml:space="preserve"> and </w:t>
      </w:r>
      <w:r w:rsidRPr="001A3D2B">
        <w:rPr>
          <w:kern w:val="0"/>
        </w:rPr>
        <w:t>however imprecisely, research quality, then peer assessment cannot be replaced by bibliometrics. Bibliometrics permit measurement</w:t>
      </w:r>
      <w:r w:rsidR="00427468">
        <w:rPr>
          <w:kern w:val="0"/>
        </w:rPr>
        <w:t xml:space="preserve"> of </w:t>
      </w:r>
      <w:r w:rsidRPr="001A3D2B">
        <w:rPr>
          <w:kern w:val="0"/>
        </w:rPr>
        <w:t>something that may be linked to quality but is essentially a different phenomenon - a measure</w:t>
      </w:r>
      <w:r w:rsidR="00427468">
        <w:rPr>
          <w:kern w:val="0"/>
        </w:rPr>
        <w:t xml:space="preserve"> of </w:t>
      </w:r>
      <w:r w:rsidR="00700038">
        <w:rPr>
          <w:kern w:val="0"/>
        </w:rPr>
        <w:t>‘</w:t>
      </w:r>
      <w:r w:rsidRPr="001A3D2B">
        <w:rPr>
          <w:kern w:val="0"/>
        </w:rPr>
        <w:t>impact</w:t>
      </w:r>
      <w:r w:rsidR="00700038">
        <w:rPr>
          <w:kern w:val="0"/>
        </w:rPr>
        <w:t>’</w:t>
      </w:r>
      <w:r w:rsidRPr="001A3D2B">
        <w:rPr>
          <w:kern w:val="0"/>
        </w:rPr>
        <w:t>, for example.</w:t>
      </w:r>
    </w:p>
    <w:p w:rsidR="00B2573F" w:rsidRPr="001A3D2B" w:rsidRDefault="00B2573F" w:rsidP="00B2573F">
      <w:pPr>
        <w:pStyle w:val="a3"/>
        <w:rPr>
          <w:kern w:val="0"/>
        </w:rPr>
      </w:pPr>
      <w:r w:rsidRPr="001A3D2B">
        <w:rPr>
          <w:kern w:val="0"/>
        </w:rPr>
        <w:t>Keywords: Assessment, Bibliometrics, Future, Output Types, Peer Review, Rae, Research</w:t>
      </w:r>
    </w:p>
    <w:p w:rsidR="0051774E" w:rsidRDefault="0051774E" w:rsidP="0051774E">
      <w:pPr>
        <w:pStyle w:val="a3"/>
        <w:rPr>
          <w:kern w:val="0"/>
        </w:rPr>
      </w:pPr>
      <w:r>
        <w:rPr>
          <w:rFonts w:hint="eastAsia"/>
          <w:kern w:val="0"/>
        </w:rPr>
        <w:t xml:space="preserve">? </w:t>
      </w:r>
      <w:r>
        <w:rPr>
          <w:kern w:val="0"/>
        </w:rPr>
        <w:t>Schuermans, N., Meeus, B.</w:t>
      </w:r>
      <w:r w:rsidR="005853A9">
        <w:rPr>
          <w:kern w:val="0"/>
        </w:rPr>
        <w:t xml:space="preserve"> and </w:t>
      </w:r>
      <w:r>
        <w:rPr>
          <w:kern w:val="0"/>
        </w:rPr>
        <w:t>De Maesschalck, F. (2010), Is there a world beyond</w:t>
      </w:r>
      <w:r w:rsidR="003A1917">
        <w:rPr>
          <w:kern w:val="0"/>
        </w:rPr>
        <w:t xml:space="preserve"> the </w:t>
      </w:r>
      <w:r w:rsidR="00D5664A">
        <w:rPr>
          <w:kern w:val="0"/>
        </w:rPr>
        <w:t>Web</w:t>
      </w:r>
      <w:r w:rsidR="00427468">
        <w:rPr>
          <w:kern w:val="0"/>
        </w:rPr>
        <w:t xml:space="preserve"> of </w:t>
      </w:r>
      <w:r w:rsidR="00D5664A">
        <w:rPr>
          <w:kern w:val="0"/>
        </w:rPr>
        <w:t>Science</w:t>
      </w:r>
      <w:r>
        <w:rPr>
          <w:kern w:val="0"/>
        </w:rPr>
        <w:t>? Publication practices outside</w:t>
      </w:r>
      <w:r w:rsidR="003A1917">
        <w:rPr>
          <w:kern w:val="0"/>
        </w:rPr>
        <w:t xml:space="preserve"> the </w:t>
      </w:r>
      <w:r>
        <w:rPr>
          <w:kern w:val="0"/>
        </w:rPr>
        <w:t>heartland</w:t>
      </w:r>
      <w:r w:rsidR="00427468">
        <w:rPr>
          <w:kern w:val="0"/>
        </w:rPr>
        <w:t xml:space="preserve"> of </w:t>
      </w:r>
      <w:r>
        <w:rPr>
          <w:kern w:val="0"/>
        </w:rPr>
        <w:t xml:space="preserve">academic geography. </w:t>
      </w:r>
      <w:r>
        <w:rPr>
          <w:i/>
          <w:iCs/>
          <w:kern w:val="0"/>
        </w:rPr>
        <w:t>Area</w:t>
      </w:r>
      <w:r>
        <w:rPr>
          <w:kern w:val="0"/>
        </w:rPr>
        <w:t xml:space="preserve">, </w:t>
      </w:r>
      <w:r>
        <w:rPr>
          <w:b/>
          <w:bCs/>
          <w:kern w:val="0"/>
        </w:rPr>
        <w:t>42</w:t>
      </w:r>
      <w:r>
        <w:rPr>
          <w:kern w:val="0"/>
        </w:rPr>
        <w:t xml:space="preserve"> (4), 417-424.</w:t>
      </w:r>
    </w:p>
    <w:p w:rsidR="0051774E" w:rsidRDefault="0051774E" w:rsidP="0051774E">
      <w:pPr>
        <w:pStyle w:val="a3"/>
        <w:rPr>
          <w:kern w:val="0"/>
        </w:rPr>
      </w:pPr>
      <w:r>
        <w:rPr>
          <w:rFonts w:hint="eastAsia"/>
          <w:kern w:val="0"/>
        </w:rPr>
        <w:t xml:space="preserve">Full Text: </w:t>
      </w:r>
      <w:hyperlink r:id="rId1211" w:history="1">
        <w:r w:rsidRPr="0052059C">
          <w:rPr>
            <w:rStyle w:val="a5"/>
            <w:kern w:val="0"/>
          </w:rPr>
          <w:t>2010\Area42, 417.pdf</w:t>
        </w:r>
      </w:hyperlink>
    </w:p>
    <w:p w:rsidR="0051774E" w:rsidRDefault="0051774E" w:rsidP="0051774E">
      <w:pPr>
        <w:pStyle w:val="a3"/>
        <w:rPr>
          <w:kern w:val="0"/>
        </w:rPr>
      </w:pPr>
      <w:r>
        <w:rPr>
          <w:kern w:val="0"/>
        </w:rPr>
        <w:t>Abstract: Because research on</w:t>
      </w:r>
      <w:r w:rsidR="003A1917">
        <w:rPr>
          <w:kern w:val="0"/>
        </w:rPr>
        <w:t xml:space="preserve"> the </w:t>
      </w:r>
      <w:r>
        <w:rPr>
          <w:kern w:val="0"/>
        </w:rPr>
        <w:t>publication practices</w:t>
      </w:r>
      <w:r w:rsidR="00427468">
        <w:rPr>
          <w:kern w:val="0"/>
        </w:rPr>
        <w:t xml:space="preserve"> of </w:t>
      </w:r>
      <w:r>
        <w:rPr>
          <w:kern w:val="0"/>
        </w:rPr>
        <w:t>academic geographers has been limited to</w:t>
      </w:r>
      <w:r w:rsidR="003A1917">
        <w:rPr>
          <w:kern w:val="0"/>
        </w:rPr>
        <w:t xml:space="preserve"> the </w:t>
      </w:r>
      <w:r>
        <w:rPr>
          <w:kern w:val="0"/>
        </w:rPr>
        <w:t>quantification</w:t>
      </w:r>
      <w:r w:rsidR="00427468">
        <w:rPr>
          <w:kern w:val="0"/>
        </w:rPr>
        <w:t xml:space="preserve"> of </w:t>
      </w:r>
      <w:r>
        <w:rPr>
          <w:kern w:val="0"/>
        </w:rPr>
        <w:t xml:space="preserve">journal articles cited in easily searchable </w:t>
      </w:r>
      <w:r>
        <w:rPr>
          <w:kern w:val="0"/>
        </w:rPr>
        <w:lastRenderedPageBreak/>
        <w:t>databases such as Thomson Reuters</w:t>
      </w:r>
      <w:r w:rsidR="00700038">
        <w:rPr>
          <w:kern w:val="0"/>
        </w:rPr>
        <w:t>’</w:t>
      </w:r>
      <w:r>
        <w:rPr>
          <w:kern w:val="0"/>
        </w:rPr>
        <w:t xml:space="preserve"> </w:t>
      </w:r>
      <w:r w:rsidR="00D5664A">
        <w:rPr>
          <w:kern w:val="0"/>
        </w:rPr>
        <w:t>Web</w:t>
      </w:r>
      <w:r w:rsidR="00427468">
        <w:rPr>
          <w:kern w:val="0"/>
        </w:rPr>
        <w:t xml:space="preserve"> of </w:t>
      </w:r>
      <w:r w:rsidR="00D5664A">
        <w:rPr>
          <w:kern w:val="0"/>
        </w:rPr>
        <w:t>Science</w:t>
      </w:r>
      <w:r>
        <w:rPr>
          <w:kern w:val="0"/>
        </w:rPr>
        <w:t xml:space="preserve"> or Elsevier</w:t>
      </w:r>
      <w:r w:rsidR="00700038">
        <w:rPr>
          <w:kern w:val="0"/>
        </w:rPr>
        <w:t>’</w:t>
      </w:r>
      <w:r w:rsidR="00C13DDC">
        <w:rPr>
          <w:kern w:val="0"/>
        </w:rPr>
        <w:t>s</w:t>
      </w:r>
      <w:r>
        <w:rPr>
          <w:kern w:val="0"/>
        </w:rPr>
        <w:t xml:space="preserve"> Scopus,</w:t>
      </w:r>
      <w:r w:rsidR="003A1917">
        <w:rPr>
          <w:kern w:val="0"/>
        </w:rPr>
        <w:t xml:space="preserve"> the </w:t>
      </w:r>
      <w:r>
        <w:rPr>
          <w:kern w:val="0"/>
        </w:rPr>
        <w:t>question remains whether journals that are not indexed by these databases flourish or perish under</w:t>
      </w:r>
      <w:r w:rsidR="003A1917">
        <w:rPr>
          <w:kern w:val="0"/>
        </w:rPr>
        <w:t xml:space="preserve"> the </w:t>
      </w:r>
      <w:r>
        <w:rPr>
          <w:kern w:val="0"/>
        </w:rPr>
        <w:t>increasing pressure to publish in outlets with</w:t>
      </w:r>
      <w:r w:rsidR="003A1917">
        <w:rPr>
          <w:kern w:val="0"/>
        </w:rPr>
        <w:t xml:space="preserve"> the </w:t>
      </w:r>
      <w:r>
        <w:rPr>
          <w:kern w:val="0"/>
        </w:rPr>
        <w:t>highest impact factors. To answer this question, we have compiled a database with</w:t>
      </w:r>
      <w:r w:rsidR="003A1917">
        <w:rPr>
          <w:kern w:val="0"/>
        </w:rPr>
        <w:t xml:space="preserve"> the </w:t>
      </w:r>
      <w:r>
        <w:rPr>
          <w:kern w:val="0"/>
        </w:rPr>
        <w:t>complete bibliographies</w:t>
      </w:r>
      <w:r w:rsidR="00427468">
        <w:rPr>
          <w:kern w:val="0"/>
        </w:rPr>
        <w:t xml:space="preserve"> of </w:t>
      </w:r>
      <w:r>
        <w:rPr>
          <w:kern w:val="0"/>
        </w:rPr>
        <w:t>all Belgian professors that have been working in Belgium in</w:t>
      </w:r>
      <w:r w:rsidR="003A1917">
        <w:rPr>
          <w:kern w:val="0"/>
        </w:rPr>
        <w:t xml:space="preserve"> the </w:t>
      </w:r>
      <w:r>
        <w:rPr>
          <w:kern w:val="0"/>
        </w:rPr>
        <w:t>field</w:t>
      </w:r>
      <w:r w:rsidR="00427468">
        <w:rPr>
          <w:kern w:val="0"/>
        </w:rPr>
        <w:t xml:space="preserve"> of </w:t>
      </w:r>
      <w:r>
        <w:rPr>
          <w:kern w:val="0"/>
        </w:rPr>
        <w:t>human geography over</w:t>
      </w:r>
      <w:r w:rsidR="003A1917">
        <w:rPr>
          <w:kern w:val="0"/>
        </w:rPr>
        <w:t xml:space="preserve"> the </w:t>
      </w:r>
      <w:r>
        <w:rPr>
          <w:kern w:val="0"/>
        </w:rPr>
        <w:t>last 40 years. Based on our quantitative analysis</w:t>
      </w:r>
      <w:r w:rsidR="00427468">
        <w:rPr>
          <w:kern w:val="0"/>
        </w:rPr>
        <w:t xml:space="preserve"> of </w:t>
      </w:r>
      <w:r>
        <w:rPr>
          <w:kern w:val="0"/>
        </w:rPr>
        <w:t>810 articles published in 304 different journals, we come to</w:t>
      </w:r>
      <w:r w:rsidR="003A1917">
        <w:rPr>
          <w:kern w:val="0"/>
        </w:rPr>
        <w:t xml:space="preserve"> the </w:t>
      </w:r>
      <w:r>
        <w:rPr>
          <w:kern w:val="0"/>
        </w:rPr>
        <w:t>conclusion that human geographers from</w:t>
      </w:r>
      <w:r w:rsidR="003A1917">
        <w:rPr>
          <w:kern w:val="0"/>
        </w:rPr>
        <w:t xml:space="preserve"> the </w:t>
      </w:r>
      <w:r>
        <w:rPr>
          <w:kern w:val="0"/>
        </w:rPr>
        <w:t>Dutch-speaking north</w:t>
      </w:r>
      <w:r w:rsidR="00427468">
        <w:rPr>
          <w:kern w:val="0"/>
        </w:rPr>
        <w:t xml:space="preserve"> of </w:t>
      </w:r>
      <w:r w:rsidR="003A1917">
        <w:rPr>
          <w:kern w:val="0"/>
        </w:rPr>
        <w:t xml:space="preserve">the </w:t>
      </w:r>
      <w:r>
        <w:rPr>
          <w:kern w:val="0"/>
        </w:rPr>
        <w:t>country are currently publishing more in English-language journals</w:t>
      </w:r>
      <w:r w:rsidR="005853A9">
        <w:rPr>
          <w:kern w:val="0"/>
        </w:rPr>
        <w:t xml:space="preserve"> and </w:t>
      </w:r>
      <w:r>
        <w:rPr>
          <w:kern w:val="0"/>
        </w:rPr>
        <w:t>in journals indexed by</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than their colleagues in</w:t>
      </w:r>
      <w:r w:rsidR="003A1917">
        <w:rPr>
          <w:kern w:val="0"/>
        </w:rPr>
        <w:t xml:space="preserve"> the </w:t>
      </w:r>
      <w:r>
        <w:rPr>
          <w:kern w:val="0"/>
        </w:rPr>
        <w:t>seventies or</w:t>
      </w:r>
      <w:r w:rsidR="003A1917">
        <w:rPr>
          <w:kern w:val="0"/>
        </w:rPr>
        <w:t xml:space="preserve"> the </w:t>
      </w:r>
      <w:r>
        <w:rPr>
          <w:kern w:val="0"/>
        </w:rPr>
        <w:t>eighties, but less in</w:t>
      </w:r>
      <w:r w:rsidR="003A1917">
        <w:rPr>
          <w:kern w:val="0"/>
        </w:rPr>
        <w:t xml:space="preserve"> the </w:t>
      </w:r>
      <w:r>
        <w:rPr>
          <w:kern w:val="0"/>
        </w:rPr>
        <w:t>Dutch</w:t>
      </w:r>
      <w:r w:rsidR="005853A9">
        <w:rPr>
          <w:kern w:val="0"/>
        </w:rPr>
        <w:t xml:space="preserve"> and </w:t>
      </w:r>
      <w:r w:rsidR="003A1917">
        <w:rPr>
          <w:kern w:val="0"/>
        </w:rPr>
        <w:t xml:space="preserve">the </w:t>
      </w:r>
      <w:r>
        <w:rPr>
          <w:kern w:val="0"/>
        </w:rPr>
        <w:t>French languages</w:t>
      </w:r>
      <w:r w:rsidR="005853A9">
        <w:rPr>
          <w:kern w:val="0"/>
        </w:rPr>
        <w:t xml:space="preserve"> and </w:t>
      </w:r>
      <w:r>
        <w:rPr>
          <w:kern w:val="0"/>
        </w:rPr>
        <w:t>in Belgian geographical journals. In</w:t>
      </w:r>
      <w:r w:rsidR="003A1917">
        <w:rPr>
          <w:kern w:val="0"/>
        </w:rPr>
        <w:t xml:space="preserve"> the </w:t>
      </w:r>
      <w:r>
        <w:rPr>
          <w:kern w:val="0"/>
        </w:rPr>
        <w:t>French-speaking south</w:t>
      </w:r>
      <w:r w:rsidR="00427468">
        <w:rPr>
          <w:kern w:val="0"/>
        </w:rPr>
        <w:t xml:space="preserve"> of </w:t>
      </w:r>
      <w:r w:rsidR="003A1917">
        <w:rPr>
          <w:kern w:val="0"/>
        </w:rPr>
        <w:t xml:space="preserve">the </w:t>
      </w:r>
      <w:r>
        <w:rPr>
          <w:kern w:val="0"/>
        </w:rPr>
        <w:t>country, this evolution is less pronounced, but still present. Even though we applaud</w:t>
      </w:r>
      <w:r w:rsidR="003A1917">
        <w:rPr>
          <w:kern w:val="0"/>
        </w:rPr>
        <w:t xml:space="preserve"> the </w:t>
      </w:r>
      <w:r>
        <w:rPr>
          <w:kern w:val="0"/>
        </w:rPr>
        <w:t>tendency to publish in English</w:t>
      </w:r>
      <w:r w:rsidR="005853A9">
        <w:rPr>
          <w:kern w:val="0"/>
        </w:rPr>
        <w:t xml:space="preserve"> and </w:t>
      </w:r>
      <w:r>
        <w:rPr>
          <w:kern w:val="0"/>
        </w:rPr>
        <w:t xml:space="preserve">in </w:t>
      </w:r>
      <w:r w:rsidR="00D5664A">
        <w:rPr>
          <w:kern w:val="0"/>
        </w:rPr>
        <w:t>Web</w:t>
      </w:r>
      <w:r w:rsidR="00427468">
        <w:rPr>
          <w:kern w:val="0"/>
        </w:rPr>
        <w:t xml:space="preserve"> of </w:t>
      </w:r>
      <w:r w:rsidR="00D5664A">
        <w:rPr>
          <w:kern w:val="0"/>
        </w:rPr>
        <w:t>Science</w:t>
      </w:r>
      <w:r>
        <w:rPr>
          <w:kern w:val="0"/>
        </w:rPr>
        <w:t xml:space="preserve"> journals because it increases</w:t>
      </w:r>
      <w:r w:rsidR="003A1917">
        <w:rPr>
          <w:kern w:val="0"/>
        </w:rPr>
        <w:t xml:space="preserve"> the </w:t>
      </w:r>
      <w:r>
        <w:rPr>
          <w:kern w:val="0"/>
        </w:rPr>
        <w:t>academic rigour</w:t>
      </w:r>
      <w:r w:rsidR="00427468">
        <w:rPr>
          <w:kern w:val="0"/>
        </w:rPr>
        <w:t xml:space="preserve"> of </w:t>
      </w:r>
      <w:r>
        <w:rPr>
          <w:kern w:val="0"/>
        </w:rPr>
        <w:t>scholarly research, we are afraid that it hampers</w:t>
      </w:r>
      <w:r w:rsidR="003A1917">
        <w:rPr>
          <w:kern w:val="0"/>
        </w:rPr>
        <w:t xml:space="preserve"> the </w:t>
      </w:r>
      <w:r>
        <w:rPr>
          <w:kern w:val="0"/>
        </w:rPr>
        <w:t>role</w:t>
      </w:r>
      <w:r w:rsidR="00427468">
        <w:rPr>
          <w:kern w:val="0"/>
        </w:rPr>
        <w:t xml:space="preserve"> of </w:t>
      </w:r>
      <w:r>
        <w:rPr>
          <w:kern w:val="0"/>
        </w:rPr>
        <w:t>academic geography in geography education</w:t>
      </w:r>
      <w:r w:rsidR="005853A9">
        <w:rPr>
          <w:kern w:val="0"/>
        </w:rPr>
        <w:t xml:space="preserve"> and </w:t>
      </w:r>
      <w:r>
        <w:rPr>
          <w:kern w:val="0"/>
        </w:rPr>
        <w:t>society as a whole.</w:t>
      </w:r>
    </w:p>
    <w:p w:rsidR="0051774E" w:rsidRDefault="0051774E" w:rsidP="0051774E">
      <w:pPr>
        <w:pStyle w:val="a3"/>
        <w:rPr>
          <w:kern w:val="0"/>
        </w:rPr>
      </w:pPr>
      <w:r>
        <w:rPr>
          <w:kern w:val="0"/>
        </w:rPr>
        <w:t xml:space="preserve">Keywords: Academic Publishing, Analysis, Anglo-American Hegemony, Area, Belgium, Bibliometrics, Complete, Database, Databases, Education, English, Field, Globalization, Human Geography, Impact Factors, Journal, Journals, Language, Languages, Place, Pressure, Publication, Publishing, Quantitative Analysis, Research, Science, Scopus, Spaces,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p>
    <w:p w:rsidR="002E57B2" w:rsidRDefault="002E57B2" w:rsidP="002E57B2">
      <w:pPr>
        <w:pStyle w:val="a3"/>
        <w:rPr>
          <w:kern w:val="0"/>
        </w:rPr>
      </w:pPr>
      <w:r>
        <w:rPr>
          <w:rFonts w:hint="eastAsia"/>
          <w:kern w:val="0"/>
        </w:rPr>
        <w:t xml:space="preserve">? </w:t>
      </w:r>
      <w:r>
        <w:rPr>
          <w:kern w:val="0"/>
        </w:rPr>
        <w:t>Bajerski, A. (2011</w:t>
      </w:r>
      <w:r w:rsidR="00F42EAC">
        <w:rPr>
          <w:kern w:val="0"/>
        </w:rPr>
        <w:t>), The</w:t>
      </w:r>
      <w:r w:rsidR="003A1917">
        <w:rPr>
          <w:kern w:val="0"/>
        </w:rPr>
        <w:t xml:space="preserve"> </w:t>
      </w:r>
      <w:r>
        <w:rPr>
          <w:kern w:val="0"/>
        </w:rPr>
        <w:t>role</w:t>
      </w:r>
      <w:r w:rsidR="00427468">
        <w:rPr>
          <w:kern w:val="0"/>
        </w:rPr>
        <w:t xml:space="preserve"> of </w:t>
      </w:r>
      <w:r>
        <w:rPr>
          <w:kern w:val="0"/>
        </w:rPr>
        <w:t>French, German</w:t>
      </w:r>
      <w:r w:rsidR="005853A9">
        <w:rPr>
          <w:kern w:val="0"/>
        </w:rPr>
        <w:t xml:space="preserve"> and </w:t>
      </w:r>
      <w:r>
        <w:rPr>
          <w:kern w:val="0"/>
        </w:rPr>
        <w:t xml:space="preserve">Spanish journals in scientific communication in international geography. </w:t>
      </w:r>
      <w:r>
        <w:rPr>
          <w:i/>
          <w:iCs/>
          <w:kern w:val="0"/>
        </w:rPr>
        <w:t>Area</w:t>
      </w:r>
      <w:r>
        <w:rPr>
          <w:kern w:val="0"/>
        </w:rPr>
        <w:t xml:space="preserve">, </w:t>
      </w:r>
      <w:r>
        <w:rPr>
          <w:b/>
          <w:bCs/>
          <w:kern w:val="0"/>
        </w:rPr>
        <w:t>43</w:t>
      </w:r>
      <w:r>
        <w:rPr>
          <w:kern w:val="0"/>
        </w:rPr>
        <w:t xml:space="preserve"> (3), 305-313.</w:t>
      </w:r>
    </w:p>
    <w:p w:rsidR="002E57B2" w:rsidRDefault="002E57B2" w:rsidP="002E57B2">
      <w:pPr>
        <w:pStyle w:val="a3"/>
        <w:rPr>
          <w:kern w:val="0"/>
        </w:rPr>
      </w:pPr>
      <w:r>
        <w:rPr>
          <w:rFonts w:hint="eastAsia"/>
          <w:kern w:val="0"/>
        </w:rPr>
        <w:t xml:space="preserve">Full Text: </w:t>
      </w:r>
      <w:hyperlink r:id="rId1212" w:history="1">
        <w:r w:rsidRPr="002E57B2">
          <w:rPr>
            <w:rStyle w:val="a5"/>
            <w:kern w:val="0"/>
          </w:rPr>
          <w:t>2011\Area43, 305.pdf</w:t>
        </w:r>
      </w:hyperlink>
    </w:p>
    <w:p w:rsidR="002E57B2" w:rsidRDefault="002E57B2" w:rsidP="002E57B2">
      <w:pPr>
        <w:pStyle w:val="a3"/>
        <w:rPr>
          <w:kern w:val="0"/>
        </w:rPr>
      </w:pPr>
      <w:r>
        <w:rPr>
          <w:kern w:val="0"/>
        </w:rPr>
        <w:t>Abstract:</w:t>
      </w:r>
      <w:r w:rsidR="003A1917">
        <w:rPr>
          <w:kern w:val="0"/>
        </w:rPr>
        <w:t xml:space="preserve"> the </w:t>
      </w:r>
      <w:r>
        <w:rPr>
          <w:kern w:val="0"/>
        </w:rPr>
        <w:t>majority</w:t>
      </w:r>
      <w:r w:rsidR="00427468">
        <w:rPr>
          <w:kern w:val="0"/>
        </w:rPr>
        <w:t xml:space="preserve"> of </w:t>
      </w:r>
      <w:r>
        <w:rPr>
          <w:kern w:val="0"/>
        </w:rPr>
        <w:t>research to date on scientific communication in geography has concerned</w:t>
      </w:r>
      <w:r w:rsidR="003A1917">
        <w:rPr>
          <w:kern w:val="0"/>
        </w:rPr>
        <w:t xml:space="preserve"> the </w:t>
      </w:r>
      <w:r>
        <w:rPr>
          <w:kern w:val="0"/>
        </w:rPr>
        <w:t>English-language flow</w:t>
      </w:r>
      <w:r w:rsidR="00427468">
        <w:rPr>
          <w:kern w:val="0"/>
        </w:rPr>
        <w:t xml:space="preserve"> of </w:t>
      </w:r>
      <w:r>
        <w:rPr>
          <w:kern w:val="0"/>
        </w:rPr>
        <w:t>scientific information in geographic circles, almost entirely ignoring</w:t>
      </w:r>
      <w:r w:rsidR="003A1917">
        <w:rPr>
          <w:kern w:val="0"/>
        </w:rPr>
        <w:t xml:space="preserve"> the </w:t>
      </w:r>
      <w:r>
        <w:rPr>
          <w:kern w:val="0"/>
        </w:rPr>
        <w:t>question</w:t>
      </w:r>
      <w:r w:rsidR="00427468">
        <w:rPr>
          <w:kern w:val="0"/>
        </w:rPr>
        <w:t xml:space="preserve"> of </w:t>
      </w:r>
      <w:r>
        <w:rPr>
          <w:kern w:val="0"/>
        </w:rPr>
        <w:t>journals published in other languages</w:t>
      </w:r>
      <w:r w:rsidR="00A37C1D">
        <w:rPr>
          <w:kern w:val="0"/>
        </w:rPr>
        <w:t>. The</w:t>
      </w:r>
      <w:r w:rsidR="003A1917">
        <w:rPr>
          <w:kern w:val="0"/>
        </w:rPr>
        <w:t xml:space="preserve"> </w:t>
      </w:r>
      <w:r>
        <w:rPr>
          <w:kern w:val="0"/>
        </w:rPr>
        <w:t>aim</w:t>
      </w:r>
      <w:r w:rsidR="00427468">
        <w:rPr>
          <w:kern w:val="0"/>
        </w:rPr>
        <w:t xml:space="preserve"> of </w:t>
      </w:r>
      <w:r>
        <w:rPr>
          <w:kern w:val="0"/>
        </w:rPr>
        <w:t>this article is to assess</w:t>
      </w:r>
      <w:r w:rsidR="003A1917">
        <w:rPr>
          <w:kern w:val="0"/>
        </w:rPr>
        <w:t xml:space="preserve"> the </w:t>
      </w:r>
      <w:r>
        <w:rPr>
          <w:kern w:val="0"/>
        </w:rPr>
        <w:t>contribution</w:t>
      </w:r>
      <w:r w:rsidR="00427468">
        <w:rPr>
          <w:kern w:val="0"/>
        </w:rPr>
        <w:t xml:space="preserve"> of </w:t>
      </w:r>
      <w:r>
        <w:rPr>
          <w:kern w:val="0"/>
        </w:rPr>
        <w:t>French, German</w:t>
      </w:r>
      <w:r w:rsidR="005853A9">
        <w:rPr>
          <w:kern w:val="0"/>
        </w:rPr>
        <w:t xml:space="preserve"> and </w:t>
      </w:r>
      <w:r>
        <w:rPr>
          <w:kern w:val="0"/>
        </w:rPr>
        <w:t>Spanish journals to this flow</w:t>
      </w:r>
      <w:r w:rsidR="00A37C1D">
        <w:rPr>
          <w:kern w:val="0"/>
        </w:rPr>
        <w:t>. The</w:t>
      </w:r>
      <w:r w:rsidR="003A1917">
        <w:rPr>
          <w:kern w:val="0"/>
        </w:rPr>
        <w:t xml:space="preserve"> </w:t>
      </w:r>
      <w:r>
        <w:rPr>
          <w:kern w:val="0"/>
        </w:rPr>
        <w:t>research was based on an analysis</w:t>
      </w:r>
      <w:r w:rsidR="00427468">
        <w:rPr>
          <w:kern w:val="0"/>
        </w:rPr>
        <w:t xml:space="preserve"> of </w:t>
      </w:r>
      <w:r w:rsidR="003A1917">
        <w:rPr>
          <w:kern w:val="0"/>
        </w:rPr>
        <w:t xml:space="preserve">the </w:t>
      </w:r>
      <w:r>
        <w:rPr>
          <w:kern w:val="0"/>
        </w:rPr>
        <w:t>countries</w:t>
      </w:r>
      <w:r w:rsidR="00427468">
        <w:rPr>
          <w:kern w:val="0"/>
        </w:rPr>
        <w:t xml:space="preserve"> of </w:t>
      </w:r>
      <w:r>
        <w:rPr>
          <w:kern w:val="0"/>
        </w:rPr>
        <w:t>origin</w:t>
      </w:r>
      <w:r w:rsidR="00427468">
        <w:rPr>
          <w:kern w:val="0"/>
        </w:rPr>
        <w:t xml:space="preserve"> of </w:t>
      </w:r>
      <w:r w:rsidR="003A1917">
        <w:rPr>
          <w:kern w:val="0"/>
        </w:rPr>
        <w:t xml:space="preserve">the </w:t>
      </w:r>
      <w:r>
        <w:rPr>
          <w:kern w:val="0"/>
        </w:rPr>
        <w:t>authors</w:t>
      </w:r>
      <w:r w:rsidR="00427468">
        <w:rPr>
          <w:kern w:val="0"/>
        </w:rPr>
        <w:t xml:space="preserve"> of </w:t>
      </w:r>
      <w:r>
        <w:rPr>
          <w:kern w:val="0"/>
        </w:rPr>
        <w:t>articles</w:t>
      </w:r>
      <w:r w:rsidR="005853A9">
        <w:rPr>
          <w:kern w:val="0"/>
        </w:rPr>
        <w:t xml:space="preserve"> and </w:t>
      </w:r>
      <w:r>
        <w:rPr>
          <w:kern w:val="0"/>
        </w:rPr>
        <w:t>authors citing them. Information came from</w:t>
      </w:r>
      <w:r w:rsidR="003A1917">
        <w:rPr>
          <w:kern w:val="0"/>
        </w:rPr>
        <w:t xml:space="preserve"> the </w:t>
      </w:r>
      <w:r>
        <w:rPr>
          <w:kern w:val="0"/>
        </w:rPr>
        <w:t>Scopus database</w:t>
      </w:r>
      <w:r w:rsidR="00A37C1D">
        <w:rPr>
          <w:kern w:val="0"/>
        </w:rPr>
        <w:t>. The</w:t>
      </w:r>
      <w:r w:rsidR="003A1917">
        <w:rPr>
          <w:kern w:val="0"/>
        </w:rPr>
        <w:t xml:space="preserve"> </w:t>
      </w:r>
      <w:r>
        <w:rPr>
          <w:kern w:val="0"/>
        </w:rPr>
        <w:t>analysis shows that French, German</w:t>
      </w:r>
      <w:r w:rsidR="005853A9">
        <w:rPr>
          <w:kern w:val="0"/>
        </w:rPr>
        <w:t xml:space="preserve"> and </w:t>
      </w:r>
      <w:r>
        <w:rPr>
          <w:kern w:val="0"/>
        </w:rPr>
        <w:t>Spanish geographical journals are used almost exclusively for scientific communication within their own country</w:t>
      </w:r>
      <w:r w:rsidR="005853A9">
        <w:rPr>
          <w:kern w:val="0"/>
        </w:rPr>
        <w:t xml:space="preserve"> and </w:t>
      </w:r>
      <w:r>
        <w:rPr>
          <w:kern w:val="0"/>
        </w:rPr>
        <w:t>within their own language</w:t>
      </w:r>
      <w:r w:rsidR="00A37C1D">
        <w:rPr>
          <w:kern w:val="0"/>
        </w:rPr>
        <w:t>. The</w:t>
      </w:r>
      <w:r>
        <w:rPr>
          <w:kern w:val="0"/>
        </w:rPr>
        <w:t>y have an even higher level</w:t>
      </w:r>
      <w:r w:rsidR="00427468">
        <w:rPr>
          <w:kern w:val="0"/>
        </w:rPr>
        <w:t xml:space="preserve"> of </w:t>
      </w:r>
      <w:r w:rsidR="00700038">
        <w:rPr>
          <w:kern w:val="0"/>
        </w:rPr>
        <w:t>‘</w:t>
      </w:r>
      <w:r>
        <w:rPr>
          <w:kern w:val="0"/>
        </w:rPr>
        <w:t>closedness</w:t>
      </w:r>
      <w:r w:rsidR="00700038">
        <w:rPr>
          <w:kern w:val="0"/>
        </w:rPr>
        <w:t>’</w:t>
      </w:r>
      <w:r>
        <w:rPr>
          <w:kern w:val="0"/>
        </w:rPr>
        <w:t xml:space="preserve"> than</w:t>
      </w:r>
      <w:r w:rsidR="003A1917">
        <w:rPr>
          <w:kern w:val="0"/>
        </w:rPr>
        <w:t xml:space="preserve"> the </w:t>
      </w:r>
      <w:r>
        <w:rPr>
          <w:kern w:val="0"/>
        </w:rPr>
        <w:t>English-language journals published in</w:t>
      </w:r>
      <w:r w:rsidR="003A1917">
        <w:rPr>
          <w:kern w:val="0"/>
        </w:rPr>
        <w:t xml:space="preserve"> the </w:t>
      </w:r>
      <w:r>
        <w:rPr>
          <w:kern w:val="0"/>
        </w:rPr>
        <w:t>Anglo-American countries, so they cannot at present be regarded as international media</w:t>
      </w:r>
      <w:r w:rsidR="00427468">
        <w:rPr>
          <w:kern w:val="0"/>
        </w:rPr>
        <w:t xml:space="preserve"> of </w:t>
      </w:r>
      <w:r>
        <w:rPr>
          <w:kern w:val="0"/>
        </w:rPr>
        <w:t>scientific communication in geography. A detailed analysis</w:t>
      </w:r>
      <w:r w:rsidR="00427468">
        <w:rPr>
          <w:kern w:val="0"/>
        </w:rPr>
        <w:t xml:space="preserve"> of </w:t>
      </w:r>
      <w:r w:rsidR="003A1917">
        <w:rPr>
          <w:kern w:val="0"/>
        </w:rPr>
        <w:t xml:space="preserve">the </w:t>
      </w:r>
      <w:r>
        <w:rPr>
          <w:kern w:val="0"/>
        </w:rPr>
        <w:t>research results leads to</w:t>
      </w:r>
      <w:r w:rsidR="003A1917">
        <w:rPr>
          <w:kern w:val="0"/>
        </w:rPr>
        <w:t xml:space="preserve"> the </w:t>
      </w:r>
      <w:r>
        <w:rPr>
          <w:kern w:val="0"/>
        </w:rPr>
        <w:t>conclusion that at present</w:t>
      </w:r>
      <w:r w:rsidR="003A1917">
        <w:rPr>
          <w:kern w:val="0"/>
        </w:rPr>
        <w:t xml:space="preserve"> the </w:t>
      </w:r>
      <w:r>
        <w:rPr>
          <w:kern w:val="0"/>
        </w:rPr>
        <w:t>main barrier to</w:t>
      </w:r>
      <w:r w:rsidR="003A1917">
        <w:rPr>
          <w:kern w:val="0"/>
        </w:rPr>
        <w:t xml:space="preserve"> the </w:t>
      </w:r>
      <w:r>
        <w:rPr>
          <w:kern w:val="0"/>
        </w:rPr>
        <w:t>internationalisation</w:t>
      </w:r>
      <w:r w:rsidR="00427468">
        <w:rPr>
          <w:kern w:val="0"/>
        </w:rPr>
        <w:t xml:space="preserve"> of </w:t>
      </w:r>
      <w:r>
        <w:rPr>
          <w:kern w:val="0"/>
        </w:rPr>
        <w:t>non-Anglophone geographical journals is probably not</w:t>
      </w:r>
      <w:r w:rsidR="003A1917">
        <w:rPr>
          <w:kern w:val="0"/>
        </w:rPr>
        <w:t xml:space="preserve"> the </w:t>
      </w:r>
      <w:r>
        <w:rPr>
          <w:kern w:val="0"/>
        </w:rPr>
        <w:t>fact that they publish articles in national languages (French, German or Spanish). This situation is explained by two factors</w:t>
      </w:r>
      <w:r w:rsidR="00A37C1D">
        <w:rPr>
          <w:kern w:val="0"/>
        </w:rPr>
        <w:t>. The</w:t>
      </w:r>
      <w:r w:rsidR="003A1917">
        <w:rPr>
          <w:kern w:val="0"/>
        </w:rPr>
        <w:t xml:space="preserve"> </w:t>
      </w:r>
      <w:r>
        <w:rPr>
          <w:kern w:val="0"/>
        </w:rPr>
        <w:t xml:space="preserve">first is </w:t>
      </w:r>
      <w:r>
        <w:rPr>
          <w:kern w:val="0"/>
        </w:rPr>
        <w:lastRenderedPageBreak/>
        <w:t>symbolic, while</w:t>
      </w:r>
      <w:r w:rsidR="003A1917">
        <w:rPr>
          <w:kern w:val="0"/>
        </w:rPr>
        <w:t xml:space="preserve"> the </w:t>
      </w:r>
      <w:r>
        <w:rPr>
          <w:kern w:val="0"/>
        </w:rPr>
        <w:t>second is</w:t>
      </w:r>
      <w:r w:rsidR="00427468">
        <w:rPr>
          <w:kern w:val="0"/>
        </w:rPr>
        <w:t xml:space="preserve"> of </w:t>
      </w:r>
      <w:r>
        <w:rPr>
          <w:kern w:val="0"/>
        </w:rPr>
        <w:t>an organisational</w:t>
      </w:r>
      <w:r w:rsidR="005853A9">
        <w:rPr>
          <w:kern w:val="0"/>
        </w:rPr>
        <w:t xml:space="preserve"> and </w:t>
      </w:r>
      <w:r>
        <w:rPr>
          <w:kern w:val="0"/>
        </w:rPr>
        <w:t>economic nature.</w:t>
      </w:r>
    </w:p>
    <w:p w:rsidR="002E57B2" w:rsidRDefault="002E57B2" w:rsidP="002E57B2">
      <w:pPr>
        <w:pStyle w:val="a3"/>
        <w:rPr>
          <w:kern w:val="0"/>
        </w:rPr>
      </w:pPr>
      <w:r>
        <w:rPr>
          <w:kern w:val="0"/>
        </w:rPr>
        <w:t>Keywords: Anglo-American, Anglo-American Domination, Authors, Bibliometric Method, Contribution, English, Europe, Europe, Geographical Journals, Globalization, Hegemony, Information, International Geography, Internationalisation, Journals, Language, Praxis, Research, Scientific Communication, Scientific Information, Scopus, Spaces</w:t>
      </w:r>
    </w:p>
    <w:p w:rsidR="00B21266" w:rsidRDefault="00B21266" w:rsidP="00B21266">
      <w:pPr>
        <w:pStyle w:val="a3"/>
        <w:rPr>
          <w:kern w:val="0"/>
        </w:rPr>
      </w:pPr>
      <w:r>
        <w:rPr>
          <w:rFonts w:hint="eastAsia"/>
          <w:kern w:val="0"/>
        </w:rPr>
        <w:t xml:space="preserve">? </w:t>
      </w:r>
      <w:r>
        <w:rPr>
          <w:kern w:val="0"/>
        </w:rPr>
        <w:t>Burgoine, T., Hopkins, P., Rech, M.F.</w:t>
      </w:r>
      <w:r w:rsidR="005853A9">
        <w:rPr>
          <w:kern w:val="0"/>
        </w:rPr>
        <w:t xml:space="preserve"> and </w:t>
      </w:r>
      <w:r>
        <w:rPr>
          <w:kern w:val="0"/>
        </w:rPr>
        <w:t xml:space="preserve">Zapata, G.P. (2011), </w:t>
      </w:r>
      <w:r w:rsidR="00700038">
        <w:rPr>
          <w:kern w:val="0"/>
        </w:rPr>
        <w:t>‘</w:t>
      </w:r>
      <w:r>
        <w:rPr>
          <w:kern w:val="0"/>
        </w:rPr>
        <w:t>These kids can</w:t>
      </w:r>
      <w:r w:rsidR="00700038">
        <w:rPr>
          <w:kern w:val="0"/>
        </w:rPr>
        <w:t>’</w:t>
      </w:r>
      <w:r>
        <w:rPr>
          <w:kern w:val="0"/>
        </w:rPr>
        <w:t>t write abstracts</w:t>
      </w:r>
      <w:r w:rsidR="00700038">
        <w:rPr>
          <w:kern w:val="0"/>
        </w:rPr>
        <w:t>’</w:t>
      </w:r>
      <w:r>
        <w:rPr>
          <w:kern w:val="0"/>
        </w:rPr>
        <w:t>: Reflections on a postgraduate writing</w:t>
      </w:r>
      <w:r w:rsidR="005853A9">
        <w:rPr>
          <w:kern w:val="0"/>
        </w:rPr>
        <w:t xml:space="preserve"> and </w:t>
      </w:r>
      <w:r>
        <w:rPr>
          <w:kern w:val="0"/>
        </w:rPr>
        <w:t xml:space="preserve">publishing workshop. </w:t>
      </w:r>
      <w:r>
        <w:rPr>
          <w:i/>
          <w:iCs/>
          <w:kern w:val="0"/>
        </w:rPr>
        <w:t>Area</w:t>
      </w:r>
      <w:r>
        <w:rPr>
          <w:kern w:val="0"/>
        </w:rPr>
        <w:t xml:space="preserve">, </w:t>
      </w:r>
      <w:r>
        <w:rPr>
          <w:b/>
          <w:bCs/>
          <w:kern w:val="0"/>
        </w:rPr>
        <w:t>43</w:t>
      </w:r>
      <w:r>
        <w:rPr>
          <w:kern w:val="0"/>
        </w:rPr>
        <w:t xml:space="preserve"> (4), 463-469.</w:t>
      </w:r>
    </w:p>
    <w:p w:rsidR="00B21266" w:rsidRDefault="00B21266" w:rsidP="00B21266">
      <w:pPr>
        <w:pStyle w:val="a3"/>
        <w:rPr>
          <w:kern w:val="0"/>
        </w:rPr>
      </w:pPr>
      <w:r>
        <w:rPr>
          <w:rFonts w:hint="eastAsia"/>
          <w:kern w:val="0"/>
        </w:rPr>
        <w:t xml:space="preserve">Full Text: </w:t>
      </w:r>
      <w:hyperlink r:id="rId1213" w:history="1">
        <w:r w:rsidRPr="002C05EF">
          <w:rPr>
            <w:rStyle w:val="a5"/>
            <w:kern w:val="0"/>
          </w:rPr>
          <w:t>2011\Area43, 463.pdf</w:t>
        </w:r>
      </w:hyperlink>
    </w:p>
    <w:p w:rsidR="00B21266" w:rsidRDefault="00B21266" w:rsidP="00B21266">
      <w:pPr>
        <w:pStyle w:val="a3"/>
        <w:rPr>
          <w:kern w:val="0"/>
        </w:rPr>
      </w:pPr>
      <w:r>
        <w:rPr>
          <w:kern w:val="0"/>
        </w:rPr>
        <w:t>Abstract: There has been a lack</w:t>
      </w:r>
      <w:r w:rsidR="00427468">
        <w:rPr>
          <w:kern w:val="0"/>
        </w:rPr>
        <w:t xml:space="preserve"> of </w:t>
      </w:r>
      <w:r>
        <w:rPr>
          <w:kern w:val="0"/>
        </w:rPr>
        <w:t>attention given - in both academic literature</w:t>
      </w:r>
      <w:r w:rsidR="005853A9">
        <w:rPr>
          <w:kern w:val="0"/>
        </w:rPr>
        <w:t xml:space="preserve"> and </w:t>
      </w:r>
      <w:r>
        <w:rPr>
          <w:kern w:val="0"/>
        </w:rPr>
        <w:t>in research training - to providing graduate students with</w:t>
      </w:r>
      <w:r w:rsidR="003A1917">
        <w:rPr>
          <w:kern w:val="0"/>
        </w:rPr>
        <w:t xml:space="preserve"> the </w:t>
      </w:r>
      <w:r>
        <w:rPr>
          <w:kern w:val="0"/>
        </w:rPr>
        <w:t>necessary knowledge</w:t>
      </w:r>
      <w:r w:rsidR="005853A9">
        <w:rPr>
          <w:kern w:val="0"/>
        </w:rPr>
        <w:t xml:space="preserve"> and </w:t>
      </w:r>
      <w:r>
        <w:rPr>
          <w:kern w:val="0"/>
        </w:rPr>
        <w:t>skills to write for publication</w:t>
      </w:r>
      <w:r w:rsidR="00A37C1D">
        <w:rPr>
          <w:kern w:val="0"/>
        </w:rPr>
        <w:t>. The</w:t>
      </w:r>
      <w:r w:rsidR="003A1917">
        <w:rPr>
          <w:kern w:val="0"/>
        </w:rPr>
        <w:t xml:space="preserve"> </w:t>
      </w:r>
      <w:r>
        <w:rPr>
          <w:kern w:val="0"/>
        </w:rPr>
        <w:t>aim</w:t>
      </w:r>
      <w:r w:rsidR="00427468">
        <w:rPr>
          <w:kern w:val="0"/>
        </w:rPr>
        <w:t xml:space="preserve"> of </w:t>
      </w:r>
      <w:r>
        <w:rPr>
          <w:kern w:val="0"/>
        </w:rPr>
        <w:t>this article is to explore our experiences</w:t>
      </w:r>
      <w:r w:rsidR="00427468">
        <w:rPr>
          <w:kern w:val="0"/>
        </w:rPr>
        <w:t xml:space="preserve"> of </w:t>
      </w:r>
      <w:r>
        <w:rPr>
          <w:kern w:val="0"/>
        </w:rPr>
        <w:t>participating in a three-day residential postgraduate writing</w:t>
      </w:r>
      <w:r w:rsidR="005853A9">
        <w:rPr>
          <w:kern w:val="0"/>
        </w:rPr>
        <w:t xml:space="preserve"> and </w:t>
      </w:r>
      <w:r>
        <w:rPr>
          <w:kern w:val="0"/>
        </w:rPr>
        <w:t>publishing workshop that was designed to address skills provision in these terms. We reflect upon three specific issues in particular: demystifying</w:t>
      </w:r>
      <w:r w:rsidR="003A1917">
        <w:rPr>
          <w:kern w:val="0"/>
        </w:rPr>
        <w:t xml:space="preserve"> the </w:t>
      </w:r>
      <w:r>
        <w:rPr>
          <w:kern w:val="0"/>
        </w:rPr>
        <w:t>writing</w:t>
      </w:r>
      <w:r w:rsidR="005853A9">
        <w:rPr>
          <w:kern w:val="0"/>
        </w:rPr>
        <w:t xml:space="preserve"> and </w:t>
      </w:r>
      <w:r>
        <w:rPr>
          <w:kern w:val="0"/>
        </w:rPr>
        <w:t>publishing process, being mentored in a multidisciplinary context,</w:t>
      </w:r>
      <w:r w:rsidR="005853A9">
        <w:rPr>
          <w:kern w:val="0"/>
        </w:rPr>
        <w:t xml:space="preserve"> and </w:t>
      </w:r>
      <w:r w:rsidR="003A1917">
        <w:rPr>
          <w:kern w:val="0"/>
        </w:rPr>
        <w:t xml:space="preserve">the </w:t>
      </w:r>
      <w:r>
        <w:rPr>
          <w:kern w:val="0"/>
        </w:rPr>
        <w:t>politics</w:t>
      </w:r>
      <w:r w:rsidR="005853A9">
        <w:rPr>
          <w:kern w:val="0"/>
        </w:rPr>
        <w:t xml:space="preserve"> and </w:t>
      </w:r>
      <w:r>
        <w:rPr>
          <w:kern w:val="0"/>
        </w:rPr>
        <w:t>practices</w:t>
      </w:r>
      <w:r w:rsidR="00427468">
        <w:rPr>
          <w:kern w:val="0"/>
        </w:rPr>
        <w:t xml:space="preserve"> of </w:t>
      </w:r>
      <w:r>
        <w:rPr>
          <w:kern w:val="0"/>
        </w:rPr>
        <w:t>co-authorship</w:t>
      </w:r>
      <w:r w:rsidR="00A37C1D">
        <w:rPr>
          <w:kern w:val="0"/>
        </w:rPr>
        <w:t>. The</w:t>
      </w:r>
      <w:r w:rsidR="003A1917">
        <w:rPr>
          <w:kern w:val="0"/>
        </w:rPr>
        <w:t xml:space="preserve"> </w:t>
      </w:r>
      <w:r>
        <w:rPr>
          <w:kern w:val="0"/>
        </w:rPr>
        <w:t>benefits</w:t>
      </w:r>
      <w:r w:rsidR="00427468">
        <w:rPr>
          <w:kern w:val="0"/>
        </w:rPr>
        <w:t xml:space="preserve"> of </w:t>
      </w:r>
      <w:r>
        <w:rPr>
          <w:kern w:val="0"/>
        </w:rPr>
        <w:t>our participation in this workshop included increased confidence in writing, gaining</w:t>
      </w:r>
      <w:r w:rsidR="003A1917">
        <w:rPr>
          <w:kern w:val="0"/>
        </w:rPr>
        <w:t xml:space="preserve"> the </w:t>
      </w:r>
      <w:r>
        <w:rPr>
          <w:kern w:val="0"/>
        </w:rPr>
        <w:t>tools for navigating</w:t>
      </w:r>
      <w:r w:rsidR="003A1917">
        <w:rPr>
          <w:kern w:val="0"/>
        </w:rPr>
        <w:t xml:space="preserve"> the </w:t>
      </w:r>
      <w:r>
        <w:rPr>
          <w:kern w:val="0"/>
        </w:rPr>
        <w:t>publishing process,</w:t>
      </w:r>
      <w:r w:rsidR="005853A9">
        <w:rPr>
          <w:kern w:val="0"/>
        </w:rPr>
        <w:t xml:space="preserve"> and </w:t>
      </w:r>
      <w:r>
        <w:rPr>
          <w:kern w:val="0"/>
        </w:rPr>
        <w:t>personal</w:t>
      </w:r>
      <w:r w:rsidR="005853A9">
        <w:rPr>
          <w:kern w:val="0"/>
        </w:rPr>
        <w:t xml:space="preserve"> and </w:t>
      </w:r>
      <w:r>
        <w:rPr>
          <w:kern w:val="0"/>
        </w:rPr>
        <w:t>professional development as writers</w:t>
      </w:r>
      <w:r w:rsidR="005853A9">
        <w:rPr>
          <w:kern w:val="0"/>
        </w:rPr>
        <w:t xml:space="preserve"> and </w:t>
      </w:r>
      <w:r>
        <w:rPr>
          <w:kern w:val="0"/>
        </w:rPr>
        <w:t>scholars. We conclude by proposing that residential writing</w:t>
      </w:r>
      <w:r w:rsidR="005853A9">
        <w:rPr>
          <w:kern w:val="0"/>
        </w:rPr>
        <w:t xml:space="preserve"> and </w:t>
      </w:r>
      <w:r>
        <w:rPr>
          <w:kern w:val="0"/>
        </w:rPr>
        <w:t>publishing workshops might usefully be made available to a broader range</w:t>
      </w:r>
      <w:r w:rsidR="00427468">
        <w:rPr>
          <w:kern w:val="0"/>
        </w:rPr>
        <w:t xml:space="preserve"> of </w:t>
      </w:r>
      <w:r>
        <w:rPr>
          <w:kern w:val="0"/>
        </w:rPr>
        <w:t>graduate students.</w:t>
      </w:r>
    </w:p>
    <w:p w:rsidR="00B21266" w:rsidRDefault="00B21266" w:rsidP="00B21266">
      <w:pPr>
        <w:pStyle w:val="a3"/>
        <w:rPr>
          <w:kern w:val="0"/>
        </w:rPr>
      </w:pPr>
      <w:r>
        <w:rPr>
          <w:kern w:val="0"/>
        </w:rPr>
        <w:t>Keywords: Attention, Author Order, Co-Authorship, Coauthorship, Development, Doctoral Students, Graduate Students, Knowledge, Literature, Outcomes, Politics, Professional, Program, Publication, Publication Ethics, Publishing, Research, Research Training, Residential, Students, Training</w:t>
      </w:r>
      <w:r w:rsidR="00D5664A">
        <w:rPr>
          <w:kern w:val="0"/>
        </w:rPr>
        <w:t>, UK,</w:t>
      </w:r>
      <w:r>
        <w:rPr>
          <w:kern w:val="0"/>
        </w:rPr>
        <w:t xml:space="preserve"> Writing</w:t>
      </w:r>
    </w:p>
    <w:p w:rsidR="00332567" w:rsidRPr="001A3D2B" w:rsidRDefault="00332567" w:rsidP="00332567">
      <w:pPr>
        <w:pStyle w:val="1"/>
      </w:pPr>
      <w:r w:rsidRPr="001A3D2B">
        <w:br w:type="page"/>
      </w:r>
      <w:bookmarkStart w:id="617" w:name="_Toc420814603"/>
      <w:r w:rsidRPr="001A3D2B">
        <w:lastRenderedPageBreak/>
        <w:t xml:space="preserve">Title: </w:t>
      </w:r>
      <w:r w:rsidR="002E57B2" w:rsidRPr="002E57B2">
        <w:rPr>
          <w:szCs w:val="24"/>
        </w:rPr>
        <w:t>Areth</w:t>
      </w:r>
      <w:r w:rsidR="00D5664A">
        <w:rPr>
          <w:szCs w:val="24"/>
        </w:rPr>
        <w:t>USA</w:t>
      </w:r>
      <w:bookmarkEnd w:id="617"/>
    </w:p>
    <w:p w:rsidR="00332567" w:rsidRPr="001A3D2B" w:rsidRDefault="00332567" w:rsidP="00332567">
      <w:pPr>
        <w:pStyle w:val="12"/>
      </w:pPr>
      <w:r w:rsidRPr="001A3D2B">
        <w:t xml:space="preserve">Full Journal Title: </w:t>
      </w:r>
      <w:r w:rsidR="002E57B2" w:rsidRPr="002E57B2">
        <w:rPr>
          <w:iCs/>
          <w:kern w:val="0"/>
        </w:rPr>
        <w:t>Areth</w:t>
      </w:r>
      <w:r w:rsidR="00D5664A">
        <w:rPr>
          <w:iCs/>
          <w:kern w:val="0"/>
        </w:rPr>
        <w:t>USA</w:t>
      </w:r>
    </w:p>
    <w:p w:rsidR="00332567" w:rsidRPr="001A3D2B" w:rsidRDefault="00332567" w:rsidP="00332567">
      <w:pPr>
        <w:pStyle w:val="12"/>
      </w:pPr>
      <w:r w:rsidRPr="001A3D2B">
        <w:t xml:space="preserve">ISO Abbreviated Title: </w:t>
      </w:r>
      <w:r w:rsidR="002E57B2" w:rsidRPr="002E57B2">
        <w:rPr>
          <w:iCs/>
          <w:kern w:val="0"/>
        </w:rPr>
        <w:t>Areth</w:t>
      </w:r>
      <w:r w:rsidR="00D5664A">
        <w:rPr>
          <w:iCs/>
          <w:kern w:val="0"/>
        </w:rPr>
        <w:t>USA</w:t>
      </w:r>
    </w:p>
    <w:p w:rsidR="00332567" w:rsidRPr="001A3D2B" w:rsidRDefault="00332567" w:rsidP="00332567">
      <w:pPr>
        <w:pStyle w:val="12"/>
      </w:pPr>
      <w:r w:rsidRPr="001A3D2B">
        <w:t xml:space="preserve">JCR Abbreviated Title: </w:t>
      </w:r>
      <w:r w:rsidR="002E57B2" w:rsidRPr="002E57B2">
        <w:rPr>
          <w:iCs/>
          <w:kern w:val="0"/>
        </w:rPr>
        <w:t>Areth</w:t>
      </w:r>
      <w:r w:rsidR="00D5664A">
        <w:rPr>
          <w:iCs/>
          <w:kern w:val="0"/>
        </w:rPr>
        <w:t>USA</w:t>
      </w:r>
    </w:p>
    <w:p w:rsidR="00332567" w:rsidRPr="001A3D2B" w:rsidRDefault="00332567" w:rsidP="00332567">
      <w:pPr>
        <w:pStyle w:val="12"/>
      </w:pPr>
      <w:r w:rsidRPr="001A3D2B">
        <w:t xml:space="preserve">ISSN: </w:t>
      </w:r>
    </w:p>
    <w:p w:rsidR="00332567" w:rsidRPr="001A3D2B" w:rsidRDefault="00332567" w:rsidP="00332567">
      <w:pPr>
        <w:pStyle w:val="12"/>
      </w:pPr>
      <w:r w:rsidRPr="001A3D2B">
        <w:t xml:space="preserve">Issues/Year: </w:t>
      </w:r>
    </w:p>
    <w:p w:rsidR="00332567" w:rsidRPr="001A3D2B" w:rsidRDefault="00332567" w:rsidP="00332567">
      <w:pPr>
        <w:pStyle w:val="12"/>
      </w:pPr>
      <w:r w:rsidRPr="001A3D2B">
        <w:t xml:space="preserve">Journal Country/Territory: </w:t>
      </w:r>
    </w:p>
    <w:p w:rsidR="00332567" w:rsidRPr="001A3D2B" w:rsidRDefault="00332567" w:rsidP="00332567">
      <w:pPr>
        <w:pStyle w:val="12"/>
      </w:pPr>
      <w:r w:rsidRPr="001A3D2B">
        <w:t xml:space="preserve">Language: </w:t>
      </w:r>
    </w:p>
    <w:p w:rsidR="00332567" w:rsidRPr="001A3D2B" w:rsidRDefault="00332567" w:rsidP="00332567">
      <w:pPr>
        <w:pStyle w:val="12"/>
      </w:pPr>
      <w:r w:rsidRPr="001A3D2B">
        <w:t xml:space="preserve">Publisher: </w:t>
      </w:r>
    </w:p>
    <w:p w:rsidR="00332567" w:rsidRPr="001A3D2B" w:rsidRDefault="00332567" w:rsidP="00332567">
      <w:pPr>
        <w:pStyle w:val="12"/>
      </w:pPr>
      <w:r w:rsidRPr="001A3D2B">
        <w:t xml:space="preserve">Publisher Address: </w:t>
      </w:r>
    </w:p>
    <w:p w:rsidR="00332567" w:rsidRPr="001A3D2B" w:rsidRDefault="00332567" w:rsidP="00332567">
      <w:pPr>
        <w:pStyle w:val="12"/>
      </w:pPr>
      <w:r w:rsidRPr="001A3D2B">
        <w:t>Subject Categories:</w:t>
      </w:r>
    </w:p>
    <w:p w:rsidR="00332567" w:rsidRDefault="00332567" w:rsidP="00332567">
      <w:pPr>
        <w:pStyle w:val="a3"/>
        <w:rPr>
          <w:kern w:val="0"/>
          <w:szCs w:val="24"/>
        </w:rPr>
      </w:pPr>
      <w:r>
        <w:rPr>
          <w:kern w:val="0"/>
          <w:szCs w:val="24"/>
        </w:rPr>
        <w:t>? McGill, S. (2010), Plagiarism or imitation?</w:t>
      </w:r>
      <w:r w:rsidR="003A1917">
        <w:rPr>
          <w:kern w:val="0"/>
          <w:szCs w:val="24"/>
        </w:rPr>
        <w:t xml:space="preserve"> the </w:t>
      </w:r>
      <w:r>
        <w:rPr>
          <w:kern w:val="0"/>
          <w:szCs w:val="24"/>
        </w:rPr>
        <w:t>case</w:t>
      </w:r>
      <w:r w:rsidR="00427468">
        <w:rPr>
          <w:kern w:val="0"/>
          <w:szCs w:val="24"/>
        </w:rPr>
        <w:t xml:space="preserve"> of </w:t>
      </w:r>
      <w:r>
        <w:rPr>
          <w:kern w:val="0"/>
          <w:szCs w:val="24"/>
        </w:rPr>
        <w:t>Abronius Silo in Seneca</w:t>
      </w:r>
      <w:r w:rsidR="003A1917">
        <w:rPr>
          <w:kern w:val="0"/>
          <w:szCs w:val="24"/>
        </w:rPr>
        <w:t xml:space="preserve"> the </w:t>
      </w:r>
      <w:r>
        <w:rPr>
          <w:kern w:val="0"/>
          <w:szCs w:val="24"/>
        </w:rPr>
        <w:t>elder</w:t>
      </w:r>
      <w:r w:rsidR="00700038">
        <w:rPr>
          <w:kern w:val="0"/>
          <w:szCs w:val="24"/>
        </w:rPr>
        <w:t>’</w:t>
      </w:r>
      <w:r w:rsidR="00C13DDC">
        <w:rPr>
          <w:kern w:val="0"/>
          <w:szCs w:val="24"/>
        </w:rPr>
        <w:t>s</w:t>
      </w:r>
      <w:r>
        <w:rPr>
          <w:kern w:val="0"/>
          <w:szCs w:val="24"/>
        </w:rPr>
        <w:t xml:space="preserve"> </w:t>
      </w:r>
      <w:r w:rsidRPr="00332567">
        <w:rPr>
          <w:i/>
          <w:kern w:val="0"/>
          <w:szCs w:val="24"/>
        </w:rPr>
        <w:t>Suasoriae</w:t>
      </w:r>
      <w:r>
        <w:rPr>
          <w:kern w:val="0"/>
          <w:szCs w:val="24"/>
        </w:rPr>
        <w:t xml:space="preserve"> 2.19-20. </w:t>
      </w:r>
      <w:r w:rsidRPr="002E57B2">
        <w:rPr>
          <w:i/>
          <w:iCs/>
          <w:kern w:val="0"/>
          <w:szCs w:val="24"/>
        </w:rPr>
        <w:t>Areth</w:t>
      </w:r>
      <w:r w:rsidR="00D5664A">
        <w:rPr>
          <w:i/>
          <w:iCs/>
          <w:kern w:val="0"/>
          <w:szCs w:val="24"/>
        </w:rPr>
        <w:t>USA</w:t>
      </w:r>
      <w:r>
        <w:rPr>
          <w:kern w:val="0"/>
          <w:szCs w:val="24"/>
        </w:rPr>
        <w:t xml:space="preserve">, </w:t>
      </w:r>
      <w:r>
        <w:rPr>
          <w:b/>
          <w:bCs/>
          <w:kern w:val="0"/>
          <w:szCs w:val="24"/>
        </w:rPr>
        <w:t>43</w:t>
      </w:r>
      <w:r>
        <w:rPr>
          <w:kern w:val="0"/>
          <w:szCs w:val="24"/>
        </w:rPr>
        <w:t xml:space="preserve"> (1), 113-131.</w:t>
      </w:r>
    </w:p>
    <w:p w:rsidR="00332567" w:rsidRDefault="00332567" w:rsidP="00332567">
      <w:pPr>
        <w:pStyle w:val="a3"/>
        <w:rPr>
          <w:kern w:val="0"/>
          <w:szCs w:val="24"/>
        </w:rPr>
      </w:pPr>
      <w:r>
        <w:rPr>
          <w:kern w:val="0"/>
          <w:szCs w:val="24"/>
        </w:rPr>
        <w:t>Full</w:t>
      </w:r>
      <w:r>
        <w:rPr>
          <w:rFonts w:hint="eastAsia"/>
          <w:kern w:val="0"/>
          <w:szCs w:val="24"/>
        </w:rPr>
        <w:t xml:space="preserve"> Text: </w:t>
      </w:r>
      <w:hyperlink r:id="rId1214" w:history="1">
        <w:r w:rsidRPr="00883AB7">
          <w:rPr>
            <w:rStyle w:val="a5"/>
            <w:kern w:val="0"/>
            <w:szCs w:val="24"/>
          </w:rPr>
          <w:t>2010\Areth</w:t>
        </w:r>
        <w:r w:rsidR="00D5664A">
          <w:rPr>
            <w:rStyle w:val="a5"/>
            <w:kern w:val="0"/>
            <w:szCs w:val="24"/>
          </w:rPr>
          <w:t>USA</w:t>
        </w:r>
        <w:r w:rsidRPr="00883AB7">
          <w:rPr>
            <w:rStyle w:val="a5"/>
            <w:kern w:val="0"/>
            <w:szCs w:val="24"/>
          </w:rPr>
          <w:t>43, 113.pdf</w:t>
        </w:r>
      </w:hyperlink>
    </w:p>
    <w:p w:rsidR="00332567" w:rsidRDefault="00332567" w:rsidP="00332567">
      <w:pPr>
        <w:pStyle w:val="a3"/>
        <w:rPr>
          <w:kern w:val="0"/>
          <w:szCs w:val="24"/>
        </w:rPr>
      </w:pPr>
      <w:r>
        <w:rPr>
          <w:kern w:val="0"/>
          <w:szCs w:val="24"/>
        </w:rPr>
        <w:t>Keywords: Plagiarism</w:t>
      </w:r>
    </w:p>
    <w:p w:rsidR="00CA4EED" w:rsidRPr="001A3D2B" w:rsidRDefault="00CA4EED" w:rsidP="00CA4EED">
      <w:pPr>
        <w:pStyle w:val="1"/>
      </w:pPr>
      <w:r w:rsidRPr="001A3D2B">
        <w:br w:type="page"/>
      </w:r>
      <w:bookmarkStart w:id="618" w:name="_Toc420814604"/>
      <w:r w:rsidRPr="001A3D2B">
        <w:lastRenderedPageBreak/>
        <w:t xml:space="preserve">Title: </w:t>
      </w:r>
      <w:r w:rsidRPr="00CA4EED">
        <w:t>Argos</w:t>
      </w:r>
      <w:bookmarkEnd w:id="618"/>
    </w:p>
    <w:p w:rsidR="00CA4EED" w:rsidRPr="001A3D2B" w:rsidRDefault="00CA4EED" w:rsidP="00CA4EED">
      <w:pPr>
        <w:pStyle w:val="12"/>
      </w:pPr>
      <w:r w:rsidRPr="001A3D2B">
        <w:t xml:space="preserve">Full Journal Title: </w:t>
      </w:r>
      <w:r w:rsidRPr="00CA4EED">
        <w:rPr>
          <w:iCs/>
        </w:rPr>
        <w:t>Argos</w:t>
      </w:r>
    </w:p>
    <w:p w:rsidR="00CA4EED" w:rsidRPr="001A3D2B" w:rsidRDefault="00CA4EED" w:rsidP="00CA4EED">
      <w:pPr>
        <w:pStyle w:val="12"/>
      </w:pPr>
      <w:r w:rsidRPr="001A3D2B">
        <w:t xml:space="preserve">ISO Abbreviated Title: </w:t>
      </w:r>
      <w:r w:rsidRPr="00CA4EED">
        <w:rPr>
          <w:iCs/>
        </w:rPr>
        <w:t>Argos</w:t>
      </w:r>
    </w:p>
    <w:p w:rsidR="00CA4EED" w:rsidRPr="001A3D2B" w:rsidRDefault="00CA4EED" w:rsidP="00CA4EED">
      <w:pPr>
        <w:pStyle w:val="12"/>
      </w:pPr>
      <w:r w:rsidRPr="001A3D2B">
        <w:t xml:space="preserve">JCR Abbreviated Title: </w:t>
      </w:r>
      <w:r w:rsidRPr="00CA4EED">
        <w:rPr>
          <w:iCs/>
        </w:rPr>
        <w:t>Argos</w:t>
      </w:r>
    </w:p>
    <w:p w:rsidR="00CA4EED" w:rsidRPr="001A3D2B" w:rsidRDefault="00CA4EED" w:rsidP="00CA4EED">
      <w:pPr>
        <w:pStyle w:val="12"/>
      </w:pPr>
      <w:r w:rsidRPr="001A3D2B">
        <w:t xml:space="preserve">ISSN: </w:t>
      </w:r>
    </w:p>
    <w:p w:rsidR="00CA4EED" w:rsidRPr="001A3D2B" w:rsidRDefault="00CA4EED" w:rsidP="00CA4EED">
      <w:pPr>
        <w:pStyle w:val="12"/>
      </w:pPr>
      <w:r w:rsidRPr="001A3D2B">
        <w:t xml:space="preserve">Issues/Year: </w:t>
      </w:r>
    </w:p>
    <w:p w:rsidR="00CA4EED" w:rsidRPr="001A3D2B" w:rsidRDefault="00CA4EED" w:rsidP="00CA4EED">
      <w:pPr>
        <w:pStyle w:val="12"/>
      </w:pPr>
      <w:r w:rsidRPr="001A3D2B">
        <w:t xml:space="preserve">Journal Country/Territory: </w:t>
      </w:r>
    </w:p>
    <w:p w:rsidR="00CA4EED" w:rsidRPr="001A3D2B" w:rsidRDefault="00CA4EED" w:rsidP="00CA4EED">
      <w:pPr>
        <w:pStyle w:val="12"/>
      </w:pPr>
      <w:r w:rsidRPr="001A3D2B">
        <w:t xml:space="preserve">Language: </w:t>
      </w:r>
    </w:p>
    <w:p w:rsidR="00CA4EED" w:rsidRPr="001A3D2B" w:rsidRDefault="00CA4EED" w:rsidP="00CA4EED">
      <w:pPr>
        <w:pStyle w:val="12"/>
      </w:pPr>
      <w:r w:rsidRPr="001A3D2B">
        <w:t xml:space="preserve">Publisher: </w:t>
      </w:r>
    </w:p>
    <w:p w:rsidR="00CA4EED" w:rsidRPr="001A3D2B" w:rsidRDefault="00CA4EED" w:rsidP="00CA4EED">
      <w:pPr>
        <w:pStyle w:val="12"/>
      </w:pPr>
      <w:r w:rsidRPr="001A3D2B">
        <w:t xml:space="preserve">Publisher Address: </w:t>
      </w:r>
    </w:p>
    <w:p w:rsidR="00CA4EED" w:rsidRPr="001A3D2B" w:rsidRDefault="00CA4EED" w:rsidP="00CA4EED">
      <w:pPr>
        <w:pStyle w:val="12"/>
      </w:pPr>
      <w:r w:rsidRPr="001A3D2B">
        <w:t>Subject Categories:</w:t>
      </w:r>
    </w:p>
    <w:p w:rsidR="00CA4EED" w:rsidRDefault="00CA4EED" w:rsidP="00CA4EED">
      <w:pPr>
        <w:pStyle w:val="a3"/>
      </w:pPr>
      <w:r>
        <w:rPr>
          <w:rFonts w:hint="eastAsia"/>
        </w:rPr>
        <w:t xml:space="preserve">? </w:t>
      </w:r>
      <w:r>
        <w:t xml:space="preserve">De la Vega, I., Requena, J., Rodriguez, L.G., Ruiz, N. and Liendo, P. (2010), Bibliometrics on health and quality of life in Venezuela: The Universidad Central de Venezuela (UCV) as a case study. Period 1971-2007. </w:t>
      </w:r>
      <w:r w:rsidRPr="00CA4EED">
        <w:rPr>
          <w:i/>
          <w:iCs/>
        </w:rPr>
        <w:t>Argos</w:t>
      </w:r>
      <w:r>
        <w:t xml:space="preserve">, </w:t>
      </w:r>
      <w:r>
        <w:rPr>
          <w:b/>
          <w:bCs/>
        </w:rPr>
        <w:t>27</w:t>
      </w:r>
      <w:r>
        <w:t xml:space="preserve"> (53), 38-58.</w:t>
      </w:r>
    </w:p>
    <w:p w:rsidR="00CA4EED" w:rsidRDefault="00CA4EED" w:rsidP="00CA4EED">
      <w:pPr>
        <w:pStyle w:val="a3"/>
      </w:pPr>
      <w:r>
        <w:rPr>
          <w:rFonts w:hint="eastAsia"/>
        </w:rPr>
        <w:t>Full Text: 2010\</w:t>
      </w:r>
      <w:r w:rsidRPr="00080882">
        <w:rPr>
          <w:iCs/>
        </w:rPr>
        <w:t>Argos</w:t>
      </w:r>
      <w:r w:rsidRPr="00080882">
        <w:rPr>
          <w:bCs/>
        </w:rPr>
        <w:t>27</w:t>
      </w:r>
      <w:r>
        <w:t>, 38</w:t>
      </w:r>
      <w:r>
        <w:rPr>
          <w:rFonts w:hint="eastAsia"/>
        </w:rPr>
        <w:t>.pdf</w:t>
      </w:r>
    </w:p>
    <w:p w:rsidR="00CA4EED" w:rsidRDefault="00CA4EED" w:rsidP="00CA4EED">
      <w:pPr>
        <w:pStyle w:val="a3"/>
      </w:pPr>
      <w:r>
        <w:t>Abstract: The UCV is a major player within the Sistema. Nacional de Ciencia, Tecnologia e Innovacion (National System of Science. Technology and Innovation) in Venezuela. This paper aims to establish the historical weight that this institution represents regarding its production of scientific publications as registered in the Web of Science (WoS), relative to the whole country. The WoS was queried by using the term “Venezuela” as “Country of Origin for the Publication” in order to generate a database, which in turn was used as the source for the current study and for a time frame ranging from 1981 to 2007. Entries corresponding to Health and Quality of Life were segmented based on the UNESCO taxonomy using a functionality offered by the software BIBLIOS. These findings show the importance that research developed by the UCV in these fields of knowledge has for Venezuelan society.</w:t>
      </w:r>
    </w:p>
    <w:p w:rsidR="00CA4EED" w:rsidRDefault="00CA4EED" w:rsidP="00CA4EED">
      <w:pPr>
        <w:pStyle w:val="a3"/>
      </w:pPr>
      <w:r>
        <w:t>Keywords: Bibliometria, Bibliometrics, Case Study, Country, Database, Innovation, Knowledge, Production, Publications, Quality, Research, Salud Y Calidad De Vida, Science, Scientific Publications, Society, Software, Source, Taxonomy, Technology, Term, UCV, Unesco, Venezuela, Web Of Science</w:t>
      </w:r>
    </w:p>
    <w:p w:rsidR="003474F2" w:rsidRPr="001A3D2B" w:rsidRDefault="003474F2" w:rsidP="003474F2">
      <w:pPr>
        <w:pStyle w:val="1"/>
      </w:pPr>
      <w:r w:rsidRPr="001A3D2B">
        <w:br w:type="page"/>
      </w:r>
      <w:bookmarkStart w:id="619" w:name="_Toc420814605"/>
      <w:r w:rsidRPr="001A3D2B">
        <w:lastRenderedPageBreak/>
        <w:t>Title: Arid Land Geography</w:t>
      </w:r>
      <w:bookmarkEnd w:id="619"/>
    </w:p>
    <w:p w:rsidR="003474F2" w:rsidRPr="001A3D2B" w:rsidRDefault="003474F2" w:rsidP="003474F2">
      <w:pPr>
        <w:pStyle w:val="12"/>
      </w:pPr>
      <w:r w:rsidRPr="001A3D2B">
        <w:t xml:space="preserve">Full Journal Title: </w:t>
      </w:r>
      <w:hyperlink r:id="rId1215" w:history="1">
        <w:r w:rsidRPr="001A3D2B">
          <w:rPr>
            <w:rStyle w:val="a5"/>
            <w:iCs/>
          </w:rPr>
          <w:t>Arid Land Geography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a3"/>
      </w:pPr>
      <w:r w:rsidRPr="001A3D2B">
        <w:t>? Zhang, A.J. (2006), Analysis</w:t>
      </w:r>
      <w:r w:rsidR="00427468">
        <w:t xml:space="preserve"> of </w:t>
      </w:r>
      <w:r w:rsidRPr="001A3D2B">
        <w:t>status</w:t>
      </w:r>
      <w:r w:rsidR="005853A9">
        <w:t xml:space="preserve"> and </w:t>
      </w:r>
      <w:r w:rsidRPr="001A3D2B">
        <w:t>trends</w:t>
      </w:r>
      <w:r w:rsidR="00427468">
        <w:t xml:space="preserve"> of </w:t>
      </w:r>
      <w:r w:rsidR="003A1917">
        <w:t xml:space="preserve">the </w:t>
      </w:r>
      <w:r w:rsidRPr="001A3D2B">
        <w:t xml:space="preserve">international arid land research. </w:t>
      </w:r>
      <w:r w:rsidRPr="001A3D2B">
        <w:rPr>
          <w:i/>
          <w:iCs/>
        </w:rPr>
        <w:t>Arid Land Geography</w:t>
      </w:r>
      <w:r w:rsidRPr="001A3D2B">
        <w:t xml:space="preserve">, </w:t>
      </w:r>
      <w:r w:rsidRPr="001A3D2B">
        <w:rPr>
          <w:b/>
          <w:bCs/>
        </w:rPr>
        <w:t>29</w:t>
      </w:r>
      <w:r w:rsidRPr="001A3D2B">
        <w:t xml:space="preserve"> (3), 452-456.</w:t>
      </w:r>
    </w:p>
    <w:p w:rsidR="003474F2" w:rsidRPr="001A3D2B" w:rsidRDefault="003474F2" w:rsidP="003474F2">
      <w:pPr>
        <w:pStyle w:val="a3"/>
      </w:pPr>
      <w:r w:rsidRPr="001A3D2B">
        <w:t xml:space="preserve">Full Text: </w:t>
      </w:r>
      <w:hyperlink r:id="rId1216" w:history="1">
        <w:r w:rsidRPr="001A3D2B">
          <w:rPr>
            <w:rStyle w:val="a5"/>
          </w:rPr>
          <w:t>2006\Ari Lan Geo29, 452.pdf</w:t>
        </w:r>
      </w:hyperlink>
    </w:p>
    <w:p w:rsidR="003474F2" w:rsidRPr="001A3D2B" w:rsidRDefault="003474F2" w:rsidP="003474F2">
      <w:pPr>
        <w:pStyle w:val="a3"/>
      </w:pPr>
      <w:r w:rsidRPr="001A3D2B">
        <w:t>Abstract: Using</w:t>
      </w:r>
      <w:r w:rsidR="003A1917">
        <w:t xml:space="preserve"> the </w:t>
      </w:r>
      <w:r w:rsidRPr="001A3D2B">
        <w:t>gray theory,</w:t>
      </w:r>
      <w:r w:rsidR="003A1917">
        <w:t xml:space="preserve"> the </w:t>
      </w:r>
      <w:r w:rsidRPr="001A3D2B">
        <w:t>scientometrical indices based on</w:t>
      </w:r>
      <w:r w:rsidR="003A1917">
        <w:t xml:space="preserve"> the </w:t>
      </w:r>
      <w:r w:rsidRPr="001A3D2B">
        <w:t>articles abstracted from SCI-E database on arid land research were analysed</w:t>
      </w:r>
      <w:r w:rsidR="005853A9">
        <w:t xml:space="preserve"> and </w:t>
      </w:r>
      <w:r w:rsidRPr="001A3D2B">
        <w:t>a gray model was developed to predict</w:t>
      </w:r>
      <w:r w:rsidR="003A1917">
        <w:t xml:space="preserve"> the </w:t>
      </w:r>
      <w:r w:rsidRPr="001A3D2B">
        <w:t>status</w:t>
      </w:r>
      <w:r w:rsidR="005853A9">
        <w:t xml:space="preserve"> and </w:t>
      </w:r>
      <w:r w:rsidRPr="001A3D2B">
        <w:t>trends</w:t>
      </w:r>
      <w:r w:rsidR="00427468">
        <w:t xml:space="preserve"> of </w:t>
      </w:r>
      <w:r w:rsidR="003A1917">
        <w:t xml:space="preserve">the </w:t>
      </w:r>
      <w:r w:rsidRPr="001A3D2B">
        <w:t>international arid land research. Results show that</w:t>
      </w:r>
      <w:r w:rsidR="003A1917">
        <w:t xml:space="preserve"> the </w:t>
      </w:r>
      <w:r w:rsidRPr="001A3D2B">
        <w:t>various scientometrical indices have significantly increased</w:t>
      </w:r>
      <w:r w:rsidR="005853A9">
        <w:t xml:space="preserve"> and </w:t>
      </w:r>
      <w:r w:rsidRPr="001A3D2B">
        <w:t>will keep</w:t>
      </w:r>
      <w:r w:rsidR="003A1917">
        <w:t xml:space="preserve"> the </w:t>
      </w:r>
      <w:r w:rsidRPr="001A3D2B">
        <w:t>strong growing trend in</w:t>
      </w:r>
      <w:r w:rsidR="003A1917">
        <w:t xml:space="preserve"> the </w:t>
      </w:r>
      <w:r w:rsidRPr="001A3D2B">
        <w:t xml:space="preserve">following years (2006-2008). </w:t>
      </w:r>
      <w:r w:rsidR="00D5664A">
        <w:t>USA</w:t>
      </w:r>
      <w:r w:rsidRPr="001A3D2B">
        <w:t xml:space="preserve"> is</w:t>
      </w:r>
      <w:r w:rsidR="003A1917">
        <w:t xml:space="preserve"> the </w:t>
      </w:r>
      <w:r w:rsidRPr="001A3D2B">
        <w:t>international scientific activity centre</w:t>
      </w:r>
      <w:r w:rsidR="00427468">
        <w:t xml:space="preserve"> of </w:t>
      </w:r>
      <w:r w:rsidRPr="001A3D2B">
        <w:t>arid land research. Majority</w:t>
      </w:r>
      <w:r w:rsidR="00427468">
        <w:t xml:space="preserve"> of </w:t>
      </w:r>
      <w:r w:rsidR="003A1917">
        <w:t xml:space="preserve">the </w:t>
      </w:r>
      <w:r w:rsidRPr="001A3D2B">
        <w:t>institutes with higher scientific output index are from</w:t>
      </w:r>
      <w:r w:rsidR="003A1917">
        <w:t xml:space="preserve"> the </w:t>
      </w:r>
      <w:r w:rsidR="00D5664A">
        <w:t>USA</w:t>
      </w:r>
      <w:r w:rsidRPr="001A3D2B">
        <w:t>. China ranks second in</w:t>
      </w:r>
      <w:r w:rsidR="003A1917">
        <w:t xml:space="preserve"> the </w:t>
      </w:r>
      <w:r w:rsidRPr="001A3D2B">
        <w:t>international scientific output index</w:t>
      </w:r>
      <w:r w:rsidR="00A37C1D">
        <w:t>. The</w:t>
      </w:r>
      <w:r w:rsidR="003A1917">
        <w:t xml:space="preserve"> </w:t>
      </w:r>
      <w:r w:rsidRPr="001A3D2B">
        <w:t>Chinese Academy</w:t>
      </w:r>
      <w:r w:rsidR="00427468">
        <w:t xml:space="preserve"> of </w:t>
      </w:r>
      <w:r w:rsidRPr="001A3D2B">
        <w:t>Sciences has ranked first for</w:t>
      </w:r>
      <w:r w:rsidR="003A1917">
        <w:t xml:space="preserve"> the </w:t>
      </w:r>
      <w:r w:rsidRPr="001A3D2B">
        <w:t>continuous 8 years in</w:t>
      </w:r>
      <w:r w:rsidR="003A1917">
        <w:t xml:space="preserve"> the </w:t>
      </w:r>
      <w:r w:rsidRPr="001A3D2B">
        <w:t>international institute scientific output index. A series</w:t>
      </w:r>
      <w:r w:rsidR="00427468">
        <w:t xml:space="preserve"> of </w:t>
      </w:r>
      <w:r w:rsidRPr="001A3D2B">
        <w:t>core supporting disciplines with firm structure</w:t>
      </w:r>
      <w:r w:rsidR="005853A9">
        <w:t xml:space="preserve"> and </w:t>
      </w:r>
      <w:r w:rsidRPr="001A3D2B">
        <w:t>obvious features have formed in</w:t>
      </w:r>
      <w:r w:rsidR="003A1917">
        <w:t xml:space="preserve"> the </w:t>
      </w:r>
      <w:r w:rsidRPr="001A3D2B">
        <w:t>field</w:t>
      </w:r>
      <w:r w:rsidR="00427468">
        <w:t xml:space="preserve"> of </w:t>
      </w:r>
      <w:r w:rsidR="003A1917">
        <w:t xml:space="preserve">the </w:t>
      </w:r>
      <w:r w:rsidRPr="001A3D2B">
        <w:t>international arid land research.</w:t>
      </w:r>
    </w:p>
    <w:p w:rsidR="003474F2" w:rsidRPr="001A3D2B" w:rsidRDefault="003474F2" w:rsidP="003474F2">
      <w:pPr>
        <w:pStyle w:val="a3"/>
      </w:pPr>
      <w:r w:rsidRPr="001A3D2B">
        <w:t xml:space="preserve">Keywords: China, Chinese, Database, Field, First, Index, Indices, International, Model, Research, Scientific Output, Structure, Theory, Trend, Trends, </w:t>
      </w:r>
      <w:r w:rsidR="00D5664A">
        <w:t>USA</w:t>
      </w:r>
    </w:p>
    <w:p w:rsidR="003474F2" w:rsidRPr="001A3D2B" w:rsidRDefault="003474F2" w:rsidP="003474F2">
      <w:pPr>
        <w:pStyle w:val="1"/>
      </w:pPr>
      <w:r w:rsidRPr="001A3D2B">
        <w:br w:type="page"/>
      </w:r>
      <w:bookmarkStart w:id="620" w:name="_Toc420814606"/>
      <w:r w:rsidRPr="001A3D2B">
        <w:lastRenderedPageBreak/>
        <w:t>Title: Arquivos Brasileiros de Cardiologia</w:t>
      </w:r>
      <w:bookmarkEnd w:id="620"/>
    </w:p>
    <w:p w:rsidR="003474F2" w:rsidRPr="001A3D2B" w:rsidRDefault="003474F2" w:rsidP="003474F2">
      <w:pPr>
        <w:pStyle w:val="12"/>
      </w:pPr>
      <w:r w:rsidRPr="001A3D2B">
        <w:t xml:space="preserve">Full Journal Title: </w:t>
      </w:r>
      <w:hyperlink r:id="rId1217" w:history="1">
        <w:r w:rsidRPr="001A3D2B">
          <w:rPr>
            <w:rStyle w:val="a5"/>
          </w:rPr>
          <w:t>Arquivos Brasileiros de Cardiologia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Arq Bras Cardiol</w:t>
      </w:r>
    </w:p>
    <w:p w:rsidR="003474F2" w:rsidRPr="001A3D2B" w:rsidRDefault="003474F2" w:rsidP="003474F2">
      <w:pPr>
        <w:pStyle w:val="12"/>
      </w:pPr>
      <w:r w:rsidRPr="001A3D2B">
        <w:t>ISSN: 0066-782X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a3"/>
      </w:pPr>
      <w:r w:rsidRPr="001A3D2B">
        <w:t>? Mansur, A.J., Abud, A.S.</w:t>
      </w:r>
      <w:r w:rsidR="005853A9">
        <w:t xml:space="preserve"> and </w:t>
      </w:r>
      <w:r w:rsidRPr="001A3D2B">
        <w:t>Albuquerque, C.P. (2000), Publication trends in quarterly, bimonthly</w:t>
      </w:r>
      <w:r w:rsidR="005853A9">
        <w:t xml:space="preserve"> and </w:t>
      </w:r>
      <w:r w:rsidRPr="001A3D2B">
        <w:t>monthly cycles</w:t>
      </w:r>
      <w:r w:rsidR="00427468">
        <w:t xml:space="preserve"> of </w:t>
      </w:r>
      <w:r w:rsidRPr="001A3D2B">
        <w:t>publication during</w:t>
      </w:r>
      <w:r w:rsidR="003A1917">
        <w:t xml:space="preserve"> the </w:t>
      </w:r>
      <w:r w:rsidRPr="001A3D2B">
        <w:t>five decades</w:t>
      </w:r>
      <w:r w:rsidR="00427468">
        <w:t xml:space="preserve"> of </w:t>
      </w:r>
      <w:r w:rsidRPr="001A3D2B">
        <w:t>Brazilian Archives</w:t>
      </w:r>
      <w:r w:rsidR="00427468">
        <w:t xml:space="preserve"> of </w:t>
      </w:r>
      <w:r w:rsidRPr="001A3D2B">
        <w:t xml:space="preserve">Cardiology. </w:t>
      </w:r>
      <w:r w:rsidRPr="001A3D2B">
        <w:rPr>
          <w:i/>
        </w:rPr>
        <w:t>Arquivos Brasileiros de Cardiologia</w:t>
      </w:r>
      <w:r w:rsidRPr="001A3D2B">
        <w:t xml:space="preserve">, </w:t>
      </w:r>
      <w:r w:rsidRPr="001A3D2B">
        <w:rPr>
          <w:b/>
          <w:bCs/>
        </w:rPr>
        <w:t>75</w:t>
      </w:r>
      <w:r w:rsidRPr="001A3D2B">
        <w:t xml:space="preserve"> (1), 1-7.</w:t>
      </w:r>
    </w:p>
    <w:p w:rsidR="003474F2" w:rsidRPr="001A3D2B" w:rsidRDefault="003474F2" w:rsidP="003474F2">
      <w:pPr>
        <w:pStyle w:val="a3"/>
      </w:pPr>
      <w:r w:rsidRPr="001A3D2B">
        <w:t xml:space="preserve">Full Text: </w:t>
      </w:r>
      <w:hyperlink r:id="rId1218" w:history="1">
        <w:r w:rsidRPr="001A3D2B">
          <w:rPr>
            <w:rStyle w:val="a5"/>
          </w:rPr>
          <w:t>2000\Arq Bra Car75, 1.pdf</w:t>
        </w:r>
      </w:hyperlink>
    </w:p>
    <w:p w:rsidR="003474F2" w:rsidRPr="001A3D2B" w:rsidRDefault="003474F2" w:rsidP="003474F2">
      <w:pPr>
        <w:pStyle w:val="a3"/>
      </w:pPr>
      <w:r w:rsidRPr="001A3D2B">
        <w:t>Abstract: OBJECTIVE: To study trends in selected manuscript characteristics</w:t>
      </w:r>
      <w:r w:rsidR="00427468">
        <w:t xml:space="preserve"> of </w:t>
      </w:r>
      <w:r w:rsidRPr="001A3D2B">
        <w:t>articles published in</w:t>
      </w:r>
      <w:r w:rsidR="003A1917">
        <w:t xml:space="preserve"> the </w:t>
      </w:r>
      <w:r w:rsidRPr="001A3D2B">
        <w:t>Brazilian Archives</w:t>
      </w:r>
      <w:r w:rsidR="00427468">
        <w:t xml:space="preserve"> of </w:t>
      </w:r>
      <w:r w:rsidRPr="001A3D2B">
        <w:t>Cardiology from March 1948, to February 1998, in</w:t>
      </w:r>
      <w:r w:rsidR="003A1917">
        <w:t xml:space="preserve"> the </w:t>
      </w:r>
      <w:r w:rsidRPr="001A3D2B">
        <w:t>quarterly, bimonthly</w:t>
      </w:r>
      <w:r w:rsidR="005853A9">
        <w:t xml:space="preserve"> and </w:t>
      </w:r>
      <w:r w:rsidRPr="001A3D2B">
        <w:t>monthly cycles</w:t>
      </w:r>
      <w:r w:rsidR="00427468">
        <w:t xml:space="preserve"> of </w:t>
      </w:r>
      <w:r w:rsidRPr="001A3D2B">
        <w:t>publication. METHODS: A random sample</w:t>
      </w:r>
      <w:r w:rsidR="00427468">
        <w:t xml:space="preserve"> of </w:t>
      </w:r>
      <w:r w:rsidRPr="001A3D2B">
        <w:t>25%</w:t>
      </w:r>
      <w:r w:rsidR="00427468">
        <w:t xml:space="preserve"> of </w:t>
      </w:r>
      <w:r w:rsidRPr="001A3D2B">
        <w:t>all issues</w:t>
      </w:r>
      <w:r w:rsidR="00427468">
        <w:t xml:space="preserve"> of </w:t>
      </w:r>
      <w:r w:rsidR="003A1917">
        <w:t xml:space="preserve">the </w:t>
      </w:r>
      <w:r w:rsidRPr="001A3D2B">
        <w:t>journal comprised</w:t>
      </w:r>
      <w:r w:rsidR="003A1917">
        <w:t xml:space="preserve"> the </w:t>
      </w:r>
      <w:r w:rsidRPr="001A3D2B">
        <w:t>study sample: 13 issues (11.5%) from</w:t>
      </w:r>
      <w:r w:rsidR="003A1917">
        <w:t xml:space="preserve"> the </w:t>
      </w:r>
      <w:r w:rsidRPr="001A3D2B">
        <w:t>quarterly, 27 (23,5%) from</w:t>
      </w:r>
      <w:r w:rsidR="003A1917">
        <w:t xml:space="preserve"> the </w:t>
      </w:r>
      <w:r w:rsidRPr="001A3D2B">
        <w:t>bimonthly,</w:t>
      </w:r>
      <w:r w:rsidR="005853A9">
        <w:t xml:space="preserve"> and </w:t>
      </w:r>
      <w:r w:rsidRPr="001A3D2B">
        <w:t>58 (65%) from</w:t>
      </w:r>
      <w:r w:rsidR="003A1917">
        <w:t xml:space="preserve"> the </w:t>
      </w:r>
      <w:r w:rsidRPr="001A3D2B">
        <w:t>monthly publication cycle. We studied</w:t>
      </w:r>
      <w:r w:rsidR="003A1917">
        <w:t xml:space="preserve"> the </w:t>
      </w:r>
      <w:r w:rsidRPr="001A3D2B">
        <w:t>type</w:t>
      </w:r>
      <w:r w:rsidR="00427468">
        <w:t xml:space="preserve"> of </w:t>
      </w:r>
      <w:r w:rsidRPr="001A3D2B">
        <w:t>manuscript, number</w:t>
      </w:r>
      <w:r w:rsidR="00427468">
        <w:t xml:space="preserve"> of </w:t>
      </w:r>
      <w:r w:rsidRPr="001A3D2B">
        <w:t>authors, geographical distribution, language</w:t>
      </w:r>
      <w:r w:rsidR="00427468">
        <w:t xml:space="preserve"> of </w:t>
      </w:r>
      <w:r w:rsidRPr="001A3D2B">
        <w:t>publication</w:t>
      </w:r>
      <w:r w:rsidR="005853A9">
        <w:t xml:space="preserve"> and </w:t>
      </w:r>
      <w:r w:rsidRPr="001A3D2B">
        <w:t>references. RESULTS: A total</w:t>
      </w:r>
      <w:r w:rsidR="00427468">
        <w:t xml:space="preserve"> of </w:t>
      </w:r>
      <w:r w:rsidRPr="001A3D2B">
        <w:t>1204 articles were studied, 90 (7.5%) from</w:t>
      </w:r>
      <w:r w:rsidR="003A1917">
        <w:t xml:space="preserve"> the </w:t>
      </w:r>
      <w:r w:rsidRPr="001A3D2B">
        <w:t>quarterly, 238 (19,8%) from</w:t>
      </w:r>
      <w:r w:rsidR="003A1917">
        <w:t xml:space="preserve"> the </w:t>
      </w:r>
      <w:r w:rsidRPr="001A3D2B">
        <w:t>bimonthly,</w:t>
      </w:r>
      <w:r w:rsidR="005853A9">
        <w:t xml:space="preserve"> and </w:t>
      </w:r>
      <w:r w:rsidRPr="001A3D2B">
        <w:t>876 (72.8%) from</w:t>
      </w:r>
      <w:r w:rsidR="003A1917">
        <w:t xml:space="preserve"> the </w:t>
      </w:r>
      <w:r w:rsidRPr="001A3D2B">
        <w:t>monthly publication cycle</w:t>
      </w:r>
      <w:r w:rsidR="00A37C1D">
        <w:t>. The</w:t>
      </w:r>
      <w:r w:rsidR="003A1917">
        <w:t xml:space="preserve"> </w:t>
      </w:r>
      <w:r w:rsidRPr="001A3D2B">
        <w:t>most frequent published articles were original contributions (353), reviews (350)</w:t>
      </w:r>
      <w:r w:rsidR="005853A9">
        <w:t xml:space="preserve"> and </w:t>
      </w:r>
      <w:r w:rsidRPr="001A3D2B">
        <w:t>case reports (205). No significant difference occurred in</w:t>
      </w:r>
      <w:r w:rsidR="003A1917">
        <w:t xml:space="preserve"> the </w:t>
      </w:r>
      <w:r w:rsidRPr="001A3D2B">
        <w:t>proportion</w:t>
      </w:r>
      <w:r w:rsidR="00427468">
        <w:t xml:space="preserve"> of </w:t>
      </w:r>
      <w:r w:rsidRPr="001A3D2B">
        <w:t>original articles, reviews</w:t>
      </w:r>
      <w:r w:rsidR="005853A9">
        <w:t xml:space="preserve"> and </w:t>
      </w:r>
      <w:r w:rsidRPr="001A3D2B">
        <w:t>case reports;</w:t>
      </w:r>
      <w:r w:rsidR="003A1917">
        <w:t xml:space="preserve"> the </w:t>
      </w:r>
      <w:r w:rsidRPr="001A3D2B">
        <w:t>number</w:t>
      </w:r>
      <w:r w:rsidR="00427468">
        <w:t xml:space="preserve"> of </w:t>
      </w:r>
      <w:r w:rsidRPr="001A3D2B">
        <w:t>authors was higher in</w:t>
      </w:r>
      <w:r w:rsidR="003A1917">
        <w:t xml:space="preserve"> the </w:t>
      </w:r>
      <w:r w:rsidRPr="001A3D2B">
        <w:t>monthly period;a geographical concentration</w:t>
      </w:r>
      <w:r w:rsidR="00427468">
        <w:t xml:space="preserve"> of </w:t>
      </w:r>
      <w:r w:rsidR="003A1917">
        <w:t xml:space="preserve">the </w:t>
      </w:r>
      <w:r w:rsidRPr="001A3D2B">
        <w:t>contributions occurred (72% from three Brazilian States); manuscripts in languages other than Portuguese decreased</w:t>
      </w:r>
      <w:r w:rsidR="00A37C1D">
        <w:t>. The</w:t>
      </w:r>
      <w:r w:rsidR="003A1917">
        <w:t xml:space="preserve"> </w:t>
      </w:r>
      <w:r w:rsidRPr="001A3D2B">
        <w:t>mean number</w:t>
      </w:r>
      <w:r w:rsidR="00427468">
        <w:t xml:space="preserve"> of </w:t>
      </w:r>
      <w:r w:rsidRPr="001A3D2B">
        <w:t>Brazilian references cited was less than 4.7</w:t>
      </w:r>
      <w:r w:rsidR="005853A9">
        <w:t xml:space="preserve"> and </w:t>
      </w:r>
      <w:r w:rsidR="003A1917">
        <w:t xml:space="preserve">the </w:t>
      </w:r>
      <w:r w:rsidRPr="001A3D2B">
        <w:t>mean number</w:t>
      </w:r>
      <w:r w:rsidR="00427468">
        <w:t xml:space="preserve"> of </w:t>
      </w:r>
      <w:r w:rsidRPr="001A3D2B">
        <w:t>international references cited was greater than 16.7. CONCLUSION:</w:t>
      </w:r>
      <w:r w:rsidR="003A1917">
        <w:t xml:space="preserve"> the </w:t>
      </w:r>
      <w:r w:rsidRPr="001A3D2B">
        <w:t>analysis</w:t>
      </w:r>
      <w:r w:rsidR="00427468">
        <w:t xml:space="preserve"> of </w:t>
      </w:r>
      <w:r w:rsidR="003A1917">
        <w:t xml:space="preserve">the </w:t>
      </w:r>
      <w:r w:rsidRPr="001A3D2B">
        <w:t>trends over five decades</w:t>
      </w:r>
      <w:r w:rsidR="00427468">
        <w:t xml:space="preserve"> of </w:t>
      </w:r>
      <w:r w:rsidRPr="001A3D2B">
        <w:t>publication revealed</w:t>
      </w:r>
      <w:r w:rsidR="003A1917">
        <w:t xml:space="preserve"> the </w:t>
      </w:r>
      <w:r w:rsidRPr="001A3D2B">
        <w:t>need for further steps to be taken by</w:t>
      </w:r>
      <w:r w:rsidR="003A1917">
        <w:t xml:space="preserve"> the </w:t>
      </w:r>
      <w:r w:rsidRPr="001A3D2B">
        <w:t>Brazilian Archives</w:t>
      </w:r>
      <w:r w:rsidR="00427468">
        <w:t xml:space="preserve"> of </w:t>
      </w:r>
      <w:r w:rsidRPr="001A3D2B">
        <w:t>Cardiology, to meet international publication standards for biomedical journals as well as authors</w:t>
      </w:r>
      <w:r w:rsidR="00700038">
        <w:t>’</w:t>
      </w:r>
      <w:r w:rsidR="005853A9">
        <w:t xml:space="preserve"> and </w:t>
      </w:r>
      <w:r w:rsidRPr="001A3D2B">
        <w:t>readers</w:t>
      </w:r>
      <w:r w:rsidR="00700038">
        <w:t>’</w:t>
      </w:r>
      <w:r w:rsidRPr="001A3D2B">
        <w:t xml:space="preserve"> demands.</w:t>
      </w:r>
    </w:p>
    <w:p w:rsidR="003474F2" w:rsidRPr="001A3D2B" w:rsidRDefault="003474F2" w:rsidP="003474F2">
      <w:pPr>
        <w:pStyle w:val="a3"/>
      </w:pPr>
      <w:r w:rsidRPr="001A3D2B">
        <w:t xml:space="preserve">Keywords: Analysis, Biomedical, Biomedical Journals, Case Reports, Characteristics, Concentration, Distribution, International, Journal, Journals, Languages, Methods, </w:t>
      </w:r>
      <w:r w:rsidRPr="001A3D2B">
        <w:lastRenderedPageBreak/>
        <w:t>Publication, Publication Standards, Random Sample, Reviews, Standards, Trends</w:t>
      </w:r>
    </w:p>
    <w:p w:rsidR="003474F2" w:rsidRPr="001A3D2B" w:rsidRDefault="003474F2" w:rsidP="003474F2">
      <w:pPr>
        <w:pStyle w:val="a3"/>
      </w:pPr>
      <w:r w:rsidRPr="001A3D2B">
        <w:t>? Marchini, J.F.M.</w:t>
      </w:r>
      <w:r w:rsidR="005853A9">
        <w:t xml:space="preserve"> and </w:t>
      </w:r>
      <w:r w:rsidRPr="001A3D2B">
        <w:t>Caramelli, B. (2008), Doctorate in Cardiology at FM-USP Heart Institute from 1994 through 2004: Defense</w:t>
      </w:r>
      <w:r w:rsidR="005853A9">
        <w:t xml:space="preserve"> and </w:t>
      </w:r>
      <w:r w:rsidRPr="001A3D2B">
        <w:t xml:space="preserve">publication. </w:t>
      </w:r>
      <w:r w:rsidRPr="001A3D2B">
        <w:rPr>
          <w:i/>
          <w:iCs/>
        </w:rPr>
        <w:t>Arquivos Brasileiros de Cardiologia</w:t>
      </w:r>
      <w:r w:rsidRPr="001A3D2B">
        <w:t xml:space="preserve">, </w:t>
      </w:r>
      <w:r w:rsidRPr="001A3D2B">
        <w:rPr>
          <w:b/>
        </w:rPr>
        <w:t>91</w:t>
      </w:r>
      <w:r w:rsidRPr="001A3D2B">
        <w:t xml:space="preserve"> (5), 289-294.</w:t>
      </w:r>
    </w:p>
    <w:p w:rsidR="003474F2" w:rsidRPr="001A3D2B" w:rsidRDefault="003474F2" w:rsidP="003474F2">
      <w:pPr>
        <w:pStyle w:val="a3"/>
      </w:pPr>
      <w:r w:rsidRPr="001A3D2B">
        <w:t xml:space="preserve">Full Text: </w:t>
      </w:r>
      <w:hyperlink r:id="rId1219" w:history="1">
        <w:r w:rsidRPr="001A3D2B">
          <w:rPr>
            <w:rStyle w:val="a5"/>
          </w:rPr>
          <w:t>2008\Arq Bra Car91, 289.pdf</w:t>
        </w:r>
      </w:hyperlink>
    </w:p>
    <w:p w:rsidR="003474F2" w:rsidRPr="001A3D2B" w:rsidRDefault="003474F2" w:rsidP="003474F2">
      <w:pPr>
        <w:pStyle w:val="a3"/>
      </w:pPr>
      <w:r w:rsidRPr="001A3D2B">
        <w:t>Abstract: Background: A study evaluated</w:t>
      </w:r>
      <w:r w:rsidR="003A1917">
        <w:t xml:space="preserve"> the </w:t>
      </w:r>
      <w:r w:rsidRPr="001A3D2B">
        <w:t>relationship between</w:t>
      </w:r>
      <w:r w:rsidR="003A1917">
        <w:t xml:space="preserve"> the </w:t>
      </w:r>
      <w:r w:rsidRPr="001A3D2B">
        <w:t>defense</w:t>
      </w:r>
      <w:r w:rsidR="00427468">
        <w:t xml:space="preserve"> of </w:t>
      </w:r>
      <w:r w:rsidRPr="001A3D2B">
        <w:t>dissertations</w:t>
      </w:r>
      <w:r w:rsidR="005853A9">
        <w:t xml:space="preserve"> and </w:t>
      </w:r>
      <w:r w:rsidRPr="001A3D2B">
        <w:t>their publication within</w:t>
      </w:r>
      <w:r w:rsidR="003A1917">
        <w:t xml:space="preserve"> the </w:t>
      </w:r>
      <w:r w:rsidRPr="001A3D2B">
        <w:t>realm</w:t>
      </w:r>
      <w:r w:rsidR="00427468">
        <w:t xml:space="preserve"> of </w:t>
      </w:r>
      <w:r w:rsidR="003A1917">
        <w:t xml:space="preserve">the </w:t>
      </w:r>
      <w:r w:rsidRPr="001A3D2B">
        <w:t>entire Medical School</w:t>
      </w:r>
      <w:r w:rsidR="00427468">
        <w:t xml:space="preserve"> of </w:t>
      </w:r>
      <w:r w:rsidR="003A1917">
        <w:t xml:space="preserve">the </w:t>
      </w:r>
      <w:r w:rsidRPr="001A3D2B">
        <w:t>University</w:t>
      </w:r>
      <w:r w:rsidR="00427468">
        <w:t xml:space="preserve"> of </w:t>
      </w:r>
      <w:r w:rsidRPr="001A3D2B">
        <w:t>Sao Paulo (FM-USP)</w:t>
      </w:r>
      <w:r w:rsidR="00A37C1D">
        <w:t>. The</w:t>
      </w:r>
      <w:r w:rsidR="003A1917">
        <w:t xml:space="preserve"> </w:t>
      </w:r>
      <w:r w:rsidRPr="001A3D2B">
        <w:t>existence</w:t>
      </w:r>
      <w:r w:rsidR="00427468">
        <w:t xml:space="preserve"> of </w:t>
      </w:r>
      <w:r w:rsidRPr="001A3D2B">
        <w:t>differences among different areas</w:t>
      </w:r>
      <w:r w:rsidR="00427468">
        <w:t xml:space="preserve"> of </w:t>
      </w:r>
      <w:r w:rsidRPr="001A3D2B">
        <w:t>knowledge</w:t>
      </w:r>
      <w:r w:rsidR="005853A9">
        <w:t xml:space="preserve"> and </w:t>
      </w:r>
      <w:r w:rsidR="003A1917">
        <w:t xml:space="preserve">the </w:t>
      </w:r>
      <w:r w:rsidRPr="001A3D2B">
        <w:t>time between defense</w:t>
      </w:r>
      <w:r w:rsidR="00427468">
        <w:t xml:space="preserve"> of </w:t>
      </w:r>
      <w:r w:rsidRPr="001A3D2B">
        <w:t>dissertations</w:t>
      </w:r>
      <w:r w:rsidR="005853A9">
        <w:t xml:space="preserve"> and </w:t>
      </w:r>
      <w:r w:rsidRPr="001A3D2B">
        <w:t>their publication is questioned. Objective: To characterize publications related to dissertations defended in graduate courses</w:t>
      </w:r>
      <w:r w:rsidR="00427468">
        <w:t xml:space="preserve"> of </w:t>
      </w:r>
      <w:r w:rsidR="003A1917">
        <w:t xml:space="preserve">the </w:t>
      </w:r>
      <w:r w:rsidRPr="001A3D2B">
        <w:t>Heart Institute (InCor)</w:t>
      </w:r>
      <w:r w:rsidR="00427468">
        <w:t xml:space="preserve"> of </w:t>
      </w:r>
      <w:r w:rsidR="003A1917">
        <w:t xml:space="preserve">the </w:t>
      </w:r>
      <w:r w:rsidRPr="001A3D2B">
        <w:t>University</w:t>
      </w:r>
      <w:r w:rsidR="00427468">
        <w:t xml:space="preserve"> of </w:t>
      </w:r>
      <w:r w:rsidRPr="001A3D2B">
        <w:t>Sao Paulo Medical School (FM-USP). Methods: A retrospective survey was carried out featuring graduate work at FM/USP for</w:t>
      </w:r>
      <w:r w:rsidR="003A1917">
        <w:t xml:space="preserve"> the </w:t>
      </w:r>
      <w:r w:rsidRPr="001A3D2B">
        <w:t>1994-2004 period. Initially, data were collected on students who defended dissertations during this period, on their advisors,</w:t>
      </w:r>
      <w:r w:rsidR="005853A9">
        <w:t xml:space="preserve"> and </w:t>
      </w:r>
      <w:r w:rsidRPr="001A3D2B">
        <w:t>on</w:t>
      </w:r>
      <w:r w:rsidR="003A1917">
        <w:t xml:space="preserve"> the </w:t>
      </w:r>
      <w:r w:rsidRPr="001A3D2B">
        <w:t>dissertations defended in</w:t>
      </w:r>
      <w:r w:rsidR="003A1917">
        <w:t xml:space="preserve"> the </w:t>
      </w:r>
      <w:r w:rsidRPr="001A3D2B">
        <w:t>course</w:t>
      </w:r>
      <w:r w:rsidR="00427468">
        <w:t xml:space="preserve"> of </w:t>
      </w:r>
      <w:r w:rsidR="003A1917">
        <w:t xml:space="preserve">the </w:t>
      </w:r>
      <w:r w:rsidRPr="001A3D2B">
        <w:t>period</w:t>
      </w:r>
      <w:r w:rsidR="00A37C1D">
        <w:t>. The</w:t>
      </w:r>
      <w:r w:rsidRPr="001A3D2B">
        <w:t xml:space="preserve">n, by crossing these data with data from </w:t>
      </w:r>
      <w:r w:rsidR="00D5664A">
        <w:t>MEDLINE</w:t>
      </w:r>
      <w:r w:rsidRPr="001A3D2B">
        <w:t xml:space="preserve"> (R)</w:t>
      </w:r>
      <w:r w:rsidR="005853A9">
        <w:t xml:space="preserve"> and </w:t>
      </w:r>
      <w:r w:rsidR="00D5664A">
        <w:t>Web</w:t>
      </w:r>
      <w:r w:rsidR="00427468">
        <w:t xml:space="preserve"> of </w:t>
      </w:r>
      <w:r w:rsidR="00D5664A">
        <w:t>Science</w:t>
      </w:r>
      <w:r w:rsidRPr="001A3D2B">
        <w:t xml:space="preserve"> (R), publications by these authors</w:t>
      </w:r>
      <w:r w:rsidR="005853A9">
        <w:t xml:space="preserve"> and </w:t>
      </w:r>
      <w:r w:rsidRPr="001A3D2B">
        <w:t>data were located that referred to</w:t>
      </w:r>
      <w:r w:rsidR="003A1917">
        <w:t xml:space="preserve"> the </w:t>
      </w:r>
      <w:r w:rsidRPr="001A3D2B">
        <w:t>respective publications. Results: During that period, 268 dissertations were defended, resulting in 195 publications within a period</w:t>
      </w:r>
      <w:r w:rsidR="00427468">
        <w:t xml:space="preserve"> of </w:t>
      </w:r>
      <w:r w:rsidRPr="001A3D2B">
        <w:t>up to 10 years after their defense</w:t>
      </w:r>
      <w:r w:rsidR="00A37C1D">
        <w:t>. The</w:t>
      </w:r>
      <w:r w:rsidR="003A1917">
        <w:t xml:space="preserve"> </w:t>
      </w:r>
      <w:r w:rsidRPr="001A3D2B">
        <w:t>median time for publication after defense was one year</w:t>
      </w:r>
      <w:r w:rsidR="005853A9">
        <w:t xml:space="preserve"> and </w:t>
      </w:r>
      <w:r w:rsidRPr="001A3D2B">
        <w:t>nine months, with a median impact factor</w:t>
      </w:r>
      <w:r w:rsidR="00427468">
        <w:t xml:space="preserve"> of </w:t>
      </w:r>
      <w:r w:rsidRPr="001A3D2B">
        <w:t>2.1,</w:t>
      </w:r>
      <w:r w:rsidR="005853A9">
        <w:t xml:space="preserve"> and </w:t>
      </w:r>
      <w:r w:rsidRPr="001A3D2B">
        <w:t>a median</w:t>
      </w:r>
      <w:r w:rsidR="00427468">
        <w:t xml:space="preserve"> of </w:t>
      </w:r>
      <w:r w:rsidRPr="001A3D2B">
        <w:t>4 citations per paper</w:t>
      </w:r>
      <w:r w:rsidR="00A37C1D">
        <w:t>. The</w:t>
      </w:r>
      <w:r w:rsidRPr="001A3D2B">
        <w:t>re was no statistically significant correlation among any</w:t>
      </w:r>
      <w:r w:rsidR="00427468">
        <w:t xml:space="preserve"> of </w:t>
      </w:r>
      <w:r w:rsidR="003A1917">
        <w:t xml:space="preserve">the </w:t>
      </w:r>
      <w:r w:rsidRPr="001A3D2B">
        <w:t>data studied. Conclusion: A significant percentage</w:t>
      </w:r>
      <w:r w:rsidR="00427468">
        <w:t xml:space="preserve"> of </w:t>
      </w:r>
      <w:r w:rsidR="003A1917">
        <w:t xml:space="preserve">the </w:t>
      </w:r>
      <w:r w:rsidRPr="001A3D2B">
        <w:t>dissertations were published,</w:t>
      </w:r>
      <w:r w:rsidR="005853A9">
        <w:t xml:space="preserve"> and </w:t>
      </w:r>
      <w:r w:rsidRPr="001A3D2B">
        <w:t>in</w:t>
      </w:r>
      <w:r w:rsidR="003A1917">
        <w:t xml:space="preserve"> the </w:t>
      </w:r>
      <w:r w:rsidRPr="001A3D2B">
        <w:t>group studied, publication took place within increasingly short times after their defense. This fact may be related to</w:t>
      </w:r>
      <w:r w:rsidR="003A1917">
        <w:t xml:space="preserve"> the </w:t>
      </w:r>
      <w:r w:rsidRPr="001A3D2B">
        <w:t>success</w:t>
      </w:r>
      <w:r w:rsidR="00427468">
        <w:t xml:space="preserve"> of </w:t>
      </w:r>
      <w:r w:rsidR="003A1917">
        <w:t xml:space="preserve">the </w:t>
      </w:r>
      <w:r w:rsidRPr="001A3D2B">
        <w:t>graduate commissions</w:t>
      </w:r>
      <w:r w:rsidR="00700038">
        <w:t>’</w:t>
      </w:r>
      <w:r w:rsidRPr="001A3D2B">
        <w:t xml:space="preserve"> policies</w:t>
      </w:r>
      <w:r w:rsidR="005853A9">
        <w:t xml:space="preserve"> and </w:t>
      </w:r>
      <w:r w:rsidRPr="001A3D2B">
        <w:t>to</w:t>
      </w:r>
      <w:r w:rsidR="003A1917">
        <w:t xml:space="preserve"> the </w:t>
      </w:r>
      <w:r w:rsidRPr="001A3D2B">
        <w:t>importance currently lent to debates on this theme, all</w:t>
      </w:r>
      <w:r w:rsidR="00427468">
        <w:t xml:space="preserve"> of </w:t>
      </w:r>
      <w:r w:rsidRPr="001A3D2B">
        <w:t>which contribute to improvement in</w:t>
      </w:r>
      <w:r w:rsidR="003A1917">
        <w:t xml:space="preserve"> the </w:t>
      </w:r>
      <w:r w:rsidRPr="001A3D2B">
        <w:t>quality</w:t>
      </w:r>
      <w:r w:rsidR="00427468">
        <w:t xml:space="preserve"> of </w:t>
      </w:r>
      <w:r w:rsidRPr="001A3D2B">
        <w:t>graduate studies. (Arq Bras Cardiol 2008; 91(5) : 289-294).</w:t>
      </w:r>
    </w:p>
    <w:p w:rsidR="003474F2" w:rsidRPr="001A3D2B" w:rsidRDefault="003474F2" w:rsidP="003474F2">
      <w:pPr>
        <w:pStyle w:val="a3"/>
      </w:pPr>
      <w:r w:rsidRPr="001A3D2B">
        <w:t xml:space="preserve">Keywords: Authors, Citations, Correlation, Course, Crossing, Data, Defense, Education, Graduate, Group, Impact, Impact Factor, Impact Factor, Improvement, Knowledge, Medical Graduate, NOV, Peer Review, Policies, Publication, Publications, Quality, Quality of, Relationship, Research, Science, Students, Success, Survey, Time, </w:t>
      </w:r>
      <w:r w:rsidR="00D5664A">
        <w:t>Web</w:t>
      </w:r>
      <w:r w:rsidR="00427468">
        <w:t xml:space="preserve"> of </w:t>
      </w:r>
      <w:r w:rsidR="00D5664A">
        <w:t>Science</w:t>
      </w:r>
      <w:r w:rsidRPr="001A3D2B">
        <w:t>, Work</w:t>
      </w:r>
    </w:p>
    <w:p w:rsidR="00E21F7D" w:rsidRDefault="00E21F7D" w:rsidP="00E21F7D">
      <w:pPr>
        <w:pStyle w:val="a3"/>
        <w:rPr>
          <w:kern w:val="0"/>
        </w:rPr>
      </w:pPr>
      <w:r>
        <w:rPr>
          <w:rFonts w:hint="eastAsia"/>
          <w:kern w:val="0"/>
        </w:rPr>
        <w:t xml:space="preserve">? </w:t>
      </w:r>
      <w:r>
        <w:rPr>
          <w:kern w:val="0"/>
        </w:rPr>
        <w:t>Thomaz, P.C., Assad, R.S.</w:t>
      </w:r>
      <w:r w:rsidR="005853A9">
        <w:rPr>
          <w:kern w:val="0"/>
        </w:rPr>
        <w:t xml:space="preserve"> and </w:t>
      </w:r>
      <w:r>
        <w:rPr>
          <w:kern w:val="0"/>
        </w:rPr>
        <w:t>Moreira, L.F.F. (2011), Using</w:t>
      </w:r>
      <w:r w:rsidR="003A1917">
        <w:rPr>
          <w:kern w:val="0"/>
        </w:rPr>
        <w:t xml:space="preserve"> the </w:t>
      </w:r>
      <w:r>
        <w:rPr>
          <w:kern w:val="0"/>
        </w:rPr>
        <w:t>impact factor</w:t>
      </w:r>
      <w:r w:rsidR="005853A9">
        <w:rPr>
          <w:kern w:val="0"/>
        </w:rPr>
        <w:t xml:space="preserve"> and </w:t>
      </w:r>
      <w:r w:rsidR="00D5664A">
        <w:rPr>
          <w:kern w:val="0"/>
        </w:rPr>
        <w:t>h Index</w:t>
      </w:r>
      <w:r>
        <w:rPr>
          <w:kern w:val="0"/>
        </w:rPr>
        <w:t xml:space="preserve"> to assess researchers</w:t>
      </w:r>
      <w:r w:rsidR="005853A9">
        <w:rPr>
          <w:kern w:val="0"/>
        </w:rPr>
        <w:t xml:space="preserve"> and </w:t>
      </w:r>
      <w:r>
        <w:rPr>
          <w:kern w:val="0"/>
        </w:rPr>
        <w:t xml:space="preserve">publications. </w:t>
      </w:r>
      <w:r>
        <w:rPr>
          <w:i/>
          <w:iCs/>
          <w:kern w:val="0"/>
        </w:rPr>
        <w:t>Arquivos Brasileiros de Cardiologia</w:t>
      </w:r>
      <w:r>
        <w:rPr>
          <w:kern w:val="0"/>
        </w:rPr>
        <w:t xml:space="preserve">, </w:t>
      </w:r>
      <w:r>
        <w:rPr>
          <w:b/>
          <w:bCs/>
          <w:kern w:val="0"/>
        </w:rPr>
        <w:t>96</w:t>
      </w:r>
      <w:r>
        <w:rPr>
          <w:kern w:val="0"/>
        </w:rPr>
        <w:t xml:space="preserve"> (2), 90-93</w:t>
      </w:r>
      <w:r>
        <w:rPr>
          <w:rFonts w:hint="eastAsia"/>
          <w:kern w:val="0"/>
        </w:rPr>
        <w:t>.</w:t>
      </w:r>
    </w:p>
    <w:p w:rsidR="00E21F7D" w:rsidRPr="001A3D2B" w:rsidRDefault="00E21F7D" w:rsidP="00E21F7D">
      <w:pPr>
        <w:pStyle w:val="a3"/>
      </w:pPr>
      <w:r w:rsidRPr="001A3D2B">
        <w:t xml:space="preserve">Full Text: </w:t>
      </w:r>
      <w:hyperlink r:id="rId1220" w:history="1">
        <w:r w:rsidRPr="00E21F7D">
          <w:rPr>
            <w:rStyle w:val="a5"/>
          </w:rPr>
          <w:t>2011\Arq Bra Car96, 90.pdf</w:t>
        </w:r>
      </w:hyperlink>
    </w:p>
    <w:p w:rsidR="00E21F7D" w:rsidRDefault="00E21F7D" w:rsidP="00E21F7D">
      <w:pPr>
        <w:pStyle w:val="a3"/>
        <w:rPr>
          <w:kern w:val="0"/>
        </w:rPr>
      </w:pPr>
      <w:r>
        <w:rPr>
          <w:kern w:val="0"/>
        </w:rPr>
        <w:t>Keywords: Bibliometric Indicators, Impact, Impact Factor, Performance, Publications</w:t>
      </w:r>
    </w:p>
    <w:p w:rsidR="00DA6412" w:rsidRDefault="00DA6412" w:rsidP="00DA6412">
      <w:pPr>
        <w:pStyle w:val="a3"/>
        <w:rPr>
          <w:kern w:val="0"/>
        </w:rPr>
      </w:pPr>
      <w:r>
        <w:rPr>
          <w:rFonts w:hint="eastAsia"/>
          <w:kern w:val="0"/>
        </w:rPr>
        <w:t xml:space="preserve">? </w:t>
      </w:r>
      <w:r>
        <w:rPr>
          <w:kern w:val="0"/>
        </w:rPr>
        <w:t xml:space="preserve">Barbosa, P.R.B. (2011), Comments on paper by Thomas et al: How to evaluate </w:t>
      </w:r>
      <w:r w:rsidR="00B5188C">
        <w:rPr>
          <w:kern w:val="0"/>
        </w:rPr>
        <w:lastRenderedPageBreak/>
        <w:t>“</w:t>
      </w:r>
      <w:r>
        <w:rPr>
          <w:kern w:val="0"/>
        </w:rPr>
        <w:t>quality</w:t>
      </w:r>
      <w:r w:rsidR="00427468">
        <w:rPr>
          <w:kern w:val="0"/>
        </w:rPr>
        <w:t xml:space="preserve"> of </w:t>
      </w:r>
      <w:r>
        <w:rPr>
          <w:kern w:val="0"/>
        </w:rPr>
        <w:t>publication</w:t>
      </w:r>
      <w:r w:rsidR="00B5188C">
        <w:rPr>
          <w:kern w:val="0"/>
        </w:rPr>
        <w:t>”</w:t>
      </w:r>
      <w:r>
        <w:rPr>
          <w:kern w:val="0"/>
        </w:rPr>
        <w:t xml:space="preserve">. </w:t>
      </w:r>
      <w:r>
        <w:rPr>
          <w:i/>
          <w:iCs/>
          <w:kern w:val="0"/>
        </w:rPr>
        <w:t>Arquivos Brasileiros de Cardiologia</w:t>
      </w:r>
      <w:r>
        <w:rPr>
          <w:kern w:val="0"/>
        </w:rPr>
        <w:t xml:space="preserve">, </w:t>
      </w:r>
      <w:r>
        <w:rPr>
          <w:b/>
          <w:bCs/>
          <w:kern w:val="0"/>
        </w:rPr>
        <w:t>97</w:t>
      </w:r>
      <w:r>
        <w:rPr>
          <w:kern w:val="0"/>
        </w:rPr>
        <w:t xml:space="preserve"> (1), 87</w:t>
      </w:r>
      <w:r>
        <w:rPr>
          <w:rFonts w:hint="eastAsia"/>
          <w:kern w:val="0"/>
        </w:rPr>
        <w:t>.</w:t>
      </w:r>
    </w:p>
    <w:p w:rsidR="00DA6412" w:rsidRPr="00F219CA" w:rsidRDefault="00DA6412" w:rsidP="00DA6412">
      <w:pPr>
        <w:pStyle w:val="a3"/>
      </w:pPr>
      <w:r w:rsidRPr="00F219CA">
        <w:t xml:space="preserve">Full Text: </w:t>
      </w:r>
      <w:hyperlink r:id="rId1221" w:history="1">
        <w:r w:rsidRPr="00DA6412">
          <w:rPr>
            <w:rStyle w:val="a5"/>
          </w:rPr>
          <w:t>2011\Arq Bra Car97, 87.pdf</w:t>
        </w:r>
      </w:hyperlink>
    </w:p>
    <w:p w:rsidR="00DA6412" w:rsidRDefault="00DA6412" w:rsidP="00DA6412">
      <w:pPr>
        <w:pStyle w:val="a3"/>
        <w:rPr>
          <w:kern w:val="0"/>
        </w:rPr>
      </w:pPr>
      <w:r>
        <w:rPr>
          <w:kern w:val="0"/>
        </w:rPr>
        <w:t>Keywords: Bibliometrics, Journal Impact Factor, Scientific</w:t>
      </w:r>
      <w:r w:rsidR="005853A9">
        <w:rPr>
          <w:kern w:val="0"/>
        </w:rPr>
        <w:t xml:space="preserve"> and </w:t>
      </w:r>
      <w:r>
        <w:rPr>
          <w:kern w:val="0"/>
        </w:rPr>
        <w:t>Technical Publications</w:t>
      </w:r>
    </w:p>
    <w:p w:rsidR="00941562" w:rsidRDefault="00941562" w:rsidP="00941562">
      <w:pPr>
        <w:pStyle w:val="a3"/>
        <w:rPr>
          <w:kern w:val="0"/>
        </w:rPr>
      </w:pPr>
      <w:r>
        <w:rPr>
          <w:rFonts w:hint="eastAsia"/>
          <w:kern w:val="0"/>
        </w:rPr>
        <w:t>? Ben</w:t>
      </w:r>
      <w:r>
        <w:rPr>
          <w:kern w:val="0"/>
        </w:rPr>
        <w:t>chimol-Barbosa, P.R., Ribeiro, R.L.</w:t>
      </w:r>
      <w:r w:rsidR="005853A9">
        <w:rPr>
          <w:kern w:val="0"/>
        </w:rPr>
        <w:t xml:space="preserve"> and </w:t>
      </w:r>
      <w:r>
        <w:rPr>
          <w:kern w:val="0"/>
        </w:rPr>
        <w:t>Barbosa, E.C. (2011), Further comments on</w:t>
      </w:r>
      <w:r w:rsidR="003A1917">
        <w:rPr>
          <w:kern w:val="0"/>
        </w:rPr>
        <w:t xml:space="preserve"> the </w:t>
      </w:r>
      <w:r>
        <w:rPr>
          <w:kern w:val="0"/>
        </w:rPr>
        <w:t xml:space="preserve">paper by Thomas et al: How to evaluate </w:t>
      </w:r>
      <w:r w:rsidR="00B5188C">
        <w:rPr>
          <w:kern w:val="0"/>
        </w:rPr>
        <w:t>“</w:t>
      </w:r>
      <w:r>
        <w:rPr>
          <w:kern w:val="0"/>
        </w:rPr>
        <w:t>quality</w:t>
      </w:r>
      <w:r w:rsidR="00427468">
        <w:rPr>
          <w:kern w:val="0"/>
        </w:rPr>
        <w:t xml:space="preserve"> of </w:t>
      </w:r>
      <w:r>
        <w:rPr>
          <w:kern w:val="0"/>
        </w:rPr>
        <w:t>publication</w:t>
      </w:r>
      <w:r w:rsidR="00B5188C">
        <w:rPr>
          <w:kern w:val="0"/>
        </w:rPr>
        <w:t>”</w:t>
      </w:r>
      <w:r>
        <w:rPr>
          <w:kern w:val="0"/>
        </w:rPr>
        <w:t xml:space="preserve">. </w:t>
      </w:r>
      <w:r>
        <w:rPr>
          <w:i/>
          <w:iCs/>
          <w:kern w:val="0"/>
        </w:rPr>
        <w:t>Arquivos Brasileiros de Cardiologia</w:t>
      </w:r>
      <w:r>
        <w:rPr>
          <w:kern w:val="0"/>
        </w:rPr>
        <w:t xml:space="preserve">, </w:t>
      </w:r>
      <w:r>
        <w:rPr>
          <w:b/>
          <w:bCs/>
          <w:kern w:val="0"/>
        </w:rPr>
        <w:t>97</w:t>
      </w:r>
      <w:r>
        <w:rPr>
          <w:kern w:val="0"/>
        </w:rPr>
        <w:t xml:space="preserve"> (1), 88</w:t>
      </w:r>
      <w:r>
        <w:rPr>
          <w:rFonts w:hint="eastAsia"/>
          <w:kern w:val="0"/>
        </w:rPr>
        <w:t>.</w:t>
      </w:r>
    </w:p>
    <w:p w:rsidR="00941562" w:rsidRPr="00F219CA" w:rsidRDefault="00941562" w:rsidP="00941562">
      <w:pPr>
        <w:pStyle w:val="a3"/>
      </w:pPr>
      <w:r w:rsidRPr="00F219CA">
        <w:t xml:space="preserve">Full Text: </w:t>
      </w:r>
      <w:hyperlink r:id="rId1222" w:history="1">
        <w:r w:rsidRPr="00941562">
          <w:rPr>
            <w:rStyle w:val="a5"/>
          </w:rPr>
          <w:t>2011\Arq Bra Car97, 88.pdf</w:t>
        </w:r>
      </w:hyperlink>
    </w:p>
    <w:p w:rsidR="00941562" w:rsidRDefault="00941562" w:rsidP="00941562">
      <w:pPr>
        <w:pStyle w:val="a3"/>
        <w:rPr>
          <w:kern w:val="0"/>
        </w:rPr>
      </w:pPr>
      <w:r>
        <w:rPr>
          <w:kern w:val="0"/>
        </w:rPr>
        <w:t>Keywords: Bibliometrics, Journal Impact Factor, Scientific</w:t>
      </w:r>
      <w:r w:rsidR="005853A9">
        <w:rPr>
          <w:kern w:val="0"/>
        </w:rPr>
        <w:t xml:space="preserve"> and </w:t>
      </w:r>
      <w:r>
        <w:rPr>
          <w:kern w:val="0"/>
        </w:rPr>
        <w:t>Technical Publications</w:t>
      </w:r>
    </w:p>
    <w:p w:rsidR="00782578" w:rsidRDefault="00782578" w:rsidP="00782578">
      <w:pPr>
        <w:pStyle w:val="a3"/>
        <w:rPr>
          <w:kern w:val="0"/>
        </w:rPr>
      </w:pPr>
      <w:r>
        <w:rPr>
          <w:rFonts w:hint="eastAsia"/>
          <w:kern w:val="0"/>
        </w:rPr>
        <w:t xml:space="preserve">? </w:t>
      </w:r>
      <w:r>
        <w:rPr>
          <w:kern w:val="0"/>
        </w:rPr>
        <w:t>Oliveira, E.A., Ribeiro, A.L.P., Quirino, I.G., Oliveira, M.C.L., Martelli, D.R., Lima, L.S., Colosimo, E.A., Lopes, T.J., Silva, A.C.S.E.</w:t>
      </w:r>
      <w:r w:rsidR="005853A9">
        <w:rPr>
          <w:kern w:val="0"/>
        </w:rPr>
        <w:t xml:space="preserve"> and </w:t>
      </w:r>
      <w:r>
        <w:rPr>
          <w:kern w:val="0"/>
        </w:rPr>
        <w:t>Martelli, H. (2011), Profile</w:t>
      </w:r>
      <w:r w:rsidR="005853A9">
        <w:rPr>
          <w:kern w:val="0"/>
        </w:rPr>
        <w:t xml:space="preserve"> and </w:t>
      </w:r>
      <w:r>
        <w:rPr>
          <w:kern w:val="0"/>
        </w:rPr>
        <w:t>scientific production</w:t>
      </w:r>
      <w:r w:rsidR="00427468">
        <w:rPr>
          <w:kern w:val="0"/>
        </w:rPr>
        <w:t xml:space="preserve"> of </w:t>
      </w:r>
      <w:r>
        <w:rPr>
          <w:kern w:val="0"/>
        </w:rPr>
        <w:t xml:space="preserve">CNPq researchers in cardiology. </w:t>
      </w:r>
      <w:r>
        <w:rPr>
          <w:i/>
          <w:iCs/>
          <w:kern w:val="0"/>
        </w:rPr>
        <w:t>Arquivos Brasileiros de Cardiologia</w:t>
      </w:r>
      <w:r>
        <w:rPr>
          <w:kern w:val="0"/>
        </w:rPr>
        <w:t xml:space="preserve">, </w:t>
      </w:r>
      <w:r>
        <w:rPr>
          <w:b/>
          <w:bCs/>
          <w:kern w:val="0"/>
        </w:rPr>
        <w:t>97</w:t>
      </w:r>
      <w:r>
        <w:rPr>
          <w:kern w:val="0"/>
        </w:rPr>
        <w:t xml:space="preserve"> (3), 186-193.</w:t>
      </w:r>
    </w:p>
    <w:p w:rsidR="00782578" w:rsidRPr="00F219CA" w:rsidRDefault="00782578" w:rsidP="00782578">
      <w:pPr>
        <w:pStyle w:val="a3"/>
      </w:pPr>
      <w:r w:rsidRPr="00F219CA">
        <w:t xml:space="preserve">Full Text: </w:t>
      </w:r>
      <w:hyperlink r:id="rId1223" w:history="1">
        <w:r w:rsidRPr="007F11D3">
          <w:rPr>
            <w:rStyle w:val="a5"/>
          </w:rPr>
          <w:t>2011\Arq Bra Car97, 186.pdf</w:t>
        </w:r>
      </w:hyperlink>
    </w:p>
    <w:p w:rsidR="00782578" w:rsidRDefault="00782578" w:rsidP="00782578">
      <w:pPr>
        <w:pStyle w:val="a3"/>
        <w:rPr>
          <w:kern w:val="0"/>
        </w:rPr>
      </w:pPr>
      <w:r>
        <w:rPr>
          <w:kern w:val="0"/>
        </w:rPr>
        <w:t>Abstract: Background: Systematic assessments</w:t>
      </w:r>
      <w:r w:rsidR="00427468">
        <w:rPr>
          <w:kern w:val="0"/>
        </w:rPr>
        <w:t xml:space="preserve"> of </w:t>
      </w:r>
      <w:r w:rsidR="003A1917">
        <w:rPr>
          <w:kern w:val="0"/>
        </w:rPr>
        <w:t xml:space="preserve">the </w:t>
      </w:r>
      <w:r>
        <w:rPr>
          <w:kern w:val="0"/>
        </w:rPr>
        <w:t>scientific production can optimize resource allocation</w:t>
      </w:r>
      <w:r w:rsidR="005853A9">
        <w:rPr>
          <w:kern w:val="0"/>
        </w:rPr>
        <w:t xml:space="preserve"> and </w:t>
      </w:r>
      <w:r>
        <w:rPr>
          <w:kern w:val="0"/>
        </w:rPr>
        <w:t>increase research productivity in Brazil. Objective:</w:t>
      </w:r>
      <w:r w:rsidR="003A1917">
        <w:rPr>
          <w:kern w:val="0"/>
        </w:rPr>
        <w:t xml:space="preserve"> the </w:t>
      </w:r>
      <w:r>
        <w:rPr>
          <w:kern w:val="0"/>
        </w:rPr>
        <w:t>aim</w:t>
      </w:r>
      <w:r w:rsidR="00427468">
        <w:rPr>
          <w:kern w:val="0"/>
        </w:rPr>
        <w:t xml:space="preserve"> of </w:t>
      </w:r>
      <w:r>
        <w:rPr>
          <w:kern w:val="0"/>
        </w:rPr>
        <w:t>this study was to evaluate</w:t>
      </w:r>
      <w:r w:rsidR="003A1917">
        <w:rPr>
          <w:kern w:val="0"/>
        </w:rPr>
        <w:t xml:space="preserve"> the </w:t>
      </w:r>
      <w:r>
        <w:rPr>
          <w:kern w:val="0"/>
        </w:rPr>
        <w:t>profile</w:t>
      </w:r>
      <w:r w:rsidR="005853A9">
        <w:rPr>
          <w:kern w:val="0"/>
        </w:rPr>
        <w:t xml:space="preserve"> and </w:t>
      </w:r>
      <w:r>
        <w:rPr>
          <w:kern w:val="0"/>
        </w:rPr>
        <w:t>scientific production</w:t>
      </w:r>
      <w:r w:rsidR="00427468">
        <w:rPr>
          <w:kern w:val="0"/>
        </w:rPr>
        <w:t xml:space="preserve"> of </w:t>
      </w:r>
      <w:r>
        <w:rPr>
          <w:kern w:val="0"/>
        </w:rPr>
        <w:t>researchers in</w:t>
      </w:r>
      <w:r w:rsidR="003A1917">
        <w:rPr>
          <w:kern w:val="0"/>
        </w:rPr>
        <w:t xml:space="preserve"> the </w:t>
      </w:r>
      <w:r>
        <w:rPr>
          <w:kern w:val="0"/>
        </w:rPr>
        <w:t>field</w:t>
      </w:r>
      <w:r w:rsidR="00427468">
        <w:rPr>
          <w:kern w:val="0"/>
        </w:rPr>
        <w:t xml:space="preserve"> of </w:t>
      </w:r>
      <w:r>
        <w:rPr>
          <w:kern w:val="0"/>
        </w:rPr>
        <w:t>Cardiology who have fellowship in Medicine provided by</w:t>
      </w:r>
      <w:r w:rsidR="003A1917">
        <w:rPr>
          <w:kern w:val="0"/>
        </w:rPr>
        <w:t xml:space="preserve"> the </w:t>
      </w:r>
      <w:r>
        <w:rPr>
          <w:kern w:val="0"/>
        </w:rPr>
        <w:t>Conselho Nacional de Desenvolvimento Cientifico e Tecnologico. Methods:</w:t>
      </w:r>
      <w:r w:rsidR="003A1917">
        <w:rPr>
          <w:kern w:val="0"/>
        </w:rPr>
        <w:t xml:space="preserve"> the </w:t>
      </w:r>
      <w:r>
        <w:rPr>
          <w:kern w:val="0"/>
        </w:rPr>
        <w:t>curriculum Lattes</w:t>
      </w:r>
      <w:r w:rsidR="00427468">
        <w:rPr>
          <w:kern w:val="0"/>
        </w:rPr>
        <w:t xml:space="preserve"> of </w:t>
      </w:r>
      <w:r>
        <w:rPr>
          <w:kern w:val="0"/>
        </w:rPr>
        <w:t>33 researchers with active fellowships from 2006 to 2008 were included in</w:t>
      </w:r>
      <w:r w:rsidR="003A1917">
        <w:rPr>
          <w:kern w:val="0"/>
        </w:rPr>
        <w:t xml:space="preserve"> the </w:t>
      </w:r>
      <w:r>
        <w:rPr>
          <w:kern w:val="0"/>
        </w:rPr>
        <w:t>analysis</w:t>
      </w:r>
      <w:r w:rsidR="00A37C1D">
        <w:rPr>
          <w:kern w:val="0"/>
        </w:rPr>
        <w:t>. The</w:t>
      </w:r>
      <w:r w:rsidR="003A1917">
        <w:rPr>
          <w:kern w:val="0"/>
        </w:rPr>
        <w:t xml:space="preserve"> </w:t>
      </w:r>
      <w:r>
        <w:rPr>
          <w:kern w:val="0"/>
        </w:rPr>
        <w:t>variables</w:t>
      </w:r>
      <w:r w:rsidR="00427468">
        <w:rPr>
          <w:kern w:val="0"/>
        </w:rPr>
        <w:t xml:space="preserve"> of </w:t>
      </w:r>
      <w:r>
        <w:rPr>
          <w:kern w:val="0"/>
        </w:rPr>
        <w:t>interest were: gender, affiliation, tutoring</w:t>
      </w:r>
      <w:r w:rsidR="00427468">
        <w:rPr>
          <w:kern w:val="0"/>
        </w:rPr>
        <w:t xml:space="preserve"> of </w:t>
      </w:r>
      <w:r>
        <w:rPr>
          <w:kern w:val="0"/>
        </w:rPr>
        <w:t>undergraduate, masters</w:t>
      </w:r>
      <w:r w:rsidR="005853A9">
        <w:rPr>
          <w:kern w:val="0"/>
        </w:rPr>
        <w:t xml:space="preserve"> and </w:t>
      </w:r>
      <w:r>
        <w:rPr>
          <w:kern w:val="0"/>
        </w:rPr>
        <w:t>PhD students,</w:t>
      </w:r>
      <w:r w:rsidR="005853A9">
        <w:rPr>
          <w:kern w:val="0"/>
        </w:rPr>
        <w:t xml:space="preserve"> and </w:t>
      </w:r>
      <w:r>
        <w:rPr>
          <w:kern w:val="0"/>
        </w:rPr>
        <w:t>scientific production</w:t>
      </w:r>
      <w:r w:rsidR="005853A9">
        <w:rPr>
          <w:kern w:val="0"/>
        </w:rPr>
        <w:t xml:space="preserve"> and </w:t>
      </w:r>
      <w:r>
        <w:rPr>
          <w:kern w:val="0"/>
        </w:rPr>
        <w:t>its impact. Results: There was predominance</w:t>
      </w:r>
      <w:r w:rsidR="00427468">
        <w:rPr>
          <w:kern w:val="0"/>
        </w:rPr>
        <w:t xml:space="preserve"> of </w:t>
      </w:r>
      <w:r>
        <w:rPr>
          <w:kern w:val="0"/>
        </w:rPr>
        <w:t>males (72.7%)</w:t>
      </w:r>
      <w:r w:rsidR="005853A9">
        <w:rPr>
          <w:kern w:val="0"/>
        </w:rPr>
        <w:t xml:space="preserve"> and</w:t>
      </w:r>
      <w:r w:rsidR="00427468">
        <w:rPr>
          <w:kern w:val="0"/>
        </w:rPr>
        <w:t xml:space="preserve"> of </w:t>
      </w:r>
      <w:r>
        <w:rPr>
          <w:kern w:val="0"/>
        </w:rPr>
        <w:t>fellowship level 2 (56.4%). Three states</w:t>
      </w:r>
      <w:r w:rsidR="00427468">
        <w:rPr>
          <w:kern w:val="0"/>
        </w:rPr>
        <w:t xml:space="preserve"> of </w:t>
      </w:r>
      <w:r w:rsidR="003A1917">
        <w:rPr>
          <w:kern w:val="0"/>
        </w:rPr>
        <w:t xml:space="preserve">the </w:t>
      </w:r>
      <w:r>
        <w:rPr>
          <w:kern w:val="0"/>
        </w:rPr>
        <w:t>Federation were responsible for 94%</w:t>
      </w:r>
      <w:r w:rsidR="00427468">
        <w:rPr>
          <w:kern w:val="0"/>
        </w:rPr>
        <w:t xml:space="preserve"> of </w:t>
      </w:r>
      <w:r w:rsidR="003A1917">
        <w:rPr>
          <w:kern w:val="0"/>
        </w:rPr>
        <w:t xml:space="preserve">the </w:t>
      </w:r>
      <w:r>
        <w:rPr>
          <w:kern w:val="0"/>
        </w:rPr>
        <w:t>researchers: SP (28; 71.8%), RS (4; 10.3%), e RJ (3; 9.1%). Four institutions are responsible for about 82%</w:t>
      </w:r>
      <w:r w:rsidR="00427468">
        <w:rPr>
          <w:kern w:val="0"/>
        </w:rPr>
        <w:t xml:space="preserve"> of </w:t>
      </w:r>
      <w:r>
        <w:rPr>
          <w:kern w:val="0"/>
        </w:rPr>
        <w:t>researchers: USP (13; 39.4%), UNESP (5; 15.2%), UFRGS (4; 12.1%) e UNIFESP (3; 9.1%). During all academic careers,</w:t>
      </w:r>
      <w:r w:rsidR="003A1917">
        <w:rPr>
          <w:kern w:val="0"/>
        </w:rPr>
        <w:t xml:space="preserve"> the </w:t>
      </w:r>
      <w:r>
        <w:rPr>
          <w:kern w:val="0"/>
        </w:rPr>
        <w:t>researchers published 2.958 journal articles, with a mean</w:t>
      </w:r>
      <w:r w:rsidR="00427468">
        <w:rPr>
          <w:kern w:val="0"/>
        </w:rPr>
        <w:t xml:space="preserve"> of </w:t>
      </w:r>
      <w:r>
        <w:rPr>
          <w:kern w:val="0"/>
        </w:rPr>
        <w:t>89 articles per researcher.</w:t>
      </w:r>
      <w:r w:rsidR="00427468">
        <w:rPr>
          <w:kern w:val="0"/>
        </w:rPr>
        <w:t xml:space="preserve"> of </w:t>
      </w:r>
      <w:r>
        <w:rPr>
          <w:kern w:val="0"/>
        </w:rPr>
        <w:t>total, 55%</w:t>
      </w:r>
      <w:r w:rsidR="005853A9">
        <w:rPr>
          <w:kern w:val="0"/>
        </w:rPr>
        <w:t xml:space="preserve"> and </w:t>
      </w:r>
      <w:r>
        <w:rPr>
          <w:kern w:val="0"/>
        </w:rPr>
        <w:t xml:space="preserve">75% were indexed at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databases, respectively</w:t>
      </w:r>
      <w:r w:rsidR="00A37C1D">
        <w:rPr>
          <w:kern w:val="0"/>
        </w:rPr>
        <w:t>. The</w:t>
      </w:r>
      <w:r w:rsidR="003A1917">
        <w:rPr>
          <w:kern w:val="0"/>
        </w:rPr>
        <w:t xml:space="preserve"> </w:t>
      </w:r>
      <w:r>
        <w:rPr>
          <w:kern w:val="0"/>
        </w:rPr>
        <w:t>researchers received a total</w:t>
      </w:r>
      <w:r w:rsidR="00427468">
        <w:rPr>
          <w:kern w:val="0"/>
        </w:rPr>
        <w:t xml:space="preserve"> of </w:t>
      </w:r>
      <w:r>
        <w:rPr>
          <w:kern w:val="0"/>
        </w:rPr>
        <w:t>19648 citations at</w:t>
      </w:r>
      <w:r w:rsidR="003A1917">
        <w:rPr>
          <w:kern w:val="0"/>
        </w:rPr>
        <w:t xml:space="preserve"> the </w:t>
      </w:r>
      <w:r>
        <w:rPr>
          <w:kern w:val="0"/>
        </w:rPr>
        <w:t xml:space="preserve">database </w:t>
      </w:r>
      <w:r w:rsidR="00D5664A">
        <w:rPr>
          <w:kern w:val="0"/>
        </w:rPr>
        <w:t>Web</w:t>
      </w:r>
      <w:r w:rsidR="00427468">
        <w:rPr>
          <w:kern w:val="0"/>
        </w:rPr>
        <w:t xml:space="preserve"> of </w:t>
      </w:r>
      <w:r w:rsidR="00D5664A">
        <w:rPr>
          <w:kern w:val="0"/>
        </w:rPr>
        <w:t>Science</w:t>
      </w:r>
      <w:r>
        <w:rPr>
          <w:kern w:val="0"/>
        </w:rPr>
        <w:t>, with a median</w:t>
      </w:r>
      <w:r w:rsidR="00427468">
        <w:rPr>
          <w:kern w:val="0"/>
        </w:rPr>
        <w:t xml:space="preserve"> of </w:t>
      </w:r>
      <w:r>
        <w:rPr>
          <w:kern w:val="0"/>
        </w:rPr>
        <w:t>330 citations per researcher (IQ = 198-706)</w:t>
      </w:r>
      <w:r w:rsidR="00A37C1D">
        <w:rPr>
          <w:kern w:val="0"/>
        </w:rPr>
        <w:t>. The</w:t>
      </w:r>
      <w:r w:rsidR="003A1917">
        <w:rPr>
          <w:kern w:val="0"/>
        </w:rPr>
        <w:t xml:space="preserve"> </w:t>
      </w:r>
      <w:r>
        <w:rPr>
          <w:kern w:val="0"/>
        </w:rPr>
        <w:t>average number</w:t>
      </w:r>
      <w:r w:rsidR="00427468">
        <w:rPr>
          <w:kern w:val="0"/>
        </w:rPr>
        <w:t xml:space="preserve"> of </w:t>
      </w:r>
      <w:r>
        <w:rPr>
          <w:kern w:val="0"/>
        </w:rPr>
        <w:t>citations per article was 13.5 citations (SD = 11.6). Conclusions: Our study has shown that researchers in</w:t>
      </w:r>
      <w:r w:rsidR="003A1917">
        <w:rPr>
          <w:kern w:val="0"/>
        </w:rPr>
        <w:t xml:space="preserve"> the </w:t>
      </w:r>
      <w:r>
        <w:rPr>
          <w:kern w:val="0"/>
        </w:rPr>
        <w:t>field</w:t>
      </w:r>
      <w:r w:rsidR="00427468">
        <w:rPr>
          <w:kern w:val="0"/>
        </w:rPr>
        <w:t xml:space="preserve"> of </w:t>
      </w:r>
      <w:r>
        <w:rPr>
          <w:kern w:val="0"/>
        </w:rPr>
        <w:t>cardiology have a relevant scientific production</w:t>
      </w:r>
      <w:r w:rsidR="00A37C1D">
        <w:rPr>
          <w:kern w:val="0"/>
        </w:rPr>
        <w:t>. The</w:t>
      </w:r>
      <w:r w:rsidR="003A1917">
        <w:rPr>
          <w:kern w:val="0"/>
        </w:rPr>
        <w:t xml:space="preserve"> </w:t>
      </w:r>
      <w:r>
        <w:rPr>
          <w:kern w:val="0"/>
        </w:rPr>
        <w:t>knowledge</w:t>
      </w:r>
      <w:r w:rsidR="00427468">
        <w:rPr>
          <w:kern w:val="0"/>
        </w:rPr>
        <w:t xml:space="preserve"> of </w:t>
      </w:r>
      <w:r w:rsidR="003A1917">
        <w:rPr>
          <w:kern w:val="0"/>
        </w:rPr>
        <w:t xml:space="preserve">the </w:t>
      </w:r>
      <w:r>
        <w:rPr>
          <w:kern w:val="0"/>
        </w:rPr>
        <w:t>profile</w:t>
      </w:r>
      <w:r w:rsidR="00427468">
        <w:rPr>
          <w:kern w:val="0"/>
        </w:rPr>
        <w:t xml:space="preserve"> of </w:t>
      </w:r>
      <w:r>
        <w:rPr>
          <w:kern w:val="0"/>
        </w:rPr>
        <w:t>researchers in</w:t>
      </w:r>
      <w:r w:rsidR="003A1917">
        <w:rPr>
          <w:kern w:val="0"/>
        </w:rPr>
        <w:t xml:space="preserve"> the </w:t>
      </w:r>
      <w:r>
        <w:rPr>
          <w:kern w:val="0"/>
        </w:rPr>
        <w:t>field</w:t>
      </w:r>
      <w:r w:rsidR="00427468">
        <w:rPr>
          <w:kern w:val="0"/>
        </w:rPr>
        <w:t xml:space="preserve"> of </w:t>
      </w:r>
      <w:r>
        <w:rPr>
          <w:kern w:val="0"/>
        </w:rPr>
        <w:t>Cardiology will probably enable effective strategies to qualitatively improve</w:t>
      </w:r>
      <w:r w:rsidR="003A1917">
        <w:rPr>
          <w:kern w:val="0"/>
        </w:rPr>
        <w:t xml:space="preserve"> the </w:t>
      </w:r>
      <w:r>
        <w:rPr>
          <w:kern w:val="0"/>
        </w:rPr>
        <w:t>scientific output</w:t>
      </w:r>
      <w:r w:rsidR="00427468">
        <w:rPr>
          <w:kern w:val="0"/>
        </w:rPr>
        <w:t xml:space="preserve"> of </w:t>
      </w:r>
      <w:r>
        <w:rPr>
          <w:kern w:val="0"/>
        </w:rPr>
        <w:t>Brazilian researchers. (Arq Bras Cardiol 2011; 97(3) : 186-193).</w:t>
      </w:r>
    </w:p>
    <w:p w:rsidR="00782578" w:rsidRDefault="00782578" w:rsidP="00782578">
      <w:pPr>
        <w:pStyle w:val="a3"/>
        <w:rPr>
          <w:kern w:val="0"/>
        </w:rPr>
      </w:pPr>
      <w:r>
        <w:rPr>
          <w:kern w:val="0"/>
        </w:rPr>
        <w:t>Keywords: Affiliation, Analysis, Bibliometric Indicators, Brazil, Cardiology, Citations, Databases, Education, Gender, Health Sciences, Impact, Impact Factor, Interest, Journal, Knowledge, Medical,Graduate, Methods, Productivity, Profile, Research, Research Productivity, Researchers, Science, Scientific</w:t>
      </w:r>
      <w:r w:rsidR="005853A9">
        <w:rPr>
          <w:kern w:val="0"/>
        </w:rPr>
        <w:t xml:space="preserve"> and </w:t>
      </w:r>
      <w:r>
        <w:rPr>
          <w:kern w:val="0"/>
        </w:rPr>
        <w:t xml:space="preserve">Technical Publications, </w:t>
      </w:r>
      <w:r>
        <w:rPr>
          <w:kern w:val="0"/>
        </w:rPr>
        <w:lastRenderedPageBreak/>
        <w:t xml:space="preserve">Scientific Output, Scientific Production, Scopus, Students, Systematic, Undergraduate, </w:t>
      </w:r>
      <w:r w:rsidR="00D5664A">
        <w:rPr>
          <w:kern w:val="0"/>
        </w:rPr>
        <w:t>Web</w:t>
      </w:r>
      <w:r w:rsidR="00427468">
        <w:rPr>
          <w:kern w:val="0"/>
        </w:rPr>
        <w:t xml:space="preserve"> of </w:t>
      </w:r>
      <w:r w:rsidR="00D5664A">
        <w:rPr>
          <w:kern w:val="0"/>
        </w:rPr>
        <w:t>Science</w:t>
      </w:r>
    </w:p>
    <w:p w:rsidR="002B0964" w:rsidRDefault="002B0964" w:rsidP="002B0964">
      <w:pPr>
        <w:pStyle w:val="a3"/>
        <w:rPr>
          <w:kern w:val="0"/>
          <w:szCs w:val="24"/>
        </w:rPr>
      </w:pPr>
      <w:r>
        <w:rPr>
          <w:rFonts w:hint="eastAsia"/>
          <w:kern w:val="0"/>
          <w:szCs w:val="24"/>
        </w:rPr>
        <w:t>? Moreira, L.F.P. (2011), Brazilian archives</w:t>
      </w:r>
      <w:r w:rsidR="00427468">
        <w:rPr>
          <w:rFonts w:hint="eastAsia"/>
          <w:kern w:val="0"/>
          <w:szCs w:val="24"/>
        </w:rPr>
        <w:t xml:space="preserve"> of </w:t>
      </w:r>
      <w:r>
        <w:rPr>
          <w:rFonts w:hint="eastAsia"/>
          <w:kern w:val="0"/>
          <w:szCs w:val="24"/>
        </w:rPr>
        <w:t>cardiology scientific publication award</w:t>
      </w:r>
      <w:r w:rsidR="005853A9">
        <w:rPr>
          <w:rFonts w:hint="eastAsia"/>
          <w:kern w:val="0"/>
          <w:szCs w:val="24"/>
        </w:rPr>
        <w:t xml:space="preserve"> and </w:t>
      </w:r>
      <w:r w:rsidR="003A1917">
        <w:rPr>
          <w:rFonts w:hint="eastAsia"/>
          <w:kern w:val="0"/>
          <w:szCs w:val="24"/>
        </w:rPr>
        <w:t xml:space="preserve">the </w:t>
      </w:r>
      <w:r>
        <w:rPr>
          <w:rFonts w:hint="eastAsia"/>
          <w:kern w:val="0"/>
          <w:szCs w:val="24"/>
        </w:rPr>
        <w:t xml:space="preserve">national scientific production in cardiology. </w:t>
      </w:r>
      <w:r>
        <w:rPr>
          <w:rFonts w:hint="eastAsia"/>
          <w:i/>
          <w:iCs/>
          <w:kern w:val="0"/>
          <w:szCs w:val="24"/>
        </w:rPr>
        <w:t>Arquivos Brasileiros de Cardiologia</w:t>
      </w:r>
      <w:r>
        <w:rPr>
          <w:rFonts w:hint="eastAsia"/>
          <w:kern w:val="0"/>
          <w:szCs w:val="24"/>
        </w:rPr>
        <w:t xml:space="preserve">, </w:t>
      </w:r>
      <w:r>
        <w:rPr>
          <w:rFonts w:hint="eastAsia"/>
          <w:b/>
          <w:bCs/>
          <w:kern w:val="0"/>
          <w:szCs w:val="24"/>
        </w:rPr>
        <w:t>97</w:t>
      </w:r>
      <w:r>
        <w:rPr>
          <w:rFonts w:hint="eastAsia"/>
          <w:kern w:val="0"/>
          <w:szCs w:val="24"/>
        </w:rPr>
        <w:t xml:space="preserve"> (6), 444-445.</w:t>
      </w:r>
    </w:p>
    <w:p w:rsidR="002B0964" w:rsidRDefault="002B0964" w:rsidP="002B0964">
      <w:pPr>
        <w:pStyle w:val="a3"/>
      </w:pPr>
      <w:r>
        <w:rPr>
          <w:rFonts w:hint="eastAsia"/>
        </w:rPr>
        <w:t xml:space="preserve">Full Text: </w:t>
      </w:r>
      <w:hyperlink r:id="rId1224" w:history="1">
        <w:r w:rsidRPr="00CC4F69">
          <w:rPr>
            <w:rStyle w:val="a5"/>
          </w:rPr>
          <w:t>2011\Arq Bra Car97, 444.pdf</w:t>
        </w:r>
      </w:hyperlink>
    </w:p>
    <w:p w:rsidR="002B0964" w:rsidRDefault="002B0964" w:rsidP="002B0964">
      <w:pPr>
        <w:pStyle w:val="a3"/>
        <w:rPr>
          <w:kern w:val="0"/>
          <w:szCs w:val="24"/>
        </w:rPr>
      </w:pPr>
      <w:r>
        <w:rPr>
          <w:rFonts w:hint="eastAsia"/>
          <w:kern w:val="0"/>
          <w:szCs w:val="24"/>
        </w:rPr>
        <w:t>Keywords: Bibliometrics, Cardiology, Cardiomyopathy, Citation Databases, Publication, Scientific</w:t>
      </w:r>
      <w:r w:rsidR="005853A9">
        <w:rPr>
          <w:rFonts w:hint="eastAsia"/>
          <w:kern w:val="0"/>
          <w:szCs w:val="24"/>
        </w:rPr>
        <w:t xml:space="preserve"> and </w:t>
      </w:r>
      <w:r>
        <w:rPr>
          <w:rFonts w:hint="eastAsia"/>
          <w:kern w:val="0"/>
          <w:szCs w:val="24"/>
        </w:rPr>
        <w:t>Technical Publications</w:t>
      </w:r>
    </w:p>
    <w:p w:rsidR="002D0DE0" w:rsidRDefault="002D0DE0" w:rsidP="002D0DE0">
      <w:pPr>
        <w:pStyle w:val="a3"/>
        <w:rPr>
          <w:kern w:val="0"/>
          <w:szCs w:val="24"/>
        </w:rPr>
      </w:pPr>
      <w:r>
        <w:rPr>
          <w:rFonts w:hint="eastAsia"/>
          <w:kern w:val="0"/>
          <w:szCs w:val="24"/>
        </w:rPr>
        <w:t>? Stein, R.</w:t>
      </w:r>
      <w:r w:rsidR="005853A9">
        <w:rPr>
          <w:rFonts w:hint="eastAsia"/>
          <w:kern w:val="0"/>
          <w:szCs w:val="24"/>
        </w:rPr>
        <w:t xml:space="preserve"> and </w:t>
      </w:r>
      <w:r>
        <w:rPr>
          <w:rFonts w:hint="eastAsia"/>
          <w:kern w:val="0"/>
          <w:szCs w:val="24"/>
        </w:rPr>
        <w:t>de Araujo, C.G.S. (2011), Heart, exercise</w:t>
      </w:r>
      <w:r w:rsidR="005853A9">
        <w:rPr>
          <w:rFonts w:hint="eastAsia"/>
          <w:kern w:val="0"/>
          <w:szCs w:val="24"/>
        </w:rPr>
        <w:t xml:space="preserve"> and </w:t>
      </w:r>
      <w:r w:rsidR="003A1917">
        <w:rPr>
          <w:rFonts w:hint="eastAsia"/>
          <w:kern w:val="0"/>
          <w:szCs w:val="24"/>
        </w:rPr>
        <w:t xml:space="preserve">the </w:t>
      </w:r>
      <w:r>
        <w:rPr>
          <w:rFonts w:hint="eastAsia"/>
          <w:kern w:val="0"/>
          <w:szCs w:val="24"/>
        </w:rPr>
        <w:t>Brazilian archives</w:t>
      </w:r>
      <w:r w:rsidR="00427468">
        <w:rPr>
          <w:rFonts w:hint="eastAsia"/>
          <w:kern w:val="0"/>
          <w:szCs w:val="24"/>
        </w:rPr>
        <w:t xml:space="preserve"> of </w:t>
      </w:r>
      <w:r>
        <w:rPr>
          <w:rFonts w:hint="eastAsia"/>
          <w:kern w:val="0"/>
          <w:szCs w:val="24"/>
        </w:rPr>
        <w:t xml:space="preserve">cardiology. </w:t>
      </w:r>
      <w:r>
        <w:rPr>
          <w:rFonts w:hint="eastAsia"/>
          <w:i/>
          <w:iCs/>
          <w:kern w:val="0"/>
          <w:szCs w:val="24"/>
        </w:rPr>
        <w:t>Arquivos Brasileiros de Cardiologia</w:t>
      </w:r>
      <w:r>
        <w:rPr>
          <w:rFonts w:hint="eastAsia"/>
          <w:kern w:val="0"/>
          <w:szCs w:val="24"/>
        </w:rPr>
        <w:t xml:space="preserve">, </w:t>
      </w:r>
      <w:r>
        <w:rPr>
          <w:rFonts w:hint="eastAsia"/>
          <w:b/>
          <w:bCs/>
          <w:kern w:val="0"/>
          <w:szCs w:val="24"/>
        </w:rPr>
        <w:t>97</w:t>
      </w:r>
      <w:r>
        <w:rPr>
          <w:rFonts w:hint="eastAsia"/>
          <w:kern w:val="0"/>
          <w:szCs w:val="24"/>
        </w:rPr>
        <w:t xml:space="preserve"> (6), 446-448</w:t>
      </w:r>
      <w:r w:rsidR="00934A67">
        <w:rPr>
          <w:rFonts w:hint="eastAsia"/>
          <w:kern w:val="0"/>
          <w:szCs w:val="24"/>
        </w:rPr>
        <w:t>.</w:t>
      </w:r>
    </w:p>
    <w:p w:rsidR="002D0DE0" w:rsidRDefault="002D0DE0" w:rsidP="002D0DE0">
      <w:pPr>
        <w:pStyle w:val="a3"/>
      </w:pPr>
      <w:r>
        <w:rPr>
          <w:rFonts w:hint="eastAsia"/>
        </w:rPr>
        <w:t xml:space="preserve">Full Text: </w:t>
      </w:r>
      <w:hyperlink r:id="rId1225" w:history="1">
        <w:r w:rsidRPr="00F24FAE">
          <w:rPr>
            <w:rStyle w:val="a5"/>
          </w:rPr>
          <w:t>2011\Arq Bra Car97, 446.pdf</w:t>
        </w:r>
      </w:hyperlink>
    </w:p>
    <w:p w:rsidR="002D0DE0" w:rsidRDefault="002D0DE0" w:rsidP="002D0DE0">
      <w:pPr>
        <w:pStyle w:val="a3"/>
        <w:rPr>
          <w:kern w:val="0"/>
          <w:szCs w:val="24"/>
        </w:rPr>
      </w:pPr>
      <w:r>
        <w:rPr>
          <w:rFonts w:hint="eastAsia"/>
          <w:kern w:val="0"/>
          <w:szCs w:val="24"/>
        </w:rPr>
        <w:t>Keywords: Bibliometrics, Cardiology, Exercise, Heart, Publications</w:t>
      </w:r>
    </w:p>
    <w:p w:rsidR="00901971" w:rsidRDefault="00901971" w:rsidP="00901971">
      <w:pPr>
        <w:pStyle w:val="a3"/>
        <w:rPr>
          <w:kern w:val="0"/>
        </w:rPr>
      </w:pPr>
      <w:r>
        <w:rPr>
          <w:rFonts w:hint="eastAsia"/>
          <w:kern w:val="0"/>
        </w:rPr>
        <w:t xml:space="preserve">? </w:t>
      </w:r>
      <w:r>
        <w:rPr>
          <w:kern w:val="0"/>
        </w:rPr>
        <w:t>Moreira, L.F.P. (2013), Impact</w:t>
      </w:r>
      <w:r w:rsidR="00427468">
        <w:rPr>
          <w:kern w:val="0"/>
        </w:rPr>
        <w:t xml:space="preserve"> of </w:t>
      </w:r>
      <w:r>
        <w:rPr>
          <w:kern w:val="0"/>
        </w:rPr>
        <w:t>national scientific production in cardiology on the rating</w:t>
      </w:r>
      <w:r w:rsidR="00427468">
        <w:rPr>
          <w:kern w:val="0"/>
        </w:rPr>
        <w:t xml:space="preserve"> of </w:t>
      </w:r>
      <w:r>
        <w:rPr>
          <w:kern w:val="0"/>
        </w:rPr>
        <w:t xml:space="preserve">journals published in Brazil. </w:t>
      </w:r>
      <w:r>
        <w:rPr>
          <w:i/>
          <w:iCs/>
          <w:kern w:val="0"/>
        </w:rPr>
        <w:t>Arquivos Brasileiros de Cardiologia</w:t>
      </w:r>
      <w:r>
        <w:rPr>
          <w:kern w:val="0"/>
        </w:rPr>
        <w:t xml:space="preserve">, </w:t>
      </w:r>
      <w:r>
        <w:rPr>
          <w:b/>
          <w:bCs/>
          <w:kern w:val="0"/>
        </w:rPr>
        <w:t>101</w:t>
      </w:r>
      <w:r>
        <w:rPr>
          <w:kern w:val="0"/>
        </w:rPr>
        <w:t xml:space="preserve"> (4), 286-287</w:t>
      </w:r>
    </w:p>
    <w:p w:rsidR="00901971" w:rsidRDefault="00901971" w:rsidP="00901971">
      <w:pPr>
        <w:pStyle w:val="a3"/>
      </w:pPr>
      <w:r>
        <w:rPr>
          <w:rFonts w:hint="eastAsia"/>
        </w:rPr>
        <w:t xml:space="preserve">Full Text: </w:t>
      </w:r>
      <w:hyperlink r:id="rId1226" w:history="1">
        <w:r w:rsidRPr="004A6E6F">
          <w:rPr>
            <w:rStyle w:val="a5"/>
          </w:rPr>
          <w:t>2013\Arq Bra Car101, 286.pdf</w:t>
        </w:r>
      </w:hyperlink>
    </w:p>
    <w:p w:rsidR="00901971" w:rsidRDefault="00901971" w:rsidP="00901971">
      <w:pPr>
        <w:pStyle w:val="a3"/>
        <w:rPr>
          <w:kern w:val="0"/>
        </w:rPr>
      </w:pPr>
      <w:r>
        <w:rPr>
          <w:kern w:val="0"/>
        </w:rPr>
        <w:t>Keywords: Bibliometrics, Brazil, Cardiology, Impact, Journals, Production, Program, Registry, Researchers, Scientific Production, Scientific Publications</w:t>
      </w:r>
      <w:r w:rsidR="005853A9">
        <w:rPr>
          <w:kern w:val="0"/>
        </w:rPr>
        <w:t xml:space="preserve"> and </w:t>
      </w:r>
      <w:r>
        <w:rPr>
          <w:kern w:val="0"/>
        </w:rPr>
        <w:t>Techniques Citation Databases, Scientific Research, Society</w:t>
      </w:r>
    </w:p>
    <w:p w:rsidR="00481459" w:rsidRDefault="005859EB" w:rsidP="005859EB">
      <w:pPr>
        <w:pStyle w:val="a3"/>
        <w:rPr>
          <w:kern w:val="0"/>
        </w:rPr>
      </w:pPr>
      <w:r>
        <w:rPr>
          <w:kern w:val="0"/>
        </w:rPr>
        <w:t>? de Araú</w:t>
      </w:r>
      <w:r w:rsidR="00481459">
        <w:rPr>
          <w:kern w:val="0"/>
        </w:rPr>
        <w:t>jo, C.G.S. (2014),</w:t>
      </w:r>
      <w:r w:rsidR="00481459" w:rsidRPr="005859EB">
        <w:rPr>
          <w:kern w:val="0"/>
          <w:szCs w:val="24"/>
        </w:rPr>
        <w:t xml:space="preserve"> </w:t>
      </w:r>
      <w:r w:rsidRPr="005859EB">
        <w:rPr>
          <w:rFonts w:eastAsiaTheme="minorEastAsia"/>
          <w:color w:val="221E1F"/>
          <w:kern w:val="0"/>
          <w:szCs w:val="24"/>
        </w:rPr>
        <w:t>Detalhando a Redação do Artigo Científico: 25 a 30 Parágrafos</w:t>
      </w:r>
      <w:r w:rsidR="00481459">
        <w:rPr>
          <w:kern w:val="0"/>
        </w:rPr>
        <w:t xml:space="preserve">. </w:t>
      </w:r>
      <w:r w:rsidR="00481459">
        <w:rPr>
          <w:i/>
          <w:iCs/>
          <w:kern w:val="0"/>
        </w:rPr>
        <w:t>Arquivos Brasileiros de Cardiologia</w:t>
      </w:r>
      <w:r w:rsidR="00481459">
        <w:rPr>
          <w:kern w:val="0"/>
        </w:rPr>
        <w:t xml:space="preserve">, </w:t>
      </w:r>
      <w:r w:rsidR="00481459">
        <w:rPr>
          <w:b/>
          <w:bCs/>
          <w:kern w:val="0"/>
        </w:rPr>
        <w:t>102</w:t>
      </w:r>
      <w:r w:rsidR="00481459">
        <w:rPr>
          <w:kern w:val="0"/>
        </w:rPr>
        <w:t xml:space="preserve"> (2), E21-E23.</w:t>
      </w:r>
    </w:p>
    <w:p w:rsidR="00481459" w:rsidRPr="001A3D2B" w:rsidRDefault="00481459" w:rsidP="00481459">
      <w:pPr>
        <w:pStyle w:val="a3"/>
      </w:pPr>
      <w:r w:rsidRPr="001A3D2B">
        <w:t xml:space="preserve">Full Text: </w:t>
      </w:r>
      <w:hyperlink r:id="rId1227" w:history="1">
        <w:r w:rsidRPr="00481459">
          <w:rPr>
            <w:rStyle w:val="a5"/>
          </w:rPr>
          <w:t>2014\Arq Bra Car102, E21.pdf</w:t>
        </w:r>
      </w:hyperlink>
    </w:p>
    <w:p w:rsidR="00481459" w:rsidRDefault="00481459" w:rsidP="00481459">
      <w:pPr>
        <w:pStyle w:val="a3"/>
        <w:rPr>
          <w:kern w:val="0"/>
        </w:rPr>
      </w:pPr>
      <w:r>
        <w:rPr>
          <w:kern w:val="0"/>
        </w:rPr>
        <w:t>Keywords: Bibliometrics, Journal Of Article, Methodology, Writing</w:t>
      </w:r>
    </w:p>
    <w:p w:rsidR="005859EB" w:rsidRDefault="005859EB" w:rsidP="005859EB">
      <w:pPr>
        <w:pStyle w:val="a3"/>
        <w:rPr>
          <w:kern w:val="0"/>
        </w:rPr>
      </w:pPr>
      <w:r>
        <w:rPr>
          <w:kern w:val="0"/>
        </w:rPr>
        <w:t>? de Araújo, C.G.S. (2014),</w:t>
      </w:r>
      <w:r w:rsidRPr="005859EB">
        <w:rPr>
          <w:kern w:val="0"/>
          <w:szCs w:val="24"/>
        </w:rPr>
        <w:t xml:space="preserve"> </w:t>
      </w:r>
      <w:r>
        <w:rPr>
          <w:kern w:val="0"/>
        </w:rPr>
        <w:t xml:space="preserve">Detailing the writing of scientific manuscripts: 25-30 paragraphs. </w:t>
      </w:r>
      <w:r>
        <w:rPr>
          <w:i/>
          <w:iCs/>
          <w:kern w:val="0"/>
        </w:rPr>
        <w:t>Arquivos Brasileiros de Cardiologia</w:t>
      </w:r>
      <w:r>
        <w:rPr>
          <w:kern w:val="0"/>
        </w:rPr>
        <w:t xml:space="preserve">, </w:t>
      </w:r>
      <w:r>
        <w:rPr>
          <w:b/>
          <w:bCs/>
          <w:kern w:val="0"/>
        </w:rPr>
        <w:t>102</w:t>
      </w:r>
      <w:r>
        <w:rPr>
          <w:kern w:val="0"/>
        </w:rPr>
        <w:t xml:space="preserve"> (2), E21-E23.</w:t>
      </w:r>
    </w:p>
    <w:p w:rsidR="005859EB" w:rsidRPr="001A3D2B" w:rsidRDefault="005859EB" w:rsidP="005859EB">
      <w:pPr>
        <w:pStyle w:val="a3"/>
      </w:pPr>
      <w:r w:rsidRPr="001A3D2B">
        <w:t xml:space="preserve">Full Text: </w:t>
      </w:r>
      <w:hyperlink r:id="rId1228" w:history="1">
        <w:r w:rsidRPr="00481459">
          <w:rPr>
            <w:rStyle w:val="a5"/>
          </w:rPr>
          <w:t>2014\Arq Bra Car102, E21.pdf</w:t>
        </w:r>
      </w:hyperlink>
    </w:p>
    <w:p w:rsidR="005859EB" w:rsidRDefault="005859EB" w:rsidP="005859EB">
      <w:pPr>
        <w:pStyle w:val="a3"/>
        <w:rPr>
          <w:kern w:val="0"/>
        </w:rPr>
      </w:pPr>
      <w:r>
        <w:rPr>
          <w:kern w:val="0"/>
        </w:rPr>
        <w:t xml:space="preserve">Keywords: Bibliometrics, Journal </w:t>
      </w:r>
      <w:r w:rsidR="002A17B9">
        <w:rPr>
          <w:kern w:val="0"/>
        </w:rPr>
        <w:t xml:space="preserve">of </w:t>
      </w:r>
      <w:r>
        <w:rPr>
          <w:kern w:val="0"/>
        </w:rPr>
        <w:t>Article, Methodology, Writing</w:t>
      </w:r>
    </w:p>
    <w:p w:rsidR="002A17B9" w:rsidRDefault="002A17B9" w:rsidP="002A17B9">
      <w:pPr>
        <w:pStyle w:val="a3"/>
        <w:rPr>
          <w:kern w:val="0"/>
          <w:szCs w:val="24"/>
        </w:rPr>
      </w:pPr>
      <w:r>
        <w:rPr>
          <w:rFonts w:hint="eastAsia"/>
          <w:kern w:val="0"/>
          <w:szCs w:val="24"/>
        </w:rPr>
        <w:t xml:space="preserve">? </w:t>
      </w:r>
      <w:r>
        <w:rPr>
          <w:kern w:val="0"/>
          <w:szCs w:val="24"/>
        </w:rPr>
        <w:t>Mazzaro, C.C., Klostermann, F.C., Erbano, B.O., Schio, N.A., Guarita-Souza, L.C., Olandoski, M., Faria-Neto, J.R. and Baena, C.P. (2014), Dietary interventions and blood pressure in Latin America</w:t>
      </w:r>
      <w:r>
        <w:rPr>
          <w:rFonts w:hint="eastAsia"/>
          <w:kern w:val="0"/>
          <w:szCs w:val="24"/>
        </w:rPr>
        <w:t>:</w:t>
      </w:r>
      <w:r>
        <w:rPr>
          <w:kern w:val="0"/>
          <w:szCs w:val="24"/>
        </w:rPr>
        <w:t xml:space="preserve"> Systematic review and meta-analysis. </w:t>
      </w:r>
      <w:r>
        <w:rPr>
          <w:i/>
          <w:iCs/>
          <w:kern w:val="0"/>
          <w:szCs w:val="24"/>
        </w:rPr>
        <w:t>Arquivos Brasileiros de Cardiologia</w:t>
      </w:r>
      <w:r>
        <w:rPr>
          <w:kern w:val="0"/>
          <w:szCs w:val="24"/>
        </w:rPr>
        <w:t xml:space="preserve">, </w:t>
      </w:r>
      <w:r>
        <w:rPr>
          <w:b/>
          <w:bCs/>
          <w:kern w:val="0"/>
          <w:szCs w:val="24"/>
        </w:rPr>
        <w:t>102</w:t>
      </w:r>
      <w:r>
        <w:rPr>
          <w:kern w:val="0"/>
          <w:szCs w:val="24"/>
        </w:rPr>
        <w:t xml:space="preserve"> (4), 345-354.</w:t>
      </w:r>
    </w:p>
    <w:p w:rsidR="002A17B9" w:rsidRPr="001A3D2B" w:rsidRDefault="002A17B9" w:rsidP="002A17B9">
      <w:pPr>
        <w:pStyle w:val="a3"/>
      </w:pPr>
      <w:r w:rsidRPr="001A3D2B">
        <w:t xml:space="preserve">Full Text: </w:t>
      </w:r>
      <w:hyperlink r:id="rId1229" w:history="1">
        <w:r w:rsidRPr="002A17B9">
          <w:rPr>
            <w:rStyle w:val="a5"/>
          </w:rPr>
          <w:t>2014\Arq Bra Car102, 345.pdf</w:t>
        </w:r>
      </w:hyperlink>
    </w:p>
    <w:p w:rsidR="002A17B9" w:rsidRDefault="002A17B9" w:rsidP="002A17B9">
      <w:pPr>
        <w:pStyle w:val="a3"/>
        <w:rPr>
          <w:kern w:val="0"/>
          <w:szCs w:val="24"/>
        </w:rPr>
      </w:pPr>
      <w:r>
        <w:rPr>
          <w:kern w:val="0"/>
          <w:szCs w:val="24"/>
        </w:rPr>
        <w:t xml:space="preserve">Abstract: Background: High blood pressure is the major risk factor for cardiovascular disease. Low blood pressure control rates in Latin American populations emphasize the need for gathering evidence on effective therapies. Objective: To evaluate the effects of dietary interventions on blood pressure in Latin American populations. Methods: Systematic review. Electronic databases (MEDLINE/PubMed, Embase, Cochrane Library, CINAHL, Web of Science, Scopus, SciELO, LILACS and VHL) were searched and manual search for studies published up to April 2013 was </w:t>
      </w:r>
      <w:r>
        <w:rPr>
          <w:kern w:val="0"/>
          <w:szCs w:val="24"/>
        </w:rPr>
        <w:lastRenderedPageBreak/>
        <w:t>performed. Parallel studies about dietary interventions in Latin American adult populations assessing arterial blood pressure (mm Hg) before and after intervention were included. Results: Of the 405 studies identified, 10 randomized controlled trials were included and divided into 3 subgroups according to the proposed dietary intervention</w:t>
      </w:r>
      <w:r w:rsidR="00A37C1D">
        <w:rPr>
          <w:kern w:val="0"/>
          <w:szCs w:val="24"/>
        </w:rPr>
        <w:t>. The</w:t>
      </w:r>
      <w:r>
        <w:rPr>
          <w:kern w:val="0"/>
          <w:szCs w:val="24"/>
        </w:rPr>
        <w:t>re was a non-significant reduction in systolic blood pressure in the subgroups of mineral replacement (-4.82; 95% CI: -11.36 to 1.73) and complex pattern diets (-3.17; 95% CI: -7.62 to 1.28). Regarding diastolic blood pressure, except for the hyperproteic diet subgroup, all subgroups showed a significant reduction in blood pressure: -4.66 mmHg (95% CI: -9.21 to -0.12) and -4.55 mmHg (95% CI: -7.04 to -2.06) for mineral replacement and complex pattern diets, respectively. Conclusion: Available evidence on the effects of dietary changes on blood pressure in Latin American populations indicates a homogeneous effect of those interventions, although not significant for systolic blood pressure. Samples were small and the quality of the studies was generally low. Larger studies are required to build robust evidence.</w:t>
      </w:r>
    </w:p>
    <w:p w:rsidR="002A17B9" w:rsidRDefault="002A17B9" w:rsidP="002A17B9">
      <w:pPr>
        <w:pStyle w:val="a3"/>
        <w:rPr>
          <w:kern w:val="0"/>
          <w:szCs w:val="24"/>
        </w:rPr>
      </w:pPr>
      <w:r>
        <w:rPr>
          <w:kern w:val="0"/>
          <w:szCs w:val="24"/>
        </w:rPr>
        <w:t>Keywords: Adult, Adults, Arterial Pressure, Assessing, Blood, Blood Pressure, Cardiovascular, Cardiovascular Disease, Changes, Control, Databases, Diet, Disease, Education, Effects, Evidence, Hypertension, Hypertension, Intervention, Interventions, Latin America, Meta-Analysis, Metabolic Syndrome, Methods, Pattern, Populations, Pressure, Prevention, Primary-Health-Care, Quality, Quality Of, Randomized, Randomized Controlled Trials, Randomized-Trials, Rates, Reduction, Results, Review, Risk, Risk Factor, Risk-Factors, Scielo, Science, Scopus, Small, Supplementation, Systematic Review, Web Of Science</w:t>
      </w:r>
    </w:p>
    <w:p w:rsidR="000B7779" w:rsidRDefault="000B7779" w:rsidP="000B7779">
      <w:pPr>
        <w:pStyle w:val="a3"/>
        <w:rPr>
          <w:kern w:val="0"/>
          <w:szCs w:val="24"/>
        </w:rPr>
      </w:pPr>
      <w:r>
        <w:rPr>
          <w:rFonts w:hint="eastAsia"/>
          <w:kern w:val="0"/>
          <w:szCs w:val="24"/>
        </w:rPr>
        <w:t xml:space="preserve">? </w:t>
      </w:r>
      <w:r>
        <w:rPr>
          <w:kern w:val="0"/>
          <w:szCs w:val="24"/>
        </w:rPr>
        <w:t xml:space="preserve">Wang, L.P., Wang, H.Y., Dong, P.S., Li, Z.Z., Wang, Y.Y., Duan, N.N., Zhao, Y.W. and Wang, S.X. (2014), Long-term outcomes of drug-eluting versus bare-metal stent for ST-elevation myocardial infarction. </w:t>
      </w:r>
      <w:r>
        <w:rPr>
          <w:i/>
          <w:iCs/>
          <w:kern w:val="0"/>
          <w:szCs w:val="24"/>
        </w:rPr>
        <w:t>Arquivos Brasileiros de Cardiologia</w:t>
      </w:r>
      <w:r>
        <w:rPr>
          <w:kern w:val="0"/>
          <w:szCs w:val="24"/>
        </w:rPr>
        <w:t xml:space="preserve">, </w:t>
      </w:r>
      <w:r>
        <w:rPr>
          <w:b/>
          <w:bCs/>
          <w:kern w:val="0"/>
          <w:szCs w:val="24"/>
        </w:rPr>
        <w:t>102</w:t>
      </w:r>
      <w:r>
        <w:rPr>
          <w:kern w:val="0"/>
          <w:szCs w:val="24"/>
        </w:rPr>
        <w:t xml:space="preserve"> (6), 529-538.</w:t>
      </w:r>
    </w:p>
    <w:p w:rsidR="000B7779" w:rsidRPr="001A3D2B" w:rsidRDefault="000B7779" w:rsidP="000B7779">
      <w:pPr>
        <w:pStyle w:val="a3"/>
      </w:pPr>
      <w:r w:rsidRPr="001A3D2B">
        <w:t xml:space="preserve">Full Text: </w:t>
      </w:r>
      <w:hyperlink r:id="rId1230" w:history="1">
        <w:r w:rsidRPr="00A44C8F">
          <w:rPr>
            <w:rStyle w:val="a5"/>
          </w:rPr>
          <w:t>2014\Arq Bra Car102, 529.pdf</w:t>
        </w:r>
      </w:hyperlink>
    </w:p>
    <w:p w:rsidR="000B7779" w:rsidRDefault="000B7779" w:rsidP="000B7779">
      <w:pPr>
        <w:pStyle w:val="a3"/>
        <w:rPr>
          <w:kern w:val="0"/>
          <w:szCs w:val="24"/>
        </w:rPr>
      </w:pPr>
      <w:r>
        <w:rPr>
          <w:kern w:val="0"/>
          <w:szCs w:val="24"/>
        </w:rPr>
        <w:t xml:space="preserve">Abstract: Background: Long-term outcomes of drug-eluting stents (DES) versus bare-metal stents (BMS) in patients with ST-segment elevation myocardial infarction (STEMI) remain uncertain. Objective: To investigate long-term outcomes of drug-eluting stents (DES) versus bare-metal stents (BMS) in patients with ST-segment elevation myocardial infarction (STEMI). Methods: We performed search of MEDLINE, EMBASE, the Cochrane library, and ISI Web of Science (until February 2013) for randomized trials comparing more than 12-month efficacy or safety of DES with BMS in patients with STEMI. Pooled estimate was presented with risk ratio (RR) and its 95% confidence interval (CI) using random-effects model. Results: Ten trials with 7,592 participants with STEMI were included. The overall results showed that there was no significant difference in the incidence of all-cause </w:t>
      </w:r>
      <w:r>
        <w:rPr>
          <w:kern w:val="0"/>
          <w:szCs w:val="24"/>
        </w:rPr>
        <w:lastRenderedPageBreak/>
        <w:t>death and definite/probable stent thrombosis between DES and BMS at long-term follow-up. Patients receiving DES implantation appeared to have a lower 1-year incidence of recurrent myocardial infarction than those receiving BMS (RR = 0.75, 95% CI 0.56 to 1.00, p = 0.05). Moreover, the risk of target vessel revascularization (TVR) after receiving DES was consistently lowered during long-term observation (all p &lt; 0.01). In subgroup analysis, the use of everolimus-eluting stents (EES) was associated with reduced risk of stent thrombosis in STEMI patients (RR = 0.37, p = 0.02). Conclusions: DES did not increase the risk of stent thrombosis in patients with STEMI compared with BMS. Moreover, the use of DES did lower long-term risk of repeat revascularization and might decrease the occurrence of reinfarction.</w:t>
      </w:r>
    </w:p>
    <w:p w:rsidR="000B7779" w:rsidRDefault="000B7779" w:rsidP="000B7779">
      <w:pPr>
        <w:pStyle w:val="a3"/>
        <w:rPr>
          <w:kern w:val="0"/>
          <w:szCs w:val="24"/>
        </w:rPr>
      </w:pPr>
      <w:r>
        <w:rPr>
          <w:kern w:val="0"/>
          <w:szCs w:val="24"/>
        </w:rPr>
        <w:t>Keywords: Acute Myocardial Infarction, Analysis, Balloon Angioplasty, Bare-Metal Stents, Clinical Follow-Up, Confidence, Death, Drug-Eluting Stents, Efficacy, Embase, Follow-Up, Glycoprotein IIB, IIIA Inhibitor, Implantation, Incidence, Infarction, Interval, ISI, ISI Web Of Science, Long Term, Long-Term, Long-Term Follow-Up, Long-Term Outcomes, Medline, Meta-Analysis, Metaanalysis, Methods, Model, Multicenter, Myocardial Infarction, Observation, Outcomes, Paclitaxel, Patients, Percutaneous Coronary Intervention, Random Effects Model, Randomized, Randomized Controlled-Trial, Recurrent, Results, Revascularization, Risk, Safety, Science, Stents, Thrombosis, Web Of Science</w:t>
      </w:r>
    </w:p>
    <w:p w:rsidR="00B15525" w:rsidRDefault="00B15525" w:rsidP="00B15525">
      <w:pPr>
        <w:pStyle w:val="a3"/>
        <w:rPr>
          <w:kern w:val="0"/>
          <w:szCs w:val="24"/>
        </w:rPr>
      </w:pPr>
      <w:r>
        <w:rPr>
          <w:kern w:val="0"/>
          <w:szCs w:val="24"/>
        </w:rPr>
        <w:t xml:space="preserve">? Moreira, L.F.P. (2015), Perspectives and evolution of research in cardiology and cardiovascular sciences in Latin America. </w:t>
      </w:r>
      <w:r>
        <w:rPr>
          <w:i/>
          <w:iCs/>
          <w:kern w:val="0"/>
          <w:szCs w:val="24"/>
        </w:rPr>
        <w:t>Arquivos Brasileiros de Cardiologia</w:t>
      </w:r>
      <w:r>
        <w:rPr>
          <w:kern w:val="0"/>
          <w:szCs w:val="24"/>
        </w:rPr>
        <w:t xml:space="preserve">, </w:t>
      </w:r>
      <w:r>
        <w:rPr>
          <w:b/>
          <w:bCs/>
          <w:kern w:val="0"/>
          <w:szCs w:val="24"/>
        </w:rPr>
        <w:t>104</w:t>
      </w:r>
      <w:r>
        <w:rPr>
          <w:kern w:val="0"/>
          <w:szCs w:val="24"/>
        </w:rPr>
        <w:t xml:space="preserve"> (1), 1-2.</w:t>
      </w:r>
    </w:p>
    <w:p w:rsidR="00B15525" w:rsidRPr="001A3D2B" w:rsidRDefault="00B15525" w:rsidP="00B15525">
      <w:pPr>
        <w:pStyle w:val="a3"/>
      </w:pPr>
      <w:r w:rsidRPr="001A3D2B">
        <w:t xml:space="preserve">Full Text: </w:t>
      </w:r>
      <w:hyperlink r:id="rId1231" w:history="1">
        <w:r w:rsidRPr="001601E9">
          <w:rPr>
            <w:rStyle w:val="a5"/>
          </w:rPr>
          <w:t>2015\Arq Bra Car104, 1.pdf</w:t>
        </w:r>
      </w:hyperlink>
    </w:p>
    <w:p w:rsidR="00B15525" w:rsidRDefault="00B15525" w:rsidP="00B15525">
      <w:pPr>
        <w:pStyle w:val="a3"/>
        <w:rPr>
          <w:kern w:val="0"/>
          <w:szCs w:val="24"/>
        </w:rPr>
      </w:pPr>
      <w:r>
        <w:rPr>
          <w:kern w:val="0"/>
          <w:szCs w:val="24"/>
        </w:rPr>
        <w:t>Keywords: Bibliometrics, Cardiology, Cardiovascular Diseases, Evolution, Latin America, Periodicals As Topic, Research, Sciences</w:t>
      </w:r>
    </w:p>
    <w:p w:rsidR="00B15525" w:rsidRDefault="00B15525" w:rsidP="00B15525">
      <w:pPr>
        <w:pStyle w:val="a3"/>
        <w:rPr>
          <w:kern w:val="0"/>
          <w:szCs w:val="24"/>
        </w:rPr>
      </w:pPr>
      <w:r>
        <w:rPr>
          <w:kern w:val="0"/>
          <w:szCs w:val="24"/>
        </w:rPr>
        <w:t xml:space="preserve">? Colantonio, L.D., Baldridge, A.S., Huffman, M.D., Bloomfield, G.S. and Prabhakaran, D. (2015), Cardiovascular research publications from Latin America between 1999 and 2008. A bibliometric study. </w:t>
      </w:r>
      <w:r>
        <w:rPr>
          <w:i/>
          <w:iCs/>
          <w:kern w:val="0"/>
          <w:szCs w:val="24"/>
        </w:rPr>
        <w:t>Arquivos Brasileiros de Cardiologia</w:t>
      </w:r>
      <w:r>
        <w:rPr>
          <w:kern w:val="0"/>
          <w:szCs w:val="24"/>
        </w:rPr>
        <w:t xml:space="preserve">, </w:t>
      </w:r>
      <w:r>
        <w:rPr>
          <w:b/>
          <w:bCs/>
          <w:kern w:val="0"/>
          <w:szCs w:val="24"/>
        </w:rPr>
        <w:t>104</w:t>
      </w:r>
      <w:r>
        <w:rPr>
          <w:kern w:val="0"/>
          <w:szCs w:val="24"/>
        </w:rPr>
        <w:t xml:space="preserve"> (1), 5-14.</w:t>
      </w:r>
    </w:p>
    <w:p w:rsidR="00B15525" w:rsidRPr="001A3D2B" w:rsidRDefault="00B15525" w:rsidP="00B15525">
      <w:pPr>
        <w:pStyle w:val="a3"/>
      </w:pPr>
      <w:r w:rsidRPr="001A3D2B">
        <w:t xml:space="preserve">Full Text: </w:t>
      </w:r>
      <w:hyperlink r:id="rId1232" w:history="1">
        <w:r w:rsidRPr="001601E9">
          <w:rPr>
            <w:rStyle w:val="a5"/>
          </w:rPr>
          <w:t>2015\Arq Bra Car104, 5.pdf</w:t>
        </w:r>
      </w:hyperlink>
    </w:p>
    <w:p w:rsidR="00B15525" w:rsidRDefault="00B15525" w:rsidP="00B15525">
      <w:pPr>
        <w:pStyle w:val="a3"/>
        <w:rPr>
          <w:kern w:val="0"/>
          <w:szCs w:val="24"/>
        </w:rPr>
      </w:pPr>
      <w:r>
        <w:rPr>
          <w:kern w:val="0"/>
          <w:szCs w:val="24"/>
        </w:rPr>
        <w:t xml:space="preserve">Abstract: Background: Cardiovascular research publications seem to be increasing in Latin America overall. Objective: To analyze trends in cardiovascular publications and their citations from countries in Latin America between 1999 and 2008, and to compare them with those from the rest of the countries. Methods: We retrieved references of cardiovascular publications between 1999 and 2008 and their five-year post-publication citations from the Web of Knowledge database. For countries in Latin America, we calculated the total number of publications and their citation indices (total citations divided by number of publications) by year. We analyzed trends on publications and citation indices over time using Poisson regression models. The analysis was repeated for Latin America as a region, and compared with that for </w:t>
      </w:r>
      <w:r>
        <w:rPr>
          <w:kern w:val="0"/>
          <w:szCs w:val="24"/>
        </w:rPr>
        <w:lastRenderedPageBreak/>
        <w:t>the rest of the countries grouped according to economic development. Results: Brazil (n = 6,132) had the highest number of publications in 1999-2008, followed by Argentina (n = 1,686), Mexico (n = 1,368) and Chile (n = 874). Most countries showed an increase in publications over time, leaded by Guatemala (36.5% annually [95% CI: 16.7%-59.7%]), Colombia (22.1% [16.3%-28.2%]), Costa Rica (18.1% [8.1%-28.9%]) and Brazil (17.9% [16.9%-19.1%]). However, trends on citation indices varied widely (from -33.8% to 28.4%). From 1999 to 2008, cardiovascular publications of Latin America increased by 12.9% (12.1%-13.5%) annually. However, the citation indices of Latin America increased 1.5% (1.3%-1.7%) annually, a lower increase than those of all other country groups analyzed. Conclusions: Although the number of cardiovascular publications of Latin America increased from 1999 to 2008, trends on citation indices suggest they may have had a relatively low impact on the research field, stressing the importance of considering quality and dissemination on local research policies.</w:t>
      </w:r>
    </w:p>
    <w:p w:rsidR="00B15525" w:rsidRDefault="00B15525" w:rsidP="00B15525">
      <w:pPr>
        <w:pStyle w:val="a3"/>
        <w:rPr>
          <w:kern w:val="0"/>
          <w:szCs w:val="24"/>
        </w:rPr>
      </w:pPr>
      <w:r>
        <w:rPr>
          <w:kern w:val="0"/>
          <w:szCs w:val="24"/>
        </w:rPr>
        <w:t>Keywords: Analysis, Argentina, Bibliometric, Bibliometric Study, Bibliometrics Citation Databases, Brazil, Cardiovascular, Cardiovascular Research, Chile, Citation, Citations, Colombia, Costa Rica, Country, Database, Development, Economic, Economic Development, Epidemiology, Field, From, Groups, Health Research, Impact, Indices, Knowledge, Latin America, Local, Methods, Mexico, Models, Output, Policies, Publications, Publications , Statistics &amp; Numerical Data, Quality, References, Region, Regression, Research, Results, System For Evaluation Of Publications, Trends, Web, Web Of Knowledge</w:t>
      </w:r>
    </w:p>
    <w:p w:rsidR="001252B9" w:rsidRDefault="001252B9" w:rsidP="001252B9">
      <w:pPr>
        <w:pStyle w:val="a3"/>
        <w:rPr>
          <w:kern w:val="0"/>
        </w:rPr>
      </w:pPr>
      <w:r>
        <w:rPr>
          <w:rFonts w:hint="eastAsia"/>
          <w:kern w:val="0"/>
        </w:rPr>
        <w:t xml:space="preserve">? </w:t>
      </w:r>
      <w:r>
        <w:rPr>
          <w:kern w:val="0"/>
        </w:rPr>
        <w:t xml:space="preserve">Evora, P.R.B. and Moreira, L.F.P. (2015), The representativeness of the </w:t>
      </w:r>
      <w:r w:rsidRPr="00FE3055">
        <w:rPr>
          <w:i/>
          <w:kern w:val="0"/>
        </w:rPr>
        <w:t>Arquivos Brasileiros de Cardiologia</w:t>
      </w:r>
      <w:r>
        <w:rPr>
          <w:kern w:val="0"/>
        </w:rPr>
        <w:t xml:space="preserve"> for Brazilian Cardiology Science. </w:t>
      </w:r>
      <w:r>
        <w:rPr>
          <w:i/>
          <w:iCs/>
          <w:kern w:val="0"/>
        </w:rPr>
        <w:t>Arquivos Brasileiros de Cardiologia</w:t>
      </w:r>
      <w:r>
        <w:rPr>
          <w:kern w:val="0"/>
        </w:rPr>
        <w:t xml:space="preserve">, </w:t>
      </w:r>
      <w:r>
        <w:rPr>
          <w:b/>
          <w:bCs/>
          <w:kern w:val="0"/>
        </w:rPr>
        <w:t>104</w:t>
      </w:r>
      <w:r>
        <w:rPr>
          <w:kern w:val="0"/>
        </w:rPr>
        <w:t xml:space="preserve"> (2), 94-96</w:t>
      </w:r>
      <w:r>
        <w:rPr>
          <w:rFonts w:hint="eastAsia"/>
          <w:kern w:val="0"/>
        </w:rPr>
        <w:t>.</w:t>
      </w:r>
    </w:p>
    <w:p w:rsidR="001252B9" w:rsidRPr="001A3D2B" w:rsidRDefault="001252B9" w:rsidP="001252B9">
      <w:pPr>
        <w:pStyle w:val="a3"/>
      </w:pPr>
      <w:r w:rsidRPr="001A3D2B">
        <w:t xml:space="preserve">Full Text: </w:t>
      </w:r>
      <w:hyperlink r:id="rId1233" w:history="1">
        <w:r w:rsidRPr="00EF5502">
          <w:rPr>
            <w:rStyle w:val="a5"/>
          </w:rPr>
          <w:t>2015\Arq Bra Car104, 94.pdf</w:t>
        </w:r>
      </w:hyperlink>
    </w:p>
    <w:p w:rsidR="001252B9" w:rsidRDefault="001252B9" w:rsidP="001252B9">
      <w:pPr>
        <w:pStyle w:val="a3"/>
        <w:rPr>
          <w:kern w:val="0"/>
        </w:rPr>
      </w:pPr>
      <w:r>
        <w:rPr>
          <w:kern w:val="0"/>
        </w:rPr>
        <w:t>Keywords: Bibliometrics, Cardiology, Journal Impact Factor, Periodicals As Topic, Portals For Scientific Journals, Science</w:t>
      </w:r>
    </w:p>
    <w:p w:rsidR="003474F2" w:rsidRPr="001A3D2B" w:rsidRDefault="003474F2" w:rsidP="003474F2">
      <w:pPr>
        <w:pStyle w:val="1"/>
      </w:pPr>
      <w:r w:rsidRPr="001A3D2B">
        <w:br w:type="page"/>
      </w:r>
      <w:bookmarkStart w:id="621" w:name="_Toc420814607"/>
      <w:r w:rsidRPr="001A3D2B">
        <w:lastRenderedPageBreak/>
        <w:t>Title: Arquivos Brasileiros de Oftalmologia</w:t>
      </w:r>
      <w:bookmarkEnd w:id="621"/>
    </w:p>
    <w:p w:rsidR="003474F2" w:rsidRPr="001A3D2B" w:rsidRDefault="003474F2" w:rsidP="003474F2">
      <w:pPr>
        <w:pStyle w:val="12"/>
      </w:pPr>
      <w:r w:rsidRPr="001A3D2B">
        <w:t xml:space="preserve">Full Journal Title: </w:t>
      </w:r>
      <w:hyperlink r:id="rId1234" w:history="1">
        <w:r w:rsidRPr="001A3D2B">
          <w:rPr>
            <w:rStyle w:val="a5"/>
          </w:rPr>
          <w:t>Arquivos Brasileiros de Oftalmologia</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Arq Bras Oftalmol</w:t>
      </w:r>
    </w:p>
    <w:p w:rsidR="003474F2" w:rsidRPr="001A3D2B" w:rsidRDefault="003474F2" w:rsidP="003474F2">
      <w:pPr>
        <w:pStyle w:val="12"/>
      </w:pPr>
      <w:r w:rsidRPr="001A3D2B">
        <w:t>ISSN: 0004-2749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a3"/>
      </w:pPr>
      <w:r w:rsidRPr="001A3D2B">
        <w:t>? Ragghianti, C.P., Martinez, R., Martins, J.</w:t>
      </w:r>
      <w:r w:rsidR="005853A9">
        <w:t xml:space="preserve"> and </w:t>
      </w:r>
      <w:r w:rsidRPr="001A3D2B">
        <w:t>Gallo, J.E. (2006), Comparative study</w:t>
      </w:r>
      <w:r w:rsidR="00427468">
        <w:t xml:space="preserve"> of </w:t>
      </w:r>
      <w:r w:rsidRPr="001A3D2B">
        <w:t>scientific publications in Ophthalmology</w:t>
      </w:r>
      <w:r w:rsidR="005853A9">
        <w:t xml:space="preserve"> and </w:t>
      </w:r>
      <w:r w:rsidRPr="001A3D2B">
        <w:t>Visual Sciences in Argentina, Brazil, Chile, Paraguay</w:t>
      </w:r>
      <w:r w:rsidR="005853A9">
        <w:t xml:space="preserve"> and </w:t>
      </w:r>
      <w:r w:rsidRPr="001A3D2B">
        <w:t xml:space="preserve">Uruguay (1995-2004). </w:t>
      </w:r>
      <w:r w:rsidRPr="001A3D2B">
        <w:rPr>
          <w:i/>
        </w:rPr>
        <w:t>Arquivos Brasileiros de Oftalmologia</w:t>
      </w:r>
      <w:r w:rsidRPr="001A3D2B">
        <w:t xml:space="preserve">, </w:t>
      </w:r>
      <w:r w:rsidRPr="001A3D2B">
        <w:rPr>
          <w:b/>
          <w:bCs/>
        </w:rPr>
        <w:t>69</w:t>
      </w:r>
      <w:r w:rsidRPr="001A3D2B">
        <w:t xml:space="preserve"> (5), 719-723.</w:t>
      </w:r>
    </w:p>
    <w:p w:rsidR="003474F2" w:rsidRPr="001A3D2B" w:rsidRDefault="003474F2" w:rsidP="003474F2">
      <w:pPr>
        <w:pStyle w:val="a3"/>
      </w:pPr>
      <w:r w:rsidRPr="001A3D2B">
        <w:t xml:space="preserve">Full Text: </w:t>
      </w:r>
      <w:hyperlink r:id="rId1235" w:history="1">
        <w:r w:rsidRPr="001A3D2B">
          <w:rPr>
            <w:rStyle w:val="a5"/>
          </w:rPr>
          <w:t>2006\Arq Bra Oft69, 719.pdf</w:t>
        </w:r>
      </w:hyperlink>
    </w:p>
    <w:p w:rsidR="003474F2" w:rsidRPr="001A3D2B" w:rsidRDefault="003474F2" w:rsidP="003474F2">
      <w:pPr>
        <w:pStyle w:val="a3"/>
      </w:pPr>
      <w:r w:rsidRPr="001A3D2B">
        <w:t>Abstract: PURPOSE:</w:t>
      </w:r>
      <w:r w:rsidR="003A1917">
        <w:t xml:space="preserve"> the </w:t>
      </w:r>
      <w:r w:rsidRPr="001A3D2B">
        <w:t>study aimed to measure</w:t>
      </w:r>
      <w:r w:rsidR="003A1917">
        <w:t xml:space="preserve"> the </w:t>
      </w:r>
      <w:r w:rsidRPr="001A3D2B">
        <w:t>scientific production in Ophthalmology</w:t>
      </w:r>
      <w:r w:rsidR="005853A9">
        <w:t xml:space="preserve"> and </w:t>
      </w:r>
      <w:r w:rsidRPr="001A3D2B">
        <w:t>Vision (O&amp;V) in Argentina, Brazil, Chile, Paraguay</w:t>
      </w:r>
      <w:r w:rsidR="005853A9">
        <w:t xml:space="preserve"> and </w:t>
      </w:r>
      <w:r w:rsidRPr="001A3D2B">
        <w:t>Uruguay over a period</w:t>
      </w:r>
      <w:r w:rsidR="00427468">
        <w:t xml:space="preserve"> of </w:t>
      </w:r>
      <w:r w:rsidRPr="001A3D2B">
        <w:t>10 years (1995-2004), in order to find out temporal evolution</w:t>
      </w:r>
      <w:r w:rsidR="005853A9">
        <w:t xml:space="preserve"> and </w:t>
      </w:r>
      <w:r w:rsidRPr="001A3D2B">
        <w:t>variations in this field</w:t>
      </w:r>
      <w:r w:rsidR="00427468">
        <w:t xml:space="preserve"> of </w:t>
      </w:r>
      <w:r w:rsidRPr="001A3D2B">
        <w:t xml:space="preserve">research. METHODS: </w:t>
      </w:r>
      <w:r w:rsidR="002C12F0">
        <w:t>PUBMED</w:t>
      </w:r>
      <w:r w:rsidRPr="001A3D2B">
        <w:t>/</w:t>
      </w:r>
      <w:r w:rsidR="00D5664A">
        <w:t>MEDLINE</w:t>
      </w:r>
      <w:r w:rsidRPr="001A3D2B">
        <w:t xml:space="preserve"> was used to retrieve records on O&amp;V research literature</w:t>
      </w:r>
      <w:r w:rsidR="00A37C1D">
        <w:t>. The</w:t>
      </w:r>
      <w:r w:rsidR="003A1917">
        <w:t xml:space="preserve"> </w:t>
      </w:r>
      <w:r w:rsidRPr="001A3D2B">
        <w:t>search strategy included keywords, country in</w:t>
      </w:r>
      <w:r w:rsidR="003A1917">
        <w:t xml:space="preserve"> the </w:t>
      </w:r>
      <w:r w:rsidRPr="001A3D2B">
        <w:t>affiliation field</w:t>
      </w:r>
      <w:r w:rsidR="005853A9">
        <w:t xml:space="preserve"> and </w:t>
      </w:r>
      <w:r w:rsidRPr="001A3D2B">
        <w:t>publication date. Data were extracted from each citation</w:t>
      </w:r>
      <w:r w:rsidR="005853A9">
        <w:t xml:space="preserve"> and </w:t>
      </w:r>
      <w:r w:rsidRPr="001A3D2B">
        <w:t>recorded in a spreadsheet. Subsequent analysis focused on type</w:t>
      </w:r>
      <w:r w:rsidR="005853A9">
        <w:t xml:space="preserve"> and </w:t>
      </w:r>
      <w:r w:rsidRPr="001A3D2B">
        <w:t>main topic</w:t>
      </w:r>
      <w:r w:rsidR="00427468">
        <w:t xml:space="preserve"> of </w:t>
      </w:r>
      <w:r w:rsidRPr="001A3D2B">
        <w:t>publication, journals where articles had been published,</w:t>
      </w:r>
      <w:r w:rsidR="005853A9">
        <w:t xml:space="preserve"> and </w:t>
      </w:r>
      <w:r w:rsidRPr="001A3D2B">
        <w:t>evolution</w:t>
      </w:r>
      <w:r w:rsidR="00427468">
        <w:t xml:space="preserve"> of </w:t>
      </w:r>
      <w:r w:rsidRPr="001A3D2B">
        <w:t>research done on animals</w:t>
      </w:r>
      <w:r w:rsidR="005853A9">
        <w:t xml:space="preserve"> and </w:t>
      </w:r>
      <w:r w:rsidRPr="001A3D2B">
        <w:t>humans. RESULTS: A total</w:t>
      </w:r>
      <w:r w:rsidR="00427468">
        <w:t xml:space="preserve"> of </w:t>
      </w:r>
      <w:r w:rsidRPr="001A3D2B">
        <w:t>1,216 citations were retrieved. Brazil had</w:t>
      </w:r>
      <w:r w:rsidR="003A1917">
        <w:t xml:space="preserve"> the </w:t>
      </w:r>
      <w:r w:rsidRPr="001A3D2B">
        <w:t>largest number</w:t>
      </w:r>
      <w:r w:rsidR="00427468">
        <w:t xml:space="preserve"> of </w:t>
      </w:r>
      <w:r w:rsidRPr="001A3D2B">
        <w:t>authored publications with an average annual production</w:t>
      </w:r>
      <w:r w:rsidR="00427468">
        <w:t xml:space="preserve"> of </w:t>
      </w:r>
      <w:r w:rsidRPr="001A3D2B">
        <w:t>82.4, followed by Argentina with 31.0, Chile 6.4, Uruguay 1.6,</w:t>
      </w:r>
      <w:r w:rsidR="005853A9">
        <w:t xml:space="preserve"> and </w:t>
      </w:r>
      <w:r w:rsidRPr="001A3D2B">
        <w:t>Paraguay 0.2</w:t>
      </w:r>
      <w:r w:rsidR="00A37C1D">
        <w:t>. The</w:t>
      </w:r>
      <w:r w:rsidR="003A1917">
        <w:t xml:space="preserve"> </w:t>
      </w:r>
      <w:r w:rsidRPr="001A3D2B">
        <w:t>ratio</w:t>
      </w:r>
      <w:r w:rsidR="00427468">
        <w:t xml:space="preserve"> of </w:t>
      </w:r>
      <w:r w:rsidRPr="001A3D2B">
        <w:t>articles on O&amp;V relative to publications involving Health Science ranged from 1.0 to 2.3</w:t>
      </w:r>
      <w:r w:rsidR="00A37C1D">
        <w:t>. The</w:t>
      </w:r>
      <w:r w:rsidR="003A1917">
        <w:t xml:space="preserve"> </w:t>
      </w:r>
      <w:r w:rsidRPr="001A3D2B">
        <w:t>frequency</w:t>
      </w:r>
      <w:r w:rsidR="00427468">
        <w:t xml:space="preserve"> of </w:t>
      </w:r>
      <w:r w:rsidRPr="001A3D2B">
        <w:t>publications almost tripled from 1995 to 2004. Research on humans showed a significant increase in Argentina</w:t>
      </w:r>
      <w:r w:rsidR="005853A9">
        <w:t xml:space="preserve"> and </w:t>
      </w:r>
      <w:r w:rsidRPr="001A3D2B">
        <w:t>Brazil. CONCLUSIONS: Results provide initial benchmarks on O&amp;V publication rates in countries in South America that may be useful to follow research trends.</w:t>
      </w:r>
    </w:p>
    <w:p w:rsidR="003474F2" w:rsidRPr="001A3D2B" w:rsidRDefault="003474F2" w:rsidP="003474F2">
      <w:pPr>
        <w:pStyle w:val="a3"/>
      </w:pPr>
      <w:r w:rsidRPr="001A3D2B">
        <w:t xml:space="preserve">Keywords: Affiliation, Analysis, Animals, Argentina, Brazil, Chile, Citation, Citations, Country, Evolution, Field, Humans, Journals, Literature, Methods, Publication, Publications, </w:t>
      </w:r>
      <w:r w:rsidR="002C12F0">
        <w:t>PUBMED</w:t>
      </w:r>
      <w:r w:rsidRPr="001A3D2B">
        <w:t>, Purpose, Rates, Records, Research, Scientific Production, Scientific Publications, Search Strategy, South America, Temporal, Trends, Uruguay</w:t>
      </w:r>
    </w:p>
    <w:p w:rsidR="003474F2" w:rsidRPr="001A3D2B" w:rsidRDefault="003474F2" w:rsidP="003474F2">
      <w:pPr>
        <w:pStyle w:val="1"/>
      </w:pPr>
      <w:r w:rsidRPr="001A3D2B">
        <w:br w:type="page"/>
      </w:r>
      <w:bookmarkStart w:id="622" w:name="_Toc420814608"/>
      <w:r w:rsidRPr="001A3D2B">
        <w:lastRenderedPageBreak/>
        <w:t>Title: Art History</w:t>
      </w:r>
      <w:bookmarkEnd w:id="622"/>
    </w:p>
    <w:p w:rsidR="003474F2" w:rsidRPr="001A3D2B" w:rsidRDefault="003474F2" w:rsidP="003474F2">
      <w:pPr>
        <w:pStyle w:val="12"/>
      </w:pPr>
      <w:r w:rsidRPr="001A3D2B">
        <w:t>Full Journal Title: Art History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a3"/>
      </w:pPr>
      <w:r w:rsidRPr="001A3D2B">
        <w:t>Rothstein, B. (2003</w:t>
      </w:r>
      <w:r w:rsidR="00F42EAC">
        <w:t>), The</w:t>
      </w:r>
      <w:r w:rsidR="003A1917">
        <w:t xml:space="preserve"> </w:t>
      </w:r>
      <w:r w:rsidRPr="001A3D2B">
        <w:t>problem with looking at Pieter Bruegel</w:t>
      </w:r>
      <w:r w:rsidR="00700038">
        <w:t>’</w:t>
      </w:r>
      <w:r w:rsidR="00C13DDC">
        <w:t>s</w:t>
      </w:r>
      <w:r w:rsidRPr="001A3D2B">
        <w:t xml:space="preserve"> Elck. </w:t>
      </w:r>
      <w:r w:rsidRPr="001A3D2B">
        <w:rPr>
          <w:i/>
          <w:iCs/>
        </w:rPr>
        <w:t>Art History</w:t>
      </w:r>
      <w:r w:rsidRPr="001A3D2B">
        <w:t xml:space="preserve">, </w:t>
      </w:r>
      <w:r w:rsidRPr="001A3D2B">
        <w:rPr>
          <w:b/>
        </w:rPr>
        <w:t>26</w:t>
      </w:r>
      <w:r w:rsidRPr="001A3D2B">
        <w:rPr>
          <w:bCs/>
        </w:rPr>
        <w:t xml:space="preserve"> (2)</w:t>
      </w:r>
      <w:r w:rsidRPr="001A3D2B">
        <w:t>, 143-173.</w:t>
      </w:r>
    </w:p>
    <w:p w:rsidR="003474F2" w:rsidRPr="001A3D2B" w:rsidRDefault="003474F2" w:rsidP="003474F2">
      <w:pPr>
        <w:pStyle w:val="a3"/>
      </w:pPr>
      <w:r w:rsidRPr="001A3D2B">
        <w:t xml:space="preserve">Full Text: </w:t>
      </w:r>
      <w:hyperlink r:id="rId1236" w:history="1">
        <w:r w:rsidRPr="001A3D2B">
          <w:rPr>
            <w:rStyle w:val="a5"/>
          </w:rPr>
          <w:t>2003\Art His26, 143.pdf</w:t>
        </w:r>
      </w:hyperlink>
    </w:p>
    <w:p w:rsidR="003474F2" w:rsidRPr="001A3D2B" w:rsidRDefault="003474F2" w:rsidP="003474F2">
      <w:pPr>
        <w:pStyle w:val="a3"/>
      </w:pPr>
      <w:r w:rsidRPr="001A3D2B">
        <w:t>Abstract: This essay concerns optical wit in Pieter Bruegel</w:t>
      </w:r>
      <w:r w:rsidR="00700038">
        <w:t>’</w:t>
      </w:r>
      <w:r w:rsidR="00C13DDC">
        <w:t>s</w:t>
      </w:r>
      <w:r w:rsidRPr="001A3D2B">
        <w:t xml:space="preserve"> </w:t>
      </w:r>
      <w:r w:rsidRPr="001A3D2B">
        <w:rPr>
          <w:i/>
        </w:rPr>
        <w:t>Elck</w:t>
      </w:r>
      <w:r w:rsidRPr="001A3D2B">
        <w:t xml:space="preserve"> (1558). While scholars have treated this print as an earnest essay in human frailty, I focus instead on its playful negations both</w:t>
      </w:r>
      <w:r w:rsidR="00427468">
        <w:t xml:space="preserve"> of </w:t>
      </w:r>
      <w:r w:rsidRPr="001A3D2B">
        <w:t>knowledge</w:t>
      </w:r>
      <w:r w:rsidR="005853A9">
        <w:t xml:space="preserve"> and</w:t>
      </w:r>
      <w:r w:rsidR="00427468">
        <w:t xml:space="preserve"> of </w:t>
      </w:r>
      <w:r w:rsidRPr="001A3D2B">
        <w:t>one who would possess it. Building on Peter Parshall</w:t>
      </w:r>
      <w:r w:rsidR="00700038">
        <w:t>’</w:t>
      </w:r>
      <w:r w:rsidR="00C13DDC">
        <w:t>s</w:t>
      </w:r>
      <w:r w:rsidRPr="001A3D2B">
        <w:t xml:space="preserve"> earlier delineation</w:t>
      </w:r>
      <w:r w:rsidR="00427468">
        <w:t xml:space="preserve"> of </w:t>
      </w:r>
      <w:r w:rsidRPr="001A3D2B">
        <w:t xml:space="preserve">this paradoxical theme, I suggest that </w:t>
      </w:r>
      <w:r w:rsidRPr="001A3D2B">
        <w:rPr>
          <w:i/>
        </w:rPr>
        <w:t>Elck</w:t>
      </w:r>
      <w:r w:rsidRPr="001A3D2B">
        <w:t xml:space="preserve"> uses a parallelism based in looking to implicate</w:t>
      </w:r>
      <w:r w:rsidR="003A1917">
        <w:t xml:space="preserve"> the </w:t>
      </w:r>
      <w:r w:rsidRPr="001A3D2B">
        <w:t>viewer as one who would obtain a measure</w:t>
      </w:r>
      <w:r w:rsidR="00427468">
        <w:t xml:space="preserve"> of </w:t>
      </w:r>
      <w:r w:rsidRPr="001A3D2B">
        <w:t>understanding from, or apply it to,</w:t>
      </w:r>
      <w:r w:rsidR="003A1917">
        <w:t xml:space="preserve"> the </w:t>
      </w:r>
      <w:r w:rsidRPr="001A3D2B">
        <w:t>printed image: as</w:t>
      </w:r>
      <w:r w:rsidR="003A1917">
        <w:t xml:space="preserve"> the </w:t>
      </w:r>
      <w:r w:rsidRPr="001A3D2B">
        <w:t>protagonist Elck (Everyone) pores over worldly goods,</w:t>
      </w:r>
      <w:r w:rsidR="005853A9">
        <w:t xml:space="preserve"> and </w:t>
      </w:r>
      <w:r w:rsidRPr="001A3D2B">
        <w:t>as his counterpart Niemant (Nobody) gazes foolishly into a mirror, so does</w:t>
      </w:r>
      <w:r w:rsidR="003A1917">
        <w:t xml:space="preserve"> the </w:t>
      </w:r>
      <w:r w:rsidRPr="001A3D2B">
        <w:t>viewer assess</w:t>
      </w:r>
      <w:r w:rsidR="003A1917">
        <w:t xml:space="preserve"> the </w:t>
      </w:r>
      <w:r w:rsidRPr="001A3D2B">
        <w:t>print. All look, but few -if any -truly see</w:t>
      </w:r>
      <w:r w:rsidR="00A37C1D">
        <w:t>. The</w:t>
      </w:r>
      <w:r w:rsidR="003A1917">
        <w:t xml:space="preserve"> </w:t>
      </w:r>
      <w:r w:rsidRPr="001A3D2B">
        <w:t>implications</w:t>
      </w:r>
      <w:r w:rsidR="00427468">
        <w:t xml:space="preserve"> of </w:t>
      </w:r>
      <w:r w:rsidRPr="001A3D2B">
        <w:t>this parallelism are crucial</w:t>
      </w:r>
      <w:r w:rsidR="00A37C1D">
        <w:t>. The</w:t>
      </w:r>
      <w:r w:rsidR="003A1917">
        <w:t xml:space="preserve"> </w:t>
      </w:r>
      <w:r w:rsidRPr="001A3D2B">
        <w:t>successful (that is, knowledgeable) interpreter must necessarily cease to exist, as knowledge is, according to</w:t>
      </w:r>
      <w:r w:rsidR="003A1917">
        <w:t xml:space="preserve"> the </w:t>
      </w:r>
      <w:r w:rsidRPr="001A3D2B">
        <w:t>print,</w:t>
      </w:r>
      <w:r w:rsidR="003A1917">
        <w:t xml:space="preserve"> the </w:t>
      </w:r>
      <w:r w:rsidRPr="001A3D2B">
        <w:t>sole province</w:t>
      </w:r>
      <w:r w:rsidR="00427468">
        <w:t xml:space="preserve"> of </w:t>
      </w:r>
      <w:r w:rsidRPr="001A3D2B">
        <w:t>Nobody;</w:t>
      </w:r>
      <w:r w:rsidR="003A1917">
        <w:t xml:space="preserve"> the </w:t>
      </w:r>
      <w:r w:rsidRPr="001A3D2B">
        <w:t>other option, interpretive failure, associates us with Everyone, who patently lacks any knowledge whatsoever. Bruegel thus cleverly indicts</w:t>
      </w:r>
      <w:r w:rsidR="003A1917">
        <w:t xml:space="preserve"> the </w:t>
      </w:r>
      <w:r w:rsidRPr="001A3D2B">
        <w:t>interpretive skills</w:t>
      </w:r>
      <w:r w:rsidR="00427468">
        <w:t xml:space="preserve"> of </w:t>
      </w:r>
      <w:r w:rsidRPr="001A3D2B">
        <w:t>his audience by denying</w:t>
      </w:r>
      <w:r w:rsidR="003A1917">
        <w:t xml:space="preserve"> the </w:t>
      </w:r>
      <w:r w:rsidRPr="001A3D2B">
        <w:t>potential for anything but nonsensical reading. I suggest that</w:t>
      </w:r>
      <w:r w:rsidR="003A1917">
        <w:t xml:space="preserve"> the </w:t>
      </w:r>
      <w:r w:rsidRPr="001A3D2B">
        <w:t>print thus disrupts traditional responses to</w:t>
      </w:r>
      <w:r w:rsidR="003A1917">
        <w:t xml:space="preserve"> the </w:t>
      </w:r>
      <w:r w:rsidRPr="001A3D2B">
        <w:t>image and, consequently, calls into question</w:t>
      </w:r>
      <w:r w:rsidR="003A1917">
        <w:t xml:space="preserve"> the </w:t>
      </w:r>
      <w:r w:rsidRPr="001A3D2B">
        <w:t>relationship between artist, object,</w:t>
      </w:r>
      <w:r w:rsidR="005853A9">
        <w:t xml:space="preserve"> and </w:t>
      </w:r>
      <w:r w:rsidRPr="001A3D2B">
        <w:t>observer.</w:t>
      </w:r>
    </w:p>
    <w:p w:rsidR="008B4CD5" w:rsidRPr="00F219CA" w:rsidRDefault="008B4CD5" w:rsidP="008B4CD5">
      <w:pPr>
        <w:pStyle w:val="1"/>
      </w:pPr>
      <w:r w:rsidRPr="00F219CA">
        <w:br w:type="page"/>
      </w:r>
      <w:bookmarkStart w:id="623" w:name="_Toc420814609"/>
      <w:r w:rsidRPr="00F219CA">
        <w:lastRenderedPageBreak/>
        <w:t xml:space="preserve">Title: </w:t>
      </w:r>
      <w:r w:rsidRPr="00036ACE">
        <w:rPr>
          <w:iCs w:val="0"/>
        </w:rPr>
        <w:t>Arthritis Care &amp; Research</w:t>
      </w:r>
      <w:bookmarkEnd w:id="623"/>
    </w:p>
    <w:p w:rsidR="008B4CD5" w:rsidRPr="00F219CA" w:rsidRDefault="008B4CD5" w:rsidP="008B4CD5">
      <w:pPr>
        <w:pStyle w:val="12"/>
      </w:pPr>
      <w:r w:rsidRPr="00F219CA">
        <w:t xml:space="preserve">Full Journal Title: </w:t>
      </w:r>
      <w:r w:rsidRPr="00036ACE">
        <w:rPr>
          <w:iCs/>
          <w:kern w:val="0"/>
        </w:rPr>
        <w:t>Arthritis Care &amp; Research</w:t>
      </w:r>
    </w:p>
    <w:p w:rsidR="008B4CD5" w:rsidRPr="00F219CA" w:rsidRDefault="008B4CD5" w:rsidP="008B4CD5">
      <w:pPr>
        <w:pStyle w:val="12"/>
      </w:pPr>
      <w:r w:rsidRPr="00F219CA">
        <w:t xml:space="preserve">ISO Abbreviated Title: </w:t>
      </w:r>
    </w:p>
    <w:p w:rsidR="008B4CD5" w:rsidRPr="00F219CA" w:rsidRDefault="008B4CD5" w:rsidP="008B4CD5">
      <w:pPr>
        <w:pStyle w:val="12"/>
      </w:pPr>
      <w:r w:rsidRPr="00F219CA">
        <w:t xml:space="preserve">JCR Abbreviated Title: </w:t>
      </w:r>
    </w:p>
    <w:p w:rsidR="008B4CD5" w:rsidRPr="00F219CA" w:rsidRDefault="008B4CD5" w:rsidP="008B4CD5">
      <w:pPr>
        <w:pStyle w:val="12"/>
      </w:pPr>
      <w:r w:rsidRPr="00F219CA">
        <w:t xml:space="preserve">ISSN: </w:t>
      </w:r>
    </w:p>
    <w:p w:rsidR="008B4CD5" w:rsidRPr="00F219CA" w:rsidRDefault="008B4CD5" w:rsidP="008B4CD5">
      <w:pPr>
        <w:pStyle w:val="12"/>
      </w:pPr>
      <w:r w:rsidRPr="00F219CA">
        <w:t xml:space="preserve">Issues/Year: </w:t>
      </w:r>
    </w:p>
    <w:p w:rsidR="008B4CD5" w:rsidRPr="00F219CA" w:rsidRDefault="008B4CD5" w:rsidP="008B4CD5">
      <w:pPr>
        <w:pStyle w:val="12"/>
      </w:pPr>
      <w:r w:rsidRPr="00F219CA">
        <w:t xml:space="preserve">Journal Country/Territory: </w:t>
      </w:r>
    </w:p>
    <w:p w:rsidR="008B4CD5" w:rsidRPr="00F219CA" w:rsidRDefault="008B4CD5" w:rsidP="008B4CD5">
      <w:pPr>
        <w:pStyle w:val="12"/>
      </w:pPr>
      <w:r w:rsidRPr="00F219CA">
        <w:t xml:space="preserve">Language: </w:t>
      </w:r>
    </w:p>
    <w:p w:rsidR="008B4CD5" w:rsidRPr="00F219CA" w:rsidRDefault="008B4CD5" w:rsidP="008B4CD5">
      <w:pPr>
        <w:pStyle w:val="12"/>
      </w:pPr>
      <w:r w:rsidRPr="00F219CA">
        <w:t xml:space="preserve">Publisher: </w:t>
      </w:r>
    </w:p>
    <w:p w:rsidR="008B4CD5" w:rsidRPr="00F219CA" w:rsidRDefault="008B4CD5" w:rsidP="008B4CD5">
      <w:pPr>
        <w:pStyle w:val="12"/>
      </w:pPr>
      <w:r w:rsidRPr="00F219CA">
        <w:t xml:space="preserve">Publisher Address: </w:t>
      </w:r>
    </w:p>
    <w:p w:rsidR="008B4CD5" w:rsidRPr="00F219CA" w:rsidRDefault="008B4CD5" w:rsidP="008B4CD5">
      <w:pPr>
        <w:pStyle w:val="12"/>
      </w:pPr>
      <w:r w:rsidRPr="00F219CA">
        <w:t xml:space="preserve">Subject Categories: </w:t>
      </w:r>
    </w:p>
    <w:p w:rsidR="008B4CD5" w:rsidRPr="00F219CA" w:rsidRDefault="008B4CD5" w:rsidP="008B4CD5">
      <w:pPr>
        <w:pStyle w:val="12"/>
      </w:pPr>
      <w:r w:rsidRPr="00F219CA">
        <w:t xml:space="preserve">: Impact Factor </w:t>
      </w:r>
    </w:p>
    <w:p w:rsidR="008B4CD5" w:rsidRDefault="008B4CD5" w:rsidP="008B4CD5">
      <w:pPr>
        <w:pStyle w:val="a3"/>
        <w:rPr>
          <w:kern w:val="0"/>
        </w:rPr>
      </w:pPr>
      <w:r>
        <w:rPr>
          <w:rFonts w:hint="eastAsia"/>
          <w:kern w:val="0"/>
        </w:rPr>
        <w:t xml:space="preserve">? </w:t>
      </w:r>
      <w:r>
        <w:rPr>
          <w:kern w:val="0"/>
        </w:rPr>
        <w:t>Chapple, C.M., Nicholson, H., Baxter, G.D.</w:t>
      </w:r>
      <w:r w:rsidR="005853A9">
        <w:rPr>
          <w:kern w:val="0"/>
        </w:rPr>
        <w:t xml:space="preserve"> and </w:t>
      </w:r>
      <w:r>
        <w:rPr>
          <w:kern w:val="0"/>
        </w:rPr>
        <w:t>Abbott, J.H. (2011), Patient characteristics that predict progression</w:t>
      </w:r>
      <w:r w:rsidR="00427468">
        <w:rPr>
          <w:kern w:val="0"/>
        </w:rPr>
        <w:t xml:space="preserve"> of </w:t>
      </w:r>
      <w:r>
        <w:rPr>
          <w:kern w:val="0"/>
        </w:rPr>
        <w:t>knee osteoarthritis: A systematic review</w:t>
      </w:r>
      <w:r w:rsidR="00427468">
        <w:rPr>
          <w:kern w:val="0"/>
        </w:rPr>
        <w:t xml:space="preserve"> of </w:t>
      </w:r>
      <w:r>
        <w:rPr>
          <w:kern w:val="0"/>
        </w:rPr>
        <w:t xml:space="preserve">prognostic studies. </w:t>
      </w:r>
      <w:r w:rsidRPr="00036ACE">
        <w:rPr>
          <w:i/>
          <w:iCs/>
          <w:kern w:val="0"/>
        </w:rPr>
        <w:t>Arthritis Care &amp; Research</w:t>
      </w:r>
      <w:r>
        <w:rPr>
          <w:kern w:val="0"/>
        </w:rPr>
        <w:t xml:space="preserve">, </w:t>
      </w:r>
      <w:r>
        <w:rPr>
          <w:b/>
          <w:bCs/>
          <w:kern w:val="0"/>
        </w:rPr>
        <w:t>63</w:t>
      </w:r>
      <w:r>
        <w:rPr>
          <w:kern w:val="0"/>
        </w:rPr>
        <w:t xml:space="preserve"> (8), 1115-1125.</w:t>
      </w:r>
    </w:p>
    <w:p w:rsidR="00924772" w:rsidRDefault="00924772" w:rsidP="00924772">
      <w:pPr>
        <w:pStyle w:val="a3"/>
        <w:rPr>
          <w:kern w:val="0"/>
        </w:rPr>
      </w:pPr>
      <w:r>
        <w:rPr>
          <w:rFonts w:hint="eastAsia"/>
          <w:kern w:val="0"/>
        </w:rPr>
        <w:t xml:space="preserve">Full Text: </w:t>
      </w:r>
      <w:hyperlink r:id="rId1237" w:history="1">
        <w:r w:rsidRPr="007E2236">
          <w:rPr>
            <w:rStyle w:val="a5"/>
            <w:kern w:val="0"/>
          </w:rPr>
          <w:t>2011\Art Car Res63, 1115.pdf</w:t>
        </w:r>
      </w:hyperlink>
    </w:p>
    <w:p w:rsidR="008B4CD5" w:rsidRDefault="008B4CD5" w:rsidP="008B4CD5">
      <w:pPr>
        <w:pStyle w:val="a3"/>
        <w:rPr>
          <w:kern w:val="0"/>
        </w:rPr>
      </w:pPr>
      <w:r>
        <w:rPr>
          <w:kern w:val="0"/>
        </w:rPr>
        <w:t>Abstract: Objective. To identify, by systematic review, patient characteristics that can be used by health care practitioners to predict</w:t>
      </w:r>
      <w:r w:rsidR="003A1917">
        <w:rPr>
          <w:kern w:val="0"/>
        </w:rPr>
        <w:t xml:space="preserve"> the </w:t>
      </w:r>
      <w:r>
        <w:rPr>
          <w:kern w:val="0"/>
        </w:rPr>
        <w:t>likelihood</w:t>
      </w:r>
      <w:r w:rsidR="00427468">
        <w:rPr>
          <w:kern w:val="0"/>
        </w:rPr>
        <w:t xml:space="preserve"> of </w:t>
      </w:r>
      <w:r>
        <w:rPr>
          <w:kern w:val="0"/>
        </w:rPr>
        <w:t>knee osteoarthritis (OA) progression. Methods. A search was conducted</w:t>
      </w:r>
      <w:r w:rsidR="00427468">
        <w:rPr>
          <w:kern w:val="0"/>
        </w:rPr>
        <w:t xml:space="preserve"> of </w:t>
      </w:r>
      <w:r w:rsidR="003A1917">
        <w:rPr>
          <w:kern w:val="0"/>
        </w:rPr>
        <w:t xml:space="preserve">the </w:t>
      </w:r>
      <w:r>
        <w:rPr>
          <w:kern w:val="0"/>
        </w:rPr>
        <w:t xml:space="preserve">electronic databases </w:t>
      </w:r>
      <w:r w:rsidR="00D5664A">
        <w:rPr>
          <w:kern w:val="0"/>
        </w:rPr>
        <w:t>MEDLINE</w:t>
      </w:r>
      <w:r>
        <w:rPr>
          <w:kern w:val="0"/>
        </w:rPr>
        <w:t>, EMBASE, CINAHL, AMED,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in November 2010. Two reviewers screened articles using inclusion/exclusion criteria. Study participants were adults with established knee OA. Outcome measures for disease progression were change in pain or function or deterioration in radiographic features. Included studies identified clinically relevant prognostic factors at baseline</w:t>
      </w:r>
      <w:r w:rsidR="005853A9">
        <w:rPr>
          <w:kern w:val="0"/>
        </w:rPr>
        <w:t xml:space="preserve"> and </w:t>
      </w:r>
      <w:r>
        <w:rPr>
          <w:kern w:val="0"/>
        </w:rPr>
        <w:t>reported a statistical association with outcome. Minimum followup was 1 year. Articles were assessed for bias,</w:t>
      </w:r>
      <w:r w:rsidR="005853A9">
        <w:rPr>
          <w:kern w:val="0"/>
        </w:rPr>
        <w:t xml:space="preserve"> and </w:t>
      </w:r>
      <w:r>
        <w:rPr>
          <w:kern w:val="0"/>
        </w:rPr>
        <w:t>strength</w:t>
      </w:r>
      <w:r w:rsidR="00427468">
        <w:rPr>
          <w:kern w:val="0"/>
        </w:rPr>
        <w:t xml:space="preserve"> of </w:t>
      </w:r>
      <w:r>
        <w:rPr>
          <w:kern w:val="0"/>
        </w:rPr>
        <w:t>evidence was summarized for potential predictors</w:t>
      </w:r>
      <w:r w:rsidR="00427468">
        <w:rPr>
          <w:kern w:val="0"/>
        </w:rPr>
        <w:t xml:space="preserve"> of </w:t>
      </w:r>
      <w:r>
        <w:rPr>
          <w:kern w:val="0"/>
        </w:rPr>
        <w:t>progression. Results. Thirty studies were included,</w:t>
      </w:r>
      <w:r w:rsidR="00427468">
        <w:rPr>
          <w:kern w:val="0"/>
        </w:rPr>
        <w:t xml:space="preserve"> of </w:t>
      </w:r>
      <w:r>
        <w:rPr>
          <w:kern w:val="0"/>
        </w:rPr>
        <w:t>which 26 were</w:t>
      </w:r>
      <w:r w:rsidR="00427468">
        <w:rPr>
          <w:kern w:val="0"/>
        </w:rPr>
        <w:t xml:space="preserve"> of </w:t>
      </w:r>
      <w:r>
        <w:rPr>
          <w:kern w:val="0"/>
        </w:rPr>
        <w:t>high quality. Age, yarns knee alignment, presence</w:t>
      </w:r>
      <w:r w:rsidR="00427468">
        <w:rPr>
          <w:kern w:val="0"/>
        </w:rPr>
        <w:t xml:space="preserve"> of </w:t>
      </w:r>
      <w:r>
        <w:rPr>
          <w:kern w:val="0"/>
        </w:rPr>
        <w:t>OA in multiple joints,</w:t>
      </w:r>
      <w:r w:rsidR="005853A9">
        <w:rPr>
          <w:kern w:val="0"/>
        </w:rPr>
        <w:t xml:space="preserve"> and </w:t>
      </w:r>
      <w:r>
        <w:rPr>
          <w:kern w:val="0"/>
        </w:rPr>
        <w:t>radiographic features had strong evidence as predictors</w:t>
      </w:r>
      <w:r w:rsidR="00427468">
        <w:rPr>
          <w:kern w:val="0"/>
        </w:rPr>
        <w:t xml:space="preserve"> of </w:t>
      </w:r>
      <w:r>
        <w:rPr>
          <w:kern w:val="0"/>
        </w:rPr>
        <w:t>knee OA progression. Body mass index was a strong predictor for long-term progression (&gt;3 years). Moderate participation in physical activity was not associated with progression. Numerous variables had limited or conflicting evidence. Conclusion. Relatively few predictive variables have strong supporting evidence; numerous variables have limited or conflicting evidence. All variables with strong evidence can be easily evaluated</w:t>
      </w:r>
      <w:r w:rsidR="005853A9">
        <w:rPr>
          <w:kern w:val="0"/>
        </w:rPr>
        <w:t xml:space="preserve"> and </w:t>
      </w:r>
      <w:r>
        <w:rPr>
          <w:kern w:val="0"/>
        </w:rPr>
        <w:t>utilized in clinical practice. Existing knowledge should be developed in future research, particularly in cases where study numbers are low or findings are limited or conflicting. Standardized measurement</w:t>
      </w:r>
      <w:r w:rsidR="00427468">
        <w:rPr>
          <w:kern w:val="0"/>
        </w:rPr>
        <w:t xml:space="preserve"> of </w:t>
      </w:r>
      <w:r>
        <w:rPr>
          <w:kern w:val="0"/>
        </w:rPr>
        <w:t>potential predictors</w:t>
      </w:r>
      <w:r w:rsidR="005853A9">
        <w:rPr>
          <w:kern w:val="0"/>
        </w:rPr>
        <w:t xml:space="preserve"> and </w:t>
      </w:r>
      <w:r>
        <w:rPr>
          <w:kern w:val="0"/>
        </w:rPr>
        <w:lastRenderedPageBreak/>
        <w:t>outcome measures is recommended.</w:t>
      </w:r>
    </w:p>
    <w:p w:rsidR="008B4CD5" w:rsidRDefault="008B4CD5" w:rsidP="008B4CD5">
      <w:pPr>
        <w:pStyle w:val="a3"/>
        <w:rPr>
          <w:kern w:val="0"/>
        </w:rPr>
      </w:pPr>
      <w:r>
        <w:rPr>
          <w:kern w:val="0"/>
        </w:rPr>
        <w:t xml:space="preserve">Keywords: Adults, Age, Articles, Bias, Bone-Scintigraphy, Cartilage Loss, Databases, Disease, Disease Progression, General-Population, Health Care, Hip Osteoarthritis, Joint, Knowledge, Length Inequality, Measurement, Methods, Outcome, Pain, Physical Activity, Practice, Quadriceps Strength, Research, Review, Risk-Factors, Science, Search Strategies, Statistical, Systematic, Systematic Review, </w:t>
      </w:r>
      <w:r w:rsidR="00D5664A">
        <w:rPr>
          <w:kern w:val="0"/>
        </w:rPr>
        <w:t>Web</w:t>
      </w:r>
      <w:r w:rsidR="00427468">
        <w:rPr>
          <w:kern w:val="0"/>
        </w:rPr>
        <w:t xml:space="preserve"> of </w:t>
      </w:r>
      <w:r w:rsidR="00D5664A">
        <w:rPr>
          <w:kern w:val="0"/>
        </w:rPr>
        <w:t>Science</w:t>
      </w:r>
    </w:p>
    <w:p w:rsidR="004F3E0E" w:rsidRDefault="004F3E0E" w:rsidP="004F3E0E">
      <w:pPr>
        <w:pStyle w:val="a3"/>
        <w:rPr>
          <w:kern w:val="0"/>
        </w:rPr>
      </w:pPr>
      <w:r>
        <w:rPr>
          <w:rFonts w:hint="eastAsia"/>
          <w:kern w:val="0"/>
        </w:rPr>
        <w:t xml:space="preserve">? </w:t>
      </w:r>
      <w:r>
        <w:rPr>
          <w:kern w:val="0"/>
        </w:rPr>
        <w:t xml:space="preserve">Barber, C.E.H., Smith, A., Esdaile, J.M., Barnabe, C., Martin, L.O., Faris, P., Hazlewood, G., Noormohamed, R., Alvarez, N., Mancini, G.B.J., Lacaille, D., Keeling, S., Avina-Zubieta, J.A. and Marshall, D. (2015), Best practices for cardiovascular disease prevention in rheumatoid arthritis: A systematic review of guideline recommendations and quality indicators. </w:t>
      </w:r>
      <w:r>
        <w:rPr>
          <w:i/>
          <w:iCs/>
          <w:kern w:val="0"/>
        </w:rPr>
        <w:t>Arthritis Care &amp; Research</w:t>
      </w:r>
      <w:r>
        <w:rPr>
          <w:kern w:val="0"/>
        </w:rPr>
        <w:t xml:space="preserve">, </w:t>
      </w:r>
      <w:r>
        <w:rPr>
          <w:b/>
          <w:bCs/>
          <w:kern w:val="0"/>
        </w:rPr>
        <w:t>67</w:t>
      </w:r>
      <w:r>
        <w:rPr>
          <w:kern w:val="0"/>
        </w:rPr>
        <w:t xml:space="preserve"> (2), 169-179.</w:t>
      </w:r>
    </w:p>
    <w:p w:rsidR="004F3E0E" w:rsidRDefault="004F3E0E" w:rsidP="004F3E0E">
      <w:pPr>
        <w:pStyle w:val="a3"/>
        <w:rPr>
          <w:kern w:val="0"/>
        </w:rPr>
      </w:pPr>
      <w:r>
        <w:rPr>
          <w:rFonts w:hint="eastAsia"/>
          <w:kern w:val="0"/>
        </w:rPr>
        <w:t xml:space="preserve">Full Text: </w:t>
      </w:r>
      <w:hyperlink r:id="rId1238" w:history="1">
        <w:r w:rsidRPr="00AD2612">
          <w:rPr>
            <w:rStyle w:val="a5"/>
            <w:kern w:val="0"/>
          </w:rPr>
          <w:t>2015\Art Car Res67, 169.pdf</w:t>
        </w:r>
      </w:hyperlink>
    </w:p>
    <w:p w:rsidR="004F3E0E" w:rsidRDefault="004F3E0E" w:rsidP="004F3E0E">
      <w:pPr>
        <w:pStyle w:val="a3"/>
        <w:rPr>
          <w:kern w:val="0"/>
        </w:rPr>
      </w:pPr>
      <w:r>
        <w:rPr>
          <w:kern w:val="0"/>
        </w:rPr>
        <w:t>Abstract: ObjectiveCardiovascular disease (CVD) is a leading cause of mortality in rheumatoid arthritis (RA). This study systematically reviewed and appraised guidelines and quality indicators (QIs) pertaining to CVD risk management in patients with RA. MethodsFour electronic medical databases (Medline, Embase, CINAHL, and Web of Science) and gray literature publications were searched using terms and keywords pertaining to guidelines, QIs, RA, and CVD (RA and general population literature searched). Abstracts were screened for inclusion and rated using the Appraisal of Guidelines for Research and Evaluation II instrument independently by 2 of 3 reviewers. ResultsIn total, 16,064 abstracts were screened and 808 underwent full-text review. A total of 17 guidelines and 3 QI sets published between 2008 and 2013 were included. A number of consistent themes emerged, including the increased CV risk faced by RA patients and the need to address modifiable risk factors on a regular basis. The role of the multidisciplinary team in risk optimization was also highlighted. Ten guidelines provided recommendations for CVD prevention in patients with RA. Unfortunately, most recommendations lacked the specificity required to determine adherence to the recommendation. Only 4 RA-specific CVD QIs were identified (1 general comorbidity screening, formal CVD risk estimation, exercise, and minimizing steroid use). ConclusionRegular screening for CVD risk factors is an important part of care in patients with RA. Unfortunately, existing RA-specific CVD QIs do not adequately address risk factor management, and existing guideline recommendations lack specificity for measurement and use in quality improvement initiatives.</w:t>
      </w:r>
    </w:p>
    <w:p w:rsidR="004F3E0E" w:rsidRDefault="004F3E0E" w:rsidP="004F3E0E">
      <w:pPr>
        <w:pStyle w:val="a3"/>
        <w:rPr>
          <w:kern w:val="0"/>
        </w:rPr>
      </w:pPr>
      <w:r>
        <w:rPr>
          <w:kern w:val="0"/>
        </w:rPr>
        <w:t xml:space="preserve">Keywords: 2012 Update, Abstracts, Adherence, Arthritis, Canada, Cardiovascular Disease, Care, Clinical-Practice Guidelines, Comorbidity, Databases, Disease, Evaluation, Exercise, Factors, General, General Population, Gray Literature, </w:t>
      </w:r>
      <w:r>
        <w:rPr>
          <w:kern w:val="0"/>
        </w:rPr>
        <w:lastRenderedPageBreak/>
        <w:t>Guideline, Guidelines, Health-Care, Improvement, Indicators, Inflammatory Arthritis, Instrument, Literature, Lupus-Erythematosus, Management, Measurement, Medical, Medline, Mortality, Multidisciplinary, Multidisciplinary Team, Myocardial-Infarction, Of-Care, Optimization, Patients, Population, Prevention, Publications, Qi, Quality, Quality Improvement, Quality Indicators, Recommendations, Regular, Research, Review, Reviewers, Rheumatoid Arthritis, Risk, Risk Factor, Risk Factors, Risk Management, Risk-Assessment, Role, Science, Screening, Society, Specificity, Systematic, Systematic Review, Web, Web Of Science</w:t>
      </w:r>
    </w:p>
    <w:p w:rsidR="0056113B" w:rsidRPr="00F219CA" w:rsidRDefault="0056113B" w:rsidP="0056113B">
      <w:pPr>
        <w:pStyle w:val="1"/>
      </w:pPr>
      <w:r w:rsidRPr="00F219CA">
        <w:br w:type="page"/>
      </w:r>
      <w:bookmarkStart w:id="624" w:name="_Toc420814610"/>
      <w:r w:rsidRPr="00F219CA">
        <w:lastRenderedPageBreak/>
        <w:t xml:space="preserve">Title: </w:t>
      </w:r>
      <w:r w:rsidRPr="00A32FEF">
        <w:rPr>
          <w:iCs w:val="0"/>
        </w:rPr>
        <w:t>Arthritis Research &amp; Therapy</w:t>
      </w:r>
      <w:bookmarkEnd w:id="624"/>
    </w:p>
    <w:p w:rsidR="0056113B" w:rsidRPr="00F219CA" w:rsidRDefault="0056113B" w:rsidP="0056113B">
      <w:pPr>
        <w:pStyle w:val="12"/>
      </w:pPr>
      <w:r w:rsidRPr="00F219CA">
        <w:t xml:space="preserve">Full Journal Title: </w:t>
      </w:r>
      <w:r w:rsidRPr="00A32FEF">
        <w:rPr>
          <w:iCs/>
          <w:kern w:val="0"/>
        </w:rPr>
        <w:t>Arthritis Research &amp; Therapy</w:t>
      </w:r>
    </w:p>
    <w:p w:rsidR="0056113B" w:rsidRPr="00F219CA" w:rsidRDefault="0056113B" w:rsidP="0056113B">
      <w:pPr>
        <w:pStyle w:val="12"/>
      </w:pPr>
      <w:r w:rsidRPr="00F219CA">
        <w:t xml:space="preserve">ISO Abbreviated Title: </w:t>
      </w:r>
    </w:p>
    <w:p w:rsidR="0056113B" w:rsidRPr="00F219CA" w:rsidRDefault="0056113B" w:rsidP="0056113B">
      <w:pPr>
        <w:pStyle w:val="12"/>
      </w:pPr>
      <w:r w:rsidRPr="00F219CA">
        <w:t xml:space="preserve">JCR Abbreviated Title: </w:t>
      </w:r>
    </w:p>
    <w:p w:rsidR="0056113B" w:rsidRPr="00F219CA" w:rsidRDefault="0056113B" w:rsidP="0056113B">
      <w:pPr>
        <w:pStyle w:val="12"/>
      </w:pPr>
      <w:r>
        <w:t xml:space="preserve">ISSN: </w:t>
      </w:r>
    </w:p>
    <w:p w:rsidR="0056113B" w:rsidRPr="00F219CA" w:rsidRDefault="0056113B" w:rsidP="0056113B">
      <w:pPr>
        <w:pStyle w:val="12"/>
      </w:pPr>
      <w:r w:rsidRPr="00F219CA">
        <w:t xml:space="preserve">Issues/Year: </w:t>
      </w:r>
    </w:p>
    <w:p w:rsidR="0056113B" w:rsidRPr="00F219CA" w:rsidRDefault="0056113B" w:rsidP="0056113B">
      <w:pPr>
        <w:pStyle w:val="12"/>
      </w:pPr>
      <w:r w:rsidRPr="00F219CA">
        <w:t xml:space="preserve">Journal Country/Territory: </w:t>
      </w:r>
    </w:p>
    <w:p w:rsidR="0056113B" w:rsidRPr="00F219CA" w:rsidRDefault="0056113B" w:rsidP="0056113B">
      <w:pPr>
        <w:pStyle w:val="12"/>
      </w:pPr>
      <w:r w:rsidRPr="00F219CA">
        <w:t xml:space="preserve">Language: </w:t>
      </w:r>
    </w:p>
    <w:p w:rsidR="0056113B" w:rsidRPr="00F219CA" w:rsidRDefault="0056113B" w:rsidP="0056113B">
      <w:pPr>
        <w:pStyle w:val="12"/>
      </w:pPr>
      <w:r w:rsidRPr="00F219CA">
        <w:t xml:space="preserve">Publisher: </w:t>
      </w:r>
    </w:p>
    <w:p w:rsidR="0056113B" w:rsidRPr="00F219CA" w:rsidRDefault="0056113B" w:rsidP="0056113B">
      <w:pPr>
        <w:pStyle w:val="12"/>
      </w:pPr>
      <w:r w:rsidRPr="00F219CA">
        <w:t xml:space="preserve">Publisher Address: </w:t>
      </w:r>
    </w:p>
    <w:p w:rsidR="0056113B" w:rsidRPr="00F219CA" w:rsidRDefault="0056113B" w:rsidP="0056113B">
      <w:pPr>
        <w:pStyle w:val="12"/>
      </w:pPr>
      <w:r w:rsidRPr="00F219CA">
        <w:t xml:space="preserve">Subject Categories: </w:t>
      </w:r>
    </w:p>
    <w:p w:rsidR="0056113B" w:rsidRPr="00F219CA" w:rsidRDefault="0056113B" w:rsidP="0056113B">
      <w:pPr>
        <w:pStyle w:val="12"/>
      </w:pPr>
      <w:r w:rsidRPr="00F219CA">
        <w:t xml:space="preserve">: Impact Factor </w:t>
      </w:r>
    </w:p>
    <w:p w:rsidR="00B93D2D" w:rsidRDefault="00B93D2D" w:rsidP="00B93D2D">
      <w:pPr>
        <w:pStyle w:val="a3"/>
        <w:rPr>
          <w:kern w:val="0"/>
        </w:rPr>
      </w:pPr>
      <w:r>
        <w:rPr>
          <w:rFonts w:hint="eastAsia"/>
          <w:kern w:val="0"/>
        </w:rPr>
        <w:t xml:space="preserve">? </w:t>
      </w:r>
      <w:r>
        <w:rPr>
          <w:kern w:val="0"/>
        </w:rPr>
        <w:t>Ye, L.Y., Kalichman, L., Spittle, A., Dobson, F.</w:t>
      </w:r>
      <w:r w:rsidR="005853A9">
        <w:rPr>
          <w:kern w:val="0"/>
        </w:rPr>
        <w:t xml:space="preserve"> and </w:t>
      </w:r>
      <w:r>
        <w:rPr>
          <w:kern w:val="0"/>
        </w:rPr>
        <w:t>Bennell, K. (2011), Effects</w:t>
      </w:r>
      <w:r w:rsidR="00427468">
        <w:rPr>
          <w:kern w:val="0"/>
        </w:rPr>
        <w:t xml:space="preserve"> of </w:t>
      </w:r>
      <w:r>
        <w:rPr>
          <w:kern w:val="0"/>
        </w:rPr>
        <w:t>rehabilitative interventions on pain, function</w:t>
      </w:r>
      <w:r w:rsidR="005853A9">
        <w:rPr>
          <w:kern w:val="0"/>
        </w:rPr>
        <w:t xml:space="preserve"> and </w:t>
      </w:r>
      <w:r>
        <w:rPr>
          <w:kern w:val="0"/>
        </w:rPr>
        <w:t xml:space="preserve">physical impairments in people with hand osteoarthritis: A systematic review. </w:t>
      </w:r>
      <w:r w:rsidRPr="00A32FEF">
        <w:rPr>
          <w:i/>
          <w:iCs/>
          <w:kern w:val="0"/>
        </w:rPr>
        <w:t>Arthritis Research &amp; Therapy</w:t>
      </w:r>
      <w:r>
        <w:rPr>
          <w:kern w:val="0"/>
        </w:rPr>
        <w:t xml:space="preserve">, </w:t>
      </w:r>
      <w:r>
        <w:rPr>
          <w:b/>
          <w:bCs/>
          <w:kern w:val="0"/>
        </w:rPr>
        <w:t>13</w:t>
      </w:r>
      <w:r>
        <w:rPr>
          <w:kern w:val="0"/>
        </w:rPr>
        <w:t xml:space="preserve"> (1</w:t>
      </w:r>
      <w:r>
        <w:rPr>
          <w:rFonts w:hint="eastAsia"/>
          <w:kern w:val="0"/>
        </w:rPr>
        <w:t xml:space="preserve">), </w:t>
      </w:r>
      <w:r>
        <w:t>Article Number: R28</w:t>
      </w:r>
      <w:r>
        <w:rPr>
          <w:kern w:val="0"/>
        </w:rPr>
        <w:t>.</w:t>
      </w:r>
    </w:p>
    <w:p w:rsidR="00B93D2D" w:rsidRDefault="00B93D2D" w:rsidP="00B93D2D">
      <w:pPr>
        <w:pStyle w:val="a3"/>
        <w:rPr>
          <w:kern w:val="0"/>
        </w:rPr>
      </w:pPr>
      <w:r>
        <w:rPr>
          <w:rFonts w:hint="eastAsia"/>
          <w:kern w:val="0"/>
        </w:rPr>
        <w:t xml:space="preserve">Full Text: </w:t>
      </w:r>
      <w:hyperlink r:id="rId1239" w:history="1">
        <w:r w:rsidRPr="00235510">
          <w:rPr>
            <w:rStyle w:val="a5"/>
            <w:kern w:val="0"/>
          </w:rPr>
          <w:t>2011\Art Res The13, R28.pdf</w:t>
        </w:r>
      </w:hyperlink>
    </w:p>
    <w:p w:rsidR="0056113B" w:rsidRDefault="0056113B" w:rsidP="0056113B">
      <w:pPr>
        <w:pStyle w:val="a3"/>
        <w:rPr>
          <w:kern w:val="0"/>
        </w:rPr>
      </w:pPr>
      <w:r>
        <w:rPr>
          <w:kern w:val="0"/>
        </w:rPr>
        <w:t>Abstract: Introduction: Hand osteoarthritis (OA) is associated with pain, reduced grip strength, loss</w:t>
      </w:r>
      <w:r w:rsidR="00427468">
        <w:rPr>
          <w:kern w:val="0"/>
        </w:rPr>
        <w:t xml:space="preserve"> of </w:t>
      </w:r>
      <w:r>
        <w:rPr>
          <w:kern w:val="0"/>
        </w:rPr>
        <w:t>range</w:t>
      </w:r>
      <w:r w:rsidR="00427468">
        <w:rPr>
          <w:kern w:val="0"/>
        </w:rPr>
        <w:t xml:space="preserve"> of </w:t>
      </w:r>
      <w:r>
        <w:rPr>
          <w:kern w:val="0"/>
        </w:rPr>
        <w:t>motion</w:t>
      </w:r>
      <w:r w:rsidR="005853A9">
        <w:rPr>
          <w:kern w:val="0"/>
        </w:rPr>
        <w:t xml:space="preserve"> and </w:t>
      </w:r>
      <w:r>
        <w:rPr>
          <w:kern w:val="0"/>
        </w:rPr>
        <w:t>joint stiffness leading to impaired hand function</w:t>
      </w:r>
      <w:r w:rsidR="005853A9">
        <w:rPr>
          <w:kern w:val="0"/>
        </w:rPr>
        <w:t xml:space="preserve"> and </w:t>
      </w:r>
      <w:r>
        <w:rPr>
          <w:kern w:val="0"/>
        </w:rPr>
        <w:t>difficulty with daily activities</w:t>
      </w:r>
      <w:r w:rsidR="00A37C1D">
        <w:rPr>
          <w:kern w:val="0"/>
        </w:rPr>
        <w:t>. The</w:t>
      </w:r>
      <w:r w:rsidR="003A1917">
        <w:rPr>
          <w:kern w:val="0"/>
        </w:rPr>
        <w:t xml:space="preserve"> </w:t>
      </w:r>
      <w:r>
        <w:rPr>
          <w:kern w:val="0"/>
        </w:rPr>
        <w:t>effectiveness</w:t>
      </w:r>
      <w:r w:rsidR="00427468">
        <w:rPr>
          <w:kern w:val="0"/>
        </w:rPr>
        <w:t xml:space="preserve"> of </w:t>
      </w:r>
      <w:r>
        <w:rPr>
          <w:kern w:val="0"/>
        </w:rPr>
        <w:t>different rehabilitation interventions on specific treatment goals has not yet been fully explored</w:t>
      </w:r>
      <w:r w:rsidR="00A37C1D">
        <w:rPr>
          <w:kern w:val="0"/>
        </w:rPr>
        <w:t>. The</w:t>
      </w:r>
      <w:r w:rsidR="003A1917">
        <w:rPr>
          <w:kern w:val="0"/>
        </w:rPr>
        <w:t xml:space="preserve"> </w:t>
      </w:r>
      <w:r>
        <w:rPr>
          <w:kern w:val="0"/>
        </w:rPr>
        <w:t>objective</w:t>
      </w:r>
      <w:r w:rsidR="00427468">
        <w:rPr>
          <w:kern w:val="0"/>
        </w:rPr>
        <w:t xml:space="preserve"> of </w:t>
      </w:r>
      <w:r>
        <w:rPr>
          <w:kern w:val="0"/>
        </w:rPr>
        <w:t>this systematic review is to provide evidence based knowledge on</w:t>
      </w:r>
      <w:r w:rsidR="003A1917">
        <w:rPr>
          <w:kern w:val="0"/>
        </w:rPr>
        <w:t xml:space="preserve"> the </w:t>
      </w:r>
      <w:r>
        <w:rPr>
          <w:kern w:val="0"/>
        </w:rPr>
        <w:t>treatment effects</w:t>
      </w:r>
      <w:r w:rsidR="00427468">
        <w:rPr>
          <w:kern w:val="0"/>
        </w:rPr>
        <w:t xml:space="preserve"> of </w:t>
      </w:r>
      <w:r>
        <w:rPr>
          <w:kern w:val="0"/>
        </w:rPr>
        <w:t>different rehabilitation interventions for specific treatment goals for hand OA. Methods: A computerized literature search</w:t>
      </w:r>
      <w:r w:rsidR="00427468">
        <w:rPr>
          <w:kern w:val="0"/>
        </w:rPr>
        <w:t xml:space="preserve"> of </w:t>
      </w:r>
      <w:r w:rsidR="00D5664A">
        <w:rPr>
          <w:kern w:val="0"/>
        </w:rPr>
        <w:t>MEDLINE</w:t>
      </w:r>
      <w:r>
        <w:rPr>
          <w:kern w:val="0"/>
        </w:rPr>
        <w:t>,</w:t>
      </w:r>
      <w:r w:rsidR="003A1917">
        <w:rPr>
          <w:kern w:val="0"/>
        </w:rPr>
        <w:t xml:space="preserve"> the </w:t>
      </w:r>
      <w:r>
        <w:rPr>
          <w:kern w:val="0"/>
        </w:rPr>
        <w:t>Cumulative Index to Nursing</w:t>
      </w:r>
      <w:r w:rsidR="005853A9">
        <w:rPr>
          <w:kern w:val="0"/>
        </w:rPr>
        <w:t xml:space="preserve"> and </w:t>
      </w:r>
      <w:r>
        <w:rPr>
          <w:kern w:val="0"/>
        </w:rPr>
        <w:t xml:space="preserve">Allied Health Literature (CINAHL),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Physiotherapy Evidence Database (PEDro)</w:t>
      </w:r>
      <w:r w:rsidR="005853A9">
        <w:rPr>
          <w:kern w:val="0"/>
        </w:rPr>
        <w:t xml:space="preserve"> and </w:t>
      </w:r>
      <w:r>
        <w:rPr>
          <w:kern w:val="0"/>
        </w:rPr>
        <w:t>SCOPUS was performed. Studies that had an evidence level</w:t>
      </w:r>
      <w:r w:rsidR="00427468">
        <w:rPr>
          <w:kern w:val="0"/>
        </w:rPr>
        <w:t xml:space="preserve"> of </w:t>
      </w:r>
      <w:r>
        <w:rPr>
          <w:kern w:val="0"/>
        </w:rPr>
        <w:t>2b or higher</w:t>
      </w:r>
      <w:r w:rsidR="005853A9">
        <w:rPr>
          <w:kern w:val="0"/>
        </w:rPr>
        <w:t xml:space="preserve"> and </w:t>
      </w:r>
      <w:r>
        <w:rPr>
          <w:kern w:val="0"/>
        </w:rPr>
        <w:t>that compared a rehabilitation intervention with a control group</w:t>
      </w:r>
      <w:r w:rsidR="005853A9">
        <w:rPr>
          <w:kern w:val="0"/>
        </w:rPr>
        <w:t xml:space="preserve"> and </w:t>
      </w:r>
      <w:r>
        <w:rPr>
          <w:kern w:val="0"/>
        </w:rPr>
        <w:t>assessed at least one</w:t>
      </w:r>
      <w:r w:rsidR="00427468">
        <w:rPr>
          <w:kern w:val="0"/>
        </w:rPr>
        <w:t xml:space="preserve"> of </w:t>
      </w:r>
      <w:r w:rsidR="003A1917">
        <w:rPr>
          <w:kern w:val="0"/>
        </w:rPr>
        <w:t xml:space="preserve">the </w:t>
      </w:r>
      <w:r>
        <w:rPr>
          <w:kern w:val="0"/>
        </w:rPr>
        <w:t>following outcome measures - pain, physical hand function or other measures</w:t>
      </w:r>
      <w:r w:rsidR="00427468">
        <w:rPr>
          <w:kern w:val="0"/>
        </w:rPr>
        <w:t xml:space="preserve"> of </w:t>
      </w:r>
      <w:r>
        <w:rPr>
          <w:kern w:val="0"/>
        </w:rPr>
        <w:t>hand impairment were included</w:t>
      </w:r>
      <w:r w:rsidR="00A37C1D">
        <w:rPr>
          <w:kern w:val="0"/>
        </w:rPr>
        <w:t>. The</w:t>
      </w:r>
      <w:r w:rsidR="003A1917">
        <w:rPr>
          <w:kern w:val="0"/>
        </w:rPr>
        <w:t xml:space="preserve"> </w:t>
      </w:r>
      <w:r>
        <w:rPr>
          <w:kern w:val="0"/>
        </w:rPr>
        <w:t>eligibility</w:t>
      </w:r>
      <w:r w:rsidR="005853A9">
        <w:rPr>
          <w:kern w:val="0"/>
        </w:rPr>
        <w:t xml:space="preserve"> and </w:t>
      </w:r>
      <w:r>
        <w:rPr>
          <w:kern w:val="0"/>
        </w:rPr>
        <w:t>methodological quality</w:t>
      </w:r>
      <w:r w:rsidR="00427468">
        <w:rPr>
          <w:kern w:val="0"/>
        </w:rPr>
        <w:t xml:space="preserve"> of </w:t>
      </w:r>
      <w:r>
        <w:rPr>
          <w:kern w:val="0"/>
        </w:rPr>
        <w:t>trials were systematically assessed by two independent reviewers using</w:t>
      </w:r>
      <w:r w:rsidR="003A1917">
        <w:rPr>
          <w:kern w:val="0"/>
        </w:rPr>
        <w:t xml:space="preserve"> the </w:t>
      </w:r>
      <w:r>
        <w:rPr>
          <w:kern w:val="0"/>
        </w:rPr>
        <w:t>PEDro scale. Treatment effects were calculated using standardized mean difference</w:t>
      </w:r>
      <w:r w:rsidR="005853A9">
        <w:rPr>
          <w:kern w:val="0"/>
        </w:rPr>
        <w:t xml:space="preserve"> and </w:t>
      </w:r>
      <w:r>
        <w:rPr>
          <w:kern w:val="0"/>
        </w:rPr>
        <w:t>95% confidence intervals. Results: Ten studies,</w:t>
      </w:r>
      <w:r w:rsidR="00427468">
        <w:rPr>
          <w:kern w:val="0"/>
        </w:rPr>
        <w:t xml:space="preserve"> of </w:t>
      </w:r>
      <w:r>
        <w:rPr>
          <w:kern w:val="0"/>
        </w:rPr>
        <w:t>which six were</w:t>
      </w:r>
      <w:r w:rsidR="00427468">
        <w:rPr>
          <w:kern w:val="0"/>
        </w:rPr>
        <w:t xml:space="preserve"> of </w:t>
      </w:r>
      <w:r>
        <w:rPr>
          <w:kern w:val="0"/>
        </w:rPr>
        <w:t>higher quality (PEDro score &gt;6), were included</w:t>
      </w:r>
      <w:r w:rsidR="00A37C1D">
        <w:rPr>
          <w:kern w:val="0"/>
        </w:rPr>
        <w:t>. The</w:t>
      </w:r>
      <w:r w:rsidR="003A1917">
        <w:rPr>
          <w:kern w:val="0"/>
        </w:rPr>
        <w:t xml:space="preserve"> </w:t>
      </w:r>
      <w:r>
        <w:rPr>
          <w:kern w:val="0"/>
        </w:rPr>
        <w:t>rehabilitation techniques reviewed included three studies on exercise, two studies each on laser</w:t>
      </w:r>
      <w:r w:rsidR="005853A9">
        <w:rPr>
          <w:kern w:val="0"/>
        </w:rPr>
        <w:t xml:space="preserve"> and </w:t>
      </w:r>
      <w:r>
        <w:rPr>
          <w:kern w:val="0"/>
        </w:rPr>
        <w:t>heat,</w:t>
      </w:r>
      <w:r w:rsidR="005853A9">
        <w:rPr>
          <w:kern w:val="0"/>
        </w:rPr>
        <w:t xml:space="preserve"> and </w:t>
      </w:r>
      <w:r>
        <w:rPr>
          <w:kern w:val="0"/>
        </w:rPr>
        <w:t>one study each on splints, massage</w:t>
      </w:r>
      <w:r w:rsidR="005853A9">
        <w:rPr>
          <w:kern w:val="0"/>
        </w:rPr>
        <w:t xml:space="preserve"> and </w:t>
      </w:r>
      <w:r>
        <w:rPr>
          <w:kern w:val="0"/>
        </w:rPr>
        <w:t>acupuncture. One higher quality trial showed a large positive effect</w:t>
      </w:r>
      <w:r w:rsidR="00427468">
        <w:rPr>
          <w:kern w:val="0"/>
        </w:rPr>
        <w:t xml:space="preserve"> of </w:t>
      </w:r>
      <w:r>
        <w:rPr>
          <w:kern w:val="0"/>
        </w:rPr>
        <w:t>12-month use</w:t>
      </w:r>
      <w:r w:rsidR="00427468">
        <w:rPr>
          <w:kern w:val="0"/>
        </w:rPr>
        <w:t xml:space="preserve"> of </w:t>
      </w:r>
      <w:r>
        <w:rPr>
          <w:kern w:val="0"/>
        </w:rPr>
        <w:t>a night splint on hand pain, function, strength</w:t>
      </w:r>
      <w:r w:rsidR="005853A9">
        <w:rPr>
          <w:kern w:val="0"/>
        </w:rPr>
        <w:t xml:space="preserve"> and </w:t>
      </w:r>
      <w:r>
        <w:rPr>
          <w:kern w:val="0"/>
        </w:rPr>
        <w:t>range</w:t>
      </w:r>
      <w:r w:rsidR="00427468">
        <w:rPr>
          <w:kern w:val="0"/>
        </w:rPr>
        <w:t xml:space="preserve"> of </w:t>
      </w:r>
      <w:r>
        <w:rPr>
          <w:kern w:val="0"/>
        </w:rPr>
        <w:lastRenderedPageBreak/>
        <w:t>motion. Exercise had no effect on hand pain or function although it may be able to improve hand strength. Low level laser therapy may be useful for improving range</w:t>
      </w:r>
      <w:r w:rsidR="00427468">
        <w:rPr>
          <w:kern w:val="0"/>
        </w:rPr>
        <w:t xml:space="preserve"> of </w:t>
      </w:r>
      <w:r>
        <w:rPr>
          <w:kern w:val="0"/>
        </w:rPr>
        <w:t>motion. No rehabilitation interventions were found to improve stiffness. Conclusions: There is emerging high quality evidence to support that rehabilitation interventions can offer significant benefits to individuals with hand OA. A summary</w:t>
      </w:r>
      <w:r w:rsidR="00427468">
        <w:rPr>
          <w:kern w:val="0"/>
        </w:rPr>
        <w:t xml:space="preserve"> of </w:t>
      </w:r>
      <w:r w:rsidR="003A1917">
        <w:rPr>
          <w:kern w:val="0"/>
        </w:rPr>
        <w:t xml:space="preserve">the </w:t>
      </w:r>
      <w:r>
        <w:rPr>
          <w:kern w:val="0"/>
        </w:rPr>
        <w:t>higher quality evidence is provided to assist with clinical decision making based on current evidence. Further high-quality research is needed concerning</w:t>
      </w:r>
      <w:r w:rsidR="003A1917">
        <w:rPr>
          <w:kern w:val="0"/>
        </w:rPr>
        <w:t xml:space="preserve"> the </w:t>
      </w:r>
      <w:r>
        <w:rPr>
          <w:kern w:val="0"/>
        </w:rPr>
        <w:t>effects</w:t>
      </w:r>
      <w:r w:rsidR="00427468">
        <w:rPr>
          <w:kern w:val="0"/>
        </w:rPr>
        <w:t xml:space="preserve"> of </w:t>
      </w:r>
      <w:r>
        <w:rPr>
          <w:kern w:val="0"/>
        </w:rPr>
        <w:t>rehabilitation interventions on specific treatment goals for hand OA.</w:t>
      </w:r>
    </w:p>
    <w:p w:rsidR="0056113B" w:rsidRDefault="0056113B" w:rsidP="0056113B">
      <w:pPr>
        <w:pStyle w:val="a3"/>
        <w:rPr>
          <w:kern w:val="0"/>
        </w:rPr>
      </w:pPr>
      <w:r>
        <w:rPr>
          <w:kern w:val="0"/>
        </w:rPr>
        <w:t>Keywords: Activities, Confidence Intervals, Control, Decision Making, Decision-Making, Effectiveness, Exercise, Grip Strength, Health, Intervention, Interventions</w:t>
      </w:r>
      <w:r w:rsidR="00D5664A">
        <w:rPr>
          <w:kern w:val="0"/>
        </w:rPr>
        <w:t>, ISI,</w:t>
      </w:r>
      <w:r>
        <w:rPr>
          <w:kern w:val="0"/>
        </w:rPr>
        <w:t xml:space="preserve"> Joint, Knee Osteoarthritis, Knowledge, Literature, Low-Level Laser, Methodological Quality, Methods, Nursing, Outcome, Pain, Pedro Scale, Physiotherapy, Prevalence, Randomized Controlled-Trial, Recommendations, Rehabilitation, Research, Review, Science, Scopus, Systematic, Systematic Review, Therapeutic Trials, Therapy, Thumb, Treatment, </w:t>
      </w:r>
      <w:r w:rsidR="00D5664A">
        <w:rPr>
          <w:kern w:val="0"/>
        </w:rPr>
        <w:t>Web</w:t>
      </w:r>
      <w:r w:rsidR="00427468">
        <w:rPr>
          <w:kern w:val="0"/>
        </w:rPr>
        <w:t xml:space="preserve"> of </w:t>
      </w:r>
      <w:r w:rsidR="00D5664A">
        <w:rPr>
          <w:kern w:val="0"/>
        </w:rPr>
        <w:t>Science</w:t>
      </w:r>
    </w:p>
    <w:p w:rsidR="0056113B" w:rsidRPr="00F219CA" w:rsidRDefault="0056113B" w:rsidP="0056113B">
      <w:pPr>
        <w:pStyle w:val="1"/>
      </w:pPr>
      <w:r w:rsidRPr="00F219CA">
        <w:br w:type="page"/>
      </w:r>
      <w:bookmarkStart w:id="625" w:name="_Toc420814611"/>
      <w:r w:rsidRPr="00F219CA">
        <w:lastRenderedPageBreak/>
        <w:t xml:space="preserve">Title: </w:t>
      </w:r>
      <w:r w:rsidRPr="0056113B">
        <w:rPr>
          <w:iCs w:val="0"/>
        </w:rPr>
        <w:t>Arthritis &amp; Rheumatism-Arthritis Care &amp;</w:t>
      </w:r>
      <w:bookmarkStart w:id="626" w:name="_Toc302251210"/>
      <w:r w:rsidRPr="0056113B">
        <w:rPr>
          <w:iCs w:val="0"/>
        </w:rPr>
        <w:t xml:space="preserve"> Resear</w:t>
      </w:r>
      <w:bookmarkEnd w:id="626"/>
      <w:r w:rsidRPr="0056113B">
        <w:rPr>
          <w:iCs w:val="0"/>
        </w:rPr>
        <w:t>ch</w:t>
      </w:r>
      <w:bookmarkEnd w:id="625"/>
    </w:p>
    <w:p w:rsidR="0056113B" w:rsidRPr="00F219CA" w:rsidRDefault="0056113B" w:rsidP="0056113B">
      <w:pPr>
        <w:pStyle w:val="12"/>
      </w:pPr>
      <w:r w:rsidRPr="00F219CA">
        <w:t xml:space="preserve">Full Journal Title: </w:t>
      </w:r>
      <w:r w:rsidRPr="0056113B">
        <w:rPr>
          <w:iCs/>
          <w:kern w:val="0"/>
        </w:rPr>
        <w:t>Arthritis &amp; Rheumatism-Arthritis Care &amp; Research</w:t>
      </w:r>
    </w:p>
    <w:p w:rsidR="0056113B" w:rsidRPr="00F219CA" w:rsidRDefault="0056113B" w:rsidP="0056113B">
      <w:pPr>
        <w:pStyle w:val="12"/>
      </w:pPr>
      <w:r w:rsidRPr="00F219CA">
        <w:t xml:space="preserve">ISO Abbreviated Title: </w:t>
      </w:r>
    </w:p>
    <w:p w:rsidR="0056113B" w:rsidRPr="00F219CA" w:rsidRDefault="0056113B" w:rsidP="0056113B">
      <w:pPr>
        <w:pStyle w:val="12"/>
      </w:pPr>
      <w:r w:rsidRPr="00F219CA">
        <w:t xml:space="preserve">JCR Abbreviated Title: </w:t>
      </w:r>
    </w:p>
    <w:p w:rsidR="0056113B" w:rsidRPr="00F219CA" w:rsidRDefault="0056113B" w:rsidP="0056113B">
      <w:pPr>
        <w:pStyle w:val="12"/>
      </w:pPr>
      <w:r w:rsidRPr="00F219CA">
        <w:t xml:space="preserve">ISSN: </w:t>
      </w:r>
    </w:p>
    <w:p w:rsidR="0056113B" w:rsidRPr="00F219CA" w:rsidRDefault="0056113B" w:rsidP="0056113B">
      <w:pPr>
        <w:pStyle w:val="12"/>
      </w:pPr>
      <w:r w:rsidRPr="00F219CA">
        <w:t xml:space="preserve">Issues/Year: </w:t>
      </w:r>
    </w:p>
    <w:p w:rsidR="0056113B" w:rsidRPr="00F219CA" w:rsidRDefault="0056113B" w:rsidP="0056113B">
      <w:pPr>
        <w:pStyle w:val="12"/>
      </w:pPr>
      <w:r w:rsidRPr="00F219CA">
        <w:t xml:space="preserve">Journal Country/Territory: </w:t>
      </w:r>
    </w:p>
    <w:p w:rsidR="0056113B" w:rsidRPr="00F219CA" w:rsidRDefault="0056113B" w:rsidP="0056113B">
      <w:pPr>
        <w:pStyle w:val="12"/>
      </w:pPr>
      <w:r w:rsidRPr="00F219CA">
        <w:t xml:space="preserve">Language: </w:t>
      </w:r>
    </w:p>
    <w:p w:rsidR="0056113B" w:rsidRPr="00F219CA" w:rsidRDefault="0056113B" w:rsidP="0056113B">
      <w:pPr>
        <w:pStyle w:val="12"/>
      </w:pPr>
      <w:r w:rsidRPr="00F219CA">
        <w:t xml:space="preserve">Publisher: </w:t>
      </w:r>
    </w:p>
    <w:p w:rsidR="0056113B" w:rsidRPr="00F219CA" w:rsidRDefault="0056113B" w:rsidP="0056113B">
      <w:pPr>
        <w:pStyle w:val="12"/>
      </w:pPr>
      <w:r w:rsidRPr="00F219CA">
        <w:t xml:space="preserve">Publisher Address: </w:t>
      </w:r>
    </w:p>
    <w:p w:rsidR="0056113B" w:rsidRPr="00F219CA" w:rsidRDefault="0056113B" w:rsidP="0056113B">
      <w:pPr>
        <w:pStyle w:val="12"/>
      </w:pPr>
      <w:r w:rsidRPr="00F219CA">
        <w:t xml:space="preserve">Subject Categories: </w:t>
      </w:r>
    </w:p>
    <w:p w:rsidR="0056113B" w:rsidRPr="00F219CA" w:rsidRDefault="0056113B" w:rsidP="0056113B">
      <w:pPr>
        <w:pStyle w:val="12"/>
      </w:pPr>
      <w:r w:rsidRPr="00F219CA">
        <w:t xml:space="preserve">: Impact Factor </w:t>
      </w:r>
    </w:p>
    <w:p w:rsidR="0056113B" w:rsidRDefault="0056113B" w:rsidP="0056113B">
      <w:pPr>
        <w:pStyle w:val="a3"/>
        <w:rPr>
          <w:kern w:val="0"/>
        </w:rPr>
      </w:pPr>
      <w:r>
        <w:rPr>
          <w:rFonts w:hint="eastAsia"/>
          <w:kern w:val="0"/>
        </w:rPr>
        <w:t xml:space="preserve">? </w:t>
      </w:r>
      <w:r>
        <w:rPr>
          <w:kern w:val="0"/>
        </w:rPr>
        <w:t>Gaida, J.E., Ashe, M.C., Bass, S.L.</w:t>
      </w:r>
      <w:r w:rsidR="005853A9">
        <w:rPr>
          <w:kern w:val="0"/>
        </w:rPr>
        <w:t xml:space="preserve"> and </w:t>
      </w:r>
      <w:r>
        <w:rPr>
          <w:kern w:val="0"/>
        </w:rPr>
        <w:t xml:space="preserve">Cook, J.L. (2009), Is adiposity an under-recognized risk factor for tendinopathy? A systematic review. </w:t>
      </w:r>
      <w:r w:rsidRPr="0056113B">
        <w:rPr>
          <w:i/>
          <w:iCs/>
          <w:kern w:val="0"/>
        </w:rPr>
        <w:t>Arthritis &amp; Rheumatism-Arthritis Care &amp; Research</w:t>
      </w:r>
      <w:r>
        <w:rPr>
          <w:kern w:val="0"/>
        </w:rPr>
        <w:t xml:space="preserve">, </w:t>
      </w:r>
      <w:r>
        <w:rPr>
          <w:b/>
          <w:bCs/>
          <w:kern w:val="0"/>
        </w:rPr>
        <w:t>61</w:t>
      </w:r>
      <w:r>
        <w:rPr>
          <w:kern w:val="0"/>
        </w:rPr>
        <w:t xml:space="preserve"> (6), 840-849.</w:t>
      </w:r>
    </w:p>
    <w:p w:rsidR="0056113B" w:rsidRDefault="0056113B" w:rsidP="0056113B">
      <w:pPr>
        <w:pStyle w:val="a3"/>
        <w:rPr>
          <w:kern w:val="0"/>
        </w:rPr>
      </w:pPr>
      <w:r>
        <w:rPr>
          <w:kern w:val="0"/>
        </w:rPr>
        <w:t>Abstract: Objective. Tendon injuries have been reported to occur more frequently in individuals with increased adiposity. Treatment also appears to have poorer outcomes among these individuals. Our objective was to examine</w:t>
      </w:r>
      <w:r w:rsidR="003A1917">
        <w:rPr>
          <w:kern w:val="0"/>
        </w:rPr>
        <w:t xml:space="preserve"> the </w:t>
      </w:r>
      <w:r>
        <w:rPr>
          <w:kern w:val="0"/>
        </w:rPr>
        <w:t>extent</w:t>
      </w:r>
      <w:r w:rsidR="005853A9">
        <w:rPr>
          <w:kern w:val="0"/>
        </w:rPr>
        <w:t xml:space="preserve"> and </w:t>
      </w:r>
      <w:r>
        <w:rPr>
          <w:kern w:val="0"/>
        </w:rPr>
        <w:t>consistency</w:t>
      </w:r>
      <w:r w:rsidR="00427468">
        <w:rPr>
          <w:kern w:val="0"/>
        </w:rPr>
        <w:t xml:space="preserve"> of </w:t>
      </w:r>
      <w:r>
        <w:rPr>
          <w:kern w:val="0"/>
        </w:rPr>
        <w:t>associations between adiposity</w:t>
      </w:r>
      <w:r w:rsidR="005853A9">
        <w:rPr>
          <w:kern w:val="0"/>
        </w:rPr>
        <w:t xml:space="preserve"> and </w:t>
      </w:r>
      <w:r>
        <w:rPr>
          <w:kern w:val="0"/>
        </w:rPr>
        <w:t>tendinopathy. Methods. A systematic review</w:t>
      </w:r>
      <w:r w:rsidR="00427468">
        <w:rPr>
          <w:kern w:val="0"/>
        </w:rPr>
        <w:t xml:space="preserve"> of </w:t>
      </w:r>
      <w:r>
        <w:rPr>
          <w:kern w:val="0"/>
        </w:rPr>
        <w:t>observational studies was conducted. Eight electronic databases were searched (Allied</w:t>
      </w:r>
      <w:r w:rsidR="005853A9">
        <w:rPr>
          <w:kern w:val="0"/>
        </w:rPr>
        <w:t xml:space="preserve"> and </w:t>
      </w:r>
      <w:r>
        <w:rPr>
          <w:kern w:val="0"/>
        </w:rPr>
        <w:t xml:space="preserve">Complementary Medicine, Biological Abstracts, CINAHL, Current Contents, EMBASE, </w:t>
      </w:r>
      <w:r w:rsidR="00D5664A">
        <w:rPr>
          <w:kern w:val="0"/>
        </w:rPr>
        <w:t>MEDLINE</w:t>
      </w:r>
      <w:r>
        <w:rPr>
          <w:kern w:val="0"/>
        </w:rPr>
        <w:t>, SPORTDiscus,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citation tracking was performed on included reports. Studies were included if they compared adiposity between subjects with</w:t>
      </w:r>
      <w:r w:rsidR="005853A9">
        <w:rPr>
          <w:kern w:val="0"/>
        </w:rPr>
        <w:t xml:space="preserve"> and </w:t>
      </w:r>
      <w:r>
        <w:rPr>
          <w:kern w:val="0"/>
        </w:rPr>
        <w:t>without tendon injury or examined adiposity as a predictor</w:t>
      </w:r>
      <w:r w:rsidR="00427468">
        <w:rPr>
          <w:kern w:val="0"/>
        </w:rPr>
        <w:t xml:space="preserve"> of </w:t>
      </w:r>
      <w:r>
        <w:rPr>
          <w:kern w:val="0"/>
        </w:rPr>
        <w:t>conservative treatment success. Results. Four longitudinal cohorts, 14 cross-sectional studies, 8 case-control studies,</w:t>
      </w:r>
      <w:r w:rsidR="005853A9">
        <w:rPr>
          <w:kern w:val="0"/>
        </w:rPr>
        <w:t xml:space="preserve"> and </w:t>
      </w:r>
      <w:r>
        <w:rPr>
          <w:kern w:val="0"/>
        </w:rPr>
        <w:t>2 interventional studies (28 in total) met</w:t>
      </w:r>
      <w:r w:rsidR="003A1917">
        <w:rPr>
          <w:kern w:val="0"/>
        </w:rPr>
        <w:t xml:space="preserve"> the </w:t>
      </w:r>
      <w:r>
        <w:rPr>
          <w:kern w:val="0"/>
        </w:rPr>
        <w:t>inclusion criteria, providing a total</w:t>
      </w:r>
      <w:r w:rsidR="00427468">
        <w:rPr>
          <w:kern w:val="0"/>
        </w:rPr>
        <w:t xml:space="preserve"> of </w:t>
      </w:r>
      <w:r>
        <w:rPr>
          <w:kern w:val="0"/>
        </w:rPr>
        <w:t>19,949 individuals. Forty-two subpopulations were identified, 18</w:t>
      </w:r>
      <w:r w:rsidR="00427468">
        <w:rPr>
          <w:kern w:val="0"/>
        </w:rPr>
        <w:t xml:space="preserve"> of </w:t>
      </w:r>
      <w:r>
        <w:rPr>
          <w:kern w:val="0"/>
        </w:rPr>
        <w:t>which showed elevated adiposity to be associated with tendon injury (43%). Sensitivity analyses indicated a clustering</w:t>
      </w:r>
      <w:r w:rsidR="00427468">
        <w:rPr>
          <w:kern w:val="0"/>
        </w:rPr>
        <w:t xml:space="preserve"> of </w:t>
      </w:r>
      <w:r>
        <w:rPr>
          <w:kern w:val="0"/>
        </w:rPr>
        <w:t>positive findings among studies that included clinical patients (81% positive)</w:t>
      </w:r>
      <w:r w:rsidR="005853A9">
        <w:rPr>
          <w:kern w:val="0"/>
        </w:rPr>
        <w:t xml:space="preserve"> and </w:t>
      </w:r>
      <w:r>
        <w:rPr>
          <w:kern w:val="0"/>
        </w:rPr>
        <w:t>among case-control studies (77% positive). Conclusion. Elevated adiposity is frequently associated with tendon injury. Published reports suggest that elevated adiposity is a risk factor for tendon injury, although this association appears to vary depending on aspects</w:t>
      </w:r>
      <w:r w:rsidR="00427468">
        <w:rPr>
          <w:kern w:val="0"/>
        </w:rPr>
        <w:t xml:space="preserve"> of </w:t>
      </w:r>
      <w:r>
        <w:rPr>
          <w:kern w:val="0"/>
        </w:rPr>
        <w:t>study design</w:t>
      </w:r>
      <w:r w:rsidR="005853A9">
        <w:rPr>
          <w:kern w:val="0"/>
        </w:rPr>
        <w:t xml:space="preserve"> and </w:t>
      </w:r>
      <w:r>
        <w:rPr>
          <w:kern w:val="0"/>
        </w:rPr>
        <w:t>measurement. Adiposity is</w:t>
      </w:r>
      <w:r w:rsidR="00427468">
        <w:rPr>
          <w:kern w:val="0"/>
        </w:rPr>
        <w:t xml:space="preserve"> of </w:t>
      </w:r>
      <w:r>
        <w:rPr>
          <w:kern w:val="0"/>
        </w:rPr>
        <w:t>particular interest in tendon research because, unlike a number</w:t>
      </w:r>
      <w:r w:rsidR="00427468">
        <w:rPr>
          <w:kern w:val="0"/>
        </w:rPr>
        <w:t xml:space="preserve"> of </w:t>
      </w:r>
      <w:r>
        <w:rPr>
          <w:kern w:val="0"/>
        </w:rPr>
        <w:t>other reported risk factors for tendon injury, it is somewhat preventable</w:t>
      </w:r>
      <w:r w:rsidR="005853A9">
        <w:rPr>
          <w:kern w:val="0"/>
        </w:rPr>
        <w:t xml:space="preserve"> and </w:t>
      </w:r>
      <w:r>
        <w:rPr>
          <w:kern w:val="0"/>
        </w:rPr>
        <w:t>modifiable. Further research is required to determine if reducing adiposity will reduce</w:t>
      </w:r>
      <w:r w:rsidR="003A1917">
        <w:rPr>
          <w:kern w:val="0"/>
        </w:rPr>
        <w:t xml:space="preserve"> the </w:t>
      </w:r>
      <w:r>
        <w:rPr>
          <w:kern w:val="0"/>
        </w:rPr>
        <w:t>risk</w:t>
      </w:r>
      <w:r w:rsidR="00427468">
        <w:rPr>
          <w:kern w:val="0"/>
        </w:rPr>
        <w:t xml:space="preserve"> of </w:t>
      </w:r>
      <w:r>
        <w:rPr>
          <w:kern w:val="0"/>
        </w:rPr>
        <w:t xml:space="preserve">tendon injury or </w:t>
      </w:r>
      <w:r>
        <w:rPr>
          <w:kern w:val="0"/>
        </w:rPr>
        <w:lastRenderedPageBreak/>
        <w:t>improve</w:t>
      </w:r>
      <w:r w:rsidR="003A1917">
        <w:rPr>
          <w:kern w:val="0"/>
        </w:rPr>
        <w:t xml:space="preserve"> the </w:t>
      </w:r>
      <w:r>
        <w:rPr>
          <w:kern w:val="0"/>
        </w:rPr>
        <w:t>results</w:t>
      </w:r>
      <w:r w:rsidR="00427468">
        <w:rPr>
          <w:kern w:val="0"/>
        </w:rPr>
        <w:t xml:space="preserve"> of </w:t>
      </w:r>
      <w:r>
        <w:rPr>
          <w:kern w:val="0"/>
        </w:rPr>
        <w:t>treatment.</w:t>
      </w:r>
    </w:p>
    <w:p w:rsidR="0056113B" w:rsidRDefault="0056113B" w:rsidP="0056113B">
      <w:pPr>
        <w:pStyle w:val="a3"/>
        <w:rPr>
          <w:kern w:val="0"/>
        </w:rPr>
      </w:pPr>
      <w:r>
        <w:rPr>
          <w:kern w:val="0"/>
        </w:rPr>
        <w:t xml:space="preserve">Keywords: Achilles-Tendon Rupture, Adiposity, Badminton Players, Basketball Players, Case-Control Studies, Citation, Databases, Injury, Interest, Measurement, Medial Epicondylitis, Methods, Observational Studies, Outcomes, Painful Conditions, Patellar Tendinopathy, Repetitive Work, Research, Review, Risk, Risk Factors, Science, Success, Systematic, Systematic Review, Tendinitis, Tendon, Treatment, Upper Extremity, Upper-Limb Disorders, </w:t>
      </w:r>
      <w:r w:rsidR="00D5664A">
        <w:rPr>
          <w:kern w:val="0"/>
        </w:rPr>
        <w:t>Web</w:t>
      </w:r>
      <w:r w:rsidR="00427468">
        <w:rPr>
          <w:kern w:val="0"/>
        </w:rPr>
        <w:t xml:space="preserve"> of </w:t>
      </w:r>
      <w:r w:rsidR="00D5664A">
        <w:rPr>
          <w:kern w:val="0"/>
        </w:rPr>
        <w:t>Science</w:t>
      </w:r>
    </w:p>
    <w:p w:rsidR="0056113B" w:rsidRPr="00F219CA" w:rsidRDefault="0056113B" w:rsidP="0056113B">
      <w:pPr>
        <w:pStyle w:val="1"/>
      </w:pPr>
      <w:r w:rsidRPr="00F219CA">
        <w:br w:type="page"/>
      </w:r>
      <w:bookmarkStart w:id="627" w:name="_Toc420814612"/>
      <w:r w:rsidRPr="00F219CA">
        <w:lastRenderedPageBreak/>
        <w:t xml:space="preserve">Title: </w:t>
      </w:r>
      <w:r w:rsidRPr="0056113B">
        <w:rPr>
          <w:iCs w:val="0"/>
        </w:rPr>
        <w:t>Arthroscopy-the Journal</w:t>
      </w:r>
      <w:r w:rsidR="00427468">
        <w:rPr>
          <w:iCs w:val="0"/>
        </w:rPr>
        <w:t xml:space="preserve"> of </w:t>
      </w:r>
      <w:r w:rsidRPr="0056113B">
        <w:rPr>
          <w:iCs w:val="0"/>
        </w:rPr>
        <w:t>Arthroscopic</w:t>
      </w:r>
      <w:r w:rsidR="005853A9">
        <w:rPr>
          <w:iCs w:val="0"/>
        </w:rPr>
        <w:t xml:space="preserve"> and </w:t>
      </w:r>
      <w:r w:rsidRPr="0056113B">
        <w:rPr>
          <w:iCs w:val="0"/>
        </w:rPr>
        <w:t>Related Surgery</w:t>
      </w:r>
      <w:bookmarkEnd w:id="627"/>
    </w:p>
    <w:p w:rsidR="0056113B" w:rsidRPr="00F219CA" w:rsidRDefault="0056113B" w:rsidP="0056113B">
      <w:pPr>
        <w:pStyle w:val="12"/>
      </w:pPr>
      <w:r w:rsidRPr="00F219CA">
        <w:t xml:space="preserve">Full Journal Title: </w:t>
      </w:r>
      <w:r w:rsidRPr="0056113B">
        <w:rPr>
          <w:iCs/>
          <w:kern w:val="0"/>
        </w:rPr>
        <w:t>Arthroscopy-the Journal</w:t>
      </w:r>
      <w:r w:rsidR="00427468">
        <w:rPr>
          <w:iCs/>
          <w:kern w:val="0"/>
        </w:rPr>
        <w:t xml:space="preserve"> of </w:t>
      </w:r>
      <w:r w:rsidRPr="0056113B">
        <w:rPr>
          <w:iCs/>
          <w:kern w:val="0"/>
        </w:rPr>
        <w:t>Arthroscopic</w:t>
      </w:r>
      <w:r w:rsidR="005853A9">
        <w:rPr>
          <w:iCs/>
          <w:kern w:val="0"/>
        </w:rPr>
        <w:t xml:space="preserve"> and </w:t>
      </w:r>
      <w:r w:rsidRPr="0056113B">
        <w:rPr>
          <w:iCs/>
          <w:kern w:val="0"/>
        </w:rPr>
        <w:t>Related Surgery</w:t>
      </w:r>
    </w:p>
    <w:p w:rsidR="0056113B" w:rsidRPr="00F219CA" w:rsidRDefault="0056113B" w:rsidP="0056113B">
      <w:pPr>
        <w:pStyle w:val="12"/>
      </w:pPr>
      <w:r w:rsidRPr="00F219CA">
        <w:t xml:space="preserve">ISO Abbreviated Title: </w:t>
      </w:r>
    </w:p>
    <w:p w:rsidR="0056113B" w:rsidRPr="00F219CA" w:rsidRDefault="0056113B" w:rsidP="0056113B">
      <w:pPr>
        <w:pStyle w:val="12"/>
      </w:pPr>
      <w:r w:rsidRPr="00F219CA">
        <w:t xml:space="preserve">JCR Abbreviated Title: </w:t>
      </w:r>
    </w:p>
    <w:p w:rsidR="0056113B" w:rsidRPr="00F219CA" w:rsidRDefault="0056113B" w:rsidP="0056113B">
      <w:pPr>
        <w:pStyle w:val="12"/>
      </w:pPr>
      <w:r w:rsidRPr="00F219CA">
        <w:t xml:space="preserve">ISSN: </w:t>
      </w:r>
    </w:p>
    <w:p w:rsidR="0056113B" w:rsidRPr="00F219CA" w:rsidRDefault="0056113B" w:rsidP="0056113B">
      <w:pPr>
        <w:pStyle w:val="12"/>
      </w:pPr>
      <w:r w:rsidRPr="00F219CA">
        <w:t xml:space="preserve">Issues/Year: </w:t>
      </w:r>
    </w:p>
    <w:p w:rsidR="0056113B" w:rsidRPr="00F219CA" w:rsidRDefault="0056113B" w:rsidP="0056113B">
      <w:pPr>
        <w:pStyle w:val="12"/>
      </w:pPr>
      <w:r w:rsidRPr="00F219CA">
        <w:t xml:space="preserve">Journal Country/Territory: </w:t>
      </w:r>
    </w:p>
    <w:p w:rsidR="0056113B" w:rsidRPr="00F219CA" w:rsidRDefault="0056113B" w:rsidP="0056113B">
      <w:pPr>
        <w:pStyle w:val="12"/>
      </w:pPr>
      <w:r w:rsidRPr="00F219CA">
        <w:t xml:space="preserve">Language: </w:t>
      </w:r>
    </w:p>
    <w:p w:rsidR="0056113B" w:rsidRPr="00F219CA" w:rsidRDefault="0056113B" w:rsidP="0056113B">
      <w:pPr>
        <w:pStyle w:val="12"/>
      </w:pPr>
      <w:r w:rsidRPr="00F219CA">
        <w:t xml:space="preserve">Publisher: </w:t>
      </w:r>
    </w:p>
    <w:p w:rsidR="0056113B" w:rsidRPr="00F219CA" w:rsidRDefault="0056113B" w:rsidP="0056113B">
      <w:pPr>
        <w:pStyle w:val="12"/>
      </w:pPr>
      <w:r w:rsidRPr="00F219CA">
        <w:t xml:space="preserve">Publisher Address: </w:t>
      </w:r>
    </w:p>
    <w:p w:rsidR="0056113B" w:rsidRPr="00F219CA" w:rsidRDefault="0056113B" w:rsidP="0056113B">
      <w:pPr>
        <w:pStyle w:val="12"/>
      </w:pPr>
      <w:r w:rsidRPr="00F219CA">
        <w:t xml:space="preserve">Subject Categories: </w:t>
      </w:r>
    </w:p>
    <w:p w:rsidR="0056113B" w:rsidRPr="00F219CA" w:rsidRDefault="0056113B" w:rsidP="0056113B">
      <w:pPr>
        <w:pStyle w:val="12"/>
      </w:pPr>
      <w:r w:rsidRPr="00F219CA">
        <w:t xml:space="preserve">: Impact Factor </w:t>
      </w:r>
    </w:p>
    <w:p w:rsidR="0056113B" w:rsidRDefault="0056113B" w:rsidP="0056113B">
      <w:pPr>
        <w:pStyle w:val="a3"/>
        <w:rPr>
          <w:kern w:val="0"/>
        </w:rPr>
      </w:pPr>
      <w:r>
        <w:rPr>
          <w:rFonts w:hint="eastAsia"/>
          <w:kern w:val="0"/>
        </w:rPr>
        <w:t xml:space="preserve">? </w:t>
      </w:r>
      <w:r>
        <w:rPr>
          <w:kern w:val="0"/>
        </w:rPr>
        <w:t>Cheng, T., Liu, T., Zhang, G.Y.</w:t>
      </w:r>
      <w:r w:rsidR="005853A9">
        <w:rPr>
          <w:kern w:val="0"/>
        </w:rPr>
        <w:t xml:space="preserve"> and </w:t>
      </w:r>
      <w:r>
        <w:rPr>
          <w:kern w:val="0"/>
        </w:rPr>
        <w:t xml:space="preserve">Zhang, X.L. (2011), Computer-navigated surgery in anterior cruciate ligament reconstruction: </w:t>
      </w:r>
      <w:r w:rsidR="00A1631E">
        <w:rPr>
          <w:kern w:val="0"/>
        </w:rPr>
        <w:t xml:space="preserve">Are </w:t>
      </w:r>
      <w:r>
        <w:rPr>
          <w:kern w:val="0"/>
        </w:rPr>
        <w:t xml:space="preserve">radiographic outcomes better than conventional surgery? </w:t>
      </w:r>
      <w:r w:rsidRPr="0056113B">
        <w:rPr>
          <w:i/>
          <w:iCs/>
          <w:kern w:val="0"/>
        </w:rPr>
        <w:t>Arthroscopy-the Journal</w:t>
      </w:r>
      <w:r w:rsidR="00427468">
        <w:rPr>
          <w:i/>
          <w:iCs/>
          <w:kern w:val="0"/>
        </w:rPr>
        <w:t xml:space="preserve"> of </w:t>
      </w:r>
      <w:r w:rsidRPr="0056113B">
        <w:rPr>
          <w:i/>
          <w:iCs/>
          <w:kern w:val="0"/>
        </w:rPr>
        <w:t>Arthroscopic</w:t>
      </w:r>
      <w:r w:rsidR="005853A9">
        <w:rPr>
          <w:i/>
          <w:iCs/>
          <w:kern w:val="0"/>
        </w:rPr>
        <w:t xml:space="preserve"> and </w:t>
      </w:r>
      <w:r w:rsidRPr="0056113B">
        <w:rPr>
          <w:i/>
          <w:iCs/>
          <w:kern w:val="0"/>
        </w:rPr>
        <w:t>Related Surgery</w:t>
      </w:r>
      <w:r>
        <w:rPr>
          <w:kern w:val="0"/>
        </w:rPr>
        <w:t xml:space="preserve">, </w:t>
      </w:r>
      <w:r>
        <w:rPr>
          <w:b/>
          <w:bCs/>
          <w:kern w:val="0"/>
        </w:rPr>
        <w:t>27</w:t>
      </w:r>
      <w:r>
        <w:rPr>
          <w:kern w:val="0"/>
        </w:rPr>
        <w:t xml:space="preserve"> (1), 97-100.</w:t>
      </w:r>
    </w:p>
    <w:p w:rsidR="00A1631E" w:rsidRDefault="00A1631E" w:rsidP="00A1631E">
      <w:pPr>
        <w:pStyle w:val="a3"/>
        <w:rPr>
          <w:kern w:val="0"/>
          <w:szCs w:val="24"/>
        </w:rPr>
      </w:pPr>
      <w:r>
        <w:rPr>
          <w:rFonts w:hint="eastAsia"/>
          <w:kern w:val="0"/>
          <w:szCs w:val="24"/>
        </w:rPr>
        <w:t xml:space="preserve">Full Text: </w:t>
      </w:r>
      <w:hyperlink r:id="rId1240" w:history="1">
        <w:r w:rsidRPr="00A1631E">
          <w:rPr>
            <w:rStyle w:val="a5"/>
            <w:kern w:val="0"/>
            <w:szCs w:val="24"/>
          </w:rPr>
          <w:t>2011\Art- J Art Rel Sur27, 97.pdf</w:t>
        </w:r>
      </w:hyperlink>
    </w:p>
    <w:p w:rsidR="0056113B" w:rsidRDefault="0056113B" w:rsidP="0056113B">
      <w:pPr>
        <w:pStyle w:val="a3"/>
        <w:rPr>
          <w:kern w:val="0"/>
        </w:rPr>
      </w:pPr>
      <w:r>
        <w:rPr>
          <w:kern w:val="0"/>
        </w:rPr>
        <w:t>Abstract: Purpose:</w:t>
      </w:r>
      <w:r w:rsidR="003A1917">
        <w:rPr>
          <w:kern w:val="0"/>
        </w:rPr>
        <w:t xml:space="preserve"> the </w:t>
      </w:r>
      <w:r>
        <w:rPr>
          <w:kern w:val="0"/>
        </w:rPr>
        <w:t>use</w:t>
      </w:r>
      <w:r w:rsidR="00427468">
        <w:rPr>
          <w:kern w:val="0"/>
        </w:rPr>
        <w:t xml:space="preserve"> of </w:t>
      </w:r>
      <w:r>
        <w:rPr>
          <w:kern w:val="0"/>
        </w:rPr>
        <w:t>computer navigation systems in anterior cruciate ligament (ACL) has been</w:t>
      </w:r>
      <w:r w:rsidR="003A1917">
        <w:rPr>
          <w:kern w:val="0"/>
        </w:rPr>
        <w:t xml:space="preserve"> the </w:t>
      </w:r>
      <w:r>
        <w:rPr>
          <w:kern w:val="0"/>
        </w:rPr>
        <w:t>subject</w:t>
      </w:r>
      <w:r w:rsidR="00427468">
        <w:rPr>
          <w:kern w:val="0"/>
        </w:rPr>
        <w:t xml:space="preserve"> of </w:t>
      </w:r>
      <w:r>
        <w:rPr>
          <w:kern w:val="0"/>
        </w:rPr>
        <w:t>debate. However, there is a lack</w:t>
      </w:r>
      <w:r w:rsidR="00427468">
        <w:rPr>
          <w:kern w:val="0"/>
        </w:rPr>
        <w:t xml:space="preserve"> of </w:t>
      </w:r>
      <w:r>
        <w:rPr>
          <w:kern w:val="0"/>
        </w:rPr>
        <w:t>systematic review to analyze</w:t>
      </w:r>
      <w:r w:rsidR="003A1917">
        <w:rPr>
          <w:kern w:val="0"/>
        </w:rPr>
        <w:t xml:space="preserve"> the </w:t>
      </w:r>
      <w:r>
        <w:rPr>
          <w:kern w:val="0"/>
        </w:rPr>
        <w:t xml:space="preserve">radiographic outcomes after computer-navigated ACL reconstruction. Methods: We searched, in duplicate,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for randomized controlled trials (RCTs)/quasi-RCTs comparing conventional versus computer-navigated ACL reconstruction. Two reviewers independently extracted</w:t>
      </w:r>
      <w:r w:rsidR="003A1917">
        <w:rPr>
          <w:kern w:val="0"/>
        </w:rPr>
        <w:t xml:space="preserve"> the </w:t>
      </w:r>
      <w:r>
        <w:rPr>
          <w:kern w:val="0"/>
        </w:rPr>
        <w:t>data. Radiographic outcomes reported in a majority</w:t>
      </w:r>
      <w:r w:rsidR="00427468">
        <w:rPr>
          <w:kern w:val="0"/>
        </w:rPr>
        <w:t xml:space="preserve"> of </w:t>
      </w:r>
      <w:r>
        <w:rPr>
          <w:kern w:val="0"/>
        </w:rPr>
        <w:t>included trials were meta-analyzed using</w:t>
      </w:r>
      <w:r w:rsidR="003A1917">
        <w:rPr>
          <w:kern w:val="0"/>
        </w:rPr>
        <w:t xml:space="preserve"> the </w:t>
      </w:r>
      <w:r>
        <w:rPr>
          <w:kern w:val="0"/>
        </w:rPr>
        <w:t>Mantel-Haenszel test statistic. Results: After applying our eligibility criteria, we had 5 trials for systematic review</w:t>
      </w:r>
      <w:r w:rsidR="005853A9">
        <w:rPr>
          <w:kern w:val="0"/>
        </w:rPr>
        <w:t xml:space="preserve"> and </w:t>
      </w:r>
      <w:r>
        <w:rPr>
          <w:kern w:val="0"/>
        </w:rPr>
        <w:t>data synthesis</w:t>
      </w:r>
      <w:r w:rsidR="00A37C1D">
        <w:rPr>
          <w:kern w:val="0"/>
        </w:rPr>
        <w:t>. The</w:t>
      </w:r>
      <w:r>
        <w:rPr>
          <w:kern w:val="0"/>
        </w:rPr>
        <w:t>re was no evidence</w:t>
      </w:r>
      <w:r w:rsidR="00427468">
        <w:rPr>
          <w:kern w:val="0"/>
        </w:rPr>
        <w:t xml:space="preserve"> of </w:t>
      </w:r>
      <w:r>
        <w:rPr>
          <w:kern w:val="0"/>
        </w:rPr>
        <w:t>statistical heterogeneity between all included studies. Both navigated</w:t>
      </w:r>
      <w:r w:rsidR="005853A9">
        <w:rPr>
          <w:kern w:val="0"/>
        </w:rPr>
        <w:t xml:space="preserve"> and </w:t>
      </w:r>
      <w:r>
        <w:rPr>
          <w:kern w:val="0"/>
        </w:rPr>
        <w:t>conventional ACL reconstructions placed</w:t>
      </w:r>
      <w:r w:rsidR="003A1917">
        <w:rPr>
          <w:kern w:val="0"/>
        </w:rPr>
        <w:t xml:space="preserve"> the </w:t>
      </w:r>
      <w:r>
        <w:rPr>
          <w:kern w:val="0"/>
        </w:rPr>
        <w:t>tibial tunnel in acceptable positions</w:t>
      </w:r>
      <w:r w:rsidR="00A37C1D">
        <w:rPr>
          <w:kern w:val="0"/>
        </w:rPr>
        <w:t>. The</w:t>
      </w:r>
      <w:r w:rsidR="003A1917">
        <w:rPr>
          <w:kern w:val="0"/>
        </w:rPr>
        <w:t xml:space="preserve"> </w:t>
      </w:r>
      <w:r>
        <w:rPr>
          <w:kern w:val="0"/>
        </w:rPr>
        <w:t>risk</w:t>
      </w:r>
      <w:r w:rsidR="00427468">
        <w:rPr>
          <w:kern w:val="0"/>
        </w:rPr>
        <w:t xml:space="preserve"> of </w:t>
      </w:r>
      <w:r>
        <w:rPr>
          <w:kern w:val="0"/>
        </w:rPr>
        <w:t>notch impingement was reduced in</w:t>
      </w:r>
      <w:r w:rsidR="003A1917">
        <w:rPr>
          <w:kern w:val="0"/>
        </w:rPr>
        <w:t xml:space="preserve"> the </w:t>
      </w:r>
      <w:r>
        <w:rPr>
          <w:kern w:val="0"/>
        </w:rPr>
        <w:t>navigated group in comparison with</w:t>
      </w:r>
      <w:r w:rsidR="003A1917">
        <w:rPr>
          <w:kern w:val="0"/>
        </w:rPr>
        <w:t xml:space="preserve"> the </w:t>
      </w:r>
      <w:r>
        <w:rPr>
          <w:kern w:val="0"/>
        </w:rPr>
        <w:t>conventional group. Conclusions: A computer navigation systems may reduce variation from optimal graft alignment</w:t>
      </w:r>
      <w:r w:rsidR="005853A9">
        <w:rPr>
          <w:kern w:val="0"/>
        </w:rPr>
        <w:t xml:space="preserve"> and </w:t>
      </w:r>
      <w:r>
        <w:rPr>
          <w:kern w:val="0"/>
        </w:rPr>
        <w:t>notch impingement. However, there is a need for further high-quality studies with long-term follow-up, so as to prove</w:t>
      </w:r>
      <w:r w:rsidR="003A1917">
        <w:rPr>
          <w:kern w:val="0"/>
        </w:rPr>
        <w:t xml:space="preserve"> the </w:t>
      </w:r>
      <w:r>
        <w:rPr>
          <w:kern w:val="0"/>
        </w:rPr>
        <w:t>clinical significance</w:t>
      </w:r>
      <w:r w:rsidR="00427468">
        <w:rPr>
          <w:kern w:val="0"/>
        </w:rPr>
        <w:t xml:space="preserve"> of </w:t>
      </w:r>
      <w:r>
        <w:rPr>
          <w:kern w:val="0"/>
        </w:rPr>
        <w:t>these findings. Level</w:t>
      </w:r>
      <w:r w:rsidR="00427468">
        <w:rPr>
          <w:kern w:val="0"/>
        </w:rPr>
        <w:t xml:space="preserve"> of </w:t>
      </w:r>
      <w:r>
        <w:rPr>
          <w:kern w:val="0"/>
        </w:rPr>
        <w:t>Evidence: Level II, systematic review</w:t>
      </w:r>
      <w:r w:rsidR="00427468">
        <w:rPr>
          <w:kern w:val="0"/>
        </w:rPr>
        <w:t xml:space="preserve"> of </w:t>
      </w:r>
      <w:r>
        <w:rPr>
          <w:kern w:val="0"/>
        </w:rPr>
        <w:t>randomized controlled trials.</w:t>
      </w:r>
    </w:p>
    <w:p w:rsidR="0056113B" w:rsidRDefault="0056113B" w:rsidP="0056113B">
      <w:pPr>
        <w:pStyle w:val="a3"/>
        <w:rPr>
          <w:kern w:val="0"/>
        </w:rPr>
      </w:pPr>
      <w:r>
        <w:rPr>
          <w:kern w:val="0"/>
        </w:rPr>
        <w:t xml:space="preserve">Keywords: Databases, Follow-up, Methods, Outcomes, Placement, Randomized Controlled Trials, Review, Risk, Science, Statistical, Systematic, Systematic Review, </w:t>
      </w:r>
      <w:r>
        <w:rPr>
          <w:kern w:val="0"/>
        </w:rPr>
        <w:lastRenderedPageBreak/>
        <w:t xml:space="preserve">Tunnel, </w:t>
      </w:r>
      <w:r w:rsidR="00D5664A">
        <w:rPr>
          <w:kern w:val="0"/>
        </w:rPr>
        <w:t>Web</w:t>
      </w:r>
      <w:r w:rsidR="00427468">
        <w:rPr>
          <w:kern w:val="0"/>
        </w:rPr>
        <w:t xml:space="preserve"> of </w:t>
      </w:r>
      <w:r w:rsidR="00D5664A">
        <w:rPr>
          <w:kern w:val="0"/>
        </w:rPr>
        <w:t>Science</w:t>
      </w:r>
    </w:p>
    <w:p w:rsidR="00A1631E" w:rsidRDefault="00A1631E" w:rsidP="00A1631E">
      <w:pPr>
        <w:pStyle w:val="a3"/>
        <w:rPr>
          <w:kern w:val="0"/>
          <w:szCs w:val="24"/>
        </w:rPr>
      </w:pPr>
      <w:r>
        <w:rPr>
          <w:rFonts w:hint="eastAsia"/>
          <w:kern w:val="0"/>
          <w:szCs w:val="24"/>
        </w:rPr>
        <w:t xml:space="preserve">? </w:t>
      </w:r>
      <w:r>
        <w:rPr>
          <w:kern w:val="0"/>
          <w:szCs w:val="24"/>
        </w:rPr>
        <w:t>Gheiti, A.J.C., Downey, R.E., Byrne, D.P., Molony, D.C.</w:t>
      </w:r>
      <w:r w:rsidR="005853A9">
        <w:rPr>
          <w:kern w:val="0"/>
          <w:szCs w:val="24"/>
        </w:rPr>
        <w:t xml:space="preserve"> and </w:t>
      </w:r>
      <w:r>
        <w:rPr>
          <w:kern w:val="0"/>
          <w:szCs w:val="24"/>
        </w:rPr>
        <w:t>Mulhall, K.J. (2012</w:t>
      </w:r>
      <w:r w:rsidR="00F42EAC">
        <w:rPr>
          <w:kern w:val="0"/>
          <w:szCs w:val="24"/>
        </w:rPr>
        <w:t>), The</w:t>
      </w:r>
      <w:r w:rsidR="00433A86">
        <w:rPr>
          <w:kern w:val="0"/>
          <w:szCs w:val="24"/>
        </w:rPr>
        <w:t xml:space="preserve"> </w:t>
      </w:r>
      <w:r>
        <w:rPr>
          <w:kern w:val="0"/>
          <w:szCs w:val="24"/>
        </w:rPr>
        <w:t xml:space="preserve">25 most cited articles in arthroscopic orthopaedic surgery. </w:t>
      </w:r>
      <w:r>
        <w:rPr>
          <w:i/>
          <w:iCs/>
          <w:kern w:val="0"/>
          <w:szCs w:val="24"/>
        </w:rPr>
        <w:t>Arthroscopy-the Journal</w:t>
      </w:r>
      <w:r w:rsidR="00427468">
        <w:rPr>
          <w:i/>
          <w:iCs/>
          <w:kern w:val="0"/>
          <w:szCs w:val="24"/>
        </w:rPr>
        <w:t xml:space="preserve"> of </w:t>
      </w:r>
      <w:r>
        <w:rPr>
          <w:i/>
          <w:iCs/>
          <w:kern w:val="0"/>
          <w:szCs w:val="24"/>
        </w:rPr>
        <w:t>Arthroscopic</w:t>
      </w:r>
      <w:r w:rsidR="005853A9">
        <w:rPr>
          <w:i/>
          <w:iCs/>
          <w:kern w:val="0"/>
          <w:szCs w:val="24"/>
        </w:rPr>
        <w:t xml:space="preserve"> and </w:t>
      </w:r>
      <w:r>
        <w:rPr>
          <w:i/>
          <w:iCs/>
          <w:kern w:val="0"/>
          <w:szCs w:val="24"/>
        </w:rPr>
        <w:t>Related Surgery</w:t>
      </w:r>
      <w:r>
        <w:rPr>
          <w:kern w:val="0"/>
          <w:szCs w:val="24"/>
        </w:rPr>
        <w:t xml:space="preserve">, </w:t>
      </w:r>
      <w:r>
        <w:rPr>
          <w:b/>
          <w:bCs/>
          <w:kern w:val="0"/>
          <w:szCs w:val="24"/>
        </w:rPr>
        <w:t>28</w:t>
      </w:r>
      <w:r>
        <w:rPr>
          <w:kern w:val="0"/>
          <w:szCs w:val="24"/>
        </w:rPr>
        <w:t xml:space="preserve"> (4), 548-564.</w:t>
      </w:r>
    </w:p>
    <w:p w:rsidR="00A1631E" w:rsidRDefault="00A1631E" w:rsidP="00A1631E">
      <w:pPr>
        <w:pStyle w:val="a3"/>
        <w:rPr>
          <w:kern w:val="0"/>
          <w:szCs w:val="24"/>
        </w:rPr>
      </w:pPr>
      <w:r>
        <w:rPr>
          <w:rFonts w:hint="eastAsia"/>
          <w:kern w:val="0"/>
          <w:szCs w:val="24"/>
        </w:rPr>
        <w:t xml:space="preserve">Full Text: </w:t>
      </w:r>
      <w:hyperlink r:id="rId1241" w:history="1">
        <w:r w:rsidRPr="00BB1181">
          <w:rPr>
            <w:rStyle w:val="a5"/>
            <w:kern w:val="0"/>
            <w:szCs w:val="24"/>
          </w:rPr>
          <w:t>2012\Art- J Art Rel Sur28, 548.pdf</w:t>
        </w:r>
      </w:hyperlink>
    </w:p>
    <w:p w:rsidR="00A1631E" w:rsidRDefault="00A1631E" w:rsidP="00A1631E">
      <w:pPr>
        <w:pStyle w:val="a3"/>
        <w:rPr>
          <w:kern w:val="0"/>
          <w:szCs w:val="24"/>
        </w:rPr>
      </w:pPr>
      <w:r>
        <w:rPr>
          <w:kern w:val="0"/>
          <w:szCs w:val="24"/>
        </w:rPr>
        <w:t>Abstract: Purpose:</w:t>
      </w:r>
      <w:r w:rsidR="003A1917">
        <w:rPr>
          <w:kern w:val="0"/>
          <w:szCs w:val="24"/>
        </w:rPr>
        <w:t xml:space="preserve"> the </w:t>
      </w:r>
      <w:r>
        <w:rPr>
          <w:kern w:val="0"/>
          <w:szCs w:val="24"/>
        </w:rPr>
        <w:t>purpose</w:t>
      </w:r>
      <w:r w:rsidR="00427468">
        <w:rPr>
          <w:kern w:val="0"/>
          <w:szCs w:val="24"/>
        </w:rPr>
        <w:t xml:space="preserve"> of </w:t>
      </w:r>
      <w:r>
        <w:rPr>
          <w:kern w:val="0"/>
          <w:szCs w:val="24"/>
        </w:rPr>
        <w:t>this study was to use Web</w:t>
      </w:r>
      <w:r w:rsidR="00427468">
        <w:rPr>
          <w:kern w:val="0"/>
          <w:szCs w:val="24"/>
        </w:rPr>
        <w:t xml:space="preserve"> of </w:t>
      </w:r>
      <w:r>
        <w:rPr>
          <w:kern w:val="0"/>
          <w:szCs w:val="24"/>
        </w:rPr>
        <w:t>Knowledge to determine which published arthroscopic surgery-related articles have been cited most frequently by other authors by ranking</w:t>
      </w:r>
      <w:r w:rsidR="003A1917">
        <w:rPr>
          <w:kern w:val="0"/>
          <w:szCs w:val="24"/>
        </w:rPr>
        <w:t xml:space="preserve"> the </w:t>
      </w:r>
      <w:r>
        <w:rPr>
          <w:kern w:val="0"/>
          <w:szCs w:val="24"/>
        </w:rPr>
        <w:t xml:space="preserve">25 most cited articles. We furthermore wished to determine whether there is any difference between a categorical </w:t>
      </w:r>
      <w:r w:rsidR="00B5188C">
        <w:rPr>
          <w:kern w:val="0"/>
          <w:szCs w:val="24"/>
        </w:rPr>
        <w:t>“</w:t>
      </w:r>
      <w:r>
        <w:rPr>
          <w:kern w:val="0"/>
          <w:szCs w:val="24"/>
        </w:rPr>
        <w:t>journal-by-journal</w:t>
      </w:r>
      <w:r w:rsidR="00B5188C">
        <w:rPr>
          <w:kern w:val="0"/>
          <w:szCs w:val="24"/>
        </w:rPr>
        <w:t>”</w:t>
      </w:r>
      <w:r>
        <w:rPr>
          <w:kern w:val="0"/>
          <w:szCs w:val="24"/>
        </w:rPr>
        <w:t xml:space="preserve"> analysis</w:t>
      </w:r>
      <w:r w:rsidR="005853A9">
        <w:rPr>
          <w:kern w:val="0"/>
          <w:szCs w:val="24"/>
        </w:rPr>
        <w:t xml:space="preserve"> and </w:t>
      </w:r>
      <w:r>
        <w:rPr>
          <w:kern w:val="0"/>
          <w:szCs w:val="24"/>
        </w:rPr>
        <w:t xml:space="preserve">an </w:t>
      </w:r>
      <w:r w:rsidR="00B5188C">
        <w:rPr>
          <w:kern w:val="0"/>
          <w:szCs w:val="24"/>
        </w:rPr>
        <w:t>“</w:t>
      </w:r>
      <w:r>
        <w:rPr>
          <w:kern w:val="0"/>
          <w:szCs w:val="24"/>
        </w:rPr>
        <w:t>all-database</w:t>
      </w:r>
      <w:r w:rsidR="00B5188C">
        <w:rPr>
          <w:kern w:val="0"/>
          <w:szCs w:val="24"/>
        </w:rPr>
        <w:t>”</w:t>
      </w:r>
      <w:r>
        <w:rPr>
          <w:kern w:val="0"/>
          <w:szCs w:val="24"/>
        </w:rPr>
        <w:t xml:space="preserve"> analysis in arthroscopic surgery</w:t>
      </w:r>
      <w:r w:rsidR="005853A9">
        <w:rPr>
          <w:kern w:val="0"/>
          <w:szCs w:val="24"/>
        </w:rPr>
        <w:t xml:space="preserve"> and </w:t>
      </w:r>
      <w:r>
        <w:rPr>
          <w:kern w:val="0"/>
          <w:szCs w:val="24"/>
        </w:rPr>
        <w:t>whether such a search methodology would alter</w:t>
      </w:r>
      <w:r w:rsidR="003A1917">
        <w:rPr>
          <w:kern w:val="0"/>
          <w:szCs w:val="24"/>
        </w:rPr>
        <w:t xml:space="preserve"> the </w:t>
      </w:r>
      <w:r>
        <w:rPr>
          <w:kern w:val="0"/>
          <w:szCs w:val="24"/>
        </w:rPr>
        <w:t>results</w:t>
      </w:r>
      <w:r w:rsidR="00427468">
        <w:rPr>
          <w:kern w:val="0"/>
          <w:szCs w:val="24"/>
        </w:rPr>
        <w:t xml:space="preserve"> of </w:t>
      </w:r>
      <w:r>
        <w:rPr>
          <w:kern w:val="0"/>
          <w:szCs w:val="24"/>
        </w:rPr>
        <w:t>previously published lists</w:t>
      </w:r>
      <w:r w:rsidR="00427468">
        <w:rPr>
          <w:kern w:val="0"/>
          <w:szCs w:val="24"/>
        </w:rPr>
        <w:t xml:space="preserve"> of </w:t>
      </w:r>
      <w:r w:rsidR="00B5188C">
        <w:rPr>
          <w:kern w:val="0"/>
          <w:szCs w:val="24"/>
        </w:rPr>
        <w:t>“</w:t>
      </w:r>
      <w:r>
        <w:rPr>
          <w:kern w:val="0"/>
          <w:szCs w:val="24"/>
        </w:rPr>
        <w:t>citation classics</w:t>
      </w:r>
      <w:r w:rsidR="00B5188C">
        <w:rPr>
          <w:kern w:val="0"/>
          <w:szCs w:val="24"/>
        </w:rPr>
        <w:t>”</w:t>
      </w:r>
      <w:r>
        <w:rPr>
          <w:kern w:val="0"/>
          <w:szCs w:val="24"/>
        </w:rPr>
        <w:t xml:space="preserve"> in</w:t>
      </w:r>
      <w:r w:rsidR="003A1917">
        <w:rPr>
          <w:kern w:val="0"/>
          <w:szCs w:val="24"/>
        </w:rPr>
        <w:t xml:space="preserve"> the </w:t>
      </w:r>
      <w:r>
        <w:rPr>
          <w:kern w:val="0"/>
          <w:szCs w:val="24"/>
        </w:rPr>
        <w:t>field. We analyzed</w:t>
      </w:r>
      <w:r w:rsidR="003A1917">
        <w:rPr>
          <w:kern w:val="0"/>
          <w:szCs w:val="24"/>
        </w:rPr>
        <w:t xml:space="preserve"> the </w:t>
      </w:r>
      <w:r>
        <w:rPr>
          <w:kern w:val="0"/>
          <w:szCs w:val="24"/>
        </w:rPr>
        <w:t>characteristics</w:t>
      </w:r>
      <w:r w:rsidR="00427468">
        <w:rPr>
          <w:kern w:val="0"/>
          <w:szCs w:val="24"/>
        </w:rPr>
        <w:t xml:space="preserve"> of </w:t>
      </w:r>
      <w:r>
        <w:rPr>
          <w:kern w:val="0"/>
          <w:szCs w:val="24"/>
        </w:rPr>
        <w:t>these articles to determine what qualities make an article important to this subspecialty</w:t>
      </w:r>
      <w:r w:rsidR="00427468">
        <w:rPr>
          <w:kern w:val="0"/>
          <w:szCs w:val="24"/>
        </w:rPr>
        <w:t xml:space="preserve"> of </w:t>
      </w:r>
      <w:r>
        <w:rPr>
          <w:kern w:val="0"/>
          <w:szCs w:val="24"/>
        </w:rPr>
        <w:t>orthopaedic surgery. Methods: Web</w:t>
      </w:r>
      <w:r w:rsidR="00427468">
        <w:rPr>
          <w:kern w:val="0"/>
          <w:szCs w:val="24"/>
        </w:rPr>
        <w:t xml:space="preserve"> of </w:t>
      </w:r>
      <w:r>
        <w:rPr>
          <w:kern w:val="0"/>
          <w:szCs w:val="24"/>
        </w:rPr>
        <w:t>Knowledge was searched on March 7, 2011, using</w:t>
      </w:r>
      <w:r w:rsidR="003A1917">
        <w:rPr>
          <w:kern w:val="0"/>
          <w:szCs w:val="24"/>
        </w:rPr>
        <w:t xml:space="preserve"> the </w:t>
      </w:r>
      <w:r>
        <w:rPr>
          <w:kern w:val="0"/>
          <w:szCs w:val="24"/>
        </w:rPr>
        <w:t xml:space="preserve">term </w:t>
      </w:r>
      <w:r w:rsidR="00B5188C">
        <w:rPr>
          <w:kern w:val="0"/>
          <w:szCs w:val="24"/>
        </w:rPr>
        <w:t>“</w:t>
      </w:r>
      <w:r>
        <w:rPr>
          <w:kern w:val="0"/>
          <w:szCs w:val="24"/>
        </w:rPr>
        <w:t>arthroscopy</w:t>
      </w:r>
      <w:r w:rsidR="00B5188C">
        <w:rPr>
          <w:kern w:val="0"/>
          <w:szCs w:val="24"/>
        </w:rPr>
        <w:t>”</w:t>
      </w:r>
      <w:r>
        <w:rPr>
          <w:kern w:val="0"/>
          <w:szCs w:val="24"/>
        </w:rPr>
        <w:t xml:space="preserve"> for citations to articles related to arthroscopy in 61 orthopaedic journals</w:t>
      </w:r>
      <w:r w:rsidR="005853A9">
        <w:rPr>
          <w:kern w:val="0"/>
          <w:szCs w:val="24"/>
        </w:rPr>
        <w:t xml:space="preserve"> and </w:t>
      </w:r>
      <w:r>
        <w:rPr>
          <w:kern w:val="0"/>
          <w:szCs w:val="24"/>
        </w:rPr>
        <w:t>using</w:t>
      </w:r>
      <w:r w:rsidR="003A1917">
        <w:rPr>
          <w:kern w:val="0"/>
          <w:szCs w:val="24"/>
        </w:rPr>
        <w:t xml:space="preserve"> the </w:t>
      </w:r>
      <w:r>
        <w:rPr>
          <w:kern w:val="0"/>
          <w:szCs w:val="24"/>
        </w:rPr>
        <w:t>all-database function. Each</w:t>
      </w:r>
      <w:r w:rsidR="00427468">
        <w:rPr>
          <w:kern w:val="0"/>
          <w:szCs w:val="24"/>
        </w:rPr>
        <w:t xml:space="preserve"> of </w:t>
      </w:r>
      <w:r w:rsidR="003A1917">
        <w:rPr>
          <w:kern w:val="0"/>
          <w:szCs w:val="24"/>
        </w:rPr>
        <w:t xml:space="preserve">the </w:t>
      </w:r>
      <w:r>
        <w:rPr>
          <w:kern w:val="0"/>
          <w:szCs w:val="24"/>
        </w:rPr>
        <w:t>61 orthopaedic journals was searched separately for arthroscopy-related articles to determine</w:t>
      </w:r>
      <w:r w:rsidR="003A1917">
        <w:rPr>
          <w:kern w:val="0"/>
          <w:szCs w:val="24"/>
        </w:rPr>
        <w:t xml:space="preserve"> the </w:t>
      </w:r>
      <w:r>
        <w:rPr>
          <w:kern w:val="0"/>
          <w:szCs w:val="24"/>
        </w:rPr>
        <w:t>25 most cited articles. An all-database search for arthroscopy-related articles was carried out</w:t>
      </w:r>
      <w:r w:rsidR="005853A9">
        <w:rPr>
          <w:kern w:val="0"/>
          <w:szCs w:val="24"/>
        </w:rPr>
        <w:t xml:space="preserve"> and </w:t>
      </w:r>
      <w:r>
        <w:rPr>
          <w:kern w:val="0"/>
          <w:szCs w:val="24"/>
        </w:rPr>
        <w:t>compared with a journal-by-journal search. Each article was reviewed for basic information including</w:t>
      </w:r>
      <w:r w:rsidR="003A1917">
        <w:rPr>
          <w:kern w:val="0"/>
          <w:szCs w:val="24"/>
        </w:rPr>
        <w:t xml:space="preserve"> the </w:t>
      </w:r>
      <w:r>
        <w:rPr>
          <w:kern w:val="0"/>
          <w:szCs w:val="24"/>
        </w:rPr>
        <w:t>type</w:t>
      </w:r>
      <w:r w:rsidR="00427468">
        <w:rPr>
          <w:kern w:val="0"/>
          <w:szCs w:val="24"/>
        </w:rPr>
        <w:t xml:space="preserve"> of </w:t>
      </w:r>
      <w:r>
        <w:rPr>
          <w:kern w:val="0"/>
          <w:szCs w:val="24"/>
        </w:rPr>
        <w:t>article, authorship, institution, country, publishing journal,</w:t>
      </w:r>
      <w:r w:rsidR="005853A9">
        <w:rPr>
          <w:kern w:val="0"/>
          <w:szCs w:val="24"/>
        </w:rPr>
        <w:t xml:space="preserve"> and </w:t>
      </w:r>
      <w:r>
        <w:rPr>
          <w:kern w:val="0"/>
          <w:szCs w:val="24"/>
        </w:rPr>
        <w:t>year published. Results:</w:t>
      </w:r>
      <w:r w:rsidR="003A1917">
        <w:rPr>
          <w:kern w:val="0"/>
          <w:szCs w:val="24"/>
        </w:rPr>
        <w:t xml:space="preserve"> the </w:t>
      </w:r>
      <w:r>
        <w:rPr>
          <w:kern w:val="0"/>
          <w:szCs w:val="24"/>
        </w:rPr>
        <w:t>number</w:t>
      </w:r>
      <w:r w:rsidR="00427468">
        <w:rPr>
          <w:kern w:val="0"/>
          <w:szCs w:val="24"/>
        </w:rPr>
        <w:t xml:space="preserve"> of </w:t>
      </w:r>
      <w:r>
        <w:rPr>
          <w:kern w:val="0"/>
          <w:szCs w:val="24"/>
        </w:rPr>
        <w:t>citations ranged from 189 to 567 in a journal-by-journal search</w:t>
      </w:r>
      <w:r w:rsidR="005853A9">
        <w:rPr>
          <w:kern w:val="0"/>
          <w:szCs w:val="24"/>
        </w:rPr>
        <w:t xml:space="preserve"> and </w:t>
      </w:r>
      <w:r>
        <w:rPr>
          <w:kern w:val="0"/>
          <w:szCs w:val="24"/>
        </w:rPr>
        <w:t>from 214 to 1,869 in an all-database search</w:t>
      </w:r>
      <w:r w:rsidR="00A37C1D">
        <w:rPr>
          <w:kern w:val="0"/>
          <w:szCs w:val="24"/>
        </w:rPr>
        <w:t>. The</w:t>
      </w:r>
      <w:r w:rsidR="003A1917">
        <w:rPr>
          <w:kern w:val="0"/>
          <w:szCs w:val="24"/>
        </w:rPr>
        <w:t xml:space="preserve"> </w:t>
      </w:r>
      <w:r>
        <w:rPr>
          <w:kern w:val="0"/>
          <w:szCs w:val="24"/>
        </w:rPr>
        <w:t>25 most cited articles on arthroscopic surgery were published in 11 journals: 8 orthopaedic journals</w:t>
      </w:r>
      <w:r w:rsidR="005853A9">
        <w:rPr>
          <w:kern w:val="0"/>
          <w:szCs w:val="24"/>
        </w:rPr>
        <w:t xml:space="preserve"> and </w:t>
      </w:r>
      <w:r>
        <w:rPr>
          <w:kern w:val="0"/>
          <w:szCs w:val="24"/>
        </w:rPr>
        <w:t>3 journals from other specialties</w:t>
      </w:r>
      <w:r w:rsidR="00A37C1D">
        <w:rPr>
          <w:kern w:val="0"/>
          <w:szCs w:val="24"/>
        </w:rPr>
        <w:t>. The</w:t>
      </w:r>
      <w:r w:rsidR="003A1917">
        <w:rPr>
          <w:kern w:val="0"/>
          <w:szCs w:val="24"/>
        </w:rPr>
        <w:t xml:space="preserve"> </w:t>
      </w:r>
      <w:r>
        <w:rPr>
          <w:kern w:val="0"/>
          <w:szCs w:val="24"/>
        </w:rPr>
        <w:t>most cited article in arthroscopic orthopaedic surgery was published in</w:t>
      </w:r>
      <w:r w:rsidR="003A1917">
        <w:rPr>
          <w:kern w:val="0"/>
          <w:szCs w:val="24"/>
        </w:rPr>
        <w:t xml:space="preserve"> the </w:t>
      </w:r>
      <w:r>
        <w:rPr>
          <w:kern w:val="0"/>
          <w:szCs w:val="24"/>
        </w:rPr>
        <w:t>New England Journal</w:t>
      </w:r>
      <w:r w:rsidR="00427468">
        <w:rPr>
          <w:kern w:val="0"/>
          <w:szCs w:val="24"/>
        </w:rPr>
        <w:t xml:space="preserve"> of </w:t>
      </w:r>
      <w:r>
        <w:rPr>
          <w:kern w:val="0"/>
          <w:szCs w:val="24"/>
        </w:rPr>
        <w:t>Medicine, which was not previously identified by a journal-by-journal search. Conclusions: An all-database search in Web</w:t>
      </w:r>
      <w:r w:rsidR="00427468">
        <w:rPr>
          <w:kern w:val="0"/>
          <w:szCs w:val="24"/>
        </w:rPr>
        <w:t xml:space="preserve"> of </w:t>
      </w:r>
      <w:r>
        <w:rPr>
          <w:kern w:val="0"/>
          <w:szCs w:val="24"/>
        </w:rPr>
        <w:t>Knowledge gives a more in-depth methodology</w:t>
      </w:r>
      <w:r w:rsidR="00427468">
        <w:rPr>
          <w:kern w:val="0"/>
          <w:szCs w:val="24"/>
        </w:rPr>
        <w:t xml:space="preserve"> of </w:t>
      </w:r>
      <w:r>
        <w:rPr>
          <w:kern w:val="0"/>
          <w:szCs w:val="24"/>
        </w:rPr>
        <w:t>determining</w:t>
      </w:r>
      <w:r w:rsidR="003A1917">
        <w:rPr>
          <w:kern w:val="0"/>
          <w:szCs w:val="24"/>
        </w:rPr>
        <w:t xml:space="preserve"> the </w:t>
      </w:r>
      <w:r>
        <w:rPr>
          <w:kern w:val="0"/>
          <w:szCs w:val="24"/>
        </w:rPr>
        <w:t>true citation ranking</w:t>
      </w:r>
      <w:r w:rsidR="00427468">
        <w:rPr>
          <w:kern w:val="0"/>
          <w:szCs w:val="24"/>
        </w:rPr>
        <w:t xml:space="preserve"> of </w:t>
      </w:r>
      <w:r>
        <w:rPr>
          <w:kern w:val="0"/>
          <w:szCs w:val="24"/>
        </w:rPr>
        <w:t>articles. Among</w:t>
      </w:r>
      <w:r w:rsidR="003A1917">
        <w:rPr>
          <w:kern w:val="0"/>
          <w:szCs w:val="24"/>
        </w:rPr>
        <w:t xml:space="preserve"> the </w:t>
      </w:r>
      <w:r>
        <w:rPr>
          <w:kern w:val="0"/>
          <w:szCs w:val="24"/>
        </w:rPr>
        <w:t>top 25 most cited articles, autologous chondrocyte implantation/transplantation is currently</w:t>
      </w:r>
      <w:r w:rsidR="003A1917">
        <w:rPr>
          <w:kern w:val="0"/>
          <w:szCs w:val="24"/>
        </w:rPr>
        <w:t xml:space="preserve"> the </w:t>
      </w:r>
      <w:r>
        <w:rPr>
          <w:kern w:val="0"/>
          <w:szCs w:val="24"/>
        </w:rPr>
        <w:t>most cited</w:t>
      </w:r>
      <w:r w:rsidR="005853A9">
        <w:rPr>
          <w:kern w:val="0"/>
          <w:szCs w:val="24"/>
        </w:rPr>
        <w:t xml:space="preserve"> and </w:t>
      </w:r>
      <w:r>
        <w:rPr>
          <w:kern w:val="0"/>
          <w:szCs w:val="24"/>
        </w:rPr>
        <w:t>most popular topic in arthroscopic orthopaedic surgery</w:t>
      </w:r>
      <w:r w:rsidR="005853A9">
        <w:rPr>
          <w:kern w:val="0"/>
          <w:szCs w:val="24"/>
        </w:rPr>
        <w:t xml:space="preserve"> and </w:t>
      </w:r>
      <w:r>
        <w:rPr>
          <w:kern w:val="0"/>
          <w:szCs w:val="24"/>
        </w:rPr>
        <w:t>research. Clinical Relevance: Analysis</w:t>
      </w:r>
      <w:r w:rsidR="00427468">
        <w:rPr>
          <w:kern w:val="0"/>
          <w:szCs w:val="24"/>
        </w:rPr>
        <w:t xml:space="preserve"> of </w:t>
      </w:r>
      <w:r w:rsidR="003A1917">
        <w:rPr>
          <w:kern w:val="0"/>
          <w:szCs w:val="24"/>
        </w:rPr>
        <w:t xml:space="preserve">the </w:t>
      </w:r>
      <w:r>
        <w:rPr>
          <w:kern w:val="0"/>
          <w:szCs w:val="24"/>
        </w:rPr>
        <w:t>25 most cited articles allows us to identify</w:t>
      </w:r>
      <w:r w:rsidR="003A1917">
        <w:rPr>
          <w:kern w:val="0"/>
          <w:szCs w:val="24"/>
        </w:rPr>
        <w:t xml:space="preserve"> the </w:t>
      </w:r>
      <w:r>
        <w:rPr>
          <w:kern w:val="0"/>
          <w:szCs w:val="24"/>
        </w:rPr>
        <w:t>most popular field</w:t>
      </w:r>
      <w:r w:rsidR="00427468">
        <w:rPr>
          <w:kern w:val="0"/>
          <w:szCs w:val="24"/>
        </w:rPr>
        <w:t xml:space="preserve"> of </w:t>
      </w:r>
      <w:r>
        <w:rPr>
          <w:kern w:val="0"/>
          <w:szCs w:val="24"/>
        </w:rPr>
        <w:t>research in arthroscopic orthopaedic surgery</w:t>
      </w:r>
      <w:r w:rsidR="005853A9">
        <w:rPr>
          <w:kern w:val="0"/>
          <w:szCs w:val="24"/>
        </w:rPr>
        <w:t xml:space="preserve"> and </w:t>
      </w:r>
      <w:r>
        <w:rPr>
          <w:kern w:val="0"/>
          <w:szCs w:val="24"/>
        </w:rPr>
        <w:t>gives us insight into</w:t>
      </w:r>
      <w:r w:rsidR="003A1917">
        <w:rPr>
          <w:kern w:val="0"/>
          <w:szCs w:val="24"/>
        </w:rPr>
        <w:t xml:space="preserve"> the </w:t>
      </w:r>
      <w:r>
        <w:rPr>
          <w:kern w:val="0"/>
          <w:szCs w:val="24"/>
        </w:rPr>
        <w:t>quality</w:t>
      </w:r>
      <w:r w:rsidR="005853A9">
        <w:rPr>
          <w:kern w:val="0"/>
          <w:szCs w:val="24"/>
        </w:rPr>
        <w:t xml:space="preserve"> and </w:t>
      </w:r>
      <w:r>
        <w:rPr>
          <w:kern w:val="0"/>
          <w:szCs w:val="24"/>
        </w:rPr>
        <w:t>characteristics that are required for an article to become highly cited.</w:t>
      </w:r>
    </w:p>
    <w:p w:rsidR="00A1631E" w:rsidRDefault="00A1631E" w:rsidP="00A1631E">
      <w:pPr>
        <w:pStyle w:val="a3"/>
        <w:rPr>
          <w:kern w:val="0"/>
          <w:szCs w:val="24"/>
        </w:rPr>
      </w:pPr>
      <w:r>
        <w:rPr>
          <w:kern w:val="0"/>
          <w:szCs w:val="24"/>
        </w:rPr>
        <w:t xml:space="preserve">Keywords: Analysis, Anterior Cruciate Ligament, Arthroscopy, Articles, Articular-Cartilage, Authors, Authorship, Autologous Chondrocyte Transplantation, Characteristics, Citation, Citations, Country, Defects, England, Field, Function, Impact Factor, Information, Journal, Journals, Knee, Medicine, Methodology, Patellar Tendon, Publishing, Purpose, Quality, Ranking, Research, Rotator Cuff </w:t>
      </w:r>
      <w:r>
        <w:rPr>
          <w:kern w:val="0"/>
          <w:szCs w:val="24"/>
        </w:rPr>
        <w:lastRenderedPageBreak/>
        <w:t>Tears, Science-Citation-Index, Surgery, Term</w:t>
      </w:r>
    </w:p>
    <w:p w:rsidR="00B21D5F" w:rsidRDefault="00B21D5F" w:rsidP="00B21D5F">
      <w:pPr>
        <w:pStyle w:val="a3"/>
        <w:rPr>
          <w:kern w:val="0"/>
        </w:rPr>
      </w:pPr>
      <w:r>
        <w:rPr>
          <w:rFonts w:hint="eastAsia"/>
          <w:kern w:val="0"/>
        </w:rPr>
        <w:t xml:space="preserve">? </w:t>
      </w:r>
      <w:r>
        <w:rPr>
          <w:kern w:val="0"/>
        </w:rPr>
        <w:t xml:space="preserve">Saper, M., Stephenson, K. and Heisey, M. (2014), Arthroscopic irrigation and debridement in the treatment of septic arthritis after anterior cruciate ligament reconstruction. </w:t>
      </w:r>
      <w:r>
        <w:rPr>
          <w:i/>
          <w:iCs/>
          <w:kern w:val="0"/>
        </w:rPr>
        <w:t>Arthroscopy-the Journal of Arthroscopic and Related Surgery</w:t>
      </w:r>
      <w:r>
        <w:rPr>
          <w:kern w:val="0"/>
        </w:rPr>
        <w:t xml:space="preserve">, </w:t>
      </w:r>
      <w:r>
        <w:rPr>
          <w:b/>
          <w:bCs/>
          <w:kern w:val="0"/>
        </w:rPr>
        <w:t>30</w:t>
      </w:r>
      <w:r>
        <w:rPr>
          <w:kern w:val="0"/>
        </w:rPr>
        <w:t xml:space="preserve"> (6), 747-754.</w:t>
      </w:r>
    </w:p>
    <w:p w:rsidR="00B21D5F" w:rsidRDefault="00B21D5F" w:rsidP="00B21D5F">
      <w:pPr>
        <w:pStyle w:val="a3"/>
        <w:rPr>
          <w:kern w:val="0"/>
          <w:szCs w:val="24"/>
        </w:rPr>
      </w:pPr>
      <w:r>
        <w:rPr>
          <w:kern w:val="0"/>
          <w:szCs w:val="24"/>
        </w:rPr>
        <w:t xml:space="preserve">Full Text: </w:t>
      </w:r>
      <w:hyperlink r:id="rId1242" w:history="1">
        <w:r w:rsidRPr="00B21D5F">
          <w:rPr>
            <w:rStyle w:val="a5"/>
            <w:kern w:val="0"/>
            <w:szCs w:val="24"/>
          </w:rPr>
          <w:t>2014\Art- J Art Rel Sur30, 747.pdf</w:t>
        </w:r>
      </w:hyperlink>
    </w:p>
    <w:p w:rsidR="00B21D5F" w:rsidRDefault="00B21D5F" w:rsidP="00B21D5F">
      <w:pPr>
        <w:pStyle w:val="a3"/>
        <w:rPr>
          <w:kern w:val="0"/>
        </w:rPr>
      </w:pPr>
      <w:r>
        <w:rPr>
          <w:kern w:val="0"/>
        </w:rPr>
        <w:t>Abstract: Purpose: To systematically review the literature and characterize the success and failure rates of arthroscopic irrigation and debridement (I &amp; D) in the treatment of septic arthritis after anterior cruciate ligament (ACL) reconstructions. We also aimed to identify which variables affected the failure rate. Methods: Five databases (MEDLINE, Ovid, Medscape, Web of Science, and Google Scholar) were screened for clinical studies involving the treatment of septic arthritis after ACL reconstruction with arthroscopic I &amp; D. A full-text review of eligible studies was conducted. Inclusion and exclusion criteria were applied to the searched studies. Failure of I &amp; D was defined as the need for graft removal or revision ACL reconstructive surgery because of infection. Data from the selected studies were combined for statistical analyses to elucidate factors associated with the success or failure. Results: We identified 11 eligible studies involving 90 patients</w:t>
      </w:r>
      <w:r w:rsidR="00A37C1D">
        <w:rPr>
          <w:kern w:val="0"/>
        </w:rPr>
        <w:t>. The</w:t>
      </w:r>
      <w:r>
        <w:rPr>
          <w:kern w:val="0"/>
        </w:rPr>
        <w:t>se studies described the results of 90 arthroscopic I &amp; D procedures with an overall success rate of 85.6%. Repeated I &amp; D was necessary in 34.5% of patients. Removal of the graft with or without subsequent revision ACL reconstruction was reported in 13 (14.4%) cases. Statistical analysis showed that cases involving Staphylococcus aureus (P = .053), 2 or more I &amp; D procedures (P = .029), and allografts (P &lt; .0001) were at greater risk of failure. Conclusions: Arthroscopic I &amp; D with graft retention is an effective treatment for patients with septic arthritis after ACL reconstruction. Factors affecting the failure rate may include graft choice and organism virulence.</w:t>
      </w:r>
    </w:p>
    <w:p w:rsidR="00B21D5F" w:rsidRDefault="00B21D5F" w:rsidP="00B21D5F">
      <w:pPr>
        <w:pStyle w:val="a3"/>
        <w:rPr>
          <w:kern w:val="0"/>
        </w:rPr>
      </w:pPr>
      <w:r>
        <w:rPr>
          <w:kern w:val="0"/>
        </w:rPr>
        <w:t>Keywords: Analyses, Analysis, Arthritis, Choice, Clinical, Clinical Studies, Criteria, Data, Databases, Debridement, Factors, Failure, Failure Rate, Google, Google Scholar, Graft, Infection, Irrigation, Literature, Medline, Methods, Outcomes, P, Patients, Procedures, Rates, Reconstruction, Reconstructive Surgery, Removal, Results, Retention, Review, Risk, Science, Staphylococcus Aureus, Staphylococcus-Aureus, Statistical Analyses, Statistical Analysis, Success, Success Rate, Surgery, Treatment, Virulence, Web Of Science</w:t>
      </w:r>
    </w:p>
    <w:p w:rsidR="009A0534" w:rsidRPr="001A3D2B" w:rsidRDefault="009A0534" w:rsidP="009A0534">
      <w:pPr>
        <w:pStyle w:val="1"/>
      </w:pPr>
      <w:r w:rsidRPr="001A3D2B">
        <w:br w:type="page"/>
      </w:r>
      <w:bookmarkStart w:id="628" w:name="_Toc420814613"/>
      <w:r w:rsidRPr="001A3D2B">
        <w:lastRenderedPageBreak/>
        <w:t>Title: Arzneimittel-Forschung-Drug Research</w:t>
      </w:r>
      <w:bookmarkEnd w:id="628"/>
    </w:p>
    <w:p w:rsidR="009A0534" w:rsidRPr="001A3D2B" w:rsidRDefault="009A0534" w:rsidP="009A0534">
      <w:pPr>
        <w:pStyle w:val="12"/>
      </w:pPr>
      <w:r w:rsidRPr="001A3D2B">
        <w:t>Fu</w:t>
      </w:r>
      <w:bookmarkStart w:id="629" w:name="_Toc81215625"/>
      <w:r w:rsidRPr="001A3D2B">
        <w:t>ll Journal Title: Arzneimittel-Forschung-Dr</w:t>
      </w:r>
      <w:bookmarkEnd w:id="629"/>
      <w:r w:rsidRPr="001A3D2B">
        <w:t>ug Research</w:t>
      </w:r>
    </w:p>
    <w:p w:rsidR="009A0534" w:rsidRPr="001A3D2B" w:rsidRDefault="009A0534" w:rsidP="009A0534">
      <w:pPr>
        <w:pStyle w:val="12"/>
      </w:pPr>
      <w:r w:rsidRPr="001A3D2B">
        <w:t>ISO Abbreviated Title: Arzneimittelforschung</w:t>
      </w:r>
    </w:p>
    <w:p w:rsidR="009A0534" w:rsidRPr="001A3D2B" w:rsidRDefault="009A0534" w:rsidP="009A0534">
      <w:pPr>
        <w:pStyle w:val="12"/>
      </w:pPr>
      <w:r w:rsidRPr="001A3D2B">
        <w:t>JCR Abbreviated Title: Arzneimittel-Forsch</w:t>
      </w:r>
    </w:p>
    <w:p w:rsidR="009A0534" w:rsidRPr="001A3D2B" w:rsidRDefault="009A0534" w:rsidP="009A0534">
      <w:pPr>
        <w:pStyle w:val="12"/>
      </w:pPr>
      <w:r w:rsidRPr="001A3D2B">
        <w:t>ISSN: 0004-4172</w:t>
      </w:r>
    </w:p>
    <w:p w:rsidR="009A0534" w:rsidRPr="001A3D2B" w:rsidRDefault="009A0534" w:rsidP="009A0534">
      <w:pPr>
        <w:pStyle w:val="12"/>
      </w:pPr>
      <w:r w:rsidRPr="001A3D2B">
        <w:t>Issues/Year: 15</w:t>
      </w:r>
    </w:p>
    <w:p w:rsidR="009A0534" w:rsidRPr="001A3D2B" w:rsidRDefault="009A0534" w:rsidP="009A0534">
      <w:pPr>
        <w:pStyle w:val="12"/>
      </w:pPr>
      <w:r w:rsidRPr="001A3D2B">
        <w:t>Journal Country/Territory: Germany</w:t>
      </w:r>
    </w:p>
    <w:p w:rsidR="009A0534" w:rsidRPr="001A3D2B" w:rsidRDefault="009A0534" w:rsidP="009A0534">
      <w:pPr>
        <w:pStyle w:val="12"/>
      </w:pPr>
      <w:r w:rsidRPr="001A3D2B">
        <w:t>Language: Multi-Language</w:t>
      </w:r>
    </w:p>
    <w:p w:rsidR="009A0534" w:rsidRPr="001A3D2B" w:rsidRDefault="009A0534" w:rsidP="009A0534">
      <w:pPr>
        <w:pStyle w:val="12"/>
      </w:pPr>
      <w:r w:rsidRPr="001A3D2B">
        <w:t>Publisher: Ecv-Editio Cantor Verlag Medizin Naturwissenschaften</w:t>
      </w:r>
    </w:p>
    <w:p w:rsidR="009A0534" w:rsidRPr="001A3D2B" w:rsidRDefault="009A0534" w:rsidP="009A0534">
      <w:pPr>
        <w:pStyle w:val="12"/>
      </w:pPr>
      <w:r w:rsidRPr="001A3D2B">
        <w:t xml:space="preserve">Publisher Address: Bandelstockweg 20, Postfach 1255, D-88322 </w:t>
      </w:r>
      <w:smartTag w:uri="urn:schemas-microsoft-com:office:smarttags" w:element="place">
        <w:smartTag w:uri="urn:schemas-microsoft-com:office:smarttags" w:element="City">
          <w:r w:rsidRPr="001A3D2B">
            <w:t>Aulendorf</w:t>
          </w:r>
        </w:smartTag>
        <w:r w:rsidRPr="001A3D2B">
          <w:t xml:space="preserve">, </w:t>
        </w:r>
        <w:smartTag w:uri="urn:schemas-microsoft-com:office:smarttags" w:element="country-region">
          <w:r w:rsidRPr="001A3D2B">
            <w:t>Germany</w:t>
          </w:r>
        </w:smartTag>
      </w:smartTag>
    </w:p>
    <w:p w:rsidR="009A0534" w:rsidRPr="001A3D2B" w:rsidRDefault="009A0534" w:rsidP="009A0534">
      <w:pPr>
        <w:pStyle w:val="12"/>
      </w:pPr>
      <w:r w:rsidRPr="001A3D2B">
        <w:t>Subject Categories:</w:t>
      </w:r>
    </w:p>
    <w:p w:rsidR="009A0534" w:rsidRPr="001A3D2B" w:rsidRDefault="009A0534" w:rsidP="009A0534">
      <w:pPr>
        <w:pStyle w:val="12"/>
      </w:pPr>
      <w:r w:rsidRPr="001A3D2B">
        <w:t>Chemistry, Medicinal: Impact Factor 0.748 (2002)</w:t>
      </w:r>
    </w:p>
    <w:p w:rsidR="009A0534" w:rsidRPr="001A3D2B" w:rsidRDefault="009A0534" w:rsidP="009A0534">
      <w:pPr>
        <w:pStyle w:val="12"/>
      </w:pPr>
      <w:r w:rsidRPr="001A3D2B">
        <w:t>Chemistry, Multidisciplinary: Impact Factor 0.748 (2002)</w:t>
      </w:r>
    </w:p>
    <w:p w:rsidR="009A0534" w:rsidRPr="001A3D2B" w:rsidRDefault="009A0534" w:rsidP="009A0534">
      <w:pPr>
        <w:pStyle w:val="12"/>
      </w:pPr>
      <w:r w:rsidRPr="001A3D2B">
        <w:t>Pharmacology &amp; Pharmacy: Impact Factor 0.748 (2002)</w:t>
      </w:r>
    </w:p>
    <w:p w:rsidR="009A0534" w:rsidRPr="001A3D2B" w:rsidRDefault="009A0534" w:rsidP="009A0534">
      <w:pPr>
        <w:pStyle w:val="a3"/>
      </w:pPr>
      <w:r w:rsidRPr="001A3D2B">
        <w:t>? Hayashi, K., Takahata, M., Kawamura, Y.</w:t>
      </w:r>
      <w:r w:rsidR="005853A9">
        <w:t xml:space="preserve"> and </w:t>
      </w:r>
      <w:r w:rsidRPr="001A3D2B">
        <w:t>Todo, Y. (2002), Synthesis, antibacterial activity,</w:t>
      </w:r>
      <w:r w:rsidR="005853A9">
        <w:t xml:space="preserve"> and </w:t>
      </w:r>
      <w:r w:rsidRPr="001A3D2B">
        <w:t>toxicity</w:t>
      </w:r>
      <w:r w:rsidR="00427468">
        <w:t xml:space="preserve"> of </w:t>
      </w:r>
      <w:r w:rsidRPr="001A3D2B">
        <w:t>7- (isoindolin-5-yl)-4-oxoquinoline-3-carboxylic acids - Discovery</w:t>
      </w:r>
      <w:r w:rsidR="00427468">
        <w:t xml:space="preserve"> of </w:t>
      </w:r>
      <w:r w:rsidR="003A1917">
        <w:t xml:space="preserve">the </w:t>
      </w:r>
      <w:r w:rsidRPr="001A3D2B">
        <w:t xml:space="preserve">novel Des-F(6)-quinolone antibacterial agent garenoxacin (T-3811 or BMS-284756). </w:t>
      </w:r>
      <w:r w:rsidRPr="001A3D2B">
        <w:rPr>
          <w:i/>
          <w:iCs/>
        </w:rPr>
        <w:t>Arzneimittel-Forschung-Drug Research</w:t>
      </w:r>
      <w:r w:rsidRPr="001A3D2B">
        <w:t xml:space="preserve">, </w:t>
      </w:r>
      <w:r w:rsidRPr="001A3D2B">
        <w:rPr>
          <w:b/>
          <w:bCs/>
        </w:rPr>
        <w:t>52</w:t>
      </w:r>
      <w:r w:rsidRPr="001A3D2B">
        <w:t xml:space="preserve"> (12), 903-913.</w:t>
      </w:r>
    </w:p>
    <w:p w:rsidR="009A0534" w:rsidRPr="001A3D2B" w:rsidRDefault="009A0534" w:rsidP="009A0534">
      <w:pPr>
        <w:pStyle w:val="a3"/>
      </w:pPr>
      <w:r w:rsidRPr="001A3D2B">
        <w:t>Abstract:</w:t>
      </w:r>
      <w:r w:rsidR="003A1917">
        <w:t xml:space="preserve"> the </w:t>
      </w:r>
      <w:r w:rsidRPr="001A3D2B">
        <w:t>palladium-catalyzed cross-coupling reaction</w:t>
      </w:r>
      <w:r w:rsidR="00427468">
        <w:t xml:space="preserve"> of </w:t>
      </w:r>
      <w:r w:rsidRPr="001A3D2B">
        <w:t>5- (tributylstannyl)isoindoline</w:t>
      </w:r>
      <w:r w:rsidR="005853A9">
        <w:t xml:space="preserve"> and </w:t>
      </w:r>
      <w:r w:rsidRPr="001A3D2B">
        <w:t>its 1-</w:t>
      </w:r>
      <w:r w:rsidR="005853A9">
        <w:t xml:space="preserve"> and </w:t>
      </w:r>
      <w:r w:rsidRPr="001A3D2B">
        <w:t>3-methyl derivatives with 6-fluoro or 6-unsubstituted 7-bromo-1- cyclopropyl-8-methoxy (or difluoromethoxy)-4-oxoquinoline-3- carboxylate afforded</w:t>
      </w:r>
      <w:r w:rsidR="003A1917">
        <w:t xml:space="preserve"> the </w:t>
      </w:r>
      <w:r w:rsidRPr="001A3D2B">
        <w:t xml:space="preserve">corresponding 1-cyclopropyl-7-(5- isoindolinyl)-4-oxoquinoline-3- carboxylic acids: 6-fluoro, </w:t>
      </w:r>
      <w:smartTag w:uri="urn:schemas-microsoft-com:office:smarttags" w:element="chmetcnv">
        <w:smartTagPr>
          <w:attr w:name="TCSC" w:val="0"/>
          <w:attr w:name="NumberType" w:val="1"/>
          <w:attr w:name="Negative" w:val="False"/>
          <w:attr w:name="HasSpace" w:val="False"/>
          <w:attr w:name="SourceValue" w:val="1"/>
          <w:attr w:name="UnitName" w:val="a"/>
        </w:smartTagPr>
        <w:r w:rsidRPr="001A3D2B">
          <w:t>1a</w:t>
        </w:r>
      </w:smartTag>
      <w:r w:rsidRPr="001A3D2B">
        <w:t xml:space="preserve">- </w:t>
      </w:r>
      <w:smartTag w:uri="urn:schemas-microsoft-com:office:smarttags" w:element="chmetcnv">
        <w:smartTagPr>
          <w:attr w:name="TCSC" w:val="0"/>
          <w:attr w:name="NumberType" w:val="1"/>
          <w:attr w:name="Negative" w:val="False"/>
          <w:attr w:name="HasSpace" w:val="False"/>
          <w:attr w:name="SourceValue" w:val="7"/>
          <w:attr w:name="UnitName" w:val="a"/>
        </w:smartTagPr>
        <w:r w:rsidRPr="001A3D2B">
          <w:t>7a</w:t>
        </w:r>
      </w:smartTag>
      <w:r w:rsidR="005853A9">
        <w:t xml:space="preserve"> and </w:t>
      </w:r>
      <w:r w:rsidRPr="001A3D2B">
        <w:t>6-nonfluoro, 1b-7b</w:t>
      </w:r>
      <w:r w:rsidR="00A37C1D">
        <w:t>. The</w:t>
      </w:r>
      <w:r w:rsidR="003A1917">
        <w:t xml:space="preserve"> </w:t>
      </w:r>
      <w:r w:rsidRPr="001A3D2B">
        <w:t>in vitro antibacterial spectra</w:t>
      </w:r>
      <w:r w:rsidR="00427468">
        <w:t xml:space="preserve"> of </w:t>
      </w:r>
      <w:r w:rsidR="003A1917">
        <w:t xml:space="preserve">the </w:t>
      </w:r>
      <w:r w:rsidRPr="001A3D2B">
        <w:t>newly synthesized quinolones were mostly characterized by excellent Gram-positive activity against Staphylococcus aureus</w:t>
      </w:r>
      <w:r w:rsidR="005853A9">
        <w:t xml:space="preserve"> and </w:t>
      </w:r>
      <w:r w:rsidRPr="001A3D2B">
        <w:rPr>
          <w:i/>
          <w:iCs/>
        </w:rPr>
        <w:t>Streptococcus pneumoniae</w:t>
      </w:r>
      <w:r w:rsidRPr="001A3D2B">
        <w:t xml:space="preserve"> including quinolone- resistant strains,</w:t>
      </w:r>
      <w:r w:rsidR="005853A9">
        <w:t xml:space="preserve"> and </w:t>
      </w:r>
      <w:r w:rsidRPr="001A3D2B">
        <w:t>also by significant Gram-negative activity comparable to 7-(1-piperazinyl)fluoroquinolones. Comparative examinations</w:t>
      </w:r>
      <w:r w:rsidR="00427468">
        <w:t xml:space="preserve"> of </w:t>
      </w:r>
      <w:r w:rsidR="003A1917">
        <w:t xml:space="preserve">the </w:t>
      </w:r>
      <w:r w:rsidRPr="001A3D2B">
        <w:t>in vitro antibacterial profiles</w:t>
      </w:r>
      <w:r w:rsidR="005853A9">
        <w:t xml:space="preserve"> and </w:t>
      </w:r>
      <w:r w:rsidR="003A1917">
        <w:t xml:space="preserve">the </w:t>
      </w:r>
      <w:r w:rsidRPr="001A3D2B">
        <w:t>in vivo toxicity in terms</w:t>
      </w:r>
      <w:r w:rsidR="00427468">
        <w:t xml:space="preserve"> of </w:t>
      </w:r>
      <w:r w:rsidRPr="001A3D2B">
        <w:t>intravenous lethality, micronuclei-inducing potential</w:t>
      </w:r>
      <w:r w:rsidR="005853A9">
        <w:t xml:space="preserve"> and </w:t>
      </w:r>
      <w:r w:rsidRPr="001A3D2B">
        <w:t>convulsive activity provided 6-nonfluorinated 1-cyclopropyl-8-(difluoromethoxy)7-(1- methylisoindolin-5-yl)-4-oxoquinol-ine-3-carboxylic acid [(+, -</w:t>
      </w:r>
      <w:r w:rsidR="00C26C67">
        <w:t>)</w:t>
      </w:r>
      <w:r w:rsidRPr="001A3D2B">
        <w:t>-5b] as</w:t>
      </w:r>
      <w:r w:rsidR="003A1917">
        <w:t xml:space="preserve"> the </w:t>
      </w:r>
      <w:r w:rsidRPr="001A3D2B">
        <w:t>candidate for evaluation</w:t>
      </w:r>
      <w:r w:rsidR="00427468">
        <w:t xml:space="preserve"> of </w:t>
      </w:r>
      <w:r w:rsidR="003A1917">
        <w:t xml:space="preserve">the </w:t>
      </w:r>
      <w:r w:rsidRPr="001A3D2B">
        <w:t>stereoisomers</w:t>
      </w:r>
      <w:r w:rsidR="00A37C1D">
        <w:t>. The</w:t>
      </w:r>
      <w:r w:rsidR="003A1917">
        <w:t xml:space="preserve"> </w:t>
      </w:r>
      <w:r w:rsidRPr="001A3D2B">
        <w:t>enantiomers (R)-5b</w:t>
      </w:r>
      <w:r w:rsidR="005853A9">
        <w:t xml:space="preserve"> and </w:t>
      </w:r>
      <w:r w:rsidRPr="001A3D2B">
        <w:t>(S)-5b were synthesized via</w:t>
      </w:r>
      <w:r w:rsidR="003A1917">
        <w:t xml:space="preserve"> the </w:t>
      </w:r>
      <w:r w:rsidRPr="001A3D2B">
        <w:t>Suzuki coupling reaction</w:t>
      </w:r>
      <w:r w:rsidR="00427468">
        <w:t xml:space="preserve"> of </w:t>
      </w:r>
      <w:r w:rsidRPr="001A3D2B">
        <w:t>(R)-</w:t>
      </w:r>
      <w:r w:rsidR="005853A9">
        <w:t xml:space="preserve"> and </w:t>
      </w:r>
      <w:r w:rsidRPr="001A3D2B">
        <w:t>(S)-1-methyl derivatives</w:t>
      </w:r>
      <w:r w:rsidR="00427468">
        <w:t xml:space="preserve"> of </w:t>
      </w:r>
      <w:r w:rsidRPr="001A3D2B">
        <w:t>2- (triphenylmethyl)isoindolin-5-boronic acid with</w:t>
      </w:r>
      <w:r w:rsidR="003A1917">
        <w:t xml:space="preserve"> the </w:t>
      </w:r>
      <w:r w:rsidRPr="001A3D2B">
        <w:t>corresponding 7-bromo-8-(difluoromethoxy)-4-oxoquinoline-3- carboxylate</w:t>
      </w:r>
      <w:r w:rsidR="00A37C1D">
        <w:t>. The</w:t>
      </w:r>
      <w:r w:rsidR="003A1917">
        <w:t xml:space="preserve"> </w:t>
      </w:r>
      <w:r w:rsidRPr="001A3D2B">
        <w:t xml:space="preserve">(R)-5b </w:t>
      </w:r>
      <w:r w:rsidRPr="001A3D2B">
        <w:lastRenderedPageBreak/>
        <w:t>stereoisomer proved to be 2- to 4-fold more active than</w:t>
      </w:r>
      <w:r w:rsidR="003A1917">
        <w:t xml:space="preserve"> the </w:t>
      </w:r>
      <w:r w:rsidRPr="001A3D2B">
        <w:t>(S)-5b stereoisomer against</w:t>
      </w:r>
      <w:r w:rsidR="003A1917">
        <w:t xml:space="preserve"> the </w:t>
      </w:r>
      <w:r w:rsidRPr="001A3D2B">
        <w:t>organisms tested, with</w:t>
      </w:r>
      <w:r w:rsidR="003A1917">
        <w:t xml:space="preserve"> the </w:t>
      </w:r>
      <w:r w:rsidRPr="001A3D2B">
        <w:t>exception</w:t>
      </w:r>
      <w:r w:rsidR="00427468">
        <w:t xml:space="preserve"> of </w:t>
      </w:r>
      <w:r w:rsidRPr="001A3D2B">
        <w:t>an equal potency observed with S. pneumoniae IID553</w:t>
      </w:r>
      <w:r w:rsidR="005853A9">
        <w:t xml:space="preserve"> and </w:t>
      </w:r>
      <w:r w:rsidRPr="001A3D2B">
        <w:t>Haemophilus influenzae ATCC49247. A noticeable in vitro antibacterial profile</w:t>
      </w:r>
      <w:r w:rsidR="00427468">
        <w:t xml:space="preserve"> of </w:t>
      </w:r>
      <w:r w:rsidRPr="001A3D2B">
        <w:t>(R)-5b was that it is 16-</w:t>
      </w:r>
      <w:r w:rsidR="005853A9">
        <w:t xml:space="preserve"> and </w:t>
      </w:r>
      <w:r w:rsidRPr="001A3D2B">
        <w:t>64-fold more active than levofloxacin (CAS 100986- 85-4)</w:t>
      </w:r>
      <w:r w:rsidR="005853A9">
        <w:t xml:space="preserve"> and </w:t>
      </w:r>
      <w:r w:rsidRPr="001A3D2B">
        <w:t>ciprofloxacin (CAS 86393-32-0), respectively, against Mycoplasma pneumoniae IID813 (MIC</w:t>
      </w:r>
      <w:r w:rsidR="00427468">
        <w:t xml:space="preserve"> of </w:t>
      </w:r>
      <w:r w:rsidRPr="001A3D2B">
        <w:t>0.0313 mug, ml),</w:t>
      </w:r>
      <w:r w:rsidR="005853A9">
        <w:t xml:space="preserve"> and </w:t>
      </w:r>
      <w:r w:rsidRPr="001A3D2B">
        <w:t>4-fold more active than ciprofloxacin</w:t>
      </w:r>
      <w:r w:rsidR="005853A9">
        <w:t xml:space="preserve"> and </w:t>
      </w:r>
      <w:r w:rsidRPr="001A3D2B">
        <w:t xml:space="preserve">levofloxacin against </w:t>
      </w:r>
      <w:r w:rsidRPr="001A3D2B">
        <w:rPr>
          <w:i/>
          <w:iCs/>
        </w:rPr>
        <w:t>Mycobacterium tuberculosis</w:t>
      </w:r>
      <w:r w:rsidRPr="001A3D2B">
        <w:t xml:space="preserve"> M-4 (MIC</w:t>
      </w:r>
      <w:r w:rsidR="00427468">
        <w:t xml:space="preserve"> of </w:t>
      </w:r>
      <w:r w:rsidRPr="001A3D2B">
        <w:t>0.0313 mug, ml). Additional studies indicate that (R)-5b (T-3811, CAS 194804-75- 6) exhibits excellent antibacterial activity against a wide range</w:t>
      </w:r>
      <w:r w:rsidR="00427468">
        <w:t xml:space="preserve"> of </w:t>
      </w:r>
      <w:r w:rsidRPr="001A3D2B">
        <w:t>organisms including anaerobes</w:t>
      </w:r>
      <w:r w:rsidR="005853A9">
        <w:t xml:space="preserve"> and </w:t>
      </w:r>
      <w:r w:rsidRPr="001A3D2B">
        <w:t>common respiratory pathogens, while demonstrating a high selectivity against</w:t>
      </w:r>
      <w:r w:rsidR="003A1917">
        <w:t xml:space="preserve"> the </w:t>
      </w:r>
      <w:r w:rsidRPr="001A3D2B">
        <w:t>mammalian homolog topoisomerases</w:t>
      </w:r>
      <w:r w:rsidR="00A37C1D">
        <w:t>. The</w:t>
      </w:r>
      <w:r w:rsidR="003A1917">
        <w:t xml:space="preserve"> </w:t>
      </w:r>
      <w:r w:rsidRPr="001A3D2B">
        <w:t>methanesulfonate</w:t>
      </w:r>
      <w:r w:rsidR="00427468">
        <w:t xml:space="preserve"> of </w:t>
      </w:r>
      <w:r w:rsidRPr="001A3D2B">
        <w:t>(R)- 5b (T-3811ME, CAS 223652-90-2) is now undergoing clinical testings</w:t>
      </w:r>
    </w:p>
    <w:p w:rsidR="009A0534" w:rsidRPr="001A3D2B" w:rsidRDefault="009A0534" w:rsidP="009A0534">
      <w:pPr>
        <w:pStyle w:val="a3"/>
      </w:pPr>
      <w:r w:rsidRPr="001A3D2B">
        <w:t>Keywords: 1-Cyclopropyl-7- (Isoindolin-5-Yl)-4-Oxoquinoline-3-Carboxylic Acid Derivatives, 1-Cyclopropyl-8-(Difluoromethoxy)-7-[(1r)-1-Methyl-2, 3- Dihydro-1h-Isoindol-5-Yl]-4-Oxo-1, 4-Dihydro-3- Quinolinecarboxylic Acid Methanesulfonate, 6- Fluoro</w:t>
      </w:r>
      <w:r w:rsidR="005853A9">
        <w:t xml:space="preserve"> and </w:t>
      </w:r>
      <w:r w:rsidRPr="001A3D2B">
        <w:t>6-Desfluoro Quinolones, 8-Methoxy</w:t>
      </w:r>
      <w:r w:rsidR="005853A9">
        <w:t xml:space="preserve"> and </w:t>
      </w:r>
      <w:r w:rsidRPr="001A3D2B">
        <w:t xml:space="preserve">8- (Difluoromethoxy) Quinolones, Antibacterial Activity, Bms-284756, Cas 194804-75-6, Cas 223652-90-2, Comparison, Cross-Coupling Reactions, Des-Fluoro(6) Quinolone Bms-284756, Fluoroquinolones, Garenoxacin, In Vitro Antibacterial Activity, In Vivo Toxicity, In-Vitro, Invitro, Levofloxacin, Mice, </w:t>
      </w:r>
      <w:r w:rsidRPr="001A3D2B">
        <w:rPr>
          <w:i/>
          <w:iCs/>
        </w:rPr>
        <w:t>Mycobacterium tuberculosis</w:t>
      </w:r>
      <w:r w:rsidRPr="001A3D2B">
        <w:t>, Organic Electrophiles, Pneumoniae, Resistant, Side-Effect Relationships, Staphylococcus-Aureus, Synthesis, T-3811, Toxicity</w:t>
      </w:r>
    </w:p>
    <w:p w:rsidR="00CD7B0F" w:rsidRPr="001A3D2B" w:rsidRDefault="00CD7B0F" w:rsidP="00CD7B0F">
      <w:pPr>
        <w:pStyle w:val="1"/>
      </w:pPr>
      <w:r w:rsidRPr="001A3D2B">
        <w:br w:type="page"/>
      </w:r>
      <w:bookmarkStart w:id="630" w:name="_Toc420814614"/>
      <w:r w:rsidRPr="001A3D2B">
        <w:lastRenderedPageBreak/>
        <w:t xml:space="preserve">Title: </w:t>
      </w:r>
      <w:r w:rsidRPr="00CD7B0F">
        <w:rPr>
          <w:iCs w:val="0"/>
        </w:rPr>
        <w:t xml:space="preserve">ASAIO </w:t>
      </w:r>
      <w:r w:rsidRPr="00CD7B0F">
        <w:t>Journal</w:t>
      </w:r>
      <w:bookmarkEnd w:id="630"/>
    </w:p>
    <w:p w:rsidR="00CD7B0F" w:rsidRPr="001A3D2B" w:rsidRDefault="00CD7B0F" w:rsidP="00CD7B0F">
      <w:pPr>
        <w:pStyle w:val="12"/>
      </w:pPr>
      <w:r w:rsidRPr="001A3D2B">
        <w:t>Full Journal Title:</w:t>
      </w:r>
      <w:r>
        <w:t xml:space="preserve"> </w:t>
      </w:r>
      <w:r w:rsidRPr="00CD7B0F">
        <w:rPr>
          <w:iCs/>
          <w:kern w:val="0"/>
        </w:rPr>
        <w:t>ASAIO Journal</w:t>
      </w:r>
    </w:p>
    <w:p w:rsidR="00CD7B0F" w:rsidRPr="001A3D2B" w:rsidRDefault="00CD7B0F" w:rsidP="00CD7B0F">
      <w:pPr>
        <w:pStyle w:val="12"/>
      </w:pPr>
      <w:r w:rsidRPr="001A3D2B">
        <w:t xml:space="preserve">ISO Abbreviated Title: </w:t>
      </w:r>
    </w:p>
    <w:p w:rsidR="00CD7B0F" w:rsidRPr="001A3D2B" w:rsidRDefault="00CD7B0F" w:rsidP="00CD7B0F">
      <w:pPr>
        <w:pStyle w:val="12"/>
      </w:pPr>
      <w:r w:rsidRPr="001A3D2B">
        <w:t xml:space="preserve">JCR Abbreviated Title: </w:t>
      </w:r>
    </w:p>
    <w:p w:rsidR="00CD7B0F" w:rsidRPr="001A3D2B" w:rsidRDefault="00CD7B0F" w:rsidP="00CD7B0F">
      <w:pPr>
        <w:pStyle w:val="12"/>
      </w:pPr>
      <w:r w:rsidRPr="001A3D2B">
        <w:t xml:space="preserve">ISSN: </w:t>
      </w:r>
    </w:p>
    <w:p w:rsidR="00CD7B0F" w:rsidRPr="001A3D2B" w:rsidRDefault="00CD7B0F" w:rsidP="00CD7B0F">
      <w:pPr>
        <w:pStyle w:val="12"/>
      </w:pPr>
      <w:r w:rsidRPr="001A3D2B">
        <w:t xml:space="preserve">Issues/Year: </w:t>
      </w:r>
    </w:p>
    <w:p w:rsidR="00CD7B0F" w:rsidRPr="001A3D2B" w:rsidRDefault="00CD7B0F" w:rsidP="00CD7B0F">
      <w:pPr>
        <w:pStyle w:val="12"/>
      </w:pPr>
      <w:r w:rsidRPr="001A3D2B">
        <w:t xml:space="preserve">Journal Country/Territory: </w:t>
      </w:r>
    </w:p>
    <w:p w:rsidR="00CD7B0F" w:rsidRPr="001A3D2B" w:rsidRDefault="00CD7B0F" w:rsidP="00CD7B0F">
      <w:pPr>
        <w:pStyle w:val="12"/>
      </w:pPr>
      <w:r w:rsidRPr="001A3D2B">
        <w:t xml:space="preserve">Language: </w:t>
      </w:r>
    </w:p>
    <w:p w:rsidR="00CD7B0F" w:rsidRPr="001A3D2B" w:rsidRDefault="00CD7B0F" w:rsidP="00CD7B0F">
      <w:pPr>
        <w:pStyle w:val="12"/>
      </w:pPr>
      <w:r w:rsidRPr="001A3D2B">
        <w:t xml:space="preserve">Publisher: </w:t>
      </w:r>
    </w:p>
    <w:p w:rsidR="00CD7B0F" w:rsidRPr="001A3D2B" w:rsidRDefault="00CD7B0F" w:rsidP="00CD7B0F">
      <w:pPr>
        <w:pStyle w:val="12"/>
      </w:pPr>
      <w:r w:rsidRPr="001A3D2B">
        <w:t xml:space="preserve">Publisher Address: </w:t>
      </w:r>
    </w:p>
    <w:p w:rsidR="00CD7B0F" w:rsidRPr="001A3D2B" w:rsidRDefault="00CD7B0F" w:rsidP="00CD7B0F">
      <w:pPr>
        <w:pStyle w:val="12"/>
      </w:pPr>
      <w:r w:rsidRPr="001A3D2B">
        <w:t>Subject Categories:</w:t>
      </w:r>
    </w:p>
    <w:p w:rsidR="00CD7B0F" w:rsidRDefault="00CD7B0F" w:rsidP="00CD7B0F">
      <w:pPr>
        <w:pStyle w:val="a3"/>
        <w:rPr>
          <w:kern w:val="0"/>
        </w:rPr>
      </w:pPr>
      <w:r>
        <w:rPr>
          <w:rFonts w:hint="eastAsia"/>
          <w:kern w:val="0"/>
        </w:rPr>
        <w:t xml:space="preserve">? </w:t>
      </w:r>
      <w:r>
        <w:rPr>
          <w:kern w:val="0"/>
        </w:rPr>
        <w:t xml:space="preserve">Dunlay, S.M., Deo, S.V. and Park, S.J. (2015), Impact of tricuspid valve surgery at the time of left ventricular assist device insertion on postoperative outcomes. </w:t>
      </w:r>
      <w:r w:rsidRPr="00CD7B0F">
        <w:rPr>
          <w:i/>
          <w:iCs/>
          <w:kern w:val="0"/>
        </w:rPr>
        <w:t>ASAIO Journal</w:t>
      </w:r>
      <w:r>
        <w:rPr>
          <w:kern w:val="0"/>
        </w:rPr>
        <w:t xml:space="preserve">, </w:t>
      </w:r>
      <w:r>
        <w:rPr>
          <w:b/>
          <w:bCs/>
          <w:kern w:val="0"/>
        </w:rPr>
        <w:t>61</w:t>
      </w:r>
      <w:r>
        <w:rPr>
          <w:kern w:val="0"/>
        </w:rPr>
        <w:t xml:space="preserve"> (1), 15-20.</w:t>
      </w:r>
    </w:p>
    <w:p w:rsidR="00837AE7" w:rsidRDefault="00837AE7" w:rsidP="00837AE7">
      <w:pPr>
        <w:pStyle w:val="a3"/>
        <w:rPr>
          <w:kern w:val="0"/>
        </w:rPr>
      </w:pPr>
      <w:r>
        <w:rPr>
          <w:rFonts w:hint="eastAsia"/>
          <w:kern w:val="0"/>
        </w:rPr>
        <w:t xml:space="preserve">Full Text: </w:t>
      </w:r>
      <w:hyperlink r:id="rId1243" w:history="1">
        <w:r w:rsidRPr="0002526D">
          <w:rPr>
            <w:rStyle w:val="a5"/>
            <w:kern w:val="0"/>
          </w:rPr>
          <w:t>2015\ASAI J61, 15.pdf</w:t>
        </w:r>
      </w:hyperlink>
    </w:p>
    <w:p w:rsidR="00CD7B0F" w:rsidRDefault="00CD7B0F" w:rsidP="00CD7B0F">
      <w:pPr>
        <w:pStyle w:val="a3"/>
        <w:rPr>
          <w:kern w:val="0"/>
        </w:rPr>
      </w:pPr>
      <w:r>
        <w:rPr>
          <w:kern w:val="0"/>
        </w:rPr>
        <w:t>Abstract: Tricuspid regurgitation (TR) is common in patients with heart failure undergoing left ventricular assist device (LVAD) implantation. Whether the TR should be surgically managed at the time of LVAD surgery is controversial. We searched SCOPUS, Web of Science, Ovid EMBASE, and Ovid MEDLINE (through May 10, 2014) for randomized controlled trials and observational studies comparing postoperative outcomes in patients treated with LVAD with concomitant tricuspid valve surgery (TVS) compared with LVAD alone. Six observational studies including 3,249 patients compared outcomes following LVAD + TVS versus LVAD. Four studies were single-center and most did not adjust for potential confounders. Addition of TVS prolonged cardiopulmonary bypass times by an average of 31 minutes (three studies, 95% CI 20-42). There was no difference in need for right ventricular assist device (six studies, HR 1.42, 95% CI 0.54-3.76), acute renal failure (four studies, HR 1.07, 95% CI 0.55-2.10), or early mortality (six studies, HR 1.28, 95% CI 0.78-2.08) in patients treated with LVAD + TVS versus LVAD alone. TVS prolongs cardiopulmonary bypass times, but available data demonstrate no significant association with early postoperative outcomes. However, differences in baseline risk of patients treated with TVS versus not limit our ability to draw conclusions.</w:t>
      </w:r>
    </w:p>
    <w:p w:rsidR="00CD7B0F" w:rsidRDefault="00CD7B0F" w:rsidP="00CD7B0F">
      <w:pPr>
        <w:pStyle w:val="a3"/>
        <w:rPr>
          <w:kern w:val="0"/>
        </w:rPr>
      </w:pPr>
      <w:r>
        <w:rPr>
          <w:kern w:val="0"/>
        </w:rPr>
        <w:t xml:space="preserve">Keywords: Acute Renal Failure, Association, Cardiopulmonary, Cardiopulmonary Bypass, Circulatory Assist Devices, Concomitant, Data, Embase, Failure, Heart, Heart Failure, Heart Valve, Impact, Implantation, Medline, Mortality, Observational, Observational Studies, Outcomes, Patients, Postoperative, Potential, Prolonged, </w:t>
      </w:r>
      <w:r>
        <w:rPr>
          <w:kern w:val="0"/>
        </w:rPr>
        <w:lastRenderedPageBreak/>
        <w:t>Randomized, Randomized Controlled Trials, Regurgitation, Renal, Renal Failure, Right, Risk, Science, Scopus, Surgery, Time, Web, Web Of Science</w:t>
      </w:r>
    </w:p>
    <w:p w:rsidR="002E7EE2" w:rsidRPr="001A3D2B" w:rsidRDefault="002E7EE2" w:rsidP="002E7EE2">
      <w:pPr>
        <w:pStyle w:val="1"/>
      </w:pPr>
      <w:r w:rsidRPr="001A3D2B">
        <w:br w:type="page"/>
      </w:r>
      <w:bookmarkStart w:id="631" w:name="_Toc420814615"/>
      <w:r w:rsidRPr="001A3D2B">
        <w:lastRenderedPageBreak/>
        <w:t xml:space="preserve">Title: </w:t>
      </w:r>
      <w:r w:rsidRPr="002E7EE2">
        <w:t>Asia Life Sciences</w:t>
      </w:r>
      <w:bookmarkEnd w:id="631"/>
    </w:p>
    <w:p w:rsidR="002E7EE2" w:rsidRPr="001A3D2B" w:rsidRDefault="002E7EE2" w:rsidP="002E7EE2">
      <w:pPr>
        <w:pStyle w:val="12"/>
      </w:pPr>
      <w:r w:rsidRPr="001A3D2B">
        <w:t>Full Journal Title:</w:t>
      </w:r>
      <w:r>
        <w:t xml:space="preserve"> </w:t>
      </w:r>
      <w:r w:rsidRPr="002E7EE2">
        <w:rPr>
          <w:iCs/>
          <w:kern w:val="0"/>
        </w:rPr>
        <w:t>Asia Life Sciences</w:t>
      </w:r>
    </w:p>
    <w:p w:rsidR="002E7EE2" w:rsidRPr="001A3D2B" w:rsidRDefault="002E7EE2" w:rsidP="002E7EE2">
      <w:pPr>
        <w:pStyle w:val="12"/>
      </w:pPr>
      <w:r w:rsidRPr="001A3D2B">
        <w:t xml:space="preserve">ISO Abbreviated Title: </w:t>
      </w:r>
    </w:p>
    <w:p w:rsidR="002E7EE2" w:rsidRPr="001A3D2B" w:rsidRDefault="002E7EE2" w:rsidP="002E7EE2">
      <w:pPr>
        <w:pStyle w:val="12"/>
      </w:pPr>
      <w:r w:rsidRPr="001A3D2B">
        <w:t xml:space="preserve">JCR Abbreviated Title: </w:t>
      </w:r>
    </w:p>
    <w:p w:rsidR="002E7EE2" w:rsidRPr="001A3D2B" w:rsidRDefault="002E7EE2" w:rsidP="002E7EE2">
      <w:pPr>
        <w:pStyle w:val="12"/>
      </w:pPr>
      <w:r w:rsidRPr="001A3D2B">
        <w:t xml:space="preserve">ISSN: </w:t>
      </w:r>
    </w:p>
    <w:p w:rsidR="002E7EE2" w:rsidRPr="001A3D2B" w:rsidRDefault="002E7EE2" w:rsidP="002E7EE2">
      <w:pPr>
        <w:pStyle w:val="12"/>
      </w:pPr>
      <w:r w:rsidRPr="001A3D2B">
        <w:t xml:space="preserve">Issues/Year: </w:t>
      </w:r>
    </w:p>
    <w:p w:rsidR="002E7EE2" w:rsidRPr="001A3D2B" w:rsidRDefault="002E7EE2" w:rsidP="002E7EE2">
      <w:pPr>
        <w:pStyle w:val="12"/>
      </w:pPr>
      <w:r w:rsidRPr="001A3D2B">
        <w:t xml:space="preserve">Journal Country/Territory: </w:t>
      </w:r>
    </w:p>
    <w:p w:rsidR="002E7EE2" w:rsidRPr="001A3D2B" w:rsidRDefault="002E7EE2" w:rsidP="002E7EE2">
      <w:pPr>
        <w:pStyle w:val="12"/>
      </w:pPr>
      <w:r w:rsidRPr="001A3D2B">
        <w:t xml:space="preserve">Language: </w:t>
      </w:r>
    </w:p>
    <w:p w:rsidR="002E7EE2" w:rsidRPr="001A3D2B" w:rsidRDefault="002E7EE2" w:rsidP="002E7EE2">
      <w:pPr>
        <w:pStyle w:val="12"/>
      </w:pPr>
      <w:r w:rsidRPr="001A3D2B">
        <w:t xml:space="preserve">Publisher: </w:t>
      </w:r>
    </w:p>
    <w:p w:rsidR="002E7EE2" w:rsidRPr="001A3D2B" w:rsidRDefault="002E7EE2" w:rsidP="002E7EE2">
      <w:pPr>
        <w:pStyle w:val="12"/>
      </w:pPr>
      <w:r w:rsidRPr="001A3D2B">
        <w:t xml:space="preserve">Publisher Address: </w:t>
      </w:r>
    </w:p>
    <w:p w:rsidR="002E7EE2" w:rsidRPr="001A3D2B" w:rsidRDefault="002E7EE2" w:rsidP="002E7EE2">
      <w:pPr>
        <w:pStyle w:val="12"/>
      </w:pPr>
      <w:r w:rsidRPr="001A3D2B">
        <w:t>Subject Categories:</w:t>
      </w:r>
    </w:p>
    <w:p w:rsidR="002E7EE2" w:rsidRDefault="002E7EE2" w:rsidP="002E7EE2">
      <w:pPr>
        <w:pStyle w:val="a3"/>
        <w:rPr>
          <w:kern w:val="0"/>
        </w:rPr>
      </w:pPr>
      <w:r>
        <w:rPr>
          <w:rFonts w:hint="eastAsia"/>
          <w:kern w:val="0"/>
        </w:rPr>
        <w:t xml:space="preserve">? </w:t>
      </w:r>
      <w:r>
        <w:rPr>
          <w:kern w:val="0"/>
        </w:rPr>
        <w:t xml:space="preserve">Meo, S.A., Al-Masri, A.A., Al-Rouq, F., Usmani, A.M., Hassan, A., Arain, S.A. and Zaidi, S.Z. (2014), Status of research publications in various science subjects among Muslim countries (1996-2010). </w:t>
      </w:r>
      <w:r w:rsidRPr="002E7EE2">
        <w:rPr>
          <w:i/>
          <w:iCs/>
          <w:kern w:val="0"/>
        </w:rPr>
        <w:t>Asia Life Sciences</w:t>
      </w:r>
      <w:r>
        <w:rPr>
          <w:kern w:val="0"/>
        </w:rPr>
        <w:t xml:space="preserve">, </w:t>
      </w:r>
      <w:r>
        <w:rPr>
          <w:b/>
          <w:bCs/>
          <w:kern w:val="0"/>
        </w:rPr>
        <w:t>23</w:t>
      </w:r>
      <w:r>
        <w:rPr>
          <w:kern w:val="0"/>
        </w:rPr>
        <w:t xml:space="preserve"> (1), 39-48.</w:t>
      </w:r>
    </w:p>
    <w:p w:rsidR="002E7EE2" w:rsidRDefault="002E7EE2" w:rsidP="002E7EE2">
      <w:pPr>
        <w:pStyle w:val="a3"/>
        <w:rPr>
          <w:kern w:val="0"/>
        </w:rPr>
      </w:pPr>
      <w:r>
        <w:rPr>
          <w:rFonts w:hint="eastAsia"/>
          <w:kern w:val="0"/>
        </w:rPr>
        <w:t>Full Text: 2014\</w:t>
      </w:r>
      <w:r>
        <w:rPr>
          <w:iCs/>
          <w:kern w:val="0"/>
        </w:rPr>
        <w:t>Asi Lif Sci</w:t>
      </w:r>
      <w:r w:rsidRPr="00DA7309">
        <w:rPr>
          <w:bCs/>
          <w:kern w:val="0"/>
        </w:rPr>
        <w:t>23</w:t>
      </w:r>
      <w:r>
        <w:rPr>
          <w:kern w:val="0"/>
        </w:rPr>
        <w:t>, 39</w:t>
      </w:r>
      <w:r>
        <w:rPr>
          <w:rFonts w:hint="eastAsia"/>
          <w:kern w:val="0"/>
        </w:rPr>
        <w:t>.pdf</w:t>
      </w:r>
    </w:p>
    <w:p w:rsidR="002E7EE2" w:rsidRDefault="002E7EE2" w:rsidP="002E7EE2">
      <w:pPr>
        <w:pStyle w:val="a3"/>
        <w:rPr>
          <w:kern w:val="0"/>
        </w:rPr>
      </w:pPr>
      <w:r>
        <w:rPr>
          <w:kern w:val="0"/>
        </w:rPr>
        <w:t>Abstract: This study aimed to compare the bibliometric indicators, including total number of documents, citable documents, citations per document and H-index in various science subjects among Muslim Majority countries (MMC) and the rest of the world during the period 1996-2010. We selected 193 listed member countries of the United Nations according to the proportions of the population who are MMC to the remaining portion named as the Rest of the World Countries (RWC). Fifty seven countries were classified as MMC while the remaining 133 were RWC. The bibliometric data for various science subjects for individual countries was mainly collected from the SCI-mago and Web of Science. The total number of documents in science subjects published from all over MMC during the period 1996-2010 was 16,074.18 +/- 5,411.4; citable documents 15,504.6 +/- 5,174.8; citations per document 7.65 +/- 0.48 and the H-index 54.91 +/- 4.80. However, the number of documents in various science subjects from the RWC during the same period was 150,044.99 +/- 43,800.29; citable documents were 142,721.70 +/- 41,233.66; citations per document were 11.76 +/- 10.37 and the mean H-Index was 135.61 +/- 14.73. All these indicators were significantly low (p = 0.0001) in MMC compared to the RWC. The total number of research publications, citable documents, citations per document and H-index for Medicine, Physics and Astronomy, Chemistry, Mathematics, Engineering and Computer Sciences were significantly low in MMC compared to the RWC, respectively.</w:t>
      </w:r>
    </w:p>
    <w:p w:rsidR="002E7EE2" w:rsidRDefault="002E7EE2" w:rsidP="002E7EE2">
      <w:pPr>
        <w:pStyle w:val="a3"/>
        <w:rPr>
          <w:kern w:val="0"/>
        </w:rPr>
      </w:pPr>
      <w:r>
        <w:rPr>
          <w:kern w:val="0"/>
        </w:rPr>
        <w:t xml:space="preserve">Keywords: Bibliometric, Bibliometric Data, Bibliometric Indicators, Chemistry, Citations, Countries, Data, Documents, Engineering, From, H Index, H-Index, </w:t>
      </w:r>
      <w:r>
        <w:rPr>
          <w:kern w:val="0"/>
        </w:rPr>
        <w:lastRenderedPageBreak/>
        <w:t>Indicators, Mathematics, Medicine, Muslim Countries, Physics, Population, Publications, Research, Research Papers, Science, Sciences, Scimago, Web, Web Of Science, World</w:t>
      </w:r>
    </w:p>
    <w:p w:rsidR="00CD0352" w:rsidRPr="001A3D2B" w:rsidRDefault="00CD0352" w:rsidP="00CD0352">
      <w:pPr>
        <w:pStyle w:val="1"/>
      </w:pPr>
      <w:r w:rsidRPr="001A3D2B">
        <w:br w:type="page"/>
      </w:r>
      <w:bookmarkStart w:id="632" w:name="_Toc420814616"/>
      <w:r w:rsidRPr="001A3D2B">
        <w:lastRenderedPageBreak/>
        <w:t>Title: Asia Pacific Education Review</w:t>
      </w:r>
      <w:bookmarkEnd w:id="632"/>
    </w:p>
    <w:p w:rsidR="00CD0352" w:rsidRPr="001A3D2B" w:rsidRDefault="00CD0352" w:rsidP="00CD0352">
      <w:pPr>
        <w:pStyle w:val="12"/>
      </w:pPr>
      <w:r w:rsidRPr="001A3D2B">
        <w:t>Full Journal Title:</w:t>
      </w:r>
      <w:r w:rsidR="009A7E0B">
        <w:t xml:space="preserve"> Asia Pacific Education Review</w:t>
      </w:r>
    </w:p>
    <w:p w:rsidR="00CD0352" w:rsidRPr="001A3D2B" w:rsidRDefault="00CD0352" w:rsidP="00CD0352">
      <w:pPr>
        <w:pStyle w:val="12"/>
      </w:pPr>
      <w:r w:rsidRPr="001A3D2B">
        <w:t xml:space="preserve">ISO Abbreviated Title: </w:t>
      </w:r>
    </w:p>
    <w:p w:rsidR="00CD0352" w:rsidRPr="001A3D2B" w:rsidRDefault="00CD0352" w:rsidP="00CD0352">
      <w:pPr>
        <w:pStyle w:val="12"/>
      </w:pPr>
      <w:r w:rsidRPr="001A3D2B">
        <w:t xml:space="preserve">JCR Abbreviated Title: </w:t>
      </w:r>
    </w:p>
    <w:p w:rsidR="00CD0352" w:rsidRPr="001A3D2B" w:rsidRDefault="00CD0352" w:rsidP="00CD0352">
      <w:pPr>
        <w:pStyle w:val="12"/>
      </w:pPr>
      <w:r w:rsidRPr="001A3D2B">
        <w:t xml:space="preserve">ISSN: </w:t>
      </w:r>
    </w:p>
    <w:p w:rsidR="00CD0352" w:rsidRPr="001A3D2B" w:rsidRDefault="00CD0352" w:rsidP="00CD0352">
      <w:pPr>
        <w:pStyle w:val="12"/>
      </w:pPr>
      <w:r w:rsidRPr="001A3D2B">
        <w:t xml:space="preserve">Issues/Year: </w:t>
      </w:r>
    </w:p>
    <w:p w:rsidR="00CD0352" w:rsidRPr="001A3D2B" w:rsidRDefault="00CD0352" w:rsidP="00CD0352">
      <w:pPr>
        <w:pStyle w:val="12"/>
      </w:pPr>
      <w:r w:rsidRPr="001A3D2B">
        <w:t xml:space="preserve">Journal Country/Territory: </w:t>
      </w:r>
    </w:p>
    <w:p w:rsidR="00CD0352" w:rsidRPr="001A3D2B" w:rsidRDefault="00CD0352" w:rsidP="00CD0352">
      <w:pPr>
        <w:pStyle w:val="12"/>
      </w:pPr>
      <w:r w:rsidRPr="001A3D2B">
        <w:t xml:space="preserve">Language: </w:t>
      </w:r>
    </w:p>
    <w:p w:rsidR="00CD0352" w:rsidRPr="001A3D2B" w:rsidRDefault="00CD0352" w:rsidP="00CD0352">
      <w:pPr>
        <w:pStyle w:val="12"/>
      </w:pPr>
      <w:r w:rsidRPr="001A3D2B">
        <w:t xml:space="preserve">Publisher: </w:t>
      </w:r>
    </w:p>
    <w:p w:rsidR="00CD0352" w:rsidRPr="001A3D2B" w:rsidRDefault="00CD0352" w:rsidP="00CD0352">
      <w:pPr>
        <w:pStyle w:val="12"/>
      </w:pPr>
      <w:r w:rsidRPr="001A3D2B">
        <w:t xml:space="preserve">Publisher Address: </w:t>
      </w:r>
    </w:p>
    <w:p w:rsidR="00CD0352" w:rsidRPr="001A3D2B" w:rsidRDefault="00CD0352" w:rsidP="00CD0352">
      <w:pPr>
        <w:pStyle w:val="12"/>
      </w:pPr>
      <w:r w:rsidRPr="001A3D2B">
        <w:t>Subject Categories:</w:t>
      </w:r>
    </w:p>
    <w:p w:rsidR="00E15C06" w:rsidRPr="001A3D2B" w:rsidRDefault="00E15C06" w:rsidP="00E15C06">
      <w:pPr>
        <w:pStyle w:val="a3"/>
      </w:pPr>
      <w:r w:rsidRPr="001A3D2B">
        <w:t>? Li, L.X. (2004), China</w:t>
      </w:r>
      <w:r w:rsidR="00700038">
        <w:t>’</w:t>
      </w:r>
      <w:r w:rsidR="00C13DDC">
        <w:t>s</w:t>
      </w:r>
      <w:r w:rsidRPr="001A3D2B">
        <w:t xml:space="preserve"> Higher Education Reform 1998-2003: A summary. </w:t>
      </w:r>
      <w:r w:rsidRPr="001A3D2B">
        <w:rPr>
          <w:i/>
        </w:rPr>
        <w:t>Asia Pacific Education Review</w:t>
      </w:r>
      <w:r w:rsidRPr="001A3D2B">
        <w:t xml:space="preserve">, </w:t>
      </w:r>
      <w:r w:rsidRPr="001A3D2B">
        <w:rPr>
          <w:b/>
        </w:rPr>
        <w:t>5</w:t>
      </w:r>
      <w:r w:rsidRPr="001A3D2B">
        <w:t xml:space="preserve"> (1), 14-22.</w:t>
      </w:r>
    </w:p>
    <w:p w:rsidR="00E15C06" w:rsidRPr="001A3D2B" w:rsidRDefault="00E15C06" w:rsidP="00E15C06">
      <w:pPr>
        <w:pStyle w:val="a3"/>
      </w:pPr>
      <w:r w:rsidRPr="001A3D2B">
        <w:t xml:space="preserve">Full Text: </w:t>
      </w:r>
      <w:hyperlink r:id="rId1244" w:history="1">
        <w:r w:rsidRPr="001A3D2B">
          <w:rPr>
            <w:rStyle w:val="a5"/>
          </w:rPr>
          <w:t>2004\Asi Pac Edu Rev5, 14.pdf</w:t>
        </w:r>
      </w:hyperlink>
    </w:p>
    <w:p w:rsidR="00E15C06" w:rsidRPr="001A3D2B" w:rsidRDefault="00E15C06" w:rsidP="00E15C06">
      <w:pPr>
        <w:pStyle w:val="a3"/>
      </w:pPr>
      <w:r w:rsidRPr="001A3D2B">
        <w:t>Abstract: Profoundly important</w:t>
      </w:r>
      <w:r w:rsidR="005853A9">
        <w:t xml:space="preserve"> and </w:t>
      </w:r>
      <w:r w:rsidRPr="001A3D2B">
        <w:t>unprecedented changes have taken place in China</w:t>
      </w:r>
      <w:r w:rsidR="00700038">
        <w:t>’</w:t>
      </w:r>
      <w:r w:rsidR="00C13DDC">
        <w:t>s</w:t>
      </w:r>
      <w:r w:rsidRPr="001A3D2B">
        <w:t xml:space="preserve"> higher education since 1998, when Zhu Rongji Administration (1998-2003) decided to carry out a new round</w:t>
      </w:r>
      <w:r w:rsidR="00427468">
        <w:t xml:space="preserve"> of </w:t>
      </w:r>
      <w:r w:rsidRPr="001A3D2B">
        <w:t>educational reform</w:t>
      </w:r>
      <w:r w:rsidR="00A37C1D">
        <w:t>. The</w:t>
      </w:r>
      <w:r w:rsidRPr="001A3D2B">
        <w:t>se changes include some breakthroughs in macro administrative system reform, growth in</w:t>
      </w:r>
      <w:r w:rsidR="003A1917">
        <w:t xml:space="preserve"> the </w:t>
      </w:r>
      <w:r w:rsidRPr="001A3D2B">
        <w:t>total amount</w:t>
      </w:r>
      <w:r w:rsidR="00427468">
        <w:t xml:space="preserve"> of </w:t>
      </w:r>
      <w:r w:rsidRPr="001A3D2B">
        <w:t>educational expenditure,</w:t>
      </w:r>
      <w:r w:rsidR="003A1917">
        <w:t xml:space="preserve"> the </w:t>
      </w:r>
      <w:r w:rsidRPr="001A3D2B">
        <w:t>enlargement</w:t>
      </w:r>
      <w:r w:rsidR="00427468">
        <w:t xml:space="preserve"> of </w:t>
      </w:r>
      <w:r w:rsidR="003A1917">
        <w:t xml:space="preserve">the </w:t>
      </w:r>
      <w:r w:rsidRPr="001A3D2B">
        <w:t>recruitment scale</w:t>
      </w:r>
      <w:r w:rsidR="00427468">
        <w:t xml:space="preserve"> of </w:t>
      </w:r>
      <w:r w:rsidRPr="001A3D2B">
        <w:t>higher education,</w:t>
      </w:r>
      <w:r w:rsidR="005853A9">
        <w:t xml:space="preserve"> and </w:t>
      </w:r>
      <w:r w:rsidRPr="001A3D2B">
        <w:t>positive changes in personnel, reward distribution</w:t>
      </w:r>
      <w:r w:rsidR="005853A9">
        <w:t xml:space="preserve"> and </w:t>
      </w:r>
      <w:r w:rsidRPr="001A3D2B">
        <w:t>rear service reforms</w:t>
      </w:r>
      <w:r w:rsidR="00A37C1D">
        <w:t>. The</w:t>
      </w:r>
      <w:r w:rsidR="003A1917">
        <w:t xml:space="preserve"> </w:t>
      </w:r>
      <w:r w:rsidRPr="001A3D2B">
        <w:t>purpose</w:t>
      </w:r>
      <w:r w:rsidR="00427468">
        <w:t xml:space="preserve"> of </w:t>
      </w:r>
      <w:r w:rsidRPr="001A3D2B">
        <w:t>this paper is to offer a summary</w:t>
      </w:r>
      <w:r w:rsidR="00427468">
        <w:t xml:space="preserve"> of </w:t>
      </w:r>
      <w:r w:rsidRPr="001A3D2B">
        <w:t>these reforms. It discusses (1)</w:t>
      </w:r>
      <w:r w:rsidR="003A1917">
        <w:t xml:space="preserve"> the </w:t>
      </w:r>
      <w:r w:rsidRPr="001A3D2B">
        <w:t>internal reasons for</w:t>
      </w:r>
      <w:r w:rsidR="003A1917">
        <w:t xml:space="preserve"> the </w:t>
      </w:r>
      <w:r w:rsidRPr="001A3D2B">
        <w:t>reforms, (2)</w:t>
      </w:r>
      <w:r w:rsidR="003A1917">
        <w:t xml:space="preserve"> the </w:t>
      </w:r>
      <w:r w:rsidRPr="001A3D2B">
        <w:t>main events</w:t>
      </w:r>
      <w:r w:rsidR="005853A9">
        <w:t xml:space="preserve"> and </w:t>
      </w:r>
      <w:r w:rsidRPr="001A3D2B">
        <w:t>measures, (3)</w:t>
      </w:r>
      <w:r w:rsidR="003A1917">
        <w:t xml:space="preserve"> the </w:t>
      </w:r>
      <w:r w:rsidRPr="001A3D2B">
        <w:t>main contents</w:t>
      </w:r>
      <w:r w:rsidR="005853A9">
        <w:t xml:space="preserve"> and </w:t>
      </w:r>
      <w:r w:rsidRPr="001A3D2B">
        <w:t>achievements, (4)</w:t>
      </w:r>
      <w:r w:rsidR="005853A9">
        <w:t xml:space="preserve"> and </w:t>
      </w:r>
      <w:r w:rsidR="003A1917">
        <w:t xml:space="preserve">the </w:t>
      </w:r>
      <w:r w:rsidRPr="001A3D2B">
        <w:t>main problems</w:t>
      </w:r>
      <w:r w:rsidR="00427468">
        <w:t xml:space="preserve"> of </w:t>
      </w:r>
      <w:r w:rsidRPr="001A3D2B">
        <w:t>these reforms.</w:t>
      </w:r>
    </w:p>
    <w:p w:rsidR="00E15C06" w:rsidRPr="001A3D2B" w:rsidRDefault="00E15C06" w:rsidP="00E15C06">
      <w:pPr>
        <w:pStyle w:val="a3"/>
      </w:pPr>
      <w:r w:rsidRPr="001A3D2B">
        <w:t>Keywords: China, Higher Education, Reform</w:t>
      </w:r>
    </w:p>
    <w:p w:rsidR="009A7E0B" w:rsidRDefault="009A7E0B" w:rsidP="009A7E0B">
      <w:pPr>
        <w:pStyle w:val="a3"/>
        <w:rPr>
          <w:kern w:val="0"/>
        </w:rPr>
      </w:pPr>
      <w:r>
        <w:rPr>
          <w:rFonts w:hint="eastAsia"/>
          <w:kern w:val="0"/>
        </w:rPr>
        <w:t xml:space="preserve">? </w:t>
      </w:r>
      <w:r>
        <w:rPr>
          <w:kern w:val="0"/>
        </w:rPr>
        <w:t>Chou, C.P., Lin, H.F.</w:t>
      </w:r>
      <w:r w:rsidR="005853A9">
        <w:rPr>
          <w:kern w:val="0"/>
        </w:rPr>
        <w:t xml:space="preserve"> and </w:t>
      </w:r>
      <w:r>
        <w:rPr>
          <w:kern w:val="0"/>
        </w:rPr>
        <w:t>Chiu, Y.J. (2013), The impact</w:t>
      </w:r>
      <w:r w:rsidR="00427468">
        <w:rPr>
          <w:kern w:val="0"/>
        </w:rPr>
        <w:t xml:space="preserve"> of </w:t>
      </w:r>
      <w:r w:rsidR="00D5664A">
        <w:rPr>
          <w:kern w:val="0"/>
        </w:rPr>
        <w:t>SSCI</w:t>
      </w:r>
      <w:r w:rsidR="005853A9">
        <w:rPr>
          <w:kern w:val="0"/>
        </w:rPr>
        <w:t xml:space="preserve"> and </w:t>
      </w:r>
      <w:r>
        <w:rPr>
          <w:kern w:val="0"/>
        </w:rPr>
        <w:t>SCI on Taiwan</w:t>
      </w:r>
      <w:r w:rsidR="00700038">
        <w:rPr>
          <w:kern w:val="0"/>
        </w:rPr>
        <w:t>’</w:t>
      </w:r>
      <w:r>
        <w:rPr>
          <w:kern w:val="0"/>
        </w:rPr>
        <w:t xml:space="preserve">s academy: An outcry for fair play. </w:t>
      </w:r>
      <w:r>
        <w:rPr>
          <w:i/>
          <w:iCs/>
          <w:kern w:val="0"/>
        </w:rPr>
        <w:t>Asia Pacific Education Review</w:t>
      </w:r>
      <w:r>
        <w:rPr>
          <w:kern w:val="0"/>
        </w:rPr>
        <w:t xml:space="preserve">, </w:t>
      </w:r>
      <w:r>
        <w:rPr>
          <w:b/>
          <w:bCs/>
          <w:kern w:val="0"/>
        </w:rPr>
        <w:t>14</w:t>
      </w:r>
      <w:r>
        <w:rPr>
          <w:kern w:val="0"/>
        </w:rPr>
        <w:t xml:space="preserve"> (1), 23-31.</w:t>
      </w:r>
    </w:p>
    <w:p w:rsidR="009A7E0B" w:rsidRPr="00F219CA" w:rsidRDefault="009A7E0B" w:rsidP="009A7E0B">
      <w:pPr>
        <w:pStyle w:val="a3"/>
      </w:pPr>
      <w:r w:rsidRPr="00F219CA">
        <w:t xml:space="preserve">Full Text: </w:t>
      </w:r>
      <w:hyperlink r:id="rId1245" w:history="1">
        <w:r w:rsidRPr="00973599">
          <w:rPr>
            <w:rStyle w:val="a5"/>
          </w:rPr>
          <w:t>2013\Asi Pac Edu Rev14, 23.pdf</w:t>
        </w:r>
      </w:hyperlink>
    </w:p>
    <w:p w:rsidR="009A7E0B" w:rsidRDefault="009A7E0B" w:rsidP="009A7E0B">
      <w:pPr>
        <w:pStyle w:val="a3"/>
        <w:rPr>
          <w:kern w:val="0"/>
        </w:rPr>
      </w:pPr>
      <w:r>
        <w:rPr>
          <w:kern w:val="0"/>
        </w:rPr>
        <w:t>Abstract: The increasing importance</w:t>
      </w:r>
      <w:r w:rsidR="00427468">
        <w:rPr>
          <w:kern w:val="0"/>
        </w:rPr>
        <w:t xml:space="preserve"> of </w:t>
      </w:r>
      <w:r>
        <w:rPr>
          <w:kern w:val="0"/>
        </w:rPr>
        <w:t>the competition in global university ranking has resulted in a paradigm shift in academic governance in East Asia. Many governments have introduced different strategies for benchmarking their leading universities to facilitate global competitiveness</w:t>
      </w:r>
      <w:r w:rsidR="005853A9">
        <w:rPr>
          <w:kern w:val="0"/>
        </w:rPr>
        <w:t xml:space="preserve"> and </w:t>
      </w:r>
      <w:r>
        <w:rPr>
          <w:kern w:val="0"/>
        </w:rPr>
        <w:t>international visibility. A major trend in the changing university governance is the emergence</w:t>
      </w:r>
      <w:r w:rsidR="00427468">
        <w:rPr>
          <w:kern w:val="0"/>
        </w:rPr>
        <w:t xml:space="preserve"> of </w:t>
      </w:r>
      <w:r>
        <w:rPr>
          <w:kern w:val="0"/>
        </w:rPr>
        <w:t>a regulatory evaluation scheme for faculty research productivity, reflected by the striking features</w:t>
      </w:r>
      <w:r w:rsidR="00427468">
        <w:rPr>
          <w:kern w:val="0"/>
        </w:rPr>
        <w:t xml:space="preserve"> of </w:t>
      </w:r>
      <w:r>
        <w:rPr>
          <w:kern w:val="0"/>
        </w:rPr>
        <w:t>the recent changing academic profile</w:t>
      </w:r>
      <w:r w:rsidR="00427468">
        <w:rPr>
          <w:kern w:val="0"/>
        </w:rPr>
        <w:t xml:space="preserve"> of </w:t>
      </w:r>
      <w:r>
        <w:rPr>
          <w:kern w:val="0"/>
        </w:rPr>
        <w:t>publication norms</w:t>
      </w:r>
      <w:r w:rsidR="005853A9">
        <w:rPr>
          <w:kern w:val="0"/>
        </w:rPr>
        <w:t xml:space="preserve"> and </w:t>
      </w:r>
      <w:r>
        <w:rPr>
          <w:kern w:val="0"/>
        </w:rPr>
        <w:t>forms that go beyond the territories</w:t>
      </w:r>
      <w:r w:rsidR="00427468">
        <w:rPr>
          <w:kern w:val="0"/>
        </w:rPr>
        <w:t xml:space="preserve"> of </w:t>
      </w:r>
      <w:r>
        <w:rPr>
          <w:kern w:val="0"/>
        </w:rPr>
        <w:t>nation-states in the East</w:t>
      </w:r>
      <w:r w:rsidR="005853A9">
        <w:rPr>
          <w:kern w:val="0"/>
        </w:rPr>
        <w:t xml:space="preserve"> and </w:t>
      </w:r>
      <w:r>
        <w:rPr>
          <w:kern w:val="0"/>
        </w:rPr>
        <w:t>West. With the expansion</w:t>
      </w:r>
      <w:r w:rsidR="00427468">
        <w:rPr>
          <w:kern w:val="0"/>
        </w:rPr>
        <w:t xml:space="preserve"> of </w:t>
      </w:r>
      <w:r>
        <w:rPr>
          <w:kern w:val="0"/>
        </w:rPr>
        <w:t>the Taiwanese higher education system in the last two decades, the maintenance</w:t>
      </w:r>
      <w:r w:rsidR="00427468">
        <w:rPr>
          <w:kern w:val="0"/>
        </w:rPr>
        <w:t xml:space="preserve"> of </w:t>
      </w:r>
      <w:r>
        <w:rPr>
          <w:kern w:val="0"/>
        </w:rPr>
        <w:t xml:space="preserve">quality to meet the requirements for international competitiveness has become a key concern for </w:t>
      </w:r>
      <w:r>
        <w:rPr>
          <w:kern w:val="0"/>
        </w:rPr>
        <w:lastRenderedPageBreak/>
        <w:t>policy makers. Since 2005, the Ministry</w:t>
      </w:r>
      <w:r w:rsidR="00427468">
        <w:rPr>
          <w:kern w:val="0"/>
        </w:rPr>
        <w:t xml:space="preserve"> of </w:t>
      </w:r>
      <w:r>
        <w:rPr>
          <w:kern w:val="0"/>
        </w:rPr>
        <w:t>Education has introduced a series</w:t>
      </w:r>
      <w:r w:rsidR="00427468">
        <w:rPr>
          <w:kern w:val="0"/>
        </w:rPr>
        <w:t xml:space="preserve"> of </w:t>
      </w:r>
      <w:r>
        <w:rPr>
          <w:kern w:val="0"/>
        </w:rPr>
        <w:t>university governance policies to enhance academic excellence in universities</w:t>
      </w:r>
      <w:r w:rsidR="005853A9">
        <w:rPr>
          <w:kern w:val="0"/>
        </w:rPr>
        <w:t xml:space="preserve"> and </w:t>
      </w:r>
      <w:r>
        <w:rPr>
          <w:kern w:val="0"/>
        </w:rPr>
        <w:t>established a formal university evaluation policy to improve the competitiveness</w:t>
      </w:r>
      <w:r w:rsidR="005853A9">
        <w:rPr>
          <w:kern w:val="0"/>
        </w:rPr>
        <w:t xml:space="preserve"> and </w:t>
      </w:r>
      <w:r>
        <w:rPr>
          <w:kern w:val="0"/>
        </w:rPr>
        <w:t>international visibility</w:t>
      </w:r>
      <w:r w:rsidR="00427468">
        <w:rPr>
          <w:kern w:val="0"/>
        </w:rPr>
        <w:t xml:space="preserve"> of </w:t>
      </w:r>
      <w:r>
        <w:rPr>
          <w:kern w:val="0"/>
        </w:rPr>
        <w:t>Taiwanese universities. In so doing, the government has legalized a clear link between evaluation results</w:t>
      </w:r>
      <w:r w:rsidR="005853A9">
        <w:rPr>
          <w:kern w:val="0"/>
        </w:rPr>
        <w:t xml:space="preserve"> and </w:t>
      </w:r>
      <w:r>
        <w:rPr>
          <w:kern w:val="0"/>
        </w:rPr>
        <w:t>public funding allocation. Research performance is assessed in terms</w:t>
      </w:r>
      <w:r w:rsidR="00427468">
        <w:rPr>
          <w:kern w:val="0"/>
        </w:rPr>
        <w:t xml:space="preserve"> of </w:t>
      </w:r>
      <w:r>
        <w:rPr>
          <w:kern w:val="0"/>
        </w:rPr>
        <w:t>the number</w:t>
      </w:r>
      <w:r w:rsidR="00427468">
        <w:rPr>
          <w:kern w:val="0"/>
        </w:rPr>
        <w:t xml:space="preserve"> of </w:t>
      </w:r>
      <w:r>
        <w:rPr>
          <w:kern w:val="0"/>
        </w:rPr>
        <w:t>articles published in journals indexed by the Science Citation Index (SCI), the Social Science Citation Index (</w:t>
      </w:r>
      <w:r w:rsidR="00D5664A">
        <w:rPr>
          <w:kern w:val="0"/>
        </w:rPr>
        <w:t>SSCI</w:t>
      </w:r>
      <w:r>
        <w:rPr>
          <w:kern w:val="0"/>
        </w:rPr>
        <w:t>),</w:t>
      </w:r>
      <w:r w:rsidR="005853A9">
        <w:rPr>
          <w:kern w:val="0"/>
        </w:rPr>
        <w:t xml:space="preserve"> and </w:t>
      </w:r>
      <w:r>
        <w:rPr>
          <w:kern w:val="0"/>
        </w:rPr>
        <w:t>the Arts</w:t>
      </w:r>
      <w:r w:rsidR="005853A9">
        <w:rPr>
          <w:kern w:val="0"/>
        </w:rPr>
        <w:t xml:space="preserve"> and </w:t>
      </w:r>
      <w:r>
        <w:rPr>
          <w:kern w:val="0"/>
        </w:rPr>
        <w:t>Humanities Citation Index</w:t>
      </w:r>
      <w:r w:rsidR="005853A9">
        <w:rPr>
          <w:kern w:val="0"/>
        </w:rPr>
        <w:t xml:space="preserve"> and </w:t>
      </w:r>
      <w:r>
        <w:rPr>
          <w:kern w:val="0"/>
        </w:rPr>
        <w:t>in terms</w:t>
      </w:r>
      <w:r w:rsidR="00427468">
        <w:rPr>
          <w:kern w:val="0"/>
        </w:rPr>
        <w:t xml:space="preserve"> of </w:t>
      </w:r>
      <w:r>
        <w:rPr>
          <w:kern w:val="0"/>
        </w:rPr>
        <w:t>citation rates</w:t>
      </w:r>
      <w:r w:rsidR="005853A9">
        <w:rPr>
          <w:kern w:val="0"/>
        </w:rPr>
        <w:t xml:space="preserve"> and </w:t>
      </w:r>
      <w:r>
        <w:rPr>
          <w:kern w:val="0"/>
        </w:rPr>
        <w:t>associated factors</w:t>
      </w:r>
      <w:r w:rsidR="00A37C1D">
        <w:rPr>
          <w:kern w:val="0"/>
        </w:rPr>
        <w:t>. The</w:t>
      </w:r>
      <w:r>
        <w:rPr>
          <w:kern w:val="0"/>
        </w:rPr>
        <w:t>refore, evaluation has taken on a highly quantitative dimension. Despite the efforts</w:t>
      </w:r>
      <w:r w:rsidR="00427468">
        <w:rPr>
          <w:kern w:val="0"/>
        </w:rPr>
        <w:t xml:space="preserve"> of </w:t>
      </w:r>
      <w:r>
        <w:rPr>
          <w:kern w:val="0"/>
        </w:rPr>
        <w:t>concerned parties to encourage academic excellence, the abovementioned quantitative evaluation indicators have resulted in bitter complaints from the humanities</w:t>
      </w:r>
      <w:r w:rsidR="005853A9">
        <w:rPr>
          <w:kern w:val="0"/>
        </w:rPr>
        <w:t xml:space="preserve"> and </w:t>
      </w:r>
      <w:r>
        <w:rPr>
          <w:kern w:val="0"/>
        </w:rPr>
        <w:t>social sciences, whose research accomplishments are devalued</w:t>
      </w:r>
      <w:r w:rsidR="005853A9">
        <w:rPr>
          <w:kern w:val="0"/>
        </w:rPr>
        <w:t xml:space="preserve"> and </w:t>
      </w:r>
      <w:r>
        <w:rPr>
          <w:kern w:val="0"/>
        </w:rPr>
        <w:t>ignored by the current quantitative indicators. In this paper, the authors describe the recent petition for collective action initiated by university faculty to protest the privileging</w:t>
      </w:r>
      <w:r w:rsidR="00427468">
        <w:rPr>
          <w:kern w:val="0"/>
        </w:rPr>
        <w:t xml:space="preserve"> of </w:t>
      </w:r>
      <w:r w:rsidR="00D5664A">
        <w:rPr>
          <w:kern w:val="0"/>
        </w:rPr>
        <w:t>SSCI</w:t>
      </w:r>
      <w:r w:rsidR="005853A9">
        <w:rPr>
          <w:kern w:val="0"/>
        </w:rPr>
        <w:t xml:space="preserve"> and </w:t>
      </w:r>
      <w:r>
        <w:rPr>
          <w:kern w:val="0"/>
        </w:rPr>
        <w:t>SCI publications as critical indicators for academic performance regardless</w:t>
      </w:r>
      <w:r w:rsidR="00427468">
        <w:rPr>
          <w:kern w:val="0"/>
        </w:rPr>
        <w:t xml:space="preserve"> of </w:t>
      </w:r>
      <w:r>
        <w:rPr>
          <w:kern w:val="0"/>
        </w:rPr>
        <w:t>faculty discipline</w:t>
      </w:r>
      <w:r w:rsidR="005853A9">
        <w:rPr>
          <w:kern w:val="0"/>
        </w:rPr>
        <w:t xml:space="preserve"> and </w:t>
      </w:r>
      <w:r>
        <w:rPr>
          <w:kern w:val="0"/>
        </w:rPr>
        <w:t>specialization</w:t>
      </w:r>
      <w:r w:rsidR="00A37C1D">
        <w:rPr>
          <w:kern w:val="0"/>
        </w:rPr>
        <w:t>. The</w:t>
      </w:r>
      <w:r>
        <w:rPr>
          <w:kern w:val="0"/>
        </w:rPr>
        <w:t xml:space="preserve"> article concludes its argument with a group petition calling for more diverse</w:t>
      </w:r>
      <w:r w:rsidR="005853A9">
        <w:rPr>
          <w:kern w:val="0"/>
        </w:rPr>
        <w:t xml:space="preserve"> and </w:t>
      </w:r>
      <w:r>
        <w:rPr>
          <w:kern w:val="0"/>
        </w:rPr>
        <w:t>reliable indicators in recognizing the research</w:t>
      </w:r>
      <w:r w:rsidR="00427468">
        <w:rPr>
          <w:kern w:val="0"/>
        </w:rPr>
        <w:t xml:space="preserve"> of </w:t>
      </w:r>
      <w:r>
        <w:rPr>
          <w:kern w:val="0"/>
        </w:rPr>
        <w:t>different natures</w:t>
      </w:r>
      <w:r w:rsidR="005853A9">
        <w:rPr>
          <w:kern w:val="0"/>
        </w:rPr>
        <w:t xml:space="preserve"> and </w:t>
      </w:r>
      <w:r>
        <w:rPr>
          <w:kern w:val="0"/>
        </w:rPr>
        <w:t>disciplines while creating culturally responsive evaluation criteria for social sciences</w:t>
      </w:r>
      <w:r w:rsidR="005853A9">
        <w:rPr>
          <w:kern w:val="0"/>
        </w:rPr>
        <w:t xml:space="preserve"> and </w:t>
      </w:r>
      <w:r>
        <w:rPr>
          <w:kern w:val="0"/>
        </w:rPr>
        <w:t>humanities in the Taiwanese academe</w:t>
      </w:r>
      <w:r w:rsidR="00A37C1D">
        <w:rPr>
          <w:kern w:val="0"/>
        </w:rPr>
        <w:t>. The</w:t>
      </w:r>
      <w:r>
        <w:rPr>
          <w:kern w:val="0"/>
        </w:rPr>
        <w:t xml:space="preserve"> article not only sheds light on academic evaluation literature, especially on the uncertain paradox</w:t>
      </w:r>
      <w:r w:rsidR="00427468">
        <w:rPr>
          <w:kern w:val="0"/>
        </w:rPr>
        <w:t xml:space="preserve"> of </w:t>
      </w:r>
      <w:r>
        <w:rPr>
          <w:kern w:val="0"/>
        </w:rPr>
        <w:t>globalization</w:t>
      </w:r>
      <w:r w:rsidR="005853A9">
        <w:rPr>
          <w:kern w:val="0"/>
        </w:rPr>
        <w:t xml:space="preserve"> and </w:t>
      </w:r>
      <w:r>
        <w:rPr>
          <w:kern w:val="0"/>
        </w:rPr>
        <w:t>market economy, but also proposes alternatives to the evaluation system for humanities</w:t>
      </w:r>
      <w:r w:rsidR="005853A9">
        <w:rPr>
          <w:kern w:val="0"/>
        </w:rPr>
        <w:t xml:space="preserve"> and </w:t>
      </w:r>
      <w:r>
        <w:rPr>
          <w:kern w:val="0"/>
        </w:rPr>
        <w:t>social sciences in higher education.</w:t>
      </w:r>
    </w:p>
    <w:p w:rsidR="009A7E0B" w:rsidRDefault="009A7E0B" w:rsidP="009A7E0B">
      <w:pPr>
        <w:pStyle w:val="a3"/>
        <w:rPr>
          <w:kern w:val="0"/>
        </w:rPr>
      </w:pPr>
      <w:r>
        <w:rPr>
          <w:kern w:val="0"/>
        </w:rPr>
        <w:t>Keywords: Academic Evaluation, Allocation, Alternatives, Arts</w:t>
      </w:r>
      <w:r w:rsidR="005853A9">
        <w:rPr>
          <w:kern w:val="0"/>
        </w:rPr>
        <w:t xml:space="preserve"> and </w:t>
      </w:r>
      <w:r>
        <w:rPr>
          <w:kern w:val="0"/>
        </w:rPr>
        <w:t>Humanities Citation Index, Asia, Associated Factors, Authors, Benchmarking, Citation, Citation Rates, Competition, Criteria, Economy, Education, Evaluation, Faculty, Forms, Funding, Global, Globalization, Globalization, Governance, Higher Education, Higher-Education, Humanities, Impact, Indicators, International, Journals, Literature, Mar, Market, Market Economy, Neo-Liberalism, Norms, Paradigm, Performance, Policies, Policy, Productivity, Public, Publication, Publications, Quality, Ranking, Rates, Recent, Research, Research Performance, Research Productivity</w:t>
      </w:r>
      <w:r w:rsidR="00D5664A">
        <w:rPr>
          <w:kern w:val="0"/>
        </w:rPr>
        <w:t>, SCI,</w:t>
      </w:r>
      <w:r>
        <w:rPr>
          <w:kern w:val="0"/>
        </w:rPr>
        <w:t xml:space="preserve"> Science, Science Citation Index, Sciences, SI, Social, Social Science Citation Index, Social Sciences, </w:t>
      </w:r>
      <w:r w:rsidR="00D5664A">
        <w:rPr>
          <w:kern w:val="0"/>
        </w:rPr>
        <w:t>SSCI</w:t>
      </w:r>
      <w:r>
        <w:rPr>
          <w:kern w:val="0"/>
        </w:rPr>
        <w:t>, Territories, Trend, Universities, University, University Ranking, Visibility</w:t>
      </w:r>
    </w:p>
    <w:p w:rsidR="009C57A2" w:rsidRDefault="009C57A2" w:rsidP="009C57A2">
      <w:pPr>
        <w:pStyle w:val="a3"/>
        <w:rPr>
          <w:kern w:val="0"/>
        </w:rPr>
      </w:pPr>
      <w:r>
        <w:rPr>
          <w:rFonts w:hint="eastAsia"/>
          <w:kern w:val="0"/>
        </w:rPr>
        <w:t xml:space="preserve">? </w:t>
      </w:r>
      <w:r>
        <w:rPr>
          <w:kern w:val="0"/>
        </w:rPr>
        <w:t xml:space="preserve">Jeong, D.W., Lee, H.J., Lee, S.H. and Wi, E. (2014), Shaping education policy research in an Asia-Pacific context. </w:t>
      </w:r>
      <w:r>
        <w:rPr>
          <w:i/>
          <w:iCs/>
          <w:kern w:val="0"/>
        </w:rPr>
        <w:t>Asia Pacific Education Review</w:t>
      </w:r>
      <w:r>
        <w:rPr>
          <w:kern w:val="0"/>
        </w:rPr>
        <w:t xml:space="preserve">, </w:t>
      </w:r>
      <w:r>
        <w:rPr>
          <w:b/>
          <w:bCs/>
          <w:kern w:val="0"/>
        </w:rPr>
        <w:t>15</w:t>
      </w:r>
      <w:r>
        <w:rPr>
          <w:kern w:val="0"/>
        </w:rPr>
        <w:t xml:space="preserve"> (3), 367-380.</w:t>
      </w:r>
    </w:p>
    <w:p w:rsidR="009C57A2" w:rsidRPr="00F219CA" w:rsidRDefault="009C57A2" w:rsidP="009C57A2">
      <w:pPr>
        <w:pStyle w:val="a3"/>
      </w:pPr>
      <w:r w:rsidRPr="00F219CA">
        <w:t xml:space="preserve">Full Text: </w:t>
      </w:r>
      <w:hyperlink r:id="rId1246" w:history="1">
        <w:r w:rsidRPr="004E60EF">
          <w:rPr>
            <w:rStyle w:val="a5"/>
          </w:rPr>
          <w:t>2014\Asi Pac Edu Rev15, 367.pdf</w:t>
        </w:r>
      </w:hyperlink>
    </w:p>
    <w:p w:rsidR="009C57A2" w:rsidRDefault="009C57A2" w:rsidP="009C57A2">
      <w:pPr>
        <w:pStyle w:val="a3"/>
        <w:rPr>
          <w:kern w:val="0"/>
        </w:rPr>
      </w:pPr>
      <w:r>
        <w:rPr>
          <w:kern w:val="0"/>
        </w:rPr>
        <w:t xml:space="preserve">Abstract: Globalization increasingly calls for comparing educational policies across countries. In this study, we assemble and analyze academic journal publications of </w:t>
      </w:r>
      <w:r>
        <w:rPr>
          <w:kern w:val="0"/>
        </w:rPr>
        <w:lastRenderedPageBreak/>
        <w:t>the past decade in order to shape education policy research within an Asia-Pacific context. After examining Asia-Pacific research publication data from the Web of Science, we find a few stylized facts: (1) increasing research collaboration, (2) growing policy evaluation research, (3) swelling empirical research with quantitative methodology and (4) growing attention to higher education. Moreover, education stakeholders show exclusive interest on globalization, private tutoring, and language education policies within and across countries. Finally, we find a significant difference in research impact and diffusion between Asia-Pacific and American education policy studies. Further, we examine what determines research impact and diffusion. Our results indicate that research collaboration, national context, publication year and issue, policy area, and research methodology are significantly associated with publication citations. Based on the findings, we suggest useful implications for future directions on education policy research in an Asia-Pacific context.</w:t>
      </w:r>
    </w:p>
    <w:p w:rsidR="009C57A2" w:rsidRDefault="009C57A2" w:rsidP="009C57A2">
      <w:pPr>
        <w:pStyle w:val="a3"/>
        <w:rPr>
          <w:kern w:val="0"/>
        </w:rPr>
      </w:pPr>
      <w:r>
        <w:rPr>
          <w:kern w:val="0"/>
        </w:rPr>
        <w:t>Keywords: Asia Pacific, Asia Pacific Education Review, Attention, Citations, Collaboration, Context, Data, Diffusion, Education, Education Policy Research, Empirical Research, Evaluation, Globalization, Higher Education, Hong-Kong, Impact, Journal, Journal Publications, Language, Management, Methodology, Policies, Policy, Policy Research, Professional-Development, Programs, Publication, Publications, Reform, Research, Research Collaboration, Research Impact, Research Impact And Diffusion, Schools, Science, Shadow Education, Si, Stakeholders, Student-Achievement, Swelling, Teacher-Education, Web Of Science</w:t>
      </w:r>
    </w:p>
    <w:p w:rsidR="003474F2" w:rsidRPr="001A3D2B" w:rsidRDefault="003474F2" w:rsidP="003474F2">
      <w:pPr>
        <w:pStyle w:val="1"/>
      </w:pPr>
      <w:r w:rsidRPr="001A3D2B">
        <w:br w:type="page"/>
      </w:r>
      <w:bookmarkStart w:id="633" w:name="_Toc420814617"/>
      <w:r w:rsidRPr="001A3D2B">
        <w:lastRenderedPageBreak/>
        <w:t>Title: Asia Pacific Journal</w:t>
      </w:r>
      <w:r w:rsidR="00427468">
        <w:t xml:space="preserve"> of </w:t>
      </w:r>
      <w:r w:rsidRPr="001A3D2B">
        <w:t>Clinical Nutrition</w:t>
      </w:r>
      <w:bookmarkEnd w:id="633"/>
    </w:p>
    <w:p w:rsidR="003474F2" w:rsidRPr="001A3D2B" w:rsidRDefault="003474F2" w:rsidP="003474F2">
      <w:pPr>
        <w:pStyle w:val="12"/>
      </w:pPr>
      <w:r w:rsidRPr="001A3D2B">
        <w:t xml:space="preserve">Full Journal Title: </w:t>
      </w:r>
      <w:hyperlink r:id="rId1247" w:history="1">
        <w:r w:rsidRPr="001A3D2B">
          <w:rPr>
            <w:rStyle w:val="a5"/>
          </w:rPr>
          <w:t>Asia Pacific Journal</w:t>
        </w:r>
        <w:r w:rsidR="00427468">
          <w:rPr>
            <w:rStyle w:val="a5"/>
          </w:rPr>
          <w:t xml:space="preserve"> of </w:t>
        </w:r>
        <w:r w:rsidRPr="001A3D2B">
          <w:rPr>
            <w:rStyle w:val="a5"/>
          </w:rPr>
          <w:t>Clinical Nutrition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0964-7058</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a3"/>
      </w:pPr>
      <w:r w:rsidRPr="001A3D2B">
        <w:t>? Lee, Y.Y., Tsou, C.S., Lin, H.C., Ien, C.H.</w:t>
      </w:r>
      <w:r w:rsidR="005853A9">
        <w:t xml:space="preserve"> and </w:t>
      </w:r>
      <w:r w:rsidRPr="001A3D2B">
        <w:t>Wu, Y.T. (2008), Global perspective</w:t>
      </w:r>
      <w:r w:rsidR="00427468">
        <w:t xml:space="preserve"> of </w:t>
      </w:r>
      <w:r w:rsidRPr="001A3D2B">
        <w:t>health related edible plants from</w:t>
      </w:r>
      <w:r w:rsidR="003A1917">
        <w:t xml:space="preserve"> the </w:t>
      </w:r>
      <w:r w:rsidRPr="001A3D2B">
        <w:t>agricultural point</w:t>
      </w:r>
      <w:r w:rsidR="00427468">
        <w:t xml:space="preserve"> of </w:t>
      </w:r>
      <w:r w:rsidRPr="001A3D2B">
        <w:t xml:space="preserve">view. </w:t>
      </w:r>
      <w:r w:rsidRPr="001A3D2B">
        <w:rPr>
          <w:i/>
          <w:iCs/>
        </w:rPr>
        <w:t>Asia Pacific Journal</w:t>
      </w:r>
      <w:r w:rsidR="00427468">
        <w:rPr>
          <w:i/>
          <w:iCs/>
        </w:rPr>
        <w:t xml:space="preserve"> of </w:t>
      </w:r>
      <w:r w:rsidRPr="001A3D2B">
        <w:rPr>
          <w:i/>
          <w:iCs/>
        </w:rPr>
        <w:t>Clinical Nutrition</w:t>
      </w:r>
      <w:r w:rsidRPr="001A3D2B">
        <w:t xml:space="preserve">, </w:t>
      </w:r>
      <w:r w:rsidRPr="001A3D2B">
        <w:rPr>
          <w:b/>
          <w:bCs/>
        </w:rPr>
        <w:t>17</w:t>
      </w:r>
      <w:r w:rsidRPr="001A3D2B">
        <w:t>, 95-98.</w:t>
      </w:r>
    </w:p>
    <w:p w:rsidR="005E2833" w:rsidRPr="001A3D2B" w:rsidRDefault="005E2833" w:rsidP="005E2833">
      <w:pPr>
        <w:pStyle w:val="a3"/>
      </w:pPr>
      <w:r w:rsidRPr="001A3D2B">
        <w:t xml:space="preserve">Full Text: </w:t>
      </w:r>
      <w:hyperlink r:id="rId1248" w:history="1">
        <w:r w:rsidRPr="001A3D2B">
          <w:rPr>
            <w:rStyle w:val="a5"/>
          </w:rPr>
          <w:t>2008\Asi Pac J Cli Nut17, 95.pdf</w:t>
        </w:r>
      </w:hyperlink>
    </w:p>
    <w:p w:rsidR="003474F2" w:rsidRPr="001A3D2B" w:rsidRDefault="003474F2" w:rsidP="003474F2">
      <w:pPr>
        <w:pStyle w:val="a3"/>
      </w:pPr>
      <w:r w:rsidRPr="001A3D2B">
        <w:t>Abstract: In knowledge-based economics, nutrition concepts evolve with advances in agriculture. As people around</w:t>
      </w:r>
      <w:r w:rsidR="003A1917">
        <w:t xml:space="preserve"> the </w:t>
      </w:r>
      <w:r w:rsidRPr="001A3D2B">
        <w:t>world become more health conscious, national health becomes one</w:t>
      </w:r>
      <w:r w:rsidR="00427468">
        <w:t xml:space="preserve"> of </w:t>
      </w:r>
      <w:r w:rsidR="003A1917">
        <w:t xml:space="preserve">the </w:t>
      </w:r>
      <w:r w:rsidRPr="001A3D2B">
        <w:t>main directives for agricultural policies, including that</w:t>
      </w:r>
      <w:r w:rsidR="00427468">
        <w:t xml:space="preserve"> of </w:t>
      </w:r>
      <w:r w:rsidRPr="001A3D2B">
        <w:t>functional foods</w:t>
      </w:r>
      <w:r w:rsidR="005853A9">
        <w:t xml:space="preserve"> and </w:t>
      </w:r>
      <w:r w:rsidRPr="001A3D2B">
        <w:t>their global markets. This article evaluates</w:t>
      </w:r>
      <w:r w:rsidR="003A1917">
        <w:t xml:space="preserve"> the </w:t>
      </w:r>
      <w:r w:rsidRPr="001A3D2B">
        <w:t>development</w:t>
      </w:r>
      <w:r w:rsidR="00427468">
        <w:t xml:space="preserve"> of </w:t>
      </w:r>
      <w:r w:rsidR="003A1917">
        <w:t xml:space="preserve">the </w:t>
      </w:r>
      <w:r w:rsidRPr="001A3D2B">
        <w:t>functional food industry in Taiwan</w:t>
      </w:r>
      <w:r w:rsidR="005853A9">
        <w:t xml:space="preserve"> and </w:t>
      </w:r>
      <w:r w:rsidRPr="001A3D2B">
        <w:t>other countries through analysis</w:t>
      </w:r>
      <w:r w:rsidR="00427468">
        <w:t xml:space="preserve"> of </w:t>
      </w:r>
      <w:r w:rsidRPr="001A3D2B">
        <w:t>R&amp;D capacity</w:t>
      </w:r>
      <w:r w:rsidR="005853A9">
        <w:t xml:space="preserve"> and </w:t>
      </w:r>
      <w:r w:rsidRPr="001A3D2B">
        <w:t>bibliometrics. It attempts to identify future trends in nutrition with technology foresight research. Taiwan has a wide variety</w:t>
      </w:r>
      <w:r w:rsidR="00427468">
        <w:t xml:space="preserve"> of </w:t>
      </w:r>
      <w:r w:rsidRPr="001A3D2B">
        <w:t>indigenous herbal plants, although its functional food related literature is not large compared with some other Asian countries. However, there are quality papers on</w:t>
      </w:r>
      <w:r w:rsidR="003A1917">
        <w:t xml:space="preserve"> the </w:t>
      </w:r>
      <w:r w:rsidRPr="001A3D2B">
        <w:t>immunologic functions</w:t>
      </w:r>
      <w:r w:rsidR="00427468">
        <w:t xml:space="preserve"> of </w:t>
      </w:r>
      <w:r w:rsidRPr="001A3D2B">
        <w:t>edible plants Globally there is much interest in edible plants with antioxidant activity</w:t>
      </w:r>
      <w:r w:rsidR="005853A9">
        <w:t xml:space="preserve"> and </w:t>
      </w:r>
      <w:r w:rsidRPr="001A3D2B">
        <w:t>those phyto-nutrients which might help reduce</w:t>
      </w:r>
      <w:r w:rsidR="003A1917">
        <w:t xml:space="preserve"> the </w:t>
      </w:r>
      <w:r w:rsidRPr="001A3D2B">
        <w:t>burden</w:t>
      </w:r>
      <w:r w:rsidR="00427468">
        <w:t xml:space="preserve"> of </w:t>
      </w:r>
      <w:r w:rsidRPr="001A3D2B">
        <w:t>chronic illness as well as in</w:t>
      </w:r>
      <w:r w:rsidR="003A1917">
        <w:t xml:space="preserve"> the </w:t>
      </w:r>
      <w:r w:rsidRPr="001A3D2B">
        <w:t>nutrigenomics that will lead to</w:t>
      </w:r>
      <w:r w:rsidR="003A1917">
        <w:t xml:space="preserve"> the </w:t>
      </w:r>
      <w:r w:rsidRPr="001A3D2B">
        <w:t>design</w:t>
      </w:r>
      <w:r w:rsidR="00427468">
        <w:t xml:space="preserve"> of </w:t>
      </w:r>
      <w:r w:rsidRPr="001A3D2B">
        <w:t>foods with these properties. To make</w:t>
      </w:r>
      <w:r w:rsidR="003A1917">
        <w:t xml:space="preserve"> the </w:t>
      </w:r>
      <w:r w:rsidRPr="001A3D2B">
        <w:t>most</w:t>
      </w:r>
      <w:r w:rsidR="00427468">
        <w:t xml:space="preserve"> of </w:t>
      </w:r>
      <w:r w:rsidRPr="001A3D2B">
        <w:t>available agricultural resources, countries like Taiwan should relate agricultural development to</w:t>
      </w:r>
      <w:r w:rsidR="003A1917">
        <w:t xml:space="preserve"> the </w:t>
      </w:r>
      <w:r w:rsidRPr="001A3D2B">
        <w:t>nutritional status</w:t>
      </w:r>
      <w:r w:rsidR="00427468">
        <w:t xml:space="preserve"> of </w:t>
      </w:r>
      <w:r w:rsidRPr="001A3D2B">
        <w:t>their populations. This strategy will add significant value to global agriculture.</w:t>
      </w:r>
    </w:p>
    <w:p w:rsidR="002377CD" w:rsidRPr="001A3D2B" w:rsidRDefault="002377CD" w:rsidP="002377CD">
      <w:pPr>
        <w:pStyle w:val="a3"/>
        <w:rPr>
          <w:kern w:val="0"/>
        </w:rPr>
      </w:pPr>
      <w:r w:rsidRPr="001A3D2B">
        <w:rPr>
          <w:kern w:val="0"/>
        </w:rPr>
        <w:t xml:space="preserve">Keywords: Activity, Advances, Agricultural, Agriculture, Analysis, Antioxidant, Asian, Bibliometrics, Burden, Capacity, Chronic, Chronic Illness, Claims, Consumer, Design, Development, Disease, Economics, Edible Plants, Food, Food Industry, Foods, Foresight, Functional Food, Functions, Global Trend, Health, Illness, Indigenous, Industry, Knowledge-Based, Lead, Literature, Markets, National, Nutrition, Nutritional Status, Papers, Plants, Policies, Populations, Quality, R&amp;D, R&amp;D Capacity, Research, Research Front, Resources, Status, Strategy, Taiwan, </w:t>
      </w:r>
      <w:r w:rsidRPr="001A3D2B">
        <w:rPr>
          <w:kern w:val="0"/>
        </w:rPr>
        <w:lastRenderedPageBreak/>
        <w:t>Technology, Technology Foresight, Trends, Value, World</w:t>
      </w:r>
    </w:p>
    <w:p w:rsidR="00445DA2" w:rsidRDefault="00445DA2" w:rsidP="00445DA2">
      <w:pPr>
        <w:pStyle w:val="a3"/>
        <w:rPr>
          <w:kern w:val="0"/>
        </w:rPr>
      </w:pPr>
      <w:r>
        <w:rPr>
          <w:rFonts w:hint="eastAsia"/>
          <w:kern w:val="0"/>
        </w:rPr>
        <w:t xml:space="preserve">? </w:t>
      </w:r>
      <w:r>
        <w:rPr>
          <w:kern w:val="0"/>
        </w:rPr>
        <w:t xml:space="preserve">Kang, K., Shu, X.L., Zhong, J.X., Yu, T.T. and Lei, T. (2014), Effect of L-arginine on immune function: A meta-analysis. </w:t>
      </w:r>
      <w:r>
        <w:rPr>
          <w:i/>
          <w:iCs/>
          <w:kern w:val="0"/>
        </w:rPr>
        <w:t>Asia Pacific Journal of Clinical Nutrition</w:t>
      </w:r>
      <w:r>
        <w:rPr>
          <w:kern w:val="0"/>
        </w:rPr>
        <w:t xml:space="preserve">, </w:t>
      </w:r>
      <w:r>
        <w:rPr>
          <w:b/>
          <w:bCs/>
          <w:kern w:val="0"/>
        </w:rPr>
        <w:t>23</w:t>
      </w:r>
      <w:r>
        <w:rPr>
          <w:kern w:val="0"/>
        </w:rPr>
        <w:t xml:space="preserve"> (3), 351-359.</w:t>
      </w:r>
    </w:p>
    <w:p w:rsidR="00445DA2" w:rsidRPr="001A3D2B" w:rsidRDefault="00445DA2" w:rsidP="00445DA2">
      <w:pPr>
        <w:pStyle w:val="a3"/>
      </w:pPr>
      <w:r w:rsidRPr="001A3D2B">
        <w:t xml:space="preserve">Full Text: </w:t>
      </w:r>
      <w:r w:rsidRPr="00E93D82">
        <w:t>20</w:t>
      </w:r>
      <w:r>
        <w:rPr>
          <w:rFonts w:hint="eastAsia"/>
        </w:rPr>
        <w:t>14</w:t>
      </w:r>
      <w:r w:rsidRPr="00E93D82">
        <w:t>\Asi Pac J Cli Nut</w:t>
      </w:r>
      <w:r>
        <w:rPr>
          <w:rFonts w:hint="eastAsia"/>
        </w:rPr>
        <w:t>23</w:t>
      </w:r>
      <w:r w:rsidRPr="00E93D82">
        <w:t xml:space="preserve">, </w:t>
      </w:r>
      <w:r>
        <w:rPr>
          <w:rFonts w:hint="eastAsia"/>
        </w:rPr>
        <w:t>351</w:t>
      </w:r>
      <w:r w:rsidRPr="00E93D82">
        <w:t>.pdf</w:t>
      </w:r>
    </w:p>
    <w:p w:rsidR="00445DA2" w:rsidRDefault="00445DA2" w:rsidP="00445DA2">
      <w:pPr>
        <w:pStyle w:val="a3"/>
        <w:rPr>
          <w:kern w:val="0"/>
        </w:rPr>
      </w:pPr>
      <w:r>
        <w:rPr>
          <w:kern w:val="0"/>
        </w:rPr>
        <w:t>Abstract: L-arginine plays an important role in immune regulation by affecting the immune response and inflammation. This meta-analysis was performed to assess whether L-arginine supplementation could improve the outcomes of immune function, and to evaluate the safety of L-arginine supplementation. Four databases (PubMed, EMBASE, Web of Science, the Cochrane Library) for all randomized controlled trials investigating the effects of supplementation with L-arginine published from 1966 to September 2013 were searched. The quality of controlled trials was assessed with the Jadad method. Meta-analyses were performed with fixed- or random-effects models according to heterogeneity of studies. Data from 11 trials involving 321 patients were enrolled. Meta-analysis showed that the L-arginine supplement group had a significantly greater CD4(+) T-cell proliferation response (MD 5.03; 95% CI 1.11, 8.95; p&lt;0.05), and that the incidence of infectious complications was lower (OR 0.40; 95% CI 0.17, 0.95; p&lt;0.05) than control.</w:t>
      </w:r>
    </w:p>
    <w:p w:rsidR="00445DA2" w:rsidRDefault="00445DA2" w:rsidP="00445DA2">
      <w:pPr>
        <w:pStyle w:val="a3"/>
        <w:rPr>
          <w:kern w:val="0"/>
        </w:rPr>
      </w:pPr>
      <w:r>
        <w:rPr>
          <w:kern w:val="0"/>
        </w:rPr>
        <w:t>Keywords: Cd4(+), Clinical-Trials, Complications, Control, Controlled-Trial, Critically-Ill Patients, Cytokines, Data, Databases, Double-Blind, Effect, Effects, Embase, Enteral Nutrition, Function, Gastrointestinal Surgery, Heterogeneity, Immune, Immune Response, Incidence, Infectious Complications, Inflammation, L-Arginine, Meta Analysis, Meta-Analyses, Meta-Analysis, Metaanalysis, Models, Neck-Cancer Patients, Nitric Oxide, Nitric-Oxide, Outcomes, Patients, Preoperative Immunonutrition, Proliferation, Pubmed, Quality, Quality Of, Randomized, Randomized Controlled Trials, Regulation, Response, Role, Safety, Science, T-Cell Suppression, Web Of Science</w:t>
      </w:r>
    </w:p>
    <w:p w:rsidR="00F85614" w:rsidRDefault="00F85614" w:rsidP="00F85614">
      <w:pPr>
        <w:pStyle w:val="a3"/>
        <w:rPr>
          <w:kern w:val="0"/>
        </w:rPr>
      </w:pPr>
      <w:r>
        <w:rPr>
          <w:rFonts w:hint="eastAsia"/>
          <w:kern w:val="0"/>
        </w:rPr>
        <w:t xml:space="preserve">? </w:t>
      </w:r>
      <w:r>
        <w:rPr>
          <w:kern w:val="0"/>
        </w:rPr>
        <w:t xml:space="preserve">Hu, J.Y., Hu, Y.W., Hu, Y.T. and Zheng, S. (2015), Intake of cruciferous vegetables is associated with reduced risk of ovarian cancer: A meta-analysis. </w:t>
      </w:r>
      <w:r>
        <w:rPr>
          <w:i/>
          <w:iCs/>
          <w:kern w:val="0"/>
        </w:rPr>
        <w:t>Asia Pacific Journal of Clinical Nutrition</w:t>
      </w:r>
      <w:r>
        <w:rPr>
          <w:kern w:val="0"/>
        </w:rPr>
        <w:t xml:space="preserve">, </w:t>
      </w:r>
      <w:r>
        <w:rPr>
          <w:b/>
          <w:bCs/>
          <w:kern w:val="0"/>
        </w:rPr>
        <w:t>24</w:t>
      </w:r>
      <w:r>
        <w:rPr>
          <w:kern w:val="0"/>
        </w:rPr>
        <w:t xml:space="preserve"> (1), 101-109.</w:t>
      </w:r>
    </w:p>
    <w:p w:rsidR="00F85614" w:rsidRDefault="00F85614" w:rsidP="00F85614">
      <w:pPr>
        <w:pStyle w:val="a3"/>
        <w:rPr>
          <w:kern w:val="2"/>
        </w:rPr>
      </w:pPr>
      <w:r>
        <w:t>Full Text: 201</w:t>
      </w:r>
      <w:r>
        <w:rPr>
          <w:rFonts w:hint="eastAsia"/>
        </w:rPr>
        <w:t>5</w:t>
      </w:r>
      <w:r>
        <w:t>\Asi Pac J Cli Nut2</w:t>
      </w:r>
      <w:r>
        <w:rPr>
          <w:rFonts w:hint="eastAsia"/>
        </w:rPr>
        <w:t>4</w:t>
      </w:r>
      <w:r>
        <w:t xml:space="preserve">, </w:t>
      </w:r>
      <w:r>
        <w:rPr>
          <w:rFonts w:hint="eastAsia"/>
        </w:rPr>
        <w:t>101</w:t>
      </w:r>
      <w:r>
        <w:t>.pdf</w:t>
      </w:r>
    </w:p>
    <w:p w:rsidR="00F85614" w:rsidRDefault="00F85614" w:rsidP="00F85614">
      <w:pPr>
        <w:pStyle w:val="a3"/>
        <w:rPr>
          <w:kern w:val="0"/>
        </w:rPr>
      </w:pPr>
      <w:r>
        <w:rPr>
          <w:kern w:val="0"/>
        </w:rPr>
        <w:t xml:space="preserve">Abstract: Background: Epidemiological studies on the association between cruciferous vegetable (CV) consumption and the risk of ovarian cancer have demonstrated inconsistent results. We conducted a meta-analysis on CV consumption and ovarian cancer risk. Methods: The relevant studies were identified by searching the Medline (Pubmed), Embase and Web of Science databases. The references of related articles and reviews up to October 2013 were also screened. The pooled relative risks (RRs) with 95% confidence intervals (CIs) for the highest versus the lowest CV consumption levels were calculated using a random-effects model. The heterogeneity </w:t>
      </w:r>
      <w:r>
        <w:rPr>
          <w:kern w:val="0"/>
        </w:rPr>
        <w:lastRenderedPageBreak/>
        <w:t>and publication bias were also evaluated. Results: Eight studies (4 case-control studies and 4 cohort studies) were identified and included in this meta-analysis. When all studies were pooled together, there was a significantly inverse association between CV consumption and the risk of ovarian cancer (RR: 0.89; 95% CI: 0.81-0.99). No significant heterogeneity or publication bias was found. Conclusions: The findings from this study suggest that the consumption of CVs may reduce the risk of ovarian cancer. Further investigations are needed to confirm the clinical effect of CVs on ovarian cancer.</w:t>
      </w:r>
    </w:p>
    <w:p w:rsidR="00F85614" w:rsidRDefault="00F85614" w:rsidP="00F85614">
      <w:pPr>
        <w:pStyle w:val="a3"/>
        <w:rPr>
          <w:kern w:val="0"/>
        </w:rPr>
      </w:pPr>
      <w:r>
        <w:rPr>
          <w:kern w:val="0"/>
        </w:rPr>
        <w:t>Keywords: Articles, Association, Bias, Breast, Cancer, Cancer Prevention, Cancer Risk, Carcinoma, Case-Control, Case-Control Studies, Clinical, Cohort, Colorectal-Cancer, Confidence, Confidence Intervals, Consumption, Cruciferous Vegetables, Databases, Diet, Epidemiological Study, Epidemiology, From, Heterogeneity, Indole-3-Carbinol, Intervals, Investigations, Mar, Mechanism, Medline, Meta Analysis, Meta-Analysis, Metaanalysis, Methods, Model, Ovarian Cancer, Publication, Publication Bias, Random Effects Model, References, Results, Reviews, Risk, Risks, Science, Statistics, Vegetables, Web, Web Of Science, Web Of Science Databases</w:t>
      </w:r>
    </w:p>
    <w:p w:rsidR="003474F2" w:rsidRPr="001A3D2B" w:rsidRDefault="003474F2" w:rsidP="003474F2">
      <w:pPr>
        <w:pStyle w:val="1"/>
      </w:pPr>
      <w:r w:rsidRPr="001A3D2B">
        <w:br w:type="page"/>
      </w:r>
      <w:bookmarkStart w:id="634" w:name="_Toc420814618"/>
      <w:r w:rsidRPr="001A3D2B">
        <w:lastRenderedPageBreak/>
        <w:t>Title: Asia Pacific Journal</w:t>
      </w:r>
      <w:r w:rsidR="00427468">
        <w:t xml:space="preserve"> of </w:t>
      </w:r>
      <w:r w:rsidRPr="001A3D2B">
        <w:t>Management</w:t>
      </w:r>
      <w:bookmarkEnd w:id="634"/>
    </w:p>
    <w:p w:rsidR="003474F2" w:rsidRPr="001A3D2B" w:rsidRDefault="003474F2" w:rsidP="003474F2">
      <w:pPr>
        <w:pStyle w:val="12"/>
      </w:pPr>
      <w:r w:rsidRPr="001A3D2B">
        <w:t xml:space="preserve">Full Journal Title: </w:t>
      </w:r>
      <w:hyperlink r:id="rId1249" w:history="1">
        <w:r w:rsidRPr="001A3D2B">
          <w:rPr>
            <w:rStyle w:val="a5"/>
          </w:rPr>
          <w:t>Asia Pacific Journal</w:t>
        </w:r>
        <w:r w:rsidR="00427468">
          <w:rPr>
            <w:rStyle w:val="a5"/>
          </w:rPr>
          <w:t xml:space="preserve"> of </w:t>
        </w:r>
        <w:r w:rsidRPr="001A3D2B">
          <w:rPr>
            <w:rStyle w:val="a5"/>
          </w:rPr>
          <w:t>Management</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Tsang, E.W.K. (2006), Economies</w:t>
      </w:r>
      <w:r w:rsidR="00427468">
        <w:t xml:space="preserve"> of </w:t>
      </w:r>
      <w:r w:rsidRPr="001A3D2B">
        <w:t xml:space="preserve">scale versus intellectual curiosity. </w:t>
      </w:r>
      <w:r w:rsidRPr="001A3D2B">
        <w:rPr>
          <w:i/>
        </w:rPr>
        <w:t>Asia Pacific Journal</w:t>
      </w:r>
      <w:r w:rsidR="00427468">
        <w:rPr>
          <w:i/>
        </w:rPr>
        <w:t xml:space="preserve"> of </w:t>
      </w:r>
      <w:r w:rsidRPr="001A3D2B">
        <w:rPr>
          <w:i/>
        </w:rPr>
        <w:t>Management</w:t>
      </w:r>
      <w:r w:rsidRPr="001A3D2B">
        <w:t xml:space="preserve">, </w:t>
      </w:r>
      <w:r w:rsidRPr="001A3D2B">
        <w:rPr>
          <w:b/>
          <w:bCs/>
        </w:rPr>
        <w:t>23</w:t>
      </w:r>
      <w:r w:rsidRPr="001A3D2B">
        <w:t xml:space="preserve"> (2), 157-165.</w:t>
      </w:r>
    </w:p>
    <w:p w:rsidR="003474F2" w:rsidRPr="001A3D2B" w:rsidRDefault="003474F2" w:rsidP="003474F2">
      <w:pPr>
        <w:pStyle w:val="a3"/>
      </w:pPr>
      <w:r w:rsidRPr="001A3D2B">
        <w:t xml:space="preserve">Full Text: </w:t>
      </w:r>
      <w:hyperlink r:id="rId1250" w:history="1">
        <w:r w:rsidRPr="001A3D2B">
          <w:rPr>
            <w:rStyle w:val="a5"/>
          </w:rPr>
          <w:t>2006\Asi Pac J Man23, 157.pdf</w:t>
        </w:r>
      </w:hyperlink>
    </w:p>
    <w:p w:rsidR="003474F2" w:rsidRPr="001A3D2B" w:rsidRDefault="003474F2" w:rsidP="003474F2">
      <w:pPr>
        <w:pStyle w:val="a3"/>
      </w:pPr>
      <w:r w:rsidRPr="001A3D2B">
        <w:t>Abstract: Many researchers, especially during</w:t>
      </w:r>
      <w:r w:rsidR="003A1917">
        <w:t xml:space="preserve"> the </w:t>
      </w:r>
      <w:r w:rsidRPr="001A3D2B">
        <w:t>early stage</w:t>
      </w:r>
      <w:r w:rsidR="00427468">
        <w:t xml:space="preserve"> of </w:t>
      </w:r>
      <w:r w:rsidRPr="001A3D2B">
        <w:t>their career, focus on a narrow topic so as to achieve economies</w:t>
      </w:r>
      <w:r w:rsidR="00427468">
        <w:t xml:space="preserve"> of </w:t>
      </w:r>
      <w:r w:rsidRPr="001A3D2B">
        <w:t>scale in their research activities</w:t>
      </w:r>
      <w:r w:rsidR="00A37C1D">
        <w:t>. The</w:t>
      </w:r>
      <w:r w:rsidR="003A1917">
        <w:t xml:space="preserve"> </w:t>
      </w:r>
      <w:r w:rsidRPr="001A3D2B">
        <w:t>research path that I have followed during</w:t>
      </w:r>
      <w:r w:rsidR="003A1917">
        <w:t xml:space="preserve"> the </w:t>
      </w:r>
      <w:r w:rsidRPr="001A3D2B">
        <w:t>last ten years or so is, to a significant extent, guided by intellectual curiosity</w:t>
      </w:r>
      <w:r w:rsidR="005853A9">
        <w:t xml:space="preserve"> and </w:t>
      </w:r>
      <w:r w:rsidRPr="001A3D2B">
        <w:t>has led to several distinct streams</w:t>
      </w:r>
      <w:r w:rsidR="00427468">
        <w:t xml:space="preserve"> of </w:t>
      </w:r>
      <w:r w:rsidRPr="001A3D2B">
        <w:t>research. My own experience shows that this alternative research path can be more intellectually stimulating. It is a worthwhile long-term investment that researchers may like to consider.</w:t>
      </w:r>
    </w:p>
    <w:p w:rsidR="003474F2" w:rsidRPr="001A3D2B" w:rsidRDefault="003474F2" w:rsidP="003474F2">
      <w:pPr>
        <w:pStyle w:val="a3"/>
      </w:pPr>
      <w:r w:rsidRPr="001A3D2B">
        <w:t>Keywords: Economies</w:t>
      </w:r>
      <w:r w:rsidR="00427468">
        <w:t xml:space="preserve"> of </w:t>
      </w:r>
      <w:r w:rsidRPr="001A3D2B">
        <w:t>Scale, Intellectual Curiosity, Research Strategy, Career Path</w:t>
      </w:r>
    </w:p>
    <w:p w:rsidR="00E86AC5" w:rsidRPr="001A3D2B" w:rsidRDefault="00E86AC5" w:rsidP="00E86AC5">
      <w:pPr>
        <w:pStyle w:val="1"/>
      </w:pPr>
      <w:r w:rsidRPr="001A3D2B">
        <w:br w:type="page"/>
      </w:r>
      <w:bookmarkStart w:id="635" w:name="_Toc420814619"/>
      <w:r w:rsidRPr="001A3D2B">
        <w:lastRenderedPageBreak/>
        <w:t xml:space="preserve">Title: </w:t>
      </w:r>
      <w:r w:rsidRPr="00E86AC5">
        <w:t>Asia-Pacific Education Researcher</w:t>
      </w:r>
      <w:bookmarkEnd w:id="635"/>
    </w:p>
    <w:p w:rsidR="00E86AC5" w:rsidRPr="001A3D2B" w:rsidRDefault="00E86AC5" w:rsidP="00E86AC5">
      <w:pPr>
        <w:pStyle w:val="12"/>
      </w:pPr>
      <w:r w:rsidRPr="001A3D2B">
        <w:t xml:space="preserve">Full Journal Title: </w:t>
      </w:r>
      <w:r w:rsidRPr="00E86AC5">
        <w:rPr>
          <w:iCs/>
          <w:kern w:val="0"/>
        </w:rPr>
        <w:t>Asia-Pacific Education Researcher</w:t>
      </w:r>
    </w:p>
    <w:p w:rsidR="00E86AC5" w:rsidRPr="001A3D2B" w:rsidRDefault="00E86AC5" w:rsidP="00E86AC5">
      <w:pPr>
        <w:pStyle w:val="12"/>
      </w:pPr>
      <w:r w:rsidRPr="001A3D2B">
        <w:t xml:space="preserve">ISO Abbreviated Title: </w:t>
      </w:r>
    </w:p>
    <w:p w:rsidR="00E86AC5" w:rsidRPr="001A3D2B" w:rsidRDefault="00E86AC5" w:rsidP="00E86AC5">
      <w:pPr>
        <w:pStyle w:val="12"/>
      </w:pPr>
      <w:r w:rsidRPr="001A3D2B">
        <w:t xml:space="preserve">JCR Abbreviated Title: </w:t>
      </w:r>
    </w:p>
    <w:p w:rsidR="00E86AC5" w:rsidRPr="001A3D2B" w:rsidRDefault="00E86AC5" w:rsidP="00E86AC5">
      <w:pPr>
        <w:pStyle w:val="12"/>
      </w:pPr>
      <w:r>
        <w:t xml:space="preserve">ISSN: </w:t>
      </w:r>
    </w:p>
    <w:p w:rsidR="00E86AC5" w:rsidRPr="001A3D2B" w:rsidRDefault="00E86AC5" w:rsidP="00E86AC5">
      <w:pPr>
        <w:pStyle w:val="12"/>
      </w:pPr>
      <w:r w:rsidRPr="001A3D2B">
        <w:t xml:space="preserve">Issues/Year: </w:t>
      </w:r>
    </w:p>
    <w:p w:rsidR="00E86AC5" w:rsidRPr="001A3D2B" w:rsidRDefault="00E86AC5" w:rsidP="00E86AC5">
      <w:pPr>
        <w:pStyle w:val="12"/>
      </w:pPr>
      <w:r w:rsidRPr="001A3D2B">
        <w:t xml:space="preserve">Journal Country/Territory: </w:t>
      </w:r>
    </w:p>
    <w:p w:rsidR="00E86AC5" w:rsidRPr="001A3D2B" w:rsidRDefault="00E86AC5" w:rsidP="00E86AC5">
      <w:pPr>
        <w:pStyle w:val="12"/>
      </w:pPr>
      <w:r w:rsidRPr="001A3D2B">
        <w:t xml:space="preserve">Language: </w:t>
      </w:r>
    </w:p>
    <w:p w:rsidR="00E86AC5" w:rsidRPr="001A3D2B" w:rsidRDefault="00E86AC5" w:rsidP="00E86AC5">
      <w:pPr>
        <w:pStyle w:val="12"/>
      </w:pPr>
      <w:r w:rsidRPr="001A3D2B">
        <w:t xml:space="preserve">Publisher: </w:t>
      </w:r>
    </w:p>
    <w:p w:rsidR="00E86AC5" w:rsidRPr="001A3D2B" w:rsidRDefault="00E86AC5" w:rsidP="00E86AC5">
      <w:pPr>
        <w:pStyle w:val="12"/>
      </w:pPr>
      <w:r w:rsidRPr="001A3D2B">
        <w:t xml:space="preserve">Publisher Address: </w:t>
      </w:r>
    </w:p>
    <w:p w:rsidR="00E86AC5" w:rsidRPr="001A3D2B" w:rsidRDefault="00E86AC5" w:rsidP="00E86AC5">
      <w:pPr>
        <w:pStyle w:val="12"/>
      </w:pPr>
      <w:r w:rsidRPr="001A3D2B">
        <w:t xml:space="preserve">Subject Categories: </w:t>
      </w:r>
    </w:p>
    <w:p w:rsidR="00E86AC5" w:rsidRPr="001A3D2B" w:rsidRDefault="00E86AC5" w:rsidP="00E86AC5">
      <w:pPr>
        <w:pStyle w:val="12"/>
      </w:pPr>
      <w:r w:rsidRPr="001A3D2B">
        <w:t>: Impact Factor</w:t>
      </w:r>
    </w:p>
    <w:p w:rsidR="00E86AC5" w:rsidRDefault="00E86AC5" w:rsidP="00E86AC5">
      <w:pPr>
        <w:pStyle w:val="a3"/>
        <w:rPr>
          <w:kern w:val="0"/>
        </w:rPr>
      </w:pPr>
      <w:r>
        <w:rPr>
          <w:rFonts w:hint="eastAsia"/>
          <w:kern w:val="0"/>
        </w:rPr>
        <w:t xml:space="preserve">? </w:t>
      </w:r>
      <w:r>
        <w:rPr>
          <w:kern w:val="0"/>
        </w:rPr>
        <w:t>Tan, S.C., Chai, C.S., Tsai, C.C., Lim, C.P.</w:t>
      </w:r>
      <w:r w:rsidR="005853A9">
        <w:rPr>
          <w:kern w:val="0"/>
        </w:rPr>
        <w:t xml:space="preserve"> and </w:t>
      </w:r>
      <w:r>
        <w:rPr>
          <w:kern w:val="0"/>
        </w:rPr>
        <w:t>Chou, C.H. (2012), Learning sciences research in Asia pacific countries from 1997 to 2010: A content analysis</w:t>
      </w:r>
      <w:r w:rsidR="00427468">
        <w:rPr>
          <w:kern w:val="0"/>
        </w:rPr>
        <w:t xml:space="preserve"> of </w:t>
      </w:r>
      <w:r>
        <w:rPr>
          <w:kern w:val="0"/>
        </w:rPr>
        <w:t xml:space="preserve">publications in selected journals. </w:t>
      </w:r>
      <w:r w:rsidRPr="00E86AC5">
        <w:rPr>
          <w:i/>
          <w:iCs/>
          <w:kern w:val="0"/>
        </w:rPr>
        <w:t>Asia-Pacific Education Researcher</w:t>
      </w:r>
      <w:r>
        <w:rPr>
          <w:kern w:val="0"/>
        </w:rPr>
        <w:t xml:space="preserve">, </w:t>
      </w:r>
      <w:r>
        <w:rPr>
          <w:b/>
          <w:bCs/>
          <w:kern w:val="0"/>
        </w:rPr>
        <w:t>21</w:t>
      </w:r>
      <w:r>
        <w:rPr>
          <w:kern w:val="0"/>
        </w:rPr>
        <w:t xml:space="preserve"> (1), 4-14.</w:t>
      </w:r>
    </w:p>
    <w:p w:rsidR="00E86AC5" w:rsidRDefault="00E86AC5" w:rsidP="00E86AC5">
      <w:pPr>
        <w:pStyle w:val="a3"/>
        <w:rPr>
          <w:kern w:val="0"/>
        </w:rPr>
      </w:pPr>
      <w:r>
        <w:rPr>
          <w:rFonts w:hint="eastAsia"/>
          <w:kern w:val="0"/>
        </w:rPr>
        <w:t xml:space="preserve">Full Text: </w:t>
      </w:r>
      <w:hyperlink r:id="rId1251" w:history="1">
        <w:r w:rsidRPr="00E86AC5">
          <w:rPr>
            <w:rStyle w:val="a5"/>
            <w:kern w:val="0"/>
          </w:rPr>
          <w:t>2012\Asi-Pac Edu Res21, 4.pdf</w:t>
        </w:r>
      </w:hyperlink>
    </w:p>
    <w:p w:rsidR="00E86AC5" w:rsidRDefault="00E86AC5" w:rsidP="00E86AC5">
      <w:pPr>
        <w:pStyle w:val="a3"/>
        <w:rPr>
          <w:kern w:val="0"/>
        </w:rPr>
      </w:pPr>
      <w:r>
        <w:rPr>
          <w:kern w:val="0"/>
        </w:rPr>
        <w:t>Abstract: Learning sciences, as an interdisciplinary field</w:t>
      </w:r>
      <w:r w:rsidR="00427468">
        <w:rPr>
          <w:kern w:val="0"/>
        </w:rPr>
        <w:t xml:space="preserve"> of </w:t>
      </w:r>
      <w:r>
        <w:rPr>
          <w:kern w:val="0"/>
        </w:rPr>
        <w:t>research, refers to adoption</w:t>
      </w:r>
      <w:r w:rsidR="00427468">
        <w:rPr>
          <w:kern w:val="0"/>
        </w:rPr>
        <w:t xml:space="preserve"> of </w:t>
      </w:r>
      <w:r>
        <w:rPr>
          <w:kern w:val="0"/>
        </w:rPr>
        <w:t>theories from multiple disciplines to gain understanding</w:t>
      </w:r>
      <w:r w:rsidR="00427468">
        <w:rPr>
          <w:kern w:val="0"/>
        </w:rPr>
        <w:t xml:space="preserve"> of </w:t>
      </w:r>
      <w:r w:rsidR="003A1917">
        <w:rPr>
          <w:kern w:val="0"/>
        </w:rPr>
        <w:t xml:space="preserve">the </w:t>
      </w:r>
      <w:r>
        <w:rPr>
          <w:kern w:val="0"/>
        </w:rPr>
        <w:t>conditions</w:t>
      </w:r>
      <w:r w:rsidR="005853A9">
        <w:rPr>
          <w:kern w:val="0"/>
        </w:rPr>
        <w:t xml:space="preserve"> and </w:t>
      </w:r>
      <w:r>
        <w:rPr>
          <w:kern w:val="0"/>
        </w:rPr>
        <w:t>processes that lead to effective learning. This paper examines learning sciences research in</w:t>
      </w:r>
      <w:r w:rsidR="003A1917">
        <w:rPr>
          <w:kern w:val="0"/>
        </w:rPr>
        <w:t xml:space="preserve"> the </w:t>
      </w:r>
      <w:r>
        <w:rPr>
          <w:kern w:val="0"/>
        </w:rPr>
        <w:t>Asia Pacific region by means</w:t>
      </w:r>
      <w:r w:rsidR="00427468">
        <w:rPr>
          <w:kern w:val="0"/>
        </w:rPr>
        <w:t xml:space="preserve"> of </w:t>
      </w:r>
      <w:r>
        <w:rPr>
          <w:kern w:val="0"/>
        </w:rPr>
        <w:t>content analysis</w:t>
      </w:r>
      <w:r w:rsidR="00427468">
        <w:rPr>
          <w:kern w:val="0"/>
        </w:rPr>
        <w:t xml:space="preserve"> of </w:t>
      </w:r>
      <w:r>
        <w:rPr>
          <w:kern w:val="0"/>
        </w:rPr>
        <w:t>research papers published in three major journals: Journal</w:t>
      </w:r>
      <w:r w:rsidR="00427468">
        <w:rPr>
          <w:kern w:val="0"/>
        </w:rPr>
        <w:t xml:space="preserve"> of </w:t>
      </w:r>
      <w:r w:rsidR="003A1917">
        <w:rPr>
          <w:kern w:val="0"/>
        </w:rPr>
        <w:t xml:space="preserve">the </w:t>
      </w:r>
      <w:r>
        <w:rPr>
          <w:kern w:val="0"/>
        </w:rPr>
        <w:t>Learning Sciences, International Journal</w:t>
      </w:r>
      <w:r w:rsidR="00427468">
        <w:rPr>
          <w:kern w:val="0"/>
        </w:rPr>
        <w:t xml:space="preserve"> of </w:t>
      </w:r>
      <w:r>
        <w:rPr>
          <w:kern w:val="0"/>
        </w:rPr>
        <w:t>Computer-Supported Collaborative Learning,</w:t>
      </w:r>
      <w:r w:rsidR="005853A9">
        <w:rPr>
          <w:kern w:val="0"/>
        </w:rPr>
        <w:t xml:space="preserve"> and </w:t>
      </w:r>
      <w:r>
        <w:rPr>
          <w:kern w:val="0"/>
        </w:rPr>
        <w:t>Instructional Science. A total</w:t>
      </w:r>
      <w:r w:rsidR="00427468">
        <w:rPr>
          <w:kern w:val="0"/>
        </w:rPr>
        <w:t xml:space="preserve"> of </w:t>
      </w:r>
      <w:r>
        <w:rPr>
          <w:kern w:val="0"/>
        </w:rPr>
        <w:t>24 research papers contributed by authors affiliated to six Asia Pacific countries from 1997 to 2010 were found</w:t>
      </w:r>
      <w:r w:rsidR="005853A9">
        <w:rPr>
          <w:kern w:val="0"/>
        </w:rPr>
        <w:t xml:space="preserve"> and </w:t>
      </w:r>
      <w:r>
        <w:rPr>
          <w:kern w:val="0"/>
        </w:rPr>
        <w:t>analyzed</w:t>
      </w:r>
      <w:r w:rsidR="00A37C1D">
        <w:rPr>
          <w:kern w:val="0"/>
        </w:rPr>
        <w:t>. The</w:t>
      </w:r>
      <w:r w:rsidR="003A1917">
        <w:rPr>
          <w:kern w:val="0"/>
        </w:rPr>
        <w:t xml:space="preserve"> </w:t>
      </w:r>
      <w:r>
        <w:rPr>
          <w:kern w:val="0"/>
        </w:rPr>
        <w:t>main findings suggested that Hong Kong</w:t>
      </w:r>
      <w:r w:rsidR="005853A9">
        <w:rPr>
          <w:kern w:val="0"/>
        </w:rPr>
        <w:t xml:space="preserve"> and </w:t>
      </w:r>
      <w:r>
        <w:rPr>
          <w:kern w:val="0"/>
        </w:rPr>
        <w:t>Australian researchers are pioneers in learning sciences research, while Singaporean researchers have had significant contributions to this field after 2007. In addition, empirical studies were favoured over positional</w:t>
      </w:r>
      <w:r w:rsidR="005853A9">
        <w:rPr>
          <w:kern w:val="0"/>
        </w:rPr>
        <w:t xml:space="preserve"> and </w:t>
      </w:r>
      <w:r>
        <w:rPr>
          <w:kern w:val="0"/>
        </w:rPr>
        <w:t>theoretical papers. It is found that</w:t>
      </w:r>
      <w:r w:rsidR="003A1917">
        <w:rPr>
          <w:kern w:val="0"/>
        </w:rPr>
        <w:t xml:space="preserve"> the </w:t>
      </w:r>
      <w:r>
        <w:rPr>
          <w:kern w:val="0"/>
        </w:rPr>
        <w:t>theoretical frameworks underpinning these empirical studies were strongly influenced by Western research philosophies, including knowledge building pedagogy</w:t>
      </w:r>
      <w:r w:rsidR="005853A9">
        <w:rPr>
          <w:kern w:val="0"/>
        </w:rPr>
        <w:t xml:space="preserve"> and </w:t>
      </w:r>
      <w:r>
        <w:rPr>
          <w:kern w:val="0"/>
        </w:rPr>
        <w:t>learning study theories. Moreover, nearly half</w:t>
      </w:r>
      <w:r w:rsidR="00427468">
        <w:rPr>
          <w:kern w:val="0"/>
        </w:rPr>
        <w:t xml:space="preserve"> of </w:t>
      </w:r>
      <w:r w:rsidR="003A1917">
        <w:rPr>
          <w:kern w:val="0"/>
        </w:rPr>
        <w:t xml:space="preserve">the </w:t>
      </w:r>
      <w:r>
        <w:rPr>
          <w:kern w:val="0"/>
        </w:rPr>
        <w:t>empirical studies involved</w:t>
      </w:r>
      <w:r w:rsidR="003A1917">
        <w:rPr>
          <w:kern w:val="0"/>
        </w:rPr>
        <w:t xml:space="preserve"> the </w:t>
      </w:r>
      <w:r>
        <w:rPr>
          <w:kern w:val="0"/>
        </w:rPr>
        <w:t>use</w:t>
      </w:r>
      <w:r w:rsidR="00427468">
        <w:rPr>
          <w:kern w:val="0"/>
        </w:rPr>
        <w:t xml:space="preserve"> of </w:t>
      </w:r>
      <w:r>
        <w:rPr>
          <w:kern w:val="0"/>
        </w:rPr>
        <w:t>computer-supported collaborative learning (CSCL) technologies</w:t>
      </w:r>
      <w:r w:rsidR="00A37C1D">
        <w:rPr>
          <w:kern w:val="0"/>
        </w:rPr>
        <w:t>. The</w:t>
      </w:r>
      <w:r w:rsidR="003A1917">
        <w:rPr>
          <w:kern w:val="0"/>
        </w:rPr>
        <w:t xml:space="preserve"> </w:t>
      </w:r>
      <w:r>
        <w:rPr>
          <w:kern w:val="0"/>
        </w:rPr>
        <w:t>findings</w:t>
      </w:r>
      <w:r w:rsidR="00427468">
        <w:rPr>
          <w:kern w:val="0"/>
        </w:rPr>
        <w:t xml:space="preserve"> of </w:t>
      </w:r>
      <w:r>
        <w:rPr>
          <w:kern w:val="0"/>
        </w:rPr>
        <w:t>this study may provide insights to promote learning sciences research in</w:t>
      </w:r>
      <w:r w:rsidR="003A1917">
        <w:rPr>
          <w:kern w:val="0"/>
        </w:rPr>
        <w:t xml:space="preserve"> the </w:t>
      </w:r>
      <w:r>
        <w:rPr>
          <w:kern w:val="0"/>
        </w:rPr>
        <w:t>Asia-Pacific region.</w:t>
      </w:r>
    </w:p>
    <w:p w:rsidR="00E86AC5" w:rsidRDefault="00E86AC5" w:rsidP="00E86AC5">
      <w:pPr>
        <w:pStyle w:val="a3"/>
        <w:rPr>
          <w:kern w:val="0"/>
        </w:rPr>
      </w:pPr>
      <w:r>
        <w:rPr>
          <w:kern w:val="0"/>
        </w:rPr>
        <w:t xml:space="preserve">Keywords: Adoption, Analysis, Asia, Asia Pacific, Australian, Authors, Bibliometric Study, Building, Content Analysis, Countries, Economic Concepts, Education, Empirical Studies, Field, Hong Kong, Interdisciplinary, Journal, Journals, Knowledge, Lead, Learning, Learning Sciences, Mar, Online, Papers, Productivity, </w:t>
      </w:r>
      <w:r>
        <w:rPr>
          <w:kern w:val="0"/>
        </w:rPr>
        <w:lastRenderedPageBreak/>
        <w:t>Publications, Region, Research, Science, Sciences, Technologies, Technology, Trends, Understanding</w:t>
      </w:r>
    </w:p>
    <w:p w:rsidR="003474F2" w:rsidRPr="001A3D2B" w:rsidRDefault="003474F2" w:rsidP="003474F2">
      <w:pPr>
        <w:pStyle w:val="1"/>
      </w:pPr>
      <w:r w:rsidRPr="001A3D2B">
        <w:br w:type="page"/>
      </w:r>
      <w:bookmarkStart w:id="636" w:name="_Toc420814620"/>
      <w:r w:rsidRPr="001A3D2B">
        <w:lastRenderedPageBreak/>
        <w:t>Title: Asia-Pacific Journal</w:t>
      </w:r>
      <w:r w:rsidR="00427468">
        <w:t xml:space="preserve"> of </w:t>
      </w:r>
      <w:r w:rsidRPr="001A3D2B">
        <w:t>Operational Research</w:t>
      </w:r>
      <w:bookmarkEnd w:id="636"/>
    </w:p>
    <w:p w:rsidR="005E2833" w:rsidRPr="001A3D2B" w:rsidRDefault="005E2833" w:rsidP="005E2833">
      <w:pPr>
        <w:pStyle w:val="12"/>
      </w:pPr>
      <w:r w:rsidRPr="001A3D2B">
        <w:t xml:space="preserve">Full Journal Title: </w:t>
      </w:r>
      <w:hyperlink r:id="rId1252" w:anchor="db=buh&amp;jid=1QR" w:history="1">
        <w:r w:rsidRPr="001A3D2B">
          <w:rPr>
            <w:rStyle w:val="a5"/>
          </w:rPr>
          <w:t>Asia-Pacific Journal</w:t>
        </w:r>
        <w:r w:rsidR="00427468">
          <w:rPr>
            <w:rStyle w:val="a5"/>
          </w:rPr>
          <w:t xml:space="preserve"> of </w:t>
        </w:r>
        <w:r w:rsidRPr="001A3D2B">
          <w:rPr>
            <w:rStyle w:val="a5"/>
          </w:rPr>
          <w:t>Operational Research</w:t>
        </w:r>
      </w:hyperlink>
      <w:r w:rsidRPr="001A3D2B">
        <w:t xml:space="preserve">; </w:t>
      </w:r>
      <w:hyperlink r:id="rId1253" w:history="1">
        <w:r w:rsidRPr="001A3D2B">
          <w:rPr>
            <w:rStyle w:val="a5"/>
          </w:rPr>
          <w:t>Asia-Pacific Journal</w:t>
        </w:r>
        <w:r w:rsidR="00427468">
          <w:rPr>
            <w:rStyle w:val="a5"/>
          </w:rPr>
          <w:t xml:space="preserve"> of </w:t>
        </w:r>
        <w:r w:rsidRPr="001A3D2B">
          <w:rPr>
            <w:rStyle w:val="a5"/>
          </w:rPr>
          <w:t>Operational Research</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0217-5959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Chang, P.L.</w:t>
      </w:r>
      <w:r w:rsidR="005853A9">
        <w:t xml:space="preserve"> and </w:t>
      </w:r>
      <w:r w:rsidRPr="001A3D2B">
        <w:t>Hsieh, P.N. (2008), Bibliometric overview</w:t>
      </w:r>
      <w:r w:rsidR="00427468">
        <w:t xml:space="preserve"> of </w:t>
      </w:r>
      <w:r w:rsidRPr="001A3D2B">
        <w:t xml:space="preserve">operations research/management science research in Asia. </w:t>
      </w:r>
      <w:r w:rsidRPr="001A3D2B">
        <w:rPr>
          <w:i/>
          <w:iCs/>
        </w:rPr>
        <w:t>Asia-Pacific Journal</w:t>
      </w:r>
      <w:r w:rsidR="00427468">
        <w:rPr>
          <w:i/>
          <w:iCs/>
        </w:rPr>
        <w:t xml:space="preserve"> of </w:t>
      </w:r>
      <w:r w:rsidRPr="001A3D2B">
        <w:rPr>
          <w:i/>
          <w:iCs/>
        </w:rPr>
        <w:t>Operational Research</w:t>
      </w:r>
      <w:r w:rsidRPr="001A3D2B">
        <w:t xml:space="preserve">, </w:t>
      </w:r>
      <w:r w:rsidRPr="001A3D2B">
        <w:rPr>
          <w:b/>
          <w:bCs/>
        </w:rPr>
        <w:t>25</w:t>
      </w:r>
      <w:r w:rsidRPr="001A3D2B">
        <w:t xml:space="preserve"> (2), 217-241.</w:t>
      </w:r>
    </w:p>
    <w:p w:rsidR="005E2833" w:rsidRPr="001A3D2B" w:rsidRDefault="005E2833" w:rsidP="005E2833">
      <w:pPr>
        <w:pStyle w:val="a3"/>
      </w:pPr>
      <w:r w:rsidRPr="001A3D2B">
        <w:t xml:space="preserve">Full Text: </w:t>
      </w:r>
      <w:hyperlink r:id="rId1254" w:history="1">
        <w:r w:rsidRPr="001A3D2B">
          <w:rPr>
            <w:rStyle w:val="a5"/>
          </w:rPr>
          <w:t>2008\Asi-Pac J Ope Res25, 217.pdf</w:t>
        </w:r>
      </w:hyperlink>
    </w:p>
    <w:p w:rsidR="003474F2" w:rsidRPr="001A3D2B" w:rsidRDefault="003474F2" w:rsidP="003474F2">
      <w:pPr>
        <w:pStyle w:val="a3"/>
      </w:pPr>
      <w:r w:rsidRPr="001A3D2B">
        <w:t>Abstract: This paper evaluates</w:t>
      </w:r>
      <w:r w:rsidR="003A1917">
        <w:t xml:space="preserve"> the </w:t>
      </w:r>
      <w:r w:rsidRPr="001A3D2B">
        <w:t>distribution</w:t>
      </w:r>
      <w:r w:rsidR="00427468">
        <w:t xml:space="preserve"> of </w:t>
      </w:r>
      <w:r w:rsidRPr="001A3D2B">
        <w:t>papers published by Asian authors in Operations Research</w:t>
      </w:r>
      <w:r w:rsidR="005853A9">
        <w:t xml:space="preserve"> and </w:t>
      </w:r>
      <w:r w:rsidRPr="001A3D2B">
        <w:t>Management Science (OR/MS) journals from 1968 to 2006</w:t>
      </w:r>
      <w:r w:rsidR="00A37C1D">
        <w:t>. The</w:t>
      </w:r>
      <w:r w:rsidR="003A1917">
        <w:t xml:space="preserve"> </w:t>
      </w:r>
      <w:r w:rsidRPr="001A3D2B">
        <w:t>impact</w:t>
      </w:r>
      <w:r w:rsidR="00427468">
        <w:t xml:space="preserve"> of </w:t>
      </w:r>
      <w:r w:rsidRPr="001A3D2B">
        <w:t>OR/MS research in Asia is compared with that</w:t>
      </w:r>
      <w:r w:rsidR="00427468">
        <w:t xml:space="preserve"> of </w:t>
      </w:r>
      <w:r w:rsidR="003A1917">
        <w:t xml:space="preserve">the </w:t>
      </w:r>
      <w:r w:rsidRPr="001A3D2B">
        <w:t>United States</w:t>
      </w:r>
      <w:r w:rsidR="005853A9">
        <w:t xml:space="preserve"> and </w:t>
      </w:r>
      <w:r w:rsidR="003A1917">
        <w:t xml:space="preserve">the </w:t>
      </w:r>
      <w:r w:rsidRPr="001A3D2B">
        <w:t>World,</w:t>
      </w:r>
      <w:r w:rsidR="005853A9">
        <w:t xml:space="preserve"> and </w:t>
      </w:r>
      <w:r w:rsidRPr="001A3D2B">
        <w:t>research trends are highlighted through an analysis</w:t>
      </w:r>
      <w:r w:rsidR="00427468">
        <w:t xml:space="preserve"> of </w:t>
      </w:r>
      <w:r w:rsidRPr="001A3D2B">
        <w:t>keywords. From 1968 to 2006, 89,293 papers were published in 60 OR/MS journals.</w:t>
      </w:r>
      <w:r w:rsidR="00427468">
        <w:t xml:space="preserve"> of </w:t>
      </w:r>
      <w:r w:rsidRPr="001A3D2B">
        <w:t xml:space="preserve">these, 41.4% came from </w:t>
      </w:r>
      <w:r w:rsidR="00D5664A">
        <w:t>USA</w:t>
      </w:r>
      <w:r w:rsidR="005853A9">
        <w:t xml:space="preserve"> and </w:t>
      </w:r>
      <w:r w:rsidRPr="001A3D2B">
        <w:t>16.6% came from seven Asian countries/regions</w:t>
      </w:r>
      <w:r w:rsidR="00A37C1D">
        <w:t>. The</w:t>
      </w:r>
      <w:r w:rsidR="003A1917">
        <w:t xml:space="preserve"> </w:t>
      </w:r>
      <w:r w:rsidRPr="001A3D2B">
        <w:t>contribution</w:t>
      </w:r>
      <w:r w:rsidR="00427468">
        <w:t xml:space="preserve"> of </w:t>
      </w:r>
      <w:r w:rsidRPr="001A3D2B">
        <w:t>different countries/regions is as follows: Japan 3.7%, Taiwan 3.2%, India 2.3%, Hong Kong 2.2%, South Korea 2.1%, People</w:t>
      </w:r>
      <w:r w:rsidR="00700038">
        <w:t>’</w:t>
      </w:r>
      <w:r w:rsidR="00C13DDC">
        <w:t>s</w:t>
      </w:r>
      <w:r w:rsidRPr="001A3D2B">
        <w:t xml:space="preserve"> Republic</w:t>
      </w:r>
      <w:r w:rsidR="00427468">
        <w:t xml:space="preserve"> of </w:t>
      </w:r>
      <w:r w:rsidRPr="001A3D2B">
        <w:t>China (PRC) 1.9%,</w:t>
      </w:r>
      <w:r w:rsidR="005853A9">
        <w:t xml:space="preserve"> and </w:t>
      </w:r>
      <w:r w:rsidRPr="001A3D2B">
        <w:t>Singapore 1.2%. Among all</w:t>
      </w:r>
      <w:r w:rsidR="003A1917">
        <w:t xml:space="preserve"> the </w:t>
      </w:r>
      <w:r w:rsidRPr="001A3D2B">
        <w:t>articles analyzed, 20% have a single author,</w:t>
      </w:r>
      <w:r w:rsidR="005853A9">
        <w:t xml:space="preserve"> and </w:t>
      </w:r>
      <w:r w:rsidRPr="001A3D2B">
        <w:t>9% have more than three authors; additionally, 22 papers have been cited more than 100 times</w:t>
      </w:r>
      <w:r w:rsidR="005853A9">
        <w:t xml:space="preserve"> and </w:t>
      </w:r>
      <w:r w:rsidRPr="001A3D2B">
        <w:t>29% have never been cited. Most articles originating in Japan, Taiwan, India, South Korea, PRC,</w:t>
      </w:r>
      <w:r w:rsidR="005853A9">
        <w:t xml:space="preserve"> and </w:t>
      </w:r>
      <w:r w:rsidRPr="001A3D2B">
        <w:t>Singapore are produced in collaboration with local scholars, followed by authors from</w:t>
      </w:r>
      <w:r w:rsidR="003A1917">
        <w:t xml:space="preserve"> the </w:t>
      </w:r>
      <w:r w:rsidRPr="001A3D2B">
        <w:t>United States. Hong Kong is a notable exception, 73%</w:t>
      </w:r>
      <w:r w:rsidR="00427468">
        <w:t xml:space="preserve"> of </w:t>
      </w:r>
      <w:r w:rsidRPr="001A3D2B">
        <w:t>articles from Hong Kong are produced in cooperation with</w:t>
      </w:r>
      <w:r w:rsidR="003A1917">
        <w:t xml:space="preserve"> the </w:t>
      </w:r>
      <w:r w:rsidRPr="001A3D2B">
        <w:t>PRC, followed by local scholars</w:t>
      </w:r>
      <w:r w:rsidR="00A37C1D">
        <w:t>. The</w:t>
      </w:r>
      <w:r w:rsidR="003A1917">
        <w:t xml:space="preserve"> </w:t>
      </w:r>
      <w:r w:rsidRPr="001A3D2B">
        <w:t>five most productive institutions are as follows:</w:t>
      </w:r>
      <w:r w:rsidR="003A1917">
        <w:t xml:space="preserve"> the </w:t>
      </w:r>
      <w:r w:rsidRPr="001A3D2B">
        <w:t>Indian Institute</w:t>
      </w:r>
      <w:r w:rsidR="00427468">
        <w:t xml:space="preserve"> of </w:t>
      </w:r>
      <w:r w:rsidRPr="001A3D2B">
        <w:t>Technology,</w:t>
      </w:r>
      <w:r w:rsidR="003A1917">
        <w:t xml:space="preserve"> the </w:t>
      </w:r>
      <w:r w:rsidRPr="001A3D2B">
        <w:t>Korea Advanced Institute</w:t>
      </w:r>
      <w:r w:rsidR="00427468">
        <w:t xml:space="preserve"> of </w:t>
      </w:r>
      <w:r w:rsidRPr="001A3D2B">
        <w:t>Science</w:t>
      </w:r>
      <w:r w:rsidR="005853A9">
        <w:t xml:space="preserve"> and </w:t>
      </w:r>
      <w:r w:rsidRPr="001A3D2B">
        <w:t>Technology,</w:t>
      </w:r>
      <w:r w:rsidR="003A1917">
        <w:t xml:space="preserve"> the </w:t>
      </w:r>
      <w:r w:rsidRPr="001A3D2B">
        <w:t>National University</w:t>
      </w:r>
      <w:r w:rsidR="00427468">
        <w:t xml:space="preserve"> of </w:t>
      </w:r>
      <w:r w:rsidRPr="001A3D2B">
        <w:t>Singapore,</w:t>
      </w:r>
      <w:r w:rsidR="003A1917">
        <w:t xml:space="preserve"> the </w:t>
      </w:r>
      <w:r w:rsidRPr="001A3D2B">
        <w:t>Hong Kong Polytechnic University,</w:t>
      </w:r>
      <w:r w:rsidR="005853A9">
        <w:t xml:space="preserve"> and </w:t>
      </w:r>
      <w:r w:rsidR="003A1917">
        <w:t xml:space="preserve">the </w:t>
      </w:r>
      <w:r w:rsidRPr="001A3D2B">
        <w:t>National Chiao-Tung University (Taiwan).</w:t>
      </w:r>
    </w:p>
    <w:p w:rsidR="002377CD" w:rsidRPr="001A3D2B" w:rsidRDefault="002377CD" w:rsidP="002377CD">
      <w:pPr>
        <w:pStyle w:val="a3"/>
        <w:rPr>
          <w:kern w:val="0"/>
          <w:szCs w:val="24"/>
        </w:rPr>
      </w:pPr>
      <w:r w:rsidRPr="001A3D2B">
        <w:rPr>
          <w:kern w:val="0"/>
          <w:szCs w:val="24"/>
        </w:rPr>
        <w:t xml:space="preserve">Keywords: Advanced, Algorithm, Analysis, Asia, Asian, Authors, Bibliometric, Bibliometric Analysis, China, Collaboration, Contribution, Cooperation, Distribution, </w:t>
      </w:r>
      <w:r w:rsidRPr="001A3D2B">
        <w:rPr>
          <w:kern w:val="0"/>
          <w:szCs w:val="24"/>
        </w:rPr>
        <w:lastRenderedPageBreak/>
        <w:t>Hong Kong, Impact, India, Indian, Information, Institutions, Japan, Journals, Korea, Local, Management, Management Science, Operations Research, OR, MS, Papers, People</w:t>
      </w:r>
      <w:r w:rsidR="00700038">
        <w:rPr>
          <w:kern w:val="0"/>
          <w:szCs w:val="24"/>
        </w:rPr>
        <w:t>’</w:t>
      </w:r>
      <w:r w:rsidR="00C13DDC">
        <w:rPr>
          <w:kern w:val="0"/>
          <w:szCs w:val="24"/>
        </w:rPr>
        <w:t>s</w:t>
      </w:r>
      <w:r w:rsidRPr="001A3D2B">
        <w:rPr>
          <w:kern w:val="0"/>
          <w:szCs w:val="24"/>
        </w:rPr>
        <w:t xml:space="preserve"> Republic</w:t>
      </w:r>
      <w:r w:rsidR="00427468">
        <w:rPr>
          <w:kern w:val="0"/>
          <w:szCs w:val="24"/>
        </w:rPr>
        <w:t xml:space="preserve"> of </w:t>
      </w:r>
      <w:r w:rsidRPr="001A3D2B">
        <w:rPr>
          <w:kern w:val="0"/>
          <w:szCs w:val="24"/>
        </w:rPr>
        <w:t xml:space="preserve">China, PRC, Research, Science, Singapore, South Korea, Systems, Taiwan, Time, Trends, United States, </w:t>
      </w:r>
      <w:r w:rsidR="00D5664A">
        <w:rPr>
          <w:kern w:val="0"/>
          <w:szCs w:val="24"/>
        </w:rPr>
        <w:t>USA</w:t>
      </w:r>
    </w:p>
    <w:p w:rsidR="00C915FF" w:rsidRPr="001A3D2B" w:rsidRDefault="00C915FF" w:rsidP="00C915FF">
      <w:pPr>
        <w:pStyle w:val="1"/>
      </w:pPr>
      <w:r w:rsidRPr="001A3D2B">
        <w:br w:type="page"/>
      </w:r>
      <w:bookmarkStart w:id="637" w:name="_Toc420814621"/>
      <w:r w:rsidRPr="001A3D2B">
        <w:lastRenderedPageBreak/>
        <w:t>Title: Asia-Pacific Journal</w:t>
      </w:r>
      <w:r w:rsidR="00427468">
        <w:t xml:space="preserve"> of </w:t>
      </w:r>
      <w:r w:rsidRPr="001A3D2B">
        <w:t>Public Health</w:t>
      </w:r>
      <w:bookmarkEnd w:id="637"/>
    </w:p>
    <w:p w:rsidR="00C915FF" w:rsidRPr="001A3D2B" w:rsidRDefault="00C915FF" w:rsidP="00C915FF">
      <w:pPr>
        <w:pStyle w:val="12"/>
      </w:pPr>
      <w:r w:rsidRPr="001A3D2B">
        <w:t>F</w:t>
      </w:r>
      <w:bookmarkStart w:id="638" w:name="_Toc233720585"/>
      <w:r w:rsidRPr="001A3D2B">
        <w:t xml:space="preserve">ull Journal Title: </w:t>
      </w:r>
      <w:r w:rsidR="00206C8A">
        <w:fldChar w:fldCharType="begin"/>
      </w:r>
      <w:r w:rsidR="00FD158B">
        <w:instrText>HYPERLINK "http://www.sc</w:instrText>
      </w:r>
      <w:bookmarkEnd w:id="638"/>
      <w:r w:rsidR="00FD158B">
        <w:instrText>opus.com/scopus/source/sourceInfo.url?sourceId=19598"</w:instrText>
      </w:r>
      <w:r w:rsidR="00206C8A">
        <w:fldChar w:fldCharType="separate"/>
      </w:r>
      <w:r w:rsidRPr="001A3D2B">
        <w:rPr>
          <w:iCs/>
        </w:rPr>
        <w:t>Asia-Pacific Journal</w:t>
      </w:r>
      <w:r w:rsidR="00427468">
        <w:rPr>
          <w:iCs/>
        </w:rPr>
        <w:t xml:space="preserve"> of </w:t>
      </w:r>
      <w:r w:rsidRPr="001A3D2B">
        <w:rPr>
          <w:iCs/>
        </w:rPr>
        <w:t>Public Health</w:t>
      </w:r>
      <w:r w:rsidR="00206C8A">
        <w:fldChar w:fldCharType="end"/>
      </w:r>
    </w:p>
    <w:p w:rsidR="00C915FF" w:rsidRPr="001A3D2B" w:rsidRDefault="00C915FF" w:rsidP="00C915FF">
      <w:pPr>
        <w:pStyle w:val="12"/>
      </w:pPr>
      <w:r w:rsidRPr="001A3D2B">
        <w:t xml:space="preserve">ISO Abbreviated Title: </w:t>
      </w:r>
    </w:p>
    <w:p w:rsidR="00C915FF" w:rsidRPr="001A3D2B" w:rsidRDefault="00CE64DF" w:rsidP="00C915FF">
      <w:pPr>
        <w:pStyle w:val="12"/>
      </w:pPr>
      <w:r w:rsidRPr="001A3D2B">
        <w:t>JCR Abbreviated Title:</w:t>
      </w:r>
      <w:r w:rsidR="00C915FF" w:rsidRPr="001A3D2B">
        <w:t xml:space="preserve"> </w:t>
      </w:r>
    </w:p>
    <w:p w:rsidR="00C915FF" w:rsidRPr="001A3D2B" w:rsidRDefault="00C915FF" w:rsidP="00C915FF">
      <w:pPr>
        <w:pStyle w:val="12"/>
      </w:pPr>
      <w:r w:rsidRPr="001A3D2B">
        <w:t>ISSN: 1010-5395</w:t>
      </w:r>
    </w:p>
    <w:p w:rsidR="00C915FF" w:rsidRPr="001A3D2B" w:rsidRDefault="00C915FF" w:rsidP="00C915FF">
      <w:pPr>
        <w:pStyle w:val="12"/>
      </w:pPr>
      <w:r w:rsidRPr="001A3D2B">
        <w:t xml:space="preserve">Issues/Year: </w:t>
      </w:r>
    </w:p>
    <w:p w:rsidR="00C915FF" w:rsidRPr="001A3D2B" w:rsidRDefault="00C915FF" w:rsidP="00C915FF">
      <w:pPr>
        <w:pStyle w:val="12"/>
      </w:pPr>
      <w:r w:rsidRPr="001A3D2B">
        <w:t xml:space="preserve">Journal Country/Territory: </w:t>
      </w:r>
    </w:p>
    <w:p w:rsidR="00C915FF" w:rsidRPr="001A3D2B" w:rsidRDefault="00C915FF" w:rsidP="00C915FF">
      <w:pPr>
        <w:pStyle w:val="12"/>
      </w:pPr>
      <w:r w:rsidRPr="001A3D2B">
        <w:t xml:space="preserve">Language: </w:t>
      </w:r>
    </w:p>
    <w:p w:rsidR="00C915FF" w:rsidRPr="001A3D2B" w:rsidRDefault="00C915FF" w:rsidP="00C915FF">
      <w:pPr>
        <w:pStyle w:val="12"/>
      </w:pPr>
      <w:r w:rsidRPr="001A3D2B">
        <w:t xml:space="preserve">Publisher: </w:t>
      </w:r>
    </w:p>
    <w:p w:rsidR="00C915FF" w:rsidRPr="001A3D2B" w:rsidRDefault="00C915FF" w:rsidP="00C915FF">
      <w:pPr>
        <w:pStyle w:val="12"/>
      </w:pPr>
      <w:r w:rsidRPr="001A3D2B">
        <w:t xml:space="preserve">Publisher Address: </w:t>
      </w:r>
    </w:p>
    <w:p w:rsidR="00C915FF" w:rsidRPr="001A3D2B" w:rsidRDefault="00C915FF" w:rsidP="00C915FF">
      <w:pPr>
        <w:pStyle w:val="12"/>
      </w:pPr>
      <w:r w:rsidRPr="001A3D2B">
        <w:t xml:space="preserve">Subject Categories: </w:t>
      </w:r>
    </w:p>
    <w:p w:rsidR="00C915FF" w:rsidRPr="001A3D2B" w:rsidRDefault="00C915FF" w:rsidP="00C915FF">
      <w:pPr>
        <w:pStyle w:val="12"/>
      </w:pPr>
      <w:r w:rsidRPr="001A3D2B">
        <w:t>: Impact Factor</w:t>
      </w:r>
    </w:p>
    <w:p w:rsidR="00C915FF" w:rsidRPr="001A3D2B" w:rsidRDefault="00C915FF" w:rsidP="00C915FF">
      <w:pPr>
        <w:pStyle w:val="a3"/>
        <w:rPr>
          <w:kern w:val="0"/>
          <w:szCs w:val="24"/>
        </w:rPr>
      </w:pPr>
      <w:r w:rsidRPr="001A3D2B">
        <w:rPr>
          <w:kern w:val="0"/>
          <w:szCs w:val="24"/>
        </w:rPr>
        <w:t>? Paraje, G., Sadana, R.</w:t>
      </w:r>
      <w:r w:rsidR="005853A9">
        <w:rPr>
          <w:kern w:val="0"/>
          <w:szCs w:val="24"/>
        </w:rPr>
        <w:t xml:space="preserve"> and </w:t>
      </w:r>
      <w:r w:rsidRPr="001A3D2B">
        <w:rPr>
          <w:kern w:val="0"/>
          <w:szCs w:val="24"/>
        </w:rPr>
        <w:t>Salmela, R. (2009), Collaboration</w:t>
      </w:r>
      <w:r w:rsidR="005853A9">
        <w:rPr>
          <w:kern w:val="0"/>
          <w:szCs w:val="24"/>
        </w:rPr>
        <w:t xml:space="preserve"> and </w:t>
      </w:r>
      <w:r w:rsidR="00B5188C">
        <w:rPr>
          <w:kern w:val="0"/>
          <w:szCs w:val="24"/>
        </w:rPr>
        <w:t>“</w:t>
      </w:r>
      <w:r w:rsidRPr="001A3D2B">
        <w:rPr>
          <w:kern w:val="0"/>
          <w:szCs w:val="24"/>
        </w:rPr>
        <w:t>visibility</w:t>
      </w:r>
      <w:r w:rsidR="00B5188C">
        <w:rPr>
          <w:kern w:val="0"/>
          <w:szCs w:val="24"/>
        </w:rPr>
        <w:t>”</w:t>
      </w:r>
      <w:r w:rsidR="00427468">
        <w:rPr>
          <w:kern w:val="0"/>
          <w:szCs w:val="24"/>
        </w:rPr>
        <w:t xml:space="preserve"> of </w:t>
      </w:r>
      <w:r w:rsidRPr="001A3D2B">
        <w:rPr>
          <w:kern w:val="0"/>
          <w:szCs w:val="24"/>
        </w:rPr>
        <w:t>health research in</w:t>
      </w:r>
      <w:r w:rsidR="003A1917">
        <w:rPr>
          <w:kern w:val="0"/>
          <w:szCs w:val="24"/>
        </w:rPr>
        <w:t xml:space="preserve"> the </w:t>
      </w:r>
      <w:r w:rsidRPr="001A3D2B">
        <w:rPr>
          <w:kern w:val="0"/>
          <w:szCs w:val="24"/>
        </w:rPr>
        <w:t xml:space="preserve">western pacific region. </w:t>
      </w:r>
      <w:r w:rsidRPr="001A3D2B">
        <w:rPr>
          <w:i/>
          <w:iCs/>
          <w:kern w:val="0"/>
          <w:szCs w:val="24"/>
        </w:rPr>
        <w:t>Asia-Pacific Journal</w:t>
      </w:r>
      <w:r w:rsidR="00427468">
        <w:rPr>
          <w:i/>
          <w:iCs/>
          <w:kern w:val="0"/>
          <w:szCs w:val="24"/>
        </w:rPr>
        <w:t xml:space="preserve"> of </w:t>
      </w:r>
      <w:r w:rsidRPr="001A3D2B">
        <w:rPr>
          <w:i/>
          <w:iCs/>
          <w:kern w:val="0"/>
          <w:szCs w:val="24"/>
        </w:rPr>
        <w:t>Public Health</w:t>
      </w:r>
      <w:r w:rsidRPr="001A3D2B">
        <w:rPr>
          <w:kern w:val="0"/>
          <w:szCs w:val="24"/>
        </w:rPr>
        <w:t xml:space="preserve">, </w:t>
      </w:r>
      <w:r w:rsidRPr="001A3D2B">
        <w:rPr>
          <w:b/>
          <w:bCs/>
          <w:kern w:val="0"/>
          <w:szCs w:val="24"/>
        </w:rPr>
        <w:t>21</w:t>
      </w:r>
      <w:r w:rsidRPr="001A3D2B">
        <w:rPr>
          <w:kern w:val="0"/>
          <w:szCs w:val="24"/>
        </w:rPr>
        <w:t xml:space="preserve"> (2), 128-136.</w:t>
      </w:r>
    </w:p>
    <w:p w:rsidR="008C26FA" w:rsidRPr="001A3D2B" w:rsidRDefault="008C26FA" w:rsidP="00C915FF">
      <w:pPr>
        <w:pStyle w:val="a3"/>
        <w:rPr>
          <w:kern w:val="0"/>
          <w:szCs w:val="24"/>
        </w:rPr>
      </w:pPr>
      <w:r w:rsidRPr="001A3D2B">
        <w:rPr>
          <w:kern w:val="0"/>
          <w:szCs w:val="24"/>
        </w:rPr>
        <w:t xml:space="preserve">Full Text: </w:t>
      </w:r>
      <w:hyperlink r:id="rId1255" w:history="1">
        <w:r w:rsidRPr="001A3D2B">
          <w:rPr>
            <w:rStyle w:val="a5"/>
            <w:kern w:val="0"/>
            <w:szCs w:val="24"/>
          </w:rPr>
          <w:t>2009\Asi-Pac J Pub Hea21, 128.pdf</w:t>
        </w:r>
      </w:hyperlink>
    </w:p>
    <w:p w:rsidR="00C915FF" w:rsidRPr="001A3D2B" w:rsidRDefault="00C915FF" w:rsidP="00C915FF">
      <w:pPr>
        <w:pStyle w:val="a3"/>
        <w:rPr>
          <w:kern w:val="0"/>
          <w:szCs w:val="24"/>
        </w:rPr>
      </w:pPr>
      <w:r w:rsidRPr="001A3D2B">
        <w:rPr>
          <w:kern w:val="0"/>
          <w:szCs w:val="24"/>
        </w:rPr>
        <w:t xml:space="preserve">Abstract: Using more than 3.5 million bibliographic references in Thomson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sidRPr="001A3D2B">
        <w:rPr>
          <w:kern w:val="0"/>
          <w:szCs w:val="24"/>
        </w:rPr>
        <w:t xml:space="preserve"> (health-related articles, notes,</w:t>
      </w:r>
      <w:r w:rsidR="005853A9">
        <w:rPr>
          <w:kern w:val="0"/>
          <w:szCs w:val="24"/>
        </w:rPr>
        <w:t xml:space="preserve"> and </w:t>
      </w:r>
      <w:r w:rsidRPr="001A3D2B">
        <w:rPr>
          <w:kern w:val="0"/>
          <w:szCs w:val="24"/>
        </w:rPr>
        <w:t>reviews)</w:t>
      </w:r>
      <w:r w:rsidR="005853A9">
        <w:rPr>
          <w:kern w:val="0"/>
          <w:szCs w:val="24"/>
        </w:rPr>
        <w:t xml:space="preserve"> and </w:t>
      </w:r>
      <w:r w:rsidRPr="001A3D2B">
        <w:rPr>
          <w:kern w:val="0"/>
          <w:szCs w:val="24"/>
        </w:rPr>
        <w:t>a broad definition</w:t>
      </w:r>
      <w:r w:rsidR="00427468">
        <w:rPr>
          <w:kern w:val="0"/>
          <w:szCs w:val="24"/>
        </w:rPr>
        <w:t xml:space="preserve"> of </w:t>
      </w:r>
      <w:r w:rsidRPr="001A3D2B">
        <w:rPr>
          <w:kern w:val="0"/>
          <w:szCs w:val="24"/>
        </w:rPr>
        <w:t>health (covering related social, medical, environmental,</w:t>
      </w:r>
      <w:r w:rsidR="005853A9">
        <w:rPr>
          <w:kern w:val="0"/>
          <w:szCs w:val="24"/>
        </w:rPr>
        <w:t xml:space="preserve"> and </w:t>
      </w:r>
      <w:r w:rsidRPr="001A3D2B">
        <w:rPr>
          <w:kern w:val="0"/>
          <w:szCs w:val="24"/>
        </w:rPr>
        <w:t>physical sciences) research production, collaboration patterns</w:t>
      </w:r>
      <w:r w:rsidR="005853A9">
        <w:rPr>
          <w:kern w:val="0"/>
          <w:szCs w:val="24"/>
        </w:rPr>
        <w:t xml:space="preserve"> and </w:t>
      </w:r>
      <w:r w:rsidR="00B5188C">
        <w:rPr>
          <w:kern w:val="0"/>
          <w:szCs w:val="24"/>
        </w:rPr>
        <w:t>“</w:t>
      </w:r>
      <w:r w:rsidRPr="001A3D2B">
        <w:rPr>
          <w:kern w:val="0"/>
          <w:szCs w:val="24"/>
        </w:rPr>
        <w:t>visibility</w:t>
      </w:r>
      <w:r w:rsidR="00B5188C">
        <w:rPr>
          <w:kern w:val="0"/>
          <w:szCs w:val="24"/>
        </w:rPr>
        <w:t>”</w:t>
      </w:r>
      <w:r w:rsidR="00427468">
        <w:rPr>
          <w:kern w:val="0"/>
          <w:szCs w:val="24"/>
        </w:rPr>
        <w:t xml:space="preserve"> of </w:t>
      </w:r>
      <w:r w:rsidRPr="001A3D2B">
        <w:rPr>
          <w:kern w:val="0"/>
          <w:szCs w:val="24"/>
        </w:rPr>
        <w:t>that production for largest producers in</w:t>
      </w:r>
      <w:r w:rsidR="003A1917">
        <w:rPr>
          <w:kern w:val="0"/>
          <w:szCs w:val="24"/>
        </w:rPr>
        <w:t xml:space="preserve"> the </w:t>
      </w:r>
      <w:r w:rsidRPr="001A3D2B">
        <w:rPr>
          <w:kern w:val="0"/>
          <w:szCs w:val="24"/>
        </w:rPr>
        <w:t>Western Pacific Region</w:t>
      </w:r>
      <w:r w:rsidR="00427468">
        <w:rPr>
          <w:kern w:val="0"/>
          <w:szCs w:val="24"/>
        </w:rPr>
        <w:t xml:space="preserve"> of </w:t>
      </w:r>
      <w:r w:rsidR="003A1917">
        <w:rPr>
          <w:kern w:val="0"/>
          <w:szCs w:val="24"/>
        </w:rPr>
        <w:t xml:space="preserve">the </w:t>
      </w:r>
      <w:r w:rsidRPr="001A3D2B">
        <w:rPr>
          <w:kern w:val="0"/>
          <w:szCs w:val="24"/>
        </w:rPr>
        <w:t>World Health Organization are estimated for</w:t>
      </w:r>
      <w:r w:rsidR="003A1917">
        <w:rPr>
          <w:kern w:val="0"/>
          <w:szCs w:val="24"/>
        </w:rPr>
        <w:t xml:space="preserve"> the </w:t>
      </w:r>
      <w:r w:rsidRPr="001A3D2B">
        <w:rPr>
          <w:kern w:val="0"/>
          <w:szCs w:val="24"/>
        </w:rPr>
        <w:t>1992-2001 period. Two findings are</w:t>
      </w:r>
      <w:r w:rsidR="00427468">
        <w:rPr>
          <w:kern w:val="0"/>
          <w:szCs w:val="24"/>
        </w:rPr>
        <w:t xml:space="preserve"> of </w:t>
      </w:r>
      <w:r w:rsidRPr="001A3D2B">
        <w:rPr>
          <w:kern w:val="0"/>
          <w:szCs w:val="24"/>
        </w:rPr>
        <w:t>particular interest in relation to</w:t>
      </w:r>
      <w:r w:rsidR="003A1917">
        <w:rPr>
          <w:kern w:val="0"/>
          <w:szCs w:val="24"/>
        </w:rPr>
        <w:t xml:space="preserve"> the </w:t>
      </w:r>
      <w:r w:rsidRPr="001A3D2B">
        <w:rPr>
          <w:kern w:val="0"/>
          <w:szCs w:val="24"/>
        </w:rPr>
        <w:t>production</w:t>
      </w:r>
      <w:r w:rsidR="00427468">
        <w:rPr>
          <w:kern w:val="0"/>
          <w:szCs w:val="24"/>
        </w:rPr>
        <w:t xml:space="preserve"> of </w:t>
      </w:r>
      <w:r w:rsidRPr="001A3D2B">
        <w:rPr>
          <w:kern w:val="0"/>
          <w:szCs w:val="24"/>
        </w:rPr>
        <w:t>relevant knowledge on health topics</w:t>
      </w:r>
      <w:r w:rsidR="005853A9">
        <w:rPr>
          <w:kern w:val="0"/>
          <w:szCs w:val="24"/>
        </w:rPr>
        <w:t xml:space="preserve"> and </w:t>
      </w:r>
      <w:r w:rsidRPr="001A3D2B">
        <w:rPr>
          <w:kern w:val="0"/>
          <w:szCs w:val="24"/>
        </w:rPr>
        <w:t>equity in</w:t>
      </w:r>
      <w:r w:rsidR="003A1917">
        <w:rPr>
          <w:kern w:val="0"/>
          <w:szCs w:val="24"/>
        </w:rPr>
        <w:t xml:space="preserve"> the </w:t>
      </w:r>
      <w:r w:rsidRPr="001A3D2B">
        <w:rPr>
          <w:kern w:val="0"/>
          <w:szCs w:val="24"/>
        </w:rPr>
        <w:t>access to this knowledge</w:t>
      </w:r>
      <w:r w:rsidR="00A37C1D">
        <w:rPr>
          <w:kern w:val="0"/>
          <w:szCs w:val="24"/>
        </w:rPr>
        <w:t>. The</w:t>
      </w:r>
      <w:r w:rsidR="003A1917">
        <w:rPr>
          <w:kern w:val="0"/>
          <w:szCs w:val="24"/>
        </w:rPr>
        <w:t xml:space="preserve"> </w:t>
      </w:r>
      <w:r w:rsidRPr="001A3D2B">
        <w:rPr>
          <w:kern w:val="0"/>
          <w:szCs w:val="24"/>
        </w:rPr>
        <w:t>first is that intraregional collaboration is low</w:t>
      </w:r>
      <w:r w:rsidR="005853A9">
        <w:rPr>
          <w:kern w:val="0"/>
          <w:szCs w:val="24"/>
        </w:rPr>
        <w:t xml:space="preserve"> and </w:t>
      </w:r>
      <w:r w:rsidRPr="001A3D2B">
        <w:rPr>
          <w:kern w:val="0"/>
          <w:szCs w:val="24"/>
        </w:rPr>
        <w:t>that large regional producers</w:t>
      </w:r>
      <w:r w:rsidR="00427468">
        <w:rPr>
          <w:kern w:val="0"/>
          <w:szCs w:val="24"/>
        </w:rPr>
        <w:t xml:space="preserve"> of </w:t>
      </w:r>
      <w:r w:rsidRPr="001A3D2B">
        <w:rPr>
          <w:kern w:val="0"/>
          <w:szCs w:val="24"/>
        </w:rPr>
        <w:t>research (ie, Japan, Australia, China, etc) collaborate more with high-income countries from other regions than among themselves within</w:t>
      </w:r>
      <w:r w:rsidR="003A1917">
        <w:rPr>
          <w:kern w:val="0"/>
          <w:szCs w:val="24"/>
        </w:rPr>
        <w:t xml:space="preserve"> the </w:t>
      </w:r>
      <w:r w:rsidRPr="001A3D2B">
        <w:rPr>
          <w:kern w:val="0"/>
          <w:szCs w:val="24"/>
        </w:rPr>
        <w:t>region, or with smaller regional research producers</w:t>
      </w:r>
      <w:r w:rsidR="00A37C1D">
        <w:rPr>
          <w:kern w:val="0"/>
          <w:szCs w:val="24"/>
        </w:rPr>
        <w:t>. The</w:t>
      </w:r>
      <w:r w:rsidR="003A1917">
        <w:rPr>
          <w:kern w:val="0"/>
          <w:szCs w:val="24"/>
        </w:rPr>
        <w:t xml:space="preserve"> </w:t>
      </w:r>
      <w:r w:rsidRPr="001A3D2B">
        <w:rPr>
          <w:kern w:val="0"/>
          <w:szCs w:val="24"/>
        </w:rPr>
        <w:t xml:space="preserve">second one is that </w:t>
      </w:r>
      <w:r w:rsidR="00B5188C">
        <w:rPr>
          <w:kern w:val="0"/>
          <w:szCs w:val="24"/>
        </w:rPr>
        <w:t>“</w:t>
      </w:r>
      <w:r w:rsidRPr="001A3D2B">
        <w:rPr>
          <w:kern w:val="0"/>
          <w:szCs w:val="24"/>
        </w:rPr>
        <w:t>visibility</w:t>
      </w:r>
      <w:r w:rsidR="00B5188C">
        <w:rPr>
          <w:kern w:val="0"/>
          <w:szCs w:val="24"/>
        </w:rPr>
        <w:t>”</w:t>
      </w:r>
      <w:r w:rsidR="00427468">
        <w:rPr>
          <w:kern w:val="0"/>
          <w:szCs w:val="24"/>
        </w:rPr>
        <w:t xml:space="preserve"> of </w:t>
      </w:r>
      <w:r w:rsidRPr="001A3D2B">
        <w:rPr>
          <w:kern w:val="0"/>
          <w:szCs w:val="24"/>
        </w:rPr>
        <w:t>health research in</w:t>
      </w:r>
      <w:r w:rsidR="003A1917">
        <w:rPr>
          <w:kern w:val="0"/>
          <w:szCs w:val="24"/>
        </w:rPr>
        <w:t xml:space="preserve"> the </w:t>
      </w:r>
      <w:r w:rsidRPr="001A3D2B">
        <w:rPr>
          <w:kern w:val="0"/>
          <w:szCs w:val="24"/>
        </w:rPr>
        <w:t xml:space="preserve">region is relatively low, even for high-income countries. High </w:t>
      </w:r>
      <w:r w:rsidR="00B5188C">
        <w:rPr>
          <w:kern w:val="0"/>
          <w:szCs w:val="24"/>
        </w:rPr>
        <w:t>“</w:t>
      </w:r>
      <w:r w:rsidRPr="001A3D2B">
        <w:rPr>
          <w:kern w:val="0"/>
          <w:szCs w:val="24"/>
        </w:rPr>
        <w:t>visibility</w:t>
      </w:r>
      <w:r w:rsidR="00B5188C">
        <w:rPr>
          <w:kern w:val="0"/>
          <w:szCs w:val="24"/>
        </w:rPr>
        <w:t>”</w:t>
      </w:r>
      <w:r w:rsidRPr="001A3D2B">
        <w:rPr>
          <w:kern w:val="0"/>
          <w:szCs w:val="24"/>
        </w:rPr>
        <w:t xml:space="preserve"> research is mostly done with</w:t>
      </w:r>
      <w:r w:rsidR="003A1917">
        <w:rPr>
          <w:kern w:val="0"/>
          <w:szCs w:val="24"/>
        </w:rPr>
        <w:t xml:space="preserve"> the </w:t>
      </w:r>
      <w:r w:rsidRPr="001A3D2B">
        <w:rPr>
          <w:kern w:val="0"/>
          <w:szCs w:val="24"/>
        </w:rPr>
        <w:t>involvement, through collaboration,</w:t>
      </w:r>
      <w:r w:rsidR="00427468">
        <w:rPr>
          <w:kern w:val="0"/>
          <w:szCs w:val="24"/>
        </w:rPr>
        <w:t xml:space="preserve"> of </w:t>
      </w:r>
      <w:r w:rsidRPr="001A3D2B">
        <w:rPr>
          <w:kern w:val="0"/>
          <w:szCs w:val="24"/>
        </w:rPr>
        <w:t xml:space="preserve">extra-region high-income countries. Collaboration between low-income or middle-income countries is mostly in low </w:t>
      </w:r>
      <w:r w:rsidR="00B5188C">
        <w:rPr>
          <w:kern w:val="0"/>
          <w:szCs w:val="24"/>
        </w:rPr>
        <w:t>“</w:t>
      </w:r>
      <w:r w:rsidRPr="001A3D2B">
        <w:rPr>
          <w:kern w:val="0"/>
          <w:szCs w:val="24"/>
        </w:rPr>
        <w:t>visibility</w:t>
      </w:r>
      <w:r w:rsidR="00B5188C">
        <w:rPr>
          <w:kern w:val="0"/>
          <w:szCs w:val="24"/>
        </w:rPr>
        <w:t>”</w:t>
      </w:r>
      <w:r w:rsidRPr="001A3D2B">
        <w:rPr>
          <w:kern w:val="0"/>
          <w:szCs w:val="24"/>
        </w:rPr>
        <w:t xml:space="preserve"> research.</w:t>
      </w:r>
    </w:p>
    <w:p w:rsidR="00C915FF" w:rsidRDefault="00C915FF" w:rsidP="00C915FF">
      <w:pPr>
        <w:pStyle w:val="a3"/>
        <w:rPr>
          <w:kern w:val="0"/>
          <w:szCs w:val="24"/>
        </w:rPr>
      </w:pPr>
      <w:r w:rsidRPr="001A3D2B">
        <w:rPr>
          <w:kern w:val="0"/>
          <w:szCs w:val="24"/>
        </w:rPr>
        <w:t xml:space="preserve">Keywords: Access, Bibliometrics, Collaboration, Countries, Knowledge, Medical, Research, Research Production, Science, Sciences, Visibility, </w:t>
      </w:r>
      <w:r w:rsidR="00D5664A">
        <w:rPr>
          <w:kern w:val="0"/>
          <w:szCs w:val="24"/>
        </w:rPr>
        <w:t>Web</w:t>
      </w:r>
      <w:r w:rsidR="00427468">
        <w:rPr>
          <w:kern w:val="0"/>
          <w:szCs w:val="24"/>
        </w:rPr>
        <w:t xml:space="preserve"> of </w:t>
      </w:r>
      <w:r w:rsidR="00D5664A">
        <w:rPr>
          <w:kern w:val="0"/>
          <w:szCs w:val="24"/>
        </w:rPr>
        <w:t>Science</w:t>
      </w:r>
      <w:r w:rsidRPr="001A3D2B">
        <w:rPr>
          <w:kern w:val="0"/>
          <w:szCs w:val="24"/>
        </w:rPr>
        <w:t>, Western Pacific</w:t>
      </w:r>
    </w:p>
    <w:p w:rsidR="00D91726" w:rsidRPr="001A3D2B" w:rsidRDefault="00D91726" w:rsidP="00C915FF">
      <w:pPr>
        <w:pStyle w:val="a3"/>
        <w:rPr>
          <w:kern w:val="0"/>
          <w:szCs w:val="24"/>
        </w:rPr>
      </w:pPr>
      <w:r>
        <w:rPr>
          <w:rFonts w:hint="eastAsia"/>
          <w:kern w:val="0"/>
          <w:szCs w:val="24"/>
        </w:rPr>
        <w:t>Notes: CCountry</w:t>
      </w:r>
    </w:p>
    <w:p w:rsidR="00D91726" w:rsidRDefault="00D91726" w:rsidP="00D91726">
      <w:pPr>
        <w:pStyle w:val="a3"/>
        <w:rPr>
          <w:kern w:val="0"/>
        </w:rPr>
      </w:pPr>
      <w:r>
        <w:rPr>
          <w:rFonts w:hint="eastAsia"/>
          <w:kern w:val="0"/>
        </w:rPr>
        <w:t xml:space="preserve">? </w:t>
      </w:r>
      <w:r>
        <w:rPr>
          <w:kern w:val="0"/>
        </w:rPr>
        <w:t>Simkhada, P.P., Baral, Y.R.</w:t>
      </w:r>
      <w:r w:rsidR="005853A9">
        <w:rPr>
          <w:kern w:val="0"/>
        </w:rPr>
        <w:t xml:space="preserve"> and </w:t>
      </w:r>
      <w:r>
        <w:rPr>
          <w:kern w:val="0"/>
        </w:rPr>
        <w:t>van Teijlingen, E.R. (2010), Health</w:t>
      </w:r>
      <w:r w:rsidR="005853A9">
        <w:rPr>
          <w:kern w:val="0"/>
        </w:rPr>
        <w:t xml:space="preserve"> and </w:t>
      </w:r>
      <w:r>
        <w:rPr>
          <w:kern w:val="0"/>
        </w:rPr>
        <w:t xml:space="preserve">medical research in Nepal: A bibliometric review. </w:t>
      </w:r>
      <w:r>
        <w:rPr>
          <w:i/>
          <w:iCs/>
          <w:kern w:val="0"/>
        </w:rPr>
        <w:t>Asia-Pacific Journal</w:t>
      </w:r>
      <w:r w:rsidR="00427468">
        <w:rPr>
          <w:i/>
          <w:iCs/>
          <w:kern w:val="0"/>
        </w:rPr>
        <w:t xml:space="preserve"> of </w:t>
      </w:r>
      <w:r>
        <w:rPr>
          <w:i/>
          <w:iCs/>
          <w:kern w:val="0"/>
        </w:rPr>
        <w:t>Public Health</w:t>
      </w:r>
      <w:r>
        <w:rPr>
          <w:kern w:val="0"/>
        </w:rPr>
        <w:t xml:space="preserve">, </w:t>
      </w:r>
      <w:r>
        <w:rPr>
          <w:b/>
          <w:bCs/>
          <w:kern w:val="0"/>
        </w:rPr>
        <w:t>22</w:t>
      </w:r>
      <w:r>
        <w:rPr>
          <w:kern w:val="0"/>
        </w:rPr>
        <w:t xml:space="preserve"> </w:t>
      </w:r>
      <w:r>
        <w:rPr>
          <w:kern w:val="0"/>
        </w:rPr>
        <w:lastRenderedPageBreak/>
        <w:t>(4), 492-500.</w:t>
      </w:r>
    </w:p>
    <w:p w:rsidR="00D91726" w:rsidRPr="001A3D2B" w:rsidRDefault="00D91726" w:rsidP="00D91726">
      <w:pPr>
        <w:pStyle w:val="a3"/>
        <w:rPr>
          <w:kern w:val="0"/>
        </w:rPr>
      </w:pPr>
      <w:r w:rsidRPr="001A3D2B">
        <w:rPr>
          <w:kern w:val="0"/>
        </w:rPr>
        <w:t xml:space="preserve">Full Text: </w:t>
      </w:r>
      <w:hyperlink r:id="rId1256" w:history="1">
        <w:r w:rsidR="00A92E00" w:rsidRPr="00A92E00">
          <w:rPr>
            <w:rStyle w:val="a5"/>
            <w:kern w:val="0"/>
          </w:rPr>
          <w:t>2010\Asi-Pac J Pub Hea22, 492.pdf</w:t>
        </w:r>
      </w:hyperlink>
    </w:p>
    <w:p w:rsidR="00D91726" w:rsidRDefault="00D91726" w:rsidP="00D91726">
      <w:pPr>
        <w:pStyle w:val="a3"/>
        <w:rPr>
          <w:kern w:val="0"/>
        </w:rPr>
      </w:pPr>
      <w:r>
        <w:rPr>
          <w:kern w:val="0"/>
        </w:rPr>
        <w:t>Abstract: This study aimed to quantify</w:t>
      </w:r>
      <w:r w:rsidR="003A1917">
        <w:rPr>
          <w:kern w:val="0"/>
        </w:rPr>
        <w:t xml:space="preserve"> the </w:t>
      </w:r>
      <w:r>
        <w:rPr>
          <w:kern w:val="0"/>
        </w:rPr>
        <w:t>following: (1) health research in academic journals covering Nepal, (2) location</w:t>
      </w:r>
      <w:r w:rsidR="00427468">
        <w:rPr>
          <w:kern w:val="0"/>
        </w:rPr>
        <w:t xml:space="preserve"> of </w:t>
      </w:r>
      <w:r>
        <w:rPr>
          <w:kern w:val="0"/>
        </w:rPr>
        <w:t>authors,</w:t>
      </w:r>
      <w:r w:rsidR="005853A9">
        <w:rPr>
          <w:kern w:val="0"/>
        </w:rPr>
        <w:t xml:space="preserve"> and </w:t>
      </w:r>
      <w:r>
        <w:rPr>
          <w:kern w:val="0"/>
        </w:rPr>
        <w:t>(3) most prevalent specialties. Published health research conducted in Nepal during 1996 to May 2007 was assessed by searching from 4 electronic databases,</w:t>
      </w:r>
      <w:r w:rsidR="005853A9">
        <w:rPr>
          <w:kern w:val="0"/>
        </w:rPr>
        <w:t xml:space="preserve"> and </w:t>
      </w:r>
      <w:r>
        <w:rPr>
          <w:kern w:val="0"/>
        </w:rPr>
        <w:t>631 research articles met</w:t>
      </w:r>
      <w:r w:rsidR="003A1917">
        <w:rPr>
          <w:kern w:val="0"/>
        </w:rPr>
        <w:t xml:space="preserve"> the </w:t>
      </w:r>
      <w:r>
        <w:rPr>
          <w:kern w:val="0"/>
        </w:rPr>
        <w:t>inclusion criteria. Only 11% was published in Nepalese journals. Most research covered urban districts. About two thirds</w:t>
      </w:r>
      <w:r w:rsidR="00427468">
        <w:rPr>
          <w:kern w:val="0"/>
        </w:rPr>
        <w:t xml:space="preserve"> of </w:t>
      </w:r>
      <w:r>
        <w:rPr>
          <w:kern w:val="0"/>
        </w:rPr>
        <w:t>articles had Nepalese authors, but only 41% had a Nepalese first author. Child health</w:t>
      </w:r>
      <w:r w:rsidR="005853A9">
        <w:rPr>
          <w:kern w:val="0"/>
        </w:rPr>
        <w:t xml:space="preserve"> and </w:t>
      </w:r>
      <w:r>
        <w:rPr>
          <w:kern w:val="0"/>
        </w:rPr>
        <w:t>nutrition (11%), maternal health</w:t>
      </w:r>
      <w:r w:rsidR="005853A9">
        <w:rPr>
          <w:kern w:val="0"/>
        </w:rPr>
        <w:t xml:space="preserve"> and </w:t>
      </w:r>
      <w:r>
        <w:rPr>
          <w:kern w:val="0"/>
        </w:rPr>
        <w:t>women</w:t>
      </w:r>
      <w:r w:rsidR="00700038">
        <w:rPr>
          <w:kern w:val="0"/>
        </w:rPr>
        <w:t>’</w:t>
      </w:r>
      <w:r w:rsidR="00C13DDC">
        <w:rPr>
          <w:kern w:val="0"/>
        </w:rPr>
        <w:t>s</w:t>
      </w:r>
      <w:r>
        <w:rPr>
          <w:kern w:val="0"/>
        </w:rPr>
        <w:t xml:space="preserve"> health (11%),</w:t>
      </w:r>
      <w:r w:rsidR="005853A9">
        <w:rPr>
          <w:kern w:val="0"/>
        </w:rPr>
        <w:t xml:space="preserve"> and </w:t>
      </w:r>
      <w:r>
        <w:rPr>
          <w:kern w:val="0"/>
        </w:rPr>
        <w:t>sexual reproductive health</w:t>
      </w:r>
      <w:r w:rsidR="005853A9">
        <w:rPr>
          <w:kern w:val="0"/>
        </w:rPr>
        <w:t xml:space="preserve"> and </w:t>
      </w:r>
      <w:r>
        <w:rPr>
          <w:kern w:val="0"/>
        </w:rPr>
        <w:t>HIV/AIDS,</w:t>
      </w:r>
      <w:r w:rsidR="005853A9">
        <w:rPr>
          <w:kern w:val="0"/>
        </w:rPr>
        <w:t xml:space="preserve"> and </w:t>
      </w:r>
      <w:r>
        <w:rPr>
          <w:kern w:val="0"/>
        </w:rPr>
        <w:t>family planning (11%) were</w:t>
      </w:r>
      <w:r w:rsidR="003A1917">
        <w:rPr>
          <w:kern w:val="0"/>
        </w:rPr>
        <w:t xml:space="preserve"> the </w:t>
      </w:r>
      <w:r>
        <w:rPr>
          <w:kern w:val="0"/>
        </w:rPr>
        <w:t>most common topics. Most articles (78%) reported quantitative methods</w:t>
      </w:r>
      <w:r w:rsidR="00A37C1D">
        <w:rPr>
          <w:kern w:val="0"/>
        </w:rPr>
        <w:t>. The</w:t>
      </w:r>
      <w:r w:rsidR="003A1917">
        <w:rPr>
          <w:kern w:val="0"/>
        </w:rPr>
        <w:t xml:space="preserve"> </w:t>
      </w:r>
      <w:r>
        <w:rPr>
          <w:kern w:val="0"/>
        </w:rPr>
        <w:t>number</w:t>
      </w:r>
      <w:r w:rsidR="00427468">
        <w:rPr>
          <w:kern w:val="0"/>
        </w:rPr>
        <w:t xml:space="preserve"> of </w:t>
      </w:r>
      <w:r>
        <w:rPr>
          <w:kern w:val="0"/>
        </w:rPr>
        <w:t>research articles from Nepal is fairly small</w:t>
      </w:r>
      <w:r w:rsidR="005853A9">
        <w:rPr>
          <w:kern w:val="0"/>
        </w:rPr>
        <w:t xml:space="preserve"> and </w:t>
      </w:r>
      <w:r>
        <w:rPr>
          <w:kern w:val="0"/>
        </w:rPr>
        <w:t>concentrated on a limited number</w:t>
      </w:r>
      <w:r w:rsidR="00427468">
        <w:rPr>
          <w:kern w:val="0"/>
        </w:rPr>
        <w:t xml:space="preserve"> of </w:t>
      </w:r>
      <w:r>
        <w:rPr>
          <w:kern w:val="0"/>
        </w:rPr>
        <w:t>topics</w:t>
      </w:r>
      <w:r w:rsidR="005853A9">
        <w:rPr>
          <w:kern w:val="0"/>
        </w:rPr>
        <w:t xml:space="preserve"> and </w:t>
      </w:r>
      <w:r>
        <w:rPr>
          <w:kern w:val="0"/>
        </w:rPr>
        <w:t>districts. Strategic planning is required to improve</w:t>
      </w:r>
      <w:r w:rsidR="003A1917">
        <w:rPr>
          <w:kern w:val="0"/>
        </w:rPr>
        <w:t xml:space="preserve"> the </w:t>
      </w:r>
      <w:r>
        <w:rPr>
          <w:kern w:val="0"/>
        </w:rPr>
        <w:t>research capacity</w:t>
      </w:r>
      <w:r w:rsidR="00427468">
        <w:rPr>
          <w:kern w:val="0"/>
        </w:rPr>
        <w:t xml:space="preserve"> of </w:t>
      </w:r>
      <w:r>
        <w:rPr>
          <w:kern w:val="0"/>
        </w:rPr>
        <w:t>Nepal to achieve public health improvements using locally produced evidence.</w:t>
      </w:r>
    </w:p>
    <w:p w:rsidR="00D91726" w:rsidRDefault="00D91726" w:rsidP="00D91726">
      <w:pPr>
        <w:pStyle w:val="a3"/>
        <w:rPr>
          <w:kern w:val="0"/>
        </w:rPr>
      </w:pPr>
      <w:r>
        <w:rPr>
          <w:kern w:val="0"/>
        </w:rPr>
        <w:t>Keywords: Asia, Author, Bibliometric Review, Collaboration, Countries, Developing Countries, Journals, Nepal, Pacific Region, Public-Health, Research</w:t>
      </w:r>
    </w:p>
    <w:p w:rsidR="00654AC1" w:rsidRDefault="00654AC1" w:rsidP="00654AC1">
      <w:pPr>
        <w:pStyle w:val="a3"/>
        <w:rPr>
          <w:kern w:val="0"/>
        </w:rPr>
      </w:pPr>
      <w:r>
        <w:rPr>
          <w:rFonts w:hint="eastAsia"/>
          <w:kern w:val="0"/>
        </w:rPr>
        <w:t xml:space="preserve">? </w:t>
      </w:r>
      <w:r>
        <w:rPr>
          <w:kern w:val="0"/>
        </w:rPr>
        <w:t>Byrne, A., Hodge, A., Jimenez-Soto, E.</w:t>
      </w:r>
      <w:r w:rsidR="005853A9">
        <w:rPr>
          <w:kern w:val="0"/>
        </w:rPr>
        <w:t xml:space="preserve"> and </w:t>
      </w:r>
      <w:r>
        <w:rPr>
          <w:kern w:val="0"/>
        </w:rPr>
        <w:t>Morgan, A. (2013), Looking beyond supply: A systematic literature review</w:t>
      </w:r>
      <w:r w:rsidR="00427468">
        <w:rPr>
          <w:kern w:val="0"/>
        </w:rPr>
        <w:t xml:space="preserve"> of </w:t>
      </w:r>
      <w:r>
        <w:rPr>
          <w:kern w:val="0"/>
        </w:rPr>
        <w:t>demand-side barriers to health service utilization in the mountains</w:t>
      </w:r>
      <w:r w:rsidR="00427468">
        <w:rPr>
          <w:kern w:val="0"/>
        </w:rPr>
        <w:t xml:space="preserve"> of </w:t>
      </w:r>
      <w:r>
        <w:rPr>
          <w:kern w:val="0"/>
        </w:rPr>
        <w:t xml:space="preserve">Nepal. </w:t>
      </w:r>
      <w:r>
        <w:rPr>
          <w:i/>
          <w:iCs/>
          <w:kern w:val="0"/>
        </w:rPr>
        <w:t>Asia-Pacific Journal</w:t>
      </w:r>
      <w:r w:rsidR="00427468">
        <w:rPr>
          <w:i/>
          <w:iCs/>
          <w:kern w:val="0"/>
        </w:rPr>
        <w:t xml:space="preserve"> of </w:t>
      </w:r>
      <w:r>
        <w:rPr>
          <w:i/>
          <w:iCs/>
          <w:kern w:val="0"/>
        </w:rPr>
        <w:t>Public Health</w:t>
      </w:r>
      <w:r>
        <w:rPr>
          <w:kern w:val="0"/>
        </w:rPr>
        <w:t xml:space="preserve">, </w:t>
      </w:r>
      <w:r>
        <w:rPr>
          <w:b/>
          <w:bCs/>
          <w:kern w:val="0"/>
        </w:rPr>
        <w:t>25</w:t>
      </w:r>
      <w:r>
        <w:rPr>
          <w:kern w:val="0"/>
        </w:rPr>
        <w:t xml:space="preserve"> (6), 438-451.</w:t>
      </w:r>
    </w:p>
    <w:p w:rsidR="00654AC1" w:rsidRPr="001A3D2B" w:rsidRDefault="00654AC1" w:rsidP="00654AC1">
      <w:pPr>
        <w:pStyle w:val="a3"/>
        <w:rPr>
          <w:kern w:val="0"/>
        </w:rPr>
      </w:pPr>
      <w:r w:rsidRPr="001A3D2B">
        <w:rPr>
          <w:kern w:val="0"/>
        </w:rPr>
        <w:t xml:space="preserve">Full Text: </w:t>
      </w:r>
      <w:hyperlink r:id="rId1257" w:history="1">
        <w:r w:rsidRPr="00C80363">
          <w:rPr>
            <w:rStyle w:val="a5"/>
            <w:kern w:val="0"/>
          </w:rPr>
          <w:t>2013\Asi-Pac J Pub Hea25, 438.pdf</w:t>
        </w:r>
      </w:hyperlink>
    </w:p>
    <w:p w:rsidR="00654AC1" w:rsidRDefault="00654AC1" w:rsidP="00654AC1">
      <w:pPr>
        <w:pStyle w:val="a3"/>
        <w:rPr>
          <w:kern w:val="0"/>
        </w:rPr>
      </w:pPr>
      <w:r>
        <w:rPr>
          <w:kern w:val="0"/>
        </w:rPr>
        <w:t>Abstract: Significant disparities in reproductive, maternal, newborn,</w:t>
      </w:r>
      <w:r w:rsidR="005853A9">
        <w:rPr>
          <w:kern w:val="0"/>
        </w:rPr>
        <w:t xml:space="preserve"> and </w:t>
      </w:r>
      <w:r>
        <w:rPr>
          <w:kern w:val="0"/>
        </w:rPr>
        <w:t>child health (RMNCH) outcomes</w:t>
      </w:r>
      <w:r w:rsidR="005853A9">
        <w:rPr>
          <w:kern w:val="0"/>
        </w:rPr>
        <w:t xml:space="preserve"> and </w:t>
      </w:r>
      <w:r>
        <w:rPr>
          <w:kern w:val="0"/>
        </w:rPr>
        <w:t>intervention coverage exist between the Mountains</w:t>
      </w:r>
      <w:r w:rsidR="005853A9">
        <w:rPr>
          <w:kern w:val="0"/>
        </w:rPr>
        <w:t xml:space="preserve"> and </w:t>
      </w:r>
      <w:r>
        <w:rPr>
          <w:kern w:val="0"/>
        </w:rPr>
        <w:t>other ecoregions</w:t>
      </w:r>
      <w:r w:rsidR="00427468">
        <w:rPr>
          <w:kern w:val="0"/>
        </w:rPr>
        <w:t xml:space="preserve"> of </w:t>
      </w:r>
      <w:r>
        <w:rPr>
          <w:kern w:val="0"/>
        </w:rPr>
        <w:t>Nepal. Delivery</w:t>
      </w:r>
      <w:r w:rsidR="00427468">
        <w:rPr>
          <w:kern w:val="0"/>
        </w:rPr>
        <w:t xml:space="preserve"> of </w:t>
      </w:r>
      <w:r>
        <w:rPr>
          <w:kern w:val="0"/>
        </w:rPr>
        <w:t>essential health services to remote mountainous areas is challenging</w:t>
      </w:r>
      <w:r w:rsidR="005853A9">
        <w:rPr>
          <w:kern w:val="0"/>
        </w:rPr>
        <w:t xml:space="preserve"> and </w:t>
      </w:r>
      <w:r>
        <w:rPr>
          <w:kern w:val="0"/>
        </w:rPr>
        <w:t>access is a known barrier to utilization. However, the contribution</w:t>
      </w:r>
      <w:r w:rsidR="00427468">
        <w:rPr>
          <w:kern w:val="0"/>
        </w:rPr>
        <w:t xml:space="preserve"> of </w:t>
      </w:r>
      <w:r>
        <w:rPr>
          <w:kern w:val="0"/>
        </w:rPr>
        <w:t>demand-side barriers is poorly understood. Consequently, policies</w:t>
      </w:r>
      <w:r w:rsidR="005853A9">
        <w:rPr>
          <w:kern w:val="0"/>
        </w:rPr>
        <w:t xml:space="preserve"> and </w:t>
      </w:r>
      <w:r>
        <w:rPr>
          <w:kern w:val="0"/>
        </w:rPr>
        <w:t>programs cannot strategically target constraints to increase coverage. This systematic review identifies demand-side barriers to utilization</w:t>
      </w:r>
      <w:r w:rsidR="00427468">
        <w:rPr>
          <w:kern w:val="0"/>
        </w:rPr>
        <w:t xml:space="preserve"> of </w:t>
      </w:r>
      <w:r>
        <w:rPr>
          <w:kern w:val="0"/>
        </w:rPr>
        <w:t>RMNCH services in the Mountain districts</w:t>
      </w:r>
      <w:r w:rsidR="00427468">
        <w:rPr>
          <w:kern w:val="0"/>
        </w:rPr>
        <w:t xml:space="preserve"> of </w:t>
      </w:r>
      <w:r>
        <w:rPr>
          <w:kern w:val="0"/>
        </w:rPr>
        <w:t>Nepal. Research was drawn from MEDLINE, Web</w:t>
      </w:r>
      <w:r w:rsidR="00427468">
        <w:rPr>
          <w:kern w:val="0"/>
        </w:rPr>
        <w:t xml:space="preserve"> of </w:t>
      </w:r>
      <w:r>
        <w:rPr>
          <w:kern w:val="0"/>
        </w:rPr>
        <w:t>Science, Scopus, Google Scholar, Eldis,</w:t>
      </w:r>
      <w:r w:rsidR="005853A9">
        <w:rPr>
          <w:kern w:val="0"/>
        </w:rPr>
        <w:t xml:space="preserve"> and </w:t>
      </w:r>
      <w:r>
        <w:rPr>
          <w:kern w:val="0"/>
        </w:rPr>
        <w:t>unpublished literature. Beyond inaccessibility, utilization is undermined by costs</w:t>
      </w:r>
      <w:r w:rsidR="00427468">
        <w:rPr>
          <w:kern w:val="0"/>
        </w:rPr>
        <w:t xml:space="preserve"> of </w:t>
      </w:r>
      <w:r>
        <w:rPr>
          <w:kern w:val="0"/>
        </w:rPr>
        <w:t>care-seeking, traditional attitudes</w:t>
      </w:r>
      <w:r w:rsidR="005853A9">
        <w:rPr>
          <w:kern w:val="0"/>
        </w:rPr>
        <w:t xml:space="preserve"> and </w:t>
      </w:r>
      <w:r>
        <w:rPr>
          <w:kern w:val="0"/>
        </w:rPr>
        <w:t>practices, low status</w:t>
      </w:r>
      <w:r w:rsidR="00427468">
        <w:rPr>
          <w:kern w:val="0"/>
        </w:rPr>
        <w:t xml:space="preserve"> of </w:t>
      </w:r>
      <w:r>
        <w:rPr>
          <w:kern w:val="0"/>
        </w:rPr>
        <w:t>women, limited health knowledge, dissatisfaction with service quality,</w:t>
      </w:r>
      <w:r w:rsidR="005853A9">
        <w:rPr>
          <w:kern w:val="0"/>
        </w:rPr>
        <w:t xml:space="preserve"> and </w:t>
      </w:r>
      <w:r>
        <w:rPr>
          <w:kern w:val="0"/>
        </w:rPr>
        <w:t>low</w:t>
      </w:r>
      <w:r w:rsidR="005853A9">
        <w:rPr>
          <w:kern w:val="0"/>
        </w:rPr>
        <w:t xml:space="preserve"> and </w:t>
      </w:r>
      <w:r>
        <w:rPr>
          <w:kern w:val="0"/>
        </w:rPr>
        <w:t>inequitable care by community health workers</w:t>
      </w:r>
      <w:r w:rsidR="00A37C1D">
        <w:rPr>
          <w:kern w:val="0"/>
        </w:rPr>
        <w:t>. The</w:t>
      </w:r>
      <w:r>
        <w:rPr>
          <w:kern w:val="0"/>
        </w:rPr>
        <w:t xml:space="preserve"> intensity</w:t>
      </w:r>
      <w:r w:rsidR="005853A9">
        <w:rPr>
          <w:kern w:val="0"/>
        </w:rPr>
        <w:t xml:space="preserve"> and </w:t>
      </w:r>
      <w:r>
        <w:rPr>
          <w:kern w:val="0"/>
        </w:rPr>
        <w:t>repercussions</w:t>
      </w:r>
      <w:r w:rsidR="00427468">
        <w:rPr>
          <w:kern w:val="0"/>
        </w:rPr>
        <w:t xml:space="preserve"> of </w:t>
      </w:r>
      <w:r>
        <w:rPr>
          <w:kern w:val="0"/>
        </w:rPr>
        <w:t>these barriers are</w:t>
      </w:r>
      <w:r w:rsidR="00427468">
        <w:rPr>
          <w:kern w:val="0"/>
        </w:rPr>
        <w:t xml:space="preserve"> of </w:t>
      </w:r>
      <w:r>
        <w:rPr>
          <w:kern w:val="0"/>
        </w:rPr>
        <w:t>greater magnitude in the Mountains where delayed care-seeking combines with long distances for critical health consequences.</w:t>
      </w:r>
    </w:p>
    <w:p w:rsidR="00654AC1" w:rsidRDefault="00654AC1" w:rsidP="00654AC1">
      <w:pPr>
        <w:pStyle w:val="a3"/>
        <w:rPr>
          <w:kern w:val="0"/>
        </w:rPr>
      </w:pPr>
      <w:r>
        <w:rPr>
          <w:kern w:val="0"/>
        </w:rPr>
        <w:t xml:space="preserve">Keywords: Access, Attitudes, Barrier, Barriers, Care, Child, Child Health, Community, Costs, Coverage, Delivery, Developing-Countries, Disparities, Ecoregions, Ethiopia, </w:t>
      </w:r>
      <w:r>
        <w:rPr>
          <w:kern w:val="0"/>
        </w:rPr>
        <w:lastRenderedPageBreak/>
        <w:t>Global Health, Google, Google Scholar, Health, Health Care Services, Health Equity, Health Services, Inequalities In Health, Intensity, Intervention, Knowledge, Literature, Magnitude, Maternal, Maternal</w:t>
      </w:r>
      <w:r w:rsidR="005853A9">
        <w:rPr>
          <w:kern w:val="0"/>
        </w:rPr>
        <w:t xml:space="preserve"> and </w:t>
      </w:r>
      <w:r>
        <w:rPr>
          <w:kern w:val="0"/>
        </w:rPr>
        <w:t>Child Health, Maternal Health, Medline, Nepal, Newborn, Nov, Outcomes, Policies, Practices, Program, Quality, Research, Review, Rural Nepal, Science, Scopus, Service, Services, Systematic Review, Utilization, Web</w:t>
      </w:r>
      <w:r w:rsidR="00427468">
        <w:rPr>
          <w:kern w:val="0"/>
        </w:rPr>
        <w:t xml:space="preserve"> of </w:t>
      </w:r>
      <w:r>
        <w:rPr>
          <w:kern w:val="0"/>
        </w:rPr>
        <w:t>Science, Women</w:t>
      </w:r>
    </w:p>
    <w:p w:rsidR="002E7EE2" w:rsidRDefault="002E7EE2" w:rsidP="002E7EE2">
      <w:pPr>
        <w:pStyle w:val="a3"/>
        <w:rPr>
          <w:kern w:val="0"/>
        </w:rPr>
      </w:pPr>
      <w:r>
        <w:rPr>
          <w:rFonts w:hint="eastAsia"/>
          <w:kern w:val="0"/>
        </w:rPr>
        <w:t xml:space="preserve">? </w:t>
      </w:r>
      <w:r>
        <w:rPr>
          <w:kern w:val="0"/>
        </w:rPr>
        <w:t xml:space="preserve">Jadambaa, A., Spickett, J., Badrakh, B. and Norman, R.E. (2015), The impact of the environment on health in Mongolia: A systematic review. </w:t>
      </w:r>
      <w:r>
        <w:rPr>
          <w:i/>
          <w:iCs/>
          <w:kern w:val="0"/>
        </w:rPr>
        <w:t>Asia-Pacific Journal of Public Health</w:t>
      </w:r>
      <w:r>
        <w:rPr>
          <w:kern w:val="0"/>
        </w:rPr>
        <w:t xml:space="preserve">, </w:t>
      </w:r>
      <w:r>
        <w:rPr>
          <w:b/>
          <w:bCs/>
          <w:kern w:val="0"/>
        </w:rPr>
        <w:t>27</w:t>
      </w:r>
      <w:r>
        <w:rPr>
          <w:kern w:val="0"/>
        </w:rPr>
        <w:t xml:space="preserve"> (1), 45-75.</w:t>
      </w:r>
    </w:p>
    <w:p w:rsidR="002E7EE2" w:rsidRPr="001A3D2B" w:rsidRDefault="002E7EE2" w:rsidP="002E7EE2">
      <w:pPr>
        <w:pStyle w:val="a3"/>
        <w:rPr>
          <w:kern w:val="0"/>
        </w:rPr>
      </w:pPr>
      <w:r w:rsidRPr="001A3D2B">
        <w:rPr>
          <w:kern w:val="0"/>
        </w:rPr>
        <w:t xml:space="preserve">Full Text: </w:t>
      </w:r>
      <w:hyperlink r:id="rId1258" w:history="1">
        <w:r w:rsidRPr="00FB0096">
          <w:rPr>
            <w:rStyle w:val="a5"/>
            <w:kern w:val="0"/>
          </w:rPr>
          <w:t>2015\Asi-Pac J Pub Hea27, 45.pdf</w:t>
        </w:r>
      </w:hyperlink>
    </w:p>
    <w:p w:rsidR="002E7EE2" w:rsidRDefault="002E7EE2" w:rsidP="002E7EE2">
      <w:pPr>
        <w:pStyle w:val="a3"/>
        <w:rPr>
          <w:kern w:val="0"/>
        </w:rPr>
      </w:pPr>
      <w:r>
        <w:rPr>
          <w:kern w:val="0"/>
        </w:rPr>
        <w:t>Abstract: Mongolia has significant exposure to environmental risk factors because of poor environmental management and behaviors, and children are increasingly vulnerable to these threats. This study aimed to assess levels of exposure and summarize the evidence for associations between exposures to environmental risk factors and adverse health outcomes in Mongolia, with a particular focus on children. A systematic review was conducted using the PubMed, EMBASE, Web of Science, Global Health Library, CINAHL, CABI, Scopus, and mongolmed.mn electronic databases up to April 2014 . A total of 59 studies meeting the predetermined criteria were included. Results indicate that the Mongolian population has significant exposure to outdoor and indoor air pollution, metals, environmental tobacco smoke, and other chemical toxins, and these risk factors have been linked to respiratory and cardiovascular diseases among adults and respiratory diseases and neurodevelopmental disorders among children. Well-designed epidemiological investigations in vulnerable populations especially in pregnant women and children are recommended.</w:t>
      </w:r>
    </w:p>
    <w:p w:rsidR="002E7EE2" w:rsidRDefault="002E7EE2" w:rsidP="002E7EE2">
      <w:pPr>
        <w:pStyle w:val="a3"/>
        <w:rPr>
          <w:kern w:val="0"/>
        </w:rPr>
      </w:pPr>
      <w:r>
        <w:rPr>
          <w:kern w:val="0"/>
        </w:rPr>
        <w:t>Keywords: 21 Regions, Air, Air Pollution, Air-Pollution, Cardiovascular, Cardiovascular Diseases, Chemical, Children, Children’S Health, Criteria, Databases, Diseases, Embase, Environment, Environmental, Environmental Management, Environmental Risk, Environmental Risk Factors, Environmental Tobacco Smoke, Events, Evidence, Exposure, Exposures, Factors, Global, Global Burden, Health, Health Outcomes, Impact, Investigations, Long-Term Exposure, Management, Metals, Mongolia, Outcomes, Parkinsons-Disease, Pollution, Population, Populations, Pregnant, Pregnant Women, Pubmed, Respiratory Health, Results, Review, Risk, Risk Factors, Science, Scopus, Smoke Exposure, Systematic, Systematic Review, Tobacco, Ulaanbaatar, Vulnerable Populations, Web, Web Of Science, Women</w:t>
      </w:r>
    </w:p>
    <w:p w:rsidR="001C07A1" w:rsidRDefault="001C07A1" w:rsidP="001C07A1">
      <w:pPr>
        <w:pStyle w:val="a3"/>
        <w:rPr>
          <w:kern w:val="0"/>
        </w:rPr>
      </w:pPr>
      <w:r>
        <w:rPr>
          <w:rFonts w:hint="eastAsia"/>
          <w:kern w:val="0"/>
        </w:rPr>
        <w:t xml:space="preserve">? </w:t>
      </w:r>
      <w:r>
        <w:rPr>
          <w:kern w:val="0"/>
        </w:rPr>
        <w:t xml:space="preserve">Song, H., Wan, Y. and Xu, Y.Y. (2015), Betel quid chewing without tobacco: A meta-analysis of carcinogenic and precarcinogenic effects. </w:t>
      </w:r>
      <w:r>
        <w:rPr>
          <w:i/>
          <w:iCs/>
          <w:kern w:val="0"/>
        </w:rPr>
        <w:t>Asia-Pacific Journal of Public Health</w:t>
      </w:r>
      <w:r>
        <w:rPr>
          <w:kern w:val="0"/>
        </w:rPr>
        <w:t xml:space="preserve">, </w:t>
      </w:r>
      <w:r>
        <w:rPr>
          <w:b/>
          <w:bCs/>
          <w:kern w:val="0"/>
        </w:rPr>
        <w:t>27</w:t>
      </w:r>
      <w:r>
        <w:rPr>
          <w:kern w:val="0"/>
        </w:rPr>
        <w:t xml:space="preserve"> (2), NP47-NP57.</w:t>
      </w:r>
    </w:p>
    <w:p w:rsidR="001C07A1" w:rsidRPr="001A3D2B" w:rsidRDefault="001C07A1" w:rsidP="001C07A1">
      <w:pPr>
        <w:pStyle w:val="a3"/>
        <w:rPr>
          <w:kern w:val="0"/>
        </w:rPr>
      </w:pPr>
      <w:r w:rsidRPr="001A3D2B">
        <w:rPr>
          <w:kern w:val="0"/>
        </w:rPr>
        <w:t xml:space="preserve">Full Text: </w:t>
      </w:r>
      <w:hyperlink r:id="rId1259" w:history="1">
        <w:r w:rsidRPr="001C07A1">
          <w:rPr>
            <w:rStyle w:val="a5"/>
            <w:kern w:val="0"/>
          </w:rPr>
          <w:t>2015\Asi-Pac J Pub Hea27, NP47.pdf</w:t>
        </w:r>
      </w:hyperlink>
    </w:p>
    <w:p w:rsidR="001C07A1" w:rsidRDefault="001C07A1" w:rsidP="001C07A1">
      <w:pPr>
        <w:pStyle w:val="a3"/>
        <w:rPr>
          <w:kern w:val="0"/>
        </w:rPr>
      </w:pPr>
      <w:r>
        <w:rPr>
          <w:kern w:val="0"/>
        </w:rPr>
        <w:lastRenderedPageBreak/>
        <w:t>Abstract: Betel quid without tobacco is an important factor influencing the incidences of oral cancer and precancer. This study systematically evaluated the associations between betel quid containing no tobacco and oral cancer and precancer, with implications for the prevention of oral cancer. We searched MEDLINE, ISI Web of Science, and EMBASE (to April 2011) and retrieved studies that investigated the relationship between chewing betel quid and oral cancer (or precancer). We performed a meta-analysis to summarize the published data and describe the prevalence of betel quid use with regard to cancerous diseases. In all, 19 eligible studies that reported odds ratios and 95% confidence intervals for oral cancer with respect to betel quid were included. The analysis identified an association suggesting that betel quid might be an important risk factor for oral cancer and precancer. The results of this review suggest that betel-chewing-cessation programs should be developed to help prevent oral diseases.</w:t>
      </w:r>
    </w:p>
    <w:p w:rsidR="001C07A1" w:rsidRDefault="001C07A1" w:rsidP="001C07A1">
      <w:pPr>
        <w:pStyle w:val="a3"/>
        <w:rPr>
          <w:kern w:val="0"/>
        </w:rPr>
      </w:pPr>
      <w:r>
        <w:rPr>
          <w:kern w:val="0"/>
        </w:rPr>
        <w:t>Keywords: Alcohol-Drinking, Analysis, Areca Nut, Association, Betel Quid, Cancer, Confidence, Confidence Intervals, Consumption, Data, Diseases, Effects, Embase, Intervals, Isi, Isi Web Of Science, Mainland China, Mar, Medline, Meta Analysis, Meta-Analysis, Metaanalysis, Oral, Oral Cancer, Oral Precancer, Oral Submucous Fibrosis, Potentially Malignant Disorders, Precancer, Prevalence, Prevent, Prevention, Review, Risk, Risk Factor, Risk-Factor, Science, Smoking, Tobacco, Web, Web Of Science</w:t>
      </w:r>
    </w:p>
    <w:p w:rsidR="00E328FC" w:rsidRPr="00F219CA" w:rsidRDefault="00E328FC" w:rsidP="00E328FC">
      <w:pPr>
        <w:pStyle w:val="1"/>
      </w:pPr>
      <w:r w:rsidRPr="00F219CA">
        <w:br w:type="page"/>
      </w:r>
      <w:bookmarkStart w:id="639" w:name="_Toc420814622"/>
      <w:r>
        <w:lastRenderedPageBreak/>
        <w:t xml:space="preserve">Title: </w:t>
      </w:r>
      <w:r w:rsidRPr="00E328FC">
        <w:rPr>
          <w:szCs w:val="24"/>
        </w:rPr>
        <w:t>Asia-Pacific Psychiatry</w:t>
      </w:r>
      <w:bookmarkEnd w:id="639"/>
    </w:p>
    <w:p w:rsidR="00E328FC" w:rsidRPr="00F219CA" w:rsidRDefault="00E328FC" w:rsidP="00E328FC">
      <w:pPr>
        <w:pStyle w:val="12"/>
      </w:pPr>
      <w:r w:rsidRPr="00F219CA">
        <w:t xml:space="preserve">Full Journal Title: </w:t>
      </w:r>
      <w:r w:rsidRPr="00E328FC">
        <w:rPr>
          <w:iCs/>
          <w:kern w:val="0"/>
        </w:rPr>
        <w:t>Asia-Pacific Psychiatry</w:t>
      </w:r>
    </w:p>
    <w:p w:rsidR="00E328FC" w:rsidRPr="00F219CA" w:rsidRDefault="00E328FC" w:rsidP="00E328FC">
      <w:pPr>
        <w:pStyle w:val="12"/>
      </w:pPr>
      <w:r w:rsidRPr="00F219CA">
        <w:t xml:space="preserve">ISO Abbreviated Title: </w:t>
      </w:r>
    </w:p>
    <w:p w:rsidR="00E328FC" w:rsidRPr="00F219CA" w:rsidRDefault="00E328FC" w:rsidP="00E328FC">
      <w:pPr>
        <w:pStyle w:val="12"/>
      </w:pPr>
      <w:r w:rsidRPr="00F219CA">
        <w:t xml:space="preserve">JCR Abbreviated Title: </w:t>
      </w:r>
    </w:p>
    <w:p w:rsidR="00E328FC" w:rsidRPr="00F219CA" w:rsidRDefault="00E328FC" w:rsidP="00E328FC">
      <w:pPr>
        <w:pStyle w:val="12"/>
      </w:pPr>
      <w:r>
        <w:t xml:space="preserve">ISSN: </w:t>
      </w:r>
    </w:p>
    <w:p w:rsidR="00E328FC" w:rsidRPr="00F219CA" w:rsidRDefault="00E328FC" w:rsidP="00E328FC">
      <w:pPr>
        <w:pStyle w:val="12"/>
      </w:pPr>
      <w:r w:rsidRPr="00F219CA">
        <w:t xml:space="preserve">Issues/Year: </w:t>
      </w:r>
    </w:p>
    <w:p w:rsidR="00E328FC" w:rsidRPr="00F219CA" w:rsidRDefault="00E328FC" w:rsidP="00E328FC">
      <w:pPr>
        <w:pStyle w:val="12"/>
      </w:pPr>
      <w:r w:rsidRPr="00F219CA">
        <w:t xml:space="preserve">Journal Country/Territory: </w:t>
      </w:r>
    </w:p>
    <w:p w:rsidR="00E328FC" w:rsidRPr="00F219CA" w:rsidRDefault="00E328FC" w:rsidP="00E328FC">
      <w:pPr>
        <w:pStyle w:val="12"/>
      </w:pPr>
      <w:r w:rsidRPr="00F219CA">
        <w:t xml:space="preserve">Language: </w:t>
      </w:r>
    </w:p>
    <w:p w:rsidR="00E328FC" w:rsidRPr="00F219CA" w:rsidRDefault="00E328FC" w:rsidP="00E328FC">
      <w:pPr>
        <w:pStyle w:val="12"/>
      </w:pPr>
      <w:r w:rsidRPr="00F219CA">
        <w:t xml:space="preserve">Publisher: </w:t>
      </w:r>
    </w:p>
    <w:p w:rsidR="00E328FC" w:rsidRPr="00F219CA" w:rsidRDefault="00E328FC" w:rsidP="00E328FC">
      <w:pPr>
        <w:pStyle w:val="12"/>
      </w:pPr>
      <w:r w:rsidRPr="00F219CA">
        <w:t xml:space="preserve">Publisher Address: </w:t>
      </w:r>
    </w:p>
    <w:p w:rsidR="00E328FC" w:rsidRPr="00F219CA" w:rsidRDefault="00E328FC" w:rsidP="00E328FC">
      <w:pPr>
        <w:pStyle w:val="12"/>
      </w:pPr>
      <w:r w:rsidRPr="00F219CA">
        <w:t xml:space="preserve">Subject Categories: </w:t>
      </w:r>
    </w:p>
    <w:p w:rsidR="00E328FC" w:rsidRPr="00F219CA" w:rsidRDefault="00E328FC" w:rsidP="00E328FC">
      <w:pPr>
        <w:pStyle w:val="12"/>
      </w:pPr>
      <w:r w:rsidRPr="00F219CA">
        <w:t>: Impact Factor</w:t>
      </w:r>
    </w:p>
    <w:p w:rsidR="00E328FC" w:rsidRDefault="00E328FC" w:rsidP="00E328FC">
      <w:pPr>
        <w:pStyle w:val="a3"/>
        <w:rPr>
          <w:kern w:val="0"/>
          <w:szCs w:val="24"/>
        </w:rPr>
      </w:pPr>
      <w:r>
        <w:rPr>
          <w:rFonts w:hint="eastAsia"/>
          <w:kern w:val="0"/>
          <w:szCs w:val="24"/>
        </w:rPr>
        <w:t xml:space="preserve">? </w:t>
      </w:r>
      <w:r>
        <w:rPr>
          <w:kern w:val="0"/>
          <w:szCs w:val="24"/>
        </w:rPr>
        <w:t>Pae, C.U., Lopez-Munoz, F., Shen, W., Moreno, R., Rubio, G., Molina, J., Noriega, C.</w:t>
      </w:r>
      <w:r w:rsidR="005853A9">
        <w:rPr>
          <w:kern w:val="0"/>
          <w:szCs w:val="24"/>
        </w:rPr>
        <w:t xml:space="preserve"> and </w:t>
      </w:r>
      <w:r>
        <w:rPr>
          <w:kern w:val="0"/>
          <w:szCs w:val="24"/>
        </w:rPr>
        <w:t xml:space="preserve">Perez-Nieto, M. (2012), Trends in scientific literature on atypical antipsychotic drugs in South Korea: A bibliometric study. </w:t>
      </w:r>
      <w:r w:rsidRPr="00E328FC">
        <w:rPr>
          <w:i/>
          <w:iCs/>
          <w:kern w:val="0"/>
          <w:szCs w:val="24"/>
        </w:rPr>
        <w:t>Asia-Pacific Psychiatry</w:t>
      </w:r>
      <w:r>
        <w:rPr>
          <w:kern w:val="0"/>
          <w:szCs w:val="24"/>
        </w:rPr>
        <w:t xml:space="preserve">, </w:t>
      </w:r>
      <w:r>
        <w:rPr>
          <w:b/>
          <w:bCs/>
          <w:kern w:val="0"/>
          <w:szCs w:val="24"/>
        </w:rPr>
        <w:t>4</w:t>
      </w:r>
      <w:r>
        <w:rPr>
          <w:kern w:val="0"/>
          <w:szCs w:val="24"/>
        </w:rPr>
        <w:t>, 159</w:t>
      </w:r>
      <w:r>
        <w:rPr>
          <w:rFonts w:hint="eastAsia"/>
          <w:kern w:val="0"/>
          <w:szCs w:val="24"/>
        </w:rPr>
        <w:t>.</w:t>
      </w:r>
    </w:p>
    <w:p w:rsidR="00E328FC" w:rsidRDefault="00E328FC" w:rsidP="00E328FC">
      <w:pPr>
        <w:pStyle w:val="a3"/>
        <w:rPr>
          <w:kern w:val="0"/>
          <w:szCs w:val="24"/>
        </w:rPr>
      </w:pPr>
      <w:r>
        <w:rPr>
          <w:rFonts w:hint="eastAsia"/>
          <w:kern w:val="0"/>
          <w:szCs w:val="24"/>
        </w:rPr>
        <w:t>Full Text: 2012\</w:t>
      </w:r>
      <w:r>
        <w:rPr>
          <w:iCs/>
          <w:kern w:val="0"/>
          <w:szCs w:val="24"/>
        </w:rPr>
        <w:t>Asi-Pac Psy</w:t>
      </w:r>
      <w:r w:rsidRPr="00E328FC">
        <w:rPr>
          <w:bCs/>
          <w:kern w:val="0"/>
          <w:szCs w:val="24"/>
        </w:rPr>
        <w:t>4</w:t>
      </w:r>
      <w:r>
        <w:rPr>
          <w:kern w:val="0"/>
          <w:szCs w:val="24"/>
        </w:rPr>
        <w:t>, 159</w:t>
      </w:r>
      <w:r>
        <w:rPr>
          <w:rFonts w:hint="eastAsia"/>
          <w:kern w:val="0"/>
          <w:szCs w:val="24"/>
        </w:rPr>
        <w:t>.pdf</w:t>
      </w:r>
    </w:p>
    <w:p w:rsidR="00E328FC" w:rsidRDefault="00E328FC" w:rsidP="00E328FC">
      <w:pPr>
        <w:pStyle w:val="a3"/>
        <w:rPr>
          <w:kern w:val="0"/>
          <w:szCs w:val="24"/>
        </w:rPr>
      </w:pPr>
      <w:r>
        <w:rPr>
          <w:kern w:val="0"/>
          <w:szCs w:val="24"/>
        </w:rPr>
        <w:t>Keywords: Atypical Antipsychotic, Bibliometric, Bibliometric Study, Drugs, Korea, Literature, Scientific Literature, SI, South Korea, Trends</w:t>
      </w:r>
    </w:p>
    <w:p w:rsidR="00E328FC" w:rsidRDefault="00E328FC" w:rsidP="00E328FC">
      <w:pPr>
        <w:pStyle w:val="a3"/>
        <w:rPr>
          <w:kern w:val="0"/>
          <w:szCs w:val="24"/>
        </w:rPr>
      </w:pPr>
      <w:r>
        <w:rPr>
          <w:rFonts w:hint="eastAsia"/>
          <w:kern w:val="0"/>
          <w:szCs w:val="24"/>
        </w:rPr>
        <w:t xml:space="preserve">? </w:t>
      </w:r>
      <w:r>
        <w:rPr>
          <w:kern w:val="0"/>
          <w:szCs w:val="24"/>
        </w:rPr>
        <w:t>Chung, A.K.K., Lopez-Munoz, F., Shen, W.W., Huelves, L., Noriega, C.</w:t>
      </w:r>
      <w:r w:rsidR="005853A9">
        <w:rPr>
          <w:kern w:val="0"/>
          <w:szCs w:val="24"/>
        </w:rPr>
        <w:t xml:space="preserve"> and </w:t>
      </w:r>
      <w:r>
        <w:rPr>
          <w:kern w:val="0"/>
          <w:szCs w:val="24"/>
        </w:rPr>
        <w:t>Rubio, G. (2012), A bibliometric study</w:t>
      </w:r>
      <w:r w:rsidR="00427468">
        <w:rPr>
          <w:kern w:val="0"/>
          <w:szCs w:val="24"/>
        </w:rPr>
        <w:t xml:space="preserve"> of </w:t>
      </w:r>
      <w:r>
        <w:rPr>
          <w:kern w:val="0"/>
          <w:szCs w:val="24"/>
        </w:rPr>
        <w:t xml:space="preserve">scientific research on second-generation antipsychotic drugs in Hong Kong. </w:t>
      </w:r>
      <w:r>
        <w:rPr>
          <w:i/>
          <w:iCs/>
          <w:kern w:val="0"/>
          <w:szCs w:val="24"/>
        </w:rPr>
        <w:t>Asia-Pacific Psychiatry</w:t>
      </w:r>
      <w:r>
        <w:rPr>
          <w:kern w:val="0"/>
          <w:szCs w:val="24"/>
        </w:rPr>
        <w:t xml:space="preserve">, </w:t>
      </w:r>
      <w:r>
        <w:rPr>
          <w:b/>
          <w:bCs/>
          <w:kern w:val="0"/>
          <w:szCs w:val="24"/>
        </w:rPr>
        <w:t>4</w:t>
      </w:r>
      <w:r>
        <w:rPr>
          <w:kern w:val="0"/>
          <w:szCs w:val="24"/>
        </w:rPr>
        <w:t>, 173-174</w:t>
      </w:r>
      <w:r>
        <w:rPr>
          <w:rFonts w:hint="eastAsia"/>
          <w:kern w:val="0"/>
          <w:szCs w:val="24"/>
        </w:rPr>
        <w:t>.</w:t>
      </w:r>
    </w:p>
    <w:p w:rsidR="00E328FC" w:rsidRDefault="00E328FC" w:rsidP="00E328FC">
      <w:pPr>
        <w:pStyle w:val="a3"/>
        <w:rPr>
          <w:kern w:val="0"/>
          <w:szCs w:val="24"/>
        </w:rPr>
      </w:pPr>
      <w:r>
        <w:rPr>
          <w:rFonts w:hint="eastAsia"/>
          <w:kern w:val="0"/>
          <w:szCs w:val="24"/>
        </w:rPr>
        <w:t>Full Text: 2012\</w:t>
      </w:r>
      <w:r>
        <w:rPr>
          <w:iCs/>
          <w:kern w:val="0"/>
          <w:szCs w:val="24"/>
        </w:rPr>
        <w:t>Asi-Pac Psy</w:t>
      </w:r>
      <w:r w:rsidRPr="00E328FC">
        <w:rPr>
          <w:bCs/>
          <w:kern w:val="0"/>
          <w:szCs w:val="24"/>
        </w:rPr>
        <w:t>4</w:t>
      </w:r>
      <w:r>
        <w:rPr>
          <w:kern w:val="0"/>
          <w:szCs w:val="24"/>
        </w:rPr>
        <w:t xml:space="preserve">, </w:t>
      </w:r>
      <w:r>
        <w:rPr>
          <w:rFonts w:hint="eastAsia"/>
          <w:kern w:val="0"/>
          <w:szCs w:val="24"/>
        </w:rPr>
        <w:t>173.pdf</w:t>
      </w:r>
    </w:p>
    <w:p w:rsidR="00E328FC" w:rsidRDefault="00E328FC" w:rsidP="00E328FC">
      <w:pPr>
        <w:pStyle w:val="a3"/>
        <w:rPr>
          <w:kern w:val="0"/>
          <w:szCs w:val="24"/>
        </w:rPr>
      </w:pPr>
      <w:r>
        <w:rPr>
          <w:kern w:val="0"/>
          <w:szCs w:val="24"/>
        </w:rPr>
        <w:t>Keywords: Bibliometric, Bibliometric Study, Drugs, Hong Kong, Research, Scientific Research, SI</w:t>
      </w:r>
    </w:p>
    <w:p w:rsidR="00E328FC" w:rsidRDefault="00E328FC" w:rsidP="00E328FC">
      <w:pPr>
        <w:pStyle w:val="a3"/>
        <w:rPr>
          <w:kern w:val="0"/>
          <w:szCs w:val="24"/>
        </w:rPr>
      </w:pPr>
      <w:r>
        <w:rPr>
          <w:rFonts w:hint="eastAsia"/>
          <w:kern w:val="0"/>
          <w:szCs w:val="24"/>
        </w:rPr>
        <w:t xml:space="preserve">? </w:t>
      </w:r>
      <w:r>
        <w:rPr>
          <w:kern w:val="0"/>
          <w:szCs w:val="24"/>
        </w:rPr>
        <w:t>Shen, W.W., Lopez-Munoz, F., Moreno, R., Molina, J.D., Noriega, C.</w:t>
      </w:r>
      <w:r w:rsidR="005853A9">
        <w:rPr>
          <w:kern w:val="0"/>
          <w:szCs w:val="24"/>
        </w:rPr>
        <w:t xml:space="preserve"> and </w:t>
      </w:r>
      <w:r>
        <w:rPr>
          <w:kern w:val="0"/>
          <w:szCs w:val="24"/>
        </w:rPr>
        <w:t xml:space="preserve">Perez-Nieto, M.A. (2012), International scientific productivity on second-generation antipsychotic drugs in Taiwan: A bibliometric study. </w:t>
      </w:r>
      <w:r>
        <w:rPr>
          <w:i/>
          <w:iCs/>
          <w:kern w:val="0"/>
          <w:szCs w:val="24"/>
        </w:rPr>
        <w:t>Asia-Pacific Psychiatry</w:t>
      </w:r>
      <w:r>
        <w:rPr>
          <w:kern w:val="0"/>
          <w:szCs w:val="24"/>
        </w:rPr>
        <w:t xml:space="preserve">, </w:t>
      </w:r>
      <w:r>
        <w:rPr>
          <w:b/>
          <w:bCs/>
          <w:kern w:val="0"/>
          <w:szCs w:val="24"/>
        </w:rPr>
        <w:t>4</w:t>
      </w:r>
      <w:r>
        <w:rPr>
          <w:kern w:val="0"/>
          <w:szCs w:val="24"/>
        </w:rPr>
        <w:t>, 181</w:t>
      </w:r>
      <w:r>
        <w:rPr>
          <w:rFonts w:hint="eastAsia"/>
          <w:kern w:val="0"/>
          <w:szCs w:val="24"/>
        </w:rPr>
        <w:t>.</w:t>
      </w:r>
    </w:p>
    <w:p w:rsidR="00E328FC" w:rsidRDefault="00E328FC" w:rsidP="00E328FC">
      <w:pPr>
        <w:pStyle w:val="a3"/>
        <w:rPr>
          <w:kern w:val="0"/>
          <w:szCs w:val="24"/>
        </w:rPr>
      </w:pPr>
      <w:r>
        <w:rPr>
          <w:rFonts w:hint="eastAsia"/>
          <w:kern w:val="0"/>
          <w:szCs w:val="24"/>
        </w:rPr>
        <w:t>Full Text: 2012\</w:t>
      </w:r>
      <w:r>
        <w:rPr>
          <w:iCs/>
          <w:kern w:val="0"/>
          <w:szCs w:val="24"/>
        </w:rPr>
        <w:t>Asi-Pac Psy</w:t>
      </w:r>
      <w:r w:rsidRPr="00E328FC">
        <w:rPr>
          <w:bCs/>
          <w:kern w:val="0"/>
          <w:szCs w:val="24"/>
        </w:rPr>
        <w:t>4</w:t>
      </w:r>
      <w:r>
        <w:rPr>
          <w:kern w:val="0"/>
          <w:szCs w:val="24"/>
        </w:rPr>
        <w:t xml:space="preserve">, </w:t>
      </w:r>
      <w:r>
        <w:rPr>
          <w:rFonts w:hint="eastAsia"/>
          <w:kern w:val="0"/>
          <w:szCs w:val="24"/>
        </w:rPr>
        <w:t>181.pdf</w:t>
      </w:r>
    </w:p>
    <w:p w:rsidR="00E328FC" w:rsidRDefault="00E328FC" w:rsidP="00E328FC">
      <w:pPr>
        <w:pStyle w:val="a3"/>
        <w:rPr>
          <w:kern w:val="0"/>
          <w:szCs w:val="24"/>
        </w:rPr>
      </w:pPr>
      <w:r>
        <w:rPr>
          <w:kern w:val="0"/>
          <w:szCs w:val="24"/>
        </w:rPr>
        <w:t>Keywords: Bibliometric, Bibliometric Study, Drugs, Productivity, Scientific Productivity, SI, Taiwan</w:t>
      </w:r>
    </w:p>
    <w:p w:rsidR="005F002F" w:rsidRDefault="005F002F" w:rsidP="005F002F">
      <w:pPr>
        <w:pStyle w:val="a3"/>
        <w:rPr>
          <w:kern w:val="0"/>
        </w:rPr>
      </w:pPr>
      <w:r>
        <w:rPr>
          <w:rFonts w:hint="eastAsia"/>
          <w:kern w:val="0"/>
        </w:rPr>
        <w:t xml:space="preserve">? </w:t>
      </w:r>
      <w:r>
        <w:rPr>
          <w:kern w:val="0"/>
        </w:rPr>
        <w:t>Chen, P., Ganesan, S.</w:t>
      </w:r>
      <w:r w:rsidR="005853A9">
        <w:rPr>
          <w:kern w:val="0"/>
        </w:rPr>
        <w:t xml:space="preserve"> and </w:t>
      </w:r>
      <w:r>
        <w:rPr>
          <w:kern w:val="0"/>
        </w:rPr>
        <w:t>McKenna, M. (2013), Overview</w:t>
      </w:r>
      <w:r w:rsidR="00427468">
        <w:rPr>
          <w:kern w:val="0"/>
        </w:rPr>
        <w:t xml:space="preserve"> of </w:t>
      </w:r>
      <w:r>
        <w:rPr>
          <w:kern w:val="0"/>
        </w:rPr>
        <w:t>psychiatric scales used in Nepal: Their reliability, validity</w:t>
      </w:r>
      <w:r w:rsidR="005853A9">
        <w:rPr>
          <w:kern w:val="0"/>
        </w:rPr>
        <w:t xml:space="preserve"> and </w:t>
      </w:r>
      <w:r>
        <w:rPr>
          <w:kern w:val="0"/>
        </w:rPr>
        <w:t xml:space="preserve">cultural appropriateness. </w:t>
      </w:r>
      <w:r>
        <w:rPr>
          <w:i/>
          <w:iCs/>
          <w:kern w:val="0"/>
        </w:rPr>
        <w:t>Asia-Pacific Psychiatry</w:t>
      </w:r>
      <w:r>
        <w:rPr>
          <w:kern w:val="0"/>
        </w:rPr>
        <w:t xml:space="preserve">, </w:t>
      </w:r>
      <w:r>
        <w:rPr>
          <w:b/>
          <w:bCs/>
          <w:kern w:val="0"/>
        </w:rPr>
        <w:t>5</w:t>
      </w:r>
      <w:r>
        <w:rPr>
          <w:kern w:val="0"/>
        </w:rPr>
        <w:t xml:space="preserve"> (3), 113-118.</w:t>
      </w:r>
    </w:p>
    <w:p w:rsidR="005F002F" w:rsidRDefault="005F002F" w:rsidP="005F002F">
      <w:pPr>
        <w:pStyle w:val="a3"/>
        <w:rPr>
          <w:kern w:val="0"/>
          <w:szCs w:val="24"/>
        </w:rPr>
      </w:pPr>
      <w:r>
        <w:rPr>
          <w:rFonts w:hint="eastAsia"/>
          <w:kern w:val="0"/>
          <w:szCs w:val="24"/>
        </w:rPr>
        <w:t xml:space="preserve">Full Text: </w:t>
      </w:r>
      <w:hyperlink r:id="rId1260" w:history="1">
        <w:r w:rsidR="005E2CE7" w:rsidRPr="005E2CE7">
          <w:rPr>
            <w:rStyle w:val="a5"/>
            <w:kern w:val="0"/>
            <w:szCs w:val="24"/>
          </w:rPr>
          <w:t>2013\Asi-Pac Psy5, 113.pdf</w:t>
        </w:r>
      </w:hyperlink>
    </w:p>
    <w:p w:rsidR="005F002F" w:rsidRDefault="005F002F" w:rsidP="005F002F">
      <w:pPr>
        <w:pStyle w:val="a3"/>
        <w:rPr>
          <w:kern w:val="0"/>
        </w:rPr>
      </w:pPr>
      <w:r>
        <w:rPr>
          <w:kern w:val="0"/>
        </w:rPr>
        <w:t>Abstract: A review</w:t>
      </w:r>
      <w:r w:rsidR="00427468">
        <w:rPr>
          <w:kern w:val="0"/>
        </w:rPr>
        <w:t xml:space="preserve"> of </w:t>
      </w:r>
      <w:r>
        <w:rPr>
          <w:kern w:val="0"/>
        </w:rPr>
        <w:t xml:space="preserve">the Western mental health scales that have been utilized in Nepal was conducted. Academic search engines (PubMed, </w:t>
      </w:r>
      <w:r w:rsidR="00D5664A">
        <w:rPr>
          <w:kern w:val="0"/>
        </w:rPr>
        <w:t>MEDLINE</w:t>
      </w:r>
      <w:r>
        <w:rPr>
          <w:kern w:val="0"/>
        </w:rPr>
        <w:t>, PsychLIT, Social Sciences Citation Index,</w:t>
      </w:r>
      <w:r w:rsidR="005853A9">
        <w:rPr>
          <w:kern w:val="0"/>
        </w:rPr>
        <w:t xml:space="preserve"> and </w:t>
      </w:r>
      <w:r>
        <w:rPr>
          <w:kern w:val="0"/>
        </w:rPr>
        <w:t xml:space="preserve">Anthropology Plus) were searched using relevant terms </w:t>
      </w:r>
      <w:r>
        <w:rPr>
          <w:kern w:val="0"/>
        </w:rPr>
        <w:lastRenderedPageBreak/>
        <w:t>for the years 1990-2011. Search results indicated a limited number</w:t>
      </w:r>
      <w:r w:rsidR="00427468">
        <w:rPr>
          <w:kern w:val="0"/>
        </w:rPr>
        <w:t xml:space="preserve"> of </w:t>
      </w:r>
      <w:r>
        <w:rPr>
          <w:kern w:val="0"/>
        </w:rPr>
        <w:t>mental health scales had been used and/or developed in Nepal with mixed emphasis on reliability</w:t>
      </w:r>
      <w:r w:rsidR="005853A9">
        <w:rPr>
          <w:kern w:val="0"/>
        </w:rPr>
        <w:t xml:space="preserve"> and </w:t>
      </w:r>
      <w:r>
        <w:rPr>
          <w:kern w:val="0"/>
        </w:rPr>
        <w:t>validity, as well as cultural considerations</w:t>
      </w:r>
      <w:r w:rsidR="00A37C1D">
        <w:rPr>
          <w:kern w:val="0"/>
        </w:rPr>
        <w:t>. The</w:t>
      </w:r>
      <w:r>
        <w:rPr>
          <w:kern w:val="0"/>
        </w:rPr>
        <w:t>se scales, methods</w:t>
      </w:r>
      <w:r w:rsidR="005853A9">
        <w:rPr>
          <w:kern w:val="0"/>
        </w:rPr>
        <w:t xml:space="preserve"> and </w:t>
      </w:r>
      <w:r>
        <w:rPr>
          <w:kern w:val="0"/>
        </w:rPr>
        <w:t>limitations are discussed within the cultural</w:t>
      </w:r>
      <w:r w:rsidR="005853A9">
        <w:rPr>
          <w:kern w:val="0"/>
        </w:rPr>
        <w:t xml:space="preserve"> and </w:t>
      </w:r>
      <w:r>
        <w:rPr>
          <w:kern w:val="0"/>
        </w:rPr>
        <w:t>social background</w:t>
      </w:r>
      <w:r w:rsidR="00427468">
        <w:rPr>
          <w:kern w:val="0"/>
        </w:rPr>
        <w:t xml:space="preserve"> of </w:t>
      </w:r>
      <w:r>
        <w:rPr>
          <w:kern w:val="0"/>
        </w:rPr>
        <w:t>Nepal.</w:t>
      </w:r>
    </w:p>
    <w:p w:rsidR="005F002F" w:rsidRDefault="005F002F" w:rsidP="005F002F">
      <w:pPr>
        <w:pStyle w:val="a3"/>
        <w:rPr>
          <w:kern w:val="0"/>
        </w:rPr>
      </w:pPr>
      <w:r>
        <w:rPr>
          <w:kern w:val="0"/>
        </w:rPr>
        <w:t xml:space="preserve">Keywords: Academic, Academic Search Engines, BC, Canada, Citation, Conflict, Cultural, Distress, DSM-Iv, Health, </w:t>
      </w:r>
      <w:r w:rsidR="00D5664A">
        <w:rPr>
          <w:kern w:val="0"/>
        </w:rPr>
        <w:t>MEDLINE</w:t>
      </w:r>
      <w:r>
        <w:rPr>
          <w:kern w:val="0"/>
        </w:rPr>
        <w:t xml:space="preserve">, Mental Health, Mental-Health, Methods, Nepal, Outcome Measure, Overview, Psychiatric Assessment, Psychiatry, Pubmed, Reliability, Review, River, Scales, Search, Social, Social Sciences, Social Sciences Citation Index, Stigma, </w:t>
      </w:r>
      <w:r w:rsidR="00D5664A">
        <w:rPr>
          <w:kern w:val="0"/>
        </w:rPr>
        <w:t>USA</w:t>
      </w:r>
      <w:r>
        <w:rPr>
          <w:kern w:val="0"/>
        </w:rPr>
        <w:t>, Validity</w:t>
      </w:r>
    </w:p>
    <w:p w:rsidR="00376E15" w:rsidRDefault="00376E15" w:rsidP="00376E15">
      <w:pPr>
        <w:pStyle w:val="a3"/>
        <w:rPr>
          <w:kern w:val="0"/>
        </w:rPr>
      </w:pPr>
      <w:r>
        <w:rPr>
          <w:rFonts w:hint="eastAsia"/>
          <w:kern w:val="0"/>
        </w:rPr>
        <w:t xml:space="preserve">? </w:t>
      </w:r>
      <w:r>
        <w:rPr>
          <w:kern w:val="0"/>
        </w:rPr>
        <w:t xml:space="preserve">Wang, Y., Yu, L.H., Xie, J., Chen, J.J. and Wei, Q.P. (2014), Comparative efficacies of fluoxetine and paroxetine in major depression across varying acute-phase treatment periods: A meta-analysis. </w:t>
      </w:r>
      <w:r>
        <w:rPr>
          <w:i/>
          <w:iCs/>
          <w:kern w:val="0"/>
        </w:rPr>
        <w:t>Asia-Pacific Psychiatry</w:t>
      </w:r>
      <w:r>
        <w:rPr>
          <w:kern w:val="0"/>
        </w:rPr>
        <w:t xml:space="preserve">, </w:t>
      </w:r>
      <w:r>
        <w:rPr>
          <w:b/>
          <w:bCs/>
          <w:kern w:val="0"/>
        </w:rPr>
        <w:t>6</w:t>
      </w:r>
      <w:r>
        <w:rPr>
          <w:kern w:val="0"/>
        </w:rPr>
        <w:t xml:space="preserve"> (4), 353-362.</w:t>
      </w:r>
    </w:p>
    <w:p w:rsidR="00376E15" w:rsidRDefault="00376E15" w:rsidP="00376E15">
      <w:pPr>
        <w:pStyle w:val="a3"/>
        <w:rPr>
          <w:kern w:val="0"/>
          <w:szCs w:val="24"/>
        </w:rPr>
      </w:pPr>
      <w:r>
        <w:rPr>
          <w:rFonts w:hint="eastAsia"/>
          <w:kern w:val="0"/>
          <w:szCs w:val="24"/>
        </w:rPr>
        <w:t xml:space="preserve">Full Text: </w:t>
      </w:r>
      <w:r w:rsidRPr="002604D0">
        <w:rPr>
          <w:kern w:val="0"/>
          <w:szCs w:val="24"/>
        </w:rPr>
        <w:t>2013\Asi-Pac Psy</w:t>
      </w:r>
      <w:r>
        <w:rPr>
          <w:rFonts w:hint="eastAsia"/>
          <w:kern w:val="0"/>
          <w:szCs w:val="24"/>
        </w:rPr>
        <w:t>6</w:t>
      </w:r>
      <w:r w:rsidRPr="002604D0">
        <w:rPr>
          <w:kern w:val="0"/>
          <w:szCs w:val="24"/>
        </w:rPr>
        <w:t xml:space="preserve">, </w:t>
      </w:r>
      <w:r>
        <w:rPr>
          <w:kern w:val="0"/>
        </w:rPr>
        <w:t>353</w:t>
      </w:r>
      <w:r w:rsidRPr="002604D0">
        <w:rPr>
          <w:kern w:val="0"/>
          <w:szCs w:val="24"/>
        </w:rPr>
        <w:t>.pdf</w:t>
      </w:r>
    </w:p>
    <w:p w:rsidR="00376E15" w:rsidRDefault="00376E15" w:rsidP="00376E15">
      <w:pPr>
        <w:pStyle w:val="a3"/>
        <w:rPr>
          <w:kern w:val="0"/>
        </w:rPr>
      </w:pPr>
      <w:r>
        <w:rPr>
          <w:kern w:val="0"/>
        </w:rPr>
        <w:t>Abstract: IntroductionPrevious studies have shown that varying acute-phase treatment periods of fluoxetine and paroxetine can result in varying antidepressive effects. We therefore did a meta-analysis to ascertain the efficacy of fluoxetine versus paroxetine for depression by varying acute-phase treatment periods. MethodsPubMed, CCTR, Web of Science, Embase, CBM-disc, and CNKI were searched up to March 2013. The key search terms were depression, paroxetine, and fluoxetine. No language restriction was imposed. ResultsWe included 17 studies with 3,110 patients. Three treatment period subgroups were created: 6, 8/10, and 12 weeks. In the 6-week subgroup, paroxetine was more efficacious than fluoxetine (odds ratio [OR]: 0.74; P&lt;0.05). In the 8/10-week subgroup, two drugs displayed comparative efficacy (OR, 0.85; P&gt;0.05). In the 12-week subgroup, fluoxetine was more efficacious than paroxetine (OR: 1.25; P&lt;0.05). There were no significant differences in acceptability. Significant heterogeneity and potential publication bias did not exist. ConclusionsPatients’ economic conditions, individual preference, and side effects of fluoxetine and paroxetine can be obstacles of successful treatment. Inappropriate acute-phase treatment, such as inadequate treatment periods, may result in pseudoresistance. Clinicians should take these information into consideration when prescribe fluoxetine or paroxetine for patients. Our results can aid clinicians in making an optimal treatment plan to increase odds of response.</w:t>
      </w:r>
    </w:p>
    <w:p w:rsidR="00376E15" w:rsidRDefault="00376E15" w:rsidP="00376E15">
      <w:pPr>
        <w:pStyle w:val="a3"/>
        <w:rPr>
          <w:kern w:val="0"/>
        </w:rPr>
      </w:pPr>
      <w:r>
        <w:rPr>
          <w:kern w:val="0"/>
        </w:rPr>
        <w:t>Keywords: Acceptability, Acute Phase, Bias, Comparative, Depression, Disorder, Double-Blind, Drugs, Economic, Effects, Efficacy, Fluoxetine, Heterogeneity, Information, Language, Meta Analysis, Meta-Analysis, Metaanalysis, Multicenter, Odds Ratio, Paroxetine, Patients, Potential, Preference, Publication, Publication Bias, Quality, Randomized-Trials, Response, Science, Selective Serotonin Reuptake Inhibitor, Sertraline, Side Effects, Treatment, Web, Web Of Science</w:t>
      </w:r>
    </w:p>
    <w:p w:rsidR="00521804" w:rsidRPr="00F219CA" w:rsidRDefault="00521804" w:rsidP="00521804">
      <w:pPr>
        <w:pStyle w:val="1"/>
      </w:pPr>
      <w:r w:rsidRPr="00F219CA">
        <w:br w:type="page"/>
      </w:r>
      <w:bookmarkStart w:id="640" w:name="_Toc420814623"/>
      <w:r>
        <w:lastRenderedPageBreak/>
        <w:t xml:space="preserve">Title: </w:t>
      </w:r>
      <w:r w:rsidRPr="00C00208">
        <w:t>Asia Pacific Viewpoint</w:t>
      </w:r>
      <w:bookmarkEnd w:id="640"/>
    </w:p>
    <w:p w:rsidR="00521804" w:rsidRPr="00F219CA" w:rsidRDefault="00521804" w:rsidP="00521804">
      <w:pPr>
        <w:pStyle w:val="12"/>
      </w:pPr>
      <w:r w:rsidRPr="00F219CA">
        <w:t xml:space="preserve">Full Journal Title: </w:t>
      </w:r>
      <w:hyperlink r:id="rId1261" w:history="1">
        <w:r w:rsidRPr="00C00208">
          <w:rPr>
            <w:rStyle w:val="a5"/>
            <w:iCs/>
            <w:kern w:val="0"/>
          </w:rPr>
          <w:t>Asia Pacific Viewpoint</w:t>
        </w:r>
      </w:hyperlink>
    </w:p>
    <w:p w:rsidR="00521804" w:rsidRPr="00F219CA" w:rsidRDefault="00521804" w:rsidP="00521804">
      <w:pPr>
        <w:pStyle w:val="12"/>
      </w:pPr>
      <w:r w:rsidRPr="00F219CA">
        <w:t xml:space="preserve">ISO Abbreviated Title: </w:t>
      </w:r>
    </w:p>
    <w:p w:rsidR="00521804" w:rsidRPr="00F219CA" w:rsidRDefault="00521804" w:rsidP="00521804">
      <w:pPr>
        <w:pStyle w:val="12"/>
      </w:pPr>
      <w:r w:rsidRPr="00F219CA">
        <w:t xml:space="preserve">JCR Abbreviated Title: </w:t>
      </w:r>
    </w:p>
    <w:p w:rsidR="00521804" w:rsidRPr="00F219CA" w:rsidRDefault="00521804" w:rsidP="00521804">
      <w:pPr>
        <w:pStyle w:val="12"/>
      </w:pPr>
      <w:r>
        <w:t xml:space="preserve">ISSN: </w:t>
      </w:r>
    </w:p>
    <w:p w:rsidR="00521804" w:rsidRPr="00F219CA" w:rsidRDefault="00521804" w:rsidP="00521804">
      <w:pPr>
        <w:pStyle w:val="12"/>
      </w:pPr>
      <w:r w:rsidRPr="00F219CA">
        <w:t xml:space="preserve">Issues/Year: </w:t>
      </w:r>
    </w:p>
    <w:p w:rsidR="00521804" w:rsidRPr="00F219CA" w:rsidRDefault="00521804" w:rsidP="00521804">
      <w:pPr>
        <w:pStyle w:val="12"/>
      </w:pPr>
      <w:r w:rsidRPr="00F219CA">
        <w:t xml:space="preserve">Journal Country/Territory: </w:t>
      </w:r>
    </w:p>
    <w:p w:rsidR="00521804" w:rsidRPr="00F219CA" w:rsidRDefault="00521804" w:rsidP="00521804">
      <w:pPr>
        <w:pStyle w:val="12"/>
      </w:pPr>
      <w:r w:rsidRPr="00F219CA">
        <w:t xml:space="preserve">Language: </w:t>
      </w:r>
    </w:p>
    <w:p w:rsidR="00521804" w:rsidRPr="00F219CA" w:rsidRDefault="00521804" w:rsidP="00521804">
      <w:pPr>
        <w:pStyle w:val="12"/>
      </w:pPr>
      <w:r w:rsidRPr="00F219CA">
        <w:t xml:space="preserve">Publisher: </w:t>
      </w:r>
    </w:p>
    <w:p w:rsidR="00521804" w:rsidRPr="00F219CA" w:rsidRDefault="00521804" w:rsidP="00521804">
      <w:pPr>
        <w:pStyle w:val="12"/>
      </w:pPr>
      <w:r w:rsidRPr="00F219CA">
        <w:t xml:space="preserve">Publisher Address: </w:t>
      </w:r>
    </w:p>
    <w:p w:rsidR="00521804" w:rsidRPr="00F219CA" w:rsidRDefault="00521804" w:rsidP="00521804">
      <w:pPr>
        <w:pStyle w:val="12"/>
      </w:pPr>
      <w:r w:rsidRPr="00F219CA">
        <w:t xml:space="preserve">Subject Categories: </w:t>
      </w:r>
    </w:p>
    <w:p w:rsidR="00521804" w:rsidRPr="00F219CA" w:rsidRDefault="00521804" w:rsidP="00521804">
      <w:pPr>
        <w:pStyle w:val="12"/>
      </w:pPr>
      <w:r w:rsidRPr="00F219CA">
        <w:t>: Impact Factor</w:t>
      </w:r>
    </w:p>
    <w:p w:rsidR="00521804" w:rsidRDefault="00521804" w:rsidP="00521804">
      <w:pPr>
        <w:pStyle w:val="a3"/>
        <w:rPr>
          <w:kern w:val="0"/>
        </w:rPr>
      </w:pPr>
      <w:r>
        <w:rPr>
          <w:rFonts w:hint="eastAsia"/>
          <w:kern w:val="0"/>
        </w:rPr>
        <w:t xml:space="preserve">? </w:t>
      </w:r>
      <w:r>
        <w:rPr>
          <w:kern w:val="0"/>
        </w:rPr>
        <w:t>McGregor, A.</w:t>
      </w:r>
      <w:r w:rsidR="005853A9">
        <w:rPr>
          <w:kern w:val="0"/>
        </w:rPr>
        <w:t xml:space="preserve"> and </w:t>
      </w:r>
      <w:r>
        <w:rPr>
          <w:kern w:val="0"/>
        </w:rPr>
        <w:t>Murray, W.E. (2009), Challenging placeism in Geography</w:t>
      </w:r>
      <w:r w:rsidR="005853A9">
        <w:rPr>
          <w:kern w:val="0"/>
        </w:rPr>
        <w:t xml:space="preserve"> and </w:t>
      </w:r>
      <w:r>
        <w:rPr>
          <w:kern w:val="0"/>
        </w:rPr>
        <w:t xml:space="preserve">beyond. </w:t>
      </w:r>
      <w:r w:rsidRPr="00C00208">
        <w:rPr>
          <w:i/>
          <w:iCs/>
          <w:kern w:val="0"/>
        </w:rPr>
        <w:t>Asia Pacific Viewpoint</w:t>
      </w:r>
      <w:r>
        <w:rPr>
          <w:kern w:val="0"/>
        </w:rPr>
        <w:t xml:space="preserve">, </w:t>
      </w:r>
      <w:r>
        <w:rPr>
          <w:b/>
          <w:bCs/>
          <w:kern w:val="0"/>
        </w:rPr>
        <w:t>50</w:t>
      </w:r>
      <w:r>
        <w:rPr>
          <w:kern w:val="0"/>
        </w:rPr>
        <w:t xml:space="preserve"> (3), 253-254.</w:t>
      </w:r>
    </w:p>
    <w:p w:rsidR="00521804" w:rsidRDefault="00521804" w:rsidP="00521804">
      <w:pPr>
        <w:pStyle w:val="a3"/>
        <w:rPr>
          <w:kern w:val="0"/>
        </w:rPr>
      </w:pPr>
      <w:r>
        <w:rPr>
          <w:rFonts w:hint="eastAsia"/>
          <w:kern w:val="0"/>
        </w:rPr>
        <w:t xml:space="preserve">Full Text: </w:t>
      </w:r>
      <w:hyperlink r:id="rId1262" w:history="1">
        <w:r w:rsidRPr="00C00208">
          <w:rPr>
            <w:rStyle w:val="a5"/>
            <w:kern w:val="0"/>
          </w:rPr>
          <w:t>2009\Asi Pac Vie50, 253.pdf</w:t>
        </w:r>
      </w:hyperlink>
    </w:p>
    <w:p w:rsidR="00521804" w:rsidRDefault="00521804" w:rsidP="00521804">
      <w:pPr>
        <w:pStyle w:val="a3"/>
        <w:rPr>
          <w:kern w:val="0"/>
        </w:rPr>
      </w:pPr>
      <w:r>
        <w:rPr>
          <w:kern w:val="0"/>
        </w:rPr>
        <w:t>Abstract: Geography</w:t>
      </w:r>
      <w:r w:rsidR="00700038">
        <w:rPr>
          <w:kern w:val="0"/>
        </w:rPr>
        <w:t>’</w:t>
      </w:r>
      <w:r w:rsidR="00C13DDC">
        <w:rPr>
          <w:kern w:val="0"/>
        </w:rPr>
        <w:t>s</w:t>
      </w:r>
      <w:r>
        <w:rPr>
          <w:kern w:val="0"/>
        </w:rPr>
        <w:t xml:space="preserve"> central concern is place. Ironic, then, that it is characterised by placeist relations</w:t>
      </w:r>
      <w:r w:rsidR="00427468">
        <w:rPr>
          <w:kern w:val="0"/>
        </w:rPr>
        <w:t xml:space="preserve"> of </w:t>
      </w:r>
      <w:r>
        <w:rPr>
          <w:kern w:val="0"/>
        </w:rPr>
        <w:t>power that permeate both</w:t>
      </w:r>
      <w:r w:rsidR="003A1917">
        <w:rPr>
          <w:kern w:val="0"/>
        </w:rPr>
        <w:t xml:space="preserve"> the </w:t>
      </w:r>
      <w:r>
        <w:rPr>
          <w:kern w:val="0"/>
        </w:rPr>
        <w:t>production</w:t>
      </w:r>
      <w:r w:rsidR="005853A9">
        <w:rPr>
          <w:kern w:val="0"/>
        </w:rPr>
        <w:t xml:space="preserve"> and </w:t>
      </w:r>
      <w:r>
        <w:rPr>
          <w:kern w:val="0"/>
        </w:rPr>
        <w:t>consumption</w:t>
      </w:r>
      <w:r w:rsidR="00427468">
        <w:rPr>
          <w:kern w:val="0"/>
        </w:rPr>
        <w:t xml:space="preserve"> of </w:t>
      </w:r>
      <w:r>
        <w:rPr>
          <w:kern w:val="0"/>
        </w:rPr>
        <w:t>geographical knowledge. Other disciplines are placeist</w:t>
      </w:r>
      <w:r w:rsidR="00427468">
        <w:rPr>
          <w:kern w:val="0"/>
        </w:rPr>
        <w:t xml:space="preserve"> of </w:t>
      </w:r>
      <w:r>
        <w:rPr>
          <w:kern w:val="0"/>
        </w:rPr>
        <w:t>course, but none purports to take place as seriously as geography must by definition</w:t>
      </w:r>
      <w:r w:rsidR="00A37C1D">
        <w:rPr>
          <w:kern w:val="0"/>
        </w:rPr>
        <w:t>. The</w:t>
      </w:r>
      <w:r>
        <w:rPr>
          <w:kern w:val="0"/>
        </w:rPr>
        <w:t>re should be no room for placeism in</w:t>
      </w:r>
      <w:r w:rsidR="003A1917">
        <w:rPr>
          <w:kern w:val="0"/>
        </w:rPr>
        <w:t xml:space="preserve"> the </w:t>
      </w:r>
      <w:r>
        <w:rPr>
          <w:kern w:val="0"/>
        </w:rPr>
        <w:t>globalised, democratic, geography that most geographers aspire to. In this short piece we celebrate APV</w:t>
      </w:r>
      <w:r w:rsidR="00700038">
        <w:rPr>
          <w:kern w:val="0"/>
        </w:rPr>
        <w:t>’</w:t>
      </w:r>
      <w:r w:rsidR="00C13DDC">
        <w:rPr>
          <w:kern w:val="0"/>
        </w:rPr>
        <w:t>s</w:t>
      </w:r>
      <w:r>
        <w:rPr>
          <w:kern w:val="0"/>
        </w:rPr>
        <w:t xml:space="preserve"> inclusion in</w:t>
      </w:r>
      <w:r w:rsidR="003A1917">
        <w:rPr>
          <w:kern w:val="0"/>
        </w:rPr>
        <w:t xml:space="preserve"> the </w:t>
      </w:r>
      <w:r>
        <w:rPr>
          <w:kern w:val="0"/>
        </w:rPr>
        <w:t>Social Science Citation Index (</w:t>
      </w:r>
      <w:r w:rsidR="00D5664A">
        <w:rPr>
          <w:kern w:val="0"/>
        </w:rPr>
        <w:t>SSCI</w:t>
      </w:r>
      <w:r>
        <w:rPr>
          <w:kern w:val="0"/>
        </w:rPr>
        <w:t>) but reflect on</w:t>
      </w:r>
      <w:r w:rsidR="003A1917">
        <w:rPr>
          <w:kern w:val="0"/>
        </w:rPr>
        <w:t xml:space="preserve"> the </w:t>
      </w:r>
      <w:r>
        <w:rPr>
          <w:kern w:val="0"/>
        </w:rPr>
        <w:t>inherent spatial bias that confers importance upon such indices</w:t>
      </w:r>
      <w:r w:rsidR="005853A9">
        <w:rPr>
          <w:kern w:val="0"/>
        </w:rPr>
        <w:t xml:space="preserve"> and </w:t>
      </w:r>
      <w:r w:rsidR="003A1917">
        <w:rPr>
          <w:kern w:val="0"/>
        </w:rPr>
        <w:t xml:space="preserve">the </w:t>
      </w:r>
      <w:r>
        <w:rPr>
          <w:kern w:val="0"/>
        </w:rPr>
        <w:t>research assessment exercises that utilise them. On</w:t>
      </w:r>
      <w:r w:rsidR="003A1917">
        <w:rPr>
          <w:kern w:val="0"/>
        </w:rPr>
        <w:t xml:space="preserve"> the </w:t>
      </w:r>
      <w:r>
        <w:rPr>
          <w:kern w:val="0"/>
        </w:rPr>
        <w:t>occasion</w:t>
      </w:r>
      <w:r w:rsidR="00427468">
        <w:rPr>
          <w:kern w:val="0"/>
        </w:rPr>
        <w:t xml:space="preserve"> of </w:t>
      </w:r>
      <w:r w:rsidR="003A1917">
        <w:rPr>
          <w:kern w:val="0"/>
        </w:rPr>
        <w:t xml:space="preserve">the </w:t>
      </w:r>
      <w:r>
        <w:rPr>
          <w:kern w:val="0"/>
        </w:rPr>
        <w:t>50(th) anniversary Asia Pacific Viewpoint, we take</w:t>
      </w:r>
      <w:r w:rsidR="003A1917">
        <w:rPr>
          <w:kern w:val="0"/>
        </w:rPr>
        <w:t xml:space="preserve"> the </w:t>
      </w:r>
      <w:r>
        <w:rPr>
          <w:kern w:val="0"/>
        </w:rPr>
        <w:t>opportunity to re-affirm our commitment to non-placeist scholarship which was</w:t>
      </w:r>
      <w:r w:rsidR="003A1917">
        <w:rPr>
          <w:kern w:val="0"/>
        </w:rPr>
        <w:t xml:space="preserve"> the </w:t>
      </w:r>
      <w:r>
        <w:rPr>
          <w:kern w:val="0"/>
        </w:rPr>
        <w:t>founding rationale</w:t>
      </w:r>
      <w:r w:rsidR="00427468">
        <w:rPr>
          <w:kern w:val="0"/>
        </w:rPr>
        <w:t xml:space="preserve"> of </w:t>
      </w:r>
      <w:r w:rsidR="003A1917">
        <w:rPr>
          <w:kern w:val="0"/>
        </w:rPr>
        <w:t xml:space="preserve">the </w:t>
      </w:r>
      <w:r>
        <w:rPr>
          <w:kern w:val="0"/>
        </w:rPr>
        <w:t>journal.</w:t>
      </w:r>
    </w:p>
    <w:p w:rsidR="00521804" w:rsidRDefault="00521804" w:rsidP="00521804">
      <w:pPr>
        <w:pStyle w:val="a3"/>
        <w:rPr>
          <w:kern w:val="0"/>
        </w:rPr>
      </w:pPr>
      <w:r>
        <w:rPr>
          <w:kern w:val="0"/>
        </w:rPr>
        <w:t>Keywords: Assessment, Citation, Exercises, Geography, Research, Scholarship, Science Citation Index</w:t>
      </w:r>
    </w:p>
    <w:p w:rsidR="003474F2" w:rsidRPr="001A3D2B" w:rsidRDefault="00C915FF" w:rsidP="00C915FF">
      <w:pPr>
        <w:pStyle w:val="1"/>
      </w:pPr>
      <w:r w:rsidRPr="001A3D2B">
        <w:br w:type="page"/>
      </w:r>
      <w:bookmarkStart w:id="641" w:name="_Toc420814624"/>
      <w:r w:rsidR="003474F2" w:rsidRPr="001A3D2B">
        <w:lastRenderedPageBreak/>
        <w:t xml:space="preserve">Title: </w:t>
      </w:r>
      <w:r w:rsidR="003474F2" w:rsidRPr="001A3D2B">
        <w:rPr>
          <w:szCs w:val="19"/>
        </w:rPr>
        <w:t>Asian-Australasian Journal</w:t>
      </w:r>
      <w:r w:rsidR="00427468">
        <w:rPr>
          <w:szCs w:val="19"/>
        </w:rPr>
        <w:t xml:space="preserve"> of </w:t>
      </w:r>
      <w:r w:rsidR="003474F2" w:rsidRPr="001A3D2B">
        <w:rPr>
          <w:szCs w:val="19"/>
        </w:rPr>
        <w:t>Animal Sciences</w:t>
      </w:r>
      <w:bookmarkEnd w:id="641"/>
    </w:p>
    <w:p w:rsidR="003474F2" w:rsidRPr="001A3D2B" w:rsidRDefault="003474F2" w:rsidP="003474F2">
      <w:pPr>
        <w:pStyle w:val="12"/>
      </w:pPr>
      <w:r w:rsidRPr="001A3D2B">
        <w:t>Full Journal Title: Asian-Australasian Journal</w:t>
      </w:r>
      <w:r w:rsidR="00427468">
        <w:t xml:space="preserve"> of </w:t>
      </w:r>
      <w:r w:rsidRPr="001A3D2B">
        <w:t>Animal Sciences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1011-2367</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Pr="001A3D2B" w:rsidRDefault="003474F2" w:rsidP="003474F2">
      <w:pPr>
        <w:pStyle w:val="a3"/>
      </w:pPr>
      <w:r w:rsidRPr="001A3D2B">
        <w:t xml:space="preserve">? </w:t>
      </w:r>
      <w:r w:rsidRPr="001A3D2B">
        <w:rPr>
          <w:szCs w:val="19"/>
        </w:rPr>
        <w:t>Han, I.K.</w:t>
      </w:r>
      <w:r w:rsidRPr="001A3D2B">
        <w:t xml:space="preserve"> (2002), </w:t>
      </w:r>
      <w:r w:rsidR="00C41091" w:rsidRPr="00F219CA">
        <w:rPr>
          <w:szCs w:val="24"/>
        </w:rPr>
        <w:t>Publication report</w:t>
      </w:r>
      <w:r w:rsidR="00427468">
        <w:rPr>
          <w:szCs w:val="24"/>
        </w:rPr>
        <w:t xml:space="preserve"> of </w:t>
      </w:r>
      <w:r w:rsidR="003A1917">
        <w:rPr>
          <w:szCs w:val="24"/>
        </w:rPr>
        <w:t xml:space="preserve">the </w:t>
      </w:r>
      <w:r w:rsidR="00C41091" w:rsidRPr="0067088F">
        <w:rPr>
          <w:i/>
          <w:szCs w:val="24"/>
        </w:rPr>
        <w:t>Asian-Australasian Journal</w:t>
      </w:r>
      <w:r w:rsidR="00427468">
        <w:rPr>
          <w:i/>
          <w:szCs w:val="24"/>
        </w:rPr>
        <w:t xml:space="preserve"> of </w:t>
      </w:r>
      <w:r w:rsidR="00C41091" w:rsidRPr="0067088F">
        <w:rPr>
          <w:i/>
          <w:szCs w:val="24"/>
        </w:rPr>
        <w:t>Animal Sciences</w:t>
      </w:r>
      <w:r w:rsidR="00C41091" w:rsidRPr="00F219CA">
        <w:rPr>
          <w:szCs w:val="24"/>
        </w:rPr>
        <w:t xml:space="preserve"> over its history</w:t>
      </w:r>
      <w:r w:rsidR="00427468">
        <w:rPr>
          <w:szCs w:val="24"/>
        </w:rPr>
        <w:t xml:space="preserve"> of </w:t>
      </w:r>
      <w:r w:rsidR="00C41091" w:rsidRPr="00F219CA">
        <w:rPr>
          <w:szCs w:val="24"/>
        </w:rPr>
        <w:t>15 years - A review</w:t>
      </w:r>
      <w:r w:rsidRPr="001A3D2B">
        <w:t xml:space="preserve">. </w:t>
      </w:r>
      <w:r w:rsidRPr="001A3D2B">
        <w:rPr>
          <w:i/>
          <w:szCs w:val="19"/>
        </w:rPr>
        <w:t>Asian-Australasian Journal</w:t>
      </w:r>
      <w:r w:rsidR="00427468">
        <w:rPr>
          <w:i/>
          <w:szCs w:val="19"/>
        </w:rPr>
        <w:t xml:space="preserve"> of </w:t>
      </w:r>
      <w:r w:rsidRPr="001A3D2B">
        <w:rPr>
          <w:i/>
          <w:szCs w:val="19"/>
        </w:rPr>
        <w:t>Animal Sciences</w:t>
      </w:r>
      <w:r w:rsidRPr="001A3D2B">
        <w:t xml:space="preserve">, </w:t>
      </w:r>
      <w:r w:rsidRPr="001A3D2B">
        <w:rPr>
          <w:b/>
        </w:rPr>
        <w:t>15</w:t>
      </w:r>
      <w:r w:rsidRPr="001A3D2B">
        <w:t xml:space="preserve"> (1), </w:t>
      </w:r>
      <w:r w:rsidRPr="001A3D2B">
        <w:rPr>
          <w:szCs w:val="19"/>
        </w:rPr>
        <w:t>124-144</w:t>
      </w:r>
      <w:r w:rsidRPr="001A3D2B">
        <w:t>.</w:t>
      </w:r>
    </w:p>
    <w:p w:rsidR="003474F2" w:rsidRPr="001A3D2B" w:rsidRDefault="003474F2" w:rsidP="003474F2">
      <w:pPr>
        <w:pStyle w:val="a3"/>
      </w:pPr>
      <w:r w:rsidRPr="001A3D2B">
        <w:t xml:space="preserve">Abstract: </w:t>
      </w:r>
      <w:r w:rsidRPr="001A3D2B">
        <w:rPr>
          <w:szCs w:val="19"/>
        </w:rPr>
        <w:t>As an official journal</w:t>
      </w:r>
      <w:r w:rsidR="00427468">
        <w:rPr>
          <w:szCs w:val="19"/>
        </w:rPr>
        <w:t xml:space="preserve"> of </w:t>
      </w:r>
      <w:r w:rsidR="003A1917">
        <w:rPr>
          <w:szCs w:val="19"/>
        </w:rPr>
        <w:t xml:space="preserve">the </w:t>
      </w:r>
      <w:r w:rsidRPr="00C41091">
        <w:rPr>
          <w:i/>
          <w:szCs w:val="19"/>
        </w:rPr>
        <w:t>Asian-Australasian Association</w:t>
      </w:r>
      <w:r w:rsidR="00427468">
        <w:rPr>
          <w:i/>
          <w:szCs w:val="19"/>
        </w:rPr>
        <w:t xml:space="preserve"> of </w:t>
      </w:r>
      <w:r w:rsidRPr="00C41091">
        <w:rPr>
          <w:i/>
          <w:szCs w:val="19"/>
        </w:rPr>
        <w:t>Animal</w:t>
      </w:r>
      <w:r w:rsidRPr="00C41091">
        <w:rPr>
          <w:i/>
        </w:rPr>
        <w:t xml:space="preserve"> Production Societies</w:t>
      </w:r>
      <w:r w:rsidRPr="001A3D2B">
        <w:t xml:space="preserve"> (AAAP</w:t>
      </w:r>
      <w:r w:rsidR="00F42EAC">
        <w:t>), The</w:t>
      </w:r>
      <w:r w:rsidR="003A1917">
        <w:t xml:space="preserve"> </w:t>
      </w:r>
      <w:r w:rsidRPr="00C41091">
        <w:rPr>
          <w:i/>
        </w:rPr>
        <w:t>Asian-Australasian Journal</w:t>
      </w:r>
      <w:r w:rsidR="00427468">
        <w:rPr>
          <w:i/>
        </w:rPr>
        <w:t xml:space="preserve"> of </w:t>
      </w:r>
      <w:r w:rsidRPr="00C41091">
        <w:rPr>
          <w:i/>
        </w:rPr>
        <w:t>Animal Sciences</w:t>
      </w:r>
      <w:r w:rsidRPr="001A3D2B">
        <w:t xml:space="preserve"> (AJAS) was born in February 1987</w:t>
      </w:r>
      <w:r w:rsidR="005853A9">
        <w:t xml:space="preserve"> and </w:t>
      </w:r>
      <w:r w:rsidR="003A1917">
        <w:t xml:space="preserve">the </w:t>
      </w:r>
      <w:r w:rsidRPr="001A3D2B">
        <w:t>First issue (Volume 1, Number 1) was published in March 1988 under</w:t>
      </w:r>
      <w:r w:rsidR="003A1917">
        <w:t xml:space="preserve"> the </w:t>
      </w:r>
      <w:r w:rsidRPr="001A3D2B">
        <w:t>Editorship</w:t>
      </w:r>
      <w:r w:rsidR="00427468">
        <w:t xml:space="preserve"> of </w:t>
      </w:r>
      <w:r w:rsidRPr="001A3D2B">
        <w:t>Professor In K. Han (</w:t>
      </w:r>
      <w:smartTag w:uri="urn:schemas-microsoft-com:office:smarttags" w:element="place">
        <w:smartTag w:uri="urn:schemas-microsoft-com:office:smarttags" w:element="country-region">
          <w:r w:rsidRPr="001A3D2B">
            <w:t>Korea</w:t>
          </w:r>
        </w:smartTag>
      </w:smartTag>
      <w:r w:rsidRPr="001A3D2B">
        <w:t>). By</w:t>
      </w:r>
      <w:r w:rsidR="003A1917">
        <w:t xml:space="preserve"> the </w:t>
      </w:r>
      <w:r w:rsidRPr="001A3D2B">
        <w:t>end</w:t>
      </w:r>
      <w:r w:rsidR="00427468">
        <w:t xml:space="preserve"> of </w:t>
      </w:r>
      <w:r w:rsidRPr="001A3D2B">
        <w:t>2001, a total</w:t>
      </w:r>
      <w:r w:rsidR="00427468">
        <w:t xml:space="preserve"> of </w:t>
      </w:r>
      <w:r w:rsidRPr="001A3D2B">
        <w:t>84 issues in 14 volumes</w:t>
      </w:r>
      <w:r w:rsidR="005853A9">
        <w:t xml:space="preserve"> and </w:t>
      </w:r>
      <w:r w:rsidRPr="001A3D2B">
        <w:t xml:space="preserve">1,761 papers in 11,462 pages had been published. In addition to these 14 volumes, a special issue entitled </w:t>
      </w:r>
      <w:r w:rsidR="00700038">
        <w:t>‘</w:t>
      </w:r>
      <w:r w:rsidRPr="001A3D2B">
        <w:t>Recent Advances in Animal Nutrition</w:t>
      </w:r>
      <w:r w:rsidR="00700038">
        <w:t>’</w:t>
      </w:r>
      <w:r w:rsidRPr="001A3D2B">
        <w:t xml:space="preserve"> (April, 2000)</w:t>
      </w:r>
      <w:r w:rsidR="005853A9">
        <w:t xml:space="preserve"> and </w:t>
      </w:r>
      <w:r w:rsidRPr="001A3D2B">
        <w:t xml:space="preserve">3 supplements entitled </w:t>
      </w:r>
      <w:r w:rsidR="00700038">
        <w:t>‘</w:t>
      </w:r>
      <w:r w:rsidRPr="001A3D2B">
        <w:t>Proceedings</w:t>
      </w:r>
      <w:r w:rsidR="00427468">
        <w:t xml:space="preserve"> of </w:t>
      </w:r>
      <w:r w:rsidR="003A1917">
        <w:t xml:space="preserve">the </w:t>
      </w:r>
      <w:r w:rsidRPr="001A3D2B">
        <w:t>9th AAAP Animal Science Congress</w:t>
      </w:r>
      <w:r w:rsidR="00700038">
        <w:t>’</w:t>
      </w:r>
      <w:r w:rsidRPr="001A3D2B">
        <w:t xml:space="preserve"> (July, 2000) were also published. Publication frequency has steadily increased from 4 issues in 1988, to 6 issues in 1997</w:t>
      </w:r>
      <w:r w:rsidR="005853A9">
        <w:t xml:space="preserve"> and </w:t>
      </w:r>
      <w:r w:rsidRPr="001A3D2B">
        <w:t>to 12 issues in 2000</w:t>
      </w:r>
      <w:r w:rsidR="00A37C1D">
        <w:t>. The</w:t>
      </w:r>
      <w:r w:rsidR="003A1917">
        <w:t xml:space="preserve"> </w:t>
      </w:r>
      <w:r w:rsidRPr="001A3D2B">
        <w:t>total number</w:t>
      </w:r>
      <w:r w:rsidR="00427468">
        <w:t xml:space="preserve"> of </w:t>
      </w:r>
      <w:r w:rsidRPr="001A3D2B">
        <w:t>pages per volume</w:t>
      </w:r>
      <w:r w:rsidR="005853A9">
        <w:t xml:space="preserve"> and </w:t>
      </w:r>
      <w:r w:rsidR="003A1917">
        <w:t xml:space="preserve">the </w:t>
      </w:r>
      <w:r w:rsidRPr="001A3D2B">
        <w:t>number</w:t>
      </w:r>
      <w:r w:rsidR="00427468">
        <w:t xml:space="preserve"> of </w:t>
      </w:r>
      <w:r w:rsidRPr="001A3D2B">
        <w:t>original or review papers published also increased, Sonic significant milestones in</w:t>
      </w:r>
      <w:r w:rsidR="003A1917">
        <w:t xml:space="preserve"> the </w:t>
      </w:r>
      <w:r w:rsidRPr="001A3D2B">
        <w:t>history</w:t>
      </w:r>
      <w:r w:rsidR="00427468">
        <w:t xml:space="preserve"> of </w:t>
      </w:r>
      <w:r w:rsidR="003A1917">
        <w:t xml:space="preserve">the </w:t>
      </w:r>
      <w:r w:rsidRPr="001A3D2B">
        <w:t>AJAS include that 1 it became a Science Citation Index (SCI) journal in 1997, 2</w:t>
      </w:r>
      <w:r w:rsidR="003A1917">
        <w:t xml:space="preserve"> the </w:t>
      </w:r>
      <w:r w:rsidRPr="001A3D2B">
        <w:t>impact factor</w:t>
      </w:r>
      <w:r w:rsidR="00427468">
        <w:t xml:space="preserve"> of </w:t>
      </w:r>
      <w:r w:rsidR="003A1917">
        <w:t xml:space="preserve">the </w:t>
      </w:r>
      <w:r w:rsidRPr="001A3D2B">
        <w:t xml:space="preserve">journal improved from </w:t>
      </w:r>
      <w:smartTag w:uri="urn:schemas-microsoft-com:office:smarttags" w:element="chmetcnv">
        <w:smartTagPr>
          <w:attr w:name="TCSC" w:val="0"/>
          <w:attr w:name="NumberType" w:val="1"/>
          <w:attr w:name="Negative" w:val="False"/>
          <w:attr w:name="HasSpace" w:val="True"/>
          <w:attr w:name="SourceValue" w:val="0.257"/>
          <w:attr w:name="UnitName" w:val="in"/>
        </w:smartTagPr>
        <w:r w:rsidRPr="001A3D2B">
          <w:t>0.257 in</w:t>
        </w:r>
      </w:smartTag>
      <w:r w:rsidRPr="001A3D2B">
        <w:t xml:space="preserve"> 1999 to </w:t>
      </w:r>
      <w:smartTag w:uri="urn:schemas-microsoft-com:office:smarttags" w:element="chmetcnv">
        <w:smartTagPr>
          <w:attr w:name="TCSC" w:val="0"/>
          <w:attr w:name="NumberType" w:val="1"/>
          <w:attr w:name="Negative" w:val="False"/>
          <w:attr w:name="HasSpace" w:val="True"/>
          <w:attr w:name="SourceValue" w:val="0.446"/>
          <w:attr w:name="UnitName" w:val="in"/>
        </w:smartTagPr>
        <w:r w:rsidRPr="001A3D2B">
          <w:t>0.446 in</w:t>
        </w:r>
      </w:smartTag>
      <w:r w:rsidRPr="001A3D2B">
        <w:t xml:space="preserve"> 2000, 3 it became a monthly journal (12 issues per volume) in 2000, 4 it adopted an English editing system in 1999,</w:t>
      </w:r>
      <w:r w:rsidR="005853A9">
        <w:t xml:space="preserve"> and </w:t>
      </w:r>
      <w:r w:rsidRPr="001A3D2B">
        <w:t xml:space="preserve">5 it has been covered in </w:t>
      </w:r>
      <w:r w:rsidR="00700038">
        <w:t>‘</w:t>
      </w:r>
      <w:r w:rsidRPr="001A3D2B">
        <w:t>Current Contents/Agriculture, Biology</w:t>
      </w:r>
      <w:r w:rsidR="005853A9">
        <w:t xml:space="preserve"> and </w:t>
      </w:r>
      <w:r w:rsidRPr="001A3D2B">
        <w:t>Environmental Science since 2000</w:t>
      </w:r>
      <w:r w:rsidR="00A37C1D">
        <w:t>. The</w:t>
      </w:r>
      <w:r w:rsidR="003A1917">
        <w:t xml:space="preserve"> </w:t>
      </w:r>
      <w:r w:rsidRPr="001A3D2B">
        <w:t>AJAS is subscribed by 842 individuals or institutions. Annual subscription fees</w:t>
      </w:r>
      <w:r w:rsidR="00427468">
        <w:t xml:space="preserve"> of </w:t>
      </w:r>
      <w:r w:rsidRPr="001A3D2B">
        <w:t>US$ 50 (Category B) or US$ 70 (Category A) for individuals</w:t>
      </w:r>
      <w:r w:rsidR="005853A9">
        <w:t xml:space="preserve"> and </w:t>
      </w:r>
      <w:r w:rsidRPr="001A3D2B">
        <w:t>US$ 70 (Category B) or USS 120 (Category A) for institutions are much less than</w:t>
      </w:r>
      <w:r w:rsidR="003A1917">
        <w:t xml:space="preserve"> the </w:t>
      </w:r>
      <w:r w:rsidRPr="001A3D2B">
        <w:t>actual production costs</w:t>
      </w:r>
      <w:r w:rsidR="00427468">
        <w:t xml:space="preserve"> of </w:t>
      </w:r>
      <w:r w:rsidRPr="001A3D2B">
        <w:t>US$ 130. A list</w:t>
      </w:r>
      <w:r w:rsidR="00427468">
        <w:t xml:space="preserve"> of </w:t>
      </w:r>
      <w:r w:rsidR="003A1917">
        <w:t xml:space="preserve">the </w:t>
      </w:r>
      <w:r w:rsidRPr="001A3D2B">
        <w:t>1,761 papers published in AJAS, listed according to subject area, may be found in</w:t>
      </w:r>
      <w:r w:rsidR="003A1917">
        <w:t xml:space="preserve"> the </w:t>
      </w:r>
      <w:r w:rsidRPr="001A3D2B">
        <w:t>AJAS homepage (http://www.ajas.snu.ac.kr)</w:t>
      </w:r>
      <w:r w:rsidR="005853A9">
        <w:t xml:space="preserve"> and </w:t>
      </w:r>
      <w:r w:rsidRPr="001A3D2B">
        <w:t xml:space="preserve">a </w:t>
      </w:r>
      <w:r w:rsidRPr="001A3D2B">
        <w:lastRenderedPageBreak/>
        <w:t xml:space="preserve">very well prepared </w:t>
      </w:r>
      <w:r w:rsidR="00700038">
        <w:t>‘</w:t>
      </w:r>
      <w:r w:rsidRPr="001A3D2B">
        <w:t>Editorial Policy with Guide for Authors</w:t>
      </w:r>
      <w:r w:rsidR="00700038">
        <w:t>’</w:t>
      </w:r>
      <w:r w:rsidRPr="001A3D2B">
        <w:t xml:space="preserve"> is available in</w:t>
      </w:r>
      <w:r w:rsidR="003A1917">
        <w:t xml:space="preserve"> the </w:t>
      </w:r>
      <w:r w:rsidRPr="001A3D2B">
        <w:t>Appendix</w:t>
      </w:r>
      <w:r w:rsidR="00427468">
        <w:t xml:space="preserve"> of </w:t>
      </w:r>
      <w:r w:rsidRPr="001A3D2B">
        <w:t>this paper. With regard to</w:t>
      </w:r>
      <w:r w:rsidR="003A1917">
        <w:t xml:space="preserve"> the </w:t>
      </w:r>
      <w:r w:rsidRPr="001A3D2B">
        <w:t>submission status</w:t>
      </w:r>
      <w:r w:rsidR="00427468">
        <w:t xml:space="preserve"> of </w:t>
      </w:r>
      <w:r w:rsidRPr="001A3D2B">
        <w:t xml:space="preserve">manuscripts from AAAP member countries, </w:t>
      </w:r>
      <w:smartTag w:uri="urn:schemas-microsoft-com:office:smarttags" w:element="country-region">
        <w:r w:rsidRPr="001A3D2B">
          <w:t>India</w:t>
        </w:r>
      </w:smartTag>
      <w:r w:rsidRPr="001A3D2B">
        <w:t xml:space="preserve"> (235), </w:t>
      </w:r>
      <w:smartTag w:uri="urn:schemas-microsoft-com:office:smarttags" w:element="country-region">
        <w:r w:rsidRPr="001A3D2B">
          <w:t>Korea</w:t>
        </w:r>
      </w:smartTag>
      <w:r w:rsidRPr="001A3D2B">
        <w:t xml:space="preserve"> (235)</w:t>
      </w:r>
      <w:r w:rsidR="005853A9">
        <w:t xml:space="preserve"> and </w:t>
      </w:r>
      <w:r w:rsidRPr="001A3D2B">
        <w:t>Japan (198) have submitted</w:t>
      </w:r>
      <w:r w:rsidR="003A1917">
        <w:t xml:space="preserve"> the </w:t>
      </w:r>
      <w:r w:rsidRPr="001A3D2B">
        <w:t>most manuscripts. On</w:t>
      </w:r>
      <w:r w:rsidR="003A1917">
        <w:t xml:space="preserve"> the </w:t>
      </w:r>
      <w:r w:rsidRPr="001A3D2B">
        <w:t xml:space="preserve">other hand, </w:t>
      </w:r>
      <w:smartTag w:uri="urn:schemas-microsoft-com:office:smarttags" w:element="country-region">
        <w:r w:rsidRPr="001A3D2B">
          <w:t>Mongolia</w:t>
        </w:r>
      </w:smartTag>
      <w:r w:rsidRPr="001A3D2B">
        <w:t xml:space="preserve">, </w:t>
      </w:r>
      <w:smartTag w:uri="urn:schemas-microsoft-com:office:smarttags" w:element="country-region">
        <w:r w:rsidRPr="001A3D2B">
          <w:t>Nepal</w:t>
        </w:r>
      </w:smartTag>
      <w:r w:rsidRPr="001A3D2B">
        <w:t>,</w:t>
      </w:r>
      <w:r w:rsidR="005853A9">
        <w:t xml:space="preserve"> and </w:t>
      </w:r>
      <w:r w:rsidRPr="001A3D2B">
        <w:t>Papua New Guinea have never submitted any articles</w:t>
      </w:r>
      <w:r w:rsidR="00A37C1D">
        <w:t>. The</w:t>
      </w:r>
      <w:r w:rsidR="003A1917">
        <w:t xml:space="preserve"> </w:t>
      </w:r>
      <w:r w:rsidRPr="001A3D2B">
        <w:t>average time required from submission</w:t>
      </w:r>
      <w:r w:rsidR="00427468">
        <w:t xml:space="preserve"> of </w:t>
      </w:r>
      <w:r w:rsidRPr="001A3D2B">
        <w:t>a manuscript to printing in</w:t>
      </w:r>
      <w:r w:rsidR="003A1917">
        <w:t xml:space="preserve"> the </w:t>
      </w:r>
      <w:r w:rsidRPr="001A3D2B">
        <w:t>AJAS has been reduced from 11 months in 1997-2000 to 7.8 months in 2001</w:t>
      </w:r>
      <w:r w:rsidR="00A37C1D">
        <w:t>. The</w:t>
      </w:r>
      <w:r w:rsidR="003A1917">
        <w:t xml:space="preserve"> </w:t>
      </w:r>
      <w:r w:rsidRPr="001A3D2B">
        <w:t>average rejection rate</w:t>
      </w:r>
      <w:r w:rsidR="00427468">
        <w:t xml:space="preserve"> of </w:t>
      </w:r>
      <w:r w:rsidRPr="001A3D2B">
        <w:t>manuscripts was 35.3%, a percentage slightly higher than most leading animal science journals</w:t>
      </w:r>
      <w:r w:rsidR="00A37C1D">
        <w:t>. The</w:t>
      </w:r>
      <w:r w:rsidR="003A1917">
        <w:t xml:space="preserve"> </w:t>
      </w:r>
      <w:r w:rsidRPr="001A3D2B">
        <w:t>total number</w:t>
      </w:r>
      <w:r w:rsidR="00427468">
        <w:t xml:space="preserve"> of </w:t>
      </w:r>
      <w:r w:rsidRPr="001A3D2B">
        <w:t>scientific papers published in</w:t>
      </w:r>
      <w:r w:rsidR="003A1917">
        <w:t xml:space="preserve"> the </w:t>
      </w:r>
      <w:r w:rsidRPr="001A3D2B">
        <w:t>AJAS by AAAP member countries during a 14-year period (1988-2001) was 1,333 papers (75.7%)</w:t>
      </w:r>
      <w:r w:rsidR="005853A9">
        <w:t xml:space="preserve"> and </w:t>
      </w:r>
      <w:r w:rsidRPr="001A3D2B">
        <w:t>that by non-AAAP member countries was 428 papers (24.3%), Japanese animal scientists have published</w:t>
      </w:r>
      <w:r w:rsidR="003A1917">
        <w:t xml:space="preserve"> the </w:t>
      </w:r>
      <w:r w:rsidRPr="001A3D2B">
        <w:t>largest number</w:t>
      </w:r>
      <w:r w:rsidR="00427468">
        <w:t xml:space="preserve"> of </w:t>
      </w:r>
      <w:r w:rsidRPr="001A3D2B">
        <w:t>papers (397), followed by Korea (275), India (160), Bangladesh (111), Pakistan (85), Australia (71), Malaysia (59), China (53), Thailand (53),</w:t>
      </w:r>
      <w:r w:rsidR="005853A9">
        <w:t xml:space="preserve"> and </w:t>
      </w:r>
      <w:r w:rsidRPr="001A3D2B">
        <w:t>Indonesia (34). It is regrettable that</w:t>
      </w:r>
      <w:r w:rsidR="003A1917">
        <w:t xml:space="preserve"> the </w:t>
      </w:r>
      <w:r w:rsidRPr="001A3D2B">
        <w:t xml:space="preserve">Philippines (15), </w:t>
      </w:r>
      <w:smartTag w:uri="urn:schemas-microsoft-com:office:smarttags" w:element="country-region">
        <w:r w:rsidRPr="001A3D2B">
          <w:t>Vietnam</w:t>
        </w:r>
      </w:smartTag>
      <w:r w:rsidRPr="001A3D2B">
        <w:t xml:space="preserve"> (10), </w:t>
      </w:r>
      <w:smartTag w:uri="urn:schemas-microsoft-com:office:smarttags" w:element="country-region">
        <w:r w:rsidRPr="001A3D2B">
          <w:t>New Zealand</w:t>
        </w:r>
      </w:smartTag>
      <w:r w:rsidRPr="001A3D2B">
        <w:t xml:space="preserve"> (8), </w:t>
      </w:r>
      <w:smartTag w:uri="urn:schemas-microsoft-com:office:smarttags" w:element="country-region">
        <w:r w:rsidRPr="001A3D2B">
          <w:t>Nepal</w:t>
        </w:r>
      </w:smartTag>
      <w:r w:rsidRPr="001A3D2B">
        <w:t xml:space="preserve"> (2), </w:t>
      </w:r>
      <w:smartTag w:uri="urn:schemas-microsoft-com:office:smarttags" w:element="country-region">
        <w:r w:rsidRPr="001A3D2B">
          <w:t>Mongolia</w:t>
        </w:r>
      </w:smartTag>
      <w:r w:rsidRPr="001A3D2B">
        <w:t xml:space="preserve"> (0)</w:t>
      </w:r>
      <w:r w:rsidR="005853A9">
        <w:t xml:space="preserve"> and </w:t>
      </w:r>
      <w:r w:rsidRPr="001A3D2B">
        <w:t>Papua New Guinea (0) have not actively participated in publishing papers in</w:t>
      </w:r>
      <w:r w:rsidR="003A1917">
        <w:t xml:space="preserve"> the </w:t>
      </w:r>
      <w:r w:rsidRPr="001A3D2B">
        <w:t>AJAS. It is also interesting to note that</w:t>
      </w:r>
      <w:r w:rsidR="003A1917">
        <w:t xml:space="preserve"> the </w:t>
      </w:r>
      <w:r w:rsidRPr="001A3D2B">
        <w:t>top 5 countries (</w:t>
      </w:r>
      <w:smartTag w:uri="urn:schemas-microsoft-com:office:smarttags" w:element="country-region">
        <w:r w:rsidRPr="001A3D2B">
          <w:t>Bangladesh</w:t>
        </w:r>
      </w:smartTag>
      <w:r w:rsidRPr="001A3D2B">
        <w:t xml:space="preserve">, </w:t>
      </w:r>
      <w:smartTag w:uri="urn:schemas-microsoft-com:office:smarttags" w:element="country-region">
        <w:r w:rsidRPr="001A3D2B">
          <w:t>India</w:t>
        </w:r>
      </w:smartTag>
      <w:r w:rsidRPr="001A3D2B">
        <w:t xml:space="preserve">, </w:t>
      </w:r>
      <w:smartTag w:uri="urn:schemas-microsoft-com:office:smarttags" w:element="country-region">
        <w:r w:rsidRPr="001A3D2B">
          <w:t>Japan</w:t>
        </w:r>
      </w:smartTag>
      <w:r w:rsidRPr="001A3D2B">
        <w:t>, Korea</w:t>
      </w:r>
      <w:r w:rsidR="005853A9">
        <w:t xml:space="preserve"> and </w:t>
      </w:r>
      <w:r w:rsidRPr="001A3D2B">
        <w:t>Pakistan) have published 1,028 papers in total indicating 77%</w:t>
      </w:r>
      <w:r w:rsidR="00427468">
        <w:t xml:space="preserve"> of </w:t>
      </w:r>
      <w:r w:rsidR="003A1917">
        <w:t xml:space="preserve">the </w:t>
      </w:r>
      <w:r w:rsidRPr="001A3D2B">
        <w:t>total papers being published by AAAP animal scientists from Vol. 1 to 14</w:t>
      </w:r>
      <w:r w:rsidR="00427468">
        <w:t xml:space="preserve"> of </w:t>
      </w:r>
      <w:r w:rsidR="003A1917">
        <w:t xml:space="preserve">the </w:t>
      </w:r>
      <w:r w:rsidRPr="001A3D2B">
        <w:t>AJAS</w:t>
      </w:r>
      <w:r w:rsidR="00A37C1D">
        <w:t>. The</w:t>
      </w:r>
      <w:r w:rsidR="003A1917">
        <w:t xml:space="preserve"> </w:t>
      </w:r>
      <w:r w:rsidRPr="001A3D2B">
        <w:t>largest number</w:t>
      </w:r>
      <w:r w:rsidR="00427468">
        <w:t xml:space="preserve"> of </w:t>
      </w:r>
      <w:r w:rsidRPr="001A3D2B">
        <w:t>papers were published in</w:t>
      </w:r>
      <w:r w:rsidR="003A1917">
        <w:t xml:space="preserve"> the </w:t>
      </w:r>
      <w:r w:rsidRPr="001A3D2B">
        <w:t>ruminant nutrition section (591 papers-44.3%), followed by</w:t>
      </w:r>
      <w:r w:rsidR="003A1917">
        <w:t xml:space="preserve"> the </w:t>
      </w:r>
      <w:r w:rsidRPr="001A3D2B">
        <w:t>non-ruminant nutrition section (251 papers-18.8%</w:t>
      </w:r>
      <w:r w:rsidR="00F42EAC">
        <w:t>), The</w:t>
      </w:r>
      <w:r w:rsidR="003A1917">
        <w:t xml:space="preserve"> </w:t>
      </w:r>
      <w:r w:rsidRPr="001A3D2B">
        <w:t>animal reproduction section (153 papers-11.5%)</w:t>
      </w:r>
      <w:r w:rsidR="005853A9">
        <w:t xml:space="preserve"> and </w:t>
      </w:r>
      <w:r w:rsidR="003A1917">
        <w:t xml:space="preserve">the </w:t>
      </w:r>
      <w:r w:rsidRPr="001A3D2B">
        <w:t>animal breeding section (115 papers-8.6%)</w:t>
      </w:r>
      <w:r w:rsidR="00A37C1D">
        <w:t>. The</w:t>
      </w:r>
      <w:r w:rsidR="003A1917">
        <w:t xml:space="preserve"> </w:t>
      </w:r>
      <w:r w:rsidRPr="001A3D2B">
        <w:t>largest portion</w:t>
      </w:r>
      <w:r w:rsidR="00427468">
        <w:t xml:space="preserve"> of </w:t>
      </w:r>
      <w:r w:rsidRPr="001A3D2B">
        <w:t>AJAS manuscripts as reviewed by Korean editors (44.3%), followed by Japanese editors (18.1%), Australian editors (6.0%)</w:t>
      </w:r>
      <w:r w:rsidR="005853A9">
        <w:t xml:space="preserve"> and </w:t>
      </w:r>
      <w:r w:rsidRPr="001A3D2B">
        <w:t>Chinese editors (5.6%).</w:t>
      </w:r>
    </w:p>
    <w:p w:rsidR="003474F2" w:rsidRPr="001A3D2B" w:rsidRDefault="003474F2" w:rsidP="003474F2">
      <w:pPr>
        <w:pStyle w:val="a3"/>
        <w:rPr>
          <w:szCs w:val="24"/>
        </w:rPr>
      </w:pPr>
      <w:r w:rsidRPr="001A3D2B">
        <w:rPr>
          <w:szCs w:val="24"/>
        </w:rPr>
        <w:t>Editors from</w:t>
      </w:r>
      <w:r w:rsidR="003A1917">
        <w:rPr>
          <w:szCs w:val="24"/>
        </w:rPr>
        <w:t xml:space="preserve"> the </w:t>
      </w:r>
      <w:r w:rsidRPr="001A3D2B">
        <w:rPr>
          <w:szCs w:val="24"/>
        </w:rPr>
        <w:t>rest</w:t>
      </w:r>
      <w:r w:rsidR="00427468">
        <w:rPr>
          <w:szCs w:val="24"/>
        </w:rPr>
        <w:t xml:space="preserve"> of </w:t>
      </w:r>
      <w:r w:rsidR="003A1917">
        <w:rPr>
          <w:szCs w:val="24"/>
        </w:rPr>
        <w:t xml:space="preserve">the </w:t>
      </w:r>
      <w:r w:rsidRPr="001A3D2B">
        <w:rPr>
          <w:szCs w:val="24"/>
        </w:rPr>
        <w:t>AAAP member countries have reviewed slightly less than 5%</w:t>
      </w:r>
      <w:r w:rsidR="00427468">
        <w:rPr>
          <w:szCs w:val="24"/>
        </w:rPr>
        <w:t xml:space="preserve"> of </w:t>
      </w:r>
      <w:r w:rsidR="003A1917">
        <w:rPr>
          <w:szCs w:val="24"/>
        </w:rPr>
        <w:t xml:space="preserve">the </w:t>
      </w:r>
      <w:r w:rsidRPr="001A3D2B">
        <w:rPr>
          <w:szCs w:val="24"/>
        </w:rPr>
        <w:t xml:space="preserve">total AJAS manuscripts. It was regrettably noticed that editorial members representing </w:t>
      </w:r>
      <w:smartTag w:uri="urn:schemas-microsoft-com:office:smarttags" w:element="country-region">
        <w:r w:rsidRPr="001A3D2B">
          <w:rPr>
            <w:szCs w:val="24"/>
          </w:rPr>
          <w:t>Nepal</w:t>
        </w:r>
      </w:smartTag>
      <w:r w:rsidRPr="001A3D2B">
        <w:rPr>
          <w:szCs w:val="24"/>
        </w:rPr>
        <w:t xml:space="preserve"> (66.7%), </w:t>
      </w:r>
      <w:smartTag w:uri="urn:schemas-microsoft-com:office:smarttags" w:element="country-region">
        <w:r w:rsidRPr="001A3D2B">
          <w:rPr>
            <w:szCs w:val="24"/>
          </w:rPr>
          <w:t>Mongolia</w:t>
        </w:r>
      </w:smartTag>
      <w:r w:rsidRPr="001A3D2B">
        <w:rPr>
          <w:szCs w:val="24"/>
        </w:rPr>
        <w:t xml:space="preserve"> (50.0%), </w:t>
      </w:r>
      <w:smartTag w:uri="urn:schemas-microsoft-com:office:smarttags" w:element="country-region">
        <w:r w:rsidRPr="001A3D2B">
          <w:rPr>
            <w:szCs w:val="24"/>
          </w:rPr>
          <w:t>India</w:t>
        </w:r>
      </w:smartTag>
      <w:r w:rsidRPr="001A3D2B">
        <w:rPr>
          <w:szCs w:val="24"/>
        </w:rPr>
        <w:t xml:space="preserve"> (35.7%), </w:t>
      </w:r>
      <w:smartTag w:uri="urn:schemas-microsoft-com:office:smarttags" w:element="country-region">
        <w:r w:rsidRPr="001A3D2B">
          <w:rPr>
            <w:szCs w:val="24"/>
          </w:rPr>
          <w:t>Pakistan</w:t>
        </w:r>
      </w:smartTag>
      <w:r w:rsidRPr="001A3D2B">
        <w:rPr>
          <w:szCs w:val="24"/>
        </w:rPr>
        <w:t xml:space="preserve"> (25.0%), </w:t>
      </w:r>
      <w:smartTag w:uri="urn:schemas-microsoft-com:office:smarttags" w:element="country-region">
        <w:r w:rsidRPr="001A3D2B">
          <w:rPr>
            <w:szCs w:val="24"/>
          </w:rPr>
          <w:t>Papua New Guinea</w:t>
        </w:r>
      </w:smartTag>
      <w:r w:rsidRPr="001A3D2B">
        <w:rPr>
          <w:szCs w:val="24"/>
        </w:rPr>
        <w:t xml:space="preserve"> (25.0%), </w:t>
      </w:r>
      <w:smartTag w:uri="urn:schemas-microsoft-com:office:smarttags" w:element="country-region">
        <w:r w:rsidRPr="001A3D2B">
          <w:rPr>
            <w:szCs w:val="24"/>
          </w:rPr>
          <w:t>Malaysia</w:t>
        </w:r>
      </w:smartTag>
      <w:r w:rsidRPr="001A3D2B">
        <w:rPr>
          <w:szCs w:val="24"/>
        </w:rPr>
        <w:t xml:space="preserve"> (22.8%)</w:t>
      </w:r>
      <w:r w:rsidR="005853A9">
        <w:rPr>
          <w:szCs w:val="24"/>
        </w:rPr>
        <w:t xml:space="preserve"> and </w:t>
      </w:r>
      <w:r w:rsidRPr="001A3D2B">
        <w:rPr>
          <w:szCs w:val="24"/>
        </w:rPr>
        <w:t>New Zealand (21.5%) have failed to return many</w:t>
      </w:r>
      <w:r w:rsidR="00427468">
        <w:rPr>
          <w:szCs w:val="24"/>
        </w:rPr>
        <w:t xml:space="preserve"> of </w:t>
      </w:r>
      <w:r w:rsidR="003A1917">
        <w:rPr>
          <w:szCs w:val="24"/>
        </w:rPr>
        <w:t xml:space="preserve">the </w:t>
      </w:r>
      <w:r w:rsidRPr="001A3D2B">
        <w:rPr>
          <w:szCs w:val="24"/>
        </w:rPr>
        <w:t>manuscripts requested to be reviewed by</w:t>
      </w:r>
      <w:r w:rsidR="003A1917">
        <w:rPr>
          <w:szCs w:val="24"/>
        </w:rPr>
        <w:t xml:space="preserve"> the </w:t>
      </w:r>
      <w:r w:rsidRPr="001A3D2B">
        <w:rPr>
          <w:szCs w:val="24"/>
        </w:rPr>
        <w:t xml:space="preserve">Editor-in-Chief. Financial records show that </w:t>
      </w:r>
      <w:smartTag w:uri="urn:schemas-microsoft-com:office:smarttags" w:element="country-region">
        <w:r w:rsidRPr="001A3D2B">
          <w:rPr>
            <w:szCs w:val="24"/>
          </w:rPr>
          <w:t>Korea</w:t>
        </w:r>
      </w:smartTag>
      <w:r w:rsidRPr="001A3D2B">
        <w:rPr>
          <w:szCs w:val="24"/>
        </w:rPr>
        <w:t xml:space="preserve"> has contributed</w:t>
      </w:r>
      <w:r w:rsidR="003A1917">
        <w:rPr>
          <w:szCs w:val="24"/>
        </w:rPr>
        <w:t xml:space="preserve"> the </w:t>
      </w:r>
      <w:r w:rsidRPr="001A3D2B">
        <w:rPr>
          <w:szCs w:val="24"/>
        </w:rPr>
        <w:t>largest portion</w:t>
      </w:r>
      <w:r w:rsidR="00427468">
        <w:rPr>
          <w:szCs w:val="24"/>
        </w:rPr>
        <w:t xml:space="preserve"> of </w:t>
      </w:r>
      <w:r w:rsidRPr="001A3D2B">
        <w:rPr>
          <w:szCs w:val="24"/>
        </w:rPr>
        <w:t xml:space="preserve">production costs (68.5%), followed by </w:t>
      </w:r>
      <w:smartTag w:uri="urn:schemas-microsoft-com:office:smarttags" w:element="country-region">
        <w:r w:rsidRPr="001A3D2B">
          <w:rPr>
            <w:szCs w:val="24"/>
          </w:rPr>
          <w:t>Japan</w:t>
        </w:r>
      </w:smartTag>
      <w:r w:rsidRPr="001A3D2B">
        <w:rPr>
          <w:szCs w:val="24"/>
        </w:rPr>
        <w:t xml:space="preserve"> (17.3%), </w:t>
      </w:r>
      <w:smartTag w:uri="urn:schemas-microsoft-com:office:smarttags" w:element="country-region">
        <w:r w:rsidRPr="001A3D2B">
          <w:rPr>
            <w:szCs w:val="24"/>
          </w:rPr>
          <w:t>China</w:t>
        </w:r>
      </w:smartTag>
      <w:r w:rsidRPr="001A3D2B">
        <w:rPr>
          <w:szCs w:val="24"/>
        </w:rPr>
        <w:t xml:space="preserve"> (8.3%),</w:t>
      </w:r>
      <w:r w:rsidR="005853A9">
        <w:rPr>
          <w:szCs w:val="24"/>
        </w:rPr>
        <w:t xml:space="preserve"> and </w:t>
      </w:r>
      <w:r w:rsidRPr="001A3D2B">
        <w:rPr>
          <w:szCs w:val="24"/>
        </w:rPr>
        <w:t>Australia (3.5%). It was found that 6 AAAP member countries have contributed less than 1%</w:t>
      </w:r>
      <w:r w:rsidR="00427468">
        <w:rPr>
          <w:szCs w:val="24"/>
        </w:rPr>
        <w:t xml:space="preserve"> of </w:t>
      </w:r>
      <w:r w:rsidR="003A1917">
        <w:rPr>
          <w:szCs w:val="24"/>
        </w:rPr>
        <w:t xml:space="preserve">the </w:t>
      </w:r>
      <w:r w:rsidRPr="001A3D2B">
        <w:rPr>
          <w:szCs w:val="24"/>
        </w:rPr>
        <w:t>total production costs (Bangladesh, India, Indonesia, Malaysia, Papua New Guinea</w:t>
      </w:r>
      <w:r w:rsidR="005853A9">
        <w:rPr>
          <w:szCs w:val="24"/>
        </w:rPr>
        <w:t xml:space="preserve"> and </w:t>
      </w:r>
      <w:r w:rsidRPr="001A3D2B">
        <w:rPr>
          <w:szCs w:val="24"/>
        </w:rPr>
        <w:t>Thailand),</w:t>
      </w:r>
      <w:r w:rsidR="005853A9">
        <w:rPr>
          <w:szCs w:val="24"/>
        </w:rPr>
        <w:t xml:space="preserve"> and </w:t>
      </w:r>
      <w:r w:rsidRPr="001A3D2B">
        <w:rPr>
          <w:szCs w:val="24"/>
        </w:rPr>
        <w:t>another 6 AAAP member countries (Mongolia, Nepal</w:t>
      </w:r>
      <w:r w:rsidR="005853A9">
        <w:rPr>
          <w:szCs w:val="24"/>
        </w:rPr>
        <w:t xml:space="preserve"> and </w:t>
      </w:r>
      <w:r w:rsidRPr="001A3D2B">
        <w:rPr>
          <w:szCs w:val="24"/>
        </w:rPr>
        <w:t>Pakistan, Philippine</w:t>
      </w:r>
      <w:r w:rsidR="005853A9">
        <w:rPr>
          <w:szCs w:val="24"/>
        </w:rPr>
        <w:t xml:space="preserve"> and </w:t>
      </w:r>
      <w:r w:rsidRPr="001A3D2B">
        <w:rPr>
          <w:szCs w:val="24"/>
        </w:rPr>
        <w:t>Vietnam) have never provided any financial contribution in</w:t>
      </w:r>
      <w:r w:rsidR="003A1917">
        <w:rPr>
          <w:szCs w:val="24"/>
        </w:rPr>
        <w:t xml:space="preserve"> the </w:t>
      </w:r>
      <w:r w:rsidRPr="001A3D2B">
        <w:rPr>
          <w:szCs w:val="24"/>
        </w:rPr>
        <w:t>form</w:t>
      </w:r>
      <w:r w:rsidR="00427468">
        <w:rPr>
          <w:szCs w:val="24"/>
        </w:rPr>
        <w:t xml:space="preserve"> of </w:t>
      </w:r>
      <w:r w:rsidRPr="001A3D2B">
        <w:rPr>
          <w:szCs w:val="24"/>
        </w:rPr>
        <w:t>subscriptions, page charges or reprints. It should be pointed out that most AAAP member countries have published more papers than their financial input with</w:t>
      </w:r>
      <w:r w:rsidR="003A1917">
        <w:rPr>
          <w:szCs w:val="24"/>
        </w:rPr>
        <w:t xml:space="preserve"> the </w:t>
      </w:r>
      <w:r w:rsidRPr="001A3D2B">
        <w:rPr>
          <w:szCs w:val="24"/>
        </w:rPr>
        <w:t>exception</w:t>
      </w:r>
      <w:r w:rsidR="00427468">
        <w:rPr>
          <w:szCs w:val="24"/>
        </w:rPr>
        <w:t xml:space="preserve"> of </w:t>
      </w:r>
      <w:r w:rsidRPr="001A3D2B">
        <w:rPr>
          <w:szCs w:val="24"/>
        </w:rPr>
        <w:t>Korea</w:t>
      </w:r>
      <w:r w:rsidR="005853A9">
        <w:rPr>
          <w:szCs w:val="24"/>
        </w:rPr>
        <w:t xml:space="preserve"> and </w:t>
      </w:r>
      <w:r w:rsidRPr="001A3D2B">
        <w:rPr>
          <w:szCs w:val="24"/>
        </w:rPr>
        <w:t xml:space="preserve">China. For example, </w:t>
      </w:r>
      <w:smartTag w:uri="urn:schemas-microsoft-com:office:smarttags" w:element="place">
        <w:smartTag w:uri="urn:schemas-microsoft-com:office:smarttags" w:element="country-region">
          <w:r w:rsidRPr="001A3D2B">
            <w:rPr>
              <w:szCs w:val="24"/>
            </w:rPr>
            <w:t>Japan</w:t>
          </w:r>
        </w:smartTag>
      </w:smartTag>
      <w:r w:rsidRPr="001A3D2B">
        <w:rPr>
          <w:szCs w:val="24"/>
        </w:rPr>
        <w:t xml:space="preserve"> has published 29.8%</w:t>
      </w:r>
      <w:r w:rsidR="00427468">
        <w:rPr>
          <w:szCs w:val="24"/>
        </w:rPr>
        <w:t xml:space="preserve"> of </w:t>
      </w:r>
      <w:r w:rsidR="003A1917">
        <w:rPr>
          <w:szCs w:val="24"/>
        </w:rPr>
        <w:t xml:space="preserve">the </w:t>
      </w:r>
      <w:r w:rsidRPr="001A3D2B">
        <w:rPr>
          <w:szCs w:val="24"/>
        </w:rPr>
        <w:t xml:space="preserve">total papers published in AJAS by AAAP member countries. </w:t>
      </w:r>
      <w:r w:rsidRPr="001A3D2B">
        <w:rPr>
          <w:szCs w:val="24"/>
        </w:rPr>
        <w:lastRenderedPageBreak/>
        <w:t>However, Japan has contributed only 17.3%</w:t>
      </w:r>
      <w:r w:rsidR="00427468">
        <w:rPr>
          <w:szCs w:val="24"/>
        </w:rPr>
        <w:t xml:space="preserve"> of </w:t>
      </w:r>
      <w:r w:rsidRPr="001A3D2B">
        <w:rPr>
          <w:szCs w:val="24"/>
        </w:rPr>
        <w:t>total income, Similar trends could also be found in</w:t>
      </w:r>
      <w:r w:rsidR="003A1917">
        <w:rPr>
          <w:szCs w:val="24"/>
        </w:rPr>
        <w:t xml:space="preserve"> the </w:t>
      </w:r>
      <w:r w:rsidRPr="001A3D2B">
        <w:rPr>
          <w:szCs w:val="24"/>
        </w:rPr>
        <w:t>case</w:t>
      </w:r>
      <w:r w:rsidR="00427468">
        <w:rPr>
          <w:szCs w:val="24"/>
        </w:rPr>
        <w:t xml:space="preserve"> of </w:t>
      </w:r>
      <w:r w:rsidRPr="001A3D2B">
        <w:rPr>
          <w:szCs w:val="24"/>
        </w:rPr>
        <w:t>Australia, Bangladesh, India, Indonesia, Malaysia</w:t>
      </w:r>
      <w:r w:rsidR="005853A9">
        <w:rPr>
          <w:szCs w:val="24"/>
        </w:rPr>
        <w:t xml:space="preserve"> and </w:t>
      </w:r>
      <w:r w:rsidRPr="001A3D2B">
        <w:rPr>
          <w:szCs w:val="24"/>
        </w:rPr>
        <w:t>Thailand, A total</w:t>
      </w:r>
      <w:r w:rsidR="00427468">
        <w:rPr>
          <w:szCs w:val="24"/>
        </w:rPr>
        <w:t xml:space="preserve"> of </w:t>
      </w:r>
      <w:r w:rsidRPr="001A3D2B">
        <w:rPr>
          <w:szCs w:val="24"/>
        </w:rPr>
        <w:t>12 Asian young animal scientists (under 40 years</w:t>
      </w:r>
      <w:r w:rsidR="00427468">
        <w:rPr>
          <w:szCs w:val="24"/>
        </w:rPr>
        <w:t xml:space="preserve"> of </w:t>
      </w:r>
      <w:r w:rsidRPr="001A3D2B">
        <w:rPr>
          <w:szCs w:val="24"/>
        </w:rPr>
        <w:t>age) have been awarded</w:t>
      </w:r>
      <w:r w:rsidR="003A1917">
        <w:rPr>
          <w:szCs w:val="24"/>
        </w:rPr>
        <w:t xml:space="preserve"> the </w:t>
      </w:r>
      <w:r w:rsidRPr="001A3D2B">
        <w:rPr>
          <w:szCs w:val="24"/>
        </w:rPr>
        <w:t>AJAS-Purina Outstanding Research Award which was initiated in 1990 with a donation</w:t>
      </w:r>
      <w:r w:rsidR="00427468">
        <w:rPr>
          <w:szCs w:val="24"/>
        </w:rPr>
        <w:t xml:space="preserve"> of </w:t>
      </w:r>
      <w:r w:rsidRPr="001A3D2B">
        <w:rPr>
          <w:szCs w:val="24"/>
        </w:rPr>
        <w:t>USS 2,000-3,000 by Mr. K. Y. Kim, President</w:t>
      </w:r>
      <w:r w:rsidR="00427468">
        <w:rPr>
          <w:szCs w:val="24"/>
        </w:rPr>
        <w:t xml:space="preserve"> of </w:t>
      </w:r>
      <w:r w:rsidRPr="001A3D2B">
        <w:rPr>
          <w:szCs w:val="24"/>
        </w:rPr>
        <w:t>Agribrands Purina Korea Inc. In order to improve</w:t>
      </w:r>
      <w:r w:rsidR="003A1917">
        <w:rPr>
          <w:szCs w:val="24"/>
        </w:rPr>
        <w:t xml:space="preserve"> the </w:t>
      </w:r>
      <w:r w:rsidRPr="001A3D2B">
        <w:rPr>
          <w:szCs w:val="24"/>
        </w:rPr>
        <w:t>impact factor (citation frequency)</w:t>
      </w:r>
      <w:r w:rsidR="005853A9">
        <w:rPr>
          <w:szCs w:val="24"/>
        </w:rPr>
        <w:t xml:space="preserve"> and </w:t>
      </w:r>
      <w:r w:rsidR="003A1917">
        <w:rPr>
          <w:szCs w:val="24"/>
        </w:rPr>
        <w:t xml:space="preserve">the </w:t>
      </w:r>
      <w:r w:rsidRPr="001A3D2B">
        <w:rPr>
          <w:szCs w:val="24"/>
        </w:rPr>
        <w:t>Financial structure</w:t>
      </w:r>
      <w:r w:rsidR="00427468">
        <w:rPr>
          <w:szCs w:val="24"/>
        </w:rPr>
        <w:t xml:space="preserve"> of </w:t>
      </w:r>
      <w:r w:rsidR="003A1917">
        <w:rPr>
          <w:szCs w:val="24"/>
        </w:rPr>
        <w:t xml:space="preserve">the </w:t>
      </w:r>
      <w:r w:rsidRPr="001A3D2B">
        <w:rPr>
          <w:szCs w:val="24"/>
        </w:rPr>
        <w:t>AJAS, 1 submission</w:t>
      </w:r>
      <w:r w:rsidR="00427468">
        <w:rPr>
          <w:szCs w:val="24"/>
        </w:rPr>
        <w:t xml:space="preserve"> of </w:t>
      </w:r>
      <w:r w:rsidRPr="001A3D2B">
        <w:rPr>
          <w:szCs w:val="24"/>
        </w:rPr>
        <w:t>more manuscripts</w:t>
      </w:r>
      <w:r w:rsidR="00427468">
        <w:rPr>
          <w:szCs w:val="24"/>
        </w:rPr>
        <w:t xml:space="preserve"> of </w:t>
      </w:r>
      <w:r w:rsidRPr="001A3D2B">
        <w:rPr>
          <w:szCs w:val="24"/>
        </w:rPr>
        <w:t>good quality should be encouraged, 2 subscription rate</w:t>
      </w:r>
      <w:r w:rsidR="00427468">
        <w:rPr>
          <w:szCs w:val="24"/>
        </w:rPr>
        <w:t xml:space="preserve"> of </w:t>
      </w:r>
      <w:r w:rsidRPr="001A3D2B">
        <w:rPr>
          <w:szCs w:val="24"/>
        </w:rPr>
        <w:t xml:space="preserve">all AAAP member countries, especially Category B member countries should be dramatically increased, </w:t>
      </w:r>
      <w:smartTag w:uri="urn:schemas-microsoft-com:office:smarttags" w:element="chmetcnv">
        <w:smartTagPr>
          <w:attr w:name="TCSC" w:val="0"/>
          <w:attr w:name="NumberType" w:val="1"/>
          <w:attr w:name="Negative" w:val="False"/>
          <w:attr w:name="HasSpace" w:val="True"/>
          <w:attr w:name="SourceValue" w:val="3"/>
          <w:attr w:name="UnitName" w:val="a"/>
        </w:smartTagPr>
        <w:r w:rsidRPr="001A3D2B">
          <w:rPr>
            <w:szCs w:val="24"/>
          </w:rPr>
          <w:t>3 a</w:t>
        </w:r>
      </w:smartTag>
      <w:r w:rsidRPr="001A3D2B">
        <w:rPr>
          <w:szCs w:val="24"/>
        </w:rPr>
        <w:t xml:space="preserve"> page charge policy</w:t>
      </w:r>
      <w:r w:rsidR="005853A9">
        <w:rPr>
          <w:szCs w:val="24"/>
        </w:rPr>
        <w:t xml:space="preserve"> and </w:t>
      </w:r>
      <w:r w:rsidRPr="001A3D2B">
        <w:rPr>
          <w:szCs w:val="24"/>
        </w:rPr>
        <w:t>reprint ordering system should be applied to all AAAP member countries,</w:t>
      </w:r>
      <w:r w:rsidR="005853A9">
        <w:rPr>
          <w:szCs w:val="24"/>
        </w:rPr>
        <w:t xml:space="preserve"> and </w:t>
      </w:r>
      <w:r w:rsidRPr="001A3D2B">
        <w:rPr>
          <w:szCs w:val="24"/>
        </w:rPr>
        <w:t>4 all AAAP countries, especially Category A member countries should share more</w:t>
      </w:r>
      <w:r w:rsidR="00427468">
        <w:rPr>
          <w:szCs w:val="24"/>
        </w:rPr>
        <w:t xml:space="preserve"> of </w:t>
      </w:r>
      <w:r w:rsidR="003A1917">
        <w:rPr>
          <w:szCs w:val="24"/>
        </w:rPr>
        <w:t xml:space="preserve">the </w:t>
      </w:r>
      <w:r w:rsidRPr="001A3D2B">
        <w:rPr>
          <w:szCs w:val="24"/>
        </w:rPr>
        <w:t>financial burden (advertisement revenue or support from public or private sector).</w:t>
      </w:r>
    </w:p>
    <w:p w:rsidR="003474F2" w:rsidRPr="001A3D2B" w:rsidRDefault="003474F2" w:rsidP="003474F2">
      <w:pPr>
        <w:pStyle w:val="a3"/>
        <w:rPr>
          <w:szCs w:val="19"/>
        </w:rPr>
      </w:pPr>
      <w:r w:rsidRPr="001A3D2B">
        <w:t xml:space="preserve">Keywords: </w:t>
      </w:r>
      <w:r w:rsidRPr="001A3D2B">
        <w:rPr>
          <w:szCs w:val="19"/>
        </w:rPr>
        <w:t>AAAP, AJAS, History, Subscribers, Editorial Members, Financial Situation</w:t>
      </w:r>
    </w:p>
    <w:p w:rsidR="001A6521" w:rsidRPr="001A3D2B" w:rsidRDefault="001A6521" w:rsidP="001A6521">
      <w:pPr>
        <w:pStyle w:val="1"/>
      </w:pPr>
      <w:r w:rsidRPr="001A3D2B">
        <w:br w:type="page"/>
      </w:r>
      <w:bookmarkStart w:id="642" w:name="_Toc420814625"/>
      <w:r w:rsidRPr="001A3D2B">
        <w:lastRenderedPageBreak/>
        <w:t xml:space="preserve">Title: </w:t>
      </w:r>
      <w:r w:rsidRPr="001A6521">
        <w:t>Asian Biomedicine</w:t>
      </w:r>
      <w:bookmarkEnd w:id="642"/>
    </w:p>
    <w:p w:rsidR="001A6521" w:rsidRPr="001A3D2B" w:rsidRDefault="001A6521" w:rsidP="001A6521">
      <w:pPr>
        <w:pStyle w:val="12"/>
      </w:pPr>
      <w:r w:rsidRPr="001A3D2B">
        <w:t xml:space="preserve">Full Journal Title: </w:t>
      </w:r>
      <w:r w:rsidRPr="001A6521">
        <w:rPr>
          <w:iCs/>
          <w:kern w:val="0"/>
        </w:rPr>
        <w:t>Asian Biomedicine</w:t>
      </w:r>
    </w:p>
    <w:p w:rsidR="001A6521" w:rsidRPr="001A3D2B" w:rsidRDefault="001A6521" w:rsidP="001A6521">
      <w:pPr>
        <w:pStyle w:val="12"/>
      </w:pPr>
      <w:r w:rsidRPr="001A3D2B">
        <w:t xml:space="preserve">ISO Abbreviated Title: </w:t>
      </w:r>
    </w:p>
    <w:p w:rsidR="001A6521" w:rsidRPr="001A3D2B" w:rsidRDefault="001A6521" w:rsidP="001A6521">
      <w:pPr>
        <w:pStyle w:val="12"/>
      </w:pPr>
      <w:r w:rsidRPr="001A3D2B">
        <w:t xml:space="preserve">JCR Abbreviated Title: </w:t>
      </w:r>
    </w:p>
    <w:p w:rsidR="001A6521" w:rsidRPr="001A3D2B" w:rsidRDefault="001A6521" w:rsidP="001A6521">
      <w:pPr>
        <w:pStyle w:val="12"/>
      </w:pPr>
      <w:r w:rsidRPr="001A3D2B">
        <w:t xml:space="preserve">ISSN: </w:t>
      </w:r>
    </w:p>
    <w:p w:rsidR="001A6521" w:rsidRPr="001A3D2B" w:rsidRDefault="001A6521" w:rsidP="001A6521">
      <w:pPr>
        <w:pStyle w:val="12"/>
      </w:pPr>
      <w:r w:rsidRPr="001A3D2B">
        <w:t xml:space="preserve">Issues/Year: </w:t>
      </w:r>
    </w:p>
    <w:p w:rsidR="001A6521" w:rsidRPr="001A3D2B" w:rsidRDefault="001A6521" w:rsidP="001A6521">
      <w:pPr>
        <w:pStyle w:val="12"/>
      </w:pPr>
      <w:r w:rsidRPr="001A3D2B">
        <w:t xml:space="preserve">Journal Country/Territory: </w:t>
      </w:r>
    </w:p>
    <w:p w:rsidR="001A6521" w:rsidRPr="001A3D2B" w:rsidRDefault="001A6521" w:rsidP="001A6521">
      <w:pPr>
        <w:pStyle w:val="12"/>
      </w:pPr>
      <w:r w:rsidRPr="001A3D2B">
        <w:t xml:space="preserve">Language: </w:t>
      </w:r>
    </w:p>
    <w:p w:rsidR="001A6521" w:rsidRPr="001A3D2B" w:rsidRDefault="001A6521" w:rsidP="001A6521">
      <w:pPr>
        <w:pStyle w:val="12"/>
      </w:pPr>
      <w:r w:rsidRPr="001A3D2B">
        <w:t xml:space="preserve">Publisher: </w:t>
      </w:r>
    </w:p>
    <w:p w:rsidR="001A6521" w:rsidRPr="001A3D2B" w:rsidRDefault="001A6521" w:rsidP="001A6521">
      <w:pPr>
        <w:pStyle w:val="12"/>
      </w:pPr>
      <w:r w:rsidRPr="001A3D2B">
        <w:t xml:space="preserve">Publisher Address: </w:t>
      </w:r>
    </w:p>
    <w:p w:rsidR="001A6521" w:rsidRPr="001A3D2B" w:rsidRDefault="001A6521" w:rsidP="001A6521">
      <w:pPr>
        <w:pStyle w:val="12"/>
      </w:pPr>
      <w:r w:rsidRPr="001A3D2B">
        <w:t xml:space="preserve">Subject Categories: </w:t>
      </w:r>
    </w:p>
    <w:p w:rsidR="001A6521" w:rsidRPr="001A3D2B" w:rsidRDefault="001A6521" w:rsidP="001A6521">
      <w:pPr>
        <w:pStyle w:val="12"/>
      </w:pPr>
      <w:r w:rsidRPr="001A3D2B">
        <w:t xml:space="preserve">: Impact Factor </w:t>
      </w:r>
    </w:p>
    <w:p w:rsidR="001A6521" w:rsidRDefault="001A6521" w:rsidP="001A6521">
      <w:pPr>
        <w:pStyle w:val="a3"/>
        <w:rPr>
          <w:kern w:val="0"/>
        </w:rPr>
      </w:pPr>
      <w:r>
        <w:rPr>
          <w:rFonts w:hint="eastAsia"/>
          <w:kern w:val="0"/>
        </w:rPr>
        <w:t xml:space="preserve">? </w:t>
      </w:r>
      <w:r>
        <w:rPr>
          <w:kern w:val="0"/>
        </w:rPr>
        <w:t xml:space="preserve">Suwanpasu, S., Grinslade, S., Wu, Y.W.B. and Porock, D. (2014), Risk factors of delirium in elderly patients with hip fracture. </w:t>
      </w:r>
      <w:r w:rsidRPr="001A6521">
        <w:rPr>
          <w:i/>
          <w:iCs/>
          <w:kern w:val="0"/>
        </w:rPr>
        <w:t>Asian Biomedicine</w:t>
      </w:r>
      <w:r>
        <w:rPr>
          <w:kern w:val="0"/>
        </w:rPr>
        <w:t xml:space="preserve">, </w:t>
      </w:r>
      <w:r>
        <w:rPr>
          <w:b/>
          <w:bCs/>
          <w:kern w:val="0"/>
        </w:rPr>
        <w:t>8</w:t>
      </w:r>
      <w:r>
        <w:rPr>
          <w:kern w:val="0"/>
        </w:rPr>
        <w:t xml:space="preserve"> (2), 157-165.</w:t>
      </w:r>
    </w:p>
    <w:p w:rsidR="001A6521" w:rsidRDefault="001A6521" w:rsidP="001A6521">
      <w:pPr>
        <w:pStyle w:val="a3"/>
        <w:rPr>
          <w:kern w:val="0"/>
        </w:rPr>
      </w:pPr>
      <w:r>
        <w:rPr>
          <w:rFonts w:hint="eastAsia"/>
          <w:kern w:val="0"/>
        </w:rPr>
        <w:t>Full Text: 2014\</w:t>
      </w:r>
      <w:r>
        <w:rPr>
          <w:iCs/>
          <w:kern w:val="0"/>
        </w:rPr>
        <w:t>Asi Bio</w:t>
      </w:r>
      <w:r w:rsidRPr="00971066">
        <w:rPr>
          <w:bCs/>
          <w:kern w:val="0"/>
        </w:rPr>
        <w:t>8</w:t>
      </w:r>
      <w:r>
        <w:rPr>
          <w:kern w:val="0"/>
        </w:rPr>
        <w:t>, 157</w:t>
      </w:r>
      <w:r>
        <w:rPr>
          <w:rFonts w:hint="eastAsia"/>
          <w:kern w:val="0"/>
        </w:rPr>
        <w:t>.pdf</w:t>
      </w:r>
    </w:p>
    <w:p w:rsidR="001A6521" w:rsidRDefault="001A6521" w:rsidP="001A6521">
      <w:pPr>
        <w:pStyle w:val="a3"/>
        <w:rPr>
          <w:kern w:val="0"/>
        </w:rPr>
      </w:pPr>
      <w:r>
        <w:rPr>
          <w:kern w:val="0"/>
        </w:rPr>
        <w:t xml:space="preserve">Abstract: Background: Delirium is a leading cause of death and disability in the elderly with hip fracture. Identifying reliable risk factors for delirium is critical to support optimal outcomes for prevention and reducing delirium. Objective: To quantify the reported factors associated to delirium for patients with hip fracture. Methods: Electronic databases were searched (including Medline, Pub Med, CINAHL, EMBASE, Evidence Based Medicine Reviews, Cochrane Review, Web of Science, and PsycINFO) to identify all studies, published in English language that evaluated the risk factors of delirium hospitalized people with hip fracture. Two reviewers independently assessed methodology quality and extracted relevant data. The data from the included studies were summarized, and pooled estimates were calculated for 12 risk factors. Results: Thirty-seven studies were included in the review and 25 in the meta-analysis. The incidence of delirium was 32.4% (95% confidence interval [CI] = 25.9%-39.5%). Six predisposing and four precipitating factors predicted delirium among older patients with hip fracture confirmed. The predisposing factors included advanced age (ES = 1.06, 95% CI = 1.03-1.09), male sex (ES = 1.34, 95% CI = 1.08-1.68), impairment of cognition (ES = 2.91, 95% CI = 1.91-4.42), and function (ES = 1.75, 95% CI = 1.39-2.2), comorbidity (ES = 1.59, 95% CI = 1.30-1.96), and health problems (ES = 2.64, 95% CI = 2.04-3.42). Precipitating factors were hypo- or hypernatremia (ES = 1.73, 95% CI = 1.14-2.64), depression (ES = 4.07, 95% CI = 1.95-8.49), more than three prescribed drugs (ES = 1.28, 95% CI = 1.10-1.49), and drugs including opioids (ES = 2.13, 95% CI = 1.42-3.18) and anticholinergic agents (ES = 2.10, 95% CI = 1.60-2.75). Conclusion: This </w:t>
      </w:r>
      <w:r>
        <w:rPr>
          <w:kern w:val="0"/>
        </w:rPr>
        <w:lastRenderedPageBreak/>
        <w:t>meta-analysis result provides evidence that these risk factors have a significant impact on delirium in elders with hip fracture during hospitalization. Developing formal screening, and effective preventive and management strategies for delirium is important.</w:t>
      </w:r>
    </w:p>
    <w:p w:rsidR="001A6521" w:rsidRDefault="001A6521" w:rsidP="001A6521">
      <w:pPr>
        <w:pStyle w:val="a3"/>
        <w:rPr>
          <w:kern w:val="0"/>
        </w:rPr>
      </w:pPr>
      <w:r>
        <w:rPr>
          <w:kern w:val="0"/>
        </w:rPr>
        <w:t>Keywords: Age, Cause Of Death, Cognition, Comorbidity, Confidence, Confusion Assessment Method, Data, Databases, Death, Delirium, Depression, Disability, Drugs, Elderly, Embase, English, Estimates, Evidence, Fracture, Function, Health, Hip Fracture, Hospitalization, Hypernatremia, Impact, Impairment, Incidence, Interval, Language, Male, Management, Medicine, Medline, Meta Analysis, Meta-Analysis, Metaanalysis, Methodology, Methods, Mortality, Opioids, Outcomes, Pain, Patients, Postoperative Delirium, Predisposing Factors, Prevention, Psycinfo, Pub Med, Quality, Recovery, Repair, Results, Review, Reviewers, Risk, Risk Factors, Scale, Science, Screening, Sex, Support, Surgery, Symptoms, Systematic Review, The Elderly, Validation, Web Of Science</w:t>
      </w:r>
    </w:p>
    <w:p w:rsidR="003C3277" w:rsidRPr="001A3D2B" w:rsidRDefault="003C3277" w:rsidP="003C3277">
      <w:pPr>
        <w:pStyle w:val="1"/>
      </w:pPr>
      <w:r w:rsidRPr="001A3D2B">
        <w:br w:type="page"/>
      </w:r>
      <w:bookmarkStart w:id="643" w:name="_Toc420814626"/>
      <w:r w:rsidRPr="001A3D2B">
        <w:lastRenderedPageBreak/>
        <w:t xml:space="preserve">Title: </w:t>
      </w:r>
      <w:r w:rsidRPr="001A3D2B">
        <w:rPr>
          <w:szCs w:val="24"/>
        </w:rPr>
        <w:t>Asian Business &amp; Management</w:t>
      </w:r>
      <w:bookmarkEnd w:id="643"/>
    </w:p>
    <w:p w:rsidR="003C3277" w:rsidRPr="001A3D2B" w:rsidRDefault="003C3277" w:rsidP="003C3277">
      <w:pPr>
        <w:pStyle w:val="12"/>
      </w:pPr>
      <w:r w:rsidRPr="001A3D2B">
        <w:t xml:space="preserve">Full Journal Title: </w:t>
      </w:r>
      <w:hyperlink r:id="rId1263" w:history="1">
        <w:r w:rsidRPr="001A3D2B">
          <w:rPr>
            <w:rStyle w:val="a5"/>
            <w:iCs/>
            <w:kern w:val="0"/>
          </w:rPr>
          <w:t>Asian Business &amp; Management</w:t>
        </w:r>
      </w:hyperlink>
    </w:p>
    <w:p w:rsidR="003C3277" w:rsidRPr="001A3D2B" w:rsidRDefault="003C3277" w:rsidP="003C3277">
      <w:pPr>
        <w:pStyle w:val="12"/>
      </w:pPr>
      <w:r w:rsidRPr="001A3D2B">
        <w:t xml:space="preserve">ISO Abbreviated Title: </w:t>
      </w:r>
    </w:p>
    <w:p w:rsidR="003C3277" w:rsidRPr="001A3D2B" w:rsidRDefault="003C3277" w:rsidP="003C3277">
      <w:pPr>
        <w:pStyle w:val="12"/>
      </w:pPr>
      <w:r w:rsidRPr="001A3D2B">
        <w:t xml:space="preserve">JCR Abbreviated Title: </w:t>
      </w:r>
    </w:p>
    <w:p w:rsidR="003C3277" w:rsidRPr="001A3D2B" w:rsidRDefault="003C3277" w:rsidP="003C3277">
      <w:pPr>
        <w:pStyle w:val="12"/>
      </w:pPr>
      <w:r w:rsidRPr="001A3D2B">
        <w:t>ISSN: 1472-4782</w:t>
      </w:r>
    </w:p>
    <w:p w:rsidR="003C3277" w:rsidRPr="001A3D2B" w:rsidRDefault="003C3277" w:rsidP="003C3277">
      <w:pPr>
        <w:pStyle w:val="12"/>
      </w:pPr>
      <w:r w:rsidRPr="001A3D2B">
        <w:t xml:space="preserve">Issues/Year: </w:t>
      </w:r>
    </w:p>
    <w:p w:rsidR="003C3277" w:rsidRPr="001A3D2B" w:rsidRDefault="003C3277" w:rsidP="003C3277">
      <w:pPr>
        <w:pStyle w:val="12"/>
      </w:pPr>
      <w:r w:rsidRPr="001A3D2B">
        <w:t xml:space="preserve">Journal Country/Territory: </w:t>
      </w:r>
    </w:p>
    <w:p w:rsidR="003C3277" w:rsidRPr="001A3D2B" w:rsidRDefault="003C3277" w:rsidP="003C3277">
      <w:pPr>
        <w:pStyle w:val="12"/>
      </w:pPr>
      <w:r w:rsidRPr="001A3D2B">
        <w:t xml:space="preserve">Language: </w:t>
      </w:r>
    </w:p>
    <w:p w:rsidR="003C3277" w:rsidRPr="001A3D2B" w:rsidRDefault="003C3277" w:rsidP="003C3277">
      <w:pPr>
        <w:pStyle w:val="12"/>
      </w:pPr>
      <w:r w:rsidRPr="001A3D2B">
        <w:t xml:space="preserve">Publisher: </w:t>
      </w:r>
    </w:p>
    <w:p w:rsidR="003C3277" w:rsidRPr="001A3D2B" w:rsidRDefault="003C3277" w:rsidP="003C3277">
      <w:pPr>
        <w:pStyle w:val="12"/>
      </w:pPr>
      <w:r w:rsidRPr="001A3D2B">
        <w:t xml:space="preserve">Publisher Address: </w:t>
      </w:r>
    </w:p>
    <w:p w:rsidR="003C3277" w:rsidRPr="001A3D2B" w:rsidRDefault="003C3277" w:rsidP="003C3277">
      <w:pPr>
        <w:pStyle w:val="12"/>
      </w:pPr>
      <w:r w:rsidRPr="001A3D2B">
        <w:t>Subject Categories:</w:t>
      </w:r>
    </w:p>
    <w:p w:rsidR="003C3277" w:rsidRPr="001A3D2B" w:rsidRDefault="003C3277" w:rsidP="003C3277">
      <w:pPr>
        <w:pStyle w:val="12"/>
      </w:pPr>
      <w:r w:rsidRPr="001A3D2B">
        <w:t>: Impact Factor</w:t>
      </w:r>
    </w:p>
    <w:p w:rsidR="003C3277" w:rsidRPr="001A3D2B" w:rsidRDefault="003C3277" w:rsidP="003C3277">
      <w:pPr>
        <w:pStyle w:val="a3"/>
        <w:rPr>
          <w:kern w:val="0"/>
          <w:szCs w:val="24"/>
        </w:rPr>
      </w:pPr>
      <w:r w:rsidRPr="001A3D2B">
        <w:t xml:space="preserve">? </w:t>
      </w:r>
      <w:r w:rsidRPr="001A3D2B">
        <w:rPr>
          <w:kern w:val="0"/>
          <w:szCs w:val="24"/>
        </w:rPr>
        <w:t>Shapira, P.</w:t>
      </w:r>
      <w:r w:rsidR="005853A9">
        <w:rPr>
          <w:kern w:val="0"/>
          <w:szCs w:val="24"/>
        </w:rPr>
        <w:t xml:space="preserve"> and </w:t>
      </w:r>
      <w:r w:rsidRPr="001A3D2B">
        <w:rPr>
          <w:kern w:val="0"/>
          <w:szCs w:val="24"/>
        </w:rPr>
        <w:t>Wang, J. (2009), From lab to market? Strategies</w:t>
      </w:r>
      <w:r w:rsidR="005853A9">
        <w:rPr>
          <w:kern w:val="0"/>
          <w:szCs w:val="24"/>
        </w:rPr>
        <w:t xml:space="preserve"> and </w:t>
      </w:r>
      <w:r w:rsidRPr="001A3D2B">
        <w:rPr>
          <w:kern w:val="0"/>
          <w:szCs w:val="24"/>
        </w:rPr>
        <w:t>issues in</w:t>
      </w:r>
      <w:r w:rsidR="003A1917">
        <w:rPr>
          <w:kern w:val="0"/>
          <w:szCs w:val="24"/>
        </w:rPr>
        <w:t xml:space="preserve"> the </w:t>
      </w:r>
      <w:r w:rsidRPr="001A3D2B">
        <w:rPr>
          <w:kern w:val="0"/>
          <w:szCs w:val="24"/>
        </w:rPr>
        <w:t>commercialization</w:t>
      </w:r>
      <w:r w:rsidR="00427468">
        <w:rPr>
          <w:kern w:val="0"/>
          <w:szCs w:val="24"/>
        </w:rPr>
        <w:t xml:space="preserve"> of </w:t>
      </w:r>
      <w:r w:rsidRPr="001A3D2B">
        <w:rPr>
          <w:kern w:val="0"/>
          <w:szCs w:val="24"/>
        </w:rPr>
        <w:t xml:space="preserve">nanotechnology in China. </w:t>
      </w:r>
      <w:r w:rsidRPr="001A3D2B">
        <w:rPr>
          <w:i/>
          <w:iCs/>
          <w:kern w:val="0"/>
          <w:szCs w:val="24"/>
        </w:rPr>
        <w:t>Asian Business &amp; Management</w:t>
      </w:r>
      <w:r w:rsidRPr="001A3D2B">
        <w:rPr>
          <w:kern w:val="0"/>
          <w:szCs w:val="24"/>
        </w:rPr>
        <w:t xml:space="preserve">, </w:t>
      </w:r>
      <w:r w:rsidRPr="001A3D2B">
        <w:rPr>
          <w:b/>
          <w:bCs/>
          <w:kern w:val="0"/>
          <w:szCs w:val="24"/>
        </w:rPr>
        <w:t>8</w:t>
      </w:r>
      <w:r w:rsidRPr="001A3D2B">
        <w:rPr>
          <w:kern w:val="0"/>
          <w:szCs w:val="24"/>
        </w:rPr>
        <w:t xml:space="preserve"> (4), 461-489.</w:t>
      </w:r>
    </w:p>
    <w:p w:rsidR="003C3277" w:rsidRPr="001A3D2B" w:rsidRDefault="003C3277" w:rsidP="003C3277">
      <w:pPr>
        <w:pStyle w:val="a3"/>
        <w:rPr>
          <w:kern w:val="0"/>
          <w:szCs w:val="24"/>
        </w:rPr>
      </w:pPr>
      <w:r w:rsidRPr="001A3D2B">
        <w:rPr>
          <w:kern w:val="0"/>
          <w:szCs w:val="24"/>
        </w:rPr>
        <w:t xml:space="preserve">Full Text: </w:t>
      </w:r>
      <w:hyperlink r:id="rId1264" w:history="1">
        <w:r w:rsidR="002A6A1A" w:rsidRPr="002A6A1A">
          <w:rPr>
            <w:rStyle w:val="a5"/>
            <w:kern w:val="0"/>
            <w:szCs w:val="24"/>
          </w:rPr>
          <w:t>2009\Asi Bus Man8, 461.pdf</w:t>
        </w:r>
      </w:hyperlink>
    </w:p>
    <w:p w:rsidR="003C3277" w:rsidRPr="001A3D2B" w:rsidRDefault="003C3277" w:rsidP="003C3277">
      <w:pPr>
        <w:pStyle w:val="a3"/>
        <w:rPr>
          <w:kern w:val="0"/>
          <w:szCs w:val="24"/>
        </w:rPr>
      </w:pPr>
      <w:r w:rsidRPr="001A3D2B">
        <w:rPr>
          <w:kern w:val="0"/>
          <w:szCs w:val="24"/>
        </w:rPr>
        <w:t>Abstract: Nanotechnology is expected by many to be one</w:t>
      </w:r>
      <w:r w:rsidR="00427468">
        <w:rPr>
          <w:kern w:val="0"/>
          <w:szCs w:val="24"/>
        </w:rPr>
        <w:t xml:space="preserve"> of </w:t>
      </w:r>
      <w:r w:rsidR="003A1917">
        <w:rPr>
          <w:kern w:val="0"/>
          <w:szCs w:val="24"/>
        </w:rPr>
        <w:t xml:space="preserve">the </w:t>
      </w:r>
      <w:r w:rsidRPr="001A3D2B">
        <w:rPr>
          <w:kern w:val="0"/>
          <w:szCs w:val="24"/>
        </w:rPr>
        <w:t>next drivers</w:t>
      </w:r>
      <w:r w:rsidR="00427468">
        <w:rPr>
          <w:kern w:val="0"/>
          <w:szCs w:val="24"/>
        </w:rPr>
        <w:t xml:space="preserve"> of </w:t>
      </w:r>
      <w:r w:rsidRPr="001A3D2B">
        <w:rPr>
          <w:kern w:val="0"/>
          <w:szCs w:val="24"/>
        </w:rPr>
        <w:t>technology-based business</w:t>
      </w:r>
      <w:r w:rsidR="005853A9">
        <w:rPr>
          <w:kern w:val="0"/>
          <w:szCs w:val="24"/>
        </w:rPr>
        <w:t xml:space="preserve"> and </w:t>
      </w:r>
      <w:r w:rsidRPr="001A3D2B">
        <w:rPr>
          <w:kern w:val="0"/>
          <w:szCs w:val="24"/>
        </w:rPr>
        <w:t>economic growth. China has emerged as a global player in nanotechnology development,</w:t>
      </w:r>
      <w:r w:rsidR="005853A9">
        <w:rPr>
          <w:kern w:val="0"/>
          <w:szCs w:val="24"/>
        </w:rPr>
        <w:t xml:space="preserve"> and </w:t>
      </w:r>
      <w:r w:rsidRPr="001A3D2B">
        <w:rPr>
          <w:kern w:val="0"/>
          <w:szCs w:val="24"/>
        </w:rPr>
        <w:t>now ranks second (after</w:t>
      </w:r>
      <w:r w:rsidR="003A1917">
        <w:rPr>
          <w:kern w:val="0"/>
          <w:szCs w:val="24"/>
        </w:rPr>
        <w:t xml:space="preserve"> the </w:t>
      </w:r>
      <w:r w:rsidRPr="001A3D2B">
        <w:rPr>
          <w:kern w:val="0"/>
          <w:szCs w:val="24"/>
        </w:rPr>
        <w:t>United States) in nanotechnology scientific publications produced annually</w:t>
      </w:r>
      <w:r w:rsidR="00A37C1D">
        <w:rPr>
          <w:kern w:val="0"/>
          <w:szCs w:val="24"/>
        </w:rPr>
        <w:t>. The</w:t>
      </w:r>
      <w:r w:rsidR="003A1917">
        <w:rPr>
          <w:kern w:val="0"/>
          <w:szCs w:val="24"/>
        </w:rPr>
        <w:t xml:space="preserve"> </w:t>
      </w:r>
      <w:r w:rsidRPr="001A3D2B">
        <w:rPr>
          <w:kern w:val="0"/>
          <w:szCs w:val="24"/>
        </w:rPr>
        <w:t>study</w:t>
      </w:r>
      <w:r w:rsidR="00427468">
        <w:rPr>
          <w:kern w:val="0"/>
          <w:szCs w:val="24"/>
        </w:rPr>
        <w:t xml:space="preserve"> of </w:t>
      </w:r>
      <w:r w:rsidRPr="001A3D2B">
        <w:rPr>
          <w:kern w:val="0"/>
          <w:szCs w:val="24"/>
        </w:rPr>
        <w:t>nanotechnology offers a lens to examine China</w:t>
      </w:r>
      <w:r w:rsidR="00700038">
        <w:rPr>
          <w:kern w:val="0"/>
          <w:szCs w:val="24"/>
        </w:rPr>
        <w:t>’</w:t>
      </w:r>
      <w:r w:rsidR="00C13DDC">
        <w:rPr>
          <w:kern w:val="0"/>
          <w:szCs w:val="24"/>
        </w:rPr>
        <w:t>s</w:t>
      </w:r>
      <w:r w:rsidRPr="001A3D2B">
        <w:rPr>
          <w:kern w:val="0"/>
          <w:szCs w:val="24"/>
        </w:rPr>
        <w:t xml:space="preserve"> capabilities to move closer to</w:t>
      </w:r>
      <w:r w:rsidR="003A1917">
        <w:rPr>
          <w:kern w:val="0"/>
          <w:szCs w:val="24"/>
        </w:rPr>
        <w:t xml:space="preserve"> the </w:t>
      </w:r>
      <w:r w:rsidRPr="001A3D2B">
        <w:rPr>
          <w:kern w:val="0"/>
          <w:szCs w:val="24"/>
        </w:rPr>
        <w:t>frontier</w:t>
      </w:r>
      <w:r w:rsidR="00427468">
        <w:rPr>
          <w:kern w:val="0"/>
          <w:szCs w:val="24"/>
        </w:rPr>
        <w:t xml:space="preserve"> of </w:t>
      </w:r>
      <w:r w:rsidRPr="001A3D2B">
        <w:rPr>
          <w:kern w:val="0"/>
          <w:szCs w:val="24"/>
        </w:rPr>
        <w:t>technology-led economic development, explore</w:t>
      </w:r>
      <w:r w:rsidR="003A1917">
        <w:rPr>
          <w:kern w:val="0"/>
          <w:szCs w:val="24"/>
        </w:rPr>
        <w:t xml:space="preserve"> the </w:t>
      </w:r>
      <w:r w:rsidRPr="001A3D2B">
        <w:rPr>
          <w:kern w:val="0"/>
          <w:szCs w:val="24"/>
        </w:rPr>
        <w:t>evolving Chinese innovation system,</w:t>
      </w:r>
      <w:r w:rsidR="005853A9">
        <w:rPr>
          <w:kern w:val="0"/>
          <w:szCs w:val="24"/>
        </w:rPr>
        <w:t xml:space="preserve"> and </w:t>
      </w:r>
      <w:r w:rsidRPr="001A3D2B">
        <w:rPr>
          <w:kern w:val="0"/>
          <w:szCs w:val="24"/>
        </w:rPr>
        <w:t>assess</w:t>
      </w:r>
      <w:r w:rsidR="003A1917">
        <w:rPr>
          <w:kern w:val="0"/>
          <w:szCs w:val="24"/>
        </w:rPr>
        <w:t xml:space="preserve"> the </w:t>
      </w:r>
      <w:r w:rsidRPr="001A3D2B">
        <w:rPr>
          <w:kern w:val="0"/>
          <w:szCs w:val="24"/>
        </w:rPr>
        <w:t>effectiveness</w:t>
      </w:r>
      <w:r w:rsidR="00427468">
        <w:rPr>
          <w:kern w:val="0"/>
          <w:szCs w:val="24"/>
        </w:rPr>
        <w:t xml:space="preserve"> of </w:t>
      </w:r>
      <w:r w:rsidRPr="001A3D2B">
        <w:rPr>
          <w:kern w:val="0"/>
          <w:szCs w:val="24"/>
        </w:rPr>
        <w:t>policy strategies to modernize</w:t>
      </w:r>
      <w:r w:rsidR="005853A9">
        <w:rPr>
          <w:kern w:val="0"/>
          <w:szCs w:val="24"/>
        </w:rPr>
        <w:t xml:space="preserve"> and </w:t>
      </w:r>
      <w:r w:rsidRPr="001A3D2B">
        <w:rPr>
          <w:kern w:val="0"/>
          <w:szCs w:val="24"/>
        </w:rPr>
        <w:t>add-value to research</w:t>
      </w:r>
      <w:r w:rsidR="005853A9">
        <w:rPr>
          <w:kern w:val="0"/>
          <w:szCs w:val="24"/>
        </w:rPr>
        <w:t xml:space="preserve"> and </w:t>
      </w:r>
      <w:r w:rsidRPr="001A3D2B">
        <w:rPr>
          <w:kern w:val="0"/>
          <w:szCs w:val="24"/>
        </w:rPr>
        <w:t>industry in China. Supported by new policy initiatives</w:t>
      </w:r>
      <w:r w:rsidR="005853A9">
        <w:rPr>
          <w:kern w:val="0"/>
          <w:szCs w:val="24"/>
        </w:rPr>
        <w:t xml:space="preserve"> and </w:t>
      </w:r>
      <w:r w:rsidRPr="001A3D2B">
        <w:rPr>
          <w:kern w:val="0"/>
          <w:szCs w:val="24"/>
        </w:rPr>
        <w:t>funding, hundreds</w:t>
      </w:r>
      <w:r w:rsidR="00427468">
        <w:rPr>
          <w:kern w:val="0"/>
          <w:szCs w:val="24"/>
        </w:rPr>
        <w:t xml:space="preserve"> of </w:t>
      </w:r>
      <w:r w:rsidRPr="001A3D2B">
        <w:rPr>
          <w:kern w:val="0"/>
          <w:szCs w:val="24"/>
        </w:rPr>
        <w:t>institutions</w:t>
      </w:r>
      <w:r w:rsidR="005853A9">
        <w:rPr>
          <w:kern w:val="0"/>
          <w:szCs w:val="24"/>
        </w:rPr>
        <w:t xml:space="preserve"> and </w:t>
      </w:r>
      <w:r w:rsidRPr="001A3D2B">
        <w:rPr>
          <w:kern w:val="0"/>
          <w:szCs w:val="24"/>
        </w:rPr>
        <w:t>tho</w:t>
      </w:r>
      <w:r w:rsidR="00D5664A">
        <w:rPr>
          <w:kern w:val="0"/>
          <w:szCs w:val="24"/>
        </w:rPr>
        <w:t>USA</w:t>
      </w:r>
      <w:r w:rsidRPr="001A3D2B">
        <w:rPr>
          <w:kern w:val="0"/>
          <w:szCs w:val="24"/>
        </w:rPr>
        <w:t>nds</w:t>
      </w:r>
      <w:r w:rsidR="00427468">
        <w:rPr>
          <w:kern w:val="0"/>
          <w:szCs w:val="24"/>
        </w:rPr>
        <w:t xml:space="preserve"> of </w:t>
      </w:r>
      <w:r w:rsidRPr="001A3D2B">
        <w:rPr>
          <w:kern w:val="0"/>
          <w:szCs w:val="24"/>
        </w:rPr>
        <w:t>researchers in China are engaged in nanotechnology R&amp;D. Yet, although Chinese nanotechnology research has scale,</w:t>
      </w:r>
      <w:r w:rsidR="003A1917">
        <w:rPr>
          <w:kern w:val="0"/>
          <w:szCs w:val="24"/>
        </w:rPr>
        <w:t xml:space="preserve"> the </w:t>
      </w:r>
      <w:r w:rsidRPr="001A3D2B">
        <w:rPr>
          <w:kern w:val="0"/>
          <w:szCs w:val="24"/>
        </w:rPr>
        <w:t>pathways from laboratory research to successful commercialization remain problematic. Chinese performance in nanotechnology patenting</w:t>
      </w:r>
      <w:r w:rsidR="005853A9">
        <w:rPr>
          <w:kern w:val="0"/>
          <w:szCs w:val="24"/>
        </w:rPr>
        <w:t xml:space="preserve"> and </w:t>
      </w:r>
      <w:r w:rsidRPr="001A3D2B">
        <w:rPr>
          <w:kern w:val="0"/>
          <w:szCs w:val="24"/>
        </w:rPr>
        <w:t>product development is weak relative to its research strength, suggesting a significant gap between</w:t>
      </w:r>
      <w:r w:rsidR="003A1917">
        <w:rPr>
          <w:kern w:val="0"/>
          <w:szCs w:val="24"/>
        </w:rPr>
        <w:t xml:space="preserve"> the </w:t>
      </w:r>
      <w:r w:rsidRPr="001A3D2B">
        <w:rPr>
          <w:kern w:val="0"/>
          <w:szCs w:val="24"/>
        </w:rPr>
        <w:t>research base</w:t>
      </w:r>
      <w:r w:rsidR="005853A9">
        <w:rPr>
          <w:kern w:val="0"/>
          <w:szCs w:val="24"/>
        </w:rPr>
        <w:t xml:space="preserve"> and </w:t>
      </w:r>
      <w:r w:rsidRPr="001A3D2B">
        <w:rPr>
          <w:kern w:val="0"/>
          <w:szCs w:val="24"/>
        </w:rPr>
        <w:t>industrial development. Drawing on bibliometric research</w:t>
      </w:r>
      <w:r w:rsidR="005853A9">
        <w:rPr>
          <w:kern w:val="0"/>
          <w:szCs w:val="24"/>
        </w:rPr>
        <w:t xml:space="preserve"> and </w:t>
      </w:r>
      <w:r w:rsidRPr="001A3D2B">
        <w:rPr>
          <w:kern w:val="0"/>
          <w:szCs w:val="24"/>
        </w:rPr>
        <w:t>field interviews with Chinese nanotechnology policymakers, researchers</w:t>
      </w:r>
      <w:r w:rsidR="005853A9">
        <w:rPr>
          <w:kern w:val="0"/>
          <w:szCs w:val="24"/>
        </w:rPr>
        <w:t xml:space="preserve"> and </w:t>
      </w:r>
      <w:r w:rsidRPr="001A3D2B">
        <w:rPr>
          <w:kern w:val="0"/>
          <w:szCs w:val="24"/>
        </w:rPr>
        <w:t>business representatives, we analyze this gap, explore</w:t>
      </w:r>
      <w:r w:rsidR="003A1917">
        <w:rPr>
          <w:kern w:val="0"/>
          <w:szCs w:val="24"/>
        </w:rPr>
        <w:t xml:space="preserve"> the </w:t>
      </w:r>
      <w:r w:rsidRPr="001A3D2B">
        <w:rPr>
          <w:kern w:val="0"/>
          <w:szCs w:val="24"/>
        </w:rPr>
        <w:t>factors contributing to it</w:t>
      </w:r>
      <w:r w:rsidR="005853A9">
        <w:rPr>
          <w:kern w:val="0"/>
          <w:szCs w:val="24"/>
        </w:rPr>
        <w:t xml:space="preserve"> and </w:t>
      </w:r>
      <w:r w:rsidRPr="001A3D2B">
        <w:rPr>
          <w:kern w:val="0"/>
          <w:szCs w:val="24"/>
        </w:rPr>
        <w:t>assess future commercialization trajectories. Asian Business &amp; Management (2009) 8, 461-489. doi: 10.1057/abm.2009.15.</w:t>
      </w:r>
    </w:p>
    <w:p w:rsidR="00403A65" w:rsidRPr="001A3D2B" w:rsidRDefault="00403A65" w:rsidP="00403A65">
      <w:pPr>
        <w:pStyle w:val="a3"/>
        <w:rPr>
          <w:kern w:val="0"/>
        </w:rPr>
      </w:pPr>
      <w:r w:rsidRPr="001A3D2B">
        <w:rPr>
          <w:kern w:val="0"/>
        </w:rPr>
        <w:t>Keywords: China, Commercialization, FDI, Firms, Industrial Innovation, Innovation, Nanoscience, Nanotechnology, Publications, R&amp;D, Research, Science, Spillover, Technology Transfer, Technology-Transfer</w:t>
      </w:r>
    </w:p>
    <w:p w:rsidR="00C37AD8" w:rsidRPr="001A3D2B" w:rsidRDefault="00C37AD8" w:rsidP="00C37AD8">
      <w:pPr>
        <w:pStyle w:val="1"/>
      </w:pPr>
      <w:r w:rsidRPr="001A3D2B">
        <w:br w:type="page"/>
      </w:r>
      <w:bookmarkStart w:id="644" w:name="_Toc420814627"/>
      <w:r w:rsidRPr="001A3D2B">
        <w:lastRenderedPageBreak/>
        <w:t xml:space="preserve">Title: </w:t>
      </w:r>
      <w:r w:rsidRPr="00C37AD8">
        <w:t>Asian Journal</w:t>
      </w:r>
      <w:r w:rsidR="00427468">
        <w:t xml:space="preserve"> of </w:t>
      </w:r>
      <w:r w:rsidRPr="00C37AD8">
        <w:t>Andrology</w:t>
      </w:r>
      <w:bookmarkEnd w:id="644"/>
    </w:p>
    <w:p w:rsidR="00C37AD8" w:rsidRPr="001A3D2B" w:rsidRDefault="00C37AD8" w:rsidP="00C37AD8">
      <w:pPr>
        <w:pStyle w:val="12"/>
      </w:pPr>
      <w:r w:rsidRPr="001A3D2B">
        <w:t xml:space="preserve">Full Journal Title: </w:t>
      </w:r>
      <w:r w:rsidRPr="00C37AD8">
        <w:rPr>
          <w:iCs/>
          <w:kern w:val="0"/>
        </w:rPr>
        <w:t>Asian Journal</w:t>
      </w:r>
      <w:r w:rsidR="00427468">
        <w:rPr>
          <w:iCs/>
          <w:kern w:val="0"/>
        </w:rPr>
        <w:t xml:space="preserve"> of </w:t>
      </w:r>
      <w:r w:rsidRPr="00C37AD8">
        <w:rPr>
          <w:iCs/>
          <w:kern w:val="0"/>
        </w:rPr>
        <w:t>Andrology</w:t>
      </w:r>
    </w:p>
    <w:p w:rsidR="00C37AD8" w:rsidRPr="001A3D2B" w:rsidRDefault="00C37AD8" w:rsidP="00C37AD8">
      <w:pPr>
        <w:pStyle w:val="12"/>
      </w:pPr>
      <w:r w:rsidRPr="001A3D2B">
        <w:t xml:space="preserve">ISO Abbreviated Title: </w:t>
      </w:r>
    </w:p>
    <w:p w:rsidR="00C37AD8" w:rsidRPr="001A3D2B" w:rsidRDefault="00C37AD8" w:rsidP="00C37AD8">
      <w:pPr>
        <w:pStyle w:val="12"/>
      </w:pPr>
      <w:r w:rsidRPr="001A3D2B">
        <w:t xml:space="preserve">JCR Abbreviated Title: </w:t>
      </w:r>
    </w:p>
    <w:p w:rsidR="00C37AD8" w:rsidRPr="001A3D2B" w:rsidRDefault="00C37AD8" w:rsidP="00C37AD8">
      <w:pPr>
        <w:pStyle w:val="12"/>
      </w:pPr>
      <w:r w:rsidRPr="001A3D2B">
        <w:t xml:space="preserve">ISSN: </w:t>
      </w:r>
    </w:p>
    <w:p w:rsidR="00C37AD8" w:rsidRPr="001A3D2B" w:rsidRDefault="00C37AD8" w:rsidP="00C37AD8">
      <w:pPr>
        <w:pStyle w:val="12"/>
      </w:pPr>
      <w:r w:rsidRPr="001A3D2B">
        <w:t xml:space="preserve">Issues/Year: </w:t>
      </w:r>
    </w:p>
    <w:p w:rsidR="00C37AD8" w:rsidRPr="001A3D2B" w:rsidRDefault="00C37AD8" w:rsidP="00C37AD8">
      <w:pPr>
        <w:pStyle w:val="12"/>
      </w:pPr>
      <w:r w:rsidRPr="001A3D2B">
        <w:t xml:space="preserve">Journal Country/Territory: </w:t>
      </w:r>
    </w:p>
    <w:p w:rsidR="00C37AD8" w:rsidRPr="001A3D2B" w:rsidRDefault="00C37AD8" w:rsidP="00C37AD8">
      <w:pPr>
        <w:pStyle w:val="12"/>
      </w:pPr>
      <w:r w:rsidRPr="001A3D2B">
        <w:t xml:space="preserve">Language: </w:t>
      </w:r>
    </w:p>
    <w:p w:rsidR="00C37AD8" w:rsidRPr="001A3D2B" w:rsidRDefault="00C37AD8" w:rsidP="00C37AD8">
      <w:pPr>
        <w:pStyle w:val="12"/>
      </w:pPr>
      <w:r w:rsidRPr="001A3D2B">
        <w:t xml:space="preserve">Publisher: </w:t>
      </w:r>
    </w:p>
    <w:p w:rsidR="00C37AD8" w:rsidRPr="001A3D2B" w:rsidRDefault="00C37AD8" w:rsidP="00C37AD8">
      <w:pPr>
        <w:pStyle w:val="12"/>
      </w:pPr>
      <w:r w:rsidRPr="001A3D2B">
        <w:t xml:space="preserve">Publisher Address: </w:t>
      </w:r>
    </w:p>
    <w:p w:rsidR="00C37AD8" w:rsidRPr="001A3D2B" w:rsidRDefault="00C37AD8" w:rsidP="00C37AD8">
      <w:pPr>
        <w:pStyle w:val="12"/>
      </w:pPr>
      <w:r w:rsidRPr="001A3D2B">
        <w:t>Subject Categories:</w:t>
      </w:r>
    </w:p>
    <w:p w:rsidR="00C37AD8" w:rsidRPr="001A3D2B" w:rsidRDefault="00C37AD8" w:rsidP="00C37AD8">
      <w:pPr>
        <w:pStyle w:val="12"/>
      </w:pPr>
      <w:r w:rsidRPr="001A3D2B">
        <w:t>: Impact Factor</w:t>
      </w:r>
    </w:p>
    <w:p w:rsidR="00C37AD8" w:rsidRDefault="00C37AD8" w:rsidP="00C37AD8">
      <w:pPr>
        <w:pStyle w:val="a3"/>
        <w:rPr>
          <w:kern w:val="0"/>
        </w:rPr>
      </w:pPr>
      <w:r>
        <w:rPr>
          <w:rFonts w:hint="eastAsia"/>
          <w:kern w:val="0"/>
        </w:rPr>
        <w:t xml:space="preserve">? </w:t>
      </w:r>
      <w:r>
        <w:rPr>
          <w:kern w:val="0"/>
        </w:rPr>
        <w:t>Tian, Y., Liu, W., Wang, J.Z., Wazir, R., Yue, X.</w:t>
      </w:r>
      <w:r w:rsidR="005853A9">
        <w:rPr>
          <w:kern w:val="0"/>
        </w:rPr>
        <w:t xml:space="preserve"> and </w:t>
      </w:r>
      <w:r>
        <w:rPr>
          <w:kern w:val="0"/>
        </w:rPr>
        <w:t>Wang, K.J. (2013), Effects</w:t>
      </w:r>
      <w:r w:rsidR="00427468">
        <w:rPr>
          <w:kern w:val="0"/>
        </w:rPr>
        <w:t xml:space="preserve"> of </w:t>
      </w:r>
      <w:r>
        <w:rPr>
          <w:kern w:val="0"/>
        </w:rPr>
        <w:t>circumcision on male sexual functions: A systematic review</w:t>
      </w:r>
      <w:r w:rsidR="005853A9">
        <w:rPr>
          <w:kern w:val="0"/>
        </w:rPr>
        <w:t xml:space="preserve"> and </w:t>
      </w:r>
      <w:r>
        <w:rPr>
          <w:kern w:val="0"/>
        </w:rPr>
        <w:t xml:space="preserve">meta-analysis. </w:t>
      </w:r>
      <w:r w:rsidRPr="00C37AD8">
        <w:rPr>
          <w:i/>
          <w:iCs/>
          <w:kern w:val="0"/>
        </w:rPr>
        <w:t>Asian Journal</w:t>
      </w:r>
      <w:r w:rsidR="00427468">
        <w:rPr>
          <w:i/>
          <w:iCs/>
          <w:kern w:val="0"/>
        </w:rPr>
        <w:t xml:space="preserve"> of </w:t>
      </w:r>
      <w:r w:rsidRPr="00C37AD8">
        <w:rPr>
          <w:i/>
          <w:iCs/>
          <w:kern w:val="0"/>
        </w:rPr>
        <w:t>Andrology</w:t>
      </w:r>
      <w:r>
        <w:rPr>
          <w:kern w:val="0"/>
        </w:rPr>
        <w:t xml:space="preserve">, </w:t>
      </w:r>
      <w:r>
        <w:rPr>
          <w:b/>
          <w:bCs/>
          <w:kern w:val="0"/>
        </w:rPr>
        <w:t>15</w:t>
      </w:r>
      <w:r>
        <w:rPr>
          <w:kern w:val="0"/>
        </w:rPr>
        <w:t xml:space="preserve"> (5), 662-666.</w:t>
      </w:r>
    </w:p>
    <w:p w:rsidR="00C37AD8" w:rsidRDefault="00C37AD8" w:rsidP="00C37AD8">
      <w:pPr>
        <w:pStyle w:val="a3"/>
        <w:rPr>
          <w:kern w:val="0"/>
        </w:rPr>
      </w:pPr>
      <w:r>
        <w:rPr>
          <w:rFonts w:hint="eastAsia"/>
          <w:kern w:val="0"/>
        </w:rPr>
        <w:t xml:space="preserve">Full Text: </w:t>
      </w:r>
      <w:hyperlink r:id="rId1265" w:history="1">
        <w:r w:rsidR="00B21D5F" w:rsidRPr="00B21D5F">
          <w:rPr>
            <w:rStyle w:val="a5"/>
            <w:kern w:val="0"/>
          </w:rPr>
          <w:t>2013\Asi J And15, 662.pdf</w:t>
        </w:r>
      </w:hyperlink>
    </w:p>
    <w:p w:rsidR="00C37AD8" w:rsidRDefault="00C37AD8" w:rsidP="00C37AD8">
      <w:pPr>
        <w:pStyle w:val="a3"/>
        <w:rPr>
          <w:kern w:val="0"/>
        </w:rPr>
      </w:pPr>
      <w:r>
        <w:rPr>
          <w:kern w:val="0"/>
        </w:rPr>
        <w:t>Abstract: This meta-analysis was performed to assess sexual functions following adult male circumcision. We searched the Cochrane Central Register</w:t>
      </w:r>
      <w:r w:rsidR="00427468">
        <w:rPr>
          <w:kern w:val="0"/>
        </w:rPr>
        <w:t xml:space="preserve"> of </w:t>
      </w:r>
      <w:r>
        <w:rPr>
          <w:kern w:val="0"/>
        </w:rPr>
        <w:t>Controlled Trials, PUBMED, EMBASE, the Cochrane Database</w:t>
      </w:r>
      <w:r w:rsidR="00427468">
        <w:rPr>
          <w:kern w:val="0"/>
        </w:rPr>
        <w:t xml:space="preserve"> of </w:t>
      </w:r>
      <w:r>
        <w:rPr>
          <w:kern w:val="0"/>
        </w:rPr>
        <w:t>Systematic Review</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their inception until January 2013 to identify all eligible studies that reported on men</w:t>
      </w:r>
      <w:r w:rsidR="00700038">
        <w:rPr>
          <w:kern w:val="0"/>
        </w:rPr>
        <w:t>’</w:t>
      </w:r>
      <w:r>
        <w:rPr>
          <w:kern w:val="0"/>
        </w:rPr>
        <w:t>s sexual function after circumcision</w:t>
      </w:r>
      <w:r w:rsidR="00A37C1D">
        <w:rPr>
          <w:kern w:val="0"/>
        </w:rPr>
        <w:t>. The</w:t>
      </w:r>
      <w:r>
        <w:rPr>
          <w:kern w:val="0"/>
        </w:rPr>
        <w:t xml:space="preserve"> Cochrane Collaboration</w:t>
      </w:r>
      <w:r w:rsidR="00700038">
        <w:rPr>
          <w:kern w:val="0"/>
        </w:rPr>
        <w:t>’</w:t>
      </w:r>
      <w:r>
        <w:rPr>
          <w:kern w:val="0"/>
        </w:rPr>
        <w:t>s RevMan 5.2 software was employed for data analysis,</w:t>
      </w:r>
      <w:r w:rsidR="005853A9">
        <w:rPr>
          <w:kern w:val="0"/>
        </w:rPr>
        <w:t xml:space="preserve"> and </w:t>
      </w:r>
      <w:r>
        <w:rPr>
          <w:kern w:val="0"/>
        </w:rPr>
        <w:t>the fixed or the random effect model was selected depending on the proportion</w:t>
      </w:r>
      <w:r w:rsidR="00427468">
        <w:rPr>
          <w:kern w:val="0"/>
        </w:rPr>
        <w:t xml:space="preserve"> of </w:t>
      </w:r>
      <w:r>
        <w:rPr>
          <w:kern w:val="0"/>
        </w:rPr>
        <w:t>heterogeneity. We identified 10 studies, which described a total</w:t>
      </w:r>
      <w:r w:rsidR="00427468">
        <w:rPr>
          <w:kern w:val="0"/>
        </w:rPr>
        <w:t xml:space="preserve"> of </w:t>
      </w:r>
      <w:r>
        <w:rPr>
          <w:kern w:val="0"/>
        </w:rPr>
        <w:t>9317 circumcised</w:t>
      </w:r>
      <w:r w:rsidR="005853A9">
        <w:rPr>
          <w:kern w:val="0"/>
        </w:rPr>
        <w:t xml:space="preserve"> and </w:t>
      </w:r>
      <w:r>
        <w:rPr>
          <w:kern w:val="0"/>
        </w:rPr>
        <w:t>9423 uncircumcised men who were evaluated for the association</w:t>
      </w:r>
      <w:r w:rsidR="00427468">
        <w:rPr>
          <w:kern w:val="0"/>
        </w:rPr>
        <w:t xml:space="preserve"> of </w:t>
      </w:r>
      <w:r>
        <w:rPr>
          <w:kern w:val="0"/>
        </w:rPr>
        <w:t>circumcision with male sexual function</w:t>
      </w:r>
      <w:r w:rsidR="00A37C1D">
        <w:rPr>
          <w:kern w:val="0"/>
        </w:rPr>
        <w:t>. The</w:t>
      </w:r>
      <w:r>
        <w:rPr>
          <w:kern w:val="0"/>
        </w:rPr>
        <w:t>re were no significant differences in sexual desire (odds ratio (OR): 0.99; 95% confidence interval (CI): 0.92-1.06), dyspareunia (OR: 1.12; 95% CI: 0.52-2.44), premature ejaculation (OR: 1.13; 95% CI: 0.83-1.54), ejaculation latency time (OR: 1.33; 95% CI: 0.69-1.97), erectile dysfunctions (OR: 0.90; 95% CI: 0.65-1.25)</w:t>
      </w:r>
      <w:r w:rsidR="005853A9">
        <w:rPr>
          <w:kern w:val="0"/>
        </w:rPr>
        <w:t xml:space="preserve"> and </w:t>
      </w:r>
      <w:r>
        <w:rPr>
          <w:kern w:val="0"/>
        </w:rPr>
        <w:t>orgasm difficulties (OR: 0.97; 95% CI: 0.83-1.13)</w:t>
      </w:r>
      <w:r w:rsidR="00A37C1D">
        <w:rPr>
          <w:kern w:val="0"/>
        </w:rPr>
        <w:t>. The</w:t>
      </w:r>
      <w:r>
        <w:rPr>
          <w:kern w:val="0"/>
        </w:rPr>
        <w:t>se findings suggest that circumcision is unlikely to adversely affect male sexual functions. However, these results should be evaluated in light</w:t>
      </w:r>
      <w:r w:rsidR="00427468">
        <w:rPr>
          <w:kern w:val="0"/>
        </w:rPr>
        <w:t xml:space="preserve"> of </w:t>
      </w:r>
      <w:r>
        <w:rPr>
          <w:kern w:val="0"/>
        </w:rPr>
        <w:t>the low quality</w:t>
      </w:r>
      <w:r w:rsidR="00427468">
        <w:rPr>
          <w:kern w:val="0"/>
        </w:rPr>
        <w:t xml:space="preserve"> of </w:t>
      </w:r>
      <w:r>
        <w:rPr>
          <w:kern w:val="0"/>
        </w:rPr>
        <w:t>the existing evidence</w:t>
      </w:r>
      <w:r w:rsidR="005853A9">
        <w:rPr>
          <w:kern w:val="0"/>
        </w:rPr>
        <w:t xml:space="preserve"> and </w:t>
      </w:r>
      <w:r>
        <w:rPr>
          <w:kern w:val="0"/>
        </w:rPr>
        <w:t>the significant heterogeneity across the various studies. Well-designed</w:t>
      </w:r>
      <w:r w:rsidR="005853A9">
        <w:rPr>
          <w:kern w:val="0"/>
        </w:rPr>
        <w:t xml:space="preserve"> and </w:t>
      </w:r>
      <w:r>
        <w:rPr>
          <w:kern w:val="0"/>
        </w:rPr>
        <w:t>prospective studies are required for a further understanding</w:t>
      </w:r>
      <w:r w:rsidR="00427468">
        <w:rPr>
          <w:kern w:val="0"/>
        </w:rPr>
        <w:t xml:space="preserve"> of </w:t>
      </w:r>
      <w:r>
        <w:rPr>
          <w:kern w:val="0"/>
        </w:rPr>
        <w:t>this topic.</w:t>
      </w:r>
    </w:p>
    <w:p w:rsidR="00C37AD8" w:rsidRDefault="00C37AD8" w:rsidP="00C37AD8">
      <w:pPr>
        <w:pStyle w:val="a3"/>
        <w:rPr>
          <w:kern w:val="0"/>
        </w:rPr>
      </w:pPr>
      <w:r>
        <w:rPr>
          <w:kern w:val="0"/>
        </w:rPr>
        <w:t xml:space="preserve">Keywords: Adult, Adult Penis, Analysis, Association, Circumcision, Complications, Confidence, Data, Data Analysis, Database, Dyspareunia, Embase, Evidence, </w:t>
      </w:r>
      <w:r>
        <w:rPr>
          <w:kern w:val="0"/>
        </w:rPr>
        <w:lastRenderedPageBreak/>
        <w:t xml:space="preserve">Function, Functions, Heterogeneity, HIV Prevention, Human-Papillomavirus, Interval, Latency, Male, Male Circumcision, Men, Meta Analysis, Meta-Analysis, Metaanalysis, Model, Odds Ratio, Penile Sensitivity, Premature, Premature Ejaculation, Prospective, Prospective Studies, Quality, Quality Of, Randomized-Trial, Review, Satisfaction, Science, Sexual Function, Software, Systematic Review, Topic, Touch Pressure Thresholds, Uganda, Understanding, </w:t>
      </w:r>
      <w:r w:rsidR="00D5664A">
        <w:rPr>
          <w:kern w:val="0"/>
        </w:rPr>
        <w:t>Web</w:t>
      </w:r>
      <w:r w:rsidR="00427468">
        <w:rPr>
          <w:kern w:val="0"/>
        </w:rPr>
        <w:t xml:space="preserve"> of </w:t>
      </w:r>
      <w:r w:rsidR="00D5664A">
        <w:rPr>
          <w:kern w:val="0"/>
        </w:rPr>
        <w:t>Science</w:t>
      </w:r>
    </w:p>
    <w:p w:rsidR="00B21D5F" w:rsidRDefault="00B21D5F" w:rsidP="00B21D5F">
      <w:pPr>
        <w:pStyle w:val="a3"/>
        <w:rPr>
          <w:kern w:val="0"/>
        </w:rPr>
      </w:pPr>
      <w:r>
        <w:rPr>
          <w:rFonts w:hint="eastAsia"/>
          <w:kern w:val="0"/>
        </w:rPr>
        <w:t xml:space="preserve">? </w:t>
      </w:r>
      <w:r>
        <w:rPr>
          <w:kern w:val="0"/>
        </w:rPr>
        <w:t xml:space="preserve">Luo, Y., Gou, X., Huang, P. and Mou, C. (2014), The </w:t>
      </w:r>
      <w:r w:rsidRPr="00B21D5F">
        <w:rPr>
          <w:i/>
          <w:kern w:val="0"/>
        </w:rPr>
        <w:t>PCA</w:t>
      </w:r>
      <w:r>
        <w:rPr>
          <w:kern w:val="0"/>
        </w:rPr>
        <w:t xml:space="preserve">3 test for guiding repeat biopsy of prostate cancer and its cut-off score: A systematic review and meta-analysis. </w:t>
      </w:r>
      <w:r>
        <w:rPr>
          <w:i/>
          <w:iCs/>
          <w:kern w:val="0"/>
        </w:rPr>
        <w:t>Asian Journal of Andrology</w:t>
      </w:r>
      <w:r>
        <w:rPr>
          <w:kern w:val="0"/>
        </w:rPr>
        <w:t xml:space="preserve">, </w:t>
      </w:r>
      <w:r>
        <w:rPr>
          <w:b/>
          <w:bCs/>
          <w:kern w:val="0"/>
        </w:rPr>
        <w:t>16</w:t>
      </w:r>
      <w:r>
        <w:rPr>
          <w:kern w:val="0"/>
        </w:rPr>
        <w:t xml:space="preserve"> (3), 487-492.</w:t>
      </w:r>
    </w:p>
    <w:p w:rsidR="00B21D5F" w:rsidRDefault="00B21D5F" w:rsidP="00B21D5F">
      <w:pPr>
        <w:pStyle w:val="a3"/>
        <w:rPr>
          <w:kern w:val="0"/>
        </w:rPr>
      </w:pPr>
      <w:r>
        <w:rPr>
          <w:kern w:val="0"/>
        </w:rPr>
        <w:t xml:space="preserve">Full Text: </w:t>
      </w:r>
      <w:hyperlink r:id="rId1266" w:history="1">
        <w:r w:rsidRPr="00B21D5F">
          <w:rPr>
            <w:rStyle w:val="a5"/>
            <w:kern w:val="0"/>
          </w:rPr>
          <w:t>2014\Asi J And16, 487.pdf</w:t>
        </w:r>
      </w:hyperlink>
    </w:p>
    <w:p w:rsidR="00B21D5F" w:rsidRDefault="00B21D5F" w:rsidP="00B21D5F">
      <w:pPr>
        <w:pStyle w:val="a3"/>
        <w:rPr>
          <w:kern w:val="0"/>
        </w:rPr>
      </w:pPr>
      <w:r>
        <w:rPr>
          <w:kern w:val="0"/>
        </w:rPr>
        <w:t>Abstract: The specificity of prostate-specific antigen (PSA) for early intervention in repeat biopsy is unsatisfactory. Prostate cancer antigen 3 (PCA3) may be more accurate in outcome prediction than other methods for the early detection of prostate cancer (PCa). However, the results were inconsistent in repeated biopsies</w:t>
      </w:r>
      <w:r w:rsidR="00A37C1D">
        <w:rPr>
          <w:kern w:val="0"/>
        </w:rPr>
        <w:t>. The</w:t>
      </w:r>
      <w:r>
        <w:rPr>
          <w:kern w:val="0"/>
        </w:rPr>
        <w:t>refore, we performed a systematic review and meta-analysis to evaluate the role of PCA3 in outcome prediction. A systematic bibliographic search was conducted for articles published before April 2013, using PubMed, Medline, Web of Science, Embase and other databases from health technology assessment agencies</w:t>
      </w:r>
      <w:r w:rsidR="00A37C1D">
        <w:rPr>
          <w:kern w:val="0"/>
        </w:rPr>
        <w:t>. The</w:t>
      </w:r>
      <w:r>
        <w:rPr>
          <w:kern w:val="0"/>
        </w:rPr>
        <w:t xml:space="preserve"> quality of the studies was assessed on the basis of QUADAS criteria. Eleven studies of diagnostic tests with moderate to high quality were selected. A meta-analysis was carried out to synthesize the results</w:t>
      </w:r>
      <w:r w:rsidR="00A37C1D">
        <w:rPr>
          <w:kern w:val="0"/>
        </w:rPr>
        <w:t>. The</w:t>
      </w:r>
      <w:r>
        <w:rPr>
          <w:kern w:val="0"/>
        </w:rPr>
        <w:t xml:space="preserve"> results of the meta-analyses were heterogeneous among studies. We performed a subgroup analysis (with or without inclusion of high-grade prostatic intraepithelial neoplasia (HGPIN) and atypical small acinar proliferation (ASAP)). Using a PCA3 cutoff of 20 or 35, in the two sub-groups, the global sensitivity values were 0.93 or 0.80 and 0.79 or 0.75, specificities were 0.65 or 0.44 and 0.78 or 0.70, positive likelihood ratios were 1.86 or 1.58 and 2.49 or 1.78, negative likelihood ratios were 0.81 or 0.43 and 0.91 or 0.82 and diagnostic odd ratios (ORs) were 5.73 or 3.45 and 7.13 or 4.11, respectively</w:t>
      </w:r>
      <w:r w:rsidR="00A37C1D">
        <w:rPr>
          <w:kern w:val="0"/>
        </w:rPr>
        <w:t>. The</w:t>
      </w:r>
      <w:r>
        <w:rPr>
          <w:kern w:val="0"/>
        </w:rPr>
        <w:t xml:space="preserve"> areas under the curve (AUCs) of the summary receiver operating characteristic curve were 0.85 or 0.72 and 0.81 or 0.69, respectively. PCA3 can be used for repeat biopsy of the prostate to improve accuracy of PCa detection. Unnecessary biopsies can be avoided by using a PCa cutoff score of 20.</w:t>
      </w:r>
    </w:p>
    <w:p w:rsidR="00B21D5F" w:rsidRDefault="00B21D5F" w:rsidP="00B21D5F">
      <w:pPr>
        <w:pStyle w:val="a3"/>
        <w:rPr>
          <w:kern w:val="0"/>
        </w:rPr>
      </w:pPr>
      <w:r>
        <w:rPr>
          <w:kern w:val="0"/>
        </w:rPr>
        <w:t xml:space="preserve">Keywords: Accuracy, Analysis, Antigen, Articles, Assay, Assessment, Bibliographic, Biopsy, Cancer, Clinical Utility, Cloning, Criteria, Databases, Diagnosis, Diagnostic, Diagnostic Tests, Early Detection, Early Intervention, Gene 3, Global, Health, Health Technology Assessment, Intervention, Medline, Men, Meta Analysis, Meta-Analysis, Metaanalysis, Methods, Molecular Urine Test, Outcome, Outcome Prediction, PCA, PCA3, Prediction, Progression, Proliferation, Prostate Cancer, Pubmed, Quality, Quality Of, Receiver Operating Characteristic Curve, Repeat Biopsy, Review, Role, </w:t>
      </w:r>
      <w:r>
        <w:rPr>
          <w:kern w:val="0"/>
        </w:rPr>
        <w:lastRenderedPageBreak/>
        <w:t>Saturation Biopsy, Science, Sensitivity, Small, Specificity, Systematic, Systematic Review, Technology, Technology Assessment, Web Of Science</w:t>
      </w:r>
    </w:p>
    <w:p w:rsidR="001252B9" w:rsidRDefault="001252B9" w:rsidP="001252B9">
      <w:pPr>
        <w:pStyle w:val="a3"/>
        <w:rPr>
          <w:kern w:val="0"/>
        </w:rPr>
      </w:pPr>
      <w:r>
        <w:rPr>
          <w:rFonts w:hint="eastAsia"/>
          <w:kern w:val="0"/>
        </w:rPr>
        <w:t xml:space="preserve">? </w:t>
      </w:r>
      <w:r>
        <w:rPr>
          <w:kern w:val="0"/>
        </w:rPr>
        <w:t xml:space="preserve">Wang, K., Li, Y., Teng, J.F., Zhou, H.Y., Xu, D.F. and Fan, Y. (2015), Transurethral plasmakinetic resection of the prostate is a reliable minimal invasive technique for benign prostate hyperplasia: A meta-analysis of randomized controlled trials. </w:t>
      </w:r>
      <w:r>
        <w:rPr>
          <w:i/>
          <w:iCs/>
          <w:kern w:val="0"/>
        </w:rPr>
        <w:t>Asian Journal of Andrology</w:t>
      </w:r>
      <w:r>
        <w:rPr>
          <w:kern w:val="0"/>
        </w:rPr>
        <w:t xml:space="preserve">, </w:t>
      </w:r>
      <w:r>
        <w:rPr>
          <w:b/>
          <w:bCs/>
          <w:kern w:val="0"/>
        </w:rPr>
        <w:t>17</w:t>
      </w:r>
      <w:r>
        <w:rPr>
          <w:kern w:val="0"/>
        </w:rPr>
        <w:t xml:space="preserve"> (1), 135-142.</w:t>
      </w:r>
    </w:p>
    <w:p w:rsidR="001252B9" w:rsidRDefault="001252B9" w:rsidP="001252B9">
      <w:pPr>
        <w:pStyle w:val="a3"/>
        <w:rPr>
          <w:kern w:val="0"/>
        </w:rPr>
      </w:pPr>
      <w:r>
        <w:rPr>
          <w:kern w:val="0"/>
        </w:rPr>
        <w:t xml:space="preserve">Full Text: </w:t>
      </w:r>
      <w:hyperlink r:id="rId1267" w:history="1">
        <w:r w:rsidRPr="00111419">
          <w:rPr>
            <w:rStyle w:val="a5"/>
            <w:kern w:val="0"/>
          </w:rPr>
          <w:t>2015\Asi J And17, 135.pdf</w:t>
        </w:r>
      </w:hyperlink>
    </w:p>
    <w:p w:rsidR="001252B9" w:rsidRDefault="001252B9" w:rsidP="001252B9">
      <w:pPr>
        <w:pStyle w:val="a3"/>
        <w:rPr>
          <w:kern w:val="0"/>
        </w:rPr>
      </w:pPr>
      <w:r>
        <w:rPr>
          <w:kern w:val="0"/>
        </w:rPr>
        <w:t>Abstract: To evaluate the efficacy and safety of plasmakinetic resection of the prostate (PKRP) versus transurethral resection of the prostate (TURP) for the treatment of patients with benign prostate hyperplasia (BPH), a meta-analysis of randomized controlled trials was carried out. We searched PubMed, Embase, Web of Science and the Cochrane Library. The pooled estimates of maximum flow rate, International Prostate Symptom Score, operation time, catheterization time, irrigated volume, hospital stay, transurethral resection syndrome, transfusion, clot retention, urinary retention and urinary stricture were assessed. There was no notable difference in International Prostate Symptom Score between TURP and PKRP groups during the 1-month, 3 months, 6 months and 12 months follow-up period, while the pooled Q max at 1-month favored PKRP group. PKRP group was related to a lower risk rate of transurethral resection syndrome, transfusion and clot retention, and the catheterization time and operation time were also shorter than that of TURP. The irrigated volume, length of hospital stay, urinary retention and urinary stricture rate were similar between groups. In conclusion, our study suggests that the PKRP is a reliable minimal invasive technique and may anticipatorily prove to be an alternative electrosurgical procedure for the treatment of BPH.</w:t>
      </w:r>
    </w:p>
    <w:p w:rsidR="001252B9" w:rsidRDefault="001252B9" w:rsidP="001252B9">
      <w:pPr>
        <w:pStyle w:val="a3"/>
        <w:rPr>
          <w:kern w:val="0"/>
        </w:rPr>
      </w:pPr>
      <w:r>
        <w:rPr>
          <w:kern w:val="0"/>
        </w:rPr>
        <w:t>Keywords: 1-Year Follow-Up, Alternative, Benign Prostate Hyperplasia, Bipolar, Catheterization, Clinical-Trials, Complications, Efficacy, Efficacy And Safety, Estimates, Flow, Flow Rate, Follow-Up, Groups, Hospital, Hospital Stay, International, Invasive, Laser, Length, Library, Lower Urinary Tract Symptoms, Management, Men, Meta Analysis, Meta-Analysis, Metaanalysis, Operation, Patients, Plasmakinetic Resection Of Prostate, Procedure, Pubmed, Quality, Randomized, Randomized Controlled Trials, Retention, Risk, Safety, Science, Surgery, Syndrome, Transfusion, Transurethral Resection Of Prostate, Treatment, Turp, Urinary, Urinary Retention, Volume, Web, Web Of Science</w:t>
      </w:r>
    </w:p>
    <w:p w:rsidR="001252B9" w:rsidRPr="001A3D2B" w:rsidRDefault="001252B9" w:rsidP="001252B9">
      <w:pPr>
        <w:pStyle w:val="1"/>
      </w:pPr>
      <w:r w:rsidRPr="001A3D2B">
        <w:br w:type="page"/>
      </w:r>
      <w:bookmarkStart w:id="645" w:name="_Toc420814628"/>
      <w:r w:rsidRPr="001A3D2B">
        <w:lastRenderedPageBreak/>
        <w:t xml:space="preserve">Title: </w:t>
      </w:r>
      <w:r w:rsidRPr="00111419">
        <w:t>Autoimmunity Reviews</w:t>
      </w:r>
      <w:bookmarkEnd w:id="645"/>
    </w:p>
    <w:p w:rsidR="001252B9" w:rsidRPr="001A3D2B" w:rsidRDefault="001252B9" w:rsidP="001252B9">
      <w:pPr>
        <w:pStyle w:val="12"/>
      </w:pPr>
      <w:r w:rsidRPr="001A3D2B">
        <w:t xml:space="preserve">Full Journal Title: </w:t>
      </w:r>
      <w:r w:rsidRPr="00111419">
        <w:rPr>
          <w:iCs/>
          <w:kern w:val="0"/>
        </w:rPr>
        <w:t>Autoimmunity Reviews</w:t>
      </w:r>
    </w:p>
    <w:p w:rsidR="001252B9" w:rsidRPr="001A3D2B" w:rsidRDefault="001252B9" w:rsidP="001252B9">
      <w:pPr>
        <w:pStyle w:val="12"/>
      </w:pPr>
      <w:r w:rsidRPr="001A3D2B">
        <w:t xml:space="preserve">ISO Abbreviated Title: </w:t>
      </w:r>
    </w:p>
    <w:p w:rsidR="001252B9" w:rsidRPr="001A3D2B" w:rsidRDefault="001252B9" w:rsidP="001252B9">
      <w:pPr>
        <w:pStyle w:val="12"/>
      </w:pPr>
      <w:r w:rsidRPr="001A3D2B">
        <w:t xml:space="preserve">JCR Abbreviated Title: </w:t>
      </w:r>
    </w:p>
    <w:p w:rsidR="001252B9" w:rsidRPr="001A3D2B" w:rsidRDefault="001252B9" w:rsidP="001252B9">
      <w:pPr>
        <w:pStyle w:val="12"/>
      </w:pPr>
      <w:r w:rsidRPr="001A3D2B">
        <w:t xml:space="preserve">ISSN: </w:t>
      </w:r>
    </w:p>
    <w:p w:rsidR="001252B9" w:rsidRPr="001A3D2B" w:rsidRDefault="001252B9" w:rsidP="001252B9">
      <w:pPr>
        <w:pStyle w:val="12"/>
      </w:pPr>
      <w:r w:rsidRPr="001A3D2B">
        <w:t xml:space="preserve">Issues/Year: </w:t>
      </w:r>
    </w:p>
    <w:p w:rsidR="001252B9" w:rsidRPr="001A3D2B" w:rsidRDefault="001252B9" w:rsidP="001252B9">
      <w:pPr>
        <w:pStyle w:val="12"/>
      </w:pPr>
      <w:r w:rsidRPr="001A3D2B">
        <w:t xml:space="preserve">Journal Country/Territory: </w:t>
      </w:r>
    </w:p>
    <w:p w:rsidR="001252B9" w:rsidRPr="001A3D2B" w:rsidRDefault="001252B9" w:rsidP="001252B9">
      <w:pPr>
        <w:pStyle w:val="12"/>
      </w:pPr>
      <w:r w:rsidRPr="001A3D2B">
        <w:t xml:space="preserve">Language: </w:t>
      </w:r>
    </w:p>
    <w:p w:rsidR="001252B9" w:rsidRPr="001A3D2B" w:rsidRDefault="001252B9" w:rsidP="001252B9">
      <w:pPr>
        <w:pStyle w:val="12"/>
      </w:pPr>
      <w:r w:rsidRPr="001A3D2B">
        <w:t xml:space="preserve">Publisher: </w:t>
      </w:r>
    </w:p>
    <w:p w:rsidR="001252B9" w:rsidRPr="001A3D2B" w:rsidRDefault="001252B9" w:rsidP="001252B9">
      <w:pPr>
        <w:pStyle w:val="12"/>
      </w:pPr>
      <w:r w:rsidRPr="001A3D2B">
        <w:t xml:space="preserve">Publisher Address: </w:t>
      </w:r>
    </w:p>
    <w:p w:rsidR="001252B9" w:rsidRPr="001A3D2B" w:rsidRDefault="001252B9" w:rsidP="001252B9">
      <w:pPr>
        <w:pStyle w:val="12"/>
      </w:pPr>
      <w:r w:rsidRPr="001A3D2B">
        <w:t>Subject Categories:</w:t>
      </w:r>
    </w:p>
    <w:p w:rsidR="001252B9" w:rsidRPr="001A3D2B" w:rsidRDefault="001252B9" w:rsidP="001252B9">
      <w:pPr>
        <w:pStyle w:val="12"/>
      </w:pPr>
      <w:r w:rsidRPr="001A3D2B">
        <w:t xml:space="preserve">: Impact Factor </w:t>
      </w:r>
    </w:p>
    <w:p w:rsidR="001252B9" w:rsidRDefault="001252B9" w:rsidP="001252B9">
      <w:pPr>
        <w:pStyle w:val="a3"/>
        <w:rPr>
          <w:kern w:val="0"/>
        </w:rPr>
      </w:pPr>
      <w:r>
        <w:rPr>
          <w:rFonts w:hint="eastAsia"/>
          <w:kern w:val="0"/>
        </w:rPr>
        <w:t xml:space="preserve">? </w:t>
      </w:r>
      <w:r>
        <w:rPr>
          <w:kern w:val="0"/>
        </w:rPr>
        <w:t xml:space="preserve">Viall, C.A. and Chamley, L.W. (2015), Histopathology in the placentae of women with antiphospholipid antibodies: A systematic review of the literature. </w:t>
      </w:r>
      <w:r w:rsidRPr="00111419">
        <w:rPr>
          <w:i/>
          <w:iCs/>
          <w:kern w:val="0"/>
        </w:rPr>
        <w:t>Autoimmunity Reviews</w:t>
      </w:r>
      <w:r>
        <w:rPr>
          <w:kern w:val="0"/>
        </w:rPr>
        <w:t xml:space="preserve">, </w:t>
      </w:r>
      <w:r>
        <w:rPr>
          <w:b/>
          <w:bCs/>
          <w:kern w:val="0"/>
        </w:rPr>
        <w:t>14</w:t>
      </w:r>
      <w:r>
        <w:rPr>
          <w:kern w:val="0"/>
        </w:rPr>
        <w:t xml:space="preserve"> (5), 446-471.</w:t>
      </w:r>
    </w:p>
    <w:p w:rsidR="001252B9" w:rsidRDefault="001252B9" w:rsidP="001252B9">
      <w:pPr>
        <w:pStyle w:val="a3"/>
        <w:rPr>
          <w:kern w:val="0"/>
        </w:rPr>
      </w:pPr>
      <w:r>
        <w:rPr>
          <w:rFonts w:hint="eastAsia"/>
          <w:kern w:val="0"/>
        </w:rPr>
        <w:t xml:space="preserve">Full Text: </w:t>
      </w:r>
      <w:hyperlink r:id="rId1268" w:history="1">
        <w:r w:rsidRPr="00111419">
          <w:rPr>
            <w:rStyle w:val="a5"/>
            <w:kern w:val="0"/>
          </w:rPr>
          <w:t>2015\Aut Rev14, 446.pdf</w:t>
        </w:r>
      </w:hyperlink>
    </w:p>
    <w:p w:rsidR="001252B9" w:rsidRDefault="001252B9" w:rsidP="001252B9">
      <w:pPr>
        <w:pStyle w:val="a3"/>
        <w:rPr>
          <w:kern w:val="0"/>
        </w:rPr>
      </w:pPr>
      <w:r>
        <w:rPr>
          <w:kern w:val="0"/>
        </w:rPr>
        <w:t xml:space="preserve">Abstract: Background: Antiphospholipid antibodies (aPLs) are a heterogenous group of autoantibodies associated with recurrent miscarriage, stillbirth, foetal growth restriction and premature birth. The cause of obstetric morbidity in women with aPLs is not completely understood. Workers have attempted to understand the role of aPLs in obstetric morbidity by investigating the histopathology of placentae from aPL-positive women. However, it is unclear from these diverse, and at times contradictory reports what histopathological lesions are common in the placentae of women with aPLs. This systematic review was undertaken to generate a complete picture of the placental features associated with aPLs in an attempt to understand the pathological processes that occur in pregnancies affected by aPLs. Methods: Pubmed, Scopus, Web of Science and Embase were searched on the 27th November 2014 using the keywords “placenta” OR “trophoblast” AND “antiphospholipid antibody” OR “antiphospholipid antibody syndrome”. Records that were relevant and eligible were qualitatively assessed and given a score out of 24. Results: Of the 1112 records that were retrieved from the systematic search, 34 records were eligible for review, and were qualitatively scored. Of the 44 histopathological features that were reported in 580 placentae from aPL-positive women, six features appeared to be more common in the placentae of aPL-positive women compared to control women, including: placental infarction, impaired spiral artery remodelling, decidual inflammation, increased syncytial knots, decreased vasculosyncytial membranes and the deposition of complement split product C4d. Conclusion: Based on the evidence </w:t>
      </w:r>
      <w:r>
        <w:rPr>
          <w:kern w:val="0"/>
        </w:rPr>
        <w:lastRenderedPageBreak/>
        <w:t>in this systematic review, a human placental aPL fingerprint has been proposed. The diversity of the human placental aPL fingerprint suggests that multiple pathological processes may occur in pregnancies affected by aPL. (C) 2015 Elsevier B.V. All rights reserved.</w:t>
      </w:r>
    </w:p>
    <w:p w:rsidR="001252B9" w:rsidRDefault="001252B9" w:rsidP="001252B9">
      <w:pPr>
        <w:pStyle w:val="a3"/>
        <w:rPr>
          <w:kern w:val="0"/>
        </w:rPr>
      </w:pPr>
      <w:r>
        <w:rPr>
          <w:kern w:val="0"/>
        </w:rPr>
        <w:t>Keywords: Annexin-V, Antibodies, Antibody, Anticardiolipin Antibodies, Antiphospholipid Antibodies, Antiphospholipid Antibody, Artery, Attempted, Birth, Complete, Control, Decay-Accelerating Factor, Deposition, Diversity, Evidence, From, Growth, Growth Restriction, Growth-Retardation, Histopathology, Human, In-Vitro, Infarction, Inflammation, Intrauterine Fetal-Death, Literature, Lupus-Erythematosus, Membrane Cofactor Protein, Methods, Miscarriage, Morbidity, Obstetric, Placenta, Pregnancy, Pregnant-Women, Premature, Premature Birth, Records, Recurrent, Recurrent Miscarriage, Results, Review, Rights, Role, Science, Scopus, Stillbirth, Systematic, Systematic Review, Trophoblast, Trophoblast Deportation, Web, Web Of Science, Women</w:t>
      </w:r>
    </w:p>
    <w:p w:rsidR="00231FB9" w:rsidRPr="00F219CA" w:rsidRDefault="00231FB9" w:rsidP="00231FB9">
      <w:pPr>
        <w:pStyle w:val="1"/>
      </w:pPr>
      <w:r w:rsidRPr="00F219CA">
        <w:br w:type="page"/>
      </w:r>
      <w:bookmarkStart w:id="646" w:name="_Toc420814629"/>
      <w:r w:rsidRPr="00F219CA">
        <w:lastRenderedPageBreak/>
        <w:t>Title: Asian Journal</w:t>
      </w:r>
      <w:r w:rsidR="00427468">
        <w:t xml:space="preserve"> of </w:t>
      </w:r>
      <w:r w:rsidRPr="00F219CA">
        <w:t>Chemistry</w:t>
      </w:r>
      <w:bookmarkEnd w:id="646"/>
    </w:p>
    <w:p w:rsidR="00231FB9" w:rsidRPr="00F219CA" w:rsidRDefault="00231FB9" w:rsidP="00231FB9">
      <w:pPr>
        <w:pStyle w:val="12"/>
      </w:pPr>
      <w:r w:rsidRPr="00F219CA">
        <w:t>Full Journal</w:t>
      </w:r>
      <w:bookmarkStart w:id="647" w:name="_Toc281608563"/>
      <w:r w:rsidRPr="00F219CA">
        <w:t xml:space="preserve"> Title: </w:t>
      </w:r>
      <w:r w:rsidR="00206C8A">
        <w:fldChar w:fldCharType="begin"/>
      </w:r>
      <w:r w:rsidR="00FD158B">
        <w:instrText>HYPERLINK "http://www.as</w:instrText>
      </w:r>
      <w:bookmarkEnd w:id="647"/>
      <w:r w:rsidR="00FD158B">
        <w:instrText>ianjournalofchemistry.co.in/"</w:instrText>
      </w:r>
      <w:r w:rsidR="00206C8A">
        <w:fldChar w:fldCharType="separate"/>
      </w:r>
      <w:r w:rsidRPr="00F219CA">
        <w:rPr>
          <w:rStyle w:val="a5"/>
        </w:rPr>
        <w:t>Asian Journal</w:t>
      </w:r>
      <w:r w:rsidR="00427468">
        <w:rPr>
          <w:rStyle w:val="a5"/>
        </w:rPr>
        <w:t xml:space="preserve"> of </w:t>
      </w:r>
      <w:r w:rsidRPr="00F219CA">
        <w:rPr>
          <w:rStyle w:val="a5"/>
        </w:rPr>
        <w:t>Chemistry</w:t>
      </w:r>
      <w:r w:rsidR="00206C8A">
        <w:fldChar w:fldCharType="end"/>
      </w:r>
    </w:p>
    <w:p w:rsidR="00231FB9" w:rsidRPr="006257E2" w:rsidRDefault="00231FB9" w:rsidP="00231FB9">
      <w:pPr>
        <w:pStyle w:val="12"/>
        <w:rPr>
          <w:kern w:val="0"/>
        </w:rPr>
      </w:pPr>
      <w:r w:rsidRPr="006257E2">
        <w:rPr>
          <w:kern w:val="0"/>
        </w:rPr>
        <w:t>ISO</w:t>
      </w:r>
      <w:r>
        <w:rPr>
          <w:kern w:val="0"/>
        </w:rPr>
        <w:t xml:space="preserve"> Abbrev. Title: Asian J. Chem.</w:t>
      </w:r>
    </w:p>
    <w:p w:rsidR="00231FB9" w:rsidRPr="006257E2" w:rsidRDefault="00231FB9" w:rsidP="00231FB9">
      <w:pPr>
        <w:pStyle w:val="12"/>
        <w:rPr>
          <w:kern w:val="0"/>
        </w:rPr>
      </w:pPr>
      <w:r w:rsidRPr="006257E2">
        <w:rPr>
          <w:kern w:val="0"/>
        </w:rPr>
        <w:t>J</w:t>
      </w:r>
      <w:r>
        <w:rPr>
          <w:kern w:val="0"/>
        </w:rPr>
        <w:t>CR Abbrev. Title: Asian J Chem</w:t>
      </w:r>
    </w:p>
    <w:p w:rsidR="00231FB9" w:rsidRPr="006257E2" w:rsidRDefault="00231FB9" w:rsidP="00231FB9">
      <w:pPr>
        <w:pStyle w:val="12"/>
        <w:rPr>
          <w:kern w:val="0"/>
        </w:rPr>
      </w:pPr>
      <w:r>
        <w:rPr>
          <w:kern w:val="0"/>
        </w:rPr>
        <w:t>ISSN: 0970-7077</w:t>
      </w:r>
    </w:p>
    <w:p w:rsidR="00231FB9" w:rsidRPr="006257E2" w:rsidRDefault="00231FB9" w:rsidP="00231FB9">
      <w:pPr>
        <w:pStyle w:val="12"/>
        <w:rPr>
          <w:kern w:val="0"/>
        </w:rPr>
      </w:pPr>
      <w:r>
        <w:rPr>
          <w:kern w:val="0"/>
        </w:rPr>
        <w:t>Issues/Year: 6</w:t>
      </w:r>
    </w:p>
    <w:p w:rsidR="00231FB9" w:rsidRPr="006257E2" w:rsidRDefault="00231FB9" w:rsidP="00231FB9">
      <w:pPr>
        <w:pStyle w:val="12"/>
        <w:rPr>
          <w:kern w:val="0"/>
        </w:rPr>
      </w:pPr>
      <w:r>
        <w:rPr>
          <w:kern w:val="0"/>
        </w:rPr>
        <w:t>Language: English</w:t>
      </w:r>
    </w:p>
    <w:p w:rsidR="00231FB9" w:rsidRPr="006257E2" w:rsidRDefault="00231FB9" w:rsidP="00231FB9">
      <w:pPr>
        <w:pStyle w:val="12"/>
        <w:rPr>
          <w:kern w:val="0"/>
        </w:rPr>
      </w:pPr>
      <w:r w:rsidRPr="006257E2">
        <w:rPr>
          <w:kern w:val="0"/>
        </w:rPr>
        <w:t>Jo</w:t>
      </w:r>
      <w:r>
        <w:rPr>
          <w:kern w:val="0"/>
        </w:rPr>
        <w:t>urnal Country/Territory: India</w:t>
      </w:r>
    </w:p>
    <w:p w:rsidR="00231FB9" w:rsidRPr="006257E2" w:rsidRDefault="00231FB9" w:rsidP="00231FB9">
      <w:pPr>
        <w:pStyle w:val="12"/>
        <w:rPr>
          <w:kern w:val="0"/>
        </w:rPr>
      </w:pPr>
      <w:r w:rsidRPr="006257E2">
        <w:rPr>
          <w:kern w:val="0"/>
        </w:rPr>
        <w:t>Publish</w:t>
      </w:r>
      <w:r>
        <w:rPr>
          <w:kern w:val="0"/>
        </w:rPr>
        <w:t>er: Asian Journal</w:t>
      </w:r>
      <w:r w:rsidR="00427468">
        <w:rPr>
          <w:kern w:val="0"/>
        </w:rPr>
        <w:t xml:space="preserve"> of </w:t>
      </w:r>
      <w:r>
        <w:rPr>
          <w:kern w:val="0"/>
        </w:rPr>
        <w:t>Chemistry</w:t>
      </w:r>
    </w:p>
    <w:p w:rsidR="00231FB9" w:rsidRPr="006257E2" w:rsidRDefault="00231FB9" w:rsidP="00231FB9">
      <w:pPr>
        <w:pStyle w:val="12"/>
        <w:rPr>
          <w:kern w:val="0"/>
        </w:rPr>
      </w:pPr>
      <w:r w:rsidRPr="006257E2">
        <w:rPr>
          <w:kern w:val="0"/>
        </w:rPr>
        <w:t>Publisher Address: 11/100 Rajendra Nagar, Sector 3, Sahib</w:t>
      </w:r>
      <w:r>
        <w:rPr>
          <w:kern w:val="0"/>
        </w:rPr>
        <w:t>abad 201 005, Ghaziabad, India</w:t>
      </w:r>
    </w:p>
    <w:p w:rsidR="00231FB9" w:rsidRDefault="00231FB9" w:rsidP="00231FB9">
      <w:pPr>
        <w:pStyle w:val="12"/>
        <w:rPr>
          <w:kern w:val="0"/>
        </w:rPr>
      </w:pPr>
      <w:r w:rsidRPr="006257E2">
        <w:rPr>
          <w:kern w:val="0"/>
        </w:rPr>
        <w:t>Subject Categories:</w:t>
      </w:r>
    </w:p>
    <w:p w:rsidR="00231FB9" w:rsidRPr="006257E2" w:rsidRDefault="00231FB9" w:rsidP="00231FB9">
      <w:pPr>
        <w:pStyle w:val="12"/>
        <w:rPr>
          <w:kern w:val="0"/>
        </w:rPr>
      </w:pPr>
      <w:r w:rsidRPr="006257E2">
        <w:rPr>
          <w:kern w:val="0"/>
        </w:rPr>
        <w:t>Chemistry, Multidisciplinary</w:t>
      </w:r>
      <w:r>
        <w:rPr>
          <w:rFonts w:hint="eastAsia"/>
          <w:kern w:val="0"/>
        </w:rPr>
        <w:t xml:space="preserve">: </w:t>
      </w:r>
      <w:r w:rsidRPr="00F219CA">
        <w:t>Impact Factor</w:t>
      </w:r>
      <w:r>
        <w:rPr>
          <w:rFonts w:hint="eastAsia"/>
        </w:rPr>
        <w:t xml:space="preserve"> 0.213, 128/140 (2009)</w:t>
      </w:r>
    </w:p>
    <w:p w:rsidR="0060321A" w:rsidRDefault="0060321A" w:rsidP="0060321A">
      <w:pPr>
        <w:pStyle w:val="a3"/>
        <w:rPr>
          <w:kern w:val="0"/>
        </w:rPr>
      </w:pPr>
      <w:r>
        <w:rPr>
          <w:rFonts w:hint="eastAsia"/>
          <w:kern w:val="0"/>
        </w:rPr>
        <w:t xml:space="preserve">? </w:t>
      </w:r>
      <w:r>
        <w:rPr>
          <w:kern w:val="0"/>
        </w:rPr>
        <w:t>Khan, M.A.</w:t>
      </w:r>
      <w:r w:rsidR="005853A9">
        <w:rPr>
          <w:kern w:val="0"/>
        </w:rPr>
        <w:t xml:space="preserve"> and </w:t>
      </w:r>
      <w:r>
        <w:rPr>
          <w:kern w:val="0"/>
        </w:rPr>
        <w:t>Ho, Y.S. (2011), Arsenic in drinking water: A review on toxicological effects, mechanism</w:t>
      </w:r>
      <w:r w:rsidR="00427468">
        <w:rPr>
          <w:kern w:val="0"/>
        </w:rPr>
        <w:t xml:space="preserve"> of </w:t>
      </w:r>
      <w:r>
        <w:rPr>
          <w:kern w:val="0"/>
        </w:rPr>
        <w:t>accumulation</w:t>
      </w:r>
      <w:r w:rsidR="005853A9">
        <w:rPr>
          <w:kern w:val="0"/>
        </w:rPr>
        <w:t xml:space="preserve"> and </w:t>
      </w:r>
      <w:r>
        <w:rPr>
          <w:kern w:val="0"/>
        </w:rPr>
        <w:t xml:space="preserve">remediation. </w:t>
      </w:r>
      <w:r>
        <w:rPr>
          <w:i/>
          <w:iCs/>
          <w:kern w:val="0"/>
        </w:rPr>
        <w:t>Asian Journal</w:t>
      </w:r>
      <w:r w:rsidR="00427468">
        <w:rPr>
          <w:i/>
          <w:iCs/>
          <w:kern w:val="0"/>
        </w:rPr>
        <w:t xml:space="preserve"> of </w:t>
      </w:r>
      <w:r>
        <w:rPr>
          <w:i/>
          <w:iCs/>
          <w:kern w:val="0"/>
        </w:rPr>
        <w:t>Chemistry</w:t>
      </w:r>
      <w:r>
        <w:rPr>
          <w:kern w:val="0"/>
        </w:rPr>
        <w:t xml:space="preserve">, </w:t>
      </w:r>
      <w:r>
        <w:rPr>
          <w:b/>
          <w:bCs/>
          <w:kern w:val="0"/>
        </w:rPr>
        <w:t>23</w:t>
      </w:r>
      <w:r>
        <w:rPr>
          <w:kern w:val="0"/>
        </w:rPr>
        <w:t xml:space="preserve"> (5), 1889-1901.</w:t>
      </w:r>
    </w:p>
    <w:p w:rsidR="001B36F3" w:rsidRDefault="001B36F3" w:rsidP="00231FB9">
      <w:pPr>
        <w:pStyle w:val="a3"/>
      </w:pPr>
      <w:r w:rsidRPr="007C0D75">
        <w:rPr>
          <w:kern w:val="0"/>
        </w:rPr>
        <w:t>Full Text:</w:t>
      </w:r>
      <w:r>
        <w:rPr>
          <w:rFonts w:hint="eastAsia"/>
          <w:kern w:val="0"/>
        </w:rPr>
        <w:t xml:space="preserve"> </w:t>
      </w:r>
      <w:hyperlink r:id="rId1269" w:history="1">
        <w:r w:rsidRPr="00AC2227">
          <w:rPr>
            <w:rStyle w:val="a5"/>
            <w:kern w:val="0"/>
          </w:rPr>
          <w:t>2011\Asi J Che23, 1889.pdf</w:t>
        </w:r>
      </w:hyperlink>
      <w:r>
        <w:rPr>
          <w:rFonts w:hint="eastAsia"/>
        </w:rPr>
        <w:t>;</w:t>
      </w:r>
      <w:r w:rsidRPr="007C0D75">
        <w:t xml:space="preserve"> </w:t>
      </w:r>
      <w:hyperlink r:id="rId1270" w:history="1">
        <w:r w:rsidRPr="00F53A8A">
          <w:rPr>
            <w:rStyle w:val="a5"/>
          </w:rPr>
          <w:t>2011\Asi J Che-Khan.pdf</w:t>
        </w:r>
      </w:hyperlink>
      <w:r>
        <w:rPr>
          <w:rFonts w:hint="eastAsia"/>
        </w:rPr>
        <w:t xml:space="preserve">; </w:t>
      </w:r>
      <w:hyperlink r:id="rId1271" w:history="1">
        <w:r w:rsidRPr="008879E5">
          <w:rPr>
            <w:rStyle w:val="a5"/>
          </w:rPr>
          <w:t>2011\Asi J Che-Khan-1.pdf</w:t>
        </w:r>
      </w:hyperlink>
    </w:p>
    <w:p w:rsidR="0060321A" w:rsidRDefault="0060321A" w:rsidP="0060321A">
      <w:pPr>
        <w:pStyle w:val="a3"/>
        <w:rPr>
          <w:kern w:val="0"/>
        </w:rPr>
      </w:pPr>
      <w:r>
        <w:rPr>
          <w:kern w:val="0"/>
        </w:rPr>
        <w:t>Abstract:</w:t>
      </w:r>
      <w:r w:rsidR="003A1917">
        <w:rPr>
          <w:kern w:val="0"/>
        </w:rPr>
        <w:t xml:space="preserve"> the </w:t>
      </w:r>
      <w:r>
        <w:rPr>
          <w:kern w:val="0"/>
        </w:rPr>
        <w:t>aim</w:t>
      </w:r>
      <w:r w:rsidR="00427468">
        <w:rPr>
          <w:kern w:val="0"/>
        </w:rPr>
        <w:t xml:space="preserve"> of </w:t>
      </w:r>
      <w:r>
        <w:rPr>
          <w:kern w:val="0"/>
        </w:rPr>
        <w:t>this review article is to bring out</w:t>
      </w:r>
      <w:r w:rsidR="003A1917">
        <w:rPr>
          <w:kern w:val="0"/>
        </w:rPr>
        <w:t xml:space="preserve"> the </w:t>
      </w:r>
      <w:r>
        <w:rPr>
          <w:kern w:val="0"/>
        </w:rPr>
        <w:t>toxicological effects caused by arsenic on</w:t>
      </w:r>
      <w:r w:rsidR="003A1917">
        <w:rPr>
          <w:kern w:val="0"/>
        </w:rPr>
        <w:t xml:space="preserve"> the </w:t>
      </w:r>
      <w:r>
        <w:rPr>
          <w:kern w:val="0"/>
        </w:rPr>
        <w:t>biological systems. Drinking water is</w:t>
      </w:r>
      <w:r w:rsidR="003A1917">
        <w:rPr>
          <w:kern w:val="0"/>
        </w:rPr>
        <w:t xml:space="preserve"> the </w:t>
      </w:r>
      <w:r>
        <w:rPr>
          <w:kern w:val="0"/>
        </w:rPr>
        <w:t>major direct source</w:t>
      </w:r>
      <w:r w:rsidR="00427468">
        <w:rPr>
          <w:kern w:val="0"/>
        </w:rPr>
        <w:t xml:space="preserve"> of </w:t>
      </w:r>
      <w:r>
        <w:rPr>
          <w:kern w:val="0"/>
        </w:rPr>
        <w:t>arsenic exposure by general population</w:t>
      </w:r>
      <w:r w:rsidR="00A37C1D">
        <w:rPr>
          <w:kern w:val="0"/>
        </w:rPr>
        <w:t>. The</w:t>
      </w:r>
      <w:r w:rsidR="003A1917">
        <w:rPr>
          <w:kern w:val="0"/>
        </w:rPr>
        <w:t xml:space="preserve"> </w:t>
      </w:r>
      <w:r>
        <w:rPr>
          <w:kern w:val="0"/>
        </w:rPr>
        <w:t>two predominant species</w:t>
      </w:r>
      <w:r w:rsidR="00427468">
        <w:rPr>
          <w:kern w:val="0"/>
        </w:rPr>
        <w:t xml:space="preserve"> of </w:t>
      </w:r>
      <w:r>
        <w:rPr>
          <w:kern w:val="0"/>
        </w:rPr>
        <w:t>arsenic are arsenate [As(V)]</w:t>
      </w:r>
      <w:r w:rsidR="005853A9">
        <w:rPr>
          <w:kern w:val="0"/>
        </w:rPr>
        <w:t xml:space="preserve"> and </w:t>
      </w:r>
      <w:r>
        <w:rPr>
          <w:kern w:val="0"/>
        </w:rPr>
        <w:t>arsenite [As(III)]. Arsenite is much more toxic</w:t>
      </w:r>
      <w:r w:rsidR="00A37C1D">
        <w:rPr>
          <w:kern w:val="0"/>
        </w:rPr>
        <w:t>. The</w:t>
      </w:r>
      <w:r w:rsidR="003A1917">
        <w:rPr>
          <w:kern w:val="0"/>
        </w:rPr>
        <w:t xml:space="preserve"> </w:t>
      </w:r>
      <w:r>
        <w:rPr>
          <w:kern w:val="0"/>
        </w:rPr>
        <w:t>review covers a bibliometric analysis</w:t>
      </w:r>
      <w:r w:rsidR="00427468">
        <w:rPr>
          <w:kern w:val="0"/>
        </w:rPr>
        <w:t xml:space="preserve"> of </w:t>
      </w:r>
      <w:r>
        <w:rPr>
          <w:kern w:val="0"/>
        </w:rPr>
        <w:t>drinking water from 1991 to 2008 covering 2,299 publications on</w:t>
      </w:r>
      <w:r w:rsidR="003A1917">
        <w:rPr>
          <w:kern w:val="0"/>
        </w:rPr>
        <w:t xml:space="preserve"> the </w:t>
      </w:r>
      <w:r>
        <w:rPr>
          <w:kern w:val="0"/>
        </w:rPr>
        <w:t>subject</w:t>
      </w:r>
      <w:r w:rsidR="00A37C1D">
        <w:rPr>
          <w:kern w:val="0"/>
        </w:rPr>
        <w:t>. The</w:t>
      </w:r>
      <w:r w:rsidR="003A1917">
        <w:rPr>
          <w:kern w:val="0"/>
        </w:rPr>
        <w:t xml:space="preserve"> </w:t>
      </w:r>
      <w:r>
        <w:rPr>
          <w:kern w:val="0"/>
        </w:rPr>
        <w:t>data source</w:t>
      </w:r>
      <w:r w:rsidR="005853A9">
        <w:rPr>
          <w:kern w:val="0"/>
        </w:rPr>
        <w:t xml:space="preserve"> and </w:t>
      </w:r>
      <w:r>
        <w:rPr>
          <w:kern w:val="0"/>
        </w:rPr>
        <w:t>case study section highlights</w:t>
      </w:r>
      <w:r w:rsidR="003A1917">
        <w:rPr>
          <w:kern w:val="0"/>
        </w:rPr>
        <w:t xml:space="preserve"> the </w:t>
      </w:r>
      <w:r>
        <w:rPr>
          <w:kern w:val="0"/>
        </w:rPr>
        <w:t>historical</w:t>
      </w:r>
      <w:r w:rsidR="005853A9">
        <w:rPr>
          <w:kern w:val="0"/>
        </w:rPr>
        <w:t xml:space="preserve"> and </w:t>
      </w:r>
      <w:r>
        <w:rPr>
          <w:kern w:val="0"/>
        </w:rPr>
        <w:t>present evidences</w:t>
      </w:r>
      <w:r w:rsidR="00427468">
        <w:rPr>
          <w:kern w:val="0"/>
        </w:rPr>
        <w:t xml:space="preserve"> of </w:t>
      </w:r>
      <w:r>
        <w:rPr>
          <w:kern w:val="0"/>
        </w:rPr>
        <w:t>arsenic toxicity</w:t>
      </w:r>
      <w:r w:rsidR="00A37C1D">
        <w:rPr>
          <w:kern w:val="0"/>
        </w:rPr>
        <w:t>. The</w:t>
      </w:r>
      <w:r w:rsidR="003A1917">
        <w:rPr>
          <w:kern w:val="0"/>
        </w:rPr>
        <w:t xml:space="preserve"> </w:t>
      </w:r>
      <w:r>
        <w:rPr>
          <w:kern w:val="0"/>
        </w:rPr>
        <w:t>effect</w:t>
      </w:r>
      <w:r w:rsidR="00427468">
        <w:rPr>
          <w:kern w:val="0"/>
        </w:rPr>
        <w:t xml:space="preserve"> of </w:t>
      </w:r>
      <w:r>
        <w:rPr>
          <w:kern w:val="0"/>
        </w:rPr>
        <w:t>toxicity, biomarkers</w:t>
      </w:r>
      <w:r w:rsidR="00427468">
        <w:rPr>
          <w:kern w:val="0"/>
        </w:rPr>
        <w:t xml:space="preserve"> of </w:t>
      </w:r>
      <w:r>
        <w:rPr>
          <w:kern w:val="0"/>
        </w:rPr>
        <w:t>arsenic toxicity</w:t>
      </w:r>
      <w:r w:rsidR="005853A9">
        <w:rPr>
          <w:kern w:val="0"/>
        </w:rPr>
        <w:t xml:space="preserve"> and </w:t>
      </w:r>
      <w:r w:rsidR="003A1917">
        <w:rPr>
          <w:kern w:val="0"/>
        </w:rPr>
        <w:t xml:space="preserve">the </w:t>
      </w:r>
      <w:r>
        <w:rPr>
          <w:kern w:val="0"/>
        </w:rPr>
        <w:t>mechanism</w:t>
      </w:r>
      <w:r w:rsidR="00427468">
        <w:rPr>
          <w:kern w:val="0"/>
        </w:rPr>
        <w:t xml:space="preserve"> of </w:t>
      </w:r>
      <w:r>
        <w:rPr>
          <w:kern w:val="0"/>
        </w:rPr>
        <w:t>arsenic toxicity on plants</w:t>
      </w:r>
      <w:r w:rsidR="005853A9">
        <w:rPr>
          <w:kern w:val="0"/>
        </w:rPr>
        <w:t xml:space="preserve"> and </w:t>
      </w:r>
      <w:r>
        <w:rPr>
          <w:kern w:val="0"/>
        </w:rPr>
        <w:t>animals</w:t>
      </w:r>
      <w:r w:rsidR="005853A9">
        <w:rPr>
          <w:kern w:val="0"/>
        </w:rPr>
        <w:t xml:space="preserve"> and </w:t>
      </w:r>
      <w:r>
        <w:rPr>
          <w:kern w:val="0"/>
        </w:rPr>
        <w:t>sources</w:t>
      </w:r>
      <w:r w:rsidR="00427468">
        <w:rPr>
          <w:kern w:val="0"/>
        </w:rPr>
        <w:t xml:space="preserve"> of </w:t>
      </w:r>
      <w:r>
        <w:rPr>
          <w:kern w:val="0"/>
        </w:rPr>
        <w:t>remediation; are well reported in</w:t>
      </w:r>
      <w:r w:rsidR="003A1917">
        <w:rPr>
          <w:kern w:val="0"/>
        </w:rPr>
        <w:t xml:space="preserve"> the </w:t>
      </w:r>
      <w:r>
        <w:rPr>
          <w:kern w:val="0"/>
        </w:rPr>
        <w:t>article. Lastly various treatment technologies to minimize or remove arsenic are reported.</w:t>
      </w:r>
    </w:p>
    <w:p w:rsidR="0060321A" w:rsidRDefault="0060321A" w:rsidP="0060321A">
      <w:pPr>
        <w:pStyle w:val="a3"/>
        <w:rPr>
          <w:kern w:val="0"/>
        </w:rPr>
      </w:pPr>
      <w:r>
        <w:rPr>
          <w:kern w:val="0"/>
        </w:rPr>
        <w:t>Keywords: Activated Carbon, Analysis, Animals, Arsenate, Arsenic, Arsenite, Bibliometric, Bibliometric Analysis, Bibliometrie Analysis, Biological, Biomarkers, Case Study, Data, Drinking Water, Enhanced Adsorption, Exposure, General, Granular Ferric Hydroxide, In-Vitro, Induced Oxidative Stress, Induced Toxicity, Mechanism, Middle Ganga Plain, Monomethylarsonous Acid M</w:t>
      </w:r>
      <w:r w:rsidR="006028E9">
        <w:rPr>
          <w:kern w:val="0"/>
        </w:rPr>
        <w:t>MA</w:t>
      </w:r>
      <w:r>
        <w:rPr>
          <w:kern w:val="0"/>
        </w:rPr>
        <w:t>(III), Plants, Population, Publications, Remediation, Review, Skin-Lesions, Source, Sources, Species, Systems, Technologies, Toxic, Toxicity, Treatment, Water, West-Bengal</w:t>
      </w:r>
    </w:p>
    <w:p w:rsidR="00674097" w:rsidRDefault="00674097" w:rsidP="00674097">
      <w:pPr>
        <w:pStyle w:val="a3"/>
        <w:rPr>
          <w:kern w:val="0"/>
        </w:rPr>
      </w:pPr>
      <w:r>
        <w:rPr>
          <w:rFonts w:hint="eastAsia"/>
          <w:kern w:val="0"/>
        </w:rPr>
        <w:t xml:space="preserve">? </w:t>
      </w:r>
      <w:r>
        <w:rPr>
          <w:kern w:val="0"/>
        </w:rPr>
        <w:t>Kim, H.T.</w:t>
      </w:r>
      <w:r w:rsidR="005853A9">
        <w:rPr>
          <w:kern w:val="0"/>
        </w:rPr>
        <w:t xml:space="preserve"> and </w:t>
      </w:r>
      <w:r>
        <w:rPr>
          <w:kern w:val="0"/>
        </w:rPr>
        <w:t>Kil, S.C. (2013), Scientometric analysis</w:t>
      </w:r>
      <w:r w:rsidR="00427468">
        <w:rPr>
          <w:kern w:val="0"/>
        </w:rPr>
        <w:t xml:space="preserve"> of </w:t>
      </w:r>
      <w:r>
        <w:rPr>
          <w:kern w:val="0"/>
        </w:rPr>
        <w:t xml:space="preserve">multifunctional flux cored welding wire. </w:t>
      </w:r>
      <w:r>
        <w:rPr>
          <w:i/>
          <w:iCs/>
          <w:kern w:val="0"/>
        </w:rPr>
        <w:t>Asian Journal</w:t>
      </w:r>
      <w:r w:rsidR="00427468">
        <w:rPr>
          <w:i/>
          <w:iCs/>
          <w:kern w:val="0"/>
        </w:rPr>
        <w:t xml:space="preserve"> of </w:t>
      </w:r>
      <w:r>
        <w:rPr>
          <w:i/>
          <w:iCs/>
          <w:kern w:val="0"/>
        </w:rPr>
        <w:t>Chemistry</w:t>
      </w:r>
      <w:r>
        <w:rPr>
          <w:kern w:val="0"/>
        </w:rPr>
        <w:t xml:space="preserve">, </w:t>
      </w:r>
      <w:r>
        <w:rPr>
          <w:b/>
          <w:bCs/>
          <w:kern w:val="0"/>
        </w:rPr>
        <w:t>25</w:t>
      </w:r>
      <w:r>
        <w:rPr>
          <w:kern w:val="0"/>
        </w:rPr>
        <w:t xml:space="preserve"> (10), 5724-5726.</w:t>
      </w:r>
    </w:p>
    <w:p w:rsidR="00674097" w:rsidRPr="007D79E8" w:rsidRDefault="00674097" w:rsidP="00674097">
      <w:pPr>
        <w:pStyle w:val="a3"/>
      </w:pPr>
      <w:r w:rsidRPr="007D79E8">
        <w:lastRenderedPageBreak/>
        <w:t xml:space="preserve">Full Text: </w:t>
      </w:r>
      <w:r w:rsidRPr="00096798">
        <w:t>2013\</w:t>
      </w:r>
      <w:r w:rsidRPr="0057747C">
        <w:t xml:space="preserve">Asi J Che25, </w:t>
      </w:r>
      <w:r>
        <w:rPr>
          <w:kern w:val="0"/>
        </w:rPr>
        <w:t>5724</w:t>
      </w:r>
      <w:r w:rsidRPr="00096798">
        <w:t>.pdf</w:t>
      </w:r>
    </w:p>
    <w:p w:rsidR="00674097" w:rsidRDefault="00674097" w:rsidP="00674097">
      <w:pPr>
        <w:pStyle w:val="a3"/>
        <w:rPr>
          <w:kern w:val="0"/>
        </w:rPr>
      </w:pPr>
      <w:r>
        <w:rPr>
          <w:kern w:val="0"/>
        </w:rPr>
        <w:t>Abstract: The flux cored arc welding which uses a tubular electrode containing a flux rather than a solid electrode</w:t>
      </w:r>
      <w:r w:rsidR="005853A9">
        <w:rPr>
          <w:kern w:val="0"/>
        </w:rPr>
        <w:t xml:space="preserve"> and </w:t>
      </w:r>
      <w:r>
        <w:rPr>
          <w:kern w:val="0"/>
        </w:rPr>
        <w:t>which is a type</w:t>
      </w:r>
      <w:r w:rsidR="00427468">
        <w:rPr>
          <w:kern w:val="0"/>
        </w:rPr>
        <w:t xml:space="preserve"> of </w:t>
      </w:r>
      <w:r>
        <w:rPr>
          <w:kern w:val="0"/>
        </w:rPr>
        <w:t>semi-automatic arc welding process is widely used in the welding</w:t>
      </w:r>
      <w:r w:rsidR="00427468">
        <w:rPr>
          <w:kern w:val="0"/>
        </w:rPr>
        <w:t xml:space="preserve"> of </w:t>
      </w:r>
      <w:r>
        <w:rPr>
          <w:kern w:val="0"/>
        </w:rPr>
        <w:t>ships, offshore structures, steel structural building. As flux cored arc welding in the modern industries is placing stringent demands on the manufacturing techniques</w:t>
      </w:r>
      <w:r w:rsidR="005853A9">
        <w:rPr>
          <w:kern w:val="0"/>
        </w:rPr>
        <w:t xml:space="preserve"> and </w:t>
      </w:r>
      <w:r>
        <w:rPr>
          <w:kern w:val="0"/>
        </w:rPr>
        <w:t>performance requirements, the multifunctional flux cored welding wires with high quality</w:t>
      </w:r>
      <w:r w:rsidR="005853A9">
        <w:rPr>
          <w:kern w:val="0"/>
        </w:rPr>
        <w:t xml:space="preserve"> and </w:t>
      </w:r>
      <w:r>
        <w:rPr>
          <w:kern w:val="0"/>
        </w:rPr>
        <w:t>efficiency are developed for the production</w:t>
      </w:r>
      <w:r w:rsidR="00427468">
        <w:rPr>
          <w:kern w:val="0"/>
        </w:rPr>
        <w:t xml:space="preserve"> of </w:t>
      </w:r>
      <w:r>
        <w:rPr>
          <w:kern w:val="0"/>
        </w:rPr>
        <w:t>good welds</w:t>
      </w:r>
      <w:r w:rsidR="005853A9">
        <w:rPr>
          <w:kern w:val="0"/>
        </w:rPr>
        <w:t xml:space="preserve"> and </w:t>
      </w:r>
      <w:r>
        <w:rPr>
          <w:kern w:val="0"/>
        </w:rPr>
        <w:t>this has led to an increasing attention in the development</w:t>
      </w:r>
      <w:r w:rsidR="00427468">
        <w:rPr>
          <w:kern w:val="0"/>
        </w:rPr>
        <w:t xml:space="preserve"> of </w:t>
      </w:r>
      <w:r>
        <w:rPr>
          <w:kern w:val="0"/>
        </w:rPr>
        <w:t>multifunctional flux cored welding wires. This paper covers the scientometric analysis</w:t>
      </w:r>
      <w:r w:rsidR="00427468">
        <w:rPr>
          <w:kern w:val="0"/>
        </w:rPr>
        <w:t xml:space="preserve"> of </w:t>
      </w:r>
      <w:r>
        <w:rPr>
          <w:kern w:val="0"/>
        </w:rPr>
        <w:t xml:space="preserve">the multifunctional flux cored welding wires which is based on the published research works in the </w:t>
      </w:r>
      <w:r w:rsidR="00700038">
        <w:rPr>
          <w:kern w:val="0"/>
        </w:rPr>
        <w:t>‘</w:t>
      </w:r>
      <w:r>
        <w:rPr>
          <w:kern w:val="0"/>
        </w:rPr>
        <w:t>flux cored welding wires</w:t>
      </w:r>
      <w:r w:rsidR="00700038">
        <w:rPr>
          <w:kern w:val="0"/>
        </w:rPr>
        <w:t>’</w:t>
      </w:r>
      <w:r>
        <w:rPr>
          <w:kern w:val="0"/>
        </w:rPr>
        <w:t xml:space="preserve"> obtained from the Korea Institute</w:t>
      </w:r>
      <w:r w:rsidR="00427468">
        <w:rPr>
          <w:kern w:val="0"/>
        </w:rPr>
        <w:t xml:space="preserve"> of </w:t>
      </w:r>
      <w:r>
        <w:rPr>
          <w:kern w:val="0"/>
        </w:rPr>
        <w:t>Science</w:t>
      </w:r>
      <w:r w:rsidR="005853A9">
        <w:rPr>
          <w:kern w:val="0"/>
        </w:rPr>
        <w:t xml:space="preserve"> and </w:t>
      </w:r>
      <w:r>
        <w:rPr>
          <w:kern w:val="0"/>
        </w:rPr>
        <w:t>Technology Information</w:t>
      </w:r>
      <w:r w:rsidR="00700038">
        <w:rPr>
          <w:kern w:val="0"/>
        </w:rPr>
        <w:t>’</w:t>
      </w:r>
      <w:r>
        <w:rPr>
          <w:kern w:val="0"/>
        </w:rPr>
        <w:t xml:space="preserve">s database, </w:t>
      </w:r>
      <w:r w:rsidR="00D5664A">
        <w:rPr>
          <w:kern w:val="0"/>
        </w:rPr>
        <w:t>Web</w:t>
      </w:r>
      <w:r w:rsidR="00427468">
        <w:rPr>
          <w:kern w:val="0"/>
        </w:rPr>
        <w:t xml:space="preserve"> of </w:t>
      </w:r>
      <w:r w:rsidR="00D5664A">
        <w:rPr>
          <w:kern w:val="0"/>
        </w:rPr>
        <w:t>Science</w:t>
      </w:r>
      <w:r>
        <w:rPr>
          <w:kern w:val="0"/>
        </w:rPr>
        <w:t xml:space="preserve"> System</w:t>
      </w:r>
      <w:r w:rsidR="005853A9">
        <w:rPr>
          <w:kern w:val="0"/>
        </w:rPr>
        <w:t xml:space="preserve"> and </w:t>
      </w:r>
      <w:r>
        <w:rPr>
          <w:kern w:val="0"/>
        </w:rPr>
        <w:t>deals with the details</w:t>
      </w:r>
      <w:r w:rsidR="00427468">
        <w:rPr>
          <w:kern w:val="0"/>
        </w:rPr>
        <w:t xml:space="preserve"> of </w:t>
      </w:r>
      <w:r>
        <w:rPr>
          <w:kern w:val="0"/>
        </w:rPr>
        <w:t>the background data</w:t>
      </w:r>
      <w:r w:rsidR="00427468">
        <w:rPr>
          <w:kern w:val="0"/>
        </w:rPr>
        <w:t xml:space="preserve"> of </w:t>
      </w:r>
      <w:r>
        <w:rPr>
          <w:kern w:val="0"/>
        </w:rPr>
        <w:t>the flux cored welding wire technology.</w:t>
      </w:r>
    </w:p>
    <w:p w:rsidR="00674097" w:rsidRDefault="00674097" w:rsidP="00674097">
      <w:pPr>
        <w:pStyle w:val="a3"/>
        <w:rPr>
          <w:kern w:val="0"/>
        </w:rPr>
      </w:pPr>
      <w:r>
        <w:rPr>
          <w:kern w:val="0"/>
        </w:rPr>
        <w:t>Keywords: Analysis, Attention, Building, Data, Database, Development, Efficiency, Flux, Flux Cored Arc Welding, Korea, Manufacturing, Methologist, Multifunctional, Multifunctional Flux Cored Welding Wire, Performance, Quality, Research, Science, Scientometric, Scientometric Analysis, Source</w:t>
      </w:r>
      <w:r w:rsidR="00427468">
        <w:rPr>
          <w:kern w:val="0"/>
        </w:rPr>
        <w:t xml:space="preserve"> of </w:t>
      </w:r>
      <w:r>
        <w:rPr>
          <w:kern w:val="0"/>
        </w:rPr>
        <w:t xml:space="preserve">Data, Techniques, Technology, </w:t>
      </w:r>
      <w:r w:rsidR="00D5664A">
        <w:rPr>
          <w:kern w:val="0"/>
        </w:rPr>
        <w:t>Web</w:t>
      </w:r>
      <w:r w:rsidR="00427468">
        <w:rPr>
          <w:kern w:val="0"/>
        </w:rPr>
        <w:t xml:space="preserve"> of </w:t>
      </w:r>
      <w:r w:rsidR="00D5664A">
        <w:rPr>
          <w:kern w:val="0"/>
        </w:rPr>
        <w:t>Science</w:t>
      </w:r>
    </w:p>
    <w:p w:rsidR="001D3A71" w:rsidRDefault="001D3A71" w:rsidP="001D3A71">
      <w:pPr>
        <w:pStyle w:val="a3"/>
        <w:rPr>
          <w:kern w:val="0"/>
        </w:rPr>
      </w:pPr>
      <w:r>
        <w:rPr>
          <w:kern w:val="0"/>
        </w:rPr>
        <w:t xml:space="preserve">? Kim, J.H., Noh, K.R., Yoo, J.Y. and Kil, S.C. (2014), Competitiveness analysis of institutes on biomedical magnesium alloys. </w:t>
      </w:r>
      <w:r>
        <w:rPr>
          <w:i/>
          <w:iCs/>
          <w:kern w:val="0"/>
        </w:rPr>
        <w:t>Asian Journal of Chemistry</w:t>
      </w:r>
      <w:r>
        <w:rPr>
          <w:kern w:val="0"/>
        </w:rPr>
        <w:t xml:space="preserve">, </w:t>
      </w:r>
      <w:r>
        <w:rPr>
          <w:b/>
          <w:bCs/>
          <w:kern w:val="0"/>
        </w:rPr>
        <w:t>26</w:t>
      </w:r>
      <w:r>
        <w:rPr>
          <w:kern w:val="0"/>
        </w:rPr>
        <w:t xml:space="preserve"> (5), 1306-1308.</w:t>
      </w:r>
    </w:p>
    <w:p w:rsidR="001D3A71" w:rsidRPr="007D79E8" w:rsidRDefault="001D3A71" w:rsidP="001D3A71">
      <w:pPr>
        <w:pStyle w:val="a3"/>
      </w:pPr>
      <w:r w:rsidRPr="007D79E8">
        <w:t xml:space="preserve">Full Text: </w:t>
      </w:r>
      <w:r w:rsidRPr="00096798">
        <w:t>201</w:t>
      </w:r>
      <w:r>
        <w:t>4</w:t>
      </w:r>
      <w:r w:rsidRPr="00096798">
        <w:t>\</w:t>
      </w:r>
      <w:r w:rsidRPr="0057747C">
        <w:t>Asi J Che2</w:t>
      </w:r>
      <w:r>
        <w:t>6</w:t>
      </w:r>
      <w:r w:rsidRPr="0057747C">
        <w:t xml:space="preserve">, </w:t>
      </w:r>
      <w:r>
        <w:rPr>
          <w:kern w:val="0"/>
        </w:rPr>
        <w:t>1306</w:t>
      </w:r>
      <w:r w:rsidRPr="00096798">
        <w:t>.pdf</w:t>
      </w:r>
    </w:p>
    <w:p w:rsidR="001D3A71" w:rsidRDefault="001D3A71" w:rsidP="001D3A71">
      <w:pPr>
        <w:pStyle w:val="a3"/>
        <w:rPr>
          <w:kern w:val="0"/>
        </w:rPr>
      </w:pPr>
      <w:r>
        <w:rPr>
          <w:kern w:val="0"/>
        </w:rPr>
        <w:t>Abstract: Recently, the interest in biomedical magnesium alloys has been increased. In this paper, to understand biomedical magnesium alloys research and development trends, we investigated total 590 research papers published from 2001 to 2012</w:t>
      </w:r>
      <w:r w:rsidR="00A37C1D">
        <w:rPr>
          <w:kern w:val="0"/>
        </w:rPr>
        <w:t>. The</w:t>
      </w:r>
      <w:r>
        <w:rPr>
          <w:kern w:val="0"/>
        </w:rPr>
        <w:t>se papers were published by 437 institutes of 39 countries</w:t>
      </w:r>
      <w:r w:rsidR="00A37C1D">
        <w:rPr>
          <w:kern w:val="0"/>
        </w:rPr>
        <w:t>. The</w:t>
      </w:r>
      <w:r>
        <w:rPr>
          <w:kern w:val="0"/>
        </w:rPr>
        <w:t xml:space="preserve"> biomedical magnesium alloys study had significantly increased since the late 2000</w:t>
      </w:r>
      <w:r w:rsidR="00700038">
        <w:rPr>
          <w:kern w:val="0"/>
        </w:rPr>
        <w:t>’</w:t>
      </w:r>
      <w:r>
        <w:rPr>
          <w:kern w:val="0"/>
        </w:rPr>
        <w:t>s. Hannover Med. Sch.(4.4) and Monash Univ.(3.2) had the highest Q(1) (index level of paper quality) and Q(2) (strength of international collaboration) value, respectively. Main research topics were biodegradation, biocompatibility, biomaterials, biodegradable materials, biodegradable stents, bioactivity, bio-corrosion and in vitro.</w:t>
      </w:r>
    </w:p>
    <w:p w:rsidR="001D3A71" w:rsidRDefault="001D3A71" w:rsidP="001D3A71">
      <w:pPr>
        <w:pStyle w:val="a3"/>
        <w:rPr>
          <w:kern w:val="0"/>
        </w:rPr>
      </w:pPr>
      <w:r>
        <w:rPr>
          <w:kern w:val="0"/>
        </w:rPr>
        <w:t>Keywords: Alloys, Analysis, Bioactivity, Biocompatibility, Biodegradable Materials, Biodegradation, Biomaterials, Biomedical, Collaboration, Corrosion, Development, In Vitro, Index, International, International Collaboration, Magnesium, Magnesium Alloys, Mar, Mechanical-Properties, Papers, Quality, R&amp;D Trend, Research, Research And Development, Scientometric Analysis, Stents, Strength, Trends, Value</w:t>
      </w:r>
    </w:p>
    <w:p w:rsidR="001D3A71" w:rsidRDefault="001D3A71" w:rsidP="001D3A71">
      <w:pPr>
        <w:pStyle w:val="a3"/>
        <w:rPr>
          <w:kern w:val="0"/>
        </w:rPr>
      </w:pPr>
      <w:r>
        <w:rPr>
          <w:kern w:val="0"/>
        </w:rPr>
        <w:t xml:space="preserve">? Kim, J.H., Noh, K.R., Kwon, O.J., Choi, S.B. and Kil, S.C. (2014), Scientometric evaluation of research on bioceramics. </w:t>
      </w:r>
      <w:r>
        <w:rPr>
          <w:i/>
          <w:iCs/>
          <w:kern w:val="0"/>
        </w:rPr>
        <w:t>Asian Journal of Chemistry</w:t>
      </w:r>
      <w:r>
        <w:rPr>
          <w:kern w:val="0"/>
        </w:rPr>
        <w:t xml:space="preserve">, </w:t>
      </w:r>
      <w:r>
        <w:rPr>
          <w:b/>
          <w:bCs/>
          <w:kern w:val="0"/>
        </w:rPr>
        <w:t>26</w:t>
      </w:r>
      <w:r>
        <w:rPr>
          <w:kern w:val="0"/>
        </w:rPr>
        <w:t xml:space="preserve"> (5), </w:t>
      </w:r>
      <w:r>
        <w:rPr>
          <w:kern w:val="0"/>
        </w:rPr>
        <w:lastRenderedPageBreak/>
        <w:t>1309-1311.</w:t>
      </w:r>
    </w:p>
    <w:p w:rsidR="001D3A71" w:rsidRPr="007D79E8" w:rsidRDefault="001D3A71" w:rsidP="001D3A71">
      <w:pPr>
        <w:pStyle w:val="a3"/>
      </w:pPr>
      <w:r w:rsidRPr="007D79E8">
        <w:t xml:space="preserve">Full Text: </w:t>
      </w:r>
      <w:r w:rsidRPr="00096798">
        <w:t>201</w:t>
      </w:r>
      <w:r>
        <w:t>4</w:t>
      </w:r>
      <w:r w:rsidRPr="00096798">
        <w:t>\</w:t>
      </w:r>
      <w:r w:rsidRPr="0057747C">
        <w:t>Asi J Che2</w:t>
      </w:r>
      <w:r>
        <w:t>6</w:t>
      </w:r>
      <w:r w:rsidRPr="0057747C">
        <w:t xml:space="preserve">, </w:t>
      </w:r>
      <w:r>
        <w:rPr>
          <w:kern w:val="0"/>
        </w:rPr>
        <w:t>1309</w:t>
      </w:r>
      <w:r w:rsidRPr="00096798">
        <w:t>.pdf</w:t>
      </w:r>
    </w:p>
    <w:p w:rsidR="001D3A71" w:rsidRDefault="001D3A71" w:rsidP="001D3A71">
      <w:pPr>
        <w:pStyle w:val="a3"/>
        <w:rPr>
          <w:kern w:val="0"/>
        </w:rPr>
      </w:pPr>
      <w:r>
        <w:rPr>
          <w:kern w:val="0"/>
        </w:rPr>
        <w:t>Abstract: During the past several years, there has been a major advance in the development of biomedical materials including various ceramic materials for skeletal repair and reconstruction. To understand bioceramics research trends, we investigated total 12,157 research papers published from 2003 to 2012</w:t>
      </w:r>
      <w:r w:rsidR="00A37C1D">
        <w:rPr>
          <w:kern w:val="0"/>
        </w:rPr>
        <w:t>. The</w:t>
      </w:r>
      <w:r>
        <w:rPr>
          <w:kern w:val="0"/>
        </w:rPr>
        <w:t>se research papers were published by 100 countries</w:t>
      </w:r>
      <w:r w:rsidR="00A37C1D">
        <w:rPr>
          <w:kern w:val="0"/>
        </w:rPr>
        <w:t>. The</w:t>
      </w:r>
      <w:r>
        <w:rPr>
          <w:kern w:val="0"/>
        </w:rPr>
        <w:t xml:space="preserve"> bioceramics research had steadily increased each year</w:t>
      </w:r>
      <w:r w:rsidR="00A37C1D">
        <w:rPr>
          <w:kern w:val="0"/>
        </w:rPr>
        <w:t>. The</w:t>
      </w:r>
      <w:r>
        <w:rPr>
          <w:kern w:val="0"/>
        </w:rPr>
        <w:t xml:space="preserve"> bioceramics research trends had expanded from hydroxyapatite to hydroxyapatite, calcium phosphate and titania for the last 10 years.</w:t>
      </w:r>
    </w:p>
    <w:p w:rsidR="001D3A71" w:rsidRDefault="001D3A71" w:rsidP="001D3A71">
      <w:pPr>
        <w:pStyle w:val="a3"/>
        <w:rPr>
          <w:kern w:val="0"/>
        </w:rPr>
      </w:pPr>
      <w:r>
        <w:rPr>
          <w:kern w:val="0"/>
        </w:rPr>
        <w:t>Keywords: Advance, Bioceramics, Biocompatibility, Biodegradable Materials, Biomedical, Calcium, Development, Drug-Delivery, Evaluation, Hydroxyapatite, Mar, Papers, Phosphate, Reconstruction, Research, Research Trend, Research Trends, Scientometric, Scientometric Analysis, Trends</w:t>
      </w:r>
    </w:p>
    <w:p w:rsidR="007A52CA" w:rsidRDefault="007A52CA" w:rsidP="007A52CA">
      <w:pPr>
        <w:pStyle w:val="a3"/>
        <w:rPr>
          <w:kern w:val="0"/>
        </w:rPr>
      </w:pPr>
      <w:r>
        <w:rPr>
          <w:rFonts w:hint="eastAsia"/>
          <w:kern w:val="0"/>
        </w:rPr>
        <w:t xml:space="preserve">? </w:t>
      </w:r>
      <w:r>
        <w:rPr>
          <w:kern w:val="0"/>
        </w:rPr>
        <w:t xml:space="preserve">Chen, H.B., Yang, Y., Zhou, J.C., Yang, Y. and Jiang, W. (2014), Global trends of compost research from 1997 to 2012: A bibliometric analysis based on SCI database. </w:t>
      </w:r>
      <w:r>
        <w:rPr>
          <w:i/>
          <w:iCs/>
          <w:kern w:val="0"/>
        </w:rPr>
        <w:t>Asian Journal of Chemistry</w:t>
      </w:r>
      <w:r>
        <w:rPr>
          <w:kern w:val="0"/>
        </w:rPr>
        <w:t xml:space="preserve">, </w:t>
      </w:r>
      <w:r>
        <w:rPr>
          <w:b/>
          <w:bCs/>
          <w:kern w:val="0"/>
        </w:rPr>
        <w:t>26</w:t>
      </w:r>
      <w:r>
        <w:rPr>
          <w:kern w:val="0"/>
        </w:rPr>
        <w:t xml:space="preserve"> (16), 5242-5248.</w:t>
      </w:r>
    </w:p>
    <w:p w:rsidR="007A52CA" w:rsidRPr="007D79E8" w:rsidRDefault="007A52CA" w:rsidP="007A52CA">
      <w:pPr>
        <w:pStyle w:val="a3"/>
      </w:pPr>
      <w:r w:rsidRPr="007D79E8">
        <w:t xml:space="preserve">Full Text: </w:t>
      </w:r>
      <w:r w:rsidRPr="00096798">
        <w:t>201</w:t>
      </w:r>
      <w:r>
        <w:t>4</w:t>
      </w:r>
      <w:r w:rsidRPr="00096798">
        <w:t>\</w:t>
      </w:r>
      <w:r w:rsidRPr="0057747C">
        <w:t>Asi J Che2</w:t>
      </w:r>
      <w:r>
        <w:t>6</w:t>
      </w:r>
      <w:r w:rsidRPr="0057747C">
        <w:t xml:space="preserve">, </w:t>
      </w:r>
      <w:r>
        <w:rPr>
          <w:kern w:val="0"/>
        </w:rPr>
        <w:t>5242</w:t>
      </w:r>
      <w:r w:rsidRPr="00096798">
        <w:t>.pdf</w:t>
      </w:r>
    </w:p>
    <w:p w:rsidR="007A52CA" w:rsidRDefault="007A52CA" w:rsidP="007A52CA">
      <w:pPr>
        <w:pStyle w:val="a3"/>
        <w:rPr>
          <w:kern w:val="0"/>
        </w:rPr>
      </w:pPr>
      <w:r>
        <w:rPr>
          <w:kern w:val="0"/>
        </w:rPr>
        <w:t>Abstract: An effective bibliometric analysis was used in this study to evaluate the global scientific production of compost research during the period of 1997-2012. The data were from the database of the SCI published by the ISI Web of Science, Philadelphia, PA, USA. The articles related to compost were analyzed from the aspects including publication type and language, characteristics of articles outputs, countries, subject categories and journals and the distribution of title-words, author keywords and keyword plus used. The number of articles related to compost increased rapidly over the last 16 years with more countries participating in compost research. The developed countries attained a dominant position in the compost research while the developing countries made great progress in the share of articles in the study period. From the analysis of the title-words, author keywords and keywords plus, it can be concluded that “manure” and “sewage sludge” attracted plenty of attention in the compost research and “soil” and “heavy-metals” were the hot spots in recent years. The research focus was turning to the objects of compost application from the compost technology itself.</w:t>
      </w:r>
    </w:p>
    <w:p w:rsidR="007A52CA" w:rsidRDefault="007A52CA" w:rsidP="007A52CA">
      <w:pPr>
        <w:pStyle w:val="a3"/>
        <w:rPr>
          <w:kern w:val="0"/>
        </w:rPr>
      </w:pPr>
      <w:r>
        <w:rPr>
          <w:kern w:val="0"/>
        </w:rPr>
        <w:t>Keywords: Analysis, Antibiotics, Application, Articles, Attention, Availability, Bibliometric, Bibliometric Analysis, Characteristics, Compost, Data, Database, Developing, Developing Countries, Distribution, Dynamics, Environment, From, Global, Heavy-Metals, ISI, ISI Web Of Science, Journals, Language, Municipal Solid-Waste, Position, Progress, Publication, Recent, Research, Research Trend, SCI, Science, Scientific Production, Sewage-Sludge Compost, Soil, Technology, Trends, USA, Web, Web Of Science, Yard Waste</w:t>
      </w:r>
    </w:p>
    <w:p w:rsidR="00760A5C" w:rsidRPr="00F219CA" w:rsidRDefault="00760A5C" w:rsidP="00760A5C">
      <w:pPr>
        <w:pStyle w:val="1"/>
      </w:pPr>
      <w:r w:rsidRPr="00F219CA">
        <w:lastRenderedPageBreak/>
        <w:br w:type="page"/>
      </w:r>
      <w:bookmarkStart w:id="648" w:name="_Toc420814630"/>
      <w:r w:rsidRPr="00F219CA">
        <w:lastRenderedPageBreak/>
        <w:t xml:space="preserve">Title: </w:t>
      </w:r>
      <w:r w:rsidRPr="005B76FE">
        <w:t>Asian Journal</w:t>
      </w:r>
      <w:r w:rsidR="00427468">
        <w:t xml:space="preserve"> of </w:t>
      </w:r>
      <w:r w:rsidRPr="005B76FE">
        <w:t>Communication</w:t>
      </w:r>
      <w:bookmarkEnd w:id="648"/>
    </w:p>
    <w:p w:rsidR="00760A5C" w:rsidRPr="00F219CA" w:rsidRDefault="00760A5C" w:rsidP="00760A5C">
      <w:pPr>
        <w:pStyle w:val="12"/>
      </w:pPr>
      <w:r w:rsidRPr="00F219CA">
        <w:t xml:space="preserve">Full Journal Title: </w:t>
      </w:r>
      <w:r w:rsidRPr="005B76FE">
        <w:rPr>
          <w:iCs/>
          <w:kern w:val="0"/>
        </w:rPr>
        <w:t>Asian Journal</w:t>
      </w:r>
      <w:r w:rsidR="00427468">
        <w:rPr>
          <w:iCs/>
          <w:kern w:val="0"/>
        </w:rPr>
        <w:t xml:space="preserve"> of </w:t>
      </w:r>
      <w:r w:rsidRPr="005B76FE">
        <w:rPr>
          <w:iCs/>
          <w:kern w:val="0"/>
        </w:rPr>
        <w:t>Communication</w:t>
      </w:r>
    </w:p>
    <w:p w:rsidR="00760A5C" w:rsidRPr="00F219CA" w:rsidRDefault="00760A5C" w:rsidP="00760A5C">
      <w:pPr>
        <w:pStyle w:val="12"/>
      </w:pPr>
      <w:r w:rsidRPr="00F219CA">
        <w:t xml:space="preserve">ISO Abbreviated Title: </w:t>
      </w:r>
    </w:p>
    <w:p w:rsidR="00760A5C" w:rsidRPr="00F219CA" w:rsidRDefault="00760A5C" w:rsidP="00760A5C">
      <w:pPr>
        <w:pStyle w:val="12"/>
      </w:pPr>
      <w:r w:rsidRPr="00F219CA">
        <w:t xml:space="preserve">JCR Abbreviated Title: </w:t>
      </w:r>
    </w:p>
    <w:p w:rsidR="00760A5C" w:rsidRPr="00F219CA" w:rsidRDefault="00760A5C" w:rsidP="00760A5C">
      <w:pPr>
        <w:pStyle w:val="12"/>
      </w:pPr>
      <w:r w:rsidRPr="00F219CA">
        <w:t xml:space="preserve">ISSN: </w:t>
      </w:r>
    </w:p>
    <w:p w:rsidR="00760A5C" w:rsidRPr="00F219CA" w:rsidRDefault="00760A5C" w:rsidP="00760A5C">
      <w:pPr>
        <w:pStyle w:val="12"/>
      </w:pPr>
      <w:r w:rsidRPr="00F219CA">
        <w:t xml:space="preserve">Issues/Year: </w:t>
      </w:r>
    </w:p>
    <w:p w:rsidR="00760A5C" w:rsidRPr="00F219CA" w:rsidRDefault="00760A5C" w:rsidP="00760A5C">
      <w:pPr>
        <w:pStyle w:val="12"/>
      </w:pPr>
      <w:r w:rsidRPr="00F219CA">
        <w:t xml:space="preserve">Journal Country/Territory: </w:t>
      </w:r>
    </w:p>
    <w:p w:rsidR="00760A5C" w:rsidRPr="00F219CA" w:rsidRDefault="00760A5C" w:rsidP="00760A5C">
      <w:pPr>
        <w:pStyle w:val="12"/>
      </w:pPr>
      <w:r w:rsidRPr="00F219CA">
        <w:t xml:space="preserve">Language: </w:t>
      </w:r>
    </w:p>
    <w:p w:rsidR="00760A5C" w:rsidRPr="00F219CA" w:rsidRDefault="00760A5C" w:rsidP="00760A5C">
      <w:pPr>
        <w:pStyle w:val="12"/>
      </w:pPr>
      <w:r w:rsidRPr="00F219CA">
        <w:t xml:space="preserve">Publisher: </w:t>
      </w:r>
    </w:p>
    <w:p w:rsidR="00760A5C" w:rsidRPr="00F219CA" w:rsidRDefault="00760A5C" w:rsidP="00760A5C">
      <w:pPr>
        <w:pStyle w:val="12"/>
      </w:pPr>
      <w:r w:rsidRPr="00F219CA">
        <w:t xml:space="preserve">Publisher Address: </w:t>
      </w:r>
    </w:p>
    <w:p w:rsidR="00760A5C" w:rsidRPr="00F219CA" w:rsidRDefault="00760A5C" w:rsidP="00760A5C">
      <w:pPr>
        <w:pStyle w:val="12"/>
      </w:pPr>
      <w:r w:rsidRPr="00F219CA">
        <w:t>Subject Categories:</w:t>
      </w:r>
    </w:p>
    <w:p w:rsidR="00760A5C" w:rsidRPr="00F219CA" w:rsidRDefault="00760A5C" w:rsidP="00760A5C">
      <w:pPr>
        <w:pStyle w:val="12"/>
      </w:pPr>
      <w:r w:rsidRPr="00F219CA">
        <w:t>: Impact Factor</w:t>
      </w:r>
    </w:p>
    <w:p w:rsidR="00760A5C" w:rsidRDefault="00760A5C" w:rsidP="00760A5C">
      <w:pPr>
        <w:pStyle w:val="a3"/>
        <w:rPr>
          <w:kern w:val="0"/>
        </w:rPr>
      </w:pPr>
      <w:r>
        <w:rPr>
          <w:rFonts w:hint="eastAsia"/>
          <w:kern w:val="0"/>
        </w:rPr>
        <w:t xml:space="preserve">? </w:t>
      </w:r>
      <w:r>
        <w:rPr>
          <w:kern w:val="0"/>
        </w:rPr>
        <w:t>So, C.Y.K. (2010</w:t>
      </w:r>
      <w:r w:rsidR="00F42EAC">
        <w:rPr>
          <w:kern w:val="0"/>
        </w:rPr>
        <w:t>), The</w:t>
      </w:r>
      <w:r w:rsidR="003A1917">
        <w:rPr>
          <w:kern w:val="0"/>
        </w:rPr>
        <w:t xml:space="preserve"> </w:t>
      </w:r>
      <w:r>
        <w:rPr>
          <w:kern w:val="0"/>
        </w:rPr>
        <w:t>rise</w:t>
      </w:r>
      <w:r w:rsidR="00427468">
        <w:rPr>
          <w:kern w:val="0"/>
        </w:rPr>
        <w:t xml:space="preserve"> of </w:t>
      </w:r>
      <w:r>
        <w:rPr>
          <w:kern w:val="0"/>
        </w:rPr>
        <w:t>Asian communication research: A citation study</w:t>
      </w:r>
      <w:r w:rsidR="00427468">
        <w:rPr>
          <w:kern w:val="0"/>
        </w:rPr>
        <w:t xml:space="preserve"> of </w:t>
      </w:r>
      <w:r w:rsidR="00D5664A">
        <w:rPr>
          <w:kern w:val="0"/>
        </w:rPr>
        <w:t>SSCI</w:t>
      </w:r>
      <w:r>
        <w:rPr>
          <w:kern w:val="0"/>
        </w:rPr>
        <w:t xml:space="preserve"> journals. </w:t>
      </w:r>
      <w:r w:rsidRPr="005B76FE">
        <w:rPr>
          <w:i/>
          <w:iCs/>
          <w:kern w:val="0"/>
        </w:rPr>
        <w:t>Asian Journal</w:t>
      </w:r>
      <w:r w:rsidR="00427468">
        <w:rPr>
          <w:i/>
          <w:iCs/>
          <w:kern w:val="0"/>
        </w:rPr>
        <w:t xml:space="preserve"> of </w:t>
      </w:r>
      <w:r w:rsidRPr="005B76FE">
        <w:rPr>
          <w:i/>
          <w:iCs/>
          <w:kern w:val="0"/>
        </w:rPr>
        <w:t>Communication</w:t>
      </w:r>
      <w:r>
        <w:rPr>
          <w:kern w:val="0"/>
        </w:rPr>
        <w:t xml:space="preserve">, </w:t>
      </w:r>
      <w:r>
        <w:rPr>
          <w:b/>
          <w:bCs/>
          <w:kern w:val="0"/>
        </w:rPr>
        <w:t>20</w:t>
      </w:r>
      <w:r>
        <w:rPr>
          <w:kern w:val="0"/>
        </w:rPr>
        <w:t xml:space="preserve"> (2), 230-247.</w:t>
      </w:r>
    </w:p>
    <w:p w:rsidR="00760A5C" w:rsidRDefault="00760A5C" w:rsidP="00760A5C">
      <w:pPr>
        <w:pStyle w:val="a3"/>
        <w:rPr>
          <w:kern w:val="0"/>
        </w:rPr>
      </w:pPr>
      <w:r>
        <w:rPr>
          <w:kern w:val="0"/>
        </w:rPr>
        <w:t>Abstract: This study addresses two research questions: whether interest in Asian communication has been growing over</w:t>
      </w:r>
      <w:r w:rsidR="003A1917">
        <w:rPr>
          <w:kern w:val="0"/>
        </w:rPr>
        <w:t xml:space="preserve"> the </w:t>
      </w:r>
      <w:r>
        <w:rPr>
          <w:kern w:val="0"/>
        </w:rPr>
        <w:t>past 20 years,</w:t>
      </w:r>
      <w:r w:rsidR="005853A9">
        <w:rPr>
          <w:kern w:val="0"/>
        </w:rPr>
        <w:t xml:space="preserve"> and </w:t>
      </w:r>
      <w:r>
        <w:rPr>
          <w:kern w:val="0"/>
        </w:rPr>
        <w:t>whether there is an increasing level</w:t>
      </w:r>
      <w:r w:rsidR="00427468">
        <w:rPr>
          <w:kern w:val="0"/>
        </w:rPr>
        <w:t xml:space="preserve"> of </w:t>
      </w:r>
      <w:r>
        <w:rPr>
          <w:kern w:val="0"/>
        </w:rPr>
        <w:t>participation</w:t>
      </w:r>
      <w:r w:rsidR="005853A9">
        <w:rPr>
          <w:kern w:val="0"/>
        </w:rPr>
        <w:t xml:space="preserve"> and </w:t>
      </w:r>
      <w:r>
        <w:rPr>
          <w:kern w:val="0"/>
        </w:rPr>
        <w:t>growing contributions among Asian scholars in</w:t>
      </w:r>
      <w:r w:rsidR="003A1917">
        <w:rPr>
          <w:kern w:val="0"/>
        </w:rPr>
        <w:t xml:space="preserve"> the </w:t>
      </w:r>
      <w:r>
        <w:rPr>
          <w:kern w:val="0"/>
        </w:rPr>
        <w:t>field</w:t>
      </w:r>
      <w:r w:rsidR="00427468">
        <w:rPr>
          <w:kern w:val="0"/>
        </w:rPr>
        <w:t xml:space="preserve"> of </w:t>
      </w:r>
      <w:r>
        <w:rPr>
          <w:kern w:val="0"/>
        </w:rPr>
        <w:t>communication. Using 23 communication journals in</w:t>
      </w:r>
      <w:r w:rsidR="003A1917">
        <w:rPr>
          <w:kern w:val="0"/>
        </w:rPr>
        <w:t xml:space="preserve"> the </w:t>
      </w:r>
      <w:r w:rsidR="00D5664A">
        <w:rPr>
          <w:kern w:val="0"/>
        </w:rPr>
        <w:t>SSCI</w:t>
      </w:r>
      <w:r>
        <w:rPr>
          <w:kern w:val="0"/>
        </w:rPr>
        <w:t xml:space="preserve"> database, we identify Asia-related journal article titles</w:t>
      </w:r>
      <w:r w:rsidR="005853A9">
        <w:rPr>
          <w:kern w:val="0"/>
        </w:rPr>
        <w:t xml:space="preserve"> and </w:t>
      </w:r>
      <w:r>
        <w:rPr>
          <w:kern w:val="0"/>
        </w:rPr>
        <w:t>count</w:t>
      </w:r>
      <w:r w:rsidR="003A1917">
        <w:rPr>
          <w:kern w:val="0"/>
        </w:rPr>
        <w:t xml:space="preserve"> the </w:t>
      </w:r>
      <w:r>
        <w:rPr>
          <w:kern w:val="0"/>
        </w:rPr>
        <w:t>number</w:t>
      </w:r>
      <w:r w:rsidR="00427468">
        <w:rPr>
          <w:kern w:val="0"/>
        </w:rPr>
        <w:t xml:space="preserve"> of </w:t>
      </w:r>
      <w:r>
        <w:rPr>
          <w:kern w:val="0"/>
        </w:rPr>
        <w:t>authors</w:t>
      </w:r>
      <w:r w:rsidR="00427468">
        <w:rPr>
          <w:kern w:val="0"/>
        </w:rPr>
        <w:t xml:space="preserve"> of </w:t>
      </w:r>
      <w:r>
        <w:rPr>
          <w:kern w:val="0"/>
        </w:rPr>
        <w:t>Asian origins. We find that both are clearly on</w:t>
      </w:r>
      <w:r w:rsidR="003A1917">
        <w:rPr>
          <w:kern w:val="0"/>
        </w:rPr>
        <w:t xml:space="preserve"> the </w:t>
      </w:r>
      <w:r>
        <w:rPr>
          <w:kern w:val="0"/>
        </w:rPr>
        <w:t>rise, especially in</w:t>
      </w:r>
      <w:r w:rsidR="003A1917">
        <w:rPr>
          <w:kern w:val="0"/>
        </w:rPr>
        <w:t xml:space="preserve"> the </w:t>
      </w:r>
      <w:r>
        <w:rPr>
          <w:kern w:val="0"/>
        </w:rPr>
        <w:t>fields</w:t>
      </w:r>
      <w:r w:rsidR="00427468">
        <w:rPr>
          <w:kern w:val="0"/>
        </w:rPr>
        <w:t xml:space="preserve"> of </w:t>
      </w:r>
      <w:r>
        <w:rPr>
          <w:kern w:val="0"/>
        </w:rPr>
        <w:t>new media</w:t>
      </w:r>
      <w:r w:rsidR="005853A9">
        <w:rPr>
          <w:kern w:val="0"/>
        </w:rPr>
        <w:t xml:space="preserve"> and </w:t>
      </w:r>
      <w:r>
        <w:rPr>
          <w:kern w:val="0"/>
        </w:rPr>
        <w:t>public relations. China, Japan,</w:t>
      </w:r>
      <w:r w:rsidR="005853A9">
        <w:rPr>
          <w:kern w:val="0"/>
        </w:rPr>
        <w:t xml:space="preserve"> and </w:t>
      </w:r>
      <w:r>
        <w:rPr>
          <w:kern w:val="0"/>
        </w:rPr>
        <w:t>South Korea have</w:t>
      </w:r>
      <w:r w:rsidR="003A1917">
        <w:rPr>
          <w:kern w:val="0"/>
        </w:rPr>
        <w:t xml:space="preserve"> the </w:t>
      </w:r>
      <w:r>
        <w:rPr>
          <w:kern w:val="0"/>
        </w:rPr>
        <w:t>largest share</w:t>
      </w:r>
      <w:r w:rsidR="00427468">
        <w:rPr>
          <w:kern w:val="0"/>
        </w:rPr>
        <w:t xml:space="preserve"> of </w:t>
      </w:r>
      <w:r>
        <w:rPr>
          <w:kern w:val="0"/>
        </w:rPr>
        <w:t>title references, followed by Israel, Taiwan, India,</w:t>
      </w:r>
      <w:r w:rsidR="005853A9">
        <w:rPr>
          <w:kern w:val="0"/>
        </w:rPr>
        <w:t xml:space="preserve"> and </w:t>
      </w:r>
      <w:r>
        <w:rPr>
          <w:kern w:val="0"/>
        </w:rPr>
        <w:t>Hong Kong.</w:t>
      </w:r>
    </w:p>
    <w:p w:rsidR="00760A5C" w:rsidRDefault="00760A5C" w:rsidP="00760A5C">
      <w:pPr>
        <w:pStyle w:val="a3"/>
        <w:rPr>
          <w:kern w:val="0"/>
        </w:rPr>
      </w:pPr>
      <w:r>
        <w:rPr>
          <w:kern w:val="0"/>
        </w:rPr>
        <w:t xml:space="preserve">Keywords: Asian Communication Research, Bibliometric Analysis, China, Citation, Citation Analysis, Communication, Communication Journals, Communication Study, Database, Hong Kong, India, Israel, Journal, Journals, Korea, Media, Research, </w:t>
      </w:r>
      <w:r w:rsidR="00D5664A">
        <w:rPr>
          <w:kern w:val="0"/>
        </w:rPr>
        <w:t>SSCI</w:t>
      </w:r>
    </w:p>
    <w:p w:rsidR="00083B92" w:rsidRPr="00F219CA" w:rsidRDefault="00083B92" w:rsidP="00083B92">
      <w:pPr>
        <w:pStyle w:val="1"/>
      </w:pPr>
      <w:r w:rsidRPr="00F219CA">
        <w:br w:type="page"/>
      </w:r>
      <w:bookmarkStart w:id="649" w:name="_Toc420814631"/>
      <w:r w:rsidRPr="00F219CA">
        <w:lastRenderedPageBreak/>
        <w:t xml:space="preserve">Title: </w:t>
      </w:r>
      <w:r w:rsidRPr="00083B92">
        <w:t>Asian Journal of Psychiatry</w:t>
      </w:r>
      <w:bookmarkEnd w:id="649"/>
    </w:p>
    <w:p w:rsidR="00083B92" w:rsidRPr="00F219CA" w:rsidRDefault="00083B92" w:rsidP="00083B92">
      <w:pPr>
        <w:pStyle w:val="12"/>
      </w:pPr>
      <w:r w:rsidRPr="00F219CA">
        <w:t xml:space="preserve">Full Journal Title: </w:t>
      </w:r>
      <w:r w:rsidRPr="00083B92">
        <w:rPr>
          <w:iCs/>
          <w:kern w:val="0"/>
        </w:rPr>
        <w:t>Asian Journal of Psychiatry</w:t>
      </w:r>
    </w:p>
    <w:p w:rsidR="00083B92" w:rsidRPr="00F219CA" w:rsidRDefault="00083B92" w:rsidP="00083B92">
      <w:pPr>
        <w:pStyle w:val="12"/>
      </w:pPr>
      <w:r w:rsidRPr="00F219CA">
        <w:t xml:space="preserve">ISO Abbreviated Title: </w:t>
      </w:r>
    </w:p>
    <w:p w:rsidR="00083B92" w:rsidRPr="00F219CA" w:rsidRDefault="00083B92" w:rsidP="00083B92">
      <w:pPr>
        <w:pStyle w:val="12"/>
      </w:pPr>
      <w:r w:rsidRPr="00F219CA">
        <w:t xml:space="preserve">JCR Abbreviated Title: </w:t>
      </w:r>
    </w:p>
    <w:p w:rsidR="00083B92" w:rsidRPr="00F219CA" w:rsidRDefault="00083B92" w:rsidP="00083B92">
      <w:pPr>
        <w:pStyle w:val="12"/>
      </w:pPr>
      <w:r w:rsidRPr="00F219CA">
        <w:t xml:space="preserve">ISSN: </w:t>
      </w:r>
    </w:p>
    <w:p w:rsidR="00083B92" w:rsidRPr="00F219CA" w:rsidRDefault="00083B92" w:rsidP="00083B92">
      <w:pPr>
        <w:pStyle w:val="12"/>
      </w:pPr>
      <w:r w:rsidRPr="00F219CA">
        <w:t xml:space="preserve">Issues/Year: </w:t>
      </w:r>
    </w:p>
    <w:p w:rsidR="00083B92" w:rsidRPr="00F219CA" w:rsidRDefault="00083B92" w:rsidP="00083B92">
      <w:pPr>
        <w:pStyle w:val="12"/>
      </w:pPr>
      <w:r w:rsidRPr="00F219CA">
        <w:t xml:space="preserve">Journal Country/Territory: </w:t>
      </w:r>
    </w:p>
    <w:p w:rsidR="00083B92" w:rsidRPr="00F219CA" w:rsidRDefault="00083B92" w:rsidP="00083B92">
      <w:pPr>
        <w:pStyle w:val="12"/>
      </w:pPr>
      <w:r w:rsidRPr="00F219CA">
        <w:t xml:space="preserve">Language: </w:t>
      </w:r>
    </w:p>
    <w:p w:rsidR="00083B92" w:rsidRPr="00F219CA" w:rsidRDefault="00083B92" w:rsidP="00083B92">
      <w:pPr>
        <w:pStyle w:val="12"/>
      </w:pPr>
      <w:r w:rsidRPr="00F219CA">
        <w:t xml:space="preserve">Publisher: </w:t>
      </w:r>
    </w:p>
    <w:p w:rsidR="00083B92" w:rsidRPr="00F219CA" w:rsidRDefault="00083B92" w:rsidP="00083B92">
      <w:pPr>
        <w:pStyle w:val="12"/>
      </w:pPr>
      <w:r w:rsidRPr="00F219CA">
        <w:t xml:space="preserve">Publisher Address: </w:t>
      </w:r>
    </w:p>
    <w:p w:rsidR="00083B92" w:rsidRPr="00F219CA" w:rsidRDefault="00083B92" w:rsidP="00083B92">
      <w:pPr>
        <w:pStyle w:val="12"/>
      </w:pPr>
      <w:r w:rsidRPr="00F219CA">
        <w:t>Subject Categories:</w:t>
      </w:r>
    </w:p>
    <w:p w:rsidR="00083B92" w:rsidRPr="00F219CA" w:rsidRDefault="00083B92" w:rsidP="00083B92">
      <w:pPr>
        <w:pStyle w:val="12"/>
      </w:pPr>
      <w:r w:rsidRPr="00F219CA">
        <w:t>: Impact Factor</w:t>
      </w:r>
    </w:p>
    <w:p w:rsidR="00083B92" w:rsidRDefault="00083B92" w:rsidP="00083B92">
      <w:pPr>
        <w:pStyle w:val="a3"/>
        <w:rPr>
          <w:kern w:val="0"/>
        </w:rPr>
      </w:pPr>
      <w:r>
        <w:rPr>
          <w:rFonts w:hint="eastAsia"/>
          <w:kern w:val="0"/>
        </w:rPr>
        <w:t xml:space="preserve">? </w:t>
      </w:r>
      <w:r>
        <w:rPr>
          <w:kern w:val="0"/>
        </w:rPr>
        <w:t xml:space="preserve">Gupta, B.M. and Bala, A. (2013), A scientometrics approach to schizophrenia research in India: An analysis of publications output during 2002-11. </w:t>
      </w:r>
      <w:r w:rsidRPr="00083B92">
        <w:rPr>
          <w:i/>
          <w:iCs/>
          <w:kern w:val="0"/>
        </w:rPr>
        <w:t>Asian Journal of Psychiatry</w:t>
      </w:r>
      <w:r>
        <w:rPr>
          <w:kern w:val="0"/>
        </w:rPr>
        <w:t xml:space="preserve">, </w:t>
      </w:r>
      <w:r>
        <w:rPr>
          <w:b/>
          <w:bCs/>
          <w:kern w:val="0"/>
        </w:rPr>
        <w:t>6</w:t>
      </w:r>
      <w:r>
        <w:rPr>
          <w:kern w:val="0"/>
        </w:rPr>
        <w:t xml:space="preserve"> (4), 292-298.</w:t>
      </w:r>
    </w:p>
    <w:p w:rsidR="00083B92" w:rsidRDefault="00083B92" w:rsidP="00083B92">
      <w:pPr>
        <w:pStyle w:val="a3"/>
        <w:rPr>
          <w:kern w:val="0"/>
        </w:rPr>
      </w:pPr>
      <w:r>
        <w:rPr>
          <w:rFonts w:hint="eastAsia"/>
          <w:kern w:val="0"/>
        </w:rPr>
        <w:t xml:space="preserve">Full Text: </w:t>
      </w:r>
      <w:hyperlink r:id="rId1272" w:history="1">
        <w:r w:rsidRPr="00083B92">
          <w:rPr>
            <w:rStyle w:val="a5"/>
            <w:kern w:val="0"/>
          </w:rPr>
          <w:t>2013\Asi J Psy6, 292.pdf</w:t>
        </w:r>
      </w:hyperlink>
    </w:p>
    <w:p w:rsidR="00083B92" w:rsidRDefault="00083B92" w:rsidP="00083B92">
      <w:pPr>
        <w:pStyle w:val="a3"/>
        <w:rPr>
          <w:kern w:val="0"/>
        </w:rPr>
      </w:pPr>
      <w:r>
        <w:rPr>
          <w:kern w:val="0"/>
        </w:rPr>
        <w:t>Abstract: OBJECTIVES: This study analyses the research output of India in schizophrenia research during 2002-11 on several parameters including the growth, rank and global publications share, citation impact, share of international collaborative papers, contribution of major collaborative partner countries, contribution of various subject-fields, contribution and impact of most productive institutions and authors, media of communication and characteristics of high cited papers. METHODS: The Scopus Citation Database has been used to retrieve the data for 10 years (2002-11) by searching the keywords schizophrenia research in the combined Title, Abstract and Keywords fields. RESULTS: Among the top 20 most productive countries in schizophrenia research, India ranks at 15th position (with 882 papers) with a global publication share of 1.58% and an annual average publication growth rate of 21.80% during 2002-11. Its citation impact per paper was 3.60 international collaborative publications share was 26.98% during 2002-11. CONCLUSIONS: Concludes that India needs to increase both the quantity and quality of research and also increase the international collaborative research, besides strengthening and modernizing its research infrastructure. There is need to treat schizophrenia as a priority area in the current and future national S &amp; T plans of India.</w:t>
      </w:r>
    </w:p>
    <w:p w:rsidR="00083B92" w:rsidRDefault="00083B92" w:rsidP="00083B92">
      <w:pPr>
        <w:pStyle w:val="a3"/>
        <w:rPr>
          <w:kern w:val="0"/>
        </w:rPr>
      </w:pPr>
      <w:r>
        <w:rPr>
          <w:kern w:val="0"/>
        </w:rPr>
        <w:t xml:space="preserve">Keywords: Analyses, Analysis, Approach, Authors, Characteristics, Citation, Citation Impact, Collaborative Research, Communication, Conclusions, Contribution, Data, Database, Global, Growth, Growth Rate, Impact, India, Infrastructure, Institutions, </w:t>
      </w:r>
      <w:r>
        <w:rPr>
          <w:kern w:val="0"/>
        </w:rPr>
        <w:lastRenderedPageBreak/>
        <w:t>International, Keywords, Media, Methods, Needs, Objectives, Papers, Partner, Position, Publication, Publications, Quality, Quality Of, Rank, Research, Research Output, S, Schizophrenia, Scientometrics, Scopus</w:t>
      </w:r>
    </w:p>
    <w:p w:rsidR="00C67B9E" w:rsidRPr="00F219CA" w:rsidRDefault="00C67B9E" w:rsidP="00C67B9E">
      <w:pPr>
        <w:pStyle w:val="1"/>
      </w:pPr>
      <w:r w:rsidRPr="00F219CA">
        <w:br w:type="page"/>
      </w:r>
      <w:bookmarkStart w:id="650" w:name="_Toc420814632"/>
      <w:r w:rsidRPr="00F219CA">
        <w:lastRenderedPageBreak/>
        <w:t xml:space="preserve">Title: </w:t>
      </w:r>
      <w:r w:rsidRPr="00C67B9E">
        <w:rPr>
          <w:szCs w:val="24"/>
        </w:rPr>
        <w:t>Asian Journal</w:t>
      </w:r>
      <w:r w:rsidR="00427468">
        <w:rPr>
          <w:szCs w:val="24"/>
        </w:rPr>
        <w:t xml:space="preserve"> of </w:t>
      </w:r>
      <w:r w:rsidRPr="00C67B9E">
        <w:rPr>
          <w:szCs w:val="24"/>
        </w:rPr>
        <w:t>Social Psychology</w:t>
      </w:r>
      <w:bookmarkEnd w:id="650"/>
    </w:p>
    <w:p w:rsidR="00C67B9E" w:rsidRPr="00F219CA" w:rsidRDefault="00C67B9E" w:rsidP="00C67B9E">
      <w:pPr>
        <w:pStyle w:val="12"/>
      </w:pPr>
      <w:r w:rsidRPr="00F219CA">
        <w:t xml:space="preserve">Full Journal Title: </w:t>
      </w:r>
      <w:hyperlink r:id="rId1273" w:history="1">
        <w:r w:rsidRPr="00826EF2">
          <w:rPr>
            <w:rStyle w:val="a5"/>
            <w:iCs/>
            <w:kern w:val="0"/>
          </w:rPr>
          <w:t>Asian Journal</w:t>
        </w:r>
        <w:r w:rsidR="00427468">
          <w:rPr>
            <w:rStyle w:val="a5"/>
            <w:iCs/>
            <w:kern w:val="0"/>
          </w:rPr>
          <w:t xml:space="preserve"> of </w:t>
        </w:r>
        <w:r w:rsidRPr="00826EF2">
          <w:rPr>
            <w:rStyle w:val="a5"/>
            <w:iCs/>
            <w:kern w:val="0"/>
          </w:rPr>
          <w:t>Social Psychology</w:t>
        </w:r>
      </w:hyperlink>
    </w:p>
    <w:p w:rsidR="00C67B9E" w:rsidRPr="00F219CA" w:rsidRDefault="00C67B9E" w:rsidP="00C67B9E">
      <w:pPr>
        <w:pStyle w:val="12"/>
      </w:pPr>
      <w:r w:rsidRPr="00F219CA">
        <w:t xml:space="preserve">ISO Abbreviated Title: </w:t>
      </w:r>
    </w:p>
    <w:p w:rsidR="00C67B9E" w:rsidRPr="00F219CA" w:rsidRDefault="00C67B9E" w:rsidP="00C67B9E">
      <w:pPr>
        <w:pStyle w:val="12"/>
      </w:pPr>
      <w:r w:rsidRPr="00F219CA">
        <w:t xml:space="preserve">JCR Abbreviated Title: </w:t>
      </w:r>
    </w:p>
    <w:p w:rsidR="00C67B9E" w:rsidRPr="00F219CA" w:rsidRDefault="00C67B9E" w:rsidP="00C67B9E">
      <w:pPr>
        <w:pStyle w:val="12"/>
      </w:pPr>
      <w:r w:rsidRPr="00F219CA">
        <w:t xml:space="preserve">ISSN: </w:t>
      </w:r>
      <w:r w:rsidRPr="00C67B9E">
        <w:t>1367-2223</w:t>
      </w:r>
    </w:p>
    <w:p w:rsidR="00C67B9E" w:rsidRPr="00F219CA" w:rsidRDefault="00C67B9E" w:rsidP="00C67B9E">
      <w:pPr>
        <w:pStyle w:val="12"/>
      </w:pPr>
      <w:r w:rsidRPr="00F219CA">
        <w:t xml:space="preserve">Issues/Year: </w:t>
      </w:r>
    </w:p>
    <w:p w:rsidR="00C67B9E" w:rsidRPr="00F219CA" w:rsidRDefault="00C67B9E" w:rsidP="00C67B9E">
      <w:pPr>
        <w:pStyle w:val="12"/>
      </w:pPr>
      <w:r w:rsidRPr="00F219CA">
        <w:t xml:space="preserve">Journal Country/Territory: </w:t>
      </w:r>
    </w:p>
    <w:p w:rsidR="00C67B9E" w:rsidRPr="00F219CA" w:rsidRDefault="00C67B9E" w:rsidP="00C67B9E">
      <w:pPr>
        <w:pStyle w:val="12"/>
      </w:pPr>
      <w:r w:rsidRPr="00F219CA">
        <w:t xml:space="preserve">Language: </w:t>
      </w:r>
    </w:p>
    <w:p w:rsidR="00C67B9E" w:rsidRPr="00F219CA" w:rsidRDefault="00C67B9E" w:rsidP="00C67B9E">
      <w:pPr>
        <w:pStyle w:val="12"/>
      </w:pPr>
      <w:r w:rsidRPr="00F219CA">
        <w:t xml:space="preserve">Publisher: </w:t>
      </w:r>
    </w:p>
    <w:p w:rsidR="00C67B9E" w:rsidRPr="00F219CA" w:rsidRDefault="00C67B9E" w:rsidP="00C67B9E">
      <w:pPr>
        <w:pStyle w:val="12"/>
      </w:pPr>
      <w:r w:rsidRPr="00F219CA">
        <w:t xml:space="preserve">Publisher Address: </w:t>
      </w:r>
    </w:p>
    <w:p w:rsidR="00C67B9E" w:rsidRPr="00F219CA" w:rsidRDefault="00C67B9E" w:rsidP="00C67B9E">
      <w:pPr>
        <w:pStyle w:val="12"/>
      </w:pPr>
      <w:r w:rsidRPr="00F219CA">
        <w:t>Subject Categories:</w:t>
      </w:r>
    </w:p>
    <w:p w:rsidR="00C67B9E" w:rsidRPr="00F219CA" w:rsidRDefault="00C67B9E" w:rsidP="00C67B9E">
      <w:pPr>
        <w:pStyle w:val="12"/>
      </w:pPr>
      <w:r w:rsidRPr="00F219CA">
        <w:t>: Impact Factor</w:t>
      </w:r>
    </w:p>
    <w:p w:rsidR="00C67B9E" w:rsidRDefault="00C67B9E" w:rsidP="00C67B9E">
      <w:pPr>
        <w:pStyle w:val="a3"/>
        <w:rPr>
          <w:kern w:val="0"/>
          <w:szCs w:val="24"/>
        </w:rPr>
      </w:pPr>
      <w:r>
        <w:rPr>
          <w:rFonts w:hint="eastAsia"/>
          <w:kern w:val="0"/>
          <w:szCs w:val="24"/>
        </w:rPr>
        <w:t xml:space="preserve">? </w:t>
      </w:r>
      <w:r>
        <w:rPr>
          <w:kern w:val="0"/>
          <w:szCs w:val="24"/>
        </w:rPr>
        <w:t>Haslam, N.</w:t>
      </w:r>
      <w:r w:rsidR="005853A9">
        <w:rPr>
          <w:kern w:val="0"/>
          <w:szCs w:val="24"/>
        </w:rPr>
        <w:t xml:space="preserve"> and </w:t>
      </w:r>
      <w:r>
        <w:rPr>
          <w:kern w:val="0"/>
          <w:szCs w:val="24"/>
        </w:rPr>
        <w:t>Kashima, Y. (2010</w:t>
      </w:r>
      <w:r w:rsidR="00F42EAC">
        <w:rPr>
          <w:kern w:val="0"/>
          <w:szCs w:val="24"/>
        </w:rPr>
        <w:t>), The</w:t>
      </w:r>
      <w:r w:rsidR="003A1917">
        <w:rPr>
          <w:kern w:val="0"/>
          <w:szCs w:val="24"/>
        </w:rPr>
        <w:t xml:space="preserve"> </w:t>
      </w:r>
      <w:r>
        <w:rPr>
          <w:kern w:val="0"/>
          <w:szCs w:val="24"/>
        </w:rPr>
        <w:t>rise</w:t>
      </w:r>
      <w:r w:rsidR="005853A9">
        <w:rPr>
          <w:kern w:val="0"/>
          <w:szCs w:val="24"/>
        </w:rPr>
        <w:t xml:space="preserve"> and </w:t>
      </w:r>
      <w:r>
        <w:rPr>
          <w:kern w:val="0"/>
          <w:szCs w:val="24"/>
        </w:rPr>
        <w:t>rise</w:t>
      </w:r>
      <w:r w:rsidR="00427468">
        <w:rPr>
          <w:kern w:val="0"/>
          <w:szCs w:val="24"/>
        </w:rPr>
        <w:t xml:space="preserve"> of </w:t>
      </w:r>
      <w:r>
        <w:rPr>
          <w:kern w:val="0"/>
          <w:szCs w:val="24"/>
        </w:rPr>
        <w:t xml:space="preserve">social psychology in Asia: A bibliometric analysis. </w:t>
      </w:r>
      <w:r w:rsidRPr="00C67B9E">
        <w:rPr>
          <w:i/>
          <w:iCs/>
          <w:kern w:val="0"/>
          <w:szCs w:val="24"/>
        </w:rPr>
        <w:t>Asian Journal</w:t>
      </w:r>
      <w:r w:rsidR="00427468">
        <w:rPr>
          <w:i/>
          <w:iCs/>
          <w:kern w:val="0"/>
          <w:szCs w:val="24"/>
        </w:rPr>
        <w:t xml:space="preserve"> of </w:t>
      </w:r>
      <w:r w:rsidRPr="00C67B9E">
        <w:rPr>
          <w:i/>
          <w:iCs/>
          <w:kern w:val="0"/>
          <w:szCs w:val="24"/>
        </w:rPr>
        <w:t>Social Psychology</w:t>
      </w:r>
      <w:r>
        <w:rPr>
          <w:kern w:val="0"/>
          <w:szCs w:val="24"/>
        </w:rPr>
        <w:t xml:space="preserve">, </w:t>
      </w:r>
      <w:r>
        <w:rPr>
          <w:b/>
          <w:bCs/>
          <w:kern w:val="0"/>
          <w:szCs w:val="24"/>
        </w:rPr>
        <w:t>13</w:t>
      </w:r>
      <w:r>
        <w:rPr>
          <w:kern w:val="0"/>
          <w:szCs w:val="24"/>
        </w:rPr>
        <w:t xml:space="preserve"> (3), 202-207.</w:t>
      </w:r>
    </w:p>
    <w:p w:rsidR="002A335B" w:rsidRDefault="002A335B" w:rsidP="002A335B">
      <w:pPr>
        <w:pStyle w:val="a3"/>
        <w:rPr>
          <w:kern w:val="0"/>
          <w:szCs w:val="24"/>
        </w:rPr>
      </w:pPr>
      <w:r>
        <w:rPr>
          <w:rFonts w:hint="eastAsia"/>
          <w:kern w:val="0"/>
          <w:szCs w:val="24"/>
        </w:rPr>
        <w:t xml:space="preserve">Full Text: </w:t>
      </w:r>
      <w:hyperlink r:id="rId1274" w:history="1">
        <w:r w:rsidRPr="00054462">
          <w:rPr>
            <w:rStyle w:val="a5"/>
            <w:kern w:val="0"/>
            <w:szCs w:val="24"/>
          </w:rPr>
          <w:t>2010\Asi J Soc Psy13, 202.pdf</w:t>
        </w:r>
      </w:hyperlink>
    </w:p>
    <w:p w:rsidR="00C67B9E" w:rsidRDefault="00C67B9E" w:rsidP="00C67B9E">
      <w:pPr>
        <w:pStyle w:val="a3"/>
        <w:rPr>
          <w:kern w:val="0"/>
          <w:szCs w:val="24"/>
        </w:rPr>
      </w:pPr>
      <w:r>
        <w:rPr>
          <w:kern w:val="0"/>
          <w:szCs w:val="24"/>
        </w:rPr>
        <w:t>Abstract:</w:t>
      </w:r>
      <w:r w:rsidR="003A1917">
        <w:rPr>
          <w:kern w:val="0"/>
          <w:szCs w:val="24"/>
        </w:rPr>
        <w:t xml:space="preserve"> the </w:t>
      </w:r>
      <w:r>
        <w:rPr>
          <w:kern w:val="0"/>
          <w:szCs w:val="24"/>
        </w:rPr>
        <w:t>growth</w:t>
      </w:r>
      <w:r w:rsidR="00427468">
        <w:rPr>
          <w:kern w:val="0"/>
          <w:szCs w:val="24"/>
        </w:rPr>
        <w:t xml:space="preserve"> of </w:t>
      </w:r>
      <w:r>
        <w:rPr>
          <w:kern w:val="0"/>
          <w:szCs w:val="24"/>
        </w:rPr>
        <w:t>social psychology in Asia from 1970 to 2008 was examined through a bibliometric analysis</w:t>
      </w:r>
      <w:r w:rsidR="00427468">
        <w:rPr>
          <w:kern w:val="0"/>
          <w:szCs w:val="24"/>
        </w:rPr>
        <w:t xml:space="preserve"> of </w:t>
      </w:r>
      <w:r>
        <w:rPr>
          <w:kern w:val="0"/>
          <w:szCs w:val="24"/>
        </w:rPr>
        <w:t>articles in</w:t>
      </w:r>
      <w:r w:rsidR="003A1917">
        <w:rPr>
          <w:kern w:val="0"/>
          <w:szCs w:val="24"/>
        </w:rPr>
        <w:t xml:space="preserve"> the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database that listed Asian-based authors</w:t>
      </w:r>
      <w:r w:rsidR="00A37C1D">
        <w:rPr>
          <w:kern w:val="0"/>
          <w:szCs w:val="24"/>
        </w:rPr>
        <w:t>. The</w:t>
      </w:r>
      <w:r w:rsidR="003A1917">
        <w:rPr>
          <w:kern w:val="0"/>
          <w:szCs w:val="24"/>
        </w:rPr>
        <w:t xml:space="preserve"> </w:t>
      </w:r>
      <w:r>
        <w:rPr>
          <w:kern w:val="0"/>
          <w:szCs w:val="24"/>
        </w:rPr>
        <w:t>1866 articles have appeared at an accelerating rate,</w:t>
      </w:r>
      <w:r w:rsidR="005853A9">
        <w:rPr>
          <w:kern w:val="0"/>
          <w:szCs w:val="24"/>
        </w:rPr>
        <w:t xml:space="preserve"> and </w:t>
      </w:r>
      <w:r>
        <w:rPr>
          <w:kern w:val="0"/>
          <w:szCs w:val="24"/>
        </w:rPr>
        <w:t>represent a rapidly-growing share</w:t>
      </w:r>
      <w:r w:rsidR="00427468">
        <w:rPr>
          <w:kern w:val="0"/>
          <w:szCs w:val="24"/>
        </w:rPr>
        <w:t xml:space="preserve"> of </w:t>
      </w:r>
      <w:r>
        <w:rPr>
          <w:kern w:val="0"/>
          <w:szCs w:val="24"/>
        </w:rPr>
        <w:t>global publications in</w:t>
      </w:r>
      <w:r w:rsidR="003A1917">
        <w:rPr>
          <w:kern w:val="0"/>
          <w:szCs w:val="24"/>
        </w:rPr>
        <w:t xml:space="preserve"> the </w:t>
      </w:r>
      <w:r>
        <w:rPr>
          <w:kern w:val="0"/>
          <w:szCs w:val="24"/>
        </w:rPr>
        <w:t>field. Publication trajectories</w:t>
      </w:r>
      <w:r w:rsidR="00427468">
        <w:rPr>
          <w:kern w:val="0"/>
          <w:szCs w:val="24"/>
        </w:rPr>
        <w:t xml:space="preserve"> of </w:t>
      </w:r>
      <w:r>
        <w:rPr>
          <w:kern w:val="0"/>
          <w:szCs w:val="24"/>
        </w:rPr>
        <w:t>different Asian nations show</w:t>
      </w:r>
      <w:r w:rsidR="003A1917">
        <w:rPr>
          <w:kern w:val="0"/>
          <w:szCs w:val="24"/>
        </w:rPr>
        <w:t xml:space="preserve"> the </w:t>
      </w:r>
      <w:r>
        <w:rPr>
          <w:kern w:val="0"/>
          <w:szCs w:val="24"/>
        </w:rPr>
        <w:t>Indian first wave, Hong Kong</w:t>
      </w:r>
      <w:r w:rsidR="005853A9">
        <w:rPr>
          <w:kern w:val="0"/>
          <w:szCs w:val="24"/>
        </w:rPr>
        <w:t xml:space="preserve"> and </w:t>
      </w:r>
      <w:r>
        <w:rPr>
          <w:kern w:val="0"/>
          <w:szCs w:val="24"/>
        </w:rPr>
        <w:t>Japan</w:t>
      </w:r>
      <w:r w:rsidR="00700038">
        <w:rPr>
          <w:kern w:val="0"/>
          <w:szCs w:val="24"/>
        </w:rPr>
        <w:t>’</w:t>
      </w:r>
      <w:r w:rsidR="00C13DDC">
        <w:rPr>
          <w:kern w:val="0"/>
          <w:szCs w:val="24"/>
        </w:rPr>
        <w:t>s</w:t>
      </w:r>
      <w:r>
        <w:rPr>
          <w:kern w:val="0"/>
          <w:szCs w:val="24"/>
        </w:rPr>
        <w:t xml:space="preserve"> second wave,</w:t>
      </w:r>
      <w:r w:rsidR="005853A9">
        <w:rPr>
          <w:kern w:val="0"/>
          <w:szCs w:val="24"/>
        </w:rPr>
        <w:t xml:space="preserve"> and </w:t>
      </w:r>
      <w:r>
        <w:rPr>
          <w:kern w:val="0"/>
          <w:szCs w:val="24"/>
        </w:rPr>
        <w:t>China</w:t>
      </w:r>
      <w:r w:rsidR="005853A9">
        <w:rPr>
          <w:kern w:val="0"/>
          <w:szCs w:val="24"/>
        </w:rPr>
        <w:t xml:space="preserve"> and </w:t>
      </w:r>
      <w:r>
        <w:rPr>
          <w:kern w:val="0"/>
          <w:szCs w:val="24"/>
        </w:rPr>
        <w:t>Taiwan</w:t>
      </w:r>
      <w:r w:rsidR="00700038">
        <w:rPr>
          <w:kern w:val="0"/>
          <w:szCs w:val="24"/>
        </w:rPr>
        <w:t>’</w:t>
      </w:r>
      <w:r w:rsidR="00C13DDC">
        <w:rPr>
          <w:kern w:val="0"/>
          <w:szCs w:val="24"/>
        </w:rPr>
        <w:t>s</w:t>
      </w:r>
      <w:r>
        <w:rPr>
          <w:kern w:val="0"/>
          <w:szCs w:val="24"/>
        </w:rPr>
        <w:t xml:space="preserve"> third wave</w:t>
      </w:r>
      <w:r w:rsidR="00427468">
        <w:rPr>
          <w:kern w:val="0"/>
          <w:szCs w:val="24"/>
        </w:rPr>
        <w:t xml:space="preserve"> of </w:t>
      </w:r>
      <w:r>
        <w:rPr>
          <w:kern w:val="0"/>
          <w:szCs w:val="24"/>
        </w:rPr>
        <w:t>growth. Trends in</w:t>
      </w:r>
      <w:r w:rsidR="003A1917">
        <w:rPr>
          <w:kern w:val="0"/>
          <w:szCs w:val="24"/>
        </w:rPr>
        <w:t xml:space="preserve"> the </w:t>
      </w:r>
      <w:r>
        <w:rPr>
          <w:kern w:val="0"/>
          <w:szCs w:val="24"/>
        </w:rPr>
        <w:t>rates</w:t>
      </w:r>
      <w:r w:rsidR="00427468">
        <w:rPr>
          <w:kern w:val="0"/>
          <w:szCs w:val="24"/>
        </w:rPr>
        <w:t xml:space="preserve"> of </w:t>
      </w:r>
      <w:r>
        <w:rPr>
          <w:kern w:val="0"/>
          <w:szCs w:val="24"/>
        </w:rPr>
        <w:t>Asian first authorship, single-nation authorship,</w:t>
      </w:r>
      <w:r w:rsidR="005853A9">
        <w:rPr>
          <w:kern w:val="0"/>
          <w:szCs w:val="24"/>
        </w:rPr>
        <w:t xml:space="preserve"> and </w:t>
      </w:r>
      <w:r>
        <w:rPr>
          <w:kern w:val="0"/>
          <w:szCs w:val="24"/>
        </w:rPr>
        <w:t>cross-cultural research suggest that Asian social psychology is increasingly more autonomous</w:t>
      </w:r>
      <w:r w:rsidR="005853A9">
        <w:rPr>
          <w:kern w:val="0"/>
          <w:szCs w:val="24"/>
        </w:rPr>
        <w:t xml:space="preserve"> and </w:t>
      </w:r>
      <w:r>
        <w:rPr>
          <w:kern w:val="0"/>
          <w:szCs w:val="24"/>
        </w:rPr>
        <w:t>distinctive.</w:t>
      </w:r>
    </w:p>
    <w:p w:rsidR="00C67B9E" w:rsidRDefault="00C67B9E" w:rsidP="00C67B9E">
      <w:pPr>
        <w:pStyle w:val="a3"/>
        <w:rPr>
          <w:kern w:val="0"/>
          <w:szCs w:val="24"/>
        </w:rPr>
      </w:pPr>
      <w:r>
        <w:rPr>
          <w:kern w:val="0"/>
          <w:szCs w:val="24"/>
        </w:rPr>
        <w:t>Keywords: Bibliometric, Bibliometric Analysis</w:t>
      </w:r>
      <w:r w:rsidR="00D5664A">
        <w:rPr>
          <w:kern w:val="0"/>
          <w:szCs w:val="24"/>
        </w:rPr>
        <w:t>, ISI,</w:t>
      </w:r>
      <w:r>
        <w:rPr>
          <w:kern w:val="0"/>
          <w:szCs w:val="24"/>
        </w:rPr>
        <w:t xml:space="preserve"> Publication Trends, Social Psychology</w:t>
      </w:r>
    </w:p>
    <w:p w:rsidR="003474F2" w:rsidRPr="001A3D2B" w:rsidRDefault="003474F2" w:rsidP="003474F2">
      <w:pPr>
        <w:pStyle w:val="1"/>
      </w:pPr>
      <w:r w:rsidRPr="001A3D2B">
        <w:br w:type="page"/>
      </w:r>
      <w:bookmarkStart w:id="651" w:name="_Toc420814633"/>
      <w:r w:rsidRPr="001A3D2B">
        <w:lastRenderedPageBreak/>
        <w:t>Title: Asian Journal</w:t>
      </w:r>
      <w:r w:rsidR="00427468">
        <w:t xml:space="preserve"> of </w:t>
      </w:r>
      <w:r w:rsidRPr="001A3D2B">
        <w:t>Surgery</w:t>
      </w:r>
      <w:bookmarkEnd w:id="651"/>
    </w:p>
    <w:p w:rsidR="003474F2" w:rsidRPr="001A3D2B" w:rsidRDefault="003474F2" w:rsidP="003474F2">
      <w:pPr>
        <w:pStyle w:val="12"/>
      </w:pPr>
      <w:r w:rsidRPr="001A3D2B">
        <w:t>Full Journal Title: Asian Journal</w:t>
      </w:r>
      <w:r w:rsidR="00427468">
        <w:t xml:space="preserve"> of </w:t>
      </w:r>
      <w:r w:rsidRPr="001A3D2B">
        <w:t>Surgery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Asian J Surg</w:t>
      </w:r>
    </w:p>
    <w:p w:rsidR="003474F2" w:rsidRPr="001A3D2B" w:rsidRDefault="003474F2" w:rsidP="003474F2">
      <w:pPr>
        <w:pStyle w:val="12"/>
      </w:pPr>
      <w:r w:rsidRPr="001A3D2B">
        <w:t>ISSN: 1015-9584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Mahawar, K.K., Malviya, A.</w:t>
      </w:r>
      <w:r w:rsidR="005853A9">
        <w:t xml:space="preserve"> and </w:t>
      </w:r>
      <w:r w:rsidRPr="001A3D2B">
        <w:t>Kumar, G. (2006), Who publishes in leading general surgical journals?</w:t>
      </w:r>
      <w:r w:rsidR="003A1917">
        <w:t xml:space="preserve"> the </w:t>
      </w:r>
      <w:r w:rsidRPr="001A3D2B">
        <w:t>divide between</w:t>
      </w:r>
      <w:r w:rsidR="003A1917">
        <w:t xml:space="preserve"> the </w:t>
      </w:r>
      <w:r w:rsidRPr="001A3D2B">
        <w:t>developed</w:t>
      </w:r>
      <w:r w:rsidR="005853A9">
        <w:t xml:space="preserve"> and </w:t>
      </w:r>
      <w:r w:rsidRPr="001A3D2B">
        <w:t xml:space="preserve">developing worlds. </w:t>
      </w:r>
      <w:r w:rsidRPr="001A3D2B">
        <w:rPr>
          <w:i/>
        </w:rPr>
        <w:t>Asian Journal</w:t>
      </w:r>
      <w:r w:rsidR="00427468">
        <w:rPr>
          <w:i/>
        </w:rPr>
        <w:t xml:space="preserve"> of </w:t>
      </w:r>
      <w:r w:rsidRPr="001A3D2B">
        <w:rPr>
          <w:i/>
        </w:rPr>
        <w:t>Surgery</w:t>
      </w:r>
      <w:r w:rsidRPr="001A3D2B">
        <w:t xml:space="preserve">, </w:t>
      </w:r>
      <w:r w:rsidRPr="001A3D2B">
        <w:rPr>
          <w:b/>
          <w:bCs/>
        </w:rPr>
        <w:t>29</w:t>
      </w:r>
      <w:r w:rsidRPr="001A3D2B">
        <w:t xml:space="preserve"> (3), 140-144.</w:t>
      </w:r>
    </w:p>
    <w:p w:rsidR="003474F2" w:rsidRPr="001A3D2B" w:rsidRDefault="003474F2" w:rsidP="003474F2">
      <w:pPr>
        <w:pStyle w:val="a3"/>
      </w:pPr>
      <w:r w:rsidRPr="001A3D2B">
        <w:t>Abstract: BACKGROUND: Most articles in top general surgical journals seem to originate from a limited few developed countries</w:t>
      </w:r>
      <w:r w:rsidR="00A37C1D">
        <w:t>. The</w:t>
      </w:r>
      <w:r w:rsidR="003A1917">
        <w:t xml:space="preserve"> </w:t>
      </w:r>
      <w:r w:rsidRPr="001A3D2B">
        <w:t>purpose</w:t>
      </w:r>
      <w:r w:rsidR="00427468">
        <w:t xml:space="preserve"> of </w:t>
      </w:r>
      <w:r w:rsidRPr="001A3D2B">
        <w:t>this study was to establish which countries publish</w:t>
      </w:r>
      <w:r w:rsidR="003A1917">
        <w:t xml:space="preserve"> the </w:t>
      </w:r>
      <w:r w:rsidRPr="001A3D2B">
        <w:t>most in leading general surgical journals. METHODS: We analysed all</w:t>
      </w:r>
      <w:r w:rsidR="003A1917">
        <w:t xml:space="preserve"> the </w:t>
      </w:r>
      <w:r w:rsidRPr="001A3D2B">
        <w:t>studies, reviews</w:t>
      </w:r>
      <w:r w:rsidR="005853A9">
        <w:t xml:space="preserve"> and </w:t>
      </w:r>
      <w:r w:rsidRPr="001A3D2B">
        <w:t>case reports published in 2003-2004 in 10 leading English-language general surgical journals with</w:t>
      </w:r>
      <w:r w:rsidR="003A1917">
        <w:t xml:space="preserve"> the </w:t>
      </w:r>
      <w:r w:rsidRPr="001A3D2B">
        <w:t>highest impact factors to obtain country-wise data with regard to</w:t>
      </w:r>
      <w:r w:rsidR="003A1917">
        <w:t xml:space="preserve"> the </w:t>
      </w:r>
      <w:r w:rsidRPr="001A3D2B">
        <w:t>origin</w:t>
      </w:r>
      <w:r w:rsidR="00427468">
        <w:t xml:space="preserve"> of </w:t>
      </w:r>
      <w:r w:rsidRPr="001A3D2B">
        <w:t>articles. Editorials, historical articles, commentaries, guidelines, biographies, interviews</w:t>
      </w:r>
      <w:r w:rsidR="005853A9">
        <w:t xml:space="preserve"> and </w:t>
      </w:r>
      <w:r w:rsidRPr="001A3D2B">
        <w:t>letters to editors were excluded from</w:t>
      </w:r>
      <w:r w:rsidR="003A1917">
        <w:t xml:space="preserve"> the </w:t>
      </w:r>
      <w:r w:rsidRPr="001A3D2B">
        <w:t>analysis. RESULTS: A total</w:t>
      </w:r>
      <w:r w:rsidR="00427468">
        <w:t xml:space="preserve"> of </w:t>
      </w:r>
      <w:r w:rsidRPr="001A3D2B">
        <w:t>5,081 articles were reviewed. Out</w:t>
      </w:r>
      <w:r w:rsidR="00427468">
        <w:t xml:space="preserve"> of </w:t>
      </w:r>
      <w:r w:rsidRPr="001A3D2B">
        <w:t>these, 834 were excluded as detailed above</w:t>
      </w:r>
      <w:r w:rsidR="005853A9">
        <w:t xml:space="preserve"> and </w:t>
      </w:r>
      <w:r w:rsidR="003A1917">
        <w:t xml:space="preserve">the </w:t>
      </w:r>
      <w:r w:rsidRPr="001A3D2B">
        <w:t>remaining 4,247 articles were analysed. Most</w:t>
      </w:r>
      <w:r w:rsidR="00427468">
        <w:t xml:space="preserve"> of </w:t>
      </w:r>
      <w:r w:rsidRPr="001A3D2B">
        <w:t xml:space="preserve">these were from </w:t>
      </w:r>
      <w:r w:rsidR="00D5664A">
        <w:t>USA</w:t>
      </w:r>
      <w:r w:rsidRPr="001A3D2B">
        <w:t>, European countries, Japan,</w:t>
      </w:r>
      <w:r w:rsidR="005853A9">
        <w:t xml:space="preserve"> and </w:t>
      </w:r>
      <w:r w:rsidRPr="001A3D2B">
        <w:t>Australia. It seems that</w:t>
      </w:r>
      <w:r w:rsidR="003A1917">
        <w:t xml:space="preserve"> the </w:t>
      </w:r>
      <w:r w:rsidRPr="001A3D2B">
        <w:t>vast majority</w:t>
      </w:r>
      <w:r w:rsidR="00427468">
        <w:t xml:space="preserve"> of </w:t>
      </w:r>
      <w:r w:rsidR="003A1917">
        <w:t xml:space="preserve">the </w:t>
      </w:r>
      <w:r w:rsidRPr="001A3D2B">
        <w:t>world</w:t>
      </w:r>
      <w:r w:rsidR="00700038">
        <w:t>’</w:t>
      </w:r>
      <w:r w:rsidR="00C13DDC">
        <w:t>s</w:t>
      </w:r>
      <w:r w:rsidRPr="001A3D2B">
        <w:t xml:space="preserve"> population living in</w:t>
      </w:r>
      <w:r w:rsidR="003A1917">
        <w:t xml:space="preserve"> the </w:t>
      </w:r>
      <w:r w:rsidRPr="001A3D2B">
        <w:t>developing countries do not find adequate representation in leading general surgical journals. CONCLUSION: Very few articles are published from developing countries in leading general surgical journals. Both developing countries</w:t>
      </w:r>
      <w:r w:rsidR="005853A9">
        <w:t xml:space="preserve"> and </w:t>
      </w:r>
      <w:r w:rsidRPr="001A3D2B">
        <w:t>medical journals need to take steps to curb this trend. Steps are suggested to improve</w:t>
      </w:r>
      <w:r w:rsidR="003A1917">
        <w:t xml:space="preserve"> the </w:t>
      </w:r>
      <w:r w:rsidRPr="001A3D2B">
        <w:t>situation so that</w:t>
      </w:r>
      <w:r w:rsidR="003A1917">
        <w:t xml:space="preserve"> the </w:t>
      </w:r>
      <w:r w:rsidRPr="001A3D2B">
        <w:t>developing world is also adequately represented in</w:t>
      </w:r>
      <w:r w:rsidR="003A1917">
        <w:t xml:space="preserve"> the </w:t>
      </w:r>
      <w:r w:rsidRPr="001A3D2B">
        <w:t>surgical literature.</w:t>
      </w:r>
    </w:p>
    <w:p w:rsidR="003474F2" w:rsidRPr="001A3D2B" w:rsidRDefault="003474F2" w:rsidP="003474F2">
      <w:pPr>
        <w:pStyle w:val="a3"/>
      </w:pPr>
      <w:r w:rsidRPr="001A3D2B">
        <w:t xml:space="preserve">Keywords: Analysis, Australia, Background, Case Reports, Data, Developing, Developing Countries, Developing World, General, Guidelines, Impact, Impact Factors, Interviews, Japan, Journals, Literature, Living, Medical, Medical Journals, Methods, Origin, Population, Purpose, Representation, Reviews, Trend, </w:t>
      </w:r>
      <w:r w:rsidR="00D5664A">
        <w:t>USA</w:t>
      </w:r>
      <w:r w:rsidRPr="001A3D2B">
        <w:t>, World</w:t>
      </w:r>
    </w:p>
    <w:p w:rsidR="007A11D6" w:rsidRPr="001A3D2B" w:rsidRDefault="007A11D6" w:rsidP="007A11D6">
      <w:pPr>
        <w:pStyle w:val="1"/>
      </w:pPr>
      <w:r w:rsidRPr="001A3D2B">
        <w:br w:type="page"/>
      </w:r>
      <w:bookmarkStart w:id="652" w:name="_Toc420814634"/>
      <w:r w:rsidRPr="001A3D2B">
        <w:lastRenderedPageBreak/>
        <w:t xml:space="preserve">Title: </w:t>
      </w:r>
      <w:r w:rsidRPr="007A11D6">
        <w:t>Asian Journal of Technology Innovation</w:t>
      </w:r>
      <w:bookmarkEnd w:id="652"/>
    </w:p>
    <w:p w:rsidR="007A11D6" w:rsidRPr="001A3D2B" w:rsidRDefault="007A11D6" w:rsidP="007A11D6">
      <w:pPr>
        <w:pStyle w:val="12"/>
      </w:pPr>
      <w:r w:rsidRPr="001A3D2B">
        <w:t xml:space="preserve">Full Journal Title: </w:t>
      </w:r>
      <w:r w:rsidRPr="007A11D6">
        <w:rPr>
          <w:iCs/>
          <w:kern w:val="0"/>
        </w:rPr>
        <w:t>Asian Journal of Technology Innovation</w:t>
      </w:r>
    </w:p>
    <w:p w:rsidR="007A11D6" w:rsidRPr="001A3D2B" w:rsidRDefault="007A11D6" w:rsidP="007A11D6">
      <w:pPr>
        <w:pStyle w:val="12"/>
      </w:pPr>
      <w:r w:rsidRPr="001A3D2B">
        <w:t xml:space="preserve">ISO Abbreviated Title: </w:t>
      </w:r>
    </w:p>
    <w:p w:rsidR="007A11D6" w:rsidRPr="001A3D2B" w:rsidRDefault="007A11D6" w:rsidP="007A11D6">
      <w:pPr>
        <w:pStyle w:val="12"/>
      </w:pPr>
      <w:r w:rsidRPr="001A3D2B">
        <w:t xml:space="preserve">JCR Abbreviated Title: </w:t>
      </w:r>
    </w:p>
    <w:p w:rsidR="007A11D6" w:rsidRPr="001A3D2B" w:rsidRDefault="007A11D6" w:rsidP="007A11D6">
      <w:pPr>
        <w:pStyle w:val="12"/>
      </w:pPr>
      <w:r w:rsidRPr="001A3D2B">
        <w:t xml:space="preserve">ISSN: </w:t>
      </w:r>
    </w:p>
    <w:p w:rsidR="007A11D6" w:rsidRPr="001A3D2B" w:rsidRDefault="007A11D6" w:rsidP="007A11D6">
      <w:pPr>
        <w:pStyle w:val="12"/>
      </w:pPr>
      <w:r w:rsidRPr="001A3D2B">
        <w:t xml:space="preserve">Issues/Year: </w:t>
      </w:r>
    </w:p>
    <w:p w:rsidR="007A11D6" w:rsidRPr="001A3D2B" w:rsidRDefault="007A11D6" w:rsidP="007A11D6">
      <w:pPr>
        <w:pStyle w:val="12"/>
      </w:pPr>
      <w:r w:rsidRPr="001A3D2B">
        <w:t xml:space="preserve">Journal Country/Territory: </w:t>
      </w:r>
    </w:p>
    <w:p w:rsidR="007A11D6" w:rsidRPr="001A3D2B" w:rsidRDefault="007A11D6" w:rsidP="007A11D6">
      <w:pPr>
        <w:pStyle w:val="12"/>
      </w:pPr>
      <w:r w:rsidRPr="001A3D2B">
        <w:t xml:space="preserve">Language: </w:t>
      </w:r>
    </w:p>
    <w:p w:rsidR="007A11D6" w:rsidRPr="001A3D2B" w:rsidRDefault="007A11D6" w:rsidP="007A11D6">
      <w:pPr>
        <w:pStyle w:val="12"/>
      </w:pPr>
      <w:r w:rsidRPr="001A3D2B">
        <w:t xml:space="preserve">Publisher: </w:t>
      </w:r>
    </w:p>
    <w:p w:rsidR="007A11D6" w:rsidRPr="001A3D2B" w:rsidRDefault="007A11D6" w:rsidP="007A11D6">
      <w:pPr>
        <w:pStyle w:val="12"/>
      </w:pPr>
      <w:r w:rsidRPr="001A3D2B">
        <w:t xml:space="preserve">Publisher Address: </w:t>
      </w:r>
    </w:p>
    <w:p w:rsidR="007A11D6" w:rsidRPr="001A3D2B" w:rsidRDefault="007A11D6" w:rsidP="007A11D6">
      <w:pPr>
        <w:pStyle w:val="12"/>
      </w:pPr>
      <w:r w:rsidRPr="001A3D2B">
        <w:t>Subject Categories:</w:t>
      </w:r>
    </w:p>
    <w:p w:rsidR="007A11D6" w:rsidRPr="001A3D2B" w:rsidRDefault="007A11D6" w:rsidP="007A11D6">
      <w:pPr>
        <w:pStyle w:val="12"/>
      </w:pPr>
      <w:r w:rsidRPr="001A3D2B">
        <w:t>: Impact Factor</w:t>
      </w:r>
    </w:p>
    <w:p w:rsidR="007A11D6" w:rsidRDefault="007A11D6" w:rsidP="007A11D6">
      <w:pPr>
        <w:pStyle w:val="a3"/>
        <w:rPr>
          <w:kern w:val="0"/>
        </w:rPr>
      </w:pPr>
      <w:r>
        <w:rPr>
          <w:rFonts w:hint="eastAsia"/>
          <w:kern w:val="0"/>
        </w:rPr>
        <w:t xml:space="preserve">? </w:t>
      </w:r>
      <w:r>
        <w:rPr>
          <w:kern w:val="0"/>
        </w:rPr>
        <w:t xml:space="preserve">Jung, J.H. and Park, J. (2014), Outcome measures of agricultural R&amp;D and contributory factors. </w:t>
      </w:r>
      <w:r w:rsidRPr="007A11D6">
        <w:rPr>
          <w:i/>
          <w:iCs/>
          <w:kern w:val="0"/>
        </w:rPr>
        <w:t>Asian Journal of Technology Innovation</w:t>
      </w:r>
      <w:r>
        <w:rPr>
          <w:kern w:val="0"/>
        </w:rPr>
        <w:t xml:space="preserve">, </w:t>
      </w:r>
      <w:r>
        <w:rPr>
          <w:b/>
          <w:bCs/>
          <w:kern w:val="0"/>
        </w:rPr>
        <w:t>22</w:t>
      </w:r>
      <w:r>
        <w:rPr>
          <w:kern w:val="0"/>
        </w:rPr>
        <w:t xml:space="preserve"> (1), 152-167.</w:t>
      </w:r>
    </w:p>
    <w:p w:rsidR="007A11D6" w:rsidRDefault="007A11D6" w:rsidP="007A11D6">
      <w:pPr>
        <w:pStyle w:val="a3"/>
        <w:rPr>
          <w:kern w:val="0"/>
        </w:rPr>
      </w:pPr>
      <w:r>
        <w:rPr>
          <w:rFonts w:hint="eastAsia"/>
          <w:kern w:val="0"/>
        </w:rPr>
        <w:t xml:space="preserve">Full Text: </w:t>
      </w:r>
      <w:r w:rsidRPr="007A11D6">
        <w:rPr>
          <w:kern w:val="0"/>
        </w:rPr>
        <w:t>2014\Asi J Tec Inn22, 152.pdf</w:t>
      </w:r>
    </w:p>
    <w:p w:rsidR="007A11D6" w:rsidRDefault="007A11D6" w:rsidP="007A11D6">
      <w:pPr>
        <w:pStyle w:val="a3"/>
        <w:rPr>
          <w:kern w:val="0"/>
        </w:rPr>
      </w:pPr>
      <w:r>
        <w:rPr>
          <w:kern w:val="0"/>
        </w:rPr>
        <w:t>Abstract: This paper measures the innovation performance of agricultural R&amp;D in terms of outcome and analyses its determining factors. We measure the outcome of agricultural R&amp;D by its contribution to agricultural competitiveness in terms of technology transfers, on-farm applications, the value added, and price competitiveness of farm products. We estimate R&amp;D outcome functions by using two-stage regressions (negative binomial and ordered probit in the second stage) with special focus on the role of R&amp;D output such as patents and SCI (Science Citation Index) papers. The regression results obtained using data on agricultural R&amp;D projects in Korea suggest a need for varying R&amp;D management strategies according to the performance objective (the outcome index) of each R&amp;D project. The quality of R&amp;D personnel appears to be the most common and effective source of agricultural competitiveness. In contrast, the conventional output measures such as patents and SCI papers do not influence the outcome measures adopted herein.</w:t>
      </w:r>
    </w:p>
    <w:p w:rsidR="007A11D6" w:rsidRDefault="007A11D6" w:rsidP="007A11D6">
      <w:pPr>
        <w:pStyle w:val="a3"/>
        <w:rPr>
          <w:kern w:val="0"/>
        </w:rPr>
      </w:pPr>
      <w:r>
        <w:rPr>
          <w:kern w:val="0"/>
        </w:rPr>
        <w:t>Keywords: Agricultural, Agricultural Competitiveness, Agricultural R&amp;D, Analyses, Biotechnology, Citation, Competitiveness, Contribution, Conventional, Data, Firms, Functions, Index, Indicators, Influence, Innovation, Korea, Management, Measure, Measures, Outcome, Outcome Measures, Papers, Patent, Patent Statistics, Patents, Performance, Performance Measures, Personnel, Productivity, Quality, Quality Of, R&amp;D, R&amp;D Management, Regression, Role, SCI, Science, Science Citation Index, Second Stage, Source, Spillovers, Technological Opportunity, Technology, Value</w:t>
      </w:r>
    </w:p>
    <w:p w:rsidR="003474F2" w:rsidRPr="001A3D2B" w:rsidRDefault="003474F2" w:rsidP="003474F2">
      <w:pPr>
        <w:pStyle w:val="1"/>
      </w:pPr>
      <w:r w:rsidRPr="001A3D2B">
        <w:br w:type="page"/>
      </w:r>
      <w:bookmarkStart w:id="653" w:name="_Toc420814635"/>
      <w:r w:rsidRPr="001A3D2B">
        <w:lastRenderedPageBreak/>
        <w:t>Title: Asian Libraries</w:t>
      </w:r>
      <w:bookmarkEnd w:id="653"/>
    </w:p>
    <w:p w:rsidR="003474F2" w:rsidRPr="001A3D2B" w:rsidRDefault="003474F2" w:rsidP="003474F2">
      <w:pPr>
        <w:pStyle w:val="12"/>
      </w:pPr>
      <w:r w:rsidRPr="001A3D2B">
        <w:t>Full Journal Title: Asi</w:t>
      </w:r>
      <w:bookmarkStart w:id="654" w:name="_Toc81215626"/>
      <w:r w:rsidRPr="001A3D2B">
        <w:t>an Libraries</w:t>
      </w:r>
    </w:p>
    <w:p w:rsidR="003474F2" w:rsidRPr="001A3D2B" w:rsidRDefault="003474F2" w:rsidP="003474F2">
      <w:pPr>
        <w:pStyle w:val="12"/>
      </w:pPr>
      <w:r w:rsidRPr="001A3D2B">
        <w:t>ISO Abbre</w:t>
      </w:r>
      <w:bookmarkEnd w:id="654"/>
      <w:r w:rsidRPr="001A3D2B">
        <w:t xml:space="preserv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xml:space="preserve">Wormell, </w:t>
      </w:r>
      <w:smartTag w:uri="urn:schemas-microsoft-com:office:smarttags" w:element="place">
        <w:r w:rsidRPr="001A3D2B">
          <w:t>I.</w:t>
        </w:r>
      </w:smartTag>
      <w:r w:rsidRPr="001A3D2B">
        <w:t xml:space="preserve"> (1998), Informetrics: An emerging subdiscipline in information science. </w:t>
      </w:r>
      <w:r w:rsidRPr="001A3D2B">
        <w:rPr>
          <w:i/>
          <w:iCs/>
        </w:rPr>
        <w:t>Asian Libraries</w:t>
      </w:r>
      <w:r w:rsidRPr="001A3D2B">
        <w:t xml:space="preserve">, </w:t>
      </w:r>
      <w:r w:rsidRPr="001A3D2B">
        <w:rPr>
          <w:b/>
          <w:bCs/>
        </w:rPr>
        <w:t>7</w:t>
      </w:r>
      <w:r w:rsidRPr="001A3D2B">
        <w:t xml:space="preserve"> (10), 257-268.</w:t>
      </w:r>
    </w:p>
    <w:p w:rsidR="003474F2" w:rsidRPr="001A3D2B" w:rsidRDefault="003474F2" w:rsidP="003474F2">
      <w:pPr>
        <w:pStyle w:val="a3"/>
      </w:pPr>
      <w:r w:rsidRPr="001A3D2B">
        <w:t xml:space="preserve">Full Text: </w:t>
      </w:r>
      <w:hyperlink r:id="rId1275" w:history="1">
        <w:r w:rsidRPr="001A3D2B">
          <w:rPr>
            <w:rStyle w:val="a5"/>
          </w:rPr>
          <w:t>1998\Asi Lib7, 257.pdf</w:t>
        </w:r>
      </w:hyperlink>
    </w:p>
    <w:p w:rsidR="003474F2" w:rsidRPr="001A3D2B" w:rsidRDefault="003474F2" w:rsidP="003474F2">
      <w:pPr>
        <w:pStyle w:val="a3"/>
      </w:pPr>
      <w:r w:rsidRPr="001A3D2B">
        <w:t>Abstract:</w:t>
      </w:r>
      <w:r w:rsidR="003A1917">
        <w:t xml:space="preserve"> the </w:t>
      </w:r>
      <w:r w:rsidRPr="001A3D2B">
        <w:t>Centre for Informetric Studies (CIS) was launched in 1996 by</w:t>
      </w:r>
      <w:r w:rsidR="003A1917">
        <w:t xml:space="preserve"> the </w:t>
      </w:r>
      <w:r w:rsidRPr="001A3D2B">
        <w:t>Royal School</w:t>
      </w:r>
      <w:r w:rsidR="00427468">
        <w:t xml:space="preserve"> of </w:t>
      </w:r>
      <w:r w:rsidRPr="001A3D2B">
        <w:t>Library</w:t>
      </w:r>
      <w:r w:rsidR="005853A9">
        <w:t xml:space="preserve"> and </w:t>
      </w:r>
      <w:r w:rsidRPr="001A3D2B">
        <w:t>Information Science in Copenhagen</w:t>
      </w:r>
      <w:r w:rsidR="00A37C1D">
        <w:t>. The</w:t>
      </w:r>
      <w:r w:rsidR="003A1917">
        <w:t xml:space="preserve"> </w:t>
      </w:r>
      <w:r w:rsidRPr="001A3D2B">
        <w:t>head</w:t>
      </w:r>
      <w:r w:rsidR="00427468">
        <w:t xml:space="preserve"> of </w:t>
      </w:r>
      <w:r w:rsidRPr="001A3D2B">
        <w:t>centre presents</w:t>
      </w:r>
      <w:r w:rsidR="003A1917">
        <w:t xml:space="preserve"> the </w:t>
      </w:r>
      <w:r w:rsidRPr="001A3D2B">
        <w:t>CIS, giving a sample</w:t>
      </w:r>
      <w:r w:rsidR="00427468">
        <w:t xml:space="preserve"> of </w:t>
      </w:r>
      <w:r w:rsidRPr="001A3D2B">
        <w:t>activities</w:t>
      </w:r>
      <w:r w:rsidR="005853A9">
        <w:t xml:space="preserve"> and </w:t>
      </w:r>
      <w:r w:rsidRPr="001A3D2B">
        <w:t>research programmes</w:t>
      </w:r>
      <w:r w:rsidR="00A37C1D">
        <w:t>. The</w:t>
      </w:r>
      <w:r w:rsidR="003A1917">
        <w:t xml:space="preserve"> </w:t>
      </w:r>
      <w:r w:rsidRPr="001A3D2B">
        <w:t>emerging field</w:t>
      </w:r>
      <w:r w:rsidR="00427468">
        <w:t xml:space="preserve"> of </w:t>
      </w:r>
      <w:r w:rsidRPr="001A3D2B">
        <w:t>informetrics is described in a historical perspective as a subfield</w:t>
      </w:r>
      <w:r w:rsidR="00427468">
        <w:t xml:space="preserve"> of </w:t>
      </w:r>
      <w:r w:rsidRPr="001A3D2B">
        <w:t>bibliometrics</w:t>
      </w:r>
      <w:r w:rsidR="00A37C1D">
        <w:t>. The</w:t>
      </w:r>
      <w:r w:rsidR="003A1917">
        <w:t xml:space="preserve"> </w:t>
      </w:r>
      <w:r w:rsidRPr="001A3D2B">
        <w:t>new approach combines advanced information retrieval theories</w:t>
      </w:r>
      <w:r w:rsidR="005853A9">
        <w:t xml:space="preserve"> and </w:t>
      </w:r>
      <w:r w:rsidRPr="001A3D2B">
        <w:t>methodologies with</w:t>
      </w:r>
      <w:r w:rsidR="003A1917">
        <w:t xml:space="preserve"> the </w:t>
      </w:r>
      <w:r w:rsidRPr="001A3D2B">
        <w:t>scientific study</w:t>
      </w:r>
      <w:r w:rsidR="00427468">
        <w:t xml:space="preserve"> of </w:t>
      </w:r>
      <w:r w:rsidRPr="001A3D2B">
        <w:t>information flows. CIS aims to apply improved bibliometric methods not only to scientometrics studies</w:t>
      </w:r>
      <w:r w:rsidR="005853A9">
        <w:t xml:space="preserve"> and </w:t>
      </w:r>
      <w:r w:rsidRPr="001A3D2B">
        <w:t>research evaluations</w:t>
      </w:r>
      <w:r w:rsidR="00427468">
        <w:t xml:space="preserve"> of </w:t>
      </w:r>
      <w:r w:rsidRPr="001A3D2B">
        <w:t>science</w:t>
      </w:r>
      <w:r w:rsidR="005853A9">
        <w:t xml:space="preserve"> and </w:t>
      </w:r>
      <w:r w:rsidRPr="001A3D2B">
        <w:t>technology, but also to</w:t>
      </w:r>
      <w:r w:rsidR="003A1917">
        <w:t xml:space="preserve"> the </w:t>
      </w:r>
      <w:r w:rsidRPr="001A3D2B">
        <w:t>analysis</w:t>
      </w:r>
      <w:r w:rsidR="00427468">
        <w:t xml:space="preserve"> of </w:t>
      </w:r>
      <w:r w:rsidRPr="001A3D2B">
        <w:t>their mutual societal, industrial</w:t>
      </w:r>
      <w:r w:rsidR="005853A9">
        <w:t xml:space="preserve"> and </w:t>
      </w:r>
      <w:r w:rsidRPr="001A3D2B">
        <w:t>other special relations. This means an extension</w:t>
      </w:r>
      <w:r w:rsidR="00427468">
        <w:t xml:space="preserve"> of </w:t>
      </w:r>
      <w:r w:rsidRPr="001A3D2B">
        <w:t>traditional bibliometric analyses to cover non-scholarly communities in which information is produced, communicated</w:t>
      </w:r>
      <w:r w:rsidR="005853A9">
        <w:t xml:space="preserve"> and </w:t>
      </w:r>
      <w:r w:rsidRPr="001A3D2B">
        <w:t>used. It is also an appeal to modern LIS professionals to face</w:t>
      </w:r>
      <w:r w:rsidR="003A1917">
        <w:t xml:space="preserve"> the </w:t>
      </w:r>
      <w:r w:rsidRPr="001A3D2B">
        <w:t>challenge</w:t>
      </w:r>
      <w:r w:rsidR="00427468">
        <w:t xml:space="preserve"> of </w:t>
      </w:r>
      <w:r w:rsidRPr="001A3D2B">
        <w:t>this new area</w:t>
      </w:r>
      <w:r w:rsidR="00427468">
        <w:t xml:space="preserve"> of </w:t>
      </w:r>
      <w:r w:rsidRPr="001A3D2B">
        <w:t>quantitative studies,</w:t>
      </w:r>
      <w:r w:rsidR="005853A9">
        <w:t xml:space="preserve"> and </w:t>
      </w:r>
      <w:r w:rsidRPr="001A3D2B">
        <w:t>to explore</w:t>
      </w:r>
      <w:r w:rsidR="003A1917">
        <w:t xml:space="preserve"> the </w:t>
      </w:r>
      <w:r w:rsidRPr="001A3D2B">
        <w:t>databases not only as a registry but also as a tool for analytical work</w:t>
      </w:r>
      <w:r w:rsidR="00A37C1D">
        <w:t>. The</w:t>
      </w:r>
      <w:r w:rsidR="003A1917">
        <w:t xml:space="preserve"> </w:t>
      </w:r>
      <w:r w:rsidRPr="001A3D2B">
        <w:t>possibilities for LIS professionals to raise their positions in information work hierarchies are emphasised, as well as</w:t>
      </w:r>
      <w:r w:rsidR="003A1917">
        <w:t xml:space="preserve"> the </w:t>
      </w:r>
      <w:r w:rsidRPr="001A3D2B">
        <w:t>exploration</w:t>
      </w:r>
      <w:r w:rsidR="00427468">
        <w:t xml:space="preserve"> of </w:t>
      </w:r>
      <w:r w:rsidRPr="001A3D2B">
        <w:t xml:space="preserve">informetric techniques to support </w:t>
      </w:r>
      <w:r w:rsidR="00700038">
        <w:t>‘</w:t>
      </w:r>
      <w:r w:rsidRPr="001A3D2B">
        <w:t>informed</w:t>
      </w:r>
      <w:r w:rsidR="00700038">
        <w:t>’</w:t>
      </w:r>
      <w:r w:rsidRPr="001A3D2B">
        <w:t xml:space="preserve"> management decisions</w:t>
      </w:r>
      <w:r w:rsidR="005853A9">
        <w:t xml:space="preserve"> and </w:t>
      </w:r>
      <w:r w:rsidRPr="001A3D2B">
        <w:t>policy making.</w:t>
      </w:r>
    </w:p>
    <w:p w:rsidR="003474F2" w:rsidRPr="001A3D2B" w:rsidRDefault="003474F2" w:rsidP="003474F2">
      <w:pPr>
        <w:pStyle w:val="a3"/>
      </w:pPr>
      <w:r w:rsidRPr="001A3D2B">
        <w:t>Keywords: Decision Making, Information Engineering, Information Retrieval, Methodology, Quantitative Techniques</w:t>
      </w:r>
    </w:p>
    <w:p w:rsidR="003474F2" w:rsidRPr="001A3D2B" w:rsidRDefault="003474F2" w:rsidP="003474F2">
      <w:pPr>
        <w:pStyle w:val="a3"/>
      </w:pPr>
      <w:r w:rsidRPr="001A3D2B">
        <w:t>Anwar, M.A.</w:t>
      </w:r>
      <w:r w:rsidR="005853A9">
        <w:t xml:space="preserve"> and </w:t>
      </w:r>
      <w:r w:rsidRPr="001A3D2B">
        <w:t>Saeed, H. (1999), Pakistani librarians as authors: A bibliometric study</w:t>
      </w:r>
      <w:r w:rsidR="00427468">
        <w:t xml:space="preserve"> of </w:t>
      </w:r>
      <w:r w:rsidRPr="001A3D2B">
        <w:t xml:space="preserve">citations in LISA-PLUS. </w:t>
      </w:r>
      <w:r w:rsidRPr="001A3D2B">
        <w:rPr>
          <w:i/>
          <w:iCs/>
        </w:rPr>
        <w:t>Asian Libraries</w:t>
      </w:r>
      <w:r w:rsidRPr="001A3D2B">
        <w:t xml:space="preserve">, </w:t>
      </w:r>
      <w:r w:rsidRPr="001A3D2B">
        <w:rPr>
          <w:b/>
          <w:bCs/>
        </w:rPr>
        <w:t>8</w:t>
      </w:r>
      <w:r w:rsidRPr="001A3D2B">
        <w:t xml:space="preserve"> (2), 39-46.</w:t>
      </w:r>
    </w:p>
    <w:p w:rsidR="003474F2" w:rsidRPr="001A3D2B" w:rsidRDefault="003474F2" w:rsidP="003474F2">
      <w:pPr>
        <w:pStyle w:val="a3"/>
      </w:pPr>
      <w:r w:rsidRPr="001A3D2B">
        <w:t xml:space="preserve">Full Text: </w:t>
      </w:r>
      <w:hyperlink r:id="rId1276" w:history="1">
        <w:r w:rsidRPr="001A3D2B">
          <w:rPr>
            <w:rStyle w:val="a5"/>
          </w:rPr>
          <w:t>1999\Asi Lib8, 39.pdf</w:t>
        </w:r>
      </w:hyperlink>
    </w:p>
    <w:p w:rsidR="003474F2" w:rsidRPr="001A3D2B" w:rsidRDefault="003474F2" w:rsidP="003474F2">
      <w:pPr>
        <w:pStyle w:val="a3"/>
      </w:pPr>
      <w:r w:rsidRPr="001A3D2B">
        <w:t>Abstract: This study presents quantitative analysis</w:t>
      </w:r>
      <w:r w:rsidR="00427468">
        <w:t xml:space="preserve"> of </w:t>
      </w:r>
      <w:r w:rsidRPr="001A3D2B">
        <w:t xml:space="preserve">251 items contributed by 64 </w:t>
      </w:r>
      <w:r w:rsidRPr="001A3D2B">
        <w:lastRenderedPageBreak/>
        <w:t>Pakistani LIS professionals culled from LISA-PLUS. Volume</w:t>
      </w:r>
      <w:r w:rsidR="00427468">
        <w:t xml:space="preserve"> of </w:t>
      </w:r>
      <w:r w:rsidRPr="001A3D2B">
        <w:t>contribution, sources where published, periodic distribution, type</w:t>
      </w:r>
      <w:r w:rsidR="00427468">
        <w:t xml:space="preserve"> of </w:t>
      </w:r>
      <w:r w:rsidRPr="001A3D2B">
        <w:t>publications</w:t>
      </w:r>
      <w:r w:rsidR="005853A9">
        <w:t xml:space="preserve"> and </w:t>
      </w:r>
      <w:r w:rsidRPr="001A3D2B">
        <w:t>topical coverage are dealt with in</w:t>
      </w:r>
      <w:r w:rsidR="003A1917">
        <w:t xml:space="preserve"> the </w:t>
      </w:r>
      <w:r w:rsidRPr="001A3D2B">
        <w:t>analysis. Journal literature which represents 90.4 per cent</w:t>
      </w:r>
      <w:r w:rsidR="00427468">
        <w:t xml:space="preserve"> of </w:t>
      </w:r>
      <w:r w:rsidR="003A1917">
        <w:t xml:space="preserve">the </w:t>
      </w:r>
      <w:r w:rsidRPr="001A3D2B">
        <w:t>citations is published in 43 periodicals, most</w:t>
      </w:r>
      <w:r w:rsidR="00427468">
        <w:t xml:space="preserve"> of </w:t>
      </w:r>
      <w:r w:rsidRPr="001A3D2B">
        <w:t>which are from</w:t>
      </w:r>
      <w:r w:rsidR="003A1917">
        <w:t xml:space="preserve"> the </w:t>
      </w:r>
      <w:r w:rsidRPr="001A3D2B">
        <w:t>United States. However, more than half</w:t>
      </w:r>
      <w:r w:rsidR="00427468">
        <w:t xml:space="preserve"> of </w:t>
      </w:r>
      <w:r w:rsidR="003A1917">
        <w:t xml:space="preserve">the </w:t>
      </w:r>
      <w:r w:rsidRPr="001A3D2B">
        <w:t>journal literature comes from one national journal. A wide range</w:t>
      </w:r>
      <w:r w:rsidR="00427468">
        <w:t xml:space="preserve"> of </w:t>
      </w:r>
      <w:r w:rsidRPr="001A3D2B">
        <w:t>topics is covered, but critical areas such as information needs, user education</w:t>
      </w:r>
      <w:r w:rsidR="005853A9">
        <w:t xml:space="preserve"> and </w:t>
      </w:r>
      <w:r w:rsidRPr="001A3D2B">
        <w:t>collection evaluation receive very little attention.</w:t>
      </w:r>
    </w:p>
    <w:p w:rsidR="003474F2" w:rsidRPr="001A3D2B" w:rsidRDefault="003474F2" w:rsidP="003474F2">
      <w:pPr>
        <w:pStyle w:val="a3"/>
      </w:pPr>
      <w:r w:rsidRPr="001A3D2B">
        <w:t>Keywords: Collection Management, Education, Information Services, Library Services, Library Users, Quantitative Analysis</w:t>
      </w:r>
    </w:p>
    <w:p w:rsidR="003474F2" w:rsidRPr="001A3D2B" w:rsidRDefault="003474F2" w:rsidP="003474F2">
      <w:pPr>
        <w:pStyle w:val="1"/>
      </w:pPr>
      <w:r w:rsidRPr="001A3D2B">
        <w:br w:type="page"/>
      </w:r>
      <w:bookmarkStart w:id="655" w:name="_Toc420814636"/>
      <w:r w:rsidRPr="001A3D2B">
        <w:lastRenderedPageBreak/>
        <w:t>Title: Asian-Pacific Economic Literature</w:t>
      </w:r>
      <w:bookmarkEnd w:id="655"/>
    </w:p>
    <w:p w:rsidR="003474F2" w:rsidRPr="001A3D2B" w:rsidRDefault="003474F2" w:rsidP="003474F2">
      <w:pPr>
        <w:pStyle w:val="12"/>
      </w:pPr>
      <w:r w:rsidRPr="001A3D2B">
        <w:t xml:space="preserve">Full </w:t>
      </w:r>
      <w:bookmarkStart w:id="656" w:name="_Toc81215627"/>
      <w:r w:rsidRPr="001A3D2B">
        <w:t xml:space="preserve">Journal Title: </w:t>
      </w:r>
      <w:r w:rsidR="00206C8A">
        <w:fldChar w:fldCharType="begin"/>
      </w:r>
      <w:r w:rsidR="00FD158B">
        <w:instrText>HYPERLINK "http://www.bl</w:instrText>
      </w:r>
      <w:bookmarkEnd w:id="656"/>
      <w:r w:rsidR="00FD158B">
        <w:instrText>ackwellpublishing.com/journal.asp?ref=0818-9935&amp;site=1"</w:instrText>
      </w:r>
      <w:r w:rsidR="00206C8A">
        <w:fldChar w:fldCharType="separate"/>
      </w:r>
      <w:r w:rsidRPr="001A3D2B">
        <w:rPr>
          <w:rStyle w:val="a5"/>
        </w:rPr>
        <w:t>Asian-Pacific Economic Literature</w:t>
      </w:r>
      <w:r w:rsidR="00206C8A">
        <w:fldChar w:fldCharType="end"/>
      </w:r>
      <w:r w:rsidRPr="001A3D2B">
        <w:t xml:space="preserve">, </w:t>
      </w:r>
      <w:hyperlink r:id="rId1277" w:history="1">
        <w:r w:rsidRPr="001A3D2B">
          <w:rPr>
            <w:rStyle w:val="a5"/>
          </w:rPr>
          <w:t>Asian-Pacific Economic Literature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0818-9935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smartTag w:uri="urn:schemas-microsoft-com:office:smarttags" w:element="place">
        <w:smartTag w:uri="urn:schemas-microsoft-com:office:smarttags" w:element="City">
          <w:r w:rsidRPr="001A3D2B">
            <w:t>Davis</w:t>
          </w:r>
        </w:smartTag>
      </w:smartTag>
      <w:r w:rsidRPr="001A3D2B">
        <w:t>, J.C.</w:t>
      </w:r>
      <w:r w:rsidR="005853A9">
        <w:t xml:space="preserve"> and </w:t>
      </w:r>
      <w:r w:rsidRPr="001A3D2B">
        <w:t>Gonzalez, J.G. (2003), Scholarly journal articles about</w:t>
      </w:r>
      <w:r w:rsidR="003A1917">
        <w:t xml:space="preserve"> the </w:t>
      </w:r>
      <w:r w:rsidRPr="001A3D2B">
        <w:t>Asian Tiger Economies: Authors, journals</w:t>
      </w:r>
      <w:r w:rsidR="005853A9">
        <w:t xml:space="preserve"> and </w:t>
      </w:r>
      <w:r w:rsidRPr="001A3D2B">
        <w:t xml:space="preserve">research fields, 1986-2001. </w:t>
      </w:r>
      <w:r w:rsidRPr="001A3D2B">
        <w:rPr>
          <w:i/>
          <w:iCs/>
        </w:rPr>
        <w:t>Asian-Pacific Economic Literature</w:t>
      </w:r>
      <w:r w:rsidRPr="001A3D2B">
        <w:t xml:space="preserve">, </w:t>
      </w:r>
      <w:r w:rsidRPr="001A3D2B">
        <w:rPr>
          <w:b/>
          <w:bCs/>
        </w:rPr>
        <w:t>17</w:t>
      </w:r>
      <w:r w:rsidRPr="001A3D2B">
        <w:t xml:space="preserve"> (2), 51-61.</w:t>
      </w:r>
    </w:p>
    <w:p w:rsidR="003474F2" w:rsidRPr="001A3D2B" w:rsidRDefault="003474F2" w:rsidP="003474F2">
      <w:pPr>
        <w:pStyle w:val="a3"/>
      </w:pPr>
      <w:r w:rsidRPr="001A3D2B">
        <w:t xml:space="preserve">Full Text: </w:t>
      </w:r>
      <w:hyperlink r:id="rId1278" w:history="1">
        <w:r w:rsidRPr="001A3D2B">
          <w:rPr>
            <w:rStyle w:val="a5"/>
          </w:rPr>
          <w:t>2003\Asi-Pac Eco Lit17, 51.pdf</w:t>
        </w:r>
      </w:hyperlink>
    </w:p>
    <w:p w:rsidR="003474F2" w:rsidRPr="001A3D2B" w:rsidRDefault="003474F2" w:rsidP="003474F2">
      <w:pPr>
        <w:pStyle w:val="a3"/>
      </w:pPr>
      <w:r w:rsidRPr="001A3D2B">
        <w:t>Abstract: Focuses on</w:t>
      </w:r>
      <w:r w:rsidR="003A1917">
        <w:t xml:space="preserve"> the </w:t>
      </w:r>
      <w:r w:rsidRPr="001A3D2B">
        <w:t>scholarly journal articles about</w:t>
      </w:r>
      <w:r w:rsidR="003A1917">
        <w:t xml:space="preserve"> the </w:t>
      </w:r>
      <w:r w:rsidRPr="001A3D2B">
        <w:t xml:space="preserve">tiger economies in </w:t>
      </w:r>
      <w:smartTag w:uri="urn:schemas-microsoft-com:office:smarttags" w:element="place">
        <w:r w:rsidRPr="001A3D2B">
          <w:t>Asia</w:t>
        </w:r>
      </w:smartTag>
      <w:r w:rsidRPr="001A3D2B">
        <w:t>. Response</w:t>
      </w:r>
      <w:r w:rsidR="00427468">
        <w:t xml:space="preserve"> of </w:t>
      </w:r>
      <w:r w:rsidRPr="001A3D2B">
        <w:t>economics literature to change in economies; Database</w:t>
      </w:r>
      <w:r w:rsidR="00427468">
        <w:t xml:space="preserve"> of </w:t>
      </w:r>
      <w:r w:rsidR="003A1917">
        <w:t xml:space="preserve">the </w:t>
      </w:r>
      <w:r w:rsidR="00700038">
        <w:t>‘</w:t>
      </w:r>
      <w:r w:rsidRPr="001A3D2B">
        <w:t>Journal</w:t>
      </w:r>
      <w:r w:rsidR="00427468">
        <w:t xml:space="preserve"> of </w:t>
      </w:r>
      <w:r w:rsidRPr="001A3D2B">
        <w:t>Economic Literature</w:t>
      </w:r>
      <w:r w:rsidR="00700038">
        <w:t>’</w:t>
      </w:r>
      <w:r w:rsidRPr="001A3D2B">
        <w:t xml:space="preserve"> used as data source</w:t>
      </w:r>
      <w:r w:rsidR="00427468">
        <w:t xml:space="preserve"> of </w:t>
      </w:r>
      <w:r w:rsidR="003A1917">
        <w:t xml:space="preserve">the </w:t>
      </w:r>
      <w:r w:rsidRPr="001A3D2B">
        <w:t>study; Trends</w:t>
      </w:r>
      <w:r w:rsidR="005853A9">
        <w:t xml:space="preserve"> and </w:t>
      </w:r>
      <w:r w:rsidRPr="001A3D2B">
        <w:t>cycles</w:t>
      </w:r>
      <w:r w:rsidR="00427468">
        <w:t xml:space="preserve"> of </w:t>
      </w:r>
      <w:r w:rsidRPr="001A3D2B">
        <w:t>publications.</w:t>
      </w:r>
    </w:p>
    <w:p w:rsidR="00B2573F" w:rsidRPr="001A3D2B" w:rsidRDefault="00B2573F" w:rsidP="00B2573F">
      <w:pPr>
        <w:pStyle w:val="1"/>
      </w:pPr>
      <w:r w:rsidRPr="001A3D2B">
        <w:br w:type="page"/>
      </w:r>
      <w:bookmarkStart w:id="657" w:name="_Toc420814637"/>
      <w:r w:rsidRPr="001A3D2B">
        <w:lastRenderedPageBreak/>
        <w:t xml:space="preserve">Title: </w:t>
      </w:r>
      <w:r w:rsidRPr="001A3D2B">
        <w:rPr>
          <w:iCs w:val="0"/>
        </w:rPr>
        <w:t>Asian Pacific Journal</w:t>
      </w:r>
      <w:r w:rsidR="00427468">
        <w:rPr>
          <w:iCs w:val="0"/>
        </w:rPr>
        <w:t xml:space="preserve"> of </w:t>
      </w:r>
      <w:r w:rsidRPr="001A3D2B">
        <w:rPr>
          <w:iCs w:val="0"/>
        </w:rPr>
        <w:t>Cancer Prevention</w:t>
      </w:r>
      <w:bookmarkEnd w:id="657"/>
    </w:p>
    <w:p w:rsidR="00B2573F" w:rsidRPr="001A3D2B" w:rsidRDefault="00B2573F" w:rsidP="00B2573F">
      <w:pPr>
        <w:pStyle w:val="12"/>
      </w:pPr>
      <w:r w:rsidRPr="001A3D2B">
        <w:t xml:space="preserve">Full Journal Title: </w:t>
      </w:r>
      <w:hyperlink r:id="rId1279" w:history="1">
        <w:r w:rsidRPr="0010082F">
          <w:rPr>
            <w:rStyle w:val="a5"/>
            <w:iCs/>
            <w:kern w:val="0"/>
          </w:rPr>
          <w:t>Asian Pacific Journal</w:t>
        </w:r>
        <w:r w:rsidR="00427468" w:rsidRPr="0010082F">
          <w:rPr>
            <w:rStyle w:val="a5"/>
            <w:iCs/>
            <w:kern w:val="0"/>
          </w:rPr>
          <w:t xml:space="preserve"> of </w:t>
        </w:r>
        <w:r w:rsidRPr="0010082F">
          <w:rPr>
            <w:rStyle w:val="a5"/>
            <w:iCs/>
            <w:kern w:val="0"/>
          </w:rPr>
          <w:t>Cancer Prevention</w:t>
        </w:r>
      </w:hyperlink>
    </w:p>
    <w:p w:rsidR="00B2573F" w:rsidRPr="001A3D2B" w:rsidRDefault="00B2573F" w:rsidP="00B2573F">
      <w:pPr>
        <w:pStyle w:val="12"/>
      </w:pPr>
      <w:r w:rsidRPr="001A3D2B">
        <w:t xml:space="preserve">ISO Abbreviated Title: </w:t>
      </w:r>
    </w:p>
    <w:p w:rsidR="00B2573F" w:rsidRPr="001A3D2B" w:rsidRDefault="00B2573F" w:rsidP="00B2573F">
      <w:pPr>
        <w:pStyle w:val="12"/>
      </w:pPr>
      <w:r w:rsidRPr="001A3D2B">
        <w:t xml:space="preserve">JCR Abbreviated Title: </w:t>
      </w:r>
    </w:p>
    <w:p w:rsidR="00B2573F" w:rsidRPr="001A3D2B" w:rsidRDefault="00B2573F" w:rsidP="00B2573F">
      <w:pPr>
        <w:pStyle w:val="12"/>
      </w:pPr>
      <w:r w:rsidRPr="001A3D2B">
        <w:t xml:space="preserve">ISSN: </w:t>
      </w:r>
    </w:p>
    <w:p w:rsidR="00B2573F" w:rsidRPr="001A3D2B" w:rsidRDefault="00B2573F" w:rsidP="00B2573F">
      <w:pPr>
        <w:pStyle w:val="12"/>
      </w:pPr>
      <w:r w:rsidRPr="001A3D2B">
        <w:t xml:space="preserve">Issues/Year: </w:t>
      </w:r>
    </w:p>
    <w:p w:rsidR="00B2573F" w:rsidRPr="001A3D2B" w:rsidRDefault="00B2573F" w:rsidP="00B2573F">
      <w:pPr>
        <w:pStyle w:val="12"/>
      </w:pPr>
      <w:r w:rsidRPr="001A3D2B">
        <w:t xml:space="preserve">Journal Country/Territory: </w:t>
      </w:r>
    </w:p>
    <w:p w:rsidR="00B2573F" w:rsidRPr="001A3D2B" w:rsidRDefault="00B2573F" w:rsidP="00B2573F">
      <w:pPr>
        <w:pStyle w:val="12"/>
      </w:pPr>
      <w:r w:rsidRPr="001A3D2B">
        <w:t xml:space="preserve">Language: </w:t>
      </w:r>
    </w:p>
    <w:p w:rsidR="00B2573F" w:rsidRPr="001A3D2B" w:rsidRDefault="00B2573F" w:rsidP="00B2573F">
      <w:pPr>
        <w:pStyle w:val="12"/>
      </w:pPr>
      <w:r w:rsidRPr="001A3D2B">
        <w:t xml:space="preserve">Publisher: </w:t>
      </w:r>
    </w:p>
    <w:p w:rsidR="00B2573F" w:rsidRPr="001A3D2B" w:rsidRDefault="00B2573F" w:rsidP="00B2573F">
      <w:pPr>
        <w:pStyle w:val="12"/>
      </w:pPr>
      <w:r w:rsidRPr="001A3D2B">
        <w:t xml:space="preserve">Publisher Address: </w:t>
      </w:r>
    </w:p>
    <w:p w:rsidR="00B2573F" w:rsidRPr="001A3D2B" w:rsidRDefault="00B2573F" w:rsidP="00B2573F">
      <w:pPr>
        <w:pStyle w:val="12"/>
      </w:pPr>
      <w:r w:rsidRPr="001A3D2B">
        <w:t>Subject Categories:</w:t>
      </w:r>
    </w:p>
    <w:p w:rsidR="00B2573F" w:rsidRPr="001A3D2B" w:rsidRDefault="00B2573F" w:rsidP="00B2573F">
      <w:pPr>
        <w:pStyle w:val="12"/>
      </w:pPr>
      <w:r w:rsidRPr="001A3D2B">
        <w:t>: Impact Factor</w:t>
      </w:r>
    </w:p>
    <w:p w:rsidR="00B2573F" w:rsidRPr="001A3D2B" w:rsidRDefault="00B2573F" w:rsidP="00B2573F">
      <w:pPr>
        <w:pStyle w:val="a3"/>
        <w:rPr>
          <w:kern w:val="0"/>
        </w:rPr>
      </w:pPr>
      <w:r w:rsidRPr="001A3D2B">
        <w:rPr>
          <w:kern w:val="0"/>
        </w:rPr>
        <w:t>? Moore, M.A., Yoo, K.Y.</w:t>
      </w:r>
      <w:r w:rsidR="005853A9">
        <w:rPr>
          <w:kern w:val="0"/>
        </w:rPr>
        <w:t xml:space="preserve"> and </w:t>
      </w:r>
      <w:r w:rsidRPr="001A3D2B">
        <w:rPr>
          <w:kern w:val="0"/>
        </w:rPr>
        <w:t>Tuncer, M. (2009), What is</w:t>
      </w:r>
      <w:r w:rsidR="003A1917">
        <w:rPr>
          <w:kern w:val="0"/>
        </w:rPr>
        <w:t xml:space="preserve"> the </w:t>
      </w:r>
      <w:r w:rsidRPr="001A3D2B">
        <w:rPr>
          <w:kern w:val="0"/>
        </w:rPr>
        <w:t>future for</w:t>
      </w:r>
      <w:r w:rsidR="003A1917">
        <w:rPr>
          <w:kern w:val="0"/>
        </w:rPr>
        <w:t xml:space="preserve"> the </w:t>
      </w:r>
      <w:r w:rsidRPr="001A3D2B">
        <w:rPr>
          <w:i/>
          <w:kern w:val="0"/>
        </w:rPr>
        <w:t>Asian Pacific Journal</w:t>
      </w:r>
      <w:r w:rsidR="00427468">
        <w:rPr>
          <w:i/>
          <w:kern w:val="0"/>
        </w:rPr>
        <w:t xml:space="preserve"> of </w:t>
      </w:r>
      <w:r w:rsidRPr="001A3D2B">
        <w:rPr>
          <w:i/>
          <w:kern w:val="0"/>
        </w:rPr>
        <w:t>Cancer Prevention</w:t>
      </w:r>
      <w:r w:rsidRPr="001A3D2B">
        <w:rPr>
          <w:kern w:val="0"/>
        </w:rPr>
        <w:t xml:space="preserve"> (and control)</w:t>
      </w:r>
      <w:r w:rsidR="005853A9">
        <w:rPr>
          <w:kern w:val="0"/>
        </w:rPr>
        <w:t xml:space="preserve"> and </w:t>
      </w:r>
      <w:r w:rsidR="003A1917">
        <w:rPr>
          <w:kern w:val="0"/>
        </w:rPr>
        <w:t xml:space="preserve">the </w:t>
      </w:r>
      <w:r w:rsidRPr="001A3D2B">
        <w:rPr>
          <w:kern w:val="0"/>
        </w:rPr>
        <w:t xml:space="preserve">Asian Pacific Organization for Cancer Prevention (and control)? </w:t>
      </w:r>
      <w:r w:rsidRPr="001A3D2B">
        <w:rPr>
          <w:i/>
          <w:iCs/>
          <w:kern w:val="0"/>
        </w:rPr>
        <w:t>Asian Pacific Journal</w:t>
      </w:r>
      <w:r w:rsidR="00427468">
        <w:rPr>
          <w:i/>
          <w:iCs/>
          <w:kern w:val="0"/>
        </w:rPr>
        <w:t xml:space="preserve"> of </w:t>
      </w:r>
      <w:r w:rsidRPr="001A3D2B">
        <w:rPr>
          <w:i/>
          <w:iCs/>
          <w:kern w:val="0"/>
        </w:rPr>
        <w:t>Cancer Prevention</w:t>
      </w:r>
      <w:r w:rsidRPr="001A3D2B">
        <w:rPr>
          <w:kern w:val="0"/>
        </w:rPr>
        <w:t xml:space="preserve">, </w:t>
      </w:r>
      <w:r w:rsidRPr="001A3D2B">
        <w:rPr>
          <w:b/>
          <w:bCs/>
          <w:kern w:val="0"/>
        </w:rPr>
        <w:t>10</w:t>
      </w:r>
      <w:r w:rsidRPr="001A3D2B">
        <w:rPr>
          <w:kern w:val="0"/>
        </w:rPr>
        <w:t xml:space="preserve"> (1), 1-2.</w:t>
      </w:r>
    </w:p>
    <w:p w:rsidR="00C809CD" w:rsidRDefault="00C809CD" w:rsidP="00C809CD">
      <w:pPr>
        <w:pStyle w:val="a3"/>
        <w:rPr>
          <w:kern w:val="0"/>
        </w:rPr>
      </w:pPr>
      <w:r>
        <w:rPr>
          <w:rFonts w:hint="eastAsia"/>
          <w:kern w:val="0"/>
        </w:rPr>
        <w:t>F</w:t>
      </w:r>
      <w:r>
        <w:rPr>
          <w:kern w:val="0"/>
        </w:rPr>
        <w:t>u</w:t>
      </w:r>
      <w:r>
        <w:rPr>
          <w:rFonts w:hint="eastAsia"/>
          <w:kern w:val="0"/>
        </w:rPr>
        <w:t xml:space="preserve">ll Text: </w:t>
      </w:r>
      <w:hyperlink r:id="rId1280" w:history="1">
        <w:r w:rsidR="0010082F" w:rsidRPr="0010082F">
          <w:rPr>
            <w:rStyle w:val="a5"/>
            <w:kern w:val="0"/>
          </w:rPr>
          <w:t>2009\Asi Pac J Can Pre10, 1.pdf</w:t>
        </w:r>
      </w:hyperlink>
    </w:p>
    <w:p w:rsidR="00B2573F" w:rsidRPr="001A3D2B" w:rsidRDefault="00B2573F" w:rsidP="00B2573F">
      <w:pPr>
        <w:pStyle w:val="a3"/>
        <w:rPr>
          <w:kern w:val="0"/>
        </w:rPr>
      </w:pPr>
      <w:r w:rsidRPr="001A3D2B">
        <w:rPr>
          <w:kern w:val="0"/>
        </w:rPr>
        <w:t>Abstract:</w:t>
      </w:r>
      <w:r w:rsidR="003A1917">
        <w:rPr>
          <w:kern w:val="0"/>
        </w:rPr>
        <w:t xml:space="preserve"> the </w:t>
      </w:r>
      <w:r w:rsidRPr="001A3D2B">
        <w:rPr>
          <w:kern w:val="0"/>
        </w:rPr>
        <w:t>Asian Pacific Organization for Cancer Prevention was launched approximately 10 years ago with publication</w:t>
      </w:r>
      <w:r w:rsidR="00427468">
        <w:rPr>
          <w:kern w:val="0"/>
        </w:rPr>
        <w:t xml:space="preserve"> of </w:t>
      </w:r>
      <w:r w:rsidRPr="001A3D2B">
        <w:rPr>
          <w:kern w:val="0"/>
        </w:rPr>
        <w:t xml:space="preserve">a booklet entitled </w:t>
      </w:r>
      <w:r w:rsidR="00700038">
        <w:rPr>
          <w:kern w:val="0"/>
        </w:rPr>
        <w:t>‘</w:t>
      </w:r>
      <w:r w:rsidRPr="001A3D2B">
        <w:rPr>
          <w:kern w:val="0"/>
        </w:rPr>
        <w:t>Introduction to Cancer Prevention in Tables</w:t>
      </w:r>
      <w:r w:rsidR="005853A9">
        <w:rPr>
          <w:kern w:val="0"/>
        </w:rPr>
        <w:t xml:space="preserve"> and </w:t>
      </w:r>
      <w:r w:rsidRPr="001A3D2B">
        <w:rPr>
          <w:kern w:val="0"/>
        </w:rPr>
        <w:t>Figures</w:t>
      </w:r>
      <w:r w:rsidR="00700038">
        <w:rPr>
          <w:kern w:val="0"/>
        </w:rPr>
        <w:t>’</w:t>
      </w:r>
      <w:r w:rsidRPr="001A3D2B">
        <w:rPr>
          <w:kern w:val="0"/>
        </w:rPr>
        <w:t>. This was followed by regular quarterly publication</w:t>
      </w:r>
      <w:r w:rsidR="00427468">
        <w:rPr>
          <w:kern w:val="0"/>
        </w:rPr>
        <w:t xml:space="preserve"> of </w:t>
      </w:r>
      <w:r w:rsidR="003A1917">
        <w:rPr>
          <w:kern w:val="0"/>
        </w:rPr>
        <w:t xml:space="preserve">the </w:t>
      </w:r>
      <w:r w:rsidRPr="001A3D2B">
        <w:rPr>
          <w:kern w:val="0"/>
        </w:rPr>
        <w:t>APJCP starting in</w:t>
      </w:r>
      <w:r w:rsidR="003A1917">
        <w:rPr>
          <w:kern w:val="0"/>
        </w:rPr>
        <w:t xml:space="preserve"> the </w:t>
      </w:r>
      <w:r w:rsidRPr="001A3D2B">
        <w:rPr>
          <w:kern w:val="0"/>
        </w:rPr>
        <w:t>year 2000 - a new project for a new millenium -</w:t>
      </w:r>
      <w:r w:rsidR="005853A9">
        <w:rPr>
          <w:kern w:val="0"/>
        </w:rPr>
        <w:t xml:space="preserve"> and </w:t>
      </w:r>
      <w:r w:rsidRPr="001A3D2B">
        <w:rPr>
          <w:kern w:val="0"/>
        </w:rPr>
        <w:t>a number</w:t>
      </w:r>
      <w:r w:rsidR="00427468">
        <w:rPr>
          <w:kern w:val="0"/>
        </w:rPr>
        <w:t xml:space="preserve"> of </w:t>
      </w:r>
      <w:r w:rsidRPr="001A3D2B">
        <w:rPr>
          <w:kern w:val="0"/>
        </w:rPr>
        <w:t>research meetings held across Asia</w:t>
      </w:r>
      <w:r w:rsidR="00A37C1D">
        <w:rPr>
          <w:kern w:val="0"/>
        </w:rPr>
        <w:t>. The</w:t>
      </w:r>
      <w:r w:rsidR="003A1917">
        <w:rPr>
          <w:kern w:val="0"/>
        </w:rPr>
        <w:t xml:space="preserve"> </w:t>
      </w:r>
      <w:r w:rsidRPr="001A3D2B">
        <w:rPr>
          <w:kern w:val="0"/>
        </w:rPr>
        <w:t xml:space="preserve">journal is now in its 10th year, indexed on </w:t>
      </w:r>
      <w:r w:rsidR="002C12F0">
        <w:rPr>
          <w:kern w:val="0"/>
        </w:rPr>
        <w:t>PUBMED</w:t>
      </w:r>
      <w:r w:rsidR="005853A9">
        <w:rPr>
          <w:kern w:val="0"/>
        </w:rPr>
        <w:t xml:space="preserve"> and </w:t>
      </w:r>
      <w:r w:rsidRPr="001A3D2B">
        <w:rPr>
          <w:kern w:val="0"/>
        </w:rPr>
        <w:t>Science Citation Index (Expanded)</w:t>
      </w:r>
      <w:r w:rsidR="005853A9">
        <w:rPr>
          <w:kern w:val="0"/>
        </w:rPr>
        <w:t xml:space="preserve"> and </w:t>
      </w:r>
      <w:r w:rsidRPr="001A3D2B">
        <w:rPr>
          <w:kern w:val="0"/>
        </w:rPr>
        <w:t>relatively well known (not least for its yellow cover). However, its future after its tenth birthday remains uncertain, as there is no infrastructure in place to ensure continuation after retirement</w:t>
      </w:r>
      <w:r w:rsidR="00427468">
        <w:rPr>
          <w:kern w:val="0"/>
        </w:rPr>
        <w:t xml:space="preserve"> of </w:t>
      </w:r>
      <w:r w:rsidR="003A1917">
        <w:rPr>
          <w:kern w:val="0"/>
        </w:rPr>
        <w:t xml:space="preserve">the </w:t>
      </w:r>
      <w:r w:rsidRPr="001A3D2B">
        <w:rPr>
          <w:kern w:val="0"/>
        </w:rPr>
        <w:t>present Chief/Managing Editor</w:t>
      </w:r>
      <w:r w:rsidR="00A37C1D">
        <w:rPr>
          <w:kern w:val="0"/>
        </w:rPr>
        <w:t>. The</w:t>
      </w:r>
      <w:r w:rsidR="003A1917">
        <w:rPr>
          <w:kern w:val="0"/>
        </w:rPr>
        <w:t xml:space="preserve"> </w:t>
      </w:r>
      <w:r w:rsidRPr="001A3D2B">
        <w:rPr>
          <w:kern w:val="0"/>
        </w:rPr>
        <w:t>question</w:t>
      </w:r>
      <w:r w:rsidR="00427468">
        <w:rPr>
          <w:kern w:val="0"/>
        </w:rPr>
        <w:t xml:space="preserve"> of </w:t>
      </w:r>
      <w:r w:rsidRPr="001A3D2B">
        <w:rPr>
          <w:kern w:val="0"/>
        </w:rPr>
        <w:t>what might be</w:t>
      </w:r>
      <w:r w:rsidR="003A1917">
        <w:rPr>
          <w:kern w:val="0"/>
        </w:rPr>
        <w:t xml:space="preserve"> the </w:t>
      </w:r>
      <w:r w:rsidRPr="001A3D2B">
        <w:rPr>
          <w:kern w:val="0"/>
        </w:rPr>
        <w:t>best way forward is</w:t>
      </w:r>
      <w:r w:rsidR="003A1917">
        <w:rPr>
          <w:kern w:val="0"/>
        </w:rPr>
        <w:t xml:space="preserve"> the </w:t>
      </w:r>
      <w:r w:rsidRPr="001A3D2B">
        <w:rPr>
          <w:kern w:val="0"/>
        </w:rPr>
        <w:t>focus for</w:t>
      </w:r>
      <w:r w:rsidR="003A1917">
        <w:rPr>
          <w:kern w:val="0"/>
        </w:rPr>
        <w:t xml:space="preserve"> the </w:t>
      </w:r>
      <w:r w:rsidRPr="001A3D2B">
        <w:rPr>
          <w:kern w:val="0"/>
        </w:rPr>
        <w:t xml:space="preserve">present </w:t>
      </w:r>
      <w:r w:rsidR="00700038">
        <w:rPr>
          <w:kern w:val="0"/>
        </w:rPr>
        <w:t>‘</w:t>
      </w:r>
      <w:r w:rsidRPr="001A3D2B">
        <w:rPr>
          <w:kern w:val="0"/>
        </w:rPr>
        <w:t>Editorial Comment</w:t>
      </w:r>
      <w:r w:rsidR="00700038">
        <w:rPr>
          <w:kern w:val="0"/>
        </w:rPr>
        <w:t>’</w:t>
      </w:r>
      <w:r w:rsidRPr="001A3D2B">
        <w:rPr>
          <w:kern w:val="0"/>
        </w:rPr>
        <w:t>. For financial as well as ecological reasons</w:t>
      </w:r>
      <w:r w:rsidR="003A1917">
        <w:rPr>
          <w:kern w:val="0"/>
        </w:rPr>
        <w:t xml:space="preserve"> the </w:t>
      </w:r>
      <w:r w:rsidRPr="001A3D2B">
        <w:rPr>
          <w:kern w:val="0"/>
        </w:rPr>
        <w:t>APJCP is now an electronic journal, printing</w:t>
      </w:r>
      <w:r w:rsidR="005853A9">
        <w:rPr>
          <w:kern w:val="0"/>
        </w:rPr>
        <w:t xml:space="preserve"> and </w:t>
      </w:r>
      <w:r w:rsidRPr="001A3D2B">
        <w:rPr>
          <w:kern w:val="0"/>
        </w:rPr>
        <w:t>postage for issues</w:t>
      </w:r>
      <w:r w:rsidR="00427468">
        <w:rPr>
          <w:kern w:val="0"/>
        </w:rPr>
        <w:t xml:space="preserve"> of </w:t>
      </w:r>
      <w:r w:rsidRPr="001A3D2B">
        <w:rPr>
          <w:kern w:val="0"/>
        </w:rPr>
        <w:t>almost 200 pages being beyond</w:t>
      </w:r>
      <w:r w:rsidR="003A1917">
        <w:rPr>
          <w:kern w:val="0"/>
        </w:rPr>
        <w:t xml:space="preserve"> the </w:t>
      </w:r>
      <w:r w:rsidRPr="001A3D2B">
        <w:rPr>
          <w:kern w:val="0"/>
        </w:rPr>
        <w:t>resources available. While</w:t>
      </w:r>
      <w:r w:rsidR="003A1917">
        <w:rPr>
          <w:kern w:val="0"/>
        </w:rPr>
        <w:t xml:space="preserve"> the </w:t>
      </w:r>
      <w:r w:rsidRPr="001A3D2B">
        <w:rPr>
          <w:kern w:val="0"/>
        </w:rPr>
        <w:t>costs are therefore relatively low</w:t>
      </w:r>
      <w:r w:rsidR="005853A9">
        <w:rPr>
          <w:kern w:val="0"/>
        </w:rPr>
        <w:t xml:space="preserve"> and </w:t>
      </w:r>
      <w:r w:rsidRPr="001A3D2B">
        <w:rPr>
          <w:kern w:val="0"/>
        </w:rPr>
        <w:t>primarily limited to staff salaries, they do need to be covered</w:t>
      </w:r>
      <w:r w:rsidR="005853A9">
        <w:rPr>
          <w:kern w:val="0"/>
        </w:rPr>
        <w:t xml:space="preserve"> and </w:t>
      </w:r>
      <w:r w:rsidRPr="001A3D2B">
        <w:rPr>
          <w:kern w:val="0"/>
        </w:rPr>
        <w:t>it cannot be simply assumed that</w:t>
      </w:r>
      <w:r w:rsidR="003A1917">
        <w:rPr>
          <w:kern w:val="0"/>
        </w:rPr>
        <w:t xml:space="preserve"> the </w:t>
      </w:r>
      <w:r w:rsidRPr="001A3D2B">
        <w:rPr>
          <w:kern w:val="0"/>
        </w:rPr>
        <w:t>present support provided by</w:t>
      </w:r>
      <w:r w:rsidR="003A1917">
        <w:rPr>
          <w:kern w:val="0"/>
        </w:rPr>
        <w:t xml:space="preserve"> the </w:t>
      </w:r>
      <w:r w:rsidRPr="001A3D2B">
        <w:rPr>
          <w:kern w:val="0"/>
        </w:rPr>
        <w:t>UICC Japanese National Committee will continue long-term</w:t>
      </w:r>
      <w:r w:rsidR="00A37C1D">
        <w:rPr>
          <w:kern w:val="0"/>
        </w:rPr>
        <w:t>. The</w:t>
      </w:r>
      <w:r w:rsidRPr="001A3D2B">
        <w:rPr>
          <w:kern w:val="0"/>
        </w:rPr>
        <w:t>refore comments</w:t>
      </w:r>
      <w:r w:rsidR="005853A9">
        <w:rPr>
          <w:kern w:val="0"/>
        </w:rPr>
        <w:t xml:space="preserve"> and </w:t>
      </w:r>
      <w:r w:rsidRPr="001A3D2B">
        <w:rPr>
          <w:kern w:val="0"/>
        </w:rPr>
        <w:t>suggestions are invited from all interested individuals</w:t>
      </w:r>
      <w:r w:rsidR="005853A9">
        <w:rPr>
          <w:kern w:val="0"/>
        </w:rPr>
        <w:t xml:space="preserve"> and </w:t>
      </w:r>
      <w:r w:rsidRPr="001A3D2B">
        <w:rPr>
          <w:kern w:val="0"/>
        </w:rPr>
        <w:t>institutions as to how</w:t>
      </w:r>
      <w:r w:rsidR="003A1917">
        <w:rPr>
          <w:kern w:val="0"/>
        </w:rPr>
        <w:t xml:space="preserve"> the </w:t>
      </w:r>
      <w:r w:rsidRPr="001A3D2B">
        <w:rPr>
          <w:kern w:val="0"/>
        </w:rPr>
        <w:t>APJCP,</w:t>
      </w:r>
      <w:r w:rsidR="005853A9">
        <w:rPr>
          <w:kern w:val="0"/>
        </w:rPr>
        <w:t xml:space="preserve"> and </w:t>
      </w:r>
      <w:r w:rsidRPr="001A3D2B">
        <w:rPr>
          <w:kern w:val="0"/>
        </w:rPr>
        <w:t>by extension</w:t>
      </w:r>
      <w:r w:rsidR="003A1917">
        <w:rPr>
          <w:kern w:val="0"/>
        </w:rPr>
        <w:t xml:space="preserve"> the </w:t>
      </w:r>
      <w:r w:rsidRPr="001A3D2B">
        <w:rPr>
          <w:kern w:val="0"/>
        </w:rPr>
        <w:t>APOCP, should be organized</w:t>
      </w:r>
      <w:r w:rsidR="005853A9">
        <w:rPr>
          <w:kern w:val="0"/>
        </w:rPr>
        <w:t xml:space="preserve"> and </w:t>
      </w:r>
      <w:r w:rsidRPr="001A3D2B">
        <w:rPr>
          <w:kern w:val="0"/>
        </w:rPr>
        <w:t>financed. All communications received will be given space in</w:t>
      </w:r>
      <w:r w:rsidR="003A1917">
        <w:rPr>
          <w:kern w:val="0"/>
        </w:rPr>
        <w:t xml:space="preserve"> the </w:t>
      </w:r>
      <w:r w:rsidRPr="001A3D2B">
        <w:rPr>
          <w:kern w:val="0"/>
        </w:rPr>
        <w:t>next few issues</w:t>
      </w:r>
      <w:r w:rsidR="00427468">
        <w:rPr>
          <w:kern w:val="0"/>
        </w:rPr>
        <w:t xml:space="preserve"> of </w:t>
      </w:r>
      <w:r w:rsidR="003A1917">
        <w:rPr>
          <w:kern w:val="0"/>
        </w:rPr>
        <w:t xml:space="preserve">the </w:t>
      </w:r>
      <w:r w:rsidRPr="001A3D2B">
        <w:rPr>
          <w:kern w:val="0"/>
        </w:rPr>
        <w:t>APJCP so that discussion can be fostered</w:t>
      </w:r>
      <w:r w:rsidR="005853A9">
        <w:rPr>
          <w:kern w:val="0"/>
        </w:rPr>
        <w:t xml:space="preserve"> and </w:t>
      </w:r>
      <w:r w:rsidRPr="001A3D2B">
        <w:rPr>
          <w:kern w:val="0"/>
        </w:rPr>
        <w:t>informed decisions made at</w:t>
      </w:r>
      <w:r w:rsidR="003A1917">
        <w:rPr>
          <w:kern w:val="0"/>
        </w:rPr>
        <w:t xml:space="preserve"> the </w:t>
      </w:r>
      <w:r w:rsidRPr="001A3D2B">
        <w:rPr>
          <w:kern w:val="0"/>
        </w:rPr>
        <w:t>5th APOCP General Assembly Conference in Istanbul, April 2010.</w:t>
      </w:r>
    </w:p>
    <w:p w:rsidR="00B2573F" w:rsidRPr="001A3D2B" w:rsidRDefault="00B2573F" w:rsidP="00B2573F">
      <w:pPr>
        <w:pStyle w:val="a3"/>
        <w:rPr>
          <w:kern w:val="0"/>
        </w:rPr>
      </w:pPr>
      <w:r w:rsidRPr="001A3D2B">
        <w:rPr>
          <w:kern w:val="0"/>
        </w:rPr>
        <w:lastRenderedPageBreak/>
        <w:t>Keywords: Citation, Research</w:t>
      </w:r>
    </w:p>
    <w:p w:rsidR="003F2A1F" w:rsidRDefault="003F2A1F" w:rsidP="003F2A1F">
      <w:pPr>
        <w:pStyle w:val="a3"/>
        <w:rPr>
          <w:kern w:val="0"/>
        </w:rPr>
      </w:pPr>
      <w:r>
        <w:rPr>
          <w:rFonts w:hint="eastAsia"/>
          <w:kern w:val="0"/>
        </w:rPr>
        <w:t xml:space="preserve">? </w:t>
      </w:r>
      <w:r>
        <w:rPr>
          <w:kern w:val="0"/>
        </w:rPr>
        <w:t>Dursun, P., Gultekin, M.</w:t>
      </w:r>
      <w:r w:rsidR="005853A9">
        <w:rPr>
          <w:kern w:val="0"/>
        </w:rPr>
        <w:t xml:space="preserve"> and </w:t>
      </w:r>
      <w:r>
        <w:rPr>
          <w:kern w:val="0"/>
        </w:rPr>
        <w:t>Ayhan, A. (2011), World gynecologic oncology publications</w:t>
      </w:r>
      <w:r w:rsidR="005853A9">
        <w:rPr>
          <w:kern w:val="0"/>
        </w:rPr>
        <w:t xml:space="preserve"> and </w:t>
      </w:r>
      <w:r w:rsidR="003A1917">
        <w:rPr>
          <w:kern w:val="0"/>
        </w:rPr>
        <w:t xml:space="preserve">the </w:t>
      </w:r>
      <w:r>
        <w:rPr>
          <w:kern w:val="0"/>
        </w:rPr>
        <w:t>Turkish contribution to</w:t>
      </w:r>
      <w:r w:rsidR="003A1917">
        <w:rPr>
          <w:kern w:val="0"/>
        </w:rPr>
        <w:t xml:space="preserve"> the </w:t>
      </w:r>
      <w:r>
        <w:rPr>
          <w:kern w:val="0"/>
        </w:rPr>
        <w:t>literature between 2000</w:t>
      </w:r>
      <w:r w:rsidR="005853A9">
        <w:rPr>
          <w:kern w:val="0"/>
        </w:rPr>
        <w:t xml:space="preserve"> and </w:t>
      </w:r>
      <w:r>
        <w:rPr>
          <w:kern w:val="0"/>
        </w:rPr>
        <w:t xml:space="preserve">2007.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12</w:t>
      </w:r>
      <w:r>
        <w:rPr>
          <w:kern w:val="0"/>
        </w:rPr>
        <w:t xml:space="preserve"> (4), 861-864.</w:t>
      </w:r>
    </w:p>
    <w:p w:rsidR="003F2A1F" w:rsidRDefault="003F2A1F" w:rsidP="003F2A1F">
      <w:pPr>
        <w:pStyle w:val="a3"/>
        <w:rPr>
          <w:kern w:val="0"/>
        </w:rPr>
      </w:pPr>
      <w:r>
        <w:rPr>
          <w:rFonts w:hint="eastAsia"/>
          <w:kern w:val="0"/>
        </w:rPr>
        <w:t>F</w:t>
      </w:r>
      <w:r>
        <w:rPr>
          <w:kern w:val="0"/>
        </w:rPr>
        <w:t>u</w:t>
      </w:r>
      <w:r>
        <w:rPr>
          <w:rFonts w:hint="eastAsia"/>
          <w:kern w:val="0"/>
        </w:rPr>
        <w:t xml:space="preserve">ll Text: </w:t>
      </w:r>
      <w:hyperlink r:id="rId1281" w:history="1">
        <w:r w:rsidRPr="00200488">
          <w:rPr>
            <w:rStyle w:val="a5"/>
            <w:kern w:val="0"/>
          </w:rPr>
          <w:t>2011\Asi Pac J Can Pre12, 861.pdf</w:t>
        </w:r>
      </w:hyperlink>
    </w:p>
    <w:p w:rsidR="003F2A1F" w:rsidRDefault="003F2A1F" w:rsidP="003F2A1F">
      <w:pPr>
        <w:pStyle w:val="a3"/>
        <w:rPr>
          <w:kern w:val="0"/>
        </w:rPr>
      </w:pPr>
      <w:r>
        <w:rPr>
          <w:kern w:val="0"/>
        </w:rPr>
        <w:t>Abstract: Aim: To investigate</w:t>
      </w:r>
      <w:r w:rsidR="003A1917">
        <w:rPr>
          <w:kern w:val="0"/>
        </w:rPr>
        <w:t xml:space="preserve"> the </w:t>
      </w:r>
      <w:r>
        <w:rPr>
          <w:kern w:val="0"/>
        </w:rPr>
        <w:t>number</w:t>
      </w:r>
      <w:r w:rsidR="00427468">
        <w:rPr>
          <w:kern w:val="0"/>
        </w:rPr>
        <w:t xml:space="preserve"> of </w:t>
      </w:r>
      <w:r>
        <w:rPr>
          <w:kern w:val="0"/>
        </w:rPr>
        <w:t>publications</w:t>
      </w:r>
      <w:r w:rsidR="005853A9">
        <w:rPr>
          <w:kern w:val="0"/>
        </w:rPr>
        <w:t xml:space="preserve"> and </w:t>
      </w:r>
      <w:r w:rsidR="003A1917">
        <w:rPr>
          <w:kern w:val="0"/>
        </w:rPr>
        <w:t xml:space="preserve">the </w:t>
      </w:r>
      <w:r>
        <w:rPr>
          <w:kern w:val="0"/>
        </w:rPr>
        <w:t>contribution from top-ranking countries, institutions,</w:t>
      </w:r>
      <w:r w:rsidR="005853A9">
        <w:rPr>
          <w:kern w:val="0"/>
        </w:rPr>
        <w:t xml:space="preserve"> and </w:t>
      </w:r>
      <w:r>
        <w:rPr>
          <w:kern w:val="0"/>
        </w:rPr>
        <w:t>authors in 3 gynecologic oncology journals (Gynecologic Oncology [GO], International Journal</w:t>
      </w:r>
      <w:r w:rsidR="00427468">
        <w:rPr>
          <w:kern w:val="0"/>
        </w:rPr>
        <w:t xml:space="preserve"> of </w:t>
      </w:r>
      <w:r>
        <w:rPr>
          <w:kern w:val="0"/>
        </w:rPr>
        <w:t>Gynecological Cancer [IJGC],</w:t>
      </w:r>
      <w:r w:rsidR="005853A9">
        <w:rPr>
          <w:kern w:val="0"/>
        </w:rPr>
        <w:t xml:space="preserve"> and </w:t>
      </w:r>
      <w:r>
        <w:rPr>
          <w:kern w:val="0"/>
        </w:rPr>
        <w:t>European Journal</w:t>
      </w:r>
      <w:r w:rsidR="00427468">
        <w:rPr>
          <w:kern w:val="0"/>
        </w:rPr>
        <w:t xml:space="preserve"> of </w:t>
      </w:r>
      <w:r>
        <w:rPr>
          <w:kern w:val="0"/>
        </w:rPr>
        <w:t>Gynaecological Oncology [EJGO]), as well as</w:t>
      </w:r>
      <w:r w:rsidR="003A1917">
        <w:rPr>
          <w:kern w:val="0"/>
        </w:rPr>
        <w:t xml:space="preserve"> the </w:t>
      </w:r>
      <w:r>
        <w:rPr>
          <w:kern w:val="0"/>
        </w:rPr>
        <w:t>degree</w:t>
      </w:r>
      <w:r w:rsidR="00427468">
        <w:rPr>
          <w:kern w:val="0"/>
        </w:rPr>
        <w:t xml:space="preserve"> of </w:t>
      </w:r>
      <w:r>
        <w:rPr>
          <w:kern w:val="0"/>
        </w:rPr>
        <w:t>Turkish contribution between 2000</w:t>
      </w:r>
      <w:r w:rsidR="005853A9">
        <w:rPr>
          <w:kern w:val="0"/>
        </w:rPr>
        <w:t xml:space="preserve"> and </w:t>
      </w:r>
      <w:r>
        <w:rPr>
          <w:kern w:val="0"/>
        </w:rPr>
        <w:t>2007. Method: Articles published between 2000</w:t>
      </w:r>
      <w:r w:rsidR="005853A9">
        <w:rPr>
          <w:kern w:val="0"/>
        </w:rPr>
        <w:t xml:space="preserve"> and </w:t>
      </w:r>
      <w:r>
        <w:rPr>
          <w:kern w:val="0"/>
        </w:rPr>
        <w:t>2007 in 3 gynecologic oncology journals indexed by</w:t>
      </w:r>
      <w:r w:rsidR="003A1917">
        <w:rPr>
          <w:kern w:val="0"/>
        </w:rPr>
        <w:t xml:space="preserve"> the </w:t>
      </w:r>
      <w:r>
        <w:rPr>
          <w:kern w:val="0"/>
        </w:rPr>
        <w:t>Science Citation Index were accessed via</w:t>
      </w:r>
      <w:r w:rsidR="003A1917">
        <w:rPr>
          <w:kern w:val="0"/>
        </w:rPr>
        <w:t xml:space="preserve"> the </w:t>
      </w:r>
      <w:r>
        <w:rPr>
          <w:kern w:val="0"/>
        </w:rPr>
        <w:t>ISI-Thomson website. Additionally, PubMed, Sciencedirect,</w:t>
      </w:r>
      <w:r w:rsidR="005853A9">
        <w:rPr>
          <w:kern w:val="0"/>
        </w:rPr>
        <w:t xml:space="preserve"> and </w:t>
      </w:r>
      <w:r>
        <w:rPr>
          <w:kern w:val="0"/>
        </w:rPr>
        <w:t>Blackwell-Synergy databases were used to identify</w:t>
      </w:r>
      <w:r w:rsidR="003A1917">
        <w:rPr>
          <w:kern w:val="0"/>
        </w:rPr>
        <w:t xml:space="preserve"> the </w:t>
      </w:r>
      <w:r>
        <w:rPr>
          <w:kern w:val="0"/>
        </w:rPr>
        <w:t>originating countries</w:t>
      </w:r>
      <w:r w:rsidR="005853A9">
        <w:rPr>
          <w:kern w:val="0"/>
        </w:rPr>
        <w:t xml:space="preserve"> and </w:t>
      </w:r>
      <w:r>
        <w:rPr>
          <w:kern w:val="0"/>
        </w:rPr>
        <w:t>institutions</w:t>
      </w:r>
      <w:r w:rsidR="00427468">
        <w:rPr>
          <w:kern w:val="0"/>
        </w:rPr>
        <w:t xml:space="preserve"> of </w:t>
      </w:r>
      <w:r w:rsidR="003A1917">
        <w:rPr>
          <w:kern w:val="0"/>
        </w:rPr>
        <w:t xml:space="preserve">the </w:t>
      </w:r>
      <w:r>
        <w:rPr>
          <w:kern w:val="0"/>
        </w:rPr>
        <w:t>published articles</w:t>
      </w:r>
      <w:r w:rsidR="00A37C1D">
        <w:rPr>
          <w:kern w:val="0"/>
        </w:rPr>
        <w:t>. The</w:t>
      </w:r>
      <w:r w:rsidR="003A1917">
        <w:rPr>
          <w:kern w:val="0"/>
        </w:rPr>
        <w:t xml:space="preserve"> </w:t>
      </w:r>
      <w:r>
        <w:rPr>
          <w:kern w:val="0"/>
        </w:rPr>
        <w:t>types</w:t>
      </w:r>
      <w:r w:rsidR="00427468">
        <w:rPr>
          <w:kern w:val="0"/>
        </w:rPr>
        <w:t xml:space="preserve"> of </w:t>
      </w:r>
      <w:r>
        <w:rPr>
          <w:kern w:val="0"/>
        </w:rPr>
        <w:t>articles, originating countries,</w:t>
      </w:r>
      <w:r w:rsidR="005853A9">
        <w:rPr>
          <w:kern w:val="0"/>
        </w:rPr>
        <w:t xml:space="preserve"> and </w:t>
      </w:r>
      <w:r>
        <w:rPr>
          <w:kern w:val="0"/>
        </w:rPr>
        <w:t>names</w:t>
      </w:r>
      <w:r w:rsidR="00427468">
        <w:rPr>
          <w:kern w:val="0"/>
        </w:rPr>
        <w:t xml:space="preserve"> of </w:t>
      </w:r>
      <w:r w:rsidR="003A1917">
        <w:rPr>
          <w:kern w:val="0"/>
        </w:rPr>
        <w:t xml:space="preserve">the </w:t>
      </w:r>
      <w:r>
        <w:rPr>
          <w:kern w:val="0"/>
        </w:rPr>
        <w:t>institutions</w:t>
      </w:r>
      <w:r w:rsidR="005853A9">
        <w:rPr>
          <w:kern w:val="0"/>
        </w:rPr>
        <w:t xml:space="preserve"> and </w:t>
      </w:r>
      <w:r>
        <w:rPr>
          <w:kern w:val="0"/>
        </w:rPr>
        <w:t>authors were determined. Furthermore,</w:t>
      </w:r>
      <w:r w:rsidR="003A1917">
        <w:rPr>
          <w:kern w:val="0"/>
        </w:rPr>
        <w:t xml:space="preserve"> the </w:t>
      </w:r>
      <w:r>
        <w:rPr>
          <w:kern w:val="0"/>
        </w:rPr>
        <w:t>number</w:t>
      </w:r>
      <w:r w:rsidR="00427468">
        <w:rPr>
          <w:kern w:val="0"/>
        </w:rPr>
        <w:t xml:space="preserve"> of </w:t>
      </w:r>
      <w:r>
        <w:rPr>
          <w:kern w:val="0"/>
        </w:rPr>
        <w:t>articles affiliated with Turkish institutions</w:t>
      </w:r>
      <w:r w:rsidR="005853A9">
        <w:rPr>
          <w:kern w:val="0"/>
        </w:rPr>
        <w:t xml:space="preserve"> and </w:t>
      </w:r>
      <w:r w:rsidR="003A1917">
        <w:rPr>
          <w:kern w:val="0"/>
        </w:rPr>
        <w:t xml:space="preserve">the </w:t>
      </w:r>
      <w:r>
        <w:rPr>
          <w:kern w:val="0"/>
        </w:rPr>
        <w:t>publication year were also determined. Results: We located 6,851 articles published in</w:t>
      </w:r>
      <w:r w:rsidR="003A1917">
        <w:rPr>
          <w:kern w:val="0"/>
        </w:rPr>
        <w:t xml:space="preserve"> the </w:t>
      </w:r>
      <w:r>
        <w:rPr>
          <w:kern w:val="0"/>
        </w:rPr>
        <w:t>3 journals. During this period 36.1%, 7.7%, 7.2%, 5.8%</w:t>
      </w:r>
      <w:r w:rsidR="005853A9">
        <w:rPr>
          <w:kern w:val="0"/>
        </w:rPr>
        <w:t xml:space="preserve"> and </w:t>
      </w:r>
      <w:r>
        <w:rPr>
          <w:kern w:val="0"/>
        </w:rPr>
        <w:t>4.8%</w:t>
      </w:r>
      <w:r w:rsidR="00427468">
        <w:rPr>
          <w:kern w:val="0"/>
        </w:rPr>
        <w:t xml:space="preserve"> of </w:t>
      </w:r>
      <w:r w:rsidR="003A1917">
        <w:rPr>
          <w:kern w:val="0"/>
        </w:rPr>
        <w:t xml:space="preserve">the </w:t>
      </w:r>
      <w:r>
        <w:rPr>
          <w:kern w:val="0"/>
        </w:rPr>
        <w:t>papers originated from</w:t>
      </w:r>
      <w:r w:rsidR="003A1917">
        <w:rPr>
          <w:kern w:val="0"/>
        </w:rPr>
        <w:t xml:space="preserve"> the </w:t>
      </w:r>
      <w:r w:rsidR="00D5664A">
        <w:rPr>
          <w:kern w:val="0"/>
        </w:rPr>
        <w:t>USA</w:t>
      </w:r>
      <w:r>
        <w:rPr>
          <w:kern w:val="0"/>
        </w:rPr>
        <w:t>, Japan, Italy, Turkey,</w:t>
      </w:r>
      <w:r w:rsidR="005853A9">
        <w:rPr>
          <w:kern w:val="0"/>
        </w:rPr>
        <w:t xml:space="preserve"> and </w:t>
      </w:r>
      <w:r>
        <w:rPr>
          <w:kern w:val="0"/>
        </w:rPr>
        <w:t>England, respectively</w:t>
      </w:r>
      <w:r w:rsidR="00A37C1D">
        <w:rPr>
          <w:kern w:val="0"/>
        </w:rPr>
        <w:t>. The</w:t>
      </w:r>
      <w:r w:rsidR="003A1917">
        <w:rPr>
          <w:kern w:val="0"/>
        </w:rPr>
        <w:t xml:space="preserve"> </w:t>
      </w:r>
      <w:r>
        <w:rPr>
          <w:kern w:val="0"/>
        </w:rPr>
        <w:t>5 most productive institutions were</w:t>
      </w:r>
      <w:r w:rsidR="003A1917">
        <w:rPr>
          <w:kern w:val="0"/>
        </w:rPr>
        <w:t xml:space="preserve"> the </w:t>
      </w:r>
      <w:r>
        <w:rPr>
          <w:kern w:val="0"/>
        </w:rPr>
        <w:t>University</w:t>
      </w:r>
      <w:r w:rsidR="00427468">
        <w:rPr>
          <w:kern w:val="0"/>
        </w:rPr>
        <w:t xml:space="preserve"> of </w:t>
      </w:r>
      <w:r>
        <w:rPr>
          <w:kern w:val="0"/>
        </w:rPr>
        <w:t>Texas, Memorial Sloan-Kettering Cancer Center, Roswell Park Cancer Institute, University</w:t>
      </w:r>
      <w:r w:rsidR="00427468">
        <w:rPr>
          <w:kern w:val="0"/>
        </w:rPr>
        <w:t xml:space="preserve"> of </w:t>
      </w:r>
      <w:r>
        <w:rPr>
          <w:kern w:val="0"/>
        </w:rPr>
        <w:t>Alabama,</w:t>
      </w:r>
      <w:r w:rsidR="005853A9">
        <w:rPr>
          <w:kern w:val="0"/>
        </w:rPr>
        <w:t xml:space="preserve"> and </w:t>
      </w:r>
      <w:r>
        <w:rPr>
          <w:kern w:val="0"/>
        </w:rPr>
        <w:t>University</w:t>
      </w:r>
      <w:r w:rsidR="00427468">
        <w:rPr>
          <w:kern w:val="0"/>
        </w:rPr>
        <w:t xml:space="preserve"> of </w:t>
      </w:r>
      <w:r>
        <w:rPr>
          <w:kern w:val="0"/>
        </w:rPr>
        <w:t>Athens</w:t>
      </w:r>
      <w:r w:rsidR="00A37C1D">
        <w:rPr>
          <w:kern w:val="0"/>
        </w:rPr>
        <w:t>. The</w:t>
      </w:r>
      <w:r w:rsidR="003A1917">
        <w:rPr>
          <w:kern w:val="0"/>
        </w:rPr>
        <w:t xml:space="preserve"> </w:t>
      </w:r>
      <w:r>
        <w:rPr>
          <w:kern w:val="0"/>
        </w:rPr>
        <w:t>5 most productive authors were Markman (</w:t>
      </w:r>
      <w:r w:rsidR="00D5664A">
        <w:rPr>
          <w:kern w:val="0"/>
        </w:rPr>
        <w:t>USA</w:t>
      </w:r>
      <w:r>
        <w:rPr>
          <w:kern w:val="0"/>
        </w:rPr>
        <w:t>), Chi (</w:t>
      </w:r>
      <w:r w:rsidR="00D5664A">
        <w:rPr>
          <w:kern w:val="0"/>
        </w:rPr>
        <w:t>USA</w:t>
      </w:r>
      <w:r>
        <w:rPr>
          <w:kern w:val="0"/>
        </w:rPr>
        <w:t>), Ayhan (Turkey), Barakat (</w:t>
      </w:r>
      <w:r w:rsidR="00D5664A">
        <w:rPr>
          <w:kern w:val="0"/>
        </w:rPr>
        <w:t>USA</w:t>
      </w:r>
      <w:r>
        <w:rPr>
          <w:kern w:val="0"/>
        </w:rPr>
        <w:t>),</w:t>
      </w:r>
      <w:r w:rsidR="005853A9">
        <w:rPr>
          <w:kern w:val="0"/>
        </w:rPr>
        <w:t xml:space="preserve"> and </w:t>
      </w:r>
      <w:r>
        <w:rPr>
          <w:kern w:val="0"/>
        </w:rPr>
        <w:t>Vergote (Belgium), respectively. In all, 36.1%</w:t>
      </w:r>
      <w:r w:rsidR="00427468">
        <w:rPr>
          <w:kern w:val="0"/>
        </w:rPr>
        <w:t xml:space="preserve"> of </w:t>
      </w:r>
      <w:r w:rsidR="003A1917">
        <w:rPr>
          <w:kern w:val="0"/>
        </w:rPr>
        <w:t xml:space="preserve">the </w:t>
      </w:r>
      <w:r>
        <w:rPr>
          <w:kern w:val="0"/>
        </w:rPr>
        <w:t>papers originated from</w:t>
      </w:r>
      <w:r w:rsidR="003A1917">
        <w:rPr>
          <w:kern w:val="0"/>
        </w:rPr>
        <w:t xml:space="preserve"> the </w:t>
      </w:r>
      <w:r w:rsidR="00D5664A">
        <w:rPr>
          <w:kern w:val="0"/>
        </w:rPr>
        <w:t>USA</w:t>
      </w:r>
      <w:r>
        <w:rPr>
          <w:kern w:val="0"/>
        </w:rPr>
        <w:t>, while 44% originated from 17 European countries</w:t>
      </w:r>
      <w:r w:rsidR="00A37C1D">
        <w:rPr>
          <w:kern w:val="0"/>
        </w:rPr>
        <w:t>. The</w:t>
      </w:r>
      <w:r w:rsidR="003A1917">
        <w:rPr>
          <w:kern w:val="0"/>
        </w:rPr>
        <w:t xml:space="preserve"> </w:t>
      </w:r>
      <w:r w:rsidR="00D5664A">
        <w:rPr>
          <w:kern w:val="0"/>
        </w:rPr>
        <w:t>USA</w:t>
      </w:r>
      <w:r>
        <w:rPr>
          <w:kern w:val="0"/>
        </w:rPr>
        <w:t xml:space="preserve"> was</w:t>
      </w:r>
      <w:r w:rsidR="003A1917">
        <w:rPr>
          <w:kern w:val="0"/>
        </w:rPr>
        <w:t xml:space="preserve"> the </w:t>
      </w:r>
      <w:r>
        <w:rPr>
          <w:kern w:val="0"/>
        </w:rPr>
        <w:t>first-ranked country</w:t>
      </w:r>
      <w:r w:rsidR="00427468">
        <w:rPr>
          <w:kern w:val="0"/>
        </w:rPr>
        <w:t xml:space="preserve"> of </w:t>
      </w:r>
      <w:r>
        <w:rPr>
          <w:kern w:val="0"/>
        </w:rPr>
        <w:t>origin in GO</w:t>
      </w:r>
      <w:r w:rsidR="005853A9">
        <w:rPr>
          <w:kern w:val="0"/>
        </w:rPr>
        <w:t xml:space="preserve"> and </w:t>
      </w:r>
      <w:r>
        <w:rPr>
          <w:kern w:val="0"/>
        </w:rPr>
        <w:t>IJGC, while Turkey was</w:t>
      </w:r>
      <w:r w:rsidR="003A1917">
        <w:rPr>
          <w:kern w:val="0"/>
        </w:rPr>
        <w:t xml:space="preserve"> the </w:t>
      </w:r>
      <w:r>
        <w:rPr>
          <w:kern w:val="0"/>
        </w:rPr>
        <w:t>first-ranked country</w:t>
      </w:r>
      <w:r w:rsidR="00427468">
        <w:rPr>
          <w:kern w:val="0"/>
        </w:rPr>
        <w:t xml:space="preserve"> of </w:t>
      </w:r>
      <w:r>
        <w:rPr>
          <w:kern w:val="0"/>
        </w:rPr>
        <w:t>origin in EJGO. Overall, 399 (5.8%) papers originated from Turkish institutions. Conclusion: Most</w:t>
      </w:r>
      <w:r w:rsidR="00427468">
        <w:rPr>
          <w:kern w:val="0"/>
        </w:rPr>
        <w:t xml:space="preserve"> of </w:t>
      </w:r>
      <w:r w:rsidR="003A1917">
        <w:rPr>
          <w:kern w:val="0"/>
        </w:rPr>
        <w:t xml:space="preserve">the </w:t>
      </w:r>
      <w:r>
        <w:rPr>
          <w:kern w:val="0"/>
        </w:rPr>
        <w:t>gynecologic oncology publications originated from</w:t>
      </w:r>
      <w:r w:rsidR="003A1917">
        <w:rPr>
          <w:kern w:val="0"/>
        </w:rPr>
        <w:t xml:space="preserve"> the </w:t>
      </w:r>
      <w:r w:rsidR="00D5664A">
        <w:rPr>
          <w:kern w:val="0"/>
        </w:rPr>
        <w:t>USA</w:t>
      </w:r>
      <w:r w:rsidR="005853A9">
        <w:rPr>
          <w:kern w:val="0"/>
        </w:rPr>
        <w:t xml:space="preserve"> and </w:t>
      </w:r>
      <w:r>
        <w:rPr>
          <w:kern w:val="0"/>
        </w:rPr>
        <w:t>Western European countries, where gynecologic oncology training is available</w:t>
      </w:r>
      <w:r w:rsidR="005853A9">
        <w:rPr>
          <w:kern w:val="0"/>
        </w:rPr>
        <w:t xml:space="preserve"> and </w:t>
      </w:r>
      <w:r>
        <w:rPr>
          <w:kern w:val="0"/>
        </w:rPr>
        <w:t>surgical</w:t>
      </w:r>
      <w:r w:rsidR="005853A9">
        <w:rPr>
          <w:kern w:val="0"/>
        </w:rPr>
        <w:t xml:space="preserve"> and </w:t>
      </w:r>
      <w:r>
        <w:rPr>
          <w:kern w:val="0"/>
        </w:rPr>
        <w:t>research traditions are well established. On</w:t>
      </w:r>
      <w:r w:rsidR="003A1917">
        <w:rPr>
          <w:kern w:val="0"/>
        </w:rPr>
        <w:t xml:space="preserve"> the </w:t>
      </w:r>
      <w:r>
        <w:rPr>
          <w:kern w:val="0"/>
        </w:rPr>
        <w:t>other hand, Turkish researchers made an important contribution to gynecologic oncology research during</w:t>
      </w:r>
      <w:r w:rsidR="003A1917">
        <w:rPr>
          <w:kern w:val="0"/>
        </w:rPr>
        <w:t xml:space="preserve"> the </w:t>
      </w:r>
      <w:r>
        <w:rPr>
          <w:kern w:val="0"/>
        </w:rPr>
        <w:t>selected period</w:t>
      </w:r>
      <w:r w:rsidR="00427468">
        <w:rPr>
          <w:kern w:val="0"/>
        </w:rPr>
        <w:t xml:space="preserve"> of </w:t>
      </w:r>
      <w:r>
        <w:rPr>
          <w:kern w:val="0"/>
        </w:rPr>
        <w:t>time; publications originating from Turkey exceeded in number all European countries, except those originating from Italy.</w:t>
      </w:r>
    </w:p>
    <w:p w:rsidR="003F2A1F" w:rsidRDefault="003F2A1F" w:rsidP="003F2A1F">
      <w:pPr>
        <w:pStyle w:val="a3"/>
        <w:rPr>
          <w:kern w:val="0"/>
        </w:rPr>
      </w:pPr>
      <w:r>
        <w:rPr>
          <w:kern w:val="0"/>
        </w:rPr>
        <w:t>Keywords: Alabama, Articles, Authors, Belgium, Bibliometrics, Citation, Country, Country</w:t>
      </w:r>
      <w:r w:rsidR="00427468">
        <w:rPr>
          <w:kern w:val="0"/>
        </w:rPr>
        <w:t xml:space="preserve"> of </w:t>
      </w:r>
      <w:r>
        <w:rPr>
          <w:kern w:val="0"/>
        </w:rPr>
        <w:t xml:space="preserve">Origin, Databases, England, Go, Gynecologic Oncology, Institutions, Italy, Japan, Journal, Journals, Literature, Oncology, Origin, Papers, Publication, Publication Trends, Publications, Pubmed, Research, Research Productivity, Science, Science Citation Index, Texas, Training, Turkey, University, </w:t>
      </w:r>
      <w:r w:rsidR="00D5664A">
        <w:rPr>
          <w:kern w:val="0"/>
        </w:rPr>
        <w:t>USA</w:t>
      </w:r>
    </w:p>
    <w:p w:rsidR="00F85A48" w:rsidRDefault="00F85A48" w:rsidP="00F85A48">
      <w:pPr>
        <w:pStyle w:val="a3"/>
        <w:rPr>
          <w:kern w:val="0"/>
          <w:szCs w:val="24"/>
        </w:rPr>
      </w:pPr>
      <w:r>
        <w:rPr>
          <w:rFonts w:hint="eastAsia"/>
          <w:kern w:val="0"/>
          <w:szCs w:val="24"/>
        </w:rPr>
        <w:t xml:space="preserve">? </w:t>
      </w:r>
      <w:r>
        <w:rPr>
          <w:kern w:val="0"/>
          <w:szCs w:val="24"/>
        </w:rPr>
        <w:t>Zhang, X.C., Huang, D.S.</w:t>
      </w:r>
      <w:r w:rsidR="005853A9">
        <w:rPr>
          <w:kern w:val="0"/>
          <w:szCs w:val="24"/>
        </w:rPr>
        <w:t xml:space="preserve"> and </w:t>
      </w:r>
      <w:r>
        <w:rPr>
          <w:kern w:val="0"/>
          <w:szCs w:val="24"/>
        </w:rPr>
        <w:t>Li, F. (2011), Cancer nursing research output</w:t>
      </w:r>
      <w:r w:rsidR="005853A9">
        <w:rPr>
          <w:kern w:val="0"/>
          <w:szCs w:val="24"/>
        </w:rPr>
        <w:t xml:space="preserve"> and </w:t>
      </w:r>
      <w:r>
        <w:rPr>
          <w:kern w:val="0"/>
          <w:szCs w:val="24"/>
        </w:rPr>
        <w:lastRenderedPageBreak/>
        <w:t>topics in</w:t>
      </w:r>
      <w:r w:rsidR="003A1917">
        <w:rPr>
          <w:kern w:val="0"/>
          <w:szCs w:val="24"/>
        </w:rPr>
        <w:t xml:space="preserve"> the </w:t>
      </w:r>
      <w:r>
        <w:rPr>
          <w:kern w:val="0"/>
          <w:szCs w:val="24"/>
        </w:rPr>
        <w:t>first decade</w:t>
      </w:r>
      <w:r w:rsidR="00427468">
        <w:rPr>
          <w:kern w:val="0"/>
          <w:szCs w:val="24"/>
        </w:rPr>
        <w:t xml:space="preserve"> of </w:t>
      </w:r>
      <w:r w:rsidR="003A1917">
        <w:rPr>
          <w:kern w:val="0"/>
          <w:szCs w:val="24"/>
        </w:rPr>
        <w:t xml:space="preserve">the </w:t>
      </w:r>
      <w:r>
        <w:rPr>
          <w:kern w:val="0"/>
          <w:szCs w:val="24"/>
        </w:rPr>
        <w:t>21st century: Results</w:t>
      </w:r>
      <w:r w:rsidR="00427468">
        <w:rPr>
          <w:kern w:val="0"/>
          <w:szCs w:val="24"/>
        </w:rPr>
        <w:t xml:space="preserve"> of </w:t>
      </w:r>
      <w:r>
        <w:rPr>
          <w:kern w:val="0"/>
          <w:szCs w:val="24"/>
        </w:rPr>
        <w:t>a bibliometric</w:t>
      </w:r>
      <w:r w:rsidR="005853A9">
        <w:rPr>
          <w:kern w:val="0"/>
          <w:szCs w:val="24"/>
        </w:rPr>
        <w:t xml:space="preserve"> and </w:t>
      </w:r>
      <w:r>
        <w:rPr>
          <w:kern w:val="0"/>
          <w:szCs w:val="24"/>
        </w:rPr>
        <w:t xml:space="preserve">co-word cluster analysis. </w:t>
      </w:r>
      <w:r>
        <w:rPr>
          <w:i/>
          <w:iCs/>
          <w:kern w:val="0"/>
          <w:szCs w:val="24"/>
        </w:rPr>
        <w:t>Asian Pacific Journal</w:t>
      </w:r>
      <w:r w:rsidR="00427468">
        <w:rPr>
          <w:i/>
          <w:iCs/>
          <w:kern w:val="0"/>
          <w:szCs w:val="24"/>
        </w:rPr>
        <w:t xml:space="preserve"> of </w:t>
      </w:r>
      <w:r>
        <w:rPr>
          <w:i/>
          <w:iCs/>
          <w:kern w:val="0"/>
          <w:szCs w:val="24"/>
        </w:rPr>
        <w:t>Cancer Prevention</w:t>
      </w:r>
      <w:r>
        <w:rPr>
          <w:kern w:val="0"/>
          <w:szCs w:val="24"/>
        </w:rPr>
        <w:t xml:space="preserve">, </w:t>
      </w:r>
      <w:r>
        <w:rPr>
          <w:b/>
          <w:bCs/>
          <w:kern w:val="0"/>
          <w:szCs w:val="24"/>
        </w:rPr>
        <w:t>12</w:t>
      </w:r>
      <w:r>
        <w:rPr>
          <w:kern w:val="0"/>
          <w:szCs w:val="24"/>
        </w:rPr>
        <w:t xml:space="preserve"> (8), 2055-2058.</w:t>
      </w:r>
    </w:p>
    <w:p w:rsidR="00F85A48" w:rsidRDefault="00F85A48" w:rsidP="00F85A48">
      <w:pPr>
        <w:pStyle w:val="a3"/>
        <w:rPr>
          <w:kern w:val="0"/>
        </w:rPr>
      </w:pPr>
      <w:r>
        <w:rPr>
          <w:rFonts w:hint="eastAsia"/>
          <w:kern w:val="0"/>
        </w:rPr>
        <w:t>F</w:t>
      </w:r>
      <w:r>
        <w:rPr>
          <w:kern w:val="0"/>
        </w:rPr>
        <w:t>u</w:t>
      </w:r>
      <w:r>
        <w:rPr>
          <w:rFonts w:hint="eastAsia"/>
          <w:kern w:val="0"/>
        </w:rPr>
        <w:t xml:space="preserve">ll Text: </w:t>
      </w:r>
      <w:hyperlink r:id="rId1282" w:history="1">
        <w:r w:rsidRPr="00F85A48">
          <w:rPr>
            <w:rStyle w:val="a5"/>
            <w:kern w:val="0"/>
          </w:rPr>
          <w:t>2011\Asi Pac J Can Pre12, 2055.pdf</w:t>
        </w:r>
      </w:hyperlink>
    </w:p>
    <w:p w:rsidR="00F85A48" w:rsidRDefault="00F85A48" w:rsidP="00F85A48">
      <w:pPr>
        <w:pStyle w:val="a3"/>
        <w:rPr>
          <w:kern w:val="0"/>
          <w:szCs w:val="24"/>
        </w:rPr>
      </w:pPr>
      <w:r>
        <w:rPr>
          <w:kern w:val="0"/>
          <w:szCs w:val="24"/>
        </w:rPr>
        <w:t>Abstract: Objective: Many countries carry a high cancer burden</w:t>
      </w:r>
      <w:r w:rsidR="005853A9">
        <w:rPr>
          <w:kern w:val="0"/>
          <w:szCs w:val="24"/>
        </w:rPr>
        <w:t xml:space="preserve"> and </w:t>
      </w:r>
      <w:r>
        <w:rPr>
          <w:kern w:val="0"/>
          <w:szCs w:val="24"/>
        </w:rPr>
        <w:t>comprehensive cancer nursing is becoming increasingly complicated</w:t>
      </w:r>
      <w:r w:rsidR="005853A9">
        <w:rPr>
          <w:kern w:val="0"/>
          <w:szCs w:val="24"/>
        </w:rPr>
        <w:t xml:space="preserve"> and </w:t>
      </w:r>
      <w:r>
        <w:rPr>
          <w:kern w:val="0"/>
          <w:szCs w:val="24"/>
        </w:rPr>
        <w:t>difficult. Summarizing</w:t>
      </w:r>
      <w:r w:rsidR="003A1917">
        <w:rPr>
          <w:kern w:val="0"/>
          <w:szCs w:val="24"/>
        </w:rPr>
        <w:t xml:space="preserve"> the </w:t>
      </w:r>
      <w:r>
        <w:rPr>
          <w:kern w:val="0"/>
          <w:szCs w:val="24"/>
        </w:rPr>
        <w:t>recent research focus on cancer nursing may provide a snapshot</w:t>
      </w:r>
      <w:r w:rsidR="00427468">
        <w:rPr>
          <w:kern w:val="0"/>
          <w:szCs w:val="24"/>
        </w:rPr>
        <w:t xml:space="preserve"> of </w:t>
      </w:r>
      <w:r>
        <w:rPr>
          <w:kern w:val="0"/>
          <w:szCs w:val="24"/>
        </w:rPr>
        <w:t>this field for those nurses or nurse educators who are in need</w:t>
      </w:r>
      <w:r w:rsidR="00427468">
        <w:rPr>
          <w:kern w:val="0"/>
          <w:szCs w:val="24"/>
        </w:rPr>
        <w:t xml:space="preserve"> of </w:t>
      </w:r>
      <w:r>
        <w:rPr>
          <w:kern w:val="0"/>
          <w:szCs w:val="24"/>
        </w:rPr>
        <w:t>a quick overview</w:t>
      </w:r>
      <w:r w:rsidR="00427468">
        <w:rPr>
          <w:kern w:val="0"/>
          <w:szCs w:val="24"/>
        </w:rPr>
        <w:t xml:space="preserve"> of </w:t>
      </w:r>
      <w:r w:rsidR="003A1917">
        <w:rPr>
          <w:kern w:val="0"/>
          <w:szCs w:val="24"/>
        </w:rPr>
        <w:t xml:space="preserve">the </w:t>
      </w:r>
      <w:r>
        <w:rPr>
          <w:kern w:val="0"/>
          <w:szCs w:val="24"/>
        </w:rPr>
        <w:t>research</w:t>
      </w:r>
      <w:r w:rsidR="005853A9">
        <w:rPr>
          <w:kern w:val="0"/>
          <w:szCs w:val="24"/>
        </w:rPr>
        <w:t xml:space="preserve"> and </w:t>
      </w:r>
      <w:r>
        <w:rPr>
          <w:kern w:val="0"/>
          <w:szCs w:val="24"/>
        </w:rPr>
        <w:t>its utilization. Methods: Candidate publications from January 1st 2001 to March 31st 2011 were collected by searching PubMed with</w:t>
      </w:r>
      <w:r w:rsidR="003A1917">
        <w:rPr>
          <w:kern w:val="0"/>
          <w:szCs w:val="24"/>
        </w:rPr>
        <w:t xml:space="preserve"> the </w:t>
      </w:r>
      <w:r>
        <w:rPr>
          <w:kern w:val="0"/>
          <w:szCs w:val="24"/>
        </w:rPr>
        <w:t xml:space="preserve">MeSH word </w:t>
      </w:r>
      <w:r w:rsidR="00700038">
        <w:rPr>
          <w:kern w:val="0"/>
          <w:szCs w:val="24"/>
        </w:rPr>
        <w:t>‘</w:t>
      </w:r>
      <w:r>
        <w:rPr>
          <w:kern w:val="0"/>
          <w:szCs w:val="24"/>
        </w:rPr>
        <w:t>oncologic nursing</w:t>
      </w:r>
      <w:r w:rsidR="00700038">
        <w:rPr>
          <w:kern w:val="0"/>
          <w:szCs w:val="24"/>
        </w:rPr>
        <w:t>’</w:t>
      </w:r>
      <w:r w:rsidR="005853A9">
        <w:rPr>
          <w:kern w:val="0"/>
          <w:szCs w:val="24"/>
        </w:rPr>
        <w:t xml:space="preserve"> and </w:t>
      </w:r>
      <w:r>
        <w:rPr>
          <w:kern w:val="0"/>
          <w:szCs w:val="24"/>
        </w:rPr>
        <w:t>without language restriction. Bibliometric techniques used in this study included a statistical analysis</w:t>
      </w:r>
      <w:r w:rsidR="00427468">
        <w:rPr>
          <w:kern w:val="0"/>
          <w:szCs w:val="24"/>
        </w:rPr>
        <w:t xml:space="preserve"> of </w:t>
      </w:r>
      <w:r>
        <w:rPr>
          <w:kern w:val="0"/>
          <w:szCs w:val="24"/>
        </w:rPr>
        <w:t>publication counts by authors, countries</w:t>
      </w:r>
      <w:r w:rsidR="005853A9">
        <w:rPr>
          <w:kern w:val="0"/>
          <w:szCs w:val="24"/>
        </w:rPr>
        <w:t xml:space="preserve"> and </w:t>
      </w:r>
      <w:r>
        <w:rPr>
          <w:kern w:val="0"/>
          <w:szCs w:val="24"/>
        </w:rPr>
        <w:t>journals</w:t>
      </w:r>
      <w:r w:rsidR="005853A9">
        <w:rPr>
          <w:kern w:val="0"/>
          <w:szCs w:val="24"/>
        </w:rPr>
        <w:t xml:space="preserve"> and </w:t>
      </w:r>
      <w:r>
        <w:rPr>
          <w:kern w:val="0"/>
          <w:szCs w:val="24"/>
        </w:rPr>
        <w:t>a co-word cluster analysis</w:t>
      </w:r>
      <w:r w:rsidR="00427468">
        <w:rPr>
          <w:kern w:val="0"/>
          <w:szCs w:val="24"/>
        </w:rPr>
        <w:t xml:space="preserve"> of </w:t>
      </w:r>
      <w:r>
        <w:rPr>
          <w:kern w:val="0"/>
          <w:szCs w:val="24"/>
        </w:rPr>
        <w:t>highly-frequent MeSH words. Results: A total</w:t>
      </w:r>
      <w:r w:rsidR="00427468">
        <w:rPr>
          <w:kern w:val="0"/>
          <w:szCs w:val="24"/>
        </w:rPr>
        <w:t xml:space="preserve"> of </w:t>
      </w:r>
      <w:r>
        <w:rPr>
          <w:kern w:val="0"/>
          <w:szCs w:val="24"/>
        </w:rPr>
        <w:t>2933 publications about cancer nursing from 246 journals were indexed in PubMed, with Oncology Nursing Forum identified as</w:t>
      </w:r>
      <w:r w:rsidR="003A1917">
        <w:rPr>
          <w:kern w:val="0"/>
          <w:szCs w:val="24"/>
        </w:rPr>
        <w:t xml:space="preserve"> the </w:t>
      </w:r>
      <w:r>
        <w:rPr>
          <w:kern w:val="0"/>
          <w:szCs w:val="24"/>
        </w:rPr>
        <w:t>top contributing journal in</w:t>
      </w:r>
      <w:r w:rsidR="003A1917">
        <w:rPr>
          <w:kern w:val="0"/>
          <w:szCs w:val="24"/>
        </w:rPr>
        <w:t xml:space="preserve"> the </w:t>
      </w:r>
      <w:r>
        <w:rPr>
          <w:kern w:val="0"/>
          <w:szCs w:val="24"/>
        </w:rPr>
        <w:t>field</w:t>
      </w:r>
      <w:r w:rsidR="00A37C1D">
        <w:rPr>
          <w:kern w:val="0"/>
          <w:szCs w:val="24"/>
        </w:rPr>
        <w:t>. The</w:t>
      </w:r>
      <w:r w:rsidR="003A1917">
        <w:rPr>
          <w:kern w:val="0"/>
          <w:szCs w:val="24"/>
        </w:rPr>
        <w:t xml:space="preserve"> </w:t>
      </w:r>
      <w:r>
        <w:rPr>
          <w:kern w:val="0"/>
          <w:szCs w:val="24"/>
        </w:rPr>
        <w:t>United States,</w:t>
      </w:r>
      <w:r w:rsidR="003A1917">
        <w:rPr>
          <w:kern w:val="0"/>
          <w:szCs w:val="24"/>
        </w:rPr>
        <w:t xml:space="preserve"> the </w:t>
      </w:r>
      <w:r>
        <w:rPr>
          <w:kern w:val="0"/>
          <w:szCs w:val="24"/>
        </w:rPr>
        <w:t>United Kingdom</w:t>
      </w:r>
      <w:r w:rsidR="005853A9">
        <w:rPr>
          <w:kern w:val="0"/>
          <w:szCs w:val="24"/>
        </w:rPr>
        <w:t xml:space="preserve"> and </w:t>
      </w:r>
      <w:r>
        <w:rPr>
          <w:kern w:val="0"/>
          <w:szCs w:val="24"/>
        </w:rPr>
        <w:t>Canada were</w:t>
      </w:r>
      <w:r w:rsidR="003A1917">
        <w:rPr>
          <w:kern w:val="0"/>
          <w:szCs w:val="24"/>
        </w:rPr>
        <w:t xml:space="preserve"> the </w:t>
      </w:r>
      <w:r>
        <w:rPr>
          <w:kern w:val="0"/>
          <w:szCs w:val="24"/>
        </w:rPr>
        <w:t>largest three producer countries about cancer nursing. A total</w:t>
      </w:r>
      <w:r w:rsidR="00427468">
        <w:rPr>
          <w:kern w:val="0"/>
          <w:szCs w:val="24"/>
        </w:rPr>
        <w:t xml:space="preserve"> of </w:t>
      </w:r>
      <w:r>
        <w:rPr>
          <w:kern w:val="0"/>
          <w:szCs w:val="24"/>
        </w:rPr>
        <w:t>34 highly-frequent MeSH words for more than 100 times</w:t>
      </w:r>
      <w:r w:rsidR="00700038">
        <w:rPr>
          <w:kern w:val="0"/>
          <w:szCs w:val="24"/>
        </w:rPr>
        <w:t>’</w:t>
      </w:r>
      <w:r>
        <w:rPr>
          <w:kern w:val="0"/>
          <w:szCs w:val="24"/>
        </w:rPr>
        <w:t xml:space="preserve"> occurrences in</w:t>
      </w:r>
      <w:r w:rsidR="003A1917">
        <w:rPr>
          <w:kern w:val="0"/>
          <w:szCs w:val="24"/>
        </w:rPr>
        <w:t xml:space="preserve"> the </w:t>
      </w:r>
      <w:r>
        <w:rPr>
          <w:kern w:val="0"/>
          <w:szCs w:val="24"/>
        </w:rPr>
        <w:t>papers about oncologic nursing were extracted for cluster analysis</w:t>
      </w:r>
      <w:r w:rsidR="00A37C1D">
        <w:rPr>
          <w:kern w:val="0"/>
          <w:szCs w:val="24"/>
        </w:rPr>
        <w:t>. The</w:t>
      </w:r>
      <w:r>
        <w:rPr>
          <w:kern w:val="0"/>
          <w:szCs w:val="24"/>
        </w:rPr>
        <w:t>se words were classified into 3 aspects: (1) nursing practice; (2) nursing evaluation</w:t>
      </w:r>
      <w:r w:rsidR="005853A9">
        <w:rPr>
          <w:kern w:val="0"/>
          <w:szCs w:val="24"/>
        </w:rPr>
        <w:t xml:space="preserve"> and </w:t>
      </w:r>
      <w:r>
        <w:rPr>
          <w:kern w:val="0"/>
          <w:szCs w:val="24"/>
        </w:rPr>
        <w:t>education; (3) nursing-related social support. Conclusions: Stable growth has occurred in</w:t>
      </w:r>
      <w:r w:rsidR="003A1917">
        <w:rPr>
          <w:kern w:val="0"/>
          <w:szCs w:val="24"/>
        </w:rPr>
        <w:t xml:space="preserve"> the </w:t>
      </w:r>
      <w:r>
        <w:rPr>
          <w:kern w:val="0"/>
          <w:szCs w:val="24"/>
        </w:rPr>
        <w:t>research field</w:t>
      </w:r>
      <w:r w:rsidR="00427468">
        <w:rPr>
          <w:kern w:val="0"/>
          <w:szCs w:val="24"/>
        </w:rPr>
        <w:t xml:space="preserve"> of </w:t>
      </w:r>
      <w:r>
        <w:rPr>
          <w:kern w:val="0"/>
          <w:szCs w:val="24"/>
        </w:rPr>
        <w:t>cancer nursing</w:t>
      </w:r>
      <w:r w:rsidR="00A37C1D">
        <w:rPr>
          <w:kern w:val="0"/>
          <w:szCs w:val="24"/>
        </w:rPr>
        <w:t>. The</w:t>
      </w:r>
      <w:r w:rsidR="003A1917">
        <w:rPr>
          <w:kern w:val="0"/>
          <w:szCs w:val="24"/>
        </w:rPr>
        <w:t xml:space="preserve"> </w:t>
      </w:r>
      <w:r>
        <w:rPr>
          <w:kern w:val="0"/>
          <w:szCs w:val="24"/>
        </w:rPr>
        <w:t>limited amount</w:t>
      </w:r>
      <w:r w:rsidR="00427468">
        <w:rPr>
          <w:kern w:val="0"/>
          <w:szCs w:val="24"/>
        </w:rPr>
        <w:t xml:space="preserve"> of </w:t>
      </w:r>
      <w:r w:rsidR="003A1917">
        <w:rPr>
          <w:kern w:val="0"/>
          <w:szCs w:val="24"/>
        </w:rPr>
        <w:t xml:space="preserve">the </w:t>
      </w:r>
      <w:r>
        <w:rPr>
          <w:kern w:val="0"/>
          <w:szCs w:val="24"/>
        </w:rPr>
        <w:t>publications from developing countries indicates that</w:t>
      </w:r>
      <w:r w:rsidR="003A1917">
        <w:rPr>
          <w:kern w:val="0"/>
          <w:szCs w:val="24"/>
        </w:rPr>
        <w:t xml:space="preserve"> the </w:t>
      </w:r>
      <w:r>
        <w:rPr>
          <w:kern w:val="0"/>
          <w:szCs w:val="24"/>
        </w:rPr>
        <w:t>field is still under-developed. Emerging topics</w:t>
      </w:r>
      <w:r w:rsidR="00427468">
        <w:rPr>
          <w:kern w:val="0"/>
          <w:szCs w:val="24"/>
        </w:rPr>
        <w:t xml:space="preserve"> of </w:t>
      </w:r>
      <w:r>
        <w:rPr>
          <w:kern w:val="0"/>
          <w:szCs w:val="24"/>
        </w:rPr>
        <w:t>nurse-patient relations</w:t>
      </w:r>
      <w:r w:rsidR="005853A9">
        <w:rPr>
          <w:kern w:val="0"/>
          <w:szCs w:val="24"/>
        </w:rPr>
        <w:t xml:space="preserve"> and </w:t>
      </w:r>
      <w:r>
        <w:rPr>
          <w:kern w:val="0"/>
          <w:szCs w:val="24"/>
        </w:rPr>
        <w:t>social support provide some hints</w:t>
      </w:r>
      <w:r w:rsidR="00427468">
        <w:rPr>
          <w:kern w:val="0"/>
          <w:szCs w:val="24"/>
        </w:rPr>
        <w:t xml:space="preserve"> of </w:t>
      </w:r>
      <w:r w:rsidR="003A1917">
        <w:rPr>
          <w:kern w:val="0"/>
          <w:szCs w:val="24"/>
        </w:rPr>
        <w:t xml:space="preserve">the </w:t>
      </w:r>
      <w:r>
        <w:rPr>
          <w:kern w:val="0"/>
          <w:szCs w:val="24"/>
        </w:rPr>
        <w:t>need to provide more target training for</w:t>
      </w:r>
      <w:r w:rsidR="003A1917">
        <w:rPr>
          <w:kern w:val="0"/>
          <w:szCs w:val="24"/>
        </w:rPr>
        <w:t xml:space="preserve"> the </w:t>
      </w:r>
      <w:r>
        <w:rPr>
          <w:kern w:val="0"/>
          <w:szCs w:val="24"/>
        </w:rPr>
        <w:t>nurses</w:t>
      </w:r>
      <w:r w:rsidR="005853A9">
        <w:rPr>
          <w:kern w:val="0"/>
          <w:szCs w:val="24"/>
        </w:rPr>
        <w:t xml:space="preserve"> and </w:t>
      </w:r>
      <w:r>
        <w:rPr>
          <w:kern w:val="0"/>
          <w:szCs w:val="24"/>
        </w:rPr>
        <w:t>nurse students in</w:t>
      </w:r>
      <w:r w:rsidR="003A1917">
        <w:rPr>
          <w:kern w:val="0"/>
          <w:szCs w:val="24"/>
        </w:rPr>
        <w:t xml:space="preserve"> the </w:t>
      </w:r>
      <w:r>
        <w:rPr>
          <w:kern w:val="0"/>
          <w:szCs w:val="24"/>
        </w:rPr>
        <w:t>field</w:t>
      </w:r>
      <w:r w:rsidR="00427468">
        <w:rPr>
          <w:kern w:val="0"/>
          <w:szCs w:val="24"/>
        </w:rPr>
        <w:t xml:space="preserve"> of </w:t>
      </w:r>
      <w:r>
        <w:rPr>
          <w:kern w:val="0"/>
          <w:szCs w:val="24"/>
        </w:rPr>
        <w:t>cancer nursing.</w:t>
      </w:r>
    </w:p>
    <w:p w:rsidR="00F85A48" w:rsidRDefault="00F85A48" w:rsidP="00F85A48">
      <w:pPr>
        <w:pStyle w:val="a3"/>
        <w:rPr>
          <w:kern w:val="0"/>
          <w:szCs w:val="24"/>
        </w:rPr>
      </w:pPr>
      <w:r>
        <w:rPr>
          <w:kern w:val="0"/>
          <w:szCs w:val="24"/>
        </w:rPr>
        <w:t>Keywords: Analysis, Authors, Bibliometric, Bibliometrics, Burden, Canada, Cancer, Care, Cluster, Cluster Analysis, Countries, Developing, Developing Countries, Education, Evaluation, Field, Growth, Journal, Journals, Nurses, Nursing, Nursing Research, Oncologic Nursing, Papers, Practice, Publication, Publication Counts, Publications, Pubmed, Recent, Relations, Research, Social, Social Support, Statistical Analysis, Students, Support, Techniques, Topics, Training, United Kingdom, United States, Utilization</w:t>
      </w:r>
    </w:p>
    <w:p w:rsidR="00C37AD8" w:rsidRDefault="00C37AD8" w:rsidP="00C37AD8">
      <w:pPr>
        <w:pStyle w:val="a3"/>
        <w:rPr>
          <w:kern w:val="0"/>
        </w:rPr>
      </w:pPr>
      <w:r>
        <w:rPr>
          <w:rFonts w:hint="eastAsia"/>
          <w:kern w:val="0"/>
        </w:rPr>
        <w:t xml:space="preserve">? </w:t>
      </w:r>
      <w:r>
        <w:rPr>
          <w:kern w:val="0"/>
        </w:rPr>
        <w:t>Zhou, F., Shao, J.H., Wu, L.Q., Yin, X.B.</w:t>
      </w:r>
      <w:r w:rsidR="005853A9">
        <w:rPr>
          <w:kern w:val="0"/>
        </w:rPr>
        <w:t xml:space="preserve"> and </w:t>
      </w:r>
      <w:r>
        <w:rPr>
          <w:kern w:val="0"/>
        </w:rPr>
        <w:t>Yu, X. (2013), Risk</w:t>
      </w:r>
      <w:r w:rsidR="00427468">
        <w:rPr>
          <w:kern w:val="0"/>
        </w:rPr>
        <w:t xml:space="preserve"> of </w:t>
      </w:r>
      <w:r>
        <w:rPr>
          <w:kern w:val="0"/>
        </w:rPr>
        <w:t xml:space="preserve">serious neutropenic events in cancer patients treated with bevacizumab: A meta-analysis.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(4), 2453-2459.</w:t>
      </w:r>
    </w:p>
    <w:p w:rsidR="00C37AD8" w:rsidRDefault="00C37AD8" w:rsidP="00C37AD8">
      <w:pPr>
        <w:pStyle w:val="a3"/>
        <w:rPr>
          <w:kern w:val="0"/>
        </w:rPr>
      </w:pPr>
      <w:r>
        <w:rPr>
          <w:rFonts w:hint="eastAsia"/>
          <w:kern w:val="0"/>
        </w:rPr>
        <w:t>F</w:t>
      </w:r>
      <w:r>
        <w:rPr>
          <w:kern w:val="0"/>
        </w:rPr>
        <w:t>u</w:t>
      </w:r>
      <w:r>
        <w:rPr>
          <w:rFonts w:hint="eastAsia"/>
          <w:kern w:val="0"/>
        </w:rPr>
        <w:t xml:space="preserve">ll Text: </w:t>
      </w:r>
      <w:hyperlink r:id="rId1283" w:history="1">
        <w:r w:rsidR="00C809CD" w:rsidRPr="00C809CD">
          <w:rPr>
            <w:rStyle w:val="a5"/>
            <w:kern w:val="0"/>
          </w:rPr>
          <w:t>2013\Asi Pac J Can Pre14, 2453.pdf</w:t>
        </w:r>
      </w:hyperlink>
    </w:p>
    <w:p w:rsidR="00C37AD8" w:rsidRDefault="00C37AD8" w:rsidP="00C37AD8">
      <w:pPr>
        <w:pStyle w:val="a3"/>
        <w:rPr>
          <w:kern w:val="0"/>
        </w:rPr>
      </w:pPr>
      <w:r>
        <w:rPr>
          <w:kern w:val="0"/>
        </w:rPr>
        <w:t>Abstract: Bevacizumab has been approved for use in combination with chemotherapy to treat many types</w:t>
      </w:r>
      <w:r w:rsidR="00427468">
        <w:rPr>
          <w:kern w:val="0"/>
        </w:rPr>
        <w:t xml:space="preserve"> of </w:t>
      </w:r>
      <w:r>
        <w:rPr>
          <w:kern w:val="0"/>
        </w:rPr>
        <w:t>cancer but associated neutropenic events, including febrile neutropenia, have been reported. To estimate the incidence</w:t>
      </w:r>
      <w:r w:rsidR="005853A9">
        <w:rPr>
          <w:kern w:val="0"/>
        </w:rPr>
        <w:t xml:space="preserve"> and </w:t>
      </w:r>
      <w:r>
        <w:rPr>
          <w:kern w:val="0"/>
        </w:rPr>
        <w:t>relative risk</w:t>
      </w:r>
      <w:r w:rsidR="00427468">
        <w:rPr>
          <w:kern w:val="0"/>
        </w:rPr>
        <w:t xml:space="preserve"> of </w:t>
      </w:r>
      <w:r>
        <w:rPr>
          <w:kern w:val="0"/>
        </w:rPr>
        <w:t xml:space="preserve">neutropenic events in cancer patients treated with bevacizumab combination therapy, </w:t>
      </w:r>
      <w:r>
        <w:rPr>
          <w:kern w:val="0"/>
        </w:rPr>
        <w:lastRenderedPageBreak/>
        <w:t>we searched PubMed,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literature databases, as well as abstracts presented at the American Society</w:t>
      </w:r>
      <w:r w:rsidR="00427468">
        <w:rPr>
          <w:kern w:val="0"/>
        </w:rPr>
        <w:t xml:space="preserve"> of </w:t>
      </w:r>
      <w:r>
        <w:rPr>
          <w:kern w:val="0"/>
        </w:rPr>
        <w:t>Clinical Oncology conferences, to identify relevant studies published from January 1966 to December 2011. Studies that compared bevacizumab plus chemotherapy or biological therapy with chemotherapy or biological therapy alone,</w:t>
      </w:r>
      <w:r w:rsidR="005853A9">
        <w:rPr>
          <w:kern w:val="0"/>
        </w:rPr>
        <w:t xml:space="preserve"> and </w:t>
      </w:r>
      <w:r>
        <w:rPr>
          <w:kern w:val="0"/>
        </w:rPr>
        <w:t>that had adequate safety data profiles, were selected for analysis. Statistical analyses were conducted to calculate the summary incidence rates, relative risks (RRs),</w:t>
      </w:r>
      <w:r w:rsidR="005853A9">
        <w:rPr>
          <w:kern w:val="0"/>
        </w:rPr>
        <w:t xml:space="preserve"> and </w:t>
      </w:r>
      <w:r>
        <w:rPr>
          <w:kern w:val="0"/>
        </w:rPr>
        <w:t>95% confidence intervals (CIs) using fixed-or random-effects models. A total</w:t>
      </w:r>
      <w:r w:rsidR="00427468">
        <w:rPr>
          <w:kern w:val="0"/>
        </w:rPr>
        <w:t xml:space="preserve"> of </w:t>
      </w:r>
      <w:r>
        <w:rPr>
          <w:kern w:val="0"/>
        </w:rPr>
        <w:t>22 clinical trials involving 15,056 patients were included in the analysis</w:t>
      </w:r>
      <w:r w:rsidR="00A37C1D">
        <w:rPr>
          <w:kern w:val="0"/>
        </w:rPr>
        <w:t>. The</w:t>
      </w:r>
      <w:r>
        <w:rPr>
          <w:kern w:val="0"/>
        </w:rPr>
        <w:t xml:space="preserve"> summary incidences</w:t>
      </w:r>
      <w:r w:rsidR="00427468">
        <w:rPr>
          <w:kern w:val="0"/>
        </w:rPr>
        <w:t xml:space="preserve"> of </w:t>
      </w:r>
      <w:r>
        <w:rPr>
          <w:kern w:val="0"/>
        </w:rPr>
        <w:t>high-grade neutropenia (HGN)</w:t>
      </w:r>
      <w:r w:rsidR="005853A9">
        <w:rPr>
          <w:kern w:val="0"/>
        </w:rPr>
        <w:t xml:space="preserve"> and </w:t>
      </w:r>
      <w:r>
        <w:rPr>
          <w:kern w:val="0"/>
        </w:rPr>
        <w:t>high-grade febrile neutropenia (HGFN) in patients receiving bevacizumab was 27.3% (95% CI: 26.4%-28.3%)</w:t>
      </w:r>
      <w:r w:rsidR="005853A9">
        <w:rPr>
          <w:kern w:val="0"/>
        </w:rPr>
        <w:t xml:space="preserve"> and </w:t>
      </w:r>
      <w:r>
        <w:rPr>
          <w:kern w:val="0"/>
        </w:rPr>
        <w:t>3.91% (95% CI: 3.51%-4.37%), respectively</w:t>
      </w:r>
      <w:r w:rsidR="00A37C1D">
        <w:rPr>
          <w:kern w:val="0"/>
        </w:rPr>
        <w:t>. The</w:t>
      </w:r>
      <w:r>
        <w:rPr>
          <w:kern w:val="0"/>
        </w:rPr>
        <w:t xml:space="preserve"> risks</w:t>
      </w:r>
      <w:r w:rsidR="00427468">
        <w:rPr>
          <w:kern w:val="0"/>
        </w:rPr>
        <w:t xml:space="preserve"> of </w:t>
      </w:r>
      <w:r>
        <w:rPr>
          <w:kern w:val="0"/>
        </w:rPr>
        <w:t>HGN (RR=1.10; 95% CI: 1.02-1.19; P=0.02)</w:t>
      </w:r>
      <w:r w:rsidR="005853A9">
        <w:rPr>
          <w:kern w:val="0"/>
        </w:rPr>
        <w:t xml:space="preserve"> and </w:t>
      </w:r>
      <w:r>
        <w:rPr>
          <w:kern w:val="0"/>
        </w:rPr>
        <w:t>HGFN (RR=1.31; 95% CI: 1.08-1.59; P=0.005) were significantly increased in bevacizumab-treated patients, compared to those who did not receive bevacizumab</w:t>
      </w:r>
      <w:r w:rsidR="00A37C1D">
        <w:rPr>
          <w:kern w:val="0"/>
        </w:rPr>
        <w:t>. The</w:t>
      </w:r>
      <w:r>
        <w:rPr>
          <w:kern w:val="0"/>
        </w:rPr>
        <w:t xml:space="preserve"> RR</w:t>
      </w:r>
      <w:r w:rsidR="00427468">
        <w:rPr>
          <w:kern w:val="0"/>
        </w:rPr>
        <w:t xml:space="preserve"> of </w:t>
      </w:r>
      <w:r>
        <w:rPr>
          <w:kern w:val="0"/>
        </w:rPr>
        <w:t>bevacizumab-associated HGN, but not HGFN, varied significantly with tumor types (P=0.005)</w:t>
      </w:r>
      <w:r w:rsidR="00A37C1D">
        <w:rPr>
          <w:kern w:val="0"/>
        </w:rPr>
        <w:t>. The</w:t>
      </w:r>
      <w:r>
        <w:rPr>
          <w:kern w:val="0"/>
        </w:rPr>
        <w:t xml:space="preserve"> increased risk</w:t>
      </w:r>
      <w:r w:rsidR="00427468">
        <w:rPr>
          <w:kern w:val="0"/>
        </w:rPr>
        <w:t xml:space="preserve"> of </w:t>
      </w:r>
      <w:r>
        <w:rPr>
          <w:kern w:val="0"/>
        </w:rPr>
        <w:t>bevacizumab-associated neutropenic events was dose-dependent, as the RR was greater at a dose</w:t>
      </w:r>
      <w:r w:rsidR="00427468">
        <w:rPr>
          <w:kern w:val="0"/>
        </w:rPr>
        <w:t xml:space="preserve"> of </w:t>
      </w:r>
      <w:r>
        <w:rPr>
          <w:kern w:val="0"/>
        </w:rPr>
        <w:t>5 mg/kg/week than at 2.5 mg/kg/week. Our findings suggest that bevacizumab addition to cancer therapy significantly increases the risk</w:t>
      </w:r>
      <w:r w:rsidR="00427468">
        <w:rPr>
          <w:kern w:val="0"/>
        </w:rPr>
        <w:t xml:space="preserve"> of </w:t>
      </w:r>
      <w:r>
        <w:rPr>
          <w:kern w:val="0"/>
        </w:rPr>
        <w:t>serious neutropenic events,</w:t>
      </w:r>
      <w:r w:rsidR="005853A9">
        <w:rPr>
          <w:kern w:val="0"/>
        </w:rPr>
        <w:t xml:space="preserve"> and </w:t>
      </w:r>
      <w:r>
        <w:rPr>
          <w:kern w:val="0"/>
        </w:rPr>
        <w:t>this risk may be dose-dependent.</w:t>
      </w:r>
    </w:p>
    <w:p w:rsidR="00C37AD8" w:rsidRDefault="00C37AD8" w:rsidP="00C37AD8">
      <w:pPr>
        <w:pStyle w:val="a3"/>
        <w:rPr>
          <w:kern w:val="0"/>
        </w:rPr>
      </w:pPr>
      <w:r>
        <w:rPr>
          <w:kern w:val="0"/>
        </w:rPr>
        <w:t xml:space="preserve">Keywords: 1st-Line Treatment, Analyses, Analysis, Bevacizumab, Biological, Bone-Marrow Microenvironment, Breast-Cancer, Cancer, Cancer Therapy, Cell Lung-Cancer, Chemotherapy, Clinical, Clinical Trials, Combination Therapy, Conferences, Confidence, Confidence Intervals, Data, Databases, Embase, Events, Febrile Neutropenia, Incidence, Intervals, Literature, Meta-Analysis, Metastatic Colorectal-Cancer, Models, Neutropenia, Pancreatic-Cancer, Patients, Phase-III Trial, Plus Bevacizumab, Profiles, Pubmed, Rates, Relative Risk, Risk, Risks, Safety, Science, Stem-Cells, Therapy, Tumor, Tumor Angiogenesis, </w:t>
      </w:r>
      <w:r w:rsidR="00D5664A">
        <w:rPr>
          <w:kern w:val="0"/>
        </w:rPr>
        <w:t>Web</w:t>
      </w:r>
      <w:r w:rsidR="00427468">
        <w:rPr>
          <w:kern w:val="0"/>
        </w:rPr>
        <w:t xml:space="preserve"> of </w:t>
      </w:r>
      <w:r w:rsidR="00D5664A">
        <w:rPr>
          <w:kern w:val="0"/>
        </w:rPr>
        <w:t>Science</w:t>
      </w:r>
    </w:p>
    <w:p w:rsidR="00C37AD8" w:rsidRDefault="00C37AD8" w:rsidP="00C37AD8">
      <w:pPr>
        <w:pStyle w:val="a3"/>
        <w:rPr>
          <w:kern w:val="0"/>
        </w:rPr>
      </w:pPr>
      <w:r>
        <w:rPr>
          <w:rFonts w:hint="eastAsia"/>
          <w:kern w:val="0"/>
        </w:rPr>
        <w:t xml:space="preserve">? </w:t>
      </w:r>
      <w:r>
        <w:rPr>
          <w:kern w:val="0"/>
        </w:rPr>
        <w:t>Chambers, S.K., Hyde, M.K., Ip, D.F.K., Dunn, J.C.</w:t>
      </w:r>
      <w:r w:rsidR="005853A9">
        <w:rPr>
          <w:kern w:val="0"/>
        </w:rPr>
        <w:t xml:space="preserve"> and </w:t>
      </w:r>
      <w:r>
        <w:rPr>
          <w:kern w:val="0"/>
        </w:rPr>
        <w:t>Gardiner, R.A. (2013), Systematic review</w:t>
      </w:r>
      <w:r w:rsidR="00427468">
        <w:rPr>
          <w:kern w:val="0"/>
        </w:rPr>
        <w:t xml:space="preserve"> of </w:t>
      </w:r>
      <w:r>
        <w:rPr>
          <w:kern w:val="0"/>
        </w:rPr>
        <w:t>research into the psychological aspects</w:t>
      </w:r>
      <w:r w:rsidR="00427468">
        <w:rPr>
          <w:kern w:val="0"/>
        </w:rPr>
        <w:t xml:space="preserve"> of </w:t>
      </w:r>
      <w:r>
        <w:rPr>
          <w:kern w:val="0"/>
        </w:rPr>
        <w:t xml:space="preserve">prostate cancer in Asia: What do we know?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(4), 2621-2626.</w:t>
      </w:r>
    </w:p>
    <w:p w:rsidR="00C37AD8" w:rsidRDefault="00C37AD8" w:rsidP="00C37AD8">
      <w:pPr>
        <w:pStyle w:val="a3"/>
        <w:rPr>
          <w:kern w:val="0"/>
        </w:rPr>
      </w:pPr>
      <w:r>
        <w:rPr>
          <w:rFonts w:hint="eastAsia"/>
          <w:kern w:val="0"/>
        </w:rPr>
        <w:t>F</w:t>
      </w:r>
      <w:r>
        <w:rPr>
          <w:kern w:val="0"/>
        </w:rPr>
        <w:t>u</w:t>
      </w:r>
      <w:r>
        <w:rPr>
          <w:rFonts w:hint="eastAsia"/>
          <w:kern w:val="0"/>
        </w:rPr>
        <w:t xml:space="preserve">ll Text: </w:t>
      </w:r>
      <w:hyperlink r:id="rId1284" w:history="1">
        <w:r w:rsidR="00294ABB" w:rsidRPr="00294ABB">
          <w:rPr>
            <w:rStyle w:val="a5"/>
            <w:kern w:val="0"/>
          </w:rPr>
          <w:t>2013\Asi Pac J Can Pre14, 2621.pdf</w:t>
        </w:r>
      </w:hyperlink>
    </w:p>
    <w:p w:rsidR="00C37AD8" w:rsidRDefault="00C37AD8" w:rsidP="00C37AD8">
      <w:pPr>
        <w:pStyle w:val="a3"/>
        <w:rPr>
          <w:kern w:val="0"/>
        </w:rPr>
      </w:pPr>
      <w:r>
        <w:rPr>
          <w:kern w:val="0"/>
        </w:rPr>
        <w:t>Abstract: Background: To review the peer reviewed literature on the psychological aspects</w:t>
      </w:r>
      <w:r w:rsidR="00427468">
        <w:rPr>
          <w:kern w:val="0"/>
        </w:rPr>
        <w:t xml:space="preserve"> of </w:t>
      </w:r>
      <w:r>
        <w:rPr>
          <w:kern w:val="0"/>
        </w:rPr>
        <w:t>the prostate cancer experience</w:t>
      </w:r>
      <w:r w:rsidR="00427468">
        <w:rPr>
          <w:kern w:val="0"/>
        </w:rPr>
        <w:t xml:space="preserve"> of </w:t>
      </w:r>
      <w:r>
        <w:rPr>
          <w:kern w:val="0"/>
        </w:rPr>
        <w:t>men in Asia. Materials</w:t>
      </w:r>
      <w:r w:rsidR="005853A9">
        <w:rPr>
          <w:kern w:val="0"/>
        </w:rPr>
        <w:t xml:space="preserve"> and </w:t>
      </w:r>
      <w:r>
        <w:rPr>
          <w:kern w:val="0"/>
        </w:rPr>
        <w:t xml:space="preserve">Methods: </w:t>
      </w:r>
      <w:r w:rsidR="00D5664A">
        <w:rPr>
          <w:kern w:val="0"/>
        </w:rPr>
        <w:t>MEDLINE</w:t>
      </w:r>
      <w:r w:rsidR="005853A9">
        <w:rPr>
          <w:kern w:val="0"/>
        </w:rPr>
        <w:t xml:space="preserve"> and </w:t>
      </w:r>
      <w:r>
        <w:rPr>
          <w:kern w:val="0"/>
        </w:rPr>
        <w:t>PsycINFO, CINAHL, ProQuest,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(1999 - November Week 4, 2012) were searched. Inclusion criteria were: included men with prostate cancer and/or their partners or caregivers who identify as Asian recruited in an Asian country;</w:t>
      </w:r>
      <w:r w:rsidR="005853A9">
        <w:rPr>
          <w:kern w:val="0"/>
        </w:rPr>
        <w:t xml:space="preserve"> and </w:t>
      </w:r>
      <w:r>
        <w:rPr>
          <w:kern w:val="0"/>
        </w:rPr>
        <w:t>assessed health-related quality</w:t>
      </w:r>
      <w:r w:rsidR="00427468">
        <w:rPr>
          <w:kern w:val="0"/>
        </w:rPr>
        <w:t xml:space="preserve"> of </w:t>
      </w:r>
      <w:r>
        <w:rPr>
          <w:kern w:val="0"/>
        </w:rPr>
        <w:t>life, psychological</w:t>
      </w:r>
      <w:r w:rsidR="005853A9">
        <w:rPr>
          <w:kern w:val="0"/>
        </w:rPr>
        <w:t xml:space="preserve"> and </w:t>
      </w:r>
      <w:r>
        <w:rPr>
          <w:kern w:val="0"/>
        </w:rPr>
        <w:t xml:space="preserve">social </w:t>
      </w:r>
      <w:r>
        <w:rPr>
          <w:kern w:val="0"/>
        </w:rPr>
        <w:lastRenderedPageBreak/>
        <w:t>adjustment relating to prostate cancer</w:t>
      </w:r>
      <w:r w:rsidR="005853A9">
        <w:rPr>
          <w:kern w:val="0"/>
        </w:rPr>
        <w:t xml:space="preserve"> and </w:t>
      </w:r>
      <w:r>
        <w:rPr>
          <w:kern w:val="0"/>
        </w:rPr>
        <w:t>published in English after 1st January 1999</w:t>
      </w:r>
      <w:r w:rsidR="005853A9">
        <w:rPr>
          <w:kern w:val="0"/>
        </w:rPr>
        <w:t xml:space="preserve"> and </w:t>
      </w:r>
      <w:r>
        <w:rPr>
          <w:kern w:val="0"/>
        </w:rPr>
        <w:t>prior to 30th November, 2012. Study aims; design; quality; level</w:t>
      </w:r>
      <w:r w:rsidR="00427468">
        <w:rPr>
          <w:kern w:val="0"/>
        </w:rPr>
        <w:t xml:space="preserve"> of </w:t>
      </w:r>
      <w:r>
        <w:rPr>
          <w:kern w:val="0"/>
        </w:rPr>
        <w:t>evidence,</w:t>
      </w:r>
      <w:r w:rsidR="005853A9">
        <w:rPr>
          <w:kern w:val="0"/>
        </w:rPr>
        <w:t xml:space="preserve"> and </w:t>
      </w:r>
      <w:r>
        <w:rPr>
          <w:kern w:val="0"/>
        </w:rPr>
        <w:t>key results were assessed. Results: 43 articles met all inclusion criteria</w:t>
      </w:r>
      <w:r w:rsidR="005853A9">
        <w:rPr>
          <w:kern w:val="0"/>
        </w:rPr>
        <w:t xml:space="preserve"> and </w:t>
      </w:r>
      <w:r>
        <w:rPr>
          <w:kern w:val="0"/>
        </w:rPr>
        <w:t>were retained for initial review.</w:t>
      </w:r>
      <w:r w:rsidR="00427468">
        <w:rPr>
          <w:kern w:val="0"/>
        </w:rPr>
        <w:t xml:space="preserve"> of </w:t>
      </w:r>
      <w:r>
        <w:rPr>
          <w:kern w:val="0"/>
        </w:rPr>
        <w:t>these most focussed on health-related QOL with only five evidence Level IV studies from Japan</w:t>
      </w:r>
      <w:r w:rsidR="005853A9">
        <w:rPr>
          <w:kern w:val="0"/>
        </w:rPr>
        <w:t xml:space="preserve"> and </w:t>
      </w:r>
      <w:r>
        <w:rPr>
          <w:kern w:val="0"/>
        </w:rPr>
        <w:t>Taiwan including a specific psychological focus.</w:t>
      </w:r>
      <w:r w:rsidR="00427468">
        <w:rPr>
          <w:kern w:val="0"/>
        </w:rPr>
        <w:t xml:space="preserve"> of </w:t>
      </w:r>
      <w:r>
        <w:rPr>
          <w:kern w:val="0"/>
        </w:rPr>
        <w:t>these, one was a cross-sectional case control study; three were cross-sectional descriptive quantitative designs; one was a cross-sectional descriptive qualitative study. From the data available, a substantive sub group</w:t>
      </w:r>
      <w:r w:rsidR="00427468">
        <w:rPr>
          <w:kern w:val="0"/>
        </w:rPr>
        <w:t xml:space="preserve"> of </w:t>
      </w:r>
      <w:r>
        <w:rPr>
          <w:kern w:val="0"/>
        </w:rPr>
        <w:t>men with prostate cancer (approximately one third) in these countries experience clinically high psychological distress</w:t>
      </w:r>
      <w:r w:rsidR="005853A9">
        <w:rPr>
          <w:kern w:val="0"/>
        </w:rPr>
        <w:t xml:space="preserve"> and </w:t>
      </w:r>
      <w:r>
        <w:rPr>
          <w:kern w:val="0"/>
        </w:rPr>
        <w:t>decision regret. Conclusions: Research on the psychological needs</w:t>
      </w:r>
      <w:r w:rsidR="00427468">
        <w:rPr>
          <w:kern w:val="0"/>
        </w:rPr>
        <w:t xml:space="preserve"> of </w:t>
      </w:r>
      <w:r>
        <w:rPr>
          <w:kern w:val="0"/>
        </w:rPr>
        <w:t>men with the increasingly prevalent condition</w:t>
      </w:r>
      <w:r w:rsidR="00427468">
        <w:rPr>
          <w:kern w:val="0"/>
        </w:rPr>
        <w:t xml:space="preserve"> of </w:t>
      </w:r>
      <w:r>
        <w:rPr>
          <w:kern w:val="0"/>
        </w:rPr>
        <w:t>prostate cancer in Asian countries is scant with only a small number</w:t>
      </w:r>
      <w:r w:rsidR="00427468">
        <w:rPr>
          <w:kern w:val="0"/>
        </w:rPr>
        <w:t xml:space="preserve"> of </w:t>
      </w:r>
      <w:r>
        <w:rPr>
          <w:kern w:val="0"/>
        </w:rPr>
        <w:t>low level evidence descriptive studies identified. Future research to underpin the development</w:t>
      </w:r>
      <w:r w:rsidR="005853A9">
        <w:rPr>
          <w:kern w:val="0"/>
        </w:rPr>
        <w:t xml:space="preserve"> and </w:t>
      </w:r>
      <w:r>
        <w:rPr>
          <w:kern w:val="0"/>
        </w:rPr>
        <w:t>evaluation</w:t>
      </w:r>
      <w:r w:rsidR="00427468">
        <w:rPr>
          <w:kern w:val="0"/>
        </w:rPr>
        <w:t xml:space="preserve"> of </w:t>
      </w:r>
      <w:r>
        <w:rPr>
          <w:kern w:val="0"/>
        </w:rPr>
        <w:t>effective</w:t>
      </w:r>
      <w:r w:rsidR="005853A9">
        <w:rPr>
          <w:kern w:val="0"/>
        </w:rPr>
        <w:t xml:space="preserve"> and </w:t>
      </w:r>
      <w:r>
        <w:rPr>
          <w:kern w:val="0"/>
        </w:rPr>
        <w:t>culturally relevant psychological</w:t>
      </w:r>
      <w:r w:rsidR="005853A9">
        <w:rPr>
          <w:kern w:val="0"/>
        </w:rPr>
        <w:t xml:space="preserve"> and </w:t>
      </w:r>
      <w:r>
        <w:rPr>
          <w:kern w:val="0"/>
        </w:rPr>
        <w:t>supportive care interventions for such men is urgently needed.</w:t>
      </w:r>
    </w:p>
    <w:p w:rsidR="00C37AD8" w:rsidRDefault="00C37AD8" w:rsidP="00C37AD8">
      <w:pPr>
        <w:pStyle w:val="a3"/>
        <w:rPr>
          <w:kern w:val="0"/>
        </w:rPr>
      </w:pPr>
      <w:r>
        <w:rPr>
          <w:kern w:val="0"/>
        </w:rPr>
        <w:t>Keywords: Asia, Asian, Attitudes, Cancer, Care, Caregivers, Case-Control, Control, Country, Criteria, Data, Decision, Design, Development, Distress, Evaluation, Evidence, Experience, Health, Health-Related Quality</w:t>
      </w:r>
      <w:r w:rsidR="00427468">
        <w:rPr>
          <w:kern w:val="0"/>
        </w:rPr>
        <w:t xml:space="preserve"> of </w:t>
      </w:r>
      <w:r>
        <w:rPr>
          <w:kern w:val="0"/>
        </w:rPr>
        <w:t xml:space="preserve">Life, Impact, Interventions, Iv, Japan, Japanese Men, Life, Literature, Materials, </w:t>
      </w:r>
      <w:r w:rsidR="00D5664A">
        <w:rPr>
          <w:kern w:val="0"/>
        </w:rPr>
        <w:t>MEDLINE</w:t>
      </w:r>
      <w:r>
        <w:rPr>
          <w:kern w:val="0"/>
        </w:rPr>
        <w:t>, Men, Methods, Needs, Peer-Reviewed, Prostate Cancer, Psychological, Psychological Adjustment, Psychological Distress, Psycinfo, Qol, Qualitative, Qualitative Study, Quality, Quality Of, Quality</w:t>
      </w:r>
      <w:r w:rsidR="00427468">
        <w:rPr>
          <w:kern w:val="0"/>
        </w:rPr>
        <w:t xml:space="preserve"> of </w:t>
      </w:r>
      <w:r>
        <w:rPr>
          <w:kern w:val="0"/>
        </w:rPr>
        <w:t xml:space="preserve">Life, Quality-Of-Life, Radical Prostatectomy, Research, Results, Review, Science, Small, Social, Supportive Care, Supportive Care Needs, Systematic Review, Taiwan, Therapy, </w:t>
      </w:r>
      <w:r w:rsidR="00D5664A">
        <w:rPr>
          <w:kern w:val="0"/>
        </w:rPr>
        <w:t>Web</w:t>
      </w:r>
      <w:r w:rsidR="00427468">
        <w:rPr>
          <w:kern w:val="0"/>
        </w:rPr>
        <w:t xml:space="preserve"> of </w:t>
      </w:r>
      <w:r w:rsidR="00D5664A">
        <w:rPr>
          <w:kern w:val="0"/>
        </w:rPr>
        <w:t>Science</w:t>
      </w:r>
    </w:p>
    <w:p w:rsidR="007066FD" w:rsidRDefault="007066FD" w:rsidP="007066FD">
      <w:pPr>
        <w:pStyle w:val="a3"/>
        <w:rPr>
          <w:kern w:val="0"/>
        </w:rPr>
      </w:pPr>
      <w:r>
        <w:rPr>
          <w:rFonts w:hint="eastAsia"/>
          <w:kern w:val="0"/>
        </w:rPr>
        <w:t xml:space="preserve">? </w:t>
      </w:r>
      <w:r>
        <w:rPr>
          <w:kern w:val="0"/>
        </w:rPr>
        <w:t>Zhou, X.F., Ding, Z.S.</w:t>
      </w:r>
      <w:r w:rsidR="005853A9">
        <w:rPr>
          <w:kern w:val="0"/>
        </w:rPr>
        <w:t xml:space="preserve"> and </w:t>
      </w:r>
      <w:r>
        <w:rPr>
          <w:kern w:val="0"/>
        </w:rPr>
        <w:t>Liu, N.B. (2013), Allium vegetables</w:t>
      </w:r>
      <w:r w:rsidR="005853A9">
        <w:rPr>
          <w:kern w:val="0"/>
        </w:rPr>
        <w:t xml:space="preserve"> and </w:t>
      </w:r>
      <w:r>
        <w:rPr>
          <w:kern w:val="0"/>
        </w:rPr>
        <w:t>risk</w:t>
      </w:r>
      <w:r w:rsidR="00427468">
        <w:rPr>
          <w:kern w:val="0"/>
        </w:rPr>
        <w:t xml:space="preserve"> of </w:t>
      </w:r>
      <w:r>
        <w:rPr>
          <w:kern w:val="0"/>
        </w:rPr>
        <w:t xml:space="preserve">prostate cancer: Evidence from 132,192 subjects.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(7), 4131-4134.</w:t>
      </w:r>
    </w:p>
    <w:p w:rsidR="007066FD" w:rsidRDefault="007066FD" w:rsidP="007066FD">
      <w:pPr>
        <w:pStyle w:val="a3"/>
        <w:rPr>
          <w:kern w:val="0"/>
        </w:rPr>
      </w:pPr>
      <w:r>
        <w:rPr>
          <w:rFonts w:hint="eastAsia"/>
          <w:kern w:val="0"/>
        </w:rPr>
        <w:t>F</w:t>
      </w:r>
      <w:r>
        <w:rPr>
          <w:kern w:val="0"/>
        </w:rPr>
        <w:t>u</w:t>
      </w:r>
      <w:r>
        <w:rPr>
          <w:rFonts w:hint="eastAsia"/>
          <w:kern w:val="0"/>
        </w:rPr>
        <w:t xml:space="preserve">ll Text: </w:t>
      </w:r>
      <w:hyperlink r:id="rId1285" w:history="1">
        <w:r w:rsidRPr="007C570B">
          <w:rPr>
            <w:rStyle w:val="a5"/>
            <w:kern w:val="0"/>
          </w:rPr>
          <w:t>2013\Asi Pac J Can Pre14, 4131.pdf</w:t>
        </w:r>
      </w:hyperlink>
    </w:p>
    <w:p w:rsidR="007066FD" w:rsidRDefault="007066FD" w:rsidP="007066FD">
      <w:pPr>
        <w:pStyle w:val="a3"/>
        <w:rPr>
          <w:kern w:val="0"/>
        </w:rPr>
      </w:pPr>
      <w:r>
        <w:rPr>
          <w:kern w:val="0"/>
        </w:rPr>
        <w:t>Abstract: Objective: To evaluate the relationship between allium vegetable intake</w:t>
      </w:r>
      <w:r w:rsidR="005853A9">
        <w:rPr>
          <w:kern w:val="0"/>
        </w:rPr>
        <w:t xml:space="preserve"> and </w:t>
      </w:r>
      <w:r>
        <w:rPr>
          <w:kern w:val="0"/>
        </w:rPr>
        <w:t>risk</w:t>
      </w:r>
      <w:r w:rsidR="00427468">
        <w:rPr>
          <w:kern w:val="0"/>
        </w:rPr>
        <w:t xml:space="preserve"> of </w:t>
      </w:r>
      <w:r>
        <w:rPr>
          <w:kern w:val="0"/>
        </w:rPr>
        <w:t>prostate cancer. Methods: A systematic literature search up to May 2013 was carried out in PubMed, EMBASE, Scopus, Web</w:t>
      </w:r>
      <w:r w:rsidR="00427468">
        <w:rPr>
          <w:kern w:val="0"/>
        </w:rPr>
        <w:t xml:space="preserve"> of </w:t>
      </w:r>
      <w:r>
        <w:rPr>
          <w:kern w:val="0"/>
        </w:rPr>
        <w:t>Science, Cochrane register,</w:t>
      </w:r>
      <w:r w:rsidR="005853A9">
        <w:rPr>
          <w:kern w:val="0"/>
        </w:rPr>
        <w:t xml:space="preserve"> and </w:t>
      </w:r>
      <w:r>
        <w:rPr>
          <w:kern w:val="0"/>
        </w:rPr>
        <w:t>Chinese National Knowledge Infrastructure (CNKI) databases,</w:t>
      </w:r>
      <w:r w:rsidR="005853A9">
        <w:rPr>
          <w:kern w:val="0"/>
        </w:rPr>
        <w:t xml:space="preserve"> and </w:t>
      </w:r>
      <w:r>
        <w:rPr>
          <w:kern w:val="0"/>
        </w:rPr>
        <w:t>the references</w:t>
      </w:r>
      <w:r w:rsidR="00427468">
        <w:rPr>
          <w:kern w:val="0"/>
        </w:rPr>
        <w:t xml:space="preserve"> of </w:t>
      </w:r>
      <w:r>
        <w:rPr>
          <w:kern w:val="0"/>
        </w:rPr>
        <w:t>retrieved articles were also screened</w:t>
      </w:r>
      <w:r w:rsidR="00A37C1D">
        <w:rPr>
          <w:kern w:val="0"/>
        </w:rPr>
        <w:t>. The</w:t>
      </w:r>
      <w:r>
        <w:rPr>
          <w:kern w:val="0"/>
        </w:rPr>
        <w:t xml:space="preserve"> summary relative risks with 95% confidence interval for the highest versus the lowest intake</w:t>
      </w:r>
      <w:r w:rsidR="00427468">
        <w:rPr>
          <w:kern w:val="0"/>
        </w:rPr>
        <w:t xml:space="preserve"> of </w:t>
      </w:r>
      <w:r>
        <w:rPr>
          <w:kern w:val="0"/>
        </w:rPr>
        <w:t>allium vegetables were calculated. Heterogeneity</w:t>
      </w:r>
      <w:r w:rsidR="005853A9">
        <w:rPr>
          <w:kern w:val="0"/>
        </w:rPr>
        <w:t xml:space="preserve"> and </w:t>
      </w:r>
      <w:r>
        <w:rPr>
          <w:kern w:val="0"/>
        </w:rPr>
        <w:t>publication bias were also evaluated. Results: A total</w:t>
      </w:r>
      <w:r w:rsidR="00427468">
        <w:rPr>
          <w:kern w:val="0"/>
        </w:rPr>
        <w:t xml:space="preserve"> of </w:t>
      </w:r>
      <w:r>
        <w:rPr>
          <w:kern w:val="0"/>
        </w:rPr>
        <w:t>nine epidemiological studies consisting</w:t>
      </w:r>
      <w:r w:rsidR="00427468">
        <w:rPr>
          <w:kern w:val="0"/>
        </w:rPr>
        <w:t xml:space="preserve"> of </w:t>
      </w:r>
      <w:r>
        <w:rPr>
          <w:kern w:val="0"/>
        </w:rPr>
        <w:t>six case-control</w:t>
      </w:r>
      <w:r w:rsidR="005853A9">
        <w:rPr>
          <w:kern w:val="0"/>
        </w:rPr>
        <w:t xml:space="preserve"> and </w:t>
      </w:r>
      <w:r>
        <w:rPr>
          <w:kern w:val="0"/>
        </w:rPr>
        <w:t>three prospective cohort studies were included. We found a significantly decreased risk</w:t>
      </w:r>
      <w:r w:rsidR="00427468">
        <w:rPr>
          <w:kern w:val="0"/>
        </w:rPr>
        <w:t xml:space="preserve"> of </w:t>
      </w:r>
      <w:r>
        <w:rPr>
          <w:kern w:val="0"/>
        </w:rPr>
        <w:t>prostate cancer for intake</w:t>
      </w:r>
      <w:r w:rsidR="00427468">
        <w:rPr>
          <w:kern w:val="0"/>
        </w:rPr>
        <w:t xml:space="preserve"> of </w:t>
      </w:r>
      <w:r>
        <w:rPr>
          <w:kern w:val="0"/>
        </w:rPr>
        <w:t xml:space="preserve">allium vegetables (OR = 0.82, 95% CI 0.70, 0.97). Moreover, in the subgroup analysis stratified by allium vegetable types, significant associations </w:t>
      </w:r>
      <w:r>
        <w:rPr>
          <w:kern w:val="0"/>
        </w:rPr>
        <w:lastRenderedPageBreak/>
        <w:t>were observed for garlic (OR = 0.77, 95% CI 0.64-0.91) but not onions (OR = 0.84, 95% CI 0.62-1.13). Conclusions: Allium vegetables, especially garlic intake, are related to decreased risk</w:t>
      </w:r>
      <w:r w:rsidR="00427468">
        <w:rPr>
          <w:kern w:val="0"/>
        </w:rPr>
        <w:t xml:space="preserve"> of </w:t>
      </w:r>
      <w:r>
        <w:rPr>
          <w:kern w:val="0"/>
        </w:rPr>
        <w:t>prostate cancer. Because</w:t>
      </w:r>
      <w:r w:rsidR="00427468">
        <w:rPr>
          <w:kern w:val="0"/>
        </w:rPr>
        <w:t xml:space="preserve"> of </w:t>
      </w:r>
      <w:r>
        <w:rPr>
          <w:kern w:val="0"/>
        </w:rPr>
        <w:t>the limited number</w:t>
      </w:r>
      <w:r w:rsidR="00427468">
        <w:rPr>
          <w:kern w:val="0"/>
        </w:rPr>
        <w:t xml:space="preserve"> of </w:t>
      </w:r>
      <w:r>
        <w:rPr>
          <w:kern w:val="0"/>
        </w:rPr>
        <w:t>studies, further well-designed prospective studies are warranted to confirm the findings</w:t>
      </w:r>
      <w:r w:rsidR="00427468">
        <w:rPr>
          <w:kern w:val="0"/>
        </w:rPr>
        <w:t xml:space="preserve"> of </w:t>
      </w:r>
      <w:r>
        <w:rPr>
          <w:kern w:val="0"/>
        </w:rPr>
        <w:t>our study.</w:t>
      </w:r>
    </w:p>
    <w:p w:rsidR="007066FD" w:rsidRDefault="007066FD" w:rsidP="007066FD">
      <w:pPr>
        <w:pStyle w:val="a3"/>
        <w:rPr>
          <w:kern w:val="0"/>
        </w:rPr>
      </w:pPr>
      <w:r>
        <w:rPr>
          <w:kern w:val="0"/>
        </w:rPr>
        <w:t>Keywords: Allium Vegetables, Analysis, Article, Bias, Cancer, Case-Control, China, Chinese, Cohort, Confidence, Consumption, Databases, Diallyl Disulfide, Embase, Evidence, Foods, Fruit, Garlic, Head, Interval, Japan, Knowledge, Korea, Literature, Literature Search, Meta-Analysis, Metaanalysis, Methods, Office, Onions, Organization, P, Pac, Pacific, Prevention, Prospective, Prospective Studies, Prostate Cancer, Prostatic Neoplasms, Publication, Publication Bias, Pubmed, R, References, Results, Risk, Risks, Science, Scopus, South, South-Korea, Systematic Literature Search, Vegetables, Web</w:t>
      </w:r>
      <w:r w:rsidR="00427468">
        <w:rPr>
          <w:kern w:val="0"/>
        </w:rPr>
        <w:t xml:space="preserve"> of </w:t>
      </w:r>
      <w:r>
        <w:rPr>
          <w:kern w:val="0"/>
        </w:rPr>
        <w:t>Science</w:t>
      </w:r>
    </w:p>
    <w:p w:rsidR="007066FD" w:rsidRDefault="007066FD" w:rsidP="007066FD">
      <w:pPr>
        <w:pStyle w:val="a3"/>
        <w:rPr>
          <w:kern w:val="0"/>
        </w:rPr>
      </w:pPr>
      <w:r>
        <w:rPr>
          <w:rFonts w:hint="eastAsia"/>
          <w:kern w:val="0"/>
        </w:rPr>
        <w:t xml:space="preserve">? </w:t>
      </w:r>
      <w:r>
        <w:rPr>
          <w:kern w:val="0"/>
        </w:rPr>
        <w:t>Zhang, Z.G., Zhang, Q.N., Wang, X.H.</w:t>
      </w:r>
      <w:r w:rsidR="005853A9">
        <w:rPr>
          <w:kern w:val="0"/>
        </w:rPr>
        <w:t xml:space="preserve"> and </w:t>
      </w:r>
      <w:r>
        <w:rPr>
          <w:kern w:val="0"/>
        </w:rPr>
        <w:t>Tian, J.H. (2013), Hypoxia-inducible factor 1 alpha (HIF-1</w:t>
      </w:r>
      <w:r>
        <w:rPr>
          <w:kern w:val="0"/>
        </w:rPr>
        <w:sym w:font="Symbol" w:char="F061"/>
      </w:r>
      <w:r>
        <w:rPr>
          <w:kern w:val="0"/>
        </w:rPr>
        <w:t xml:space="preserve">) as a prognostic indicator in patients with gastric tumors: A meta-analysis.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(7), 4195-4198.</w:t>
      </w:r>
    </w:p>
    <w:p w:rsidR="007066FD" w:rsidRDefault="007066FD" w:rsidP="007066FD">
      <w:pPr>
        <w:pStyle w:val="a3"/>
        <w:rPr>
          <w:kern w:val="0"/>
        </w:rPr>
      </w:pPr>
      <w:r>
        <w:rPr>
          <w:rFonts w:hint="eastAsia"/>
          <w:kern w:val="0"/>
        </w:rPr>
        <w:t>F</w:t>
      </w:r>
      <w:r>
        <w:rPr>
          <w:kern w:val="0"/>
        </w:rPr>
        <w:t>u</w:t>
      </w:r>
      <w:r>
        <w:rPr>
          <w:rFonts w:hint="eastAsia"/>
          <w:kern w:val="0"/>
        </w:rPr>
        <w:t xml:space="preserve">ll Text: </w:t>
      </w:r>
      <w:hyperlink r:id="rId1286" w:history="1">
        <w:r w:rsidRPr="007C570B">
          <w:rPr>
            <w:rStyle w:val="a5"/>
            <w:kern w:val="0"/>
          </w:rPr>
          <w:t>2013\Asi Pac J Can Pre14, 4195.pdf</w:t>
        </w:r>
      </w:hyperlink>
    </w:p>
    <w:p w:rsidR="007066FD" w:rsidRDefault="007066FD" w:rsidP="007066FD">
      <w:pPr>
        <w:pStyle w:val="a3"/>
        <w:rPr>
          <w:kern w:val="0"/>
        </w:rPr>
      </w:pPr>
      <w:r>
        <w:rPr>
          <w:kern w:val="0"/>
        </w:rPr>
        <w:t>Abstract: Background</w:t>
      </w:r>
      <w:r w:rsidR="005853A9">
        <w:rPr>
          <w:kern w:val="0"/>
        </w:rPr>
        <w:t xml:space="preserve"> and </w:t>
      </w:r>
      <w:r>
        <w:rPr>
          <w:kern w:val="0"/>
        </w:rPr>
        <w:t>Objective: Though researched for years, the prognostic role</w:t>
      </w:r>
      <w:r w:rsidR="00427468">
        <w:rPr>
          <w:kern w:val="0"/>
        </w:rPr>
        <w:t xml:space="preserve"> of </w:t>
      </w:r>
      <w:r>
        <w:rPr>
          <w:kern w:val="0"/>
        </w:rPr>
        <w:t>hypoxia-inducible factor 1 alpha (HIF-1 alpha) in gastric cancer is still controversial. We thus undertook a systematic review to assess the relationship. Method: A systematically literature search</w:t>
      </w:r>
      <w:r w:rsidR="00427468">
        <w:rPr>
          <w:kern w:val="0"/>
        </w:rPr>
        <w:t xml:space="preserve"> of </w:t>
      </w:r>
      <w:r>
        <w:rPr>
          <w:kern w:val="0"/>
        </w:rPr>
        <w:t>Pubmed, Embase, Web</w:t>
      </w:r>
      <w:r w:rsidR="00427468">
        <w:rPr>
          <w:kern w:val="0"/>
        </w:rPr>
        <w:t xml:space="preserve"> of </w:t>
      </w:r>
      <w:r>
        <w:rPr>
          <w:kern w:val="0"/>
        </w:rPr>
        <w:t>Science, China Biological Medicine Disc</w:t>
      </w:r>
      <w:r w:rsidR="005853A9">
        <w:rPr>
          <w:kern w:val="0"/>
        </w:rPr>
        <w:t xml:space="preserve"> and </w:t>
      </w:r>
      <w:r>
        <w:rPr>
          <w:kern w:val="0"/>
        </w:rPr>
        <w:t>Cochrane Library was undertaken in February 2013,</w:t>
      </w:r>
      <w:r w:rsidR="005853A9">
        <w:rPr>
          <w:kern w:val="0"/>
        </w:rPr>
        <w:t xml:space="preserve"> and </w:t>
      </w:r>
      <w:r>
        <w:rPr>
          <w:kern w:val="0"/>
        </w:rPr>
        <w:t>the reference lists</w:t>
      </w:r>
      <w:r w:rsidR="00427468">
        <w:rPr>
          <w:kern w:val="0"/>
        </w:rPr>
        <w:t xml:space="preserve"> of </w:t>
      </w:r>
      <w:r>
        <w:rPr>
          <w:kern w:val="0"/>
        </w:rPr>
        <w:t>articles were retrieved. Results: 12 trials (1,555 participants) were included to assess the association between HIF-1 alpha expression</w:t>
      </w:r>
      <w:r w:rsidR="005853A9">
        <w:rPr>
          <w:kern w:val="0"/>
        </w:rPr>
        <w:t xml:space="preserve"> and </w:t>
      </w:r>
      <w:r>
        <w:rPr>
          <w:kern w:val="0"/>
        </w:rPr>
        <w:t>survival. Summary hazard ratios (HRs) were calculated. HIF-1 alpha expression was significantly correlated with poor overall survival</w:t>
      </w:r>
      <w:r w:rsidR="00427468">
        <w:rPr>
          <w:kern w:val="0"/>
        </w:rPr>
        <w:t xml:space="preserve"> of </w:t>
      </w:r>
      <w:r>
        <w:rPr>
          <w:kern w:val="0"/>
        </w:rPr>
        <w:t>gastric cancer patients (HR=1.34, 95% CI: 1.13-1.58; P=0.0009), but not with poor disease free survival</w:t>
      </w:r>
      <w:r w:rsidR="00427468">
        <w:rPr>
          <w:kern w:val="0"/>
        </w:rPr>
        <w:t xml:space="preserve"> of </w:t>
      </w:r>
      <w:r>
        <w:rPr>
          <w:kern w:val="0"/>
        </w:rPr>
        <w:t>gastric cancer patients (HR=1.67, 95% CI: 0.99-2.82; P=0.06). Conclusion: HIF-1 alpha was associated with poor OS, but not DFS, especially for Asian patients. But studies evaluating relationships</w:t>
      </w:r>
      <w:r w:rsidR="00427468">
        <w:rPr>
          <w:kern w:val="0"/>
        </w:rPr>
        <w:t xml:space="preserve"> of </w:t>
      </w:r>
      <w:r>
        <w:rPr>
          <w:kern w:val="0"/>
        </w:rPr>
        <w:t>HIF-1 alpha with OS</w:t>
      </w:r>
      <w:r w:rsidR="005853A9">
        <w:rPr>
          <w:kern w:val="0"/>
        </w:rPr>
        <w:t xml:space="preserve"> and </w:t>
      </w:r>
      <w:r>
        <w:rPr>
          <w:kern w:val="0"/>
        </w:rPr>
        <w:t>DFS in non-Asian gastric cancer patients appear needed.</w:t>
      </w:r>
    </w:p>
    <w:p w:rsidR="007066FD" w:rsidRDefault="007066FD" w:rsidP="007066FD">
      <w:pPr>
        <w:pStyle w:val="a3"/>
        <w:rPr>
          <w:kern w:val="0"/>
        </w:rPr>
      </w:pPr>
      <w:r>
        <w:rPr>
          <w:kern w:val="0"/>
        </w:rPr>
        <w:t>Keywords: Angiogenesis, Article, Asian, Association, Cancer, China, Disease, Evidence, Expression, Gastric, Gastric Cancer, Growth, Hazard, Head, Hypoxia-Inducible Factor, Hypoxia-Inducible-Factor-1-Alpha, Indicator, Korea, Literature, Literature Search, Medicine, Meta-Analysis, Office, Organization, Overexpression, P, P53, PAC, Pacific, Patients, Prevention, Prognostic, R, Reference, Reference Lists, Results, Review, Role, Science, South, South-Korea, Stomach Neoplasm, Survival, Systematic Review, Web</w:t>
      </w:r>
      <w:r w:rsidR="00427468">
        <w:rPr>
          <w:kern w:val="0"/>
        </w:rPr>
        <w:t xml:space="preserve"> of </w:t>
      </w:r>
      <w:r>
        <w:rPr>
          <w:kern w:val="0"/>
        </w:rPr>
        <w:t>Science</w:t>
      </w:r>
    </w:p>
    <w:p w:rsidR="007066FD" w:rsidRDefault="007066FD" w:rsidP="007066FD">
      <w:pPr>
        <w:pStyle w:val="a3"/>
        <w:rPr>
          <w:kern w:val="0"/>
        </w:rPr>
      </w:pPr>
      <w:r>
        <w:rPr>
          <w:rFonts w:hint="eastAsia"/>
          <w:kern w:val="0"/>
        </w:rPr>
        <w:t xml:space="preserve">? </w:t>
      </w:r>
      <w:r>
        <w:rPr>
          <w:kern w:val="0"/>
        </w:rPr>
        <w:t>Zhang, X., Jin, F.S., Zhang, L.G., Chen, R.X., Zhao, J.H., Wang, Y.N., Wang, E.F.</w:t>
      </w:r>
      <w:r w:rsidR="005853A9">
        <w:rPr>
          <w:kern w:val="0"/>
        </w:rPr>
        <w:t xml:space="preserve"> </w:t>
      </w:r>
      <w:r w:rsidR="005853A9">
        <w:rPr>
          <w:kern w:val="0"/>
        </w:rPr>
        <w:lastRenderedPageBreak/>
        <w:t xml:space="preserve">and </w:t>
      </w:r>
      <w:r>
        <w:rPr>
          <w:kern w:val="0"/>
        </w:rPr>
        <w:t>Jiang, Z.D. (2013), Predictive</w:t>
      </w:r>
      <w:r w:rsidR="005853A9">
        <w:rPr>
          <w:kern w:val="0"/>
        </w:rPr>
        <w:t xml:space="preserve"> and </w:t>
      </w:r>
      <w:r>
        <w:rPr>
          <w:kern w:val="0"/>
        </w:rPr>
        <w:t>prognostic roles</w:t>
      </w:r>
      <w:r w:rsidR="00427468">
        <w:rPr>
          <w:kern w:val="0"/>
        </w:rPr>
        <w:t xml:space="preserve"> of </w:t>
      </w:r>
      <w:r>
        <w:rPr>
          <w:kern w:val="0"/>
        </w:rPr>
        <w:t xml:space="preserve">ribonucleotide reductase M1 in patients with pancreatic cancer treated with gemcitabine: A Meta-analysis.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(7), 4261-4265.</w:t>
      </w:r>
    </w:p>
    <w:p w:rsidR="007066FD" w:rsidRDefault="007066FD" w:rsidP="007066FD">
      <w:pPr>
        <w:pStyle w:val="a3"/>
        <w:rPr>
          <w:kern w:val="0"/>
        </w:rPr>
      </w:pPr>
      <w:r>
        <w:rPr>
          <w:rFonts w:hint="eastAsia"/>
          <w:kern w:val="0"/>
        </w:rPr>
        <w:t>F</w:t>
      </w:r>
      <w:r>
        <w:rPr>
          <w:kern w:val="0"/>
        </w:rPr>
        <w:t>u</w:t>
      </w:r>
      <w:r>
        <w:rPr>
          <w:rFonts w:hint="eastAsia"/>
          <w:kern w:val="0"/>
        </w:rPr>
        <w:t xml:space="preserve">ll Text: </w:t>
      </w:r>
      <w:hyperlink r:id="rId1287" w:history="1">
        <w:r w:rsidRPr="007C570B">
          <w:rPr>
            <w:rStyle w:val="a5"/>
            <w:kern w:val="0"/>
          </w:rPr>
          <w:t>2013\Asi Pac J Can Pre14, 4261.pdf</w:t>
        </w:r>
      </w:hyperlink>
    </w:p>
    <w:p w:rsidR="007066FD" w:rsidRDefault="007066FD" w:rsidP="007066FD">
      <w:pPr>
        <w:pStyle w:val="a3"/>
        <w:rPr>
          <w:kern w:val="0"/>
        </w:rPr>
      </w:pPr>
      <w:r>
        <w:rPr>
          <w:kern w:val="0"/>
        </w:rPr>
        <w:t>Abstract: Increasing scientific evidence suggests that ribonucleotide reductase M1 (RRM1) may be a powerful predictor</w:t>
      </w:r>
      <w:r w:rsidR="00427468">
        <w:rPr>
          <w:kern w:val="0"/>
        </w:rPr>
        <w:t xml:space="preserve"> of </w:t>
      </w:r>
      <w:r>
        <w:rPr>
          <w:kern w:val="0"/>
        </w:rPr>
        <w:t>survival in patients with pancreatic cancer treated with adjuvant gemcitabine-based chemotherapy after operative resection, but many existing studies have yielded inconclusive results. This meta-analysis aimed to assess the prognostic role</w:t>
      </w:r>
      <w:r w:rsidR="00427468">
        <w:rPr>
          <w:kern w:val="0"/>
        </w:rPr>
        <w:t xml:space="preserve"> of </w:t>
      </w:r>
      <w:r>
        <w:rPr>
          <w:kern w:val="0"/>
        </w:rPr>
        <w:t>RRM1 in predicting survival in patients with pancreatic cancer treated with gemcitabine. An extensive literature search for relevant studies was conducted on PubMed, Embase, Web</w:t>
      </w:r>
      <w:r w:rsidR="00427468">
        <w:rPr>
          <w:kern w:val="0"/>
        </w:rPr>
        <w:t xml:space="preserve"> of </w:t>
      </w:r>
      <w:r>
        <w:rPr>
          <w:kern w:val="0"/>
        </w:rPr>
        <w:t>Science, Cochrane Library,</w:t>
      </w:r>
      <w:r w:rsidR="005853A9">
        <w:rPr>
          <w:kern w:val="0"/>
        </w:rPr>
        <w:t xml:space="preserve"> and </w:t>
      </w:r>
      <w:r>
        <w:rPr>
          <w:kern w:val="0"/>
        </w:rPr>
        <w:t>CBM databases from their inception through May 1st, 2013. This meta-analysis was performed using the STATA 12.0 software</w:t>
      </w:r>
      <w:r w:rsidR="005853A9">
        <w:rPr>
          <w:kern w:val="0"/>
        </w:rPr>
        <w:t xml:space="preserve"> and </w:t>
      </w:r>
      <w:r>
        <w:rPr>
          <w:kern w:val="0"/>
        </w:rPr>
        <w:t>crude hazard ratios (HRs) with 95% confidence intervals (CIs) were calculated. Eight clinical studies were included in this meta-analysis with a total</w:t>
      </w:r>
      <w:r w:rsidR="00427468">
        <w:rPr>
          <w:kern w:val="0"/>
        </w:rPr>
        <w:t xml:space="preserve"> of </w:t>
      </w:r>
      <w:r>
        <w:rPr>
          <w:kern w:val="0"/>
        </w:rPr>
        <w:t>665 pancreatic cancer patients treated with adjuvant gemcitabine-based chemotherapy, including 373 patients in the high RRM1 expression group</w:t>
      </w:r>
      <w:r w:rsidR="005853A9">
        <w:rPr>
          <w:kern w:val="0"/>
        </w:rPr>
        <w:t xml:space="preserve"> and </w:t>
      </w:r>
      <w:r>
        <w:rPr>
          <w:kern w:val="0"/>
        </w:rPr>
        <w:t>292 patients in the low RRM1 expression group. Our meta-analysis revealed that high RRM1 expression was associated with improved overall survival (OS)</w:t>
      </w:r>
      <w:r w:rsidR="00427468">
        <w:rPr>
          <w:kern w:val="0"/>
        </w:rPr>
        <w:t xml:space="preserve"> of </w:t>
      </w:r>
      <w:r>
        <w:rPr>
          <w:kern w:val="0"/>
        </w:rPr>
        <w:t>pancreatic cancer patients (HR=1.56, 95% CI=0.95-2.17, P&lt;0.001). High RRM1 expression also was linked to longer disease-free survival (DFS) than low RRM1 expression (HR=1.37, 95% CI=0.25-2.48, P=0.016). In conclusion, our meta-analysis suggests that high RRM1 expression may be associated with improved OS</w:t>
      </w:r>
      <w:r w:rsidR="005853A9">
        <w:rPr>
          <w:kern w:val="0"/>
        </w:rPr>
        <w:t xml:space="preserve"> and </w:t>
      </w:r>
      <w:r>
        <w:rPr>
          <w:kern w:val="0"/>
        </w:rPr>
        <w:t>DFS</w:t>
      </w:r>
      <w:r w:rsidR="00427468">
        <w:rPr>
          <w:kern w:val="0"/>
        </w:rPr>
        <w:t xml:space="preserve"> of </w:t>
      </w:r>
      <w:r>
        <w:rPr>
          <w:kern w:val="0"/>
        </w:rPr>
        <w:t>pancreatic cancer patients treated with adjuvant gemcitabine-based chemotherapy. Detection</w:t>
      </w:r>
      <w:r w:rsidR="00427468">
        <w:rPr>
          <w:kern w:val="0"/>
        </w:rPr>
        <w:t xml:space="preserve"> of </w:t>
      </w:r>
      <w:r>
        <w:rPr>
          <w:kern w:val="0"/>
        </w:rPr>
        <w:t>RRM1 expression may be a promising biomarker for gemcitabine response</w:t>
      </w:r>
      <w:r w:rsidR="005853A9">
        <w:rPr>
          <w:kern w:val="0"/>
        </w:rPr>
        <w:t xml:space="preserve"> and </w:t>
      </w:r>
      <w:r>
        <w:rPr>
          <w:kern w:val="0"/>
        </w:rPr>
        <w:t>prognosis in pancreatic cancer patients.</w:t>
      </w:r>
    </w:p>
    <w:p w:rsidR="007066FD" w:rsidRDefault="007066FD" w:rsidP="007066FD">
      <w:pPr>
        <w:pStyle w:val="a3"/>
        <w:rPr>
          <w:kern w:val="0"/>
        </w:rPr>
      </w:pPr>
      <w:r>
        <w:rPr>
          <w:kern w:val="0"/>
        </w:rPr>
        <w:t>Keywords: Adenocarcinoma, Adjuvant Chemotherapy, Article, Biomarker, Cancer, Cells, Chemotherapy, China, Clinical, Clinical Studies, Confidence, Confidence Intervals, Databases, Ercc1 Expression, Evidence, Expression, Gemcitabine, Hazard, Head, Heterogeneity, Intervals, Korea, Literature, Literature Search, Meta Analysis, Meta-Analysis, Metaanalysis, Office, Operative, Organization, P, Pac, Pacific, Pancreatic Cancer, Patients, Prevention, Prognosis, Prognostic, Pubmed, R, Randomized Controlled-Trial, Resection, Response, Ribonucleotide Reductase M1, Role, RRM1, Science, Scientific Evidence, Software, South, South-Korea, Subunit M1, Survival, Web</w:t>
      </w:r>
      <w:r w:rsidR="00427468">
        <w:rPr>
          <w:kern w:val="0"/>
        </w:rPr>
        <w:t xml:space="preserve"> of </w:t>
      </w:r>
      <w:r>
        <w:rPr>
          <w:kern w:val="0"/>
        </w:rPr>
        <w:t>Science</w:t>
      </w:r>
    </w:p>
    <w:p w:rsidR="007066FD" w:rsidRDefault="007066FD" w:rsidP="007066FD">
      <w:pPr>
        <w:pStyle w:val="a3"/>
        <w:rPr>
          <w:kern w:val="0"/>
        </w:rPr>
      </w:pPr>
      <w:r>
        <w:rPr>
          <w:rFonts w:hint="eastAsia"/>
          <w:kern w:val="0"/>
        </w:rPr>
        <w:t xml:space="preserve">? </w:t>
      </w:r>
      <w:r>
        <w:rPr>
          <w:kern w:val="0"/>
        </w:rPr>
        <w:t>Perez-Santos, J.L.M.</w:t>
      </w:r>
      <w:r w:rsidR="005853A9">
        <w:rPr>
          <w:kern w:val="0"/>
        </w:rPr>
        <w:t xml:space="preserve"> and </w:t>
      </w:r>
      <w:r>
        <w:rPr>
          <w:kern w:val="0"/>
        </w:rPr>
        <w:t xml:space="preserve">Anaya-Ruiz, M. (2013), Mexican breast cancer research output, 2003-2012.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(10), 5921-5923.</w:t>
      </w:r>
    </w:p>
    <w:p w:rsidR="00774B6F" w:rsidRDefault="00774B6F" w:rsidP="00774B6F">
      <w:pPr>
        <w:pStyle w:val="a3"/>
        <w:rPr>
          <w:kern w:val="0"/>
        </w:rPr>
      </w:pPr>
      <w:r>
        <w:rPr>
          <w:kern w:val="0"/>
        </w:rPr>
        <w:t xml:space="preserve">Full Text: </w:t>
      </w:r>
      <w:hyperlink r:id="rId1288" w:history="1">
        <w:r>
          <w:rPr>
            <w:rStyle w:val="a5"/>
          </w:rPr>
          <w:t>2013\Asi Pac J Can Pre14, 5921.pdf</w:t>
        </w:r>
      </w:hyperlink>
    </w:p>
    <w:p w:rsidR="007066FD" w:rsidRDefault="007066FD" w:rsidP="007066FD">
      <w:pPr>
        <w:pStyle w:val="a3"/>
        <w:rPr>
          <w:kern w:val="0"/>
        </w:rPr>
      </w:pPr>
      <w:r>
        <w:rPr>
          <w:kern w:val="0"/>
        </w:rPr>
        <w:t>Abstract: The objetive</w:t>
      </w:r>
      <w:r w:rsidR="00427468">
        <w:rPr>
          <w:kern w:val="0"/>
        </w:rPr>
        <w:t xml:space="preserve"> of </w:t>
      </w:r>
      <w:r>
        <w:rPr>
          <w:kern w:val="0"/>
        </w:rPr>
        <w:t xml:space="preserve">this study was to explore a bibliometric approach to </w:t>
      </w:r>
      <w:r>
        <w:rPr>
          <w:kern w:val="0"/>
        </w:rPr>
        <w:lastRenderedPageBreak/>
        <w:t>quantitatively assess current research trends with regard to breast cancer in Mexico. Articles were analyzed by scientific output</w:t>
      </w:r>
      <w:r w:rsidR="005853A9">
        <w:rPr>
          <w:kern w:val="0"/>
        </w:rPr>
        <w:t xml:space="preserve"> and </w:t>
      </w:r>
      <w:r>
        <w:rPr>
          <w:kern w:val="0"/>
        </w:rPr>
        <w:t>research performances</w:t>
      </w:r>
      <w:r w:rsidR="00427468">
        <w:rPr>
          <w:kern w:val="0"/>
        </w:rPr>
        <w:t xml:space="preserve"> of </w:t>
      </w:r>
      <w:r>
        <w:rPr>
          <w:kern w:val="0"/>
        </w:rPr>
        <w:t>individuals, institutes,</w:t>
      </w:r>
      <w:r w:rsidR="005853A9">
        <w:rPr>
          <w:kern w:val="0"/>
        </w:rPr>
        <w:t xml:space="preserve"> and </w:t>
      </w:r>
      <w:r>
        <w:rPr>
          <w:kern w:val="0"/>
        </w:rPr>
        <w:t>collaborative countries with Mexico. Data were retrieved from the Web</w:t>
      </w:r>
      <w:r w:rsidR="00427468">
        <w:rPr>
          <w:kern w:val="0"/>
        </w:rPr>
        <w:t xml:space="preserve"> of </w:t>
      </w:r>
      <w:r>
        <w:rPr>
          <w:kern w:val="0"/>
        </w:rPr>
        <w:t>Science database from 2003 to 2012; this was searched using different terms related to breast cancer, including “breast cancer”, “mammary ductal carcinoma”</w:t>
      </w:r>
      <w:r w:rsidR="005853A9">
        <w:rPr>
          <w:kern w:val="0"/>
        </w:rPr>
        <w:t xml:space="preserve"> and </w:t>
      </w:r>
      <w:r>
        <w:rPr>
          <w:kern w:val="0"/>
        </w:rPr>
        <w:t>“breast tumour”. Data were then extracted from each file, transferred to Excel charts</w:t>
      </w:r>
      <w:r w:rsidR="005853A9">
        <w:rPr>
          <w:kern w:val="0"/>
        </w:rPr>
        <w:t xml:space="preserve"> and </w:t>
      </w:r>
      <w:r>
        <w:rPr>
          <w:kern w:val="0"/>
        </w:rPr>
        <w:t>visualised as diagrams. A total</w:t>
      </w:r>
      <w:r w:rsidR="00427468">
        <w:rPr>
          <w:kern w:val="0"/>
        </w:rPr>
        <w:t xml:space="preserve"> of </w:t>
      </w:r>
      <w:r>
        <w:rPr>
          <w:kern w:val="0"/>
        </w:rPr>
        <w:t>256 articles were retrieved</w:t>
      </w:r>
      <w:r w:rsidR="00A37C1D">
        <w:rPr>
          <w:kern w:val="0"/>
        </w:rPr>
        <w:t>. The</w:t>
      </w:r>
      <w:r>
        <w:rPr>
          <w:kern w:val="0"/>
        </w:rPr>
        <w:t xml:space="preserve"> institutions with the majority</w:t>
      </w:r>
      <w:r w:rsidR="00427468">
        <w:rPr>
          <w:kern w:val="0"/>
        </w:rPr>
        <w:t xml:space="preserve"> of </w:t>
      </w:r>
      <w:r>
        <w:rPr>
          <w:kern w:val="0"/>
        </w:rPr>
        <w:t>publications were the National Autonomous University</w:t>
      </w:r>
      <w:r w:rsidR="00427468">
        <w:rPr>
          <w:kern w:val="0"/>
        </w:rPr>
        <w:t xml:space="preserve"> of </w:t>
      </w:r>
      <w:r>
        <w:rPr>
          <w:kern w:val="0"/>
        </w:rPr>
        <w:t>Mexico (22.3%), the National Institute</w:t>
      </w:r>
      <w:r w:rsidR="00427468">
        <w:rPr>
          <w:kern w:val="0"/>
        </w:rPr>
        <w:t xml:space="preserve"> of </w:t>
      </w:r>
      <w:r>
        <w:rPr>
          <w:kern w:val="0"/>
        </w:rPr>
        <w:t>Cancerology (21.9%),</w:t>
      </w:r>
      <w:r w:rsidR="005853A9">
        <w:rPr>
          <w:kern w:val="0"/>
        </w:rPr>
        <w:t xml:space="preserve"> and </w:t>
      </w:r>
      <w:r>
        <w:rPr>
          <w:kern w:val="0"/>
        </w:rPr>
        <w:t>Social Security Mexican Institute (20.3%); clinical observation studies were the dominant investigation type (64%),</w:t>
      </w:r>
      <w:r w:rsidR="005853A9">
        <w:rPr>
          <w:kern w:val="0"/>
        </w:rPr>
        <w:t xml:space="preserve"> and </w:t>
      </w:r>
      <w:r>
        <w:rPr>
          <w:kern w:val="0"/>
        </w:rPr>
        <w:t>the main types</w:t>
      </w:r>
      <w:r w:rsidR="00427468">
        <w:rPr>
          <w:kern w:val="0"/>
        </w:rPr>
        <w:t xml:space="preserve"> of </w:t>
      </w:r>
      <w:r>
        <w:rPr>
          <w:kern w:val="0"/>
        </w:rPr>
        <w:t>research were metabolics (24.2%)</w:t>
      </w:r>
      <w:r w:rsidR="005853A9">
        <w:rPr>
          <w:kern w:val="0"/>
        </w:rPr>
        <w:t xml:space="preserve"> and </w:t>
      </w:r>
      <w:r>
        <w:rPr>
          <w:kern w:val="0"/>
        </w:rPr>
        <w:t>pathology (21.5%). This article demonstrates the usefulness</w:t>
      </w:r>
      <w:r w:rsidR="00427468">
        <w:rPr>
          <w:kern w:val="0"/>
        </w:rPr>
        <w:t xml:space="preserve"> of </w:t>
      </w:r>
      <w:r>
        <w:rPr>
          <w:kern w:val="0"/>
        </w:rPr>
        <w:t>bibliometrics to address key evaluation questions</w:t>
      </w:r>
      <w:r w:rsidR="005853A9">
        <w:rPr>
          <w:kern w:val="0"/>
        </w:rPr>
        <w:t xml:space="preserve"> and </w:t>
      </w:r>
      <w:r>
        <w:rPr>
          <w:kern w:val="0"/>
        </w:rPr>
        <w:t>to establish priorities, define future areas</w:t>
      </w:r>
      <w:r w:rsidR="00427468">
        <w:rPr>
          <w:kern w:val="0"/>
        </w:rPr>
        <w:t xml:space="preserve"> of </w:t>
      </w:r>
      <w:r>
        <w:rPr>
          <w:kern w:val="0"/>
        </w:rPr>
        <w:t>research,</w:t>
      </w:r>
      <w:r w:rsidR="005853A9">
        <w:rPr>
          <w:kern w:val="0"/>
        </w:rPr>
        <w:t xml:space="preserve"> and </w:t>
      </w:r>
      <w:r>
        <w:rPr>
          <w:kern w:val="0"/>
        </w:rPr>
        <w:t>develop breast cancer control strategies in Mexico.</w:t>
      </w:r>
    </w:p>
    <w:p w:rsidR="007066FD" w:rsidRDefault="007066FD" w:rsidP="007066FD">
      <w:pPr>
        <w:pStyle w:val="a3"/>
        <w:rPr>
          <w:kern w:val="0"/>
        </w:rPr>
      </w:pPr>
      <w:r>
        <w:rPr>
          <w:kern w:val="0"/>
        </w:rPr>
        <w:t>Keywords: Approach, Articles, Bibliometric, Bibliometrics, Breast Cancer, Cancer, Clinical, Control, Database, Evaluation, Institutions, Investigation, Mexico, Mortality, Observation, Pathology, Performance, Publications, Research, Research Evaluation, Research Trends, Science, Science-Citation-Index, Scientific Output, Trends, Types</w:t>
      </w:r>
      <w:r w:rsidR="00427468">
        <w:rPr>
          <w:kern w:val="0"/>
        </w:rPr>
        <w:t xml:space="preserve"> of </w:t>
      </w:r>
      <w:r>
        <w:rPr>
          <w:kern w:val="0"/>
        </w:rPr>
        <w:t>Research, University, Web</w:t>
      </w:r>
      <w:r w:rsidR="00427468">
        <w:rPr>
          <w:kern w:val="0"/>
        </w:rPr>
        <w:t xml:space="preserve"> of </w:t>
      </w:r>
      <w:r>
        <w:rPr>
          <w:kern w:val="0"/>
        </w:rPr>
        <w:t>Science</w:t>
      </w:r>
    </w:p>
    <w:p w:rsidR="00C46AD8" w:rsidRDefault="00C46AD8" w:rsidP="00C46AD8">
      <w:pPr>
        <w:pStyle w:val="a3"/>
        <w:rPr>
          <w:kern w:val="0"/>
        </w:rPr>
      </w:pPr>
      <w:r>
        <w:rPr>
          <w:rFonts w:hint="eastAsia"/>
          <w:kern w:val="0"/>
        </w:rPr>
        <w:t xml:space="preserve">? </w:t>
      </w:r>
      <w:r>
        <w:rPr>
          <w:kern w:val="0"/>
        </w:rPr>
        <w:t>Zhang, X.J., Zhang, T.Y., Yu, F.F., Wei, X., Li, Y.S., Xu, F., Wei, L.X. and He, J. (2013), Risk</w:t>
      </w:r>
      <w:r w:rsidR="00427468">
        <w:rPr>
          <w:kern w:val="0"/>
        </w:rPr>
        <w:t xml:space="preserve"> of </w:t>
      </w:r>
      <w:r>
        <w:rPr>
          <w:kern w:val="0"/>
        </w:rPr>
        <w:t xml:space="preserve">treatment-related mortality with sorafenib in patients with cancer.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(11), 6681-6686.</w:t>
      </w:r>
    </w:p>
    <w:p w:rsidR="000C5143" w:rsidRDefault="000C5143" w:rsidP="000C5143">
      <w:pPr>
        <w:pStyle w:val="a3"/>
        <w:rPr>
          <w:kern w:val="0"/>
        </w:rPr>
      </w:pPr>
      <w:r>
        <w:rPr>
          <w:kern w:val="0"/>
        </w:rPr>
        <w:t xml:space="preserve">Full Text: </w:t>
      </w:r>
      <w:hyperlink r:id="rId1289" w:history="1">
        <w:r w:rsidRPr="00BE282F">
          <w:rPr>
            <w:rStyle w:val="a5"/>
            <w:kern w:val="0"/>
          </w:rPr>
          <w:t>2013\Asi Pac J Can Pre14, 6681.pdf</w:t>
        </w:r>
      </w:hyperlink>
    </w:p>
    <w:p w:rsidR="00C46AD8" w:rsidRDefault="00C46AD8" w:rsidP="00C46AD8">
      <w:pPr>
        <w:pStyle w:val="a3"/>
        <w:rPr>
          <w:kern w:val="0"/>
        </w:rPr>
      </w:pPr>
      <w:r>
        <w:rPr>
          <w:kern w:val="0"/>
        </w:rPr>
        <w:t>Abstract: Background: Fatal adverse events (FAEs) have been reported with sorafenib, a vascular endothelial growth factor receptor kinase inhibitor (VEGFR TKI). We here performed an up-to-date and detailed meta-analysis to determine the overall risk</w:t>
      </w:r>
      <w:r w:rsidR="00427468">
        <w:rPr>
          <w:kern w:val="0"/>
        </w:rPr>
        <w:t xml:space="preserve"> of </w:t>
      </w:r>
      <w:r>
        <w:rPr>
          <w:kern w:val="0"/>
        </w:rPr>
        <w:t>FAEs associated with sorafenib. Methods: Databases, including PubMed, Embase and Web</w:t>
      </w:r>
      <w:r w:rsidR="00427468">
        <w:rPr>
          <w:kern w:val="0"/>
        </w:rPr>
        <w:t xml:space="preserve"> of </w:t>
      </w:r>
      <w:r>
        <w:rPr>
          <w:kern w:val="0"/>
        </w:rPr>
        <w:t>Science, and abstracts presented at the American Society</w:t>
      </w:r>
      <w:r w:rsidR="00427468">
        <w:rPr>
          <w:kern w:val="0"/>
        </w:rPr>
        <w:t xml:space="preserve"> of </w:t>
      </w:r>
      <w:r>
        <w:rPr>
          <w:kern w:val="0"/>
        </w:rPr>
        <w:t>Clinical Oncology annual meetings were searched to identify relevant studies. Eligible studies included randomized controlled trials evaluating sorafenib effects in patients with all malignancies. Summary incidence rates, relative risks (RRs), and 95% confidence intervals (CIs) were calculated for FAEs. In addition, subgroup analyses were performed according to tumor type and therapy regimen. Results: 13 trials recruiting 5,546 patients were included in our analysis</w:t>
      </w:r>
      <w:r w:rsidR="00A37C1D">
        <w:rPr>
          <w:kern w:val="0"/>
        </w:rPr>
        <w:t>. The</w:t>
      </w:r>
      <w:r>
        <w:rPr>
          <w:kern w:val="0"/>
        </w:rPr>
        <w:t xml:space="preserve"> overall incidence</w:t>
      </w:r>
      <w:r w:rsidR="00427468">
        <w:rPr>
          <w:kern w:val="0"/>
        </w:rPr>
        <w:t xml:space="preserve"> of </w:t>
      </w:r>
      <w:r>
        <w:rPr>
          <w:kern w:val="0"/>
        </w:rPr>
        <w:t>FAEs with sorafenib was 1.99% (95% CI, 0.98-4.02%). Patients treated with sorafenib had a significantly increased risk</w:t>
      </w:r>
      <w:r w:rsidR="00427468">
        <w:rPr>
          <w:kern w:val="0"/>
        </w:rPr>
        <w:t xml:space="preserve"> of </w:t>
      </w:r>
      <w:r>
        <w:rPr>
          <w:kern w:val="0"/>
        </w:rPr>
        <w:t>FAEs compared with patients treated with control medication, with an RR</w:t>
      </w:r>
      <w:r w:rsidR="00427468">
        <w:rPr>
          <w:kern w:val="0"/>
        </w:rPr>
        <w:t xml:space="preserve"> of </w:t>
      </w:r>
      <w:r>
        <w:rPr>
          <w:kern w:val="0"/>
        </w:rPr>
        <w:t>1.77 (95% CI 1.25-2.52, P=0.001). Risk varied with tumour type, but appeared independent</w:t>
      </w:r>
      <w:r w:rsidR="00427468">
        <w:rPr>
          <w:kern w:val="0"/>
        </w:rPr>
        <w:t xml:space="preserve"> of </w:t>
      </w:r>
      <w:r>
        <w:rPr>
          <w:kern w:val="0"/>
        </w:rPr>
        <w:t>therapy regimen. A significantly increased risk</w:t>
      </w:r>
      <w:r w:rsidR="00427468">
        <w:rPr>
          <w:kern w:val="0"/>
        </w:rPr>
        <w:t xml:space="preserve"> of </w:t>
      </w:r>
      <w:r>
        <w:rPr>
          <w:kern w:val="0"/>
        </w:rPr>
        <w:t xml:space="preserve">FAEs was observed in patients with lung cancer (RR 2.26; 95% CI 1.03-4.99; </w:t>
      </w:r>
      <w:r>
        <w:rPr>
          <w:kern w:val="0"/>
        </w:rPr>
        <w:lastRenderedPageBreak/>
        <w:t>P=0.043) and renal cancer (RR 1.84; 95% CI 1.15-2.94; P=0.011)</w:t>
      </w:r>
      <w:r w:rsidR="00A37C1D">
        <w:rPr>
          <w:kern w:val="0"/>
        </w:rPr>
        <w:t>. The</w:t>
      </w:r>
      <w:r>
        <w:rPr>
          <w:kern w:val="0"/>
        </w:rPr>
        <w:t xml:space="preserve"> most common causes</w:t>
      </w:r>
      <w:r w:rsidR="00427468">
        <w:rPr>
          <w:kern w:val="0"/>
        </w:rPr>
        <w:t xml:space="preserve"> of </w:t>
      </w:r>
      <w:r>
        <w:rPr>
          <w:kern w:val="0"/>
        </w:rPr>
        <w:t>FAEs were hemorrhage (8.6%) and thrombus or embolism (4.9%). Conclusions: It is important for health care practitioners to be aware</w:t>
      </w:r>
      <w:r w:rsidR="00427468">
        <w:rPr>
          <w:kern w:val="0"/>
        </w:rPr>
        <w:t xml:space="preserve"> of </w:t>
      </w:r>
      <w:r>
        <w:rPr>
          <w:kern w:val="0"/>
        </w:rPr>
        <w:t>the risks</w:t>
      </w:r>
      <w:r w:rsidR="00427468">
        <w:rPr>
          <w:kern w:val="0"/>
        </w:rPr>
        <w:t xml:space="preserve"> of </w:t>
      </w:r>
      <w:r>
        <w:rPr>
          <w:kern w:val="0"/>
        </w:rPr>
        <w:t>FAEs associated with sorafenib, especially in patients with renal and lung cancer.</w:t>
      </w:r>
    </w:p>
    <w:p w:rsidR="00C46AD8" w:rsidRDefault="00C46AD8" w:rsidP="00C46AD8">
      <w:pPr>
        <w:pStyle w:val="a3"/>
        <w:rPr>
          <w:kern w:val="0"/>
        </w:rPr>
      </w:pPr>
      <w:r>
        <w:rPr>
          <w:kern w:val="0"/>
        </w:rPr>
        <w:t>Keywords: 1st-Line Treatment, Advanced Hepatocellular-Carcinoma, Analyses, Analysis, Cancer, Care, Confidence, Confidence Intervals, Control, Databases, Double-Blind, Effects, Embolism, Epidermal Growth Factor Receptor-2, Events, Fatal Adverse Events, Foot Skin Reaction, Growth, Growth Factor, Health, Health Care, Hemorrhage, Incidence, Inhibitor, Intervals, Lung, Lung Cancer, Lung-Cancer, Meta Analysis, Meta-Analysis, Metaanalysis, Methods, Mortality, Oncology, Patients, Protein-Kinase, Pubmed, Randomized, Randomized Controlled Trials, Randomized Phase-II, Rates, Renal, Renal-Cell Carcinoma, Results, Risk, Risks, Science, Sorafenib, Therapy, Trial, Tumor, Vascular Endothelial Growth Factor, Web</w:t>
      </w:r>
      <w:r w:rsidR="00427468">
        <w:rPr>
          <w:kern w:val="0"/>
        </w:rPr>
        <w:t xml:space="preserve"> of </w:t>
      </w:r>
      <w:r>
        <w:rPr>
          <w:kern w:val="0"/>
        </w:rPr>
        <w:t>Science</w:t>
      </w:r>
    </w:p>
    <w:p w:rsidR="000C5143" w:rsidRDefault="000C5143" w:rsidP="000C5143">
      <w:pPr>
        <w:pStyle w:val="a3"/>
        <w:rPr>
          <w:kern w:val="0"/>
        </w:rPr>
      </w:pPr>
      <w:r>
        <w:rPr>
          <w:rFonts w:hint="eastAsia"/>
          <w:kern w:val="0"/>
        </w:rPr>
        <w:t xml:space="preserve">? </w:t>
      </w:r>
      <w:r>
        <w:rPr>
          <w:kern w:val="0"/>
        </w:rPr>
        <w:t xml:space="preserve">Ding, H., Yang, L., Du, W., Teng, Y., Fu, S.J., Tao, Y., Lu, J.Z. and Wang, Z.P. (2013), Bisphosphonates for osteoporosis in nonmetastatic prostate cancer patients receiving androgen-deprivation therapy: A systematic review and meta-analysis.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(5), 3337-3343.</w:t>
      </w:r>
    </w:p>
    <w:p w:rsidR="000C5143" w:rsidRDefault="000C5143" w:rsidP="000C5143">
      <w:pPr>
        <w:pStyle w:val="a3"/>
        <w:rPr>
          <w:kern w:val="0"/>
        </w:rPr>
      </w:pPr>
      <w:r>
        <w:rPr>
          <w:kern w:val="0"/>
        </w:rPr>
        <w:t xml:space="preserve">Full Text: </w:t>
      </w:r>
      <w:hyperlink r:id="rId1290" w:history="1">
        <w:r w:rsidRPr="00BE282F">
          <w:rPr>
            <w:rStyle w:val="a5"/>
            <w:kern w:val="0"/>
          </w:rPr>
          <w:t>2013\Asi Pac J Can Pre14, 3337.pdf</w:t>
        </w:r>
      </w:hyperlink>
    </w:p>
    <w:p w:rsidR="000C5143" w:rsidRDefault="000C5143" w:rsidP="000C5143">
      <w:pPr>
        <w:pStyle w:val="a3"/>
        <w:rPr>
          <w:kern w:val="0"/>
        </w:rPr>
      </w:pPr>
      <w:r>
        <w:rPr>
          <w:kern w:val="0"/>
        </w:rPr>
        <w:t>Abstract: This systematic review was conducted to assess the efficacy and safety</w:t>
      </w:r>
      <w:r w:rsidR="00427468">
        <w:rPr>
          <w:kern w:val="0"/>
        </w:rPr>
        <w:t xml:space="preserve"> of </w:t>
      </w:r>
      <w:r>
        <w:rPr>
          <w:kern w:val="0"/>
        </w:rPr>
        <w:t>bisphosphonates for prevention and treatment</w:t>
      </w:r>
      <w:r w:rsidR="00427468">
        <w:rPr>
          <w:kern w:val="0"/>
        </w:rPr>
        <w:t xml:space="preserve"> of </w:t>
      </w:r>
      <w:r>
        <w:rPr>
          <w:kern w:val="0"/>
        </w:rPr>
        <w:t>osteopenia or osteoporosis in men with non-metastatic prostate cancer receiving androgen-deprivation therapy. We searched for randomised controlled trials (RCTs)</w:t>
      </w:r>
      <w:r w:rsidR="00427468">
        <w:rPr>
          <w:kern w:val="0"/>
        </w:rPr>
        <w:t xml:space="preserve"> of </w:t>
      </w:r>
      <w:r>
        <w:rPr>
          <w:kern w:val="0"/>
        </w:rPr>
        <w:t>bisphosphonates compared with placebo from Pubmed, Embase, the Cochrane Library, and ISI - Science Citation Index. Meta-analyses</w:t>
      </w:r>
      <w:r w:rsidR="00427468">
        <w:rPr>
          <w:kern w:val="0"/>
        </w:rPr>
        <w:t xml:space="preserve"> of </w:t>
      </w:r>
      <w:r>
        <w:rPr>
          <w:kern w:val="0"/>
        </w:rPr>
        <w:t>pre-specified outcomes (bone mineral density, fractures, and adverse events) were performed using Review Manager. Ten RCTs with a total patient population</w:t>
      </w:r>
      <w:r w:rsidR="00427468">
        <w:rPr>
          <w:kern w:val="0"/>
        </w:rPr>
        <w:t xml:space="preserve"> of </w:t>
      </w:r>
      <w:r>
        <w:rPr>
          <w:kern w:val="0"/>
        </w:rPr>
        <w:t>1,017 were identified</w:t>
      </w:r>
      <w:r w:rsidR="00A37C1D">
        <w:rPr>
          <w:kern w:val="0"/>
        </w:rPr>
        <w:t>. The</w:t>
      </w:r>
      <w:r>
        <w:rPr>
          <w:kern w:val="0"/>
        </w:rPr>
        <w:t>re was generally more improvement in bone mineral density</w:t>
      </w:r>
      <w:r w:rsidR="00427468">
        <w:rPr>
          <w:kern w:val="0"/>
        </w:rPr>
        <w:t xml:space="preserve"> of </w:t>
      </w:r>
      <w:r>
        <w:rPr>
          <w:kern w:val="0"/>
        </w:rPr>
        <w:t>the lumbar spine for patients who received bisphosphonate treatment than placebo or other medical treatment at 12 months (WMD 6.02,95%CI 5.39 to 6.65). Similar effects were also observed for total hip, trochanter or femoral neck bone mineral density. However, there was no significant reduction in fractures. Fever and gastrointestinal symptoms were the most common adverse events (10.4% vs. 1.2%; 0.10% vs. 0.03%). Currently, our meta-analysis suggested that oral and intravenous bisphosphonates caused a rapid increase in spine and hip or femoral BMD in non-metastatic prostate cancer patients receiving androgen-deprivation therapy. Fever and gastrointestinal symptoms were common with the use</w:t>
      </w:r>
      <w:r w:rsidR="00427468">
        <w:rPr>
          <w:kern w:val="0"/>
        </w:rPr>
        <w:t xml:space="preserve"> of </w:t>
      </w:r>
      <w:r>
        <w:rPr>
          <w:kern w:val="0"/>
        </w:rPr>
        <w:t>bisphosphonates</w:t>
      </w:r>
      <w:r w:rsidR="00A37C1D">
        <w:rPr>
          <w:kern w:val="0"/>
        </w:rPr>
        <w:t>. The</w:t>
      </w:r>
      <w:r>
        <w:rPr>
          <w:kern w:val="0"/>
        </w:rPr>
        <w:t>se short-term trials (maximum</w:t>
      </w:r>
      <w:r w:rsidR="00427468">
        <w:rPr>
          <w:kern w:val="0"/>
        </w:rPr>
        <w:t xml:space="preserve"> of </w:t>
      </w:r>
      <w:r>
        <w:rPr>
          <w:kern w:val="0"/>
        </w:rPr>
        <w:t>12 months) did not show fracture reduction. In future, more efficient performance</w:t>
      </w:r>
      <w:r w:rsidR="00427468">
        <w:rPr>
          <w:kern w:val="0"/>
        </w:rPr>
        <w:t xml:space="preserve"> of </w:t>
      </w:r>
      <w:r>
        <w:rPr>
          <w:kern w:val="0"/>
        </w:rPr>
        <w:t xml:space="preserve">higher quality, more rigorous, large sample, long-term randomised controlled trials (&gt;12 </w:t>
      </w:r>
      <w:r>
        <w:rPr>
          <w:kern w:val="0"/>
        </w:rPr>
        <w:lastRenderedPageBreak/>
        <w:t>months) are needed where outcomes are detailed.</w:t>
      </w:r>
    </w:p>
    <w:p w:rsidR="000C5143" w:rsidRDefault="000C5143" w:rsidP="000C5143">
      <w:pPr>
        <w:pStyle w:val="a3"/>
        <w:rPr>
          <w:kern w:val="0"/>
        </w:rPr>
      </w:pPr>
      <w:r>
        <w:rPr>
          <w:kern w:val="0"/>
        </w:rPr>
        <w:t>Keywords: Androgen-Deprivation Therapy, Bisphosphonates, Bone, Bone-Mineral Density, Cancer, Citation, Effects, Efficacy, Events, Fracture, Improvement, Intravenous, ISI, Long Term, Long-Term, Management, Medical, Medical Treatment, Men, Meta Analysis, Meta-Analysis, Metaanalysis, Neck, Neridronate, Oral, Osteoporosis, Outcomes, Patients, Performance, Perspectives, Placebo, Population, Prevention, Prostate Cancer, Quality, Randomised, Randomised Controlled Trials, Randomized Controlled-Trial, Reduction, Review, Safety, Science, Science Citation Index, Sex Steroids, Spine, Symptoms, Systematic Review, Therapy, Treatment, Turnover, Zoledronic Acid</w:t>
      </w:r>
    </w:p>
    <w:p w:rsidR="007A584A" w:rsidRDefault="007A584A" w:rsidP="007A584A">
      <w:pPr>
        <w:pStyle w:val="a3"/>
        <w:rPr>
          <w:kern w:val="0"/>
        </w:rPr>
      </w:pPr>
      <w:r>
        <w:rPr>
          <w:rFonts w:hint="eastAsia"/>
          <w:kern w:val="0"/>
        </w:rPr>
        <w:t xml:space="preserve">? </w:t>
      </w:r>
      <w:r>
        <w:rPr>
          <w:kern w:val="0"/>
        </w:rPr>
        <w:t xml:space="preserve">Zhang, Y.X., Wang, X.M., Kang, S., Li, X. and Geng, J. (2013), Common variants in the PALB2 gene confer susceptibility to breast cancer: A meta-analysis.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(12), 7149-7154.</w:t>
      </w:r>
    </w:p>
    <w:p w:rsidR="007A584A" w:rsidRDefault="007A584A" w:rsidP="007A584A">
      <w:pPr>
        <w:pStyle w:val="a3"/>
        <w:rPr>
          <w:kern w:val="0"/>
        </w:rPr>
      </w:pPr>
      <w:r>
        <w:rPr>
          <w:kern w:val="0"/>
        </w:rPr>
        <w:t xml:space="preserve">Full Text: </w:t>
      </w:r>
      <w:hyperlink r:id="rId1291" w:history="1">
        <w:r w:rsidRPr="00963EE8">
          <w:rPr>
            <w:rStyle w:val="a5"/>
            <w:kern w:val="0"/>
          </w:rPr>
          <w:t>2013\Asi Pac J Can Pre14, 7149.pdf</w:t>
        </w:r>
      </w:hyperlink>
    </w:p>
    <w:p w:rsidR="007A584A" w:rsidRDefault="007A584A" w:rsidP="007A584A">
      <w:pPr>
        <w:pStyle w:val="a3"/>
        <w:rPr>
          <w:kern w:val="0"/>
        </w:rPr>
      </w:pPr>
      <w:r>
        <w:rPr>
          <w:kern w:val="0"/>
        </w:rPr>
        <w:t>Abstract: Objective: Increasing scientific evidence suggests that common variants in the PALB2 gene may confer susceptibility to breast cancer, but many studies have yielded inconclusive results. This meta-analysis aimed to derive a more precise estimation</w:t>
      </w:r>
      <w:r w:rsidR="00427468">
        <w:rPr>
          <w:kern w:val="0"/>
        </w:rPr>
        <w:t xml:space="preserve"> of </w:t>
      </w:r>
      <w:r>
        <w:rPr>
          <w:kern w:val="0"/>
        </w:rPr>
        <w:t>the relationship between PALB2 genetic variants and breast cancer risk. Methods: An extensive literary search for relevant studies was conducted in PubMed, Embase, Web</w:t>
      </w:r>
      <w:r w:rsidR="00427468">
        <w:rPr>
          <w:kern w:val="0"/>
        </w:rPr>
        <w:t xml:space="preserve"> of </w:t>
      </w:r>
      <w:r>
        <w:rPr>
          <w:kern w:val="0"/>
        </w:rPr>
        <w:t>Science, Cochrane Library, CISCOM, CINAHL, Google Scholar, CNKI and CBM databases from their inception through September 1st, 2013. A meta-analysis was performed using the STATA 12.0 software and crude odds ratios (ORs) with 95% confidence intervals (CIs) were calculated. Results: Six case-control studies were included with a total</w:t>
      </w:r>
      <w:r w:rsidR="00427468">
        <w:rPr>
          <w:kern w:val="0"/>
        </w:rPr>
        <w:t xml:space="preserve"> of </w:t>
      </w:r>
      <w:r>
        <w:rPr>
          <w:kern w:val="0"/>
        </w:rPr>
        <w:t>4,499 breast cancer cases and 6,369 healthy controls. Our meta-analysis reveals that PALB2 genetic variants may increase the risk</w:t>
      </w:r>
      <w:r w:rsidR="00427468">
        <w:rPr>
          <w:kern w:val="0"/>
        </w:rPr>
        <w:t xml:space="preserve"> of </w:t>
      </w:r>
      <w:r>
        <w:rPr>
          <w:kern w:val="0"/>
        </w:rPr>
        <w:t>breast cancer (allele model: OR&gt;1.36, 95% CI: 1.20 similar to 1.52, P&lt;0.001; dominant model: OR&gt;1.64, 95% CI: 1.42 similar to 1.91, P&lt;0.001; respectively). Subgroup analyses by ethnicity indicated PALB2 genetic variants were associated with an increased risk</w:t>
      </w:r>
      <w:r w:rsidR="00427468">
        <w:rPr>
          <w:kern w:val="0"/>
        </w:rPr>
        <w:t xml:space="preserve"> of </w:t>
      </w:r>
      <w:r>
        <w:rPr>
          <w:kern w:val="0"/>
        </w:rPr>
        <w:t>breast cancer among both Caucasian and Asian populations (all P&lt;0.05). No publication bias was detected in this meta-analysis (all P&gt;0.05). Conclusion: The current meta-analysis indicates that PALB2 genetic variants may increase the risk</w:t>
      </w:r>
      <w:r w:rsidR="00427468">
        <w:rPr>
          <w:kern w:val="0"/>
        </w:rPr>
        <w:t xml:space="preserve"> of </w:t>
      </w:r>
      <w:r>
        <w:rPr>
          <w:kern w:val="0"/>
        </w:rPr>
        <w:t>breast cancer. Thus, detection</w:t>
      </w:r>
      <w:r w:rsidR="00427468">
        <w:rPr>
          <w:kern w:val="0"/>
        </w:rPr>
        <w:t xml:space="preserve"> of </w:t>
      </w:r>
      <w:r>
        <w:rPr>
          <w:kern w:val="0"/>
        </w:rPr>
        <w:t>PALB2 genetic variants may be a promising biomarker approach.</w:t>
      </w:r>
    </w:p>
    <w:p w:rsidR="007A584A" w:rsidRDefault="007A584A" w:rsidP="007A584A">
      <w:pPr>
        <w:pStyle w:val="a3"/>
        <w:rPr>
          <w:kern w:val="0"/>
        </w:rPr>
      </w:pPr>
      <w:r>
        <w:rPr>
          <w:kern w:val="0"/>
        </w:rPr>
        <w:t xml:space="preserve">Keywords: Analyses, Approach, Asian, Bias, Biomarker, BRCA2, Breast, Breast Cancer, Cancer, Case-Control, Case-Control Studies, Caucasian, CHEK2, Confidence, Confidence Intervals, Databases, Ethnicity, Evidence, Gene, Genetic, Genetic Variants, Google, Google Scholar, Heterogeneity, High-Risk, Intervals, Meta Analysis, Meta-Analysis, Metaanalysis, Methods, Model, Mutations, Palb2, Populations, Publication, Publication Bias, Pubmed, Results, Risk, Science, </w:t>
      </w:r>
      <w:r>
        <w:rPr>
          <w:kern w:val="0"/>
        </w:rPr>
        <w:lastRenderedPageBreak/>
        <w:t>Scientific Evidence, Software, Susceptibility, Web</w:t>
      </w:r>
      <w:r w:rsidR="00427468">
        <w:rPr>
          <w:kern w:val="0"/>
        </w:rPr>
        <w:t xml:space="preserve"> of </w:t>
      </w:r>
      <w:r>
        <w:rPr>
          <w:kern w:val="0"/>
        </w:rPr>
        <w:t>Science</w:t>
      </w:r>
    </w:p>
    <w:p w:rsidR="007A584A" w:rsidRDefault="007A584A" w:rsidP="007A584A">
      <w:pPr>
        <w:pStyle w:val="a3"/>
        <w:rPr>
          <w:kern w:val="0"/>
        </w:rPr>
      </w:pPr>
      <w:r>
        <w:rPr>
          <w:rFonts w:hint="eastAsia"/>
          <w:kern w:val="0"/>
        </w:rPr>
        <w:t xml:space="preserve">? </w:t>
      </w:r>
      <w:r>
        <w:rPr>
          <w:kern w:val="0"/>
        </w:rPr>
        <w:t>Li, F.Y., Ren, X.B., Xie, X.Y. and Zhang, J. (2013), Meta-analysis</w:t>
      </w:r>
      <w:r w:rsidR="00427468">
        <w:rPr>
          <w:kern w:val="0"/>
        </w:rPr>
        <w:t xml:space="preserve"> of </w:t>
      </w:r>
      <w:r>
        <w:rPr>
          <w:kern w:val="0"/>
        </w:rPr>
        <w:t xml:space="preserve">Excision Repair Cross-complementation Group 1 (ERCC1) Association with response to platinum-based chemotherapy in ovarian cancer.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(12), 7203-7206.</w:t>
      </w:r>
    </w:p>
    <w:p w:rsidR="007A584A" w:rsidRDefault="007A584A" w:rsidP="007A584A">
      <w:pPr>
        <w:pStyle w:val="a3"/>
        <w:rPr>
          <w:kern w:val="0"/>
        </w:rPr>
      </w:pPr>
      <w:r>
        <w:rPr>
          <w:kern w:val="0"/>
        </w:rPr>
        <w:t xml:space="preserve">Full Text: </w:t>
      </w:r>
      <w:hyperlink r:id="rId1292" w:history="1">
        <w:r w:rsidRPr="00963EE8">
          <w:rPr>
            <w:rStyle w:val="a5"/>
            <w:kern w:val="0"/>
          </w:rPr>
          <w:t>2013\Asi Pac J Can Pre14, 7203.pdf</w:t>
        </w:r>
      </w:hyperlink>
    </w:p>
    <w:p w:rsidR="007A584A" w:rsidRDefault="007A584A" w:rsidP="007A584A">
      <w:pPr>
        <w:pStyle w:val="a3"/>
        <w:rPr>
          <w:kern w:val="0"/>
        </w:rPr>
      </w:pPr>
      <w:r>
        <w:rPr>
          <w:kern w:val="0"/>
        </w:rPr>
        <w:t>Abstract: Recent studies suggested that the ovarian cancers with negative excision repair cross-complementation group 1 enzyme (ERCC1) expression have a better response to platinum-based chemotherapy than those with positive ERCC1 expression</w:t>
      </w:r>
      <w:r w:rsidR="00A37C1D">
        <w:rPr>
          <w:kern w:val="0"/>
        </w:rPr>
        <w:t>. The</w:t>
      </w:r>
      <w:r>
        <w:rPr>
          <w:kern w:val="0"/>
        </w:rPr>
        <w:t xml:space="preserve"> objective</w:t>
      </w:r>
      <w:r w:rsidR="00427468">
        <w:rPr>
          <w:kern w:val="0"/>
        </w:rPr>
        <w:t xml:space="preserve"> of </w:t>
      </w:r>
      <w:r>
        <w:rPr>
          <w:kern w:val="0"/>
        </w:rPr>
        <w:t>this study was to evaluate whether ERCC1 expression is associated with response to platinum-based chemotherapy in ovarian cancers. MEDLINE, PubMed, Web</w:t>
      </w:r>
      <w:r w:rsidR="00427468">
        <w:rPr>
          <w:kern w:val="0"/>
        </w:rPr>
        <w:t xml:space="preserve"> of </w:t>
      </w:r>
      <w:r>
        <w:rPr>
          <w:kern w:val="0"/>
        </w:rPr>
        <w:t>Science and CNKI databases were used for searching studies relating to ERCC1 protein expression and response to platinum-based chemotherapy in ovarian cancers. Statistical analysis was based on the method for a fixed effects meta-analysis. Pooled odds ratios (ORs) with 95% confidence intervals for ERCC1 protein expression and response to platinum-based chemotherapy were generated. Publication bias was investigated with Begg</w:t>
      </w:r>
      <w:r w:rsidR="00700038">
        <w:rPr>
          <w:kern w:val="0"/>
        </w:rPr>
        <w:t>’</w:t>
      </w:r>
      <w:r>
        <w:rPr>
          <w:kern w:val="0"/>
        </w:rPr>
        <w:t>s test. Five studies involving 306 patients with ovarian cancer were included. Compared to patients with positive ERCC1 expression, those with negative ERCC1 expression had a better response to platinum-based chemotherapy</w:t>
      </w:r>
      <w:r w:rsidR="00A37C1D">
        <w:rPr>
          <w:kern w:val="0"/>
        </w:rPr>
        <w:t>. The</w:t>
      </w:r>
      <w:r>
        <w:rPr>
          <w:kern w:val="0"/>
        </w:rPr>
        <w:t xml:space="preserve"> pooled OR was 5.264 (95% CI: 2.928 -9.464, P &lt; 0.001) and publication bias was not found (P = 0.904)</w:t>
      </w:r>
      <w:r w:rsidR="00A37C1D">
        <w:rPr>
          <w:kern w:val="0"/>
        </w:rPr>
        <w:t>. The</w:t>
      </w:r>
      <w:r>
        <w:rPr>
          <w:kern w:val="0"/>
        </w:rPr>
        <w:t xml:space="preserve"> result was similar in both in Asians and Caucasians (P &lt; 0.001 and P = 0.028, respectively). ERCC1 protein expression status is significantly associated with response to platinum-based chemotherapy in ovarian cancers.</w:t>
      </w:r>
    </w:p>
    <w:p w:rsidR="007A584A" w:rsidRDefault="007A584A" w:rsidP="007A584A">
      <w:pPr>
        <w:pStyle w:val="a3"/>
        <w:rPr>
          <w:kern w:val="0"/>
        </w:rPr>
      </w:pPr>
      <w:r>
        <w:rPr>
          <w:kern w:val="0"/>
        </w:rPr>
        <w:t>Keywords: Analysis, Association, Bias, Cancer, Cell Lung-Cancer, Chemotherapy, Cisplatin, Colorectal-Cancer, Confidence, Confidence Intervals, Databases, Effects, Ercc1, Expression, Head, Induced DNA-Damage, Intervals, Medline, Messenger-RNA, Meta Analysis, Meta-Analysis, Metaanalysis, Neck-Cancer, Ovarian Cancer, P, Patients, Platinum-Based Chemotherapy, Protein, Protein Expression, Publication, Publication Bias, Pubmed, Recent, Resistance, Response, Science, Statistical Analysis, Thymidylate Synthase, Web</w:t>
      </w:r>
      <w:r w:rsidR="00427468">
        <w:rPr>
          <w:kern w:val="0"/>
        </w:rPr>
        <w:t xml:space="preserve"> of </w:t>
      </w:r>
      <w:r>
        <w:rPr>
          <w:kern w:val="0"/>
        </w:rPr>
        <w:t>Science</w:t>
      </w:r>
    </w:p>
    <w:p w:rsidR="007A584A" w:rsidRDefault="007A584A" w:rsidP="007A584A">
      <w:pPr>
        <w:pStyle w:val="a3"/>
        <w:rPr>
          <w:kern w:val="0"/>
        </w:rPr>
      </w:pPr>
      <w:r>
        <w:rPr>
          <w:rFonts w:hint="eastAsia"/>
          <w:kern w:val="0"/>
        </w:rPr>
        <w:t xml:space="preserve">? </w:t>
      </w:r>
      <w:r>
        <w:rPr>
          <w:kern w:val="0"/>
        </w:rPr>
        <w:t>Liu, J.F., Xie, H.J. and Cheng, T.M. (2013), Lack</w:t>
      </w:r>
      <w:r w:rsidR="00427468">
        <w:rPr>
          <w:kern w:val="0"/>
        </w:rPr>
        <w:t xml:space="preserve"> of </w:t>
      </w:r>
      <w:r>
        <w:rPr>
          <w:kern w:val="0"/>
        </w:rPr>
        <w:t xml:space="preserve">any association between insertion/deletion (I/D) polymorphisms in the angiotensin-converting enzyme gene and digestive system cancer risk: A meta-analysis.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(12), 7271-7275.</w:t>
      </w:r>
    </w:p>
    <w:p w:rsidR="007A584A" w:rsidRDefault="007A584A" w:rsidP="007A584A">
      <w:pPr>
        <w:pStyle w:val="a3"/>
        <w:rPr>
          <w:kern w:val="0"/>
        </w:rPr>
      </w:pPr>
      <w:r>
        <w:rPr>
          <w:kern w:val="0"/>
        </w:rPr>
        <w:t xml:space="preserve">Full Text: </w:t>
      </w:r>
      <w:hyperlink r:id="rId1293" w:history="1">
        <w:r w:rsidRPr="00963EE8">
          <w:rPr>
            <w:rStyle w:val="a5"/>
            <w:kern w:val="0"/>
          </w:rPr>
          <w:t>2013\Asi Pac J Can Pre14, 7271.pdf</w:t>
        </w:r>
      </w:hyperlink>
    </w:p>
    <w:p w:rsidR="007A584A" w:rsidRDefault="007A584A" w:rsidP="007A584A">
      <w:pPr>
        <w:pStyle w:val="a3"/>
        <w:rPr>
          <w:kern w:val="0"/>
        </w:rPr>
      </w:pPr>
      <w:r>
        <w:rPr>
          <w:kern w:val="0"/>
        </w:rPr>
        <w:t>Abstract: Objective: To investigate the association between the gene polymorphisms</w:t>
      </w:r>
      <w:r w:rsidR="00427468">
        <w:rPr>
          <w:kern w:val="0"/>
        </w:rPr>
        <w:t xml:space="preserve"> of </w:t>
      </w:r>
      <w:r>
        <w:rPr>
          <w:kern w:val="0"/>
        </w:rPr>
        <w:t>angiotensin-converting enzyme (ACE) and digestive system cancer risk. Method: A search was performed in Pubmed, Medline, ISI Web</w:t>
      </w:r>
      <w:r w:rsidR="00427468">
        <w:rPr>
          <w:kern w:val="0"/>
        </w:rPr>
        <w:t xml:space="preserve"> of </w:t>
      </w:r>
      <w:r>
        <w:rPr>
          <w:kern w:val="0"/>
        </w:rPr>
        <w:t xml:space="preserve">Science and Chinese </w:t>
      </w:r>
      <w:r>
        <w:rPr>
          <w:kern w:val="0"/>
        </w:rPr>
        <w:lastRenderedPageBreak/>
        <w:t>Biomedical (CBM) databases, covering all studies until Sep 1st, 2013. Statistical analysis was performed by using Revman5.2 and STATA 12.0. Results: A total</w:t>
      </w:r>
      <w:r w:rsidR="00427468">
        <w:rPr>
          <w:kern w:val="0"/>
        </w:rPr>
        <w:t xml:space="preserve"> of </w:t>
      </w:r>
      <w:r>
        <w:rPr>
          <w:kern w:val="0"/>
        </w:rPr>
        <w:t>15 case-control studies comprising 2,390 digestive system cancer patients and 9,706 controls were identified. No significant association was found between the I/D polymorphism and digestive cancer risk (OR = 0.93, 95% CI = (0.75, 1.16), P = 0.53 for DD+DI vs. II). In the subgroup analysis by ethnicity and cancer type, no significant associations were found for the comparison</w:t>
      </w:r>
      <w:r w:rsidR="00427468">
        <w:rPr>
          <w:kern w:val="0"/>
        </w:rPr>
        <w:t xml:space="preserve"> of </w:t>
      </w:r>
      <w:r>
        <w:rPr>
          <w:kern w:val="0"/>
        </w:rPr>
        <w:t>DD+DI vs. II. Results from other comparative genetic models also indicated a lack</w:t>
      </w:r>
      <w:r w:rsidR="00427468">
        <w:rPr>
          <w:kern w:val="0"/>
        </w:rPr>
        <w:t xml:space="preserve"> of </w:t>
      </w:r>
      <w:r>
        <w:rPr>
          <w:kern w:val="0"/>
        </w:rPr>
        <w:t>associations between this polymorphism and digestive system cancer risks. Conclusions: This meta-analysis suggested that the ACE D/I polymorphism might not contribute to the risk</w:t>
      </w:r>
      <w:r w:rsidR="00427468">
        <w:rPr>
          <w:kern w:val="0"/>
        </w:rPr>
        <w:t xml:space="preserve"> of </w:t>
      </w:r>
      <w:r>
        <w:rPr>
          <w:kern w:val="0"/>
        </w:rPr>
        <w:t>digestive system cancer.</w:t>
      </w:r>
    </w:p>
    <w:p w:rsidR="007A584A" w:rsidRDefault="007A584A" w:rsidP="007A584A">
      <w:pPr>
        <w:pStyle w:val="a3"/>
        <w:rPr>
          <w:kern w:val="0"/>
        </w:rPr>
      </w:pPr>
      <w:r>
        <w:rPr>
          <w:kern w:val="0"/>
        </w:rPr>
        <w:t>Keywords: Ace, Analysis, Association, Biomedical, Cancer, Case-Control, Case-Control Studies, Chinese, Colorectal-Cancer, Comparison, Databases, Digestive System Cancer, Disease, Ethnicity, Gastric-Cancer, Gene, Genetic, Growth, Hepatocellular-Carcinoma, Inhibitors, ISI, ISI Web</w:t>
      </w:r>
      <w:r w:rsidR="00427468">
        <w:rPr>
          <w:kern w:val="0"/>
        </w:rPr>
        <w:t xml:space="preserve"> of </w:t>
      </w:r>
      <w:r>
        <w:rPr>
          <w:kern w:val="0"/>
        </w:rPr>
        <w:t>Science, Medline, Meta Analysis, Meta-Analysis, Metaanalysis, Models, No Association, P, Patients, Polymorphism, Polymorphisms, Results, Risk, Risks, Science, Statistical Analysis, Web</w:t>
      </w:r>
      <w:r w:rsidR="00427468">
        <w:rPr>
          <w:kern w:val="0"/>
        </w:rPr>
        <w:t xml:space="preserve"> of </w:t>
      </w:r>
      <w:r>
        <w:rPr>
          <w:kern w:val="0"/>
        </w:rPr>
        <w:t>Science</w:t>
      </w:r>
    </w:p>
    <w:p w:rsidR="007A584A" w:rsidRDefault="007A584A" w:rsidP="007A584A">
      <w:pPr>
        <w:pStyle w:val="a3"/>
        <w:rPr>
          <w:kern w:val="0"/>
        </w:rPr>
      </w:pPr>
      <w:r>
        <w:rPr>
          <w:rFonts w:hint="eastAsia"/>
          <w:kern w:val="0"/>
        </w:rPr>
        <w:t xml:space="preserve">? </w:t>
      </w:r>
      <w:r>
        <w:rPr>
          <w:kern w:val="0"/>
        </w:rPr>
        <w:t>Zhao, H., Yin, J.Y., Yang, W.S., Qin, Q., Li, T.T., Shi, Y., Deng, Q., Wei, S., Liu, L., Wang, X. and Nie, S.F. (2013), Sleep duration and cancer risk: A systematic review and meta-analysis</w:t>
      </w:r>
      <w:r w:rsidR="00427468">
        <w:rPr>
          <w:kern w:val="0"/>
        </w:rPr>
        <w:t xml:space="preserve"> of </w:t>
      </w:r>
      <w:r>
        <w:rPr>
          <w:kern w:val="0"/>
        </w:rPr>
        <w:t xml:space="preserve">prospective studies. </w:t>
      </w:r>
      <w:r>
        <w:rPr>
          <w:i/>
          <w:iCs/>
          <w:kern w:val="0"/>
        </w:rPr>
        <w:t>Asian Pacific Journal</w:t>
      </w:r>
      <w:r w:rsidR="00427468">
        <w:rPr>
          <w:i/>
          <w:iCs/>
          <w:kern w:val="0"/>
        </w:rPr>
        <w:t xml:space="preserve"> of </w:t>
      </w:r>
      <w:r>
        <w:rPr>
          <w:i/>
          <w:iCs/>
          <w:kern w:val="0"/>
        </w:rPr>
        <w:t>Cancer Prevention</w:t>
      </w:r>
      <w:r>
        <w:rPr>
          <w:kern w:val="0"/>
        </w:rPr>
        <w:t xml:space="preserve">, </w:t>
      </w:r>
      <w:r>
        <w:rPr>
          <w:b/>
          <w:bCs/>
          <w:kern w:val="0"/>
        </w:rPr>
        <w:t>14</w:t>
      </w:r>
      <w:r>
        <w:rPr>
          <w:kern w:val="0"/>
        </w:rPr>
        <w:t xml:space="preserve"> (12), 7509-7515.</w:t>
      </w:r>
    </w:p>
    <w:p w:rsidR="007A584A" w:rsidRDefault="007A584A" w:rsidP="007A584A">
      <w:pPr>
        <w:pStyle w:val="a3"/>
        <w:rPr>
          <w:kern w:val="0"/>
        </w:rPr>
      </w:pPr>
      <w:r>
        <w:rPr>
          <w:kern w:val="0"/>
        </w:rPr>
        <w:t xml:space="preserve">Full Text: </w:t>
      </w:r>
      <w:hyperlink r:id="rId1294" w:history="1">
        <w:r w:rsidRPr="00290574">
          <w:rPr>
            <w:rStyle w:val="a5"/>
            <w:kern w:val="0"/>
          </w:rPr>
          <w:t>2013\Asi Pac J Can Pre14, 7509.pdf</w:t>
        </w:r>
      </w:hyperlink>
    </w:p>
    <w:p w:rsidR="007A584A" w:rsidRDefault="007A584A" w:rsidP="007A584A">
      <w:pPr>
        <w:pStyle w:val="a3"/>
        <w:rPr>
          <w:kern w:val="0"/>
        </w:rPr>
      </w:pPr>
      <w:r>
        <w:rPr>
          <w:kern w:val="0"/>
        </w:rPr>
        <w:t>Abstract: To assess the risk</w:t>
      </w:r>
      <w:r w:rsidR="00427468">
        <w:rPr>
          <w:kern w:val="0"/>
        </w:rPr>
        <w:t xml:space="preserve"> of </w:t>
      </w:r>
      <w:r>
        <w:rPr>
          <w:kern w:val="0"/>
        </w:rPr>
        <w:t>cancers associated with sleep duration using meta-analysis</w:t>
      </w:r>
      <w:r w:rsidR="00427468">
        <w:rPr>
          <w:kern w:val="0"/>
        </w:rPr>
        <w:t xml:space="preserve"> of </w:t>
      </w:r>
      <w:r>
        <w:rPr>
          <w:kern w:val="0"/>
        </w:rPr>
        <w:t>published cohort studies, we performed a comprehensive search using PubMed, Embase and Web</w:t>
      </w:r>
      <w:r w:rsidR="00427468">
        <w:rPr>
          <w:kern w:val="0"/>
        </w:rPr>
        <w:t xml:space="preserve"> of </w:t>
      </w:r>
      <w:r>
        <w:rPr>
          <w:kern w:val="0"/>
        </w:rPr>
        <w:t>Science through October 2013. We combined hazard ratios (HRs) from individual studies using meta-analysis approaches. A random effect dose-response analysis was used to evaluate the relationship between sleep duration and cancer risk. Subgroup analyses and sensitivity analyses were also performed. Publication bias was evaluated using Funnel plots and Begg</w:t>
      </w:r>
      <w:r w:rsidR="00700038">
        <w:rPr>
          <w:kern w:val="0"/>
        </w:rPr>
        <w:t>’</w:t>
      </w:r>
      <w:r>
        <w:rPr>
          <w:kern w:val="0"/>
        </w:rPr>
        <w:t>s test. A total</w:t>
      </w:r>
      <w:r w:rsidR="00427468">
        <w:rPr>
          <w:kern w:val="0"/>
        </w:rPr>
        <w:t xml:space="preserve"> of </w:t>
      </w:r>
      <w:r>
        <w:rPr>
          <w:kern w:val="0"/>
        </w:rPr>
        <w:t>13 cohorts from 12 studies were included in this meta-analysis, which included 723, 337 participants with 15, 156 reported cancer outcomes during a follow-up period ranging from 7.5 to 22 years</w:t>
      </w:r>
      <w:r w:rsidR="00A37C1D">
        <w:rPr>
          <w:kern w:val="0"/>
        </w:rPr>
        <w:t>. The</w:t>
      </w:r>
      <w:r>
        <w:rPr>
          <w:kern w:val="0"/>
        </w:rPr>
        <w:t xml:space="preserve"> pooled adjusted HRs were 1.06 (95% CI: 0.92, 1.23; P for heterogeneity =0.003) for short sleep duration, 0.91 (95% CI: 0.78, 1.07; P for heterogeneity &lt;0.0001) for long sleep duration. In subgroup analyses stratified by cancer type, long duration</w:t>
      </w:r>
      <w:r w:rsidR="00427468">
        <w:rPr>
          <w:kern w:val="0"/>
        </w:rPr>
        <w:t xml:space="preserve"> of </w:t>
      </w:r>
      <w:r>
        <w:rPr>
          <w:kern w:val="0"/>
        </w:rPr>
        <w:t>sleep showed an inverse relation with hormone-related cancer (HR=0.79; 95% CI: 0.65, 0.97; P for heterogeneity =0.009) and a greater risk</w:t>
      </w:r>
      <w:r w:rsidR="00427468">
        <w:rPr>
          <w:kern w:val="0"/>
        </w:rPr>
        <w:t xml:space="preserve"> of </w:t>
      </w:r>
      <w:r>
        <w:rPr>
          <w:kern w:val="0"/>
        </w:rPr>
        <w:t xml:space="preserve">colorectal cancer (HR=1.29; 95% CI: 1.09, 1.52; P for heterogeneity =0.346). Further meta-analysis on dose-response relationships showed </w:t>
      </w:r>
      <w:r>
        <w:rPr>
          <w:kern w:val="0"/>
        </w:rPr>
        <w:lastRenderedPageBreak/>
        <w:t>that the relative risks</w:t>
      </w:r>
      <w:r w:rsidR="00427468">
        <w:rPr>
          <w:kern w:val="0"/>
        </w:rPr>
        <w:t xml:space="preserve"> of </w:t>
      </w:r>
      <w:r>
        <w:rPr>
          <w:kern w:val="0"/>
        </w:rPr>
        <w:t>cancer were 1.00 (95% CI: 0.99, 1.01; P for linear trend=0.9151) for one hour</w:t>
      </w:r>
      <w:r w:rsidR="00427468">
        <w:rPr>
          <w:kern w:val="0"/>
        </w:rPr>
        <w:t xml:space="preserve"> of </w:t>
      </w:r>
      <w:r>
        <w:rPr>
          <w:kern w:val="0"/>
        </w:rPr>
        <w:t>sleep increment per day, and 1.00 (95% CI: 0.98, 1.01; P for linear trend=0.7749) for one hour</w:t>
      </w:r>
      <w:r w:rsidR="00427468">
        <w:rPr>
          <w:kern w:val="0"/>
        </w:rPr>
        <w:t xml:space="preserve"> of </w:t>
      </w:r>
      <w:r>
        <w:rPr>
          <w:kern w:val="0"/>
        </w:rPr>
        <w:t>sleep increment per night. No significant dose-response relationship between sleep duration and cancer was found on non-linearity testing (P=0.5053). Our meta-analysis suggests a positive association between long sleep duration and colorectal cancer, and an inverse association with incidence</w:t>
      </w:r>
      <w:r w:rsidR="00427468">
        <w:rPr>
          <w:kern w:val="0"/>
        </w:rPr>
        <w:t xml:space="preserve"> of </w:t>
      </w:r>
      <w:r>
        <w:rPr>
          <w:kern w:val="0"/>
        </w:rPr>
        <w:t>hormone related cancers like those in the breast. Studies with larger sample size, longer follow-up times, more cancer types and detailed measure</w:t>
      </w:r>
      <w:r w:rsidR="00427468">
        <w:rPr>
          <w:kern w:val="0"/>
        </w:rPr>
        <w:t xml:space="preserve"> of </w:t>
      </w:r>
      <w:r>
        <w:rPr>
          <w:kern w:val="0"/>
        </w:rPr>
        <w:t>sleep duration are warranted to confirm these results.</w:t>
      </w:r>
    </w:p>
    <w:p w:rsidR="007A584A" w:rsidRDefault="007A584A" w:rsidP="007A584A">
      <w:pPr>
        <w:pStyle w:val="a3"/>
        <w:rPr>
          <w:kern w:val="0"/>
        </w:rPr>
      </w:pPr>
      <w:r>
        <w:rPr>
          <w:kern w:val="0"/>
        </w:rPr>
        <w:t>Keywords: Analyses, Analysis, Association, Bias, Breast-Cancer, Cancer, Cancer Risk, Chinese Women, Cohort, Colorectal Cancer, Colorectal-Cancer, Dose-Response Data, Duration, Epidemiologic Evidence, Follow-Up, Hazard, Heterogeneity, Hormone-Related Cancers, Incidence, Measure, Meta Analysis, Meta-Analysis, Metaanalysis, Ohsaki Cohort, Outcomes, P, Postmenopausal Women, Publication, Publication Bias, Pubmed, Review, Risk, Risks, Sample Size, Science, Self-Reported Sleep, Sensitivity, Size, Sleep, Sleep Duration, Systematic Review, Testing, Trend Estimation, Web</w:t>
      </w:r>
      <w:r w:rsidR="00427468">
        <w:rPr>
          <w:kern w:val="0"/>
        </w:rPr>
        <w:t xml:space="preserve"> of </w:t>
      </w:r>
      <w:r>
        <w:rPr>
          <w:kern w:val="0"/>
        </w:rPr>
        <w:t>Science, Whitehall-II</w:t>
      </w:r>
    </w:p>
    <w:p w:rsidR="00C32E49" w:rsidRDefault="00C32E49" w:rsidP="00C32E49">
      <w:pPr>
        <w:pStyle w:val="a3"/>
        <w:rPr>
          <w:kern w:val="0"/>
          <w:szCs w:val="24"/>
        </w:rPr>
      </w:pPr>
      <w:r>
        <w:rPr>
          <w:rFonts w:hint="eastAsia"/>
          <w:kern w:val="0"/>
          <w:szCs w:val="24"/>
        </w:rPr>
        <w:t xml:space="preserve">? </w:t>
      </w:r>
      <w:r>
        <w:rPr>
          <w:kern w:val="0"/>
          <w:szCs w:val="24"/>
        </w:rPr>
        <w:t>Xu, L.L., Song, Z.C., Shang, K., Zhao, L.Q. and Zhu, Z.S. (2014), Non-association</w:t>
      </w:r>
      <w:r w:rsidR="00427468">
        <w:rPr>
          <w:kern w:val="0"/>
          <w:szCs w:val="24"/>
        </w:rPr>
        <w:t xml:space="preserve"> of </w:t>
      </w:r>
      <w:r>
        <w:rPr>
          <w:kern w:val="0"/>
          <w:szCs w:val="24"/>
        </w:rPr>
        <w:t xml:space="preserve">IL-16 RS4778889 T/C polymorphism with cancer risk in Asians: A meta-analysis. </w:t>
      </w:r>
      <w:r>
        <w:rPr>
          <w:i/>
          <w:iCs/>
          <w:kern w:val="0"/>
          <w:szCs w:val="24"/>
        </w:rPr>
        <w:t>Asian Pacific Journal</w:t>
      </w:r>
      <w:r w:rsidR="00427468">
        <w:rPr>
          <w:i/>
          <w:iCs/>
          <w:kern w:val="0"/>
          <w:szCs w:val="24"/>
        </w:rPr>
        <w:t xml:space="preserve"> of </w:t>
      </w:r>
      <w:r>
        <w:rPr>
          <w:i/>
          <w:iCs/>
          <w:kern w:val="0"/>
          <w:szCs w:val="24"/>
        </w:rPr>
        <w:t>Cancer Prevention</w:t>
      </w:r>
      <w:r>
        <w:rPr>
          <w:kern w:val="0"/>
          <w:szCs w:val="24"/>
        </w:rPr>
        <w:t xml:space="preserve">, </w:t>
      </w:r>
      <w:r>
        <w:rPr>
          <w:b/>
          <w:bCs/>
          <w:kern w:val="0"/>
          <w:szCs w:val="24"/>
        </w:rPr>
        <w:t>15</w:t>
      </w:r>
      <w:r>
        <w:rPr>
          <w:kern w:val="0"/>
          <w:szCs w:val="24"/>
        </w:rPr>
        <w:t xml:space="preserve"> (2), 803-805.</w:t>
      </w:r>
    </w:p>
    <w:p w:rsidR="00C32E49" w:rsidRDefault="00C32E49" w:rsidP="00C32E49">
      <w:pPr>
        <w:pStyle w:val="a3"/>
        <w:rPr>
          <w:kern w:val="0"/>
        </w:rPr>
      </w:pPr>
      <w:r>
        <w:rPr>
          <w:kern w:val="0"/>
        </w:rPr>
        <w:t xml:space="preserve">Full Text: </w:t>
      </w:r>
      <w:hyperlink r:id="rId1295" w:history="1">
        <w:r w:rsidR="0010082F" w:rsidRPr="0010082F">
          <w:rPr>
            <w:rStyle w:val="a5"/>
            <w:kern w:val="0"/>
          </w:rPr>
          <w:t>2014\Asi Pac J Can Pre15, 803.pdf</w:t>
        </w:r>
      </w:hyperlink>
    </w:p>
    <w:p w:rsidR="00C32E49" w:rsidRDefault="00C32E49" w:rsidP="00C32E49">
      <w:pPr>
        <w:pStyle w:val="a3"/>
        <w:rPr>
          <w:kern w:val="0"/>
          <w:szCs w:val="24"/>
        </w:rPr>
      </w:pPr>
      <w:r>
        <w:rPr>
          <w:kern w:val="0"/>
          <w:szCs w:val="24"/>
        </w:rPr>
        <w:t>Abstract: The IL-16 rs4778889 T/C polymorphism is associated with cancer risk. However, the results are conflicting. We performed this meta-analysis to derive a more precise estimation</w:t>
      </w:r>
      <w:r w:rsidR="00427468">
        <w:rPr>
          <w:kern w:val="0"/>
          <w:szCs w:val="24"/>
        </w:rPr>
        <w:t xml:space="preserve"> of </w:t>
      </w:r>
      <w:r>
        <w:rPr>
          <w:kern w:val="0"/>
          <w:szCs w:val="24"/>
        </w:rPr>
        <w:t>the relationship. A comprehensive literature search was performed using PubMed, Embase and Web</w:t>
      </w:r>
      <w:r w:rsidR="00427468">
        <w:rPr>
          <w:kern w:val="0"/>
          <w:szCs w:val="24"/>
        </w:rPr>
        <w:t xml:space="preserve"> of </w:t>
      </w:r>
      <w:r>
        <w:rPr>
          <w:kern w:val="0"/>
          <w:szCs w:val="24"/>
        </w:rPr>
        <w:t>Science databases. Odds ratio (OR) and 95% confidence interval (CI) were used to assess the strength</w:t>
      </w:r>
      <w:r w:rsidR="00427468">
        <w:rPr>
          <w:kern w:val="0"/>
          <w:szCs w:val="24"/>
        </w:rPr>
        <w:t xml:space="preserve"> of </w:t>
      </w:r>
      <w:r>
        <w:rPr>
          <w:kern w:val="0"/>
          <w:szCs w:val="24"/>
        </w:rPr>
        <w:t>association. A total</w:t>
      </w:r>
      <w:r w:rsidR="00427468">
        <w:rPr>
          <w:kern w:val="0"/>
          <w:szCs w:val="24"/>
        </w:rPr>
        <w:t xml:space="preserve"> of </w:t>
      </w:r>
      <w:r>
        <w:rPr>
          <w:kern w:val="0"/>
          <w:szCs w:val="24"/>
        </w:rPr>
        <w:t>6 studies including 1,603 cases and 2,342 controls were identified. With all studies involved, results showed no statistically significant association between IL-16 rs4778889 T/C polymorphism and cancer risk (CC vs. CT+TT: OR=0.74, 95%CI: 0.55-1.02, P-h=0.15; CC+CT vs. TT: OR=0.89, 95%CI: 0.72-1.10, P-h =0.03; CC vs. TT: OR=0.73, 95%CI: 0.53-1.00, P-h =0.08; CT vs. TT: OR=0.91, 95%CI: 0.79-1.05, P-h =0.08; C vs. T: OR=0.89, 95%CI: 0.74-1.07, P-h =0.02). In addition, the results were not changed when studies were stratified by cancer type. However, to verify our findings, it is essential to perform more well-designed studies with larger sample sizes in the future.</w:t>
      </w:r>
    </w:p>
    <w:p w:rsidR="00C32E49" w:rsidRDefault="00C32E49" w:rsidP="00C32E49">
      <w:pPr>
        <w:pStyle w:val="a3"/>
        <w:rPr>
          <w:kern w:val="0"/>
          <w:szCs w:val="24"/>
        </w:rPr>
      </w:pPr>
      <w:r>
        <w:rPr>
          <w:kern w:val="0"/>
          <w:szCs w:val="24"/>
        </w:rPr>
        <w:t xml:space="preserve">Keywords: Association, Bias, Cancer, Cancer Risk, Carcinoma, Chinese Population, Confidence, Ct, Databases, Expression, Genetic-Polymorphism, Il-16, Inflammation, Interleukin-16, Interval, Literature, Literature Search, Meta Analysis, Meta-Analysis, Metaanalysis, Polymorphism, Pubmed, Risk, Rs4778889, Science, Strength, </w:t>
      </w:r>
      <w:r>
        <w:rPr>
          <w:kern w:val="0"/>
          <w:szCs w:val="24"/>
        </w:rPr>
        <w:lastRenderedPageBreak/>
        <w:t>Susceptibility, Web</w:t>
      </w:r>
      <w:r w:rsidR="00427468">
        <w:rPr>
          <w:kern w:val="0"/>
          <w:szCs w:val="24"/>
        </w:rPr>
        <w:t xml:space="preserve"> of </w:t>
      </w:r>
      <w:r>
        <w:rPr>
          <w:kern w:val="0"/>
          <w:szCs w:val="24"/>
        </w:rPr>
        <w:t>Science, Web</w:t>
      </w:r>
      <w:r w:rsidR="00427468">
        <w:rPr>
          <w:kern w:val="0"/>
          <w:szCs w:val="24"/>
        </w:rPr>
        <w:t xml:space="preserve"> of </w:t>
      </w:r>
      <w:r>
        <w:rPr>
          <w:kern w:val="0"/>
          <w:szCs w:val="24"/>
        </w:rPr>
        <w:t>Science Databases</w:t>
      </w:r>
    </w:p>
    <w:p w:rsidR="00F64F85" w:rsidRDefault="00F64F85" w:rsidP="00F64F85">
      <w:pPr>
        <w:pStyle w:val="a3"/>
        <w:rPr>
          <w:kern w:val="0"/>
        </w:rPr>
      </w:pPr>
      <w:r>
        <w:rPr>
          <w:rFonts w:hint="eastAsia"/>
          <w:kern w:val="0"/>
        </w:rPr>
        <w:t xml:space="preserve">? </w:t>
      </w:r>
      <w:r>
        <w:rPr>
          <w:kern w:val="0"/>
        </w:rPr>
        <w:t xml:space="preserve">Xing, M.Y., Xu, S.Z. and Shen, P. (2014), Effect of low-fat diet on breast cancer survival: A meta-analysis. </w:t>
      </w:r>
      <w:r>
        <w:rPr>
          <w:i/>
          <w:iCs/>
          <w:kern w:val="0"/>
        </w:rPr>
        <w:t>Asian Pacific Journal of Cancer Prevention</w:t>
      </w:r>
      <w:r>
        <w:rPr>
          <w:kern w:val="0"/>
        </w:rPr>
        <w:t xml:space="preserve">, </w:t>
      </w:r>
      <w:r>
        <w:rPr>
          <w:b/>
          <w:bCs/>
          <w:kern w:val="0"/>
        </w:rPr>
        <w:t>15</w:t>
      </w:r>
      <w:r>
        <w:rPr>
          <w:kern w:val="0"/>
        </w:rPr>
        <w:t xml:space="preserve"> (3), 1141-1144.</w:t>
      </w:r>
    </w:p>
    <w:p w:rsidR="00F64F85" w:rsidRDefault="00F64F85" w:rsidP="00F64F85">
      <w:pPr>
        <w:pStyle w:val="a3"/>
        <w:rPr>
          <w:kern w:val="0"/>
        </w:rPr>
      </w:pPr>
      <w:r>
        <w:rPr>
          <w:kern w:val="0"/>
        </w:rPr>
        <w:t xml:space="preserve">Full Text: </w:t>
      </w:r>
      <w:hyperlink r:id="rId1296" w:history="1">
        <w:r w:rsidR="0010082F" w:rsidRPr="0010082F">
          <w:rPr>
            <w:rStyle w:val="a5"/>
            <w:kern w:val="0"/>
          </w:rPr>
          <w:t>2014\Asi Pac J Can Pre15, 1141.pdf</w:t>
        </w:r>
      </w:hyperlink>
    </w:p>
    <w:p w:rsidR="00F64F85" w:rsidRDefault="00F64F85" w:rsidP="00F64F85">
      <w:pPr>
        <w:pStyle w:val="a3"/>
        <w:rPr>
          <w:kern w:val="0"/>
        </w:rPr>
      </w:pPr>
      <w:r>
        <w:rPr>
          <w:kern w:val="0"/>
        </w:rPr>
        <w:t>Abstract: Background: Even though many studies have examined the possible effect of low-fat diet on breast cancer survival, the relationship remains unclear. Objectives: To summarize the current evidence about the effect of post-diagnostic low-fat diet on recurrence and all-cause mortality of breast cancer. Methods: We conducted a search of Pubmed, Embase, Web of Science, and Cochrane Library and as a result two randomized controlled trials (RCT) and one large multi-center prospective cohort study with 9,966 breast cancer patients were included in this report. Results: Post-diagnostic low-fat diet reduced risk of recurrence of breast cancer by 23% (HR=0.77, 95%CI 0.63 to 0.94, P=0.009) and all cause mortality of breast cancer by 17% (HR=0.83, 95%CI 0.69 to 1.00, P=0.05). Conclusions: This meta-analysis suggested the post-diagnostic low-fat diet can improve breast cancer survival by reducing risk of recurrence. However, more trials of the relationship between low-fat diet and all-cause mortality of breast cancer are still needed.</w:t>
      </w:r>
    </w:p>
    <w:p w:rsidR="00F64F85" w:rsidRDefault="00F64F85" w:rsidP="00F64F85">
      <w:pPr>
        <w:pStyle w:val="a3"/>
        <w:rPr>
          <w:kern w:val="0"/>
        </w:rPr>
      </w:pPr>
      <w:r>
        <w:rPr>
          <w:kern w:val="0"/>
        </w:rPr>
        <w:t>Keywords: Breast, Breast Cancer, Cancer, Cohort, Cohort Study, Diet, Effect, Evidence, Fiber, Life-Style, Low-Fat Diet, Meta Analysis, Meta-Analysis, Metaanalysis, Methods, Mortality, Obesity, Patients, Physical-Activity, Post-Diagnosis, Postmenopausal Women, Prognosis, Prospective, Randomized, Randomized Controlled Trials, Rct, Recurrence, Results, Risk, Science, Survival, Trial, Web Of Science, Womens Intervention Nutrition</w:t>
      </w:r>
    </w:p>
    <w:p w:rsidR="00F64F85" w:rsidRDefault="00F64F85" w:rsidP="00F64F85">
      <w:pPr>
        <w:pStyle w:val="a3"/>
        <w:rPr>
          <w:kern w:val="0"/>
        </w:rPr>
      </w:pPr>
      <w:r>
        <w:rPr>
          <w:rFonts w:hint="eastAsia"/>
          <w:kern w:val="0"/>
        </w:rPr>
        <w:t xml:space="preserve">? </w:t>
      </w:r>
      <w:r>
        <w:rPr>
          <w:kern w:val="0"/>
        </w:rPr>
        <w:t xml:space="preserve">Yang, T.F., Guo, L. and Wang, Q. (2014), Meta-analysis of associations between four polymorphisms in the matrix metalloproteinases gene and gastric cancer risk. </w:t>
      </w:r>
      <w:r>
        <w:rPr>
          <w:i/>
          <w:iCs/>
          <w:kern w:val="0"/>
        </w:rPr>
        <w:t>Asian Pacific Journal of Cancer Prevention</w:t>
      </w:r>
      <w:r>
        <w:rPr>
          <w:kern w:val="0"/>
        </w:rPr>
        <w:t xml:space="preserve">, </w:t>
      </w:r>
      <w:r>
        <w:rPr>
          <w:b/>
          <w:bCs/>
          <w:kern w:val="0"/>
        </w:rPr>
        <w:t>15</w:t>
      </w:r>
      <w:r>
        <w:rPr>
          <w:kern w:val="0"/>
        </w:rPr>
        <w:t xml:space="preserve"> (3), 1263-1267.</w:t>
      </w:r>
    </w:p>
    <w:p w:rsidR="00F64F85" w:rsidRDefault="00F64F85" w:rsidP="00F64F85">
      <w:pPr>
        <w:pStyle w:val="a3"/>
        <w:rPr>
          <w:kern w:val="0"/>
        </w:rPr>
      </w:pPr>
      <w:r>
        <w:rPr>
          <w:kern w:val="0"/>
        </w:rPr>
        <w:t xml:space="preserve">Full Text: </w:t>
      </w:r>
      <w:hyperlink r:id="rId1297" w:history="1">
        <w:r w:rsidR="0010082F" w:rsidRPr="0010082F">
          <w:rPr>
            <w:rStyle w:val="a5"/>
            <w:kern w:val="0"/>
          </w:rPr>
          <w:t>2014\Asi Pac J Can Pre15, 1263.pdf</w:t>
        </w:r>
      </w:hyperlink>
    </w:p>
    <w:p w:rsidR="00F64F85" w:rsidRDefault="00F64F85" w:rsidP="00F64F85">
      <w:pPr>
        <w:pStyle w:val="a3"/>
        <w:rPr>
          <w:kern w:val="0"/>
        </w:rPr>
      </w:pPr>
      <w:r>
        <w:rPr>
          <w:kern w:val="0"/>
        </w:rPr>
        <w:t>Abstract: Background: Matrix metalloproteinases (MMPs) play important roles in pathogenesis and development of cancer. Recently, many studies have show associations between polymorphisms in the promoter regions of MMPs and risk of gastric cancer</w:t>
      </w:r>
      <w:r w:rsidR="00A37C1D">
        <w:rPr>
          <w:kern w:val="0"/>
        </w:rPr>
        <w:t>. The</w:t>
      </w:r>
      <w:r>
        <w:rPr>
          <w:kern w:val="0"/>
        </w:rPr>
        <w:t xml:space="preserve"> present meta-analysis was conducted in order to investigate the potential association between four polymorphisms in the MMP gene and gastric cancer risk. Methods: A computerized literature search was conducted in databases of Med-line, Embase, Science Citation Index and PubMed till June 2013 for any MMP genetic association study of gastric cancer. Odds ratios (ORs) and 95 % confidence intervals (CIs) were estimated for each gene under dominant and recessive models, and heterogeneity between studies was assessed using the Q test and I-2 value. Overall and subgroup analyses according to ethnicity were carried out </w:t>
      </w:r>
      <w:r>
        <w:rPr>
          <w:kern w:val="0"/>
        </w:rPr>
        <w:lastRenderedPageBreak/>
        <w:t>with Stata 12.0. Results: 14 reports covering 8,146 patients (2,980 in the case group and 5,166 in the control group) were included in the present meta-analysis. We found that the MMP-7 (-181A&gt;G) polymorphism increased the gastric cancer risk in therecessive model (GG vs. AA/AG, OR=1.768, 95% CI=1.153-2.712). For MMP2-1306 C&gt;T, MMP1-1607 1G/2G, and MMP9-1 562 C&gt;T, there were no associations between these polymorphisms and the risk of gastric cancer under dominant or recessive models. Conclusion: This meta-analysis suggested that the MMP7-181 A&gt;G polymorphism may contribute to gastric cancer susceptibility. More studies are needed, especially in Europeans, in the future.</w:t>
      </w:r>
    </w:p>
    <w:p w:rsidR="00F64F85" w:rsidRDefault="00F64F85" w:rsidP="00F64F85">
      <w:pPr>
        <w:pStyle w:val="a3"/>
        <w:rPr>
          <w:kern w:val="0"/>
        </w:rPr>
      </w:pPr>
      <w:r>
        <w:rPr>
          <w:kern w:val="0"/>
        </w:rPr>
        <w:t>Keywords: Analyses, Association, Cancer, Cancer Risk, Cardiac Adenocarcinoma, Citation, Confidence, Confidence Intervals, Control, Databases, Development, Ethnicity, Functional Polymorphism, Gastric, Gastric Cancer, Gene, Genetic, Heterogeneity, Intervals, Literature, Literature Search, Lung, Matrilysin, Matrix Metalloproteinases (MMPS), Medline, Meta Analysis, Meta-Analysis, Metaanalysis, Metalloproteinases, Metastasis, Methods, Mmp, Mmp-7, Model, Models, Pathogenesis, Patients, Polymorphism, Polymorphisms, Potential, Progression, Promoter, Pubmed, Results, Risk, Science, Science Citation Index, Single Nucleotide Polymorphism, Squamous-Cell Carcinoma, Stata, Susceptibility, Till, Value</w:t>
      </w:r>
    </w:p>
    <w:p w:rsidR="00F64F85" w:rsidRDefault="00F64F85" w:rsidP="00F64F85">
      <w:pPr>
        <w:pStyle w:val="a3"/>
        <w:rPr>
          <w:kern w:val="0"/>
        </w:rPr>
      </w:pPr>
      <w:r>
        <w:rPr>
          <w:rFonts w:hint="eastAsia"/>
          <w:kern w:val="0"/>
        </w:rPr>
        <w:t xml:space="preserve">? </w:t>
      </w:r>
      <w:r>
        <w:rPr>
          <w:kern w:val="0"/>
        </w:rPr>
        <w:t xml:space="preserve">Zhou, Z.R., Liu, S.X., Zhang, T.S., Xia, J. and Li, B. (2014), Abiraterone for treatment of metastatic castration-resistant prostate cancer: A systematic review and meta-analysis. </w:t>
      </w:r>
      <w:r>
        <w:rPr>
          <w:i/>
          <w:iCs/>
          <w:kern w:val="0"/>
        </w:rPr>
        <w:t>Asian Pacific Journal of Cancer Prevention</w:t>
      </w:r>
      <w:r>
        <w:rPr>
          <w:kern w:val="0"/>
        </w:rPr>
        <w:t xml:space="preserve">, </w:t>
      </w:r>
      <w:r>
        <w:rPr>
          <w:b/>
          <w:bCs/>
          <w:kern w:val="0"/>
        </w:rPr>
        <w:t>15</w:t>
      </w:r>
      <w:r>
        <w:rPr>
          <w:kern w:val="0"/>
        </w:rPr>
        <w:t xml:space="preserve"> (3), 1313-1320.</w:t>
      </w:r>
    </w:p>
    <w:p w:rsidR="00F64F85" w:rsidRDefault="00F64F85" w:rsidP="00F64F85">
      <w:pPr>
        <w:pStyle w:val="a3"/>
        <w:rPr>
          <w:kern w:val="0"/>
        </w:rPr>
      </w:pPr>
      <w:r>
        <w:rPr>
          <w:kern w:val="0"/>
        </w:rPr>
        <w:t xml:space="preserve">Full Text: </w:t>
      </w:r>
      <w:hyperlink r:id="rId1298" w:history="1">
        <w:r w:rsidR="0010082F" w:rsidRPr="0010082F">
          <w:rPr>
            <w:rStyle w:val="a5"/>
            <w:kern w:val="0"/>
          </w:rPr>
          <w:t>2014\Asi Pac J Can Pre15, 1313.pdf</w:t>
        </w:r>
      </w:hyperlink>
    </w:p>
    <w:p w:rsidR="00F64F85" w:rsidRDefault="00F64F85" w:rsidP="00F64F85">
      <w:pPr>
        <w:pStyle w:val="a3"/>
        <w:rPr>
          <w:kern w:val="0"/>
        </w:rPr>
      </w:pPr>
      <w:r>
        <w:rPr>
          <w:kern w:val="0"/>
        </w:rPr>
        <w:t>Abstract: Introduction: Although most prostate cancers initially respond to castration with luteinizing hormone-releasing analogues or bilateral orchiectomy, progression eventually occurs. Based on the exciting results of several randomized controlled trials (RCTs), it seems that patients with metastatic castration-resistant prostate cancer (mCRPC) might benefit more from treatment withabiraterone</w:t>
      </w:r>
      <w:r w:rsidR="00A37C1D">
        <w:rPr>
          <w:kern w:val="0"/>
        </w:rPr>
        <w:t>. The</w:t>
      </w:r>
      <w:r>
        <w:rPr>
          <w:kern w:val="0"/>
        </w:rPr>
        <w:t>refore we conducted a systematic review to evaluate the efficacy and toxicity of abiraterone in the treatment of mCRPC. Methods: Literature was searched from Embase, PubMed, Web of Science, and Cochrane Library up to July, 2013. Quality of the study was evaluated according to the Cochrane</w:t>
      </w:r>
      <w:r w:rsidR="00700038">
        <w:rPr>
          <w:kern w:val="0"/>
        </w:rPr>
        <w:t>’</w:t>
      </w:r>
      <w:r>
        <w:rPr>
          <w:kern w:val="0"/>
        </w:rPr>
        <w:t xml:space="preserve">s risk of bias of randomized controlled trial (RCT) tool, then the Grading of Recommendations Assessment, Development and Evaluation (GRADE) System was used to rate the level of evidence. Stata 12.0 was used for statistical analysis. Summary data from RCTs comparing abiraterone plus prednisone versus placebo plus prednisone for mCRPC were meta-analyzed. Pooled hazard ratios (HRs) for overall survival (OS), radiographic progression-free survival (RPFS) and time to PSA progression (TTPP); Pooled risk ratios (RR) for PSA response rate, objective response rate and adverse event were calculated. Results: Ten trials were included in the systematic review; Data of 2,283 patients (1,343 </w:t>
      </w:r>
      <w:r>
        <w:rPr>
          <w:kern w:val="0"/>
        </w:rPr>
        <w:lastRenderedPageBreak/>
        <w:t>abiraterone; 940 placebo) from two phase 3 trials: COU-AA-301 and COU-AA-302 were meta-analyzed. Compared with placebo, abiraterone significantly prolonged OS (HR, 0.74; 95% confidence interval [CI], 0.66 to 0.84), RPFS (HR, 0.59; 95% CI, 0.48 to 0.74) and time to PSA progression (HR, 0.55; 95% CI, 0.43 to 0.70); it also significantly increased PSA response rate (RR, 3.63; 95% CI, 1.72 to 7.65) and objective response rate (RR, 3.05; 95% CI, 1.51 to 6.15). This meta-analysis suggested that the adverse events caused by abiraterone are acceptable and can be controlled. Conclutios: Abiraterone significantly prolonged OS, RPFS and time to progression patients with mCRPC, regardless of prior chemotherapy or whether chemotherapy-naive, and no unexpected toxicity was evident. Abiraterone can serve as a new standard therapy for mCRPC.</w:t>
      </w:r>
    </w:p>
    <w:p w:rsidR="00F64F85" w:rsidRDefault="00F64F85" w:rsidP="00F64F85">
      <w:pPr>
        <w:pStyle w:val="a3"/>
        <w:rPr>
          <w:kern w:val="0"/>
        </w:rPr>
      </w:pPr>
      <w:r>
        <w:rPr>
          <w:kern w:val="0"/>
        </w:rPr>
        <w:t>Keywords: Abiraterone, Acetate, Analysis, Assessment, Bias, Cancer, Carcinoma, Castration-Resistant, Chemotherapy, Confidence, Controlled Trial, Cyp17, Data, Efficacy, Evaluation, Events, Evidence, Grade, Hazard, I Clinical-Trial, Inhibitor, Interval, Literature, Meta Analysis, Meta-Analysis, Metaanalysis, Methods, Patients, Phase-II, Placebo, Post-Docetaxel, Prednisone, Progression, Prolonged, Prostate Cancer, Pubmed, Quality, Randomized, Randomized Controlled Trial, Randomized Controlled Trials, RCT, Response, Results, Review, Risk, RPF, Safety, Science, Standard, Stata, Statistical Analysis, Survival, Systematic, Systematic Review, Therapy, Toxicity, Treatment, Trial, Web Of Science</w:t>
      </w:r>
    </w:p>
    <w:p w:rsidR="006E03FB" w:rsidRDefault="006E03FB" w:rsidP="006E03FB">
      <w:pPr>
        <w:pStyle w:val="a3"/>
        <w:rPr>
          <w:kern w:val="0"/>
        </w:rPr>
      </w:pPr>
      <w:r>
        <w:rPr>
          <w:rFonts w:hint="eastAsia"/>
          <w:kern w:val="0"/>
        </w:rPr>
        <w:t xml:space="preserve">? </w:t>
      </w:r>
      <w:r>
        <w:rPr>
          <w:kern w:val="0"/>
        </w:rPr>
        <w:t xml:space="preserve">Wang, J., Ge, J., Zhang, X.H., Liu, J.Y., Yang, C.M. and Zhao, S.L. (2014), Endoscopic submucosal dissection versus endoscopic mucosal resection for the treatment of early esophageal carcinoma: A meta-analysis. </w:t>
      </w:r>
      <w:r>
        <w:rPr>
          <w:i/>
          <w:iCs/>
          <w:kern w:val="0"/>
        </w:rPr>
        <w:t>Asian Pacific Journal of Cancer Prevention</w:t>
      </w:r>
      <w:r>
        <w:rPr>
          <w:kern w:val="0"/>
        </w:rPr>
        <w:t xml:space="preserve">, </w:t>
      </w:r>
      <w:r>
        <w:rPr>
          <w:b/>
          <w:bCs/>
          <w:kern w:val="0"/>
        </w:rPr>
        <w:t>15</w:t>
      </w:r>
      <w:r>
        <w:rPr>
          <w:kern w:val="0"/>
        </w:rPr>
        <w:t xml:space="preserve"> (4), 1803-1806.</w:t>
      </w:r>
    </w:p>
    <w:p w:rsidR="006E03FB" w:rsidRDefault="006E03FB" w:rsidP="006E03FB">
      <w:pPr>
        <w:pStyle w:val="a3"/>
        <w:rPr>
          <w:kern w:val="0"/>
        </w:rPr>
      </w:pPr>
      <w:r>
        <w:rPr>
          <w:kern w:val="0"/>
        </w:rPr>
        <w:t xml:space="preserve">Full Text: </w:t>
      </w:r>
      <w:hyperlink r:id="rId1299" w:history="1">
        <w:r w:rsidR="0010082F" w:rsidRPr="0010082F">
          <w:rPr>
            <w:rStyle w:val="a5"/>
            <w:kern w:val="0"/>
          </w:rPr>
          <w:t>2014\Asi Pac J Can Pre15, 1803.pdf</w:t>
        </w:r>
      </w:hyperlink>
    </w:p>
    <w:p w:rsidR="006E03FB" w:rsidRDefault="006E03FB" w:rsidP="006E03FB">
      <w:pPr>
        <w:pStyle w:val="a3"/>
        <w:rPr>
          <w:kern w:val="0"/>
        </w:rPr>
      </w:pPr>
      <w:r>
        <w:rPr>
          <w:kern w:val="0"/>
        </w:rPr>
        <w:t>Abstract: Endoscopic submucosal dissection (ESD) was originally developed for en bloc resection of large, flat gastrointestinal lesions. Compared with endoscopic mucosal resection (EMR), ESD is considered to be more time consuming and have more complications for treatment of early esophageal carcinoma, such as bleeding, stenosis and perforation</w:t>
      </w:r>
      <w:r w:rsidR="00A37C1D">
        <w:rPr>
          <w:kern w:val="0"/>
        </w:rPr>
        <w:t>. The</w:t>
      </w:r>
      <w:r>
        <w:rPr>
          <w:kern w:val="0"/>
        </w:rPr>
        <w:t xml:space="preserve"> objective of this study was to compare the efficacy and safety of ESD and EMR for such lesions. We searched databases, such as PubMed, EMBASE, Cochrane Library and Science Citation Index updated to 2013 for related trials. In the meta-analysis, the main outcome measurements were the en bloc resection rate, the histologically resection rate and the local recurrence rate. We also compared the operation time and the incidences of procedure-related complications. Five trials were identified, and a total of 710 patients and 795 lesions were included</w:t>
      </w:r>
      <w:r w:rsidR="00A37C1D">
        <w:rPr>
          <w:kern w:val="0"/>
        </w:rPr>
        <w:t>. The</w:t>
      </w:r>
      <w:r>
        <w:rPr>
          <w:kern w:val="0"/>
        </w:rPr>
        <w:t xml:space="preserve"> en bloc and histologically complete resection rates were higher in the ESD group compared with the EMR group (odds ratio (OR) 27.3; 95% CI, 11.5-64.8; OR 18.4; 95% CI, 8.82-38.59)</w:t>
      </w:r>
      <w:r w:rsidR="00A37C1D">
        <w:rPr>
          <w:kern w:val="0"/>
        </w:rPr>
        <w:t>. The</w:t>
      </w:r>
      <w:r>
        <w:rPr>
          <w:kern w:val="0"/>
        </w:rPr>
        <w:t xml:space="preserve"> local recurrence rate was lower in the ESD group (OR 0.13, </w:t>
      </w:r>
      <w:r>
        <w:rPr>
          <w:kern w:val="0"/>
        </w:rPr>
        <w:lastRenderedPageBreak/>
        <w:t>95 % CI 0.04-0.43)</w:t>
      </w:r>
      <w:r w:rsidR="00A37C1D">
        <w:rPr>
          <w:kern w:val="0"/>
        </w:rPr>
        <w:t>. The</w:t>
      </w:r>
      <w:r>
        <w:rPr>
          <w:kern w:val="0"/>
        </w:rPr>
        <w:t xml:space="preserve"> meta-analysis also showed ESD was more time consuming, but did not increase the complication rate (P=0.76)</w:t>
      </w:r>
      <w:r w:rsidR="00A37C1D">
        <w:rPr>
          <w:kern w:val="0"/>
        </w:rPr>
        <w:t>. The</w:t>
      </w:r>
      <w:r>
        <w:rPr>
          <w:kern w:val="0"/>
        </w:rPr>
        <w:t xml:space="preserve"> results implied that compared with EMR, ESD showed better en bloc and histologically resection rates, and lower local recurrence, without increasing the incidence of procedure-related complications in the treatment of early esophageal carcinoma.</w:t>
      </w:r>
    </w:p>
    <w:p w:rsidR="006E03FB" w:rsidRDefault="006E03FB" w:rsidP="006E03FB">
      <w:pPr>
        <w:pStyle w:val="a3"/>
        <w:rPr>
          <w:kern w:val="0"/>
        </w:rPr>
      </w:pPr>
      <w:r>
        <w:rPr>
          <w:kern w:val="0"/>
        </w:rPr>
        <w:t>Keywords: Bleeding, Carcinoma, Citation, Complete, Complication, Complications, Databases, Dissection, Early Esophageal Carcinoma, Early Gastric-Cancer, Efficacy, Embase, EMR, Endoscopic Mucosal Resection, Endoscopic Submucosal Dissection, Incidence, Local, Meta Analysis, Meta-Analysis, Metaanalysis, Mucosal, Odds Ratio, Operation, Outcome, Patients, Pubmed, Rates, Recurrence, Safety, Science, Science Citation Index, Stenosis, Treatment, Tumors</w:t>
      </w:r>
    </w:p>
    <w:p w:rsidR="0010082F" w:rsidRDefault="0010082F" w:rsidP="0010082F">
      <w:pPr>
        <w:pStyle w:val="a3"/>
        <w:rPr>
          <w:kern w:val="0"/>
        </w:rPr>
      </w:pPr>
      <w:r>
        <w:rPr>
          <w:kern w:val="0"/>
        </w:rPr>
        <w:t xml:space="preserve">? Gao, Y., Liu, Y., Liu, G.L., Ran, L.K., Zeng, F., Wu, J.Y. and Song, F.Z. (2014), Association between the Pre-mir-218 polymorphism and cancer risk in the Chinese population: A meta-analysis. </w:t>
      </w:r>
      <w:r>
        <w:rPr>
          <w:i/>
          <w:iCs/>
          <w:kern w:val="0"/>
        </w:rPr>
        <w:t>Asian Pacific Journal of Cancer Prevention</w:t>
      </w:r>
      <w:r>
        <w:rPr>
          <w:kern w:val="0"/>
        </w:rPr>
        <w:t xml:space="preserve">, </w:t>
      </w:r>
      <w:r>
        <w:rPr>
          <w:b/>
          <w:bCs/>
          <w:kern w:val="0"/>
        </w:rPr>
        <w:t>15</w:t>
      </w:r>
      <w:r>
        <w:rPr>
          <w:kern w:val="0"/>
        </w:rPr>
        <w:t xml:space="preserve"> (6), 2517-2522.</w:t>
      </w:r>
    </w:p>
    <w:p w:rsidR="0010082F" w:rsidRDefault="0010082F" w:rsidP="0010082F">
      <w:pPr>
        <w:pStyle w:val="a3"/>
        <w:rPr>
          <w:kern w:val="0"/>
        </w:rPr>
      </w:pPr>
      <w:r>
        <w:rPr>
          <w:kern w:val="0"/>
        </w:rPr>
        <w:t xml:space="preserve">Full Text: </w:t>
      </w:r>
      <w:hyperlink r:id="rId1300" w:history="1">
        <w:r w:rsidRPr="0010082F">
          <w:rPr>
            <w:rStyle w:val="a5"/>
            <w:kern w:val="0"/>
          </w:rPr>
          <w:t>2014\Asi Pac J Can Pre15, 2517.pdf</w:t>
        </w:r>
      </w:hyperlink>
    </w:p>
    <w:p w:rsidR="0010082F" w:rsidRDefault="0010082F" w:rsidP="0010082F">
      <w:pPr>
        <w:pStyle w:val="a3"/>
        <w:rPr>
          <w:kern w:val="0"/>
        </w:rPr>
      </w:pPr>
      <w:r>
        <w:rPr>
          <w:kern w:val="0"/>
        </w:rPr>
        <w:t>Abstract: Background: Several recent studies have explored associations between pre-mir-218 polymorphism (rs11134527) and cancer risk. However, published data are still inconclusive. To obtain a more precise estimation of the relationship in the Chinese population, we carried out a meta-analysis for the first time. Materials and Methods: Through retrieval from the PubMed, Medline, Embase, Web of Science databases, China National Knowledge Infrastructure and the Chinese BioMedical Literature Database, a total of four studies were analyzed with 3,561 cases and 3,628 controls for SNP pre-mir-218 rs11134527. We calculated odds ratios (ORs) and 95% confidence intervals (95%CIs) to explore the strength of associations. Results: The results showed that the rs11134527 polymorphism was associated with decreased cancer risk in GG versus AA and GG versus AA+AG models tested (GG vs AA: OR=0.82, 95%CI: 0.71-0.94; GG vs AA+AG: OR=0.84, 95%CI: 0.74-0.96), and significantly decreased cervical cancer risk was observed in GG versus AA and GG versus AA+AG models (GG vs AA: OR=0.79, 95%CI: 0.66-0.94; GG vs AA+AG: OR=0.80, 95%CI: 0.68-0.94). However, no significant association between the rs11134527polymorphism and hepatocellular carcinoma risk was observed in all comparison models tested (AG vs AA: OR=0.94, 95%CI: 0.79-1.11; GG vs AA: OR=0.88, 95%CI: 0.70-1.10; GG+AG vs AA: OR=0.92, 95%CI: 0.79-1.08; GG vs AA+AG: OR=0.91, 95%CI: 0.75-1.11). Conclusion: The findings suggest that pre-miR-218 rs11134527 polymorphism may have some relation to cancer development in Chinese. However, well-designed studies with larger sample size and more detailed data are needed to confirm these conclusions.</w:t>
      </w:r>
    </w:p>
    <w:p w:rsidR="0010082F" w:rsidRDefault="0010082F" w:rsidP="0010082F">
      <w:pPr>
        <w:pStyle w:val="a3"/>
        <w:rPr>
          <w:kern w:val="0"/>
        </w:rPr>
      </w:pPr>
      <w:r>
        <w:rPr>
          <w:kern w:val="0"/>
        </w:rPr>
        <w:t xml:space="preserve">Keywords: Ag, Association, Cancer, Cancer Risk, Carcinoma, Cervical Cancer, </w:t>
      </w:r>
      <w:r>
        <w:rPr>
          <w:kern w:val="0"/>
        </w:rPr>
        <w:lastRenderedPageBreak/>
        <w:t>Cervical-Carcinoma, China, Chinese, Comparison, Confidence, Confidence Intervals, Data, Database, Databases, Development, Expression, First, Gastric-Cancer, Hepatocellular Carcinoma, Intervals, Knowledge, Literature, Materials, Medline, Meta Analysis, Meta-Analysis, Metaanalysis, Methods, Micrornas, Models, Neck, Pathway, Polymorphism, Population, Pre-Mir-218 Rs11134527, Pubmed, Recent, Results, Risk, Rnas, Sample Size, Science, Size, Snp, Strength, Targets, Variant, Web Of Science, Web Of Science Databases, Women</w:t>
      </w:r>
    </w:p>
    <w:p w:rsidR="0010082F" w:rsidRDefault="0010082F" w:rsidP="0010082F">
      <w:pPr>
        <w:pStyle w:val="a3"/>
        <w:rPr>
          <w:kern w:val="0"/>
        </w:rPr>
      </w:pPr>
      <w:r>
        <w:rPr>
          <w:kern w:val="0"/>
        </w:rPr>
        <w:t xml:space="preserve">? Bayram, S. (2014), The </w:t>
      </w:r>
      <w:r w:rsidRPr="00C44A7B">
        <w:rPr>
          <w:i/>
          <w:kern w:val="0"/>
        </w:rPr>
        <w:t>Exonuclease 1</w:t>
      </w:r>
      <w:r>
        <w:rPr>
          <w:kern w:val="0"/>
        </w:rPr>
        <w:t xml:space="preserve"> Glu589Lys gene polymorphism and cancer susceptibility: Evidence based on a meta-analysis. </w:t>
      </w:r>
      <w:r>
        <w:rPr>
          <w:i/>
          <w:iCs/>
          <w:kern w:val="0"/>
        </w:rPr>
        <w:t>Asian Pacific Journal of Cancer Prevention</w:t>
      </w:r>
      <w:r>
        <w:rPr>
          <w:kern w:val="0"/>
        </w:rPr>
        <w:t xml:space="preserve">, </w:t>
      </w:r>
      <w:r>
        <w:rPr>
          <w:b/>
          <w:bCs/>
          <w:kern w:val="0"/>
        </w:rPr>
        <w:t>15</w:t>
      </w:r>
      <w:r>
        <w:rPr>
          <w:kern w:val="0"/>
        </w:rPr>
        <w:t xml:space="preserve"> (6), 2571-2576.</w:t>
      </w:r>
    </w:p>
    <w:p w:rsidR="0010082F" w:rsidRDefault="0010082F" w:rsidP="0010082F">
      <w:pPr>
        <w:pStyle w:val="a3"/>
        <w:rPr>
          <w:kern w:val="0"/>
        </w:rPr>
      </w:pPr>
      <w:r>
        <w:rPr>
          <w:kern w:val="0"/>
        </w:rPr>
        <w:t xml:space="preserve">Full Text: </w:t>
      </w:r>
      <w:hyperlink r:id="rId1301" w:history="1">
        <w:r w:rsidRPr="0010082F">
          <w:rPr>
            <w:rStyle w:val="a5"/>
            <w:kern w:val="0"/>
          </w:rPr>
          <w:t>2014\Asi Pac J Can Pre15, 2571.pdf</w:t>
        </w:r>
      </w:hyperlink>
    </w:p>
    <w:p w:rsidR="0010082F" w:rsidRDefault="0010082F" w:rsidP="0010082F">
      <w:pPr>
        <w:pStyle w:val="a3"/>
        <w:rPr>
          <w:kern w:val="0"/>
        </w:rPr>
      </w:pPr>
      <w:r>
        <w:rPr>
          <w:kern w:val="0"/>
        </w:rPr>
        <w:t>Abstract: Background: Published studies on the association between the exonuclease 1 (EXO1) Glu589Lys polymorphism and cancer susceptibility have yielded conflicting results. Thus, a meta-analysis of published studies was performed to assess the possible association. Materials and Methods: All eligible case-control studies published up to January 2013 on the association between the EXO1 Glu589Lys polymorphism and cancer susceptibility were identified by searching PubMed, Web of Science, Science Direct and hand search. Either fixed-effect or random-effect models were used to calculate pooled odds ratios (ORs) with 95% confidence intervals (CIs) using the Comprehensive Meta-Analysis software version 2.2. Results: A total of 4,391 cancer cases and 4,339 controls from 10 studies were included. Overall, no significant association between the EXO1 Glu589Lys polymorphism and cancer susceptibility was observed in either genetic model. However; in subgroup analyses by cancer type, a significant association between EXO1 Glu589Lys and lung cancer risk was found (Lys vs Glu: OR=1.23, 95%CI= 1.07-1.41, p(heterogeneity)=0.05). Further, subgroup analysis by ethnicity indicated that there was a statistically increased cancer risk in Asians (Lys vs Glu: OR=1.42, 95%CI=1.30-1.55, p(heterogeneity)=0.07; Lys/Lys vs Glu/Glu: OR=1.93, 95%CI=1.20-3.12, p(heterogeneity)=0.01; Lys/Lys+Glu/Lys vs Glu/Glu: OR=1.52, 95%CI=1.37-1.68, p(heterogeneity)=0.42; Lys/Lys vs Glu/Lys+Glu/Glu: OR=1.68, 95%CI=1.07-2.65, p(heterogeneity)=0.02). However, significant association was absent in Caucasians. Conclusions: This meta-analysis suggests, for the first time, that the EXO1 Glu589Lys polymorphism is not associated with overall cancer susceptibility, although marginal associations were found for lung cancer and Asian subgroups. Additional well-designed studies with larger sample size focusing on different ethnicities and cancer types are needed to confirm these findings.</w:t>
      </w:r>
    </w:p>
    <w:p w:rsidR="0010082F" w:rsidRDefault="0010082F" w:rsidP="0010082F">
      <w:pPr>
        <w:pStyle w:val="a3"/>
        <w:rPr>
          <w:kern w:val="0"/>
        </w:rPr>
      </w:pPr>
      <w:r>
        <w:rPr>
          <w:kern w:val="0"/>
        </w:rPr>
        <w:t xml:space="preserve">Keywords: Analyses, Analysis, Asian, Association, Bias, Cancer, Cancer Risk, Cancer Susceptibility, Case-Control, Case-Control Studies, Confidence, Confidence Intervals, Dna-Repair, Ethnicity, Evidence, Exo1, Exo1 Gene, Exo1 Glu589lys </w:t>
      </w:r>
      <w:r>
        <w:rPr>
          <w:kern w:val="0"/>
        </w:rPr>
        <w:lastRenderedPageBreak/>
        <w:t>Polymorphism, First, Genetic, Intervals, Lung, Lung Cancer, Lung-Cancer, Materials, Meta Analysis, Meta-Analysis, Metaanalysis, Methods, Model, Models, Polymorphism, Population, Pubmed, Results, Risk, Sample Size, Science, Single-Nucleotide Polymorphism, Size, Software, Susceptibility, Taiwan, Version, Web Of Science</w:t>
      </w:r>
    </w:p>
    <w:p w:rsidR="0010082F" w:rsidRDefault="0010082F" w:rsidP="0010082F">
      <w:pPr>
        <w:pStyle w:val="a3"/>
        <w:rPr>
          <w:kern w:val="0"/>
        </w:rPr>
      </w:pPr>
      <w:r>
        <w:rPr>
          <w:kern w:val="0"/>
        </w:rPr>
        <w:t xml:space="preserve">? Liu, L., Zhang, D., Jiao, J.H., Wang, Y., Wu, J.Y. and Huang, D.S. (2014), Association between the TP53BP1 rs2602141 A/C polymorphism and cancer risk: A systematic review and meta-analysis. </w:t>
      </w:r>
      <w:r>
        <w:rPr>
          <w:i/>
          <w:iCs/>
          <w:kern w:val="0"/>
        </w:rPr>
        <w:t>Asian Pacific Journal of Cancer Prevention</w:t>
      </w:r>
      <w:r>
        <w:rPr>
          <w:kern w:val="0"/>
        </w:rPr>
        <w:t xml:space="preserve">, </w:t>
      </w:r>
      <w:r>
        <w:rPr>
          <w:b/>
          <w:bCs/>
          <w:kern w:val="0"/>
        </w:rPr>
        <w:t>15</w:t>
      </w:r>
      <w:r>
        <w:rPr>
          <w:kern w:val="0"/>
        </w:rPr>
        <w:t xml:space="preserve"> (6), 2917-2922.</w:t>
      </w:r>
    </w:p>
    <w:p w:rsidR="0010082F" w:rsidRDefault="0010082F" w:rsidP="0010082F">
      <w:pPr>
        <w:pStyle w:val="a3"/>
        <w:rPr>
          <w:kern w:val="0"/>
        </w:rPr>
      </w:pPr>
      <w:r>
        <w:rPr>
          <w:kern w:val="0"/>
        </w:rPr>
        <w:t xml:space="preserve">Full Text: </w:t>
      </w:r>
      <w:hyperlink r:id="rId1302" w:history="1">
        <w:r w:rsidRPr="0010082F">
          <w:rPr>
            <w:rStyle w:val="a5"/>
            <w:kern w:val="0"/>
          </w:rPr>
          <w:t>2014\Asi Pac J Can Pre15, 2917.pdf</w:t>
        </w:r>
      </w:hyperlink>
    </w:p>
    <w:p w:rsidR="0010082F" w:rsidRDefault="0010082F" w:rsidP="0010082F">
      <w:pPr>
        <w:pStyle w:val="a3"/>
        <w:rPr>
          <w:kern w:val="0"/>
        </w:rPr>
      </w:pPr>
      <w:r>
        <w:rPr>
          <w:kern w:val="0"/>
        </w:rPr>
        <w:t>Abstract: Background: The p53-binding protein 1 (TP53BP1) gene may be involved in the development of cancer through disrupting DNA repair. However, investigation of associations between TP53BP1 rs2602141 A/C polymorphism and cancer have yielded contradictory and inconclusive outcomes. We therefore performed a meta-analysis to evaluate the association between the TP53BP1 rs2602141 A/C polymorphism and cancer susceptibility. Materials and Methods: Published literature from PubMed, Medline, the Cochrane Library, EMbase, Web of Science, Google (scholar), CBMDisc, Chongqing VIP database, and CNKI database were retrieved. Pooled odds ratios (ORs) with 95% confidence intervals (CIs) were calculated using fixed or random-effects models. Publication bias was estimated using funnel plots, Begg</w:t>
      </w:r>
      <w:r w:rsidR="00700038">
        <w:rPr>
          <w:kern w:val="0"/>
        </w:rPr>
        <w:t>’</w:t>
      </w:r>
      <w:r>
        <w:rPr>
          <w:kern w:val="0"/>
        </w:rPr>
        <w:t>s and Egger</w:t>
      </w:r>
      <w:r w:rsidR="00700038">
        <w:rPr>
          <w:kern w:val="0"/>
        </w:rPr>
        <w:t>’</w:t>
      </w:r>
      <w:r>
        <w:rPr>
          <w:kern w:val="0"/>
        </w:rPr>
        <w:t>s test. Results: A total of seven studies (3,018 cases and 5,548 controls) were included in the meta-analysis. Our results showed that the genotype distribution of TP53BP1 rs2602141 A/C was not associated with cancer risk overall. However, on subgroup analysis, we found that TP53BP1 rs2602141 A/C was associated with cancer risk within an allele model (A vs C, OR=1.14, 95%CI: 1.01-1.29) and a codominant model (AA vs CC, OR=1.36, 95%CI: 1.06-1.74) in Asians rather than in Caucasians. Subgroup analysis by cancer type, genotype, and with or without adjustment for controls showed no significant association. Conclusions: The findings suggested an association between rs2602141 A/C polymorphism in TP53BP1 gene and increased risk of cancer in Asians.</w:t>
      </w:r>
    </w:p>
    <w:p w:rsidR="0010082F" w:rsidRDefault="0010082F" w:rsidP="0010082F">
      <w:pPr>
        <w:pStyle w:val="a3"/>
        <w:rPr>
          <w:kern w:val="0"/>
        </w:rPr>
      </w:pPr>
      <w:r>
        <w:rPr>
          <w:kern w:val="0"/>
        </w:rPr>
        <w:t>Keywords: 53bp1, Analysis, Association, Bias, Cancer, Cancer Risk, Cancer Susceptibility, Carcinoma, Checkpoint, Clinical-Trials, Confidence, Confidence Intervals, Database, Development, Distribution, Dna, Gene, Gene, Google, Intervals, Investigation, Literature, Lung-Cancer, Materials, Medline, Meta Analysis, Meta-Analysis, Metaanalysis, Methods, Model, Models, Outcomes, P53, Polymorphism, Protein, Publication, Publication Bias, Pubmed, Results, Review, Risk, Science, Susceptibility, Systematic Review, Tp53-Binding Protein 1, Variants, Web Of Science</w:t>
      </w:r>
    </w:p>
    <w:p w:rsidR="00E056A9" w:rsidRDefault="00E056A9" w:rsidP="00E056A9">
      <w:pPr>
        <w:pStyle w:val="a3"/>
        <w:rPr>
          <w:kern w:val="0"/>
          <w:szCs w:val="24"/>
        </w:rPr>
      </w:pPr>
      <w:r>
        <w:rPr>
          <w:rFonts w:hint="eastAsia"/>
          <w:kern w:val="0"/>
          <w:szCs w:val="24"/>
        </w:rPr>
        <w:t xml:space="preserve">? </w:t>
      </w:r>
      <w:r>
        <w:rPr>
          <w:kern w:val="0"/>
          <w:szCs w:val="24"/>
        </w:rPr>
        <w:t xml:space="preserve">Cheng, D.Y., Hao, Y.W., Zhou, W.L. and Ma, Y.R. (2014), E-selectin S128R </w:t>
      </w:r>
      <w:r>
        <w:rPr>
          <w:kern w:val="0"/>
          <w:szCs w:val="24"/>
        </w:rPr>
        <w:lastRenderedPageBreak/>
        <w:t xml:space="preserve">polymorphism is associated with cancer risk: A meta-analysis. </w:t>
      </w:r>
      <w:r>
        <w:rPr>
          <w:i/>
          <w:iCs/>
          <w:kern w:val="0"/>
          <w:szCs w:val="24"/>
        </w:rPr>
        <w:t>Asian Pacific Journal of Cancer Prevention</w:t>
      </w:r>
      <w:r>
        <w:rPr>
          <w:kern w:val="0"/>
          <w:szCs w:val="24"/>
        </w:rPr>
        <w:t xml:space="preserve">, </w:t>
      </w:r>
      <w:r>
        <w:rPr>
          <w:b/>
          <w:bCs/>
          <w:kern w:val="0"/>
          <w:szCs w:val="24"/>
        </w:rPr>
        <w:t>15</w:t>
      </w:r>
      <w:r>
        <w:rPr>
          <w:kern w:val="0"/>
          <w:szCs w:val="24"/>
        </w:rPr>
        <w:t xml:space="preserve"> (7), 3247-3252.</w:t>
      </w:r>
    </w:p>
    <w:p w:rsidR="00E056A9" w:rsidRDefault="00E056A9" w:rsidP="00E056A9">
      <w:pPr>
        <w:pStyle w:val="a3"/>
        <w:rPr>
          <w:kern w:val="0"/>
        </w:rPr>
      </w:pPr>
      <w:r>
        <w:rPr>
          <w:kern w:val="0"/>
        </w:rPr>
        <w:t xml:space="preserve">Full Text: </w:t>
      </w:r>
      <w:r w:rsidRPr="00F10C4C">
        <w:rPr>
          <w:kern w:val="0"/>
        </w:rPr>
        <w:t xml:space="preserve">2014\Asi Pac J Can Pre15, </w:t>
      </w:r>
      <w:r>
        <w:rPr>
          <w:kern w:val="0"/>
          <w:szCs w:val="24"/>
        </w:rPr>
        <w:t>3247</w:t>
      </w:r>
      <w:r w:rsidRPr="00F10C4C">
        <w:rPr>
          <w:kern w:val="0"/>
        </w:rPr>
        <w:t>.pdf</w:t>
      </w:r>
    </w:p>
    <w:p w:rsidR="00E056A9" w:rsidRDefault="00E056A9" w:rsidP="00E056A9">
      <w:pPr>
        <w:pStyle w:val="a3"/>
        <w:rPr>
          <w:kern w:val="0"/>
          <w:szCs w:val="24"/>
        </w:rPr>
      </w:pPr>
      <w:r>
        <w:rPr>
          <w:kern w:val="0"/>
          <w:szCs w:val="24"/>
        </w:rPr>
        <w:t>Abstract: Background: Genetic factors have been shown to play an important role in the development of cancers. However, individual studies may fail to completely demonstrate complicated genetic relationships because of small sample size</w:t>
      </w:r>
      <w:r w:rsidR="00A37C1D">
        <w:rPr>
          <w:kern w:val="0"/>
          <w:szCs w:val="24"/>
        </w:rPr>
        <w:t>. The</w:t>
      </w:r>
      <w:r>
        <w:rPr>
          <w:kern w:val="0"/>
          <w:szCs w:val="24"/>
        </w:rPr>
        <w:t>refore, we performed a meta-analysis to evaluate the association of E-selectin Ser128Arg (S128R) with cancer risk. Materials and Methods: A literature search in PubMed, Embase, Web of Science, Science Direct, SpringerLink, EBSCO, Wanfang, and Chinese National Knowledge Infrastructure databases was carried out to identify studies of the association between E-selectin S128R polymorphism and cancer risk</w:t>
      </w:r>
      <w:r w:rsidR="00A37C1D">
        <w:rPr>
          <w:kern w:val="0"/>
          <w:szCs w:val="24"/>
        </w:rPr>
        <w:t>. The</w:t>
      </w:r>
      <w:r>
        <w:rPr>
          <w:kern w:val="0"/>
          <w:szCs w:val="24"/>
        </w:rPr>
        <w:t xml:space="preserve"> odds ratio (OR) with 95% confidence intervals (95% CIs) were used to assess the strength of association. Results: A total of eight studies involving 1,675 cancer cases and 2,285 controls were included in the meta-analysis. In overall populations, S128R polymorphism seemed to be associated with cancer risk (Arg allele vs Ser allele: OR=1.65, 95% CI = 1.33-2.04, p&lt;0.01; Arg/Arg+Arg/Ser vs Ser/Ser: OR=1.87, 95% CI = 1.48-2.36, p&lt;0.01; Arg/Ser vs Ser/Ser: OR=1.80, 95% CI = 1.51-2.14, p&lt;0.01). Similarly, subgroup analysis by ethnicity and source of control also revealed that this polymorphism was related to cancer risk. Conclusions: Our meta-analysis revealed that there was association between the E-selectin S128R polymorphism and the risk of cancer. Further large and well-designed studies are needed to confirm this association.</w:t>
      </w:r>
    </w:p>
    <w:p w:rsidR="00E056A9" w:rsidRDefault="00E056A9" w:rsidP="00E056A9">
      <w:pPr>
        <w:pStyle w:val="a3"/>
        <w:rPr>
          <w:kern w:val="0"/>
          <w:szCs w:val="24"/>
        </w:rPr>
      </w:pPr>
      <w:r>
        <w:rPr>
          <w:kern w:val="0"/>
          <w:szCs w:val="24"/>
        </w:rPr>
        <w:t>Keywords: Analysis, Association, Cancer, Cancer Risk, Carcinoma Cells, Cell-Adhesion, Chinese, Colorectal-Cancer, Confidence, Confidence Intervals, Control, Databases, Development, E-Selectin, Ethnicity, Expression, Gastric-Cancer, Gene Polymorphism, Genetic, Intercellular-Adhesion Molecule-1, Intervals, Knowledge, Literature, Literature Search, Malignancies, Materials, Meta Analysis, Meta-Analysis, Metaanalysis, Metastasis, Methods, Odds Ratio, Polymorphism, Populations, Pubmed, Results, Risk, Role, S128R, Sample Size, Science, Size, Small, Source, Strength, Susceptibility, Web Of Science</w:t>
      </w:r>
    </w:p>
    <w:p w:rsidR="001C5F0D" w:rsidRDefault="001C5F0D" w:rsidP="001C5F0D">
      <w:pPr>
        <w:pStyle w:val="a3"/>
        <w:rPr>
          <w:kern w:val="0"/>
        </w:rPr>
      </w:pPr>
      <w:r>
        <w:rPr>
          <w:kern w:val="0"/>
        </w:rPr>
        <w:t xml:space="preserve">? Huai, J.P., Ding, J., Ye, X.H. and Chen, Y.P. (2014), Inflammatory bowel disease and risk of cholangiocarcinoma: evidence from a meta-analysis of population-based studies. </w:t>
      </w:r>
      <w:r>
        <w:rPr>
          <w:i/>
          <w:iCs/>
          <w:kern w:val="0"/>
        </w:rPr>
        <w:t>Asian Pacific Journal of Cancer Prevention</w:t>
      </w:r>
      <w:r>
        <w:rPr>
          <w:kern w:val="0"/>
        </w:rPr>
        <w:t xml:space="preserve">, </w:t>
      </w:r>
      <w:r>
        <w:rPr>
          <w:b/>
          <w:bCs/>
          <w:kern w:val="0"/>
        </w:rPr>
        <w:t>15</w:t>
      </w:r>
      <w:r>
        <w:rPr>
          <w:kern w:val="0"/>
        </w:rPr>
        <w:t xml:space="preserve"> (8), 3477-3482.</w:t>
      </w:r>
    </w:p>
    <w:p w:rsidR="001C5F0D" w:rsidRDefault="001C5F0D" w:rsidP="001C5F0D">
      <w:pPr>
        <w:pStyle w:val="a3"/>
        <w:rPr>
          <w:kern w:val="0"/>
        </w:rPr>
      </w:pPr>
      <w:r>
        <w:rPr>
          <w:kern w:val="0"/>
        </w:rPr>
        <w:t>Full Text: 2014\Asi Pac J Can Pre15, 3477.pdf</w:t>
      </w:r>
    </w:p>
    <w:p w:rsidR="001C5F0D" w:rsidRDefault="001C5F0D" w:rsidP="001C5F0D">
      <w:pPr>
        <w:pStyle w:val="a3"/>
        <w:rPr>
          <w:kern w:val="0"/>
        </w:rPr>
      </w:pPr>
      <w:r>
        <w:rPr>
          <w:kern w:val="0"/>
        </w:rPr>
        <w:t xml:space="preserve">Abstract: Objective: Patients with inflammatory bowel disease (IBD) have an increased risk of extra-intestinal cancer, whereas its impact on cholangiocarcinoma (CC) remains unknown. The aim of this study was to obtain a reliable estimate of the risk of CC in IBD patients through a meta-analysis of clinical observational studies. Methods: Relevant studies were retrieved by searching PUBMED, EMBASE and </w:t>
      </w:r>
      <w:r>
        <w:rPr>
          <w:kern w:val="0"/>
        </w:rPr>
        <w:lastRenderedPageBreak/>
        <w:t>Web of Science Databases up to Dec 2013. Four population-based case-control and two cohort studies with IBD were identified. Summary relative risk (RR) and its corresponding 95% confidence interval (CI) were calculated using a random-effects model. Potential sources of heterogeneity were detected using subgroup analyses. Results: The pooled risk estimate indicated IBD patients were at increased risk of CC (RR = 2.63, 95% CI = 1.47-4.72). Moreover, the increased risk of CC was also associated with Crohn’s disease (RR = 2.69, 95% CI = 1.59-4.55) and ulcerative colitis (RR = 3.40, 95% CI = 2.50-4.62). In addition, site-specific analyses revealed that IBD patients had an increased risk of intrahepatic CC (ICC) (RR = 2.61, 95% CI = 1.72-3.95) and extrahepatic CC (ECC) (RR = 1.47, 95% CI = 1.10-1.97). Conclusions: This study suggests the risk of CC is significantly increased among IBD patients, especially in ICC cases. Further studies are warranted to enable definite conclusions to be drawn.</w:t>
      </w:r>
    </w:p>
    <w:p w:rsidR="001C5F0D" w:rsidRDefault="001C5F0D" w:rsidP="001C5F0D">
      <w:pPr>
        <w:pStyle w:val="a3"/>
        <w:rPr>
          <w:kern w:val="0"/>
        </w:rPr>
      </w:pPr>
      <w:r>
        <w:rPr>
          <w:kern w:val="0"/>
        </w:rPr>
        <w:t>Keywords: Analyses, Bias, Bowel, Cancer, Case-Control, Cholangiocarcinoma, Clinical, Cohort, Colitis, Confidence, Crohn’S Disease, Databases, Disease, Embase, Evidence, Hepatitis, Heterogeneity, Ibd, Impact, Infection, Inflammatory Bowel Disease, Interval, Intrahepatic Cholangiocarcinoma, Meta Analysis, Meta-Analysis, Metaanalysis, Methods, Model, Northeast Thailand, Observational, Observational Studies, Patients, Population Based, Population-Based, Primary Sclerosing Cholangitis, Random Effects Model, Relative Risk, Results, Risk, Science, Site Specific, Site-Specific, Sources, Ulcerative Colitis, United-States, Web Of Science</w:t>
      </w:r>
    </w:p>
    <w:p w:rsidR="001C5F0D" w:rsidRDefault="001C5F0D" w:rsidP="001C5F0D">
      <w:pPr>
        <w:pStyle w:val="a3"/>
        <w:rPr>
          <w:kern w:val="0"/>
        </w:rPr>
      </w:pPr>
      <w:r>
        <w:rPr>
          <w:kern w:val="0"/>
        </w:rPr>
        <w:t xml:space="preserve">? Chen, X.J., Huang, Y.D., Li, N., Chen, M., Liu, F., Pu, D. and Zhou, T.Y. (2014), Correlations between serum IL33 and tumor development: A meta-analysis. </w:t>
      </w:r>
      <w:r>
        <w:rPr>
          <w:i/>
          <w:iCs/>
          <w:kern w:val="0"/>
        </w:rPr>
        <w:t>Asian Pacific Journal of Cancer Prevention</w:t>
      </w:r>
      <w:r>
        <w:rPr>
          <w:kern w:val="0"/>
        </w:rPr>
        <w:t xml:space="preserve">, </w:t>
      </w:r>
      <w:r>
        <w:rPr>
          <w:b/>
          <w:bCs/>
          <w:kern w:val="0"/>
        </w:rPr>
        <w:t>15</w:t>
      </w:r>
      <w:r>
        <w:rPr>
          <w:kern w:val="0"/>
        </w:rPr>
        <w:t xml:space="preserve"> (8), 3503-3505.</w:t>
      </w:r>
    </w:p>
    <w:p w:rsidR="001C5F0D" w:rsidRDefault="001C5F0D" w:rsidP="001C5F0D">
      <w:pPr>
        <w:pStyle w:val="a3"/>
        <w:rPr>
          <w:kern w:val="0"/>
        </w:rPr>
      </w:pPr>
      <w:r>
        <w:rPr>
          <w:kern w:val="0"/>
        </w:rPr>
        <w:t>Full Text: 2014\Asi Pac J Can Pre15, 3503.pdf</w:t>
      </w:r>
    </w:p>
    <w:p w:rsidR="001C5F0D" w:rsidRDefault="001C5F0D" w:rsidP="001C5F0D">
      <w:pPr>
        <w:pStyle w:val="a3"/>
        <w:rPr>
          <w:kern w:val="0"/>
        </w:rPr>
      </w:pPr>
      <w:r>
        <w:rPr>
          <w:kern w:val="0"/>
        </w:rPr>
        <w:t>Abstract: Background: Interleukin-33 (IL-33) has recently been implicated in tumor development. Methods: Data was obtained from PubMed, EMBASE, Clinical trial, Cochrane Library, Web of Science, CNKI and Wanfang databases. After quality assessment and data extraction, a meta-analysis was performed using Review Manager 5.2 software. Results: There were eight documents included in this meta-analysis. The results showed IL33 levels to be higher in tumor patients than that in health people, but no correlations tumor stage, metastasis and survival time of tumor patients were evident. Conclusion: IL33 may be useful as an alarm factor in tumor detection and prognosis.</w:t>
      </w:r>
    </w:p>
    <w:p w:rsidR="001C5F0D" w:rsidRDefault="001C5F0D" w:rsidP="001C5F0D">
      <w:pPr>
        <w:pStyle w:val="a3"/>
        <w:rPr>
          <w:kern w:val="0"/>
        </w:rPr>
      </w:pPr>
      <w:r>
        <w:rPr>
          <w:kern w:val="0"/>
        </w:rPr>
        <w:t xml:space="preserve">Keywords: Assessment, Breast-Cancer, Correlations, Cytokines, Data, Databases, Development, Documents, Embase, Extraction, Health, Hepatocellular-Carcinoma, Il-33, Il33, Immunity, Interleukin-33, Lung-Cancer, Meta Analysis, Meta-Analysis, Metaanalysis, Metastasis, Methods, Patients, Prognosis, Protein, Pubmed, Quality, Responses, Results, Review, Science, Software, St2, Survival, Trial, Tumor, Web Of </w:t>
      </w:r>
      <w:r>
        <w:rPr>
          <w:kern w:val="0"/>
        </w:rPr>
        <w:lastRenderedPageBreak/>
        <w:t>Science</w:t>
      </w:r>
    </w:p>
    <w:p w:rsidR="001C5F0D" w:rsidRDefault="001C5F0D" w:rsidP="001C5F0D">
      <w:pPr>
        <w:pStyle w:val="a3"/>
        <w:rPr>
          <w:kern w:val="0"/>
        </w:rPr>
      </w:pPr>
      <w:r>
        <w:rPr>
          <w:kern w:val="0"/>
        </w:rPr>
        <w:t xml:space="preserve">? Bayram, S. (2014), Association between RASSF1A Ala133Ser polymorphism and cancer susceptibility: A meta-analysis involving 8,892 subjects. </w:t>
      </w:r>
      <w:r>
        <w:rPr>
          <w:i/>
          <w:iCs/>
          <w:kern w:val="0"/>
        </w:rPr>
        <w:t>Asian Pacific Journal of Cancer Prevention</w:t>
      </w:r>
      <w:r>
        <w:rPr>
          <w:kern w:val="0"/>
        </w:rPr>
        <w:t xml:space="preserve">, </w:t>
      </w:r>
      <w:r>
        <w:rPr>
          <w:b/>
          <w:bCs/>
          <w:kern w:val="0"/>
        </w:rPr>
        <w:t>15</w:t>
      </w:r>
      <w:r>
        <w:rPr>
          <w:kern w:val="0"/>
        </w:rPr>
        <w:t xml:space="preserve"> (8), 3691-3698.</w:t>
      </w:r>
    </w:p>
    <w:p w:rsidR="001C5F0D" w:rsidRDefault="001C5F0D" w:rsidP="001C5F0D">
      <w:pPr>
        <w:pStyle w:val="a3"/>
        <w:rPr>
          <w:kern w:val="0"/>
        </w:rPr>
      </w:pPr>
      <w:r>
        <w:rPr>
          <w:kern w:val="0"/>
        </w:rPr>
        <w:t>Full Text: 2014\Asi Pac J Can Pre15, 3691.pdf</w:t>
      </w:r>
    </w:p>
    <w:p w:rsidR="001C5F0D" w:rsidRDefault="001C5F0D" w:rsidP="001C5F0D">
      <w:pPr>
        <w:pStyle w:val="a3"/>
        <w:rPr>
          <w:kern w:val="0"/>
        </w:rPr>
      </w:pPr>
      <w:r>
        <w:rPr>
          <w:kern w:val="0"/>
        </w:rPr>
        <w:t>Abstract: Background: Published studies on the association between the Ras Association Domain Family 1 isoform A (RASSF1A) Ala133Ser polymorphism and cancer susceptibility have yielded conflicting results. Thus, a meta-analysis was here performed to assess the possible association. Materials and Methods: All eligible case-control studies published up to November 2013 on the association between RASSF1A Ala133Ser polymorphism and cancer susceptibility were identified by searching PubMed, Web of Science, Science Direct and hand search. Bothfixed-effect and random-effect models were used to calculate pooled odds ratios (ORs) with 95% confidence intervals (CIs) by using the Comprehensive Meta-Analysis software version 2.2. Results: A total of 10 studies including 4,572 cancer cases and 4,320 controls were included in the meta-analysis. Overall, significantly increased cancer risk was associated with the variant Ser133 when all studies were pooled (Ser vs Ala: OR=1.51, 95% CI=1.08-2.12, P-heterogeneity &lt;= 0.001; Ser/Ser+Ala/Ser vs Ala/Ala: OR=1.55, 95% CI=1.08-2.22, P-heterogeneity &lt;= 0.001). Moreover, in subgroup analyses by cancer types, a significant association between RASSF1A Ala133Ser polymorphism and lung cancer risk was found (Ser vs Ala: OR=2.27, 95% CI=1.29-4.02, Pheterogeneity=0.61; Ser/Ser+Ala/Ser vs Ala/Ala: OR=2.42, 95% CI=1.33-4.42, P-heterogeneity=0.75). In addition, in subgroup analyses by ethnicity, it was found that the RASSF1A Ala133Ser polymorphism was associated with overall cancer risk in Asians (Ser vs Ala: OR=1.37, 95% CI=1.06-1.77, P-heterogeneity=0.06) and Caucasians (Ser/Ser+Ala/Ser vs Ala/Ala: OR=2.21, 95% CI=1.01-4.82, P-heterogeneity &lt;= 0.001). Conclusions: This meta-analysis suggests, for the first time, that RASSF1A Ala133Ser polymorphism may contribute to cancer susceptibility, especially for lung cancer. Besides, additional well-designed studies with larger sample size focusing on different ethnicities and cancer types are needed to confirm these findings.</w:t>
      </w:r>
    </w:p>
    <w:p w:rsidR="001C5F0D" w:rsidRDefault="001C5F0D" w:rsidP="001C5F0D">
      <w:pPr>
        <w:pStyle w:val="a3"/>
        <w:rPr>
          <w:kern w:val="0"/>
        </w:rPr>
      </w:pPr>
      <w:r>
        <w:rPr>
          <w:kern w:val="0"/>
        </w:rPr>
        <w:t>Keywords: A133s, Analyses, Asians, Association, Breast, Cancer, Cancer Risk, Cancer Susceptibility, Case-Control, Case-Control Studies, China, Codon-133, Confidence, Confidence Intervals, Ethnicity, Family, First, Gene, Hepatocellular-Carcinoma, Intervals, Lung, Lung Cancer, Materials, Meta Analysis, Meta-Analysis, Metaanalysis, Methods, Models, Polymorphism, Progression, Pubmed, Rassf1a, Rassf1a Ala133ser Polymorphism, Results, Risk, Sample Size, Science, Size, Software, Susceptibility, Tumor-Suppressor, Turkish Population, Version, Web Of Science</w:t>
      </w:r>
    </w:p>
    <w:p w:rsidR="001C5F0D" w:rsidRDefault="001C5F0D" w:rsidP="001C5F0D">
      <w:pPr>
        <w:pStyle w:val="a3"/>
        <w:rPr>
          <w:kern w:val="0"/>
        </w:rPr>
      </w:pPr>
      <w:r>
        <w:rPr>
          <w:kern w:val="0"/>
        </w:rPr>
        <w:lastRenderedPageBreak/>
        <w:t xml:space="preserve">? Yang, J.Z., Ji, A.F., Wang, J.S., Chen, Z.Y. and Wen, S.W. (2014), Association between Ras association domain family 1A promoter methylation and esophageal squamous cell carcinoma: A meta-analysis. </w:t>
      </w:r>
      <w:r>
        <w:rPr>
          <w:i/>
          <w:iCs/>
          <w:kern w:val="0"/>
        </w:rPr>
        <w:t>Asian Pacific Journal of Cancer Prevention</w:t>
      </w:r>
      <w:r>
        <w:rPr>
          <w:kern w:val="0"/>
        </w:rPr>
        <w:t xml:space="preserve">, </w:t>
      </w:r>
      <w:r>
        <w:rPr>
          <w:b/>
          <w:bCs/>
          <w:kern w:val="0"/>
        </w:rPr>
        <w:t>15</w:t>
      </w:r>
      <w:r>
        <w:rPr>
          <w:kern w:val="0"/>
        </w:rPr>
        <w:t xml:space="preserve"> (9), 3921-3925.</w:t>
      </w:r>
    </w:p>
    <w:p w:rsidR="001C5F0D" w:rsidRDefault="001C5F0D" w:rsidP="001C5F0D">
      <w:pPr>
        <w:pStyle w:val="a3"/>
        <w:rPr>
          <w:kern w:val="0"/>
        </w:rPr>
      </w:pPr>
      <w:r>
        <w:rPr>
          <w:kern w:val="0"/>
        </w:rPr>
        <w:t>Full Text: 2014\Asi Pac J Can Pre15, 3921.pdf</w:t>
      </w:r>
    </w:p>
    <w:p w:rsidR="001C5F0D" w:rsidRDefault="001C5F0D" w:rsidP="001C5F0D">
      <w:pPr>
        <w:pStyle w:val="a3"/>
        <w:rPr>
          <w:kern w:val="0"/>
        </w:rPr>
      </w:pPr>
      <w:r>
        <w:rPr>
          <w:kern w:val="0"/>
        </w:rPr>
        <w:t>Abstract: RASSF1A has been reported to be a candidate tumor suppressor in esophageal squamous cell carcinoma (ESCC). However, the association between RASSF1A promoter methylation and ESCC remains unclear. Eligible studies were identified through searching PubMed, Medline, Web of Science, and the China National Knowledge Infrastucture database. Studies were pooled and odds ratios (ORs) with corresponding confidence intervals (CIs) were calculated. Funnel plots were also performed to evaluate publication bias. Twelve studies involving 859 cases and 675 controls were included in this meta-analysis. A significant association was observed between RASSF1A methylation and ESCC overall (OR = 11.7, 95% CI: 6.59-20.9, z=8.36, P&lt;0.00001). Subgroup analysis showed that the OR for heterogeneous tissues was 5.35 (95% CI = 2.95-9.71) while for autologous tissues it was 16.0 (8.31-30.96). For patient sample size, the OR for the &lt;50 subgroup was 9.92 (95% CI = 2.88-34.2) and for the 50 case group was 13.1 (95% CI = 6.59-25.91). The OR for a relationship between RASSF1A methylation and TNM stages was 0.27 (95% CI=0.10-0.77), whereas there were no significant differences in RASSF1A methylation in relation to gender and differentiation among ESCC cases. This meta-analysis suggests a significant association between RASSF1A methylation and ESCC.</w:t>
      </w:r>
    </w:p>
    <w:p w:rsidR="001C5F0D" w:rsidRDefault="001C5F0D" w:rsidP="001C5F0D">
      <w:pPr>
        <w:pStyle w:val="a3"/>
        <w:rPr>
          <w:kern w:val="0"/>
        </w:rPr>
      </w:pPr>
      <w:r>
        <w:rPr>
          <w:kern w:val="0"/>
        </w:rPr>
        <w:t>Keywords: Analysis, Association, Bias, Carcinoma, Cell, China, Confidence, Confidence Intervals, Database, Differentiation, Esophageal Squamous Cell Carcinoma, Family, Gender, Hmlh1, Hypermethylation, Intervals, Knowledge, Medline, Meta Analysis, Meta-Analysis, Metaanalysis, Methylation, Mgmt, Ovarian-Cancer, P16, Protein Expression, Publication, Publication Bias, Pubmed, Ras Associations Domain Family 1a, Rassf1a, Sample Size, Science, Size, Squamous Cell Carcinoma, Tumor, Tumor-Suppressor Gene, Web Of Science</w:t>
      </w:r>
    </w:p>
    <w:p w:rsidR="001C5F0D" w:rsidRDefault="001C5F0D" w:rsidP="001C5F0D">
      <w:pPr>
        <w:pStyle w:val="a3"/>
        <w:rPr>
          <w:kern w:val="0"/>
        </w:rPr>
      </w:pPr>
      <w:r>
        <w:rPr>
          <w:kern w:val="0"/>
        </w:rPr>
        <w:t xml:space="preserve">? Wang, X., Ling, L., Su, H., Cheng, J. and Jin, L. (2014), Aberrant methylation of genes in sputum samples as diagnostic biomarkers for non-small cell lung cancer: A meta-analysis. </w:t>
      </w:r>
      <w:r>
        <w:rPr>
          <w:i/>
          <w:iCs/>
          <w:kern w:val="0"/>
        </w:rPr>
        <w:t>Asian Pacific Journal of Cancer Prevention</w:t>
      </w:r>
      <w:r>
        <w:rPr>
          <w:kern w:val="0"/>
        </w:rPr>
        <w:t xml:space="preserve">, </w:t>
      </w:r>
      <w:r>
        <w:rPr>
          <w:b/>
          <w:bCs/>
          <w:kern w:val="0"/>
        </w:rPr>
        <w:t>15</w:t>
      </w:r>
      <w:r>
        <w:rPr>
          <w:kern w:val="0"/>
        </w:rPr>
        <w:t xml:space="preserve"> (11), 4467-4474.</w:t>
      </w:r>
    </w:p>
    <w:p w:rsidR="001C5F0D" w:rsidRDefault="001C5F0D" w:rsidP="001C5F0D">
      <w:pPr>
        <w:pStyle w:val="a3"/>
        <w:rPr>
          <w:kern w:val="0"/>
        </w:rPr>
      </w:pPr>
      <w:r>
        <w:rPr>
          <w:kern w:val="0"/>
        </w:rPr>
        <w:t>Full Text: 2014\Asi Pac J Can Pre15, 4467.pdf</w:t>
      </w:r>
    </w:p>
    <w:p w:rsidR="001C5F0D" w:rsidRDefault="001C5F0D" w:rsidP="001C5F0D">
      <w:pPr>
        <w:pStyle w:val="a3"/>
        <w:rPr>
          <w:kern w:val="0"/>
        </w:rPr>
      </w:pPr>
      <w:r>
        <w:rPr>
          <w:kern w:val="0"/>
        </w:rPr>
        <w:t xml:space="preserve">Abstract: Background: We aimed to comprehensively review the evidence for using sputum DNA to detect non-small cell lung cancer (NSCLC). Materials and Methods: We searched PubMed, Science Direct, Web of Science, Chinese Biological Medicine (CBM), Chinese National Knowledge Infrastructure (CNKI), Wanfang, Vip Databases and Google Scholar from 2003 to 2013. The meta-analysis was carried out </w:t>
      </w:r>
      <w:r>
        <w:rPr>
          <w:kern w:val="0"/>
        </w:rPr>
        <w:lastRenderedPageBreak/>
        <w:t>using a random-effect model with sensitivity, specificity, diagnostic odd ratios (DOR), summary receiver operating characteristic curves (ROC curves), area under the curve (AUC), and 95% confidence intervals (CI) as effect measurements. Results: There were twenty-two studies meeting the inclusion criteria for the meta-analysis. Combined sensitivity and specificity were 0.62 (95% CI: 0.59-0.65) and 0.73 (95% CI: 0.70-0.75), respectively. The DOR was 10.3 (95% CI: 5.88-18.1) and the AUC was 0.78. Conclusions: The overall accuracy of the test was currently not strong enough for the detection of NSCLC for clinical application. Dscovery and evaluation of additional biomarkers with improved sensitivity and specificity from studies rated high quality deserve further attention.</w:t>
      </w:r>
    </w:p>
    <w:p w:rsidR="001C5F0D" w:rsidRDefault="001C5F0D" w:rsidP="001C5F0D">
      <w:pPr>
        <w:pStyle w:val="a3"/>
        <w:rPr>
          <w:kern w:val="0"/>
        </w:rPr>
      </w:pPr>
      <w:r>
        <w:rPr>
          <w:kern w:val="0"/>
        </w:rPr>
        <w:t>Keywords: Accuracy, Application, Attention, Auc, Biomarkers, Cancer, Cell, Chinese, Clinical, Confidence, Confidence Intervals, Criteria, Databases, Diagnostic, Dna, Dna Methylation, Evaluation, Evidence, Genes, Google, Google Scholar, Hypermethylation, Intervals, Knowledge, Lung, Lung Cancer, Markers, Materials, Medicine, Meta Analysis, Meta-Analysis, Metaanalysis, Methods, Methylation, Model, Nsclc, P16 Promoter Methylation, Pubmed, Quality, Results, Review, Risk, Roc, Science, Sensitivity, Smokers, Specificity, Sputum, Tissues, Tumor, Web Of Science</w:t>
      </w:r>
    </w:p>
    <w:p w:rsidR="001C5F0D" w:rsidRDefault="001C5F0D" w:rsidP="001C5F0D">
      <w:pPr>
        <w:pStyle w:val="a3"/>
        <w:rPr>
          <w:kern w:val="0"/>
        </w:rPr>
      </w:pPr>
      <w:r>
        <w:rPr>
          <w:kern w:val="0"/>
        </w:rPr>
        <w:t xml:space="preserve">? Zhang, L., Song, F.F., Huang, Y.B., Zheng, H., Song, F.J. and Chen, K.X. (2014), Association between the (GT)n polymorphism of the HO-1 gene promoter region and cancer risk: A meta-analysis. </w:t>
      </w:r>
      <w:r>
        <w:rPr>
          <w:i/>
          <w:iCs/>
          <w:kern w:val="0"/>
        </w:rPr>
        <w:t>Asian Pacific Journal of Cancer Prevention</w:t>
      </w:r>
      <w:r>
        <w:rPr>
          <w:kern w:val="0"/>
        </w:rPr>
        <w:t xml:space="preserve">, </w:t>
      </w:r>
      <w:r>
        <w:rPr>
          <w:b/>
          <w:bCs/>
          <w:kern w:val="0"/>
        </w:rPr>
        <w:t>15</w:t>
      </w:r>
      <w:r>
        <w:rPr>
          <w:kern w:val="0"/>
        </w:rPr>
        <w:t xml:space="preserve"> (11), 4617-4622.</w:t>
      </w:r>
    </w:p>
    <w:p w:rsidR="001C5F0D" w:rsidRDefault="001C5F0D" w:rsidP="001C5F0D">
      <w:pPr>
        <w:pStyle w:val="a3"/>
        <w:rPr>
          <w:kern w:val="0"/>
        </w:rPr>
      </w:pPr>
      <w:r>
        <w:rPr>
          <w:kern w:val="0"/>
        </w:rPr>
        <w:t>Full Text: 2014\Asi Pac J Can Pre15, 4697.pdf</w:t>
      </w:r>
    </w:p>
    <w:p w:rsidR="001C5F0D" w:rsidRDefault="001C5F0D" w:rsidP="001C5F0D">
      <w:pPr>
        <w:pStyle w:val="a3"/>
        <w:rPr>
          <w:kern w:val="0"/>
        </w:rPr>
      </w:pPr>
      <w:r>
        <w:rPr>
          <w:kern w:val="0"/>
        </w:rPr>
        <w:t>Abstract: Background: Several studies have previously focused on associations between the (GT) n repeat polymorphism of the heme oxygenase-1 (HO-1) gene promoter region and risk of cancers, but results are complex. We conducted repeat polymorphism and cancer susceptibility. Materials and Methods: Published literature was retrieved from the PubMed/ MEDLINE, EMBASE and ISI Web of Science databases before November 2013. For all or random-effects models according to heterogeneity. Subgroup analysis was conducted according to ethnicity and histopathology. Results: results showed there was no association between HO-1 (GT) n repeat polymorphism and the cancer risk both at cell carcinoma in persons carrying the LL genotype and the LL+ LS genotype as compared with those carrying Conclusions: The LL genotype and L-allele carrying genotypes (LL+ LS) of HO-1 (GT) n repeat polymorphism are potential genetic validations. Keywords.</w:t>
      </w:r>
    </w:p>
    <w:p w:rsidR="001C5F0D" w:rsidRDefault="001C5F0D" w:rsidP="001C5F0D">
      <w:pPr>
        <w:pStyle w:val="a3"/>
        <w:rPr>
          <w:kern w:val="0"/>
        </w:rPr>
      </w:pPr>
      <w:r>
        <w:rPr>
          <w:kern w:val="0"/>
        </w:rPr>
        <w:t xml:space="preserve">Keywords: Analysis, Association, Breast-Cancer, Cancer, Cancer Risk, Cancer Susceptibility, Carcinoma, Cell, Chinese Population, Colorectal-Cancer, Databases, Disease, Embase, Ethnicity, Gene, Genetic, Heme Oxygenase-1, Heme Oxygenase-1, Heterogeneity, Histopathology, ISI, ISI Web Of Science, ISI Web Of Science </w:t>
      </w:r>
      <w:r>
        <w:rPr>
          <w:kern w:val="0"/>
        </w:rPr>
        <w:lastRenderedPageBreak/>
        <w:t>Databases, Keywords, Literature, Materials, Medline, Meta-Analysis, Metaanalysis, Methods, Microsatellite Polymorphism, Models, Pancreatic-Cancer, Polymorphism, Potential, Region, Results, Risk, Science, Squamous-Cell Carcinoma, Susceptibility, Tumor, Web Of Science, Web Of Science Databases</w:t>
      </w:r>
    </w:p>
    <w:p w:rsidR="001C5F0D" w:rsidRDefault="001C5F0D" w:rsidP="001C5F0D">
      <w:pPr>
        <w:pStyle w:val="a3"/>
        <w:rPr>
          <w:kern w:val="0"/>
        </w:rPr>
      </w:pPr>
      <w:r>
        <w:rPr>
          <w:kern w:val="0"/>
        </w:rPr>
        <w:t xml:space="preserve">? Mo, C.J., Peng, Q.L., He, Y., Wang, J., Xie, L., Li, T.J., Li, S. and Qin, X. (2014), Positive association between IL-16 rs11556218 T/G polymorphism and cancer risk: A meta-analysis. </w:t>
      </w:r>
      <w:r>
        <w:rPr>
          <w:i/>
          <w:iCs/>
          <w:kern w:val="0"/>
        </w:rPr>
        <w:t>Asian Pacific Journal of Cancer Prevention</w:t>
      </w:r>
      <w:r>
        <w:rPr>
          <w:kern w:val="0"/>
        </w:rPr>
        <w:t xml:space="preserve">, </w:t>
      </w:r>
      <w:r>
        <w:rPr>
          <w:b/>
          <w:bCs/>
          <w:kern w:val="0"/>
        </w:rPr>
        <w:t>15</w:t>
      </w:r>
      <w:r>
        <w:rPr>
          <w:kern w:val="0"/>
        </w:rPr>
        <w:t xml:space="preserve"> (11), 4697-4703.</w:t>
      </w:r>
    </w:p>
    <w:p w:rsidR="001C5F0D" w:rsidRDefault="001C5F0D" w:rsidP="001C5F0D">
      <w:pPr>
        <w:pStyle w:val="a3"/>
        <w:rPr>
          <w:kern w:val="0"/>
        </w:rPr>
      </w:pPr>
      <w:r>
        <w:rPr>
          <w:kern w:val="0"/>
        </w:rPr>
        <w:t>Full Text: 2014\Asi Pac J Can Pre15, 4697.pdf</w:t>
      </w:r>
    </w:p>
    <w:p w:rsidR="001C5F0D" w:rsidRDefault="001C5F0D" w:rsidP="001C5F0D">
      <w:pPr>
        <w:pStyle w:val="a3"/>
        <w:rPr>
          <w:kern w:val="0"/>
        </w:rPr>
      </w:pPr>
      <w:r>
        <w:rPr>
          <w:kern w:val="0"/>
        </w:rPr>
        <w:t>Abstract: Background: Interleukin-16 (IL-16) is a multifunctional cytokine which plays a key role in inflammatory and autoimmune diseases as well as in cancer. Genetic polymorphisms of IL-16 have been implicated in susceptibility to cancer. However, associations remain inconclusive. The present meta-analysis was therefore carried out to establish a more conclusive association of IL-16 polymorphisms with cancer risk. Materials and Methods: Relevant studies were searched through the PubMed, Embase, Web of Science, Google Scholar and Wan fang electronic databases updated in October 2013. Odds ratios (OR) and 95% confidence intervals (95% CI) were used to assess the association between IL-16 polymorphisms and cancer risk. Results: Eight eligible studies (rs4778889 T/C: 8, rs11556218 T/G: 7, rs4072111 C/T: 6) that met our selection criteria were included. The meta-analysis indicated that rs11556218 T/G was associated with a significant increased risk of cancer (G vs. T, OR=1.321, 95% CI=1.142-1.528, P&lt;0.001; TG vs. TT, OR=1.665, 95% CI=1.448-1.915, P&lt;0.001; GG+TG vs. TT, OR=1.622, 95% CI=1.416-1.858, P&lt;0.001), as well as nasopharyngeal carcinoma and colorectal cancer. Furthermore, in the subgroup of Chinese, significant associations were found between rs11556218 polymorphism and cancer risk. There was no statistically significant association between the other two variants (rs4778889, rs4072111) and risk of cancer. Conclusions: This meta-analysis suggests that the IL-16 rs11556218 polymorphism is associated with increased cancer risk. Large well-designed studies involving various cancer types and different populations are now needed.</w:t>
      </w:r>
    </w:p>
    <w:p w:rsidR="001C5F0D" w:rsidRDefault="001C5F0D" w:rsidP="001C5F0D">
      <w:pPr>
        <w:pStyle w:val="a3"/>
        <w:rPr>
          <w:kern w:val="0"/>
        </w:rPr>
      </w:pPr>
      <w:r>
        <w:rPr>
          <w:kern w:val="0"/>
        </w:rPr>
        <w:t>Keywords: Association, Autoimmune Diseases, Cancer, Cancer Risk, Carcinoma, Cell Carcinoma Association, Chinese, Chinese Population, Colorectal Cancer, Colorectal-Cancer, Confidence, Confidence Intervals, Criteria, Cytokine, Databases, Diseases, Gastric-Cancer, Genetic Polymorphisms, Genetic-Polymorphism, Google, Google Scholar, Il-16, Interleukin 16, Interleukin-16, Intervals, Materials, Meta Analysis, Meta-Analysis, Metaanalysis, Methods, Multifunctional, Nasopharyngeal Carcinoma, Polymorphism, Polymorphisms, Populations, Prostate-Cancer, Pubmed, Results, Risk, Role, Rs4778889, Science, Selection, Selection Criteria, Serum-Levels, Susceptibility, Tnf-Alpha, Web Of Science</w:t>
      </w:r>
    </w:p>
    <w:p w:rsidR="008F1AE9" w:rsidRDefault="008F1AE9" w:rsidP="008F1AE9">
      <w:pPr>
        <w:pStyle w:val="a3"/>
        <w:rPr>
          <w:kern w:val="0"/>
        </w:rPr>
      </w:pPr>
      <w:r>
        <w:rPr>
          <w:rFonts w:hint="eastAsia"/>
          <w:kern w:val="0"/>
        </w:rPr>
        <w:t xml:space="preserve">? </w:t>
      </w:r>
      <w:r>
        <w:rPr>
          <w:kern w:val="0"/>
        </w:rPr>
        <w:t xml:space="preserve">Ghojazadeh, M., Naghavi-Behzad, M., Nasrolah-Zadeh, R., Bayat-Khajeh, P., Piri, R., </w:t>
      </w:r>
      <w:r>
        <w:rPr>
          <w:kern w:val="0"/>
        </w:rPr>
        <w:lastRenderedPageBreak/>
        <w:t xml:space="preserve">Mirnia, K. and Azami-Aghdash, S. (2014), Knowledge production status of iranian researchers in the gastric cancer area: Based on the Medline database. </w:t>
      </w:r>
      <w:r>
        <w:rPr>
          <w:i/>
          <w:iCs/>
          <w:kern w:val="0"/>
        </w:rPr>
        <w:t>Asian Pacific Journal of Cancer Prevention</w:t>
      </w:r>
      <w:r>
        <w:rPr>
          <w:kern w:val="0"/>
        </w:rPr>
        <w:t xml:space="preserve">, </w:t>
      </w:r>
      <w:r>
        <w:rPr>
          <w:b/>
          <w:bCs/>
          <w:kern w:val="0"/>
        </w:rPr>
        <w:t>15</w:t>
      </w:r>
      <w:r>
        <w:rPr>
          <w:kern w:val="0"/>
        </w:rPr>
        <w:t xml:space="preserve"> (12), 5083-5088.</w:t>
      </w:r>
    </w:p>
    <w:p w:rsidR="008F1AE9" w:rsidRDefault="008F1AE9" w:rsidP="008F1AE9">
      <w:pPr>
        <w:pStyle w:val="a3"/>
        <w:rPr>
          <w:kern w:val="0"/>
        </w:rPr>
      </w:pPr>
      <w:r>
        <w:rPr>
          <w:kern w:val="0"/>
        </w:rPr>
        <w:t>Full Text: 2014\Asi Pac J Can Pre15, 5083.pdf</w:t>
      </w:r>
    </w:p>
    <w:p w:rsidR="008F1AE9" w:rsidRDefault="008F1AE9" w:rsidP="008F1AE9">
      <w:pPr>
        <w:pStyle w:val="a3"/>
        <w:rPr>
          <w:kern w:val="0"/>
        </w:rPr>
      </w:pPr>
      <w:r>
        <w:rPr>
          <w:kern w:val="0"/>
        </w:rPr>
        <w:t>Abstract: Background: Scientometrics is a useful method for management of financial and human resources and has been applied many times in medical sciences during recent years. The aim of this study was to investigate the status of science production by Iranian scientists in the gastric cancer field based on the Medline database. Materials and Methods: In this descriptive-cross sectional study Iranian science production concerning gastric cancer during 2000-2011 was investigated based on Medline. After two stages of searching, 121 articles were found, then we reviewed publication date, authors names, journal title, impact factor (IF), and cooperation coefficient between researchers. SPSS. 19 was used for statistical analysis. Results: There was a significant increase in published articles about gastric cancer by Iranian researchers in Medline database during 2006-2011. Mean cooperation coefficient between researchers was 6.14+/-3.29 person per article. Articles of this field were published in 19 countries and 56 journals. Those basex in Thailand, England, and America had the most published Iranian articles. Tehran University of Medical Sciences and Mohammadreza Zali had the most outstanding role in publishing scientific articles. Conclusions: According to results of this study, improving cooperation of researchers in conducting research and scientometric studies about other fields may have an important role in increasing both quality and quantity of published studies.</w:t>
      </w:r>
    </w:p>
    <w:p w:rsidR="008F1AE9" w:rsidRDefault="008F1AE9" w:rsidP="008F1AE9">
      <w:pPr>
        <w:pStyle w:val="a3"/>
        <w:rPr>
          <w:kern w:val="0"/>
        </w:rPr>
      </w:pPr>
      <w:r>
        <w:rPr>
          <w:kern w:val="0"/>
        </w:rPr>
        <w:t>Keywords: Analysis, Article, Articles, Authors, Cancer, Cells, Cooperation, Database, England, Field, Gastric, Gastric Cancer, Human, Human Papilloma-Virus, Impact, Impact Factor, Iran, Journal, Journals, Knowledge, Knowledge Production, Management, Materials, Medical, Medical Sciences, Medline, Medline Database, Methods, Person, Production, Publication, Publications, Published Articles, Publishing, Quality, Recent, Research, Researchers, Resources, Results, Role, Science, Sciences, Scientists, Scientometric, Scientometric Approach, Scientometrics, Statistical Analysis, Thailand, Trials, University</w:t>
      </w:r>
    </w:p>
    <w:p w:rsidR="0056312E" w:rsidRDefault="0056312E" w:rsidP="0056312E">
      <w:pPr>
        <w:pStyle w:val="a3"/>
        <w:rPr>
          <w:kern w:val="0"/>
        </w:rPr>
      </w:pPr>
      <w:r>
        <w:rPr>
          <w:kern w:val="0"/>
        </w:rPr>
        <w:t xml:space="preserve">? Zeng, R., Duan, L., Kong, Y.K., Wu, X.L., Wang, Y., Xin, G. and Yang, K.H. (2014), Prognostic significance of beta-catenin expression in patients with esophageal carcinoma: A meta-analysis. </w:t>
      </w:r>
      <w:r>
        <w:rPr>
          <w:i/>
          <w:iCs/>
          <w:kern w:val="0"/>
        </w:rPr>
        <w:t>Asian Pacific Journal of Cancer Prevention</w:t>
      </w:r>
      <w:r>
        <w:rPr>
          <w:kern w:val="0"/>
        </w:rPr>
        <w:t xml:space="preserve">, </w:t>
      </w:r>
      <w:r>
        <w:rPr>
          <w:b/>
          <w:bCs/>
          <w:kern w:val="0"/>
        </w:rPr>
        <w:t>15</w:t>
      </w:r>
      <w:r>
        <w:rPr>
          <w:kern w:val="0"/>
        </w:rPr>
        <w:t xml:space="preserve"> (15), 6103-6108.</w:t>
      </w:r>
    </w:p>
    <w:p w:rsidR="0056312E" w:rsidRDefault="0056312E" w:rsidP="0056312E">
      <w:pPr>
        <w:pStyle w:val="a3"/>
        <w:rPr>
          <w:kern w:val="0"/>
        </w:rPr>
      </w:pPr>
      <w:r>
        <w:rPr>
          <w:kern w:val="0"/>
        </w:rPr>
        <w:t>Full Text: 2014\Asi Pac J Can Pre15, 6103.pdf</w:t>
      </w:r>
    </w:p>
    <w:p w:rsidR="0056312E" w:rsidRDefault="0056312E" w:rsidP="0056312E">
      <w:pPr>
        <w:pStyle w:val="a3"/>
        <w:rPr>
          <w:kern w:val="0"/>
        </w:rPr>
      </w:pPr>
      <w:r>
        <w:rPr>
          <w:kern w:val="0"/>
        </w:rPr>
        <w:t xml:space="preserve">Abstract: Many studies have reported beta-catenin involvement in the development of esophageal carcinoma (EC), but its prognostic significance for EC patients remains controversial. Therefore, we conducted this meta-analysis to explore the issue in </w:t>
      </w:r>
      <w:r>
        <w:rPr>
          <w:kern w:val="0"/>
        </w:rPr>
        <w:lastRenderedPageBreak/>
        <w:t>detail. After searching PubMed, EMBASE, Web of Science, and Chinese Biomedical Literature Database, we included a total of ten relevant studies. We pooled the overall survival (OS) data using RevMan 5.2 software. The results showed that aberrant expression of beta-catenin was associated with a significant increase of mortality risk (hazard ratio 1.71, 95% CI 1.46-2.01; p&lt;0.00001). Subgroup analyses further suggested that aberrant expression of beta-catenin resulted in poor OS of EC patients regardless of histological type of EC, study location or criteria for aberrant expression of beta-catenin, and the sensitivity analyses revealed that the result was robust. The meta-analysis revealed that aberrant expression of beta-catenin could be a predicative factor of poor prognosis for EC patients.</w:t>
      </w:r>
    </w:p>
    <w:p w:rsidR="0056312E" w:rsidRDefault="0056312E" w:rsidP="0056312E">
      <w:pPr>
        <w:pStyle w:val="a3"/>
        <w:rPr>
          <w:kern w:val="0"/>
        </w:rPr>
      </w:pPr>
      <w:r>
        <w:rPr>
          <w:kern w:val="0"/>
        </w:rPr>
        <w:t>Keywords: Analyses, Beta-Catenin, Biomedical, Cancer, Carcinoma, Chinese, Complex, Criteria, Data, Database, Development, E-Cadherin, Ec, Embase, Esophageal Carcinoma, Expression, Genetic Polymorphisms, Hazard, Hazard Ratio, Literature, Location, Meta Analysis, Meta-Analysis, Metaanalysis, Methylenetetrahydrofolate Reductase, Mortality, Overall Survival, Patients, Poor-Prognosis, Prognosis, Prognostic, Protein Expression, Pubmed, Reduced Expression, Risk, Science, Sensitivity, Significance, Software, Squamous-Cell Carcinoma, Survival, Tumor-Development, Web Of Science</w:t>
      </w:r>
    </w:p>
    <w:p w:rsidR="0056312E" w:rsidRDefault="0056312E" w:rsidP="0056312E">
      <w:pPr>
        <w:pStyle w:val="a3"/>
        <w:rPr>
          <w:kern w:val="0"/>
        </w:rPr>
      </w:pPr>
      <w:r>
        <w:rPr>
          <w:kern w:val="0"/>
        </w:rPr>
        <w:t xml:space="preserve">? Han, L.Y., Liu, K., Lin, X.L., Zou, B.B. and Zhao, J.S. (2014), Lack of any association of GST genetic polymorphisms with susceptibility to ovarian cancer: A meta-analysis. </w:t>
      </w:r>
      <w:r>
        <w:rPr>
          <w:i/>
          <w:iCs/>
          <w:kern w:val="0"/>
        </w:rPr>
        <w:t>Asian Pacific Journal of Cancer Prevention</w:t>
      </w:r>
      <w:r>
        <w:rPr>
          <w:kern w:val="0"/>
        </w:rPr>
        <w:t xml:space="preserve">, </w:t>
      </w:r>
      <w:r>
        <w:rPr>
          <w:b/>
          <w:bCs/>
          <w:kern w:val="0"/>
        </w:rPr>
        <w:t>15</w:t>
      </w:r>
      <w:r>
        <w:rPr>
          <w:kern w:val="0"/>
        </w:rPr>
        <w:t xml:space="preserve"> (15), 6131-6136.</w:t>
      </w:r>
    </w:p>
    <w:p w:rsidR="0056312E" w:rsidRDefault="0056312E" w:rsidP="0056312E">
      <w:pPr>
        <w:pStyle w:val="a3"/>
        <w:rPr>
          <w:kern w:val="0"/>
        </w:rPr>
      </w:pPr>
      <w:r>
        <w:rPr>
          <w:kern w:val="0"/>
        </w:rPr>
        <w:t>Full Text: 2014\Asi Pac J Can Pre15, 6131.pdf</w:t>
      </w:r>
    </w:p>
    <w:p w:rsidR="0056312E" w:rsidRDefault="0056312E" w:rsidP="0056312E">
      <w:pPr>
        <w:pStyle w:val="a3"/>
        <w:rPr>
          <w:kern w:val="0"/>
        </w:rPr>
      </w:pPr>
      <w:r>
        <w:rPr>
          <w:kern w:val="0"/>
        </w:rPr>
        <w:t xml:space="preserve">Abstract: Objective: Epidemiology studies have reported conflicting results between glutathione S-transferase Mu-1 (GSTM1), glutathione S-transferase theta-1 (GSTT1) and glutathione S-transferase pi-1 (GSTP1) and ovarian cancer (OC) susceptibility. In this study, an updated meta-analysis was applied to determine whether the deletion of GSTM1, GSTT1 and GSTP1 has an influence on OC susceptibility. Methods: A published literature search was performed through PubMed, Embase, Cochrane Library, and Science Citation Index Expanded database for articles published in English. Pooled odds ratios (ORs) and 95% confidence intervals (95% CIs) were calculated using random or fixed effects models. Heterogeneity between studies was assessed using the Cochrane Q test and I2 statistics. Sub-group analysis was conducted to explore the sources of heterogeneity. Sensitivity analysis was employed to evaluate the respective influence of each study on the overall estimate. Results: In total, 10 published studies were included in the final analysis. The combined analysis revealed that there was no significant association between GSTM1 null genotype and OC risk (OR=1.01, 95% CI: 0.91-1.12). Additionally, there was no significant association between GSTT1 genetic polymorphisms and OC risk (OR=0.98, 95% CI: 0.85-1.13). Similalry, no significant associations were found concerning the GSTP1 </w:t>
      </w:r>
      <w:r>
        <w:rPr>
          <w:kern w:val="0"/>
        </w:rPr>
        <w:lastRenderedPageBreak/>
        <w:t>rs1695 locus and OC risk. Meanwhile, subgroup analysis did not show a significant increase in eligible studies with low heterogeneity. However, sensitivity analysis, publication bias and cumulative analysis demonstrated the reliability and stability of the current meta-analysis. Conclusions: These findings suggest that GSTs genetic polymorphisms may not contribute to OC susceptibility. Large epidemiological studies with the combination of GSTM1 null, GSTT1 null and GSTP1 Ile105Val polymorphisms and more specific histological subtypes of OC are needed to prove our findings.</w:t>
      </w:r>
    </w:p>
    <w:p w:rsidR="0056312E" w:rsidRDefault="0056312E" w:rsidP="0056312E">
      <w:pPr>
        <w:pStyle w:val="a3"/>
        <w:rPr>
          <w:kern w:val="0"/>
        </w:rPr>
      </w:pPr>
      <w:r>
        <w:rPr>
          <w:kern w:val="0"/>
        </w:rPr>
        <w:t>Keywords: Analysis, Articles, Association, Bias, Cancer, Carcinoma, Citation, Confidence, Confidence Intervals, Cumulative, Database, Deletion, Effects, English, Epidemiology, Expression, Genetic, Genetic Polymorphisms, Genotypes, Glutathione, Glutathione-S-Transferase, Gstm1, Gstp1, Gstt1, Heterogeneity, Ile105val, Influence, Intervals, Literature, Literature Search, M1, Meta, Meta Analysis, Meta-Analysis, Metaanalysis, Methods, Models, Mortality, Ovarian Cancer, Polymorphisms, Publication, Publication Bias, Pubmed, Reliability, Results, Risk, Risk-Factors, Science, Science Citation Index, Science Citation Index Expanded, Sensitivity, Sensitivity Analysis, Sources, Stability, Statistics, Survival, Susceptibility, T1</w:t>
      </w:r>
    </w:p>
    <w:p w:rsidR="0056312E" w:rsidRDefault="0056312E" w:rsidP="0056312E">
      <w:pPr>
        <w:pStyle w:val="a3"/>
        <w:rPr>
          <w:kern w:val="0"/>
        </w:rPr>
      </w:pPr>
      <w:r>
        <w:rPr>
          <w:kern w:val="0"/>
        </w:rPr>
        <w:t xml:space="preserve">? Mao, C.F., Qian, W.Y., Wu, J.Z., Sun, D.W. and Tang, J.H. (2014), Association between the XRCC3 Thr241Met polymorphism and breast cancer risk: An updated meta-analysis of 36 case-control studies. </w:t>
      </w:r>
      <w:r>
        <w:rPr>
          <w:i/>
          <w:iCs/>
          <w:kern w:val="0"/>
        </w:rPr>
        <w:t>Asian Pacific Journal of Cancer Prevention</w:t>
      </w:r>
      <w:r>
        <w:rPr>
          <w:kern w:val="0"/>
        </w:rPr>
        <w:t xml:space="preserve">, </w:t>
      </w:r>
      <w:r>
        <w:rPr>
          <w:b/>
          <w:bCs/>
          <w:kern w:val="0"/>
        </w:rPr>
        <w:t>15</w:t>
      </w:r>
      <w:r>
        <w:rPr>
          <w:kern w:val="0"/>
        </w:rPr>
        <w:t xml:space="preserve"> (16), 6613-6618.</w:t>
      </w:r>
    </w:p>
    <w:p w:rsidR="0056312E" w:rsidRDefault="0056312E" w:rsidP="0056312E">
      <w:pPr>
        <w:pStyle w:val="a3"/>
        <w:rPr>
          <w:kern w:val="0"/>
        </w:rPr>
      </w:pPr>
      <w:r>
        <w:rPr>
          <w:kern w:val="0"/>
        </w:rPr>
        <w:t>Full Text: 2014\Asi Pac J Can Pre15, 6613.pdf</w:t>
      </w:r>
    </w:p>
    <w:p w:rsidR="0056312E" w:rsidRDefault="0056312E" w:rsidP="0056312E">
      <w:pPr>
        <w:pStyle w:val="a3"/>
        <w:rPr>
          <w:kern w:val="0"/>
        </w:rPr>
      </w:pPr>
      <w:r>
        <w:rPr>
          <w:kern w:val="0"/>
        </w:rPr>
        <w:t xml:space="preserve">Abstract: Background: The X-ray repair cross-complementing group 3 (XRCC3) is a highly suspected candidate gene for cancer susceptibility. Attention has been drawn upon associations of the XRCC3 Thr241Met polymorphism with breast cancer risk. However, the previous published findings remain controversial. Hence, we performed a meta-analysis to accurately evaluate any association between breast cancer and XRCC3 T241M (23, 812 cases and 25, 349 controls) in different inheritance models. Materials and Methods: PubMed and Web of Science databases were searched systematically until December 31, 2013 to obtain all the records evaluating the association between the XRCC3 Thr241Met polymorphism and breast cancer risk. Crude odds ratios (ORs) together with 95% confidence intervals (CIs) were used to assess the strength of associations. Results: When all eligible studies were pooled into the meta analysis of XRCC3 T241M polymorphism, a significantly increased breast cancer risk was observed in heterozygote comparison (OR=1.06, 95% CI=1.01-1.12). No significant associations were found in other models. In subgroup analysis, this polymorphism seemed to be associated with elevated breast risk in Asians. No publication bias was detected. Conclusions: This meta-analysis </w:t>
      </w:r>
      <w:r>
        <w:rPr>
          <w:kern w:val="0"/>
        </w:rPr>
        <w:lastRenderedPageBreak/>
        <w:t>suggests that the T241M polymorphism confers a weakly increased breast cancer risk. A study with the larger sample size is needed to further evaluate gene-gene and gene-environment interactions of the XRCC3 T241M polymorphism with breast cancer risk.</w:t>
      </w:r>
    </w:p>
    <w:p w:rsidR="0056312E" w:rsidRDefault="0056312E" w:rsidP="0056312E">
      <w:pPr>
        <w:pStyle w:val="a3"/>
        <w:rPr>
          <w:kern w:val="0"/>
        </w:rPr>
      </w:pPr>
      <w:r>
        <w:rPr>
          <w:kern w:val="0"/>
        </w:rPr>
        <w:t>Keywords: Analysis, Asians, Association, Attention, Bias, Breast, Breast Cancer, Cancer, Cancer Risk, Cancer Susceptibility, Comparison, Confidence, Confidence Intervals, Databases, DNA Repair, DNA-Repair Genes, Gene, Health, Intervals, Ionizing-Radiation, Materials, Meta Analysis, Meta-Analysis, Metaanalysis, Methods, Models, No Association, Polish Women, Polymorphism, Population, Publication, Publication Bias, Pubmed, Rad51, Records, Repair, Results, Risk, Sample Size, Science, Single-Nucleotide Polymorphisms, Size, Strength, Susceptibility, T241M Polymorphism, THR241MET, Web Of Science, Web Of Science Databases, X-Ray, XRCC3</w:t>
      </w:r>
    </w:p>
    <w:p w:rsidR="0056312E" w:rsidRDefault="0056312E" w:rsidP="0056312E">
      <w:pPr>
        <w:pStyle w:val="a3"/>
        <w:rPr>
          <w:kern w:val="0"/>
        </w:rPr>
      </w:pPr>
      <w:r>
        <w:rPr>
          <w:kern w:val="0"/>
        </w:rPr>
        <w:t xml:space="preserve">? Yan, Y.L., Han, F., Tan, W.M., Wu, C.P. and Qin, X. (2014), Association between the MDM2 T309G polymorphism and leukemia risk: A meta-analysis. </w:t>
      </w:r>
      <w:r>
        <w:rPr>
          <w:i/>
          <w:iCs/>
          <w:kern w:val="0"/>
        </w:rPr>
        <w:t>Asian Pacific Journal of Cancer Prevention</w:t>
      </w:r>
      <w:r>
        <w:rPr>
          <w:kern w:val="0"/>
        </w:rPr>
        <w:t xml:space="preserve">, </w:t>
      </w:r>
      <w:r>
        <w:rPr>
          <w:b/>
          <w:bCs/>
          <w:kern w:val="0"/>
        </w:rPr>
        <w:t>15</w:t>
      </w:r>
      <w:r>
        <w:rPr>
          <w:kern w:val="0"/>
        </w:rPr>
        <w:t xml:space="preserve"> (16), 6767-6772.</w:t>
      </w:r>
    </w:p>
    <w:p w:rsidR="0056312E" w:rsidRDefault="0056312E" w:rsidP="0056312E">
      <w:pPr>
        <w:pStyle w:val="a3"/>
        <w:rPr>
          <w:kern w:val="0"/>
        </w:rPr>
      </w:pPr>
      <w:r>
        <w:rPr>
          <w:kern w:val="0"/>
        </w:rPr>
        <w:t>Full Text: 2014\Asi Pac J Can Pre15, 6767.pdf</w:t>
      </w:r>
    </w:p>
    <w:p w:rsidR="0056312E" w:rsidRDefault="0056312E" w:rsidP="0056312E">
      <w:pPr>
        <w:pStyle w:val="a3"/>
        <w:rPr>
          <w:kern w:val="0"/>
        </w:rPr>
      </w:pPr>
      <w:r>
        <w:rPr>
          <w:kern w:val="0"/>
        </w:rPr>
        <w:t>Abstract: Several studies have suggested associations between MDM2 (mouse double minute 2 homolog) polymorphisms and leukemia risk, but they reported contradictory results. For better understanding of the effect of MDM2 T309G polymorphism on leukemia risk, we performed a meta-analysis. All eligible studies were identified through a search of PubMed, Web of Science, EMBASE, and Chinese Biomedical Literature (CBM) databases before May 2014. Assessment of associations between the MDM2 T309G polymorphism and leukemia risk was conducted by odds ratios (ORs) and 95% confidence intervals (95% CIs). Finally, a total of 11 publications covering 12 case-control studies with 2, 362 cases and 5, 562 controls concerning MDM2 T309G polymorphism with respect to leukemia were included in the meta-analysis. Significant associations were found between MDM2 T309G polymorphism and leukemia risk in four models in overall populations (G vs T: OR=1.29, 95% CI=1.11-1.49, p=0.001; GG vs TT: OR=1.67, 95% CI=1.21-2.30, p=0.002; GG vs TG/TT: OR=1.56, 95% CI=1.21-2.00, p=0.001; GG/TG vs TT: OR=1.28, 95% CI=1.05-1.57, p=0.015). In the sub-group analysis according to ethnicity, increased leukemia risks were observed in three genetic models among Asians but not Caucasians. In conclusion, the results of our meta-analysis suggest that the MDM2 T309G polymorphism can increase the risk of leukemia, especially among Asian populations.</w:t>
      </w:r>
    </w:p>
    <w:p w:rsidR="0056312E" w:rsidRDefault="0056312E" w:rsidP="0056312E">
      <w:pPr>
        <w:pStyle w:val="a3"/>
        <w:rPr>
          <w:kern w:val="0"/>
        </w:rPr>
      </w:pPr>
      <w:r>
        <w:rPr>
          <w:kern w:val="0"/>
        </w:rPr>
        <w:t xml:space="preserve">Keywords: Acute Lymphoblastic-Leukemia, Acute Myeloid-Leukemia, Analysis, Asian, Asians, Assessment, Association, Biomedical, Cancer Susceptibility, Case-Control, Case-Control Studies, Chinese, Chronic Lymphocytic-Leukemia, Confidence, </w:t>
      </w:r>
      <w:r>
        <w:rPr>
          <w:kern w:val="0"/>
        </w:rPr>
        <w:lastRenderedPageBreak/>
        <w:t>Confidence Intervals, Databases, Disease, Embase, Ethnicity, Genes, Genetic, Gg, Intervals, Leukemia, Literature, Mdm2, Meta Analysis, Meta-Analysis, Metaanalysis, Models, Mouse, P53, Polymorphism, Polymorphisms, Populations, Publications, Pubmed, Risk, Risks, Science, Single Nucleotide Polymorphism, Snp309, Survival, Understanding, Web Of Science</w:t>
      </w:r>
    </w:p>
    <w:p w:rsidR="0056312E" w:rsidRDefault="0056312E" w:rsidP="0056312E">
      <w:pPr>
        <w:pStyle w:val="a3"/>
        <w:rPr>
          <w:kern w:val="0"/>
        </w:rPr>
      </w:pPr>
      <w:r>
        <w:rPr>
          <w:kern w:val="0"/>
        </w:rPr>
        <w:t xml:space="preserve">? Kuang, D., Chen, W., Song, Y.Z., Yu, Y.Y., Zhang, D.Y., Wu, L. and Tang, J. (2014), Association between the HSPA1B +/- 1267A/G polymorphism and cancer risk: A meta-analysis of 14 case-control studies. </w:t>
      </w:r>
      <w:r>
        <w:rPr>
          <w:i/>
          <w:iCs/>
          <w:kern w:val="0"/>
        </w:rPr>
        <w:t>Asian Pacific Journal of Cancer Prevention</w:t>
      </w:r>
      <w:r>
        <w:rPr>
          <w:kern w:val="0"/>
        </w:rPr>
        <w:t xml:space="preserve">, </w:t>
      </w:r>
      <w:r>
        <w:rPr>
          <w:b/>
          <w:bCs/>
          <w:kern w:val="0"/>
        </w:rPr>
        <w:t>15</w:t>
      </w:r>
      <w:r>
        <w:rPr>
          <w:kern w:val="0"/>
        </w:rPr>
        <w:t xml:space="preserve"> (16), 6855-6861.</w:t>
      </w:r>
    </w:p>
    <w:p w:rsidR="0056312E" w:rsidRDefault="0056312E" w:rsidP="0056312E">
      <w:pPr>
        <w:pStyle w:val="a3"/>
        <w:rPr>
          <w:kern w:val="0"/>
        </w:rPr>
      </w:pPr>
      <w:r>
        <w:rPr>
          <w:kern w:val="0"/>
        </w:rPr>
        <w:t>Full Text: 2014\Asi Pac J Can Pre15, 6855.pdf</w:t>
      </w:r>
    </w:p>
    <w:p w:rsidR="0056312E" w:rsidRDefault="0056312E" w:rsidP="0056312E">
      <w:pPr>
        <w:pStyle w:val="a3"/>
        <w:rPr>
          <w:kern w:val="0"/>
        </w:rPr>
      </w:pPr>
      <w:r>
        <w:rPr>
          <w:kern w:val="0"/>
        </w:rPr>
        <w:t>Abstract: Background: Previous epidemiological studies have suggested a potential role of the HSPA1B +/- 1267A/G polymorphism in risk of developing cancer. However, the results were inconsistent. Therefore, we performed this meta-analysis to summarize the possible association with cancer risk. Materials and Methods: We retrieved relevant articles from PubMed, EMBASE, ISI Web of Science, Chinese Biomedical Literature and Chinese National Knowledge Infrastructure. Studies were selected using specific criteria. Odds ratios (ORs) with 95% confidence intervals (CIs) were calculated to assess those associations. All analyses were performed using STATA software. Results: Fourteen case-control studies, including 1, 834 cancer cases and 2, 028 controls were included in this meta-analysis. Overall, the results indicated that the G allele of HSPA1B gene +/- 1267A/G was significantly associated with an increased cancer risk in all genetic models (G vs A: OR=1.51, 95% CI 1.17-1.95, p=0.001; GG vs AA: OR=2.93, 95% CI 1.50-5.74, p=0.002; AG vs AA: OR=1.48, 95% CI 1.10-1.98, p=0.009; GG/AG vs AA: OR=1.69, 95% CI 1.22-2.33, p=0.001; GG vs AG/AA: OR=2.31, 95% CI 1.24-4.32, p=0.009). In the subgroup analysis stratified by ethnicity, a significant association was identified in Caucasians (G vs A: OR=1.35, 95% CI 1.08-1.69, p=0.008; GG/AG vs AA: OR=1.36, 95% CI 1.09-1.70, p=0.007), but not in Asians. In the stratified analysis by cancer types, individuals with the G allele showed an increased risk of hepatocellular carcinoma compared with carriers of the A allele (OR=2.40, 95% CI 1.47-3.91, p&lt; 0.001). Inversely, individuals with the GG genotype showed a decreased risk of gastric cancer compared with carriers of the AG/GG genotypes (GG vs AG/AA: OR=0.39, 95% CI 0.20-0.70, p=0.007). Conclusions: This meta-analysis suggests associations between the HSPA1B +/- 1267A/G polymorphism and risk of cancer. However, this association might be Caucasian-specific and the G allele of this polymorphism probably increases risk of hepatocellular carcinoma while decreasing risk of gastric cancer. Further well-designed studies based on larger sample sizes are needed to validate these findings.</w:t>
      </w:r>
    </w:p>
    <w:p w:rsidR="0056312E" w:rsidRDefault="0056312E" w:rsidP="0056312E">
      <w:pPr>
        <w:pStyle w:val="a3"/>
        <w:rPr>
          <w:kern w:val="0"/>
        </w:rPr>
      </w:pPr>
      <w:r>
        <w:rPr>
          <w:kern w:val="0"/>
        </w:rPr>
        <w:t xml:space="preserve">Keywords: Ag, Analyses, Analysis, Articles, Asians, Association, Biomedical, Cancer, </w:t>
      </w:r>
      <w:r>
        <w:rPr>
          <w:kern w:val="0"/>
        </w:rPr>
        <w:lastRenderedPageBreak/>
        <w:t>Cancer Risk, Carcinoma, Case-Control, Case-Control Studies, Chinese, Colorectal-Cancer, Confidence, Confidence Intervals, Criteria, Developing, Embase, Ethnicity, From, Gastric, Gastric Cancer, Gene, Genetic, Gg, Heat-Shock Proteins, Heat-Shock Proteins (Hsps), Heat-Shock-Protein-70 Gene Polymorphisms, Hepatocellular Carcinoma, Hepatocellular-Carcinoma, Heterogeneity, Intervals, Isi, Isi Web Of Science, Knowledge, Literature, Lung-Cancer, Materials, Meta Analysis, Meta-Analysis, Metaanalysis, Methods, Models, Molecular Chaperones, Polymorphism, Potential, Prognostic Implications, Publication Bias, Pubmed, Results, Risk, Role, Science, Software, Susceptibility, Web Of Science</w:t>
      </w:r>
    </w:p>
    <w:p w:rsidR="0056312E" w:rsidRDefault="0056312E" w:rsidP="0056312E">
      <w:pPr>
        <w:pStyle w:val="a3"/>
        <w:rPr>
          <w:kern w:val="0"/>
        </w:rPr>
      </w:pPr>
      <w:r>
        <w:rPr>
          <w:kern w:val="0"/>
        </w:rPr>
        <w:t xml:space="preserve">? Nie, S.P., Chen, H., Zhuang, M.Q. and Lu, M. (2014), Anti-diabetic medications do not influence risk of lung cancer in patients with diabetes mellitus: A systematic review and meta-analysis. </w:t>
      </w:r>
      <w:r>
        <w:rPr>
          <w:i/>
          <w:iCs/>
          <w:kern w:val="0"/>
        </w:rPr>
        <w:t>Asian Pacific Journal of Cancer Prevention</w:t>
      </w:r>
      <w:r>
        <w:rPr>
          <w:kern w:val="0"/>
        </w:rPr>
        <w:t xml:space="preserve">, </w:t>
      </w:r>
      <w:r>
        <w:rPr>
          <w:b/>
          <w:bCs/>
          <w:kern w:val="0"/>
        </w:rPr>
        <w:t>15</w:t>
      </w:r>
      <w:r>
        <w:rPr>
          <w:kern w:val="0"/>
        </w:rPr>
        <w:t xml:space="preserve"> (16), 6863-6869.</w:t>
      </w:r>
    </w:p>
    <w:p w:rsidR="0056312E" w:rsidRDefault="0056312E" w:rsidP="0056312E">
      <w:pPr>
        <w:pStyle w:val="a3"/>
        <w:rPr>
          <w:kern w:val="0"/>
        </w:rPr>
      </w:pPr>
      <w:r>
        <w:rPr>
          <w:kern w:val="0"/>
        </w:rPr>
        <w:t>Full Text: 2014\Asi Pac J Can Pre15, 6863.pdf</w:t>
      </w:r>
    </w:p>
    <w:p w:rsidR="0056312E" w:rsidRDefault="0056312E" w:rsidP="0056312E">
      <w:pPr>
        <w:pStyle w:val="a3"/>
        <w:rPr>
          <w:kern w:val="0"/>
        </w:rPr>
      </w:pPr>
      <w:r>
        <w:rPr>
          <w:kern w:val="0"/>
        </w:rPr>
        <w:t>Abstract: Objectives: Several preclinical and observational studies have shown that anti-diabetic medications (ADMs) may modify the risk of lung cancer. We performed a systematic review and meta-analysis evaluating the effect of metformin, sulfonylureas (SUs), thiazolidinediones (TZDs), and insulin on the risk of lung cancer in patients with diabetes mellitus (DM). Materials and Methods: We conducted a systematic search of Pubmed and Web of Science, up to August 20, 2013. We also searched the Conference Proceedings Citation Index (CPCI) and China National Knowledge Infrastructure (CNKI) for abstracts from major meetings. Fixed or random effect pooled measures were selected based on heterogeneity among studies, which was evaluated using Q test and the I-2 of Higgins and Thompson. Meta-regression was used to explore the sources of between-study heterogeneity. Publication bias was analyzed by Begg’s funnel plot and Egger’s regression test. Associations were assessed by odds ratios (ORs) with 95% confidence intervals (CIs). Results: A total of 15 studies (11 cohort, 4 case-control) were included in this meta-analysis. In observational studies no significant association between metformin (n=11 studies; adjusted OR=0.99, 95% CI: 0.87-1.12), SUs (n=5 studies; adjusted OR=0.98, 95% CI: 0.79-1.22), or TZDs (n=7 studies; adjusted OR=0.92, 95% CI: 0.75-1.13), insulin (n=6 studies; adjusted OR=1.13, 95% CI: 0.79-1.62) use and risk of developing lung cancer was noted. There was considerable inherent heterogeneity between studies not explained by study design, setting, or location. Conclusions: Meta-analysis of existing studies does not support a protective or harmful association between ADMs use and risk of lung cancer in patients with DM. There was considerable heterogeneity across studies, and future, well-designed, prospective studies would be required for better understanding of any association.</w:t>
      </w:r>
    </w:p>
    <w:p w:rsidR="0056312E" w:rsidRDefault="0056312E" w:rsidP="0056312E">
      <w:pPr>
        <w:pStyle w:val="a3"/>
        <w:rPr>
          <w:kern w:val="0"/>
        </w:rPr>
      </w:pPr>
      <w:r>
        <w:rPr>
          <w:kern w:val="0"/>
        </w:rPr>
        <w:t xml:space="preserve">Keywords: Anti-Diabetic Medications, Association, Bias, Cancer, Case-Control, China, </w:t>
      </w:r>
      <w:r>
        <w:rPr>
          <w:kern w:val="0"/>
        </w:rPr>
        <w:lastRenderedPageBreak/>
        <w:t>Citation, Cohort, Conference, Confidence, Confidence Intervals, Design, Developing, Diabetes, Diabetes Mellitus, Diabetes Mellitus Patients, Epidemiology, From, Heterogeneity, Increases, Influence, Insulin, Intervals, Knowledge, Location, Lung, Lung Cancer, Lung Cancer Risk, Materials, Measures, Meta Analysis, Meta-Analysis, Meta-Regression, Metaanalysis, Metformin, Methods, Observational, Observational Studies, Patients, Prediction, Prevention, Proceedings, Prospective, Prospective Studies, Prostate, Publication, Publication Bias, Regression, Results, Review, Risk, Science, Sources, Study Design, Sulfonylurea, Support, Systematic, Systematic Review, Thiazolidinediones, Understanding, Web Of Science</w:t>
      </w:r>
    </w:p>
    <w:p w:rsidR="0056312E" w:rsidRDefault="0056312E" w:rsidP="0056312E">
      <w:pPr>
        <w:pStyle w:val="a3"/>
        <w:rPr>
          <w:kern w:val="0"/>
        </w:rPr>
      </w:pPr>
      <w:r>
        <w:rPr>
          <w:kern w:val="0"/>
        </w:rPr>
        <w:t xml:space="preserve">? Lin, Z., Chen, L., Song, M., Shi, K.Q. and Tang, K.F. (2014), Association between a polymorphism in miR-34b/c and susceptibility to cancer: A meta-analysis. </w:t>
      </w:r>
      <w:r>
        <w:rPr>
          <w:i/>
          <w:iCs/>
          <w:kern w:val="0"/>
        </w:rPr>
        <w:t>Asian Pacific Journal of Cancer Prevention</w:t>
      </w:r>
      <w:r>
        <w:rPr>
          <w:kern w:val="0"/>
        </w:rPr>
        <w:t xml:space="preserve">, </w:t>
      </w:r>
      <w:r>
        <w:rPr>
          <w:b/>
          <w:bCs/>
          <w:kern w:val="0"/>
        </w:rPr>
        <w:t>15</w:t>
      </w:r>
      <w:r>
        <w:rPr>
          <w:kern w:val="0"/>
        </w:rPr>
        <w:t xml:space="preserve"> (17), 7251-7255.</w:t>
      </w:r>
    </w:p>
    <w:p w:rsidR="0056312E" w:rsidRDefault="0056312E" w:rsidP="0056312E">
      <w:pPr>
        <w:pStyle w:val="a3"/>
        <w:rPr>
          <w:kern w:val="0"/>
        </w:rPr>
      </w:pPr>
      <w:r>
        <w:rPr>
          <w:kern w:val="0"/>
        </w:rPr>
        <w:t>Full Text: 2014\Asi Pac J Can Pre15, 7251.pdf</w:t>
      </w:r>
    </w:p>
    <w:p w:rsidR="0056312E" w:rsidRDefault="0056312E" w:rsidP="0056312E">
      <w:pPr>
        <w:pStyle w:val="a3"/>
        <w:rPr>
          <w:kern w:val="0"/>
        </w:rPr>
      </w:pPr>
      <w:r>
        <w:rPr>
          <w:kern w:val="0"/>
        </w:rPr>
        <w:t>Abstract: MicroRNAs (miRNAs) act as tumor suppressors or promoters in neoplasia by regulating relative geneexpression. The association between a single nucleotide polymorphism (SNP) rs4938723 in miR-34b/c and susceptibility to cancers was inconsistent in previous studies. In this study, we conducted a literature search of PubMed, Web of Science and Embase to identify all relevant studies in this meta-analysis with 6,036 cases and 6,204 controls. We found that the miR-34b/c rs4938723 polymorphism was significantly associated with increased risk of cancers in the heterozygous model (TC versus TT, OR=1.09, 95% CI=1.01-1.18, P=0.02). Subgroup analysis also revealed increased risk for Asian ethnicity in the heterozygous model (TC versus TT, OR=1.12, 95% CI=1.02-1.22, P=0.02), but decreased risk of colorectal cancer in homozygote model (CC versus TT, OR=0.66, 95% CI=0.47-0.92, P=0.02) and in the recessive model (CC versus TC+TT, OR=0.67, 95% CI=0.48-0.93, P=0.02) by cancer type. The current meta-analysis indicated that the miR-34b/c rs4938723 polymorphism may decrease susceptibility to colorectal cancer. Well-designed studies with larger sample size are required to further validate the results.</w:t>
      </w:r>
    </w:p>
    <w:p w:rsidR="0056312E" w:rsidRDefault="0056312E" w:rsidP="0056312E">
      <w:pPr>
        <w:pStyle w:val="a3"/>
        <w:rPr>
          <w:kern w:val="0"/>
        </w:rPr>
      </w:pPr>
      <w:r>
        <w:rPr>
          <w:kern w:val="0"/>
        </w:rPr>
        <w:t>Keywords: Analysis, Asian, Association, Cancer, Colorectal Cancer, Colorectal-Cancer, Ethnicity, Hepatocellular-Carcinoma, Literature, Literature Search, Meta Analysis, Meta-Analysis, Metaanalysis, Microrna, Mir-34b, C, Model, Polymorphism, Potentially Functional Polymorphism, Pri-Mir-34b, C, Promoter Region, Pubmed, Risk, Rs4938723, Sample Size, Science, Single-Nucleotide Polymorphisms, Size, Snp, Susceptibility, Tumor, Web Of Science</w:t>
      </w:r>
    </w:p>
    <w:p w:rsidR="0056312E" w:rsidRDefault="0056312E" w:rsidP="0056312E">
      <w:pPr>
        <w:pStyle w:val="a3"/>
        <w:rPr>
          <w:kern w:val="0"/>
        </w:rPr>
      </w:pPr>
      <w:r>
        <w:rPr>
          <w:kern w:val="0"/>
        </w:rPr>
        <w:t xml:space="preserve">? Kotepui, M., Wannaiampikul, S., Chupeerach, C. and Duangmano, S. (2014), A bibliometric analysis of diets and breast cancer research. </w:t>
      </w:r>
      <w:r>
        <w:rPr>
          <w:i/>
          <w:iCs/>
          <w:kern w:val="0"/>
        </w:rPr>
        <w:t>Asian Pacific Journal of Cancer Prevention</w:t>
      </w:r>
      <w:r>
        <w:rPr>
          <w:kern w:val="0"/>
        </w:rPr>
        <w:t xml:space="preserve">, </w:t>
      </w:r>
      <w:r>
        <w:rPr>
          <w:b/>
          <w:bCs/>
          <w:kern w:val="0"/>
        </w:rPr>
        <w:t>15</w:t>
      </w:r>
      <w:r>
        <w:rPr>
          <w:kern w:val="0"/>
        </w:rPr>
        <w:t xml:space="preserve"> (18), 7625-7628.</w:t>
      </w:r>
    </w:p>
    <w:p w:rsidR="0056312E" w:rsidRDefault="0056312E" w:rsidP="0056312E">
      <w:pPr>
        <w:pStyle w:val="a3"/>
        <w:rPr>
          <w:kern w:val="0"/>
        </w:rPr>
      </w:pPr>
      <w:r>
        <w:rPr>
          <w:kern w:val="0"/>
        </w:rPr>
        <w:t>Full Text: 2014\Asi Pac J Can Pre15, 7625.pdf</w:t>
      </w:r>
    </w:p>
    <w:p w:rsidR="0056312E" w:rsidRDefault="0056312E" w:rsidP="0056312E">
      <w:pPr>
        <w:pStyle w:val="a3"/>
        <w:rPr>
          <w:kern w:val="0"/>
        </w:rPr>
      </w:pPr>
      <w:r>
        <w:rPr>
          <w:kern w:val="0"/>
        </w:rPr>
        <w:lastRenderedPageBreak/>
        <w:t>Abstract: Breast cancer is the most common cancer among women worldwide. The primary aim of this work was to provide an in-depth evaluation of research publications in the field of diets and breast cancer. The impact of economic outcome on national academic productivity was also investigated. Data were retrieved using Pubmed for English-language publications. The search included all research for which articles included words relating to “diets and breast cancer”. Population and national income data were obtained from publicly available databases. Impact factors for journals were obtained from Journal Citation Reports (R) (Thomson Scientific). There were 2,396 publications from 60 countries in 384 journals with an impact factor. Among them, 1,652 (68.94%) publications were Original articles. The United States had the highest quantity (51% of total) and highest of mean impact factor (8.852) for publication. Sweden had the highest productivity of publication when adjusted for number of population (6 publications per million population). Publications from the Asian nation increased from 5.3% in 2006 to 14.6% in 2012. The Original article type was also associated with geography (p&lt;0.001; OR=2.183; 95% CI=1.526-3.123), Asian countries produced more proportion of Original articles (82%) than those of rest of the world (67.6%). Diets and breast cancer-associated research output continues to increase annually worldwide including publications from Asian countries. Although the United States produced the most publications, European nations per capita were higher in publication output.</w:t>
      </w:r>
    </w:p>
    <w:p w:rsidR="0056312E" w:rsidRDefault="0056312E" w:rsidP="0056312E">
      <w:pPr>
        <w:pStyle w:val="a3"/>
        <w:rPr>
          <w:kern w:val="0"/>
        </w:rPr>
      </w:pPr>
      <w:r>
        <w:rPr>
          <w:kern w:val="0"/>
        </w:rPr>
        <w:t>Keywords: Academic Productivity, Analysis, Article, Articles, Asian, Bibliometric, Bibliometric Analysis, Breast, Breast Cancer, Cancer, Citation, Countries, Country Distribution, Data, Databases, Diets, Economic, Evaluation, Field, From, Geography, Impact, Impact Factor, Impact Factors, Journal, Journal Citation Reports, Journals, Nations, Oncology, Original Articles, Outcome, Patterns, Population, Primary, Productivity, Publication, Publications, R, Research, Research Output, Research Productivity, Risk, Sweden, United States, Women, Work, World</w:t>
      </w:r>
    </w:p>
    <w:p w:rsidR="0056312E" w:rsidRDefault="0056312E" w:rsidP="0056312E">
      <w:pPr>
        <w:pStyle w:val="a3"/>
        <w:rPr>
          <w:kern w:val="0"/>
        </w:rPr>
      </w:pPr>
      <w:r>
        <w:rPr>
          <w:kern w:val="0"/>
        </w:rPr>
        <w:t xml:space="preserve">? Yuan, Q., Liu, J.W., Xing, C.Z. and Yuan, Y. (2014), Associations of ERCC4 rs1800067 polymorphism with cancer risk: An updated meta-analysis. </w:t>
      </w:r>
      <w:r>
        <w:rPr>
          <w:i/>
          <w:iCs/>
          <w:kern w:val="0"/>
        </w:rPr>
        <w:t>Asian Pacific Journal of Cancer Prevention</w:t>
      </w:r>
      <w:r>
        <w:rPr>
          <w:kern w:val="0"/>
        </w:rPr>
        <w:t xml:space="preserve">, </w:t>
      </w:r>
      <w:r>
        <w:rPr>
          <w:b/>
          <w:bCs/>
          <w:kern w:val="0"/>
        </w:rPr>
        <w:t>15</w:t>
      </w:r>
      <w:r>
        <w:rPr>
          <w:kern w:val="0"/>
        </w:rPr>
        <w:t xml:space="preserve"> (18), 7639-7644.</w:t>
      </w:r>
    </w:p>
    <w:p w:rsidR="0056312E" w:rsidRDefault="0056312E" w:rsidP="0056312E">
      <w:pPr>
        <w:pStyle w:val="a3"/>
        <w:rPr>
          <w:kern w:val="0"/>
        </w:rPr>
      </w:pPr>
      <w:r>
        <w:rPr>
          <w:kern w:val="0"/>
        </w:rPr>
        <w:t>Full Text: 2014\Asi Pac J Can Pre15, 7639.pdf</w:t>
      </w:r>
    </w:p>
    <w:p w:rsidR="0056312E" w:rsidRDefault="0056312E" w:rsidP="0056312E">
      <w:pPr>
        <w:pStyle w:val="a3"/>
        <w:rPr>
          <w:kern w:val="0"/>
        </w:rPr>
      </w:pPr>
      <w:r>
        <w:rPr>
          <w:kern w:val="0"/>
        </w:rPr>
        <w:t xml:space="preserve">Abstract: Background: Results from previous studies concerning the association of ERCC4 rs1800067 polymorphism with risk of cancer were inconsistent. To explore the exact relation with susceptibility, we conducted the present meta-analysis. Materials and Methods: Literature of electronic databases including PubMed, Web of Science, EMBASE, Wanfang and Chinese National Knowledge Infrastructure (CNKI) were systematically searched. ORs and their 95% CIs were used to assess the strength of associations between ERCC4 polymorphism and cancer risk. Results: There was no significant association between ERCC4 rs1800067 AA or AG </w:t>
      </w:r>
      <w:r>
        <w:rPr>
          <w:kern w:val="0"/>
        </w:rPr>
        <w:lastRenderedPageBreak/>
        <w:t>genotypes and overall risk of cancer (AA vs. GG: OR=0.998, 95% CI=0.670-1.486, P=0.992; AG vs. GG: OR=0.970, 95% CI=0.888-1.061, P=0.508). A dominant genetic model also did not demonstrate significant association of (AA+AG) genotype carriers with altered risk of overall cancer (OR=0.985, 95% CI=0.909-1.068, P=0.719). In addition, no significant association was observed between A allele of ERCC4 rs1800067 A/G polymorphism and altered cancer risk compared with G allele (OR=0.952, 95% CI=0.851-1.063, P=0.381). Subgroup analysis suggested that AA genotype carriers were significantly associated with decreased risk of glioma compared with wild-type GG genotype individuals (OR=0.523, 95% CI=0.275-0.993, P=0.048). For subgroup of lung cancer, A allele of ERCC4 rs1800067 A/G polymorphism was significantly associated with decreased risk of lung cancer compared with G allele (OR=0.806, 95% CI=0.697-0.931, P=0.003). Conclusions: This meta-analysis indicated that ERCC4 rs1800067 A/G polymorphism might not be associated with risk of overall cancer. However, individuals with the AA genotype were associated with significantly reduced risk of glioma compared with wild-type GG genotype; The A allele was associated with significantly reduced risk of lung cancer compared with G allele. Future large-scale studies performed in multiple populations are warranted to confirm our results.</w:t>
      </w:r>
    </w:p>
    <w:p w:rsidR="0056312E" w:rsidRDefault="0056312E" w:rsidP="0056312E">
      <w:pPr>
        <w:pStyle w:val="a3"/>
        <w:rPr>
          <w:kern w:val="0"/>
        </w:rPr>
      </w:pPr>
      <w:r>
        <w:rPr>
          <w:kern w:val="0"/>
        </w:rPr>
        <w:t>Keywords: African-Americans, Ag, Analysis, Association, Breast-Cancer, Cancer, Cancer Risk, Chinese, Chinese Population, Colorectal-Cancer, Databases, Dna-Repair, Embase, Ercc4, From, Gene Polymorphisms, Genetic, Gg, Glioma, Knowledge, Literature, Lung, Lung Cancer, Lung-Cancer, Materials, Meta Analysis, Meta-Analysis, Metaanalysis, Methods, Model, Nucleotide Excision-Repair, Polymorphism, Populations, Prostate-Cancer, Pubmed, Results, Risk, Science, Smoking, Strength, Susceptibility, Web Of Science</w:t>
      </w:r>
    </w:p>
    <w:p w:rsidR="0056312E" w:rsidRDefault="0056312E" w:rsidP="0056312E">
      <w:pPr>
        <w:pStyle w:val="a3"/>
        <w:rPr>
          <w:kern w:val="0"/>
        </w:rPr>
      </w:pPr>
      <w:r>
        <w:rPr>
          <w:kern w:val="0"/>
        </w:rPr>
        <w:t xml:space="preserve">? Du, J.Z., Dong, Y.L., Wan, G.X., Tao, L., Lu, L.X., Li, F., Pang, L.J. and Jia, W. (2014), Lack of association between the COMT rs4680 polymorphism and ovarian cancer risk: Evidence from a meta-analysis of 3,940 individuals. </w:t>
      </w:r>
      <w:r>
        <w:rPr>
          <w:i/>
          <w:iCs/>
          <w:kern w:val="0"/>
        </w:rPr>
        <w:t>Asian Pacific Journal of Cancer Prevention</w:t>
      </w:r>
      <w:r>
        <w:rPr>
          <w:kern w:val="0"/>
        </w:rPr>
        <w:t xml:space="preserve">, </w:t>
      </w:r>
      <w:r>
        <w:rPr>
          <w:b/>
          <w:bCs/>
          <w:kern w:val="0"/>
        </w:rPr>
        <w:t>15</w:t>
      </w:r>
      <w:r>
        <w:rPr>
          <w:kern w:val="0"/>
        </w:rPr>
        <w:t xml:space="preserve"> (18), 7941-7945.</w:t>
      </w:r>
    </w:p>
    <w:p w:rsidR="0056312E" w:rsidRDefault="0056312E" w:rsidP="0056312E">
      <w:pPr>
        <w:pStyle w:val="a3"/>
        <w:rPr>
          <w:kern w:val="0"/>
        </w:rPr>
      </w:pPr>
      <w:r>
        <w:rPr>
          <w:kern w:val="0"/>
        </w:rPr>
        <w:t>Full Text: 2014\Asi Pac J Can Pre15, 7941.pdf</w:t>
      </w:r>
    </w:p>
    <w:p w:rsidR="0056312E" w:rsidRDefault="0056312E" w:rsidP="0056312E">
      <w:pPr>
        <w:pStyle w:val="a3"/>
        <w:rPr>
          <w:kern w:val="0"/>
        </w:rPr>
      </w:pPr>
      <w:r>
        <w:rPr>
          <w:kern w:val="0"/>
        </w:rPr>
        <w:t xml:space="preserve">Abstract: Catechol-O-methyltransferase (COMT) is involved in estrogen metabolism and is vital to estrogen-induced carcinogenesis, including that of ovarian cancer. Although many recent epidemiologic studies have investigated associations between the COMT rs4680 polymorphism and ovarian cancer risk, the results remain inconclusive. We therefore performed a meta-analysis to derive a more precise estimate of associations. Systematic searches of the PubMed, Embase, Web of Science, Cochrane Library, Wanfang, China National Knowledge Infrastructure, and Chinese Biomedicine databases were undertaken to retrieve eligible studies. Odds ratios (ORs) with their corresponding 95% confidence intervals (CIs) were pooled to </w:t>
      </w:r>
      <w:r>
        <w:rPr>
          <w:kern w:val="0"/>
        </w:rPr>
        <w:lastRenderedPageBreak/>
        <w:t>assess the strength of the association. In total, 8 case-control studies involving 1,293 cases and 2,647 controls were included in the meta-analysis. Overall, the results showed no evidence of significant association between the COMT rs4680 polymorphism and ovarian cancer risk in any of the assessed genetic models. Subgroup analyses by ethnicity also did not reveal any significant association in any genetic model (p&gt;0.05). In conclusion, our findings suggest that the COMT rs4680 polymorphism may not contribute to the risk of ovarian cancer.</w:t>
      </w:r>
    </w:p>
    <w:p w:rsidR="0056312E" w:rsidRDefault="0056312E" w:rsidP="0056312E">
      <w:pPr>
        <w:pStyle w:val="a3"/>
        <w:rPr>
          <w:kern w:val="0"/>
        </w:rPr>
      </w:pPr>
      <w:r>
        <w:rPr>
          <w:kern w:val="0"/>
        </w:rPr>
        <w:t>Keywords: Analyses, Association, Bias, Biomedicine, Breast-Cancer, Cancer, Cancer Risk, Case-Control, Case-Control Studies, Catechol-O-Methyltransferase, China, Chinese, Chinese Population, Comt, Confidence, Confidence Intervals, Databases, Estrogen, Ethnicity, Evidence, From, Genetic, Genetic Polymorphisms, Intervals, Knowledge, Meta - Analysis, Meta Analysis, Meta-Analysis, Metaanalysis, Metabolism, Model, Models, Ovarian Cancer, Polymorphism, Pubmed, Recent, Risk, Science, Strength, Susceptibility, Systematic, Val158met Polymorphism, Web Of Science</w:t>
      </w:r>
    </w:p>
    <w:p w:rsidR="0056312E" w:rsidRDefault="0056312E" w:rsidP="0056312E">
      <w:pPr>
        <w:pStyle w:val="a3"/>
        <w:rPr>
          <w:kern w:val="0"/>
        </w:rPr>
      </w:pPr>
      <w:r>
        <w:rPr>
          <w:kern w:val="0"/>
        </w:rPr>
        <w:t xml:space="preserve">? Qi, W.X., Fu, S., Zhang, Q. and Guo, X.M. (2014), Efficacy and toxicity of anti-VEGF agents in patients with castration-resistant prostate cancer: A meta-analysis of prospective clinical studies. </w:t>
      </w:r>
      <w:r>
        <w:rPr>
          <w:i/>
          <w:iCs/>
          <w:kern w:val="0"/>
        </w:rPr>
        <w:t>Asian Pacific Journal of Cancer Prevention</w:t>
      </w:r>
      <w:r>
        <w:rPr>
          <w:kern w:val="0"/>
        </w:rPr>
        <w:t xml:space="preserve">, </w:t>
      </w:r>
      <w:r>
        <w:rPr>
          <w:b/>
          <w:bCs/>
          <w:kern w:val="0"/>
        </w:rPr>
        <w:t>15</w:t>
      </w:r>
      <w:r>
        <w:rPr>
          <w:kern w:val="0"/>
        </w:rPr>
        <w:t xml:space="preserve"> (19), 8177-8182.</w:t>
      </w:r>
    </w:p>
    <w:p w:rsidR="0056312E" w:rsidRDefault="0056312E" w:rsidP="0056312E">
      <w:pPr>
        <w:pStyle w:val="a3"/>
        <w:rPr>
          <w:kern w:val="0"/>
        </w:rPr>
      </w:pPr>
      <w:r>
        <w:rPr>
          <w:kern w:val="0"/>
        </w:rPr>
        <w:t>Full Text: 2014\Asi Pac J Can Pre15, 8177.pdf</w:t>
      </w:r>
    </w:p>
    <w:p w:rsidR="0056312E" w:rsidRDefault="0056312E" w:rsidP="0056312E">
      <w:pPr>
        <w:pStyle w:val="a3"/>
        <w:rPr>
          <w:kern w:val="0"/>
        </w:rPr>
      </w:pPr>
      <w:r>
        <w:rPr>
          <w:kern w:val="0"/>
        </w:rPr>
        <w:t xml:space="preserve">Abstract: Background: Blocking angiogenesis by targeting vascular endothelial growth factor (VEGF) signaling pathway to inhibit tumor growth has proven to be successful in treating a variety of different metastatic tumor types, including kidney, colon, ovarian, and lung cancers, but its role in castration-resistant prostate cancer (CRPC) is still unknown. We here aimed to determine the efficacy and toxicities of anti-VEGF agents in patients with CRPC. Materials and Methods: The databases of PubMed, Web of Science and abstracts presented at the American Society of Clinical Oncology up to March 31, 2014 were searched for relevant articles. Pooled estimates of the objective response rate (ORR) and prostate-specific antigen (PSA) response rate (decline &gt;= 50%) were calculated using the Comprehensive Meta-Analysis (version 2.2.064) software. Median weighted progression-free survival (PFS) and overall survival (OS) time for anti-VEGF monotherapy and anti-VEGF-based doublets were compared by two-sided Student’s t test. Results: A total of 3,841 patients from 19 prospective studies (4 randomized controlled trials and 15 prospective nonrandomized cohort studies) were included for analysis. The pooled ORR was 12.4% with a higher response rate of 26.4% (95% CI, 13.6-44.9%) for anti-VEGF-based combinations vs. 6.7% (95% CI, 3.5-12.7%) for anti-VEGF alone (p=0.004). Similarly, the pooled PSA response rate was 32.4% with a higher PSA response rate of 52.8% (95% CI: 40.2-65.1%) for anti-VEGF-based combinations vs. </w:t>
      </w:r>
      <w:r>
        <w:rPr>
          <w:kern w:val="0"/>
        </w:rPr>
        <w:lastRenderedPageBreak/>
        <w:t>7.3% (95% CI, 3.6-14.2%) for anti-VEGF alone (p&lt;0.001). Median PFS and OS were 6.9 and 22.1 months with weighted median PFS of 5.6 vs. 6.9 months (p&lt;0.001) and weighted median OS of 13.1 vs. 22.1 months (p&lt;0.001) for anti-VEGF monotherapy vs. anti-VEGF-based doublets. Conclusions: With available evidence, this pooled analysis indicates that anti-VEGF monotherapy has a modest effect in patients with CRPC, and clinical benefits gained from anti-VEGF-based doublets appear greater than anti-VEGF monotherapy.</w:t>
      </w:r>
    </w:p>
    <w:p w:rsidR="0056312E" w:rsidRDefault="0056312E" w:rsidP="0056312E">
      <w:pPr>
        <w:pStyle w:val="a3"/>
        <w:rPr>
          <w:kern w:val="0"/>
        </w:rPr>
      </w:pPr>
      <w:r>
        <w:rPr>
          <w:kern w:val="0"/>
        </w:rPr>
        <w:t>Keywords: 2nd-Line Treatment, Analysis, Angiogenesis, Angiogenesis Inhibitors, Articles, Benefits, Cancer, Castration-Resistant, Castration-Resistant Prostate Cancer, Clinical, Cohort, Databases, Efficacy, Endothelial Growth-Factor, Estimates, Evidence, From, Growth, Growth Factor, Hematologic Toxicities, Kidney, Lung, Lung-Cancer, Materials, Median, Meta Analysis, Meta-Analysis, Metaanalysis, Metastatic, Metastatic Colorectal-Cancer, Methods, Oncology, Overall Survival, Patients, Phase-3 Trial, Pooled Analysis, Prospective, Prospective Studies, Prostate Cancer, Pubmed, Randomized, Randomized Controlled Trials, Randomized Controlled-Trials, Renal-Cell Carcinoma, Response, Results, Role, Science, Signaling, Software, Survival, T, Targeting, Thromboembolic Events, Toxicity, Tumor, Tumor-Growth, Vascular Endothelial Growth Factor, Vegf, Vegf Inhibitors, Version, Web Of Science</w:t>
      </w:r>
    </w:p>
    <w:p w:rsidR="0056312E" w:rsidRDefault="0056312E" w:rsidP="0056312E">
      <w:pPr>
        <w:pStyle w:val="a3"/>
        <w:rPr>
          <w:kern w:val="0"/>
        </w:rPr>
      </w:pPr>
      <w:r>
        <w:rPr>
          <w:kern w:val="0"/>
        </w:rPr>
        <w:t xml:space="preserve">? Song, X.P., Tian, J.H., Cui, Q., Zhang, T.T., Yang, K.H. and Ding, G.W. (2014), Could clinical pathways improve the quality of care in patients with gastrointestinal cancer? A meta-analysis. </w:t>
      </w:r>
      <w:r>
        <w:rPr>
          <w:i/>
          <w:iCs/>
          <w:kern w:val="0"/>
        </w:rPr>
        <w:t>Asian Pacific Journal of Cancer Prevention</w:t>
      </w:r>
      <w:r>
        <w:rPr>
          <w:kern w:val="0"/>
        </w:rPr>
        <w:t xml:space="preserve">, </w:t>
      </w:r>
      <w:r>
        <w:rPr>
          <w:b/>
          <w:bCs/>
          <w:kern w:val="0"/>
        </w:rPr>
        <w:t>15</w:t>
      </w:r>
      <w:r>
        <w:rPr>
          <w:kern w:val="0"/>
        </w:rPr>
        <w:t xml:space="preserve"> (19), 8361-8366.</w:t>
      </w:r>
    </w:p>
    <w:p w:rsidR="0056312E" w:rsidRDefault="0056312E" w:rsidP="0056312E">
      <w:pPr>
        <w:pStyle w:val="a3"/>
        <w:rPr>
          <w:kern w:val="0"/>
        </w:rPr>
      </w:pPr>
      <w:r>
        <w:rPr>
          <w:kern w:val="0"/>
        </w:rPr>
        <w:t>Full Text: 2014\Asi Pac J Can Pre15, 8361.pdf</w:t>
      </w:r>
    </w:p>
    <w:p w:rsidR="0056312E" w:rsidRDefault="0056312E" w:rsidP="0056312E">
      <w:pPr>
        <w:pStyle w:val="a3"/>
        <w:rPr>
          <w:kern w:val="0"/>
        </w:rPr>
      </w:pPr>
      <w:r>
        <w:rPr>
          <w:kern w:val="0"/>
        </w:rPr>
        <w:t xml:space="preserve">Abstract: This meta-analysis was performed to assess the implementation effects of clinical pathways in patients with gastrointestinal cancer. A comprehensive search was conducted in the Cochrane Library, PubMed, EMBASE, Web of Science and Chinese Biomedical Literature Database (from inception to May 2014). Selection of studies, assessing risk of bias and extracting data were performed by two reviewers independently. Outcomes were analyzed by fixed-effects and random-effects model meta-analysis and reported as mean difference (MD), standardized mean difference (SMD) and odds ratio (OR) with 95% confidence intervals (CI). The Jadad methodological approach was used to assess the quality of included studies and the meta-analysis was conducted with RevMan 5.1 software. Nine citations (eight trials) involving 642 patients were included. The aggregate results showed that a shorter average length of stay [MD = -4.0; 95% CI (-5.1, -2.8); P &lt; 0.00001] was observed with the clinical pathways as compared with the usual care. A reduction in inpatient expenditure [SMD = -1.5; 95% CI (-2.3, -0.7); P = 0.0001] was also associated with clinical pathways, along with higher patient satisfaction [OR = 4.9; 95% CI (2.2, </w:t>
      </w:r>
      <w:r>
        <w:rPr>
          <w:kern w:val="0"/>
        </w:rPr>
        <w:lastRenderedPageBreak/>
        <w:t>10.6); P &lt; 0.0001]. Clinical pathways could improve the quality of care in patients with gastrointestinal cancer, as evidenced by a significant reduction in average length of stay, a decrease in inpatient expenditure and an improvement in patient satisfaction. Therefore, indicators and mechanisms within clinical pathways should be a focus in the future.</w:t>
      </w:r>
    </w:p>
    <w:p w:rsidR="0056312E" w:rsidRDefault="0056312E" w:rsidP="0056312E">
      <w:pPr>
        <w:pStyle w:val="a3"/>
        <w:rPr>
          <w:kern w:val="0"/>
        </w:rPr>
      </w:pPr>
      <w:r>
        <w:rPr>
          <w:kern w:val="0"/>
        </w:rPr>
        <w:t>Keywords: Approach, Assessing, Bias, Biomedical, Cancer, Care, Chinese, Citations, Clinical, Clinical Pathways, Confidence, Confidence Intervals, Data, Database, Effects, Embase, Expenditure, From, Gastrointestinal, Gastrointestinal Cancer, Hospital Costs, Impact, Implementation, Improvement, Indicators, Intervals, Length, Length Of Stay, Literature, Mechanisms, Meta Analysis, Meta-Analysis, Metaanalysis, Model, Odds Ratio, Outcomes, P, Pathways, Patient Satisfaction, Patients, Pubmed, Quality, Quality Of, Quality Of Care, Random Effects Model, Reduction, Reviewers, Risk, Satifaction, Satisfaction, Science, Software, Stay, Surgery, Trials, Web Of Science</w:t>
      </w:r>
    </w:p>
    <w:p w:rsidR="00D2382B" w:rsidRDefault="00D2382B" w:rsidP="00D2382B">
      <w:pPr>
        <w:pStyle w:val="a3"/>
        <w:rPr>
          <w:kern w:val="0"/>
        </w:rPr>
      </w:pPr>
      <w:r>
        <w:rPr>
          <w:rFonts w:hint="eastAsia"/>
          <w:kern w:val="0"/>
        </w:rPr>
        <w:t xml:space="preserve">? </w:t>
      </w:r>
      <w:r>
        <w:rPr>
          <w:kern w:val="0"/>
        </w:rPr>
        <w:t xml:space="preserve">Anaya-Ruiz, M., Vincent, A.K. and Perez-Santos, M. (2014), Cervical cancer trends in Mexico: Incidence, mortality and research output. </w:t>
      </w:r>
      <w:r>
        <w:rPr>
          <w:i/>
          <w:iCs/>
          <w:kern w:val="0"/>
        </w:rPr>
        <w:t>Asian Pacific Journal of Cancer Prevention</w:t>
      </w:r>
      <w:r>
        <w:rPr>
          <w:kern w:val="0"/>
        </w:rPr>
        <w:t xml:space="preserve">, </w:t>
      </w:r>
      <w:r>
        <w:rPr>
          <w:b/>
          <w:bCs/>
          <w:kern w:val="0"/>
        </w:rPr>
        <w:t>15</w:t>
      </w:r>
      <w:r>
        <w:rPr>
          <w:kern w:val="0"/>
        </w:rPr>
        <w:t xml:space="preserve"> (20), 8689-8692.</w:t>
      </w:r>
    </w:p>
    <w:p w:rsidR="00D2382B" w:rsidRDefault="00D2382B" w:rsidP="00D2382B">
      <w:pPr>
        <w:pStyle w:val="a3"/>
        <w:rPr>
          <w:kern w:val="0"/>
        </w:rPr>
      </w:pPr>
      <w:r>
        <w:rPr>
          <w:kern w:val="0"/>
        </w:rPr>
        <w:t>Full Text: 2014\Asi Pac J Can Pre15, 8689.pdf</w:t>
      </w:r>
    </w:p>
    <w:p w:rsidR="00D2382B" w:rsidRDefault="00D2382B" w:rsidP="00D2382B">
      <w:pPr>
        <w:pStyle w:val="a3"/>
        <w:rPr>
          <w:kern w:val="0"/>
        </w:rPr>
      </w:pPr>
      <w:r>
        <w:rPr>
          <w:kern w:val="0"/>
        </w:rPr>
        <w:t>Abstract: Purpose: To evaluate the recent incidence and mortality of and scientific research trends in cervical cancer in Mexican females. Materials and Methods: Data between 2000 and 2010 from the Department of Epidemiology of the Ministry of Health, and International Agency for Research on Cancer (IARC) of World Health Organization were analyzed, and age-standardized rates (ASRs) were calculated. In addition, scientific research data were retrieved from the Web of Science database from 2003 to 2012, using different terms related to cervical cancer. Results: The incidence rate decreased during last five years, while mortality rates showed an annual decrease of 4.93%. A total of 780 articles were retrieved, and the institutions with the majority of publications were National Autonomous University of Mexico (34.87%), Social Security Mexican Institute (16.02%), and National Institute of Cancerology (15%). The main types of research were treatment, diagnosis, and prevention. Conclusions: The above results show that incidence of cervical cancer decreased over time in Mexico during last five years; similarly, the downturn observed in mortality mainly reflects improved survival as a result of earlier diagnosis and cancer treatment. Also, this article demonstrates the usefulness of bibliometrics to address key evaluation questions and to establish priorities, define future areas of research, and develop cervical cancer control strategies in Mexico.</w:t>
      </w:r>
    </w:p>
    <w:p w:rsidR="00D2382B" w:rsidRDefault="00D2382B" w:rsidP="00D2382B">
      <w:pPr>
        <w:pStyle w:val="a3"/>
        <w:rPr>
          <w:kern w:val="0"/>
        </w:rPr>
      </w:pPr>
      <w:r>
        <w:rPr>
          <w:kern w:val="0"/>
        </w:rPr>
        <w:t xml:space="preserve">Keywords: Agency, Article, Articles, Bibliometric, Bibliometrics, Cancer, Cancer Treatment, Cervical Cancer, Control, Control Strategies, Data, Database, Diagnosis, Epidemiology, Evaluation, From, Health, Incidence, Institutions, International, </w:t>
      </w:r>
      <w:r>
        <w:rPr>
          <w:kern w:val="0"/>
        </w:rPr>
        <w:lastRenderedPageBreak/>
        <w:t>Knowledge, Materials, Methods, Mexico, Mortality, Performance, Prevention, Publications, Rates, Recent, Research, Research Data, Research Trends, Results, Risk, Science, Scientific Research, Security, Survival, Treatment, Trends, Types Of Research, University, Web, Web Of Science, World Health Organization</w:t>
      </w:r>
    </w:p>
    <w:p w:rsidR="00D2382B" w:rsidRDefault="00D2382B" w:rsidP="00D2382B">
      <w:pPr>
        <w:pStyle w:val="a3"/>
        <w:rPr>
          <w:kern w:val="0"/>
        </w:rPr>
      </w:pPr>
      <w:r>
        <w:rPr>
          <w:rFonts w:hint="eastAsia"/>
          <w:kern w:val="0"/>
        </w:rPr>
        <w:t xml:space="preserve">? </w:t>
      </w:r>
      <w:r>
        <w:rPr>
          <w:kern w:val="0"/>
        </w:rPr>
        <w:t xml:space="preserve">Guo, L.Y., Yang, N., Hu, D., Zhao, X., Feng, B., Zhang, Y. and Zhai, M. (2014), PLCE1 rs2274223 Polymorphism and susceptibility to esophageal cancer: A meta-analysis. </w:t>
      </w:r>
      <w:r>
        <w:rPr>
          <w:i/>
          <w:iCs/>
          <w:kern w:val="0"/>
        </w:rPr>
        <w:t>Asian Pacific Journal of Cancer Prevention</w:t>
      </w:r>
      <w:r>
        <w:rPr>
          <w:kern w:val="0"/>
        </w:rPr>
        <w:t xml:space="preserve">, </w:t>
      </w:r>
      <w:r>
        <w:rPr>
          <w:b/>
          <w:bCs/>
          <w:kern w:val="0"/>
        </w:rPr>
        <w:t>15</w:t>
      </w:r>
      <w:r>
        <w:rPr>
          <w:kern w:val="0"/>
        </w:rPr>
        <w:t xml:space="preserve"> (21), 9107-9112.</w:t>
      </w:r>
    </w:p>
    <w:p w:rsidR="00D2382B" w:rsidRDefault="00D2382B" w:rsidP="00D2382B">
      <w:pPr>
        <w:pStyle w:val="a3"/>
        <w:rPr>
          <w:kern w:val="0"/>
        </w:rPr>
      </w:pPr>
      <w:r>
        <w:rPr>
          <w:kern w:val="0"/>
        </w:rPr>
        <w:t>Full Text: 2014\Asi Pac J Can Pre15, 9107.pdf</w:t>
      </w:r>
    </w:p>
    <w:p w:rsidR="00D2382B" w:rsidRDefault="00D2382B" w:rsidP="00D2382B">
      <w:pPr>
        <w:pStyle w:val="a3"/>
        <w:rPr>
          <w:kern w:val="0"/>
        </w:rPr>
      </w:pPr>
      <w:r>
        <w:rPr>
          <w:kern w:val="0"/>
        </w:rPr>
        <w:t>Abstract: Purpose: To investigate and study the relationship between the PLCE1 rs2274223 gene polymorphism and susceptibility to esophageal cancer by meta-analysis. Materials and Methods: The literature was searched in Wanfang, CNKI, PubMed, CBM, Web of Science, MEDLINE, EMBASE, Springer, Elsevier and Cochrane databases from the date of January 1st 2004 to April 1st 2014 to collect case-control studies on the PLCE1 polymorphism and susceptibility to esophageal cancer. For the population genotype distributions of both esophagus cancer and control groups, their odds ratios (ORs) and 95% confidence intervals (CIs) were taken as effect indexes. Disqualified studies were excluded. Odds ratios of PLCE1 rs2274223 genotype distributions in the group of patients with esophageal cancer and the group of healthy control were calculated. The meta-analysis software, RevMan5.0, was applied for heterogeneity test, pooled OR and 95% confidence intervals. Sensitivity analysis and publication bias were also explored. Results: A total of twelve case-control studies were included, covering a total of 9, 912 esophageal cancer cases and 13, 023 controls were included. The pooled odds ratio of PLCE1 rs2274223 genotype GA vs AA was 1.29 (95% CI=1.17 similar to 1.43), p&lt;0.01, GG vs AA was 1.65 (95% CI=1.32 similar to 2.05), p&lt;0.01, GG/GA vs AA was 1.30 (95% CI=1.16 similar to 1.46), p&lt;0.01 and GG vs GA/AA was 1.48 (95% CI=1.22 similar to 1.80), p&lt;0.01. The PLCE1 rs2274223 polymorphism was thus associated with risk of esophageal cancer in all genetic models. In the stratified analysis by ethnicity, and source of controls, no significantly increased risk was observed for white persons. There was no obvious publication bias detected. Conclusions: This meta-analysis showed there was a significantly association between PLCE1 rs2274223 polymorphism and esophageal cancer in yellow race populations. Due to some minor limitations, our findings should be confirmed in further studies.</w:t>
      </w:r>
    </w:p>
    <w:p w:rsidR="00D2382B" w:rsidRDefault="00D2382B" w:rsidP="00D2382B">
      <w:pPr>
        <w:pStyle w:val="a3"/>
        <w:rPr>
          <w:kern w:val="0"/>
        </w:rPr>
      </w:pPr>
      <w:r>
        <w:rPr>
          <w:kern w:val="0"/>
        </w:rPr>
        <w:t xml:space="preserve">Keywords: Analysis, Association, Bias, Cancer, Case-Control, Case-Control Studies, Case-Control Study, Confidence, Confidence Intervals, Control, Control Groups, Databases, Embase, Esophageal, Esophageal Cancer, Ethnicity, From, Gene, Gene Polymorphism, Genetic, Genetic Association, Genome-Wide Association, Genotype, Gg, Groups, Heterogeneity, Intervals, Literature, Locus, Materials, Medline, Meta </w:t>
      </w:r>
      <w:r>
        <w:rPr>
          <w:kern w:val="0"/>
        </w:rPr>
        <w:lastRenderedPageBreak/>
        <w:t>Analysis, Meta-Analysis, Metaanalysis, Methods, Minor, Models, Odds Ratio, Patients, Plce1, Plce1 Rs2274223, Polymorphism, Population, Populations, Publication, Publication Bias, Pubmed, Race, Results, Risk, Science, Sensitivity, Sensitivity Analysis, Software, Source, Springer, Squamous-Cell Carcinoma, Susceptibility, Upper Gastrointestinal Cancers, Web, Web Of Science</w:t>
      </w:r>
    </w:p>
    <w:p w:rsidR="00D2382B" w:rsidRDefault="00D2382B" w:rsidP="00D2382B">
      <w:pPr>
        <w:pStyle w:val="a3"/>
        <w:rPr>
          <w:kern w:val="0"/>
        </w:rPr>
      </w:pPr>
      <w:r>
        <w:rPr>
          <w:rFonts w:hint="eastAsia"/>
          <w:kern w:val="0"/>
        </w:rPr>
        <w:t xml:space="preserve">? </w:t>
      </w:r>
      <w:r>
        <w:rPr>
          <w:kern w:val="0"/>
        </w:rPr>
        <w:t xml:space="preserve">Namiranian, N., Moradi-Lakeh, M., Razavi-Ratki, S.K., Doayie, M. and Nojomi, M. (2014), Risk factors of breast cancer in the eastern mediterranean region: A systematic review and meta-analysis. </w:t>
      </w:r>
      <w:r>
        <w:rPr>
          <w:i/>
          <w:iCs/>
          <w:kern w:val="0"/>
        </w:rPr>
        <w:t>Asian Pacific Journal of Cancer Prevention</w:t>
      </w:r>
      <w:r>
        <w:rPr>
          <w:kern w:val="0"/>
        </w:rPr>
        <w:t xml:space="preserve">, </w:t>
      </w:r>
      <w:r>
        <w:rPr>
          <w:b/>
          <w:bCs/>
          <w:kern w:val="0"/>
        </w:rPr>
        <w:t>15</w:t>
      </w:r>
      <w:r>
        <w:rPr>
          <w:kern w:val="0"/>
        </w:rPr>
        <w:t xml:space="preserve"> (21), 9535-9541.</w:t>
      </w:r>
    </w:p>
    <w:p w:rsidR="00D2382B" w:rsidRDefault="00D2382B" w:rsidP="00D2382B">
      <w:pPr>
        <w:pStyle w:val="a3"/>
        <w:rPr>
          <w:kern w:val="0"/>
        </w:rPr>
      </w:pPr>
      <w:r>
        <w:rPr>
          <w:kern w:val="0"/>
        </w:rPr>
        <w:t>Full Text: 2014\Asi Pac J Can Pre15, 9535.pdf</w:t>
      </w:r>
    </w:p>
    <w:p w:rsidR="00D2382B" w:rsidRDefault="00D2382B" w:rsidP="00D2382B">
      <w:pPr>
        <w:pStyle w:val="a3"/>
        <w:rPr>
          <w:kern w:val="0"/>
        </w:rPr>
      </w:pPr>
      <w:r>
        <w:rPr>
          <w:kern w:val="0"/>
        </w:rPr>
        <w:t>Abstract: Background: Identifying risk factors of breast cancer is a key point for preventive strategies to reduce the incidence. The aim of current study was to determine most important risk factors for breast cancer in the Eastern Mediterranean Region (EMR) using a systematic review. Materials and Methods: PubMed, Scopus, Web of Science till August 24, 2012 and the reference lists of all included studies were searched. Analytic studies which had reported odds ratios (OR), relative risk (RR) or required data to calculate them were included. A total of 343 studies were critically appraised and finally 30 studies were meta-analyzed. Heterogeneity between the studies was assessed by I-2 and Cochran’s Q. Egger’s test was used to assess publication bias. Results: Twenty five case-control studies, one nested case-control and four cohort studies were included. The largest ORs were obtained for history of no live birth (2.25; 95% CI: 1.58-3.18), body mass index (BMI) more than 30 (2.21; 95% CI: 1.71-2.36), age at first pregnancy more than 30 years old (1.52; 95% CI: 1.30-1.77) and meat consumption more than three times per week (1.39; 95% CI: 1.03-1.87). The other important predictors were higher education and smoking as risk factors, physical activity and ovulatory stimulating medication as protective factors. Conclusions: The most important predictors of breast cancer in EMR were history of no live birth, BMI more than 30, age at first pregnancy more than 30 years old, physical inactivity and smoking. Almost all these risk factors are consistent with known risk factors for this cancer in other parts of the world.</w:t>
      </w:r>
    </w:p>
    <w:p w:rsidR="00D2382B" w:rsidRDefault="00D2382B" w:rsidP="00D2382B">
      <w:pPr>
        <w:pStyle w:val="a3"/>
        <w:rPr>
          <w:kern w:val="0"/>
        </w:rPr>
      </w:pPr>
      <w:r>
        <w:rPr>
          <w:kern w:val="0"/>
        </w:rPr>
        <w:t>Keywords: Activity, Age, Alcohol, Association, Bias, Birth, BMI, Body Mass Index, Breast, Breast Cancer, Cancer, Carbohydrate, Case-Control, Case-Control Studies, Cohort, Consumption, Data, Eastern Mediterranean, Eastern Mediterranean Region, Education, EMR, Factors, First, Higher Education, History, Incidence, Index, Iran, Jewish, Live Birth, Materials, Mediterranean, Meta-Analysis, Methods, Nested, Pakistani Population, Physical, Physical Activity, Predictors, Pregnancy, Publication, Publication Bias, Pubmed, Reference, Reference Lists, Relative Risk, Results, Review, Risk, Risk Factors, Science, Scopus, Smoking, Systematic, Systematic Review, Till, Tobacco, Web, Web Of Science, World, Young-Women</w:t>
      </w:r>
    </w:p>
    <w:p w:rsidR="00D2382B" w:rsidRDefault="00D2382B" w:rsidP="00D2382B">
      <w:pPr>
        <w:pStyle w:val="a3"/>
        <w:rPr>
          <w:kern w:val="0"/>
        </w:rPr>
      </w:pPr>
      <w:r>
        <w:rPr>
          <w:rFonts w:hint="eastAsia"/>
          <w:kern w:val="0"/>
        </w:rPr>
        <w:lastRenderedPageBreak/>
        <w:t xml:space="preserve">? </w:t>
      </w:r>
      <w:r>
        <w:rPr>
          <w:kern w:val="0"/>
        </w:rPr>
        <w:t xml:space="preserve">Cui, X.B., Peng, H., Li, S., Li, T.T., Liu, C.X., Zhang, S.M., Jin, T.T., Hu, J.M., Jiang, J.F., Liang, W.H., Li, N., Li, L., Chen, Y.Z. and Li, F. (2014), Prognostic value of PLCE1 expression in upper gastrointestinal cancer: A systematic review and meta-analysis. </w:t>
      </w:r>
      <w:r>
        <w:rPr>
          <w:i/>
          <w:iCs/>
          <w:kern w:val="0"/>
        </w:rPr>
        <w:t>Asian Pacific Journal of Cancer Prevention</w:t>
      </w:r>
      <w:r>
        <w:rPr>
          <w:kern w:val="0"/>
        </w:rPr>
        <w:t xml:space="preserve">, </w:t>
      </w:r>
      <w:r>
        <w:rPr>
          <w:b/>
          <w:bCs/>
          <w:kern w:val="0"/>
        </w:rPr>
        <w:t>15</w:t>
      </w:r>
      <w:r>
        <w:rPr>
          <w:kern w:val="0"/>
        </w:rPr>
        <w:t xml:space="preserve"> (22), 9661-9666.</w:t>
      </w:r>
    </w:p>
    <w:p w:rsidR="00D2382B" w:rsidRDefault="00D2382B" w:rsidP="00D2382B">
      <w:pPr>
        <w:pStyle w:val="a3"/>
        <w:rPr>
          <w:kern w:val="0"/>
        </w:rPr>
      </w:pPr>
      <w:r>
        <w:rPr>
          <w:kern w:val="0"/>
        </w:rPr>
        <w:t>Full Text: 2014\Asi Pac J Can Pre15, 9661.pdf</w:t>
      </w:r>
    </w:p>
    <w:p w:rsidR="00D2382B" w:rsidRDefault="00D2382B" w:rsidP="00D2382B">
      <w:pPr>
        <w:pStyle w:val="a3"/>
        <w:rPr>
          <w:kern w:val="0"/>
        </w:rPr>
      </w:pPr>
      <w:r>
        <w:rPr>
          <w:kern w:val="0"/>
        </w:rPr>
        <w:t>Abstract: Background: A number of studies have identified a shared susceptibility locus in phospholipase C epsilon 1 (PLCE1) for esophageal squamous cell carcinoma (ESCC) and gastric cardia adenocarcinomas (GCA). However, the results of PLCE1 expression in esophageal and gastric cancer remain inconsistent and controversial. Moreover, the effects on clinicopathological features remain undetermined. This study aimed to provide a precise quantification of the association between PLCE1 expression and the risk of ESCC and GCA through meta-analysis. Materials and Methods: Eligible studies were identified from PubMed, Wanfang Data, ISI Web of Science, and the Chinese National Knowledge Infrastructure databases. Using RevMan5.2 software, pooled odds ratios (ORs) with 95% confidence intervals (CIs) were employed to assess the association of PLCE1 expression with clinicopathological features relative to ESCC or GCA. Results: Seven articles were identified, including 761 esophageal and gastric cancer cases and 457 controls. Overall, we determined that PLCE1 expression was associated with tumor progression in both esophageal cancers (pooled OR=5.93; 95% CI=3.86 to 9.11) and gastric cancers (pooled OR=9.73; 95% CI=6.46 to 14.7). Moreover, invasion depth (pooled OR=3.62; 95% CI=2.30 to 5.70) and lymph node metastasis (pooled OR=4.21; 95% CI=2.69 to 6.59) were linked with PLCE1 expression in gastric cancer. However, no significant associations were determined between PLCE1 overexpression and the histologic grade, invasion depth, and lymph node metastasis in esophageal cancer. Conclusions: Our meta-analysis results indicated that upregulated PLCE1 is significantly associated with an increased risk of tumor progression in ESCC and GCA. Therefore, PLCE1 expression can be appropriately regarded as a promising biomarker for ESCC and GCA patients.</w:t>
      </w:r>
    </w:p>
    <w:p w:rsidR="00D2382B" w:rsidRDefault="00D2382B" w:rsidP="00D2382B">
      <w:pPr>
        <w:pStyle w:val="a3"/>
        <w:rPr>
          <w:kern w:val="0"/>
        </w:rPr>
      </w:pPr>
      <w:r>
        <w:rPr>
          <w:kern w:val="0"/>
        </w:rPr>
        <w:t xml:space="preserve">Keywords: Articles, Association, Biomarker, Cancer, Carcinoma, Cell, Chinese, Confidence, Confidence Intervals, Data, Databases, Effects, Epsilon, Escc, Esophageal, Esophageal Cancer, Esophageal Cancers, Esophageal Squamous Cell Carcinoma, Expression, From, Gastric, Gastric Cancer, Gastrointestinal, Gene-Expression, Genome-Wide Association, Intervals, ISI, ISI Web Of Science, Kazakh Patients, Knowledge, Materials, Meta Analysis, Meta-Analysis, Metaanalysis, Metastasis, Methods, Patients, Phospholipase C, Phospholipase-C, Plce1, Population, Prognostic, Progression, Pubmed, Quantification, Results, Review, Risk, Rna Interference, Science, Software, Squamous Cell Carcinoma, Squamous-Cell Carcinoma, Susceptibility, Systematic, Systematic Review, Tumor, </w:t>
      </w:r>
      <w:r>
        <w:rPr>
          <w:kern w:val="0"/>
        </w:rPr>
        <w:lastRenderedPageBreak/>
        <w:t>Upper Gastrointestinal Cancer, Value, Web, Web Of Science</w:t>
      </w:r>
    </w:p>
    <w:p w:rsidR="00D2382B" w:rsidRDefault="00D2382B" w:rsidP="00D2382B">
      <w:pPr>
        <w:pStyle w:val="a3"/>
        <w:rPr>
          <w:kern w:val="0"/>
        </w:rPr>
      </w:pPr>
      <w:r>
        <w:rPr>
          <w:rFonts w:hint="eastAsia"/>
          <w:kern w:val="0"/>
        </w:rPr>
        <w:t xml:space="preserve">? </w:t>
      </w:r>
      <w:r>
        <w:rPr>
          <w:kern w:val="0"/>
        </w:rPr>
        <w:t xml:space="preserve">Yang, X., Zhao, F., Li, Y.H., Huang, M., Huang, Y. and Yi, C. (2014), Lack of association of the cyclooxygenase-2 gene 8473T&gt;C polymorphism with breast cancer risk: A meta-analysis. </w:t>
      </w:r>
      <w:r>
        <w:rPr>
          <w:i/>
          <w:iCs/>
          <w:kern w:val="0"/>
        </w:rPr>
        <w:t>Asian Pacific Journal of Cancer Prevention</w:t>
      </w:r>
      <w:r>
        <w:rPr>
          <w:kern w:val="0"/>
        </w:rPr>
        <w:t xml:space="preserve">, </w:t>
      </w:r>
      <w:r>
        <w:rPr>
          <w:b/>
          <w:bCs/>
          <w:kern w:val="0"/>
        </w:rPr>
        <w:t>15</w:t>
      </w:r>
      <w:r>
        <w:rPr>
          <w:kern w:val="0"/>
        </w:rPr>
        <w:t xml:space="preserve"> (22), 9693-9698.</w:t>
      </w:r>
    </w:p>
    <w:p w:rsidR="00D2382B" w:rsidRDefault="00D2382B" w:rsidP="00D2382B">
      <w:pPr>
        <w:pStyle w:val="a3"/>
        <w:rPr>
          <w:kern w:val="0"/>
        </w:rPr>
      </w:pPr>
      <w:r>
        <w:rPr>
          <w:kern w:val="0"/>
        </w:rPr>
        <w:t>Full Text: 2014\Asi Pac J Can Pre15, 9693.pdf</w:t>
      </w:r>
    </w:p>
    <w:p w:rsidR="00D2382B" w:rsidRDefault="00D2382B" w:rsidP="00D2382B">
      <w:pPr>
        <w:pStyle w:val="a3"/>
        <w:rPr>
          <w:kern w:val="0"/>
        </w:rPr>
      </w:pPr>
      <w:r>
        <w:rPr>
          <w:kern w:val="0"/>
        </w:rPr>
        <w:t>Abstract: Background: Associations between the 8473T&gt;C polymorphism (rs5275) in the cyclooxygenase-2 (COX-2) gene and breast cancer (BC) risk are still inconclusive and ambiguous. The aim of this meta-analysis was to comprehensively estimate the genetic risk of 8473T&gt;C polymorphism in the COX-2 gene for BC. Materials and Methods: We searched PubMed, Web of Science, Medline, Chinese biomedical (CBM), Weipu, China national knowledge infrastructure (CNKI), and Wanfang databases, covering all publications (last search was updated on Aug 17, 2014). Statistical analyses were performed using Revman 5.3 and STATA 10.0 software. Results: A total of 6,720 cases and 9,794 controls in 12 studies were included in this study. The results indicated no significant associations between the 8473T&gt;C polymorphism of the COX-2 gene and BC risk for the CC+TC vs TT model (pooled odds ratio (OR)=0.97, 95% confidence interval (CI)=0.90-1.03, and p=0.29). On subgroup analysis, we also found that subdivision on ethnicity among Caucasians, Asians and others also revealed no relationship with BC susceptibility. With the study design (CC+TC vs TT), no significant associations were found in either population-based case-control studies (PCC), or hospital-based case-control studies (HCC). Conclusions: This present meta-analysis suggests that the 8473T&gt;C polymorphism in the COX-2 gene is not a conspicuous low-penetrant risk factor for developing BC.</w:t>
      </w:r>
    </w:p>
    <w:p w:rsidR="00D2382B" w:rsidRDefault="00D2382B" w:rsidP="00D2382B">
      <w:pPr>
        <w:pStyle w:val="a3"/>
        <w:rPr>
          <w:kern w:val="0"/>
        </w:rPr>
      </w:pPr>
      <w:r>
        <w:rPr>
          <w:kern w:val="0"/>
        </w:rPr>
        <w:t>Keywords: Analyses, Analysis, Asians, Association, Bc, Bias, Biomedical, Breast, Breast Cancer, Cancer, Carcinoma, Case-Control, Case-Control Studies, China, Chinese, Chinese Population, Confidence, Cox-2, Cox-2 Gene, Cox2, Cyclooxygenase-2, Cyclooxygenase-2 (Cox-2), Databases, Design, Developing, Ethnicity, Expression, Gene, Genetic, Hcc, Infrastructure, Interval, Knowledge, Lung-Cancer, Materials, Medline, Meta Analysis, Meta-Analysis, Metaanalysis, Methods, Model, Nonsteroidal Antiinflammatory Drugs, Odds Ratio, Pcc, Polymorphism, Population Based, Population-Based, Ptgs2, Publications, Pubmed, Results, Risk, Risk Factor, Science, Software, Study Design, Susceptibility, Web, Web Of Science, Women</w:t>
      </w:r>
    </w:p>
    <w:p w:rsidR="00D2382B" w:rsidRDefault="00D2382B" w:rsidP="00D2382B">
      <w:pPr>
        <w:pStyle w:val="a3"/>
        <w:rPr>
          <w:kern w:val="0"/>
        </w:rPr>
      </w:pPr>
      <w:r>
        <w:rPr>
          <w:rFonts w:hint="eastAsia"/>
          <w:kern w:val="0"/>
        </w:rPr>
        <w:t xml:space="preserve">? </w:t>
      </w:r>
      <w:r>
        <w:rPr>
          <w:kern w:val="0"/>
        </w:rPr>
        <w:t xml:space="preserve">Huang, Y.Z., Wu, W., Wu, K., Xu, X.N. and Tang, W.R. (2014), Association of RASSF1A promoter methylation with lung cancer risk: A meta-analysis. </w:t>
      </w:r>
      <w:r>
        <w:rPr>
          <w:i/>
          <w:iCs/>
          <w:kern w:val="0"/>
        </w:rPr>
        <w:t>Asian Pacific Journal of Cancer Prevention</w:t>
      </w:r>
      <w:r>
        <w:rPr>
          <w:kern w:val="0"/>
        </w:rPr>
        <w:t xml:space="preserve">, </w:t>
      </w:r>
      <w:r>
        <w:rPr>
          <w:b/>
          <w:bCs/>
          <w:kern w:val="0"/>
        </w:rPr>
        <w:t>15</w:t>
      </w:r>
      <w:r>
        <w:rPr>
          <w:kern w:val="0"/>
        </w:rPr>
        <w:t xml:space="preserve"> (23), 10325-10328.</w:t>
      </w:r>
    </w:p>
    <w:p w:rsidR="00D2382B" w:rsidRDefault="00D2382B" w:rsidP="00D2382B">
      <w:pPr>
        <w:pStyle w:val="a3"/>
        <w:rPr>
          <w:kern w:val="0"/>
        </w:rPr>
      </w:pPr>
      <w:r>
        <w:rPr>
          <w:kern w:val="0"/>
        </w:rPr>
        <w:t>Full Text: 2014\Asi Pac J Can Pre15, 10325.pdf</w:t>
      </w:r>
    </w:p>
    <w:p w:rsidR="00D2382B" w:rsidRDefault="00D2382B" w:rsidP="00D2382B">
      <w:pPr>
        <w:pStyle w:val="a3"/>
        <w:rPr>
          <w:kern w:val="0"/>
        </w:rPr>
      </w:pPr>
      <w:r>
        <w:rPr>
          <w:kern w:val="0"/>
        </w:rPr>
        <w:lastRenderedPageBreak/>
        <w:t>Abstract: RASSF1A, regarded as a candidate tumor suppressor, is frequently silenced and inactivated by methylation of its promoter region in many human tumors. However, the association between RASSF1A promoter methylation and lung cancer risk remains unclear. To provide a more reliable estimate we conducted a meta-analysis of cohort studies to evaluate the potential role of RASSF1A promoter methylation in lung carcinogenesis. Relevant studies were identified by searches of PubMed, Web of Science, ProQest and Medline databasesusing the following key words: ‘lung cancer or lung neoplasm or lung carcinoma’, ‘RASSF1A methylation’ or ‘RASSF1A hypermethylation’. According to the selection standard, 15 articles were identified and analysised by STATA 12.0 software. Combined odds ratio (OR) and 95% confidence interval (CI) were used to assess the strength of the association between RASSF1A promoter methylation and lung cancer risk. A chi-square-based Q test and sensitivity analyses were performed to test between-study heterogeneity and the contributions of single studies to the final results, respectively. Funnel plots were carried out to evaluate publication bias. Overall, a significant relationship between RASSF1A promoter methylation and lung cancer risk (OR, 16.12; 95%CI, 11.40-22.81; p&lt;0.001) with no between-study heterogeneity. In subgroup analyses, increased risk of RASSF1A methylation in cases than controls was found for the NSCLC group (OR, 13.66, 95%CI, 9.529-19.57) and in the SCLC group (OR, 314.85, 95%CI, 48.93-2026.2).</w:t>
      </w:r>
    </w:p>
    <w:p w:rsidR="00D2382B" w:rsidRDefault="00D2382B" w:rsidP="00D2382B">
      <w:pPr>
        <w:pStyle w:val="a3"/>
        <w:rPr>
          <w:kern w:val="0"/>
        </w:rPr>
      </w:pPr>
      <w:r>
        <w:rPr>
          <w:kern w:val="0"/>
        </w:rPr>
        <w:t>Keywords: Analyses, Articles, Association, Bias, Biomarker, Breast, Cancer, Cancer Risk, Carcinoma, Cohort, Confidence, Dna, Heterogeneity, Human, Hypermethylation, Identification, Inactivation, Interval, Lung, Lung Cancer, Lung Cancer Risk, Medline, Meta Analysis, Meta-Analysis, Metaanalysis, Methylation, Neoplasm, Nonsmall, Nsclc, NSCLC And SCLC, Odds Ratio, Potential, Publication, Publication Bias, Pubmed, Rar-Beta Genes, Rassf1a, Region, Risk, Role, Science, SCLC, Selection, Sensitivity, Software, Standard, Strength, Tumor, Web, Web Of Science</w:t>
      </w:r>
    </w:p>
    <w:p w:rsidR="00D2382B" w:rsidRDefault="00D2382B" w:rsidP="00D2382B">
      <w:pPr>
        <w:pStyle w:val="a3"/>
        <w:rPr>
          <w:kern w:val="0"/>
        </w:rPr>
      </w:pPr>
      <w:r>
        <w:rPr>
          <w:rFonts w:hint="eastAsia"/>
          <w:kern w:val="0"/>
        </w:rPr>
        <w:t xml:space="preserve">? </w:t>
      </w:r>
      <w:r>
        <w:rPr>
          <w:kern w:val="0"/>
        </w:rPr>
        <w:t xml:space="preserve">Fallahzadeh, H., Cheraghi, M., Amoori, N. and Alaf, M. (2014), Red meat intake and risk of non-hodgkin lymphoma: A meta-analysis. </w:t>
      </w:r>
      <w:r>
        <w:rPr>
          <w:i/>
          <w:iCs/>
          <w:kern w:val="0"/>
        </w:rPr>
        <w:t>Asian Pacific Journal of Cancer Prevention</w:t>
      </w:r>
      <w:r>
        <w:rPr>
          <w:kern w:val="0"/>
        </w:rPr>
        <w:t xml:space="preserve">, </w:t>
      </w:r>
      <w:r>
        <w:rPr>
          <w:b/>
          <w:bCs/>
          <w:kern w:val="0"/>
        </w:rPr>
        <w:t>15</w:t>
      </w:r>
      <w:r>
        <w:rPr>
          <w:kern w:val="0"/>
        </w:rPr>
        <w:t xml:space="preserve"> (23), 10421-10425.</w:t>
      </w:r>
    </w:p>
    <w:p w:rsidR="00D2382B" w:rsidRDefault="00D2382B" w:rsidP="00D2382B">
      <w:pPr>
        <w:pStyle w:val="a3"/>
        <w:rPr>
          <w:kern w:val="0"/>
        </w:rPr>
      </w:pPr>
      <w:r>
        <w:rPr>
          <w:kern w:val="0"/>
        </w:rPr>
        <w:t>Full Text: 2014\Asi Pac J Can Pre15, 10421.pdf</w:t>
      </w:r>
    </w:p>
    <w:p w:rsidR="00D2382B" w:rsidRDefault="00D2382B" w:rsidP="00D2382B">
      <w:pPr>
        <w:pStyle w:val="a3"/>
        <w:rPr>
          <w:kern w:val="0"/>
        </w:rPr>
      </w:pPr>
      <w:r>
        <w:rPr>
          <w:kern w:val="0"/>
        </w:rPr>
        <w:t xml:space="preserve">Abstract: Background: While the incidence of non-Hodgkins lymphoma (NHL) has been rising worldwide, the reasons remain undefined. Recent research has focused on effect of red andf processed meat intake as a risk factor, but with inconclusive results. We therefore conducted a meta-analysis of data published to date, to ascertain the overall association between intake and NHL. Materials and Methods: A published literature search was performed through Pubmed, Cochrane Library, Medline, and Science Citation Index Expanded databases for articles published in English. Pooled </w:t>
      </w:r>
      <w:r>
        <w:rPr>
          <w:kern w:val="0"/>
        </w:rPr>
        <w:lastRenderedPageBreak/>
        <w:t>odds ratios (ORs) and 95% confidence intervals (95% CIs) were calculated using random or fixed effects models. Heterogeneity was assessed using Chi-square and I2 statistics. Dissemination bias was evaluated by funnel plot analysis. We performed a formal meta-analysis using summary measures from these studies. Results: In total, 11 published studies were included in the final analysis. The combined analysis revealed that there was significant association between the red meat and NHL risk (OR=1.10, 95% CI: 1.02 to 1.19, p=0.01). Additionally, there was showed significance association between processed red meat and NHL risk (OR=1.17, 95% CI: 1.06 to 1.29, p=0.001). In subgroup analysis, a statistical significant association was noted between diffuse large B-cell lymphoma (DLBCL) (OR=1.20, 95% CI: 1.04 to 2.37, P=0.01) and red meat intake. Conclusions: In this meta-Analysis, there was evidence for association between consumption of red meat, or processed meat and risk of NHL, particularly with the DLBCL subtype in the red meat case.</w:t>
      </w:r>
    </w:p>
    <w:p w:rsidR="00D2382B" w:rsidRDefault="00D2382B" w:rsidP="00D2382B">
      <w:pPr>
        <w:pStyle w:val="a3"/>
        <w:rPr>
          <w:kern w:val="0"/>
        </w:rPr>
      </w:pPr>
      <w:r>
        <w:rPr>
          <w:kern w:val="0"/>
        </w:rPr>
        <w:t>Keywords: Analysis, Articles, Association, Bias, Cancer, Chi-Square, Citation, Cohort, Confidence, Confidence Intervals, Consumption, Data, Databases, Diet, Dissemination, Effects, English, Evidence, From, Incidence, Intervals, Literature, Literature Search, Lymphoma, Materials, Measures, Medline, Meta Analysis, Meta-Analysis, Metaanalysis, Methods, Models, Non-Hodgkins Lymphoma, Recent, Red Meat, Research, Results, Risk, Risk Factor, Science, Science Citation Index, Science Citation Index Expanded, Significance, Statistics, Women</w:t>
      </w:r>
    </w:p>
    <w:p w:rsidR="009840F6" w:rsidRDefault="009840F6" w:rsidP="009840F6">
      <w:pPr>
        <w:pStyle w:val="a3"/>
        <w:rPr>
          <w:kern w:val="0"/>
        </w:rPr>
      </w:pPr>
      <w:r>
        <w:rPr>
          <w:kern w:val="0"/>
        </w:rPr>
        <w:t xml:space="preserve">? Su, M., Yin, Z.H., Wu, W., Li, X.L. and Zhou, B.S. (2014), Meta-analysis of associations between ATM Asp1853Asn and TP53 Arg72Pro polymorphisms and adverse effects of cancer radiotherapy. </w:t>
      </w:r>
      <w:r>
        <w:rPr>
          <w:i/>
          <w:iCs/>
          <w:kern w:val="0"/>
        </w:rPr>
        <w:t>Asian Pacific Journal of Cancer Prevention</w:t>
      </w:r>
      <w:r>
        <w:rPr>
          <w:kern w:val="0"/>
        </w:rPr>
        <w:t xml:space="preserve">, </w:t>
      </w:r>
      <w:r>
        <w:rPr>
          <w:b/>
          <w:bCs/>
          <w:kern w:val="0"/>
        </w:rPr>
        <w:t>15</w:t>
      </w:r>
      <w:r>
        <w:rPr>
          <w:kern w:val="0"/>
        </w:rPr>
        <w:t xml:space="preserve"> (24), 10675-10681.</w:t>
      </w:r>
    </w:p>
    <w:p w:rsidR="009840F6" w:rsidRDefault="009840F6" w:rsidP="009840F6">
      <w:pPr>
        <w:pStyle w:val="a3"/>
        <w:rPr>
          <w:kern w:val="0"/>
        </w:rPr>
      </w:pPr>
      <w:r>
        <w:rPr>
          <w:kern w:val="0"/>
        </w:rPr>
        <w:t>Full Text: 2014\Asi Pac J Can Pre15, 10675.pdf</w:t>
      </w:r>
    </w:p>
    <w:p w:rsidR="009840F6" w:rsidRDefault="009840F6" w:rsidP="009840F6">
      <w:pPr>
        <w:pStyle w:val="a3"/>
        <w:rPr>
          <w:kern w:val="0"/>
        </w:rPr>
      </w:pPr>
      <w:r>
        <w:rPr>
          <w:kern w:val="0"/>
        </w:rPr>
        <w:t xml:space="preserve">Abstract: Background: The ataxia telangiectasia mutated (ATM) protein and p53 play key roles in sensing and repairing radiation-induced DNA double strand breaks (DSBs). Accumulating epidemiological evidence indicates that functional genetic variants in ATM and TP53 genes may have an impact on the risk of radiotherapy-induced side effects. Here we performed a meta-analysis to investigate the potential interaction between ATM Asp1853Asn and TP53 polymorphisms and risk of radiotherapy-induced adverse effects quantitatively. Materials and Methods: Relevant articles were retrieved from PubMed, ISI Web of Science and the China National Knowledge Infrastructure (CNKI) databases. Eligible studies were selected according to specific inclusion and exclusion criteria. Odds ratios (ORs) and 95% confidence intervals (CIs) were pooled to estimate the association between ATM Asp1853Asn and TP53 Arg72Pro polymorphisms and risk of radiotherapy adverse effects. All analyses were performed using the Stata software. Results: A total of twenty articles were included in the present analysis. In the overall analysis, no </w:t>
      </w:r>
      <w:r>
        <w:rPr>
          <w:kern w:val="0"/>
        </w:rPr>
        <w:lastRenderedPageBreak/>
        <w:t>significant associations between ATM Asp1853Asn and TP53 Arg72Pro polymorphisms and the risk of radiotherapy adverse effects were found. We conducted subgroup analysis stratified by type of cancer, region and time of appearance of side effects subsequently. No significant association between ATM Asp1853Asn and risk of radiotherapy adverse effects was found in any subgroup analysis. For TP53 Arg72Pro, variant C allele was associated with decreased radiotherapy adverse effects risk among Asian cancer patients in the stratified analysis by region (OR=0.71, 95% CI: 0.54-0.93, p=0.012). No significant results were found in the subgroup analysis of tumor type and time of appearance of side effects. Conclusions: The TP53 Arg72Pro C allele might be a protective factor of radiotherapy-induced adverse effects among cancer patients from Asia. Further studies that take into consideration treatment-related factors and patient lifestyle including environmental exposures are warranted.</w:t>
      </w:r>
    </w:p>
    <w:p w:rsidR="009840F6" w:rsidRDefault="009840F6" w:rsidP="009840F6">
      <w:pPr>
        <w:pStyle w:val="a3"/>
        <w:rPr>
          <w:kern w:val="0"/>
        </w:rPr>
      </w:pPr>
      <w:r>
        <w:rPr>
          <w:kern w:val="0"/>
        </w:rPr>
        <w:t>Keywords: Adverse Effects, Analyses, Analysis, Articles, Asia, Asian, Association, Ataxia-Telangiectasia, Atm, Breast-Cancer, Cancer, China, Common Variants, Confidence, Confidence Intervals, Criteria, Databases, Dna, Dna-Damage, Effects, Environmental, Evidence, Exposures, Factors, From, Genes, Genetic, Genetic Polymorphisms, Genetic Variants, Impact, Interaction, Intervals, Isi, Isi Web Of Science, Knowledge, Materials, Meta Analysis, Meta-Analysis, Metaanalysis, Methods, Normal Tissue, P53, Patient, Patients, Polymorphisms, Potential, Prostate-Cancer, Protein, Pubmed, Radiation, Radiotherapy, Region, Results, Risk, Science, Sequence Variants, Side Effects, Single Nucleotide Polymorphisms, Software, Stata, Toxicity, Tp53, Tumor, Web, Web Of Science</w:t>
      </w:r>
    </w:p>
    <w:p w:rsidR="00733443" w:rsidRPr="001A3D2B" w:rsidRDefault="00733443" w:rsidP="00733443">
      <w:pPr>
        <w:pStyle w:val="1"/>
      </w:pPr>
      <w:r w:rsidRPr="001A3D2B">
        <w:br w:type="page"/>
      </w:r>
      <w:bookmarkStart w:id="658" w:name="_Toc420814638"/>
      <w:r w:rsidRPr="001A3D2B">
        <w:lastRenderedPageBreak/>
        <w:t xml:space="preserve">Title: </w:t>
      </w:r>
      <w:r w:rsidRPr="00733443">
        <w:rPr>
          <w:rFonts w:hint="eastAsia"/>
          <w:iCs w:val="0"/>
          <w:szCs w:val="24"/>
        </w:rPr>
        <w:t>Asian Pacific Journal</w:t>
      </w:r>
      <w:r w:rsidR="00427468">
        <w:rPr>
          <w:rFonts w:hint="eastAsia"/>
          <w:iCs w:val="0"/>
          <w:szCs w:val="24"/>
        </w:rPr>
        <w:t xml:space="preserve"> of </w:t>
      </w:r>
      <w:r w:rsidRPr="00733443">
        <w:rPr>
          <w:rFonts w:hint="eastAsia"/>
          <w:iCs w:val="0"/>
          <w:szCs w:val="24"/>
        </w:rPr>
        <w:t>Tropical Medicine</w:t>
      </w:r>
      <w:bookmarkEnd w:id="658"/>
    </w:p>
    <w:p w:rsidR="00733443" w:rsidRPr="001A3D2B" w:rsidRDefault="00733443" w:rsidP="00733443">
      <w:pPr>
        <w:pStyle w:val="12"/>
      </w:pPr>
      <w:r w:rsidRPr="001A3D2B">
        <w:t xml:space="preserve">Full Journal Title: </w:t>
      </w:r>
      <w:r w:rsidRPr="00733443">
        <w:rPr>
          <w:rFonts w:hint="eastAsia"/>
          <w:iCs/>
          <w:kern w:val="0"/>
        </w:rPr>
        <w:t>Asian Pacific Journal</w:t>
      </w:r>
      <w:r w:rsidR="00427468">
        <w:rPr>
          <w:rFonts w:hint="eastAsia"/>
          <w:iCs/>
          <w:kern w:val="0"/>
        </w:rPr>
        <w:t xml:space="preserve"> of </w:t>
      </w:r>
      <w:r w:rsidRPr="00733443">
        <w:rPr>
          <w:rFonts w:hint="eastAsia"/>
          <w:iCs/>
          <w:kern w:val="0"/>
        </w:rPr>
        <w:t>Tropical Medicine</w:t>
      </w:r>
    </w:p>
    <w:p w:rsidR="00733443" w:rsidRPr="001A3D2B" w:rsidRDefault="00733443" w:rsidP="00733443">
      <w:pPr>
        <w:pStyle w:val="12"/>
      </w:pPr>
      <w:r w:rsidRPr="001A3D2B">
        <w:t xml:space="preserve">ISO Abbreviated Title: </w:t>
      </w:r>
    </w:p>
    <w:p w:rsidR="00733443" w:rsidRPr="001A3D2B" w:rsidRDefault="00733443" w:rsidP="00733443">
      <w:pPr>
        <w:pStyle w:val="12"/>
      </w:pPr>
      <w:r w:rsidRPr="001A3D2B">
        <w:t xml:space="preserve">JCR Abbreviated Title: </w:t>
      </w:r>
    </w:p>
    <w:p w:rsidR="00733443" w:rsidRPr="001A3D2B" w:rsidRDefault="00733443" w:rsidP="00733443">
      <w:pPr>
        <w:pStyle w:val="12"/>
      </w:pPr>
      <w:r w:rsidRPr="001A3D2B">
        <w:t xml:space="preserve">ISSN: </w:t>
      </w:r>
    </w:p>
    <w:p w:rsidR="00733443" w:rsidRPr="001A3D2B" w:rsidRDefault="00733443" w:rsidP="00733443">
      <w:pPr>
        <w:pStyle w:val="12"/>
      </w:pPr>
      <w:r w:rsidRPr="001A3D2B">
        <w:t xml:space="preserve">Issues/Year: </w:t>
      </w:r>
    </w:p>
    <w:p w:rsidR="00733443" w:rsidRPr="001A3D2B" w:rsidRDefault="00733443" w:rsidP="00733443">
      <w:pPr>
        <w:pStyle w:val="12"/>
      </w:pPr>
      <w:r w:rsidRPr="001A3D2B">
        <w:t xml:space="preserve">Journal Country/Territory: </w:t>
      </w:r>
    </w:p>
    <w:p w:rsidR="00733443" w:rsidRPr="001A3D2B" w:rsidRDefault="00733443" w:rsidP="00733443">
      <w:pPr>
        <w:pStyle w:val="12"/>
      </w:pPr>
      <w:r w:rsidRPr="001A3D2B">
        <w:t xml:space="preserve">Language: </w:t>
      </w:r>
    </w:p>
    <w:p w:rsidR="00733443" w:rsidRPr="001A3D2B" w:rsidRDefault="00733443" w:rsidP="00733443">
      <w:pPr>
        <w:pStyle w:val="12"/>
      </w:pPr>
      <w:r w:rsidRPr="001A3D2B">
        <w:t xml:space="preserve">Publisher: </w:t>
      </w:r>
    </w:p>
    <w:p w:rsidR="00733443" w:rsidRPr="001A3D2B" w:rsidRDefault="00733443" w:rsidP="00733443">
      <w:pPr>
        <w:pStyle w:val="12"/>
      </w:pPr>
      <w:r w:rsidRPr="001A3D2B">
        <w:t xml:space="preserve">Publisher Address: </w:t>
      </w:r>
    </w:p>
    <w:p w:rsidR="00733443" w:rsidRPr="001A3D2B" w:rsidRDefault="00733443" w:rsidP="00733443">
      <w:pPr>
        <w:pStyle w:val="12"/>
      </w:pPr>
      <w:r w:rsidRPr="001A3D2B">
        <w:t>Subject Categories:</w:t>
      </w:r>
    </w:p>
    <w:p w:rsidR="00733443" w:rsidRPr="001A3D2B" w:rsidRDefault="00733443" w:rsidP="00733443">
      <w:pPr>
        <w:pStyle w:val="12"/>
      </w:pPr>
      <w:r w:rsidRPr="001A3D2B">
        <w:t>: Impact Factor</w:t>
      </w:r>
    </w:p>
    <w:p w:rsidR="00733443" w:rsidRDefault="00733443" w:rsidP="00733443">
      <w:pPr>
        <w:pStyle w:val="a3"/>
        <w:rPr>
          <w:kern w:val="0"/>
          <w:szCs w:val="24"/>
        </w:rPr>
      </w:pPr>
      <w:r>
        <w:rPr>
          <w:rFonts w:hint="eastAsia"/>
          <w:kern w:val="0"/>
          <w:szCs w:val="24"/>
        </w:rPr>
        <w:t>? Wang, W., Li, Y.Z., Li, H.J., Xing, Y.T., Qu, G.L., Dai, J.R.</w:t>
      </w:r>
      <w:r w:rsidR="005853A9">
        <w:rPr>
          <w:rFonts w:hint="eastAsia"/>
          <w:kern w:val="0"/>
          <w:szCs w:val="24"/>
        </w:rPr>
        <w:t xml:space="preserve"> and </w:t>
      </w:r>
      <w:r>
        <w:rPr>
          <w:rFonts w:hint="eastAsia"/>
          <w:kern w:val="0"/>
          <w:szCs w:val="24"/>
        </w:rPr>
        <w:t>Liang, Y.S. (2012), Immunodiagnostic efficacy</w:t>
      </w:r>
      <w:r w:rsidR="00427468">
        <w:rPr>
          <w:rFonts w:hint="eastAsia"/>
          <w:kern w:val="0"/>
          <w:szCs w:val="24"/>
        </w:rPr>
        <w:t xml:space="preserve"> of </w:t>
      </w:r>
      <w:r>
        <w:rPr>
          <w:rFonts w:hint="eastAsia"/>
          <w:kern w:val="0"/>
          <w:szCs w:val="24"/>
        </w:rPr>
        <w:t>detection</w:t>
      </w:r>
      <w:r w:rsidR="00427468">
        <w:rPr>
          <w:rFonts w:hint="eastAsia"/>
          <w:kern w:val="0"/>
          <w:szCs w:val="24"/>
        </w:rPr>
        <w:t xml:space="preserve"> of </w:t>
      </w:r>
      <w:r>
        <w:rPr>
          <w:rFonts w:hint="eastAsia"/>
          <w:kern w:val="0"/>
          <w:szCs w:val="24"/>
        </w:rPr>
        <w:t xml:space="preserve">Schistosoma japonicum human infections in China: A meta analysis. </w:t>
      </w:r>
      <w:r w:rsidRPr="00733443">
        <w:rPr>
          <w:rFonts w:hint="eastAsia"/>
          <w:i/>
          <w:iCs/>
          <w:kern w:val="0"/>
          <w:szCs w:val="24"/>
        </w:rPr>
        <w:t>Asian Pacific Journal</w:t>
      </w:r>
      <w:r w:rsidR="00427468">
        <w:rPr>
          <w:rFonts w:hint="eastAsia"/>
          <w:i/>
          <w:iCs/>
          <w:kern w:val="0"/>
          <w:szCs w:val="24"/>
        </w:rPr>
        <w:t xml:space="preserve"> of </w:t>
      </w:r>
      <w:r w:rsidRPr="00733443">
        <w:rPr>
          <w:rFonts w:hint="eastAsia"/>
          <w:i/>
          <w:iCs/>
          <w:kern w:val="0"/>
          <w:szCs w:val="24"/>
        </w:rPr>
        <w:t>Tropical Medicine</w:t>
      </w:r>
      <w:r>
        <w:rPr>
          <w:rFonts w:hint="eastAsia"/>
          <w:kern w:val="0"/>
          <w:szCs w:val="24"/>
        </w:rPr>
        <w:t xml:space="preserve">, </w:t>
      </w:r>
      <w:r>
        <w:rPr>
          <w:rFonts w:hint="eastAsia"/>
          <w:b/>
          <w:bCs/>
          <w:kern w:val="0"/>
          <w:szCs w:val="24"/>
        </w:rPr>
        <w:t>5</w:t>
      </w:r>
      <w:r>
        <w:rPr>
          <w:rFonts w:hint="eastAsia"/>
          <w:kern w:val="0"/>
          <w:szCs w:val="24"/>
        </w:rPr>
        <w:t xml:space="preserve"> (1), 15-23.</w:t>
      </w:r>
    </w:p>
    <w:p w:rsidR="00733443" w:rsidRDefault="00733443" w:rsidP="00733443">
      <w:pPr>
        <w:pStyle w:val="a3"/>
        <w:rPr>
          <w:kern w:val="0"/>
          <w:szCs w:val="24"/>
        </w:rPr>
      </w:pPr>
      <w:r>
        <w:rPr>
          <w:rFonts w:hint="eastAsia"/>
          <w:kern w:val="0"/>
          <w:szCs w:val="24"/>
        </w:rPr>
        <w:t xml:space="preserve">Full Text: </w:t>
      </w:r>
      <w:hyperlink r:id="rId1303" w:history="1">
        <w:r w:rsidRPr="00733443">
          <w:rPr>
            <w:rStyle w:val="a5"/>
            <w:kern w:val="0"/>
            <w:szCs w:val="24"/>
          </w:rPr>
          <w:t>2012\Asi Pac J Tro Med5, 15.pdf</w:t>
        </w:r>
      </w:hyperlink>
    </w:p>
    <w:p w:rsidR="00733443" w:rsidRDefault="00733443" w:rsidP="00733443">
      <w:pPr>
        <w:pStyle w:val="a3"/>
        <w:rPr>
          <w:kern w:val="0"/>
          <w:szCs w:val="24"/>
        </w:rPr>
      </w:pPr>
      <w:r>
        <w:rPr>
          <w:rFonts w:hint="eastAsia"/>
          <w:kern w:val="0"/>
          <w:szCs w:val="24"/>
        </w:rPr>
        <w:t>Abstract: objective: To assess</w:t>
      </w:r>
      <w:r w:rsidR="003A1917">
        <w:rPr>
          <w:rFonts w:hint="eastAsia"/>
          <w:kern w:val="0"/>
          <w:szCs w:val="24"/>
        </w:rPr>
        <w:t xml:space="preserve"> the </w:t>
      </w:r>
      <w:r>
        <w:rPr>
          <w:rFonts w:hint="eastAsia"/>
          <w:kern w:val="0"/>
          <w:szCs w:val="24"/>
        </w:rPr>
        <w:t>diagnostic efficacy</w:t>
      </w:r>
      <w:r w:rsidR="00427468">
        <w:rPr>
          <w:rFonts w:hint="eastAsia"/>
          <w:kern w:val="0"/>
          <w:szCs w:val="24"/>
        </w:rPr>
        <w:t xml:space="preserve"> of </w:t>
      </w:r>
      <w:r w:rsidR="003A1917">
        <w:rPr>
          <w:rFonts w:hint="eastAsia"/>
          <w:kern w:val="0"/>
          <w:szCs w:val="24"/>
        </w:rPr>
        <w:t xml:space="preserve">the </w:t>
      </w:r>
      <w:r>
        <w:rPr>
          <w:rFonts w:hint="eastAsia"/>
          <w:kern w:val="0"/>
          <w:szCs w:val="24"/>
        </w:rPr>
        <w:t>currently most widely used indirect hemagglutination assay (IHA)</w:t>
      </w:r>
      <w:r w:rsidR="005853A9">
        <w:rPr>
          <w:rFonts w:hint="eastAsia"/>
          <w:kern w:val="0"/>
          <w:szCs w:val="24"/>
        </w:rPr>
        <w:t xml:space="preserve"> and </w:t>
      </w:r>
      <w:r>
        <w:rPr>
          <w:rFonts w:hint="eastAsia"/>
          <w:kern w:val="0"/>
          <w:szCs w:val="24"/>
        </w:rPr>
        <w:t>enzyme-linked immunosorbent assay (ELISA) for detection</w:t>
      </w:r>
      <w:r w:rsidR="00427468">
        <w:rPr>
          <w:rFonts w:hint="eastAsia"/>
          <w:kern w:val="0"/>
          <w:szCs w:val="24"/>
        </w:rPr>
        <w:t xml:space="preserve"> of </w:t>
      </w:r>
      <w:r>
        <w:rPr>
          <w:rFonts w:hint="eastAsia"/>
          <w:kern w:val="0"/>
          <w:szCs w:val="24"/>
        </w:rPr>
        <w:t>Schistosoma japonicum human infections. Methods: A comprehensive search was undertaken from China National Knowledge Infrastructure, Wanfang Database, VIP Database, PubMed, Cochrane Library, Science Citation Index Expanded, Proquest,</w:t>
      </w:r>
      <w:r w:rsidR="005853A9">
        <w:rPr>
          <w:rFonts w:hint="eastAsia"/>
          <w:kern w:val="0"/>
          <w:szCs w:val="24"/>
        </w:rPr>
        <w:t xml:space="preserve"> and </w:t>
      </w:r>
      <w:r w:rsidR="003A1917">
        <w:rPr>
          <w:rFonts w:hint="eastAsia"/>
          <w:kern w:val="0"/>
          <w:szCs w:val="24"/>
        </w:rPr>
        <w:t xml:space="preserve">the </w:t>
      </w:r>
      <w:r>
        <w:rPr>
          <w:rFonts w:hint="eastAsia"/>
          <w:kern w:val="0"/>
          <w:szCs w:val="24"/>
        </w:rPr>
        <w:t>inclusion</w:t>
      </w:r>
      <w:r w:rsidR="005853A9">
        <w:rPr>
          <w:rFonts w:hint="eastAsia"/>
          <w:kern w:val="0"/>
          <w:szCs w:val="24"/>
        </w:rPr>
        <w:t xml:space="preserve"> and </w:t>
      </w:r>
      <w:r>
        <w:rPr>
          <w:rFonts w:hint="eastAsia"/>
          <w:kern w:val="0"/>
          <w:szCs w:val="24"/>
        </w:rPr>
        <w:t>exclusion criteria were strictly settled</w:t>
      </w:r>
      <w:r w:rsidR="00A37C1D">
        <w:rPr>
          <w:rFonts w:hint="eastAsia"/>
          <w:kern w:val="0"/>
          <w:szCs w:val="24"/>
        </w:rPr>
        <w:t>. The</w:t>
      </w:r>
      <w:r w:rsidR="003A1917">
        <w:rPr>
          <w:rFonts w:hint="eastAsia"/>
          <w:kern w:val="0"/>
          <w:szCs w:val="24"/>
        </w:rPr>
        <w:t xml:space="preserve"> </w:t>
      </w:r>
      <w:r>
        <w:rPr>
          <w:rFonts w:hint="eastAsia"/>
          <w:kern w:val="0"/>
          <w:szCs w:val="24"/>
        </w:rPr>
        <w:t>funnel plot was used to assess</w:t>
      </w:r>
      <w:r w:rsidR="003A1917">
        <w:rPr>
          <w:rFonts w:hint="eastAsia"/>
          <w:kern w:val="0"/>
          <w:szCs w:val="24"/>
        </w:rPr>
        <w:t xml:space="preserve"> the </w:t>
      </w:r>
      <w:r>
        <w:rPr>
          <w:rFonts w:hint="eastAsia"/>
          <w:kern w:val="0"/>
          <w:szCs w:val="24"/>
        </w:rPr>
        <w:t>publication bias, Cochran</w:t>
      </w:r>
      <w:r w:rsidR="00700038">
        <w:rPr>
          <w:kern w:val="0"/>
          <w:szCs w:val="24"/>
        </w:rPr>
        <w:t>’</w:t>
      </w:r>
      <w:r>
        <w:rPr>
          <w:rFonts w:hint="eastAsia"/>
          <w:kern w:val="0"/>
          <w:szCs w:val="24"/>
        </w:rPr>
        <w:t>s Q test was employed to measure</w:t>
      </w:r>
      <w:r w:rsidR="003A1917">
        <w:rPr>
          <w:rFonts w:hint="eastAsia"/>
          <w:kern w:val="0"/>
          <w:szCs w:val="24"/>
        </w:rPr>
        <w:t xml:space="preserve"> the </w:t>
      </w:r>
      <w:r>
        <w:rPr>
          <w:rFonts w:hint="eastAsia"/>
          <w:kern w:val="0"/>
          <w:szCs w:val="24"/>
        </w:rPr>
        <w:t>homogeneity between studies, a summary receiver operating characteristic (SROC) curve was used to compare</w:t>
      </w:r>
      <w:r w:rsidR="003A1917">
        <w:rPr>
          <w:rFonts w:hint="eastAsia"/>
          <w:kern w:val="0"/>
          <w:szCs w:val="24"/>
        </w:rPr>
        <w:t xml:space="preserve"> the </w:t>
      </w:r>
      <w:r>
        <w:rPr>
          <w:rFonts w:hint="eastAsia"/>
          <w:kern w:val="0"/>
          <w:szCs w:val="24"/>
        </w:rPr>
        <w:t>diagnostic accuracy between</w:t>
      </w:r>
      <w:r w:rsidR="003A1917">
        <w:rPr>
          <w:rFonts w:hint="eastAsia"/>
          <w:kern w:val="0"/>
          <w:szCs w:val="24"/>
        </w:rPr>
        <w:t xml:space="preserve"> the </w:t>
      </w:r>
      <w:r>
        <w:rPr>
          <w:rFonts w:hint="eastAsia"/>
          <w:kern w:val="0"/>
          <w:szCs w:val="24"/>
        </w:rPr>
        <w:t>IHA</w:t>
      </w:r>
      <w:r w:rsidR="005853A9">
        <w:rPr>
          <w:rFonts w:hint="eastAsia"/>
          <w:kern w:val="0"/>
          <w:szCs w:val="24"/>
        </w:rPr>
        <w:t xml:space="preserve"> and </w:t>
      </w:r>
      <w:r>
        <w:rPr>
          <w:rFonts w:hint="eastAsia"/>
          <w:kern w:val="0"/>
          <w:szCs w:val="24"/>
        </w:rPr>
        <w:t>ELISA qualitatively by means</w:t>
      </w:r>
      <w:r w:rsidR="00427468">
        <w:rPr>
          <w:rFonts w:hint="eastAsia"/>
          <w:kern w:val="0"/>
          <w:szCs w:val="24"/>
        </w:rPr>
        <w:t xml:space="preserve"> of </w:t>
      </w:r>
      <w:r w:rsidR="003A1917">
        <w:rPr>
          <w:rFonts w:hint="eastAsia"/>
          <w:kern w:val="0"/>
          <w:szCs w:val="24"/>
        </w:rPr>
        <w:t xml:space="preserve">the </w:t>
      </w:r>
      <w:r>
        <w:rPr>
          <w:rFonts w:hint="eastAsia"/>
          <w:kern w:val="0"/>
          <w:szCs w:val="24"/>
        </w:rPr>
        <w:t>Weighted Least Square method,</w:t>
      </w:r>
      <w:r w:rsidR="003A1917">
        <w:rPr>
          <w:rFonts w:hint="eastAsia"/>
          <w:kern w:val="0"/>
          <w:szCs w:val="24"/>
        </w:rPr>
        <w:t xml:space="preserve"> the </w:t>
      </w:r>
      <w:r>
        <w:rPr>
          <w:rFonts w:hint="eastAsia"/>
          <w:kern w:val="0"/>
          <w:szCs w:val="24"/>
        </w:rPr>
        <w:t>Ordinary Least Square method</w:t>
      </w:r>
      <w:r w:rsidR="005853A9">
        <w:rPr>
          <w:rFonts w:hint="eastAsia"/>
          <w:kern w:val="0"/>
          <w:szCs w:val="24"/>
        </w:rPr>
        <w:t xml:space="preserve"> and </w:t>
      </w:r>
      <w:r w:rsidR="003A1917">
        <w:rPr>
          <w:rFonts w:hint="eastAsia"/>
          <w:kern w:val="0"/>
          <w:szCs w:val="24"/>
        </w:rPr>
        <w:t xml:space="preserve">the </w:t>
      </w:r>
      <w:r>
        <w:rPr>
          <w:rFonts w:hint="eastAsia"/>
          <w:kern w:val="0"/>
          <w:szCs w:val="24"/>
        </w:rPr>
        <w:t>Robust regression method,</w:t>
      </w:r>
      <w:r w:rsidR="005853A9">
        <w:rPr>
          <w:rFonts w:hint="eastAsia"/>
          <w:kern w:val="0"/>
          <w:szCs w:val="24"/>
        </w:rPr>
        <w:t xml:space="preserve"> and </w:t>
      </w:r>
      <w:r w:rsidR="003A1917">
        <w:rPr>
          <w:rFonts w:hint="eastAsia"/>
          <w:kern w:val="0"/>
          <w:szCs w:val="24"/>
        </w:rPr>
        <w:t xml:space="preserve">the </w:t>
      </w:r>
      <w:r>
        <w:rPr>
          <w:rFonts w:hint="eastAsia"/>
          <w:kern w:val="0"/>
          <w:szCs w:val="24"/>
        </w:rPr>
        <w:t>diagnostic odds ratio (DOR) was drawn to compare</w:t>
      </w:r>
      <w:r w:rsidR="003A1917">
        <w:rPr>
          <w:rFonts w:hint="eastAsia"/>
          <w:kern w:val="0"/>
          <w:szCs w:val="24"/>
        </w:rPr>
        <w:t xml:space="preserve"> the </w:t>
      </w:r>
      <w:r>
        <w:rPr>
          <w:rFonts w:hint="eastAsia"/>
          <w:kern w:val="0"/>
          <w:szCs w:val="24"/>
        </w:rPr>
        <w:t>accuracy quantitatively. Results: Out</w:t>
      </w:r>
      <w:r w:rsidR="00427468">
        <w:rPr>
          <w:rFonts w:hint="eastAsia"/>
          <w:kern w:val="0"/>
          <w:szCs w:val="24"/>
        </w:rPr>
        <w:t xml:space="preserve"> of </w:t>
      </w:r>
      <w:r>
        <w:rPr>
          <w:rFonts w:hint="eastAsia"/>
          <w:kern w:val="0"/>
          <w:szCs w:val="24"/>
        </w:rPr>
        <w:t>785 publications, 19 papers were eventually selected for analysis. Literature quality assessment indicated that minor publication bias existed in studies pertaining IHA test, but no bias was found in literatures regarding ELISA test</w:t>
      </w:r>
      <w:r w:rsidR="00A37C1D">
        <w:rPr>
          <w:rFonts w:hint="eastAsia"/>
          <w:kern w:val="0"/>
          <w:szCs w:val="24"/>
        </w:rPr>
        <w:t>. The</w:t>
      </w:r>
      <w:r w:rsidR="003A1917">
        <w:rPr>
          <w:rFonts w:hint="eastAsia"/>
          <w:kern w:val="0"/>
          <w:szCs w:val="24"/>
        </w:rPr>
        <w:t xml:space="preserve"> </w:t>
      </w:r>
      <w:r>
        <w:rPr>
          <w:rFonts w:hint="eastAsia"/>
          <w:kern w:val="0"/>
          <w:szCs w:val="24"/>
        </w:rPr>
        <w:t>heterogeneity test showed a heterogeneity between studies was present chi(2)=466.07</w:t>
      </w:r>
      <w:r w:rsidR="005853A9">
        <w:rPr>
          <w:rFonts w:hint="eastAsia"/>
          <w:kern w:val="0"/>
          <w:szCs w:val="24"/>
        </w:rPr>
        <w:t xml:space="preserve"> and </w:t>
      </w:r>
      <w:r>
        <w:rPr>
          <w:rFonts w:hint="eastAsia"/>
          <w:kern w:val="0"/>
          <w:szCs w:val="24"/>
        </w:rPr>
        <w:t>34.67, both P values &lt; 0.0001)</w:t>
      </w:r>
      <w:r w:rsidR="00A37C1D">
        <w:rPr>
          <w:rFonts w:hint="eastAsia"/>
          <w:kern w:val="0"/>
          <w:szCs w:val="24"/>
        </w:rPr>
        <w:t>. The</w:t>
      </w:r>
      <w:r w:rsidR="003A1917">
        <w:rPr>
          <w:rFonts w:hint="eastAsia"/>
          <w:kern w:val="0"/>
          <w:szCs w:val="24"/>
        </w:rPr>
        <w:t xml:space="preserve"> </w:t>
      </w:r>
      <w:r>
        <w:rPr>
          <w:rFonts w:hint="eastAsia"/>
          <w:kern w:val="0"/>
          <w:szCs w:val="24"/>
        </w:rPr>
        <w:t>areas under</w:t>
      </w:r>
      <w:r w:rsidR="003A1917">
        <w:rPr>
          <w:rFonts w:hint="eastAsia"/>
          <w:kern w:val="0"/>
          <w:szCs w:val="24"/>
        </w:rPr>
        <w:t xml:space="preserve"> the </w:t>
      </w:r>
      <w:r>
        <w:rPr>
          <w:rFonts w:hint="eastAsia"/>
          <w:kern w:val="0"/>
          <w:szCs w:val="24"/>
        </w:rPr>
        <w:t>SROC curves</w:t>
      </w:r>
      <w:r w:rsidR="00427468">
        <w:rPr>
          <w:rFonts w:hint="eastAsia"/>
          <w:kern w:val="0"/>
          <w:szCs w:val="24"/>
        </w:rPr>
        <w:t xml:space="preserve"> of </w:t>
      </w:r>
      <w:r>
        <w:rPr>
          <w:rFonts w:hint="eastAsia"/>
          <w:kern w:val="0"/>
          <w:szCs w:val="24"/>
        </w:rPr>
        <w:t>IHA were all higher than that</w:t>
      </w:r>
      <w:r w:rsidR="00427468">
        <w:rPr>
          <w:rFonts w:hint="eastAsia"/>
          <w:kern w:val="0"/>
          <w:szCs w:val="24"/>
        </w:rPr>
        <w:t xml:space="preserve"> of </w:t>
      </w:r>
      <w:r>
        <w:rPr>
          <w:rFonts w:hint="eastAsia"/>
          <w:kern w:val="0"/>
          <w:szCs w:val="24"/>
        </w:rPr>
        <w:t>ELISA test using</w:t>
      </w:r>
      <w:r w:rsidR="003A1917">
        <w:rPr>
          <w:rFonts w:hint="eastAsia"/>
          <w:kern w:val="0"/>
          <w:szCs w:val="24"/>
        </w:rPr>
        <w:t xml:space="preserve"> the </w:t>
      </w:r>
      <w:r>
        <w:rPr>
          <w:rFonts w:hint="eastAsia"/>
          <w:kern w:val="0"/>
          <w:szCs w:val="24"/>
        </w:rPr>
        <w:t>three methods (Weighted Least Square method: 0.766 vs. 0.695, Ordinary Least Square method: 0.826 vs. 0.741, Robust regression: 0.815 vs. 0.715)</w:t>
      </w:r>
      <w:r w:rsidR="00A37C1D">
        <w:rPr>
          <w:rFonts w:hint="eastAsia"/>
          <w:kern w:val="0"/>
          <w:szCs w:val="24"/>
        </w:rPr>
        <w:t>. The</w:t>
      </w:r>
      <w:r w:rsidR="003A1917">
        <w:rPr>
          <w:rFonts w:hint="eastAsia"/>
          <w:kern w:val="0"/>
          <w:szCs w:val="24"/>
        </w:rPr>
        <w:t xml:space="preserve"> </w:t>
      </w:r>
      <w:r>
        <w:rPr>
          <w:rFonts w:hint="eastAsia"/>
          <w:kern w:val="0"/>
          <w:szCs w:val="24"/>
        </w:rPr>
        <w:t>TPR* values for IHA</w:t>
      </w:r>
      <w:r w:rsidR="005853A9">
        <w:rPr>
          <w:rFonts w:hint="eastAsia"/>
          <w:kern w:val="0"/>
          <w:szCs w:val="24"/>
        </w:rPr>
        <w:t xml:space="preserve"> and </w:t>
      </w:r>
      <w:r>
        <w:rPr>
          <w:rFonts w:hint="eastAsia"/>
          <w:kern w:val="0"/>
          <w:szCs w:val="24"/>
        </w:rPr>
        <w:t>ELISA were 0.710, 0.759, 0.749,</w:t>
      </w:r>
      <w:r w:rsidR="005853A9">
        <w:rPr>
          <w:rFonts w:hint="eastAsia"/>
          <w:kern w:val="0"/>
          <w:szCs w:val="24"/>
        </w:rPr>
        <w:t xml:space="preserve"> and </w:t>
      </w:r>
      <w:r>
        <w:rPr>
          <w:rFonts w:hint="eastAsia"/>
          <w:kern w:val="0"/>
          <w:szCs w:val="24"/>
        </w:rPr>
        <w:t>0.650, 0.686</w:t>
      </w:r>
      <w:r w:rsidR="005853A9">
        <w:rPr>
          <w:rFonts w:hint="eastAsia"/>
          <w:kern w:val="0"/>
          <w:szCs w:val="24"/>
        </w:rPr>
        <w:t xml:space="preserve"> and </w:t>
      </w:r>
      <w:r>
        <w:rPr>
          <w:rFonts w:hint="eastAsia"/>
          <w:kern w:val="0"/>
          <w:szCs w:val="24"/>
        </w:rPr>
        <w:t>0.666, respectively,</w:t>
      </w:r>
      <w:r w:rsidR="005853A9">
        <w:rPr>
          <w:rFonts w:hint="eastAsia"/>
          <w:kern w:val="0"/>
          <w:szCs w:val="24"/>
        </w:rPr>
        <w:t xml:space="preserve"> and </w:t>
      </w:r>
      <w:r>
        <w:rPr>
          <w:rFonts w:hint="eastAsia"/>
          <w:kern w:val="0"/>
          <w:szCs w:val="24"/>
        </w:rPr>
        <w:t xml:space="preserve">OR </w:t>
      </w:r>
      <w:r>
        <w:rPr>
          <w:rFonts w:hint="eastAsia"/>
          <w:kern w:val="0"/>
          <w:szCs w:val="24"/>
        </w:rPr>
        <w:lastRenderedPageBreak/>
        <w:t>values were 5.997, 9.937, 8.893,</w:t>
      </w:r>
      <w:r w:rsidR="005853A9">
        <w:rPr>
          <w:rFonts w:hint="eastAsia"/>
          <w:kern w:val="0"/>
          <w:szCs w:val="24"/>
        </w:rPr>
        <w:t xml:space="preserve"> and </w:t>
      </w:r>
      <w:r>
        <w:rPr>
          <w:rFonts w:hint="eastAsia"/>
          <w:kern w:val="0"/>
          <w:szCs w:val="24"/>
        </w:rPr>
        <w:t>3.432, 4.784</w:t>
      </w:r>
      <w:r w:rsidR="005853A9">
        <w:rPr>
          <w:rFonts w:hint="eastAsia"/>
          <w:kern w:val="0"/>
          <w:szCs w:val="24"/>
        </w:rPr>
        <w:t xml:space="preserve"> and </w:t>
      </w:r>
      <w:r>
        <w:rPr>
          <w:rFonts w:hint="eastAsia"/>
          <w:kern w:val="0"/>
          <w:szCs w:val="24"/>
        </w:rPr>
        <w:t>3.959, respectively</w:t>
      </w:r>
      <w:r w:rsidR="00A37C1D">
        <w:rPr>
          <w:rFonts w:hint="eastAsia"/>
          <w:kern w:val="0"/>
          <w:szCs w:val="24"/>
        </w:rPr>
        <w:t>. The</w:t>
      </w:r>
      <w:r w:rsidR="003A1917">
        <w:rPr>
          <w:rFonts w:hint="eastAsia"/>
          <w:kern w:val="0"/>
          <w:szCs w:val="24"/>
        </w:rPr>
        <w:t xml:space="preserve"> </w:t>
      </w:r>
      <w:r>
        <w:rPr>
          <w:rFonts w:hint="eastAsia"/>
          <w:kern w:val="0"/>
          <w:szCs w:val="24"/>
        </w:rPr>
        <w:t>DOR</w:t>
      </w:r>
      <w:r w:rsidR="00427468">
        <w:rPr>
          <w:rFonts w:hint="eastAsia"/>
          <w:kern w:val="0"/>
          <w:szCs w:val="24"/>
        </w:rPr>
        <w:t xml:space="preserve"> of </w:t>
      </w:r>
      <w:r>
        <w:rPr>
          <w:rFonts w:hint="eastAsia"/>
          <w:kern w:val="0"/>
          <w:szCs w:val="24"/>
        </w:rPr>
        <w:t>IHA was 9.41 (95% CI: 4.88-18.18),</w:t>
      </w:r>
      <w:r w:rsidR="005853A9">
        <w:rPr>
          <w:rFonts w:hint="eastAsia"/>
          <w:kern w:val="0"/>
          <w:szCs w:val="24"/>
        </w:rPr>
        <w:t xml:space="preserve"> and </w:t>
      </w:r>
      <w:r>
        <w:rPr>
          <w:rFonts w:hint="eastAsia"/>
          <w:kern w:val="0"/>
          <w:szCs w:val="24"/>
        </w:rPr>
        <w:t>4.78 (95% CI: 3.21-7.13) for ELISA. Conclusions: All above results revealed that</w:t>
      </w:r>
      <w:r w:rsidR="003A1917">
        <w:rPr>
          <w:rFonts w:hint="eastAsia"/>
          <w:kern w:val="0"/>
          <w:szCs w:val="24"/>
        </w:rPr>
        <w:t xml:space="preserve"> the </w:t>
      </w:r>
      <w:r>
        <w:rPr>
          <w:rFonts w:hint="eastAsia"/>
          <w:kern w:val="0"/>
          <w:szCs w:val="24"/>
        </w:rPr>
        <w:t>diagnostic performance</w:t>
      </w:r>
      <w:r w:rsidR="00427468">
        <w:rPr>
          <w:rFonts w:hint="eastAsia"/>
          <w:kern w:val="0"/>
          <w:szCs w:val="24"/>
        </w:rPr>
        <w:t xml:space="preserve"> of </w:t>
      </w:r>
      <w:r>
        <w:rPr>
          <w:rFonts w:hint="eastAsia"/>
          <w:kern w:val="0"/>
          <w:szCs w:val="24"/>
        </w:rPr>
        <w:t>IHA is better than that</w:t>
      </w:r>
      <w:r w:rsidR="00427468">
        <w:rPr>
          <w:rFonts w:hint="eastAsia"/>
          <w:kern w:val="0"/>
          <w:szCs w:val="24"/>
        </w:rPr>
        <w:t xml:space="preserve"> of </w:t>
      </w:r>
      <w:r>
        <w:rPr>
          <w:rFonts w:hint="eastAsia"/>
          <w:kern w:val="0"/>
          <w:szCs w:val="24"/>
        </w:rPr>
        <w:t>ELISA. However, taking into account their unsatisfactory diagnostic value in areas with low infection intensity, a search for a better diagnostic test that can be applied in field situations in China should be given high priority.</w:t>
      </w:r>
    </w:p>
    <w:p w:rsidR="00733443" w:rsidRDefault="00733443" w:rsidP="00733443">
      <w:pPr>
        <w:pStyle w:val="a3"/>
        <w:rPr>
          <w:kern w:val="0"/>
          <w:szCs w:val="24"/>
        </w:rPr>
      </w:pPr>
      <w:r>
        <w:rPr>
          <w:rFonts w:hint="eastAsia"/>
          <w:kern w:val="0"/>
          <w:szCs w:val="24"/>
        </w:rPr>
        <w:t>Keywords: 3 Gorges Dam, Accuracy, Analysis, Assay, Assessment, Bank Loan Project, Bias, China, Citation, Climate-Change, Cochrane, Database, Diagnosis, Diagnostic Efficacy, Diagnostic Test, Dipstick Dye Immunoassay, Economic-Evaluation, Efficacy, Elisa, Enzyme-Link Immunosorbent Assay, Human, Immunodiagnosis, Impact, Indirect Hemagglutination Assay, Infection, Knowledge, Literature, Low, Meta Analysis, Meta-Analysis, Methods, Papers, Priority, Publication, Publication Bias, Publications, Pubmed, Quality, Ratio, Republic</w:t>
      </w:r>
      <w:r w:rsidR="00434900">
        <w:rPr>
          <w:rFonts w:hint="eastAsia"/>
          <w:kern w:val="0"/>
          <w:szCs w:val="24"/>
        </w:rPr>
        <w:t>-of-</w:t>
      </w:r>
      <w:r>
        <w:rPr>
          <w:rFonts w:hint="eastAsia"/>
          <w:kern w:val="0"/>
          <w:szCs w:val="24"/>
        </w:rPr>
        <w:t>China, Schistosomiasis Japonica, Science, Science Citation Index, Science Citation Index Expanded, Transmission</w:t>
      </w:r>
    </w:p>
    <w:p w:rsidR="00116069" w:rsidRDefault="00116069" w:rsidP="00116069">
      <w:pPr>
        <w:pStyle w:val="a3"/>
        <w:rPr>
          <w:kern w:val="0"/>
        </w:rPr>
      </w:pPr>
      <w:r>
        <w:rPr>
          <w:rFonts w:hint="eastAsia"/>
          <w:kern w:val="0"/>
        </w:rPr>
        <w:t xml:space="preserve">? </w:t>
      </w:r>
      <w:r>
        <w:rPr>
          <w:kern w:val="0"/>
        </w:rPr>
        <w:t xml:space="preserve">Lei, Y., Tan, B.J., Zou, Z., Zhang, M.M., Song, R.P., Qu, S.H. and Li, J. (2014), Publication patterns and citation analysis of APJTM during 2008 and June 2014. </w:t>
      </w:r>
      <w:r>
        <w:rPr>
          <w:i/>
          <w:iCs/>
          <w:kern w:val="0"/>
        </w:rPr>
        <w:t>Asian Pacific Journal of Tropical Medicine</w:t>
      </w:r>
      <w:r>
        <w:rPr>
          <w:kern w:val="0"/>
        </w:rPr>
        <w:t xml:space="preserve">, </w:t>
      </w:r>
      <w:r>
        <w:rPr>
          <w:b/>
          <w:bCs/>
          <w:kern w:val="0"/>
        </w:rPr>
        <w:t>7</w:t>
      </w:r>
      <w:r>
        <w:rPr>
          <w:kern w:val="0"/>
        </w:rPr>
        <w:t xml:space="preserve"> (8), 650-654.</w:t>
      </w:r>
    </w:p>
    <w:p w:rsidR="00116069" w:rsidRDefault="00116069" w:rsidP="00116069">
      <w:pPr>
        <w:pStyle w:val="a3"/>
        <w:rPr>
          <w:kern w:val="0"/>
          <w:szCs w:val="24"/>
        </w:rPr>
      </w:pPr>
      <w:r>
        <w:rPr>
          <w:rFonts w:hint="eastAsia"/>
          <w:kern w:val="0"/>
          <w:szCs w:val="24"/>
        </w:rPr>
        <w:t xml:space="preserve">Full Text: </w:t>
      </w:r>
      <w:r w:rsidRPr="00D87A55">
        <w:rPr>
          <w:kern w:val="0"/>
          <w:szCs w:val="24"/>
        </w:rPr>
        <w:t>201</w:t>
      </w:r>
      <w:r>
        <w:rPr>
          <w:rFonts w:hint="eastAsia"/>
          <w:kern w:val="0"/>
          <w:szCs w:val="24"/>
        </w:rPr>
        <w:t>4</w:t>
      </w:r>
      <w:r w:rsidRPr="00D87A55">
        <w:rPr>
          <w:kern w:val="0"/>
          <w:szCs w:val="24"/>
        </w:rPr>
        <w:t>\Asi Pac J Tro Med</w:t>
      </w:r>
      <w:r>
        <w:rPr>
          <w:rFonts w:hint="eastAsia"/>
          <w:kern w:val="0"/>
          <w:szCs w:val="24"/>
        </w:rPr>
        <w:t>7</w:t>
      </w:r>
      <w:r w:rsidRPr="00D87A55">
        <w:rPr>
          <w:kern w:val="0"/>
          <w:szCs w:val="24"/>
        </w:rPr>
        <w:t xml:space="preserve">, </w:t>
      </w:r>
      <w:r>
        <w:rPr>
          <w:rFonts w:hint="eastAsia"/>
          <w:kern w:val="0"/>
          <w:szCs w:val="24"/>
        </w:rPr>
        <w:t>650</w:t>
      </w:r>
      <w:r w:rsidRPr="00D87A55">
        <w:rPr>
          <w:kern w:val="0"/>
          <w:szCs w:val="24"/>
        </w:rPr>
        <w:t>.pdf</w:t>
      </w:r>
    </w:p>
    <w:p w:rsidR="00116069" w:rsidRDefault="00116069" w:rsidP="00116069">
      <w:pPr>
        <w:pStyle w:val="a3"/>
        <w:rPr>
          <w:kern w:val="0"/>
        </w:rPr>
      </w:pPr>
      <w:r>
        <w:rPr>
          <w:kern w:val="0"/>
        </w:rPr>
        <w:t>Abstract: Objective: To draw on data about publication patterns and citation indicators of Asian Pacific Journal of Tropical Medicine (APJTM) during 2008 and June 2014 in order to know about the current state of the journal. Methods: Data used in this study were collected based on publications in APJTM from 2008 to June, 2014. Information including publication issue, type of manuscript, country/region of corresponding author, funded research paper, and international collaboration were aggregated and analyzed with Excel software. Citation indicators including total cites, average cites of each manuscript, h index, and impact factors were primarily drawn from Web of Science (TM) database on June 15, 2014 and changes over the past six and half years were interpreted. The top 10 most cited papers in Web of Science (TM) database were also analyzed. Results: Number of all submissions has arisen from less than 200 in 2008 to over 1 500 in 2013, manuscript acceptance rate has decreased to be less than 14.00% indicating its improvement in quality over this period of time. Out of the 1 115 publiations, 23.77% were fruits of funded projects or produced by funded co-authors, 87.08% of all publications in APJTM were submited by authors from 10 most contributed countries. During the studied period, each published manuscript in the journal has received an average of 1.05 cites, and at least 10 publications has been cited for more 10 times. Conclusion: Detailed analysis shows APJTM has made great progress over the past six and half years, but authors</w:t>
      </w:r>
      <w:r w:rsidR="00700038">
        <w:rPr>
          <w:kern w:val="0"/>
        </w:rPr>
        <w:t>’</w:t>
      </w:r>
      <w:r>
        <w:rPr>
          <w:kern w:val="0"/>
        </w:rPr>
        <w:t xml:space="preserve"> originating countries are still disproportionate. Efforts should be made to improve its </w:t>
      </w:r>
      <w:r>
        <w:rPr>
          <w:kern w:val="0"/>
        </w:rPr>
        <w:lastRenderedPageBreak/>
        <w:t>citation indicators.</w:t>
      </w:r>
    </w:p>
    <w:p w:rsidR="00116069" w:rsidRDefault="00116069" w:rsidP="00116069">
      <w:pPr>
        <w:pStyle w:val="a3"/>
        <w:rPr>
          <w:kern w:val="0"/>
        </w:rPr>
      </w:pPr>
      <w:r>
        <w:rPr>
          <w:kern w:val="0"/>
        </w:rPr>
        <w:t>Keywords: Acceptance, Analysis, Asian, Asian Pacific Journal Of Tropical, Authors, Changes, Citation, Citation Analysis, Citation Indicators, Co-Authors, Collaboration, Data, Database, Fruits, H Index, H-Index, Impact, Impact Factors, Improvement, Index, Indicators, Information, International, International Collaboration, Journal, Medicine, Methods, Papers, Progress, Publication, Publication Patterns, Publications, Quality, Research, Results, Science, Software, State, Tropical Medicine, Web Of Science</w:t>
      </w:r>
    </w:p>
    <w:p w:rsidR="00B21266" w:rsidRPr="001A3D2B" w:rsidRDefault="00B21266" w:rsidP="00B21266">
      <w:pPr>
        <w:pStyle w:val="1"/>
      </w:pPr>
      <w:r w:rsidRPr="001A3D2B">
        <w:br w:type="page"/>
      </w:r>
      <w:bookmarkStart w:id="659" w:name="_Toc420814639"/>
      <w:r w:rsidRPr="001A3D2B">
        <w:lastRenderedPageBreak/>
        <w:t xml:space="preserve">Title: </w:t>
      </w:r>
      <w:r w:rsidRPr="002C05EF">
        <w:t>Asian Survey</w:t>
      </w:r>
      <w:bookmarkEnd w:id="659"/>
    </w:p>
    <w:p w:rsidR="00B21266" w:rsidRPr="001A3D2B" w:rsidRDefault="00B21266" w:rsidP="00B21266">
      <w:pPr>
        <w:pStyle w:val="12"/>
      </w:pPr>
      <w:r w:rsidRPr="001A3D2B">
        <w:t xml:space="preserve">Full Journal Title: </w:t>
      </w:r>
      <w:r w:rsidRPr="002C05EF">
        <w:rPr>
          <w:iCs/>
          <w:kern w:val="0"/>
        </w:rPr>
        <w:t>Asian Survey</w:t>
      </w:r>
    </w:p>
    <w:p w:rsidR="00B21266" w:rsidRPr="001A3D2B" w:rsidRDefault="00B21266" w:rsidP="00B21266">
      <w:pPr>
        <w:pStyle w:val="12"/>
      </w:pPr>
      <w:r w:rsidRPr="001A3D2B">
        <w:t xml:space="preserve">ISO Abbreviated Title: </w:t>
      </w:r>
    </w:p>
    <w:p w:rsidR="00B21266" w:rsidRPr="001A3D2B" w:rsidRDefault="00B21266" w:rsidP="00B21266">
      <w:pPr>
        <w:pStyle w:val="12"/>
      </w:pPr>
      <w:r w:rsidRPr="001A3D2B">
        <w:t xml:space="preserve">JCR Abbreviated Title: </w:t>
      </w:r>
    </w:p>
    <w:p w:rsidR="00B21266" w:rsidRPr="001A3D2B" w:rsidRDefault="00B21266" w:rsidP="00B21266">
      <w:pPr>
        <w:pStyle w:val="12"/>
      </w:pPr>
      <w:r w:rsidRPr="001A3D2B">
        <w:t xml:space="preserve">ISSN: </w:t>
      </w:r>
    </w:p>
    <w:p w:rsidR="00B21266" w:rsidRPr="001A3D2B" w:rsidRDefault="00B21266" w:rsidP="00B21266">
      <w:pPr>
        <w:pStyle w:val="12"/>
      </w:pPr>
      <w:r w:rsidRPr="001A3D2B">
        <w:t xml:space="preserve">Issues/Year: </w:t>
      </w:r>
    </w:p>
    <w:p w:rsidR="00B21266" w:rsidRPr="001A3D2B" w:rsidRDefault="00B21266" w:rsidP="00B21266">
      <w:pPr>
        <w:pStyle w:val="12"/>
      </w:pPr>
      <w:r w:rsidRPr="001A3D2B">
        <w:t xml:space="preserve">Journal Country/Territory: </w:t>
      </w:r>
    </w:p>
    <w:p w:rsidR="00B21266" w:rsidRPr="001A3D2B" w:rsidRDefault="00B21266" w:rsidP="00B21266">
      <w:pPr>
        <w:pStyle w:val="12"/>
      </w:pPr>
      <w:r w:rsidRPr="001A3D2B">
        <w:t xml:space="preserve">Language: </w:t>
      </w:r>
    </w:p>
    <w:p w:rsidR="00B21266" w:rsidRPr="001A3D2B" w:rsidRDefault="00B21266" w:rsidP="00B21266">
      <w:pPr>
        <w:pStyle w:val="12"/>
      </w:pPr>
      <w:r w:rsidRPr="001A3D2B">
        <w:t xml:space="preserve">Publisher: </w:t>
      </w:r>
    </w:p>
    <w:p w:rsidR="00B21266" w:rsidRPr="001A3D2B" w:rsidRDefault="00B21266" w:rsidP="00B21266">
      <w:pPr>
        <w:pStyle w:val="12"/>
      </w:pPr>
      <w:r w:rsidRPr="001A3D2B">
        <w:t xml:space="preserve">Publisher Address: </w:t>
      </w:r>
    </w:p>
    <w:p w:rsidR="00B21266" w:rsidRPr="001A3D2B" w:rsidRDefault="00B21266" w:rsidP="00B21266">
      <w:pPr>
        <w:pStyle w:val="12"/>
      </w:pPr>
      <w:r w:rsidRPr="001A3D2B">
        <w:t>Subject Categories:</w:t>
      </w:r>
    </w:p>
    <w:p w:rsidR="00B21266" w:rsidRPr="001A3D2B" w:rsidRDefault="00B21266" w:rsidP="00B21266">
      <w:pPr>
        <w:pStyle w:val="12"/>
      </w:pPr>
      <w:r w:rsidRPr="001A3D2B">
        <w:t>: Impact Factor</w:t>
      </w:r>
    </w:p>
    <w:p w:rsidR="00B21266" w:rsidRDefault="00B21266" w:rsidP="00B21266">
      <w:pPr>
        <w:pStyle w:val="a3"/>
        <w:rPr>
          <w:kern w:val="0"/>
        </w:rPr>
      </w:pPr>
      <w:r>
        <w:rPr>
          <w:rFonts w:hint="eastAsia"/>
          <w:kern w:val="0"/>
        </w:rPr>
        <w:t xml:space="preserve">? </w:t>
      </w:r>
      <w:r>
        <w:rPr>
          <w:kern w:val="0"/>
        </w:rPr>
        <w:t>Lee, C.S. (1981), South-Korea in 1980 -</w:t>
      </w:r>
      <w:r w:rsidR="003A1917">
        <w:rPr>
          <w:kern w:val="0"/>
        </w:rPr>
        <w:t xml:space="preserve"> the </w:t>
      </w:r>
      <w:r>
        <w:rPr>
          <w:kern w:val="0"/>
        </w:rPr>
        <w:t>emergence</w:t>
      </w:r>
      <w:r w:rsidR="00427468">
        <w:rPr>
          <w:kern w:val="0"/>
        </w:rPr>
        <w:t xml:space="preserve"> of </w:t>
      </w:r>
      <w:r>
        <w:rPr>
          <w:kern w:val="0"/>
        </w:rPr>
        <w:t xml:space="preserve">a new authoritarian order. </w:t>
      </w:r>
      <w:r w:rsidRPr="002C05EF">
        <w:rPr>
          <w:i/>
          <w:iCs/>
          <w:kern w:val="0"/>
        </w:rPr>
        <w:t>Asian Survey</w:t>
      </w:r>
      <w:r>
        <w:rPr>
          <w:kern w:val="0"/>
        </w:rPr>
        <w:t xml:space="preserve">, </w:t>
      </w:r>
      <w:r>
        <w:rPr>
          <w:b/>
          <w:bCs/>
          <w:kern w:val="0"/>
        </w:rPr>
        <w:t>21</w:t>
      </w:r>
      <w:r>
        <w:rPr>
          <w:kern w:val="0"/>
        </w:rPr>
        <w:t xml:space="preserve"> (1), 125-143</w:t>
      </w:r>
      <w:r>
        <w:rPr>
          <w:rFonts w:hint="eastAsia"/>
          <w:kern w:val="0"/>
        </w:rPr>
        <w:t>.</w:t>
      </w:r>
    </w:p>
    <w:p w:rsidR="00B21266" w:rsidRDefault="00B21266" w:rsidP="00B21266">
      <w:pPr>
        <w:pStyle w:val="a3"/>
        <w:rPr>
          <w:kern w:val="0"/>
        </w:rPr>
      </w:pPr>
      <w:r>
        <w:rPr>
          <w:rFonts w:hint="eastAsia"/>
          <w:kern w:val="0"/>
        </w:rPr>
        <w:t xml:space="preserve">Full Text: </w:t>
      </w:r>
      <w:hyperlink r:id="rId1304" w:history="1">
        <w:r w:rsidRPr="002C05EF">
          <w:rPr>
            <w:rStyle w:val="a5"/>
            <w:kern w:val="0"/>
          </w:rPr>
          <w:t>1881\Asi Sur21, 125.pdf</w:t>
        </w:r>
      </w:hyperlink>
    </w:p>
    <w:p w:rsidR="00B21266" w:rsidRDefault="00B21266" w:rsidP="00B21266">
      <w:pPr>
        <w:pStyle w:val="a3"/>
        <w:rPr>
          <w:kern w:val="0"/>
        </w:rPr>
      </w:pPr>
      <w:r>
        <w:rPr>
          <w:kern w:val="0"/>
        </w:rPr>
        <w:t>Keywords: Emergence</w:t>
      </w:r>
      <w:r>
        <w:rPr>
          <w:rFonts w:hint="eastAsia"/>
          <w:kern w:val="0"/>
        </w:rPr>
        <w:t xml:space="preserve">, </w:t>
      </w:r>
      <w:r>
        <w:rPr>
          <w:kern w:val="0"/>
        </w:rPr>
        <w:t>South Korea</w:t>
      </w:r>
    </w:p>
    <w:p w:rsidR="00E34A20" w:rsidRPr="001A3D2B" w:rsidRDefault="00E34A20" w:rsidP="00E34A20">
      <w:pPr>
        <w:pStyle w:val="1"/>
      </w:pPr>
      <w:r w:rsidRPr="001A3D2B">
        <w:br w:type="page"/>
      </w:r>
      <w:bookmarkStart w:id="660" w:name="_Toc420814640"/>
      <w:r w:rsidRPr="001A3D2B">
        <w:lastRenderedPageBreak/>
        <w:t xml:space="preserve">Title: </w:t>
      </w:r>
      <w:r w:rsidRPr="00E34A20">
        <w:rPr>
          <w:iCs w:val="0"/>
        </w:rPr>
        <w:t xml:space="preserve">ASIST </w:t>
      </w:r>
      <w:r w:rsidRPr="00E34A20">
        <w:t>2001: Proceedings</w:t>
      </w:r>
      <w:r w:rsidR="00427468">
        <w:t xml:space="preserve"> of </w:t>
      </w:r>
      <w:r w:rsidR="003A1917">
        <w:t xml:space="preserve">the </w:t>
      </w:r>
      <w:r w:rsidRPr="00E34A20">
        <w:t>64</w:t>
      </w:r>
      <w:r w:rsidRPr="00E34A20">
        <w:rPr>
          <w:iCs w:val="0"/>
        </w:rPr>
        <w:t>th</w:t>
      </w:r>
      <w:r w:rsidRPr="00E34A20">
        <w:t xml:space="preserve"> </w:t>
      </w:r>
      <w:r w:rsidRPr="00E34A20">
        <w:rPr>
          <w:iCs w:val="0"/>
        </w:rPr>
        <w:t xml:space="preserve">ASIST </w:t>
      </w:r>
      <w:r w:rsidRPr="00E34A20">
        <w:t>Annual Meeting, Vol 38, 2001</w:t>
      </w:r>
      <w:bookmarkEnd w:id="660"/>
    </w:p>
    <w:p w:rsidR="00E34A20" w:rsidRPr="001A3D2B" w:rsidRDefault="00E34A20" w:rsidP="00E34A20">
      <w:pPr>
        <w:pStyle w:val="12"/>
      </w:pPr>
      <w:r w:rsidRPr="001A3D2B">
        <w:t xml:space="preserve">Full Journal Title: </w:t>
      </w:r>
      <w:r w:rsidRPr="00E34A20">
        <w:rPr>
          <w:iCs/>
          <w:kern w:val="0"/>
        </w:rPr>
        <w:t>ASIST 2001: Proceedings</w:t>
      </w:r>
      <w:r w:rsidR="00427468">
        <w:rPr>
          <w:iCs/>
          <w:kern w:val="0"/>
        </w:rPr>
        <w:t xml:space="preserve"> of </w:t>
      </w:r>
      <w:r w:rsidR="003A1917">
        <w:rPr>
          <w:iCs/>
          <w:kern w:val="0"/>
        </w:rPr>
        <w:t xml:space="preserve">the </w:t>
      </w:r>
      <w:r w:rsidRPr="00E34A20">
        <w:rPr>
          <w:iCs/>
          <w:kern w:val="0"/>
        </w:rPr>
        <w:t>64th ASIST Annual Meeting, Vol 38, 2001</w:t>
      </w:r>
    </w:p>
    <w:p w:rsidR="00E34A20" w:rsidRPr="001A3D2B" w:rsidRDefault="00E34A20" w:rsidP="00E34A20">
      <w:pPr>
        <w:pStyle w:val="12"/>
      </w:pPr>
      <w:r w:rsidRPr="001A3D2B">
        <w:t xml:space="preserve">ISO Abbreviated Title: </w:t>
      </w:r>
    </w:p>
    <w:p w:rsidR="00E34A20" w:rsidRPr="001A3D2B" w:rsidRDefault="00E34A20" w:rsidP="00E34A20">
      <w:pPr>
        <w:pStyle w:val="12"/>
      </w:pPr>
      <w:r w:rsidRPr="001A3D2B">
        <w:t xml:space="preserve">JCR Abbreviated Title: </w:t>
      </w:r>
    </w:p>
    <w:p w:rsidR="00E34A20" w:rsidRPr="001A3D2B" w:rsidRDefault="00E34A20" w:rsidP="00E34A20">
      <w:pPr>
        <w:pStyle w:val="12"/>
      </w:pPr>
      <w:r w:rsidRPr="001A3D2B">
        <w:t xml:space="preserve">ISSN: </w:t>
      </w:r>
    </w:p>
    <w:p w:rsidR="00E34A20" w:rsidRPr="001A3D2B" w:rsidRDefault="00E34A20" w:rsidP="00E34A20">
      <w:pPr>
        <w:pStyle w:val="12"/>
      </w:pPr>
      <w:r w:rsidRPr="001A3D2B">
        <w:t xml:space="preserve">Issues/Year: </w:t>
      </w:r>
    </w:p>
    <w:p w:rsidR="00E34A20" w:rsidRPr="001A3D2B" w:rsidRDefault="00E34A20" w:rsidP="00E34A20">
      <w:pPr>
        <w:pStyle w:val="12"/>
      </w:pPr>
      <w:r w:rsidRPr="001A3D2B">
        <w:t xml:space="preserve">Journal Country/Territory: </w:t>
      </w:r>
    </w:p>
    <w:p w:rsidR="00E34A20" w:rsidRPr="001A3D2B" w:rsidRDefault="00E34A20" w:rsidP="00E34A20">
      <w:pPr>
        <w:pStyle w:val="12"/>
      </w:pPr>
      <w:r w:rsidRPr="001A3D2B">
        <w:t xml:space="preserve">Language: </w:t>
      </w:r>
    </w:p>
    <w:p w:rsidR="00E34A20" w:rsidRPr="001A3D2B" w:rsidRDefault="00E34A20" w:rsidP="00E34A20">
      <w:pPr>
        <w:pStyle w:val="12"/>
      </w:pPr>
      <w:r w:rsidRPr="001A3D2B">
        <w:t xml:space="preserve">Publisher: </w:t>
      </w:r>
    </w:p>
    <w:p w:rsidR="00E34A20" w:rsidRPr="001A3D2B" w:rsidRDefault="00E34A20" w:rsidP="00E34A20">
      <w:pPr>
        <w:pStyle w:val="12"/>
      </w:pPr>
      <w:r w:rsidRPr="001A3D2B">
        <w:t xml:space="preserve">Publisher Address: </w:t>
      </w:r>
    </w:p>
    <w:p w:rsidR="00E34A20" w:rsidRPr="001A3D2B" w:rsidRDefault="00E34A20" w:rsidP="00E34A20">
      <w:pPr>
        <w:pStyle w:val="12"/>
      </w:pPr>
      <w:r w:rsidRPr="001A3D2B">
        <w:t>Subject Categories:</w:t>
      </w:r>
    </w:p>
    <w:p w:rsidR="00E34A20" w:rsidRPr="001A3D2B" w:rsidRDefault="00E34A20" w:rsidP="00E34A20">
      <w:pPr>
        <w:pStyle w:val="12"/>
      </w:pPr>
      <w:r w:rsidRPr="001A3D2B">
        <w:t>: Impact Factor</w:t>
      </w:r>
    </w:p>
    <w:p w:rsidR="00E34A20" w:rsidRDefault="00E34A20" w:rsidP="00E34A20">
      <w:pPr>
        <w:pStyle w:val="a3"/>
        <w:rPr>
          <w:kern w:val="0"/>
        </w:rPr>
      </w:pPr>
      <w:r>
        <w:rPr>
          <w:rFonts w:hint="eastAsia"/>
          <w:kern w:val="0"/>
        </w:rPr>
        <w:t xml:space="preserve">? </w:t>
      </w:r>
      <w:r>
        <w:rPr>
          <w:kern w:val="0"/>
        </w:rPr>
        <w:t>Williams, J.</w:t>
      </w:r>
      <w:r w:rsidR="005853A9">
        <w:rPr>
          <w:kern w:val="0"/>
        </w:rPr>
        <w:t xml:space="preserve"> and </w:t>
      </w:r>
      <w:r>
        <w:rPr>
          <w:kern w:val="0"/>
        </w:rPr>
        <w:t>Goodrum, A. (2001), Scholarly publishing on</w:t>
      </w:r>
      <w:r w:rsidR="003A1917">
        <w:rPr>
          <w:kern w:val="0"/>
        </w:rPr>
        <w:t xml:space="preserve"> the </w:t>
      </w:r>
      <w:r>
        <w:rPr>
          <w:kern w:val="0"/>
        </w:rPr>
        <w:t>web: Link analysis</w:t>
      </w:r>
      <w:r w:rsidR="00427468">
        <w:rPr>
          <w:kern w:val="0"/>
        </w:rPr>
        <w:t xml:space="preserve"> of </w:t>
      </w:r>
      <w:r w:rsidR="003A1917">
        <w:rPr>
          <w:kern w:val="0"/>
        </w:rPr>
        <w:t xml:space="preserve">the </w:t>
      </w:r>
      <w:r>
        <w:rPr>
          <w:kern w:val="0"/>
        </w:rPr>
        <w:t>top 200 highly cited computer science articles on</w:t>
      </w:r>
      <w:r w:rsidR="003A1917">
        <w:rPr>
          <w:kern w:val="0"/>
        </w:rPr>
        <w:t xml:space="preserve"> the </w:t>
      </w:r>
      <w:r>
        <w:rPr>
          <w:kern w:val="0"/>
        </w:rPr>
        <w:t xml:space="preserve">WWW. </w:t>
      </w:r>
      <w:r w:rsidRPr="00E34A20">
        <w:rPr>
          <w:i/>
          <w:iCs/>
          <w:kern w:val="0"/>
        </w:rPr>
        <w:t>ASIST 2001: Proceedings</w:t>
      </w:r>
      <w:r w:rsidR="00427468">
        <w:rPr>
          <w:i/>
          <w:iCs/>
          <w:kern w:val="0"/>
        </w:rPr>
        <w:t xml:space="preserve"> of </w:t>
      </w:r>
      <w:r w:rsidR="003A1917">
        <w:rPr>
          <w:i/>
          <w:iCs/>
          <w:kern w:val="0"/>
        </w:rPr>
        <w:t xml:space="preserve">the </w:t>
      </w:r>
      <w:r w:rsidRPr="00E34A20">
        <w:rPr>
          <w:i/>
          <w:iCs/>
          <w:kern w:val="0"/>
        </w:rPr>
        <w:t>64th ASIST Annual Meeting, Vol 38, 2001</w:t>
      </w:r>
      <w:r>
        <w:rPr>
          <w:kern w:val="0"/>
        </w:rPr>
        <w:t xml:space="preserve">, </w:t>
      </w:r>
      <w:r>
        <w:rPr>
          <w:b/>
          <w:bCs/>
          <w:kern w:val="0"/>
        </w:rPr>
        <w:t>38</w:t>
      </w:r>
      <w:r>
        <w:rPr>
          <w:kern w:val="0"/>
        </w:rPr>
        <w:t>, 506-516.</w:t>
      </w:r>
    </w:p>
    <w:p w:rsidR="00E34A20" w:rsidRDefault="00E34A20" w:rsidP="00E34A20">
      <w:pPr>
        <w:pStyle w:val="a3"/>
        <w:rPr>
          <w:kern w:val="0"/>
        </w:rPr>
      </w:pPr>
      <w:r>
        <w:rPr>
          <w:kern w:val="0"/>
        </w:rPr>
        <w:t>Abstract: This paper reports</w:t>
      </w:r>
      <w:r w:rsidR="003A1917">
        <w:rPr>
          <w:kern w:val="0"/>
        </w:rPr>
        <w:t xml:space="preserve"> the </w:t>
      </w:r>
      <w:r>
        <w:rPr>
          <w:kern w:val="0"/>
        </w:rPr>
        <w:t>results</w:t>
      </w:r>
      <w:r w:rsidR="00427468">
        <w:rPr>
          <w:kern w:val="0"/>
        </w:rPr>
        <w:t xml:space="preserve"> of </w:t>
      </w:r>
      <w:r>
        <w:rPr>
          <w:kern w:val="0"/>
        </w:rPr>
        <w:t>a study that analyzes</w:t>
      </w:r>
      <w:r w:rsidR="003A1917">
        <w:rPr>
          <w:kern w:val="0"/>
        </w:rPr>
        <w:t xml:space="preserve"> the </w:t>
      </w:r>
      <w:r>
        <w:rPr>
          <w:kern w:val="0"/>
        </w:rPr>
        <w:t>link density</w:t>
      </w:r>
      <w:r w:rsidR="00427468">
        <w:rPr>
          <w:kern w:val="0"/>
        </w:rPr>
        <w:t xml:space="preserve"> of </w:t>
      </w:r>
      <w:r>
        <w:rPr>
          <w:kern w:val="0"/>
        </w:rPr>
        <w:t>200 highly cited documents appearing in ResearchIndex, an autonomous citation index</w:t>
      </w:r>
      <w:r w:rsidR="00427468">
        <w:rPr>
          <w:kern w:val="0"/>
        </w:rPr>
        <w:t xml:space="preserve"> of </w:t>
      </w:r>
      <w:r>
        <w:rPr>
          <w:kern w:val="0"/>
        </w:rPr>
        <w:t>literature published on</w:t>
      </w:r>
      <w:r w:rsidR="003A1917">
        <w:rPr>
          <w:kern w:val="0"/>
        </w:rPr>
        <w:t xml:space="preserve"> the </w:t>
      </w:r>
      <w:r>
        <w:rPr>
          <w:kern w:val="0"/>
        </w:rPr>
        <w:t>Web</w:t>
      </w:r>
      <w:r w:rsidR="00A37C1D">
        <w:rPr>
          <w:kern w:val="0"/>
        </w:rPr>
        <w:t>. The</w:t>
      </w:r>
      <w:r w:rsidR="003A1917">
        <w:rPr>
          <w:kern w:val="0"/>
        </w:rPr>
        <w:t xml:space="preserve"> </w:t>
      </w:r>
      <w:r>
        <w:rPr>
          <w:kern w:val="0"/>
        </w:rPr>
        <w:t>focus</w:t>
      </w:r>
      <w:r w:rsidR="00427468">
        <w:rPr>
          <w:kern w:val="0"/>
        </w:rPr>
        <w:t xml:space="preserve"> of </w:t>
      </w:r>
      <w:r>
        <w:rPr>
          <w:kern w:val="0"/>
        </w:rPr>
        <w:t>this analysis is</w:t>
      </w:r>
      <w:r w:rsidR="003A1917">
        <w:rPr>
          <w:kern w:val="0"/>
        </w:rPr>
        <w:t xml:space="preserve"> the </w:t>
      </w:r>
      <w:r>
        <w:rPr>
          <w:kern w:val="0"/>
        </w:rPr>
        <w:t>relationship between citations</w:t>
      </w:r>
      <w:r w:rsidR="005853A9">
        <w:rPr>
          <w:kern w:val="0"/>
        </w:rPr>
        <w:t xml:space="preserve"> and </w:t>
      </w:r>
      <w:r>
        <w:rPr>
          <w:kern w:val="0"/>
        </w:rPr>
        <w:t>hypertext links at</w:t>
      </w:r>
      <w:r w:rsidR="003A1917">
        <w:rPr>
          <w:kern w:val="0"/>
        </w:rPr>
        <w:t xml:space="preserve"> the </w:t>
      </w:r>
      <w:r>
        <w:rPr>
          <w:kern w:val="0"/>
        </w:rPr>
        <w:t>publicly available document level, Our analysis indicates no significant relationship between web-based citation counts</w:t>
      </w:r>
      <w:r w:rsidR="005853A9">
        <w:rPr>
          <w:kern w:val="0"/>
        </w:rPr>
        <w:t xml:space="preserve"> and </w:t>
      </w:r>
      <w:r>
        <w:rPr>
          <w:kern w:val="0"/>
        </w:rPr>
        <w:t>link density within this dataset. This would seem to indicate that link density is not analogous to citation counts among documents published on</w:t>
      </w:r>
      <w:r w:rsidR="003A1917">
        <w:rPr>
          <w:kern w:val="0"/>
        </w:rPr>
        <w:t xml:space="preserve"> the </w:t>
      </w:r>
      <w:r>
        <w:rPr>
          <w:kern w:val="0"/>
        </w:rPr>
        <w:t>Web</w:t>
      </w:r>
      <w:r w:rsidR="00A37C1D">
        <w:rPr>
          <w:kern w:val="0"/>
        </w:rPr>
        <w:t>. The</w:t>
      </w:r>
      <w:r w:rsidR="003A1917">
        <w:rPr>
          <w:kern w:val="0"/>
        </w:rPr>
        <w:t xml:space="preserve"> </w:t>
      </w:r>
      <w:r>
        <w:rPr>
          <w:kern w:val="0"/>
        </w:rPr>
        <w:t>study builds on previous work by Goodrum, McCain, Lawrence</w:t>
      </w:r>
      <w:r w:rsidR="005853A9">
        <w:rPr>
          <w:kern w:val="0"/>
        </w:rPr>
        <w:t xml:space="preserve"> and </w:t>
      </w:r>
      <w:r>
        <w:rPr>
          <w:kern w:val="0"/>
        </w:rPr>
        <w:t>Giles (2001) that examined</w:t>
      </w:r>
      <w:r w:rsidR="003A1917">
        <w:rPr>
          <w:kern w:val="0"/>
        </w:rPr>
        <w:t xml:space="preserve"> the </w:t>
      </w:r>
      <w:r>
        <w:rPr>
          <w:kern w:val="0"/>
        </w:rPr>
        <w:t>overlap between citation practice in computer science literature as it appears in SCISEARCH</w:t>
      </w:r>
      <w:r w:rsidR="005853A9">
        <w:rPr>
          <w:kern w:val="0"/>
        </w:rPr>
        <w:t xml:space="preserve"> and </w:t>
      </w:r>
      <w:r>
        <w:rPr>
          <w:kern w:val="0"/>
        </w:rPr>
        <w:t>as indexed on</w:t>
      </w:r>
      <w:r w:rsidR="003A1917">
        <w:rPr>
          <w:kern w:val="0"/>
        </w:rPr>
        <w:t xml:space="preserve"> the </w:t>
      </w:r>
      <w:r>
        <w:rPr>
          <w:kern w:val="0"/>
        </w:rPr>
        <w:t>Web using autonomous citation indexing.</w:t>
      </w:r>
    </w:p>
    <w:p w:rsidR="00E34A20" w:rsidRDefault="00E34A20" w:rsidP="00E34A20">
      <w:pPr>
        <w:pStyle w:val="a3"/>
        <w:rPr>
          <w:kern w:val="0"/>
        </w:rPr>
      </w:pPr>
      <w:r>
        <w:rPr>
          <w:kern w:val="0"/>
        </w:rPr>
        <w:t>Keywords: Articles, Citation, Citation Counts, Citations, Computer, Highly-Cited, Indexing, Literature, Publishing, Science, World-Wide-Web</w:t>
      </w:r>
    </w:p>
    <w:p w:rsidR="003474F2" w:rsidRPr="001A3D2B" w:rsidRDefault="003474F2" w:rsidP="003474F2">
      <w:pPr>
        <w:pStyle w:val="1"/>
      </w:pPr>
      <w:r w:rsidRPr="001A3D2B">
        <w:br w:type="page"/>
      </w:r>
      <w:bookmarkStart w:id="661" w:name="_Toc420814641"/>
      <w:r w:rsidRPr="001A3D2B">
        <w:lastRenderedPageBreak/>
        <w:t>Title: Asist Monograph Series</w:t>
      </w:r>
      <w:bookmarkEnd w:id="661"/>
    </w:p>
    <w:p w:rsidR="003474F2" w:rsidRPr="001A3D2B" w:rsidRDefault="003474F2" w:rsidP="003474F2">
      <w:pPr>
        <w:pStyle w:val="12"/>
      </w:pPr>
      <w:r w:rsidRPr="001A3D2B">
        <w:t>Full Journal Tit</w:t>
      </w:r>
      <w:bookmarkStart w:id="662" w:name="_Toc43634539"/>
      <w:bookmarkStart w:id="663" w:name="_Toc81215628"/>
      <w:r w:rsidRPr="001A3D2B">
        <w:t>le: Asist Monograph Series</w:t>
      </w:r>
    </w:p>
    <w:p w:rsidR="003474F2" w:rsidRPr="001A3D2B" w:rsidRDefault="003474F2" w:rsidP="003474F2">
      <w:pPr>
        <w:pStyle w:val="12"/>
      </w:pPr>
      <w:r w:rsidRPr="001A3D2B">
        <w:t>IS</w:t>
      </w:r>
      <w:bookmarkEnd w:id="662"/>
      <w:bookmarkEnd w:id="663"/>
      <w:r w:rsidRPr="001A3D2B">
        <w:t xml:space="preserve">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Lederberg, J. (2000), How</w:t>
      </w:r>
      <w:r w:rsidR="003A1917">
        <w:t xml:space="preserve"> the </w:t>
      </w:r>
      <w:r w:rsidRPr="001A3D2B">
        <w:t xml:space="preserve">Science Citation Index got started (Reprinted from Science, vol 122, pg 108-111, 1955). </w:t>
      </w:r>
      <w:r w:rsidRPr="001A3D2B">
        <w:rPr>
          <w:i/>
          <w:iCs/>
        </w:rPr>
        <w:t>Asist Monograph Series</w:t>
      </w:r>
      <w:r w:rsidRPr="001A3D2B">
        <w:t>, 25-64.</w:t>
      </w:r>
    </w:p>
    <w:p w:rsidR="003474F2" w:rsidRPr="001A3D2B" w:rsidRDefault="003474F2" w:rsidP="003474F2">
      <w:pPr>
        <w:pStyle w:val="a3"/>
      </w:pPr>
      <w:r w:rsidRPr="001A3D2B">
        <w:t>Keywords: Citation, Science Citation Index</w:t>
      </w:r>
    </w:p>
    <w:p w:rsidR="00C915FF" w:rsidRPr="001A3D2B" w:rsidRDefault="00C915FF" w:rsidP="00C915FF">
      <w:pPr>
        <w:pStyle w:val="a3"/>
        <w:rPr>
          <w:kern w:val="0"/>
          <w:szCs w:val="24"/>
        </w:rPr>
      </w:pPr>
      <w:r w:rsidRPr="001A3D2B">
        <w:rPr>
          <w:kern w:val="0"/>
          <w:szCs w:val="24"/>
        </w:rPr>
        <w:t>? Borgman, C.L. (2000), Scholarly communication</w:t>
      </w:r>
      <w:r w:rsidR="005853A9">
        <w:rPr>
          <w:kern w:val="0"/>
          <w:szCs w:val="24"/>
        </w:rPr>
        <w:t xml:space="preserve"> and </w:t>
      </w:r>
      <w:r w:rsidRPr="001A3D2B">
        <w:rPr>
          <w:kern w:val="0"/>
          <w:szCs w:val="24"/>
        </w:rPr>
        <w:t xml:space="preserve">bibliometrics revisited. </w:t>
      </w:r>
      <w:r w:rsidRPr="001A3D2B">
        <w:rPr>
          <w:i/>
          <w:iCs/>
          <w:kern w:val="0"/>
          <w:szCs w:val="24"/>
        </w:rPr>
        <w:t>Asist Monograph Series</w:t>
      </w:r>
      <w:r w:rsidRPr="001A3D2B">
        <w:rPr>
          <w:kern w:val="0"/>
          <w:szCs w:val="24"/>
        </w:rPr>
        <w:t>, 143-162</w:t>
      </w:r>
    </w:p>
    <w:p w:rsidR="00C915FF" w:rsidRPr="001A3D2B" w:rsidRDefault="00C915FF" w:rsidP="00C915FF">
      <w:pPr>
        <w:pStyle w:val="a3"/>
        <w:rPr>
          <w:kern w:val="0"/>
          <w:szCs w:val="24"/>
        </w:rPr>
      </w:pPr>
      <w:r w:rsidRPr="001A3D2B">
        <w:rPr>
          <w:kern w:val="0"/>
          <w:szCs w:val="24"/>
        </w:rPr>
        <w:t>Keywords: Bibliometrics, Citation, Digital Library Use, Information, Issues, Web Impact Factors</w:t>
      </w:r>
    </w:p>
    <w:p w:rsidR="003474F2" w:rsidRPr="001A3D2B" w:rsidRDefault="003474F2" w:rsidP="003474F2">
      <w:pPr>
        <w:pStyle w:val="a3"/>
      </w:pPr>
      <w:r w:rsidRPr="001A3D2B">
        <w:t xml:space="preserve">? Braun, T., </w:t>
      </w:r>
      <w:r w:rsidR="00E33649">
        <w:t>Glänzel, W.</w:t>
      </w:r>
      <w:r w:rsidR="005853A9">
        <w:t xml:space="preserve"> and </w:t>
      </w:r>
      <w:r w:rsidRPr="001A3D2B">
        <w:t>Schubert, A. (2000), How balanced is</w:t>
      </w:r>
      <w:r w:rsidR="003A1917">
        <w:t xml:space="preserve"> the </w:t>
      </w:r>
      <w:r w:rsidRPr="001A3D2B">
        <w:t>Science Citation Index</w:t>
      </w:r>
      <w:r w:rsidR="00700038">
        <w:t>’</w:t>
      </w:r>
      <w:r w:rsidR="00C13DDC">
        <w:t>s</w:t>
      </w:r>
      <w:r w:rsidRPr="001A3D2B">
        <w:t xml:space="preserve"> journal coverage? A preliminary overview</w:t>
      </w:r>
      <w:r w:rsidR="00427468">
        <w:t xml:space="preserve"> of </w:t>
      </w:r>
      <w:r w:rsidRPr="001A3D2B">
        <w:t xml:space="preserve">macrolevel statistical data. </w:t>
      </w:r>
      <w:r w:rsidRPr="001A3D2B">
        <w:rPr>
          <w:i/>
          <w:iCs/>
        </w:rPr>
        <w:t>Asist Monograph Series</w:t>
      </w:r>
      <w:r w:rsidRPr="001A3D2B">
        <w:t>, 251-277.</w:t>
      </w:r>
    </w:p>
    <w:p w:rsidR="003474F2" w:rsidRPr="001A3D2B" w:rsidRDefault="003474F2" w:rsidP="003474F2">
      <w:pPr>
        <w:pStyle w:val="a3"/>
      </w:pPr>
      <w:r w:rsidRPr="001A3D2B">
        <w:t>Keywords: Citation, Coverage, Data, Journal</w:t>
      </w:r>
    </w:p>
    <w:p w:rsidR="003474F2" w:rsidRPr="001A3D2B" w:rsidRDefault="003474F2" w:rsidP="003474F2">
      <w:pPr>
        <w:pStyle w:val="a3"/>
      </w:pPr>
      <w:r w:rsidRPr="001A3D2B">
        <w:t xml:space="preserve">? Russell, J.M. (2000), Publication indicators in </w:t>
      </w:r>
      <w:smartTag w:uri="urn:schemas-microsoft-com:office:smarttags" w:element="place">
        <w:r w:rsidRPr="001A3D2B">
          <w:t>Latin America</w:t>
        </w:r>
      </w:smartTag>
      <w:r w:rsidRPr="001A3D2B">
        <w:t xml:space="preserve"> revisited. </w:t>
      </w:r>
      <w:r w:rsidRPr="001A3D2B">
        <w:rPr>
          <w:i/>
          <w:iCs/>
        </w:rPr>
        <w:t>Asist Monograph Series</w:t>
      </w:r>
      <w:r w:rsidRPr="001A3D2B">
        <w:t>, 233-250.</w:t>
      </w:r>
    </w:p>
    <w:p w:rsidR="003474F2" w:rsidRPr="001A3D2B" w:rsidRDefault="003474F2" w:rsidP="003474F2">
      <w:pPr>
        <w:pStyle w:val="a3"/>
      </w:pPr>
      <w:r w:rsidRPr="001A3D2B">
        <w:t>Abstract: This chapter discusses</w:t>
      </w:r>
      <w:r w:rsidR="003A1917">
        <w:t xml:space="preserve"> the </w:t>
      </w:r>
      <w:r w:rsidRPr="001A3D2B">
        <w:t>implications</w:t>
      </w:r>
      <w:r w:rsidR="00427468">
        <w:t xml:space="preserve"> of </w:t>
      </w:r>
      <w:r w:rsidR="003A1917">
        <w:t xml:space="preserve">the </w:t>
      </w:r>
      <w:r w:rsidRPr="001A3D2B">
        <w:t>structure</w:t>
      </w:r>
      <w:r w:rsidR="005853A9">
        <w:t xml:space="preserve"> and </w:t>
      </w:r>
      <w:r w:rsidRPr="001A3D2B">
        <w:t>communication patterns</w:t>
      </w:r>
      <w:r w:rsidR="00427468">
        <w:t xml:space="preserve"> of </w:t>
      </w:r>
      <w:r w:rsidR="003A1917">
        <w:t xml:space="preserve">the </w:t>
      </w:r>
      <w:r w:rsidRPr="001A3D2B">
        <w:t>Latin American scientific communities for</w:t>
      </w:r>
      <w:r w:rsidR="003A1917">
        <w:t xml:space="preserve"> the </w:t>
      </w:r>
      <w:r w:rsidRPr="001A3D2B">
        <w:t>validity</w:t>
      </w:r>
      <w:r w:rsidR="00427468">
        <w:t xml:space="preserve"> of </w:t>
      </w:r>
      <w:r w:rsidRPr="001A3D2B">
        <w:t>publication indicators based exclusively on mainstream journal publication. Studies have suggested that scientists whose research is aimed toward advancing universal knowledge rather than</w:t>
      </w:r>
      <w:r w:rsidR="003A1917">
        <w:t xml:space="preserve"> the </w:t>
      </w:r>
      <w:r w:rsidRPr="001A3D2B">
        <w:t>solution</w:t>
      </w:r>
      <w:r w:rsidR="00427468">
        <w:t xml:space="preserve"> of </w:t>
      </w:r>
      <w:r w:rsidRPr="001A3D2B">
        <w:t>local problems play a dominant role in science policy</w:t>
      </w:r>
      <w:r w:rsidR="005853A9">
        <w:t xml:space="preserve"> and </w:t>
      </w:r>
      <w:r w:rsidRPr="001A3D2B">
        <w:t>funding decisions</w:t>
      </w:r>
      <w:r w:rsidR="005853A9">
        <w:t xml:space="preserve"> and </w:t>
      </w:r>
      <w:r w:rsidRPr="001A3D2B">
        <w:t>in</w:t>
      </w:r>
      <w:r w:rsidR="003A1917">
        <w:t xml:space="preserve"> the </w:t>
      </w:r>
      <w:r w:rsidRPr="001A3D2B">
        <w:t>construction</w:t>
      </w:r>
      <w:r w:rsidR="00427468">
        <w:t xml:space="preserve"> of </w:t>
      </w:r>
      <w:r w:rsidRPr="001A3D2B">
        <w:t>scientific excellence in</w:t>
      </w:r>
      <w:r w:rsidR="003A1917">
        <w:t xml:space="preserve"> the </w:t>
      </w:r>
      <w:r w:rsidRPr="001A3D2B">
        <w:t>region. Mainstream publication, considered characteristic</w:t>
      </w:r>
      <w:r w:rsidR="00427468">
        <w:t xml:space="preserve"> of </w:t>
      </w:r>
      <w:r w:rsidRPr="001A3D2B">
        <w:t>quality scientific work, is highly favored by Latin American evaluation committees. For this reason, there is an urgent need to generate output indicators</w:t>
      </w:r>
      <w:r w:rsidR="00427468">
        <w:t xml:space="preserve"> of </w:t>
      </w:r>
      <w:r w:rsidRPr="001A3D2B">
        <w:t>quality work published in national</w:t>
      </w:r>
      <w:r w:rsidR="005853A9">
        <w:t xml:space="preserve"> and </w:t>
      </w:r>
      <w:r w:rsidRPr="001A3D2B">
        <w:t>regional journals to give a more balanced picture</w:t>
      </w:r>
      <w:r w:rsidR="00427468">
        <w:t xml:space="preserve"> of </w:t>
      </w:r>
      <w:r w:rsidRPr="001A3D2B">
        <w:t>overall scientific achievements. Efforts made toward achieving this goal are discussed along with</w:t>
      </w:r>
      <w:r w:rsidR="003A1917">
        <w:t xml:space="preserve"> the </w:t>
      </w:r>
      <w:r w:rsidRPr="001A3D2B">
        <w:t>need for further studies</w:t>
      </w:r>
      <w:r w:rsidR="00427468">
        <w:t xml:space="preserve"> of </w:t>
      </w:r>
      <w:r w:rsidR="003A1917">
        <w:t xml:space="preserve">the </w:t>
      </w:r>
      <w:r w:rsidRPr="001A3D2B">
        <w:t>context</w:t>
      </w:r>
      <w:r w:rsidR="005853A9">
        <w:t xml:space="preserve"> and </w:t>
      </w:r>
      <w:r w:rsidRPr="001A3D2B">
        <w:t>characteristics</w:t>
      </w:r>
      <w:r w:rsidR="00427468">
        <w:t xml:space="preserve"> of </w:t>
      </w:r>
      <w:r w:rsidRPr="001A3D2B">
        <w:t>science</w:t>
      </w:r>
      <w:r w:rsidR="005853A9">
        <w:t xml:space="preserve"> and </w:t>
      </w:r>
      <w:r w:rsidRPr="001A3D2B">
        <w:t xml:space="preserve">technology </w:t>
      </w:r>
      <w:r w:rsidRPr="001A3D2B">
        <w:lastRenderedPageBreak/>
        <w:t xml:space="preserve">in </w:t>
      </w:r>
      <w:smartTag w:uri="urn:schemas-microsoft-com:office:smarttags" w:element="place">
        <w:r w:rsidRPr="001A3D2B">
          <w:t>Latin America</w:t>
        </w:r>
      </w:smartTag>
      <w:r w:rsidRPr="001A3D2B">
        <w:t xml:space="preserve"> necessary for</w:t>
      </w:r>
      <w:r w:rsidR="003A1917">
        <w:t xml:space="preserve"> the </w:t>
      </w:r>
      <w:r w:rsidRPr="001A3D2B">
        <w:t>generation</w:t>
      </w:r>
      <w:r w:rsidR="00427468">
        <w:t xml:space="preserve"> of </w:t>
      </w:r>
      <w:r w:rsidRPr="001A3D2B">
        <w:t>reliable</w:t>
      </w:r>
      <w:r w:rsidR="005853A9">
        <w:t xml:space="preserve"> and </w:t>
      </w:r>
      <w:r w:rsidRPr="001A3D2B">
        <w:t>accurate indicators</w:t>
      </w:r>
      <w:r w:rsidR="00427468">
        <w:t xml:space="preserve"> of </w:t>
      </w:r>
      <w:r w:rsidRPr="001A3D2B">
        <w:t>regional activity.</w:t>
      </w:r>
    </w:p>
    <w:p w:rsidR="003474F2" w:rsidRPr="001A3D2B" w:rsidRDefault="003474F2" w:rsidP="003474F2">
      <w:pPr>
        <w:pStyle w:val="a3"/>
      </w:pPr>
      <w:r w:rsidRPr="001A3D2B">
        <w:t>Keywords: Developed-Countries, Scientific Activity, Mainstream Science, Citation Behavior, Periphery, Journals, Information, Strategies, Place</w:t>
      </w:r>
    </w:p>
    <w:p w:rsidR="003474F2" w:rsidRPr="001A3D2B" w:rsidRDefault="003474F2" w:rsidP="003474F2">
      <w:pPr>
        <w:pStyle w:val="a3"/>
      </w:pPr>
      <w:r w:rsidRPr="001A3D2B">
        <w:t>? Braun, T., Glänzel, W.</w:t>
      </w:r>
      <w:r w:rsidR="005853A9">
        <w:t xml:space="preserve"> and </w:t>
      </w:r>
      <w:r w:rsidRPr="001A3D2B">
        <w:t>Schubert, A. (2000), How balanced is</w:t>
      </w:r>
      <w:r w:rsidR="003A1917">
        <w:t xml:space="preserve"> the </w:t>
      </w:r>
      <w:r w:rsidRPr="001A3D2B">
        <w:t>Science Citation Index</w:t>
      </w:r>
      <w:r w:rsidR="00700038">
        <w:t>’</w:t>
      </w:r>
      <w:r w:rsidR="00C13DDC">
        <w:t>s</w:t>
      </w:r>
      <w:r w:rsidRPr="001A3D2B">
        <w:t xml:space="preserve"> journal coverage? A preliminary overview</w:t>
      </w:r>
      <w:r w:rsidR="00427468">
        <w:t xml:space="preserve"> of </w:t>
      </w:r>
      <w:r w:rsidRPr="001A3D2B">
        <w:t xml:space="preserve">macrolevel statistical data. </w:t>
      </w:r>
      <w:r w:rsidRPr="001A3D2B">
        <w:rPr>
          <w:i/>
          <w:iCs/>
        </w:rPr>
        <w:t>Asist Monograph Series</w:t>
      </w:r>
      <w:r w:rsidRPr="001A3D2B">
        <w:t>, 251-277.</w:t>
      </w:r>
    </w:p>
    <w:p w:rsidR="00C915FF" w:rsidRPr="001A3D2B" w:rsidRDefault="00C915FF" w:rsidP="00C915FF">
      <w:pPr>
        <w:pStyle w:val="a3"/>
        <w:rPr>
          <w:kern w:val="0"/>
          <w:szCs w:val="24"/>
        </w:rPr>
      </w:pPr>
      <w:r w:rsidRPr="001A3D2B">
        <w:rPr>
          <w:kern w:val="0"/>
          <w:szCs w:val="24"/>
        </w:rPr>
        <w:t>? Van Raan, A.F.J. (2000</w:t>
      </w:r>
      <w:r w:rsidR="00F42EAC">
        <w:rPr>
          <w:kern w:val="0"/>
          <w:szCs w:val="24"/>
        </w:rPr>
        <w:t>), The</w:t>
      </w:r>
      <w:r w:rsidR="003A1917">
        <w:rPr>
          <w:kern w:val="0"/>
          <w:szCs w:val="24"/>
        </w:rPr>
        <w:t xml:space="preserve"> </w:t>
      </w:r>
      <w:r w:rsidRPr="001A3D2B">
        <w:rPr>
          <w:kern w:val="0"/>
          <w:szCs w:val="24"/>
        </w:rPr>
        <w:t>pandora</w:t>
      </w:r>
      <w:r w:rsidR="00700038">
        <w:rPr>
          <w:kern w:val="0"/>
          <w:szCs w:val="24"/>
        </w:rPr>
        <w:t>’</w:t>
      </w:r>
      <w:r w:rsidR="00C13DDC">
        <w:rPr>
          <w:kern w:val="0"/>
          <w:szCs w:val="24"/>
        </w:rPr>
        <w:t>s</w:t>
      </w:r>
      <w:r w:rsidRPr="001A3D2B">
        <w:rPr>
          <w:kern w:val="0"/>
          <w:szCs w:val="24"/>
        </w:rPr>
        <w:t xml:space="preserve"> box</w:t>
      </w:r>
      <w:r w:rsidR="00427468">
        <w:rPr>
          <w:kern w:val="0"/>
          <w:szCs w:val="24"/>
        </w:rPr>
        <w:t xml:space="preserve"> of </w:t>
      </w:r>
      <w:r w:rsidRPr="001A3D2B">
        <w:rPr>
          <w:kern w:val="0"/>
          <w:szCs w:val="24"/>
        </w:rPr>
        <w:t>citation analysis: Measuring scientific excellence -</w:t>
      </w:r>
      <w:r w:rsidR="003A1917">
        <w:rPr>
          <w:kern w:val="0"/>
          <w:szCs w:val="24"/>
        </w:rPr>
        <w:t xml:space="preserve"> the </w:t>
      </w:r>
      <w:r w:rsidRPr="001A3D2B">
        <w:rPr>
          <w:kern w:val="0"/>
          <w:szCs w:val="24"/>
        </w:rPr>
        <w:t xml:space="preserve">last evil? </w:t>
      </w:r>
      <w:r w:rsidRPr="001A3D2B">
        <w:rPr>
          <w:i/>
          <w:iCs/>
          <w:kern w:val="0"/>
          <w:szCs w:val="24"/>
        </w:rPr>
        <w:t>Asist Monograph Series</w:t>
      </w:r>
      <w:r w:rsidRPr="001A3D2B">
        <w:rPr>
          <w:kern w:val="0"/>
          <w:szCs w:val="24"/>
        </w:rPr>
        <w:t>, 301-319.</w:t>
      </w:r>
    </w:p>
    <w:p w:rsidR="00C915FF" w:rsidRPr="001A3D2B" w:rsidRDefault="00C915FF" w:rsidP="00C915FF">
      <w:pPr>
        <w:pStyle w:val="a3"/>
        <w:rPr>
          <w:kern w:val="0"/>
          <w:szCs w:val="24"/>
        </w:rPr>
      </w:pPr>
      <w:r w:rsidRPr="001A3D2B">
        <w:rPr>
          <w:kern w:val="0"/>
          <w:szCs w:val="24"/>
        </w:rPr>
        <w:t>Abstract: This paper presents an overview</w:t>
      </w:r>
      <w:r w:rsidR="00427468">
        <w:rPr>
          <w:kern w:val="0"/>
          <w:szCs w:val="24"/>
        </w:rPr>
        <w:t xml:space="preserve"> of </w:t>
      </w:r>
      <w:r w:rsidRPr="001A3D2B">
        <w:rPr>
          <w:kern w:val="0"/>
          <w:szCs w:val="24"/>
        </w:rPr>
        <w:t>advanced bibliometric methods for objective</w:t>
      </w:r>
      <w:r w:rsidR="005853A9">
        <w:rPr>
          <w:kern w:val="0"/>
          <w:szCs w:val="24"/>
        </w:rPr>
        <w:t xml:space="preserve"> and </w:t>
      </w:r>
      <w:r w:rsidRPr="001A3D2B">
        <w:rPr>
          <w:kern w:val="0"/>
          <w:szCs w:val="24"/>
        </w:rPr>
        <w:t>transparent assessment</w:t>
      </w:r>
      <w:r w:rsidR="00427468">
        <w:rPr>
          <w:kern w:val="0"/>
          <w:szCs w:val="24"/>
        </w:rPr>
        <w:t xml:space="preserve"> of </w:t>
      </w:r>
      <w:r w:rsidRPr="001A3D2B">
        <w:rPr>
          <w:kern w:val="0"/>
          <w:szCs w:val="24"/>
        </w:rPr>
        <w:t>strengths</w:t>
      </w:r>
      <w:r w:rsidR="005853A9">
        <w:rPr>
          <w:kern w:val="0"/>
          <w:szCs w:val="24"/>
        </w:rPr>
        <w:t xml:space="preserve"> and </w:t>
      </w:r>
      <w:r w:rsidRPr="001A3D2B">
        <w:rPr>
          <w:kern w:val="0"/>
          <w:szCs w:val="24"/>
        </w:rPr>
        <w:t>weaknesses in research performance,</w:t>
      </w:r>
      <w:r w:rsidR="005853A9">
        <w:rPr>
          <w:kern w:val="0"/>
          <w:szCs w:val="24"/>
        </w:rPr>
        <w:t xml:space="preserve"> and </w:t>
      </w:r>
      <w:r w:rsidRPr="001A3D2B">
        <w:rPr>
          <w:kern w:val="0"/>
          <w:szCs w:val="24"/>
        </w:rPr>
        <w:t>monitoring</w:t>
      </w:r>
      <w:r w:rsidR="00427468">
        <w:rPr>
          <w:kern w:val="0"/>
          <w:szCs w:val="24"/>
        </w:rPr>
        <w:t xml:space="preserve"> of </w:t>
      </w:r>
      <w:r w:rsidRPr="001A3D2B">
        <w:rPr>
          <w:kern w:val="0"/>
          <w:szCs w:val="24"/>
        </w:rPr>
        <w:t>scientific developments. In</w:t>
      </w:r>
      <w:r w:rsidR="003A1917">
        <w:rPr>
          <w:kern w:val="0"/>
          <w:szCs w:val="24"/>
        </w:rPr>
        <w:t xml:space="preserve"> the </w:t>
      </w:r>
      <w:r w:rsidRPr="001A3D2B">
        <w:rPr>
          <w:kern w:val="0"/>
          <w:szCs w:val="24"/>
        </w:rPr>
        <w:t>first application, we focus on</w:t>
      </w:r>
      <w:r w:rsidR="003A1917">
        <w:rPr>
          <w:kern w:val="0"/>
          <w:szCs w:val="24"/>
        </w:rPr>
        <w:t xml:space="preserve"> the </w:t>
      </w:r>
      <w:r w:rsidRPr="001A3D2B">
        <w:rPr>
          <w:kern w:val="0"/>
          <w:szCs w:val="24"/>
        </w:rPr>
        <w:t>detailed analysis</w:t>
      </w:r>
      <w:r w:rsidR="00427468">
        <w:rPr>
          <w:kern w:val="0"/>
          <w:szCs w:val="24"/>
        </w:rPr>
        <w:t xml:space="preserve"> of </w:t>
      </w:r>
      <w:r w:rsidRPr="001A3D2B">
        <w:rPr>
          <w:kern w:val="0"/>
          <w:szCs w:val="24"/>
        </w:rPr>
        <w:t>research performance from an international comparative perspective. This type</w:t>
      </w:r>
      <w:r w:rsidR="00427468">
        <w:rPr>
          <w:kern w:val="0"/>
          <w:szCs w:val="24"/>
        </w:rPr>
        <w:t xml:space="preserve"> of </w:t>
      </w:r>
      <w:r w:rsidRPr="001A3D2B">
        <w:rPr>
          <w:kern w:val="0"/>
          <w:szCs w:val="24"/>
        </w:rPr>
        <w:t>analysis can be applied at different levels</w:t>
      </w:r>
      <w:r w:rsidR="00427468">
        <w:rPr>
          <w:kern w:val="0"/>
          <w:szCs w:val="24"/>
        </w:rPr>
        <w:t xml:space="preserve"> of </w:t>
      </w:r>
      <w:r w:rsidRPr="001A3D2B">
        <w:rPr>
          <w:kern w:val="0"/>
          <w:szCs w:val="24"/>
        </w:rPr>
        <w:t>aggregation, but</w:t>
      </w:r>
      <w:r w:rsidR="003A1917">
        <w:rPr>
          <w:kern w:val="0"/>
          <w:szCs w:val="24"/>
        </w:rPr>
        <w:t xml:space="preserve"> the </w:t>
      </w:r>
      <w:r w:rsidRPr="001A3D2B">
        <w:rPr>
          <w:kern w:val="0"/>
          <w:szCs w:val="24"/>
        </w:rPr>
        <w:t>institutional level is particularly crucial in</w:t>
      </w:r>
      <w:r w:rsidR="003A1917">
        <w:rPr>
          <w:kern w:val="0"/>
          <w:szCs w:val="24"/>
        </w:rPr>
        <w:t xml:space="preserve"> the </w:t>
      </w:r>
      <w:r w:rsidR="00B5188C">
        <w:rPr>
          <w:kern w:val="0"/>
          <w:szCs w:val="24"/>
        </w:rPr>
        <w:t>“</w:t>
      </w:r>
      <w:r w:rsidRPr="001A3D2B">
        <w:rPr>
          <w:kern w:val="0"/>
          <w:szCs w:val="24"/>
        </w:rPr>
        <w:t>search for excellence.</w:t>
      </w:r>
      <w:r w:rsidR="00B5188C">
        <w:rPr>
          <w:kern w:val="0"/>
          <w:szCs w:val="24"/>
        </w:rPr>
        <w:t>”</w:t>
      </w:r>
      <w:r w:rsidRPr="001A3D2B">
        <w:rPr>
          <w:kern w:val="0"/>
          <w:szCs w:val="24"/>
        </w:rPr>
        <w:t xml:space="preserve"> We demonstrate that our recently developed indicators are very informative, despite</w:t>
      </w:r>
      <w:r w:rsidR="003A1917">
        <w:rPr>
          <w:kern w:val="0"/>
          <w:szCs w:val="24"/>
        </w:rPr>
        <w:t xml:space="preserve"> the </w:t>
      </w:r>
      <w:r w:rsidRPr="001A3D2B">
        <w:rPr>
          <w:kern w:val="0"/>
          <w:szCs w:val="24"/>
        </w:rPr>
        <w:t>often poor but nonetheless dogged objections raised by opponents</w:t>
      </w:r>
      <w:r w:rsidR="00427468">
        <w:rPr>
          <w:kern w:val="0"/>
          <w:szCs w:val="24"/>
        </w:rPr>
        <w:t xml:space="preserve"> of </w:t>
      </w:r>
      <w:r w:rsidRPr="001A3D2B">
        <w:rPr>
          <w:kern w:val="0"/>
          <w:szCs w:val="24"/>
        </w:rPr>
        <w:t>bibliometric analysis. We conclude that advanced bibliometric methods are, particularly at</w:t>
      </w:r>
      <w:r w:rsidR="003A1917">
        <w:rPr>
          <w:kern w:val="0"/>
          <w:szCs w:val="24"/>
        </w:rPr>
        <w:t xml:space="preserve"> the </w:t>
      </w:r>
      <w:r w:rsidRPr="001A3D2B">
        <w:rPr>
          <w:kern w:val="0"/>
          <w:szCs w:val="24"/>
        </w:rPr>
        <w:t>level</w:t>
      </w:r>
      <w:r w:rsidR="00427468">
        <w:rPr>
          <w:kern w:val="0"/>
          <w:szCs w:val="24"/>
        </w:rPr>
        <w:t xml:space="preserve"> of </w:t>
      </w:r>
      <w:r w:rsidRPr="001A3D2B">
        <w:rPr>
          <w:kern w:val="0"/>
          <w:szCs w:val="24"/>
        </w:rPr>
        <w:t>research groups (e.g., university departments</w:t>
      </w:r>
      <w:r w:rsidR="005853A9">
        <w:rPr>
          <w:kern w:val="0"/>
          <w:szCs w:val="24"/>
        </w:rPr>
        <w:t xml:space="preserve"> and </w:t>
      </w:r>
      <w:r w:rsidRPr="001A3D2B">
        <w:rPr>
          <w:kern w:val="0"/>
          <w:szCs w:val="24"/>
        </w:rPr>
        <w:t>institutes) an indispensable element alongside peer review in</w:t>
      </w:r>
      <w:r w:rsidR="003A1917">
        <w:rPr>
          <w:kern w:val="0"/>
          <w:szCs w:val="24"/>
        </w:rPr>
        <w:t xml:space="preserve"> the </w:t>
      </w:r>
      <w:r w:rsidRPr="001A3D2B">
        <w:rPr>
          <w:kern w:val="0"/>
          <w:szCs w:val="24"/>
        </w:rPr>
        <w:t>research evaluation process. In</w:t>
      </w:r>
      <w:r w:rsidR="003A1917">
        <w:rPr>
          <w:kern w:val="0"/>
          <w:szCs w:val="24"/>
        </w:rPr>
        <w:t xml:space="preserve"> the </w:t>
      </w:r>
      <w:r w:rsidRPr="001A3D2B">
        <w:rPr>
          <w:kern w:val="0"/>
          <w:szCs w:val="24"/>
        </w:rPr>
        <w:t>second application, monitoring</w:t>
      </w:r>
      <w:r w:rsidR="00427468">
        <w:rPr>
          <w:kern w:val="0"/>
          <w:szCs w:val="24"/>
        </w:rPr>
        <w:t xml:space="preserve"> of </w:t>
      </w:r>
      <w:r w:rsidRPr="001A3D2B">
        <w:rPr>
          <w:kern w:val="0"/>
          <w:szCs w:val="24"/>
        </w:rPr>
        <w:t>scientific (basic</w:t>
      </w:r>
      <w:r w:rsidR="005853A9">
        <w:rPr>
          <w:kern w:val="0"/>
          <w:szCs w:val="24"/>
        </w:rPr>
        <w:t xml:space="preserve"> and </w:t>
      </w:r>
      <w:r w:rsidRPr="001A3D2B">
        <w:rPr>
          <w:kern w:val="0"/>
          <w:szCs w:val="24"/>
        </w:rPr>
        <w:t>applied) developments, recent advances in bibliometric mapping techniques show promise</w:t>
      </w:r>
      <w:r w:rsidR="00A37C1D">
        <w:rPr>
          <w:kern w:val="0"/>
          <w:szCs w:val="24"/>
        </w:rPr>
        <w:t>. The</w:t>
      </w:r>
      <w:r w:rsidRPr="001A3D2B">
        <w:rPr>
          <w:kern w:val="0"/>
          <w:szCs w:val="24"/>
        </w:rPr>
        <w:t>y are unique instruments to discover patterns</w:t>
      </w:r>
      <w:r w:rsidR="00427468">
        <w:rPr>
          <w:kern w:val="0"/>
          <w:szCs w:val="24"/>
        </w:rPr>
        <w:t xml:space="preserve"> of </w:t>
      </w:r>
      <w:r w:rsidRPr="001A3D2B">
        <w:rPr>
          <w:kern w:val="0"/>
          <w:szCs w:val="24"/>
        </w:rPr>
        <w:t>scientific communication, processes</w:t>
      </w:r>
      <w:r w:rsidR="00427468">
        <w:rPr>
          <w:kern w:val="0"/>
          <w:szCs w:val="24"/>
        </w:rPr>
        <w:t xml:space="preserve"> of </w:t>
      </w:r>
      <w:r w:rsidRPr="001A3D2B">
        <w:rPr>
          <w:kern w:val="0"/>
          <w:szCs w:val="24"/>
        </w:rPr>
        <w:t>knowledge dissemination,</w:t>
      </w:r>
      <w:r w:rsidR="005853A9">
        <w:rPr>
          <w:kern w:val="0"/>
          <w:szCs w:val="24"/>
        </w:rPr>
        <w:t xml:space="preserve"> and </w:t>
      </w:r>
      <w:r w:rsidR="003A1917">
        <w:rPr>
          <w:kern w:val="0"/>
          <w:szCs w:val="24"/>
        </w:rPr>
        <w:t xml:space="preserve">the </w:t>
      </w:r>
      <w:r w:rsidRPr="001A3D2B">
        <w:rPr>
          <w:kern w:val="0"/>
          <w:szCs w:val="24"/>
        </w:rPr>
        <w:t>structural dynamics</w:t>
      </w:r>
      <w:r w:rsidR="00427468">
        <w:rPr>
          <w:kern w:val="0"/>
          <w:szCs w:val="24"/>
        </w:rPr>
        <w:t xml:space="preserve"> of </w:t>
      </w:r>
      <w:r w:rsidRPr="001A3D2B">
        <w:rPr>
          <w:kern w:val="0"/>
          <w:szCs w:val="24"/>
        </w:rPr>
        <w:t xml:space="preserve">scientific developments. We discuss </w:t>
      </w:r>
      <w:r w:rsidR="00B5188C">
        <w:rPr>
          <w:kern w:val="0"/>
          <w:szCs w:val="24"/>
        </w:rPr>
        <w:t>“</w:t>
      </w:r>
      <w:r w:rsidRPr="001A3D2B">
        <w:rPr>
          <w:kern w:val="0"/>
          <w:szCs w:val="24"/>
        </w:rPr>
        <w:t>bibliometric cartography</w:t>
      </w:r>
      <w:r w:rsidR="00B5188C">
        <w:rPr>
          <w:kern w:val="0"/>
          <w:szCs w:val="24"/>
        </w:rPr>
        <w:t>”</w:t>
      </w:r>
      <w:r w:rsidRPr="001A3D2B">
        <w:rPr>
          <w:kern w:val="0"/>
          <w:szCs w:val="24"/>
        </w:rPr>
        <w:t xml:space="preserve"> briefly</w:t>
      </w:r>
      <w:r w:rsidR="005853A9">
        <w:rPr>
          <w:kern w:val="0"/>
          <w:szCs w:val="24"/>
        </w:rPr>
        <w:t xml:space="preserve"> and </w:t>
      </w:r>
      <w:r w:rsidRPr="001A3D2B">
        <w:rPr>
          <w:kern w:val="0"/>
          <w:szCs w:val="24"/>
        </w:rPr>
        <w:t>indicate its potential for unraveling multidisciplinary developments</w:t>
      </w:r>
      <w:r w:rsidR="005853A9">
        <w:rPr>
          <w:kern w:val="0"/>
          <w:szCs w:val="24"/>
        </w:rPr>
        <w:t xml:space="preserve"> and </w:t>
      </w:r>
      <w:r w:rsidRPr="001A3D2B">
        <w:rPr>
          <w:kern w:val="0"/>
          <w:szCs w:val="24"/>
        </w:rPr>
        <w:t>interfaces between science</w:t>
      </w:r>
      <w:r w:rsidR="005853A9">
        <w:rPr>
          <w:kern w:val="0"/>
          <w:szCs w:val="24"/>
        </w:rPr>
        <w:t xml:space="preserve"> and </w:t>
      </w:r>
      <w:r w:rsidRPr="001A3D2B">
        <w:rPr>
          <w:kern w:val="0"/>
          <w:szCs w:val="24"/>
        </w:rPr>
        <w:t>technology. This is important, as we know that</w:t>
      </w:r>
      <w:r w:rsidR="003A1917">
        <w:rPr>
          <w:kern w:val="0"/>
          <w:szCs w:val="24"/>
        </w:rPr>
        <w:t xml:space="preserve"> the </w:t>
      </w:r>
      <w:r w:rsidRPr="001A3D2B">
        <w:rPr>
          <w:kern w:val="0"/>
          <w:szCs w:val="24"/>
        </w:rPr>
        <w:t>multidisciplinary crossroads</w:t>
      </w:r>
      <w:r w:rsidR="00427468">
        <w:rPr>
          <w:kern w:val="0"/>
          <w:szCs w:val="24"/>
        </w:rPr>
        <w:t xml:space="preserve"> of </w:t>
      </w:r>
      <w:r w:rsidRPr="001A3D2B">
        <w:rPr>
          <w:kern w:val="0"/>
          <w:szCs w:val="24"/>
        </w:rPr>
        <w:t>basic</w:t>
      </w:r>
      <w:r w:rsidR="005853A9">
        <w:rPr>
          <w:kern w:val="0"/>
          <w:szCs w:val="24"/>
        </w:rPr>
        <w:t xml:space="preserve"> and </w:t>
      </w:r>
      <w:r w:rsidRPr="001A3D2B">
        <w:rPr>
          <w:kern w:val="0"/>
          <w:szCs w:val="24"/>
        </w:rPr>
        <w:t>applied scientific fields are often</w:t>
      </w:r>
      <w:r w:rsidR="003A1917">
        <w:rPr>
          <w:kern w:val="0"/>
          <w:szCs w:val="24"/>
        </w:rPr>
        <w:t xml:space="preserve"> the </w:t>
      </w:r>
      <w:r w:rsidRPr="001A3D2B">
        <w:rPr>
          <w:kern w:val="0"/>
          <w:szCs w:val="24"/>
        </w:rPr>
        <w:t>loci</w:t>
      </w:r>
      <w:r w:rsidR="00427468">
        <w:rPr>
          <w:kern w:val="0"/>
          <w:szCs w:val="24"/>
        </w:rPr>
        <w:t xml:space="preserve"> of </w:t>
      </w:r>
      <w:r w:rsidRPr="001A3D2B">
        <w:rPr>
          <w:kern w:val="0"/>
          <w:szCs w:val="24"/>
        </w:rPr>
        <w:t>discovery</w:t>
      </w:r>
      <w:r w:rsidR="005853A9">
        <w:rPr>
          <w:kern w:val="0"/>
          <w:szCs w:val="24"/>
        </w:rPr>
        <w:t xml:space="preserve"> and </w:t>
      </w:r>
      <w:r w:rsidRPr="001A3D2B">
        <w:rPr>
          <w:kern w:val="0"/>
          <w:szCs w:val="24"/>
        </w:rPr>
        <w:t>technological innovation. We present recent, practical examples. Advanced bibliometric methods have now come to a stage</w:t>
      </w:r>
      <w:r w:rsidR="00427468">
        <w:rPr>
          <w:kern w:val="0"/>
          <w:szCs w:val="24"/>
        </w:rPr>
        <w:t xml:space="preserve"> of </w:t>
      </w:r>
      <w:r w:rsidRPr="001A3D2B">
        <w:rPr>
          <w:kern w:val="0"/>
          <w:szCs w:val="24"/>
        </w:rPr>
        <w:t>providing excitement instead</w:t>
      </w:r>
      <w:r w:rsidR="00427468">
        <w:rPr>
          <w:kern w:val="0"/>
          <w:szCs w:val="24"/>
        </w:rPr>
        <w:t xml:space="preserve"> of </w:t>
      </w:r>
      <w:r w:rsidR="00B5188C">
        <w:rPr>
          <w:kern w:val="0"/>
          <w:szCs w:val="24"/>
        </w:rPr>
        <w:t>“</w:t>
      </w:r>
      <w:r w:rsidRPr="001A3D2B">
        <w:rPr>
          <w:kern w:val="0"/>
          <w:szCs w:val="24"/>
        </w:rPr>
        <w:t>just easy data.</w:t>
      </w:r>
      <w:r w:rsidR="00B5188C">
        <w:rPr>
          <w:kern w:val="0"/>
          <w:szCs w:val="24"/>
        </w:rPr>
        <w:t>”</w:t>
      </w:r>
      <w:r w:rsidRPr="001A3D2B">
        <w:rPr>
          <w:kern w:val="0"/>
          <w:szCs w:val="24"/>
        </w:rPr>
        <w:t xml:space="preserve"> They are becoming, in addition to their intrinsic value for</w:t>
      </w:r>
      <w:r w:rsidR="003A1917">
        <w:rPr>
          <w:kern w:val="0"/>
          <w:szCs w:val="24"/>
        </w:rPr>
        <w:t xml:space="preserve"> the </w:t>
      </w:r>
      <w:r w:rsidRPr="001A3D2B">
        <w:rPr>
          <w:kern w:val="0"/>
          <w:szCs w:val="24"/>
        </w:rPr>
        <w:t>study</w:t>
      </w:r>
      <w:r w:rsidR="00427468">
        <w:rPr>
          <w:kern w:val="0"/>
          <w:szCs w:val="24"/>
        </w:rPr>
        <w:t xml:space="preserve"> of </w:t>
      </w:r>
      <w:r w:rsidRPr="001A3D2B">
        <w:rPr>
          <w:kern w:val="0"/>
          <w:szCs w:val="24"/>
        </w:rPr>
        <w:t>science</w:t>
      </w:r>
      <w:r w:rsidR="005853A9">
        <w:rPr>
          <w:kern w:val="0"/>
          <w:szCs w:val="24"/>
        </w:rPr>
        <w:t xml:space="preserve"> and </w:t>
      </w:r>
      <w:r w:rsidRPr="001A3D2B">
        <w:rPr>
          <w:kern w:val="0"/>
          <w:szCs w:val="24"/>
        </w:rPr>
        <w:t>technology, a more</w:t>
      </w:r>
      <w:r w:rsidR="005853A9">
        <w:rPr>
          <w:kern w:val="0"/>
          <w:szCs w:val="24"/>
        </w:rPr>
        <w:t xml:space="preserve"> and </w:t>
      </w:r>
      <w:r w:rsidRPr="001A3D2B">
        <w:rPr>
          <w:kern w:val="0"/>
          <w:szCs w:val="24"/>
        </w:rPr>
        <w:t>more important branch</w:t>
      </w:r>
      <w:r w:rsidR="00427468">
        <w:rPr>
          <w:kern w:val="0"/>
          <w:szCs w:val="24"/>
        </w:rPr>
        <w:t xml:space="preserve"> of </w:t>
      </w:r>
      <w:r w:rsidRPr="001A3D2B">
        <w:rPr>
          <w:kern w:val="0"/>
          <w:szCs w:val="24"/>
        </w:rPr>
        <w:t>information technology.</w:t>
      </w:r>
    </w:p>
    <w:p w:rsidR="00C915FF" w:rsidRPr="001A3D2B" w:rsidRDefault="00C915FF" w:rsidP="00C915FF">
      <w:pPr>
        <w:pStyle w:val="a3"/>
        <w:rPr>
          <w:kern w:val="0"/>
          <w:szCs w:val="24"/>
        </w:rPr>
      </w:pPr>
      <w:r w:rsidRPr="001A3D2B">
        <w:rPr>
          <w:kern w:val="0"/>
          <w:szCs w:val="24"/>
        </w:rPr>
        <w:t>Keywords: Assessment, Bibliometric, Bibliometric Analysis, Bibliometric Methods, Citation, Citation Analysis, Evaluation, Impact Factors, Indicators, Information Technology, Innovation, Knowledge, Peer Review, Research, Research Evaluation, Research Performance, Science, Science</w:t>
      </w:r>
      <w:r w:rsidR="005853A9">
        <w:rPr>
          <w:kern w:val="0"/>
          <w:szCs w:val="24"/>
        </w:rPr>
        <w:t xml:space="preserve"> and </w:t>
      </w:r>
      <w:r w:rsidRPr="001A3D2B">
        <w:rPr>
          <w:kern w:val="0"/>
          <w:szCs w:val="24"/>
        </w:rPr>
        <w:t>Technology, Technology</w:t>
      </w:r>
    </w:p>
    <w:p w:rsidR="00C915FF" w:rsidRPr="001A3D2B" w:rsidRDefault="00C915FF" w:rsidP="00C915FF">
      <w:pPr>
        <w:pStyle w:val="a3"/>
        <w:rPr>
          <w:kern w:val="0"/>
          <w:szCs w:val="24"/>
        </w:rPr>
      </w:pPr>
      <w:r w:rsidRPr="001A3D2B">
        <w:rPr>
          <w:kern w:val="0"/>
          <w:szCs w:val="24"/>
        </w:rPr>
        <w:t>? Diamond, A.M. (2000</w:t>
      </w:r>
      <w:r w:rsidR="00F42EAC">
        <w:rPr>
          <w:kern w:val="0"/>
          <w:szCs w:val="24"/>
        </w:rPr>
        <w:t>), The</w:t>
      </w:r>
      <w:r w:rsidR="003A1917">
        <w:rPr>
          <w:kern w:val="0"/>
          <w:szCs w:val="24"/>
        </w:rPr>
        <w:t xml:space="preserve"> </w:t>
      </w:r>
      <w:r w:rsidRPr="001A3D2B">
        <w:rPr>
          <w:kern w:val="0"/>
          <w:szCs w:val="24"/>
        </w:rPr>
        <w:t>complementarity</w:t>
      </w:r>
      <w:r w:rsidR="00427468">
        <w:rPr>
          <w:kern w:val="0"/>
          <w:szCs w:val="24"/>
        </w:rPr>
        <w:t xml:space="preserve"> of </w:t>
      </w:r>
      <w:r w:rsidRPr="001A3D2B">
        <w:rPr>
          <w:kern w:val="0"/>
          <w:szCs w:val="24"/>
        </w:rPr>
        <w:t>scientometrics</w:t>
      </w:r>
      <w:r w:rsidR="005853A9">
        <w:rPr>
          <w:kern w:val="0"/>
          <w:szCs w:val="24"/>
        </w:rPr>
        <w:t xml:space="preserve"> and </w:t>
      </w:r>
      <w:r w:rsidRPr="001A3D2B">
        <w:rPr>
          <w:kern w:val="0"/>
          <w:szCs w:val="24"/>
        </w:rPr>
        <w:t xml:space="preserve">economics. </w:t>
      </w:r>
      <w:r w:rsidRPr="001A3D2B">
        <w:rPr>
          <w:i/>
          <w:iCs/>
          <w:kern w:val="0"/>
          <w:szCs w:val="24"/>
        </w:rPr>
        <w:t>Asist Monograph Series</w:t>
      </w:r>
      <w:r w:rsidRPr="001A3D2B">
        <w:rPr>
          <w:kern w:val="0"/>
          <w:szCs w:val="24"/>
        </w:rPr>
        <w:t>, 321-336.</w:t>
      </w:r>
    </w:p>
    <w:p w:rsidR="00C915FF" w:rsidRPr="001A3D2B" w:rsidRDefault="00C915FF" w:rsidP="00C915FF">
      <w:pPr>
        <w:pStyle w:val="a3"/>
        <w:rPr>
          <w:kern w:val="0"/>
          <w:szCs w:val="24"/>
        </w:rPr>
      </w:pPr>
      <w:r w:rsidRPr="001A3D2B">
        <w:rPr>
          <w:kern w:val="0"/>
          <w:szCs w:val="24"/>
        </w:rPr>
        <w:lastRenderedPageBreak/>
        <w:t>Abstract: Economists, especially those</w:t>
      </w:r>
      <w:r w:rsidR="00427468">
        <w:rPr>
          <w:kern w:val="0"/>
          <w:szCs w:val="24"/>
        </w:rPr>
        <w:t xml:space="preserve"> of </w:t>
      </w:r>
      <w:r w:rsidR="003A1917">
        <w:rPr>
          <w:kern w:val="0"/>
          <w:szCs w:val="24"/>
        </w:rPr>
        <w:t xml:space="preserve">the </w:t>
      </w:r>
      <w:r w:rsidRPr="001A3D2B">
        <w:rPr>
          <w:kern w:val="0"/>
          <w:szCs w:val="24"/>
        </w:rPr>
        <w:t>Chicago school, value systematic empirical evidence to support generalizations concerning human behavior. Hence, when studying</w:t>
      </w:r>
      <w:r w:rsidR="003A1917">
        <w:rPr>
          <w:kern w:val="0"/>
          <w:szCs w:val="24"/>
        </w:rPr>
        <w:t xml:space="preserve"> the </w:t>
      </w:r>
      <w:r w:rsidRPr="001A3D2B">
        <w:rPr>
          <w:kern w:val="0"/>
          <w:szCs w:val="24"/>
        </w:rPr>
        <w:t>behavior</w:t>
      </w:r>
      <w:r w:rsidR="00427468">
        <w:rPr>
          <w:kern w:val="0"/>
          <w:szCs w:val="24"/>
        </w:rPr>
        <w:t xml:space="preserve"> of </w:t>
      </w:r>
      <w:r w:rsidRPr="001A3D2B">
        <w:rPr>
          <w:kern w:val="0"/>
          <w:szCs w:val="24"/>
        </w:rPr>
        <w:t>academic labor markets</w:t>
      </w:r>
      <w:r w:rsidR="005853A9">
        <w:rPr>
          <w:kern w:val="0"/>
          <w:szCs w:val="24"/>
        </w:rPr>
        <w:t xml:space="preserve"> and </w:t>
      </w:r>
      <w:r w:rsidR="003A1917">
        <w:rPr>
          <w:kern w:val="0"/>
          <w:szCs w:val="24"/>
        </w:rPr>
        <w:t xml:space="preserve">the </w:t>
      </w:r>
      <w:r w:rsidRPr="001A3D2B">
        <w:rPr>
          <w:kern w:val="0"/>
          <w:szCs w:val="24"/>
        </w:rPr>
        <w:t>efficiency</w:t>
      </w:r>
      <w:r w:rsidR="00427468">
        <w:rPr>
          <w:kern w:val="0"/>
          <w:szCs w:val="24"/>
        </w:rPr>
        <w:t xml:space="preserve"> of </w:t>
      </w:r>
      <w:r w:rsidRPr="001A3D2B">
        <w:rPr>
          <w:kern w:val="0"/>
          <w:szCs w:val="24"/>
        </w:rPr>
        <w:t>academic institutions, they have naturally turned to scientometric measures to understand</w:t>
      </w:r>
      <w:r w:rsidR="003A1917">
        <w:rPr>
          <w:kern w:val="0"/>
          <w:szCs w:val="24"/>
        </w:rPr>
        <w:t xml:space="preserve"> the </w:t>
      </w:r>
      <w:r w:rsidRPr="001A3D2B">
        <w:rPr>
          <w:kern w:val="0"/>
          <w:szCs w:val="24"/>
        </w:rPr>
        <w:t>phenomena</w:t>
      </w:r>
      <w:r w:rsidR="005853A9">
        <w:rPr>
          <w:kern w:val="0"/>
          <w:szCs w:val="24"/>
        </w:rPr>
        <w:t xml:space="preserve"> and </w:t>
      </w:r>
      <w:r w:rsidRPr="001A3D2B">
        <w:rPr>
          <w:kern w:val="0"/>
          <w:szCs w:val="24"/>
        </w:rPr>
        <w:t>to test their theories. Economists</w:t>
      </w:r>
      <w:r w:rsidR="005853A9">
        <w:rPr>
          <w:kern w:val="0"/>
          <w:szCs w:val="24"/>
        </w:rPr>
        <w:t xml:space="preserve"> and </w:t>
      </w:r>
      <w:r w:rsidRPr="001A3D2B">
        <w:rPr>
          <w:kern w:val="0"/>
          <w:szCs w:val="24"/>
        </w:rPr>
        <w:t>scientometricians share epistemic assumptions about</w:t>
      </w:r>
      <w:r w:rsidR="003A1917">
        <w:rPr>
          <w:kern w:val="0"/>
          <w:szCs w:val="24"/>
        </w:rPr>
        <w:t xml:space="preserve"> the </w:t>
      </w:r>
      <w:r w:rsidRPr="001A3D2B">
        <w:rPr>
          <w:kern w:val="0"/>
          <w:szCs w:val="24"/>
        </w:rPr>
        <w:t>value</w:t>
      </w:r>
      <w:r w:rsidR="00427468">
        <w:rPr>
          <w:kern w:val="0"/>
          <w:szCs w:val="24"/>
        </w:rPr>
        <w:t xml:space="preserve"> of </w:t>
      </w:r>
      <w:r w:rsidRPr="001A3D2B">
        <w:rPr>
          <w:kern w:val="0"/>
          <w:szCs w:val="24"/>
        </w:rPr>
        <w:t>measurement</w:t>
      </w:r>
      <w:r w:rsidR="005853A9">
        <w:rPr>
          <w:kern w:val="0"/>
          <w:szCs w:val="24"/>
        </w:rPr>
        <w:t xml:space="preserve"> and </w:t>
      </w:r>
      <w:r w:rsidR="003A1917">
        <w:rPr>
          <w:kern w:val="0"/>
          <w:szCs w:val="24"/>
        </w:rPr>
        <w:t xml:space="preserve">the </w:t>
      </w:r>
      <w:r w:rsidRPr="001A3D2B">
        <w:rPr>
          <w:kern w:val="0"/>
          <w:szCs w:val="24"/>
        </w:rPr>
        <w:t>privileged epistemic status</w:t>
      </w:r>
      <w:r w:rsidR="00427468">
        <w:rPr>
          <w:kern w:val="0"/>
          <w:szCs w:val="24"/>
        </w:rPr>
        <w:t xml:space="preserve"> of </w:t>
      </w:r>
      <w:r w:rsidRPr="001A3D2B">
        <w:rPr>
          <w:kern w:val="0"/>
          <w:szCs w:val="24"/>
        </w:rPr>
        <w:t>science. It is therefore reasonable to hope</w:t>
      </w:r>
      <w:r w:rsidR="005853A9">
        <w:rPr>
          <w:kern w:val="0"/>
          <w:szCs w:val="24"/>
        </w:rPr>
        <w:t xml:space="preserve"> and </w:t>
      </w:r>
      <w:r w:rsidRPr="001A3D2B">
        <w:rPr>
          <w:kern w:val="0"/>
          <w:szCs w:val="24"/>
        </w:rPr>
        <w:t>to expect that scientometricians</w:t>
      </w:r>
      <w:r w:rsidR="005853A9">
        <w:rPr>
          <w:kern w:val="0"/>
          <w:szCs w:val="24"/>
        </w:rPr>
        <w:t xml:space="preserve"> and </w:t>
      </w:r>
      <w:r w:rsidRPr="001A3D2B">
        <w:rPr>
          <w:kern w:val="0"/>
          <w:szCs w:val="24"/>
        </w:rPr>
        <w:t>economists will find their research programs complementary.</w:t>
      </w:r>
    </w:p>
    <w:p w:rsidR="00C915FF" w:rsidRPr="001A3D2B" w:rsidRDefault="00C915FF" w:rsidP="00C915FF">
      <w:pPr>
        <w:pStyle w:val="a3"/>
        <w:rPr>
          <w:kern w:val="0"/>
          <w:szCs w:val="24"/>
        </w:rPr>
      </w:pPr>
      <w:r w:rsidRPr="001A3D2B">
        <w:rPr>
          <w:kern w:val="0"/>
          <w:szCs w:val="24"/>
        </w:rPr>
        <w:t>Keywords: Cycle Research Productivity, Data Envelopment Analysis, Departments, Journals, Knowledge, Measurement, Patent Citations, Program, Publications, Replication, Research, Science, Scientific Performance, Scientometrics</w:t>
      </w:r>
    </w:p>
    <w:p w:rsidR="00C915FF" w:rsidRPr="001A3D2B" w:rsidRDefault="00C915FF" w:rsidP="00C915FF">
      <w:pPr>
        <w:pStyle w:val="a3"/>
      </w:pPr>
      <w:r w:rsidRPr="001A3D2B">
        <w:t xml:space="preserve">? Lewison, G. (2000), Citations as a means to evaluate biomedical research. </w:t>
      </w:r>
      <w:r w:rsidRPr="001A3D2B">
        <w:rPr>
          <w:i/>
          <w:iCs/>
        </w:rPr>
        <w:t>Asist Monograph Series</w:t>
      </w:r>
      <w:r w:rsidRPr="001A3D2B">
        <w:t>, 361-372.</w:t>
      </w:r>
    </w:p>
    <w:p w:rsidR="00C915FF" w:rsidRPr="001A3D2B" w:rsidRDefault="00C915FF" w:rsidP="00C915FF">
      <w:pPr>
        <w:pStyle w:val="a3"/>
      </w:pPr>
      <w:r w:rsidRPr="001A3D2B">
        <w:t>Abstract: Eugene Garfield developed</w:t>
      </w:r>
      <w:r w:rsidR="003A1917">
        <w:t xml:space="preserve"> the </w:t>
      </w:r>
      <w:r w:rsidRPr="001A3D2B">
        <w:t>concept</w:t>
      </w:r>
      <w:r w:rsidR="00427468">
        <w:t xml:space="preserve"> of </w:t>
      </w:r>
      <w:r w:rsidRPr="001A3D2B">
        <w:t>citation</w:t>
      </w:r>
      <w:r w:rsidR="00427468">
        <w:t xml:space="preserve"> of </w:t>
      </w:r>
      <w:r w:rsidRPr="001A3D2B">
        <w:t>earlier papers as a means</w:t>
      </w:r>
      <w:r w:rsidR="00427468">
        <w:t xml:space="preserve"> of </w:t>
      </w:r>
      <w:r w:rsidRPr="001A3D2B">
        <w:t>evaluating those papers</w:t>
      </w:r>
      <w:r w:rsidR="005853A9">
        <w:t xml:space="preserve"> and </w:t>
      </w:r>
      <w:r w:rsidRPr="001A3D2B">
        <w:t>made it not only into a science but also into a business. Despite doubts about what conventional citation analysis really means, it has been accepted worldwide as an impartial source</w:t>
      </w:r>
      <w:r w:rsidR="00427468">
        <w:t xml:space="preserve"> of </w:t>
      </w:r>
      <w:r w:rsidRPr="001A3D2B">
        <w:t>quantitative data on research outputs. However, founders</w:t>
      </w:r>
      <w:r w:rsidR="00427468">
        <w:t xml:space="preserve"> of </w:t>
      </w:r>
      <w:r w:rsidRPr="001A3D2B">
        <w:t>biomedical research are interested in innovations</w:t>
      </w:r>
      <w:r w:rsidR="005853A9">
        <w:t xml:space="preserve"> and </w:t>
      </w:r>
      <w:r w:rsidRPr="001A3D2B">
        <w:t>in health improvements, not just</w:t>
      </w:r>
      <w:r w:rsidR="003A1917">
        <w:t xml:space="preserve"> the </w:t>
      </w:r>
      <w:r w:rsidRPr="001A3D2B">
        <w:t>minutiae</w:t>
      </w:r>
      <w:r w:rsidR="00427468">
        <w:t xml:space="preserve"> of </w:t>
      </w:r>
      <w:r w:rsidR="003A1917">
        <w:t xml:space="preserve">the </w:t>
      </w:r>
      <w:r w:rsidRPr="001A3D2B">
        <w:t>research method</w:t>
      </w:r>
      <w:r w:rsidR="00A37C1D">
        <w:t>. The</w:t>
      </w:r>
      <w:r w:rsidRPr="001A3D2B">
        <w:t>y can now use citations on patents to</w:t>
      </w:r>
      <w:r w:rsidR="003A1917">
        <w:t xml:space="preserve"> the </w:t>
      </w:r>
      <w:r w:rsidRPr="001A3D2B">
        <w:t>scientific literature,</w:t>
      </w:r>
      <w:r w:rsidR="005853A9">
        <w:t xml:space="preserve"> and </w:t>
      </w:r>
      <w:r w:rsidRPr="001A3D2B">
        <w:t>citations on clinical guidelines, as proxy indicators</w:t>
      </w:r>
      <w:r w:rsidR="00427468">
        <w:t xml:space="preserve"> of </w:t>
      </w:r>
      <w:r w:rsidR="003A1917">
        <w:t xml:space="preserve">the </w:t>
      </w:r>
      <w:r w:rsidRPr="001A3D2B">
        <w:t>utility</w:t>
      </w:r>
      <w:r w:rsidR="00427468">
        <w:t xml:space="preserve"> of </w:t>
      </w:r>
      <w:r w:rsidRPr="001A3D2B">
        <w:t>published papers. Some recent findings in these areas,</w:t>
      </w:r>
      <w:r w:rsidR="005853A9">
        <w:t xml:space="preserve"> and </w:t>
      </w:r>
      <w:r w:rsidR="003A1917">
        <w:t xml:space="preserve">the </w:t>
      </w:r>
      <w:r w:rsidRPr="001A3D2B">
        <w:t>beginnings</w:t>
      </w:r>
      <w:r w:rsidR="00427468">
        <w:t xml:space="preserve"> of </w:t>
      </w:r>
      <w:r w:rsidRPr="001A3D2B">
        <w:t>a new database</w:t>
      </w:r>
      <w:r w:rsidR="00427468">
        <w:t xml:space="preserve"> of </w:t>
      </w:r>
      <w:r w:rsidRPr="001A3D2B">
        <w:t>citations in newspapers, are described. However, further indicators</w:t>
      </w:r>
      <w:r w:rsidR="00427468">
        <w:t xml:space="preserve"> of </w:t>
      </w:r>
      <w:r w:rsidRPr="001A3D2B">
        <w:t>research utility are still needed: they will probably also depend in some way on citations, but</w:t>
      </w:r>
      <w:r w:rsidR="00427468">
        <w:t xml:space="preserve"> of </w:t>
      </w:r>
      <w:r w:rsidRPr="001A3D2B">
        <w:t>a different kind from those considered so far.</w:t>
      </w:r>
    </w:p>
    <w:p w:rsidR="00C915FF" w:rsidRPr="001A3D2B" w:rsidRDefault="00C915FF" w:rsidP="00C915FF">
      <w:pPr>
        <w:pStyle w:val="a3"/>
      </w:pPr>
      <w:r w:rsidRPr="001A3D2B">
        <w:t>Keywords: Citation, Citations, Linkage, Literature, Research, Science, Technology</w:t>
      </w:r>
    </w:p>
    <w:p w:rsidR="003474F2" w:rsidRPr="001A3D2B" w:rsidRDefault="003474F2" w:rsidP="003474F2">
      <w:pPr>
        <w:pStyle w:val="a3"/>
      </w:pPr>
      <w:r w:rsidRPr="001A3D2B">
        <w:t>? Ingwersen, P., Larsen, B.</w:t>
      </w:r>
      <w:r w:rsidR="005853A9">
        <w:t xml:space="preserve"> and </w:t>
      </w:r>
      <w:r w:rsidRPr="001A3D2B">
        <w:t xml:space="preserve">Wormell, </w:t>
      </w:r>
      <w:smartTag w:uri="urn:schemas-microsoft-com:office:smarttags" w:element="place">
        <w:r w:rsidRPr="001A3D2B">
          <w:t>I.</w:t>
        </w:r>
      </w:smartTag>
      <w:r w:rsidRPr="001A3D2B">
        <w:t xml:space="preserve"> (2000), Applying diachronic citation analysis to research program evaluations. </w:t>
      </w:r>
      <w:r w:rsidRPr="001A3D2B">
        <w:rPr>
          <w:i/>
          <w:iCs/>
        </w:rPr>
        <w:t>Asist Monograph Series</w:t>
      </w:r>
      <w:r w:rsidRPr="001A3D2B">
        <w:t>, 373-387.</w:t>
      </w:r>
    </w:p>
    <w:p w:rsidR="003474F2" w:rsidRPr="001A3D2B" w:rsidRDefault="003474F2" w:rsidP="003474F2">
      <w:pPr>
        <w:pStyle w:val="a3"/>
      </w:pPr>
      <w:r w:rsidRPr="001A3D2B">
        <w:t>Abstract: Diachronic versus synchronous citation analysis methods are discussed in relation to research evaluation. Using selected results from an online midterm evaluation</w:t>
      </w:r>
      <w:r w:rsidR="00427468">
        <w:t xml:space="preserve"> of </w:t>
      </w:r>
      <w:r w:rsidRPr="001A3D2B">
        <w:t>nine research centers funded by</w:t>
      </w:r>
      <w:r w:rsidR="003A1917">
        <w:t xml:space="preserve"> the </w:t>
      </w:r>
      <w:r w:rsidRPr="001A3D2B">
        <w:t>Danish Strategic Environmental Research Program (1993-1998), this paper illustrates</w:t>
      </w:r>
      <w:r w:rsidR="005853A9">
        <w:t xml:space="preserve"> and </w:t>
      </w:r>
      <w:r w:rsidRPr="001A3D2B">
        <w:t>discusses</w:t>
      </w:r>
      <w:r w:rsidR="003A1917">
        <w:t xml:space="preserve"> the </w:t>
      </w:r>
      <w:r w:rsidRPr="001A3D2B">
        <w:t>application</w:t>
      </w:r>
      <w:r w:rsidR="00427468">
        <w:t xml:space="preserve"> of </w:t>
      </w:r>
      <w:r w:rsidRPr="001A3D2B">
        <w:t>five diachronic scientometric indicators. Publication activity, center</w:t>
      </w:r>
      <w:r w:rsidR="005853A9">
        <w:t xml:space="preserve"> and </w:t>
      </w:r>
      <w:r w:rsidRPr="001A3D2B">
        <w:t>program impact factors, impact factors for journals applied by</w:t>
      </w:r>
      <w:r w:rsidR="003A1917">
        <w:t xml:space="preserve"> the </w:t>
      </w:r>
      <w:r w:rsidRPr="001A3D2B">
        <w:t>centers, international knowledge export,</w:t>
      </w:r>
      <w:r w:rsidR="005853A9">
        <w:t xml:space="preserve"> and </w:t>
      </w:r>
      <w:r w:rsidR="003A1917">
        <w:t xml:space="preserve">the </w:t>
      </w:r>
      <w:r w:rsidRPr="001A3D2B">
        <w:t>paper-journal impact factor correlation are all shown to be well understood by</w:t>
      </w:r>
      <w:r w:rsidR="003A1917">
        <w:t xml:space="preserve"> the </w:t>
      </w:r>
      <w:r w:rsidRPr="001A3D2B">
        <w:t>scientists involved. In an informetric sense,</w:t>
      </w:r>
      <w:r w:rsidR="003A1917">
        <w:t xml:space="preserve"> the </w:t>
      </w:r>
      <w:r w:rsidRPr="001A3D2B">
        <w:t>indicators afford robust tools for providing fair</w:t>
      </w:r>
      <w:r w:rsidR="005853A9">
        <w:t xml:space="preserve"> and </w:t>
      </w:r>
      <w:r w:rsidRPr="001A3D2B">
        <w:t>reliable information on publication behavior</w:t>
      </w:r>
      <w:r w:rsidR="005853A9">
        <w:t xml:space="preserve"> and </w:t>
      </w:r>
      <w:r w:rsidRPr="001A3D2B">
        <w:t>performance. In particular,</w:t>
      </w:r>
      <w:r w:rsidR="003A1917">
        <w:t xml:space="preserve"> the </w:t>
      </w:r>
      <w:r w:rsidRPr="001A3D2B">
        <w:t>paper-journal impact factor correlation, applying</w:t>
      </w:r>
      <w:r w:rsidR="003A1917">
        <w:t xml:space="preserve"> </w:t>
      </w:r>
      <w:r w:rsidR="003A1917">
        <w:lastRenderedPageBreak/>
        <w:t xml:space="preserve">the </w:t>
      </w:r>
      <w:r w:rsidRPr="001A3D2B">
        <w:t>Pearson coefficient, may contribute to further understanding</w:t>
      </w:r>
      <w:r w:rsidR="00427468">
        <w:t xml:space="preserve"> of </w:t>
      </w:r>
      <w:r w:rsidR="003A1917">
        <w:t xml:space="preserve">the </w:t>
      </w:r>
      <w:r w:rsidRPr="001A3D2B">
        <w:t>probabilities involved in achieving high impact when scientists succeed in publishing in high impact journals</w:t>
      </w:r>
      <w:r w:rsidR="00A37C1D">
        <w:t>. The</w:t>
      </w:r>
      <w:r w:rsidR="003A1917">
        <w:t xml:space="preserve"> </w:t>
      </w:r>
      <w:r w:rsidRPr="001A3D2B">
        <w:t>IST databases, Science Citation Index</w:t>
      </w:r>
      <w:r w:rsidR="005853A9">
        <w:t xml:space="preserve"> and </w:t>
      </w:r>
      <w:r w:rsidRPr="001A3D2B">
        <w:t>Social Sciences Citation Index, were used in their online versions (SciSearch</w:t>
      </w:r>
      <w:r w:rsidR="005853A9">
        <w:t xml:space="preserve"> and </w:t>
      </w:r>
      <w:r w:rsidRPr="001A3D2B">
        <w:t>Social SciSearch) provided by Dialog Knight Ridder Information Service.</w:t>
      </w:r>
    </w:p>
    <w:p w:rsidR="003474F2" w:rsidRPr="001A3D2B" w:rsidRDefault="003474F2" w:rsidP="003474F2">
      <w:pPr>
        <w:pStyle w:val="a3"/>
      </w:pPr>
      <w:r w:rsidRPr="001A3D2B">
        <w:t>Keywords: Journal Impact, Science</w:t>
      </w:r>
    </w:p>
    <w:p w:rsidR="00C915FF" w:rsidRPr="001A3D2B" w:rsidRDefault="00C915FF" w:rsidP="00C915FF">
      <w:pPr>
        <w:pStyle w:val="a3"/>
        <w:rPr>
          <w:kern w:val="0"/>
          <w:szCs w:val="24"/>
        </w:rPr>
      </w:pPr>
      <w:r w:rsidRPr="001A3D2B">
        <w:rPr>
          <w:kern w:val="0"/>
          <w:szCs w:val="24"/>
        </w:rPr>
        <w:t>? Koenig, M.E.D.</w:t>
      </w:r>
      <w:r w:rsidR="005853A9">
        <w:rPr>
          <w:kern w:val="0"/>
          <w:szCs w:val="24"/>
        </w:rPr>
        <w:t xml:space="preserve"> and </w:t>
      </w:r>
      <w:r w:rsidRPr="001A3D2B">
        <w:rPr>
          <w:kern w:val="0"/>
          <w:szCs w:val="24"/>
        </w:rPr>
        <w:t>Westermann-Cicio, M. (2000), Scientometrics, cybermetics,</w:t>
      </w:r>
      <w:r w:rsidR="005853A9">
        <w:rPr>
          <w:kern w:val="0"/>
          <w:szCs w:val="24"/>
        </w:rPr>
        <w:t xml:space="preserve"> and </w:t>
      </w:r>
      <w:r w:rsidRPr="001A3D2B">
        <w:rPr>
          <w:kern w:val="0"/>
          <w:szCs w:val="24"/>
        </w:rPr>
        <w:t xml:space="preserve">firm performance. </w:t>
      </w:r>
      <w:r w:rsidRPr="001A3D2B">
        <w:rPr>
          <w:i/>
          <w:iCs/>
          <w:kern w:val="0"/>
          <w:szCs w:val="24"/>
        </w:rPr>
        <w:t>Asist Monograph Series</w:t>
      </w:r>
      <w:r w:rsidRPr="001A3D2B">
        <w:rPr>
          <w:kern w:val="0"/>
          <w:szCs w:val="24"/>
        </w:rPr>
        <w:t>, 389-404</w:t>
      </w:r>
    </w:p>
    <w:p w:rsidR="00C915FF" w:rsidRPr="001A3D2B" w:rsidRDefault="00C915FF" w:rsidP="00C915FF">
      <w:pPr>
        <w:pStyle w:val="a3"/>
        <w:rPr>
          <w:kern w:val="0"/>
          <w:szCs w:val="24"/>
        </w:rPr>
      </w:pPr>
      <w:r w:rsidRPr="001A3D2B">
        <w:rPr>
          <w:kern w:val="0"/>
          <w:szCs w:val="24"/>
        </w:rPr>
        <w:t>Keywords: Company, Flows, Impact, Indicators, Information, Productivity Paradox, Scientometrics, Services, Technological Innovation</w:t>
      </w:r>
    </w:p>
    <w:p w:rsidR="00F64F85" w:rsidRPr="001A3D2B" w:rsidRDefault="00F64F85" w:rsidP="00F64F85">
      <w:pPr>
        <w:pStyle w:val="1"/>
      </w:pPr>
      <w:r>
        <w:br w:type="page"/>
      </w:r>
      <w:bookmarkStart w:id="664" w:name="_Toc420814642"/>
      <w:r>
        <w:lastRenderedPageBreak/>
        <w:t xml:space="preserve">Title: </w:t>
      </w:r>
      <w:r w:rsidRPr="00F64F85">
        <w:t>Aslib Journal of Information Management</w:t>
      </w:r>
      <w:bookmarkEnd w:id="664"/>
    </w:p>
    <w:p w:rsidR="00F64F85" w:rsidRPr="001A3D2B" w:rsidRDefault="00F64F85" w:rsidP="00F64F85">
      <w:pPr>
        <w:pStyle w:val="12"/>
      </w:pPr>
      <w:r w:rsidRPr="001A3D2B">
        <w:t xml:space="preserve">Full Journal Title: </w:t>
      </w:r>
      <w:r w:rsidRPr="00F64F85">
        <w:rPr>
          <w:iCs/>
          <w:kern w:val="0"/>
        </w:rPr>
        <w:t>Aslib Journal of Information Management</w:t>
      </w:r>
    </w:p>
    <w:p w:rsidR="00F64F85" w:rsidRPr="001A3D2B" w:rsidRDefault="00F64F85" w:rsidP="00F64F85">
      <w:pPr>
        <w:pStyle w:val="12"/>
      </w:pPr>
      <w:r w:rsidRPr="001A3D2B">
        <w:t xml:space="preserve">ISO Abbreviated Title: </w:t>
      </w:r>
    </w:p>
    <w:p w:rsidR="00F64F85" w:rsidRPr="001A3D2B" w:rsidRDefault="00F64F85" w:rsidP="00F64F85">
      <w:pPr>
        <w:pStyle w:val="12"/>
      </w:pPr>
      <w:r w:rsidRPr="001A3D2B">
        <w:t xml:space="preserve">JCR Abbreviated Title: </w:t>
      </w:r>
    </w:p>
    <w:p w:rsidR="00F64F85" w:rsidRPr="001A3D2B" w:rsidRDefault="00F64F85" w:rsidP="00F64F85">
      <w:pPr>
        <w:pStyle w:val="12"/>
      </w:pPr>
      <w:r>
        <w:t xml:space="preserve">ISSN: </w:t>
      </w:r>
    </w:p>
    <w:p w:rsidR="00F64F85" w:rsidRPr="001A3D2B" w:rsidRDefault="00F64F85" w:rsidP="00F64F85">
      <w:pPr>
        <w:pStyle w:val="12"/>
      </w:pPr>
      <w:r w:rsidRPr="001A3D2B">
        <w:t xml:space="preserve">Issues/Year: </w:t>
      </w:r>
    </w:p>
    <w:p w:rsidR="00F64F85" w:rsidRPr="001A3D2B" w:rsidRDefault="00F64F85" w:rsidP="00F64F85">
      <w:pPr>
        <w:pStyle w:val="12"/>
      </w:pPr>
      <w:r w:rsidRPr="001A3D2B">
        <w:t xml:space="preserve">Journal Country/Territory: </w:t>
      </w:r>
    </w:p>
    <w:p w:rsidR="00F64F85" w:rsidRPr="001A3D2B" w:rsidRDefault="00F64F85" w:rsidP="00F64F85">
      <w:pPr>
        <w:pStyle w:val="12"/>
      </w:pPr>
      <w:r w:rsidRPr="001A3D2B">
        <w:t xml:space="preserve">Language: </w:t>
      </w:r>
    </w:p>
    <w:p w:rsidR="00F64F85" w:rsidRPr="001A3D2B" w:rsidRDefault="00F64F85" w:rsidP="00F64F85">
      <w:pPr>
        <w:pStyle w:val="12"/>
      </w:pPr>
      <w:r w:rsidRPr="001A3D2B">
        <w:t xml:space="preserve">Publisher: </w:t>
      </w:r>
    </w:p>
    <w:p w:rsidR="00F64F85" w:rsidRPr="001A3D2B" w:rsidRDefault="00F64F85" w:rsidP="00F64F85">
      <w:pPr>
        <w:pStyle w:val="12"/>
      </w:pPr>
      <w:r w:rsidRPr="001A3D2B">
        <w:t xml:space="preserve">Publisher Address: </w:t>
      </w:r>
    </w:p>
    <w:p w:rsidR="00F64F85" w:rsidRPr="001A3D2B" w:rsidRDefault="00F64F85" w:rsidP="00F64F85">
      <w:pPr>
        <w:pStyle w:val="12"/>
      </w:pPr>
      <w:r w:rsidRPr="001A3D2B">
        <w:t>Subject Categories:</w:t>
      </w:r>
    </w:p>
    <w:p w:rsidR="00F64F85" w:rsidRPr="001A3D2B" w:rsidRDefault="00F64F85" w:rsidP="00F64F85">
      <w:pPr>
        <w:pStyle w:val="12"/>
      </w:pPr>
      <w:r w:rsidRPr="001A3D2B">
        <w:t>: Impact Factor</w:t>
      </w:r>
    </w:p>
    <w:p w:rsidR="00F64F85" w:rsidRDefault="00F64F85" w:rsidP="00F64F85">
      <w:pPr>
        <w:pStyle w:val="a3"/>
        <w:rPr>
          <w:kern w:val="0"/>
        </w:rPr>
      </w:pPr>
      <w:r>
        <w:rPr>
          <w:rFonts w:hint="eastAsia"/>
          <w:kern w:val="0"/>
        </w:rPr>
        <w:t xml:space="preserve">? </w:t>
      </w:r>
      <w:r>
        <w:rPr>
          <w:kern w:val="0"/>
        </w:rPr>
        <w:t xml:space="preserve">Rousseau, R. (2014), A note on the interpolated or real-valued h-index with a generalization for fractional counting. </w:t>
      </w:r>
      <w:r w:rsidRPr="00F64F85">
        <w:rPr>
          <w:i/>
          <w:iCs/>
          <w:kern w:val="0"/>
        </w:rPr>
        <w:t>Aslib Journal of Information Management</w:t>
      </w:r>
      <w:r>
        <w:rPr>
          <w:kern w:val="0"/>
        </w:rPr>
        <w:t xml:space="preserve">, </w:t>
      </w:r>
      <w:r>
        <w:rPr>
          <w:b/>
          <w:bCs/>
          <w:kern w:val="0"/>
        </w:rPr>
        <w:t>66</w:t>
      </w:r>
      <w:r>
        <w:rPr>
          <w:kern w:val="0"/>
        </w:rPr>
        <w:t xml:space="preserve"> (1), 2-12.</w:t>
      </w:r>
    </w:p>
    <w:p w:rsidR="00F64F85" w:rsidRDefault="00F64F85" w:rsidP="00F64F85">
      <w:pPr>
        <w:pStyle w:val="a3"/>
        <w:rPr>
          <w:kern w:val="0"/>
        </w:rPr>
      </w:pPr>
      <w:r>
        <w:rPr>
          <w:rFonts w:hint="eastAsia"/>
          <w:kern w:val="0"/>
        </w:rPr>
        <w:t xml:space="preserve">Full Text: </w:t>
      </w:r>
      <w:hyperlink r:id="rId1305" w:history="1">
        <w:r w:rsidRPr="00F64F85">
          <w:rPr>
            <w:rStyle w:val="a5"/>
            <w:kern w:val="0"/>
          </w:rPr>
          <w:t>2014\Asl J Inf Man66, 2.pdf</w:t>
        </w:r>
      </w:hyperlink>
    </w:p>
    <w:p w:rsidR="00F64F85" w:rsidRDefault="00F64F85" w:rsidP="00F64F85">
      <w:pPr>
        <w:pStyle w:val="a3"/>
        <w:rPr>
          <w:kern w:val="0"/>
        </w:rPr>
      </w:pPr>
      <w:r>
        <w:rPr>
          <w:kern w:val="0"/>
        </w:rPr>
        <w:t>Abstract: Purpose The purpose of this paper is to extend the h-index framework to the case that articles are counted fractionally. Design/methodology/approach Three restrictions related to the standard h-index are explained: as the standard h-index is a natural number it is a rather coarse indicator; if a scientist has published a relatively small number of publications then the h-index is completely determined by the number of publications; the standard h-index cannot be applied if publications are counted fractionally, or when magnitude values smaller than one occur. Findings We recall solutions we proposed in earlier publications regarding the first two problems (the use of the interpolated h-index and of the pseudo h-index) and add a new proposal to solve the third problem</w:t>
      </w:r>
      <w:r w:rsidR="00A37C1D">
        <w:rPr>
          <w:kern w:val="0"/>
        </w:rPr>
        <w:t>. The</w:t>
      </w:r>
      <w:r>
        <w:rPr>
          <w:kern w:val="0"/>
        </w:rPr>
        <w:t xml:space="preserve"> relation between the recently introduced window/field-normalized h-type index (hwf-index) and the interpolated h-index is described. A real-world example proves the feasibility of this proposal. Research limitations/implications Colleagues have shown that the h-index and its variations have fatal flaws and hence should never be used. Yet, not everyone agrees with this opinion. Originality/value Assuming that the h-index still has some value, this paper introduces a refinement of the interpolated h-index, called the generalized interpolated h-index. In this way the h-index framework is extended to incorporate, for instance, the case that fractional counting for publications and citations is applied.</w:t>
      </w:r>
    </w:p>
    <w:p w:rsidR="00F64F85" w:rsidRDefault="00F64F85" w:rsidP="00F64F85">
      <w:pPr>
        <w:pStyle w:val="a3"/>
        <w:rPr>
          <w:kern w:val="0"/>
        </w:rPr>
      </w:pPr>
      <w:r>
        <w:rPr>
          <w:kern w:val="0"/>
        </w:rPr>
        <w:t xml:space="preserve">Keywords: Bibliometrics, Citation Analysis, Citations, Feasibility, First, Fractional Counting, Framework, </w:t>
      </w:r>
      <w:r>
        <w:rPr>
          <w:rFonts w:hint="eastAsia"/>
          <w:kern w:val="0"/>
        </w:rPr>
        <w:t>h</w:t>
      </w:r>
      <w:r>
        <w:rPr>
          <w:kern w:val="0"/>
        </w:rPr>
        <w:t xml:space="preserve"> Index, </w:t>
      </w:r>
      <w:r>
        <w:rPr>
          <w:rFonts w:hint="eastAsia"/>
          <w:kern w:val="0"/>
        </w:rPr>
        <w:t>h</w:t>
      </w:r>
      <w:r>
        <w:rPr>
          <w:kern w:val="0"/>
        </w:rPr>
        <w:t xml:space="preserve">-Index, Index, Indicator, Interpolated </w:t>
      </w:r>
      <w:r>
        <w:rPr>
          <w:rFonts w:hint="eastAsia"/>
          <w:kern w:val="0"/>
        </w:rPr>
        <w:t>h</w:t>
      </w:r>
      <w:r>
        <w:rPr>
          <w:kern w:val="0"/>
        </w:rPr>
        <w:t xml:space="preserve">-Index, Magnitude, Natural, Publications, Purpose, Rational </w:t>
      </w:r>
      <w:r>
        <w:rPr>
          <w:rFonts w:hint="eastAsia"/>
          <w:kern w:val="0"/>
        </w:rPr>
        <w:t>h</w:t>
      </w:r>
      <w:r>
        <w:rPr>
          <w:kern w:val="0"/>
        </w:rPr>
        <w:t xml:space="preserve">-Index, Recall, Research, </w:t>
      </w:r>
      <w:r>
        <w:rPr>
          <w:kern w:val="0"/>
        </w:rPr>
        <w:lastRenderedPageBreak/>
        <w:t>Restrictions, Small, Solutions, Standard, Value</w:t>
      </w:r>
    </w:p>
    <w:p w:rsidR="00F64F85" w:rsidRDefault="00F64F85" w:rsidP="00F64F85">
      <w:pPr>
        <w:pStyle w:val="a3"/>
        <w:rPr>
          <w:kern w:val="0"/>
        </w:rPr>
      </w:pPr>
      <w:r>
        <w:rPr>
          <w:rFonts w:hint="eastAsia"/>
          <w:kern w:val="0"/>
        </w:rPr>
        <w:t xml:space="preserve">? </w:t>
      </w:r>
      <w:r>
        <w:rPr>
          <w:kern w:val="0"/>
        </w:rPr>
        <w:t xml:space="preserve">Badar, K., Hite, J.M. and Badir, Y.F. (2014), The moderating roles of academic age and institutional sector on the relationship between co-authorship network centrality and academic research performance. </w:t>
      </w:r>
      <w:r>
        <w:rPr>
          <w:i/>
          <w:iCs/>
          <w:kern w:val="0"/>
        </w:rPr>
        <w:t>Aslib Journal of Information Management</w:t>
      </w:r>
      <w:r>
        <w:rPr>
          <w:kern w:val="0"/>
        </w:rPr>
        <w:t xml:space="preserve">, </w:t>
      </w:r>
      <w:r>
        <w:rPr>
          <w:b/>
          <w:bCs/>
          <w:kern w:val="0"/>
        </w:rPr>
        <w:t>66</w:t>
      </w:r>
      <w:r>
        <w:rPr>
          <w:kern w:val="0"/>
        </w:rPr>
        <w:t xml:space="preserve"> (1), 38-53.</w:t>
      </w:r>
    </w:p>
    <w:p w:rsidR="00F64F85" w:rsidRDefault="00F64F85" w:rsidP="00F64F85">
      <w:pPr>
        <w:pStyle w:val="a3"/>
        <w:rPr>
          <w:kern w:val="0"/>
        </w:rPr>
      </w:pPr>
      <w:r>
        <w:rPr>
          <w:rFonts w:hint="eastAsia"/>
          <w:kern w:val="0"/>
        </w:rPr>
        <w:t xml:space="preserve">Full Text: </w:t>
      </w:r>
      <w:hyperlink r:id="rId1306" w:history="1">
        <w:r w:rsidRPr="00F64F85">
          <w:rPr>
            <w:rStyle w:val="a5"/>
            <w:kern w:val="0"/>
          </w:rPr>
          <w:t>2014\Asl J Inf Man66, 38.pdf</w:t>
        </w:r>
      </w:hyperlink>
    </w:p>
    <w:p w:rsidR="00F64F85" w:rsidRDefault="00F64F85" w:rsidP="00F64F85">
      <w:pPr>
        <w:pStyle w:val="a3"/>
        <w:rPr>
          <w:kern w:val="0"/>
        </w:rPr>
      </w:pPr>
      <w:r>
        <w:rPr>
          <w:kern w:val="0"/>
        </w:rPr>
        <w:t>Abstract: Purpose The purpose of this paper is to investigate whether potentially disadvantaged groups of researchers derive more research performance benefits from co-authorship network centrality (degree, closeness and betweenness). Design/methodology/approach The paper builds on Badar et al. (2013), which found positive associations of network centrality on research performance with a moderating relationship of gender for female authors. Using data from IS! Web of Science (SCI), the authors study the same domestic co-authorship network of Chemistry researcher in Pakistan publishing from years 2002-2009 and investigate the moderating role of academic age and institutional sector on the relationship between co-authorship network centrality (degree, closeness, and betweenness) and the academic research performance (aggregate impact factor) of chemistry university/institute faculty members in Pakistan. Findings Ordinary least squares (OLS)-regression findings indicated a positive relationship between degree centrality and research performance with a positive moderating relationship for both academic age and institutional sector on the relationship between degree centrality and research performance for junior faculty members and faculty members employed in private sector universities/research institutes. Practical implications The findings can be heartening and motivating for junior faculty and private institute faculty in Pakistan in suggesting opportunities to surpass barriers of domination and poor resource access through co-authorship ties and structural social capital. Originality/value This paper adds to the limited research by strengthening the argument that potentially disadvantaged faculty with certain individual (academic age) and work-related characteristics (institutional sector) may benefit differentially from their co-authorship network centrality.</w:t>
      </w:r>
    </w:p>
    <w:p w:rsidR="00F64F85" w:rsidRDefault="00F64F85" w:rsidP="00F64F85">
      <w:pPr>
        <w:pStyle w:val="a3"/>
        <w:rPr>
          <w:kern w:val="0"/>
        </w:rPr>
      </w:pPr>
      <w:r>
        <w:rPr>
          <w:kern w:val="0"/>
        </w:rPr>
        <w:t>Keywords: Academic Age, Access, Age, Authors, Authorship, Barriers, Benefits, Bibliometric Analysis, Characteristics, Chemistry, Co-Authorship, Co-Authorship Network, Coauthorship, Coauthorship Network, Coauthorship Networks, Collaboration, Data, Faculty, Female, Gender, Groups, Higher-Education, Impact, Impact Factor, Institutional Sector, Is, Journals, Moderator Impact, Network, Network Centrality, Pakistan, Patterns, Performance, Private Sector, Publishing, Purpose, Research, Research Performance, Research Work, Role, SCI, Science, Scientific Productivity, Sector, Social, Web Of Science</w:t>
      </w:r>
    </w:p>
    <w:p w:rsidR="00F64F85" w:rsidRDefault="00F64F85" w:rsidP="00F64F85">
      <w:pPr>
        <w:pStyle w:val="a3"/>
        <w:rPr>
          <w:kern w:val="0"/>
        </w:rPr>
      </w:pPr>
      <w:r>
        <w:rPr>
          <w:rFonts w:hint="eastAsia"/>
          <w:kern w:val="0"/>
        </w:rPr>
        <w:t xml:space="preserve">? </w:t>
      </w:r>
      <w:r>
        <w:rPr>
          <w:kern w:val="0"/>
        </w:rPr>
        <w:t xml:space="preserve">Qiu, J.P. and Lou, W. (2014), Constructing an information science resource ontology </w:t>
      </w:r>
      <w:r>
        <w:rPr>
          <w:kern w:val="0"/>
        </w:rPr>
        <w:lastRenderedPageBreak/>
        <w:t xml:space="preserve">based on the Chinese Social Science Citation Index. </w:t>
      </w:r>
      <w:r>
        <w:rPr>
          <w:i/>
          <w:iCs/>
          <w:kern w:val="0"/>
        </w:rPr>
        <w:t>Aslib Journal of Information Management</w:t>
      </w:r>
      <w:r>
        <w:rPr>
          <w:kern w:val="0"/>
        </w:rPr>
        <w:t xml:space="preserve">, </w:t>
      </w:r>
      <w:r>
        <w:rPr>
          <w:b/>
          <w:bCs/>
          <w:kern w:val="0"/>
        </w:rPr>
        <w:t>66</w:t>
      </w:r>
      <w:r>
        <w:rPr>
          <w:kern w:val="0"/>
        </w:rPr>
        <w:t xml:space="preserve"> (2), 202-218.</w:t>
      </w:r>
    </w:p>
    <w:p w:rsidR="00F64F85" w:rsidRDefault="00F64F85" w:rsidP="00F64F85">
      <w:pPr>
        <w:pStyle w:val="a3"/>
        <w:rPr>
          <w:kern w:val="0"/>
        </w:rPr>
      </w:pPr>
      <w:r>
        <w:rPr>
          <w:rFonts w:hint="eastAsia"/>
          <w:kern w:val="0"/>
        </w:rPr>
        <w:t xml:space="preserve">Full Text: </w:t>
      </w:r>
      <w:hyperlink r:id="rId1307" w:history="1">
        <w:r w:rsidRPr="00F64F85">
          <w:rPr>
            <w:rStyle w:val="a5"/>
            <w:kern w:val="0"/>
          </w:rPr>
          <w:t>2014\Asl J Inf Man66, 202.pdf</w:t>
        </w:r>
      </w:hyperlink>
    </w:p>
    <w:p w:rsidR="00F64F85" w:rsidRDefault="00F64F85" w:rsidP="00F64F85">
      <w:pPr>
        <w:pStyle w:val="a3"/>
        <w:rPr>
          <w:kern w:val="0"/>
        </w:rPr>
      </w:pPr>
      <w:r>
        <w:rPr>
          <w:kern w:val="0"/>
        </w:rPr>
        <w:t>Abstract: Purpose - The purpose of this study is to construct a Chinese information science resource ontology and to explore a new method for semiautomatic ontology construction. Design/methodology/approach - More than 8,290 articles indexed in the Chinese Social Science Citation Index (CSSCI), covering the years 2001 to 2010, were included in this study. Statistical analysis, co-occurrence analysis, and semantic similarity methods were applied to the selected articles</w:t>
      </w:r>
      <w:r w:rsidR="00A37C1D">
        <w:rPr>
          <w:kern w:val="0"/>
        </w:rPr>
        <w:t>. The</w:t>
      </w:r>
      <w:r>
        <w:rPr>
          <w:kern w:val="0"/>
        </w:rPr>
        <w:t xml:space="preserve"> ontology was built using existing construction principles and methods, as well as categories and hierarchy definitions based on CSSCI indexing fields. Findings - Seven categories were found to be relevant for the Chinese information science resource ontology, which, in this study, consists of a three-tier architecture, 78,291 instances, and 182,109 pairs of semantic relations</w:t>
      </w:r>
      <w:r w:rsidR="00A37C1D">
        <w:rPr>
          <w:kern w:val="0"/>
        </w:rPr>
        <w:t>. The</w:t>
      </w:r>
      <w:r>
        <w:rPr>
          <w:kern w:val="0"/>
        </w:rPr>
        <w:t>se results indicate the following: further improvements are required in ontology construction methods; resource ontology is a breakthrough concept in ontology studies; the combination of semantic similarities and co-occurrence analysis can quantitatively describe relationships between concepts. Originality/value - This study pioneers the resource ontology concept. It is one of the first to combine informetric methods with semantic similarity to reveal deep relationships in textual data.</w:t>
      </w:r>
    </w:p>
    <w:p w:rsidR="00F64F85" w:rsidRDefault="00F64F85" w:rsidP="00F64F85">
      <w:pPr>
        <w:pStyle w:val="a3"/>
        <w:rPr>
          <w:kern w:val="0"/>
        </w:rPr>
      </w:pPr>
      <w:r>
        <w:rPr>
          <w:kern w:val="0"/>
        </w:rPr>
        <w:t>Keywords: Analysis, Breakthrough, Chinese, Chinese Social Science Citation Index, Citation, Co-Occurrence Analysis, Concept, Construction, Cssci, Data, First, Indexing, Information, Information Science, Methods, Ontology, Ontology Construction, Principles, Purpose, Relations, Resource Ontology, Science, Science Citation Index, Semantic Similarity, Similarity, Social Science Citation Index, Statistical Analysis</w:t>
      </w:r>
    </w:p>
    <w:p w:rsidR="00666900" w:rsidRDefault="00666900" w:rsidP="00666900">
      <w:pPr>
        <w:pStyle w:val="a3"/>
        <w:rPr>
          <w:kern w:val="0"/>
        </w:rPr>
      </w:pPr>
      <w:r>
        <w:rPr>
          <w:rFonts w:hint="eastAsia"/>
          <w:kern w:val="0"/>
        </w:rPr>
        <w:t xml:space="preserve">? </w:t>
      </w:r>
      <w:r>
        <w:rPr>
          <w:kern w:val="0"/>
        </w:rPr>
        <w:t>Haustein, S., Bowman, T.D., Holmberg, K., Peters, I. and Lariviere, V. (2014), Astrophysicists on Twitter</w:t>
      </w:r>
      <w:r>
        <w:rPr>
          <w:rFonts w:hint="eastAsia"/>
          <w:kern w:val="0"/>
        </w:rPr>
        <w:t>:</w:t>
      </w:r>
      <w:r>
        <w:rPr>
          <w:kern w:val="0"/>
        </w:rPr>
        <w:t xml:space="preserve"> An in-depth analysis of tweeting and scientific publication behavior. </w:t>
      </w:r>
      <w:r>
        <w:rPr>
          <w:i/>
          <w:iCs/>
          <w:kern w:val="0"/>
        </w:rPr>
        <w:t>Aslib Journal of Information Management</w:t>
      </w:r>
      <w:r>
        <w:rPr>
          <w:kern w:val="0"/>
        </w:rPr>
        <w:t xml:space="preserve">, </w:t>
      </w:r>
      <w:r>
        <w:rPr>
          <w:b/>
          <w:bCs/>
          <w:kern w:val="0"/>
        </w:rPr>
        <w:t>66</w:t>
      </w:r>
      <w:r>
        <w:rPr>
          <w:kern w:val="0"/>
        </w:rPr>
        <w:t xml:space="preserve"> (3), 279-296.</w:t>
      </w:r>
    </w:p>
    <w:p w:rsidR="00666900" w:rsidRDefault="00666900" w:rsidP="00666900">
      <w:pPr>
        <w:pStyle w:val="a3"/>
        <w:rPr>
          <w:kern w:val="0"/>
        </w:rPr>
      </w:pPr>
      <w:r>
        <w:rPr>
          <w:rFonts w:hint="eastAsia"/>
          <w:kern w:val="0"/>
        </w:rPr>
        <w:t xml:space="preserve">Full Text: </w:t>
      </w:r>
      <w:hyperlink r:id="rId1308" w:history="1">
        <w:r w:rsidRPr="001F166D">
          <w:rPr>
            <w:rStyle w:val="a5"/>
            <w:kern w:val="0"/>
          </w:rPr>
          <w:t>2014\Asl J Inf Man66, 279.pdf</w:t>
        </w:r>
      </w:hyperlink>
    </w:p>
    <w:p w:rsidR="00666900" w:rsidRDefault="00666900" w:rsidP="00666900">
      <w:pPr>
        <w:pStyle w:val="a3"/>
        <w:rPr>
          <w:kern w:val="0"/>
        </w:rPr>
      </w:pPr>
      <w:r>
        <w:rPr>
          <w:kern w:val="0"/>
        </w:rPr>
        <w:t xml:space="preserve">Abstract: Purpose - The purpose of this paper is to analyze the tweeting behavior of 37 astrophysicists on Twitter and compares their tweeting behavior with their publication behavior and citation impact to show whether they tweet research-related topics or not. Design/methodology/approach - Astrophysicists on Twitter are selected to compare their tweets with their publications from Web of Science. Different user groups are identified based on tweeting and publication frequency. Findings - A moderate negative correlation (rho- -0.339) is found between the number of publications and tweets per day, while retweet and citation rates do not correlate. The similarity between tweets and abstracts is very low (cos=0.081). User groups show </w:t>
      </w:r>
      <w:r>
        <w:rPr>
          <w:kern w:val="0"/>
        </w:rPr>
        <w:lastRenderedPageBreak/>
        <w:t>different tweeting behavior such as retweeting and including hashtags, usernames and URLs. Research limitations/implications - The study is limited in terms of the small set of astrophysicists. Results are not necessarily representative of the entire astrophysicist community on Twitter and they most certainly do not apply to scientists in general. Future research should apply the methods to a larger set of researchers and other scientific disciplines. Practical implications - To a certain extent, this study helps to understand how researchers use Twitter. The results hint at the fact that impact on Twitter can neither be equated with nor replace traditional research impact metrics. However, tweets and other so-called altmetrics might be able to reflect other impact of scientists such as public outreach and science communication. Originality/value - To the best of the knowledge, this is the first in-depth study comparing researchers’ tweeting activity and behavior with scientific publication output in terms of quantity, content and impact.</w:t>
      </w:r>
    </w:p>
    <w:p w:rsidR="00666900" w:rsidRDefault="00666900" w:rsidP="00666900">
      <w:pPr>
        <w:pStyle w:val="a3"/>
        <w:rPr>
          <w:kern w:val="0"/>
        </w:rPr>
      </w:pPr>
      <w:r>
        <w:rPr>
          <w:kern w:val="0"/>
        </w:rPr>
        <w:t>Keywords: Activity, Altmetrics, Analysis, Behavior, Bibliometrics, Citation, Citation Analysis, Citation Impact, Citation Rates, Citations, Communication, Community, Correlation, Disciplines, First, General, Groups, Impact, Knowledge, Methods, Metrics, Micro-Blogging, Public, Publication, Publications, Purpose, Rates, Research, Research Impact, Researchers, Results, Science, Science Communication, Scientific Publication, Scientists, Si, Similarity, Small, Social Media, Twitter, Web Of Science</w:t>
      </w:r>
    </w:p>
    <w:p w:rsidR="00445DA2" w:rsidRDefault="00445DA2" w:rsidP="00445DA2">
      <w:pPr>
        <w:pStyle w:val="a3"/>
        <w:rPr>
          <w:kern w:val="0"/>
        </w:rPr>
      </w:pPr>
      <w:r>
        <w:rPr>
          <w:rFonts w:hint="eastAsia"/>
          <w:kern w:val="0"/>
        </w:rPr>
        <w:t xml:space="preserve">? </w:t>
      </w:r>
      <w:r>
        <w:rPr>
          <w:kern w:val="0"/>
        </w:rPr>
        <w:t xml:space="preserve">Qiu, J.P. and Lv, H. (2014), An overview of knowledge management research viewed through the Web of Science (1993-2012). </w:t>
      </w:r>
      <w:r>
        <w:rPr>
          <w:i/>
          <w:iCs/>
          <w:kern w:val="0"/>
        </w:rPr>
        <w:t>Aslib Journal of Information Management</w:t>
      </w:r>
      <w:r>
        <w:rPr>
          <w:kern w:val="0"/>
        </w:rPr>
        <w:t xml:space="preserve">, </w:t>
      </w:r>
      <w:r>
        <w:rPr>
          <w:b/>
          <w:bCs/>
          <w:kern w:val="0"/>
        </w:rPr>
        <w:t>66</w:t>
      </w:r>
      <w:r>
        <w:rPr>
          <w:kern w:val="0"/>
        </w:rPr>
        <w:t xml:space="preserve"> (4), 424-442.</w:t>
      </w:r>
    </w:p>
    <w:p w:rsidR="00445DA2" w:rsidRDefault="00445DA2" w:rsidP="00445DA2">
      <w:pPr>
        <w:pStyle w:val="a3"/>
        <w:rPr>
          <w:kern w:val="0"/>
        </w:rPr>
      </w:pPr>
      <w:r>
        <w:rPr>
          <w:rFonts w:hint="eastAsia"/>
          <w:kern w:val="0"/>
        </w:rPr>
        <w:t xml:space="preserve">Full Text: </w:t>
      </w:r>
      <w:hyperlink r:id="rId1309" w:history="1">
        <w:r w:rsidRPr="00445DA2">
          <w:rPr>
            <w:rStyle w:val="a5"/>
            <w:kern w:val="0"/>
          </w:rPr>
          <w:t>2014\Asl J Inf Man66, 424.pdf</w:t>
        </w:r>
      </w:hyperlink>
    </w:p>
    <w:p w:rsidR="00445DA2" w:rsidRDefault="00445DA2" w:rsidP="00445DA2">
      <w:pPr>
        <w:pStyle w:val="a3"/>
        <w:rPr>
          <w:kern w:val="0"/>
        </w:rPr>
      </w:pPr>
      <w:r>
        <w:rPr>
          <w:kern w:val="0"/>
        </w:rPr>
        <w:t xml:space="preserve">Abstract: Purpose - The purpose of this paper is to present a bibliometric analysis of scientific output of the knowledge management (KM), the aim being to offer an overview of research activity in this field and characterize its most significant aspects. In addition, this study aims to quantitatively analyze KM research trends, forecasts, and citations from 1993 to 2012 in Web of Science (WOS). Design/methodology/approach - A total of 12,925 documents related to KM research were collected from following databases: Science Citation Index Expanded, Social Sciences Citation Index, Arts &amp; Humanities Citation Index, Conference Proceedings Citation Index-Science, and Conference Proceedings Citation Index-Social Science &amp; Humanities. These documents were carefully reviewed and subjected to bibliometric data analysis techniques. Findings - A number of research questions pertaining to patterns in scientific outputs, subject categories and major journals, author keywords frequencies, characteristics of the international collaboration, most cited papers and significant papers distribution of KM research were proposed and answered. In addition, there are five research sights on KM research are as follows: management science, computer science, information science, business, and </w:t>
      </w:r>
      <w:r>
        <w:rPr>
          <w:kern w:val="0"/>
        </w:rPr>
        <w:lastRenderedPageBreak/>
        <w:t>engineering. Based on these findings, many implications emerged that improve one’s understanding of the identity of KM as a distinct multi-discipline scientific field. Research limitations/implications - Comprehensiveness and inclusiveness of the analyzed KM-related data set in WOS because of some KM-centric journals are not indexed by Thomson Reuters. Originality/value - The paper offers an overview and evaluation of research activity into the KM viewed through the WOS during 1993-2012.</w:t>
      </w:r>
    </w:p>
    <w:p w:rsidR="00445DA2" w:rsidRDefault="00445DA2" w:rsidP="00445DA2">
      <w:pPr>
        <w:pStyle w:val="a3"/>
        <w:rPr>
          <w:kern w:val="0"/>
        </w:rPr>
      </w:pPr>
      <w:r>
        <w:rPr>
          <w:kern w:val="0"/>
        </w:rPr>
        <w:t>Keywords: Activity, Analysis, Betweenness Centrality, Bibliometric, Bibliometric Analysis, Bibliometric Analysis, Bibliometric Data, Business, Capital Academic Journals, Characteristics, Citation, Citation Analysis, Citations, Collaboration, Computer Science, Conference, Data, Data Analysis, Data Set, Databases, Distribution, Documents, Emerging Trends, Engineering, Evaluation, Field, Global Ranking, Humanities, Information, Information Science, Information Visualization, Intellectual Structure, International, International Collaboration, Journals, Knowledge, Knowledge Management, Management, Management Science, Multi-Discipline, Overview, Papers, Proceedings, Publications, Purpose, Research, Research Trends, Research Work, Science, Science Citation Index, Science Citation Index Expanded, Sciences, Scientific Output, Scientometric Analysis, Social Sciences, Social Sciences Citation Index, Solid-Waste Research, Techniques, Thomson Reuters, Thomson-Reuters, Trends, Understanding, Web, Web Of Science, Wos</w:t>
      </w:r>
    </w:p>
    <w:p w:rsidR="0082380E" w:rsidRDefault="0082380E" w:rsidP="0082380E">
      <w:pPr>
        <w:pStyle w:val="a3"/>
        <w:rPr>
          <w:kern w:val="0"/>
        </w:rPr>
      </w:pPr>
      <w:r>
        <w:rPr>
          <w:rFonts w:hint="eastAsia"/>
          <w:kern w:val="0"/>
        </w:rPr>
        <w:t xml:space="preserve">? </w:t>
      </w:r>
      <w:r>
        <w:rPr>
          <w:kern w:val="0"/>
        </w:rPr>
        <w:t xml:space="preserve">Zhu, Q.L., Kong, X.S., Hong, S., Li, J.L. and He, Z.Y. (2015), Global ontology research progress: A bibliometric analysis. </w:t>
      </w:r>
      <w:r>
        <w:rPr>
          <w:i/>
          <w:iCs/>
          <w:kern w:val="0"/>
        </w:rPr>
        <w:t>Aslib Journal of Information Management</w:t>
      </w:r>
      <w:r>
        <w:rPr>
          <w:kern w:val="0"/>
        </w:rPr>
        <w:t xml:space="preserve">, </w:t>
      </w:r>
      <w:r>
        <w:rPr>
          <w:b/>
          <w:bCs/>
          <w:kern w:val="0"/>
        </w:rPr>
        <w:t>67</w:t>
      </w:r>
      <w:r>
        <w:rPr>
          <w:kern w:val="0"/>
        </w:rPr>
        <w:t xml:space="preserve"> (1), 27-54.</w:t>
      </w:r>
    </w:p>
    <w:p w:rsidR="0082380E" w:rsidRDefault="0082380E" w:rsidP="0082380E">
      <w:pPr>
        <w:pStyle w:val="a3"/>
        <w:rPr>
          <w:kern w:val="0"/>
        </w:rPr>
      </w:pPr>
      <w:r>
        <w:rPr>
          <w:rFonts w:hint="eastAsia"/>
          <w:kern w:val="0"/>
        </w:rPr>
        <w:t xml:space="preserve">Full Text: </w:t>
      </w:r>
      <w:hyperlink r:id="rId1310" w:history="1">
        <w:r w:rsidRPr="00953AFB">
          <w:rPr>
            <w:rStyle w:val="a5"/>
            <w:kern w:val="0"/>
          </w:rPr>
          <w:t>2015\Asl J Inf Man67, 27.pdf</w:t>
        </w:r>
      </w:hyperlink>
    </w:p>
    <w:p w:rsidR="0082380E" w:rsidRDefault="0082380E" w:rsidP="0082380E">
      <w:pPr>
        <w:pStyle w:val="a3"/>
        <w:rPr>
          <w:kern w:val="0"/>
        </w:rPr>
      </w:pPr>
      <w:r>
        <w:rPr>
          <w:kern w:val="0"/>
        </w:rPr>
        <w:t xml:space="preserve">Abstract: Purpose - The purpose of this paper is to analyse the global scientific outputs of ontology research, an important emerging discipline that has huge potential to improve information understanding, organization, and management. Design/methodology/approach - This study collected literature published during 1900-2012 from the Web of Science database. The bibliometric analysis was performed from authorial, institutional, national, spatiotemporal, and topical aspects. Basic statistical analysis, visualization of geographic distribution, co-word analysis, and a new index were applied to the selected data. Findings - Characteristics of publication outputs suggested that ontology research has entered into the soaring stage, along with increased participation and collaboration. The authors identified the leading authors, institutions, nations, and articles in ontology research. Authors were more from North America, Europe, and East Asia. The USA took the lead, while China grew fastest. Four major categories of frequently used keywords were identified: applications in Semantic Web, applications in bioinformatics, philosophy </w:t>
      </w:r>
      <w:r>
        <w:rPr>
          <w:kern w:val="0"/>
        </w:rPr>
        <w:lastRenderedPageBreak/>
        <w:t>theories, and common supporting technology. Semantic Web research played a core role, and gene ontology study was well-developed. The study focus of ontology has shifted from philosophy to information science. Originality/value - This is the first study to quantify global research patterns and trends in ontology, which might provide a potential guide for the future research. The new index provides an alternative way to evaluate the multidisciplinary influence of researchers.</w:t>
      </w:r>
    </w:p>
    <w:p w:rsidR="0082380E" w:rsidRDefault="0082380E" w:rsidP="0082380E">
      <w:pPr>
        <w:pStyle w:val="a3"/>
        <w:rPr>
          <w:kern w:val="0"/>
        </w:rPr>
      </w:pPr>
      <w:r>
        <w:rPr>
          <w:kern w:val="0"/>
        </w:rPr>
        <w:t>Keywords: Alternative, Analysis, Articles, Asia, Authors, Bibliometric, Bibliometric Analysis, Bibliometrics, Characteristics, China, Co-Word, Co-Word Analysis, Collaboration, Data, Database, Disciplinary Incidence Index (Dii), Distribution, East Asia, Europe, First, Formal Ontology, From, Gene, Gene Ontology, Geographic Distribution, Global, Impact Factor, Index, Influence, Information, Information Science, Institutions, Knowledge Management, Lead, Literature, Management, Multidisciplinary, Nations, Natural-Language, North, North America, Ontology, Organization, Participation, Philosophy, Potential, Progress, Publication, Purpose, Research, Research Progress, Research Trend, Research Trends, Researchers, Role, Science, Science System, Scientific Outputs, Semantic Web, Statistical Analysis, Technology, Topical, Trends, Understanding, USA, Visualization, Web, Web Of Science</w:t>
      </w:r>
    </w:p>
    <w:p w:rsidR="0082380E" w:rsidRDefault="0082380E" w:rsidP="0082380E">
      <w:pPr>
        <w:pStyle w:val="a3"/>
        <w:rPr>
          <w:kern w:val="0"/>
        </w:rPr>
      </w:pPr>
      <w:r>
        <w:rPr>
          <w:rFonts w:hint="eastAsia"/>
          <w:kern w:val="0"/>
        </w:rPr>
        <w:t xml:space="preserve">? </w:t>
      </w:r>
      <w:r>
        <w:rPr>
          <w:kern w:val="0"/>
        </w:rPr>
        <w:t xml:space="preserve">Kumar, S. (2015), Co-authorship networks: A review of the literature. </w:t>
      </w:r>
      <w:r>
        <w:rPr>
          <w:i/>
          <w:iCs/>
          <w:kern w:val="0"/>
        </w:rPr>
        <w:t>Aslib Journal of Information Management</w:t>
      </w:r>
      <w:r>
        <w:rPr>
          <w:kern w:val="0"/>
        </w:rPr>
        <w:t xml:space="preserve">, </w:t>
      </w:r>
      <w:r>
        <w:rPr>
          <w:b/>
          <w:bCs/>
          <w:kern w:val="0"/>
        </w:rPr>
        <w:t>67</w:t>
      </w:r>
      <w:r>
        <w:rPr>
          <w:kern w:val="0"/>
        </w:rPr>
        <w:t xml:space="preserve"> (1), 55-73.</w:t>
      </w:r>
    </w:p>
    <w:p w:rsidR="0082380E" w:rsidRDefault="0082380E" w:rsidP="0082380E">
      <w:pPr>
        <w:pStyle w:val="a3"/>
        <w:rPr>
          <w:kern w:val="0"/>
        </w:rPr>
      </w:pPr>
      <w:r>
        <w:rPr>
          <w:rFonts w:hint="eastAsia"/>
          <w:kern w:val="0"/>
        </w:rPr>
        <w:t xml:space="preserve">Full Text: </w:t>
      </w:r>
      <w:hyperlink r:id="rId1311" w:history="1">
        <w:r w:rsidRPr="00953AFB">
          <w:rPr>
            <w:rStyle w:val="a5"/>
            <w:kern w:val="0"/>
          </w:rPr>
          <w:t>2015\Asl J Inf Man67, 55.pdf</w:t>
        </w:r>
      </w:hyperlink>
    </w:p>
    <w:p w:rsidR="0082380E" w:rsidRDefault="0082380E" w:rsidP="0082380E">
      <w:pPr>
        <w:pStyle w:val="a3"/>
        <w:rPr>
          <w:kern w:val="0"/>
        </w:rPr>
      </w:pPr>
      <w:r>
        <w:rPr>
          <w:kern w:val="0"/>
        </w:rPr>
        <w:t>Abstract: Purpose - The purpose of this paper is to attempt to provide a review of the growing literature on co-authorship networks and the research gaps that may be investigated for future studies in this field. Design/methodology/approach - The existing literature on co-authorship networks was identified, evaluated and interpreted. Narrative review style was followed. Findings - Co-authorship, a proxy of research collaboration, is a key mechanism that links different sets of talent to produce a research output. Co-authorship could also be seen from the perspective of social networks. An in-depth analysis of such knowledge networks provides an opportunity to investigate its structure. Patterns of these relationships could reveal, for example, the mechanism that shapes our scientific community. The study provides a review of the expanding literature on co-authorship networks. Originality/value - This is one of the first comprehensive reviews of network-based studies on co-authorship. The field is fast evolving, opening new gaps for potential research. The study identifies some of these gaps.</w:t>
      </w:r>
    </w:p>
    <w:p w:rsidR="0082380E" w:rsidRDefault="0082380E" w:rsidP="0082380E">
      <w:pPr>
        <w:pStyle w:val="a3"/>
        <w:rPr>
          <w:kern w:val="0"/>
        </w:rPr>
      </w:pPr>
      <w:r>
        <w:rPr>
          <w:kern w:val="0"/>
        </w:rPr>
        <w:t xml:space="preserve">Keywords: Analysis, Co-Authorship, Co-Authorship Networks, Coauthorship, Coauthorship Networks, Cocitation Analysis, Collaboration, Community, Complex Networks, Digital Library, Field, First, From, Information-Science, International Collaboration, Knowledge, Literature, Literature Review, Mechanism, Networks, </w:t>
      </w:r>
      <w:r>
        <w:rPr>
          <w:kern w:val="0"/>
        </w:rPr>
        <w:lastRenderedPageBreak/>
        <w:t>Patterns, Potential, Purpose, Research, Research Collaboration, Research Collaboration Networks, Research Collaborations, Research Output, Review, Reviews, Scientific Collaboration Networks, Scientific Community, Scientometric Analysis, Social, Social Network, Social Networks, Structure</w:t>
      </w:r>
    </w:p>
    <w:p w:rsidR="003474F2" w:rsidRPr="001A3D2B" w:rsidRDefault="003474F2" w:rsidP="003474F2">
      <w:pPr>
        <w:pStyle w:val="1"/>
      </w:pPr>
      <w:r w:rsidRPr="001A3D2B">
        <w:br w:type="page"/>
      </w:r>
      <w:bookmarkStart w:id="665" w:name="_Toc420814643"/>
      <w:r w:rsidRPr="001A3D2B">
        <w:lastRenderedPageBreak/>
        <w:t>Title: Aslib Proceedings</w:t>
      </w:r>
      <w:bookmarkEnd w:id="665"/>
    </w:p>
    <w:p w:rsidR="003474F2" w:rsidRPr="001A3D2B" w:rsidRDefault="003474F2" w:rsidP="003474F2">
      <w:pPr>
        <w:pStyle w:val="12"/>
      </w:pPr>
      <w:r w:rsidRPr="001A3D2B">
        <w:t xml:space="preserve">Full Journal Title: </w:t>
      </w:r>
      <w:r w:rsidR="00206C8A">
        <w:fldChar w:fldCharType="begin"/>
      </w:r>
      <w:bookmarkStart w:id="666" w:name="_Toc92034777"/>
      <w:r w:rsidR="00FD158B">
        <w:instrText>HYPERLINK "http://www.in</w:instrText>
      </w:r>
      <w:bookmarkEnd w:id="666"/>
      <w:r w:rsidR="00FD158B">
        <w:instrText>gentaconnect.com/content/mcb/276"</w:instrText>
      </w:r>
      <w:r w:rsidR="00206C8A">
        <w:fldChar w:fldCharType="separate"/>
      </w:r>
      <w:r w:rsidRPr="001A3D2B">
        <w:rPr>
          <w:rStyle w:val="a5"/>
        </w:rPr>
        <w:t>Aslib Proceedings</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0001-253X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 Dansey, P. (1973), Bibliometric survey</w:t>
      </w:r>
      <w:r w:rsidR="00427468">
        <w:t xml:space="preserve"> of </w:t>
      </w:r>
      <w:r w:rsidRPr="001A3D2B">
        <w:t>primary</w:t>
      </w:r>
      <w:r w:rsidR="005853A9">
        <w:t xml:space="preserve"> and </w:t>
      </w:r>
      <w:r w:rsidRPr="001A3D2B">
        <w:t xml:space="preserve">secondary information-science literature. </w:t>
      </w:r>
      <w:r w:rsidRPr="001A3D2B">
        <w:rPr>
          <w:i/>
          <w:iCs/>
        </w:rPr>
        <w:t>Aslib Proceedings</w:t>
      </w:r>
      <w:r w:rsidRPr="001A3D2B">
        <w:t xml:space="preserve">, </w:t>
      </w:r>
      <w:r w:rsidRPr="001A3D2B">
        <w:rPr>
          <w:b/>
          <w:bCs/>
        </w:rPr>
        <w:t>25</w:t>
      </w:r>
      <w:r w:rsidRPr="001A3D2B">
        <w:t xml:space="preserve"> (7), 252-263.</w:t>
      </w:r>
    </w:p>
    <w:p w:rsidR="0039485A" w:rsidRPr="00F219CA" w:rsidRDefault="0039485A" w:rsidP="0039485A">
      <w:pPr>
        <w:pStyle w:val="a3"/>
      </w:pPr>
      <w:r w:rsidRPr="00F219CA">
        <w:t xml:space="preserve">Full Text: </w:t>
      </w:r>
      <w:hyperlink r:id="rId1312" w:history="1">
        <w:r w:rsidRPr="00F219CA">
          <w:rPr>
            <w:rStyle w:val="a5"/>
          </w:rPr>
          <w:t>1960-80\Asl Pro25, 252.pdf</w:t>
        </w:r>
      </w:hyperlink>
    </w:p>
    <w:p w:rsidR="005243C5" w:rsidRPr="001A3D2B" w:rsidRDefault="005243C5" w:rsidP="005243C5">
      <w:pPr>
        <w:pStyle w:val="a3"/>
      </w:pPr>
      <w:r w:rsidRPr="001A3D2B">
        <w:t>Abstract: A statistical analysis is made</w:t>
      </w:r>
      <w:r w:rsidR="00427468">
        <w:t xml:space="preserve"> of </w:t>
      </w:r>
      <w:r w:rsidR="003A1917">
        <w:t xml:space="preserve">the </w:t>
      </w:r>
      <w:r w:rsidRPr="001A3D2B">
        <w:t>professional literature</w:t>
      </w:r>
      <w:r w:rsidR="00427468">
        <w:t xml:space="preserve"> of </w:t>
      </w:r>
      <w:r w:rsidRPr="001A3D2B">
        <w:t>librarians</w:t>
      </w:r>
      <w:r w:rsidR="005853A9">
        <w:t xml:space="preserve"> and </w:t>
      </w:r>
      <w:r w:rsidRPr="001A3D2B">
        <w:t>information scientists in an attempt to uncover</w:t>
      </w:r>
      <w:r w:rsidR="003A1917">
        <w:t xml:space="preserve"> the </w:t>
      </w:r>
      <w:r w:rsidRPr="001A3D2B">
        <w:t>patterns</w:t>
      </w:r>
      <w:r w:rsidR="00427468">
        <w:t xml:space="preserve"> of </w:t>
      </w:r>
      <w:r w:rsidRPr="001A3D2B">
        <w:t>information flow</w:t>
      </w:r>
      <w:r w:rsidR="005853A9">
        <w:t xml:space="preserve"> and </w:t>
      </w:r>
      <w:r w:rsidRPr="001A3D2B">
        <w:t>to evaluate</w:t>
      </w:r>
      <w:r w:rsidR="003A1917">
        <w:t xml:space="preserve"> the </w:t>
      </w:r>
      <w:r w:rsidRPr="001A3D2B">
        <w:t>abstracting services provided for information workers. Citation analysis</w:t>
      </w:r>
      <w:r w:rsidR="00427468">
        <w:t xml:space="preserve"> of </w:t>
      </w:r>
      <w:r w:rsidRPr="001A3D2B">
        <w:t>some English language information science journals throws light on</w:t>
      </w:r>
      <w:r w:rsidR="003A1917">
        <w:t xml:space="preserve"> the </w:t>
      </w:r>
      <w:r w:rsidRPr="001A3D2B">
        <w:t>principal sources used by British</w:t>
      </w:r>
      <w:r w:rsidR="005853A9">
        <w:t xml:space="preserve"> and </w:t>
      </w:r>
      <w:r w:rsidRPr="001A3D2B">
        <w:t>American information scientists</w:t>
      </w:r>
      <w:r w:rsidR="005853A9">
        <w:t xml:space="preserve"> and </w:t>
      </w:r>
      <w:r w:rsidR="003A1917">
        <w:t xml:space="preserve">the </w:t>
      </w:r>
      <w:r w:rsidRPr="001A3D2B">
        <w:t>linguistic</w:t>
      </w:r>
      <w:r w:rsidR="005853A9">
        <w:t xml:space="preserve"> and </w:t>
      </w:r>
      <w:r w:rsidRPr="001A3D2B">
        <w:t>national biases in</w:t>
      </w:r>
      <w:r w:rsidR="003A1917">
        <w:t xml:space="preserve"> the </w:t>
      </w:r>
      <w:r w:rsidRPr="001A3D2B">
        <w:t>citations given</w:t>
      </w:r>
      <w:r w:rsidR="00A37C1D">
        <w:t>. The</w:t>
      </w:r>
      <w:r w:rsidR="003A1917">
        <w:t xml:space="preserve"> </w:t>
      </w:r>
      <w:r w:rsidRPr="001A3D2B">
        <w:t>growth</w:t>
      </w:r>
      <w:r w:rsidR="00427468">
        <w:t xml:space="preserve"> of </w:t>
      </w:r>
      <w:r w:rsidR="003A1917">
        <w:t xml:space="preserve">the </w:t>
      </w:r>
      <w:r w:rsidRPr="001A3D2B">
        <w:t>subject matter published in</w:t>
      </w:r>
      <w:r w:rsidR="003A1917">
        <w:t xml:space="preserve"> the </w:t>
      </w:r>
      <w:r w:rsidRPr="001A3D2B">
        <w:t>field</w:t>
      </w:r>
      <w:r w:rsidR="00427468">
        <w:t xml:space="preserve"> of </w:t>
      </w:r>
      <w:r w:rsidRPr="001A3D2B">
        <w:t>information science is displayed. Five abstracting services are evaluated</w:t>
      </w:r>
      <w:r w:rsidR="00A37C1D">
        <w:t>. The</w:t>
      </w:r>
      <w:r w:rsidRPr="001A3D2B">
        <w:t>ir scope in terms</w:t>
      </w:r>
      <w:r w:rsidR="00427468">
        <w:t xml:space="preserve"> of </w:t>
      </w:r>
      <w:r w:rsidR="003A1917">
        <w:t xml:space="preserve">the </w:t>
      </w:r>
      <w:r w:rsidRPr="001A3D2B">
        <w:t>language, country</w:t>
      </w:r>
      <w:r w:rsidR="00427468">
        <w:t xml:space="preserve"> of </w:t>
      </w:r>
      <w:r w:rsidRPr="001A3D2B">
        <w:t>origin, subject matter</w:t>
      </w:r>
      <w:r w:rsidR="005853A9">
        <w:t xml:space="preserve"> and </w:t>
      </w:r>
      <w:r w:rsidRPr="001A3D2B">
        <w:t>format</w:t>
      </w:r>
      <w:r w:rsidR="00427468">
        <w:t xml:space="preserve"> of </w:t>
      </w:r>
      <w:r w:rsidR="003A1917">
        <w:t xml:space="preserve">the </w:t>
      </w:r>
      <w:r w:rsidRPr="001A3D2B">
        <w:t>material selected</w:t>
      </w:r>
      <w:r w:rsidR="005853A9">
        <w:t xml:space="preserve"> and </w:t>
      </w:r>
      <w:r w:rsidRPr="001A3D2B">
        <w:t>abstracted is determined. Coverage is assessed in comparison with three bibliographies in this subject area. Currency is determined from NRLSI acquisition dates. Key journals are found from productivity analysis</w:t>
      </w:r>
      <w:r w:rsidR="00427468">
        <w:t xml:space="preserve"> of </w:t>
      </w:r>
      <w:r w:rsidR="003A1917">
        <w:t xml:space="preserve">the </w:t>
      </w:r>
      <w:r w:rsidRPr="001A3D2B">
        <w:t>abstracted journals. Conclusions are drawn as to</w:t>
      </w:r>
      <w:r w:rsidR="003A1917">
        <w:t xml:space="preserve"> the </w:t>
      </w:r>
      <w:r w:rsidRPr="001A3D2B">
        <w:t>adequacy</w:t>
      </w:r>
      <w:r w:rsidR="00427468">
        <w:t xml:space="preserve"> of </w:t>
      </w:r>
      <w:r w:rsidR="003A1917">
        <w:t xml:space="preserve">the </w:t>
      </w:r>
      <w:r w:rsidRPr="001A3D2B">
        <w:t>present services</w:t>
      </w:r>
      <w:r w:rsidR="005853A9">
        <w:t xml:space="preserve"> and </w:t>
      </w:r>
      <w:r w:rsidRPr="001A3D2B">
        <w:t>suggestions made for possible improvements.</w:t>
      </w:r>
    </w:p>
    <w:p w:rsidR="003474F2" w:rsidRPr="001A3D2B" w:rsidRDefault="003474F2" w:rsidP="003474F2">
      <w:pPr>
        <w:pStyle w:val="a3"/>
      </w:pPr>
      <w:r w:rsidRPr="001A3D2B">
        <w:t>Smith, G.M. (1977), Key books in business</w:t>
      </w:r>
      <w:r w:rsidR="005853A9">
        <w:t xml:space="preserve"> and </w:t>
      </w:r>
      <w:r w:rsidRPr="001A3D2B">
        <w:t xml:space="preserve">management studies - Bibliometric analysis. </w:t>
      </w:r>
      <w:r w:rsidRPr="001A3D2B">
        <w:rPr>
          <w:i/>
          <w:iCs/>
        </w:rPr>
        <w:t>Aslib Proceedings</w:t>
      </w:r>
      <w:r w:rsidRPr="001A3D2B">
        <w:t xml:space="preserve">, </w:t>
      </w:r>
      <w:r w:rsidRPr="001A3D2B">
        <w:rPr>
          <w:b/>
        </w:rPr>
        <w:t>29</w:t>
      </w:r>
      <w:r w:rsidRPr="001A3D2B">
        <w:rPr>
          <w:bCs/>
        </w:rPr>
        <w:t xml:space="preserve"> (5)</w:t>
      </w:r>
      <w:r w:rsidRPr="001A3D2B">
        <w:t>, 174-188.</w:t>
      </w:r>
    </w:p>
    <w:p w:rsidR="00B5119E" w:rsidRPr="00F219CA" w:rsidRDefault="00B5119E" w:rsidP="00B5119E">
      <w:pPr>
        <w:pStyle w:val="a3"/>
      </w:pPr>
      <w:r w:rsidRPr="00F219CA">
        <w:t xml:space="preserve">Full Text: </w:t>
      </w:r>
      <w:hyperlink r:id="rId1313" w:history="1">
        <w:r w:rsidRPr="00F567F1">
          <w:rPr>
            <w:rStyle w:val="a5"/>
          </w:rPr>
          <w:t>1960-80\Asl Pro29, 174.pdf</w:t>
        </w:r>
      </w:hyperlink>
    </w:p>
    <w:p w:rsidR="003474F2" w:rsidRPr="001A3D2B" w:rsidRDefault="003474F2" w:rsidP="003474F2">
      <w:pPr>
        <w:pStyle w:val="a3"/>
      </w:pPr>
      <w:r w:rsidRPr="001A3D2B">
        <w:t>Notes: IInstitute</w:t>
      </w:r>
    </w:p>
    <w:p w:rsidR="003474F2" w:rsidRPr="001A3D2B" w:rsidRDefault="003474F2" w:rsidP="003474F2">
      <w:pPr>
        <w:pStyle w:val="a3"/>
      </w:pPr>
      <w:r w:rsidRPr="001A3D2B">
        <w:t>? Croft, G. (1983), An investigation into</w:t>
      </w:r>
      <w:r w:rsidR="003A1917">
        <w:t xml:space="preserve"> the </w:t>
      </w:r>
      <w:r w:rsidRPr="001A3D2B">
        <w:t>applicability</w:t>
      </w:r>
      <w:r w:rsidR="00427468">
        <w:t xml:space="preserve"> of </w:t>
      </w:r>
      <w:r w:rsidRPr="001A3D2B">
        <w:t>Science Citation Index as a tool to measure</w:t>
      </w:r>
      <w:r w:rsidR="003A1917">
        <w:t xml:space="preserve"> the </w:t>
      </w:r>
      <w:r w:rsidRPr="001A3D2B">
        <w:t>usefulness</w:t>
      </w:r>
      <w:r w:rsidR="00427468">
        <w:t xml:space="preserve"> of </w:t>
      </w:r>
      <w:r w:rsidRPr="001A3D2B">
        <w:t>publications</w:t>
      </w:r>
      <w:r w:rsidR="00427468">
        <w:t xml:space="preserve"> of </w:t>
      </w:r>
      <w:r w:rsidR="003A1917">
        <w:t xml:space="preserve">the </w:t>
      </w:r>
      <w:r w:rsidRPr="001A3D2B">
        <w:t xml:space="preserve">International Tin Research Institute. </w:t>
      </w:r>
      <w:r w:rsidRPr="001A3D2B">
        <w:rPr>
          <w:i/>
          <w:iCs/>
        </w:rPr>
        <w:t>Aslib Proceedings</w:t>
      </w:r>
      <w:r w:rsidRPr="001A3D2B">
        <w:t xml:space="preserve">, </w:t>
      </w:r>
      <w:r w:rsidRPr="001A3D2B">
        <w:rPr>
          <w:b/>
          <w:bCs/>
        </w:rPr>
        <w:t>35</w:t>
      </w:r>
      <w:r w:rsidRPr="001A3D2B">
        <w:t xml:space="preserve"> (6-7), 249-257.</w:t>
      </w:r>
    </w:p>
    <w:p w:rsidR="003474F2" w:rsidRPr="001A3D2B" w:rsidRDefault="003474F2" w:rsidP="003474F2">
      <w:pPr>
        <w:pStyle w:val="a3"/>
      </w:pPr>
      <w:r w:rsidRPr="001A3D2B">
        <w:t xml:space="preserve">Full Text: </w:t>
      </w:r>
      <w:hyperlink r:id="rId1314" w:history="1">
        <w:r w:rsidRPr="001A3D2B">
          <w:rPr>
            <w:rStyle w:val="a5"/>
          </w:rPr>
          <w:t>1983\Asl Pro35, 249.pdf</w:t>
        </w:r>
      </w:hyperlink>
    </w:p>
    <w:p w:rsidR="003474F2" w:rsidRPr="001A3D2B" w:rsidRDefault="003474F2" w:rsidP="003474F2">
      <w:pPr>
        <w:pStyle w:val="a3"/>
      </w:pPr>
      <w:r w:rsidRPr="001A3D2B">
        <w:t>Keywords: Science Citation Index</w:t>
      </w:r>
    </w:p>
    <w:p w:rsidR="000867C4" w:rsidRDefault="000867C4" w:rsidP="000867C4">
      <w:pPr>
        <w:pStyle w:val="a3"/>
        <w:rPr>
          <w:kern w:val="0"/>
        </w:rPr>
      </w:pPr>
      <w:r>
        <w:rPr>
          <w:rFonts w:hint="eastAsia"/>
          <w:kern w:val="0"/>
        </w:rPr>
        <w:lastRenderedPageBreak/>
        <w:t xml:space="preserve">? </w:t>
      </w:r>
      <w:r>
        <w:rPr>
          <w:kern w:val="0"/>
        </w:rPr>
        <w:t>Potter, D.</w:t>
      </w:r>
      <w:r w:rsidR="005853A9">
        <w:rPr>
          <w:kern w:val="0"/>
        </w:rPr>
        <w:t xml:space="preserve"> and </w:t>
      </w:r>
      <w:r>
        <w:rPr>
          <w:kern w:val="0"/>
        </w:rPr>
        <w:t>Potter, S. (1995), British professional child</w:t>
      </w:r>
      <w:r>
        <w:rPr>
          <w:rFonts w:hint="eastAsia"/>
          <w:kern w:val="0"/>
        </w:rPr>
        <w:t xml:space="preserve"> </w:t>
      </w:r>
      <w:r>
        <w:rPr>
          <w:kern w:val="0"/>
        </w:rPr>
        <w:t>care</w:t>
      </w:r>
      <w:r>
        <w:rPr>
          <w:rFonts w:hint="eastAsia"/>
          <w:kern w:val="0"/>
        </w:rPr>
        <w:t>:</w:t>
      </w:r>
      <w:r>
        <w:rPr>
          <w:kern w:val="0"/>
        </w:rPr>
        <w:t xml:space="preserve"> A preliminary citation analysis. </w:t>
      </w:r>
      <w:r>
        <w:rPr>
          <w:i/>
          <w:iCs/>
          <w:kern w:val="0"/>
        </w:rPr>
        <w:t>Aslib Proceedings</w:t>
      </w:r>
      <w:r>
        <w:rPr>
          <w:kern w:val="0"/>
        </w:rPr>
        <w:t xml:space="preserve">, </w:t>
      </w:r>
      <w:r>
        <w:rPr>
          <w:b/>
          <w:bCs/>
          <w:kern w:val="0"/>
        </w:rPr>
        <w:t>47</w:t>
      </w:r>
      <w:r>
        <w:rPr>
          <w:kern w:val="0"/>
        </w:rPr>
        <w:t xml:space="preserve"> (5), 131-136.</w:t>
      </w:r>
    </w:p>
    <w:p w:rsidR="000867C4" w:rsidRPr="001A3D2B" w:rsidRDefault="000867C4" w:rsidP="000867C4">
      <w:pPr>
        <w:pStyle w:val="a3"/>
      </w:pPr>
      <w:r w:rsidRPr="001A3D2B">
        <w:t xml:space="preserve">Full Text: </w:t>
      </w:r>
      <w:hyperlink r:id="rId1315" w:history="1">
        <w:r w:rsidRPr="001701EF">
          <w:rPr>
            <w:rStyle w:val="a5"/>
          </w:rPr>
          <w:t>1995\Asl Pro47, 131.pdf</w:t>
        </w:r>
      </w:hyperlink>
    </w:p>
    <w:p w:rsidR="000867C4" w:rsidRDefault="000867C4" w:rsidP="000867C4">
      <w:pPr>
        <w:pStyle w:val="a3"/>
        <w:rPr>
          <w:kern w:val="0"/>
        </w:rPr>
      </w:pPr>
      <w:r>
        <w:rPr>
          <w:kern w:val="0"/>
        </w:rPr>
        <w:t>Abstract: Human services are increasingly regarded as a discrete field</w:t>
      </w:r>
      <w:r w:rsidR="00427468">
        <w:rPr>
          <w:kern w:val="0"/>
        </w:rPr>
        <w:t xml:space="preserve"> of </w:t>
      </w:r>
      <w:r>
        <w:rPr>
          <w:kern w:val="0"/>
        </w:rPr>
        <w:t>study</w:t>
      </w:r>
      <w:r w:rsidR="005853A9">
        <w:rPr>
          <w:kern w:val="0"/>
        </w:rPr>
        <w:t xml:space="preserve"> and </w:t>
      </w:r>
      <w:r>
        <w:rPr>
          <w:kern w:val="0"/>
        </w:rPr>
        <w:t>an area</w:t>
      </w:r>
      <w:r w:rsidR="00427468">
        <w:rPr>
          <w:kern w:val="0"/>
        </w:rPr>
        <w:t xml:space="preserve"> of </w:t>
      </w:r>
      <w:r>
        <w:rPr>
          <w:kern w:val="0"/>
        </w:rPr>
        <w:t>public concern. However, little work has been done outside</w:t>
      </w:r>
      <w:r w:rsidR="003A1917">
        <w:rPr>
          <w:kern w:val="0"/>
        </w:rPr>
        <w:t xml:space="preserve"> the </w:t>
      </w:r>
      <w:r w:rsidR="00D5664A">
        <w:rPr>
          <w:kern w:val="0"/>
        </w:rPr>
        <w:t>USA</w:t>
      </w:r>
      <w:r>
        <w:rPr>
          <w:kern w:val="0"/>
        </w:rPr>
        <w:t xml:space="preserve"> in determining</w:t>
      </w:r>
      <w:r w:rsidR="003A1917">
        <w:rPr>
          <w:kern w:val="0"/>
        </w:rPr>
        <w:t xml:space="preserve"> the </w:t>
      </w:r>
      <w:r>
        <w:rPr>
          <w:kern w:val="0"/>
        </w:rPr>
        <w:t>make-up</w:t>
      </w:r>
      <w:r w:rsidR="00427468">
        <w:rPr>
          <w:kern w:val="0"/>
        </w:rPr>
        <w:t xml:space="preserve"> of </w:t>
      </w:r>
      <w:r>
        <w:rPr>
          <w:kern w:val="0"/>
        </w:rPr>
        <w:t>knowledge in</w:t>
      </w:r>
      <w:r w:rsidR="003A1917">
        <w:rPr>
          <w:kern w:val="0"/>
        </w:rPr>
        <w:t xml:space="preserve"> the </w:t>
      </w:r>
      <w:r>
        <w:rPr>
          <w:kern w:val="0"/>
        </w:rPr>
        <w:t>field. This paper presents an initial attempt to study what constitutes</w:t>
      </w:r>
      <w:r w:rsidR="003A1917">
        <w:rPr>
          <w:kern w:val="0"/>
        </w:rPr>
        <w:t xml:space="preserve"> the </w:t>
      </w:r>
      <w:r>
        <w:rPr>
          <w:kern w:val="0"/>
        </w:rPr>
        <w:t>knowledge base for</w:t>
      </w:r>
      <w:r w:rsidR="003A1917">
        <w:rPr>
          <w:kern w:val="0"/>
        </w:rPr>
        <w:t xml:space="preserve"> the </w:t>
      </w:r>
      <w:r>
        <w:rPr>
          <w:kern w:val="0"/>
        </w:rPr>
        <w:t>child care profession in</w:t>
      </w:r>
      <w:r w:rsidR="003A1917">
        <w:rPr>
          <w:kern w:val="0"/>
        </w:rPr>
        <w:t xml:space="preserve"> the </w:t>
      </w:r>
      <w:r>
        <w:rPr>
          <w:kern w:val="0"/>
        </w:rPr>
        <w:t>UK. To do this</w:t>
      </w:r>
      <w:r w:rsidR="003A1917">
        <w:rPr>
          <w:kern w:val="0"/>
        </w:rPr>
        <w:t xml:space="preserve"> the </w:t>
      </w:r>
      <w:r>
        <w:rPr>
          <w:kern w:val="0"/>
        </w:rPr>
        <w:t>citations</w:t>
      </w:r>
      <w:r w:rsidR="00427468">
        <w:rPr>
          <w:kern w:val="0"/>
        </w:rPr>
        <w:t xml:space="preserve"> of </w:t>
      </w:r>
      <w:r>
        <w:rPr>
          <w:kern w:val="0"/>
        </w:rPr>
        <w:t>five British child care journals were analysed for 1993. Reference type, country code</w:t>
      </w:r>
      <w:r w:rsidR="005853A9">
        <w:rPr>
          <w:kern w:val="0"/>
        </w:rPr>
        <w:t xml:space="preserve"> and </w:t>
      </w:r>
      <w:r>
        <w:rPr>
          <w:kern w:val="0"/>
        </w:rPr>
        <w:t>self-citations</w:t>
      </w:r>
      <w:r w:rsidR="00427468">
        <w:rPr>
          <w:kern w:val="0"/>
        </w:rPr>
        <w:t xml:space="preserve"> of </w:t>
      </w:r>
      <w:r>
        <w:rPr>
          <w:kern w:val="0"/>
        </w:rPr>
        <w:t>journals</w:t>
      </w:r>
      <w:r w:rsidR="005853A9">
        <w:rPr>
          <w:kern w:val="0"/>
        </w:rPr>
        <w:t xml:space="preserve"> and </w:t>
      </w:r>
      <w:r>
        <w:rPr>
          <w:kern w:val="0"/>
        </w:rPr>
        <w:t>authors were recorded</w:t>
      </w:r>
      <w:r w:rsidR="005853A9">
        <w:rPr>
          <w:kern w:val="0"/>
        </w:rPr>
        <w:t xml:space="preserve"> and </w:t>
      </w:r>
      <w:r>
        <w:rPr>
          <w:kern w:val="0"/>
        </w:rPr>
        <w:t>analysed. Comparisons were drawn with an earlier citation study</w:t>
      </w:r>
      <w:r w:rsidR="00427468">
        <w:rPr>
          <w:kern w:val="0"/>
        </w:rPr>
        <w:t xml:space="preserve"> of </w:t>
      </w:r>
      <w:r>
        <w:rPr>
          <w:kern w:val="0"/>
        </w:rPr>
        <w:t>social work</w:t>
      </w:r>
      <w:r w:rsidR="00A37C1D">
        <w:rPr>
          <w:kern w:val="0"/>
        </w:rPr>
        <w:t>. The</w:t>
      </w:r>
      <w:r w:rsidR="003A1917">
        <w:rPr>
          <w:kern w:val="0"/>
        </w:rPr>
        <w:t xml:space="preserve"> </w:t>
      </w:r>
      <w:r>
        <w:rPr>
          <w:kern w:val="0"/>
        </w:rPr>
        <w:t>study confirmed a 1:1 relationship between books</w:t>
      </w:r>
      <w:r w:rsidR="005853A9">
        <w:rPr>
          <w:kern w:val="0"/>
        </w:rPr>
        <w:t xml:space="preserve"> and </w:t>
      </w:r>
      <w:r>
        <w:rPr>
          <w:kern w:val="0"/>
        </w:rPr>
        <w:t>journals</w:t>
      </w:r>
      <w:r w:rsidR="005853A9">
        <w:rPr>
          <w:kern w:val="0"/>
        </w:rPr>
        <w:t xml:space="preserve"> and </w:t>
      </w:r>
      <w:r>
        <w:rPr>
          <w:kern w:val="0"/>
        </w:rPr>
        <w:t>showed</w:t>
      </w:r>
      <w:r w:rsidR="003A1917">
        <w:rPr>
          <w:kern w:val="0"/>
        </w:rPr>
        <w:t xml:space="preserve"> the </w:t>
      </w:r>
      <w:r>
        <w:rPr>
          <w:kern w:val="0"/>
        </w:rPr>
        <w:t>diffuseness</w:t>
      </w:r>
      <w:r w:rsidR="00427468">
        <w:rPr>
          <w:kern w:val="0"/>
        </w:rPr>
        <w:t xml:space="preserve"> of </w:t>
      </w:r>
      <w:r w:rsidR="003A1917">
        <w:rPr>
          <w:kern w:val="0"/>
        </w:rPr>
        <w:t xml:space="preserve">the </w:t>
      </w:r>
      <w:r>
        <w:rPr>
          <w:kern w:val="0"/>
        </w:rPr>
        <w:t>sources upon which child care professionals draw. Although books were</w:t>
      </w:r>
      <w:r w:rsidR="003A1917">
        <w:rPr>
          <w:kern w:val="0"/>
        </w:rPr>
        <w:t xml:space="preserve"> the </w:t>
      </w:r>
      <w:r>
        <w:rPr>
          <w:kern w:val="0"/>
        </w:rPr>
        <w:t>most cited category individual books were rarely cited multiply. A core</w:t>
      </w:r>
      <w:r w:rsidR="00427468">
        <w:rPr>
          <w:kern w:val="0"/>
        </w:rPr>
        <w:t xml:space="preserve"> of </w:t>
      </w:r>
      <w:r>
        <w:rPr>
          <w:kern w:val="0"/>
        </w:rPr>
        <w:t>journals was identified but child care journals were only fifth in frequency</w:t>
      </w:r>
      <w:r w:rsidR="00427468">
        <w:rPr>
          <w:kern w:val="0"/>
        </w:rPr>
        <w:t xml:space="preserve"> of </w:t>
      </w:r>
      <w:r>
        <w:rPr>
          <w:kern w:val="0"/>
        </w:rPr>
        <w:t>citations after books, other journals, grey literature</w:t>
      </w:r>
      <w:r w:rsidR="005853A9">
        <w:rPr>
          <w:kern w:val="0"/>
        </w:rPr>
        <w:t xml:space="preserve"> and </w:t>
      </w:r>
      <w:r>
        <w:rPr>
          <w:kern w:val="0"/>
        </w:rPr>
        <w:t>other child-orientated journals. This suggests that</w:t>
      </w:r>
      <w:r w:rsidR="003A1917">
        <w:rPr>
          <w:kern w:val="0"/>
        </w:rPr>
        <w:t xml:space="preserve"> the </w:t>
      </w:r>
      <w:r>
        <w:rPr>
          <w:kern w:val="0"/>
        </w:rPr>
        <w:t>child care profession in</w:t>
      </w:r>
      <w:r w:rsidR="003A1917">
        <w:rPr>
          <w:kern w:val="0"/>
        </w:rPr>
        <w:t xml:space="preserve"> the </w:t>
      </w:r>
      <w:r>
        <w:rPr>
          <w:kern w:val="0"/>
        </w:rPr>
        <w:t>UK is outward-looking, although almost wholly dependent on</w:t>
      </w:r>
      <w:r w:rsidR="003A1917">
        <w:rPr>
          <w:kern w:val="0"/>
        </w:rPr>
        <w:t xml:space="preserve"> the </w:t>
      </w:r>
      <w:r>
        <w:rPr>
          <w:kern w:val="0"/>
        </w:rPr>
        <w:t>English language. Pointers for further research are suggested.</w:t>
      </w:r>
    </w:p>
    <w:p w:rsidR="000867C4" w:rsidRDefault="000867C4" w:rsidP="000867C4">
      <w:pPr>
        <w:pStyle w:val="a3"/>
        <w:rPr>
          <w:kern w:val="0"/>
        </w:rPr>
      </w:pPr>
      <w:r>
        <w:rPr>
          <w:kern w:val="0"/>
        </w:rPr>
        <w:t>Keywords: Citation, Citation Analysis, Citations, Journals, Research, Self-Citations, Social Work, Social-Work</w:t>
      </w:r>
    </w:p>
    <w:p w:rsidR="005243C5" w:rsidRPr="001A3D2B" w:rsidRDefault="005243C5" w:rsidP="005243C5">
      <w:pPr>
        <w:pStyle w:val="a3"/>
      </w:pPr>
      <w:r w:rsidRPr="001A3D2B">
        <w:t xml:space="preserve">Rowlands, I. (2002), Journal diffusion factors: A new approach to measuring research influence. </w:t>
      </w:r>
      <w:r w:rsidRPr="001A3D2B">
        <w:rPr>
          <w:i/>
          <w:iCs/>
        </w:rPr>
        <w:t>Aslib Proceedings</w:t>
      </w:r>
      <w:r w:rsidRPr="001A3D2B">
        <w:t xml:space="preserve">, </w:t>
      </w:r>
      <w:r w:rsidRPr="001A3D2B">
        <w:rPr>
          <w:b/>
        </w:rPr>
        <w:t>54</w:t>
      </w:r>
      <w:r w:rsidRPr="001A3D2B">
        <w:rPr>
          <w:bCs/>
        </w:rPr>
        <w:t xml:space="preserve"> (2)</w:t>
      </w:r>
      <w:r w:rsidRPr="001A3D2B">
        <w:t>, 77-84.</w:t>
      </w:r>
    </w:p>
    <w:p w:rsidR="005243C5" w:rsidRPr="001A3D2B" w:rsidRDefault="005243C5" w:rsidP="005243C5">
      <w:pPr>
        <w:pStyle w:val="a3"/>
      </w:pPr>
      <w:r w:rsidRPr="001A3D2B">
        <w:t xml:space="preserve">Full Text: </w:t>
      </w:r>
      <w:hyperlink r:id="rId1316" w:history="1">
        <w:r w:rsidRPr="001A3D2B">
          <w:rPr>
            <w:rStyle w:val="a5"/>
          </w:rPr>
          <w:t>2002\Asl Pro54, 77.pdf</w:t>
        </w:r>
      </w:hyperlink>
    </w:p>
    <w:p w:rsidR="003474F2" w:rsidRPr="001A3D2B" w:rsidRDefault="003474F2" w:rsidP="003474F2">
      <w:pPr>
        <w:pStyle w:val="a3"/>
      </w:pPr>
      <w:r w:rsidRPr="001A3D2B">
        <w:t>Abstract: This paper introduces a new bibliometric tool,</w:t>
      </w:r>
      <w:r w:rsidR="003A1917">
        <w:t xml:space="preserve"> the </w:t>
      </w:r>
      <w:r w:rsidRPr="001A3D2B">
        <w:t>journal diffusion factor. An argument is presented that</w:t>
      </w:r>
      <w:r w:rsidR="003A1917">
        <w:t xml:space="preserve"> the </w:t>
      </w:r>
      <w:r w:rsidRPr="001A3D2B">
        <w:t>bibliometric indicators commonly used to measure</w:t>
      </w:r>
      <w:r w:rsidR="003A1917">
        <w:t xml:space="preserve"> the </w:t>
      </w:r>
      <w:r w:rsidRPr="001A3D2B">
        <w:t>quality</w:t>
      </w:r>
      <w:r w:rsidR="00427468">
        <w:t xml:space="preserve"> of </w:t>
      </w:r>
      <w:r w:rsidRPr="001A3D2B">
        <w:t>research (journal impact factor, immediacy index</w:t>
      </w:r>
      <w:r w:rsidR="005853A9">
        <w:t xml:space="preserve"> and </w:t>
      </w:r>
      <w:r w:rsidRPr="001A3D2B">
        <w:t>cited half-life) offer little insight into</w:t>
      </w:r>
      <w:r w:rsidR="003A1917">
        <w:t xml:space="preserve"> the </w:t>
      </w:r>
      <w:r w:rsidRPr="001A3D2B">
        <w:t>transdisciplinary reception (thus</w:t>
      </w:r>
      <w:r w:rsidR="003A1917">
        <w:t xml:space="preserve"> the </w:t>
      </w:r>
      <w:r w:rsidRPr="001A3D2B">
        <w:t>wider influence)</w:t>
      </w:r>
      <w:r w:rsidR="00427468">
        <w:t xml:space="preserve"> of </w:t>
      </w:r>
      <w:r w:rsidRPr="001A3D2B">
        <w:t>journals</w:t>
      </w:r>
      <w:r w:rsidR="00A37C1D">
        <w:t>. The</w:t>
      </w:r>
      <w:r w:rsidR="003A1917">
        <w:t xml:space="preserve"> </w:t>
      </w:r>
      <w:r w:rsidRPr="001A3D2B">
        <w:t>journal diffusion factor describes a neglected dynamic</w:t>
      </w:r>
      <w:r w:rsidR="00427468">
        <w:t xml:space="preserve"> of </w:t>
      </w:r>
      <w:r w:rsidRPr="001A3D2B">
        <w:t>citation reception</w:t>
      </w:r>
      <w:r w:rsidR="005853A9">
        <w:t xml:space="preserve"> and </w:t>
      </w:r>
      <w:r w:rsidRPr="001A3D2B">
        <w:t>is intended as a complementary partial indicator for research evaluation purposes, to be read alongside existing well-established indicators.</w:t>
      </w:r>
    </w:p>
    <w:p w:rsidR="003474F2" w:rsidRPr="001A3D2B" w:rsidRDefault="003474F2" w:rsidP="003474F2">
      <w:pPr>
        <w:pStyle w:val="a3"/>
      </w:pPr>
      <w:r w:rsidRPr="001A3D2B">
        <w:t>Keywords: Citation, Evaluation, Impact Factors, Journal Publishing, Journals, Libraries, Measurement, Research</w:t>
      </w:r>
    </w:p>
    <w:p w:rsidR="003474F2" w:rsidRPr="001A3D2B" w:rsidRDefault="003474F2" w:rsidP="003474F2">
      <w:pPr>
        <w:pStyle w:val="a3"/>
      </w:pPr>
      <w:r w:rsidRPr="001A3D2B">
        <w:t>Mabe, M.A.</w:t>
      </w:r>
      <w:r w:rsidR="005853A9">
        <w:t xml:space="preserve"> and </w:t>
      </w:r>
      <w:r w:rsidRPr="001A3D2B">
        <w:t>Amin, M. (2002), Dr Jekyll</w:t>
      </w:r>
      <w:r w:rsidR="005853A9">
        <w:t xml:space="preserve"> and </w:t>
      </w:r>
      <w:r w:rsidRPr="001A3D2B">
        <w:t xml:space="preserve">Dr Hyde: author-reader asymmetries in scholarly publishing. </w:t>
      </w:r>
      <w:r w:rsidRPr="001A3D2B">
        <w:rPr>
          <w:i/>
          <w:iCs/>
        </w:rPr>
        <w:t>Aslib Proceedings</w:t>
      </w:r>
      <w:r w:rsidRPr="001A3D2B">
        <w:t xml:space="preserve">, </w:t>
      </w:r>
      <w:r w:rsidRPr="001A3D2B">
        <w:rPr>
          <w:b/>
        </w:rPr>
        <w:t>54</w:t>
      </w:r>
      <w:r w:rsidRPr="001A3D2B">
        <w:rPr>
          <w:bCs/>
        </w:rPr>
        <w:t xml:space="preserve"> (3)</w:t>
      </w:r>
      <w:r w:rsidRPr="001A3D2B">
        <w:t>, 149-157.</w:t>
      </w:r>
    </w:p>
    <w:p w:rsidR="003474F2" w:rsidRPr="001A3D2B" w:rsidRDefault="003474F2" w:rsidP="003474F2">
      <w:pPr>
        <w:pStyle w:val="a3"/>
      </w:pPr>
      <w:r w:rsidRPr="001A3D2B">
        <w:t xml:space="preserve">Full Text: </w:t>
      </w:r>
      <w:hyperlink r:id="rId1317" w:history="1">
        <w:r w:rsidR="005243C5" w:rsidRPr="001A3D2B">
          <w:rPr>
            <w:rStyle w:val="a5"/>
          </w:rPr>
          <w:t>2002\Asl Pro54, 149.pdf</w:t>
        </w:r>
      </w:hyperlink>
    </w:p>
    <w:p w:rsidR="003474F2" w:rsidRPr="001A3D2B" w:rsidRDefault="003474F2" w:rsidP="003474F2">
      <w:pPr>
        <w:pStyle w:val="a3"/>
      </w:pPr>
      <w:r w:rsidRPr="001A3D2B">
        <w:t>Abstract:</w:t>
      </w:r>
      <w:r w:rsidR="003A1917">
        <w:t xml:space="preserve"> the </w:t>
      </w:r>
      <w:r w:rsidRPr="001A3D2B">
        <w:t>fundamental asymmetries</w:t>
      </w:r>
      <w:r w:rsidR="00427468">
        <w:t xml:space="preserve"> of </w:t>
      </w:r>
      <w:r w:rsidR="003A1917">
        <w:t xml:space="preserve">the </w:t>
      </w:r>
      <w:r w:rsidRPr="001A3D2B">
        <w:t>journal system are reviewed</w:t>
      </w:r>
      <w:r w:rsidR="005853A9">
        <w:t xml:space="preserve"> and </w:t>
      </w:r>
      <w:r w:rsidRPr="001A3D2B">
        <w:t>an examination is made</w:t>
      </w:r>
      <w:r w:rsidR="00427468">
        <w:t xml:space="preserve"> of </w:t>
      </w:r>
      <w:r w:rsidR="003A1917">
        <w:t xml:space="preserve">the </w:t>
      </w:r>
      <w:r w:rsidRPr="001A3D2B">
        <w:t>differences between author</w:t>
      </w:r>
      <w:r w:rsidR="005853A9">
        <w:t xml:space="preserve"> and </w:t>
      </w:r>
      <w:r w:rsidRPr="001A3D2B">
        <w:t>reader behaviour at both a quantitative</w:t>
      </w:r>
      <w:r w:rsidR="005853A9">
        <w:t xml:space="preserve"> and </w:t>
      </w:r>
      <w:r w:rsidRPr="001A3D2B">
        <w:t>a qualitative level. Author productivity</w:t>
      </w:r>
      <w:r w:rsidR="005853A9">
        <w:t xml:space="preserve"> and </w:t>
      </w:r>
      <w:r w:rsidRPr="001A3D2B">
        <w:t xml:space="preserve">so-called </w:t>
      </w:r>
      <w:r w:rsidR="00700038">
        <w:t>‘</w:t>
      </w:r>
      <w:r w:rsidR="00C13DDC">
        <w:t>s</w:t>
      </w:r>
      <w:r w:rsidRPr="001A3D2B">
        <w:t>alami-style</w:t>
      </w:r>
      <w:r w:rsidR="00700038">
        <w:t>’</w:t>
      </w:r>
      <w:r w:rsidRPr="001A3D2B">
        <w:t xml:space="preserve"> publishing practices are examined. An estimate</w:t>
      </w:r>
      <w:r w:rsidR="00427468">
        <w:t xml:space="preserve"> of </w:t>
      </w:r>
      <w:r w:rsidRPr="001A3D2B">
        <w:t xml:space="preserve">global author numbers is made. </w:t>
      </w:r>
      <w:r w:rsidRPr="001A3D2B">
        <w:lastRenderedPageBreak/>
        <w:t>Reader</w:t>
      </w:r>
      <w:r w:rsidR="005853A9">
        <w:t xml:space="preserve"> and </w:t>
      </w:r>
      <w:r w:rsidRPr="001A3D2B">
        <w:t>readership studies combined with bibliometric analysis allow</w:t>
      </w:r>
      <w:r w:rsidR="003A1917">
        <w:t xml:space="preserve"> the </w:t>
      </w:r>
      <w:r w:rsidRPr="001A3D2B">
        <w:t>proposal</w:t>
      </w:r>
      <w:r w:rsidR="00427468">
        <w:t xml:space="preserve"> of </w:t>
      </w:r>
      <w:r w:rsidRPr="001A3D2B">
        <w:t>a means</w:t>
      </w:r>
      <w:r w:rsidR="00427468">
        <w:t xml:space="preserve"> of </w:t>
      </w:r>
      <w:r w:rsidRPr="001A3D2B">
        <w:t>estimating reading rates</w:t>
      </w:r>
      <w:r w:rsidR="00427468">
        <w:t xml:space="preserve"> of </w:t>
      </w:r>
      <w:r w:rsidRPr="001A3D2B">
        <w:t>journals.</w:t>
      </w:r>
    </w:p>
    <w:p w:rsidR="003474F2" w:rsidRPr="001A3D2B" w:rsidRDefault="003474F2" w:rsidP="003474F2">
      <w:pPr>
        <w:pStyle w:val="a3"/>
      </w:pPr>
      <w:r w:rsidRPr="001A3D2B">
        <w:t>Keywords: Academic Staff, Bibliometric Analysis, Journal Publishing, Journals</w:t>
      </w:r>
    </w:p>
    <w:p w:rsidR="003474F2" w:rsidRPr="001A3D2B" w:rsidRDefault="003474F2" w:rsidP="003474F2">
      <w:pPr>
        <w:pStyle w:val="a3"/>
      </w:pPr>
      <w:r w:rsidRPr="001A3D2B">
        <w:t>Lewison, G. (2003), Beyond outputs: New measures</w:t>
      </w:r>
      <w:r w:rsidR="00427468">
        <w:t xml:space="preserve"> of </w:t>
      </w:r>
      <w:r w:rsidRPr="001A3D2B">
        <w:t xml:space="preserve">biomedical research impact. </w:t>
      </w:r>
      <w:r w:rsidRPr="001A3D2B">
        <w:rPr>
          <w:i/>
          <w:iCs/>
        </w:rPr>
        <w:t>Aslib Proceedings</w:t>
      </w:r>
      <w:r w:rsidRPr="001A3D2B">
        <w:t xml:space="preserve">, </w:t>
      </w:r>
      <w:r w:rsidRPr="001A3D2B">
        <w:rPr>
          <w:b/>
        </w:rPr>
        <w:t>55</w:t>
      </w:r>
      <w:r w:rsidRPr="001A3D2B">
        <w:rPr>
          <w:bCs/>
        </w:rPr>
        <w:t xml:space="preserve"> (1)</w:t>
      </w:r>
      <w:r w:rsidRPr="001A3D2B">
        <w:t>, 32-42.</w:t>
      </w:r>
    </w:p>
    <w:p w:rsidR="003474F2" w:rsidRPr="001A3D2B" w:rsidRDefault="003474F2" w:rsidP="003474F2">
      <w:pPr>
        <w:pStyle w:val="a3"/>
      </w:pPr>
      <w:r w:rsidRPr="001A3D2B">
        <w:t xml:space="preserve">Full Text: </w:t>
      </w:r>
      <w:hyperlink r:id="rId1318" w:history="1">
        <w:r w:rsidR="005243C5" w:rsidRPr="001A3D2B">
          <w:rPr>
            <w:rStyle w:val="a5"/>
          </w:rPr>
          <w:t>2003\Asl Pro55, 32.pdf</w:t>
        </w:r>
      </w:hyperlink>
    </w:p>
    <w:p w:rsidR="003474F2" w:rsidRPr="001A3D2B" w:rsidRDefault="003474F2" w:rsidP="003474F2">
      <w:pPr>
        <w:pStyle w:val="a3"/>
      </w:pPr>
      <w:r w:rsidRPr="001A3D2B">
        <w:t>Abstract: Biomedical research evaluation has traditionally been based on analysis</w:t>
      </w:r>
      <w:r w:rsidR="00427468">
        <w:t xml:space="preserve"> of </w:t>
      </w:r>
      <w:r w:rsidRPr="001A3D2B">
        <w:t>outputs</w:t>
      </w:r>
      <w:r w:rsidR="005853A9">
        <w:t xml:space="preserve"> and </w:t>
      </w:r>
      <w:r w:rsidRPr="001A3D2B">
        <w:t>their citations by other papers. However we should try to map</w:t>
      </w:r>
      <w:r w:rsidR="003A1917">
        <w:t xml:space="preserve"> the </w:t>
      </w:r>
      <w:r w:rsidRPr="001A3D2B">
        <w:t>routes by which research actually improves patient care</w:t>
      </w:r>
      <w:r w:rsidR="005853A9">
        <w:t xml:space="preserve"> and </w:t>
      </w:r>
      <w:r w:rsidRPr="001A3D2B">
        <w:t>reduces illness,</w:t>
      </w:r>
      <w:r w:rsidR="005853A9">
        <w:t xml:space="preserve"> and </w:t>
      </w:r>
      <w:r w:rsidRPr="001A3D2B">
        <w:t>develop indicators for them. We must allow for</w:t>
      </w:r>
      <w:r w:rsidR="003A1917">
        <w:t xml:space="preserve"> the </w:t>
      </w:r>
      <w:r w:rsidRPr="001A3D2B">
        <w:t>lengthy time-scales involved</w:t>
      </w:r>
      <w:r w:rsidR="005853A9">
        <w:t xml:space="preserve"> and </w:t>
      </w:r>
      <w:r w:rsidR="003A1917">
        <w:t xml:space="preserve">the </w:t>
      </w:r>
      <w:r w:rsidRPr="001A3D2B">
        <w:t>importance</w:t>
      </w:r>
      <w:r w:rsidR="00427468">
        <w:t xml:space="preserve"> of </w:t>
      </w:r>
      <w:r w:rsidRPr="001A3D2B">
        <w:t>researchers being physically close to healthcare professionals, whose practice can be improved through international</w:t>
      </w:r>
      <w:r w:rsidR="005853A9">
        <w:t xml:space="preserve"> and </w:t>
      </w:r>
      <w:r w:rsidRPr="001A3D2B">
        <w:t>governmental regulations</w:t>
      </w:r>
      <w:r w:rsidR="005853A9">
        <w:t xml:space="preserve"> and </w:t>
      </w:r>
      <w:r w:rsidRPr="001A3D2B">
        <w:t>through approved guidelines. Each</w:t>
      </w:r>
      <w:r w:rsidR="00427468">
        <w:t xml:space="preserve"> of </w:t>
      </w:r>
      <w:r w:rsidRPr="001A3D2B">
        <w:t>these will depend on a body</w:t>
      </w:r>
      <w:r w:rsidR="00427468">
        <w:t xml:space="preserve"> of </w:t>
      </w:r>
      <w:r w:rsidRPr="001A3D2B">
        <w:t>research evidence. We must also evaluate</w:t>
      </w:r>
      <w:r w:rsidR="003A1917">
        <w:t xml:space="preserve"> the </w:t>
      </w:r>
      <w:r w:rsidRPr="001A3D2B">
        <w:t>effects</w:t>
      </w:r>
      <w:r w:rsidR="00427468">
        <w:t xml:space="preserve"> of </w:t>
      </w:r>
      <w:r w:rsidRPr="001A3D2B">
        <w:t>research on policy makers</w:t>
      </w:r>
      <w:r w:rsidR="005853A9">
        <w:t xml:space="preserve"> and </w:t>
      </w:r>
      <w:r w:rsidR="003A1917">
        <w:t xml:space="preserve">the </w:t>
      </w:r>
      <w:r w:rsidRPr="001A3D2B">
        <w:t>public, who often learn about it through</w:t>
      </w:r>
      <w:r w:rsidR="003A1917">
        <w:t xml:space="preserve"> the </w:t>
      </w:r>
      <w:r w:rsidRPr="001A3D2B">
        <w:t>World Wide Web</w:t>
      </w:r>
      <w:r w:rsidR="005853A9">
        <w:t xml:space="preserve"> and </w:t>
      </w:r>
      <w:r w:rsidRPr="001A3D2B">
        <w:t>through</w:t>
      </w:r>
      <w:r w:rsidR="003A1917">
        <w:t xml:space="preserve"> the </w:t>
      </w:r>
      <w:r w:rsidRPr="001A3D2B">
        <w:t>mass media, particularly news papers</w:t>
      </w:r>
      <w:r w:rsidR="00A37C1D">
        <w:t>. The</w:t>
      </w:r>
      <w:r w:rsidR="003A1917">
        <w:t xml:space="preserve"> </w:t>
      </w:r>
      <w:r w:rsidRPr="001A3D2B">
        <w:t>latter provide a major bibliometric resource but one that needs to be tapped in individual countries using common standards in order to provide internationally-comparable indicators.</w:t>
      </w:r>
    </w:p>
    <w:p w:rsidR="003474F2" w:rsidRPr="001A3D2B" w:rsidRDefault="003474F2" w:rsidP="003474F2">
      <w:pPr>
        <w:pStyle w:val="a3"/>
      </w:pPr>
      <w:r w:rsidRPr="001A3D2B">
        <w:t>Keywords: Information Science, Mass Media, Research, International Standards</w:t>
      </w:r>
    </w:p>
    <w:p w:rsidR="00B2573F" w:rsidRPr="001A3D2B" w:rsidRDefault="00B2573F" w:rsidP="00B2573F">
      <w:pPr>
        <w:pStyle w:val="a3"/>
        <w:rPr>
          <w:kern w:val="0"/>
          <w:szCs w:val="24"/>
        </w:rPr>
      </w:pPr>
      <w:r w:rsidRPr="001A3D2B">
        <w:rPr>
          <w:kern w:val="0"/>
          <w:szCs w:val="24"/>
        </w:rPr>
        <w:t>? Rowlands, I. (2003), Knowledge production, consumption</w:t>
      </w:r>
      <w:r w:rsidR="005853A9">
        <w:rPr>
          <w:kern w:val="0"/>
          <w:szCs w:val="24"/>
        </w:rPr>
        <w:t xml:space="preserve"> and </w:t>
      </w:r>
      <w:r w:rsidRPr="001A3D2B">
        <w:rPr>
          <w:kern w:val="0"/>
          <w:szCs w:val="24"/>
        </w:rPr>
        <w:t xml:space="preserve">impact: </w:t>
      </w:r>
      <w:r w:rsidR="00782AE8" w:rsidRPr="001A3D2B">
        <w:rPr>
          <w:kern w:val="0"/>
          <w:szCs w:val="24"/>
        </w:rPr>
        <w:t xml:space="preserve">Policy </w:t>
      </w:r>
      <w:r w:rsidRPr="001A3D2B">
        <w:rPr>
          <w:kern w:val="0"/>
          <w:szCs w:val="24"/>
        </w:rPr>
        <w:t xml:space="preserve">indicators for a changing world. </w:t>
      </w:r>
      <w:r w:rsidRPr="001A3D2B">
        <w:rPr>
          <w:i/>
          <w:iCs/>
          <w:kern w:val="0"/>
          <w:szCs w:val="24"/>
        </w:rPr>
        <w:t>Aslib Proceedings</w:t>
      </w:r>
      <w:r w:rsidRPr="001A3D2B">
        <w:rPr>
          <w:kern w:val="0"/>
          <w:szCs w:val="24"/>
        </w:rPr>
        <w:t xml:space="preserve">, </w:t>
      </w:r>
      <w:r w:rsidRPr="001A3D2B">
        <w:rPr>
          <w:b/>
          <w:bCs/>
          <w:kern w:val="0"/>
          <w:szCs w:val="24"/>
        </w:rPr>
        <w:t>55</w:t>
      </w:r>
      <w:r w:rsidR="005243C5" w:rsidRPr="001A3D2B">
        <w:rPr>
          <w:kern w:val="0"/>
          <w:szCs w:val="24"/>
        </w:rPr>
        <w:t xml:space="preserve"> (1</w:t>
      </w:r>
      <w:r w:rsidRPr="001A3D2B">
        <w:rPr>
          <w:kern w:val="0"/>
          <w:szCs w:val="24"/>
        </w:rPr>
        <w:t>), 5-12.</w:t>
      </w:r>
    </w:p>
    <w:p w:rsidR="00782AE8" w:rsidRPr="001A3D2B" w:rsidRDefault="00782AE8" w:rsidP="00782AE8">
      <w:pPr>
        <w:pStyle w:val="a3"/>
      </w:pPr>
      <w:r w:rsidRPr="001A3D2B">
        <w:t xml:space="preserve">Full Text: </w:t>
      </w:r>
      <w:hyperlink r:id="rId1319" w:history="1">
        <w:r w:rsidR="005243C5" w:rsidRPr="001A3D2B">
          <w:rPr>
            <w:rStyle w:val="a5"/>
          </w:rPr>
          <w:t>2003\Asl Pro55, 5.pdf</w:t>
        </w:r>
      </w:hyperlink>
    </w:p>
    <w:p w:rsidR="00B2573F" w:rsidRPr="001A3D2B" w:rsidRDefault="00B2573F" w:rsidP="00B2573F">
      <w:pPr>
        <w:pStyle w:val="a3"/>
        <w:rPr>
          <w:kern w:val="0"/>
          <w:szCs w:val="24"/>
        </w:rPr>
      </w:pPr>
      <w:r w:rsidRPr="001A3D2B">
        <w:rPr>
          <w:kern w:val="0"/>
          <w:szCs w:val="24"/>
        </w:rPr>
        <w:t>Abstract: This paper provides a high-level overview</w:t>
      </w:r>
      <w:r w:rsidR="00427468">
        <w:rPr>
          <w:kern w:val="0"/>
          <w:szCs w:val="24"/>
        </w:rPr>
        <w:t xml:space="preserve"> of </w:t>
      </w:r>
      <w:r w:rsidRPr="001A3D2B">
        <w:rPr>
          <w:kern w:val="0"/>
          <w:szCs w:val="24"/>
        </w:rPr>
        <w:t>some</w:t>
      </w:r>
      <w:r w:rsidR="00427468">
        <w:rPr>
          <w:kern w:val="0"/>
          <w:szCs w:val="24"/>
        </w:rPr>
        <w:t xml:space="preserve"> of </w:t>
      </w:r>
      <w:r w:rsidR="003A1917">
        <w:rPr>
          <w:kern w:val="0"/>
          <w:szCs w:val="24"/>
        </w:rPr>
        <w:t xml:space="preserve">the </w:t>
      </w:r>
      <w:r w:rsidRPr="001A3D2B">
        <w:rPr>
          <w:kern w:val="0"/>
          <w:szCs w:val="24"/>
        </w:rPr>
        <w:t>main research themes</w:t>
      </w:r>
      <w:r w:rsidR="005853A9">
        <w:rPr>
          <w:kern w:val="0"/>
          <w:szCs w:val="24"/>
        </w:rPr>
        <w:t xml:space="preserve"> and </w:t>
      </w:r>
      <w:r w:rsidRPr="001A3D2B">
        <w:rPr>
          <w:kern w:val="0"/>
          <w:szCs w:val="24"/>
        </w:rPr>
        <w:t>preoccupations that are reported in this special ciber issue</w:t>
      </w:r>
      <w:r w:rsidR="00427468">
        <w:rPr>
          <w:kern w:val="0"/>
          <w:szCs w:val="24"/>
        </w:rPr>
        <w:t xml:space="preserve"> of </w:t>
      </w:r>
      <w:r w:rsidRPr="001A3D2B">
        <w:rPr>
          <w:kern w:val="0"/>
          <w:szCs w:val="24"/>
        </w:rPr>
        <w:t>Aslib Proceedings: New Information Perspectives</w:t>
      </w:r>
      <w:r w:rsidR="00A37C1D">
        <w:rPr>
          <w:kern w:val="0"/>
          <w:szCs w:val="24"/>
        </w:rPr>
        <w:t>. The</w:t>
      </w:r>
      <w:r w:rsidR="003A1917">
        <w:rPr>
          <w:kern w:val="0"/>
          <w:szCs w:val="24"/>
        </w:rPr>
        <w:t xml:space="preserve"> </w:t>
      </w:r>
      <w:r w:rsidRPr="001A3D2B">
        <w:rPr>
          <w:kern w:val="0"/>
          <w:szCs w:val="24"/>
        </w:rPr>
        <w:t>research activities</w:t>
      </w:r>
      <w:r w:rsidR="00427468">
        <w:rPr>
          <w:kern w:val="0"/>
          <w:szCs w:val="24"/>
        </w:rPr>
        <w:t xml:space="preserve"> of </w:t>
      </w:r>
      <w:r w:rsidRPr="001A3D2B">
        <w:rPr>
          <w:kern w:val="0"/>
          <w:szCs w:val="24"/>
        </w:rPr>
        <w:t>ciber are drawn together in</w:t>
      </w:r>
      <w:r w:rsidR="003A1917">
        <w:rPr>
          <w:kern w:val="0"/>
          <w:szCs w:val="24"/>
        </w:rPr>
        <w:t xml:space="preserve"> the </w:t>
      </w:r>
      <w:r w:rsidRPr="001A3D2B">
        <w:rPr>
          <w:kern w:val="0"/>
          <w:szCs w:val="24"/>
        </w:rPr>
        <w:t>quest for a better understanding</w:t>
      </w:r>
      <w:r w:rsidR="00427468">
        <w:rPr>
          <w:kern w:val="0"/>
          <w:szCs w:val="24"/>
        </w:rPr>
        <w:t xml:space="preserve"> of </w:t>
      </w:r>
      <w:r w:rsidR="003A1917">
        <w:rPr>
          <w:kern w:val="0"/>
          <w:szCs w:val="24"/>
        </w:rPr>
        <w:t xml:space="preserve">the </w:t>
      </w:r>
      <w:r w:rsidRPr="001A3D2B">
        <w:rPr>
          <w:kern w:val="0"/>
          <w:szCs w:val="24"/>
        </w:rPr>
        <w:t>policy implications</w:t>
      </w:r>
      <w:r w:rsidR="00427468">
        <w:rPr>
          <w:kern w:val="0"/>
          <w:szCs w:val="24"/>
        </w:rPr>
        <w:t xml:space="preserve"> of </w:t>
      </w:r>
      <w:r w:rsidRPr="001A3D2B">
        <w:rPr>
          <w:kern w:val="0"/>
          <w:szCs w:val="24"/>
        </w:rPr>
        <w:t>large-scale knowledge production systems against</w:t>
      </w:r>
      <w:r w:rsidR="003A1917">
        <w:rPr>
          <w:kern w:val="0"/>
          <w:szCs w:val="24"/>
        </w:rPr>
        <w:t xml:space="preserve"> the </w:t>
      </w:r>
      <w:r w:rsidRPr="001A3D2B">
        <w:rPr>
          <w:kern w:val="0"/>
          <w:szCs w:val="24"/>
        </w:rPr>
        <w:t>backdrop</w:t>
      </w:r>
      <w:r w:rsidR="00427468">
        <w:rPr>
          <w:kern w:val="0"/>
          <w:szCs w:val="24"/>
        </w:rPr>
        <w:t xml:space="preserve"> of </w:t>
      </w:r>
      <w:r w:rsidRPr="001A3D2B">
        <w:rPr>
          <w:kern w:val="0"/>
          <w:szCs w:val="24"/>
        </w:rPr>
        <w:t>profound technical change, uncertainty over business models,</w:t>
      </w:r>
      <w:r w:rsidR="005853A9">
        <w:rPr>
          <w:kern w:val="0"/>
          <w:szCs w:val="24"/>
        </w:rPr>
        <w:t xml:space="preserve"> and </w:t>
      </w:r>
      <w:r w:rsidRPr="001A3D2B">
        <w:rPr>
          <w:kern w:val="0"/>
          <w:szCs w:val="24"/>
        </w:rPr>
        <w:t>new forms</w:t>
      </w:r>
      <w:r w:rsidR="00427468">
        <w:rPr>
          <w:kern w:val="0"/>
          <w:szCs w:val="24"/>
        </w:rPr>
        <w:t xml:space="preserve"> of </w:t>
      </w:r>
      <w:r w:rsidRPr="001A3D2B">
        <w:rPr>
          <w:kern w:val="0"/>
          <w:szCs w:val="24"/>
        </w:rPr>
        <w:t>consumer behaviour</w:t>
      </w:r>
      <w:r w:rsidR="00A37C1D">
        <w:rPr>
          <w:kern w:val="0"/>
          <w:szCs w:val="24"/>
        </w:rPr>
        <w:t>. The</w:t>
      </w:r>
      <w:r w:rsidR="003A1917">
        <w:rPr>
          <w:kern w:val="0"/>
          <w:szCs w:val="24"/>
        </w:rPr>
        <w:t xml:space="preserve"> </w:t>
      </w:r>
      <w:r w:rsidRPr="001A3D2B">
        <w:rPr>
          <w:kern w:val="0"/>
          <w:szCs w:val="24"/>
        </w:rPr>
        <w:t>paper presents a series</w:t>
      </w:r>
      <w:r w:rsidR="00427468">
        <w:rPr>
          <w:kern w:val="0"/>
          <w:szCs w:val="24"/>
        </w:rPr>
        <w:t xml:space="preserve"> of </w:t>
      </w:r>
      <w:r w:rsidRPr="001A3D2B">
        <w:rPr>
          <w:kern w:val="0"/>
          <w:szCs w:val="24"/>
        </w:rPr>
        <w:t>conceptual frameworks that aim to contextualise ciber</w:t>
      </w:r>
      <w:r w:rsidR="00700038">
        <w:rPr>
          <w:kern w:val="0"/>
          <w:szCs w:val="24"/>
        </w:rPr>
        <w:t>’</w:t>
      </w:r>
      <w:r w:rsidR="00C13DDC">
        <w:rPr>
          <w:kern w:val="0"/>
          <w:szCs w:val="24"/>
        </w:rPr>
        <w:t>s</w:t>
      </w:r>
      <w:r w:rsidRPr="001A3D2B">
        <w:rPr>
          <w:kern w:val="0"/>
          <w:szCs w:val="24"/>
        </w:rPr>
        <w:t xml:space="preserve"> work in bibliometrics, cybermetrics, research evaluation, scholarly communication, user studies, publishing strategies</w:t>
      </w:r>
      <w:r w:rsidR="005853A9">
        <w:rPr>
          <w:kern w:val="0"/>
          <w:szCs w:val="24"/>
        </w:rPr>
        <w:t xml:space="preserve"> and </w:t>
      </w:r>
      <w:r w:rsidRPr="001A3D2B">
        <w:rPr>
          <w:kern w:val="0"/>
          <w:szCs w:val="24"/>
        </w:rPr>
        <w:t>policy analysis</w:t>
      </w:r>
      <w:r w:rsidR="00A37C1D">
        <w:rPr>
          <w:kern w:val="0"/>
          <w:szCs w:val="24"/>
        </w:rPr>
        <w:t>. The</w:t>
      </w:r>
      <w:r w:rsidR="003A1917">
        <w:rPr>
          <w:kern w:val="0"/>
          <w:szCs w:val="24"/>
        </w:rPr>
        <w:t xml:space="preserve"> </w:t>
      </w:r>
      <w:r w:rsidRPr="001A3D2B">
        <w:rPr>
          <w:kern w:val="0"/>
          <w:szCs w:val="24"/>
        </w:rPr>
        <w:t>transparency that metrics can bring to</w:t>
      </w:r>
      <w:r w:rsidR="003A1917">
        <w:rPr>
          <w:kern w:val="0"/>
          <w:szCs w:val="24"/>
        </w:rPr>
        <w:t xml:space="preserve"> the </w:t>
      </w:r>
      <w:r w:rsidRPr="001A3D2B">
        <w:rPr>
          <w:kern w:val="0"/>
          <w:szCs w:val="24"/>
        </w:rPr>
        <w:t>evaluation debate</w:t>
      </w:r>
      <w:r w:rsidR="005853A9">
        <w:rPr>
          <w:kern w:val="0"/>
          <w:szCs w:val="24"/>
        </w:rPr>
        <w:t xml:space="preserve"> and </w:t>
      </w:r>
      <w:r w:rsidR="003A1917">
        <w:rPr>
          <w:kern w:val="0"/>
          <w:szCs w:val="24"/>
        </w:rPr>
        <w:t xml:space="preserve">the </w:t>
      </w:r>
      <w:r w:rsidRPr="001A3D2B">
        <w:rPr>
          <w:kern w:val="0"/>
          <w:szCs w:val="24"/>
        </w:rPr>
        <w:t>pivotal role</w:t>
      </w:r>
      <w:r w:rsidR="00427468">
        <w:rPr>
          <w:kern w:val="0"/>
          <w:szCs w:val="24"/>
        </w:rPr>
        <w:t xml:space="preserve"> of </w:t>
      </w:r>
      <w:r w:rsidRPr="001A3D2B">
        <w:rPr>
          <w:kern w:val="0"/>
          <w:szCs w:val="24"/>
        </w:rPr>
        <w:t>human information behaviour in determining those metrics, are discussed.</w:t>
      </w:r>
    </w:p>
    <w:p w:rsidR="00B2573F" w:rsidRPr="001A3D2B" w:rsidRDefault="00B2573F" w:rsidP="00B2573F">
      <w:pPr>
        <w:pStyle w:val="a3"/>
        <w:rPr>
          <w:kern w:val="0"/>
          <w:szCs w:val="24"/>
        </w:rPr>
      </w:pPr>
      <w:r w:rsidRPr="001A3D2B">
        <w:rPr>
          <w:kern w:val="0"/>
          <w:szCs w:val="24"/>
        </w:rPr>
        <w:t>Keywords: Bibliometrics, Evaluation, Impact, Indicators, Information Management, Knowledge, Knowledge Processes, Publishing, Research, Research Evaluation, User Studies</w:t>
      </w:r>
    </w:p>
    <w:p w:rsidR="00B2573F" w:rsidRPr="001A3D2B" w:rsidRDefault="00B2573F" w:rsidP="00B2573F">
      <w:pPr>
        <w:pStyle w:val="a3"/>
        <w:rPr>
          <w:kern w:val="0"/>
          <w:szCs w:val="24"/>
        </w:rPr>
      </w:pPr>
      <w:r w:rsidRPr="001A3D2B">
        <w:rPr>
          <w:kern w:val="0"/>
          <w:szCs w:val="24"/>
        </w:rPr>
        <w:t xml:space="preserve">? Lewison, G. (2003), Beyond outputs: </w:t>
      </w:r>
      <w:r w:rsidR="00782AE8" w:rsidRPr="001A3D2B">
        <w:rPr>
          <w:kern w:val="0"/>
          <w:szCs w:val="24"/>
        </w:rPr>
        <w:t xml:space="preserve">New </w:t>
      </w:r>
      <w:r w:rsidRPr="001A3D2B">
        <w:rPr>
          <w:kern w:val="0"/>
          <w:szCs w:val="24"/>
        </w:rPr>
        <w:t>measures</w:t>
      </w:r>
      <w:r w:rsidR="00427468">
        <w:rPr>
          <w:kern w:val="0"/>
          <w:szCs w:val="24"/>
        </w:rPr>
        <w:t xml:space="preserve"> of </w:t>
      </w:r>
      <w:r w:rsidRPr="001A3D2B">
        <w:rPr>
          <w:kern w:val="0"/>
          <w:szCs w:val="24"/>
        </w:rPr>
        <w:t xml:space="preserve">biomedical research impact. </w:t>
      </w:r>
      <w:r w:rsidRPr="001A3D2B">
        <w:rPr>
          <w:i/>
          <w:iCs/>
          <w:kern w:val="0"/>
          <w:szCs w:val="24"/>
        </w:rPr>
        <w:t>Aslib Proceedings</w:t>
      </w:r>
      <w:r w:rsidRPr="001A3D2B">
        <w:rPr>
          <w:kern w:val="0"/>
          <w:szCs w:val="24"/>
        </w:rPr>
        <w:t xml:space="preserve">, </w:t>
      </w:r>
      <w:r w:rsidRPr="001A3D2B">
        <w:rPr>
          <w:b/>
          <w:bCs/>
          <w:kern w:val="0"/>
          <w:szCs w:val="24"/>
        </w:rPr>
        <w:t>55</w:t>
      </w:r>
      <w:r w:rsidR="005243C5" w:rsidRPr="001A3D2B">
        <w:rPr>
          <w:kern w:val="0"/>
          <w:szCs w:val="24"/>
        </w:rPr>
        <w:t xml:space="preserve"> (1</w:t>
      </w:r>
      <w:r w:rsidRPr="001A3D2B">
        <w:rPr>
          <w:kern w:val="0"/>
          <w:szCs w:val="24"/>
        </w:rPr>
        <w:t>), 32-42.</w:t>
      </w:r>
    </w:p>
    <w:p w:rsidR="00782AE8" w:rsidRPr="001A3D2B" w:rsidRDefault="00782AE8" w:rsidP="00782AE8">
      <w:pPr>
        <w:pStyle w:val="a3"/>
      </w:pPr>
      <w:r w:rsidRPr="001A3D2B">
        <w:t xml:space="preserve">Full Text: </w:t>
      </w:r>
      <w:hyperlink r:id="rId1320" w:history="1">
        <w:r w:rsidR="005243C5" w:rsidRPr="001A3D2B">
          <w:rPr>
            <w:rStyle w:val="a5"/>
          </w:rPr>
          <w:t>2003\Asl Pro55, 32.pdf</w:t>
        </w:r>
      </w:hyperlink>
    </w:p>
    <w:p w:rsidR="00B2573F" w:rsidRPr="001A3D2B" w:rsidRDefault="00B2573F" w:rsidP="00B2573F">
      <w:pPr>
        <w:pStyle w:val="a3"/>
        <w:rPr>
          <w:kern w:val="0"/>
          <w:szCs w:val="24"/>
        </w:rPr>
      </w:pPr>
      <w:r w:rsidRPr="001A3D2B">
        <w:rPr>
          <w:kern w:val="0"/>
          <w:szCs w:val="24"/>
        </w:rPr>
        <w:lastRenderedPageBreak/>
        <w:t>Abstract: Biomedical research evaluation has traditionally been based on analysis</w:t>
      </w:r>
      <w:r w:rsidR="00427468">
        <w:rPr>
          <w:kern w:val="0"/>
          <w:szCs w:val="24"/>
        </w:rPr>
        <w:t xml:space="preserve"> of </w:t>
      </w:r>
      <w:r w:rsidRPr="001A3D2B">
        <w:rPr>
          <w:kern w:val="0"/>
          <w:szCs w:val="24"/>
        </w:rPr>
        <w:t>outputs</w:t>
      </w:r>
      <w:r w:rsidR="005853A9">
        <w:rPr>
          <w:kern w:val="0"/>
          <w:szCs w:val="24"/>
        </w:rPr>
        <w:t xml:space="preserve"> and </w:t>
      </w:r>
      <w:r w:rsidRPr="001A3D2B">
        <w:rPr>
          <w:kern w:val="0"/>
          <w:szCs w:val="24"/>
        </w:rPr>
        <w:t>their citations by other papers. However we should try to map</w:t>
      </w:r>
      <w:r w:rsidR="003A1917">
        <w:rPr>
          <w:kern w:val="0"/>
          <w:szCs w:val="24"/>
        </w:rPr>
        <w:t xml:space="preserve"> the </w:t>
      </w:r>
      <w:r w:rsidRPr="001A3D2B">
        <w:rPr>
          <w:kern w:val="0"/>
          <w:szCs w:val="24"/>
        </w:rPr>
        <w:t>routes by which research actually improves patient care</w:t>
      </w:r>
      <w:r w:rsidR="005853A9">
        <w:rPr>
          <w:kern w:val="0"/>
          <w:szCs w:val="24"/>
        </w:rPr>
        <w:t xml:space="preserve"> and </w:t>
      </w:r>
      <w:r w:rsidRPr="001A3D2B">
        <w:rPr>
          <w:kern w:val="0"/>
          <w:szCs w:val="24"/>
        </w:rPr>
        <w:t>reduces illness,</w:t>
      </w:r>
      <w:r w:rsidR="005853A9">
        <w:rPr>
          <w:kern w:val="0"/>
          <w:szCs w:val="24"/>
        </w:rPr>
        <w:t xml:space="preserve"> and </w:t>
      </w:r>
      <w:r w:rsidRPr="001A3D2B">
        <w:rPr>
          <w:kern w:val="0"/>
          <w:szCs w:val="24"/>
        </w:rPr>
        <w:t>develop indicators for them. We must allow for</w:t>
      </w:r>
      <w:r w:rsidR="003A1917">
        <w:rPr>
          <w:kern w:val="0"/>
          <w:szCs w:val="24"/>
        </w:rPr>
        <w:t xml:space="preserve"> the </w:t>
      </w:r>
      <w:r w:rsidRPr="001A3D2B">
        <w:rPr>
          <w:kern w:val="0"/>
          <w:szCs w:val="24"/>
        </w:rPr>
        <w:t>lengthy time-scales involved</w:t>
      </w:r>
      <w:r w:rsidR="005853A9">
        <w:rPr>
          <w:kern w:val="0"/>
          <w:szCs w:val="24"/>
        </w:rPr>
        <w:t xml:space="preserve"> and </w:t>
      </w:r>
      <w:r w:rsidR="003A1917">
        <w:rPr>
          <w:kern w:val="0"/>
          <w:szCs w:val="24"/>
        </w:rPr>
        <w:t xml:space="preserve">the </w:t>
      </w:r>
      <w:r w:rsidRPr="001A3D2B">
        <w:rPr>
          <w:kern w:val="0"/>
          <w:szCs w:val="24"/>
        </w:rPr>
        <w:t>importance</w:t>
      </w:r>
      <w:r w:rsidR="00427468">
        <w:rPr>
          <w:kern w:val="0"/>
          <w:szCs w:val="24"/>
        </w:rPr>
        <w:t xml:space="preserve"> of </w:t>
      </w:r>
      <w:r w:rsidRPr="001A3D2B">
        <w:rPr>
          <w:kern w:val="0"/>
          <w:szCs w:val="24"/>
        </w:rPr>
        <w:t>researchers being physically close to healthcare professionals, whose practice can be improved through international</w:t>
      </w:r>
      <w:r w:rsidR="005853A9">
        <w:rPr>
          <w:kern w:val="0"/>
          <w:szCs w:val="24"/>
        </w:rPr>
        <w:t xml:space="preserve"> and </w:t>
      </w:r>
      <w:r w:rsidRPr="001A3D2B">
        <w:rPr>
          <w:kern w:val="0"/>
          <w:szCs w:val="24"/>
        </w:rPr>
        <w:t>governmental regulations</w:t>
      </w:r>
      <w:r w:rsidR="005853A9">
        <w:rPr>
          <w:kern w:val="0"/>
          <w:szCs w:val="24"/>
        </w:rPr>
        <w:t xml:space="preserve"> and </w:t>
      </w:r>
      <w:r w:rsidRPr="001A3D2B">
        <w:rPr>
          <w:kern w:val="0"/>
          <w:szCs w:val="24"/>
        </w:rPr>
        <w:t>through approved guidelines. Each</w:t>
      </w:r>
      <w:r w:rsidR="00427468">
        <w:rPr>
          <w:kern w:val="0"/>
          <w:szCs w:val="24"/>
        </w:rPr>
        <w:t xml:space="preserve"> of </w:t>
      </w:r>
      <w:r w:rsidRPr="001A3D2B">
        <w:rPr>
          <w:kern w:val="0"/>
          <w:szCs w:val="24"/>
        </w:rPr>
        <w:t>these will depend on a body</w:t>
      </w:r>
      <w:r w:rsidR="00427468">
        <w:rPr>
          <w:kern w:val="0"/>
          <w:szCs w:val="24"/>
        </w:rPr>
        <w:t xml:space="preserve"> of </w:t>
      </w:r>
      <w:r w:rsidRPr="001A3D2B">
        <w:rPr>
          <w:kern w:val="0"/>
          <w:szCs w:val="24"/>
        </w:rPr>
        <w:t>research evidence. We must also evaluate</w:t>
      </w:r>
      <w:r w:rsidR="003A1917">
        <w:rPr>
          <w:kern w:val="0"/>
          <w:szCs w:val="24"/>
        </w:rPr>
        <w:t xml:space="preserve"> the </w:t>
      </w:r>
      <w:r w:rsidRPr="001A3D2B">
        <w:rPr>
          <w:kern w:val="0"/>
          <w:szCs w:val="24"/>
        </w:rPr>
        <w:t>effects</w:t>
      </w:r>
      <w:r w:rsidR="00427468">
        <w:rPr>
          <w:kern w:val="0"/>
          <w:szCs w:val="24"/>
        </w:rPr>
        <w:t xml:space="preserve"> of </w:t>
      </w:r>
      <w:r w:rsidRPr="001A3D2B">
        <w:rPr>
          <w:kern w:val="0"/>
          <w:szCs w:val="24"/>
        </w:rPr>
        <w:t>research on policy makers</w:t>
      </w:r>
      <w:r w:rsidR="005853A9">
        <w:rPr>
          <w:kern w:val="0"/>
          <w:szCs w:val="24"/>
        </w:rPr>
        <w:t xml:space="preserve"> and </w:t>
      </w:r>
      <w:r w:rsidR="003A1917">
        <w:rPr>
          <w:kern w:val="0"/>
          <w:szCs w:val="24"/>
        </w:rPr>
        <w:t xml:space="preserve">the </w:t>
      </w:r>
      <w:r w:rsidRPr="001A3D2B">
        <w:rPr>
          <w:kern w:val="0"/>
          <w:szCs w:val="24"/>
        </w:rPr>
        <w:t>public, who often learn about it through</w:t>
      </w:r>
      <w:r w:rsidR="003A1917">
        <w:rPr>
          <w:kern w:val="0"/>
          <w:szCs w:val="24"/>
        </w:rPr>
        <w:t xml:space="preserve"> the </w:t>
      </w:r>
      <w:r w:rsidRPr="001A3D2B">
        <w:rPr>
          <w:kern w:val="0"/>
          <w:szCs w:val="24"/>
        </w:rPr>
        <w:t>World Wide Web</w:t>
      </w:r>
      <w:r w:rsidR="005853A9">
        <w:rPr>
          <w:kern w:val="0"/>
          <w:szCs w:val="24"/>
        </w:rPr>
        <w:t xml:space="preserve"> and </w:t>
      </w:r>
      <w:r w:rsidRPr="001A3D2B">
        <w:rPr>
          <w:kern w:val="0"/>
          <w:szCs w:val="24"/>
        </w:rPr>
        <w:t>through</w:t>
      </w:r>
      <w:r w:rsidR="003A1917">
        <w:rPr>
          <w:kern w:val="0"/>
          <w:szCs w:val="24"/>
        </w:rPr>
        <w:t xml:space="preserve"> the </w:t>
      </w:r>
      <w:r w:rsidRPr="001A3D2B">
        <w:rPr>
          <w:kern w:val="0"/>
          <w:szCs w:val="24"/>
        </w:rPr>
        <w:t>mass media, particularly newspapers</w:t>
      </w:r>
      <w:r w:rsidR="00A37C1D">
        <w:rPr>
          <w:kern w:val="0"/>
          <w:szCs w:val="24"/>
        </w:rPr>
        <w:t>. The</w:t>
      </w:r>
      <w:r w:rsidR="003A1917">
        <w:rPr>
          <w:kern w:val="0"/>
          <w:szCs w:val="24"/>
        </w:rPr>
        <w:t xml:space="preserve"> </w:t>
      </w:r>
      <w:r w:rsidRPr="001A3D2B">
        <w:rPr>
          <w:kern w:val="0"/>
          <w:szCs w:val="24"/>
        </w:rPr>
        <w:t>latter provide a major bibliometric resource but one that needs to be tapped in individual countries using common standards in order to provide internationally-comparable indicators.</w:t>
      </w:r>
    </w:p>
    <w:p w:rsidR="00B2573F" w:rsidRPr="001A3D2B" w:rsidRDefault="00B2573F" w:rsidP="00B2573F">
      <w:pPr>
        <w:pStyle w:val="a3"/>
        <w:rPr>
          <w:kern w:val="0"/>
          <w:szCs w:val="24"/>
        </w:rPr>
      </w:pPr>
      <w:r w:rsidRPr="001A3D2B">
        <w:rPr>
          <w:kern w:val="0"/>
          <w:szCs w:val="24"/>
        </w:rPr>
        <w:t>Keywords: Bibliometric, Biomedical Research, Citation Ranking, Citations, Countries, Evaluation, Health, Impact, Indicators, Information Science, International Standards, Journals, Mass Media, MMR Vaccine, Papers, Publication, Research, Research Evaluation, Standards, United-States</w:t>
      </w:r>
    </w:p>
    <w:p w:rsidR="0071755F" w:rsidRPr="001A3D2B" w:rsidRDefault="0071755F" w:rsidP="0071755F">
      <w:pPr>
        <w:pStyle w:val="a3"/>
        <w:rPr>
          <w:kern w:val="0"/>
        </w:rPr>
      </w:pPr>
      <w:r w:rsidRPr="001A3D2B">
        <w:rPr>
          <w:kern w:val="0"/>
        </w:rPr>
        <w:t>Lewison, G. (2003</w:t>
      </w:r>
      <w:r w:rsidR="00F42EAC">
        <w:rPr>
          <w:kern w:val="0"/>
        </w:rPr>
        <w:t>), The</w:t>
      </w:r>
      <w:r w:rsidR="003A1917">
        <w:rPr>
          <w:kern w:val="0"/>
        </w:rPr>
        <w:t xml:space="preserve"> </w:t>
      </w:r>
      <w:r w:rsidRPr="001A3D2B">
        <w:rPr>
          <w:kern w:val="0"/>
        </w:rPr>
        <w:t>publication</w:t>
      </w:r>
      <w:r w:rsidR="00427468">
        <w:rPr>
          <w:kern w:val="0"/>
        </w:rPr>
        <w:t xml:space="preserve"> of </w:t>
      </w:r>
      <w:r w:rsidRPr="001A3D2B">
        <w:rPr>
          <w:kern w:val="0"/>
        </w:rPr>
        <w:t xml:space="preserve">cancer research papers in high impact journals. </w:t>
      </w:r>
      <w:r w:rsidRPr="001A3D2B">
        <w:rPr>
          <w:i/>
          <w:iCs/>
        </w:rPr>
        <w:t>Aslib Proceedings</w:t>
      </w:r>
      <w:r w:rsidRPr="001A3D2B">
        <w:rPr>
          <w:kern w:val="0"/>
        </w:rPr>
        <w:t xml:space="preserve">, </w:t>
      </w:r>
      <w:r w:rsidRPr="001A3D2B">
        <w:rPr>
          <w:b/>
          <w:bCs/>
          <w:kern w:val="0"/>
        </w:rPr>
        <w:t>55</w:t>
      </w:r>
      <w:r w:rsidRPr="001A3D2B">
        <w:rPr>
          <w:kern w:val="0"/>
        </w:rPr>
        <w:t xml:space="preserve"> (5-6), 379-387.</w:t>
      </w:r>
    </w:p>
    <w:p w:rsidR="0071755F" w:rsidRPr="001A3D2B" w:rsidRDefault="0071755F" w:rsidP="0071755F">
      <w:pPr>
        <w:pStyle w:val="a3"/>
      </w:pPr>
      <w:r w:rsidRPr="001A3D2B">
        <w:t xml:space="preserve">Full Text: </w:t>
      </w:r>
      <w:hyperlink r:id="rId1321" w:history="1">
        <w:r w:rsidRPr="001A3D2B">
          <w:rPr>
            <w:rStyle w:val="a5"/>
          </w:rPr>
          <w:t>2003\Asl Pro55, 379.pdf</w:t>
        </w:r>
      </w:hyperlink>
    </w:p>
    <w:p w:rsidR="003474F2" w:rsidRPr="001A3D2B" w:rsidRDefault="003474F2" w:rsidP="003474F2">
      <w:pPr>
        <w:pStyle w:val="a3"/>
      </w:pPr>
      <w:r w:rsidRPr="001A3D2B">
        <w:t>Abstract: Examines a set</w:t>
      </w:r>
      <w:r w:rsidR="00427468">
        <w:t xml:space="preserve"> of </w:t>
      </w:r>
      <w:r w:rsidRPr="001A3D2B">
        <w:t xml:space="preserve">over 27,000 </w:t>
      </w:r>
      <w:smartTag w:uri="urn:schemas-microsoft-com:office:smarttags" w:element="place">
        <w:smartTag w:uri="urn:schemas-microsoft-com:office:smarttags" w:element="country-region">
          <w:r w:rsidRPr="001A3D2B">
            <w:t>UK</w:t>
          </w:r>
        </w:smartTag>
      </w:smartTag>
      <w:r w:rsidRPr="001A3D2B">
        <w:t xml:space="preserve"> papers in cancer research in order to identify</w:t>
      </w:r>
      <w:r w:rsidR="003A1917">
        <w:t xml:space="preserve"> the </w:t>
      </w:r>
      <w:r w:rsidRPr="001A3D2B">
        <w:t>individual factors that influence</w:t>
      </w:r>
      <w:r w:rsidR="003A1917">
        <w:t xml:space="preserve"> the </w:t>
      </w:r>
      <w:r w:rsidRPr="001A3D2B">
        <w:t>impact category</w:t>
      </w:r>
      <w:r w:rsidR="00427468">
        <w:t xml:space="preserve"> of </w:t>
      </w:r>
      <w:r w:rsidR="003A1917">
        <w:t xml:space="preserve">the </w:t>
      </w:r>
      <w:r w:rsidRPr="001A3D2B">
        <w:t>journals in which they are published, using multiple regression analysis</w:t>
      </w:r>
      <w:r w:rsidR="00A37C1D">
        <w:t>. The</w:t>
      </w:r>
      <w:r w:rsidR="003A1917">
        <w:t xml:space="preserve"> </w:t>
      </w:r>
      <w:r w:rsidRPr="001A3D2B">
        <w:t>most important independent variables that have a positive effect are</w:t>
      </w:r>
      <w:r w:rsidR="003A1917">
        <w:t xml:space="preserve"> the </w:t>
      </w:r>
      <w:r w:rsidRPr="001A3D2B">
        <w:t>numbers</w:t>
      </w:r>
      <w:r w:rsidR="00427468">
        <w:t xml:space="preserve"> of </w:t>
      </w:r>
      <w:r w:rsidRPr="001A3D2B">
        <w:t>authors</w:t>
      </w:r>
      <w:r w:rsidR="005853A9">
        <w:t xml:space="preserve"> and </w:t>
      </w:r>
      <w:r w:rsidRPr="001A3D2B">
        <w:t>funding bodies,</w:t>
      </w:r>
      <w:r w:rsidR="003A1917">
        <w:t xml:space="preserve"> the </w:t>
      </w:r>
      <w:r w:rsidRPr="001A3D2B">
        <w:t>research level (from clinical to basic),</w:t>
      </w:r>
      <w:r w:rsidR="005853A9">
        <w:t xml:space="preserve"> and </w:t>
      </w:r>
      <w:r w:rsidR="003A1917">
        <w:t xml:space="preserve">the </w:t>
      </w:r>
      <w:r w:rsidRPr="001A3D2B">
        <w:t>presence</w:t>
      </w:r>
      <w:r w:rsidR="00427468">
        <w:t xml:space="preserve"> of </w:t>
      </w:r>
      <w:r w:rsidRPr="001A3D2B">
        <w:t>certain universities, or</w:t>
      </w:r>
      <w:r w:rsidR="00427468">
        <w:t xml:space="preserve"> of </w:t>
      </w:r>
      <w:r w:rsidR="003A1917">
        <w:t xml:space="preserve">the </w:t>
      </w:r>
      <w:r w:rsidR="00D5664A">
        <w:t>USA</w:t>
      </w:r>
      <w:r w:rsidRPr="001A3D2B">
        <w:t>, in</w:t>
      </w:r>
      <w:r w:rsidR="003A1917">
        <w:t xml:space="preserve"> the </w:t>
      </w:r>
      <w:r w:rsidRPr="001A3D2B">
        <w:t>address field. Inter-lab co-operation was shown to have a negative effect on journal impact category, as was international co-authorship. It is because such partnerships usually involve more authors</w:t>
      </w:r>
      <w:r w:rsidR="005853A9">
        <w:t xml:space="preserve"> and </w:t>
      </w:r>
      <w:r w:rsidRPr="001A3D2B">
        <w:t>funding for</w:t>
      </w:r>
      <w:r w:rsidR="003A1917">
        <w:t xml:space="preserve"> the </w:t>
      </w:r>
      <w:r w:rsidRPr="001A3D2B">
        <w:t>research that they are perceived to lead to higher impact work</w:t>
      </w:r>
      <w:r w:rsidR="00A37C1D">
        <w:t>. The</w:t>
      </w:r>
      <w:r w:rsidRPr="001A3D2B">
        <w:t>re is also a tendency for papers to be published in higher impact journals in later years, probably because</w:t>
      </w:r>
      <w:r w:rsidR="00427468">
        <w:t xml:space="preserve"> of </w:t>
      </w:r>
      <w:r w:rsidRPr="001A3D2B">
        <w:t>market forces, which means that such journals will tend to expand.</w:t>
      </w:r>
    </w:p>
    <w:p w:rsidR="003474F2" w:rsidRPr="001A3D2B" w:rsidRDefault="003474F2" w:rsidP="003474F2">
      <w:pPr>
        <w:pStyle w:val="a3"/>
      </w:pPr>
      <w:r w:rsidRPr="001A3D2B">
        <w:t xml:space="preserve">Keywords: Cancer, </w:t>
      </w:r>
      <w:smartTag w:uri="urn:schemas-microsoft-com:office:smarttags" w:element="place">
        <w:r w:rsidRPr="001A3D2B">
          <w:t>Europe</w:t>
        </w:r>
      </w:smartTag>
      <w:r w:rsidRPr="001A3D2B">
        <w:t>, Funding Sources, Institute, Journals, Literature, Research, Science, United-Kingdom</w:t>
      </w:r>
    </w:p>
    <w:p w:rsidR="003474F2" w:rsidRPr="001A3D2B" w:rsidRDefault="003474F2" w:rsidP="003474F2">
      <w:pPr>
        <w:pStyle w:val="a3"/>
      </w:pPr>
      <w:r w:rsidRPr="001A3D2B">
        <w:t>? Rowlands, I. (2005), Emerald authorship data, Lotka</w:t>
      </w:r>
      <w:r w:rsidR="00700038">
        <w:t>’</w:t>
      </w:r>
      <w:r w:rsidR="00C13DDC">
        <w:t>s</w:t>
      </w:r>
      <w:r w:rsidRPr="001A3D2B">
        <w:t xml:space="preserve"> law</w:t>
      </w:r>
      <w:r w:rsidR="005853A9">
        <w:t xml:space="preserve"> and </w:t>
      </w:r>
      <w:r w:rsidRPr="001A3D2B">
        <w:t xml:space="preserve">research productivity. </w:t>
      </w:r>
      <w:r w:rsidRPr="001A3D2B">
        <w:rPr>
          <w:i/>
          <w:iCs/>
        </w:rPr>
        <w:t>Aslib Proceedings</w:t>
      </w:r>
      <w:r w:rsidRPr="001A3D2B">
        <w:t xml:space="preserve">, </w:t>
      </w:r>
      <w:r w:rsidRPr="001A3D2B">
        <w:rPr>
          <w:b/>
          <w:bCs/>
        </w:rPr>
        <w:t>57</w:t>
      </w:r>
      <w:r w:rsidRPr="001A3D2B">
        <w:t xml:space="preserve"> (1), 5-10.</w:t>
      </w:r>
    </w:p>
    <w:p w:rsidR="003474F2" w:rsidRPr="001A3D2B" w:rsidRDefault="003474F2" w:rsidP="003474F2">
      <w:pPr>
        <w:pStyle w:val="a3"/>
      </w:pPr>
      <w:r w:rsidRPr="001A3D2B">
        <w:t xml:space="preserve">Full Text: </w:t>
      </w:r>
      <w:hyperlink r:id="rId1322" w:history="1">
        <w:r w:rsidR="0071755F" w:rsidRPr="001A3D2B">
          <w:rPr>
            <w:rStyle w:val="a5"/>
          </w:rPr>
          <w:t>2005\Asl Pro57, 5.pdf</w:t>
        </w:r>
      </w:hyperlink>
    </w:p>
    <w:p w:rsidR="003474F2" w:rsidRPr="001A3D2B" w:rsidRDefault="003474F2" w:rsidP="003474F2">
      <w:pPr>
        <w:pStyle w:val="a3"/>
      </w:pPr>
      <w:r w:rsidRPr="001A3D2B">
        <w:t>Abstract: Purpose - This paper offers a practical insight into</w:t>
      </w:r>
      <w:r w:rsidR="003A1917">
        <w:t xml:space="preserve"> the </w:t>
      </w:r>
      <w:r w:rsidRPr="001A3D2B">
        <w:t>application</w:t>
      </w:r>
      <w:r w:rsidR="00427468">
        <w:t xml:space="preserve"> of </w:t>
      </w:r>
      <w:r w:rsidRPr="001A3D2B">
        <w:t>Lotka</w:t>
      </w:r>
      <w:r w:rsidR="00700038">
        <w:t>’</w:t>
      </w:r>
      <w:r w:rsidR="00C13DDC">
        <w:t>s</w:t>
      </w:r>
      <w:r w:rsidRPr="001A3D2B">
        <w:t xml:space="preserve"> law</w:t>
      </w:r>
      <w:r w:rsidR="00427468">
        <w:t xml:space="preserve"> of </w:t>
      </w:r>
      <w:r w:rsidRPr="001A3D2B">
        <w:t>author productivity to</w:t>
      </w:r>
      <w:r w:rsidR="003A1917">
        <w:t xml:space="preserve"> the </w:t>
      </w:r>
      <w:r w:rsidRPr="001A3D2B">
        <w:t>question</w:t>
      </w:r>
      <w:r w:rsidR="00427468">
        <w:t xml:space="preserve"> of </w:t>
      </w:r>
      <w:r w:rsidRPr="001A3D2B">
        <w:t>how likely it is that an author will return to a particular publisher (rather than make another contribution to a subject literature, which is its usual application)</w:t>
      </w:r>
      <w:r w:rsidR="00A37C1D">
        <w:t>. The</w:t>
      </w:r>
      <w:r w:rsidR="003A1917">
        <w:t xml:space="preserve"> </w:t>
      </w:r>
      <w:r w:rsidRPr="001A3D2B">
        <w:t>question</w:t>
      </w:r>
      <w:r w:rsidR="00427468">
        <w:t xml:space="preserve"> of </w:t>
      </w:r>
      <w:r w:rsidRPr="001A3D2B">
        <w:t xml:space="preserve">author loyalty, especially repeat visits, </w:t>
      </w:r>
      <w:r w:rsidRPr="001A3D2B">
        <w:lastRenderedPageBreak/>
        <w:t>is one which is</w:t>
      </w:r>
      <w:r w:rsidR="00427468">
        <w:t xml:space="preserve"> of </w:t>
      </w:r>
      <w:r w:rsidRPr="001A3D2B">
        <w:t>great interest to publishers. Design/methodology/approach - This paper shows, possibly for</w:t>
      </w:r>
      <w:r w:rsidR="003A1917">
        <w:t xml:space="preserve"> the </w:t>
      </w:r>
      <w:r w:rsidRPr="001A3D2B">
        <w:t>first time, that</w:t>
      </w:r>
      <w:r w:rsidR="003A1917">
        <w:t xml:space="preserve"> the </w:t>
      </w:r>
      <w:r w:rsidRPr="001A3D2B">
        <w:t>author productivity distribution predicted by Lotka</w:t>
      </w:r>
      <w:r w:rsidR="00700038">
        <w:t>’</w:t>
      </w:r>
      <w:r w:rsidR="00C13DDC">
        <w:t>s</w:t>
      </w:r>
      <w:r w:rsidRPr="001A3D2B">
        <w:t xml:space="preserve"> law for subject literatures also holds for publisher aggregates, in this case, all Emerald authors. Findings -</w:t>
      </w:r>
      <w:r w:rsidR="003A1917">
        <w:t xml:space="preserve"> the </w:t>
      </w:r>
      <w:r w:rsidRPr="001A3D2B">
        <w:t>ideas presented here are speculative</w:t>
      </w:r>
      <w:r w:rsidR="005853A9">
        <w:t xml:space="preserve"> and </w:t>
      </w:r>
      <w:r w:rsidRPr="001A3D2B">
        <w:t>programmatic: they raise questions</w:t>
      </w:r>
      <w:r w:rsidR="005853A9">
        <w:t xml:space="preserve"> and </w:t>
      </w:r>
      <w:r w:rsidRPr="001A3D2B">
        <w:t>provide a robust intellectual framework for further research into</w:t>
      </w:r>
      <w:r w:rsidR="003A1917">
        <w:t xml:space="preserve"> the </w:t>
      </w:r>
      <w:r w:rsidRPr="001A3D2B">
        <w:t>determinants</w:t>
      </w:r>
      <w:r w:rsidR="00427468">
        <w:t xml:space="preserve"> of </w:t>
      </w:r>
      <w:r w:rsidRPr="001A3D2B">
        <w:t>author loyalty, as seen from</w:t>
      </w:r>
      <w:r w:rsidR="003A1917">
        <w:t xml:space="preserve"> the </w:t>
      </w:r>
      <w:r w:rsidRPr="001A3D2B">
        <w:t>publisher side. Practical implications -</w:t>
      </w:r>
      <w:r w:rsidR="003A1917">
        <w:t xml:space="preserve"> the </w:t>
      </w:r>
      <w:r w:rsidRPr="001A3D2B">
        <w:t>implications for commissioning editors</w:t>
      </w:r>
      <w:r w:rsidR="005853A9">
        <w:t xml:space="preserve"> and </w:t>
      </w:r>
      <w:r w:rsidRPr="001A3D2B">
        <w:t>marketing departments in journal publishing houses are that repeat visiting authors are indeed scarce commodities, not necessarily because</w:t>
      </w:r>
      <w:r w:rsidR="00427468">
        <w:t xml:space="preserve"> of </w:t>
      </w:r>
      <w:r w:rsidRPr="001A3D2B">
        <w:t>barriers put in their way by publishers, but because research production is very asymmetrically skewed in favour</w:t>
      </w:r>
      <w:r w:rsidR="00427468">
        <w:t xml:space="preserve"> of </w:t>
      </w:r>
      <w:r w:rsidRPr="001A3D2B">
        <w:t>a small productive elite. Originality/value - By analysing survey data it should be possible, within very broad parameters, to identify clusters</w:t>
      </w:r>
      <w:r w:rsidR="00427468">
        <w:t xml:space="preserve"> of </w:t>
      </w:r>
      <w:r w:rsidRPr="001A3D2B">
        <w:t>say high, medium</w:t>
      </w:r>
      <w:r w:rsidR="005853A9">
        <w:t xml:space="preserve"> and </w:t>
      </w:r>
      <w:r w:rsidRPr="001A3D2B">
        <w:t xml:space="preserve">low research activity authors. This would provide insight into potential </w:t>
      </w:r>
      <w:r w:rsidR="00700038">
        <w:t>‘</w:t>
      </w:r>
      <w:r w:rsidRPr="001A3D2B">
        <w:t>hot spots</w:t>
      </w:r>
      <w:r w:rsidR="00700038">
        <w:t>’</w:t>
      </w:r>
      <w:r w:rsidR="00427468">
        <w:t xml:space="preserve"> of </w:t>
      </w:r>
      <w:r w:rsidRPr="001A3D2B">
        <w:t>future publishing intent and, in</w:t>
      </w:r>
      <w:r w:rsidR="003A1917">
        <w:t xml:space="preserve"> the </w:t>
      </w:r>
      <w:r w:rsidRPr="001A3D2B">
        <w:t>case</w:t>
      </w:r>
      <w:r w:rsidR="00427468">
        <w:t xml:space="preserve"> of </w:t>
      </w:r>
      <w:r w:rsidRPr="001A3D2B">
        <w:t>dense</w:t>
      </w:r>
      <w:r w:rsidR="005853A9">
        <w:t xml:space="preserve"> and </w:t>
      </w:r>
      <w:r w:rsidRPr="001A3D2B">
        <w:t>overworked research areas, early warning as to when to start looking elsewhere for future articles.</w:t>
      </w:r>
    </w:p>
    <w:p w:rsidR="003474F2" w:rsidRPr="001A3D2B" w:rsidRDefault="003474F2" w:rsidP="003474F2">
      <w:pPr>
        <w:pStyle w:val="a3"/>
      </w:pPr>
      <w:r w:rsidRPr="001A3D2B">
        <w:t>Keywords: Activity, Aggregates, Authorship, Barriers, Brand Loyalty, Clusters, Distribution, Journal, Law, Lotka</w:t>
      </w:r>
      <w:r w:rsidR="00700038">
        <w:t>’</w:t>
      </w:r>
      <w:r w:rsidR="00C13DDC">
        <w:t>s</w:t>
      </w:r>
      <w:r w:rsidRPr="001A3D2B">
        <w:t xml:space="preserve"> Law, Low, Paper, Parameters, Production, Productivity, Publishing, Research, Research Productivity, Research Results, Survey</w:t>
      </w:r>
    </w:p>
    <w:p w:rsidR="003474F2" w:rsidRPr="001A3D2B" w:rsidRDefault="003474F2" w:rsidP="003474F2">
      <w:pPr>
        <w:pStyle w:val="a3"/>
      </w:pPr>
      <w:r w:rsidRPr="001A3D2B">
        <w:rPr>
          <w:szCs w:val="24"/>
        </w:rPr>
        <w:t>Webster, B.M.</w:t>
      </w:r>
      <w:r w:rsidRPr="001A3D2B">
        <w:t xml:space="preserve"> (2005), </w:t>
      </w:r>
      <w:r w:rsidRPr="001A3D2B">
        <w:rPr>
          <w:szCs w:val="24"/>
        </w:rPr>
        <w:t>International presence</w:t>
      </w:r>
      <w:r w:rsidR="005853A9">
        <w:rPr>
          <w:szCs w:val="24"/>
        </w:rPr>
        <w:t xml:space="preserve"> and </w:t>
      </w:r>
      <w:r w:rsidRPr="001A3D2B">
        <w:rPr>
          <w:szCs w:val="24"/>
        </w:rPr>
        <w:t>impact</w:t>
      </w:r>
      <w:r w:rsidR="00427468">
        <w:rPr>
          <w:szCs w:val="24"/>
        </w:rPr>
        <w:t xml:space="preserve"> of </w:t>
      </w:r>
      <w:r w:rsidR="003A1917">
        <w:rPr>
          <w:szCs w:val="24"/>
        </w:rPr>
        <w:t xml:space="preserve">the </w:t>
      </w:r>
      <w:r w:rsidRPr="001A3D2B">
        <w:rPr>
          <w:szCs w:val="24"/>
        </w:rPr>
        <w:t>UK biomedical research, 1989-2000</w:t>
      </w:r>
      <w:r w:rsidRPr="001A3D2B">
        <w:t xml:space="preserve">. </w:t>
      </w:r>
      <w:r w:rsidRPr="001A3D2B">
        <w:rPr>
          <w:i/>
          <w:iCs/>
        </w:rPr>
        <w:t>Aslib Proceedings</w:t>
      </w:r>
      <w:r w:rsidRPr="001A3D2B">
        <w:t xml:space="preserve">, </w:t>
      </w:r>
      <w:r w:rsidRPr="001A3D2B">
        <w:rPr>
          <w:b/>
          <w:bCs/>
        </w:rPr>
        <w:t>57</w:t>
      </w:r>
      <w:r w:rsidRPr="001A3D2B">
        <w:t xml:space="preserve"> (1), </w:t>
      </w:r>
      <w:r w:rsidRPr="001A3D2B">
        <w:rPr>
          <w:szCs w:val="24"/>
        </w:rPr>
        <w:t>22-47</w:t>
      </w:r>
      <w:r w:rsidRPr="001A3D2B">
        <w:t>.</w:t>
      </w:r>
    </w:p>
    <w:p w:rsidR="003474F2" w:rsidRPr="001A3D2B" w:rsidRDefault="003474F2" w:rsidP="003474F2">
      <w:pPr>
        <w:pStyle w:val="a3"/>
      </w:pPr>
      <w:r w:rsidRPr="001A3D2B">
        <w:t xml:space="preserve">Full Text: </w:t>
      </w:r>
      <w:hyperlink r:id="rId1323" w:history="1">
        <w:r w:rsidR="0071755F" w:rsidRPr="001A3D2B">
          <w:rPr>
            <w:rStyle w:val="a5"/>
          </w:rPr>
          <w:t>2005\Asl Pro57, 22.pdf</w:t>
        </w:r>
      </w:hyperlink>
    </w:p>
    <w:p w:rsidR="003474F2" w:rsidRPr="001A3D2B" w:rsidRDefault="003474F2" w:rsidP="003474F2">
      <w:pPr>
        <w:pStyle w:val="a3"/>
      </w:pPr>
      <w:r w:rsidRPr="001A3D2B">
        <w:t xml:space="preserve">Abstract: Purpose - To map </w:t>
      </w:r>
      <w:smartTag w:uri="urn:schemas-microsoft-com:office:smarttags" w:element="country-region">
        <w:r w:rsidRPr="001A3D2B">
          <w:t>UK</w:t>
        </w:r>
      </w:smartTag>
      <w:r w:rsidRPr="001A3D2B">
        <w:t xml:space="preserve"> biomedical research by analysing biomedical publications from authors with </w:t>
      </w:r>
      <w:smartTag w:uri="urn:schemas-microsoft-com:office:smarttags" w:element="place">
        <w:smartTag w:uri="urn:schemas-microsoft-com:office:smarttags" w:element="country-region">
          <w:r w:rsidRPr="001A3D2B">
            <w:t>UK</w:t>
          </w:r>
        </w:smartTag>
      </w:smartTag>
      <w:r w:rsidRPr="001A3D2B">
        <w:t xml:space="preserve"> institutional affiliation</w:t>
      </w:r>
      <w:r w:rsidR="005853A9">
        <w:t xml:space="preserve"> and </w:t>
      </w:r>
      <w:r w:rsidRPr="001A3D2B">
        <w:t>indexed in Science Citation Index (SCI)</w:t>
      </w:r>
      <w:r w:rsidR="005853A9">
        <w:t xml:space="preserve"> and </w:t>
      </w:r>
      <w:r w:rsidRPr="001A3D2B">
        <w:t>Social Sciences Citation Index (</w:t>
      </w:r>
      <w:r w:rsidR="00D5664A">
        <w:t>SSCI</w:t>
      </w:r>
      <w:r w:rsidRPr="001A3D2B">
        <w:t>). Design, methodology, approach - Bibliometric methods to assess</w:t>
      </w:r>
      <w:r w:rsidR="003A1917">
        <w:t xml:space="preserve"> the </w:t>
      </w:r>
      <w:r w:rsidRPr="001A3D2B">
        <w:t>volume</w:t>
      </w:r>
      <w:r w:rsidR="00427468">
        <w:t xml:space="preserve"> of </w:t>
      </w:r>
      <w:r w:rsidRPr="001A3D2B">
        <w:t>research published, its impact</w:t>
      </w:r>
      <w:r w:rsidR="005853A9">
        <w:t xml:space="preserve"> and </w:t>
      </w:r>
      <w:r w:rsidRPr="001A3D2B">
        <w:t>sources</w:t>
      </w:r>
      <w:r w:rsidR="00427468">
        <w:t xml:space="preserve"> of </w:t>
      </w:r>
      <w:r w:rsidRPr="001A3D2B">
        <w:t>funding</w:t>
      </w:r>
      <w:r w:rsidR="00427468">
        <w:t xml:space="preserve"> of </w:t>
      </w:r>
      <w:r w:rsidRPr="001A3D2B">
        <w:t>biomedical research in</w:t>
      </w:r>
      <w:r w:rsidR="003A1917">
        <w:t xml:space="preserve"> the </w:t>
      </w:r>
      <w:r w:rsidRPr="001A3D2B">
        <w:t>UK are used</w:t>
      </w:r>
      <w:r w:rsidR="00A37C1D">
        <w:t>. The</w:t>
      </w:r>
      <w:r w:rsidR="003A1917">
        <w:t xml:space="preserve"> </w:t>
      </w:r>
      <w:r w:rsidRPr="001A3D2B">
        <w:t>analyses also include an examination</w:t>
      </w:r>
      <w:r w:rsidR="00427468">
        <w:t xml:space="preserve"> of </w:t>
      </w:r>
      <w:r w:rsidRPr="001A3D2B">
        <w:t>national</w:t>
      </w:r>
      <w:r w:rsidR="005853A9">
        <w:t xml:space="preserve"> and </w:t>
      </w:r>
      <w:r w:rsidRPr="001A3D2B">
        <w:t>international collaboration, leading regions</w:t>
      </w:r>
      <w:r w:rsidR="005853A9">
        <w:t xml:space="preserve"> and </w:t>
      </w:r>
      <w:r w:rsidRPr="001A3D2B">
        <w:t>institutions (by volume</w:t>
      </w:r>
      <w:r w:rsidR="00427468">
        <w:t xml:space="preserve"> of </w:t>
      </w:r>
      <w:r w:rsidRPr="001A3D2B">
        <w:t>output), types</w:t>
      </w:r>
      <w:r w:rsidR="00427468">
        <w:t xml:space="preserve"> of </w:t>
      </w:r>
      <w:r w:rsidRPr="001A3D2B">
        <w:t>research carried out</w:t>
      </w:r>
      <w:r w:rsidR="005853A9">
        <w:t xml:space="preserve"> and </w:t>
      </w:r>
      <w:r w:rsidRPr="001A3D2B">
        <w:t>its potential impact factor. This was done for all</w:t>
      </w:r>
      <w:r w:rsidR="00427468">
        <w:t xml:space="preserve"> of </w:t>
      </w:r>
      <w:r w:rsidRPr="001A3D2B">
        <w:t>biomedicine</w:t>
      </w:r>
      <w:r w:rsidR="005853A9">
        <w:t xml:space="preserve"> and </w:t>
      </w:r>
      <w:r w:rsidRPr="001A3D2B">
        <w:t>32 selected sub-fields</w:t>
      </w:r>
      <w:r w:rsidR="00A37C1D">
        <w:t>. The</w:t>
      </w:r>
      <w:r w:rsidR="003A1917">
        <w:t xml:space="preserve"> </w:t>
      </w:r>
      <w:r w:rsidRPr="001A3D2B">
        <w:t>data used span 12 years, allowing changes</w:t>
      </w:r>
      <w:r w:rsidR="005853A9">
        <w:t xml:space="preserve"> and </w:t>
      </w:r>
      <w:r w:rsidRPr="001A3D2B">
        <w:t>developments over time to be tracked. Findings -</w:t>
      </w:r>
      <w:r w:rsidR="003A1917">
        <w:t xml:space="preserve"> the </w:t>
      </w:r>
      <w:r w:rsidRPr="001A3D2B">
        <w:t>UK</w:t>
      </w:r>
      <w:r w:rsidR="00700038">
        <w:t>’</w:t>
      </w:r>
      <w:r w:rsidR="00C13DDC">
        <w:t>s</w:t>
      </w:r>
      <w:r w:rsidRPr="001A3D2B">
        <w:t xml:space="preserve"> position as</w:t>
      </w:r>
      <w:r w:rsidR="003A1917">
        <w:t xml:space="preserve"> the </w:t>
      </w:r>
      <w:r w:rsidRPr="001A3D2B">
        <w:t>second largest producer</w:t>
      </w:r>
      <w:r w:rsidR="00427468">
        <w:t xml:space="preserve"> of </w:t>
      </w:r>
      <w:r w:rsidRPr="001A3D2B">
        <w:t>biomedical research is under threat from Japan</w:t>
      </w:r>
      <w:r w:rsidR="005853A9">
        <w:t xml:space="preserve"> and </w:t>
      </w:r>
      <w:r w:rsidRPr="001A3D2B">
        <w:t>Germany</w:t>
      </w:r>
      <w:r w:rsidR="005853A9">
        <w:t xml:space="preserve"> and </w:t>
      </w:r>
      <w:r w:rsidRPr="001A3D2B">
        <w:t>other countries with traditionally weaker biomedical research base. Strength in malaria</w:t>
      </w:r>
      <w:r w:rsidR="005853A9">
        <w:t xml:space="preserve"> and </w:t>
      </w:r>
      <w:r w:rsidRPr="001A3D2B">
        <w:t>asthma research</w:t>
      </w:r>
      <w:r w:rsidR="005853A9">
        <w:t xml:space="preserve"> and </w:t>
      </w:r>
      <w:r w:rsidRPr="001A3D2B">
        <w:t>relative weakness in surgery</w:t>
      </w:r>
      <w:r w:rsidR="005853A9">
        <w:t xml:space="preserve"> and </w:t>
      </w:r>
      <w:r w:rsidRPr="001A3D2B">
        <w:t>renal medicine is notable</w:t>
      </w:r>
      <w:r w:rsidR="00A37C1D">
        <w:t>. The</w:t>
      </w:r>
      <w:r w:rsidR="003A1917">
        <w:t xml:space="preserve"> </w:t>
      </w:r>
      <w:r w:rsidRPr="001A3D2B">
        <w:t>profile</w:t>
      </w:r>
      <w:r w:rsidR="00427468">
        <w:t xml:space="preserve"> of </w:t>
      </w:r>
      <w:r w:rsidRPr="001A3D2B">
        <w:t>UK biomedical research has changed significantly in</w:t>
      </w:r>
      <w:r w:rsidR="003A1917">
        <w:t xml:space="preserve"> the </w:t>
      </w:r>
      <w:r w:rsidRPr="001A3D2B">
        <w:t>period analysed, with a doubling</w:t>
      </w:r>
      <w:r w:rsidR="00427468">
        <w:t xml:space="preserve"> of </w:t>
      </w:r>
      <w:r w:rsidR="003A1917">
        <w:t xml:space="preserve">the </w:t>
      </w:r>
      <w:r w:rsidRPr="001A3D2B">
        <w:t>level</w:t>
      </w:r>
      <w:r w:rsidR="00427468">
        <w:t xml:space="preserve"> of </w:t>
      </w:r>
      <w:r w:rsidRPr="001A3D2B">
        <w:t>international collaboration, a significant increase in basic research papers</w:t>
      </w:r>
      <w:r w:rsidR="005853A9">
        <w:t xml:space="preserve"> and </w:t>
      </w:r>
      <w:r w:rsidRPr="001A3D2B">
        <w:t>an increase in</w:t>
      </w:r>
      <w:r w:rsidR="003A1917">
        <w:t xml:space="preserve"> the </w:t>
      </w:r>
      <w:r w:rsidRPr="001A3D2B">
        <w:t>potential impact</w:t>
      </w:r>
      <w:r w:rsidR="00427468">
        <w:t xml:space="preserve"> of </w:t>
      </w:r>
      <w:r w:rsidRPr="001A3D2B">
        <w:t>UK publications. A relative decrease</w:t>
      </w:r>
      <w:r w:rsidR="00427468">
        <w:t xml:space="preserve"> of </w:t>
      </w:r>
      <w:r w:rsidRPr="001A3D2B">
        <w:t>acknowledgement</w:t>
      </w:r>
      <w:r w:rsidR="00427468">
        <w:t xml:space="preserve"> of </w:t>
      </w:r>
      <w:r w:rsidRPr="001A3D2B">
        <w:t xml:space="preserve">UK Government funding was noted, as were increased acknowledgements to </w:t>
      </w:r>
      <w:smartTag w:uri="urn:schemas-microsoft-com:office:smarttags" w:element="place">
        <w:smartTag w:uri="urn:schemas-microsoft-com:office:smarttags" w:element="country-region">
          <w:r w:rsidRPr="001A3D2B">
            <w:t>UK</w:t>
          </w:r>
        </w:smartTag>
      </w:smartTag>
      <w:r w:rsidRPr="001A3D2B">
        <w:t xml:space="preserve"> not-for-profit</w:t>
      </w:r>
      <w:r w:rsidR="005853A9">
        <w:t xml:space="preserve"> and </w:t>
      </w:r>
      <w:r w:rsidRPr="001A3D2B">
        <w:lastRenderedPageBreak/>
        <w:t>international organisations. Practical implications - Bibliometric analyses can provide reliable tools in mapping</w:t>
      </w:r>
      <w:r w:rsidR="003A1917">
        <w:t xml:space="preserve"> the </w:t>
      </w:r>
      <w:r w:rsidRPr="001A3D2B">
        <w:t>development</w:t>
      </w:r>
      <w:r w:rsidR="00427468">
        <w:t xml:space="preserve"> of </w:t>
      </w:r>
      <w:r w:rsidRPr="001A3D2B">
        <w:t>scholarly disciplines which can be</w:t>
      </w:r>
      <w:r w:rsidR="00427468">
        <w:t xml:space="preserve"> of </w:t>
      </w:r>
      <w:r w:rsidRPr="001A3D2B">
        <w:t>use, as demonstrated in this paper, in research policy, as well as in domain analysis in information science, library collection development or publishing. Originality, value - Apart from policy applications, bibliometric research</w:t>
      </w:r>
      <w:r w:rsidR="00427468">
        <w:t xml:space="preserve"> of </w:t>
      </w:r>
      <w:r w:rsidRPr="001A3D2B">
        <w:t>this type can provide valuable information about changes in</w:t>
      </w:r>
      <w:r w:rsidR="003A1917">
        <w:t xml:space="preserve"> the </w:t>
      </w:r>
      <w:r w:rsidRPr="001A3D2B">
        <w:t>patterns</w:t>
      </w:r>
      <w:r w:rsidR="00427468">
        <w:t xml:space="preserve"> of </w:t>
      </w:r>
      <w:r w:rsidRPr="001A3D2B">
        <w:t>scholarly communication within a domain (areas</w:t>
      </w:r>
      <w:r w:rsidR="00427468">
        <w:t xml:space="preserve"> of </w:t>
      </w:r>
      <w:r w:rsidRPr="001A3D2B">
        <w:t>interest in sociology</w:t>
      </w:r>
      <w:r w:rsidR="00427468">
        <w:t xml:space="preserve"> of </w:t>
      </w:r>
      <w:r w:rsidRPr="001A3D2B">
        <w:t>science</w:t>
      </w:r>
      <w:r w:rsidR="005853A9">
        <w:t xml:space="preserve"> and </w:t>
      </w:r>
      <w:r w:rsidRPr="001A3D2B">
        <w:t>information science)</w:t>
      </w:r>
      <w:r w:rsidR="005853A9">
        <w:t xml:space="preserve"> and </w:t>
      </w:r>
      <w:r w:rsidRPr="001A3D2B">
        <w:t>inform collection development policies in libraries</w:t>
      </w:r>
      <w:r w:rsidR="005853A9">
        <w:t xml:space="preserve"> and </w:t>
      </w:r>
      <w:r w:rsidRPr="001A3D2B">
        <w:t>information centres (by describing literatures: ageing</w:t>
      </w:r>
      <w:r w:rsidR="005853A9">
        <w:t xml:space="preserve"> and </w:t>
      </w:r>
      <w:r w:rsidRPr="001A3D2B">
        <w:t>obsolescence, volume</w:t>
      </w:r>
      <w:r w:rsidR="005853A9">
        <w:t xml:space="preserve"> and </w:t>
      </w:r>
      <w:r w:rsidRPr="001A3D2B">
        <w:t>impact).</w:t>
      </w:r>
    </w:p>
    <w:p w:rsidR="003474F2" w:rsidRPr="001A3D2B" w:rsidRDefault="003474F2" w:rsidP="003474F2">
      <w:pPr>
        <w:pStyle w:val="a3"/>
      </w:pPr>
      <w:r w:rsidRPr="001A3D2B">
        <w:t>Keywords: Affiliation, Ageing, Analysis, Asthma, Bibliometric, Bibliometric Research, Biomedical, Biomedical Research, Biomedicine, Biotechnology, Changes, Collaboration, Communication, Development, Domain Analysis, Examination, Germany, Impact Factor, Information, Information Science, Institutions, International, Japan, Malaria, Medicine, Methods, Obsolescence, Papers, Policy, Potential, Publications, Publishing, Renal, Research, Research Policy, Research Results, Scholarly Communication</w:t>
      </w:r>
      <w:r w:rsidR="00D5664A">
        <w:t>, SCI,</w:t>
      </w:r>
      <w:r w:rsidRPr="001A3D2B">
        <w:t xml:space="preserve"> Science, Science Citation Index, Sociology, Sociology</w:t>
      </w:r>
      <w:r w:rsidR="00427468">
        <w:t xml:space="preserve"> of </w:t>
      </w:r>
      <w:r w:rsidRPr="001A3D2B">
        <w:t>Science,</w:t>
      </w:r>
      <w:r w:rsidR="008E3069">
        <w:t xml:space="preserve"> </w:t>
      </w:r>
      <w:r w:rsidR="00D5664A">
        <w:t>SSCI</w:t>
      </w:r>
      <w:r w:rsidR="008E3069">
        <w:t>,</w:t>
      </w:r>
      <w:r w:rsidRPr="001A3D2B">
        <w:t xml:space="preserve"> Subfields, Surgery</w:t>
      </w:r>
      <w:r w:rsidR="00D5664A">
        <w:t>, UK,</w:t>
      </w:r>
      <w:r w:rsidRPr="001A3D2B">
        <w:t xml:space="preserve"> United Kingdom</w:t>
      </w:r>
    </w:p>
    <w:p w:rsidR="00E7788D" w:rsidRDefault="00E7788D" w:rsidP="0071755F">
      <w:pPr>
        <w:pStyle w:val="a3"/>
      </w:pPr>
      <w:r>
        <w:rPr>
          <w:rFonts w:hint="eastAsia"/>
        </w:rPr>
        <w:t>Notes: UUniversity</w:t>
      </w:r>
    </w:p>
    <w:p w:rsidR="0071755F" w:rsidRPr="001A3D2B" w:rsidRDefault="0071755F" w:rsidP="0071755F">
      <w:pPr>
        <w:pStyle w:val="a3"/>
      </w:pPr>
      <w:r w:rsidRPr="001A3D2B">
        <w:t>? Lewison, G. (2005), Guest editorial -</w:t>
      </w:r>
      <w:r w:rsidR="003A1917">
        <w:t xml:space="preserve"> the </w:t>
      </w:r>
      <w:r w:rsidRPr="001A3D2B">
        <w:t>work</w:t>
      </w:r>
      <w:r w:rsidR="00427468">
        <w:t xml:space="preserve"> of </w:t>
      </w:r>
      <w:r w:rsidR="003A1917">
        <w:t xml:space="preserve">the </w:t>
      </w:r>
      <w:r w:rsidRPr="001A3D2B">
        <w:t>Bibliometrics Research Group (</w:t>
      </w:r>
      <w:smartTag w:uri="urn:schemas-microsoft-com:office:smarttags" w:element="place">
        <w:smartTag w:uri="urn:schemas-microsoft-com:office:smarttags" w:element="PlaceType">
          <w:r w:rsidRPr="001A3D2B">
            <w:t>City</w:t>
          </w:r>
        </w:smartTag>
        <w:r w:rsidRPr="001A3D2B">
          <w:t xml:space="preserve"> </w:t>
        </w:r>
        <w:smartTag w:uri="urn:schemas-microsoft-com:office:smarttags" w:element="PlaceType">
          <w:r w:rsidRPr="001A3D2B">
            <w:t>University</w:t>
          </w:r>
        </w:smartTag>
      </w:smartTag>
      <w:r w:rsidRPr="001A3D2B">
        <w:t>)</w:t>
      </w:r>
      <w:r w:rsidR="005853A9">
        <w:t xml:space="preserve"> and </w:t>
      </w:r>
      <w:r w:rsidRPr="001A3D2B">
        <w:t xml:space="preserve">associates. </w:t>
      </w:r>
      <w:r w:rsidRPr="001A3D2B">
        <w:rPr>
          <w:i/>
          <w:iCs/>
        </w:rPr>
        <w:t>Aslib Proceedings</w:t>
      </w:r>
      <w:r w:rsidRPr="001A3D2B">
        <w:t xml:space="preserve">, </w:t>
      </w:r>
      <w:r w:rsidRPr="001A3D2B">
        <w:rPr>
          <w:b/>
          <w:bCs/>
          <w:kern w:val="0"/>
        </w:rPr>
        <w:t>57</w:t>
      </w:r>
      <w:r w:rsidRPr="001A3D2B">
        <w:t xml:space="preserve"> (3), 197-199.</w:t>
      </w:r>
    </w:p>
    <w:p w:rsidR="0071755F" w:rsidRPr="001A3D2B" w:rsidRDefault="0071755F" w:rsidP="0071755F">
      <w:pPr>
        <w:pStyle w:val="a3"/>
      </w:pPr>
      <w:r w:rsidRPr="001A3D2B">
        <w:t xml:space="preserve">Full Text: </w:t>
      </w:r>
      <w:hyperlink r:id="rId1324" w:history="1">
        <w:r w:rsidRPr="001A3D2B">
          <w:rPr>
            <w:rStyle w:val="a5"/>
          </w:rPr>
          <w:t>2005\Asl Pro57, 197.pdf</w:t>
        </w:r>
      </w:hyperlink>
    </w:p>
    <w:p w:rsidR="003474F2" w:rsidRPr="001A3D2B" w:rsidRDefault="003474F2" w:rsidP="003474F2">
      <w:pPr>
        <w:pStyle w:val="a3"/>
      </w:pPr>
      <w:r w:rsidRPr="001A3D2B">
        <w:t>? Roa-Atkinson, A.</w:t>
      </w:r>
      <w:r w:rsidR="005853A9">
        <w:t xml:space="preserve"> and </w:t>
      </w:r>
      <w:r w:rsidRPr="001A3D2B">
        <w:t>Velho, L. (2005), Interactions in knowledge production - A comparative case study</w:t>
      </w:r>
      <w:r w:rsidR="00427468">
        <w:t xml:space="preserve"> of </w:t>
      </w:r>
      <w:r w:rsidRPr="001A3D2B">
        <w:t>immunology research groups in Colombia</w:t>
      </w:r>
      <w:r w:rsidR="005853A9">
        <w:t xml:space="preserve"> and </w:t>
      </w:r>
      <w:r w:rsidRPr="001A3D2B">
        <w:t xml:space="preserve">Brazil. </w:t>
      </w:r>
      <w:r w:rsidRPr="001A3D2B">
        <w:rPr>
          <w:i/>
          <w:iCs/>
        </w:rPr>
        <w:t>Aslib Proceedings</w:t>
      </w:r>
      <w:r w:rsidRPr="001A3D2B">
        <w:t xml:space="preserve">, </w:t>
      </w:r>
      <w:r w:rsidRPr="001A3D2B">
        <w:rPr>
          <w:b/>
          <w:bCs/>
        </w:rPr>
        <w:t>57</w:t>
      </w:r>
      <w:r w:rsidRPr="001A3D2B">
        <w:t xml:space="preserve"> (3), 200-216.</w:t>
      </w:r>
    </w:p>
    <w:p w:rsidR="003474F2" w:rsidRPr="001A3D2B" w:rsidRDefault="003474F2" w:rsidP="003474F2">
      <w:pPr>
        <w:pStyle w:val="a3"/>
      </w:pPr>
      <w:r w:rsidRPr="001A3D2B">
        <w:t xml:space="preserve">Full Text: </w:t>
      </w:r>
      <w:hyperlink r:id="rId1325" w:history="1">
        <w:r w:rsidRPr="001A3D2B">
          <w:rPr>
            <w:rStyle w:val="a5"/>
          </w:rPr>
          <w:t>2005\Asl Pro57, 200.pdf</w:t>
        </w:r>
      </w:hyperlink>
    </w:p>
    <w:p w:rsidR="003474F2" w:rsidRPr="001A3D2B" w:rsidRDefault="003474F2" w:rsidP="003474F2">
      <w:pPr>
        <w:pStyle w:val="a3"/>
      </w:pPr>
      <w:r w:rsidRPr="001A3D2B">
        <w:t>Abstract: Purpose - To provide an empirical contribution to analyse</w:t>
      </w:r>
      <w:r w:rsidR="003A1917">
        <w:t xml:space="preserve"> the </w:t>
      </w:r>
      <w:r w:rsidRPr="001A3D2B">
        <w:t>dynamics</w:t>
      </w:r>
      <w:r w:rsidR="00427468">
        <w:t xml:space="preserve"> of </w:t>
      </w:r>
      <w:r w:rsidRPr="001A3D2B">
        <w:t>research groups in knowledge production in an interdisciplinary research field in two scientifically peripheral countries (Colombia</w:t>
      </w:r>
      <w:r w:rsidR="005853A9">
        <w:t xml:space="preserve"> and </w:t>
      </w:r>
      <w:r w:rsidRPr="001A3D2B">
        <w:t>Brazil). Design, methodology, approach - This dynamic is analysed in</w:t>
      </w:r>
      <w:r w:rsidR="003A1917">
        <w:t xml:space="preserve"> the </w:t>
      </w:r>
      <w:r w:rsidRPr="001A3D2B">
        <w:t>interdisciplinary area</w:t>
      </w:r>
      <w:r w:rsidR="00427468">
        <w:t xml:space="preserve"> of </w:t>
      </w:r>
      <w:r w:rsidRPr="001A3D2B">
        <w:t>immunology through a comparative study</w:t>
      </w:r>
      <w:r w:rsidR="00427468">
        <w:t xml:space="preserve"> of </w:t>
      </w:r>
      <w:r w:rsidRPr="001A3D2B">
        <w:t>Brazilian</w:t>
      </w:r>
      <w:r w:rsidR="005853A9">
        <w:t xml:space="preserve"> and </w:t>
      </w:r>
      <w:r w:rsidRPr="001A3D2B">
        <w:t>Colombian research groups</w:t>
      </w:r>
      <w:r w:rsidR="00A37C1D">
        <w:t>. The</w:t>
      </w:r>
      <w:r w:rsidR="003A1917">
        <w:t xml:space="preserve"> </w:t>
      </w:r>
      <w:r w:rsidRPr="001A3D2B">
        <w:t>practices</w:t>
      </w:r>
      <w:r w:rsidR="00427468">
        <w:t xml:space="preserve"> of </w:t>
      </w:r>
      <w:r w:rsidRPr="001A3D2B">
        <w:t>publication, collaborative links</w:t>
      </w:r>
      <w:r w:rsidR="005853A9">
        <w:t xml:space="preserve"> and </w:t>
      </w:r>
      <w:r w:rsidRPr="001A3D2B">
        <w:t>patterns</w:t>
      </w:r>
      <w:r w:rsidR="00427468">
        <w:t xml:space="preserve"> of </w:t>
      </w:r>
      <w:r w:rsidRPr="001A3D2B">
        <w:t>acknowledgements provided</w:t>
      </w:r>
      <w:r w:rsidR="003A1917">
        <w:t xml:space="preserve"> the </w:t>
      </w:r>
      <w:r w:rsidRPr="001A3D2B">
        <w:t>framework for this study. Quantitative</w:t>
      </w:r>
      <w:r w:rsidR="005853A9">
        <w:t xml:space="preserve"> and </w:t>
      </w:r>
      <w:r w:rsidRPr="001A3D2B">
        <w:t>qualitative tools were used; in particular a bibliometric study was complemented with information derived from semi-structured interviews with members</w:t>
      </w:r>
      <w:r w:rsidR="00427468">
        <w:t xml:space="preserve"> of </w:t>
      </w:r>
      <w:r w:rsidR="003A1917">
        <w:t xml:space="preserve">the </w:t>
      </w:r>
      <w:r w:rsidRPr="001A3D2B">
        <w:t>research communities selected. Findings -</w:t>
      </w:r>
      <w:r w:rsidR="003A1917">
        <w:t xml:space="preserve"> the </w:t>
      </w:r>
      <w:r w:rsidRPr="001A3D2B">
        <w:t>bibliometric study allowed</w:t>
      </w:r>
      <w:r w:rsidR="003A1917">
        <w:t xml:space="preserve"> the </w:t>
      </w:r>
      <w:r w:rsidRPr="001A3D2B">
        <w:t>construction</w:t>
      </w:r>
      <w:r w:rsidR="00427468">
        <w:t xml:space="preserve"> of </w:t>
      </w:r>
      <w:r w:rsidRPr="001A3D2B">
        <w:t>some indicators: channels</w:t>
      </w:r>
      <w:r w:rsidR="00427468">
        <w:t xml:space="preserve"> of </w:t>
      </w:r>
      <w:r w:rsidRPr="001A3D2B">
        <w:t>publication, impact</w:t>
      </w:r>
      <w:r w:rsidR="00427468">
        <w:t xml:space="preserve"> of </w:t>
      </w:r>
      <w:r w:rsidR="003A1917">
        <w:t xml:space="preserve">the </w:t>
      </w:r>
      <w:r w:rsidRPr="001A3D2B">
        <w:t>research outputs, citations</w:t>
      </w:r>
      <w:r w:rsidR="005853A9">
        <w:t xml:space="preserve"> and </w:t>
      </w:r>
      <w:r w:rsidRPr="001A3D2B">
        <w:t>patterns</w:t>
      </w:r>
      <w:r w:rsidR="00427468">
        <w:t xml:space="preserve"> of </w:t>
      </w:r>
      <w:r w:rsidRPr="001A3D2B">
        <w:t>collaboration. Also, a database with acknowledgements was created to identify</w:t>
      </w:r>
      <w:r w:rsidR="003A1917">
        <w:t xml:space="preserve"> the </w:t>
      </w:r>
      <w:r w:rsidRPr="001A3D2B">
        <w:t>different actors who take part in</w:t>
      </w:r>
      <w:r w:rsidR="003A1917">
        <w:t xml:space="preserve"> the </w:t>
      </w:r>
      <w:r w:rsidRPr="001A3D2B">
        <w:t>process</w:t>
      </w:r>
      <w:r w:rsidR="00427468">
        <w:t xml:space="preserve"> of </w:t>
      </w:r>
      <w:r w:rsidRPr="001A3D2B">
        <w:t>knowledge production</w:t>
      </w:r>
      <w:r w:rsidR="00A37C1D">
        <w:t>. The</w:t>
      </w:r>
      <w:r w:rsidRPr="001A3D2B">
        <w:t xml:space="preserve">se </w:t>
      </w:r>
      <w:r w:rsidRPr="001A3D2B">
        <w:lastRenderedPageBreak/>
        <w:t>indicators, interpreted in</w:t>
      </w:r>
      <w:r w:rsidR="003A1917">
        <w:t xml:space="preserve"> the </w:t>
      </w:r>
      <w:r w:rsidRPr="001A3D2B">
        <w:t>light</w:t>
      </w:r>
      <w:r w:rsidR="00427468">
        <w:t xml:space="preserve"> of </w:t>
      </w:r>
      <w:r w:rsidRPr="001A3D2B">
        <w:t>qualitative analysis, throw considerable light on how</w:t>
      </w:r>
      <w:r w:rsidR="003A1917">
        <w:t xml:space="preserve"> the </w:t>
      </w:r>
      <w:r w:rsidRPr="001A3D2B">
        <w:t>different groups work on</w:t>
      </w:r>
      <w:r w:rsidR="003A1917">
        <w:t xml:space="preserve"> the </w:t>
      </w:r>
      <w:r w:rsidRPr="001A3D2B">
        <w:t>cognitive</w:t>
      </w:r>
      <w:r w:rsidR="005853A9">
        <w:t xml:space="preserve"> and </w:t>
      </w:r>
      <w:r w:rsidRPr="001A3D2B">
        <w:t>social aspects</w:t>
      </w:r>
      <w:r w:rsidR="00427468">
        <w:t xml:space="preserve"> of </w:t>
      </w:r>
      <w:r w:rsidRPr="001A3D2B">
        <w:t>knowledge production. Research limitations, implications - This study is limited to 31 leading research groups from Colombia</w:t>
      </w:r>
      <w:r w:rsidR="005853A9">
        <w:t xml:space="preserve"> and </w:t>
      </w:r>
      <w:r w:rsidRPr="001A3D2B">
        <w:t>Brazil. Originality, value - This paper starts to redress</w:t>
      </w:r>
      <w:r w:rsidR="003A1917">
        <w:t xml:space="preserve"> the </w:t>
      </w:r>
      <w:r w:rsidRPr="001A3D2B">
        <w:t>situation</w:t>
      </w:r>
      <w:r w:rsidR="00427468">
        <w:t xml:space="preserve"> of </w:t>
      </w:r>
      <w:r w:rsidRPr="001A3D2B">
        <w:t>a lack</w:t>
      </w:r>
      <w:r w:rsidR="00427468">
        <w:t xml:space="preserve"> of </w:t>
      </w:r>
      <w:r w:rsidRPr="001A3D2B">
        <w:t>empirical studies in developing countries in</w:t>
      </w:r>
      <w:r w:rsidR="003A1917">
        <w:t xml:space="preserve"> the </w:t>
      </w:r>
      <w:r w:rsidRPr="001A3D2B">
        <w:t>use</w:t>
      </w:r>
      <w:r w:rsidR="00427468">
        <w:t xml:space="preserve"> of </w:t>
      </w:r>
      <w:r w:rsidRPr="001A3D2B">
        <w:t>acknowledgements as a tool to examine formal</w:t>
      </w:r>
      <w:r w:rsidR="005853A9">
        <w:t xml:space="preserve"> and </w:t>
      </w:r>
      <w:r w:rsidRPr="001A3D2B">
        <w:t>informal scientific collaboration</w:t>
      </w:r>
      <w:r w:rsidR="005853A9">
        <w:t xml:space="preserve"> and </w:t>
      </w:r>
      <w:r w:rsidRPr="001A3D2B">
        <w:t>as indicator</w:t>
      </w:r>
      <w:r w:rsidR="00427468">
        <w:t xml:space="preserve"> of </w:t>
      </w:r>
      <w:r w:rsidRPr="001A3D2B">
        <w:t>accountability to funding bodies. This work provides an empirical contribution to policy-makers</w:t>
      </w:r>
      <w:r w:rsidR="005853A9">
        <w:t xml:space="preserve"> and </w:t>
      </w:r>
      <w:r w:rsidRPr="001A3D2B">
        <w:t>scientific communities in</w:t>
      </w:r>
      <w:r w:rsidR="003A1917">
        <w:t xml:space="preserve"> the </w:t>
      </w:r>
      <w:r w:rsidRPr="001A3D2B">
        <w:t>task</w:t>
      </w:r>
      <w:r w:rsidR="00427468">
        <w:t xml:space="preserve"> of </w:t>
      </w:r>
      <w:r w:rsidRPr="001A3D2B">
        <w:t>understanding</w:t>
      </w:r>
      <w:r w:rsidR="003A1917">
        <w:t xml:space="preserve"> the </w:t>
      </w:r>
      <w:r w:rsidRPr="001A3D2B">
        <w:t>dynamics</w:t>
      </w:r>
      <w:r w:rsidR="00427468">
        <w:t xml:space="preserve"> of </w:t>
      </w:r>
      <w:r w:rsidRPr="001A3D2B">
        <w:t>knowledge production in an interdisciplinary area combining different approaches.</w:t>
      </w:r>
    </w:p>
    <w:p w:rsidR="003474F2" w:rsidRPr="001A3D2B" w:rsidRDefault="003474F2" w:rsidP="003474F2">
      <w:pPr>
        <w:pStyle w:val="a3"/>
      </w:pPr>
      <w:r w:rsidRPr="001A3D2B">
        <w:t xml:space="preserve">Keywords: Acknowledgment, Bibliometric, Bibliometric Study, Brazil, Co-Authorships, Colombia, Group Dynamics, Information Research, International Scientific Collaboration, Latin-America, </w:t>
      </w:r>
      <w:smartTag w:uri="urn:schemas-microsoft-com:office:smarttags" w:element="PersonName">
        <w:smartTagPr>
          <w:attr w:name="ProductID" w:val="Life Sciences"/>
        </w:smartTagPr>
        <w:r w:rsidRPr="001A3D2B">
          <w:t>Life Sciences</w:t>
        </w:r>
      </w:smartTag>
      <w:r w:rsidRPr="001A3D2B">
        <w:t>, Output, Patterns, Publication, Research, Research Work, Sciences</w:t>
      </w:r>
    </w:p>
    <w:p w:rsidR="0071755F" w:rsidRPr="001A3D2B" w:rsidRDefault="0071755F" w:rsidP="0071755F">
      <w:pPr>
        <w:pStyle w:val="a3"/>
        <w:rPr>
          <w:kern w:val="0"/>
        </w:rPr>
      </w:pPr>
      <w:r w:rsidRPr="001A3D2B">
        <w:rPr>
          <w:kern w:val="0"/>
        </w:rPr>
        <w:t>? Rangnekar, D. (2005), Acknowledged: Analysing</w:t>
      </w:r>
      <w:r w:rsidR="003A1917">
        <w:rPr>
          <w:kern w:val="0"/>
        </w:rPr>
        <w:t xml:space="preserve"> the </w:t>
      </w:r>
      <w:r w:rsidRPr="001A3D2B">
        <w:rPr>
          <w:kern w:val="0"/>
        </w:rPr>
        <w:t>bibliometric presence</w:t>
      </w:r>
      <w:r w:rsidR="00427468">
        <w:rPr>
          <w:kern w:val="0"/>
        </w:rPr>
        <w:t xml:space="preserve"> of </w:t>
      </w:r>
      <w:r w:rsidR="003A1917">
        <w:rPr>
          <w:kern w:val="0"/>
        </w:rPr>
        <w:t xml:space="preserve">the </w:t>
      </w:r>
      <w:r w:rsidRPr="001A3D2B">
        <w:rPr>
          <w:kern w:val="0"/>
        </w:rPr>
        <w:t xml:space="preserve">multiple sclerosis society. </w:t>
      </w:r>
      <w:r w:rsidRPr="001A3D2B">
        <w:rPr>
          <w:i/>
          <w:iCs/>
        </w:rPr>
        <w:t>Aslib Proceedings</w:t>
      </w:r>
      <w:r w:rsidRPr="001A3D2B">
        <w:rPr>
          <w:kern w:val="0"/>
        </w:rPr>
        <w:t xml:space="preserve">, </w:t>
      </w:r>
      <w:r w:rsidRPr="001A3D2B">
        <w:rPr>
          <w:b/>
          <w:bCs/>
          <w:kern w:val="0"/>
        </w:rPr>
        <w:t>57</w:t>
      </w:r>
      <w:r w:rsidRPr="001A3D2B">
        <w:rPr>
          <w:kern w:val="0"/>
        </w:rPr>
        <w:t xml:space="preserve"> (3), 247-260.</w:t>
      </w:r>
    </w:p>
    <w:p w:rsidR="0071755F" w:rsidRPr="001A3D2B" w:rsidRDefault="0071755F" w:rsidP="0071755F">
      <w:pPr>
        <w:pStyle w:val="a3"/>
      </w:pPr>
      <w:r w:rsidRPr="001A3D2B">
        <w:t xml:space="preserve">Full Text: </w:t>
      </w:r>
      <w:hyperlink r:id="rId1326" w:history="1">
        <w:r w:rsidRPr="001A3D2B">
          <w:rPr>
            <w:rStyle w:val="a5"/>
          </w:rPr>
          <w:t>2005\Asl Pro57, 247.pdf</w:t>
        </w:r>
      </w:hyperlink>
    </w:p>
    <w:p w:rsidR="003474F2" w:rsidRPr="001A3D2B" w:rsidRDefault="003474F2" w:rsidP="003474F2">
      <w:pPr>
        <w:pStyle w:val="a3"/>
      </w:pPr>
      <w:r w:rsidRPr="001A3D2B">
        <w:t>Abstract: Purpose - To conduct an analysis</w:t>
      </w:r>
      <w:r w:rsidR="00427468">
        <w:t xml:space="preserve"> of </w:t>
      </w:r>
      <w:r w:rsidR="003A1917">
        <w:t xml:space="preserve">the </w:t>
      </w:r>
      <w:r w:rsidRPr="001A3D2B">
        <w:t>bibliometric presence</w:t>
      </w:r>
      <w:r w:rsidR="00427468">
        <w:t xml:space="preserve"> of </w:t>
      </w:r>
      <w:r w:rsidRPr="001A3D2B">
        <w:t>a patient group,</w:t>
      </w:r>
      <w:r w:rsidR="003A1917">
        <w:t xml:space="preserve"> the </w:t>
      </w:r>
      <w:r w:rsidRPr="001A3D2B">
        <w:t>Multiple Sclerosis Society, within its relevant biomedical sub-field. Design, methodology, approach - Publications in</w:t>
      </w:r>
      <w:r w:rsidR="003A1917">
        <w:t xml:space="preserve"> the </w:t>
      </w:r>
      <w:r w:rsidRPr="001A3D2B">
        <w:t>multiple sclerosis sub-field for 1988</w:t>
      </w:r>
      <w:smartTag w:uri="urn:schemas-microsoft-com:office:smarttags" w:element="chmetcnv">
        <w:smartTagPr>
          <w:attr w:name="TCSC" w:val="0"/>
          <w:attr w:name="NumberType" w:val="1"/>
          <w:attr w:name="Negative" w:val="True"/>
          <w:attr w:name="HasSpace" w:val="True"/>
          <w:attr w:name="SourceValue" w:val="1999"/>
          <w:attr w:name="UnitName" w:val="in"/>
        </w:smartTagPr>
        <w:r w:rsidRPr="001A3D2B">
          <w:t>-1999 in</w:t>
        </w:r>
      </w:smartTag>
      <w:r w:rsidR="003A1917">
        <w:t xml:space="preserve"> the </w:t>
      </w:r>
      <w:r w:rsidRPr="001A3D2B">
        <w:t>Research Outputs Database constitute</w:t>
      </w:r>
      <w:r w:rsidR="003A1917">
        <w:t xml:space="preserve"> the </w:t>
      </w:r>
      <w:r w:rsidRPr="001A3D2B">
        <w:t>data-set. Proxy measures, based on funding acknowledgement counts, are used to analyse</w:t>
      </w:r>
      <w:r w:rsidR="003A1917">
        <w:t xml:space="preserve"> the </w:t>
      </w:r>
      <w:r w:rsidRPr="001A3D2B">
        <w:t>bibliometric presence</w:t>
      </w:r>
      <w:r w:rsidR="00427468">
        <w:t xml:space="preserve"> of </w:t>
      </w:r>
      <w:r w:rsidR="003A1917">
        <w:t xml:space="preserve">the </w:t>
      </w:r>
      <w:r w:rsidRPr="001A3D2B">
        <w:t>society in comparison with other leading agencies, focusing on visibility, research orientation</w:t>
      </w:r>
      <w:r w:rsidR="005853A9">
        <w:t xml:space="preserve"> and </w:t>
      </w:r>
      <w:r w:rsidRPr="001A3D2B">
        <w:t>research impact</w:t>
      </w:r>
      <w:r w:rsidR="00A37C1D">
        <w:t>. The</w:t>
      </w:r>
      <w:r w:rsidR="003A1917">
        <w:t xml:space="preserve"> </w:t>
      </w:r>
      <w:r w:rsidRPr="001A3D2B">
        <w:t>results are discussed within</w:t>
      </w:r>
      <w:r w:rsidR="003A1917">
        <w:t xml:space="preserve"> the </w:t>
      </w:r>
      <w:r w:rsidRPr="001A3D2B">
        <w:t>frame</w:t>
      </w:r>
      <w:r w:rsidR="00427468">
        <w:t xml:space="preserve"> of </w:t>
      </w:r>
      <w:r w:rsidRPr="001A3D2B">
        <w:t>an evolutionary economics</w:t>
      </w:r>
      <w:r w:rsidR="00427468">
        <w:t xml:space="preserve"> of </w:t>
      </w:r>
      <w:r w:rsidRPr="001A3D2B">
        <w:t>knowledge production</w:t>
      </w:r>
      <w:r w:rsidR="005853A9">
        <w:t xml:space="preserve"> and </w:t>
      </w:r>
      <w:r w:rsidR="003A1917">
        <w:t xml:space="preserve">the </w:t>
      </w:r>
      <w:r w:rsidRPr="001A3D2B">
        <w:t>larger policy debate concerning</w:t>
      </w:r>
      <w:r w:rsidR="003A1917">
        <w:t xml:space="preserve"> the </w:t>
      </w:r>
      <w:r w:rsidRPr="001A3D2B">
        <w:t>public funding</w:t>
      </w:r>
      <w:r w:rsidR="00427468">
        <w:t xml:space="preserve"> of </w:t>
      </w:r>
      <w:r w:rsidRPr="001A3D2B">
        <w:t>science. Findings -</w:t>
      </w:r>
      <w:r w:rsidR="003A1917">
        <w:t xml:space="preserve"> the </w:t>
      </w:r>
      <w:r w:rsidRPr="001A3D2B">
        <w:t>society is</w:t>
      </w:r>
      <w:r w:rsidR="003A1917">
        <w:t xml:space="preserve"> the </w:t>
      </w:r>
      <w:r w:rsidRPr="001A3D2B">
        <w:t>most frequently acknowledged funding agency</w:t>
      </w:r>
      <w:r w:rsidR="005853A9">
        <w:t xml:space="preserve"> and </w:t>
      </w:r>
      <w:r w:rsidRPr="001A3D2B">
        <w:t>it distinguishes itself by</w:t>
      </w:r>
      <w:r w:rsidR="003A1917">
        <w:t xml:space="preserve"> the </w:t>
      </w:r>
      <w:r w:rsidRPr="001A3D2B">
        <w:t>clustering</w:t>
      </w:r>
      <w:r w:rsidR="00427468">
        <w:t xml:space="preserve"> of </w:t>
      </w:r>
      <w:r w:rsidRPr="001A3D2B">
        <w:t>its acknowledgements in</w:t>
      </w:r>
      <w:r w:rsidR="003A1917">
        <w:t xml:space="preserve"> the </w:t>
      </w:r>
      <w:r w:rsidRPr="001A3D2B">
        <w:t>area</w:t>
      </w:r>
      <w:r w:rsidR="00427468">
        <w:t xml:space="preserve"> of </w:t>
      </w:r>
      <w:r w:rsidRPr="001A3D2B">
        <w:t>clinical investigation. With a high</w:t>
      </w:r>
      <w:r w:rsidR="005853A9">
        <w:t xml:space="preserve"> and </w:t>
      </w:r>
      <w:r w:rsidRPr="001A3D2B">
        <w:t>leading research impact,</w:t>
      </w:r>
      <w:r w:rsidR="003A1917">
        <w:t xml:space="preserve"> the </w:t>
      </w:r>
      <w:r w:rsidRPr="001A3D2B">
        <w:t>society is considered an influential actor in</w:t>
      </w:r>
      <w:r w:rsidR="003A1917">
        <w:t xml:space="preserve"> the </w:t>
      </w:r>
      <w:r w:rsidRPr="001A3D2B">
        <w:t>relevant biomedical sub-field. Originality, value - This paper fills a gap in</w:t>
      </w:r>
      <w:r w:rsidR="003A1917">
        <w:t xml:space="preserve"> the </w:t>
      </w:r>
      <w:r w:rsidRPr="001A3D2B">
        <w:t>literature on</w:t>
      </w:r>
      <w:r w:rsidR="003A1917">
        <w:t xml:space="preserve"> the </w:t>
      </w:r>
      <w:r w:rsidRPr="001A3D2B">
        <w:t>public funding</w:t>
      </w:r>
      <w:r w:rsidR="00427468">
        <w:t xml:space="preserve"> of </w:t>
      </w:r>
      <w:r w:rsidRPr="001A3D2B">
        <w:t>science by drawing attention to</w:t>
      </w:r>
      <w:r w:rsidR="003A1917">
        <w:t xml:space="preserve"> the </w:t>
      </w:r>
      <w:r w:rsidRPr="001A3D2B">
        <w:t>important performance</w:t>
      </w:r>
      <w:r w:rsidR="005853A9">
        <w:t xml:space="preserve"> and </w:t>
      </w:r>
      <w:r w:rsidRPr="001A3D2B">
        <w:t>presence</w:t>
      </w:r>
      <w:r w:rsidR="00427468">
        <w:t xml:space="preserve"> of </w:t>
      </w:r>
      <w:r w:rsidRPr="001A3D2B">
        <w:t>patient groups as funding agencies.</w:t>
      </w:r>
    </w:p>
    <w:p w:rsidR="003474F2" w:rsidRPr="001A3D2B" w:rsidRDefault="003474F2" w:rsidP="003474F2">
      <w:pPr>
        <w:pStyle w:val="a3"/>
      </w:pPr>
      <w:r w:rsidRPr="001A3D2B">
        <w:t>Keywords: Academic Research, Aid Agencies, Bibliometric, Breast-Cancer, Citation, Disabled People, Financing, Health, Innovation, Journal Impact Factors, Patients Associations, Public Science, Publications, Quantitative Methods, Research, Researchers, Technology, United Kingdom</w:t>
      </w:r>
    </w:p>
    <w:p w:rsidR="003474F2" w:rsidRPr="001A3D2B" w:rsidRDefault="003474F2" w:rsidP="003474F2">
      <w:pPr>
        <w:pStyle w:val="a3"/>
      </w:pPr>
      <w:r w:rsidRPr="001A3D2B">
        <w:t>? Rowlands, I.</w:t>
      </w:r>
      <w:r w:rsidR="005853A9">
        <w:t xml:space="preserve"> and </w:t>
      </w:r>
      <w:r w:rsidRPr="001A3D2B">
        <w:t>Nicholas, D. (2007</w:t>
      </w:r>
      <w:r w:rsidR="00F42EAC">
        <w:t>), The</w:t>
      </w:r>
      <w:r w:rsidR="003A1917">
        <w:t xml:space="preserve"> </w:t>
      </w:r>
      <w:r w:rsidRPr="001A3D2B">
        <w:t xml:space="preserve">missing link: journal </w:t>
      </w:r>
      <w:r w:rsidR="00D5664A">
        <w:t>USA</w:t>
      </w:r>
      <w:r w:rsidRPr="001A3D2B">
        <w:t xml:space="preserve">ge metrics. </w:t>
      </w:r>
      <w:r w:rsidRPr="001A3D2B">
        <w:rPr>
          <w:i/>
          <w:iCs/>
        </w:rPr>
        <w:t>Aslib Proceedings</w:t>
      </w:r>
      <w:r w:rsidRPr="001A3D2B">
        <w:t xml:space="preserve">, </w:t>
      </w:r>
      <w:r w:rsidRPr="001A3D2B">
        <w:rPr>
          <w:b/>
          <w:bCs/>
        </w:rPr>
        <w:t>59</w:t>
      </w:r>
      <w:r w:rsidRPr="001A3D2B">
        <w:t xml:space="preserve"> (3), 222-228.</w:t>
      </w:r>
    </w:p>
    <w:p w:rsidR="003474F2" w:rsidRPr="001A3D2B" w:rsidRDefault="003474F2" w:rsidP="003474F2">
      <w:pPr>
        <w:pStyle w:val="a3"/>
      </w:pPr>
      <w:r w:rsidRPr="001A3D2B">
        <w:t xml:space="preserve">Full Text: </w:t>
      </w:r>
      <w:hyperlink r:id="rId1327" w:history="1">
        <w:r w:rsidRPr="001A3D2B">
          <w:rPr>
            <w:rStyle w:val="a5"/>
          </w:rPr>
          <w:t>2007\Asl Pro59, 222.pdf</w:t>
        </w:r>
      </w:hyperlink>
    </w:p>
    <w:p w:rsidR="003474F2" w:rsidRPr="001A3D2B" w:rsidRDefault="003474F2" w:rsidP="003474F2">
      <w:pPr>
        <w:pStyle w:val="a3"/>
      </w:pPr>
      <w:r w:rsidRPr="001A3D2B">
        <w:lastRenderedPageBreak/>
        <w:t>Abstract: Purpose -</w:t>
      </w:r>
      <w:r w:rsidR="003A1917">
        <w:t xml:space="preserve"> the </w:t>
      </w:r>
      <w:r w:rsidRPr="001A3D2B">
        <w:t>aim</w:t>
      </w:r>
      <w:r w:rsidR="00427468">
        <w:t xml:space="preserve"> of </w:t>
      </w:r>
      <w:r w:rsidRPr="001A3D2B">
        <w:t>this short communication is to contribute to a growing debate about how we can measure</w:t>
      </w:r>
      <w:r w:rsidR="003A1917">
        <w:t xml:space="preserve"> the </w:t>
      </w:r>
      <w:r w:rsidR="00700038">
        <w:t>‘</w:t>
      </w:r>
      <w:r w:rsidRPr="001A3D2B">
        <w:t>quality</w:t>
      </w:r>
      <w:r w:rsidR="00700038">
        <w:t>’</w:t>
      </w:r>
      <w:r w:rsidR="00427468">
        <w:t xml:space="preserve"> of </w:t>
      </w:r>
      <w:r w:rsidRPr="001A3D2B">
        <w:t>journals. More specifically,</w:t>
      </w:r>
      <w:r w:rsidR="003A1917">
        <w:t xml:space="preserve"> the </w:t>
      </w:r>
      <w:r w:rsidRPr="001A3D2B">
        <w:t>paper argues</w:t>
      </w:r>
      <w:r w:rsidR="003A1917">
        <w:t xml:space="preserve"> the </w:t>
      </w:r>
      <w:r w:rsidRPr="001A3D2B">
        <w:t>need for a new range</w:t>
      </w:r>
      <w:r w:rsidR="00427468">
        <w:t xml:space="preserve"> of </w:t>
      </w:r>
      <w:r w:rsidRPr="001A3D2B">
        <w:t>standardized indicators based on reader (rather than author-facing) metrics. Design/methodology/approach - This is a thought experiment, outlining</w:t>
      </w:r>
      <w:r w:rsidR="003A1917">
        <w:t xml:space="preserve"> the </w:t>
      </w:r>
      <w:r w:rsidRPr="001A3D2B">
        <w:t>kinds</w:t>
      </w:r>
      <w:r w:rsidR="00427468">
        <w:t xml:space="preserve"> of </w:t>
      </w:r>
      <w:r w:rsidR="00D5664A">
        <w:t>USA</w:t>
      </w:r>
      <w:r w:rsidRPr="001A3D2B">
        <w:t>ge indicators that could be developed alongside</w:t>
      </w:r>
      <w:r w:rsidR="003A1917">
        <w:t xml:space="preserve"> the </w:t>
      </w:r>
      <w:r w:rsidRPr="001A3D2B">
        <w:t>traditional ISI measures</w:t>
      </w:r>
      <w:r w:rsidR="00427468">
        <w:t xml:space="preserve"> of </w:t>
      </w:r>
      <w:r w:rsidRPr="001A3D2B">
        <w:t>impact, immediacy</w:t>
      </w:r>
      <w:r w:rsidR="005853A9">
        <w:t xml:space="preserve"> and </w:t>
      </w:r>
      <w:r w:rsidRPr="001A3D2B">
        <w:t>obsolescence. Findings -</w:t>
      </w:r>
      <w:r w:rsidR="003A1917">
        <w:t xml:space="preserve"> the </w:t>
      </w:r>
      <w:r w:rsidRPr="001A3D2B">
        <w:t>time is ripe to develop a set</w:t>
      </w:r>
      <w:r w:rsidR="00427468">
        <w:t xml:space="preserve"> of </w:t>
      </w:r>
      <w:r w:rsidRPr="001A3D2B">
        <w:t>standardised. measures</w:t>
      </w:r>
      <w:r w:rsidR="00427468">
        <w:t xml:space="preserve"> of </w:t>
      </w:r>
      <w:r w:rsidRPr="001A3D2B">
        <w:t xml:space="preserve">journal </w:t>
      </w:r>
      <w:r w:rsidR="00D5664A">
        <w:t>USA</w:t>
      </w:r>
      <w:r w:rsidRPr="001A3D2B">
        <w:t>ge that are as easy to understand,</w:t>
      </w:r>
      <w:r w:rsidR="005853A9">
        <w:t xml:space="preserve"> and </w:t>
      </w:r>
      <w:r w:rsidRPr="001A3D2B">
        <w:t>as universally accepted, as ISI</w:t>
      </w:r>
      <w:r w:rsidR="00700038">
        <w:t>’</w:t>
      </w:r>
      <w:r w:rsidR="00C13DDC">
        <w:t>s</w:t>
      </w:r>
      <w:r w:rsidRPr="001A3D2B">
        <w:t xml:space="preserve"> current citation-based indicators. By linking article publication year to full text downloads, this article argues that very considerable value could be extracted from what, in many cases, is almost uninterpretable data. Practical implications - Indicators in</w:t>
      </w:r>
      <w:r w:rsidR="003A1917">
        <w:t xml:space="preserve"> the </w:t>
      </w:r>
      <w:r w:rsidRPr="001A3D2B">
        <w:t>form proposed could find a wide variety</w:t>
      </w:r>
      <w:r w:rsidR="00427468">
        <w:t xml:space="preserve"> of </w:t>
      </w:r>
      <w:r w:rsidRPr="001A3D2B">
        <w:t>applications, from helping librarians to assess</w:t>
      </w:r>
      <w:r w:rsidR="003A1917">
        <w:t xml:space="preserve"> the </w:t>
      </w:r>
      <w:r w:rsidRPr="001A3D2B">
        <w:t>potential value-for-money</w:t>
      </w:r>
      <w:r w:rsidR="00427468">
        <w:t xml:space="preserve"> of </w:t>
      </w:r>
      <w:r w:rsidRPr="001A3D2B">
        <w:t>bundled journal deals, to helping policy-makers</w:t>
      </w:r>
      <w:r w:rsidR="005853A9">
        <w:t xml:space="preserve"> and </w:t>
      </w:r>
      <w:r w:rsidRPr="001A3D2B">
        <w:t>scholarly communication researchers to better understand</w:t>
      </w:r>
      <w:r w:rsidR="003A1917">
        <w:t xml:space="preserve"> the </w:t>
      </w:r>
      <w:r w:rsidRPr="001A3D2B">
        <w:t>dynamics</w:t>
      </w:r>
      <w:r w:rsidR="00427468">
        <w:t xml:space="preserve"> of </w:t>
      </w:r>
      <w:r w:rsidRPr="001A3D2B">
        <w:t>knowledge diffusion. Originality/value -</w:t>
      </w:r>
      <w:r w:rsidR="003A1917">
        <w:t xml:space="preserve"> the </w:t>
      </w:r>
      <w:r w:rsidRPr="001A3D2B">
        <w:t>development</w:t>
      </w:r>
      <w:r w:rsidR="00427468">
        <w:t xml:space="preserve"> of </w:t>
      </w:r>
      <w:r w:rsidRPr="001A3D2B">
        <w:t xml:space="preserve">standardized </w:t>
      </w:r>
      <w:r w:rsidR="00D5664A">
        <w:t>USA</w:t>
      </w:r>
      <w:r w:rsidRPr="001A3D2B">
        <w:t>ge factors in</w:t>
      </w:r>
      <w:r w:rsidR="003A1917">
        <w:t xml:space="preserve"> the </w:t>
      </w:r>
      <w:r w:rsidRPr="001A3D2B">
        <w:t>form suggested here would radically shift</w:t>
      </w:r>
      <w:r w:rsidR="003A1917">
        <w:t xml:space="preserve"> the </w:t>
      </w:r>
      <w:r w:rsidRPr="001A3D2B">
        <w:t>centre</w:t>
      </w:r>
      <w:r w:rsidR="00427468">
        <w:t xml:space="preserve"> of </w:t>
      </w:r>
      <w:r w:rsidRPr="001A3D2B">
        <w:t>gravity in bibliometrics research from</w:t>
      </w:r>
      <w:r w:rsidR="003A1917">
        <w:t xml:space="preserve"> the </w:t>
      </w:r>
      <w:r w:rsidRPr="001A3D2B">
        <w:t>author to</w:t>
      </w:r>
      <w:r w:rsidR="003A1917">
        <w:t xml:space="preserve"> the </w:t>
      </w:r>
      <w:r w:rsidRPr="001A3D2B">
        <w:t>reader. This remains largely unexplored territory.</w:t>
      </w:r>
    </w:p>
    <w:p w:rsidR="003474F2" w:rsidRPr="001A3D2B" w:rsidRDefault="003474F2" w:rsidP="003474F2">
      <w:pPr>
        <w:pStyle w:val="a3"/>
      </w:pPr>
      <w:r w:rsidRPr="001A3D2B">
        <w:t>Keywords: Applications, Bibliometrics, Communication, Current, Development, Diffusion, Dynamics, Experiment, Gravity, Impact, Indicators</w:t>
      </w:r>
      <w:r w:rsidR="00D5664A">
        <w:t>, ISI,</w:t>
      </w:r>
      <w:r w:rsidRPr="001A3D2B">
        <w:t xml:space="preserve"> Journal, Journals, Knowledge, Library, Measurement, Metrics, Paper, Publication, Quality, Range, Research, Scholarly Communication, Serials</w:t>
      </w:r>
    </w:p>
    <w:p w:rsidR="003474F2" w:rsidRPr="001A3D2B" w:rsidRDefault="003474F2" w:rsidP="003474F2">
      <w:pPr>
        <w:pStyle w:val="a3"/>
      </w:pPr>
      <w:r w:rsidRPr="001A3D2B">
        <w:t>? Willett, P. (2008), A bibliometric analysis</w:t>
      </w:r>
      <w:r w:rsidR="00427468">
        <w:t xml:space="preserve"> of </w:t>
      </w:r>
      <w:r w:rsidR="003A1917">
        <w:t xml:space="preserve">the </w:t>
      </w:r>
      <w:r w:rsidRPr="001A3D2B">
        <w:t>literature</w:t>
      </w:r>
      <w:r w:rsidR="00427468">
        <w:t xml:space="preserve"> of </w:t>
      </w:r>
      <w:r w:rsidRPr="001A3D2B">
        <w:t xml:space="preserve">chemoinformatics. </w:t>
      </w:r>
      <w:r w:rsidRPr="001A3D2B">
        <w:rPr>
          <w:i/>
          <w:iCs/>
        </w:rPr>
        <w:t>Aslib Proceedings</w:t>
      </w:r>
      <w:r w:rsidRPr="001A3D2B">
        <w:t xml:space="preserve">, </w:t>
      </w:r>
      <w:r w:rsidRPr="001A3D2B">
        <w:rPr>
          <w:b/>
          <w:bCs/>
        </w:rPr>
        <w:t>60</w:t>
      </w:r>
      <w:r w:rsidRPr="001A3D2B">
        <w:t xml:space="preserve"> (1), 4-17.</w:t>
      </w:r>
    </w:p>
    <w:p w:rsidR="003474F2" w:rsidRPr="001A3D2B" w:rsidRDefault="003474F2" w:rsidP="003474F2">
      <w:pPr>
        <w:pStyle w:val="a3"/>
      </w:pPr>
      <w:r w:rsidRPr="001A3D2B">
        <w:t xml:space="preserve">Full Text: </w:t>
      </w:r>
      <w:hyperlink r:id="rId1328" w:history="1">
        <w:r w:rsidRPr="001A3D2B">
          <w:rPr>
            <w:rStyle w:val="a5"/>
          </w:rPr>
          <w:t>2008\Asl Pro60, 4.pdf</w:t>
        </w:r>
      </w:hyperlink>
    </w:p>
    <w:p w:rsidR="003474F2" w:rsidRPr="001A3D2B" w:rsidRDefault="003474F2" w:rsidP="003474F2">
      <w:pPr>
        <w:pStyle w:val="a3"/>
      </w:pPr>
      <w:r w:rsidRPr="001A3D2B">
        <w:t>Abstract: Purpose -</w:t>
      </w:r>
      <w:r w:rsidR="003A1917">
        <w:t xml:space="preserve"> the </w:t>
      </w:r>
      <w:r w:rsidRPr="001A3D2B">
        <w:t>purpose</w:t>
      </w:r>
      <w:r w:rsidR="00427468">
        <w:t xml:space="preserve"> of </w:t>
      </w:r>
      <w:r w:rsidRPr="001A3D2B">
        <w:t>this article is to analyse</w:t>
      </w:r>
      <w:r w:rsidR="003A1917">
        <w:t xml:space="preserve"> the </w:t>
      </w:r>
      <w:r w:rsidRPr="001A3D2B">
        <w:t>literature</w:t>
      </w:r>
      <w:r w:rsidR="00427468">
        <w:t xml:space="preserve"> of </w:t>
      </w:r>
      <w:r w:rsidRPr="001A3D2B">
        <w:t>chemoinformatics, a subject that has arisen over</w:t>
      </w:r>
      <w:r w:rsidR="003A1917">
        <w:t xml:space="preserve"> the </w:t>
      </w:r>
      <w:r w:rsidRPr="001A3D2B">
        <w:t>last few years</w:t>
      </w:r>
      <w:r w:rsidR="005853A9">
        <w:t xml:space="preserve"> and </w:t>
      </w:r>
      <w:r w:rsidRPr="001A3D2B">
        <w:t>that draws on techniques from a range</w:t>
      </w:r>
      <w:r w:rsidR="00427468">
        <w:t xml:space="preserve"> of </w:t>
      </w:r>
      <w:r w:rsidRPr="001A3D2B">
        <w:t>disciplines, most notably chemistry (particularly computational</w:t>
      </w:r>
      <w:r w:rsidR="005853A9">
        <w:t xml:space="preserve"> and </w:t>
      </w:r>
      <w:r w:rsidRPr="001A3D2B">
        <w:t>medicinal chemistry), computer science</w:t>
      </w:r>
      <w:r w:rsidR="005853A9">
        <w:t xml:space="preserve"> and </w:t>
      </w:r>
      <w:r w:rsidRPr="001A3D2B">
        <w:t>information science. Design/methodology/approach - Discusses subject, author</w:t>
      </w:r>
      <w:r w:rsidR="005853A9">
        <w:t xml:space="preserve"> and </w:t>
      </w:r>
      <w:r w:rsidRPr="001A3D2B">
        <w:t>citation searches</w:t>
      </w:r>
      <w:r w:rsidR="00427468">
        <w:t xml:space="preserve"> of </w:t>
      </w:r>
      <w:r w:rsidRPr="001A3D2B">
        <w:t>(principally)</w:t>
      </w:r>
      <w:r w:rsidR="003A1917">
        <w:t xml:space="preserve"> the </w:t>
      </w:r>
      <w:r w:rsidRPr="001A3D2B">
        <w:t>web</w:t>
      </w:r>
      <w:r w:rsidR="00427468">
        <w:t xml:space="preserve"> of </w:t>
      </w:r>
      <w:r w:rsidRPr="001A3D2B">
        <w:t>knowledge database. Findings -</w:t>
      </w:r>
      <w:r w:rsidR="003A1917">
        <w:t xml:space="preserve"> the </w:t>
      </w:r>
      <w:r w:rsidRPr="001A3D2B">
        <w:t>Journal</w:t>
      </w:r>
      <w:r w:rsidR="00427468">
        <w:t xml:space="preserve"> of </w:t>
      </w:r>
      <w:r w:rsidRPr="001A3D2B">
        <w:t>Chemical Information</w:t>
      </w:r>
      <w:r w:rsidR="005853A9">
        <w:t xml:space="preserve"> and </w:t>
      </w:r>
      <w:r w:rsidRPr="001A3D2B">
        <w:t>Modeling (previously</w:t>
      </w:r>
      <w:r w:rsidR="003A1917">
        <w:t xml:space="preserve"> the </w:t>
      </w:r>
      <w:r w:rsidRPr="001A3D2B">
        <w:t>Journal</w:t>
      </w:r>
      <w:r w:rsidR="00427468">
        <w:t xml:space="preserve"> of </w:t>
      </w:r>
      <w:r w:rsidRPr="001A3D2B">
        <w:t>Chemical Information</w:t>
      </w:r>
      <w:r w:rsidR="005853A9">
        <w:t xml:space="preserve"> and </w:t>
      </w:r>
      <w:r w:rsidRPr="001A3D2B">
        <w:t>Computer Sciences) is</w:t>
      </w:r>
      <w:r w:rsidR="003A1917">
        <w:t xml:space="preserve"> the </w:t>
      </w:r>
      <w:r w:rsidRPr="001A3D2B">
        <w:t>core journal for</w:t>
      </w:r>
      <w:r w:rsidR="003A1917">
        <w:t xml:space="preserve"> the </w:t>
      </w:r>
      <w:r w:rsidRPr="001A3D2B">
        <w:t>subject, but with many significant papers being published in journals whose principal focus is molecular modelling, quantitative structure-activity relationships or more general aspects</w:t>
      </w:r>
      <w:r w:rsidR="00427468">
        <w:t xml:space="preserve"> of </w:t>
      </w:r>
      <w:r w:rsidRPr="001A3D2B">
        <w:t>chemistry</w:t>
      </w:r>
      <w:r w:rsidR="00A37C1D">
        <w:t>. The</w:t>
      </w:r>
      <w:r w:rsidR="003A1917">
        <w:t xml:space="preserve"> </w:t>
      </w:r>
      <w:r w:rsidRPr="001A3D2B">
        <w:t>discipline is international in scope,</w:t>
      </w:r>
      <w:r w:rsidR="005853A9">
        <w:t xml:space="preserve"> and </w:t>
      </w:r>
      <w:r w:rsidRPr="001A3D2B">
        <w:t>many</w:t>
      </w:r>
      <w:r w:rsidR="00427468">
        <w:t xml:space="preserve"> of </w:t>
      </w:r>
      <w:r w:rsidR="003A1917">
        <w:t xml:space="preserve">the </w:t>
      </w:r>
      <w:r w:rsidRPr="001A3D2B">
        <w:t>most cited papers describe software packages that play a key role in modern chemoinformatics research. Originality/value - This is</w:t>
      </w:r>
      <w:r w:rsidR="003A1917">
        <w:t xml:space="preserve"> the </w:t>
      </w:r>
      <w:r w:rsidRPr="001A3D2B">
        <w:t>first bibliometric study</w:t>
      </w:r>
      <w:r w:rsidR="00427468">
        <w:t xml:space="preserve"> of </w:t>
      </w:r>
      <w:r w:rsidRPr="001A3D2B">
        <w:t>chemoinformatics,</w:t>
      </w:r>
      <w:r w:rsidR="005853A9">
        <w:t xml:space="preserve"> and </w:t>
      </w:r>
      <w:r w:rsidRPr="001A3D2B">
        <w:t>one</w:t>
      </w:r>
      <w:r w:rsidR="00427468">
        <w:t xml:space="preserve"> of </w:t>
      </w:r>
      <w:r w:rsidRPr="001A3D2B">
        <w:t>only a very few that consider</w:t>
      </w:r>
      <w:r w:rsidR="003A1917">
        <w:t xml:space="preserve"> the </w:t>
      </w:r>
      <w:r w:rsidRPr="001A3D2B">
        <w:t>bibliometrics</w:t>
      </w:r>
      <w:r w:rsidR="00427468">
        <w:t xml:space="preserve"> of </w:t>
      </w:r>
      <w:r w:rsidRPr="001A3D2B">
        <w:t xml:space="preserve">computational chemistry more </w:t>
      </w:r>
      <w:r w:rsidRPr="001A3D2B">
        <w:lastRenderedPageBreak/>
        <w:t>generally.</w:t>
      </w:r>
    </w:p>
    <w:p w:rsidR="003474F2" w:rsidRPr="001A3D2B" w:rsidRDefault="003474F2" w:rsidP="003474F2">
      <w:pPr>
        <w:pStyle w:val="a3"/>
      </w:pPr>
      <w:r w:rsidRPr="001A3D2B">
        <w:t>Keywords: Analysis, Bibliometric, Bibliometric Analysis, Bibliometric Study, Bibliometrics, Chemistry, Citation, Database, Databases, Docking, Drug Discovery, First, General, Impact, Information, Information Retrieval, Information Science, International, Journal, Journals, Knowledge, Literature, Modeling, Modelling, Papers, Prediction, Program, Protein, Purpose, Research, Role, Science, Scope, Search, Software, Techniques, Validation, Web</w:t>
      </w:r>
    </w:p>
    <w:p w:rsidR="00D74D48" w:rsidRDefault="00D74D48" w:rsidP="00D74D48">
      <w:pPr>
        <w:pStyle w:val="a3"/>
        <w:rPr>
          <w:kern w:val="0"/>
        </w:rPr>
      </w:pPr>
      <w:r>
        <w:rPr>
          <w:rFonts w:hint="eastAsia"/>
          <w:kern w:val="0"/>
        </w:rPr>
        <w:t xml:space="preserve">? </w:t>
      </w:r>
      <w:r>
        <w:rPr>
          <w:kern w:val="0"/>
        </w:rPr>
        <w:t>Mozaffarian, M.</w:t>
      </w:r>
      <w:r w:rsidR="005853A9">
        <w:rPr>
          <w:kern w:val="0"/>
        </w:rPr>
        <w:t xml:space="preserve"> and </w:t>
      </w:r>
      <w:r>
        <w:rPr>
          <w:kern w:val="0"/>
        </w:rPr>
        <w:t>Jamali, H.R. (2008), Iranian women in science: A gender study</w:t>
      </w:r>
      <w:r w:rsidR="00427468">
        <w:rPr>
          <w:kern w:val="0"/>
        </w:rPr>
        <w:t xml:space="preserve"> of </w:t>
      </w:r>
      <w:r>
        <w:rPr>
          <w:kern w:val="0"/>
        </w:rPr>
        <w:t xml:space="preserve">scientific productivity in an Islamic country. </w:t>
      </w:r>
      <w:r>
        <w:rPr>
          <w:i/>
          <w:iCs/>
          <w:kern w:val="0"/>
        </w:rPr>
        <w:t>Aslib Proceedings</w:t>
      </w:r>
      <w:r>
        <w:rPr>
          <w:kern w:val="0"/>
        </w:rPr>
        <w:t xml:space="preserve">, </w:t>
      </w:r>
      <w:r>
        <w:rPr>
          <w:b/>
          <w:bCs/>
          <w:kern w:val="0"/>
        </w:rPr>
        <w:t>60</w:t>
      </w:r>
      <w:r>
        <w:rPr>
          <w:kern w:val="0"/>
        </w:rPr>
        <w:t xml:space="preserve"> (5), 463-473.</w:t>
      </w:r>
    </w:p>
    <w:p w:rsidR="00D74D48" w:rsidRDefault="00D74D48" w:rsidP="00D74D48">
      <w:pPr>
        <w:pStyle w:val="a3"/>
      </w:pPr>
      <w:r w:rsidRPr="001A3D2B">
        <w:t xml:space="preserve">Full Text: </w:t>
      </w:r>
      <w:hyperlink r:id="rId1329" w:history="1">
        <w:r w:rsidRPr="00D74D48">
          <w:rPr>
            <w:rStyle w:val="a5"/>
          </w:rPr>
          <w:t>2008\Asl Pro60, 463.pdf</w:t>
        </w:r>
      </w:hyperlink>
    </w:p>
    <w:p w:rsidR="00D74D48" w:rsidRDefault="00D74D48" w:rsidP="00D74D48">
      <w:pPr>
        <w:pStyle w:val="a3"/>
        <w:rPr>
          <w:kern w:val="0"/>
        </w:rPr>
      </w:pPr>
      <w:r>
        <w:rPr>
          <w:kern w:val="0"/>
        </w:rPr>
        <w:t>Abstract: Purpose -</w:t>
      </w:r>
      <w:r w:rsidR="003A1917">
        <w:rPr>
          <w:kern w:val="0"/>
        </w:rPr>
        <w:t xml:space="preserve"> the </w:t>
      </w:r>
      <w:r>
        <w:rPr>
          <w:kern w:val="0"/>
        </w:rPr>
        <w:t>aim</w:t>
      </w:r>
      <w:r w:rsidR="00427468">
        <w:rPr>
          <w:kern w:val="0"/>
        </w:rPr>
        <w:t xml:space="preserve"> of </w:t>
      </w:r>
      <w:r w:rsidR="003A1917">
        <w:rPr>
          <w:kern w:val="0"/>
        </w:rPr>
        <w:t xml:space="preserve">the </w:t>
      </w:r>
      <w:r>
        <w:rPr>
          <w:kern w:val="0"/>
        </w:rPr>
        <w:t>paper is to explore</w:t>
      </w:r>
      <w:r w:rsidR="005853A9">
        <w:rPr>
          <w:kern w:val="0"/>
        </w:rPr>
        <w:t xml:space="preserve"> and </w:t>
      </w:r>
      <w:r>
        <w:rPr>
          <w:kern w:val="0"/>
        </w:rPr>
        <w:t>test gender differences in</w:t>
      </w:r>
      <w:r w:rsidR="003A1917">
        <w:rPr>
          <w:kern w:val="0"/>
        </w:rPr>
        <w:t xml:space="preserve"> the </w:t>
      </w:r>
      <w:r>
        <w:rPr>
          <w:kern w:val="0"/>
        </w:rPr>
        <w:t>authorship</w:t>
      </w:r>
      <w:r w:rsidR="00427468">
        <w:rPr>
          <w:kern w:val="0"/>
        </w:rPr>
        <w:t xml:space="preserve"> of </w:t>
      </w:r>
      <w:r>
        <w:rPr>
          <w:kern w:val="0"/>
        </w:rPr>
        <w:t>Iranian journal articles. Design/methodology/approach - A list</w:t>
      </w:r>
      <w:r w:rsidR="00427468">
        <w:rPr>
          <w:kern w:val="0"/>
        </w:rPr>
        <w:t xml:space="preserve"> of </w:t>
      </w:r>
      <w:r>
        <w:rPr>
          <w:kern w:val="0"/>
        </w:rPr>
        <w:t>articles published by Iranian authors in ISI journals in 2003 was obtained from</w:t>
      </w:r>
      <w:r w:rsidR="003A1917">
        <w:rPr>
          <w:kern w:val="0"/>
        </w:rPr>
        <w:t xml:space="preserve"> the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names</w:t>
      </w:r>
      <w:r w:rsidR="00427468">
        <w:rPr>
          <w:kern w:val="0"/>
        </w:rPr>
        <w:t xml:space="preserve"> of </w:t>
      </w:r>
      <w:r>
        <w:rPr>
          <w:kern w:val="0"/>
        </w:rPr>
        <w:t>authors were searched in a specific database as well as</w:t>
      </w:r>
      <w:r w:rsidR="003A1917">
        <w:rPr>
          <w:kern w:val="0"/>
        </w:rPr>
        <w:t xml:space="preserve"> the </w:t>
      </w:r>
      <w:r>
        <w:rPr>
          <w:kern w:val="0"/>
        </w:rPr>
        <w:t>web to find their first names</w:t>
      </w:r>
      <w:r w:rsidR="005853A9">
        <w:rPr>
          <w:kern w:val="0"/>
        </w:rPr>
        <w:t xml:space="preserve"> and </w:t>
      </w:r>
      <w:r>
        <w:rPr>
          <w:kern w:val="0"/>
        </w:rPr>
        <w:t>hence their gender</w:t>
      </w:r>
      <w:r w:rsidR="00A37C1D">
        <w:rPr>
          <w:kern w:val="0"/>
        </w:rPr>
        <w:t>. The</w:t>
      </w:r>
      <w:r w:rsidR="003A1917">
        <w:rPr>
          <w:kern w:val="0"/>
        </w:rPr>
        <w:t xml:space="preserve"> </w:t>
      </w:r>
      <w:r>
        <w:rPr>
          <w:kern w:val="0"/>
        </w:rPr>
        <w:t>articles were then broken down by gender</w:t>
      </w:r>
      <w:r w:rsidR="005853A9">
        <w:rPr>
          <w:kern w:val="0"/>
        </w:rPr>
        <w:t xml:space="preserve"> and </w:t>
      </w:r>
      <w:r>
        <w:rPr>
          <w:kern w:val="0"/>
        </w:rPr>
        <w:t>subject category. International collaborations</w:t>
      </w:r>
      <w:r w:rsidR="00427468">
        <w:rPr>
          <w:kern w:val="0"/>
        </w:rPr>
        <w:t xml:space="preserve"> of </w:t>
      </w:r>
      <w:r w:rsidR="003A1917">
        <w:rPr>
          <w:kern w:val="0"/>
        </w:rPr>
        <w:t xml:space="preserve">the </w:t>
      </w:r>
      <w:r>
        <w:rPr>
          <w:kern w:val="0"/>
        </w:rPr>
        <w:t>authors were also investigated. Findings -</w:t>
      </w:r>
      <w:r w:rsidR="003A1917">
        <w:rPr>
          <w:kern w:val="0"/>
        </w:rPr>
        <w:t xml:space="preserve"> the </w:t>
      </w:r>
      <w:r>
        <w:rPr>
          <w:kern w:val="0"/>
        </w:rPr>
        <w:t>productivity</w:t>
      </w:r>
      <w:r w:rsidR="00427468">
        <w:rPr>
          <w:kern w:val="0"/>
        </w:rPr>
        <w:t xml:space="preserve"> of </w:t>
      </w:r>
      <w:r>
        <w:rPr>
          <w:kern w:val="0"/>
        </w:rPr>
        <w:t>female authors at</w:t>
      </w:r>
      <w:r w:rsidR="003A1917">
        <w:rPr>
          <w:kern w:val="0"/>
        </w:rPr>
        <w:t xml:space="preserve"> the </w:t>
      </w:r>
      <w:r>
        <w:rPr>
          <w:kern w:val="0"/>
        </w:rPr>
        <w:t>individual level as measured by article per author share was lower than male authors. In total, females accounted for 6 per cent</w:t>
      </w:r>
      <w:r w:rsidR="005853A9">
        <w:rPr>
          <w:kern w:val="0"/>
        </w:rPr>
        <w:t xml:space="preserve"> and </w:t>
      </w:r>
      <w:r>
        <w:rPr>
          <w:kern w:val="0"/>
        </w:rPr>
        <w:t>males for 94 per cent</w:t>
      </w:r>
      <w:r w:rsidR="00427468">
        <w:rPr>
          <w:kern w:val="0"/>
        </w:rPr>
        <w:t xml:space="preserve"> of </w:t>
      </w:r>
      <w:r w:rsidR="003A1917">
        <w:rPr>
          <w:kern w:val="0"/>
        </w:rPr>
        <w:t xml:space="preserve">the </w:t>
      </w:r>
      <w:r>
        <w:rPr>
          <w:kern w:val="0"/>
        </w:rPr>
        <w:t>articles published in 2003. A chi-square test showed that female contribution was significantly lower than expected. Originality/value -</w:t>
      </w:r>
      <w:r w:rsidR="003A1917">
        <w:rPr>
          <w:kern w:val="0"/>
        </w:rPr>
        <w:t xml:space="preserve"> the </w:t>
      </w:r>
      <w:r>
        <w:rPr>
          <w:kern w:val="0"/>
        </w:rPr>
        <w:t>study is</w:t>
      </w:r>
      <w:r w:rsidR="003A1917">
        <w:rPr>
          <w:kern w:val="0"/>
        </w:rPr>
        <w:t xml:space="preserve"> the </w:t>
      </w:r>
      <w:r>
        <w:rPr>
          <w:kern w:val="0"/>
        </w:rPr>
        <w:t>first to investigate gender participation in scientific productivity in Iran</w:t>
      </w:r>
      <w:r w:rsidR="005853A9">
        <w:rPr>
          <w:kern w:val="0"/>
        </w:rPr>
        <w:t xml:space="preserve"> and </w:t>
      </w:r>
      <w:r>
        <w:rPr>
          <w:kern w:val="0"/>
        </w:rPr>
        <w:t>most likely in a Muslim country</w:t>
      </w:r>
      <w:r w:rsidR="00A37C1D">
        <w:rPr>
          <w:kern w:val="0"/>
        </w:rPr>
        <w:t>. The</w:t>
      </w:r>
      <w:r w:rsidR="003A1917">
        <w:rPr>
          <w:kern w:val="0"/>
        </w:rPr>
        <w:t xml:space="preserve"> </w:t>
      </w:r>
      <w:r>
        <w:rPr>
          <w:kern w:val="0"/>
        </w:rPr>
        <w:t>article highlights</w:t>
      </w:r>
      <w:r w:rsidR="003A1917">
        <w:rPr>
          <w:kern w:val="0"/>
        </w:rPr>
        <w:t xml:space="preserve"> the </w:t>
      </w:r>
      <w:r>
        <w:rPr>
          <w:kern w:val="0"/>
        </w:rPr>
        <w:t>need for qualitative studies on</w:t>
      </w:r>
      <w:r w:rsidR="003A1917">
        <w:rPr>
          <w:kern w:val="0"/>
        </w:rPr>
        <w:t xml:space="preserve"> the </w:t>
      </w:r>
      <w:r>
        <w:rPr>
          <w:kern w:val="0"/>
        </w:rPr>
        <w:t>gender aspect</w:t>
      </w:r>
      <w:r w:rsidR="00427468">
        <w:rPr>
          <w:kern w:val="0"/>
        </w:rPr>
        <w:t xml:space="preserve"> of </w:t>
      </w:r>
      <w:r>
        <w:rPr>
          <w:kern w:val="0"/>
        </w:rPr>
        <w:t>scientific productivity in Muslim countries.</w:t>
      </w:r>
    </w:p>
    <w:p w:rsidR="00D74D48" w:rsidRDefault="00D74D48" w:rsidP="00D74D48">
      <w:pPr>
        <w:pStyle w:val="a3"/>
        <w:rPr>
          <w:kern w:val="0"/>
        </w:rPr>
      </w:pPr>
      <w:r>
        <w:rPr>
          <w:kern w:val="0"/>
        </w:rPr>
        <w:t xml:space="preserve">Keywords: Academic Staff, Authors, Authorship, Contribution, Gender, Iran, Journal, Journals, Productivity Rate, Research Work, Science, Sex-Differences, </w:t>
      </w:r>
      <w:r w:rsidR="00D5664A">
        <w:rPr>
          <w:kern w:val="0"/>
        </w:rPr>
        <w:t>Web</w:t>
      </w:r>
      <w:r w:rsidR="00427468">
        <w:rPr>
          <w:kern w:val="0"/>
        </w:rPr>
        <w:t xml:space="preserve"> of </w:t>
      </w:r>
      <w:r w:rsidR="00D5664A">
        <w:rPr>
          <w:kern w:val="0"/>
        </w:rPr>
        <w:t>Science</w:t>
      </w:r>
      <w:r>
        <w:rPr>
          <w:kern w:val="0"/>
        </w:rPr>
        <w:t>, Women</w:t>
      </w:r>
    </w:p>
    <w:p w:rsidR="00D74D48" w:rsidRPr="001A3D2B" w:rsidRDefault="00D74D48" w:rsidP="00D74D48">
      <w:pPr>
        <w:pStyle w:val="a3"/>
        <w:rPr>
          <w:kern w:val="0"/>
          <w:szCs w:val="24"/>
        </w:rPr>
      </w:pPr>
      <w:r w:rsidRPr="001A3D2B">
        <w:rPr>
          <w:kern w:val="0"/>
          <w:szCs w:val="24"/>
        </w:rPr>
        <w:t>? Isetta, M. (2008), Evidence-based practice, healthcare delivery</w:t>
      </w:r>
      <w:r w:rsidR="005853A9">
        <w:rPr>
          <w:kern w:val="0"/>
          <w:szCs w:val="24"/>
        </w:rPr>
        <w:t xml:space="preserve"> and </w:t>
      </w:r>
      <w:r w:rsidRPr="001A3D2B">
        <w:rPr>
          <w:kern w:val="0"/>
          <w:szCs w:val="24"/>
        </w:rPr>
        <w:t xml:space="preserve">information management a contemporary case study. </w:t>
      </w:r>
      <w:r w:rsidRPr="001A3D2B">
        <w:rPr>
          <w:i/>
          <w:iCs/>
          <w:kern w:val="0"/>
          <w:szCs w:val="24"/>
        </w:rPr>
        <w:t>Aslib Proceedings</w:t>
      </w:r>
      <w:r w:rsidRPr="001A3D2B">
        <w:rPr>
          <w:kern w:val="0"/>
          <w:szCs w:val="24"/>
        </w:rPr>
        <w:t xml:space="preserve">, </w:t>
      </w:r>
      <w:r w:rsidRPr="001A3D2B">
        <w:rPr>
          <w:b/>
          <w:bCs/>
          <w:kern w:val="0"/>
          <w:szCs w:val="24"/>
        </w:rPr>
        <w:t>60</w:t>
      </w:r>
      <w:r w:rsidRPr="001A3D2B">
        <w:rPr>
          <w:kern w:val="0"/>
          <w:szCs w:val="24"/>
        </w:rPr>
        <w:t xml:space="preserve"> (6), 619-641.</w:t>
      </w:r>
    </w:p>
    <w:p w:rsidR="00D74D48" w:rsidRPr="001A3D2B" w:rsidRDefault="00D74D48" w:rsidP="00D74D48">
      <w:pPr>
        <w:pStyle w:val="a3"/>
      </w:pPr>
      <w:r w:rsidRPr="001A3D2B">
        <w:t xml:space="preserve">Full Text: </w:t>
      </w:r>
      <w:hyperlink r:id="rId1330" w:history="1">
        <w:r w:rsidRPr="001A3D2B">
          <w:rPr>
            <w:rStyle w:val="a5"/>
          </w:rPr>
          <w:t>2008\Asl Pro60, 619.pdf</w:t>
        </w:r>
      </w:hyperlink>
    </w:p>
    <w:p w:rsidR="00CF378C" w:rsidRPr="001A3D2B" w:rsidRDefault="00CF378C" w:rsidP="00CF378C">
      <w:pPr>
        <w:pStyle w:val="a3"/>
        <w:rPr>
          <w:kern w:val="0"/>
          <w:szCs w:val="24"/>
        </w:rPr>
      </w:pPr>
      <w:r w:rsidRPr="001A3D2B">
        <w:rPr>
          <w:kern w:val="0"/>
          <w:szCs w:val="24"/>
        </w:rPr>
        <w:t>Abstract: Purpose -</w:t>
      </w:r>
      <w:r w:rsidR="003A1917">
        <w:rPr>
          <w:kern w:val="0"/>
          <w:szCs w:val="24"/>
        </w:rPr>
        <w:t xml:space="preserve"> the </w:t>
      </w:r>
      <w:r w:rsidRPr="001A3D2B">
        <w:rPr>
          <w:kern w:val="0"/>
          <w:szCs w:val="24"/>
        </w:rPr>
        <w:t>evidence-based practice (EBP) model appears to have established itself as</w:t>
      </w:r>
      <w:r w:rsidR="003A1917">
        <w:rPr>
          <w:kern w:val="0"/>
          <w:szCs w:val="24"/>
        </w:rPr>
        <w:t xml:space="preserve"> the </w:t>
      </w:r>
      <w:r w:rsidRPr="001A3D2B">
        <w:rPr>
          <w:kern w:val="0"/>
          <w:szCs w:val="24"/>
        </w:rPr>
        <w:t>principal change driver</w:t>
      </w:r>
      <w:r w:rsidR="005853A9">
        <w:rPr>
          <w:kern w:val="0"/>
          <w:szCs w:val="24"/>
        </w:rPr>
        <w:t xml:space="preserve"> and </w:t>
      </w:r>
      <w:r w:rsidRPr="001A3D2B">
        <w:rPr>
          <w:kern w:val="0"/>
          <w:szCs w:val="24"/>
        </w:rPr>
        <w:t>discourse for</w:t>
      </w:r>
      <w:r w:rsidR="003A1917">
        <w:rPr>
          <w:kern w:val="0"/>
          <w:szCs w:val="24"/>
        </w:rPr>
        <w:t xml:space="preserve"> the </w:t>
      </w:r>
      <w:r w:rsidRPr="001A3D2B">
        <w:rPr>
          <w:kern w:val="0"/>
          <w:szCs w:val="24"/>
        </w:rPr>
        <w:t>healthcare sector. This study sets out to identify</w:t>
      </w:r>
      <w:r w:rsidR="003A1917">
        <w:rPr>
          <w:kern w:val="0"/>
          <w:szCs w:val="24"/>
        </w:rPr>
        <w:t xml:space="preserve"> the </w:t>
      </w:r>
      <w:r w:rsidRPr="001A3D2B">
        <w:rPr>
          <w:kern w:val="0"/>
          <w:szCs w:val="24"/>
        </w:rPr>
        <w:t>emergence</w:t>
      </w:r>
      <w:r w:rsidR="00427468">
        <w:rPr>
          <w:kern w:val="0"/>
          <w:szCs w:val="24"/>
        </w:rPr>
        <w:t xml:space="preserve"> of </w:t>
      </w:r>
      <w:r w:rsidR="003A1917">
        <w:rPr>
          <w:kern w:val="0"/>
          <w:szCs w:val="24"/>
        </w:rPr>
        <w:t xml:space="preserve">the </w:t>
      </w:r>
      <w:r w:rsidRPr="001A3D2B">
        <w:rPr>
          <w:kern w:val="0"/>
          <w:szCs w:val="24"/>
        </w:rPr>
        <w:t>term EBP in</w:t>
      </w:r>
      <w:r w:rsidR="003A1917">
        <w:rPr>
          <w:kern w:val="0"/>
          <w:szCs w:val="24"/>
        </w:rPr>
        <w:t xml:space="preserve"> the </w:t>
      </w:r>
      <w:r w:rsidRPr="001A3D2B">
        <w:rPr>
          <w:kern w:val="0"/>
          <w:szCs w:val="24"/>
        </w:rPr>
        <w:t>professional literature to establish an empirical foundation for discussion</w:t>
      </w:r>
      <w:r w:rsidR="00A37C1D">
        <w:rPr>
          <w:kern w:val="0"/>
          <w:szCs w:val="24"/>
        </w:rPr>
        <w:t>. The</w:t>
      </w:r>
      <w:r w:rsidR="003A1917">
        <w:rPr>
          <w:kern w:val="0"/>
          <w:szCs w:val="24"/>
        </w:rPr>
        <w:t xml:space="preserve"> </w:t>
      </w:r>
      <w:r w:rsidRPr="001A3D2B">
        <w:rPr>
          <w:kern w:val="0"/>
          <w:szCs w:val="24"/>
        </w:rPr>
        <w:t>understanding</w:t>
      </w:r>
      <w:r w:rsidR="00427468">
        <w:rPr>
          <w:kern w:val="0"/>
          <w:szCs w:val="24"/>
        </w:rPr>
        <w:t xml:space="preserve"> of </w:t>
      </w:r>
      <w:r w:rsidR="005853A9">
        <w:rPr>
          <w:kern w:val="0"/>
          <w:szCs w:val="24"/>
        </w:rPr>
        <w:t xml:space="preserve">and </w:t>
      </w:r>
      <w:r w:rsidRPr="001A3D2B">
        <w:rPr>
          <w:kern w:val="0"/>
          <w:szCs w:val="24"/>
        </w:rPr>
        <w:t>relevance to healthcare practitioners in a large South West London hospital are assessed</w:t>
      </w:r>
      <w:r w:rsidR="005853A9">
        <w:rPr>
          <w:kern w:val="0"/>
          <w:szCs w:val="24"/>
        </w:rPr>
        <w:t xml:space="preserve"> and </w:t>
      </w:r>
      <w:r w:rsidRPr="001A3D2B">
        <w:rPr>
          <w:kern w:val="0"/>
          <w:szCs w:val="24"/>
        </w:rPr>
        <w:t>their views related to</w:t>
      </w:r>
      <w:r w:rsidR="003A1917">
        <w:rPr>
          <w:kern w:val="0"/>
          <w:szCs w:val="24"/>
        </w:rPr>
        <w:t xml:space="preserve"> the </w:t>
      </w:r>
      <w:r w:rsidRPr="001A3D2B">
        <w:rPr>
          <w:kern w:val="0"/>
          <w:szCs w:val="24"/>
        </w:rPr>
        <w:t>perspective</w:t>
      </w:r>
      <w:r w:rsidR="00427468">
        <w:rPr>
          <w:kern w:val="0"/>
          <w:szCs w:val="24"/>
        </w:rPr>
        <w:t xml:space="preserve"> of </w:t>
      </w:r>
      <w:r w:rsidRPr="001A3D2B">
        <w:rPr>
          <w:kern w:val="0"/>
          <w:szCs w:val="24"/>
        </w:rPr>
        <w:t>library</w:t>
      </w:r>
      <w:r w:rsidR="005853A9">
        <w:rPr>
          <w:kern w:val="0"/>
          <w:szCs w:val="24"/>
        </w:rPr>
        <w:t xml:space="preserve"> and </w:t>
      </w:r>
      <w:r w:rsidRPr="001A3D2B">
        <w:rPr>
          <w:kern w:val="0"/>
          <w:szCs w:val="24"/>
        </w:rPr>
        <w:t>information professionals to assess implications for practice. Design/methodology/approach - An extensive literature search was carried out</w:t>
      </w:r>
      <w:r w:rsidR="005853A9">
        <w:rPr>
          <w:kern w:val="0"/>
          <w:szCs w:val="24"/>
        </w:rPr>
        <w:t xml:space="preserve"> and </w:t>
      </w:r>
      <w:r w:rsidR="003A1917">
        <w:rPr>
          <w:kern w:val="0"/>
          <w:szCs w:val="24"/>
        </w:rPr>
        <w:t xml:space="preserve">the </w:t>
      </w:r>
      <w:r w:rsidRPr="001A3D2B">
        <w:rPr>
          <w:kern w:val="0"/>
          <w:szCs w:val="24"/>
        </w:rPr>
        <w:t>data generated used to produce a growth curve for</w:t>
      </w:r>
      <w:r w:rsidR="003A1917">
        <w:rPr>
          <w:kern w:val="0"/>
          <w:szCs w:val="24"/>
        </w:rPr>
        <w:t xml:space="preserve"> the </w:t>
      </w:r>
      <w:r w:rsidRPr="001A3D2B">
        <w:rPr>
          <w:kern w:val="0"/>
          <w:szCs w:val="24"/>
        </w:rPr>
        <w:t>literature. A survey</w:t>
      </w:r>
      <w:r w:rsidR="00427468">
        <w:rPr>
          <w:kern w:val="0"/>
          <w:szCs w:val="24"/>
        </w:rPr>
        <w:t xml:space="preserve"> of </w:t>
      </w:r>
      <w:r w:rsidRPr="001A3D2B">
        <w:rPr>
          <w:kern w:val="0"/>
          <w:szCs w:val="24"/>
        </w:rPr>
        <w:lastRenderedPageBreak/>
        <w:t>health care professionals using e-mail</w:t>
      </w:r>
      <w:r w:rsidR="005853A9">
        <w:rPr>
          <w:kern w:val="0"/>
          <w:szCs w:val="24"/>
        </w:rPr>
        <w:t xml:space="preserve"> and </w:t>
      </w:r>
      <w:r w:rsidRPr="001A3D2B">
        <w:rPr>
          <w:kern w:val="0"/>
          <w:szCs w:val="24"/>
        </w:rPr>
        <w:t>follow-up interviews was undertaken at</w:t>
      </w:r>
      <w:r w:rsidR="003A1917">
        <w:rPr>
          <w:kern w:val="0"/>
          <w:szCs w:val="24"/>
        </w:rPr>
        <w:t xml:space="preserve"> the </w:t>
      </w:r>
      <w:r w:rsidRPr="001A3D2B">
        <w:rPr>
          <w:kern w:val="0"/>
          <w:szCs w:val="24"/>
        </w:rPr>
        <w:t>case hospital. Findings - Between 1998</w:t>
      </w:r>
      <w:r w:rsidR="005853A9">
        <w:rPr>
          <w:kern w:val="0"/>
          <w:szCs w:val="24"/>
        </w:rPr>
        <w:t xml:space="preserve"> and </w:t>
      </w:r>
      <w:r w:rsidRPr="001A3D2B">
        <w:rPr>
          <w:kern w:val="0"/>
          <w:szCs w:val="24"/>
        </w:rPr>
        <w:t>2004</w:t>
      </w:r>
      <w:r w:rsidR="003A1917">
        <w:rPr>
          <w:kern w:val="0"/>
          <w:szCs w:val="24"/>
        </w:rPr>
        <w:t xml:space="preserve"> the </w:t>
      </w:r>
      <w:r w:rsidRPr="001A3D2B">
        <w:rPr>
          <w:kern w:val="0"/>
          <w:szCs w:val="24"/>
        </w:rPr>
        <w:t>number</w:t>
      </w:r>
      <w:r w:rsidR="00427468">
        <w:rPr>
          <w:kern w:val="0"/>
          <w:szCs w:val="24"/>
        </w:rPr>
        <w:t xml:space="preserve"> of </w:t>
      </w:r>
      <w:r w:rsidRPr="001A3D2B">
        <w:rPr>
          <w:kern w:val="0"/>
          <w:szCs w:val="24"/>
        </w:rPr>
        <w:t>papers appearing to discuss</w:t>
      </w:r>
      <w:r w:rsidR="003A1917">
        <w:rPr>
          <w:kern w:val="0"/>
          <w:szCs w:val="24"/>
        </w:rPr>
        <w:t xml:space="preserve"> the </w:t>
      </w:r>
      <w:r w:rsidRPr="001A3D2B">
        <w:rPr>
          <w:kern w:val="0"/>
          <w:szCs w:val="24"/>
        </w:rPr>
        <w:t>theme increased four-fold</w:t>
      </w:r>
      <w:r w:rsidR="00A37C1D">
        <w:rPr>
          <w:kern w:val="0"/>
          <w:szCs w:val="24"/>
        </w:rPr>
        <w:t>. The</w:t>
      </w:r>
      <w:r w:rsidR="003A1917">
        <w:rPr>
          <w:kern w:val="0"/>
          <w:szCs w:val="24"/>
        </w:rPr>
        <w:t xml:space="preserve"> </w:t>
      </w:r>
      <w:r w:rsidRPr="001A3D2B">
        <w:rPr>
          <w:kern w:val="0"/>
          <w:szCs w:val="24"/>
        </w:rPr>
        <w:t>first recorded reference was in 1991</w:t>
      </w:r>
      <w:r w:rsidR="00A37C1D">
        <w:rPr>
          <w:kern w:val="0"/>
          <w:szCs w:val="24"/>
        </w:rPr>
        <w:t>. The</w:t>
      </w:r>
      <w:r w:rsidR="003A1917">
        <w:rPr>
          <w:kern w:val="0"/>
          <w:szCs w:val="24"/>
        </w:rPr>
        <w:t xml:space="preserve"> </w:t>
      </w:r>
      <w:r w:rsidRPr="001A3D2B">
        <w:rPr>
          <w:kern w:val="0"/>
          <w:szCs w:val="24"/>
        </w:rPr>
        <w:t>EBP model had strong official</w:t>
      </w:r>
      <w:r w:rsidR="005853A9">
        <w:rPr>
          <w:kern w:val="0"/>
          <w:szCs w:val="24"/>
        </w:rPr>
        <w:t xml:space="preserve"> and </w:t>
      </w:r>
      <w:r w:rsidRPr="001A3D2B">
        <w:rPr>
          <w:kern w:val="0"/>
          <w:szCs w:val="24"/>
        </w:rPr>
        <w:t>political support in</w:t>
      </w:r>
      <w:r w:rsidR="003A1917">
        <w:rPr>
          <w:kern w:val="0"/>
          <w:szCs w:val="24"/>
        </w:rPr>
        <w:t xml:space="preserve"> the </w:t>
      </w:r>
      <w:r w:rsidRPr="001A3D2B">
        <w:rPr>
          <w:kern w:val="0"/>
          <w:szCs w:val="24"/>
        </w:rPr>
        <w:t>field. On</w:t>
      </w:r>
      <w:r w:rsidR="003A1917">
        <w:rPr>
          <w:kern w:val="0"/>
          <w:szCs w:val="24"/>
        </w:rPr>
        <w:t xml:space="preserve"> the </w:t>
      </w:r>
      <w:r w:rsidRPr="001A3D2B">
        <w:rPr>
          <w:kern w:val="0"/>
          <w:szCs w:val="24"/>
        </w:rPr>
        <w:t>user sample there is evidence</w:t>
      </w:r>
      <w:r w:rsidR="00427468">
        <w:rPr>
          <w:kern w:val="0"/>
          <w:szCs w:val="24"/>
        </w:rPr>
        <w:t xml:space="preserve"> of </w:t>
      </w:r>
      <w:r w:rsidRPr="001A3D2B">
        <w:rPr>
          <w:kern w:val="0"/>
          <w:szCs w:val="24"/>
        </w:rPr>
        <w:t>resistance to</w:t>
      </w:r>
      <w:r w:rsidR="003A1917">
        <w:rPr>
          <w:kern w:val="0"/>
          <w:szCs w:val="24"/>
        </w:rPr>
        <w:t xml:space="preserve"> the </w:t>
      </w:r>
      <w:r w:rsidRPr="001A3D2B">
        <w:rPr>
          <w:kern w:val="0"/>
          <w:szCs w:val="24"/>
        </w:rPr>
        <w:t>orthodoxy. Practical implications -</w:t>
      </w:r>
      <w:r w:rsidR="003A1917">
        <w:rPr>
          <w:kern w:val="0"/>
          <w:szCs w:val="24"/>
        </w:rPr>
        <w:t xml:space="preserve"> the </w:t>
      </w:r>
      <w:r w:rsidRPr="001A3D2B">
        <w:rPr>
          <w:kern w:val="0"/>
          <w:szCs w:val="24"/>
        </w:rPr>
        <w:t>EBP model - variously adopted by several healthcare agencies - has placed information management at</w:t>
      </w:r>
      <w:r w:rsidR="003A1917">
        <w:rPr>
          <w:kern w:val="0"/>
          <w:szCs w:val="24"/>
        </w:rPr>
        <w:t xml:space="preserve"> the </w:t>
      </w:r>
      <w:r w:rsidRPr="001A3D2B">
        <w:rPr>
          <w:kern w:val="0"/>
          <w:szCs w:val="24"/>
        </w:rPr>
        <w:t>centre</w:t>
      </w:r>
      <w:r w:rsidR="00427468">
        <w:rPr>
          <w:kern w:val="0"/>
          <w:szCs w:val="24"/>
        </w:rPr>
        <w:t xml:space="preserve"> of </w:t>
      </w:r>
      <w:r w:rsidR="003A1917">
        <w:rPr>
          <w:kern w:val="0"/>
          <w:szCs w:val="24"/>
        </w:rPr>
        <w:t xml:space="preserve">the </w:t>
      </w:r>
      <w:r w:rsidRPr="001A3D2B">
        <w:rPr>
          <w:kern w:val="0"/>
          <w:szCs w:val="24"/>
        </w:rPr>
        <w:t>care process. In spite</w:t>
      </w:r>
      <w:r w:rsidR="00427468">
        <w:rPr>
          <w:kern w:val="0"/>
          <w:szCs w:val="24"/>
        </w:rPr>
        <w:t xml:space="preserve"> of </w:t>
      </w:r>
      <w:r w:rsidRPr="001A3D2B">
        <w:rPr>
          <w:kern w:val="0"/>
          <w:szCs w:val="24"/>
        </w:rPr>
        <w:t>this, there are few definite implications for</w:t>
      </w:r>
      <w:r w:rsidR="003A1917">
        <w:rPr>
          <w:kern w:val="0"/>
          <w:szCs w:val="24"/>
        </w:rPr>
        <w:t xml:space="preserve"> the </w:t>
      </w:r>
      <w:r w:rsidRPr="001A3D2B">
        <w:rPr>
          <w:kern w:val="0"/>
          <w:szCs w:val="24"/>
        </w:rPr>
        <w:t>role</w:t>
      </w:r>
      <w:r w:rsidR="00427468">
        <w:rPr>
          <w:kern w:val="0"/>
          <w:szCs w:val="24"/>
        </w:rPr>
        <w:t xml:space="preserve"> of </w:t>
      </w:r>
      <w:r w:rsidRPr="001A3D2B">
        <w:rPr>
          <w:kern w:val="0"/>
          <w:szCs w:val="24"/>
        </w:rPr>
        <w:t>library</w:t>
      </w:r>
      <w:r w:rsidR="005853A9">
        <w:rPr>
          <w:kern w:val="0"/>
          <w:szCs w:val="24"/>
        </w:rPr>
        <w:t xml:space="preserve"> and </w:t>
      </w:r>
      <w:r w:rsidRPr="001A3D2B">
        <w:rPr>
          <w:kern w:val="0"/>
          <w:szCs w:val="24"/>
        </w:rPr>
        <w:t>information professionals, since</w:t>
      </w:r>
      <w:r w:rsidR="003A1917">
        <w:rPr>
          <w:kern w:val="0"/>
          <w:szCs w:val="24"/>
        </w:rPr>
        <w:t xml:space="preserve"> the </w:t>
      </w:r>
      <w:r w:rsidRPr="001A3D2B">
        <w:rPr>
          <w:kern w:val="0"/>
          <w:szCs w:val="24"/>
        </w:rPr>
        <w:t>world</w:t>
      </w:r>
      <w:r w:rsidR="00427468">
        <w:rPr>
          <w:kern w:val="0"/>
          <w:szCs w:val="24"/>
        </w:rPr>
        <w:t xml:space="preserve"> of </w:t>
      </w:r>
      <w:r w:rsidRPr="001A3D2B">
        <w:rPr>
          <w:kern w:val="0"/>
          <w:szCs w:val="24"/>
        </w:rPr>
        <w:t>information</w:t>
      </w:r>
      <w:r w:rsidR="005853A9">
        <w:rPr>
          <w:kern w:val="0"/>
          <w:szCs w:val="24"/>
        </w:rPr>
        <w:t xml:space="preserve"> and </w:t>
      </w:r>
      <w:r w:rsidR="003A1917">
        <w:rPr>
          <w:kern w:val="0"/>
          <w:szCs w:val="24"/>
        </w:rPr>
        <w:t xml:space="preserve">the </w:t>
      </w:r>
      <w:r w:rsidRPr="001A3D2B">
        <w:rPr>
          <w:kern w:val="0"/>
          <w:szCs w:val="24"/>
        </w:rPr>
        <w:t>UK NHS itself are continually in a state</w:t>
      </w:r>
      <w:r w:rsidR="00427468">
        <w:rPr>
          <w:kern w:val="0"/>
          <w:szCs w:val="24"/>
        </w:rPr>
        <w:t xml:space="preserve"> of </w:t>
      </w:r>
      <w:r w:rsidRPr="001A3D2B">
        <w:rPr>
          <w:kern w:val="0"/>
          <w:szCs w:val="24"/>
        </w:rPr>
        <w:t>flux,</w:t>
      </w:r>
      <w:r w:rsidR="005853A9">
        <w:rPr>
          <w:kern w:val="0"/>
          <w:szCs w:val="24"/>
        </w:rPr>
        <w:t xml:space="preserve"> and </w:t>
      </w:r>
      <w:r w:rsidR="003A1917">
        <w:rPr>
          <w:kern w:val="0"/>
          <w:szCs w:val="24"/>
        </w:rPr>
        <w:t xml:space="preserve">the </w:t>
      </w:r>
      <w:r w:rsidRPr="001A3D2B">
        <w:rPr>
          <w:kern w:val="0"/>
          <w:szCs w:val="24"/>
        </w:rPr>
        <w:t>current EBP dominance may neither strengthen nor safeguard it. Originality/value -</w:t>
      </w:r>
      <w:r w:rsidR="003A1917">
        <w:rPr>
          <w:kern w:val="0"/>
          <w:szCs w:val="24"/>
        </w:rPr>
        <w:t xml:space="preserve"> the </w:t>
      </w:r>
      <w:r w:rsidRPr="001A3D2B">
        <w:rPr>
          <w:kern w:val="0"/>
          <w:szCs w:val="24"/>
        </w:rPr>
        <w:t>bibliometric study provides a baseline</w:t>
      </w:r>
      <w:r w:rsidR="00A37C1D">
        <w:rPr>
          <w:kern w:val="0"/>
          <w:szCs w:val="24"/>
        </w:rPr>
        <w:t>. The</w:t>
      </w:r>
      <w:r w:rsidR="003A1917">
        <w:rPr>
          <w:kern w:val="0"/>
          <w:szCs w:val="24"/>
        </w:rPr>
        <w:t xml:space="preserve"> </w:t>
      </w:r>
      <w:r w:rsidRPr="001A3D2B">
        <w:rPr>
          <w:kern w:val="0"/>
          <w:szCs w:val="24"/>
        </w:rPr>
        <w:t>study</w:t>
      </w:r>
      <w:r w:rsidR="00427468">
        <w:rPr>
          <w:kern w:val="0"/>
          <w:szCs w:val="24"/>
        </w:rPr>
        <w:t xml:space="preserve"> of </w:t>
      </w:r>
      <w:r w:rsidRPr="001A3D2B">
        <w:rPr>
          <w:kern w:val="0"/>
          <w:szCs w:val="24"/>
        </w:rPr>
        <w:t>healthcare professionals is a case study to add to knowledge</w:t>
      </w:r>
      <w:r w:rsidR="00427468">
        <w:rPr>
          <w:kern w:val="0"/>
          <w:szCs w:val="24"/>
        </w:rPr>
        <w:t xml:space="preserve"> of </w:t>
      </w:r>
      <w:r w:rsidRPr="001A3D2B">
        <w:rPr>
          <w:kern w:val="0"/>
          <w:szCs w:val="24"/>
        </w:rPr>
        <w:t>practice.</w:t>
      </w:r>
    </w:p>
    <w:p w:rsidR="00CF378C" w:rsidRPr="001A3D2B" w:rsidRDefault="00CF378C" w:rsidP="00CF378C">
      <w:pPr>
        <w:pStyle w:val="a3"/>
        <w:rPr>
          <w:kern w:val="0"/>
          <w:szCs w:val="24"/>
        </w:rPr>
      </w:pPr>
      <w:r w:rsidRPr="001A3D2B">
        <w:rPr>
          <w:kern w:val="0"/>
          <w:szCs w:val="24"/>
        </w:rPr>
        <w:t>Keywords: Attitudes, Baseline, Bibliometric, Bibliometric Study, Care, Case Study, Change, Data, Delivery, Discourse, Dominance, Email, Emergence, Empirical, Evidence, Evidence Based, Evidence-Based, Evidence-Based Medicine, Evidence-Based Practice, Exploration, Field, First, Follow</w:t>
      </w:r>
      <w:r w:rsidR="0062028A">
        <w:rPr>
          <w:kern w:val="0"/>
          <w:szCs w:val="24"/>
        </w:rPr>
        <w:t>-up,</w:t>
      </w:r>
      <w:r w:rsidRPr="001A3D2B">
        <w:rPr>
          <w:kern w:val="0"/>
          <w:szCs w:val="24"/>
        </w:rPr>
        <w:t xml:space="preserve"> Future, Growth, Health, Health Care, Health Care Professionals, Healthcare, Hospital, Information, Information Services, Interviews, Knowledge, Libraries, Literature, Management, Medical Libraries, Model, National Health Service, NHS, Papers, Perceptions, Practice, Practitioners, Process, Professional, Professionals, Questionnaire Survey, Reference, Relevance, Resistance, Role, Search, Sector, State, Support, Surgeons, Survey, Term</w:t>
      </w:r>
      <w:r w:rsidR="00D5664A">
        <w:rPr>
          <w:kern w:val="0"/>
          <w:szCs w:val="24"/>
        </w:rPr>
        <w:t>, UK,</w:t>
      </w:r>
      <w:r w:rsidRPr="001A3D2B">
        <w:rPr>
          <w:kern w:val="0"/>
          <w:szCs w:val="24"/>
        </w:rPr>
        <w:t xml:space="preserve"> Understanding, United Kingdom, World</w:t>
      </w:r>
    </w:p>
    <w:p w:rsidR="00CF378C" w:rsidRPr="001A3D2B" w:rsidRDefault="00CF378C" w:rsidP="00CF378C">
      <w:pPr>
        <w:pStyle w:val="a3"/>
        <w:rPr>
          <w:kern w:val="0"/>
          <w:szCs w:val="24"/>
        </w:rPr>
      </w:pPr>
      <w:r w:rsidRPr="001A3D2B">
        <w:rPr>
          <w:kern w:val="0"/>
          <w:szCs w:val="24"/>
        </w:rPr>
        <w:t>? Olmeda-Gomez, C., Perianes-Rodriguez, A., Ovalle-Perandones, M.A., Guerrero-Bote, V.P.</w:t>
      </w:r>
      <w:r w:rsidR="005853A9">
        <w:rPr>
          <w:kern w:val="0"/>
          <w:szCs w:val="24"/>
        </w:rPr>
        <w:t xml:space="preserve"> and </w:t>
      </w:r>
      <w:r w:rsidRPr="001A3D2B">
        <w:rPr>
          <w:kern w:val="0"/>
          <w:szCs w:val="24"/>
        </w:rPr>
        <w:t>Anegon, F.D. (2009), Visualization</w:t>
      </w:r>
      <w:r w:rsidR="00427468">
        <w:rPr>
          <w:kern w:val="0"/>
          <w:szCs w:val="24"/>
        </w:rPr>
        <w:t xml:space="preserve"> of </w:t>
      </w:r>
      <w:r w:rsidRPr="001A3D2B">
        <w:rPr>
          <w:kern w:val="0"/>
          <w:szCs w:val="24"/>
        </w:rPr>
        <w:t xml:space="preserve">scientific co-authorship in Spanish universities from regionalization to internationalization. </w:t>
      </w:r>
      <w:r w:rsidRPr="001A3D2B">
        <w:rPr>
          <w:i/>
          <w:iCs/>
          <w:kern w:val="0"/>
          <w:szCs w:val="24"/>
        </w:rPr>
        <w:t>Aslib Proceedings</w:t>
      </w:r>
      <w:r w:rsidRPr="001A3D2B">
        <w:rPr>
          <w:kern w:val="0"/>
          <w:szCs w:val="24"/>
        </w:rPr>
        <w:t xml:space="preserve">, </w:t>
      </w:r>
      <w:r w:rsidRPr="001A3D2B">
        <w:rPr>
          <w:b/>
          <w:bCs/>
          <w:kern w:val="0"/>
          <w:szCs w:val="24"/>
        </w:rPr>
        <w:t>61</w:t>
      </w:r>
      <w:r w:rsidRPr="001A3D2B">
        <w:rPr>
          <w:kern w:val="0"/>
          <w:szCs w:val="24"/>
        </w:rPr>
        <w:t xml:space="preserve"> (1), 83-100.</w:t>
      </w:r>
    </w:p>
    <w:p w:rsidR="00CF378C" w:rsidRPr="001A3D2B" w:rsidRDefault="00CF378C" w:rsidP="00CF378C">
      <w:pPr>
        <w:pStyle w:val="a3"/>
      </w:pPr>
      <w:r w:rsidRPr="001A3D2B">
        <w:t xml:space="preserve">Full Text: </w:t>
      </w:r>
      <w:hyperlink r:id="rId1331" w:history="1">
        <w:r w:rsidR="005243C5" w:rsidRPr="001A3D2B">
          <w:rPr>
            <w:rStyle w:val="a5"/>
          </w:rPr>
          <w:t>2009\Asl Pro61, 83.pdf</w:t>
        </w:r>
      </w:hyperlink>
    </w:p>
    <w:p w:rsidR="00CF378C" w:rsidRPr="001A3D2B" w:rsidRDefault="00CF378C" w:rsidP="00CF378C">
      <w:pPr>
        <w:pStyle w:val="a3"/>
        <w:rPr>
          <w:kern w:val="0"/>
          <w:szCs w:val="24"/>
        </w:rPr>
      </w:pPr>
      <w:r w:rsidRPr="001A3D2B">
        <w:rPr>
          <w:kern w:val="0"/>
          <w:szCs w:val="24"/>
        </w:rPr>
        <w:t>Abstract: Purpose -</w:t>
      </w:r>
      <w:r w:rsidR="003A1917">
        <w:rPr>
          <w:kern w:val="0"/>
          <w:szCs w:val="24"/>
        </w:rPr>
        <w:t xml:space="preserve"> the </w:t>
      </w:r>
      <w:r w:rsidRPr="001A3D2B">
        <w:rPr>
          <w:kern w:val="0"/>
          <w:szCs w:val="24"/>
        </w:rPr>
        <w:t>purpose</w:t>
      </w:r>
      <w:r w:rsidR="00427468">
        <w:rPr>
          <w:kern w:val="0"/>
          <w:szCs w:val="24"/>
        </w:rPr>
        <w:t xml:space="preserve"> of </w:t>
      </w:r>
      <w:r w:rsidRPr="001A3D2B">
        <w:rPr>
          <w:kern w:val="0"/>
          <w:szCs w:val="24"/>
        </w:rPr>
        <w:t>this paper is to visualize</w:t>
      </w:r>
      <w:r w:rsidR="003A1917">
        <w:rPr>
          <w:kern w:val="0"/>
          <w:szCs w:val="24"/>
        </w:rPr>
        <w:t xml:space="preserve"> the </w:t>
      </w:r>
      <w:r w:rsidRPr="001A3D2B">
        <w:rPr>
          <w:kern w:val="0"/>
          <w:szCs w:val="24"/>
        </w:rPr>
        <w:t>inter-university</w:t>
      </w:r>
      <w:r w:rsidR="005853A9">
        <w:rPr>
          <w:kern w:val="0"/>
          <w:szCs w:val="24"/>
        </w:rPr>
        <w:t xml:space="preserve"> and </w:t>
      </w:r>
      <w:r w:rsidRPr="001A3D2B">
        <w:rPr>
          <w:kern w:val="0"/>
          <w:szCs w:val="24"/>
        </w:rPr>
        <w:t>international collaboration networks generated by Spanish universities based on</w:t>
      </w:r>
      <w:r w:rsidR="003A1917">
        <w:rPr>
          <w:kern w:val="0"/>
          <w:szCs w:val="24"/>
        </w:rPr>
        <w:t xml:space="preserve"> the </w:t>
      </w:r>
      <w:r w:rsidRPr="001A3D2B">
        <w:rPr>
          <w:kern w:val="0"/>
          <w:szCs w:val="24"/>
        </w:rPr>
        <w:t>co-authorship</w:t>
      </w:r>
      <w:r w:rsidR="00427468">
        <w:rPr>
          <w:kern w:val="0"/>
          <w:szCs w:val="24"/>
        </w:rPr>
        <w:t xml:space="preserve"> of </w:t>
      </w:r>
      <w:r w:rsidRPr="001A3D2B">
        <w:rPr>
          <w:kern w:val="0"/>
          <w:szCs w:val="24"/>
        </w:rPr>
        <w:t>scientific articles. Design/methodology/approach -</w:t>
      </w:r>
      <w:r w:rsidR="003A1917">
        <w:rPr>
          <w:kern w:val="0"/>
          <w:szCs w:val="24"/>
        </w:rPr>
        <w:t xml:space="preserve"> the </w:t>
      </w:r>
      <w:r w:rsidRPr="001A3D2B">
        <w:rPr>
          <w:kern w:val="0"/>
          <w:szCs w:val="24"/>
        </w:rPr>
        <w:t>approach takes</w:t>
      </w:r>
      <w:r w:rsidR="003A1917">
        <w:rPr>
          <w:kern w:val="0"/>
          <w:szCs w:val="24"/>
        </w:rPr>
        <w:t xml:space="preserve"> the </w:t>
      </w:r>
      <w:r w:rsidRPr="001A3D2B">
        <w:rPr>
          <w:kern w:val="0"/>
          <w:szCs w:val="24"/>
        </w:rPr>
        <w:t>form</w:t>
      </w:r>
      <w:r w:rsidR="00427468">
        <w:rPr>
          <w:kern w:val="0"/>
          <w:szCs w:val="24"/>
        </w:rPr>
        <w:t xml:space="preserve"> of </w:t>
      </w:r>
      <w:r w:rsidRPr="001A3D2B">
        <w:rPr>
          <w:kern w:val="0"/>
          <w:szCs w:val="24"/>
        </w:rPr>
        <w:t>formulation based on a bibliometric analysis</w:t>
      </w:r>
      <w:r w:rsidR="00427468">
        <w:rPr>
          <w:kern w:val="0"/>
          <w:szCs w:val="24"/>
        </w:rPr>
        <w:t xml:space="preserve"> of </w:t>
      </w:r>
      <w:r w:rsidRPr="001A3D2B">
        <w:rPr>
          <w:kern w:val="0"/>
          <w:szCs w:val="24"/>
        </w:rPr>
        <w:t xml:space="preserve">Spanish university production from 2000 to 2004 as contained in </w:t>
      </w:r>
      <w:r w:rsidR="00D5664A">
        <w:rPr>
          <w:kern w:val="0"/>
          <w:szCs w:val="24"/>
        </w:rPr>
        <w:t>Web</w:t>
      </w:r>
      <w:r w:rsidR="00427468">
        <w:rPr>
          <w:kern w:val="0"/>
          <w:szCs w:val="24"/>
        </w:rPr>
        <w:t xml:space="preserve"> of </w:t>
      </w:r>
      <w:r w:rsidR="00D5664A">
        <w:rPr>
          <w:kern w:val="0"/>
          <w:szCs w:val="24"/>
        </w:rPr>
        <w:t>Science</w:t>
      </w:r>
      <w:r w:rsidRPr="001A3D2B">
        <w:rPr>
          <w:kern w:val="0"/>
          <w:szCs w:val="24"/>
        </w:rPr>
        <w:t xml:space="preserve"> databases, applying social network visualization techniques</w:t>
      </w:r>
      <w:r w:rsidR="00A37C1D">
        <w:rPr>
          <w:kern w:val="0"/>
          <w:szCs w:val="24"/>
        </w:rPr>
        <w:t>. The</w:t>
      </w:r>
      <w:r w:rsidR="003A1917">
        <w:rPr>
          <w:kern w:val="0"/>
          <w:szCs w:val="24"/>
        </w:rPr>
        <w:t xml:space="preserve"> </w:t>
      </w:r>
      <w:r w:rsidRPr="001A3D2B">
        <w:rPr>
          <w:kern w:val="0"/>
          <w:szCs w:val="24"/>
        </w:rPr>
        <w:t>co-authorship data used were extracted with</w:t>
      </w:r>
      <w:r w:rsidR="003A1917">
        <w:rPr>
          <w:kern w:val="0"/>
          <w:szCs w:val="24"/>
        </w:rPr>
        <w:t xml:space="preserve"> the </w:t>
      </w:r>
      <w:r w:rsidRPr="001A3D2B">
        <w:rPr>
          <w:kern w:val="0"/>
          <w:szCs w:val="24"/>
        </w:rPr>
        <w:t>total counting method from a database containing 100,710 papers. Findings - Spanish inter-university collaboration patterns appear to be influenced by both geographic proximity,</w:t>
      </w:r>
      <w:r w:rsidR="005853A9">
        <w:rPr>
          <w:kern w:val="0"/>
          <w:szCs w:val="24"/>
        </w:rPr>
        <w:t xml:space="preserve"> and </w:t>
      </w:r>
      <w:r w:rsidRPr="001A3D2B">
        <w:rPr>
          <w:kern w:val="0"/>
          <w:szCs w:val="24"/>
        </w:rPr>
        <w:t>administrative</w:t>
      </w:r>
      <w:r w:rsidR="005853A9">
        <w:rPr>
          <w:kern w:val="0"/>
          <w:szCs w:val="24"/>
        </w:rPr>
        <w:t xml:space="preserve"> and </w:t>
      </w:r>
      <w:r w:rsidRPr="001A3D2B">
        <w:rPr>
          <w:kern w:val="0"/>
          <w:szCs w:val="24"/>
        </w:rPr>
        <w:t>political affiliation. Inter-regional co-authorship encompasses regional sub-networks whose spatial scope conforms rather closely with Spanish geopolitical divisions. Papers involving international collaboration are written primarily with European Union</w:t>
      </w:r>
      <w:r w:rsidR="005853A9">
        <w:rPr>
          <w:kern w:val="0"/>
          <w:szCs w:val="24"/>
        </w:rPr>
        <w:t xml:space="preserve"> and </w:t>
      </w:r>
      <w:r w:rsidRPr="001A3D2B">
        <w:rPr>
          <w:kern w:val="0"/>
          <w:szCs w:val="24"/>
        </w:rPr>
        <w:t>North</w:t>
      </w:r>
      <w:r w:rsidR="005853A9">
        <w:rPr>
          <w:kern w:val="0"/>
          <w:szCs w:val="24"/>
        </w:rPr>
        <w:t xml:space="preserve"> and </w:t>
      </w:r>
      <w:r w:rsidRPr="001A3D2B">
        <w:rPr>
          <w:kern w:val="0"/>
          <w:szCs w:val="24"/>
        </w:rPr>
        <w:t xml:space="preserve">Latin </w:t>
      </w:r>
      <w:r w:rsidRPr="001A3D2B">
        <w:rPr>
          <w:kern w:val="0"/>
          <w:szCs w:val="24"/>
        </w:rPr>
        <w:lastRenderedPageBreak/>
        <w:t>American researchers. Greater visibility is attained with international co-authorship than with any other type</w:t>
      </w:r>
      <w:r w:rsidR="00427468">
        <w:rPr>
          <w:kern w:val="0"/>
          <w:szCs w:val="24"/>
        </w:rPr>
        <w:t xml:space="preserve"> of </w:t>
      </w:r>
      <w:r w:rsidRPr="001A3D2B">
        <w:rPr>
          <w:kern w:val="0"/>
          <w:szCs w:val="24"/>
        </w:rPr>
        <w:t>collaboration studied. Research limitations/implications - Impact was measured in terms</w:t>
      </w:r>
      <w:r w:rsidR="00427468">
        <w:rPr>
          <w:kern w:val="0"/>
          <w:szCs w:val="24"/>
        </w:rPr>
        <w:t xml:space="preserve"> of </w:t>
      </w:r>
      <w:r w:rsidRPr="001A3D2B">
        <w:rPr>
          <w:kern w:val="0"/>
          <w:szCs w:val="24"/>
        </w:rPr>
        <w:t>journals rather than each individual paper</w:t>
      </w:r>
      <w:r w:rsidR="00A37C1D">
        <w:rPr>
          <w:kern w:val="0"/>
          <w:szCs w:val="24"/>
        </w:rPr>
        <w:t>. The</w:t>
      </w:r>
      <w:r w:rsidR="003A1917">
        <w:rPr>
          <w:kern w:val="0"/>
          <w:szCs w:val="24"/>
        </w:rPr>
        <w:t xml:space="preserve"> </w:t>
      </w:r>
      <w:r w:rsidRPr="001A3D2B">
        <w:rPr>
          <w:kern w:val="0"/>
          <w:szCs w:val="24"/>
        </w:rPr>
        <w:t>co-authorship data were taken from</w:t>
      </w:r>
      <w:r w:rsidR="003A1917">
        <w:rPr>
          <w:kern w:val="0"/>
          <w:szCs w:val="24"/>
        </w:rPr>
        <w:t xml:space="preserve"> the </w:t>
      </w:r>
      <w:r w:rsidRPr="001A3D2B">
        <w:rPr>
          <w:kern w:val="0"/>
          <w:szCs w:val="24"/>
        </w:rPr>
        <w:t>Web</w:t>
      </w:r>
      <w:r w:rsidR="00427468">
        <w:rPr>
          <w:kern w:val="0"/>
          <w:szCs w:val="24"/>
        </w:rPr>
        <w:t xml:space="preserve"> of </w:t>
      </w:r>
      <w:r w:rsidRPr="001A3D2B">
        <w:rPr>
          <w:kern w:val="0"/>
          <w:szCs w:val="24"/>
        </w:rPr>
        <w:t>Knowledge</w:t>
      </w:r>
      <w:r w:rsidR="005853A9">
        <w:rPr>
          <w:kern w:val="0"/>
          <w:szCs w:val="24"/>
        </w:rPr>
        <w:t xml:space="preserve"> and </w:t>
      </w:r>
      <w:r w:rsidRPr="001A3D2B">
        <w:rPr>
          <w:kern w:val="0"/>
          <w:szCs w:val="24"/>
        </w:rPr>
        <w:t>were not compared with data from other databases. Practical implications -</w:t>
      </w:r>
      <w:r w:rsidR="003A1917">
        <w:rPr>
          <w:kern w:val="0"/>
          <w:szCs w:val="24"/>
        </w:rPr>
        <w:t xml:space="preserve"> the </w:t>
      </w:r>
      <w:r w:rsidRPr="001A3D2B">
        <w:rPr>
          <w:kern w:val="0"/>
          <w:szCs w:val="24"/>
        </w:rPr>
        <w:t>data obtained in</w:t>
      </w:r>
      <w:r w:rsidR="003A1917">
        <w:rPr>
          <w:kern w:val="0"/>
          <w:szCs w:val="24"/>
        </w:rPr>
        <w:t xml:space="preserve"> the </w:t>
      </w:r>
      <w:r w:rsidRPr="001A3D2B">
        <w:rPr>
          <w:kern w:val="0"/>
          <w:szCs w:val="24"/>
        </w:rPr>
        <w:t>paper may provide guidance for public policy makers seeking to enhance</w:t>
      </w:r>
      <w:r w:rsidR="005853A9">
        <w:rPr>
          <w:kern w:val="0"/>
          <w:szCs w:val="24"/>
        </w:rPr>
        <w:t xml:space="preserve"> and </w:t>
      </w:r>
      <w:r w:rsidRPr="001A3D2B">
        <w:rPr>
          <w:kern w:val="0"/>
          <w:szCs w:val="24"/>
        </w:rPr>
        <w:t>intensify</w:t>
      </w:r>
      <w:r w:rsidR="003A1917">
        <w:rPr>
          <w:kern w:val="0"/>
          <w:szCs w:val="24"/>
        </w:rPr>
        <w:t xml:space="preserve"> the </w:t>
      </w:r>
      <w:r w:rsidRPr="001A3D2B">
        <w:rPr>
          <w:kern w:val="0"/>
          <w:szCs w:val="24"/>
        </w:rPr>
        <w:t>internationalization</w:t>
      </w:r>
      <w:r w:rsidR="00427468">
        <w:rPr>
          <w:kern w:val="0"/>
          <w:szCs w:val="24"/>
        </w:rPr>
        <w:t xml:space="preserve"> of </w:t>
      </w:r>
      <w:r w:rsidRPr="001A3D2B">
        <w:rPr>
          <w:kern w:val="0"/>
          <w:szCs w:val="24"/>
        </w:rPr>
        <w:t>scientific production in Spanish universities. Originality/value -</w:t>
      </w:r>
      <w:r w:rsidR="003A1917">
        <w:rPr>
          <w:kern w:val="0"/>
          <w:szCs w:val="24"/>
        </w:rPr>
        <w:t xml:space="preserve"> the </w:t>
      </w:r>
      <w:r w:rsidRPr="001A3D2B">
        <w:rPr>
          <w:kern w:val="0"/>
          <w:szCs w:val="24"/>
        </w:rPr>
        <w:t>Spanish university system is in</w:t>
      </w:r>
      <w:r w:rsidR="003A1917">
        <w:rPr>
          <w:kern w:val="0"/>
          <w:szCs w:val="24"/>
        </w:rPr>
        <w:t xml:space="preserve"> the </w:t>
      </w:r>
      <w:r w:rsidRPr="001A3D2B">
        <w:rPr>
          <w:kern w:val="0"/>
          <w:szCs w:val="24"/>
        </w:rPr>
        <w:t>midst</w:t>
      </w:r>
      <w:r w:rsidR="00427468">
        <w:rPr>
          <w:kern w:val="0"/>
          <w:szCs w:val="24"/>
        </w:rPr>
        <w:t xml:space="preserve"> of </w:t>
      </w:r>
      <w:r w:rsidRPr="001A3D2B">
        <w:rPr>
          <w:kern w:val="0"/>
          <w:szCs w:val="24"/>
        </w:rPr>
        <w:t>profound structural change. This is</w:t>
      </w:r>
      <w:r w:rsidR="003A1917">
        <w:rPr>
          <w:kern w:val="0"/>
          <w:szCs w:val="24"/>
        </w:rPr>
        <w:t xml:space="preserve"> the </w:t>
      </w:r>
      <w:r w:rsidRPr="001A3D2B">
        <w:rPr>
          <w:kern w:val="0"/>
          <w:szCs w:val="24"/>
        </w:rPr>
        <w:t>first paper to describe Spanish university collaboration networks using social network visualization techniques, covering an area not previously addressed.</w:t>
      </w:r>
    </w:p>
    <w:p w:rsidR="00CF378C" w:rsidRPr="001A3D2B" w:rsidRDefault="00CF378C" w:rsidP="00CF378C">
      <w:pPr>
        <w:pStyle w:val="a3"/>
        <w:rPr>
          <w:kern w:val="0"/>
          <w:szCs w:val="24"/>
        </w:rPr>
      </w:pPr>
      <w:r w:rsidRPr="001A3D2B">
        <w:rPr>
          <w:kern w:val="0"/>
          <w:szCs w:val="24"/>
        </w:rPr>
        <w:t xml:space="preserve">Keywords: Affiliation, American, Analysis, Approach, Authorship, Bibliometric, Bibliometric Analysis, Change, Co-Authorship, Coauthorship, Collaboration, Collaboration Networks, Cooperation, Data, Database, Databases, European Union, First, Formulation, Geographical Proximity, Guidance, Impact, International, Internationalization, Journals, Latin American, Network, Network Analysis, Networks, North, Papers, Patterns, Policy, Production, Productivity, Public, Public Policy, Publications, Purpose, Regional, Regionalization, Research, Research Collaboration, Science, Scientific Production, Scope, Social, Social Network, Social Networks, Spain, Spanish, Techniques, Universities, University, Visibility, Visualization, </w:t>
      </w:r>
      <w:r w:rsidR="00D5664A">
        <w:rPr>
          <w:kern w:val="0"/>
          <w:szCs w:val="24"/>
        </w:rPr>
        <w:t>Web</w:t>
      </w:r>
      <w:r w:rsidR="00427468">
        <w:rPr>
          <w:kern w:val="0"/>
          <w:szCs w:val="24"/>
        </w:rPr>
        <w:t xml:space="preserve"> of </w:t>
      </w:r>
      <w:r w:rsidR="00D5664A">
        <w:rPr>
          <w:kern w:val="0"/>
          <w:szCs w:val="24"/>
        </w:rPr>
        <w:t>Science</w:t>
      </w:r>
    </w:p>
    <w:p w:rsidR="00B2573F" w:rsidRPr="001A3D2B" w:rsidRDefault="00B2573F" w:rsidP="00B2573F">
      <w:pPr>
        <w:pStyle w:val="a3"/>
        <w:rPr>
          <w:kern w:val="0"/>
        </w:rPr>
      </w:pPr>
      <w:r w:rsidRPr="001A3D2B">
        <w:rPr>
          <w:kern w:val="0"/>
        </w:rPr>
        <w:t>? Mahmood, I., Rowley, J.</w:t>
      </w:r>
      <w:r w:rsidR="005853A9">
        <w:rPr>
          <w:kern w:val="0"/>
        </w:rPr>
        <w:t xml:space="preserve"> and </w:t>
      </w:r>
      <w:r w:rsidRPr="001A3D2B">
        <w:rPr>
          <w:kern w:val="0"/>
        </w:rPr>
        <w:t>Hartley, R. (2009), Scientific publishing: A case study</w:t>
      </w:r>
      <w:r w:rsidR="00427468">
        <w:rPr>
          <w:kern w:val="0"/>
        </w:rPr>
        <w:t xml:space="preserve"> of </w:t>
      </w:r>
      <w:r w:rsidRPr="001A3D2B">
        <w:rPr>
          <w:kern w:val="0"/>
        </w:rPr>
        <w:t xml:space="preserve">Libyan scientists. </w:t>
      </w:r>
      <w:r w:rsidRPr="001A3D2B">
        <w:rPr>
          <w:i/>
          <w:iCs/>
          <w:kern w:val="0"/>
        </w:rPr>
        <w:t>Aslib Proceedings</w:t>
      </w:r>
      <w:r w:rsidRPr="001A3D2B">
        <w:rPr>
          <w:kern w:val="0"/>
        </w:rPr>
        <w:t xml:space="preserve">, </w:t>
      </w:r>
      <w:r w:rsidRPr="001A3D2B">
        <w:rPr>
          <w:b/>
          <w:bCs/>
          <w:kern w:val="0"/>
        </w:rPr>
        <w:t>61</w:t>
      </w:r>
      <w:r w:rsidRPr="001A3D2B">
        <w:rPr>
          <w:kern w:val="0"/>
        </w:rPr>
        <w:t xml:space="preserve"> (4), 380-393.</w:t>
      </w:r>
    </w:p>
    <w:p w:rsidR="005243C5" w:rsidRPr="001A3D2B" w:rsidRDefault="005243C5" w:rsidP="005243C5">
      <w:pPr>
        <w:pStyle w:val="a3"/>
      </w:pPr>
      <w:r w:rsidRPr="001A3D2B">
        <w:t xml:space="preserve">Full Text: </w:t>
      </w:r>
      <w:hyperlink r:id="rId1332" w:history="1">
        <w:r w:rsidRPr="001A3D2B">
          <w:rPr>
            <w:rStyle w:val="a5"/>
          </w:rPr>
          <w:t>2009\Asl Pro61, 380.pdf</w:t>
        </w:r>
      </w:hyperlink>
    </w:p>
    <w:p w:rsidR="00B2573F" w:rsidRPr="001A3D2B" w:rsidRDefault="00B2573F" w:rsidP="00B2573F">
      <w:pPr>
        <w:pStyle w:val="a3"/>
        <w:rPr>
          <w:kern w:val="0"/>
        </w:rPr>
      </w:pPr>
      <w:r w:rsidRPr="001A3D2B">
        <w:rPr>
          <w:kern w:val="0"/>
        </w:rPr>
        <w:t>Abstract: Purpose -</w:t>
      </w:r>
      <w:r w:rsidR="003A1917">
        <w:rPr>
          <w:kern w:val="0"/>
        </w:rPr>
        <w:t xml:space="preserve"> the </w:t>
      </w:r>
      <w:r w:rsidRPr="001A3D2B">
        <w:rPr>
          <w:kern w:val="0"/>
        </w:rPr>
        <w:t>paper aims to report on a research project that explores</w:t>
      </w:r>
      <w:r w:rsidR="003A1917">
        <w:rPr>
          <w:kern w:val="0"/>
        </w:rPr>
        <w:t xml:space="preserve"> the </w:t>
      </w:r>
      <w:r w:rsidRPr="001A3D2B">
        <w:rPr>
          <w:kern w:val="0"/>
        </w:rPr>
        <w:t>extent</w:t>
      </w:r>
      <w:r w:rsidR="005853A9">
        <w:rPr>
          <w:kern w:val="0"/>
        </w:rPr>
        <w:t xml:space="preserve"> and </w:t>
      </w:r>
      <w:r w:rsidRPr="001A3D2B">
        <w:rPr>
          <w:kern w:val="0"/>
        </w:rPr>
        <w:t>scope</w:t>
      </w:r>
      <w:r w:rsidR="00427468">
        <w:rPr>
          <w:kern w:val="0"/>
        </w:rPr>
        <w:t xml:space="preserve"> of </w:t>
      </w:r>
      <w:r w:rsidRPr="001A3D2B">
        <w:rPr>
          <w:kern w:val="0"/>
        </w:rPr>
        <w:t>scientific publishing, communication,</w:t>
      </w:r>
      <w:r w:rsidR="005853A9">
        <w:rPr>
          <w:kern w:val="0"/>
        </w:rPr>
        <w:t xml:space="preserve"> and </w:t>
      </w:r>
      <w:r w:rsidRPr="001A3D2B">
        <w:rPr>
          <w:kern w:val="0"/>
        </w:rPr>
        <w:t>collaboration amongst Libyan scientists. Design/methodology/approach -</w:t>
      </w:r>
      <w:r w:rsidR="003A1917">
        <w:rPr>
          <w:kern w:val="0"/>
        </w:rPr>
        <w:t xml:space="preserve"> the </w:t>
      </w:r>
      <w:r w:rsidRPr="001A3D2B">
        <w:rPr>
          <w:kern w:val="0"/>
        </w:rPr>
        <w:t>paper commences with a literature review on scientific communication</w:t>
      </w:r>
      <w:r w:rsidR="005853A9">
        <w:rPr>
          <w:kern w:val="0"/>
        </w:rPr>
        <w:t xml:space="preserve"> and </w:t>
      </w:r>
      <w:r w:rsidRPr="001A3D2B">
        <w:rPr>
          <w:kern w:val="0"/>
        </w:rPr>
        <w:t>publishing, including a specific focus on such activities in developing countries. A bibliometric analysis</w:t>
      </w:r>
      <w:r w:rsidR="00427468">
        <w:rPr>
          <w:kern w:val="0"/>
        </w:rPr>
        <w:t xml:space="preserve"> of </w:t>
      </w:r>
      <w:r w:rsidR="003A1917">
        <w:rPr>
          <w:kern w:val="0"/>
        </w:rPr>
        <w:t xml:space="preserve">the </w:t>
      </w:r>
      <w:r w:rsidRPr="001A3D2B">
        <w:rPr>
          <w:kern w:val="0"/>
        </w:rPr>
        <w:t>papers published by scientists in research centres affiliated to Libya</w:t>
      </w:r>
      <w:r w:rsidR="00700038">
        <w:rPr>
          <w:kern w:val="0"/>
        </w:rPr>
        <w:t>’</w:t>
      </w:r>
      <w:r w:rsidR="00C13DDC">
        <w:rPr>
          <w:kern w:val="0"/>
        </w:rPr>
        <w:t>s</w:t>
      </w:r>
      <w:r w:rsidRPr="001A3D2B">
        <w:rPr>
          <w:kern w:val="0"/>
        </w:rPr>
        <w:t xml:space="preserve"> National Centre for Scientific Research was conducted in order to investigate</w:t>
      </w:r>
      <w:r w:rsidR="003A1917">
        <w:rPr>
          <w:kern w:val="0"/>
        </w:rPr>
        <w:t xml:space="preserve"> the </w:t>
      </w:r>
      <w:r w:rsidRPr="001A3D2B">
        <w:rPr>
          <w:kern w:val="0"/>
        </w:rPr>
        <w:t>extent</w:t>
      </w:r>
      <w:r w:rsidR="005853A9">
        <w:rPr>
          <w:kern w:val="0"/>
        </w:rPr>
        <w:t xml:space="preserve"> and </w:t>
      </w:r>
      <w:r w:rsidRPr="001A3D2B">
        <w:rPr>
          <w:kern w:val="0"/>
        </w:rPr>
        <w:t>nature</w:t>
      </w:r>
      <w:r w:rsidR="00427468">
        <w:rPr>
          <w:kern w:val="0"/>
        </w:rPr>
        <w:t xml:space="preserve"> of </w:t>
      </w:r>
      <w:r w:rsidRPr="001A3D2B">
        <w:rPr>
          <w:kern w:val="0"/>
        </w:rPr>
        <w:t>scholarly communication</w:t>
      </w:r>
      <w:r w:rsidR="00427468">
        <w:rPr>
          <w:kern w:val="0"/>
        </w:rPr>
        <w:t xml:space="preserve"> of </w:t>
      </w:r>
      <w:r w:rsidRPr="001A3D2B">
        <w:rPr>
          <w:kern w:val="0"/>
        </w:rPr>
        <w:t>Libyan scientists. Findings - Libyan scientists are a community that works in research teams, largely comprised</w:t>
      </w:r>
      <w:r w:rsidR="00427468">
        <w:rPr>
          <w:kern w:val="0"/>
        </w:rPr>
        <w:t xml:space="preserve"> of </w:t>
      </w:r>
      <w:r w:rsidRPr="001A3D2B">
        <w:rPr>
          <w:kern w:val="0"/>
        </w:rPr>
        <w:t>scientists in Libya, but, which, on</w:t>
      </w:r>
      <w:r w:rsidR="003A1917">
        <w:rPr>
          <w:kern w:val="0"/>
        </w:rPr>
        <w:t xml:space="preserve"> the </w:t>
      </w:r>
      <w:r w:rsidRPr="001A3D2B">
        <w:rPr>
          <w:kern w:val="0"/>
        </w:rPr>
        <w:t>other hand, is actively disseminating</w:t>
      </w:r>
      <w:r w:rsidR="003A1917">
        <w:rPr>
          <w:kern w:val="0"/>
        </w:rPr>
        <w:t xml:space="preserve"> the </w:t>
      </w:r>
      <w:r w:rsidRPr="001A3D2B">
        <w:rPr>
          <w:kern w:val="0"/>
        </w:rPr>
        <w:t>findings</w:t>
      </w:r>
      <w:r w:rsidR="00427468">
        <w:rPr>
          <w:kern w:val="0"/>
        </w:rPr>
        <w:t xml:space="preserve"> of </w:t>
      </w:r>
      <w:r w:rsidRPr="001A3D2B">
        <w:rPr>
          <w:kern w:val="0"/>
        </w:rPr>
        <w:t>its research to a wider international audience. This is evident from</w:t>
      </w:r>
      <w:r w:rsidR="003A1917">
        <w:rPr>
          <w:kern w:val="0"/>
        </w:rPr>
        <w:t xml:space="preserve"> the </w:t>
      </w:r>
      <w:r w:rsidRPr="001A3D2B">
        <w:rPr>
          <w:kern w:val="0"/>
        </w:rPr>
        <w:t>publications</w:t>
      </w:r>
      <w:r w:rsidR="00427468">
        <w:rPr>
          <w:kern w:val="0"/>
        </w:rPr>
        <w:t xml:space="preserve"> of </w:t>
      </w:r>
      <w:r w:rsidRPr="001A3D2B">
        <w:rPr>
          <w:kern w:val="0"/>
        </w:rPr>
        <w:t>45 per cent</w:t>
      </w:r>
      <w:r w:rsidR="00427468">
        <w:rPr>
          <w:kern w:val="0"/>
        </w:rPr>
        <w:t xml:space="preserve"> of </w:t>
      </w:r>
      <w:r w:rsidRPr="001A3D2B">
        <w:rPr>
          <w:kern w:val="0"/>
        </w:rPr>
        <w:t>papers in English,</w:t>
      </w:r>
      <w:r w:rsidR="005853A9">
        <w:rPr>
          <w:kern w:val="0"/>
        </w:rPr>
        <w:t xml:space="preserve"> and </w:t>
      </w:r>
      <w:r w:rsidRPr="001A3D2B">
        <w:rPr>
          <w:kern w:val="0"/>
        </w:rPr>
        <w:t>a significant level</w:t>
      </w:r>
      <w:r w:rsidR="00427468">
        <w:rPr>
          <w:kern w:val="0"/>
        </w:rPr>
        <w:t xml:space="preserve"> of </w:t>
      </w:r>
      <w:r w:rsidRPr="001A3D2B">
        <w:rPr>
          <w:kern w:val="0"/>
        </w:rPr>
        <w:t>publication in countries outside Libya. Further,</w:t>
      </w:r>
      <w:r w:rsidR="003A1917">
        <w:rPr>
          <w:kern w:val="0"/>
        </w:rPr>
        <w:t xml:space="preserve"> the </w:t>
      </w:r>
      <w:r w:rsidRPr="001A3D2B">
        <w:rPr>
          <w:kern w:val="0"/>
        </w:rPr>
        <w:t>extent to which publication is through conferences</w:t>
      </w:r>
      <w:r w:rsidR="005853A9">
        <w:rPr>
          <w:kern w:val="0"/>
        </w:rPr>
        <w:t xml:space="preserve"> and </w:t>
      </w:r>
      <w:r w:rsidRPr="001A3D2B">
        <w:rPr>
          <w:kern w:val="0"/>
        </w:rPr>
        <w:t>symposia is evidence</w:t>
      </w:r>
      <w:r w:rsidR="00427468">
        <w:rPr>
          <w:kern w:val="0"/>
        </w:rPr>
        <w:t xml:space="preserve"> of </w:t>
      </w:r>
      <w:r w:rsidRPr="001A3D2B">
        <w:rPr>
          <w:kern w:val="0"/>
        </w:rPr>
        <w:t>engagement in informal communication within</w:t>
      </w:r>
      <w:r w:rsidR="005853A9">
        <w:rPr>
          <w:kern w:val="0"/>
        </w:rPr>
        <w:t xml:space="preserve"> and </w:t>
      </w:r>
      <w:r w:rsidRPr="001A3D2B">
        <w:rPr>
          <w:kern w:val="0"/>
        </w:rPr>
        <w:t>beyond</w:t>
      </w:r>
      <w:r w:rsidR="003A1917">
        <w:rPr>
          <w:kern w:val="0"/>
        </w:rPr>
        <w:t xml:space="preserve"> the </w:t>
      </w:r>
      <w:r w:rsidRPr="001A3D2B">
        <w:rPr>
          <w:kern w:val="0"/>
        </w:rPr>
        <w:t>scientific community in Libya. Originality/value - This is</w:t>
      </w:r>
      <w:r w:rsidR="003A1917">
        <w:rPr>
          <w:kern w:val="0"/>
        </w:rPr>
        <w:t xml:space="preserve"> the </w:t>
      </w:r>
      <w:r w:rsidRPr="001A3D2B">
        <w:rPr>
          <w:kern w:val="0"/>
        </w:rPr>
        <w:t>first study</w:t>
      </w:r>
      <w:r w:rsidR="00427468">
        <w:rPr>
          <w:kern w:val="0"/>
        </w:rPr>
        <w:t xml:space="preserve"> of </w:t>
      </w:r>
      <w:r w:rsidRPr="001A3D2B">
        <w:rPr>
          <w:kern w:val="0"/>
        </w:rPr>
        <w:t>scientific publishing</w:t>
      </w:r>
      <w:r w:rsidR="005853A9">
        <w:rPr>
          <w:kern w:val="0"/>
        </w:rPr>
        <w:t xml:space="preserve"> and </w:t>
      </w:r>
      <w:r w:rsidRPr="001A3D2B">
        <w:rPr>
          <w:kern w:val="0"/>
        </w:rPr>
        <w:t>communication activities in Libya. It offers useful insights into a variety</w:t>
      </w:r>
      <w:r w:rsidR="00427468">
        <w:rPr>
          <w:kern w:val="0"/>
        </w:rPr>
        <w:t xml:space="preserve"> of </w:t>
      </w:r>
      <w:r w:rsidRPr="001A3D2B">
        <w:rPr>
          <w:kern w:val="0"/>
        </w:rPr>
        <w:lastRenderedPageBreak/>
        <w:t>aspects</w:t>
      </w:r>
      <w:r w:rsidR="00427468">
        <w:rPr>
          <w:kern w:val="0"/>
        </w:rPr>
        <w:t xml:space="preserve"> of </w:t>
      </w:r>
      <w:r w:rsidRPr="001A3D2B">
        <w:rPr>
          <w:kern w:val="0"/>
        </w:rPr>
        <w:t>communication</w:t>
      </w:r>
      <w:r w:rsidR="005853A9">
        <w:rPr>
          <w:kern w:val="0"/>
        </w:rPr>
        <w:t xml:space="preserve"> and </w:t>
      </w:r>
      <w:r w:rsidRPr="001A3D2B">
        <w:rPr>
          <w:kern w:val="0"/>
        </w:rPr>
        <w:t>dissemination</w:t>
      </w:r>
      <w:r w:rsidR="00427468">
        <w:rPr>
          <w:kern w:val="0"/>
        </w:rPr>
        <w:t xml:space="preserve"> of </w:t>
      </w:r>
      <w:r w:rsidRPr="001A3D2B">
        <w:rPr>
          <w:kern w:val="0"/>
        </w:rPr>
        <w:t>research findings. As such it provides a useful contribution towards understanding</w:t>
      </w:r>
      <w:r w:rsidR="003A1917">
        <w:rPr>
          <w:kern w:val="0"/>
        </w:rPr>
        <w:t xml:space="preserve"> the </w:t>
      </w:r>
      <w:r w:rsidRPr="001A3D2B">
        <w:rPr>
          <w:kern w:val="0"/>
        </w:rPr>
        <w:t>potential impact</w:t>
      </w:r>
      <w:r w:rsidR="00427468">
        <w:rPr>
          <w:kern w:val="0"/>
        </w:rPr>
        <w:t xml:space="preserve"> of </w:t>
      </w:r>
      <w:r w:rsidRPr="001A3D2B">
        <w:rPr>
          <w:kern w:val="0"/>
        </w:rPr>
        <w:t>new models</w:t>
      </w:r>
      <w:r w:rsidR="00427468">
        <w:rPr>
          <w:kern w:val="0"/>
        </w:rPr>
        <w:t xml:space="preserve"> of </w:t>
      </w:r>
      <w:r w:rsidRPr="001A3D2B">
        <w:rPr>
          <w:kern w:val="0"/>
        </w:rPr>
        <w:t>scholarly publishing, both in Libya,</w:t>
      </w:r>
      <w:r w:rsidR="005853A9">
        <w:rPr>
          <w:kern w:val="0"/>
        </w:rPr>
        <w:t xml:space="preserve"> and </w:t>
      </w:r>
      <w:r w:rsidRPr="001A3D2B">
        <w:rPr>
          <w:kern w:val="0"/>
        </w:rPr>
        <w:t>in other developing countries.</w:t>
      </w:r>
    </w:p>
    <w:p w:rsidR="00B2573F" w:rsidRPr="001A3D2B" w:rsidRDefault="00B2573F" w:rsidP="00B2573F">
      <w:pPr>
        <w:pStyle w:val="a3"/>
        <w:rPr>
          <w:kern w:val="0"/>
        </w:rPr>
      </w:pPr>
      <w:r w:rsidRPr="001A3D2B">
        <w:rPr>
          <w:kern w:val="0"/>
        </w:rPr>
        <w:t>Keywords: Bibliometric Analysis, Collaboration, Developing Countries, Generation</w:t>
      </w:r>
      <w:r w:rsidR="005853A9">
        <w:rPr>
          <w:kern w:val="0"/>
        </w:rPr>
        <w:t xml:space="preserve"> and </w:t>
      </w:r>
      <w:r w:rsidRPr="001A3D2B">
        <w:rPr>
          <w:kern w:val="0"/>
        </w:rPr>
        <w:t>Dissemination</w:t>
      </w:r>
      <w:r w:rsidR="00427468">
        <w:rPr>
          <w:kern w:val="0"/>
        </w:rPr>
        <w:t xml:space="preserve"> of </w:t>
      </w:r>
      <w:r w:rsidRPr="001A3D2B">
        <w:rPr>
          <w:kern w:val="0"/>
        </w:rPr>
        <w:t>Information, Impact, Information, Internet, Internet, Libya, Minds, Publications, Research, Scholarly Communication, Sciences, Social-Scientists</w:t>
      </w:r>
    </w:p>
    <w:p w:rsidR="000867C4" w:rsidRDefault="000867C4" w:rsidP="000867C4">
      <w:pPr>
        <w:pStyle w:val="a3"/>
        <w:rPr>
          <w:kern w:val="0"/>
        </w:rPr>
      </w:pPr>
      <w:r>
        <w:rPr>
          <w:rFonts w:hint="eastAsia"/>
          <w:kern w:val="0"/>
        </w:rPr>
        <w:t xml:space="preserve">? </w:t>
      </w:r>
      <w:r>
        <w:rPr>
          <w:kern w:val="0"/>
        </w:rPr>
        <w:t>Li, J.</w:t>
      </w:r>
      <w:r w:rsidR="005853A9">
        <w:rPr>
          <w:kern w:val="0"/>
        </w:rPr>
        <w:t xml:space="preserve"> and </w:t>
      </w:r>
      <w:r>
        <w:rPr>
          <w:kern w:val="0"/>
        </w:rPr>
        <w:t>Willett, P. (2009), ArticleRank: A PageRank-based alternative to numbers</w:t>
      </w:r>
      <w:r w:rsidR="00427468">
        <w:rPr>
          <w:kern w:val="0"/>
        </w:rPr>
        <w:t xml:space="preserve"> of </w:t>
      </w:r>
      <w:r>
        <w:rPr>
          <w:kern w:val="0"/>
        </w:rPr>
        <w:t xml:space="preserve">citations for analysing citation networks. </w:t>
      </w:r>
      <w:r>
        <w:rPr>
          <w:i/>
          <w:iCs/>
          <w:kern w:val="0"/>
        </w:rPr>
        <w:t>Aslib Proceedings</w:t>
      </w:r>
      <w:r>
        <w:rPr>
          <w:kern w:val="0"/>
        </w:rPr>
        <w:t xml:space="preserve">, </w:t>
      </w:r>
      <w:r>
        <w:rPr>
          <w:b/>
          <w:bCs/>
          <w:kern w:val="0"/>
        </w:rPr>
        <w:t>61</w:t>
      </w:r>
      <w:r>
        <w:rPr>
          <w:kern w:val="0"/>
        </w:rPr>
        <w:t xml:space="preserve"> (6), 605-618.</w:t>
      </w:r>
    </w:p>
    <w:p w:rsidR="000867C4" w:rsidRPr="001A3D2B" w:rsidRDefault="000867C4" w:rsidP="000867C4">
      <w:pPr>
        <w:pStyle w:val="a3"/>
      </w:pPr>
      <w:r w:rsidRPr="001A3D2B">
        <w:t xml:space="preserve">Full Text: </w:t>
      </w:r>
      <w:hyperlink r:id="rId1333" w:history="1">
        <w:r w:rsidRPr="00586A5C">
          <w:rPr>
            <w:rStyle w:val="a5"/>
          </w:rPr>
          <w:t>2009\Asl Pro61, 605.pdf</w:t>
        </w:r>
      </w:hyperlink>
    </w:p>
    <w:p w:rsidR="000867C4" w:rsidRDefault="000867C4" w:rsidP="000867C4">
      <w:pPr>
        <w:pStyle w:val="a3"/>
        <w:rPr>
          <w:kern w:val="0"/>
        </w:rPr>
      </w:pPr>
      <w:r>
        <w:rPr>
          <w:kern w:val="0"/>
        </w:rPr>
        <w:t>Abstract: Purpose -</w:t>
      </w:r>
      <w:r w:rsidR="003A1917">
        <w:rPr>
          <w:kern w:val="0"/>
        </w:rPr>
        <w:t xml:space="preserve"> the </w:t>
      </w:r>
      <w:r>
        <w:rPr>
          <w:kern w:val="0"/>
        </w:rPr>
        <w:t>purpose</w:t>
      </w:r>
      <w:r w:rsidR="00427468">
        <w:rPr>
          <w:kern w:val="0"/>
        </w:rPr>
        <w:t xml:space="preserve"> of </w:t>
      </w:r>
      <w:r>
        <w:rPr>
          <w:kern w:val="0"/>
        </w:rPr>
        <w:t>this paper is to suggest an alternative to</w:t>
      </w:r>
      <w:r w:rsidR="003A1917">
        <w:rPr>
          <w:kern w:val="0"/>
        </w:rPr>
        <w:t xml:space="preserve"> the </w:t>
      </w:r>
      <w:r>
        <w:rPr>
          <w:kern w:val="0"/>
        </w:rPr>
        <w:t>widely used Times Cited criterion for analysing citation networks</w:t>
      </w:r>
      <w:r w:rsidR="00A37C1D">
        <w:rPr>
          <w:kern w:val="0"/>
        </w:rPr>
        <w:t>. The</w:t>
      </w:r>
      <w:r w:rsidR="003A1917">
        <w:rPr>
          <w:kern w:val="0"/>
        </w:rPr>
        <w:t xml:space="preserve"> </w:t>
      </w:r>
      <w:r>
        <w:rPr>
          <w:kern w:val="0"/>
        </w:rPr>
        <w:t>approach involves taking account</w:t>
      </w:r>
      <w:r w:rsidR="00427468">
        <w:rPr>
          <w:kern w:val="0"/>
        </w:rPr>
        <w:t xml:space="preserve"> of </w:t>
      </w:r>
      <w:r w:rsidR="003A1917">
        <w:rPr>
          <w:kern w:val="0"/>
        </w:rPr>
        <w:t xml:space="preserve">the </w:t>
      </w:r>
      <w:r>
        <w:rPr>
          <w:kern w:val="0"/>
        </w:rPr>
        <w:t>natures</w:t>
      </w:r>
      <w:r w:rsidR="00427468">
        <w:rPr>
          <w:kern w:val="0"/>
        </w:rPr>
        <w:t xml:space="preserve"> of </w:t>
      </w:r>
      <w:r w:rsidR="003A1917">
        <w:rPr>
          <w:kern w:val="0"/>
        </w:rPr>
        <w:t xml:space="preserve">the </w:t>
      </w:r>
      <w:r>
        <w:rPr>
          <w:kern w:val="0"/>
        </w:rPr>
        <w:t>papers that cite a given paper, so as to differentiate between papers that attract</w:t>
      </w:r>
      <w:r w:rsidR="003A1917">
        <w:rPr>
          <w:kern w:val="0"/>
        </w:rPr>
        <w:t xml:space="preserve"> the </w:t>
      </w:r>
      <w:r>
        <w:rPr>
          <w:kern w:val="0"/>
        </w:rPr>
        <w:t>same number</w:t>
      </w:r>
      <w:r w:rsidR="00427468">
        <w:rPr>
          <w:kern w:val="0"/>
        </w:rPr>
        <w:t xml:space="preserve"> of </w:t>
      </w:r>
      <w:r>
        <w:rPr>
          <w:kern w:val="0"/>
        </w:rPr>
        <w:t>citations. Design/methodology/approach - ArticleRank is an algorithm that has been derived from Google</w:t>
      </w:r>
      <w:r w:rsidR="00700038">
        <w:rPr>
          <w:kern w:val="0"/>
        </w:rPr>
        <w:t>’</w:t>
      </w:r>
      <w:r w:rsidR="00C13DDC">
        <w:rPr>
          <w:kern w:val="0"/>
        </w:rPr>
        <w:t>s</w:t>
      </w:r>
      <w:r>
        <w:rPr>
          <w:kern w:val="0"/>
        </w:rPr>
        <w:t xml:space="preserve"> PageRank algorithm to measure</w:t>
      </w:r>
      <w:r w:rsidR="003A1917">
        <w:rPr>
          <w:kern w:val="0"/>
        </w:rPr>
        <w:t xml:space="preserve"> the </w:t>
      </w:r>
      <w:r>
        <w:rPr>
          <w:kern w:val="0"/>
        </w:rPr>
        <w:t>influence</w:t>
      </w:r>
      <w:r w:rsidR="00427468">
        <w:rPr>
          <w:kern w:val="0"/>
        </w:rPr>
        <w:t xml:space="preserve"> of </w:t>
      </w:r>
      <w:r>
        <w:rPr>
          <w:kern w:val="0"/>
        </w:rPr>
        <w:t>journal articles. ArticleRank is applied to two datasets - a citation network based on an early paper on webometrics,</w:t>
      </w:r>
      <w:r w:rsidR="005853A9">
        <w:rPr>
          <w:kern w:val="0"/>
        </w:rPr>
        <w:t xml:space="preserve"> and </w:t>
      </w:r>
      <w:r>
        <w:rPr>
          <w:kern w:val="0"/>
        </w:rPr>
        <w:t>a self-citation network based on</w:t>
      </w:r>
      <w:r w:rsidR="003A1917">
        <w:rPr>
          <w:kern w:val="0"/>
        </w:rPr>
        <w:t xml:space="preserve"> the </w:t>
      </w:r>
      <w:r>
        <w:rPr>
          <w:kern w:val="0"/>
        </w:rPr>
        <w:t>19 most cited papers in</w:t>
      </w:r>
      <w:r w:rsidR="003A1917">
        <w:rPr>
          <w:kern w:val="0"/>
        </w:rPr>
        <w:t xml:space="preserve"> the </w:t>
      </w:r>
      <w:r>
        <w:rPr>
          <w:kern w:val="0"/>
        </w:rPr>
        <w:t>Journal</w:t>
      </w:r>
      <w:r w:rsidR="00427468">
        <w:rPr>
          <w:kern w:val="0"/>
        </w:rPr>
        <w:t xml:space="preserve"> of </w:t>
      </w:r>
      <w:r>
        <w:rPr>
          <w:kern w:val="0"/>
        </w:rPr>
        <w:t>Documentation - using citation data taken from</w:t>
      </w:r>
      <w:r w:rsidR="003A1917">
        <w:rPr>
          <w:kern w:val="0"/>
        </w:rPr>
        <w:t xml:space="preserve"> the </w:t>
      </w:r>
      <w:r>
        <w:rPr>
          <w:kern w:val="0"/>
        </w:rPr>
        <w:t>Web</w:t>
      </w:r>
      <w:r w:rsidR="00427468">
        <w:rPr>
          <w:kern w:val="0"/>
        </w:rPr>
        <w:t xml:space="preserve"> of </w:t>
      </w:r>
      <w:r>
        <w:rPr>
          <w:kern w:val="0"/>
        </w:rPr>
        <w:t>Knowledge database. Findings - ArticleRank values provide a different ranking</w:t>
      </w:r>
      <w:r w:rsidR="00427468">
        <w:rPr>
          <w:kern w:val="0"/>
        </w:rPr>
        <w:t xml:space="preserve"> of </w:t>
      </w:r>
      <w:r>
        <w:rPr>
          <w:kern w:val="0"/>
        </w:rPr>
        <w:t>a set</w:t>
      </w:r>
      <w:r w:rsidR="00427468">
        <w:rPr>
          <w:kern w:val="0"/>
        </w:rPr>
        <w:t xml:space="preserve"> of </w:t>
      </w:r>
      <w:r>
        <w:rPr>
          <w:kern w:val="0"/>
        </w:rPr>
        <w:t>papers from that provided by</w:t>
      </w:r>
      <w:r w:rsidR="003A1917">
        <w:rPr>
          <w:kern w:val="0"/>
        </w:rPr>
        <w:t xml:space="preserve"> the </w:t>
      </w:r>
      <w:r>
        <w:rPr>
          <w:kern w:val="0"/>
        </w:rPr>
        <w:t>corresponding Times Cited values,</w:t>
      </w:r>
      <w:r w:rsidR="005853A9">
        <w:rPr>
          <w:kern w:val="0"/>
        </w:rPr>
        <w:t xml:space="preserve"> and </w:t>
      </w:r>
      <w:r>
        <w:rPr>
          <w:kern w:val="0"/>
        </w:rPr>
        <w:t>overcomes</w:t>
      </w:r>
      <w:r w:rsidR="003A1917">
        <w:rPr>
          <w:kern w:val="0"/>
        </w:rPr>
        <w:t xml:space="preserve"> the </w:t>
      </w:r>
      <w:r>
        <w:rPr>
          <w:kern w:val="0"/>
        </w:rPr>
        <w:t>inability</w:t>
      </w:r>
      <w:r w:rsidR="00427468">
        <w:rPr>
          <w:kern w:val="0"/>
        </w:rPr>
        <w:t xml:space="preserve"> of </w:t>
      </w:r>
      <w:r w:rsidR="003A1917">
        <w:rPr>
          <w:kern w:val="0"/>
        </w:rPr>
        <w:t xml:space="preserve">the </w:t>
      </w:r>
      <w:r>
        <w:rPr>
          <w:kern w:val="0"/>
        </w:rPr>
        <w:t>latter to differentiate between papers with</w:t>
      </w:r>
      <w:r w:rsidR="003A1917">
        <w:rPr>
          <w:kern w:val="0"/>
        </w:rPr>
        <w:t xml:space="preserve"> the </w:t>
      </w:r>
      <w:r>
        <w:rPr>
          <w:kern w:val="0"/>
        </w:rPr>
        <w:t>same numbers</w:t>
      </w:r>
      <w:r w:rsidR="00427468">
        <w:rPr>
          <w:kern w:val="0"/>
        </w:rPr>
        <w:t xml:space="preserve"> of </w:t>
      </w:r>
      <w:r>
        <w:rPr>
          <w:kern w:val="0"/>
        </w:rPr>
        <w:t>citations</w:t>
      </w:r>
      <w:r w:rsidR="00A37C1D">
        <w:rPr>
          <w:kern w:val="0"/>
        </w:rPr>
        <w:t>. The</w:t>
      </w:r>
      <w:r w:rsidR="003A1917">
        <w:rPr>
          <w:kern w:val="0"/>
        </w:rPr>
        <w:t xml:space="preserve"> </w:t>
      </w:r>
      <w:r>
        <w:rPr>
          <w:kern w:val="0"/>
        </w:rPr>
        <w:t>difference in rankings between Times Cited</w:t>
      </w:r>
      <w:r w:rsidR="005853A9">
        <w:rPr>
          <w:kern w:val="0"/>
        </w:rPr>
        <w:t xml:space="preserve"> and </w:t>
      </w:r>
      <w:r>
        <w:rPr>
          <w:kern w:val="0"/>
        </w:rPr>
        <w:t>ArticleRank is greatest for</w:t>
      </w:r>
      <w:r w:rsidR="003A1917">
        <w:rPr>
          <w:kern w:val="0"/>
        </w:rPr>
        <w:t xml:space="preserve"> the </w:t>
      </w:r>
      <w:r>
        <w:rPr>
          <w:kern w:val="0"/>
        </w:rPr>
        <w:t>most heavily cited articles in a dataset. Originality/value - This is a novel application</w:t>
      </w:r>
      <w:r w:rsidR="00427468">
        <w:rPr>
          <w:kern w:val="0"/>
        </w:rPr>
        <w:t xml:space="preserve"> of </w:t>
      </w:r>
      <w:r w:rsidR="003A1917">
        <w:rPr>
          <w:kern w:val="0"/>
        </w:rPr>
        <w:t xml:space="preserve">the </w:t>
      </w:r>
      <w:r>
        <w:rPr>
          <w:kern w:val="0"/>
        </w:rPr>
        <w:t>PageRank algorithm.</w:t>
      </w:r>
    </w:p>
    <w:p w:rsidR="000867C4" w:rsidRDefault="000867C4" w:rsidP="000867C4">
      <w:pPr>
        <w:pStyle w:val="a3"/>
        <w:rPr>
          <w:kern w:val="0"/>
        </w:rPr>
      </w:pPr>
      <w:r>
        <w:rPr>
          <w:kern w:val="0"/>
        </w:rPr>
        <w:t>Keywords: Bibliographies, Citation, Citation Network, Citations, Knowledge, Network, Publications, Reference Services, Self-Citation</w:t>
      </w:r>
    </w:p>
    <w:p w:rsidR="000867C4" w:rsidRDefault="000867C4" w:rsidP="000867C4">
      <w:pPr>
        <w:pStyle w:val="a3"/>
        <w:rPr>
          <w:kern w:val="0"/>
        </w:rPr>
      </w:pPr>
      <w:r>
        <w:rPr>
          <w:rFonts w:hint="eastAsia"/>
          <w:kern w:val="0"/>
        </w:rPr>
        <w:t xml:space="preserve">? </w:t>
      </w:r>
      <w:r>
        <w:rPr>
          <w:kern w:val="0"/>
        </w:rPr>
        <w:t>Davarpana, M.R.</w:t>
      </w:r>
      <w:r w:rsidR="005853A9">
        <w:rPr>
          <w:kern w:val="0"/>
        </w:rPr>
        <w:t xml:space="preserve"> and </w:t>
      </w:r>
      <w:r>
        <w:rPr>
          <w:kern w:val="0"/>
        </w:rPr>
        <w:t>Behrouzfar, H. (2009), International visibility</w:t>
      </w:r>
      <w:r w:rsidR="00427468">
        <w:rPr>
          <w:kern w:val="0"/>
        </w:rPr>
        <w:t xml:space="preserve"> of </w:t>
      </w:r>
      <w:r>
        <w:rPr>
          <w:kern w:val="0"/>
        </w:rPr>
        <w:t>Iranian ISI journals</w:t>
      </w:r>
      <w:r>
        <w:rPr>
          <w:rFonts w:hint="eastAsia"/>
          <w:kern w:val="0"/>
        </w:rPr>
        <w:t>:</w:t>
      </w:r>
      <w:r>
        <w:rPr>
          <w:kern w:val="0"/>
        </w:rPr>
        <w:t xml:space="preserve"> A citation study. </w:t>
      </w:r>
      <w:r>
        <w:rPr>
          <w:i/>
          <w:iCs/>
          <w:kern w:val="0"/>
        </w:rPr>
        <w:t>Aslib Proceedings</w:t>
      </w:r>
      <w:r>
        <w:rPr>
          <w:kern w:val="0"/>
        </w:rPr>
        <w:t xml:space="preserve">, </w:t>
      </w:r>
      <w:r>
        <w:rPr>
          <w:b/>
          <w:bCs/>
          <w:kern w:val="0"/>
        </w:rPr>
        <w:t>61</w:t>
      </w:r>
      <w:r>
        <w:rPr>
          <w:kern w:val="0"/>
        </w:rPr>
        <w:t xml:space="preserve"> (4), 407-419.</w:t>
      </w:r>
    </w:p>
    <w:p w:rsidR="000867C4" w:rsidRPr="001A3D2B" w:rsidRDefault="000867C4" w:rsidP="000867C4">
      <w:pPr>
        <w:pStyle w:val="a3"/>
      </w:pPr>
      <w:r w:rsidRPr="001A3D2B">
        <w:t xml:space="preserve">Full Text: </w:t>
      </w:r>
      <w:hyperlink r:id="rId1334" w:history="1">
        <w:r w:rsidRPr="00586A5C">
          <w:rPr>
            <w:rStyle w:val="a5"/>
          </w:rPr>
          <w:t>2009\Asl Pro61, 407.pdf</w:t>
        </w:r>
      </w:hyperlink>
    </w:p>
    <w:p w:rsidR="000867C4" w:rsidRDefault="000867C4" w:rsidP="000867C4">
      <w:pPr>
        <w:pStyle w:val="a3"/>
        <w:rPr>
          <w:kern w:val="0"/>
        </w:rPr>
      </w:pPr>
      <w:r>
        <w:rPr>
          <w:kern w:val="0"/>
        </w:rPr>
        <w:t>Abstract: Purpose - This research paper aims to investigate</w:t>
      </w:r>
      <w:r w:rsidR="003A1917">
        <w:rPr>
          <w:kern w:val="0"/>
        </w:rPr>
        <w:t xml:space="preserve"> the </w:t>
      </w:r>
      <w:r>
        <w:rPr>
          <w:kern w:val="0"/>
        </w:rPr>
        <w:t>internationalization</w:t>
      </w:r>
      <w:r w:rsidR="005853A9">
        <w:rPr>
          <w:kern w:val="0"/>
        </w:rPr>
        <w:t xml:space="preserve"> and </w:t>
      </w:r>
      <w:r>
        <w:rPr>
          <w:kern w:val="0"/>
        </w:rPr>
        <w:t>visibility</w:t>
      </w:r>
      <w:r w:rsidR="00427468">
        <w:rPr>
          <w:kern w:val="0"/>
        </w:rPr>
        <w:t xml:space="preserve"> of </w:t>
      </w:r>
      <w:r>
        <w:rPr>
          <w:kern w:val="0"/>
        </w:rPr>
        <w:t>Iranian scientific journals covered by</w:t>
      </w:r>
      <w:r w:rsidR="003A1917">
        <w:rPr>
          <w:kern w:val="0"/>
        </w:rPr>
        <w:t xml:space="preserve"> the </w:t>
      </w:r>
      <w:r>
        <w:rPr>
          <w:kern w:val="0"/>
        </w:rPr>
        <w:t>Institute for Scientific Information (ISI) between 2000</w:t>
      </w:r>
      <w:r w:rsidR="005853A9">
        <w:rPr>
          <w:kern w:val="0"/>
        </w:rPr>
        <w:t xml:space="preserve"> and </w:t>
      </w:r>
      <w:r>
        <w:rPr>
          <w:kern w:val="0"/>
        </w:rPr>
        <w:t>2006. Design/methodelogy/approach - A total</w:t>
      </w:r>
      <w:r w:rsidR="00427468">
        <w:rPr>
          <w:kern w:val="0"/>
        </w:rPr>
        <w:t xml:space="preserve"> of </w:t>
      </w:r>
      <w:r>
        <w:rPr>
          <w:kern w:val="0"/>
        </w:rPr>
        <w:t>1,298 articles published in seven Iranian ISI journals</w:t>
      </w:r>
      <w:r w:rsidR="005853A9">
        <w:rPr>
          <w:kern w:val="0"/>
        </w:rPr>
        <w:t xml:space="preserve"> and </w:t>
      </w:r>
      <w:r>
        <w:rPr>
          <w:kern w:val="0"/>
        </w:rPr>
        <w:t>a random sample</w:t>
      </w:r>
      <w:r w:rsidR="00427468">
        <w:rPr>
          <w:kern w:val="0"/>
        </w:rPr>
        <w:t xml:space="preserve"> of </w:t>
      </w:r>
      <w:r>
        <w:rPr>
          <w:kern w:val="0"/>
        </w:rPr>
        <w:t>1,298 articles written by Iranians</w:t>
      </w:r>
      <w:r w:rsidR="005853A9">
        <w:rPr>
          <w:kern w:val="0"/>
        </w:rPr>
        <w:t xml:space="preserve"> and </w:t>
      </w:r>
      <w:r>
        <w:rPr>
          <w:kern w:val="0"/>
        </w:rPr>
        <w:t>published in non-Iranian ISI journals between 2000</w:t>
      </w:r>
      <w:r w:rsidR="005853A9">
        <w:rPr>
          <w:kern w:val="0"/>
        </w:rPr>
        <w:t xml:space="preserve"> and </w:t>
      </w:r>
      <w:r>
        <w:rPr>
          <w:kern w:val="0"/>
        </w:rPr>
        <w:t>2006 were selected. Impact factor (IF), total citation (TC), citation rates, self-citation, foreign citation, international citation (IC), international authorship,</w:t>
      </w:r>
      <w:r w:rsidR="005853A9">
        <w:rPr>
          <w:kern w:val="0"/>
        </w:rPr>
        <w:t xml:space="preserve"> and </w:t>
      </w:r>
      <w:r>
        <w:rPr>
          <w:kern w:val="0"/>
        </w:rPr>
        <w:t>subject distribution were analyzes for</w:t>
      </w:r>
      <w:r w:rsidR="003A1917">
        <w:rPr>
          <w:kern w:val="0"/>
        </w:rPr>
        <w:t xml:space="preserve"> the </w:t>
      </w:r>
      <w:r>
        <w:rPr>
          <w:kern w:val="0"/>
        </w:rPr>
        <w:t>collections. Findings - Results indicated that:</w:t>
      </w:r>
      <w:r w:rsidR="003A1917">
        <w:rPr>
          <w:kern w:val="0"/>
        </w:rPr>
        <w:t xml:space="preserve"> the </w:t>
      </w:r>
      <w:r>
        <w:rPr>
          <w:kern w:val="0"/>
        </w:rPr>
        <w:t>visibility rate</w:t>
      </w:r>
      <w:r w:rsidR="00427468">
        <w:rPr>
          <w:kern w:val="0"/>
        </w:rPr>
        <w:t xml:space="preserve"> of </w:t>
      </w:r>
      <w:r>
        <w:rPr>
          <w:kern w:val="0"/>
        </w:rPr>
        <w:t>Iranian journals is low compared to their international counterparts;</w:t>
      </w:r>
      <w:r w:rsidR="003A1917">
        <w:rPr>
          <w:kern w:val="0"/>
        </w:rPr>
        <w:t xml:space="preserve"> the </w:t>
      </w:r>
      <w:r>
        <w:rPr>
          <w:kern w:val="0"/>
        </w:rPr>
        <w:t>international visibility</w:t>
      </w:r>
      <w:r w:rsidR="00427468">
        <w:rPr>
          <w:kern w:val="0"/>
        </w:rPr>
        <w:t xml:space="preserve"> of </w:t>
      </w:r>
      <w:r>
        <w:rPr>
          <w:kern w:val="0"/>
        </w:rPr>
        <w:t>Iranian journals differs among disciplines;</w:t>
      </w:r>
      <w:r w:rsidR="003A1917">
        <w:rPr>
          <w:kern w:val="0"/>
        </w:rPr>
        <w:t xml:space="preserve"> </w:t>
      </w:r>
      <w:r w:rsidR="003A1917">
        <w:rPr>
          <w:kern w:val="0"/>
        </w:rPr>
        <w:lastRenderedPageBreak/>
        <w:t xml:space="preserve">the </w:t>
      </w:r>
      <w:r>
        <w:rPr>
          <w:kern w:val="0"/>
        </w:rPr>
        <w:t>increasing citation rate is less than</w:t>
      </w:r>
      <w:r w:rsidR="003A1917">
        <w:rPr>
          <w:kern w:val="0"/>
        </w:rPr>
        <w:t xml:space="preserve"> the </w:t>
      </w:r>
      <w:r>
        <w:rPr>
          <w:kern w:val="0"/>
        </w:rPr>
        <w:t>increase in publication rate;</w:t>
      </w:r>
      <w:r w:rsidR="005853A9">
        <w:rPr>
          <w:kern w:val="0"/>
        </w:rPr>
        <w:t xml:space="preserve"> and </w:t>
      </w:r>
      <w:r w:rsidR="003A1917">
        <w:rPr>
          <w:kern w:val="0"/>
        </w:rPr>
        <w:t xml:space="preserve">the </w:t>
      </w:r>
      <w:r>
        <w:rPr>
          <w:kern w:val="0"/>
        </w:rPr>
        <w:t>majority</w:t>
      </w:r>
      <w:r w:rsidR="00427468">
        <w:rPr>
          <w:kern w:val="0"/>
        </w:rPr>
        <w:t xml:space="preserve"> of </w:t>
      </w:r>
      <w:r>
        <w:rPr>
          <w:kern w:val="0"/>
        </w:rPr>
        <w:t>authors who published in these journals were Iranian. Originality/value - Mere inclusion</w:t>
      </w:r>
      <w:r w:rsidR="00427468">
        <w:rPr>
          <w:kern w:val="0"/>
        </w:rPr>
        <w:t xml:space="preserve"> of </w:t>
      </w:r>
      <w:r>
        <w:rPr>
          <w:kern w:val="0"/>
        </w:rPr>
        <w:t>scientific journals in</w:t>
      </w:r>
      <w:r w:rsidR="003A1917">
        <w:rPr>
          <w:kern w:val="0"/>
        </w:rPr>
        <w:t xml:space="preserve"> the </w:t>
      </w:r>
      <w:r>
        <w:rPr>
          <w:kern w:val="0"/>
        </w:rPr>
        <w:t>ISI does not necessarily lead to an increase in international visibility</w:t>
      </w:r>
      <w:r w:rsidR="00A37C1D">
        <w:rPr>
          <w:kern w:val="0"/>
        </w:rPr>
        <w:t>. The</w:t>
      </w:r>
      <w:r w:rsidR="003A1917">
        <w:rPr>
          <w:kern w:val="0"/>
        </w:rPr>
        <w:t xml:space="preserve"> </w:t>
      </w:r>
      <w:r>
        <w:rPr>
          <w:kern w:val="0"/>
        </w:rPr>
        <w:t>study highlights</w:t>
      </w:r>
      <w:r w:rsidR="003A1917">
        <w:rPr>
          <w:kern w:val="0"/>
        </w:rPr>
        <w:t xml:space="preserve"> the </w:t>
      </w:r>
      <w:r>
        <w:rPr>
          <w:kern w:val="0"/>
        </w:rPr>
        <w:t>need for more studies on</w:t>
      </w:r>
      <w:r w:rsidR="003A1917">
        <w:rPr>
          <w:kern w:val="0"/>
        </w:rPr>
        <w:t xml:space="preserve"> the </w:t>
      </w:r>
      <w:r>
        <w:rPr>
          <w:kern w:val="0"/>
        </w:rPr>
        <w:t>techniques to increase</w:t>
      </w:r>
      <w:r w:rsidR="003A1917">
        <w:rPr>
          <w:kern w:val="0"/>
        </w:rPr>
        <w:t xml:space="preserve"> the </w:t>
      </w:r>
      <w:r>
        <w:rPr>
          <w:kern w:val="0"/>
        </w:rPr>
        <w:t>visibility</w:t>
      </w:r>
      <w:r w:rsidR="00427468">
        <w:rPr>
          <w:kern w:val="0"/>
        </w:rPr>
        <w:t xml:space="preserve"> of </w:t>
      </w:r>
      <w:r>
        <w:rPr>
          <w:kern w:val="0"/>
        </w:rPr>
        <w:t>scientific journals</w:t>
      </w:r>
      <w:r w:rsidR="00427468">
        <w:rPr>
          <w:kern w:val="0"/>
        </w:rPr>
        <w:t xml:space="preserve"> of </w:t>
      </w:r>
      <w:r w:rsidR="003A1917">
        <w:rPr>
          <w:kern w:val="0"/>
        </w:rPr>
        <w:t xml:space="preserve">the </w:t>
      </w:r>
      <w:r>
        <w:rPr>
          <w:kern w:val="0"/>
        </w:rPr>
        <w:t>developing countries.</w:t>
      </w:r>
    </w:p>
    <w:p w:rsidR="000867C4" w:rsidRDefault="000867C4" w:rsidP="000867C4">
      <w:pPr>
        <w:pStyle w:val="a3"/>
        <w:rPr>
          <w:kern w:val="0"/>
        </w:rPr>
      </w:pPr>
      <w:r>
        <w:rPr>
          <w:kern w:val="0"/>
        </w:rPr>
        <w:t>Keywords: Authorship, Chinese Scientific Journals, Citation, Developing Countries, Generation</w:t>
      </w:r>
      <w:r w:rsidR="005853A9">
        <w:rPr>
          <w:kern w:val="0"/>
        </w:rPr>
        <w:t xml:space="preserve"> and </w:t>
      </w:r>
      <w:r>
        <w:rPr>
          <w:kern w:val="0"/>
        </w:rPr>
        <w:t>Dissemination</w:t>
      </w:r>
      <w:r w:rsidR="00427468">
        <w:rPr>
          <w:kern w:val="0"/>
        </w:rPr>
        <w:t xml:space="preserve"> of </w:t>
      </w:r>
      <w:r>
        <w:rPr>
          <w:kern w:val="0"/>
        </w:rPr>
        <w:t>Information, Impact, Impact Factor, Index, Iran</w:t>
      </w:r>
      <w:r w:rsidR="00D5664A">
        <w:rPr>
          <w:kern w:val="0"/>
        </w:rPr>
        <w:t>, ISI,</w:t>
      </w:r>
      <w:r>
        <w:rPr>
          <w:kern w:val="0"/>
        </w:rPr>
        <w:t xml:space="preserve"> Journals, Lead, Publication, Publications, Research, Science, Sciences, Scientific Journals, Self-Citation, Serials</w:t>
      </w:r>
    </w:p>
    <w:p w:rsidR="00261AA5" w:rsidRDefault="00261AA5" w:rsidP="00261AA5">
      <w:pPr>
        <w:pStyle w:val="a3"/>
        <w:rPr>
          <w:kern w:val="0"/>
        </w:rPr>
      </w:pPr>
      <w:r>
        <w:rPr>
          <w:rFonts w:hint="eastAsia"/>
          <w:kern w:val="0"/>
        </w:rPr>
        <w:t xml:space="preserve">? </w:t>
      </w:r>
      <w:r>
        <w:rPr>
          <w:kern w:val="0"/>
        </w:rPr>
        <w:t>Aharony, N. (2010), Information literacy in</w:t>
      </w:r>
      <w:r w:rsidR="003A1917">
        <w:rPr>
          <w:kern w:val="0"/>
        </w:rPr>
        <w:t xml:space="preserve"> the </w:t>
      </w:r>
      <w:r>
        <w:rPr>
          <w:kern w:val="0"/>
        </w:rPr>
        <w:t xml:space="preserve">professional literature: An exploratory analysis. </w:t>
      </w:r>
      <w:r>
        <w:rPr>
          <w:i/>
          <w:iCs/>
          <w:kern w:val="0"/>
        </w:rPr>
        <w:t>Aslib Proceedings</w:t>
      </w:r>
      <w:r>
        <w:rPr>
          <w:kern w:val="0"/>
        </w:rPr>
        <w:t xml:space="preserve">, </w:t>
      </w:r>
      <w:r>
        <w:rPr>
          <w:b/>
          <w:bCs/>
          <w:kern w:val="0"/>
        </w:rPr>
        <w:t>62</w:t>
      </w:r>
      <w:r>
        <w:rPr>
          <w:kern w:val="0"/>
        </w:rPr>
        <w:t xml:space="preserve"> (3), 261-282.</w:t>
      </w:r>
    </w:p>
    <w:p w:rsidR="00261AA5" w:rsidRDefault="00261AA5" w:rsidP="00261AA5">
      <w:pPr>
        <w:pStyle w:val="a3"/>
        <w:rPr>
          <w:kern w:val="0"/>
        </w:rPr>
      </w:pPr>
      <w:r>
        <w:rPr>
          <w:kern w:val="0"/>
        </w:rPr>
        <w:t>Abstract: Purpose -</w:t>
      </w:r>
      <w:r w:rsidR="003A1917">
        <w:rPr>
          <w:kern w:val="0"/>
        </w:rPr>
        <w:t xml:space="preserve"> the </w:t>
      </w:r>
      <w:r>
        <w:rPr>
          <w:kern w:val="0"/>
        </w:rPr>
        <w:t>current study aims to review</w:t>
      </w:r>
      <w:r w:rsidR="003A1917">
        <w:rPr>
          <w:kern w:val="0"/>
        </w:rPr>
        <w:t xml:space="preserve"> the </w:t>
      </w:r>
      <w:r>
        <w:rPr>
          <w:kern w:val="0"/>
        </w:rPr>
        <w:t>different publications dealing with information literacy</w:t>
      </w:r>
      <w:r w:rsidR="005853A9">
        <w:rPr>
          <w:kern w:val="0"/>
        </w:rPr>
        <w:t xml:space="preserve"> and </w:t>
      </w:r>
      <w:r w:rsidR="003A1917">
        <w:rPr>
          <w:kern w:val="0"/>
        </w:rPr>
        <w:t xml:space="preserve">the </w:t>
      </w:r>
      <w:r>
        <w:rPr>
          <w:kern w:val="0"/>
        </w:rPr>
        <w:t>emerging trends reflected over</w:t>
      </w:r>
      <w:r w:rsidR="003A1917">
        <w:rPr>
          <w:kern w:val="0"/>
        </w:rPr>
        <w:t xml:space="preserve"> the </w:t>
      </w:r>
      <w:r>
        <w:rPr>
          <w:kern w:val="0"/>
        </w:rPr>
        <w:t>ten years, 1999-2009, in</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(WOS) database. Design/methodology/approach -</w:t>
      </w:r>
      <w:r w:rsidR="003A1917">
        <w:rPr>
          <w:kern w:val="0"/>
        </w:rPr>
        <w:t xml:space="preserve"> the </w:t>
      </w:r>
      <w:r>
        <w:rPr>
          <w:kern w:val="0"/>
        </w:rPr>
        <w:t>study presents both a statistical descriptive analysis</w:t>
      </w:r>
      <w:r w:rsidR="00427468">
        <w:rPr>
          <w:kern w:val="0"/>
        </w:rPr>
        <w:t xml:space="preserve"> of </w:t>
      </w:r>
      <w:r>
        <w:rPr>
          <w:kern w:val="0"/>
        </w:rPr>
        <w:t>document type, subject areas, authors, source titles, publication years, languages, countries</w:t>
      </w:r>
      <w:r w:rsidR="005853A9">
        <w:rPr>
          <w:kern w:val="0"/>
        </w:rPr>
        <w:t xml:space="preserve"> and </w:t>
      </w:r>
      <w:r>
        <w:rPr>
          <w:kern w:val="0"/>
        </w:rPr>
        <w:t>keywords</w:t>
      </w:r>
      <w:r w:rsidR="00427468">
        <w:rPr>
          <w:kern w:val="0"/>
        </w:rPr>
        <w:t xml:space="preserve"> of </w:t>
      </w:r>
      <w:r>
        <w:rPr>
          <w:kern w:val="0"/>
        </w:rPr>
        <w:t>publications extracted from</w:t>
      </w:r>
      <w:r w:rsidR="003A1917">
        <w:rPr>
          <w:kern w:val="0"/>
        </w:rPr>
        <w:t xml:space="preserve"> the </w:t>
      </w:r>
      <w:r>
        <w:rPr>
          <w:kern w:val="0"/>
        </w:rPr>
        <w:t>WOS database, as well as a thorough content analysis</w:t>
      </w:r>
      <w:r w:rsidR="00427468">
        <w:rPr>
          <w:kern w:val="0"/>
        </w:rPr>
        <w:t xml:space="preserve"> of </w:t>
      </w:r>
      <w:r>
        <w:rPr>
          <w:kern w:val="0"/>
        </w:rPr>
        <w:t>keywords</w:t>
      </w:r>
      <w:r w:rsidR="005853A9">
        <w:rPr>
          <w:kern w:val="0"/>
        </w:rPr>
        <w:t xml:space="preserve"> and </w:t>
      </w:r>
      <w:r>
        <w:rPr>
          <w:kern w:val="0"/>
        </w:rPr>
        <w:t>abstracts extracted from</w:t>
      </w:r>
      <w:r w:rsidR="003A1917">
        <w:rPr>
          <w:kern w:val="0"/>
        </w:rPr>
        <w:t xml:space="preserve"> the </w:t>
      </w:r>
      <w:r>
        <w:rPr>
          <w:kern w:val="0"/>
        </w:rPr>
        <w:t>WOS database. Findings -</w:t>
      </w:r>
      <w:r w:rsidR="003A1917">
        <w:rPr>
          <w:kern w:val="0"/>
        </w:rPr>
        <w:t xml:space="preserve"> the </w:t>
      </w:r>
      <w:r>
        <w:rPr>
          <w:kern w:val="0"/>
        </w:rPr>
        <w:t>main results suggest that</w:t>
      </w:r>
      <w:r w:rsidR="003A1917">
        <w:rPr>
          <w:kern w:val="0"/>
        </w:rPr>
        <w:t xml:space="preserve"> the </w:t>
      </w:r>
      <w:r>
        <w:rPr>
          <w:kern w:val="0"/>
        </w:rPr>
        <w:t>term information literacy has various characteristics in an additional</w:t>
      </w:r>
      <w:r w:rsidR="005853A9">
        <w:rPr>
          <w:kern w:val="0"/>
        </w:rPr>
        <w:t xml:space="preserve"> and </w:t>
      </w:r>
      <w:r>
        <w:rPr>
          <w:kern w:val="0"/>
        </w:rPr>
        <w:t>interesting context: health</w:t>
      </w:r>
      <w:r w:rsidR="005853A9">
        <w:rPr>
          <w:kern w:val="0"/>
        </w:rPr>
        <w:t xml:space="preserve"> and </w:t>
      </w:r>
      <w:r>
        <w:rPr>
          <w:kern w:val="0"/>
        </w:rPr>
        <w:t>medicine. This finding may reflect a tendency</w:t>
      </w:r>
      <w:r w:rsidR="00427468">
        <w:rPr>
          <w:kern w:val="0"/>
        </w:rPr>
        <w:t xml:space="preserve"> of </w:t>
      </w:r>
      <w:r>
        <w:rPr>
          <w:kern w:val="0"/>
        </w:rPr>
        <w:t>association between information literacy</w:t>
      </w:r>
      <w:r w:rsidR="005853A9">
        <w:rPr>
          <w:kern w:val="0"/>
        </w:rPr>
        <w:t xml:space="preserve"> and </w:t>
      </w:r>
      <w:r>
        <w:rPr>
          <w:kern w:val="0"/>
        </w:rPr>
        <w:t>health</w:t>
      </w:r>
      <w:r w:rsidR="005853A9">
        <w:rPr>
          <w:kern w:val="0"/>
        </w:rPr>
        <w:t xml:space="preserve"> and </w:t>
      </w:r>
      <w:r>
        <w:rPr>
          <w:kern w:val="0"/>
        </w:rPr>
        <w:t>medicine</w:t>
      </w:r>
      <w:r w:rsidR="005853A9">
        <w:rPr>
          <w:kern w:val="0"/>
        </w:rPr>
        <w:t xml:space="preserve"> and </w:t>
      </w:r>
      <w:r>
        <w:rPr>
          <w:kern w:val="0"/>
        </w:rPr>
        <w:t>stresses people</w:t>
      </w:r>
      <w:r w:rsidR="00700038">
        <w:rPr>
          <w:kern w:val="0"/>
        </w:rPr>
        <w:t>’</w:t>
      </w:r>
      <w:r w:rsidR="00C13DDC">
        <w:rPr>
          <w:kern w:val="0"/>
        </w:rPr>
        <w:t>s</w:t>
      </w:r>
      <w:r>
        <w:rPr>
          <w:kern w:val="0"/>
        </w:rPr>
        <w:t xml:space="preserve"> need for information literacy in this specific context. Originality/value -</w:t>
      </w:r>
      <w:r w:rsidR="003A1917">
        <w:rPr>
          <w:kern w:val="0"/>
        </w:rPr>
        <w:t xml:space="preserve"> the </w:t>
      </w:r>
      <w:r>
        <w:rPr>
          <w:kern w:val="0"/>
        </w:rPr>
        <w:t>current study emphasises</w:t>
      </w:r>
      <w:r w:rsidR="003A1917">
        <w:rPr>
          <w:kern w:val="0"/>
        </w:rPr>
        <w:t xml:space="preserve"> the </w:t>
      </w:r>
      <w:r>
        <w:rPr>
          <w:kern w:val="0"/>
        </w:rPr>
        <w:t>notion that information literacy is no longer an issue for librarians or educators only.</w:t>
      </w:r>
    </w:p>
    <w:p w:rsidR="00261AA5" w:rsidRDefault="00261AA5" w:rsidP="00261AA5">
      <w:pPr>
        <w:pStyle w:val="a3"/>
        <w:rPr>
          <w:kern w:val="0"/>
        </w:rPr>
      </w:pPr>
      <w:r>
        <w:rPr>
          <w:kern w:val="0"/>
        </w:rPr>
        <w:t>Keywords: Analysis, Authors, Content Analysis, Health</w:t>
      </w:r>
      <w:r w:rsidR="005853A9">
        <w:rPr>
          <w:kern w:val="0"/>
        </w:rPr>
        <w:t xml:space="preserve"> and </w:t>
      </w:r>
      <w:r>
        <w:rPr>
          <w:kern w:val="0"/>
        </w:rPr>
        <w:t xml:space="preserve">Medicine, Information, Information Literacy, Internet, Literacy, Literature, Medicine, Professional, Publication, Publications, Research Work, Review, Science, Seeking, Sites, Statistical, Trends, Web, </w:t>
      </w:r>
      <w:r w:rsidR="00D5664A">
        <w:rPr>
          <w:kern w:val="0"/>
        </w:rPr>
        <w:t>Web</w:t>
      </w:r>
      <w:r w:rsidR="00427468">
        <w:rPr>
          <w:kern w:val="0"/>
        </w:rPr>
        <w:t xml:space="preserve"> of </w:t>
      </w:r>
      <w:r w:rsidR="00D5664A">
        <w:rPr>
          <w:kern w:val="0"/>
        </w:rPr>
        <w:t>Science</w:t>
      </w:r>
      <w:r>
        <w:rPr>
          <w:kern w:val="0"/>
        </w:rPr>
        <w:t>, Workplace</w:t>
      </w:r>
    </w:p>
    <w:p w:rsidR="00E21F7D" w:rsidRDefault="00E21F7D" w:rsidP="00E21F7D">
      <w:pPr>
        <w:pStyle w:val="a3"/>
        <w:rPr>
          <w:kern w:val="0"/>
        </w:rPr>
      </w:pPr>
      <w:r>
        <w:rPr>
          <w:rFonts w:hint="eastAsia"/>
          <w:kern w:val="0"/>
        </w:rPr>
        <w:t xml:space="preserve">? </w:t>
      </w:r>
      <w:r>
        <w:rPr>
          <w:kern w:val="0"/>
        </w:rPr>
        <w:t>Perianes-Rodríguez, A., Olmeda-Gómez, C., Ovalle-Perandones, M.A., Chinchilla-Rodriguez, Z.</w:t>
      </w:r>
      <w:r w:rsidR="005853A9">
        <w:rPr>
          <w:kern w:val="0"/>
        </w:rPr>
        <w:t xml:space="preserve"> and </w:t>
      </w:r>
      <w:r>
        <w:rPr>
          <w:kern w:val="0"/>
        </w:rPr>
        <w:t xml:space="preserve">Moya-Anegon, F. (2011), R&amp;D collaboration in 50 major Spanish companies. </w:t>
      </w:r>
      <w:r>
        <w:rPr>
          <w:i/>
          <w:iCs/>
          <w:kern w:val="0"/>
        </w:rPr>
        <w:t>Aslib Proceedings</w:t>
      </w:r>
      <w:r>
        <w:rPr>
          <w:kern w:val="0"/>
        </w:rPr>
        <w:t xml:space="preserve">, </w:t>
      </w:r>
      <w:r>
        <w:rPr>
          <w:b/>
          <w:bCs/>
          <w:kern w:val="0"/>
        </w:rPr>
        <w:t>63</w:t>
      </w:r>
      <w:r>
        <w:rPr>
          <w:kern w:val="0"/>
        </w:rPr>
        <w:t xml:space="preserve"> (1), 5-27.</w:t>
      </w:r>
    </w:p>
    <w:p w:rsidR="00E21F7D" w:rsidRPr="00F219CA" w:rsidRDefault="00E21F7D" w:rsidP="00E21F7D">
      <w:pPr>
        <w:pStyle w:val="a3"/>
      </w:pPr>
      <w:r w:rsidRPr="00F219CA">
        <w:t xml:space="preserve">Full Text: </w:t>
      </w:r>
      <w:hyperlink r:id="rId1335" w:history="1">
        <w:r w:rsidRPr="0094295E">
          <w:rPr>
            <w:rStyle w:val="a5"/>
          </w:rPr>
          <w:t>2011\Asl Pro63, 5.pdf</w:t>
        </w:r>
      </w:hyperlink>
    </w:p>
    <w:p w:rsidR="00E21F7D" w:rsidRDefault="00E21F7D" w:rsidP="00E21F7D">
      <w:pPr>
        <w:pStyle w:val="a3"/>
        <w:rPr>
          <w:kern w:val="0"/>
        </w:rPr>
      </w:pPr>
      <w:r>
        <w:rPr>
          <w:kern w:val="0"/>
        </w:rPr>
        <w:t>Abstract: Purpose - Although</w:t>
      </w:r>
      <w:r w:rsidR="003A1917">
        <w:rPr>
          <w:kern w:val="0"/>
        </w:rPr>
        <w:t xml:space="preserve"> the </w:t>
      </w:r>
      <w:r>
        <w:rPr>
          <w:kern w:val="0"/>
        </w:rPr>
        <w:t>role</w:t>
      </w:r>
      <w:r w:rsidR="00427468">
        <w:rPr>
          <w:kern w:val="0"/>
        </w:rPr>
        <w:t xml:space="preserve"> of </w:t>
      </w:r>
      <w:r>
        <w:rPr>
          <w:kern w:val="0"/>
        </w:rPr>
        <w:t>enterprise in R&amp;D is broadly acknowledged, few attempts have been made to gather data for analyzing</w:t>
      </w:r>
      <w:r w:rsidR="003A1917">
        <w:rPr>
          <w:kern w:val="0"/>
        </w:rPr>
        <w:t xml:space="preserve"> the </w:t>
      </w:r>
      <w:r>
        <w:rPr>
          <w:kern w:val="0"/>
        </w:rPr>
        <w:t>nature</w:t>
      </w:r>
      <w:r w:rsidR="005853A9">
        <w:rPr>
          <w:kern w:val="0"/>
        </w:rPr>
        <w:t xml:space="preserve"> and </w:t>
      </w:r>
      <w:r>
        <w:rPr>
          <w:kern w:val="0"/>
        </w:rPr>
        <w:t>scope</w:t>
      </w:r>
      <w:r w:rsidR="00427468">
        <w:rPr>
          <w:kern w:val="0"/>
        </w:rPr>
        <w:t xml:space="preserve"> of </w:t>
      </w:r>
      <w:r>
        <w:rPr>
          <w:kern w:val="0"/>
        </w:rPr>
        <w:t>private sector collaboration. This study aims to deliver empirical results based on quantitative data to gain insight into</w:t>
      </w:r>
      <w:r w:rsidR="003A1917">
        <w:rPr>
          <w:kern w:val="0"/>
        </w:rPr>
        <w:t xml:space="preserve"> the </w:t>
      </w:r>
      <w:r>
        <w:rPr>
          <w:kern w:val="0"/>
        </w:rPr>
        <w:t>role</w:t>
      </w:r>
      <w:r w:rsidR="00427468">
        <w:rPr>
          <w:kern w:val="0"/>
        </w:rPr>
        <w:t xml:space="preserve"> of </w:t>
      </w:r>
      <w:r>
        <w:rPr>
          <w:kern w:val="0"/>
        </w:rPr>
        <w:t>private enterprise as an indispensable actor in scientific development</w:t>
      </w:r>
      <w:r w:rsidR="005853A9">
        <w:rPr>
          <w:kern w:val="0"/>
        </w:rPr>
        <w:t xml:space="preserve"> and </w:t>
      </w:r>
      <w:r>
        <w:rPr>
          <w:kern w:val="0"/>
        </w:rPr>
        <w:t>innovation. Design/methodology/approach -</w:t>
      </w:r>
      <w:r w:rsidR="003A1917">
        <w:rPr>
          <w:kern w:val="0"/>
        </w:rPr>
        <w:t xml:space="preserve"> the </w:t>
      </w:r>
      <w:r>
        <w:rPr>
          <w:kern w:val="0"/>
        </w:rPr>
        <w:t>study aimed to deliver empirical results based on quantitative data to gain insight into</w:t>
      </w:r>
      <w:r w:rsidR="003A1917">
        <w:rPr>
          <w:kern w:val="0"/>
        </w:rPr>
        <w:t xml:space="preserve"> </w:t>
      </w:r>
      <w:r w:rsidR="003A1917">
        <w:rPr>
          <w:kern w:val="0"/>
        </w:rPr>
        <w:lastRenderedPageBreak/>
        <w:t xml:space="preserve">the </w:t>
      </w:r>
      <w:r>
        <w:rPr>
          <w:kern w:val="0"/>
        </w:rPr>
        <w:t>role</w:t>
      </w:r>
      <w:r w:rsidR="00427468">
        <w:rPr>
          <w:kern w:val="0"/>
        </w:rPr>
        <w:t xml:space="preserve"> of </w:t>
      </w:r>
      <w:r>
        <w:rPr>
          <w:kern w:val="0"/>
        </w:rPr>
        <w:t>private enterprise as an indispensable actor in scientific development</w:t>
      </w:r>
      <w:r w:rsidR="005853A9">
        <w:rPr>
          <w:kern w:val="0"/>
        </w:rPr>
        <w:t xml:space="preserve"> and </w:t>
      </w:r>
      <w:r>
        <w:rPr>
          <w:kern w:val="0"/>
        </w:rPr>
        <w:t>innovation. To this end, an analysis was conducted</w:t>
      </w:r>
      <w:r w:rsidR="00427468">
        <w:rPr>
          <w:kern w:val="0"/>
        </w:rPr>
        <w:t xml:space="preserve"> of </w:t>
      </w:r>
      <w:r w:rsidR="003A1917">
        <w:rPr>
          <w:kern w:val="0"/>
        </w:rPr>
        <w:t xml:space="preserve">the </w:t>
      </w:r>
      <w:r>
        <w:rPr>
          <w:kern w:val="0"/>
        </w:rPr>
        <w:t>contribution made by Spanish business, focusing on</w:t>
      </w:r>
      <w:r w:rsidR="003A1917">
        <w:rPr>
          <w:kern w:val="0"/>
        </w:rPr>
        <w:t xml:space="preserve"> the </w:t>
      </w:r>
      <w:r>
        <w:rPr>
          <w:kern w:val="0"/>
        </w:rPr>
        <w:t>50 most active companies in terms</w:t>
      </w:r>
      <w:r w:rsidR="00427468">
        <w:rPr>
          <w:kern w:val="0"/>
        </w:rPr>
        <w:t xml:space="preserve"> of </w:t>
      </w:r>
      <w:r>
        <w:rPr>
          <w:kern w:val="0"/>
        </w:rPr>
        <w:t>internationally visible scientific output, from three perspectives. Findings -</w:t>
      </w:r>
      <w:r w:rsidR="003A1917">
        <w:rPr>
          <w:kern w:val="0"/>
        </w:rPr>
        <w:t xml:space="preserve"> the </w:t>
      </w:r>
      <w:r>
        <w:rPr>
          <w:kern w:val="0"/>
        </w:rPr>
        <w:t>findings provide insight into business involvement in</w:t>
      </w:r>
      <w:r w:rsidR="003A1917">
        <w:rPr>
          <w:kern w:val="0"/>
        </w:rPr>
        <w:t xml:space="preserve"> the </w:t>
      </w:r>
      <w:r>
        <w:rPr>
          <w:kern w:val="0"/>
        </w:rPr>
        <w:t>R&amp;D system based on: research papers published; national, international</w:t>
      </w:r>
      <w:r w:rsidR="005853A9">
        <w:rPr>
          <w:kern w:val="0"/>
        </w:rPr>
        <w:t xml:space="preserve"> and </w:t>
      </w:r>
      <w:r>
        <w:rPr>
          <w:kern w:val="0"/>
        </w:rPr>
        <w:t>sectoral collaboration patterns; structural patterns;</w:t>
      </w:r>
      <w:r w:rsidR="005853A9">
        <w:rPr>
          <w:kern w:val="0"/>
        </w:rPr>
        <w:t xml:space="preserve"> and </w:t>
      </w:r>
      <w:r w:rsidR="003A1917">
        <w:rPr>
          <w:kern w:val="0"/>
        </w:rPr>
        <w:t xml:space="preserve">the </w:t>
      </w:r>
      <w:r>
        <w:rPr>
          <w:kern w:val="0"/>
        </w:rPr>
        <w:t>identification</w:t>
      </w:r>
      <w:r w:rsidR="00427468">
        <w:rPr>
          <w:kern w:val="0"/>
        </w:rPr>
        <w:t xml:space="preserve"> of </w:t>
      </w:r>
      <w:r w:rsidR="003A1917">
        <w:rPr>
          <w:kern w:val="0"/>
        </w:rPr>
        <w:t xml:space="preserve">the </w:t>
      </w:r>
      <w:r>
        <w:rPr>
          <w:kern w:val="0"/>
        </w:rPr>
        <w:t>most prominent companies from a systematic comparison</w:t>
      </w:r>
      <w:r w:rsidR="00427468">
        <w:rPr>
          <w:kern w:val="0"/>
        </w:rPr>
        <w:t xml:space="preserve"> of </w:t>
      </w:r>
      <w:r>
        <w:rPr>
          <w:kern w:val="0"/>
        </w:rPr>
        <w:t>their research results</w:t>
      </w:r>
      <w:r w:rsidR="005853A9">
        <w:rPr>
          <w:kern w:val="0"/>
        </w:rPr>
        <w:t xml:space="preserve"> and </w:t>
      </w:r>
      <w:r>
        <w:rPr>
          <w:kern w:val="0"/>
        </w:rPr>
        <w:t>their position in</w:t>
      </w:r>
      <w:r w:rsidR="003A1917">
        <w:rPr>
          <w:kern w:val="0"/>
        </w:rPr>
        <w:t xml:space="preserve"> the </w:t>
      </w:r>
      <w:r>
        <w:rPr>
          <w:kern w:val="0"/>
        </w:rPr>
        <w:t>resulting collaboration network. Research limitations/implications - Bibliometric analyses do not measure all types</w:t>
      </w:r>
      <w:r w:rsidR="00427468">
        <w:rPr>
          <w:kern w:val="0"/>
        </w:rPr>
        <w:t xml:space="preserve"> of </w:t>
      </w:r>
      <w:r>
        <w:rPr>
          <w:kern w:val="0"/>
        </w:rPr>
        <w:t>publications. Indicators are usually based on data in</w:t>
      </w:r>
      <w:r w:rsidR="003A1917">
        <w:rPr>
          <w:kern w:val="0"/>
        </w:rPr>
        <w:t xml:space="preserve"> the </w:t>
      </w:r>
      <w:r>
        <w:rPr>
          <w:kern w:val="0"/>
        </w:rPr>
        <w:t>Thomson Reuters databases, which are regarded as being representative</w:t>
      </w:r>
      <w:r w:rsidR="00427468">
        <w:rPr>
          <w:kern w:val="0"/>
        </w:rPr>
        <w:t xml:space="preserve"> of </w:t>
      </w:r>
      <w:r>
        <w:rPr>
          <w:kern w:val="0"/>
        </w:rPr>
        <w:t>peer-reviewed, publicly accessible papers with high international visibility</w:t>
      </w:r>
      <w:r w:rsidR="005853A9">
        <w:rPr>
          <w:kern w:val="0"/>
        </w:rPr>
        <w:t xml:space="preserve"> and </w:t>
      </w:r>
      <w:r>
        <w:rPr>
          <w:kern w:val="0"/>
        </w:rPr>
        <w:t>impact</w:t>
      </w:r>
      <w:r w:rsidR="00A37C1D">
        <w:rPr>
          <w:kern w:val="0"/>
        </w:rPr>
        <w:t>. The</w:t>
      </w:r>
      <w:r w:rsidR="003A1917">
        <w:rPr>
          <w:kern w:val="0"/>
        </w:rPr>
        <w:t xml:space="preserve"> </w:t>
      </w:r>
      <w:r>
        <w:rPr>
          <w:kern w:val="0"/>
        </w:rPr>
        <w:t>Thomson Reuters databases feature a series</w:t>
      </w:r>
      <w:r w:rsidR="00427468">
        <w:rPr>
          <w:kern w:val="0"/>
        </w:rPr>
        <w:t xml:space="preserve"> of </w:t>
      </w:r>
      <w:r>
        <w:rPr>
          <w:kern w:val="0"/>
        </w:rPr>
        <w:t>advantages that make them indispensable for studies on scientific collaboration. Originality/value - One</w:t>
      </w:r>
      <w:r w:rsidR="00427468">
        <w:rPr>
          <w:kern w:val="0"/>
        </w:rPr>
        <w:t xml:space="preserve"> of </w:t>
      </w:r>
      <w:r w:rsidR="003A1917">
        <w:rPr>
          <w:kern w:val="0"/>
        </w:rPr>
        <w:t xml:space="preserve">the </w:t>
      </w:r>
      <w:r>
        <w:rPr>
          <w:kern w:val="0"/>
        </w:rPr>
        <w:t>core ideas</w:t>
      </w:r>
      <w:r w:rsidR="00427468">
        <w:rPr>
          <w:kern w:val="0"/>
        </w:rPr>
        <w:t xml:space="preserve"> of </w:t>
      </w:r>
      <w:r>
        <w:rPr>
          <w:kern w:val="0"/>
        </w:rPr>
        <w:t>this study is</w:t>
      </w:r>
      <w:r w:rsidR="003A1917">
        <w:rPr>
          <w:kern w:val="0"/>
        </w:rPr>
        <w:t xml:space="preserve"> the </w:t>
      </w:r>
      <w:r>
        <w:rPr>
          <w:kern w:val="0"/>
        </w:rPr>
        <w:t>emphasis on</w:t>
      </w:r>
      <w:r w:rsidR="003A1917">
        <w:rPr>
          <w:kern w:val="0"/>
        </w:rPr>
        <w:t xml:space="preserve"> the </w:t>
      </w:r>
      <w:r>
        <w:rPr>
          <w:kern w:val="0"/>
        </w:rPr>
        <w:t>essential role</w:t>
      </w:r>
      <w:r w:rsidR="00427468">
        <w:rPr>
          <w:kern w:val="0"/>
        </w:rPr>
        <w:t xml:space="preserve"> of </w:t>
      </w:r>
      <w:r>
        <w:rPr>
          <w:kern w:val="0"/>
        </w:rPr>
        <w:t>collaboration in improving scientific results, as borne out by</w:t>
      </w:r>
      <w:r w:rsidR="003A1917">
        <w:rPr>
          <w:kern w:val="0"/>
        </w:rPr>
        <w:t xml:space="preserve"> the </w:t>
      </w:r>
      <w:r>
        <w:rPr>
          <w:kern w:val="0"/>
        </w:rPr>
        <w:t>correlation between</w:t>
      </w:r>
      <w:r w:rsidR="003A1917">
        <w:rPr>
          <w:kern w:val="0"/>
        </w:rPr>
        <w:t xml:space="preserve"> the </w:t>
      </w:r>
      <w:r>
        <w:rPr>
          <w:kern w:val="0"/>
        </w:rPr>
        <w:t>clustering coefficient</w:t>
      </w:r>
      <w:r w:rsidR="005853A9">
        <w:rPr>
          <w:kern w:val="0"/>
        </w:rPr>
        <w:t xml:space="preserve"> and </w:t>
      </w:r>
      <w:r w:rsidR="003A1917">
        <w:rPr>
          <w:kern w:val="0"/>
        </w:rPr>
        <w:t xml:space="preserve">the </w:t>
      </w:r>
      <w:r>
        <w:rPr>
          <w:kern w:val="0"/>
        </w:rPr>
        <w:t>hybrid indicators</w:t>
      </w:r>
      <w:r w:rsidR="00A37C1D">
        <w:rPr>
          <w:kern w:val="0"/>
        </w:rPr>
        <w:t>. The</w:t>
      </w:r>
      <w:r w:rsidR="003A1917">
        <w:rPr>
          <w:kern w:val="0"/>
        </w:rPr>
        <w:t xml:space="preserve"> </w:t>
      </w:r>
      <w:r>
        <w:rPr>
          <w:kern w:val="0"/>
        </w:rPr>
        <w:t>findings also provide proof</w:t>
      </w:r>
      <w:r w:rsidR="00427468">
        <w:rPr>
          <w:kern w:val="0"/>
        </w:rPr>
        <w:t xml:space="preserve"> of </w:t>
      </w:r>
      <w:r w:rsidR="003A1917">
        <w:rPr>
          <w:kern w:val="0"/>
        </w:rPr>
        <w:t xml:space="preserve">the </w:t>
      </w:r>
      <w:r>
        <w:rPr>
          <w:kern w:val="0"/>
        </w:rPr>
        <w:t>success</w:t>
      </w:r>
      <w:r w:rsidR="00427468">
        <w:rPr>
          <w:kern w:val="0"/>
        </w:rPr>
        <w:t xml:space="preserve"> of </w:t>
      </w:r>
      <w:r>
        <w:rPr>
          <w:kern w:val="0"/>
        </w:rPr>
        <w:t>strategies for institutional collaboration</w:t>
      </w:r>
      <w:r w:rsidR="00A37C1D">
        <w:rPr>
          <w:kern w:val="0"/>
        </w:rPr>
        <w:t>. The</w:t>
      </w:r>
      <w:r w:rsidR="003A1917">
        <w:rPr>
          <w:kern w:val="0"/>
        </w:rPr>
        <w:t xml:space="preserve"> </w:t>
      </w:r>
      <w:r>
        <w:rPr>
          <w:kern w:val="0"/>
        </w:rPr>
        <w:t>foregoing shows that</w:t>
      </w:r>
      <w:r w:rsidR="003A1917">
        <w:rPr>
          <w:kern w:val="0"/>
        </w:rPr>
        <w:t xml:space="preserve"> the </w:t>
      </w:r>
      <w:r>
        <w:rPr>
          <w:kern w:val="0"/>
        </w:rPr>
        <w:t>application</w:t>
      </w:r>
      <w:r w:rsidR="00427468">
        <w:rPr>
          <w:kern w:val="0"/>
        </w:rPr>
        <w:t xml:space="preserve"> of </w:t>
      </w:r>
      <w:r>
        <w:rPr>
          <w:kern w:val="0"/>
        </w:rPr>
        <w:t>hybrid indicators to institutional aggregates yields novel results not explored in preceding studies.</w:t>
      </w:r>
    </w:p>
    <w:p w:rsidR="00E21F7D" w:rsidRDefault="00E21F7D" w:rsidP="00E21F7D">
      <w:pPr>
        <w:pStyle w:val="a3"/>
        <w:rPr>
          <w:kern w:val="0"/>
        </w:rPr>
      </w:pPr>
      <w:r>
        <w:rPr>
          <w:kern w:val="0"/>
        </w:rPr>
        <w:t>Keywords: Aggregates, Analyses, Analysis, Application, Bibliometric, Biotechnology, Business, Clustering, Collaboration, Comparison, Correlation, Data, Databases, Development, Feature, Firms, Hybrid, Identification, Impact, Indicators, Industry, Information Science</w:t>
      </w:r>
      <w:r w:rsidR="005853A9">
        <w:rPr>
          <w:kern w:val="0"/>
        </w:rPr>
        <w:t xml:space="preserve"> and </w:t>
      </w:r>
      <w:r>
        <w:rPr>
          <w:kern w:val="0"/>
        </w:rPr>
        <w:t>Documentation, Innovation, Innovation Systems, International, Measure, Network, Organization, Papers, Peer-Reviewed, Private Enterprise, Private Sector, Private Sector Organizations, Public Science, Publications, Research, Research</w:t>
      </w:r>
      <w:r w:rsidR="005853A9">
        <w:rPr>
          <w:kern w:val="0"/>
        </w:rPr>
        <w:t xml:space="preserve"> and </w:t>
      </w:r>
      <w:r>
        <w:rPr>
          <w:kern w:val="0"/>
        </w:rPr>
        <w:t>Development, Research Cooperation, Research Results, Role, Scientific Collaboration, Scientific Output, Scope, Sector, Spain, Technology, Triple-Helix, Visibility</w:t>
      </w:r>
    </w:p>
    <w:p w:rsidR="00E21F7D" w:rsidRDefault="00E21F7D" w:rsidP="00E21F7D">
      <w:pPr>
        <w:pStyle w:val="a3"/>
        <w:rPr>
          <w:kern w:val="0"/>
        </w:rPr>
      </w:pPr>
      <w:r>
        <w:rPr>
          <w:rFonts w:hint="eastAsia"/>
          <w:kern w:val="0"/>
        </w:rPr>
        <w:t xml:space="preserve">? </w:t>
      </w:r>
      <w:r>
        <w:rPr>
          <w:kern w:val="0"/>
        </w:rPr>
        <w:t>Zhu, Q.L.</w:t>
      </w:r>
      <w:r w:rsidR="005853A9">
        <w:rPr>
          <w:kern w:val="0"/>
        </w:rPr>
        <w:t xml:space="preserve"> and </w:t>
      </w:r>
      <w:r>
        <w:rPr>
          <w:kern w:val="0"/>
        </w:rPr>
        <w:t>Willett, P. (2011), Bibliometric analysis</w:t>
      </w:r>
      <w:r w:rsidR="00427468">
        <w:rPr>
          <w:kern w:val="0"/>
        </w:rPr>
        <w:t xml:space="preserve"> of </w:t>
      </w:r>
      <w:r>
        <w:rPr>
          <w:kern w:val="0"/>
        </w:rPr>
        <w:t xml:space="preserve">Chinese superconductivity research, 1986-2007. </w:t>
      </w:r>
      <w:r>
        <w:rPr>
          <w:i/>
          <w:iCs/>
          <w:kern w:val="0"/>
        </w:rPr>
        <w:t>Aslib Proceedings</w:t>
      </w:r>
      <w:r>
        <w:rPr>
          <w:kern w:val="0"/>
        </w:rPr>
        <w:t xml:space="preserve">, </w:t>
      </w:r>
      <w:r>
        <w:rPr>
          <w:b/>
          <w:bCs/>
          <w:kern w:val="0"/>
        </w:rPr>
        <w:t>63</w:t>
      </w:r>
      <w:r>
        <w:rPr>
          <w:kern w:val="0"/>
        </w:rPr>
        <w:t xml:space="preserve"> (1), 101-119.</w:t>
      </w:r>
    </w:p>
    <w:p w:rsidR="00E21F7D" w:rsidRPr="00F219CA" w:rsidRDefault="00E21F7D" w:rsidP="00E21F7D">
      <w:pPr>
        <w:pStyle w:val="a3"/>
      </w:pPr>
      <w:r w:rsidRPr="00F219CA">
        <w:t xml:space="preserve">Full Text: </w:t>
      </w:r>
      <w:hyperlink r:id="rId1336" w:history="1">
        <w:r w:rsidRPr="0024096A">
          <w:rPr>
            <w:rStyle w:val="a5"/>
          </w:rPr>
          <w:t>2011\Asl Pro63, 101.pdf</w:t>
        </w:r>
      </w:hyperlink>
    </w:p>
    <w:p w:rsidR="00E21F7D" w:rsidRDefault="00E21F7D" w:rsidP="00E21F7D">
      <w:pPr>
        <w:pStyle w:val="a3"/>
        <w:rPr>
          <w:kern w:val="0"/>
        </w:rPr>
      </w:pPr>
      <w:r>
        <w:rPr>
          <w:kern w:val="0"/>
        </w:rPr>
        <w:t>Abstract: Purpose -</w:t>
      </w:r>
      <w:r w:rsidR="003A1917">
        <w:rPr>
          <w:kern w:val="0"/>
        </w:rPr>
        <w:t xml:space="preserve"> the </w:t>
      </w:r>
      <w:r>
        <w:rPr>
          <w:kern w:val="0"/>
        </w:rPr>
        <w:t>purpose</w:t>
      </w:r>
      <w:r w:rsidR="00427468">
        <w:rPr>
          <w:kern w:val="0"/>
        </w:rPr>
        <w:t xml:space="preserve"> of </w:t>
      </w:r>
      <w:r>
        <w:rPr>
          <w:kern w:val="0"/>
        </w:rPr>
        <w:t>this paper is to cam, out a bibliometric analysis</w:t>
      </w:r>
      <w:r w:rsidR="00427468">
        <w:rPr>
          <w:kern w:val="0"/>
        </w:rPr>
        <w:t xml:space="preserve"> of </w:t>
      </w:r>
      <w:r w:rsidR="003A1917">
        <w:rPr>
          <w:kern w:val="0"/>
        </w:rPr>
        <w:t xml:space="preserve">the </w:t>
      </w:r>
      <w:r>
        <w:rPr>
          <w:kern w:val="0"/>
        </w:rPr>
        <w:t>development</w:t>
      </w:r>
      <w:r w:rsidR="00427468">
        <w:rPr>
          <w:kern w:val="0"/>
        </w:rPr>
        <w:t xml:space="preserve"> of </w:t>
      </w:r>
      <w:r>
        <w:rPr>
          <w:kern w:val="0"/>
        </w:rPr>
        <w:t>Chinese research in superconductivity since</w:t>
      </w:r>
      <w:r w:rsidR="003A1917">
        <w:rPr>
          <w:kern w:val="0"/>
        </w:rPr>
        <w:t xml:space="preserve"> the </w:t>
      </w:r>
      <w:r>
        <w:rPr>
          <w:kern w:val="0"/>
        </w:rPr>
        <w:t>advent</w:t>
      </w:r>
      <w:r w:rsidR="00427468">
        <w:rPr>
          <w:kern w:val="0"/>
        </w:rPr>
        <w:t xml:space="preserve"> of </w:t>
      </w:r>
      <w:r>
        <w:rPr>
          <w:kern w:val="0"/>
        </w:rPr>
        <w:t>high-temperature superconductivity (HTS) in</w:t>
      </w:r>
      <w:r w:rsidR="003A1917">
        <w:rPr>
          <w:kern w:val="0"/>
        </w:rPr>
        <w:t xml:space="preserve"> the </w:t>
      </w:r>
      <w:r>
        <w:rPr>
          <w:kern w:val="0"/>
        </w:rPr>
        <w:t>mid-1980s,</w:t>
      </w:r>
      <w:r w:rsidR="005853A9">
        <w:rPr>
          <w:kern w:val="0"/>
        </w:rPr>
        <w:t xml:space="preserve"> and </w:t>
      </w:r>
      <w:r>
        <w:rPr>
          <w:kern w:val="0"/>
        </w:rPr>
        <w:t>to compare Chinese research with that</w:t>
      </w:r>
      <w:r w:rsidR="00427468">
        <w:rPr>
          <w:kern w:val="0"/>
        </w:rPr>
        <w:t xml:space="preserve"> of </w:t>
      </w:r>
      <w:r>
        <w:rPr>
          <w:kern w:val="0"/>
        </w:rPr>
        <w:t>its international competitors. Design/methodology/approach - This research used publications, citations, journals, subject categories</w:t>
      </w:r>
      <w:r w:rsidR="005853A9">
        <w:rPr>
          <w:kern w:val="0"/>
        </w:rPr>
        <w:t xml:space="preserve"> and </w:t>
      </w:r>
      <w:r>
        <w:rPr>
          <w:kern w:val="0"/>
        </w:rPr>
        <w:t>institutional data from</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database. Findings - Chinese HTS research has grown steadily in importance over</w:t>
      </w:r>
      <w:r w:rsidR="003A1917">
        <w:rPr>
          <w:kern w:val="0"/>
        </w:rPr>
        <w:t xml:space="preserve"> the </w:t>
      </w:r>
      <w:r>
        <w:rPr>
          <w:kern w:val="0"/>
        </w:rPr>
        <w:t xml:space="preserve">period, with a </w:t>
      </w:r>
      <w:r>
        <w:rPr>
          <w:kern w:val="0"/>
        </w:rPr>
        <w:lastRenderedPageBreak/>
        <w:t>significant increase in peer-recognition, as measured by citations from non-Chinese researchers. A comparison with superconductivity research in England, France, Germany, Japan, Russia</w:t>
      </w:r>
      <w:r w:rsidR="005853A9">
        <w:rPr>
          <w:kern w:val="0"/>
        </w:rPr>
        <w:t xml:space="preserve"> and </w:t>
      </w:r>
      <w:r w:rsidR="003A1917">
        <w:rPr>
          <w:kern w:val="0"/>
        </w:rPr>
        <w:t xml:space="preserve">the </w:t>
      </w:r>
      <w:r w:rsidR="00D5664A">
        <w:rPr>
          <w:kern w:val="0"/>
        </w:rPr>
        <w:t>USA</w:t>
      </w:r>
      <w:r>
        <w:rPr>
          <w:kern w:val="0"/>
        </w:rPr>
        <w:t xml:space="preserve"> shows that</w:t>
      </w:r>
      <w:r w:rsidR="003A1917">
        <w:rPr>
          <w:kern w:val="0"/>
        </w:rPr>
        <w:t xml:space="preserve"> the </w:t>
      </w:r>
      <w:r>
        <w:rPr>
          <w:kern w:val="0"/>
        </w:rPr>
        <w:t>impact</w:t>
      </w:r>
      <w:r w:rsidR="00427468">
        <w:rPr>
          <w:kern w:val="0"/>
        </w:rPr>
        <w:t xml:space="preserve"> of </w:t>
      </w:r>
      <w:r w:rsidR="003A1917">
        <w:rPr>
          <w:kern w:val="0"/>
        </w:rPr>
        <w:t xml:space="preserve">the </w:t>
      </w:r>
      <w:r>
        <w:rPr>
          <w:kern w:val="0"/>
        </w:rPr>
        <w:t>Chinese work is growing relative to</w:t>
      </w:r>
      <w:r w:rsidR="003A1917">
        <w:rPr>
          <w:kern w:val="0"/>
        </w:rPr>
        <w:t xml:space="preserve"> the </w:t>
      </w:r>
      <w:r>
        <w:rPr>
          <w:kern w:val="0"/>
        </w:rPr>
        <w:t>other countries, with a cluster analysis showing that</w:t>
      </w:r>
      <w:r w:rsidR="003A1917">
        <w:rPr>
          <w:kern w:val="0"/>
        </w:rPr>
        <w:t xml:space="preserve"> the </w:t>
      </w:r>
      <w:r>
        <w:rPr>
          <w:kern w:val="0"/>
        </w:rPr>
        <w:t>current bibliometric status</w:t>
      </w:r>
      <w:r w:rsidR="00427468">
        <w:rPr>
          <w:kern w:val="0"/>
        </w:rPr>
        <w:t xml:space="preserve"> of </w:t>
      </w:r>
      <w:r>
        <w:rPr>
          <w:kern w:val="0"/>
        </w:rPr>
        <w:t>Chinese research is most similar to that</w:t>
      </w:r>
      <w:r w:rsidR="00427468">
        <w:rPr>
          <w:kern w:val="0"/>
        </w:rPr>
        <w:t xml:space="preserve"> of </w:t>
      </w:r>
      <w:r>
        <w:rPr>
          <w:kern w:val="0"/>
        </w:rPr>
        <w:t>England, France</w:t>
      </w:r>
      <w:r w:rsidR="005853A9">
        <w:rPr>
          <w:kern w:val="0"/>
        </w:rPr>
        <w:t xml:space="preserve"> and </w:t>
      </w:r>
      <w:r>
        <w:rPr>
          <w:kern w:val="0"/>
        </w:rPr>
        <w:t>Russia. Originality/value - This is both</w:t>
      </w:r>
      <w:r w:rsidR="003A1917">
        <w:rPr>
          <w:kern w:val="0"/>
        </w:rPr>
        <w:t xml:space="preserve"> the </w:t>
      </w:r>
      <w:r>
        <w:rPr>
          <w:kern w:val="0"/>
        </w:rPr>
        <w:t>first bibliometric study</w:t>
      </w:r>
      <w:r w:rsidR="00427468">
        <w:rPr>
          <w:kern w:val="0"/>
        </w:rPr>
        <w:t xml:space="preserve"> of </w:t>
      </w:r>
      <w:r>
        <w:rPr>
          <w:kern w:val="0"/>
        </w:rPr>
        <w:t>Chinese research in superconductivity</w:t>
      </w:r>
      <w:r w:rsidR="005853A9">
        <w:rPr>
          <w:kern w:val="0"/>
        </w:rPr>
        <w:t xml:space="preserve"> and </w:t>
      </w:r>
      <w:r w:rsidR="003A1917">
        <w:rPr>
          <w:kern w:val="0"/>
        </w:rPr>
        <w:t xml:space="preserve">the </w:t>
      </w:r>
      <w:r>
        <w:rPr>
          <w:kern w:val="0"/>
        </w:rPr>
        <w:t>first bibliometric comparison</w:t>
      </w:r>
      <w:r w:rsidR="00427468">
        <w:rPr>
          <w:kern w:val="0"/>
        </w:rPr>
        <w:t xml:space="preserve"> of </w:t>
      </w:r>
      <w:r>
        <w:rPr>
          <w:kern w:val="0"/>
        </w:rPr>
        <w:t>different countries</w:t>
      </w:r>
      <w:r w:rsidR="00700038">
        <w:rPr>
          <w:kern w:val="0"/>
        </w:rPr>
        <w:t>’</w:t>
      </w:r>
      <w:r>
        <w:rPr>
          <w:kern w:val="0"/>
        </w:rPr>
        <w:t xml:space="preserve"> research in superconductivity since</w:t>
      </w:r>
      <w:r w:rsidR="003A1917">
        <w:rPr>
          <w:kern w:val="0"/>
        </w:rPr>
        <w:t xml:space="preserve"> the </w:t>
      </w:r>
      <w:r>
        <w:rPr>
          <w:kern w:val="0"/>
        </w:rPr>
        <w:t>advent</w:t>
      </w:r>
      <w:r w:rsidR="00427468">
        <w:rPr>
          <w:kern w:val="0"/>
        </w:rPr>
        <w:t xml:space="preserve"> of </w:t>
      </w:r>
      <w:r>
        <w:rPr>
          <w:kern w:val="0"/>
        </w:rPr>
        <w:t>HTS. Cluster analysis provides an interesting way</w:t>
      </w:r>
      <w:r w:rsidR="00427468">
        <w:rPr>
          <w:kern w:val="0"/>
        </w:rPr>
        <w:t xml:space="preserve"> of </w:t>
      </w:r>
      <w:r>
        <w:rPr>
          <w:kern w:val="0"/>
        </w:rPr>
        <w:t>identifying analogous international bibliometric profiles.</w:t>
      </w:r>
    </w:p>
    <w:p w:rsidR="00E21F7D" w:rsidRDefault="00E21F7D" w:rsidP="00E21F7D">
      <w:pPr>
        <w:pStyle w:val="a3"/>
        <w:rPr>
          <w:kern w:val="0"/>
        </w:rPr>
      </w:pPr>
      <w:r>
        <w:rPr>
          <w:kern w:val="0"/>
        </w:rPr>
        <w:t xml:space="preserve">Keywords: Analysis, Bibliometric, Bibliometric Analysis, Bibliometric Study, China, Chinese, Citation, Citations, Cluster, Cluster Analysis, Communication, Comparison, Countries, Data, Data Analysis, Database, Development, Discovery, England, First, France, Germany, Impact, Indicators, Information Research, International, Japan, Journals, Performance, Perspective, Profiles, Publications, Purpose, Research, Russia, Science, Scientists, Superconductivity,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r>
        <w:rPr>
          <w:kern w:val="0"/>
        </w:rPr>
        <w:t>, Work</w:t>
      </w:r>
    </w:p>
    <w:p w:rsidR="00CA4EED" w:rsidRDefault="00CA4EED" w:rsidP="003F2167">
      <w:pPr>
        <w:pStyle w:val="a3"/>
        <w:rPr>
          <w:kern w:val="0"/>
          <w:szCs w:val="24"/>
        </w:rPr>
      </w:pPr>
      <w:r>
        <w:rPr>
          <w:rFonts w:hint="eastAsia"/>
          <w:kern w:val="0"/>
          <w:szCs w:val="24"/>
        </w:rPr>
        <w:t>Notes: CCountry</w:t>
      </w:r>
    </w:p>
    <w:p w:rsidR="003F2167" w:rsidRDefault="003F2167" w:rsidP="003F2167">
      <w:pPr>
        <w:pStyle w:val="a3"/>
        <w:rPr>
          <w:kern w:val="0"/>
          <w:szCs w:val="24"/>
        </w:rPr>
      </w:pPr>
      <w:r>
        <w:rPr>
          <w:rFonts w:hint="eastAsia"/>
          <w:kern w:val="0"/>
          <w:szCs w:val="24"/>
        </w:rPr>
        <w:t xml:space="preserve">? </w:t>
      </w:r>
      <w:r>
        <w:rPr>
          <w:kern w:val="0"/>
          <w:szCs w:val="24"/>
        </w:rPr>
        <w:t>Bakri, A.</w:t>
      </w:r>
      <w:r w:rsidR="005853A9">
        <w:rPr>
          <w:kern w:val="0"/>
          <w:szCs w:val="24"/>
        </w:rPr>
        <w:t xml:space="preserve"> and </w:t>
      </w:r>
      <w:r>
        <w:rPr>
          <w:kern w:val="0"/>
          <w:szCs w:val="24"/>
        </w:rPr>
        <w:t xml:space="preserve">Willett, P. (2011), Computer science research in Malaysia: A bibliometric analysis. </w:t>
      </w:r>
      <w:r>
        <w:rPr>
          <w:i/>
          <w:iCs/>
          <w:kern w:val="0"/>
          <w:szCs w:val="24"/>
        </w:rPr>
        <w:t>Aslib Proceedings</w:t>
      </w:r>
      <w:r>
        <w:rPr>
          <w:kern w:val="0"/>
          <w:szCs w:val="24"/>
        </w:rPr>
        <w:t xml:space="preserve">, </w:t>
      </w:r>
      <w:r>
        <w:rPr>
          <w:b/>
          <w:bCs/>
          <w:kern w:val="0"/>
          <w:szCs w:val="24"/>
        </w:rPr>
        <w:t>63</w:t>
      </w:r>
      <w:r>
        <w:rPr>
          <w:kern w:val="0"/>
          <w:szCs w:val="24"/>
        </w:rPr>
        <w:t xml:space="preserve"> (2-3), 321-335.</w:t>
      </w:r>
    </w:p>
    <w:p w:rsidR="003F2167" w:rsidRPr="00F219CA" w:rsidRDefault="003F2167" w:rsidP="003F2167">
      <w:pPr>
        <w:pStyle w:val="a3"/>
      </w:pPr>
      <w:r w:rsidRPr="00F219CA">
        <w:t xml:space="preserve">Full Text: </w:t>
      </w:r>
      <w:hyperlink r:id="rId1337" w:history="1">
        <w:r w:rsidRPr="00A93871">
          <w:rPr>
            <w:rStyle w:val="a5"/>
          </w:rPr>
          <w:t>2011\Asl Pro63, 321.pdf</w:t>
        </w:r>
      </w:hyperlink>
    </w:p>
    <w:p w:rsidR="003F2167" w:rsidRDefault="003F2167" w:rsidP="003F2167">
      <w:pPr>
        <w:pStyle w:val="a3"/>
        <w:rPr>
          <w:kern w:val="0"/>
          <w:szCs w:val="24"/>
        </w:rPr>
      </w:pPr>
      <w:r>
        <w:rPr>
          <w:kern w:val="0"/>
          <w:szCs w:val="24"/>
        </w:rPr>
        <w:t>Abstract: Purpose -</w:t>
      </w:r>
      <w:r w:rsidR="003A1917">
        <w:rPr>
          <w:kern w:val="0"/>
          <w:szCs w:val="24"/>
        </w:rPr>
        <w:t xml:space="preserve"> the </w:t>
      </w:r>
      <w:r>
        <w:rPr>
          <w:kern w:val="0"/>
          <w:szCs w:val="24"/>
        </w:rPr>
        <w:t>purpose</w:t>
      </w:r>
      <w:r w:rsidR="00427468">
        <w:rPr>
          <w:kern w:val="0"/>
          <w:szCs w:val="24"/>
        </w:rPr>
        <w:t xml:space="preserve"> of </w:t>
      </w:r>
      <w:r>
        <w:rPr>
          <w:kern w:val="0"/>
          <w:szCs w:val="24"/>
        </w:rPr>
        <w:t>this paper is to analyse</w:t>
      </w:r>
      <w:r w:rsidR="003A1917">
        <w:rPr>
          <w:kern w:val="0"/>
          <w:szCs w:val="24"/>
        </w:rPr>
        <w:t xml:space="preserve"> the </w:t>
      </w:r>
      <w:r>
        <w:rPr>
          <w:kern w:val="0"/>
          <w:szCs w:val="24"/>
        </w:rPr>
        <w:t>publications of,</w:t>
      </w:r>
      <w:r w:rsidR="005853A9">
        <w:rPr>
          <w:kern w:val="0"/>
          <w:szCs w:val="24"/>
        </w:rPr>
        <w:t xml:space="preserve"> and </w:t>
      </w:r>
      <w:r w:rsidR="003A1917">
        <w:rPr>
          <w:kern w:val="0"/>
          <w:szCs w:val="24"/>
        </w:rPr>
        <w:t xml:space="preserve">the </w:t>
      </w:r>
      <w:r>
        <w:rPr>
          <w:kern w:val="0"/>
          <w:szCs w:val="24"/>
        </w:rPr>
        <w:t>citations to,</w:t>
      </w:r>
      <w:r w:rsidR="003A1917">
        <w:rPr>
          <w:kern w:val="0"/>
          <w:szCs w:val="24"/>
        </w:rPr>
        <w:t xml:space="preserve"> the </w:t>
      </w:r>
      <w:r>
        <w:rPr>
          <w:kern w:val="0"/>
          <w:szCs w:val="24"/>
        </w:rPr>
        <w:t>current staff</w:t>
      </w:r>
      <w:r w:rsidR="00427468">
        <w:rPr>
          <w:kern w:val="0"/>
          <w:szCs w:val="24"/>
        </w:rPr>
        <w:t xml:space="preserve"> of </w:t>
      </w:r>
      <w:r>
        <w:rPr>
          <w:kern w:val="0"/>
          <w:szCs w:val="24"/>
        </w:rPr>
        <w:t>19 departments</w:t>
      </w:r>
      <w:r w:rsidR="00427468">
        <w:rPr>
          <w:kern w:val="0"/>
          <w:szCs w:val="24"/>
        </w:rPr>
        <w:t xml:space="preserve"> of </w:t>
      </w:r>
      <w:r>
        <w:rPr>
          <w:kern w:val="0"/>
          <w:szCs w:val="24"/>
        </w:rPr>
        <w:t>computer science in Malaysian universities,</w:t>
      </w:r>
      <w:r w:rsidR="005853A9">
        <w:rPr>
          <w:kern w:val="0"/>
          <w:szCs w:val="24"/>
        </w:rPr>
        <w:t xml:space="preserve"> and </w:t>
      </w:r>
      <w:r>
        <w:rPr>
          <w:kern w:val="0"/>
          <w:szCs w:val="24"/>
        </w:rPr>
        <w:t>to compare these bibliometric data with expert peer reviews</w:t>
      </w:r>
      <w:r w:rsidR="00427468">
        <w:rPr>
          <w:kern w:val="0"/>
          <w:szCs w:val="24"/>
        </w:rPr>
        <w:t xml:space="preserve"> of </w:t>
      </w:r>
      <w:r>
        <w:rPr>
          <w:kern w:val="0"/>
          <w:szCs w:val="24"/>
        </w:rPr>
        <w:t>Malaysian research performance. Design/methodology/approach - This paper searches citation</w:t>
      </w:r>
      <w:r w:rsidR="00427468">
        <w:rPr>
          <w:kern w:val="0"/>
          <w:szCs w:val="24"/>
        </w:rPr>
        <w:t xml:space="preserve"> of </w:t>
      </w:r>
      <w:r w:rsidR="003A1917">
        <w:rPr>
          <w:kern w:val="0"/>
          <w:szCs w:val="24"/>
        </w:rPr>
        <w:t xml:space="preserve">the </w:t>
      </w:r>
      <w:r>
        <w:rPr>
          <w:kern w:val="0"/>
          <w:szCs w:val="24"/>
        </w:rPr>
        <w:t>Scopus</w:t>
      </w:r>
      <w:r w:rsidR="005853A9">
        <w:rPr>
          <w:kern w:val="0"/>
          <w:szCs w:val="24"/>
        </w:rPr>
        <w:t xml:space="preserve"> and </w:t>
      </w:r>
      <w:r w:rsidR="00D5664A">
        <w:rPr>
          <w:kern w:val="0"/>
          <w:szCs w:val="24"/>
        </w:rPr>
        <w:t>Web</w:t>
      </w:r>
      <w:r w:rsidR="00427468">
        <w:rPr>
          <w:kern w:val="0"/>
          <w:szCs w:val="24"/>
        </w:rPr>
        <w:t xml:space="preserve"> of </w:t>
      </w:r>
      <w:r w:rsidR="00D5664A">
        <w:rPr>
          <w:kern w:val="0"/>
          <w:szCs w:val="24"/>
        </w:rPr>
        <w:t>Science</w:t>
      </w:r>
      <w:r>
        <w:rPr>
          <w:kern w:val="0"/>
          <w:szCs w:val="24"/>
        </w:rPr>
        <w:t xml:space="preserve"> databases. Findings - Both publication</w:t>
      </w:r>
      <w:r w:rsidR="005853A9">
        <w:rPr>
          <w:kern w:val="0"/>
          <w:szCs w:val="24"/>
        </w:rPr>
        <w:t xml:space="preserve"> and </w:t>
      </w:r>
      <w:r>
        <w:rPr>
          <w:kern w:val="0"/>
          <w:szCs w:val="24"/>
        </w:rPr>
        <w:t>citation rates are low, although this is at least in part due to some Malaysian universities having only a teaching function. More</w:t>
      </w:r>
      <w:r w:rsidR="00427468">
        <w:rPr>
          <w:kern w:val="0"/>
          <w:szCs w:val="24"/>
        </w:rPr>
        <w:t xml:space="preserve"> of </w:t>
      </w:r>
      <w:r w:rsidR="003A1917">
        <w:rPr>
          <w:kern w:val="0"/>
          <w:szCs w:val="24"/>
        </w:rPr>
        <w:t xml:space="preserve">the </w:t>
      </w:r>
      <w:r>
        <w:rPr>
          <w:kern w:val="0"/>
          <w:szCs w:val="24"/>
        </w:rPr>
        <w:t>departments</w:t>
      </w:r>
      <w:r w:rsidR="00700038">
        <w:rPr>
          <w:kern w:val="0"/>
          <w:szCs w:val="24"/>
        </w:rPr>
        <w:t>’</w:t>
      </w:r>
      <w:r>
        <w:rPr>
          <w:kern w:val="0"/>
          <w:szCs w:val="24"/>
        </w:rPr>
        <w:t xml:space="preserve"> publications were identified in Scopus than in </w:t>
      </w:r>
      <w:r w:rsidR="00D5664A">
        <w:rPr>
          <w:kern w:val="0"/>
          <w:szCs w:val="24"/>
        </w:rPr>
        <w:t>Web</w:t>
      </w:r>
      <w:r w:rsidR="00427468">
        <w:rPr>
          <w:kern w:val="0"/>
          <w:szCs w:val="24"/>
        </w:rPr>
        <w:t xml:space="preserve"> of </w:t>
      </w:r>
      <w:r w:rsidR="00D5664A">
        <w:rPr>
          <w:kern w:val="0"/>
          <w:szCs w:val="24"/>
        </w:rPr>
        <w:t>Science</w:t>
      </w:r>
      <w:r>
        <w:rPr>
          <w:kern w:val="0"/>
          <w:szCs w:val="24"/>
        </w:rPr>
        <w:t>, but both databases were needed for comprehensive coverage. Statistically significant relationships were observed between</w:t>
      </w:r>
      <w:r w:rsidR="003A1917">
        <w:rPr>
          <w:kern w:val="0"/>
          <w:szCs w:val="24"/>
        </w:rPr>
        <w:t xml:space="preserve"> the </w:t>
      </w:r>
      <w:r>
        <w:rPr>
          <w:kern w:val="0"/>
          <w:szCs w:val="24"/>
        </w:rPr>
        <w:t>departments</w:t>
      </w:r>
      <w:r w:rsidR="00700038">
        <w:rPr>
          <w:kern w:val="0"/>
          <w:szCs w:val="24"/>
        </w:rPr>
        <w:t>’</w:t>
      </w:r>
      <w:r>
        <w:rPr>
          <w:kern w:val="0"/>
          <w:szCs w:val="24"/>
        </w:rPr>
        <w:t xml:space="preserve"> publication</w:t>
      </w:r>
      <w:r w:rsidR="005853A9">
        <w:rPr>
          <w:kern w:val="0"/>
          <w:szCs w:val="24"/>
        </w:rPr>
        <w:t xml:space="preserve"> and </w:t>
      </w:r>
      <w:r>
        <w:rPr>
          <w:kern w:val="0"/>
          <w:szCs w:val="24"/>
        </w:rPr>
        <w:t>citation counts</w:t>
      </w:r>
      <w:r w:rsidR="005853A9">
        <w:rPr>
          <w:kern w:val="0"/>
          <w:szCs w:val="24"/>
        </w:rPr>
        <w:t xml:space="preserve"> and </w:t>
      </w:r>
      <w:r w:rsidR="003A1917">
        <w:rPr>
          <w:kern w:val="0"/>
          <w:szCs w:val="24"/>
        </w:rPr>
        <w:t xml:space="preserve">the </w:t>
      </w:r>
      <w:r>
        <w:rPr>
          <w:kern w:val="0"/>
          <w:szCs w:val="24"/>
        </w:rPr>
        <w:t>rankings</w:t>
      </w:r>
      <w:r w:rsidR="00427468">
        <w:rPr>
          <w:kern w:val="0"/>
          <w:szCs w:val="24"/>
        </w:rPr>
        <w:t xml:space="preserve"> of </w:t>
      </w:r>
      <w:r w:rsidR="003A1917">
        <w:rPr>
          <w:kern w:val="0"/>
          <w:szCs w:val="24"/>
        </w:rPr>
        <w:t xml:space="preserve">the </w:t>
      </w:r>
      <w:r>
        <w:rPr>
          <w:kern w:val="0"/>
          <w:szCs w:val="24"/>
        </w:rPr>
        <w:t>departments</w:t>
      </w:r>
      <w:r w:rsidR="00700038">
        <w:rPr>
          <w:kern w:val="0"/>
          <w:szCs w:val="24"/>
        </w:rPr>
        <w:t>’</w:t>
      </w:r>
      <w:r>
        <w:rPr>
          <w:kern w:val="0"/>
          <w:szCs w:val="24"/>
        </w:rPr>
        <w:t xml:space="preserve"> parent universities in two evaluations</w:t>
      </w:r>
      <w:r w:rsidR="00427468">
        <w:rPr>
          <w:kern w:val="0"/>
          <w:szCs w:val="24"/>
        </w:rPr>
        <w:t xml:space="preserve"> of </w:t>
      </w:r>
      <w:r w:rsidR="003A1917">
        <w:rPr>
          <w:kern w:val="0"/>
          <w:szCs w:val="24"/>
        </w:rPr>
        <w:t xml:space="preserve">the </w:t>
      </w:r>
      <w:r>
        <w:rPr>
          <w:kern w:val="0"/>
          <w:szCs w:val="24"/>
        </w:rPr>
        <w:t>research performance</w:t>
      </w:r>
      <w:r w:rsidR="00427468">
        <w:rPr>
          <w:kern w:val="0"/>
          <w:szCs w:val="24"/>
        </w:rPr>
        <w:t xml:space="preserve"> of </w:t>
      </w:r>
      <w:r>
        <w:rPr>
          <w:kern w:val="0"/>
          <w:szCs w:val="24"/>
        </w:rPr>
        <w:t>Malaysian universities. Originality/value - This is</w:t>
      </w:r>
      <w:r w:rsidR="003A1917">
        <w:rPr>
          <w:kern w:val="0"/>
          <w:szCs w:val="24"/>
        </w:rPr>
        <w:t xml:space="preserve"> the </w:t>
      </w:r>
      <w:r>
        <w:rPr>
          <w:kern w:val="0"/>
          <w:szCs w:val="24"/>
        </w:rPr>
        <w:t>first comparison</w:t>
      </w:r>
      <w:r w:rsidR="00427468">
        <w:rPr>
          <w:kern w:val="0"/>
          <w:szCs w:val="24"/>
        </w:rPr>
        <w:t xml:space="preserve"> of </w:t>
      </w:r>
      <w:r>
        <w:rPr>
          <w:kern w:val="0"/>
          <w:szCs w:val="24"/>
        </w:rPr>
        <w:t>bibliometric</w:t>
      </w:r>
      <w:r w:rsidR="005853A9">
        <w:rPr>
          <w:kern w:val="0"/>
          <w:szCs w:val="24"/>
        </w:rPr>
        <w:t xml:space="preserve"> and </w:t>
      </w:r>
      <w:r>
        <w:rPr>
          <w:kern w:val="0"/>
          <w:szCs w:val="24"/>
        </w:rPr>
        <w:t>peer-review data for Malaysia, and, more generally, for a country with a newly developed higher education system.</w:t>
      </w:r>
    </w:p>
    <w:p w:rsidR="003F2167" w:rsidRDefault="003F2167" w:rsidP="003F2167">
      <w:pPr>
        <w:pStyle w:val="a3"/>
        <w:rPr>
          <w:kern w:val="0"/>
          <w:szCs w:val="24"/>
        </w:rPr>
      </w:pPr>
      <w:r>
        <w:rPr>
          <w:kern w:val="0"/>
          <w:szCs w:val="24"/>
        </w:rPr>
        <w:t xml:space="preserve">Keywords: Archaeology, Bibliometric, Bibliometric Analysis, Citation, Citation Counts, Citations, Computer Studies, Databases, Education, Google-Scholar, </w:t>
      </w:r>
      <w:r w:rsidR="00D5664A">
        <w:rPr>
          <w:rFonts w:hint="eastAsia"/>
          <w:kern w:val="0"/>
          <w:szCs w:val="24"/>
        </w:rPr>
        <w:t>h-Index</w:t>
      </w:r>
      <w:r>
        <w:rPr>
          <w:kern w:val="0"/>
          <w:szCs w:val="24"/>
        </w:rPr>
        <w:t xml:space="preserve">, Higher Education, Impact, Indicators, Information, Malaysia, Peer Review, Productivity, Publication, Publications, Research, Research Performance, Scopus, </w:t>
      </w:r>
      <w:r w:rsidR="00D5664A">
        <w:rPr>
          <w:kern w:val="0"/>
          <w:szCs w:val="24"/>
        </w:rPr>
        <w:t>Web</w:t>
      </w:r>
      <w:r w:rsidR="00427468">
        <w:rPr>
          <w:kern w:val="0"/>
          <w:szCs w:val="24"/>
        </w:rPr>
        <w:t xml:space="preserve"> of </w:t>
      </w:r>
      <w:r w:rsidR="00D5664A">
        <w:rPr>
          <w:kern w:val="0"/>
          <w:szCs w:val="24"/>
        </w:rPr>
        <w:t>Science</w:t>
      </w:r>
      <w:r>
        <w:rPr>
          <w:kern w:val="0"/>
          <w:szCs w:val="24"/>
        </w:rPr>
        <w:t xml:space="preserve">, </w:t>
      </w:r>
      <w:r w:rsidR="00D5664A">
        <w:rPr>
          <w:kern w:val="0"/>
          <w:szCs w:val="24"/>
        </w:rPr>
        <w:t>Web-of-Science</w:t>
      </w:r>
    </w:p>
    <w:p w:rsidR="003F2A1F" w:rsidRDefault="003F2A1F" w:rsidP="003F2A1F">
      <w:pPr>
        <w:pStyle w:val="a3"/>
        <w:rPr>
          <w:kern w:val="0"/>
        </w:rPr>
      </w:pPr>
      <w:r>
        <w:rPr>
          <w:rFonts w:hint="eastAsia"/>
          <w:kern w:val="0"/>
        </w:rPr>
        <w:lastRenderedPageBreak/>
        <w:t xml:space="preserve">? </w:t>
      </w:r>
      <w:r>
        <w:rPr>
          <w:kern w:val="0"/>
        </w:rPr>
        <w:t>Jowkar, A., Didegah, F.</w:t>
      </w:r>
      <w:r w:rsidR="005853A9">
        <w:rPr>
          <w:kern w:val="0"/>
        </w:rPr>
        <w:t xml:space="preserve"> and </w:t>
      </w:r>
      <w:r>
        <w:rPr>
          <w:kern w:val="0"/>
        </w:rPr>
        <w:t>Gazni, A. (2011</w:t>
      </w:r>
      <w:r w:rsidR="00F42EAC">
        <w:rPr>
          <w:kern w:val="0"/>
        </w:rPr>
        <w:t>), The</w:t>
      </w:r>
      <w:r w:rsidR="003A1917">
        <w:rPr>
          <w:kern w:val="0"/>
        </w:rPr>
        <w:t xml:space="preserve"> </w:t>
      </w:r>
      <w:r>
        <w:rPr>
          <w:kern w:val="0"/>
        </w:rPr>
        <w:t>effect</w:t>
      </w:r>
      <w:r w:rsidR="00427468">
        <w:rPr>
          <w:kern w:val="0"/>
        </w:rPr>
        <w:t xml:space="preserve"> of </w:t>
      </w:r>
      <w:r>
        <w:rPr>
          <w:kern w:val="0"/>
        </w:rPr>
        <w:t>funding on academic research impact: A case study</w:t>
      </w:r>
      <w:r w:rsidR="00427468">
        <w:rPr>
          <w:kern w:val="0"/>
        </w:rPr>
        <w:t xml:space="preserve"> of </w:t>
      </w:r>
      <w:r>
        <w:rPr>
          <w:kern w:val="0"/>
        </w:rPr>
        <w:t xml:space="preserve">Iranian publications. </w:t>
      </w:r>
      <w:r>
        <w:rPr>
          <w:i/>
          <w:iCs/>
          <w:kern w:val="0"/>
        </w:rPr>
        <w:t>Aslib Proceedings</w:t>
      </w:r>
      <w:r>
        <w:rPr>
          <w:kern w:val="0"/>
        </w:rPr>
        <w:t xml:space="preserve">, </w:t>
      </w:r>
      <w:r>
        <w:rPr>
          <w:b/>
          <w:bCs/>
          <w:kern w:val="0"/>
        </w:rPr>
        <w:t>63</w:t>
      </w:r>
      <w:r>
        <w:rPr>
          <w:kern w:val="0"/>
        </w:rPr>
        <w:t xml:space="preserve"> (6), 593-602.</w:t>
      </w:r>
    </w:p>
    <w:p w:rsidR="003F2A1F" w:rsidRPr="00F219CA" w:rsidRDefault="003F2A1F" w:rsidP="003F2A1F">
      <w:pPr>
        <w:pStyle w:val="a3"/>
      </w:pPr>
      <w:r w:rsidRPr="00F219CA">
        <w:t xml:space="preserve">Full Text: </w:t>
      </w:r>
      <w:hyperlink r:id="rId1338" w:history="1">
        <w:r w:rsidRPr="00200488">
          <w:rPr>
            <w:rStyle w:val="a5"/>
          </w:rPr>
          <w:t>2011\Asl Pro63, 593.pdf</w:t>
        </w:r>
      </w:hyperlink>
    </w:p>
    <w:p w:rsidR="003F2A1F" w:rsidRDefault="003F2A1F" w:rsidP="003F2A1F">
      <w:pPr>
        <w:pStyle w:val="a3"/>
        <w:rPr>
          <w:kern w:val="0"/>
        </w:rPr>
      </w:pPr>
      <w:r>
        <w:rPr>
          <w:kern w:val="0"/>
        </w:rPr>
        <w:t>Abstract: Purpose - This paper</w:t>
      </w:r>
      <w:r w:rsidR="00700038">
        <w:rPr>
          <w:kern w:val="0"/>
        </w:rPr>
        <w:t>’</w:t>
      </w:r>
      <w:r>
        <w:rPr>
          <w:kern w:val="0"/>
        </w:rPr>
        <w:t>s aim is to examine</w:t>
      </w:r>
      <w:r w:rsidR="003A1917">
        <w:rPr>
          <w:kern w:val="0"/>
        </w:rPr>
        <w:t xml:space="preserve"> the </w:t>
      </w:r>
      <w:r>
        <w:rPr>
          <w:kern w:val="0"/>
        </w:rPr>
        <w:t>citation impact</w:t>
      </w:r>
      <w:r w:rsidR="00427468">
        <w:rPr>
          <w:kern w:val="0"/>
        </w:rPr>
        <w:t xml:space="preserve"> of </w:t>
      </w:r>
      <w:r>
        <w:rPr>
          <w:kern w:val="0"/>
        </w:rPr>
        <w:t>Iranian funded research publications</w:t>
      </w:r>
      <w:r w:rsidR="005853A9">
        <w:rPr>
          <w:kern w:val="0"/>
        </w:rPr>
        <w:t xml:space="preserve"> and </w:t>
      </w:r>
      <w:r>
        <w:rPr>
          <w:kern w:val="0"/>
        </w:rPr>
        <w:t>compare it with research which received no funding. Design/methodology/approach - Using a bibliometric method,</w:t>
      </w:r>
      <w:r w:rsidR="003A1917">
        <w:rPr>
          <w:kern w:val="0"/>
        </w:rPr>
        <w:t xml:space="preserve"> the </w:t>
      </w:r>
      <w:r>
        <w:rPr>
          <w:kern w:val="0"/>
        </w:rPr>
        <w:t>study investigated 80,300 Iranian publications published from 2000 to 2009 in SCI-EXPANDED to discover</w:t>
      </w:r>
      <w:r w:rsidR="003A1917">
        <w:rPr>
          <w:kern w:val="0"/>
        </w:rPr>
        <w:t xml:space="preserve"> the </w:t>
      </w:r>
      <w:r>
        <w:rPr>
          <w:kern w:val="0"/>
        </w:rPr>
        <w:t>percentage</w:t>
      </w:r>
      <w:r w:rsidR="00427468">
        <w:rPr>
          <w:kern w:val="0"/>
        </w:rPr>
        <w:t xml:space="preserve"> of </w:t>
      </w:r>
      <w:r>
        <w:rPr>
          <w:kern w:val="0"/>
        </w:rPr>
        <w:t>funded publications</w:t>
      </w:r>
      <w:r w:rsidR="005853A9">
        <w:rPr>
          <w:kern w:val="0"/>
        </w:rPr>
        <w:t xml:space="preserve"> and </w:t>
      </w:r>
      <w:r>
        <w:rPr>
          <w:kern w:val="0"/>
        </w:rPr>
        <w:t>to determine</w:t>
      </w:r>
      <w:r w:rsidR="003A1917">
        <w:rPr>
          <w:kern w:val="0"/>
        </w:rPr>
        <w:t xml:space="preserve"> the </w:t>
      </w:r>
      <w:r>
        <w:rPr>
          <w:kern w:val="0"/>
        </w:rPr>
        <w:t>citation impact</w:t>
      </w:r>
      <w:r w:rsidR="00427468">
        <w:rPr>
          <w:kern w:val="0"/>
        </w:rPr>
        <w:t xml:space="preserve"> of </w:t>
      </w:r>
      <w:r>
        <w:rPr>
          <w:kern w:val="0"/>
        </w:rPr>
        <w:t>these publications in comparison with unfunded ones. Findings -</w:t>
      </w:r>
      <w:r w:rsidR="003A1917">
        <w:rPr>
          <w:kern w:val="0"/>
        </w:rPr>
        <w:t xml:space="preserve"> the </w:t>
      </w:r>
      <w:r>
        <w:rPr>
          <w:kern w:val="0"/>
        </w:rPr>
        <w:t>results</w:t>
      </w:r>
      <w:r w:rsidR="00427468">
        <w:rPr>
          <w:kern w:val="0"/>
        </w:rPr>
        <w:t xml:space="preserve"> of </w:t>
      </w:r>
      <w:r w:rsidR="003A1917">
        <w:rPr>
          <w:kern w:val="0"/>
        </w:rPr>
        <w:t xml:space="preserve">the </w:t>
      </w:r>
      <w:r>
        <w:rPr>
          <w:kern w:val="0"/>
        </w:rPr>
        <w:t>study showed that around 12.5 per cent</w:t>
      </w:r>
      <w:r w:rsidR="00427468">
        <w:rPr>
          <w:kern w:val="0"/>
        </w:rPr>
        <w:t xml:space="preserve"> of </w:t>
      </w:r>
      <w:r>
        <w:rPr>
          <w:kern w:val="0"/>
        </w:rPr>
        <w:t>Iranian publications were funded</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funded publications has increased dramatically over</w:t>
      </w:r>
      <w:r w:rsidR="003A1917">
        <w:rPr>
          <w:kern w:val="0"/>
        </w:rPr>
        <w:t xml:space="preserve"> the </w:t>
      </w:r>
      <w:r>
        <w:rPr>
          <w:kern w:val="0"/>
        </w:rPr>
        <w:t>last four years</w:t>
      </w:r>
      <w:r w:rsidR="00A37C1D">
        <w:rPr>
          <w:kern w:val="0"/>
        </w:rPr>
        <w:t>. The</w:t>
      </w:r>
      <w:r w:rsidR="003A1917">
        <w:rPr>
          <w:kern w:val="0"/>
        </w:rPr>
        <w:t xml:space="preserve"> </w:t>
      </w:r>
      <w:r>
        <w:rPr>
          <w:kern w:val="0"/>
        </w:rPr>
        <w:t>citation impact</w:t>
      </w:r>
      <w:r w:rsidR="00427468">
        <w:rPr>
          <w:kern w:val="0"/>
        </w:rPr>
        <w:t xml:space="preserve"> of </w:t>
      </w:r>
      <w:r>
        <w:rPr>
          <w:kern w:val="0"/>
        </w:rPr>
        <w:t>funded publications was higher in almost all</w:t>
      </w:r>
      <w:r w:rsidR="00427468">
        <w:rPr>
          <w:kern w:val="0"/>
        </w:rPr>
        <w:t xml:space="preserve"> of </w:t>
      </w:r>
      <w:r w:rsidR="003A1917">
        <w:rPr>
          <w:kern w:val="0"/>
        </w:rPr>
        <w:t xml:space="preserve">the </w:t>
      </w:r>
      <w:r>
        <w:rPr>
          <w:kern w:val="0"/>
        </w:rPr>
        <w:t>subject fields</w:t>
      </w:r>
      <w:r w:rsidR="00A37C1D">
        <w:rPr>
          <w:kern w:val="0"/>
        </w:rPr>
        <w:t>. The</w:t>
      </w:r>
      <w:r w:rsidR="003A1917">
        <w:rPr>
          <w:kern w:val="0"/>
        </w:rPr>
        <w:t xml:space="preserve"> </w:t>
      </w:r>
      <w:r>
        <w:rPr>
          <w:kern w:val="0"/>
        </w:rPr>
        <w:t>highest number</w:t>
      </w:r>
      <w:r w:rsidR="00427468">
        <w:rPr>
          <w:kern w:val="0"/>
        </w:rPr>
        <w:t xml:space="preserve"> of </w:t>
      </w:r>
      <w:r>
        <w:rPr>
          <w:kern w:val="0"/>
        </w:rPr>
        <w:t>funded publications belonged to</w:t>
      </w:r>
      <w:r w:rsidR="003A1917">
        <w:rPr>
          <w:kern w:val="0"/>
        </w:rPr>
        <w:t xml:space="preserve"> the </w:t>
      </w:r>
      <w:r>
        <w:rPr>
          <w:kern w:val="0"/>
        </w:rPr>
        <w:t>universities subordinate to</w:t>
      </w:r>
      <w:r w:rsidR="003A1917">
        <w:rPr>
          <w:kern w:val="0"/>
        </w:rPr>
        <w:t xml:space="preserve"> the </w:t>
      </w:r>
      <w:r>
        <w:rPr>
          <w:kern w:val="0"/>
        </w:rPr>
        <w:t>Ministry</w:t>
      </w:r>
      <w:r w:rsidR="00427468">
        <w:rPr>
          <w:kern w:val="0"/>
        </w:rPr>
        <w:t xml:space="preserve"> of </w:t>
      </w:r>
      <w:r>
        <w:rPr>
          <w:kern w:val="0"/>
        </w:rPr>
        <w:t>Science, Research</w:t>
      </w:r>
      <w:r w:rsidR="005853A9">
        <w:rPr>
          <w:kern w:val="0"/>
        </w:rPr>
        <w:t xml:space="preserve"> and </w:t>
      </w:r>
      <w:r>
        <w:rPr>
          <w:kern w:val="0"/>
        </w:rPr>
        <w:t>Technology. Originality/value -</w:t>
      </w:r>
      <w:r w:rsidR="003A1917">
        <w:rPr>
          <w:kern w:val="0"/>
        </w:rPr>
        <w:t xml:space="preserve"> the </w:t>
      </w:r>
      <w:r>
        <w:rPr>
          <w:kern w:val="0"/>
        </w:rPr>
        <w:t>impact</w:t>
      </w:r>
      <w:r w:rsidR="005853A9">
        <w:rPr>
          <w:kern w:val="0"/>
        </w:rPr>
        <w:t xml:space="preserve"> and </w:t>
      </w:r>
      <w:r>
        <w:rPr>
          <w:kern w:val="0"/>
        </w:rPr>
        <w:t>quality</w:t>
      </w:r>
      <w:r w:rsidR="00427468">
        <w:rPr>
          <w:kern w:val="0"/>
        </w:rPr>
        <w:t xml:space="preserve"> of </w:t>
      </w:r>
      <w:r>
        <w:rPr>
          <w:kern w:val="0"/>
        </w:rPr>
        <w:t>research is influenced by different factors, for instance receiving funding</w:t>
      </w:r>
      <w:r w:rsidR="005853A9">
        <w:rPr>
          <w:kern w:val="0"/>
        </w:rPr>
        <w:t xml:space="preserve"> and </w:t>
      </w:r>
      <w:r>
        <w:rPr>
          <w:kern w:val="0"/>
        </w:rPr>
        <w:t>research facilities. As this issue has not been previously examined in Iran,</w:t>
      </w:r>
      <w:r w:rsidR="003A1917">
        <w:rPr>
          <w:kern w:val="0"/>
        </w:rPr>
        <w:t xml:space="preserve"> the </w:t>
      </w:r>
      <w:r>
        <w:rPr>
          <w:kern w:val="0"/>
        </w:rPr>
        <w:t>present study determines whether funding can influence</w:t>
      </w:r>
      <w:r w:rsidR="003A1917">
        <w:rPr>
          <w:kern w:val="0"/>
        </w:rPr>
        <w:t xml:space="preserve"> the </w:t>
      </w:r>
      <w:r>
        <w:rPr>
          <w:kern w:val="0"/>
        </w:rPr>
        <w:t>impact</w:t>
      </w:r>
      <w:r w:rsidR="00427468">
        <w:rPr>
          <w:kern w:val="0"/>
        </w:rPr>
        <w:t xml:space="preserve"> of </w:t>
      </w:r>
      <w:r>
        <w:rPr>
          <w:kern w:val="0"/>
        </w:rPr>
        <w:t>Iranian research.</w:t>
      </w:r>
    </w:p>
    <w:p w:rsidR="003F2A1F" w:rsidRDefault="003F2A1F" w:rsidP="003F2A1F">
      <w:pPr>
        <w:pStyle w:val="a3"/>
        <w:rPr>
          <w:kern w:val="0"/>
        </w:rPr>
      </w:pPr>
      <w:r>
        <w:rPr>
          <w:kern w:val="0"/>
        </w:rPr>
        <w:t>Keywords: Bibliometric, Case Study, Citation, Citation Impact, Comparison, Competition, Facilities, Financing, Funding, Impact, Indicators, Iran, Iranian Publications, Performance, Publications, Quality, Quality of, Research, Research Funding, Research Results, Science, Scientific-Research, Universities</w:t>
      </w:r>
    </w:p>
    <w:p w:rsidR="006002D3" w:rsidRDefault="006002D3" w:rsidP="006002D3">
      <w:pPr>
        <w:pStyle w:val="a3"/>
        <w:rPr>
          <w:kern w:val="0"/>
        </w:rPr>
      </w:pPr>
      <w:r>
        <w:rPr>
          <w:rFonts w:hint="eastAsia"/>
          <w:kern w:val="0"/>
        </w:rPr>
        <w:t xml:space="preserve">? </w:t>
      </w:r>
      <w:r>
        <w:rPr>
          <w:kern w:val="0"/>
        </w:rPr>
        <w:t>Russell, J.M., Ainsworth, S.</w:t>
      </w:r>
      <w:r w:rsidR="005853A9">
        <w:rPr>
          <w:kern w:val="0"/>
        </w:rPr>
        <w:t xml:space="preserve"> and </w:t>
      </w:r>
      <w:r>
        <w:rPr>
          <w:kern w:val="0"/>
        </w:rPr>
        <w:t xml:space="preserve">az-Aguilar, J. (2012), Web visibility or wasted opportunity? Case studies from Mexican research institutes. </w:t>
      </w:r>
      <w:r>
        <w:rPr>
          <w:i/>
          <w:iCs/>
          <w:kern w:val="0"/>
        </w:rPr>
        <w:t>Aslib Proceedings</w:t>
      </w:r>
      <w:r>
        <w:rPr>
          <w:kern w:val="0"/>
        </w:rPr>
        <w:t xml:space="preserve">, </w:t>
      </w:r>
      <w:r>
        <w:rPr>
          <w:b/>
          <w:bCs/>
          <w:kern w:val="0"/>
        </w:rPr>
        <w:t>64</w:t>
      </w:r>
      <w:r>
        <w:rPr>
          <w:kern w:val="0"/>
        </w:rPr>
        <w:t xml:space="preserve"> (1), 67-82.</w:t>
      </w:r>
    </w:p>
    <w:p w:rsidR="006002D3" w:rsidRPr="00F219CA" w:rsidRDefault="006002D3" w:rsidP="006002D3">
      <w:pPr>
        <w:pStyle w:val="a3"/>
      </w:pPr>
      <w:r w:rsidRPr="00F219CA">
        <w:t xml:space="preserve">Full Text: </w:t>
      </w:r>
      <w:hyperlink r:id="rId1339" w:history="1">
        <w:r w:rsidRPr="00AC29EC">
          <w:rPr>
            <w:rStyle w:val="a5"/>
          </w:rPr>
          <w:t>2012\Asl Pro64, 67.pdf</w:t>
        </w:r>
      </w:hyperlink>
    </w:p>
    <w:p w:rsidR="006002D3" w:rsidRDefault="006002D3" w:rsidP="006002D3">
      <w:pPr>
        <w:pStyle w:val="a3"/>
        <w:rPr>
          <w:kern w:val="0"/>
        </w:rPr>
      </w:pPr>
      <w:r>
        <w:rPr>
          <w:kern w:val="0"/>
        </w:rPr>
        <w:t>Abstract: Purpose - This paper aims to determine to what extent</w:t>
      </w:r>
      <w:r w:rsidR="003A1917">
        <w:rPr>
          <w:kern w:val="0"/>
        </w:rPr>
        <w:t xml:space="preserve"> the </w:t>
      </w:r>
      <w:r>
        <w:rPr>
          <w:kern w:val="0"/>
        </w:rPr>
        <w:t>scientific production</w:t>
      </w:r>
      <w:r w:rsidR="005853A9">
        <w:rPr>
          <w:kern w:val="0"/>
        </w:rPr>
        <w:t xml:space="preserve"> and </w:t>
      </w:r>
      <w:r>
        <w:rPr>
          <w:kern w:val="0"/>
        </w:rPr>
        <w:t>research activities</w:t>
      </w:r>
      <w:r w:rsidR="00427468">
        <w:rPr>
          <w:kern w:val="0"/>
        </w:rPr>
        <w:t xml:space="preserve"> of </w:t>
      </w:r>
      <w:r>
        <w:rPr>
          <w:kern w:val="0"/>
        </w:rPr>
        <w:t>a group</w:t>
      </w:r>
      <w:r w:rsidR="00427468">
        <w:rPr>
          <w:kern w:val="0"/>
        </w:rPr>
        <w:t xml:space="preserve"> of </w:t>
      </w:r>
      <w:r>
        <w:rPr>
          <w:kern w:val="0"/>
        </w:rPr>
        <w:t>National Autonomous University</w:t>
      </w:r>
      <w:r w:rsidR="00427468">
        <w:rPr>
          <w:kern w:val="0"/>
        </w:rPr>
        <w:t xml:space="preserve"> of </w:t>
      </w:r>
      <w:r>
        <w:rPr>
          <w:kern w:val="0"/>
        </w:rPr>
        <w:t>Mexico (UNAM) research institutes in</w:t>
      </w:r>
      <w:r w:rsidR="003A1917">
        <w:rPr>
          <w:kern w:val="0"/>
        </w:rPr>
        <w:t xml:space="preserve"> the </w:t>
      </w:r>
      <w:r>
        <w:rPr>
          <w:kern w:val="0"/>
        </w:rPr>
        <w:t>sciences, social sciences</w:t>
      </w:r>
      <w:r w:rsidR="005853A9">
        <w:rPr>
          <w:kern w:val="0"/>
        </w:rPr>
        <w:t xml:space="preserve"> and </w:t>
      </w:r>
      <w:r>
        <w:rPr>
          <w:kern w:val="0"/>
        </w:rPr>
        <w:t>humanities are visible on</w:t>
      </w:r>
      <w:r w:rsidR="003A1917">
        <w:rPr>
          <w:kern w:val="0"/>
        </w:rPr>
        <w:t xml:space="preserve"> the </w:t>
      </w:r>
      <w:r>
        <w:rPr>
          <w:kern w:val="0"/>
        </w:rPr>
        <w:t>internet with a view to identifying areas where web presence is not optimal so improvements can be made. Design/methodology/approach -</w:t>
      </w:r>
      <w:r w:rsidR="003A1917">
        <w:rPr>
          <w:kern w:val="0"/>
        </w:rPr>
        <w:t xml:space="preserve"> the </w:t>
      </w:r>
      <w:r>
        <w:rPr>
          <w:kern w:val="0"/>
        </w:rPr>
        <w:t>authors do this by analysing</w:t>
      </w:r>
      <w:r w:rsidR="003A1917">
        <w:rPr>
          <w:kern w:val="0"/>
        </w:rPr>
        <w:t xml:space="preserve"> the </w:t>
      </w:r>
      <w:r>
        <w:rPr>
          <w:kern w:val="0"/>
        </w:rPr>
        <w:t>relevant information on their web sites</w:t>
      </w:r>
      <w:r w:rsidR="005853A9">
        <w:rPr>
          <w:kern w:val="0"/>
        </w:rPr>
        <w:t xml:space="preserve"> and </w:t>
      </w:r>
      <w:r>
        <w:rPr>
          <w:kern w:val="0"/>
        </w:rPr>
        <w:t>by comparing institutional listings</w:t>
      </w:r>
      <w:r w:rsidR="00427468">
        <w:rPr>
          <w:kern w:val="0"/>
        </w:rPr>
        <w:t xml:space="preserve"> of </w:t>
      </w:r>
      <w:r>
        <w:rPr>
          <w:kern w:val="0"/>
        </w:rPr>
        <w:t>scientific production between 2005</w:t>
      </w:r>
      <w:r w:rsidR="005853A9">
        <w:rPr>
          <w:kern w:val="0"/>
        </w:rPr>
        <w:t xml:space="preserve"> and </w:t>
      </w:r>
      <w:r>
        <w:rPr>
          <w:kern w:val="0"/>
        </w:rPr>
        <w:t>2006, with papers reported in</w:t>
      </w:r>
      <w:r w:rsidR="003A1917">
        <w:rPr>
          <w:kern w:val="0"/>
        </w:rPr>
        <w:t xml:space="preserve"> the </w:t>
      </w:r>
      <w:r>
        <w:rPr>
          <w:kern w:val="0"/>
        </w:rPr>
        <w:t>international, multidisciplinary online services</w:t>
      </w:r>
      <w:r w:rsidR="00427468">
        <w:rPr>
          <w:kern w:val="0"/>
        </w:rPr>
        <w:t xml:space="preserve"> of </w:t>
      </w:r>
      <w:r w:rsidR="003A1917">
        <w:rPr>
          <w:kern w:val="0"/>
        </w:rPr>
        <w:t xml:space="preserve">the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as well as in Close</w:t>
      </w:r>
      <w:r w:rsidR="005853A9">
        <w:rPr>
          <w:kern w:val="0"/>
        </w:rPr>
        <w:t xml:space="preserve"> and </w:t>
      </w:r>
      <w:r>
        <w:rPr>
          <w:kern w:val="0"/>
        </w:rPr>
        <w:t>Periodica which cover production in Latin American journals. Findings - Results indicate general poor visibility</w:t>
      </w:r>
      <w:r w:rsidR="00427468">
        <w:rPr>
          <w:kern w:val="0"/>
        </w:rPr>
        <w:t xml:space="preserve"> of </w:t>
      </w:r>
      <w:r>
        <w:rPr>
          <w:kern w:val="0"/>
        </w:rPr>
        <w:t>research activities</w:t>
      </w:r>
      <w:r w:rsidR="005853A9">
        <w:rPr>
          <w:kern w:val="0"/>
        </w:rPr>
        <w:t xml:space="preserve"> and </w:t>
      </w:r>
      <w:r>
        <w:rPr>
          <w:kern w:val="0"/>
        </w:rPr>
        <w:t>production in</w:t>
      </w:r>
      <w:r w:rsidR="003A1917">
        <w:rPr>
          <w:kern w:val="0"/>
        </w:rPr>
        <w:t xml:space="preserve"> the </w:t>
      </w:r>
      <w:r>
        <w:rPr>
          <w:kern w:val="0"/>
        </w:rPr>
        <w:t>institutional web sites with only limited access to full text articles. Web sites</w:t>
      </w:r>
      <w:r w:rsidR="00427468">
        <w:rPr>
          <w:kern w:val="0"/>
        </w:rPr>
        <w:t xml:space="preserve"> of </w:t>
      </w:r>
      <w:r w:rsidR="003A1917">
        <w:rPr>
          <w:kern w:val="0"/>
        </w:rPr>
        <w:t xml:space="preserve">the </w:t>
      </w:r>
      <w:r>
        <w:rPr>
          <w:kern w:val="0"/>
        </w:rPr>
        <w:t>institutes in</w:t>
      </w:r>
      <w:r w:rsidR="003A1917">
        <w:rPr>
          <w:kern w:val="0"/>
        </w:rPr>
        <w:t xml:space="preserve"> the </w:t>
      </w:r>
      <w:r>
        <w:rPr>
          <w:kern w:val="0"/>
        </w:rPr>
        <w:t>sciences score better than those in</w:t>
      </w:r>
      <w:r w:rsidR="003A1917">
        <w:rPr>
          <w:kern w:val="0"/>
        </w:rPr>
        <w:t xml:space="preserve"> the </w:t>
      </w:r>
      <w:r>
        <w:rPr>
          <w:kern w:val="0"/>
        </w:rPr>
        <w:lastRenderedPageBreak/>
        <w:t>humanities</w:t>
      </w:r>
      <w:r w:rsidR="005853A9">
        <w:rPr>
          <w:kern w:val="0"/>
        </w:rPr>
        <w:t xml:space="preserve"> and </w:t>
      </w:r>
      <w:r>
        <w:rPr>
          <w:kern w:val="0"/>
        </w:rPr>
        <w:t>social sciences where book publication is an important research output</w:t>
      </w:r>
      <w:r w:rsidR="00A37C1D">
        <w:rPr>
          <w:kern w:val="0"/>
        </w:rPr>
        <w:t>. The</w:t>
      </w:r>
      <w:r w:rsidR="003A1917">
        <w:rPr>
          <w:kern w:val="0"/>
        </w:rPr>
        <w:t xml:space="preserve"> </w:t>
      </w:r>
      <w:r>
        <w:rPr>
          <w:kern w:val="0"/>
        </w:rPr>
        <w:t>official publication lists in</w:t>
      </w:r>
      <w:r w:rsidR="003A1917">
        <w:rPr>
          <w:kern w:val="0"/>
        </w:rPr>
        <w:t xml:space="preserve"> the </w:t>
      </w:r>
      <w:r>
        <w:rPr>
          <w:kern w:val="0"/>
        </w:rPr>
        <w:t>form</w:t>
      </w:r>
      <w:r w:rsidR="00427468">
        <w:rPr>
          <w:kern w:val="0"/>
        </w:rPr>
        <w:t xml:space="preserve"> of </w:t>
      </w:r>
      <w:r>
        <w:rPr>
          <w:kern w:val="0"/>
        </w:rPr>
        <w:t>annual reports were found not to accurately represent production with additional papers attributed to</w:t>
      </w:r>
      <w:r w:rsidR="003A1917">
        <w:rPr>
          <w:kern w:val="0"/>
        </w:rPr>
        <w:t xml:space="preserve"> the </w:t>
      </w:r>
      <w:r>
        <w:rPr>
          <w:kern w:val="0"/>
        </w:rPr>
        <w:t>different institutions appearing in commercial databases. It is suggested that more effort should be directed towards improving</w:t>
      </w:r>
      <w:r w:rsidR="003A1917">
        <w:rPr>
          <w:kern w:val="0"/>
        </w:rPr>
        <w:t xml:space="preserve"> the </w:t>
      </w:r>
      <w:r>
        <w:rPr>
          <w:kern w:val="0"/>
        </w:rPr>
        <w:t>information content</w:t>
      </w:r>
      <w:r w:rsidR="005853A9">
        <w:rPr>
          <w:kern w:val="0"/>
        </w:rPr>
        <w:t xml:space="preserve"> and </w:t>
      </w:r>
      <w:r>
        <w:rPr>
          <w:kern w:val="0"/>
        </w:rPr>
        <w:t>access to research data on these institutional web sites, possibly through linkage to an UNAM repository. Originality/value - This is</w:t>
      </w:r>
      <w:r w:rsidR="003A1917">
        <w:rPr>
          <w:kern w:val="0"/>
        </w:rPr>
        <w:t xml:space="preserve"> the </w:t>
      </w:r>
      <w:r>
        <w:rPr>
          <w:kern w:val="0"/>
        </w:rPr>
        <w:t>first study to critically examine</w:t>
      </w:r>
      <w:r w:rsidR="003A1917">
        <w:rPr>
          <w:kern w:val="0"/>
        </w:rPr>
        <w:t xml:space="preserve"> the </w:t>
      </w:r>
      <w:r>
        <w:rPr>
          <w:kern w:val="0"/>
        </w:rPr>
        <w:t>visibility</w:t>
      </w:r>
      <w:r w:rsidR="00427468">
        <w:rPr>
          <w:kern w:val="0"/>
        </w:rPr>
        <w:t xml:space="preserve"> of </w:t>
      </w:r>
      <w:r>
        <w:rPr>
          <w:kern w:val="0"/>
        </w:rPr>
        <w:t>research on Mexican academic web sites for which a series</w:t>
      </w:r>
      <w:r w:rsidR="00427468">
        <w:rPr>
          <w:kern w:val="0"/>
        </w:rPr>
        <w:t xml:space="preserve"> of </w:t>
      </w:r>
      <w:r>
        <w:rPr>
          <w:kern w:val="0"/>
        </w:rPr>
        <w:t>indicators related to</w:t>
      </w:r>
      <w:r w:rsidR="003A1917">
        <w:rPr>
          <w:kern w:val="0"/>
        </w:rPr>
        <w:t xml:space="preserve"> the </w:t>
      </w:r>
      <w:r>
        <w:rPr>
          <w:kern w:val="0"/>
        </w:rPr>
        <w:t>different categories</w:t>
      </w:r>
      <w:r w:rsidR="00427468">
        <w:rPr>
          <w:kern w:val="0"/>
        </w:rPr>
        <w:t xml:space="preserve"> of </w:t>
      </w:r>
      <w:r>
        <w:rPr>
          <w:kern w:val="0"/>
        </w:rPr>
        <w:t>research information which would ideally be found on institutional pages were developed.</w:t>
      </w:r>
    </w:p>
    <w:p w:rsidR="006002D3" w:rsidRDefault="006002D3" w:rsidP="006002D3">
      <w:pPr>
        <w:pStyle w:val="a3"/>
        <w:rPr>
          <w:kern w:val="0"/>
        </w:rPr>
      </w:pPr>
      <w:r>
        <w:rPr>
          <w:kern w:val="0"/>
        </w:rPr>
        <w:t xml:space="preserve">Keywords: Activities, Annual Reports, Articles, Authors, Databases, Indicators, Information, Institutions, Journals, Latin American, Mexico, Papers, Publication, Research, Research Activities, Research Output, Research Visibility, Science, Sciences, Scientific Production, Scopus, Sites, Social, Social Sciences, Universities, University, Visibility, </w:t>
      </w:r>
      <w:r w:rsidR="00D5664A">
        <w:rPr>
          <w:kern w:val="0"/>
        </w:rPr>
        <w:t>Web</w:t>
      </w:r>
      <w:r w:rsidR="00427468">
        <w:rPr>
          <w:kern w:val="0"/>
        </w:rPr>
        <w:t xml:space="preserve"> of </w:t>
      </w:r>
      <w:r w:rsidR="00D5664A">
        <w:rPr>
          <w:kern w:val="0"/>
        </w:rPr>
        <w:t>Science</w:t>
      </w:r>
      <w:r>
        <w:rPr>
          <w:kern w:val="0"/>
        </w:rPr>
        <w:t xml:space="preserve">, Web Sites, Web Visibility, </w:t>
      </w:r>
      <w:r w:rsidR="00D5664A">
        <w:rPr>
          <w:kern w:val="0"/>
        </w:rPr>
        <w:t>Web-of-Science</w:t>
      </w:r>
    </w:p>
    <w:p w:rsidR="00BE0CB8" w:rsidRDefault="00BE0CB8" w:rsidP="00BE0CB8">
      <w:pPr>
        <w:pStyle w:val="a3"/>
        <w:rPr>
          <w:kern w:val="0"/>
        </w:rPr>
      </w:pPr>
      <w:r>
        <w:rPr>
          <w:rFonts w:hint="eastAsia"/>
          <w:kern w:val="0"/>
        </w:rPr>
        <w:t>? Cantos-Mateos, G., Vargas-Quesada, B., Chinchilla-Rodriguez, Z.</w:t>
      </w:r>
      <w:r w:rsidR="005853A9">
        <w:rPr>
          <w:rFonts w:hint="eastAsia"/>
          <w:kern w:val="0"/>
        </w:rPr>
        <w:t xml:space="preserve"> and </w:t>
      </w:r>
      <w:r>
        <w:rPr>
          <w:rFonts w:hint="eastAsia"/>
          <w:kern w:val="0"/>
        </w:rPr>
        <w:t>Zulueta, M.A. (2012), Stem cell research: Bibliometric analysis</w:t>
      </w:r>
      <w:r w:rsidR="00427468">
        <w:rPr>
          <w:rFonts w:hint="eastAsia"/>
          <w:kern w:val="0"/>
        </w:rPr>
        <w:t xml:space="preserve"> of </w:t>
      </w:r>
      <w:r>
        <w:rPr>
          <w:rFonts w:hint="eastAsia"/>
          <w:kern w:val="0"/>
        </w:rPr>
        <w:t xml:space="preserve">main research areas through Key Words Plus. </w:t>
      </w:r>
      <w:r>
        <w:rPr>
          <w:rFonts w:hint="eastAsia"/>
          <w:i/>
          <w:iCs/>
          <w:kern w:val="0"/>
        </w:rPr>
        <w:t>Aslib Proceedings</w:t>
      </w:r>
      <w:r>
        <w:rPr>
          <w:rFonts w:hint="eastAsia"/>
          <w:kern w:val="0"/>
        </w:rPr>
        <w:t xml:space="preserve">, </w:t>
      </w:r>
      <w:r>
        <w:rPr>
          <w:rFonts w:hint="eastAsia"/>
          <w:b/>
          <w:bCs/>
          <w:kern w:val="0"/>
        </w:rPr>
        <w:t>64</w:t>
      </w:r>
      <w:r>
        <w:rPr>
          <w:rFonts w:hint="eastAsia"/>
          <w:kern w:val="0"/>
        </w:rPr>
        <w:t xml:space="preserve"> (6), 561-590.</w:t>
      </w:r>
    </w:p>
    <w:p w:rsidR="00BE0CB8" w:rsidRDefault="00BE0CB8" w:rsidP="00BE0CB8">
      <w:pPr>
        <w:pStyle w:val="a3"/>
        <w:rPr>
          <w:kern w:val="2"/>
        </w:rPr>
      </w:pPr>
      <w:r>
        <w:rPr>
          <w:rFonts w:hint="eastAsia"/>
        </w:rPr>
        <w:t xml:space="preserve">Full Text: </w:t>
      </w:r>
      <w:hyperlink r:id="rId1340" w:history="1">
        <w:r>
          <w:rPr>
            <w:rStyle w:val="a5"/>
            <w:rFonts w:hint="eastAsia"/>
          </w:rPr>
          <w:t>2012\Asl Pro64, 561.pdf</w:t>
        </w:r>
      </w:hyperlink>
    </w:p>
    <w:p w:rsidR="00BE0CB8" w:rsidRDefault="00BE0CB8" w:rsidP="00BE0CB8">
      <w:pPr>
        <w:pStyle w:val="a3"/>
        <w:rPr>
          <w:kern w:val="0"/>
        </w:rPr>
      </w:pPr>
      <w:r>
        <w:rPr>
          <w:rFonts w:hint="eastAsia"/>
          <w:kern w:val="0"/>
        </w:rPr>
        <w:t>Abstract: Purpose Research with stem cells is a biomedical venture with great scientific impact,</w:t>
      </w:r>
      <w:r w:rsidR="005853A9">
        <w:rPr>
          <w:rFonts w:hint="eastAsia"/>
          <w:kern w:val="0"/>
        </w:rPr>
        <w:t xml:space="preserve"> and </w:t>
      </w:r>
      <w:r>
        <w:rPr>
          <w:rFonts w:hint="eastAsia"/>
          <w:kern w:val="0"/>
        </w:rPr>
        <w:t>whose development flows over into many other areas. This article aims to present a dual analysis</w:t>
      </w:r>
      <w:r w:rsidR="00427468">
        <w:rPr>
          <w:rFonts w:hint="eastAsia"/>
          <w:kern w:val="0"/>
        </w:rPr>
        <w:t xml:space="preserve"> of </w:t>
      </w:r>
      <w:r>
        <w:rPr>
          <w:rFonts w:hint="eastAsia"/>
          <w:kern w:val="0"/>
        </w:rPr>
        <w:t>Spain</w:t>
      </w:r>
      <w:r w:rsidR="00700038">
        <w:rPr>
          <w:kern w:val="0"/>
        </w:rPr>
        <w:t>’</w:t>
      </w:r>
      <w:r>
        <w:rPr>
          <w:rFonts w:hint="eastAsia"/>
          <w:kern w:val="0"/>
        </w:rPr>
        <w:t>s scientific output in this field during the period 1997-2007. Design/methodology/approach - The authors used bibliometric indicators</w:t>
      </w:r>
      <w:r w:rsidR="00427468">
        <w:rPr>
          <w:rFonts w:hint="eastAsia"/>
          <w:kern w:val="0"/>
        </w:rPr>
        <w:t xml:space="preserve"> of </w:t>
      </w:r>
      <w:r>
        <w:rPr>
          <w:rFonts w:hint="eastAsia"/>
          <w:kern w:val="0"/>
        </w:rPr>
        <w:t>a basic nature as well as techniques for the visualization</w:t>
      </w:r>
      <w:r w:rsidR="005853A9">
        <w:rPr>
          <w:rFonts w:hint="eastAsia"/>
          <w:kern w:val="0"/>
        </w:rPr>
        <w:t xml:space="preserve"> and </w:t>
      </w:r>
      <w:r>
        <w:rPr>
          <w:rFonts w:hint="eastAsia"/>
          <w:kern w:val="0"/>
        </w:rPr>
        <w:t>analysis</w:t>
      </w:r>
      <w:r w:rsidR="00427468">
        <w:rPr>
          <w:rFonts w:hint="eastAsia"/>
          <w:kern w:val="0"/>
        </w:rPr>
        <w:t xml:space="preserve"> of </w:t>
      </w:r>
      <w:r>
        <w:rPr>
          <w:rFonts w:hint="eastAsia"/>
          <w:kern w:val="0"/>
        </w:rPr>
        <w:t>networks</w:t>
      </w:r>
      <w:r w:rsidR="00427468">
        <w:rPr>
          <w:rFonts w:hint="eastAsia"/>
          <w:kern w:val="0"/>
        </w:rPr>
        <w:t xml:space="preserve"> of </w:t>
      </w:r>
      <w:r>
        <w:rPr>
          <w:rFonts w:hint="eastAsia"/>
          <w:kern w:val="0"/>
        </w:rPr>
        <w:t>scientific information based on a study</w:t>
      </w:r>
      <w:r w:rsidR="00427468">
        <w:rPr>
          <w:rFonts w:hint="eastAsia"/>
          <w:kern w:val="0"/>
        </w:rPr>
        <w:t xml:space="preserve"> of </w:t>
      </w:r>
      <w:r>
        <w:rPr>
          <w:rFonts w:hint="eastAsia"/>
          <w:kern w:val="0"/>
        </w:rPr>
        <w:t>Key Words Plus. Findings The output is mainly concentrated in Cataluna</w:t>
      </w:r>
      <w:r w:rsidR="005853A9">
        <w:rPr>
          <w:rFonts w:hint="eastAsia"/>
          <w:kern w:val="0"/>
        </w:rPr>
        <w:t xml:space="preserve"> and </w:t>
      </w:r>
      <w:r>
        <w:rPr>
          <w:rFonts w:hint="eastAsia"/>
          <w:kern w:val="0"/>
        </w:rPr>
        <w:t>Madrid,</w:t>
      </w:r>
      <w:r w:rsidR="005853A9">
        <w:rPr>
          <w:rFonts w:hint="eastAsia"/>
          <w:kern w:val="0"/>
        </w:rPr>
        <w:t xml:space="preserve"> and </w:t>
      </w:r>
      <w:r>
        <w:rPr>
          <w:rFonts w:hint="eastAsia"/>
          <w:kern w:val="0"/>
        </w:rPr>
        <w:t>hospitals are the most productive centres (followed by health institutes), where the main authors are affiliated. Main categories are hematology, oncology</w:t>
      </w:r>
      <w:r w:rsidR="005853A9">
        <w:rPr>
          <w:rFonts w:hint="eastAsia"/>
          <w:kern w:val="0"/>
        </w:rPr>
        <w:t xml:space="preserve"> and </w:t>
      </w:r>
      <w:r>
        <w:rPr>
          <w:rFonts w:hint="eastAsia"/>
          <w:kern w:val="0"/>
        </w:rPr>
        <w:t>biophysics</w:t>
      </w:r>
      <w:r w:rsidR="00A37C1D">
        <w:rPr>
          <w:rFonts w:hint="eastAsia"/>
          <w:kern w:val="0"/>
        </w:rPr>
        <w:t>. The</w:t>
      </w:r>
      <w:r>
        <w:rPr>
          <w:rFonts w:hint="eastAsia"/>
          <w:kern w:val="0"/>
        </w:rPr>
        <w:t xml:space="preserve"> outstanding areas</w:t>
      </w:r>
      <w:r w:rsidR="00427468">
        <w:rPr>
          <w:rFonts w:hint="eastAsia"/>
          <w:kern w:val="0"/>
        </w:rPr>
        <w:t xml:space="preserve"> of </w:t>
      </w:r>
      <w:r>
        <w:rPr>
          <w:rFonts w:hint="eastAsia"/>
          <w:kern w:val="0"/>
        </w:rPr>
        <w:t>study revolve around the therapeutic use</w:t>
      </w:r>
      <w:r w:rsidR="00427468">
        <w:rPr>
          <w:rFonts w:hint="eastAsia"/>
          <w:kern w:val="0"/>
        </w:rPr>
        <w:t xml:space="preserve"> of </w:t>
      </w:r>
      <w:r>
        <w:rPr>
          <w:rFonts w:hint="eastAsia"/>
          <w:kern w:val="0"/>
        </w:rPr>
        <w:t>transplant</w:t>
      </w:r>
      <w:r w:rsidR="00427468">
        <w:rPr>
          <w:rFonts w:hint="eastAsia"/>
          <w:kern w:val="0"/>
        </w:rPr>
        <w:t xml:space="preserve"> of </w:t>
      </w:r>
      <w:r>
        <w:rPr>
          <w:rFonts w:hint="eastAsia"/>
          <w:kern w:val="0"/>
        </w:rPr>
        <w:t>hematopoietic progenitors, the processes</w:t>
      </w:r>
      <w:r w:rsidR="00427468">
        <w:rPr>
          <w:rFonts w:hint="eastAsia"/>
          <w:kern w:val="0"/>
        </w:rPr>
        <w:t xml:space="preserve"> of </w:t>
      </w:r>
      <w:r>
        <w:rPr>
          <w:rFonts w:hint="eastAsia"/>
          <w:kern w:val="0"/>
        </w:rPr>
        <w:t>generation, proliferation</w:t>
      </w:r>
      <w:r w:rsidR="005853A9">
        <w:rPr>
          <w:rFonts w:hint="eastAsia"/>
          <w:kern w:val="0"/>
        </w:rPr>
        <w:t xml:space="preserve"> and </w:t>
      </w:r>
      <w:r>
        <w:rPr>
          <w:rFonts w:hint="eastAsia"/>
          <w:kern w:val="0"/>
        </w:rPr>
        <w:t>differentiation</w:t>
      </w:r>
      <w:r w:rsidR="00427468">
        <w:rPr>
          <w:rFonts w:hint="eastAsia"/>
          <w:kern w:val="0"/>
        </w:rPr>
        <w:t xml:space="preserve"> of </w:t>
      </w:r>
      <w:r>
        <w:rPr>
          <w:rFonts w:hint="eastAsia"/>
          <w:kern w:val="0"/>
        </w:rPr>
        <w:t>lines</w:t>
      </w:r>
      <w:r w:rsidR="00427468">
        <w:rPr>
          <w:rFonts w:hint="eastAsia"/>
          <w:kern w:val="0"/>
        </w:rPr>
        <w:t xml:space="preserve"> of </w:t>
      </w:r>
      <w:r>
        <w:rPr>
          <w:rFonts w:hint="eastAsia"/>
          <w:kern w:val="0"/>
        </w:rPr>
        <w:t>cells,</w:t>
      </w:r>
      <w:r w:rsidR="005853A9">
        <w:rPr>
          <w:rFonts w:hint="eastAsia"/>
          <w:kern w:val="0"/>
        </w:rPr>
        <w:t xml:space="preserve"> and </w:t>
      </w:r>
      <w:r>
        <w:rPr>
          <w:rFonts w:hint="eastAsia"/>
          <w:kern w:val="0"/>
        </w:rPr>
        <w:t>the study</w:t>
      </w:r>
      <w:r w:rsidR="00427468">
        <w:rPr>
          <w:rFonts w:hint="eastAsia"/>
          <w:kern w:val="0"/>
        </w:rPr>
        <w:t xml:space="preserve"> of </w:t>
      </w:r>
      <w:r>
        <w:rPr>
          <w:rFonts w:hint="eastAsia"/>
          <w:kern w:val="0"/>
        </w:rPr>
        <w:t>neurosciences. Originality/value - This study provides an overview</w:t>
      </w:r>
      <w:r w:rsidR="00427468">
        <w:rPr>
          <w:rFonts w:hint="eastAsia"/>
          <w:kern w:val="0"/>
        </w:rPr>
        <w:t xml:space="preserve"> of </w:t>
      </w:r>
      <w:r>
        <w:rPr>
          <w:rFonts w:hint="eastAsia"/>
          <w:kern w:val="0"/>
        </w:rPr>
        <w:t>Spanish research involving stem cells, detecting</w:t>
      </w:r>
      <w:r w:rsidR="005853A9">
        <w:rPr>
          <w:rFonts w:hint="eastAsia"/>
          <w:kern w:val="0"/>
        </w:rPr>
        <w:t xml:space="preserve"> and </w:t>
      </w:r>
      <w:r>
        <w:rPr>
          <w:rFonts w:hint="eastAsia"/>
          <w:kern w:val="0"/>
        </w:rPr>
        <w:t>representing the main areas</w:t>
      </w:r>
      <w:r w:rsidR="00427468">
        <w:rPr>
          <w:rFonts w:hint="eastAsia"/>
          <w:kern w:val="0"/>
        </w:rPr>
        <w:t xml:space="preserve"> of </w:t>
      </w:r>
      <w:r>
        <w:rPr>
          <w:rFonts w:hint="eastAsia"/>
          <w:kern w:val="0"/>
        </w:rPr>
        <w:t>research</w:t>
      </w:r>
      <w:r w:rsidR="00A37C1D">
        <w:rPr>
          <w:rFonts w:hint="eastAsia"/>
          <w:kern w:val="0"/>
        </w:rPr>
        <w:t>. The</w:t>
      </w:r>
      <w:r>
        <w:rPr>
          <w:rFonts w:hint="eastAsia"/>
          <w:kern w:val="0"/>
        </w:rPr>
        <w:t xml:space="preserve"> article considers the potential</w:t>
      </w:r>
      <w:r w:rsidR="00427468">
        <w:rPr>
          <w:rFonts w:hint="eastAsia"/>
          <w:kern w:val="0"/>
        </w:rPr>
        <w:t xml:space="preserve"> of </w:t>
      </w:r>
      <w:r>
        <w:rPr>
          <w:rFonts w:hint="eastAsia"/>
          <w:kern w:val="0"/>
        </w:rPr>
        <w:t>Key Words Plus in combination with the proposed methodology as particularly useful for the analysis</w:t>
      </w:r>
      <w:r w:rsidR="005853A9">
        <w:rPr>
          <w:rFonts w:hint="eastAsia"/>
          <w:kern w:val="0"/>
        </w:rPr>
        <w:t xml:space="preserve"> and </w:t>
      </w:r>
      <w:r>
        <w:rPr>
          <w:rFonts w:hint="eastAsia"/>
          <w:kern w:val="0"/>
        </w:rPr>
        <w:t>delimitation</w:t>
      </w:r>
      <w:r w:rsidR="00427468">
        <w:rPr>
          <w:rFonts w:hint="eastAsia"/>
          <w:kern w:val="0"/>
        </w:rPr>
        <w:t xml:space="preserve"> of </w:t>
      </w:r>
      <w:r>
        <w:rPr>
          <w:rFonts w:hint="eastAsia"/>
          <w:kern w:val="0"/>
        </w:rPr>
        <w:t>a scientific domain.</w:t>
      </w:r>
    </w:p>
    <w:p w:rsidR="00BE0CB8" w:rsidRDefault="00BE0CB8" w:rsidP="00BE0CB8">
      <w:pPr>
        <w:pStyle w:val="a3"/>
        <w:rPr>
          <w:kern w:val="0"/>
        </w:rPr>
      </w:pPr>
      <w:r>
        <w:rPr>
          <w:rFonts w:hint="eastAsia"/>
          <w:kern w:val="0"/>
        </w:rPr>
        <w:t xml:space="preserve">Keywords: Analysis, Author Cocitation Analysis, Authors, Bibliometric, Bibliometric Analysis, Bibliometric Indicators, Biomedical, Co-Word Analysis, Development, Differentiation, Evolution, Field, Generation, Health, Hospitals, Impact, Indicators, Information, Information Visualization, Information-Science, International Scientific </w:t>
      </w:r>
      <w:r>
        <w:rPr>
          <w:rFonts w:hint="eastAsia"/>
          <w:kern w:val="0"/>
        </w:rPr>
        <w:lastRenderedPageBreak/>
        <w:t>Collaboration, Madrid, Methodology, Networks, Oncology, Pathfinder Networks, Physical Sciences, Potential, Proliferation, Research, Research Fields, Research Work, Science-Citation-Index, Scientific Impact, Scientific Information, Scientific Output, Scientometrics, Spain, Spanish, Stem Cell Research, Stem Cells, Techniques, Therapeutic, Visualization</w:t>
      </w:r>
    </w:p>
    <w:p w:rsidR="0000618E" w:rsidRDefault="0000618E" w:rsidP="0000618E">
      <w:pPr>
        <w:pStyle w:val="a3"/>
        <w:rPr>
          <w:kern w:val="0"/>
        </w:rPr>
      </w:pPr>
      <w:r>
        <w:rPr>
          <w:rFonts w:hint="eastAsia"/>
          <w:kern w:val="0"/>
        </w:rPr>
        <w:t xml:space="preserve">? </w:t>
      </w:r>
      <w:r>
        <w:rPr>
          <w:kern w:val="0"/>
        </w:rPr>
        <w:t>Tsay, M.Y. (2013), Knowledge input for the domain</w:t>
      </w:r>
      <w:r w:rsidR="00427468">
        <w:rPr>
          <w:kern w:val="0"/>
        </w:rPr>
        <w:t xml:space="preserve"> of </w:t>
      </w:r>
      <w:r>
        <w:rPr>
          <w:kern w:val="0"/>
        </w:rPr>
        <w:t>information science</w:t>
      </w:r>
      <w:r>
        <w:rPr>
          <w:rFonts w:hint="eastAsia"/>
          <w:kern w:val="0"/>
        </w:rPr>
        <w:t>:</w:t>
      </w:r>
      <w:r>
        <w:rPr>
          <w:kern w:val="0"/>
        </w:rPr>
        <w:t xml:space="preserve"> A bibliometric</w:t>
      </w:r>
      <w:r w:rsidR="005853A9">
        <w:rPr>
          <w:kern w:val="0"/>
        </w:rPr>
        <w:t xml:space="preserve"> and </w:t>
      </w:r>
      <w:r>
        <w:rPr>
          <w:kern w:val="0"/>
        </w:rPr>
        <w:t xml:space="preserve">citation analysis study. </w:t>
      </w:r>
      <w:r>
        <w:rPr>
          <w:i/>
          <w:iCs/>
          <w:kern w:val="0"/>
        </w:rPr>
        <w:t>Aslib Proceedings</w:t>
      </w:r>
      <w:r>
        <w:rPr>
          <w:kern w:val="0"/>
        </w:rPr>
        <w:t xml:space="preserve">, </w:t>
      </w:r>
      <w:r>
        <w:rPr>
          <w:b/>
          <w:bCs/>
          <w:kern w:val="0"/>
        </w:rPr>
        <w:t>65</w:t>
      </w:r>
      <w:r>
        <w:rPr>
          <w:kern w:val="0"/>
        </w:rPr>
        <w:t xml:space="preserve"> (2), 203-220.</w:t>
      </w:r>
    </w:p>
    <w:p w:rsidR="0000618E" w:rsidRPr="00F219CA" w:rsidRDefault="0000618E" w:rsidP="0000618E">
      <w:pPr>
        <w:pStyle w:val="a3"/>
      </w:pPr>
      <w:r w:rsidRPr="00F219CA">
        <w:t xml:space="preserve">Full Text: </w:t>
      </w:r>
      <w:hyperlink r:id="rId1341" w:history="1">
        <w:r w:rsidRPr="0000618E">
          <w:rPr>
            <w:rStyle w:val="a5"/>
          </w:rPr>
          <w:t>2013\Asl Pro65, 203.pdf</w:t>
        </w:r>
      </w:hyperlink>
    </w:p>
    <w:p w:rsidR="0000618E" w:rsidRDefault="0000618E" w:rsidP="0000618E">
      <w:pPr>
        <w:pStyle w:val="a3"/>
        <w:rPr>
          <w:kern w:val="0"/>
        </w:rPr>
      </w:pPr>
      <w:r>
        <w:rPr>
          <w:kern w:val="0"/>
        </w:rPr>
        <w:t>Abstract: Purpose - The aim</w:t>
      </w:r>
      <w:r w:rsidR="00427468">
        <w:rPr>
          <w:kern w:val="0"/>
        </w:rPr>
        <w:t xml:space="preserve"> of </w:t>
      </w:r>
      <w:r>
        <w:rPr>
          <w:kern w:val="0"/>
        </w:rPr>
        <w:t>this paper is to explore the knowledge input</w:t>
      </w:r>
      <w:r w:rsidR="005853A9">
        <w:rPr>
          <w:kern w:val="0"/>
        </w:rPr>
        <w:t xml:space="preserve"> and </w:t>
      </w:r>
      <w:r>
        <w:rPr>
          <w:kern w:val="0"/>
        </w:rPr>
        <w:t>the subject relationship with other disciplines for the domain</w:t>
      </w:r>
      <w:r w:rsidR="00427468">
        <w:rPr>
          <w:kern w:val="0"/>
        </w:rPr>
        <w:t xml:space="preserve"> of </w:t>
      </w:r>
      <w:r>
        <w:rPr>
          <w:kern w:val="0"/>
        </w:rPr>
        <w:t>information science through a citation analysis, from the references</w:t>
      </w:r>
      <w:r w:rsidR="00427468">
        <w:rPr>
          <w:kern w:val="0"/>
        </w:rPr>
        <w:t xml:space="preserve"> of </w:t>
      </w:r>
      <w:r>
        <w:rPr>
          <w:kern w:val="0"/>
        </w:rPr>
        <w:t>each article from 1998 to 2008,</w:t>
      </w:r>
      <w:r w:rsidR="00427468">
        <w:rPr>
          <w:kern w:val="0"/>
        </w:rPr>
        <w:t xml:space="preserve"> of </w:t>
      </w:r>
      <w:r>
        <w:rPr>
          <w:kern w:val="0"/>
        </w:rPr>
        <w:t>four leading information science journals, Journal</w:t>
      </w:r>
      <w:r w:rsidR="00427468">
        <w:rPr>
          <w:kern w:val="0"/>
        </w:rPr>
        <w:t xml:space="preserve"> of </w:t>
      </w:r>
      <w:r>
        <w:rPr>
          <w:kern w:val="0"/>
        </w:rPr>
        <w:t>the American Society for Information Science</w:t>
      </w:r>
      <w:r w:rsidR="005853A9">
        <w:rPr>
          <w:kern w:val="0"/>
        </w:rPr>
        <w:t xml:space="preserve"> and </w:t>
      </w:r>
      <w:r>
        <w:rPr>
          <w:kern w:val="0"/>
        </w:rPr>
        <w:t>Technology, Information Processing</w:t>
      </w:r>
      <w:r w:rsidR="005853A9">
        <w:rPr>
          <w:kern w:val="0"/>
        </w:rPr>
        <w:t xml:space="preserve"> and </w:t>
      </w:r>
      <w:r>
        <w:rPr>
          <w:kern w:val="0"/>
        </w:rPr>
        <w:t>Management, Journal</w:t>
      </w:r>
      <w:r w:rsidR="00427468">
        <w:rPr>
          <w:kern w:val="0"/>
        </w:rPr>
        <w:t xml:space="preserve"> of </w:t>
      </w:r>
      <w:r>
        <w:rPr>
          <w:kern w:val="0"/>
        </w:rPr>
        <w:t>Information Science,</w:t>
      </w:r>
      <w:r w:rsidR="005853A9">
        <w:rPr>
          <w:kern w:val="0"/>
        </w:rPr>
        <w:t xml:space="preserve"> and </w:t>
      </w:r>
      <w:r>
        <w:rPr>
          <w:kern w:val="0"/>
        </w:rPr>
        <w:t>Journal</w:t>
      </w:r>
      <w:r w:rsidR="00427468">
        <w:rPr>
          <w:kern w:val="0"/>
        </w:rPr>
        <w:t xml:space="preserve"> of </w:t>
      </w:r>
      <w:r>
        <w:rPr>
          <w:kern w:val="0"/>
        </w:rPr>
        <w:t>Documentation. Design/methodology/approach - The Ulrich</w:t>
      </w:r>
      <w:r w:rsidR="00700038">
        <w:rPr>
          <w:kern w:val="0"/>
        </w:rPr>
        <w:t>’</w:t>
      </w:r>
      <w:r>
        <w:rPr>
          <w:kern w:val="0"/>
        </w:rPr>
        <w:t>s Periodical Directory, Library</w:t>
      </w:r>
      <w:r w:rsidR="00427468">
        <w:rPr>
          <w:kern w:val="0"/>
        </w:rPr>
        <w:t xml:space="preserve"> of </w:t>
      </w:r>
      <w:r>
        <w:rPr>
          <w:kern w:val="0"/>
        </w:rPr>
        <w:t>Congress Subject Heading, retrieved from the WorldCat</w:t>
      </w:r>
      <w:r w:rsidR="005853A9">
        <w:rPr>
          <w:kern w:val="0"/>
        </w:rPr>
        <w:t xml:space="preserve"> and </w:t>
      </w:r>
      <w:r>
        <w:rPr>
          <w:kern w:val="0"/>
        </w:rPr>
        <w:t>LISA database were used to identify the main class, subclass</w:t>
      </w:r>
      <w:r w:rsidR="005853A9">
        <w:rPr>
          <w:kern w:val="0"/>
        </w:rPr>
        <w:t xml:space="preserve"> and </w:t>
      </w:r>
      <w:r>
        <w:rPr>
          <w:kern w:val="0"/>
        </w:rPr>
        <w:t>subject</w:t>
      </w:r>
      <w:r w:rsidR="00427468">
        <w:rPr>
          <w:kern w:val="0"/>
        </w:rPr>
        <w:t xml:space="preserve"> of </w:t>
      </w:r>
      <w:r>
        <w:rPr>
          <w:kern w:val="0"/>
        </w:rPr>
        <w:t>cited journals</w:t>
      </w:r>
      <w:r w:rsidR="005853A9">
        <w:rPr>
          <w:kern w:val="0"/>
        </w:rPr>
        <w:t xml:space="preserve"> and </w:t>
      </w:r>
      <w:r>
        <w:rPr>
          <w:kern w:val="0"/>
        </w:rPr>
        <w:t>books</w:t>
      </w:r>
      <w:r w:rsidR="00A37C1D">
        <w:rPr>
          <w:kern w:val="0"/>
        </w:rPr>
        <w:t>. The</w:t>
      </w:r>
      <w:r>
        <w:rPr>
          <w:kern w:val="0"/>
        </w:rPr>
        <w:t xml:space="preserve"> highly cited journals</w:t>
      </w:r>
      <w:r w:rsidR="005853A9">
        <w:rPr>
          <w:kern w:val="0"/>
        </w:rPr>
        <w:t xml:space="preserve"> and </w:t>
      </w:r>
      <w:r>
        <w:rPr>
          <w:kern w:val="0"/>
        </w:rPr>
        <w:t>books, the main classes</w:t>
      </w:r>
      <w:r w:rsidR="005853A9">
        <w:rPr>
          <w:kern w:val="0"/>
        </w:rPr>
        <w:t xml:space="preserve"> and </w:t>
      </w:r>
      <w:r>
        <w:rPr>
          <w:kern w:val="0"/>
        </w:rPr>
        <w:t>subclasses</w:t>
      </w:r>
      <w:r w:rsidR="00427468">
        <w:rPr>
          <w:kern w:val="0"/>
        </w:rPr>
        <w:t xml:space="preserve"> of </w:t>
      </w:r>
      <w:r>
        <w:rPr>
          <w:kern w:val="0"/>
        </w:rPr>
        <w:t>cited journals</w:t>
      </w:r>
      <w:r w:rsidR="005853A9">
        <w:rPr>
          <w:kern w:val="0"/>
        </w:rPr>
        <w:t xml:space="preserve"> and </w:t>
      </w:r>
      <w:r>
        <w:rPr>
          <w:kern w:val="0"/>
        </w:rPr>
        <w:t>books in papers</w:t>
      </w:r>
      <w:r w:rsidR="00427468">
        <w:rPr>
          <w:kern w:val="0"/>
        </w:rPr>
        <w:t xml:space="preserve"> of </w:t>
      </w:r>
      <w:r>
        <w:rPr>
          <w:kern w:val="0"/>
        </w:rPr>
        <w:t>the four journals, the highly cited subjects in journals</w:t>
      </w:r>
      <w:r w:rsidR="005853A9">
        <w:rPr>
          <w:kern w:val="0"/>
        </w:rPr>
        <w:t xml:space="preserve"> and </w:t>
      </w:r>
      <w:r>
        <w:rPr>
          <w:kern w:val="0"/>
        </w:rPr>
        <w:t>books</w:t>
      </w:r>
      <w:r w:rsidR="00427468">
        <w:rPr>
          <w:kern w:val="0"/>
        </w:rPr>
        <w:t xml:space="preserve"> of </w:t>
      </w:r>
      <w:r>
        <w:rPr>
          <w:kern w:val="0"/>
        </w:rPr>
        <w:t>library</w:t>
      </w:r>
      <w:r w:rsidR="005853A9">
        <w:rPr>
          <w:kern w:val="0"/>
        </w:rPr>
        <w:t xml:space="preserve"> and </w:t>
      </w:r>
      <w:r>
        <w:rPr>
          <w:kern w:val="0"/>
        </w:rPr>
        <w:t>information science were identified</w:t>
      </w:r>
      <w:r w:rsidR="005853A9">
        <w:rPr>
          <w:kern w:val="0"/>
        </w:rPr>
        <w:t xml:space="preserve"> and </w:t>
      </w:r>
      <w:r>
        <w:rPr>
          <w:kern w:val="0"/>
        </w:rPr>
        <w:t>analyzed. Findings - The study reveals that information science possessing strong self knowledge flow as these four source journals are also the four most cited</w:t>
      </w:r>
      <w:r w:rsidR="00A37C1D">
        <w:rPr>
          <w:kern w:val="0"/>
        </w:rPr>
        <w:t>. The</w:t>
      </w:r>
      <w:r>
        <w:rPr>
          <w:kern w:val="0"/>
        </w:rPr>
        <w:t xml:space="preserve"> class library science, book industries</w:t>
      </w:r>
      <w:r w:rsidR="005853A9">
        <w:rPr>
          <w:kern w:val="0"/>
        </w:rPr>
        <w:t xml:space="preserve"> and </w:t>
      </w:r>
      <w:r>
        <w:rPr>
          <w:kern w:val="0"/>
        </w:rPr>
        <w:t>trade, general information resources consists</w:t>
      </w:r>
      <w:r w:rsidR="00427468">
        <w:rPr>
          <w:kern w:val="0"/>
        </w:rPr>
        <w:t xml:space="preserve"> of </w:t>
      </w:r>
      <w:r>
        <w:rPr>
          <w:kern w:val="0"/>
        </w:rPr>
        <w:t>a mainstream</w:t>
      </w:r>
      <w:r w:rsidR="00427468">
        <w:rPr>
          <w:kern w:val="0"/>
        </w:rPr>
        <w:t xml:space="preserve"> of </w:t>
      </w:r>
      <w:r>
        <w:rPr>
          <w:kern w:val="0"/>
        </w:rPr>
        <w:t>knowledge flow into information science</w:t>
      </w:r>
      <w:r w:rsidR="00A37C1D">
        <w:rPr>
          <w:kern w:val="0"/>
        </w:rPr>
        <w:t>. The</w:t>
      </w:r>
      <w:r>
        <w:rPr>
          <w:kern w:val="0"/>
        </w:rPr>
        <w:t xml:space="preserve"> highly cited subjects</w:t>
      </w:r>
      <w:r w:rsidR="00427468">
        <w:rPr>
          <w:kern w:val="0"/>
        </w:rPr>
        <w:t xml:space="preserve"> of </w:t>
      </w:r>
      <w:r>
        <w:rPr>
          <w:kern w:val="0"/>
        </w:rPr>
        <w:t>LIS journals encompass searching, online information retrieval, information work, subject indexing, World Wide Web, technical services, citation analysis, information seeking behavior, etc</w:t>
      </w:r>
      <w:r w:rsidR="00A37C1D">
        <w:rPr>
          <w:kern w:val="0"/>
        </w:rPr>
        <w:t>. The</w:t>
      </w:r>
      <w:r>
        <w:rPr>
          <w:kern w:val="0"/>
        </w:rPr>
        <w:t xml:space="preserve"> three most cited LCSH subjects on WorldCat</w:t>
      </w:r>
      <w:r w:rsidR="00427468">
        <w:rPr>
          <w:kern w:val="0"/>
        </w:rPr>
        <w:t xml:space="preserve"> of </w:t>
      </w:r>
      <w:r>
        <w:rPr>
          <w:kern w:val="0"/>
        </w:rPr>
        <w:t>books are information storage</w:t>
      </w:r>
      <w:r w:rsidR="005853A9">
        <w:rPr>
          <w:kern w:val="0"/>
        </w:rPr>
        <w:t xml:space="preserve"> and </w:t>
      </w:r>
      <w:r>
        <w:rPr>
          <w:kern w:val="0"/>
        </w:rPr>
        <w:t>retrieval, information science, human-computer interaction, etc. Originality/value - The knowledge inputs for information science include mainly information science itself</w:t>
      </w:r>
      <w:r w:rsidR="005853A9">
        <w:rPr>
          <w:kern w:val="0"/>
        </w:rPr>
        <w:t xml:space="preserve"> and </w:t>
      </w:r>
      <w:r>
        <w:rPr>
          <w:kern w:val="0"/>
        </w:rPr>
        <w:t>social sciences</w:t>
      </w:r>
      <w:r w:rsidR="005853A9">
        <w:rPr>
          <w:kern w:val="0"/>
        </w:rPr>
        <w:t xml:space="preserve"> and </w:t>
      </w:r>
      <w:r>
        <w:rPr>
          <w:kern w:val="0"/>
        </w:rPr>
        <w:t>general science as well. Moreover, there are minor inputs from various subjects.</w:t>
      </w:r>
    </w:p>
    <w:p w:rsidR="0000618E" w:rsidRDefault="0000618E" w:rsidP="0000618E">
      <w:pPr>
        <w:pStyle w:val="a3"/>
        <w:rPr>
          <w:kern w:val="0"/>
        </w:rPr>
      </w:pPr>
      <w:r>
        <w:rPr>
          <w:kern w:val="0"/>
        </w:rPr>
        <w:t>Keywords: Analysis, Author Cocitation Analysis, Behavior, Bibliometric, Bibliometric Study, Citation, Citation Analysis, Cited Books, Cited Journals, Database, Documentation, Flow, General, Highly Cited, Highly-Cited, Indexing, Information, Information Retrieval, Information Science, Information Science Journal, Information Seeking Behavior, Information Storage</w:t>
      </w:r>
      <w:r w:rsidR="005853A9">
        <w:rPr>
          <w:kern w:val="0"/>
        </w:rPr>
        <w:t xml:space="preserve"> and </w:t>
      </w:r>
      <w:r>
        <w:rPr>
          <w:kern w:val="0"/>
        </w:rPr>
        <w:t>Retrieval, Information Studies, Interaction, Journal, Journals, Knowledge, Knowledge Flow, Knowledge Input, Li, Library, Library</w:t>
      </w:r>
      <w:r w:rsidR="005853A9">
        <w:rPr>
          <w:kern w:val="0"/>
        </w:rPr>
        <w:t xml:space="preserve"> and </w:t>
      </w:r>
      <w:r>
        <w:rPr>
          <w:kern w:val="0"/>
        </w:rPr>
        <w:t xml:space="preserve">Information Science, LIS, LIS Journals, Management, Minor, Online, Papers, Portrait, References, Resources, Science, Science Journals, </w:t>
      </w:r>
      <w:r>
        <w:rPr>
          <w:kern w:val="0"/>
        </w:rPr>
        <w:lastRenderedPageBreak/>
        <w:t>Sciences, Self, Services, Social, Social Sciences, Source, Storage, Subject Analysis, Technology, Work, World Wide Web</w:t>
      </w:r>
    </w:p>
    <w:p w:rsidR="00D87205" w:rsidRDefault="00D87205" w:rsidP="00D87205">
      <w:pPr>
        <w:pStyle w:val="a3"/>
        <w:rPr>
          <w:kern w:val="0"/>
        </w:rPr>
      </w:pPr>
      <w:r>
        <w:rPr>
          <w:rFonts w:hint="eastAsia"/>
          <w:kern w:val="0"/>
        </w:rPr>
        <w:t xml:space="preserve">? </w:t>
      </w:r>
      <w:r>
        <w:rPr>
          <w:kern w:val="0"/>
        </w:rPr>
        <w:t>Du, W.C.</w:t>
      </w:r>
      <w:r w:rsidR="005853A9">
        <w:rPr>
          <w:kern w:val="0"/>
        </w:rPr>
        <w:t xml:space="preserve"> and </w:t>
      </w:r>
      <w:r>
        <w:rPr>
          <w:kern w:val="0"/>
        </w:rPr>
        <w:t>Song, S. (2013), Information needs analysis</w:t>
      </w:r>
      <w:r w:rsidR="00427468">
        <w:rPr>
          <w:kern w:val="0"/>
        </w:rPr>
        <w:t xml:space="preserve"> of </w:t>
      </w:r>
      <w:r>
        <w:rPr>
          <w:kern w:val="0"/>
        </w:rPr>
        <w:t xml:space="preserve">the aerospace discipline. </w:t>
      </w:r>
      <w:r>
        <w:rPr>
          <w:i/>
          <w:iCs/>
          <w:kern w:val="0"/>
        </w:rPr>
        <w:t>Aslib Proceedings</w:t>
      </w:r>
      <w:r>
        <w:rPr>
          <w:kern w:val="0"/>
        </w:rPr>
        <w:t xml:space="preserve">, </w:t>
      </w:r>
      <w:r>
        <w:rPr>
          <w:b/>
          <w:bCs/>
          <w:kern w:val="0"/>
        </w:rPr>
        <w:t>65</w:t>
      </w:r>
      <w:r>
        <w:rPr>
          <w:kern w:val="0"/>
        </w:rPr>
        <w:t xml:space="preserve"> (4), 376-387.</w:t>
      </w:r>
    </w:p>
    <w:p w:rsidR="00D87205" w:rsidRPr="00F219CA" w:rsidRDefault="00D87205" w:rsidP="00D87205">
      <w:pPr>
        <w:pStyle w:val="a3"/>
      </w:pPr>
      <w:r w:rsidRPr="00F219CA">
        <w:t xml:space="preserve">Full Text: </w:t>
      </w:r>
      <w:hyperlink r:id="rId1342" w:history="1">
        <w:r w:rsidRPr="00D87205">
          <w:rPr>
            <w:rStyle w:val="a5"/>
          </w:rPr>
          <w:t>2013\Asl Pro65, 376.pdf</w:t>
        </w:r>
      </w:hyperlink>
    </w:p>
    <w:p w:rsidR="00D87205" w:rsidRDefault="00D87205" w:rsidP="00D87205">
      <w:pPr>
        <w:pStyle w:val="a3"/>
        <w:rPr>
          <w:kern w:val="0"/>
        </w:rPr>
      </w:pPr>
      <w:r>
        <w:rPr>
          <w:kern w:val="0"/>
        </w:rPr>
        <w:t>Abstract: Purpose - The purpose</w:t>
      </w:r>
      <w:r w:rsidR="00427468">
        <w:rPr>
          <w:kern w:val="0"/>
        </w:rPr>
        <w:t xml:space="preserve"> of </w:t>
      </w:r>
      <w:r>
        <w:rPr>
          <w:kern w:val="0"/>
        </w:rPr>
        <w:t>this paper is to identify the core literature</w:t>
      </w:r>
      <w:r w:rsidR="00427468">
        <w:rPr>
          <w:kern w:val="0"/>
        </w:rPr>
        <w:t xml:space="preserve"> of </w:t>
      </w:r>
      <w:r>
        <w:rPr>
          <w:kern w:val="0"/>
        </w:rPr>
        <w:t>aerospace studies</w:t>
      </w:r>
      <w:r w:rsidR="005853A9">
        <w:rPr>
          <w:kern w:val="0"/>
        </w:rPr>
        <w:t xml:space="preserve"> and </w:t>
      </w:r>
      <w:r>
        <w:rPr>
          <w:kern w:val="0"/>
        </w:rPr>
        <w:t>the databases necessary to ensure its coverage in a collection for aerospace scientists</w:t>
      </w:r>
      <w:r w:rsidR="00A37C1D">
        <w:rPr>
          <w:kern w:val="0"/>
        </w:rPr>
        <w:t>. The</w:t>
      </w:r>
      <w:r>
        <w:rPr>
          <w:kern w:val="0"/>
        </w:rPr>
        <w:t xml:space="preserve"> paper also aims to examine whether China has different needs from other countries. Design/methodology/approach - A sequence</w:t>
      </w:r>
      <w:r w:rsidR="00427468">
        <w:rPr>
          <w:kern w:val="0"/>
        </w:rPr>
        <w:t xml:space="preserve"> of </w:t>
      </w:r>
      <w:r>
        <w:rPr>
          <w:kern w:val="0"/>
        </w:rPr>
        <w:t>bibliometric analyses was used. Institutions</w:t>
      </w:r>
      <w:r w:rsidR="005853A9">
        <w:rPr>
          <w:kern w:val="0"/>
        </w:rPr>
        <w:t xml:space="preserve"> and </w:t>
      </w:r>
      <w:r>
        <w:rPr>
          <w:kern w:val="0"/>
        </w:rPr>
        <w:t>countries with high aerospace research productivity were identified from 4,290 papers published in “aerospace engineering” journals in Science Citation Index. Journal papers cited in these papers (14,618 extracted from 17,015 citations in all) were analyzed to discover the core source journals for aerospace research</w:t>
      </w:r>
      <w:r w:rsidR="00A37C1D">
        <w:rPr>
          <w:kern w:val="0"/>
        </w:rPr>
        <w:t>. The</w:t>
      </w:r>
      <w:r>
        <w:rPr>
          <w:kern w:val="0"/>
        </w:rPr>
        <w:t xml:space="preserve"> availability</w:t>
      </w:r>
      <w:r w:rsidR="00427468">
        <w:rPr>
          <w:kern w:val="0"/>
        </w:rPr>
        <w:t xml:space="preserve"> of </w:t>
      </w:r>
      <w:r>
        <w:rPr>
          <w:kern w:val="0"/>
        </w:rPr>
        <w:t>the core journals in online databases determined necessary library provision for aerospace research. Findings - The most productive aerospace research institutions are in China</w:t>
      </w:r>
      <w:r w:rsidR="005853A9">
        <w:rPr>
          <w:kern w:val="0"/>
        </w:rPr>
        <w:t xml:space="preserve"> and </w:t>
      </w:r>
      <w:r>
        <w:rPr>
          <w:kern w:val="0"/>
        </w:rPr>
        <w:t xml:space="preserve">the </w:t>
      </w:r>
      <w:r w:rsidR="00D5664A">
        <w:rPr>
          <w:kern w:val="0"/>
        </w:rPr>
        <w:t>USA</w:t>
      </w:r>
      <w:r>
        <w:rPr>
          <w:kern w:val="0"/>
        </w:rPr>
        <w:t>. Journals are the most important information resources. While 20 per cent</w:t>
      </w:r>
      <w:r w:rsidR="00427468">
        <w:rPr>
          <w:kern w:val="0"/>
        </w:rPr>
        <w:t xml:space="preserve"> of </w:t>
      </w:r>
      <w:r>
        <w:rPr>
          <w:kern w:val="0"/>
        </w:rPr>
        <w:t>cited journals were discipline-specific, 80 per cent were in related fields. Chinese researchers had similar resource needs to researchers from other countries. To provide for aerospace research, a library collection needs to include the databases</w:t>
      </w:r>
      <w:r w:rsidR="00427468">
        <w:rPr>
          <w:kern w:val="0"/>
        </w:rPr>
        <w:t xml:space="preserve"> of </w:t>
      </w:r>
      <w:r>
        <w:rPr>
          <w:kern w:val="0"/>
        </w:rPr>
        <w:t>the field,</w:t>
      </w:r>
      <w:r w:rsidR="005853A9">
        <w:rPr>
          <w:kern w:val="0"/>
        </w:rPr>
        <w:t xml:space="preserve"> and </w:t>
      </w:r>
      <w:r>
        <w:rPr>
          <w:kern w:val="0"/>
        </w:rPr>
        <w:t>commercial</w:t>
      </w:r>
      <w:r w:rsidR="005853A9">
        <w:rPr>
          <w:kern w:val="0"/>
        </w:rPr>
        <w:t xml:space="preserve"> and </w:t>
      </w:r>
      <w:r>
        <w:rPr>
          <w:kern w:val="0"/>
        </w:rPr>
        <w:t>open access journals that cover aerospace engineering, related disciplines</w:t>
      </w:r>
      <w:r w:rsidR="005853A9">
        <w:rPr>
          <w:kern w:val="0"/>
        </w:rPr>
        <w:t xml:space="preserve"> and </w:t>
      </w:r>
      <w:r>
        <w:rPr>
          <w:kern w:val="0"/>
        </w:rPr>
        <w:t>the sciences in general. Originality/value - The paper reveals the characteristics</w:t>
      </w:r>
      <w:r w:rsidR="00427468">
        <w:rPr>
          <w:kern w:val="0"/>
        </w:rPr>
        <w:t xml:space="preserve"> of </w:t>
      </w:r>
      <w:r>
        <w:rPr>
          <w:kern w:val="0"/>
        </w:rPr>
        <w:t>the literature</w:t>
      </w:r>
      <w:r w:rsidR="00427468">
        <w:rPr>
          <w:kern w:val="0"/>
        </w:rPr>
        <w:t xml:space="preserve"> of </w:t>
      </w:r>
      <w:r>
        <w:rPr>
          <w:kern w:val="0"/>
        </w:rPr>
        <w:t>the aerospace discipline for the first time. It identifies the core journals used by aerospace researchers</w:t>
      </w:r>
      <w:r w:rsidR="005853A9">
        <w:rPr>
          <w:kern w:val="0"/>
        </w:rPr>
        <w:t xml:space="preserve"> and </w:t>
      </w:r>
      <w:r>
        <w:rPr>
          <w:kern w:val="0"/>
        </w:rPr>
        <w:t>the bundle</w:t>
      </w:r>
      <w:r w:rsidR="00427468">
        <w:rPr>
          <w:kern w:val="0"/>
        </w:rPr>
        <w:t xml:space="preserve"> of </w:t>
      </w:r>
      <w:r>
        <w:rPr>
          <w:kern w:val="0"/>
        </w:rPr>
        <w:t>online resources necessary to adequately provide for research in the field</w:t>
      </w:r>
      <w:r w:rsidR="00A37C1D">
        <w:rPr>
          <w:kern w:val="0"/>
        </w:rPr>
        <w:t>. The</w:t>
      </w:r>
      <w:r>
        <w:rPr>
          <w:kern w:val="0"/>
        </w:rPr>
        <w:t xml:space="preserve"> technique used can be applied to other disciplines.</w:t>
      </w:r>
    </w:p>
    <w:p w:rsidR="00D87205" w:rsidRDefault="00D87205" w:rsidP="00D87205">
      <w:pPr>
        <w:pStyle w:val="a3"/>
        <w:rPr>
          <w:kern w:val="0"/>
        </w:rPr>
      </w:pPr>
      <w:r>
        <w:rPr>
          <w:kern w:val="0"/>
        </w:rPr>
        <w:t xml:space="preserve">Keywords: Access, Aerospace Discipline, Aerospace Industry, Analyses, Analysis, Article, Availability, Bibliometric, Bibliometric Analyses, Characteristics, China, Chinese, Citation, Citation Analysis, Citations, Collection, Collection Development, Coverage, Databases, Disciplines, Engineering, England, Field, First, General, House, Information, Information Management, Information Needs, Institutions, Journal, Journals, Literature, Needs, Online, Online Databases, Open, Open Access, Papers, Productivity, Purpose, R, Research, Research Institutions, Research Productivity, Resources, Science, Science Citation Index, Sciences, Scientists, Source, </w:t>
      </w:r>
      <w:r w:rsidR="00D5664A">
        <w:rPr>
          <w:kern w:val="0"/>
        </w:rPr>
        <w:t>USA</w:t>
      </w:r>
    </w:p>
    <w:p w:rsidR="00624A41" w:rsidRDefault="00624A41" w:rsidP="00624A41">
      <w:pPr>
        <w:pStyle w:val="a3"/>
        <w:rPr>
          <w:kern w:val="0"/>
        </w:rPr>
      </w:pPr>
      <w:r>
        <w:rPr>
          <w:rFonts w:hint="eastAsia"/>
          <w:kern w:val="0"/>
        </w:rPr>
        <w:t xml:space="preserve">? </w:t>
      </w:r>
      <w:r>
        <w:rPr>
          <w:kern w:val="0"/>
        </w:rPr>
        <w:t>Borrego, A.</w:t>
      </w:r>
      <w:r w:rsidR="005853A9">
        <w:rPr>
          <w:kern w:val="0"/>
        </w:rPr>
        <w:t xml:space="preserve"> and </w:t>
      </w:r>
      <w:r>
        <w:rPr>
          <w:kern w:val="0"/>
        </w:rPr>
        <w:t>Garcia, F. (2013), Provision</w:t>
      </w:r>
      <w:r w:rsidR="00427468">
        <w:rPr>
          <w:kern w:val="0"/>
        </w:rPr>
        <w:t xml:space="preserve"> of </w:t>
      </w:r>
      <w:r>
        <w:rPr>
          <w:kern w:val="0"/>
        </w:rPr>
        <w:t>supplementary materials in library</w:t>
      </w:r>
      <w:r w:rsidR="005853A9">
        <w:rPr>
          <w:kern w:val="0"/>
        </w:rPr>
        <w:t xml:space="preserve"> and </w:t>
      </w:r>
      <w:r>
        <w:rPr>
          <w:kern w:val="0"/>
        </w:rPr>
        <w:t xml:space="preserve">information science scholarly journals. </w:t>
      </w:r>
      <w:r>
        <w:rPr>
          <w:i/>
          <w:iCs/>
          <w:kern w:val="0"/>
        </w:rPr>
        <w:t>Aslib Proceedings</w:t>
      </w:r>
      <w:r>
        <w:rPr>
          <w:kern w:val="0"/>
        </w:rPr>
        <w:t xml:space="preserve">, </w:t>
      </w:r>
      <w:r>
        <w:rPr>
          <w:b/>
          <w:bCs/>
          <w:kern w:val="0"/>
        </w:rPr>
        <w:t>65</w:t>
      </w:r>
      <w:r>
        <w:rPr>
          <w:kern w:val="0"/>
        </w:rPr>
        <w:t xml:space="preserve"> (5), 503-514.</w:t>
      </w:r>
    </w:p>
    <w:p w:rsidR="00624A41" w:rsidRPr="00F219CA" w:rsidRDefault="00624A41" w:rsidP="00624A41">
      <w:pPr>
        <w:pStyle w:val="a3"/>
      </w:pPr>
      <w:r w:rsidRPr="00F219CA">
        <w:t xml:space="preserve">Full Text: </w:t>
      </w:r>
      <w:hyperlink r:id="rId1343" w:history="1">
        <w:r w:rsidRPr="00624A41">
          <w:rPr>
            <w:rStyle w:val="a5"/>
          </w:rPr>
          <w:t>2013\Asl Pro65, 503.pdf</w:t>
        </w:r>
      </w:hyperlink>
    </w:p>
    <w:p w:rsidR="00624A41" w:rsidRDefault="00624A41" w:rsidP="00624A41">
      <w:pPr>
        <w:pStyle w:val="a3"/>
        <w:rPr>
          <w:kern w:val="0"/>
        </w:rPr>
      </w:pPr>
      <w:r>
        <w:rPr>
          <w:kern w:val="0"/>
        </w:rPr>
        <w:t>Abstract: Purpose - This study seeks to analyse the policies</w:t>
      </w:r>
      <w:r w:rsidR="00427468">
        <w:rPr>
          <w:kern w:val="0"/>
        </w:rPr>
        <w:t xml:space="preserve"> of </w:t>
      </w:r>
      <w:r>
        <w:rPr>
          <w:kern w:val="0"/>
        </w:rPr>
        <w:t>library</w:t>
      </w:r>
      <w:r w:rsidR="005853A9">
        <w:rPr>
          <w:kern w:val="0"/>
        </w:rPr>
        <w:t xml:space="preserve"> and </w:t>
      </w:r>
      <w:r>
        <w:rPr>
          <w:kern w:val="0"/>
        </w:rPr>
        <w:t>information science (US) journals regarding the publication</w:t>
      </w:r>
      <w:r w:rsidR="00427468">
        <w:rPr>
          <w:kern w:val="0"/>
        </w:rPr>
        <w:t xml:space="preserve"> of </w:t>
      </w:r>
      <w:r>
        <w:rPr>
          <w:kern w:val="0"/>
        </w:rPr>
        <w:t xml:space="preserve">supplementary materials, the </w:t>
      </w:r>
      <w:r>
        <w:rPr>
          <w:kern w:val="0"/>
        </w:rPr>
        <w:lastRenderedPageBreak/>
        <w:t>number</w:t>
      </w:r>
      <w:r w:rsidR="00427468">
        <w:rPr>
          <w:kern w:val="0"/>
        </w:rPr>
        <w:t xml:space="preserve"> of </w:t>
      </w:r>
      <w:r>
        <w:rPr>
          <w:kern w:val="0"/>
        </w:rPr>
        <w:t>journals</w:t>
      </w:r>
      <w:r w:rsidR="005853A9">
        <w:rPr>
          <w:kern w:val="0"/>
        </w:rPr>
        <w:t xml:space="preserve"> and </w:t>
      </w:r>
      <w:r>
        <w:rPr>
          <w:kern w:val="0"/>
        </w:rPr>
        <w:t>articles that include this feature, the kind</w:t>
      </w:r>
      <w:r w:rsidR="00427468">
        <w:rPr>
          <w:kern w:val="0"/>
        </w:rPr>
        <w:t xml:space="preserve"> of </w:t>
      </w:r>
      <w:r>
        <w:rPr>
          <w:kern w:val="0"/>
        </w:rPr>
        <w:t>supplementary materials published with regard to their function in the article, the formats employed</w:t>
      </w:r>
      <w:r w:rsidR="005853A9">
        <w:rPr>
          <w:kern w:val="0"/>
        </w:rPr>
        <w:t xml:space="preserve"> and </w:t>
      </w:r>
      <w:r>
        <w:rPr>
          <w:kern w:val="0"/>
        </w:rPr>
        <w:t>the access provided to readers. Design/methodology/approach - The study analysed the instructions for authors</w:t>
      </w:r>
      <w:r w:rsidR="00427468">
        <w:rPr>
          <w:kern w:val="0"/>
        </w:rPr>
        <w:t xml:space="preserve"> of </w:t>
      </w:r>
      <w:r>
        <w:rPr>
          <w:kern w:val="0"/>
        </w:rPr>
        <w:t>US journals indexed in the ISI Journal Citation Reports, as well as the supplementary materials attached to the articles published in their 2011 online volumes. Findings - Large publishers are more likely to have a policy regarding the publication</w:t>
      </w:r>
      <w:r w:rsidR="00427468">
        <w:rPr>
          <w:kern w:val="0"/>
        </w:rPr>
        <w:t xml:space="preserve"> of </w:t>
      </w:r>
      <w:r>
        <w:rPr>
          <w:kern w:val="0"/>
        </w:rPr>
        <w:t>supplementary materials,</w:t>
      </w:r>
      <w:r w:rsidR="005853A9">
        <w:rPr>
          <w:kern w:val="0"/>
        </w:rPr>
        <w:t xml:space="preserve"> and </w:t>
      </w:r>
      <w:r>
        <w:rPr>
          <w:kern w:val="0"/>
        </w:rPr>
        <w:t>policies are usually homogeneous across all the journals</w:t>
      </w:r>
      <w:r w:rsidR="00427468">
        <w:rPr>
          <w:kern w:val="0"/>
        </w:rPr>
        <w:t xml:space="preserve"> of </w:t>
      </w:r>
      <w:r>
        <w:rPr>
          <w:kern w:val="0"/>
        </w:rPr>
        <w:t>a given publisher. Most policies state the acceptance</w:t>
      </w:r>
      <w:r w:rsidR="00427468">
        <w:rPr>
          <w:kern w:val="0"/>
        </w:rPr>
        <w:t xml:space="preserve"> of </w:t>
      </w:r>
      <w:r>
        <w:rPr>
          <w:kern w:val="0"/>
        </w:rPr>
        <w:t>supplementary materials,</w:t>
      </w:r>
      <w:r w:rsidR="005853A9">
        <w:rPr>
          <w:kern w:val="0"/>
        </w:rPr>
        <w:t xml:space="preserve"> and </w:t>
      </w:r>
      <w:r>
        <w:rPr>
          <w:kern w:val="0"/>
        </w:rPr>
        <w:t>even journals without a policy also publish supplementary materials</w:t>
      </w:r>
      <w:r w:rsidR="00A37C1D">
        <w:rPr>
          <w:kern w:val="0"/>
        </w:rPr>
        <w:t>. The</w:t>
      </w:r>
      <w:r>
        <w:rPr>
          <w:kern w:val="0"/>
        </w:rPr>
        <w:t xml:space="preserve"> majority</w:t>
      </w:r>
      <w:r w:rsidR="00427468">
        <w:rPr>
          <w:kern w:val="0"/>
        </w:rPr>
        <w:t xml:space="preserve"> of </w:t>
      </w:r>
      <w:r>
        <w:rPr>
          <w:kern w:val="0"/>
        </w:rPr>
        <w:t>supplementary materials provided in LIS articles are extended methodological explanations</w:t>
      </w:r>
      <w:r w:rsidR="005853A9">
        <w:rPr>
          <w:kern w:val="0"/>
        </w:rPr>
        <w:t xml:space="preserve"> and </w:t>
      </w:r>
      <w:r>
        <w:rPr>
          <w:kern w:val="0"/>
        </w:rPr>
        <w:t>additional results in the form</w:t>
      </w:r>
      <w:r w:rsidR="00427468">
        <w:rPr>
          <w:kern w:val="0"/>
        </w:rPr>
        <w:t xml:space="preserve"> of </w:t>
      </w:r>
      <w:r>
        <w:rPr>
          <w:kern w:val="0"/>
        </w:rPr>
        <w:t>textual information in PDF or Word files. Some toll-access journals provide open access to any reader to these files. Originality/value - This study provides new insights into the characteristics</w:t>
      </w:r>
      <w:r w:rsidR="00427468">
        <w:rPr>
          <w:kern w:val="0"/>
        </w:rPr>
        <w:t xml:space="preserve"> of </w:t>
      </w:r>
      <w:r>
        <w:rPr>
          <w:kern w:val="0"/>
        </w:rPr>
        <w:t>supplementary materials in US journals</w:t>
      </w:r>
      <w:r w:rsidR="00A37C1D">
        <w:rPr>
          <w:kern w:val="0"/>
        </w:rPr>
        <w:t>. The</w:t>
      </w:r>
      <w:r>
        <w:rPr>
          <w:kern w:val="0"/>
        </w:rPr>
        <w:t xml:space="preserve"> results may be used by journal publishers to establish a policy on the publication</w:t>
      </w:r>
      <w:r w:rsidR="00427468">
        <w:rPr>
          <w:kern w:val="0"/>
        </w:rPr>
        <w:t xml:space="preserve"> of </w:t>
      </w:r>
      <w:r>
        <w:rPr>
          <w:kern w:val="0"/>
        </w:rPr>
        <w:t>supplementary materials and, more broadly, to develop data sharing initiatives in academic settings.</w:t>
      </w:r>
    </w:p>
    <w:p w:rsidR="00624A41" w:rsidRDefault="00624A41" w:rsidP="00624A41">
      <w:pPr>
        <w:pStyle w:val="a3"/>
        <w:rPr>
          <w:kern w:val="0"/>
        </w:rPr>
      </w:pPr>
      <w:r>
        <w:rPr>
          <w:kern w:val="0"/>
        </w:rPr>
        <w:t>Keywords: Acceptance, Access, Article, Authors, Barcelona, Bibliometrics, Characteristics, Citation, Data, Data Sharing, England, Feature, Function, House, Information, Information Science</w:t>
      </w:r>
      <w:r w:rsidR="00D5664A">
        <w:rPr>
          <w:kern w:val="0"/>
        </w:rPr>
        <w:t>, ISI,</w:t>
      </w:r>
      <w:r>
        <w:rPr>
          <w:kern w:val="0"/>
        </w:rPr>
        <w:t xml:space="preserve"> Journal, Journal Citation Reports, Journals, LI, Library</w:t>
      </w:r>
      <w:r w:rsidR="005853A9">
        <w:rPr>
          <w:kern w:val="0"/>
        </w:rPr>
        <w:t xml:space="preserve"> and </w:t>
      </w:r>
      <w:r>
        <w:rPr>
          <w:kern w:val="0"/>
        </w:rPr>
        <w:t>Information Science, LIS, Online, Open, Open Access, Policies, Policy, Publication, Publisher, Publishing, Scholarly Journals, Scholarly Publishing, Science, Spain, State, Supplementary Materials, US</w:t>
      </w:r>
    </w:p>
    <w:p w:rsidR="00754DAB" w:rsidRDefault="00754DAB" w:rsidP="00754DAB">
      <w:pPr>
        <w:pStyle w:val="a3"/>
        <w:rPr>
          <w:kern w:val="0"/>
          <w:szCs w:val="24"/>
        </w:rPr>
      </w:pPr>
      <w:r>
        <w:rPr>
          <w:rFonts w:hint="eastAsia"/>
          <w:kern w:val="0"/>
          <w:szCs w:val="24"/>
        </w:rPr>
        <w:t xml:space="preserve">? </w:t>
      </w:r>
      <w:r>
        <w:rPr>
          <w:kern w:val="0"/>
          <w:szCs w:val="24"/>
        </w:rPr>
        <w:t>Vargas-Quesada, B., Al-Dwairi, K.M.O., Faba-Perez, C.</w:t>
      </w:r>
      <w:r w:rsidR="005853A9">
        <w:rPr>
          <w:kern w:val="0"/>
          <w:szCs w:val="24"/>
        </w:rPr>
        <w:t xml:space="preserve"> and </w:t>
      </w:r>
      <w:r>
        <w:rPr>
          <w:kern w:val="0"/>
          <w:szCs w:val="24"/>
        </w:rPr>
        <w:t>de Moya-Anegon, F. (2013), Web structure</w:t>
      </w:r>
      <w:r w:rsidR="005853A9">
        <w:rPr>
          <w:kern w:val="0"/>
          <w:szCs w:val="24"/>
        </w:rPr>
        <w:t xml:space="preserve"> and </w:t>
      </w:r>
      <w:r>
        <w:rPr>
          <w:kern w:val="0"/>
          <w:szCs w:val="24"/>
        </w:rPr>
        <w:t>influence</w:t>
      </w:r>
      <w:r w:rsidR="00427468">
        <w:rPr>
          <w:kern w:val="0"/>
          <w:szCs w:val="24"/>
        </w:rPr>
        <w:t xml:space="preserve"> of </w:t>
      </w:r>
      <w:r>
        <w:rPr>
          <w:kern w:val="0"/>
          <w:szCs w:val="24"/>
        </w:rPr>
        <w:t>the Arab universities</w:t>
      </w:r>
      <w:r w:rsidR="00427468">
        <w:rPr>
          <w:kern w:val="0"/>
          <w:szCs w:val="24"/>
        </w:rPr>
        <w:t xml:space="preserve"> of </w:t>
      </w:r>
      <w:r>
        <w:rPr>
          <w:kern w:val="0"/>
          <w:szCs w:val="24"/>
        </w:rPr>
        <w:t>the MENA zone (Middle East</w:t>
      </w:r>
      <w:r w:rsidR="005853A9">
        <w:rPr>
          <w:kern w:val="0"/>
          <w:szCs w:val="24"/>
        </w:rPr>
        <w:t xml:space="preserve"> and </w:t>
      </w:r>
      <w:r>
        <w:rPr>
          <w:kern w:val="0"/>
          <w:szCs w:val="24"/>
        </w:rPr>
        <w:t>North Africa) Visualization</w:t>
      </w:r>
      <w:r w:rsidR="005853A9">
        <w:rPr>
          <w:kern w:val="0"/>
          <w:szCs w:val="24"/>
        </w:rPr>
        <w:t xml:space="preserve"> and </w:t>
      </w:r>
      <w:r>
        <w:rPr>
          <w:kern w:val="0"/>
          <w:szCs w:val="24"/>
        </w:rPr>
        <w:t xml:space="preserve">analysis. </w:t>
      </w:r>
      <w:r>
        <w:rPr>
          <w:i/>
          <w:iCs/>
          <w:kern w:val="0"/>
          <w:szCs w:val="24"/>
        </w:rPr>
        <w:t>Aslib Proceedings</w:t>
      </w:r>
      <w:r>
        <w:rPr>
          <w:kern w:val="0"/>
          <w:szCs w:val="24"/>
        </w:rPr>
        <w:t xml:space="preserve">, </w:t>
      </w:r>
      <w:r>
        <w:rPr>
          <w:b/>
          <w:bCs/>
          <w:kern w:val="0"/>
          <w:szCs w:val="24"/>
        </w:rPr>
        <w:t>65</w:t>
      </w:r>
      <w:r>
        <w:rPr>
          <w:kern w:val="0"/>
          <w:szCs w:val="24"/>
        </w:rPr>
        <w:t xml:space="preserve"> (6), 623-643.</w:t>
      </w:r>
    </w:p>
    <w:p w:rsidR="00754DAB" w:rsidRPr="00F219CA" w:rsidRDefault="00754DAB" w:rsidP="00754DAB">
      <w:pPr>
        <w:pStyle w:val="a3"/>
      </w:pPr>
      <w:r w:rsidRPr="00F219CA">
        <w:t xml:space="preserve">Full Text: </w:t>
      </w:r>
      <w:hyperlink r:id="rId1344" w:history="1">
        <w:r w:rsidRPr="00754DAB">
          <w:rPr>
            <w:rStyle w:val="a5"/>
          </w:rPr>
          <w:t>2013\Asl Pro65, 623.pdf</w:t>
        </w:r>
      </w:hyperlink>
    </w:p>
    <w:p w:rsidR="00754DAB" w:rsidRDefault="00754DAB" w:rsidP="00754DAB">
      <w:pPr>
        <w:pStyle w:val="a3"/>
        <w:rPr>
          <w:kern w:val="0"/>
          <w:szCs w:val="24"/>
        </w:rPr>
      </w:pPr>
      <w:r>
        <w:rPr>
          <w:kern w:val="0"/>
          <w:szCs w:val="24"/>
        </w:rPr>
        <w:t>Abstract: Purpose - This article aims to display the structure</w:t>
      </w:r>
      <w:r w:rsidR="005853A9">
        <w:rPr>
          <w:kern w:val="0"/>
          <w:szCs w:val="24"/>
        </w:rPr>
        <w:t xml:space="preserve"> and </w:t>
      </w:r>
      <w:r>
        <w:rPr>
          <w:kern w:val="0"/>
          <w:szCs w:val="24"/>
        </w:rPr>
        <w:t>reveal the web influence</w:t>
      </w:r>
      <w:r w:rsidR="00427468">
        <w:rPr>
          <w:kern w:val="0"/>
          <w:szCs w:val="24"/>
        </w:rPr>
        <w:t xml:space="preserve"> of </w:t>
      </w:r>
      <w:r>
        <w:rPr>
          <w:kern w:val="0"/>
          <w:szCs w:val="24"/>
        </w:rPr>
        <w:t>institutions in the MENA zone, in geographic terms (country)</w:t>
      </w:r>
      <w:r w:rsidR="005853A9">
        <w:rPr>
          <w:kern w:val="0"/>
          <w:szCs w:val="24"/>
        </w:rPr>
        <w:t xml:space="preserve"> and </w:t>
      </w:r>
      <w:r>
        <w:rPr>
          <w:kern w:val="0"/>
          <w:szCs w:val="24"/>
        </w:rPr>
        <w:t>academic terms (universities), by means</w:t>
      </w:r>
      <w:r w:rsidR="00427468">
        <w:rPr>
          <w:kern w:val="0"/>
          <w:szCs w:val="24"/>
        </w:rPr>
        <w:t xml:space="preserve"> of </w:t>
      </w:r>
      <w:r>
        <w:rPr>
          <w:kern w:val="0"/>
          <w:szCs w:val="24"/>
        </w:rPr>
        <w:t>their links. Design/methodology/approach - Using search engines</w:t>
      </w:r>
      <w:r w:rsidR="005853A9">
        <w:rPr>
          <w:kern w:val="0"/>
          <w:szCs w:val="24"/>
        </w:rPr>
        <w:t xml:space="preserve"> and </w:t>
      </w:r>
      <w:r>
        <w:rPr>
          <w:kern w:val="0"/>
          <w:szCs w:val="24"/>
        </w:rPr>
        <w:t>webcrawlers designed to gather information about web links, in conjunction with visualization techniques</w:t>
      </w:r>
      <w:r w:rsidR="005853A9">
        <w:rPr>
          <w:kern w:val="0"/>
          <w:szCs w:val="24"/>
        </w:rPr>
        <w:t xml:space="preserve"> and </w:t>
      </w:r>
      <w:r>
        <w:rPr>
          <w:kern w:val="0"/>
          <w:szCs w:val="24"/>
        </w:rPr>
        <w:t>degree indicators based on social network analysis, the authors achieved their objective</w:t>
      </w:r>
      <w:r w:rsidR="005853A9">
        <w:rPr>
          <w:kern w:val="0"/>
          <w:szCs w:val="24"/>
        </w:rPr>
        <w:t xml:space="preserve"> and </w:t>
      </w:r>
      <w:r>
        <w:rPr>
          <w:kern w:val="0"/>
          <w:szCs w:val="24"/>
        </w:rPr>
        <w:t>found responses to a series</w:t>
      </w:r>
      <w:r w:rsidR="00427468">
        <w:rPr>
          <w:kern w:val="0"/>
          <w:szCs w:val="24"/>
        </w:rPr>
        <w:t xml:space="preserve"> of </w:t>
      </w:r>
      <w:r>
        <w:rPr>
          <w:kern w:val="0"/>
          <w:szCs w:val="24"/>
        </w:rPr>
        <w:t>pertinent research questions. Findings - There is no direct relationship between the number</w:t>
      </w:r>
      <w:r w:rsidR="00427468">
        <w:rPr>
          <w:kern w:val="0"/>
          <w:szCs w:val="24"/>
        </w:rPr>
        <w:t xml:space="preserve"> of </w:t>
      </w:r>
      <w:r>
        <w:rPr>
          <w:kern w:val="0"/>
          <w:szCs w:val="24"/>
        </w:rPr>
        <w:t>university websites</w:t>
      </w:r>
      <w:r w:rsidR="005853A9">
        <w:rPr>
          <w:kern w:val="0"/>
          <w:szCs w:val="24"/>
        </w:rPr>
        <w:t xml:space="preserve"> and </w:t>
      </w:r>
      <w:r>
        <w:rPr>
          <w:kern w:val="0"/>
          <w:szCs w:val="24"/>
        </w:rPr>
        <w:t>the number</w:t>
      </w:r>
      <w:r w:rsidR="00427468">
        <w:rPr>
          <w:kern w:val="0"/>
          <w:szCs w:val="24"/>
        </w:rPr>
        <w:t xml:space="preserve"> of </w:t>
      </w:r>
      <w:r>
        <w:rPr>
          <w:kern w:val="0"/>
          <w:szCs w:val="24"/>
        </w:rPr>
        <w:t>inlinks. Linking between countries in the MENA zone obeys patterns</w:t>
      </w:r>
      <w:r w:rsidR="00427468">
        <w:rPr>
          <w:kern w:val="0"/>
          <w:szCs w:val="24"/>
        </w:rPr>
        <w:t xml:space="preserve"> of </w:t>
      </w:r>
      <w:r>
        <w:rPr>
          <w:kern w:val="0"/>
          <w:szCs w:val="24"/>
        </w:rPr>
        <w:t>vicinity</w:t>
      </w:r>
      <w:r w:rsidR="005853A9">
        <w:rPr>
          <w:kern w:val="0"/>
          <w:szCs w:val="24"/>
        </w:rPr>
        <w:t xml:space="preserve"> and </w:t>
      </w:r>
      <w:r>
        <w:rPr>
          <w:kern w:val="0"/>
          <w:szCs w:val="24"/>
        </w:rPr>
        <w:t>geopolitics. Arab universities are interlinked following trends governed by territorial proximity</w:t>
      </w:r>
      <w:r w:rsidR="00A37C1D">
        <w:rPr>
          <w:kern w:val="0"/>
          <w:szCs w:val="24"/>
        </w:rPr>
        <w:t>. The</w:t>
      </w:r>
      <w:r>
        <w:rPr>
          <w:kern w:val="0"/>
          <w:szCs w:val="24"/>
        </w:rPr>
        <w:t xml:space="preserve">re is a strong endogamic tendency, with universities from </w:t>
      </w:r>
      <w:r>
        <w:rPr>
          <w:kern w:val="0"/>
          <w:szCs w:val="24"/>
        </w:rPr>
        <w:lastRenderedPageBreak/>
        <w:t>a single country citing each other, particularly in the case</w:t>
      </w:r>
      <w:r w:rsidR="00427468">
        <w:rPr>
          <w:kern w:val="0"/>
          <w:szCs w:val="24"/>
        </w:rPr>
        <w:t xml:space="preserve"> of </w:t>
      </w:r>
      <w:r>
        <w:rPr>
          <w:kern w:val="0"/>
          <w:szCs w:val="24"/>
        </w:rPr>
        <w:t>Saudi Arabia</w:t>
      </w:r>
      <w:r w:rsidR="00A37C1D">
        <w:rPr>
          <w:kern w:val="0"/>
          <w:szCs w:val="24"/>
        </w:rPr>
        <w:t>. The</w:t>
      </w:r>
      <w:r>
        <w:rPr>
          <w:kern w:val="0"/>
          <w:szCs w:val="24"/>
        </w:rPr>
        <w:t xml:space="preserve"> authors present the first ranking</w:t>
      </w:r>
      <w:r w:rsidR="00427468">
        <w:rPr>
          <w:kern w:val="0"/>
          <w:szCs w:val="24"/>
        </w:rPr>
        <w:t xml:space="preserve"> of </w:t>
      </w:r>
      <w:r>
        <w:rPr>
          <w:kern w:val="0"/>
          <w:szCs w:val="24"/>
        </w:rPr>
        <w:t>web influence in the MENA zone based on network indicators, namely country</w:t>
      </w:r>
      <w:r w:rsidR="005853A9">
        <w:rPr>
          <w:kern w:val="0"/>
          <w:szCs w:val="24"/>
        </w:rPr>
        <w:t xml:space="preserve"> and </w:t>
      </w:r>
      <w:r>
        <w:rPr>
          <w:kern w:val="0"/>
          <w:szCs w:val="24"/>
        </w:rPr>
        <w:t>university,</w:t>
      </w:r>
      <w:r w:rsidR="005853A9">
        <w:rPr>
          <w:kern w:val="0"/>
          <w:szCs w:val="24"/>
        </w:rPr>
        <w:t xml:space="preserve"> and </w:t>
      </w:r>
      <w:r>
        <w:rPr>
          <w:kern w:val="0"/>
          <w:szCs w:val="24"/>
        </w:rPr>
        <w:t>their order is corroborated by comparison with other rankings</w:t>
      </w:r>
      <w:r w:rsidR="00427468">
        <w:rPr>
          <w:kern w:val="0"/>
          <w:szCs w:val="24"/>
        </w:rPr>
        <w:t xml:space="preserve"> of </w:t>
      </w:r>
      <w:r>
        <w:rPr>
          <w:kern w:val="0"/>
          <w:szCs w:val="24"/>
        </w:rPr>
        <w:t>a webometric or scientometric nature. Research limitations/implications - Studies</w:t>
      </w:r>
      <w:r w:rsidR="00427468">
        <w:rPr>
          <w:kern w:val="0"/>
          <w:szCs w:val="24"/>
        </w:rPr>
        <w:t xml:space="preserve"> of </w:t>
      </w:r>
      <w:r>
        <w:rPr>
          <w:kern w:val="0"/>
          <w:szCs w:val="24"/>
        </w:rPr>
        <w:t>this type cannot be undertaken again, at least not froni the web link perspective, as Yahoo!, Google</w:t>
      </w:r>
      <w:r w:rsidR="005853A9">
        <w:rPr>
          <w:kern w:val="0"/>
          <w:szCs w:val="24"/>
        </w:rPr>
        <w:t xml:space="preserve"> and </w:t>
      </w:r>
      <w:r>
        <w:rPr>
          <w:kern w:val="0"/>
          <w:szCs w:val="24"/>
        </w:rPr>
        <w:t>Bing have since blocked the webcrawlers that attempt to carry out searches</w:t>
      </w:r>
      <w:r w:rsidR="00427468">
        <w:rPr>
          <w:kern w:val="0"/>
          <w:szCs w:val="24"/>
        </w:rPr>
        <w:t xml:space="preserve"> of </w:t>
      </w:r>
      <w:r>
        <w:rPr>
          <w:kern w:val="0"/>
          <w:szCs w:val="24"/>
        </w:rPr>
        <w:t>inlinking or co-inlinking between/among sites. Hence, this work can be considered both a pioneer</w:t>
      </w:r>
      <w:r w:rsidR="005853A9">
        <w:rPr>
          <w:kern w:val="0"/>
          <w:szCs w:val="24"/>
        </w:rPr>
        <w:t xml:space="preserve"> and </w:t>
      </w:r>
      <w:r>
        <w:rPr>
          <w:kern w:val="0"/>
          <w:szCs w:val="24"/>
        </w:rPr>
        <w:t>the last</w:t>
      </w:r>
      <w:r w:rsidR="00427468">
        <w:rPr>
          <w:kern w:val="0"/>
          <w:szCs w:val="24"/>
        </w:rPr>
        <w:t xml:space="preserve"> of </w:t>
      </w:r>
      <w:r>
        <w:rPr>
          <w:kern w:val="0"/>
          <w:szCs w:val="24"/>
        </w:rPr>
        <w:t>its kind</w:t>
      </w:r>
      <w:r w:rsidR="00A37C1D">
        <w:rPr>
          <w:kern w:val="0"/>
          <w:szCs w:val="24"/>
        </w:rPr>
        <w:t>. The</w:t>
      </w:r>
      <w:r>
        <w:rPr>
          <w:kern w:val="0"/>
          <w:szCs w:val="24"/>
        </w:rPr>
        <w:t xml:space="preserve"> authors do not know if or when it will be possible to again make queries about URLs in webs or, alternatively, in titles. Originality/value - This is the first visual report</w:t>
      </w:r>
      <w:r w:rsidR="00427468">
        <w:rPr>
          <w:kern w:val="0"/>
          <w:szCs w:val="24"/>
        </w:rPr>
        <w:t xml:space="preserve"> of </w:t>
      </w:r>
      <w:r>
        <w:rPr>
          <w:kern w:val="0"/>
          <w:szCs w:val="24"/>
        </w:rPr>
        <w:t>the web structure underlying the countries</w:t>
      </w:r>
      <w:r w:rsidR="005853A9">
        <w:rPr>
          <w:kern w:val="0"/>
          <w:szCs w:val="24"/>
        </w:rPr>
        <w:t xml:space="preserve"> and </w:t>
      </w:r>
      <w:r>
        <w:rPr>
          <w:kern w:val="0"/>
          <w:szCs w:val="24"/>
        </w:rPr>
        <w:t>universities</w:t>
      </w:r>
      <w:r w:rsidR="00427468">
        <w:rPr>
          <w:kern w:val="0"/>
          <w:szCs w:val="24"/>
        </w:rPr>
        <w:t xml:space="preserve"> of </w:t>
      </w:r>
      <w:r>
        <w:rPr>
          <w:kern w:val="0"/>
          <w:szCs w:val="24"/>
        </w:rPr>
        <w:t>the MENA zone. It is also the first time that a country</w:t>
      </w:r>
      <w:r w:rsidR="005853A9">
        <w:rPr>
          <w:kern w:val="0"/>
          <w:szCs w:val="24"/>
        </w:rPr>
        <w:t xml:space="preserve"> and </w:t>
      </w:r>
      <w:r>
        <w:rPr>
          <w:kern w:val="0"/>
          <w:szCs w:val="24"/>
        </w:rPr>
        <w:t>university ranking</w:t>
      </w:r>
      <w:r w:rsidR="00427468">
        <w:rPr>
          <w:kern w:val="0"/>
          <w:szCs w:val="24"/>
        </w:rPr>
        <w:t xml:space="preserve"> of </w:t>
      </w:r>
      <w:r>
        <w:rPr>
          <w:kern w:val="0"/>
          <w:szCs w:val="24"/>
        </w:rPr>
        <w:t>this geopolitical zone has been carried out using network indicators based on web links.</w:t>
      </w:r>
    </w:p>
    <w:p w:rsidR="00754DAB" w:rsidRDefault="00754DAB" w:rsidP="00754DAB">
      <w:pPr>
        <w:pStyle w:val="a3"/>
        <w:rPr>
          <w:kern w:val="0"/>
          <w:szCs w:val="24"/>
        </w:rPr>
      </w:pPr>
      <w:r>
        <w:rPr>
          <w:kern w:val="0"/>
          <w:szCs w:val="24"/>
        </w:rPr>
        <w:t>Keywords: Academic Web, Africa, Analysis, Arab Universities, Article, Authors, Comparison, Countries, Country, Csic, England, First, Google, Higher-Education Area, House, Indicators, Influence, Information, Information Visualization, Institutions, Link Analysis, Maps, Mena, Network, Network Analysis, North, Patterns, Ranking, Rankings, Research, Science, Scientometric, Scimago, Social, Social Network Analysis, Space, Spain, Structure, Techniques, Trends, Universities, University, Visualization, Web, Web Ranking, Webometrics, Websites, Work</w:t>
      </w:r>
    </w:p>
    <w:p w:rsidR="00754DAB" w:rsidRDefault="00754DAB" w:rsidP="00754DAB">
      <w:pPr>
        <w:pStyle w:val="a3"/>
        <w:rPr>
          <w:kern w:val="0"/>
          <w:szCs w:val="24"/>
        </w:rPr>
      </w:pPr>
      <w:r>
        <w:rPr>
          <w:rFonts w:hint="eastAsia"/>
          <w:kern w:val="0"/>
          <w:szCs w:val="24"/>
        </w:rPr>
        <w:t xml:space="preserve">? </w:t>
      </w:r>
      <w:r>
        <w:rPr>
          <w:kern w:val="0"/>
          <w:szCs w:val="24"/>
        </w:rPr>
        <w:t>Cheng, M.Y., Hen, K.W., Tan, H.P.</w:t>
      </w:r>
      <w:r w:rsidR="005853A9">
        <w:rPr>
          <w:kern w:val="0"/>
          <w:szCs w:val="24"/>
        </w:rPr>
        <w:t xml:space="preserve"> and </w:t>
      </w:r>
      <w:r>
        <w:rPr>
          <w:kern w:val="0"/>
          <w:szCs w:val="24"/>
        </w:rPr>
        <w:t>Fok, K.F. (2013), Patterns</w:t>
      </w:r>
      <w:r w:rsidR="00427468">
        <w:rPr>
          <w:kern w:val="0"/>
          <w:szCs w:val="24"/>
        </w:rPr>
        <w:t xml:space="preserve"> of </w:t>
      </w:r>
      <w:r>
        <w:rPr>
          <w:kern w:val="0"/>
          <w:szCs w:val="24"/>
        </w:rPr>
        <w:t>co-authorship</w:t>
      </w:r>
      <w:r w:rsidR="005853A9">
        <w:rPr>
          <w:kern w:val="0"/>
          <w:szCs w:val="24"/>
        </w:rPr>
        <w:t xml:space="preserve"> and </w:t>
      </w:r>
      <w:r>
        <w:rPr>
          <w:kern w:val="0"/>
          <w:szCs w:val="24"/>
        </w:rPr>
        <w:t xml:space="preserve">research collaboration in Malaysia. </w:t>
      </w:r>
      <w:r>
        <w:rPr>
          <w:i/>
          <w:iCs/>
          <w:kern w:val="0"/>
          <w:szCs w:val="24"/>
        </w:rPr>
        <w:t>Aslib Proceedings</w:t>
      </w:r>
      <w:r>
        <w:rPr>
          <w:kern w:val="0"/>
          <w:szCs w:val="24"/>
        </w:rPr>
        <w:t xml:space="preserve">, </w:t>
      </w:r>
      <w:r>
        <w:rPr>
          <w:b/>
          <w:bCs/>
          <w:kern w:val="0"/>
          <w:szCs w:val="24"/>
        </w:rPr>
        <w:t>65</w:t>
      </w:r>
      <w:r>
        <w:rPr>
          <w:kern w:val="0"/>
          <w:szCs w:val="24"/>
        </w:rPr>
        <w:t xml:space="preserve"> (6), 659-674.</w:t>
      </w:r>
    </w:p>
    <w:p w:rsidR="00754DAB" w:rsidRPr="00F219CA" w:rsidRDefault="00754DAB" w:rsidP="00754DAB">
      <w:pPr>
        <w:pStyle w:val="a3"/>
      </w:pPr>
      <w:r w:rsidRPr="00F219CA">
        <w:t xml:space="preserve">Full Text: </w:t>
      </w:r>
      <w:hyperlink r:id="rId1345" w:history="1">
        <w:r w:rsidRPr="00754DAB">
          <w:rPr>
            <w:rStyle w:val="a5"/>
          </w:rPr>
          <w:t>2013\Asl Pro65, 659.pdf</w:t>
        </w:r>
      </w:hyperlink>
    </w:p>
    <w:p w:rsidR="00754DAB" w:rsidRDefault="00754DAB" w:rsidP="00754DAB">
      <w:pPr>
        <w:pStyle w:val="a3"/>
        <w:rPr>
          <w:kern w:val="0"/>
          <w:szCs w:val="24"/>
        </w:rPr>
      </w:pPr>
      <w:r>
        <w:rPr>
          <w:kern w:val="0"/>
          <w:szCs w:val="24"/>
        </w:rPr>
        <w:t>Abstract: Purpose - By exploring the patterns</w:t>
      </w:r>
      <w:r w:rsidR="00427468">
        <w:rPr>
          <w:kern w:val="0"/>
          <w:szCs w:val="24"/>
        </w:rPr>
        <w:t xml:space="preserve"> of </w:t>
      </w:r>
      <w:r>
        <w:rPr>
          <w:kern w:val="0"/>
          <w:szCs w:val="24"/>
        </w:rPr>
        <w:t>co-authorship, this paper aims to identify the degree</w:t>
      </w:r>
      <w:r w:rsidR="005853A9">
        <w:rPr>
          <w:kern w:val="0"/>
          <w:szCs w:val="24"/>
        </w:rPr>
        <w:t xml:space="preserve"> and </w:t>
      </w:r>
      <w:r>
        <w:rPr>
          <w:kern w:val="0"/>
          <w:szCs w:val="24"/>
        </w:rPr>
        <w:t>type</w:t>
      </w:r>
      <w:r w:rsidR="00427468">
        <w:rPr>
          <w:kern w:val="0"/>
          <w:szCs w:val="24"/>
        </w:rPr>
        <w:t xml:space="preserve"> of </w:t>
      </w:r>
      <w:r>
        <w:rPr>
          <w:kern w:val="0"/>
          <w:szCs w:val="24"/>
        </w:rPr>
        <w:t>research collaboration in Malaysia. Design/methodology/approach - A total</w:t>
      </w:r>
      <w:r w:rsidR="00427468">
        <w:rPr>
          <w:kern w:val="0"/>
          <w:szCs w:val="24"/>
        </w:rPr>
        <w:t xml:space="preserve"> of </w:t>
      </w:r>
      <w:r>
        <w:rPr>
          <w:kern w:val="0"/>
          <w:szCs w:val="24"/>
        </w:rPr>
        <w:t>22,244 publication records from five research universities in Malaysia were retrieved from Scopus database. Journal articles published for the period between 2008</w:t>
      </w:r>
      <w:r w:rsidR="005853A9">
        <w:rPr>
          <w:kern w:val="0"/>
          <w:szCs w:val="24"/>
        </w:rPr>
        <w:t xml:space="preserve"> and </w:t>
      </w:r>
      <w:r>
        <w:rPr>
          <w:kern w:val="0"/>
          <w:szCs w:val="24"/>
        </w:rPr>
        <w:t>October 2011 were collected. Indicators such as number</w:t>
      </w:r>
      <w:r w:rsidR="00427468">
        <w:rPr>
          <w:kern w:val="0"/>
          <w:szCs w:val="24"/>
        </w:rPr>
        <w:t xml:space="preserve"> of </w:t>
      </w:r>
      <w:r>
        <w:rPr>
          <w:kern w:val="0"/>
          <w:szCs w:val="24"/>
        </w:rPr>
        <w:t>authors, subject areas, number</w:t>
      </w:r>
      <w:r w:rsidR="00427468">
        <w:rPr>
          <w:kern w:val="0"/>
          <w:szCs w:val="24"/>
        </w:rPr>
        <w:t xml:space="preserve"> of </w:t>
      </w:r>
      <w:r>
        <w:rPr>
          <w:kern w:val="0"/>
          <w:szCs w:val="24"/>
        </w:rPr>
        <w:t>local institutions</w:t>
      </w:r>
      <w:r w:rsidR="005853A9">
        <w:rPr>
          <w:kern w:val="0"/>
          <w:szCs w:val="24"/>
        </w:rPr>
        <w:t xml:space="preserve"> and </w:t>
      </w:r>
      <w:r>
        <w:rPr>
          <w:kern w:val="0"/>
          <w:szCs w:val="24"/>
        </w:rPr>
        <w:t>foreign countries, were analysed using simple statistical tools to identity the degree</w:t>
      </w:r>
      <w:r w:rsidR="005853A9">
        <w:rPr>
          <w:kern w:val="0"/>
          <w:szCs w:val="24"/>
        </w:rPr>
        <w:t xml:space="preserve"> and </w:t>
      </w:r>
      <w:r>
        <w:rPr>
          <w:kern w:val="0"/>
          <w:szCs w:val="24"/>
        </w:rPr>
        <w:t>type</w:t>
      </w:r>
      <w:r w:rsidR="00427468">
        <w:rPr>
          <w:kern w:val="0"/>
          <w:szCs w:val="24"/>
        </w:rPr>
        <w:t xml:space="preserve"> of </w:t>
      </w:r>
      <w:r>
        <w:rPr>
          <w:kern w:val="0"/>
          <w:szCs w:val="24"/>
        </w:rPr>
        <w:t>collaboration. Findings - The findings reveal that in Malaysia, researchers tend to work in teams but collaboration is more dominant in science-based research than social sciences. Academics published extensively with their colleagues from the same university or from other academic institutions, but there is little collaboration with researchers from public research institutes or industry. In terms</w:t>
      </w:r>
      <w:r w:rsidR="00427468">
        <w:rPr>
          <w:kern w:val="0"/>
          <w:szCs w:val="24"/>
        </w:rPr>
        <w:t xml:space="preserve"> of </w:t>
      </w:r>
      <w:r>
        <w:rPr>
          <w:kern w:val="0"/>
          <w:szCs w:val="24"/>
        </w:rPr>
        <w:t>international collaboration, Iran, India</w:t>
      </w:r>
      <w:r w:rsidR="00D5664A">
        <w:rPr>
          <w:kern w:val="0"/>
          <w:szCs w:val="24"/>
        </w:rPr>
        <w:t>, UK,</w:t>
      </w:r>
      <w:r>
        <w:rPr>
          <w:kern w:val="0"/>
          <w:szCs w:val="24"/>
        </w:rPr>
        <w:t xml:space="preserve"> Japan</w:t>
      </w:r>
      <w:r w:rsidR="005853A9">
        <w:rPr>
          <w:kern w:val="0"/>
          <w:szCs w:val="24"/>
        </w:rPr>
        <w:t xml:space="preserve"> and </w:t>
      </w:r>
      <w:r>
        <w:rPr>
          <w:kern w:val="0"/>
          <w:szCs w:val="24"/>
        </w:rPr>
        <w:t xml:space="preserve">the </w:t>
      </w:r>
      <w:r w:rsidR="00D5664A">
        <w:rPr>
          <w:kern w:val="0"/>
          <w:szCs w:val="24"/>
        </w:rPr>
        <w:t>USA</w:t>
      </w:r>
      <w:r>
        <w:rPr>
          <w:kern w:val="0"/>
          <w:szCs w:val="24"/>
        </w:rPr>
        <w:t xml:space="preserve"> are the top five collaborating countries. Disciplines with significant international collaboration are physics</w:t>
      </w:r>
      <w:r w:rsidR="005853A9">
        <w:rPr>
          <w:kern w:val="0"/>
          <w:szCs w:val="24"/>
        </w:rPr>
        <w:t xml:space="preserve"> and </w:t>
      </w:r>
      <w:r>
        <w:rPr>
          <w:kern w:val="0"/>
          <w:szCs w:val="24"/>
        </w:rPr>
        <w:t>astronomy; chemistry; agricultural</w:t>
      </w:r>
      <w:r w:rsidR="005853A9">
        <w:rPr>
          <w:kern w:val="0"/>
          <w:szCs w:val="24"/>
        </w:rPr>
        <w:t xml:space="preserve"> and </w:t>
      </w:r>
      <w:r>
        <w:rPr>
          <w:kern w:val="0"/>
          <w:szCs w:val="24"/>
        </w:rPr>
        <w:t>biological sciences; engineering; health profession</w:t>
      </w:r>
      <w:r w:rsidR="005853A9">
        <w:rPr>
          <w:kern w:val="0"/>
          <w:szCs w:val="24"/>
        </w:rPr>
        <w:t xml:space="preserve"> and </w:t>
      </w:r>
      <w:r>
        <w:rPr>
          <w:kern w:val="0"/>
          <w:szCs w:val="24"/>
        </w:rPr>
        <w:t xml:space="preserve">computer sciences. Originality/value - </w:t>
      </w:r>
      <w:r>
        <w:rPr>
          <w:kern w:val="0"/>
          <w:szCs w:val="24"/>
        </w:rPr>
        <w:lastRenderedPageBreak/>
        <w:t>This paper is among the few that study the patterns</w:t>
      </w:r>
      <w:r w:rsidR="00427468">
        <w:rPr>
          <w:kern w:val="0"/>
          <w:szCs w:val="24"/>
        </w:rPr>
        <w:t xml:space="preserve"> of </w:t>
      </w:r>
      <w:r>
        <w:rPr>
          <w:kern w:val="0"/>
          <w:szCs w:val="24"/>
        </w:rPr>
        <w:t>co-authorship in Malaysia</w:t>
      </w:r>
      <w:r w:rsidR="005853A9">
        <w:rPr>
          <w:kern w:val="0"/>
          <w:szCs w:val="24"/>
        </w:rPr>
        <w:t xml:space="preserve"> and </w:t>
      </w:r>
      <w:r>
        <w:rPr>
          <w:kern w:val="0"/>
          <w:szCs w:val="24"/>
        </w:rPr>
        <w:t>most probably the first to examine the patterns in the Malaysian research universities</w:t>
      </w:r>
      <w:r w:rsidR="00A37C1D">
        <w:rPr>
          <w:kern w:val="0"/>
          <w:szCs w:val="24"/>
        </w:rPr>
        <w:t>. The</w:t>
      </w:r>
      <w:r>
        <w:rPr>
          <w:kern w:val="0"/>
          <w:szCs w:val="24"/>
        </w:rPr>
        <w:t xml:space="preserve"> study highlights the skewed distribution</w:t>
      </w:r>
      <w:r w:rsidR="00427468">
        <w:rPr>
          <w:kern w:val="0"/>
          <w:szCs w:val="24"/>
        </w:rPr>
        <w:t xml:space="preserve"> of </w:t>
      </w:r>
      <w:r>
        <w:rPr>
          <w:kern w:val="0"/>
          <w:szCs w:val="24"/>
        </w:rPr>
        <w:t>co-authorship patterns where there is limited evidence</w:t>
      </w:r>
      <w:r w:rsidR="00427468">
        <w:rPr>
          <w:kern w:val="0"/>
          <w:szCs w:val="24"/>
        </w:rPr>
        <w:t xml:space="preserve"> of </w:t>
      </w:r>
      <w:r>
        <w:rPr>
          <w:kern w:val="0"/>
          <w:szCs w:val="24"/>
        </w:rPr>
        <w:t>cross sectors collaboration in journal publication</w:t>
      </w:r>
      <w:r w:rsidR="00A37C1D">
        <w:rPr>
          <w:kern w:val="0"/>
          <w:szCs w:val="24"/>
        </w:rPr>
        <w:t>. The</w:t>
      </w:r>
      <w:r>
        <w:rPr>
          <w:kern w:val="0"/>
          <w:szCs w:val="24"/>
        </w:rPr>
        <w:t xml:space="preserve"> findings call for policy makers as well as universities to look into the constraints as well as drivers that would enhance the linkage</w:t>
      </w:r>
      <w:r w:rsidR="00427468">
        <w:rPr>
          <w:kern w:val="0"/>
          <w:szCs w:val="24"/>
        </w:rPr>
        <w:t xml:space="preserve"> of </w:t>
      </w:r>
      <w:r>
        <w:rPr>
          <w:kern w:val="0"/>
          <w:szCs w:val="24"/>
        </w:rPr>
        <w:t>different actors in the national research system.</w:t>
      </w:r>
    </w:p>
    <w:p w:rsidR="00754DAB" w:rsidRDefault="00754DAB" w:rsidP="00754DAB">
      <w:pPr>
        <w:pStyle w:val="a3"/>
        <w:rPr>
          <w:kern w:val="0"/>
          <w:szCs w:val="24"/>
        </w:rPr>
      </w:pPr>
      <w:r>
        <w:rPr>
          <w:kern w:val="0"/>
          <w:szCs w:val="24"/>
        </w:rPr>
        <w:t>Keywords: Academic Research, Agricultural, Article, Authors, Bibliometrics, Biological, Biological Sciences, Chemistry, Co-Authorship, Coauthorship, Collaboration, Database, Disciplines, Distribution, Engineering, England, Evidence, First, Health, House, India, Indicators, Information, Institutions, International, International Collaboration, Iran, Japan, Joint Authorship, Journal, Journal Articles, Linkage, Local, Malaysia, Management, Policy, Profession, Public, Public Research Institutes, Publication, Records, Research, Research Collaboration, Science, Sciences, Scientific Collaboration, Scopus, Scopus Database, Social, Social Sciences</w:t>
      </w:r>
      <w:r w:rsidR="00D5664A">
        <w:rPr>
          <w:kern w:val="0"/>
          <w:szCs w:val="24"/>
        </w:rPr>
        <w:t>, UK,</w:t>
      </w:r>
      <w:r>
        <w:rPr>
          <w:kern w:val="0"/>
          <w:szCs w:val="24"/>
        </w:rPr>
        <w:t xml:space="preserve"> Universities, University, </w:t>
      </w:r>
      <w:r w:rsidR="00D5664A">
        <w:rPr>
          <w:kern w:val="0"/>
          <w:szCs w:val="24"/>
        </w:rPr>
        <w:t>USA</w:t>
      </w:r>
      <w:r>
        <w:rPr>
          <w:kern w:val="0"/>
          <w:szCs w:val="24"/>
        </w:rPr>
        <w:t>, Visibility, Work</w:t>
      </w:r>
    </w:p>
    <w:p w:rsidR="0036536E" w:rsidRPr="001A3D2B" w:rsidRDefault="0036536E" w:rsidP="0036536E">
      <w:pPr>
        <w:pStyle w:val="1"/>
      </w:pPr>
      <w:r w:rsidRPr="001A3D2B">
        <w:br w:type="page"/>
      </w:r>
      <w:bookmarkStart w:id="667" w:name="_Toc420814644"/>
      <w:r w:rsidRPr="001A3D2B">
        <w:lastRenderedPageBreak/>
        <w:t xml:space="preserve">Title: </w:t>
      </w:r>
      <w:r>
        <w:t>ASM News</w:t>
      </w:r>
      <w:bookmarkEnd w:id="667"/>
    </w:p>
    <w:p w:rsidR="0036536E" w:rsidRPr="001A3D2B" w:rsidRDefault="0036536E" w:rsidP="0036536E">
      <w:pPr>
        <w:pStyle w:val="12"/>
      </w:pPr>
      <w:r w:rsidRPr="001A3D2B">
        <w:t xml:space="preserve">Full Journal Title: </w:t>
      </w:r>
      <w:r>
        <w:t>ASM News</w:t>
      </w:r>
    </w:p>
    <w:p w:rsidR="0036536E" w:rsidRPr="001A3D2B" w:rsidRDefault="0036536E" w:rsidP="0036536E">
      <w:pPr>
        <w:pStyle w:val="12"/>
      </w:pPr>
      <w:r w:rsidRPr="001A3D2B">
        <w:t xml:space="preserve">ISO Abbreviated Title: </w:t>
      </w:r>
    </w:p>
    <w:p w:rsidR="0036536E" w:rsidRPr="001A3D2B" w:rsidRDefault="0036536E" w:rsidP="0036536E">
      <w:pPr>
        <w:pStyle w:val="12"/>
      </w:pPr>
      <w:r w:rsidRPr="001A3D2B">
        <w:t xml:space="preserve">JCR Abbreviated Title: </w:t>
      </w:r>
    </w:p>
    <w:p w:rsidR="0036536E" w:rsidRPr="001A3D2B" w:rsidRDefault="0036536E" w:rsidP="0036536E">
      <w:pPr>
        <w:pStyle w:val="12"/>
      </w:pPr>
      <w:r w:rsidRPr="001A3D2B">
        <w:t xml:space="preserve">ISSN: </w:t>
      </w:r>
    </w:p>
    <w:p w:rsidR="0036536E" w:rsidRPr="001A3D2B" w:rsidRDefault="0036536E" w:rsidP="0036536E">
      <w:pPr>
        <w:pStyle w:val="12"/>
      </w:pPr>
      <w:r w:rsidRPr="001A3D2B">
        <w:t xml:space="preserve">Issues/Year: </w:t>
      </w:r>
    </w:p>
    <w:p w:rsidR="0036536E" w:rsidRPr="001A3D2B" w:rsidRDefault="0036536E" w:rsidP="0036536E">
      <w:pPr>
        <w:pStyle w:val="12"/>
      </w:pPr>
      <w:r w:rsidRPr="001A3D2B">
        <w:t xml:space="preserve">Journal Country/Territory: </w:t>
      </w:r>
    </w:p>
    <w:p w:rsidR="0036536E" w:rsidRPr="001A3D2B" w:rsidRDefault="0036536E" w:rsidP="0036536E">
      <w:pPr>
        <w:pStyle w:val="12"/>
      </w:pPr>
      <w:r w:rsidRPr="001A3D2B">
        <w:t xml:space="preserve">Language: </w:t>
      </w:r>
    </w:p>
    <w:p w:rsidR="0036536E" w:rsidRPr="001A3D2B" w:rsidRDefault="0036536E" w:rsidP="0036536E">
      <w:pPr>
        <w:pStyle w:val="12"/>
      </w:pPr>
      <w:r w:rsidRPr="001A3D2B">
        <w:t xml:space="preserve">Publisher: </w:t>
      </w:r>
    </w:p>
    <w:p w:rsidR="0036536E" w:rsidRPr="001A3D2B" w:rsidRDefault="0036536E" w:rsidP="0036536E">
      <w:pPr>
        <w:pStyle w:val="12"/>
      </w:pPr>
      <w:r w:rsidRPr="001A3D2B">
        <w:t xml:space="preserve">Publisher Address: </w:t>
      </w:r>
    </w:p>
    <w:p w:rsidR="0036536E" w:rsidRPr="001A3D2B" w:rsidRDefault="0036536E" w:rsidP="0036536E">
      <w:pPr>
        <w:pStyle w:val="12"/>
      </w:pPr>
      <w:r w:rsidRPr="001A3D2B">
        <w:t xml:space="preserve">Subject Categories: </w:t>
      </w:r>
    </w:p>
    <w:p w:rsidR="0036536E" w:rsidRPr="001A3D2B" w:rsidRDefault="0036536E" w:rsidP="0036536E">
      <w:pPr>
        <w:pStyle w:val="12"/>
      </w:pPr>
      <w:r w:rsidRPr="001A3D2B">
        <w:t xml:space="preserve">: Impact Factor </w:t>
      </w:r>
    </w:p>
    <w:p w:rsidR="0036536E" w:rsidRDefault="0036536E" w:rsidP="0036536E">
      <w:pPr>
        <w:pStyle w:val="a3"/>
        <w:rPr>
          <w:kern w:val="0"/>
          <w:szCs w:val="24"/>
        </w:rPr>
      </w:pPr>
      <w:r>
        <w:rPr>
          <w:rFonts w:hint="eastAsia"/>
          <w:kern w:val="0"/>
          <w:szCs w:val="24"/>
        </w:rPr>
        <w:t xml:space="preserve">? </w:t>
      </w:r>
      <w:r>
        <w:t>Bradley, S</w:t>
      </w:r>
      <w:r>
        <w:rPr>
          <w:rFonts w:hint="eastAsia"/>
        </w:rPr>
        <w:t>.</w:t>
      </w:r>
      <w:r>
        <w:t>G</w:t>
      </w:r>
      <w:r>
        <w:rPr>
          <w:rFonts w:hint="eastAsia"/>
        </w:rPr>
        <w:t>.</w:t>
      </w:r>
      <w:r>
        <w:rPr>
          <w:kern w:val="0"/>
          <w:szCs w:val="24"/>
        </w:rPr>
        <w:t xml:space="preserve"> (20</w:t>
      </w:r>
      <w:r>
        <w:rPr>
          <w:rFonts w:hint="eastAsia"/>
          <w:kern w:val="0"/>
          <w:szCs w:val="24"/>
        </w:rPr>
        <w:t>05</w:t>
      </w:r>
      <w:r>
        <w:rPr>
          <w:kern w:val="0"/>
          <w:szCs w:val="24"/>
        </w:rPr>
        <w:t xml:space="preserve">), </w:t>
      </w:r>
      <w:r>
        <w:t>Scientists behaving badly</w:t>
      </w:r>
      <w:r>
        <w:rPr>
          <w:kern w:val="0"/>
          <w:szCs w:val="24"/>
        </w:rPr>
        <w:t xml:space="preserve">. </w:t>
      </w:r>
      <w:r w:rsidRPr="0036536E">
        <w:rPr>
          <w:i/>
        </w:rPr>
        <w:t>ASM News</w:t>
      </w:r>
      <w:r>
        <w:rPr>
          <w:kern w:val="0"/>
          <w:szCs w:val="24"/>
        </w:rPr>
        <w:t xml:space="preserve">, </w:t>
      </w:r>
      <w:r>
        <w:rPr>
          <w:rFonts w:hint="eastAsia"/>
          <w:b/>
          <w:bCs/>
          <w:kern w:val="0"/>
          <w:szCs w:val="24"/>
        </w:rPr>
        <w:t>71</w:t>
      </w:r>
      <w:r>
        <w:rPr>
          <w:kern w:val="0"/>
          <w:szCs w:val="24"/>
        </w:rPr>
        <w:t xml:space="preserve"> (</w:t>
      </w:r>
      <w:r>
        <w:rPr>
          <w:rFonts w:hint="eastAsia"/>
          <w:kern w:val="0"/>
          <w:szCs w:val="24"/>
        </w:rPr>
        <w:t>8</w:t>
      </w:r>
      <w:r>
        <w:rPr>
          <w:kern w:val="0"/>
          <w:szCs w:val="24"/>
        </w:rPr>
        <w:t xml:space="preserve">), </w:t>
      </w:r>
      <w:r>
        <w:t>347</w:t>
      </w:r>
      <w:r>
        <w:rPr>
          <w:kern w:val="0"/>
          <w:szCs w:val="24"/>
        </w:rPr>
        <w:t>.</w:t>
      </w:r>
    </w:p>
    <w:p w:rsidR="0036536E" w:rsidRDefault="0036536E" w:rsidP="0036536E">
      <w:pPr>
        <w:pStyle w:val="a3"/>
      </w:pPr>
      <w:r w:rsidRPr="00F219CA">
        <w:t xml:space="preserve">Full Text: </w:t>
      </w:r>
      <w:r w:rsidRPr="0036536E">
        <w:t>20</w:t>
      </w:r>
      <w:r>
        <w:rPr>
          <w:rFonts w:hint="eastAsia"/>
        </w:rPr>
        <w:t>05</w:t>
      </w:r>
      <w:r w:rsidRPr="0036536E">
        <w:t>\</w:t>
      </w:r>
      <w:r>
        <w:rPr>
          <w:rFonts w:hint="eastAsia"/>
        </w:rPr>
        <w:t>ASM New71</w:t>
      </w:r>
      <w:r w:rsidRPr="0036536E">
        <w:t xml:space="preserve">, </w:t>
      </w:r>
      <w:r>
        <w:t>347</w:t>
      </w:r>
      <w:r w:rsidRPr="0036536E">
        <w:t>.pdf</w:t>
      </w:r>
    </w:p>
    <w:p w:rsidR="00B26566" w:rsidRPr="001A3D2B" w:rsidRDefault="00B26566" w:rsidP="00B26566">
      <w:pPr>
        <w:pStyle w:val="1"/>
      </w:pPr>
      <w:r w:rsidRPr="001A3D2B">
        <w:br w:type="page"/>
      </w:r>
      <w:bookmarkStart w:id="668" w:name="_Toc420814645"/>
      <w:r w:rsidRPr="001A3D2B">
        <w:lastRenderedPageBreak/>
        <w:t>Title: Assessment</w:t>
      </w:r>
      <w:bookmarkEnd w:id="668"/>
    </w:p>
    <w:p w:rsidR="00B26566" w:rsidRPr="001A3D2B" w:rsidRDefault="00B26566" w:rsidP="00B26566">
      <w:pPr>
        <w:pStyle w:val="12"/>
      </w:pPr>
      <w:r w:rsidRPr="001A3D2B">
        <w:t xml:space="preserve">Full Journal Title: </w:t>
      </w:r>
      <w:r w:rsidRPr="001A3D2B">
        <w:rPr>
          <w:kern w:val="0"/>
        </w:rPr>
        <w:t>Assessment</w:t>
      </w:r>
    </w:p>
    <w:p w:rsidR="00B26566" w:rsidRPr="001A3D2B" w:rsidRDefault="00B26566" w:rsidP="00B26566">
      <w:pPr>
        <w:pStyle w:val="12"/>
      </w:pPr>
      <w:r w:rsidRPr="001A3D2B">
        <w:t xml:space="preserve">ISO Abbreviated Title: </w:t>
      </w:r>
      <w:r w:rsidR="0036536E" w:rsidRPr="001A3D2B">
        <w:rPr>
          <w:kern w:val="0"/>
        </w:rPr>
        <w:t>Assessment</w:t>
      </w:r>
    </w:p>
    <w:p w:rsidR="00B26566" w:rsidRPr="001A3D2B" w:rsidRDefault="00B26566" w:rsidP="00B26566">
      <w:pPr>
        <w:pStyle w:val="12"/>
      </w:pPr>
      <w:r w:rsidRPr="001A3D2B">
        <w:t xml:space="preserve">JCR Abbreviated Title: </w:t>
      </w:r>
      <w:r w:rsidR="0036536E" w:rsidRPr="001A3D2B">
        <w:rPr>
          <w:kern w:val="0"/>
        </w:rPr>
        <w:t>Assessment</w:t>
      </w:r>
    </w:p>
    <w:p w:rsidR="00B26566" w:rsidRPr="001A3D2B" w:rsidRDefault="00B26566" w:rsidP="00B26566">
      <w:pPr>
        <w:pStyle w:val="12"/>
      </w:pPr>
      <w:r w:rsidRPr="001A3D2B">
        <w:t xml:space="preserve">ISSN: </w:t>
      </w:r>
    </w:p>
    <w:p w:rsidR="00B26566" w:rsidRPr="001A3D2B" w:rsidRDefault="00B26566" w:rsidP="00B26566">
      <w:pPr>
        <w:pStyle w:val="12"/>
      </w:pPr>
      <w:r w:rsidRPr="001A3D2B">
        <w:t xml:space="preserve">Issues/Year: </w:t>
      </w:r>
    </w:p>
    <w:p w:rsidR="00B26566" w:rsidRPr="001A3D2B" w:rsidRDefault="00AA25A4" w:rsidP="00B26566">
      <w:pPr>
        <w:pStyle w:val="12"/>
      </w:pPr>
      <w:r w:rsidRPr="001A3D2B">
        <w:t>Journal Country/Territory:</w:t>
      </w:r>
      <w:r w:rsidR="00B26566" w:rsidRPr="001A3D2B">
        <w:t xml:space="preserve"> </w:t>
      </w:r>
    </w:p>
    <w:p w:rsidR="00B26566" w:rsidRPr="001A3D2B" w:rsidRDefault="00B26566" w:rsidP="00B26566">
      <w:pPr>
        <w:pStyle w:val="12"/>
      </w:pPr>
      <w:r w:rsidRPr="001A3D2B">
        <w:t xml:space="preserve">Language: </w:t>
      </w:r>
    </w:p>
    <w:p w:rsidR="00B26566" w:rsidRPr="001A3D2B" w:rsidRDefault="00B26566" w:rsidP="00B26566">
      <w:pPr>
        <w:pStyle w:val="12"/>
      </w:pPr>
      <w:r w:rsidRPr="001A3D2B">
        <w:t xml:space="preserve">Publisher: </w:t>
      </w:r>
    </w:p>
    <w:p w:rsidR="00B26566" w:rsidRPr="001A3D2B" w:rsidRDefault="00B26566" w:rsidP="00B26566">
      <w:pPr>
        <w:pStyle w:val="12"/>
      </w:pPr>
      <w:r w:rsidRPr="001A3D2B">
        <w:t xml:space="preserve">Publisher Address: </w:t>
      </w:r>
    </w:p>
    <w:p w:rsidR="00B26566" w:rsidRPr="001A3D2B" w:rsidRDefault="00B26566" w:rsidP="00B26566">
      <w:pPr>
        <w:pStyle w:val="12"/>
      </w:pPr>
      <w:r w:rsidRPr="001A3D2B">
        <w:t xml:space="preserve">Subject Categories: </w:t>
      </w:r>
    </w:p>
    <w:p w:rsidR="00B26566" w:rsidRPr="001A3D2B" w:rsidRDefault="00B26566" w:rsidP="00B26566">
      <w:pPr>
        <w:pStyle w:val="12"/>
      </w:pPr>
      <w:r w:rsidRPr="001A3D2B">
        <w:t xml:space="preserve">: Impact Factor </w:t>
      </w:r>
    </w:p>
    <w:p w:rsidR="00B26566" w:rsidRDefault="00B26566" w:rsidP="00B26566">
      <w:pPr>
        <w:pStyle w:val="a3"/>
        <w:rPr>
          <w:kern w:val="0"/>
        </w:rPr>
      </w:pPr>
      <w:r w:rsidRPr="001A3D2B">
        <w:rPr>
          <w:kern w:val="0"/>
        </w:rPr>
        <w:t>? Blashfield, R.K.</w:t>
      </w:r>
      <w:r w:rsidR="005853A9">
        <w:rPr>
          <w:kern w:val="0"/>
        </w:rPr>
        <w:t xml:space="preserve"> and </w:t>
      </w:r>
      <w:r w:rsidRPr="001A3D2B">
        <w:rPr>
          <w:kern w:val="0"/>
        </w:rPr>
        <w:t>Archer, G. (2001), A comparative view</w:t>
      </w:r>
      <w:r w:rsidR="00427468">
        <w:rPr>
          <w:kern w:val="0"/>
        </w:rPr>
        <w:t xml:space="preserve"> of </w:t>
      </w:r>
      <w:r w:rsidR="003A1917">
        <w:rPr>
          <w:kern w:val="0"/>
        </w:rPr>
        <w:t xml:space="preserve">the </w:t>
      </w:r>
      <w:r w:rsidRPr="001A3D2B">
        <w:rPr>
          <w:kern w:val="0"/>
        </w:rPr>
        <w:t xml:space="preserve">new joural: </w:t>
      </w:r>
      <w:r w:rsidRPr="001A3D2B">
        <w:rPr>
          <w:i/>
          <w:iCs/>
          <w:kern w:val="0"/>
        </w:rPr>
        <w:t>Assessment</w:t>
      </w:r>
      <w:r w:rsidRPr="001A3D2B">
        <w:rPr>
          <w:kern w:val="0"/>
        </w:rPr>
        <w:t xml:space="preserve">. </w:t>
      </w:r>
      <w:r w:rsidRPr="001A3D2B">
        <w:rPr>
          <w:i/>
          <w:iCs/>
          <w:kern w:val="0"/>
        </w:rPr>
        <w:t>Assessment</w:t>
      </w:r>
      <w:r w:rsidRPr="001A3D2B">
        <w:rPr>
          <w:kern w:val="0"/>
        </w:rPr>
        <w:t xml:space="preserve">, </w:t>
      </w:r>
      <w:r w:rsidRPr="001A3D2B">
        <w:rPr>
          <w:b/>
          <w:bCs/>
          <w:kern w:val="0"/>
        </w:rPr>
        <w:t>8</w:t>
      </w:r>
      <w:r w:rsidRPr="001A3D2B">
        <w:rPr>
          <w:kern w:val="0"/>
        </w:rPr>
        <w:t xml:space="preserve"> (3), 339-350.</w:t>
      </w:r>
    </w:p>
    <w:p w:rsidR="000867C4" w:rsidRPr="001A3D2B" w:rsidRDefault="000867C4" w:rsidP="00B26566">
      <w:pPr>
        <w:pStyle w:val="a3"/>
        <w:rPr>
          <w:kern w:val="0"/>
        </w:rPr>
      </w:pPr>
      <w:r>
        <w:rPr>
          <w:rFonts w:hint="eastAsia"/>
          <w:kern w:val="0"/>
        </w:rPr>
        <w:t xml:space="preserve">Full Text: </w:t>
      </w:r>
      <w:hyperlink r:id="rId1346" w:history="1">
        <w:r w:rsidRPr="000867C4">
          <w:rPr>
            <w:rStyle w:val="a5"/>
            <w:kern w:val="0"/>
          </w:rPr>
          <w:t>2001\Assessment8, 339.pdf</w:t>
        </w:r>
      </w:hyperlink>
    </w:p>
    <w:p w:rsidR="00B26566" w:rsidRPr="001A3D2B" w:rsidRDefault="00B26566" w:rsidP="00B26566">
      <w:pPr>
        <w:pStyle w:val="a3"/>
        <w:rPr>
          <w:kern w:val="0"/>
        </w:rPr>
      </w:pPr>
      <w:r w:rsidRPr="001A3D2B">
        <w:rPr>
          <w:kern w:val="0"/>
        </w:rPr>
        <w:t>Abstract:</w:t>
      </w:r>
      <w:r w:rsidR="003A1917">
        <w:rPr>
          <w:kern w:val="0"/>
        </w:rPr>
        <w:t xml:space="preserve"> the </w:t>
      </w:r>
      <w:r w:rsidRPr="001A3D2B">
        <w:rPr>
          <w:kern w:val="0"/>
        </w:rPr>
        <w:t>reference sections from all articles in</w:t>
      </w:r>
      <w:r w:rsidR="003A1917">
        <w:rPr>
          <w:kern w:val="0"/>
        </w:rPr>
        <w:t xml:space="preserve"> the </w:t>
      </w:r>
      <w:r w:rsidRPr="001A3D2B">
        <w:rPr>
          <w:kern w:val="0"/>
        </w:rPr>
        <w:t>1997 volumes</w:t>
      </w:r>
      <w:r w:rsidR="00427468">
        <w:rPr>
          <w:kern w:val="0"/>
        </w:rPr>
        <w:t xml:space="preserve"> of </w:t>
      </w:r>
      <w:r w:rsidRPr="001A3D2B">
        <w:rPr>
          <w:kern w:val="0"/>
        </w:rPr>
        <w:t>Assessment, Journal</w:t>
      </w:r>
      <w:r w:rsidR="00427468">
        <w:rPr>
          <w:kern w:val="0"/>
        </w:rPr>
        <w:t xml:space="preserve"> of </w:t>
      </w:r>
      <w:r w:rsidRPr="001A3D2B">
        <w:rPr>
          <w:kern w:val="0"/>
        </w:rPr>
        <w:t>Personality Assessment,</w:t>
      </w:r>
      <w:r w:rsidR="005853A9">
        <w:rPr>
          <w:kern w:val="0"/>
        </w:rPr>
        <w:t xml:space="preserve"> and </w:t>
      </w:r>
      <w:r w:rsidRPr="001A3D2B">
        <w:rPr>
          <w:kern w:val="0"/>
        </w:rPr>
        <w:t>Psychological Assessment were entered into a database</w:t>
      </w:r>
      <w:r w:rsidR="005853A9">
        <w:rPr>
          <w:kern w:val="0"/>
        </w:rPr>
        <w:t xml:space="preserve"> and </w:t>
      </w:r>
      <w:r w:rsidRPr="001A3D2B">
        <w:rPr>
          <w:kern w:val="0"/>
        </w:rPr>
        <w:t>analyzed. An article published in Assessment averaged almost 31 references. An article published in journal</w:t>
      </w:r>
      <w:r w:rsidR="00427468">
        <w:rPr>
          <w:kern w:val="0"/>
        </w:rPr>
        <w:t xml:space="preserve"> of </w:t>
      </w:r>
      <w:r w:rsidRPr="001A3D2B">
        <w:rPr>
          <w:kern w:val="0"/>
        </w:rPr>
        <w:t>Personality Assessment contained an average</w:t>
      </w:r>
      <w:r w:rsidR="00427468">
        <w:rPr>
          <w:kern w:val="0"/>
        </w:rPr>
        <w:t xml:space="preserve"> of </w:t>
      </w:r>
      <w:r w:rsidRPr="001A3D2B">
        <w:rPr>
          <w:kern w:val="0"/>
        </w:rPr>
        <w:t>33 references. Psychological Assessment averaged 38 references per article</w:t>
      </w:r>
      <w:r w:rsidR="00A37C1D">
        <w:rPr>
          <w:kern w:val="0"/>
        </w:rPr>
        <w:t>. The</w:t>
      </w:r>
      <w:r w:rsidR="003A1917">
        <w:rPr>
          <w:kern w:val="0"/>
        </w:rPr>
        <w:t xml:space="preserve"> </w:t>
      </w:r>
      <w:r w:rsidRPr="001A3D2B">
        <w:rPr>
          <w:kern w:val="0"/>
        </w:rPr>
        <w:t>median age</w:t>
      </w:r>
      <w:r w:rsidR="00427468">
        <w:rPr>
          <w:kern w:val="0"/>
        </w:rPr>
        <w:t xml:space="preserve"> of </w:t>
      </w:r>
      <w:r w:rsidR="003A1917">
        <w:rPr>
          <w:kern w:val="0"/>
        </w:rPr>
        <w:t xml:space="preserve">the </w:t>
      </w:r>
      <w:r w:rsidRPr="001A3D2B">
        <w:rPr>
          <w:kern w:val="0"/>
        </w:rPr>
        <w:t>references in</w:t>
      </w:r>
      <w:r w:rsidR="003A1917">
        <w:rPr>
          <w:kern w:val="0"/>
        </w:rPr>
        <w:t xml:space="preserve"> the </w:t>
      </w:r>
      <w:r w:rsidRPr="001A3D2B">
        <w:rPr>
          <w:kern w:val="0"/>
        </w:rPr>
        <w:t>three journals was 8 years with an interquartile range</w:t>
      </w:r>
      <w:r w:rsidR="00427468">
        <w:rPr>
          <w:kern w:val="0"/>
        </w:rPr>
        <w:t xml:space="preserve"> of </w:t>
      </w:r>
      <w:r w:rsidRPr="001A3D2B">
        <w:rPr>
          <w:kern w:val="0"/>
        </w:rPr>
        <w:t>4 to 14 years</w:t>
      </w:r>
      <w:r w:rsidR="00A37C1D">
        <w:rPr>
          <w:kern w:val="0"/>
        </w:rPr>
        <w:t>. The</w:t>
      </w:r>
      <w:r w:rsidR="003A1917">
        <w:rPr>
          <w:kern w:val="0"/>
        </w:rPr>
        <w:t xml:space="preserve"> </w:t>
      </w:r>
      <w:r w:rsidRPr="001A3D2B">
        <w:rPr>
          <w:kern w:val="0"/>
        </w:rPr>
        <w:t>Journal</w:t>
      </w:r>
      <w:r w:rsidR="00427468">
        <w:rPr>
          <w:kern w:val="0"/>
        </w:rPr>
        <w:t xml:space="preserve"> of </w:t>
      </w:r>
      <w:r w:rsidRPr="001A3D2B">
        <w:rPr>
          <w:kern w:val="0"/>
        </w:rPr>
        <w:t>Personality Assessment had</w:t>
      </w:r>
      <w:r w:rsidR="003A1917">
        <w:rPr>
          <w:kern w:val="0"/>
        </w:rPr>
        <w:t xml:space="preserve"> the </w:t>
      </w:r>
      <w:r w:rsidRPr="001A3D2B">
        <w:rPr>
          <w:kern w:val="0"/>
        </w:rPr>
        <w:t>largest number</w:t>
      </w:r>
      <w:r w:rsidR="00427468">
        <w:rPr>
          <w:kern w:val="0"/>
        </w:rPr>
        <w:t xml:space="preserve"> of </w:t>
      </w:r>
      <w:r w:rsidRPr="001A3D2B">
        <w:rPr>
          <w:kern w:val="0"/>
        </w:rPr>
        <w:t>citations in this database</w:t>
      </w:r>
      <w:r w:rsidR="00427468">
        <w:rPr>
          <w:kern w:val="0"/>
        </w:rPr>
        <w:t xml:space="preserve"> of </w:t>
      </w:r>
      <w:r w:rsidRPr="001A3D2B">
        <w:rPr>
          <w:kern w:val="0"/>
        </w:rPr>
        <w:t>5,316 references. Each</w:t>
      </w:r>
      <w:r w:rsidR="00427468">
        <w:rPr>
          <w:kern w:val="0"/>
        </w:rPr>
        <w:t xml:space="preserve"> of </w:t>
      </w:r>
      <w:r w:rsidRPr="001A3D2B">
        <w:rPr>
          <w:kern w:val="0"/>
        </w:rPr>
        <w:t>these received a relatively large number</w:t>
      </w:r>
      <w:r w:rsidR="00427468">
        <w:rPr>
          <w:kern w:val="0"/>
        </w:rPr>
        <w:t xml:space="preserve"> of </w:t>
      </w:r>
      <w:r w:rsidRPr="001A3D2B">
        <w:rPr>
          <w:kern w:val="0"/>
        </w:rPr>
        <w:t>their citations from articles published in</w:t>
      </w:r>
      <w:r w:rsidR="003A1917">
        <w:rPr>
          <w:kern w:val="0"/>
        </w:rPr>
        <w:t xml:space="preserve"> the </w:t>
      </w:r>
      <w:r w:rsidRPr="001A3D2B">
        <w:rPr>
          <w:kern w:val="0"/>
        </w:rPr>
        <w:t>same journal (self-citations). Randomly selected articles from</w:t>
      </w:r>
      <w:r w:rsidR="003A1917">
        <w:rPr>
          <w:kern w:val="0"/>
        </w:rPr>
        <w:t xml:space="preserve"> the </w:t>
      </w:r>
      <w:r w:rsidRPr="001A3D2B">
        <w:rPr>
          <w:kern w:val="0"/>
        </w:rPr>
        <w:t>1997 volume</w:t>
      </w:r>
      <w:r w:rsidR="00427468">
        <w:rPr>
          <w:kern w:val="0"/>
        </w:rPr>
        <w:t xml:space="preserve"> of </w:t>
      </w:r>
      <w:r w:rsidRPr="001A3D2B">
        <w:rPr>
          <w:kern w:val="0"/>
        </w:rPr>
        <w:t>Assessment received fewer citations in</w:t>
      </w:r>
      <w:r w:rsidR="003A1917">
        <w:rPr>
          <w:kern w:val="0"/>
        </w:rPr>
        <w:t xml:space="preserve"> the </w:t>
      </w:r>
      <w:r w:rsidRPr="001A3D2B">
        <w:rPr>
          <w:kern w:val="0"/>
        </w:rPr>
        <w:t>Social Science Citation Index than a similar set</w:t>
      </w:r>
      <w:r w:rsidR="00427468">
        <w:rPr>
          <w:kern w:val="0"/>
        </w:rPr>
        <w:t xml:space="preserve"> of </w:t>
      </w:r>
      <w:r w:rsidRPr="001A3D2B">
        <w:rPr>
          <w:kern w:val="0"/>
        </w:rPr>
        <w:t>articles from</w:t>
      </w:r>
      <w:r w:rsidR="003A1917">
        <w:rPr>
          <w:kern w:val="0"/>
        </w:rPr>
        <w:t xml:space="preserve"> the </w:t>
      </w:r>
      <w:r w:rsidRPr="001A3D2B">
        <w:rPr>
          <w:kern w:val="0"/>
        </w:rPr>
        <w:t>other two journals. However,</w:t>
      </w:r>
      <w:r w:rsidR="003A1917">
        <w:rPr>
          <w:kern w:val="0"/>
        </w:rPr>
        <w:t xml:space="preserve"> the </w:t>
      </w:r>
      <w:r w:rsidRPr="001A3D2B">
        <w:rPr>
          <w:kern w:val="0"/>
        </w:rPr>
        <w:t>data on Assessment, when compared with data available on other new scientific publications, suggests that Assessment is doing as well as other fledgling journals.</w:t>
      </w:r>
    </w:p>
    <w:p w:rsidR="00B26566" w:rsidRPr="001A3D2B" w:rsidRDefault="00B26566" w:rsidP="00B26566">
      <w:pPr>
        <w:pStyle w:val="a3"/>
        <w:rPr>
          <w:kern w:val="0"/>
        </w:rPr>
      </w:pPr>
      <w:r w:rsidRPr="001A3D2B">
        <w:rPr>
          <w:kern w:val="0"/>
        </w:rPr>
        <w:t>Keywords: Citation Analysis, Co-Authorship Patterns, Psychological Testing, References, Scientific Journals</w:t>
      </w:r>
    </w:p>
    <w:p w:rsidR="003C7A83" w:rsidRPr="00F219CA" w:rsidRDefault="003C7A83" w:rsidP="003C7A83">
      <w:pPr>
        <w:pStyle w:val="1"/>
      </w:pPr>
      <w:r w:rsidRPr="00F219CA">
        <w:br w:type="page"/>
      </w:r>
      <w:bookmarkStart w:id="669" w:name="_Toc420814646"/>
      <w:r w:rsidRPr="00F219CA">
        <w:lastRenderedPageBreak/>
        <w:t xml:space="preserve">Title: </w:t>
      </w:r>
      <w:r w:rsidRPr="002371BC">
        <w:rPr>
          <w:iCs w:val="0"/>
          <w:szCs w:val="24"/>
        </w:rPr>
        <w:t>Assessment &amp; Evaluation in Higher Education</w:t>
      </w:r>
      <w:bookmarkEnd w:id="669"/>
    </w:p>
    <w:p w:rsidR="003C7A83" w:rsidRPr="00F219CA" w:rsidRDefault="003C7A83" w:rsidP="003C7A83">
      <w:pPr>
        <w:pStyle w:val="12"/>
      </w:pPr>
      <w:r w:rsidRPr="00F219CA">
        <w:t xml:space="preserve">Full Journal Title: </w:t>
      </w:r>
      <w:r w:rsidRPr="002371BC">
        <w:rPr>
          <w:iCs/>
          <w:kern w:val="0"/>
        </w:rPr>
        <w:t>Assessment &amp; Evaluation in Higher Education</w:t>
      </w:r>
    </w:p>
    <w:p w:rsidR="003C7A83" w:rsidRPr="00F219CA" w:rsidRDefault="003C7A83" w:rsidP="003C7A83">
      <w:pPr>
        <w:pStyle w:val="12"/>
      </w:pPr>
      <w:r w:rsidRPr="00F219CA">
        <w:t xml:space="preserve">ISO Abbreviated Title: </w:t>
      </w:r>
    </w:p>
    <w:p w:rsidR="003C7A83" w:rsidRPr="00F219CA" w:rsidRDefault="003C7A83" w:rsidP="003C7A83">
      <w:pPr>
        <w:pStyle w:val="12"/>
      </w:pPr>
      <w:r w:rsidRPr="00F219CA">
        <w:t xml:space="preserve">JCR Abbreviated Title: </w:t>
      </w:r>
    </w:p>
    <w:p w:rsidR="003C7A83" w:rsidRPr="00F219CA" w:rsidRDefault="003C7A83" w:rsidP="003C7A83">
      <w:pPr>
        <w:pStyle w:val="12"/>
      </w:pPr>
      <w:r w:rsidRPr="00F219CA">
        <w:t xml:space="preserve">ISSN: </w:t>
      </w:r>
    </w:p>
    <w:p w:rsidR="003C7A83" w:rsidRPr="00F219CA" w:rsidRDefault="003C7A83" w:rsidP="003C7A83">
      <w:pPr>
        <w:pStyle w:val="12"/>
      </w:pPr>
      <w:r w:rsidRPr="00F219CA">
        <w:t xml:space="preserve">Issues/Year: </w:t>
      </w:r>
    </w:p>
    <w:p w:rsidR="003C7A83" w:rsidRPr="00F219CA" w:rsidRDefault="003C7A83" w:rsidP="003C7A83">
      <w:pPr>
        <w:pStyle w:val="12"/>
      </w:pPr>
      <w:r w:rsidRPr="00F219CA">
        <w:t xml:space="preserve">Journal Country/Territory: </w:t>
      </w:r>
    </w:p>
    <w:p w:rsidR="003C7A83" w:rsidRPr="00F219CA" w:rsidRDefault="003C7A83" w:rsidP="003C7A83">
      <w:pPr>
        <w:pStyle w:val="12"/>
      </w:pPr>
      <w:r w:rsidRPr="00F219CA">
        <w:t xml:space="preserve">Language: </w:t>
      </w:r>
    </w:p>
    <w:p w:rsidR="003C7A83" w:rsidRPr="00F219CA" w:rsidRDefault="003C7A83" w:rsidP="003C7A83">
      <w:pPr>
        <w:pStyle w:val="12"/>
      </w:pPr>
      <w:r w:rsidRPr="00F219CA">
        <w:t xml:space="preserve">Publisher: </w:t>
      </w:r>
    </w:p>
    <w:p w:rsidR="003C7A83" w:rsidRPr="00F219CA" w:rsidRDefault="003C7A83" w:rsidP="003C7A83">
      <w:pPr>
        <w:pStyle w:val="12"/>
      </w:pPr>
      <w:r w:rsidRPr="00F219CA">
        <w:t xml:space="preserve">Publisher Address: </w:t>
      </w:r>
    </w:p>
    <w:p w:rsidR="003C7A83" w:rsidRPr="00F219CA" w:rsidRDefault="003C7A83" w:rsidP="003C7A83">
      <w:pPr>
        <w:pStyle w:val="12"/>
      </w:pPr>
      <w:r w:rsidRPr="00F219CA">
        <w:t xml:space="preserve">Subject Categories: </w:t>
      </w:r>
    </w:p>
    <w:p w:rsidR="003C7A83" w:rsidRPr="00F219CA" w:rsidRDefault="003C7A83" w:rsidP="003C7A83">
      <w:pPr>
        <w:pStyle w:val="12"/>
      </w:pPr>
      <w:r w:rsidRPr="00F219CA">
        <w:t xml:space="preserve">: Impact Factor </w:t>
      </w:r>
    </w:p>
    <w:p w:rsidR="003C7A83" w:rsidRDefault="003C7A83" w:rsidP="003C7A83">
      <w:pPr>
        <w:pStyle w:val="a3"/>
        <w:rPr>
          <w:kern w:val="0"/>
          <w:szCs w:val="24"/>
        </w:rPr>
      </w:pPr>
      <w:r>
        <w:rPr>
          <w:kern w:val="0"/>
          <w:szCs w:val="24"/>
        </w:rPr>
        <w:t>? Bermingham, V., Watson, S.</w:t>
      </w:r>
      <w:r w:rsidR="005853A9">
        <w:rPr>
          <w:kern w:val="0"/>
          <w:szCs w:val="24"/>
        </w:rPr>
        <w:t xml:space="preserve"> and </w:t>
      </w:r>
      <w:r>
        <w:rPr>
          <w:kern w:val="0"/>
          <w:szCs w:val="24"/>
        </w:rPr>
        <w:t xml:space="preserve">Jones, M. (2010), Plagiarism in UK law schools: Is there a postcode lottery? </w:t>
      </w:r>
      <w:r>
        <w:rPr>
          <w:i/>
          <w:iCs/>
          <w:kern w:val="0"/>
          <w:szCs w:val="24"/>
        </w:rPr>
        <w:t>Assessment &amp; Evaluation in Higher Education</w:t>
      </w:r>
      <w:r>
        <w:rPr>
          <w:kern w:val="0"/>
          <w:szCs w:val="24"/>
        </w:rPr>
        <w:t xml:space="preserve">, </w:t>
      </w:r>
      <w:r>
        <w:rPr>
          <w:b/>
          <w:bCs/>
          <w:kern w:val="0"/>
          <w:szCs w:val="24"/>
        </w:rPr>
        <w:t>35</w:t>
      </w:r>
      <w:r>
        <w:rPr>
          <w:kern w:val="0"/>
          <w:szCs w:val="24"/>
        </w:rPr>
        <w:t xml:space="preserve"> (1), 1-15.</w:t>
      </w:r>
    </w:p>
    <w:p w:rsidR="003C7A83" w:rsidRDefault="003C7A83" w:rsidP="003C7A83">
      <w:pPr>
        <w:pStyle w:val="a3"/>
        <w:rPr>
          <w:kern w:val="0"/>
          <w:szCs w:val="24"/>
        </w:rPr>
      </w:pPr>
      <w:r>
        <w:rPr>
          <w:kern w:val="0"/>
          <w:szCs w:val="24"/>
        </w:rPr>
        <w:t>Full Text</w:t>
      </w:r>
      <w:r>
        <w:rPr>
          <w:rFonts w:hint="eastAsia"/>
          <w:kern w:val="0"/>
          <w:szCs w:val="24"/>
        </w:rPr>
        <w:t xml:space="preserve">: </w:t>
      </w:r>
      <w:hyperlink r:id="rId1347" w:history="1">
        <w:r w:rsidRPr="003C7A83">
          <w:rPr>
            <w:rStyle w:val="a5"/>
            <w:kern w:val="0"/>
            <w:szCs w:val="24"/>
          </w:rPr>
          <w:t>2010\Ass Eva Hig Edu35, 1.pdf</w:t>
        </w:r>
      </w:hyperlink>
    </w:p>
    <w:p w:rsidR="003C7A83" w:rsidRDefault="003C7A83" w:rsidP="003C7A83">
      <w:pPr>
        <w:pStyle w:val="a3"/>
        <w:rPr>
          <w:kern w:val="0"/>
          <w:szCs w:val="24"/>
        </w:rPr>
      </w:pPr>
      <w:r>
        <w:rPr>
          <w:kern w:val="0"/>
          <w:szCs w:val="24"/>
        </w:rPr>
        <w:t>Abstract:</w:t>
      </w:r>
      <w:r w:rsidR="003A1917">
        <w:rPr>
          <w:kern w:val="0"/>
          <w:szCs w:val="24"/>
        </w:rPr>
        <w:t xml:space="preserve"> the </w:t>
      </w:r>
      <w:r>
        <w:rPr>
          <w:kern w:val="0"/>
          <w:szCs w:val="24"/>
        </w:rPr>
        <w:t>discussion</w:t>
      </w:r>
      <w:r w:rsidR="00427468">
        <w:rPr>
          <w:kern w:val="0"/>
          <w:szCs w:val="24"/>
        </w:rPr>
        <w:t xml:space="preserve"> of </w:t>
      </w:r>
      <w:r>
        <w:rPr>
          <w:kern w:val="0"/>
          <w:szCs w:val="24"/>
        </w:rPr>
        <w:t>issues relating to academic dishonesty in</w:t>
      </w:r>
      <w:r w:rsidR="003A1917">
        <w:rPr>
          <w:kern w:val="0"/>
          <w:szCs w:val="24"/>
        </w:rPr>
        <w:t xml:space="preserve"> the </w:t>
      </w:r>
      <w:r>
        <w:rPr>
          <w:kern w:val="0"/>
          <w:szCs w:val="24"/>
        </w:rPr>
        <w:t>UK higher education sector has become increasingly intense in recent years</w:t>
      </w:r>
      <w:r w:rsidR="005853A9">
        <w:rPr>
          <w:kern w:val="0"/>
          <w:szCs w:val="24"/>
        </w:rPr>
        <w:t xml:space="preserve"> and </w:t>
      </w:r>
      <w:r>
        <w:rPr>
          <w:kern w:val="0"/>
          <w:szCs w:val="24"/>
        </w:rPr>
        <w:t>has often been subject to</w:t>
      </w:r>
      <w:r w:rsidR="003A1917">
        <w:rPr>
          <w:kern w:val="0"/>
          <w:szCs w:val="24"/>
        </w:rPr>
        <w:t xml:space="preserve"> the </w:t>
      </w:r>
      <w:r>
        <w:rPr>
          <w:kern w:val="0"/>
          <w:szCs w:val="24"/>
        </w:rPr>
        <w:t>media spotlight. This study examines</w:t>
      </w:r>
      <w:r w:rsidR="003A1917">
        <w:rPr>
          <w:kern w:val="0"/>
          <w:szCs w:val="24"/>
        </w:rPr>
        <w:t xml:space="preserve"> the </w:t>
      </w:r>
      <w:r>
        <w:rPr>
          <w:kern w:val="0"/>
          <w:szCs w:val="24"/>
        </w:rPr>
        <w:t>policies, procedures</w:t>
      </w:r>
      <w:r w:rsidR="005853A9">
        <w:rPr>
          <w:kern w:val="0"/>
          <w:szCs w:val="24"/>
        </w:rPr>
        <w:t xml:space="preserve"> and </w:t>
      </w:r>
      <w:r>
        <w:rPr>
          <w:kern w:val="0"/>
          <w:szCs w:val="24"/>
        </w:rPr>
        <w:t>penalties at law schools across</w:t>
      </w:r>
      <w:r w:rsidR="003A1917">
        <w:rPr>
          <w:kern w:val="0"/>
          <w:szCs w:val="24"/>
        </w:rPr>
        <w:t xml:space="preserve"> the </w:t>
      </w:r>
      <w:r>
        <w:rPr>
          <w:kern w:val="0"/>
          <w:szCs w:val="24"/>
        </w:rPr>
        <w:t>UK when dealing with allegations</w:t>
      </w:r>
      <w:r w:rsidR="00427468">
        <w:rPr>
          <w:kern w:val="0"/>
          <w:szCs w:val="24"/>
        </w:rPr>
        <w:t xml:space="preserve"> of </w:t>
      </w:r>
      <w:r>
        <w:rPr>
          <w:kern w:val="0"/>
          <w:szCs w:val="24"/>
        </w:rPr>
        <w:t>plagiarism. Data were obtained in two stages via questionnaires</w:t>
      </w:r>
      <w:r w:rsidR="005853A9">
        <w:rPr>
          <w:kern w:val="0"/>
          <w:szCs w:val="24"/>
        </w:rPr>
        <w:t xml:space="preserve"> and </w:t>
      </w:r>
      <w:r>
        <w:rPr>
          <w:kern w:val="0"/>
          <w:szCs w:val="24"/>
        </w:rPr>
        <w:t>structured interviews with members</w:t>
      </w:r>
      <w:r w:rsidR="00427468">
        <w:rPr>
          <w:kern w:val="0"/>
          <w:szCs w:val="24"/>
        </w:rPr>
        <w:t xml:space="preserve"> of </w:t>
      </w:r>
      <w:r>
        <w:rPr>
          <w:kern w:val="0"/>
          <w:szCs w:val="24"/>
        </w:rPr>
        <w:t>staff</w:t>
      </w:r>
      <w:r w:rsidR="00A37C1D">
        <w:rPr>
          <w:kern w:val="0"/>
          <w:szCs w:val="24"/>
        </w:rPr>
        <w:t>. The</w:t>
      </w:r>
      <w:r w:rsidR="003A1917">
        <w:rPr>
          <w:kern w:val="0"/>
          <w:szCs w:val="24"/>
        </w:rPr>
        <w:t xml:space="preserve"> </w:t>
      </w:r>
      <w:r>
        <w:rPr>
          <w:kern w:val="0"/>
          <w:szCs w:val="24"/>
        </w:rPr>
        <w:t>considerable degree</w:t>
      </w:r>
      <w:r w:rsidR="00427468">
        <w:rPr>
          <w:kern w:val="0"/>
          <w:szCs w:val="24"/>
        </w:rPr>
        <w:t xml:space="preserve"> of </w:t>
      </w:r>
      <w:r>
        <w:rPr>
          <w:kern w:val="0"/>
          <w:szCs w:val="24"/>
        </w:rPr>
        <w:t>diversity which emerges is discussed</w:t>
      </w:r>
      <w:r w:rsidR="005853A9">
        <w:rPr>
          <w:kern w:val="0"/>
          <w:szCs w:val="24"/>
        </w:rPr>
        <w:t xml:space="preserve"> and </w:t>
      </w:r>
      <w:r w:rsidR="003A1917">
        <w:rPr>
          <w:kern w:val="0"/>
          <w:szCs w:val="24"/>
        </w:rPr>
        <w:t xml:space="preserve">the </w:t>
      </w:r>
      <w:r>
        <w:rPr>
          <w:kern w:val="0"/>
          <w:szCs w:val="24"/>
        </w:rPr>
        <w:t>possible implications</w:t>
      </w:r>
      <w:r w:rsidR="00427468">
        <w:rPr>
          <w:kern w:val="0"/>
          <w:szCs w:val="24"/>
        </w:rPr>
        <w:t xml:space="preserve"> of </w:t>
      </w:r>
      <w:r>
        <w:rPr>
          <w:kern w:val="0"/>
          <w:szCs w:val="24"/>
        </w:rPr>
        <w:t>such diversity are examined.</w:t>
      </w:r>
    </w:p>
    <w:p w:rsidR="003C7A83" w:rsidRDefault="003C7A83" w:rsidP="003C7A83">
      <w:pPr>
        <w:pStyle w:val="a3"/>
        <w:rPr>
          <w:kern w:val="0"/>
          <w:szCs w:val="24"/>
        </w:rPr>
      </w:pPr>
      <w:r>
        <w:rPr>
          <w:kern w:val="0"/>
          <w:szCs w:val="24"/>
        </w:rPr>
        <w:t>Keywords: Definitions, Education, Inconsistencies, Law Students, Plagiarism, Policies</w:t>
      </w:r>
    </w:p>
    <w:p w:rsidR="003C7A83" w:rsidRDefault="003C7A83" w:rsidP="003C7A83">
      <w:pPr>
        <w:pStyle w:val="a3"/>
        <w:rPr>
          <w:kern w:val="0"/>
          <w:szCs w:val="24"/>
        </w:rPr>
      </w:pPr>
      <w:r>
        <w:rPr>
          <w:kern w:val="0"/>
          <w:szCs w:val="24"/>
        </w:rPr>
        <w:t>? Elander, J., Pittam, G., Lusher, J., Fox, P.</w:t>
      </w:r>
      <w:r w:rsidR="005853A9">
        <w:rPr>
          <w:kern w:val="0"/>
          <w:szCs w:val="24"/>
        </w:rPr>
        <w:t xml:space="preserve"> and </w:t>
      </w:r>
      <w:r>
        <w:rPr>
          <w:kern w:val="0"/>
          <w:szCs w:val="24"/>
        </w:rPr>
        <w:t>Payne, N. (2010), Evaluation</w:t>
      </w:r>
      <w:r w:rsidR="00427468">
        <w:rPr>
          <w:kern w:val="0"/>
          <w:szCs w:val="24"/>
        </w:rPr>
        <w:t xml:space="preserve"> of </w:t>
      </w:r>
      <w:r>
        <w:rPr>
          <w:kern w:val="0"/>
          <w:szCs w:val="24"/>
        </w:rPr>
        <w:t xml:space="preserve">an intervention to help students avoid unintentional plagiarism by improving their authorial identity. </w:t>
      </w:r>
      <w:r>
        <w:rPr>
          <w:i/>
          <w:iCs/>
          <w:kern w:val="0"/>
          <w:szCs w:val="24"/>
        </w:rPr>
        <w:t>Assessment &amp; Evaluation in Higher Education</w:t>
      </w:r>
      <w:r>
        <w:rPr>
          <w:kern w:val="0"/>
          <w:szCs w:val="24"/>
        </w:rPr>
        <w:t xml:space="preserve">, </w:t>
      </w:r>
      <w:r>
        <w:rPr>
          <w:b/>
          <w:bCs/>
          <w:kern w:val="0"/>
          <w:szCs w:val="24"/>
        </w:rPr>
        <w:t>35</w:t>
      </w:r>
      <w:r>
        <w:rPr>
          <w:kern w:val="0"/>
          <w:szCs w:val="24"/>
        </w:rPr>
        <w:t xml:space="preserve"> (2), 157-171.</w:t>
      </w:r>
    </w:p>
    <w:p w:rsidR="003C7A83" w:rsidRDefault="003C7A83" w:rsidP="003C7A83">
      <w:pPr>
        <w:pStyle w:val="a3"/>
        <w:rPr>
          <w:kern w:val="0"/>
          <w:szCs w:val="24"/>
        </w:rPr>
      </w:pPr>
      <w:r>
        <w:rPr>
          <w:kern w:val="0"/>
          <w:szCs w:val="24"/>
        </w:rPr>
        <w:t>Full Text</w:t>
      </w:r>
      <w:r>
        <w:rPr>
          <w:rFonts w:hint="eastAsia"/>
          <w:kern w:val="0"/>
          <w:szCs w:val="24"/>
        </w:rPr>
        <w:t xml:space="preserve">: </w:t>
      </w:r>
      <w:hyperlink r:id="rId1348" w:history="1">
        <w:r w:rsidRPr="003C7A83">
          <w:rPr>
            <w:rStyle w:val="a5"/>
            <w:kern w:val="0"/>
            <w:szCs w:val="24"/>
          </w:rPr>
          <w:t>2010\Ass Eva Hig Edu35, 157.pdf</w:t>
        </w:r>
      </w:hyperlink>
    </w:p>
    <w:p w:rsidR="003C7A83" w:rsidRDefault="003C7A83" w:rsidP="003C7A83">
      <w:pPr>
        <w:pStyle w:val="a3"/>
        <w:rPr>
          <w:kern w:val="0"/>
          <w:szCs w:val="24"/>
        </w:rPr>
      </w:pPr>
      <w:r>
        <w:rPr>
          <w:kern w:val="0"/>
          <w:szCs w:val="24"/>
        </w:rPr>
        <w:t>Abstract: Students with poorly developed authorial identity may be at risk</w:t>
      </w:r>
      <w:r w:rsidR="00427468">
        <w:rPr>
          <w:kern w:val="0"/>
          <w:szCs w:val="24"/>
        </w:rPr>
        <w:t xml:space="preserve"> of </w:t>
      </w:r>
      <w:r>
        <w:rPr>
          <w:kern w:val="0"/>
          <w:szCs w:val="24"/>
        </w:rPr>
        <w:t>unintentional plagiarism. An instructional intervention designed specifically to improve authorial identity was delivered to 364 psychology students at three post-1992 universities in London</w:t>
      </w:r>
      <w:r w:rsidR="00D5664A">
        <w:rPr>
          <w:kern w:val="0"/>
          <w:szCs w:val="24"/>
        </w:rPr>
        <w:t>, UK,</w:t>
      </w:r>
      <w:r w:rsidR="005853A9">
        <w:rPr>
          <w:kern w:val="0"/>
          <w:szCs w:val="24"/>
        </w:rPr>
        <w:t xml:space="preserve"> and </w:t>
      </w:r>
      <w:r>
        <w:rPr>
          <w:kern w:val="0"/>
          <w:szCs w:val="24"/>
        </w:rPr>
        <w:t>evaluated with before-and-after measures</w:t>
      </w:r>
      <w:r w:rsidR="00427468">
        <w:rPr>
          <w:kern w:val="0"/>
          <w:szCs w:val="24"/>
        </w:rPr>
        <w:t xml:space="preserve"> of </w:t>
      </w:r>
      <w:r>
        <w:rPr>
          <w:kern w:val="0"/>
          <w:szCs w:val="24"/>
        </w:rPr>
        <w:t>beliefs</w:t>
      </w:r>
      <w:r w:rsidR="005853A9">
        <w:rPr>
          <w:kern w:val="0"/>
          <w:szCs w:val="24"/>
        </w:rPr>
        <w:t xml:space="preserve"> and </w:t>
      </w:r>
      <w:r>
        <w:rPr>
          <w:kern w:val="0"/>
          <w:szCs w:val="24"/>
        </w:rPr>
        <w:t>attitudes about academic authorship, using</w:t>
      </w:r>
      <w:r w:rsidR="003A1917">
        <w:rPr>
          <w:kern w:val="0"/>
          <w:szCs w:val="24"/>
        </w:rPr>
        <w:t xml:space="preserve"> the </w:t>
      </w:r>
      <w:r>
        <w:rPr>
          <w:kern w:val="0"/>
          <w:szCs w:val="24"/>
        </w:rPr>
        <w:t>Student Authorship Questionnaire. Changes in questionnaire scores showed that</w:t>
      </w:r>
      <w:r w:rsidR="003A1917">
        <w:rPr>
          <w:kern w:val="0"/>
          <w:szCs w:val="24"/>
        </w:rPr>
        <w:t xml:space="preserve"> the </w:t>
      </w:r>
      <w:r>
        <w:rPr>
          <w:kern w:val="0"/>
          <w:szCs w:val="24"/>
        </w:rPr>
        <w:t>intervention led to significantly increased confidence in writing, understanding</w:t>
      </w:r>
      <w:r w:rsidR="00427468">
        <w:rPr>
          <w:kern w:val="0"/>
          <w:szCs w:val="24"/>
        </w:rPr>
        <w:t xml:space="preserve"> of </w:t>
      </w:r>
      <w:r>
        <w:rPr>
          <w:kern w:val="0"/>
          <w:szCs w:val="24"/>
        </w:rPr>
        <w:t>authorship, knowledge to avoid plagiarism,</w:t>
      </w:r>
      <w:r w:rsidR="005853A9">
        <w:rPr>
          <w:kern w:val="0"/>
          <w:szCs w:val="24"/>
        </w:rPr>
        <w:t xml:space="preserve"> and </w:t>
      </w:r>
      <w:r>
        <w:rPr>
          <w:kern w:val="0"/>
          <w:szCs w:val="24"/>
        </w:rPr>
        <w:t>top-down approaches to writing,</w:t>
      </w:r>
      <w:r w:rsidR="005853A9">
        <w:rPr>
          <w:kern w:val="0"/>
          <w:szCs w:val="24"/>
        </w:rPr>
        <w:t xml:space="preserve"> and </w:t>
      </w:r>
      <w:r>
        <w:rPr>
          <w:kern w:val="0"/>
          <w:szCs w:val="24"/>
        </w:rPr>
        <w:t>significantly decreased bottom-up</w:t>
      </w:r>
      <w:r w:rsidR="005853A9">
        <w:rPr>
          <w:kern w:val="0"/>
          <w:szCs w:val="24"/>
        </w:rPr>
        <w:t xml:space="preserve"> and </w:t>
      </w:r>
      <w:r>
        <w:rPr>
          <w:kern w:val="0"/>
          <w:szCs w:val="24"/>
        </w:rPr>
        <w:t>pragmatic approaches to writing. For understanding</w:t>
      </w:r>
      <w:r w:rsidR="00427468">
        <w:rPr>
          <w:kern w:val="0"/>
          <w:szCs w:val="24"/>
        </w:rPr>
        <w:t xml:space="preserve"> of </w:t>
      </w:r>
      <w:r>
        <w:rPr>
          <w:kern w:val="0"/>
          <w:szCs w:val="24"/>
        </w:rPr>
        <w:t>authorship, knowledge to avoid plagiarism</w:t>
      </w:r>
      <w:r w:rsidR="005853A9">
        <w:rPr>
          <w:kern w:val="0"/>
          <w:szCs w:val="24"/>
        </w:rPr>
        <w:t xml:space="preserve"> and </w:t>
      </w:r>
      <w:r>
        <w:rPr>
          <w:kern w:val="0"/>
          <w:szCs w:val="24"/>
        </w:rPr>
        <w:t xml:space="preserve">pragmatic </w:t>
      </w:r>
      <w:r>
        <w:rPr>
          <w:kern w:val="0"/>
          <w:szCs w:val="24"/>
        </w:rPr>
        <w:lastRenderedPageBreak/>
        <w:t>approaches to writing, significant intervention by year</w:t>
      </w:r>
      <w:r w:rsidR="00427468">
        <w:rPr>
          <w:kern w:val="0"/>
          <w:szCs w:val="24"/>
        </w:rPr>
        <w:t xml:space="preserve"> of </w:t>
      </w:r>
      <w:r>
        <w:rPr>
          <w:kern w:val="0"/>
          <w:szCs w:val="24"/>
        </w:rPr>
        <w:t>study interaction effects showed that</w:t>
      </w:r>
      <w:r w:rsidR="003A1917">
        <w:rPr>
          <w:kern w:val="0"/>
          <w:szCs w:val="24"/>
        </w:rPr>
        <w:t xml:space="preserve"> the </w:t>
      </w:r>
      <w:r>
        <w:rPr>
          <w:kern w:val="0"/>
          <w:szCs w:val="24"/>
        </w:rPr>
        <w:t>greatest improvements were among year one undergraduates. Direct evaluative feedback showed that 86%</w:t>
      </w:r>
      <w:r w:rsidR="00427468">
        <w:rPr>
          <w:kern w:val="0"/>
          <w:szCs w:val="24"/>
        </w:rPr>
        <w:t xml:space="preserve"> of </w:t>
      </w:r>
      <w:r>
        <w:rPr>
          <w:kern w:val="0"/>
          <w:szCs w:val="24"/>
        </w:rPr>
        <w:t>students believed</w:t>
      </w:r>
      <w:r w:rsidR="003A1917">
        <w:rPr>
          <w:kern w:val="0"/>
          <w:szCs w:val="24"/>
        </w:rPr>
        <w:t xml:space="preserve"> the </w:t>
      </w:r>
      <w:r>
        <w:rPr>
          <w:kern w:val="0"/>
          <w:szCs w:val="24"/>
        </w:rPr>
        <w:t>intervention helped them avoid plagiarism</w:t>
      </w:r>
      <w:r w:rsidR="005853A9">
        <w:rPr>
          <w:kern w:val="0"/>
          <w:szCs w:val="24"/>
        </w:rPr>
        <w:t xml:space="preserve"> and </w:t>
      </w:r>
      <w:r>
        <w:rPr>
          <w:kern w:val="0"/>
          <w:szCs w:val="24"/>
        </w:rPr>
        <w:t>66% believed it helped them write better assignments. Post-intervention focus groups revealed changed student understandings about authorial identity</w:t>
      </w:r>
      <w:r w:rsidR="005853A9">
        <w:rPr>
          <w:kern w:val="0"/>
          <w:szCs w:val="24"/>
        </w:rPr>
        <w:t xml:space="preserve"> and </w:t>
      </w:r>
      <w:r>
        <w:rPr>
          <w:kern w:val="0"/>
          <w:szCs w:val="24"/>
        </w:rPr>
        <w:t>academic writing</w:t>
      </w:r>
      <w:r w:rsidR="00A37C1D">
        <w:rPr>
          <w:kern w:val="0"/>
          <w:szCs w:val="24"/>
        </w:rPr>
        <w:t>. The</w:t>
      </w:r>
      <w:r w:rsidR="003A1917">
        <w:rPr>
          <w:kern w:val="0"/>
          <w:szCs w:val="24"/>
        </w:rPr>
        <w:t xml:space="preserve"> </w:t>
      </w:r>
      <w:r>
        <w:rPr>
          <w:kern w:val="0"/>
          <w:szCs w:val="24"/>
        </w:rPr>
        <w:t>results show that interventions can help students avoid unintentional plagiarism by adopting more authorial roles in their academic writing. Further research could explore other influences on authorial identity,</w:t>
      </w:r>
      <w:r w:rsidR="005853A9">
        <w:rPr>
          <w:kern w:val="0"/>
          <w:szCs w:val="24"/>
        </w:rPr>
        <w:t xml:space="preserve"> and </w:t>
      </w:r>
      <w:r>
        <w:rPr>
          <w:kern w:val="0"/>
          <w:szCs w:val="24"/>
        </w:rPr>
        <w:t>examine</w:t>
      </w:r>
      <w:r w:rsidR="003A1917">
        <w:rPr>
          <w:kern w:val="0"/>
          <w:szCs w:val="24"/>
        </w:rPr>
        <w:t xml:space="preserve"> the </w:t>
      </w:r>
      <w:r>
        <w:rPr>
          <w:kern w:val="0"/>
          <w:szCs w:val="24"/>
        </w:rPr>
        <w:t>impact</w:t>
      </w:r>
      <w:r w:rsidR="00427468">
        <w:rPr>
          <w:kern w:val="0"/>
          <w:szCs w:val="24"/>
        </w:rPr>
        <w:t xml:space="preserve"> of </w:t>
      </w:r>
      <w:r>
        <w:rPr>
          <w:kern w:val="0"/>
          <w:szCs w:val="24"/>
        </w:rPr>
        <w:t>authorial identity interventions on other outcome indicators.</w:t>
      </w:r>
    </w:p>
    <w:p w:rsidR="003C7A83" w:rsidRDefault="003C7A83" w:rsidP="003C7A83">
      <w:pPr>
        <w:pStyle w:val="a3"/>
        <w:rPr>
          <w:kern w:val="0"/>
          <w:szCs w:val="24"/>
        </w:rPr>
      </w:pPr>
      <w:r>
        <w:rPr>
          <w:kern w:val="0"/>
          <w:szCs w:val="24"/>
        </w:rPr>
        <w:t>Keywords: Academic Literacy, Authorial Identity, Authorship, College, Evaluation, Interventions, Inventory, Plagiarism, Questionnaire, Research, Writing</w:t>
      </w:r>
    </w:p>
    <w:p w:rsidR="003C7A83" w:rsidRDefault="003C7A83" w:rsidP="003C7A83">
      <w:pPr>
        <w:pStyle w:val="a3"/>
        <w:rPr>
          <w:kern w:val="0"/>
          <w:szCs w:val="24"/>
        </w:rPr>
      </w:pPr>
      <w:r>
        <w:rPr>
          <w:kern w:val="0"/>
          <w:szCs w:val="24"/>
        </w:rPr>
        <w:t>? Heather, J. (2010), Turnitoff: Identifying</w:t>
      </w:r>
      <w:r w:rsidR="005853A9">
        <w:rPr>
          <w:kern w:val="0"/>
          <w:szCs w:val="24"/>
        </w:rPr>
        <w:t xml:space="preserve"> and </w:t>
      </w:r>
      <w:r>
        <w:rPr>
          <w:kern w:val="0"/>
          <w:szCs w:val="24"/>
        </w:rPr>
        <w:t xml:space="preserve">fixing a hole in current plagiarism detection software. </w:t>
      </w:r>
      <w:r w:rsidRPr="002371BC">
        <w:rPr>
          <w:i/>
          <w:iCs/>
          <w:kern w:val="0"/>
          <w:szCs w:val="24"/>
        </w:rPr>
        <w:t>Assessment &amp; Evaluation in Higher Education</w:t>
      </w:r>
      <w:r>
        <w:rPr>
          <w:kern w:val="0"/>
          <w:szCs w:val="24"/>
        </w:rPr>
        <w:t xml:space="preserve">, </w:t>
      </w:r>
      <w:r>
        <w:rPr>
          <w:b/>
          <w:bCs/>
          <w:kern w:val="0"/>
          <w:szCs w:val="24"/>
        </w:rPr>
        <w:t>35</w:t>
      </w:r>
      <w:r>
        <w:rPr>
          <w:kern w:val="0"/>
          <w:szCs w:val="24"/>
        </w:rPr>
        <w:t xml:space="preserve"> (6), 647-660.</w:t>
      </w:r>
    </w:p>
    <w:p w:rsidR="003C7A83" w:rsidRDefault="003C7A83" w:rsidP="003C7A83">
      <w:pPr>
        <w:pStyle w:val="a3"/>
        <w:rPr>
          <w:kern w:val="0"/>
          <w:szCs w:val="24"/>
        </w:rPr>
      </w:pPr>
      <w:r>
        <w:rPr>
          <w:kern w:val="0"/>
          <w:szCs w:val="24"/>
        </w:rPr>
        <w:t>Full Text</w:t>
      </w:r>
      <w:r>
        <w:rPr>
          <w:rFonts w:hint="eastAsia"/>
          <w:kern w:val="0"/>
          <w:szCs w:val="24"/>
        </w:rPr>
        <w:t xml:space="preserve">: </w:t>
      </w:r>
      <w:hyperlink r:id="rId1349" w:history="1">
        <w:r w:rsidRPr="002371BC">
          <w:rPr>
            <w:rStyle w:val="a5"/>
            <w:kern w:val="0"/>
            <w:szCs w:val="24"/>
          </w:rPr>
          <w:t>2010\Ass Eva Hig Edu35, 647.pdf</w:t>
        </w:r>
      </w:hyperlink>
    </w:p>
    <w:p w:rsidR="003C7A83" w:rsidRDefault="003C7A83" w:rsidP="003C7A83">
      <w:pPr>
        <w:pStyle w:val="a3"/>
        <w:rPr>
          <w:kern w:val="0"/>
          <w:szCs w:val="24"/>
        </w:rPr>
      </w:pPr>
      <w:r>
        <w:rPr>
          <w:kern w:val="0"/>
          <w:szCs w:val="24"/>
        </w:rPr>
        <w:t>Abstract: In recent times, plagiarism detection software has become popular in universities</w:t>
      </w:r>
      <w:r w:rsidR="005853A9">
        <w:rPr>
          <w:kern w:val="0"/>
          <w:szCs w:val="24"/>
        </w:rPr>
        <w:t xml:space="preserve"> and </w:t>
      </w:r>
      <w:r>
        <w:rPr>
          <w:kern w:val="0"/>
          <w:szCs w:val="24"/>
        </w:rPr>
        <w:t>colleges, in an attempt to stem</w:t>
      </w:r>
      <w:r w:rsidR="003A1917">
        <w:rPr>
          <w:kern w:val="0"/>
          <w:szCs w:val="24"/>
        </w:rPr>
        <w:t xml:space="preserve"> the </w:t>
      </w:r>
      <w:r>
        <w:rPr>
          <w:kern w:val="0"/>
          <w:szCs w:val="24"/>
        </w:rPr>
        <w:t>tide</w:t>
      </w:r>
      <w:r w:rsidR="00427468">
        <w:rPr>
          <w:kern w:val="0"/>
          <w:szCs w:val="24"/>
        </w:rPr>
        <w:t xml:space="preserve"> of </w:t>
      </w:r>
      <w:r>
        <w:rPr>
          <w:kern w:val="0"/>
          <w:szCs w:val="24"/>
        </w:rPr>
        <w:t>plagiarised student coursework. Such software attempts to detect any copied material</w:t>
      </w:r>
      <w:r w:rsidR="005853A9">
        <w:rPr>
          <w:kern w:val="0"/>
          <w:szCs w:val="24"/>
        </w:rPr>
        <w:t xml:space="preserve"> and </w:t>
      </w:r>
      <w:r>
        <w:rPr>
          <w:kern w:val="0"/>
          <w:szCs w:val="24"/>
        </w:rPr>
        <w:t>identify its source</w:t>
      </w:r>
      <w:r w:rsidR="00A37C1D">
        <w:rPr>
          <w:kern w:val="0"/>
          <w:szCs w:val="24"/>
        </w:rPr>
        <w:t>. The</w:t>
      </w:r>
      <w:r w:rsidR="003A1917">
        <w:rPr>
          <w:kern w:val="0"/>
          <w:szCs w:val="24"/>
        </w:rPr>
        <w:t xml:space="preserve"> </w:t>
      </w:r>
      <w:r>
        <w:rPr>
          <w:kern w:val="0"/>
          <w:szCs w:val="24"/>
        </w:rPr>
        <w:t>most popular such software is Turnitin, a commercial system used by tho</w:t>
      </w:r>
      <w:r w:rsidR="00D5664A">
        <w:rPr>
          <w:kern w:val="0"/>
          <w:szCs w:val="24"/>
        </w:rPr>
        <w:t>USA</w:t>
      </w:r>
      <w:r>
        <w:rPr>
          <w:kern w:val="0"/>
          <w:szCs w:val="24"/>
        </w:rPr>
        <w:t>nds</w:t>
      </w:r>
      <w:r w:rsidR="00427468">
        <w:rPr>
          <w:kern w:val="0"/>
          <w:szCs w:val="24"/>
        </w:rPr>
        <w:t xml:space="preserve"> of </w:t>
      </w:r>
      <w:r>
        <w:rPr>
          <w:kern w:val="0"/>
          <w:szCs w:val="24"/>
        </w:rPr>
        <w:t>institutions in more than 100 countries. Here, we show how to fix a loophole in Turnitin</w:t>
      </w:r>
      <w:r w:rsidR="00700038">
        <w:rPr>
          <w:kern w:val="0"/>
          <w:szCs w:val="24"/>
        </w:rPr>
        <w:t>’</w:t>
      </w:r>
      <w:r w:rsidR="00C13DDC">
        <w:rPr>
          <w:kern w:val="0"/>
          <w:szCs w:val="24"/>
        </w:rPr>
        <w:t>s</w:t>
      </w:r>
      <w:r>
        <w:rPr>
          <w:kern w:val="0"/>
          <w:szCs w:val="24"/>
        </w:rPr>
        <w:t xml:space="preserve"> current plagiarism detection process. We demonstrate that, in its current incarnation, one can easily create a document that passes</w:t>
      </w:r>
      <w:r w:rsidR="003A1917">
        <w:rPr>
          <w:kern w:val="0"/>
          <w:szCs w:val="24"/>
        </w:rPr>
        <w:t xml:space="preserve"> the </w:t>
      </w:r>
      <w:r>
        <w:rPr>
          <w:kern w:val="0"/>
          <w:szCs w:val="24"/>
        </w:rPr>
        <w:t>plagiarism check regardless</w:t>
      </w:r>
      <w:r w:rsidR="00427468">
        <w:rPr>
          <w:kern w:val="0"/>
          <w:szCs w:val="24"/>
        </w:rPr>
        <w:t xml:space="preserve"> of </w:t>
      </w:r>
      <w:r>
        <w:rPr>
          <w:kern w:val="0"/>
          <w:szCs w:val="24"/>
        </w:rPr>
        <w:t>how much copied material it contains; we then show how to improve</w:t>
      </w:r>
      <w:r w:rsidR="003A1917">
        <w:rPr>
          <w:kern w:val="0"/>
          <w:szCs w:val="24"/>
        </w:rPr>
        <w:t xml:space="preserve"> the </w:t>
      </w:r>
      <w:r>
        <w:rPr>
          <w:kern w:val="0"/>
          <w:szCs w:val="24"/>
        </w:rPr>
        <w:t>system to avoid such attacks.</w:t>
      </w:r>
    </w:p>
    <w:p w:rsidR="003C7A83" w:rsidRDefault="003C7A83" w:rsidP="003C7A83">
      <w:pPr>
        <w:pStyle w:val="a3"/>
        <w:rPr>
          <w:kern w:val="0"/>
          <w:szCs w:val="24"/>
        </w:rPr>
      </w:pPr>
      <w:r>
        <w:rPr>
          <w:kern w:val="0"/>
          <w:szCs w:val="24"/>
        </w:rPr>
        <w:t>Keywords: Academic Misconduct, JISC, JISC-PAS, Plagiarism, Plagiarism Detection, Turnitin</w:t>
      </w:r>
    </w:p>
    <w:p w:rsidR="00D56EC1" w:rsidRPr="00F219CA" w:rsidRDefault="00D56EC1" w:rsidP="00D56EC1">
      <w:pPr>
        <w:pStyle w:val="1"/>
      </w:pPr>
      <w:r w:rsidRPr="00F219CA">
        <w:br w:type="page"/>
      </w:r>
      <w:bookmarkStart w:id="670" w:name="_Toc420814647"/>
      <w:r w:rsidRPr="00F219CA">
        <w:lastRenderedPageBreak/>
        <w:t xml:space="preserve">Title: </w:t>
      </w:r>
      <w:r w:rsidRPr="00D56EC1">
        <w:t>Astronomical Data Analysis Software</w:t>
      </w:r>
      <w:r w:rsidR="005853A9">
        <w:t xml:space="preserve"> and </w:t>
      </w:r>
      <w:r w:rsidRPr="00D56EC1">
        <w:t xml:space="preserve">Systems </w:t>
      </w:r>
      <w:r w:rsidRPr="00D56EC1">
        <w:rPr>
          <w:iCs w:val="0"/>
        </w:rPr>
        <w:t>XXI</w:t>
      </w:r>
      <w:bookmarkEnd w:id="670"/>
    </w:p>
    <w:p w:rsidR="00D56EC1" w:rsidRPr="00F219CA" w:rsidRDefault="00D56EC1" w:rsidP="00D56EC1">
      <w:pPr>
        <w:pStyle w:val="12"/>
      </w:pPr>
      <w:r w:rsidRPr="00F219CA">
        <w:t xml:space="preserve">Full Journal Title: </w:t>
      </w:r>
      <w:r w:rsidRPr="00D56EC1">
        <w:rPr>
          <w:iCs/>
          <w:kern w:val="0"/>
        </w:rPr>
        <w:t>Astronomical Data Analysis Software</w:t>
      </w:r>
      <w:r w:rsidR="005853A9">
        <w:rPr>
          <w:iCs/>
          <w:kern w:val="0"/>
        </w:rPr>
        <w:t xml:space="preserve"> and </w:t>
      </w:r>
      <w:r w:rsidRPr="00D56EC1">
        <w:rPr>
          <w:iCs/>
          <w:kern w:val="0"/>
        </w:rPr>
        <w:t>Systems XXI</w:t>
      </w:r>
    </w:p>
    <w:p w:rsidR="00D56EC1" w:rsidRPr="00F219CA" w:rsidRDefault="00D56EC1" w:rsidP="00D56EC1">
      <w:pPr>
        <w:pStyle w:val="12"/>
      </w:pPr>
      <w:r w:rsidRPr="00F219CA">
        <w:t xml:space="preserve">ISO Abbreviated Title: </w:t>
      </w:r>
    </w:p>
    <w:p w:rsidR="00D56EC1" w:rsidRPr="00F219CA" w:rsidRDefault="00D56EC1" w:rsidP="00D56EC1">
      <w:pPr>
        <w:pStyle w:val="12"/>
      </w:pPr>
      <w:r w:rsidRPr="00F219CA">
        <w:t xml:space="preserve">JCR Abbreviated Title: </w:t>
      </w:r>
    </w:p>
    <w:p w:rsidR="00D56EC1" w:rsidRPr="00F219CA" w:rsidRDefault="00D56EC1" w:rsidP="00D56EC1">
      <w:pPr>
        <w:pStyle w:val="12"/>
      </w:pPr>
      <w:r w:rsidRPr="00F219CA">
        <w:t xml:space="preserve">ISSN: </w:t>
      </w:r>
    </w:p>
    <w:p w:rsidR="00D56EC1" w:rsidRPr="00F219CA" w:rsidRDefault="00D56EC1" w:rsidP="00D56EC1">
      <w:pPr>
        <w:pStyle w:val="12"/>
      </w:pPr>
      <w:r w:rsidRPr="00F219CA">
        <w:t xml:space="preserve">Issues/Year: </w:t>
      </w:r>
    </w:p>
    <w:p w:rsidR="00D56EC1" w:rsidRPr="00F219CA" w:rsidRDefault="00D56EC1" w:rsidP="00D56EC1">
      <w:pPr>
        <w:pStyle w:val="12"/>
      </w:pPr>
      <w:r w:rsidRPr="00F219CA">
        <w:t xml:space="preserve">Journal Country/Territory: </w:t>
      </w:r>
    </w:p>
    <w:p w:rsidR="00D56EC1" w:rsidRPr="00F219CA" w:rsidRDefault="00D56EC1" w:rsidP="00D56EC1">
      <w:pPr>
        <w:pStyle w:val="12"/>
      </w:pPr>
      <w:r w:rsidRPr="00F219CA">
        <w:t xml:space="preserve">Language: </w:t>
      </w:r>
    </w:p>
    <w:p w:rsidR="00D56EC1" w:rsidRPr="00F219CA" w:rsidRDefault="00D56EC1" w:rsidP="00D56EC1">
      <w:pPr>
        <w:pStyle w:val="12"/>
      </w:pPr>
      <w:r w:rsidRPr="00F219CA">
        <w:t xml:space="preserve">Publisher: </w:t>
      </w:r>
    </w:p>
    <w:p w:rsidR="00D56EC1" w:rsidRPr="00F219CA" w:rsidRDefault="00D56EC1" w:rsidP="00D56EC1">
      <w:pPr>
        <w:pStyle w:val="12"/>
      </w:pPr>
      <w:r w:rsidRPr="00F219CA">
        <w:t xml:space="preserve">Publisher Address: </w:t>
      </w:r>
    </w:p>
    <w:p w:rsidR="00D56EC1" w:rsidRPr="00F219CA" w:rsidRDefault="00D56EC1" w:rsidP="00D56EC1">
      <w:pPr>
        <w:pStyle w:val="12"/>
      </w:pPr>
      <w:r w:rsidRPr="00F219CA">
        <w:t xml:space="preserve">Subject Categories: </w:t>
      </w:r>
    </w:p>
    <w:p w:rsidR="00D56EC1" w:rsidRPr="00F219CA" w:rsidRDefault="00D56EC1" w:rsidP="00D56EC1">
      <w:pPr>
        <w:pStyle w:val="12"/>
      </w:pPr>
      <w:r w:rsidRPr="00F219CA">
        <w:t xml:space="preserve">: Impact Factor </w:t>
      </w:r>
    </w:p>
    <w:p w:rsidR="00D56EC1" w:rsidRDefault="00D56EC1" w:rsidP="00D56EC1">
      <w:pPr>
        <w:pStyle w:val="a3"/>
        <w:rPr>
          <w:kern w:val="0"/>
        </w:rPr>
      </w:pPr>
      <w:r>
        <w:rPr>
          <w:rFonts w:hint="eastAsia"/>
          <w:kern w:val="0"/>
        </w:rPr>
        <w:t xml:space="preserve">? </w:t>
      </w:r>
      <w:r>
        <w:rPr>
          <w:kern w:val="0"/>
        </w:rPr>
        <w:t>Meakins, S.</w:t>
      </w:r>
      <w:r w:rsidR="005853A9">
        <w:rPr>
          <w:kern w:val="0"/>
        </w:rPr>
        <w:t xml:space="preserve"> and </w:t>
      </w:r>
      <w:r>
        <w:rPr>
          <w:kern w:val="0"/>
        </w:rPr>
        <w:t>Grothkopf, U. (2012), Linking publications</w:t>
      </w:r>
      <w:r w:rsidR="005853A9">
        <w:rPr>
          <w:kern w:val="0"/>
        </w:rPr>
        <w:t xml:space="preserve"> and </w:t>
      </w:r>
      <w:r>
        <w:rPr>
          <w:kern w:val="0"/>
        </w:rPr>
        <w:t xml:space="preserve">observations: The ESO telescope bibliography. </w:t>
      </w:r>
      <w:r w:rsidRPr="00D56EC1">
        <w:rPr>
          <w:i/>
          <w:iCs/>
          <w:kern w:val="0"/>
        </w:rPr>
        <w:t>Astronomical Data Analysis Software</w:t>
      </w:r>
      <w:r w:rsidR="005853A9">
        <w:rPr>
          <w:i/>
          <w:iCs/>
          <w:kern w:val="0"/>
        </w:rPr>
        <w:t xml:space="preserve"> and </w:t>
      </w:r>
      <w:r w:rsidRPr="00D56EC1">
        <w:rPr>
          <w:i/>
          <w:iCs/>
          <w:kern w:val="0"/>
        </w:rPr>
        <w:t>Systems XXI</w:t>
      </w:r>
      <w:r>
        <w:rPr>
          <w:kern w:val="0"/>
        </w:rPr>
        <w:t xml:space="preserve">, </w:t>
      </w:r>
      <w:r>
        <w:rPr>
          <w:b/>
          <w:bCs/>
          <w:kern w:val="0"/>
        </w:rPr>
        <w:t>461</w:t>
      </w:r>
      <w:r>
        <w:rPr>
          <w:kern w:val="0"/>
        </w:rPr>
        <w:t>, 767-770.</w:t>
      </w:r>
    </w:p>
    <w:p w:rsidR="00D56EC1" w:rsidRDefault="00D56EC1" w:rsidP="00D56EC1">
      <w:pPr>
        <w:pStyle w:val="a3"/>
        <w:rPr>
          <w:kern w:val="0"/>
        </w:rPr>
      </w:pPr>
      <w:r>
        <w:rPr>
          <w:rFonts w:hint="eastAsia"/>
          <w:kern w:val="0"/>
        </w:rPr>
        <w:t>Full Text: 2012\</w:t>
      </w:r>
      <w:r>
        <w:rPr>
          <w:rFonts w:hint="eastAsia"/>
          <w:iCs/>
          <w:kern w:val="0"/>
        </w:rPr>
        <w:t>Ast Dat Ana Sof Sys XXI461</w:t>
      </w:r>
      <w:r>
        <w:rPr>
          <w:kern w:val="0"/>
        </w:rPr>
        <w:t xml:space="preserve">, </w:t>
      </w:r>
      <w:r>
        <w:rPr>
          <w:rFonts w:hint="eastAsia"/>
          <w:kern w:val="0"/>
        </w:rPr>
        <w:t>767.pdf</w:t>
      </w:r>
    </w:p>
    <w:p w:rsidR="00D56EC1" w:rsidRDefault="00D56EC1" w:rsidP="00D56EC1">
      <w:pPr>
        <w:pStyle w:val="a3"/>
        <w:rPr>
          <w:kern w:val="0"/>
        </w:rPr>
      </w:pPr>
      <w:r>
        <w:rPr>
          <w:kern w:val="0"/>
        </w:rPr>
        <w:t>Abstract: Bibliometric studies have become increasingly important in evaluating individual scientists, specific facilities,</w:t>
      </w:r>
      <w:r w:rsidR="005853A9">
        <w:rPr>
          <w:kern w:val="0"/>
        </w:rPr>
        <w:t xml:space="preserve"> and </w:t>
      </w:r>
      <w:r>
        <w:rPr>
          <w:kern w:val="0"/>
        </w:rPr>
        <w:t>entire observatories. In this context, the ESO Library has developed</w:t>
      </w:r>
      <w:r w:rsidR="005853A9">
        <w:rPr>
          <w:kern w:val="0"/>
        </w:rPr>
        <w:t xml:space="preserve"> and </w:t>
      </w:r>
      <w:r>
        <w:rPr>
          <w:kern w:val="0"/>
        </w:rPr>
        <w:t>maintains two tools: FUSE, a full-text search tool,</w:t>
      </w:r>
      <w:r w:rsidR="005853A9">
        <w:rPr>
          <w:kern w:val="0"/>
        </w:rPr>
        <w:t xml:space="preserve"> and </w:t>
      </w:r>
      <w:r>
        <w:rPr>
          <w:kern w:val="0"/>
        </w:rPr>
        <w:t>the Telescope Bibliography (telbib), a content management system that is used to classify</w:t>
      </w:r>
      <w:r w:rsidR="005853A9">
        <w:rPr>
          <w:kern w:val="0"/>
        </w:rPr>
        <w:t xml:space="preserve"> and </w:t>
      </w:r>
      <w:r>
        <w:rPr>
          <w:kern w:val="0"/>
        </w:rPr>
        <w:t>annotate ESO-related scientific papers</w:t>
      </w:r>
      <w:r w:rsidR="00A37C1D">
        <w:rPr>
          <w:kern w:val="0"/>
        </w:rPr>
        <w:t>. The</w:t>
      </w:r>
      <w:r>
        <w:rPr>
          <w:kern w:val="0"/>
        </w:rPr>
        <w:t xml:space="preserve"> new public telbib interface provides faceted searches</w:t>
      </w:r>
      <w:r w:rsidR="005853A9">
        <w:rPr>
          <w:kern w:val="0"/>
        </w:rPr>
        <w:t xml:space="preserve"> and </w:t>
      </w:r>
      <w:r>
        <w:rPr>
          <w:kern w:val="0"/>
        </w:rPr>
        <w:t>filtering, autosuggest support for author, bibcode</w:t>
      </w:r>
      <w:r w:rsidR="005853A9">
        <w:rPr>
          <w:kern w:val="0"/>
        </w:rPr>
        <w:t xml:space="preserve"> and </w:t>
      </w:r>
      <w:r>
        <w:rPr>
          <w:kern w:val="0"/>
        </w:rPr>
        <w:t>program ID searches, hit highlighting as well as recommendations for other papers</w:t>
      </w:r>
      <w:r w:rsidR="00427468">
        <w:rPr>
          <w:kern w:val="0"/>
        </w:rPr>
        <w:t xml:space="preserve"> of </w:t>
      </w:r>
      <w:r>
        <w:rPr>
          <w:kern w:val="0"/>
        </w:rPr>
        <w:t>possible interest. It is available at www.eso.org/libraries/telbib.htm1.</w:t>
      </w:r>
    </w:p>
    <w:p w:rsidR="00D56EC1" w:rsidRDefault="00D56EC1" w:rsidP="00D56EC1">
      <w:pPr>
        <w:pStyle w:val="a3"/>
        <w:rPr>
          <w:kern w:val="0"/>
        </w:rPr>
      </w:pPr>
      <w:r>
        <w:rPr>
          <w:kern w:val="0"/>
        </w:rPr>
        <w:t>Keywords: Bibliography, Bibliometric, Bibliometric Studies, Context, Facilities, Interface, Management, Papers, Public, Publications, Recommendations, Scientists, Support</w:t>
      </w:r>
    </w:p>
    <w:p w:rsidR="00985D5A" w:rsidRPr="00F219CA" w:rsidRDefault="00985D5A" w:rsidP="00985D5A">
      <w:pPr>
        <w:pStyle w:val="1"/>
      </w:pPr>
      <w:r w:rsidRPr="00F219CA">
        <w:br w:type="page"/>
      </w:r>
      <w:bookmarkStart w:id="671" w:name="_Toc338090870"/>
      <w:bookmarkStart w:id="672" w:name="_Toc420814648"/>
      <w:r w:rsidRPr="00F219CA">
        <w:lastRenderedPageBreak/>
        <w:t xml:space="preserve">Title: </w:t>
      </w:r>
      <w:r w:rsidRPr="00242E80">
        <w:rPr>
          <w:szCs w:val="24"/>
        </w:rPr>
        <w:t>Astronomical Journal</w:t>
      </w:r>
      <w:bookmarkEnd w:id="671"/>
      <w:bookmarkEnd w:id="672"/>
    </w:p>
    <w:p w:rsidR="00985D5A" w:rsidRPr="00F219CA" w:rsidRDefault="00985D5A" w:rsidP="00985D5A">
      <w:pPr>
        <w:pStyle w:val="12"/>
      </w:pPr>
      <w:r w:rsidRPr="00F219CA">
        <w:t xml:space="preserve">Full Journal Title: </w:t>
      </w:r>
      <w:r w:rsidRPr="00242E80">
        <w:rPr>
          <w:kern w:val="0"/>
        </w:rPr>
        <w:t>Astronomical Journal</w:t>
      </w:r>
    </w:p>
    <w:p w:rsidR="00985D5A" w:rsidRPr="00F219CA" w:rsidRDefault="00985D5A" w:rsidP="00985D5A">
      <w:pPr>
        <w:pStyle w:val="12"/>
      </w:pPr>
      <w:r w:rsidRPr="00F219CA">
        <w:t xml:space="preserve">ISO Abbreviated Title: </w:t>
      </w:r>
    </w:p>
    <w:p w:rsidR="00985D5A" w:rsidRPr="00F219CA" w:rsidRDefault="00985D5A" w:rsidP="00985D5A">
      <w:pPr>
        <w:pStyle w:val="12"/>
      </w:pPr>
      <w:r w:rsidRPr="00F219CA">
        <w:t xml:space="preserve">JCR Abbreviated Title: </w:t>
      </w:r>
    </w:p>
    <w:p w:rsidR="00985D5A" w:rsidRPr="00F219CA" w:rsidRDefault="00985D5A" w:rsidP="00985D5A">
      <w:pPr>
        <w:pStyle w:val="12"/>
      </w:pPr>
      <w:r w:rsidRPr="00F219CA">
        <w:t xml:space="preserve">ISSN: </w:t>
      </w:r>
    </w:p>
    <w:p w:rsidR="00985D5A" w:rsidRPr="00F219CA" w:rsidRDefault="00985D5A" w:rsidP="00985D5A">
      <w:pPr>
        <w:pStyle w:val="12"/>
      </w:pPr>
      <w:r w:rsidRPr="00F219CA">
        <w:t xml:space="preserve">Issues/Year: </w:t>
      </w:r>
    </w:p>
    <w:p w:rsidR="00985D5A" w:rsidRPr="00F219CA" w:rsidRDefault="00985D5A" w:rsidP="00985D5A">
      <w:pPr>
        <w:pStyle w:val="12"/>
      </w:pPr>
      <w:r w:rsidRPr="00F219CA">
        <w:t xml:space="preserve">Journal Country/Territory: </w:t>
      </w:r>
    </w:p>
    <w:p w:rsidR="00985D5A" w:rsidRPr="00F219CA" w:rsidRDefault="00985D5A" w:rsidP="00985D5A">
      <w:pPr>
        <w:pStyle w:val="12"/>
      </w:pPr>
      <w:r w:rsidRPr="00F219CA">
        <w:t xml:space="preserve">Language: </w:t>
      </w:r>
    </w:p>
    <w:p w:rsidR="00985D5A" w:rsidRPr="00F219CA" w:rsidRDefault="00985D5A" w:rsidP="00985D5A">
      <w:pPr>
        <w:pStyle w:val="12"/>
      </w:pPr>
      <w:r w:rsidRPr="00F219CA">
        <w:t xml:space="preserve">Publisher: </w:t>
      </w:r>
    </w:p>
    <w:p w:rsidR="00985D5A" w:rsidRPr="00F219CA" w:rsidRDefault="00985D5A" w:rsidP="00985D5A">
      <w:pPr>
        <w:pStyle w:val="12"/>
      </w:pPr>
      <w:r w:rsidRPr="00F219CA">
        <w:t xml:space="preserve">Publisher Address: </w:t>
      </w:r>
    </w:p>
    <w:p w:rsidR="00985D5A" w:rsidRPr="00F219CA" w:rsidRDefault="00985D5A" w:rsidP="00985D5A">
      <w:pPr>
        <w:pStyle w:val="12"/>
      </w:pPr>
      <w:r w:rsidRPr="00F219CA">
        <w:t xml:space="preserve">Subject Categories: </w:t>
      </w:r>
    </w:p>
    <w:p w:rsidR="00985D5A" w:rsidRPr="00F219CA" w:rsidRDefault="00985D5A" w:rsidP="00985D5A">
      <w:pPr>
        <w:pStyle w:val="12"/>
      </w:pPr>
      <w:r w:rsidRPr="00F219CA">
        <w:t xml:space="preserve">: Impact Factor </w:t>
      </w:r>
    </w:p>
    <w:p w:rsidR="00985D5A" w:rsidRDefault="00985D5A" w:rsidP="00985D5A">
      <w:pPr>
        <w:pStyle w:val="a3"/>
        <w:rPr>
          <w:kern w:val="0"/>
        </w:rPr>
      </w:pPr>
      <w:r>
        <w:rPr>
          <w:rFonts w:hint="eastAsia"/>
          <w:kern w:val="0"/>
        </w:rPr>
        <w:t xml:space="preserve">? </w:t>
      </w:r>
      <w:r>
        <w:rPr>
          <w:kern w:val="0"/>
        </w:rPr>
        <w:t>Abt, H.A. (2012), Scientific efficiency</w:t>
      </w:r>
      <w:r w:rsidR="00427468">
        <w:rPr>
          <w:kern w:val="0"/>
        </w:rPr>
        <w:t xml:space="preserve"> of </w:t>
      </w:r>
      <w:r>
        <w:rPr>
          <w:kern w:val="0"/>
        </w:rPr>
        <w:t xml:space="preserve">ground-based telescopes. </w:t>
      </w:r>
      <w:r>
        <w:rPr>
          <w:i/>
          <w:iCs/>
          <w:kern w:val="0"/>
        </w:rPr>
        <w:t>Astronomical Journal</w:t>
      </w:r>
      <w:r>
        <w:rPr>
          <w:kern w:val="0"/>
        </w:rPr>
        <w:t xml:space="preserve">, </w:t>
      </w:r>
      <w:r>
        <w:rPr>
          <w:b/>
          <w:bCs/>
          <w:kern w:val="0"/>
        </w:rPr>
        <w:t>144</w:t>
      </w:r>
      <w:r>
        <w:rPr>
          <w:kern w:val="0"/>
        </w:rPr>
        <w:t xml:space="preserve"> (4</w:t>
      </w:r>
      <w:r>
        <w:rPr>
          <w:rFonts w:hint="eastAsia"/>
          <w:kern w:val="0"/>
        </w:rPr>
        <w:t xml:space="preserve">), </w:t>
      </w:r>
      <w:r w:rsidRPr="004930BB">
        <w:rPr>
          <w:kern w:val="0"/>
        </w:rPr>
        <w:t>Article Number: 91</w:t>
      </w:r>
      <w:r>
        <w:rPr>
          <w:kern w:val="0"/>
        </w:rPr>
        <w:t>.</w:t>
      </w:r>
    </w:p>
    <w:p w:rsidR="00985D5A" w:rsidRDefault="00985D5A" w:rsidP="00985D5A">
      <w:pPr>
        <w:pStyle w:val="a3"/>
        <w:rPr>
          <w:kern w:val="0"/>
        </w:rPr>
      </w:pPr>
      <w:r w:rsidRPr="00F219CA">
        <w:rPr>
          <w:kern w:val="0"/>
        </w:rPr>
        <w:t xml:space="preserve">Full Text: </w:t>
      </w:r>
      <w:hyperlink r:id="rId1350" w:history="1">
        <w:r w:rsidRPr="00AF3F39">
          <w:rPr>
            <w:rStyle w:val="a5"/>
            <w:kern w:val="0"/>
          </w:rPr>
          <w:t>2012\Ast J144, 91.pdf</w:t>
        </w:r>
      </w:hyperlink>
    </w:p>
    <w:p w:rsidR="00985D5A" w:rsidRDefault="00985D5A" w:rsidP="00985D5A">
      <w:pPr>
        <w:pStyle w:val="a3"/>
        <w:rPr>
          <w:kern w:val="0"/>
        </w:rPr>
      </w:pPr>
      <w:r>
        <w:rPr>
          <w:kern w:val="0"/>
        </w:rPr>
        <w:t>Abstract: I scanned</w:t>
      </w:r>
      <w:r w:rsidR="003A1917">
        <w:rPr>
          <w:kern w:val="0"/>
        </w:rPr>
        <w:t xml:space="preserve"> the </w:t>
      </w:r>
      <w:r>
        <w:rPr>
          <w:kern w:val="0"/>
        </w:rPr>
        <w:t>six major astronomical journals</w:t>
      </w:r>
      <w:r w:rsidR="00427468">
        <w:rPr>
          <w:kern w:val="0"/>
        </w:rPr>
        <w:t xml:space="preserve"> of </w:t>
      </w:r>
      <w:r>
        <w:rPr>
          <w:kern w:val="0"/>
        </w:rPr>
        <w:t>2008 for all 1589 papers that are based on new data obtained from ground-based optical/IR telescopes worldwide</w:t>
      </w:r>
      <w:r w:rsidR="00A37C1D">
        <w:rPr>
          <w:kern w:val="0"/>
        </w:rPr>
        <w:t>. The</w:t>
      </w:r>
      <w:r>
        <w:rPr>
          <w:kern w:val="0"/>
        </w:rPr>
        <w:t>n I collected data on numbers</w:t>
      </w:r>
      <w:r w:rsidR="00427468">
        <w:rPr>
          <w:kern w:val="0"/>
        </w:rPr>
        <w:t xml:space="preserve"> of </w:t>
      </w:r>
      <w:r>
        <w:rPr>
          <w:kern w:val="0"/>
        </w:rPr>
        <w:t>papers, citations to them in 3 + years,</w:t>
      </w:r>
      <w:r w:rsidR="003A1917">
        <w:rPr>
          <w:kern w:val="0"/>
        </w:rPr>
        <w:t xml:space="preserve"> the </w:t>
      </w:r>
      <w:r>
        <w:rPr>
          <w:kern w:val="0"/>
        </w:rPr>
        <w:t>most-cited papers,</w:t>
      </w:r>
      <w:r w:rsidR="005853A9">
        <w:rPr>
          <w:kern w:val="0"/>
        </w:rPr>
        <w:t xml:space="preserve"> and </w:t>
      </w:r>
      <w:r>
        <w:rPr>
          <w:kern w:val="0"/>
        </w:rPr>
        <w:t>annual operating costs</w:t>
      </w:r>
      <w:r w:rsidR="00A37C1D">
        <w:rPr>
          <w:kern w:val="0"/>
        </w:rPr>
        <w:t>. The</w:t>
      </w:r>
      <w:r>
        <w:rPr>
          <w:kern w:val="0"/>
        </w:rPr>
        <w:t>se data are assigned to four groups by telescope aperture. For instance, while</w:t>
      </w:r>
      <w:r w:rsidR="003A1917">
        <w:rPr>
          <w:kern w:val="0"/>
        </w:rPr>
        <w:t xml:space="preserve"> the </w:t>
      </w:r>
      <w:r>
        <w:rPr>
          <w:kern w:val="0"/>
        </w:rPr>
        <w:t>papers from telescopes with an aperture &gt;7 m average 1.29 more citations than those with an aperture</w:t>
      </w:r>
      <w:r w:rsidR="00427468">
        <w:rPr>
          <w:kern w:val="0"/>
        </w:rPr>
        <w:t xml:space="preserve"> of </w:t>
      </w:r>
      <w:r>
        <w:rPr>
          <w:kern w:val="0"/>
        </w:rPr>
        <w:t>2 to &lt;4 m, this represents a small return for a factor</w:t>
      </w:r>
      <w:r w:rsidR="00427468">
        <w:rPr>
          <w:kern w:val="0"/>
        </w:rPr>
        <w:t xml:space="preserve"> of </w:t>
      </w:r>
      <w:r>
        <w:rPr>
          <w:kern w:val="0"/>
        </w:rPr>
        <w:t>four difference in operating costs. Among</w:t>
      </w:r>
      <w:r w:rsidR="003A1917">
        <w:rPr>
          <w:kern w:val="0"/>
        </w:rPr>
        <w:t xml:space="preserve"> the </w:t>
      </w:r>
      <w:r>
        <w:rPr>
          <w:kern w:val="0"/>
        </w:rPr>
        <w:t>17 papers that have received &gt;= 100 citations in 3 + years, only half come from</w:t>
      </w:r>
      <w:r w:rsidR="003A1917">
        <w:rPr>
          <w:kern w:val="0"/>
        </w:rPr>
        <w:t xml:space="preserve"> the </w:t>
      </w:r>
      <w:r>
        <w:rPr>
          <w:kern w:val="0"/>
        </w:rPr>
        <w:t>large (&gt;7 m) telescopes. I wonder why</w:t>
      </w:r>
      <w:r w:rsidR="003A1917">
        <w:rPr>
          <w:kern w:val="0"/>
        </w:rPr>
        <w:t xml:space="preserve"> the </w:t>
      </w:r>
      <w:r>
        <w:rPr>
          <w:kern w:val="0"/>
        </w:rPr>
        <w:t>large telescopes do so relatively poorly</w:t>
      </w:r>
      <w:r w:rsidR="005853A9">
        <w:rPr>
          <w:kern w:val="0"/>
        </w:rPr>
        <w:t xml:space="preserve"> and </w:t>
      </w:r>
      <w:r>
        <w:rPr>
          <w:kern w:val="0"/>
        </w:rPr>
        <w:t>suggest possible reasons. I also found that papers based on archival data, such as</w:t>
      </w:r>
      <w:r w:rsidR="003A1917">
        <w:rPr>
          <w:kern w:val="0"/>
        </w:rPr>
        <w:t xml:space="preserve"> the </w:t>
      </w:r>
      <w:r>
        <w:rPr>
          <w:kern w:val="0"/>
        </w:rPr>
        <w:t>Sloan Digital Sky Survey, produce 10.6% as many papers</w:t>
      </w:r>
      <w:r w:rsidR="005853A9">
        <w:rPr>
          <w:kern w:val="0"/>
        </w:rPr>
        <w:t xml:space="preserve"> and </w:t>
      </w:r>
      <w:r>
        <w:rPr>
          <w:kern w:val="0"/>
        </w:rPr>
        <w:t>20.6% as many citations as those based on new data. Also,</w:t>
      </w:r>
      <w:r w:rsidR="003A1917">
        <w:rPr>
          <w:kern w:val="0"/>
        </w:rPr>
        <w:t xml:space="preserve"> the </w:t>
      </w:r>
      <w:r>
        <w:rPr>
          <w:kern w:val="0"/>
        </w:rPr>
        <w:t>577.2 papers based on radio data produced 36.3% as many papers</w:t>
      </w:r>
      <w:r w:rsidR="005853A9">
        <w:rPr>
          <w:kern w:val="0"/>
        </w:rPr>
        <w:t xml:space="preserve"> and </w:t>
      </w:r>
      <w:r>
        <w:rPr>
          <w:kern w:val="0"/>
        </w:rPr>
        <w:t>33.6% as many citations as</w:t>
      </w:r>
      <w:r w:rsidR="003A1917">
        <w:rPr>
          <w:kern w:val="0"/>
        </w:rPr>
        <w:t xml:space="preserve"> the </w:t>
      </w:r>
      <w:r>
        <w:rPr>
          <w:kern w:val="0"/>
        </w:rPr>
        <w:t>1589 papers based on optical/IR telescopes.</w:t>
      </w:r>
    </w:p>
    <w:p w:rsidR="00985D5A" w:rsidRDefault="00985D5A" w:rsidP="00985D5A">
      <w:pPr>
        <w:pStyle w:val="a3"/>
        <w:rPr>
          <w:kern w:val="0"/>
        </w:rPr>
      </w:pPr>
      <w:r>
        <w:rPr>
          <w:kern w:val="0"/>
        </w:rPr>
        <w:t>Keywords: Astronomical Databases: Miscellaneous, Citations, Costs, Data, Deep Survey, Digital Sky Survey, Evolution, Field, Galaxies, Journals, Mass, Milky, Papers, Planet Search, Publications,</w:t>
      </w:r>
      <w:r>
        <w:rPr>
          <w:rFonts w:hint="eastAsia"/>
          <w:kern w:val="0"/>
        </w:rPr>
        <w:t xml:space="preserve"> </w:t>
      </w:r>
      <w:r>
        <w:rPr>
          <w:kern w:val="0"/>
        </w:rPr>
        <w:t>Bibliography, Small, Spectroscopy, Stars, Telescopes</w:t>
      </w:r>
    </w:p>
    <w:p w:rsidR="002A1621" w:rsidRPr="00F219CA" w:rsidRDefault="002A1621" w:rsidP="002A1621">
      <w:pPr>
        <w:pStyle w:val="1"/>
      </w:pPr>
      <w:r w:rsidRPr="00F219CA">
        <w:br w:type="page"/>
      </w:r>
      <w:bookmarkStart w:id="673" w:name="_Toc420814649"/>
      <w:r w:rsidRPr="00F219CA">
        <w:lastRenderedPageBreak/>
        <w:t>Title: Astronomische Nachrichten</w:t>
      </w:r>
      <w:bookmarkEnd w:id="673"/>
    </w:p>
    <w:p w:rsidR="002A1621" w:rsidRPr="00F219CA" w:rsidRDefault="002A1621" w:rsidP="002A1621">
      <w:pPr>
        <w:pStyle w:val="12"/>
      </w:pPr>
      <w:r w:rsidRPr="00F219CA">
        <w:t xml:space="preserve">Full Journal </w:t>
      </w:r>
      <w:bookmarkStart w:id="674" w:name="_Toc252661385"/>
      <w:r w:rsidRPr="00F219CA">
        <w:t xml:space="preserve">Title: </w:t>
      </w:r>
      <w:r w:rsidR="00206C8A">
        <w:fldChar w:fldCharType="begin"/>
      </w:r>
      <w:r w:rsidR="00FD158B">
        <w:instrText>HYPERLINK "http://www3.i</w:instrText>
      </w:r>
      <w:bookmarkEnd w:id="674"/>
      <w:r w:rsidR="00FD158B">
        <w:instrText>nterscience.wiley.com/journal/60500255/home"</w:instrText>
      </w:r>
      <w:r w:rsidR="00206C8A">
        <w:fldChar w:fldCharType="separate"/>
      </w:r>
      <w:r w:rsidRPr="00B60850">
        <w:rPr>
          <w:rStyle w:val="a5"/>
        </w:rPr>
        <w:t>Astronomische Nachrichten</w:t>
      </w:r>
      <w:r w:rsidR="00206C8A">
        <w:fldChar w:fldCharType="end"/>
      </w:r>
    </w:p>
    <w:p w:rsidR="002A1621" w:rsidRPr="00F219CA" w:rsidRDefault="002A1621" w:rsidP="002A1621">
      <w:pPr>
        <w:pStyle w:val="12"/>
      </w:pPr>
      <w:r w:rsidRPr="00F219CA">
        <w:t xml:space="preserve">ISO Abbreviated Title: </w:t>
      </w:r>
    </w:p>
    <w:p w:rsidR="002A1621" w:rsidRPr="00F219CA" w:rsidRDefault="002A1621" w:rsidP="002A1621">
      <w:pPr>
        <w:pStyle w:val="12"/>
      </w:pPr>
      <w:r w:rsidRPr="00F219CA">
        <w:t xml:space="preserve">JCR Abbreviated Title: </w:t>
      </w:r>
    </w:p>
    <w:p w:rsidR="002A1621" w:rsidRPr="00F219CA" w:rsidRDefault="002A1621" w:rsidP="002A1621">
      <w:pPr>
        <w:pStyle w:val="12"/>
      </w:pPr>
      <w:r w:rsidRPr="00F219CA">
        <w:t xml:space="preserve">ISSN: </w:t>
      </w:r>
    </w:p>
    <w:p w:rsidR="002A1621" w:rsidRPr="00F219CA" w:rsidRDefault="002A1621" w:rsidP="002A1621">
      <w:pPr>
        <w:pStyle w:val="12"/>
      </w:pPr>
      <w:r w:rsidRPr="00F219CA">
        <w:t xml:space="preserve">Issues/Year: </w:t>
      </w:r>
    </w:p>
    <w:p w:rsidR="002A1621" w:rsidRPr="00F219CA" w:rsidRDefault="002A1621" w:rsidP="002A1621">
      <w:pPr>
        <w:pStyle w:val="12"/>
      </w:pPr>
      <w:r w:rsidRPr="00F219CA">
        <w:t xml:space="preserve">Journal Country/Territory: </w:t>
      </w:r>
    </w:p>
    <w:p w:rsidR="002A1621" w:rsidRPr="00F219CA" w:rsidRDefault="002A1621" w:rsidP="002A1621">
      <w:pPr>
        <w:pStyle w:val="12"/>
      </w:pPr>
      <w:r w:rsidRPr="00F219CA">
        <w:t xml:space="preserve">Language: </w:t>
      </w:r>
    </w:p>
    <w:p w:rsidR="002A1621" w:rsidRPr="00F219CA" w:rsidRDefault="002A1621" w:rsidP="002A1621">
      <w:pPr>
        <w:pStyle w:val="12"/>
      </w:pPr>
      <w:r w:rsidRPr="00F219CA">
        <w:t xml:space="preserve">Publisher: </w:t>
      </w:r>
    </w:p>
    <w:p w:rsidR="002A1621" w:rsidRPr="00F219CA" w:rsidRDefault="002A1621" w:rsidP="002A1621">
      <w:pPr>
        <w:pStyle w:val="12"/>
      </w:pPr>
      <w:r w:rsidRPr="00F219CA">
        <w:t xml:space="preserve">Publisher Address: </w:t>
      </w:r>
    </w:p>
    <w:p w:rsidR="002A1621" w:rsidRPr="00F219CA" w:rsidRDefault="002A1621" w:rsidP="002A1621">
      <w:pPr>
        <w:pStyle w:val="12"/>
      </w:pPr>
      <w:r w:rsidRPr="00F219CA">
        <w:t xml:space="preserve">Subject Categories: </w:t>
      </w:r>
    </w:p>
    <w:p w:rsidR="002A1621" w:rsidRPr="00F219CA" w:rsidRDefault="002A1621" w:rsidP="002A1621">
      <w:pPr>
        <w:pStyle w:val="12"/>
      </w:pPr>
      <w:r w:rsidRPr="00F219CA">
        <w:t xml:space="preserve">: Impact Factor </w:t>
      </w:r>
    </w:p>
    <w:p w:rsidR="002A1621" w:rsidRPr="00F219CA" w:rsidRDefault="002A1621" w:rsidP="002A1621">
      <w:pPr>
        <w:pStyle w:val="a3"/>
        <w:rPr>
          <w:kern w:val="0"/>
          <w:szCs w:val="24"/>
        </w:rPr>
      </w:pPr>
      <w:r w:rsidRPr="00F219CA">
        <w:rPr>
          <w:kern w:val="0"/>
          <w:szCs w:val="24"/>
        </w:rPr>
        <w:t>? Sánchez, S.F.</w:t>
      </w:r>
      <w:r w:rsidR="005853A9">
        <w:rPr>
          <w:kern w:val="0"/>
          <w:szCs w:val="24"/>
        </w:rPr>
        <w:t xml:space="preserve"> and </w:t>
      </w:r>
      <w:r w:rsidRPr="00F219CA">
        <w:rPr>
          <w:kern w:val="0"/>
          <w:szCs w:val="24"/>
        </w:rPr>
        <w:t>Benn, C.R. (2004), Impact</w:t>
      </w:r>
      <w:r w:rsidR="00427468">
        <w:rPr>
          <w:kern w:val="0"/>
          <w:szCs w:val="24"/>
        </w:rPr>
        <w:t xml:space="preserve"> of </w:t>
      </w:r>
      <w:r w:rsidRPr="00F219CA">
        <w:rPr>
          <w:kern w:val="0"/>
          <w:szCs w:val="24"/>
        </w:rPr>
        <w:t xml:space="preserve">astronomical research from different countries. </w:t>
      </w:r>
      <w:r w:rsidRPr="00F219CA">
        <w:rPr>
          <w:i/>
          <w:iCs/>
          <w:kern w:val="0"/>
          <w:szCs w:val="24"/>
        </w:rPr>
        <w:t>Astronomische Nachrichten</w:t>
      </w:r>
      <w:r w:rsidRPr="00F219CA">
        <w:rPr>
          <w:kern w:val="0"/>
          <w:szCs w:val="24"/>
        </w:rPr>
        <w:t xml:space="preserve">, </w:t>
      </w:r>
      <w:r w:rsidRPr="00F219CA">
        <w:rPr>
          <w:b/>
          <w:bCs/>
          <w:kern w:val="0"/>
          <w:szCs w:val="24"/>
        </w:rPr>
        <w:t>325</w:t>
      </w:r>
      <w:r w:rsidRPr="00F219CA">
        <w:rPr>
          <w:kern w:val="0"/>
          <w:szCs w:val="24"/>
        </w:rPr>
        <w:t xml:space="preserve"> (5), 445-450.</w:t>
      </w:r>
    </w:p>
    <w:p w:rsidR="002A1621" w:rsidRPr="00F219CA" w:rsidRDefault="002A1621" w:rsidP="002A1621">
      <w:pPr>
        <w:pStyle w:val="a3"/>
        <w:rPr>
          <w:kern w:val="0"/>
          <w:szCs w:val="24"/>
        </w:rPr>
      </w:pPr>
      <w:r w:rsidRPr="00F219CA">
        <w:rPr>
          <w:kern w:val="0"/>
          <w:szCs w:val="24"/>
        </w:rPr>
        <w:t xml:space="preserve">Full Text: </w:t>
      </w:r>
      <w:hyperlink r:id="rId1351" w:history="1">
        <w:r w:rsidRPr="00F219CA">
          <w:rPr>
            <w:rStyle w:val="a5"/>
            <w:kern w:val="0"/>
            <w:szCs w:val="24"/>
          </w:rPr>
          <w:t>2004\Ast Nac325, 445.pdf</w:t>
        </w:r>
      </w:hyperlink>
    </w:p>
    <w:p w:rsidR="002A1621" w:rsidRPr="00F219CA" w:rsidRDefault="002A1621" w:rsidP="002A1621">
      <w:pPr>
        <w:pStyle w:val="a3"/>
        <w:rPr>
          <w:kern w:val="0"/>
          <w:szCs w:val="24"/>
        </w:rPr>
      </w:pPr>
      <w:r w:rsidRPr="00F219CA">
        <w:rPr>
          <w:kern w:val="0"/>
          <w:szCs w:val="24"/>
        </w:rPr>
        <w:t>Abstract:</w:t>
      </w:r>
      <w:r w:rsidR="003A1917">
        <w:rPr>
          <w:kern w:val="0"/>
          <w:szCs w:val="24"/>
        </w:rPr>
        <w:t xml:space="preserve"> the </w:t>
      </w:r>
      <w:r w:rsidRPr="00F219CA">
        <w:rPr>
          <w:kern w:val="0"/>
          <w:szCs w:val="24"/>
        </w:rPr>
        <w:t>impact</w:t>
      </w:r>
      <w:r w:rsidR="00427468">
        <w:rPr>
          <w:kern w:val="0"/>
          <w:szCs w:val="24"/>
        </w:rPr>
        <w:t xml:space="preserve"> of </w:t>
      </w:r>
      <w:r w:rsidRPr="00F219CA">
        <w:rPr>
          <w:kern w:val="0"/>
          <w:szCs w:val="24"/>
        </w:rPr>
        <w:t>astronomical research carried out by different countries has been compared by analysing</w:t>
      </w:r>
      <w:r w:rsidR="003A1917">
        <w:rPr>
          <w:kern w:val="0"/>
          <w:szCs w:val="24"/>
        </w:rPr>
        <w:t xml:space="preserve"> the </w:t>
      </w:r>
      <w:r w:rsidRPr="00F219CA">
        <w:rPr>
          <w:kern w:val="0"/>
          <w:szCs w:val="24"/>
        </w:rPr>
        <w:t>1000 most-cited astronomy papers published 1991-8 (125 from each year). 61%</w:t>
      </w:r>
      <w:r w:rsidR="00427468">
        <w:rPr>
          <w:kern w:val="0"/>
          <w:szCs w:val="24"/>
        </w:rPr>
        <w:t xml:space="preserve"> of </w:t>
      </w:r>
      <w:r w:rsidR="003A1917">
        <w:rPr>
          <w:kern w:val="0"/>
          <w:szCs w:val="24"/>
        </w:rPr>
        <w:t xml:space="preserve">the </w:t>
      </w:r>
      <w:r w:rsidRPr="00F219CA">
        <w:rPr>
          <w:kern w:val="0"/>
          <w:szCs w:val="24"/>
        </w:rPr>
        <w:t>citations are to papers with first authors at institutions in</w:t>
      </w:r>
      <w:r w:rsidR="003A1917">
        <w:rPr>
          <w:kern w:val="0"/>
          <w:szCs w:val="24"/>
        </w:rPr>
        <w:t xml:space="preserve"> the </w:t>
      </w:r>
      <w:r w:rsidR="00D5664A">
        <w:rPr>
          <w:kern w:val="0"/>
          <w:szCs w:val="24"/>
        </w:rPr>
        <w:t>USA</w:t>
      </w:r>
      <w:r w:rsidRPr="00F219CA">
        <w:rPr>
          <w:kern w:val="0"/>
          <w:szCs w:val="24"/>
        </w:rPr>
        <w:t>, 11% in</w:t>
      </w:r>
      <w:r w:rsidR="003A1917">
        <w:rPr>
          <w:kern w:val="0"/>
          <w:szCs w:val="24"/>
        </w:rPr>
        <w:t xml:space="preserve"> the </w:t>
      </w:r>
      <w:r w:rsidR="008E3069">
        <w:rPr>
          <w:kern w:val="0"/>
          <w:szCs w:val="24"/>
        </w:rPr>
        <w:t>UK,</w:t>
      </w:r>
      <w:r w:rsidRPr="00F219CA">
        <w:rPr>
          <w:kern w:val="0"/>
          <w:szCs w:val="24"/>
        </w:rPr>
        <w:t xml:space="preserve"> 5% in Germany, 4% in Canada, 3% in Italy</w:t>
      </w:r>
      <w:r w:rsidR="005853A9">
        <w:rPr>
          <w:kern w:val="0"/>
          <w:szCs w:val="24"/>
        </w:rPr>
        <w:t xml:space="preserve"> and </w:t>
      </w:r>
      <w:r w:rsidRPr="00F219CA">
        <w:rPr>
          <w:kern w:val="0"/>
          <w:szCs w:val="24"/>
        </w:rPr>
        <w:t>3% in France. 17% are to papers with first authors in ESO countries</w:t>
      </w:r>
      <w:r w:rsidR="00A37C1D">
        <w:rPr>
          <w:kern w:val="0"/>
          <w:szCs w:val="24"/>
        </w:rPr>
        <w:t>. The</w:t>
      </w:r>
      <w:r w:rsidR="003A1917">
        <w:rPr>
          <w:kern w:val="0"/>
          <w:szCs w:val="24"/>
        </w:rPr>
        <w:t xml:space="preserve"> </w:t>
      </w:r>
      <w:r w:rsidRPr="00F219CA">
        <w:rPr>
          <w:kern w:val="0"/>
          <w:szCs w:val="24"/>
        </w:rPr>
        <w:t>number</w:t>
      </w:r>
      <w:r w:rsidR="00427468">
        <w:rPr>
          <w:kern w:val="0"/>
          <w:szCs w:val="24"/>
        </w:rPr>
        <w:t xml:space="preserve"> of </w:t>
      </w:r>
      <w:r w:rsidRPr="00F219CA">
        <w:rPr>
          <w:kern w:val="0"/>
          <w:szCs w:val="24"/>
        </w:rPr>
        <w:t>citations is approximately proportional to</w:t>
      </w:r>
      <w:r w:rsidR="003A1917">
        <w:rPr>
          <w:kern w:val="0"/>
          <w:szCs w:val="24"/>
        </w:rPr>
        <w:t xml:space="preserve"> the </w:t>
      </w:r>
      <w:r w:rsidRPr="00F219CA">
        <w:rPr>
          <w:kern w:val="0"/>
          <w:szCs w:val="24"/>
        </w:rPr>
        <w:t>number</w:t>
      </w:r>
      <w:r w:rsidR="00427468">
        <w:rPr>
          <w:kern w:val="0"/>
          <w:szCs w:val="24"/>
        </w:rPr>
        <w:t xml:space="preserve"> of </w:t>
      </w:r>
      <w:r w:rsidRPr="00F219CA">
        <w:rPr>
          <w:kern w:val="0"/>
          <w:szCs w:val="24"/>
        </w:rPr>
        <w:t>IAU members in a given country</w:t>
      </w:r>
      <w:r w:rsidR="00A37C1D">
        <w:rPr>
          <w:kern w:val="0"/>
          <w:szCs w:val="24"/>
        </w:rPr>
        <w:t>. The</w:t>
      </w:r>
      <w:r w:rsidR="003A1917">
        <w:rPr>
          <w:kern w:val="0"/>
          <w:szCs w:val="24"/>
        </w:rPr>
        <w:t xml:space="preserve"> </w:t>
      </w:r>
      <w:r w:rsidRPr="00F219CA">
        <w:rPr>
          <w:kern w:val="0"/>
          <w:szCs w:val="24"/>
        </w:rPr>
        <w:t>number</w:t>
      </w:r>
      <w:r w:rsidR="00427468">
        <w:rPr>
          <w:kern w:val="0"/>
          <w:szCs w:val="24"/>
        </w:rPr>
        <w:t xml:space="preserve"> of </w:t>
      </w:r>
      <w:r w:rsidRPr="00F219CA">
        <w:rPr>
          <w:kern w:val="0"/>
          <w:szCs w:val="24"/>
        </w:rPr>
        <w:t>citations per IAU astronomer is highest in</w:t>
      </w:r>
      <w:r w:rsidR="003A1917">
        <w:rPr>
          <w:kern w:val="0"/>
          <w:szCs w:val="24"/>
        </w:rPr>
        <w:t xml:space="preserve"> the </w:t>
      </w:r>
      <w:r w:rsidR="00D5664A">
        <w:rPr>
          <w:kern w:val="0"/>
          <w:szCs w:val="24"/>
        </w:rPr>
        <w:t>USA</w:t>
      </w:r>
      <w:r w:rsidRPr="00F219CA">
        <w:rPr>
          <w:kern w:val="0"/>
          <w:szCs w:val="24"/>
        </w:rPr>
        <w:t>, Switzerland</w:t>
      </w:r>
      <w:r w:rsidR="005853A9">
        <w:rPr>
          <w:kern w:val="0"/>
          <w:szCs w:val="24"/>
        </w:rPr>
        <w:t xml:space="preserve"> and </w:t>
      </w:r>
      <w:r w:rsidR="003A1917">
        <w:rPr>
          <w:kern w:val="0"/>
          <w:szCs w:val="24"/>
        </w:rPr>
        <w:t xml:space="preserve">the </w:t>
      </w:r>
      <w:r w:rsidRPr="00F219CA">
        <w:rPr>
          <w:kern w:val="0"/>
          <w:szCs w:val="24"/>
        </w:rPr>
        <w:t>UK. Within continental Europe,</w:t>
      </w:r>
      <w:r w:rsidR="003A1917">
        <w:rPr>
          <w:kern w:val="0"/>
          <w:szCs w:val="24"/>
        </w:rPr>
        <w:t xml:space="preserve"> the </w:t>
      </w:r>
      <w:r w:rsidRPr="00F219CA">
        <w:rPr>
          <w:kern w:val="0"/>
          <w:szCs w:val="24"/>
        </w:rPr>
        <w:t>number</w:t>
      </w:r>
      <w:r w:rsidR="00427468">
        <w:rPr>
          <w:kern w:val="0"/>
          <w:szCs w:val="24"/>
        </w:rPr>
        <w:t xml:space="preserve"> of </w:t>
      </w:r>
      <w:r w:rsidRPr="00F219CA">
        <w:rPr>
          <w:kern w:val="0"/>
          <w:szCs w:val="24"/>
        </w:rPr>
        <w:t>citations per IAU astronomer varies little from country to country, but is slightly higher in</w:t>
      </w:r>
      <w:r w:rsidR="003A1917">
        <w:rPr>
          <w:kern w:val="0"/>
          <w:szCs w:val="24"/>
        </w:rPr>
        <w:t xml:space="preserve"> the </w:t>
      </w:r>
      <w:r w:rsidRPr="00F219CA">
        <w:rPr>
          <w:kern w:val="0"/>
          <w:szCs w:val="24"/>
        </w:rPr>
        <w:t>north than in</w:t>
      </w:r>
      <w:r w:rsidR="003A1917">
        <w:rPr>
          <w:kern w:val="0"/>
          <w:szCs w:val="24"/>
        </w:rPr>
        <w:t xml:space="preserve"> the </w:t>
      </w:r>
      <w:r w:rsidRPr="00F219CA">
        <w:rPr>
          <w:kern w:val="0"/>
          <w:szCs w:val="24"/>
        </w:rPr>
        <w:t>south</w:t>
      </w:r>
      <w:r w:rsidR="00A37C1D">
        <w:rPr>
          <w:kern w:val="0"/>
          <w:szCs w:val="24"/>
        </w:rPr>
        <w:t>. The</w:t>
      </w:r>
      <w:r w:rsidR="003A1917">
        <w:rPr>
          <w:kern w:val="0"/>
          <w:szCs w:val="24"/>
        </w:rPr>
        <w:t xml:space="preserve"> </w:t>
      </w:r>
      <w:r w:rsidRPr="00F219CA">
        <w:rPr>
          <w:kern w:val="0"/>
          <w:szCs w:val="24"/>
        </w:rPr>
        <w:t>sample</w:t>
      </w:r>
      <w:r w:rsidR="00427468">
        <w:rPr>
          <w:kern w:val="0"/>
          <w:szCs w:val="24"/>
        </w:rPr>
        <w:t xml:space="preserve"> of </w:t>
      </w:r>
      <w:r w:rsidRPr="00F219CA">
        <w:rPr>
          <w:kern w:val="0"/>
          <w:szCs w:val="24"/>
        </w:rPr>
        <w:t>1000 papers maps regional subject preferences. 62%</w:t>
      </w:r>
      <w:r w:rsidR="00427468">
        <w:rPr>
          <w:kern w:val="0"/>
          <w:szCs w:val="24"/>
        </w:rPr>
        <w:t xml:space="preserve"> of </w:t>
      </w:r>
      <w:r w:rsidR="003A1917">
        <w:rPr>
          <w:kern w:val="0"/>
          <w:szCs w:val="24"/>
        </w:rPr>
        <w:t xml:space="preserve">the </w:t>
      </w:r>
      <w:r w:rsidRPr="00F219CA">
        <w:rPr>
          <w:kern w:val="0"/>
          <w:szCs w:val="24"/>
        </w:rPr>
        <w:t>extragalactic papers in</w:t>
      </w:r>
      <w:r w:rsidR="003A1917">
        <w:rPr>
          <w:kern w:val="0"/>
          <w:szCs w:val="24"/>
        </w:rPr>
        <w:t xml:space="preserve"> the </w:t>
      </w:r>
      <w:r w:rsidRPr="00F219CA">
        <w:rPr>
          <w:kern w:val="0"/>
          <w:szCs w:val="24"/>
        </w:rPr>
        <w:t>sample were published from</w:t>
      </w:r>
      <w:r w:rsidR="003A1917">
        <w:rPr>
          <w:kern w:val="0"/>
          <w:szCs w:val="24"/>
        </w:rPr>
        <w:t xml:space="preserve"> the </w:t>
      </w:r>
      <w:r w:rsidR="00D5664A">
        <w:rPr>
          <w:kern w:val="0"/>
          <w:szCs w:val="24"/>
        </w:rPr>
        <w:t>USA</w:t>
      </w:r>
      <w:r w:rsidRPr="00F219CA">
        <w:rPr>
          <w:kern w:val="0"/>
          <w:szCs w:val="24"/>
        </w:rPr>
        <w:t>, 15% from</w:t>
      </w:r>
      <w:r w:rsidR="003A1917">
        <w:rPr>
          <w:kern w:val="0"/>
          <w:szCs w:val="24"/>
        </w:rPr>
        <w:t xml:space="preserve"> the </w:t>
      </w:r>
      <w:r w:rsidR="008E3069">
        <w:rPr>
          <w:kern w:val="0"/>
          <w:szCs w:val="24"/>
        </w:rPr>
        <w:t>UK,</w:t>
      </w:r>
      <w:r w:rsidRPr="00F219CA">
        <w:rPr>
          <w:kern w:val="0"/>
          <w:szCs w:val="24"/>
        </w:rPr>
        <w:t xml:space="preserve"> 23% from other countries (mainly in continental Europe). 62%</w:t>
      </w:r>
      <w:r w:rsidR="00427468">
        <w:rPr>
          <w:kern w:val="0"/>
          <w:szCs w:val="24"/>
        </w:rPr>
        <w:t xml:space="preserve"> of </w:t>
      </w:r>
      <w:r w:rsidR="003A1917">
        <w:rPr>
          <w:kern w:val="0"/>
          <w:szCs w:val="24"/>
        </w:rPr>
        <w:t xml:space="preserve">the </w:t>
      </w:r>
      <w:r w:rsidRPr="00F219CA">
        <w:rPr>
          <w:kern w:val="0"/>
          <w:szCs w:val="24"/>
        </w:rPr>
        <w:t>papers on stars were also published from</w:t>
      </w:r>
      <w:r w:rsidR="003A1917">
        <w:rPr>
          <w:kern w:val="0"/>
          <w:szCs w:val="24"/>
        </w:rPr>
        <w:t xml:space="preserve"> the </w:t>
      </w:r>
      <w:r w:rsidR="00D5664A">
        <w:rPr>
          <w:kern w:val="0"/>
          <w:szCs w:val="24"/>
        </w:rPr>
        <w:t>USA</w:t>
      </w:r>
      <w:r w:rsidRPr="00F219CA">
        <w:rPr>
          <w:kern w:val="0"/>
          <w:szCs w:val="24"/>
        </w:rPr>
        <w:t>, but</w:t>
      </w:r>
      <w:r w:rsidR="003A1917">
        <w:rPr>
          <w:kern w:val="0"/>
          <w:szCs w:val="24"/>
        </w:rPr>
        <w:t xml:space="preserve"> the </w:t>
      </w:r>
      <w:r w:rsidRPr="00F219CA">
        <w:rPr>
          <w:kern w:val="0"/>
          <w:szCs w:val="24"/>
        </w:rPr>
        <w:t>fractions from</w:t>
      </w:r>
      <w:r w:rsidR="003A1917">
        <w:rPr>
          <w:kern w:val="0"/>
          <w:szCs w:val="24"/>
        </w:rPr>
        <w:t xml:space="preserve"> the </w:t>
      </w:r>
      <w:r w:rsidRPr="00F219CA">
        <w:rPr>
          <w:kern w:val="0"/>
          <w:szCs w:val="24"/>
        </w:rPr>
        <w:t>UK</w:t>
      </w:r>
      <w:r w:rsidR="005853A9">
        <w:rPr>
          <w:kern w:val="0"/>
          <w:szCs w:val="24"/>
        </w:rPr>
        <w:t xml:space="preserve"> and </w:t>
      </w:r>
      <w:r w:rsidRPr="00F219CA">
        <w:rPr>
          <w:kern w:val="0"/>
          <w:szCs w:val="24"/>
        </w:rPr>
        <w:t>from other countries are 2%</w:t>
      </w:r>
      <w:r w:rsidR="005853A9">
        <w:rPr>
          <w:kern w:val="0"/>
          <w:szCs w:val="24"/>
        </w:rPr>
        <w:t xml:space="preserve"> and </w:t>
      </w:r>
      <w:r w:rsidRPr="00F219CA">
        <w:rPr>
          <w:kern w:val="0"/>
          <w:szCs w:val="24"/>
        </w:rPr>
        <w:t>36% respectively.</w:t>
      </w:r>
    </w:p>
    <w:p w:rsidR="002A1621" w:rsidRPr="00F219CA" w:rsidRDefault="002A1621" w:rsidP="002A1621">
      <w:pPr>
        <w:pStyle w:val="a3"/>
        <w:rPr>
          <w:kern w:val="0"/>
          <w:szCs w:val="24"/>
        </w:rPr>
      </w:pPr>
      <w:r w:rsidRPr="00F219CA">
        <w:rPr>
          <w:kern w:val="0"/>
          <w:szCs w:val="24"/>
        </w:rPr>
        <w:t>Keywords: Authors, Bibliometrics, Citations, Countries, Europe, Favors, Germany, Impact, Italy, Papers, Research, Scienciometrics, Scientific Productivity</w:t>
      </w:r>
    </w:p>
    <w:p w:rsidR="003474F2" w:rsidRPr="001A3D2B" w:rsidRDefault="003474F2" w:rsidP="003474F2">
      <w:pPr>
        <w:pStyle w:val="1"/>
      </w:pPr>
      <w:r w:rsidRPr="001A3D2B">
        <w:br w:type="page"/>
      </w:r>
      <w:bookmarkStart w:id="675" w:name="_Toc420814650"/>
      <w:r w:rsidRPr="001A3D2B">
        <w:lastRenderedPageBreak/>
        <w:t>Title: Astronomy &amp; Geophysics</w:t>
      </w:r>
      <w:bookmarkEnd w:id="675"/>
    </w:p>
    <w:p w:rsidR="003474F2" w:rsidRPr="001A3D2B" w:rsidRDefault="003474F2" w:rsidP="003474F2">
      <w:pPr>
        <w:pStyle w:val="12"/>
      </w:pPr>
      <w:r w:rsidRPr="001A3D2B">
        <w:t>Full Journal Title: Astronomy &amp; Geophysics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Blustin, A. (2007), Publication</w:t>
      </w:r>
      <w:r w:rsidR="005853A9">
        <w:t xml:space="preserve"> and </w:t>
      </w:r>
      <w:r w:rsidRPr="001A3D2B">
        <w:t xml:space="preserve">citation statistics for UK astronomers. </w:t>
      </w:r>
      <w:r w:rsidRPr="001A3D2B">
        <w:rPr>
          <w:i/>
          <w:iCs/>
        </w:rPr>
        <w:t>Astronomy &amp; Geophysics</w:t>
      </w:r>
      <w:r w:rsidRPr="001A3D2B">
        <w:t xml:space="preserve">, </w:t>
      </w:r>
      <w:r w:rsidRPr="001A3D2B">
        <w:rPr>
          <w:b/>
          <w:bCs/>
        </w:rPr>
        <w:t>48</w:t>
      </w:r>
      <w:r w:rsidRPr="001A3D2B">
        <w:t xml:space="preserve"> (6), 32-35.</w:t>
      </w:r>
    </w:p>
    <w:p w:rsidR="003474F2" w:rsidRPr="001A3D2B" w:rsidRDefault="003474F2" w:rsidP="003474F2">
      <w:pPr>
        <w:pStyle w:val="a3"/>
      </w:pPr>
      <w:r w:rsidRPr="001A3D2B">
        <w:t>Abstract: This article presents a survey</w:t>
      </w:r>
      <w:r w:rsidR="00427468">
        <w:t xml:space="preserve"> of </w:t>
      </w:r>
      <w:r w:rsidRPr="001A3D2B">
        <w:t>publication</w:t>
      </w:r>
      <w:r w:rsidR="005853A9">
        <w:t xml:space="preserve"> and </w:t>
      </w:r>
      <w:r w:rsidRPr="001A3D2B">
        <w:t>citation statistics for 835 UK professional astronomers:</w:t>
      </w:r>
      <w:r w:rsidR="003A1917">
        <w:t xml:space="preserve"> the </w:t>
      </w:r>
      <w:r w:rsidRPr="001A3D2B">
        <w:t>majority</w:t>
      </w:r>
      <w:r w:rsidR="00427468">
        <w:t xml:space="preserve"> of </w:t>
      </w:r>
      <w:r w:rsidRPr="001A3D2B">
        <w:t>academics</w:t>
      </w:r>
      <w:r w:rsidR="005853A9">
        <w:t xml:space="preserve"> and </w:t>
      </w:r>
      <w:r w:rsidRPr="001A3D2B">
        <w:t>contract researchers within</w:t>
      </w:r>
      <w:r w:rsidR="003A1917">
        <w:t xml:space="preserve"> the </w:t>
      </w:r>
      <w:r w:rsidRPr="001A3D2B">
        <w:t>UK astronomical community. I provide histograms</w:t>
      </w:r>
      <w:r w:rsidR="00427468">
        <w:t xml:space="preserve"> of </w:t>
      </w:r>
      <w:r w:rsidRPr="001A3D2B">
        <w:t>these bibliometrics for</w:t>
      </w:r>
      <w:r w:rsidR="003A1917">
        <w:t xml:space="preserve"> the </w:t>
      </w:r>
      <w:r w:rsidRPr="001A3D2B">
        <w:t>whole sample as well as</w:t>
      </w:r>
      <w:r w:rsidR="00427468">
        <w:t xml:space="preserve"> of </w:t>
      </w:r>
      <w:r w:rsidR="003A1917">
        <w:t xml:space="preserve">the </w:t>
      </w:r>
      <w:r w:rsidRPr="001A3D2B">
        <w:t>median values for</w:t>
      </w:r>
      <w:r w:rsidR="003A1917">
        <w:t xml:space="preserve"> the </w:t>
      </w:r>
      <w:r w:rsidRPr="001A3D2B">
        <w:t>individual departments. I discuss</w:t>
      </w:r>
      <w:r w:rsidR="003A1917">
        <w:t xml:space="preserve"> the </w:t>
      </w:r>
      <w:r w:rsidRPr="001A3D2B">
        <w:t>distribution</w:t>
      </w:r>
      <w:r w:rsidR="00427468">
        <w:t xml:space="preserve"> of </w:t>
      </w:r>
      <w:r w:rsidRPr="001A3D2B">
        <w:t>top bibliometric performers in</w:t>
      </w:r>
      <w:r w:rsidR="003A1917">
        <w:t xml:space="preserve"> the </w:t>
      </w:r>
      <w:r w:rsidRPr="001A3D2B">
        <w:t>sample,</w:t>
      </w:r>
      <w:r w:rsidR="005853A9">
        <w:t xml:space="preserve"> and </w:t>
      </w:r>
      <w:r w:rsidRPr="001A3D2B">
        <w:t>make some remarks on</w:t>
      </w:r>
      <w:r w:rsidR="003A1917">
        <w:t xml:space="preserve"> the </w:t>
      </w:r>
      <w:r w:rsidRPr="001A3D2B">
        <w:t>use</w:t>
      </w:r>
      <w:r w:rsidR="00427468">
        <w:t xml:space="preserve"> of </w:t>
      </w:r>
      <w:r w:rsidRPr="001A3D2B">
        <w:t>bibliometrics in a real-world assessment exercise.</w:t>
      </w:r>
    </w:p>
    <w:p w:rsidR="003474F2" w:rsidRPr="001A3D2B" w:rsidRDefault="003474F2" w:rsidP="003474F2">
      <w:pPr>
        <w:pStyle w:val="a3"/>
      </w:pPr>
      <w:r w:rsidRPr="001A3D2B">
        <w:t>Keywords: Bibliometrics</w:t>
      </w:r>
    </w:p>
    <w:p w:rsidR="00817A1A" w:rsidRPr="00F219CA" w:rsidRDefault="00817A1A" w:rsidP="00817A1A">
      <w:pPr>
        <w:pStyle w:val="1"/>
      </w:pPr>
      <w:r w:rsidRPr="00F219CA">
        <w:br w:type="page"/>
      </w:r>
      <w:bookmarkStart w:id="676" w:name="_Toc350426099"/>
      <w:bookmarkStart w:id="677" w:name="_Toc420814651"/>
      <w:r w:rsidRPr="00F219CA">
        <w:lastRenderedPageBreak/>
        <w:t>Title: Astrophysical Journal</w:t>
      </w:r>
      <w:bookmarkEnd w:id="676"/>
      <w:bookmarkEnd w:id="677"/>
    </w:p>
    <w:p w:rsidR="00817A1A" w:rsidRPr="00F219CA" w:rsidRDefault="00817A1A" w:rsidP="00817A1A">
      <w:pPr>
        <w:pStyle w:val="12"/>
      </w:pPr>
      <w:r w:rsidRPr="00F219CA">
        <w:t xml:space="preserve">Full Journal Title: </w:t>
      </w:r>
      <w:hyperlink r:id="rId1352" w:history="1">
        <w:r w:rsidRPr="00F219CA">
          <w:rPr>
            <w:rStyle w:val="a5"/>
          </w:rPr>
          <w:t>Astrophysical Journal</w:t>
        </w:r>
      </w:hyperlink>
    </w:p>
    <w:p w:rsidR="00817A1A" w:rsidRPr="00F219CA" w:rsidRDefault="00817A1A" w:rsidP="00817A1A">
      <w:pPr>
        <w:pStyle w:val="12"/>
      </w:pPr>
      <w:r w:rsidRPr="00F219CA">
        <w:t xml:space="preserve">ISO Abbreviated Title: </w:t>
      </w:r>
    </w:p>
    <w:p w:rsidR="00817A1A" w:rsidRPr="00F219CA" w:rsidRDefault="00817A1A" w:rsidP="00817A1A">
      <w:pPr>
        <w:pStyle w:val="12"/>
      </w:pPr>
      <w:r w:rsidRPr="00F219CA">
        <w:t xml:space="preserve">JCR Abbreviated Title: </w:t>
      </w:r>
    </w:p>
    <w:p w:rsidR="00817A1A" w:rsidRPr="00F219CA" w:rsidRDefault="00817A1A" w:rsidP="00817A1A">
      <w:pPr>
        <w:pStyle w:val="12"/>
      </w:pPr>
      <w:r w:rsidRPr="00F219CA">
        <w:t xml:space="preserve">ISSN: </w:t>
      </w:r>
    </w:p>
    <w:p w:rsidR="00817A1A" w:rsidRPr="00F219CA" w:rsidRDefault="00817A1A" w:rsidP="00817A1A">
      <w:pPr>
        <w:pStyle w:val="12"/>
      </w:pPr>
      <w:r w:rsidRPr="00F219CA">
        <w:t xml:space="preserve">Issues/Year: </w:t>
      </w:r>
    </w:p>
    <w:p w:rsidR="00817A1A" w:rsidRPr="00F219CA" w:rsidRDefault="00817A1A" w:rsidP="00817A1A">
      <w:pPr>
        <w:pStyle w:val="12"/>
      </w:pPr>
      <w:r w:rsidRPr="00F219CA">
        <w:t xml:space="preserve">Journal Country/Territory: </w:t>
      </w:r>
    </w:p>
    <w:p w:rsidR="00817A1A" w:rsidRPr="00F219CA" w:rsidRDefault="00817A1A" w:rsidP="00817A1A">
      <w:pPr>
        <w:pStyle w:val="12"/>
      </w:pPr>
      <w:r w:rsidRPr="00F219CA">
        <w:t xml:space="preserve">Language: </w:t>
      </w:r>
    </w:p>
    <w:p w:rsidR="00817A1A" w:rsidRPr="00F219CA" w:rsidRDefault="00817A1A" w:rsidP="00817A1A">
      <w:pPr>
        <w:pStyle w:val="12"/>
      </w:pPr>
      <w:r w:rsidRPr="00F219CA">
        <w:t xml:space="preserve">Publisher: </w:t>
      </w:r>
    </w:p>
    <w:p w:rsidR="00817A1A" w:rsidRPr="00F219CA" w:rsidRDefault="00817A1A" w:rsidP="00817A1A">
      <w:pPr>
        <w:pStyle w:val="12"/>
      </w:pPr>
      <w:r w:rsidRPr="00F219CA">
        <w:t xml:space="preserve">Publisher Address: </w:t>
      </w:r>
    </w:p>
    <w:p w:rsidR="00817A1A" w:rsidRPr="00F219CA" w:rsidRDefault="00817A1A" w:rsidP="00817A1A">
      <w:pPr>
        <w:pStyle w:val="12"/>
      </w:pPr>
      <w:r w:rsidRPr="00F219CA">
        <w:t xml:space="preserve">Subject Categories: </w:t>
      </w:r>
    </w:p>
    <w:p w:rsidR="00817A1A" w:rsidRPr="00F219CA" w:rsidRDefault="00817A1A" w:rsidP="00817A1A">
      <w:pPr>
        <w:pStyle w:val="12"/>
      </w:pPr>
      <w:r w:rsidRPr="00F219CA">
        <w:t xml:space="preserve">: Impact Factor </w:t>
      </w:r>
    </w:p>
    <w:p w:rsidR="00817A1A" w:rsidRDefault="00817A1A" w:rsidP="00817A1A">
      <w:pPr>
        <w:pStyle w:val="a3"/>
        <w:rPr>
          <w:kern w:val="0"/>
          <w:szCs w:val="24"/>
        </w:rPr>
      </w:pPr>
      <w:r>
        <w:rPr>
          <w:rFonts w:hint="eastAsia"/>
          <w:kern w:val="0"/>
          <w:szCs w:val="24"/>
        </w:rPr>
        <w:t xml:space="preserve">? </w:t>
      </w:r>
      <w:r>
        <w:rPr>
          <w:kern w:val="0"/>
          <w:szCs w:val="24"/>
        </w:rPr>
        <w:t>Banerjee, S.</w:t>
      </w:r>
      <w:r w:rsidR="005853A9">
        <w:rPr>
          <w:kern w:val="0"/>
          <w:szCs w:val="24"/>
        </w:rPr>
        <w:t xml:space="preserve"> and </w:t>
      </w:r>
      <w:r>
        <w:rPr>
          <w:kern w:val="0"/>
          <w:szCs w:val="24"/>
        </w:rPr>
        <w:t>Kroupa, P. (2013), Did the infant R136</w:t>
      </w:r>
      <w:r w:rsidR="005853A9">
        <w:rPr>
          <w:kern w:val="0"/>
          <w:szCs w:val="24"/>
        </w:rPr>
        <w:t xml:space="preserve"> and </w:t>
      </w:r>
      <w:r>
        <w:rPr>
          <w:kern w:val="0"/>
          <w:szCs w:val="24"/>
        </w:rPr>
        <w:t xml:space="preserve">NGC 3603 clusters undergo residual gas expulsion? </w:t>
      </w:r>
      <w:r>
        <w:rPr>
          <w:i/>
          <w:iCs/>
          <w:kern w:val="0"/>
          <w:szCs w:val="24"/>
        </w:rPr>
        <w:t>Astrophysical Journal</w:t>
      </w:r>
      <w:r>
        <w:rPr>
          <w:kern w:val="0"/>
          <w:szCs w:val="24"/>
        </w:rPr>
        <w:t xml:space="preserve">, </w:t>
      </w:r>
      <w:r>
        <w:rPr>
          <w:b/>
          <w:bCs/>
          <w:kern w:val="0"/>
          <w:szCs w:val="24"/>
        </w:rPr>
        <w:t>764</w:t>
      </w:r>
      <w:r>
        <w:rPr>
          <w:kern w:val="0"/>
          <w:szCs w:val="24"/>
        </w:rPr>
        <w:t xml:space="preserve"> (1</w:t>
      </w:r>
      <w:r>
        <w:rPr>
          <w:rFonts w:hint="eastAsia"/>
          <w:kern w:val="0"/>
          <w:szCs w:val="24"/>
        </w:rPr>
        <w:t xml:space="preserve">), </w:t>
      </w:r>
      <w:r>
        <w:rPr>
          <w:kern w:val="0"/>
          <w:szCs w:val="24"/>
        </w:rPr>
        <w:t>Article Number: 29.</w:t>
      </w:r>
    </w:p>
    <w:p w:rsidR="00817A1A" w:rsidRPr="00F219CA" w:rsidRDefault="00817A1A" w:rsidP="00817A1A">
      <w:pPr>
        <w:pStyle w:val="a3"/>
      </w:pPr>
      <w:r w:rsidRPr="00F219CA">
        <w:t xml:space="preserve">Full Text: </w:t>
      </w:r>
      <w:r w:rsidRPr="00817A1A">
        <w:t>2013\Ast J764, 29.pdf</w:t>
      </w:r>
    </w:p>
    <w:p w:rsidR="00817A1A" w:rsidRDefault="00817A1A" w:rsidP="00817A1A">
      <w:pPr>
        <w:pStyle w:val="a3"/>
        <w:rPr>
          <w:kern w:val="0"/>
          <w:szCs w:val="24"/>
        </w:rPr>
      </w:pPr>
      <w:r>
        <w:rPr>
          <w:kern w:val="0"/>
          <w:szCs w:val="24"/>
        </w:rPr>
        <w:t>Abstract: Based on kinematic data observed for very young, massive clusters that appear to be in dynamical equilibrium, it has recently been argued that such young systems are examples</w:t>
      </w:r>
      <w:r w:rsidR="00427468">
        <w:rPr>
          <w:kern w:val="0"/>
          <w:szCs w:val="24"/>
        </w:rPr>
        <w:t xml:space="preserve"> of </w:t>
      </w:r>
      <w:r>
        <w:rPr>
          <w:kern w:val="0"/>
          <w:szCs w:val="24"/>
        </w:rPr>
        <w:t>where the early residual gas expulsion did not happen or had no dynamical effect</w:t>
      </w:r>
      <w:r w:rsidR="00A37C1D">
        <w:rPr>
          <w:kern w:val="0"/>
          <w:szCs w:val="24"/>
        </w:rPr>
        <w:t>. The</w:t>
      </w:r>
      <w:r>
        <w:rPr>
          <w:kern w:val="0"/>
          <w:szCs w:val="24"/>
        </w:rPr>
        <w:t xml:space="preserve"> intriguing scenario</w:t>
      </w:r>
      <w:r w:rsidR="00427468">
        <w:rPr>
          <w:kern w:val="0"/>
          <w:szCs w:val="24"/>
        </w:rPr>
        <w:t xml:space="preserve"> of </w:t>
      </w:r>
      <w:r>
        <w:rPr>
          <w:kern w:val="0"/>
          <w:szCs w:val="24"/>
        </w:rPr>
        <w:t>a star cluster forming through a single starburst has thereby been challenged. Choosing the case</w:t>
      </w:r>
      <w:r w:rsidR="00427468">
        <w:rPr>
          <w:kern w:val="0"/>
          <w:szCs w:val="24"/>
        </w:rPr>
        <w:t xml:space="preserve"> of </w:t>
      </w:r>
      <w:r>
        <w:rPr>
          <w:kern w:val="0"/>
          <w:szCs w:val="24"/>
        </w:rPr>
        <w:t>the R136 cluster</w:t>
      </w:r>
      <w:r w:rsidR="00427468">
        <w:rPr>
          <w:kern w:val="0"/>
          <w:szCs w:val="24"/>
        </w:rPr>
        <w:t xml:space="preserve"> of </w:t>
      </w:r>
      <w:r>
        <w:rPr>
          <w:kern w:val="0"/>
          <w:szCs w:val="24"/>
        </w:rPr>
        <w:t>the Large Magellanic Cloud, the most cited one in this context, we perform direct N-body computations that mimic the early evolution</w:t>
      </w:r>
      <w:r w:rsidR="00427468">
        <w:rPr>
          <w:kern w:val="0"/>
          <w:szCs w:val="24"/>
        </w:rPr>
        <w:t xml:space="preserve"> of </w:t>
      </w:r>
      <w:r>
        <w:rPr>
          <w:kern w:val="0"/>
          <w:szCs w:val="24"/>
        </w:rPr>
        <w:t>this cluster including the gas-removal phase (on a thermal timescale). Our calculations show that under plausible initial conditions which are consistent with observational data, a large fraction (&gt;60%)</w:t>
      </w:r>
      <w:r w:rsidR="00427468">
        <w:rPr>
          <w:kern w:val="0"/>
          <w:szCs w:val="24"/>
        </w:rPr>
        <w:t xml:space="preserve"> of </w:t>
      </w:r>
      <w:r>
        <w:rPr>
          <w:kern w:val="0"/>
          <w:szCs w:val="24"/>
        </w:rPr>
        <w:t>a gas-expelled, expanding R136-like cluster is bound to regain dynamical equilibrium by its current age</w:t>
      </w:r>
      <w:r w:rsidR="00A37C1D">
        <w:rPr>
          <w:kern w:val="0"/>
          <w:szCs w:val="24"/>
        </w:rPr>
        <w:t>. The</w:t>
      </w:r>
      <w:r>
        <w:rPr>
          <w:kern w:val="0"/>
          <w:szCs w:val="24"/>
        </w:rPr>
        <w:t>refore, the recent measurements</w:t>
      </w:r>
      <w:r w:rsidR="00427468">
        <w:rPr>
          <w:kern w:val="0"/>
          <w:szCs w:val="24"/>
        </w:rPr>
        <w:t xml:space="preserve"> of </w:t>
      </w:r>
      <w:r>
        <w:rPr>
          <w:kern w:val="0"/>
          <w:szCs w:val="24"/>
        </w:rPr>
        <w:t>velocity dispersion in the inner regions</w:t>
      </w:r>
      <w:r w:rsidR="00427468">
        <w:rPr>
          <w:kern w:val="0"/>
          <w:szCs w:val="24"/>
        </w:rPr>
        <w:t xml:space="preserve"> of </w:t>
      </w:r>
      <w:r>
        <w:rPr>
          <w:kern w:val="0"/>
          <w:szCs w:val="24"/>
        </w:rPr>
        <w:t>R136, which indicate that the cluster is in dynamical equilibrium, are consistent with an earlier substantial gas expulsion</w:t>
      </w:r>
      <w:r w:rsidR="00427468">
        <w:rPr>
          <w:kern w:val="0"/>
          <w:szCs w:val="24"/>
        </w:rPr>
        <w:t xml:space="preserve"> of </w:t>
      </w:r>
      <w:r>
        <w:rPr>
          <w:kern w:val="0"/>
          <w:szCs w:val="24"/>
        </w:rPr>
        <w:t>R136 followed by a rapid re-virialization (in approximate to 1 Myr). Additionally, we find that the less massive Galactic NGC 3603 Young Cluster (NYC), with a substantially longer re-virialization time, is likely to be found to have deviated from dynamical equilibrium at its present age (approximate to 1 Myr)</w:t>
      </w:r>
      <w:r w:rsidR="00A37C1D">
        <w:rPr>
          <w:kern w:val="0"/>
          <w:szCs w:val="24"/>
        </w:rPr>
        <w:t>. The</w:t>
      </w:r>
      <w:r>
        <w:rPr>
          <w:kern w:val="0"/>
          <w:szCs w:val="24"/>
        </w:rPr>
        <w:t xml:space="preserve"> recently obtained stellar proper motions in the central part</w:t>
      </w:r>
      <w:r w:rsidR="00427468">
        <w:rPr>
          <w:kern w:val="0"/>
          <w:szCs w:val="24"/>
        </w:rPr>
        <w:t xml:space="preserve"> of </w:t>
      </w:r>
      <w:r>
        <w:rPr>
          <w:kern w:val="0"/>
          <w:szCs w:val="24"/>
        </w:rPr>
        <w:t>the NYC indeed suggest this</w:t>
      </w:r>
      <w:r w:rsidR="005853A9">
        <w:rPr>
          <w:kern w:val="0"/>
          <w:szCs w:val="24"/>
        </w:rPr>
        <w:t xml:space="preserve"> and </w:t>
      </w:r>
      <w:r>
        <w:rPr>
          <w:kern w:val="0"/>
          <w:szCs w:val="24"/>
        </w:rPr>
        <w:t>are consistent with the computed models. This work significantly extends previous models</w:t>
      </w:r>
      <w:r w:rsidR="00427468">
        <w:rPr>
          <w:kern w:val="0"/>
          <w:szCs w:val="24"/>
        </w:rPr>
        <w:t xml:space="preserve"> of </w:t>
      </w:r>
      <w:r>
        <w:rPr>
          <w:kern w:val="0"/>
          <w:szCs w:val="24"/>
        </w:rPr>
        <w:t>the Orion Nebula Cluster which already demonstrated that the re-virialization time</w:t>
      </w:r>
      <w:r w:rsidR="00427468">
        <w:rPr>
          <w:kern w:val="0"/>
          <w:szCs w:val="24"/>
        </w:rPr>
        <w:t xml:space="preserve"> of </w:t>
      </w:r>
      <w:r>
        <w:rPr>
          <w:kern w:val="0"/>
          <w:szCs w:val="24"/>
        </w:rPr>
        <w:t>young post-gas-expulsion clusters decreases with increasing pre-expulsion density.</w:t>
      </w:r>
    </w:p>
    <w:p w:rsidR="00817A1A" w:rsidRDefault="00817A1A" w:rsidP="00817A1A">
      <w:pPr>
        <w:pStyle w:val="a3"/>
        <w:rPr>
          <w:kern w:val="0"/>
          <w:szCs w:val="24"/>
        </w:rPr>
      </w:pPr>
      <w:r>
        <w:rPr>
          <w:kern w:val="0"/>
          <w:szCs w:val="24"/>
        </w:rPr>
        <w:lastRenderedPageBreak/>
        <w:t>Keywords: Age, Binary Populations, Cluster, Context, Data, Dispersion, Embedded Clusters, Equilibrium, Evolution, Galaxies: Individual (LMC), Galaxies: Star Clusters: General, HII-Regions, Infant, Initial Conditions, Initial Mass Function, Models, Molecular Clouds, Nearest Starburst Cluster, Observational, Open Clusters</w:t>
      </w:r>
      <w:r w:rsidR="005853A9">
        <w:rPr>
          <w:kern w:val="0"/>
          <w:szCs w:val="24"/>
        </w:rPr>
        <w:t xml:space="preserve"> and </w:t>
      </w:r>
      <w:r>
        <w:rPr>
          <w:kern w:val="0"/>
          <w:szCs w:val="24"/>
        </w:rPr>
        <w:t>Associations: Individual (R136,Ngc 3603), Orion Nebula, Recent, Scenario, Star-Formation, Stars: Kinematics</w:t>
      </w:r>
      <w:r w:rsidR="005853A9">
        <w:rPr>
          <w:kern w:val="0"/>
          <w:szCs w:val="24"/>
        </w:rPr>
        <w:t xml:space="preserve"> and </w:t>
      </w:r>
      <w:r>
        <w:rPr>
          <w:kern w:val="0"/>
          <w:szCs w:val="24"/>
        </w:rPr>
        <w:t>Dynamics, Stellar Clusters, Systems, Work</w:t>
      </w:r>
    </w:p>
    <w:p w:rsidR="003474F2" w:rsidRPr="001A3D2B" w:rsidRDefault="003474F2" w:rsidP="003474F2">
      <w:pPr>
        <w:pStyle w:val="1"/>
      </w:pPr>
      <w:r w:rsidRPr="001A3D2B">
        <w:br w:type="page"/>
      </w:r>
      <w:bookmarkStart w:id="678" w:name="_Toc420814652"/>
      <w:r w:rsidRPr="001A3D2B">
        <w:lastRenderedPageBreak/>
        <w:t>Title: Atenci</w:t>
      </w:r>
      <w:r w:rsidR="00CD7B0F">
        <w:rPr>
          <w:rFonts w:hint="eastAsia"/>
        </w:rPr>
        <w:t>o</w:t>
      </w:r>
      <w:r w:rsidRPr="001A3D2B">
        <w:t>n Primaria</w:t>
      </w:r>
      <w:bookmarkEnd w:id="678"/>
    </w:p>
    <w:p w:rsidR="003474F2" w:rsidRPr="001A3D2B" w:rsidRDefault="003474F2" w:rsidP="003474F2">
      <w:pPr>
        <w:pStyle w:val="12"/>
      </w:pPr>
      <w:r w:rsidRPr="001A3D2B">
        <w:t>Full Journal Title: A</w:t>
      </w:r>
      <w:bookmarkStart w:id="679" w:name="_Toc81215631"/>
      <w:r w:rsidRPr="001A3D2B">
        <w:t>tenci</w:t>
      </w:r>
      <w:r w:rsidR="00CD7B0F">
        <w:t>ó</w:t>
      </w:r>
      <w:r w:rsidRPr="001A3D2B">
        <w:t>n Primaria</w:t>
      </w:r>
    </w:p>
    <w:p w:rsidR="003474F2" w:rsidRPr="001A3D2B" w:rsidRDefault="003474F2" w:rsidP="003474F2">
      <w:pPr>
        <w:pStyle w:val="12"/>
      </w:pPr>
      <w:r w:rsidRPr="001A3D2B">
        <w:t>ISO Abb</w:t>
      </w:r>
      <w:bookmarkEnd w:id="679"/>
      <w:r w:rsidRPr="001A3D2B">
        <w:t xml:space="preserve">reviated Title: </w:t>
      </w:r>
    </w:p>
    <w:p w:rsidR="003474F2" w:rsidRPr="001A3D2B" w:rsidRDefault="003474F2" w:rsidP="003474F2">
      <w:pPr>
        <w:pStyle w:val="12"/>
      </w:pPr>
      <w:r w:rsidRPr="001A3D2B">
        <w:t>JCR Abbreviated Title: Aten Primaria</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TTopic</w:t>
      </w:r>
    </w:p>
    <w:p w:rsidR="003474F2" w:rsidRPr="001A3D2B" w:rsidRDefault="003474F2" w:rsidP="003474F2">
      <w:pPr>
        <w:pStyle w:val="a3"/>
      </w:pPr>
      <w:r w:rsidRPr="001A3D2B">
        <w:t>? Simo Minana, J., Gaztambide Ganuza, M.</w:t>
      </w:r>
      <w:r w:rsidR="005853A9">
        <w:t xml:space="preserve"> and </w:t>
      </w:r>
      <w:r w:rsidRPr="001A3D2B">
        <w:t xml:space="preserve">Latour Perez, J. (1999), </w:t>
      </w:r>
      <w:r w:rsidRPr="001A3D2B">
        <w:rPr>
          <w:szCs w:val="27"/>
        </w:rPr>
        <w:t>Scientific production</w:t>
      </w:r>
      <w:r w:rsidR="00427468">
        <w:rPr>
          <w:szCs w:val="27"/>
        </w:rPr>
        <w:t xml:space="preserve"> of </w:t>
      </w:r>
      <w:r w:rsidRPr="001A3D2B">
        <w:rPr>
          <w:szCs w:val="27"/>
        </w:rPr>
        <w:t xml:space="preserve">Spanish professionals in primary health care (1990-1997). A bibliometric analysis from </w:t>
      </w:r>
      <w:r w:rsidR="00D5664A">
        <w:rPr>
          <w:szCs w:val="27"/>
        </w:rPr>
        <w:t>MEDLINE</w:t>
      </w:r>
      <w:r w:rsidRPr="001A3D2B">
        <w:t xml:space="preserve">. </w:t>
      </w:r>
      <w:r w:rsidRPr="001A3D2B">
        <w:rPr>
          <w:i/>
          <w:iCs/>
        </w:rPr>
        <w:t>Atención Primaria</w:t>
      </w:r>
      <w:r w:rsidRPr="001A3D2B">
        <w:t xml:space="preserve">, </w:t>
      </w:r>
      <w:r w:rsidRPr="001A3D2B">
        <w:rPr>
          <w:b/>
        </w:rPr>
        <w:t>23</w:t>
      </w:r>
      <w:r w:rsidRPr="001A3D2B">
        <w:t xml:space="preserve"> (S1), 14-28.</w:t>
      </w:r>
    </w:p>
    <w:p w:rsidR="003474F2" w:rsidRPr="001A3D2B" w:rsidRDefault="003474F2" w:rsidP="003474F2">
      <w:pPr>
        <w:pStyle w:val="a3"/>
      </w:pPr>
      <w:r w:rsidRPr="001A3D2B">
        <w:t>OBJECTIVES: To describe</w:t>
      </w:r>
      <w:r w:rsidR="003A1917">
        <w:t xml:space="preserve"> the </w:t>
      </w:r>
      <w:r w:rsidRPr="001A3D2B">
        <w:t>scientific production</w:t>
      </w:r>
      <w:r w:rsidR="00427468">
        <w:t xml:space="preserve"> of </w:t>
      </w:r>
      <w:r w:rsidRPr="001A3D2B">
        <w:t>primary care (PC) Spanish professionals, during</w:t>
      </w:r>
      <w:r w:rsidR="003A1917">
        <w:t xml:space="preserve"> the </w:t>
      </w:r>
      <w:r w:rsidRPr="001A3D2B">
        <w:t xml:space="preserve">current decade, using </w:t>
      </w:r>
      <w:r w:rsidR="00D5664A">
        <w:t>MEDLINE</w:t>
      </w:r>
      <w:r w:rsidRPr="001A3D2B">
        <w:t xml:space="preserve"> database. To identify which factors would explain</w:t>
      </w:r>
      <w:r w:rsidR="003A1917">
        <w:t xml:space="preserve"> the </w:t>
      </w:r>
      <w:r w:rsidRPr="001A3D2B">
        <w:t>differences in</w:t>
      </w:r>
      <w:r w:rsidR="003A1917">
        <w:t xml:space="preserve"> the </w:t>
      </w:r>
      <w:r w:rsidRPr="001A3D2B">
        <w:t>scientific production</w:t>
      </w:r>
      <w:r w:rsidR="00427468">
        <w:t xml:space="preserve"> of </w:t>
      </w:r>
      <w:r w:rsidRPr="001A3D2B">
        <w:t>PC professionals among Spanish autonomous communities (AACC). DESIGN: Retrospective, descriptive</w:t>
      </w:r>
      <w:r w:rsidR="005853A9">
        <w:t xml:space="preserve"> and </w:t>
      </w:r>
      <w:r w:rsidRPr="001A3D2B">
        <w:t>analytical study. It has been designed a search strategy that will be used to retrieve this production from 1990 to 1997. MATERIAL: 1014 documents published in 44 journals during</w:t>
      </w:r>
      <w:r w:rsidR="003A1917">
        <w:t xml:space="preserve"> the </w:t>
      </w:r>
      <w:r w:rsidRPr="001A3D2B">
        <w:t>analysed period. MEASUREMENTS: Chronological evolution, authors, institutional addresses, geographic distribution, journals</w:t>
      </w:r>
      <w:r w:rsidR="005853A9">
        <w:t xml:space="preserve"> and </w:t>
      </w:r>
      <w:r w:rsidRPr="001A3D2B">
        <w:t>thematic areas</w:t>
      </w:r>
      <w:r w:rsidR="00427468">
        <w:t xml:space="preserve"> of </w:t>
      </w:r>
      <w:r w:rsidRPr="001A3D2B">
        <w:t>this scientific production were analysed</w:t>
      </w:r>
      <w:r w:rsidR="00A37C1D">
        <w:t>. The</w:t>
      </w:r>
      <w:r w:rsidR="003A1917">
        <w:t xml:space="preserve"> </w:t>
      </w:r>
      <w:r w:rsidRPr="001A3D2B">
        <w:t>scientific production</w:t>
      </w:r>
      <w:r w:rsidR="00427468">
        <w:t xml:space="preserve"> of </w:t>
      </w:r>
      <w:r w:rsidRPr="001A3D2B">
        <w:t>any AACC was studied according to its socio-economic</w:t>
      </w:r>
      <w:r w:rsidR="005853A9">
        <w:t xml:space="preserve"> and </w:t>
      </w:r>
      <w:r w:rsidRPr="001A3D2B">
        <w:t>human resources data. By uni</w:t>
      </w:r>
      <w:r w:rsidR="005853A9">
        <w:t xml:space="preserve"> and </w:t>
      </w:r>
      <w:r w:rsidRPr="001A3D2B">
        <w:t>multivariant analysis we studied if</w:t>
      </w:r>
      <w:r w:rsidR="003A1917">
        <w:t xml:space="preserve"> the </w:t>
      </w:r>
      <w:r w:rsidRPr="001A3D2B">
        <w:t>differences in PC professional</w:t>
      </w:r>
      <w:r w:rsidR="00700038">
        <w:t>’</w:t>
      </w:r>
      <w:r w:rsidR="00C13DDC">
        <w:t>s</w:t>
      </w:r>
      <w:r w:rsidRPr="001A3D2B">
        <w:t xml:space="preserve"> scientific production among</w:t>
      </w:r>
      <w:r w:rsidR="003A1917">
        <w:t xml:space="preserve"> the </w:t>
      </w:r>
      <w:r w:rsidRPr="001A3D2B">
        <w:t>AACC are explained by socio-economic variables, available human resources</w:t>
      </w:r>
      <w:r w:rsidR="005853A9">
        <w:t xml:space="preserve"> and </w:t>
      </w:r>
      <w:r w:rsidR="003A1917">
        <w:t xml:space="preserve">the </w:t>
      </w:r>
      <w:r w:rsidRPr="001A3D2B">
        <w:t>degree</w:t>
      </w:r>
      <w:r w:rsidR="00427468">
        <w:t xml:space="preserve"> of </w:t>
      </w:r>
      <w:r w:rsidRPr="001A3D2B">
        <w:t>implementation</w:t>
      </w:r>
      <w:r w:rsidR="00427468">
        <w:t xml:space="preserve"> of </w:t>
      </w:r>
      <w:r w:rsidR="003A1917">
        <w:t xml:space="preserve">the </w:t>
      </w:r>
      <w:r w:rsidRPr="001A3D2B">
        <w:t>new PC model in any AACC. MAIN RESULTS: During</w:t>
      </w:r>
      <w:r w:rsidR="003A1917">
        <w:t xml:space="preserve"> the </w:t>
      </w:r>
      <w:r w:rsidRPr="001A3D2B">
        <w:t xml:space="preserve">studied period, it was detected from </w:t>
      </w:r>
      <w:r w:rsidR="00D5664A">
        <w:t>MEDLINE</w:t>
      </w:r>
      <w:r w:rsidRPr="001A3D2B">
        <w:t xml:space="preserve"> an increase in</w:t>
      </w:r>
      <w:r w:rsidR="003A1917">
        <w:t xml:space="preserve"> the </w:t>
      </w:r>
      <w:r w:rsidRPr="001A3D2B">
        <w:t>scientific production</w:t>
      </w:r>
      <w:r w:rsidR="00427468">
        <w:t xml:space="preserve"> of </w:t>
      </w:r>
      <w:r w:rsidR="003A1917">
        <w:t xml:space="preserve">the </w:t>
      </w:r>
      <w:r w:rsidRPr="001A3D2B">
        <w:t>spanish PC professionals, either in articles published by Atencion Primaria journal (73.7%), as in other Spanish journals (22.6%)</w:t>
      </w:r>
      <w:r w:rsidR="005853A9">
        <w:t xml:space="preserve"> and </w:t>
      </w:r>
      <w:r w:rsidRPr="001A3D2B">
        <w:t>non-Spanish (3.7%) journals. In 71.9%</w:t>
      </w:r>
      <w:r w:rsidR="00427468">
        <w:t xml:space="preserve"> of </w:t>
      </w:r>
      <w:r w:rsidR="003A1917">
        <w:t xml:space="preserve">the </w:t>
      </w:r>
      <w:r w:rsidRPr="001A3D2B">
        <w:t>documents</w:t>
      </w:r>
      <w:r w:rsidR="003A1917">
        <w:t xml:space="preserve"> the </w:t>
      </w:r>
      <w:r w:rsidRPr="001A3D2B">
        <w:t>first author comes from a primary care centre</w:t>
      </w:r>
      <w:r w:rsidR="00A37C1D">
        <w:t>. The</w:t>
      </w:r>
      <w:r w:rsidR="003A1917">
        <w:t xml:space="preserve"> </w:t>
      </w:r>
      <w:r w:rsidRPr="001A3D2B">
        <w:t>main thematic areas treated in</w:t>
      </w:r>
      <w:r w:rsidR="003A1917">
        <w:t xml:space="preserve"> the </w:t>
      </w:r>
      <w:r w:rsidRPr="001A3D2B">
        <w:t>articles are family practice</w:t>
      </w:r>
      <w:r w:rsidR="005853A9">
        <w:t xml:space="preserve"> and </w:t>
      </w:r>
      <w:r w:rsidRPr="001A3D2B">
        <w:t>primary care topics, but a quarter</w:t>
      </w:r>
      <w:r w:rsidR="00427468">
        <w:t xml:space="preserve"> of </w:t>
      </w:r>
      <w:r w:rsidRPr="001A3D2B">
        <w:t>them tackled clinical topics</w:t>
      </w:r>
      <w:r w:rsidR="00A37C1D">
        <w:t>. The</w:t>
      </w:r>
      <w:r w:rsidR="003A1917">
        <w:t xml:space="preserve"> </w:t>
      </w:r>
      <w:r w:rsidRPr="001A3D2B">
        <w:t>only variable that explained</w:t>
      </w:r>
      <w:r w:rsidR="003A1917">
        <w:t xml:space="preserve"> the </w:t>
      </w:r>
      <w:r w:rsidRPr="001A3D2B">
        <w:t>differences in</w:t>
      </w:r>
      <w:r w:rsidR="003A1917">
        <w:t xml:space="preserve"> the </w:t>
      </w:r>
      <w:r w:rsidRPr="001A3D2B">
        <w:t>scientific production</w:t>
      </w:r>
      <w:r w:rsidR="00427468">
        <w:t xml:space="preserve"> of </w:t>
      </w:r>
      <w:r w:rsidRPr="001A3D2B">
        <w:t xml:space="preserve">these professionals </w:t>
      </w:r>
      <w:r w:rsidRPr="001A3D2B">
        <w:lastRenderedPageBreak/>
        <w:t>among AACC was</w:t>
      </w:r>
      <w:r w:rsidR="003A1917">
        <w:t xml:space="preserve"> the </w:t>
      </w:r>
      <w:r w:rsidRPr="001A3D2B">
        <w:t>bigger or lower increment</w:t>
      </w:r>
      <w:r w:rsidR="00427468">
        <w:t xml:space="preserve"> of </w:t>
      </w:r>
      <w:r w:rsidRPr="001A3D2B">
        <w:t>people covered by</w:t>
      </w:r>
      <w:r w:rsidR="003A1917">
        <w:t xml:space="preserve"> the </w:t>
      </w:r>
      <w:r w:rsidRPr="001A3D2B">
        <w:t>new PC model in any AACC during</w:t>
      </w:r>
      <w:r w:rsidR="003A1917">
        <w:t xml:space="preserve"> the </w:t>
      </w:r>
      <w:r w:rsidRPr="001A3D2B">
        <w:t>analysed period. This variable only explained 20%</w:t>
      </w:r>
      <w:r w:rsidR="00427468">
        <w:t xml:space="preserve"> of </w:t>
      </w:r>
      <w:r w:rsidR="003A1917">
        <w:t xml:space="preserve">the </w:t>
      </w:r>
      <w:r w:rsidRPr="001A3D2B">
        <w:t>variability</w:t>
      </w:r>
      <w:r w:rsidR="00A37C1D">
        <w:t>. The</w:t>
      </w:r>
      <w:r w:rsidR="003A1917">
        <w:t xml:space="preserve"> </w:t>
      </w:r>
      <w:r w:rsidRPr="001A3D2B">
        <w:t>level</w:t>
      </w:r>
      <w:r w:rsidR="00427468">
        <w:t xml:space="preserve"> of </w:t>
      </w:r>
      <w:r w:rsidRPr="001A3D2B">
        <w:t>provincial income was significantly</w:t>
      </w:r>
      <w:r w:rsidR="005853A9">
        <w:t xml:space="preserve"> and </w:t>
      </w:r>
      <w:r w:rsidRPr="001A3D2B">
        <w:t>inversely correlated with its scientific production. CONCLUSIONS: It can be set</w:t>
      </w:r>
      <w:r w:rsidR="003A1917">
        <w:t xml:space="preserve"> the </w:t>
      </w:r>
      <w:r w:rsidRPr="001A3D2B">
        <w:t>suitability</w:t>
      </w:r>
      <w:r w:rsidR="00427468">
        <w:t xml:space="preserve"> of </w:t>
      </w:r>
      <w:r w:rsidR="00D5664A">
        <w:t>MEDLINE</w:t>
      </w:r>
      <w:r w:rsidRPr="001A3D2B">
        <w:t xml:space="preserve"> for bibliometric studies</w:t>
      </w:r>
      <w:r w:rsidR="00427468">
        <w:t xml:space="preserve"> of </w:t>
      </w:r>
      <w:r w:rsidR="003A1917">
        <w:t xml:space="preserve">the </w:t>
      </w:r>
      <w:r w:rsidRPr="001A3D2B">
        <w:t>scientific production</w:t>
      </w:r>
      <w:r w:rsidR="00427468">
        <w:t xml:space="preserve"> of </w:t>
      </w:r>
      <w:r w:rsidR="003A1917">
        <w:t xml:space="preserve">the </w:t>
      </w:r>
      <w:r w:rsidRPr="001A3D2B">
        <w:t>spanish PC professionals. In global terms it has been detected an increment</w:t>
      </w:r>
      <w:r w:rsidR="00427468">
        <w:t xml:space="preserve"> of </w:t>
      </w:r>
      <w:r w:rsidRPr="001A3D2B">
        <w:t>this production</w:t>
      </w:r>
      <w:r w:rsidR="00A37C1D">
        <w:t>. The</w:t>
      </w:r>
      <w:r w:rsidR="003A1917">
        <w:t xml:space="preserve"> </w:t>
      </w:r>
      <w:r w:rsidRPr="001A3D2B">
        <w:t>degree</w:t>
      </w:r>
      <w:r w:rsidR="00427468">
        <w:t xml:space="preserve"> of </w:t>
      </w:r>
      <w:r w:rsidRPr="001A3D2B">
        <w:t>implementation</w:t>
      </w:r>
      <w:r w:rsidR="00427468">
        <w:t xml:space="preserve"> of </w:t>
      </w:r>
      <w:r w:rsidR="003A1917">
        <w:t xml:space="preserve">the </w:t>
      </w:r>
      <w:r w:rsidRPr="001A3D2B">
        <w:t>new PC model in any AACC, has partially explained</w:t>
      </w:r>
      <w:r w:rsidR="003A1917">
        <w:t xml:space="preserve"> the </w:t>
      </w:r>
      <w:r w:rsidRPr="001A3D2B">
        <w:t>differences in</w:t>
      </w:r>
      <w:r w:rsidR="003A1917">
        <w:t xml:space="preserve"> the </w:t>
      </w:r>
      <w:r w:rsidRPr="001A3D2B">
        <w:t>scientific production</w:t>
      </w:r>
      <w:r w:rsidR="00427468">
        <w:t xml:space="preserve"> of </w:t>
      </w:r>
      <w:r w:rsidRPr="001A3D2B">
        <w:t>their PC professionals.</w:t>
      </w:r>
    </w:p>
    <w:p w:rsidR="003474F2" w:rsidRPr="001A3D2B" w:rsidRDefault="003474F2" w:rsidP="003474F2">
      <w:pPr>
        <w:pStyle w:val="a3"/>
      </w:pPr>
      <w:r w:rsidRPr="001A3D2B">
        <w:t>Notes: TTopic</w:t>
      </w:r>
    </w:p>
    <w:p w:rsidR="003474F2" w:rsidRPr="001A3D2B" w:rsidRDefault="003474F2" w:rsidP="003474F2">
      <w:pPr>
        <w:pStyle w:val="a3"/>
      </w:pPr>
      <w:r w:rsidRPr="001A3D2B">
        <w:t>? Bellon Saameno, J.A.</w:t>
      </w:r>
      <w:r w:rsidR="005853A9">
        <w:t xml:space="preserve"> and </w:t>
      </w:r>
      <w:r w:rsidRPr="001A3D2B">
        <w:t xml:space="preserve">Martinez Canabate, T. (2001), </w:t>
      </w:r>
      <w:r w:rsidRPr="001A3D2B">
        <w:rPr>
          <w:szCs w:val="27"/>
        </w:rPr>
        <w:t>Research into communication</w:t>
      </w:r>
      <w:r w:rsidR="005853A9">
        <w:rPr>
          <w:szCs w:val="27"/>
        </w:rPr>
        <w:t xml:space="preserve"> and </w:t>
      </w:r>
      <w:r w:rsidRPr="001A3D2B">
        <w:rPr>
          <w:szCs w:val="27"/>
        </w:rPr>
        <w:t>health. A Spanish</w:t>
      </w:r>
      <w:r w:rsidR="005853A9">
        <w:rPr>
          <w:szCs w:val="27"/>
        </w:rPr>
        <w:t xml:space="preserve"> and </w:t>
      </w:r>
      <w:r w:rsidRPr="001A3D2B">
        <w:rPr>
          <w:szCs w:val="27"/>
        </w:rPr>
        <w:t>international perspective through bibliometric analysis</w:t>
      </w:r>
      <w:r w:rsidRPr="001A3D2B">
        <w:t xml:space="preserve">. </w:t>
      </w:r>
      <w:r w:rsidRPr="001A3D2B">
        <w:rPr>
          <w:i/>
          <w:iCs/>
        </w:rPr>
        <w:t>Atención Primaria</w:t>
      </w:r>
      <w:r w:rsidRPr="001A3D2B">
        <w:t xml:space="preserve">, </w:t>
      </w:r>
      <w:r w:rsidRPr="001A3D2B">
        <w:rPr>
          <w:b/>
        </w:rPr>
        <w:t>27</w:t>
      </w:r>
      <w:r w:rsidRPr="001A3D2B">
        <w:t xml:space="preserve"> (7), 452-458.</w:t>
      </w:r>
    </w:p>
    <w:p w:rsidR="003474F2" w:rsidRPr="001A3D2B" w:rsidRDefault="003474F2" w:rsidP="003474F2">
      <w:pPr>
        <w:pStyle w:val="a3"/>
      </w:pPr>
      <w:r w:rsidRPr="001A3D2B">
        <w:t>Abstract: OBJECTIVES: 1. To find</w:t>
      </w:r>
      <w:r w:rsidR="003A1917">
        <w:t xml:space="preserve"> the </w:t>
      </w:r>
      <w:r w:rsidRPr="001A3D2B">
        <w:t>scientific output on communication</w:t>
      </w:r>
      <w:r w:rsidR="005853A9">
        <w:t xml:space="preserve"> and </w:t>
      </w:r>
      <w:r w:rsidRPr="001A3D2B">
        <w:t>health both in Spain</w:t>
      </w:r>
      <w:r w:rsidR="005853A9">
        <w:t xml:space="preserve"> and </w:t>
      </w:r>
      <w:r w:rsidRPr="001A3D2B">
        <w:t>internationally. 2. To compare</w:t>
      </w:r>
      <w:r w:rsidR="003A1917">
        <w:t xml:space="preserve"> the </w:t>
      </w:r>
      <w:r w:rsidRPr="001A3D2B">
        <w:t>two outputs according to</w:t>
      </w:r>
      <w:r w:rsidR="003A1917">
        <w:t xml:space="preserve"> the </w:t>
      </w:r>
      <w:r w:rsidRPr="001A3D2B">
        <w:t>type</w:t>
      </w:r>
      <w:r w:rsidR="00427468">
        <w:t xml:space="preserve"> of </w:t>
      </w:r>
      <w:r w:rsidRPr="001A3D2B">
        <w:t>articles published</w:t>
      </w:r>
      <w:r w:rsidR="005853A9">
        <w:t xml:space="preserve"> and </w:t>
      </w:r>
      <w:r w:rsidR="003A1917">
        <w:t xml:space="preserve">the </w:t>
      </w:r>
      <w:r w:rsidRPr="001A3D2B">
        <w:t>design</w:t>
      </w:r>
      <w:r w:rsidR="00427468">
        <w:t xml:space="preserve"> of </w:t>
      </w:r>
      <w:r w:rsidR="003A1917">
        <w:t xml:space="preserve">the </w:t>
      </w:r>
      <w:r w:rsidRPr="001A3D2B">
        <w:t>research. DESIGN: Descriptive</w:t>
      </w:r>
      <w:r w:rsidR="005853A9">
        <w:t xml:space="preserve"> and </w:t>
      </w:r>
      <w:r w:rsidRPr="001A3D2B">
        <w:t>bibliometric study. MATERIAL:</w:t>
      </w:r>
      <w:r w:rsidR="003A1917">
        <w:t xml:space="preserve"> the </w:t>
      </w:r>
      <w:r w:rsidRPr="001A3D2B">
        <w:t xml:space="preserve">data bases </w:t>
      </w:r>
      <w:r w:rsidR="00D5664A">
        <w:t>MEDLINE</w:t>
      </w:r>
      <w:r w:rsidRPr="001A3D2B">
        <w:t xml:space="preserve"> (1995-2000)</w:t>
      </w:r>
      <w:r w:rsidR="005853A9">
        <w:t xml:space="preserve"> and </w:t>
      </w:r>
      <w:r w:rsidRPr="001A3D2B">
        <w:t>IME (1990-2000)</w:t>
      </w:r>
      <w:r w:rsidR="005853A9">
        <w:t xml:space="preserve"> and </w:t>
      </w:r>
      <w:r w:rsidR="003A1917">
        <w:t xml:space="preserve">the </w:t>
      </w:r>
      <w:r w:rsidRPr="001A3D2B">
        <w:t>books summarising papers from semFYC Congresses (1995-2000) were used. MEASUREMENTS:</w:t>
      </w:r>
      <w:r w:rsidR="003A1917">
        <w:t xml:space="preserve"> the </w:t>
      </w:r>
      <w:r w:rsidRPr="001A3D2B">
        <w:t>number</w:t>
      </w:r>
      <w:r w:rsidR="00427468">
        <w:t xml:space="preserve"> of </w:t>
      </w:r>
      <w:r w:rsidRPr="001A3D2B">
        <w:t xml:space="preserve">articles on </w:t>
      </w:r>
      <w:r w:rsidR="00D5664A">
        <w:t>MEDLINE</w:t>
      </w:r>
      <w:r w:rsidRPr="001A3D2B">
        <w:t xml:space="preserve"> published</w:t>
      </w:r>
      <w:r w:rsidR="005853A9">
        <w:t xml:space="preserve"> and </w:t>
      </w:r>
      <w:r w:rsidRPr="001A3D2B">
        <w:t>indexed with</w:t>
      </w:r>
      <w:r w:rsidR="003A1917">
        <w:t xml:space="preserve"> the </w:t>
      </w:r>
      <w:r w:rsidRPr="001A3D2B">
        <w:t>description &lt;&lt;physician-patient relationships&gt;&gt;, plus a series</w:t>
      </w:r>
      <w:r w:rsidR="00427468">
        <w:t xml:space="preserve"> of </w:t>
      </w:r>
      <w:r w:rsidRPr="001A3D2B">
        <w:t>subject describers that could be included under</w:t>
      </w:r>
      <w:r w:rsidR="003A1917">
        <w:t xml:space="preserve"> the </w:t>
      </w:r>
      <w:r w:rsidRPr="001A3D2B">
        <w:t>heading &lt;&lt;communication</w:t>
      </w:r>
      <w:r w:rsidR="005853A9">
        <w:t xml:space="preserve"> and </w:t>
      </w:r>
      <w:r w:rsidRPr="001A3D2B">
        <w:t>health&gt;&gt;, were counted. On</w:t>
      </w:r>
      <w:r w:rsidR="003A1917">
        <w:t xml:space="preserve"> the </w:t>
      </w:r>
      <w:r w:rsidRPr="001A3D2B">
        <w:t>IME</w:t>
      </w:r>
      <w:r w:rsidR="005853A9">
        <w:t xml:space="preserve"> and </w:t>
      </w:r>
      <w:r w:rsidRPr="001A3D2B">
        <w:t>in</w:t>
      </w:r>
      <w:r w:rsidR="003A1917">
        <w:t xml:space="preserve"> the </w:t>
      </w:r>
      <w:r w:rsidRPr="001A3D2B">
        <w:t>semFYC congress summaries</w:t>
      </w:r>
      <w:r w:rsidR="003A1917">
        <w:t xml:space="preserve"> the </w:t>
      </w:r>
      <w:r w:rsidRPr="001A3D2B">
        <w:t>describers &lt;&lt;communication, clinical interview, doctor-patient relationship, doctor-sick person communication</w:t>
      </w:r>
      <w:r w:rsidR="005853A9">
        <w:t xml:space="preserve"> and </w:t>
      </w:r>
      <w:r w:rsidRPr="001A3D2B">
        <w:t>doctor-patient communication&gt;&gt; were used</w:t>
      </w:r>
      <w:r w:rsidR="00A37C1D">
        <w:t>. The</w:t>
      </w:r>
      <w:r w:rsidR="003A1917">
        <w:t xml:space="preserve"> </w:t>
      </w:r>
      <w:r w:rsidRPr="001A3D2B">
        <w:t xml:space="preserve">articles indexed on </w:t>
      </w:r>
      <w:r w:rsidR="00D5664A">
        <w:t>MEDLINE</w:t>
      </w:r>
      <w:r w:rsidRPr="001A3D2B">
        <w:t>-IME were compared for their classification as original articles, clinical practice guidelines, review, editorial or letter to</w:t>
      </w:r>
      <w:r w:rsidR="003A1917">
        <w:t xml:space="preserve"> the </w:t>
      </w:r>
      <w:r w:rsidRPr="001A3D2B">
        <w:t>editor. Original articles were classified in randomised</w:t>
      </w:r>
      <w:r w:rsidR="005853A9">
        <w:t xml:space="preserve"> and </w:t>
      </w:r>
      <w:r w:rsidRPr="001A3D2B">
        <w:t>non-randomised trials, meta-analysis</w:t>
      </w:r>
      <w:r w:rsidR="005853A9">
        <w:t xml:space="preserve"> and </w:t>
      </w:r>
      <w:r w:rsidRPr="001A3D2B">
        <w:t xml:space="preserve">observation studies. MAIN RESULTS: 6766 articles were found on </w:t>
      </w:r>
      <w:r w:rsidR="00D5664A">
        <w:t>MEDLINE</w:t>
      </w:r>
      <w:r w:rsidRPr="001A3D2B">
        <w:t>, 42 on</w:t>
      </w:r>
      <w:r w:rsidR="003A1917">
        <w:t xml:space="preserve"> the </w:t>
      </w:r>
      <w:r w:rsidRPr="001A3D2B">
        <w:t>IME (0.046%</w:t>
      </w:r>
      <w:r w:rsidR="00427468">
        <w:t xml:space="preserve"> of </w:t>
      </w:r>
      <w:r w:rsidR="003A1917">
        <w:t xml:space="preserve">the </w:t>
      </w:r>
      <w:r w:rsidRPr="001A3D2B">
        <w:t>total indexed)</w:t>
      </w:r>
      <w:r w:rsidR="005853A9">
        <w:t xml:space="preserve"> and </w:t>
      </w:r>
      <w:r w:rsidRPr="001A3D2B">
        <w:t>34 summaries from semFYC congresses (1.47%</w:t>
      </w:r>
      <w:r w:rsidR="00427468">
        <w:t xml:space="preserve"> of </w:t>
      </w:r>
      <w:r w:rsidR="003A1917">
        <w:t xml:space="preserve">the </w:t>
      </w:r>
      <w:r w:rsidRPr="001A3D2B">
        <w:t>total). Among</w:t>
      </w:r>
      <w:r w:rsidR="003A1917">
        <w:t xml:space="preserve"> the </w:t>
      </w:r>
      <w:r w:rsidRPr="001A3D2B">
        <w:t>most commonly studied questions were found patients</w:t>
      </w:r>
      <w:r w:rsidR="00700038">
        <w:t>’</w:t>
      </w:r>
      <w:r w:rsidRPr="001A3D2B">
        <w:t xml:space="preserve"> information</w:t>
      </w:r>
      <w:r w:rsidR="005853A9">
        <w:t xml:space="preserve"> and </w:t>
      </w:r>
      <w:r w:rsidRPr="001A3D2B">
        <w:t>education, professional stress</w:t>
      </w:r>
      <w:r w:rsidR="005853A9">
        <w:t xml:space="preserve"> and </w:t>
      </w:r>
      <w:r w:rsidRPr="001A3D2B">
        <w:t>psychological interviews; among</w:t>
      </w:r>
      <w:r w:rsidR="003A1917">
        <w:t xml:space="preserve"> the </w:t>
      </w:r>
      <w:r w:rsidRPr="001A3D2B">
        <w:t>least studied were difficult</w:t>
      </w:r>
      <w:r w:rsidR="005853A9">
        <w:t xml:space="preserve"> and </w:t>
      </w:r>
      <w:r w:rsidRPr="001A3D2B">
        <w:t>aggressive patients, negotiation</w:t>
      </w:r>
      <w:r w:rsidR="005853A9">
        <w:t xml:space="preserve"> and </w:t>
      </w:r>
      <w:r w:rsidRPr="001A3D2B">
        <w:t>people accompanying patients</w:t>
      </w:r>
      <w:r w:rsidR="00A37C1D">
        <w:t>. The</w:t>
      </w:r>
      <w:r w:rsidR="003A1917">
        <w:t xml:space="preserve"> </w:t>
      </w:r>
      <w:r w:rsidRPr="001A3D2B">
        <w:t xml:space="preserve">original articles on </w:t>
      </w:r>
      <w:r w:rsidR="00D5664A">
        <w:t>MEDLINE</w:t>
      </w:r>
      <w:r w:rsidR="005853A9">
        <w:t xml:space="preserve"> and </w:t>
      </w:r>
      <w:r w:rsidRPr="001A3D2B">
        <w:t>IME were 70%</w:t>
      </w:r>
      <w:r w:rsidR="005853A9">
        <w:t xml:space="preserve"> and </w:t>
      </w:r>
      <w:r w:rsidRPr="001A3D2B">
        <w:t>37%;</w:t>
      </w:r>
      <w:r w:rsidR="005853A9">
        <w:t xml:space="preserve"> and </w:t>
      </w:r>
      <w:r w:rsidRPr="001A3D2B">
        <w:t>review articles, 11%</w:t>
      </w:r>
      <w:r w:rsidR="005853A9">
        <w:t xml:space="preserve"> and </w:t>
      </w:r>
      <w:r w:rsidRPr="001A3D2B">
        <w:t>44%. 1.4%</w:t>
      </w:r>
      <w:r w:rsidR="00427468">
        <w:t xml:space="preserve"> of </w:t>
      </w:r>
      <w:r w:rsidR="00D5664A">
        <w:t>MEDLINE</w:t>
      </w:r>
      <w:r w:rsidRPr="001A3D2B">
        <w:t xml:space="preserve"> articles were randomised trials;</w:t>
      </w:r>
      <w:r w:rsidR="005853A9">
        <w:t xml:space="preserve"> and </w:t>
      </w:r>
      <w:r w:rsidRPr="001A3D2B">
        <w:t>0.08%, meta-analysis. CONCLUSIONS: Communication</w:t>
      </w:r>
      <w:r w:rsidR="005853A9">
        <w:t xml:space="preserve"> and </w:t>
      </w:r>
      <w:r w:rsidRPr="001A3D2B">
        <w:t>health research is a young field that still requires descriptive studies</w:t>
      </w:r>
      <w:r w:rsidR="00A37C1D">
        <w:t>. The</w:t>
      </w:r>
      <w:r w:rsidRPr="001A3D2B">
        <w:t xml:space="preserve">re is little scientific output in this area in </w:t>
      </w:r>
      <w:smartTag w:uri="urn:schemas-microsoft-com:office:smarttags" w:element="place">
        <w:smartTag w:uri="urn:schemas-microsoft-com:office:smarttags" w:element="country-region">
          <w:r w:rsidRPr="001A3D2B">
            <w:t>Spain</w:t>
          </w:r>
        </w:smartTag>
      </w:smartTag>
      <w:r w:rsidRPr="001A3D2B">
        <w:t>, with few original papers</w:t>
      </w:r>
      <w:r w:rsidR="005853A9">
        <w:t xml:space="preserve"> and </w:t>
      </w:r>
      <w:r w:rsidRPr="001A3D2B">
        <w:t>too many reviews.</w:t>
      </w:r>
    </w:p>
    <w:p w:rsidR="003474F2" w:rsidRPr="001A3D2B" w:rsidRDefault="003474F2" w:rsidP="003474F2">
      <w:pPr>
        <w:pStyle w:val="a3"/>
      </w:pPr>
      <w:r w:rsidRPr="001A3D2B">
        <w:t xml:space="preserve">Keywords: Communication, Doctor-Patient Relationship, Bibliometric Study, </w:t>
      </w:r>
      <w:r w:rsidR="00D5664A">
        <w:lastRenderedPageBreak/>
        <w:t>MEDLINE</w:t>
      </w:r>
      <w:r w:rsidRPr="001A3D2B">
        <w:t>, IME</w:t>
      </w:r>
    </w:p>
    <w:p w:rsidR="003474F2" w:rsidRPr="001A3D2B" w:rsidRDefault="003474F2" w:rsidP="003474F2">
      <w:pPr>
        <w:pStyle w:val="a3"/>
      </w:pPr>
      <w:r w:rsidRPr="001A3D2B">
        <w:t>? Zurro, A.M., Badia, J.G., Villa, J.J.</w:t>
      </w:r>
      <w:r w:rsidR="005853A9">
        <w:t xml:space="preserve"> and </w:t>
      </w:r>
      <w:r w:rsidRPr="001A3D2B">
        <w:t xml:space="preserve">Martinez, C.B. (2008), </w:t>
      </w:r>
      <w:r w:rsidRPr="001A3D2B">
        <w:rPr>
          <w:i/>
          <w:iCs/>
        </w:rPr>
        <w:t>Atencion Primaria</w:t>
      </w:r>
      <w:r w:rsidRPr="001A3D2B">
        <w:t xml:space="preserve"> in</w:t>
      </w:r>
      <w:r w:rsidR="003A1917">
        <w:t xml:space="preserve"> the </w:t>
      </w:r>
      <w:r w:rsidRPr="001A3D2B">
        <w:t xml:space="preserve">science citation index expanded. </w:t>
      </w:r>
      <w:r w:rsidRPr="001A3D2B">
        <w:rPr>
          <w:i/>
          <w:iCs/>
        </w:rPr>
        <w:t>Atención Primaria</w:t>
      </w:r>
      <w:r w:rsidRPr="001A3D2B">
        <w:t xml:space="preserve">, </w:t>
      </w:r>
      <w:r w:rsidRPr="001A3D2B">
        <w:rPr>
          <w:b/>
          <w:bCs/>
        </w:rPr>
        <w:t>40</w:t>
      </w:r>
      <w:r w:rsidRPr="001A3D2B">
        <w:t xml:space="preserve"> (6), 275-276.</w:t>
      </w:r>
    </w:p>
    <w:p w:rsidR="003474F2" w:rsidRPr="001A3D2B" w:rsidRDefault="003474F2" w:rsidP="003474F2">
      <w:pPr>
        <w:pStyle w:val="a3"/>
      </w:pPr>
      <w:r w:rsidRPr="001A3D2B">
        <w:t>Keywords: Citation, Index, Jun, Science, Science Citation Index</w:t>
      </w:r>
    </w:p>
    <w:p w:rsidR="00261AA5" w:rsidRDefault="00261AA5" w:rsidP="00261AA5">
      <w:pPr>
        <w:pStyle w:val="a3"/>
        <w:rPr>
          <w:kern w:val="0"/>
        </w:rPr>
      </w:pPr>
      <w:r>
        <w:rPr>
          <w:rFonts w:hint="eastAsia"/>
          <w:kern w:val="0"/>
        </w:rPr>
        <w:t xml:space="preserve">? </w:t>
      </w:r>
      <w:r>
        <w:rPr>
          <w:kern w:val="0"/>
        </w:rPr>
        <w:t>Ortiz, Z.H.</w:t>
      </w:r>
      <w:r w:rsidR="005853A9">
        <w:rPr>
          <w:kern w:val="0"/>
        </w:rPr>
        <w:t xml:space="preserve"> and </w:t>
      </w:r>
      <w:r>
        <w:rPr>
          <w:kern w:val="0"/>
        </w:rPr>
        <w:t>Mendez, A.L. (2010), Efficacy</w:t>
      </w:r>
      <w:r w:rsidR="00427468">
        <w:rPr>
          <w:kern w:val="0"/>
        </w:rPr>
        <w:t xml:space="preserve"> of </w:t>
      </w:r>
      <w:r>
        <w:rPr>
          <w:kern w:val="0"/>
        </w:rPr>
        <w:t>oral/buccal insulin in</w:t>
      </w:r>
      <w:r w:rsidR="003A1917">
        <w:rPr>
          <w:kern w:val="0"/>
        </w:rPr>
        <w:t xml:space="preserve"> the </w:t>
      </w:r>
      <w:r>
        <w:rPr>
          <w:kern w:val="0"/>
        </w:rPr>
        <w:t>treatment</w:t>
      </w:r>
      <w:r w:rsidR="00427468">
        <w:rPr>
          <w:kern w:val="0"/>
        </w:rPr>
        <w:t xml:space="preserve"> of </w:t>
      </w:r>
      <w:r>
        <w:rPr>
          <w:kern w:val="0"/>
        </w:rPr>
        <w:t xml:space="preserve">diabetes mellitus. </w:t>
      </w:r>
      <w:r w:rsidRPr="001A3D2B">
        <w:rPr>
          <w:i/>
          <w:iCs/>
        </w:rPr>
        <w:t xml:space="preserve">Atención </w:t>
      </w:r>
      <w:r>
        <w:rPr>
          <w:i/>
          <w:iCs/>
          <w:kern w:val="0"/>
        </w:rPr>
        <w:t>Primaria</w:t>
      </w:r>
      <w:r>
        <w:rPr>
          <w:kern w:val="0"/>
        </w:rPr>
        <w:t xml:space="preserve">, </w:t>
      </w:r>
      <w:r>
        <w:rPr>
          <w:b/>
          <w:bCs/>
          <w:kern w:val="0"/>
        </w:rPr>
        <w:t>42</w:t>
      </w:r>
      <w:r>
        <w:rPr>
          <w:kern w:val="0"/>
        </w:rPr>
        <w:t xml:space="preserve"> (6), 316-321.</w:t>
      </w:r>
    </w:p>
    <w:p w:rsidR="00261AA5" w:rsidRDefault="00261AA5" w:rsidP="00261AA5">
      <w:pPr>
        <w:pStyle w:val="a3"/>
        <w:rPr>
          <w:kern w:val="0"/>
        </w:rPr>
      </w:pPr>
      <w:r>
        <w:rPr>
          <w:kern w:val="0"/>
        </w:rPr>
        <w:t>Abstract: Objective: To evaluate</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 xml:space="preserve">administering oral/buccal insulin. Design: Systematic review. Data sources: Reference databases, </w:t>
      </w:r>
      <w:r w:rsidR="00D5664A">
        <w:rPr>
          <w:kern w:val="0"/>
        </w:rPr>
        <w:t>MEDLINE</w:t>
      </w:r>
      <w:r>
        <w:rPr>
          <w:kern w:val="0"/>
        </w:rPr>
        <w:t xml:space="preserve">, EMBASE, Scopus, Current Contents,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Cochrane Library, European Drugs Agency, Food</w:t>
      </w:r>
      <w:r w:rsidR="005853A9">
        <w:rPr>
          <w:kern w:val="0"/>
        </w:rPr>
        <w:t xml:space="preserve"> and </w:t>
      </w:r>
      <w:r>
        <w:rPr>
          <w:kern w:val="0"/>
        </w:rPr>
        <w:t>Drug Administration, International Network</w:t>
      </w:r>
      <w:r w:rsidR="00427468">
        <w:rPr>
          <w:kern w:val="0"/>
        </w:rPr>
        <w:t xml:space="preserve"> of </w:t>
      </w:r>
      <w:r>
        <w:rPr>
          <w:kern w:val="0"/>
        </w:rPr>
        <w:t>Technological Evaluation Agencies, European Network for New</w:t>
      </w:r>
      <w:r w:rsidR="005853A9">
        <w:rPr>
          <w:kern w:val="0"/>
        </w:rPr>
        <w:t xml:space="preserve"> and </w:t>
      </w:r>
      <w:r>
        <w:rPr>
          <w:kern w:val="0"/>
        </w:rPr>
        <w:t>Emerging Technologies (Euro Scan),</w:t>
      </w:r>
      <w:r w:rsidR="005853A9">
        <w:rPr>
          <w:kern w:val="0"/>
        </w:rPr>
        <w:t xml:space="preserve"> and </w:t>
      </w:r>
      <w:r>
        <w:rPr>
          <w:kern w:val="0"/>
        </w:rPr>
        <w:t>gravel research registers. Selection</w:t>
      </w:r>
      <w:r w:rsidR="00427468">
        <w:rPr>
          <w:kern w:val="0"/>
        </w:rPr>
        <w:t xml:space="preserve"> of </w:t>
      </w:r>
      <w:r w:rsidR="003A1917">
        <w:rPr>
          <w:kern w:val="0"/>
        </w:rPr>
        <w:t xml:space="preserve">the </w:t>
      </w:r>
      <w:r>
        <w:rPr>
          <w:kern w:val="0"/>
        </w:rPr>
        <w:t>studies: Two clinical trials were found. Those studies that did not compare oral/buccal insulin with</w:t>
      </w:r>
      <w:r w:rsidR="003A1917">
        <w:rPr>
          <w:kern w:val="0"/>
        </w:rPr>
        <w:t xml:space="preserve"> the </w:t>
      </w:r>
      <w:r>
        <w:rPr>
          <w:kern w:val="0"/>
        </w:rPr>
        <w:t>standard treatment with injected insulin in terms</w:t>
      </w:r>
      <w:r w:rsidR="00427468">
        <w:rPr>
          <w:kern w:val="0"/>
        </w:rPr>
        <w:t xml:space="preserve"> of </w:t>
      </w:r>
      <w:r>
        <w:rPr>
          <w:kern w:val="0"/>
        </w:rPr>
        <w:t>clinical parameters in a population with diabetes were excluded. Extraction</w:t>
      </w:r>
      <w:r w:rsidR="00427468">
        <w:rPr>
          <w:kern w:val="0"/>
        </w:rPr>
        <w:t xml:space="preserve"> of </w:t>
      </w:r>
      <w:r>
        <w:rPr>
          <w:kern w:val="0"/>
        </w:rPr>
        <w:t>data: Critical reading according to</w:t>
      </w:r>
      <w:r w:rsidR="003A1917">
        <w:rPr>
          <w:kern w:val="0"/>
        </w:rPr>
        <w:t xml:space="preserve"> the </w:t>
      </w:r>
      <w:r>
        <w:rPr>
          <w:kern w:val="0"/>
        </w:rPr>
        <w:t>method proposed by</w:t>
      </w:r>
      <w:r w:rsidR="003A1917">
        <w:rPr>
          <w:kern w:val="0"/>
        </w:rPr>
        <w:t xml:space="preserve"> the </w:t>
      </w:r>
      <w:r>
        <w:rPr>
          <w:kern w:val="0"/>
        </w:rPr>
        <w:t>CASPe program</w:t>
      </w:r>
      <w:r w:rsidR="005853A9">
        <w:rPr>
          <w:kern w:val="0"/>
        </w:rPr>
        <w:t xml:space="preserve"> and </w:t>
      </w:r>
      <w:r w:rsidR="003A1917">
        <w:rPr>
          <w:kern w:val="0"/>
        </w:rPr>
        <w:t xml:space="preserve">the </w:t>
      </w:r>
      <w:r>
        <w:rPr>
          <w:kern w:val="0"/>
        </w:rPr>
        <w:t>Jadad scale. Results: Buccal insulin produced a greater</w:t>
      </w:r>
      <w:r w:rsidR="005853A9">
        <w:rPr>
          <w:kern w:val="0"/>
        </w:rPr>
        <w:t xml:space="preserve"> and </w:t>
      </w:r>
      <w:r>
        <w:rPr>
          <w:kern w:val="0"/>
        </w:rPr>
        <w:t>earlier reduction in post-prandial blood glucose at 30 min in</w:t>
      </w:r>
      <w:r w:rsidR="003A1917">
        <w:rPr>
          <w:kern w:val="0"/>
        </w:rPr>
        <w:t xml:space="preserve"> the </w:t>
      </w:r>
      <w:r>
        <w:rPr>
          <w:kern w:val="0"/>
        </w:rPr>
        <w:t>intervention group compared to</w:t>
      </w:r>
      <w:r w:rsidR="003A1917">
        <w:rPr>
          <w:kern w:val="0"/>
        </w:rPr>
        <w:t xml:space="preserve"> the </w:t>
      </w:r>
      <w:r>
        <w:rPr>
          <w:kern w:val="0"/>
        </w:rPr>
        <w:t>control group (decrease</w:t>
      </w:r>
      <w:r w:rsidR="00427468">
        <w:rPr>
          <w:kern w:val="0"/>
        </w:rPr>
        <w:t xml:space="preserve"> of </w:t>
      </w:r>
      <w:r>
        <w:rPr>
          <w:kern w:val="0"/>
        </w:rPr>
        <w:t>55 mg/dl)</w:t>
      </w:r>
      <w:r w:rsidR="005853A9">
        <w:rPr>
          <w:kern w:val="0"/>
        </w:rPr>
        <w:t xml:space="preserve"> and </w:t>
      </w:r>
      <w:r>
        <w:rPr>
          <w:kern w:val="0"/>
        </w:rPr>
        <w:t>a higher</w:t>
      </w:r>
      <w:r w:rsidR="005853A9">
        <w:rPr>
          <w:kern w:val="0"/>
        </w:rPr>
        <w:t xml:space="preserve"> and </w:t>
      </w:r>
      <w:r>
        <w:rPr>
          <w:kern w:val="0"/>
        </w:rPr>
        <w:t>more rapid peak blood insulin (98 compared to 65 mu U/mL)</w:t>
      </w:r>
      <w:r w:rsidR="00A37C1D">
        <w:rPr>
          <w:kern w:val="0"/>
        </w:rPr>
        <w:t>. The</w:t>
      </w:r>
      <w:r w:rsidR="003A1917">
        <w:rPr>
          <w:kern w:val="0"/>
        </w:rPr>
        <w:t xml:space="preserve"> </w:t>
      </w:r>
      <w:r>
        <w:rPr>
          <w:kern w:val="0"/>
        </w:rPr>
        <w:t>postprandial levels with oral insulin were similar to those obtained with injected insulin,</w:t>
      </w:r>
      <w:r w:rsidR="005853A9">
        <w:rPr>
          <w:kern w:val="0"/>
        </w:rPr>
        <w:t xml:space="preserve"> and </w:t>
      </w:r>
      <w:r>
        <w:rPr>
          <w:kern w:val="0"/>
        </w:rPr>
        <w:t>had a higher maximum insulin concentration (110+/-130 vs. 96.3+/-69.7 mu U/mL). Conclusions: Oral/buccal insulin gives, at least, results similar to</w:t>
      </w:r>
      <w:r w:rsidR="003A1917">
        <w:rPr>
          <w:kern w:val="0"/>
        </w:rPr>
        <w:t xml:space="preserve"> the </w:t>
      </w:r>
      <w:r>
        <w:rPr>
          <w:kern w:val="0"/>
        </w:rPr>
        <w:t>standard treatment. However,</w:t>
      </w:r>
      <w:r w:rsidR="003A1917">
        <w:rPr>
          <w:kern w:val="0"/>
        </w:rPr>
        <w:t xml:space="preserve"> the </w:t>
      </w:r>
      <w:r>
        <w:rPr>
          <w:kern w:val="0"/>
        </w:rPr>
        <w:t>studies had methodological problems</w:t>
      </w:r>
      <w:r w:rsidR="00427468">
        <w:rPr>
          <w:kern w:val="0"/>
        </w:rPr>
        <w:t xml:space="preserve"> of </w:t>
      </w:r>
      <w:r>
        <w:rPr>
          <w:kern w:val="0"/>
        </w:rPr>
        <w:t>internal</w:t>
      </w:r>
      <w:r w:rsidR="005853A9">
        <w:rPr>
          <w:kern w:val="0"/>
        </w:rPr>
        <w:t xml:space="preserve"> and </w:t>
      </w:r>
      <w:r>
        <w:rPr>
          <w:kern w:val="0"/>
        </w:rPr>
        <w:t>external validity. Studies</w:t>
      </w:r>
      <w:r w:rsidR="00427468">
        <w:rPr>
          <w:kern w:val="0"/>
        </w:rPr>
        <w:t xml:space="preserve"> of </w:t>
      </w:r>
      <w:r>
        <w:rPr>
          <w:kern w:val="0"/>
        </w:rPr>
        <w:t>longer duration are required to evaluate</w:t>
      </w:r>
      <w:r w:rsidR="003A1917">
        <w:rPr>
          <w:kern w:val="0"/>
        </w:rPr>
        <w:t xml:space="preserve"> the </w:t>
      </w:r>
      <w:r>
        <w:rPr>
          <w:kern w:val="0"/>
        </w:rPr>
        <w:t>long-term efficacy</w:t>
      </w:r>
      <w:r w:rsidR="005853A9">
        <w:rPr>
          <w:kern w:val="0"/>
        </w:rPr>
        <w:t xml:space="preserve"> and </w:t>
      </w:r>
      <w:r>
        <w:rPr>
          <w:kern w:val="0"/>
        </w:rPr>
        <w:t>safety. (C) 2008 Elsevier Espana, S.L. All rights reserved.</w:t>
      </w:r>
    </w:p>
    <w:p w:rsidR="00261AA5" w:rsidRDefault="00261AA5" w:rsidP="00261AA5">
      <w:pPr>
        <w:pStyle w:val="a3"/>
        <w:rPr>
          <w:kern w:val="0"/>
        </w:rPr>
      </w:pPr>
      <w:r>
        <w:rPr>
          <w:kern w:val="0"/>
        </w:rPr>
        <w:t xml:space="preserve">Keywords: Administration, Blood, Buccal Insulin, Clinical Trials, Cochrane, Control, Critical, Databases, Diabetes, Diabetes Mellitus, Drugs, Efficacy, EMBASE, Evaluation, Extraction, Insulin, Intervention, </w:t>
      </w:r>
      <w:r w:rsidR="00D5664A">
        <w:rPr>
          <w:kern w:val="0"/>
        </w:rPr>
        <w:t>MEDLINE</w:t>
      </w:r>
      <w:r>
        <w:rPr>
          <w:kern w:val="0"/>
        </w:rPr>
        <w:t xml:space="preserve">, Oral Insulin, Research, Review, Safety, Science, Scopus, Systematic, Systematic Review, Treatment, Validity, </w:t>
      </w:r>
      <w:r w:rsidR="00D5664A">
        <w:rPr>
          <w:kern w:val="0"/>
        </w:rPr>
        <w:t>Web</w:t>
      </w:r>
      <w:r w:rsidR="00427468">
        <w:rPr>
          <w:kern w:val="0"/>
        </w:rPr>
        <w:t xml:space="preserve"> of </w:t>
      </w:r>
      <w:r w:rsidR="00D5664A">
        <w:rPr>
          <w:kern w:val="0"/>
        </w:rPr>
        <w:t>Science</w:t>
      </w:r>
    </w:p>
    <w:p w:rsidR="00464632" w:rsidRDefault="00464632" w:rsidP="00464632">
      <w:pPr>
        <w:pStyle w:val="a3"/>
        <w:rPr>
          <w:kern w:val="0"/>
          <w:szCs w:val="24"/>
        </w:rPr>
      </w:pPr>
      <w:r>
        <w:rPr>
          <w:rFonts w:hint="eastAsia"/>
          <w:kern w:val="0"/>
          <w:szCs w:val="24"/>
        </w:rPr>
        <w:t xml:space="preserve">? </w:t>
      </w:r>
      <w:r>
        <w:rPr>
          <w:kern w:val="0"/>
          <w:szCs w:val="24"/>
        </w:rPr>
        <w:t>Cuixart, C.B.</w:t>
      </w:r>
      <w:r w:rsidR="005853A9">
        <w:rPr>
          <w:kern w:val="0"/>
          <w:szCs w:val="24"/>
        </w:rPr>
        <w:t xml:space="preserve"> and </w:t>
      </w:r>
      <w:r>
        <w:rPr>
          <w:kern w:val="0"/>
          <w:szCs w:val="24"/>
        </w:rPr>
        <w:t>Pelaez, I.M. (2010), Primary prevention</w:t>
      </w:r>
      <w:r w:rsidR="00427468">
        <w:rPr>
          <w:kern w:val="0"/>
          <w:szCs w:val="24"/>
        </w:rPr>
        <w:t xml:space="preserve"> of </w:t>
      </w:r>
      <w:r>
        <w:rPr>
          <w:kern w:val="0"/>
          <w:szCs w:val="24"/>
        </w:rPr>
        <w:t>cardiovascular disease with aspirin: what do</w:t>
      </w:r>
      <w:r w:rsidR="003A1917">
        <w:rPr>
          <w:kern w:val="0"/>
          <w:szCs w:val="24"/>
        </w:rPr>
        <w:t xml:space="preserve"> the </w:t>
      </w:r>
      <w:r>
        <w:rPr>
          <w:kern w:val="0"/>
          <w:szCs w:val="24"/>
        </w:rPr>
        <w:t xml:space="preserve">guidelines say? </w:t>
      </w:r>
      <w:r>
        <w:rPr>
          <w:i/>
          <w:iCs/>
          <w:kern w:val="0"/>
          <w:szCs w:val="24"/>
        </w:rPr>
        <w:t>Atenci</w:t>
      </w:r>
      <w:r w:rsidR="00CD7B0F">
        <w:rPr>
          <w:i/>
          <w:iCs/>
          <w:kern w:val="0"/>
          <w:szCs w:val="24"/>
        </w:rPr>
        <w:t>ó</w:t>
      </w:r>
      <w:r>
        <w:rPr>
          <w:i/>
          <w:iCs/>
          <w:kern w:val="0"/>
          <w:szCs w:val="24"/>
        </w:rPr>
        <w:t>n Primaria</w:t>
      </w:r>
      <w:r>
        <w:rPr>
          <w:kern w:val="0"/>
          <w:szCs w:val="24"/>
        </w:rPr>
        <w:t xml:space="preserve">, </w:t>
      </w:r>
      <w:r>
        <w:rPr>
          <w:b/>
          <w:bCs/>
          <w:kern w:val="0"/>
          <w:szCs w:val="24"/>
        </w:rPr>
        <w:t>42</w:t>
      </w:r>
      <w:r>
        <w:rPr>
          <w:kern w:val="0"/>
          <w:szCs w:val="24"/>
        </w:rPr>
        <w:t xml:space="preserve"> (9), 470-481.</w:t>
      </w:r>
    </w:p>
    <w:p w:rsidR="00464632" w:rsidRDefault="00464632" w:rsidP="00464632">
      <w:pPr>
        <w:pStyle w:val="a3"/>
        <w:rPr>
          <w:kern w:val="0"/>
          <w:szCs w:val="24"/>
        </w:rPr>
      </w:pPr>
      <w:r>
        <w:rPr>
          <w:kern w:val="0"/>
          <w:szCs w:val="24"/>
        </w:rPr>
        <w:t>Abstract: Objective: To review</w:t>
      </w:r>
      <w:r w:rsidR="003A1917">
        <w:rPr>
          <w:kern w:val="0"/>
          <w:szCs w:val="24"/>
        </w:rPr>
        <w:t xml:space="preserve"> the </w:t>
      </w:r>
      <w:r>
        <w:rPr>
          <w:kern w:val="0"/>
          <w:szCs w:val="24"/>
        </w:rPr>
        <w:t>guideline recommendations on aspirin use in primary prevention</w:t>
      </w:r>
      <w:r w:rsidR="00427468">
        <w:rPr>
          <w:kern w:val="0"/>
          <w:szCs w:val="24"/>
        </w:rPr>
        <w:t xml:space="preserve"> of </w:t>
      </w:r>
      <w:r>
        <w:rPr>
          <w:kern w:val="0"/>
          <w:szCs w:val="24"/>
        </w:rPr>
        <w:t>cardiovascular diseases. Design: Systematic review</w:t>
      </w:r>
      <w:r w:rsidR="00A37C1D">
        <w:rPr>
          <w:kern w:val="0"/>
          <w:szCs w:val="24"/>
        </w:rPr>
        <w:t>. The</w:t>
      </w:r>
      <w:r w:rsidR="003A1917">
        <w:rPr>
          <w:kern w:val="0"/>
          <w:szCs w:val="24"/>
        </w:rPr>
        <w:t xml:space="preserve"> </w:t>
      </w:r>
      <w:r>
        <w:rPr>
          <w:kern w:val="0"/>
          <w:szCs w:val="24"/>
        </w:rPr>
        <w:t>search was made by condition, treatment</w:t>
      </w:r>
      <w:r w:rsidR="005853A9">
        <w:rPr>
          <w:kern w:val="0"/>
          <w:szCs w:val="24"/>
        </w:rPr>
        <w:t xml:space="preserve"> and </w:t>
      </w:r>
      <w:r>
        <w:rPr>
          <w:kern w:val="0"/>
          <w:szCs w:val="24"/>
        </w:rPr>
        <w:t>type</w:t>
      </w:r>
      <w:r w:rsidR="00427468">
        <w:rPr>
          <w:kern w:val="0"/>
          <w:szCs w:val="24"/>
        </w:rPr>
        <w:t xml:space="preserve"> of </w:t>
      </w:r>
      <w:r>
        <w:rPr>
          <w:kern w:val="0"/>
          <w:szCs w:val="24"/>
        </w:rPr>
        <w:t xml:space="preserve">prevention. Data sources: Science Citation Index, SCOPUS, </w:t>
      </w:r>
      <w:r w:rsidR="002C12F0">
        <w:rPr>
          <w:kern w:val="0"/>
          <w:szCs w:val="24"/>
        </w:rPr>
        <w:t>PUBMED</w:t>
      </w:r>
      <w:r>
        <w:rPr>
          <w:kern w:val="0"/>
          <w:szCs w:val="24"/>
        </w:rPr>
        <w:t>, Spanish Ministry</w:t>
      </w:r>
      <w:r w:rsidR="00427468">
        <w:rPr>
          <w:kern w:val="0"/>
          <w:szCs w:val="24"/>
        </w:rPr>
        <w:t xml:space="preserve"> of </w:t>
      </w:r>
      <w:r>
        <w:rPr>
          <w:kern w:val="0"/>
          <w:szCs w:val="24"/>
        </w:rPr>
        <w:t>Health, World Health Organisation, web sites</w:t>
      </w:r>
      <w:r w:rsidR="00427468">
        <w:rPr>
          <w:kern w:val="0"/>
          <w:szCs w:val="24"/>
        </w:rPr>
        <w:t xml:space="preserve"> of </w:t>
      </w:r>
      <w:r>
        <w:rPr>
          <w:kern w:val="0"/>
          <w:szCs w:val="24"/>
        </w:rPr>
        <w:t>national</w:t>
      </w:r>
      <w:r w:rsidR="005853A9">
        <w:rPr>
          <w:kern w:val="0"/>
          <w:szCs w:val="24"/>
        </w:rPr>
        <w:t xml:space="preserve"> and </w:t>
      </w:r>
      <w:r>
        <w:rPr>
          <w:kern w:val="0"/>
          <w:szCs w:val="24"/>
        </w:rPr>
        <w:t>international scientific societies. Data extraction: Two investigators independently reviewed all</w:t>
      </w:r>
      <w:r w:rsidR="003A1917">
        <w:rPr>
          <w:kern w:val="0"/>
          <w:szCs w:val="24"/>
        </w:rPr>
        <w:t xml:space="preserve"> the </w:t>
      </w:r>
      <w:r>
        <w:rPr>
          <w:kern w:val="0"/>
          <w:szCs w:val="24"/>
        </w:rPr>
        <w:t xml:space="preserve">guidelines. Specific </w:t>
      </w:r>
      <w:r>
        <w:rPr>
          <w:kern w:val="0"/>
          <w:szCs w:val="24"/>
        </w:rPr>
        <w:lastRenderedPageBreak/>
        <w:t>topics assessed: a) use</w:t>
      </w:r>
      <w:r w:rsidR="00427468">
        <w:rPr>
          <w:kern w:val="0"/>
          <w:szCs w:val="24"/>
        </w:rPr>
        <w:t xml:space="preserve"> of </w:t>
      </w:r>
      <w:r>
        <w:rPr>
          <w:kern w:val="0"/>
          <w:szCs w:val="24"/>
        </w:rPr>
        <w:t>antiplatelet treatment in primary prevention b) identification</w:t>
      </w:r>
      <w:r w:rsidR="00427468">
        <w:rPr>
          <w:kern w:val="0"/>
          <w:szCs w:val="24"/>
        </w:rPr>
        <w:t xml:space="preserve"> of </w:t>
      </w:r>
      <w:r>
        <w:rPr>
          <w:kern w:val="0"/>
          <w:szCs w:val="24"/>
        </w:rPr>
        <w:t>target population c) identification</w:t>
      </w:r>
      <w:r w:rsidR="00427468">
        <w:rPr>
          <w:kern w:val="0"/>
          <w:szCs w:val="24"/>
        </w:rPr>
        <w:t xml:space="preserve"> of </w:t>
      </w:r>
      <w:r>
        <w:rPr>
          <w:kern w:val="0"/>
          <w:szCs w:val="24"/>
        </w:rPr>
        <w:t>recommended dosage, d) identification</w:t>
      </w:r>
      <w:r w:rsidR="00427468">
        <w:rPr>
          <w:kern w:val="0"/>
          <w:szCs w:val="24"/>
        </w:rPr>
        <w:t xml:space="preserve"> of </w:t>
      </w:r>
      <w:r>
        <w:rPr>
          <w:kern w:val="0"/>
          <w:szCs w:val="24"/>
        </w:rPr>
        <w:t>criteria</w:t>
      </w:r>
      <w:r w:rsidR="00427468">
        <w:rPr>
          <w:kern w:val="0"/>
          <w:szCs w:val="24"/>
        </w:rPr>
        <w:t xml:space="preserve"> of </w:t>
      </w:r>
      <w:r>
        <w:rPr>
          <w:kern w:val="0"/>
          <w:szCs w:val="24"/>
        </w:rPr>
        <w:t>aspirin use, e) publications in English and/or Spanish, f) dissemination at national (Spain) or international level. Results: Nine guidelines on primary prevention</w:t>
      </w:r>
      <w:r w:rsidR="005853A9">
        <w:rPr>
          <w:kern w:val="0"/>
          <w:szCs w:val="24"/>
        </w:rPr>
        <w:t xml:space="preserve"> and </w:t>
      </w:r>
      <w:r>
        <w:rPr>
          <w:kern w:val="0"/>
          <w:szCs w:val="24"/>
        </w:rPr>
        <w:t>5 guidelines on diabetes were reviewed. Most</w:t>
      </w:r>
      <w:r w:rsidR="00427468">
        <w:rPr>
          <w:kern w:val="0"/>
          <w:szCs w:val="24"/>
        </w:rPr>
        <w:t xml:space="preserve"> of </w:t>
      </w:r>
      <w:r>
        <w:rPr>
          <w:kern w:val="0"/>
          <w:szCs w:val="24"/>
        </w:rPr>
        <w:t>them recommended low dose aspirin ranging between 75 mg</w:t>
      </w:r>
      <w:r w:rsidR="005853A9">
        <w:rPr>
          <w:kern w:val="0"/>
          <w:szCs w:val="24"/>
        </w:rPr>
        <w:t xml:space="preserve"> and </w:t>
      </w:r>
      <w:r>
        <w:rPr>
          <w:kern w:val="0"/>
          <w:szCs w:val="24"/>
        </w:rPr>
        <w:t>325 mg per day. All</w:t>
      </w:r>
      <w:r w:rsidR="003A1917">
        <w:rPr>
          <w:kern w:val="0"/>
          <w:szCs w:val="24"/>
        </w:rPr>
        <w:t xml:space="preserve"> the </w:t>
      </w:r>
      <w:r>
        <w:rPr>
          <w:kern w:val="0"/>
          <w:szCs w:val="24"/>
        </w:rPr>
        <w:t>guidelines recommend a specifc level</w:t>
      </w:r>
      <w:r w:rsidR="00427468">
        <w:rPr>
          <w:kern w:val="0"/>
          <w:szCs w:val="24"/>
        </w:rPr>
        <w:t xml:space="preserve"> of </w:t>
      </w:r>
      <w:r>
        <w:rPr>
          <w:kern w:val="0"/>
          <w:szCs w:val="24"/>
        </w:rPr>
        <w:t>coronary risk to define</w:t>
      </w:r>
      <w:r w:rsidR="003A1917">
        <w:rPr>
          <w:kern w:val="0"/>
          <w:szCs w:val="24"/>
        </w:rPr>
        <w:t xml:space="preserve"> the </w:t>
      </w:r>
      <w:r>
        <w:rPr>
          <w:kern w:val="0"/>
          <w:szCs w:val="24"/>
        </w:rPr>
        <w:t>target population to be treated, showing high variability in risk tables used</w:t>
      </w:r>
      <w:r w:rsidR="005853A9">
        <w:rPr>
          <w:kern w:val="0"/>
          <w:szCs w:val="24"/>
        </w:rPr>
        <w:t xml:space="preserve"> and </w:t>
      </w:r>
      <w:r>
        <w:rPr>
          <w:kern w:val="0"/>
          <w:szCs w:val="24"/>
        </w:rPr>
        <w:t>in</w:t>
      </w:r>
      <w:r w:rsidR="003A1917">
        <w:rPr>
          <w:kern w:val="0"/>
          <w:szCs w:val="24"/>
        </w:rPr>
        <w:t xml:space="preserve"> the </w:t>
      </w:r>
      <w:r>
        <w:rPr>
          <w:kern w:val="0"/>
          <w:szCs w:val="24"/>
        </w:rPr>
        <w:t>level</w:t>
      </w:r>
      <w:r w:rsidR="00427468">
        <w:rPr>
          <w:kern w:val="0"/>
          <w:szCs w:val="24"/>
        </w:rPr>
        <w:t xml:space="preserve"> of </w:t>
      </w:r>
      <w:r>
        <w:rPr>
          <w:kern w:val="0"/>
          <w:szCs w:val="24"/>
        </w:rPr>
        <w:t>risk which should be used to recommend treatment</w:t>
      </w:r>
      <w:r w:rsidR="00A37C1D">
        <w:rPr>
          <w:kern w:val="0"/>
          <w:szCs w:val="24"/>
        </w:rPr>
        <w:t>. The</w:t>
      </w:r>
      <w:r w:rsidR="003A1917">
        <w:rPr>
          <w:kern w:val="0"/>
          <w:szCs w:val="24"/>
        </w:rPr>
        <w:t xml:space="preserve"> </w:t>
      </w:r>
      <w:r>
        <w:rPr>
          <w:kern w:val="0"/>
          <w:szCs w:val="24"/>
        </w:rPr>
        <w:t>diabetes guidelines do not define any Level</w:t>
      </w:r>
      <w:r w:rsidR="00427468">
        <w:rPr>
          <w:kern w:val="0"/>
          <w:szCs w:val="24"/>
        </w:rPr>
        <w:t xml:space="preserve"> of </w:t>
      </w:r>
      <w:r>
        <w:rPr>
          <w:kern w:val="0"/>
          <w:szCs w:val="24"/>
        </w:rPr>
        <w:t>risk. Three guidelines recommend</w:t>
      </w:r>
      <w:r w:rsidR="003A1917">
        <w:rPr>
          <w:kern w:val="0"/>
          <w:szCs w:val="24"/>
        </w:rPr>
        <w:t xml:space="preserve"> the </w:t>
      </w:r>
      <w:r>
        <w:rPr>
          <w:kern w:val="0"/>
          <w:szCs w:val="24"/>
        </w:rPr>
        <w:t>use</w:t>
      </w:r>
      <w:r w:rsidR="00427468">
        <w:rPr>
          <w:kern w:val="0"/>
          <w:szCs w:val="24"/>
        </w:rPr>
        <w:t xml:space="preserve"> of </w:t>
      </w:r>
      <w:r>
        <w:rPr>
          <w:kern w:val="0"/>
          <w:szCs w:val="24"/>
        </w:rPr>
        <w:t>aspirin when blood pressure is well controlled. Conclusions: There is high variability among guidelines in terms</w:t>
      </w:r>
      <w:r w:rsidR="00427468">
        <w:rPr>
          <w:kern w:val="0"/>
          <w:szCs w:val="24"/>
        </w:rPr>
        <w:t xml:space="preserve"> of </w:t>
      </w:r>
      <w:r w:rsidR="003A1917">
        <w:rPr>
          <w:kern w:val="0"/>
          <w:szCs w:val="24"/>
        </w:rPr>
        <w:t xml:space="preserve">the </w:t>
      </w:r>
      <w:r>
        <w:rPr>
          <w:kern w:val="0"/>
          <w:szCs w:val="24"/>
        </w:rPr>
        <w:t>level</w:t>
      </w:r>
      <w:r w:rsidR="00427468">
        <w:rPr>
          <w:kern w:val="0"/>
          <w:szCs w:val="24"/>
        </w:rPr>
        <w:t xml:space="preserve"> of </w:t>
      </w:r>
      <w:r>
        <w:rPr>
          <w:kern w:val="0"/>
          <w:szCs w:val="24"/>
        </w:rPr>
        <w:t>risk from which patients should be treated,</w:t>
      </w:r>
      <w:r w:rsidR="005853A9">
        <w:rPr>
          <w:kern w:val="0"/>
          <w:szCs w:val="24"/>
        </w:rPr>
        <w:t xml:space="preserve"> and </w:t>
      </w:r>
      <w:r>
        <w:rPr>
          <w:kern w:val="0"/>
          <w:szCs w:val="24"/>
        </w:rPr>
        <w:t>also in dosages. Most</w:t>
      </w:r>
      <w:r w:rsidR="00427468">
        <w:rPr>
          <w:kern w:val="0"/>
          <w:szCs w:val="24"/>
        </w:rPr>
        <w:t xml:space="preserve"> of </w:t>
      </w:r>
      <w:r w:rsidR="003A1917">
        <w:rPr>
          <w:kern w:val="0"/>
          <w:szCs w:val="24"/>
        </w:rPr>
        <w:t xml:space="preserve">the </w:t>
      </w:r>
      <w:r>
        <w:rPr>
          <w:kern w:val="0"/>
          <w:szCs w:val="24"/>
        </w:rPr>
        <w:t>guidelines recommend</w:t>
      </w:r>
      <w:r w:rsidR="003A1917">
        <w:rPr>
          <w:kern w:val="0"/>
          <w:szCs w:val="24"/>
        </w:rPr>
        <w:t xml:space="preserve"> the </w:t>
      </w:r>
      <w:r>
        <w:rPr>
          <w:kern w:val="0"/>
          <w:szCs w:val="24"/>
        </w:rPr>
        <w:t>use aspirin in diabetics, although some discrepancies exist among international panels,</w:t>
      </w:r>
      <w:r w:rsidR="005853A9">
        <w:rPr>
          <w:kern w:val="0"/>
          <w:szCs w:val="24"/>
        </w:rPr>
        <w:t xml:space="preserve"> and </w:t>
      </w:r>
      <w:r>
        <w:rPr>
          <w:kern w:val="0"/>
          <w:szCs w:val="24"/>
        </w:rPr>
        <w:t>even in different documents</w:t>
      </w:r>
      <w:r w:rsidR="00427468">
        <w:rPr>
          <w:kern w:val="0"/>
          <w:szCs w:val="24"/>
        </w:rPr>
        <w:t xml:space="preserve"> of </w:t>
      </w:r>
      <w:r w:rsidR="003A1917">
        <w:rPr>
          <w:kern w:val="0"/>
          <w:szCs w:val="24"/>
        </w:rPr>
        <w:t xml:space="preserve">the </w:t>
      </w:r>
      <w:r>
        <w:rPr>
          <w:kern w:val="0"/>
          <w:szCs w:val="24"/>
        </w:rPr>
        <w:t>same scientific society (C) 2009 Elsevier Espana, S.L. All rights reserved.</w:t>
      </w:r>
    </w:p>
    <w:p w:rsidR="00464632" w:rsidRDefault="00464632" w:rsidP="00464632">
      <w:pPr>
        <w:pStyle w:val="a3"/>
        <w:rPr>
          <w:kern w:val="0"/>
          <w:szCs w:val="24"/>
        </w:rPr>
      </w:pPr>
      <w:r>
        <w:rPr>
          <w:kern w:val="0"/>
          <w:szCs w:val="24"/>
        </w:rPr>
        <w:t xml:space="preserve">Keywords: Aspirin, Association, Cardiovascular Diseases, Citation, Controlled-Trial, Coronary, Diabetes Mellitus, European Guidelines, Events, Metaanalysis, Primary Prevention, Publications, </w:t>
      </w:r>
      <w:r w:rsidR="002C12F0">
        <w:rPr>
          <w:kern w:val="0"/>
          <w:szCs w:val="24"/>
        </w:rPr>
        <w:t>PUBMED</w:t>
      </w:r>
      <w:r>
        <w:rPr>
          <w:kern w:val="0"/>
          <w:szCs w:val="24"/>
        </w:rPr>
        <w:t>, Risk Profile, Science Citation Index, Scopus, Society, Statement, Task-Force</w:t>
      </w:r>
    </w:p>
    <w:p w:rsidR="00FC59E1" w:rsidRDefault="00FC59E1" w:rsidP="00FC59E1">
      <w:pPr>
        <w:pStyle w:val="a3"/>
        <w:rPr>
          <w:kern w:val="0"/>
        </w:rPr>
      </w:pPr>
      <w:r>
        <w:rPr>
          <w:rFonts w:hint="eastAsia"/>
          <w:kern w:val="0"/>
        </w:rPr>
        <w:t xml:space="preserve">? </w:t>
      </w:r>
      <w:r>
        <w:rPr>
          <w:kern w:val="0"/>
        </w:rPr>
        <w:t>Carratalá-Munuera, M.C., Orozco-Beltrán, D., Gil-Guillen, V.F., Navarro-Perez, J., Quirce, F., Merino, J.</w:t>
      </w:r>
      <w:r w:rsidR="005853A9">
        <w:rPr>
          <w:kern w:val="0"/>
        </w:rPr>
        <w:t xml:space="preserve"> and </w:t>
      </w:r>
      <w:r>
        <w:rPr>
          <w:kern w:val="0"/>
        </w:rPr>
        <w:t>Basora, J. (2012), Bibliometric analysis</w:t>
      </w:r>
      <w:r w:rsidR="00427468">
        <w:rPr>
          <w:kern w:val="0"/>
        </w:rPr>
        <w:t xml:space="preserve"> of </w:t>
      </w:r>
      <w:r>
        <w:rPr>
          <w:kern w:val="0"/>
        </w:rPr>
        <w:t xml:space="preserve">international scientific production on primary care. </w:t>
      </w:r>
      <w:r>
        <w:rPr>
          <w:i/>
          <w:iCs/>
          <w:kern w:val="0"/>
        </w:rPr>
        <w:t>Atenci</w:t>
      </w:r>
      <w:r w:rsidR="00CD7B0F">
        <w:rPr>
          <w:i/>
          <w:iCs/>
          <w:kern w:val="0"/>
        </w:rPr>
        <w:t>ó</w:t>
      </w:r>
      <w:r>
        <w:rPr>
          <w:i/>
          <w:iCs/>
          <w:kern w:val="0"/>
        </w:rPr>
        <w:t>n Primaria</w:t>
      </w:r>
      <w:r>
        <w:rPr>
          <w:kern w:val="0"/>
        </w:rPr>
        <w:t xml:space="preserve">, </w:t>
      </w:r>
      <w:r>
        <w:rPr>
          <w:b/>
          <w:bCs/>
          <w:kern w:val="0"/>
        </w:rPr>
        <w:t>44</w:t>
      </w:r>
      <w:r>
        <w:rPr>
          <w:kern w:val="0"/>
        </w:rPr>
        <w:t xml:space="preserve"> (11), 651-658.</w:t>
      </w:r>
    </w:p>
    <w:p w:rsidR="00FC59E1" w:rsidRDefault="00FC59E1" w:rsidP="00FC59E1">
      <w:pPr>
        <w:pStyle w:val="a3"/>
        <w:rPr>
          <w:kern w:val="0"/>
        </w:rPr>
      </w:pPr>
      <w:r>
        <w:rPr>
          <w:rFonts w:hint="eastAsia"/>
          <w:kern w:val="0"/>
        </w:rPr>
        <w:t>Full Text: 2012\</w:t>
      </w:r>
      <w:r>
        <w:rPr>
          <w:iCs/>
          <w:kern w:val="0"/>
        </w:rPr>
        <w:t>Ate Pri</w:t>
      </w:r>
      <w:r w:rsidRPr="003C1772">
        <w:rPr>
          <w:bCs/>
          <w:kern w:val="0"/>
        </w:rPr>
        <w:t>44</w:t>
      </w:r>
      <w:r>
        <w:rPr>
          <w:kern w:val="0"/>
        </w:rPr>
        <w:t>, 651</w:t>
      </w:r>
      <w:r>
        <w:rPr>
          <w:rFonts w:hint="eastAsia"/>
          <w:kern w:val="0"/>
        </w:rPr>
        <w:t>.pdf</w:t>
      </w:r>
    </w:p>
    <w:p w:rsidR="00FC59E1" w:rsidRDefault="00FC59E1" w:rsidP="00FC59E1">
      <w:pPr>
        <w:pStyle w:val="a3"/>
        <w:rPr>
          <w:kern w:val="0"/>
        </w:rPr>
      </w:pPr>
      <w:r>
        <w:rPr>
          <w:kern w:val="0"/>
        </w:rPr>
        <w:t>Abstract: Objective: To present an international view</w:t>
      </w:r>
      <w:r w:rsidR="00427468">
        <w:rPr>
          <w:kern w:val="0"/>
        </w:rPr>
        <w:t xml:space="preserve"> of </w:t>
      </w:r>
      <w:r>
        <w:rPr>
          <w:kern w:val="0"/>
        </w:rPr>
        <w:t>the scientific production in the field</w:t>
      </w:r>
      <w:r w:rsidR="00427468">
        <w:rPr>
          <w:kern w:val="0"/>
        </w:rPr>
        <w:t xml:space="preserve"> of </w:t>
      </w:r>
      <w:r>
        <w:rPr>
          <w:kern w:val="0"/>
        </w:rPr>
        <w:t xml:space="preserve">primary care in the period 1985-2004. Design: Retrospective, observational study. Bibliometric analysis. Location: </w:t>
      </w:r>
      <w:r w:rsidR="00D5664A">
        <w:rPr>
          <w:kern w:val="0"/>
        </w:rPr>
        <w:t>MEDLINE</w:t>
      </w:r>
      <w:r>
        <w:rPr>
          <w:kern w:val="0"/>
        </w:rPr>
        <w:t xml:space="preserve"> database. WebSPIRS access through version 4.3. We analysed two periods: 2000-2004 (cross-sectional)</w:t>
      </w:r>
      <w:r w:rsidR="005853A9">
        <w:rPr>
          <w:kern w:val="0"/>
        </w:rPr>
        <w:t xml:space="preserve"> and </w:t>
      </w:r>
      <w:r>
        <w:rPr>
          <w:kern w:val="0"/>
        </w:rPr>
        <w:t xml:space="preserve">1985-2004 (developmental). Search based on </w:t>
      </w:r>
      <w:r w:rsidR="00B5188C">
        <w:rPr>
          <w:kern w:val="0"/>
        </w:rPr>
        <w:t>“</w:t>
      </w:r>
      <w:r>
        <w:rPr>
          <w:kern w:val="0"/>
        </w:rPr>
        <w:t>MeSH Major</w:t>
      </w:r>
      <w:r w:rsidR="00B5188C">
        <w:rPr>
          <w:kern w:val="0"/>
        </w:rPr>
        <w:t>”</w:t>
      </w:r>
      <w:r>
        <w:rPr>
          <w:kern w:val="0"/>
        </w:rPr>
        <w:t xml:space="preserve"> with descriptors: Primary Care or Primary Health Care, Family Practice, Family Physicians, Nurse Practitioners,</w:t>
      </w:r>
      <w:r w:rsidR="005853A9">
        <w:rPr>
          <w:kern w:val="0"/>
        </w:rPr>
        <w:t xml:space="preserve"> and </w:t>
      </w:r>
      <w:r>
        <w:rPr>
          <w:kern w:val="0"/>
        </w:rPr>
        <w:t>Entry Terms associated with these. Key Measures: We analysed the bibliometric indicators</w:t>
      </w:r>
      <w:r w:rsidR="00427468">
        <w:rPr>
          <w:kern w:val="0"/>
        </w:rPr>
        <w:t xml:space="preserve"> of </w:t>
      </w:r>
      <w:r>
        <w:rPr>
          <w:kern w:val="0"/>
        </w:rPr>
        <w:t>production, circulation, dispersion,</w:t>
      </w:r>
      <w:r w:rsidR="005853A9">
        <w:rPr>
          <w:kern w:val="0"/>
        </w:rPr>
        <w:t xml:space="preserve"> and </w:t>
      </w:r>
      <w:r>
        <w:rPr>
          <w:kern w:val="0"/>
        </w:rPr>
        <w:t>visibility. Results: In 2000-2004, published 20911 articles were published, 0.73%</w:t>
      </w:r>
      <w:r w:rsidR="00427468">
        <w:rPr>
          <w:kern w:val="0"/>
        </w:rPr>
        <w:t xml:space="preserve"> of </w:t>
      </w:r>
      <w:r>
        <w:rPr>
          <w:kern w:val="0"/>
        </w:rPr>
        <w:t>total production</w:t>
      </w:r>
      <w:r w:rsidR="00A37C1D">
        <w:rPr>
          <w:kern w:val="0"/>
        </w:rPr>
        <w:t>. The</w:t>
      </w:r>
      <w:r>
        <w:rPr>
          <w:kern w:val="0"/>
        </w:rPr>
        <w:t>re was a growth rate (1985-2004)</w:t>
      </w:r>
      <w:r w:rsidR="00427468">
        <w:rPr>
          <w:kern w:val="0"/>
        </w:rPr>
        <w:t xml:space="preserve"> of </w:t>
      </w:r>
      <w:r>
        <w:rPr>
          <w:kern w:val="0"/>
        </w:rPr>
        <w:t>221%, which was 2.4 times more than average. Transience rate was 83.17%</w:t>
      </w:r>
      <w:r w:rsidR="00A37C1D">
        <w:rPr>
          <w:kern w:val="0"/>
        </w:rPr>
        <w:t>. The</w:t>
      </w:r>
      <w:r>
        <w:rPr>
          <w:kern w:val="0"/>
        </w:rPr>
        <w:t xml:space="preserve"> English language is predominant (88.81%) over 34 languages, with Spanish being the next (2.6%). Sixteen countries produce 95.67%</w:t>
      </w:r>
      <w:r w:rsidR="00427468">
        <w:rPr>
          <w:kern w:val="0"/>
        </w:rPr>
        <w:t xml:space="preserve"> of </w:t>
      </w:r>
      <w:r>
        <w:rPr>
          <w:kern w:val="0"/>
        </w:rPr>
        <w:t>the articles. Spain occupies the 7th place. Universities (52%) are the most productive institutions</w:t>
      </w:r>
      <w:r w:rsidR="00A37C1D">
        <w:rPr>
          <w:kern w:val="0"/>
        </w:rPr>
        <w:t>. The</w:t>
      </w:r>
      <w:r>
        <w:rPr>
          <w:kern w:val="0"/>
        </w:rPr>
        <w:t xml:space="preserve">re are 1074 different journals with the 10 most productive being: Br J Gen Pract, Adv Nurse Pract, Aust </w:t>
      </w:r>
      <w:r>
        <w:rPr>
          <w:kern w:val="0"/>
        </w:rPr>
        <w:lastRenderedPageBreak/>
        <w:t>Fam Physician, Fam Pract, Fam Med, BMJ, Aten Primary Health Serv J, Can Fam Physician, J Fam Pract</w:t>
      </w:r>
      <w:r w:rsidR="00A37C1D">
        <w:rPr>
          <w:kern w:val="0"/>
        </w:rPr>
        <w:t>. The</w:t>
      </w:r>
      <w:r>
        <w:rPr>
          <w:kern w:val="0"/>
        </w:rPr>
        <w:t xml:space="preserve"> proportion</w:t>
      </w:r>
      <w:r w:rsidR="00427468">
        <w:rPr>
          <w:kern w:val="0"/>
        </w:rPr>
        <w:t xml:space="preserve"> of </w:t>
      </w:r>
      <w:r>
        <w:rPr>
          <w:kern w:val="0"/>
        </w:rPr>
        <w:t>trials (5.43%) in PC is similar to other disciplines</w:t>
      </w:r>
      <w:r w:rsidR="005853A9">
        <w:rPr>
          <w:kern w:val="0"/>
        </w:rPr>
        <w:t xml:space="preserve"> and </w:t>
      </w:r>
      <w:r>
        <w:rPr>
          <w:kern w:val="0"/>
        </w:rPr>
        <w:t>has increased by 453% (1985-2004). Conclusions: The production</w:t>
      </w:r>
      <w:r w:rsidR="00427468">
        <w:rPr>
          <w:kern w:val="0"/>
        </w:rPr>
        <w:t xml:space="preserve"> of </w:t>
      </w:r>
      <w:r>
        <w:rPr>
          <w:kern w:val="0"/>
        </w:rPr>
        <w:t>Primary care is about 1%</w:t>
      </w:r>
      <w:r w:rsidR="00427468">
        <w:rPr>
          <w:kern w:val="0"/>
        </w:rPr>
        <w:t xml:space="preserve"> of </w:t>
      </w:r>
      <w:r>
        <w:rPr>
          <w:kern w:val="0"/>
        </w:rPr>
        <w:t>the total scientific output, with a noticeable</w:t>
      </w:r>
      <w:r w:rsidR="005853A9">
        <w:rPr>
          <w:kern w:val="0"/>
        </w:rPr>
        <w:t xml:space="preserve"> and </w:t>
      </w:r>
      <w:r>
        <w:rPr>
          <w:kern w:val="0"/>
        </w:rPr>
        <w:t>higher than average growth over 20 years</w:t>
      </w:r>
      <w:r w:rsidR="00A37C1D">
        <w:rPr>
          <w:kern w:val="0"/>
        </w:rPr>
        <w:t>. The</w:t>
      </w:r>
      <w:r>
        <w:rPr>
          <w:kern w:val="0"/>
        </w:rPr>
        <w:t xml:space="preserve"> proportion</w:t>
      </w:r>
      <w:r w:rsidR="00427468">
        <w:rPr>
          <w:kern w:val="0"/>
        </w:rPr>
        <w:t xml:space="preserve"> of </w:t>
      </w:r>
      <w:r>
        <w:rPr>
          <w:kern w:val="0"/>
        </w:rPr>
        <w:t>clinical trials is similar to other disciplines. Although Anglo-Saxon countries</w:t>
      </w:r>
      <w:r w:rsidR="005853A9">
        <w:rPr>
          <w:kern w:val="0"/>
        </w:rPr>
        <w:t xml:space="preserve"> and </w:t>
      </w:r>
      <w:r>
        <w:rPr>
          <w:kern w:val="0"/>
        </w:rPr>
        <w:t>journals are the highest producers, Spain</w:t>
      </w:r>
      <w:r w:rsidR="005853A9">
        <w:rPr>
          <w:kern w:val="0"/>
        </w:rPr>
        <w:t xml:space="preserve"> and </w:t>
      </w:r>
      <w:r>
        <w:rPr>
          <w:kern w:val="0"/>
        </w:rPr>
        <w:t>the journal ATEN PRIMARIA is among those highlighted. (C) 2011 Elsevier Espana, S.L. All rights reserved.</w:t>
      </w:r>
    </w:p>
    <w:p w:rsidR="00FC59E1" w:rsidRDefault="00FC59E1" w:rsidP="00FC59E1">
      <w:pPr>
        <w:pStyle w:val="a3"/>
        <w:rPr>
          <w:kern w:val="0"/>
        </w:rPr>
      </w:pPr>
      <w:r>
        <w:rPr>
          <w:kern w:val="0"/>
        </w:rPr>
        <w:t xml:space="preserve">Keywords: Access, Analysis, Bibliometric, Bibliometric Analysis, Bibliometric Indicators, Bibliometric Study, Care, Clinical, Clinical Trials, Database, Dispersion, Family Medicine, Field, Future, Growth, Growth Rate, Impact Factor, Indicators, Institutions, International, Journal, Journals, Language, Languages, </w:t>
      </w:r>
      <w:r w:rsidR="00D5664A">
        <w:rPr>
          <w:kern w:val="0"/>
        </w:rPr>
        <w:t>MEDLINE</w:t>
      </w:r>
      <w:r>
        <w:rPr>
          <w:kern w:val="0"/>
        </w:rPr>
        <w:t>, Nov, Observational, Observational Study, Primary, Primary Care, Primary-Health-Care, Research, Research Networks, Rights, Sciences, Scientific Output, Scientific Production, Search, Spain, Universities, Version, Visibility</w:t>
      </w:r>
    </w:p>
    <w:p w:rsidR="00CD7B0F" w:rsidRDefault="00CD7B0F" w:rsidP="00CD7B0F">
      <w:pPr>
        <w:pStyle w:val="a3"/>
        <w:rPr>
          <w:kern w:val="0"/>
        </w:rPr>
      </w:pPr>
      <w:r>
        <w:rPr>
          <w:rFonts w:hint="eastAsia"/>
          <w:kern w:val="0"/>
        </w:rPr>
        <w:t xml:space="preserve">? </w:t>
      </w:r>
      <w:r>
        <w:rPr>
          <w:kern w:val="0"/>
        </w:rPr>
        <w:t xml:space="preserve">Hidalgo, J.L.T., Gallisa, J.B., Beltran, D.O. and Saameno, J.A.B. (2014), Bibliometric map of research done in primary care in Spain during the period 2008-2012. </w:t>
      </w:r>
      <w:r>
        <w:rPr>
          <w:i/>
          <w:iCs/>
          <w:kern w:val="0"/>
        </w:rPr>
        <w:t>Atención Primaria</w:t>
      </w:r>
      <w:r>
        <w:rPr>
          <w:kern w:val="0"/>
        </w:rPr>
        <w:t xml:space="preserve">, </w:t>
      </w:r>
      <w:r>
        <w:rPr>
          <w:b/>
          <w:bCs/>
          <w:kern w:val="0"/>
        </w:rPr>
        <w:t>46</w:t>
      </w:r>
      <w:r>
        <w:rPr>
          <w:kern w:val="0"/>
        </w:rPr>
        <w:t xml:space="preserve"> (10), 541-548.</w:t>
      </w:r>
    </w:p>
    <w:p w:rsidR="00CD7B0F" w:rsidRDefault="00CD7B0F" w:rsidP="00CD7B0F">
      <w:pPr>
        <w:pStyle w:val="a3"/>
        <w:rPr>
          <w:kern w:val="0"/>
        </w:rPr>
      </w:pPr>
      <w:r>
        <w:rPr>
          <w:rFonts w:hint="eastAsia"/>
          <w:kern w:val="0"/>
        </w:rPr>
        <w:t>Full Text: 2014\</w:t>
      </w:r>
      <w:r>
        <w:rPr>
          <w:iCs/>
          <w:kern w:val="0"/>
        </w:rPr>
        <w:t>Ate Pri</w:t>
      </w:r>
      <w:r w:rsidRPr="003C1772">
        <w:rPr>
          <w:bCs/>
          <w:kern w:val="0"/>
        </w:rPr>
        <w:t>4</w:t>
      </w:r>
      <w:r>
        <w:rPr>
          <w:rFonts w:hint="eastAsia"/>
          <w:bCs/>
          <w:kern w:val="0"/>
        </w:rPr>
        <w:t>6</w:t>
      </w:r>
      <w:r>
        <w:rPr>
          <w:kern w:val="0"/>
        </w:rPr>
        <w:t xml:space="preserve">, </w:t>
      </w:r>
      <w:r>
        <w:rPr>
          <w:rFonts w:hint="eastAsia"/>
          <w:kern w:val="0"/>
        </w:rPr>
        <w:t>541.pdf</w:t>
      </w:r>
    </w:p>
    <w:p w:rsidR="00CD7B0F" w:rsidRDefault="00CD7B0F" w:rsidP="00CD7B0F">
      <w:pPr>
        <w:pStyle w:val="a3"/>
        <w:rPr>
          <w:kern w:val="0"/>
        </w:rPr>
      </w:pPr>
      <w:r>
        <w:rPr>
          <w:kern w:val="0"/>
        </w:rPr>
        <w:t xml:space="preserve">Abstract: Objective: To describe the Spanish scientific production of primary care during 2008-2012. Design: Observational study bibliometric. Setting: Spanish scientific production in primary care. Participants: The study focused on publications indexed in Medline. Main measurements: In each record was obtained journal, year of publication, first/last author, workplace and autonomous community. Later, articles were classified according to their content or areas of research. The impact factor was obtained from the basis of bibliometric analysis Journal Citation Reports. Results: Using search criteria, were selected 1,048 documents. The transiency rate was 62.6%. Production increased from 170 papers in 2008 to 291 in 2012. Most (65.7%) came from health centers, but we observed a significant increase (P=.01) of the articles from units or research institutes (5.9% in 2008, 12.0% in 2012). Of the total, 61.6% were classified as clinical aspects, 22.5% were published in the journal Atencion Primaria, 80.5% in journals with impact factor and 33.49% in foreign journals, being higher this proportion (P&lt;.001) in units or research institutes (70.5% vs. 29.8%). In relation to population (articles/100.000 inhab.), the most productive communities were Cataluna (4.1), Castilla-La Mancha (3.6), Arag6n (3.4) and Navarra (3.4). Conclusions: In primary care publications there is great diversity in both research areas such as in journals where published. Most are from health centers, treat clinical aspects and published in Spanish journals. Differences in the volume of scientific production between regions are observed. (C) 2013 Elsevier Espana, S.L.U. </w:t>
      </w:r>
      <w:r>
        <w:rPr>
          <w:kern w:val="0"/>
        </w:rPr>
        <w:lastRenderedPageBreak/>
        <w:t>All rights reserved.</w:t>
      </w:r>
    </w:p>
    <w:p w:rsidR="00CD7B0F" w:rsidRDefault="00CD7B0F" w:rsidP="00CD7B0F">
      <w:pPr>
        <w:pStyle w:val="a3"/>
        <w:rPr>
          <w:kern w:val="0"/>
        </w:rPr>
      </w:pPr>
      <w:r>
        <w:rPr>
          <w:kern w:val="0"/>
        </w:rPr>
        <w:t>Keywords: Analysis, Area, Articles, Autonomous, Bibliometric, Bibliometric Analysis, Bibliometrics, Care, Citation, Clinical, Community, Content, Criteria, Design, Differences, Diversity, Documents, Family Medicine, From, Health, Health Research Evaluation, Impact, Impact Factor, Indicators, Journal, Journal Citation Reports, Journals, Medline, Papers, Population, Primary, Primary Care, Primary Health Care, Production, Publication, Publications, Record, Research, Research Areas, Results, Rights, Scientific Production, Spain, Spanish Journals, Spanish Scientific Production, Volume</w:t>
      </w:r>
    </w:p>
    <w:p w:rsidR="008179BD" w:rsidRPr="00F219CA" w:rsidRDefault="008179BD" w:rsidP="008179BD">
      <w:pPr>
        <w:pStyle w:val="1"/>
      </w:pPr>
      <w:r w:rsidRPr="00F219CA">
        <w:br w:type="page"/>
      </w:r>
      <w:bookmarkStart w:id="680" w:name="_Toc420814653"/>
      <w:r w:rsidRPr="00F219CA">
        <w:lastRenderedPageBreak/>
        <w:t>Title: Atherosclerosis</w:t>
      </w:r>
      <w:bookmarkEnd w:id="680"/>
    </w:p>
    <w:p w:rsidR="008179BD" w:rsidRPr="00F219CA" w:rsidRDefault="008179BD" w:rsidP="008179BD">
      <w:pPr>
        <w:pStyle w:val="12"/>
      </w:pPr>
      <w:r w:rsidRPr="00F219CA">
        <w:t>Full Journal Title: Ath</w:t>
      </w:r>
      <w:bookmarkStart w:id="681" w:name="_Toc302251245"/>
      <w:r w:rsidRPr="00F219CA">
        <w:t>erosclerosis</w:t>
      </w:r>
    </w:p>
    <w:p w:rsidR="008179BD" w:rsidRPr="00F219CA" w:rsidRDefault="008179BD" w:rsidP="008179BD">
      <w:pPr>
        <w:pStyle w:val="12"/>
      </w:pPr>
      <w:r w:rsidRPr="00F219CA">
        <w:t>ISO Abbre</w:t>
      </w:r>
      <w:bookmarkEnd w:id="681"/>
      <w:r w:rsidRPr="00F219CA">
        <w:t>viated Title: Atherosclerosis</w:t>
      </w:r>
    </w:p>
    <w:p w:rsidR="008179BD" w:rsidRPr="00F219CA" w:rsidRDefault="008179BD" w:rsidP="008179BD">
      <w:pPr>
        <w:pStyle w:val="12"/>
      </w:pPr>
      <w:r w:rsidRPr="00F219CA">
        <w:t>JCR Abbreviated Title: Atherosclerosis</w:t>
      </w:r>
    </w:p>
    <w:p w:rsidR="008179BD" w:rsidRPr="00F219CA" w:rsidRDefault="008179BD" w:rsidP="008179BD">
      <w:pPr>
        <w:pStyle w:val="12"/>
      </w:pPr>
      <w:r w:rsidRPr="00F219CA">
        <w:t>ISSN: 0021-9150</w:t>
      </w:r>
    </w:p>
    <w:p w:rsidR="008179BD" w:rsidRPr="00F219CA" w:rsidRDefault="008179BD" w:rsidP="008179BD">
      <w:pPr>
        <w:pStyle w:val="12"/>
      </w:pPr>
      <w:r w:rsidRPr="00F219CA">
        <w:t>Issues/Year: 12</w:t>
      </w:r>
    </w:p>
    <w:p w:rsidR="008179BD" w:rsidRPr="00F219CA" w:rsidRDefault="008179BD" w:rsidP="008179BD">
      <w:pPr>
        <w:pStyle w:val="12"/>
      </w:pPr>
      <w:r w:rsidRPr="00F219CA">
        <w:t>Journal Country/Territory: United States</w:t>
      </w:r>
    </w:p>
    <w:p w:rsidR="008179BD" w:rsidRPr="00F219CA" w:rsidRDefault="008179BD" w:rsidP="008179BD">
      <w:pPr>
        <w:pStyle w:val="12"/>
      </w:pPr>
      <w:r w:rsidRPr="00F219CA">
        <w:t>Language: Multi-Language</w:t>
      </w:r>
    </w:p>
    <w:p w:rsidR="008179BD" w:rsidRPr="00F219CA" w:rsidRDefault="008179BD" w:rsidP="008179BD">
      <w:pPr>
        <w:pStyle w:val="12"/>
      </w:pPr>
      <w:r w:rsidRPr="00F219CA">
        <w:t>Publisher: Elsevier Sci Ireland Ltd</w:t>
      </w:r>
    </w:p>
    <w:p w:rsidR="008179BD" w:rsidRPr="00F219CA" w:rsidRDefault="008179BD" w:rsidP="008179BD">
      <w:pPr>
        <w:pStyle w:val="12"/>
      </w:pPr>
      <w:r w:rsidRPr="00F219CA">
        <w:t>Publisher Address: Customer Relations Manager, Bay 15, Shannon Industrial Estate Co, Clare, IR</w:t>
      </w:r>
    </w:p>
    <w:p w:rsidR="008179BD" w:rsidRPr="00F219CA" w:rsidRDefault="008179BD" w:rsidP="008179BD">
      <w:pPr>
        <w:pStyle w:val="12"/>
      </w:pPr>
      <w:r w:rsidRPr="00F219CA">
        <w:t xml:space="preserve">Subject Categories: </w:t>
      </w:r>
    </w:p>
    <w:p w:rsidR="008179BD" w:rsidRPr="00F219CA" w:rsidRDefault="008179BD" w:rsidP="008179BD">
      <w:pPr>
        <w:pStyle w:val="12"/>
      </w:pPr>
      <w:r w:rsidRPr="00F219CA">
        <w:t xml:space="preserve">Peripheral Vascular Disease: Impact Factor </w:t>
      </w:r>
    </w:p>
    <w:p w:rsidR="008179BD" w:rsidRDefault="008179BD" w:rsidP="008179BD">
      <w:pPr>
        <w:pStyle w:val="a3"/>
        <w:rPr>
          <w:kern w:val="0"/>
        </w:rPr>
      </w:pPr>
      <w:r>
        <w:rPr>
          <w:rFonts w:hint="eastAsia"/>
          <w:kern w:val="0"/>
        </w:rPr>
        <w:t xml:space="preserve">? </w:t>
      </w:r>
      <w:r>
        <w:rPr>
          <w:kern w:val="0"/>
        </w:rPr>
        <w:t>Oosterveer, D.M., Versmissen, J., Yazdanpanah, M., Hamza, T.H.</w:t>
      </w:r>
      <w:r w:rsidR="005853A9">
        <w:rPr>
          <w:kern w:val="0"/>
        </w:rPr>
        <w:t xml:space="preserve"> and </w:t>
      </w:r>
      <w:r>
        <w:rPr>
          <w:kern w:val="0"/>
        </w:rPr>
        <w:t>Sijbrands, E.J.G. (2009), Differences in characteristics</w:t>
      </w:r>
      <w:r w:rsidR="005853A9">
        <w:rPr>
          <w:kern w:val="0"/>
        </w:rPr>
        <w:t xml:space="preserve"> and </w:t>
      </w:r>
      <w:r>
        <w:rPr>
          <w:kern w:val="0"/>
        </w:rPr>
        <w:t>risk</w:t>
      </w:r>
      <w:r w:rsidR="00427468">
        <w:rPr>
          <w:kern w:val="0"/>
        </w:rPr>
        <w:t xml:space="preserve"> of </w:t>
      </w:r>
      <w:r>
        <w:rPr>
          <w:kern w:val="0"/>
        </w:rPr>
        <w:t>cardiovascular disease in familial hypercholesterolemia patients with</w:t>
      </w:r>
      <w:r w:rsidR="005853A9">
        <w:rPr>
          <w:kern w:val="0"/>
        </w:rPr>
        <w:t xml:space="preserve"> and </w:t>
      </w:r>
      <w:r>
        <w:rPr>
          <w:kern w:val="0"/>
        </w:rPr>
        <w:t>without tendon xanthomas: A systematic review</w:t>
      </w:r>
      <w:r w:rsidR="005853A9">
        <w:rPr>
          <w:kern w:val="0"/>
        </w:rPr>
        <w:t xml:space="preserve"> and </w:t>
      </w:r>
      <w:r>
        <w:rPr>
          <w:kern w:val="0"/>
        </w:rPr>
        <w:t xml:space="preserve">meta-analysis. </w:t>
      </w:r>
      <w:r>
        <w:rPr>
          <w:i/>
          <w:iCs/>
          <w:kern w:val="0"/>
        </w:rPr>
        <w:t>Atherosclerosis</w:t>
      </w:r>
      <w:r>
        <w:rPr>
          <w:kern w:val="0"/>
        </w:rPr>
        <w:t xml:space="preserve">, </w:t>
      </w:r>
      <w:r>
        <w:rPr>
          <w:b/>
          <w:bCs/>
          <w:kern w:val="0"/>
        </w:rPr>
        <w:t>207</w:t>
      </w:r>
      <w:r>
        <w:rPr>
          <w:kern w:val="0"/>
        </w:rPr>
        <w:t xml:space="preserve"> (2), 311-317.</w:t>
      </w:r>
    </w:p>
    <w:p w:rsidR="005F002F" w:rsidRDefault="005F002F" w:rsidP="005F002F">
      <w:pPr>
        <w:pStyle w:val="a3"/>
        <w:rPr>
          <w:kern w:val="0"/>
        </w:rPr>
      </w:pPr>
      <w:r>
        <w:rPr>
          <w:rFonts w:hint="eastAsia"/>
          <w:kern w:val="0"/>
        </w:rPr>
        <w:t xml:space="preserve">Full Text: </w:t>
      </w:r>
      <w:hyperlink r:id="rId1353" w:history="1">
        <w:r w:rsidRPr="005F002F">
          <w:rPr>
            <w:rStyle w:val="a5"/>
            <w:kern w:val="0"/>
          </w:rPr>
          <w:t>2009\Atherosclerosis207, 311.pdf</w:t>
        </w:r>
      </w:hyperlink>
    </w:p>
    <w:p w:rsidR="008179BD" w:rsidRDefault="008179BD" w:rsidP="008179BD">
      <w:pPr>
        <w:pStyle w:val="a3"/>
        <w:rPr>
          <w:kern w:val="0"/>
        </w:rPr>
      </w:pPr>
      <w:r>
        <w:rPr>
          <w:kern w:val="0"/>
        </w:rPr>
        <w:t>Abstract: Background: Tendon xanthomas are characteristic</w:t>
      </w:r>
      <w:r w:rsidR="00427468">
        <w:rPr>
          <w:kern w:val="0"/>
        </w:rPr>
        <w:t xml:space="preserve"> of </w:t>
      </w:r>
      <w:r>
        <w:rPr>
          <w:kern w:val="0"/>
        </w:rPr>
        <w:t>familial hypercholesterolemia (FH). It is not clear whether FH patients with xanthomas have higher risk</w:t>
      </w:r>
      <w:r w:rsidR="00427468">
        <w:rPr>
          <w:kern w:val="0"/>
        </w:rPr>
        <w:t xml:space="preserve"> of </w:t>
      </w:r>
      <w:r>
        <w:rPr>
          <w:kern w:val="0"/>
        </w:rPr>
        <w:t>cardiovascular disease (CVD) than those without xanthomas</w:t>
      </w:r>
      <w:r w:rsidR="00A37C1D">
        <w:rPr>
          <w:kern w:val="0"/>
        </w:rPr>
        <w:t>. The</w:t>
      </w:r>
      <w:r w:rsidR="003A1917">
        <w:rPr>
          <w:kern w:val="0"/>
        </w:rPr>
        <w:t xml:space="preserve"> </w:t>
      </w:r>
      <w:r>
        <w:rPr>
          <w:kern w:val="0"/>
        </w:rPr>
        <w:t>clinical diagnosis</w:t>
      </w:r>
      <w:r w:rsidR="00427468">
        <w:rPr>
          <w:kern w:val="0"/>
        </w:rPr>
        <w:t xml:space="preserve"> of </w:t>
      </w:r>
      <w:r>
        <w:rPr>
          <w:kern w:val="0"/>
        </w:rPr>
        <w:t>FH in patients without xanthomas, namely requires</w:t>
      </w:r>
      <w:r w:rsidR="003A1917">
        <w:rPr>
          <w:kern w:val="0"/>
        </w:rPr>
        <w:t xml:space="preserve"> the </w:t>
      </w:r>
      <w:r>
        <w:rPr>
          <w:kern w:val="0"/>
        </w:rPr>
        <w:t>presence</w:t>
      </w:r>
      <w:r w:rsidR="00427468">
        <w:rPr>
          <w:kern w:val="0"/>
        </w:rPr>
        <w:t xml:space="preserve"> of </w:t>
      </w:r>
      <w:r>
        <w:rPr>
          <w:kern w:val="0"/>
        </w:rPr>
        <w:t>CVD in</w:t>
      </w:r>
      <w:r w:rsidR="003A1917">
        <w:rPr>
          <w:kern w:val="0"/>
        </w:rPr>
        <w:t xml:space="preserve"> the </w:t>
      </w:r>
      <w:r>
        <w:rPr>
          <w:kern w:val="0"/>
        </w:rPr>
        <w:t>patient or in a first-degree relative. This may have masked</w:t>
      </w:r>
      <w:r w:rsidR="003A1917">
        <w:rPr>
          <w:kern w:val="0"/>
        </w:rPr>
        <w:t xml:space="preserve"> the </w:t>
      </w:r>
      <w:r>
        <w:rPr>
          <w:kern w:val="0"/>
        </w:rPr>
        <w:t>association between xanthomas</w:t>
      </w:r>
      <w:r w:rsidR="005853A9">
        <w:rPr>
          <w:kern w:val="0"/>
        </w:rPr>
        <w:t xml:space="preserve"> and </w:t>
      </w:r>
      <w:r>
        <w:rPr>
          <w:kern w:val="0"/>
        </w:rPr>
        <w:t>CVD in a number</w:t>
      </w:r>
      <w:r w:rsidR="00427468">
        <w:rPr>
          <w:kern w:val="0"/>
        </w:rPr>
        <w:t xml:space="preserve"> of </w:t>
      </w:r>
      <w:r>
        <w:rPr>
          <w:kern w:val="0"/>
        </w:rPr>
        <w:t>studies. A diagnosis</w:t>
      </w:r>
      <w:r w:rsidR="00427468">
        <w:rPr>
          <w:kern w:val="0"/>
        </w:rPr>
        <w:t xml:space="preserve"> of </w:t>
      </w:r>
      <w:r>
        <w:rPr>
          <w:kern w:val="0"/>
        </w:rPr>
        <w:t>FH based on</w:t>
      </w:r>
      <w:r w:rsidR="003A1917">
        <w:rPr>
          <w:kern w:val="0"/>
        </w:rPr>
        <w:t xml:space="preserve"> the </w:t>
      </w:r>
      <w:r>
        <w:rPr>
          <w:kern w:val="0"/>
        </w:rPr>
        <w:t>presence</w:t>
      </w:r>
      <w:r w:rsidR="00427468">
        <w:rPr>
          <w:kern w:val="0"/>
        </w:rPr>
        <w:t xml:space="preserve"> of </w:t>
      </w:r>
      <w:r>
        <w:rPr>
          <w:kern w:val="0"/>
        </w:rPr>
        <w:t>a mutation in</w:t>
      </w:r>
      <w:r w:rsidR="003A1917">
        <w:rPr>
          <w:kern w:val="0"/>
        </w:rPr>
        <w:t xml:space="preserve"> the </w:t>
      </w:r>
      <w:r>
        <w:rPr>
          <w:kern w:val="0"/>
        </w:rPr>
        <w:t>low-density lipoprotein receptor (LDLR) gene is free from this selection on CVD. In this systematic review</w:t>
      </w:r>
      <w:r w:rsidR="005853A9">
        <w:rPr>
          <w:kern w:val="0"/>
        </w:rPr>
        <w:t xml:space="preserve"> and </w:t>
      </w:r>
      <w:r>
        <w:rPr>
          <w:kern w:val="0"/>
        </w:rPr>
        <w:t>meta-analysis, we therefore compared</w:t>
      </w:r>
      <w:r w:rsidR="003A1917">
        <w:rPr>
          <w:kern w:val="0"/>
        </w:rPr>
        <w:t xml:space="preserve"> the </w:t>
      </w:r>
      <w:r>
        <w:rPr>
          <w:kern w:val="0"/>
        </w:rPr>
        <w:t>risk</w:t>
      </w:r>
      <w:r w:rsidR="00427468">
        <w:rPr>
          <w:kern w:val="0"/>
        </w:rPr>
        <w:t xml:space="preserve"> of </w:t>
      </w:r>
      <w:r>
        <w:rPr>
          <w:kern w:val="0"/>
        </w:rPr>
        <w:t>CVD between patients heterozygous for LDLR mutation with</w:t>
      </w:r>
      <w:r w:rsidR="005853A9">
        <w:rPr>
          <w:kern w:val="0"/>
        </w:rPr>
        <w:t xml:space="preserve"> and </w:t>
      </w:r>
      <w:r>
        <w:rPr>
          <w:kern w:val="0"/>
        </w:rPr>
        <w:t>without xanthomas. Methods</w:t>
      </w:r>
      <w:r w:rsidR="005853A9">
        <w:rPr>
          <w:kern w:val="0"/>
        </w:rPr>
        <w:t xml:space="preserve"> and </w:t>
      </w:r>
      <w:r>
        <w:rPr>
          <w:kern w:val="0"/>
        </w:rPr>
        <w:t xml:space="preserve">results: We conducted a literature search with </w:t>
      </w:r>
      <w:r w:rsidR="002C12F0">
        <w:rPr>
          <w:kern w:val="0"/>
        </w:rPr>
        <w:t>PUBMED</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xml:space="preserve"> up to January 14, 2009. We selected all articles examining more than 25 human heterozygous FH patients, that provided information about xanthomas. Articles had to be written in a Western European language. A total</w:t>
      </w:r>
      <w:r w:rsidR="00427468">
        <w:rPr>
          <w:kern w:val="0"/>
        </w:rPr>
        <w:t xml:space="preserve"> of </w:t>
      </w:r>
      <w:r>
        <w:rPr>
          <w:kern w:val="0"/>
        </w:rPr>
        <w:t>22 articles suited for analyses. A genetic confirmation</w:t>
      </w:r>
      <w:r w:rsidR="00427468">
        <w:rPr>
          <w:kern w:val="0"/>
        </w:rPr>
        <w:t xml:space="preserve"> of </w:t>
      </w:r>
      <w:r>
        <w:rPr>
          <w:kern w:val="0"/>
        </w:rPr>
        <w:t>FH was compulsory to correctly assess</w:t>
      </w:r>
      <w:r w:rsidR="003A1917">
        <w:rPr>
          <w:kern w:val="0"/>
        </w:rPr>
        <w:t xml:space="preserve"> the </w:t>
      </w:r>
      <w:r>
        <w:rPr>
          <w:kern w:val="0"/>
        </w:rPr>
        <w:t>risk</w:t>
      </w:r>
      <w:r w:rsidR="00427468">
        <w:rPr>
          <w:kern w:val="0"/>
        </w:rPr>
        <w:t xml:space="preserve"> of </w:t>
      </w:r>
      <w:r>
        <w:rPr>
          <w:kern w:val="0"/>
        </w:rPr>
        <w:t>CVD with presence</w:t>
      </w:r>
      <w:r w:rsidR="00427468">
        <w:rPr>
          <w:kern w:val="0"/>
        </w:rPr>
        <w:t xml:space="preserve"> of </w:t>
      </w:r>
      <w:r>
        <w:rPr>
          <w:kern w:val="0"/>
        </w:rPr>
        <w:t>xanthomas. Age, male gender, LDL-cholesterol</w:t>
      </w:r>
      <w:r w:rsidR="005853A9">
        <w:rPr>
          <w:kern w:val="0"/>
        </w:rPr>
        <w:t xml:space="preserve"> and </w:t>
      </w:r>
      <w:r>
        <w:rPr>
          <w:kern w:val="0"/>
        </w:rPr>
        <w:t>triglyceride level were associated with</w:t>
      </w:r>
      <w:r w:rsidR="003A1917">
        <w:rPr>
          <w:kern w:val="0"/>
        </w:rPr>
        <w:t xml:space="preserve"> the </w:t>
      </w:r>
      <w:r>
        <w:rPr>
          <w:kern w:val="0"/>
        </w:rPr>
        <w:t>presence</w:t>
      </w:r>
      <w:r w:rsidR="00427468">
        <w:rPr>
          <w:kern w:val="0"/>
        </w:rPr>
        <w:t xml:space="preserve"> of </w:t>
      </w:r>
      <w:r>
        <w:rPr>
          <w:kern w:val="0"/>
        </w:rPr>
        <w:t>xanthomas (p &lt; 0.05 for all). In patients with genetically confirmed FH, xanthomas were associated with a 3.20-fold higher risk</w:t>
      </w:r>
      <w:r w:rsidR="00427468">
        <w:rPr>
          <w:kern w:val="0"/>
        </w:rPr>
        <w:t xml:space="preserve"> of </w:t>
      </w:r>
      <w:r>
        <w:rPr>
          <w:kern w:val="0"/>
        </w:rPr>
        <w:t xml:space="preserve">CVD (95% CI 2.12-4.82, p &lt; 0.01). Conclusions: Xanthomas are associated with a 3 </w:t>
      </w:r>
      <w:r>
        <w:rPr>
          <w:kern w:val="0"/>
        </w:rPr>
        <w:lastRenderedPageBreak/>
        <w:t>times higher risk</w:t>
      </w:r>
      <w:r w:rsidR="00427468">
        <w:rPr>
          <w:kern w:val="0"/>
        </w:rPr>
        <w:t xml:space="preserve"> of </w:t>
      </w:r>
      <w:r>
        <w:rPr>
          <w:kern w:val="0"/>
        </w:rPr>
        <w:t>CVD among FH patients, suggesting that xanthomas</w:t>
      </w:r>
      <w:r w:rsidR="005853A9">
        <w:rPr>
          <w:kern w:val="0"/>
        </w:rPr>
        <w:t xml:space="preserve"> and </w:t>
      </w:r>
      <w:r>
        <w:rPr>
          <w:kern w:val="0"/>
        </w:rPr>
        <w:t>CVD may share etiology. (C) 2009 Elsevier Ireland Ltd. All rights reserved.</w:t>
      </w:r>
    </w:p>
    <w:p w:rsidR="008179BD" w:rsidRDefault="008179BD" w:rsidP="008179BD">
      <w:pPr>
        <w:pStyle w:val="a3"/>
        <w:rPr>
          <w:kern w:val="0"/>
        </w:rPr>
      </w:pPr>
      <w:r>
        <w:rPr>
          <w:kern w:val="0"/>
        </w:rPr>
        <w:t xml:space="preserve">Keywords: Achilles-Tendon, Age, Articles, Atherosclerosis, Cardiovascular, Cardiovascular Disease, Clinical-Manifestations, Coronary-Artery Disease, Diagnosis, Disease, Etiology, Familial Hypercholesterolemia, Gender, Genetic, Human, Hypercholesterolemia, Information, Intima-Media Thickness, Ischemic Heart-Disease, LDL Receptor Gene, Literature, Meta-Analysis, Methods, Mutation, Phenotype, </w:t>
      </w:r>
      <w:r w:rsidR="002C12F0">
        <w:rPr>
          <w:kern w:val="0"/>
        </w:rPr>
        <w:t>PUBMED</w:t>
      </w:r>
      <w:r>
        <w:rPr>
          <w:kern w:val="0"/>
        </w:rPr>
        <w:t xml:space="preserve">, Review, Risk, Science, Systematic, Systematic Review, Tendon, Triglyceride, Ultrasonography, </w:t>
      </w:r>
      <w:r w:rsidR="00D5664A">
        <w:rPr>
          <w:kern w:val="0"/>
        </w:rPr>
        <w:t>Web</w:t>
      </w:r>
      <w:r w:rsidR="00427468">
        <w:rPr>
          <w:kern w:val="0"/>
        </w:rPr>
        <w:t xml:space="preserve"> of </w:t>
      </w:r>
      <w:r w:rsidR="00D5664A">
        <w:rPr>
          <w:kern w:val="0"/>
        </w:rPr>
        <w:t>Science</w:t>
      </w:r>
      <w:r>
        <w:rPr>
          <w:kern w:val="0"/>
        </w:rPr>
        <w:t>, Xanthomas</w:t>
      </w:r>
    </w:p>
    <w:p w:rsidR="008179BD" w:rsidRDefault="008179BD" w:rsidP="008179BD">
      <w:pPr>
        <w:pStyle w:val="a3"/>
        <w:rPr>
          <w:kern w:val="0"/>
        </w:rPr>
      </w:pPr>
      <w:r>
        <w:rPr>
          <w:rFonts w:hint="eastAsia"/>
          <w:kern w:val="0"/>
        </w:rPr>
        <w:t xml:space="preserve">? </w:t>
      </w:r>
      <w:r>
        <w:rPr>
          <w:kern w:val="0"/>
        </w:rPr>
        <w:t>Ma, X.Y., Liu, J.P.</w:t>
      </w:r>
      <w:r w:rsidR="005853A9">
        <w:rPr>
          <w:kern w:val="0"/>
        </w:rPr>
        <w:t xml:space="preserve"> and </w:t>
      </w:r>
      <w:r>
        <w:rPr>
          <w:kern w:val="0"/>
        </w:rPr>
        <w:t>Song, Z.Y. (2011), Associations</w:t>
      </w:r>
      <w:r w:rsidR="00427468">
        <w:rPr>
          <w:kern w:val="0"/>
        </w:rPr>
        <w:t xml:space="preserve"> of </w:t>
      </w:r>
      <w:r w:rsidR="003A1917">
        <w:rPr>
          <w:kern w:val="0"/>
        </w:rPr>
        <w:t xml:space="preserve">the </w:t>
      </w:r>
      <w:r>
        <w:rPr>
          <w:kern w:val="0"/>
        </w:rPr>
        <w:t>ATP-binding cassette transporter A1 R219K polymorphism with HDL-C level</w:t>
      </w:r>
      <w:r w:rsidR="005853A9">
        <w:rPr>
          <w:kern w:val="0"/>
        </w:rPr>
        <w:t xml:space="preserve"> and </w:t>
      </w:r>
      <w:r>
        <w:rPr>
          <w:kern w:val="0"/>
        </w:rPr>
        <w:t xml:space="preserve">coronary artery disease risk: A meta-analysis. </w:t>
      </w:r>
      <w:r>
        <w:rPr>
          <w:i/>
          <w:iCs/>
          <w:kern w:val="0"/>
        </w:rPr>
        <w:t>Atherosclerosis</w:t>
      </w:r>
      <w:r>
        <w:rPr>
          <w:kern w:val="0"/>
        </w:rPr>
        <w:t xml:space="preserve">, </w:t>
      </w:r>
      <w:r>
        <w:rPr>
          <w:b/>
          <w:bCs/>
          <w:kern w:val="0"/>
        </w:rPr>
        <w:t>215</w:t>
      </w:r>
      <w:r>
        <w:rPr>
          <w:kern w:val="0"/>
        </w:rPr>
        <w:t xml:space="preserve"> (2), 428-434.</w:t>
      </w:r>
    </w:p>
    <w:p w:rsidR="005F002F" w:rsidRDefault="005F002F" w:rsidP="005F002F">
      <w:pPr>
        <w:pStyle w:val="a3"/>
        <w:rPr>
          <w:kern w:val="0"/>
        </w:rPr>
      </w:pPr>
      <w:r>
        <w:rPr>
          <w:rFonts w:hint="eastAsia"/>
          <w:kern w:val="0"/>
        </w:rPr>
        <w:t xml:space="preserve">Full Text: </w:t>
      </w:r>
      <w:hyperlink r:id="rId1354" w:history="1">
        <w:r w:rsidRPr="00DD0A4E">
          <w:rPr>
            <w:rStyle w:val="a5"/>
            <w:kern w:val="0"/>
          </w:rPr>
          <w:t>2011\Atherosclerosis215, 428.pdf</w:t>
        </w:r>
      </w:hyperlink>
    </w:p>
    <w:p w:rsidR="008179BD" w:rsidRDefault="008179BD" w:rsidP="008179BD">
      <w:pPr>
        <w:pStyle w:val="a3"/>
        <w:rPr>
          <w:kern w:val="0"/>
        </w:rPr>
      </w:pPr>
      <w:r>
        <w:rPr>
          <w:kern w:val="0"/>
        </w:rPr>
        <w:t>Abstract: Objective: Previous studies have evaluated</w:t>
      </w:r>
      <w:r w:rsidR="003A1917">
        <w:rPr>
          <w:kern w:val="0"/>
        </w:rPr>
        <w:t xml:space="preserve"> the </w:t>
      </w:r>
      <w:r>
        <w:rPr>
          <w:kern w:val="0"/>
        </w:rPr>
        <w:t>associations</w:t>
      </w:r>
      <w:r w:rsidR="00427468">
        <w:rPr>
          <w:kern w:val="0"/>
        </w:rPr>
        <w:t xml:space="preserve"> of </w:t>
      </w:r>
      <w:r w:rsidR="003A1917">
        <w:rPr>
          <w:kern w:val="0"/>
        </w:rPr>
        <w:t xml:space="preserve">the </w:t>
      </w:r>
      <w:r>
        <w:rPr>
          <w:kern w:val="0"/>
        </w:rPr>
        <w:t>ATP-binding cassette transporter A1 (ABCA1) R219K polymorphism (rs2230806) with</w:t>
      </w:r>
      <w:r w:rsidR="003A1917">
        <w:rPr>
          <w:kern w:val="0"/>
        </w:rPr>
        <w:t xml:space="preserve"> the </w:t>
      </w:r>
      <w:r>
        <w:rPr>
          <w:kern w:val="0"/>
        </w:rPr>
        <w:t>level</w:t>
      </w:r>
      <w:r w:rsidR="00427468">
        <w:rPr>
          <w:kern w:val="0"/>
        </w:rPr>
        <w:t xml:space="preserve"> of </w:t>
      </w:r>
      <w:r>
        <w:rPr>
          <w:kern w:val="0"/>
        </w:rPr>
        <w:t>high-density lipoprotein cholesterol (HDLC)</w:t>
      </w:r>
      <w:r w:rsidR="005853A9">
        <w:rPr>
          <w:kern w:val="0"/>
        </w:rPr>
        <w:t xml:space="preserve"> and </w:t>
      </w:r>
      <w:r w:rsidR="003A1917">
        <w:rPr>
          <w:kern w:val="0"/>
        </w:rPr>
        <w:t xml:space="preserve">the </w:t>
      </w:r>
      <w:r>
        <w:rPr>
          <w:kern w:val="0"/>
        </w:rPr>
        <w:t>risk</w:t>
      </w:r>
      <w:r w:rsidR="00427468">
        <w:rPr>
          <w:kern w:val="0"/>
        </w:rPr>
        <w:t xml:space="preserve"> of </w:t>
      </w:r>
      <w:r>
        <w:rPr>
          <w:kern w:val="0"/>
        </w:rPr>
        <w:t>developing coronary artery disease (CAD), but results from many small, underpowered studies are conflicting</w:t>
      </w:r>
      <w:r w:rsidR="00A37C1D">
        <w:rPr>
          <w:kern w:val="0"/>
        </w:rPr>
        <w:t>. The</w:t>
      </w:r>
      <w:r w:rsidR="003A1917">
        <w:rPr>
          <w:kern w:val="0"/>
        </w:rPr>
        <w:t xml:space="preserve"> </w:t>
      </w:r>
      <w:r>
        <w:rPr>
          <w:kern w:val="0"/>
        </w:rPr>
        <w:t>objective</w:t>
      </w:r>
      <w:r w:rsidR="00427468">
        <w:rPr>
          <w:kern w:val="0"/>
        </w:rPr>
        <w:t xml:space="preserve"> of </w:t>
      </w:r>
      <w:r>
        <w:rPr>
          <w:kern w:val="0"/>
        </w:rPr>
        <w:t>this study was to overcome</w:t>
      </w:r>
      <w:r w:rsidR="003A1917">
        <w:rPr>
          <w:kern w:val="0"/>
        </w:rPr>
        <w:t xml:space="preserve"> the </w:t>
      </w:r>
      <w:r>
        <w:rPr>
          <w:kern w:val="0"/>
        </w:rPr>
        <w:t>limitations</w:t>
      </w:r>
      <w:r w:rsidR="00427468">
        <w:rPr>
          <w:kern w:val="0"/>
        </w:rPr>
        <w:t xml:space="preserve"> of </w:t>
      </w:r>
      <w:r>
        <w:rPr>
          <w:kern w:val="0"/>
        </w:rPr>
        <w:t>individual study</w:t>
      </w:r>
      <w:r w:rsidR="005853A9">
        <w:rPr>
          <w:kern w:val="0"/>
        </w:rPr>
        <w:t xml:space="preserve"> and </w:t>
      </w:r>
      <w:r>
        <w:rPr>
          <w:kern w:val="0"/>
        </w:rPr>
        <w:t>provide solid epidemiologic evidence. Methods: We conducted a systematic review</w:t>
      </w:r>
      <w:r w:rsidR="005853A9">
        <w:rPr>
          <w:kern w:val="0"/>
        </w:rPr>
        <w:t xml:space="preserve"> and </w:t>
      </w:r>
      <w:r>
        <w:rPr>
          <w:kern w:val="0"/>
        </w:rPr>
        <w:t>meta-analysis</w:t>
      </w:r>
      <w:r w:rsidR="00427468">
        <w:rPr>
          <w:kern w:val="0"/>
        </w:rPr>
        <w:t xml:space="preserve"> of </w:t>
      </w:r>
      <w:r>
        <w:rPr>
          <w:kern w:val="0"/>
        </w:rPr>
        <w:t>available studies to clarify</w:t>
      </w:r>
      <w:r w:rsidR="003A1917">
        <w:rPr>
          <w:kern w:val="0"/>
        </w:rPr>
        <w:t xml:space="preserve"> the </w:t>
      </w:r>
      <w:r>
        <w:rPr>
          <w:kern w:val="0"/>
        </w:rPr>
        <w:t>associations</w:t>
      </w:r>
      <w:r w:rsidR="00427468">
        <w:rPr>
          <w:kern w:val="0"/>
        </w:rPr>
        <w:t xml:space="preserve"> of </w:t>
      </w:r>
      <w:r w:rsidR="003A1917">
        <w:rPr>
          <w:kern w:val="0"/>
        </w:rPr>
        <w:t xml:space="preserve">the </w:t>
      </w:r>
      <w:r>
        <w:rPr>
          <w:kern w:val="0"/>
        </w:rPr>
        <w:t>ABCA1 R219K polymorphism with HDL-C level</w:t>
      </w:r>
      <w:r w:rsidR="005853A9">
        <w:rPr>
          <w:kern w:val="0"/>
        </w:rPr>
        <w:t xml:space="preserve"> and </w:t>
      </w:r>
      <w:r>
        <w:rPr>
          <w:kern w:val="0"/>
        </w:rPr>
        <w:t xml:space="preserve">CAD risk. Results: Through retrieving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 CBM</w:t>
      </w:r>
      <w:r w:rsidR="005853A9">
        <w:rPr>
          <w:kern w:val="0"/>
        </w:rPr>
        <w:t xml:space="preserve"> and </w:t>
      </w:r>
      <w:r>
        <w:rPr>
          <w:kern w:val="0"/>
        </w:rPr>
        <w:t>CNKI, we identified a total</w:t>
      </w:r>
      <w:r w:rsidR="00427468">
        <w:rPr>
          <w:kern w:val="0"/>
        </w:rPr>
        <w:t xml:space="preserve"> of </w:t>
      </w:r>
      <w:r>
        <w:rPr>
          <w:kern w:val="0"/>
        </w:rPr>
        <w:t>22 studies with 6597 cases</w:t>
      </w:r>
      <w:r w:rsidR="005853A9">
        <w:rPr>
          <w:kern w:val="0"/>
        </w:rPr>
        <w:t xml:space="preserve"> and </w:t>
      </w:r>
      <w:r>
        <w:rPr>
          <w:kern w:val="0"/>
        </w:rPr>
        <w:t>15,369 controls for</w:t>
      </w:r>
      <w:r w:rsidR="003A1917">
        <w:rPr>
          <w:kern w:val="0"/>
        </w:rPr>
        <w:t xml:space="preserve"> the </w:t>
      </w:r>
      <w:r>
        <w:rPr>
          <w:kern w:val="0"/>
        </w:rPr>
        <w:t>association between</w:t>
      </w:r>
      <w:r w:rsidR="003A1917">
        <w:rPr>
          <w:kern w:val="0"/>
        </w:rPr>
        <w:t xml:space="preserve"> the </w:t>
      </w:r>
      <w:r>
        <w:rPr>
          <w:kern w:val="0"/>
        </w:rPr>
        <w:t>ABCA1 R219K polymorphism</w:t>
      </w:r>
      <w:r w:rsidR="005853A9">
        <w:rPr>
          <w:kern w:val="0"/>
        </w:rPr>
        <w:t xml:space="preserve"> and </w:t>
      </w:r>
      <w:r>
        <w:rPr>
          <w:kern w:val="0"/>
        </w:rPr>
        <w:t>CAD risk</w:t>
      </w:r>
      <w:r w:rsidR="00A37C1D">
        <w:rPr>
          <w:kern w:val="0"/>
        </w:rPr>
        <w:t>. The</w:t>
      </w:r>
      <w:r w:rsidR="003A1917">
        <w:rPr>
          <w:kern w:val="0"/>
        </w:rPr>
        <w:t xml:space="preserve"> </w:t>
      </w:r>
      <w:r>
        <w:rPr>
          <w:kern w:val="0"/>
        </w:rPr>
        <w:t>carriers</w:t>
      </w:r>
      <w:r w:rsidR="00427468">
        <w:rPr>
          <w:kern w:val="0"/>
        </w:rPr>
        <w:t xml:space="preserve"> of </w:t>
      </w:r>
      <w:r>
        <w:rPr>
          <w:kern w:val="0"/>
        </w:rPr>
        <w:t>allele 219K were found to have a lower risk</w:t>
      </w:r>
      <w:r w:rsidR="00427468">
        <w:rPr>
          <w:kern w:val="0"/>
        </w:rPr>
        <w:t xml:space="preserve"> of </w:t>
      </w:r>
      <w:r>
        <w:rPr>
          <w:kern w:val="0"/>
        </w:rPr>
        <w:t>CAD than</w:t>
      </w:r>
      <w:r w:rsidR="003A1917">
        <w:rPr>
          <w:kern w:val="0"/>
        </w:rPr>
        <w:t xml:space="preserve"> the </w:t>
      </w:r>
      <w:r>
        <w:rPr>
          <w:kern w:val="0"/>
        </w:rPr>
        <w:t>non-carriers: OR = 0.76,95% CI = 0.68-0.85, P = 3.78E-07, P(heterogeneity) = 3.59E-08; meanwhile, 18 studies from 17 papers with 12,869 subjects were included in</w:t>
      </w:r>
      <w:r w:rsidR="003A1917">
        <w:rPr>
          <w:kern w:val="0"/>
        </w:rPr>
        <w:t xml:space="preserve"> the </w:t>
      </w:r>
      <w:r>
        <w:rPr>
          <w:kern w:val="0"/>
        </w:rPr>
        <w:t>association between</w:t>
      </w:r>
      <w:r w:rsidR="003A1917">
        <w:rPr>
          <w:kern w:val="0"/>
        </w:rPr>
        <w:t xml:space="preserve"> the </w:t>
      </w:r>
      <w:r>
        <w:rPr>
          <w:kern w:val="0"/>
        </w:rPr>
        <w:t>ABCA1 R219K polymorphism</w:t>
      </w:r>
      <w:r w:rsidR="005853A9">
        <w:rPr>
          <w:kern w:val="0"/>
        </w:rPr>
        <w:t xml:space="preserve"> and </w:t>
      </w:r>
      <w:r w:rsidR="003A1917">
        <w:rPr>
          <w:kern w:val="0"/>
        </w:rPr>
        <w:t xml:space="preserve">the </w:t>
      </w:r>
      <w:r>
        <w:rPr>
          <w:kern w:val="0"/>
        </w:rPr>
        <w:t>level</w:t>
      </w:r>
      <w:r w:rsidR="00427468">
        <w:rPr>
          <w:kern w:val="0"/>
        </w:rPr>
        <w:t xml:space="preserve"> of </w:t>
      </w:r>
      <w:r>
        <w:rPr>
          <w:kern w:val="0"/>
        </w:rPr>
        <w:t>HDL-C. It was suggested that</w:t>
      </w:r>
      <w:r w:rsidR="003A1917">
        <w:rPr>
          <w:kern w:val="0"/>
        </w:rPr>
        <w:t xml:space="preserve"> the </w:t>
      </w:r>
      <w:r>
        <w:rPr>
          <w:kern w:val="0"/>
        </w:rPr>
        <w:t>carriers</w:t>
      </w:r>
      <w:r w:rsidR="00427468">
        <w:rPr>
          <w:kern w:val="0"/>
        </w:rPr>
        <w:t xml:space="preserve"> of </w:t>
      </w:r>
      <w:r>
        <w:rPr>
          <w:kern w:val="0"/>
        </w:rPr>
        <w:t>KK genotype had higher level</w:t>
      </w:r>
      <w:r w:rsidR="00427468">
        <w:rPr>
          <w:kern w:val="0"/>
        </w:rPr>
        <w:t xml:space="preserve"> of </w:t>
      </w:r>
      <w:r>
        <w:rPr>
          <w:kern w:val="0"/>
        </w:rPr>
        <w:t>HDL-C than those</w:t>
      </w:r>
      <w:r w:rsidR="00427468">
        <w:rPr>
          <w:kern w:val="0"/>
        </w:rPr>
        <w:t xml:space="preserve"> of </w:t>
      </w:r>
      <w:r>
        <w:rPr>
          <w:kern w:val="0"/>
        </w:rPr>
        <w:t>RR genotype: SMD = 0.19, 95% CI = 0.06-0.32, P = 0.005, P(heterogeneity) = 3.19E-09. Subgroup analyzes by ethnicity certified that</w:t>
      </w:r>
      <w:r w:rsidR="003A1917">
        <w:rPr>
          <w:kern w:val="0"/>
        </w:rPr>
        <w:t xml:space="preserve"> the </w:t>
      </w:r>
      <w:r>
        <w:rPr>
          <w:kern w:val="0"/>
        </w:rPr>
        <w:t>effect on HDL level was just significant in Asians. Exclusion</w:t>
      </w:r>
      <w:r w:rsidR="00427468">
        <w:rPr>
          <w:kern w:val="0"/>
        </w:rPr>
        <w:t xml:space="preserve"> of </w:t>
      </w:r>
      <w:r w:rsidR="003A1917">
        <w:rPr>
          <w:kern w:val="0"/>
        </w:rPr>
        <w:t xml:space="preserve">the </w:t>
      </w:r>
      <w:r>
        <w:rPr>
          <w:kern w:val="0"/>
        </w:rPr>
        <w:t>outlier studies effectively removed</w:t>
      </w:r>
      <w:r w:rsidR="003A1917">
        <w:rPr>
          <w:kern w:val="0"/>
        </w:rPr>
        <w:t xml:space="preserve"> the </w:t>
      </w:r>
      <w:r>
        <w:rPr>
          <w:kern w:val="0"/>
        </w:rPr>
        <w:t>heterogeneity</w:t>
      </w:r>
      <w:r w:rsidR="005853A9">
        <w:rPr>
          <w:kern w:val="0"/>
        </w:rPr>
        <w:t xml:space="preserve"> and </w:t>
      </w:r>
      <w:r>
        <w:rPr>
          <w:kern w:val="0"/>
        </w:rPr>
        <w:t>confirmed</w:t>
      </w:r>
      <w:r w:rsidR="003A1917">
        <w:rPr>
          <w:kern w:val="0"/>
        </w:rPr>
        <w:t xml:space="preserve"> the </w:t>
      </w:r>
      <w:r>
        <w:rPr>
          <w:kern w:val="0"/>
        </w:rPr>
        <w:t>total results. No publication bias was detected in this meta-analysis. Conclusions:</w:t>
      </w:r>
      <w:r w:rsidR="003A1917">
        <w:rPr>
          <w:kern w:val="0"/>
        </w:rPr>
        <w:t xml:space="preserve"> the </w:t>
      </w:r>
      <w:r>
        <w:rPr>
          <w:kern w:val="0"/>
        </w:rPr>
        <w:t>synthesis</w:t>
      </w:r>
      <w:r w:rsidR="00427468">
        <w:rPr>
          <w:kern w:val="0"/>
        </w:rPr>
        <w:t xml:space="preserve"> of </w:t>
      </w:r>
      <w:r>
        <w:rPr>
          <w:kern w:val="0"/>
        </w:rPr>
        <w:t>available evidence demonstrates that</w:t>
      </w:r>
      <w:r w:rsidR="003A1917">
        <w:rPr>
          <w:kern w:val="0"/>
        </w:rPr>
        <w:t xml:space="preserve"> the </w:t>
      </w:r>
      <w:r>
        <w:rPr>
          <w:kern w:val="0"/>
        </w:rPr>
        <w:t>ABCA1 R219K polymorphism is associated with a higher HDL-C level in Asians</w:t>
      </w:r>
      <w:r w:rsidR="005853A9">
        <w:rPr>
          <w:kern w:val="0"/>
        </w:rPr>
        <w:t xml:space="preserve"> and </w:t>
      </w:r>
      <w:r>
        <w:rPr>
          <w:kern w:val="0"/>
        </w:rPr>
        <w:t>a protective role for CAD risk both in Asians</w:t>
      </w:r>
      <w:r w:rsidR="005853A9">
        <w:rPr>
          <w:kern w:val="0"/>
        </w:rPr>
        <w:t xml:space="preserve"> and </w:t>
      </w:r>
      <w:r>
        <w:rPr>
          <w:kern w:val="0"/>
        </w:rPr>
        <w:t>Caucasians. (C) 2011 Elsevier Ireland Ltd. All rights reserved.</w:t>
      </w:r>
    </w:p>
    <w:p w:rsidR="008179BD" w:rsidRDefault="008179BD" w:rsidP="008179BD">
      <w:pPr>
        <w:pStyle w:val="a3"/>
        <w:rPr>
          <w:kern w:val="0"/>
        </w:rPr>
      </w:pPr>
      <w:r>
        <w:rPr>
          <w:kern w:val="0"/>
        </w:rPr>
        <w:t xml:space="preserve">Keywords: Abca1 Gene, Atp Binding Cassette Transporter A1, Bias, Cholesterol Levels, Clinical-Trials, Common Polymorphisms, Coronary Artery Disease, Disease, </w:t>
      </w:r>
      <w:r>
        <w:rPr>
          <w:kern w:val="0"/>
        </w:rPr>
        <w:lastRenderedPageBreak/>
        <w:t xml:space="preserve">Disease Risk, Ethnicity, Familial Hypercholesterolemia, Genome-Wide Association, Hdl, </w:t>
      </w:r>
      <w:r w:rsidR="005F002F">
        <w:rPr>
          <w:kern w:val="0"/>
        </w:rPr>
        <w:t>HDL</w:t>
      </w:r>
      <w:r>
        <w:rPr>
          <w:kern w:val="0"/>
        </w:rPr>
        <w:t xml:space="preserve">-C, Heart-Disease, Meta Analysis, Meta-Analysis, Methods, Myocardial-Infarction, Papers, Polymorphism, Population, Publication, Publication Bias, </w:t>
      </w:r>
      <w:r w:rsidR="002C12F0">
        <w:rPr>
          <w:kern w:val="0"/>
        </w:rPr>
        <w:t>PUBMED</w:t>
      </w:r>
      <w:r>
        <w:rPr>
          <w:kern w:val="0"/>
        </w:rPr>
        <w:t xml:space="preserve">, Review, Risk, Science, Systematic, Systematic Review, Tangier-Disease, </w:t>
      </w:r>
      <w:r w:rsidR="00D5664A">
        <w:rPr>
          <w:kern w:val="0"/>
        </w:rPr>
        <w:t>Web</w:t>
      </w:r>
      <w:r w:rsidR="00427468">
        <w:rPr>
          <w:kern w:val="0"/>
        </w:rPr>
        <w:t xml:space="preserve"> of </w:t>
      </w:r>
      <w:r w:rsidR="00D5664A">
        <w:rPr>
          <w:kern w:val="0"/>
        </w:rPr>
        <w:t>Science</w:t>
      </w:r>
    </w:p>
    <w:p w:rsidR="005F002F" w:rsidRDefault="005F002F" w:rsidP="005F002F">
      <w:pPr>
        <w:pStyle w:val="a3"/>
        <w:rPr>
          <w:kern w:val="0"/>
        </w:rPr>
      </w:pPr>
      <w:r>
        <w:rPr>
          <w:rFonts w:hint="eastAsia"/>
          <w:kern w:val="0"/>
        </w:rPr>
        <w:t xml:space="preserve">? </w:t>
      </w:r>
      <w:r>
        <w:rPr>
          <w:kern w:val="0"/>
        </w:rPr>
        <w:t>Huggett, S. (2013), Journal bibliometrics indicators</w:t>
      </w:r>
      <w:r w:rsidR="005853A9">
        <w:rPr>
          <w:kern w:val="0"/>
        </w:rPr>
        <w:t xml:space="preserve"> and </w:t>
      </w:r>
      <w:r>
        <w:rPr>
          <w:kern w:val="0"/>
        </w:rPr>
        <w:t>citation ethics: A discussion</w:t>
      </w:r>
      <w:r w:rsidR="00427468">
        <w:rPr>
          <w:kern w:val="0"/>
        </w:rPr>
        <w:t xml:space="preserve"> of </w:t>
      </w:r>
      <w:r>
        <w:rPr>
          <w:kern w:val="0"/>
        </w:rPr>
        <w:t xml:space="preserve">current issues. </w:t>
      </w:r>
      <w:r>
        <w:rPr>
          <w:i/>
          <w:iCs/>
          <w:kern w:val="0"/>
        </w:rPr>
        <w:t>Atherosclerosis</w:t>
      </w:r>
      <w:r>
        <w:rPr>
          <w:kern w:val="0"/>
        </w:rPr>
        <w:t xml:space="preserve">, </w:t>
      </w:r>
      <w:r>
        <w:rPr>
          <w:b/>
          <w:bCs/>
          <w:kern w:val="0"/>
        </w:rPr>
        <w:t>230</w:t>
      </w:r>
      <w:r>
        <w:rPr>
          <w:kern w:val="0"/>
        </w:rPr>
        <w:t xml:space="preserve"> (2), 275-277.</w:t>
      </w:r>
    </w:p>
    <w:p w:rsidR="005F002F" w:rsidRDefault="005F002F" w:rsidP="005F002F">
      <w:pPr>
        <w:pStyle w:val="a3"/>
        <w:rPr>
          <w:kern w:val="0"/>
        </w:rPr>
      </w:pPr>
      <w:r>
        <w:rPr>
          <w:rFonts w:hint="eastAsia"/>
          <w:kern w:val="0"/>
        </w:rPr>
        <w:t xml:space="preserve">Full Text: </w:t>
      </w:r>
      <w:hyperlink r:id="rId1355" w:history="1">
        <w:r w:rsidRPr="00DD0A4E">
          <w:rPr>
            <w:rStyle w:val="a5"/>
            <w:kern w:val="0"/>
          </w:rPr>
          <w:t>2013\Atherosclerosis230, 275.pdf</w:t>
        </w:r>
      </w:hyperlink>
    </w:p>
    <w:p w:rsidR="005F002F" w:rsidRDefault="005F002F" w:rsidP="005F002F">
      <w:pPr>
        <w:pStyle w:val="a3"/>
        <w:rPr>
          <w:kern w:val="0"/>
        </w:rPr>
      </w:pPr>
      <w:r>
        <w:rPr>
          <w:kern w:val="0"/>
        </w:rPr>
        <w:t>Abstract: Science has recently been accelerating at a fast rate, resulting in what has been called “information overload”</w:t>
      </w:r>
      <w:r w:rsidR="005853A9">
        <w:rPr>
          <w:kern w:val="0"/>
        </w:rPr>
        <w:t xml:space="preserve"> and </w:t>
      </w:r>
      <w:r>
        <w:rPr>
          <w:kern w:val="0"/>
        </w:rPr>
        <w:t>more recently “filter failure”. In this perspective, journal performance indicators can play an important role in journal evaluation. Opinions on the appropriate use</w:t>
      </w:r>
      <w:r w:rsidR="00427468">
        <w:rPr>
          <w:kern w:val="0"/>
        </w:rPr>
        <w:t xml:space="preserve"> of </w:t>
      </w:r>
      <w:r>
        <w:rPr>
          <w:kern w:val="0"/>
        </w:rPr>
        <w:t>journal-level bibliometrics indicators can be divided but they have now long been used as measures in research evaluation,</w:t>
      </w:r>
      <w:r w:rsidR="005853A9">
        <w:rPr>
          <w:kern w:val="0"/>
        </w:rPr>
        <w:t xml:space="preserve"> and </w:t>
      </w:r>
      <w:r>
        <w:rPr>
          <w:kern w:val="0"/>
        </w:rPr>
        <w:t>many editors see it as part</w:t>
      </w:r>
      <w:r w:rsidR="00427468">
        <w:rPr>
          <w:kern w:val="0"/>
        </w:rPr>
        <w:t xml:space="preserve"> of </w:t>
      </w:r>
      <w:r>
        <w:rPr>
          <w:kern w:val="0"/>
        </w:rPr>
        <w:t>their editorial duty to try</w:t>
      </w:r>
      <w:r w:rsidR="005853A9">
        <w:rPr>
          <w:kern w:val="0"/>
        </w:rPr>
        <w:t xml:space="preserve"> and </w:t>
      </w:r>
      <w:r>
        <w:rPr>
          <w:kern w:val="0"/>
        </w:rPr>
        <w:t>improve bibliometrics indicators</w:t>
      </w:r>
      <w:r w:rsidR="005853A9">
        <w:rPr>
          <w:kern w:val="0"/>
        </w:rPr>
        <w:t xml:space="preserve"> and </w:t>
      </w:r>
      <w:r>
        <w:rPr>
          <w:kern w:val="0"/>
        </w:rPr>
        <w:t>rankings for their journal</w:t>
      </w:r>
      <w:r w:rsidR="00A37C1D">
        <w:rPr>
          <w:kern w:val="0"/>
        </w:rPr>
        <w:t>. The</w:t>
      </w:r>
      <w:r>
        <w:rPr>
          <w:kern w:val="0"/>
        </w:rPr>
        <w:t>re are various techniques through which this can be attempted, some more ethical than others. Some editors may try to boost the bibliometrics performance</w:t>
      </w:r>
      <w:r w:rsidR="00427468">
        <w:rPr>
          <w:kern w:val="0"/>
        </w:rPr>
        <w:t xml:space="preserve"> of </w:t>
      </w:r>
      <w:r>
        <w:rPr>
          <w:kern w:val="0"/>
        </w:rPr>
        <w:t>their journals through gratuitous citations. This is problematic because citations are meant to provide useful references, scientifically justifiable, to previously published literature. As such citations can be used as widely accepted measures</w:t>
      </w:r>
      <w:r w:rsidR="00427468">
        <w:rPr>
          <w:kern w:val="0"/>
        </w:rPr>
        <w:t xml:space="preserve"> of </w:t>
      </w:r>
      <w:r>
        <w:rPr>
          <w:kern w:val="0"/>
        </w:rPr>
        <w:t>scientific impact</w:t>
      </w:r>
      <w:r w:rsidR="00A37C1D">
        <w:rPr>
          <w:kern w:val="0"/>
        </w:rPr>
        <w:t>. The</w:t>
      </w:r>
      <w:r>
        <w:rPr>
          <w:kern w:val="0"/>
        </w:rPr>
        <w:t>refore, superfluous citations can distort the validity</w:t>
      </w:r>
      <w:r w:rsidR="00427468">
        <w:rPr>
          <w:kern w:val="0"/>
        </w:rPr>
        <w:t xml:space="preserve"> of </w:t>
      </w:r>
      <w:r>
        <w:rPr>
          <w:kern w:val="0"/>
        </w:rPr>
        <w:t>bibliometrics indicators. It might be tempting to try to improve a journal</w:t>
      </w:r>
      <w:r w:rsidR="00700038">
        <w:rPr>
          <w:kern w:val="0"/>
        </w:rPr>
        <w:t>’</w:t>
      </w:r>
      <w:r>
        <w:rPr>
          <w:kern w:val="0"/>
        </w:rPr>
        <w:t>s bibliometrics rankings at all costs, but these are only as meaningful as the data that feed into them. Exceedingly inflated indicators due to unethical behaviours can damage the reputation</w:t>
      </w:r>
      <w:r w:rsidR="00427468">
        <w:rPr>
          <w:kern w:val="0"/>
        </w:rPr>
        <w:t xml:space="preserve"> of </w:t>
      </w:r>
      <w:r>
        <w:rPr>
          <w:kern w:val="0"/>
        </w:rPr>
        <w:t>a journal</w:t>
      </w:r>
      <w:r w:rsidR="005853A9">
        <w:rPr>
          <w:kern w:val="0"/>
        </w:rPr>
        <w:t xml:space="preserve"> and </w:t>
      </w:r>
      <w:r>
        <w:rPr>
          <w:kern w:val="0"/>
        </w:rPr>
        <w:t>its editors,</w:t>
      </w:r>
      <w:r w:rsidR="005853A9">
        <w:rPr>
          <w:kern w:val="0"/>
        </w:rPr>
        <w:t xml:space="preserve"> and </w:t>
      </w:r>
      <w:r>
        <w:rPr>
          <w:kern w:val="0"/>
        </w:rPr>
        <w:t>can lead to a loss</w:t>
      </w:r>
      <w:r w:rsidR="00427468">
        <w:rPr>
          <w:kern w:val="0"/>
        </w:rPr>
        <w:t xml:space="preserve"> of </w:t>
      </w:r>
      <w:r>
        <w:rPr>
          <w:kern w:val="0"/>
        </w:rPr>
        <w:t>quality manuscript submissions, which in turn is likely to affect the journal</w:t>
      </w:r>
      <w:r w:rsidR="00700038">
        <w:rPr>
          <w:kern w:val="0"/>
        </w:rPr>
        <w:t>’</w:t>
      </w:r>
      <w:r>
        <w:rPr>
          <w:kern w:val="0"/>
        </w:rPr>
        <w:t>s future citation impact. (C) 2013 Elsevier Ireland Ltd. All rights reserved.</w:t>
      </w:r>
    </w:p>
    <w:p w:rsidR="005F002F" w:rsidRDefault="005F002F" w:rsidP="005F002F">
      <w:pPr>
        <w:pStyle w:val="a3"/>
        <w:rPr>
          <w:kern w:val="0"/>
        </w:rPr>
      </w:pPr>
      <w:r>
        <w:rPr>
          <w:kern w:val="0"/>
        </w:rPr>
        <w:t>Keywords: Article, Atherosclerosis, Attempted, Bibliometrics, Citation, Citation Impact, Citations, Co, Costs, Damage, Data, Duty, England, Ethical, Ethics, Evaluation, Feed, House, Impact, Impact Factors, Indicators, Ireland, Journal, Journals, Lead, Literature, Park, Performance, Performance Indicators, Quality, Rankings, References, Reputation, Research, Research Evaluation, Rights, Role, Science, Scientific Impact, Techniques, Validity</w:t>
      </w:r>
    </w:p>
    <w:p w:rsidR="00EF6BA2" w:rsidRDefault="00EF6BA2" w:rsidP="00EF6BA2">
      <w:pPr>
        <w:pStyle w:val="a3"/>
        <w:rPr>
          <w:kern w:val="0"/>
        </w:rPr>
      </w:pPr>
      <w:r>
        <w:rPr>
          <w:rFonts w:hint="eastAsia"/>
          <w:kern w:val="0"/>
        </w:rPr>
        <w:t xml:space="preserve">? </w:t>
      </w:r>
      <w:r>
        <w:rPr>
          <w:kern w:val="0"/>
        </w:rPr>
        <w:t xml:space="preserve">Kunutsor, S.K., Apekey, T.A. and Khan, H. (2014), Liver enzymes and risk of cardiovascular disease in the general population: A meta-analysis of prospective cohort studies. </w:t>
      </w:r>
      <w:r>
        <w:rPr>
          <w:i/>
          <w:iCs/>
          <w:kern w:val="0"/>
        </w:rPr>
        <w:t>Atherosclerosis</w:t>
      </w:r>
      <w:r>
        <w:rPr>
          <w:kern w:val="0"/>
        </w:rPr>
        <w:t xml:space="preserve">, </w:t>
      </w:r>
      <w:r>
        <w:rPr>
          <w:b/>
          <w:bCs/>
          <w:kern w:val="0"/>
        </w:rPr>
        <w:t>236</w:t>
      </w:r>
      <w:r>
        <w:rPr>
          <w:kern w:val="0"/>
        </w:rPr>
        <w:t xml:space="preserve"> (1), 7-17.</w:t>
      </w:r>
    </w:p>
    <w:p w:rsidR="00EF6BA2" w:rsidRDefault="00EF6BA2" w:rsidP="00EF6BA2">
      <w:pPr>
        <w:pStyle w:val="a3"/>
        <w:rPr>
          <w:kern w:val="0"/>
        </w:rPr>
      </w:pPr>
      <w:r>
        <w:rPr>
          <w:rFonts w:hint="eastAsia"/>
          <w:kern w:val="0"/>
        </w:rPr>
        <w:t xml:space="preserve">Full Text: </w:t>
      </w:r>
      <w:hyperlink r:id="rId1356" w:history="1">
        <w:r w:rsidRPr="00BB55DD">
          <w:rPr>
            <w:rStyle w:val="a5"/>
            <w:kern w:val="0"/>
          </w:rPr>
          <w:t>2014\Atherosclerosis236, 7.pdf</w:t>
        </w:r>
      </w:hyperlink>
    </w:p>
    <w:p w:rsidR="00EF6BA2" w:rsidRDefault="00EF6BA2" w:rsidP="00EF6BA2">
      <w:pPr>
        <w:pStyle w:val="a3"/>
        <w:rPr>
          <w:kern w:val="0"/>
        </w:rPr>
      </w:pPr>
      <w:r>
        <w:rPr>
          <w:kern w:val="0"/>
        </w:rPr>
        <w:t xml:space="preserve">Abstract: Background: Gamma glutamyltransferase (GGT), alanine aminotransferase (ALT), aspartate aminotransferase (AST) and alkaline phosphatase (ALP), commonly used markers of liver dysfunction, have been implicated with risk of </w:t>
      </w:r>
      <w:r>
        <w:rPr>
          <w:kern w:val="0"/>
        </w:rPr>
        <w:lastRenderedPageBreak/>
        <w:t>cardiovascular disease (CVD). However, the strength and consistency of their associations in the general population have not been reliably quantified. Methods: We synthesized available prospective epidemiological data on the associations of baseline levels of GGT, ALT, AST, and ALP with CVD [composite CVD, coronary heart disease (CHD), or stroke outcomes]. Relevant studies were identified in a literature search of MEDLINE, EMBASE, and Web of Science up to December 2013. Pooled relative risks (RRs) with 95% confidence intervals (CIs) were calculated using random effects models. Results: Twenty-nine unique cohort studies with aggregate data on over 1.23 million participants and 20,406 cardiovascular outcomes were included. The pooled fully adjusted RRs (95% CIs) for CVD were 1.23 (1.16-1.29) and 1.08 (1.03-1.14) per 1-standard deviation change in log baseline levels of GGT and ALP levels respectively. There was no evidence of an association of ALT or AST with CVD, however, ALT was somewhat inversely associated with CHD 0.95 (0.90-1.00) and positively associated with stroke 1.01 (1.00-1.02) in stratified analysis. Tests for nonlinearity were suggestive of linear relationships of GGT and ALP levels with CVD risk. Conclusions: Baseline levels of GGT and ALP are each positively associated with CVD risk and in a log-linear fashion. There may be variations in the associations of ALT with cause-specific cardiovascular endpoints, findings which require further investigation. (C) 2014 Elsevier Ireland Ltd. All rights reserved.</w:t>
      </w:r>
    </w:p>
    <w:p w:rsidR="00EF6BA2" w:rsidRDefault="00EF6BA2" w:rsidP="00EF6BA2">
      <w:pPr>
        <w:pStyle w:val="a3"/>
        <w:rPr>
          <w:kern w:val="0"/>
        </w:rPr>
      </w:pPr>
      <w:r>
        <w:rPr>
          <w:kern w:val="0"/>
        </w:rPr>
        <w:t>Keywords: Alanine Aminotransferase, Alkaline Phosphatase, Aminotransferases, Analysis, Aspartate Aminotransferase, Association, Cardiovascular, Cardiovascular Disease, Cohort, Confidence, Confidence Intervals, Consistency, Coronary Heart Disease, Data, Disease, Dose-Response Data, Effects, Embase, Enzymes, Evidence, Gamma Glutamyltransferase, Gamma-Glutamyl-Transferase, General, General Population, Genetic Epidemiology, Genome-Wide Association, Heart, Intervals, Intracerebral Hemorrhage, Investigation, Ireland, Literature, Literature Search, Liver, Medline, Mendelian Randomization, Meta Analysis, Meta-Analysis, Metaanalysis, Metabolic Syndrome, Methods, Models, Outcomes, Oxidative Stress, Population, Prospective, Results, Rights, Risk, Risks, Science, Serum Alanine Aminotransferase, Strength, Stroke, Trend Estimation, Web Of Science</w:t>
      </w:r>
    </w:p>
    <w:p w:rsidR="00A02D19" w:rsidRDefault="00A02D19" w:rsidP="00A02D19">
      <w:pPr>
        <w:pStyle w:val="a3"/>
        <w:rPr>
          <w:kern w:val="0"/>
        </w:rPr>
      </w:pPr>
      <w:r>
        <w:rPr>
          <w:rFonts w:hint="eastAsia"/>
          <w:kern w:val="0"/>
        </w:rPr>
        <w:t xml:space="preserve">? </w:t>
      </w:r>
      <w:r>
        <w:rPr>
          <w:kern w:val="0"/>
        </w:rPr>
        <w:t xml:space="preserve">Mamudu, H.M., Paul, T.K., Veeranki, S.P. and Budoff, M. (2014), The effects of coronary artery calcium screening on behavioral modification, risk perception, and medication adherence among asymptomatic adults: A systematic review. </w:t>
      </w:r>
      <w:r>
        <w:rPr>
          <w:i/>
          <w:iCs/>
          <w:kern w:val="0"/>
        </w:rPr>
        <w:t>Atherosclerosis</w:t>
      </w:r>
      <w:r>
        <w:rPr>
          <w:kern w:val="0"/>
        </w:rPr>
        <w:t xml:space="preserve">, </w:t>
      </w:r>
      <w:r>
        <w:rPr>
          <w:b/>
          <w:bCs/>
          <w:kern w:val="0"/>
        </w:rPr>
        <w:t>236</w:t>
      </w:r>
      <w:r>
        <w:rPr>
          <w:kern w:val="0"/>
        </w:rPr>
        <w:t xml:space="preserve"> (2), 338-350.</w:t>
      </w:r>
    </w:p>
    <w:p w:rsidR="00A02D19" w:rsidRDefault="00A02D19" w:rsidP="00A02D19">
      <w:pPr>
        <w:pStyle w:val="a3"/>
        <w:rPr>
          <w:kern w:val="0"/>
        </w:rPr>
      </w:pPr>
      <w:r>
        <w:rPr>
          <w:rFonts w:hint="eastAsia"/>
          <w:kern w:val="0"/>
        </w:rPr>
        <w:t xml:space="preserve">Full Text: </w:t>
      </w:r>
      <w:hyperlink r:id="rId1357" w:history="1">
        <w:r w:rsidRPr="00C82379">
          <w:rPr>
            <w:rStyle w:val="a5"/>
            <w:kern w:val="0"/>
          </w:rPr>
          <w:t>2014\Atherosclerosis236, 338.pdf</w:t>
        </w:r>
      </w:hyperlink>
    </w:p>
    <w:p w:rsidR="00A02D19" w:rsidRDefault="00A02D19" w:rsidP="00A02D19">
      <w:pPr>
        <w:pStyle w:val="a3"/>
        <w:rPr>
          <w:kern w:val="0"/>
        </w:rPr>
      </w:pPr>
      <w:r>
        <w:rPr>
          <w:kern w:val="0"/>
        </w:rPr>
        <w:t xml:space="preserve">Abstract: Objective: To perform systematic review of the effects of screening for coronary artery calcium (CAC), a subclinical marker of coronary artery disease (CAD), on behavioral or lifestyle modification, risk perception, and medication </w:t>
      </w:r>
      <w:r>
        <w:rPr>
          <w:kern w:val="0"/>
        </w:rPr>
        <w:lastRenderedPageBreak/>
        <w:t>adherence. Methods: We searched through CINAHL, PsychInfo, Web of Science, Cochrane Central Register of Control Trials, and PubMed (Medline) for studies on the effects of CAC screening in asymptomatic individuals across three major domains: behavioral modification, risk perception for CAD, and medication adherence. We extracted data from the retrieved studies, assessed and synthesized the information. Results: Of the 15 retrieved studies, three were randomized control trials and 12 were observational studies. CAC score was ascertained either as total score, quartiles, or standardized Agatston’s ordinal scale. While all the 15 studies involved issues related to behavioral and medication adherence, four involved risk perception of CAD. Although no standardized approach was used in these studies, CAC screening enhanced medication adherence in 13 of the 15 studies, while the others were mixed. Conclusion: CAC screening improved medication adherence and could likely motivated individuals for beneficial behavioral or lifestyle changes to improve CAD. The mixed results suggest the need for further research because screening for subclinical atherosclerosis has significant implications for early detection and prevention of future cardiovascular events by aggressive risk factors modification. Published by Elsevier Ireland Ltd.</w:t>
      </w:r>
    </w:p>
    <w:p w:rsidR="00A02D19" w:rsidRDefault="00A02D19" w:rsidP="00A02D19">
      <w:pPr>
        <w:pStyle w:val="a3"/>
        <w:rPr>
          <w:kern w:val="0"/>
        </w:rPr>
      </w:pPr>
      <w:r>
        <w:rPr>
          <w:kern w:val="0"/>
        </w:rPr>
        <w:t>Keywords: Adherence, American-Heart-Association, Approach, Artery, Beam Computed-Tomography, Cad, Calcium, Cardiovascular, Cardiovascular-Risk, Changes, Computed Tomography, Control, Coronary Artery, Coronary Artery Calcium, Coronary Artery Disease, Data, Disease, Disease Risk, Early Detection, Effects, Events, Expert Consensus Document, From, Guide Pyramid Recommendations, Information, Ireland, Issues, Life-Style Behaviors, Lifestyle Or Behavioral Modification, Marker, Medication Adherence, Medline, Methods, Modification, Observational, Observational Studies, Perception, Prevention, Primary Prevention, Pubmed, Randomized, Research, Results, Review, Risk, Risk Factors, Risk Perception, Scale, Science, Screening, Subclinical Atherosclerosis, Subclinical Atherosclerosis, Subclinical Markers, Systematic, Systematic Review, United-States, Web Of Science</w:t>
      </w:r>
    </w:p>
    <w:p w:rsidR="003474F2" w:rsidRPr="001A3D2B" w:rsidRDefault="003474F2" w:rsidP="003474F2">
      <w:pPr>
        <w:pStyle w:val="1"/>
      </w:pPr>
      <w:r w:rsidRPr="001A3D2B">
        <w:br w:type="page"/>
      </w:r>
      <w:bookmarkStart w:id="682" w:name="_Toc420814654"/>
      <w:r w:rsidRPr="001A3D2B">
        <w:lastRenderedPageBreak/>
        <w:t>Title: ATLA-Alternatives to Laboratory Animals</w:t>
      </w:r>
      <w:bookmarkStart w:id="683" w:name="_Toc81215632"/>
      <w:bookmarkEnd w:id="682"/>
    </w:p>
    <w:p w:rsidR="003474F2" w:rsidRPr="001A3D2B" w:rsidRDefault="003474F2" w:rsidP="003474F2">
      <w:pPr>
        <w:pStyle w:val="12"/>
      </w:pPr>
      <w:r w:rsidRPr="001A3D2B">
        <w:t>Full Journal Title: ATLA-Alternatives to Labo</w:t>
      </w:r>
      <w:bookmarkEnd w:id="683"/>
      <w:r w:rsidRPr="001A3D2B">
        <w:t>ratory Animals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0261-1929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Pr="001A3D2B" w:rsidRDefault="003474F2" w:rsidP="003474F2">
      <w:pPr>
        <w:pStyle w:val="a3"/>
      </w:pPr>
      <w:r w:rsidRPr="001A3D2B">
        <w:t>? Ungar, K. (1997), A bibliometric evaluation</w:t>
      </w:r>
      <w:r w:rsidR="00427468">
        <w:t xml:space="preserve"> of </w:t>
      </w:r>
      <w:r w:rsidR="003A1917">
        <w:t xml:space="preserve">the </w:t>
      </w:r>
      <w:r w:rsidRPr="001A3D2B">
        <w:t>performance</w:t>
      </w:r>
      <w:r w:rsidR="00427468">
        <w:t xml:space="preserve"> of </w:t>
      </w:r>
      <w:r w:rsidRPr="001A3D2B">
        <w:t xml:space="preserve">ATLA. </w:t>
      </w:r>
      <w:r w:rsidRPr="001A3D2B">
        <w:rPr>
          <w:i/>
          <w:iCs/>
        </w:rPr>
        <w:t>ATLA-Alternatives to Laboratory Animals</w:t>
      </w:r>
      <w:r w:rsidRPr="001A3D2B">
        <w:t xml:space="preserve">, </w:t>
      </w:r>
      <w:r w:rsidRPr="001A3D2B">
        <w:rPr>
          <w:b/>
          <w:bCs/>
        </w:rPr>
        <w:t>25</w:t>
      </w:r>
      <w:r w:rsidRPr="001A3D2B">
        <w:t xml:space="preserve"> (1), 67-69.</w:t>
      </w:r>
    </w:p>
    <w:p w:rsidR="003474F2" w:rsidRPr="001A3D2B" w:rsidRDefault="003474F2" w:rsidP="003474F2">
      <w:pPr>
        <w:pStyle w:val="a3"/>
      </w:pPr>
      <w:r w:rsidRPr="001A3D2B">
        <w:t>Abstract: Analysis</w:t>
      </w:r>
      <w:r w:rsidR="00427468">
        <w:t xml:space="preserve"> of </w:t>
      </w:r>
      <w:r w:rsidRPr="001A3D2B">
        <w:t>citations to</w:t>
      </w:r>
      <w:r w:rsidR="005853A9">
        <w:t xml:space="preserve"> and </w:t>
      </w:r>
      <w:r w:rsidRPr="001A3D2B">
        <w:t>by ATLA in</w:t>
      </w:r>
      <w:r w:rsidR="003A1917">
        <w:t xml:space="preserve"> the </w:t>
      </w:r>
      <w:r w:rsidRPr="001A3D2B">
        <w:t>years 1988, 1993, 1994</w:t>
      </w:r>
      <w:r w:rsidR="005853A9">
        <w:t xml:space="preserve"> and </w:t>
      </w:r>
      <w:r w:rsidRPr="001A3D2B">
        <w:t>1995 show that</w:t>
      </w:r>
      <w:r w:rsidR="003A1917">
        <w:t xml:space="preserve"> the </w:t>
      </w:r>
      <w:r w:rsidRPr="001A3D2B">
        <w:t>impact factor</w:t>
      </w:r>
      <w:r w:rsidR="00427468">
        <w:t xml:space="preserve"> of </w:t>
      </w:r>
      <w:r w:rsidRPr="001A3D2B">
        <w:t>ATLA has improved significantly over this period, as has</w:t>
      </w:r>
      <w:r w:rsidR="003A1917">
        <w:t xml:space="preserve"> the </w:t>
      </w:r>
      <w:r w:rsidRPr="001A3D2B">
        <w:t>ranking</w:t>
      </w:r>
      <w:r w:rsidR="00427468">
        <w:t xml:space="preserve"> of </w:t>
      </w:r>
      <w:r w:rsidR="003A1917">
        <w:t xml:space="preserve">the </w:t>
      </w:r>
      <w:r w:rsidRPr="001A3D2B">
        <w:t>journal in relevant sectors</w:t>
      </w:r>
      <w:r w:rsidR="00427468">
        <w:t xml:space="preserve"> of </w:t>
      </w:r>
      <w:r w:rsidRPr="001A3D2B">
        <w:t>journal publishing</w:t>
      </w:r>
      <w:r w:rsidR="00A37C1D">
        <w:t>. The</w:t>
      </w:r>
      <w:r w:rsidR="003A1917">
        <w:t xml:space="preserve"> </w:t>
      </w:r>
      <w:r w:rsidRPr="001A3D2B">
        <w:t>results further suggest that in vitro toxicology is evolving into a separate discipline</w:t>
      </w:r>
      <w:r w:rsidR="005853A9">
        <w:t xml:space="preserve"> and </w:t>
      </w:r>
      <w:r w:rsidRPr="001A3D2B">
        <w:t>that ATLA is increasingly being seen as one</w:t>
      </w:r>
      <w:r w:rsidR="00427468">
        <w:t xml:space="preserve"> of </w:t>
      </w:r>
      <w:r w:rsidR="003A1917">
        <w:t xml:space="preserve">the </w:t>
      </w:r>
      <w:r w:rsidRPr="001A3D2B">
        <w:t>key journals for this discipline. However, ATLA</w:t>
      </w:r>
      <w:r w:rsidR="00700038">
        <w:t>’</w:t>
      </w:r>
      <w:r w:rsidR="00C13DDC">
        <w:t>s</w:t>
      </w:r>
      <w:r w:rsidRPr="001A3D2B">
        <w:t xml:space="preserve"> coverage extends beyond in vitro toxicology. It is a vital</w:t>
      </w:r>
      <w:r w:rsidR="005853A9">
        <w:t xml:space="preserve"> and </w:t>
      </w:r>
      <w:r w:rsidRPr="001A3D2B">
        <w:t>unique resource for</w:t>
      </w:r>
      <w:r w:rsidR="003A1917">
        <w:t xml:space="preserve"> the </w:t>
      </w:r>
      <w:r w:rsidRPr="001A3D2B">
        <w:t>promotion</w:t>
      </w:r>
      <w:r w:rsidR="00427468">
        <w:t xml:space="preserve"> of </w:t>
      </w:r>
      <w:r w:rsidR="003A1917">
        <w:t xml:space="preserve">the </w:t>
      </w:r>
      <w:r w:rsidRPr="001A3D2B">
        <w:t>Three Rs in fields where no other influential specialised journals on alternatives are currently being published.</w:t>
      </w:r>
    </w:p>
    <w:p w:rsidR="003474F2" w:rsidRPr="001A3D2B" w:rsidRDefault="003474F2" w:rsidP="003474F2">
      <w:pPr>
        <w:pStyle w:val="a3"/>
      </w:pPr>
      <w:r w:rsidRPr="001A3D2B">
        <w:t>Keywords: Bibliometric, Citations, Evaluation, Impact, Journal Publishing, Journals, Publishing</w:t>
      </w:r>
    </w:p>
    <w:p w:rsidR="003474F2" w:rsidRPr="001A3D2B" w:rsidRDefault="003474F2" w:rsidP="003474F2">
      <w:pPr>
        <w:pStyle w:val="a3"/>
      </w:pPr>
      <w:r w:rsidRPr="001A3D2B">
        <w:t>Notes: JJournal</w:t>
      </w:r>
    </w:p>
    <w:p w:rsidR="003474F2" w:rsidRPr="001A3D2B" w:rsidRDefault="003474F2" w:rsidP="003474F2">
      <w:pPr>
        <w:pStyle w:val="a3"/>
      </w:pPr>
      <w:r w:rsidRPr="001A3D2B">
        <w:t>? Bottrill, K. (2000), Bibliometric analysis</w:t>
      </w:r>
      <w:r w:rsidR="00427468">
        <w:t xml:space="preserve"> of </w:t>
      </w:r>
      <w:r w:rsidR="003A1917">
        <w:t xml:space="preserve">the </w:t>
      </w:r>
      <w:r w:rsidRPr="001A3D2B">
        <w:t>performance</w:t>
      </w:r>
      <w:r w:rsidR="00427468">
        <w:t xml:space="preserve"> of </w:t>
      </w:r>
      <w:r w:rsidRPr="001A3D2B">
        <w:t xml:space="preserve">ATLA: An update. </w:t>
      </w:r>
      <w:r w:rsidRPr="001A3D2B">
        <w:rPr>
          <w:i/>
          <w:iCs/>
        </w:rPr>
        <w:t>Atla-Alternatives to Laboratory Animals</w:t>
      </w:r>
      <w:r w:rsidRPr="001A3D2B">
        <w:t xml:space="preserve">, </w:t>
      </w:r>
      <w:r w:rsidRPr="001A3D2B">
        <w:rPr>
          <w:b/>
          <w:bCs/>
        </w:rPr>
        <w:t>28</w:t>
      </w:r>
      <w:r w:rsidRPr="001A3D2B">
        <w:t xml:space="preserve"> (6), 855-856.</w:t>
      </w:r>
    </w:p>
    <w:p w:rsidR="00C86739" w:rsidRPr="00CE64B8" w:rsidRDefault="00C86739" w:rsidP="00C86739">
      <w:pPr>
        <w:pStyle w:val="1"/>
      </w:pPr>
      <w:r w:rsidRPr="00CE64B8">
        <w:br w:type="page"/>
      </w:r>
      <w:bookmarkStart w:id="684" w:name="_Toc381346049"/>
      <w:bookmarkStart w:id="685" w:name="_Toc420814655"/>
      <w:r w:rsidRPr="00CE64B8">
        <w:lastRenderedPageBreak/>
        <w:t>Title:</w:t>
      </w:r>
      <w:r>
        <w:t xml:space="preserve"> </w:t>
      </w:r>
      <w:bookmarkEnd w:id="684"/>
      <w:r>
        <w:t>Atmosfera</w:t>
      </w:r>
      <w:bookmarkEnd w:id="685"/>
    </w:p>
    <w:p w:rsidR="00C86739" w:rsidRPr="00B851D1" w:rsidRDefault="00C86739" w:rsidP="00C86739">
      <w:pPr>
        <w:pStyle w:val="12"/>
      </w:pPr>
      <w:r w:rsidRPr="00B851D1">
        <w:t xml:space="preserve">Full Journal Title: </w:t>
      </w:r>
      <w:r w:rsidRPr="00DD69F8">
        <w:t>Atmósfera</w:t>
      </w:r>
    </w:p>
    <w:p w:rsidR="00C86739" w:rsidRPr="00B851D1" w:rsidRDefault="00C86739" w:rsidP="00C86739">
      <w:pPr>
        <w:pStyle w:val="12"/>
      </w:pPr>
      <w:r w:rsidRPr="00B851D1">
        <w:t xml:space="preserve">ISO Abbreviated Title: </w:t>
      </w:r>
      <w:r w:rsidRPr="00DD69F8">
        <w:t>Atmósfera</w:t>
      </w:r>
    </w:p>
    <w:p w:rsidR="00C86739" w:rsidRPr="00B851D1" w:rsidRDefault="00C86739" w:rsidP="00C86739">
      <w:pPr>
        <w:pStyle w:val="12"/>
      </w:pPr>
      <w:r w:rsidRPr="00B851D1">
        <w:t>JCR Abbreviated Title</w:t>
      </w:r>
      <w:r>
        <w:t>:</w:t>
      </w:r>
      <w:r w:rsidRPr="00B851D1">
        <w:t xml:space="preserve"> </w:t>
      </w:r>
      <w:r w:rsidRPr="00DD69F8">
        <w:t>Atmósfera</w:t>
      </w:r>
    </w:p>
    <w:p w:rsidR="00C86739" w:rsidRPr="00B851D1" w:rsidRDefault="00C86739" w:rsidP="00C86739">
      <w:pPr>
        <w:pStyle w:val="12"/>
      </w:pPr>
      <w:r w:rsidRPr="00B851D1">
        <w:t xml:space="preserve">ISSN: </w:t>
      </w:r>
    </w:p>
    <w:p w:rsidR="00C86739" w:rsidRPr="00B851D1" w:rsidRDefault="00C86739" w:rsidP="00C86739">
      <w:pPr>
        <w:pStyle w:val="12"/>
      </w:pPr>
      <w:r w:rsidRPr="00B851D1">
        <w:t xml:space="preserve">Issues/Year: </w:t>
      </w:r>
    </w:p>
    <w:p w:rsidR="00C86739" w:rsidRPr="00B851D1" w:rsidRDefault="00C86739" w:rsidP="00C86739">
      <w:pPr>
        <w:pStyle w:val="12"/>
      </w:pPr>
      <w:r>
        <w:t>Journal Country/Territory:</w:t>
      </w:r>
      <w:r w:rsidRPr="00B851D1">
        <w:t xml:space="preserve"> </w:t>
      </w:r>
    </w:p>
    <w:p w:rsidR="00C86739" w:rsidRPr="00B851D1" w:rsidRDefault="00C86739" w:rsidP="00C86739">
      <w:pPr>
        <w:pStyle w:val="12"/>
      </w:pPr>
      <w:r w:rsidRPr="00B851D1">
        <w:t xml:space="preserve">Language: </w:t>
      </w:r>
    </w:p>
    <w:p w:rsidR="00C86739" w:rsidRPr="00B851D1" w:rsidRDefault="00C86739" w:rsidP="00C86739">
      <w:pPr>
        <w:pStyle w:val="12"/>
      </w:pPr>
      <w:r w:rsidRPr="00B851D1">
        <w:t xml:space="preserve">Publisher: </w:t>
      </w:r>
    </w:p>
    <w:p w:rsidR="00C86739" w:rsidRPr="00B851D1" w:rsidRDefault="00C86739" w:rsidP="00C86739">
      <w:pPr>
        <w:pStyle w:val="12"/>
      </w:pPr>
      <w:r w:rsidRPr="00B851D1">
        <w:t xml:space="preserve">Publisher Address: </w:t>
      </w:r>
    </w:p>
    <w:p w:rsidR="00C86739" w:rsidRPr="00B851D1" w:rsidRDefault="00C86739" w:rsidP="00C86739">
      <w:pPr>
        <w:pStyle w:val="12"/>
      </w:pPr>
      <w:r w:rsidRPr="00B851D1">
        <w:t>Subject Categories:</w:t>
      </w:r>
    </w:p>
    <w:p w:rsidR="00C86739" w:rsidRPr="00B851D1" w:rsidRDefault="00C86739" w:rsidP="00C86739">
      <w:pPr>
        <w:pStyle w:val="12"/>
      </w:pPr>
      <w:r w:rsidRPr="00B851D1">
        <w:t>: Impact Factor</w:t>
      </w:r>
    </w:p>
    <w:p w:rsidR="00C86739" w:rsidRDefault="00C86739" w:rsidP="00C86739">
      <w:pPr>
        <w:pStyle w:val="a3"/>
      </w:pPr>
      <w:r w:rsidRPr="00564EF5">
        <w:rPr>
          <w:rFonts w:hint="eastAsia"/>
        </w:rPr>
        <w:t xml:space="preserve">? </w:t>
      </w:r>
      <w:r>
        <w:t>Monsalves-Gavilán, P</w:t>
      </w:r>
      <w:r>
        <w:rPr>
          <w:rFonts w:hint="eastAsia"/>
        </w:rPr>
        <w:t>.,</w:t>
      </w:r>
      <w:r>
        <w:t xml:space="preserve"> Pincheira-Ulbrich, J</w:t>
      </w:r>
      <w:r>
        <w:rPr>
          <w:rFonts w:hint="eastAsia"/>
        </w:rPr>
        <w:t>. and</w:t>
      </w:r>
      <w:r>
        <w:t xml:space="preserve"> Mendoza, F</w:t>
      </w:r>
      <w:r>
        <w:rPr>
          <w:rFonts w:hint="eastAsia"/>
        </w:rPr>
        <w:t>.</w:t>
      </w:r>
      <w:r>
        <w:t>R</w:t>
      </w:r>
      <w:r>
        <w:rPr>
          <w:rFonts w:hint="eastAsia"/>
        </w:rPr>
        <w:t>.</w:t>
      </w:r>
      <w:r w:rsidRPr="00564EF5">
        <w:t xml:space="preserve"> (20</w:t>
      </w:r>
      <w:r>
        <w:rPr>
          <w:rFonts w:hint="eastAsia"/>
        </w:rPr>
        <w:t>13</w:t>
      </w:r>
      <w:r w:rsidRPr="00564EF5">
        <w:t xml:space="preserve">), </w:t>
      </w:r>
      <w:r>
        <w:t>Climate change and its effects on urban spaces in Chile: A summary</w:t>
      </w:r>
      <w:r w:rsidR="00427468">
        <w:t xml:space="preserve"> of </w:t>
      </w:r>
      <w:r>
        <w:t>research carried out in the period 2000-2012</w:t>
      </w:r>
      <w:r w:rsidRPr="00564EF5">
        <w:t xml:space="preserve">. </w:t>
      </w:r>
      <w:r w:rsidRPr="00DD69F8">
        <w:rPr>
          <w:i/>
        </w:rPr>
        <w:t>Atmósfera</w:t>
      </w:r>
      <w:r w:rsidRPr="00564EF5">
        <w:t xml:space="preserve">, </w:t>
      </w:r>
      <w:r>
        <w:rPr>
          <w:rFonts w:hint="eastAsia"/>
          <w:b/>
          <w:bCs/>
          <w:kern w:val="0"/>
        </w:rPr>
        <w:t>26</w:t>
      </w:r>
      <w:r w:rsidRPr="00495A1C">
        <w:t xml:space="preserve"> (</w:t>
      </w:r>
      <w:r>
        <w:rPr>
          <w:rFonts w:hint="eastAsia"/>
        </w:rPr>
        <w:t>4</w:t>
      </w:r>
      <w:r w:rsidRPr="00495A1C">
        <w:t xml:space="preserve">), </w:t>
      </w:r>
      <w:r>
        <w:t>547-566</w:t>
      </w:r>
      <w:r w:rsidRPr="00495A1C">
        <w:t>.</w:t>
      </w:r>
    </w:p>
    <w:p w:rsidR="00C86739" w:rsidRDefault="00C86739" w:rsidP="00C86739">
      <w:pPr>
        <w:pStyle w:val="a3"/>
      </w:pPr>
      <w:r>
        <w:rPr>
          <w:rFonts w:hint="eastAsia"/>
        </w:rPr>
        <w:t xml:space="preserve">Full Text: </w:t>
      </w:r>
      <w:hyperlink r:id="rId1358" w:history="1">
        <w:r w:rsidRPr="00DD69F8">
          <w:rPr>
            <w:rStyle w:val="a5"/>
          </w:rPr>
          <w:t>2013\Atmosfera26, 547.pdf</w:t>
        </w:r>
      </w:hyperlink>
    </w:p>
    <w:p w:rsidR="00C86739" w:rsidRDefault="00C86739" w:rsidP="00C86739">
      <w:pPr>
        <w:pStyle w:val="a3"/>
      </w:pPr>
      <w:r>
        <w:t>Abstract</w:t>
      </w:r>
      <w:r>
        <w:rPr>
          <w:rFonts w:hint="eastAsia"/>
        </w:rPr>
        <w:t xml:space="preserve">: </w:t>
      </w:r>
      <w:r>
        <w:t>We have systematized the effects associated with climate change on urban spaces in Chile reported between 2000 and 2012</w:t>
      </w:r>
      <w:r w:rsidR="00A37C1D">
        <w:t>. The</w:t>
      </w:r>
      <w:r>
        <w:t xml:space="preserve"> method was based on a review</w:t>
      </w:r>
      <w:r w:rsidR="00427468">
        <w:t xml:space="preserve"> of </w:t>
      </w:r>
      <w:r>
        <w:t>scientific articles in three databases (Scopus, Web</w:t>
      </w:r>
      <w:r w:rsidR="00427468">
        <w:t xml:space="preserve"> of </w:t>
      </w:r>
      <w:r>
        <w:t>Knowledge and Scielo) using 32 keywords. Only 14 research papers were found related to climate change in urban spaces, most</w:t>
      </w:r>
      <w:r w:rsidR="00427468">
        <w:t xml:space="preserve"> of </w:t>
      </w:r>
      <w:r>
        <w:t>which were case studies focused on the capital, Santiago</w:t>
      </w:r>
      <w:r w:rsidR="00A37C1D">
        <w:t>. The</w:t>
      </w:r>
      <w:r>
        <w:t xml:space="preserve"> main effects on urban spaces were found in four areas: (1) increase in temperature (heat islands, heat waves), (2) health problems in vulnerable populations (cardiac complications, heat stroke, and respiratory diseases), (3) increased demand for water, and (4) damage to the urban infrastructure with resulting risk to the population. In these circumstances the following measures are needed: (1) effective incorporation</w:t>
      </w:r>
      <w:r w:rsidR="00427468">
        <w:t xml:space="preserve"> of </w:t>
      </w:r>
      <w:r>
        <w:t>the potential impacts</w:t>
      </w:r>
      <w:r w:rsidR="00427468">
        <w:t xml:space="preserve"> of </w:t>
      </w:r>
      <w:r>
        <w:t>climate change into territorial planning instruments, (2) increased green areas to mitigate the impact</w:t>
      </w:r>
      <w:r w:rsidR="00427468">
        <w:t xml:space="preserve"> of </w:t>
      </w:r>
      <w:r>
        <w:t>heat waves, (3) limiting</w:t>
      </w:r>
      <w:r w:rsidR="00427468">
        <w:t xml:space="preserve"> of </w:t>
      </w:r>
      <w:r>
        <w:t>housing or public services in areas at risk, (4) encouraging the design</w:t>
      </w:r>
      <w:r w:rsidR="00427468">
        <w:t xml:space="preserve"> of </w:t>
      </w:r>
      <w:r>
        <w:t>adaptation plans by involving the vulnerable population, and (5) implementing water conservation measures. We conclude that climate change is causing effects in urban areas that should be considered in the design and expansion</w:t>
      </w:r>
      <w:r w:rsidR="00427468">
        <w:t xml:space="preserve"> of </w:t>
      </w:r>
      <w:r>
        <w:t>cities.</w:t>
      </w:r>
    </w:p>
    <w:p w:rsidR="00C86739" w:rsidRPr="00495A1C" w:rsidRDefault="00C86739" w:rsidP="00C86739">
      <w:pPr>
        <w:pStyle w:val="a3"/>
      </w:pPr>
      <w:r>
        <w:t>Keywords: Urban Planning, Green Infrastructure, Vulnerable Population, Global Change, Mexico-City, Air-Pollution, Sao-Paulo, Santiago, Health, Heat, Mortality, Forest, Temperature, Consumption</w:t>
      </w:r>
    </w:p>
    <w:p w:rsidR="003474F2" w:rsidRPr="001A3D2B" w:rsidRDefault="003474F2" w:rsidP="003474F2">
      <w:pPr>
        <w:pStyle w:val="1"/>
      </w:pPr>
      <w:r w:rsidRPr="001A3D2B">
        <w:br w:type="page"/>
      </w:r>
      <w:bookmarkStart w:id="686" w:name="_Toc420814656"/>
      <w:r w:rsidRPr="001A3D2B">
        <w:lastRenderedPageBreak/>
        <w:t>Title: Atmospheric Environment</w:t>
      </w:r>
      <w:bookmarkEnd w:id="686"/>
    </w:p>
    <w:p w:rsidR="003474F2" w:rsidRPr="001A3D2B" w:rsidRDefault="003474F2" w:rsidP="003474F2">
      <w:pPr>
        <w:pStyle w:val="12"/>
      </w:pPr>
      <w:r w:rsidRPr="001A3D2B">
        <w:t>Full Journal Ti</w:t>
      </w:r>
      <w:bookmarkStart w:id="687" w:name="_Toc220295604"/>
      <w:r w:rsidRPr="001A3D2B">
        <w:t xml:space="preserve">tle: </w:t>
      </w:r>
      <w:r w:rsidR="00206C8A">
        <w:fldChar w:fldCharType="begin"/>
      </w:r>
      <w:r w:rsidR="00FD158B">
        <w:instrText>HYPERLINK "http://www.sc</w:instrText>
      </w:r>
      <w:bookmarkEnd w:id="687"/>
      <w:r w:rsidR="00FD158B">
        <w:instrText>iencedirect.com/science?_ob=JournalURL&amp;_cdi=6055&amp;_auth=y&amp;_acct=C000047720&amp;_version=1&amp;_urlVersion=0&amp;_userid=2007471&amp;md5=3b7a1a45c8e66f7b6459d5765bff3250"</w:instrText>
      </w:r>
      <w:r w:rsidR="00206C8A">
        <w:fldChar w:fldCharType="separate"/>
      </w:r>
      <w:r w:rsidRPr="001A3D2B">
        <w:rPr>
          <w:rStyle w:val="a5"/>
        </w:rPr>
        <w:t>Atmospheric Environment</w:t>
      </w:r>
      <w:r w:rsidR="00206C8A">
        <w:fldChar w:fldCharType="end"/>
      </w:r>
    </w:p>
    <w:p w:rsidR="003474F2" w:rsidRPr="001A3D2B" w:rsidRDefault="003474F2" w:rsidP="003474F2">
      <w:pPr>
        <w:pStyle w:val="12"/>
      </w:pPr>
      <w:r w:rsidRPr="001A3D2B">
        <w:t>ISO Abbreviated Title: Atmos. Environ.</w:t>
      </w:r>
    </w:p>
    <w:p w:rsidR="003474F2" w:rsidRPr="001A3D2B" w:rsidRDefault="003474F2" w:rsidP="003474F2">
      <w:pPr>
        <w:pStyle w:val="12"/>
      </w:pPr>
      <w:r w:rsidRPr="001A3D2B">
        <w:t>JCR Abbreviated Title: Atmos Environ</w:t>
      </w:r>
    </w:p>
    <w:p w:rsidR="003474F2" w:rsidRPr="001A3D2B" w:rsidRDefault="003474F2" w:rsidP="003474F2">
      <w:pPr>
        <w:pStyle w:val="12"/>
      </w:pPr>
      <w:r w:rsidRPr="001A3D2B">
        <w:t>ISSN: 1352-2310</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Pergamon-Elsevier Science Ltd</w:t>
      </w:r>
    </w:p>
    <w:p w:rsidR="003474F2" w:rsidRPr="001A3D2B" w:rsidRDefault="003474F2" w:rsidP="003474F2">
      <w:pPr>
        <w:pStyle w:val="12"/>
      </w:pPr>
      <w:r w:rsidRPr="001A3D2B">
        <w:t>Publisher Address:</w:t>
      </w:r>
      <w:r w:rsidR="003A1917">
        <w:t xml:space="preserve"> the </w:t>
      </w:r>
      <w:r w:rsidRPr="001A3D2B">
        <w:t>Boulevard, Langford Lane, Kidlington, Oxford OX5 1GB, England</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Environmental Sciences: Impact Factor 2.630, 16/144 (2006)</w:t>
      </w:r>
    </w:p>
    <w:p w:rsidR="003474F2" w:rsidRPr="001A3D2B" w:rsidRDefault="003474F2" w:rsidP="003474F2">
      <w:pPr>
        <w:pStyle w:val="12"/>
      </w:pPr>
      <w:r w:rsidRPr="001A3D2B">
        <w:t>Meteorology &amp; Atmospheric Sciences: Impact Factor 2.630, 9/48 (2006)</w:t>
      </w:r>
    </w:p>
    <w:p w:rsidR="003474F2" w:rsidRPr="001A3D2B" w:rsidRDefault="003474F2" w:rsidP="003474F2">
      <w:pPr>
        <w:pStyle w:val="a3"/>
      </w:pPr>
      <w:r w:rsidRPr="001A3D2B">
        <w:t>? Brimblecombe, P.</w:t>
      </w:r>
      <w:r w:rsidR="005853A9">
        <w:t xml:space="preserve"> and </w:t>
      </w:r>
      <w:r w:rsidRPr="001A3D2B">
        <w:t>Grossi, C.M. (2009</w:t>
      </w:r>
      <w:r w:rsidR="00F42EAC">
        <w:t>), The</w:t>
      </w:r>
      <w:r w:rsidR="003A1917">
        <w:t xml:space="preserve"> </w:t>
      </w:r>
      <w:r w:rsidRPr="001A3D2B">
        <w:t>bibliometrics</w:t>
      </w:r>
      <w:r w:rsidR="00427468">
        <w:t xml:space="preserve"> of </w:t>
      </w:r>
      <w:r w:rsidRPr="001A3D2B">
        <w:rPr>
          <w:i/>
        </w:rPr>
        <w:t>Atmospheric Environment</w:t>
      </w:r>
      <w:r w:rsidRPr="001A3D2B">
        <w:t xml:space="preserve">. </w:t>
      </w:r>
      <w:r w:rsidRPr="001A3D2B">
        <w:rPr>
          <w:i/>
        </w:rPr>
        <w:t>Atmospheric Environment</w:t>
      </w:r>
      <w:r w:rsidRPr="001A3D2B">
        <w:t xml:space="preserve">, </w:t>
      </w:r>
      <w:r w:rsidRPr="001A3D2B">
        <w:rPr>
          <w:b/>
        </w:rPr>
        <w:t>43</w:t>
      </w:r>
      <w:r w:rsidRPr="001A3D2B">
        <w:t xml:space="preserve"> (1), 9-12.</w:t>
      </w:r>
    </w:p>
    <w:p w:rsidR="003474F2" w:rsidRPr="001A3D2B" w:rsidRDefault="003474F2" w:rsidP="003474F2">
      <w:pPr>
        <w:pStyle w:val="a3"/>
      </w:pPr>
      <w:r w:rsidRPr="001A3D2B">
        <w:t xml:space="preserve">Full Text: </w:t>
      </w:r>
      <w:hyperlink r:id="rId1359" w:history="1">
        <w:r w:rsidRPr="001A3D2B">
          <w:rPr>
            <w:rStyle w:val="a5"/>
          </w:rPr>
          <w:t>2009\Atm Env43, 9.pdf</w:t>
        </w:r>
      </w:hyperlink>
    </w:p>
    <w:p w:rsidR="003474F2" w:rsidRPr="001A3D2B" w:rsidRDefault="003474F2" w:rsidP="003474F2">
      <w:pPr>
        <w:pStyle w:val="a3"/>
      </w:pPr>
      <w:r w:rsidRPr="001A3D2B">
        <w:t>Abstract: Bibliometric analysis is an important tool in</w:t>
      </w:r>
      <w:r w:rsidR="003A1917">
        <w:t xml:space="preserve"> the </w:t>
      </w:r>
      <w:r w:rsidRPr="001A3D2B">
        <w:t>management</w:t>
      </w:r>
      <w:r w:rsidR="00427468">
        <w:t xml:space="preserve"> of </w:t>
      </w:r>
      <w:r w:rsidRPr="001A3D2B">
        <w:t>a journal. SCOPUS output is used to assess</w:t>
      </w:r>
      <w:r w:rsidR="003A1917">
        <w:t xml:space="preserve"> the </w:t>
      </w:r>
      <w:r w:rsidRPr="001A3D2B">
        <w:t>increase in</w:t>
      </w:r>
      <w:r w:rsidR="003A1917">
        <w:t xml:space="preserve"> the </w:t>
      </w:r>
      <w:r w:rsidRPr="001A3D2B">
        <w:t>quantity</w:t>
      </w:r>
      <w:r w:rsidR="00427468">
        <w:t xml:space="preserve"> of </w:t>
      </w:r>
      <w:r w:rsidRPr="001A3D2B">
        <w:t>material in Atmospheric Environment</w:t>
      </w:r>
      <w:r w:rsidR="005853A9">
        <w:t xml:space="preserve"> and </w:t>
      </w:r>
      <w:r w:rsidRPr="001A3D2B">
        <w:t>stylistic changes in</w:t>
      </w:r>
      <w:r w:rsidR="003A1917">
        <w:t xml:space="preserve"> the </w:t>
      </w:r>
      <w:r w:rsidRPr="001A3D2B">
        <w:t>way authors choose words</w:t>
      </w:r>
      <w:r w:rsidR="005853A9">
        <w:t xml:space="preserve"> and </w:t>
      </w:r>
      <w:r w:rsidRPr="001A3D2B">
        <w:t>punctuation in titles</w:t>
      </w:r>
      <w:r w:rsidR="005853A9">
        <w:t xml:space="preserve"> and </w:t>
      </w:r>
      <w:r w:rsidRPr="001A3D2B">
        <w:t>assemble their reference lists. Citation analysis is used to consider</w:t>
      </w:r>
      <w:r w:rsidR="003A1917">
        <w:t xml:space="preserve"> the </w:t>
      </w:r>
      <w:r w:rsidRPr="001A3D2B">
        <w:t>impact factor</w:t>
      </w:r>
      <w:r w:rsidR="00427468">
        <w:t xml:space="preserve"> of </w:t>
      </w:r>
      <w:r w:rsidR="003A1917">
        <w:t xml:space="preserve">the </w:t>
      </w:r>
      <w:r w:rsidRPr="001A3D2B">
        <w:t>journal, but perhaps more importantly</w:t>
      </w:r>
      <w:r w:rsidR="003A1917">
        <w:t xml:space="preserve"> the </w:t>
      </w:r>
      <w:r w:rsidRPr="001A3D2B">
        <w:t>way in which it reflects</w:t>
      </w:r>
      <w:r w:rsidR="003A1917">
        <w:t xml:space="preserve"> the </w:t>
      </w:r>
      <w:r w:rsidRPr="001A3D2B">
        <w:t>importance authors give to papers published in Atmospheric Environment</w:t>
      </w:r>
      <w:r w:rsidR="00A37C1D">
        <w:t>. The</w:t>
      </w:r>
      <w:r w:rsidR="003A1917">
        <w:t xml:space="preserve"> </w:t>
      </w:r>
      <w:r w:rsidRPr="001A3D2B">
        <w:t>impact factor</w:t>
      </w:r>
      <w:r w:rsidR="00427468">
        <w:t xml:space="preserve"> of </w:t>
      </w:r>
      <w:r w:rsidRPr="001A3D2B">
        <w:t>Atmospheric Environment (2.549 for 2007) from</w:t>
      </w:r>
      <w:r w:rsidR="003A1917">
        <w:t xml:space="preserve"> the </w:t>
      </w:r>
      <w:r w:rsidRPr="001A3D2B">
        <w:t>Journal Citation Reports suggests it performs well within</w:t>
      </w:r>
      <w:r w:rsidR="003A1917">
        <w:t xml:space="preserve"> the </w:t>
      </w:r>
      <w:r w:rsidRPr="001A3D2B">
        <w:t>atmospheric sciences, but it conceals</w:t>
      </w:r>
      <w:r w:rsidR="003A1917">
        <w:t xml:space="preserve"> the </w:t>
      </w:r>
      <w:r w:rsidRPr="001A3D2B">
        <w:t>long term value authors place on papers appearing in</w:t>
      </w:r>
      <w:r w:rsidR="003A1917">
        <w:t xml:space="preserve"> the </w:t>
      </w:r>
      <w:r w:rsidRPr="001A3D2B">
        <w:t>journal. Reference lists show that a fifth come through citing papers more than a decade old.</w:t>
      </w:r>
    </w:p>
    <w:p w:rsidR="00CF378C" w:rsidRPr="001A3D2B" w:rsidRDefault="00CF378C" w:rsidP="00CF378C">
      <w:pPr>
        <w:pStyle w:val="a3"/>
        <w:rPr>
          <w:kern w:val="0"/>
          <w:szCs w:val="24"/>
        </w:rPr>
      </w:pPr>
      <w:r w:rsidRPr="001A3D2B">
        <w:rPr>
          <w:kern w:val="0"/>
          <w:szCs w:val="24"/>
        </w:rPr>
        <w:t>Keywords: Analysis, Authors, Bibliometric, Bibliometric Analysis, Bibliometrics, Changes, Citation, Citation Analysis, Citation Half Life, Content Analysis, Environment, Impact, Impact Factor, Journal, Long Term, Long-Term, Management, Papers, Reference, Reference Lists, Rights, Sciences, Scopus, Term, Tool</w:t>
      </w:r>
    </w:p>
    <w:p w:rsidR="00B2573F" w:rsidRPr="001A3D2B" w:rsidRDefault="00B2573F" w:rsidP="00B2573F">
      <w:pPr>
        <w:pStyle w:val="1"/>
      </w:pPr>
      <w:r w:rsidRPr="001A3D2B">
        <w:br w:type="page"/>
      </w:r>
      <w:bookmarkStart w:id="688" w:name="_Toc420814657"/>
      <w:r w:rsidRPr="001A3D2B">
        <w:lastRenderedPageBreak/>
        <w:t xml:space="preserve">Title: </w:t>
      </w:r>
      <w:r w:rsidRPr="001A3D2B">
        <w:rPr>
          <w:iCs w:val="0"/>
        </w:rPr>
        <w:t>Atmospheric Research</w:t>
      </w:r>
      <w:bookmarkEnd w:id="688"/>
    </w:p>
    <w:p w:rsidR="00B2573F" w:rsidRPr="001A3D2B" w:rsidRDefault="00B2573F" w:rsidP="00B2573F">
      <w:pPr>
        <w:pStyle w:val="12"/>
      </w:pPr>
      <w:r w:rsidRPr="001A3D2B">
        <w:t xml:space="preserve">Full Journal Title: </w:t>
      </w:r>
      <w:hyperlink r:id="rId1360" w:history="1">
        <w:r w:rsidRPr="0056359C">
          <w:rPr>
            <w:rStyle w:val="a5"/>
            <w:iCs/>
            <w:kern w:val="0"/>
          </w:rPr>
          <w:t>Atmospheric Research</w:t>
        </w:r>
      </w:hyperlink>
    </w:p>
    <w:p w:rsidR="00B2573F" w:rsidRPr="001A3D2B" w:rsidRDefault="00B2573F" w:rsidP="00B2573F">
      <w:pPr>
        <w:pStyle w:val="12"/>
      </w:pPr>
      <w:r w:rsidRPr="001A3D2B">
        <w:t xml:space="preserve">ISO Abbreviated Title: </w:t>
      </w:r>
    </w:p>
    <w:p w:rsidR="00B2573F" w:rsidRPr="001A3D2B" w:rsidRDefault="00B2573F" w:rsidP="00B2573F">
      <w:pPr>
        <w:pStyle w:val="12"/>
      </w:pPr>
      <w:r w:rsidRPr="001A3D2B">
        <w:t xml:space="preserve">JCR Abbreviated Title: </w:t>
      </w:r>
    </w:p>
    <w:p w:rsidR="00B2573F" w:rsidRPr="001A3D2B" w:rsidRDefault="00B2573F" w:rsidP="00B2573F">
      <w:pPr>
        <w:pStyle w:val="12"/>
      </w:pPr>
      <w:r w:rsidRPr="001A3D2B">
        <w:t xml:space="preserve">ISSN: </w:t>
      </w:r>
    </w:p>
    <w:p w:rsidR="00B2573F" w:rsidRPr="001A3D2B" w:rsidRDefault="00B2573F" w:rsidP="00B2573F">
      <w:pPr>
        <w:pStyle w:val="12"/>
      </w:pPr>
      <w:r w:rsidRPr="001A3D2B">
        <w:t xml:space="preserve">Issues/Year: </w:t>
      </w:r>
    </w:p>
    <w:p w:rsidR="00B2573F" w:rsidRPr="001A3D2B" w:rsidRDefault="00B2573F" w:rsidP="00B2573F">
      <w:pPr>
        <w:pStyle w:val="12"/>
      </w:pPr>
      <w:r w:rsidRPr="001A3D2B">
        <w:t xml:space="preserve">Journal Country/Territory: </w:t>
      </w:r>
    </w:p>
    <w:p w:rsidR="00B2573F" w:rsidRPr="001A3D2B" w:rsidRDefault="00B2573F" w:rsidP="00B2573F">
      <w:pPr>
        <w:pStyle w:val="12"/>
      </w:pPr>
      <w:r w:rsidRPr="001A3D2B">
        <w:t xml:space="preserve">Language: </w:t>
      </w:r>
    </w:p>
    <w:p w:rsidR="00B2573F" w:rsidRPr="001A3D2B" w:rsidRDefault="00B2573F" w:rsidP="00B2573F">
      <w:pPr>
        <w:pStyle w:val="12"/>
      </w:pPr>
      <w:r w:rsidRPr="001A3D2B">
        <w:t xml:space="preserve">Publisher: </w:t>
      </w:r>
    </w:p>
    <w:p w:rsidR="00B2573F" w:rsidRPr="001A3D2B" w:rsidRDefault="00B2573F" w:rsidP="00B2573F">
      <w:pPr>
        <w:pStyle w:val="12"/>
      </w:pPr>
      <w:r w:rsidRPr="001A3D2B">
        <w:t xml:space="preserve">Publisher Address: </w:t>
      </w:r>
    </w:p>
    <w:p w:rsidR="00B2573F" w:rsidRPr="001A3D2B" w:rsidRDefault="00B2573F" w:rsidP="00B2573F">
      <w:pPr>
        <w:pStyle w:val="12"/>
      </w:pPr>
      <w:r w:rsidRPr="001A3D2B">
        <w:t>Subject Categories:</w:t>
      </w:r>
    </w:p>
    <w:p w:rsidR="00B2573F" w:rsidRPr="001A3D2B" w:rsidRDefault="00B2573F" w:rsidP="00B2573F">
      <w:pPr>
        <w:pStyle w:val="12"/>
      </w:pPr>
      <w:r w:rsidRPr="001A3D2B">
        <w:t xml:space="preserve">: Impact Factor </w:t>
      </w:r>
    </w:p>
    <w:p w:rsidR="0056359C" w:rsidRDefault="0056359C" w:rsidP="00B2573F">
      <w:pPr>
        <w:pStyle w:val="a3"/>
        <w:rPr>
          <w:kern w:val="0"/>
        </w:rPr>
      </w:pPr>
      <w:r>
        <w:rPr>
          <w:rFonts w:hint="eastAsia"/>
          <w:kern w:val="0"/>
        </w:rPr>
        <w:t>Notes: TTopic</w:t>
      </w:r>
    </w:p>
    <w:p w:rsidR="00B2573F" w:rsidRDefault="00B2573F" w:rsidP="00B2573F">
      <w:pPr>
        <w:pStyle w:val="a3"/>
        <w:rPr>
          <w:kern w:val="0"/>
        </w:rPr>
      </w:pPr>
      <w:r w:rsidRPr="001A3D2B">
        <w:rPr>
          <w:kern w:val="0"/>
        </w:rPr>
        <w:t>? Palencia, C., Castro, A., Giaiotti, D., Stel, F., Vinet, F.</w:t>
      </w:r>
      <w:r w:rsidR="005853A9">
        <w:rPr>
          <w:kern w:val="0"/>
        </w:rPr>
        <w:t xml:space="preserve"> and </w:t>
      </w:r>
      <w:r w:rsidRPr="001A3D2B">
        <w:rPr>
          <w:kern w:val="0"/>
        </w:rPr>
        <w:t xml:space="preserve">Fraile, R. (2009), Hailpad-based research: A bibliometric review. </w:t>
      </w:r>
      <w:r w:rsidRPr="001A3D2B">
        <w:rPr>
          <w:i/>
          <w:iCs/>
          <w:kern w:val="0"/>
        </w:rPr>
        <w:t>Atmospheric Research</w:t>
      </w:r>
      <w:r w:rsidRPr="001A3D2B">
        <w:rPr>
          <w:kern w:val="0"/>
        </w:rPr>
        <w:t xml:space="preserve">, </w:t>
      </w:r>
      <w:r w:rsidRPr="001A3D2B">
        <w:rPr>
          <w:b/>
          <w:bCs/>
          <w:kern w:val="0"/>
        </w:rPr>
        <w:t>93</w:t>
      </w:r>
      <w:r w:rsidRPr="001A3D2B">
        <w:rPr>
          <w:kern w:val="0"/>
        </w:rPr>
        <w:t xml:space="preserve"> (1-3), 664-670.</w:t>
      </w:r>
    </w:p>
    <w:p w:rsidR="0056359C" w:rsidRPr="001A3D2B" w:rsidRDefault="0056359C" w:rsidP="00B2573F">
      <w:pPr>
        <w:pStyle w:val="a3"/>
        <w:rPr>
          <w:kern w:val="0"/>
        </w:rPr>
      </w:pPr>
      <w:r>
        <w:rPr>
          <w:rFonts w:hint="eastAsia"/>
          <w:kern w:val="0"/>
        </w:rPr>
        <w:t xml:space="preserve">Full Text: </w:t>
      </w:r>
      <w:hyperlink r:id="rId1361" w:history="1">
        <w:r w:rsidRPr="0056359C">
          <w:rPr>
            <w:rStyle w:val="a5"/>
            <w:kern w:val="0"/>
          </w:rPr>
          <w:t>2009\Atm Res93, 664.pdf</w:t>
        </w:r>
      </w:hyperlink>
    </w:p>
    <w:p w:rsidR="00B2573F" w:rsidRPr="001A3D2B" w:rsidRDefault="00B2573F" w:rsidP="00B2573F">
      <w:pPr>
        <w:pStyle w:val="a3"/>
        <w:rPr>
          <w:kern w:val="0"/>
        </w:rPr>
      </w:pPr>
      <w:r w:rsidRPr="001A3D2B">
        <w:rPr>
          <w:kern w:val="0"/>
        </w:rPr>
        <w:t>Abstract: This paper is an overview</w:t>
      </w:r>
      <w:r w:rsidR="00427468">
        <w:rPr>
          <w:kern w:val="0"/>
        </w:rPr>
        <w:t xml:space="preserve"> of </w:t>
      </w:r>
      <w:r w:rsidRPr="001A3D2B">
        <w:rPr>
          <w:kern w:val="0"/>
        </w:rPr>
        <w:t>hailpad research from its origin until today using as a search criterion</w:t>
      </w:r>
      <w:r w:rsidR="003A1917">
        <w:rPr>
          <w:kern w:val="0"/>
        </w:rPr>
        <w:t xml:space="preserve"> the </w:t>
      </w:r>
      <w:r w:rsidRPr="001A3D2B">
        <w:rPr>
          <w:kern w:val="0"/>
        </w:rPr>
        <w:t>bibliographic references on</w:t>
      </w:r>
      <w:r w:rsidR="003A1917">
        <w:rPr>
          <w:kern w:val="0"/>
        </w:rPr>
        <w:t xml:space="preserve"> the </w:t>
      </w:r>
      <w:r w:rsidRPr="001A3D2B">
        <w:rPr>
          <w:kern w:val="0"/>
        </w:rPr>
        <w:t>subject in</w:t>
      </w:r>
      <w:r w:rsidR="003A1917">
        <w:rPr>
          <w:kern w:val="0"/>
        </w:rPr>
        <w:t xml:space="preserve"> the </w:t>
      </w:r>
      <w:r w:rsidR="00D5664A">
        <w:rPr>
          <w:kern w:val="0"/>
        </w:rPr>
        <w:t>Web</w:t>
      </w:r>
      <w:r w:rsidR="00427468">
        <w:rPr>
          <w:kern w:val="0"/>
        </w:rPr>
        <w:t xml:space="preserve"> of </w:t>
      </w:r>
      <w:r w:rsidR="00D5664A">
        <w:rPr>
          <w:kern w:val="0"/>
        </w:rPr>
        <w:t>Science</w:t>
      </w:r>
      <w:r w:rsidRPr="001A3D2B">
        <w:rPr>
          <w:kern w:val="0"/>
        </w:rPr>
        <w:t xml:space="preserve"> database (ISI)</w:t>
      </w:r>
      <w:r w:rsidR="00A37C1D">
        <w:rPr>
          <w:kern w:val="0"/>
        </w:rPr>
        <w:t>. The</w:t>
      </w:r>
      <w:r w:rsidR="003A1917">
        <w:rPr>
          <w:kern w:val="0"/>
        </w:rPr>
        <w:t xml:space="preserve"> </w:t>
      </w:r>
      <w:r w:rsidRPr="001A3D2B">
        <w:rPr>
          <w:kern w:val="0"/>
        </w:rPr>
        <w:t>search was carried out on 1st September 2008. Among</w:t>
      </w:r>
      <w:r w:rsidR="003A1917">
        <w:rPr>
          <w:kern w:val="0"/>
        </w:rPr>
        <w:t xml:space="preserve"> the </w:t>
      </w:r>
      <w:r w:rsidRPr="001A3D2B">
        <w:rPr>
          <w:kern w:val="0"/>
        </w:rPr>
        <w:t>more than 3.10(7) scientific documents included in</w:t>
      </w:r>
      <w:r w:rsidR="003A1917">
        <w:rPr>
          <w:kern w:val="0"/>
        </w:rPr>
        <w:t xml:space="preserve"> the </w:t>
      </w:r>
      <w:r w:rsidRPr="001A3D2B">
        <w:rPr>
          <w:kern w:val="0"/>
        </w:rPr>
        <w:t>Science Citation Index Expanded (SCI-EXPANDED) from 1945 to</w:t>
      </w:r>
      <w:r w:rsidR="003A1917">
        <w:rPr>
          <w:kern w:val="0"/>
        </w:rPr>
        <w:t xml:space="preserve"> the </w:t>
      </w:r>
      <w:r w:rsidRPr="001A3D2B">
        <w:rPr>
          <w:kern w:val="0"/>
        </w:rPr>
        <w:t>present,</w:t>
      </w:r>
      <w:r w:rsidR="003A1917">
        <w:rPr>
          <w:kern w:val="0"/>
        </w:rPr>
        <w:t xml:space="preserve"> the </w:t>
      </w:r>
      <w:r w:rsidRPr="001A3D2B">
        <w:rPr>
          <w:kern w:val="0"/>
        </w:rPr>
        <w:t>search engine identified 41 containing</w:t>
      </w:r>
      <w:r w:rsidR="003A1917">
        <w:rPr>
          <w:kern w:val="0"/>
        </w:rPr>
        <w:t xml:space="preserve"> the </w:t>
      </w:r>
      <w:r w:rsidRPr="001A3D2B">
        <w:rPr>
          <w:kern w:val="0"/>
        </w:rPr>
        <w:t xml:space="preserve">word </w:t>
      </w:r>
      <w:r w:rsidR="00B5188C">
        <w:rPr>
          <w:kern w:val="0"/>
        </w:rPr>
        <w:t>“</w:t>
      </w:r>
      <w:r w:rsidRPr="001A3D2B">
        <w:rPr>
          <w:kern w:val="0"/>
        </w:rPr>
        <w:t>hailpad*</w:t>
      </w:r>
      <w:r w:rsidR="00B5188C">
        <w:rPr>
          <w:kern w:val="0"/>
        </w:rPr>
        <w:t>”</w:t>
      </w:r>
      <w:r w:rsidRPr="001A3D2B">
        <w:rPr>
          <w:kern w:val="0"/>
        </w:rPr>
        <w:t xml:space="preserve"> (the asterisk is a wildcard for any letter or group</w:t>
      </w:r>
      <w:r w:rsidR="00427468">
        <w:rPr>
          <w:kern w:val="0"/>
        </w:rPr>
        <w:t xml:space="preserve"> of </w:t>
      </w:r>
      <w:r w:rsidRPr="001A3D2B">
        <w:rPr>
          <w:kern w:val="0"/>
        </w:rPr>
        <w:t>letters)</w:t>
      </w:r>
      <w:r w:rsidR="00A37C1D">
        <w:rPr>
          <w:kern w:val="0"/>
        </w:rPr>
        <w:t>. The</w:t>
      </w:r>
      <w:r w:rsidR="003A1917">
        <w:rPr>
          <w:kern w:val="0"/>
        </w:rPr>
        <w:t xml:space="preserve"> </w:t>
      </w:r>
      <w:r w:rsidRPr="001A3D2B">
        <w:rPr>
          <w:kern w:val="0"/>
        </w:rPr>
        <w:t>results have been analyzed according to various criteria: countries with hailpad networks or studies on hailpads; date</w:t>
      </w:r>
      <w:r w:rsidR="00427468">
        <w:rPr>
          <w:kern w:val="0"/>
        </w:rPr>
        <w:t xml:space="preserve"> of </w:t>
      </w:r>
      <w:r w:rsidR="003A1917">
        <w:rPr>
          <w:kern w:val="0"/>
        </w:rPr>
        <w:t xml:space="preserve">the </w:t>
      </w:r>
      <w:r w:rsidRPr="001A3D2B">
        <w:rPr>
          <w:kern w:val="0"/>
        </w:rPr>
        <w:t>first article; evolution</w:t>
      </w:r>
      <w:r w:rsidR="00427468">
        <w:rPr>
          <w:kern w:val="0"/>
        </w:rPr>
        <w:t xml:space="preserve"> of </w:t>
      </w:r>
      <w:r w:rsidR="003A1917">
        <w:rPr>
          <w:kern w:val="0"/>
        </w:rPr>
        <w:t xml:space="preserve">the </w:t>
      </w:r>
      <w:r w:rsidRPr="001A3D2B">
        <w:rPr>
          <w:kern w:val="0"/>
        </w:rPr>
        <w:t>number</w:t>
      </w:r>
      <w:r w:rsidR="00427468">
        <w:rPr>
          <w:kern w:val="0"/>
        </w:rPr>
        <w:t xml:space="preserve"> of </w:t>
      </w:r>
      <w:r w:rsidRPr="001A3D2B">
        <w:rPr>
          <w:kern w:val="0"/>
        </w:rPr>
        <w:t>articles per decade; concepts studied</w:t>
      </w:r>
      <w:r w:rsidR="005853A9">
        <w:rPr>
          <w:kern w:val="0"/>
        </w:rPr>
        <w:t xml:space="preserve"> and </w:t>
      </w:r>
      <w:r w:rsidRPr="001A3D2B">
        <w:rPr>
          <w:kern w:val="0"/>
        </w:rPr>
        <w:t>research lines followed in each article;</w:t>
      </w:r>
      <w:r w:rsidR="005853A9">
        <w:rPr>
          <w:kern w:val="0"/>
        </w:rPr>
        <w:t xml:space="preserve"> and </w:t>
      </w:r>
      <w:r w:rsidRPr="001A3D2B">
        <w:rPr>
          <w:kern w:val="0"/>
        </w:rPr>
        <w:t>finally, a bibliometric analysis</w:t>
      </w:r>
      <w:r w:rsidR="00427468">
        <w:rPr>
          <w:kern w:val="0"/>
        </w:rPr>
        <w:t xml:space="preserve"> of </w:t>
      </w:r>
      <w:r w:rsidR="003A1917">
        <w:rPr>
          <w:kern w:val="0"/>
        </w:rPr>
        <w:t xml:space="preserve">the </w:t>
      </w:r>
      <w:r w:rsidRPr="001A3D2B">
        <w:rPr>
          <w:kern w:val="0"/>
        </w:rPr>
        <w:t>journals where these articles have been published. It was found that 70%</w:t>
      </w:r>
      <w:r w:rsidR="00427468">
        <w:rPr>
          <w:kern w:val="0"/>
        </w:rPr>
        <w:t xml:space="preserve"> of </w:t>
      </w:r>
      <w:r w:rsidR="003A1917">
        <w:rPr>
          <w:kern w:val="0"/>
        </w:rPr>
        <w:t xml:space="preserve">the </w:t>
      </w:r>
      <w:r w:rsidRPr="001A3D2B">
        <w:rPr>
          <w:kern w:val="0"/>
        </w:rPr>
        <w:t>articles on hailpads were published in 2 journals: Journal</w:t>
      </w:r>
      <w:r w:rsidR="00427468">
        <w:rPr>
          <w:kern w:val="0"/>
        </w:rPr>
        <w:t xml:space="preserve"> of </w:t>
      </w:r>
      <w:r w:rsidRPr="001A3D2B">
        <w:rPr>
          <w:kern w:val="0"/>
        </w:rPr>
        <w:t>Applied Meteorology</w:t>
      </w:r>
      <w:r w:rsidR="005853A9">
        <w:rPr>
          <w:kern w:val="0"/>
        </w:rPr>
        <w:t xml:space="preserve"> and </w:t>
      </w:r>
      <w:r w:rsidRPr="001A3D2B">
        <w:rPr>
          <w:kern w:val="0"/>
        </w:rPr>
        <w:t>Atmospheric Research</w:t>
      </w:r>
      <w:r w:rsidR="00A37C1D">
        <w:rPr>
          <w:kern w:val="0"/>
        </w:rPr>
        <w:t>. The</w:t>
      </w:r>
      <w:r w:rsidRPr="001A3D2B">
        <w:rPr>
          <w:kern w:val="0"/>
        </w:rPr>
        <w:t>se two journals also concentrate most</w:t>
      </w:r>
      <w:r w:rsidR="00427468">
        <w:rPr>
          <w:kern w:val="0"/>
        </w:rPr>
        <w:t xml:space="preserve"> of </w:t>
      </w:r>
      <w:r w:rsidR="003A1917">
        <w:rPr>
          <w:kern w:val="0"/>
        </w:rPr>
        <w:t xml:space="preserve">the </w:t>
      </w:r>
      <w:r w:rsidRPr="001A3D2B">
        <w:rPr>
          <w:kern w:val="0"/>
        </w:rPr>
        <w:t>citations</w:t>
      </w:r>
      <w:r w:rsidR="00A37C1D">
        <w:rPr>
          <w:kern w:val="0"/>
        </w:rPr>
        <w:t>. The</w:t>
      </w:r>
      <w:r w:rsidR="003A1917">
        <w:rPr>
          <w:kern w:val="0"/>
        </w:rPr>
        <w:t xml:space="preserve"> </w:t>
      </w:r>
      <w:r w:rsidRPr="001A3D2B">
        <w:rPr>
          <w:kern w:val="0"/>
        </w:rPr>
        <w:t>number</w:t>
      </w:r>
      <w:r w:rsidR="00427468">
        <w:rPr>
          <w:kern w:val="0"/>
        </w:rPr>
        <w:t xml:space="preserve"> of </w:t>
      </w:r>
      <w:r w:rsidRPr="001A3D2B">
        <w:rPr>
          <w:kern w:val="0"/>
        </w:rPr>
        <w:t>articles on hailpads</w:t>
      </w:r>
      <w:r w:rsidR="005853A9">
        <w:rPr>
          <w:kern w:val="0"/>
        </w:rPr>
        <w:t xml:space="preserve"> and </w:t>
      </w:r>
      <w:r w:rsidR="003A1917">
        <w:rPr>
          <w:kern w:val="0"/>
        </w:rPr>
        <w:t xml:space="preserve">the </w:t>
      </w:r>
      <w:r w:rsidRPr="001A3D2B">
        <w:rPr>
          <w:kern w:val="0"/>
        </w:rPr>
        <w:t>documents that cite them have grown steadily,</w:t>
      </w:r>
      <w:r w:rsidR="005853A9">
        <w:rPr>
          <w:kern w:val="0"/>
        </w:rPr>
        <w:t xml:space="preserve"> and </w:t>
      </w:r>
      <w:r w:rsidRPr="001A3D2B">
        <w:rPr>
          <w:kern w:val="0"/>
        </w:rPr>
        <w:t>it is expected to grow still further in</w:t>
      </w:r>
      <w:r w:rsidR="003A1917">
        <w:rPr>
          <w:kern w:val="0"/>
        </w:rPr>
        <w:t xml:space="preserve"> the </w:t>
      </w:r>
      <w:r w:rsidRPr="001A3D2B">
        <w:rPr>
          <w:kern w:val="0"/>
        </w:rPr>
        <w:t>present decade if we take into account</w:t>
      </w:r>
      <w:r w:rsidR="003A1917">
        <w:rPr>
          <w:kern w:val="0"/>
        </w:rPr>
        <w:t xml:space="preserve"> the </w:t>
      </w:r>
      <w:r w:rsidRPr="001A3D2B">
        <w:rPr>
          <w:kern w:val="0"/>
        </w:rPr>
        <w:t>trends found. (C) 2008 Elsevier B.V. All rights reserved.</w:t>
      </w:r>
    </w:p>
    <w:p w:rsidR="00B2573F" w:rsidRPr="001A3D2B" w:rsidRDefault="00B2573F" w:rsidP="00B2573F">
      <w:pPr>
        <w:pStyle w:val="a3"/>
        <w:rPr>
          <w:kern w:val="0"/>
        </w:rPr>
      </w:pPr>
      <w:r w:rsidRPr="001A3D2B">
        <w:rPr>
          <w:kern w:val="0"/>
        </w:rPr>
        <w:t xml:space="preserve">Keywords: Bibliometric Analysis, Bibliometric Review, Calibration, Citation, Hail Research, Hailpad, Research,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689" w:name="_Toc420814658"/>
      <w:r w:rsidRPr="001A3D2B">
        <w:lastRenderedPageBreak/>
        <w:t>Title: Auditing-A Journal</w:t>
      </w:r>
      <w:r w:rsidR="00427468">
        <w:t xml:space="preserve"> of </w:t>
      </w:r>
      <w:r w:rsidRPr="001A3D2B">
        <w:t>Practice &amp; Theory</w:t>
      </w:r>
      <w:bookmarkStart w:id="690" w:name="_Toc43408481"/>
      <w:bookmarkStart w:id="691" w:name="_Toc43634541"/>
      <w:bookmarkStart w:id="692" w:name="_Toc81215633"/>
      <w:bookmarkEnd w:id="689"/>
    </w:p>
    <w:p w:rsidR="003474F2" w:rsidRPr="001A3D2B" w:rsidRDefault="003474F2" w:rsidP="003474F2">
      <w:pPr>
        <w:pStyle w:val="12"/>
      </w:pPr>
      <w:r w:rsidRPr="001A3D2B">
        <w:t>Full J</w:t>
      </w:r>
      <w:bookmarkEnd w:id="690"/>
      <w:r w:rsidRPr="001A3D2B">
        <w:t>ournal Title: Auditing-A Journal</w:t>
      </w:r>
      <w:r w:rsidR="00427468">
        <w:t xml:space="preserve"> of </w:t>
      </w:r>
      <w:r w:rsidRPr="001A3D2B">
        <w:t>Pra</w:t>
      </w:r>
      <w:bookmarkEnd w:id="691"/>
      <w:bookmarkEnd w:id="692"/>
      <w:r w:rsidRPr="001A3D2B">
        <w:t>ctice &amp; Theory</w:t>
      </w:r>
    </w:p>
    <w:p w:rsidR="003474F2" w:rsidRPr="001A3D2B" w:rsidRDefault="003474F2" w:rsidP="003474F2">
      <w:pPr>
        <w:pStyle w:val="12"/>
      </w:pPr>
      <w:r w:rsidRPr="001A3D2B">
        <w:t>ISO Abbreviated Title: Audit.-J. Pract</w:t>
      </w:r>
      <w:r w:rsidR="00A37C1D">
        <w:t>. The</w:t>
      </w:r>
      <w:r w:rsidRPr="001A3D2B">
        <w:t>ory</w:t>
      </w:r>
    </w:p>
    <w:p w:rsidR="003474F2" w:rsidRPr="001A3D2B" w:rsidRDefault="003474F2" w:rsidP="003474F2">
      <w:pPr>
        <w:pStyle w:val="12"/>
      </w:pPr>
      <w:r w:rsidRPr="001A3D2B">
        <w:t>JCR Abbreviated Title: Auditing-J Pract Th</w:t>
      </w:r>
    </w:p>
    <w:p w:rsidR="003474F2" w:rsidRPr="001A3D2B" w:rsidRDefault="003474F2" w:rsidP="003474F2">
      <w:pPr>
        <w:pStyle w:val="12"/>
      </w:pPr>
      <w:r w:rsidRPr="001A3D2B">
        <w:t>ISSN: 0278-0380</w:t>
      </w:r>
    </w:p>
    <w:p w:rsidR="003474F2" w:rsidRPr="001A3D2B" w:rsidRDefault="003474F2" w:rsidP="003474F2">
      <w:pPr>
        <w:pStyle w:val="12"/>
      </w:pPr>
      <w:r w:rsidRPr="001A3D2B">
        <w:t>Issues/Year: 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Accounting Assoc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5717 Bessie Dr</w:t>
          </w:r>
        </w:smartTag>
        <w:r w:rsidRPr="001A3D2B">
          <w:t xml:space="preserve">, </w:t>
        </w:r>
        <w:smartTag w:uri="urn:schemas-microsoft-com:office:smarttags" w:element="City">
          <w:r w:rsidRPr="001A3D2B">
            <w:t>Sarasota</w:t>
          </w:r>
        </w:smartTag>
        <w:r w:rsidRPr="001A3D2B">
          <w:t xml:space="preserve">, </w:t>
        </w:r>
        <w:smartTag w:uri="urn:schemas-microsoft-com:office:smarttags" w:element="State">
          <w:r w:rsidRPr="001A3D2B">
            <w:t>FL</w:t>
          </w:r>
        </w:smartTag>
        <w:r w:rsidRPr="001A3D2B">
          <w:t xml:space="preserve"> </w:t>
        </w:r>
        <w:smartTag w:uri="urn:schemas-microsoft-com:office:smarttags" w:element="PostalCode">
          <w:r w:rsidRPr="001A3D2B">
            <w:t>34233</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Business, Finance: Impact Factor 0.438,/(2002)</w:t>
      </w:r>
    </w:p>
    <w:p w:rsidR="003474F2" w:rsidRPr="001A3D2B" w:rsidRDefault="003474F2" w:rsidP="003474F2">
      <w:pPr>
        <w:pStyle w:val="a3"/>
      </w:pPr>
      <w:r w:rsidRPr="001A3D2B">
        <w:t>Notes: JJournal</w:t>
      </w:r>
    </w:p>
    <w:p w:rsidR="003474F2" w:rsidRPr="001A3D2B" w:rsidRDefault="003474F2" w:rsidP="003474F2">
      <w:pPr>
        <w:pStyle w:val="a3"/>
      </w:pPr>
      <w:r w:rsidRPr="001A3D2B">
        <w:t>? Krogstad, J.L.</w:t>
      </w:r>
      <w:r w:rsidR="005853A9">
        <w:t xml:space="preserve"> and </w:t>
      </w:r>
      <w:r w:rsidRPr="001A3D2B">
        <w:t>Smith, G. (2003), Assessing</w:t>
      </w:r>
      <w:r w:rsidR="003A1917">
        <w:t xml:space="preserve"> the </w:t>
      </w:r>
      <w:r w:rsidRPr="001A3D2B">
        <w:t>influence</w:t>
      </w:r>
      <w:r w:rsidR="00427468">
        <w:t xml:space="preserve"> of </w:t>
      </w:r>
      <w:r w:rsidRPr="001A3D2B">
        <w:rPr>
          <w:i/>
          <w:iCs/>
        </w:rPr>
        <w:t>Auditing-A Journal</w:t>
      </w:r>
      <w:r w:rsidR="00427468">
        <w:rPr>
          <w:i/>
          <w:iCs/>
        </w:rPr>
        <w:t xml:space="preserve"> of </w:t>
      </w:r>
      <w:r w:rsidRPr="001A3D2B">
        <w:rPr>
          <w:i/>
          <w:iCs/>
        </w:rPr>
        <w:t>Practice &amp; Theory</w:t>
      </w:r>
      <w:r w:rsidRPr="001A3D2B">
        <w:t xml:space="preserve">: 1985-2000. </w:t>
      </w:r>
      <w:r w:rsidRPr="001A3D2B">
        <w:rPr>
          <w:i/>
          <w:iCs/>
        </w:rPr>
        <w:t>Auditing-A Journal</w:t>
      </w:r>
      <w:r w:rsidR="00427468">
        <w:rPr>
          <w:i/>
          <w:iCs/>
        </w:rPr>
        <w:t xml:space="preserve"> of </w:t>
      </w:r>
      <w:r w:rsidRPr="001A3D2B">
        <w:rPr>
          <w:i/>
          <w:iCs/>
        </w:rPr>
        <w:t>Practice &amp; Theory</w:t>
      </w:r>
      <w:r w:rsidRPr="001A3D2B">
        <w:t xml:space="preserve">, </w:t>
      </w:r>
      <w:r w:rsidRPr="001A3D2B">
        <w:rPr>
          <w:b/>
          <w:bCs/>
        </w:rPr>
        <w:t>22</w:t>
      </w:r>
      <w:r w:rsidRPr="001A3D2B">
        <w:t xml:space="preserve"> (1), 195-204.</w:t>
      </w:r>
    </w:p>
    <w:p w:rsidR="003474F2" w:rsidRPr="001A3D2B" w:rsidRDefault="003474F2" w:rsidP="003474F2">
      <w:pPr>
        <w:pStyle w:val="a3"/>
      </w:pPr>
      <w:r w:rsidRPr="001A3D2B">
        <w:t xml:space="preserve">Full Text: </w:t>
      </w:r>
      <w:hyperlink r:id="rId1362" w:history="1">
        <w:r w:rsidRPr="001A3D2B">
          <w:rPr>
            <w:rStyle w:val="a5"/>
          </w:rPr>
          <w:t>2003\Aud-J Pra The22, 195.pdf</w:t>
        </w:r>
      </w:hyperlink>
    </w:p>
    <w:p w:rsidR="003474F2" w:rsidRPr="001A3D2B" w:rsidRDefault="003474F2" w:rsidP="003474F2">
      <w:pPr>
        <w:pStyle w:val="a3"/>
      </w:pPr>
      <w:r w:rsidRPr="001A3D2B">
        <w:t>Abstract: This study utilizes citation analysis to explore</w:t>
      </w:r>
      <w:r w:rsidR="003A1917">
        <w:t xml:space="preserve"> the </w:t>
      </w:r>
      <w:r w:rsidRPr="001A3D2B">
        <w:t>impact</w:t>
      </w:r>
      <w:r w:rsidR="005853A9">
        <w:t xml:space="preserve"> and </w:t>
      </w:r>
      <w:r w:rsidRPr="001A3D2B">
        <w:t>standing</w:t>
      </w:r>
      <w:r w:rsidR="00427468">
        <w:t xml:space="preserve"> of </w:t>
      </w:r>
      <w:r w:rsidRPr="001A3D2B">
        <w:t>Auditing: A Journal</w:t>
      </w:r>
      <w:r w:rsidR="00427468">
        <w:t xml:space="preserve"> of </w:t>
      </w:r>
      <w:r w:rsidRPr="001A3D2B">
        <w:t>Practice &amp; Theory (AJPT) both within</w:t>
      </w:r>
      <w:r w:rsidR="003A1917">
        <w:t xml:space="preserve"> the </w:t>
      </w:r>
      <w:r w:rsidRPr="001A3D2B">
        <w:t>accounting/auditing discipline</w:t>
      </w:r>
      <w:r w:rsidR="005853A9">
        <w:t xml:space="preserve"> and </w:t>
      </w:r>
      <w:r w:rsidRPr="001A3D2B">
        <w:t>in</w:t>
      </w:r>
      <w:r w:rsidR="003A1917">
        <w:t xml:space="preserve"> the </w:t>
      </w:r>
      <w:r w:rsidRPr="001A3D2B">
        <w:t>context</w:t>
      </w:r>
      <w:r w:rsidR="00427468">
        <w:t xml:space="preserve"> of </w:t>
      </w:r>
      <w:r w:rsidRPr="001A3D2B">
        <w:t>related fields. More specifically,</w:t>
      </w:r>
      <w:r w:rsidR="003A1917">
        <w:t xml:space="preserve"> the </w:t>
      </w:r>
      <w:r w:rsidRPr="001A3D2B">
        <w:t>citations to AJPT from other journals included in</w:t>
      </w:r>
      <w:r w:rsidR="003A1917">
        <w:t xml:space="preserve"> the </w:t>
      </w:r>
      <w:r w:rsidRPr="001A3D2B">
        <w:t>Social Sciences Citation Index (</w:t>
      </w:r>
      <w:r w:rsidR="00D5664A">
        <w:t>SSCI</w:t>
      </w:r>
      <w:r w:rsidRPr="001A3D2B">
        <w:t>), plus citations appearing in additional, high-quality accounting/auditing journals (not included in</w:t>
      </w:r>
      <w:r w:rsidR="003A1917">
        <w:t xml:space="preserve"> the </w:t>
      </w:r>
      <w:r w:rsidR="00D5664A">
        <w:t>SSCI</w:t>
      </w:r>
      <w:r w:rsidRPr="001A3D2B">
        <w:t>) are combined with self-citations to yield a database</w:t>
      </w:r>
      <w:r w:rsidR="00427468">
        <w:t xml:space="preserve"> of </w:t>
      </w:r>
      <w:r w:rsidRPr="001A3D2B">
        <w:t>3,102 citations for</w:t>
      </w:r>
      <w:r w:rsidR="003A1917">
        <w:t xml:space="preserve"> the </w:t>
      </w:r>
      <w:r w:rsidRPr="001A3D2B">
        <w:t>period 1985 through 2000. This database is analyzed to observe trends</w:t>
      </w:r>
      <w:r w:rsidR="005853A9">
        <w:t xml:space="preserve"> and </w:t>
      </w:r>
      <w:r w:rsidRPr="001A3D2B">
        <w:t>to identify journals citing AJPT most frequently. Additionally, articles</w:t>
      </w:r>
      <w:r w:rsidR="005853A9">
        <w:t xml:space="preserve"> and </w:t>
      </w:r>
      <w:r w:rsidRPr="001A3D2B">
        <w:t>authors cited most widely are enumerated. AJPT</w:t>
      </w:r>
      <w:r w:rsidR="00700038">
        <w:t>’</w:t>
      </w:r>
      <w:r w:rsidR="00C13DDC">
        <w:t>s</w:t>
      </w:r>
      <w:r w:rsidRPr="001A3D2B">
        <w:t xml:space="preserve"> growing influence</w:t>
      </w:r>
      <w:r w:rsidR="005853A9">
        <w:t xml:space="preserve"> and </w:t>
      </w:r>
      <w:r w:rsidRPr="001A3D2B">
        <w:t>stature are documented,</w:t>
      </w:r>
      <w:r w:rsidR="005853A9">
        <w:t xml:space="preserve"> and </w:t>
      </w:r>
      <w:r w:rsidR="003A1917">
        <w:t xml:space="preserve">the </w:t>
      </w:r>
      <w:r w:rsidRPr="001A3D2B">
        <w:t>results support</w:t>
      </w:r>
      <w:r w:rsidR="003A1917">
        <w:t xml:space="preserve"> the </w:t>
      </w:r>
      <w:r w:rsidRPr="001A3D2B">
        <w:t>conclusion that</w:t>
      </w:r>
      <w:r w:rsidR="003A1917">
        <w:t xml:space="preserve"> the </w:t>
      </w:r>
      <w:r w:rsidRPr="001A3D2B">
        <w:t>Auditing Section</w:t>
      </w:r>
      <w:r w:rsidR="00700038">
        <w:t>’</w:t>
      </w:r>
      <w:r w:rsidR="00C13DDC">
        <w:t>s</w:t>
      </w:r>
      <w:r w:rsidRPr="001A3D2B">
        <w:t xml:space="preserve"> journal has continued to adhere to its essential objective</w:t>
      </w:r>
      <w:r w:rsidR="00427468">
        <w:t xml:space="preserve"> of </w:t>
      </w:r>
      <w:r w:rsidRPr="001A3D2B">
        <w:t>promoting communication between auditing research</w:t>
      </w:r>
      <w:r w:rsidR="005853A9">
        <w:t xml:space="preserve"> and </w:t>
      </w:r>
      <w:r w:rsidRPr="001A3D2B">
        <w:t>practice.</w:t>
      </w:r>
    </w:p>
    <w:p w:rsidR="003474F2" w:rsidRPr="001A3D2B" w:rsidRDefault="003474F2" w:rsidP="003474F2">
      <w:pPr>
        <w:pStyle w:val="a3"/>
      </w:pPr>
      <w:r w:rsidRPr="001A3D2B">
        <w:t>Keywords: Analysis, Citation, Citation Analysis, Citations, Communication, Context, Database, Impact, Journal, Journals, Practice, Research, Self-Citations,</w:t>
      </w:r>
      <w:r w:rsidR="008E3069">
        <w:t xml:space="preserve"> </w:t>
      </w:r>
      <w:r w:rsidR="00D5664A">
        <w:t>SSCI</w:t>
      </w:r>
      <w:r w:rsidR="008E3069">
        <w:t>,</w:t>
      </w:r>
      <w:r w:rsidRPr="001A3D2B">
        <w:t xml:space="preserve"> Support, Trends</w:t>
      </w:r>
    </w:p>
    <w:p w:rsidR="00756D2E" w:rsidRPr="001A3D2B" w:rsidRDefault="00756D2E" w:rsidP="00756D2E">
      <w:pPr>
        <w:pStyle w:val="1"/>
      </w:pPr>
      <w:r w:rsidRPr="001A3D2B">
        <w:br w:type="page"/>
      </w:r>
      <w:bookmarkStart w:id="693" w:name="_Toc420814659"/>
      <w:r w:rsidRPr="001A3D2B">
        <w:lastRenderedPageBreak/>
        <w:t xml:space="preserve">Title: </w:t>
      </w:r>
      <w:r w:rsidRPr="00756D2E">
        <w:rPr>
          <w:iCs w:val="0"/>
        </w:rPr>
        <w:t>Auris Nasus Larynx</w:t>
      </w:r>
      <w:bookmarkEnd w:id="693"/>
    </w:p>
    <w:p w:rsidR="00756D2E" w:rsidRPr="001A3D2B" w:rsidRDefault="00756D2E" w:rsidP="00756D2E">
      <w:pPr>
        <w:pStyle w:val="12"/>
      </w:pPr>
      <w:r w:rsidRPr="001A3D2B">
        <w:t xml:space="preserve">Full Journal Title: </w:t>
      </w:r>
      <w:r w:rsidRPr="00756D2E">
        <w:rPr>
          <w:iCs/>
          <w:kern w:val="0"/>
        </w:rPr>
        <w:t>Auris Nasus Larynx</w:t>
      </w:r>
    </w:p>
    <w:p w:rsidR="00756D2E" w:rsidRPr="001A3D2B" w:rsidRDefault="00756D2E" w:rsidP="00756D2E">
      <w:pPr>
        <w:pStyle w:val="12"/>
      </w:pPr>
      <w:r w:rsidRPr="001A3D2B">
        <w:t xml:space="preserve">ISO Abbreviated Title: </w:t>
      </w:r>
    </w:p>
    <w:p w:rsidR="00756D2E" w:rsidRPr="001A3D2B" w:rsidRDefault="00756D2E" w:rsidP="00756D2E">
      <w:pPr>
        <w:pStyle w:val="12"/>
      </w:pPr>
      <w:r w:rsidRPr="001A3D2B">
        <w:t xml:space="preserve">JCR Abbreviated Title: </w:t>
      </w:r>
    </w:p>
    <w:p w:rsidR="00756D2E" w:rsidRPr="001A3D2B" w:rsidRDefault="00756D2E" w:rsidP="00756D2E">
      <w:pPr>
        <w:pStyle w:val="12"/>
      </w:pPr>
      <w:r w:rsidRPr="001A3D2B">
        <w:t xml:space="preserve">ISSN: </w:t>
      </w:r>
    </w:p>
    <w:p w:rsidR="00756D2E" w:rsidRPr="001A3D2B" w:rsidRDefault="00756D2E" w:rsidP="00756D2E">
      <w:pPr>
        <w:pStyle w:val="12"/>
      </w:pPr>
      <w:r w:rsidRPr="001A3D2B">
        <w:t xml:space="preserve">Issues/Year: </w:t>
      </w:r>
    </w:p>
    <w:p w:rsidR="00756D2E" w:rsidRPr="001A3D2B" w:rsidRDefault="00756D2E" w:rsidP="00756D2E">
      <w:pPr>
        <w:pStyle w:val="12"/>
      </w:pPr>
      <w:r w:rsidRPr="001A3D2B">
        <w:t xml:space="preserve">Journal Country/Territory: </w:t>
      </w:r>
    </w:p>
    <w:p w:rsidR="00756D2E" w:rsidRPr="001A3D2B" w:rsidRDefault="00756D2E" w:rsidP="00756D2E">
      <w:pPr>
        <w:pStyle w:val="12"/>
      </w:pPr>
      <w:r w:rsidRPr="001A3D2B">
        <w:t xml:space="preserve">Language: </w:t>
      </w:r>
    </w:p>
    <w:p w:rsidR="00756D2E" w:rsidRPr="001A3D2B" w:rsidRDefault="00756D2E" w:rsidP="00756D2E">
      <w:pPr>
        <w:pStyle w:val="12"/>
      </w:pPr>
      <w:r w:rsidRPr="001A3D2B">
        <w:t xml:space="preserve">Publisher: </w:t>
      </w:r>
    </w:p>
    <w:p w:rsidR="00756D2E" w:rsidRPr="001A3D2B" w:rsidRDefault="00756D2E" w:rsidP="00756D2E">
      <w:pPr>
        <w:pStyle w:val="12"/>
      </w:pPr>
      <w:r w:rsidRPr="001A3D2B">
        <w:t xml:space="preserve">Publisher Address: </w:t>
      </w:r>
    </w:p>
    <w:p w:rsidR="00756D2E" w:rsidRPr="001A3D2B" w:rsidRDefault="00756D2E" w:rsidP="00756D2E">
      <w:pPr>
        <w:pStyle w:val="12"/>
      </w:pPr>
      <w:r w:rsidRPr="001A3D2B">
        <w:t>Subject Categories:</w:t>
      </w:r>
    </w:p>
    <w:p w:rsidR="00756D2E" w:rsidRPr="001A3D2B" w:rsidRDefault="00756D2E" w:rsidP="00756D2E">
      <w:pPr>
        <w:pStyle w:val="12"/>
      </w:pPr>
      <w:r w:rsidRPr="001A3D2B">
        <w:t xml:space="preserve">: Impact Factor </w:t>
      </w:r>
    </w:p>
    <w:p w:rsidR="00756D2E" w:rsidRDefault="00756D2E" w:rsidP="00756D2E">
      <w:pPr>
        <w:pStyle w:val="a3"/>
        <w:rPr>
          <w:kern w:val="0"/>
        </w:rPr>
      </w:pPr>
      <w:r>
        <w:rPr>
          <w:rFonts w:hint="eastAsia"/>
          <w:kern w:val="0"/>
        </w:rPr>
        <w:t xml:space="preserve">? </w:t>
      </w:r>
      <w:r>
        <w:rPr>
          <w:kern w:val="0"/>
        </w:rPr>
        <w:t xml:space="preserve">Fang, L., Lin, H., Zhang, T.Y. and Tan, J. (2014), Laser versus non-laser stapedotomy in otosclerosis: A systematic review and meta-analysis. </w:t>
      </w:r>
      <w:r w:rsidRPr="00756D2E">
        <w:rPr>
          <w:i/>
          <w:iCs/>
          <w:kern w:val="0"/>
        </w:rPr>
        <w:t>Auris Nasus Larynx</w:t>
      </w:r>
      <w:r>
        <w:rPr>
          <w:kern w:val="0"/>
        </w:rPr>
        <w:t xml:space="preserve">, </w:t>
      </w:r>
      <w:r>
        <w:rPr>
          <w:b/>
          <w:bCs/>
          <w:kern w:val="0"/>
        </w:rPr>
        <w:t>41</w:t>
      </w:r>
      <w:r>
        <w:rPr>
          <w:kern w:val="0"/>
        </w:rPr>
        <w:t xml:space="preserve"> (4), 337-342.</w:t>
      </w:r>
    </w:p>
    <w:p w:rsidR="00756D2E" w:rsidRDefault="00756D2E" w:rsidP="00756D2E">
      <w:pPr>
        <w:pStyle w:val="a3"/>
        <w:rPr>
          <w:kern w:val="0"/>
        </w:rPr>
      </w:pPr>
      <w:r>
        <w:rPr>
          <w:rFonts w:hint="eastAsia"/>
          <w:kern w:val="0"/>
        </w:rPr>
        <w:t xml:space="preserve">Full Text: </w:t>
      </w:r>
      <w:hyperlink r:id="rId1363" w:history="1">
        <w:r w:rsidRPr="00756D2E">
          <w:rPr>
            <w:rStyle w:val="a5"/>
            <w:kern w:val="0"/>
          </w:rPr>
          <w:t>2014\Aur Nas Lar41, 337.pdf</w:t>
        </w:r>
      </w:hyperlink>
    </w:p>
    <w:p w:rsidR="00756D2E" w:rsidRDefault="00756D2E" w:rsidP="00756D2E">
      <w:pPr>
        <w:pStyle w:val="a3"/>
        <w:rPr>
          <w:kern w:val="0"/>
        </w:rPr>
      </w:pPr>
      <w:r>
        <w:rPr>
          <w:kern w:val="0"/>
        </w:rPr>
        <w:t>Abstract: Objective: To compare and evaluate the hearing outcome and complications of otosclerosis treated with the laser or non-laser stapedotomy using meta-analysis. Methods: A thorough search for publications and “in-process” articles with English abstract dating from January 1978 to July 2013 was conducted using Pubmed, EBSCO and Web of Science databases, as well as all related papers</w:t>
      </w:r>
      <w:r w:rsidR="00A37C1D">
        <w:rPr>
          <w:kern w:val="0"/>
        </w:rPr>
        <w:t>. The</w:t>
      </w:r>
      <w:r>
        <w:rPr>
          <w:kern w:val="0"/>
        </w:rPr>
        <w:t xml:space="preserve"> included criteria were otosclerosis as diagnosis, clear description of surgical methods, calibrated stapedotomy and regular collection of functional results. Hearing results and other comparable data (age, preoperative hearing status, and mean length of follow-up) were collected from the articles. Results: Eleven studies with a total of 1614 subjects were identified to meet our criteria</w:t>
      </w:r>
      <w:r w:rsidR="00A37C1D">
        <w:rPr>
          <w:kern w:val="0"/>
        </w:rPr>
        <w:t>. The</w:t>
      </w:r>
      <w:r>
        <w:rPr>
          <w:kern w:val="0"/>
        </w:rPr>
        <w:t xml:space="preserve">re was a significant difference in the efficacy of stapedotomy with the laser or non-laser technique; current data showed a combined RR of 1.07 (95% CI: 1.02-1.13, p = 0.005). But, the postoperative complication showed no advantage for the laser group, with a combined RR of 0.63 (95% CI: 0.30-1.34, p = 0.23). Although there was publication bias in this study (p = 0.005), the funnel plot would turn out to be symmetrical after six more studies were added by the trim and fill method. Conclusion: Our overall results suggest that the laser stapedotomy had significantly better hearing results than non-laser stapedotomy. However, current papers on laser and non-laser stapedotomy did not provide enough subjects to make a subgroup analysis of the hearing outcome between different laser groups. More studies reporting different laser techniques are required to provide us with a better understanding of laser stapedotomy. (C) 2014 </w:t>
      </w:r>
      <w:r>
        <w:rPr>
          <w:kern w:val="0"/>
        </w:rPr>
        <w:lastRenderedPageBreak/>
        <w:t>Elsevier Ireland Ltd. All rights reserved.</w:t>
      </w:r>
    </w:p>
    <w:p w:rsidR="00756D2E" w:rsidRDefault="00756D2E" w:rsidP="00756D2E">
      <w:pPr>
        <w:pStyle w:val="a3"/>
        <w:rPr>
          <w:kern w:val="0"/>
        </w:rPr>
      </w:pPr>
      <w:r>
        <w:rPr>
          <w:kern w:val="0"/>
        </w:rPr>
        <w:t>Keywords: Age, Analysis, Argon-Laser, Articles, Bias, Co2-Laser Stapedotomy, Collection, Complication, Complications, Criteria, Data, Databases, Diagnosis, Efficacy, English, Erbium, Follow-Up, Groups, Hearing, Hearing Results, Ireland, Ktp, Laser, Length, Meta Analysis, Meta-Analysis, Metaanalysis, Methods, Otosclerosis, Outcome, Papers, Postoperative, Postoperative Complication, Preoperative, Publication, Publication Bias, Publications, Regular, Reporting, Results, Review, Rights, Science, Stapedectomy, Stapedotomy, Stapes Surgery, Stapes Surgery, Systematic, Systematic Review, Techniques, Understanding, Web Of Science, Web Of Science Databases</w:t>
      </w:r>
    </w:p>
    <w:p w:rsidR="00614273" w:rsidRPr="001A3D2B" w:rsidRDefault="00614273" w:rsidP="00614273">
      <w:pPr>
        <w:pStyle w:val="1"/>
      </w:pPr>
      <w:r w:rsidRPr="001A3D2B">
        <w:br w:type="page"/>
      </w:r>
      <w:bookmarkStart w:id="694" w:name="_Toc420814660"/>
      <w:r w:rsidRPr="001A3D2B">
        <w:lastRenderedPageBreak/>
        <w:t xml:space="preserve">Title: </w:t>
      </w:r>
      <w:r w:rsidRPr="00A26525">
        <w:t>Aut Aut</w:t>
      </w:r>
      <w:bookmarkEnd w:id="694"/>
    </w:p>
    <w:p w:rsidR="00614273" w:rsidRPr="001A3D2B" w:rsidRDefault="00614273" w:rsidP="00614273">
      <w:pPr>
        <w:pStyle w:val="12"/>
      </w:pPr>
      <w:r w:rsidRPr="001A3D2B">
        <w:t xml:space="preserve">Full Journal Title: </w:t>
      </w:r>
      <w:r w:rsidRPr="00A26525">
        <w:rPr>
          <w:iCs/>
          <w:kern w:val="0"/>
        </w:rPr>
        <w:t>Aut Aut</w:t>
      </w:r>
    </w:p>
    <w:p w:rsidR="00614273" w:rsidRPr="001A3D2B" w:rsidRDefault="00614273" w:rsidP="00614273">
      <w:pPr>
        <w:pStyle w:val="12"/>
      </w:pPr>
      <w:r w:rsidRPr="001A3D2B">
        <w:t xml:space="preserve">ISO Abbreviated Title: </w:t>
      </w:r>
    </w:p>
    <w:p w:rsidR="00614273" w:rsidRPr="001A3D2B" w:rsidRDefault="00614273" w:rsidP="00614273">
      <w:pPr>
        <w:pStyle w:val="12"/>
      </w:pPr>
      <w:r w:rsidRPr="001A3D2B">
        <w:t xml:space="preserve">JCR Abbreviated Title: </w:t>
      </w:r>
    </w:p>
    <w:p w:rsidR="00614273" w:rsidRPr="001A3D2B" w:rsidRDefault="00614273" w:rsidP="00614273">
      <w:pPr>
        <w:pStyle w:val="12"/>
      </w:pPr>
      <w:r w:rsidRPr="001A3D2B">
        <w:t xml:space="preserve">ISSN: </w:t>
      </w:r>
      <w:r>
        <w:t>0005-0601</w:t>
      </w:r>
    </w:p>
    <w:p w:rsidR="00614273" w:rsidRPr="001A3D2B" w:rsidRDefault="00614273" w:rsidP="00614273">
      <w:pPr>
        <w:pStyle w:val="12"/>
      </w:pPr>
      <w:r w:rsidRPr="001A3D2B">
        <w:t xml:space="preserve">Issues/Year: </w:t>
      </w:r>
    </w:p>
    <w:p w:rsidR="00614273" w:rsidRPr="001A3D2B" w:rsidRDefault="00614273" w:rsidP="00614273">
      <w:pPr>
        <w:pStyle w:val="12"/>
      </w:pPr>
      <w:r w:rsidRPr="001A3D2B">
        <w:t xml:space="preserve">Journal Country/Territory: </w:t>
      </w:r>
    </w:p>
    <w:p w:rsidR="00614273" w:rsidRPr="001A3D2B" w:rsidRDefault="00614273" w:rsidP="00614273">
      <w:pPr>
        <w:pStyle w:val="12"/>
      </w:pPr>
      <w:r w:rsidRPr="001A3D2B">
        <w:t xml:space="preserve">Language: </w:t>
      </w:r>
    </w:p>
    <w:p w:rsidR="00614273" w:rsidRPr="001A3D2B" w:rsidRDefault="00614273" w:rsidP="00614273">
      <w:pPr>
        <w:pStyle w:val="12"/>
      </w:pPr>
      <w:r w:rsidRPr="001A3D2B">
        <w:t xml:space="preserve">Publisher: </w:t>
      </w:r>
    </w:p>
    <w:p w:rsidR="00614273" w:rsidRPr="001A3D2B" w:rsidRDefault="00614273" w:rsidP="00614273">
      <w:pPr>
        <w:pStyle w:val="12"/>
      </w:pPr>
      <w:r w:rsidRPr="001A3D2B">
        <w:t xml:space="preserve">Publisher Address: </w:t>
      </w:r>
    </w:p>
    <w:p w:rsidR="00614273" w:rsidRPr="001A3D2B" w:rsidRDefault="00614273" w:rsidP="00614273">
      <w:pPr>
        <w:pStyle w:val="12"/>
      </w:pPr>
      <w:r w:rsidRPr="001A3D2B">
        <w:t>Subject Categories:</w:t>
      </w:r>
    </w:p>
    <w:p w:rsidR="00614273" w:rsidRPr="001A3D2B" w:rsidRDefault="00614273" w:rsidP="00614273">
      <w:pPr>
        <w:pStyle w:val="12"/>
      </w:pPr>
      <w:r w:rsidRPr="001A3D2B">
        <w:t xml:space="preserve">: Impact Factor </w:t>
      </w:r>
    </w:p>
    <w:p w:rsidR="00614273" w:rsidRDefault="00614273" w:rsidP="00614273">
      <w:pPr>
        <w:pStyle w:val="a3"/>
        <w:rPr>
          <w:kern w:val="0"/>
        </w:rPr>
      </w:pPr>
      <w:r>
        <w:rPr>
          <w:rFonts w:hint="eastAsia"/>
          <w:kern w:val="0"/>
        </w:rPr>
        <w:t xml:space="preserve">? </w:t>
      </w:r>
      <w:r>
        <w:rPr>
          <w:kern w:val="0"/>
        </w:rPr>
        <w:t>Dal Lago, A. (2012), Count or perish</w:t>
      </w:r>
      <w:r w:rsidR="00A37C1D">
        <w:rPr>
          <w:kern w:val="0"/>
        </w:rPr>
        <w:t>. The</w:t>
      </w:r>
      <w:r w:rsidR="003A1917">
        <w:rPr>
          <w:kern w:val="0"/>
        </w:rPr>
        <w:t xml:space="preserve"> </w:t>
      </w:r>
      <w:r>
        <w:rPr>
          <w:kern w:val="0"/>
        </w:rPr>
        <w:t>use</w:t>
      </w:r>
      <w:r w:rsidR="00427468">
        <w:rPr>
          <w:kern w:val="0"/>
        </w:rPr>
        <w:t xml:space="preserve"> of </w:t>
      </w:r>
      <w:r>
        <w:rPr>
          <w:kern w:val="0"/>
        </w:rPr>
        <w:t>bibliometric indices in</w:t>
      </w:r>
      <w:r w:rsidR="003A1917">
        <w:rPr>
          <w:kern w:val="0"/>
        </w:rPr>
        <w:t xml:space="preserve"> the </w:t>
      </w:r>
      <w:r>
        <w:rPr>
          <w:kern w:val="0"/>
        </w:rPr>
        <w:t>evaluation</w:t>
      </w:r>
      <w:r w:rsidR="00427468">
        <w:rPr>
          <w:kern w:val="0"/>
        </w:rPr>
        <w:t xml:space="preserve"> of </w:t>
      </w:r>
      <w:r w:rsidR="003A1917">
        <w:rPr>
          <w:kern w:val="0"/>
        </w:rPr>
        <w:t xml:space="preserve">the </w:t>
      </w:r>
      <w:r>
        <w:rPr>
          <w:kern w:val="0"/>
        </w:rPr>
        <w:t xml:space="preserve">search. </w:t>
      </w:r>
      <w:r>
        <w:rPr>
          <w:i/>
          <w:iCs/>
          <w:kern w:val="0"/>
        </w:rPr>
        <w:t>Aut Aut</w:t>
      </w:r>
      <w:r>
        <w:rPr>
          <w:kern w:val="0"/>
        </w:rPr>
        <w:t xml:space="preserve">, </w:t>
      </w:r>
      <w:r w:rsidRPr="007E0ACA">
        <w:rPr>
          <w:b/>
          <w:kern w:val="0"/>
        </w:rPr>
        <w:t>354</w:t>
      </w:r>
      <w:r>
        <w:rPr>
          <w:kern w:val="0"/>
        </w:rPr>
        <w:t>, 191-203</w:t>
      </w:r>
      <w:r>
        <w:rPr>
          <w:rFonts w:hint="eastAsia"/>
          <w:kern w:val="0"/>
        </w:rPr>
        <w:t>.</w:t>
      </w:r>
    </w:p>
    <w:p w:rsidR="00614273" w:rsidRDefault="00614273" w:rsidP="00614273">
      <w:pPr>
        <w:pStyle w:val="a3"/>
        <w:rPr>
          <w:kern w:val="0"/>
        </w:rPr>
      </w:pPr>
      <w:r>
        <w:rPr>
          <w:rFonts w:hint="eastAsia"/>
          <w:kern w:val="0"/>
        </w:rPr>
        <w:t>Full Text: 2012\</w:t>
      </w:r>
      <w:r w:rsidRPr="00A26525">
        <w:rPr>
          <w:iCs/>
          <w:kern w:val="0"/>
        </w:rPr>
        <w:t>Aut Aut</w:t>
      </w:r>
      <w:r w:rsidRPr="00A26525">
        <w:rPr>
          <w:kern w:val="0"/>
        </w:rPr>
        <w:t>354</w:t>
      </w:r>
      <w:r>
        <w:rPr>
          <w:kern w:val="0"/>
        </w:rPr>
        <w:t>, 191</w:t>
      </w:r>
      <w:r>
        <w:rPr>
          <w:rFonts w:hint="eastAsia"/>
          <w:kern w:val="0"/>
        </w:rPr>
        <w:t>.pdf</w:t>
      </w:r>
    </w:p>
    <w:p w:rsidR="00614273" w:rsidRDefault="00614273" w:rsidP="00614273">
      <w:pPr>
        <w:pStyle w:val="a3"/>
        <w:rPr>
          <w:kern w:val="0"/>
        </w:rPr>
      </w:pPr>
      <w:r>
        <w:rPr>
          <w:kern w:val="0"/>
        </w:rPr>
        <w:t>Keywords: Bibliometric, Evaluation, Indices</w:t>
      </w:r>
    </w:p>
    <w:p w:rsidR="00696D4A" w:rsidRPr="00F219CA" w:rsidRDefault="00696D4A" w:rsidP="00696D4A">
      <w:pPr>
        <w:pStyle w:val="1"/>
      </w:pPr>
      <w:r w:rsidRPr="00F219CA">
        <w:br w:type="page"/>
      </w:r>
      <w:bookmarkStart w:id="695" w:name="_Toc419893058"/>
      <w:bookmarkStart w:id="696" w:name="_Toc420814661"/>
      <w:r w:rsidRPr="00F219CA">
        <w:lastRenderedPageBreak/>
        <w:t>Title: Austral Ecology</w:t>
      </w:r>
      <w:bookmarkEnd w:id="695"/>
      <w:bookmarkEnd w:id="696"/>
    </w:p>
    <w:p w:rsidR="00696D4A" w:rsidRPr="00F219CA" w:rsidRDefault="00696D4A" w:rsidP="00696D4A">
      <w:pPr>
        <w:pStyle w:val="12"/>
      </w:pPr>
      <w:r w:rsidRPr="00F219CA">
        <w:t>Full Journal Title: Austral Ecology</w:t>
      </w:r>
    </w:p>
    <w:p w:rsidR="00696D4A" w:rsidRPr="00F219CA" w:rsidRDefault="00696D4A" w:rsidP="00696D4A">
      <w:pPr>
        <w:pStyle w:val="12"/>
      </w:pPr>
      <w:r w:rsidRPr="00F219CA">
        <w:t>ISO Abbreviated Title: Austral Ecol.</w:t>
      </w:r>
    </w:p>
    <w:p w:rsidR="00696D4A" w:rsidRPr="00F219CA" w:rsidRDefault="00696D4A" w:rsidP="00696D4A">
      <w:pPr>
        <w:pStyle w:val="12"/>
      </w:pPr>
      <w:r w:rsidRPr="00F219CA">
        <w:t>JCR Abbreviated Title: Austral Ecol</w:t>
      </w:r>
    </w:p>
    <w:p w:rsidR="00696D4A" w:rsidRPr="00F219CA" w:rsidRDefault="00696D4A" w:rsidP="00696D4A">
      <w:pPr>
        <w:pStyle w:val="12"/>
      </w:pPr>
      <w:r w:rsidRPr="00F219CA">
        <w:t>ISSN: 1442-9985</w:t>
      </w:r>
    </w:p>
    <w:p w:rsidR="00696D4A" w:rsidRPr="00F219CA" w:rsidRDefault="00696D4A" w:rsidP="00696D4A">
      <w:pPr>
        <w:pStyle w:val="12"/>
      </w:pPr>
      <w:r w:rsidRPr="00F219CA">
        <w:t>Issues/Year: 6</w:t>
      </w:r>
    </w:p>
    <w:p w:rsidR="00696D4A" w:rsidRPr="00F219CA" w:rsidRDefault="00696D4A" w:rsidP="00696D4A">
      <w:pPr>
        <w:pStyle w:val="12"/>
      </w:pPr>
      <w:r w:rsidRPr="00F219CA">
        <w:t>Journal Country/Territory: Australia</w:t>
      </w:r>
    </w:p>
    <w:p w:rsidR="00696D4A" w:rsidRPr="00F219CA" w:rsidRDefault="00696D4A" w:rsidP="00696D4A">
      <w:pPr>
        <w:pStyle w:val="12"/>
      </w:pPr>
      <w:r w:rsidRPr="00F219CA">
        <w:t>Language: English</w:t>
      </w:r>
    </w:p>
    <w:p w:rsidR="00696D4A" w:rsidRPr="00F219CA" w:rsidRDefault="00696D4A" w:rsidP="00696D4A">
      <w:pPr>
        <w:pStyle w:val="12"/>
      </w:pPr>
      <w:r w:rsidRPr="00F219CA">
        <w:t>Publisher: Blackwell Science Asia</w:t>
      </w:r>
    </w:p>
    <w:p w:rsidR="00696D4A" w:rsidRPr="00F219CA" w:rsidRDefault="00696D4A" w:rsidP="00696D4A">
      <w:pPr>
        <w:pStyle w:val="12"/>
      </w:pPr>
      <w:r w:rsidRPr="00F219CA">
        <w:t>Publisher Address: 54 University St, P O Box 378, Carlton, Victoria 3053, Australia</w:t>
      </w:r>
    </w:p>
    <w:p w:rsidR="00696D4A" w:rsidRPr="00F219CA" w:rsidRDefault="00696D4A" w:rsidP="00696D4A">
      <w:pPr>
        <w:pStyle w:val="12"/>
      </w:pPr>
      <w:r w:rsidRPr="00F219CA">
        <w:t xml:space="preserve">Subject Categories: </w:t>
      </w:r>
    </w:p>
    <w:p w:rsidR="00696D4A" w:rsidRPr="00F219CA" w:rsidRDefault="00696D4A" w:rsidP="00696D4A">
      <w:pPr>
        <w:pStyle w:val="12"/>
      </w:pPr>
      <w:r w:rsidRPr="00F219CA">
        <w:t>Ecology: Impact Factor 0.658, / (2001)</w:t>
      </w:r>
    </w:p>
    <w:p w:rsidR="00696D4A" w:rsidRDefault="00696D4A" w:rsidP="00696D4A">
      <w:pPr>
        <w:pStyle w:val="a3"/>
      </w:pPr>
      <w:r>
        <w:rPr>
          <w:rFonts w:hint="eastAsia"/>
        </w:rPr>
        <w:t xml:space="preserve">? </w:t>
      </w:r>
      <w:r>
        <w:t xml:space="preserve">Kumar, L. and Khormi, H.M. (2013), Landscape of ecological research in Australia: A bibliometric analysis of trends in research output and hotspots of research from 1991 to 2010. </w:t>
      </w:r>
      <w:r>
        <w:rPr>
          <w:i/>
          <w:iCs/>
        </w:rPr>
        <w:t>Austral Ecology</w:t>
      </w:r>
      <w:r>
        <w:t xml:space="preserve">, </w:t>
      </w:r>
      <w:r>
        <w:rPr>
          <w:b/>
          <w:bCs/>
        </w:rPr>
        <w:t>38</w:t>
      </w:r>
      <w:r>
        <w:t xml:space="preserve"> (5), 599-608.</w:t>
      </w:r>
    </w:p>
    <w:p w:rsidR="00696D4A" w:rsidRDefault="00696D4A" w:rsidP="00696D4A">
      <w:pPr>
        <w:pStyle w:val="a3"/>
      </w:pPr>
      <w:r>
        <w:rPr>
          <w:rFonts w:hint="eastAsia"/>
        </w:rPr>
        <w:t xml:space="preserve">Full Text: </w:t>
      </w:r>
      <w:hyperlink r:id="rId1364" w:history="1">
        <w:r w:rsidRPr="0072543D">
          <w:rPr>
            <w:rStyle w:val="a5"/>
          </w:rPr>
          <w:t>2013\Aus Eco38, 599.pdf</w:t>
        </w:r>
      </w:hyperlink>
    </w:p>
    <w:p w:rsidR="00696D4A" w:rsidRDefault="00696D4A" w:rsidP="00696D4A">
      <w:pPr>
        <w:pStyle w:val="a3"/>
      </w:pPr>
      <w:r>
        <w:t>Abstract: The spatial distribution and density of scientists can have important implications for key aspects of scientific processes, such as innovation, networking, rates of knowledge exchange and success in large competitive grants. In this paper, we examine the research output of different research organizations and universities in Australia, with the aim of identifying hotspots of ecological research and how these hotspots have changed over the last 20 years. We used publications from 10 reputable peer-reviewed international journals as a measure of research output. We identified a number of ecology hotspot clusters. Some clusters have developed significantly over the last 20 years, while others have declined in output over time. The University of Sydney, University of Queensland, James Cook University and Melbourne University had the largest output levels among universities. Results also showed large increases in output over the last 5-year period (2006-2010), possibly because of the impending introduction of the Excellence in Research for Australia.</w:t>
      </w:r>
    </w:p>
    <w:p w:rsidR="00696D4A" w:rsidRDefault="00696D4A" w:rsidP="00696D4A">
      <w:pPr>
        <w:pStyle w:val="a3"/>
      </w:pPr>
      <w:r>
        <w:t>Keywords: Analysis, Australia, Bibliometric, Bibliometric Analysis, Competitive, Departments, Distribution, Ecological Research, Ecology, Economics, Excellence, Hotspot, Innovation, International, Journals, Knowledge, Measure, Peer-Reviewed, Proximity, Publications, Rates, Research, Research Output, Spatial Distribution, Sydney, Trends, Universities, University</w:t>
      </w:r>
    </w:p>
    <w:p w:rsidR="00985D5A" w:rsidRPr="001A3D2B" w:rsidRDefault="00985D5A" w:rsidP="00985D5A">
      <w:pPr>
        <w:pStyle w:val="1"/>
      </w:pPr>
      <w:r w:rsidRPr="001A3D2B">
        <w:br w:type="page"/>
      </w:r>
      <w:bookmarkStart w:id="697" w:name="_Toc420814662"/>
      <w:r w:rsidRPr="001A3D2B">
        <w:lastRenderedPageBreak/>
        <w:t xml:space="preserve">Title: </w:t>
      </w:r>
      <w:r w:rsidRPr="00AF3F39">
        <w:t>Australasian Journal</w:t>
      </w:r>
      <w:r w:rsidR="00427468">
        <w:t xml:space="preserve"> of </w:t>
      </w:r>
      <w:r w:rsidRPr="00AF3F39">
        <w:t>Educational Technology</w:t>
      </w:r>
      <w:bookmarkEnd w:id="697"/>
    </w:p>
    <w:p w:rsidR="00985D5A" w:rsidRPr="001A3D2B" w:rsidRDefault="00985D5A" w:rsidP="00985D5A">
      <w:pPr>
        <w:pStyle w:val="12"/>
      </w:pPr>
      <w:r w:rsidRPr="001A3D2B">
        <w:t xml:space="preserve">Full Journal Title: </w:t>
      </w:r>
      <w:r w:rsidRPr="00AF3F39">
        <w:rPr>
          <w:iCs/>
          <w:kern w:val="0"/>
        </w:rPr>
        <w:t>Australasian Journal</w:t>
      </w:r>
      <w:r w:rsidR="00427468">
        <w:rPr>
          <w:iCs/>
          <w:kern w:val="0"/>
        </w:rPr>
        <w:t xml:space="preserve"> of </w:t>
      </w:r>
      <w:r w:rsidRPr="00AF3F39">
        <w:rPr>
          <w:iCs/>
          <w:kern w:val="0"/>
        </w:rPr>
        <w:t>Educational Technology</w:t>
      </w:r>
    </w:p>
    <w:p w:rsidR="00985D5A" w:rsidRPr="001A3D2B" w:rsidRDefault="00985D5A" w:rsidP="00985D5A">
      <w:pPr>
        <w:pStyle w:val="12"/>
      </w:pPr>
      <w:r w:rsidRPr="001A3D2B">
        <w:t xml:space="preserve">ISO Abbreviated Title: </w:t>
      </w:r>
    </w:p>
    <w:p w:rsidR="00985D5A" w:rsidRPr="001A3D2B" w:rsidRDefault="00985D5A" w:rsidP="00985D5A">
      <w:pPr>
        <w:pStyle w:val="12"/>
      </w:pPr>
      <w:r w:rsidRPr="001A3D2B">
        <w:t xml:space="preserve">JCR Abbreviated Title: </w:t>
      </w:r>
    </w:p>
    <w:p w:rsidR="00985D5A" w:rsidRPr="001A3D2B" w:rsidRDefault="00985D5A" w:rsidP="00985D5A">
      <w:pPr>
        <w:pStyle w:val="12"/>
      </w:pPr>
      <w:r w:rsidRPr="001A3D2B">
        <w:t xml:space="preserve">ISSN: </w:t>
      </w:r>
    </w:p>
    <w:p w:rsidR="00985D5A" w:rsidRPr="001A3D2B" w:rsidRDefault="00985D5A" w:rsidP="00985D5A">
      <w:pPr>
        <w:pStyle w:val="12"/>
      </w:pPr>
      <w:r w:rsidRPr="001A3D2B">
        <w:t xml:space="preserve">Issues/Year: </w:t>
      </w:r>
    </w:p>
    <w:p w:rsidR="00985D5A" w:rsidRPr="001A3D2B" w:rsidRDefault="00985D5A" w:rsidP="00985D5A">
      <w:pPr>
        <w:pStyle w:val="12"/>
      </w:pPr>
      <w:r w:rsidRPr="001A3D2B">
        <w:t xml:space="preserve">Journal Country/Territory: </w:t>
      </w:r>
    </w:p>
    <w:p w:rsidR="00985D5A" w:rsidRPr="001A3D2B" w:rsidRDefault="00985D5A" w:rsidP="00985D5A">
      <w:pPr>
        <w:pStyle w:val="12"/>
      </w:pPr>
      <w:r w:rsidRPr="001A3D2B">
        <w:t xml:space="preserve">Language: </w:t>
      </w:r>
    </w:p>
    <w:p w:rsidR="00985D5A" w:rsidRPr="001A3D2B" w:rsidRDefault="00985D5A" w:rsidP="00985D5A">
      <w:pPr>
        <w:pStyle w:val="12"/>
      </w:pPr>
      <w:r w:rsidRPr="001A3D2B">
        <w:t xml:space="preserve">Publisher: </w:t>
      </w:r>
    </w:p>
    <w:p w:rsidR="00985D5A" w:rsidRPr="001A3D2B" w:rsidRDefault="00985D5A" w:rsidP="00985D5A">
      <w:pPr>
        <w:pStyle w:val="12"/>
      </w:pPr>
      <w:r w:rsidRPr="001A3D2B">
        <w:t xml:space="preserve">Publisher Address: </w:t>
      </w:r>
    </w:p>
    <w:p w:rsidR="00985D5A" w:rsidRPr="001A3D2B" w:rsidRDefault="00985D5A" w:rsidP="00985D5A">
      <w:pPr>
        <w:pStyle w:val="12"/>
      </w:pPr>
      <w:r w:rsidRPr="001A3D2B">
        <w:t>Subject Categories:</w:t>
      </w:r>
    </w:p>
    <w:p w:rsidR="00985D5A" w:rsidRPr="001A3D2B" w:rsidRDefault="00985D5A" w:rsidP="00985D5A">
      <w:pPr>
        <w:pStyle w:val="12"/>
      </w:pPr>
      <w:r w:rsidRPr="001A3D2B">
        <w:t xml:space="preserve">: Impact Factor </w:t>
      </w:r>
    </w:p>
    <w:p w:rsidR="008F0FE7" w:rsidRDefault="008F0FE7" w:rsidP="008F0FE7">
      <w:pPr>
        <w:pStyle w:val="a3"/>
        <w:rPr>
          <w:kern w:val="0"/>
        </w:rPr>
      </w:pPr>
      <w:r>
        <w:rPr>
          <w:rFonts w:hint="eastAsia"/>
          <w:kern w:val="0"/>
        </w:rPr>
        <w:t xml:space="preserve">? </w:t>
      </w:r>
      <w:r>
        <w:rPr>
          <w:kern w:val="0"/>
        </w:rPr>
        <w:t xml:space="preserve">Atkinson, R. (2012), Editorial 28(2) bibliometrics revisited. </w:t>
      </w:r>
      <w:r>
        <w:rPr>
          <w:i/>
          <w:iCs/>
          <w:kern w:val="0"/>
        </w:rPr>
        <w:t>Australasian Journal</w:t>
      </w:r>
      <w:r w:rsidR="00427468">
        <w:rPr>
          <w:i/>
          <w:iCs/>
          <w:kern w:val="0"/>
        </w:rPr>
        <w:t xml:space="preserve"> of </w:t>
      </w:r>
      <w:r>
        <w:rPr>
          <w:i/>
          <w:iCs/>
          <w:kern w:val="0"/>
        </w:rPr>
        <w:t>Educational Technology</w:t>
      </w:r>
      <w:r>
        <w:rPr>
          <w:kern w:val="0"/>
        </w:rPr>
        <w:t xml:space="preserve">, </w:t>
      </w:r>
      <w:r>
        <w:rPr>
          <w:b/>
          <w:bCs/>
          <w:kern w:val="0"/>
        </w:rPr>
        <w:t>28</w:t>
      </w:r>
      <w:r>
        <w:rPr>
          <w:kern w:val="0"/>
        </w:rPr>
        <w:t xml:space="preserve"> (2), </w:t>
      </w:r>
      <w:r>
        <w:rPr>
          <w:rFonts w:hint="eastAsia"/>
          <w:kern w:val="0"/>
        </w:rPr>
        <w:t>iii</w:t>
      </w:r>
      <w:r>
        <w:rPr>
          <w:kern w:val="0"/>
        </w:rPr>
        <w:t>-</w:t>
      </w:r>
      <w:r>
        <w:rPr>
          <w:rFonts w:hint="eastAsia"/>
          <w:kern w:val="0"/>
        </w:rPr>
        <w:t>iiv.</w:t>
      </w:r>
    </w:p>
    <w:p w:rsidR="008F0FE7" w:rsidRDefault="008F0FE7" w:rsidP="008F0FE7">
      <w:pPr>
        <w:pStyle w:val="a3"/>
        <w:rPr>
          <w:kern w:val="0"/>
        </w:rPr>
      </w:pPr>
      <w:r>
        <w:rPr>
          <w:rFonts w:hint="eastAsia"/>
          <w:kern w:val="0"/>
        </w:rPr>
        <w:t xml:space="preserve">Full Text: </w:t>
      </w:r>
      <w:hyperlink r:id="rId1365" w:history="1">
        <w:r w:rsidRPr="00AF3F39">
          <w:rPr>
            <w:rStyle w:val="a5"/>
            <w:kern w:val="0"/>
          </w:rPr>
          <w:t>2012\Aut J Edu Tec28-2, iii.pdf</w:t>
        </w:r>
      </w:hyperlink>
    </w:p>
    <w:p w:rsidR="008F0FE7" w:rsidRDefault="008F0FE7" w:rsidP="008F0FE7">
      <w:pPr>
        <w:pStyle w:val="a3"/>
        <w:rPr>
          <w:kern w:val="0"/>
        </w:rPr>
      </w:pPr>
      <w:r>
        <w:rPr>
          <w:kern w:val="0"/>
        </w:rPr>
        <w:t>Keywords: Bibliometrics</w:t>
      </w:r>
    </w:p>
    <w:p w:rsidR="008F0FE7" w:rsidRDefault="008F0FE7" w:rsidP="008F0FE7">
      <w:pPr>
        <w:pStyle w:val="a3"/>
        <w:rPr>
          <w:kern w:val="0"/>
        </w:rPr>
      </w:pPr>
      <w:r>
        <w:rPr>
          <w:rFonts w:hint="eastAsia"/>
          <w:kern w:val="0"/>
        </w:rPr>
        <w:t xml:space="preserve">? </w:t>
      </w:r>
      <w:r>
        <w:rPr>
          <w:kern w:val="0"/>
        </w:rPr>
        <w:t>Atkinson, R. (2012), Editorial 28(4) bibliometrics: Google</w:t>
      </w:r>
      <w:r w:rsidR="00700038">
        <w:rPr>
          <w:kern w:val="0"/>
        </w:rPr>
        <w:t>’</w:t>
      </w:r>
      <w:r>
        <w:rPr>
          <w:kern w:val="0"/>
        </w:rPr>
        <w:t xml:space="preserve">s newest initiative. </w:t>
      </w:r>
      <w:r w:rsidRPr="00AF3F39">
        <w:rPr>
          <w:i/>
          <w:iCs/>
          <w:kern w:val="0"/>
        </w:rPr>
        <w:t>Australasian Journal</w:t>
      </w:r>
      <w:r w:rsidR="00427468">
        <w:rPr>
          <w:i/>
          <w:iCs/>
          <w:kern w:val="0"/>
        </w:rPr>
        <w:t xml:space="preserve"> of </w:t>
      </w:r>
      <w:r w:rsidRPr="00AF3F39">
        <w:rPr>
          <w:i/>
          <w:iCs/>
          <w:kern w:val="0"/>
        </w:rPr>
        <w:t>Educational Technology</w:t>
      </w:r>
      <w:r>
        <w:rPr>
          <w:kern w:val="0"/>
        </w:rPr>
        <w:t xml:space="preserve">, </w:t>
      </w:r>
      <w:r>
        <w:rPr>
          <w:b/>
          <w:bCs/>
          <w:kern w:val="0"/>
        </w:rPr>
        <w:t>28</w:t>
      </w:r>
      <w:r>
        <w:rPr>
          <w:kern w:val="0"/>
        </w:rPr>
        <w:t xml:space="preserve"> (4), </w:t>
      </w:r>
      <w:r>
        <w:rPr>
          <w:rFonts w:hint="eastAsia"/>
          <w:kern w:val="0"/>
        </w:rPr>
        <w:t>iii</w:t>
      </w:r>
      <w:r>
        <w:rPr>
          <w:kern w:val="0"/>
        </w:rPr>
        <w:t>-</w:t>
      </w:r>
      <w:r>
        <w:rPr>
          <w:rFonts w:hint="eastAsia"/>
          <w:kern w:val="0"/>
        </w:rPr>
        <w:t>viii.</w:t>
      </w:r>
    </w:p>
    <w:p w:rsidR="008F0FE7" w:rsidRDefault="008F0FE7" w:rsidP="008F0FE7">
      <w:pPr>
        <w:pStyle w:val="a3"/>
        <w:rPr>
          <w:kern w:val="0"/>
        </w:rPr>
      </w:pPr>
      <w:r>
        <w:rPr>
          <w:rFonts w:hint="eastAsia"/>
          <w:kern w:val="0"/>
        </w:rPr>
        <w:t xml:space="preserve">Full Text: </w:t>
      </w:r>
      <w:hyperlink r:id="rId1366" w:history="1">
        <w:r w:rsidRPr="00AF3F39">
          <w:rPr>
            <w:rStyle w:val="a5"/>
            <w:kern w:val="0"/>
          </w:rPr>
          <w:t>2012\Aut J Edu Tec28, iii.pdf</w:t>
        </w:r>
      </w:hyperlink>
    </w:p>
    <w:p w:rsidR="008F0FE7" w:rsidRDefault="008F0FE7" w:rsidP="008F0FE7">
      <w:pPr>
        <w:pStyle w:val="a3"/>
        <w:rPr>
          <w:kern w:val="0"/>
        </w:rPr>
      </w:pPr>
      <w:r>
        <w:rPr>
          <w:kern w:val="0"/>
        </w:rPr>
        <w:t>Keywords: Bibliometrics</w:t>
      </w:r>
    </w:p>
    <w:p w:rsidR="008F0FE7" w:rsidRDefault="008F0FE7" w:rsidP="008F0FE7">
      <w:pPr>
        <w:pStyle w:val="a3"/>
        <w:rPr>
          <w:kern w:val="0"/>
        </w:rPr>
      </w:pPr>
      <w:r>
        <w:rPr>
          <w:rFonts w:hint="eastAsia"/>
          <w:kern w:val="0"/>
        </w:rPr>
        <w:t xml:space="preserve">? </w:t>
      </w:r>
      <w:r>
        <w:rPr>
          <w:kern w:val="0"/>
        </w:rPr>
        <w:t>Atkinson, R. (2012), Editorial 28(8) AJET</w:t>
      </w:r>
      <w:r w:rsidR="00700038">
        <w:rPr>
          <w:kern w:val="0"/>
        </w:rPr>
        <w:t>’</w:t>
      </w:r>
      <w:r>
        <w:rPr>
          <w:kern w:val="0"/>
        </w:rPr>
        <w:t xml:space="preserve">s ranking: Citation-based bibliometrics. </w:t>
      </w:r>
      <w:r>
        <w:rPr>
          <w:i/>
          <w:iCs/>
          <w:kern w:val="0"/>
        </w:rPr>
        <w:t>Australasian Journal</w:t>
      </w:r>
      <w:r w:rsidR="00427468">
        <w:rPr>
          <w:i/>
          <w:iCs/>
          <w:kern w:val="0"/>
        </w:rPr>
        <w:t xml:space="preserve"> of </w:t>
      </w:r>
      <w:r>
        <w:rPr>
          <w:i/>
          <w:iCs/>
          <w:kern w:val="0"/>
        </w:rPr>
        <w:t>Educational Technology</w:t>
      </w:r>
      <w:r>
        <w:rPr>
          <w:kern w:val="0"/>
        </w:rPr>
        <w:t xml:space="preserve">, </w:t>
      </w:r>
      <w:r>
        <w:rPr>
          <w:b/>
          <w:bCs/>
          <w:kern w:val="0"/>
        </w:rPr>
        <w:t>28</w:t>
      </w:r>
      <w:r>
        <w:rPr>
          <w:kern w:val="0"/>
        </w:rPr>
        <w:t xml:space="preserve"> (8), </w:t>
      </w:r>
      <w:r>
        <w:rPr>
          <w:rFonts w:hint="eastAsia"/>
          <w:kern w:val="0"/>
        </w:rPr>
        <w:t>iii</w:t>
      </w:r>
      <w:r>
        <w:rPr>
          <w:kern w:val="0"/>
        </w:rPr>
        <w:t>-</w:t>
      </w:r>
      <w:r>
        <w:rPr>
          <w:rFonts w:hint="eastAsia"/>
          <w:kern w:val="0"/>
        </w:rPr>
        <w:t>iiv.</w:t>
      </w:r>
    </w:p>
    <w:p w:rsidR="008F0FE7" w:rsidRDefault="008F0FE7" w:rsidP="008F0FE7">
      <w:pPr>
        <w:pStyle w:val="a3"/>
        <w:rPr>
          <w:kern w:val="0"/>
        </w:rPr>
      </w:pPr>
      <w:r>
        <w:rPr>
          <w:rFonts w:hint="eastAsia"/>
          <w:kern w:val="0"/>
        </w:rPr>
        <w:t xml:space="preserve">Full Text: </w:t>
      </w:r>
      <w:hyperlink r:id="rId1367" w:history="1">
        <w:r w:rsidRPr="00722170">
          <w:rPr>
            <w:rStyle w:val="a5"/>
            <w:kern w:val="0"/>
          </w:rPr>
          <w:t>2012\Aut J Edu Tec28, iii-1.pdf</w:t>
        </w:r>
      </w:hyperlink>
    </w:p>
    <w:p w:rsidR="008F0FE7" w:rsidRDefault="008F0FE7" w:rsidP="008F0FE7">
      <w:pPr>
        <w:pStyle w:val="a3"/>
        <w:rPr>
          <w:kern w:val="0"/>
        </w:rPr>
      </w:pPr>
      <w:r>
        <w:rPr>
          <w:kern w:val="0"/>
        </w:rPr>
        <w:t>Keywords: Bibliometrics</w:t>
      </w:r>
      <w:r>
        <w:rPr>
          <w:rFonts w:hint="eastAsia"/>
          <w:kern w:val="0"/>
        </w:rPr>
        <w:t xml:space="preserve">, </w:t>
      </w:r>
      <w:r>
        <w:rPr>
          <w:kern w:val="0"/>
        </w:rPr>
        <w:t>Ranking</w:t>
      </w:r>
    </w:p>
    <w:p w:rsidR="00F52A9F" w:rsidRPr="001A3D2B" w:rsidRDefault="00F52A9F" w:rsidP="00F52A9F">
      <w:pPr>
        <w:pStyle w:val="1"/>
      </w:pPr>
      <w:r w:rsidRPr="001A3D2B">
        <w:br w:type="page"/>
      </w:r>
      <w:bookmarkStart w:id="698" w:name="_Toc420814663"/>
      <w:r w:rsidRPr="001A3D2B">
        <w:lastRenderedPageBreak/>
        <w:t xml:space="preserve">Title: </w:t>
      </w:r>
      <w:r w:rsidRPr="00F52A9F">
        <w:rPr>
          <w:szCs w:val="24"/>
        </w:rPr>
        <w:t>Australasian Physical &amp; Engineering Sciences in Medicine</w:t>
      </w:r>
      <w:bookmarkEnd w:id="698"/>
    </w:p>
    <w:p w:rsidR="00F52A9F" w:rsidRPr="001A3D2B" w:rsidRDefault="00F52A9F" w:rsidP="00F52A9F">
      <w:pPr>
        <w:pStyle w:val="12"/>
      </w:pPr>
      <w:r w:rsidRPr="001A3D2B">
        <w:t xml:space="preserve">Full Journal Title: </w:t>
      </w:r>
      <w:r w:rsidRPr="00F52A9F">
        <w:rPr>
          <w:kern w:val="0"/>
        </w:rPr>
        <w:t>Australasian Physical &amp; Engineering Sciences in Medicine</w:t>
      </w:r>
    </w:p>
    <w:p w:rsidR="00F52A9F" w:rsidRPr="001A3D2B" w:rsidRDefault="00F52A9F" w:rsidP="00F52A9F">
      <w:pPr>
        <w:pStyle w:val="12"/>
      </w:pPr>
      <w:r w:rsidRPr="001A3D2B">
        <w:t xml:space="preserve">ISO Abbreviated Title: </w:t>
      </w:r>
    </w:p>
    <w:p w:rsidR="00F52A9F" w:rsidRPr="001A3D2B" w:rsidRDefault="00F52A9F" w:rsidP="00F52A9F">
      <w:pPr>
        <w:pStyle w:val="12"/>
      </w:pPr>
      <w:r w:rsidRPr="001A3D2B">
        <w:t xml:space="preserve">JCR Abbreviated Title: </w:t>
      </w:r>
    </w:p>
    <w:p w:rsidR="00F52A9F" w:rsidRPr="001A3D2B" w:rsidRDefault="00F52A9F" w:rsidP="00F52A9F">
      <w:pPr>
        <w:pStyle w:val="12"/>
      </w:pPr>
      <w:r w:rsidRPr="001A3D2B">
        <w:t xml:space="preserve">ISSN: </w:t>
      </w:r>
    </w:p>
    <w:p w:rsidR="00F52A9F" w:rsidRPr="001A3D2B" w:rsidRDefault="00F52A9F" w:rsidP="00F52A9F">
      <w:pPr>
        <w:pStyle w:val="12"/>
      </w:pPr>
      <w:r w:rsidRPr="001A3D2B">
        <w:t xml:space="preserve">Issues/Year: </w:t>
      </w:r>
    </w:p>
    <w:p w:rsidR="00F52A9F" w:rsidRPr="001A3D2B" w:rsidRDefault="00F52A9F" w:rsidP="00F52A9F">
      <w:pPr>
        <w:pStyle w:val="12"/>
      </w:pPr>
      <w:r w:rsidRPr="001A3D2B">
        <w:t xml:space="preserve">Journal Country/Territory: </w:t>
      </w:r>
    </w:p>
    <w:p w:rsidR="00F52A9F" w:rsidRPr="001A3D2B" w:rsidRDefault="00F52A9F" w:rsidP="00F52A9F">
      <w:pPr>
        <w:pStyle w:val="12"/>
      </w:pPr>
      <w:r w:rsidRPr="001A3D2B">
        <w:t xml:space="preserve">Language: </w:t>
      </w:r>
    </w:p>
    <w:p w:rsidR="00F52A9F" w:rsidRPr="001A3D2B" w:rsidRDefault="00F52A9F" w:rsidP="00F52A9F">
      <w:pPr>
        <w:pStyle w:val="12"/>
      </w:pPr>
      <w:r w:rsidRPr="001A3D2B">
        <w:t xml:space="preserve">Publisher: </w:t>
      </w:r>
    </w:p>
    <w:p w:rsidR="00F52A9F" w:rsidRPr="001A3D2B" w:rsidRDefault="00F52A9F" w:rsidP="00F52A9F">
      <w:pPr>
        <w:pStyle w:val="12"/>
      </w:pPr>
      <w:r w:rsidRPr="001A3D2B">
        <w:t xml:space="preserve">Publisher Address: </w:t>
      </w:r>
    </w:p>
    <w:p w:rsidR="00F52A9F" w:rsidRPr="001A3D2B" w:rsidRDefault="00F52A9F" w:rsidP="00F52A9F">
      <w:pPr>
        <w:pStyle w:val="12"/>
      </w:pPr>
      <w:r w:rsidRPr="001A3D2B">
        <w:t>Subject Categories:</w:t>
      </w:r>
    </w:p>
    <w:p w:rsidR="00F52A9F" w:rsidRPr="001A3D2B" w:rsidRDefault="00F52A9F" w:rsidP="00F52A9F">
      <w:pPr>
        <w:pStyle w:val="12"/>
      </w:pPr>
      <w:r w:rsidRPr="001A3D2B">
        <w:t xml:space="preserve">: Impact Factor </w:t>
      </w:r>
    </w:p>
    <w:p w:rsidR="00F52A9F" w:rsidRDefault="00F52A9F" w:rsidP="00F52A9F">
      <w:pPr>
        <w:pStyle w:val="a3"/>
        <w:rPr>
          <w:kern w:val="0"/>
          <w:szCs w:val="24"/>
        </w:rPr>
      </w:pPr>
      <w:r>
        <w:rPr>
          <w:rFonts w:hint="eastAsia"/>
          <w:kern w:val="0"/>
          <w:szCs w:val="24"/>
        </w:rPr>
        <w:t xml:space="preserve">? </w:t>
      </w:r>
      <w:r w:rsidRPr="00F52A9F">
        <w:rPr>
          <w:kern w:val="0"/>
          <w:szCs w:val="24"/>
        </w:rPr>
        <w:t>Butson, M</w:t>
      </w:r>
      <w:r>
        <w:rPr>
          <w:rFonts w:hint="eastAsia"/>
          <w:kern w:val="0"/>
          <w:szCs w:val="24"/>
        </w:rPr>
        <w:t>.</w:t>
      </w:r>
      <w:r w:rsidRPr="00F52A9F">
        <w:rPr>
          <w:kern w:val="0"/>
          <w:szCs w:val="24"/>
        </w:rPr>
        <w:t>J</w:t>
      </w:r>
      <w:r>
        <w:rPr>
          <w:rFonts w:hint="eastAsia"/>
          <w:kern w:val="0"/>
          <w:szCs w:val="24"/>
        </w:rPr>
        <w:t>.</w:t>
      </w:r>
      <w:r w:rsidR="005853A9">
        <w:rPr>
          <w:rFonts w:hint="eastAsia"/>
          <w:kern w:val="0"/>
          <w:szCs w:val="24"/>
        </w:rPr>
        <w:t xml:space="preserve"> and </w:t>
      </w:r>
      <w:r w:rsidRPr="00F52A9F">
        <w:rPr>
          <w:kern w:val="0"/>
          <w:szCs w:val="24"/>
        </w:rPr>
        <w:t>Yu, P</w:t>
      </w:r>
      <w:r>
        <w:rPr>
          <w:rFonts w:hint="eastAsia"/>
          <w:kern w:val="0"/>
          <w:szCs w:val="24"/>
        </w:rPr>
        <w:t>.</w:t>
      </w:r>
      <w:r w:rsidRPr="00F52A9F">
        <w:rPr>
          <w:kern w:val="0"/>
          <w:szCs w:val="24"/>
        </w:rPr>
        <w:t>K</w:t>
      </w:r>
      <w:r>
        <w:rPr>
          <w:rFonts w:hint="eastAsia"/>
          <w:kern w:val="0"/>
          <w:szCs w:val="24"/>
        </w:rPr>
        <w:t>.</w:t>
      </w:r>
      <w:r w:rsidRPr="00F52A9F">
        <w:rPr>
          <w:kern w:val="0"/>
          <w:szCs w:val="24"/>
        </w:rPr>
        <w:t>N</w:t>
      </w:r>
      <w:r>
        <w:rPr>
          <w:rFonts w:hint="eastAsia"/>
          <w:kern w:val="0"/>
          <w:szCs w:val="24"/>
        </w:rPr>
        <w:t>.</w:t>
      </w:r>
      <w:r>
        <w:rPr>
          <w:kern w:val="0"/>
          <w:szCs w:val="24"/>
        </w:rPr>
        <w:t xml:space="preserve"> (201</w:t>
      </w:r>
      <w:r>
        <w:rPr>
          <w:rFonts w:hint="eastAsia"/>
          <w:kern w:val="0"/>
          <w:szCs w:val="24"/>
        </w:rPr>
        <w:t>0</w:t>
      </w:r>
      <w:r w:rsidR="00F42EAC">
        <w:rPr>
          <w:kern w:val="0"/>
          <w:szCs w:val="24"/>
        </w:rPr>
        <w:t>), The</w:t>
      </w:r>
      <w:r w:rsidRPr="00F52A9F">
        <w:rPr>
          <w:kern w:val="0"/>
          <w:szCs w:val="24"/>
        </w:rPr>
        <w:t xml:space="preserve"> first author </w:t>
      </w:r>
      <w:r w:rsidR="00D5664A">
        <w:rPr>
          <w:kern w:val="0"/>
          <w:szCs w:val="24"/>
        </w:rPr>
        <w:t>h-Index</w:t>
      </w:r>
      <w:r w:rsidRPr="00F52A9F">
        <w:rPr>
          <w:kern w:val="0"/>
          <w:szCs w:val="24"/>
        </w:rPr>
        <w:t xml:space="preserve"> (h</w:t>
      </w:r>
      <w:r w:rsidR="005D3DBF">
        <w:rPr>
          <w:rFonts w:hint="eastAsia"/>
          <w:kern w:val="0"/>
          <w:szCs w:val="24"/>
          <w:vertAlign w:val="subscript"/>
        </w:rPr>
        <w:t>fa</w:t>
      </w:r>
      <w:r w:rsidRPr="00F52A9F">
        <w:rPr>
          <w:kern w:val="0"/>
          <w:szCs w:val="24"/>
        </w:rPr>
        <w:t>-index): Levelling the field for small</w:t>
      </w:r>
      <w:r w:rsidR="005853A9">
        <w:rPr>
          <w:kern w:val="0"/>
          <w:szCs w:val="24"/>
        </w:rPr>
        <w:t xml:space="preserve"> and </w:t>
      </w:r>
      <w:r w:rsidRPr="00F52A9F">
        <w:rPr>
          <w:kern w:val="0"/>
          <w:szCs w:val="24"/>
        </w:rPr>
        <w:t>large institute medical</w:t>
      </w:r>
      <w:r w:rsidR="005853A9">
        <w:rPr>
          <w:kern w:val="0"/>
          <w:szCs w:val="24"/>
        </w:rPr>
        <w:t xml:space="preserve"> and </w:t>
      </w:r>
      <w:r w:rsidRPr="00F52A9F">
        <w:rPr>
          <w:kern w:val="0"/>
          <w:szCs w:val="24"/>
        </w:rPr>
        <w:t>science scholars</w:t>
      </w:r>
      <w:r>
        <w:rPr>
          <w:kern w:val="0"/>
          <w:szCs w:val="24"/>
        </w:rPr>
        <w:t xml:space="preserve">. </w:t>
      </w:r>
      <w:r w:rsidRPr="00F52A9F">
        <w:rPr>
          <w:i/>
          <w:kern w:val="0"/>
          <w:szCs w:val="24"/>
        </w:rPr>
        <w:t>Australasian Physical &amp; Engineering Sciences in Medicine</w:t>
      </w:r>
      <w:r>
        <w:rPr>
          <w:kern w:val="0"/>
          <w:szCs w:val="24"/>
        </w:rPr>
        <w:t xml:space="preserve">, </w:t>
      </w:r>
      <w:r>
        <w:rPr>
          <w:rFonts w:hint="eastAsia"/>
          <w:b/>
          <w:bCs/>
          <w:kern w:val="0"/>
          <w:szCs w:val="24"/>
        </w:rPr>
        <w:t>33</w:t>
      </w:r>
      <w:r>
        <w:rPr>
          <w:kern w:val="0"/>
          <w:szCs w:val="24"/>
        </w:rPr>
        <w:t xml:space="preserve"> (</w:t>
      </w:r>
      <w:r>
        <w:rPr>
          <w:rFonts w:hint="eastAsia"/>
          <w:kern w:val="0"/>
          <w:szCs w:val="24"/>
        </w:rPr>
        <w:t>4</w:t>
      </w:r>
      <w:r>
        <w:rPr>
          <w:kern w:val="0"/>
          <w:szCs w:val="24"/>
        </w:rPr>
        <w:t xml:space="preserve">), </w:t>
      </w:r>
      <w:r w:rsidRPr="00F52A9F">
        <w:rPr>
          <w:kern w:val="0"/>
          <w:szCs w:val="24"/>
        </w:rPr>
        <w:t>299-300</w:t>
      </w:r>
      <w:r>
        <w:rPr>
          <w:kern w:val="0"/>
          <w:szCs w:val="24"/>
        </w:rPr>
        <w:t>.</w:t>
      </w:r>
    </w:p>
    <w:p w:rsidR="00F52A9F" w:rsidRDefault="00F52A9F" w:rsidP="00F52A9F">
      <w:pPr>
        <w:pStyle w:val="a3"/>
        <w:rPr>
          <w:kern w:val="0"/>
          <w:szCs w:val="24"/>
        </w:rPr>
      </w:pPr>
      <w:r>
        <w:rPr>
          <w:rFonts w:hint="eastAsia"/>
          <w:kern w:val="0"/>
          <w:szCs w:val="24"/>
        </w:rPr>
        <w:t xml:space="preserve">Full Text: </w:t>
      </w:r>
      <w:hyperlink r:id="rId1368" w:history="1">
        <w:r w:rsidR="005D3DBF" w:rsidRPr="005D3DBF">
          <w:rPr>
            <w:rStyle w:val="a5"/>
            <w:kern w:val="0"/>
            <w:szCs w:val="24"/>
          </w:rPr>
          <w:t>2010\Aus Phy Eng Sci Med33, 299.pdf</w:t>
        </w:r>
      </w:hyperlink>
    </w:p>
    <w:p w:rsidR="00F52A9F" w:rsidRDefault="00F52A9F" w:rsidP="00F52A9F">
      <w:pPr>
        <w:pStyle w:val="a3"/>
        <w:rPr>
          <w:kern w:val="0"/>
          <w:szCs w:val="24"/>
        </w:rPr>
      </w:pPr>
      <w:r>
        <w:rPr>
          <w:kern w:val="0"/>
          <w:szCs w:val="24"/>
        </w:rPr>
        <w:t>Keywords: Scientists</w:t>
      </w:r>
    </w:p>
    <w:p w:rsidR="00F91897" w:rsidRPr="001A3D2B" w:rsidRDefault="00F91897" w:rsidP="00F91897">
      <w:pPr>
        <w:pStyle w:val="1"/>
      </w:pPr>
      <w:r w:rsidRPr="001A3D2B">
        <w:br w:type="page"/>
      </w:r>
      <w:bookmarkStart w:id="699" w:name="_Toc420814664"/>
      <w:r w:rsidRPr="001A3D2B">
        <w:lastRenderedPageBreak/>
        <w:t xml:space="preserve">Title: </w:t>
      </w:r>
      <w:r w:rsidRPr="00F91897">
        <w:rPr>
          <w:szCs w:val="24"/>
        </w:rPr>
        <w:t>Australasian Plant Pathology</w:t>
      </w:r>
      <w:bookmarkEnd w:id="699"/>
    </w:p>
    <w:p w:rsidR="00F91897" w:rsidRPr="001A3D2B" w:rsidRDefault="00F91897" w:rsidP="00F91897">
      <w:pPr>
        <w:pStyle w:val="12"/>
      </w:pPr>
      <w:r w:rsidRPr="001A3D2B">
        <w:t xml:space="preserve">Full Journal Title: </w:t>
      </w:r>
      <w:r w:rsidRPr="00F91897">
        <w:rPr>
          <w:kern w:val="0"/>
        </w:rPr>
        <w:t>Australasian Plant Pathology</w:t>
      </w:r>
    </w:p>
    <w:p w:rsidR="00F91897" w:rsidRPr="001A3D2B" w:rsidRDefault="00F91897" w:rsidP="00F91897">
      <w:pPr>
        <w:pStyle w:val="12"/>
      </w:pPr>
      <w:r w:rsidRPr="001A3D2B">
        <w:t xml:space="preserve">ISO Abbreviated Title: </w:t>
      </w:r>
    </w:p>
    <w:p w:rsidR="00F91897" w:rsidRPr="001A3D2B" w:rsidRDefault="00F91897" w:rsidP="00F91897">
      <w:pPr>
        <w:pStyle w:val="12"/>
      </w:pPr>
      <w:r w:rsidRPr="001A3D2B">
        <w:t xml:space="preserve">JCR Abbreviated Title: </w:t>
      </w:r>
    </w:p>
    <w:p w:rsidR="00F91897" w:rsidRPr="001A3D2B" w:rsidRDefault="00F91897" w:rsidP="00F91897">
      <w:pPr>
        <w:pStyle w:val="12"/>
      </w:pPr>
      <w:r w:rsidRPr="001A3D2B">
        <w:t xml:space="preserve">ISSN: </w:t>
      </w:r>
    </w:p>
    <w:p w:rsidR="00F91897" w:rsidRPr="001A3D2B" w:rsidRDefault="00F91897" w:rsidP="00F91897">
      <w:pPr>
        <w:pStyle w:val="12"/>
      </w:pPr>
      <w:r w:rsidRPr="001A3D2B">
        <w:t xml:space="preserve">Issues/Year: </w:t>
      </w:r>
    </w:p>
    <w:p w:rsidR="00F91897" w:rsidRPr="001A3D2B" w:rsidRDefault="00F91897" w:rsidP="00F91897">
      <w:pPr>
        <w:pStyle w:val="12"/>
      </w:pPr>
      <w:r w:rsidRPr="001A3D2B">
        <w:t xml:space="preserve">Journal Country/Territory: </w:t>
      </w:r>
    </w:p>
    <w:p w:rsidR="00F91897" w:rsidRPr="001A3D2B" w:rsidRDefault="00F91897" w:rsidP="00F91897">
      <w:pPr>
        <w:pStyle w:val="12"/>
      </w:pPr>
      <w:r w:rsidRPr="001A3D2B">
        <w:t xml:space="preserve">Language: </w:t>
      </w:r>
    </w:p>
    <w:p w:rsidR="00F91897" w:rsidRPr="001A3D2B" w:rsidRDefault="00F91897" w:rsidP="00F91897">
      <w:pPr>
        <w:pStyle w:val="12"/>
      </w:pPr>
      <w:r w:rsidRPr="001A3D2B">
        <w:t xml:space="preserve">Publisher: </w:t>
      </w:r>
    </w:p>
    <w:p w:rsidR="00F91897" w:rsidRPr="001A3D2B" w:rsidRDefault="00F91897" w:rsidP="00F91897">
      <w:pPr>
        <w:pStyle w:val="12"/>
      </w:pPr>
      <w:r w:rsidRPr="001A3D2B">
        <w:t xml:space="preserve">Publisher Address: </w:t>
      </w:r>
    </w:p>
    <w:p w:rsidR="00F91897" w:rsidRPr="001A3D2B" w:rsidRDefault="00F91897" w:rsidP="00F91897">
      <w:pPr>
        <w:pStyle w:val="12"/>
      </w:pPr>
      <w:r w:rsidRPr="001A3D2B">
        <w:t>Subject Categories:</w:t>
      </w:r>
    </w:p>
    <w:p w:rsidR="00F91897" w:rsidRPr="001A3D2B" w:rsidRDefault="00F91897" w:rsidP="00F91897">
      <w:pPr>
        <w:pStyle w:val="12"/>
      </w:pPr>
      <w:r w:rsidRPr="001A3D2B">
        <w:t xml:space="preserve">: Impact Factor </w:t>
      </w:r>
    </w:p>
    <w:p w:rsidR="00F91897" w:rsidRDefault="00F91897" w:rsidP="00F91897">
      <w:pPr>
        <w:pStyle w:val="a3"/>
        <w:rPr>
          <w:kern w:val="0"/>
          <w:szCs w:val="24"/>
        </w:rPr>
      </w:pPr>
      <w:r>
        <w:rPr>
          <w:rFonts w:hint="eastAsia"/>
          <w:kern w:val="0"/>
          <w:szCs w:val="24"/>
        </w:rPr>
        <w:t>Notes: JJournal</w:t>
      </w:r>
    </w:p>
    <w:p w:rsidR="00F91897" w:rsidRDefault="00F91897" w:rsidP="00F91897">
      <w:pPr>
        <w:pStyle w:val="a3"/>
        <w:rPr>
          <w:kern w:val="0"/>
          <w:szCs w:val="24"/>
        </w:rPr>
      </w:pPr>
      <w:r>
        <w:rPr>
          <w:rFonts w:hint="eastAsia"/>
          <w:kern w:val="0"/>
          <w:szCs w:val="24"/>
        </w:rPr>
        <w:t xml:space="preserve">? </w:t>
      </w:r>
      <w:r>
        <w:rPr>
          <w:kern w:val="0"/>
          <w:szCs w:val="24"/>
        </w:rPr>
        <w:t>Calver, M.C., O</w:t>
      </w:r>
      <w:r w:rsidR="00700038">
        <w:rPr>
          <w:kern w:val="0"/>
          <w:szCs w:val="24"/>
        </w:rPr>
        <w:t>’</w:t>
      </w:r>
      <w:r>
        <w:rPr>
          <w:kern w:val="0"/>
          <w:szCs w:val="24"/>
        </w:rPr>
        <w:t>Brien, P.A.</w:t>
      </w:r>
      <w:r w:rsidR="005853A9">
        <w:rPr>
          <w:kern w:val="0"/>
          <w:szCs w:val="24"/>
        </w:rPr>
        <w:t xml:space="preserve"> and </w:t>
      </w:r>
      <w:r>
        <w:rPr>
          <w:kern w:val="0"/>
          <w:szCs w:val="24"/>
        </w:rPr>
        <w:t xml:space="preserve">Lilith, M. (2012), </w:t>
      </w:r>
      <w:r w:rsidRPr="00F91897">
        <w:rPr>
          <w:i/>
          <w:kern w:val="0"/>
          <w:szCs w:val="24"/>
        </w:rPr>
        <w:t>Australasian Plant Pathology</w:t>
      </w:r>
      <w:r>
        <w:rPr>
          <w:kern w:val="0"/>
          <w:szCs w:val="24"/>
        </w:rPr>
        <w:t>: An analysis</w:t>
      </w:r>
      <w:r w:rsidR="00427468">
        <w:rPr>
          <w:kern w:val="0"/>
          <w:szCs w:val="24"/>
        </w:rPr>
        <w:t xml:space="preserve"> of </w:t>
      </w:r>
      <w:r>
        <w:rPr>
          <w:kern w:val="0"/>
          <w:szCs w:val="24"/>
        </w:rPr>
        <w:t>authorship</w:t>
      </w:r>
      <w:r w:rsidR="005853A9">
        <w:rPr>
          <w:kern w:val="0"/>
          <w:szCs w:val="24"/>
        </w:rPr>
        <w:t xml:space="preserve"> and </w:t>
      </w:r>
      <w:r>
        <w:rPr>
          <w:kern w:val="0"/>
          <w:szCs w:val="24"/>
        </w:rPr>
        <w:t>citations in</w:t>
      </w:r>
      <w:r w:rsidR="003A1917">
        <w:rPr>
          <w:kern w:val="0"/>
          <w:szCs w:val="24"/>
        </w:rPr>
        <w:t xml:space="preserve"> the </w:t>
      </w:r>
      <w:r>
        <w:rPr>
          <w:kern w:val="0"/>
          <w:szCs w:val="24"/>
        </w:rPr>
        <w:t xml:space="preserve">21st century. </w:t>
      </w:r>
      <w:r>
        <w:rPr>
          <w:i/>
          <w:iCs/>
          <w:kern w:val="0"/>
          <w:szCs w:val="24"/>
        </w:rPr>
        <w:t>Australasian Plant Pathology</w:t>
      </w:r>
      <w:r>
        <w:rPr>
          <w:kern w:val="0"/>
          <w:szCs w:val="24"/>
        </w:rPr>
        <w:t xml:space="preserve">, </w:t>
      </w:r>
      <w:r>
        <w:rPr>
          <w:b/>
          <w:bCs/>
          <w:kern w:val="0"/>
          <w:szCs w:val="24"/>
        </w:rPr>
        <w:t>41</w:t>
      </w:r>
      <w:r>
        <w:rPr>
          <w:kern w:val="0"/>
          <w:szCs w:val="24"/>
        </w:rPr>
        <w:t xml:space="preserve"> (2), 179-187.</w:t>
      </w:r>
    </w:p>
    <w:p w:rsidR="00F91897" w:rsidRDefault="00F91897" w:rsidP="00F91897">
      <w:pPr>
        <w:pStyle w:val="a3"/>
        <w:rPr>
          <w:kern w:val="0"/>
          <w:szCs w:val="24"/>
        </w:rPr>
      </w:pPr>
      <w:r>
        <w:rPr>
          <w:rFonts w:hint="eastAsia"/>
          <w:kern w:val="0"/>
          <w:szCs w:val="24"/>
        </w:rPr>
        <w:t xml:space="preserve">Full Text: </w:t>
      </w:r>
      <w:hyperlink r:id="rId1369" w:history="1">
        <w:r w:rsidRPr="00F91897">
          <w:rPr>
            <w:rStyle w:val="a5"/>
            <w:kern w:val="0"/>
            <w:szCs w:val="24"/>
          </w:rPr>
          <w:t>2012\Aus Pla Pat41, 179.pdf</w:t>
        </w:r>
      </w:hyperlink>
    </w:p>
    <w:p w:rsidR="00F91897" w:rsidRDefault="00F91897" w:rsidP="00F91897">
      <w:pPr>
        <w:pStyle w:val="a3"/>
        <w:rPr>
          <w:kern w:val="0"/>
          <w:szCs w:val="24"/>
        </w:rPr>
      </w:pPr>
      <w:r>
        <w:rPr>
          <w:kern w:val="0"/>
          <w:szCs w:val="24"/>
        </w:rPr>
        <w:t>Abstract: To better inform editorial planning, we analysed Australasian Plant Pathology</w:t>
      </w:r>
      <w:r w:rsidR="00700038">
        <w:rPr>
          <w:kern w:val="0"/>
          <w:szCs w:val="24"/>
        </w:rPr>
        <w:t>’</w:t>
      </w:r>
      <w:r>
        <w:rPr>
          <w:kern w:val="0"/>
          <w:szCs w:val="24"/>
        </w:rPr>
        <w:t>s (APP) authorship</w:t>
      </w:r>
      <w:r w:rsidR="005853A9">
        <w:rPr>
          <w:kern w:val="0"/>
          <w:szCs w:val="24"/>
        </w:rPr>
        <w:t xml:space="preserve"> and </w:t>
      </w:r>
      <w:r>
        <w:rPr>
          <w:kern w:val="0"/>
          <w:szCs w:val="24"/>
        </w:rPr>
        <w:t>readership 2001-2010. Authors came from Australia (57%</w:t>
      </w:r>
      <w:r w:rsidR="00F42EAC">
        <w:rPr>
          <w:kern w:val="0"/>
          <w:szCs w:val="24"/>
        </w:rPr>
        <w:t>), The</w:t>
      </w:r>
      <w:r w:rsidR="003A1917">
        <w:rPr>
          <w:kern w:val="0"/>
          <w:szCs w:val="24"/>
        </w:rPr>
        <w:t xml:space="preserve"> </w:t>
      </w:r>
      <w:r>
        <w:rPr>
          <w:kern w:val="0"/>
          <w:szCs w:val="24"/>
        </w:rPr>
        <w:t xml:space="preserve">Americas (Canada, </w:t>
      </w:r>
      <w:r w:rsidR="00D5664A">
        <w:rPr>
          <w:kern w:val="0"/>
          <w:szCs w:val="24"/>
        </w:rPr>
        <w:t>USA</w:t>
      </w:r>
      <w:r w:rsidR="005853A9">
        <w:rPr>
          <w:kern w:val="0"/>
          <w:szCs w:val="24"/>
        </w:rPr>
        <w:t xml:space="preserve"> and </w:t>
      </w:r>
      <w:r>
        <w:rPr>
          <w:kern w:val="0"/>
          <w:szCs w:val="24"/>
        </w:rPr>
        <w:t>South American countries) (11%), New Zealand (7%), other Pacific</w:t>
      </w:r>
      <w:r w:rsidR="005853A9">
        <w:rPr>
          <w:kern w:val="0"/>
          <w:szCs w:val="24"/>
        </w:rPr>
        <w:t xml:space="preserve"> and </w:t>
      </w:r>
      <w:r>
        <w:rPr>
          <w:kern w:val="0"/>
          <w:szCs w:val="24"/>
        </w:rPr>
        <w:t>Asian countries (9%), Europe (5%)</w:t>
      </w:r>
      <w:r w:rsidR="005853A9">
        <w:rPr>
          <w:kern w:val="0"/>
          <w:szCs w:val="24"/>
        </w:rPr>
        <w:t xml:space="preserve"> and </w:t>
      </w:r>
      <w:r>
        <w:rPr>
          <w:kern w:val="0"/>
          <w:szCs w:val="24"/>
        </w:rPr>
        <w:t>other nations (11%), with</w:t>
      </w:r>
      <w:r w:rsidR="003A1917">
        <w:rPr>
          <w:kern w:val="0"/>
          <w:szCs w:val="24"/>
        </w:rPr>
        <w:t xml:space="preserve"> the </w:t>
      </w:r>
      <w:r>
        <w:rPr>
          <w:kern w:val="0"/>
          <w:szCs w:val="24"/>
        </w:rPr>
        <w:t>Australian contribution declining over</w:t>
      </w:r>
      <w:r w:rsidR="003A1917">
        <w:rPr>
          <w:kern w:val="0"/>
          <w:szCs w:val="24"/>
        </w:rPr>
        <w:t xml:space="preserve"> the </w:t>
      </w:r>
      <w:r>
        <w:rPr>
          <w:kern w:val="0"/>
          <w:szCs w:val="24"/>
        </w:rPr>
        <w:t>decade. Most authors were government employees (55% overall), but this category declined from 58% in 2001 to 46% in 2010. Academic authors (40% in 2001 to 49% in 2010)</w:t>
      </w:r>
      <w:r w:rsidR="005853A9">
        <w:rPr>
          <w:kern w:val="0"/>
          <w:szCs w:val="24"/>
        </w:rPr>
        <w:t xml:space="preserve"> and </w:t>
      </w:r>
      <w:r>
        <w:rPr>
          <w:kern w:val="0"/>
          <w:szCs w:val="24"/>
        </w:rPr>
        <w:t>other authors (2% in 2001 to 5% in 2010) increased. Using Scopus (December 2010), &gt;= 73%</w:t>
      </w:r>
      <w:r w:rsidR="00427468">
        <w:rPr>
          <w:kern w:val="0"/>
          <w:szCs w:val="24"/>
        </w:rPr>
        <w:t xml:space="preserve"> of </w:t>
      </w:r>
      <w:r>
        <w:rPr>
          <w:kern w:val="0"/>
          <w:szCs w:val="24"/>
        </w:rPr>
        <w:t>papers between 2001</w:t>
      </w:r>
      <w:r w:rsidR="005853A9">
        <w:rPr>
          <w:kern w:val="0"/>
          <w:szCs w:val="24"/>
        </w:rPr>
        <w:t xml:space="preserve"> and </w:t>
      </w:r>
      <w:r>
        <w:rPr>
          <w:kern w:val="0"/>
          <w:szCs w:val="24"/>
        </w:rPr>
        <w:t>2007 were cited &gt;= 1, declining to 19% in 2010. Authors citing APP came from 114 countries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sidR="00700038">
        <w:rPr>
          <w:kern w:val="0"/>
          <w:szCs w:val="24"/>
        </w:rPr>
        <w:t>’</w:t>
      </w:r>
      <w:r>
        <w:rPr>
          <w:kern w:val="0"/>
          <w:szCs w:val="24"/>
        </w:rPr>
        <w:t xml:space="preserve">s cited reference feature, December 2010). Compared to 23 plant pathology journals over 2002-2007, APP ranked 15th over 10 journal </w:t>
      </w:r>
      <w:r w:rsidR="00D5664A">
        <w:rPr>
          <w:kern w:val="0"/>
          <w:szCs w:val="24"/>
        </w:rPr>
        <w:t>USA</w:t>
      </w:r>
      <w:r>
        <w:rPr>
          <w:kern w:val="0"/>
          <w:szCs w:val="24"/>
        </w:rPr>
        <w:t>ge statistics. In cluster analysis APP was closest to Journal</w:t>
      </w:r>
      <w:r w:rsidR="00427468">
        <w:rPr>
          <w:kern w:val="0"/>
          <w:szCs w:val="24"/>
        </w:rPr>
        <w:t xml:space="preserve"> of </w:t>
      </w:r>
      <w:r>
        <w:rPr>
          <w:kern w:val="0"/>
          <w:szCs w:val="24"/>
        </w:rPr>
        <w:t>Phytopathology, Forest Pathology</w:t>
      </w:r>
      <w:r w:rsidR="005853A9">
        <w:rPr>
          <w:kern w:val="0"/>
          <w:szCs w:val="24"/>
        </w:rPr>
        <w:t xml:space="preserve"> and </w:t>
      </w:r>
      <w:r>
        <w:rPr>
          <w:kern w:val="0"/>
          <w:szCs w:val="24"/>
        </w:rPr>
        <w:t>Canadian Journal</w:t>
      </w:r>
      <w:r w:rsidR="00427468">
        <w:rPr>
          <w:kern w:val="0"/>
          <w:szCs w:val="24"/>
        </w:rPr>
        <w:t xml:space="preserve"> of </w:t>
      </w:r>
      <w:r>
        <w:rPr>
          <w:kern w:val="0"/>
          <w:szCs w:val="24"/>
        </w:rPr>
        <w:t>Plant Pathology. Given its increasing proportion</w:t>
      </w:r>
      <w:r w:rsidR="00427468">
        <w:rPr>
          <w:kern w:val="0"/>
          <w:szCs w:val="24"/>
        </w:rPr>
        <w:t xml:space="preserve"> of </w:t>
      </w:r>
      <w:r>
        <w:rPr>
          <w:kern w:val="0"/>
          <w:szCs w:val="24"/>
        </w:rPr>
        <w:t>authors from outside Australia,</w:t>
      </w:r>
      <w:r w:rsidR="003A1917">
        <w:rPr>
          <w:kern w:val="0"/>
          <w:szCs w:val="24"/>
        </w:rPr>
        <w:t xml:space="preserve"> the </w:t>
      </w:r>
      <w:r>
        <w:rPr>
          <w:kern w:val="0"/>
          <w:szCs w:val="24"/>
        </w:rPr>
        <w:t>many countries citing it</w:t>
      </w:r>
      <w:r w:rsidR="005853A9">
        <w:rPr>
          <w:kern w:val="0"/>
          <w:szCs w:val="24"/>
        </w:rPr>
        <w:t xml:space="preserve"> and </w:t>
      </w:r>
      <w:r>
        <w:rPr>
          <w:kern w:val="0"/>
          <w:szCs w:val="24"/>
        </w:rPr>
        <w:t xml:space="preserve">its </w:t>
      </w:r>
      <w:r w:rsidR="00D5664A">
        <w:rPr>
          <w:kern w:val="0"/>
          <w:szCs w:val="24"/>
        </w:rPr>
        <w:t>USA</w:t>
      </w:r>
      <w:r>
        <w:rPr>
          <w:kern w:val="0"/>
          <w:szCs w:val="24"/>
        </w:rPr>
        <w:t>ge relative to similar journals, APP makes a broad regional contribution with global recognition</w:t>
      </w:r>
      <w:r w:rsidR="00A37C1D">
        <w:rPr>
          <w:kern w:val="0"/>
          <w:szCs w:val="24"/>
        </w:rPr>
        <w:t>. The</w:t>
      </w:r>
      <w:r w:rsidR="003A1917">
        <w:rPr>
          <w:kern w:val="0"/>
          <w:szCs w:val="24"/>
        </w:rPr>
        <w:t xml:space="preserve"> </w:t>
      </w:r>
      <w:r>
        <w:rPr>
          <w:kern w:val="0"/>
          <w:szCs w:val="24"/>
        </w:rPr>
        <w:t>editorial challenge is to identify</w:t>
      </w:r>
      <w:r w:rsidR="005853A9">
        <w:rPr>
          <w:kern w:val="0"/>
          <w:szCs w:val="24"/>
        </w:rPr>
        <w:t xml:space="preserve"> and </w:t>
      </w:r>
      <w:r>
        <w:rPr>
          <w:kern w:val="0"/>
          <w:szCs w:val="24"/>
        </w:rPr>
        <w:t>solicit</w:t>
      </w:r>
      <w:r w:rsidR="003A1917">
        <w:rPr>
          <w:kern w:val="0"/>
          <w:szCs w:val="24"/>
        </w:rPr>
        <w:t xml:space="preserve"> the </w:t>
      </w:r>
      <w:r w:rsidR="00700038">
        <w:rPr>
          <w:kern w:val="0"/>
          <w:szCs w:val="24"/>
        </w:rPr>
        <w:t>‘</w:t>
      </w:r>
      <w:r>
        <w:rPr>
          <w:kern w:val="0"/>
          <w:szCs w:val="24"/>
        </w:rPr>
        <w:t>new</w:t>
      </w:r>
      <w:r w:rsidR="005853A9">
        <w:rPr>
          <w:kern w:val="0"/>
          <w:szCs w:val="24"/>
        </w:rPr>
        <w:t xml:space="preserve"> and </w:t>
      </w:r>
      <w:r>
        <w:rPr>
          <w:kern w:val="0"/>
          <w:szCs w:val="24"/>
        </w:rPr>
        <w:t>significant work</w:t>
      </w:r>
      <w:r w:rsidR="00700038">
        <w:rPr>
          <w:kern w:val="0"/>
          <w:szCs w:val="24"/>
        </w:rPr>
        <w:t>’</w:t>
      </w:r>
      <w:r>
        <w:rPr>
          <w:kern w:val="0"/>
          <w:szCs w:val="24"/>
        </w:rPr>
        <w:t xml:space="preserve"> that</w:t>
      </w:r>
      <w:r w:rsidR="003A1917">
        <w:rPr>
          <w:kern w:val="0"/>
          <w:szCs w:val="24"/>
        </w:rPr>
        <w:t xml:space="preserve"> the </w:t>
      </w:r>
      <w:r>
        <w:rPr>
          <w:kern w:val="0"/>
          <w:szCs w:val="24"/>
        </w:rPr>
        <w:t>journal web site claims to prioritise for publication.</w:t>
      </w:r>
    </w:p>
    <w:p w:rsidR="00F91897" w:rsidRDefault="00F91897" w:rsidP="00F91897">
      <w:pPr>
        <w:pStyle w:val="a3"/>
        <w:rPr>
          <w:kern w:val="0"/>
          <w:szCs w:val="24"/>
        </w:rPr>
      </w:pPr>
      <w:r>
        <w:rPr>
          <w:kern w:val="0"/>
          <w:szCs w:val="24"/>
        </w:rPr>
        <w:t xml:space="preserve">Keywords: Analysis, Asian, Australasian Plant Pathology, Australia, Australian, Authors, Authorship, Bibliometrics, Canada, Challenge, Citation, Citations, Cluster, </w:t>
      </w:r>
      <w:r>
        <w:rPr>
          <w:kern w:val="0"/>
          <w:szCs w:val="24"/>
        </w:rPr>
        <w:lastRenderedPageBreak/>
        <w:t>Cluster Analysis, Conservation-Biology, Countries, Crown Rot, Decline, Europe, Feature, Global, Identification</w:t>
      </w:r>
      <w:r w:rsidR="00D5664A">
        <w:rPr>
          <w:kern w:val="0"/>
          <w:szCs w:val="24"/>
        </w:rPr>
        <w:t>, ISI,</w:t>
      </w:r>
      <w:r>
        <w:rPr>
          <w:kern w:val="0"/>
          <w:szCs w:val="24"/>
        </w:rPr>
        <w:t xml:space="preserve"> Journal, Journal Impact Factor, Journals, Nations, New Zealand, Papers, Pathogenicity, Pathology, Phaeomoniella-Chlamydospora, Planning, Plant, Publication, Rankings, Reference, Regional, Science, Scopus, Site, SJR, Snip, Soilborne Diseases, Statistics, </w:t>
      </w:r>
      <w:r w:rsidR="00D5664A">
        <w:rPr>
          <w:kern w:val="0"/>
          <w:szCs w:val="24"/>
        </w:rPr>
        <w:t>USA</w:t>
      </w:r>
      <w:r>
        <w:rPr>
          <w:kern w:val="0"/>
          <w:szCs w:val="24"/>
        </w:rPr>
        <w:t>, Web, Work</w:t>
      </w:r>
    </w:p>
    <w:p w:rsidR="00B96D38" w:rsidRPr="001A3D2B" w:rsidRDefault="00B96D38" w:rsidP="00B96D38">
      <w:pPr>
        <w:pStyle w:val="1"/>
      </w:pPr>
      <w:r w:rsidRPr="001A3D2B">
        <w:br w:type="page"/>
      </w:r>
      <w:bookmarkStart w:id="700" w:name="_Toc420814665"/>
      <w:r w:rsidRPr="001A3D2B">
        <w:lastRenderedPageBreak/>
        <w:t xml:space="preserve">Title: </w:t>
      </w:r>
      <w:r w:rsidRPr="00B96D38">
        <w:t>Australasian Psychiatry</w:t>
      </w:r>
      <w:bookmarkEnd w:id="700"/>
    </w:p>
    <w:p w:rsidR="00B96D38" w:rsidRPr="001A3D2B" w:rsidRDefault="00B96D38" w:rsidP="00B96D38">
      <w:pPr>
        <w:pStyle w:val="12"/>
      </w:pPr>
      <w:r w:rsidRPr="001A3D2B">
        <w:t xml:space="preserve">Full Journal Title: </w:t>
      </w:r>
      <w:r w:rsidRPr="00B96D38">
        <w:rPr>
          <w:iCs/>
          <w:kern w:val="0"/>
        </w:rPr>
        <w:t>Australasian Psychiatry</w:t>
      </w:r>
    </w:p>
    <w:p w:rsidR="00B96D38" w:rsidRPr="001A3D2B" w:rsidRDefault="00B96D38" w:rsidP="00B96D38">
      <w:pPr>
        <w:pStyle w:val="12"/>
      </w:pPr>
      <w:r w:rsidRPr="001A3D2B">
        <w:t xml:space="preserve">ISO Abbreviated Title: </w:t>
      </w:r>
    </w:p>
    <w:p w:rsidR="00B96D38" w:rsidRPr="001A3D2B" w:rsidRDefault="00B96D38" w:rsidP="00B96D38">
      <w:pPr>
        <w:pStyle w:val="12"/>
      </w:pPr>
      <w:r w:rsidRPr="001A3D2B">
        <w:t xml:space="preserve">JCR Abbreviated Title: </w:t>
      </w:r>
    </w:p>
    <w:p w:rsidR="00B96D38" w:rsidRPr="001A3D2B" w:rsidRDefault="00B96D38" w:rsidP="00B96D38">
      <w:pPr>
        <w:pStyle w:val="12"/>
      </w:pPr>
      <w:r w:rsidRPr="001A3D2B">
        <w:t xml:space="preserve">ISSN: </w:t>
      </w:r>
    </w:p>
    <w:p w:rsidR="00B96D38" w:rsidRPr="001A3D2B" w:rsidRDefault="00B96D38" w:rsidP="00B96D38">
      <w:pPr>
        <w:pStyle w:val="12"/>
      </w:pPr>
      <w:r w:rsidRPr="001A3D2B">
        <w:t xml:space="preserve">Issues/Year: </w:t>
      </w:r>
    </w:p>
    <w:p w:rsidR="00B96D38" w:rsidRPr="001A3D2B" w:rsidRDefault="00B96D38" w:rsidP="00B96D38">
      <w:pPr>
        <w:pStyle w:val="12"/>
      </w:pPr>
      <w:r w:rsidRPr="001A3D2B">
        <w:t xml:space="preserve">Journal Country/Territory: </w:t>
      </w:r>
    </w:p>
    <w:p w:rsidR="00B96D38" w:rsidRPr="001A3D2B" w:rsidRDefault="00B96D38" w:rsidP="00B96D38">
      <w:pPr>
        <w:pStyle w:val="12"/>
      </w:pPr>
      <w:r w:rsidRPr="001A3D2B">
        <w:t xml:space="preserve">Language: </w:t>
      </w:r>
    </w:p>
    <w:p w:rsidR="00B96D38" w:rsidRPr="001A3D2B" w:rsidRDefault="00B96D38" w:rsidP="00B96D38">
      <w:pPr>
        <w:pStyle w:val="12"/>
      </w:pPr>
      <w:r w:rsidRPr="001A3D2B">
        <w:t xml:space="preserve">Publisher: </w:t>
      </w:r>
    </w:p>
    <w:p w:rsidR="00B96D38" w:rsidRPr="001A3D2B" w:rsidRDefault="00B96D38" w:rsidP="00B96D38">
      <w:pPr>
        <w:pStyle w:val="12"/>
      </w:pPr>
      <w:r w:rsidRPr="001A3D2B">
        <w:t xml:space="preserve">Publisher Address: </w:t>
      </w:r>
    </w:p>
    <w:p w:rsidR="00B96D38" w:rsidRPr="001A3D2B" w:rsidRDefault="00B96D38" w:rsidP="00B96D38">
      <w:pPr>
        <w:pStyle w:val="12"/>
      </w:pPr>
      <w:r w:rsidRPr="001A3D2B">
        <w:t>Subject Categories:</w:t>
      </w:r>
    </w:p>
    <w:p w:rsidR="00B96D38" w:rsidRPr="001A3D2B" w:rsidRDefault="00B96D38" w:rsidP="00B96D38">
      <w:pPr>
        <w:pStyle w:val="12"/>
      </w:pPr>
      <w:r w:rsidRPr="001A3D2B">
        <w:t xml:space="preserve">: Impact Factor </w:t>
      </w:r>
    </w:p>
    <w:p w:rsidR="00B96D38" w:rsidRDefault="00B96D38" w:rsidP="00B96D38">
      <w:pPr>
        <w:pStyle w:val="a3"/>
        <w:rPr>
          <w:kern w:val="0"/>
        </w:rPr>
      </w:pPr>
      <w:r>
        <w:rPr>
          <w:rFonts w:hint="eastAsia"/>
          <w:kern w:val="0"/>
        </w:rPr>
        <w:t xml:space="preserve">? </w:t>
      </w:r>
      <w:r>
        <w:rPr>
          <w:kern w:val="0"/>
        </w:rPr>
        <w:t>Lopez-Munoz, F., Castle, D., Shen, W., Moreno, R., Huelves, L., Perez-Nieto, M., Noriega, C., Rubio, G., Molina, J.</w:t>
      </w:r>
      <w:r w:rsidR="005853A9">
        <w:rPr>
          <w:kern w:val="0"/>
        </w:rPr>
        <w:t xml:space="preserve"> and </w:t>
      </w:r>
      <w:r>
        <w:rPr>
          <w:kern w:val="0"/>
        </w:rPr>
        <w:t xml:space="preserve">Alamo, C. (2013), The Australian contribution to the literature on atypical antipsychotic drugs: A bibliometric study. </w:t>
      </w:r>
      <w:r w:rsidRPr="00B96D38">
        <w:rPr>
          <w:i/>
          <w:iCs/>
          <w:kern w:val="0"/>
        </w:rPr>
        <w:t>Australasian Psychiatry</w:t>
      </w:r>
      <w:r>
        <w:rPr>
          <w:kern w:val="0"/>
        </w:rPr>
        <w:t xml:space="preserve">, </w:t>
      </w:r>
      <w:r>
        <w:rPr>
          <w:b/>
          <w:bCs/>
          <w:kern w:val="0"/>
        </w:rPr>
        <w:t>21</w:t>
      </w:r>
      <w:r>
        <w:rPr>
          <w:kern w:val="0"/>
        </w:rPr>
        <w:t xml:space="preserve"> (4), 343-345.</w:t>
      </w:r>
    </w:p>
    <w:p w:rsidR="00B96D38" w:rsidRDefault="00B96D38" w:rsidP="00B96D38">
      <w:pPr>
        <w:pStyle w:val="a3"/>
        <w:rPr>
          <w:kern w:val="0"/>
        </w:rPr>
      </w:pPr>
      <w:r>
        <w:rPr>
          <w:rFonts w:hint="eastAsia"/>
          <w:kern w:val="0"/>
        </w:rPr>
        <w:t xml:space="preserve">Full Text: </w:t>
      </w:r>
      <w:hyperlink r:id="rId1370" w:history="1">
        <w:r w:rsidRPr="00B96D38">
          <w:rPr>
            <w:rStyle w:val="a5"/>
            <w:kern w:val="0"/>
          </w:rPr>
          <w:t>2013\Aus Psy21, 343.pdf</w:t>
        </w:r>
      </w:hyperlink>
    </w:p>
    <w:p w:rsidR="00B96D38" w:rsidRDefault="00B96D38" w:rsidP="00B96D38">
      <w:pPr>
        <w:pStyle w:val="a3"/>
        <w:rPr>
          <w:kern w:val="0"/>
        </w:rPr>
      </w:pPr>
      <w:r>
        <w:rPr>
          <w:kern w:val="0"/>
        </w:rPr>
        <w:t>Abstract: Objective: We performed a bibliometric study on scientific publications on atypical antipsychotic drugs (AADs) from Australia. Methods: Using the EMBASE</w:t>
      </w:r>
      <w:r w:rsidR="005853A9">
        <w:rPr>
          <w:kern w:val="0"/>
        </w:rPr>
        <w:t xml:space="preserve"> and </w:t>
      </w:r>
      <w:r w:rsidR="00D5664A">
        <w:rPr>
          <w:kern w:val="0"/>
        </w:rPr>
        <w:t>MEDLINE</w:t>
      </w:r>
      <w:r>
        <w:rPr>
          <w:kern w:val="0"/>
        </w:rPr>
        <w:t xml:space="preserve"> databases, we chose those documents produced in Australia between 1993</w:t>
      </w:r>
      <w:r w:rsidR="005853A9">
        <w:rPr>
          <w:kern w:val="0"/>
        </w:rPr>
        <w:t xml:space="preserve"> and </w:t>
      </w:r>
      <w:r>
        <w:rPr>
          <w:kern w:val="0"/>
        </w:rPr>
        <w:t>2011, whose title included the descriptors atypic* (atypical*), antipsychotic*, second-generation antipsychotic*, clozapine, risperidone, olanzapine, ziprasidone, quetiapine, sertindole, aripiprazole, paliperidone, amisulpride, zotepine, asenapine, iloperidone, lurasidone, perospirone</w:t>
      </w:r>
      <w:r w:rsidR="005853A9">
        <w:rPr>
          <w:kern w:val="0"/>
        </w:rPr>
        <w:t xml:space="preserve"> and </w:t>
      </w:r>
      <w:r>
        <w:rPr>
          <w:kern w:val="0"/>
        </w:rPr>
        <w:t>blonanserin. We applied bibliometric indicators</w:t>
      </w:r>
      <w:r w:rsidR="00427468">
        <w:rPr>
          <w:kern w:val="0"/>
        </w:rPr>
        <w:t xml:space="preserve"> of </w:t>
      </w:r>
      <w:r>
        <w:rPr>
          <w:kern w:val="0"/>
        </w:rPr>
        <w:t>production as well as dispersion. Results: We identified 438 relevant publications</w:t>
      </w:r>
      <w:r w:rsidR="00A37C1D">
        <w:rPr>
          <w:kern w:val="0"/>
        </w:rPr>
        <w:t>. The</w:t>
      </w:r>
      <w:r>
        <w:rPr>
          <w:kern w:val="0"/>
        </w:rPr>
        <w:t xml:space="preserve"> most widely studied AADs were clozapine (162 documents), olanzapine (103), risperidone (77)</w:t>
      </w:r>
      <w:r w:rsidR="005853A9">
        <w:rPr>
          <w:kern w:val="0"/>
        </w:rPr>
        <w:t xml:space="preserve"> and </w:t>
      </w:r>
      <w:r>
        <w:rPr>
          <w:kern w:val="0"/>
        </w:rPr>
        <w:t>quetiapine (42)</w:t>
      </w:r>
      <w:r w:rsidR="00A37C1D">
        <w:rPr>
          <w:kern w:val="0"/>
        </w:rPr>
        <w:t>. The</w:t>
      </w:r>
      <w:r>
        <w:rPr>
          <w:kern w:val="0"/>
        </w:rPr>
        <w:t>re was a lack</w:t>
      </w:r>
      <w:r w:rsidR="00427468">
        <w:rPr>
          <w:kern w:val="0"/>
        </w:rPr>
        <w:t xml:space="preserve"> of </w:t>
      </w:r>
      <w:r>
        <w:rPr>
          <w:kern w:val="0"/>
        </w:rPr>
        <w:t>exponential growth in publications over time, indicated by non-fulfilment</w:t>
      </w:r>
      <w:r w:rsidR="00427468">
        <w:rPr>
          <w:kern w:val="0"/>
        </w:rPr>
        <w:t xml:space="preserve"> of </w:t>
      </w:r>
      <w:r>
        <w:rPr>
          <w:kern w:val="0"/>
        </w:rPr>
        <w:t>Price</w:t>
      </w:r>
      <w:r w:rsidR="00700038">
        <w:rPr>
          <w:kern w:val="0"/>
        </w:rPr>
        <w:t>’</w:t>
      </w:r>
      <w:r>
        <w:rPr>
          <w:kern w:val="0"/>
        </w:rPr>
        <w:t>s Law (correlation coefficient r=0.9195 after exponential adjustment vs. r=0.9253 after linear adjustment). Publications appeared in 148 different journals, with four</w:t>
      </w:r>
      <w:r w:rsidR="00427468">
        <w:rPr>
          <w:kern w:val="0"/>
        </w:rPr>
        <w:t xml:space="preserve"> of </w:t>
      </w:r>
      <w:r>
        <w:rPr>
          <w:kern w:val="0"/>
        </w:rPr>
        <w:t>the top nine journals having an impact factor greater than 3; 84</w:t>
      </w:r>
      <w:r w:rsidR="00427468">
        <w:rPr>
          <w:kern w:val="0"/>
        </w:rPr>
        <w:t xml:space="preserve"> of </w:t>
      </w:r>
      <w:r>
        <w:rPr>
          <w:kern w:val="0"/>
        </w:rPr>
        <w:t>the articles appeared in the Australian</w:t>
      </w:r>
      <w:r w:rsidR="005853A9">
        <w:rPr>
          <w:kern w:val="0"/>
        </w:rPr>
        <w:t xml:space="preserve"> and </w:t>
      </w:r>
      <w:r>
        <w:rPr>
          <w:kern w:val="0"/>
        </w:rPr>
        <w:t>New Zealand Journal</w:t>
      </w:r>
      <w:r w:rsidR="00427468">
        <w:rPr>
          <w:kern w:val="0"/>
        </w:rPr>
        <w:t xml:space="preserve"> of </w:t>
      </w:r>
      <w:r>
        <w:rPr>
          <w:kern w:val="0"/>
        </w:rPr>
        <w:t>Psychiatry. Conclusion: Despite Australian publications on AADs appearing in reasonably high impact journals, most were confined to a single Australian psychiatry journal</w:t>
      </w:r>
      <w:r w:rsidR="005853A9">
        <w:rPr>
          <w:kern w:val="0"/>
        </w:rPr>
        <w:t xml:space="preserve"> and </w:t>
      </w:r>
      <w:r>
        <w:rPr>
          <w:kern w:val="0"/>
        </w:rPr>
        <w:t>overall publications did not show exponential growth over the period studied. This might reflect, inter alia, the relative paucity</w:t>
      </w:r>
      <w:r w:rsidR="00427468">
        <w:rPr>
          <w:kern w:val="0"/>
        </w:rPr>
        <w:t xml:space="preserve"> of </w:t>
      </w:r>
      <w:r>
        <w:rPr>
          <w:kern w:val="0"/>
        </w:rPr>
        <w:t>medication trials being performed in Australia.</w:t>
      </w:r>
    </w:p>
    <w:p w:rsidR="00B96D38" w:rsidRDefault="00B96D38" w:rsidP="00B96D38">
      <w:pPr>
        <w:pStyle w:val="a3"/>
        <w:rPr>
          <w:kern w:val="0"/>
        </w:rPr>
      </w:pPr>
      <w:r>
        <w:rPr>
          <w:kern w:val="0"/>
        </w:rPr>
        <w:lastRenderedPageBreak/>
        <w:t xml:space="preserve">Keywords: Article, Atypical Antipsychotic, Atypical Antipsychotics, Australia, Australian, Bibliometric, Bibliometric Indicators, Bibliometric Study, Bibliometry, Bipolar Disorder, Cities, City, Clozapine, Correlation, Correlation Coefficient, Databases, Dispersion, Drugs, Embase, England, Growth, Impact, Impact Factor, Indicators, Journal, Journals, Law, Literature, London, Madrid, </w:t>
      </w:r>
      <w:r w:rsidR="00D5664A">
        <w:rPr>
          <w:kern w:val="0"/>
        </w:rPr>
        <w:t>MEDLINE</w:t>
      </w:r>
      <w:r>
        <w:rPr>
          <w:kern w:val="0"/>
        </w:rPr>
        <w:t>, Methods, New Zealand, Olanzapine, Psychiatry, Publication, Publications, Quetiapine, Results, Risperidone, Road, Schizophrenia, Scientific Publications, Spain, Ziprasidone</w:t>
      </w:r>
    </w:p>
    <w:p w:rsidR="00754DAB" w:rsidRDefault="00754DAB" w:rsidP="00754DAB">
      <w:pPr>
        <w:pStyle w:val="a3"/>
        <w:rPr>
          <w:kern w:val="0"/>
          <w:szCs w:val="24"/>
        </w:rPr>
      </w:pPr>
      <w:r>
        <w:rPr>
          <w:rFonts w:hint="eastAsia"/>
          <w:kern w:val="0"/>
          <w:szCs w:val="24"/>
        </w:rPr>
        <w:t xml:space="preserve">? </w:t>
      </w:r>
      <w:r>
        <w:rPr>
          <w:kern w:val="0"/>
          <w:szCs w:val="24"/>
        </w:rPr>
        <w:t>Tam, P.</w:t>
      </w:r>
      <w:r w:rsidR="005853A9">
        <w:rPr>
          <w:kern w:val="0"/>
          <w:szCs w:val="24"/>
        </w:rPr>
        <w:t xml:space="preserve"> and </w:t>
      </w:r>
      <w:r>
        <w:rPr>
          <w:kern w:val="0"/>
          <w:szCs w:val="24"/>
        </w:rPr>
        <w:t>Walter, G. (2013), Problematic internet use in childhood</w:t>
      </w:r>
      <w:r w:rsidR="005853A9">
        <w:rPr>
          <w:kern w:val="0"/>
          <w:szCs w:val="24"/>
        </w:rPr>
        <w:t xml:space="preserve"> and </w:t>
      </w:r>
      <w:r>
        <w:rPr>
          <w:kern w:val="0"/>
          <w:szCs w:val="24"/>
        </w:rPr>
        <w:t>youth: Evolution</w:t>
      </w:r>
      <w:r w:rsidR="00427468">
        <w:rPr>
          <w:kern w:val="0"/>
          <w:szCs w:val="24"/>
        </w:rPr>
        <w:t xml:space="preserve"> of </w:t>
      </w:r>
      <w:r>
        <w:rPr>
          <w:kern w:val="0"/>
          <w:szCs w:val="24"/>
        </w:rPr>
        <w:t>a 21</w:t>
      </w:r>
      <w:r w:rsidRPr="00754DAB">
        <w:rPr>
          <w:kern w:val="0"/>
          <w:szCs w:val="24"/>
          <w:vertAlign w:val="superscript"/>
        </w:rPr>
        <w:t>st</w:t>
      </w:r>
      <w:r>
        <w:rPr>
          <w:kern w:val="0"/>
          <w:szCs w:val="24"/>
        </w:rPr>
        <w:t xml:space="preserve"> century affliction. </w:t>
      </w:r>
      <w:r>
        <w:rPr>
          <w:i/>
          <w:iCs/>
          <w:kern w:val="0"/>
          <w:szCs w:val="24"/>
        </w:rPr>
        <w:t>Australasian Psychiatry</w:t>
      </w:r>
      <w:r>
        <w:rPr>
          <w:kern w:val="0"/>
          <w:szCs w:val="24"/>
        </w:rPr>
        <w:t xml:space="preserve">, </w:t>
      </w:r>
      <w:r>
        <w:rPr>
          <w:b/>
          <w:bCs/>
          <w:kern w:val="0"/>
          <w:szCs w:val="24"/>
        </w:rPr>
        <w:t>21</w:t>
      </w:r>
      <w:r>
        <w:rPr>
          <w:kern w:val="0"/>
          <w:szCs w:val="24"/>
        </w:rPr>
        <w:t xml:space="preserve"> (6), 533-536.</w:t>
      </w:r>
    </w:p>
    <w:p w:rsidR="00754DAB" w:rsidRDefault="00754DAB" w:rsidP="00754DAB">
      <w:pPr>
        <w:pStyle w:val="a3"/>
        <w:rPr>
          <w:kern w:val="0"/>
        </w:rPr>
      </w:pPr>
      <w:r>
        <w:rPr>
          <w:rFonts w:hint="eastAsia"/>
          <w:kern w:val="0"/>
        </w:rPr>
        <w:t xml:space="preserve">Full Text: </w:t>
      </w:r>
      <w:hyperlink r:id="rId1371" w:history="1">
        <w:r w:rsidRPr="00754DAB">
          <w:rPr>
            <w:rStyle w:val="a5"/>
            <w:kern w:val="0"/>
          </w:rPr>
          <w:t>2013\Aus Psy21, 533.pdf</w:t>
        </w:r>
      </w:hyperlink>
    </w:p>
    <w:p w:rsidR="00754DAB" w:rsidRDefault="00754DAB" w:rsidP="00754DAB">
      <w:pPr>
        <w:pStyle w:val="a3"/>
        <w:rPr>
          <w:kern w:val="0"/>
          <w:szCs w:val="24"/>
        </w:rPr>
      </w:pPr>
      <w:r>
        <w:rPr>
          <w:kern w:val="0"/>
          <w:szCs w:val="24"/>
        </w:rPr>
        <w:t>Abstract: Objective: To describe the emergence of,</w:t>
      </w:r>
      <w:r w:rsidR="005853A9">
        <w:rPr>
          <w:kern w:val="0"/>
          <w:szCs w:val="24"/>
        </w:rPr>
        <w:t xml:space="preserve"> and </w:t>
      </w:r>
      <w:r>
        <w:rPr>
          <w:kern w:val="0"/>
          <w:szCs w:val="24"/>
        </w:rPr>
        <w:t>myriad issues pertaining to, problematic internet use in childhood</w:t>
      </w:r>
      <w:r w:rsidR="005853A9">
        <w:rPr>
          <w:kern w:val="0"/>
          <w:szCs w:val="24"/>
        </w:rPr>
        <w:t xml:space="preserve"> and </w:t>
      </w:r>
      <w:r>
        <w:rPr>
          <w:kern w:val="0"/>
          <w:szCs w:val="24"/>
        </w:rPr>
        <w:t>youth. In this overview</w:t>
      </w:r>
      <w:r w:rsidR="005853A9">
        <w:rPr>
          <w:kern w:val="0"/>
          <w:szCs w:val="24"/>
        </w:rPr>
        <w:t xml:space="preserve"> and </w:t>
      </w:r>
      <w:r>
        <w:rPr>
          <w:kern w:val="0"/>
          <w:szCs w:val="24"/>
        </w:rPr>
        <w:t>appraisal</w:t>
      </w:r>
      <w:r w:rsidR="00427468">
        <w:rPr>
          <w:kern w:val="0"/>
          <w:szCs w:val="24"/>
        </w:rPr>
        <w:t xml:space="preserve"> of </w:t>
      </w:r>
      <w:r>
        <w:rPr>
          <w:kern w:val="0"/>
          <w:szCs w:val="24"/>
        </w:rPr>
        <w:t>a uniquely 21st century affliction, the focus is on youth</w:t>
      </w:r>
      <w:r w:rsidR="005853A9">
        <w:rPr>
          <w:kern w:val="0"/>
          <w:szCs w:val="24"/>
        </w:rPr>
        <w:t xml:space="preserve"> and </w:t>
      </w:r>
      <w:r>
        <w:rPr>
          <w:kern w:val="0"/>
          <w:szCs w:val="24"/>
        </w:rPr>
        <w:t>less on young adult perspectives. Conclusions: We employed relevant literature-search methodology though EMBASE, Psychinfo</w:t>
      </w:r>
      <w:r w:rsidR="005853A9">
        <w:rPr>
          <w:kern w:val="0"/>
          <w:szCs w:val="24"/>
        </w:rPr>
        <w:t xml:space="preserve"> and </w:t>
      </w:r>
      <w:r w:rsidR="00D5664A">
        <w:rPr>
          <w:kern w:val="0"/>
          <w:szCs w:val="24"/>
        </w:rPr>
        <w:t>Web</w:t>
      </w:r>
      <w:r w:rsidR="00427468">
        <w:rPr>
          <w:kern w:val="0"/>
          <w:szCs w:val="24"/>
        </w:rPr>
        <w:t xml:space="preserve"> of </w:t>
      </w:r>
      <w:r w:rsidR="00D5664A">
        <w:rPr>
          <w:kern w:val="0"/>
          <w:szCs w:val="24"/>
        </w:rPr>
        <w:t>Science</w:t>
      </w:r>
      <w:r>
        <w:rPr>
          <w:kern w:val="0"/>
          <w:szCs w:val="24"/>
        </w:rPr>
        <w:t>, utilising the key terms</w:t>
      </w:r>
      <w:r w:rsidR="00427468">
        <w:rPr>
          <w:kern w:val="0"/>
          <w:szCs w:val="24"/>
        </w:rPr>
        <w:t xml:space="preserve"> of </w:t>
      </w:r>
      <w:r>
        <w:rPr>
          <w:kern w:val="0"/>
          <w:szCs w:val="24"/>
        </w:rPr>
        <w:t>PIU, internet addiction</w:t>
      </w:r>
      <w:r w:rsidR="005853A9">
        <w:rPr>
          <w:kern w:val="0"/>
          <w:szCs w:val="24"/>
        </w:rPr>
        <w:t xml:space="preserve"> and </w:t>
      </w:r>
      <w:r>
        <w:rPr>
          <w:kern w:val="0"/>
          <w:szCs w:val="24"/>
        </w:rPr>
        <w:t>youth mental health,</w:t>
      </w:r>
      <w:r w:rsidR="005853A9">
        <w:rPr>
          <w:kern w:val="0"/>
          <w:szCs w:val="24"/>
        </w:rPr>
        <w:t xml:space="preserve"> and </w:t>
      </w:r>
      <w:r>
        <w:rPr>
          <w:kern w:val="0"/>
          <w:szCs w:val="24"/>
        </w:rPr>
        <w:t>present a selection</w:t>
      </w:r>
      <w:r w:rsidR="00427468">
        <w:rPr>
          <w:kern w:val="0"/>
          <w:szCs w:val="24"/>
        </w:rPr>
        <w:t xml:space="preserve"> of </w:t>
      </w:r>
      <w:r>
        <w:rPr>
          <w:kern w:val="0"/>
          <w:szCs w:val="24"/>
        </w:rPr>
        <w:t>the pioneering</w:t>
      </w:r>
      <w:r w:rsidR="005853A9">
        <w:rPr>
          <w:kern w:val="0"/>
          <w:szCs w:val="24"/>
        </w:rPr>
        <w:t xml:space="preserve"> and </w:t>
      </w:r>
      <w:r>
        <w:rPr>
          <w:kern w:val="0"/>
          <w:szCs w:val="24"/>
        </w:rPr>
        <w:t>important research developments both nationally</w:t>
      </w:r>
      <w:r w:rsidR="005853A9">
        <w:rPr>
          <w:kern w:val="0"/>
          <w:szCs w:val="24"/>
        </w:rPr>
        <w:t xml:space="preserve"> and </w:t>
      </w:r>
      <w:r>
        <w:rPr>
          <w:kern w:val="0"/>
          <w:szCs w:val="24"/>
        </w:rPr>
        <w:t>internationally. We focused on the literature from the past 10 years, but we also included relevant early developments in the field going back to the 1990s. We also made reference, where appropriate, to major considerations</w:t>
      </w:r>
      <w:r w:rsidR="00427468">
        <w:rPr>
          <w:kern w:val="0"/>
          <w:szCs w:val="24"/>
        </w:rPr>
        <w:t xml:space="preserve"> of </w:t>
      </w:r>
      <w:r>
        <w:rPr>
          <w:kern w:val="0"/>
          <w:szCs w:val="24"/>
        </w:rPr>
        <w:t>relevance to the general public, where these were reported in reputable international news</w:t>
      </w:r>
      <w:r w:rsidR="005853A9">
        <w:rPr>
          <w:kern w:val="0"/>
          <w:szCs w:val="24"/>
        </w:rPr>
        <w:t xml:space="preserve"> and </w:t>
      </w:r>
      <w:r>
        <w:rPr>
          <w:kern w:val="0"/>
          <w:szCs w:val="24"/>
        </w:rPr>
        <w:t>media organisations</w:t>
      </w:r>
      <w:r w:rsidR="00A37C1D">
        <w:rPr>
          <w:kern w:val="0"/>
          <w:szCs w:val="24"/>
        </w:rPr>
        <w:t>. The</w:t>
      </w:r>
      <w:r>
        <w:rPr>
          <w:kern w:val="0"/>
          <w:szCs w:val="24"/>
        </w:rPr>
        <w:t xml:space="preserve"> authors utilised common internet search engines to access these news reports. It was found that the complex, novel</w:t>
      </w:r>
      <w:r w:rsidR="005853A9">
        <w:rPr>
          <w:kern w:val="0"/>
          <w:szCs w:val="24"/>
        </w:rPr>
        <w:t xml:space="preserve"> and </w:t>
      </w:r>
      <w:r>
        <w:rPr>
          <w:kern w:val="0"/>
          <w:szCs w:val="24"/>
        </w:rPr>
        <w:t>at times controversial concept</w:t>
      </w:r>
      <w:r w:rsidR="00427468">
        <w:rPr>
          <w:kern w:val="0"/>
          <w:szCs w:val="24"/>
        </w:rPr>
        <w:t xml:space="preserve"> of </w:t>
      </w:r>
      <w:r>
        <w:rPr>
          <w:kern w:val="0"/>
          <w:szCs w:val="24"/>
        </w:rPr>
        <w:t>problematic internet use</w:t>
      </w:r>
      <w:r w:rsidR="00700038">
        <w:rPr>
          <w:kern w:val="0"/>
          <w:szCs w:val="24"/>
        </w:rPr>
        <w:t>’</w:t>
      </w:r>
      <w:r>
        <w:rPr>
          <w:kern w:val="0"/>
          <w:szCs w:val="24"/>
        </w:rPr>
        <w:t xml:space="preserve"> (PIU) - often popularly dubbed internet addiction</w:t>
      </w:r>
      <w:r w:rsidR="00700038">
        <w:rPr>
          <w:kern w:val="0"/>
          <w:szCs w:val="24"/>
        </w:rPr>
        <w:t>’</w:t>
      </w:r>
      <w:r>
        <w:rPr>
          <w:kern w:val="0"/>
          <w:szCs w:val="24"/>
        </w:rPr>
        <w:t xml:space="preserve"> - has attracted much public, media</w:t>
      </w:r>
      <w:r w:rsidR="005853A9">
        <w:rPr>
          <w:kern w:val="0"/>
          <w:szCs w:val="24"/>
        </w:rPr>
        <w:t xml:space="preserve"> and </w:t>
      </w:r>
      <w:r>
        <w:rPr>
          <w:kern w:val="0"/>
          <w:szCs w:val="24"/>
        </w:rPr>
        <w:t>research interest, particularly over the past decade. In common with many other afflictions that have a prominent pop-cultural</w:t>
      </w:r>
      <w:r w:rsidR="00700038">
        <w:rPr>
          <w:kern w:val="0"/>
          <w:szCs w:val="24"/>
        </w:rPr>
        <w:t>’</w:t>
      </w:r>
      <w:r>
        <w:rPr>
          <w:kern w:val="0"/>
          <w:szCs w:val="24"/>
        </w:rPr>
        <w:t xml:space="preserve"> component, often the commentary</w:t>
      </w:r>
      <w:r w:rsidR="005853A9">
        <w:rPr>
          <w:kern w:val="0"/>
          <w:szCs w:val="24"/>
        </w:rPr>
        <w:t xml:space="preserve"> and </w:t>
      </w:r>
      <w:r>
        <w:rPr>
          <w:kern w:val="0"/>
          <w:szCs w:val="24"/>
        </w:rPr>
        <w:t>debate has been polarising, unclear</w:t>
      </w:r>
      <w:r w:rsidR="005853A9">
        <w:rPr>
          <w:kern w:val="0"/>
          <w:szCs w:val="24"/>
        </w:rPr>
        <w:t xml:space="preserve"> and </w:t>
      </w:r>
      <w:r>
        <w:rPr>
          <w:kern w:val="0"/>
          <w:szCs w:val="24"/>
        </w:rPr>
        <w:t>sensationalist. At times, more light than heat appears to be generated.</w:t>
      </w:r>
    </w:p>
    <w:p w:rsidR="00754DAB" w:rsidRDefault="00754DAB" w:rsidP="00754DAB">
      <w:pPr>
        <w:pStyle w:val="a3"/>
        <w:rPr>
          <w:kern w:val="0"/>
          <w:szCs w:val="24"/>
        </w:rPr>
      </w:pPr>
      <w:r>
        <w:rPr>
          <w:kern w:val="0"/>
          <w:szCs w:val="24"/>
        </w:rPr>
        <w:t xml:space="preserve">Keywords: Access, Addiction, Adult, Article, Australia, Authors, Childhood, Cities, City, Computer Use, Concept, Cybertechnology, Embase, England, Evolution, Field, General, Health, International, Internet Addiction, Internet Safety, Issues, Literature, Literature Search, London, Media, Mental Health, Methodology, P, Problematic Internet Use, Psychiatry, Public, Publication, Publications, Reference, Relevance, Research, Road, Science, Selection, </w:t>
      </w:r>
      <w:r w:rsidR="00D5664A">
        <w:rPr>
          <w:kern w:val="0"/>
          <w:szCs w:val="24"/>
        </w:rPr>
        <w:t>Web</w:t>
      </w:r>
      <w:r w:rsidR="00427468">
        <w:rPr>
          <w:kern w:val="0"/>
          <w:szCs w:val="24"/>
        </w:rPr>
        <w:t xml:space="preserve"> of </w:t>
      </w:r>
      <w:r w:rsidR="00D5664A">
        <w:rPr>
          <w:kern w:val="0"/>
          <w:szCs w:val="24"/>
        </w:rPr>
        <w:t>Science</w:t>
      </w:r>
      <w:r>
        <w:rPr>
          <w:kern w:val="0"/>
          <w:szCs w:val="24"/>
        </w:rPr>
        <w:t>, Young Adult, Youth</w:t>
      </w:r>
    </w:p>
    <w:p w:rsidR="00B2573F" w:rsidRPr="001A3D2B" w:rsidRDefault="00B2573F" w:rsidP="00B2573F">
      <w:pPr>
        <w:pStyle w:val="1"/>
      </w:pPr>
      <w:r w:rsidRPr="001A3D2B">
        <w:br w:type="page"/>
      </w:r>
      <w:bookmarkStart w:id="701" w:name="_Toc420814666"/>
      <w:r w:rsidRPr="001A3D2B">
        <w:lastRenderedPageBreak/>
        <w:t xml:space="preserve">Title: </w:t>
      </w:r>
      <w:r w:rsidRPr="001A3D2B">
        <w:rPr>
          <w:iCs w:val="0"/>
        </w:rPr>
        <w:t>Australian Academic &amp; Research Libraries</w:t>
      </w:r>
      <w:bookmarkEnd w:id="701"/>
    </w:p>
    <w:p w:rsidR="00B2573F" w:rsidRPr="001A3D2B" w:rsidRDefault="00B2573F" w:rsidP="00B2573F">
      <w:pPr>
        <w:pStyle w:val="12"/>
      </w:pPr>
      <w:r w:rsidRPr="001A3D2B">
        <w:t xml:space="preserve">Full Journal Title: </w:t>
      </w:r>
      <w:r w:rsidRPr="001A3D2B">
        <w:rPr>
          <w:iCs/>
          <w:kern w:val="0"/>
        </w:rPr>
        <w:t>Australian Academic &amp; Research Libraries</w:t>
      </w:r>
    </w:p>
    <w:p w:rsidR="00B2573F" w:rsidRPr="001A3D2B" w:rsidRDefault="00B2573F" w:rsidP="00B2573F">
      <w:pPr>
        <w:pStyle w:val="12"/>
      </w:pPr>
      <w:r w:rsidRPr="001A3D2B">
        <w:t xml:space="preserve">ISO Abbreviated Title: </w:t>
      </w:r>
    </w:p>
    <w:p w:rsidR="00B2573F" w:rsidRPr="001A3D2B" w:rsidRDefault="00B2573F" w:rsidP="00B2573F">
      <w:pPr>
        <w:pStyle w:val="12"/>
      </w:pPr>
      <w:r w:rsidRPr="001A3D2B">
        <w:t xml:space="preserve">JCR Abbreviated Title: </w:t>
      </w:r>
    </w:p>
    <w:p w:rsidR="00B2573F" w:rsidRPr="001A3D2B" w:rsidRDefault="00B2573F" w:rsidP="00B2573F">
      <w:pPr>
        <w:pStyle w:val="12"/>
      </w:pPr>
      <w:r w:rsidRPr="001A3D2B">
        <w:t xml:space="preserve">ISSN: </w:t>
      </w:r>
    </w:p>
    <w:p w:rsidR="00B2573F" w:rsidRPr="001A3D2B" w:rsidRDefault="00B2573F" w:rsidP="00B2573F">
      <w:pPr>
        <w:pStyle w:val="12"/>
      </w:pPr>
      <w:r w:rsidRPr="001A3D2B">
        <w:t xml:space="preserve">Issues/Year: </w:t>
      </w:r>
    </w:p>
    <w:p w:rsidR="00B2573F" w:rsidRPr="001A3D2B" w:rsidRDefault="00B2573F" w:rsidP="00B2573F">
      <w:pPr>
        <w:pStyle w:val="12"/>
      </w:pPr>
      <w:r w:rsidRPr="001A3D2B">
        <w:t xml:space="preserve">Journal Country/Territory: </w:t>
      </w:r>
    </w:p>
    <w:p w:rsidR="00B2573F" w:rsidRPr="001A3D2B" w:rsidRDefault="00B2573F" w:rsidP="00B2573F">
      <w:pPr>
        <w:pStyle w:val="12"/>
      </w:pPr>
      <w:r w:rsidRPr="001A3D2B">
        <w:t xml:space="preserve">Language: </w:t>
      </w:r>
    </w:p>
    <w:p w:rsidR="00B2573F" w:rsidRPr="001A3D2B" w:rsidRDefault="00B2573F" w:rsidP="00B2573F">
      <w:pPr>
        <w:pStyle w:val="12"/>
      </w:pPr>
      <w:r w:rsidRPr="001A3D2B">
        <w:t xml:space="preserve">Publisher: </w:t>
      </w:r>
    </w:p>
    <w:p w:rsidR="00B2573F" w:rsidRPr="001A3D2B" w:rsidRDefault="00B2573F" w:rsidP="00B2573F">
      <w:pPr>
        <w:pStyle w:val="12"/>
      </w:pPr>
      <w:r w:rsidRPr="001A3D2B">
        <w:t xml:space="preserve">Publisher Address: </w:t>
      </w:r>
    </w:p>
    <w:p w:rsidR="00B2573F" w:rsidRPr="001A3D2B" w:rsidRDefault="00B2573F" w:rsidP="00B2573F">
      <w:pPr>
        <w:pStyle w:val="12"/>
      </w:pPr>
      <w:r w:rsidRPr="001A3D2B">
        <w:t>Subject Categories:</w:t>
      </w:r>
    </w:p>
    <w:p w:rsidR="00B2573F" w:rsidRPr="001A3D2B" w:rsidRDefault="00B2573F" w:rsidP="00B2573F">
      <w:pPr>
        <w:pStyle w:val="12"/>
      </w:pPr>
      <w:r w:rsidRPr="001A3D2B">
        <w:t xml:space="preserve">: Impact Factor </w:t>
      </w:r>
    </w:p>
    <w:p w:rsidR="00B2573F" w:rsidRPr="001A3D2B" w:rsidRDefault="00B2573F" w:rsidP="00B2573F">
      <w:pPr>
        <w:pStyle w:val="a3"/>
        <w:rPr>
          <w:kern w:val="0"/>
        </w:rPr>
      </w:pPr>
      <w:r w:rsidRPr="001A3D2B">
        <w:rPr>
          <w:kern w:val="0"/>
        </w:rPr>
        <w:t>? Drummond, R.</w:t>
      </w:r>
      <w:r w:rsidR="005853A9">
        <w:rPr>
          <w:kern w:val="0"/>
        </w:rPr>
        <w:t xml:space="preserve"> and </w:t>
      </w:r>
      <w:r w:rsidRPr="001A3D2B">
        <w:rPr>
          <w:kern w:val="0"/>
        </w:rPr>
        <w:t xml:space="preserve">Wartho, R. (2009), </w:t>
      </w:r>
      <w:r w:rsidR="00376E15" w:rsidRPr="001A3D2B">
        <w:rPr>
          <w:kern w:val="0"/>
        </w:rPr>
        <w:t>RIMS</w:t>
      </w:r>
      <w:r w:rsidRPr="001A3D2B">
        <w:rPr>
          <w:kern w:val="0"/>
        </w:rPr>
        <w:t>:</w:t>
      </w:r>
      <w:r w:rsidR="003A1917">
        <w:rPr>
          <w:kern w:val="0"/>
        </w:rPr>
        <w:t xml:space="preserve"> the </w:t>
      </w:r>
      <w:r w:rsidRPr="001A3D2B">
        <w:rPr>
          <w:kern w:val="0"/>
        </w:rPr>
        <w:t>research impact measurement service at</w:t>
      </w:r>
      <w:r w:rsidR="003A1917">
        <w:rPr>
          <w:kern w:val="0"/>
        </w:rPr>
        <w:t xml:space="preserve"> the </w:t>
      </w:r>
      <w:r w:rsidRPr="001A3D2B">
        <w:rPr>
          <w:kern w:val="0"/>
        </w:rPr>
        <w:t>University</w:t>
      </w:r>
      <w:r w:rsidR="00427468">
        <w:rPr>
          <w:kern w:val="0"/>
        </w:rPr>
        <w:t xml:space="preserve"> of </w:t>
      </w:r>
      <w:r w:rsidRPr="001A3D2B">
        <w:rPr>
          <w:kern w:val="0"/>
        </w:rPr>
        <w:t xml:space="preserve">New South Wales. </w:t>
      </w:r>
      <w:r w:rsidRPr="001A3D2B">
        <w:rPr>
          <w:i/>
          <w:iCs/>
          <w:kern w:val="0"/>
        </w:rPr>
        <w:t>Australian Academic &amp; Research Libraries</w:t>
      </w:r>
      <w:r w:rsidRPr="001A3D2B">
        <w:rPr>
          <w:kern w:val="0"/>
        </w:rPr>
        <w:t xml:space="preserve">, </w:t>
      </w:r>
      <w:r w:rsidRPr="001A3D2B">
        <w:rPr>
          <w:b/>
          <w:bCs/>
          <w:kern w:val="0"/>
        </w:rPr>
        <w:t>40</w:t>
      </w:r>
      <w:r w:rsidRPr="001A3D2B">
        <w:rPr>
          <w:kern w:val="0"/>
        </w:rPr>
        <w:t xml:space="preserve"> (2), 76-87.</w:t>
      </w:r>
    </w:p>
    <w:p w:rsidR="00376E15" w:rsidRDefault="00376E15" w:rsidP="00376E15">
      <w:pPr>
        <w:pStyle w:val="a3"/>
        <w:rPr>
          <w:kern w:val="0"/>
        </w:rPr>
      </w:pPr>
      <w:r>
        <w:rPr>
          <w:rFonts w:hint="eastAsia"/>
          <w:kern w:val="0"/>
        </w:rPr>
        <w:t xml:space="preserve">Full Text: </w:t>
      </w:r>
      <w:hyperlink r:id="rId1372" w:history="1">
        <w:r w:rsidRPr="00376E15">
          <w:rPr>
            <w:rStyle w:val="a5"/>
            <w:kern w:val="0"/>
          </w:rPr>
          <w:t>2009\Aus Aca Res Lib40, 76.pdf</w:t>
        </w:r>
      </w:hyperlink>
    </w:p>
    <w:p w:rsidR="00B2573F" w:rsidRPr="001A3D2B" w:rsidRDefault="00B2573F" w:rsidP="00B2573F">
      <w:pPr>
        <w:pStyle w:val="a3"/>
        <w:rPr>
          <w:kern w:val="0"/>
        </w:rPr>
      </w:pPr>
      <w:r w:rsidRPr="001A3D2B">
        <w:rPr>
          <w:kern w:val="0"/>
        </w:rPr>
        <w:t>Abstract: In 2005,</w:t>
      </w:r>
      <w:r w:rsidR="003A1917">
        <w:rPr>
          <w:kern w:val="0"/>
        </w:rPr>
        <w:t xml:space="preserve"> the </w:t>
      </w:r>
      <w:r w:rsidRPr="001A3D2B">
        <w:rPr>
          <w:kern w:val="0"/>
        </w:rPr>
        <w:t>Library at UNSW began a comprehensive restructuring process that fundamentally changed</w:t>
      </w:r>
      <w:r w:rsidR="003A1917">
        <w:rPr>
          <w:kern w:val="0"/>
        </w:rPr>
        <w:t xml:space="preserve"> the </w:t>
      </w:r>
      <w:r w:rsidRPr="001A3D2B">
        <w:rPr>
          <w:kern w:val="0"/>
        </w:rPr>
        <w:t>provision</w:t>
      </w:r>
      <w:r w:rsidR="00427468">
        <w:rPr>
          <w:kern w:val="0"/>
        </w:rPr>
        <w:t xml:space="preserve"> of </w:t>
      </w:r>
      <w:r w:rsidRPr="001A3D2B">
        <w:rPr>
          <w:kern w:val="0"/>
        </w:rPr>
        <w:t>services to its academic community. A primary aim</w:t>
      </w:r>
      <w:r w:rsidR="00427468">
        <w:rPr>
          <w:kern w:val="0"/>
        </w:rPr>
        <w:t xml:space="preserve"> of </w:t>
      </w:r>
      <w:r w:rsidRPr="001A3D2B">
        <w:rPr>
          <w:kern w:val="0"/>
        </w:rPr>
        <w:t>this process was to increase flexibility</w:t>
      </w:r>
      <w:r w:rsidR="00427468">
        <w:rPr>
          <w:kern w:val="0"/>
        </w:rPr>
        <w:t xml:space="preserve"> of </w:t>
      </w:r>
      <w:r w:rsidRPr="001A3D2B">
        <w:rPr>
          <w:kern w:val="0"/>
        </w:rPr>
        <w:t>service development</w:t>
      </w:r>
      <w:r w:rsidR="005853A9">
        <w:rPr>
          <w:kern w:val="0"/>
        </w:rPr>
        <w:t xml:space="preserve"> and </w:t>
      </w:r>
      <w:r w:rsidRPr="001A3D2B">
        <w:rPr>
          <w:kern w:val="0"/>
        </w:rPr>
        <w:t>delivery</w:t>
      </w:r>
      <w:r w:rsidR="005853A9">
        <w:rPr>
          <w:kern w:val="0"/>
        </w:rPr>
        <w:t xml:space="preserve"> and </w:t>
      </w:r>
      <w:r w:rsidRPr="001A3D2B">
        <w:rPr>
          <w:kern w:val="0"/>
        </w:rPr>
        <w:t>so to improve research support</w:t>
      </w:r>
      <w:r w:rsidR="00A37C1D">
        <w:rPr>
          <w:kern w:val="0"/>
        </w:rPr>
        <w:t>. The</w:t>
      </w:r>
      <w:r w:rsidR="003A1917">
        <w:rPr>
          <w:kern w:val="0"/>
        </w:rPr>
        <w:t xml:space="preserve"> </w:t>
      </w:r>
      <w:r w:rsidRPr="001A3D2B">
        <w:rPr>
          <w:kern w:val="0"/>
        </w:rPr>
        <w:t>motivation for reformed services arose from considerations including</w:t>
      </w:r>
      <w:r w:rsidR="003A1917">
        <w:rPr>
          <w:kern w:val="0"/>
        </w:rPr>
        <w:t xml:space="preserve"> the </w:t>
      </w:r>
      <w:r w:rsidRPr="001A3D2B">
        <w:rPr>
          <w:kern w:val="0"/>
        </w:rPr>
        <w:t>University Library need to realign its services to support</w:t>
      </w:r>
      <w:r w:rsidR="003A1917">
        <w:rPr>
          <w:kern w:val="0"/>
        </w:rPr>
        <w:t xml:space="preserve"> the </w:t>
      </w:r>
      <w:r w:rsidRPr="001A3D2B">
        <w:rPr>
          <w:kern w:val="0"/>
        </w:rPr>
        <w:t>university</w:t>
      </w:r>
      <w:r w:rsidR="00700038">
        <w:rPr>
          <w:kern w:val="0"/>
        </w:rPr>
        <w:t>’</w:t>
      </w:r>
      <w:r w:rsidR="00C13DDC">
        <w:rPr>
          <w:kern w:val="0"/>
        </w:rPr>
        <w:t>s</w:t>
      </w:r>
      <w:r w:rsidRPr="001A3D2B">
        <w:rPr>
          <w:kern w:val="0"/>
        </w:rPr>
        <w:t xml:space="preserve"> strategic goals,</w:t>
      </w:r>
      <w:r w:rsidR="003A1917">
        <w:rPr>
          <w:kern w:val="0"/>
        </w:rPr>
        <w:t xml:space="preserve"> the </w:t>
      </w:r>
      <w:r w:rsidRPr="001A3D2B">
        <w:rPr>
          <w:kern w:val="0"/>
        </w:rPr>
        <w:t>increasingly competitive nature</w:t>
      </w:r>
      <w:r w:rsidR="00427468">
        <w:rPr>
          <w:kern w:val="0"/>
        </w:rPr>
        <w:t xml:space="preserve"> of </w:t>
      </w:r>
      <w:r w:rsidR="003A1917">
        <w:rPr>
          <w:kern w:val="0"/>
        </w:rPr>
        <w:t xml:space="preserve">the </w:t>
      </w:r>
      <w:r w:rsidRPr="001A3D2B">
        <w:rPr>
          <w:kern w:val="0"/>
        </w:rPr>
        <w:t>research environment,</w:t>
      </w:r>
      <w:r w:rsidR="003A1917">
        <w:rPr>
          <w:kern w:val="0"/>
        </w:rPr>
        <w:t xml:space="preserve"> the </w:t>
      </w:r>
      <w:r w:rsidRPr="001A3D2B">
        <w:rPr>
          <w:kern w:val="0"/>
        </w:rPr>
        <w:t>introduction</w:t>
      </w:r>
      <w:r w:rsidR="00427468">
        <w:rPr>
          <w:kern w:val="0"/>
        </w:rPr>
        <w:t xml:space="preserve"> of </w:t>
      </w:r>
      <w:r w:rsidR="003A1917">
        <w:rPr>
          <w:kern w:val="0"/>
        </w:rPr>
        <w:t xml:space="preserve">the </w:t>
      </w:r>
      <w:r w:rsidRPr="001A3D2B">
        <w:rPr>
          <w:kern w:val="0"/>
        </w:rPr>
        <w:t>RQF/ERA,</w:t>
      </w:r>
      <w:r w:rsidR="005853A9">
        <w:rPr>
          <w:kern w:val="0"/>
        </w:rPr>
        <w:t xml:space="preserve"> and </w:t>
      </w:r>
      <w:r w:rsidRPr="001A3D2B">
        <w:rPr>
          <w:kern w:val="0"/>
        </w:rPr>
        <w:t>a renewed emphasis on research outcomes by UNSW</w:t>
      </w:r>
      <w:r w:rsidR="003A1917">
        <w:rPr>
          <w:kern w:val="0"/>
        </w:rPr>
        <w:t xml:space="preserve"> the </w:t>
      </w:r>
      <w:r w:rsidRPr="001A3D2B">
        <w:rPr>
          <w:kern w:val="0"/>
        </w:rPr>
        <w:t>measurement</w:t>
      </w:r>
      <w:r w:rsidR="00427468">
        <w:rPr>
          <w:kern w:val="0"/>
        </w:rPr>
        <w:t xml:space="preserve"> of </w:t>
      </w:r>
      <w:r w:rsidRPr="001A3D2B">
        <w:rPr>
          <w:kern w:val="0"/>
        </w:rPr>
        <w:t>research impact using bibliometrics was seen as a strategy for supporting UNSW researchers. University Library staff consulted</w:t>
      </w:r>
      <w:r w:rsidR="003A1917">
        <w:rPr>
          <w:kern w:val="0"/>
        </w:rPr>
        <w:t xml:space="preserve"> the </w:t>
      </w:r>
      <w:r w:rsidRPr="001A3D2B">
        <w:rPr>
          <w:kern w:val="0"/>
        </w:rPr>
        <w:t>bibliometrics literature</w:t>
      </w:r>
      <w:r w:rsidR="005853A9">
        <w:rPr>
          <w:kern w:val="0"/>
        </w:rPr>
        <w:t xml:space="preserve"> and </w:t>
      </w:r>
      <w:r w:rsidRPr="001A3D2B">
        <w:rPr>
          <w:kern w:val="0"/>
        </w:rPr>
        <w:t>apropriate methodologies were devised to measure</w:t>
      </w:r>
      <w:r w:rsidR="003A1917">
        <w:rPr>
          <w:kern w:val="0"/>
        </w:rPr>
        <w:t xml:space="preserve"> the </w:t>
      </w:r>
      <w:r w:rsidRPr="001A3D2B">
        <w:rPr>
          <w:kern w:val="0"/>
        </w:rPr>
        <w:t>impact</w:t>
      </w:r>
      <w:r w:rsidR="00427468">
        <w:rPr>
          <w:kern w:val="0"/>
        </w:rPr>
        <w:t xml:space="preserve"> of </w:t>
      </w:r>
      <w:r w:rsidRPr="001A3D2B">
        <w:rPr>
          <w:kern w:val="0"/>
        </w:rPr>
        <w:t>publications, authors</w:t>
      </w:r>
      <w:r w:rsidR="005853A9">
        <w:rPr>
          <w:kern w:val="0"/>
        </w:rPr>
        <w:t xml:space="preserve"> and </w:t>
      </w:r>
      <w:r w:rsidRPr="001A3D2B">
        <w:rPr>
          <w:kern w:val="0"/>
        </w:rPr>
        <w:t>departments</w:t>
      </w:r>
      <w:r w:rsidR="00A37C1D">
        <w:rPr>
          <w:kern w:val="0"/>
        </w:rPr>
        <w:t>. The</w:t>
      </w:r>
      <w:r w:rsidR="003A1917">
        <w:rPr>
          <w:kern w:val="0"/>
        </w:rPr>
        <w:t xml:space="preserve"> </w:t>
      </w:r>
      <w:r w:rsidRPr="001A3D2B">
        <w:rPr>
          <w:kern w:val="0"/>
        </w:rPr>
        <w:t>result was</w:t>
      </w:r>
      <w:r w:rsidR="003A1917">
        <w:rPr>
          <w:kern w:val="0"/>
        </w:rPr>
        <w:t xml:space="preserve"> the </w:t>
      </w:r>
      <w:r w:rsidRPr="001A3D2B">
        <w:rPr>
          <w:kern w:val="0"/>
        </w:rPr>
        <w:t>creation</w:t>
      </w:r>
      <w:r w:rsidR="00427468">
        <w:rPr>
          <w:kern w:val="0"/>
        </w:rPr>
        <w:t xml:space="preserve"> of </w:t>
      </w:r>
      <w:r w:rsidRPr="001A3D2B">
        <w:rPr>
          <w:kern w:val="0"/>
        </w:rPr>
        <w:t>a Research Impact Measurement Service (RIMS) that now produces over 30 reports every month</w:t>
      </w:r>
      <w:r w:rsidR="005853A9">
        <w:rPr>
          <w:kern w:val="0"/>
        </w:rPr>
        <w:t xml:space="preserve"> and </w:t>
      </w:r>
      <w:r w:rsidRPr="001A3D2B">
        <w:rPr>
          <w:kern w:val="0"/>
        </w:rPr>
        <w:t>employs 6-7 full time equivalent staff. Most</w:t>
      </w:r>
      <w:r w:rsidR="00427468">
        <w:rPr>
          <w:kern w:val="0"/>
        </w:rPr>
        <w:t xml:space="preserve"> of </w:t>
      </w:r>
      <w:r w:rsidR="003A1917">
        <w:rPr>
          <w:kern w:val="0"/>
        </w:rPr>
        <w:t xml:space="preserve">the </w:t>
      </w:r>
      <w:r w:rsidRPr="001A3D2B">
        <w:rPr>
          <w:kern w:val="0"/>
        </w:rPr>
        <w:t>reports are used to support promotion, grants,</w:t>
      </w:r>
      <w:r w:rsidR="005853A9">
        <w:rPr>
          <w:kern w:val="0"/>
        </w:rPr>
        <w:t xml:space="preserve"> and </w:t>
      </w:r>
      <w:r w:rsidRPr="001A3D2B">
        <w:rPr>
          <w:kern w:val="0"/>
        </w:rPr>
        <w:t>institutional comparisons. This research support service also informs</w:t>
      </w:r>
      <w:r w:rsidR="005853A9">
        <w:rPr>
          <w:kern w:val="0"/>
        </w:rPr>
        <w:t xml:space="preserve"> and </w:t>
      </w:r>
      <w:r w:rsidRPr="001A3D2B">
        <w:rPr>
          <w:kern w:val="0"/>
        </w:rPr>
        <w:t>improves</w:t>
      </w:r>
      <w:r w:rsidR="003A1917">
        <w:rPr>
          <w:kern w:val="0"/>
        </w:rPr>
        <w:t xml:space="preserve"> the </w:t>
      </w:r>
      <w:r w:rsidRPr="001A3D2B">
        <w:rPr>
          <w:kern w:val="0"/>
        </w:rPr>
        <w:t>performance</w:t>
      </w:r>
      <w:r w:rsidR="00427468">
        <w:rPr>
          <w:kern w:val="0"/>
        </w:rPr>
        <w:t xml:space="preserve"> of </w:t>
      </w:r>
      <w:r w:rsidRPr="001A3D2B">
        <w:rPr>
          <w:kern w:val="0"/>
        </w:rPr>
        <w:t>such traditional library activities as collection development. RIMS is now integral to</w:t>
      </w:r>
      <w:r w:rsidR="003A1917">
        <w:rPr>
          <w:kern w:val="0"/>
        </w:rPr>
        <w:t xml:space="preserve"> the </w:t>
      </w:r>
      <w:r w:rsidRPr="001A3D2B">
        <w:rPr>
          <w:kern w:val="0"/>
        </w:rPr>
        <w:t>measurement</w:t>
      </w:r>
      <w:r w:rsidR="00427468">
        <w:rPr>
          <w:kern w:val="0"/>
        </w:rPr>
        <w:t xml:space="preserve"> of </w:t>
      </w:r>
      <w:r w:rsidRPr="001A3D2B">
        <w:rPr>
          <w:kern w:val="0"/>
        </w:rPr>
        <w:t>research outputs at UNSW,</w:t>
      </w:r>
      <w:r w:rsidR="005853A9">
        <w:rPr>
          <w:kern w:val="0"/>
        </w:rPr>
        <w:t xml:space="preserve"> and </w:t>
      </w:r>
      <w:r w:rsidRPr="001A3D2B">
        <w:rPr>
          <w:kern w:val="0"/>
        </w:rPr>
        <w:t>has significantly raised</w:t>
      </w:r>
      <w:r w:rsidR="003A1917">
        <w:rPr>
          <w:kern w:val="0"/>
        </w:rPr>
        <w:t xml:space="preserve"> the </w:t>
      </w:r>
      <w:r w:rsidRPr="001A3D2B">
        <w:rPr>
          <w:kern w:val="0"/>
        </w:rPr>
        <w:t>profile</w:t>
      </w:r>
      <w:r w:rsidR="00427468">
        <w:rPr>
          <w:kern w:val="0"/>
        </w:rPr>
        <w:t xml:space="preserve"> of </w:t>
      </w:r>
      <w:r w:rsidR="003A1917">
        <w:rPr>
          <w:kern w:val="0"/>
        </w:rPr>
        <w:t xml:space="preserve">the </w:t>
      </w:r>
      <w:r w:rsidRPr="001A3D2B">
        <w:rPr>
          <w:kern w:val="0"/>
        </w:rPr>
        <w:t>Library throughout</w:t>
      </w:r>
      <w:r w:rsidR="003A1917">
        <w:rPr>
          <w:kern w:val="0"/>
        </w:rPr>
        <w:t xml:space="preserve"> the </w:t>
      </w:r>
      <w:r w:rsidRPr="001A3D2B">
        <w:rPr>
          <w:kern w:val="0"/>
        </w:rPr>
        <w:t>academic community. AARL June 2009 vol 40 no 2 pp 76-87.</w:t>
      </w:r>
    </w:p>
    <w:p w:rsidR="00B2573F" w:rsidRPr="001A3D2B" w:rsidRDefault="00B2573F" w:rsidP="00B2573F">
      <w:pPr>
        <w:pStyle w:val="a3"/>
        <w:rPr>
          <w:kern w:val="0"/>
        </w:rPr>
      </w:pPr>
      <w:r w:rsidRPr="001A3D2B">
        <w:rPr>
          <w:kern w:val="0"/>
        </w:rPr>
        <w:t>Keywords: Bibliometrics, Citation, Counts, Libraries, Outcomes, Publications, Research</w:t>
      </w:r>
    </w:p>
    <w:p w:rsidR="00376E15" w:rsidRDefault="00376E15" w:rsidP="00376E15">
      <w:pPr>
        <w:pStyle w:val="a3"/>
        <w:rPr>
          <w:kern w:val="0"/>
        </w:rPr>
      </w:pPr>
      <w:r>
        <w:rPr>
          <w:rFonts w:hint="eastAsia"/>
          <w:kern w:val="0"/>
        </w:rPr>
        <w:t xml:space="preserve">? </w:t>
      </w:r>
      <w:r>
        <w:rPr>
          <w:kern w:val="0"/>
        </w:rPr>
        <w:t xml:space="preserve">Drummond, R. (2014), RIMS Revisited: The evolution of the research impact </w:t>
      </w:r>
      <w:r>
        <w:rPr>
          <w:kern w:val="0"/>
        </w:rPr>
        <w:lastRenderedPageBreak/>
        <w:t xml:space="preserve">measurement service at UNSW library. </w:t>
      </w:r>
      <w:r>
        <w:rPr>
          <w:i/>
          <w:iCs/>
          <w:kern w:val="0"/>
        </w:rPr>
        <w:t>Australian Academic &amp; Research Libraries</w:t>
      </w:r>
      <w:r>
        <w:rPr>
          <w:kern w:val="0"/>
        </w:rPr>
        <w:t xml:space="preserve">, </w:t>
      </w:r>
      <w:r>
        <w:rPr>
          <w:b/>
          <w:bCs/>
          <w:kern w:val="0"/>
        </w:rPr>
        <w:t>45</w:t>
      </w:r>
      <w:r>
        <w:rPr>
          <w:kern w:val="0"/>
        </w:rPr>
        <w:t xml:space="preserve"> (4), 309-322.</w:t>
      </w:r>
    </w:p>
    <w:p w:rsidR="00376E15" w:rsidRDefault="00376E15" w:rsidP="00376E15">
      <w:pPr>
        <w:pStyle w:val="a3"/>
        <w:rPr>
          <w:kern w:val="0"/>
        </w:rPr>
      </w:pPr>
      <w:r>
        <w:rPr>
          <w:rFonts w:hint="eastAsia"/>
          <w:kern w:val="0"/>
        </w:rPr>
        <w:t xml:space="preserve">Full Text: </w:t>
      </w:r>
      <w:hyperlink r:id="rId1373" w:history="1">
        <w:r w:rsidRPr="00376E15">
          <w:rPr>
            <w:rStyle w:val="a5"/>
            <w:kern w:val="0"/>
          </w:rPr>
          <w:t>2014\Aus Aca Res Lib45, 309.pdf</w:t>
        </w:r>
      </w:hyperlink>
    </w:p>
    <w:p w:rsidR="00376E15" w:rsidRDefault="00376E15" w:rsidP="00376E15">
      <w:pPr>
        <w:pStyle w:val="a3"/>
        <w:rPr>
          <w:kern w:val="0"/>
        </w:rPr>
      </w:pPr>
      <w:r>
        <w:rPr>
          <w:kern w:val="0"/>
        </w:rPr>
        <w:t>Abstract: For the past seven years, the University of New South Wales (UNSW) Library has delivered a service to the university’s research community known as RIMS, the Research Impact Measurement Service. The service was designed to support research outcomes through the measurement of publishing impact, both for authors and departmental units. Since its inception in 2007, the service has evolved to meet the needs of researchers and the changing research landscape. The emergence of smarter tools and systems, the impact of the networked environment; changes in scholarly communication and bibliometrics have all contributed to its evolution. This paper will discuss the development of the service, including the imperative to take an agile approach in an ever changing research environment.</w:t>
      </w:r>
    </w:p>
    <w:p w:rsidR="00376E15" w:rsidRDefault="00376E15" w:rsidP="00376E15">
      <w:pPr>
        <w:pStyle w:val="a3"/>
        <w:rPr>
          <w:kern w:val="0"/>
        </w:rPr>
      </w:pPr>
      <w:r>
        <w:rPr>
          <w:kern w:val="0"/>
        </w:rPr>
        <w:t>Keywords: Approach, Authors, Bibliometrics, Changes, Communication, Community, Cris, Development, Environment, Evolution, Impact, Landscape, Measurement, Needs, New South Wales, Outcomes, Publishing, Research, Research Impact, Research Information Systems, Research Support, Researchers, Scholarly Communication, Scholarly Publishing, Service, Support, Systems, University</w:t>
      </w:r>
    </w:p>
    <w:p w:rsidR="003474F2" w:rsidRPr="001A3D2B" w:rsidRDefault="003474F2" w:rsidP="003474F2">
      <w:pPr>
        <w:pStyle w:val="1"/>
      </w:pPr>
      <w:r w:rsidRPr="001A3D2B">
        <w:br w:type="page"/>
      </w:r>
      <w:bookmarkStart w:id="702" w:name="_Toc420814667"/>
      <w:r w:rsidRPr="001A3D2B">
        <w:lastRenderedPageBreak/>
        <w:t>Title: Australian Clinical Review</w:t>
      </w:r>
      <w:bookmarkEnd w:id="702"/>
    </w:p>
    <w:p w:rsidR="00F13182" w:rsidRPr="001A3D2B" w:rsidRDefault="00F13182" w:rsidP="00F13182">
      <w:pPr>
        <w:pStyle w:val="12"/>
      </w:pPr>
      <w:r w:rsidRPr="001A3D2B">
        <w:t xml:space="preserve">Full Journal Title: </w:t>
      </w:r>
      <w:hyperlink r:id="rId1374" w:history="1">
        <w:r w:rsidRPr="001A3D2B">
          <w:rPr>
            <w:rStyle w:val="a5"/>
            <w:iCs/>
          </w:rPr>
          <w:t>Australian Clinical Review</w:t>
        </w:r>
      </w:hyperlink>
    </w:p>
    <w:p w:rsidR="003474F2" w:rsidRPr="001A3D2B" w:rsidRDefault="003474F2" w:rsidP="003474F2">
      <w:pPr>
        <w:pStyle w:val="12"/>
      </w:pPr>
      <w:r w:rsidRPr="001A3D2B">
        <w:t>ISO Abbreviated Title: Aust. Clin. Rev.</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0726-3139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Jackway, P.</w:t>
      </w:r>
      <w:r w:rsidR="005853A9">
        <w:t xml:space="preserve"> and </w:t>
      </w:r>
      <w:r w:rsidRPr="001A3D2B">
        <w:t xml:space="preserve">Boyce, R. (1990), </w:t>
      </w:r>
      <w:r w:rsidRPr="001A3D2B">
        <w:rPr>
          <w:szCs w:val="27"/>
        </w:rPr>
        <w:t>Gift co-authorships: A tangled web</w:t>
      </w:r>
      <w:r w:rsidRPr="001A3D2B">
        <w:t xml:space="preserve">. </w:t>
      </w:r>
      <w:r w:rsidRPr="001A3D2B">
        <w:rPr>
          <w:i/>
          <w:iCs/>
        </w:rPr>
        <w:t>Australian Clinical Review</w:t>
      </w:r>
      <w:r w:rsidRPr="001A3D2B">
        <w:t xml:space="preserve">, </w:t>
      </w:r>
      <w:r w:rsidRPr="001A3D2B">
        <w:rPr>
          <w:b/>
          <w:bCs/>
        </w:rPr>
        <w:t>10</w:t>
      </w:r>
      <w:r w:rsidRPr="001A3D2B">
        <w:t xml:space="preserve"> (2), 72-75.</w:t>
      </w:r>
    </w:p>
    <w:p w:rsidR="003C483A" w:rsidRPr="00F219CA" w:rsidRDefault="003C483A" w:rsidP="003C483A">
      <w:pPr>
        <w:pStyle w:val="1"/>
      </w:pPr>
      <w:r w:rsidRPr="00F219CA">
        <w:br w:type="page"/>
      </w:r>
      <w:bookmarkStart w:id="703" w:name="_Toc420814668"/>
      <w:r w:rsidRPr="00F219CA">
        <w:lastRenderedPageBreak/>
        <w:t xml:space="preserve">Title: </w:t>
      </w:r>
      <w:r w:rsidRPr="006A5D57">
        <w:t>Australian Critical Care</w:t>
      </w:r>
      <w:bookmarkEnd w:id="703"/>
    </w:p>
    <w:p w:rsidR="003C483A" w:rsidRPr="00F219CA" w:rsidRDefault="003C483A" w:rsidP="003C483A">
      <w:pPr>
        <w:pStyle w:val="12"/>
      </w:pPr>
      <w:r w:rsidRPr="00F219CA">
        <w:t xml:space="preserve">Full Journal Title: </w:t>
      </w:r>
      <w:r w:rsidRPr="006A5D57">
        <w:rPr>
          <w:iCs/>
          <w:kern w:val="0"/>
        </w:rPr>
        <w:t>Australian Critical Care</w:t>
      </w:r>
    </w:p>
    <w:p w:rsidR="003C483A" w:rsidRPr="00F219CA" w:rsidRDefault="003C483A" w:rsidP="003C483A">
      <w:pPr>
        <w:pStyle w:val="12"/>
      </w:pPr>
      <w:r w:rsidRPr="00F219CA">
        <w:t xml:space="preserve">ISO Abbreviated Title: </w:t>
      </w:r>
    </w:p>
    <w:p w:rsidR="003C483A" w:rsidRPr="00F219CA" w:rsidRDefault="003C483A" w:rsidP="003C483A">
      <w:pPr>
        <w:pStyle w:val="12"/>
      </w:pPr>
      <w:r w:rsidRPr="00F219CA">
        <w:t xml:space="preserve">JCR Abbreviated Title: </w:t>
      </w:r>
    </w:p>
    <w:p w:rsidR="003C483A" w:rsidRPr="00F219CA" w:rsidRDefault="003C483A" w:rsidP="003C483A">
      <w:pPr>
        <w:pStyle w:val="12"/>
      </w:pPr>
      <w:r w:rsidRPr="00F219CA">
        <w:t xml:space="preserve">ISSN: </w:t>
      </w:r>
    </w:p>
    <w:p w:rsidR="003C483A" w:rsidRPr="00F219CA" w:rsidRDefault="003C483A" w:rsidP="003C483A">
      <w:pPr>
        <w:pStyle w:val="12"/>
      </w:pPr>
      <w:r w:rsidRPr="00F219CA">
        <w:t xml:space="preserve">Issues/Year: </w:t>
      </w:r>
    </w:p>
    <w:p w:rsidR="003C483A" w:rsidRPr="00F219CA" w:rsidRDefault="003C483A" w:rsidP="003C483A">
      <w:pPr>
        <w:pStyle w:val="12"/>
      </w:pPr>
      <w:r w:rsidRPr="00F219CA">
        <w:t xml:space="preserve">Journal Country/Territory: </w:t>
      </w:r>
    </w:p>
    <w:p w:rsidR="003C483A" w:rsidRPr="00F219CA" w:rsidRDefault="003C483A" w:rsidP="003C483A">
      <w:pPr>
        <w:pStyle w:val="12"/>
      </w:pPr>
      <w:r w:rsidRPr="00F219CA">
        <w:t xml:space="preserve">Language: </w:t>
      </w:r>
    </w:p>
    <w:p w:rsidR="003C483A" w:rsidRPr="00F219CA" w:rsidRDefault="003C483A" w:rsidP="003C483A">
      <w:pPr>
        <w:pStyle w:val="12"/>
      </w:pPr>
      <w:r w:rsidRPr="00F219CA">
        <w:t xml:space="preserve">Publisher: </w:t>
      </w:r>
    </w:p>
    <w:p w:rsidR="003C483A" w:rsidRPr="00F219CA" w:rsidRDefault="003C483A" w:rsidP="003C483A">
      <w:pPr>
        <w:pStyle w:val="12"/>
      </w:pPr>
      <w:r w:rsidRPr="00F219CA">
        <w:t xml:space="preserve">Publisher Address: </w:t>
      </w:r>
    </w:p>
    <w:p w:rsidR="003C483A" w:rsidRPr="00F219CA" w:rsidRDefault="003C483A" w:rsidP="003C483A">
      <w:pPr>
        <w:pStyle w:val="12"/>
      </w:pPr>
      <w:r w:rsidRPr="00F219CA">
        <w:t>Subject Categories:</w:t>
      </w:r>
    </w:p>
    <w:p w:rsidR="003C483A" w:rsidRPr="00F219CA" w:rsidRDefault="003C483A" w:rsidP="003C483A">
      <w:pPr>
        <w:pStyle w:val="12"/>
      </w:pPr>
      <w:r w:rsidRPr="00F219CA">
        <w:t xml:space="preserve">: Impact Factor </w:t>
      </w:r>
    </w:p>
    <w:p w:rsidR="003C483A" w:rsidRDefault="003C483A" w:rsidP="003C483A">
      <w:pPr>
        <w:pStyle w:val="a3"/>
        <w:rPr>
          <w:kern w:val="0"/>
        </w:rPr>
      </w:pPr>
      <w:r>
        <w:rPr>
          <w:rFonts w:hint="eastAsia"/>
          <w:kern w:val="0"/>
        </w:rPr>
        <w:t xml:space="preserve">? </w:t>
      </w:r>
      <w:r>
        <w:rPr>
          <w:kern w:val="0"/>
        </w:rPr>
        <w:t>Afonso, E., Llaurado, M.</w:t>
      </w:r>
      <w:r w:rsidR="005853A9">
        <w:rPr>
          <w:kern w:val="0"/>
        </w:rPr>
        <w:t xml:space="preserve"> and </w:t>
      </w:r>
      <w:r>
        <w:rPr>
          <w:kern w:val="0"/>
        </w:rPr>
        <w:t>Gallart, E. (2013), The value</w:t>
      </w:r>
      <w:r w:rsidR="00427468">
        <w:rPr>
          <w:kern w:val="0"/>
        </w:rPr>
        <w:t xml:space="preserve"> of </w:t>
      </w:r>
      <w:r>
        <w:rPr>
          <w:kern w:val="0"/>
        </w:rPr>
        <w:t>chlorhexidine gluconate wipes</w:t>
      </w:r>
      <w:r w:rsidR="005853A9">
        <w:rPr>
          <w:kern w:val="0"/>
        </w:rPr>
        <w:t xml:space="preserve"> and </w:t>
      </w:r>
      <w:r>
        <w:rPr>
          <w:kern w:val="0"/>
        </w:rPr>
        <w:t>prepacked washcloths to prevent the spread</w:t>
      </w:r>
      <w:r w:rsidR="00427468">
        <w:rPr>
          <w:kern w:val="0"/>
        </w:rPr>
        <w:t xml:space="preserve"> of </w:t>
      </w:r>
      <w:r>
        <w:rPr>
          <w:kern w:val="0"/>
        </w:rPr>
        <w:t>pathogens</w:t>
      </w:r>
      <w:r>
        <w:rPr>
          <w:rFonts w:hint="eastAsia"/>
          <w:kern w:val="0"/>
        </w:rPr>
        <w:t xml:space="preserve">: </w:t>
      </w:r>
      <w:r>
        <w:rPr>
          <w:kern w:val="0"/>
        </w:rPr>
        <w:t xml:space="preserve">A systematic review. </w:t>
      </w:r>
      <w:r w:rsidRPr="006A5D57">
        <w:rPr>
          <w:i/>
          <w:iCs/>
          <w:kern w:val="0"/>
        </w:rPr>
        <w:t>Australian Critical Care</w:t>
      </w:r>
      <w:r>
        <w:rPr>
          <w:kern w:val="0"/>
        </w:rPr>
        <w:t xml:space="preserve">, </w:t>
      </w:r>
      <w:r>
        <w:rPr>
          <w:b/>
          <w:bCs/>
          <w:kern w:val="0"/>
        </w:rPr>
        <w:t>26</w:t>
      </w:r>
      <w:r>
        <w:rPr>
          <w:kern w:val="0"/>
        </w:rPr>
        <w:t xml:space="preserve"> (4), 158-166.</w:t>
      </w:r>
    </w:p>
    <w:p w:rsidR="003C483A" w:rsidRDefault="003C483A" w:rsidP="003C483A">
      <w:pPr>
        <w:pStyle w:val="a3"/>
        <w:rPr>
          <w:kern w:val="0"/>
        </w:rPr>
      </w:pPr>
      <w:r>
        <w:rPr>
          <w:rFonts w:hint="eastAsia"/>
          <w:kern w:val="0"/>
        </w:rPr>
        <w:t xml:space="preserve">Full Text: </w:t>
      </w:r>
      <w:hyperlink r:id="rId1375" w:history="1">
        <w:r w:rsidRPr="006A5D57">
          <w:rPr>
            <w:rStyle w:val="a5"/>
            <w:kern w:val="0"/>
          </w:rPr>
          <w:t>2013\Aus Cri Car26, 158.pdf</w:t>
        </w:r>
      </w:hyperlink>
    </w:p>
    <w:p w:rsidR="003C483A" w:rsidRDefault="003C483A" w:rsidP="003C483A">
      <w:pPr>
        <w:pStyle w:val="a3"/>
        <w:rPr>
          <w:kern w:val="0"/>
        </w:rPr>
      </w:pPr>
      <w:r>
        <w:rPr>
          <w:kern w:val="0"/>
        </w:rPr>
        <w:t>Abstract: Background: Use</w:t>
      </w:r>
      <w:r w:rsidR="00427468">
        <w:rPr>
          <w:kern w:val="0"/>
        </w:rPr>
        <w:t xml:space="preserve"> of </w:t>
      </w:r>
      <w:r>
        <w:rPr>
          <w:kern w:val="0"/>
        </w:rPr>
        <w:t>chlorhexidine gluconate wipes</w:t>
      </w:r>
      <w:r w:rsidR="005853A9">
        <w:rPr>
          <w:kern w:val="0"/>
        </w:rPr>
        <w:t xml:space="preserve"> and </w:t>
      </w:r>
      <w:r>
        <w:rPr>
          <w:kern w:val="0"/>
        </w:rPr>
        <w:t>pre-packed washcloths has been described for preventing pathogen spread in healthcare settings. Aim: To assess the impact</w:t>
      </w:r>
      <w:r w:rsidR="00427468">
        <w:rPr>
          <w:kern w:val="0"/>
        </w:rPr>
        <w:t xml:space="preserve"> of </w:t>
      </w:r>
      <w:r>
        <w:rPr>
          <w:kern w:val="0"/>
        </w:rPr>
        <w:t>chlorhexidine washcloths/wipes in preventing the spread</w:t>
      </w:r>
      <w:r w:rsidR="00427468">
        <w:rPr>
          <w:kern w:val="0"/>
        </w:rPr>
        <w:t xml:space="preserve"> of </w:t>
      </w:r>
      <w:r>
        <w:rPr>
          <w:kern w:val="0"/>
        </w:rPr>
        <w:t>pathogens. Methods: Extensive</w:t>
      </w:r>
      <w:r w:rsidR="005853A9">
        <w:rPr>
          <w:kern w:val="0"/>
        </w:rPr>
        <w:t xml:space="preserve"> and </w:t>
      </w:r>
      <w:r>
        <w:rPr>
          <w:kern w:val="0"/>
        </w:rPr>
        <w:t>structured literature search from studies in Google Academic, Cochrane Library, Web</w:t>
      </w:r>
      <w:r w:rsidR="00427468">
        <w:rPr>
          <w:kern w:val="0"/>
        </w:rPr>
        <w:t xml:space="preserve"> of </w:t>
      </w:r>
      <w:r>
        <w:rPr>
          <w:kern w:val="0"/>
        </w:rPr>
        <w:t>Science, Pubmed</w:t>
      </w:r>
      <w:r w:rsidR="005853A9">
        <w:rPr>
          <w:kern w:val="0"/>
        </w:rPr>
        <w:t xml:space="preserve"> and </w:t>
      </w:r>
      <w:r>
        <w:rPr>
          <w:kern w:val="0"/>
        </w:rPr>
        <w:t>Cinahl from their inception until November 2012. Findings: Final analysis included 15 studies, 9</w:t>
      </w:r>
      <w:r w:rsidR="00427468">
        <w:rPr>
          <w:kern w:val="0"/>
        </w:rPr>
        <w:t xml:space="preserve"> of </w:t>
      </w:r>
      <w:r>
        <w:rPr>
          <w:kern w:val="0"/>
        </w:rPr>
        <w:t>which were randomised controlled trials</w:t>
      </w:r>
      <w:r w:rsidR="00A37C1D">
        <w:rPr>
          <w:kern w:val="0"/>
        </w:rPr>
        <w:t>. The</w:t>
      </w:r>
      <w:r>
        <w:rPr>
          <w:kern w:val="0"/>
        </w:rPr>
        <w:t xml:space="preserve"> most frequent setting was the intensive care unit. In intensive care units, a significant reduction</w:t>
      </w:r>
      <w:r w:rsidR="00427468">
        <w:rPr>
          <w:kern w:val="0"/>
        </w:rPr>
        <w:t xml:space="preserve"> of </w:t>
      </w:r>
      <w:r>
        <w:rPr>
          <w:kern w:val="0"/>
        </w:rPr>
        <w:t>bloodstream infection was associated with intervention</w:t>
      </w:r>
      <w:r w:rsidR="005853A9">
        <w:rPr>
          <w:kern w:val="0"/>
        </w:rPr>
        <w:t xml:space="preserve"> and </w:t>
      </w:r>
      <w:r>
        <w:rPr>
          <w:kern w:val="0"/>
        </w:rPr>
        <w:t>3 studies revealed a decrease in blood culture contamination. One study showed a decrease in staff</w:t>
      </w:r>
      <w:r w:rsidR="005853A9">
        <w:rPr>
          <w:kern w:val="0"/>
        </w:rPr>
        <w:t xml:space="preserve"> and </w:t>
      </w:r>
      <w:r>
        <w:rPr>
          <w:kern w:val="0"/>
        </w:rPr>
        <w:t>environmental contamination</w:t>
      </w:r>
      <w:r w:rsidR="005853A9">
        <w:rPr>
          <w:kern w:val="0"/>
        </w:rPr>
        <w:t xml:space="preserve"> and </w:t>
      </w:r>
      <w:r>
        <w:rPr>
          <w:kern w:val="0"/>
        </w:rPr>
        <w:t>no increase in chlorhexidine resistance with intervention. Positive blood cultures for multiple pathogens also declined with intervention. In a paediatric intensive care unit, intervention decreased bacteraemia</w:t>
      </w:r>
      <w:r w:rsidR="005853A9">
        <w:rPr>
          <w:kern w:val="0"/>
        </w:rPr>
        <w:t xml:space="preserve"> and </w:t>
      </w:r>
      <w:r>
        <w:rPr>
          <w:kern w:val="0"/>
        </w:rPr>
        <w:t>catheter-associated bloodstream infection. In hospital wards, intervention was associated to a 64% reduction</w:t>
      </w:r>
      <w:r w:rsidR="00427468">
        <w:rPr>
          <w:kern w:val="0"/>
        </w:rPr>
        <w:t xml:space="preserve"> of </w:t>
      </w:r>
      <w:r>
        <w:rPr>
          <w:kern w:val="0"/>
        </w:rPr>
        <w:t>pathogen transmission. One study had no statistically significant results. Pre-surgical chlorhexidine use significantly decreased bacterial colonisation but had no impact on surgical site infections. Regarding maternal</w:t>
      </w:r>
      <w:r w:rsidR="005853A9">
        <w:rPr>
          <w:kern w:val="0"/>
        </w:rPr>
        <w:t xml:space="preserve"> and </w:t>
      </w:r>
      <w:r>
        <w:rPr>
          <w:kern w:val="0"/>
        </w:rPr>
        <w:t>perinatal setting, one study did not show reduction</w:t>
      </w:r>
      <w:r w:rsidR="00427468">
        <w:rPr>
          <w:kern w:val="0"/>
        </w:rPr>
        <w:t xml:space="preserve"> of </w:t>
      </w:r>
      <w:r>
        <w:rPr>
          <w:kern w:val="0"/>
        </w:rPr>
        <w:t>early onset neonatal sepsis</w:t>
      </w:r>
      <w:r w:rsidR="005853A9">
        <w:rPr>
          <w:kern w:val="0"/>
        </w:rPr>
        <w:t xml:space="preserve"> and </w:t>
      </w:r>
      <w:r>
        <w:rPr>
          <w:kern w:val="0"/>
        </w:rPr>
        <w:t>pathogen transmission. Another study</w:t>
      </w:r>
      <w:r w:rsidR="00427468">
        <w:rPr>
          <w:kern w:val="0"/>
        </w:rPr>
        <w:t xml:space="preserve"> of </w:t>
      </w:r>
      <w:r>
        <w:rPr>
          <w:kern w:val="0"/>
        </w:rPr>
        <w:t>vaginal</w:t>
      </w:r>
      <w:r w:rsidR="005853A9">
        <w:rPr>
          <w:kern w:val="0"/>
        </w:rPr>
        <w:t xml:space="preserve"> and </w:t>
      </w:r>
      <w:r>
        <w:rPr>
          <w:kern w:val="0"/>
        </w:rPr>
        <w:t>neonatal decolonisation with chlorhexidine wiping revealed significant reduction in colonisation. One study concluded that single</w:t>
      </w:r>
      <w:r w:rsidR="005853A9">
        <w:rPr>
          <w:kern w:val="0"/>
        </w:rPr>
        <w:t xml:space="preserve"> and </w:t>
      </w:r>
      <w:r>
        <w:rPr>
          <w:kern w:val="0"/>
        </w:rPr>
        <w:t xml:space="preserve">multiple umbilical cord cleansing reduced the likelihood </w:t>
      </w:r>
      <w:r>
        <w:rPr>
          <w:kern w:val="0"/>
        </w:rPr>
        <w:lastRenderedPageBreak/>
        <w:t>for a positive swab in 25%</w:t>
      </w:r>
      <w:r w:rsidR="005853A9">
        <w:rPr>
          <w:kern w:val="0"/>
        </w:rPr>
        <w:t xml:space="preserve"> and </w:t>
      </w:r>
      <w:r>
        <w:rPr>
          <w:kern w:val="0"/>
        </w:rPr>
        <w:t>29%, respectively. Neonatal wiping maintained low levels</w:t>
      </w:r>
      <w:r w:rsidR="00427468">
        <w:rPr>
          <w:kern w:val="0"/>
        </w:rPr>
        <w:t xml:space="preserve"> of </w:t>
      </w:r>
      <w:r>
        <w:rPr>
          <w:kern w:val="0"/>
        </w:rPr>
        <w:t>skin colonisation for a 24 h period, for multiple pathogens. Conclusion: Current evidence supports the usefulness</w:t>
      </w:r>
      <w:r w:rsidR="00427468">
        <w:rPr>
          <w:kern w:val="0"/>
        </w:rPr>
        <w:t xml:space="preserve"> of </w:t>
      </w:r>
      <w:r>
        <w:rPr>
          <w:kern w:val="0"/>
        </w:rPr>
        <w:t>chlorhexidine washcloths</w:t>
      </w:r>
      <w:r w:rsidR="005853A9">
        <w:rPr>
          <w:kern w:val="0"/>
        </w:rPr>
        <w:t xml:space="preserve"> and </w:t>
      </w:r>
      <w:r>
        <w:rPr>
          <w:kern w:val="0"/>
        </w:rPr>
        <w:t>wipes in an intensive care, hospital</w:t>
      </w:r>
      <w:r w:rsidR="005853A9">
        <w:rPr>
          <w:kern w:val="0"/>
        </w:rPr>
        <w:t xml:space="preserve"> and </w:t>
      </w:r>
      <w:r>
        <w:rPr>
          <w:kern w:val="0"/>
        </w:rPr>
        <w:t>pre-surgical setting. More studies are required to encourage its use for prevention</w:t>
      </w:r>
      <w:r w:rsidR="00427468">
        <w:rPr>
          <w:kern w:val="0"/>
        </w:rPr>
        <w:t xml:space="preserve"> of </w:t>
      </w:r>
      <w:r>
        <w:rPr>
          <w:kern w:val="0"/>
        </w:rPr>
        <w:t>perinatal</w:t>
      </w:r>
      <w:r w:rsidR="005853A9">
        <w:rPr>
          <w:kern w:val="0"/>
        </w:rPr>
        <w:t xml:space="preserve"> and </w:t>
      </w:r>
      <w:r>
        <w:rPr>
          <w:kern w:val="0"/>
        </w:rPr>
        <w:t>neonatal transmission</w:t>
      </w:r>
      <w:r w:rsidR="00427468">
        <w:rPr>
          <w:kern w:val="0"/>
        </w:rPr>
        <w:t xml:space="preserve"> of </w:t>
      </w:r>
      <w:r>
        <w:rPr>
          <w:kern w:val="0"/>
        </w:rPr>
        <w:t>pathogens. (C) 2013 Australian College</w:t>
      </w:r>
      <w:r w:rsidR="00427468">
        <w:rPr>
          <w:kern w:val="0"/>
        </w:rPr>
        <w:t xml:space="preserve"> of </w:t>
      </w:r>
      <w:r>
        <w:rPr>
          <w:kern w:val="0"/>
        </w:rPr>
        <w:t>Critical Care Nurses Ltd. Published by Elsevier Australia (a division</w:t>
      </w:r>
      <w:r w:rsidR="00427468">
        <w:rPr>
          <w:kern w:val="0"/>
        </w:rPr>
        <w:t xml:space="preserve"> of </w:t>
      </w:r>
      <w:r>
        <w:rPr>
          <w:kern w:val="0"/>
        </w:rPr>
        <w:t>Reed International Books Australia Pty Ltd). All rights reserved.</w:t>
      </w:r>
    </w:p>
    <w:p w:rsidR="003C483A" w:rsidRDefault="003C483A" w:rsidP="003C483A">
      <w:pPr>
        <w:pStyle w:val="a3"/>
        <w:rPr>
          <w:kern w:val="0"/>
        </w:rPr>
      </w:pPr>
      <w:r>
        <w:rPr>
          <w:kern w:val="0"/>
        </w:rPr>
        <w:t>Keywords: Academic, Analysis, Australia, Australian, Blood, Books, Care, Chlorhexidine, Colonisation, Contamination, Culture, Environmental, Evidence, Google, Hospital, Impact, Infection, Infections, Intensive Care, Intensive Care Unit, Intensive Care Units, Intervention, Literature, Literature Search, Maternal, Methods, Neonatal, Neonatal Sepsis, Nov, Nurses, Onset, Pathogen, Pathogens, Perinatal, Prevent, Prevention, Randomised, Randomised Controlled Trials, Reduction, Resistance, Review, Rights, Science, Sepsis, Site, Skin, Systematic Review, Transmission, Umbilical, Umbilical Cord, Vaginal, Value, Web</w:t>
      </w:r>
      <w:r w:rsidR="00427468">
        <w:rPr>
          <w:kern w:val="0"/>
        </w:rPr>
        <w:t xml:space="preserve"> of </w:t>
      </w:r>
      <w:r>
        <w:rPr>
          <w:kern w:val="0"/>
        </w:rPr>
        <w:t>Science</w:t>
      </w:r>
    </w:p>
    <w:p w:rsidR="007C050F" w:rsidRPr="00F219CA" w:rsidRDefault="007C050F" w:rsidP="007C050F">
      <w:pPr>
        <w:pStyle w:val="1"/>
      </w:pPr>
      <w:r w:rsidRPr="00F219CA">
        <w:br w:type="page"/>
      </w:r>
      <w:bookmarkStart w:id="704" w:name="_Toc420814669"/>
      <w:r w:rsidRPr="00F219CA">
        <w:lastRenderedPageBreak/>
        <w:t xml:space="preserve">Title: </w:t>
      </w:r>
      <w:r>
        <w:t>Australian Dental Journal</w:t>
      </w:r>
      <w:bookmarkEnd w:id="704"/>
    </w:p>
    <w:p w:rsidR="007C050F" w:rsidRPr="00F219CA" w:rsidRDefault="007C050F" w:rsidP="007C050F">
      <w:pPr>
        <w:pStyle w:val="12"/>
      </w:pPr>
      <w:r w:rsidRPr="00F219CA">
        <w:t xml:space="preserve">Full Journal Title: </w:t>
      </w:r>
      <w:r>
        <w:t>Australian Dental Journal</w:t>
      </w:r>
    </w:p>
    <w:p w:rsidR="007C050F" w:rsidRPr="00F219CA" w:rsidRDefault="007C050F" w:rsidP="007C050F">
      <w:pPr>
        <w:pStyle w:val="12"/>
      </w:pPr>
      <w:r w:rsidRPr="00F219CA">
        <w:t xml:space="preserve">ISO Abbreviated Title: </w:t>
      </w:r>
    </w:p>
    <w:p w:rsidR="007C050F" w:rsidRPr="00F219CA" w:rsidRDefault="007C050F" w:rsidP="007C050F">
      <w:pPr>
        <w:pStyle w:val="12"/>
      </w:pPr>
      <w:r w:rsidRPr="00F219CA">
        <w:t xml:space="preserve">JCR Abbreviated Title: </w:t>
      </w:r>
    </w:p>
    <w:p w:rsidR="007C050F" w:rsidRPr="00F219CA" w:rsidRDefault="007C050F" w:rsidP="007C050F">
      <w:pPr>
        <w:pStyle w:val="12"/>
      </w:pPr>
      <w:r w:rsidRPr="00F219CA">
        <w:t xml:space="preserve">ISSN: </w:t>
      </w:r>
    </w:p>
    <w:p w:rsidR="007C050F" w:rsidRPr="00F219CA" w:rsidRDefault="007C050F" w:rsidP="007C050F">
      <w:pPr>
        <w:pStyle w:val="12"/>
      </w:pPr>
      <w:r w:rsidRPr="00F219CA">
        <w:t xml:space="preserve">Issues/Year: </w:t>
      </w:r>
    </w:p>
    <w:p w:rsidR="007C050F" w:rsidRPr="00F219CA" w:rsidRDefault="007C050F" w:rsidP="007C050F">
      <w:pPr>
        <w:pStyle w:val="12"/>
      </w:pPr>
      <w:r w:rsidRPr="00F219CA">
        <w:t xml:space="preserve">Journal Country/Territory: </w:t>
      </w:r>
    </w:p>
    <w:p w:rsidR="007C050F" w:rsidRPr="00F219CA" w:rsidRDefault="007C050F" w:rsidP="007C050F">
      <w:pPr>
        <w:pStyle w:val="12"/>
      </w:pPr>
      <w:r w:rsidRPr="00F219CA">
        <w:t xml:space="preserve">Language: </w:t>
      </w:r>
    </w:p>
    <w:p w:rsidR="007C050F" w:rsidRPr="00F219CA" w:rsidRDefault="007C050F" w:rsidP="007C050F">
      <w:pPr>
        <w:pStyle w:val="12"/>
      </w:pPr>
      <w:r w:rsidRPr="00F219CA">
        <w:t xml:space="preserve">Publisher: </w:t>
      </w:r>
    </w:p>
    <w:p w:rsidR="007C050F" w:rsidRPr="00F219CA" w:rsidRDefault="007C050F" w:rsidP="007C050F">
      <w:pPr>
        <w:pStyle w:val="12"/>
      </w:pPr>
      <w:r w:rsidRPr="00F219CA">
        <w:t xml:space="preserve">Publisher Address: </w:t>
      </w:r>
    </w:p>
    <w:p w:rsidR="007C050F" w:rsidRPr="00F219CA" w:rsidRDefault="007C050F" w:rsidP="007C050F">
      <w:pPr>
        <w:pStyle w:val="12"/>
      </w:pPr>
      <w:r w:rsidRPr="00F219CA">
        <w:t>Subject Categories:</w:t>
      </w:r>
    </w:p>
    <w:p w:rsidR="007C050F" w:rsidRPr="00F219CA" w:rsidRDefault="007C050F" w:rsidP="007C050F">
      <w:pPr>
        <w:pStyle w:val="12"/>
      </w:pPr>
      <w:r w:rsidRPr="00F219CA">
        <w:t xml:space="preserve">: Impact Factor </w:t>
      </w:r>
    </w:p>
    <w:p w:rsidR="007C050F" w:rsidRPr="00F219CA" w:rsidRDefault="007C050F" w:rsidP="007C050F">
      <w:pPr>
        <w:pStyle w:val="a3"/>
      </w:pPr>
      <w:r w:rsidRPr="00F219CA">
        <w:t xml:space="preserve">? </w:t>
      </w:r>
      <w:r>
        <w:t>Smith, D</w:t>
      </w:r>
      <w:r>
        <w:rPr>
          <w:rFonts w:hint="eastAsia"/>
        </w:rPr>
        <w:t>.</w:t>
      </w:r>
      <w:r>
        <w:t>R</w:t>
      </w:r>
      <w:r>
        <w:rPr>
          <w:rFonts w:hint="eastAsia"/>
        </w:rPr>
        <w:t>.</w:t>
      </w:r>
      <w:r w:rsidRPr="00F219CA">
        <w:t xml:space="preserve"> (200</w:t>
      </w:r>
      <w:r>
        <w:rPr>
          <w:rFonts w:hint="eastAsia"/>
        </w:rPr>
        <w:t>8</w:t>
      </w:r>
      <w:r w:rsidRPr="00F219CA">
        <w:t xml:space="preserve">), </w:t>
      </w:r>
      <w:r>
        <w:t>Highly-cited articles in</w:t>
      </w:r>
      <w:r w:rsidR="003A1917">
        <w:t xml:space="preserve"> the </w:t>
      </w:r>
      <w:r w:rsidRPr="00637627">
        <w:rPr>
          <w:i/>
        </w:rPr>
        <w:t>Australian Dental Journal</w:t>
      </w:r>
      <w:r w:rsidRPr="00F219CA">
        <w:t xml:space="preserve">. </w:t>
      </w:r>
      <w:r w:rsidRPr="00637627">
        <w:rPr>
          <w:i/>
        </w:rPr>
        <w:t>Australian Dental Journal</w:t>
      </w:r>
      <w:r w:rsidRPr="00F219CA">
        <w:t xml:space="preserve">, </w:t>
      </w:r>
      <w:r>
        <w:rPr>
          <w:rFonts w:hint="eastAsia"/>
          <w:b/>
          <w:bCs/>
        </w:rPr>
        <w:t>53</w:t>
      </w:r>
      <w:r w:rsidRPr="00F219CA">
        <w:t xml:space="preserve"> (</w:t>
      </w:r>
      <w:r>
        <w:rPr>
          <w:rFonts w:hint="eastAsia"/>
        </w:rPr>
        <w:t>3</w:t>
      </w:r>
      <w:r w:rsidRPr="00F219CA">
        <w:t xml:space="preserve">), </w:t>
      </w:r>
      <w:r>
        <w:t>265-266</w:t>
      </w:r>
      <w:r w:rsidRPr="00F219CA">
        <w:t>.</w:t>
      </w:r>
    </w:p>
    <w:p w:rsidR="007C050F" w:rsidRDefault="007C050F" w:rsidP="007C050F">
      <w:pPr>
        <w:pStyle w:val="a3"/>
      </w:pPr>
      <w:r w:rsidRPr="00F219CA">
        <w:t xml:space="preserve">Full Text: </w:t>
      </w:r>
      <w:hyperlink r:id="rId1376" w:history="1">
        <w:r w:rsidRPr="00637627">
          <w:rPr>
            <w:rStyle w:val="a5"/>
          </w:rPr>
          <w:t>2008\Aus Den J53, 265.pdf</w:t>
        </w:r>
      </w:hyperlink>
    </w:p>
    <w:p w:rsidR="007C050F" w:rsidRPr="00F219CA" w:rsidRDefault="007C050F" w:rsidP="007C050F">
      <w:pPr>
        <w:pStyle w:val="a3"/>
      </w:pPr>
      <w:r>
        <w:t>Keywords: Citation Classics, Impact Factor, Dentistry, Publishing, Impact Factor, Periodontology, History</w:t>
      </w:r>
    </w:p>
    <w:p w:rsidR="00AF7C94" w:rsidRDefault="00AF7C94" w:rsidP="00AF7C94">
      <w:pPr>
        <w:pStyle w:val="a3"/>
        <w:rPr>
          <w:kern w:val="0"/>
        </w:rPr>
      </w:pPr>
      <w:r>
        <w:rPr>
          <w:rFonts w:hint="eastAsia"/>
          <w:kern w:val="0"/>
        </w:rPr>
        <w:t xml:space="preserve">? </w:t>
      </w:r>
      <w:r>
        <w:rPr>
          <w:kern w:val="0"/>
        </w:rPr>
        <w:t xml:space="preserve">Slack-Smith, L.M., Hearn, L., Wilson, D.F. and Wright, F.A.C. (2015), Geriatric dentistry, teaching and future directions. </w:t>
      </w:r>
      <w:r>
        <w:rPr>
          <w:i/>
          <w:iCs/>
          <w:kern w:val="0"/>
        </w:rPr>
        <w:t>Australian Dental Journal</w:t>
      </w:r>
      <w:r>
        <w:rPr>
          <w:kern w:val="0"/>
        </w:rPr>
        <w:t xml:space="preserve">, </w:t>
      </w:r>
      <w:r>
        <w:rPr>
          <w:b/>
          <w:bCs/>
          <w:kern w:val="0"/>
        </w:rPr>
        <w:t>60</w:t>
      </w:r>
      <w:r>
        <w:rPr>
          <w:rFonts w:hint="eastAsia"/>
          <w:kern w:val="0"/>
        </w:rPr>
        <w:t xml:space="preserve"> (S1),</w:t>
      </w:r>
      <w:r>
        <w:rPr>
          <w:kern w:val="0"/>
        </w:rPr>
        <w:t xml:space="preserve"> 125-130.</w:t>
      </w:r>
    </w:p>
    <w:p w:rsidR="00AF7C94" w:rsidRDefault="00AF7C94" w:rsidP="00AF7C94">
      <w:pPr>
        <w:pStyle w:val="a3"/>
      </w:pPr>
      <w:r w:rsidRPr="00F219CA">
        <w:t xml:space="preserve">Full Text: </w:t>
      </w:r>
      <w:hyperlink r:id="rId1377" w:history="1">
        <w:r w:rsidRPr="00987090">
          <w:rPr>
            <w:rStyle w:val="a5"/>
          </w:rPr>
          <w:t>2015\Aus Den J60, 125.pdf</w:t>
        </w:r>
      </w:hyperlink>
    </w:p>
    <w:p w:rsidR="00AF7C94" w:rsidRDefault="00AF7C94" w:rsidP="00AF7C94">
      <w:pPr>
        <w:pStyle w:val="a3"/>
        <w:rPr>
          <w:kern w:val="0"/>
        </w:rPr>
      </w:pPr>
      <w:r>
        <w:rPr>
          <w:kern w:val="0"/>
        </w:rPr>
        <w:t xml:space="preserve">Abstract: BackgroundMany nations are facing a demographic shift in the age profile of their population, leading the World Health Organization to a Call for Public Health Action’ on the oral health of older people. MethodsA search of the literature relevant to geriatric dentistry teaching was undertaken using MEDLINE, Web of Science, Eric and Psychlit. A search of dental professional school websites in Australia and policy and international practice documents was undertaken. ResultsThe international literature describes requirements for geriatric dentistry courses and various approaches to teaching, including didactic teaching, practical experiences and external placements. Challenges are identified in the area of geriatric dental education. Educational institutions (with others) have an obligation to lead change, yet there appears to be little formal recognition in Australian dental curricula of the need to develop quality education and research programmes in geriatric dentistry. ConclusionsInternationally, the inclusion of geriatrics within dental curricula has been the subject of consideration since the 1970s. The current evidence indicates that geriatrics/gerodontology is not a significant component of dental curricula. Given the projected age distribution in many countries, the need for implementation of dental </w:t>
      </w:r>
      <w:r>
        <w:rPr>
          <w:kern w:val="0"/>
        </w:rPr>
        <w:lastRenderedPageBreak/>
        <w:t>curriculum content in the area of geriatrics/gerodontology is evident.</w:t>
      </w:r>
    </w:p>
    <w:p w:rsidR="00AF7C94" w:rsidRDefault="00AF7C94" w:rsidP="00AF7C94">
      <w:pPr>
        <w:pStyle w:val="a3"/>
        <w:rPr>
          <w:kern w:val="0"/>
        </w:rPr>
      </w:pPr>
      <w:r>
        <w:rPr>
          <w:kern w:val="0"/>
        </w:rPr>
        <w:t>Keywords: Age, Aged Care Facilities, Australia, Australian, Community, Content, Curricula, Curriculum, Dental Education, Dentistry, Distribution, Documents, Edentulism, Education, Educational Institutions, Evidence, Geriatric, Geriatrics, Gerodontics, Health, Implementation, Institutions, International, Issues, Lead, Literature, Mar, Medline, Nations, Nursing-Homes, Obligation, Older, Older People, Older-People, Oral, Oral Health, Oral-Health, Planning, Policy, Population, Practice, Programmes, Public Health, Quality, Research, Review, Science, Si, Teaching, Web, Web Of Science, Websites, Western-Australia, World Health Organization</w:t>
      </w:r>
    </w:p>
    <w:p w:rsidR="003E480C" w:rsidRPr="001A3D2B" w:rsidRDefault="003E480C" w:rsidP="003E480C">
      <w:pPr>
        <w:pStyle w:val="1"/>
      </w:pPr>
      <w:r w:rsidRPr="001A3D2B">
        <w:br w:type="page"/>
      </w:r>
      <w:bookmarkStart w:id="705" w:name="_Toc420814670"/>
      <w:r w:rsidRPr="001A3D2B">
        <w:lastRenderedPageBreak/>
        <w:t>Title: Australian Educational Researcher</w:t>
      </w:r>
      <w:bookmarkEnd w:id="705"/>
    </w:p>
    <w:p w:rsidR="003E480C" w:rsidRPr="001A3D2B" w:rsidRDefault="003E480C" w:rsidP="003E480C">
      <w:pPr>
        <w:pStyle w:val="12"/>
      </w:pPr>
      <w:r w:rsidRPr="001A3D2B">
        <w:t>Full Journal Title: Australian Educational Researcher</w:t>
      </w:r>
    </w:p>
    <w:p w:rsidR="003E480C" w:rsidRPr="001A3D2B" w:rsidRDefault="003E480C" w:rsidP="003E480C">
      <w:pPr>
        <w:pStyle w:val="12"/>
      </w:pPr>
      <w:r w:rsidRPr="001A3D2B">
        <w:t xml:space="preserve">ISO Abbreviated Title: </w:t>
      </w:r>
    </w:p>
    <w:p w:rsidR="003E480C" w:rsidRPr="001A3D2B" w:rsidRDefault="003E480C" w:rsidP="003E480C">
      <w:pPr>
        <w:pStyle w:val="12"/>
      </w:pPr>
      <w:r w:rsidRPr="001A3D2B">
        <w:t xml:space="preserve">JCR Abbreviated Title: </w:t>
      </w:r>
    </w:p>
    <w:p w:rsidR="003E480C" w:rsidRPr="001A3D2B" w:rsidRDefault="003E480C" w:rsidP="003E480C">
      <w:pPr>
        <w:pStyle w:val="12"/>
      </w:pPr>
      <w:r w:rsidRPr="001A3D2B">
        <w:t xml:space="preserve">ISSN: </w:t>
      </w:r>
    </w:p>
    <w:p w:rsidR="003E480C" w:rsidRPr="001A3D2B" w:rsidRDefault="003E480C" w:rsidP="003E480C">
      <w:pPr>
        <w:pStyle w:val="12"/>
      </w:pPr>
      <w:r w:rsidRPr="001A3D2B">
        <w:t xml:space="preserve">Issues/Year: </w:t>
      </w:r>
    </w:p>
    <w:p w:rsidR="003E480C" w:rsidRPr="001A3D2B" w:rsidRDefault="00AA25A4" w:rsidP="003E480C">
      <w:pPr>
        <w:pStyle w:val="12"/>
      </w:pPr>
      <w:r w:rsidRPr="001A3D2B">
        <w:t>Journal Country/Territory:</w:t>
      </w:r>
      <w:r w:rsidR="008F46E9" w:rsidRPr="001A3D2B">
        <w:t xml:space="preserve"> </w:t>
      </w:r>
    </w:p>
    <w:p w:rsidR="003E480C" w:rsidRPr="001A3D2B" w:rsidRDefault="003E480C" w:rsidP="003E480C">
      <w:pPr>
        <w:pStyle w:val="12"/>
      </w:pPr>
      <w:r w:rsidRPr="001A3D2B">
        <w:t xml:space="preserve">Language: </w:t>
      </w:r>
    </w:p>
    <w:p w:rsidR="003E480C" w:rsidRPr="001A3D2B" w:rsidRDefault="003E480C" w:rsidP="003E480C">
      <w:pPr>
        <w:pStyle w:val="12"/>
      </w:pPr>
      <w:r w:rsidRPr="001A3D2B">
        <w:t xml:space="preserve">Publisher: </w:t>
      </w:r>
    </w:p>
    <w:p w:rsidR="003E480C" w:rsidRPr="001A3D2B" w:rsidRDefault="003E480C" w:rsidP="003E480C">
      <w:pPr>
        <w:pStyle w:val="12"/>
      </w:pPr>
      <w:r w:rsidRPr="001A3D2B">
        <w:t xml:space="preserve">Publisher Address: </w:t>
      </w:r>
    </w:p>
    <w:p w:rsidR="003E480C" w:rsidRPr="001A3D2B" w:rsidRDefault="003E480C" w:rsidP="003E480C">
      <w:pPr>
        <w:pStyle w:val="12"/>
      </w:pPr>
      <w:r w:rsidRPr="001A3D2B">
        <w:t>Subject Categories:</w:t>
      </w:r>
    </w:p>
    <w:p w:rsidR="003E480C" w:rsidRPr="001A3D2B" w:rsidRDefault="003E480C" w:rsidP="003E480C">
      <w:pPr>
        <w:pStyle w:val="12"/>
      </w:pPr>
      <w:r w:rsidRPr="001A3D2B">
        <w:t xml:space="preserve">: Impact Factor </w:t>
      </w:r>
    </w:p>
    <w:p w:rsidR="003E480C" w:rsidRPr="001A3D2B" w:rsidRDefault="003E480C" w:rsidP="003E480C">
      <w:pPr>
        <w:pStyle w:val="a3"/>
      </w:pPr>
      <w:r w:rsidRPr="001A3D2B">
        <w:t>? Bates, R. (2003), Phelan</w:t>
      </w:r>
      <w:r w:rsidR="00700038">
        <w:t>’</w:t>
      </w:r>
      <w:r w:rsidR="00C13DDC">
        <w:t>s</w:t>
      </w:r>
      <w:r w:rsidRPr="001A3D2B">
        <w:t xml:space="preserve"> bibliometric analysis</w:t>
      </w:r>
      <w:r w:rsidR="00427468">
        <w:t xml:space="preserve"> of </w:t>
      </w:r>
      <w:r w:rsidR="003A1917">
        <w:t xml:space="preserve">the </w:t>
      </w:r>
      <w:r w:rsidRPr="001A3D2B">
        <w:t>impact</w:t>
      </w:r>
      <w:r w:rsidR="00427468">
        <w:t xml:space="preserve"> of </w:t>
      </w:r>
      <w:r w:rsidRPr="001A3D2B">
        <w:rPr>
          <w:i/>
          <w:iCs/>
        </w:rPr>
        <w:t>Australian Educational Researcher</w:t>
      </w:r>
      <w:r w:rsidRPr="001A3D2B">
        <w:t xml:space="preserve">. </w:t>
      </w:r>
      <w:r w:rsidRPr="001A3D2B">
        <w:rPr>
          <w:i/>
          <w:iCs/>
        </w:rPr>
        <w:t>Australian Educational Researcher</w:t>
      </w:r>
      <w:r w:rsidRPr="001A3D2B">
        <w:t xml:space="preserve">, </w:t>
      </w:r>
      <w:r w:rsidRPr="001A3D2B">
        <w:rPr>
          <w:b/>
          <w:bCs/>
        </w:rPr>
        <w:t>30</w:t>
      </w:r>
      <w:r w:rsidRPr="001A3D2B">
        <w:t xml:space="preserve"> (2), 57-64.</w:t>
      </w:r>
    </w:p>
    <w:p w:rsidR="00B66E7D" w:rsidRPr="001A3D2B" w:rsidRDefault="00B66E7D" w:rsidP="00B66E7D">
      <w:pPr>
        <w:pStyle w:val="a3"/>
      </w:pPr>
      <w:r w:rsidRPr="001A3D2B">
        <w:t xml:space="preserve">Full Text: </w:t>
      </w:r>
      <w:hyperlink r:id="rId1378" w:history="1">
        <w:r w:rsidRPr="001A3D2B">
          <w:rPr>
            <w:rStyle w:val="a5"/>
          </w:rPr>
          <w:t>2003\Aus Edu Res30, 57.pdf</w:t>
        </w:r>
      </w:hyperlink>
    </w:p>
    <w:p w:rsidR="003E480C" w:rsidRPr="001A3D2B" w:rsidRDefault="003E480C" w:rsidP="003E480C">
      <w:pPr>
        <w:pStyle w:val="a3"/>
      </w:pPr>
      <w:r w:rsidRPr="001A3D2B">
        <w:t>Abstract: Phelan (2000) has produced a complex bibliometric analysis</w:t>
      </w:r>
      <w:r w:rsidR="00427468">
        <w:t xml:space="preserve"> of </w:t>
      </w:r>
      <w:r w:rsidR="003A1917">
        <w:t xml:space="preserve">the </w:t>
      </w:r>
      <w:r w:rsidRPr="001A3D2B">
        <w:t>international contribution</w:t>
      </w:r>
      <w:r w:rsidR="00427468">
        <w:t xml:space="preserve"> of </w:t>
      </w:r>
      <w:r w:rsidRPr="001A3D2B">
        <w:t>Australian educational research based upon publications</w:t>
      </w:r>
      <w:r w:rsidR="005853A9">
        <w:t xml:space="preserve"> and </w:t>
      </w:r>
      <w:r w:rsidRPr="001A3D2B">
        <w:t>citations reported in</w:t>
      </w:r>
      <w:r w:rsidR="003A1917">
        <w:t xml:space="preserve"> the </w:t>
      </w:r>
      <w:r w:rsidRPr="001A3D2B">
        <w:t>journals indexed by</w:t>
      </w:r>
      <w:r w:rsidR="003A1917">
        <w:t xml:space="preserve"> the </w:t>
      </w:r>
      <w:r w:rsidRPr="001A3D2B">
        <w:t>Institute for Scientific Information</w:t>
      </w:r>
      <w:r w:rsidR="003A1917">
        <w:t xml:space="preserve"> the </w:t>
      </w:r>
      <w:r w:rsidRPr="001A3D2B">
        <w:t>Standard &amp; Poors</w:t>
      </w:r>
      <w:r w:rsidR="00427468">
        <w:t xml:space="preserve"> of </w:t>
      </w:r>
      <w:r w:rsidR="003A1917">
        <w:t xml:space="preserve">the </w:t>
      </w:r>
      <w:r w:rsidRPr="001A3D2B">
        <w:t>academic world. This paper examines Phelan</w:t>
      </w:r>
      <w:r w:rsidR="00700038">
        <w:t>’</w:t>
      </w:r>
      <w:r w:rsidR="00C13DDC">
        <w:t>s</w:t>
      </w:r>
      <w:r w:rsidRPr="001A3D2B">
        <w:t xml:space="preserve"> analysis, showing its strengths</w:t>
      </w:r>
      <w:r w:rsidR="005853A9">
        <w:t xml:space="preserve"> and </w:t>
      </w:r>
      <w:r w:rsidRPr="001A3D2B">
        <w:t>weaknesses, as well as examining his proposal for</w:t>
      </w:r>
      <w:r w:rsidR="003A1917">
        <w:t xml:space="preserve"> the </w:t>
      </w:r>
      <w:r w:rsidRPr="001A3D2B">
        <w:t>establishment</w:t>
      </w:r>
      <w:r w:rsidR="00427468">
        <w:t xml:space="preserve"> of </w:t>
      </w:r>
      <w:r w:rsidRPr="001A3D2B">
        <w:t>an Australian database along</w:t>
      </w:r>
      <w:r w:rsidR="003A1917">
        <w:t xml:space="preserve"> the </w:t>
      </w:r>
      <w:r w:rsidRPr="001A3D2B">
        <w:t>lines</w:t>
      </w:r>
      <w:r w:rsidR="00427468">
        <w:t xml:space="preserve"> of </w:t>
      </w:r>
      <w:r w:rsidR="003A1917">
        <w:t xml:space="preserve">the </w:t>
      </w:r>
      <w:r w:rsidRPr="001A3D2B">
        <w:t>ISI</w:t>
      </w:r>
      <w:r w:rsidR="00700038">
        <w:t>’</w:t>
      </w:r>
      <w:r w:rsidR="00C13DDC">
        <w:t>s</w:t>
      </w:r>
      <w:r w:rsidRPr="001A3D2B">
        <w:t xml:space="preserve"> index.</w:t>
      </w:r>
    </w:p>
    <w:p w:rsidR="007C4C5C" w:rsidRDefault="007C4C5C" w:rsidP="007C4C5C">
      <w:pPr>
        <w:pStyle w:val="a3"/>
        <w:rPr>
          <w:kern w:val="0"/>
        </w:rPr>
      </w:pPr>
      <w:r>
        <w:rPr>
          <w:rFonts w:hint="eastAsia"/>
          <w:kern w:val="0"/>
        </w:rPr>
        <w:t xml:space="preserve">? </w:t>
      </w:r>
      <w:r>
        <w:rPr>
          <w:kern w:val="0"/>
        </w:rPr>
        <w:t>Albion, P.R. (2012), Benchmarking citation measures among</w:t>
      </w:r>
      <w:r w:rsidR="003A1917">
        <w:rPr>
          <w:kern w:val="0"/>
        </w:rPr>
        <w:t xml:space="preserve"> the </w:t>
      </w:r>
      <w:r>
        <w:rPr>
          <w:kern w:val="0"/>
        </w:rPr>
        <w:t xml:space="preserve">Australian education professoriate. </w:t>
      </w:r>
      <w:r>
        <w:rPr>
          <w:i/>
          <w:iCs/>
          <w:kern w:val="0"/>
        </w:rPr>
        <w:t>Australian Educational Researcher</w:t>
      </w:r>
      <w:r>
        <w:rPr>
          <w:kern w:val="0"/>
        </w:rPr>
        <w:t xml:space="preserve">, </w:t>
      </w:r>
      <w:r>
        <w:rPr>
          <w:b/>
          <w:bCs/>
          <w:kern w:val="0"/>
        </w:rPr>
        <w:t>39</w:t>
      </w:r>
      <w:r>
        <w:rPr>
          <w:kern w:val="0"/>
        </w:rPr>
        <w:t xml:space="preserve"> (2), 221-235.</w:t>
      </w:r>
    </w:p>
    <w:p w:rsidR="007C4C5C" w:rsidRPr="00F219CA" w:rsidRDefault="007C4C5C" w:rsidP="007C4C5C">
      <w:pPr>
        <w:pStyle w:val="a3"/>
      </w:pPr>
      <w:r w:rsidRPr="00F219CA">
        <w:t xml:space="preserve">Full Text: </w:t>
      </w:r>
      <w:hyperlink r:id="rId1379" w:history="1">
        <w:r w:rsidRPr="00E65F7A">
          <w:rPr>
            <w:rStyle w:val="a5"/>
          </w:rPr>
          <w:t>2012\Aus Edu Res39, 221.pdf</w:t>
        </w:r>
      </w:hyperlink>
    </w:p>
    <w:p w:rsidR="007C4C5C" w:rsidRDefault="007C4C5C" w:rsidP="007C4C5C">
      <w:pPr>
        <w:pStyle w:val="a3"/>
        <w:rPr>
          <w:kern w:val="0"/>
        </w:rPr>
      </w:pPr>
      <w:r>
        <w:rPr>
          <w:kern w:val="0"/>
        </w:rPr>
        <w:t>Abstract: Individual researchers</w:t>
      </w:r>
      <w:r w:rsidR="005853A9">
        <w:rPr>
          <w:kern w:val="0"/>
        </w:rPr>
        <w:t xml:space="preserve"> and </w:t>
      </w:r>
      <w:r w:rsidR="003A1917">
        <w:rPr>
          <w:kern w:val="0"/>
        </w:rPr>
        <w:t xml:space="preserve">the </w:t>
      </w:r>
      <w:r>
        <w:rPr>
          <w:kern w:val="0"/>
        </w:rPr>
        <w:t>organisations for which they work are interested in comparative measures</w:t>
      </w:r>
      <w:r w:rsidR="00427468">
        <w:rPr>
          <w:kern w:val="0"/>
        </w:rPr>
        <w:t xml:space="preserve"> of </w:t>
      </w:r>
      <w:r>
        <w:rPr>
          <w:kern w:val="0"/>
        </w:rPr>
        <w:t>research performance for a variety</w:t>
      </w:r>
      <w:r w:rsidR="00427468">
        <w:rPr>
          <w:kern w:val="0"/>
        </w:rPr>
        <w:t xml:space="preserve"> of </w:t>
      </w:r>
      <w:r>
        <w:rPr>
          <w:kern w:val="0"/>
        </w:rPr>
        <w:t>purposes. Such comparisons are facilitated by quantifiable measures that are easily obtained</w:t>
      </w:r>
      <w:r w:rsidR="005853A9">
        <w:rPr>
          <w:kern w:val="0"/>
        </w:rPr>
        <w:t xml:space="preserve"> and </w:t>
      </w:r>
      <w:r>
        <w:rPr>
          <w:kern w:val="0"/>
        </w:rPr>
        <w:t>offer convenience</w:t>
      </w:r>
      <w:r w:rsidR="005853A9">
        <w:rPr>
          <w:kern w:val="0"/>
        </w:rPr>
        <w:t xml:space="preserve"> and </w:t>
      </w:r>
      <w:r>
        <w:rPr>
          <w:kern w:val="0"/>
        </w:rPr>
        <w:t>a sense</w:t>
      </w:r>
      <w:r w:rsidR="00427468">
        <w:rPr>
          <w:kern w:val="0"/>
        </w:rPr>
        <w:t xml:space="preserve"> of </w:t>
      </w:r>
      <w:r>
        <w:rPr>
          <w:kern w:val="0"/>
        </w:rPr>
        <w:t>objectivity. One popular measure is</w:t>
      </w:r>
      <w:r w:rsidR="003A1917">
        <w:rPr>
          <w:kern w:val="0"/>
        </w:rPr>
        <w:t xml:space="preserve"> the </w:t>
      </w:r>
      <w:r>
        <w:rPr>
          <w:kern w:val="0"/>
        </w:rPr>
        <w:t>journal impact factor, based on citation rates, but it is a measure intended for journals rather than individuals. Moreover, educational research publications are not well represented in</w:t>
      </w:r>
      <w:r w:rsidR="003A1917">
        <w:rPr>
          <w:kern w:val="0"/>
        </w:rPr>
        <w:t xml:space="preserve"> the </w:t>
      </w:r>
      <w:r>
        <w:rPr>
          <w:kern w:val="0"/>
        </w:rPr>
        <w:t>databases most widely used for calculation</w:t>
      </w:r>
      <w:r w:rsidR="00427468">
        <w:rPr>
          <w:kern w:val="0"/>
        </w:rPr>
        <w:t xml:space="preserve"> of </w:t>
      </w:r>
      <w:r>
        <w:rPr>
          <w:kern w:val="0"/>
        </w:rPr>
        <w:t>citation measures, leading to doubts about</w:t>
      </w:r>
      <w:r w:rsidR="003A1917">
        <w:rPr>
          <w:kern w:val="0"/>
        </w:rPr>
        <w:t xml:space="preserve"> the </w:t>
      </w:r>
      <w:r>
        <w:rPr>
          <w:kern w:val="0"/>
        </w:rPr>
        <w:t>usefulness</w:t>
      </w:r>
      <w:r w:rsidR="00427468">
        <w:rPr>
          <w:kern w:val="0"/>
        </w:rPr>
        <w:t xml:space="preserve"> of </w:t>
      </w:r>
      <w:r>
        <w:rPr>
          <w:kern w:val="0"/>
        </w:rPr>
        <w:t>such measures in education. Newer measures</w:t>
      </w:r>
      <w:r w:rsidR="005853A9">
        <w:rPr>
          <w:kern w:val="0"/>
        </w:rPr>
        <w:t xml:space="preserve"> and </w:t>
      </w:r>
      <w:r>
        <w:rPr>
          <w:kern w:val="0"/>
        </w:rPr>
        <w:t>data sources offer alternatives that provide wider representation</w:t>
      </w:r>
      <w:r w:rsidR="00427468">
        <w:rPr>
          <w:kern w:val="0"/>
        </w:rPr>
        <w:t xml:space="preserve"> of </w:t>
      </w:r>
      <w:r>
        <w:rPr>
          <w:kern w:val="0"/>
        </w:rPr>
        <w:t>education research. However, research has shown that citation rates vary according to discipline</w:t>
      </w:r>
      <w:r w:rsidR="005853A9">
        <w:rPr>
          <w:kern w:val="0"/>
        </w:rPr>
        <w:t xml:space="preserve"> and </w:t>
      </w:r>
      <w:r>
        <w:rPr>
          <w:kern w:val="0"/>
        </w:rPr>
        <w:t>that valid comparisons depend upon</w:t>
      </w:r>
      <w:r w:rsidR="003A1917">
        <w:rPr>
          <w:kern w:val="0"/>
        </w:rPr>
        <w:t xml:space="preserve"> the </w:t>
      </w:r>
      <w:r>
        <w:rPr>
          <w:kern w:val="0"/>
        </w:rPr>
        <w:t>availability</w:t>
      </w:r>
      <w:r w:rsidR="00427468">
        <w:rPr>
          <w:kern w:val="0"/>
        </w:rPr>
        <w:t xml:space="preserve"> of </w:t>
      </w:r>
      <w:r>
        <w:rPr>
          <w:kern w:val="0"/>
        </w:rPr>
        <w:t xml:space="preserve">discipline-specific benchmarks. This study sought to provide such benchmarks for </w:t>
      </w:r>
      <w:r>
        <w:rPr>
          <w:kern w:val="0"/>
        </w:rPr>
        <w:lastRenderedPageBreak/>
        <w:t>Australian educational researchers based on analysis</w:t>
      </w:r>
      <w:r w:rsidR="00427468">
        <w:rPr>
          <w:kern w:val="0"/>
        </w:rPr>
        <w:t xml:space="preserve"> of </w:t>
      </w:r>
      <w:r>
        <w:rPr>
          <w:kern w:val="0"/>
        </w:rPr>
        <w:t>citation measures obtained for</w:t>
      </w:r>
      <w:r w:rsidR="003A1917">
        <w:rPr>
          <w:kern w:val="0"/>
        </w:rPr>
        <w:t xml:space="preserve"> the </w:t>
      </w:r>
      <w:r>
        <w:rPr>
          <w:kern w:val="0"/>
        </w:rPr>
        <w:t>Australian education professoriate.</w:t>
      </w:r>
    </w:p>
    <w:p w:rsidR="007C4C5C" w:rsidRDefault="007C4C5C" w:rsidP="007C4C5C">
      <w:pPr>
        <w:pStyle w:val="a3"/>
        <w:rPr>
          <w:kern w:val="0"/>
        </w:rPr>
      </w:pPr>
      <w:r>
        <w:rPr>
          <w:kern w:val="0"/>
        </w:rPr>
        <w:t xml:space="preserve">Keywords: Alternatives, Analysis, Australian, Availability, Benchmarking, Bibliometrics, Calculation, Citation, Citation Measures, Counts, Data, Databases, Education, Educational Research, Google Scholar, </w:t>
      </w:r>
      <w:r w:rsidR="00D5664A">
        <w:rPr>
          <w:rFonts w:hint="eastAsia"/>
          <w:kern w:val="0"/>
        </w:rPr>
        <w:t>h-Index</w:t>
      </w:r>
      <w:r>
        <w:rPr>
          <w:kern w:val="0"/>
        </w:rPr>
        <w:t>, Impact, Impact Factor, Journal, Journal Impact, Journal Impact Factor, Journals, Measure, Performance, Publication, Publications, Rates, Representation, Research, Research Impact, Research Performance, Scopus, Sources, Web, Work</w:t>
      </w:r>
    </w:p>
    <w:p w:rsidR="00D72764" w:rsidRDefault="00D72764" w:rsidP="00D72764">
      <w:pPr>
        <w:pStyle w:val="a3"/>
        <w:rPr>
          <w:kern w:val="0"/>
        </w:rPr>
      </w:pPr>
      <w:r>
        <w:rPr>
          <w:kern w:val="0"/>
        </w:rPr>
        <w:t>? Lindblad, R.F.</w:t>
      </w:r>
      <w:r w:rsidR="005853A9">
        <w:rPr>
          <w:kern w:val="0"/>
        </w:rPr>
        <w:t xml:space="preserve"> and </w:t>
      </w:r>
      <w:r>
        <w:rPr>
          <w:kern w:val="0"/>
        </w:rPr>
        <w:t>Lindblad, S. (2013), Educational research: The state</w:t>
      </w:r>
      <w:r w:rsidR="00427468">
        <w:rPr>
          <w:kern w:val="0"/>
        </w:rPr>
        <w:t xml:space="preserve"> of </w:t>
      </w:r>
      <w:r>
        <w:rPr>
          <w:kern w:val="0"/>
        </w:rPr>
        <w:t>Sweden</w:t>
      </w:r>
      <w:r w:rsidR="005853A9">
        <w:rPr>
          <w:kern w:val="0"/>
        </w:rPr>
        <w:t xml:space="preserve"> and </w:t>
      </w:r>
      <w:r>
        <w:rPr>
          <w:kern w:val="0"/>
        </w:rPr>
        <w:t xml:space="preserve">the Australian 2.2 world. </w:t>
      </w:r>
      <w:r>
        <w:rPr>
          <w:i/>
          <w:iCs/>
          <w:kern w:val="0"/>
        </w:rPr>
        <w:t>Australian Educational Researcher</w:t>
      </w:r>
      <w:r>
        <w:rPr>
          <w:kern w:val="0"/>
        </w:rPr>
        <w:t xml:space="preserve">, </w:t>
      </w:r>
      <w:r>
        <w:rPr>
          <w:b/>
          <w:bCs/>
          <w:kern w:val="0"/>
        </w:rPr>
        <w:t>40</w:t>
      </w:r>
      <w:r>
        <w:rPr>
          <w:kern w:val="0"/>
        </w:rPr>
        <w:t xml:space="preserve"> (4), 527-534.</w:t>
      </w:r>
    </w:p>
    <w:p w:rsidR="00D72764" w:rsidRPr="00F219CA" w:rsidRDefault="00D72764" w:rsidP="00D72764">
      <w:pPr>
        <w:pStyle w:val="a3"/>
      </w:pPr>
      <w:r w:rsidRPr="00F219CA">
        <w:t xml:space="preserve">Full Text: </w:t>
      </w:r>
      <w:r w:rsidRPr="00E2458C">
        <w:t>201</w:t>
      </w:r>
      <w:r>
        <w:rPr>
          <w:rFonts w:hint="eastAsia"/>
        </w:rPr>
        <w:t>3</w:t>
      </w:r>
      <w:r w:rsidRPr="00E2458C">
        <w:t>\Aus Edu Res</w:t>
      </w:r>
      <w:r>
        <w:rPr>
          <w:rFonts w:hint="eastAsia"/>
        </w:rPr>
        <w:t>40</w:t>
      </w:r>
      <w:r w:rsidRPr="00E2458C">
        <w:t xml:space="preserve">, </w:t>
      </w:r>
      <w:r>
        <w:rPr>
          <w:rFonts w:hint="eastAsia"/>
        </w:rPr>
        <w:t>527</w:t>
      </w:r>
      <w:r w:rsidRPr="00E2458C">
        <w:t>.pdf</w:t>
      </w:r>
    </w:p>
    <w:p w:rsidR="00D72764" w:rsidRDefault="00D72764" w:rsidP="00D72764">
      <w:pPr>
        <w:pStyle w:val="a3"/>
        <w:rPr>
          <w:kern w:val="0"/>
        </w:rPr>
      </w:pPr>
      <w:r>
        <w:rPr>
          <w:kern w:val="0"/>
        </w:rPr>
        <w:t>Abstract: Current tendencies in educational research in Sweden are presented</w:t>
      </w:r>
      <w:r w:rsidR="005853A9">
        <w:rPr>
          <w:kern w:val="0"/>
        </w:rPr>
        <w:t xml:space="preserve"> and </w:t>
      </w:r>
      <w:r>
        <w:rPr>
          <w:kern w:val="0"/>
        </w:rPr>
        <w:t>compared to Australia. We here refer to; organization</w:t>
      </w:r>
      <w:r w:rsidR="00427468">
        <w:rPr>
          <w:kern w:val="0"/>
        </w:rPr>
        <w:t xml:space="preserve"> of </w:t>
      </w:r>
      <w:r>
        <w:rPr>
          <w:kern w:val="0"/>
        </w:rPr>
        <w:t>research, research allocation, publication patterns,</w:t>
      </w:r>
      <w:r w:rsidR="005853A9">
        <w:rPr>
          <w:kern w:val="0"/>
        </w:rPr>
        <w:t xml:space="preserve"> and </w:t>
      </w:r>
      <w:r>
        <w:rPr>
          <w:kern w:val="0"/>
        </w:rPr>
        <w:t>assessments</w:t>
      </w:r>
      <w:r w:rsidR="00427468">
        <w:rPr>
          <w:kern w:val="0"/>
        </w:rPr>
        <w:t xml:space="preserve"> of </w:t>
      </w:r>
      <w:r>
        <w:rPr>
          <w:kern w:val="0"/>
        </w:rPr>
        <w:t>research qualities. Different trajectories</w:t>
      </w:r>
      <w:r w:rsidR="00427468">
        <w:rPr>
          <w:kern w:val="0"/>
        </w:rPr>
        <w:t xml:space="preserve"> of </w:t>
      </w:r>
      <w:r>
        <w:rPr>
          <w:kern w:val="0"/>
        </w:rPr>
        <w:t>educational research were identified, where Australian research was organized as a field</w:t>
      </w:r>
      <w:r w:rsidR="00427468">
        <w:rPr>
          <w:kern w:val="0"/>
        </w:rPr>
        <w:t xml:space="preserve"> of </w:t>
      </w:r>
      <w:r>
        <w:rPr>
          <w:kern w:val="0"/>
        </w:rPr>
        <w:t>study, while Swedish research had a disciplinary organization, which now is eroding into a situation more close to the Australian one. In other aspects the Australian</w:t>
      </w:r>
      <w:r w:rsidR="005853A9">
        <w:rPr>
          <w:kern w:val="0"/>
        </w:rPr>
        <w:t xml:space="preserve"> and </w:t>
      </w:r>
      <w:r>
        <w:rPr>
          <w:kern w:val="0"/>
        </w:rPr>
        <w:t>Swedish trajectories seem to harmonize, except for the fact that RAEs in Sweden are initiated</w:t>
      </w:r>
      <w:r w:rsidR="005853A9">
        <w:rPr>
          <w:kern w:val="0"/>
        </w:rPr>
        <w:t xml:space="preserve"> and </w:t>
      </w:r>
      <w:r>
        <w:rPr>
          <w:kern w:val="0"/>
        </w:rPr>
        <w:t>run by the universities themselves</w:t>
      </w:r>
      <w:r w:rsidR="00A37C1D">
        <w:rPr>
          <w:kern w:val="0"/>
        </w:rPr>
        <w:t>. The</w:t>
      </w:r>
      <w:r>
        <w:rPr>
          <w:kern w:val="0"/>
        </w:rPr>
        <w:t>re are also some differences in how research qualities are assessed</w:t>
      </w:r>
      <w:r w:rsidR="005853A9">
        <w:rPr>
          <w:kern w:val="0"/>
        </w:rPr>
        <w:t xml:space="preserve"> and </w:t>
      </w:r>
      <w:r>
        <w:rPr>
          <w:kern w:val="0"/>
        </w:rPr>
        <w:t>the outcomes</w:t>
      </w:r>
      <w:r w:rsidR="00427468">
        <w:rPr>
          <w:kern w:val="0"/>
        </w:rPr>
        <w:t xml:space="preserve"> of </w:t>
      </w:r>
      <w:r>
        <w:rPr>
          <w:kern w:val="0"/>
        </w:rPr>
        <w:t>these assessments. Given these findings different strategies to deal with the current situation are discussed.</w:t>
      </w:r>
    </w:p>
    <w:p w:rsidR="00D72764" w:rsidRDefault="00D72764" w:rsidP="00D72764">
      <w:pPr>
        <w:pStyle w:val="a3"/>
        <w:rPr>
          <w:kern w:val="0"/>
        </w:rPr>
      </w:pPr>
      <w:r>
        <w:rPr>
          <w:kern w:val="0"/>
        </w:rPr>
        <w:t>Keywords: Allocation, Assessments, Australia, Australian, Bibliometrics, Educational Research, Field, Governance, Nov, Organization, Outcomes, Publication, Research, Research Assessment, Sociology</w:t>
      </w:r>
      <w:r w:rsidR="00427468">
        <w:rPr>
          <w:kern w:val="0"/>
        </w:rPr>
        <w:t xml:space="preserve"> of </w:t>
      </w:r>
      <w:r>
        <w:rPr>
          <w:kern w:val="0"/>
        </w:rPr>
        <w:t>Knowledge, Sweden, Universities, World</w:t>
      </w:r>
    </w:p>
    <w:p w:rsidR="003474F2" w:rsidRPr="001A3D2B" w:rsidRDefault="003474F2" w:rsidP="003474F2">
      <w:pPr>
        <w:pStyle w:val="1"/>
      </w:pPr>
      <w:r w:rsidRPr="001A3D2B">
        <w:br w:type="page"/>
      </w:r>
      <w:bookmarkStart w:id="706" w:name="_Toc420814671"/>
      <w:r w:rsidRPr="001A3D2B">
        <w:lastRenderedPageBreak/>
        <w:t>Title: Australian Journal</w:t>
      </w:r>
      <w:r w:rsidR="00427468">
        <w:t xml:space="preserve"> of </w:t>
      </w:r>
      <w:r w:rsidRPr="001A3D2B">
        <w:t>Dairy Technology</w:t>
      </w:r>
      <w:bookmarkEnd w:id="706"/>
    </w:p>
    <w:p w:rsidR="003474F2" w:rsidRPr="001A3D2B" w:rsidRDefault="003474F2" w:rsidP="003474F2">
      <w:pPr>
        <w:pStyle w:val="12"/>
      </w:pPr>
      <w:bookmarkStart w:id="707" w:name="_Toc57561203"/>
      <w:bookmarkStart w:id="708" w:name="_Toc81215634"/>
      <w:r w:rsidRPr="001A3D2B">
        <w:t>Full Journal Title: Australian Journal</w:t>
      </w:r>
      <w:r w:rsidR="00427468">
        <w:t xml:space="preserve"> of </w:t>
      </w:r>
      <w:r w:rsidRPr="001A3D2B">
        <w:t>Dai</w:t>
      </w:r>
      <w:bookmarkEnd w:id="707"/>
      <w:bookmarkEnd w:id="708"/>
      <w:r w:rsidRPr="001A3D2B">
        <w:t>ry Technology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Pr="001A3D2B" w:rsidRDefault="003474F2" w:rsidP="003474F2">
      <w:pPr>
        <w:pStyle w:val="a3"/>
      </w:pPr>
      <w:r w:rsidRPr="001A3D2B">
        <w:t>? Adams, D.J. (1986), A bibliometric analysis</w:t>
      </w:r>
      <w:r w:rsidR="00427468">
        <w:t xml:space="preserve"> of </w:t>
      </w:r>
      <w:r w:rsidRPr="001A3D2B">
        <w:t>literature covered by</w:t>
      </w:r>
      <w:r w:rsidR="003A1917">
        <w:t xml:space="preserve"> the </w:t>
      </w:r>
      <w:r w:rsidRPr="001A3D2B">
        <w:rPr>
          <w:i/>
          <w:iCs/>
        </w:rPr>
        <w:t>Australian Journal</w:t>
      </w:r>
      <w:r w:rsidR="00427468">
        <w:rPr>
          <w:i/>
          <w:iCs/>
        </w:rPr>
        <w:t xml:space="preserve"> of </w:t>
      </w:r>
      <w:r w:rsidRPr="001A3D2B">
        <w:rPr>
          <w:i/>
          <w:iCs/>
        </w:rPr>
        <w:t>Dairy Technology</w:t>
      </w:r>
      <w:r w:rsidRPr="001A3D2B">
        <w:t xml:space="preserve"> in 1983. </w:t>
      </w:r>
      <w:r w:rsidRPr="001A3D2B">
        <w:rPr>
          <w:i/>
          <w:iCs/>
        </w:rPr>
        <w:t>Australian Journal</w:t>
      </w:r>
      <w:r w:rsidR="00427468">
        <w:rPr>
          <w:i/>
          <w:iCs/>
        </w:rPr>
        <w:t xml:space="preserve"> of </w:t>
      </w:r>
      <w:r w:rsidRPr="001A3D2B">
        <w:rPr>
          <w:i/>
          <w:iCs/>
        </w:rPr>
        <w:t>Dairy Technology</w:t>
      </w:r>
      <w:r w:rsidRPr="001A3D2B">
        <w:t xml:space="preserve">, </w:t>
      </w:r>
      <w:r w:rsidRPr="001A3D2B">
        <w:rPr>
          <w:b/>
          <w:bCs/>
        </w:rPr>
        <w:t>41</w:t>
      </w:r>
      <w:r w:rsidRPr="001A3D2B">
        <w:t xml:space="preserve"> (1), 35-37.</w:t>
      </w:r>
    </w:p>
    <w:p w:rsidR="003474F2" w:rsidRPr="001A3D2B" w:rsidRDefault="003474F2" w:rsidP="003474F2">
      <w:pPr>
        <w:pStyle w:val="a3"/>
      </w:pPr>
      <w:r w:rsidRPr="001A3D2B">
        <w:t>Keywords: Bibliometric, Bibliometric Analysis, MAR</w:t>
      </w:r>
    </w:p>
    <w:p w:rsidR="000867C4" w:rsidRPr="00F219CA" w:rsidRDefault="000867C4" w:rsidP="000867C4">
      <w:pPr>
        <w:pStyle w:val="1"/>
      </w:pPr>
      <w:r w:rsidRPr="00F219CA">
        <w:br w:type="page"/>
      </w:r>
      <w:bookmarkStart w:id="709" w:name="_Toc420814672"/>
      <w:r w:rsidRPr="00F219CA">
        <w:lastRenderedPageBreak/>
        <w:t xml:space="preserve">Title: </w:t>
      </w:r>
      <w:r w:rsidRPr="001701EF">
        <w:rPr>
          <w:iCs w:val="0"/>
        </w:rPr>
        <w:t>Australian Journal</w:t>
      </w:r>
      <w:r w:rsidR="00427468">
        <w:rPr>
          <w:iCs w:val="0"/>
        </w:rPr>
        <w:t xml:space="preserve"> of </w:t>
      </w:r>
      <w:r w:rsidRPr="001701EF">
        <w:rPr>
          <w:iCs w:val="0"/>
        </w:rPr>
        <w:t>Earth Sciences</w:t>
      </w:r>
      <w:bookmarkEnd w:id="709"/>
    </w:p>
    <w:p w:rsidR="000867C4" w:rsidRPr="00F219CA" w:rsidRDefault="000867C4" w:rsidP="000867C4">
      <w:pPr>
        <w:pStyle w:val="12"/>
      </w:pPr>
      <w:r w:rsidRPr="00F219CA">
        <w:t xml:space="preserve">Full Journal Title: </w:t>
      </w:r>
      <w:r w:rsidRPr="001701EF">
        <w:rPr>
          <w:iCs/>
          <w:kern w:val="0"/>
        </w:rPr>
        <w:t>Australian Journal</w:t>
      </w:r>
      <w:r w:rsidR="00427468">
        <w:rPr>
          <w:iCs/>
          <w:kern w:val="0"/>
        </w:rPr>
        <w:t xml:space="preserve"> of </w:t>
      </w:r>
      <w:r w:rsidRPr="001701EF">
        <w:rPr>
          <w:iCs/>
          <w:kern w:val="0"/>
        </w:rPr>
        <w:t>Earth Sciences</w:t>
      </w:r>
    </w:p>
    <w:p w:rsidR="000867C4" w:rsidRPr="00F219CA" w:rsidRDefault="000867C4" w:rsidP="000867C4">
      <w:pPr>
        <w:pStyle w:val="12"/>
      </w:pPr>
      <w:r w:rsidRPr="00F219CA">
        <w:t xml:space="preserve">ISO Abbreviated Title: </w:t>
      </w:r>
    </w:p>
    <w:p w:rsidR="000867C4" w:rsidRPr="00F219CA" w:rsidRDefault="000867C4" w:rsidP="000867C4">
      <w:pPr>
        <w:pStyle w:val="12"/>
      </w:pPr>
      <w:r w:rsidRPr="00F219CA">
        <w:t xml:space="preserve">JCR Abbreviated Title: </w:t>
      </w:r>
    </w:p>
    <w:p w:rsidR="000867C4" w:rsidRPr="00F219CA" w:rsidRDefault="000867C4" w:rsidP="000867C4">
      <w:pPr>
        <w:pStyle w:val="12"/>
      </w:pPr>
      <w:r>
        <w:t xml:space="preserve">ISSN: </w:t>
      </w:r>
    </w:p>
    <w:p w:rsidR="000867C4" w:rsidRPr="00F219CA" w:rsidRDefault="000867C4" w:rsidP="000867C4">
      <w:pPr>
        <w:pStyle w:val="12"/>
      </w:pPr>
      <w:r w:rsidRPr="00F219CA">
        <w:t xml:space="preserve">Issues/Year: </w:t>
      </w:r>
    </w:p>
    <w:p w:rsidR="000867C4" w:rsidRPr="00F219CA" w:rsidRDefault="000867C4" w:rsidP="000867C4">
      <w:pPr>
        <w:pStyle w:val="12"/>
      </w:pPr>
      <w:r w:rsidRPr="00F219CA">
        <w:t xml:space="preserve">Journal Country/Territory: </w:t>
      </w:r>
    </w:p>
    <w:p w:rsidR="000867C4" w:rsidRPr="00F219CA" w:rsidRDefault="000867C4" w:rsidP="000867C4">
      <w:pPr>
        <w:pStyle w:val="12"/>
      </w:pPr>
      <w:r w:rsidRPr="00F219CA">
        <w:t xml:space="preserve">Language: </w:t>
      </w:r>
    </w:p>
    <w:p w:rsidR="000867C4" w:rsidRPr="00F219CA" w:rsidRDefault="000867C4" w:rsidP="000867C4">
      <w:pPr>
        <w:pStyle w:val="12"/>
      </w:pPr>
      <w:r w:rsidRPr="00F219CA">
        <w:t xml:space="preserve">Publisher: </w:t>
      </w:r>
    </w:p>
    <w:p w:rsidR="000867C4" w:rsidRPr="00F219CA" w:rsidRDefault="000867C4" w:rsidP="000867C4">
      <w:pPr>
        <w:pStyle w:val="12"/>
      </w:pPr>
      <w:r w:rsidRPr="00F219CA">
        <w:t xml:space="preserve">Publisher Address: </w:t>
      </w:r>
    </w:p>
    <w:p w:rsidR="000867C4" w:rsidRPr="00F219CA" w:rsidRDefault="000867C4" w:rsidP="000867C4">
      <w:pPr>
        <w:pStyle w:val="12"/>
      </w:pPr>
      <w:r w:rsidRPr="00F219CA">
        <w:t>Subject Categories:</w:t>
      </w:r>
    </w:p>
    <w:p w:rsidR="000867C4" w:rsidRPr="00F219CA" w:rsidRDefault="000867C4" w:rsidP="000867C4">
      <w:pPr>
        <w:pStyle w:val="12"/>
      </w:pPr>
      <w:r w:rsidRPr="00F219CA">
        <w:t xml:space="preserve">: Impact Factor </w:t>
      </w:r>
    </w:p>
    <w:p w:rsidR="000867C4" w:rsidRDefault="000867C4" w:rsidP="000867C4">
      <w:pPr>
        <w:pStyle w:val="a3"/>
        <w:rPr>
          <w:kern w:val="0"/>
        </w:rPr>
      </w:pPr>
      <w:r>
        <w:rPr>
          <w:rFonts w:hint="eastAsia"/>
          <w:kern w:val="0"/>
        </w:rPr>
        <w:t xml:space="preserve">? </w:t>
      </w:r>
      <w:r>
        <w:rPr>
          <w:kern w:val="0"/>
        </w:rPr>
        <w:t>Armstrong, R.L. (1991</w:t>
      </w:r>
      <w:r w:rsidR="00F42EAC">
        <w:rPr>
          <w:kern w:val="0"/>
        </w:rPr>
        <w:t>), The</w:t>
      </w:r>
      <w:r w:rsidR="003A1917">
        <w:rPr>
          <w:kern w:val="0"/>
        </w:rPr>
        <w:t xml:space="preserve"> </w:t>
      </w:r>
      <w:r>
        <w:rPr>
          <w:kern w:val="0"/>
        </w:rPr>
        <w:t>persistent myth</w:t>
      </w:r>
      <w:r w:rsidR="00427468">
        <w:rPr>
          <w:kern w:val="0"/>
        </w:rPr>
        <w:t xml:space="preserve"> of </w:t>
      </w:r>
      <w:r>
        <w:rPr>
          <w:kern w:val="0"/>
        </w:rPr>
        <w:t xml:space="preserve">crustal growth. </w:t>
      </w:r>
      <w:r w:rsidRPr="001701EF">
        <w:rPr>
          <w:i/>
          <w:iCs/>
          <w:kern w:val="0"/>
        </w:rPr>
        <w:t>Australian Journal</w:t>
      </w:r>
      <w:r w:rsidR="00427468">
        <w:rPr>
          <w:i/>
          <w:iCs/>
          <w:kern w:val="0"/>
        </w:rPr>
        <w:t xml:space="preserve"> of </w:t>
      </w:r>
      <w:r w:rsidRPr="001701EF">
        <w:rPr>
          <w:i/>
          <w:iCs/>
          <w:kern w:val="0"/>
        </w:rPr>
        <w:t>Earth Sciences</w:t>
      </w:r>
      <w:r>
        <w:rPr>
          <w:kern w:val="0"/>
        </w:rPr>
        <w:t xml:space="preserve">, </w:t>
      </w:r>
      <w:r>
        <w:rPr>
          <w:b/>
          <w:bCs/>
          <w:kern w:val="0"/>
        </w:rPr>
        <w:t>38</w:t>
      </w:r>
      <w:r>
        <w:rPr>
          <w:kern w:val="0"/>
        </w:rPr>
        <w:t xml:space="preserve"> (5), 613-630.</w:t>
      </w:r>
    </w:p>
    <w:p w:rsidR="000867C4" w:rsidRDefault="000867C4" w:rsidP="000867C4">
      <w:pPr>
        <w:pStyle w:val="a3"/>
        <w:rPr>
          <w:kern w:val="0"/>
        </w:rPr>
      </w:pPr>
      <w:r>
        <w:rPr>
          <w:rFonts w:hint="eastAsia"/>
          <w:kern w:val="0"/>
        </w:rPr>
        <w:t xml:space="preserve">Full Text: </w:t>
      </w:r>
      <w:hyperlink r:id="rId1380" w:history="1">
        <w:r w:rsidRPr="000A3BB6">
          <w:rPr>
            <w:rStyle w:val="a5"/>
            <w:kern w:val="0"/>
          </w:rPr>
          <w:t>1991\Aus J Ear Sci38, 613.pdf</w:t>
        </w:r>
      </w:hyperlink>
    </w:p>
    <w:p w:rsidR="000867C4" w:rsidRDefault="000867C4" w:rsidP="000867C4">
      <w:pPr>
        <w:pStyle w:val="a3"/>
        <w:rPr>
          <w:kern w:val="0"/>
        </w:rPr>
      </w:pPr>
      <w:r>
        <w:rPr>
          <w:kern w:val="0"/>
        </w:rPr>
        <w:t>Abstract: From</w:t>
      </w:r>
      <w:r w:rsidR="003A1917">
        <w:rPr>
          <w:kern w:val="0"/>
        </w:rPr>
        <w:t xml:space="preserve"> the </w:t>
      </w:r>
      <w:r>
        <w:rPr>
          <w:kern w:val="0"/>
        </w:rPr>
        <w:t>extraterrestrial telescopic, space probe, meteorite</w:t>
      </w:r>
      <w:r w:rsidR="005853A9">
        <w:rPr>
          <w:kern w:val="0"/>
        </w:rPr>
        <w:t xml:space="preserve"> and </w:t>
      </w:r>
      <w:r>
        <w:rPr>
          <w:kern w:val="0"/>
        </w:rPr>
        <w:t>returned sample studies</w:t>
      </w:r>
      <w:r w:rsidR="00427468">
        <w:rPr>
          <w:kern w:val="0"/>
        </w:rPr>
        <w:t xml:space="preserve"> of </w:t>
      </w:r>
      <w:r>
        <w:rPr>
          <w:kern w:val="0"/>
        </w:rPr>
        <w:t>planetary evolution,</w:t>
      </w:r>
      <w:r w:rsidR="005853A9">
        <w:rPr>
          <w:kern w:val="0"/>
        </w:rPr>
        <w:t xml:space="preserve"> and </w:t>
      </w:r>
      <w:r>
        <w:rPr>
          <w:kern w:val="0"/>
        </w:rPr>
        <w:t>terrestrial evidence for early differentiation</w:t>
      </w:r>
      <w:r w:rsidR="00427468">
        <w:rPr>
          <w:kern w:val="0"/>
        </w:rPr>
        <w:t xml:space="preserve"> of </w:t>
      </w:r>
      <w:r>
        <w:rPr>
          <w:kern w:val="0"/>
        </w:rPr>
        <w:t>core</w:t>
      </w:r>
      <w:r w:rsidR="005853A9">
        <w:rPr>
          <w:kern w:val="0"/>
        </w:rPr>
        <w:t xml:space="preserve"> and </w:t>
      </w:r>
      <w:r>
        <w:rPr>
          <w:kern w:val="0"/>
        </w:rPr>
        <w:t>fluid spheres</w:t>
      </w:r>
      <w:r w:rsidR="005853A9">
        <w:rPr>
          <w:kern w:val="0"/>
        </w:rPr>
        <w:t xml:space="preserve"> and </w:t>
      </w:r>
      <w:r>
        <w:rPr>
          <w:kern w:val="0"/>
        </w:rPr>
        <w:t>continental crust, I feel</w:t>
      </w:r>
      <w:r w:rsidR="003A1917">
        <w:rPr>
          <w:kern w:val="0"/>
        </w:rPr>
        <w:t xml:space="preserve"> the </w:t>
      </w:r>
      <w:r>
        <w:rPr>
          <w:kern w:val="0"/>
        </w:rPr>
        <w:t>conclusion is inescapable that large terrestrial planets</w:t>
      </w:r>
      <w:r w:rsidR="00427468">
        <w:rPr>
          <w:kern w:val="0"/>
        </w:rPr>
        <w:t xml:space="preserve"> of </w:t>
      </w:r>
      <w:r>
        <w:rPr>
          <w:kern w:val="0"/>
        </w:rPr>
        <w:t>our solar system underwent essentially immediate differentiation into relatively constant-volume core, depleted mantle, enriched crust</w:t>
      </w:r>
      <w:r w:rsidR="005853A9">
        <w:rPr>
          <w:kern w:val="0"/>
        </w:rPr>
        <w:t xml:space="preserve"> and </w:t>
      </w:r>
      <w:r>
        <w:rPr>
          <w:kern w:val="0"/>
        </w:rPr>
        <w:t>fluid reservoirs. Differentiation was an early event, carried rapidly to completion. It is a false premise to have</w:t>
      </w:r>
      <w:r w:rsidR="003A1917">
        <w:rPr>
          <w:kern w:val="0"/>
        </w:rPr>
        <w:t xml:space="preserve"> the </w:t>
      </w:r>
      <w:r>
        <w:rPr>
          <w:kern w:val="0"/>
        </w:rPr>
        <w:t>formation</w:t>
      </w:r>
      <w:r w:rsidR="00427468">
        <w:rPr>
          <w:kern w:val="0"/>
        </w:rPr>
        <w:t xml:space="preserve"> of </w:t>
      </w:r>
      <w:r>
        <w:rPr>
          <w:kern w:val="0"/>
        </w:rPr>
        <w:t>sialic crust on Earth dragged out over billions</w:t>
      </w:r>
      <w:r w:rsidR="00427468">
        <w:rPr>
          <w:kern w:val="0"/>
        </w:rPr>
        <w:t xml:space="preserve"> of </w:t>
      </w:r>
      <w:r>
        <w:rPr>
          <w:kern w:val="0"/>
        </w:rPr>
        <w:t>years after hot accretion</w:t>
      </w:r>
      <w:r w:rsidR="00A37C1D">
        <w:rPr>
          <w:kern w:val="0"/>
        </w:rPr>
        <w:t>. The</w:t>
      </w:r>
      <w:r w:rsidR="003A1917">
        <w:rPr>
          <w:kern w:val="0"/>
        </w:rPr>
        <w:t xml:space="preserve"> </w:t>
      </w:r>
      <w:r>
        <w:rPr>
          <w:kern w:val="0"/>
        </w:rPr>
        <w:t>uniqueness</w:t>
      </w:r>
      <w:r w:rsidR="00427468">
        <w:rPr>
          <w:kern w:val="0"/>
        </w:rPr>
        <w:t xml:space="preserve"> of </w:t>
      </w:r>
      <w:r w:rsidR="003A1917">
        <w:rPr>
          <w:kern w:val="0"/>
        </w:rPr>
        <w:t xml:space="preserve">the </w:t>
      </w:r>
      <w:r>
        <w:rPr>
          <w:kern w:val="0"/>
        </w:rPr>
        <w:t>Earth arises from its size, retention</w:t>
      </w:r>
      <w:r w:rsidR="00427468">
        <w:rPr>
          <w:kern w:val="0"/>
        </w:rPr>
        <w:t xml:space="preserve"> of </w:t>
      </w:r>
      <w:r>
        <w:rPr>
          <w:kern w:val="0"/>
        </w:rPr>
        <w:t>water</w:t>
      </w:r>
      <w:r w:rsidR="005853A9">
        <w:rPr>
          <w:kern w:val="0"/>
        </w:rPr>
        <w:t xml:space="preserve"> and </w:t>
      </w:r>
      <w:r>
        <w:rPr>
          <w:kern w:val="0"/>
        </w:rPr>
        <w:t>dynamic surface-renewal processes, which have effectively erased all vestiges</w:t>
      </w:r>
      <w:r w:rsidR="00427468">
        <w:rPr>
          <w:kern w:val="0"/>
        </w:rPr>
        <w:t xml:space="preserve"> of </w:t>
      </w:r>
      <w:r w:rsidR="003A1917">
        <w:rPr>
          <w:kern w:val="0"/>
        </w:rPr>
        <w:t xml:space="preserve">the </w:t>
      </w:r>
      <w:r>
        <w:rPr>
          <w:kern w:val="0"/>
        </w:rPr>
        <w:t>first several hundred million years</w:t>
      </w:r>
      <w:r w:rsidR="00427468">
        <w:rPr>
          <w:kern w:val="0"/>
        </w:rPr>
        <w:t xml:space="preserve"> of </w:t>
      </w:r>
      <w:r>
        <w:rPr>
          <w:kern w:val="0"/>
        </w:rPr>
        <w:t>its crustal history. A large volume</w:t>
      </w:r>
      <w:r w:rsidR="00427468">
        <w:rPr>
          <w:kern w:val="0"/>
        </w:rPr>
        <w:t xml:space="preserve"> of </w:t>
      </w:r>
      <w:r>
        <w:rPr>
          <w:kern w:val="0"/>
        </w:rPr>
        <w:t>depleted mantle always existed</w:t>
      </w:r>
      <w:r w:rsidR="005853A9">
        <w:rPr>
          <w:kern w:val="0"/>
        </w:rPr>
        <w:t xml:space="preserve"> and </w:t>
      </w:r>
      <w:r>
        <w:rPr>
          <w:kern w:val="0"/>
        </w:rPr>
        <w:t>an isotopically nearly homogeneous character for mantle</w:t>
      </w:r>
      <w:r w:rsidR="005853A9">
        <w:rPr>
          <w:kern w:val="0"/>
        </w:rPr>
        <w:t xml:space="preserve"> and </w:t>
      </w:r>
      <w:r>
        <w:rPr>
          <w:kern w:val="0"/>
        </w:rPr>
        <w:t>crust in early times was only sustained by rapid convective stirring</w:t>
      </w:r>
      <w:r w:rsidR="00427468">
        <w:rPr>
          <w:kern w:val="0"/>
        </w:rPr>
        <w:t xml:space="preserve"> of </w:t>
      </w:r>
      <w:r w:rsidR="003A1917">
        <w:rPr>
          <w:kern w:val="0"/>
        </w:rPr>
        <w:t xml:space="preserve">the </w:t>
      </w:r>
      <w:r>
        <w:rPr>
          <w:kern w:val="0"/>
        </w:rPr>
        <w:t>silicate Earth</w:t>
      </w:r>
      <w:r w:rsidR="00A37C1D">
        <w:rPr>
          <w:kern w:val="0"/>
        </w:rPr>
        <w:t>. The</w:t>
      </w:r>
      <w:r w:rsidR="003A1917">
        <w:rPr>
          <w:kern w:val="0"/>
        </w:rPr>
        <w:t xml:space="preserve"> </w:t>
      </w:r>
      <w:r>
        <w:rPr>
          <w:kern w:val="0"/>
        </w:rPr>
        <w:t>sigmoidal continental crust age curve that is recorded in whole rock Nd</w:t>
      </w:r>
      <w:r w:rsidR="005853A9">
        <w:rPr>
          <w:kern w:val="0"/>
        </w:rPr>
        <w:t xml:space="preserve"> and </w:t>
      </w:r>
      <w:r>
        <w:rPr>
          <w:kern w:val="0"/>
        </w:rPr>
        <w:t>zircon U-Pb dates is a predictable consequence</w:t>
      </w:r>
      <w:r w:rsidR="00427468">
        <w:rPr>
          <w:kern w:val="0"/>
        </w:rPr>
        <w:t xml:space="preserve"> of </w:t>
      </w:r>
      <w:r w:rsidR="003A1917">
        <w:rPr>
          <w:kern w:val="0"/>
        </w:rPr>
        <w:t xml:space="preserve">the </w:t>
      </w:r>
      <w:r>
        <w:rPr>
          <w:kern w:val="0"/>
        </w:rPr>
        <w:t>highly exponential decline in stirring rates. It represents survival, not</w:t>
      </w:r>
      <w:r w:rsidR="003A1917">
        <w:rPr>
          <w:kern w:val="0"/>
        </w:rPr>
        <w:t xml:space="preserve"> the </w:t>
      </w:r>
      <w:r>
        <w:rPr>
          <w:kern w:val="0"/>
        </w:rPr>
        <w:t>original extent</w:t>
      </w:r>
      <w:r w:rsidR="00427468">
        <w:rPr>
          <w:kern w:val="0"/>
        </w:rPr>
        <w:t xml:space="preserve"> of </w:t>
      </w:r>
      <w:r>
        <w:rPr>
          <w:kern w:val="0"/>
        </w:rPr>
        <w:t>crustal domains. Positive epsilon(Nd)(T) values for Archaean mantle-derived magmas are quantitatively predicted by this model, as are</w:t>
      </w:r>
      <w:r w:rsidR="003A1917">
        <w:rPr>
          <w:kern w:val="0"/>
        </w:rPr>
        <w:t xml:space="preserve"> the </w:t>
      </w:r>
      <w:r>
        <w:rPr>
          <w:kern w:val="0"/>
        </w:rPr>
        <w:t>observed depleted-mantle model ages</w:t>
      </w:r>
      <w:r w:rsidR="00427468">
        <w:rPr>
          <w:kern w:val="0"/>
        </w:rPr>
        <w:t xml:space="preserve"> of </w:t>
      </w:r>
      <w:r>
        <w:rPr>
          <w:kern w:val="0"/>
        </w:rPr>
        <w:t>clastic sedimentary rocks. Current rates</w:t>
      </w:r>
      <w:r w:rsidR="00427468">
        <w:rPr>
          <w:kern w:val="0"/>
        </w:rPr>
        <w:t xml:space="preserve"> of </w:t>
      </w:r>
      <w:r>
        <w:rPr>
          <w:kern w:val="0"/>
        </w:rPr>
        <w:t>crustal accretion</w:t>
      </w:r>
      <w:r w:rsidR="005853A9">
        <w:rPr>
          <w:kern w:val="0"/>
        </w:rPr>
        <w:t xml:space="preserve"> and </w:t>
      </w:r>
      <w:r>
        <w:rPr>
          <w:kern w:val="0"/>
        </w:rPr>
        <w:t>loss</w:t>
      </w:r>
      <w:r w:rsidR="00427468">
        <w:rPr>
          <w:kern w:val="0"/>
        </w:rPr>
        <w:t xml:space="preserve"> of </w:t>
      </w:r>
      <w:r>
        <w:rPr>
          <w:kern w:val="0"/>
        </w:rPr>
        <w:t>crust by sediment subduction</w:t>
      </w:r>
      <w:r w:rsidR="005853A9">
        <w:rPr>
          <w:kern w:val="0"/>
        </w:rPr>
        <w:t xml:space="preserve"> and </w:t>
      </w:r>
      <w:r>
        <w:rPr>
          <w:kern w:val="0"/>
        </w:rPr>
        <w:t>tectonic erosion are approximately in balance</w:t>
      </w:r>
      <w:r w:rsidR="005853A9">
        <w:rPr>
          <w:kern w:val="0"/>
        </w:rPr>
        <w:t xml:space="preserve"> and </w:t>
      </w:r>
      <w:r>
        <w:rPr>
          <w:kern w:val="0"/>
        </w:rPr>
        <w:t>compatible with negligible crustal growth at present. Claims that current growth is approximately 1 km3 per year are based on incorrect</w:t>
      </w:r>
      <w:r w:rsidR="005853A9">
        <w:rPr>
          <w:kern w:val="0"/>
        </w:rPr>
        <w:t xml:space="preserve"> and </w:t>
      </w:r>
      <w:r>
        <w:rPr>
          <w:kern w:val="0"/>
        </w:rPr>
        <w:t>selectively cited data</w:t>
      </w:r>
      <w:r w:rsidR="005853A9">
        <w:rPr>
          <w:kern w:val="0"/>
        </w:rPr>
        <w:t xml:space="preserve"> and </w:t>
      </w:r>
      <w:r>
        <w:rPr>
          <w:kern w:val="0"/>
        </w:rPr>
        <w:t>incomplete analyses</w:t>
      </w:r>
      <w:r w:rsidR="00427468">
        <w:rPr>
          <w:kern w:val="0"/>
        </w:rPr>
        <w:t xml:space="preserve"> of </w:t>
      </w:r>
      <w:r w:rsidR="003A1917">
        <w:rPr>
          <w:kern w:val="0"/>
        </w:rPr>
        <w:t xml:space="preserve">the </w:t>
      </w:r>
      <w:r>
        <w:rPr>
          <w:kern w:val="0"/>
        </w:rPr>
        <w:t>freeboard argument</w:t>
      </w:r>
      <w:r w:rsidR="00A37C1D">
        <w:rPr>
          <w:kern w:val="0"/>
        </w:rPr>
        <w:t>. The</w:t>
      </w:r>
      <w:r w:rsidR="003A1917">
        <w:rPr>
          <w:kern w:val="0"/>
        </w:rPr>
        <w:t xml:space="preserve"> </w:t>
      </w:r>
      <w:r>
        <w:rPr>
          <w:kern w:val="0"/>
        </w:rPr>
        <w:lastRenderedPageBreak/>
        <w:t>idea that</w:t>
      </w:r>
      <w:r w:rsidR="003A1917">
        <w:rPr>
          <w:kern w:val="0"/>
        </w:rPr>
        <w:t xml:space="preserve"> the </w:t>
      </w:r>
      <w:r>
        <w:rPr>
          <w:kern w:val="0"/>
        </w:rPr>
        <w:t>Earth</w:t>
      </w:r>
      <w:r w:rsidR="00700038">
        <w:rPr>
          <w:kern w:val="0"/>
        </w:rPr>
        <w:t>’</w:t>
      </w:r>
      <w:r w:rsidR="00C13DDC">
        <w:rPr>
          <w:kern w:val="0"/>
        </w:rPr>
        <w:t>s</w:t>
      </w:r>
      <w:r>
        <w:rPr>
          <w:kern w:val="0"/>
        </w:rPr>
        <w:t xml:space="preserve"> crust has grown is a myth dating from</w:t>
      </w:r>
      <w:r w:rsidR="003A1917">
        <w:rPr>
          <w:kern w:val="0"/>
        </w:rPr>
        <w:t xml:space="preserve"> the </w:t>
      </w:r>
      <w:r>
        <w:rPr>
          <w:kern w:val="0"/>
        </w:rPr>
        <w:t>19th century</w:t>
      </w:r>
      <w:r w:rsidR="005853A9">
        <w:rPr>
          <w:kern w:val="0"/>
        </w:rPr>
        <w:t xml:space="preserve"> and </w:t>
      </w:r>
      <w:r>
        <w:rPr>
          <w:kern w:val="0"/>
        </w:rPr>
        <w:t>was established as geochemical dogma in</w:t>
      </w:r>
      <w:r w:rsidR="003A1917">
        <w:rPr>
          <w:kern w:val="0"/>
        </w:rPr>
        <w:t xml:space="preserve"> the </w:t>
      </w:r>
      <w:r>
        <w:rPr>
          <w:kern w:val="0"/>
        </w:rPr>
        <w:t>1950s</w:t>
      </w:r>
      <w:r w:rsidR="005853A9">
        <w:rPr>
          <w:kern w:val="0"/>
        </w:rPr>
        <w:t xml:space="preserve"> and </w:t>
      </w:r>
      <w:r>
        <w:rPr>
          <w:kern w:val="0"/>
        </w:rPr>
        <w:t>1960s. It has survived by inertia</w:t>
      </w:r>
      <w:r w:rsidR="005853A9">
        <w:rPr>
          <w:kern w:val="0"/>
        </w:rPr>
        <w:t xml:space="preserve"> and </w:t>
      </w:r>
      <w:r>
        <w:rPr>
          <w:kern w:val="0"/>
        </w:rPr>
        <w:t>repetition</w:t>
      </w:r>
      <w:r w:rsidR="005853A9">
        <w:rPr>
          <w:kern w:val="0"/>
        </w:rPr>
        <w:t xml:space="preserve"> and </w:t>
      </w:r>
      <w:r>
        <w:rPr>
          <w:kern w:val="0"/>
        </w:rPr>
        <w:t>endless self-citation</w:t>
      </w:r>
      <w:r w:rsidR="00A37C1D">
        <w:rPr>
          <w:kern w:val="0"/>
        </w:rPr>
        <w:t>. The</w:t>
      </w:r>
      <w:r w:rsidR="003A1917">
        <w:rPr>
          <w:kern w:val="0"/>
        </w:rPr>
        <w:t xml:space="preserve"> </w:t>
      </w:r>
      <w:r>
        <w:rPr>
          <w:kern w:val="0"/>
        </w:rPr>
        <w:t>alternative no-growth view has been sometimes ignored, frequently questioned</w:t>
      </w:r>
      <w:r w:rsidR="005853A9">
        <w:rPr>
          <w:kern w:val="0"/>
        </w:rPr>
        <w:t xml:space="preserve"> and </w:t>
      </w:r>
      <w:r>
        <w:rPr>
          <w:kern w:val="0"/>
        </w:rPr>
        <w:t>downplayed, often cited only as an end member hypothesis (on</w:t>
      </w:r>
      <w:r w:rsidR="003A1917">
        <w:rPr>
          <w:kern w:val="0"/>
        </w:rPr>
        <w:t xml:space="preserve"> the </w:t>
      </w:r>
      <w:r>
        <w:rPr>
          <w:kern w:val="0"/>
        </w:rPr>
        <w:t>presumption that</w:t>
      </w:r>
      <w:r w:rsidR="003A1917">
        <w:rPr>
          <w:kern w:val="0"/>
        </w:rPr>
        <w:t xml:space="preserve"> the </w:t>
      </w:r>
      <w:r>
        <w:rPr>
          <w:kern w:val="0"/>
        </w:rPr>
        <w:t>truth must lie between extremes),</w:t>
      </w:r>
      <w:r w:rsidR="005853A9">
        <w:rPr>
          <w:kern w:val="0"/>
        </w:rPr>
        <w:t xml:space="preserve"> and </w:t>
      </w:r>
      <w:r>
        <w:rPr>
          <w:kern w:val="0"/>
        </w:rPr>
        <w:t>sometimes acclaimed</w:t>
      </w:r>
      <w:r w:rsidR="005853A9">
        <w:rPr>
          <w:kern w:val="0"/>
        </w:rPr>
        <w:t xml:space="preserve"> and </w:t>
      </w:r>
      <w:r>
        <w:rPr>
          <w:kern w:val="0"/>
        </w:rPr>
        <w:t>supported. Evidence in its favour has been accumulating</w:t>
      </w:r>
      <w:r w:rsidR="00A37C1D">
        <w:rPr>
          <w:kern w:val="0"/>
        </w:rPr>
        <w:t>. The</w:t>
      </w:r>
      <w:r w:rsidR="003A1917">
        <w:rPr>
          <w:kern w:val="0"/>
        </w:rPr>
        <w:t xml:space="preserve"> </w:t>
      </w:r>
      <w:r>
        <w:rPr>
          <w:kern w:val="0"/>
        </w:rPr>
        <w:t>growth myth has survived, however, as</w:t>
      </w:r>
      <w:r w:rsidR="003A1917">
        <w:rPr>
          <w:kern w:val="0"/>
        </w:rPr>
        <w:t xml:space="preserve"> the </w:t>
      </w:r>
      <w:r>
        <w:rPr>
          <w:kern w:val="0"/>
        </w:rPr>
        <w:t>consensus. In science, conventional wisdom is difficult to overturn. After more than 20 years some implications</w:t>
      </w:r>
      <w:r w:rsidR="00427468">
        <w:rPr>
          <w:kern w:val="0"/>
        </w:rPr>
        <w:t xml:space="preserve"> of </w:t>
      </w:r>
      <w:r>
        <w:rPr>
          <w:kern w:val="0"/>
        </w:rPr>
        <w:t>plate tectonics have yet to be fully appreciated by isotope geochemists who advocate crustal growth,</w:t>
      </w:r>
      <w:r w:rsidR="005853A9">
        <w:rPr>
          <w:kern w:val="0"/>
        </w:rPr>
        <w:t xml:space="preserve"> and </w:t>
      </w:r>
      <w:r>
        <w:rPr>
          <w:kern w:val="0"/>
        </w:rPr>
        <w:t>by geologists</w:t>
      </w:r>
      <w:r w:rsidR="005853A9">
        <w:rPr>
          <w:kern w:val="0"/>
        </w:rPr>
        <w:t xml:space="preserve"> and </w:t>
      </w:r>
      <w:r>
        <w:rPr>
          <w:kern w:val="0"/>
        </w:rPr>
        <w:t>geophysicists who have followed their lead.</w:t>
      </w:r>
    </w:p>
    <w:p w:rsidR="000867C4" w:rsidRDefault="000867C4" w:rsidP="000867C4">
      <w:pPr>
        <w:pStyle w:val="a3"/>
        <w:rPr>
          <w:kern w:val="0"/>
        </w:rPr>
      </w:pPr>
      <w:r>
        <w:rPr>
          <w:kern w:val="0"/>
        </w:rPr>
        <w:t>Keywords: Archean Plate-Tectonics, Crustal Growth, Earths Crust, Freeboard, Geological Time, Greenstone Belts, Island-Arc Magmatism, Isotopic Constraints, Lead, Lower Continental-Crust, Mantle Evolution, ND-Isotope</w:t>
      </w:r>
      <w:r w:rsidR="005853A9">
        <w:rPr>
          <w:kern w:val="0"/>
        </w:rPr>
        <w:t xml:space="preserve"> and </w:t>
      </w:r>
      <w:r>
        <w:rPr>
          <w:kern w:val="0"/>
        </w:rPr>
        <w:t>HF-Isotope, Recycling, Retention, Science, Sediment, Sedimentation-Rates, Self-Citation, SR Isotopes, System, Water</w:t>
      </w:r>
    </w:p>
    <w:p w:rsidR="003474F2" w:rsidRPr="001A3D2B" w:rsidRDefault="003474F2" w:rsidP="003474F2">
      <w:pPr>
        <w:pStyle w:val="1"/>
      </w:pPr>
      <w:r w:rsidRPr="001A3D2B">
        <w:br w:type="page"/>
      </w:r>
      <w:bookmarkStart w:id="710" w:name="_Toc420814673"/>
      <w:r w:rsidRPr="001A3D2B">
        <w:lastRenderedPageBreak/>
        <w:t>Title: Australian Journal</w:t>
      </w:r>
      <w:r w:rsidR="00427468">
        <w:t xml:space="preserve"> of </w:t>
      </w:r>
      <w:r w:rsidRPr="001A3D2B">
        <w:t>Political Science</w:t>
      </w:r>
      <w:bookmarkEnd w:id="710"/>
    </w:p>
    <w:p w:rsidR="003474F2" w:rsidRPr="001A3D2B" w:rsidRDefault="003474F2" w:rsidP="003474F2">
      <w:pPr>
        <w:pStyle w:val="12"/>
      </w:pPr>
      <w:r w:rsidRPr="001A3D2B">
        <w:t xml:space="preserve">Full Journal Title: </w:t>
      </w:r>
      <w:hyperlink r:id="rId1381" w:history="1">
        <w:r w:rsidRPr="001A3D2B">
          <w:rPr>
            <w:rStyle w:val="a5"/>
            <w:iCs/>
          </w:rPr>
          <w:t>Australian Journal</w:t>
        </w:r>
        <w:r w:rsidR="00427468">
          <w:rPr>
            <w:rStyle w:val="a5"/>
            <w:iCs/>
          </w:rPr>
          <w:t xml:space="preserve"> of </w:t>
        </w:r>
        <w:r w:rsidRPr="001A3D2B">
          <w:rPr>
            <w:rStyle w:val="a5"/>
            <w:iCs/>
          </w:rPr>
          <w:t>Political 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1036-1146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Donovan, C. (2007</w:t>
      </w:r>
      <w:r w:rsidR="00F42EAC">
        <w:t>), The</w:t>
      </w:r>
      <w:r w:rsidR="003A1917">
        <w:t xml:space="preserve"> </w:t>
      </w:r>
      <w:r w:rsidRPr="001A3D2B">
        <w:t>hidden perils</w:t>
      </w:r>
      <w:r w:rsidR="00427468">
        <w:t xml:space="preserve"> of </w:t>
      </w:r>
      <w:r w:rsidRPr="001A3D2B">
        <w:t xml:space="preserve">citation counting for Australasian political science. </w:t>
      </w:r>
      <w:r w:rsidRPr="001A3D2B">
        <w:rPr>
          <w:i/>
          <w:iCs/>
        </w:rPr>
        <w:t>Australian Journal</w:t>
      </w:r>
      <w:r w:rsidR="00427468">
        <w:rPr>
          <w:i/>
          <w:iCs/>
        </w:rPr>
        <w:t xml:space="preserve"> of </w:t>
      </w:r>
      <w:r w:rsidRPr="001A3D2B">
        <w:rPr>
          <w:i/>
          <w:iCs/>
        </w:rPr>
        <w:t>Political Science</w:t>
      </w:r>
      <w:r w:rsidRPr="001A3D2B">
        <w:t xml:space="preserve">, </w:t>
      </w:r>
      <w:r w:rsidRPr="001A3D2B">
        <w:rPr>
          <w:b/>
          <w:bCs/>
        </w:rPr>
        <w:t>42</w:t>
      </w:r>
      <w:r w:rsidRPr="001A3D2B">
        <w:t xml:space="preserve"> (4), 665-678.</w:t>
      </w:r>
    </w:p>
    <w:p w:rsidR="000867C4" w:rsidRDefault="000867C4" w:rsidP="000867C4">
      <w:pPr>
        <w:pStyle w:val="a3"/>
        <w:rPr>
          <w:kern w:val="0"/>
        </w:rPr>
      </w:pPr>
      <w:r>
        <w:rPr>
          <w:rFonts w:hint="eastAsia"/>
          <w:kern w:val="0"/>
        </w:rPr>
        <w:t>Full Text: 2007\</w:t>
      </w:r>
      <w:r>
        <w:rPr>
          <w:iCs/>
          <w:kern w:val="0"/>
        </w:rPr>
        <w:t>Au</w:t>
      </w:r>
      <w:r>
        <w:rPr>
          <w:rFonts w:hint="eastAsia"/>
          <w:iCs/>
          <w:kern w:val="0"/>
        </w:rPr>
        <w:t>s</w:t>
      </w:r>
      <w:r>
        <w:rPr>
          <w:iCs/>
          <w:kern w:val="0"/>
        </w:rPr>
        <w:t xml:space="preserve"> J Pol Sci</w:t>
      </w:r>
      <w:r>
        <w:rPr>
          <w:rFonts w:hint="eastAsia"/>
          <w:bCs/>
          <w:kern w:val="0"/>
        </w:rPr>
        <w:t>42</w:t>
      </w:r>
      <w:r>
        <w:rPr>
          <w:kern w:val="0"/>
        </w:rPr>
        <w:t xml:space="preserve">, </w:t>
      </w:r>
      <w:r>
        <w:rPr>
          <w:rFonts w:hint="eastAsia"/>
          <w:kern w:val="0"/>
        </w:rPr>
        <w:t>665.pdf</w:t>
      </w:r>
    </w:p>
    <w:p w:rsidR="003474F2" w:rsidRPr="001A3D2B" w:rsidRDefault="003474F2" w:rsidP="003474F2">
      <w:pPr>
        <w:pStyle w:val="a3"/>
      </w:pPr>
      <w:r w:rsidRPr="001A3D2B">
        <w:t>Abstract: In a recent article in Australian Journal</w:t>
      </w:r>
      <w:r w:rsidR="00427468">
        <w:t xml:space="preserve"> of </w:t>
      </w:r>
      <w:r w:rsidRPr="001A3D2B">
        <w:t>Political Science, Dale</w:t>
      </w:r>
      <w:r w:rsidR="005853A9">
        <w:t xml:space="preserve"> and </w:t>
      </w:r>
      <w:r w:rsidRPr="001A3D2B">
        <w:t xml:space="preserve">Goldfinch present </w:t>
      </w:r>
      <w:r w:rsidR="00700038">
        <w:t>‘</w:t>
      </w:r>
      <w:r w:rsidR="00C13DDC">
        <w:t>s</w:t>
      </w:r>
      <w:r w:rsidRPr="001A3D2B">
        <w:t>tandard</w:t>
      </w:r>
      <w:r w:rsidR="00700038">
        <w:t>’</w:t>
      </w:r>
      <w:r w:rsidRPr="001A3D2B">
        <w:t xml:space="preserve"> journal-based publication</w:t>
      </w:r>
      <w:r w:rsidR="005853A9">
        <w:t xml:space="preserve"> and </w:t>
      </w:r>
      <w:r w:rsidRPr="001A3D2B">
        <w:t>citation rankings</w:t>
      </w:r>
      <w:r w:rsidR="00427468">
        <w:t xml:space="preserve"> of </w:t>
      </w:r>
      <w:r w:rsidRPr="001A3D2B">
        <w:t>Australasian political science departments designed to complement what they characterise as</w:t>
      </w:r>
      <w:r w:rsidR="003A1917">
        <w:t xml:space="preserve"> the </w:t>
      </w:r>
      <w:r w:rsidRPr="001A3D2B">
        <w:t>multidisciplinary, historical, qualitative</w:t>
      </w:r>
      <w:r w:rsidR="005853A9">
        <w:t xml:space="preserve"> and </w:t>
      </w:r>
      <w:r w:rsidRPr="001A3D2B">
        <w:t>humanistic political science</w:t>
      </w:r>
      <w:r w:rsidR="00427468">
        <w:t xml:space="preserve"> of </w:t>
      </w:r>
      <w:r w:rsidR="003A1917">
        <w:t xml:space="preserve">the </w:t>
      </w:r>
      <w:r w:rsidRPr="001A3D2B">
        <w:t>region. However,</w:t>
      </w:r>
      <w:r w:rsidR="003A1917">
        <w:t xml:space="preserve"> the </w:t>
      </w:r>
      <w:r w:rsidR="00700038">
        <w:t>‘</w:t>
      </w:r>
      <w:r w:rsidRPr="001A3D2B">
        <w:t>highly cited</w:t>
      </w:r>
      <w:r w:rsidR="00700038">
        <w:t>’</w:t>
      </w:r>
      <w:r w:rsidRPr="001A3D2B">
        <w:t xml:space="preserve"> articles in their top-ranked political science department belong to quantitative psychology. Through unravelling why their study favours</w:t>
      </w:r>
      <w:r w:rsidR="003A1917">
        <w:t xml:space="preserve"> the </w:t>
      </w:r>
      <w:r w:rsidRPr="001A3D2B">
        <w:t>opposite</w:t>
      </w:r>
      <w:r w:rsidR="00427468">
        <w:t xml:space="preserve"> of </w:t>
      </w:r>
      <w:r w:rsidRPr="001A3D2B">
        <w:t>that which 4 was meant. to detect, this paper alerts political scientists to</w:t>
      </w:r>
      <w:r w:rsidR="003A1917">
        <w:t xml:space="preserve"> the </w:t>
      </w:r>
      <w:r w:rsidRPr="001A3D2B">
        <w:t>hidden perils</w:t>
      </w:r>
      <w:r w:rsidR="00427468">
        <w:t xml:space="preserve"> of </w:t>
      </w:r>
      <w:r w:rsidRPr="001A3D2B">
        <w:t xml:space="preserve">accepting </w:t>
      </w:r>
      <w:r w:rsidR="00700038">
        <w:t>‘</w:t>
      </w:r>
      <w:r w:rsidR="00C13DDC">
        <w:t>s</w:t>
      </w:r>
      <w:r w:rsidRPr="001A3D2B">
        <w:t>tandard</w:t>
      </w:r>
      <w:r w:rsidR="00700038">
        <w:t>’</w:t>
      </w:r>
      <w:r w:rsidRPr="001A3D2B">
        <w:t xml:space="preserve"> Institute</w:t>
      </w:r>
      <w:r w:rsidR="00427468">
        <w:t xml:space="preserve"> of </w:t>
      </w:r>
      <w:r w:rsidRPr="001A3D2B">
        <w:t>Scientific Information-based approaches to citation counting as valid measures</w:t>
      </w:r>
      <w:r w:rsidR="00427468">
        <w:t xml:space="preserve"> of </w:t>
      </w:r>
      <w:r w:rsidRPr="001A3D2B">
        <w:t xml:space="preserve">research </w:t>
      </w:r>
      <w:r w:rsidR="00700038">
        <w:t>‘</w:t>
      </w:r>
      <w:r w:rsidRPr="001A3D2B">
        <w:t>quality</w:t>
      </w:r>
      <w:r w:rsidR="00700038">
        <w:t>’</w:t>
      </w:r>
      <w:r w:rsidRPr="001A3D2B">
        <w:t>. It exposes</w:t>
      </w:r>
      <w:r w:rsidR="003A1917">
        <w:t xml:space="preserve"> the </w:t>
      </w:r>
      <w:r w:rsidRPr="001A3D2B">
        <w:t>veiled bibliometric assumption that</w:t>
      </w:r>
      <w:r w:rsidR="003A1917">
        <w:t xml:space="preserve"> the </w:t>
      </w:r>
      <w:r w:rsidR="00700038">
        <w:t>‘</w:t>
      </w:r>
      <w:r w:rsidRPr="001A3D2B">
        <w:t>best</w:t>
      </w:r>
      <w:r w:rsidR="00700038">
        <w:t>’</w:t>
      </w:r>
      <w:r w:rsidRPr="001A3D2B">
        <w:t xml:space="preserve"> social science. is quantitative research, notes that incongruous citation scores may inform</w:t>
      </w:r>
      <w:r w:rsidR="003A1917">
        <w:t xml:space="preserve"> the </w:t>
      </w:r>
      <w:r w:rsidRPr="001A3D2B">
        <w:t>distribution</w:t>
      </w:r>
      <w:r w:rsidR="00427468">
        <w:t xml:space="preserve"> of </w:t>
      </w:r>
      <w:r w:rsidRPr="001A3D2B">
        <w:t>block funding</w:t>
      </w:r>
      <w:r w:rsidR="005853A9">
        <w:t xml:space="preserve"> and </w:t>
      </w:r>
      <w:r w:rsidRPr="001A3D2B">
        <w:t>departmental appointment processes,</w:t>
      </w:r>
      <w:r w:rsidR="005853A9">
        <w:t xml:space="preserve"> and </w:t>
      </w:r>
      <w:r w:rsidRPr="001A3D2B">
        <w:t xml:space="preserve">warns against using </w:t>
      </w:r>
      <w:r w:rsidR="00700038">
        <w:t>‘</w:t>
      </w:r>
      <w:r w:rsidR="00C13DDC">
        <w:t>s</w:t>
      </w:r>
      <w:r w:rsidRPr="001A3D2B">
        <w:t>tandard</w:t>
      </w:r>
      <w:r w:rsidR="00700038">
        <w:t>’</w:t>
      </w:r>
      <w:r w:rsidRPr="001A3D2B">
        <w:t xml:space="preserve"> data to unintentionally self-police</w:t>
      </w:r>
      <w:r w:rsidR="003A1917">
        <w:t xml:space="preserve"> the </w:t>
      </w:r>
      <w:r w:rsidRPr="001A3D2B">
        <w:t>future shape</w:t>
      </w:r>
      <w:r w:rsidR="00427468">
        <w:t xml:space="preserve"> of </w:t>
      </w:r>
      <w:r w:rsidRPr="001A3D2B">
        <w:t>Australasian political science.</w:t>
      </w:r>
    </w:p>
    <w:p w:rsidR="003474F2" w:rsidRPr="001A3D2B" w:rsidRDefault="003474F2" w:rsidP="003474F2">
      <w:pPr>
        <w:pStyle w:val="a3"/>
      </w:pPr>
      <w:r w:rsidRPr="001A3D2B">
        <w:t>Keywords: Appointment, Australian, Bibliometric, Books, Citation, Data, Disciplines, Distribution, Funding, Humanities, Multidisciplinary, Psychology, Publication, Qualitative, Quality, Rankings, Research, Science, Shape, Social, Social Science, Social-Sciences, Sociology, Standard</w:t>
      </w:r>
    </w:p>
    <w:p w:rsidR="00C84443" w:rsidRPr="001A3D2B" w:rsidRDefault="00C84443" w:rsidP="00C84443">
      <w:pPr>
        <w:pStyle w:val="1"/>
      </w:pPr>
      <w:r w:rsidRPr="001A3D2B">
        <w:br w:type="page"/>
      </w:r>
      <w:bookmarkStart w:id="711" w:name="_Toc420814674"/>
      <w:r w:rsidRPr="001A3D2B">
        <w:lastRenderedPageBreak/>
        <w:t xml:space="preserve">Title: </w:t>
      </w:r>
      <w:r w:rsidRPr="00C84443">
        <w:t>Australian Journal</w:t>
      </w:r>
      <w:r w:rsidR="00427468">
        <w:t xml:space="preserve"> of </w:t>
      </w:r>
      <w:r w:rsidRPr="00C84443">
        <w:t>Psychology</w:t>
      </w:r>
      <w:bookmarkEnd w:id="711"/>
    </w:p>
    <w:p w:rsidR="00C84443" w:rsidRPr="000A30A9" w:rsidRDefault="00C84443" w:rsidP="000A30A9">
      <w:pPr>
        <w:pStyle w:val="12"/>
      </w:pPr>
      <w:r w:rsidRPr="000A30A9">
        <w:t>Full Journal Title: Australian Journal</w:t>
      </w:r>
      <w:r w:rsidR="00427468">
        <w:t xml:space="preserve"> of </w:t>
      </w:r>
      <w:r w:rsidRPr="000A30A9">
        <w:t>Psychology</w:t>
      </w:r>
    </w:p>
    <w:p w:rsidR="00C84443" w:rsidRPr="001A3D2B" w:rsidRDefault="00C84443" w:rsidP="00C84443">
      <w:pPr>
        <w:pStyle w:val="12"/>
      </w:pPr>
      <w:r w:rsidRPr="001A3D2B">
        <w:t xml:space="preserve">ISO Abbreviated Title: </w:t>
      </w:r>
    </w:p>
    <w:p w:rsidR="00C84443" w:rsidRPr="001A3D2B" w:rsidRDefault="00C84443" w:rsidP="00C84443">
      <w:pPr>
        <w:pStyle w:val="12"/>
      </w:pPr>
      <w:r w:rsidRPr="001A3D2B">
        <w:t xml:space="preserve">JCR Abbreviated Title: </w:t>
      </w:r>
    </w:p>
    <w:p w:rsidR="00C84443" w:rsidRPr="001A3D2B" w:rsidRDefault="00C84443" w:rsidP="00C84443">
      <w:pPr>
        <w:pStyle w:val="12"/>
      </w:pPr>
      <w:r w:rsidRPr="001A3D2B">
        <w:t xml:space="preserve">ISSN: </w:t>
      </w:r>
    </w:p>
    <w:p w:rsidR="00C84443" w:rsidRPr="001A3D2B" w:rsidRDefault="00C84443" w:rsidP="00C84443">
      <w:pPr>
        <w:pStyle w:val="12"/>
      </w:pPr>
      <w:r w:rsidRPr="001A3D2B">
        <w:t xml:space="preserve">Issues/Year: </w:t>
      </w:r>
    </w:p>
    <w:p w:rsidR="00C84443" w:rsidRPr="001A3D2B" w:rsidRDefault="00C84443" w:rsidP="00C84443">
      <w:pPr>
        <w:pStyle w:val="12"/>
      </w:pPr>
      <w:r w:rsidRPr="001A3D2B">
        <w:t xml:space="preserve">Journal Country/Territory: </w:t>
      </w:r>
    </w:p>
    <w:p w:rsidR="00C84443" w:rsidRPr="001A3D2B" w:rsidRDefault="00C84443" w:rsidP="00C84443">
      <w:pPr>
        <w:pStyle w:val="12"/>
      </w:pPr>
      <w:r w:rsidRPr="001A3D2B">
        <w:t xml:space="preserve">Language: </w:t>
      </w:r>
    </w:p>
    <w:p w:rsidR="00C84443" w:rsidRPr="001A3D2B" w:rsidRDefault="00C84443" w:rsidP="00C84443">
      <w:pPr>
        <w:pStyle w:val="12"/>
      </w:pPr>
      <w:r w:rsidRPr="001A3D2B">
        <w:t xml:space="preserve">Publisher: </w:t>
      </w:r>
    </w:p>
    <w:p w:rsidR="00C84443" w:rsidRPr="001A3D2B" w:rsidRDefault="00C84443" w:rsidP="00C84443">
      <w:pPr>
        <w:pStyle w:val="12"/>
      </w:pPr>
      <w:r w:rsidRPr="001A3D2B">
        <w:t xml:space="preserve">Publisher Address: </w:t>
      </w:r>
    </w:p>
    <w:p w:rsidR="00C84443" w:rsidRPr="001A3D2B" w:rsidRDefault="00C84443" w:rsidP="00C84443">
      <w:pPr>
        <w:pStyle w:val="12"/>
      </w:pPr>
      <w:r w:rsidRPr="001A3D2B">
        <w:t>Subject Categories:</w:t>
      </w:r>
    </w:p>
    <w:p w:rsidR="00C84443" w:rsidRPr="001A3D2B" w:rsidRDefault="00C84443" w:rsidP="00C84443">
      <w:pPr>
        <w:pStyle w:val="12"/>
      </w:pPr>
      <w:r w:rsidRPr="001A3D2B">
        <w:t xml:space="preserve">: Impact Factor </w:t>
      </w:r>
    </w:p>
    <w:p w:rsidR="00C84443" w:rsidRPr="0089679A" w:rsidRDefault="00C84443" w:rsidP="00C84443">
      <w:pPr>
        <w:pStyle w:val="a3"/>
        <w:rPr>
          <w:kern w:val="0"/>
        </w:rPr>
      </w:pPr>
      <w:r w:rsidRPr="0089679A">
        <w:rPr>
          <w:rFonts w:hint="eastAsia"/>
          <w:kern w:val="0"/>
        </w:rPr>
        <w:t xml:space="preserve">? </w:t>
      </w:r>
      <w:r w:rsidRPr="0089679A">
        <w:rPr>
          <w:kern w:val="0"/>
        </w:rPr>
        <w:t>Haslam, N.</w:t>
      </w:r>
      <w:r w:rsidR="005853A9">
        <w:rPr>
          <w:kern w:val="0"/>
        </w:rPr>
        <w:t xml:space="preserve"> and </w:t>
      </w:r>
      <w:r w:rsidRPr="0089679A">
        <w:rPr>
          <w:kern w:val="0"/>
        </w:rPr>
        <w:t>Koval, P. (2010), Possible research area bias in</w:t>
      </w:r>
      <w:r w:rsidR="003A1917">
        <w:rPr>
          <w:kern w:val="0"/>
        </w:rPr>
        <w:t xml:space="preserve"> the </w:t>
      </w:r>
      <w:r w:rsidRPr="0089679A">
        <w:rPr>
          <w:kern w:val="0"/>
        </w:rPr>
        <w:t xml:space="preserve">Excellence in Research for Australia (ERA) draft journal rankings. </w:t>
      </w:r>
      <w:r w:rsidRPr="00C84443">
        <w:rPr>
          <w:i/>
          <w:iCs/>
          <w:kern w:val="0"/>
        </w:rPr>
        <w:t>Australian Journal</w:t>
      </w:r>
      <w:r w:rsidR="00427468">
        <w:rPr>
          <w:i/>
          <w:iCs/>
          <w:kern w:val="0"/>
        </w:rPr>
        <w:t xml:space="preserve"> of </w:t>
      </w:r>
      <w:r w:rsidRPr="00C84443">
        <w:rPr>
          <w:i/>
          <w:iCs/>
          <w:kern w:val="0"/>
        </w:rPr>
        <w:t>Psychology</w:t>
      </w:r>
      <w:r w:rsidRPr="0089679A">
        <w:rPr>
          <w:kern w:val="0"/>
        </w:rPr>
        <w:t xml:space="preserve">, </w:t>
      </w:r>
      <w:r w:rsidRPr="0089679A">
        <w:rPr>
          <w:b/>
          <w:bCs/>
          <w:kern w:val="0"/>
        </w:rPr>
        <w:t>62</w:t>
      </w:r>
      <w:r w:rsidRPr="0089679A">
        <w:rPr>
          <w:kern w:val="0"/>
        </w:rPr>
        <w:t xml:space="preserve"> (2), 112-114.</w:t>
      </w:r>
    </w:p>
    <w:p w:rsidR="00C84443" w:rsidRPr="0089679A" w:rsidRDefault="00C84443" w:rsidP="00C84443">
      <w:pPr>
        <w:pStyle w:val="a3"/>
        <w:rPr>
          <w:kern w:val="0"/>
        </w:rPr>
      </w:pPr>
      <w:r w:rsidRPr="0089679A">
        <w:rPr>
          <w:kern w:val="0"/>
        </w:rPr>
        <w:t>Abstract: An analysis</w:t>
      </w:r>
      <w:r w:rsidR="00427468">
        <w:rPr>
          <w:kern w:val="0"/>
        </w:rPr>
        <w:t xml:space="preserve"> of </w:t>
      </w:r>
      <w:r w:rsidR="003A1917">
        <w:rPr>
          <w:kern w:val="0"/>
        </w:rPr>
        <w:t xml:space="preserve">the </w:t>
      </w:r>
      <w:r w:rsidRPr="0089679A">
        <w:rPr>
          <w:kern w:val="0"/>
        </w:rPr>
        <w:t>Excellence in Research for Australia (ERA) draft rankings</w:t>
      </w:r>
      <w:r w:rsidR="00427468">
        <w:rPr>
          <w:kern w:val="0"/>
        </w:rPr>
        <w:t xml:space="preserve"> of </w:t>
      </w:r>
      <w:r w:rsidRPr="0089679A">
        <w:rPr>
          <w:kern w:val="0"/>
        </w:rPr>
        <w:t>661 psychology journals points to systematic differences between research areas in</w:t>
      </w:r>
      <w:r w:rsidR="003A1917">
        <w:rPr>
          <w:kern w:val="0"/>
        </w:rPr>
        <w:t xml:space="preserve"> the </w:t>
      </w:r>
      <w:r w:rsidRPr="0089679A">
        <w:rPr>
          <w:kern w:val="0"/>
        </w:rPr>
        <w:t>distribution</w:t>
      </w:r>
      <w:r w:rsidR="00427468">
        <w:rPr>
          <w:kern w:val="0"/>
        </w:rPr>
        <w:t xml:space="preserve"> of </w:t>
      </w:r>
      <w:r w:rsidRPr="0089679A">
        <w:rPr>
          <w:kern w:val="0"/>
        </w:rPr>
        <w:t>ranks. Journals in experimental, biological</w:t>
      </w:r>
      <w:r w:rsidR="005853A9">
        <w:rPr>
          <w:kern w:val="0"/>
        </w:rPr>
        <w:t xml:space="preserve"> and </w:t>
      </w:r>
      <w:r w:rsidRPr="0089679A">
        <w:rPr>
          <w:kern w:val="0"/>
        </w:rPr>
        <w:t>neuroscientific psychology obtained higher mean ranks, consistent with a tendency for ohard-scienceo areas to have higher bibliometric journal impact</w:t>
      </w:r>
      <w:r w:rsidR="00A37C1D">
        <w:rPr>
          <w:kern w:val="0"/>
        </w:rPr>
        <w:t>. The</w:t>
      </w:r>
      <w:r w:rsidR="003A1917">
        <w:rPr>
          <w:kern w:val="0"/>
        </w:rPr>
        <w:t xml:space="preserve"> </w:t>
      </w:r>
      <w:r w:rsidRPr="0089679A">
        <w:rPr>
          <w:kern w:val="0"/>
        </w:rPr>
        <w:t>ERA will influence</w:t>
      </w:r>
      <w:r w:rsidR="003A1917">
        <w:rPr>
          <w:kern w:val="0"/>
        </w:rPr>
        <w:t xml:space="preserve"> the </w:t>
      </w:r>
      <w:r w:rsidRPr="0089679A">
        <w:rPr>
          <w:kern w:val="0"/>
        </w:rPr>
        <w:t>distribution</w:t>
      </w:r>
      <w:r w:rsidR="00427468">
        <w:rPr>
          <w:kern w:val="0"/>
        </w:rPr>
        <w:t xml:space="preserve"> of </w:t>
      </w:r>
      <w:r w:rsidRPr="0089679A">
        <w:rPr>
          <w:kern w:val="0"/>
        </w:rPr>
        <w:t>resources</w:t>
      </w:r>
      <w:r w:rsidR="005853A9">
        <w:rPr>
          <w:kern w:val="0"/>
        </w:rPr>
        <w:t xml:space="preserve"> and </w:t>
      </w:r>
      <w:r w:rsidRPr="0089679A">
        <w:rPr>
          <w:kern w:val="0"/>
        </w:rPr>
        <w:t>rewards within psychology</w:t>
      </w:r>
      <w:r w:rsidR="005853A9">
        <w:rPr>
          <w:kern w:val="0"/>
        </w:rPr>
        <w:t xml:space="preserve"> and </w:t>
      </w:r>
      <w:r w:rsidRPr="0089679A">
        <w:rPr>
          <w:kern w:val="0"/>
        </w:rPr>
        <w:t>create powerful incentives for institutions</w:t>
      </w:r>
      <w:r w:rsidR="005853A9">
        <w:rPr>
          <w:kern w:val="0"/>
        </w:rPr>
        <w:t xml:space="preserve"> and </w:t>
      </w:r>
      <w:r w:rsidRPr="0089679A">
        <w:rPr>
          <w:kern w:val="0"/>
        </w:rPr>
        <w:t>researchers, so differences in ranks across research areas may alter</w:t>
      </w:r>
      <w:r w:rsidR="003A1917">
        <w:rPr>
          <w:kern w:val="0"/>
        </w:rPr>
        <w:t xml:space="preserve"> the </w:t>
      </w:r>
      <w:r w:rsidRPr="0089679A">
        <w:rPr>
          <w:kern w:val="0"/>
        </w:rPr>
        <w:t>shape</w:t>
      </w:r>
      <w:r w:rsidR="00427468">
        <w:rPr>
          <w:kern w:val="0"/>
        </w:rPr>
        <w:t xml:space="preserve"> of </w:t>
      </w:r>
      <w:r w:rsidR="003A1917">
        <w:rPr>
          <w:kern w:val="0"/>
        </w:rPr>
        <w:t xml:space="preserve">the </w:t>
      </w:r>
      <w:r w:rsidRPr="0089679A">
        <w:rPr>
          <w:kern w:val="0"/>
        </w:rPr>
        <w:t>discipline. Although they do not necessarily imply bias, such differences raise</w:t>
      </w:r>
      <w:r w:rsidR="003A1917">
        <w:rPr>
          <w:kern w:val="0"/>
        </w:rPr>
        <w:t xml:space="preserve"> the </w:t>
      </w:r>
      <w:r w:rsidRPr="0089679A">
        <w:rPr>
          <w:kern w:val="0"/>
        </w:rPr>
        <w:t>possibility that psychology researchers will not operate on a level playing field.</w:t>
      </w:r>
    </w:p>
    <w:p w:rsidR="00C84443" w:rsidRPr="0089679A" w:rsidRDefault="00C84443" w:rsidP="00C84443">
      <w:pPr>
        <w:pStyle w:val="a3"/>
        <w:rPr>
          <w:kern w:val="0"/>
        </w:rPr>
      </w:pPr>
      <w:r w:rsidRPr="0089679A">
        <w:rPr>
          <w:kern w:val="0"/>
        </w:rPr>
        <w:t>Keywords: Australia</w:t>
      </w:r>
      <w:r>
        <w:rPr>
          <w:kern w:val="0"/>
        </w:rPr>
        <w:t xml:space="preserve">, </w:t>
      </w:r>
      <w:r w:rsidRPr="0089679A">
        <w:rPr>
          <w:kern w:val="0"/>
        </w:rPr>
        <w:t>Bias</w:t>
      </w:r>
      <w:r>
        <w:rPr>
          <w:kern w:val="0"/>
        </w:rPr>
        <w:t xml:space="preserve">, </w:t>
      </w:r>
      <w:r w:rsidRPr="0089679A">
        <w:rPr>
          <w:kern w:val="0"/>
        </w:rPr>
        <w:t>Bibliometric</w:t>
      </w:r>
      <w:r>
        <w:rPr>
          <w:kern w:val="0"/>
        </w:rPr>
        <w:t xml:space="preserve">, </w:t>
      </w:r>
      <w:r w:rsidRPr="0089679A">
        <w:rPr>
          <w:kern w:val="0"/>
        </w:rPr>
        <w:t>Biological</w:t>
      </w:r>
      <w:r>
        <w:rPr>
          <w:kern w:val="0"/>
        </w:rPr>
        <w:t xml:space="preserve">, </w:t>
      </w:r>
      <w:r w:rsidRPr="0089679A">
        <w:rPr>
          <w:kern w:val="0"/>
        </w:rPr>
        <w:t>Discipline Issues</w:t>
      </w:r>
      <w:r>
        <w:rPr>
          <w:kern w:val="0"/>
        </w:rPr>
        <w:t xml:space="preserve">, </w:t>
      </w:r>
      <w:r w:rsidRPr="0089679A">
        <w:rPr>
          <w:kern w:val="0"/>
        </w:rPr>
        <w:t>Distribution</w:t>
      </w:r>
      <w:r>
        <w:rPr>
          <w:kern w:val="0"/>
        </w:rPr>
        <w:t xml:space="preserve">, </w:t>
      </w:r>
      <w:r w:rsidRPr="0089679A">
        <w:rPr>
          <w:kern w:val="0"/>
        </w:rPr>
        <w:t>ERA</w:t>
      </w:r>
      <w:r>
        <w:rPr>
          <w:kern w:val="0"/>
        </w:rPr>
        <w:t xml:space="preserve">, </w:t>
      </w:r>
      <w:r w:rsidRPr="0089679A">
        <w:rPr>
          <w:kern w:val="0"/>
        </w:rPr>
        <w:t>Impact</w:t>
      </w:r>
      <w:r>
        <w:rPr>
          <w:kern w:val="0"/>
        </w:rPr>
        <w:t xml:space="preserve">, </w:t>
      </w:r>
      <w:r w:rsidRPr="0089679A">
        <w:rPr>
          <w:kern w:val="0"/>
        </w:rPr>
        <w:t>Journal</w:t>
      </w:r>
      <w:r>
        <w:rPr>
          <w:kern w:val="0"/>
        </w:rPr>
        <w:t xml:space="preserve">, </w:t>
      </w:r>
      <w:r w:rsidRPr="0089679A">
        <w:rPr>
          <w:kern w:val="0"/>
        </w:rPr>
        <w:t>Journal Impact</w:t>
      </w:r>
      <w:r>
        <w:rPr>
          <w:kern w:val="0"/>
        </w:rPr>
        <w:t xml:space="preserve">, </w:t>
      </w:r>
      <w:r w:rsidRPr="0089679A">
        <w:rPr>
          <w:kern w:val="0"/>
        </w:rPr>
        <w:t>Journal Rankings</w:t>
      </w:r>
      <w:r>
        <w:rPr>
          <w:kern w:val="0"/>
        </w:rPr>
        <w:t xml:space="preserve">, </w:t>
      </w:r>
      <w:r w:rsidRPr="0089679A">
        <w:rPr>
          <w:kern w:val="0"/>
        </w:rPr>
        <w:t>Journals</w:t>
      </w:r>
      <w:r>
        <w:rPr>
          <w:kern w:val="0"/>
        </w:rPr>
        <w:t xml:space="preserve">, </w:t>
      </w:r>
      <w:r w:rsidRPr="0089679A">
        <w:rPr>
          <w:kern w:val="0"/>
        </w:rPr>
        <w:t>National Development</w:t>
      </w:r>
      <w:r w:rsidR="00427468">
        <w:rPr>
          <w:kern w:val="0"/>
        </w:rPr>
        <w:t xml:space="preserve"> of </w:t>
      </w:r>
      <w:r w:rsidRPr="0089679A">
        <w:rPr>
          <w:kern w:val="0"/>
        </w:rPr>
        <w:t>Psychology</w:t>
      </w:r>
      <w:r>
        <w:rPr>
          <w:kern w:val="0"/>
        </w:rPr>
        <w:t xml:space="preserve">, </w:t>
      </w:r>
      <w:r w:rsidRPr="0089679A">
        <w:rPr>
          <w:kern w:val="0"/>
        </w:rPr>
        <w:t>Psychology</w:t>
      </w:r>
      <w:r>
        <w:rPr>
          <w:kern w:val="0"/>
        </w:rPr>
        <w:t xml:space="preserve">, </w:t>
      </w:r>
      <w:r w:rsidRPr="0089679A">
        <w:rPr>
          <w:kern w:val="0"/>
        </w:rPr>
        <w:t>Psychology as A Discipline</w:t>
      </w:r>
      <w:r>
        <w:rPr>
          <w:kern w:val="0"/>
        </w:rPr>
        <w:t xml:space="preserve">, </w:t>
      </w:r>
      <w:r w:rsidRPr="0089679A">
        <w:rPr>
          <w:kern w:val="0"/>
        </w:rPr>
        <w:t>Rankings</w:t>
      </w:r>
      <w:r>
        <w:rPr>
          <w:kern w:val="0"/>
        </w:rPr>
        <w:t xml:space="preserve">, </w:t>
      </w:r>
      <w:r w:rsidRPr="0089679A">
        <w:rPr>
          <w:kern w:val="0"/>
        </w:rPr>
        <w:t>Research</w:t>
      </w:r>
      <w:r>
        <w:rPr>
          <w:kern w:val="0"/>
        </w:rPr>
        <w:t xml:space="preserve">, </w:t>
      </w:r>
      <w:r w:rsidRPr="0089679A">
        <w:rPr>
          <w:kern w:val="0"/>
        </w:rPr>
        <w:t>Researchers</w:t>
      </w:r>
    </w:p>
    <w:p w:rsidR="00477261" w:rsidRPr="00F219CA" w:rsidRDefault="00477261" w:rsidP="00477261">
      <w:pPr>
        <w:pStyle w:val="1"/>
      </w:pPr>
      <w:r w:rsidRPr="00F219CA">
        <w:br w:type="page"/>
      </w:r>
      <w:bookmarkStart w:id="712" w:name="_Toc420814675"/>
      <w:r w:rsidRPr="00F219CA">
        <w:lastRenderedPageBreak/>
        <w:t xml:space="preserve">Title: </w:t>
      </w:r>
      <w:r w:rsidRPr="00CF1F89">
        <w:t>Australian Journal</w:t>
      </w:r>
      <w:r w:rsidR="00427468">
        <w:t xml:space="preserve"> of </w:t>
      </w:r>
      <w:r w:rsidRPr="00CF1F89">
        <w:t>Rural Health</w:t>
      </w:r>
      <w:bookmarkEnd w:id="712"/>
    </w:p>
    <w:p w:rsidR="00477261" w:rsidRPr="00F219CA" w:rsidRDefault="00477261" w:rsidP="00477261">
      <w:pPr>
        <w:pStyle w:val="12"/>
      </w:pPr>
      <w:r w:rsidRPr="00F219CA">
        <w:t xml:space="preserve">Full Journal Title: </w:t>
      </w:r>
      <w:r w:rsidRPr="00CF1F89">
        <w:rPr>
          <w:iCs/>
          <w:kern w:val="0"/>
        </w:rPr>
        <w:t>Australian Journal</w:t>
      </w:r>
      <w:r w:rsidR="00427468">
        <w:rPr>
          <w:iCs/>
          <w:kern w:val="0"/>
        </w:rPr>
        <w:t xml:space="preserve"> of </w:t>
      </w:r>
      <w:r w:rsidRPr="00CF1F89">
        <w:rPr>
          <w:iCs/>
          <w:kern w:val="0"/>
        </w:rPr>
        <w:t>Rural Health</w:t>
      </w:r>
    </w:p>
    <w:p w:rsidR="00477261" w:rsidRPr="00F219CA" w:rsidRDefault="00477261" w:rsidP="00477261">
      <w:pPr>
        <w:pStyle w:val="12"/>
      </w:pPr>
      <w:r>
        <w:t xml:space="preserve">ISO Abbreviated Title: </w:t>
      </w:r>
    </w:p>
    <w:p w:rsidR="00477261" w:rsidRPr="00F219CA" w:rsidRDefault="00477261" w:rsidP="00477261">
      <w:pPr>
        <w:pStyle w:val="12"/>
      </w:pPr>
      <w:r w:rsidRPr="00F219CA">
        <w:t xml:space="preserve">JCR Abbreviated Title: </w:t>
      </w:r>
    </w:p>
    <w:p w:rsidR="00477261" w:rsidRPr="00F219CA" w:rsidRDefault="00477261" w:rsidP="00477261">
      <w:pPr>
        <w:pStyle w:val="12"/>
      </w:pPr>
      <w:r>
        <w:t xml:space="preserve">ISSN: </w:t>
      </w:r>
    </w:p>
    <w:p w:rsidR="00477261" w:rsidRPr="00F219CA" w:rsidRDefault="00477261" w:rsidP="00477261">
      <w:pPr>
        <w:pStyle w:val="12"/>
      </w:pPr>
      <w:r w:rsidRPr="00F219CA">
        <w:t xml:space="preserve">Issues/Year: </w:t>
      </w:r>
    </w:p>
    <w:p w:rsidR="00477261" w:rsidRPr="00F219CA" w:rsidRDefault="00477261" w:rsidP="00477261">
      <w:pPr>
        <w:pStyle w:val="12"/>
      </w:pPr>
      <w:r w:rsidRPr="00F219CA">
        <w:t xml:space="preserve">Journal Country/Territory: </w:t>
      </w:r>
    </w:p>
    <w:p w:rsidR="00477261" w:rsidRPr="00F219CA" w:rsidRDefault="00477261" w:rsidP="00477261">
      <w:pPr>
        <w:pStyle w:val="12"/>
      </w:pPr>
      <w:r w:rsidRPr="00F219CA">
        <w:t xml:space="preserve">Language: </w:t>
      </w:r>
    </w:p>
    <w:p w:rsidR="00477261" w:rsidRPr="00F219CA" w:rsidRDefault="00477261" w:rsidP="00477261">
      <w:pPr>
        <w:pStyle w:val="12"/>
      </w:pPr>
      <w:r w:rsidRPr="00F219CA">
        <w:t xml:space="preserve">Publisher: </w:t>
      </w:r>
    </w:p>
    <w:p w:rsidR="00477261" w:rsidRPr="00F219CA" w:rsidRDefault="00477261" w:rsidP="00477261">
      <w:pPr>
        <w:pStyle w:val="12"/>
      </w:pPr>
      <w:r w:rsidRPr="00F219CA">
        <w:t xml:space="preserve">Publisher Address: </w:t>
      </w:r>
    </w:p>
    <w:p w:rsidR="00477261" w:rsidRPr="00F219CA" w:rsidRDefault="00477261" w:rsidP="00477261">
      <w:pPr>
        <w:pStyle w:val="12"/>
      </w:pPr>
      <w:r w:rsidRPr="00F219CA">
        <w:t xml:space="preserve">Subject Categories: </w:t>
      </w:r>
    </w:p>
    <w:p w:rsidR="00477261" w:rsidRPr="00F219CA" w:rsidRDefault="00477261" w:rsidP="00477261">
      <w:pPr>
        <w:pStyle w:val="12"/>
      </w:pPr>
      <w:r w:rsidRPr="00F219CA">
        <w:t xml:space="preserve">: Impact Factor </w:t>
      </w:r>
    </w:p>
    <w:p w:rsidR="00477261" w:rsidRDefault="00477261" w:rsidP="00477261">
      <w:pPr>
        <w:pStyle w:val="a3"/>
        <w:rPr>
          <w:kern w:val="0"/>
        </w:rPr>
      </w:pPr>
      <w:r>
        <w:rPr>
          <w:rFonts w:hint="eastAsia"/>
          <w:kern w:val="0"/>
        </w:rPr>
        <w:t xml:space="preserve">? </w:t>
      </w:r>
      <w:r>
        <w:rPr>
          <w:kern w:val="0"/>
        </w:rPr>
        <w:t>Boehm, J., Franklin, R.C., Newitt, R., McFarlane, K., Grant, T.</w:t>
      </w:r>
      <w:r w:rsidR="005853A9">
        <w:rPr>
          <w:kern w:val="0"/>
        </w:rPr>
        <w:t xml:space="preserve"> and </w:t>
      </w:r>
      <w:r>
        <w:rPr>
          <w:kern w:val="0"/>
        </w:rPr>
        <w:t>Kurkowski, B. (2013), Barriers</w:t>
      </w:r>
      <w:r w:rsidR="005853A9">
        <w:rPr>
          <w:kern w:val="0"/>
        </w:rPr>
        <w:t xml:space="preserve"> and </w:t>
      </w:r>
      <w:r>
        <w:rPr>
          <w:kern w:val="0"/>
        </w:rPr>
        <w:t>motivators to exercise for older adults: A focus on those living in rural</w:t>
      </w:r>
      <w:r w:rsidR="005853A9">
        <w:rPr>
          <w:kern w:val="0"/>
        </w:rPr>
        <w:t xml:space="preserve"> and </w:t>
      </w:r>
      <w:r>
        <w:rPr>
          <w:kern w:val="0"/>
        </w:rPr>
        <w:t>remote areas</w:t>
      </w:r>
      <w:r w:rsidR="00427468">
        <w:rPr>
          <w:kern w:val="0"/>
        </w:rPr>
        <w:t xml:space="preserve"> of </w:t>
      </w:r>
      <w:r>
        <w:rPr>
          <w:kern w:val="0"/>
        </w:rPr>
        <w:t xml:space="preserve">Australia. </w:t>
      </w:r>
      <w:r w:rsidRPr="00CF1F89">
        <w:rPr>
          <w:i/>
          <w:iCs/>
          <w:kern w:val="0"/>
        </w:rPr>
        <w:t>Australian Journal</w:t>
      </w:r>
      <w:r w:rsidR="00427468">
        <w:rPr>
          <w:i/>
          <w:iCs/>
          <w:kern w:val="0"/>
        </w:rPr>
        <w:t xml:space="preserve"> of </w:t>
      </w:r>
      <w:r w:rsidRPr="00CF1F89">
        <w:rPr>
          <w:i/>
          <w:iCs/>
          <w:kern w:val="0"/>
        </w:rPr>
        <w:t>Rural Health</w:t>
      </w:r>
      <w:r>
        <w:rPr>
          <w:kern w:val="0"/>
        </w:rPr>
        <w:t xml:space="preserve">, </w:t>
      </w:r>
      <w:r>
        <w:rPr>
          <w:b/>
          <w:bCs/>
          <w:kern w:val="0"/>
        </w:rPr>
        <w:t>21</w:t>
      </w:r>
      <w:r>
        <w:rPr>
          <w:kern w:val="0"/>
        </w:rPr>
        <w:t xml:space="preserve"> (3), 141-149.</w:t>
      </w:r>
    </w:p>
    <w:p w:rsidR="00477261" w:rsidRDefault="00477261" w:rsidP="00477261">
      <w:pPr>
        <w:pStyle w:val="a3"/>
        <w:rPr>
          <w:kern w:val="0"/>
        </w:rPr>
      </w:pPr>
      <w:r>
        <w:rPr>
          <w:rFonts w:hint="eastAsia"/>
          <w:kern w:val="0"/>
        </w:rPr>
        <w:t xml:space="preserve">Full Text: </w:t>
      </w:r>
      <w:hyperlink r:id="rId1382" w:history="1">
        <w:r w:rsidRPr="00CB070A">
          <w:rPr>
            <w:rStyle w:val="a5"/>
            <w:kern w:val="0"/>
          </w:rPr>
          <w:t>2013\Aus J Rur Hea21, 141.pdf</w:t>
        </w:r>
      </w:hyperlink>
    </w:p>
    <w:p w:rsidR="00477261" w:rsidRDefault="00477261" w:rsidP="00477261">
      <w:pPr>
        <w:pStyle w:val="a3"/>
        <w:rPr>
          <w:kern w:val="0"/>
        </w:rPr>
      </w:pPr>
      <w:r>
        <w:rPr>
          <w:kern w:val="0"/>
        </w:rPr>
        <w:t>Abstract: To identify the barriers</w:t>
      </w:r>
      <w:r w:rsidR="005853A9">
        <w:rPr>
          <w:kern w:val="0"/>
        </w:rPr>
        <w:t xml:space="preserve"> and </w:t>
      </w:r>
      <w:r>
        <w:rPr>
          <w:kern w:val="0"/>
        </w:rPr>
        <w:t>facilitators for exercise in older adults (50 years or over) specific to those living in rural</w:t>
      </w:r>
      <w:r w:rsidR="005853A9">
        <w:rPr>
          <w:kern w:val="0"/>
        </w:rPr>
        <w:t xml:space="preserve"> and </w:t>
      </w:r>
      <w:r>
        <w:rPr>
          <w:kern w:val="0"/>
        </w:rPr>
        <w:t>remote areas in Australia</w:t>
      </w:r>
      <w:r w:rsidR="005853A9">
        <w:rPr>
          <w:kern w:val="0"/>
        </w:rPr>
        <w:t xml:space="preserve"> and </w:t>
      </w:r>
      <w:r>
        <w:rPr>
          <w:kern w:val="0"/>
        </w:rPr>
        <w:t>to identify how this relates to falls prevention exercise programs in these areas. Literature review. Search</w:t>
      </w:r>
      <w:r w:rsidR="00427468">
        <w:rPr>
          <w:kern w:val="0"/>
        </w:rPr>
        <w:t xml:space="preserve"> of </w:t>
      </w:r>
      <w:r>
        <w:rPr>
          <w:kern w:val="0"/>
        </w:rPr>
        <w:t>the databases</w:t>
      </w:r>
      <w:r w:rsidR="00427468">
        <w:rPr>
          <w:kern w:val="0"/>
        </w:rPr>
        <w:t xml:space="preserve"> of </w:t>
      </w:r>
      <w:r w:rsidR="00D5664A">
        <w:rPr>
          <w:kern w:val="0"/>
        </w:rPr>
        <w:t>MEDLINE</w:t>
      </w:r>
      <w:r>
        <w:rPr>
          <w:kern w:val="0"/>
        </w:rPr>
        <w:t>, Scopus</w:t>
      </w:r>
      <w:r w:rsidR="005853A9">
        <w:rPr>
          <w:kern w:val="0"/>
        </w:rPr>
        <w:t xml:space="preserve"> and </w:t>
      </w:r>
      <w:r>
        <w:rPr>
          <w:kern w:val="0"/>
        </w:rPr>
        <w:t>Social Sciences Citation Index. Rural</w:t>
      </w:r>
      <w:r w:rsidR="005853A9">
        <w:rPr>
          <w:kern w:val="0"/>
        </w:rPr>
        <w:t xml:space="preserve"> and </w:t>
      </w:r>
      <w:r>
        <w:rPr>
          <w:kern w:val="0"/>
        </w:rPr>
        <w:t>remote areas. Searching identified 56 articles relating to barriers or facilitators to exercise in older adults in general,</w:t>
      </w:r>
      <w:r w:rsidR="00427468">
        <w:rPr>
          <w:kern w:val="0"/>
        </w:rPr>
        <w:t xml:space="preserve"> of </w:t>
      </w:r>
      <w:r>
        <w:rPr>
          <w:kern w:val="0"/>
        </w:rPr>
        <w:t>which 25 are discussed in the article. Five</w:t>
      </w:r>
      <w:r w:rsidR="00427468">
        <w:rPr>
          <w:kern w:val="0"/>
        </w:rPr>
        <w:t xml:space="preserve"> of </w:t>
      </w:r>
      <w:r>
        <w:rPr>
          <w:kern w:val="0"/>
        </w:rPr>
        <w:t>these articles specifically related to rural</w:t>
      </w:r>
      <w:r w:rsidR="005853A9">
        <w:rPr>
          <w:kern w:val="0"/>
        </w:rPr>
        <w:t xml:space="preserve"> and </w:t>
      </w:r>
      <w:r>
        <w:rPr>
          <w:kern w:val="0"/>
        </w:rPr>
        <w:t>remote areas,</w:t>
      </w:r>
      <w:r w:rsidR="00427468">
        <w:rPr>
          <w:kern w:val="0"/>
        </w:rPr>
        <w:t xml:space="preserve"> of </w:t>
      </w:r>
      <w:r>
        <w:rPr>
          <w:kern w:val="0"/>
        </w:rPr>
        <w:t>which all were from studies in the United States. No literature specifically relating to rural</w:t>
      </w:r>
      <w:r w:rsidR="005853A9">
        <w:rPr>
          <w:kern w:val="0"/>
        </w:rPr>
        <w:t xml:space="preserve"> and </w:t>
      </w:r>
      <w:r>
        <w:rPr>
          <w:kern w:val="0"/>
        </w:rPr>
        <w:t>remote Australia was identified</w:t>
      </w:r>
      <w:r w:rsidR="00A37C1D">
        <w:rPr>
          <w:kern w:val="0"/>
        </w:rPr>
        <w:t>. The</w:t>
      </w:r>
      <w:r>
        <w:rPr>
          <w:kern w:val="0"/>
        </w:rPr>
        <w:t>refore, articles included in the final review were from three different domains - world literature (excluding those specific to rural</w:t>
      </w:r>
      <w:r w:rsidR="005853A9">
        <w:rPr>
          <w:kern w:val="0"/>
        </w:rPr>
        <w:t xml:space="preserve"> and </w:t>
      </w:r>
      <w:r>
        <w:rPr>
          <w:kern w:val="0"/>
        </w:rPr>
        <w:t>remote areas</w:t>
      </w:r>
      <w:r w:rsidR="00427468">
        <w:rPr>
          <w:kern w:val="0"/>
        </w:rPr>
        <w:t xml:space="preserve"> of </w:t>
      </w:r>
      <w:r>
        <w:rPr>
          <w:kern w:val="0"/>
        </w:rPr>
        <w:t>Australia), rural</w:t>
      </w:r>
      <w:r w:rsidR="005853A9">
        <w:rPr>
          <w:kern w:val="0"/>
        </w:rPr>
        <w:t xml:space="preserve"> and </w:t>
      </w:r>
      <w:r>
        <w:rPr>
          <w:kern w:val="0"/>
        </w:rPr>
        <w:t>remote literature (note not Australian),</w:t>
      </w:r>
      <w:r w:rsidR="005853A9">
        <w:rPr>
          <w:kern w:val="0"/>
        </w:rPr>
        <w:t xml:space="preserve"> and </w:t>
      </w:r>
      <w:r>
        <w:rPr>
          <w:kern w:val="0"/>
        </w:rPr>
        <w:t>Australian literature to enable a comparison between the different populations to occur</w:t>
      </w:r>
      <w:r w:rsidR="00A37C1D">
        <w:rPr>
          <w:kern w:val="0"/>
        </w:rPr>
        <w:t>. The</w:t>
      </w:r>
      <w:r>
        <w:rPr>
          <w:kern w:val="0"/>
        </w:rPr>
        <w:t>re are similarities</w:t>
      </w:r>
      <w:r w:rsidR="005853A9">
        <w:rPr>
          <w:kern w:val="0"/>
        </w:rPr>
        <w:t xml:space="preserve"> and </w:t>
      </w:r>
      <w:r>
        <w:rPr>
          <w:kern w:val="0"/>
        </w:rPr>
        <w:t>differences between the barriers</w:t>
      </w:r>
      <w:r w:rsidR="005853A9">
        <w:rPr>
          <w:kern w:val="0"/>
        </w:rPr>
        <w:t xml:space="preserve"> and </w:t>
      </w:r>
      <w:r>
        <w:rPr>
          <w:kern w:val="0"/>
        </w:rPr>
        <w:t>facilitators in various populations,</w:t>
      </w:r>
      <w:r w:rsidR="005853A9">
        <w:rPr>
          <w:kern w:val="0"/>
        </w:rPr>
        <w:t xml:space="preserve"> and </w:t>
      </w:r>
      <w:r>
        <w:rPr>
          <w:kern w:val="0"/>
        </w:rPr>
        <w:t>no one factor alone will enable exercise in older adults. Research needs to be conducted on the barriers</w:t>
      </w:r>
      <w:r w:rsidR="005853A9">
        <w:rPr>
          <w:kern w:val="0"/>
        </w:rPr>
        <w:t xml:space="preserve"> and </w:t>
      </w:r>
      <w:r>
        <w:rPr>
          <w:kern w:val="0"/>
        </w:rPr>
        <w:t>facilitators to exercise in older adults living in rural</w:t>
      </w:r>
      <w:r w:rsidR="005853A9">
        <w:rPr>
          <w:kern w:val="0"/>
        </w:rPr>
        <w:t xml:space="preserve"> and </w:t>
      </w:r>
      <w:r>
        <w:rPr>
          <w:kern w:val="0"/>
        </w:rPr>
        <w:t>remote areas in Australia. Falls prevention exercise programs need to be tailored to suit the unique needs</w:t>
      </w:r>
      <w:r w:rsidR="00427468">
        <w:rPr>
          <w:kern w:val="0"/>
        </w:rPr>
        <w:t xml:space="preserve"> of </w:t>
      </w:r>
      <w:r>
        <w:rPr>
          <w:kern w:val="0"/>
        </w:rPr>
        <w:t>the rural</w:t>
      </w:r>
      <w:r w:rsidR="005853A9">
        <w:rPr>
          <w:kern w:val="0"/>
        </w:rPr>
        <w:t xml:space="preserve"> and </w:t>
      </w:r>
      <w:r>
        <w:rPr>
          <w:kern w:val="0"/>
        </w:rPr>
        <w:t>remote older population.</w:t>
      </w:r>
    </w:p>
    <w:p w:rsidR="00477261" w:rsidRDefault="00477261" w:rsidP="00477261">
      <w:pPr>
        <w:pStyle w:val="a3"/>
        <w:rPr>
          <w:kern w:val="0"/>
        </w:rPr>
      </w:pPr>
      <w:r>
        <w:rPr>
          <w:kern w:val="0"/>
        </w:rPr>
        <w:t xml:space="preserve">Keywords: Australia, Australian, Barriers, Citation, Comparison, Databases, Exercise, General, Literature, Living, </w:t>
      </w:r>
      <w:r w:rsidR="00D5664A">
        <w:rPr>
          <w:kern w:val="0"/>
        </w:rPr>
        <w:t>MEDLINE</w:t>
      </w:r>
      <w:r>
        <w:rPr>
          <w:kern w:val="0"/>
        </w:rPr>
        <w:t xml:space="preserve">, Needs, Population, Populations, Prevention, </w:t>
      </w:r>
      <w:r>
        <w:rPr>
          <w:kern w:val="0"/>
        </w:rPr>
        <w:lastRenderedPageBreak/>
        <w:t>Research, Review, Rural, Scopus, Search, Social Sciences, Social Sciences Citation Index, United States, World</w:t>
      </w:r>
    </w:p>
    <w:p w:rsidR="004A5CBB" w:rsidRDefault="004A5CBB" w:rsidP="004A5CBB">
      <w:pPr>
        <w:pStyle w:val="a3"/>
        <w:rPr>
          <w:kern w:val="0"/>
        </w:rPr>
      </w:pPr>
      <w:r>
        <w:rPr>
          <w:rFonts w:hint="eastAsia"/>
          <w:kern w:val="0"/>
        </w:rPr>
        <w:t xml:space="preserve">? </w:t>
      </w:r>
      <w:r>
        <w:rPr>
          <w:kern w:val="0"/>
        </w:rPr>
        <w:t xml:space="preserve">Boehm, J., Franklin, R.C. and King, J.C. (2014), Falls in rural and remote community dwelling older adults: A review of the literature. </w:t>
      </w:r>
      <w:r>
        <w:rPr>
          <w:i/>
          <w:iCs/>
          <w:kern w:val="0"/>
        </w:rPr>
        <w:t>Australian Journal of Rural Health</w:t>
      </w:r>
      <w:r>
        <w:rPr>
          <w:kern w:val="0"/>
        </w:rPr>
        <w:t xml:space="preserve">, </w:t>
      </w:r>
      <w:r>
        <w:rPr>
          <w:b/>
          <w:bCs/>
          <w:kern w:val="0"/>
        </w:rPr>
        <w:t>22</w:t>
      </w:r>
      <w:r>
        <w:rPr>
          <w:kern w:val="0"/>
        </w:rPr>
        <w:t xml:space="preserve"> (4), 146-155.</w:t>
      </w:r>
    </w:p>
    <w:p w:rsidR="004A5CBB" w:rsidRDefault="004A5CBB" w:rsidP="004A5CBB">
      <w:pPr>
        <w:pStyle w:val="a3"/>
        <w:rPr>
          <w:kern w:val="0"/>
        </w:rPr>
      </w:pPr>
      <w:r>
        <w:rPr>
          <w:rFonts w:hint="eastAsia"/>
          <w:kern w:val="0"/>
        </w:rPr>
        <w:t xml:space="preserve">Full Text: </w:t>
      </w:r>
      <w:hyperlink r:id="rId1383" w:history="1">
        <w:r w:rsidRPr="0081262A">
          <w:rPr>
            <w:rStyle w:val="a5"/>
            <w:kern w:val="0"/>
          </w:rPr>
          <w:t>2014\Aus J Rur Hea22, 146.pdf</w:t>
        </w:r>
      </w:hyperlink>
    </w:p>
    <w:p w:rsidR="004A5CBB" w:rsidRDefault="004A5CBB" w:rsidP="004A5CBB">
      <w:pPr>
        <w:pStyle w:val="a3"/>
        <w:rPr>
          <w:kern w:val="0"/>
        </w:rPr>
      </w:pPr>
      <w:r>
        <w:rPr>
          <w:kern w:val="0"/>
        </w:rPr>
        <w:t>Abstract: Objective: Falls in older adults represent a significant challenge in Australia; however, the focus is often on urban-dwelling older adults. The aim of this review was to explore the literature on falls epidemiology and falls prevention interventions (FPI). Design: A literature review was conducted searching Medline, Scopus, Social Sciences Citation Index, Google Scholar, Google and the Australian Institute of Health and Welfare publication catalogue. Setting: Rural and remote Australia. Participants: Rural and remote community dwelling Australians aged 50 years and older. Intervention: Literature review. Main outcome measures: Falls epidemiology and effective falls prevention interventions. Results: Twenty references were identified: 14 related to falls epidemiology and 7 to FPI. No significant differences were found between rural, remote and major cities residents in relation to falls hospitalisation, falls mortality or fall-related injuries sustained. There are a wide assortment of health professionals and non-health professionals who are involved in providing FPI in rural and remote Australia. However, there was limited information on the effectiveness of these interventions in influencing falls outcomes. Conclusion: Few studies explored falls and their prevention in rural and remote Australia. The limited literature on the topic suggests that a change in focus to one that utilises existing services and resources will be required to create sustainable outcomes. Four areas are proposed for concentrated effort to reduce the impact of fall-related injury in rural and remote Australia: integration and collaboration among health professionals, promotion of physical activity across the lifespan, community involvement and ownership of interventions, and evaluation and publication of findings.</w:t>
      </w:r>
    </w:p>
    <w:p w:rsidR="004A5CBB" w:rsidRDefault="004A5CBB" w:rsidP="004A5CBB">
      <w:pPr>
        <w:pStyle w:val="a3"/>
        <w:rPr>
          <w:kern w:val="0"/>
        </w:rPr>
      </w:pPr>
      <w:r>
        <w:rPr>
          <w:kern w:val="0"/>
        </w:rPr>
        <w:t>Keywords: Activity, Aged, Australia, Australian, Challenge, Citation, Cities, Collaboration, Community, Community Involvement, Community Programme, Design, Effectiveness, Elderly, Epidemiology, Evaluation, Exercise, Falls, Falls Prevention, Google, Google Scholar, Health, Health Professionals, Impact, Information, Injury, Integration, Intervention, Intervention, Interventions, Literature, Literature Review, Measures, Medline, Mortality, Outcome, Outcome Measures, Outcomes, People, Physical, Physical Activity, Prevention, Prevention Interventions, Program, Promotion, Publication, References, Resources, Results, Review, Risk, Rural, Safety, Sciences, Scopus, Senior, Services, Social Sciences, Social Sciences Citation Index, Sustainable, Time, Topic, Women</w:t>
      </w:r>
    </w:p>
    <w:p w:rsidR="004A5CBB" w:rsidRDefault="004A5CBB" w:rsidP="004A5CBB">
      <w:pPr>
        <w:pStyle w:val="a3"/>
        <w:rPr>
          <w:kern w:val="0"/>
        </w:rPr>
      </w:pPr>
      <w:r>
        <w:rPr>
          <w:rFonts w:hint="eastAsia"/>
          <w:kern w:val="0"/>
        </w:rPr>
        <w:lastRenderedPageBreak/>
        <w:t xml:space="preserve">? </w:t>
      </w:r>
      <w:r>
        <w:rPr>
          <w:kern w:val="0"/>
        </w:rPr>
        <w:t xml:space="preserve">Mendis, K., Edwards, T., Stevens, W. and McCrossin, T. (2014), Bibliometric analysis on Australian rural health publications from 2006 to 2012. </w:t>
      </w:r>
      <w:r>
        <w:rPr>
          <w:i/>
          <w:iCs/>
          <w:kern w:val="0"/>
        </w:rPr>
        <w:t>Australian Journal of Rural Health</w:t>
      </w:r>
      <w:r>
        <w:rPr>
          <w:kern w:val="0"/>
        </w:rPr>
        <w:t xml:space="preserve">, </w:t>
      </w:r>
      <w:r>
        <w:rPr>
          <w:b/>
          <w:bCs/>
          <w:kern w:val="0"/>
        </w:rPr>
        <w:t>22</w:t>
      </w:r>
      <w:r>
        <w:rPr>
          <w:kern w:val="0"/>
        </w:rPr>
        <w:t xml:space="preserve"> (4), 189-196.</w:t>
      </w:r>
    </w:p>
    <w:p w:rsidR="004A5CBB" w:rsidRDefault="004A5CBB" w:rsidP="004A5CBB">
      <w:pPr>
        <w:pStyle w:val="a3"/>
        <w:rPr>
          <w:kern w:val="0"/>
        </w:rPr>
      </w:pPr>
      <w:r>
        <w:rPr>
          <w:rFonts w:hint="eastAsia"/>
          <w:kern w:val="0"/>
        </w:rPr>
        <w:t xml:space="preserve">Full Text: </w:t>
      </w:r>
      <w:hyperlink r:id="rId1384" w:history="1">
        <w:r w:rsidRPr="0081262A">
          <w:rPr>
            <w:rStyle w:val="a5"/>
            <w:kern w:val="0"/>
          </w:rPr>
          <w:t>2014\Aus J Rur Hea22, 189.pdf</w:t>
        </w:r>
      </w:hyperlink>
    </w:p>
    <w:p w:rsidR="004A5CBB" w:rsidRDefault="004A5CBB" w:rsidP="004A5CBB">
      <w:pPr>
        <w:pStyle w:val="a3"/>
        <w:rPr>
          <w:kern w:val="0"/>
        </w:rPr>
      </w:pPr>
      <w:r>
        <w:rPr>
          <w:kern w:val="0"/>
        </w:rPr>
        <w:t>Abstract: Objective: To review Australian rural health (ARH) publications in PubMed from 2006 to 2012 and address ARH issues raised by the 2013 Health and Medical Research report. Design: Retrospective observational study. Setting: Internet-based bibliometric analysis using PubMed. MEDLINE-indexed ARH publications from 2006 to 2012 were retrieved using PubMed queries. ARH publications were defined as Australian publications that explore issues relevant to the health of the regional, rural or remote Australian population. Two authors independently reviewed a random sample of 5% of publications for validity. Main outcome measures: Analysis determined country of origin (Australia); publications relevant to the National Health Priority Areas, the 2013 National Rural Health Alliance priority areas and Rural Clinical Schools/University Departments of Rural Health; and journal frequencies and publication types. Results: ARH publications increased from 286 in 2006 to 393 in 2012 and made up 1.4% of all Australian PubMed publications. Combined, the health priority areas were addressed in 52% of ARH publications. Rural Clinical Schools/University Departments of Rural Health articles made up 7% of ARH publications. An increase in cohort studies, systematic reviews and reviews indicated improved quality of articles. ARH articles were most commonly published in the Australian Journal of Rural Health (15.9%), Rural and Remote Health (13.4%) and the Medical Journal of Australia (6.3%). Striking a balance between broadening the queries (increasing sensitivity) and limiting the false positives by restricting the breadth of the queries (increasing specificity) was the main limitation. Conclusions: This reproducible analysis, repeated at given timelines, can track the progress of ARH publications and provide directions regarding future rural health research.</w:t>
      </w:r>
    </w:p>
    <w:p w:rsidR="004A5CBB" w:rsidRDefault="004A5CBB" w:rsidP="004A5CBB">
      <w:pPr>
        <w:pStyle w:val="a3"/>
        <w:rPr>
          <w:kern w:val="0"/>
        </w:rPr>
      </w:pPr>
      <w:r>
        <w:rPr>
          <w:kern w:val="0"/>
        </w:rPr>
        <w:t>Keywords: Analysis, Articles, Australia, Australian, Authors, Balance, Bibliometric, Bibliometric Analysis, Breadth, Cohort, Country, Country Of Origin, Design, Health, Health Research, Issues, Journal, Limitation, Measures, Medical, Observational, Observational Study, Origin, Outcome, Outcome Measures, Population, Priority, Progress, Publication, Publications, Pubmed, Quality, Quality Of, Random Sample, Regional, Research, Results, Review, Reviews, Rural, Rural Health, Sensitivity, Specificity, Systematic, Systematic Reviews, Validity</w:t>
      </w:r>
    </w:p>
    <w:p w:rsidR="00CF378C" w:rsidRPr="001A3D2B" w:rsidRDefault="00CF378C" w:rsidP="00CF378C">
      <w:pPr>
        <w:pStyle w:val="1"/>
      </w:pPr>
      <w:r w:rsidRPr="001A3D2B">
        <w:br w:type="page"/>
      </w:r>
      <w:bookmarkStart w:id="713" w:name="_Toc420814676"/>
      <w:r w:rsidRPr="001A3D2B">
        <w:lastRenderedPageBreak/>
        <w:t xml:space="preserve">Title: </w:t>
      </w:r>
      <w:r w:rsidRPr="001A3D2B">
        <w:rPr>
          <w:szCs w:val="24"/>
        </w:rPr>
        <w:t>Australian Library Journal</w:t>
      </w:r>
      <w:bookmarkEnd w:id="713"/>
    </w:p>
    <w:p w:rsidR="00CF378C" w:rsidRPr="001A3D2B" w:rsidRDefault="00CF378C" w:rsidP="00CF378C">
      <w:pPr>
        <w:pStyle w:val="12"/>
      </w:pPr>
      <w:r w:rsidRPr="001A3D2B">
        <w:t xml:space="preserve">Full Journal Title: </w:t>
      </w:r>
      <w:r w:rsidRPr="001A3D2B">
        <w:rPr>
          <w:kern w:val="0"/>
        </w:rPr>
        <w:t>Australian Library Journal</w:t>
      </w:r>
    </w:p>
    <w:p w:rsidR="00CF378C" w:rsidRPr="001A3D2B" w:rsidRDefault="00CF378C" w:rsidP="00CF378C">
      <w:pPr>
        <w:pStyle w:val="12"/>
      </w:pPr>
      <w:r w:rsidRPr="001A3D2B">
        <w:t xml:space="preserve">ISO Abbreviated Title: </w:t>
      </w:r>
    </w:p>
    <w:p w:rsidR="00CF378C" w:rsidRPr="001A3D2B" w:rsidRDefault="00CF378C" w:rsidP="00CF378C">
      <w:pPr>
        <w:pStyle w:val="12"/>
      </w:pPr>
      <w:r w:rsidRPr="001A3D2B">
        <w:t xml:space="preserve">JCR Abbreviated Title: </w:t>
      </w:r>
    </w:p>
    <w:p w:rsidR="00CF378C" w:rsidRPr="001A3D2B" w:rsidRDefault="00CF378C" w:rsidP="00CF378C">
      <w:pPr>
        <w:pStyle w:val="12"/>
      </w:pPr>
      <w:r w:rsidRPr="001A3D2B">
        <w:t xml:space="preserve">ISSN: </w:t>
      </w:r>
    </w:p>
    <w:p w:rsidR="00CF378C" w:rsidRPr="001A3D2B" w:rsidRDefault="00CF378C" w:rsidP="00CF378C">
      <w:pPr>
        <w:pStyle w:val="12"/>
      </w:pPr>
      <w:r w:rsidRPr="001A3D2B">
        <w:t xml:space="preserve">Issues/Year: </w:t>
      </w:r>
    </w:p>
    <w:p w:rsidR="00CF378C" w:rsidRPr="001A3D2B" w:rsidRDefault="00AA25A4" w:rsidP="00CF378C">
      <w:pPr>
        <w:pStyle w:val="12"/>
      </w:pPr>
      <w:r w:rsidRPr="001A3D2B">
        <w:t>Journal Country/Territory:</w:t>
      </w:r>
      <w:r w:rsidR="008F46E9" w:rsidRPr="001A3D2B">
        <w:t xml:space="preserve"> </w:t>
      </w:r>
    </w:p>
    <w:p w:rsidR="00CF378C" w:rsidRPr="001A3D2B" w:rsidRDefault="00CF378C" w:rsidP="00CF378C">
      <w:pPr>
        <w:pStyle w:val="12"/>
      </w:pPr>
      <w:r w:rsidRPr="001A3D2B">
        <w:t xml:space="preserve">Language: </w:t>
      </w:r>
    </w:p>
    <w:p w:rsidR="00CF378C" w:rsidRPr="001A3D2B" w:rsidRDefault="00CF378C" w:rsidP="00CF378C">
      <w:pPr>
        <w:pStyle w:val="12"/>
      </w:pPr>
      <w:r w:rsidRPr="001A3D2B">
        <w:t xml:space="preserve">Publisher: </w:t>
      </w:r>
    </w:p>
    <w:p w:rsidR="00CF378C" w:rsidRPr="001A3D2B" w:rsidRDefault="00CF378C" w:rsidP="00CF378C">
      <w:pPr>
        <w:pStyle w:val="12"/>
      </w:pPr>
      <w:r w:rsidRPr="001A3D2B">
        <w:t xml:space="preserve">Publisher Address: </w:t>
      </w:r>
    </w:p>
    <w:p w:rsidR="00CF378C" w:rsidRPr="001A3D2B" w:rsidRDefault="00CF378C" w:rsidP="00CF378C">
      <w:pPr>
        <w:pStyle w:val="12"/>
      </w:pPr>
      <w:r w:rsidRPr="001A3D2B">
        <w:t>Subject Categories:</w:t>
      </w:r>
    </w:p>
    <w:p w:rsidR="00CF378C" w:rsidRPr="001A3D2B" w:rsidRDefault="00CF378C" w:rsidP="00CF378C">
      <w:pPr>
        <w:pStyle w:val="12"/>
      </w:pPr>
      <w:r w:rsidRPr="001A3D2B">
        <w:t xml:space="preserve">: Impact Factor </w:t>
      </w:r>
    </w:p>
    <w:p w:rsidR="00CF378C" w:rsidRPr="001A3D2B" w:rsidRDefault="00CF378C" w:rsidP="00CF378C">
      <w:pPr>
        <w:pStyle w:val="a3"/>
        <w:rPr>
          <w:kern w:val="0"/>
          <w:szCs w:val="24"/>
        </w:rPr>
      </w:pPr>
      <w:r w:rsidRPr="001A3D2B">
        <w:rPr>
          <w:kern w:val="0"/>
          <w:szCs w:val="24"/>
        </w:rPr>
        <w:t>? Smith, J. (2009</w:t>
      </w:r>
      <w:r w:rsidR="00F42EAC">
        <w:rPr>
          <w:kern w:val="0"/>
          <w:szCs w:val="24"/>
        </w:rPr>
        <w:t>), The</w:t>
      </w:r>
      <w:r w:rsidR="003A1917">
        <w:rPr>
          <w:kern w:val="0"/>
          <w:szCs w:val="24"/>
        </w:rPr>
        <w:t xml:space="preserve"> </w:t>
      </w:r>
      <w:r w:rsidRPr="001A3D2B">
        <w:rPr>
          <w:kern w:val="0"/>
          <w:szCs w:val="24"/>
        </w:rPr>
        <w:t xml:space="preserve">evidence base: where is it? </w:t>
      </w:r>
      <w:r w:rsidRPr="001A3D2B">
        <w:rPr>
          <w:i/>
          <w:iCs/>
          <w:kern w:val="0"/>
          <w:szCs w:val="24"/>
        </w:rPr>
        <w:t>Australian Library Journal</w:t>
      </w:r>
      <w:r w:rsidRPr="001A3D2B">
        <w:rPr>
          <w:kern w:val="0"/>
          <w:szCs w:val="24"/>
        </w:rPr>
        <w:t xml:space="preserve">, </w:t>
      </w:r>
      <w:r w:rsidRPr="001A3D2B">
        <w:rPr>
          <w:b/>
          <w:bCs/>
          <w:kern w:val="0"/>
          <w:szCs w:val="24"/>
        </w:rPr>
        <w:t>58</w:t>
      </w:r>
      <w:r w:rsidRPr="001A3D2B">
        <w:rPr>
          <w:kern w:val="0"/>
          <w:szCs w:val="24"/>
        </w:rPr>
        <w:t xml:space="preserve"> (1), 28-38.</w:t>
      </w:r>
    </w:p>
    <w:p w:rsidR="00A4358E" w:rsidRPr="00F219CA" w:rsidRDefault="00A4358E" w:rsidP="00A4358E">
      <w:pPr>
        <w:pStyle w:val="a3"/>
        <w:rPr>
          <w:kern w:val="0"/>
          <w:szCs w:val="24"/>
        </w:rPr>
      </w:pPr>
      <w:r>
        <w:rPr>
          <w:rFonts w:hint="eastAsia"/>
          <w:kern w:val="0"/>
          <w:szCs w:val="24"/>
        </w:rPr>
        <w:t xml:space="preserve">Full Text: </w:t>
      </w:r>
      <w:hyperlink r:id="rId1385" w:history="1">
        <w:r w:rsidRPr="00E66361">
          <w:rPr>
            <w:rStyle w:val="a5"/>
            <w:kern w:val="0"/>
            <w:szCs w:val="24"/>
          </w:rPr>
          <w:t>2009\Aus Lib J58, 28.pdf</w:t>
        </w:r>
      </w:hyperlink>
    </w:p>
    <w:p w:rsidR="00CF378C" w:rsidRPr="001A3D2B" w:rsidRDefault="00CF378C" w:rsidP="00CF378C">
      <w:pPr>
        <w:pStyle w:val="a3"/>
        <w:rPr>
          <w:kern w:val="0"/>
          <w:szCs w:val="24"/>
        </w:rPr>
      </w:pPr>
      <w:r w:rsidRPr="001A3D2B">
        <w:rPr>
          <w:kern w:val="0"/>
          <w:szCs w:val="24"/>
        </w:rPr>
        <w:t>Abstract: In criminal justice, as in many other areas</w:t>
      </w:r>
      <w:r w:rsidR="00427468">
        <w:rPr>
          <w:kern w:val="0"/>
          <w:szCs w:val="24"/>
        </w:rPr>
        <w:t xml:space="preserve"> of </w:t>
      </w:r>
      <w:r w:rsidRPr="001A3D2B">
        <w:rPr>
          <w:kern w:val="0"/>
          <w:szCs w:val="24"/>
        </w:rPr>
        <w:t>public administration, politicians</w:t>
      </w:r>
      <w:r w:rsidR="005853A9">
        <w:rPr>
          <w:kern w:val="0"/>
          <w:szCs w:val="24"/>
        </w:rPr>
        <w:t xml:space="preserve"> and </w:t>
      </w:r>
      <w:r w:rsidRPr="001A3D2B">
        <w:rPr>
          <w:kern w:val="0"/>
          <w:szCs w:val="24"/>
        </w:rPr>
        <w:t>managers increasingly call for evidence-based policy (EBP). This should raise questions about what evidence, who will find it</w:t>
      </w:r>
      <w:r w:rsidR="005853A9">
        <w:rPr>
          <w:kern w:val="0"/>
          <w:szCs w:val="24"/>
        </w:rPr>
        <w:t xml:space="preserve"> and </w:t>
      </w:r>
      <w:r w:rsidRPr="001A3D2B">
        <w:rPr>
          <w:kern w:val="0"/>
          <w:szCs w:val="24"/>
        </w:rPr>
        <w:t>how will it be used</w:t>
      </w:r>
      <w:r w:rsidR="00A37C1D">
        <w:rPr>
          <w:kern w:val="0"/>
          <w:szCs w:val="24"/>
        </w:rPr>
        <w:t>. The</w:t>
      </w:r>
      <w:r w:rsidR="003A1917">
        <w:rPr>
          <w:kern w:val="0"/>
          <w:szCs w:val="24"/>
        </w:rPr>
        <w:t xml:space="preserve"> </w:t>
      </w:r>
      <w:r w:rsidRPr="001A3D2B">
        <w:rPr>
          <w:kern w:val="0"/>
          <w:szCs w:val="24"/>
        </w:rPr>
        <w:t>rising emphasis on bibliometrics as</w:t>
      </w:r>
      <w:r w:rsidR="003A1917">
        <w:rPr>
          <w:kern w:val="0"/>
          <w:szCs w:val="24"/>
        </w:rPr>
        <w:t xml:space="preserve"> the </w:t>
      </w:r>
      <w:r w:rsidRPr="001A3D2B">
        <w:rPr>
          <w:kern w:val="0"/>
          <w:szCs w:val="24"/>
        </w:rPr>
        <w:t>way to measure importance</w:t>
      </w:r>
      <w:r w:rsidR="005853A9">
        <w:rPr>
          <w:kern w:val="0"/>
          <w:szCs w:val="24"/>
        </w:rPr>
        <w:t xml:space="preserve"> and </w:t>
      </w:r>
      <w:r w:rsidRPr="001A3D2B">
        <w:rPr>
          <w:kern w:val="0"/>
          <w:szCs w:val="24"/>
        </w:rPr>
        <w:t>impact is another development that should raise questions about what is being measured</w:t>
      </w:r>
      <w:r w:rsidR="005853A9">
        <w:rPr>
          <w:kern w:val="0"/>
          <w:szCs w:val="24"/>
        </w:rPr>
        <w:t xml:space="preserve"> and </w:t>
      </w:r>
      <w:r w:rsidRPr="001A3D2B">
        <w:rPr>
          <w:kern w:val="0"/>
          <w:szCs w:val="24"/>
        </w:rPr>
        <w:t>how it will be used</w:t>
      </w:r>
      <w:r w:rsidR="00A37C1D">
        <w:rPr>
          <w:kern w:val="0"/>
          <w:szCs w:val="24"/>
        </w:rPr>
        <w:t>. The</w:t>
      </w:r>
      <w:r w:rsidR="003A1917">
        <w:rPr>
          <w:kern w:val="0"/>
          <w:szCs w:val="24"/>
        </w:rPr>
        <w:t xml:space="preserve"> </w:t>
      </w:r>
      <w:r w:rsidRPr="001A3D2B">
        <w:rPr>
          <w:kern w:val="0"/>
          <w:szCs w:val="24"/>
        </w:rPr>
        <w:t>academic research publication model does not fit all aspects</w:t>
      </w:r>
      <w:r w:rsidR="00427468">
        <w:rPr>
          <w:kern w:val="0"/>
          <w:szCs w:val="24"/>
        </w:rPr>
        <w:t xml:space="preserve"> of </w:t>
      </w:r>
      <w:r w:rsidRPr="001A3D2B">
        <w:rPr>
          <w:kern w:val="0"/>
          <w:szCs w:val="24"/>
        </w:rPr>
        <w:t>criminology very well, where much work is done by or for government</w:t>
      </w:r>
      <w:r w:rsidR="005853A9">
        <w:rPr>
          <w:kern w:val="0"/>
          <w:szCs w:val="24"/>
        </w:rPr>
        <w:t xml:space="preserve"> and </w:t>
      </w:r>
      <w:r w:rsidRPr="001A3D2B">
        <w:rPr>
          <w:kern w:val="0"/>
          <w:szCs w:val="24"/>
        </w:rPr>
        <w:t>non-government organisations,</w:t>
      </w:r>
      <w:r w:rsidR="005853A9">
        <w:rPr>
          <w:kern w:val="0"/>
          <w:szCs w:val="24"/>
        </w:rPr>
        <w:t xml:space="preserve"> and </w:t>
      </w:r>
      <w:r w:rsidRPr="001A3D2B">
        <w:rPr>
          <w:kern w:val="0"/>
          <w:szCs w:val="24"/>
        </w:rPr>
        <w:t>much is multidisciplinary. This grey literature has always presented problems in meeting standards for peer-reviewed, evidence-based evaluation, but is often all there is - if it can be found. Funding agencies may have stringent requirements for evaluation studies, but how are these reports written or structured</w:t>
      </w:r>
      <w:r w:rsidR="005853A9">
        <w:rPr>
          <w:kern w:val="0"/>
          <w:szCs w:val="24"/>
        </w:rPr>
        <w:t xml:space="preserve"> and </w:t>
      </w:r>
      <w:r w:rsidRPr="001A3D2B">
        <w:rPr>
          <w:kern w:val="0"/>
          <w:szCs w:val="24"/>
        </w:rPr>
        <w:t>what happens to them? How can they be used to inform subsequent practice?</w:t>
      </w:r>
    </w:p>
    <w:p w:rsidR="00CF378C" w:rsidRPr="001A3D2B" w:rsidRDefault="00CF378C" w:rsidP="00CF378C">
      <w:pPr>
        <w:pStyle w:val="a3"/>
        <w:rPr>
          <w:kern w:val="0"/>
          <w:szCs w:val="24"/>
        </w:rPr>
      </w:pPr>
      <w:r w:rsidRPr="001A3D2B">
        <w:rPr>
          <w:kern w:val="0"/>
          <w:szCs w:val="24"/>
        </w:rPr>
        <w:t>Keywords: Academic, Administration, Bibliometrics, Criminology, Development, Evaluation, Evaluation Studies, Evidence, Evidence Based, Evidence-Based, Government, Impact, Justice, Literature, Managers, Measure, Meeting, Model, Multidisciplinary, Peer-Reviewed, Policy, Politicians, Practice, Public, Publication, Research, Standards, Work</w:t>
      </w:r>
    </w:p>
    <w:p w:rsidR="00DD0660" w:rsidRDefault="00DD0660" w:rsidP="00DD0660">
      <w:pPr>
        <w:pStyle w:val="a3"/>
        <w:rPr>
          <w:kern w:val="0"/>
        </w:rPr>
      </w:pPr>
      <w:r>
        <w:rPr>
          <w:rFonts w:hint="eastAsia"/>
          <w:kern w:val="0"/>
        </w:rPr>
        <w:t xml:space="preserve">? </w:t>
      </w:r>
      <w:r>
        <w:rPr>
          <w:kern w:val="0"/>
        </w:rPr>
        <w:t xml:space="preserve">Morrison, I. (2009), Documentation: </w:t>
      </w:r>
      <w:r w:rsidR="00FE0B89">
        <w:rPr>
          <w:kern w:val="0"/>
        </w:rPr>
        <w:t xml:space="preserve">A </w:t>
      </w:r>
      <w:r>
        <w:rPr>
          <w:kern w:val="0"/>
        </w:rPr>
        <w:t>history</w:t>
      </w:r>
      <w:r w:rsidR="005853A9">
        <w:rPr>
          <w:kern w:val="0"/>
        </w:rPr>
        <w:t xml:space="preserve"> and </w:t>
      </w:r>
      <w:r>
        <w:rPr>
          <w:kern w:val="0"/>
        </w:rPr>
        <w:t>critique</w:t>
      </w:r>
      <w:r w:rsidR="00427468">
        <w:rPr>
          <w:kern w:val="0"/>
        </w:rPr>
        <w:t xml:space="preserve"> of </w:t>
      </w:r>
      <w:r>
        <w:rPr>
          <w:kern w:val="0"/>
        </w:rPr>
        <w:t>attribution, commentary, glosses, marginalia, notes, bibliographies, works-cited lists,</w:t>
      </w:r>
      <w:r w:rsidR="005853A9">
        <w:rPr>
          <w:kern w:val="0"/>
        </w:rPr>
        <w:t xml:space="preserve"> and </w:t>
      </w:r>
      <w:r>
        <w:rPr>
          <w:kern w:val="0"/>
        </w:rPr>
        <w:t>citation indexing</w:t>
      </w:r>
      <w:r w:rsidR="005853A9">
        <w:rPr>
          <w:kern w:val="0"/>
        </w:rPr>
        <w:t xml:space="preserve"> and </w:t>
      </w:r>
      <w:r>
        <w:rPr>
          <w:kern w:val="0"/>
        </w:rPr>
        <w:t xml:space="preserve">analysis. </w:t>
      </w:r>
      <w:r>
        <w:rPr>
          <w:i/>
          <w:iCs/>
          <w:kern w:val="0"/>
        </w:rPr>
        <w:t>Australian Library Journal</w:t>
      </w:r>
      <w:r>
        <w:rPr>
          <w:kern w:val="0"/>
        </w:rPr>
        <w:t xml:space="preserve">, </w:t>
      </w:r>
      <w:r>
        <w:rPr>
          <w:b/>
          <w:bCs/>
          <w:kern w:val="0"/>
        </w:rPr>
        <w:t>58</w:t>
      </w:r>
      <w:r>
        <w:rPr>
          <w:kern w:val="0"/>
        </w:rPr>
        <w:t xml:space="preserve"> (3), 329-330</w:t>
      </w:r>
    </w:p>
    <w:p w:rsidR="00FE0B89" w:rsidRPr="00F219CA" w:rsidRDefault="00FE0B89" w:rsidP="00FE0B89">
      <w:pPr>
        <w:pStyle w:val="a3"/>
        <w:rPr>
          <w:kern w:val="0"/>
          <w:szCs w:val="24"/>
        </w:rPr>
      </w:pPr>
      <w:r>
        <w:rPr>
          <w:rFonts w:hint="eastAsia"/>
          <w:kern w:val="0"/>
          <w:szCs w:val="24"/>
        </w:rPr>
        <w:t xml:space="preserve">Full Text: </w:t>
      </w:r>
      <w:hyperlink r:id="rId1386" w:history="1">
        <w:r w:rsidRPr="00DB08A5">
          <w:rPr>
            <w:rStyle w:val="a5"/>
            <w:kern w:val="0"/>
            <w:szCs w:val="24"/>
          </w:rPr>
          <w:t>2009\Aus Lib J58, 329.pdf</w:t>
        </w:r>
      </w:hyperlink>
    </w:p>
    <w:p w:rsidR="00DD0660" w:rsidRDefault="00DD0660" w:rsidP="00DD0660">
      <w:pPr>
        <w:pStyle w:val="a3"/>
        <w:rPr>
          <w:kern w:val="0"/>
        </w:rPr>
      </w:pPr>
      <w:r>
        <w:rPr>
          <w:kern w:val="0"/>
        </w:rPr>
        <w:lastRenderedPageBreak/>
        <w:t>Keywords: Citation, History, Indexing</w:t>
      </w:r>
    </w:p>
    <w:p w:rsidR="00FE0B89" w:rsidRDefault="00FE0B89" w:rsidP="00FE0B89">
      <w:pPr>
        <w:pStyle w:val="a3"/>
        <w:rPr>
          <w:kern w:val="0"/>
          <w:szCs w:val="24"/>
        </w:rPr>
      </w:pPr>
      <w:r>
        <w:rPr>
          <w:rFonts w:hint="eastAsia"/>
          <w:kern w:val="0"/>
          <w:szCs w:val="24"/>
        </w:rPr>
        <w:t xml:space="preserve">? </w:t>
      </w:r>
      <w:r>
        <w:rPr>
          <w:kern w:val="0"/>
          <w:szCs w:val="24"/>
        </w:rPr>
        <w:t>Smith, J. (2011</w:t>
      </w:r>
      <w:r w:rsidR="00F42EAC">
        <w:rPr>
          <w:kern w:val="0"/>
          <w:szCs w:val="24"/>
        </w:rPr>
        <w:t>), The</w:t>
      </w:r>
      <w:r w:rsidR="003A1917">
        <w:rPr>
          <w:kern w:val="0"/>
          <w:szCs w:val="24"/>
        </w:rPr>
        <w:t xml:space="preserve"> </w:t>
      </w:r>
      <w:r>
        <w:rPr>
          <w:kern w:val="0"/>
          <w:szCs w:val="24"/>
        </w:rPr>
        <w:t xml:space="preserve">evidence base: Where is it? </w:t>
      </w:r>
      <w:r>
        <w:rPr>
          <w:i/>
          <w:iCs/>
          <w:kern w:val="0"/>
          <w:szCs w:val="24"/>
        </w:rPr>
        <w:t>Australian Library Journal</w:t>
      </w:r>
      <w:r>
        <w:rPr>
          <w:kern w:val="0"/>
          <w:szCs w:val="24"/>
        </w:rPr>
        <w:t xml:space="preserve">, </w:t>
      </w:r>
      <w:r>
        <w:rPr>
          <w:b/>
          <w:bCs/>
          <w:kern w:val="0"/>
          <w:szCs w:val="24"/>
        </w:rPr>
        <w:t>60</w:t>
      </w:r>
      <w:r>
        <w:rPr>
          <w:kern w:val="0"/>
          <w:szCs w:val="24"/>
        </w:rPr>
        <w:t xml:space="preserve"> (4), 350-356.</w:t>
      </w:r>
    </w:p>
    <w:p w:rsidR="00FE0B89" w:rsidRPr="00F219CA" w:rsidRDefault="00FE0B89" w:rsidP="00FE0B89">
      <w:pPr>
        <w:pStyle w:val="a3"/>
        <w:rPr>
          <w:kern w:val="0"/>
          <w:szCs w:val="24"/>
        </w:rPr>
      </w:pPr>
      <w:r>
        <w:rPr>
          <w:rFonts w:hint="eastAsia"/>
          <w:kern w:val="0"/>
          <w:szCs w:val="24"/>
        </w:rPr>
        <w:t xml:space="preserve">Full Text: </w:t>
      </w:r>
      <w:hyperlink r:id="rId1387" w:history="1">
        <w:r w:rsidR="00E97821" w:rsidRPr="00E97821">
          <w:rPr>
            <w:rStyle w:val="a5"/>
            <w:kern w:val="0"/>
            <w:szCs w:val="24"/>
          </w:rPr>
          <w:t>2011\Aus Lib J60, 350.pdf</w:t>
        </w:r>
      </w:hyperlink>
    </w:p>
    <w:p w:rsidR="00FE0B89" w:rsidRDefault="00FE0B89" w:rsidP="00FE0B89">
      <w:pPr>
        <w:pStyle w:val="a3"/>
        <w:rPr>
          <w:kern w:val="0"/>
          <w:szCs w:val="24"/>
        </w:rPr>
      </w:pPr>
      <w:r>
        <w:rPr>
          <w:kern w:val="0"/>
          <w:szCs w:val="24"/>
        </w:rPr>
        <w:t>Abstract: In criminal justice, as in many other areas</w:t>
      </w:r>
      <w:r w:rsidR="00427468">
        <w:rPr>
          <w:kern w:val="0"/>
          <w:szCs w:val="24"/>
        </w:rPr>
        <w:t xml:space="preserve"> of </w:t>
      </w:r>
      <w:r>
        <w:rPr>
          <w:kern w:val="0"/>
          <w:szCs w:val="24"/>
        </w:rPr>
        <w:t>public administration, politicians</w:t>
      </w:r>
      <w:r w:rsidR="005853A9">
        <w:rPr>
          <w:kern w:val="0"/>
          <w:szCs w:val="24"/>
        </w:rPr>
        <w:t xml:space="preserve"> and </w:t>
      </w:r>
      <w:r>
        <w:rPr>
          <w:kern w:val="0"/>
          <w:szCs w:val="24"/>
        </w:rPr>
        <w:t>managers increasingly call fur evidence-based policy (F,BP). This should raise questions about what evidence, who will find it</w:t>
      </w:r>
      <w:r w:rsidR="005853A9">
        <w:rPr>
          <w:kern w:val="0"/>
          <w:szCs w:val="24"/>
        </w:rPr>
        <w:t xml:space="preserve"> and </w:t>
      </w:r>
      <w:r>
        <w:rPr>
          <w:kern w:val="0"/>
          <w:szCs w:val="24"/>
        </w:rPr>
        <w:t>how will it be used</w:t>
      </w:r>
      <w:r w:rsidR="00A37C1D">
        <w:rPr>
          <w:kern w:val="0"/>
          <w:szCs w:val="24"/>
        </w:rPr>
        <w:t>. The</w:t>
      </w:r>
      <w:r w:rsidR="003A1917">
        <w:rPr>
          <w:kern w:val="0"/>
          <w:szCs w:val="24"/>
        </w:rPr>
        <w:t xml:space="preserve"> </w:t>
      </w:r>
      <w:r>
        <w:rPr>
          <w:kern w:val="0"/>
          <w:szCs w:val="24"/>
        </w:rPr>
        <w:t>rising emphasis on bibliometrics as</w:t>
      </w:r>
      <w:r w:rsidR="003A1917">
        <w:rPr>
          <w:kern w:val="0"/>
          <w:szCs w:val="24"/>
        </w:rPr>
        <w:t xml:space="preserve"> the </w:t>
      </w:r>
      <w:r>
        <w:rPr>
          <w:kern w:val="0"/>
          <w:szCs w:val="24"/>
        </w:rPr>
        <w:t>way to measure importance</w:t>
      </w:r>
      <w:r w:rsidR="005853A9">
        <w:rPr>
          <w:kern w:val="0"/>
          <w:szCs w:val="24"/>
        </w:rPr>
        <w:t xml:space="preserve"> and </w:t>
      </w:r>
      <w:r>
        <w:rPr>
          <w:kern w:val="0"/>
          <w:szCs w:val="24"/>
        </w:rPr>
        <w:t>impact is another development that should raise questions about what is being measured</w:t>
      </w:r>
      <w:r w:rsidR="005853A9">
        <w:rPr>
          <w:kern w:val="0"/>
          <w:szCs w:val="24"/>
        </w:rPr>
        <w:t xml:space="preserve"> and </w:t>
      </w:r>
      <w:r>
        <w:rPr>
          <w:kern w:val="0"/>
          <w:szCs w:val="24"/>
        </w:rPr>
        <w:t>how it will be used</w:t>
      </w:r>
      <w:r w:rsidR="00A37C1D">
        <w:rPr>
          <w:kern w:val="0"/>
          <w:szCs w:val="24"/>
        </w:rPr>
        <w:t>. The</w:t>
      </w:r>
      <w:r w:rsidR="003A1917">
        <w:rPr>
          <w:kern w:val="0"/>
          <w:szCs w:val="24"/>
        </w:rPr>
        <w:t xml:space="preserve"> </w:t>
      </w:r>
      <w:r>
        <w:rPr>
          <w:kern w:val="0"/>
          <w:szCs w:val="24"/>
        </w:rPr>
        <w:t>academic research publication model does not fit all aspects</w:t>
      </w:r>
      <w:r w:rsidR="00427468">
        <w:rPr>
          <w:kern w:val="0"/>
          <w:szCs w:val="24"/>
        </w:rPr>
        <w:t xml:space="preserve"> of </w:t>
      </w:r>
      <w:r>
        <w:rPr>
          <w:kern w:val="0"/>
          <w:szCs w:val="24"/>
        </w:rPr>
        <w:t>criminology very well, where much work is done by or for government</w:t>
      </w:r>
      <w:r w:rsidR="005853A9">
        <w:rPr>
          <w:kern w:val="0"/>
          <w:szCs w:val="24"/>
        </w:rPr>
        <w:t xml:space="preserve"> and </w:t>
      </w:r>
      <w:r>
        <w:rPr>
          <w:kern w:val="0"/>
          <w:szCs w:val="24"/>
        </w:rPr>
        <w:t>non-government organisations,</w:t>
      </w:r>
      <w:r w:rsidR="005853A9">
        <w:rPr>
          <w:kern w:val="0"/>
          <w:szCs w:val="24"/>
        </w:rPr>
        <w:t xml:space="preserve"> and </w:t>
      </w:r>
      <w:r>
        <w:rPr>
          <w:kern w:val="0"/>
          <w:szCs w:val="24"/>
        </w:rPr>
        <w:t>much is multidisciplinary. This grey literature has always presented problems in meeting standards for peer-reviewed, evidence-based evaluation, hut is often all there is - if it can be found. Funding agencies may have stringent requirements for evaluation studies, but how are these reports written or structured</w:t>
      </w:r>
      <w:r w:rsidR="005853A9">
        <w:rPr>
          <w:kern w:val="0"/>
          <w:szCs w:val="24"/>
        </w:rPr>
        <w:t xml:space="preserve"> and </w:t>
      </w:r>
      <w:r>
        <w:rPr>
          <w:kern w:val="0"/>
          <w:szCs w:val="24"/>
        </w:rPr>
        <w:t>what happens to them? How can they he used to inform subsequent practice?</w:t>
      </w:r>
    </w:p>
    <w:p w:rsidR="00FE0B89" w:rsidRDefault="00FE0B89" w:rsidP="00FE0B89">
      <w:pPr>
        <w:pStyle w:val="a3"/>
        <w:rPr>
          <w:kern w:val="0"/>
          <w:szCs w:val="24"/>
        </w:rPr>
      </w:pPr>
      <w:r>
        <w:rPr>
          <w:kern w:val="0"/>
          <w:szCs w:val="24"/>
        </w:rPr>
        <w:t>Keywords: Bibliometrics, Criminology, Development, Evaluation, Evaluation Studies, Funding, Impact, Literature, Model, Policy, Practice, Publication, Research, Standards</w:t>
      </w:r>
    </w:p>
    <w:p w:rsidR="0068444D" w:rsidRPr="00F219CA" w:rsidRDefault="0068444D" w:rsidP="0068444D">
      <w:pPr>
        <w:pStyle w:val="1"/>
      </w:pPr>
      <w:r w:rsidRPr="00F219CA">
        <w:br w:type="page"/>
      </w:r>
      <w:bookmarkStart w:id="714" w:name="_Toc420814677"/>
      <w:r w:rsidRPr="00F219CA">
        <w:lastRenderedPageBreak/>
        <w:t xml:space="preserve">Title: </w:t>
      </w:r>
      <w:r w:rsidRPr="00780E7C">
        <w:rPr>
          <w:iCs w:val="0"/>
          <w:szCs w:val="24"/>
        </w:rPr>
        <w:t>Australian</w:t>
      </w:r>
      <w:r w:rsidR="005853A9">
        <w:rPr>
          <w:iCs w:val="0"/>
          <w:szCs w:val="24"/>
        </w:rPr>
        <w:t xml:space="preserve"> and </w:t>
      </w:r>
      <w:r w:rsidRPr="00780E7C">
        <w:rPr>
          <w:iCs w:val="0"/>
          <w:szCs w:val="24"/>
        </w:rPr>
        <w:t>New Zealand Journal</w:t>
      </w:r>
      <w:r w:rsidR="00427468">
        <w:rPr>
          <w:iCs w:val="0"/>
          <w:szCs w:val="24"/>
        </w:rPr>
        <w:t xml:space="preserve"> of </w:t>
      </w:r>
      <w:r w:rsidRPr="00780E7C">
        <w:rPr>
          <w:iCs w:val="0"/>
          <w:szCs w:val="24"/>
        </w:rPr>
        <w:t>Criminology</w:t>
      </w:r>
      <w:bookmarkEnd w:id="714"/>
    </w:p>
    <w:p w:rsidR="0068444D" w:rsidRPr="00F219CA" w:rsidRDefault="0068444D" w:rsidP="0068444D">
      <w:pPr>
        <w:pStyle w:val="12"/>
      </w:pPr>
      <w:r w:rsidRPr="00F219CA">
        <w:t xml:space="preserve">Full Journal Title: </w:t>
      </w:r>
      <w:r w:rsidRPr="00780E7C">
        <w:rPr>
          <w:iCs/>
          <w:kern w:val="0"/>
        </w:rPr>
        <w:t>Australian</w:t>
      </w:r>
      <w:r w:rsidR="005853A9">
        <w:rPr>
          <w:iCs/>
          <w:kern w:val="0"/>
        </w:rPr>
        <w:t xml:space="preserve"> and </w:t>
      </w:r>
      <w:r w:rsidRPr="00780E7C">
        <w:rPr>
          <w:iCs/>
          <w:kern w:val="0"/>
        </w:rPr>
        <w:t>New Zealand Journal</w:t>
      </w:r>
      <w:r w:rsidR="00427468">
        <w:rPr>
          <w:iCs/>
          <w:kern w:val="0"/>
        </w:rPr>
        <w:t xml:space="preserve"> of </w:t>
      </w:r>
      <w:r w:rsidRPr="00780E7C">
        <w:rPr>
          <w:iCs/>
          <w:kern w:val="0"/>
        </w:rPr>
        <w:t>Criminology</w:t>
      </w:r>
    </w:p>
    <w:p w:rsidR="0068444D" w:rsidRPr="00F219CA" w:rsidRDefault="0068444D" w:rsidP="0068444D">
      <w:pPr>
        <w:pStyle w:val="12"/>
      </w:pPr>
      <w:r w:rsidRPr="00F219CA">
        <w:t xml:space="preserve">ISO Abbreviated Title: </w:t>
      </w:r>
    </w:p>
    <w:p w:rsidR="0068444D" w:rsidRPr="00F219CA" w:rsidRDefault="0068444D" w:rsidP="0068444D">
      <w:pPr>
        <w:pStyle w:val="12"/>
      </w:pPr>
      <w:r w:rsidRPr="00F219CA">
        <w:t xml:space="preserve">JCR Abbreviated Title: </w:t>
      </w:r>
    </w:p>
    <w:p w:rsidR="0068444D" w:rsidRPr="00F219CA" w:rsidRDefault="0068444D" w:rsidP="0068444D">
      <w:pPr>
        <w:pStyle w:val="12"/>
      </w:pPr>
      <w:r>
        <w:t xml:space="preserve">ISSN: </w:t>
      </w:r>
    </w:p>
    <w:p w:rsidR="0068444D" w:rsidRPr="00F219CA" w:rsidRDefault="0068444D" w:rsidP="0068444D">
      <w:pPr>
        <w:pStyle w:val="12"/>
      </w:pPr>
      <w:r w:rsidRPr="00F219CA">
        <w:t xml:space="preserve">Issues/Year: </w:t>
      </w:r>
    </w:p>
    <w:p w:rsidR="0068444D" w:rsidRPr="00F219CA" w:rsidRDefault="0068444D" w:rsidP="0068444D">
      <w:pPr>
        <w:pStyle w:val="12"/>
      </w:pPr>
      <w:r w:rsidRPr="00F219CA">
        <w:t xml:space="preserve">Journal Country/Territory: </w:t>
      </w:r>
    </w:p>
    <w:p w:rsidR="0068444D" w:rsidRPr="00F219CA" w:rsidRDefault="0068444D" w:rsidP="0068444D">
      <w:pPr>
        <w:pStyle w:val="12"/>
      </w:pPr>
      <w:r w:rsidRPr="00F219CA">
        <w:t xml:space="preserve">Language: </w:t>
      </w:r>
    </w:p>
    <w:p w:rsidR="0068444D" w:rsidRPr="00F219CA" w:rsidRDefault="0068444D" w:rsidP="0068444D">
      <w:pPr>
        <w:pStyle w:val="12"/>
      </w:pPr>
      <w:r w:rsidRPr="00F219CA">
        <w:t xml:space="preserve">Publisher: </w:t>
      </w:r>
    </w:p>
    <w:p w:rsidR="0068444D" w:rsidRPr="00F219CA" w:rsidRDefault="0068444D" w:rsidP="0068444D">
      <w:pPr>
        <w:pStyle w:val="12"/>
      </w:pPr>
      <w:r w:rsidRPr="00F219CA">
        <w:t xml:space="preserve">Publisher Address: </w:t>
      </w:r>
    </w:p>
    <w:p w:rsidR="0068444D" w:rsidRPr="00F219CA" w:rsidRDefault="0068444D" w:rsidP="0068444D">
      <w:pPr>
        <w:pStyle w:val="12"/>
      </w:pPr>
      <w:r w:rsidRPr="00F219CA">
        <w:t>Subject Categories:</w:t>
      </w:r>
    </w:p>
    <w:p w:rsidR="0068444D" w:rsidRPr="00F219CA" w:rsidRDefault="0068444D" w:rsidP="0068444D">
      <w:pPr>
        <w:pStyle w:val="12"/>
      </w:pPr>
      <w:r w:rsidRPr="00F219CA">
        <w:t xml:space="preserve">: Impact Factor </w:t>
      </w:r>
    </w:p>
    <w:p w:rsidR="0068444D" w:rsidRDefault="0068444D" w:rsidP="0068444D">
      <w:pPr>
        <w:pStyle w:val="a3"/>
        <w:rPr>
          <w:kern w:val="0"/>
          <w:szCs w:val="24"/>
        </w:rPr>
      </w:pPr>
      <w:r>
        <w:rPr>
          <w:kern w:val="0"/>
          <w:szCs w:val="24"/>
        </w:rPr>
        <w:t>? Ogilvie, J.</w:t>
      </w:r>
      <w:r w:rsidR="005853A9">
        <w:rPr>
          <w:kern w:val="0"/>
          <w:szCs w:val="24"/>
        </w:rPr>
        <w:t xml:space="preserve"> and </w:t>
      </w:r>
      <w:r>
        <w:rPr>
          <w:kern w:val="0"/>
          <w:szCs w:val="24"/>
        </w:rPr>
        <w:t>Stewart, A. (2010</w:t>
      </w:r>
      <w:r w:rsidR="00F42EAC">
        <w:rPr>
          <w:kern w:val="0"/>
          <w:szCs w:val="24"/>
        </w:rPr>
        <w:t>), The</w:t>
      </w:r>
      <w:r w:rsidR="003A1917">
        <w:rPr>
          <w:kern w:val="0"/>
          <w:szCs w:val="24"/>
        </w:rPr>
        <w:t xml:space="preserve"> </w:t>
      </w:r>
      <w:r>
        <w:rPr>
          <w:kern w:val="0"/>
          <w:szCs w:val="24"/>
        </w:rPr>
        <w:t>integration</w:t>
      </w:r>
      <w:r w:rsidR="00427468">
        <w:rPr>
          <w:kern w:val="0"/>
          <w:szCs w:val="24"/>
        </w:rPr>
        <w:t xml:space="preserve"> of </w:t>
      </w:r>
      <w:r>
        <w:rPr>
          <w:kern w:val="0"/>
          <w:szCs w:val="24"/>
        </w:rPr>
        <w:t>rational choice</w:t>
      </w:r>
      <w:r w:rsidR="005853A9">
        <w:rPr>
          <w:kern w:val="0"/>
          <w:szCs w:val="24"/>
        </w:rPr>
        <w:t xml:space="preserve"> and </w:t>
      </w:r>
      <w:r>
        <w:rPr>
          <w:kern w:val="0"/>
          <w:szCs w:val="24"/>
        </w:rPr>
        <w:t>self-efficacy theories: A situational analysis</w:t>
      </w:r>
      <w:r w:rsidR="00427468">
        <w:rPr>
          <w:kern w:val="0"/>
          <w:szCs w:val="24"/>
        </w:rPr>
        <w:t xml:space="preserve"> of </w:t>
      </w:r>
      <w:r>
        <w:rPr>
          <w:kern w:val="0"/>
          <w:szCs w:val="24"/>
        </w:rPr>
        <w:t xml:space="preserve">student misconduct. </w:t>
      </w:r>
      <w:r w:rsidRPr="00780E7C">
        <w:rPr>
          <w:i/>
          <w:iCs/>
          <w:kern w:val="0"/>
          <w:szCs w:val="24"/>
        </w:rPr>
        <w:t>Australian</w:t>
      </w:r>
      <w:r w:rsidR="005853A9">
        <w:rPr>
          <w:i/>
          <w:iCs/>
          <w:kern w:val="0"/>
          <w:szCs w:val="24"/>
        </w:rPr>
        <w:t xml:space="preserve"> and </w:t>
      </w:r>
      <w:r w:rsidRPr="00780E7C">
        <w:rPr>
          <w:i/>
          <w:iCs/>
          <w:kern w:val="0"/>
          <w:szCs w:val="24"/>
        </w:rPr>
        <w:t>New Zealand Journal</w:t>
      </w:r>
      <w:r w:rsidR="00427468">
        <w:rPr>
          <w:i/>
          <w:iCs/>
          <w:kern w:val="0"/>
          <w:szCs w:val="24"/>
        </w:rPr>
        <w:t xml:space="preserve"> of </w:t>
      </w:r>
      <w:r w:rsidRPr="00780E7C">
        <w:rPr>
          <w:i/>
          <w:iCs/>
          <w:kern w:val="0"/>
          <w:szCs w:val="24"/>
        </w:rPr>
        <w:t>Criminology</w:t>
      </w:r>
      <w:r>
        <w:rPr>
          <w:kern w:val="0"/>
          <w:szCs w:val="24"/>
        </w:rPr>
        <w:t xml:space="preserve">, </w:t>
      </w:r>
      <w:r>
        <w:rPr>
          <w:b/>
          <w:bCs/>
          <w:kern w:val="0"/>
          <w:szCs w:val="24"/>
        </w:rPr>
        <w:t>43</w:t>
      </w:r>
      <w:r>
        <w:rPr>
          <w:kern w:val="0"/>
          <w:szCs w:val="24"/>
        </w:rPr>
        <w:t xml:space="preserve"> (1), 130-155.</w:t>
      </w:r>
    </w:p>
    <w:p w:rsidR="0068444D" w:rsidRDefault="0068444D" w:rsidP="0068444D">
      <w:pPr>
        <w:pStyle w:val="a3"/>
        <w:rPr>
          <w:kern w:val="0"/>
          <w:szCs w:val="24"/>
        </w:rPr>
      </w:pPr>
      <w:r>
        <w:rPr>
          <w:rFonts w:hint="eastAsia"/>
          <w:kern w:val="0"/>
          <w:szCs w:val="24"/>
        </w:rPr>
        <w:t xml:space="preserve">Full Text: </w:t>
      </w:r>
      <w:hyperlink r:id="rId1388" w:history="1">
        <w:r w:rsidRPr="00780E7C">
          <w:rPr>
            <w:rStyle w:val="a5"/>
            <w:kern w:val="0"/>
            <w:szCs w:val="24"/>
          </w:rPr>
          <w:t>2010\Aus New Zea J Cri43, 130.pdf</w:t>
        </w:r>
      </w:hyperlink>
    </w:p>
    <w:p w:rsidR="0068444D" w:rsidRDefault="0068444D" w:rsidP="0068444D">
      <w:pPr>
        <w:pStyle w:val="a3"/>
        <w:rPr>
          <w:kern w:val="0"/>
          <w:szCs w:val="24"/>
        </w:rPr>
      </w:pPr>
      <w:r>
        <w:rPr>
          <w:kern w:val="0"/>
          <w:szCs w:val="24"/>
        </w:rPr>
        <w:t>Abstract: Research on</w:t>
      </w:r>
      <w:r w:rsidR="003A1917">
        <w:rPr>
          <w:kern w:val="0"/>
          <w:szCs w:val="24"/>
        </w:rPr>
        <w:t xml:space="preserve"> the </w:t>
      </w:r>
      <w:r>
        <w:rPr>
          <w:kern w:val="0"/>
          <w:szCs w:val="24"/>
        </w:rPr>
        <w:t>causes</w:t>
      </w:r>
      <w:r w:rsidR="00427468">
        <w:rPr>
          <w:kern w:val="0"/>
          <w:szCs w:val="24"/>
        </w:rPr>
        <w:t xml:space="preserve"> of </w:t>
      </w:r>
      <w:r>
        <w:rPr>
          <w:kern w:val="0"/>
          <w:szCs w:val="24"/>
        </w:rPr>
        <w:t>student misconduct in higher education has largely overlooked</w:t>
      </w:r>
      <w:r w:rsidR="003A1917">
        <w:rPr>
          <w:kern w:val="0"/>
          <w:szCs w:val="24"/>
        </w:rPr>
        <w:t xml:space="preserve"> the </w:t>
      </w:r>
      <w:r>
        <w:rPr>
          <w:kern w:val="0"/>
          <w:szCs w:val="24"/>
        </w:rPr>
        <w:t>values</w:t>
      </w:r>
      <w:r w:rsidR="00427468">
        <w:rPr>
          <w:kern w:val="0"/>
          <w:szCs w:val="24"/>
        </w:rPr>
        <w:t xml:space="preserve"> of </w:t>
      </w:r>
      <w:r>
        <w:rPr>
          <w:kern w:val="0"/>
          <w:szCs w:val="24"/>
        </w:rPr>
        <w:t>integrating individual</w:t>
      </w:r>
      <w:r w:rsidR="005853A9">
        <w:rPr>
          <w:kern w:val="0"/>
          <w:szCs w:val="24"/>
        </w:rPr>
        <w:t xml:space="preserve"> and </w:t>
      </w:r>
      <w:r>
        <w:rPr>
          <w:kern w:val="0"/>
          <w:szCs w:val="24"/>
        </w:rPr>
        <w:t>situational perspectives to structure empirical examinations. Such research has important implications for</w:t>
      </w:r>
      <w:r w:rsidR="003A1917">
        <w:rPr>
          <w:kern w:val="0"/>
          <w:szCs w:val="24"/>
        </w:rPr>
        <w:t xml:space="preserve"> the </w:t>
      </w:r>
      <w:r>
        <w:rPr>
          <w:kern w:val="0"/>
          <w:szCs w:val="24"/>
        </w:rPr>
        <w:t>prevention</w:t>
      </w:r>
      <w:r w:rsidR="005853A9">
        <w:rPr>
          <w:kern w:val="0"/>
          <w:szCs w:val="24"/>
        </w:rPr>
        <w:t xml:space="preserve"> and </w:t>
      </w:r>
      <w:r>
        <w:rPr>
          <w:kern w:val="0"/>
          <w:szCs w:val="24"/>
        </w:rPr>
        <w:t>management</w:t>
      </w:r>
      <w:r w:rsidR="00427468">
        <w:rPr>
          <w:kern w:val="0"/>
          <w:szCs w:val="24"/>
        </w:rPr>
        <w:t xml:space="preserve"> of </w:t>
      </w:r>
      <w:r>
        <w:rPr>
          <w:kern w:val="0"/>
          <w:szCs w:val="24"/>
        </w:rPr>
        <w:t>academic misconduct by higher education institutions. In this study, perceptual deterrence (Piquero &amp; Pogarsky, 2002; Stafford &amp; Warr, 1993)</w:t>
      </w:r>
      <w:r w:rsidR="005853A9">
        <w:rPr>
          <w:kern w:val="0"/>
          <w:szCs w:val="24"/>
        </w:rPr>
        <w:t xml:space="preserve"> and </w:t>
      </w:r>
      <w:r>
        <w:rPr>
          <w:kern w:val="0"/>
          <w:szCs w:val="24"/>
        </w:rPr>
        <w:t>self-efficacy (Bandura, 1997) theories were adopted to model</w:t>
      </w:r>
      <w:r w:rsidR="003A1917">
        <w:rPr>
          <w:kern w:val="0"/>
          <w:szCs w:val="24"/>
        </w:rPr>
        <w:t xml:space="preserve"> the </w:t>
      </w:r>
      <w:r>
        <w:rPr>
          <w:kern w:val="0"/>
          <w:szCs w:val="24"/>
        </w:rPr>
        <w:t>impact</w:t>
      </w:r>
      <w:r w:rsidR="00427468">
        <w:rPr>
          <w:kern w:val="0"/>
          <w:szCs w:val="24"/>
        </w:rPr>
        <w:t xml:space="preserve"> of </w:t>
      </w:r>
      <w:r>
        <w:rPr>
          <w:kern w:val="0"/>
          <w:szCs w:val="24"/>
        </w:rPr>
        <w:t>situational factors</w:t>
      </w:r>
      <w:r w:rsidR="005853A9">
        <w:rPr>
          <w:kern w:val="0"/>
          <w:szCs w:val="24"/>
        </w:rPr>
        <w:t xml:space="preserve"> and </w:t>
      </w:r>
      <w:r>
        <w:rPr>
          <w:kern w:val="0"/>
          <w:szCs w:val="24"/>
        </w:rPr>
        <w:t>individual differences on students</w:t>
      </w:r>
      <w:r w:rsidR="00700038">
        <w:rPr>
          <w:kern w:val="0"/>
          <w:szCs w:val="24"/>
        </w:rPr>
        <w:t>’</w:t>
      </w:r>
      <w:r>
        <w:rPr>
          <w:kern w:val="0"/>
          <w:szCs w:val="24"/>
        </w:rPr>
        <w:t xml:space="preserve"> intentions to engage in plagiarism. A questionnaire using a scenario method</w:t>
      </w:r>
      <w:r w:rsidR="005853A9">
        <w:rPr>
          <w:kern w:val="0"/>
          <w:szCs w:val="24"/>
        </w:rPr>
        <w:t xml:space="preserve"> and </w:t>
      </w:r>
      <w:r>
        <w:rPr>
          <w:kern w:val="0"/>
          <w:szCs w:val="24"/>
        </w:rPr>
        <w:t>manipulating</w:t>
      </w:r>
      <w:r w:rsidR="003A1917">
        <w:rPr>
          <w:kern w:val="0"/>
          <w:szCs w:val="24"/>
        </w:rPr>
        <w:t xml:space="preserve"> the </w:t>
      </w:r>
      <w:r>
        <w:rPr>
          <w:kern w:val="0"/>
          <w:szCs w:val="24"/>
        </w:rPr>
        <w:t>situational deterrence variables</w:t>
      </w:r>
      <w:r w:rsidR="00427468">
        <w:rPr>
          <w:kern w:val="0"/>
          <w:szCs w:val="24"/>
        </w:rPr>
        <w:t xml:space="preserve"> of </w:t>
      </w:r>
      <w:r w:rsidR="003A1917">
        <w:rPr>
          <w:kern w:val="0"/>
          <w:szCs w:val="24"/>
        </w:rPr>
        <w:t xml:space="preserve">the </w:t>
      </w:r>
      <w:r>
        <w:rPr>
          <w:kern w:val="0"/>
          <w:szCs w:val="24"/>
        </w:rPr>
        <w:t>certainty</w:t>
      </w:r>
      <w:r w:rsidR="005853A9">
        <w:rPr>
          <w:kern w:val="0"/>
          <w:szCs w:val="24"/>
        </w:rPr>
        <w:t xml:space="preserve"> and </w:t>
      </w:r>
      <w:r>
        <w:rPr>
          <w:kern w:val="0"/>
          <w:szCs w:val="24"/>
        </w:rPr>
        <w:t>severity</w:t>
      </w:r>
      <w:r w:rsidR="00427468">
        <w:rPr>
          <w:kern w:val="0"/>
          <w:szCs w:val="24"/>
        </w:rPr>
        <w:t xml:space="preserve"> of </w:t>
      </w:r>
      <w:r>
        <w:rPr>
          <w:kern w:val="0"/>
          <w:szCs w:val="24"/>
        </w:rPr>
        <w:t>sanctions was administered to 536 undergraduate university students. Analysis</w:t>
      </w:r>
      <w:r w:rsidR="00427468">
        <w:rPr>
          <w:kern w:val="0"/>
          <w:szCs w:val="24"/>
        </w:rPr>
        <w:t xml:space="preserve"> of </w:t>
      </w:r>
      <w:r>
        <w:rPr>
          <w:kern w:val="0"/>
          <w:szCs w:val="24"/>
        </w:rPr>
        <w:t>covariance results indicated that</w:t>
      </w:r>
      <w:r w:rsidR="003A1917">
        <w:rPr>
          <w:kern w:val="0"/>
          <w:szCs w:val="24"/>
        </w:rPr>
        <w:t xml:space="preserve"> the </w:t>
      </w:r>
      <w:r>
        <w:rPr>
          <w:kern w:val="0"/>
          <w:szCs w:val="24"/>
        </w:rPr>
        <w:t>objective manipulations</w:t>
      </w:r>
      <w:r w:rsidR="00427468">
        <w:rPr>
          <w:kern w:val="0"/>
          <w:szCs w:val="24"/>
        </w:rPr>
        <w:t xml:space="preserve"> of </w:t>
      </w:r>
      <w:r w:rsidR="003A1917">
        <w:rPr>
          <w:kern w:val="0"/>
          <w:szCs w:val="24"/>
        </w:rPr>
        <w:t xml:space="preserve">the </w:t>
      </w:r>
      <w:r>
        <w:rPr>
          <w:kern w:val="0"/>
          <w:szCs w:val="24"/>
        </w:rPr>
        <w:t>certainty</w:t>
      </w:r>
      <w:r w:rsidR="005853A9">
        <w:rPr>
          <w:kern w:val="0"/>
          <w:szCs w:val="24"/>
        </w:rPr>
        <w:t xml:space="preserve"> and </w:t>
      </w:r>
      <w:r>
        <w:rPr>
          <w:kern w:val="0"/>
          <w:szCs w:val="24"/>
        </w:rPr>
        <w:t>severity</w:t>
      </w:r>
      <w:r w:rsidR="00427468">
        <w:rPr>
          <w:kern w:val="0"/>
          <w:szCs w:val="24"/>
        </w:rPr>
        <w:t xml:space="preserve"> of </w:t>
      </w:r>
      <w:r>
        <w:rPr>
          <w:kern w:val="0"/>
          <w:szCs w:val="24"/>
        </w:rPr>
        <w:t>sanctions had no effect on intentions to engage in plagiarism. However, Tobit regression results indicated that both situational perceptions</w:t>
      </w:r>
      <w:r w:rsidR="00427468">
        <w:rPr>
          <w:kern w:val="0"/>
          <w:szCs w:val="24"/>
        </w:rPr>
        <w:t xml:space="preserve"> of </w:t>
      </w:r>
      <w:r>
        <w:rPr>
          <w:kern w:val="0"/>
          <w:szCs w:val="24"/>
        </w:rPr>
        <w:t>costs</w:t>
      </w:r>
      <w:r w:rsidR="005853A9">
        <w:rPr>
          <w:kern w:val="0"/>
          <w:szCs w:val="24"/>
        </w:rPr>
        <w:t xml:space="preserve"> and </w:t>
      </w:r>
      <w:r>
        <w:rPr>
          <w:kern w:val="0"/>
          <w:szCs w:val="24"/>
        </w:rPr>
        <w:t>benefits,</w:t>
      </w:r>
      <w:r w:rsidR="005853A9">
        <w:rPr>
          <w:kern w:val="0"/>
          <w:szCs w:val="24"/>
        </w:rPr>
        <w:t xml:space="preserve"> and </w:t>
      </w:r>
      <w:r>
        <w:rPr>
          <w:kern w:val="0"/>
          <w:szCs w:val="24"/>
        </w:rPr>
        <w:t>academic self-efficacy were significant predictors</w:t>
      </w:r>
      <w:r w:rsidR="00427468">
        <w:rPr>
          <w:kern w:val="0"/>
          <w:szCs w:val="24"/>
        </w:rPr>
        <w:t xml:space="preserve"> of </w:t>
      </w:r>
      <w:r>
        <w:rPr>
          <w:kern w:val="0"/>
          <w:szCs w:val="24"/>
        </w:rPr>
        <w:t>intentions to engage in plagiarism. Furthermore, academic self-efficacy was found to moderate</w:t>
      </w:r>
      <w:r w:rsidR="003A1917">
        <w:rPr>
          <w:kern w:val="0"/>
          <w:szCs w:val="24"/>
        </w:rPr>
        <w:t xml:space="preserve"> the </w:t>
      </w:r>
      <w:r>
        <w:rPr>
          <w:kern w:val="0"/>
          <w:szCs w:val="24"/>
        </w:rPr>
        <w:t>effects</w:t>
      </w:r>
      <w:r w:rsidR="00427468">
        <w:rPr>
          <w:kern w:val="0"/>
          <w:szCs w:val="24"/>
        </w:rPr>
        <w:t xml:space="preserve"> of </w:t>
      </w:r>
      <w:r>
        <w:rPr>
          <w:kern w:val="0"/>
          <w:szCs w:val="24"/>
        </w:rPr>
        <w:t>deterrence perceptions on intentions to engage in plagiarism</w:t>
      </w:r>
      <w:r w:rsidR="00A37C1D">
        <w:rPr>
          <w:kern w:val="0"/>
          <w:szCs w:val="24"/>
        </w:rPr>
        <w:t>. The</w:t>
      </w:r>
      <w:r w:rsidR="003A1917">
        <w:rPr>
          <w:kern w:val="0"/>
          <w:szCs w:val="24"/>
        </w:rPr>
        <w:t xml:space="preserve"> </w:t>
      </w:r>
      <w:r>
        <w:rPr>
          <w:kern w:val="0"/>
          <w:szCs w:val="24"/>
        </w:rPr>
        <w:t>results highlight</w:t>
      </w:r>
      <w:r w:rsidR="003A1917">
        <w:rPr>
          <w:kern w:val="0"/>
          <w:szCs w:val="24"/>
        </w:rPr>
        <w:t xml:space="preserve"> the </w:t>
      </w:r>
      <w:r>
        <w:rPr>
          <w:kern w:val="0"/>
          <w:szCs w:val="24"/>
        </w:rPr>
        <w:t>significance</w:t>
      </w:r>
      <w:r w:rsidR="00427468">
        <w:rPr>
          <w:kern w:val="0"/>
          <w:szCs w:val="24"/>
        </w:rPr>
        <w:t xml:space="preserve"> of </w:t>
      </w:r>
      <w:r w:rsidR="003A1917">
        <w:rPr>
          <w:kern w:val="0"/>
          <w:szCs w:val="24"/>
        </w:rPr>
        <w:t xml:space="preserve">the </w:t>
      </w:r>
      <w:r>
        <w:rPr>
          <w:kern w:val="0"/>
          <w:szCs w:val="24"/>
        </w:rPr>
        <w:t>interaction between situational</w:t>
      </w:r>
      <w:r w:rsidR="005853A9">
        <w:rPr>
          <w:kern w:val="0"/>
          <w:szCs w:val="24"/>
        </w:rPr>
        <w:t xml:space="preserve"> and </w:t>
      </w:r>
      <w:r>
        <w:rPr>
          <w:kern w:val="0"/>
          <w:szCs w:val="24"/>
        </w:rPr>
        <w:t>individual characteristics on decisions to engage in deviant behaviour. Implications for</w:t>
      </w:r>
      <w:r w:rsidR="003A1917">
        <w:rPr>
          <w:kern w:val="0"/>
          <w:szCs w:val="24"/>
        </w:rPr>
        <w:t xml:space="preserve"> the </w:t>
      </w:r>
      <w:r>
        <w:rPr>
          <w:kern w:val="0"/>
          <w:szCs w:val="24"/>
        </w:rPr>
        <w:t>management</w:t>
      </w:r>
      <w:r w:rsidR="00427468">
        <w:rPr>
          <w:kern w:val="0"/>
          <w:szCs w:val="24"/>
        </w:rPr>
        <w:t xml:space="preserve"> of </w:t>
      </w:r>
      <w:r>
        <w:rPr>
          <w:kern w:val="0"/>
          <w:szCs w:val="24"/>
        </w:rPr>
        <w:t>misconduct in higher education institutions are discussed.</w:t>
      </w:r>
    </w:p>
    <w:p w:rsidR="0068444D" w:rsidRDefault="0068444D" w:rsidP="0068444D">
      <w:pPr>
        <w:pStyle w:val="a3"/>
        <w:rPr>
          <w:kern w:val="0"/>
          <w:szCs w:val="24"/>
        </w:rPr>
      </w:pPr>
      <w:r>
        <w:rPr>
          <w:kern w:val="0"/>
          <w:szCs w:val="24"/>
        </w:rPr>
        <w:t xml:space="preserve">Keywords: Academic Dishonesty, Academic Misconduct, Beliefs, Cheating Behavior, Contextual Influences, Crime, Decision-Making, Deterrence, Education, </w:t>
      </w:r>
      <w:r>
        <w:rPr>
          <w:kern w:val="0"/>
          <w:szCs w:val="24"/>
        </w:rPr>
        <w:lastRenderedPageBreak/>
        <w:t>Individual-Differences, Model, Perceptual Deterrence Theory, Plagiarism, Prevention, Questionnaire, Rational Choice, Research, Sanction Threats, Self-Efficacy</w:t>
      </w:r>
    </w:p>
    <w:p w:rsidR="003474F2" w:rsidRPr="001A3D2B" w:rsidRDefault="003474F2" w:rsidP="003474F2">
      <w:pPr>
        <w:pStyle w:val="1"/>
      </w:pPr>
      <w:r w:rsidRPr="001A3D2B">
        <w:br w:type="page"/>
      </w:r>
      <w:bookmarkStart w:id="715" w:name="_Toc420814678"/>
      <w:r w:rsidRPr="001A3D2B">
        <w:lastRenderedPageBreak/>
        <w:t>Title: Australian</w:t>
      </w:r>
      <w:r w:rsidR="005853A9">
        <w:t xml:space="preserve"> and </w:t>
      </w:r>
      <w:r w:rsidRPr="001A3D2B">
        <w:t>New Zealand Journal</w:t>
      </w:r>
      <w:r w:rsidR="00427468">
        <w:t xml:space="preserve"> of </w:t>
      </w:r>
      <w:r w:rsidRPr="001A3D2B">
        <w:t>Family Therapy</w:t>
      </w:r>
      <w:bookmarkEnd w:id="715"/>
    </w:p>
    <w:p w:rsidR="003474F2" w:rsidRPr="001A3D2B" w:rsidRDefault="003474F2" w:rsidP="003474F2">
      <w:pPr>
        <w:pStyle w:val="12"/>
      </w:pPr>
      <w:r w:rsidRPr="001A3D2B">
        <w:t xml:space="preserve">Full Journal Title: </w:t>
      </w:r>
      <w:hyperlink r:id="rId1389" w:history="1">
        <w:r w:rsidRPr="001A3D2B">
          <w:rPr>
            <w:rStyle w:val="a5"/>
            <w:iCs/>
          </w:rPr>
          <w:t>Australian</w:t>
        </w:r>
        <w:r w:rsidR="005853A9">
          <w:rPr>
            <w:rStyle w:val="a5"/>
            <w:iCs/>
          </w:rPr>
          <w:t xml:space="preserve"> and </w:t>
        </w:r>
        <w:r w:rsidRPr="001A3D2B">
          <w:rPr>
            <w:rStyle w:val="a5"/>
            <w:iCs/>
          </w:rPr>
          <w:t>New Zealand Journal</w:t>
        </w:r>
        <w:r w:rsidR="00427468">
          <w:rPr>
            <w:rStyle w:val="a5"/>
            <w:iCs/>
          </w:rPr>
          <w:t xml:space="preserve"> of </w:t>
        </w:r>
        <w:r w:rsidRPr="001A3D2B">
          <w:rPr>
            <w:rStyle w:val="a5"/>
            <w:iCs/>
          </w:rPr>
          <w:t>Family Therapy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0814-723X</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McDonald, E. (2008), Art, science</w:t>
      </w:r>
      <w:r w:rsidR="005853A9">
        <w:t xml:space="preserve"> and </w:t>
      </w:r>
      <w:r w:rsidRPr="001A3D2B">
        <w:t>curiosity: Research</w:t>
      </w:r>
      <w:r w:rsidR="005853A9">
        <w:t xml:space="preserve"> and </w:t>
      </w:r>
      <w:r w:rsidRPr="001A3D2B">
        <w:t xml:space="preserve">research methodologies in Australian family therapy 1979-2000. </w:t>
      </w:r>
      <w:r w:rsidRPr="001A3D2B">
        <w:rPr>
          <w:i/>
          <w:iCs/>
        </w:rPr>
        <w:t>Australian</w:t>
      </w:r>
      <w:r w:rsidR="005853A9">
        <w:rPr>
          <w:i/>
          <w:iCs/>
        </w:rPr>
        <w:t xml:space="preserve"> and </w:t>
      </w:r>
      <w:r w:rsidRPr="001A3D2B">
        <w:rPr>
          <w:i/>
          <w:iCs/>
        </w:rPr>
        <w:t>New Zealand Journal</w:t>
      </w:r>
      <w:r w:rsidR="00427468">
        <w:rPr>
          <w:i/>
          <w:iCs/>
        </w:rPr>
        <w:t xml:space="preserve"> of </w:t>
      </w:r>
      <w:r w:rsidRPr="001A3D2B">
        <w:rPr>
          <w:i/>
          <w:iCs/>
        </w:rPr>
        <w:t>Family Therapy</w:t>
      </w:r>
      <w:r w:rsidRPr="001A3D2B">
        <w:t xml:space="preserve">, </w:t>
      </w:r>
      <w:r w:rsidRPr="001A3D2B">
        <w:rPr>
          <w:b/>
          <w:bCs/>
        </w:rPr>
        <w:t>29</w:t>
      </w:r>
      <w:r w:rsidRPr="001A3D2B">
        <w:t xml:space="preserve"> (3), 122-132.</w:t>
      </w:r>
    </w:p>
    <w:p w:rsidR="003474F2" w:rsidRPr="001A3D2B" w:rsidRDefault="003474F2" w:rsidP="003474F2">
      <w:pPr>
        <w:pStyle w:val="a3"/>
      </w:pPr>
      <w:r w:rsidRPr="001A3D2B">
        <w:t xml:space="preserve">Full Text: </w:t>
      </w:r>
      <w:hyperlink r:id="rId1390" w:history="1">
        <w:r w:rsidRPr="001A3D2B">
          <w:rPr>
            <w:rStyle w:val="a5"/>
          </w:rPr>
          <w:t>2008\Aus New Zea J Fam The29, 122.pdf</w:t>
        </w:r>
      </w:hyperlink>
    </w:p>
    <w:p w:rsidR="003474F2" w:rsidRPr="001A3D2B" w:rsidRDefault="003474F2" w:rsidP="003474F2">
      <w:pPr>
        <w:pStyle w:val="a3"/>
      </w:pPr>
      <w:r w:rsidRPr="001A3D2B">
        <w:t>Abstract: This article presents an historical analysis</w:t>
      </w:r>
      <w:r w:rsidR="00427468">
        <w:t xml:space="preserve"> of </w:t>
      </w:r>
      <w:r w:rsidR="003A1917">
        <w:t xml:space="preserve">the </w:t>
      </w:r>
      <w:r w:rsidRPr="001A3D2B">
        <w:t>development</w:t>
      </w:r>
      <w:r w:rsidR="00427468">
        <w:t xml:space="preserve"> of </w:t>
      </w:r>
      <w:r w:rsidRPr="001A3D2B">
        <w:t>research</w:t>
      </w:r>
      <w:r w:rsidR="005853A9">
        <w:t xml:space="preserve"> and </w:t>
      </w:r>
      <w:r w:rsidRPr="001A3D2B">
        <w:t>research methodologies in an Australian context</w:t>
      </w:r>
      <w:r w:rsidR="00A37C1D">
        <w:t>. The</w:t>
      </w:r>
      <w:r w:rsidR="003A1917">
        <w:t xml:space="preserve"> </w:t>
      </w:r>
      <w:r w:rsidRPr="001A3D2B">
        <w:t>Australian</w:t>
      </w:r>
      <w:r w:rsidR="005853A9">
        <w:t xml:space="preserve"> and </w:t>
      </w:r>
      <w:r w:rsidRPr="001A3D2B">
        <w:t>New Zealand Journal</w:t>
      </w:r>
      <w:r w:rsidR="00427468">
        <w:t xml:space="preserve"> of </w:t>
      </w:r>
      <w:r w:rsidRPr="001A3D2B">
        <w:t>Family Therapy was chosen as</w:t>
      </w:r>
      <w:r w:rsidR="003A1917">
        <w:t xml:space="preserve"> the </w:t>
      </w:r>
      <w:r w:rsidRPr="001A3D2B">
        <w:t>site</w:t>
      </w:r>
      <w:r w:rsidR="00427468">
        <w:t xml:space="preserve"> of </w:t>
      </w:r>
      <w:r w:rsidR="003A1917">
        <w:t xml:space="preserve">the </w:t>
      </w:r>
      <w:r w:rsidRPr="001A3D2B">
        <w:t>analysis</w:t>
      </w:r>
      <w:r w:rsidR="00A37C1D">
        <w:t>. The</w:t>
      </w:r>
      <w:r w:rsidR="003A1917">
        <w:t xml:space="preserve"> </w:t>
      </w:r>
      <w:r w:rsidRPr="001A3D2B">
        <w:t>first section</w:t>
      </w:r>
      <w:r w:rsidR="00427468">
        <w:t xml:space="preserve"> of </w:t>
      </w:r>
      <w:r w:rsidRPr="001A3D2B">
        <w:t>data consists</w:t>
      </w:r>
      <w:r w:rsidR="00427468">
        <w:t xml:space="preserve"> of </w:t>
      </w:r>
      <w:r w:rsidR="003A1917">
        <w:t xml:space="preserve">the </w:t>
      </w:r>
      <w:r w:rsidRPr="001A3D2B">
        <w:t xml:space="preserve">articles that represent themselves as </w:t>
      </w:r>
      <w:r w:rsidR="00700038">
        <w:t>‘</w:t>
      </w:r>
      <w:r w:rsidRPr="001A3D2B">
        <w:t>research</w:t>
      </w:r>
      <w:r w:rsidR="00700038">
        <w:t>’</w:t>
      </w:r>
      <w:r w:rsidRPr="001A3D2B">
        <w:t xml:space="preserve"> in</w:t>
      </w:r>
      <w:r w:rsidR="003A1917">
        <w:t xml:space="preserve"> the </w:t>
      </w:r>
      <w:r w:rsidRPr="001A3D2B">
        <w:t>period from 1979 (the journal</w:t>
      </w:r>
      <w:r w:rsidR="00700038">
        <w:t>’</w:t>
      </w:r>
      <w:r w:rsidR="00C13DDC">
        <w:t>s</w:t>
      </w:r>
      <w:r w:rsidRPr="001A3D2B">
        <w:t xml:space="preserve"> inception) to 2000</w:t>
      </w:r>
      <w:r w:rsidR="00A37C1D">
        <w:t>. The</w:t>
      </w:r>
      <w:r w:rsidRPr="001A3D2B">
        <w:t>se texts have been analysed using bibliometric analysis</w:t>
      </w:r>
      <w:r w:rsidR="00A37C1D">
        <w:t>. The</w:t>
      </w:r>
      <w:r w:rsidR="003A1917">
        <w:t xml:space="preserve"> </w:t>
      </w:r>
      <w:r w:rsidRPr="001A3D2B">
        <w:t>second section</w:t>
      </w:r>
      <w:r w:rsidR="00427468">
        <w:t xml:space="preserve"> of </w:t>
      </w:r>
      <w:r w:rsidRPr="001A3D2B">
        <w:t>data consists</w:t>
      </w:r>
      <w:r w:rsidR="00427468">
        <w:t xml:space="preserve"> of </w:t>
      </w:r>
      <w:r w:rsidRPr="001A3D2B">
        <w:t xml:space="preserve">commentary articles about research in family therapy. This data has been analysed using discourse analysis. Overall, I have been interested in how family therapists have defined. </w:t>
      </w:r>
      <w:r w:rsidR="00700038">
        <w:t>‘</w:t>
      </w:r>
      <w:r w:rsidRPr="001A3D2B">
        <w:t>research</w:t>
      </w:r>
      <w:r w:rsidR="00700038">
        <w:t>’</w:t>
      </w:r>
      <w:r w:rsidRPr="001A3D2B">
        <w:t>; how family therapists have chosen to inquire; representations</w:t>
      </w:r>
      <w:r w:rsidR="00427468">
        <w:t xml:space="preserve"> of </w:t>
      </w:r>
      <w:r w:rsidR="003A1917">
        <w:t xml:space="preserve">the </w:t>
      </w:r>
      <w:r w:rsidRPr="001A3D2B">
        <w:t>researcher in Australian family therapy; associations between theoretical or clinical developments</w:t>
      </w:r>
      <w:r w:rsidR="005853A9">
        <w:t xml:space="preserve"> and </w:t>
      </w:r>
      <w:r w:rsidR="003A1917">
        <w:t xml:space="preserve">the </w:t>
      </w:r>
      <w:r w:rsidRPr="001A3D2B">
        <w:t>methodologies that have been chosen for inquiries. Findings from</w:t>
      </w:r>
      <w:r w:rsidR="003A1917">
        <w:t xml:space="preserve"> the </w:t>
      </w:r>
      <w:r w:rsidRPr="001A3D2B">
        <w:t>study reveal very limited representations</w:t>
      </w:r>
      <w:r w:rsidR="00427468">
        <w:t xml:space="preserve"> of </w:t>
      </w:r>
      <w:r w:rsidRPr="001A3D2B">
        <w:t>research in</w:t>
      </w:r>
      <w:r w:rsidR="003A1917">
        <w:t xml:space="preserve"> the </w:t>
      </w:r>
      <w:r w:rsidRPr="001A3D2B">
        <w:t>journal for</w:t>
      </w:r>
      <w:r w:rsidR="003A1917">
        <w:t xml:space="preserve"> the </w:t>
      </w:r>
      <w:r w:rsidRPr="001A3D2B">
        <w:t>period under review,</w:t>
      </w:r>
      <w:r w:rsidR="005853A9">
        <w:t xml:space="preserve"> and </w:t>
      </w:r>
      <w:r w:rsidRPr="001A3D2B">
        <w:t>an apparent struggle for family therapists to undertake a discussion about what research actually is. Questions are raised around how this has occurred,</w:t>
      </w:r>
      <w:r w:rsidR="005853A9">
        <w:t xml:space="preserve"> and </w:t>
      </w:r>
      <w:r w:rsidRPr="001A3D2B">
        <w:t>some ideas are presented as to how research knowledges can be included in debates around theory diversity in family therapy.</w:t>
      </w:r>
    </w:p>
    <w:p w:rsidR="003474F2" w:rsidRPr="001A3D2B" w:rsidRDefault="003474F2" w:rsidP="003474F2">
      <w:pPr>
        <w:pStyle w:val="a3"/>
      </w:pPr>
      <w:r w:rsidRPr="001A3D2B">
        <w:t xml:space="preserve">Keywords: Analysis, ANZJFT, Attitudes to Research, Australian, Bibliometric, Bibliometric Analysis, Clinical, Context, Data, Development, Discourse, Discourse Analysis, Diversity, Family, Family Therapy, First, First Section, Historical Analysis, Journal, Methodologies, New Zealand, Research, Research Methodologies, Review, </w:t>
      </w:r>
      <w:r w:rsidRPr="001A3D2B">
        <w:lastRenderedPageBreak/>
        <w:t>Science, Site, Theory, Therapy</w:t>
      </w:r>
    </w:p>
    <w:p w:rsidR="003474F2" w:rsidRPr="001A3D2B" w:rsidRDefault="003474F2" w:rsidP="003474F2">
      <w:pPr>
        <w:pStyle w:val="1"/>
      </w:pPr>
      <w:r w:rsidRPr="001A3D2B">
        <w:br w:type="page"/>
      </w:r>
      <w:bookmarkStart w:id="716" w:name="_Toc420814679"/>
      <w:r w:rsidRPr="001A3D2B">
        <w:lastRenderedPageBreak/>
        <w:t>Title: Australian</w:t>
      </w:r>
      <w:r w:rsidR="005853A9">
        <w:t xml:space="preserve"> and </w:t>
      </w:r>
      <w:r w:rsidRPr="001A3D2B">
        <w:t>New Zealand Journal</w:t>
      </w:r>
      <w:r w:rsidR="00427468">
        <w:t xml:space="preserve"> of </w:t>
      </w:r>
      <w:r w:rsidRPr="001A3D2B">
        <w:t>Psychiatry</w:t>
      </w:r>
      <w:bookmarkEnd w:id="716"/>
    </w:p>
    <w:p w:rsidR="003474F2" w:rsidRPr="001A3D2B" w:rsidRDefault="003474F2" w:rsidP="003474F2">
      <w:pPr>
        <w:pStyle w:val="12"/>
      </w:pPr>
      <w:r w:rsidRPr="001A3D2B">
        <w:t xml:space="preserve">Full Journal Title: </w:t>
      </w:r>
      <w:hyperlink r:id="rId1391" w:history="1">
        <w:r w:rsidRPr="001A3D2B">
          <w:rPr>
            <w:rStyle w:val="a5"/>
          </w:rPr>
          <w:t>Australian</w:t>
        </w:r>
        <w:r w:rsidR="005853A9">
          <w:rPr>
            <w:rStyle w:val="a5"/>
          </w:rPr>
          <w:t xml:space="preserve"> and </w:t>
        </w:r>
        <w:r w:rsidRPr="001A3D2B">
          <w:rPr>
            <w:rStyle w:val="a5"/>
          </w:rPr>
          <w:t>New Zealand Journal</w:t>
        </w:r>
        <w:r w:rsidR="00427468">
          <w:rPr>
            <w:rStyle w:val="a5"/>
          </w:rPr>
          <w:t xml:space="preserve"> of </w:t>
        </w:r>
        <w:r w:rsidRPr="001A3D2B">
          <w:rPr>
            <w:rStyle w:val="a5"/>
          </w:rPr>
          <w:t>Psychiatry</w:t>
        </w:r>
      </w:hyperlink>
      <w:r w:rsidR="0008349C" w:rsidRPr="001A3D2B">
        <w:t xml:space="preserve">; </w:t>
      </w:r>
      <w:hyperlink r:id="rId1392" w:anchor="db=a9h&amp;jid=7ZU" w:history="1">
        <w:r w:rsidR="0008349C" w:rsidRPr="001A3D2B">
          <w:rPr>
            <w:rStyle w:val="a5"/>
          </w:rPr>
          <w:t>Australian</w:t>
        </w:r>
        <w:r w:rsidR="005853A9">
          <w:rPr>
            <w:rStyle w:val="a5"/>
          </w:rPr>
          <w:t xml:space="preserve"> and </w:t>
        </w:r>
        <w:r w:rsidR="0008349C" w:rsidRPr="001A3D2B">
          <w:rPr>
            <w:rStyle w:val="a5"/>
          </w:rPr>
          <w:t>New Zealand Journal</w:t>
        </w:r>
        <w:r w:rsidR="00427468">
          <w:rPr>
            <w:rStyle w:val="a5"/>
          </w:rPr>
          <w:t xml:space="preserve"> of </w:t>
        </w:r>
        <w:r w:rsidR="0008349C" w:rsidRPr="001A3D2B">
          <w:rPr>
            <w:rStyle w:val="a5"/>
          </w:rPr>
          <w:t>Psychiatry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Bloch, S.</w:t>
      </w:r>
      <w:r w:rsidR="005853A9">
        <w:t xml:space="preserve"> and </w:t>
      </w:r>
      <w:r w:rsidRPr="001A3D2B">
        <w:t>Walter, G. (2001</w:t>
      </w:r>
      <w:r w:rsidR="00F42EAC">
        <w:t>), The</w:t>
      </w:r>
      <w:r w:rsidR="003A1917">
        <w:t xml:space="preserve"> </w:t>
      </w:r>
      <w:r w:rsidRPr="001A3D2B">
        <w:t xml:space="preserve">impact factor: Time for change. </w:t>
      </w:r>
      <w:r w:rsidRPr="001A3D2B">
        <w:rPr>
          <w:i/>
          <w:iCs/>
        </w:rPr>
        <w:t>Australian</w:t>
      </w:r>
      <w:r w:rsidR="005853A9">
        <w:rPr>
          <w:i/>
          <w:iCs/>
        </w:rPr>
        <w:t xml:space="preserve"> and </w:t>
      </w:r>
      <w:r w:rsidRPr="001A3D2B">
        <w:rPr>
          <w:i/>
          <w:iCs/>
        </w:rPr>
        <w:t>New Zealand Journal</w:t>
      </w:r>
      <w:r w:rsidR="00427468">
        <w:rPr>
          <w:i/>
          <w:iCs/>
        </w:rPr>
        <w:t xml:space="preserve"> of </w:t>
      </w:r>
      <w:r w:rsidRPr="001A3D2B">
        <w:rPr>
          <w:i/>
          <w:iCs/>
        </w:rPr>
        <w:t>Psychiatry</w:t>
      </w:r>
      <w:r w:rsidRPr="001A3D2B">
        <w:t xml:space="preserve">, </w:t>
      </w:r>
      <w:r w:rsidRPr="001A3D2B">
        <w:rPr>
          <w:b/>
        </w:rPr>
        <w:t>35</w:t>
      </w:r>
      <w:r w:rsidRPr="001A3D2B">
        <w:rPr>
          <w:bCs/>
        </w:rPr>
        <w:t xml:space="preserve"> (5)</w:t>
      </w:r>
      <w:r w:rsidRPr="001A3D2B">
        <w:t>, 563-568.</w:t>
      </w:r>
    </w:p>
    <w:p w:rsidR="003474F2" w:rsidRPr="001A3D2B" w:rsidRDefault="003474F2" w:rsidP="003474F2">
      <w:pPr>
        <w:pStyle w:val="a3"/>
      </w:pPr>
      <w:r w:rsidRPr="001A3D2B">
        <w:t xml:space="preserve">Full Text: </w:t>
      </w:r>
      <w:hyperlink r:id="rId1393" w:history="1">
        <w:r w:rsidRPr="001A3D2B">
          <w:rPr>
            <w:rStyle w:val="a5"/>
          </w:rPr>
          <w:t>2001\Aus New Zea J Psy35, 563.pdf</w:t>
        </w:r>
      </w:hyperlink>
    </w:p>
    <w:p w:rsidR="003474F2" w:rsidRPr="001A3D2B" w:rsidRDefault="003474F2" w:rsidP="003474F2">
      <w:pPr>
        <w:pStyle w:val="a3"/>
      </w:pPr>
      <w:r w:rsidRPr="001A3D2B">
        <w:t>Abstract: Objective:</w:t>
      </w:r>
      <w:r w:rsidR="003A1917">
        <w:t xml:space="preserve"> the </w:t>
      </w:r>
      <w:r w:rsidRPr="001A3D2B">
        <w:t>Impact Factor (IF) has received virtually no attention in</w:t>
      </w:r>
      <w:r w:rsidR="003A1917">
        <w:t xml:space="preserve"> the </w:t>
      </w:r>
      <w:r w:rsidRPr="001A3D2B">
        <w:t>psychiat ric literature, despite its long-term use, expanding influence</w:t>
      </w:r>
      <w:r w:rsidR="005853A9">
        <w:t xml:space="preserve"> and </w:t>
      </w:r>
      <w:r w:rsidRPr="001A3D2B">
        <w:t>evidence</w:t>
      </w:r>
      <w:r w:rsidR="00427468">
        <w:t xml:space="preserve"> of </w:t>
      </w:r>
      <w:r w:rsidRPr="001A3D2B">
        <w:t>misapplication. We examine</w:t>
      </w:r>
      <w:r w:rsidR="003A1917">
        <w:t xml:space="preserve"> the </w:t>
      </w:r>
      <w:r w:rsidRPr="001A3D2B">
        <w:t>IF</w:t>
      </w:r>
      <w:r w:rsidR="00700038">
        <w:t>’</w:t>
      </w:r>
      <w:r w:rsidR="00C13DDC">
        <w:t>s</w:t>
      </w:r>
      <w:r w:rsidRPr="001A3D2B">
        <w:t xml:space="preserve"> validity as a measure</w:t>
      </w:r>
      <w:r w:rsidR="00427468">
        <w:t xml:space="preserve"> of </w:t>
      </w:r>
      <w:r w:rsidRPr="001A3D2B">
        <w:t>a paper</w:t>
      </w:r>
      <w:r w:rsidR="00700038">
        <w:t>’</w:t>
      </w:r>
      <w:r w:rsidR="00C13DDC">
        <w:t>s</w:t>
      </w:r>
      <w:r w:rsidRPr="001A3D2B">
        <w:t xml:space="preserve"> scientific worth,</w:t>
      </w:r>
      <w:r w:rsidR="005853A9">
        <w:t xml:space="preserve"> and </w:t>
      </w:r>
      <w:r w:rsidRPr="001A3D2B">
        <w:t>consider alternative ways to conduct such an appraisal.</w:t>
      </w:r>
    </w:p>
    <w:p w:rsidR="003474F2" w:rsidRPr="001A3D2B" w:rsidRDefault="003474F2" w:rsidP="003474F2">
      <w:pPr>
        <w:pStyle w:val="a3"/>
      </w:pPr>
      <w:r w:rsidRPr="001A3D2B">
        <w:t>Method: We explored medical databases</w:t>
      </w:r>
      <w:r w:rsidR="005853A9">
        <w:t xml:space="preserve"> and </w:t>
      </w:r>
      <w:r w:rsidRPr="001A3D2B">
        <w:t>websites,</w:t>
      </w:r>
      <w:r w:rsidR="005853A9">
        <w:t xml:space="preserve"> and </w:t>
      </w:r>
      <w:r w:rsidRPr="001A3D2B">
        <w:t>conferred with acknowledged experts on</w:t>
      </w:r>
      <w:r w:rsidR="003A1917">
        <w:t xml:space="preserve"> the </w:t>
      </w:r>
      <w:r w:rsidRPr="001A3D2B">
        <w:t>subject.</w:t>
      </w:r>
    </w:p>
    <w:p w:rsidR="003474F2" w:rsidRPr="001A3D2B" w:rsidRDefault="003474F2" w:rsidP="003474F2">
      <w:pPr>
        <w:pStyle w:val="a3"/>
      </w:pPr>
      <w:r w:rsidRPr="001A3D2B">
        <w:t>Results: Irremediable problems, both conceptual</w:t>
      </w:r>
      <w:r w:rsidR="005853A9">
        <w:t xml:space="preserve"> and </w:t>
      </w:r>
      <w:r w:rsidRPr="001A3D2B">
        <w:t>technical, make</w:t>
      </w:r>
      <w:r w:rsidR="003A1917">
        <w:t xml:space="preserve"> the </w:t>
      </w:r>
      <w:r w:rsidRPr="001A3D2B">
        <w:t>IF a flawed measure</w:t>
      </w:r>
      <w:r w:rsidR="00A37C1D">
        <w:t>. The</w:t>
      </w:r>
      <w:r w:rsidR="003A1917">
        <w:t xml:space="preserve"> </w:t>
      </w:r>
      <w:r w:rsidRPr="001A3D2B">
        <w:t>notion that citations vouch for</w:t>
      </w:r>
      <w:r w:rsidR="003A1917">
        <w:t xml:space="preserve"> the </w:t>
      </w:r>
      <w:r w:rsidRPr="001A3D2B">
        <w:t>quality</w:t>
      </w:r>
      <w:r w:rsidR="00427468">
        <w:t xml:space="preserve"> of </w:t>
      </w:r>
      <w:r w:rsidRPr="001A3D2B">
        <w:t>an article is questionable. Moreover,</w:t>
      </w:r>
      <w:r w:rsidR="003A1917">
        <w:t xml:space="preserve"> the </w:t>
      </w:r>
      <w:r w:rsidRPr="001A3D2B">
        <w:t>IF</w:t>
      </w:r>
      <w:r w:rsidR="00700038">
        <w:t>’</w:t>
      </w:r>
      <w:r w:rsidR="00C13DDC">
        <w:t>s</w:t>
      </w:r>
      <w:r w:rsidRPr="001A3D2B">
        <w:t xml:space="preserve"> vulnerability to misuse in domains such as academic promotion</w:t>
      </w:r>
      <w:r w:rsidR="005853A9">
        <w:t xml:space="preserve"> and </w:t>
      </w:r>
      <w:r w:rsidRPr="001A3D2B">
        <w:t>research grant assessment is a serious development.</w:t>
      </w:r>
    </w:p>
    <w:p w:rsidR="003474F2" w:rsidRPr="001A3D2B" w:rsidRDefault="003474F2" w:rsidP="003474F2">
      <w:pPr>
        <w:pStyle w:val="a3"/>
      </w:pPr>
      <w:r w:rsidRPr="001A3D2B">
        <w:t>Conclusion:</w:t>
      </w:r>
      <w:r w:rsidR="003A1917">
        <w:t xml:space="preserve"> the </w:t>
      </w:r>
      <w:r w:rsidRPr="001A3D2B">
        <w:t xml:space="preserve">IF (and all measures derived from it) should be abandoned. A </w:t>
      </w:r>
      <w:r w:rsidR="00700038">
        <w:t>‘</w:t>
      </w:r>
      <w:r w:rsidRPr="001A3D2B">
        <w:t>return to basics</w:t>
      </w:r>
      <w:r w:rsidR="00700038">
        <w:t>’</w:t>
      </w:r>
      <w:r w:rsidRPr="001A3D2B">
        <w:t xml:space="preserve"> in evaluating published work is overdue. As seductive as a simple formula is to assess quality, shortcuts are unavailable</w:t>
      </w:r>
      <w:r w:rsidR="005853A9">
        <w:t xml:space="preserve"> and </w:t>
      </w:r>
      <w:r w:rsidRPr="001A3D2B">
        <w:t>unlikely to be useful. Publishing a short-list</w:t>
      </w:r>
      <w:r w:rsidR="00427468">
        <w:t xml:space="preserve"> of </w:t>
      </w:r>
      <w:r w:rsidRPr="001A3D2B">
        <w:t xml:space="preserve">papers annually, judged as objectively as possible by peers to merit special attention, may be a more meaningful option. Conceivably, every psychiatric journal could participate in this cyclical exercise, leading to a </w:t>
      </w:r>
      <w:r w:rsidR="00700038">
        <w:t>‘</w:t>
      </w:r>
      <w:r w:rsidRPr="001A3D2B">
        <w:t>grand short-list</w:t>
      </w:r>
      <w:r w:rsidR="00700038">
        <w:t>’</w:t>
      </w:r>
      <w:r w:rsidRPr="001A3D2B">
        <w:t>. This could be made readily available to all professionals, both researchers</w:t>
      </w:r>
      <w:r w:rsidR="005853A9">
        <w:t xml:space="preserve"> and </w:t>
      </w:r>
      <w:r w:rsidRPr="001A3D2B">
        <w:t>clinicians, by being posted on a suitable website. Since peer review has a long-standing role in scientific publishing, our proposal is essentially an extension</w:t>
      </w:r>
      <w:r w:rsidR="00427468">
        <w:t xml:space="preserve"> of </w:t>
      </w:r>
      <w:r w:rsidRPr="001A3D2B">
        <w:t>that process.</w:t>
      </w:r>
    </w:p>
    <w:p w:rsidR="00E37F37" w:rsidRDefault="00E37F37" w:rsidP="00E37F37">
      <w:pPr>
        <w:pStyle w:val="a3"/>
        <w:rPr>
          <w:kern w:val="0"/>
        </w:rPr>
      </w:pPr>
      <w:r>
        <w:rPr>
          <w:rFonts w:hint="eastAsia"/>
          <w:kern w:val="0"/>
        </w:rPr>
        <w:t xml:space="preserve">? </w:t>
      </w:r>
      <w:r>
        <w:rPr>
          <w:kern w:val="0"/>
        </w:rPr>
        <w:t xml:space="preserve">Bloch, S. (2002), </w:t>
      </w:r>
      <w:r w:rsidR="00700038">
        <w:rPr>
          <w:kern w:val="0"/>
        </w:rPr>
        <w:t>‘</w:t>
      </w:r>
      <w:r>
        <w:rPr>
          <w:kern w:val="0"/>
        </w:rPr>
        <w:t>And</w:t>
      </w:r>
      <w:r w:rsidR="003A1917">
        <w:rPr>
          <w:kern w:val="0"/>
        </w:rPr>
        <w:t xml:space="preserve"> the </w:t>
      </w:r>
      <w:r>
        <w:rPr>
          <w:kern w:val="0"/>
        </w:rPr>
        <w:t>winners are</w:t>
      </w:r>
      <w:r w:rsidR="00700038">
        <w:rPr>
          <w:kern w:val="0"/>
        </w:rPr>
        <w:t>’</w:t>
      </w:r>
      <w:r>
        <w:rPr>
          <w:kern w:val="0"/>
        </w:rPr>
        <w:t>:</w:t>
      </w:r>
      <w:r w:rsidR="003A1917">
        <w:rPr>
          <w:kern w:val="0"/>
        </w:rPr>
        <w:t xml:space="preserve"> the </w:t>
      </w:r>
      <w:r>
        <w:rPr>
          <w:kern w:val="0"/>
        </w:rPr>
        <w:t>top articles</w:t>
      </w:r>
      <w:r w:rsidR="00427468">
        <w:rPr>
          <w:kern w:val="0"/>
        </w:rPr>
        <w:t xml:space="preserve"> of </w:t>
      </w:r>
      <w:r>
        <w:rPr>
          <w:kern w:val="0"/>
        </w:rPr>
        <w:t xml:space="preserve">2001.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36</w:t>
      </w:r>
      <w:r>
        <w:rPr>
          <w:kern w:val="0"/>
        </w:rPr>
        <w:t xml:space="preserve"> (2), 157</w:t>
      </w:r>
      <w:r>
        <w:rPr>
          <w:rFonts w:hint="eastAsia"/>
          <w:kern w:val="0"/>
        </w:rPr>
        <w:t>.</w:t>
      </w:r>
    </w:p>
    <w:p w:rsidR="00E37F37" w:rsidRPr="00F219CA" w:rsidRDefault="00E37F37" w:rsidP="00E37F37">
      <w:pPr>
        <w:pStyle w:val="a3"/>
      </w:pPr>
      <w:r w:rsidRPr="00F219CA">
        <w:lastRenderedPageBreak/>
        <w:t xml:space="preserve">Full Text: </w:t>
      </w:r>
      <w:hyperlink r:id="rId1394" w:history="1">
        <w:r w:rsidR="00726342" w:rsidRPr="00726342">
          <w:rPr>
            <w:rStyle w:val="a5"/>
          </w:rPr>
          <w:t>2002\Aus New Zea J Psy36, 157.pdf</w:t>
        </w:r>
      </w:hyperlink>
    </w:p>
    <w:p w:rsidR="00E37F37" w:rsidRDefault="00E37F37" w:rsidP="00E37F37">
      <w:pPr>
        <w:pStyle w:val="a3"/>
        <w:rPr>
          <w:kern w:val="0"/>
        </w:rPr>
      </w:pPr>
      <w:r>
        <w:rPr>
          <w:kern w:val="0"/>
        </w:rPr>
        <w:t>Keywords: Articles</w:t>
      </w:r>
    </w:p>
    <w:p w:rsidR="00E37F37" w:rsidRDefault="00E37F37" w:rsidP="00E37F37">
      <w:pPr>
        <w:pStyle w:val="a3"/>
        <w:rPr>
          <w:kern w:val="0"/>
        </w:rPr>
      </w:pPr>
      <w:r>
        <w:rPr>
          <w:rFonts w:hint="eastAsia"/>
          <w:kern w:val="0"/>
        </w:rPr>
        <w:t xml:space="preserve">? </w:t>
      </w:r>
      <w:r>
        <w:rPr>
          <w:kern w:val="0"/>
        </w:rPr>
        <w:t xml:space="preserve">Bloch, S. (2003), </w:t>
      </w:r>
      <w:r w:rsidR="00700038">
        <w:rPr>
          <w:kern w:val="0"/>
        </w:rPr>
        <w:t>‘</w:t>
      </w:r>
      <w:r>
        <w:rPr>
          <w:kern w:val="0"/>
        </w:rPr>
        <w:t>And</w:t>
      </w:r>
      <w:r w:rsidR="003A1917">
        <w:rPr>
          <w:kern w:val="0"/>
        </w:rPr>
        <w:t xml:space="preserve"> the </w:t>
      </w:r>
      <w:r>
        <w:rPr>
          <w:kern w:val="0"/>
        </w:rPr>
        <w:t>winners are</w:t>
      </w:r>
      <w:r w:rsidR="00700038">
        <w:rPr>
          <w:kern w:val="0"/>
        </w:rPr>
        <w:t>’</w:t>
      </w:r>
      <w:r>
        <w:rPr>
          <w:kern w:val="0"/>
        </w:rPr>
        <w:t>:</w:t>
      </w:r>
      <w:r w:rsidR="003A1917">
        <w:rPr>
          <w:kern w:val="0"/>
        </w:rPr>
        <w:t xml:space="preserve"> the </w:t>
      </w:r>
      <w:r>
        <w:rPr>
          <w:kern w:val="0"/>
        </w:rPr>
        <w:t>top articles</w:t>
      </w:r>
      <w:r w:rsidR="00427468">
        <w:rPr>
          <w:kern w:val="0"/>
        </w:rPr>
        <w:t xml:space="preserve"> of </w:t>
      </w:r>
      <w:r>
        <w:rPr>
          <w:kern w:val="0"/>
        </w:rPr>
        <w:t>2002</w:t>
      </w:r>
      <w:r w:rsidR="005853A9">
        <w:rPr>
          <w:kern w:val="0"/>
        </w:rPr>
        <w:t xml:space="preserve"> and </w:t>
      </w:r>
      <w:r>
        <w:rPr>
          <w:kern w:val="0"/>
        </w:rPr>
        <w:t xml:space="preserve">introducing Manuscript Central.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37</w:t>
      </w:r>
      <w:r>
        <w:rPr>
          <w:kern w:val="0"/>
        </w:rPr>
        <w:t xml:space="preserve"> (3), 255-256</w:t>
      </w:r>
      <w:r>
        <w:rPr>
          <w:rFonts w:hint="eastAsia"/>
          <w:kern w:val="0"/>
        </w:rPr>
        <w:t>.</w:t>
      </w:r>
    </w:p>
    <w:p w:rsidR="00E37F37" w:rsidRPr="00F219CA" w:rsidRDefault="00E37F37" w:rsidP="00E37F37">
      <w:pPr>
        <w:pStyle w:val="a3"/>
      </w:pPr>
      <w:r w:rsidRPr="00F219CA">
        <w:t xml:space="preserve">Full Text: </w:t>
      </w:r>
      <w:hyperlink r:id="rId1395" w:history="1">
        <w:r w:rsidR="009B0809" w:rsidRPr="009B0809">
          <w:rPr>
            <w:rStyle w:val="a5"/>
          </w:rPr>
          <w:t>2003\Aus New Zea J Psy37, 255.pdf</w:t>
        </w:r>
      </w:hyperlink>
    </w:p>
    <w:p w:rsidR="00E37F37" w:rsidRDefault="00E37F37" w:rsidP="00E37F37">
      <w:pPr>
        <w:pStyle w:val="a3"/>
        <w:rPr>
          <w:kern w:val="0"/>
        </w:rPr>
      </w:pPr>
      <w:r>
        <w:rPr>
          <w:kern w:val="0"/>
        </w:rPr>
        <w:t>Keywords: Articles</w:t>
      </w:r>
      <w:r>
        <w:rPr>
          <w:rFonts w:hint="eastAsia"/>
          <w:kern w:val="0"/>
        </w:rPr>
        <w:t xml:space="preserve">, </w:t>
      </w:r>
      <w:r>
        <w:rPr>
          <w:kern w:val="0"/>
        </w:rPr>
        <w:t>Jun</w:t>
      </w:r>
    </w:p>
    <w:p w:rsidR="0008349C" w:rsidRPr="001A3D2B" w:rsidRDefault="0008349C" w:rsidP="0008349C">
      <w:pPr>
        <w:pStyle w:val="a3"/>
        <w:rPr>
          <w:kern w:val="0"/>
        </w:rPr>
      </w:pPr>
      <w:r w:rsidRPr="001A3D2B">
        <w:rPr>
          <w:kern w:val="0"/>
        </w:rPr>
        <w:t>? Hickie, I.B., Christensen, H., Davenport, T.A.</w:t>
      </w:r>
      <w:r w:rsidR="005853A9">
        <w:rPr>
          <w:kern w:val="0"/>
        </w:rPr>
        <w:t xml:space="preserve"> and </w:t>
      </w:r>
      <w:r w:rsidRPr="001A3D2B">
        <w:rPr>
          <w:kern w:val="0"/>
        </w:rPr>
        <w:t>Luscombe, G.M. (2005), Can we track</w:t>
      </w:r>
      <w:r w:rsidR="003A1917">
        <w:rPr>
          <w:kern w:val="0"/>
        </w:rPr>
        <w:t xml:space="preserve"> the </w:t>
      </w:r>
      <w:r w:rsidRPr="001A3D2B">
        <w:rPr>
          <w:kern w:val="0"/>
        </w:rPr>
        <w:t>impact</w:t>
      </w:r>
      <w:r w:rsidR="00427468">
        <w:rPr>
          <w:kern w:val="0"/>
        </w:rPr>
        <w:t xml:space="preserve"> of </w:t>
      </w:r>
      <w:r w:rsidRPr="001A3D2B">
        <w:rPr>
          <w:kern w:val="0"/>
        </w:rPr>
        <w:t xml:space="preserve">Australian mental health research? </w:t>
      </w:r>
      <w:r w:rsidRPr="001A3D2B">
        <w:rPr>
          <w:i/>
          <w:iCs/>
          <w:kern w:val="0"/>
        </w:rPr>
        <w:t>Australian</w:t>
      </w:r>
      <w:r w:rsidR="005853A9">
        <w:rPr>
          <w:i/>
          <w:iCs/>
          <w:kern w:val="0"/>
        </w:rPr>
        <w:t xml:space="preserve"> and </w:t>
      </w:r>
      <w:r w:rsidRPr="001A3D2B">
        <w:rPr>
          <w:i/>
          <w:iCs/>
          <w:kern w:val="0"/>
        </w:rPr>
        <w:t>New Zealand Journal</w:t>
      </w:r>
      <w:r w:rsidR="00427468">
        <w:rPr>
          <w:i/>
          <w:iCs/>
          <w:kern w:val="0"/>
        </w:rPr>
        <w:t xml:space="preserve"> of </w:t>
      </w:r>
      <w:r w:rsidRPr="001A3D2B">
        <w:rPr>
          <w:i/>
          <w:iCs/>
          <w:kern w:val="0"/>
        </w:rPr>
        <w:t>Psychiatry</w:t>
      </w:r>
      <w:r w:rsidRPr="001A3D2B">
        <w:rPr>
          <w:kern w:val="0"/>
        </w:rPr>
        <w:t xml:space="preserve">, </w:t>
      </w:r>
      <w:r w:rsidRPr="001A3D2B">
        <w:rPr>
          <w:b/>
          <w:bCs/>
          <w:kern w:val="0"/>
        </w:rPr>
        <w:t>39</w:t>
      </w:r>
      <w:r w:rsidRPr="001A3D2B">
        <w:rPr>
          <w:kern w:val="0"/>
        </w:rPr>
        <w:t xml:space="preserve"> (7), 591-599.</w:t>
      </w:r>
    </w:p>
    <w:p w:rsidR="0008349C" w:rsidRPr="001A3D2B" w:rsidRDefault="0008349C" w:rsidP="0008349C">
      <w:pPr>
        <w:pStyle w:val="a3"/>
      </w:pPr>
      <w:r w:rsidRPr="001A3D2B">
        <w:t xml:space="preserve">Full Text: </w:t>
      </w:r>
      <w:hyperlink r:id="rId1396" w:history="1">
        <w:r w:rsidRPr="001A3D2B">
          <w:rPr>
            <w:rStyle w:val="a5"/>
          </w:rPr>
          <w:t>2005\Aus New Zea J Psy39, 591.pdf</w:t>
        </w:r>
      </w:hyperlink>
    </w:p>
    <w:p w:rsidR="0008349C" w:rsidRPr="001A3D2B" w:rsidRDefault="0008349C" w:rsidP="0008349C">
      <w:pPr>
        <w:pStyle w:val="a3"/>
        <w:rPr>
          <w:kern w:val="0"/>
        </w:rPr>
      </w:pPr>
      <w:r w:rsidRPr="001A3D2B">
        <w:rPr>
          <w:kern w:val="0"/>
        </w:rPr>
        <w:t>Abstract: Objective: Arguments are being made to increase research</w:t>
      </w:r>
      <w:r w:rsidR="005853A9">
        <w:rPr>
          <w:kern w:val="0"/>
        </w:rPr>
        <w:t xml:space="preserve"> and </w:t>
      </w:r>
      <w:r w:rsidRPr="001A3D2B">
        <w:rPr>
          <w:kern w:val="0"/>
        </w:rPr>
        <w:t>development funding for mental health research in Australia. Consequently,</w:t>
      </w:r>
      <w:r w:rsidR="003A1917">
        <w:rPr>
          <w:kern w:val="0"/>
        </w:rPr>
        <w:t xml:space="preserve"> the </w:t>
      </w:r>
      <w:r w:rsidRPr="001A3D2B">
        <w:rPr>
          <w:kern w:val="0"/>
        </w:rPr>
        <w:t>methods used to measure</w:t>
      </w:r>
      <w:r w:rsidR="003A1917">
        <w:rPr>
          <w:kern w:val="0"/>
        </w:rPr>
        <w:t xml:space="preserve"> the </w:t>
      </w:r>
      <w:r w:rsidRPr="001A3D2B">
        <w:rPr>
          <w:kern w:val="0"/>
        </w:rPr>
        <w:t>results</w:t>
      </w:r>
      <w:r w:rsidR="00427468">
        <w:rPr>
          <w:kern w:val="0"/>
        </w:rPr>
        <w:t xml:space="preserve"> of </w:t>
      </w:r>
      <w:r w:rsidRPr="001A3D2B">
        <w:rPr>
          <w:kern w:val="0"/>
        </w:rPr>
        <w:t>increased investment require review. This study aimed to describe</w:t>
      </w:r>
      <w:r w:rsidR="003A1917">
        <w:rPr>
          <w:kern w:val="0"/>
        </w:rPr>
        <w:t xml:space="preserve"> the </w:t>
      </w:r>
      <w:r w:rsidRPr="001A3D2B">
        <w:rPr>
          <w:kern w:val="0"/>
        </w:rPr>
        <w:t>status</w:t>
      </w:r>
      <w:r w:rsidR="00427468">
        <w:rPr>
          <w:kern w:val="0"/>
        </w:rPr>
        <w:t xml:space="preserve"> of </w:t>
      </w:r>
      <w:r w:rsidRPr="001A3D2B">
        <w:rPr>
          <w:kern w:val="0"/>
        </w:rPr>
        <w:t>Australian mental health research</w:t>
      </w:r>
      <w:r w:rsidR="005853A9">
        <w:rPr>
          <w:kern w:val="0"/>
        </w:rPr>
        <w:t xml:space="preserve"> and </w:t>
      </w:r>
      <w:r w:rsidRPr="001A3D2B">
        <w:rPr>
          <w:kern w:val="0"/>
        </w:rPr>
        <w:t>to propose potential methods for tracking changes in research output. Specifically, we describe</w:t>
      </w:r>
      <w:r w:rsidR="003A1917">
        <w:rPr>
          <w:kern w:val="0"/>
        </w:rPr>
        <w:t xml:space="preserve"> the </w:t>
      </w:r>
      <w:r w:rsidRPr="001A3D2B">
        <w:rPr>
          <w:kern w:val="0"/>
        </w:rPr>
        <w:t>research output</w:t>
      </w:r>
      <w:r w:rsidR="00427468">
        <w:rPr>
          <w:kern w:val="0"/>
        </w:rPr>
        <w:t xml:space="preserve"> of </w:t>
      </w:r>
      <w:r w:rsidRPr="001A3D2B">
        <w:rPr>
          <w:kern w:val="0"/>
        </w:rPr>
        <w:t>nations, Australian states, Australian</w:t>
      </w:r>
      <w:r w:rsidR="005853A9">
        <w:rPr>
          <w:kern w:val="0"/>
        </w:rPr>
        <w:t xml:space="preserve"> and </w:t>
      </w:r>
      <w:r w:rsidRPr="001A3D2B">
        <w:rPr>
          <w:kern w:val="0"/>
        </w:rPr>
        <w:t>New Zealand institutions</w:t>
      </w:r>
      <w:r w:rsidR="005853A9">
        <w:rPr>
          <w:kern w:val="0"/>
        </w:rPr>
        <w:t xml:space="preserve"> and </w:t>
      </w:r>
      <w:r w:rsidRPr="001A3D2B">
        <w:rPr>
          <w:kern w:val="0"/>
        </w:rPr>
        <w:t>Australian</w:t>
      </w:r>
      <w:r w:rsidR="005853A9">
        <w:rPr>
          <w:kern w:val="0"/>
        </w:rPr>
        <w:t xml:space="preserve"> and </w:t>
      </w:r>
      <w:r w:rsidRPr="001A3D2B">
        <w:rPr>
          <w:kern w:val="0"/>
        </w:rPr>
        <w:t>New Zealand researchers using citation rates. Method: Information on research output was sourced from two international databases (Institute for scientific information [ISI] Essential Science Indicators</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sidRPr="001A3D2B">
        <w:rPr>
          <w:kern w:val="0"/>
        </w:rPr>
        <w:t>)</w:t>
      </w:r>
      <w:r w:rsidR="005853A9">
        <w:rPr>
          <w:kern w:val="0"/>
        </w:rPr>
        <w:t xml:space="preserve"> and </w:t>
      </w:r>
      <w:r w:rsidR="003A1917">
        <w:rPr>
          <w:kern w:val="0"/>
        </w:rPr>
        <w:t xml:space="preserve">the </w:t>
      </w:r>
      <w:r w:rsidRPr="001A3D2B">
        <w:rPr>
          <w:kern w:val="0"/>
        </w:rPr>
        <w:t>ISI list</w:t>
      </w:r>
      <w:r w:rsidR="00427468">
        <w:rPr>
          <w:kern w:val="0"/>
        </w:rPr>
        <w:t xml:space="preserve"> of </w:t>
      </w:r>
      <w:r w:rsidRPr="001A3D2B">
        <w:rPr>
          <w:kern w:val="0"/>
        </w:rPr>
        <w:t>Highly Cited Researchers. Results: In an international setting, Australia does not perform as well as other comparable countries such as New Zealand or Canada in terms</w:t>
      </w:r>
      <w:r w:rsidR="00427468">
        <w:rPr>
          <w:kern w:val="0"/>
        </w:rPr>
        <w:t xml:space="preserve"> of </w:t>
      </w:r>
      <w:r w:rsidRPr="001A3D2B">
        <w:rPr>
          <w:kern w:val="0"/>
        </w:rPr>
        <w:t>research output. Within Australia,</w:t>
      </w:r>
      <w:r w:rsidR="003A1917">
        <w:rPr>
          <w:kern w:val="0"/>
        </w:rPr>
        <w:t xml:space="preserve"> the </w:t>
      </w:r>
      <w:r w:rsidRPr="001A3D2B">
        <w:rPr>
          <w:kern w:val="0"/>
        </w:rPr>
        <w:t>scientific performance</w:t>
      </w:r>
      <w:r w:rsidR="00427468">
        <w:rPr>
          <w:kern w:val="0"/>
        </w:rPr>
        <w:t xml:space="preserve"> of </w:t>
      </w:r>
      <w:r w:rsidRPr="001A3D2B">
        <w:rPr>
          <w:kern w:val="0"/>
        </w:rPr>
        <w:t>institutions apparently relates to</w:t>
      </w:r>
      <w:r w:rsidR="003A1917">
        <w:rPr>
          <w:kern w:val="0"/>
        </w:rPr>
        <w:t xml:space="preserve"> the </w:t>
      </w:r>
      <w:r w:rsidRPr="001A3D2B">
        <w:rPr>
          <w:kern w:val="0"/>
        </w:rPr>
        <w:t>strength</w:t>
      </w:r>
      <w:r w:rsidR="00427468">
        <w:rPr>
          <w:kern w:val="0"/>
        </w:rPr>
        <w:t xml:space="preserve"> of </w:t>
      </w:r>
      <w:r w:rsidRPr="001A3D2B">
        <w:rPr>
          <w:kern w:val="0"/>
        </w:rPr>
        <w:t>some individual researchers or consolidated research groups. Highly cited papers are evident in</w:t>
      </w:r>
      <w:r w:rsidR="003A1917">
        <w:rPr>
          <w:kern w:val="0"/>
        </w:rPr>
        <w:t xml:space="preserve"> the </w:t>
      </w:r>
      <w:r w:rsidRPr="001A3D2B">
        <w:rPr>
          <w:kern w:val="0"/>
        </w:rPr>
        <w:t>fields</w:t>
      </w:r>
      <w:r w:rsidR="00427468">
        <w:rPr>
          <w:kern w:val="0"/>
        </w:rPr>
        <w:t xml:space="preserve"> of </w:t>
      </w:r>
      <w:r w:rsidRPr="001A3D2B">
        <w:rPr>
          <w:kern w:val="0"/>
        </w:rPr>
        <w:t>syndrome definition, epidemiology</w:t>
      </w:r>
      <w:r w:rsidR="005853A9">
        <w:rPr>
          <w:kern w:val="0"/>
        </w:rPr>
        <w:t xml:space="preserve"> and </w:t>
      </w:r>
      <w:r w:rsidRPr="001A3D2B">
        <w:rPr>
          <w:kern w:val="0"/>
        </w:rPr>
        <w:t>epidemiological methods, cognitive science</w:t>
      </w:r>
      <w:r w:rsidR="005853A9">
        <w:rPr>
          <w:kern w:val="0"/>
        </w:rPr>
        <w:t xml:space="preserve"> and </w:t>
      </w:r>
      <w:r w:rsidRPr="001A3D2B">
        <w:rPr>
          <w:kern w:val="0"/>
        </w:rPr>
        <w:t>prognostic or longitudinal studies. Conclusions: Australian researchers need to consider</w:t>
      </w:r>
      <w:r w:rsidR="003A1917">
        <w:rPr>
          <w:kern w:val="0"/>
        </w:rPr>
        <w:t xml:space="preserve"> the </w:t>
      </w:r>
      <w:r w:rsidRPr="001A3D2B">
        <w:rPr>
          <w:kern w:val="0"/>
        </w:rPr>
        <w:t>success</w:t>
      </w:r>
      <w:r w:rsidR="00427468">
        <w:rPr>
          <w:kern w:val="0"/>
        </w:rPr>
        <w:t xml:space="preserve"> of </w:t>
      </w:r>
      <w:r w:rsidRPr="001A3D2B">
        <w:rPr>
          <w:kern w:val="0"/>
        </w:rPr>
        <w:t>New Zealand</w:t>
      </w:r>
      <w:r w:rsidR="005853A9">
        <w:rPr>
          <w:kern w:val="0"/>
        </w:rPr>
        <w:t xml:space="preserve"> and </w:t>
      </w:r>
      <w:r w:rsidRPr="001A3D2B">
        <w:rPr>
          <w:kern w:val="0"/>
        </w:rPr>
        <w:t>Canadian researchers, particularly given</w:t>
      </w:r>
      <w:r w:rsidR="003A1917">
        <w:rPr>
          <w:kern w:val="0"/>
        </w:rPr>
        <w:t xml:space="preserve"> the </w:t>
      </w:r>
      <w:r w:rsidRPr="001A3D2B">
        <w:rPr>
          <w:kern w:val="0"/>
        </w:rPr>
        <w:t>relatively low investment in health</w:t>
      </w:r>
      <w:r w:rsidR="005853A9">
        <w:rPr>
          <w:kern w:val="0"/>
        </w:rPr>
        <w:t xml:space="preserve"> and </w:t>
      </w:r>
      <w:r w:rsidRPr="001A3D2B">
        <w:rPr>
          <w:kern w:val="0"/>
        </w:rPr>
        <w:t>medical research in New Zealand. Although citation analyses are fraught with difficulties, they can be effectively complemented by other measures</w:t>
      </w:r>
      <w:r w:rsidR="00427468">
        <w:rPr>
          <w:kern w:val="0"/>
        </w:rPr>
        <w:t xml:space="preserve"> of </w:t>
      </w:r>
      <w:r w:rsidRPr="001A3D2B">
        <w:rPr>
          <w:kern w:val="0"/>
        </w:rPr>
        <w:t>responsiveness to clinical or population needs</w:t>
      </w:r>
      <w:r w:rsidR="005853A9">
        <w:rPr>
          <w:kern w:val="0"/>
        </w:rPr>
        <w:t xml:space="preserve"> and </w:t>
      </w:r>
      <w:r w:rsidRPr="001A3D2B">
        <w:rPr>
          <w:kern w:val="0"/>
        </w:rPr>
        <w:t>community expectations</w:t>
      </w:r>
      <w:r w:rsidR="005853A9">
        <w:rPr>
          <w:kern w:val="0"/>
        </w:rPr>
        <w:t xml:space="preserve"> and </w:t>
      </w:r>
      <w:r w:rsidRPr="001A3D2B">
        <w:rPr>
          <w:kern w:val="0"/>
        </w:rPr>
        <w:t>should be conducted regularly</w:t>
      </w:r>
      <w:r w:rsidR="005853A9">
        <w:rPr>
          <w:kern w:val="0"/>
        </w:rPr>
        <w:t xml:space="preserve"> and </w:t>
      </w:r>
      <w:r w:rsidRPr="001A3D2B">
        <w:rPr>
          <w:kern w:val="0"/>
        </w:rPr>
        <w:t>independently to monitor</w:t>
      </w:r>
      <w:r w:rsidR="003A1917">
        <w:rPr>
          <w:kern w:val="0"/>
        </w:rPr>
        <w:t xml:space="preserve"> the </w:t>
      </w:r>
      <w:r w:rsidRPr="001A3D2B">
        <w:rPr>
          <w:kern w:val="0"/>
        </w:rPr>
        <w:t>status</w:t>
      </w:r>
      <w:r w:rsidR="00427468">
        <w:rPr>
          <w:kern w:val="0"/>
        </w:rPr>
        <w:t xml:space="preserve"> of </w:t>
      </w:r>
      <w:r w:rsidRPr="001A3D2B">
        <w:rPr>
          <w:kern w:val="0"/>
        </w:rPr>
        <w:t>Australian mental health research.</w:t>
      </w:r>
    </w:p>
    <w:p w:rsidR="0008349C" w:rsidRPr="001A3D2B" w:rsidRDefault="0008349C" w:rsidP="0008349C">
      <w:pPr>
        <w:pStyle w:val="a3"/>
        <w:rPr>
          <w:kern w:val="0"/>
        </w:rPr>
      </w:pPr>
      <w:r w:rsidRPr="001A3D2B">
        <w:rPr>
          <w:kern w:val="0"/>
        </w:rPr>
        <w:t>Keywords: Burden, Citation, Citations, Depression, Mental Health, Publications, Research, Research Output, Research Priorities, Research Success</w:t>
      </w:r>
    </w:p>
    <w:p w:rsidR="009B0809" w:rsidRDefault="009B0809" w:rsidP="009B0809">
      <w:pPr>
        <w:pStyle w:val="a3"/>
        <w:rPr>
          <w:kern w:val="0"/>
        </w:rPr>
      </w:pPr>
      <w:r>
        <w:rPr>
          <w:rFonts w:hint="eastAsia"/>
          <w:kern w:val="0"/>
        </w:rPr>
        <w:t xml:space="preserve">? </w:t>
      </w:r>
      <w:r>
        <w:rPr>
          <w:kern w:val="0"/>
        </w:rPr>
        <w:t>Bloch, S. (2005),</w:t>
      </w:r>
      <w:r w:rsidR="005853A9">
        <w:rPr>
          <w:kern w:val="0"/>
        </w:rPr>
        <w:t xml:space="preserve"> and </w:t>
      </w:r>
      <w:r w:rsidR="003A1917">
        <w:rPr>
          <w:kern w:val="0"/>
        </w:rPr>
        <w:t xml:space="preserve">the </w:t>
      </w:r>
      <w:r>
        <w:rPr>
          <w:kern w:val="0"/>
        </w:rPr>
        <w:t>winners are:</w:t>
      </w:r>
      <w:r w:rsidR="003A1917">
        <w:rPr>
          <w:kern w:val="0"/>
        </w:rPr>
        <w:t xml:space="preserve"> the </w:t>
      </w:r>
      <w:r>
        <w:rPr>
          <w:kern w:val="0"/>
        </w:rPr>
        <w:t>top articles</w:t>
      </w:r>
      <w:r w:rsidR="00427468">
        <w:rPr>
          <w:kern w:val="0"/>
        </w:rPr>
        <w:t xml:space="preserve"> of </w:t>
      </w:r>
      <w:r>
        <w:rPr>
          <w:kern w:val="0"/>
        </w:rPr>
        <w:t xml:space="preserve">2004 (vol 39, pg 648, 2005).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39</w:t>
      </w:r>
      <w:r>
        <w:rPr>
          <w:kern w:val="0"/>
        </w:rPr>
        <w:t xml:space="preserve"> (11-12), 1051</w:t>
      </w:r>
      <w:r>
        <w:rPr>
          <w:rFonts w:hint="eastAsia"/>
          <w:kern w:val="0"/>
        </w:rPr>
        <w:t>.</w:t>
      </w:r>
    </w:p>
    <w:p w:rsidR="00D90A10" w:rsidRPr="001A3D2B" w:rsidRDefault="00D90A10" w:rsidP="00D90A10">
      <w:pPr>
        <w:pStyle w:val="a3"/>
      </w:pPr>
      <w:r w:rsidRPr="001A3D2B">
        <w:t xml:space="preserve">Full Text: </w:t>
      </w:r>
      <w:hyperlink r:id="rId1397" w:history="1">
        <w:r w:rsidRPr="00D90A10">
          <w:rPr>
            <w:rStyle w:val="a5"/>
          </w:rPr>
          <w:t>2005\Aus New Zea J Psy39, 1051.pdf</w:t>
        </w:r>
      </w:hyperlink>
    </w:p>
    <w:p w:rsidR="009B0809" w:rsidRDefault="009B0809" w:rsidP="009B0809">
      <w:pPr>
        <w:pStyle w:val="a3"/>
        <w:rPr>
          <w:kern w:val="0"/>
        </w:rPr>
      </w:pPr>
      <w:r>
        <w:rPr>
          <w:kern w:val="0"/>
        </w:rPr>
        <w:t>Keywords: Articles</w:t>
      </w:r>
    </w:p>
    <w:p w:rsidR="00B76DBB" w:rsidRDefault="00B76DBB" w:rsidP="00B76DBB">
      <w:pPr>
        <w:pStyle w:val="a3"/>
        <w:rPr>
          <w:kern w:val="0"/>
        </w:rPr>
      </w:pPr>
      <w:r>
        <w:rPr>
          <w:rFonts w:hint="eastAsia"/>
          <w:kern w:val="0"/>
        </w:rPr>
        <w:lastRenderedPageBreak/>
        <w:t xml:space="preserve">? </w:t>
      </w:r>
      <w:r>
        <w:rPr>
          <w:kern w:val="0"/>
        </w:rPr>
        <w:t>Hyett, M.</w:t>
      </w:r>
      <w:r w:rsidR="005853A9">
        <w:rPr>
          <w:kern w:val="0"/>
        </w:rPr>
        <w:t xml:space="preserve"> and </w:t>
      </w:r>
      <w:r>
        <w:rPr>
          <w:kern w:val="0"/>
        </w:rPr>
        <w:t>Parker, G. (2009), Can</w:t>
      </w:r>
      <w:r w:rsidR="003A1917">
        <w:rPr>
          <w:kern w:val="0"/>
        </w:rPr>
        <w:t xml:space="preserve"> the </w:t>
      </w:r>
      <w:r>
        <w:rPr>
          <w:kern w:val="0"/>
        </w:rPr>
        <w:t xml:space="preserve">highly cited psychiatric paper be predicted early?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43</w:t>
      </w:r>
      <w:r>
        <w:rPr>
          <w:kern w:val="0"/>
        </w:rPr>
        <w:t xml:space="preserve"> (2), 173-176.</w:t>
      </w:r>
    </w:p>
    <w:p w:rsidR="00B76DBB" w:rsidRPr="001A3D2B" w:rsidRDefault="00B76DBB" w:rsidP="00B76DBB">
      <w:pPr>
        <w:pStyle w:val="a3"/>
      </w:pPr>
      <w:r w:rsidRPr="001A3D2B">
        <w:t xml:space="preserve">Full Text: </w:t>
      </w:r>
      <w:hyperlink r:id="rId1398" w:history="1">
        <w:r w:rsidR="00534601" w:rsidRPr="00534601">
          <w:rPr>
            <w:rStyle w:val="a5"/>
          </w:rPr>
          <w:t>2009\Aus New Zea J Psy43, 173.pdf</w:t>
        </w:r>
      </w:hyperlink>
    </w:p>
    <w:p w:rsidR="00B76DBB" w:rsidRDefault="00B76DBB" w:rsidP="00B76DBB">
      <w:pPr>
        <w:pStyle w:val="a3"/>
        <w:rPr>
          <w:kern w:val="0"/>
        </w:rPr>
      </w:pPr>
      <w:r>
        <w:rPr>
          <w:kern w:val="0"/>
        </w:rPr>
        <w:t>Abstract: Objective: Predicting</w:t>
      </w:r>
      <w:r w:rsidR="003A1917">
        <w:rPr>
          <w:kern w:val="0"/>
        </w:rPr>
        <w:t xml:space="preserve"> the </w:t>
      </w:r>
      <w:r>
        <w:rPr>
          <w:kern w:val="0"/>
        </w:rPr>
        <w:t>impact</w:t>
      </w:r>
      <w:r w:rsidR="00427468">
        <w:rPr>
          <w:kern w:val="0"/>
        </w:rPr>
        <w:t xml:space="preserve"> of </w:t>
      </w:r>
      <w:r>
        <w:rPr>
          <w:kern w:val="0"/>
        </w:rPr>
        <w:t>any research article on its scientific discipline is often viewed as requiring</w:t>
      </w:r>
      <w:r w:rsidR="003A1917">
        <w:rPr>
          <w:kern w:val="0"/>
        </w:rPr>
        <w:t xml:space="preserve"> the </w:t>
      </w:r>
      <w:r>
        <w:rPr>
          <w:kern w:val="0"/>
        </w:rPr>
        <w:t>passage</w:t>
      </w:r>
      <w:r w:rsidR="00427468">
        <w:rPr>
          <w:kern w:val="0"/>
        </w:rPr>
        <w:t xml:space="preserve"> of </w:t>
      </w:r>
      <w:r>
        <w:rPr>
          <w:kern w:val="0"/>
        </w:rPr>
        <w:t>time. A recent BMJ article, however, reported that an article</w:t>
      </w:r>
      <w:r w:rsidR="00700038">
        <w:rPr>
          <w:kern w:val="0"/>
        </w:rPr>
        <w:t>’</w:t>
      </w:r>
      <w:r w:rsidR="00C13DDC">
        <w:rPr>
          <w:kern w:val="0"/>
        </w:rPr>
        <w:t>s</w:t>
      </w:r>
      <w:r>
        <w:rPr>
          <w:kern w:val="0"/>
        </w:rPr>
        <w:t xml:space="preserve"> citation rate at 2 years could be predicted by data available 3 weeks following publication</w:t>
      </w:r>
      <w:r w:rsidR="00A37C1D">
        <w:rPr>
          <w:kern w:val="0"/>
        </w:rPr>
        <w:t>. The</w:t>
      </w:r>
      <w:r w:rsidR="003A1917">
        <w:rPr>
          <w:kern w:val="0"/>
        </w:rPr>
        <w:t xml:space="preserve"> </w:t>
      </w:r>
      <w:r>
        <w:rPr>
          <w:kern w:val="0"/>
        </w:rPr>
        <w:t>question remains as to whether establishing a citation trajectory at an early stage holds for psychiatric publications, given</w:t>
      </w:r>
      <w:r w:rsidR="003A1917">
        <w:rPr>
          <w:kern w:val="0"/>
        </w:rPr>
        <w:t xml:space="preserve"> the </w:t>
      </w:r>
      <w:r>
        <w:rPr>
          <w:kern w:val="0"/>
        </w:rPr>
        <w:t>low percentage</w:t>
      </w:r>
      <w:r w:rsidR="00427468">
        <w:rPr>
          <w:kern w:val="0"/>
        </w:rPr>
        <w:t xml:space="preserve"> of </w:t>
      </w:r>
      <w:r>
        <w:rPr>
          <w:kern w:val="0"/>
        </w:rPr>
        <w:t>psychiatric articles in their analysis</w:t>
      </w:r>
      <w:r w:rsidR="00A37C1D">
        <w:rPr>
          <w:kern w:val="0"/>
        </w:rPr>
        <w:t>. The</w:t>
      </w:r>
      <w:r w:rsidR="003A1917">
        <w:rPr>
          <w:kern w:val="0"/>
        </w:rPr>
        <w:t xml:space="preserve"> </w:t>
      </w:r>
      <w:r>
        <w:rPr>
          <w:kern w:val="0"/>
        </w:rPr>
        <w:t>aim</w:t>
      </w:r>
      <w:r w:rsidR="00427468">
        <w:rPr>
          <w:kern w:val="0"/>
        </w:rPr>
        <w:t xml:space="preserve"> of </w:t>
      </w:r>
      <w:r w:rsidR="003A1917">
        <w:rPr>
          <w:kern w:val="0"/>
        </w:rPr>
        <w:t xml:space="preserve">the </w:t>
      </w:r>
      <w:r>
        <w:rPr>
          <w:kern w:val="0"/>
        </w:rPr>
        <w:t>current article was to critically examine this area</w:t>
      </w:r>
      <w:r w:rsidR="00427468">
        <w:rPr>
          <w:kern w:val="0"/>
        </w:rPr>
        <w:t xml:space="preserve"> of </w:t>
      </w:r>
      <w:r w:rsidR="003A1917">
        <w:rPr>
          <w:kern w:val="0"/>
        </w:rPr>
        <w:t xml:space="preserve">the </w:t>
      </w:r>
      <w:r>
        <w:rPr>
          <w:kern w:val="0"/>
        </w:rPr>
        <w:t>scientific literature. Method: Data were collected from</w:t>
      </w:r>
      <w:r w:rsidR="003A1917">
        <w:rPr>
          <w:kern w:val="0"/>
        </w:rPr>
        <w:t xml:space="preserve"> the </w:t>
      </w:r>
      <w:r>
        <w:rPr>
          <w:kern w:val="0"/>
        </w:rPr>
        <w:t>Institute for Scientific Information on scientific papers published in January/February 2006, in</w:t>
      </w:r>
      <w:r w:rsidR="003A1917">
        <w:rPr>
          <w:kern w:val="0"/>
        </w:rPr>
        <w:t xml:space="preserve"> the </w:t>
      </w:r>
      <w:r>
        <w:rPr>
          <w:kern w:val="0"/>
        </w:rPr>
        <w:t>top 30 psychiatric journals. Analyses examined</w:t>
      </w:r>
      <w:r w:rsidR="003A1917">
        <w:rPr>
          <w:kern w:val="0"/>
        </w:rPr>
        <w:t xml:space="preserve"> the </w:t>
      </w:r>
      <w:r>
        <w:rPr>
          <w:kern w:val="0"/>
        </w:rPr>
        <w:t>comparative impact</w:t>
      </w:r>
      <w:r w:rsidR="00427468">
        <w:rPr>
          <w:kern w:val="0"/>
        </w:rPr>
        <w:t xml:space="preserve"> of </w:t>
      </w:r>
      <w:r>
        <w:rPr>
          <w:kern w:val="0"/>
        </w:rPr>
        <w:t>early citation numbers</w:t>
      </w:r>
      <w:r w:rsidR="005853A9">
        <w:rPr>
          <w:kern w:val="0"/>
        </w:rPr>
        <w:t xml:space="preserve"> and </w:t>
      </w:r>
      <w:r>
        <w:rPr>
          <w:kern w:val="0"/>
        </w:rPr>
        <w:t>several predictors identified in</w:t>
      </w:r>
      <w:r w:rsidR="003A1917">
        <w:rPr>
          <w:kern w:val="0"/>
        </w:rPr>
        <w:t xml:space="preserve"> the </w:t>
      </w:r>
      <w:r>
        <w:rPr>
          <w:kern w:val="0"/>
        </w:rPr>
        <w:t>BMJ article. Results: Only two BMJ variables (a larger number</w:t>
      </w:r>
      <w:r w:rsidR="00427468">
        <w:rPr>
          <w:kern w:val="0"/>
        </w:rPr>
        <w:t xml:space="preserve"> of </w:t>
      </w:r>
      <w:r>
        <w:rPr>
          <w:kern w:val="0"/>
        </w:rPr>
        <w:t>references per article</w:t>
      </w:r>
      <w:r w:rsidR="005853A9">
        <w:rPr>
          <w:kern w:val="0"/>
        </w:rPr>
        <w:t xml:space="preserve"> and </w:t>
      </w:r>
      <w:r>
        <w:rPr>
          <w:kern w:val="0"/>
        </w:rPr>
        <w:t>larger number</w:t>
      </w:r>
      <w:r w:rsidR="00427468">
        <w:rPr>
          <w:kern w:val="0"/>
        </w:rPr>
        <w:t xml:space="preserve"> of </w:t>
      </w:r>
      <w:r>
        <w:rPr>
          <w:kern w:val="0"/>
        </w:rPr>
        <w:t>authors) predicted higher citations at 2 years in</w:t>
      </w:r>
      <w:r w:rsidR="003A1917">
        <w:rPr>
          <w:kern w:val="0"/>
        </w:rPr>
        <w:t xml:space="preserve"> the </w:t>
      </w:r>
      <w:r>
        <w:rPr>
          <w:kern w:val="0"/>
        </w:rPr>
        <w:t>principal analysis. Citation counts at 1, 3, 6</w:t>
      </w:r>
      <w:r w:rsidR="005853A9">
        <w:rPr>
          <w:kern w:val="0"/>
        </w:rPr>
        <w:t xml:space="preserve"> and </w:t>
      </w:r>
      <w:r>
        <w:rPr>
          <w:kern w:val="0"/>
        </w:rPr>
        <w:t>12 months predicted citations at 2 years, with increasing success over time,</w:t>
      </w:r>
      <w:r w:rsidR="005853A9">
        <w:rPr>
          <w:kern w:val="0"/>
        </w:rPr>
        <w:t xml:space="preserve"> and </w:t>
      </w:r>
      <w:r>
        <w:rPr>
          <w:kern w:val="0"/>
        </w:rPr>
        <w:t>such citation counts were distinctly superior to</w:t>
      </w:r>
      <w:r w:rsidR="003A1917">
        <w:rPr>
          <w:kern w:val="0"/>
        </w:rPr>
        <w:t xml:space="preserve"> the </w:t>
      </w:r>
      <w:r>
        <w:rPr>
          <w:kern w:val="0"/>
        </w:rPr>
        <w:t>quantified variables in</w:t>
      </w:r>
      <w:r w:rsidR="003A1917">
        <w:rPr>
          <w:kern w:val="0"/>
        </w:rPr>
        <w:t xml:space="preserve"> the </w:t>
      </w:r>
      <w:r>
        <w:rPr>
          <w:kern w:val="0"/>
        </w:rPr>
        <w:t>previous study. Conclusions: It appears doubtful that data available at 3 weeks after publication for psychiatric articles are useful in predicting citation counts at 2 years</w:t>
      </w:r>
      <w:r w:rsidR="00A37C1D">
        <w:rPr>
          <w:kern w:val="0"/>
        </w:rPr>
        <w:t>. The</w:t>
      </w:r>
      <w:r w:rsidR="003A1917">
        <w:rPr>
          <w:kern w:val="0"/>
        </w:rPr>
        <w:t xml:space="preserve"> </w:t>
      </w:r>
      <w:r>
        <w:rPr>
          <w:kern w:val="0"/>
        </w:rPr>
        <w:t>trajectory</w:t>
      </w:r>
      <w:r w:rsidR="00427468">
        <w:rPr>
          <w:kern w:val="0"/>
        </w:rPr>
        <w:t xml:space="preserve"> of </w:t>
      </w:r>
      <w:r>
        <w:rPr>
          <w:kern w:val="0"/>
        </w:rPr>
        <w:t>citation counts for a psychiatric article becomes more apparent with time.</w:t>
      </w:r>
    </w:p>
    <w:p w:rsidR="00B76DBB" w:rsidRDefault="00B76DBB" w:rsidP="00B76DBB">
      <w:pPr>
        <w:pStyle w:val="a3"/>
        <w:rPr>
          <w:kern w:val="0"/>
        </w:rPr>
      </w:pPr>
      <w:r>
        <w:rPr>
          <w:kern w:val="0"/>
        </w:rPr>
        <w:t>Keywords: Authors, Citation, Citations, Comparative Study, Forecasting, Impact, Journals, Literature, Papers, Psychiatry Journals, Publication, Publications, Research</w:t>
      </w:r>
    </w:p>
    <w:p w:rsidR="008179BD" w:rsidRDefault="008179BD" w:rsidP="008179BD">
      <w:pPr>
        <w:pStyle w:val="a3"/>
        <w:rPr>
          <w:kern w:val="0"/>
        </w:rPr>
      </w:pPr>
      <w:r>
        <w:rPr>
          <w:rFonts w:hint="eastAsia"/>
          <w:kern w:val="0"/>
        </w:rPr>
        <w:t xml:space="preserve">? </w:t>
      </w:r>
      <w:r>
        <w:rPr>
          <w:kern w:val="0"/>
        </w:rPr>
        <w:t>Douglas, K.M.</w:t>
      </w:r>
      <w:r w:rsidR="005853A9">
        <w:rPr>
          <w:kern w:val="0"/>
        </w:rPr>
        <w:t xml:space="preserve"> and </w:t>
      </w:r>
      <w:r>
        <w:rPr>
          <w:kern w:val="0"/>
        </w:rPr>
        <w:t>Porter, R.J. (2009), Longitudinal assessment</w:t>
      </w:r>
      <w:r w:rsidR="00427468">
        <w:rPr>
          <w:kern w:val="0"/>
        </w:rPr>
        <w:t xml:space="preserve"> of </w:t>
      </w:r>
      <w:r>
        <w:rPr>
          <w:kern w:val="0"/>
        </w:rPr>
        <w:t xml:space="preserve">neuropsychological function in major depression.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43</w:t>
      </w:r>
      <w:r>
        <w:rPr>
          <w:kern w:val="0"/>
        </w:rPr>
        <w:t xml:space="preserve"> (12), 1105-1117.</w:t>
      </w:r>
    </w:p>
    <w:p w:rsidR="002C7F77" w:rsidRDefault="002C7F77" w:rsidP="008179BD">
      <w:pPr>
        <w:pStyle w:val="a3"/>
        <w:rPr>
          <w:kern w:val="0"/>
        </w:rPr>
      </w:pPr>
      <w:r>
        <w:rPr>
          <w:rFonts w:hint="eastAsia"/>
        </w:rPr>
        <w:t xml:space="preserve">Full Text: </w:t>
      </w:r>
      <w:hyperlink r:id="rId1399" w:history="1">
        <w:r w:rsidR="00534601" w:rsidRPr="00534601">
          <w:rPr>
            <w:rStyle w:val="a5"/>
          </w:rPr>
          <w:t>2009\Aus New Zea J Psy43, 1105.pdf</w:t>
        </w:r>
      </w:hyperlink>
    </w:p>
    <w:p w:rsidR="008179BD" w:rsidRDefault="008179BD" w:rsidP="008179BD">
      <w:pPr>
        <w:pStyle w:val="a3"/>
        <w:rPr>
          <w:kern w:val="0"/>
        </w:rPr>
      </w:pPr>
      <w:r>
        <w:rPr>
          <w:kern w:val="0"/>
        </w:rPr>
        <w:t>Abstract: Neuropsychological impairment is a core component</w:t>
      </w:r>
      <w:r w:rsidR="00427468">
        <w:rPr>
          <w:kern w:val="0"/>
        </w:rPr>
        <w:t xml:space="preserve"> of </w:t>
      </w:r>
      <w:r>
        <w:rPr>
          <w:kern w:val="0"/>
        </w:rPr>
        <w:t>major depression, yet its relationship to clinical state is unclear</w:t>
      </w:r>
      <w:r w:rsidR="00A37C1D">
        <w:rPr>
          <w:kern w:val="0"/>
        </w:rPr>
        <w:t>. The</w:t>
      </w:r>
      <w:r w:rsidR="003A1917">
        <w:rPr>
          <w:kern w:val="0"/>
        </w:rPr>
        <w:t xml:space="preserve"> </w:t>
      </w:r>
      <w:r>
        <w:rPr>
          <w:kern w:val="0"/>
        </w:rPr>
        <w:t>aims</w:t>
      </w:r>
      <w:r w:rsidR="00427468">
        <w:rPr>
          <w:kern w:val="0"/>
        </w:rPr>
        <w:t xml:space="preserve"> of </w:t>
      </w:r>
      <w:r w:rsidR="003A1917">
        <w:rPr>
          <w:kern w:val="0"/>
        </w:rPr>
        <w:t xml:space="preserve">the </w:t>
      </w:r>
      <w:r>
        <w:rPr>
          <w:kern w:val="0"/>
        </w:rPr>
        <w:t>present review were to determine which neuropsychological domains</w:t>
      </w:r>
      <w:r w:rsidR="005853A9">
        <w:rPr>
          <w:kern w:val="0"/>
        </w:rPr>
        <w:t xml:space="preserve"> and </w:t>
      </w:r>
      <w:r>
        <w:rPr>
          <w:kern w:val="0"/>
        </w:rPr>
        <w:t>tasks were most sensitive to improvement in clinical state in major depression</w:t>
      </w:r>
      <w:r w:rsidR="005853A9">
        <w:rPr>
          <w:kern w:val="0"/>
        </w:rPr>
        <w:t xml:space="preserve"> and </w:t>
      </w:r>
      <w:r>
        <w:rPr>
          <w:kern w:val="0"/>
        </w:rPr>
        <w:t>to highlight</w:t>
      </w:r>
      <w:r w:rsidR="003A1917">
        <w:rPr>
          <w:kern w:val="0"/>
        </w:rPr>
        <w:t xml:space="preserve"> the </w:t>
      </w:r>
      <w:r>
        <w:rPr>
          <w:kern w:val="0"/>
        </w:rPr>
        <w:t>methodological issues in such research. Studies that included a baseline</w:t>
      </w:r>
      <w:r w:rsidR="005853A9">
        <w:rPr>
          <w:kern w:val="0"/>
        </w:rPr>
        <w:t xml:space="preserve"> and </w:t>
      </w:r>
      <w:r>
        <w:rPr>
          <w:kern w:val="0"/>
        </w:rPr>
        <w:t xml:space="preserve">at least one follow-up neuropsychological testing session in adults with major depression were identified using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ScienceDirect databases. Thirty studies were included in</w:t>
      </w:r>
      <w:r w:rsidR="003A1917">
        <w:rPr>
          <w:kern w:val="0"/>
        </w:rPr>
        <w:t xml:space="preserve"> the </w:t>
      </w:r>
      <w:r>
        <w:rPr>
          <w:kern w:val="0"/>
        </w:rPr>
        <w:t>review. Findings in younger adult populations suggested that improvement in mood was most strongly related to improved verbal memory</w:t>
      </w:r>
      <w:r w:rsidR="005853A9">
        <w:rPr>
          <w:kern w:val="0"/>
        </w:rPr>
        <w:t xml:space="preserve"> and </w:t>
      </w:r>
      <w:r>
        <w:rPr>
          <w:kern w:val="0"/>
        </w:rPr>
        <w:t>verbal fluency, while measures</w:t>
      </w:r>
      <w:r w:rsidR="00427468">
        <w:rPr>
          <w:kern w:val="0"/>
        </w:rPr>
        <w:t xml:space="preserve"> of </w:t>
      </w:r>
      <w:r>
        <w:rPr>
          <w:kern w:val="0"/>
        </w:rPr>
        <w:t>executive functioning</w:t>
      </w:r>
      <w:r w:rsidR="005853A9">
        <w:rPr>
          <w:kern w:val="0"/>
        </w:rPr>
        <w:t xml:space="preserve"> and </w:t>
      </w:r>
      <w:r>
        <w:rPr>
          <w:kern w:val="0"/>
        </w:rPr>
        <w:t xml:space="preserve">attention tended to remain impaired across treatment. In late-life major depression, improved psychomotor speed was most closely related to treatment response, but there was </w:t>
      </w:r>
      <w:r>
        <w:rPr>
          <w:kern w:val="0"/>
        </w:rPr>
        <w:lastRenderedPageBreak/>
        <w:t>much inconsistency between study findings, which may be due to methodological issues. In major depression, particular neuropsychological domains are more strongly related to clinical state than others</w:t>
      </w:r>
      <w:r w:rsidR="00A37C1D">
        <w:rPr>
          <w:kern w:val="0"/>
        </w:rPr>
        <w:t>. The</w:t>
      </w:r>
      <w:r w:rsidR="003A1917">
        <w:rPr>
          <w:kern w:val="0"/>
        </w:rPr>
        <w:t xml:space="preserve"> </w:t>
      </w:r>
      <w:r>
        <w:rPr>
          <w:kern w:val="0"/>
        </w:rPr>
        <w:t>findings from</w:t>
      </w:r>
      <w:r w:rsidR="003A1917">
        <w:rPr>
          <w:kern w:val="0"/>
        </w:rPr>
        <w:t xml:space="preserve"> the </w:t>
      </w:r>
      <w:r>
        <w:rPr>
          <w:kern w:val="0"/>
        </w:rPr>
        <w:t>present review suggest that</w:t>
      </w:r>
      <w:r w:rsidR="003A1917">
        <w:rPr>
          <w:kern w:val="0"/>
        </w:rPr>
        <w:t xml:space="preserve"> the </w:t>
      </w:r>
      <w:r>
        <w:rPr>
          <w:kern w:val="0"/>
        </w:rPr>
        <w:t>domains most sensitive to clinical state are verbal learning</w:t>
      </w:r>
      <w:r w:rsidR="005853A9">
        <w:rPr>
          <w:kern w:val="0"/>
        </w:rPr>
        <w:t xml:space="preserve"> and </w:t>
      </w:r>
      <w:r>
        <w:rPr>
          <w:kern w:val="0"/>
        </w:rPr>
        <w:t>memory, verbal fluency</w:t>
      </w:r>
      <w:r w:rsidR="005853A9">
        <w:rPr>
          <w:kern w:val="0"/>
        </w:rPr>
        <w:t xml:space="preserve"> and </w:t>
      </w:r>
      <w:r>
        <w:rPr>
          <w:kern w:val="0"/>
        </w:rPr>
        <w:t>psychomotor speed. In contrast, measures</w:t>
      </w:r>
      <w:r w:rsidR="00427468">
        <w:rPr>
          <w:kern w:val="0"/>
        </w:rPr>
        <w:t xml:space="preserve"> of </w:t>
      </w:r>
      <w:r>
        <w:rPr>
          <w:kern w:val="0"/>
        </w:rPr>
        <w:t>attention</w:t>
      </w:r>
      <w:r w:rsidR="005853A9">
        <w:rPr>
          <w:kern w:val="0"/>
        </w:rPr>
        <w:t xml:space="preserve"> and </w:t>
      </w:r>
      <w:r>
        <w:rPr>
          <w:kern w:val="0"/>
        </w:rPr>
        <w:t>executive functioning perhaps represent more trait-like markers</w:t>
      </w:r>
      <w:r w:rsidR="00427468">
        <w:rPr>
          <w:kern w:val="0"/>
        </w:rPr>
        <w:t xml:space="preserve"> of </w:t>
      </w:r>
      <w:r>
        <w:rPr>
          <w:kern w:val="0"/>
        </w:rPr>
        <w:t>major depression. With further methodologically sound research,</w:t>
      </w:r>
      <w:r w:rsidR="003A1917">
        <w:rPr>
          <w:kern w:val="0"/>
        </w:rPr>
        <w:t xml:space="preserve"> the </w:t>
      </w:r>
      <w:r>
        <w:rPr>
          <w:kern w:val="0"/>
        </w:rPr>
        <w:t>changes in neuropsychological function associated with treatment response may provide a means</w:t>
      </w:r>
      <w:r w:rsidR="00427468">
        <w:rPr>
          <w:kern w:val="0"/>
        </w:rPr>
        <w:t xml:space="preserve"> of </w:t>
      </w:r>
      <w:r>
        <w:rPr>
          <w:kern w:val="0"/>
        </w:rPr>
        <w:t>evaluating different treatment strategies in major depression.</w:t>
      </w:r>
    </w:p>
    <w:p w:rsidR="008179BD" w:rsidRDefault="008179BD" w:rsidP="008179BD">
      <w:pPr>
        <w:pStyle w:val="a3"/>
        <w:rPr>
          <w:kern w:val="0"/>
        </w:rPr>
      </w:pPr>
      <w:r>
        <w:rPr>
          <w:kern w:val="0"/>
        </w:rPr>
        <w:t xml:space="preserve">Keywords: Adult, Adults, Antidepressant Treatment, Assessment, Attention, Cognitive Impairment, Databases, Depression, Executive Function, Executive Functions, Facial Expressions, Follow-up, Geriatric Depression, Healthy-Volunteers, Hippocampal Volume, Late-Life Depression, Learning, Major Depression, Major Depressive Disorder, </w:t>
      </w:r>
      <w:r w:rsidR="00D5664A">
        <w:rPr>
          <w:kern w:val="0"/>
        </w:rPr>
        <w:t>MEDLINE</w:t>
      </w:r>
      <w:r>
        <w:rPr>
          <w:kern w:val="0"/>
        </w:rPr>
        <w:t xml:space="preserve">, Memory, Mood, Neurocognitive Impairment, Neuropsychological Function, Psychomotor, Remission, Research, Review, Science, Treatment, Unipolar Depression, </w:t>
      </w:r>
      <w:r w:rsidR="00D5664A">
        <w:rPr>
          <w:kern w:val="0"/>
        </w:rPr>
        <w:t>Web</w:t>
      </w:r>
      <w:r w:rsidR="00427468">
        <w:rPr>
          <w:kern w:val="0"/>
        </w:rPr>
        <w:t xml:space="preserve"> of </w:t>
      </w:r>
      <w:r w:rsidR="00D5664A">
        <w:rPr>
          <w:kern w:val="0"/>
        </w:rPr>
        <w:t>Science</w:t>
      </w:r>
    </w:p>
    <w:p w:rsidR="008179BD" w:rsidRDefault="008179BD" w:rsidP="008179BD">
      <w:pPr>
        <w:pStyle w:val="a3"/>
        <w:rPr>
          <w:kern w:val="0"/>
        </w:rPr>
      </w:pPr>
      <w:r>
        <w:rPr>
          <w:rFonts w:hint="eastAsia"/>
          <w:kern w:val="0"/>
        </w:rPr>
        <w:t xml:space="preserve">? </w:t>
      </w:r>
      <w:r>
        <w:rPr>
          <w:kern w:val="0"/>
        </w:rPr>
        <w:t>Bourke, C., Douglas, K.</w:t>
      </w:r>
      <w:r w:rsidR="005853A9">
        <w:rPr>
          <w:kern w:val="0"/>
        </w:rPr>
        <w:t xml:space="preserve"> and </w:t>
      </w:r>
      <w:r>
        <w:rPr>
          <w:kern w:val="0"/>
        </w:rPr>
        <w:t>Porter, R. (2010), Processing</w:t>
      </w:r>
      <w:r w:rsidR="00427468">
        <w:rPr>
          <w:kern w:val="0"/>
        </w:rPr>
        <w:t xml:space="preserve"> of </w:t>
      </w:r>
      <w:r>
        <w:rPr>
          <w:kern w:val="0"/>
        </w:rPr>
        <w:t xml:space="preserve">facial emotion expression in major depression: A review.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44</w:t>
      </w:r>
      <w:r>
        <w:rPr>
          <w:kern w:val="0"/>
        </w:rPr>
        <w:t xml:space="preserve"> (8), 681-696.</w:t>
      </w:r>
    </w:p>
    <w:p w:rsidR="002C7F77" w:rsidRDefault="002C7F77" w:rsidP="002C7F77">
      <w:pPr>
        <w:pStyle w:val="a3"/>
        <w:rPr>
          <w:kern w:val="0"/>
        </w:rPr>
      </w:pPr>
      <w:r>
        <w:rPr>
          <w:rFonts w:hint="eastAsia"/>
        </w:rPr>
        <w:t xml:space="preserve">Full Text: </w:t>
      </w:r>
      <w:hyperlink r:id="rId1400" w:history="1">
        <w:r w:rsidR="00534601" w:rsidRPr="00534601">
          <w:rPr>
            <w:rStyle w:val="a5"/>
          </w:rPr>
          <w:t>2010\Aus New Zea J Psy44, 681.pdf</w:t>
        </w:r>
      </w:hyperlink>
    </w:p>
    <w:p w:rsidR="008179BD" w:rsidRDefault="008179BD" w:rsidP="008179BD">
      <w:pPr>
        <w:pStyle w:val="a3"/>
        <w:rPr>
          <w:kern w:val="0"/>
        </w:rPr>
      </w:pPr>
      <w:r>
        <w:rPr>
          <w:kern w:val="0"/>
        </w:rPr>
        <w:t>Abstract: Processing</w:t>
      </w:r>
      <w:r w:rsidR="00427468">
        <w:rPr>
          <w:kern w:val="0"/>
        </w:rPr>
        <w:t xml:space="preserve"> of </w:t>
      </w:r>
      <w:r>
        <w:rPr>
          <w:kern w:val="0"/>
        </w:rPr>
        <w:t>facial expressions</w:t>
      </w:r>
      <w:r w:rsidR="00427468">
        <w:rPr>
          <w:kern w:val="0"/>
        </w:rPr>
        <w:t xml:space="preserve"> of </w:t>
      </w:r>
      <w:r>
        <w:rPr>
          <w:kern w:val="0"/>
        </w:rPr>
        <w:t>emotion is central to human interaction,</w:t>
      </w:r>
      <w:r w:rsidR="005853A9">
        <w:rPr>
          <w:kern w:val="0"/>
        </w:rPr>
        <w:t xml:space="preserve"> and </w:t>
      </w:r>
      <w:r>
        <w:rPr>
          <w:kern w:val="0"/>
        </w:rPr>
        <w:t>has important effects on behaviour</w:t>
      </w:r>
      <w:r w:rsidR="005853A9">
        <w:rPr>
          <w:kern w:val="0"/>
        </w:rPr>
        <w:t xml:space="preserve"> and </w:t>
      </w:r>
      <w:r>
        <w:rPr>
          <w:kern w:val="0"/>
        </w:rPr>
        <w:t>affective state. A range</w:t>
      </w:r>
      <w:r w:rsidR="00427468">
        <w:rPr>
          <w:kern w:val="0"/>
        </w:rPr>
        <w:t xml:space="preserve"> of </w:t>
      </w:r>
      <w:r>
        <w:rPr>
          <w:kern w:val="0"/>
        </w:rPr>
        <w:t>methods</w:t>
      </w:r>
      <w:r w:rsidR="005853A9">
        <w:rPr>
          <w:kern w:val="0"/>
        </w:rPr>
        <w:t xml:space="preserve"> and </w:t>
      </w:r>
      <w:r>
        <w:rPr>
          <w:kern w:val="0"/>
        </w:rPr>
        <w:t>paradigms have been used to investigate various aspects</w:t>
      </w:r>
      <w:r w:rsidR="00427468">
        <w:rPr>
          <w:kern w:val="0"/>
        </w:rPr>
        <w:t xml:space="preserve"> of </w:t>
      </w:r>
      <w:r>
        <w:rPr>
          <w:kern w:val="0"/>
        </w:rPr>
        <w:t>abnormal processing</w:t>
      </w:r>
      <w:r w:rsidR="00427468">
        <w:rPr>
          <w:kern w:val="0"/>
        </w:rPr>
        <w:t xml:space="preserve"> of </w:t>
      </w:r>
      <w:r>
        <w:rPr>
          <w:kern w:val="0"/>
        </w:rPr>
        <w:t>facial expressions in major depression, including emotion specific deficits in recognition accuracy, response biases</w:t>
      </w:r>
      <w:r w:rsidR="005853A9">
        <w:rPr>
          <w:kern w:val="0"/>
        </w:rPr>
        <w:t xml:space="preserve"> and </w:t>
      </w:r>
      <w:r>
        <w:rPr>
          <w:kern w:val="0"/>
        </w:rPr>
        <w:t>attentional biases</w:t>
      </w:r>
      <w:r w:rsidR="00A37C1D">
        <w:rPr>
          <w:kern w:val="0"/>
        </w:rPr>
        <w:t>. The</w:t>
      </w:r>
      <w:r w:rsidR="003A1917">
        <w:rPr>
          <w:kern w:val="0"/>
        </w:rPr>
        <w:t xml:space="preserve"> </w:t>
      </w:r>
      <w:r>
        <w:rPr>
          <w:kern w:val="0"/>
        </w:rPr>
        <w:t>aim</w:t>
      </w:r>
      <w:r w:rsidR="00427468">
        <w:rPr>
          <w:kern w:val="0"/>
        </w:rPr>
        <w:t xml:space="preserve"> of </w:t>
      </w:r>
      <w:r>
        <w:rPr>
          <w:kern w:val="0"/>
        </w:rPr>
        <w:t>this review is to examine</w:t>
      </w:r>
      <w:r w:rsidR="005853A9">
        <w:rPr>
          <w:kern w:val="0"/>
        </w:rPr>
        <w:t xml:space="preserve"> and </w:t>
      </w:r>
      <w:r>
        <w:rPr>
          <w:kern w:val="0"/>
        </w:rPr>
        <w:t>interpret data from studies</w:t>
      </w:r>
      <w:r w:rsidR="00427468">
        <w:rPr>
          <w:kern w:val="0"/>
        </w:rPr>
        <w:t xml:space="preserve"> of </w:t>
      </w:r>
      <w:r>
        <w:rPr>
          <w:kern w:val="0"/>
        </w:rPr>
        <w:t>facial emotion processing in major depression, in</w:t>
      </w:r>
      <w:r w:rsidR="003A1917">
        <w:rPr>
          <w:kern w:val="0"/>
        </w:rPr>
        <w:t xml:space="preserve"> the </w:t>
      </w:r>
      <w:r>
        <w:rPr>
          <w:kern w:val="0"/>
        </w:rPr>
        <w:t>context</w:t>
      </w:r>
      <w:r w:rsidR="00427468">
        <w:rPr>
          <w:kern w:val="0"/>
        </w:rPr>
        <w:t xml:space="preserve"> of </w:t>
      </w:r>
      <w:r>
        <w:rPr>
          <w:kern w:val="0"/>
        </w:rPr>
        <w:t>current knowledge about</w:t>
      </w:r>
      <w:r w:rsidR="003A1917">
        <w:rPr>
          <w:kern w:val="0"/>
        </w:rPr>
        <w:t xml:space="preserve"> the </w:t>
      </w:r>
      <w:r>
        <w:rPr>
          <w:kern w:val="0"/>
        </w:rPr>
        <w:t>neural correlates</w:t>
      </w:r>
      <w:r w:rsidR="00427468">
        <w:rPr>
          <w:kern w:val="0"/>
        </w:rPr>
        <w:t xml:space="preserve"> of </w:t>
      </w:r>
      <w:r>
        <w:rPr>
          <w:kern w:val="0"/>
        </w:rPr>
        <w:t>facial expression processing</w:t>
      </w:r>
      <w:r w:rsidR="00427468">
        <w:rPr>
          <w:kern w:val="0"/>
        </w:rPr>
        <w:t xml:space="preserve"> of </w:t>
      </w:r>
      <w:r>
        <w:rPr>
          <w:kern w:val="0"/>
        </w:rPr>
        <w:t>primary emotions</w:t>
      </w:r>
      <w:r w:rsidR="003A1917">
        <w:rPr>
          <w:kern w:val="0"/>
        </w:rPr>
        <w:t xml:space="preserve"> the </w:t>
      </w:r>
      <w:r>
        <w:rPr>
          <w:kern w:val="0"/>
        </w:rPr>
        <w:t>review also discusses</w:t>
      </w:r>
      <w:r w:rsidR="003A1917">
        <w:rPr>
          <w:kern w:val="0"/>
        </w:rPr>
        <w:t xml:space="preserve"> the </w:t>
      </w:r>
      <w:r>
        <w:rPr>
          <w:kern w:val="0"/>
        </w:rPr>
        <w:t>methodologies used to examine facial expression processing. Studies</w:t>
      </w:r>
      <w:r w:rsidR="00427468">
        <w:rPr>
          <w:kern w:val="0"/>
        </w:rPr>
        <w:t xml:space="preserve"> of </w:t>
      </w:r>
      <w:r>
        <w:rPr>
          <w:kern w:val="0"/>
        </w:rPr>
        <w:t>facial emotion processing</w:t>
      </w:r>
      <w:r w:rsidR="005853A9">
        <w:rPr>
          <w:kern w:val="0"/>
        </w:rPr>
        <w:t xml:space="preserve"> and </w:t>
      </w:r>
      <w:r>
        <w:rPr>
          <w:kern w:val="0"/>
        </w:rPr>
        <w:t xml:space="preserve">facial emotion recognition were identified up to December 2009 utilizing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Although methodological variations complicate interpretation</w:t>
      </w:r>
      <w:r w:rsidR="00427468">
        <w:rPr>
          <w:kern w:val="0"/>
        </w:rPr>
        <w:t xml:space="preserve"> of </w:t>
      </w:r>
      <w:r>
        <w:rPr>
          <w:kern w:val="0"/>
        </w:rPr>
        <w:t>findings, there is reasonably consistent evidence</w:t>
      </w:r>
      <w:r w:rsidR="00427468">
        <w:rPr>
          <w:kern w:val="0"/>
        </w:rPr>
        <w:t xml:space="preserve"> of </w:t>
      </w:r>
      <w:r>
        <w:rPr>
          <w:kern w:val="0"/>
        </w:rPr>
        <w:t>a negative response bias towards sadness in individuals with major depression, so that positive (happy), neutral or ambiguous facial expressions tend to be evaluated as more sad or less happy compared with healthy control groups</w:t>
      </w:r>
      <w:r w:rsidR="00A37C1D">
        <w:rPr>
          <w:kern w:val="0"/>
        </w:rPr>
        <w:t>. The</w:t>
      </w:r>
      <w:r>
        <w:rPr>
          <w:kern w:val="0"/>
        </w:rPr>
        <w:t>re is also evidence</w:t>
      </w:r>
      <w:r w:rsidR="00427468">
        <w:rPr>
          <w:kern w:val="0"/>
        </w:rPr>
        <w:t xml:space="preserve"> of </w:t>
      </w:r>
      <w:r>
        <w:rPr>
          <w:kern w:val="0"/>
        </w:rPr>
        <w:t>increased vigilance</w:t>
      </w:r>
      <w:r w:rsidR="005853A9">
        <w:rPr>
          <w:kern w:val="0"/>
        </w:rPr>
        <w:t xml:space="preserve"> and </w:t>
      </w:r>
      <w:r>
        <w:rPr>
          <w:kern w:val="0"/>
        </w:rPr>
        <w:t>selective attention towards sad expressions</w:t>
      </w:r>
      <w:r w:rsidR="005853A9">
        <w:rPr>
          <w:kern w:val="0"/>
        </w:rPr>
        <w:t xml:space="preserve"> and </w:t>
      </w:r>
      <w:r>
        <w:rPr>
          <w:kern w:val="0"/>
        </w:rPr>
        <w:t>away from happy expressions, but less evidence</w:t>
      </w:r>
      <w:r w:rsidR="00427468">
        <w:rPr>
          <w:kern w:val="0"/>
        </w:rPr>
        <w:t xml:space="preserve"> of </w:t>
      </w:r>
      <w:r>
        <w:rPr>
          <w:kern w:val="0"/>
        </w:rPr>
        <w:t>reduced general or emotion-specific recognition accuracy. Data is complicated by</w:t>
      </w:r>
      <w:r w:rsidR="003A1917">
        <w:rPr>
          <w:kern w:val="0"/>
        </w:rPr>
        <w:t xml:space="preserve"> the </w:t>
      </w:r>
      <w:r>
        <w:rPr>
          <w:kern w:val="0"/>
        </w:rPr>
        <w:t>use</w:t>
      </w:r>
      <w:r w:rsidR="00427468">
        <w:rPr>
          <w:kern w:val="0"/>
        </w:rPr>
        <w:t xml:space="preserve"> of </w:t>
      </w:r>
      <w:r>
        <w:rPr>
          <w:kern w:val="0"/>
        </w:rPr>
        <w:t>multiple paradigms</w:t>
      </w:r>
      <w:r w:rsidR="005853A9">
        <w:rPr>
          <w:kern w:val="0"/>
        </w:rPr>
        <w:t xml:space="preserve"> and </w:t>
      </w:r>
      <w:r w:rsidR="003A1917">
        <w:rPr>
          <w:kern w:val="0"/>
        </w:rPr>
        <w:t xml:space="preserve">the </w:t>
      </w:r>
      <w:r>
        <w:rPr>
          <w:kern w:val="0"/>
        </w:rPr>
        <w:t>heterogeneity</w:t>
      </w:r>
      <w:r w:rsidR="00427468">
        <w:rPr>
          <w:kern w:val="0"/>
        </w:rPr>
        <w:t xml:space="preserve"> of </w:t>
      </w:r>
      <w:r>
        <w:rPr>
          <w:kern w:val="0"/>
        </w:rPr>
        <w:t xml:space="preserve">major depression. Future studies should address methodological </w:t>
      </w:r>
      <w:r>
        <w:rPr>
          <w:kern w:val="0"/>
        </w:rPr>
        <w:lastRenderedPageBreak/>
        <w:t>problems, including variations in patient characteristics, testing paradigms</w:t>
      </w:r>
      <w:r w:rsidR="005853A9">
        <w:rPr>
          <w:kern w:val="0"/>
        </w:rPr>
        <w:t xml:space="preserve"> and </w:t>
      </w:r>
      <w:r>
        <w:rPr>
          <w:kern w:val="0"/>
        </w:rPr>
        <w:t>procedures,</w:t>
      </w:r>
      <w:r w:rsidR="005853A9">
        <w:rPr>
          <w:kern w:val="0"/>
        </w:rPr>
        <w:t xml:space="preserve"> and </w:t>
      </w:r>
      <w:r>
        <w:rPr>
          <w:kern w:val="0"/>
        </w:rPr>
        <w:t>statistical methods used to analyse findings.</w:t>
      </w:r>
    </w:p>
    <w:p w:rsidR="008179BD" w:rsidRDefault="008179BD" w:rsidP="008179BD">
      <w:pPr>
        <w:pStyle w:val="a3"/>
        <w:rPr>
          <w:kern w:val="0"/>
        </w:rPr>
      </w:pPr>
      <w:r>
        <w:rPr>
          <w:kern w:val="0"/>
        </w:rPr>
        <w:t xml:space="preserve">Keywords: Accuracy, Affective-Disorders, Antidepressant Drug-Action, Attention, Bias, Bipolar Disorder, Control, Control Groups, Correlates, Depression, Emotion, Faces, Facial Emotion Processing, Happy, Human, Human Amygdala, Impaired Recognition, Interpretation, Knowledge, Major Depression, </w:t>
      </w:r>
      <w:r w:rsidR="00D5664A">
        <w:rPr>
          <w:kern w:val="0"/>
        </w:rPr>
        <w:t>MEDLINE</w:t>
      </w:r>
      <w:r>
        <w:rPr>
          <w:kern w:val="0"/>
        </w:rPr>
        <w:t xml:space="preserve">, Neural Responses, Neuropsychological Functioning, Perception, Primary, Review, Sad, Science, Statistical, Statistical Methods, </w:t>
      </w:r>
      <w:r w:rsidR="00D5664A">
        <w:rPr>
          <w:kern w:val="0"/>
        </w:rPr>
        <w:t>Web</w:t>
      </w:r>
      <w:r w:rsidR="00427468">
        <w:rPr>
          <w:kern w:val="0"/>
        </w:rPr>
        <w:t xml:space="preserve"> of </w:t>
      </w:r>
      <w:r w:rsidR="00D5664A">
        <w:rPr>
          <w:kern w:val="0"/>
        </w:rPr>
        <w:t>Science</w:t>
      </w:r>
    </w:p>
    <w:p w:rsidR="008179BD" w:rsidRDefault="008179BD" w:rsidP="008179BD">
      <w:pPr>
        <w:pStyle w:val="a3"/>
        <w:rPr>
          <w:kern w:val="0"/>
        </w:rPr>
      </w:pPr>
      <w:r>
        <w:rPr>
          <w:rFonts w:hint="eastAsia"/>
          <w:kern w:val="0"/>
        </w:rPr>
        <w:t xml:space="preserve">? </w:t>
      </w:r>
      <w:r>
        <w:rPr>
          <w:kern w:val="0"/>
        </w:rPr>
        <w:t>Sarris, J., LaPorte, E.</w:t>
      </w:r>
      <w:r w:rsidR="005853A9">
        <w:rPr>
          <w:kern w:val="0"/>
        </w:rPr>
        <w:t xml:space="preserve"> and </w:t>
      </w:r>
      <w:r>
        <w:rPr>
          <w:kern w:val="0"/>
        </w:rPr>
        <w:t>Schweitzer, I. (2011), Kava: A comprehensive review</w:t>
      </w:r>
      <w:r w:rsidR="00427468">
        <w:rPr>
          <w:kern w:val="0"/>
        </w:rPr>
        <w:t xml:space="preserve"> of </w:t>
      </w:r>
      <w:r>
        <w:rPr>
          <w:kern w:val="0"/>
        </w:rPr>
        <w:t>efficacy, safety,</w:t>
      </w:r>
      <w:r w:rsidR="005853A9">
        <w:rPr>
          <w:kern w:val="0"/>
        </w:rPr>
        <w:t xml:space="preserve"> and </w:t>
      </w:r>
      <w:r>
        <w:rPr>
          <w:kern w:val="0"/>
        </w:rPr>
        <w:t xml:space="preserve">psychopharmacology.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45</w:t>
      </w:r>
      <w:r>
        <w:rPr>
          <w:kern w:val="0"/>
        </w:rPr>
        <w:t xml:space="preserve"> (1), 27-35.</w:t>
      </w:r>
    </w:p>
    <w:p w:rsidR="002C7F77" w:rsidRDefault="002C7F77" w:rsidP="002C7F77">
      <w:pPr>
        <w:pStyle w:val="a3"/>
        <w:rPr>
          <w:kern w:val="0"/>
        </w:rPr>
      </w:pPr>
      <w:r>
        <w:rPr>
          <w:rFonts w:hint="eastAsia"/>
        </w:rPr>
        <w:t xml:space="preserve">Full Text: </w:t>
      </w:r>
      <w:hyperlink r:id="rId1401" w:history="1">
        <w:r w:rsidR="00534601" w:rsidRPr="00534601">
          <w:rPr>
            <w:rStyle w:val="a5"/>
          </w:rPr>
          <w:t>2011\Aus New Zea J Psy45, 27.pdf</w:t>
        </w:r>
      </w:hyperlink>
    </w:p>
    <w:p w:rsidR="008179BD" w:rsidRDefault="008179BD" w:rsidP="008179BD">
      <w:pPr>
        <w:pStyle w:val="a3"/>
        <w:rPr>
          <w:kern w:val="0"/>
        </w:rPr>
      </w:pPr>
      <w:r>
        <w:rPr>
          <w:kern w:val="0"/>
        </w:rPr>
        <w:t>Abstract: Overview: Kava (Piper methysticum) is a South Pacific psychotropic plant medicine that has anxiolytic activity. This effect is achieved from modulation</w:t>
      </w:r>
      <w:r w:rsidR="00427468">
        <w:rPr>
          <w:kern w:val="0"/>
        </w:rPr>
        <w:t xml:space="preserve"> of </w:t>
      </w:r>
      <w:r>
        <w:rPr>
          <w:kern w:val="0"/>
        </w:rPr>
        <w:t>GABA activity via alteration</w:t>
      </w:r>
      <w:r w:rsidR="00427468">
        <w:rPr>
          <w:kern w:val="0"/>
        </w:rPr>
        <w:t xml:space="preserve"> of </w:t>
      </w:r>
      <w:r>
        <w:rPr>
          <w:kern w:val="0"/>
        </w:rPr>
        <w:t>lipid membrane structure</w:t>
      </w:r>
      <w:r w:rsidR="005853A9">
        <w:rPr>
          <w:kern w:val="0"/>
        </w:rPr>
        <w:t xml:space="preserve"> and </w:t>
      </w:r>
      <w:r>
        <w:rPr>
          <w:kern w:val="0"/>
        </w:rPr>
        <w:t>sodium channel function, monoamine oxidase B inhibition,</w:t>
      </w:r>
      <w:r w:rsidR="005853A9">
        <w:rPr>
          <w:kern w:val="0"/>
        </w:rPr>
        <w:t xml:space="preserve"> and </w:t>
      </w:r>
      <w:r>
        <w:rPr>
          <w:kern w:val="0"/>
        </w:rPr>
        <w:t>noradrenaline</w:t>
      </w:r>
      <w:r w:rsidR="005853A9">
        <w:rPr>
          <w:kern w:val="0"/>
        </w:rPr>
        <w:t xml:space="preserve"> and </w:t>
      </w:r>
      <w:r>
        <w:rPr>
          <w:kern w:val="0"/>
        </w:rPr>
        <w:t>dopamine re-uptake inhibition. Kava is available over</w:t>
      </w:r>
      <w:r w:rsidR="003A1917">
        <w:rPr>
          <w:kern w:val="0"/>
        </w:rPr>
        <w:t xml:space="preserve"> the </w:t>
      </w:r>
      <w:r>
        <w:rPr>
          <w:kern w:val="0"/>
        </w:rPr>
        <w:t>counter in jurisdictions such as</w:t>
      </w:r>
      <w:r w:rsidR="003A1917">
        <w:rPr>
          <w:kern w:val="0"/>
        </w:rPr>
        <w:t xml:space="preserve"> the </w:t>
      </w:r>
      <w:r w:rsidR="00D5664A">
        <w:rPr>
          <w:kern w:val="0"/>
        </w:rPr>
        <w:t>USA</w:t>
      </w:r>
      <w:r>
        <w:rPr>
          <w:kern w:val="0"/>
        </w:rPr>
        <w:t>, Australia</w:t>
      </w:r>
      <w:r w:rsidR="005853A9">
        <w:rPr>
          <w:kern w:val="0"/>
        </w:rPr>
        <w:t xml:space="preserve"> and </w:t>
      </w:r>
      <w:r>
        <w:rPr>
          <w:kern w:val="0"/>
        </w:rPr>
        <w:t>New Zealand. Due to this, a review</w:t>
      </w:r>
      <w:r w:rsidR="00427468">
        <w:rPr>
          <w:kern w:val="0"/>
        </w:rPr>
        <w:t xml:space="preserve"> of </w:t>
      </w:r>
      <w:r>
        <w:rPr>
          <w:kern w:val="0"/>
        </w:rPr>
        <w:t>efficacy, safety</w:t>
      </w:r>
      <w:r w:rsidR="005853A9">
        <w:rPr>
          <w:kern w:val="0"/>
        </w:rPr>
        <w:t xml:space="preserve"> and </w:t>
      </w:r>
      <w:r>
        <w:rPr>
          <w:kern w:val="0"/>
        </w:rPr>
        <w:t>clinical recommendations is advised. Objective: To conduct a comprehensive review</w:t>
      </w:r>
      <w:r w:rsidR="00427468">
        <w:rPr>
          <w:kern w:val="0"/>
        </w:rPr>
        <w:t xml:space="preserve"> of </w:t>
      </w:r>
      <w:r>
        <w:rPr>
          <w:kern w:val="0"/>
        </w:rPr>
        <w:t>kava, in respect to efficacy, psychopharmacology,</w:t>
      </w:r>
      <w:r w:rsidR="005853A9">
        <w:rPr>
          <w:kern w:val="0"/>
        </w:rPr>
        <w:t xml:space="preserve"> and </w:t>
      </w:r>
      <w:r>
        <w:rPr>
          <w:kern w:val="0"/>
        </w:rPr>
        <w:t>safety,</w:t>
      </w:r>
      <w:r w:rsidR="005853A9">
        <w:rPr>
          <w:kern w:val="0"/>
        </w:rPr>
        <w:t xml:space="preserve"> and </w:t>
      </w:r>
      <w:r>
        <w:rPr>
          <w:kern w:val="0"/>
        </w:rPr>
        <w:t>to provide clinical recommendations for use in psychiatry to treat generalized anxiety disorder (GAD). Methods: A review was conducted using</w:t>
      </w:r>
      <w:r w:rsidR="003A1917">
        <w:rPr>
          <w:kern w:val="0"/>
        </w:rPr>
        <w:t xml:space="preserve"> the </w:t>
      </w:r>
      <w:r>
        <w:rPr>
          <w:kern w:val="0"/>
        </w:rPr>
        <w:t xml:space="preserve">electronic databases </w:t>
      </w:r>
      <w:r w:rsidR="00D5664A">
        <w:rPr>
          <w:kern w:val="0"/>
        </w:rPr>
        <w:t>MEDLINE</w:t>
      </w:r>
      <w:r>
        <w:rPr>
          <w:kern w:val="0"/>
        </w:rPr>
        <w:t>, CINAHL, PsycINFO</w:t>
      </w:r>
      <w:r w:rsidR="005853A9">
        <w:rPr>
          <w:kern w:val="0"/>
        </w:rPr>
        <w:t xml:space="preserve"> and </w:t>
      </w:r>
      <w:r w:rsidR="003A1917">
        <w:rPr>
          <w:kern w:val="0"/>
        </w:rPr>
        <w:t xml:space="preserve">the </w:t>
      </w:r>
      <w:r>
        <w:rPr>
          <w:kern w:val="0"/>
        </w:rPr>
        <w:t>Cochrane Library during mid 2010</w:t>
      </w:r>
      <w:r w:rsidR="00427468">
        <w:rPr>
          <w:kern w:val="0"/>
        </w:rPr>
        <w:t xml:space="preserve"> of </w:t>
      </w:r>
      <w:r>
        <w:rPr>
          <w:kern w:val="0"/>
        </w:rPr>
        <w:t>search terms relating to kava</w:t>
      </w:r>
      <w:r w:rsidR="005853A9">
        <w:rPr>
          <w:kern w:val="0"/>
        </w:rPr>
        <w:t xml:space="preserve"> and </w:t>
      </w:r>
      <w:r>
        <w:rPr>
          <w:kern w:val="0"/>
        </w:rPr>
        <w:t>GAD. A subsequent forward search was conducted</w:t>
      </w:r>
      <w:r w:rsidR="00427468">
        <w:rPr>
          <w:kern w:val="0"/>
        </w:rPr>
        <w:t xml:space="preserve"> of </w:t>
      </w:r>
      <w:r>
        <w:rPr>
          <w:kern w:val="0"/>
        </w:rPr>
        <w:t xml:space="preserve">key papers using </w:t>
      </w:r>
      <w:r w:rsidR="00D5664A">
        <w:rPr>
          <w:kern w:val="0"/>
        </w:rPr>
        <w:t>Web</w:t>
      </w:r>
      <w:r w:rsidR="00427468">
        <w:rPr>
          <w:kern w:val="0"/>
        </w:rPr>
        <w:t xml:space="preserve"> of </w:t>
      </w:r>
      <w:r w:rsidR="00D5664A">
        <w:rPr>
          <w:kern w:val="0"/>
        </w:rPr>
        <w:t>Science</w:t>
      </w:r>
      <w:r>
        <w:rPr>
          <w:kern w:val="0"/>
        </w:rPr>
        <w:t xml:space="preserve"> cited reference search. Results:</w:t>
      </w:r>
      <w:r w:rsidR="003A1917">
        <w:rPr>
          <w:kern w:val="0"/>
        </w:rPr>
        <w:t xml:space="preserve"> the </w:t>
      </w:r>
      <w:r>
        <w:rPr>
          <w:kern w:val="0"/>
        </w:rPr>
        <w:t>current weight</w:t>
      </w:r>
      <w:r w:rsidR="00427468">
        <w:rPr>
          <w:kern w:val="0"/>
        </w:rPr>
        <w:t xml:space="preserve"> of </w:t>
      </w:r>
      <w:r>
        <w:rPr>
          <w:kern w:val="0"/>
        </w:rPr>
        <w:t>evidence supports</w:t>
      </w:r>
      <w:r w:rsidR="003A1917">
        <w:rPr>
          <w:kern w:val="0"/>
        </w:rPr>
        <w:t xml:space="preserve"> the </w:t>
      </w:r>
      <w:r>
        <w:rPr>
          <w:kern w:val="0"/>
        </w:rPr>
        <w:t>use</w:t>
      </w:r>
      <w:r w:rsidR="00427468">
        <w:rPr>
          <w:kern w:val="0"/>
        </w:rPr>
        <w:t xml:space="preserve"> of </w:t>
      </w:r>
      <w:r>
        <w:rPr>
          <w:kern w:val="0"/>
        </w:rPr>
        <w:t>kava in treatment</w:t>
      </w:r>
      <w:r w:rsidR="00427468">
        <w:rPr>
          <w:kern w:val="0"/>
        </w:rPr>
        <w:t xml:space="preserve"> of </w:t>
      </w:r>
      <w:r>
        <w:rPr>
          <w:kern w:val="0"/>
        </w:rPr>
        <w:t>anxiety with a significant result occurring in four out</w:t>
      </w:r>
      <w:r w:rsidR="00427468">
        <w:rPr>
          <w:kern w:val="0"/>
        </w:rPr>
        <w:t xml:space="preserve"> of </w:t>
      </w:r>
      <w:r>
        <w:rPr>
          <w:kern w:val="0"/>
        </w:rPr>
        <w:t>six studies reviewed (mean Cohen</w:t>
      </w:r>
      <w:r w:rsidR="00700038">
        <w:rPr>
          <w:kern w:val="0"/>
        </w:rPr>
        <w:t>’</w:t>
      </w:r>
      <w:r w:rsidR="00C13DDC">
        <w:rPr>
          <w:kern w:val="0"/>
        </w:rPr>
        <w:t>s</w:t>
      </w:r>
      <w:r>
        <w:rPr>
          <w:kern w:val="0"/>
        </w:rPr>
        <w:t xml:space="preserve"> d = 1.1). Safety issues should however be considered. Use</w:t>
      </w:r>
      <w:r w:rsidR="00427468">
        <w:rPr>
          <w:kern w:val="0"/>
        </w:rPr>
        <w:t xml:space="preserve"> of </w:t>
      </w:r>
      <w:r>
        <w:rPr>
          <w:kern w:val="0"/>
        </w:rPr>
        <w:t>traditional water soluble extracts</w:t>
      </w:r>
      <w:r w:rsidR="00427468">
        <w:rPr>
          <w:kern w:val="0"/>
        </w:rPr>
        <w:t xml:space="preserve"> of </w:t>
      </w:r>
      <w:r w:rsidR="003A1917">
        <w:rPr>
          <w:kern w:val="0"/>
        </w:rPr>
        <w:t xml:space="preserve">the </w:t>
      </w:r>
      <w:r>
        <w:rPr>
          <w:kern w:val="0"/>
        </w:rPr>
        <w:t>rhizome (root)</w:t>
      </w:r>
      <w:r w:rsidR="00427468">
        <w:rPr>
          <w:kern w:val="0"/>
        </w:rPr>
        <w:t xml:space="preserve"> of </w:t>
      </w:r>
      <w:r>
        <w:rPr>
          <w:kern w:val="0"/>
        </w:rPr>
        <w:t>appropriate kava cultivars is advised, in addition to avoidance</w:t>
      </w:r>
      <w:r w:rsidR="00427468">
        <w:rPr>
          <w:kern w:val="0"/>
        </w:rPr>
        <w:t xml:space="preserve"> of </w:t>
      </w:r>
      <w:r>
        <w:rPr>
          <w:kern w:val="0"/>
        </w:rPr>
        <w:t>use with alcohol</w:t>
      </w:r>
      <w:r w:rsidR="005853A9">
        <w:rPr>
          <w:kern w:val="0"/>
        </w:rPr>
        <w:t xml:space="preserve"> and </w:t>
      </w:r>
      <w:r>
        <w:rPr>
          <w:kern w:val="0"/>
        </w:rPr>
        <w:t>caution with other psychotropic medications. Avoidance</w:t>
      </w:r>
      <w:r w:rsidR="00427468">
        <w:rPr>
          <w:kern w:val="0"/>
        </w:rPr>
        <w:t xml:space="preserve"> of </w:t>
      </w:r>
      <w:r>
        <w:rPr>
          <w:kern w:val="0"/>
        </w:rPr>
        <w:t>high doses if driving or operating heavy machinery should be mandatory. For regular users routine liver function tests are advised. Conclusions: While current evidence supports kava for generalized anxiety, more studies are required to assess comparative efficacy</w:t>
      </w:r>
      <w:r w:rsidR="005853A9">
        <w:rPr>
          <w:kern w:val="0"/>
        </w:rPr>
        <w:t xml:space="preserve"> and </w:t>
      </w:r>
      <w:r>
        <w:rPr>
          <w:kern w:val="0"/>
        </w:rPr>
        <w:t>safety (on</w:t>
      </w:r>
      <w:r w:rsidR="003A1917">
        <w:rPr>
          <w:kern w:val="0"/>
        </w:rPr>
        <w:t xml:space="preserve"> the </w:t>
      </w:r>
      <w:r>
        <w:rPr>
          <w:kern w:val="0"/>
        </w:rPr>
        <w:t>liver, cognition, driving,</w:t>
      </w:r>
      <w:r w:rsidR="005853A9">
        <w:rPr>
          <w:kern w:val="0"/>
        </w:rPr>
        <w:t xml:space="preserve"> and </w:t>
      </w:r>
      <w:r>
        <w:rPr>
          <w:kern w:val="0"/>
        </w:rPr>
        <w:t>sexual effects) versus established pharmaceutical comparators.</w:t>
      </w:r>
    </w:p>
    <w:p w:rsidR="008179BD" w:rsidRDefault="008179BD" w:rsidP="008179BD">
      <w:pPr>
        <w:pStyle w:val="a3"/>
        <w:rPr>
          <w:kern w:val="0"/>
        </w:rPr>
      </w:pPr>
      <w:r>
        <w:rPr>
          <w:kern w:val="0"/>
        </w:rPr>
        <w:t xml:space="preserve">Keywords: Aboriginal Community, Alcohol, Anxiety, Binding-Site, Cochrane, Cognition, Cognitive Performance, Databases, Disorder, Driving, Efficacy, Enriched Extract, Event-Related Potentials, Generalized Anxiety Disorder, Generalized Anxiety Disorder, Herbal Medicine, In-Vitro, Kava, Lipid, Mandatory, Medicine, </w:t>
      </w:r>
      <w:r w:rsidR="00D5664A">
        <w:rPr>
          <w:kern w:val="0"/>
        </w:rPr>
        <w:lastRenderedPageBreak/>
        <w:t>MEDLINE</w:t>
      </w:r>
      <w:r>
        <w:rPr>
          <w:kern w:val="0"/>
        </w:rPr>
        <w:t xml:space="preserve">, Methods, Na+-Channels, New Zealand, Noradrenaline, Papers, Piper Methysticum, Piper-Methysticum, Placebo, Plant, Psychiatry, Review, Safety, Science, Traditional, Treatment, </w:t>
      </w:r>
      <w:r w:rsidR="00D5664A">
        <w:rPr>
          <w:kern w:val="0"/>
        </w:rPr>
        <w:t>Web</w:t>
      </w:r>
      <w:r w:rsidR="00427468">
        <w:rPr>
          <w:kern w:val="0"/>
        </w:rPr>
        <w:t xml:space="preserve"> of </w:t>
      </w:r>
      <w:r w:rsidR="00D5664A">
        <w:rPr>
          <w:kern w:val="0"/>
        </w:rPr>
        <w:t>Science</w:t>
      </w:r>
    </w:p>
    <w:p w:rsidR="002C7F77" w:rsidRDefault="002C7F77" w:rsidP="002C7F77">
      <w:pPr>
        <w:pStyle w:val="a3"/>
        <w:rPr>
          <w:kern w:val="0"/>
        </w:rPr>
      </w:pPr>
      <w:r>
        <w:rPr>
          <w:rFonts w:hint="eastAsia"/>
          <w:kern w:val="0"/>
        </w:rPr>
        <w:t xml:space="preserve">? </w:t>
      </w:r>
      <w:r>
        <w:t>Hunt, G</w:t>
      </w:r>
      <w:r>
        <w:rPr>
          <w:rFonts w:hint="eastAsia"/>
        </w:rPr>
        <w:t>.</w:t>
      </w:r>
      <w:r>
        <w:t>E</w:t>
      </w:r>
      <w:r>
        <w:rPr>
          <w:rFonts w:hint="eastAsia"/>
        </w:rPr>
        <w:t>.,</w:t>
      </w:r>
      <w:r>
        <w:t xml:space="preserve"> Walter, G</w:t>
      </w:r>
      <w:r>
        <w:rPr>
          <w:rFonts w:hint="eastAsia"/>
        </w:rPr>
        <w:t>.,</w:t>
      </w:r>
      <w:r>
        <w:t xml:space="preserve"> Soh, N</w:t>
      </w:r>
      <w:r>
        <w:rPr>
          <w:rFonts w:hint="eastAsia"/>
        </w:rPr>
        <w:t>.,</w:t>
      </w:r>
      <w:r>
        <w:t xml:space="preserve"> Cashman, E</w:t>
      </w:r>
      <w:r>
        <w:rPr>
          <w:rFonts w:hint="eastAsia"/>
        </w:rPr>
        <w:t>.</w:t>
      </w:r>
      <w:r w:rsidR="005853A9">
        <w:rPr>
          <w:rFonts w:hint="eastAsia"/>
        </w:rPr>
        <w:t xml:space="preserve"> and </w:t>
      </w:r>
      <w:r>
        <w:t>Malhi, G</w:t>
      </w:r>
      <w:r>
        <w:rPr>
          <w:rFonts w:hint="eastAsia"/>
        </w:rPr>
        <w:t>.</w:t>
      </w:r>
      <w:r>
        <w:t>S</w:t>
      </w:r>
      <w:r>
        <w:rPr>
          <w:rFonts w:hint="eastAsia"/>
        </w:rPr>
        <w:t>.</w:t>
      </w:r>
      <w:r>
        <w:rPr>
          <w:kern w:val="0"/>
        </w:rPr>
        <w:t xml:space="preserve"> (2011), </w:t>
      </w:r>
      <w:r w:rsidR="00700038">
        <w:t>‘</w:t>
      </w:r>
      <w:r>
        <w:t>Patting your head while rubbing your tummy</w:t>
      </w:r>
      <w:r w:rsidR="00700038">
        <w:t>’</w:t>
      </w:r>
      <w:r>
        <w:rPr>
          <w:kern w:val="0"/>
        </w:rPr>
        <w:t xml:space="preserve">.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45</w:t>
      </w:r>
      <w:r>
        <w:rPr>
          <w:kern w:val="0"/>
        </w:rPr>
        <w:t xml:space="preserve"> (</w:t>
      </w:r>
      <w:r>
        <w:rPr>
          <w:rFonts w:hint="eastAsia"/>
          <w:kern w:val="0"/>
        </w:rPr>
        <w:t>6</w:t>
      </w:r>
      <w:r>
        <w:rPr>
          <w:kern w:val="0"/>
        </w:rPr>
        <w:t xml:space="preserve">), </w:t>
      </w:r>
      <w:r>
        <w:t>444-448</w:t>
      </w:r>
      <w:r>
        <w:rPr>
          <w:kern w:val="0"/>
        </w:rPr>
        <w:t>.</w:t>
      </w:r>
    </w:p>
    <w:p w:rsidR="002C7F77" w:rsidRDefault="002C7F77" w:rsidP="002C7F77">
      <w:pPr>
        <w:pStyle w:val="a3"/>
      </w:pPr>
      <w:r w:rsidRPr="001A3D2B">
        <w:t xml:space="preserve">Full Text: </w:t>
      </w:r>
      <w:hyperlink r:id="rId1402" w:history="1">
        <w:r w:rsidR="00534601" w:rsidRPr="00534601">
          <w:rPr>
            <w:rStyle w:val="a5"/>
          </w:rPr>
          <w:t>2011\Aus New Zea J Psy45, 444.pdf</w:t>
        </w:r>
      </w:hyperlink>
    </w:p>
    <w:p w:rsidR="002C7F77" w:rsidRPr="00247FD7" w:rsidRDefault="002C7F77" w:rsidP="002C7F77">
      <w:pPr>
        <w:pStyle w:val="a3"/>
        <w:rPr>
          <w:kern w:val="0"/>
        </w:rPr>
      </w:pPr>
      <w:r>
        <w:t>Keywords: Impact-Factor, Mental-Health, Psychiatric-Disorders, National-Survey, Top Articles, Key Findings, Schizophrenia, Prevalence, Citations, Australia</w:t>
      </w:r>
    </w:p>
    <w:p w:rsidR="00534601" w:rsidRDefault="00534601" w:rsidP="00534601">
      <w:pPr>
        <w:pStyle w:val="a3"/>
        <w:rPr>
          <w:kern w:val="0"/>
        </w:rPr>
      </w:pPr>
      <w:r>
        <w:rPr>
          <w:rFonts w:hint="eastAsia"/>
          <w:kern w:val="0"/>
        </w:rPr>
        <w:t xml:space="preserve">? </w:t>
      </w:r>
      <w:r>
        <w:rPr>
          <w:kern w:val="0"/>
        </w:rPr>
        <w:t>Myles, N., Newall, H., Ward, H.</w:t>
      </w:r>
      <w:r w:rsidR="005853A9">
        <w:rPr>
          <w:kern w:val="0"/>
        </w:rPr>
        <w:t xml:space="preserve"> and </w:t>
      </w:r>
      <w:r>
        <w:rPr>
          <w:kern w:val="0"/>
        </w:rPr>
        <w:t>Large, M. (2013), Systematic meta-analysis</w:t>
      </w:r>
      <w:r w:rsidR="00427468">
        <w:rPr>
          <w:kern w:val="0"/>
        </w:rPr>
        <w:t xml:space="preserve"> of </w:t>
      </w:r>
      <w:r>
        <w:rPr>
          <w:kern w:val="0"/>
        </w:rPr>
        <w:t>individual selective serotonin reuptake inhibitor medications</w:t>
      </w:r>
      <w:r w:rsidR="005853A9">
        <w:rPr>
          <w:kern w:val="0"/>
        </w:rPr>
        <w:t xml:space="preserve"> and </w:t>
      </w:r>
      <w:r>
        <w:rPr>
          <w:kern w:val="0"/>
        </w:rPr>
        <w:t xml:space="preserve">congenital malformations.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47</w:t>
      </w:r>
      <w:r>
        <w:rPr>
          <w:kern w:val="0"/>
        </w:rPr>
        <w:t xml:space="preserve"> (11), 1002-1012.</w:t>
      </w:r>
    </w:p>
    <w:p w:rsidR="00534601" w:rsidRDefault="00534601" w:rsidP="00534601">
      <w:pPr>
        <w:pStyle w:val="a3"/>
      </w:pPr>
      <w:r w:rsidRPr="001A3D2B">
        <w:t xml:space="preserve">Full Text: </w:t>
      </w:r>
      <w:hyperlink r:id="rId1403" w:history="1">
        <w:r w:rsidRPr="00534601">
          <w:rPr>
            <w:rStyle w:val="a5"/>
          </w:rPr>
          <w:t>2013\Aus New Zea J Psy47, 1002.pdf</w:t>
        </w:r>
      </w:hyperlink>
    </w:p>
    <w:p w:rsidR="00534601" w:rsidRDefault="00534601" w:rsidP="00534601">
      <w:pPr>
        <w:pStyle w:val="a3"/>
        <w:rPr>
          <w:kern w:val="0"/>
        </w:rPr>
      </w:pPr>
      <w:r>
        <w:rPr>
          <w:kern w:val="0"/>
        </w:rPr>
        <w:t>Abstract: Context: It has been suggested that the commonly prescribed class</w:t>
      </w:r>
      <w:r w:rsidR="00427468">
        <w:rPr>
          <w:kern w:val="0"/>
        </w:rPr>
        <w:t xml:space="preserve"> of </w:t>
      </w:r>
      <w:r>
        <w:rPr>
          <w:kern w:val="0"/>
        </w:rPr>
        <w:t>antidepressants selective serotonin reuptake inhibitors (SSRIs) are associated with birth defects. However, the teratogenic effect</w:t>
      </w:r>
      <w:r w:rsidR="00427468">
        <w:rPr>
          <w:kern w:val="0"/>
        </w:rPr>
        <w:t xml:space="preserve"> of </w:t>
      </w:r>
      <w:r>
        <w:rPr>
          <w:kern w:val="0"/>
        </w:rPr>
        <w:t>individual SSRIs has not been previously compared using meta-analysis. Objective: To determine the strength</w:t>
      </w:r>
      <w:r w:rsidR="00427468">
        <w:rPr>
          <w:kern w:val="0"/>
        </w:rPr>
        <w:t xml:space="preserve"> of </w:t>
      </w:r>
      <w:r>
        <w:rPr>
          <w:kern w:val="0"/>
        </w:rPr>
        <w:t>the association between individual SSRIs</w:t>
      </w:r>
      <w:r w:rsidR="005853A9">
        <w:rPr>
          <w:kern w:val="0"/>
        </w:rPr>
        <w:t xml:space="preserve"> and </w:t>
      </w:r>
      <w:r>
        <w:rPr>
          <w:kern w:val="0"/>
        </w:rPr>
        <w:t>major, minor,</w:t>
      </w:r>
      <w:r w:rsidR="005853A9">
        <w:rPr>
          <w:kern w:val="0"/>
        </w:rPr>
        <w:t xml:space="preserve"> and </w:t>
      </w:r>
      <w:r>
        <w:rPr>
          <w:kern w:val="0"/>
        </w:rPr>
        <w:t>cardiac malformation among infants born to women taking these medications. Data sources: Electronic search</w:t>
      </w:r>
      <w:r w:rsidR="00427468">
        <w:rPr>
          <w:kern w:val="0"/>
        </w:rPr>
        <w:t xml:space="preserve"> of </w:t>
      </w:r>
      <w:r>
        <w:rPr>
          <w:kern w:val="0"/>
        </w:rPr>
        <w:t xml:space="preserve">CINAHL, EMBASE, </w:t>
      </w:r>
      <w:r w:rsidR="00D5664A">
        <w:rPr>
          <w:kern w:val="0"/>
        </w:rPr>
        <w:t>MEDLINE</w:t>
      </w:r>
      <w:r>
        <w:rPr>
          <w:kern w:val="0"/>
        </w:rPr>
        <w:t>, PsycINFO,</w:t>
      </w:r>
      <w:r w:rsidR="005853A9">
        <w:rPr>
          <w:kern w:val="0"/>
        </w:rPr>
        <w:t xml:space="preserve"> and </w:t>
      </w:r>
      <w:r>
        <w:rPr>
          <w:kern w:val="0"/>
        </w:rPr>
        <w:t xml:space="preserve">ISI </w:t>
      </w:r>
      <w:r w:rsidR="00D5664A">
        <w:rPr>
          <w:kern w:val="0"/>
        </w:rPr>
        <w:t>Web</w:t>
      </w:r>
      <w:r w:rsidR="00427468">
        <w:rPr>
          <w:kern w:val="0"/>
        </w:rPr>
        <w:t xml:space="preserve"> of </w:t>
      </w:r>
      <w:r w:rsidR="00D5664A">
        <w:rPr>
          <w:kern w:val="0"/>
        </w:rPr>
        <w:t>Science</w:t>
      </w:r>
      <w:r>
        <w:rPr>
          <w:kern w:val="0"/>
        </w:rPr>
        <w:t xml:space="preserve"> using the search terms (SSRI OR antidepressant)</w:t>
      </w:r>
      <w:r w:rsidR="005853A9">
        <w:rPr>
          <w:kern w:val="0"/>
        </w:rPr>
        <w:t xml:space="preserve"> and </w:t>
      </w:r>
      <w:r>
        <w:rPr>
          <w:kern w:val="0"/>
        </w:rPr>
        <w:t>(obstetric outcome OR malformation OR birth outcome OR teratogen), supplemented by manual searching</w:t>
      </w:r>
      <w:r w:rsidR="00427468">
        <w:rPr>
          <w:kern w:val="0"/>
        </w:rPr>
        <w:t xml:space="preserve"> of </w:t>
      </w:r>
      <w:r>
        <w:rPr>
          <w:kern w:val="0"/>
        </w:rPr>
        <w:t>published references</w:t>
      </w:r>
      <w:r w:rsidR="005853A9">
        <w:rPr>
          <w:kern w:val="0"/>
        </w:rPr>
        <w:t xml:space="preserve"> and </w:t>
      </w:r>
      <w:r>
        <w:rPr>
          <w:kern w:val="0"/>
        </w:rPr>
        <w:t>requests</w:t>
      </w:r>
      <w:r w:rsidR="00427468">
        <w:rPr>
          <w:kern w:val="0"/>
        </w:rPr>
        <w:t xml:space="preserve"> of </w:t>
      </w:r>
      <w:r>
        <w:rPr>
          <w:kern w:val="0"/>
        </w:rPr>
        <w:t>primary researchers for unpublished data. Study selection: There were 115 studies identified by electronic search</w:t>
      </w:r>
      <w:r w:rsidR="005853A9">
        <w:rPr>
          <w:kern w:val="0"/>
        </w:rPr>
        <w:t xml:space="preserve"> and </w:t>
      </w:r>
      <w:r>
        <w:rPr>
          <w:kern w:val="0"/>
        </w:rPr>
        <w:t>reviewed in full text, which yielded 16 papers reporting 36 data samples for major malformations, nine papers reporting 26 data samples for cardiac malformations,</w:t>
      </w:r>
      <w:r w:rsidR="005853A9">
        <w:rPr>
          <w:kern w:val="0"/>
        </w:rPr>
        <w:t xml:space="preserve"> and </w:t>
      </w:r>
      <w:r>
        <w:rPr>
          <w:kern w:val="0"/>
        </w:rPr>
        <w:t>four papers reporting seven data samples for minor malformations. Data synthesis: Fluoxetine (OR 1.14, 95% CI 1.01-1.30)</w:t>
      </w:r>
      <w:r w:rsidR="005853A9">
        <w:rPr>
          <w:kern w:val="0"/>
        </w:rPr>
        <w:t xml:space="preserve"> and </w:t>
      </w:r>
      <w:r>
        <w:rPr>
          <w:kern w:val="0"/>
        </w:rPr>
        <w:t>paroxetine (OR 1.29, 95% CI 1.11-1.49) were associated with increased risk</w:t>
      </w:r>
      <w:r w:rsidR="00427468">
        <w:rPr>
          <w:kern w:val="0"/>
        </w:rPr>
        <w:t xml:space="preserve"> of </w:t>
      </w:r>
      <w:r>
        <w:rPr>
          <w:kern w:val="0"/>
        </w:rPr>
        <w:t>major malformations. Paroxetine was associated with increased risk</w:t>
      </w:r>
      <w:r w:rsidR="00427468">
        <w:rPr>
          <w:kern w:val="0"/>
        </w:rPr>
        <w:t xml:space="preserve"> of </w:t>
      </w:r>
      <w:r>
        <w:rPr>
          <w:kern w:val="0"/>
        </w:rPr>
        <w:t>cardiac malformations (OR 1.44, 95% CI 1.12-1.86). Sertraline</w:t>
      </w:r>
      <w:r w:rsidR="005853A9">
        <w:rPr>
          <w:kern w:val="0"/>
        </w:rPr>
        <w:t xml:space="preserve"> and </w:t>
      </w:r>
      <w:r>
        <w:rPr>
          <w:kern w:val="0"/>
        </w:rPr>
        <w:t>citalopram were not significantly associated with congenital malformation. Between-sample heterogeneity was low</w:t>
      </w:r>
      <w:r w:rsidR="005853A9">
        <w:rPr>
          <w:kern w:val="0"/>
        </w:rPr>
        <w:t xml:space="preserve"> and </w:t>
      </w:r>
      <w:r>
        <w:rPr>
          <w:kern w:val="0"/>
        </w:rPr>
        <w:t>a range</w:t>
      </w:r>
      <w:r w:rsidR="00427468">
        <w:rPr>
          <w:kern w:val="0"/>
        </w:rPr>
        <w:t xml:space="preserve"> of </w:t>
      </w:r>
      <w:r>
        <w:rPr>
          <w:kern w:val="0"/>
        </w:rPr>
        <w:t>methodological considerations had no significant impact on effect size</w:t>
      </w:r>
      <w:r w:rsidR="00A37C1D">
        <w:rPr>
          <w:kern w:val="0"/>
        </w:rPr>
        <w:t>. The</w:t>
      </w:r>
      <w:r>
        <w:rPr>
          <w:kern w:val="0"/>
        </w:rPr>
        <w:t>re was little evidence</w:t>
      </w:r>
      <w:r w:rsidR="00427468">
        <w:rPr>
          <w:kern w:val="0"/>
        </w:rPr>
        <w:t xml:space="preserve"> of </w:t>
      </w:r>
      <w:r>
        <w:rPr>
          <w:kern w:val="0"/>
        </w:rPr>
        <w:t>publication bias. Conclusions: Fluoxetine</w:t>
      </w:r>
      <w:r w:rsidR="005853A9">
        <w:rPr>
          <w:kern w:val="0"/>
        </w:rPr>
        <w:t xml:space="preserve"> and </w:t>
      </w:r>
      <w:r>
        <w:rPr>
          <w:kern w:val="0"/>
        </w:rPr>
        <w:t>paroxetine should be avoided in the first trimester</w:t>
      </w:r>
      <w:r w:rsidR="005853A9">
        <w:rPr>
          <w:kern w:val="0"/>
        </w:rPr>
        <w:t xml:space="preserve"> and </w:t>
      </w:r>
      <w:r>
        <w:rPr>
          <w:kern w:val="0"/>
        </w:rPr>
        <w:t>among those at risk</w:t>
      </w:r>
      <w:r w:rsidR="00427468">
        <w:rPr>
          <w:kern w:val="0"/>
        </w:rPr>
        <w:t xml:space="preserve"> of </w:t>
      </w:r>
      <w:r>
        <w:rPr>
          <w:kern w:val="0"/>
        </w:rPr>
        <w:t>an unplanned pregnancy.</w:t>
      </w:r>
    </w:p>
    <w:p w:rsidR="00534601" w:rsidRDefault="00534601" w:rsidP="00534601">
      <w:pPr>
        <w:pStyle w:val="a3"/>
        <w:rPr>
          <w:kern w:val="0"/>
        </w:rPr>
      </w:pPr>
      <w:r>
        <w:rPr>
          <w:kern w:val="0"/>
        </w:rPr>
        <w:t xml:space="preserve">Keywords: 1st Trimester, 1st-Trimester Exposure, Antidepressant, Antidepressant Treatment, Association, Australia, Bias, Birth, Birth Defects, Birth-Defects, Cities, City, Congenital, Congenital Malformations, Data, Early-Pregnancy, Effect Size, </w:t>
      </w:r>
      <w:r>
        <w:rPr>
          <w:kern w:val="0"/>
        </w:rPr>
        <w:lastRenderedPageBreak/>
        <w:t>Embase, England, Evidence, First, First Trimester, Fluoxetine, Heterogeneity, Impact, Infants, Inhibitor, Inhibitors</w:t>
      </w:r>
      <w:r w:rsidR="00D5664A">
        <w:rPr>
          <w:kern w:val="0"/>
        </w:rPr>
        <w:t>, ISI,</w:t>
      </w:r>
      <w:r>
        <w:rPr>
          <w:kern w:val="0"/>
        </w:rPr>
        <w:t xml:space="preserve"> ISI </w:t>
      </w:r>
      <w:r w:rsidR="00D5664A">
        <w:rPr>
          <w:kern w:val="0"/>
        </w:rPr>
        <w:t>Web</w:t>
      </w:r>
      <w:r w:rsidR="00427468">
        <w:rPr>
          <w:kern w:val="0"/>
        </w:rPr>
        <w:t xml:space="preserve"> of </w:t>
      </w:r>
      <w:r w:rsidR="00D5664A">
        <w:rPr>
          <w:kern w:val="0"/>
        </w:rPr>
        <w:t>Science</w:t>
      </w:r>
      <w:r>
        <w:rPr>
          <w:kern w:val="0"/>
        </w:rPr>
        <w:t xml:space="preserve">, London, Major Depression, Malformation, Malformations, Maternal Use, </w:t>
      </w:r>
      <w:r w:rsidR="00D5664A">
        <w:rPr>
          <w:kern w:val="0"/>
        </w:rPr>
        <w:t>MEDLINE</w:t>
      </w:r>
      <w:r>
        <w:rPr>
          <w:kern w:val="0"/>
        </w:rPr>
        <w:t xml:space="preserve">, Meta Analysis, Meta-Analysis, Metaanalysis, Minor, Nov, Obstetric, Obstetric Outcome, Outcome, Outcomes, Papers, Paroxetine, Paroxetine, Pregnancy, Primary, Prince, Psychiatry, Psycinfo, Publication, Publication Bias, Publications, References, Reporting, Review, Risk, Road, Science, Selection, Serotonin, Size, Sources, SSRI, Strength, Synthesis, Teratogen, </w:t>
      </w:r>
      <w:r w:rsidR="00D5664A">
        <w:rPr>
          <w:kern w:val="0"/>
        </w:rPr>
        <w:t>Web</w:t>
      </w:r>
      <w:r w:rsidR="00427468">
        <w:rPr>
          <w:kern w:val="0"/>
        </w:rPr>
        <w:t xml:space="preserve"> of </w:t>
      </w:r>
      <w:r w:rsidR="00D5664A">
        <w:rPr>
          <w:kern w:val="0"/>
        </w:rPr>
        <w:t>Science</w:t>
      </w:r>
      <w:r>
        <w:rPr>
          <w:kern w:val="0"/>
        </w:rPr>
        <w:t>, Women</w:t>
      </w:r>
    </w:p>
    <w:p w:rsidR="00597F5F" w:rsidRDefault="00597F5F" w:rsidP="00597F5F">
      <w:pPr>
        <w:pStyle w:val="a3"/>
        <w:rPr>
          <w:kern w:val="0"/>
        </w:rPr>
      </w:pPr>
      <w:r>
        <w:rPr>
          <w:rFonts w:hint="eastAsia"/>
          <w:kern w:val="0"/>
        </w:rPr>
        <w:t xml:space="preserve">? </w:t>
      </w:r>
      <w:r>
        <w:rPr>
          <w:kern w:val="0"/>
        </w:rPr>
        <w:t>Hunt, G.E., McGregor, I.S.</w:t>
      </w:r>
      <w:r w:rsidR="005853A9">
        <w:rPr>
          <w:kern w:val="0"/>
        </w:rPr>
        <w:t xml:space="preserve"> and </w:t>
      </w:r>
      <w:r>
        <w:rPr>
          <w:kern w:val="0"/>
        </w:rPr>
        <w:t>Malhi, G.S. (2013), Give me a hi-5! An additional version</w:t>
      </w:r>
      <w:r w:rsidR="00427468">
        <w:rPr>
          <w:kern w:val="0"/>
        </w:rPr>
        <w:t xml:space="preserve"> of </w:t>
      </w:r>
      <w:r>
        <w:rPr>
          <w:kern w:val="0"/>
        </w:rPr>
        <w:t xml:space="preserve">the </w:t>
      </w:r>
      <w:r w:rsidR="00D5664A">
        <w:rPr>
          <w:kern w:val="0"/>
        </w:rPr>
        <w:t>h-Index</w:t>
      </w:r>
      <w:r>
        <w:rPr>
          <w:kern w:val="0"/>
        </w:rPr>
        <w:t xml:space="preserve">.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Psychiatry</w:t>
      </w:r>
      <w:r>
        <w:rPr>
          <w:kern w:val="0"/>
        </w:rPr>
        <w:t xml:space="preserve">, </w:t>
      </w:r>
      <w:r>
        <w:rPr>
          <w:b/>
          <w:bCs/>
          <w:kern w:val="0"/>
        </w:rPr>
        <w:t>47</w:t>
      </w:r>
      <w:r>
        <w:rPr>
          <w:kern w:val="0"/>
        </w:rPr>
        <w:t xml:space="preserve"> (12), 1119-1123</w:t>
      </w:r>
    </w:p>
    <w:p w:rsidR="00597F5F" w:rsidRDefault="00597F5F" w:rsidP="00597F5F">
      <w:pPr>
        <w:pStyle w:val="a3"/>
        <w:rPr>
          <w:kern w:val="0"/>
        </w:rPr>
      </w:pPr>
      <w:r w:rsidRPr="001A3D2B">
        <w:t xml:space="preserve">Full Text: </w:t>
      </w:r>
      <w:hyperlink r:id="rId1404" w:history="1">
        <w:r w:rsidRPr="00677829">
          <w:rPr>
            <w:rStyle w:val="a5"/>
          </w:rPr>
          <w:t>2013\Aus New Zea J Psy47, 1119.pdf</w:t>
        </w:r>
      </w:hyperlink>
    </w:p>
    <w:p w:rsidR="00597F5F" w:rsidRDefault="00597F5F" w:rsidP="00597F5F">
      <w:pPr>
        <w:pStyle w:val="a3"/>
        <w:rPr>
          <w:kern w:val="0"/>
        </w:rPr>
      </w:pPr>
      <w:r>
        <w:rPr>
          <w:kern w:val="0"/>
        </w:rPr>
        <w:t xml:space="preserve">Keywords: Bibliometric Indicators, Bibliometrics, Citations, Citations, Facts, </w:t>
      </w:r>
      <w:r w:rsidR="00D5664A">
        <w:rPr>
          <w:rFonts w:hint="eastAsia"/>
          <w:kern w:val="0"/>
        </w:rPr>
        <w:t>h Index</w:t>
      </w:r>
      <w:r>
        <w:rPr>
          <w:kern w:val="0"/>
        </w:rPr>
        <w:t xml:space="preserve">, </w:t>
      </w:r>
      <w:r w:rsidR="00D5664A">
        <w:rPr>
          <w:rFonts w:hint="eastAsia"/>
          <w:kern w:val="0"/>
        </w:rPr>
        <w:t>h-Index</w:t>
      </w:r>
      <w:r>
        <w:rPr>
          <w:kern w:val="0"/>
        </w:rPr>
        <w:t>, Impact, Purposes, Research Output, Version</w:t>
      </w:r>
    </w:p>
    <w:p w:rsidR="00D30EBE" w:rsidRPr="00185FC5" w:rsidRDefault="00D30EBE" w:rsidP="00D30EBE">
      <w:pPr>
        <w:pStyle w:val="a3"/>
      </w:pPr>
      <w:r>
        <w:rPr>
          <w:rFonts w:hint="eastAsia"/>
        </w:rPr>
        <w:t xml:space="preserve">? </w:t>
      </w:r>
      <w:r w:rsidRPr="00185FC5">
        <w:t>Black, E.B., Ranmuthugala, G., Kondalsamy-Chennakesavan, S., Toombs, M.R., Nicholson, G.C. and Kisely, S. (2015), A systematic review: Identifying the prevalence rates of psychiatric disorder in Australia</w:t>
      </w:r>
      <w:r>
        <w:t>’</w:t>
      </w:r>
      <w:r w:rsidRPr="00185FC5">
        <w:t xml:space="preserve">s Indigenous populations. </w:t>
      </w:r>
      <w:r w:rsidRPr="00185FC5">
        <w:rPr>
          <w:i/>
          <w:iCs/>
        </w:rPr>
        <w:t>Australian and New Zealand Journal of Psychiatry</w:t>
      </w:r>
      <w:r w:rsidRPr="00185FC5">
        <w:t xml:space="preserve">, </w:t>
      </w:r>
      <w:r w:rsidRPr="00185FC5">
        <w:rPr>
          <w:b/>
          <w:bCs/>
        </w:rPr>
        <w:t>49</w:t>
      </w:r>
      <w:r w:rsidRPr="00185FC5">
        <w:t xml:space="preserve"> (5), 412-429.</w:t>
      </w:r>
    </w:p>
    <w:p w:rsidR="00D30EBE" w:rsidRDefault="00D30EBE" w:rsidP="00D30EBE">
      <w:pPr>
        <w:pStyle w:val="a3"/>
        <w:rPr>
          <w:kern w:val="0"/>
        </w:rPr>
      </w:pPr>
      <w:r w:rsidRPr="001A3D2B">
        <w:t xml:space="preserve">Full Text: </w:t>
      </w:r>
      <w:r w:rsidRPr="00877AD6">
        <w:t>201</w:t>
      </w:r>
      <w:r>
        <w:rPr>
          <w:rFonts w:hint="eastAsia"/>
        </w:rPr>
        <w:t>5</w:t>
      </w:r>
      <w:r w:rsidRPr="00877AD6">
        <w:t>\Aus New Zea J Psy4</w:t>
      </w:r>
      <w:r>
        <w:rPr>
          <w:rFonts w:hint="eastAsia"/>
        </w:rPr>
        <w:t>9</w:t>
      </w:r>
      <w:r w:rsidRPr="00877AD6">
        <w:t xml:space="preserve">, </w:t>
      </w:r>
      <w:r>
        <w:rPr>
          <w:rFonts w:hint="eastAsia"/>
        </w:rPr>
        <w:t>412</w:t>
      </w:r>
      <w:r w:rsidRPr="00877AD6">
        <w:t>.pdf</w:t>
      </w:r>
    </w:p>
    <w:p w:rsidR="00D30EBE" w:rsidRPr="00185FC5" w:rsidRDefault="00D30EBE" w:rsidP="00D30EBE">
      <w:pPr>
        <w:pStyle w:val="a3"/>
      </w:pPr>
      <w:r w:rsidRPr="00185FC5">
        <w:t>Abstract: Objective: This review aimed to draw on published literature to identify the prevalence rates of psychiatric disorders in Australia</w:t>
      </w:r>
      <w:r>
        <w:t>’</w:t>
      </w:r>
      <w:r w:rsidRPr="00185FC5">
        <w:t xml:space="preserve">s Indigenous populations, Aboriginal and Torres Strait Islander peoples. Method: A systematic review following the Preferred Reporting Items for Systematic reviews and Meta-Analyses (PRISMA) model was conducted using the following electronic databases: PubMed, Scopus, Web of Science, MEDLINE, PsycINFO, PsycARTICLES, and Informit Indigenous and Health Collections. Studies were included for analysis if they were empirical quantitative studies reporting prevalence rates for any psychiatric disorder in Indigenous people. Results: Of the 1584 papers extracted by the search strategy, 17 articles met the eligibility criteria and were reviewed in detail. Methodology, sampling strategy and study design varied greatly across these 17 studies. Prevalence rates varied by disorder and are as follows: major depressive disorder (4.3-51%); mood disorders (7.7-43.1%); post-traumatic stress disorder (14.2-55.2%); anxiety disorders (17.2-58.6%); substance dependence (5.9%-66.2%); alcohol dependence (21.4-55.4%); and psychotic disorders (1.68-25%). While the number of studies on community-based Indigenous populations was limited, available evidence suggested that prevalence rates are higher in prison populations compared with community-based studies. Conclusions: It was identified that there is limited evidence on the occurrence of psychiatric disorders for Indigenous people in the general community. More research in this area is essential to provide accurate and </w:t>
      </w:r>
      <w:r w:rsidRPr="00185FC5">
        <w:lastRenderedPageBreak/>
        <w:t>reliable estimates and to provide a baseline for evaluating the effectiveness of programs aimed at reducing the high mental health burden experienced by Indigenous Australians. Future research needs to ensure that standardised and validated methods are used to accurately estimate the prevalence of psychiatric disorders among Indigenous Australians.</w:t>
      </w:r>
    </w:p>
    <w:p w:rsidR="00D30EBE" w:rsidRPr="00185FC5" w:rsidRDefault="00D30EBE" w:rsidP="00D30EBE">
      <w:pPr>
        <w:pStyle w:val="a3"/>
      </w:pPr>
      <w:r w:rsidRPr="00185FC5">
        <w:t>Keywords: Aboriginal And Torres Strait Islander</w:t>
      </w:r>
      <w:r>
        <w:t xml:space="preserve">, </w:t>
      </w:r>
      <w:r w:rsidRPr="00185FC5">
        <w:t>Alcohol</w:t>
      </w:r>
      <w:r>
        <w:t xml:space="preserve">, </w:t>
      </w:r>
      <w:r w:rsidRPr="00185FC5">
        <w:t>Analysis</w:t>
      </w:r>
      <w:r>
        <w:t xml:space="preserve">, </w:t>
      </w:r>
      <w:r w:rsidRPr="00185FC5">
        <w:t>Anxiety</w:t>
      </w:r>
      <w:r>
        <w:t xml:space="preserve">, </w:t>
      </w:r>
      <w:r w:rsidRPr="00185FC5">
        <w:t>Anxiety Disorders</w:t>
      </w:r>
      <w:r>
        <w:t xml:space="preserve">, </w:t>
      </w:r>
      <w:r w:rsidRPr="00185FC5">
        <w:t>Australia</w:t>
      </w:r>
      <w:r>
        <w:t xml:space="preserve">, </w:t>
      </w:r>
      <w:r w:rsidRPr="00185FC5">
        <w:t>Burden</w:t>
      </w:r>
      <w:r>
        <w:t xml:space="preserve">, </w:t>
      </w:r>
      <w:r w:rsidRPr="00185FC5">
        <w:t>Cape York</w:t>
      </w:r>
      <w:r>
        <w:t xml:space="preserve">, </w:t>
      </w:r>
      <w:r w:rsidRPr="00185FC5">
        <w:t>Community</w:t>
      </w:r>
      <w:r>
        <w:t xml:space="preserve">, </w:t>
      </w:r>
      <w:r w:rsidRPr="00185FC5">
        <w:t>Community Based</w:t>
      </w:r>
      <w:r>
        <w:t xml:space="preserve">, </w:t>
      </w:r>
      <w:r w:rsidRPr="00185FC5">
        <w:t>Community-Based Studies</w:t>
      </w:r>
      <w:r>
        <w:t xml:space="preserve">, </w:t>
      </w:r>
      <w:r w:rsidRPr="00185FC5">
        <w:t>Criteria</w:t>
      </w:r>
      <w:r>
        <w:t xml:space="preserve">, </w:t>
      </w:r>
      <w:r w:rsidRPr="00185FC5">
        <w:t>Databases</w:t>
      </w:r>
      <w:r>
        <w:t xml:space="preserve">, </w:t>
      </w:r>
      <w:r w:rsidRPr="00185FC5">
        <w:t>Depression</w:t>
      </w:r>
      <w:r>
        <w:t xml:space="preserve">, </w:t>
      </w:r>
      <w:r w:rsidRPr="00185FC5">
        <w:t>Design</w:t>
      </w:r>
      <w:r>
        <w:t xml:space="preserve">, </w:t>
      </w:r>
      <w:r w:rsidRPr="00185FC5">
        <w:t>Disease</w:t>
      </w:r>
      <w:r>
        <w:t xml:space="preserve">, </w:t>
      </w:r>
      <w:r w:rsidRPr="00185FC5">
        <w:t>Effectiveness</w:t>
      </w:r>
      <w:r>
        <w:t xml:space="preserve">, </w:t>
      </w:r>
      <w:r w:rsidRPr="00185FC5">
        <w:t>Estimates</w:t>
      </w:r>
      <w:r>
        <w:t xml:space="preserve">, </w:t>
      </w:r>
      <w:r w:rsidRPr="00185FC5">
        <w:t>Evidence</w:t>
      </w:r>
      <w:r>
        <w:t xml:space="preserve">, </w:t>
      </w:r>
      <w:r w:rsidRPr="00185FC5">
        <w:t>General</w:t>
      </w:r>
      <w:r>
        <w:t xml:space="preserve">, </w:t>
      </w:r>
      <w:r w:rsidRPr="00185FC5">
        <w:t>Health</w:t>
      </w:r>
      <w:r>
        <w:t xml:space="preserve">, </w:t>
      </w:r>
      <w:r w:rsidRPr="00185FC5">
        <w:t>Indigenous</w:t>
      </w:r>
      <w:r>
        <w:t xml:space="preserve">, </w:t>
      </w:r>
      <w:r w:rsidRPr="00185FC5">
        <w:t>Injury</w:t>
      </w:r>
      <w:r>
        <w:t xml:space="preserve">, </w:t>
      </w:r>
      <w:r w:rsidRPr="00185FC5">
        <w:t>Literature</w:t>
      </w:r>
      <w:r>
        <w:t xml:space="preserve">, </w:t>
      </w:r>
      <w:r w:rsidRPr="00185FC5">
        <w:t>Major Depressive Disorder</w:t>
      </w:r>
      <w:r>
        <w:t xml:space="preserve">, </w:t>
      </w:r>
      <w:r w:rsidRPr="00185FC5">
        <w:t>Medline</w:t>
      </w:r>
      <w:r>
        <w:t xml:space="preserve">, </w:t>
      </w:r>
      <w:r w:rsidRPr="00185FC5">
        <w:t>Mental Disorders</w:t>
      </w:r>
      <w:r>
        <w:t xml:space="preserve">, </w:t>
      </w:r>
      <w:r w:rsidRPr="00185FC5">
        <w:t>Mental Health</w:t>
      </w:r>
      <w:r>
        <w:t xml:space="preserve">, </w:t>
      </w:r>
      <w:r w:rsidRPr="00185FC5">
        <w:t>Methodology</w:t>
      </w:r>
      <w:r>
        <w:t xml:space="preserve">, </w:t>
      </w:r>
      <w:r w:rsidRPr="00185FC5">
        <w:t>Methods</w:t>
      </w:r>
      <w:r>
        <w:t xml:space="preserve">, </w:t>
      </w:r>
      <w:r w:rsidRPr="00185FC5">
        <w:t>Model</w:t>
      </w:r>
      <w:r>
        <w:t xml:space="preserve">, </w:t>
      </w:r>
      <w:r w:rsidRPr="00185FC5">
        <w:t>Mood Disorders</w:t>
      </w:r>
      <w:r>
        <w:t xml:space="preserve">, </w:t>
      </w:r>
      <w:r w:rsidRPr="00185FC5">
        <w:t>Needs</w:t>
      </w:r>
      <w:r>
        <w:t xml:space="preserve">, </w:t>
      </w:r>
      <w:r w:rsidRPr="00185FC5">
        <w:t>Papers</w:t>
      </w:r>
      <w:r>
        <w:t xml:space="preserve">, </w:t>
      </w:r>
      <w:r w:rsidRPr="00185FC5">
        <w:t>Populations</w:t>
      </w:r>
      <w:r>
        <w:t xml:space="preserve">, </w:t>
      </w:r>
      <w:r w:rsidRPr="00185FC5">
        <w:t>Post-Traumatic Stress</w:t>
      </w:r>
      <w:r>
        <w:t xml:space="preserve">, </w:t>
      </w:r>
      <w:r w:rsidRPr="00185FC5">
        <w:t>Post-Traumatic Stress Disorder</w:t>
      </w:r>
      <w:r>
        <w:t xml:space="preserve">, </w:t>
      </w:r>
      <w:r w:rsidRPr="00185FC5">
        <w:t>Posttraumatic Stress</w:t>
      </w:r>
      <w:r>
        <w:t xml:space="preserve">, </w:t>
      </w:r>
      <w:r w:rsidRPr="00185FC5">
        <w:t>Posttraumatic Stress Disorder</w:t>
      </w:r>
      <w:r>
        <w:t xml:space="preserve">, </w:t>
      </w:r>
      <w:r w:rsidRPr="00185FC5">
        <w:t>Prevalence</w:t>
      </w:r>
      <w:r>
        <w:t xml:space="preserve">, </w:t>
      </w:r>
      <w:r w:rsidRPr="00185FC5">
        <w:t>Prison</w:t>
      </w:r>
      <w:r>
        <w:t xml:space="preserve">, </w:t>
      </w:r>
      <w:r w:rsidRPr="00185FC5">
        <w:t>Prisoners</w:t>
      </w:r>
      <w:r>
        <w:t xml:space="preserve">, </w:t>
      </w:r>
      <w:r w:rsidRPr="00185FC5">
        <w:t>Psychiatric Disorders</w:t>
      </w:r>
      <w:r>
        <w:t xml:space="preserve">, </w:t>
      </w:r>
      <w:r w:rsidRPr="00185FC5">
        <w:t>Psychotic Disorders</w:t>
      </w:r>
      <w:r>
        <w:t xml:space="preserve">, </w:t>
      </w:r>
      <w:r w:rsidRPr="00185FC5">
        <w:t>Psycinfo</w:t>
      </w:r>
      <w:r>
        <w:t xml:space="preserve">, </w:t>
      </w:r>
      <w:r w:rsidRPr="00185FC5">
        <w:t>Pubmed</w:t>
      </w:r>
      <w:r>
        <w:t xml:space="preserve">, </w:t>
      </w:r>
      <w:r w:rsidRPr="00185FC5">
        <w:t>Rates</w:t>
      </w:r>
      <w:r>
        <w:t xml:space="preserve">, </w:t>
      </w:r>
      <w:r w:rsidRPr="00185FC5">
        <w:t>Reporting</w:t>
      </w:r>
      <w:r>
        <w:t xml:space="preserve">, </w:t>
      </w:r>
      <w:r w:rsidRPr="00185FC5">
        <w:t>Research</w:t>
      </w:r>
      <w:r>
        <w:t xml:space="preserve">, </w:t>
      </w:r>
      <w:r w:rsidRPr="00185FC5">
        <w:t>Review</w:t>
      </w:r>
      <w:r>
        <w:t xml:space="preserve">, </w:t>
      </w:r>
      <w:r w:rsidRPr="00185FC5">
        <w:t>Reviews</w:t>
      </w:r>
      <w:r>
        <w:t xml:space="preserve">, </w:t>
      </w:r>
      <w:r w:rsidRPr="00185FC5">
        <w:t>Risk-Factors</w:t>
      </w:r>
      <w:r>
        <w:t xml:space="preserve">, </w:t>
      </w:r>
      <w:r w:rsidRPr="00185FC5">
        <w:t>Sampling</w:t>
      </w:r>
      <w:r>
        <w:t xml:space="preserve">, </w:t>
      </w:r>
      <w:r w:rsidRPr="00185FC5">
        <w:t>Science</w:t>
      </w:r>
      <w:r>
        <w:t xml:space="preserve">, </w:t>
      </w:r>
      <w:r w:rsidRPr="00185FC5">
        <w:t>Scopus</w:t>
      </w:r>
      <w:r>
        <w:t xml:space="preserve">, </w:t>
      </w:r>
      <w:r w:rsidRPr="00185FC5">
        <w:t>Search Strategy</w:t>
      </w:r>
      <w:r>
        <w:t xml:space="preserve">, </w:t>
      </w:r>
      <w:r w:rsidRPr="00185FC5">
        <w:t>Strait Islander People</w:t>
      </w:r>
      <w:r>
        <w:t xml:space="preserve">, </w:t>
      </w:r>
      <w:r w:rsidRPr="00185FC5">
        <w:t>Strategy</w:t>
      </w:r>
      <w:r>
        <w:t xml:space="preserve">, </w:t>
      </w:r>
      <w:r w:rsidRPr="00185FC5">
        <w:t>Stress</w:t>
      </w:r>
      <w:r>
        <w:t xml:space="preserve">, </w:t>
      </w:r>
      <w:r w:rsidRPr="00185FC5">
        <w:t>Study Design</w:t>
      </w:r>
      <w:r>
        <w:t xml:space="preserve">, </w:t>
      </w:r>
      <w:r w:rsidRPr="00185FC5">
        <w:t>Substance Dependence</w:t>
      </w:r>
      <w:r>
        <w:t xml:space="preserve">, </w:t>
      </w:r>
      <w:r w:rsidRPr="00185FC5">
        <w:t>Systematic Review</w:t>
      </w:r>
      <w:r>
        <w:t xml:space="preserve">, </w:t>
      </w:r>
      <w:r w:rsidRPr="00185FC5">
        <w:t>Torres Strait</w:t>
      </w:r>
      <w:r>
        <w:t xml:space="preserve">, </w:t>
      </w:r>
      <w:r w:rsidRPr="00185FC5">
        <w:t>Web Of Science</w:t>
      </w:r>
    </w:p>
    <w:p w:rsidR="003474F2" w:rsidRPr="001A3D2B" w:rsidRDefault="003474F2" w:rsidP="003474F2">
      <w:pPr>
        <w:pStyle w:val="1"/>
      </w:pPr>
      <w:r w:rsidRPr="001A3D2B">
        <w:br w:type="page"/>
      </w:r>
      <w:bookmarkStart w:id="717" w:name="_Toc420814680"/>
      <w:r w:rsidRPr="001A3D2B">
        <w:lastRenderedPageBreak/>
        <w:t>Title: Australian</w:t>
      </w:r>
      <w:r w:rsidR="005853A9">
        <w:t xml:space="preserve"> and </w:t>
      </w:r>
      <w:r w:rsidRPr="001A3D2B">
        <w:t>New Zealand Journal</w:t>
      </w:r>
      <w:r w:rsidR="00427468">
        <w:t xml:space="preserve"> of </w:t>
      </w:r>
      <w:r w:rsidRPr="001A3D2B">
        <w:t>P</w:t>
      </w:r>
      <w:bookmarkStart w:id="718" w:name="_Toc189279547"/>
      <w:r w:rsidRPr="001A3D2B">
        <w:t>ublic Health</w:t>
      </w:r>
      <w:bookmarkEnd w:id="717"/>
    </w:p>
    <w:p w:rsidR="003474F2" w:rsidRPr="001A3D2B" w:rsidRDefault="003474F2" w:rsidP="003474F2">
      <w:pPr>
        <w:pStyle w:val="12"/>
      </w:pPr>
      <w:r w:rsidRPr="001A3D2B">
        <w:t>Full Journal Title: Australian</w:t>
      </w:r>
      <w:r w:rsidR="005853A9">
        <w:t xml:space="preserve"> and </w:t>
      </w:r>
      <w:r w:rsidRPr="001A3D2B">
        <w:t>New Zealan</w:t>
      </w:r>
      <w:bookmarkEnd w:id="718"/>
      <w:r w:rsidRPr="001A3D2B">
        <w:t>d Journal</w:t>
      </w:r>
      <w:r w:rsidR="00427468">
        <w:t xml:space="preserve"> of </w:t>
      </w:r>
      <w:r w:rsidRPr="001A3D2B">
        <w:t>Public Health</w:t>
      </w:r>
    </w:p>
    <w:p w:rsidR="003474F2" w:rsidRPr="001A3D2B" w:rsidRDefault="003474F2" w:rsidP="003474F2">
      <w:pPr>
        <w:pStyle w:val="12"/>
      </w:pPr>
      <w:r w:rsidRPr="001A3D2B">
        <w:t>ISO Abbreviated Title: Aust. N. Z. J. Public Health</w:t>
      </w:r>
    </w:p>
    <w:p w:rsidR="003474F2" w:rsidRPr="001A3D2B" w:rsidRDefault="003474F2" w:rsidP="003474F2">
      <w:pPr>
        <w:pStyle w:val="12"/>
      </w:pPr>
      <w:r w:rsidRPr="001A3D2B">
        <w:t>JCR Abbreviated Title: Aust N Z J Public Health</w:t>
      </w:r>
    </w:p>
    <w:p w:rsidR="003474F2" w:rsidRPr="001A3D2B" w:rsidRDefault="003474F2" w:rsidP="003474F2">
      <w:pPr>
        <w:pStyle w:val="12"/>
      </w:pPr>
      <w:r w:rsidRPr="001A3D2B">
        <w:t>ISSN: 1326-0200</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Publisher: Public Health Assoc Australia Inc, Canberra</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B47FEB" w:rsidRPr="00F219CA" w:rsidRDefault="00B47FEB" w:rsidP="00B47FEB">
      <w:pPr>
        <w:pStyle w:val="a3"/>
      </w:pPr>
      <w:r w:rsidRPr="00F219CA">
        <w:t>Sladden, T., Beard, J., Simpson, J.</w:t>
      </w:r>
      <w:r w:rsidR="005853A9">
        <w:t xml:space="preserve"> and </w:t>
      </w:r>
      <w:r w:rsidRPr="00F219CA">
        <w:t>Luckie, K. (1999), Population health environmental indicators: Ecologic monitoring</w:t>
      </w:r>
      <w:r w:rsidR="00427468">
        <w:t xml:space="preserve"> of </w:t>
      </w:r>
      <w:r w:rsidRPr="00F219CA">
        <w:t>environment-related health</w:t>
      </w:r>
      <w:r w:rsidR="005853A9">
        <w:t xml:space="preserve"> and </w:t>
      </w:r>
      <w:r w:rsidRPr="00F219CA">
        <w:t xml:space="preserve">disease trends. </w:t>
      </w:r>
      <w:r w:rsidRPr="00F219CA">
        <w:rPr>
          <w:i/>
        </w:rPr>
        <w:t>Australian</w:t>
      </w:r>
      <w:r w:rsidR="005853A9">
        <w:rPr>
          <w:i/>
        </w:rPr>
        <w:t xml:space="preserve"> and </w:t>
      </w:r>
      <w:r w:rsidRPr="00F219CA">
        <w:rPr>
          <w:i/>
        </w:rPr>
        <w:t>New Zealand Journal</w:t>
      </w:r>
      <w:r w:rsidR="00427468">
        <w:rPr>
          <w:i/>
        </w:rPr>
        <w:t xml:space="preserve"> of </w:t>
      </w:r>
      <w:r w:rsidRPr="00F219CA">
        <w:rPr>
          <w:i/>
        </w:rPr>
        <w:t>Public Health</w:t>
      </w:r>
      <w:r w:rsidRPr="00F219CA">
        <w:t xml:space="preserve">, </w:t>
      </w:r>
      <w:r w:rsidRPr="00F219CA">
        <w:rPr>
          <w:b/>
        </w:rPr>
        <w:t>23</w:t>
      </w:r>
      <w:r w:rsidRPr="00F219CA">
        <w:t xml:space="preserve"> (5), 486-493.</w:t>
      </w:r>
    </w:p>
    <w:p w:rsidR="00B47FEB" w:rsidRPr="00F219CA" w:rsidRDefault="00B47FEB" w:rsidP="00B47FEB">
      <w:pPr>
        <w:pStyle w:val="a3"/>
      </w:pPr>
      <w:r w:rsidRPr="00F219CA">
        <w:t xml:space="preserve">Full Text: </w:t>
      </w:r>
      <w:hyperlink r:id="rId1405" w:history="1">
        <w:r w:rsidRPr="00793A4B">
          <w:rPr>
            <w:rStyle w:val="a5"/>
          </w:rPr>
          <w:t>1999\Aus New Zea J Pub Hea23, 486.pdf</w:t>
        </w:r>
      </w:hyperlink>
    </w:p>
    <w:p w:rsidR="00B47FEB" w:rsidRPr="00F219CA" w:rsidRDefault="00B47FEB" w:rsidP="00B47FEB">
      <w:pPr>
        <w:pStyle w:val="a3"/>
      </w:pPr>
      <w:r w:rsidRPr="00F219CA">
        <w:t xml:space="preserve">Abstract: BACKGROUND: </w:t>
      </w:r>
      <w:smartTag w:uri="urn:schemas-microsoft-com:office:smarttags" w:element="PlaceName">
        <w:r w:rsidRPr="00F219CA">
          <w:t>Current</w:t>
        </w:r>
      </w:smartTag>
      <w:r w:rsidRPr="00F219CA">
        <w:t xml:space="preserve"> State</w:t>
      </w:r>
      <w:r w:rsidR="00427468">
        <w:t xml:space="preserve"> of </w:t>
      </w:r>
      <w:r w:rsidR="003A1917">
        <w:t xml:space="preserve">the </w:t>
      </w:r>
      <w:r w:rsidRPr="00F219CA">
        <w:t>Environment (SoE) reporting focuses primarily on indicators directly related to</w:t>
      </w:r>
      <w:r w:rsidR="003A1917">
        <w:t xml:space="preserve"> the </w:t>
      </w:r>
      <w:r w:rsidRPr="00F219CA">
        <w:t>physical environment such as climate,</w:t>
      </w:r>
      <w:r w:rsidR="005853A9">
        <w:t xml:space="preserve"> and </w:t>
      </w:r>
      <w:r w:rsidRPr="00F219CA">
        <w:t>air, water</w:t>
      </w:r>
      <w:r w:rsidR="005853A9">
        <w:t xml:space="preserve"> and </w:t>
      </w:r>
      <w:r w:rsidRPr="00F219CA">
        <w:t>soil quality. As</w:t>
      </w:r>
      <w:r w:rsidR="003A1917">
        <w:t xml:space="preserve"> the </w:t>
      </w:r>
      <w:r w:rsidRPr="00F219CA">
        <w:t>environment has both direct</w:t>
      </w:r>
      <w:r w:rsidR="005853A9">
        <w:t xml:space="preserve"> and </w:t>
      </w:r>
      <w:r w:rsidRPr="00F219CA">
        <w:t>indirect effects on human health, an opportunity exists to include environment-related human disease indicators as an SoE indicator theme.</w:t>
      </w:r>
    </w:p>
    <w:p w:rsidR="00B47FEB" w:rsidRPr="00F219CA" w:rsidRDefault="00B47FEB" w:rsidP="00B47FEB">
      <w:pPr>
        <w:pStyle w:val="a3"/>
      </w:pPr>
      <w:r w:rsidRPr="00F219CA">
        <w:t>OBJECTIVE: To develop a set</w:t>
      </w:r>
      <w:r w:rsidR="00427468">
        <w:t xml:space="preserve"> of </w:t>
      </w:r>
      <w:r w:rsidRPr="00F219CA">
        <w:t>population health environmental indicators (PHEIs, phi s) that can illustrate environment-related disease (ERD) trends at</w:t>
      </w:r>
      <w:r w:rsidR="003A1917">
        <w:t xml:space="preserve"> the </w:t>
      </w:r>
      <w:r w:rsidRPr="00F219CA">
        <w:t>population level.</w:t>
      </w:r>
    </w:p>
    <w:p w:rsidR="00B47FEB" w:rsidRPr="00F219CA" w:rsidRDefault="00B47FEB" w:rsidP="00B47FEB">
      <w:pPr>
        <w:pStyle w:val="a3"/>
      </w:pPr>
      <w:r w:rsidRPr="00F219CA">
        <w:t>METHODS: A literature review was conducted on environmental health monitoring</w:t>
      </w:r>
      <w:r w:rsidR="005853A9">
        <w:t xml:space="preserve"> and </w:t>
      </w:r>
      <w:r w:rsidR="003A1917">
        <w:t xml:space="preserve">the </w:t>
      </w:r>
      <w:r w:rsidRPr="00F219CA">
        <w:t>current knowledge</w:t>
      </w:r>
      <w:r w:rsidR="00427468">
        <w:t xml:space="preserve"> of </w:t>
      </w:r>
      <w:r w:rsidRPr="00F219CA">
        <w:t>environmental effects on human health. Key PHEIs were identified</w:t>
      </w:r>
      <w:r w:rsidR="005853A9">
        <w:t xml:space="preserve"> and </w:t>
      </w:r>
      <w:r w:rsidRPr="00F219CA">
        <w:t>routine health data collections accessed</w:t>
      </w:r>
      <w:r w:rsidR="005853A9">
        <w:t xml:space="preserve"> and </w:t>
      </w:r>
      <w:r w:rsidRPr="00F219CA">
        <w:t>analysed to illustrate temporal</w:t>
      </w:r>
      <w:r w:rsidR="005853A9">
        <w:t xml:space="preserve"> and </w:t>
      </w:r>
      <w:r w:rsidRPr="00F219CA">
        <w:t>geographic trends.</w:t>
      </w:r>
    </w:p>
    <w:p w:rsidR="00B47FEB" w:rsidRPr="00F219CA" w:rsidRDefault="00B47FEB" w:rsidP="00B47FEB">
      <w:pPr>
        <w:pStyle w:val="a3"/>
      </w:pPr>
      <w:r w:rsidRPr="00F219CA">
        <w:t>RESULTS: Diseases with an environmental aetiology are tabulated</w:t>
      </w:r>
      <w:r w:rsidR="005853A9">
        <w:t xml:space="preserve"> and </w:t>
      </w:r>
      <w:r w:rsidRPr="00F219CA">
        <w:t>examples are given</w:t>
      </w:r>
      <w:r w:rsidR="00427468">
        <w:t xml:space="preserve"> of </w:t>
      </w:r>
      <w:r w:rsidR="003A1917">
        <w:t xml:space="preserve">the </w:t>
      </w:r>
      <w:r w:rsidRPr="00F219CA">
        <w:t>type</w:t>
      </w:r>
      <w:r w:rsidR="005853A9">
        <w:t xml:space="preserve"> and </w:t>
      </w:r>
      <w:r w:rsidRPr="00F219CA">
        <w:t>range</w:t>
      </w:r>
      <w:r w:rsidR="00427468">
        <w:t xml:space="preserve"> of </w:t>
      </w:r>
      <w:r w:rsidRPr="00F219CA">
        <w:t>PHEIs that can be developed for an Australian geographic area.</w:t>
      </w:r>
    </w:p>
    <w:p w:rsidR="00B47FEB" w:rsidRPr="00F219CA" w:rsidRDefault="00B47FEB" w:rsidP="00B47FEB">
      <w:pPr>
        <w:pStyle w:val="a3"/>
      </w:pPr>
      <w:r w:rsidRPr="00F219CA">
        <w:t>CONCLUSIONS: Illustrating environmental degradation in terms</w:t>
      </w:r>
      <w:r w:rsidR="00427468">
        <w:t xml:space="preserve"> of </w:t>
      </w:r>
      <w:r w:rsidRPr="00F219CA">
        <w:t>resultant human diseases is a potent tool for promoting environmental protection measures. This paper examines a range</w:t>
      </w:r>
      <w:r w:rsidR="00427468">
        <w:t xml:space="preserve"> of </w:t>
      </w:r>
      <w:r w:rsidRPr="00F219CA">
        <w:t>PHEIs that may be used as indicators</w:t>
      </w:r>
      <w:r w:rsidR="00427468">
        <w:t xml:space="preserve"> of </w:t>
      </w:r>
      <w:r w:rsidRPr="00F219CA">
        <w:t>both environmental disease</w:t>
      </w:r>
      <w:r w:rsidR="005853A9">
        <w:t xml:space="preserve"> and </w:t>
      </w:r>
      <w:r w:rsidRPr="00F219CA">
        <w:t>environmental quality. IMPLICATIONS: PHEIs could be developed as a useful SoE indicator theme,</w:t>
      </w:r>
      <w:r w:rsidR="005853A9">
        <w:t xml:space="preserve"> and </w:t>
      </w:r>
      <w:r w:rsidRPr="00F219CA">
        <w:t>as a tool to help foster</w:t>
      </w:r>
      <w:r w:rsidR="003A1917">
        <w:t xml:space="preserve"> the </w:t>
      </w:r>
      <w:r w:rsidRPr="00F219CA">
        <w:lastRenderedPageBreak/>
        <w:t>convergence which is occurring between environmental health</w:t>
      </w:r>
      <w:r w:rsidR="005853A9">
        <w:t xml:space="preserve"> and </w:t>
      </w:r>
      <w:r w:rsidRPr="00F219CA">
        <w:t>public health fields.</w:t>
      </w:r>
    </w:p>
    <w:p w:rsidR="003474F2" w:rsidRPr="001A3D2B" w:rsidRDefault="003474F2" w:rsidP="003474F2">
      <w:pPr>
        <w:pStyle w:val="a3"/>
      </w:pPr>
      <w:r w:rsidRPr="001A3D2B">
        <w:t xml:space="preserve">? Smith, D.R. (2007), Journal impact factors: </w:t>
      </w:r>
      <w:r w:rsidR="00B47FEB" w:rsidRPr="001A3D2B">
        <w:t xml:space="preserve">What </w:t>
      </w:r>
      <w:r w:rsidRPr="001A3D2B">
        <w:t xml:space="preserve">do they mean for public health? </w:t>
      </w:r>
      <w:r w:rsidRPr="001A3D2B">
        <w:rPr>
          <w:i/>
          <w:iCs/>
        </w:rPr>
        <w:t>Australian</w:t>
      </w:r>
      <w:r w:rsidR="005853A9">
        <w:rPr>
          <w:i/>
          <w:iCs/>
        </w:rPr>
        <w:t xml:space="preserve"> and </w:t>
      </w:r>
      <w:r w:rsidRPr="001A3D2B">
        <w:rPr>
          <w:i/>
          <w:iCs/>
        </w:rPr>
        <w:t>New Zealand Journal</w:t>
      </w:r>
      <w:r w:rsidR="00427468">
        <w:rPr>
          <w:i/>
          <w:iCs/>
        </w:rPr>
        <w:t xml:space="preserve"> of </w:t>
      </w:r>
      <w:r w:rsidRPr="001A3D2B">
        <w:rPr>
          <w:i/>
          <w:iCs/>
        </w:rPr>
        <w:t>Public Health</w:t>
      </w:r>
      <w:r w:rsidRPr="001A3D2B">
        <w:t xml:space="preserve">, </w:t>
      </w:r>
      <w:r w:rsidRPr="001A3D2B">
        <w:rPr>
          <w:b/>
          <w:bCs/>
        </w:rPr>
        <w:t>31</w:t>
      </w:r>
      <w:r w:rsidRPr="001A3D2B">
        <w:t xml:space="preserve"> (6), 581-</w:t>
      </w:r>
      <w:r w:rsidR="00B47FEB" w:rsidRPr="00F219CA">
        <w:rPr>
          <w:kern w:val="0"/>
        </w:rPr>
        <w:t>582</w:t>
      </w:r>
      <w:r w:rsidR="00B47FEB">
        <w:rPr>
          <w:rFonts w:hint="eastAsia"/>
          <w:kern w:val="0"/>
        </w:rPr>
        <w:t>.</w:t>
      </w:r>
    </w:p>
    <w:p w:rsidR="00B47FEB" w:rsidRPr="00F219CA" w:rsidRDefault="00B47FEB" w:rsidP="00B47FEB">
      <w:pPr>
        <w:pStyle w:val="a3"/>
      </w:pPr>
      <w:r w:rsidRPr="00F219CA">
        <w:t xml:space="preserve">Full Text: </w:t>
      </w:r>
      <w:hyperlink r:id="rId1406" w:history="1">
        <w:r w:rsidRPr="00F219CA">
          <w:rPr>
            <w:rStyle w:val="a5"/>
          </w:rPr>
          <w:t>2007\Aus New Zea J Pub Hea31, 581.pdf</w:t>
        </w:r>
      </w:hyperlink>
    </w:p>
    <w:p w:rsidR="003474F2" w:rsidRPr="001A3D2B" w:rsidRDefault="003474F2" w:rsidP="003474F2">
      <w:pPr>
        <w:pStyle w:val="a3"/>
      </w:pPr>
      <w:r w:rsidRPr="001A3D2B">
        <w:t>Keywords: Bibliometric Analysis, Fields, Preventive Medicine</w:t>
      </w:r>
    </w:p>
    <w:p w:rsidR="00832A77" w:rsidRDefault="00832A77" w:rsidP="00832A77">
      <w:pPr>
        <w:pStyle w:val="a3"/>
        <w:rPr>
          <w:kern w:val="0"/>
        </w:rPr>
      </w:pPr>
      <w:r>
        <w:rPr>
          <w:rFonts w:hint="eastAsia"/>
          <w:kern w:val="0"/>
        </w:rPr>
        <w:t xml:space="preserve">? </w:t>
      </w:r>
      <w:r>
        <w:rPr>
          <w:kern w:val="0"/>
        </w:rPr>
        <w:t>Yuen, A., Sugeng, Y., Weiland, T.J.</w:t>
      </w:r>
      <w:r w:rsidR="005853A9">
        <w:rPr>
          <w:kern w:val="0"/>
        </w:rPr>
        <w:t xml:space="preserve"> and </w:t>
      </w:r>
      <w:r>
        <w:rPr>
          <w:kern w:val="0"/>
        </w:rPr>
        <w:t>Jelinek, G.A. (2010), Lifestyle</w:t>
      </w:r>
      <w:r w:rsidR="005853A9">
        <w:rPr>
          <w:kern w:val="0"/>
        </w:rPr>
        <w:t xml:space="preserve"> and </w:t>
      </w:r>
      <w:r>
        <w:rPr>
          <w:kern w:val="0"/>
        </w:rPr>
        <w:t>medication interventions for</w:t>
      </w:r>
      <w:r w:rsidR="003A1917">
        <w:rPr>
          <w:kern w:val="0"/>
        </w:rPr>
        <w:t xml:space="preserve"> the </w:t>
      </w:r>
      <w:r>
        <w:rPr>
          <w:kern w:val="0"/>
        </w:rPr>
        <w:t>prevention or delay</w:t>
      </w:r>
      <w:r w:rsidR="00427468">
        <w:rPr>
          <w:kern w:val="0"/>
        </w:rPr>
        <w:t xml:space="preserve"> of </w:t>
      </w:r>
      <w:r>
        <w:rPr>
          <w:kern w:val="0"/>
        </w:rPr>
        <w:t>type 2 diabetes mellitus in prediabetes: A systematic review</w:t>
      </w:r>
      <w:r w:rsidR="00427468">
        <w:rPr>
          <w:kern w:val="0"/>
        </w:rPr>
        <w:t xml:space="preserve"> of </w:t>
      </w:r>
      <w:r>
        <w:rPr>
          <w:kern w:val="0"/>
        </w:rPr>
        <w:t xml:space="preserve">randomised controlled trials.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Public Health</w:t>
      </w:r>
      <w:r>
        <w:rPr>
          <w:kern w:val="0"/>
        </w:rPr>
        <w:t xml:space="preserve">, </w:t>
      </w:r>
      <w:r>
        <w:rPr>
          <w:b/>
          <w:bCs/>
          <w:kern w:val="0"/>
        </w:rPr>
        <w:t>34</w:t>
      </w:r>
      <w:r>
        <w:rPr>
          <w:kern w:val="0"/>
        </w:rPr>
        <w:t xml:space="preserve"> (2), 172-178.</w:t>
      </w:r>
    </w:p>
    <w:p w:rsidR="00832A77" w:rsidRPr="00F219CA" w:rsidRDefault="00832A77" w:rsidP="00832A77">
      <w:pPr>
        <w:pStyle w:val="a3"/>
      </w:pPr>
      <w:r w:rsidRPr="00F219CA">
        <w:t xml:space="preserve">Full Text: </w:t>
      </w:r>
      <w:hyperlink r:id="rId1407" w:history="1">
        <w:r w:rsidRPr="00A82243">
          <w:rPr>
            <w:rStyle w:val="a5"/>
          </w:rPr>
          <w:t>2010\Aus New Zea J Pub Hea34, 172.pdf</w:t>
        </w:r>
      </w:hyperlink>
    </w:p>
    <w:p w:rsidR="00832A77" w:rsidRDefault="00832A77" w:rsidP="00832A77">
      <w:pPr>
        <w:pStyle w:val="a3"/>
        <w:rPr>
          <w:kern w:val="0"/>
        </w:rPr>
      </w:pPr>
      <w:r>
        <w:rPr>
          <w:kern w:val="0"/>
        </w:rPr>
        <w:t>Abstract: Objective: To assess lifestyle</w:t>
      </w:r>
      <w:r w:rsidR="005853A9">
        <w:rPr>
          <w:kern w:val="0"/>
        </w:rPr>
        <w:t xml:space="preserve"> and </w:t>
      </w:r>
      <w:r>
        <w:rPr>
          <w:kern w:val="0"/>
        </w:rPr>
        <w:t>pharmacological interventions aiming to delay type 2 diabetes mellitus (T2DM) in prediabetes Methods: We searched</w:t>
      </w:r>
      <w:r w:rsidR="003A1917">
        <w:rPr>
          <w:kern w:val="0"/>
        </w:rPr>
        <w:t xml:space="preserve"> the </w:t>
      </w:r>
      <w:r>
        <w:rPr>
          <w:kern w:val="0"/>
        </w:rPr>
        <w:t>Cochrane Register</w:t>
      </w:r>
      <w:r w:rsidR="00427468">
        <w:rPr>
          <w:kern w:val="0"/>
        </w:rPr>
        <w:t xml:space="preserve"> of </w:t>
      </w:r>
      <w:r>
        <w:rPr>
          <w:kern w:val="0"/>
        </w:rPr>
        <w:t xml:space="preserve">Controlled Trials, </w:t>
      </w:r>
      <w:r w:rsidR="00D5664A">
        <w:rPr>
          <w:kern w:val="0"/>
        </w:rPr>
        <w:t>MEDLINE</w:t>
      </w:r>
      <w:r>
        <w:rPr>
          <w:kern w:val="0"/>
        </w:rPr>
        <w:t xml:space="preserve">, EMBASE, CINAHL, PsycINFO, </w:t>
      </w:r>
      <w:r w:rsidR="00D5664A">
        <w:rPr>
          <w:kern w:val="0"/>
        </w:rPr>
        <w:t>Web</w:t>
      </w:r>
      <w:r w:rsidR="00427468">
        <w:rPr>
          <w:kern w:val="0"/>
        </w:rPr>
        <w:t xml:space="preserve"> of </w:t>
      </w:r>
      <w:r w:rsidR="00D5664A">
        <w:rPr>
          <w:kern w:val="0"/>
        </w:rPr>
        <w:t>Science</w:t>
      </w:r>
      <w:r>
        <w:rPr>
          <w:kern w:val="0"/>
        </w:rPr>
        <w:t>, BIOSIS</w:t>
      </w:r>
      <w:r w:rsidR="005853A9">
        <w:rPr>
          <w:kern w:val="0"/>
        </w:rPr>
        <w:t xml:space="preserve"> and </w:t>
      </w:r>
      <w:r>
        <w:rPr>
          <w:kern w:val="0"/>
        </w:rPr>
        <w:t>LILACS databases, examined reference lists</w:t>
      </w:r>
      <w:r w:rsidR="005853A9">
        <w:rPr>
          <w:kern w:val="0"/>
        </w:rPr>
        <w:t xml:space="preserve"> and </w:t>
      </w:r>
      <w:r>
        <w:rPr>
          <w:kern w:val="0"/>
        </w:rPr>
        <w:t>contacted authors We included randomised controlled trials (RCTs) on both lifestyle</w:t>
      </w:r>
      <w:r w:rsidR="005853A9">
        <w:rPr>
          <w:kern w:val="0"/>
        </w:rPr>
        <w:t xml:space="preserve"> and </w:t>
      </w:r>
      <w:r>
        <w:rPr>
          <w:kern w:val="0"/>
        </w:rPr>
        <w:t>medication interventions in prediabetes These studies were at least 12 month duration</w:t>
      </w:r>
      <w:r w:rsidR="005853A9">
        <w:rPr>
          <w:kern w:val="0"/>
        </w:rPr>
        <w:t xml:space="preserve"> and </w:t>
      </w:r>
      <w:r>
        <w:rPr>
          <w:kern w:val="0"/>
        </w:rPr>
        <w:t>aimed to delay T2DM Results: Four studies investigating lifestyle</w:t>
      </w:r>
      <w:r w:rsidR="005853A9">
        <w:rPr>
          <w:kern w:val="0"/>
        </w:rPr>
        <w:t xml:space="preserve"> and </w:t>
      </w:r>
      <w:r>
        <w:rPr>
          <w:kern w:val="0"/>
        </w:rPr>
        <w:t>medication with a total</w:t>
      </w:r>
      <w:r w:rsidR="00427468">
        <w:rPr>
          <w:kern w:val="0"/>
        </w:rPr>
        <w:t xml:space="preserve"> of </w:t>
      </w:r>
      <w:r>
        <w:rPr>
          <w:kern w:val="0"/>
        </w:rPr>
        <w:t>5.196 participants were identified There was a high risk</w:t>
      </w:r>
      <w:r w:rsidR="00427468">
        <w:rPr>
          <w:kern w:val="0"/>
        </w:rPr>
        <w:t xml:space="preserve"> of </w:t>
      </w:r>
      <w:r>
        <w:rPr>
          <w:kern w:val="0"/>
        </w:rPr>
        <w:t>bias in</w:t>
      </w:r>
      <w:r w:rsidR="003A1917">
        <w:rPr>
          <w:kern w:val="0"/>
        </w:rPr>
        <w:t xml:space="preserve"> the </w:t>
      </w:r>
      <w:r>
        <w:rPr>
          <w:kern w:val="0"/>
        </w:rPr>
        <w:t>studies</w:t>
      </w:r>
      <w:r w:rsidR="005853A9">
        <w:rPr>
          <w:kern w:val="0"/>
        </w:rPr>
        <w:t xml:space="preserve"> and </w:t>
      </w:r>
      <w:r w:rsidR="003A1917">
        <w:rPr>
          <w:kern w:val="0"/>
        </w:rPr>
        <w:t xml:space="preserve">the </w:t>
      </w:r>
      <w:r>
        <w:rPr>
          <w:kern w:val="0"/>
        </w:rPr>
        <w:t>interventions utilised varied considerably, thus, meta-analysis was not undertaken</w:t>
      </w:r>
      <w:r w:rsidR="003A1917">
        <w:rPr>
          <w:kern w:val="0"/>
        </w:rPr>
        <w:t xml:space="preserve"> the </w:t>
      </w:r>
      <w:r>
        <w:rPr>
          <w:kern w:val="0"/>
        </w:rPr>
        <w:t>comparison between lifestyle</w:t>
      </w:r>
      <w:r w:rsidR="005853A9">
        <w:rPr>
          <w:kern w:val="0"/>
        </w:rPr>
        <w:t xml:space="preserve"> and </w:t>
      </w:r>
      <w:r>
        <w:rPr>
          <w:kern w:val="0"/>
        </w:rPr>
        <w:t>medication interventions was largely dependent on</w:t>
      </w:r>
      <w:r w:rsidR="003A1917">
        <w:rPr>
          <w:kern w:val="0"/>
        </w:rPr>
        <w:t xml:space="preserve"> the </w:t>
      </w:r>
      <w:r>
        <w:rPr>
          <w:kern w:val="0"/>
        </w:rPr>
        <w:t>intensity</w:t>
      </w:r>
      <w:r w:rsidR="00427468">
        <w:rPr>
          <w:kern w:val="0"/>
        </w:rPr>
        <w:t xml:space="preserve"> of </w:t>
      </w:r>
      <w:r w:rsidR="003A1917">
        <w:rPr>
          <w:kern w:val="0"/>
        </w:rPr>
        <w:t xml:space="preserve">the </w:t>
      </w:r>
      <w:r>
        <w:rPr>
          <w:kern w:val="0"/>
        </w:rPr>
        <w:t>lifestyle program while we could not adequately assess their effects on cardiovascular morbidity Adverse events with metformin</w:t>
      </w:r>
      <w:r w:rsidR="005853A9">
        <w:rPr>
          <w:kern w:val="0"/>
        </w:rPr>
        <w:t xml:space="preserve"> and </w:t>
      </w:r>
      <w:r>
        <w:rPr>
          <w:kern w:val="0"/>
        </w:rPr>
        <w:t>acarbose were common Conclusion: There is substantial evidence that intensive lifestyle programs</w:t>
      </w:r>
      <w:r w:rsidR="005853A9">
        <w:rPr>
          <w:kern w:val="0"/>
        </w:rPr>
        <w:t xml:space="preserve"> and </w:t>
      </w:r>
      <w:r>
        <w:rPr>
          <w:kern w:val="0"/>
        </w:rPr>
        <w:t>medications delay T2DM in impaired glucose tolerance though it remains unclear which is more effective Implications: Both interventions seem to be able to delay T2DM However, both have issues with adherence</w:t>
      </w:r>
      <w:r w:rsidR="005853A9">
        <w:rPr>
          <w:kern w:val="0"/>
        </w:rPr>
        <w:t xml:space="preserve"> and </w:t>
      </w:r>
      <w:r>
        <w:rPr>
          <w:kern w:val="0"/>
        </w:rPr>
        <w:t>side effects</w:t>
      </w:r>
      <w:r w:rsidR="005853A9">
        <w:rPr>
          <w:kern w:val="0"/>
        </w:rPr>
        <w:t xml:space="preserve"> and </w:t>
      </w:r>
      <w:r>
        <w:rPr>
          <w:kern w:val="0"/>
        </w:rPr>
        <w:t>more RCTs are required.</w:t>
      </w:r>
    </w:p>
    <w:p w:rsidR="00832A77" w:rsidRDefault="00832A77" w:rsidP="00832A77">
      <w:pPr>
        <w:pStyle w:val="a3"/>
        <w:rPr>
          <w:kern w:val="0"/>
        </w:rPr>
      </w:pPr>
      <w:r>
        <w:rPr>
          <w:kern w:val="0"/>
        </w:rPr>
        <w:t xml:space="preserve">Keywords: Adherence, Authors, Bias, Cardiovascular, Cochrane, Databases, Diabetes, Diabetes Mellitus, EMBASE, Fasting Glucose, Impaired Glucose-Tolerance, Individuals, Insulin-Secretion, Interventions, Lifestyle Intervention, Medication, </w:t>
      </w:r>
      <w:r w:rsidR="00D5664A">
        <w:rPr>
          <w:kern w:val="0"/>
        </w:rPr>
        <w:t>MEDLINE</w:t>
      </w:r>
      <w:r>
        <w:rPr>
          <w:kern w:val="0"/>
        </w:rPr>
        <w:t>, Meta-Analysis, Metformin, Methods, Morbidity, Pharmacological Intervention, Physical-Activity, Prediabetic State, Prevention, Prevention</w:t>
      </w:r>
      <w:r w:rsidR="005853A9">
        <w:rPr>
          <w:kern w:val="0"/>
        </w:rPr>
        <w:t xml:space="preserve"> and </w:t>
      </w:r>
      <w:r>
        <w:rPr>
          <w:kern w:val="0"/>
        </w:rPr>
        <w:t>Control, Program, Reduction, Review, Risk, Science, Systematic, Systematic Review, Type 2, Type 2 D</w:t>
      </w:r>
      <w:r w:rsidR="00856B49">
        <w:rPr>
          <w:rFonts w:hint="eastAsia"/>
          <w:kern w:val="0"/>
        </w:rPr>
        <w:t xml:space="preserve"> </w:t>
      </w:r>
      <w:r>
        <w:rPr>
          <w:kern w:val="0"/>
        </w:rPr>
        <w:t xml:space="preserve">iabetes, Type 2 Diabetes Mellitus, </w:t>
      </w:r>
      <w:r w:rsidR="00D5664A">
        <w:rPr>
          <w:kern w:val="0"/>
        </w:rPr>
        <w:t>Web</w:t>
      </w:r>
      <w:r w:rsidR="00427468">
        <w:rPr>
          <w:kern w:val="0"/>
        </w:rPr>
        <w:t xml:space="preserve"> of </w:t>
      </w:r>
      <w:r w:rsidR="00D5664A">
        <w:rPr>
          <w:kern w:val="0"/>
        </w:rPr>
        <w:t>Science</w:t>
      </w:r>
      <w:r>
        <w:rPr>
          <w:kern w:val="0"/>
        </w:rPr>
        <w:t>, Weight-Loss</w:t>
      </w:r>
    </w:p>
    <w:p w:rsidR="00696D4A" w:rsidRDefault="00696D4A" w:rsidP="00832A77">
      <w:pPr>
        <w:pStyle w:val="a3"/>
        <w:rPr>
          <w:kern w:val="0"/>
        </w:rPr>
      </w:pPr>
      <w:r>
        <w:rPr>
          <w:rFonts w:hint="eastAsia"/>
          <w:kern w:val="0"/>
        </w:rPr>
        <w:t>Notes: CCountry</w:t>
      </w:r>
    </w:p>
    <w:p w:rsidR="00832A77" w:rsidRDefault="00832A77" w:rsidP="00832A77">
      <w:pPr>
        <w:pStyle w:val="a3"/>
        <w:rPr>
          <w:kern w:val="0"/>
        </w:rPr>
      </w:pPr>
      <w:r>
        <w:rPr>
          <w:rFonts w:hint="eastAsia"/>
          <w:kern w:val="0"/>
        </w:rPr>
        <w:t xml:space="preserve">? </w:t>
      </w:r>
      <w:r>
        <w:rPr>
          <w:kern w:val="0"/>
        </w:rPr>
        <w:t>Derrick, G.E., Hayen, A., Chapman, S., Haynes, A.S., Webster, B.M.</w:t>
      </w:r>
      <w:r w:rsidR="005853A9">
        <w:rPr>
          <w:kern w:val="0"/>
        </w:rPr>
        <w:t xml:space="preserve"> and </w:t>
      </w:r>
      <w:r>
        <w:rPr>
          <w:kern w:val="0"/>
        </w:rPr>
        <w:t>Anderson, I. (2012), A bibliometric analysis</w:t>
      </w:r>
      <w:r w:rsidR="00427468">
        <w:rPr>
          <w:kern w:val="0"/>
        </w:rPr>
        <w:t xml:space="preserve"> of </w:t>
      </w:r>
      <w:r>
        <w:rPr>
          <w:kern w:val="0"/>
        </w:rPr>
        <w:t xml:space="preserve">research on </w:t>
      </w:r>
      <w:r w:rsidR="00856B49">
        <w:rPr>
          <w:kern w:val="0"/>
        </w:rPr>
        <w:t xml:space="preserve">indigenous </w:t>
      </w:r>
      <w:r>
        <w:rPr>
          <w:kern w:val="0"/>
        </w:rPr>
        <w:t xml:space="preserve">health in Australia, 1972-2008. </w:t>
      </w:r>
      <w:r>
        <w:rPr>
          <w:i/>
          <w:iCs/>
          <w:kern w:val="0"/>
        </w:rPr>
        <w:t>Australian</w:t>
      </w:r>
      <w:r w:rsidR="005853A9">
        <w:rPr>
          <w:i/>
          <w:iCs/>
          <w:kern w:val="0"/>
        </w:rPr>
        <w:t xml:space="preserve"> and </w:t>
      </w:r>
      <w:r>
        <w:rPr>
          <w:i/>
          <w:iCs/>
          <w:kern w:val="0"/>
        </w:rPr>
        <w:t>New Zealand Journal</w:t>
      </w:r>
      <w:r w:rsidR="00427468">
        <w:rPr>
          <w:i/>
          <w:iCs/>
          <w:kern w:val="0"/>
        </w:rPr>
        <w:t xml:space="preserve"> of </w:t>
      </w:r>
      <w:r>
        <w:rPr>
          <w:i/>
          <w:iCs/>
          <w:kern w:val="0"/>
        </w:rPr>
        <w:t>Public Health</w:t>
      </w:r>
      <w:r>
        <w:rPr>
          <w:kern w:val="0"/>
        </w:rPr>
        <w:t xml:space="preserve">, </w:t>
      </w:r>
      <w:r>
        <w:rPr>
          <w:b/>
          <w:bCs/>
          <w:kern w:val="0"/>
        </w:rPr>
        <w:t>36</w:t>
      </w:r>
      <w:r>
        <w:rPr>
          <w:kern w:val="0"/>
        </w:rPr>
        <w:t xml:space="preserve"> (3), 269-273.</w:t>
      </w:r>
    </w:p>
    <w:p w:rsidR="00832A77" w:rsidRPr="00F219CA" w:rsidRDefault="00832A77" w:rsidP="00832A77">
      <w:pPr>
        <w:pStyle w:val="a3"/>
      </w:pPr>
      <w:r w:rsidRPr="00F219CA">
        <w:lastRenderedPageBreak/>
        <w:t xml:space="preserve">Full Text: </w:t>
      </w:r>
      <w:hyperlink r:id="rId1408" w:history="1">
        <w:r w:rsidRPr="00A82243">
          <w:rPr>
            <w:rStyle w:val="a5"/>
          </w:rPr>
          <w:t>2012\Aus New Zea J Pub Hea36, 269.pdf</w:t>
        </w:r>
      </w:hyperlink>
    </w:p>
    <w:p w:rsidR="00832A77" w:rsidRDefault="00832A77" w:rsidP="00832A77">
      <w:pPr>
        <w:pStyle w:val="a3"/>
        <w:rPr>
          <w:kern w:val="0"/>
        </w:rPr>
      </w:pPr>
      <w:r>
        <w:rPr>
          <w:kern w:val="0"/>
        </w:rPr>
        <w:t>Abstract: Objective: To determine</w:t>
      </w:r>
      <w:r w:rsidR="003A1917">
        <w:rPr>
          <w:kern w:val="0"/>
        </w:rPr>
        <w:t xml:space="preserve"> the </w:t>
      </w:r>
      <w:r>
        <w:rPr>
          <w:kern w:val="0"/>
        </w:rPr>
        <w:t>growth patterns</w:t>
      </w:r>
      <w:r w:rsidR="005853A9">
        <w:rPr>
          <w:kern w:val="0"/>
        </w:rPr>
        <w:t xml:space="preserve"> and </w:t>
      </w:r>
      <w:r>
        <w:rPr>
          <w:kern w:val="0"/>
        </w:rPr>
        <w:t>citation volume</w:t>
      </w:r>
      <w:r w:rsidR="00427468">
        <w:rPr>
          <w:kern w:val="0"/>
        </w:rPr>
        <w:t xml:space="preserve"> of </w:t>
      </w:r>
      <w:r>
        <w:rPr>
          <w:kern w:val="0"/>
        </w:rPr>
        <w:t xml:space="preserve">research publications referring to Indigenous health in Australia from 1972 to 2008 compared to seven selected health fields. Methods: </w:t>
      </w:r>
      <w:r w:rsidR="00D5664A">
        <w:rPr>
          <w:kern w:val="0"/>
        </w:rPr>
        <w:t>Web</w:t>
      </w:r>
      <w:r w:rsidR="00427468">
        <w:rPr>
          <w:kern w:val="0"/>
        </w:rPr>
        <w:t xml:space="preserve"> of </w:t>
      </w:r>
      <w:r w:rsidR="00D5664A">
        <w:rPr>
          <w:kern w:val="0"/>
        </w:rPr>
        <w:t>Science</w:t>
      </w:r>
      <w:r>
        <w:rPr>
          <w:kern w:val="0"/>
        </w:rPr>
        <w:t xml:space="preserve"> was used to identify all publications (n=820) referring to</w:t>
      </w:r>
      <w:r w:rsidR="003A1917">
        <w:rPr>
          <w:kern w:val="0"/>
        </w:rPr>
        <w:t xml:space="preserve"> the </w:t>
      </w:r>
      <w:r>
        <w:rPr>
          <w:kern w:val="0"/>
        </w:rPr>
        <w:t>health</w:t>
      </w:r>
      <w:r w:rsidR="00427468">
        <w:rPr>
          <w:kern w:val="0"/>
        </w:rPr>
        <w:t xml:space="preserve"> of </w:t>
      </w:r>
      <w:r>
        <w:rPr>
          <w:kern w:val="0"/>
        </w:rPr>
        <w:t>Indigenous Australians authored by Australian researchers, 1972 to 2008. Citations for each publication were also captured. Growth was compared with selected health fields as well as with overall Australian research publications. Results: Research publications referring to Indigenous health, while remaining relatively small in number, grew at an average annual rate</w:t>
      </w:r>
      <w:r w:rsidR="00427468">
        <w:rPr>
          <w:kern w:val="0"/>
        </w:rPr>
        <w:t xml:space="preserve"> of </w:t>
      </w:r>
      <w:r>
        <w:rPr>
          <w:kern w:val="0"/>
        </w:rPr>
        <w:t>14.1%, compared with 8.2% across all fields</w:t>
      </w:r>
      <w:r w:rsidR="00427468">
        <w:rPr>
          <w:kern w:val="0"/>
        </w:rPr>
        <w:t xml:space="preserve"> of </w:t>
      </w:r>
      <w:r>
        <w:rPr>
          <w:kern w:val="0"/>
        </w:rPr>
        <w:t>Australian research</w:t>
      </w:r>
      <w:r w:rsidR="00A37C1D">
        <w:rPr>
          <w:kern w:val="0"/>
        </w:rPr>
        <w:t>. The</w:t>
      </w:r>
      <w:r w:rsidR="003A1917">
        <w:rPr>
          <w:kern w:val="0"/>
        </w:rPr>
        <w:t xml:space="preserve"> </w:t>
      </w:r>
      <w:r>
        <w:rPr>
          <w:kern w:val="0"/>
        </w:rPr>
        <w:t>growth rate shown was equal second highest in our seven categories</w:t>
      </w:r>
      <w:r w:rsidR="00427468">
        <w:rPr>
          <w:kern w:val="0"/>
        </w:rPr>
        <w:t xml:space="preserve"> of </w:t>
      </w:r>
      <w:r>
        <w:rPr>
          <w:kern w:val="0"/>
        </w:rPr>
        <w:t>health</w:t>
      </w:r>
      <w:r w:rsidR="005853A9">
        <w:rPr>
          <w:kern w:val="0"/>
        </w:rPr>
        <w:t xml:space="preserve"> and </w:t>
      </w:r>
      <w:r>
        <w:rPr>
          <w:kern w:val="0"/>
        </w:rPr>
        <w:t>medical research. However, Indigenous publications were cited significantly less than</w:t>
      </w:r>
      <w:r w:rsidR="003A1917">
        <w:rPr>
          <w:kern w:val="0"/>
        </w:rPr>
        <w:t xml:space="preserve"> the </w:t>
      </w:r>
      <w:r>
        <w:rPr>
          <w:kern w:val="0"/>
        </w:rPr>
        <w:t>Australian average. Conclusions: While there has been positive growth in publications referring to Indigenous health,</w:t>
      </w:r>
      <w:r w:rsidR="003A1917">
        <w:rPr>
          <w:kern w:val="0"/>
        </w:rPr>
        <w:t xml:space="preserve"> the </w:t>
      </w:r>
      <w:r>
        <w:rPr>
          <w:kern w:val="0"/>
        </w:rPr>
        <w:t>attention paid to this research through citations remains disappointingly low. Implications: Given that research concentration</w:t>
      </w:r>
      <w:r w:rsidR="005853A9">
        <w:rPr>
          <w:kern w:val="0"/>
        </w:rPr>
        <w:t xml:space="preserve"> and </w:t>
      </w:r>
      <w:r>
        <w:rPr>
          <w:kern w:val="0"/>
        </w:rPr>
        <w:t>impact can be an index</w:t>
      </w:r>
      <w:r w:rsidR="00427468">
        <w:rPr>
          <w:kern w:val="0"/>
        </w:rPr>
        <w:t xml:space="preserve"> of </w:t>
      </w:r>
      <w:r>
        <w:rPr>
          <w:kern w:val="0"/>
        </w:rPr>
        <w:t>how seriously a nation considers a health problem,</w:t>
      </w:r>
      <w:r w:rsidR="003A1917">
        <w:rPr>
          <w:kern w:val="0"/>
        </w:rPr>
        <w:t xml:space="preserve"> the </w:t>
      </w:r>
      <w:r>
        <w:rPr>
          <w:kern w:val="0"/>
        </w:rPr>
        <w:t>low visibility</w:t>
      </w:r>
      <w:r w:rsidR="00427468">
        <w:rPr>
          <w:kern w:val="0"/>
        </w:rPr>
        <w:t xml:space="preserve"> of </w:t>
      </w:r>
      <w:r>
        <w:rPr>
          <w:kern w:val="0"/>
        </w:rPr>
        <w:t>Australian research examining Indigenous health does not demonstrate a level</w:t>
      </w:r>
      <w:r w:rsidR="00427468">
        <w:rPr>
          <w:kern w:val="0"/>
        </w:rPr>
        <w:t xml:space="preserve"> of </w:t>
      </w:r>
      <w:r>
        <w:rPr>
          <w:kern w:val="0"/>
        </w:rPr>
        <w:t>concern commensurate with</w:t>
      </w:r>
      <w:r w:rsidR="003A1917">
        <w:rPr>
          <w:kern w:val="0"/>
        </w:rPr>
        <w:t xml:space="preserve"> the </w:t>
      </w:r>
      <w:r>
        <w:rPr>
          <w:kern w:val="0"/>
        </w:rPr>
        <w:t>gravity</w:t>
      </w:r>
      <w:r w:rsidR="00427468">
        <w:rPr>
          <w:kern w:val="0"/>
        </w:rPr>
        <w:t xml:space="preserve"> of </w:t>
      </w:r>
      <w:r>
        <w:rPr>
          <w:kern w:val="0"/>
        </w:rPr>
        <w:t>Indigenous health problems. Further investigation for</w:t>
      </w:r>
      <w:r w:rsidR="003A1917">
        <w:rPr>
          <w:kern w:val="0"/>
        </w:rPr>
        <w:t xml:space="preserve"> the </w:t>
      </w:r>
      <w:r>
        <w:rPr>
          <w:kern w:val="0"/>
        </w:rPr>
        <w:t>reasons for lower citations may identify potential intervention strategies.</w:t>
      </w:r>
    </w:p>
    <w:p w:rsidR="00832A77" w:rsidRDefault="00832A77" w:rsidP="00832A77">
      <w:pPr>
        <w:pStyle w:val="a3"/>
        <w:rPr>
          <w:kern w:val="0"/>
        </w:rPr>
      </w:pPr>
      <w:r>
        <w:rPr>
          <w:kern w:val="0"/>
        </w:rPr>
        <w:t xml:space="preserve">Keywords: Analysis, Australia, Australian, Bibliometric, Bibliometric Analysis, Bibliometrics, Citation, Citations, Concentration, Growth, Growth Rate, Health, Health Problem, Impact, Index, Indigenous Health, Intervention, Investigation, Low, Medical, Medical Research, Methods, Potential, Publication, Publications, Research, Research Evaluation, Science, Small, Visibility, Volume, </w:t>
      </w:r>
      <w:r w:rsidR="00D5664A">
        <w:rPr>
          <w:kern w:val="0"/>
        </w:rPr>
        <w:t>Web</w:t>
      </w:r>
      <w:r w:rsidR="00427468">
        <w:rPr>
          <w:kern w:val="0"/>
        </w:rPr>
        <w:t xml:space="preserve"> of </w:t>
      </w:r>
      <w:r w:rsidR="00D5664A">
        <w:rPr>
          <w:kern w:val="0"/>
        </w:rPr>
        <w:t>Science</w:t>
      </w:r>
    </w:p>
    <w:p w:rsidR="00514CED" w:rsidRDefault="00514CED" w:rsidP="00514CED">
      <w:pPr>
        <w:pStyle w:val="a3"/>
        <w:rPr>
          <w:kern w:val="0"/>
        </w:rPr>
      </w:pPr>
      <w:r>
        <w:rPr>
          <w:rFonts w:hint="eastAsia"/>
          <w:kern w:val="0"/>
        </w:rPr>
        <w:t xml:space="preserve">? </w:t>
      </w:r>
      <w:r>
        <w:rPr>
          <w:kern w:val="0"/>
        </w:rPr>
        <w:t xml:space="preserve">Lal, A., Lill, A.W.T., Mcintyre, M., Hales, S., Baker, M.G. and French, N.P. (2015), Environmental change and enteric zoonoses in New Zealand: A systematic review of the evidence. </w:t>
      </w:r>
      <w:r>
        <w:rPr>
          <w:i/>
          <w:iCs/>
          <w:kern w:val="0"/>
        </w:rPr>
        <w:t>Australian and New Zealand Journal of Public Health</w:t>
      </w:r>
      <w:r>
        <w:rPr>
          <w:kern w:val="0"/>
        </w:rPr>
        <w:t xml:space="preserve">, </w:t>
      </w:r>
      <w:r>
        <w:rPr>
          <w:b/>
          <w:bCs/>
          <w:kern w:val="0"/>
        </w:rPr>
        <w:t>39</w:t>
      </w:r>
      <w:r>
        <w:rPr>
          <w:kern w:val="0"/>
        </w:rPr>
        <w:t xml:space="preserve"> (1), 63-68.</w:t>
      </w:r>
    </w:p>
    <w:p w:rsidR="00514CED" w:rsidRPr="00F219CA" w:rsidRDefault="00514CED" w:rsidP="00514CED">
      <w:pPr>
        <w:pStyle w:val="a3"/>
      </w:pPr>
      <w:r w:rsidRPr="00F219CA">
        <w:t xml:space="preserve">Full Text: </w:t>
      </w:r>
      <w:hyperlink r:id="rId1409" w:history="1">
        <w:r w:rsidRPr="00514CED">
          <w:rPr>
            <w:rStyle w:val="a5"/>
          </w:rPr>
          <w:t>2015\Aus New Zea J Pub Hea39, 63.pdf</w:t>
        </w:r>
      </w:hyperlink>
    </w:p>
    <w:p w:rsidR="00514CED" w:rsidRDefault="00514CED" w:rsidP="00514CED">
      <w:pPr>
        <w:pStyle w:val="a3"/>
        <w:rPr>
          <w:kern w:val="0"/>
        </w:rPr>
      </w:pPr>
      <w:r>
        <w:rPr>
          <w:kern w:val="0"/>
        </w:rPr>
        <w:t xml:space="preserve">Abstract: Objective: To review the available evidence that examines the association between climatic and agricultural land use factors and the risks of enteric zoonoses in humans and consider information needs and possible pathways of intervention. Methods: The electronic databases PubMed, Web of Science and Embase and government websites were searched systematically for published literature that investigated the association of climatic and/or agricultural exposures with the incidence of the four most common enteric zoonotic diseases in New Zealand (campylobacteriosis, salmonellosis, cryptosporidiosis and giardiasis). Results The 16 studies in the review demonstrated significant associations between climate, agricultural land use and enteric disease occurrence. The evidence suggests that </w:t>
      </w:r>
      <w:r>
        <w:rPr>
          <w:kern w:val="0"/>
        </w:rPr>
        <w:lastRenderedPageBreak/>
        <w:t>enteric disease risk from environmental reservoirs is pathogen specific. In some rural regions, environmental pathogen load is considerable, with multiple opportunities for zoonotic transmission. Conclusions: Enteric disease occurrence in NZ is associated with climate variability and agricultural land use. However, these relationships interact with demographic factors to influence disease patterns. Implications: Improved understanding of how environmental and social factors interact can inform effective public health interventions under scenarios of projected environmental change.</w:t>
      </w:r>
    </w:p>
    <w:p w:rsidR="00514CED" w:rsidRDefault="00514CED" w:rsidP="00514CED">
      <w:pPr>
        <w:pStyle w:val="a3"/>
        <w:rPr>
          <w:kern w:val="0"/>
        </w:rPr>
      </w:pPr>
      <w:r>
        <w:rPr>
          <w:kern w:val="0"/>
        </w:rPr>
        <w:t>Keywords: Agricultural, Agricultural Intensification, Agricultural Land Use, Ambient-Temperature, Association, Campylobacter, Climate, Climate Variability, Cryptosporidium-Parvum, Databases, Disease, Diseases, Emergence, Emerging Infectious-Diseases, Enteric Zoonoses, Environmental, Environmental Change, Evidence, Exposures, Factors, From, Giardiasis, Health, Humans, Incidence, Influence, Information, Intervention, Interventions, Land Use, Land-Use, Literature, Load, Methods, Needs, New Zealand, Pathogen, Pathways, Public, Public Health, Pubmed, Reservoirs, Results, Review, Risk, Risk-Factors, Risks, Rural, Scenarios, Science, Seasonality, Social, Systematic, Systematic Review, Transmission, Understanding, Variability, Web, Web Of Science, Websites, Zoonoses</w:t>
      </w:r>
    </w:p>
    <w:p w:rsidR="003474F2" w:rsidRPr="001A3D2B" w:rsidRDefault="003474F2" w:rsidP="003474F2">
      <w:pPr>
        <w:pStyle w:val="1"/>
      </w:pPr>
      <w:r w:rsidRPr="001A3D2B">
        <w:br w:type="page"/>
      </w:r>
      <w:bookmarkStart w:id="719" w:name="_Toc420814681"/>
      <w:r w:rsidRPr="001A3D2B">
        <w:lastRenderedPageBreak/>
        <w:t>Title: Australian &amp; New Zealand Journal</w:t>
      </w:r>
      <w:r w:rsidR="00427468">
        <w:t xml:space="preserve"> of </w:t>
      </w:r>
      <w:r w:rsidRPr="001A3D2B">
        <w:t>Statistics</w:t>
      </w:r>
      <w:bookmarkEnd w:id="719"/>
    </w:p>
    <w:p w:rsidR="003474F2" w:rsidRPr="001A3D2B" w:rsidRDefault="003474F2" w:rsidP="003474F2">
      <w:pPr>
        <w:pStyle w:val="12"/>
      </w:pPr>
      <w:r w:rsidRPr="001A3D2B">
        <w:t xml:space="preserve">Full Journal Title: </w:t>
      </w:r>
      <w:hyperlink r:id="rId1410" w:history="1">
        <w:r w:rsidRPr="001A3D2B">
          <w:rPr>
            <w:rStyle w:val="a5"/>
          </w:rPr>
          <w:t>Australian &amp; New Zealand Journal</w:t>
        </w:r>
        <w:r w:rsidR="00427468">
          <w:rPr>
            <w:rStyle w:val="a5"/>
          </w:rPr>
          <w:t xml:space="preserve"> of </w:t>
        </w:r>
        <w:r w:rsidRPr="001A3D2B">
          <w:rPr>
            <w:rStyle w:val="a5"/>
          </w:rPr>
          <w:t>Statistics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1369-1473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Seneta, E. (2002), In memoriam - Emeritus professor Henry Oliver Lancaster, AO FAA 1 February 1913-2 December 2001. </w:t>
      </w:r>
      <w:r w:rsidRPr="001A3D2B">
        <w:rPr>
          <w:i/>
          <w:iCs/>
        </w:rPr>
        <w:t>Australian &amp; New Zealand Journal</w:t>
      </w:r>
      <w:r w:rsidR="00427468">
        <w:rPr>
          <w:i/>
          <w:iCs/>
        </w:rPr>
        <w:t xml:space="preserve"> of </w:t>
      </w:r>
      <w:r w:rsidRPr="001A3D2B">
        <w:rPr>
          <w:i/>
          <w:iCs/>
        </w:rPr>
        <w:t>Statistics</w:t>
      </w:r>
      <w:r w:rsidRPr="001A3D2B">
        <w:t xml:space="preserve">, </w:t>
      </w:r>
      <w:r w:rsidRPr="001A3D2B">
        <w:rPr>
          <w:b/>
          <w:bCs/>
        </w:rPr>
        <w:t>44</w:t>
      </w:r>
      <w:r w:rsidRPr="001A3D2B">
        <w:t xml:space="preserve"> (4), 385-400.</w:t>
      </w:r>
    </w:p>
    <w:p w:rsidR="003474F2" w:rsidRPr="001A3D2B" w:rsidRDefault="003474F2" w:rsidP="003474F2">
      <w:pPr>
        <w:pStyle w:val="a3"/>
      </w:pPr>
      <w:r w:rsidRPr="001A3D2B">
        <w:t xml:space="preserve">Full Text: </w:t>
      </w:r>
      <w:hyperlink r:id="rId1411" w:history="1">
        <w:r w:rsidRPr="001A3D2B">
          <w:rPr>
            <w:rStyle w:val="a5"/>
          </w:rPr>
          <w:t>2002\Aus New Zea J Sta44, 38.pdf</w:t>
        </w:r>
      </w:hyperlink>
    </w:p>
    <w:p w:rsidR="003474F2" w:rsidRPr="001A3D2B" w:rsidRDefault="003474F2" w:rsidP="003474F2">
      <w:pPr>
        <w:pStyle w:val="a3"/>
      </w:pPr>
      <w:r w:rsidRPr="001A3D2B">
        <w:t>Abstract:</w:t>
      </w:r>
      <w:r w:rsidR="003A1917">
        <w:t xml:space="preserve"> the </w:t>
      </w:r>
      <w:r w:rsidRPr="001A3D2B">
        <w:t xml:space="preserve">death, in </w:t>
      </w:r>
      <w:smartTag w:uri="urn:schemas-microsoft-com:office:smarttags" w:element="place">
        <w:smartTag w:uri="urn:schemas-microsoft-com:office:smarttags" w:element="City">
          <w:r w:rsidRPr="001A3D2B">
            <w:t>Sydney</w:t>
          </w:r>
        </w:smartTag>
      </w:smartTag>
      <w:r w:rsidRPr="001A3D2B">
        <w:t>,</w:t>
      </w:r>
      <w:r w:rsidR="00427468">
        <w:t xml:space="preserve"> of </w:t>
      </w:r>
      <w:r w:rsidRPr="001A3D2B">
        <w:t>Oliver Lancaster marks</w:t>
      </w:r>
      <w:r w:rsidR="003A1917">
        <w:t xml:space="preserve"> the </w:t>
      </w:r>
      <w:r w:rsidRPr="001A3D2B">
        <w:t>end</w:t>
      </w:r>
      <w:r w:rsidR="00427468">
        <w:t xml:space="preserve"> of </w:t>
      </w:r>
      <w:r w:rsidRPr="001A3D2B">
        <w:t>an era in</w:t>
      </w:r>
      <w:r w:rsidR="003A1917">
        <w:t xml:space="preserve"> the </w:t>
      </w:r>
      <w:r w:rsidRPr="001A3D2B">
        <w:t>histories</w:t>
      </w:r>
      <w:r w:rsidR="00427468">
        <w:t xml:space="preserve"> of </w:t>
      </w:r>
      <w:r w:rsidR="003A1917">
        <w:t xml:space="preserve">the </w:t>
      </w:r>
      <w:r w:rsidRPr="001A3D2B">
        <w:t>Statistical Society</w:t>
      </w:r>
      <w:r w:rsidR="00427468">
        <w:t xml:space="preserve"> of </w:t>
      </w:r>
      <w:r w:rsidRPr="001A3D2B">
        <w:t>Australia, which (in its previous existence as</w:t>
      </w:r>
      <w:r w:rsidR="003A1917">
        <w:t xml:space="preserve"> the </w:t>
      </w:r>
      <w:r w:rsidRPr="001A3D2B">
        <w:t>Statistical Society</w:t>
      </w:r>
      <w:r w:rsidR="00427468">
        <w:t xml:space="preserve"> of </w:t>
      </w:r>
      <w:r w:rsidRPr="001A3D2B">
        <w:t>New South Wales) he helped found in 1947,</w:t>
      </w:r>
      <w:r w:rsidR="005853A9">
        <w:t xml:space="preserve"> and</w:t>
      </w:r>
      <w:r w:rsidR="00427468">
        <w:t xml:space="preserve"> of </w:t>
      </w:r>
      <w:r w:rsidR="003A1917">
        <w:t xml:space="preserve">the </w:t>
      </w:r>
      <w:r w:rsidRPr="001A3D2B">
        <w:t>Australian Journal</w:t>
      </w:r>
      <w:r w:rsidR="00427468">
        <w:t xml:space="preserve"> of </w:t>
      </w:r>
      <w:r w:rsidRPr="001A3D2B">
        <w:t>Statistics</w:t>
      </w:r>
      <w:r w:rsidR="00427468">
        <w:t xml:space="preserve"> of </w:t>
      </w:r>
      <w:r w:rsidRPr="001A3D2B">
        <w:t>which he was founding editor (1959-71). Oliver Lancaster was Foundation Professor</w:t>
      </w:r>
      <w:r w:rsidR="00427468">
        <w:t xml:space="preserve"> of </w:t>
      </w:r>
      <w:r w:rsidRPr="001A3D2B">
        <w:t>Mathematical Statistics at</w:t>
      </w:r>
      <w:r w:rsidR="003A1917">
        <w:t xml:space="preserve"> the </w:t>
      </w:r>
      <w:r w:rsidRPr="001A3D2B">
        <w:t>University</w:t>
      </w:r>
      <w:r w:rsidR="00427468">
        <w:t xml:space="preserve"> of </w:t>
      </w:r>
      <w:r w:rsidRPr="001A3D2B">
        <w:t>Sydney (1959-1978), where he spent his life as student</w:t>
      </w:r>
      <w:r w:rsidR="005853A9">
        <w:t xml:space="preserve"> and </w:t>
      </w:r>
      <w:r w:rsidRPr="001A3D2B">
        <w:t>academic. During his academic career, he achieved scholarly distinction in at least four fields: mathematical statistics, medical</w:t>
      </w:r>
      <w:r w:rsidR="005853A9">
        <w:t xml:space="preserve"> and </w:t>
      </w:r>
      <w:r w:rsidRPr="001A3D2B">
        <w:t>public health statistics,</w:t>
      </w:r>
      <w:r w:rsidR="003A1917">
        <w:t xml:space="preserve"> the </w:t>
      </w:r>
      <w:r w:rsidRPr="001A3D2B">
        <w:t>history</w:t>
      </w:r>
      <w:r w:rsidR="00427468">
        <w:t xml:space="preserve"> of </w:t>
      </w:r>
      <w:r w:rsidRPr="001A3D2B">
        <w:t>medicine</w:t>
      </w:r>
      <w:r w:rsidR="005853A9">
        <w:t xml:space="preserve"> and</w:t>
      </w:r>
      <w:r w:rsidR="00427468">
        <w:t xml:space="preserve"> of </w:t>
      </w:r>
      <w:r w:rsidRPr="001A3D2B">
        <w:t>statistics,</w:t>
      </w:r>
      <w:r w:rsidR="005853A9">
        <w:t xml:space="preserve"> and </w:t>
      </w:r>
      <w:r w:rsidRPr="001A3D2B">
        <w:t>statistical bibliography. With E.J.G. Pitman (1897-1993), M.H. Belz (1897-1975), E.A. Cornish (1909-1973)</w:t>
      </w:r>
      <w:r w:rsidR="005853A9">
        <w:t xml:space="preserve"> and </w:t>
      </w:r>
      <w:r w:rsidRPr="001A3D2B">
        <w:t>PAR Moran (1917-1988) he was part</w:t>
      </w:r>
      <w:r w:rsidR="00427468">
        <w:t xml:space="preserve"> of </w:t>
      </w:r>
      <w:r w:rsidRPr="001A3D2B">
        <w:t>a cohort</w:t>
      </w:r>
      <w:r w:rsidR="00427468">
        <w:t xml:space="preserve"> of </w:t>
      </w:r>
      <w:r w:rsidRPr="001A3D2B">
        <w:t>renowned Australian mathematical statisticians who laid</w:t>
      </w:r>
      <w:r w:rsidR="003A1917">
        <w:t xml:space="preserve"> the </w:t>
      </w:r>
      <w:r w:rsidRPr="001A3D2B">
        <w:t>foundation</w:t>
      </w:r>
      <w:r w:rsidR="00427468">
        <w:t xml:space="preserve"> of </w:t>
      </w:r>
      <w:r w:rsidR="003A1917">
        <w:t xml:space="preserve">the </w:t>
      </w:r>
      <w:r w:rsidRPr="001A3D2B">
        <w:t>glory days</w:t>
      </w:r>
      <w:r w:rsidR="00427468">
        <w:t xml:space="preserve"> of </w:t>
      </w:r>
      <w:r w:rsidRPr="001A3D2B">
        <w:t>Australian mathematical statistics. This obituary</w:t>
      </w:r>
      <w:r w:rsidR="005853A9">
        <w:t xml:space="preserve"> and </w:t>
      </w:r>
      <w:r w:rsidRPr="001A3D2B">
        <w:t>tribute focuses on some</w:t>
      </w:r>
      <w:r w:rsidR="00427468">
        <w:t xml:space="preserve"> of </w:t>
      </w:r>
      <w:r w:rsidRPr="001A3D2B">
        <w:t>these aspects, within a broader historical picture.</w:t>
      </w:r>
    </w:p>
    <w:p w:rsidR="003474F2" w:rsidRPr="001A3D2B" w:rsidRDefault="003474F2" w:rsidP="003474F2">
      <w:pPr>
        <w:pStyle w:val="a3"/>
      </w:pPr>
      <w:r w:rsidRPr="001A3D2B">
        <w:t>Keywords: Australian Journal</w:t>
      </w:r>
      <w:r w:rsidR="00427468">
        <w:t xml:space="preserve"> of </w:t>
      </w:r>
      <w:r w:rsidRPr="001A3D2B">
        <w:t>Statistics, Characterization, Chi-Squared, History</w:t>
      </w:r>
      <w:r w:rsidR="00427468">
        <w:t xml:space="preserve"> of </w:t>
      </w:r>
      <w:r w:rsidRPr="001A3D2B">
        <w:t>Statistics, Lancaster</w:t>
      </w:r>
      <w:r w:rsidR="00700038">
        <w:t>’</w:t>
      </w:r>
      <w:r w:rsidR="00C13DDC">
        <w:t>s</w:t>
      </w:r>
      <w:r w:rsidRPr="001A3D2B">
        <w:t xml:space="preserve"> MID-P, Mathematical Statistics, Medical Statistics, Normal Distribution, Statistical Society</w:t>
      </w:r>
      <w:r w:rsidR="00427468">
        <w:t xml:space="preserve"> of </w:t>
      </w:r>
      <w:r w:rsidRPr="001A3D2B">
        <w:t>Australia, University</w:t>
      </w:r>
      <w:r w:rsidR="00427468">
        <w:t xml:space="preserve"> of </w:t>
      </w:r>
      <w:r w:rsidRPr="001A3D2B">
        <w:t>Sydney</w:t>
      </w:r>
    </w:p>
    <w:p w:rsidR="003474F2" w:rsidRPr="001A3D2B" w:rsidRDefault="003474F2" w:rsidP="003474F2">
      <w:pPr>
        <w:pStyle w:val="1"/>
      </w:pPr>
      <w:r w:rsidRPr="001A3D2B">
        <w:br w:type="page"/>
      </w:r>
      <w:bookmarkStart w:id="720" w:name="_Toc420814682"/>
      <w:r w:rsidRPr="001A3D2B">
        <w:lastRenderedPageBreak/>
        <w:t>Title: Australian</w:t>
      </w:r>
      <w:r w:rsidR="005853A9">
        <w:t xml:space="preserve"> and </w:t>
      </w:r>
      <w:r w:rsidRPr="001A3D2B">
        <w:t>New Zealand Journal</w:t>
      </w:r>
      <w:r w:rsidR="00427468">
        <w:t xml:space="preserve"> of </w:t>
      </w:r>
      <w:r w:rsidRPr="001A3D2B">
        <w:t>S</w:t>
      </w:r>
      <w:bookmarkStart w:id="721" w:name="_Toc81215635"/>
      <w:r w:rsidRPr="001A3D2B">
        <w:t>urgery</w:t>
      </w:r>
      <w:bookmarkEnd w:id="720"/>
    </w:p>
    <w:p w:rsidR="003474F2" w:rsidRPr="001A3D2B" w:rsidRDefault="003474F2" w:rsidP="003474F2">
      <w:pPr>
        <w:pStyle w:val="12"/>
      </w:pPr>
      <w:r w:rsidRPr="001A3D2B">
        <w:t>Full Journal Title: Australian</w:t>
      </w:r>
      <w:r w:rsidR="005853A9">
        <w:t xml:space="preserve"> and </w:t>
      </w:r>
      <w:r w:rsidRPr="001A3D2B">
        <w:t>New Zealan</w:t>
      </w:r>
      <w:bookmarkEnd w:id="721"/>
      <w:r w:rsidRPr="001A3D2B">
        <w:t>d Journal</w:t>
      </w:r>
      <w:r w:rsidR="00427468">
        <w:t xml:space="preserve"> of </w:t>
      </w:r>
      <w:r w:rsidRPr="001A3D2B">
        <w:t>Surgery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0004-8682</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Default="003474F2" w:rsidP="003474F2">
      <w:pPr>
        <w:pStyle w:val="a3"/>
      </w:pPr>
      <w:r w:rsidRPr="001A3D2B">
        <w:t>? Kee, W.D.N., Roach, V.J.</w:t>
      </w:r>
      <w:r w:rsidR="005853A9">
        <w:t xml:space="preserve"> and </w:t>
      </w:r>
      <w:r w:rsidRPr="001A3D2B">
        <w:t>Lau, T.K. (1997), How accurate are references in</w:t>
      </w:r>
      <w:r w:rsidR="003A1917">
        <w:t xml:space="preserve"> the </w:t>
      </w:r>
      <w:r w:rsidRPr="0032237C">
        <w:rPr>
          <w:i/>
        </w:rPr>
        <w:t>Australian</w:t>
      </w:r>
      <w:r w:rsidR="005853A9">
        <w:rPr>
          <w:i/>
        </w:rPr>
        <w:t xml:space="preserve"> and </w:t>
      </w:r>
      <w:r w:rsidRPr="0032237C">
        <w:rPr>
          <w:i/>
        </w:rPr>
        <w:t xml:space="preserve">New Zealand </w:t>
      </w:r>
      <w:r w:rsidR="0032237C" w:rsidRPr="0032237C">
        <w:rPr>
          <w:i/>
        </w:rPr>
        <w:t>Journal</w:t>
      </w:r>
      <w:r w:rsidR="00427468">
        <w:rPr>
          <w:i/>
        </w:rPr>
        <w:t xml:space="preserve"> of </w:t>
      </w:r>
      <w:r w:rsidR="0032237C" w:rsidRPr="0032237C">
        <w:rPr>
          <w:i/>
        </w:rPr>
        <w:t>Surgery</w:t>
      </w:r>
      <w:r w:rsidRPr="001A3D2B">
        <w:t xml:space="preserve">? </w:t>
      </w:r>
      <w:r w:rsidRPr="001A3D2B">
        <w:rPr>
          <w:i/>
          <w:iCs/>
        </w:rPr>
        <w:t>Australian</w:t>
      </w:r>
      <w:r w:rsidR="005853A9">
        <w:rPr>
          <w:i/>
          <w:iCs/>
        </w:rPr>
        <w:t xml:space="preserve"> and </w:t>
      </w:r>
      <w:r w:rsidRPr="001A3D2B">
        <w:rPr>
          <w:i/>
          <w:iCs/>
        </w:rPr>
        <w:t>New Zealand Journal</w:t>
      </w:r>
      <w:r w:rsidR="00427468">
        <w:rPr>
          <w:i/>
          <w:iCs/>
        </w:rPr>
        <w:t xml:space="preserve"> of </w:t>
      </w:r>
      <w:r w:rsidRPr="001A3D2B">
        <w:rPr>
          <w:i/>
          <w:iCs/>
        </w:rPr>
        <w:t>Surgery</w:t>
      </w:r>
      <w:r w:rsidRPr="001A3D2B">
        <w:t xml:space="preserve">, </w:t>
      </w:r>
      <w:r w:rsidRPr="001A3D2B">
        <w:rPr>
          <w:b/>
          <w:bCs/>
        </w:rPr>
        <w:t>67</w:t>
      </w:r>
      <w:r w:rsidRPr="001A3D2B">
        <w:t xml:space="preserve"> (7), 417-419.</w:t>
      </w:r>
    </w:p>
    <w:p w:rsidR="0032237C" w:rsidRPr="001A3D2B" w:rsidRDefault="0032237C" w:rsidP="003474F2">
      <w:pPr>
        <w:pStyle w:val="a3"/>
      </w:pPr>
      <w:r>
        <w:rPr>
          <w:rFonts w:hint="eastAsia"/>
        </w:rPr>
        <w:t xml:space="preserve">Full Text: </w:t>
      </w:r>
      <w:hyperlink r:id="rId1412" w:history="1">
        <w:r w:rsidRPr="0032237C">
          <w:rPr>
            <w:rStyle w:val="a5"/>
          </w:rPr>
          <w:t>1997\Aus New Zea J Sur67, 417.pdf</w:t>
        </w:r>
      </w:hyperlink>
    </w:p>
    <w:p w:rsidR="003474F2" w:rsidRPr="001A3D2B" w:rsidRDefault="003474F2" w:rsidP="003474F2">
      <w:pPr>
        <w:pStyle w:val="a3"/>
      </w:pPr>
      <w:r w:rsidRPr="001A3D2B">
        <w:t>Abstract: Background:</w:t>
      </w:r>
      <w:r w:rsidR="003A1917">
        <w:t xml:space="preserve"> the </w:t>
      </w:r>
      <w:r w:rsidRPr="001A3D2B">
        <w:t>accuracy</w:t>
      </w:r>
      <w:r w:rsidR="00427468">
        <w:t xml:space="preserve"> of </w:t>
      </w:r>
      <w:r w:rsidRPr="001A3D2B">
        <w:t>reference citations in</w:t>
      </w:r>
      <w:r w:rsidR="003A1917">
        <w:t xml:space="preserve"> the </w:t>
      </w:r>
      <w:r w:rsidRPr="001A3D2B">
        <w:t>Australian</w:t>
      </w:r>
      <w:r w:rsidR="005853A9">
        <w:t xml:space="preserve"> and </w:t>
      </w:r>
      <w:r w:rsidRPr="001A3D2B">
        <w:t>New Zealand Journal</w:t>
      </w:r>
      <w:r w:rsidR="00427468">
        <w:t xml:space="preserve"> of </w:t>
      </w:r>
      <w:r w:rsidRPr="001A3D2B">
        <w:t>Surgery was evaluated. All</w:t>
      </w:r>
      <w:r w:rsidR="00427468">
        <w:t xml:space="preserve"> of </w:t>
      </w:r>
      <w:r w:rsidR="003A1917">
        <w:t xml:space="preserve">the </w:t>
      </w:r>
      <w:r w:rsidRPr="001A3D2B">
        <w:t>references from 1995 (Volume 65) were included (n = 4092).</w:t>
      </w:r>
    </w:p>
    <w:p w:rsidR="003474F2" w:rsidRPr="001A3D2B" w:rsidRDefault="003474F2" w:rsidP="003474F2">
      <w:pPr>
        <w:pStyle w:val="a3"/>
      </w:pPr>
      <w:r w:rsidRPr="001A3D2B">
        <w:t>Methods: A sample</w:t>
      </w:r>
      <w:r w:rsidR="00427468">
        <w:t xml:space="preserve"> of </w:t>
      </w:r>
      <w:r w:rsidRPr="001A3D2B">
        <w:t>100 references was randomly selected</w:t>
      </w:r>
      <w:r w:rsidR="005853A9">
        <w:t xml:space="preserve"> and </w:t>
      </w:r>
      <w:r w:rsidRPr="001A3D2B">
        <w:t>examined in detail by comparison with</w:t>
      </w:r>
      <w:r w:rsidR="003A1917">
        <w:t xml:space="preserve"> the </w:t>
      </w:r>
      <w:r w:rsidRPr="001A3D2B">
        <w:t>original references.</w:t>
      </w:r>
    </w:p>
    <w:p w:rsidR="003474F2" w:rsidRPr="001A3D2B" w:rsidRDefault="003474F2" w:rsidP="003474F2">
      <w:pPr>
        <w:pStyle w:val="a3"/>
      </w:pPr>
      <w:r w:rsidRPr="001A3D2B">
        <w:t>Results: Overall, 60%</w:t>
      </w:r>
      <w:r w:rsidR="00427468">
        <w:t xml:space="preserve"> of </w:t>
      </w:r>
      <w:r w:rsidRPr="001A3D2B">
        <w:t>citations contained errors. Errors were categorized by dividing references into six elements. A total</w:t>
      </w:r>
      <w:r w:rsidR="00427468">
        <w:t xml:space="preserve"> of </w:t>
      </w:r>
      <w:r w:rsidRPr="001A3D2B">
        <w:t>38.8%</w:t>
      </w:r>
      <w:r w:rsidR="00427468">
        <w:t xml:space="preserve"> of </w:t>
      </w:r>
      <w:r w:rsidRPr="001A3D2B">
        <w:t>citations contained an error in one element, 15.6% contained errors in two elements, 4.4% contained errors in three elements,</w:t>
      </w:r>
      <w:r w:rsidR="005853A9">
        <w:t xml:space="preserve"> and </w:t>
      </w:r>
      <w:r w:rsidRPr="001A3D2B">
        <w:t>4.4% contained errors in four elements</w:t>
      </w:r>
      <w:r w:rsidR="00427468">
        <w:t xml:space="preserve"> of </w:t>
      </w:r>
      <w:r w:rsidR="003A1917">
        <w:t xml:space="preserve">the </w:t>
      </w:r>
      <w:r w:rsidRPr="001A3D2B">
        <w:t>reference</w:t>
      </w:r>
      <w:r w:rsidR="00A37C1D">
        <w:t>. The</w:t>
      </w:r>
      <w:r w:rsidR="003A1917">
        <w:t xml:space="preserve"> </w:t>
      </w:r>
      <w:r w:rsidRPr="001A3D2B">
        <w:t>most common errors were errors</w:t>
      </w:r>
      <w:r w:rsidR="00427468">
        <w:t xml:space="preserve"> of </w:t>
      </w:r>
      <w:r w:rsidRPr="001A3D2B">
        <w:t>authors</w:t>
      </w:r>
      <w:r w:rsidR="00700038">
        <w:t>’</w:t>
      </w:r>
      <w:r w:rsidRPr="001A3D2B">
        <w:t xml:space="preserve"> names</w:t>
      </w:r>
      <w:r w:rsidR="005853A9">
        <w:t xml:space="preserve"> and </w:t>
      </w:r>
      <w:r w:rsidRPr="001A3D2B">
        <w:t>errors in</w:t>
      </w:r>
      <w:r w:rsidR="003A1917">
        <w:t xml:space="preserve"> the </w:t>
      </w:r>
      <w:r w:rsidRPr="001A3D2B">
        <w:t>title.</w:t>
      </w:r>
    </w:p>
    <w:p w:rsidR="003474F2" w:rsidRPr="001A3D2B" w:rsidRDefault="003474F2" w:rsidP="003474F2">
      <w:pPr>
        <w:pStyle w:val="a3"/>
      </w:pPr>
      <w:r w:rsidRPr="001A3D2B">
        <w:t>Conclusions: Contributors to this journal should take more care in checking references in their manuscripts before publication.</w:t>
      </w:r>
    </w:p>
    <w:p w:rsidR="003474F2" w:rsidRPr="001A3D2B" w:rsidRDefault="003474F2" w:rsidP="003474F2">
      <w:pPr>
        <w:pStyle w:val="a3"/>
      </w:pPr>
      <w:r w:rsidRPr="001A3D2B">
        <w:t>Keywords: Documentation, Publications, Anesthesia</w:t>
      </w:r>
    </w:p>
    <w:p w:rsidR="003474F2" w:rsidRPr="001A3D2B" w:rsidRDefault="003474F2" w:rsidP="003474F2">
      <w:pPr>
        <w:pStyle w:val="a3"/>
      </w:pPr>
      <w:r w:rsidRPr="001A3D2B">
        <w:t>Beasley, S.W. (2000</w:t>
      </w:r>
      <w:r w:rsidR="00F42EAC">
        <w:t>), The</w:t>
      </w:r>
      <w:r w:rsidR="003A1917">
        <w:t xml:space="preserve"> </w:t>
      </w:r>
      <w:r w:rsidRPr="001A3D2B">
        <w:t>value</w:t>
      </w:r>
      <w:r w:rsidR="00427468">
        <w:t xml:space="preserve"> of </w:t>
      </w:r>
      <w:r w:rsidRPr="001A3D2B">
        <w:t xml:space="preserve">medical publications: </w:t>
      </w:r>
      <w:r w:rsidR="00700038">
        <w:t>‘</w:t>
      </w:r>
      <w:r w:rsidRPr="001A3D2B">
        <w:t>To read them would … burden</w:t>
      </w:r>
      <w:r w:rsidR="003A1917">
        <w:t xml:space="preserve"> the </w:t>
      </w:r>
      <w:r w:rsidRPr="001A3D2B">
        <w:t>memory to no useful purpose</w:t>
      </w:r>
      <w:r w:rsidR="00700038">
        <w:t>’</w:t>
      </w:r>
      <w:r w:rsidRPr="001A3D2B">
        <w:t xml:space="preserve">. </w:t>
      </w:r>
      <w:r w:rsidRPr="001A3D2B">
        <w:rPr>
          <w:i/>
          <w:iCs/>
        </w:rPr>
        <w:t>Australian</w:t>
      </w:r>
      <w:r w:rsidR="005853A9">
        <w:rPr>
          <w:i/>
          <w:iCs/>
        </w:rPr>
        <w:t xml:space="preserve"> and </w:t>
      </w:r>
      <w:r w:rsidRPr="001A3D2B">
        <w:rPr>
          <w:i/>
          <w:iCs/>
        </w:rPr>
        <w:t>New Zealand Journal</w:t>
      </w:r>
      <w:r w:rsidR="00427468">
        <w:rPr>
          <w:i/>
          <w:iCs/>
        </w:rPr>
        <w:t xml:space="preserve"> of </w:t>
      </w:r>
      <w:r w:rsidRPr="001A3D2B">
        <w:rPr>
          <w:i/>
          <w:iCs/>
        </w:rPr>
        <w:t>Surgery</w:t>
      </w:r>
      <w:r w:rsidRPr="001A3D2B">
        <w:t xml:space="preserve">, </w:t>
      </w:r>
      <w:r w:rsidRPr="001A3D2B">
        <w:rPr>
          <w:b/>
        </w:rPr>
        <w:t>70</w:t>
      </w:r>
      <w:r w:rsidRPr="001A3D2B">
        <w:rPr>
          <w:bCs/>
        </w:rPr>
        <w:t xml:space="preserve"> (12)</w:t>
      </w:r>
      <w:r w:rsidRPr="001A3D2B">
        <w:t>, 870-874.</w:t>
      </w:r>
    </w:p>
    <w:p w:rsidR="003474F2" w:rsidRPr="001A3D2B" w:rsidRDefault="003474F2" w:rsidP="003474F2">
      <w:pPr>
        <w:pStyle w:val="a3"/>
      </w:pPr>
      <w:r w:rsidRPr="001A3D2B">
        <w:t xml:space="preserve">Full Text: </w:t>
      </w:r>
      <w:hyperlink r:id="rId1413" w:history="1">
        <w:r w:rsidRPr="001A3D2B">
          <w:rPr>
            <w:rStyle w:val="a5"/>
          </w:rPr>
          <w:t>2000\ANZ J Sur70, 870.pdf</w:t>
        </w:r>
      </w:hyperlink>
    </w:p>
    <w:p w:rsidR="003474F2" w:rsidRPr="001A3D2B" w:rsidRDefault="003474F2" w:rsidP="003474F2">
      <w:pPr>
        <w:pStyle w:val="a3"/>
      </w:pPr>
      <w:r w:rsidRPr="001A3D2B">
        <w:t xml:space="preserve">Abstract: In 1782 William Black published his </w:t>
      </w:r>
      <w:r w:rsidRPr="001A3D2B">
        <w:rPr>
          <w:i/>
          <w:iCs/>
        </w:rPr>
        <w:t>Historical Sketch</w:t>
      </w:r>
      <w:r w:rsidR="00427468">
        <w:rPr>
          <w:i/>
          <w:iCs/>
        </w:rPr>
        <w:t xml:space="preserve"> of </w:t>
      </w:r>
      <w:r w:rsidRPr="001A3D2B">
        <w:rPr>
          <w:i/>
          <w:iCs/>
        </w:rPr>
        <w:t>Medicine</w:t>
      </w:r>
      <w:r w:rsidR="005853A9">
        <w:rPr>
          <w:i/>
          <w:iCs/>
        </w:rPr>
        <w:t xml:space="preserve"> and </w:t>
      </w:r>
      <w:r w:rsidRPr="001A3D2B">
        <w:rPr>
          <w:i/>
          <w:iCs/>
        </w:rPr>
        <w:t>Surgery</w:t>
      </w:r>
      <w:r w:rsidRPr="001A3D2B">
        <w:t>, in which he addressed</w:t>
      </w:r>
      <w:r w:rsidR="003A1917">
        <w:t xml:space="preserve"> the </w:t>
      </w:r>
      <w:r w:rsidRPr="001A3D2B">
        <w:t>subject</w:t>
      </w:r>
      <w:r w:rsidR="00427468">
        <w:t xml:space="preserve"> of </w:t>
      </w:r>
      <w:r w:rsidRPr="001A3D2B">
        <w:t>medical publications</w:t>
      </w:r>
      <w:r w:rsidR="005853A9">
        <w:t xml:space="preserve"> and </w:t>
      </w:r>
      <w:r w:rsidRPr="001A3D2B">
        <w:t>their value. He doubted whether even one physician in a tho</w:t>
      </w:r>
      <w:r w:rsidR="00D5664A">
        <w:t>USA</w:t>
      </w:r>
      <w:r w:rsidRPr="001A3D2B">
        <w:t xml:space="preserve">nd managed to add </w:t>
      </w:r>
      <w:r w:rsidR="00700038">
        <w:t>‘</w:t>
      </w:r>
      <w:r w:rsidRPr="001A3D2B">
        <w:t>one iota</w:t>
      </w:r>
      <w:r w:rsidR="00427468">
        <w:t xml:space="preserve"> of </w:t>
      </w:r>
      <w:r w:rsidRPr="001A3D2B">
        <w:t>information to</w:t>
      </w:r>
      <w:r w:rsidR="003A1917">
        <w:t xml:space="preserve"> the </w:t>
      </w:r>
      <w:r w:rsidRPr="001A3D2B">
        <w:t>medical fund</w:t>
      </w:r>
      <w:r w:rsidR="00700038">
        <w:t>’</w:t>
      </w:r>
      <w:r w:rsidR="005853A9">
        <w:t xml:space="preserve"> and </w:t>
      </w:r>
      <w:r w:rsidRPr="001A3D2B">
        <w:t>whether more than a tiny fraction</w:t>
      </w:r>
      <w:r w:rsidR="00427468">
        <w:t xml:space="preserve"> of </w:t>
      </w:r>
      <w:r w:rsidRPr="001A3D2B">
        <w:t xml:space="preserve">medical </w:t>
      </w:r>
      <w:r w:rsidRPr="001A3D2B">
        <w:lastRenderedPageBreak/>
        <w:t>publications over</w:t>
      </w:r>
      <w:r w:rsidR="003A1917">
        <w:t xml:space="preserve"> the </w:t>
      </w:r>
      <w:r w:rsidRPr="001A3D2B">
        <w:t xml:space="preserve">centuries had contained </w:t>
      </w:r>
      <w:r w:rsidR="00700038">
        <w:t>‘</w:t>
      </w:r>
      <w:r w:rsidRPr="001A3D2B">
        <w:t>any material discovery for useful improvement</w:t>
      </w:r>
      <w:r w:rsidR="00700038">
        <w:t>’</w:t>
      </w:r>
      <w:r w:rsidRPr="001A3D2B">
        <w:t xml:space="preserve"> in medical knowledge</w:t>
      </w:r>
      <w:r w:rsidR="00A37C1D">
        <w:t>. The</w:t>
      </w:r>
      <w:r w:rsidR="003A1917">
        <w:t xml:space="preserve"> </w:t>
      </w:r>
      <w:r w:rsidRPr="001A3D2B">
        <w:t>debate on</w:t>
      </w:r>
      <w:r w:rsidR="003A1917">
        <w:t xml:space="preserve"> the </w:t>
      </w:r>
      <w:r w:rsidRPr="001A3D2B">
        <w:t>value</w:t>
      </w:r>
      <w:r w:rsidR="00427468">
        <w:t xml:space="preserve"> of </w:t>
      </w:r>
      <w:r w:rsidRPr="001A3D2B">
        <w:t>published material</w:t>
      </w:r>
      <w:r w:rsidR="005853A9">
        <w:t xml:space="preserve"> and </w:t>
      </w:r>
      <w:r w:rsidR="003A1917">
        <w:t xml:space="preserve">the </w:t>
      </w:r>
      <w:r w:rsidRPr="001A3D2B">
        <w:t>explosion</w:t>
      </w:r>
      <w:r w:rsidR="00427468">
        <w:t xml:space="preserve"> of </w:t>
      </w:r>
      <w:r w:rsidRPr="001A3D2B">
        <w:t>medical publication continues:</w:t>
      </w:r>
      <w:r w:rsidR="003A1917">
        <w:t xml:space="preserve"> the </w:t>
      </w:r>
      <w:r w:rsidRPr="001A3D2B">
        <w:t>National Library</w:t>
      </w:r>
      <w:r w:rsidR="00427468">
        <w:t xml:space="preserve"> of </w:t>
      </w:r>
      <w:r w:rsidRPr="001A3D2B">
        <w:t xml:space="preserve">Medicine search service now has access to 9 million articles on </w:t>
      </w:r>
      <w:r w:rsidR="00D5664A">
        <w:t>MEDLINE</w:t>
      </w:r>
      <w:r w:rsidRPr="001A3D2B">
        <w:t>, from 3900 current medical journals. Easy identification</w:t>
      </w:r>
      <w:r w:rsidR="005853A9">
        <w:t xml:space="preserve"> and </w:t>
      </w:r>
      <w:r w:rsidRPr="001A3D2B">
        <w:t>retrieval</w:t>
      </w:r>
      <w:r w:rsidR="00427468">
        <w:t xml:space="preserve"> of </w:t>
      </w:r>
      <w:r w:rsidRPr="001A3D2B">
        <w:t>relevant</w:t>
      </w:r>
      <w:r w:rsidR="005853A9">
        <w:t xml:space="preserve"> and </w:t>
      </w:r>
      <w:r w:rsidRPr="001A3D2B">
        <w:t>worthwhile information remain major obstacles for</w:t>
      </w:r>
      <w:r w:rsidR="003A1917">
        <w:t xml:space="preserve"> the </w:t>
      </w:r>
      <w:r w:rsidRPr="001A3D2B">
        <w:t>clinician despite advances in electronic information systems. Black</w:t>
      </w:r>
      <w:r w:rsidR="00700038">
        <w:t>’</w:t>
      </w:r>
      <w:r w:rsidR="00C13DDC">
        <w:t>s</w:t>
      </w:r>
      <w:r w:rsidRPr="001A3D2B">
        <w:t xml:space="preserve"> concerns about medical publications, concerns that echoed</w:t>
      </w:r>
      <w:r w:rsidR="003A1917">
        <w:t xml:space="preserve"> the </w:t>
      </w:r>
      <w:r w:rsidRPr="001A3D2B">
        <w:t>more general doubts</w:t>
      </w:r>
      <w:r w:rsidR="00427468">
        <w:t xml:space="preserve"> of </w:t>
      </w:r>
      <w:r w:rsidRPr="001A3D2B">
        <w:t>philosopher Voltaire quoted in</w:t>
      </w:r>
      <w:r w:rsidR="003A1917">
        <w:t xml:space="preserve"> the </w:t>
      </w:r>
      <w:r w:rsidRPr="001A3D2B">
        <w:t>title, appear to be timeless.</w:t>
      </w:r>
    </w:p>
    <w:p w:rsidR="00342A01" w:rsidRPr="00F219CA" w:rsidRDefault="00342A01" w:rsidP="00342A01">
      <w:pPr>
        <w:pStyle w:val="1"/>
      </w:pPr>
      <w:r w:rsidRPr="00F219CA">
        <w:br w:type="page"/>
      </w:r>
      <w:bookmarkStart w:id="722" w:name="_Toc420814683"/>
      <w:r w:rsidRPr="00F219CA">
        <w:lastRenderedPageBreak/>
        <w:t xml:space="preserve">Title: </w:t>
      </w:r>
      <w:r w:rsidRPr="00342A01">
        <w:t>Australian Occupational Therapy Journal</w:t>
      </w:r>
      <w:bookmarkEnd w:id="722"/>
    </w:p>
    <w:p w:rsidR="00342A01" w:rsidRPr="00F219CA" w:rsidRDefault="00342A01" w:rsidP="00342A01">
      <w:pPr>
        <w:pStyle w:val="12"/>
      </w:pPr>
      <w:r w:rsidRPr="00F219CA">
        <w:t xml:space="preserve">Full Journal Title: </w:t>
      </w:r>
      <w:r w:rsidRPr="00342A01">
        <w:rPr>
          <w:iCs/>
          <w:kern w:val="0"/>
        </w:rPr>
        <w:t>Australian Occupational Therapy Journal</w:t>
      </w:r>
    </w:p>
    <w:p w:rsidR="00342A01" w:rsidRPr="00F219CA" w:rsidRDefault="00342A01" w:rsidP="00342A01">
      <w:pPr>
        <w:pStyle w:val="12"/>
      </w:pPr>
      <w:r w:rsidRPr="00F219CA">
        <w:t xml:space="preserve">ISO Abbreviated Title: </w:t>
      </w:r>
    </w:p>
    <w:p w:rsidR="00342A01" w:rsidRPr="00F219CA" w:rsidRDefault="00342A01" w:rsidP="00342A01">
      <w:pPr>
        <w:pStyle w:val="12"/>
      </w:pPr>
      <w:r w:rsidRPr="00F219CA">
        <w:t xml:space="preserve">JCR Abbreviated Title: </w:t>
      </w:r>
    </w:p>
    <w:p w:rsidR="00342A01" w:rsidRPr="00F219CA" w:rsidRDefault="00342A01" w:rsidP="00342A01">
      <w:pPr>
        <w:pStyle w:val="12"/>
      </w:pPr>
      <w:r>
        <w:t xml:space="preserve">ISSN: </w:t>
      </w:r>
    </w:p>
    <w:p w:rsidR="00342A01" w:rsidRPr="00F219CA" w:rsidRDefault="00342A01" w:rsidP="00342A01">
      <w:pPr>
        <w:pStyle w:val="12"/>
      </w:pPr>
      <w:r w:rsidRPr="00F219CA">
        <w:t xml:space="preserve">Issues/Year: </w:t>
      </w:r>
    </w:p>
    <w:p w:rsidR="00342A01" w:rsidRPr="00F219CA" w:rsidRDefault="00342A01" w:rsidP="00342A01">
      <w:pPr>
        <w:pStyle w:val="12"/>
      </w:pPr>
      <w:r w:rsidRPr="00F219CA">
        <w:t xml:space="preserve">Journal Country/Territory: </w:t>
      </w:r>
    </w:p>
    <w:p w:rsidR="00342A01" w:rsidRPr="00F219CA" w:rsidRDefault="00342A01" w:rsidP="00342A01">
      <w:pPr>
        <w:pStyle w:val="12"/>
      </w:pPr>
      <w:r w:rsidRPr="00F219CA">
        <w:t xml:space="preserve">Language: </w:t>
      </w:r>
    </w:p>
    <w:p w:rsidR="00342A01" w:rsidRPr="00F219CA" w:rsidRDefault="00342A01" w:rsidP="00342A01">
      <w:pPr>
        <w:pStyle w:val="12"/>
      </w:pPr>
      <w:r w:rsidRPr="00F219CA">
        <w:t xml:space="preserve">Publisher: </w:t>
      </w:r>
    </w:p>
    <w:p w:rsidR="00342A01" w:rsidRPr="00F219CA" w:rsidRDefault="00342A01" w:rsidP="00342A01">
      <w:pPr>
        <w:pStyle w:val="12"/>
      </w:pPr>
      <w:r w:rsidRPr="00F219CA">
        <w:t xml:space="preserve">Publisher Address: </w:t>
      </w:r>
    </w:p>
    <w:p w:rsidR="00342A01" w:rsidRPr="00F219CA" w:rsidRDefault="00342A01" w:rsidP="00342A01">
      <w:pPr>
        <w:pStyle w:val="12"/>
      </w:pPr>
      <w:r w:rsidRPr="00F219CA">
        <w:t>Subject Categories:</w:t>
      </w:r>
    </w:p>
    <w:p w:rsidR="00342A01" w:rsidRPr="00F219CA" w:rsidRDefault="00342A01" w:rsidP="00342A01">
      <w:pPr>
        <w:pStyle w:val="12"/>
      </w:pPr>
      <w:r w:rsidRPr="00F219CA">
        <w:t xml:space="preserve">: Impact Factor </w:t>
      </w:r>
    </w:p>
    <w:p w:rsidR="005859EB" w:rsidRDefault="005859EB" w:rsidP="005859EB">
      <w:pPr>
        <w:pStyle w:val="a3"/>
        <w:rPr>
          <w:kern w:val="0"/>
        </w:rPr>
      </w:pPr>
      <w:r>
        <w:rPr>
          <w:kern w:val="0"/>
        </w:rPr>
        <w:t xml:space="preserve">? Kho, A.Y., Liu, K.P.Y. and Chung, R.C.K. (2014), Meta-analysis on the effect of mental imagery on motor recovery of the hemiplegic upper extremity function. </w:t>
      </w:r>
      <w:r>
        <w:rPr>
          <w:i/>
          <w:iCs/>
          <w:kern w:val="0"/>
        </w:rPr>
        <w:t>Australian Occupational Therapy Journal</w:t>
      </w:r>
      <w:r>
        <w:rPr>
          <w:kern w:val="0"/>
        </w:rPr>
        <w:t xml:space="preserve">, </w:t>
      </w:r>
      <w:r>
        <w:rPr>
          <w:b/>
          <w:bCs/>
          <w:kern w:val="0"/>
        </w:rPr>
        <w:t>61</w:t>
      </w:r>
      <w:r>
        <w:rPr>
          <w:kern w:val="0"/>
        </w:rPr>
        <w:t xml:space="preserve"> (2), 38-48.</w:t>
      </w:r>
    </w:p>
    <w:p w:rsidR="005859EB" w:rsidRDefault="005859EB" w:rsidP="005859EB">
      <w:pPr>
        <w:pStyle w:val="a3"/>
        <w:rPr>
          <w:kern w:val="0"/>
        </w:rPr>
      </w:pPr>
      <w:r>
        <w:rPr>
          <w:kern w:val="0"/>
        </w:rPr>
        <w:t xml:space="preserve">Full Text: </w:t>
      </w:r>
      <w:hyperlink r:id="rId1414" w:history="1">
        <w:r w:rsidRPr="005859EB">
          <w:rPr>
            <w:rStyle w:val="a5"/>
            <w:kern w:val="0"/>
          </w:rPr>
          <w:t>2014\Aus Occ The J61, 38.pdf</w:t>
        </w:r>
      </w:hyperlink>
    </w:p>
    <w:p w:rsidR="005859EB" w:rsidRDefault="005859EB" w:rsidP="005859EB">
      <w:pPr>
        <w:pStyle w:val="a3"/>
        <w:rPr>
          <w:kern w:val="0"/>
        </w:rPr>
      </w:pPr>
      <w:r>
        <w:rPr>
          <w:kern w:val="0"/>
        </w:rPr>
        <w:t>Abstract: Background/aimStudies have shown that mental imagery can enhance relearning and generalisation of function after stroke</w:t>
      </w:r>
      <w:r w:rsidR="00A37C1D">
        <w:rPr>
          <w:kern w:val="0"/>
        </w:rPr>
        <w:t>. The</w:t>
      </w:r>
      <w:r>
        <w:rPr>
          <w:kern w:val="0"/>
        </w:rPr>
        <w:t xml:space="preserve"> aim of this meta-analysis was to evaluate evidence on the effects of mental imagery on motor recovery of the hemiplegic upper extremities after stroke. MethodsA comprehensive data base search of the literature up to December 2012 was performed using PubMed, EBSCO host (Academic Search Premier, CINAHL and Educational Resource Information Center), PsycINFO, Medline, and ISI Web of Knowledge (Science Citation Index and Social Sciences Citation Index). Randomised clinical trials or controlled clinical trials that included mental imagery for improving upper extremity motor function for stroke patients were located. Relevant articles were critically reviewed and methodological quality was evaluated using the PEDro Scale, and study results synthesised. ResultsFive randomised clinical trials and one controlled clinical trial met the inclusion criteria. Five of the six studies yielded positive findings in favour of mental imagery. Quantitative analysis showed a significant difference in the Action Research Arm Test (overall effect: Z=6.75; P&lt;&lt;0.001). ConclusionReview of the literature revealed a trend in support of the use of motor imagery for upper extremity motor rehabilitation after stroke. Mental imagery could be a viable intervention for stroke patients given its benefits of being safe, cost-effective and rendering multiple and unlimited practice opportunities. It is recommended that researchers incorporate imaging techniques into clinical studies so that the mechanism whereby mental imagery mediates motor recovery or neural adaptation for people with stroke can be </w:t>
      </w:r>
      <w:r>
        <w:rPr>
          <w:kern w:val="0"/>
        </w:rPr>
        <w:lastRenderedPageBreak/>
        <w:t>better understood.</w:t>
      </w:r>
    </w:p>
    <w:p w:rsidR="005859EB" w:rsidRDefault="005859EB" w:rsidP="005859EB">
      <w:pPr>
        <w:pStyle w:val="a3"/>
        <w:rPr>
          <w:kern w:val="0"/>
        </w:rPr>
      </w:pPr>
      <w:r>
        <w:rPr>
          <w:kern w:val="0"/>
        </w:rPr>
        <w:t>Keywords: Academic, Adaptation, Analysis, Benefits, Citation, Clinical, Clinical Studies, Clinical Trial, Clinical Trials, Controlled Clinical Trial, Copenhagen Stroke, Cost-Effective, Criteria, Data, Data Base, Data-Base, Effects, Evidence, Feedback, Function, Hand Function, Host, Imaging, Information, Intervention, Isi, Knowledge, Literature, Mechanism, Medline, Mental Imagery, Meta Analysis, Meta-Analysis, Metaanalysis, Motor Function, Motor Recovery, Movement, Patients, Practice, Psycinfo, Pubmed, Quality, Quantitative Analysis, Randomised, Randomized Controlled-Trial, Recovery, Rehabilitation, Rendering, Representations, Research, Scale, Science, Science Citation Index, Sciences, Search, Social Sciences, Social Sciences Citation Index, Stroke, Stroke Patients, Support, Techniques, Test, Trend, Trial, Upper Extremity, Web Of Knowledge</w:t>
      </w:r>
    </w:p>
    <w:p w:rsidR="00CD2052" w:rsidRPr="00F219CA" w:rsidRDefault="00CD2052" w:rsidP="00CD2052">
      <w:pPr>
        <w:pStyle w:val="1"/>
      </w:pPr>
      <w:r w:rsidRPr="00F219CA">
        <w:br w:type="page"/>
      </w:r>
      <w:bookmarkStart w:id="723" w:name="_Toc420814684"/>
      <w:r w:rsidRPr="00F219CA">
        <w:lastRenderedPageBreak/>
        <w:t>Title: Australian Psychologist</w:t>
      </w:r>
      <w:bookmarkEnd w:id="723"/>
    </w:p>
    <w:p w:rsidR="00CD2052" w:rsidRPr="00F219CA" w:rsidRDefault="00CD2052" w:rsidP="00CD2052">
      <w:pPr>
        <w:pStyle w:val="12"/>
      </w:pPr>
      <w:r w:rsidRPr="00F219CA">
        <w:t>Full Journal Ti</w:t>
      </w:r>
      <w:bookmarkStart w:id="724" w:name="_Toc278372519"/>
      <w:r w:rsidRPr="00F219CA">
        <w:t>tle: Australian Psychologist</w:t>
      </w:r>
    </w:p>
    <w:p w:rsidR="00CD2052" w:rsidRPr="00F219CA" w:rsidRDefault="00CD2052" w:rsidP="00CD2052">
      <w:pPr>
        <w:pStyle w:val="12"/>
      </w:pPr>
      <w:r w:rsidRPr="00F219CA">
        <w:t>I</w:t>
      </w:r>
      <w:bookmarkEnd w:id="724"/>
      <w:r w:rsidRPr="00F219CA">
        <w:t xml:space="preserve">SO Abbreviated Title: </w:t>
      </w:r>
    </w:p>
    <w:p w:rsidR="00CD2052" w:rsidRPr="00F219CA" w:rsidRDefault="00CD2052" w:rsidP="00CD2052">
      <w:pPr>
        <w:pStyle w:val="12"/>
      </w:pPr>
      <w:r w:rsidRPr="00F219CA">
        <w:t xml:space="preserve">JCR Abbreviated Title: </w:t>
      </w:r>
    </w:p>
    <w:p w:rsidR="00CD2052" w:rsidRPr="00F219CA" w:rsidRDefault="00CD2052" w:rsidP="00CD2052">
      <w:pPr>
        <w:pStyle w:val="12"/>
      </w:pPr>
      <w:r w:rsidRPr="00F219CA">
        <w:t>ISSN: 1742-7835</w:t>
      </w:r>
    </w:p>
    <w:p w:rsidR="00CD2052" w:rsidRPr="00F219CA" w:rsidRDefault="00CD2052" w:rsidP="00CD2052">
      <w:pPr>
        <w:pStyle w:val="12"/>
      </w:pPr>
      <w:r w:rsidRPr="00F219CA">
        <w:t xml:space="preserve">Issues/Year: </w:t>
      </w:r>
    </w:p>
    <w:p w:rsidR="00CD2052" w:rsidRPr="00F219CA" w:rsidRDefault="00CD2052" w:rsidP="00CD2052">
      <w:pPr>
        <w:pStyle w:val="12"/>
      </w:pPr>
      <w:r w:rsidRPr="00F219CA">
        <w:t xml:space="preserve">Journal Country/Territory: </w:t>
      </w:r>
    </w:p>
    <w:p w:rsidR="00CD2052" w:rsidRPr="00F219CA" w:rsidRDefault="00CD2052" w:rsidP="00CD2052">
      <w:pPr>
        <w:pStyle w:val="12"/>
      </w:pPr>
      <w:r w:rsidRPr="00F219CA">
        <w:t xml:space="preserve">Language: </w:t>
      </w:r>
    </w:p>
    <w:p w:rsidR="00CD2052" w:rsidRPr="00F219CA" w:rsidRDefault="00CD2052" w:rsidP="00CD2052">
      <w:pPr>
        <w:pStyle w:val="12"/>
      </w:pPr>
      <w:r w:rsidRPr="00F219CA">
        <w:t xml:space="preserve">Publisher: </w:t>
      </w:r>
    </w:p>
    <w:p w:rsidR="00CD2052" w:rsidRPr="00F219CA" w:rsidRDefault="00CD2052" w:rsidP="00CD2052">
      <w:pPr>
        <w:pStyle w:val="12"/>
      </w:pPr>
      <w:r w:rsidRPr="00F219CA">
        <w:t xml:space="preserve">Publisher Address: </w:t>
      </w:r>
    </w:p>
    <w:p w:rsidR="00CD2052" w:rsidRPr="00F219CA" w:rsidRDefault="00CD2052" w:rsidP="00CD2052">
      <w:pPr>
        <w:pStyle w:val="12"/>
      </w:pPr>
      <w:r w:rsidRPr="00F219CA">
        <w:t>Subject Categories:</w:t>
      </w:r>
    </w:p>
    <w:p w:rsidR="00CD2052" w:rsidRPr="00F219CA" w:rsidRDefault="00CD2052" w:rsidP="00CD2052">
      <w:pPr>
        <w:pStyle w:val="12"/>
      </w:pPr>
      <w:r w:rsidRPr="00F219CA">
        <w:t xml:space="preserve">: Impact Factor </w:t>
      </w:r>
    </w:p>
    <w:p w:rsidR="00CD2052" w:rsidRPr="00F219CA" w:rsidRDefault="00CD2052" w:rsidP="00CD2052">
      <w:pPr>
        <w:pStyle w:val="a3"/>
        <w:rPr>
          <w:kern w:val="0"/>
          <w:szCs w:val="24"/>
        </w:rPr>
      </w:pPr>
      <w:r w:rsidRPr="00F219CA">
        <w:rPr>
          <w:kern w:val="0"/>
          <w:szCs w:val="24"/>
        </w:rPr>
        <w:t>? Over, R. (1981), Bibliometric profile</w:t>
      </w:r>
      <w:r w:rsidR="00427468">
        <w:rPr>
          <w:kern w:val="0"/>
          <w:szCs w:val="24"/>
        </w:rPr>
        <w:t xml:space="preserve"> of </w:t>
      </w:r>
      <w:r w:rsidRPr="00F219CA">
        <w:rPr>
          <w:kern w:val="0"/>
          <w:szCs w:val="24"/>
        </w:rPr>
        <w:t xml:space="preserve">Australian psychologist. </w:t>
      </w:r>
      <w:r w:rsidRPr="00F219CA">
        <w:rPr>
          <w:i/>
          <w:iCs/>
          <w:kern w:val="0"/>
          <w:szCs w:val="24"/>
        </w:rPr>
        <w:t>Australian Psychologist</w:t>
      </w:r>
      <w:r w:rsidRPr="00F219CA">
        <w:rPr>
          <w:kern w:val="0"/>
          <w:szCs w:val="24"/>
        </w:rPr>
        <w:t xml:space="preserve">, </w:t>
      </w:r>
      <w:r w:rsidRPr="00F219CA">
        <w:rPr>
          <w:b/>
          <w:bCs/>
          <w:kern w:val="0"/>
          <w:szCs w:val="24"/>
        </w:rPr>
        <w:t>16</w:t>
      </w:r>
      <w:r w:rsidRPr="00F219CA">
        <w:rPr>
          <w:kern w:val="0"/>
          <w:szCs w:val="24"/>
        </w:rPr>
        <w:t xml:space="preserve"> (3), 433-435.</w:t>
      </w:r>
    </w:p>
    <w:p w:rsidR="00CD2052" w:rsidRPr="00F219CA" w:rsidRDefault="00CD2052" w:rsidP="00CD2052">
      <w:pPr>
        <w:pStyle w:val="a3"/>
        <w:rPr>
          <w:kern w:val="0"/>
          <w:szCs w:val="24"/>
        </w:rPr>
      </w:pPr>
      <w:r w:rsidRPr="00F219CA">
        <w:rPr>
          <w:kern w:val="0"/>
          <w:szCs w:val="24"/>
        </w:rPr>
        <w:t>Keywords: Bibliometric</w:t>
      </w:r>
    </w:p>
    <w:p w:rsidR="00D74D48" w:rsidRPr="001A3D2B" w:rsidRDefault="00D74D48" w:rsidP="00D74D48">
      <w:pPr>
        <w:pStyle w:val="1"/>
      </w:pPr>
      <w:r w:rsidRPr="001A3D2B">
        <w:br w:type="page"/>
      </w:r>
      <w:bookmarkStart w:id="725" w:name="_Toc420814685"/>
      <w:r w:rsidRPr="001A3D2B">
        <w:lastRenderedPageBreak/>
        <w:t xml:space="preserve">Title: </w:t>
      </w:r>
      <w:r w:rsidRPr="00AF66DC">
        <w:t>Australian Veterinary Journal</w:t>
      </w:r>
      <w:bookmarkEnd w:id="725"/>
    </w:p>
    <w:p w:rsidR="00D74D48" w:rsidRPr="001A3D2B" w:rsidRDefault="00D74D48" w:rsidP="00D74D48">
      <w:pPr>
        <w:pStyle w:val="12"/>
      </w:pPr>
      <w:r w:rsidRPr="001A3D2B">
        <w:t xml:space="preserve">Full Journal Title: </w:t>
      </w:r>
      <w:r w:rsidRPr="00AF66DC">
        <w:rPr>
          <w:iCs/>
          <w:kern w:val="0"/>
        </w:rPr>
        <w:t>Australian Veterinary Journal</w:t>
      </w:r>
    </w:p>
    <w:p w:rsidR="00D74D48" w:rsidRPr="001A3D2B" w:rsidRDefault="00D74D48" w:rsidP="00D74D48">
      <w:pPr>
        <w:pStyle w:val="12"/>
      </w:pPr>
      <w:r w:rsidRPr="001A3D2B">
        <w:t xml:space="preserve">ISO Abbreviated Title: </w:t>
      </w:r>
    </w:p>
    <w:p w:rsidR="00D74D48" w:rsidRPr="001A3D2B" w:rsidRDefault="00D74D48" w:rsidP="00D74D48">
      <w:pPr>
        <w:pStyle w:val="12"/>
      </w:pPr>
      <w:r w:rsidRPr="001A3D2B">
        <w:t xml:space="preserve">JCR Abbreviated Title: </w:t>
      </w:r>
    </w:p>
    <w:p w:rsidR="00D74D48" w:rsidRPr="001A3D2B" w:rsidRDefault="00D74D48" w:rsidP="00D74D48">
      <w:pPr>
        <w:pStyle w:val="12"/>
      </w:pPr>
      <w:r w:rsidRPr="001A3D2B">
        <w:t xml:space="preserve">ISSN: </w:t>
      </w:r>
    </w:p>
    <w:p w:rsidR="00D74D48" w:rsidRPr="001A3D2B" w:rsidRDefault="00D74D48" w:rsidP="00D74D48">
      <w:pPr>
        <w:pStyle w:val="12"/>
      </w:pPr>
      <w:r w:rsidRPr="001A3D2B">
        <w:t xml:space="preserve">Issues/Year: </w:t>
      </w:r>
    </w:p>
    <w:p w:rsidR="00D74D48" w:rsidRPr="001A3D2B" w:rsidRDefault="00D74D48" w:rsidP="00D74D48">
      <w:pPr>
        <w:pStyle w:val="12"/>
      </w:pPr>
      <w:r w:rsidRPr="001A3D2B">
        <w:t xml:space="preserve">Journal Country/Territory: </w:t>
      </w:r>
    </w:p>
    <w:p w:rsidR="00D74D48" w:rsidRPr="001A3D2B" w:rsidRDefault="00D74D48" w:rsidP="00D74D48">
      <w:pPr>
        <w:pStyle w:val="12"/>
      </w:pPr>
      <w:r w:rsidRPr="001A3D2B">
        <w:t xml:space="preserve">Language: </w:t>
      </w:r>
    </w:p>
    <w:p w:rsidR="00D74D48" w:rsidRPr="001A3D2B" w:rsidRDefault="00D74D48" w:rsidP="00D74D48">
      <w:pPr>
        <w:pStyle w:val="12"/>
      </w:pPr>
      <w:r w:rsidRPr="001A3D2B">
        <w:t xml:space="preserve">Publisher: </w:t>
      </w:r>
    </w:p>
    <w:p w:rsidR="00D74D48" w:rsidRPr="001A3D2B" w:rsidRDefault="00D74D48" w:rsidP="00D74D48">
      <w:pPr>
        <w:pStyle w:val="12"/>
      </w:pPr>
      <w:r w:rsidRPr="001A3D2B">
        <w:t xml:space="preserve">Publisher Address: </w:t>
      </w:r>
    </w:p>
    <w:p w:rsidR="00D74D48" w:rsidRPr="001A3D2B" w:rsidRDefault="00D74D48" w:rsidP="00D74D48">
      <w:pPr>
        <w:pStyle w:val="12"/>
      </w:pPr>
      <w:r w:rsidRPr="001A3D2B">
        <w:t>Subject Categories:</w:t>
      </w:r>
    </w:p>
    <w:p w:rsidR="00D74D48" w:rsidRPr="001A3D2B" w:rsidRDefault="00D74D48" w:rsidP="00D74D48">
      <w:pPr>
        <w:pStyle w:val="12"/>
      </w:pPr>
      <w:r w:rsidRPr="001A3D2B">
        <w:t xml:space="preserve">: Impact Factor </w:t>
      </w:r>
    </w:p>
    <w:p w:rsidR="00D74D48" w:rsidRDefault="00D74D48" w:rsidP="00D74D48">
      <w:pPr>
        <w:pStyle w:val="a3"/>
        <w:rPr>
          <w:kern w:val="0"/>
        </w:rPr>
      </w:pPr>
      <w:r>
        <w:rPr>
          <w:rFonts w:hint="eastAsia"/>
          <w:kern w:val="0"/>
        </w:rPr>
        <w:t xml:space="preserve">? </w:t>
      </w:r>
      <w:r>
        <w:rPr>
          <w:kern w:val="0"/>
        </w:rPr>
        <w:t>Racklyeft, D.J., Raidal, S.</w:t>
      </w:r>
      <w:r w:rsidR="005853A9">
        <w:rPr>
          <w:kern w:val="0"/>
        </w:rPr>
        <w:t xml:space="preserve"> and </w:t>
      </w:r>
      <w:r>
        <w:rPr>
          <w:kern w:val="0"/>
        </w:rPr>
        <w:t>Love, D.N. (2000), Towards an understanding</w:t>
      </w:r>
      <w:r w:rsidR="00427468">
        <w:rPr>
          <w:kern w:val="0"/>
        </w:rPr>
        <w:t xml:space="preserve"> of </w:t>
      </w:r>
      <w:r>
        <w:rPr>
          <w:kern w:val="0"/>
        </w:rPr>
        <w:t xml:space="preserve">equine pleuropneumonia: Factors relevant for control. </w:t>
      </w:r>
      <w:r w:rsidRPr="00AF66DC">
        <w:rPr>
          <w:i/>
          <w:iCs/>
          <w:kern w:val="0"/>
        </w:rPr>
        <w:t>Australian Veterinary Journal</w:t>
      </w:r>
      <w:r>
        <w:rPr>
          <w:kern w:val="0"/>
        </w:rPr>
        <w:t xml:space="preserve">, </w:t>
      </w:r>
      <w:r>
        <w:rPr>
          <w:b/>
          <w:bCs/>
          <w:kern w:val="0"/>
        </w:rPr>
        <w:t>78</w:t>
      </w:r>
      <w:r>
        <w:rPr>
          <w:kern w:val="0"/>
        </w:rPr>
        <w:t xml:space="preserve"> (5), 334-338.</w:t>
      </w:r>
    </w:p>
    <w:p w:rsidR="00D74D48" w:rsidRDefault="00D74D48" w:rsidP="00D74D48">
      <w:pPr>
        <w:pStyle w:val="a3"/>
      </w:pPr>
      <w:r>
        <w:rPr>
          <w:rFonts w:hint="eastAsia"/>
          <w:kern w:val="0"/>
        </w:rPr>
        <w:t xml:space="preserve">Full Text: </w:t>
      </w:r>
      <w:hyperlink r:id="rId1415" w:history="1">
        <w:r w:rsidRPr="00D74D48">
          <w:rPr>
            <w:rStyle w:val="a5"/>
            <w:kern w:val="0"/>
          </w:rPr>
          <w:t>2000\Aus Vet J78, 334.pdf</w:t>
        </w:r>
      </w:hyperlink>
    </w:p>
    <w:p w:rsidR="00D74D48" w:rsidRDefault="00D74D48" w:rsidP="00D74D48">
      <w:pPr>
        <w:pStyle w:val="a3"/>
        <w:rPr>
          <w:kern w:val="0"/>
        </w:rPr>
      </w:pPr>
      <w:r>
        <w:rPr>
          <w:kern w:val="0"/>
        </w:rPr>
        <w:t>Abstract: Objective To review relevant literature on factors associated with</w:t>
      </w:r>
      <w:r w:rsidR="003A1917">
        <w:rPr>
          <w:kern w:val="0"/>
        </w:rPr>
        <w:t xml:space="preserve"> the </w:t>
      </w:r>
      <w:r>
        <w:rPr>
          <w:kern w:val="0"/>
        </w:rPr>
        <w:t>development</w:t>
      </w:r>
      <w:r w:rsidR="00427468">
        <w:rPr>
          <w:kern w:val="0"/>
        </w:rPr>
        <w:t xml:space="preserve"> of </w:t>
      </w:r>
      <w:r>
        <w:rPr>
          <w:kern w:val="0"/>
        </w:rPr>
        <w:t>equine pleuropneumonia Design A review</w:t>
      </w:r>
      <w:r w:rsidR="00427468">
        <w:rPr>
          <w:kern w:val="0"/>
        </w:rPr>
        <w:t xml:space="preserve"> of </w:t>
      </w:r>
      <w:r w:rsidR="003A1917">
        <w:rPr>
          <w:kern w:val="0"/>
        </w:rPr>
        <w:t xml:space="preserve">the </w:t>
      </w:r>
      <w:r>
        <w:rPr>
          <w:kern w:val="0"/>
        </w:rPr>
        <w:t>literature using a range</w:t>
      </w:r>
      <w:r w:rsidR="00427468">
        <w:rPr>
          <w:kern w:val="0"/>
        </w:rPr>
        <w:t xml:space="preserve"> of </w:t>
      </w:r>
      <w:r>
        <w:rPr>
          <w:kern w:val="0"/>
        </w:rPr>
        <w:t xml:space="preserve">databases including Current Contents, </w:t>
      </w:r>
      <w:r w:rsidR="00D5664A">
        <w:rPr>
          <w:kern w:val="0"/>
        </w:rPr>
        <w:t>MEDLINE</w:t>
      </w:r>
      <w:r>
        <w:rPr>
          <w:kern w:val="0"/>
        </w:rPr>
        <w:t>, ChemAbstracts, Biological Abstracts</w:t>
      </w:r>
      <w:r w:rsidR="005853A9">
        <w:rPr>
          <w:kern w:val="0"/>
        </w:rPr>
        <w:t xml:space="preserve"> and </w:t>
      </w:r>
      <w:r>
        <w:rPr>
          <w:kern w:val="0"/>
        </w:rPr>
        <w:t>CAB</w:t>
      </w:r>
      <w:r w:rsidR="005853A9">
        <w:rPr>
          <w:kern w:val="0"/>
        </w:rPr>
        <w:t xml:space="preserve"> and </w:t>
      </w:r>
      <w:r>
        <w:rPr>
          <w:kern w:val="0"/>
        </w:rPr>
        <w:t>a comprehensive search strategy which involved use</w:t>
      </w:r>
      <w:r w:rsidR="00427468">
        <w:rPr>
          <w:kern w:val="0"/>
        </w:rPr>
        <w:t xml:space="preserve"> of </w:t>
      </w:r>
      <w:r>
        <w:rPr>
          <w:kern w:val="0"/>
        </w:rPr>
        <w:t>keywords, author</w:t>
      </w:r>
      <w:r w:rsidR="005853A9">
        <w:rPr>
          <w:kern w:val="0"/>
        </w:rPr>
        <w:t xml:space="preserve"> and </w:t>
      </w:r>
      <w:r>
        <w:rPr>
          <w:kern w:val="0"/>
        </w:rPr>
        <w:t>subject category searches. Additional sources included review</w:t>
      </w:r>
      <w:r w:rsidR="00427468">
        <w:rPr>
          <w:kern w:val="0"/>
        </w:rPr>
        <w:t xml:space="preserve"> of </w:t>
      </w:r>
      <w:r>
        <w:rPr>
          <w:kern w:val="0"/>
        </w:rPr>
        <w:t>articles cited by key accumulated references. Results Since</w:t>
      </w:r>
      <w:r w:rsidR="003A1917">
        <w:rPr>
          <w:kern w:val="0"/>
        </w:rPr>
        <w:t xml:space="preserve"> the </w:t>
      </w:r>
      <w:r>
        <w:rPr>
          <w:kern w:val="0"/>
        </w:rPr>
        <w:t>early years</w:t>
      </w:r>
      <w:r w:rsidR="00427468">
        <w:rPr>
          <w:kern w:val="0"/>
        </w:rPr>
        <w:t xml:space="preserve"> of </w:t>
      </w:r>
      <w:r>
        <w:rPr>
          <w:kern w:val="0"/>
        </w:rPr>
        <w:t>this century, many</w:t>
      </w:r>
      <w:r w:rsidR="00427468">
        <w:rPr>
          <w:kern w:val="0"/>
        </w:rPr>
        <w:t xml:space="preserve"> of </w:t>
      </w:r>
      <w:r w:rsidR="003A1917">
        <w:rPr>
          <w:kern w:val="0"/>
        </w:rPr>
        <w:t xml:space="preserve">the </w:t>
      </w:r>
      <w:r w:rsidR="00B5188C">
        <w:rPr>
          <w:kern w:val="0"/>
        </w:rPr>
        <w:t>“</w:t>
      </w:r>
      <w:r>
        <w:rPr>
          <w:kern w:val="0"/>
        </w:rPr>
        <w:t>gaps</w:t>
      </w:r>
      <w:r w:rsidR="00B5188C">
        <w:rPr>
          <w:kern w:val="0"/>
        </w:rPr>
        <w:t>”</w:t>
      </w:r>
      <w:r>
        <w:rPr>
          <w:kern w:val="0"/>
        </w:rPr>
        <w:t xml:space="preserve"> in our knowledge</w:t>
      </w:r>
      <w:r w:rsidR="00427468">
        <w:rPr>
          <w:kern w:val="0"/>
        </w:rPr>
        <w:t xml:space="preserve"> of </w:t>
      </w:r>
      <w:r w:rsidR="003A1917">
        <w:rPr>
          <w:kern w:val="0"/>
        </w:rPr>
        <w:t xml:space="preserve">the </w:t>
      </w:r>
      <w:r>
        <w:rPr>
          <w:kern w:val="0"/>
        </w:rPr>
        <w:t>pathogenesis</w:t>
      </w:r>
      <w:r w:rsidR="00427468">
        <w:rPr>
          <w:kern w:val="0"/>
        </w:rPr>
        <w:t xml:space="preserve"> of </w:t>
      </w:r>
      <w:r>
        <w:rPr>
          <w:kern w:val="0"/>
        </w:rPr>
        <w:t>this disease have been filled. We now know that equine pleuropneumonia results from contamination</w:t>
      </w:r>
      <w:r w:rsidR="00427468">
        <w:rPr>
          <w:kern w:val="0"/>
        </w:rPr>
        <w:t xml:space="preserve"> of </w:t>
      </w:r>
      <w:r w:rsidR="003A1917">
        <w:rPr>
          <w:kern w:val="0"/>
        </w:rPr>
        <w:t xml:space="preserve">the </w:t>
      </w:r>
      <w:r>
        <w:rPr>
          <w:kern w:val="0"/>
        </w:rPr>
        <w:t>lower respiratory tract with bacteria similar to</w:t>
      </w:r>
      <w:r w:rsidR="003A1917">
        <w:rPr>
          <w:kern w:val="0"/>
        </w:rPr>
        <w:t xml:space="preserve"> the </w:t>
      </w:r>
      <w:r>
        <w:rPr>
          <w:kern w:val="0"/>
        </w:rPr>
        <w:t>normal oropharyngeal microbiota</w:t>
      </w:r>
      <w:r w:rsidR="00427468">
        <w:rPr>
          <w:kern w:val="0"/>
        </w:rPr>
        <w:t xml:space="preserve"> of </w:t>
      </w:r>
      <w:r w:rsidR="003A1917">
        <w:rPr>
          <w:kern w:val="0"/>
        </w:rPr>
        <w:t xml:space="preserve">the </w:t>
      </w:r>
      <w:r>
        <w:rPr>
          <w:kern w:val="0"/>
        </w:rPr>
        <w:t>horse</w:t>
      </w:r>
      <w:r w:rsidR="005853A9">
        <w:rPr>
          <w:kern w:val="0"/>
        </w:rPr>
        <w:t xml:space="preserve"> and </w:t>
      </w:r>
      <w:r>
        <w:rPr>
          <w:kern w:val="0"/>
        </w:rPr>
        <w:t>that transportation</w:t>
      </w:r>
      <w:r w:rsidR="00427468">
        <w:rPr>
          <w:kern w:val="0"/>
        </w:rPr>
        <w:t xml:space="preserve"> of </w:t>
      </w:r>
      <w:r>
        <w:rPr>
          <w:kern w:val="0"/>
        </w:rPr>
        <w:t>any mode, especially over long distances (and consequently with no or short rest periods), is</w:t>
      </w:r>
      <w:r w:rsidR="003A1917">
        <w:rPr>
          <w:kern w:val="0"/>
        </w:rPr>
        <w:t xml:space="preserve"> the </w:t>
      </w:r>
      <w:r>
        <w:rPr>
          <w:kern w:val="0"/>
        </w:rPr>
        <w:t>single most important predisposing factor for this disease. This is associated with restraint</w:t>
      </w:r>
      <w:r w:rsidR="00427468">
        <w:rPr>
          <w:kern w:val="0"/>
        </w:rPr>
        <w:t xml:space="preserve"> of </w:t>
      </w:r>
      <w:r>
        <w:rPr>
          <w:kern w:val="0"/>
        </w:rPr>
        <w:t>horses such that they are unable to lower their heads, which leads to increased opportunity for lower respiratory tract contamination</w:t>
      </w:r>
      <w:r w:rsidR="005853A9">
        <w:rPr>
          <w:kern w:val="0"/>
        </w:rPr>
        <w:t xml:space="preserve"> and </w:t>
      </w:r>
      <w:r>
        <w:rPr>
          <w:kern w:val="0"/>
        </w:rPr>
        <w:t>a reduced opportunity for clearance. Strenuous exercise also results in lower respiratory tract contamination</w:t>
      </w:r>
      <w:r w:rsidR="005853A9">
        <w:rPr>
          <w:kern w:val="0"/>
        </w:rPr>
        <w:t xml:space="preserve"> and </w:t>
      </w:r>
      <w:r>
        <w:rPr>
          <w:kern w:val="0"/>
        </w:rPr>
        <w:t>exercise subsequent to transportation exerts additive detrimental effects on</w:t>
      </w:r>
      <w:r w:rsidR="003A1917">
        <w:rPr>
          <w:kern w:val="0"/>
        </w:rPr>
        <w:t xml:space="preserve"> the </w:t>
      </w:r>
      <w:r>
        <w:rPr>
          <w:kern w:val="0"/>
        </w:rPr>
        <w:t>defenses</w:t>
      </w:r>
      <w:r w:rsidR="00427468">
        <w:rPr>
          <w:kern w:val="0"/>
        </w:rPr>
        <w:t xml:space="preserve"> of </w:t>
      </w:r>
      <w:r w:rsidR="003A1917">
        <w:rPr>
          <w:kern w:val="0"/>
        </w:rPr>
        <w:t xml:space="preserve">the </w:t>
      </w:r>
      <w:r>
        <w:rPr>
          <w:kern w:val="0"/>
        </w:rPr>
        <w:t>lower respiratory tract. Clinical Implications While modern veterinary medicine</w:t>
      </w:r>
      <w:r w:rsidR="005853A9">
        <w:rPr>
          <w:kern w:val="0"/>
        </w:rPr>
        <w:t xml:space="preserve"> and </w:t>
      </w:r>
      <w:r>
        <w:rPr>
          <w:kern w:val="0"/>
        </w:rPr>
        <w:t>surgery have significantly reduced</w:t>
      </w:r>
      <w:r w:rsidR="003A1917">
        <w:rPr>
          <w:kern w:val="0"/>
        </w:rPr>
        <w:t xml:space="preserve"> the </w:t>
      </w:r>
      <w:r>
        <w:rPr>
          <w:kern w:val="0"/>
        </w:rPr>
        <w:t>death rate from pleuropneumonia, horses that develop</w:t>
      </w:r>
      <w:r w:rsidR="003A1917">
        <w:rPr>
          <w:kern w:val="0"/>
        </w:rPr>
        <w:t xml:space="preserve"> the </w:t>
      </w:r>
      <w:r>
        <w:rPr>
          <w:kern w:val="0"/>
        </w:rPr>
        <w:t>disease have a high probability</w:t>
      </w:r>
      <w:r w:rsidR="00427468">
        <w:rPr>
          <w:kern w:val="0"/>
        </w:rPr>
        <w:t xml:space="preserve"> of </w:t>
      </w:r>
      <w:r>
        <w:rPr>
          <w:kern w:val="0"/>
        </w:rPr>
        <w:t>not returning to their prior use. This under-scores</w:t>
      </w:r>
      <w:r w:rsidR="003A1917">
        <w:rPr>
          <w:kern w:val="0"/>
        </w:rPr>
        <w:t xml:space="preserve"> the </w:t>
      </w:r>
      <w:r>
        <w:rPr>
          <w:kern w:val="0"/>
        </w:rPr>
        <w:t>importance</w:t>
      </w:r>
      <w:r w:rsidR="00427468">
        <w:rPr>
          <w:kern w:val="0"/>
        </w:rPr>
        <w:t xml:space="preserve"> of </w:t>
      </w:r>
      <w:r>
        <w:rPr>
          <w:kern w:val="0"/>
        </w:rPr>
        <w:t>developing</w:t>
      </w:r>
      <w:r w:rsidR="003A1917">
        <w:rPr>
          <w:kern w:val="0"/>
        </w:rPr>
        <w:t xml:space="preserve"> the </w:t>
      </w:r>
      <w:r>
        <w:rPr>
          <w:kern w:val="0"/>
        </w:rPr>
        <w:t>most effective strategies for its prevention.</w:t>
      </w:r>
    </w:p>
    <w:p w:rsidR="00D74D48" w:rsidRDefault="00D74D48" w:rsidP="00D74D48">
      <w:pPr>
        <w:pStyle w:val="a3"/>
        <w:rPr>
          <w:kern w:val="0"/>
        </w:rPr>
      </w:pPr>
      <w:r>
        <w:rPr>
          <w:kern w:val="0"/>
        </w:rPr>
        <w:lastRenderedPageBreak/>
        <w:t>Keywords: Anaerobes, Anaerobic Bacterial Pleuropneumonia, Bronchoalveolar Lavage Fluid, Contamination, Control, Databases, Development, Equine Pleuropneumonia, Exercise, Horses, Literature, Lower Respiratory Tract Defenses, Lower Respiratory-Tract, Lung, Normal, Pneumonia, Prevention, Review, Shipping Fever, Strategy, Thoroughbred Racehorses, Tract, Transport, Transport Sickness</w:t>
      </w:r>
    </w:p>
    <w:p w:rsidR="001B71EE" w:rsidRDefault="001B71EE" w:rsidP="001B71EE">
      <w:pPr>
        <w:pStyle w:val="a3"/>
        <w:rPr>
          <w:kern w:val="0"/>
        </w:rPr>
      </w:pPr>
      <w:r>
        <w:rPr>
          <w:rFonts w:hint="eastAsia"/>
          <w:kern w:val="0"/>
        </w:rPr>
        <w:t xml:space="preserve">? </w:t>
      </w:r>
      <w:r>
        <w:t>Smith, D</w:t>
      </w:r>
      <w:r>
        <w:rPr>
          <w:rFonts w:hint="eastAsia"/>
        </w:rPr>
        <w:t>.</w:t>
      </w:r>
      <w:r>
        <w:t>R</w:t>
      </w:r>
      <w:r>
        <w:rPr>
          <w:rFonts w:hint="eastAsia"/>
        </w:rPr>
        <w:t>.</w:t>
      </w:r>
      <w:r>
        <w:rPr>
          <w:kern w:val="0"/>
        </w:rPr>
        <w:t xml:space="preserve"> (200</w:t>
      </w:r>
      <w:r>
        <w:rPr>
          <w:rFonts w:hint="eastAsia"/>
          <w:kern w:val="0"/>
        </w:rPr>
        <w:t>8</w:t>
      </w:r>
      <w:r>
        <w:rPr>
          <w:kern w:val="0"/>
        </w:rPr>
        <w:t xml:space="preserve">), </w:t>
      </w:r>
      <w:r>
        <w:t>Citation indexing</w:t>
      </w:r>
      <w:r w:rsidR="005853A9">
        <w:t xml:space="preserve"> and </w:t>
      </w:r>
      <w:r>
        <w:t>highly cited articles in</w:t>
      </w:r>
      <w:r w:rsidR="003A1917">
        <w:t xml:space="preserve"> the </w:t>
      </w:r>
      <w:r w:rsidRPr="00921B86">
        <w:rPr>
          <w:i/>
        </w:rPr>
        <w:t>Australian Veterinary Journal</w:t>
      </w:r>
      <w:r>
        <w:rPr>
          <w:kern w:val="0"/>
        </w:rPr>
        <w:t xml:space="preserve">. </w:t>
      </w:r>
      <w:r w:rsidRPr="00AF66DC">
        <w:rPr>
          <w:i/>
          <w:iCs/>
          <w:kern w:val="0"/>
        </w:rPr>
        <w:t>Australian Veterinary Journal</w:t>
      </w:r>
      <w:r>
        <w:rPr>
          <w:kern w:val="0"/>
        </w:rPr>
        <w:t xml:space="preserve">, </w:t>
      </w:r>
      <w:r>
        <w:rPr>
          <w:rFonts w:hint="eastAsia"/>
          <w:b/>
          <w:bCs/>
          <w:kern w:val="0"/>
        </w:rPr>
        <w:t>86</w:t>
      </w:r>
      <w:r>
        <w:rPr>
          <w:kern w:val="0"/>
        </w:rPr>
        <w:t xml:space="preserve"> (</w:t>
      </w:r>
      <w:r>
        <w:rPr>
          <w:rFonts w:hint="eastAsia"/>
          <w:kern w:val="0"/>
        </w:rPr>
        <w:t>9</w:t>
      </w:r>
      <w:r>
        <w:rPr>
          <w:kern w:val="0"/>
        </w:rPr>
        <w:t xml:space="preserve">), </w:t>
      </w:r>
      <w:r>
        <w:t>337-339</w:t>
      </w:r>
      <w:r>
        <w:rPr>
          <w:kern w:val="0"/>
        </w:rPr>
        <w:t>.</w:t>
      </w:r>
    </w:p>
    <w:p w:rsidR="001B71EE" w:rsidRDefault="001B71EE" w:rsidP="001B71EE">
      <w:pPr>
        <w:pStyle w:val="a3"/>
      </w:pPr>
      <w:r>
        <w:rPr>
          <w:rFonts w:hint="eastAsia"/>
          <w:kern w:val="0"/>
        </w:rPr>
        <w:t xml:space="preserve">Full Text: </w:t>
      </w:r>
      <w:hyperlink r:id="rId1416" w:history="1">
        <w:r w:rsidRPr="00921B86">
          <w:rPr>
            <w:rStyle w:val="a5"/>
            <w:kern w:val="0"/>
          </w:rPr>
          <w:t>2008\Aus Vet J86, 337.pdf</w:t>
        </w:r>
      </w:hyperlink>
    </w:p>
    <w:p w:rsidR="001B71EE" w:rsidRDefault="001B71EE" w:rsidP="001B71EE">
      <w:pPr>
        <w:pStyle w:val="a3"/>
      </w:pPr>
      <w:r>
        <w:t>Keywords: Citation Classics, Impact Factor, Publishing, Veterinary Science, Interferon-Gamma, Impact Factor, Tuberculosis, Virus</w:t>
      </w:r>
    </w:p>
    <w:p w:rsidR="00D73B0C" w:rsidRPr="001A3D2B" w:rsidRDefault="00D73B0C" w:rsidP="00D73B0C">
      <w:pPr>
        <w:pStyle w:val="1"/>
      </w:pPr>
      <w:r w:rsidRPr="001A3D2B">
        <w:br w:type="page"/>
      </w:r>
      <w:bookmarkStart w:id="726" w:name="_Toc420814686"/>
      <w:r w:rsidRPr="001A3D2B">
        <w:lastRenderedPageBreak/>
        <w:t xml:space="preserve">Title: </w:t>
      </w:r>
      <w:r w:rsidRPr="00D73B0C">
        <w:t>Avian Diseases</w:t>
      </w:r>
      <w:bookmarkEnd w:id="726"/>
    </w:p>
    <w:p w:rsidR="00D73B0C" w:rsidRPr="001A3D2B" w:rsidRDefault="00D73B0C" w:rsidP="00D73B0C">
      <w:pPr>
        <w:pStyle w:val="12"/>
      </w:pPr>
      <w:r w:rsidRPr="001A3D2B">
        <w:t xml:space="preserve">Full Journal Title: </w:t>
      </w:r>
      <w:hyperlink r:id="rId1417" w:history="1">
        <w:r w:rsidRPr="00D73B0C">
          <w:rPr>
            <w:rStyle w:val="a5"/>
            <w:iCs/>
            <w:kern w:val="0"/>
          </w:rPr>
          <w:t>Avian Diseases</w:t>
        </w:r>
      </w:hyperlink>
    </w:p>
    <w:p w:rsidR="00D73B0C" w:rsidRPr="001A3D2B" w:rsidRDefault="00D73B0C" w:rsidP="00D73B0C">
      <w:pPr>
        <w:pStyle w:val="12"/>
      </w:pPr>
      <w:r w:rsidRPr="001A3D2B">
        <w:t xml:space="preserve">ISO Abbreviated Title: </w:t>
      </w:r>
    </w:p>
    <w:p w:rsidR="00D73B0C" w:rsidRPr="001A3D2B" w:rsidRDefault="00D73B0C" w:rsidP="00D73B0C">
      <w:pPr>
        <w:pStyle w:val="12"/>
      </w:pPr>
      <w:r w:rsidRPr="001A3D2B">
        <w:t xml:space="preserve">JCR Abbreviated Title: </w:t>
      </w:r>
    </w:p>
    <w:p w:rsidR="00D73B0C" w:rsidRPr="001A3D2B" w:rsidRDefault="00D73B0C" w:rsidP="00D73B0C">
      <w:pPr>
        <w:pStyle w:val="12"/>
      </w:pPr>
      <w:r w:rsidRPr="001A3D2B">
        <w:t xml:space="preserve">ISSN: </w:t>
      </w:r>
    </w:p>
    <w:p w:rsidR="00D73B0C" w:rsidRPr="001A3D2B" w:rsidRDefault="00D73B0C" w:rsidP="00D73B0C">
      <w:pPr>
        <w:pStyle w:val="12"/>
      </w:pPr>
      <w:r w:rsidRPr="001A3D2B">
        <w:t xml:space="preserve">Issues/Year: </w:t>
      </w:r>
    </w:p>
    <w:p w:rsidR="00D73B0C" w:rsidRPr="001A3D2B" w:rsidRDefault="00D73B0C" w:rsidP="00D73B0C">
      <w:pPr>
        <w:pStyle w:val="12"/>
      </w:pPr>
      <w:r w:rsidRPr="001A3D2B">
        <w:t xml:space="preserve">Journal Country/Territory: </w:t>
      </w:r>
    </w:p>
    <w:p w:rsidR="00D73B0C" w:rsidRPr="001A3D2B" w:rsidRDefault="00D73B0C" w:rsidP="00D73B0C">
      <w:pPr>
        <w:pStyle w:val="12"/>
      </w:pPr>
      <w:r w:rsidRPr="001A3D2B">
        <w:t xml:space="preserve">Language: </w:t>
      </w:r>
    </w:p>
    <w:p w:rsidR="00D73B0C" w:rsidRPr="001A3D2B" w:rsidRDefault="00D73B0C" w:rsidP="00D73B0C">
      <w:pPr>
        <w:pStyle w:val="12"/>
      </w:pPr>
      <w:r w:rsidRPr="001A3D2B">
        <w:t xml:space="preserve">Publisher: </w:t>
      </w:r>
    </w:p>
    <w:p w:rsidR="00D73B0C" w:rsidRPr="001A3D2B" w:rsidRDefault="00D73B0C" w:rsidP="00D73B0C">
      <w:pPr>
        <w:pStyle w:val="12"/>
      </w:pPr>
      <w:r w:rsidRPr="001A3D2B">
        <w:t xml:space="preserve">Publisher Address: </w:t>
      </w:r>
    </w:p>
    <w:p w:rsidR="00D73B0C" w:rsidRPr="001A3D2B" w:rsidRDefault="00D73B0C" w:rsidP="00D73B0C">
      <w:pPr>
        <w:pStyle w:val="12"/>
      </w:pPr>
      <w:r w:rsidRPr="001A3D2B">
        <w:t>Subject Categories:</w:t>
      </w:r>
    </w:p>
    <w:p w:rsidR="00D73B0C" w:rsidRPr="001A3D2B" w:rsidRDefault="00D73B0C" w:rsidP="00D73B0C">
      <w:pPr>
        <w:pStyle w:val="12"/>
      </w:pPr>
      <w:r w:rsidRPr="001A3D2B">
        <w:t xml:space="preserve">: Impact Factor </w:t>
      </w:r>
    </w:p>
    <w:p w:rsidR="00D73B0C" w:rsidRDefault="00D73B0C" w:rsidP="00D73B0C">
      <w:pPr>
        <w:pStyle w:val="a3"/>
        <w:rPr>
          <w:kern w:val="0"/>
        </w:rPr>
      </w:pPr>
      <w:r>
        <w:rPr>
          <w:rFonts w:hint="eastAsia"/>
          <w:kern w:val="0"/>
        </w:rPr>
        <w:t xml:space="preserve">? </w:t>
      </w:r>
      <w:r>
        <w:rPr>
          <w:kern w:val="0"/>
        </w:rPr>
        <w:t>Maurer, J.J. (2007</w:t>
      </w:r>
      <w:r w:rsidR="00F42EAC">
        <w:rPr>
          <w:kern w:val="0"/>
        </w:rPr>
        <w:t>), The</w:t>
      </w:r>
      <w:r w:rsidR="003A1917">
        <w:rPr>
          <w:kern w:val="0"/>
        </w:rPr>
        <w:t xml:space="preserve"> </w:t>
      </w:r>
      <w:r>
        <w:rPr>
          <w:kern w:val="0"/>
        </w:rPr>
        <w:t>proper conduct</w:t>
      </w:r>
      <w:r w:rsidR="00427468">
        <w:rPr>
          <w:kern w:val="0"/>
        </w:rPr>
        <w:t xml:space="preserve"> of </w:t>
      </w:r>
      <w:r>
        <w:rPr>
          <w:kern w:val="0"/>
        </w:rPr>
        <w:t xml:space="preserve">research. </w:t>
      </w:r>
      <w:r w:rsidRPr="00D73B0C">
        <w:rPr>
          <w:i/>
          <w:iCs/>
          <w:kern w:val="0"/>
        </w:rPr>
        <w:t>Avian Diseases</w:t>
      </w:r>
      <w:r>
        <w:rPr>
          <w:kern w:val="0"/>
        </w:rPr>
        <w:t xml:space="preserve">, </w:t>
      </w:r>
      <w:r>
        <w:rPr>
          <w:b/>
          <w:bCs/>
          <w:kern w:val="0"/>
        </w:rPr>
        <w:t>51</w:t>
      </w:r>
      <w:r>
        <w:rPr>
          <w:kern w:val="0"/>
        </w:rPr>
        <w:t xml:space="preserve"> (1), 1-7.</w:t>
      </w:r>
    </w:p>
    <w:p w:rsidR="00D73B0C" w:rsidRDefault="00D73B0C" w:rsidP="00D73B0C">
      <w:pPr>
        <w:pStyle w:val="a3"/>
        <w:rPr>
          <w:kern w:val="0"/>
        </w:rPr>
      </w:pPr>
      <w:r>
        <w:rPr>
          <w:rFonts w:hint="eastAsia"/>
          <w:kern w:val="0"/>
        </w:rPr>
        <w:t xml:space="preserve">Full Text: </w:t>
      </w:r>
      <w:hyperlink r:id="rId1418" w:history="1">
        <w:r w:rsidR="00474950" w:rsidRPr="00474950">
          <w:rPr>
            <w:rStyle w:val="a5"/>
            <w:kern w:val="0"/>
          </w:rPr>
          <w:t>2007\Avi Dis51, 1.pdf</w:t>
        </w:r>
      </w:hyperlink>
    </w:p>
    <w:p w:rsidR="00D73B0C" w:rsidRDefault="00D73B0C" w:rsidP="00D73B0C">
      <w:pPr>
        <w:pStyle w:val="a3"/>
        <w:rPr>
          <w:kern w:val="0"/>
        </w:rPr>
      </w:pPr>
      <w:r>
        <w:rPr>
          <w:kern w:val="0"/>
        </w:rPr>
        <w:t>Abstract: Scientific misconduct has garnered recent attention by</w:t>
      </w:r>
      <w:r w:rsidR="003A1917">
        <w:rPr>
          <w:kern w:val="0"/>
        </w:rPr>
        <w:t xml:space="preserve"> the </w:t>
      </w:r>
      <w:r>
        <w:rPr>
          <w:kern w:val="0"/>
        </w:rPr>
        <w:t>media over scandals concerning falsification</w:t>
      </w:r>
      <w:r w:rsidR="005853A9">
        <w:rPr>
          <w:kern w:val="0"/>
        </w:rPr>
        <w:t xml:space="preserve"> and </w:t>
      </w:r>
      <w:r>
        <w:rPr>
          <w:kern w:val="0"/>
        </w:rPr>
        <w:t>fabrication</w:t>
      </w:r>
      <w:r w:rsidR="00427468">
        <w:rPr>
          <w:kern w:val="0"/>
        </w:rPr>
        <w:t xml:space="preserve"> of </w:t>
      </w:r>
      <w:r>
        <w:rPr>
          <w:kern w:val="0"/>
        </w:rPr>
        <w:t>data surrounding potentially promising breakthroughs in stem-cell research, allegations</w:t>
      </w:r>
      <w:r w:rsidR="00427468">
        <w:rPr>
          <w:kern w:val="0"/>
        </w:rPr>
        <w:t xml:space="preserve"> of </w:t>
      </w:r>
      <w:r>
        <w:rPr>
          <w:kern w:val="0"/>
        </w:rPr>
        <w:t>plagiarism at a U.S. university,</w:t>
      </w:r>
      <w:r w:rsidR="005853A9">
        <w:rPr>
          <w:kern w:val="0"/>
        </w:rPr>
        <w:t xml:space="preserve"> and </w:t>
      </w:r>
      <w:r>
        <w:rPr>
          <w:kern w:val="0"/>
        </w:rPr>
        <w:t>financial conflicts</w:t>
      </w:r>
      <w:r w:rsidR="00427468">
        <w:rPr>
          <w:kern w:val="0"/>
        </w:rPr>
        <w:t xml:space="preserve"> of </w:t>
      </w:r>
      <w:r>
        <w:rPr>
          <w:kern w:val="0"/>
        </w:rPr>
        <w:t>interest between researchers</w:t>
      </w:r>
      <w:r w:rsidR="005853A9">
        <w:rPr>
          <w:kern w:val="0"/>
        </w:rPr>
        <w:t xml:space="preserve"> and </w:t>
      </w:r>
      <w:r>
        <w:rPr>
          <w:kern w:val="0"/>
        </w:rPr>
        <w:t>drug companies. While this makes for interesting copy, discussion</w:t>
      </w:r>
      <w:r w:rsidR="00427468">
        <w:rPr>
          <w:kern w:val="0"/>
        </w:rPr>
        <w:t xml:space="preserve"> of </w:t>
      </w:r>
      <w:r>
        <w:rPr>
          <w:kern w:val="0"/>
        </w:rPr>
        <w:t>scientific fraud provides an excellent opportunity to review ethical standards for research</w:t>
      </w:r>
      <w:r w:rsidR="005853A9">
        <w:rPr>
          <w:kern w:val="0"/>
        </w:rPr>
        <w:t xml:space="preserve"> and </w:t>
      </w:r>
      <w:r>
        <w:rPr>
          <w:kern w:val="0"/>
        </w:rPr>
        <w:t>examine</w:t>
      </w:r>
      <w:r w:rsidR="003A1917">
        <w:rPr>
          <w:kern w:val="0"/>
        </w:rPr>
        <w:t xml:space="preserve"> the </w:t>
      </w:r>
      <w:r>
        <w:rPr>
          <w:kern w:val="0"/>
        </w:rPr>
        <w:t>conflicts that confront researchers today. This review specifically focuses on five areas that involve scientific integrity plagiarism, falsification, fabrication, authorship,</w:t>
      </w:r>
      <w:r w:rsidR="005853A9">
        <w:rPr>
          <w:kern w:val="0"/>
        </w:rPr>
        <w:t xml:space="preserve"> and </w:t>
      </w:r>
      <w:r>
        <w:rPr>
          <w:kern w:val="0"/>
        </w:rPr>
        <w:t>conflict</w:t>
      </w:r>
      <w:r w:rsidR="00427468">
        <w:rPr>
          <w:kern w:val="0"/>
        </w:rPr>
        <w:t xml:space="preserve"> of </w:t>
      </w:r>
      <w:r>
        <w:rPr>
          <w:kern w:val="0"/>
        </w:rPr>
        <w:t>interest-as well as nuances in each area that even senior investigators may not be aware</w:t>
      </w:r>
      <w:r w:rsidR="00427468">
        <w:rPr>
          <w:kern w:val="0"/>
        </w:rPr>
        <w:t xml:space="preserve"> of </w:t>
      </w:r>
      <w:r>
        <w:rPr>
          <w:kern w:val="0"/>
        </w:rPr>
        <w:t>(e.g., self-plagiarism)</w:t>
      </w:r>
      <w:r w:rsidR="00A37C1D">
        <w:rPr>
          <w:kern w:val="0"/>
        </w:rPr>
        <w:t>. The</w:t>
      </w:r>
      <w:r w:rsidR="003A1917">
        <w:rPr>
          <w:kern w:val="0"/>
        </w:rPr>
        <w:t xml:space="preserve"> </w:t>
      </w:r>
      <w:r>
        <w:rPr>
          <w:kern w:val="0"/>
        </w:rPr>
        <w:t>standards for ethical conductance</w:t>
      </w:r>
      <w:r w:rsidR="00427468">
        <w:rPr>
          <w:kern w:val="0"/>
        </w:rPr>
        <w:t xml:space="preserve"> of </w:t>
      </w:r>
      <w:r>
        <w:rPr>
          <w:kern w:val="0"/>
        </w:rPr>
        <w:t>research discussed in this review are those set by many scientific, peer-reviewed journals</w:t>
      </w:r>
      <w:r w:rsidR="005853A9">
        <w:rPr>
          <w:kern w:val="0"/>
        </w:rPr>
        <w:t xml:space="preserve"> and </w:t>
      </w:r>
      <w:r>
        <w:rPr>
          <w:kern w:val="0"/>
        </w:rPr>
        <w:t>by federal</w:t>
      </w:r>
      <w:r w:rsidR="005853A9">
        <w:rPr>
          <w:kern w:val="0"/>
        </w:rPr>
        <w:t xml:space="preserve"> and </w:t>
      </w:r>
      <w:r>
        <w:rPr>
          <w:kern w:val="0"/>
        </w:rPr>
        <w:t>private granting agencies,</w:t>
      </w:r>
      <w:r w:rsidR="005853A9">
        <w:rPr>
          <w:kern w:val="0"/>
        </w:rPr>
        <w:t xml:space="preserve"> and </w:t>
      </w:r>
      <w:r>
        <w:rPr>
          <w:kern w:val="0"/>
        </w:rPr>
        <w:t>therefore it highlights</w:t>
      </w:r>
      <w:r w:rsidR="003A1917">
        <w:rPr>
          <w:kern w:val="0"/>
        </w:rPr>
        <w:t xml:space="preserve"> the </w:t>
      </w:r>
      <w:r>
        <w:rPr>
          <w:kern w:val="0"/>
        </w:rPr>
        <w:t>expectations</w:t>
      </w:r>
      <w:r w:rsidR="005853A9">
        <w:rPr>
          <w:kern w:val="0"/>
        </w:rPr>
        <w:t xml:space="preserve"> and </w:t>
      </w:r>
      <w:r>
        <w:rPr>
          <w:kern w:val="0"/>
        </w:rPr>
        <w:t>guidelines surrounding manuscript</w:t>
      </w:r>
      <w:r w:rsidR="005853A9">
        <w:rPr>
          <w:kern w:val="0"/>
        </w:rPr>
        <w:t xml:space="preserve"> and </w:t>
      </w:r>
      <w:r>
        <w:rPr>
          <w:kern w:val="0"/>
        </w:rPr>
        <w:t>grant submissions</w:t>
      </w:r>
      <w:r w:rsidR="005853A9">
        <w:rPr>
          <w:kern w:val="0"/>
        </w:rPr>
        <w:t xml:space="preserve"> and </w:t>
      </w:r>
      <w:r>
        <w:rPr>
          <w:kern w:val="0"/>
        </w:rPr>
        <w:t>review,</w:t>
      </w:r>
      <w:r w:rsidR="005853A9">
        <w:rPr>
          <w:kern w:val="0"/>
        </w:rPr>
        <w:t xml:space="preserve"> and </w:t>
      </w:r>
      <w:r w:rsidR="003A1917">
        <w:rPr>
          <w:kern w:val="0"/>
        </w:rPr>
        <w:t xml:space="preserve">the </w:t>
      </w:r>
      <w:r>
        <w:rPr>
          <w:kern w:val="0"/>
        </w:rPr>
        <w:t>consequences associated with violations. This review is intended to stimulate discussion among readers</w:t>
      </w:r>
      <w:r w:rsidR="005853A9">
        <w:rPr>
          <w:kern w:val="0"/>
        </w:rPr>
        <w:t xml:space="preserve"> and </w:t>
      </w:r>
      <w:r>
        <w:rPr>
          <w:kern w:val="0"/>
        </w:rPr>
        <w:t>assess what is necessary to become a good, competitive, but ethical researcher, especially in an era</w:t>
      </w:r>
      <w:r w:rsidR="00427468">
        <w:rPr>
          <w:kern w:val="0"/>
        </w:rPr>
        <w:t xml:space="preserve"> of </w:t>
      </w:r>
      <w:r>
        <w:rPr>
          <w:kern w:val="0"/>
        </w:rPr>
        <w:t>shrinking financial resources for research.</w:t>
      </w:r>
    </w:p>
    <w:p w:rsidR="00D73B0C" w:rsidRDefault="00D73B0C" w:rsidP="00D73B0C">
      <w:pPr>
        <w:pStyle w:val="a3"/>
        <w:rPr>
          <w:kern w:val="0"/>
        </w:rPr>
      </w:pPr>
      <w:r>
        <w:rPr>
          <w:kern w:val="0"/>
        </w:rPr>
        <w:t>Keywords: Authorship, Authorship, Conflict</w:t>
      </w:r>
      <w:r w:rsidR="00427468">
        <w:rPr>
          <w:kern w:val="0"/>
        </w:rPr>
        <w:t xml:space="preserve"> of </w:t>
      </w:r>
      <w:r>
        <w:rPr>
          <w:kern w:val="0"/>
        </w:rPr>
        <w:t>Interest, Conflict</w:t>
      </w:r>
      <w:r w:rsidR="00434900">
        <w:rPr>
          <w:kern w:val="0"/>
        </w:rPr>
        <w:t>-of-</w:t>
      </w:r>
      <w:r>
        <w:rPr>
          <w:kern w:val="0"/>
        </w:rPr>
        <w:t>Interest, Data Fabrication, Jan 20 2006, Journals, Pg 335, Research, Research Fraud, Researchers, Retracted See, Science, Scientific Misconduct, Scientific Misconduct, Stem-Cells</w:t>
      </w:r>
    </w:p>
    <w:p w:rsidR="005A2F03" w:rsidRPr="001A3D2B" w:rsidRDefault="005A2F03" w:rsidP="005A2F03">
      <w:pPr>
        <w:pStyle w:val="1"/>
      </w:pPr>
      <w:r w:rsidRPr="001A3D2B">
        <w:br w:type="page"/>
      </w:r>
      <w:bookmarkStart w:id="727" w:name="_Toc420814687"/>
      <w:r w:rsidRPr="001A3D2B">
        <w:lastRenderedPageBreak/>
        <w:t xml:space="preserve">Title: </w:t>
      </w:r>
      <w:r w:rsidRPr="005A2F03">
        <w:rPr>
          <w:iCs w:val="0"/>
        </w:rPr>
        <w:t>Aviation Space</w:t>
      </w:r>
      <w:r w:rsidR="005853A9">
        <w:rPr>
          <w:iCs w:val="0"/>
        </w:rPr>
        <w:t xml:space="preserve"> and </w:t>
      </w:r>
      <w:r w:rsidRPr="005A2F03">
        <w:rPr>
          <w:iCs w:val="0"/>
        </w:rPr>
        <w:t>Environmental Medicine</w:t>
      </w:r>
      <w:bookmarkEnd w:id="727"/>
    </w:p>
    <w:p w:rsidR="005A2F03" w:rsidRPr="001A3D2B" w:rsidRDefault="005A2F03" w:rsidP="005A2F03">
      <w:pPr>
        <w:pStyle w:val="12"/>
      </w:pPr>
      <w:r w:rsidRPr="001A3D2B">
        <w:t xml:space="preserve">Full Journal Title: </w:t>
      </w:r>
      <w:r w:rsidRPr="005A2F03">
        <w:rPr>
          <w:iCs/>
          <w:kern w:val="0"/>
        </w:rPr>
        <w:t>Aviation Space</w:t>
      </w:r>
      <w:r w:rsidR="005853A9">
        <w:rPr>
          <w:iCs/>
          <w:kern w:val="0"/>
        </w:rPr>
        <w:t xml:space="preserve"> and </w:t>
      </w:r>
      <w:r w:rsidRPr="005A2F03">
        <w:rPr>
          <w:iCs/>
          <w:kern w:val="0"/>
        </w:rPr>
        <w:t>Environmental Medicine</w:t>
      </w:r>
    </w:p>
    <w:p w:rsidR="005A2F03" w:rsidRPr="001A3D2B" w:rsidRDefault="005A2F03" w:rsidP="005A2F03">
      <w:pPr>
        <w:pStyle w:val="12"/>
      </w:pPr>
      <w:r w:rsidRPr="001A3D2B">
        <w:t xml:space="preserve">ISO Abbreviated Title: </w:t>
      </w:r>
    </w:p>
    <w:p w:rsidR="005A2F03" w:rsidRPr="001A3D2B" w:rsidRDefault="005A2F03" w:rsidP="005A2F03">
      <w:pPr>
        <w:pStyle w:val="12"/>
      </w:pPr>
      <w:r w:rsidRPr="001A3D2B">
        <w:t xml:space="preserve">JCR Abbreviated Title: </w:t>
      </w:r>
    </w:p>
    <w:p w:rsidR="005A2F03" w:rsidRPr="001A3D2B" w:rsidRDefault="005A2F03" w:rsidP="005A2F03">
      <w:pPr>
        <w:pStyle w:val="12"/>
      </w:pPr>
      <w:r w:rsidRPr="001A3D2B">
        <w:t xml:space="preserve">ISSN: </w:t>
      </w:r>
    </w:p>
    <w:p w:rsidR="005A2F03" w:rsidRPr="001A3D2B" w:rsidRDefault="005A2F03" w:rsidP="005A2F03">
      <w:pPr>
        <w:pStyle w:val="12"/>
      </w:pPr>
      <w:r w:rsidRPr="001A3D2B">
        <w:t xml:space="preserve">Issues/Year: </w:t>
      </w:r>
    </w:p>
    <w:p w:rsidR="005A2F03" w:rsidRPr="001A3D2B" w:rsidRDefault="005A2F03" w:rsidP="005A2F03">
      <w:pPr>
        <w:pStyle w:val="12"/>
      </w:pPr>
      <w:r w:rsidRPr="001A3D2B">
        <w:t xml:space="preserve">Journal Country/Territory: </w:t>
      </w:r>
    </w:p>
    <w:p w:rsidR="005A2F03" w:rsidRPr="001A3D2B" w:rsidRDefault="005A2F03" w:rsidP="005A2F03">
      <w:pPr>
        <w:pStyle w:val="12"/>
      </w:pPr>
      <w:r w:rsidRPr="001A3D2B">
        <w:t xml:space="preserve">Language: </w:t>
      </w:r>
    </w:p>
    <w:p w:rsidR="005A2F03" w:rsidRPr="001A3D2B" w:rsidRDefault="005A2F03" w:rsidP="005A2F03">
      <w:pPr>
        <w:pStyle w:val="12"/>
      </w:pPr>
      <w:r w:rsidRPr="001A3D2B">
        <w:t xml:space="preserve">Publisher: </w:t>
      </w:r>
    </w:p>
    <w:p w:rsidR="005A2F03" w:rsidRPr="001A3D2B" w:rsidRDefault="005A2F03" w:rsidP="005A2F03">
      <w:pPr>
        <w:pStyle w:val="12"/>
      </w:pPr>
      <w:r w:rsidRPr="001A3D2B">
        <w:t xml:space="preserve">Publisher Address: </w:t>
      </w:r>
    </w:p>
    <w:p w:rsidR="005A2F03" w:rsidRPr="001A3D2B" w:rsidRDefault="005A2F03" w:rsidP="005A2F03">
      <w:pPr>
        <w:pStyle w:val="12"/>
      </w:pPr>
      <w:r w:rsidRPr="001A3D2B">
        <w:t>Subject Categories:</w:t>
      </w:r>
    </w:p>
    <w:p w:rsidR="005A2F03" w:rsidRPr="001A3D2B" w:rsidRDefault="005A2F03" w:rsidP="005A2F03">
      <w:pPr>
        <w:pStyle w:val="12"/>
      </w:pPr>
      <w:r w:rsidRPr="001A3D2B">
        <w:t xml:space="preserve">: Impact Factor </w:t>
      </w:r>
    </w:p>
    <w:p w:rsidR="005A2F03" w:rsidRDefault="005A2F03" w:rsidP="005A2F03">
      <w:pPr>
        <w:pStyle w:val="a3"/>
        <w:rPr>
          <w:kern w:val="0"/>
        </w:rPr>
      </w:pPr>
      <w:r>
        <w:rPr>
          <w:rFonts w:hint="eastAsia"/>
          <w:kern w:val="0"/>
        </w:rPr>
        <w:t xml:space="preserve">? </w:t>
      </w:r>
      <w:r>
        <w:rPr>
          <w:kern w:val="0"/>
        </w:rPr>
        <w:t>Goswami, N., Loeppky, J.A.</w:t>
      </w:r>
      <w:r w:rsidR="005853A9">
        <w:rPr>
          <w:kern w:val="0"/>
        </w:rPr>
        <w:t xml:space="preserve"> and </w:t>
      </w:r>
      <w:r>
        <w:rPr>
          <w:kern w:val="0"/>
        </w:rPr>
        <w:t>Hinghofer-Szalkay, H. (2008), LBNP: Past protocols</w:t>
      </w:r>
      <w:r w:rsidR="005853A9">
        <w:rPr>
          <w:kern w:val="0"/>
        </w:rPr>
        <w:t xml:space="preserve"> and </w:t>
      </w:r>
      <w:r>
        <w:rPr>
          <w:kern w:val="0"/>
        </w:rPr>
        <w:t xml:space="preserve">technical considerations for experimental design. </w:t>
      </w:r>
      <w:r w:rsidRPr="005A2F03">
        <w:rPr>
          <w:i/>
          <w:iCs/>
          <w:kern w:val="0"/>
        </w:rPr>
        <w:t>Aviation Space</w:t>
      </w:r>
      <w:r w:rsidR="005853A9">
        <w:rPr>
          <w:i/>
          <w:iCs/>
          <w:kern w:val="0"/>
        </w:rPr>
        <w:t xml:space="preserve"> and </w:t>
      </w:r>
      <w:r w:rsidRPr="005A2F03">
        <w:rPr>
          <w:i/>
          <w:iCs/>
          <w:kern w:val="0"/>
        </w:rPr>
        <w:t>Environmental Medicine</w:t>
      </w:r>
      <w:r>
        <w:rPr>
          <w:kern w:val="0"/>
        </w:rPr>
        <w:t xml:space="preserve">, </w:t>
      </w:r>
      <w:r>
        <w:rPr>
          <w:b/>
          <w:bCs/>
          <w:kern w:val="0"/>
        </w:rPr>
        <w:t>79</w:t>
      </w:r>
      <w:r>
        <w:rPr>
          <w:kern w:val="0"/>
        </w:rPr>
        <w:t xml:space="preserve"> (5), 459-471.</w:t>
      </w:r>
    </w:p>
    <w:p w:rsidR="005A2F03" w:rsidRDefault="005A2F03" w:rsidP="005A2F03">
      <w:pPr>
        <w:pStyle w:val="a3"/>
        <w:rPr>
          <w:kern w:val="0"/>
        </w:rPr>
      </w:pPr>
      <w:r>
        <w:rPr>
          <w:kern w:val="0"/>
        </w:rPr>
        <w:t>Abstract: introduction: Lower body negative pressure (LBNP) has been used for decades to simulate orthostatic stress</w:t>
      </w:r>
      <w:r w:rsidR="005853A9">
        <w:rPr>
          <w:kern w:val="0"/>
        </w:rPr>
        <w:t xml:space="preserve"> and </w:t>
      </w:r>
      <w:r w:rsidR="003A1917">
        <w:rPr>
          <w:kern w:val="0"/>
        </w:rPr>
        <w:t xml:space="preserve">the </w:t>
      </w:r>
      <w:r>
        <w:rPr>
          <w:kern w:val="0"/>
        </w:rPr>
        <w:t>effects</w:t>
      </w:r>
      <w:r w:rsidR="00427468">
        <w:rPr>
          <w:kern w:val="0"/>
        </w:rPr>
        <w:t xml:space="preserve"> of </w:t>
      </w:r>
      <w:r>
        <w:rPr>
          <w:kern w:val="0"/>
        </w:rPr>
        <w:t>blood loss in humans. Since</w:t>
      </w:r>
      <w:r w:rsidR="003A1917">
        <w:rPr>
          <w:kern w:val="0"/>
        </w:rPr>
        <w:t xml:space="preserve"> the </w:t>
      </w:r>
      <w:r>
        <w:rPr>
          <w:kern w:val="0"/>
        </w:rPr>
        <w:t>definitive review</w:t>
      </w:r>
      <w:r w:rsidR="00427468">
        <w:rPr>
          <w:kern w:val="0"/>
        </w:rPr>
        <w:t xml:space="preserve"> of </w:t>
      </w:r>
      <w:r>
        <w:rPr>
          <w:kern w:val="0"/>
        </w:rPr>
        <w:t>LBNP in 1974, new applications have been developed</w:t>
      </w:r>
      <w:r w:rsidR="005853A9">
        <w:rPr>
          <w:kern w:val="0"/>
        </w:rPr>
        <w:t xml:space="preserve"> and </w:t>
      </w:r>
      <w:r>
        <w:rPr>
          <w:kern w:val="0"/>
        </w:rPr>
        <w:t>research has revealed conflicting cardiovascular</w:t>
      </w:r>
      <w:r w:rsidR="005853A9">
        <w:rPr>
          <w:kern w:val="0"/>
        </w:rPr>
        <w:t xml:space="preserve"> and </w:t>
      </w:r>
      <w:r>
        <w:rPr>
          <w:kern w:val="0"/>
        </w:rPr>
        <w:t>neurohormonal responses during</w:t>
      </w:r>
      <w:r w:rsidR="005853A9">
        <w:rPr>
          <w:kern w:val="0"/>
        </w:rPr>
        <w:t xml:space="preserve"> and </w:t>
      </w:r>
      <w:r>
        <w:rPr>
          <w:kern w:val="0"/>
        </w:rPr>
        <w:t>after LBNP. Methods: A search</w:t>
      </w:r>
      <w:r w:rsidR="00427468">
        <w:rPr>
          <w:kern w:val="0"/>
        </w:rPr>
        <w:t xml:space="preserve"> of </w:t>
      </w:r>
      <w:r w:rsidR="003A1917">
        <w:rPr>
          <w:kern w:val="0"/>
        </w:rPr>
        <w:t xml:space="preserve">the </w:t>
      </w:r>
      <w:r>
        <w:rPr>
          <w:kern w:val="0"/>
        </w:rPr>
        <w:t>literature was conducted for 1964-2007 using</w:t>
      </w:r>
      <w:r w:rsidR="003A1917">
        <w:rPr>
          <w:kern w:val="0"/>
        </w:rPr>
        <w:t xml:space="preserve"> the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 xml:space="preserve">search terms </w:t>
      </w:r>
      <w:r w:rsidR="00B5188C">
        <w:rPr>
          <w:kern w:val="0"/>
        </w:rPr>
        <w:t>“</w:t>
      </w:r>
      <w:r>
        <w:rPr>
          <w:kern w:val="0"/>
        </w:rPr>
        <w:t>cardiovascular system,</w:t>
      </w:r>
      <w:r w:rsidR="00B5188C">
        <w:rPr>
          <w:kern w:val="0"/>
        </w:rPr>
        <w:t>”</w:t>
      </w:r>
      <w:r>
        <w:rPr>
          <w:kern w:val="0"/>
        </w:rPr>
        <w:t xml:space="preserve"> </w:t>
      </w:r>
      <w:r w:rsidR="00B5188C">
        <w:rPr>
          <w:kern w:val="0"/>
        </w:rPr>
        <w:t>“</w:t>
      </w:r>
      <w:r>
        <w:rPr>
          <w:kern w:val="0"/>
        </w:rPr>
        <w:t>orthostasis,</w:t>
      </w:r>
      <w:r w:rsidR="00B5188C">
        <w:rPr>
          <w:kern w:val="0"/>
        </w:rPr>
        <w:t>”</w:t>
      </w:r>
      <w:r>
        <w:rPr>
          <w:kern w:val="0"/>
        </w:rPr>
        <w:t xml:space="preserve"> </w:t>
      </w:r>
      <w:r w:rsidR="00B5188C">
        <w:rPr>
          <w:kern w:val="0"/>
        </w:rPr>
        <w:t>“</w:t>
      </w:r>
      <w:r>
        <w:rPr>
          <w:kern w:val="0"/>
        </w:rPr>
        <w:t>spaceflight,</w:t>
      </w:r>
      <w:r w:rsidR="00B5188C">
        <w:rPr>
          <w:kern w:val="0"/>
        </w:rPr>
        <w:t>”</w:t>
      </w:r>
      <w:r w:rsidR="005853A9">
        <w:rPr>
          <w:kern w:val="0"/>
        </w:rPr>
        <w:t xml:space="preserve"> and </w:t>
      </w:r>
      <w:r w:rsidR="00B5188C">
        <w:rPr>
          <w:kern w:val="0"/>
        </w:rPr>
        <w:t>“</w:t>
      </w:r>
      <w:r>
        <w:rPr>
          <w:kern w:val="0"/>
        </w:rPr>
        <w:t>methodologies</w:t>
      </w:r>
      <w:r w:rsidR="00B5188C">
        <w:rPr>
          <w:kern w:val="0"/>
        </w:rPr>
        <w:t>”</w:t>
      </w:r>
      <w:r>
        <w:rPr>
          <w:kern w:val="0"/>
        </w:rPr>
        <w:t xml:space="preserve"> to identify publications in English that describe human studies where LBNP was used to simulate orthostasis. Publications cited in</w:t>
      </w:r>
      <w:r w:rsidR="003A1917">
        <w:rPr>
          <w:kern w:val="0"/>
        </w:rPr>
        <w:t xml:space="preserve"> the </w:t>
      </w:r>
      <w:r>
        <w:rPr>
          <w:kern w:val="0"/>
        </w:rPr>
        <w:t>earlier review were excluded, leaving a total</w:t>
      </w:r>
      <w:r w:rsidR="00427468">
        <w:rPr>
          <w:kern w:val="0"/>
        </w:rPr>
        <w:t xml:space="preserve"> of </w:t>
      </w:r>
      <w:r>
        <w:rPr>
          <w:kern w:val="0"/>
        </w:rPr>
        <w:t>215 articles for consideration. Results: We divided</w:t>
      </w:r>
      <w:r w:rsidR="003A1917">
        <w:rPr>
          <w:kern w:val="0"/>
        </w:rPr>
        <w:t xml:space="preserve"> the </w:t>
      </w:r>
      <w:r>
        <w:rPr>
          <w:kern w:val="0"/>
        </w:rPr>
        <w:t>reported protocols into eight categories based on</w:t>
      </w:r>
      <w:r w:rsidR="003A1917">
        <w:rPr>
          <w:kern w:val="0"/>
        </w:rPr>
        <w:t xml:space="preserve"> the </w:t>
      </w:r>
      <w:r>
        <w:rPr>
          <w:kern w:val="0"/>
        </w:rPr>
        <w:t>pressure, pattern,</w:t>
      </w:r>
      <w:r w:rsidR="005853A9">
        <w:rPr>
          <w:kern w:val="0"/>
        </w:rPr>
        <w:t xml:space="preserve"> and </w:t>
      </w:r>
      <w:r>
        <w:rPr>
          <w:kern w:val="0"/>
        </w:rPr>
        <w:t>duration</w:t>
      </w:r>
      <w:r w:rsidR="00427468">
        <w:rPr>
          <w:kern w:val="0"/>
        </w:rPr>
        <w:t xml:space="preserve"> of </w:t>
      </w:r>
      <w:r w:rsidR="003A1917">
        <w:rPr>
          <w:kern w:val="0"/>
        </w:rPr>
        <w:t xml:space="preserve">the </w:t>
      </w:r>
      <w:r>
        <w:rPr>
          <w:kern w:val="0"/>
        </w:rPr>
        <w:t>stimulus: 1) mild, constant, short; 2) mild, constant, long; 3) mild, ramp, short; 4) mild, ramp, long; 5) moderate-to-strong, constant, short; 6) moderate, constant, long; 7) moderate-to-strong, ramp, short;</w:t>
      </w:r>
      <w:r w:rsidR="005853A9">
        <w:rPr>
          <w:kern w:val="0"/>
        </w:rPr>
        <w:t xml:space="preserve"> and </w:t>
      </w:r>
      <w:r>
        <w:rPr>
          <w:kern w:val="0"/>
        </w:rPr>
        <w:t>8) strong, ramp, long</w:t>
      </w:r>
      <w:r w:rsidR="00A37C1D">
        <w:rPr>
          <w:kern w:val="0"/>
        </w:rPr>
        <w:t>. The</w:t>
      </w:r>
      <w:r w:rsidR="003A1917">
        <w:rPr>
          <w:kern w:val="0"/>
        </w:rPr>
        <w:t xml:space="preserve"> </w:t>
      </w:r>
      <w:r>
        <w:rPr>
          <w:kern w:val="0"/>
        </w:rPr>
        <w:t>review showed that these protocols stimulate different reflexes</w:t>
      </w:r>
      <w:r w:rsidR="005853A9">
        <w:rPr>
          <w:kern w:val="0"/>
        </w:rPr>
        <w:t xml:space="preserve"> and </w:t>
      </w:r>
      <w:r>
        <w:rPr>
          <w:kern w:val="0"/>
        </w:rPr>
        <w:t>can be used to produce particular responses. Discussion: Based on</w:t>
      </w:r>
      <w:r w:rsidR="003A1917">
        <w:rPr>
          <w:kern w:val="0"/>
        </w:rPr>
        <w:t xml:space="preserve"> the </w:t>
      </w:r>
      <w:r>
        <w:rPr>
          <w:kern w:val="0"/>
        </w:rPr>
        <w:t>review, we developed guidelines for using LBNP in a predictable</w:t>
      </w:r>
      <w:r w:rsidR="005853A9">
        <w:rPr>
          <w:kern w:val="0"/>
        </w:rPr>
        <w:t xml:space="preserve"> and </w:t>
      </w:r>
      <w:r>
        <w:rPr>
          <w:kern w:val="0"/>
        </w:rPr>
        <w:t>reproducible manner. Variables that must he controlled include subject characteristics, procedures,</w:t>
      </w:r>
      <w:r w:rsidR="005853A9">
        <w:rPr>
          <w:kern w:val="0"/>
        </w:rPr>
        <w:t xml:space="preserve"> and </w:t>
      </w:r>
      <w:r>
        <w:rPr>
          <w:kern w:val="0"/>
        </w:rPr>
        <w:t>environmental conditions as well as specifications for</w:t>
      </w:r>
      <w:r w:rsidR="003A1917">
        <w:rPr>
          <w:kern w:val="0"/>
        </w:rPr>
        <w:t xml:space="preserve"> the </w:t>
      </w:r>
      <w:r>
        <w:rPr>
          <w:kern w:val="0"/>
        </w:rPr>
        <w:t>LBNP chamber</w:t>
      </w:r>
      <w:r w:rsidR="005853A9">
        <w:rPr>
          <w:kern w:val="0"/>
        </w:rPr>
        <w:t xml:space="preserve"> and </w:t>
      </w:r>
      <w:r>
        <w:rPr>
          <w:kern w:val="0"/>
        </w:rPr>
        <w:t>seal positioning. An understanding</w:t>
      </w:r>
      <w:r w:rsidR="00427468">
        <w:rPr>
          <w:kern w:val="0"/>
        </w:rPr>
        <w:t xml:space="preserve"> of </w:t>
      </w:r>
      <w:r w:rsidR="003A1917">
        <w:rPr>
          <w:kern w:val="0"/>
        </w:rPr>
        <w:t xml:space="preserve">the </w:t>
      </w:r>
      <w:r>
        <w:rPr>
          <w:kern w:val="0"/>
        </w:rPr>
        <w:t>many technical details</w:t>
      </w:r>
      <w:r w:rsidR="00427468">
        <w:rPr>
          <w:kern w:val="0"/>
        </w:rPr>
        <w:t xml:space="preserve"> of </w:t>
      </w:r>
      <w:r>
        <w:rPr>
          <w:kern w:val="0"/>
        </w:rPr>
        <w:t>such experiments</w:t>
      </w:r>
      <w:r w:rsidR="005853A9">
        <w:rPr>
          <w:kern w:val="0"/>
        </w:rPr>
        <w:t xml:space="preserve"> and </w:t>
      </w:r>
      <w:r w:rsidR="003A1917">
        <w:rPr>
          <w:kern w:val="0"/>
        </w:rPr>
        <w:t xml:space="preserve">the </w:t>
      </w:r>
      <w:r>
        <w:rPr>
          <w:kern w:val="0"/>
        </w:rPr>
        <w:t>nature</w:t>
      </w:r>
      <w:r w:rsidR="00427468">
        <w:rPr>
          <w:kern w:val="0"/>
        </w:rPr>
        <w:t xml:space="preserve"> of </w:t>
      </w:r>
      <w:r>
        <w:rPr>
          <w:kern w:val="0"/>
        </w:rPr>
        <w:t>elicited cardiovascular</w:t>
      </w:r>
      <w:r w:rsidR="005853A9">
        <w:rPr>
          <w:kern w:val="0"/>
        </w:rPr>
        <w:t xml:space="preserve"> and </w:t>
      </w:r>
      <w:r>
        <w:rPr>
          <w:kern w:val="0"/>
        </w:rPr>
        <w:t>neurohormonal responses is required to design optimal protocols to address specific research questions.</w:t>
      </w:r>
    </w:p>
    <w:p w:rsidR="005A2F03" w:rsidRDefault="005A2F03" w:rsidP="005A2F03">
      <w:pPr>
        <w:pStyle w:val="a3"/>
        <w:rPr>
          <w:kern w:val="0"/>
        </w:rPr>
      </w:pPr>
      <w:r>
        <w:rPr>
          <w:kern w:val="0"/>
        </w:rPr>
        <w:lastRenderedPageBreak/>
        <w:t xml:space="preserve">Keywords: Blood, Body Negative-Pressure, Cardiovascular, Cardiovascular-Responses, Carotid Baroreflex Control, Central Venous-Pressure, Countermeasures, Environmental, Guidelines, Head-Up-Tilt, Hemodynamic-Responses, Human, Humans, Improves Orthostatic Tolerance, Lbnp Methodology, Literature, Methods, Orthostasis, Pressure, Publications, Regional Vascular-Responses, Renin-Angiotensin System, Research, Review, Science, Skin Blood-Flow, Spaceflight, Stress, </w:t>
      </w:r>
      <w:r w:rsidR="00D5664A">
        <w:rPr>
          <w:kern w:val="0"/>
        </w:rPr>
        <w:t>Web</w:t>
      </w:r>
      <w:r w:rsidR="00427468">
        <w:rPr>
          <w:kern w:val="0"/>
        </w:rPr>
        <w:t xml:space="preserve"> of </w:t>
      </w:r>
      <w:r w:rsidR="00D5664A">
        <w:rPr>
          <w:kern w:val="0"/>
        </w:rPr>
        <w:t>Science</w:t>
      </w:r>
    </w:p>
    <w:p w:rsidR="005A2F03" w:rsidRDefault="005A2F03" w:rsidP="005A2F03">
      <w:pPr>
        <w:pStyle w:val="a3"/>
        <w:rPr>
          <w:kern w:val="0"/>
        </w:rPr>
      </w:pPr>
      <w:r>
        <w:rPr>
          <w:rFonts w:hint="eastAsia"/>
          <w:kern w:val="0"/>
        </w:rPr>
        <w:t xml:space="preserve">? </w:t>
      </w:r>
      <w:r>
        <w:rPr>
          <w:kern w:val="0"/>
        </w:rPr>
        <w:t>da Costa, R.T., Sardinha, A.</w:t>
      </w:r>
      <w:r w:rsidR="005853A9">
        <w:rPr>
          <w:kern w:val="0"/>
        </w:rPr>
        <w:t xml:space="preserve"> and </w:t>
      </w:r>
      <w:r>
        <w:rPr>
          <w:kern w:val="0"/>
        </w:rPr>
        <w:t>Nardi, A.E. (2008), Virtual reality exposure in</w:t>
      </w:r>
      <w:r w:rsidR="003A1917">
        <w:rPr>
          <w:kern w:val="0"/>
        </w:rPr>
        <w:t xml:space="preserve"> the </w:t>
      </w:r>
      <w:r>
        <w:rPr>
          <w:kern w:val="0"/>
        </w:rPr>
        <w:t>treatment</w:t>
      </w:r>
      <w:r w:rsidR="00427468">
        <w:rPr>
          <w:kern w:val="0"/>
        </w:rPr>
        <w:t xml:space="preserve"> of </w:t>
      </w:r>
      <w:r>
        <w:rPr>
          <w:kern w:val="0"/>
        </w:rPr>
        <w:t>fear</w:t>
      </w:r>
      <w:r w:rsidR="00427468">
        <w:rPr>
          <w:kern w:val="0"/>
        </w:rPr>
        <w:t xml:space="preserve"> of </w:t>
      </w:r>
      <w:r>
        <w:rPr>
          <w:kern w:val="0"/>
        </w:rPr>
        <w:t xml:space="preserve">flying. </w:t>
      </w:r>
      <w:r>
        <w:rPr>
          <w:i/>
          <w:iCs/>
          <w:kern w:val="0"/>
        </w:rPr>
        <w:t>Aviation Space</w:t>
      </w:r>
      <w:r w:rsidR="005853A9">
        <w:rPr>
          <w:i/>
          <w:iCs/>
          <w:kern w:val="0"/>
        </w:rPr>
        <w:t xml:space="preserve"> and </w:t>
      </w:r>
      <w:r>
        <w:rPr>
          <w:i/>
          <w:iCs/>
          <w:kern w:val="0"/>
        </w:rPr>
        <w:t>Environmental Medicine</w:t>
      </w:r>
      <w:r>
        <w:rPr>
          <w:kern w:val="0"/>
        </w:rPr>
        <w:t xml:space="preserve">, </w:t>
      </w:r>
      <w:r>
        <w:rPr>
          <w:b/>
          <w:bCs/>
          <w:kern w:val="0"/>
        </w:rPr>
        <w:t>79</w:t>
      </w:r>
      <w:r>
        <w:rPr>
          <w:kern w:val="0"/>
        </w:rPr>
        <w:t xml:space="preserve"> (9), 899-903.</w:t>
      </w:r>
    </w:p>
    <w:p w:rsidR="005A2F03" w:rsidRDefault="005A2F03" w:rsidP="005A2F03">
      <w:pPr>
        <w:pStyle w:val="a3"/>
        <w:rPr>
          <w:kern w:val="0"/>
        </w:rPr>
      </w:pPr>
      <w:r>
        <w:rPr>
          <w:kern w:val="0"/>
        </w:rPr>
        <w:t>Abstract: Background: Recently, a growing body</w:t>
      </w:r>
      <w:r w:rsidR="00427468">
        <w:rPr>
          <w:kern w:val="0"/>
        </w:rPr>
        <w:t xml:space="preserve"> of </w:t>
      </w:r>
      <w:r>
        <w:rPr>
          <w:kern w:val="0"/>
        </w:rPr>
        <w:t>research has appeared on different aspects</w:t>
      </w:r>
      <w:r w:rsidR="00427468">
        <w:rPr>
          <w:kern w:val="0"/>
        </w:rPr>
        <w:t xml:space="preserve"> of </w:t>
      </w:r>
      <w:r>
        <w:rPr>
          <w:kern w:val="0"/>
        </w:rPr>
        <w:t>virtual reality exposure (VRE) therapy applied to</w:t>
      </w:r>
      <w:r w:rsidR="003A1917">
        <w:rPr>
          <w:kern w:val="0"/>
        </w:rPr>
        <w:t xml:space="preserve"> the </w:t>
      </w:r>
      <w:r>
        <w:rPr>
          <w:kern w:val="0"/>
        </w:rPr>
        <w:t>treatment</w:t>
      </w:r>
      <w:r w:rsidR="00427468">
        <w:rPr>
          <w:kern w:val="0"/>
        </w:rPr>
        <w:t xml:space="preserve"> of </w:t>
      </w:r>
      <w:r>
        <w:rPr>
          <w:kern w:val="0"/>
        </w:rPr>
        <w:t>anxiety disorders</w:t>
      </w:r>
      <w:r w:rsidR="00A37C1D">
        <w:rPr>
          <w:kern w:val="0"/>
        </w:rPr>
        <w:t>. The</w:t>
      </w:r>
      <w:r w:rsidR="003A1917">
        <w:rPr>
          <w:kern w:val="0"/>
        </w:rPr>
        <w:t xml:space="preserve"> </w:t>
      </w:r>
      <w:r>
        <w:rPr>
          <w:kern w:val="0"/>
        </w:rPr>
        <w:t>purpose</w:t>
      </w:r>
      <w:r w:rsidR="00427468">
        <w:rPr>
          <w:kern w:val="0"/>
        </w:rPr>
        <w:t xml:space="preserve"> of </w:t>
      </w:r>
      <w:r>
        <w:rPr>
          <w:kern w:val="0"/>
        </w:rPr>
        <w:t>this article was to review with a systematic methodology</w:t>
      </w:r>
      <w:r w:rsidR="003A1917">
        <w:rPr>
          <w:kern w:val="0"/>
        </w:rPr>
        <w:t xml:space="preserve"> the </w:t>
      </w:r>
      <w:r>
        <w:rPr>
          <w:kern w:val="0"/>
        </w:rPr>
        <w:t>evidences that support</w:t>
      </w:r>
      <w:r w:rsidR="003A1917">
        <w:rPr>
          <w:kern w:val="0"/>
        </w:rPr>
        <w:t xml:space="preserve"> the </w:t>
      </w:r>
      <w:r>
        <w:rPr>
          <w:kern w:val="0"/>
        </w:rPr>
        <w:t>potential effectiveness</w:t>
      </w:r>
      <w:r w:rsidR="00427468">
        <w:rPr>
          <w:kern w:val="0"/>
        </w:rPr>
        <w:t xml:space="preserve"> of </w:t>
      </w:r>
      <w:r>
        <w:rPr>
          <w:kern w:val="0"/>
        </w:rPr>
        <w:t>this therapy in</w:t>
      </w:r>
      <w:r w:rsidR="003A1917">
        <w:rPr>
          <w:kern w:val="0"/>
        </w:rPr>
        <w:t xml:space="preserve"> the </w:t>
      </w:r>
      <w:r>
        <w:rPr>
          <w:kern w:val="0"/>
        </w:rPr>
        <w:t>treatment</w:t>
      </w:r>
      <w:r w:rsidR="00427468">
        <w:rPr>
          <w:kern w:val="0"/>
        </w:rPr>
        <w:t xml:space="preserve"> of </w:t>
      </w:r>
      <w:r>
        <w:rPr>
          <w:kern w:val="0"/>
        </w:rPr>
        <w:t>fear</w:t>
      </w:r>
      <w:r w:rsidR="00427468">
        <w:rPr>
          <w:kern w:val="0"/>
        </w:rPr>
        <w:t xml:space="preserve"> of </w:t>
      </w:r>
      <w:r>
        <w:rPr>
          <w:kern w:val="0"/>
        </w:rPr>
        <w:t>flying (FOF), a problem that significantly affects patients</w:t>
      </w:r>
      <w:r w:rsidR="00700038">
        <w:rPr>
          <w:kern w:val="0"/>
        </w:rPr>
        <w:t>’</w:t>
      </w:r>
      <w:r>
        <w:rPr>
          <w:kern w:val="0"/>
        </w:rPr>
        <w:t xml:space="preserve"> social functioning</w:t>
      </w:r>
      <w:r w:rsidR="005853A9">
        <w:rPr>
          <w:kern w:val="0"/>
        </w:rPr>
        <w:t xml:space="preserve"> and </w:t>
      </w:r>
      <w:r>
        <w:rPr>
          <w:kern w:val="0"/>
        </w:rPr>
        <w:t>personal welfare. Methods: Potential studies were identified via computerized search using</w:t>
      </w:r>
      <w:r w:rsidR="003A1917">
        <w:rPr>
          <w:kern w:val="0"/>
        </w:rPr>
        <w:t xml:space="preserve"> the </w:t>
      </w:r>
      <w:r w:rsidR="002C12F0">
        <w:rPr>
          <w:kern w:val="0"/>
        </w:rPr>
        <w:t>PUBMED</w:t>
      </w:r>
      <w:r>
        <w:rPr>
          <w:kern w:val="0"/>
        </w:rPr>
        <w:t>/</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w:t>
      </w:r>
      <w:r w:rsidR="005853A9">
        <w:rPr>
          <w:kern w:val="0"/>
        </w:rPr>
        <w:t xml:space="preserve"> and </w:t>
      </w:r>
      <w:r>
        <w:rPr>
          <w:kern w:val="0"/>
        </w:rPr>
        <w:t>additional review</w:t>
      </w:r>
      <w:r w:rsidR="00427468">
        <w:rPr>
          <w:kern w:val="0"/>
        </w:rPr>
        <w:t xml:space="preserve"> of </w:t>
      </w:r>
      <w:r>
        <w:rPr>
          <w:kern w:val="0"/>
        </w:rPr>
        <w:t>their references. Articles ranged from 1969 to 2007</w:t>
      </w:r>
      <w:r w:rsidR="005853A9">
        <w:rPr>
          <w:kern w:val="0"/>
        </w:rPr>
        <w:t xml:space="preserve"> and </w:t>
      </w:r>
      <w:r w:rsidR="003A1917">
        <w:rPr>
          <w:kern w:val="0"/>
        </w:rPr>
        <w:t xml:space="preserve">the </w:t>
      </w:r>
      <w:r>
        <w:rPr>
          <w:kern w:val="0"/>
        </w:rPr>
        <w:t>keywords used in</w:t>
      </w:r>
      <w:r w:rsidR="003A1917">
        <w:rPr>
          <w:kern w:val="0"/>
        </w:rPr>
        <w:t xml:space="preserve"> the </w:t>
      </w:r>
      <w:r>
        <w:rPr>
          <w:kern w:val="0"/>
        </w:rPr>
        <w:t xml:space="preserve">search were: </w:t>
      </w:r>
      <w:r w:rsidR="00B5188C">
        <w:rPr>
          <w:kern w:val="0"/>
        </w:rPr>
        <w:t>“</w:t>
      </w:r>
      <w:r>
        <w:rPr>
          <w:kern w:val="0"/>
        </w:rPr>
        <w:t>virtual reality</w:t>
      </w:r>
      <w:r w:rsidR="00B5188C">
        <w:rPr>
          <w:kern w:val="0"/>
        </w:rPr>
        <w:t>”</w:t>
      </w:r>
      <w:r w:rsidR="005853A9">
        <w:rPr>
          <w:kern w:val="0"/>
        </w:rPr>
        <w:t xml:space="preserve"> and </w:t>
      </w:r>
      <w:r w:rsidR="00B5188C">
        <w:rPr>
          <w:kern w:val="0"/>
        </w:rPr>
        <w:t>“</w:t>
      </w:r>
      <w:r>
        <w:rPr>
          <w:kern w:val="0"/>
        </w:rPr>
        <w:t>fear</w:t>
      </w:r>
      <w:r w:rsidR="00427468">
        <w:rPr>
          <w:kern w:val="0"/>
        </w:rPr>
        <w:t xml:space="preserve"> of </w:t>
      </w:r>
      <w:r>
        <w:rPr>
          <w:kern w:val="0"/>
        </w:rPr>
        <w:t>flying</w:t>
      </w:r>
      <w:r w:rsidR="00B5188C">
        <w:rPr>
          <w:kern w:val="0"/>
        </w:rPr>
        <w:t>”</w:t>
      </w:r>
      <w:r>
        <w:rPr>
          <w:kern w:val="0"/>
        </w:rPr>
        <w:t xml:space="preserve">; </w:t>
      </w:r>
      <w:r w:rsidR="00B5188C">
        <w:rPr>
          <w:kern w:val="0"/>
        </w:rPr>
        <w:t>“</w:t>
      </w:r>
      <w:r>
        <w:rPr>
          <w:kern w:val="0"/>
        </w:rPr>
        <w:t>virtual reality</w:t>
      </w:r>
      <w:r w:rsidR="00B5188C">
        <w:rPr>
          <w:kern w:val="0"/>
        </w:rPr>
        <w:t>”</w:t>
      </w:r>
      <w:r w:rsidR="005853A9">
        <w:rPr>
          <w:kern w:val="0"/>
        </w:rPr>
        <w:t xml:space="preserve"> and </w:t>
      </w:r>
      <w:r w:rsidR="00B5188C">
        <w:rPr>
          <w:kern w:val="0"/>
        </w:rPr>
        <w:t>“</w:t>
      </w:r>
      <w:r>
        <w:rPr>
          <w:kern w:val="0"/>
        </w:rPr>
        <w:t>flying phobia</w:t>
      </w:r>
      <w:r w:rsidR="00B5188C">
        <w:rPr>
          <w:kern w:val="0"/>
        </w:rPr>
        <w:t>”</w:t>
      </w:r>
      <w:r>
        <w:rPr>
          <w:kern w:val="0"/>
        </w:rPr>
        <w:t xml:space="preserve">; or </w:t>
      </w:r>
      <w:r w:rsidR="00B5188C">
        <w:rPr>
          <w:kern w:val="0"/>
        </w:rPr>
        <w:t>“</w:t>
      </w:r>
      <w:r>
        <w:rPr>
          <w:kern w:val="0"/>
        </w:rPr>
        <w:t>virtual reality</w:t>
      </w:r>
      <w:r w:rsidR="00B5188C">
        <w:rPr>
          <w:kern w:val="0"/>
        </w:rPr>
        <w:t>”</w:t>
      </w:r>
      <w:r w:rsidR="005853A9">
        <w:rPr>
          <w:kern w:val="0"/>
        </w:rPr>
        <w:t xml:space="preserve"> and </w:t>
      </w:r>
      <w:r w:rsidR="00B5188C">
        <w:rPr>
          <w:kern w:val="0"/>
        </w:rPr>
        <w:t>“</w:t>
      </w:r>
      <w:r>
        <w:rPr>
          <w:kern w:val="0"/>
        </w:rPr>
        <w:t>flight phobia.</w:t>
      </w:r>
      <w:r w:rsidR="00B5188C">
        <w:rPr>
          <w:kern w:val="0"/>
        </w:rPr>
        <w:t>”</w:t>
      </w:r>
      <w:r>
        <w:rPr>
          <w:kern w:val="0"/>
        </w:rPr>
        <w:t xml:space="preserve"> Results: There were 40 studies using VRE in</w:t>
      </w:r>
      <w:r w:rsidR="003A1917">
        <w:rPr>
          <w:kern w:val="0"/>
        </w:rPr>
        <w:t xml:space="preserve"> the </w:t>
      </w:r>
      <w:r>
        <w:rPr>
          <w:kern w:val="0"/>
        </w:rPr>
        <w:t>treatment</w:t>
      </w:r>
      <w:r w:rsidR="00427468">
        <w:rPr>
          <w:kern w:val="0"/>
        </w:rPr>
        <w:t xml:space="preserve"> of </w:t>
      </w:r>
      <w:r>
        <w:rPr>
          <w:kern w:val="0"/>
        </w:rPr>
        <w:t>FOF identified, mostly on</w:t>
      </w:r>
      <w:r w:rsidR="003A1917">
        <w:rPr>
          <w:kern w:val="0"/>
        </w:rPr>
        <w:t xml:space="preserve"> the </w:t>
      </w:r>
      <w:r>
        <w:rPr>
          <w:kern w:val="0"/>
        </w:rPr>
        <w:t>effectiveness</w:t>
      </w:r>
      <w:r w:rsidR="00427468">
        <w:rPr>
          <w:kern w:val="0"/>
        </w:rPr>
        <w:t xml:space="preserve"> of </w:t>
      </w:r>
      <w:r>
        <w:rPr>
          <w:kern w:val="0"/>
        </w:rPr>
        <w:t>VRE therapy in group</w:t>
      </w:r>
      <w:r w:rsidR="005853A9">
        <w:rPr>
          <w:kern w:val="0"/>
        </w:rPr>
        <w:t xml:space="preserve"> and </w:t>
      </w:r>
      <w:r>
        <w:rPr>
          <w:kern w:val="0"/>
        </w:rPr>
        <w:t>case studies. Several components</w:t>
      </w:r>
      <w:r w:rsidR="00427468">
        <w:rPr>
          <w:kern w:val="0"/>
        </w:rPr>
        <w:t xml:space="preserve"> of </w:t>
      </w:r>
      <w:r w:rsidR="003A1917">
        <w:rPr>
          <w:kern w:val="0"/>
        </w:rPr>
        <w:t xml:space="preserve">the </w:t>
      </w:r>
      <w:r>
        <w:rPr>
          <w:kern w:val="0"/>
        </w:rPr>
        <w:t>treatment protocols differed among</w:t>
      </w:r>
      <w:r w:rsidR="003A1917">
        <w:rPr>
          <w:kern w:val="0"/>
        </w:rPr>
        <w:t xml:space="preserve"> the </w:t>
      </w:r>
      <w:r>
        <w:rPr>
          <w:kern w:val="0"/>
        </w:rPr>
        <w:t>studies, which made</w:t>
      </w:r>
      <w:r w:rsidR="003A1917">
        <w:rPr>
          <w:kern w:val="0"/>
        </w:rPr>
        <w:t xml:space="preserve"> the </w:t>
      </w:r>
      <w:r>
        <w:rPr>
          <w:kern w:val="0"/>
        </w:rPr>
        <w:t>results comparison a challenging task. Nevertheless, controlled studies demonstrate that VRE treatment is effective with or without cognitive behavior therapy (CBT) and/or psychoeducation</w:t>
      </w:r>
      <w:r w:rsidR="005853A9">
        <w:rPr>
          <w:kern w:val="0"/>
        </w:rPr>
        <w:t xml:space="preserve"> and </w:t>
      </w:r>
      <w:r>
        <w:rPr>
          <w:kern w:val="0"/>
        </w:rPr>
        <w:t>that it is considered to be an effective component</w:t>
      </w:r>
      <w:r w:rsidR="00427468">
        <w:rPr>
          <w:kern w:val="0"/>
        </w:rPr>
        <w:t xml:space="preserve"> of </w:t>
      </w:r>
      <w:r w:rsidR="003A1917">
        <w:rPr>
          <w:kern w:val="0"/>
        </w:rPr>
        <w:t xml:space="preserve">the </w:t>
      </w:r>
      <w:r>
        <w:rPr>
          <w:kern w:val="0"/>
        </w:rPr>
        <w:t>treatment</w:t>
      </w:r>
      <w:r w:rsidR="00427468">
        <w:rPr>
          <w:kern w:val="0"/>
        </w:rPr>
        <w:t xml:space="preserve"> of </w:t>
      </w:r>
      <w:r>
        <w:rPr>
          <w:kern w:val="0"/>
        </w:rPr>
        <w:t>FOF. Conclusions: All studies that used cognitive</w:t>
      </w:r>
      <w:r w:rsidR="005853A9">
        <w:rPr>
          <w:kern w:val="0"/>
        </w:rPr>
        <w:t xml:space="preserve"> and </w:t>
      </w:r>
      <w:r>
        <w:rPr>
          <w:kern w:val="0"/>
        </w:rPr>
        <w:t>relaxation techniques in addition to VRE treatment were effective. More randomized clinical trials are required in which VRE therapy could be compared with standard exposure therapy. Thus, we suggest that CBT, psychoeducation,</w:t>
      </w:r>
      <w:r w:rsidR="005853A9">
        <w:rPr>
          <w:kern w:val="0"/>
        </w:rPr>
        <w:t xml:space="preserve"> and </w:t>
      </w:r>
      <w:r>
        <w:rPr>
          <w:kern w:val="0"/>
        </w:rPr>
        <w:t>VRE could be combined to treat FOF.</w:t>
      </w:r>
    </w:p>
    <w:p w:rsidR="005A2F03" w:rsidRDefault="005A2F03" w:rsidP="005A2F03">
      <w:pPr>
        <w:pStyle w:val="a3"/>
        <w:rPr>
          <w:kern w:val="0"/>
        </w:rPr>
      </w:pPr>
      <w:r>
        <w:rPr>
          <w:kern w:val="0"/>
        </w:rPr>
        <w:t xml:space="preserve">Keywords: 3-Year Follow-up, Acrophobia, Anxiety, Anxiety Disorders, Articles, Behavior Therapy, Case Studies, Clinical Trials, Cognitive-Behavioral Treatment, Controlled Studies, Databases, Effectiveness, Environments, Flying Phobia, Group Therapy, In-Vivo, Information, Methodology, Methods, Phobia, Psychotherapy, Randomized Clinical Trials, Research, Review, Science, Social, Systematic, Therapy, Treatment, Virtual Reality, </w:t>
      </w:r>
      <w:r w:rsidR="00D5664A">
        <w:rPr>
          <w:kern w:val="0"/>
        </w:rPr>
        <w:t>Web</w:t>
      </w:r>
      <w:r w:rsidR="00427468">
        <w:rPr>
          <w:kern w:val="0"/>
        </w:rPr>
        <w:t xml:space="preserve"> of </w:t>
      </w:r>
      <w:r w:rsidR="00D5664A">
        <w:rPr>
          <w:kern w:val="0"/>
        </w:rPr>
        <w:t>Science</w:t>
      </w:r>
    </w:p>
    <w:p w:rsidR="00CE64DF" w:rsidRPr="001A3D2B" w:rsidRDefault="00CE64DF" w:rsidP="00CE64DF">
      <w:pPr>
        <w:pStyle w:val="1"/>
      </w:pPr>
      <w:r w:rsidRPr="001A3D2B">
        <w:br w:type="page"/>
      </w:r>
      <w:bookmarkStart w:id="728" w:name="_Toc420814688"/>
      <w:r w:rsidRPr="001A3D2B">
        <w:lastRenderedPageBreak/>
        <w:t xml:space="preserve">Title: </w:t>
      </w:r>
      <w:r w:rsidRPr="001A3D2B">
        <w:rPr>
          <w:iCs w:val="0"/>
        </w:rPr>
        <w:t>Basic</w:t>
      </w:r>
      <w:r w:rsidR="005853A9">
        <w:rPr>
          <w:iCs w:val="0"/>
        </w:rPr>
        <w:t xml:space="preserve"> and </w:t>
      </w:r>
      <w:r w:rsidRPr="001A3D2B">
        <w:rPr>
          <w:iCs w:val="0"/>
        </w:rPr>
        <w:t>Applied Ecology</w:t>
      </w:r>
      <w:bookmarkEnd w:id="728"/>
    </w:p>
    <w:p w:rsidR="00CE64DF" w:rsidRPr="001A3D2B" w:rsidRDefault="00CE64DF" w:rsidP="00CE64DF">
      <w:pPr>
        <w:pStyle w:val="12"/>
      </w:pPr>
      <w:r w:rsidRPr="001A3D2B">
        <w:t xml:space="preserve">Full Journal Title: </w:t>
      </w:r>
      <w:hyperlink r:id="rId1419" w:history="1">
        <w:r w:rsidRPr="00896D6E">
          <w:rPr>
            <w:rStyle w:val="a5"/>
            <w:iCs/>
            <w:kern w:val="0"/>
          </w:rPr>
          <w:t>Basic</w:t>
        </w:r>
        <w:r w:rsidR="005853A9">
          <w:rPr>
            <w:rStyle w:val="a5"/>
            <w:iCs/>
            <w:kern w:val="0"/>
          </w:rPr>
          <w:t xml:space="preserve"> and </w:t>
        </w:r>
        <w:r w:rsidRPr="00896D6E">
          <w:rPr>
            <w:rStyle w:val="a5"/>
            <w:iCs/>
            <w:kern w:val="0"/>
          </w:rPr>
          <w:t>Applied Ecology</w:t>
        </w:r>
      </w:hyperlink>
    </w:p>
    <w:p w:rsidR="00CE64DF" w:rsidRPr="001A3D2B" w:rsidRDefault="00CE64DF" w:rsidP="00CE64DF">
      <w:pPr>
        <w:pStyle w:val="12"/>
      </w:pPr>
      <w:r w:rsidRPr="001A3D2B">
        <w:t xml:space="preserve">ISO Abbreviated Title: </w:t>
      </w:r>
    </w:p>
    <w:p w:rsidR="00CE64DF" w:rsidRPr="001A3D2B" w:rsidRDefault="00CE64DF" w:rsidP="00CE64DF">
      <w:pPr>
        <w:pStyle w:val="12"/>
      </w:pPr>
      <w:r w:rsidRPr="001A3D2B">
        <w:t xml:space="preserve">JCR Abbreviated Title: </w:t>
      </w:r>
    </w:p>
    <w:p w:rsidR="00CE64DF" w:rsidRPr="001A3D2B" w:rsidRDefault="00CE64DF" w:rsidP="00CE64DF">
      <w:pPr>
        <w:pStyle w:val="12"/>
      </w:pPr>
      <w:r w:rsidRPr="001A3D2B">
        <w:t xml:space="preserve">ISSN: </w:t>
      </w:r>
    </w:p>
    <w:p w:rsidR="00CE64DF" w:rsidRPr="001A3D2B" w:rsidRDefault="00CE64DF" w:rsidP="00CE64DF">
      <w:pPr>
        <w:pStyle w:val="12"/>
      </w:pPr>
      <w:r w:rsidRPr="001A3D2B">
        <w:t xml:space="preserve">Issues/Year: </w:t>
      </w:r>
    </w:p>
    <w:p w:rsidR="00CE64DF" w:rsidRPr="001A3D2B" w:rsidRDefault="00CE64DF" w:rsidP="00CE64DF">
      <w:pPr>
        <w:pStyle w:val="12"/>
      </w:pPr>
      <w:r w:rsidRPr="001A3D2B">
        <w:t xml:space="preserve">Journal Country/Territory: </w:t>
      </w:r>
    </w:p>
    <w:p w:rsidR="00CE64DF" w:rsidRPr="001A3D2B" w:rsidRDefault="00CE64DF" w:rsidP="00CE64DF">
      <w:pPr>
        <w:pStyle w:val="12"/>
      </w:pPr>
      <w:r w:rsidRPr="001A3D2B">
        <w:t xml:space="preserve">Language: </w:t>
      </w:r>
    </w:p>
    <w:p w:rsidR="00CE64DF" w:rsidRPr="001A3D2B" w:rsidRDefault="00CE64DF" w:rsidP="00CE64DF">
      <w:pPr>
        <w:pStyle w:val="12"/>
      </w:pPr>
      <w:r w:rsidRPr="001A3D2B">
        <w:t xml:space="preserve">Publisher: </w:t>
      </w:r>
    </w:p>
    <w:p w:rsidR="00CE64DF" w:rsidRPr="001A3D2B" w:rsidRDefault="00CE64DF" w:rsidP="00CE64DF">
      <w:pPr>
        <w:pStyle w:val="12"/>
      </w:pPr>
      <w:r w:rsidRPr="001A3D2B">
        <w:t xml:space="preserve">Publisher Address: </w:t>
      </w:r>
    </w:p>
    <w:p w:rsidR="00CE64DF" w:rsidRPr="001A3D2B" w:rsidRDefault="00CE64DF" w:rsidP="00CE64DF">
      <w:pPr>
        <w:pStyle w:val="12"/>
      </w:pPr>
      <w:r w:rsidRPr="001A3D2B">
        <w:t>Subject Categories:</w:t>
      </w:r>
    </w:p>
    <w:p w:rsidR="00CE64DF" w:rsidRPr="001A3D2B" w:rsidRDefault="00CE64DF" w:rsidP="00CE64DF">
      <w:pPr>
        <w:pStyle w:val="12"/>
      </w:pPr>
      <w:r w:rsidRPr="001A3D2B">
        <w:t xml:space="preserve">: Impact Factor </w:t>
      </w:r>
    </w:p>
    <w:p w:rsidR="00896D6E" w:rsidRDefault="00896D6E" w:rsidP="00896D6E">
      <w:pPr>
        <w:pStyle w:val="a3"/>
        <w:rPr>
          <w:kern w:val="0"/>
        </w:rPr>
      </w:pPr>
      <w:r>
        <w:rPr>
          <w:kern w:val="0"/>
        </w:rPr>
        <w:t>? Retzer, V.</w:t>
      </w:r>
      <w:r w:rsidR="005853A9">
        <w:rPr>
          <w:kern w:val="0"/>
        </w:rPr>
        <w:t xml:space="preserve"> and </w:t>
      </w:r>
      <w:r>
        <w:rPr>
          <w:kern w:val="0"/>
        </w:rPr>
        <w:t>Jurasinski, G. (2009), Towards objectivity in research evaluation using bibliometric indicators</w:t>
      </w:r>
      <w:r>
        <w:rPr>
          <w:rFonts w:hint="eastAsia"/>
          <w:kern w:val="0"/>
        </w:rPr>
        <w:t>:</w:t>
      </w:r>
      <w:r>
        <w:rPr>
          <w:kern w:val="0"/>
        </w:rPr>
        <w:t xml:space="preserve"> A protocol for incorporating complexity. </w:t>
      </w:r>
      <w:r w:rsidRPr="00C438AB">
        <w:rPr>
          <w:i/>
          <w:iCs/>
          <w:kern w:val="0"/>
        </w:rPr>
        <w:t>Basic</w:t>
      </w:r>
      <w:r w:rsidR="005853A9">
        <w:rPr>
          <w:i/>
          <w:iCs/>
          <w:kern w:val="0"/>
        </w:rPr>
        <w:t xml:space="preserve"> and </w:t>
      </w:r>
      <w:r w:rsidRPr="00C438AB">
        <w:rPr>
          <w:i/>
          <w:iCs/>
          <w:kern w:val="0"/>
        </w:rPr>
        <w:t>Applied Ecology</w:t>
      </w:r>
      <w:r>
        <w:rPr>
          <w:kern w:val="0"/>
        </w:rPr>
        <w:t xml:space="preserve">, </w:t>
      </w:r>
      <w:r>
        <w:rPr>
          <w:b/>
          <w:bCs/>
          <w:kern w:val="0"/>
        </w:rPr>
        <w:t>10</w:t>
      </w:r>
      <w:r>
        <w:rPr>
          <w:kern w:val="0"/>
        </w:rPr>
        <w:t xml:space="preserve"> (5), 393-400.</w:t>
      </w:r>
    </w:p>
    <w:p w:rsidR="00896D6E" w:rsidRDefault="00896D6E" w:rsidP="00896D6E">
      <w:pPr>
        <w:pStyle w:val="a3"/>
        <w:rPr>
          <w:kern w:val="0"/>
        </w:rPr>
      </w:pPr>
      <w:r>
        <w:rPr>
          <w:rFonts w:hint="eastAsia"/>
          <w:kern w:val="0"/>
        </w:rPr>
        <w:t xml:space="preserve">Full Text: </w:t>
      </w:r>
      <w:hyperlink r:id="rId1420" w:history="1">
        <w:r w:rsidRPr="004C13FF">
          <w:rPr>
            <w:rStyle w:val="a5"/>
            <w:kern w:val="0"/>
          </w:rPr>
          <w:t>2009\Bas App Eco10, 393.pdf</w:t>
        </w:r>
      </w:hyperlink>
    </w:p>
    <w:p w:rsidR="00CE64DF" w:rsidRPr="001A3D2B" w:rsidRDefault="00CE64DF" w:rsidP="00CE64DF">
      <w:pPr>
        <w:pStyle w:val="a3"/>
        <w:rPr>
          <w:kern w:val="0"/>
        </w:rPr>
      </w:pPr>
      <w:r w:rsidRPr="001A3D2B">
        <w:rPr>
          <w:kern w:val="0"/>
        </w:rPr>
        <w:t>Abstract: Publications are thought to be an integrative indicator best suited to measure</w:t>
      </w:r>
      <w:r w:rsidR="003A1917">
        <w:rPr>
          <w:kern w:val="0"/>
        </w:rPr>
        <w:t xml:space="preserve"> the </w:t>
      </w:r>
      <w:r w:rsidRPr="001A3D2B">
        <w:rPr>
          <w:kern w:val="0"/>
        </w:rPr>
        <w:t>multifaceted nature</w:t>
      </w:r>
      <w:r w:rsidR="00427468">
        <w:rPr>
          <w:kern w:val="0"/>
        </w:rPr>
        <w:t xml:space="preserve"> of </w:t>
      </w:r>
      <w:r w:rsidRPr="001A3D2B">
        <w:rPr>
          <w:kern w:val="0"/>
        </w:rPr>
        <w:t>scientific performance</w:t>
      </w:r>
      <w:r w:rsidR="00A37C1D">
        <w:rPr>
          <w:kern w:val="0"/>
        </w:rPr>
        <w:t>. The</w:t>
      </w:r>
      <w:r w:rsidRPr="001A3D2B">
        <w:rPr>
          <w:kern w:val="0"/>
        </w:rPr>
        <w:t>refore, indicators based on</w:t>
      </w:r>
      <w:r w:rsidR="003A1917">
        <w:rPr>
          <w:kern w:val="0"/>
        </w:rPr>
        <w:t xml:space="preserve"> the </w:t>
      </w:r>
      <w:r w:rsidRPr="001A3D2B">
        <w:rPr>
          <w:kern w:val="0"/>
        </w:rPr>
        <w:t>publication record (citation analysis) are</w:t>
      </w:r>
      <w:r w:rsidR="003A1917">
        <w:rPr>
          <w:kern w:val="0"/>
        </w:rPr>
        <w:t xml:space="preserve"> the </w:t>
      </w:r>
      <w:r w:rsidRPr="001A3D2B">
        <w:rPr>
          <w:kern w:val="0"/>
        </w:rPr>
        <w:t>primary tool for rapid evaluation</w:t>
      </w:r>
      <w:r w:rsidR="00427468">
        <w:rPr>
          <w:kern w:val="0"/>
        </w:rPr>
        <w:t xml:space="preserve"> of </w:t>
      </w:r>
      <w:r w:rsidRPr="001A3D2B">
        <w:rPr>
          <w:kern w:val="0"/>
        </w:rPr>
        <w:t>scientific performance. Nevertheless, it has to be questioned whether</w:t>
      </w:r>
      <w:r w:rsidR="003A1917">
        <w:rPr>
          <w:kern w:val="0"/>
        </w:rPr>
        <w:t xml:space="preserve"> the </w:t>
      </w:r>
      <w:r w:rsidRPr="001A3D2B">
        <w:rPr>
          <w:kern w:val="0"/>
        </w:rPr>
        <w:t>indicators really do measure what they are intended to measure because people adjust to</w:t>
      </w:r>
      <w:r w:rsidR="003A1917">
        <w:rPr>
          <w:kern w:val="0"/>
        </w:rPr>
        <w:t xml:space="preserve"> the </w:t>
      </w:r>
      <w:r w:rsidRPr="001A3D2B">
        <w:rPr>
          <w:kern w:val="0"/>
        </w:rPr>
        <w:t>indicator value system by optimizing their indicator rather than their performance. Thus, no matter how sophisticated an indicator may be, it will never be proof against manipulation. A literature review identifies</w:t>
      </w:r>
      <w:r w:rsidR="003A1917">
        <w:rPr>
          <w:kern w:val="0"/>
        </w:rPr>
        <w:t xml:space="preserve"> the </w:t>
      </w:r>
      <w:r w:rsidRPr="001A3D2B">
        <w:rPr>
          <w:kern w:val="0"/>
        </w:rPr>
        <w:t>most critical problems</w:t>
      </w:r>
      <w:r w:rsidR="00427468">
        <w:rPr>
          <w:kern w:val="0"/>
        </w:rPr>
        <w:t xml:space="preserve"> of </w:t>
      </w:r>
      <w:r w:rsidRPr="001A3D2B">
        <w:rPr>
          <w:kern w:val="0"/>
        </w:rPr>
        <w:t>citation analysis: database-related problems, inflated citation records, bias in citation rates</w:t>
      </w:r>
      <w:r w:rsidR="005853A9">
        <w:rPr>
          <w:kern w:val="0"/>
        </w:rPr>
        <w:t xml:space="preserve"> and </w:t>
      </w:r>
      <w:r w:rsidRPr="001A3D2B">
        <w:rPr>
          <w:kern w:val="0"/>
        </w:rPr>
        <w:t>crediting</w:t>
      </w:r>
      <w:r w:rsidR="00427468">
        <w:rPr>
          <w:kern w:val="0"/>
        </w:rPr>
        <w:t xml:space="preserve"> of </w:t>
      </w:r>
      <w:r w:rsidRPr="001A3D2B">
        <w:rPr>
          <w:kern w:val="0"/>
        </w:rPr>
        <w:t>multi-author papers. We present a step-by-step protocol to address these problems. By applying this protocol, reviewers can avoid most</w:t>
      </w:r>
      <w:r w:rsidR="00427468">
        <w:rPr>
          <w:kern w:val="0"/>
        </w:rPr>
        <w:t xml:space="preserve"> of </w:t>
      </w:r>
      <w:r w:rsidR="003A1917">
        <w:rPr>
          <w:kern w:val="0"/>
        </w:rPr>
        <w:t xml:space="preserve">the </w:t>
      </w:r>
      <w:r w:rsidRPr="001A3D2B">
        <w:rPr>
          <w:kern w:val="0"/>
        </w:rPr>
        <w:t>pitfalls associated with</w:t>
      </w:r>
      <w:r w:rsidR="003A1917">
        <w:rPr>
          <w:kern w:val="0"/>
        </w:rPr>
        <w:t xml:space="preserve"> the </w:t>
      </w:r>
      <w:r w:rsidRPr="001A3D2B">
        <w:rPr>
          <w:kern w:val="0"/>
        </w:rPr>
        <w:t>pure numbers</w:t>
      </w:r>
      <w:r w:rsidR="00427468">
        <w:rPr>
          <w:kern w:val="0"/>
        </w:rPr>
        <w:t xml:space="preserve"> of </w:t>
      </w:r>
      <w:r w:rsidRPr="001A3D2B">
        <w:rPr>
          <w:kern w:val="0"/>
        </w:rPr>
        <w:t>indicators</w:t>
      </w:r>
      <w:r w:rsidR="005853A9">
        <w:rPr>
          <w:kern w:val="0"/>
        </w:rPr>
        <w:t xml:space="preserve"> and </w:t>
      </w:r>
      <w:r w:rsidRPr="001A3D2B">
        <w:rPr>
          <w:kern w:val="0"/>
        </w:rPr>
        <w:t>achieve a fast but fair evaluation</w:t>
      </w:r>
      <w:r w:rsidR="00427468">
        <w:rPr>
          <w:kern w:val="0"/>
        </w:rPr>
        <w:t xml:space="preserve"> of </w:t>
      </w:r>
      <w:r w:rsidRPr="001A3D2B">
        <w:rPr>
          <w:kern w:val="0"/>
        </w:rPr>
        <w:t>a scientist</w:t>
      </w:r>
      <w:r w:rsidR="00700038">
        <w:rPr>
          <w:kern w:val="0"/>
        </w:rPr>
        <w:t>’</w:t>
      </w:r>
      <w:r w:rsidR="00C13DDC">
        <w:rPr>
          <w:kern w:val="0"/>
        </w:rPr>
        <w:t>s</w:t>
      </w:r>
      <w:r w:rsidRPr="001A3D2B">
        <w:rPr>
          <w:kern w:val="0"/>
        </w:rPr>
        <w:t xml:space="preserve"> performance. We as ecologists should accept complexity not only in our research but also in our research evaluation</w:t>
      </w:r>
      <w:r w:rsidR="005853A9">
        <w:rPr>
          <w:kern w:val="0"/>
        </w:rPr>
        <w:t xml:space="preserve"> and </w:t>
      </w:r>
      <w:r w:rsidRPr="001A3D2B">
        <w:rPr>
          <w:kern w:val="0"/>
        </w:rPr>
        <w:t>should encourage scientists</w:t>
      </w:r>
      <w:r w:rsidR="00427468">
        <w:rPr>
          <w:kern w:val="0"/>
        </w:rPr>
        <w:t xml:space="preserve"> of </w:t>
      </w:r>
      <w:r w:rsidRPr="001A3D2B">
        <w:rPr>
          <w:kern w:val="0"/>
        </w:rPr>
        <w:t>other disciplines to do so as well. (C) 2008 Gesellschaft fur Okologie. Published by Elsevier GmbH. All rights reserved.</w:t>
      </w:r>
    </w:p>
    <w:p w:rsidR="00CE64DF" w:rsidRPr="001A3D2B" w:rsidRDefault="00CE64DF" w:rsidP="00CE64DF">
      <w:pPr>
        <w:pStyle w:val="a3"/>
        <w:rPr>
          <w:kern w:val="0"/>
        </w:rPr>
      </w:pPr>
      <w:r w:rsidRPr="001A3D2B">
        <w:rPr>
          <w:kern w:val="0"/>
        </w:rPr>
        <w:t>Keywords: Authorship, Bibliometric Indicators, Citation Analysis, Citation Analysis, Citation Index, Co-Authorship, Contributorship, Ecology, Index, Indicators, Journal Impact Factors, Multiple Authorship, Patterns, Peer Review, Publication, Publication Bias, Publications, Quality, Research, Research Evaluation, Science</w:t>
      </w:r>
    </w:p>
    <w:p w:rsidR="00E50E41" w:rsidRPr="001A3D2B" w:rsidRDefault="00E50E41" w:rsidP="00E50E41">
      <w:pPr>
        <w:pStyle w:val="1"/>
      </w:pPr>
      <w:r w:rsidRPr="001A3D2B">
        <w:br w:type="page"/>
      </w:r>
      <w:bookmarkStart w:id="729" w:name="_Toc420814689"/>
      <w:r w:rsidRPr="001A3D2B">
        <w:lastRenderedPageBreak/>
        <w:t xml:space="preserve">Title: </w:t>
      </w:r>
      <w:r w:rsidRPr="00E50E41">
        <w:rPr>
          <w:iCs w:val="0"/>
        </w:rPr>
        <w:t>Basic</w:t>
      </w:r>
      <w:r w:rsidR="005853A9">
        <w:rPr>
          <w:iCs w:val="0"/>
        </w:rPr>
        <w:t xml:space="preserve"> and </w:t>
      </w:r>
      <w:r w:rsidRPr="00E50E41">
        <w:rPr>
          <w:iCs w:val="0"/>
        </w:rPr>
        <w:t>Applied Myology</w:t>
      </w:r>
      <w:bookmarkEnd w:id="729"/>
    </w:p>
    <w:p w:rsidR="00155DEF" w:rsidRPr="001A3D2B" w:rsidRDefault="00155DEF" w:rsidP="00155DEF">
      <w:pPr>
        <w:pStyle w:val="12"/>
      </w:pPr>
      <w:r w:rsidRPr="001A3D2B">
        <w:t xml:space="preserve">Full Journal Title: </w:t>
      </w:r>
      <w:hyperlink r:id="rId1421" w:history="1">
        <w:r w:rsidRPr="002933A4">
          <w:rPr>
            <w:rStyle w:val="a5"/>
            <w:iCs/>
            <w:kern w:val="0"/>
          </w:rPr>
          <w:t>Basic</w:t>
        </w:r>
        <w:r w:rsidR="005853A9">
          <w:rPr>
            <w:rStyle w:val="a5"/>
            <w:iCs/>
            <w:kern w:val="0"/>
          </w:rPr>
          <w:t xml:space="preserve"> and </w:t>
        </w:r>
        <w:r w:rsidRPr="002933A4">
          <w:rPr>
            <w:rStyle w:val="a5"/>
            <w:iCs/>
            <w:kern w:val="0"/>
          </w:rPr>
          <w:t>Applied Myology</w:t>
        </w:r>
      </w:hyperlink>
    </w:p>
    <w:p w:rsidR="00E50E41" w:rsidRPr="001A3D2B" w:rsidRDefault="00E50E41" w:rsidP="00E50E41">
      <w:pPr>
        <w:pStyle w:val="12"/>
      </w:pPr>
      <w:r w:rsidRPr="001A3D2B">
        <w:t xml:space="preserve">ISO Abbreviated Title: </w:t>
      </w:r>
    </w:p>
    <w:p w:rsidR="00E50E41" w:rsidRPr="001A3D2B" w:rsidRDefault="00E50E41" w:rsidP="00E50E41">
      <w:pPr>
        <w:pStyle w:val="12"/>
      </w:pPr>
      <w:r w:rsidRPr="001A3D2B">
        <w:t xml:space="preserve">JCR Abbreviated Title: </w:t>
      </w:r>
    </w:p>
    <w:p w:rsidR="00E50E41" w:rsidRPr="001A3D2B" w:rsidRDefault="00E50E41" w:rsidP="00E50E41">
      <w:pPr>
        <w:pStyle w:val="12"/>
      </w:pPr>
      <w:r>
        <w:t xml:space="preserve">ISSN: </w:t>
      </w:r>
    </w:p>
    <w:p w:rsidR="00E50E41" w:rsidRPr="001A3D2B" w:rsidRDefault="00E50E41" w:rsidP="00E50E41">
      <w:pPr>
        <w:pStyle w:val="12"/>
      </w:pPr>
      <w:r w:rsidRPr="001A3D2B">
        <w:t xml:space="preserve">Issues/Year: </w:t>
      </w:r>
    </w:p>
    <w:p w:rsidR="00E50E41" w:rsidRPr="001A3D2B" w:rsidRDefault="00E50E41" w:rsidP="00E50E41">
      <w:pPr>
        <w:pStyle w:val="12"/>
      </w:pPr>
      <w:r w:rsidRPr="001A3D2B">
        <w:t xml:space="preserve">Journal Country/Territory: </w:t>
      </w:r>
    </w:p>
    <w:p w:rsidR="00E50E41" w:rsidRPr="001A3D2B" w:rsidRDefault="00E50E41" w:rsidP="00E50E41">
      <w:pPr>
        <w:pStyle w:val="12"/>
      </w:pPr>
      <w:r w:rsidRPr="001A3D2B">
        <w:t xml:space="preserve">Language: </w:t>
      </w:r>
    </w:p>
    <w:p w:rsidR="00E50E41" w:rsidRPr="001A3D2B" w:rsidRDefault="00E50E41" w:rsidP="00E50E41">
      <w:pPr>
        <w:pStyle w:val="12"/>
      </w:pPr>
      <w:r w:rsidRPr="001A3D2B">
        <w:t xml:space="preserve">Publisher: </w:t>
      </w:r>
    </w:p>
    <w:p w:rsidR="00E50E41" w:rsidRPr="001A3D2B" w:rsidRDefault="00E50E41" w:rsidP="00E50E41">
      <w:pPr>
        <w:pStyle w:val="12"/>
      </w:pPr>
      <w:r w:rsidRPr="001A3D2B">
        <w:t xml:space="preserve">Publisher Address: </w:t>
      </w:r>
    </w:p>
    <w:p w:rsidR="00E50E41" w:rsidRPr="001A3D2B" w:rsidRDefault="00E50E41" w:rsidP="00E50E41">
      <w:pPr>
        <w:pStyle w:val="12"/>
      </w:pPr>
      <w:r w:rsidRPr="001A3D2B">
        <w:t>Subject Categories:</w:t>
      </w:r>
    </w:p>
    <w:p w:rsidR="00E50E41" w:rsidRPr="001A3D2B" w:rsidRDefault="00E50E41" w:rsidP="00E50E41">
      <w:pPr>
        <w:pStyle w:val="12"/>
      </w:pPr>
      <w:r w:rsidRPr="001A3D2B">
        <w:t xml:space="preserve">: Impact Factor </w:t>
      </w:r>
    </w:p>
    <w:p w:rsidR="00E50E41" w:rsidRDefault="00E50E41" w:rsidP="00E50E41">
      <w:pPr>
        <w:pStyle w:val="a3"/>
        <w:rPr>
          <w:kern w:val="0"/>
        </w:rPr>
      </w:pPr>
      <w:r>
        <w:rPr>
          <w:rFonts w:hint="eastAsia"/>
          <w:kern w:val="0"/>
        </w:rPr>
        <w:t>Notes: JJournal</w:t>
      </w:r>
    </w:p>
    <w:p w:rsidR="00E50E41" w:rsidRDefault="00E50E41" w:rsidP="00E50E41">
      <w:pPr>
        <w:pStyle w:val="a3"/>
        <w:rPr>
          <w:kern w:val="0"/>
        </w:rPr>
      </w:pPr>
      <w:r>
        <w:rPr>
          <w:rFonts w:hint="eastAsia"/>
          <w:kern w:val="0"/>
        </w:rPr>
        <w:t xml:space="preserve">? </w:t>
      </w:r>
      <w:r>
        <w:rPr>
          <w:kern w:val="0"/>
        </w:rPr>
        <w:t>Dodson, M., YablonkaReuveni, Z., Bandman, E.</w:t>
      </w:r>
      <w:r w:rsidR="005853A9">
        <w:rPr>
          <w:kern w:val="0"/>
        </w:rPr>
        <w:t xml:space="preserve"> and </w:t>
      </w:r>
      <w:r>
        <w:rPr>
          <w:kern w:val="0"/>
        </w:rPr>
        <w:t xml:space="preserve">Grounds, M. (1997), </w:t>
      </w:r>
      <w:r w:rsidRPr="00C32B6C">
        <w:rPr>
          <w:i/>
          <w:kern w:val="0"/>
        </w:rPr>
        <w:t>Basic</w:t>
      </w:r>
      <w:r w:rsidR="005853A9">
        <w:rPr>
          <w:i/>
          <w:kern w:val="0"/>
        </w:rPr>
        <w:t xml:space="preserve"> and </w:t>
      </w:r>
      <w:r w:rsidRPr="00C32B6C">
        <w:rPr>
          <w:i/>
          <w:kern w:val="0"/>
        </w:rPr>
        <w:t>Applied Myology</w:t>
      </w:r>
      <w:r>
        <w:rPr>
          <w:kern w:val="0"/>
        </w:rPr>
        <w:t>: A reflection</w:t>
      </w:r>
      <w:r w:rsidR="00427468">
        <w:rPr>
          <w:kern w:val="0"/>
        </w:rPr>
        <w:t xml:space="preserve"> of </w:t>
      </w:r>
      <w:r>
        <w:rPr>
          <w:kern w:val="0"/>
        </w:rPr>
        <w:t>our roots</w:t>
      </w:r>
      <w:r w:rsidR="005853A9">
        <w:rPr>
          <w:kern w:val="0"/>
        </w:rPr>
        <w:t xml:space="preserve"> and </w:t>
      </w:r>
      <w:r>
        <w:rPr>
          <w:kern w:val="0"/>
        </w:rPr>
        <w:t>vision for</w:t>
      </w:r>
      <w:r w:rsidR="003A1917">
        <w:rPr>
          <w:kern w:val="0"/>
        </w:rPr>
        <w:t xml:space="preserve"> the </w:t>
      </w:r>
      <w:r>
        <w:rPr>
          <w:kern w:val="0"/>
        </w:rPr>
        <w:t xml:space="preserve">immediate future. </w:t>
      </w:r>
      <w:r w:rsidRPr="00E50E41">
        <w:rPr>
          <w:i/>
          <w:iCs/>
          <w:kern w:val="0"/>
        </w:rPr>
        <w:t>Basic</w:t>
      </w:r>
      <w:r w:rsidR="005853A9">
        <w:rPr>
          <w:i/>
          <w:iCs/>
          <w:kern w:val="0"/>
        </w:rPr>
        <w:t xml:space="preserve"> and </w:t>
      </w:r>
      <w:r w:rsidRPr="00E50E41">
        <w:rPr>
          <w:i/>
          <w:iCs/>
          <w:kern w:val="0"/>
        </w:rPr>
        <w:t>Applied Myology</w:t>
      </w:r>
      <w:r>
        <w:rPr>
          <w:kern w:val="0"/>
        </w:rPr>
        <w:t xml:space="preserve">, </w:t>
      </w:r>
      <w:r>
        <w:rPr>
          <w:b/>
          <w:bCs/>
          <w:kern w:val="0"/>
        </w:rPr>
        <w:t>7</w:t>
      </w:r>
      <w:r>
        <w:rPr>
          <w:kern w:val="0"/>
        </w:rPr>
        <w:t xml:space="preserve"> (3-4), 295-298.</w:t>
      </w:r>
    </w:p>
    <w:p w:rsidR="00155DEF" w:rsidRDefault="00155DEF" w:rsidP="00E50E41">
      <w:pPr>
        <w:pStyle w:val="a3"/>
        <w:rPr>
          <w:kern w:val="0"/>
        </w:rPr>
      </w:pPr>
      <w:r>
        <w:rPr>
          <w:rFonts w:hint="eastAsia"/>
          <w:kern w:val="0"/>
        </w:rPr>
        <w:t xml:space="preserve">Full Text: </w:t>
      </w:r>
      <w:hyperlink r:id="rId1422" w:history="1">
        <w:r w:rsidRPr="00155DEF">
          <w:rPr>
            <w:rStyle w:val="a5"/>
            <w:kern w:val="0"/>
          </w:rPr>
          <w:t>1997\Bas App Myo7, 295.pdf</w:t>
        </w:r>
      </w:hyperlink>
    </w:p>
    <w:p w:rsidR="00E50E41" w:rsidRDefault="00E50E41" w:rsidP="00E50E41">
      <w:pPr>
        <w:pStyle w:val="a3"/>
        <w:rPr>
          <w:kern w:val="0"/>
        </w:rPr>
      </w:pPr>
      <w:r>
        <w:rPr>
          <w:kern w:val="0"/>
        </w:rPr>
        <w:t xml:space="preserve">Abstract: </w:t>
      </w:r>
      <w:r w:rsidR="00B5188C">
        <w:rPr>
          <w:kern w:val="0"/>
        </w:rPr>
        <w:t>“</w:t>
      </w:r>
      <w:r>
        <w:rPr>
          <w:kern w:val="0"/>
        </w:rPr>
        <w:t>Published by Scientists for Scientists,</w:t>
      </w:r>
      <w:r w:rsidR="00B5188C">
        <w:rPr>
          <w:kern w:val="0"/>
        </w:rPr>
        <w:t>”</w:t>
      </w:r>
      <w:r>
        <w:rPr>
          <w:kern w:val="0"/>
        </w:rPr>
        <w:t xml:space="preserve"> Basic</w:t>
      </w:r>
      <w:r w:rsidR="005853A9">
        <w:rPr>
          <w:kern w:val="0"/>
        </w:rPr>
        <w:t xml:space="preserve"> and </w:t>
      </w:r>
      <w:r>
        <w:rPr>
          <w:kern w:val="0"/>
        </w:rPr>
        <w:t>Applied Myology (BAM) is entering its seventh year</w:t>
      </w:r>
      <w:r w:rsidR="00427468">
        <w:rPr>
          <w:kern w:val="0"/>
        </w:rPr>
        <w:t xml:space="preserve"> of </w:t>
      </w:r>
      <w:r>
        <w:rPr>
          <w:kern w:val="0"/>
        </w:rPr>
        <w:t>service to</w:t>
      </w:r>
      <w:r w:rsidR="003A1917">
        <w:rPr>
          <w:kern w:val="0"/>
        </w:rPr>
        <w:t xml:space="preserve"> the </w:t>
      </w:r>
      <w:r>
        <w:rPr>
          <w:kern w:val="0"/>
        </w:rPr>
        <w:t xml:space="preserve">world-wide scientific community. Originally established to provide an outlet for articles covering topics relevant to </w:t>
      </w:r>
      <w:r w:rsidR="00B5188C">
        <w:rPr>
          <w:kern w:val="0"/>
        </w:rPr>
        <w:t>“</w:t>
      </w:r>
      <w:r>
        <w:rPr>
          <w:kern w:val="0"/>
        </w:rPr>
        <w:t>basic research in skeletal muscle,</w:t>
      </w:r>
      <w:r w:rsidR="00B5188C">
        <w:rPr>
          <w:kern w:val="0"/>
        </w:rPr>
        <w:t>”</w:t>
      </w:r>
      <w:r>
        <w:rPr>
          <w:kern w:val="0"/>
        </w:rPr>
        <w:t xml:space="preserve"> BAM coverage presently includes reports</w:t>
      </w:r>
      <w:r w:rsidR="00427468">
        <w:rPr>
          <w:kern w:val="0"/>
        </w:rPr>
        <w:t xml:space="preserve"> of </w:t>
      </w:r>
      <w:r w:rsidR="00B5188C">
        <w:rPr>
          <w:kern w:val="0"/>
        </w:rPr>
        <w:t>“</w:t>
      </w:r>
      <w:r>
        <w:rPr>
          <w:kern w:val="0"/>
        </w:rPr>
        <w:t>experimental studies in large animals, as-well-as basic</w:t>
      </w:r>
      <w:r w:rsidR="005853A9">
        <w:rPr>
          <w:kern w:val="0"/>
        </w:rPr>
        <w:t xml:space="preserve"> and </w:t>
      </w:r>
      <w:r>
        <w:rPr>
          <w:kern w:val="0"/>
        </w:rPr>
        <w:t>clinical research in anatomy, physiology, cell biology, biochemistry, molecular biology, gene mapping, comparative biology, development</w:t>
      </w:r>
      <w:r w:rsidR="005853A9">
        <w:rPr>
          <w:kern w:val="0"/>
        </w:rPr>
        <w:t xml:space="preserve"> and </w:t>
      </w:r>
      <w:r>
        <w:rPr>
          <w:kern w:val="0"/>
        </w:rPr>
        <w:t>differentiation, regeneration, pathology, epidemiology, bioengineering, pharmacology, toxicology, surgery</w:t>
      </w:r>
      <w:r w:rsidR="005853A9">
        <w:rPr>
          <w:kern w:val="0"/>
        </w:rPr>
        <w:t xml:space="preserve"> and </w:t>
      </w:r>
      <w:r>
        <w:rPr>
          <w:kern w:val="0"/>
        </w:rPr>
        <w:t>medicine.</w:t>
      </w:r>
      <w:r w:rsidR="00B5188C">
        <w:rPr>
          <w:kern w:val="0"/>
        </w:rPr>
        <w:t>”</w:t>
      </w:r>
      <w:r w:rsidR="003A1917">
        <w:rPr>
          <w:kern w:val="0"/>
        </w:rPr>
        <w:t xml:space="preserve"> the </w:t>
      </w:r>
      <w:r>
        <w:rPr>
          <w:kern w:val="0"/>
        </w:rPr>
        <w:t>format</w:t>
      </w:r>
      <w:r w:rsidR="00427468">
        <w:rPr>
          <w:kern w:val="0"/>
        </w:rPr>
        <w:t xml:space="preserve"> of </w:t>
      </w:r>
      <w:r>
        <w:rPr>
          <w:kern w:val="0"/>
        </w:rPr>
        <w:t xml:space="preserve">BAM is different from many other journals in that many issues are centered on </w:t>
      </w:r>
      <w:r w:rsidR="00B5188C">
        <w:rPr>
          <w:kern w:val="0"/>
        </w:rPr>
        <w:t>“</w:t>
      </w:r>
      <w:r>
        <w:rPr>
          <w:kern w:val="0"/>
        </w:rPr>
        <w:t>Guest-Edited</w:t>
      </w:r>
      <w:r w:rsidR="00B5188C">
        <w:rPr>
          <w:kern w:val="0"/>
        </w:rPr>
        <w:t>”</w:t>
      </w:r>
      <w:r>
        <w:rPr>
          <w:kern w:val="0"/>
        </w:rPr>
        <w:t xml:space="preserve"> topics, called </w:t>
      </w:r>
      <w:r w:rsidR="00B5188C">
        <w:rPr>
          <w:kern w:val="0"/>
        </w:rPr>
        <w:t>“</w:t>
      </w:r>
      <w:r>
        <w:rPr>
          <w:kern w:val="0"/>
        </w:rPr>
        <w:t>Hot Sections.</w:t>
      </w:r>
      <w:r w:rsidR="00B5188C">
        <w:rPr>
          <w:kern w:val="0"/>
        </w:rPr>
        <w:t>”</w:t>
      </w:r>
      <w:r>
        <w:rPr>
          <w:kern w:val="0"/>
        </w:rPr>
        <w:t xml:space="preserve"> As such,</w:t>
      </w:r>
      <w:r w:rsidR="003A1917">
        <w:rPr>
          <w:kern w:val="0"/>
        </w:rPr>
        <w:t xml:space="preserve"> the </w:t>
      </w:r>
      <w:r>
        <w:rPr>
          <w:kern w:val="0"/>
        </w:rPr>
        <w:t>most recent advances in a wide variety</w:t>
      </w:r>
      <w:r w:rsidR="00427468">
        <w:rPr>
          <w:kern w:val="0"/>
        </w:rPr>
        <w:t xml:space="preserve"> of </w:t>
      </w:r>
      <w:r>
        <w:rPr>
          <w:kern w:val="0"/>
        </w:rPr>
        <w:t>disciplines are presented in BAM. While</w:t>
      </w:r>
      <w:r w:rsidR="003A1917">
        <w:rPr>
          <w:kern w:val="0"/>
        </w:rPr>
        <w:t xml:space="preserve"> the </w:t>
      </w:r>
      <w:r>
        <w:rPr>
          <w:kern w:val="0"/>
        </w:rPr>
        <w:t>foundation</w:t>
      </w:r>
      <w:r w:rsidR="00427468">
        <w:rPr>
          <w:kern w:val="0"/>
        </w:rPr>
        <w:t xml:space="preserve"> of </w:t>
      </w:r>
      <w:r w:rsidR="003A1917">
        <w:rPr>
          <w:kern w:val="0"/>
        </w:rPr>
        <w:t xml:space="preserve">the </w:t>
      </w:r>
      <w:r>
        <w:rPr>
          <w:kern w:val="0"/>
        </w:rPr>
        <w:t>journal seems firm,</w:t>
      </w:r>
      <w:r w:rsidR="003A1917">
        <w:rPr>
          <w:kern w:val="0"/>
        </w:rPr>
        <w:t xml:space="preserve"> the </w:t>
      </w:r>
      <w:r>
        <w:rPr>
          <w:kern w:val="0"/>
        </w:rPr>
        <w:t>success</w:t>
      </w:r>
      <w:r w:rsidR="00427468">
        <w:rPr>
          <w:kern w:val="0"/>
        </w:rPr>
        <w:t xml:space="preserve"> of </w:t>
      </w:r>
      <w:r>
        <w:rPr>
          <w:kern w:val="0"/>
        </w:rPr>
        <w:t>BAMs future depends on a number</w:t>
      </w:r>
      <w:r w:rsidR="00427468">
        <w:rPr>
          <w:kern w:val="0"/>
        </w:rPr>
        <w:t xml:space="preserve"> of </w:t>
      </w:r>
      <w:r>
        <w:rPr>
          <w:kern w:val="0"/>
        </w:rPr>
        <w:t>variables. First, it is important for researchers who submit articles for publication in BAM to become more disciplined in their use</w:t>
      </w:r>
      <w:r w:rsidR="00427468">
        <w:rPr>
          <w:kern w:val="0"/>
        </w:rPr>
        <w:t xml:space="preserve"> of </w:t>
      </w:r>
      <w:r>
        <w:rPr>
          <w:kern w:val="0"/>
        </w:rPr>
        <w:t>experimental hypotheses, data analyses</w:t>
      </w:r>
      <w:r w:rsidR="005853A9">
        <w:rPr>
          <w:kern w:val="0"/>
        </w:rPr>
        <w:t xml:space="preserve"> and </w:t>
      </w:r>
      <w:r>
        <w:rPr>
          <w:kern w:val="0"/>
        </w:rPr>
        <w:t>interpretation,</w:t>
      </w:r>
      <w:r w:rsidR="005853A9">
        <w:rPr>
          <w:kern w:val="0"/>
        </w:rPr>
        <w:t xml:space="preserve"> and </w:t>
      </w:r>
      <w:r>
        <w:rPr>
          <w:kern w:val="0"/>
        </w:rPr>
        <w:t>to assure strong article content. Second, while BAM is presently included in Science Citation Index Expanded(R), Research Alert(R)</w:t>
      </w:r>
      <w:r w:rsidR="005853A9">
        <w:rPr>
          <w:kern w:val="0"/>
        </w:rPr>
        <w:t xml:space="preserve"> and </w:t>
      </w:r>
      <w:r>
        <w:rPr>
          <w:kern w:val="0"/>
        </w:rPr>
        <w:t>Focus on Molecular Medicine(R), it is requisite that BAM be accepted as a citation into</w:t>
      </w:r>
      <w:r w:rsidR="003A1917">
        <w:rPr>
          <w:kern w:val="0"/>
        </w:rPr>
        <w:t xml:space="preserve"> the </w:t>
      </w:r>
      <w:r>
        <w:rPr>
          <w:kern w:val="0"/>
        </w:rPr>
        <w:t>myriad</w:t>
      </w:r>
      <w:r w:rsidR="00427468">
        <w:rPr>
          <w:kern w:val="0"/>
        </w:rPr>
        <w:t xml:space="preserve"> of </w:t>
      </w:r>
      <w:r>
        <w:rPr>
          <w:kern w:val="0"/>
        </w:rPr>
        <w:t xml:space="preserve">full-service scientific indexing systems, like </w:t>
      </w:r>
      <w:r w:rsidR="00D5664A">
        <w:rPr>
          <w:kern w:val="0"/>
        </w:rPr>
        <w:t>MEDLINE</w:t>
      </w:r>
      <w:r>
        <w:rPr>
          <w:kern w:val="0"/>
        </w:rPr>
        <w:t>,(R) Current Contents(R)</w:t>
      </w:r>
      <w:r w:rsidR="005853A9">
        <w:rPr>
          <w:kern w:val="0"/>
        </w:rPr>
        <w:t xml:space="preserve"> and </w:t>
      </w:r>
      <w:r>
        <w:rPr>
          <w:kern w:val="0"/>
        </w:rPr>
        <w:t>Agricola(R) to provide</w:t>
      </w:r>
      <w:r w:rsidR="003A1917">
        <w:rPr>
          <w:kern w:val="0"/>
        </w:rPr>
        <w:t xml:space="preserve"> the </w:t>
      </w:r>
      <w:r>
        <w:rPr>
          <w:kern w:val="0"/>
        </w:rPr>
        <w:t>entire muscle field access to BAM articles. Finally, since</w:t>
      </w:r>
      <w:r w:rsidR="003A1917">
        <w:rPr>
          <w:kern w:val="0"/>
        </w:rPr>
        <w:t xml:space="preserve"> the </w:t>
      </w:r>
      <w:r>
        <w:rPr>
          <w:kern w:val="0"/>
        </w:rPr>
        <w:t>field</w:t>
      </w:r>
      <w:r w:rsidR="00427468">
        <w:rPr>
          <w:kern w:val="0"/>
        </w:rPr>
        <w:t xml:space="preserve"> of </w:t>
      </w:r>
      <w:r>
        <w:rPr>
          <w:kern w:val="0"/>
        </w:rPr>
        <w:t xml:space="preserve">muscle research is </w:t>
      </w:r>
      <w:r>
        <w:rPr>
          <w:kern w:val="0"/>
        </w:rPr>
        <w:lastRenderedPageBreak/>
        <w:t>experiencing an unprecedented explosion</w:t>
      </w:r>
      <w:r w:rsidR="00427468">
        <w:rPr>
          <w:kern w:val="0"/>
        </w:rPr>
        <w:t xml:space="preserve"> of </w:t>
      </w:r>
      <w:r>
        <w:rPr>
          <w:kern w:val="0"/>
        </w:rPr>
        <w:t>new data</w:t>
      </w:r>
      <w:r w:rsidR="005853A9">
        <w:rPr>
          <w:kern w:val="0"/>
        </w:rPr>
        <w:t xml:space="preserve"> and </w:t>
      </w:r>
      <w:r>
        <w:rPr>
          <w:kern w:val="0"/>
        </w:rPr>
        <w:t>research groups, BAM must continue to pursue Guest Editors</w:t>
      </w:r>
      <w:r w:rsidR="00427468">
        <w:rPr>
          <w:kern w:val="0"/>
        </w:rPr>
        <w:t xml:space="preserve"> of </w:t>
      </w:r>
      <w:r>
        <w:rPr>
          <w:kern w:val="0"/>
        </w:rPr>
        <w:t>Hot Sections who would critically express</w:t>
      </w:r>
      <w:r w:rsidR="003A1917">
        <w:rPr>
          <w:kern w:val="0"/>
        </w:rPr>
        <w:t xml:space="preserve"> the </w:t>
      </w:r>
      <w:r>
        <w:rPr>
          <w:kern w:val="0"/>
        </w:rPr>
        <w:t>most current status</w:t>
      </w:r>
      <w:r w:rsidR="00427468">
        <w:rPr>
          <w:kern w:val="0"/>
        </w:rPr>
        <w:t xml:space="preserve"> of </w:t>
      </w:r>
      <w:r w:rsidR="003A1917">
        <w:rPr>
          <w:kern w:val="0"/>
        </w:rPr>
        <w:t xml:space="preserve">the </w:t>
      </w:r>
      <w:r>
        <w:rPr>
          <w:kern w:val="0"/>
        </w:rPr>
        <w:t>topic covered.</w:t>
      </w:r>
    </w:p>
    <w:p w:rsidR="00E50E41" w:rsidRDefault="00E50E41" w:rsidP="00E50E41">
      <w:pPr>
        <w:pStyle w:val="a3"/>
        <w:rPr>
          <w:kern w:val="0"/>
        </w:rPr>
      </w:pPr>
      <w:r>
        <w:rPr>
          <w:kern w:val="0"/>
        </w:rPr>
        <w:t>Keywords: Articles, Basic</w:t>
      </w:r>
      <w:r w:rsidR="005853A9">
        <w:rPr>
          <w:kern w:val="0"/>
        </w:rPr>
        <w:t xml:space="preserve"> and </w:t>
      </w:r>
      <w:r>
        <w:rPr>
          <w:kern w:val="0"/>
        </w:rPr>
        <w:t>Applied Myology, Basic Research, Citation, Clinical Research, Coverage, Development, Editors, Epidemiology, Groups, Guest Editors, Hot Section, Indexing Systems, Interpretation, Journal, Journals, Mapping, Molecular Biology, Publication, Regeneration, Research, Research Groups, Researchers, Science, Science Citation Index, Surgery, Topic, Topics, Toxicology</w:t>
      </w:r>
    </w:p>
    <w:p w:rsidR="003474F2" w:rsidRPr="001A3D2B" w:rsidRDefault="003474F2" w:rsidP="003474F2">
      <w:pPr>
        <w:pStyle w:val="1"/>
      </w:pPr>
      <w:r w:rsidRPr="001A3D2B">
        <w:br w:type="page"/>
      </w:r>
      <w:bookmarkStart w:id="730" w:name="_Toc420814690"/>
      <w:r w:rsidRPr="001A3D2B">
        <w:lastRenderedPageBreak/>
        <w:t xml:space="preserve">Title: </w:t>
      </w:r>
      <w:r w:rsidRPr="001A3D2B">
        <w:rPr>
          <w:szCs w:val="19"/>
        </w:rPr>
        <w:t>Basic &amp; Clinical Pharmacology &amp; Toxicology</w:t>
      </w:r>
      <w:bookmarkEnd w:id="730"/>
    </w:p>
    <w:p w:rsidR="003474F2" w:rsidRPr="001A3D2B" w:rsidRDefault="003474F2" w:rsidP="003474F2">
      <w:pPr>
        <w:pStyle w:val="12"/>
      </w:pPr>
      <w:r w:rsidRPr="001A3D2B">
        <w:t xml:space="preserve">Full Journal Title: </w:t>
      </w:r>
      <w:hyperlink r:id="rId1423" w:history="1">
        <w:r w:rsidRPr="001A3D2B">
          <w:rPr>
            <w:rStyle w:val="a5"/>
            <w:szCs w:val="19"/>
          </w:rPr>
          <w:t>Basic &amp; Clinical Pharmacology &amp; Toxicology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1742-7835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rPr>
          <w:szCs w:val="19"/>
        </w:rPr>
        <w:t>Wallin, J.A.</w:t>
      </w:r>
      <w:r w:rsidRPr="001A3D2B">
        <w:t xml:space="preserve"> (</w:t>
      </w:r>
      <w:r w:rsidRPr="001A3D2B">
        <w:rPr>
          <w:szCs w:val="19"/>
        </w:rPr>
        <w:t>2005</w:t>
      </w:r>
      <w:r w:rsidRPr="001A3D2B">
        <w:t xml:space="preserve">), </w:t>
      </w:r>
      <w:r w:rsidRPr="001A3D2B">
        <w:rPr>
          <w:szCs w:val="19"/>
        </w:rPr>
        <w:t>Bibliometric methods: Pitfalls</w:t>
      </w:r>
      <w:r w:rsidR="005853A9">
        <w:rPr>
          <w:szCs w:val="19"/>
        </w:rPr>
        <w:t xml:space="preserve"> and </w:t>
      </w:r>
      <w:r w:rsidRPr="001A3D2B">
        <w:rPr>
          <w:szCs w:val="19"/>
        </w:rPr>
        <w:t>possibilities</w:t>
      </w:r>
      <w:r w:rsidRPr="001A3D2B">
        <w:t xml:space="preserve">. </w:t>
      </w:r>
      <w:r w:rsidRPr="001A3D2B">
        <w:rPr>
          <w:i/>
          <w:szCs w:val="19"/>
        </w:rPr>
        <w:t>Basic &amp; Clinical Pharmacology &amp; Toxicology</w:t>
      </w:r>
      <w:r w:rsidRPr="001A3D2B">
        <w:t xml:space="preserve">, </w:t>
      </w:r>
      <w:r w:rsidRPr="001A3D2B">
        <w:rPr>
          <w:b/>
          <w:bCs/>
        </w:rPr>
        <w:t>97</w:t>
      </w:r>
      <w:r w:rsidRPr="001A3D2B">
        <w:t xml:space="preserve"> (5), </w:t>
      </w:r>
      <w:r w:rsidRPr="001A3D2B">
        <w:rPr>
          <w:szCs w:val="19"/>
        </w:rPr>
        <w:t>261-275</w:t>
      </w:r>
      <w:r w:rsidRPr="001A3D2B">
        <w:t>.</w:t>
      </w:r>
    </w:p>
    <w:p w:rsidR="003474F2" w:rsidRPr="001A3D2B" w:rsidRDefault="003474F2" w:rsidP="003474F2">
      <w:pPr>
        <w:pStyle w:val="a3"/>
      </w:pPr>
      <w:r w:rsidRPr="001A3D2B">
        <w:t xml:space="preserve">Full Text: </w:t>
      </w:r>
      <w:hyperlink r:id="rId1424" w:history="1">
        <w:r w:rsidRPr="001A3D2B">
          <w:rPr>
            <w:rStyle w:val="a5"/>
          </w:rPr>
          <w:t>2005\Bas Cli Pha Tox97, 261.pdf</w:t>
        </w:r>
      </w:hyperlink>
    </w:p>
    <w:p w:rsidR="003474F2" w:rsidRPr="001A3D2B" w:rsidRDefault="003474F2" w:rsidP="003474F2">
      <w:pPr>
        <w:pStyle w:val="a3"/>
        <w:rPr>
          <w:szCs w:val="19"/>
        </w:rPr>
      </w:pPr>
      <w:r w:rsidRPr="001A3D2B">
        <w:rPr>
          <w:szCs w:val="19"/>
        </w:rPr>
        <w:t>Abstract: Bibliometric studies are increasingly being used for research assessment. Bibliometric indicators are strongly methodology-dependent but for all</w:t>
      </w:r>
      <w:r w:rsidR="00427468">
        <w:rPr>
          <w:szCs w:val="19"/>
        </w:rPr>
        <w:t xml:space="preserve"> of </w:t>
      </w:r>
      <w:r w:rsidRPr="001A3D2B">
        <w:rPr>
          <w:szCs w:val="19"/>
        </w:rPr>
        <w:t>them, various types</w:t>
      </w:r>
      <w:r w:rsidR="00427468">
        <w:rPr>
          <w:szCs w:val="19"/>
        </w:rPr>
        <w:t xml:space="preserve"> of </w:t>
      </w:r>
      <w:r w:rsidRPr="001A3D2B">
        <w:rPr>
          <w:szCs w:val="19"/>
        </w:rPr>
        <w:t>data normalization are an indispensable requirement. Bibliometric studies have many pitfalls; technical skill, critical sense</w:t>
      </w:r>
      <w:r w:rsidR="005853A9">
        <w:rPr>
          <w:szCs w:val="19"/>
        </w:rPr>
        <w:t xml:space="preserve"> and </w:t>
      </w:r>
      <w:r w:rsidRPr="001A3D2B">
        <w:rPr>
          <w:szCs w:val="19"/>
        </w:rPr>
        <w:t>a precise knowledge about</w:t>
      </w:r>
      <w:r w:rsidR="003A1917">
        <w:rPr>
          <w:szCs w:val="19"/>
        </w:rPr>
        <w:t xml:space="preserve"> the </w:t>
      </w:r>
      <w:r w:rsidRPr="001A3D2B">
        <w:rPr>
          <w:szCs w:val="19"/>
        </w:rPr>
        <w:t>examined scientific domain are required to carry out</w:t>
      </w:r>
      <w:r w:rsidR="005853A9">
        <w:rPr>
          <w:szCs w:val="19"/>
        </w:rPr>
        <w:t xml:space="preserve"> and </w:t>
      </w:r>
      <w:r w:rsidRPr="001A3D2B">
        <w:rPr>
          <w:szCs w:val="19"/>
        </w:rPr>
        <w:t>interpret bibliometric investigations correctly.</w:t>
      </w:r>
    </w:p>
    <w:p w:rsidR="003474F2" w:rsidRPr="001A3D2B" w:rsidRDefault="003474F2" w:rsidP="003474F2">
      <w:pPr>
        <w:pStyle w:val="a3"/>
      </w:pPr>
      <w:r w:rsidRPr="001A3D2B">
        <w:t>Keywords: Assessment Exercise Ratings, Behavioral-Sciences, Bibliometric, Citer Motivations, Co-Heading Analysis, Cocitation Analysis, Information Impact, Journal Impact Factors, Patent Citation Analysis, Research, Research Performance, Scientific Literature</w:t>
      </w:r>
    </w:p>
    <w:p w:rsidR="00CE64DF" w:rsidRPr="001A3D2B" w:rsidRDefault="00CE64DF" w:rsidP="00CE64DF">
      <w:pPr>
        <w:pStyle w:val="a3"/>
        <w:rPr>
          <w:kern w:val="0"/>
        </w:rPr>
      </w:pPr>
      <w:r w:rsidRPr="001A3D2B">
        <w:rPr>
          <w:kern w:val="0"/>
        </w:rPr>
        <w:t>? Robert, C., Wilson, C., Gaudy, J.F.</w:t>
      </w:r>
      <w:r w:rsidR="005853A9">
        <w:rPr>
          <w:kern w:val="0"/>
        </w:rPr>
        <w:t xml:space="preserve"> and </w:t>
      </w:r>
      <w:r w:rsidRPr="001A3D2B">
        <w:rPr>
          <w:kern w:val="0"/>
        </w:rPr>
        <w:t>Arreto, C.D. (2009), Bibliometric Snapshot</w:t>
      </w:r>
      <w:r w:rsidR="00427468">
        <w:rPr>
          <w:kern w:val="0"/>
        </w:rPr>
        <w:t xml:space="preserve"> of </w:t>
      </w:r>
      <w:r w:rsidRPr="001A3D2B">
        <w:rPr>
          <w:kern w:val="0"/>
        </w:rPr>
        <w:t>Research Involving Cytochromes P450 in Medicine</w:t>
      </w:r>
      <w:r w:rsidR="005853A9">
        <w:rPr>
          <w:kern w:val="0"/>
        </w:rPr>
        <w:t xml:space="preserve"> and </w:t>
      </w:r>
      <w:r w:rsidRPr="001A3D2B">
        <w:rPr>
          <w:kern w:val="0"/>
        </w:rPr>
        <w:t xml:space="preserve">Biology. </w:t>
      </w:r>
      <w:r w:rsidRPr="001A3D2B">
        <w:rPr>
          <w:i/>
          <w:iCs/>
          <w:kern w:val="0"/>
        </w:rPr>
        <w:t>Basic &amp; Clinical Pharmacology &amp; Toxicology</w:t>
      </w:r>
      <w:r w:rsidRPr="001A3D2B">
        <w:rPr>
          <w:kern w:val="0"/>
        </w:rPr>
        <w:t xml:space="preserve">, </w:t>
      </w:r>
      <w:r w:rsidRPr="001A3D2B">
        <w:rPr>
          <w:b/>
          <w:bCs/>
          <w:kern w:val="0"/>
        </w:rPr>
        <w:t>105</w:t>
      </w:r>
      <w:r w:rsidRPr="001A3D2B">
        <w:rPr>
          <w:kern w:val="0"/>
        </w:rPr>
        <w:t>, 145.</w:t>
      </w:r>
    </w:p>
    <w:p w:rsidR="00CE64DF" w:rsidRPr="001A3D2B" w:rsidRDefault="00CE64DF" w:rsidP="00CE64DF">
      <w:pPr>
        <w:pStyle w:val="a3"/>
      </w:pPr>
      <w:r w:rsidRPr="001A3D2B">
        <w:t>Full Text: Bas Cli Pha Tox105, 145.pdf</w:t>
      </w:r>
    </w:p>
    <w:p w:rsidR="00CE64DF" w:rsidRPr="001A3D2B" w:rsidRDefault="00CE64DF" w:rsidP="00CE64DF">
      <w:pPr>
        <w:pStyle w:val="a3"/>
        <w:rPr>
          <w:kern w:val="0"/>
        </w:rPr>
      </w:pPr>
      <w:r w:rsidRPr="001A3D2B">
        <w:rPr>
          <w:kern w:val="0"/>
        </w:rPr>
        <w:t>Keywords: Research</w:t>
      </w:r>
    </w:p>
    <w:p w:rsidR="000A30A9" w:rsidRPr="001A3D2B" w:rsidRDefault="000A30A9" w:rsidP="000A30A9">
      <w:pPr>
        <w:pStyle w:val="1"/>
      </w:pPr>
      <w:r w:rsidRPr="001A3D2B">
        <w:br w:type="page"/>
      </w:r>
      <w:bookmarkStart w:id="731" w:name="_Toc420814691"/>
      <w:r w:rsidRPr="001A3D2B">
        <w:lastRenderedPageBreak/>
        <w:t xml:space="preserve">Title: </w:t>
      </w:r>
      <w:r w:rsidRPr="000A30A9">
        <w:rPr>
          <w:iCs w:val="0"/>
        </w:rPr>
        <w:t>Behavior Analyst</w:t>
      </w:r>
      <w:bookmarkEnd w:id="731"/>
    </w:p>
    <w:p w:rsidR="000A30A9" w:rsidRPr="001A3D2B" w:rsidRDefault="000A30A9" w:rsidP="000A30A9">
      <w:pPr>
        <w:pStyle w:val="12"/>
      </w:pPr>
      <w:r w:rsidRPr="001A3D2B">
        <w:t xml:space="preserve">Full Journal Title: </w:t>
      </w:r>
      <w:r w:rsidRPr="000A30A9">
        <w:rPr>
          <w:iCs/>
          <w:kern w:val="0"/>
        </w:rPr>
        <w:t>Behavior Analyst</w:t>
      </w:r>
    </w:p>
    <w:p w:rsidR="000A30A9" w:rsidRPr="001A3D2B" w:rsidRDefault="000A30A9" w:rsidP="000A30A9">
      <w:pPr>
        <w:pStyle w:val="12"/>
      </w:pPr>
      <w:r w:rsidRPr="001A3D2B">
        <w:t xml:space="preserve">ISO Abbreviated Title: </w:t>
      </w:r>
    </w:p>
    <w:p w:rsidR="000A30A9" w:rsidRPr="001A3D2B" w:rsidRDefault="000A30A9" w:rsidP="000A30A9">
      <w:pPr>
        <w:pStyle w:val="12"/>
      </w:pPr>
      <w:r w:rsidRPr="001A3D2B">
        <w:t xml:space="preserve">JCR Abbreviated Title: </w:t>
      </w:r>
    </w:p>
    <w:p w:rsidR="000A30A9" w:rsidRPr="001A3D2B" w:rsidRDefault="000A30A9" w:rsidP="000A30A9">
      <w:pPr>
        <w:pStyle w:val="12"/>
      </w:pPr>
      <w:r w:rsidRPr="001A3D2B">
        <w:t xml:space="preserve">ISSN: </w:t>
      </w:r>
    </w:p>
    <w:p w:rsidR="000A30A9" w:rsidRPr="001A3D2B" w:rsidRDefault="000A30A9" w:rsidP="000A30A9">
      <w:pPr>
        <w:pStyle w:val="12"/>
      </w:pPr>
      <w:r w:rsidRPr="001A3D2B">
        <w:t xml:space="preserve">Issues/Year: </w:t>
      </w:r>
    </w:p>
    <w:p w:rsidR="000A30A9" w:rsidRPr="001A3D2B" w:rsidRDefault="000A30A9" w:rsidP="000A30A9">
      <w:pPr>
        <w:pStyle w:val="12"/>
      </w:pPr>
      <w:r w:rsidRPr="001A3D2B">
        <w:t xml:space="preserve">Journal Country/Territory: </w:t>
      </w:r>
    </w:p>
    <w:p w:rsidR="000A30A9" w:rsidRPr="001A3D2B" w:rsidRDefault="000A30A9" w:rsidP="000A30A9">
      <w:pPr>
        <w:pStyle w:val="12"/>
      </w:pPr>
      <w:r w:rsidRPr="001A3D2B">
        <w:t xml:space="preserve">Language: </w:t>
      </w:r>
    </w:p>
    <w:p w:rsidR="000A30A9" w:rsidRPr="001A3D2B" w:rsidRDefault="000A30A9" w:rsidP="000A30A9">
      <w:pPr>
        <w:pStyle w:val="12"/>
      </w:pPr>
      <w:r w:rsidRPr="001A3D2B">
        <w:t xml:space="preserve">Publisher: </w:t>
      </w:r>
    </w:p>
    <w:p w:rsidR="000A30A9" w:rsidRPr="001A3D2B" w:rsidRDefault="000A30A9" w:rsidP="000A30A9">
      <w:pPr>
        <w:pStyle w:val="12"/>
      </w:pPr>
      <w:r w:rsidRPr="001A3D2B">
        <w:t xml:space="preserve">Publisher Address: </w:t>
      </w:r>
    </w:p>
    <w:p w:rsidR="000A30A9" w:rsidRPr="001A3D2B" w:rsidRDefault="000A30A9" w:rsidP="000A30A9">
      <w:pPr>
        <w:pStyle w:val="12"/>
      </w:pPr>
      <w:r w:rsidRPr="001A3D2B">
        <w:t>Subject Categories:</w:t>
      </w:r>
    </w:p>
    <w:p w:rsidR="000A30A9" w:rsidRPr="001A3D2B" w:rsidRDefault="000A30A9" w:rsidP="000A30A9">
      <w:pPr>
        <w:pStyle w:val="12"/>
      </w:pPr>
      <w:r w:rsidRPr="001A3D2B">
        <w:t xml:space="preserve">: Impact Factor </w:t>
      </w:r>
    </w:p>
    <w:p w:rsidR="000A30A9" w:rsidRDefault="000A30A9" w:rsidP="000A30A9">
      <w:pPr>
        <w:pStyle w:val="a3"/>
        <w:rPr>
          <w:kern w:val="0"/>
        </w:rPr>
      </w:pPr>
      <w:r>
        <w:rPr>
          <w:rFonts w:hint="eastAsia"/>
          <w:kern w:val="0"/>
        </w:rPr>
        <w:t xml:space="preserve">? </w:t>
      </w:r>
      <w:r>
        <w:rPr>
          <w:kern w:val="0"/>
        </w:rPr>
        <w:t>Coleman, S.R.</w:t>
      </w:r>
      <w:r w:rsidR="005853A9">
        <w:rPr>
          <w:kern w:val="0"/>
        </w:rPr>
        <w:t xml:space="preserve"> and </w:t>
      </w:r>
      <w:r>
        <w:rPr>
          <w:kern w:val="0"/>
        </w:rPr>
        <w:t>Mehlman, S.E. (1992), An empirical update (1969-1989)</w:t>
      </w:r>
      <w:r w:rsidR="00427468">
        <w:rPr>
          <w:kern w:val="0"/>
        </w:rPr>
        <w:t xml:space="preserve"> of </w:t>
      </w:r>
      <w:r>
        <w:rPr>
          <w:kern w:val="0"/>
        </w:rPr>
        <w:t>Krantz,</w:t>
      </w:r>
      <w:r>
        <w:rPr>
          <w:rFonts w:hint="eastAsia"/>
          <w:kern w:val="0"/>
        </w:rPr>
        <w:t xml:space="preserve"> </w:t>
      </w:r>
      <w:r>
        <w:rPr>
          <w:kern w:val="0"/>
        </w:rPr>
        <w:t>D.L</w:t>
      </w:r>
      <w:r w:rsidR="00A37C1D">
        <w:rPr>
          <w:kern w:val="0"/>
        </w:rPr>
        <w:t>. The</w:t>
      </w:r>
      <w:r>
        <w:rPr>
          <w:kern w:val="0"/>
        </w:rPr>
        <w:t>sis</w:t>
      </w:r>
      <w:r>
        <w:rPr>
          <w:rFonts w:hint="eastAsia"/>
          <w:kern w:val="0"/>
        </w:rPr>
        <w:t>:</w:t>
      </w:r>
      <w:r>
        <w:rPr>
          <w:kern w:val="0"/>
        </w:rPr>
        <w:t xml:space="preserve"> That</w:t>
      </w:r>
      <w:r w:rsidR="003A1917">
        <w:rPr>
          <w:kern w:val="0"/>
        </w:rPr>
        <w:t xml:space="preserve"> the </w:t>
      </w:r>
      <w:r>
        <w:rPr>
          <w:kern w:val="0"/>
        </w:rPr>
        <w:t>experimental-analysis</w:t>
      </w:r>
      <w:r w:rsidR="00427468">
        <w:rPr>
          <w:kern w:val="0"/>
        </w:rPr>
        <w:t xml:space="preserve"> of </w:t>
      </w:r>
      <w:r>
        <w:rPr>
          <w:kern w:val="0"/>
        </w:rPr>
        <w:t xml:space="preserve">behavior is isolated. </w:t>
      </w:r>
      <w:r w:rsidRPr="000A30A9">
        <w:rPr>
          <w:i/>
          <w:iCs/>
          <w:kern w:val="0"/>
        </w:rPr>
        <w:t>Behavior Analyst</w:t>
      </w:r>
      <w:r>
        <w:rPr>
          <w:kern w:val="0"/>
        </w:rPr>
        <w:t xml:space="preserve">, </w:t>
      </w:r>
      <w:r>
        <w:rPr>
          <w:b/>
          <w:bCs/>
          <w:kern w:val="0"/>
        </w:rPr>
        <w:t>15</w:t>
      </w:r>
      <w:r>
        <w:rPr>
          <w:kern w:val="0"/>
        </w:rPr>
        <w:t xml:space="preserve"> (1), 43-49.</w:t>
      </w:r>
    </w:p>
    <w:p w:rsidR="000A30A9" w:rsidRDefault="000A30A9" w:rsidP="000A30A9">
      <w:pPr>
        <w:pStyle w:val="a3"/>
        <w:rPr>
          <w:kern w:val="0"/>
        </w:rPr>
      </w:pPr>
      <w:r>
        <w:rPr>
          <w:kern w:val="0"/>
        </w:rPr>
        <w:t>Abstract: Citation data from 1970 to 1989 were examined in order to determine whether</w:t>
      </w:r>
      <w:r w:rsidR="003A1917">
        <w:rPr>
          <w:kern w:val="0"/>
        </w:rPr>
        <w:t xml:space="preserve"> the </w:t>
      </w:r>
      <w:r w:rsidR="00B5188C">
        <w:rPr>
          <w:kern w:val="0"/>
        </w:rPr>
        <w:t>“</w:t>
      </w:r>
      <w:r>
        <w:rPr>
          <w:kern w:val="0"/>
        </w:rPr>
        <w:t>isolation</w:t>
      </w:r>
      <w:r w:rsidR="00B5188C">
        <w:rPr>
          <w:kern w:val="0"/>
        </w:rPr>
        <w:t>”</w:t>
      </w:r>
      <w:r w:rsidR="00427468">
        <w:rPr>
          <w:kern w:val="0"/>
        </w:rPr>
        <w:t xml:space="preserve"> of </w:t>
      </w:r>
      <w:r w:rsidR="003A1917">
        <w:rPr>
          <w:kern w:val="0"/>
        </w:rPr>
        <w:t xml:space="preserve">the </w:t>
      </w:r>
      <w:r>
        <w:rPr>
          <w:kern w:val="0"/>
        </w:rPr>
        <w:t>experimental analysis</w:t>
      </w:r>
      <w:r w:rsidR="00427468">
        <w:rPr>
          <w:kern w:val="0"/>
        </w:rPr>
        <w:t xml:space="preserve"> of </w:t>
      </w:r>
      <w:r>
        <w:rPr>
          <w:kern w:val="0"/>
        </w:rPr>
        <w:t>behavior (EAB) that was originally documented by Krantz (1971, 1972) has persisted beyond</w:t>
      </w:r>
      <w:r w:rsidR="003A1917">
        <w:rPr>
          <w:kern w:val="0"/>
        </w:rPr>
        <w:t xml:space="preserve"> the </w:t>
      </w:r>
      <w:r>
        <w:rPr>
          <w:kern w:val="0"/>
        </w:rPr>
        <w:t>early 1970s. Our findings from analyses</w:t>
      </w:r>
      <w:r w:rsidR="00427468">
        <w:rPr>
          <w:kern w:val="0"/>
        </w:rPr>
        <w:t xml:space="preserve"> of </w:t>
      </w:r>
      <w:r w:rsidR="003A1917">
        <w:rPr>
          <w:kern w:val="0"/>
        </w:rPr>
        <w:t xml:space="preserve">the </w:t>
      </w:r>
      <w:r>
        <w:rPr>
          <w:kern w:val="0"/>
        </w:rPr>
        <w:t>Journal</w:t>
      </w:r>
      <w:r w:rsidR="00427468">
        <w:rPr>
          <w:kern w:val="0"/>
        </w:rPr>
        <w:t xml:space="preserve"> of </w:t>
      </w:r>
      <w:r w:rsidR="003A1917">
        <w:rPr>
          <w:kern w:val="0"/>
        </w:rPr>
        <w:t xml:space="preserve">the </w:t>
      </w:r>
      <w:r>
        <w:rPr>
          <w:kern w:val="0"/>
        </w:rPr>
        <w:t>Experimental Analysis</w:t>
      </w:r>
      <w:r w:rsidR="00427468">
        <w:rPr>
          <w:kern w:val="0"/>
        </w:rPr>
        <w:t xml:space="preserve"> of </w:t>
      </w:r>
      <w:r>
        <w:rPr>
          <w:kern w:val="0"/>
        </w:rPr>
        <w:t>Behavior (JEAB)</w:t>
      </w:r>
      <w:r w:rsidR="005853A9">
        <w:rPr>
          <w:kern w:val="0"/>
        </w:rPr>
        <w:t xml:space="preserve"> and</w:t>
      </w:r>
      <w:r w:rsidR="00427468">
        <w:rPr>
          <w:kern w:val="0"/>
        </w:rPr>
        <w:t xml:space="preserve"> of </w:t>
      </w:r>
      <w:r>
        <w:rPr>
          <w:kern w:val="0"/>
        </w:rPr>
        <w:t>related journals support</w:t>
      </w:r>
      <w:r w:rsidR="003A1917">
        <w:rPr>
          <w:kern w:val="0"/>
        </w:rPr>
        <w:t xml:space="preserve"> the </w:t>
      </w:r>
      <w:r>
        <w:rPr>
          <w:kern w:val="0"/>
        </w:rPr>
        <w:t>following conclusions: (1) In</w:t>
      </w:r>
      <w:r w:rsidR="003A1917">
        <w:rPr>
          <w:kern w:val="0"/>
        </w:rPr>
        <w:t xml:space="preserve"> the </w:t>
      </w:r>
      <w:r>
        <w:rPr>
          <w:kern w:val="0"/>
        </w:rPr>
        <w:t>20-year period since 1969, JEAB has continued to cite its own articles (</w:t>
      </w:r>
      <w:r w:rsidR="00B5188C">
        <w:rPr>
          <w:kern w:val="0"/>
        </w:rPr>
        <w:t>“</w:t>
      </w:r>
      <w:r>
        <w:rPr>
          <w:kern w:val="0"/>
        </w:rPr>
        <w:t>self-cite</w:t>
      </w:r>
      <w:r w:rsidR="00B5188C">
        <w:rPr>
          <w:kern w:val="0"/>
        </w:rPr>
        <w:t>”</w:t>
      </w:r>
      <w:r>
        <w:rPr>
          <w:kern w:val="0"/>
        </w:rPr>
        <w:t>) at a higher rate than related journals; (2) JEAB</w:t>
      </w:r>
      <w:r w:rsidR="00700038">
        <w:rPr>
          <w:kern w:val="0"/>
        </w:rPr>
        <w:t>’</w:t>
      </w:r>
      <w:r w:rsidR="00C13DDC">
        <w:rPr>
          <w:kern w:val="0"/>
        </w:rPr>
        <w:t>s</w:t>
      </w:r>
      <w:r>
        <w:rPr>
          <w:kern w:val="0"/>
        </w:rPr>
        <w:t xml:space="preserve"> self-citation rate decreased by a larger amount since 1969 than did that</w:t>
      </w:r>
      <w:r w:rsidR="00427468">
        <w:rPr>
          <w:kern w:val="0"/>
        </w:rPr>
        <w:t xml:space="preserve"> of </w:t>
      </w:r>
      <w:r>
        <w:rPr>
          <w:kern w:val="0"/>
        </w:rPr>
        <w:t>related journals;</w:t>
      </w:r>
      <w:r w:rsidR="005853A9">
        <w:rPr>
          <w:kern w:val="0"/>
        </w:rPr>
        <w:t xml:space="preserve"> and </w:t>
      </w:r>
      <w:r>
        <w:rPr>
          <w:kern w:val="0"/>
        </w:rPr>
        <w:t>(3) JEAB was cited with diminishing frequency by some related journals during</w:t>
      </w:r>
      <w:r w:rsidR="003A1917">
        <w:rPr>
          <w:kern w:val="0"/>
        </w:rPr>
        <w:t xml:space="preserve"> the </w:t>
      </w:r>
      <w:r>
        <w:rPr>
          <w:kern w:val="0"/>
        </w:rPr>
        <w:t>20-year period</w:t>
      </w:r>
      <w:r w:rsidR="00A37C1D">
        <w:rPr>
          <w:kern w:val="0"/>
        </w:rPr>
        <w:t>. The</w:t>
      </w:r>
      <w:r>
        <w:rPr>
          <w:kern w:val="0"/>
        </w:rPr>
        <w:t>se findings</w:t>
      </w:r>
      <w:r w:rsidR="005853A9">
        <w:rPr>
          <w:kern w:val="0"/>
        </w:rPr>
        <w:t xml:space="preserve"> and </w:t>
      </w:r>
      <w:r>
        <w:rPr>
          <w:kern w:val="0"/>
        </w:rPr>
        <w:t>other disciplinary comparisons provide information relevant to</w:t>
      </w:r>
      <w:r w:rsidR="003A1917">
        <w:rPr>
          <w:kern w:val="0"/>
        </w:rPr>
        <w:t xml:space="preserve"> the </w:t>
      </w:r>
      <w:r>
        <w:rPr>
          <w:kern w:val="0"/>
        </w:rPr>
        <w:t>issue</w:t>
      </w:r>
      <w:r w:rsidR="00427468">
        <w:rPr>
          <w:kern w:val="0"/>
        </w:rPr>
        <w:t xml:space="preserve"> of </w:t>
      </w:r>
      <w:r w:rsidR="003A1917">
        <w:rPr>
          <w:kern w:val="0"/>
        </w:rPr>
        <w:t xml:space="preserve">the </w:t>
      </w:r>
      <w:r>
        <w:rPr>
          <w:kern w:val="0"/>
        </w:rPr>
        <w:t>health</w:t>
      </w:r>
      <w:r w:rsidR="00427468">
        <w:rPr>
          <w:kern w:val="0"/>
        </w:rPr>
        <w:t xml:space="preserve"> of </w:t>
      </w:r>
      <w:r>
        <w:rPr>
          <w:kern w:val="0"/>
        </w:rPr>
        <w:t>behavior analysis</w:t>
      </w:r>
      <w:r w:rsidR="005853A9">
        <w:rPr>
          <w:kern w:val="0"/>
        </w:rPr>
        <w:t xml:space="preserve"> and </w:t>
      </w:r>
      <w:r>
        <w:rPr>
          <w:kern w:val="0"/>
        </w:rPr>
        <w:t>related specialties.</w:t>
      </w:r>
    </w:p>
    <w:p w:rsidR="000A30A9" w:rsidRDefault="000A30A9" w:rsidP="000A30A9">
      <w:pPr>
        <w:pStyle w:val="a3"/>
        <w:rPr>
          <w:kern w:val="0"/>
        </w:rPr>
      </w:pPr>
      <w:r>
        <w:rPr>
          <w:kern w:val="0"/>
        </w:rPr>
        <w:t>Keywords: Analysis, Citation, Citations, Isolation</w:t>
      </w:r>
      <w:r w:rsidR="00427468">
        <w:rPr>
          <w:kern w:val="0"/>
        </w:rPr>
        <w:t xml:space="preserve"> of </w:t>
      </w:r>
      <w:r>
        <w:rPr>
          <w:kern w:val="0"/>
        </w:rPr>
        <w:t>Experimental Analysis</w:t>
      </w:r>
      <w:r w:rsidR="00427468">
        <w:rPr>
          <w:kern w:val="0"/>
        </w:rPr>
        <w:t xml:space="preserve"> of </w:t>
      </w:r>
      <w:r>
        <w:rPr>
          <w:kern w:val="0"/>
        </w:rPr>
        <w:t>Behavior (EAB), Journal</w:t>
      </w:r>
      <w:r w:rsidR="00434900">
        <w:rPr>
          <w:kern w:val="0"/>
        </w:rPr>
        <w:t>-of-</w:t>
      </w:r>
      <w:r>
        <w:rPr>
          <w:kern w:val="0"/>
        </w:rPr>
        <w:t>the-Experimental-Analysis</w:t>
      </w:r>
      <w:r w:rsidR="00434900">
        <w:rPr>
          <w:kern w:val="0"/>
        </w:rPr>
        <w:t>-of-</w:t>
      </w:r>
      <w:r>
        <w:rPr>
          <w:kern w:val="0"/>
        </w:rPr>
        <w:t>Behavior, Journals, Krantz,</w:t>
      </w:r>
      <w:r>
        <w:rPr>
          <w:rFonts w:hint="eastAsia"/>
          <w:kern w:val="0"/>
        </w:rPr>
        <w:t xml:space="preserve"> </w:t>
      </w:r>
      <w:r>
        <w:rPr>
          <w:kern w:val="0"/>
        </w:rPr>
        <w:t>D.L., Self-Citation</w:t>
      </w:r>
    </w:p>
    <w:p w:rsidR="00F01A6B" w:rsidRDefault="00F01A6B" w:rsidP="00F01A6B">
      <w:pPr>
        <w:pStyle w:val="a3"/>
        <w:rPr>
          <w:kern w:val="0"/>
        </w:rPr>
      </w:pPr>
      <w:r>
        <w:rPr>
          <w:rFonts w:hint="eastAsia"/>
          <w:kern w:val="0"/>
        </w:rPr>
        <w:t xml:space="preserve">? </w:t>
      </w:r>
      <w:r>
        <w:rPr>
          <w:kern w:val="0"/>
        </w:rPr>
        <w:t>Critchfield, T.S., Buskist, W., Saville, B., Crockett, J., Sherburne, T.</w:t>
      </w:r>
      <w:r w:rsidR="005853A9">
        <w:rPr>
          <w:kern w:val="0"/>
        </w:rPr>
        <w:t xml:space="preserve"> and </w:t>
      </w:r>
      <w:r>
        <w:rPr>
          <w:kern w:val="0"/>
        </w:rPr>
        <w:t>Keel, K. (2000), Sources cited most frequently in</w:t>
      </w:r>
      <w:r w:rsidR="003A1917">
        <w:rPr>
          <w:kern w:val="0"/>
        </w:rPr>
        <w:t xml:space="preserve"> the </w:t>
      </w:r>
      <w:r>
        <w:rPr>
          <w:kern w:val="0"/>
        </w:rPr>
        <w:t>experimental analysis</w:t>
      </w:r>
      <w:r w:rsidR="00427468">
        <w:rPr>
          <w:kern w:val="0"/>
        </w:rPr>
        <w:t xml:space="preserve"> of </w:t>
      </w:r>
      <w:r>
        <w:rPr>
          <w:kern w:val="0"/>
        </w:rPr>
        <w:t xml:space="preserve">human behavior. </w:t>
      </w:r>
      <w:r>
        <w:rPr>
          <w:i/>
          <w:iCs/>
          <w:kern w:val="0"/>
        </w:rPr>
        <w:t>Behavior Analyst</w:t>
      </w:r>
      <w:r>
        <w:rPr>
          <w:kern w:val="0"/>
        </w:rPr>
        <w:t xml:space="preserve">, </w:t>
      </w:r>
      <w:r>
        <w:rPr>
          <w:b/>
          <w:bCs/>
          <w:kern w:val="0"/>
        </w:rPr>
        <w:t>23</w:t>
      </w:r>
      <w:r>
        <w:rPr>
          <w:kern w:val="0"/>
        </w:rPr>
        <w:t xml:space="preserve"> (2), 255-266.</w:t>
      </w:r>
    </w:p>
    <w:p w:rsidR="00F01A6B" w:rsidRDefault="00F01A6B" w:rsidP="00F01A6B">
      <w:pPr>
        <w:pStyle w:val="a3"/>
        <w:rPr>
          <w:kern w:val="0"/>
        </w:rPr>
      </w:pPr>
      <w:r>
        <w:rPr>
          <w:rFonts w:hint="eastAsia"/>
          <w:kern w:val="0"/>
        </w:rPr>
        <w:t xml:space="preserve">Full Text: </w:t>
      </w:r>
      <w:hyperlink r:id="rId1425" w:history="1">
        <w:r w:rsidR="00992514" w:rsidRPr="00992514">
          <w:rPr>
            <w:rStyle w:val="a5"/>
            <w:kern w:val="0"/>
          </w:rPr>
          <w:t>2000\Beh Ana23, 255.pdf</w:t>
        </w:r>
      </w:hyperlink>
    </w:p>
    <w:p w:rsidR="00F01A6B" w:rsidRDefault="00F01A6B" w:rsidP="00F01A6B">
      <w:pPr>
        <w:pStyle w:val="a3"/>
        <w:rPr>
          <w:kern w:val="0"/>
        </w:rPr>
      </w:pPr>
      <w:r>
        <w:rPr>
          <w:kern w:val="0"/>
        </w:rPr>
        <w:t>Abstract: We conducted an analysis</w:t>
      </w:r>
      <w:r w:rsidR="00427468">
        <w:rPr>
          <w:kern w:val="0"/>
        </w:rPr>
        <w:t xml:space="preserve"> of </w:t>
      </w:r>
      <w:r w:rsidR="003A1917">
        <w:rPr>
          <w:kern w:val="0"/>
        </w:rPr>
        <w:t xml:space="preserve">the </w:t>
      </w:r>
      <w:r>
        <w:rPr>
          <w:kern w:val="0"/>
        </w:rPr>
        <w:t>sources cited most frequently in primary empirical reports in</w:t>
      </w:r>
      <w:r w:rsidR="003A1917">
        <w:rPr>
          <w:kern w:val="0"/>
        </w:rPr>
        <w:t xml:space="preserve"> the </w:t>
      </w:r>
      <w:r>
        <w:rPr>
          <w:kern w:val="0"/>
        </w:rPr>
        <w:t>experimental analysis</w:t>
      </w:r>
      <w:r w:rsidR="00427468">
        <w:rPr>
          <w:kern w:val="0"/>
        </w:rPr>
        <w:t xml:space="preserve"> of </w:t>
      </w:r>
      <w:r>
        <w:rPr>
          <w:kern w:val="0"/>
        </w:rPr>
        <w:t>human behavior (EAHB) published in four journals between 1990</w:t>
      </w:r>
      <w:r w:rsidR="005853A9">
        <w:rPr>
          <w:kern w:val="0"/>
        </w:rPr>
        <w:t xml:space="preserve"> and </w:t>
      </w:r>
      <w:r>
        <w:rPr>
          <w:kern w:val="0"/>
        </w:rPr>
        <w:t>1999. Citation patterns suggest that modern EAHB is topically focused</w:t>
      </w:r>
      <w:r w:rsidR="005853A9">
        <w:rPr>
          <w:kern w:val="0"/>
        </w:rPr>
        <w:t xml:space="preserve"> and </w:t>
      </w:r>
      <w:r>
        <w:rPr>
          <w:kern w:val="0"/>
        </w:rPr>
        <w:t>relatively independent</w:t>
      </w:r>
      <w:r w:rsidR="00427468">
        <w:rPr>
          <w:kern w:val="0"/>
        </w:rPr>
        <w:t xml:space="preserve"> of </w:t>
      </w:r>
      <w:r>
        <w:rPr>
          <w:kern w:val="0"/>
        </w:rPr>
        <w:t xml:space="preserve">both animal operant </w:t>
      </w:r>
      <w:r>
        <w:rPr>
          <w:kern w:val="0"/>
        </w:rPr>
        <w:lastRenderedPageBreak/>
        <w:t>research</w:t>
      </w:r>
      <w:r w:rsidR="005853A9">
        <w:rPr>
          <w:kern w:val="0"/>
        </w:rPr>
        <w:t xml:space="preserve"> and </w:t>
      </w:r>
      <w:r>
        <w:rPr>
          <w:kern w:val="0"/>
        </w:rPr>
        <w:t>human research conducted outside</w:t>
      </w:r>
      <w:r w:rsidR="00427468">
        <w:rPr>
          <w:kern w:val="0"/>
        </w:rPr>
        <w:t xml:space="preserve"> of </w:t>
      </w:r>
      <w:r>
        <w:rPr>
          <w:kern w:val="0"/>
        </w:rPr>
        <w:t>behavior analysis.</w:t>
      </w:r>
    </w:p>
    <w:p w:rsidR="00F01A6B" w:rsidRDefault="00F01A6B" w:rsidP="00F01A6B">
      <w:pPr>
        <w:pStyle w:val="a3"/>
        <w:rPr>
          <w:kern w:val="0"/>
        </w:rPr>
      </w:pPr>
      <w:r>
        <w:rPr>
          <w:kern w:val="0"/>
        </w:rPr>
        <w:t>Keywords: Analysis, Behavior, Citation, Citation Analysis, Conditional-Discrimination Procedures, Contextual Control, Differential Consequences, Equivalence Class Formation, Experimental, Human, Human Behavior, Instructional-Control, Journals, Matching-To-Sample, Primary, Research, Rule-Governed Behavior, Schedule-Controlled Behavior, Sources, Stimulus Class Formation, Verbal-Behavior</w:t>
      </w:r>
    </w:p>
    <w:p w:rsidR="00202BDD" w:rsidRDefault="00202BDD" w:rsidP="00202BDD">
      <w:pPr>
        <w:pStyle w:val="a3"/>
        <w:rPr>
          <w:kern w:val="0"/>
        </w:rPr>
      </w:pPr>
      <w:r>
        <w:rPr>
          <w:rFonts w:hint="eastAsia"/>
          <w:kern w:val="0"/>
        </w:rPr>
        <w:t xml:space="preserve">? </w:t>
      </w:r>
      <w:r>
        <w:rPr>
          <w:kern w:val="0"/>
        </w:rPr>
        <w:t>McKerchar, T.L., Morris, E.K.</w:t>
      </w:r>
      <w:r w:rsidR="005853A9">
        <w:rPr>
          <w:kern w:val="0"/>
        </w:rPr>
        <w:t xml:space="preserve"> and </w:t>
      </w:r>
      <w:r>
        <w:rPr>
          <w:kern w:val="0"/>
        </w:rPr>
        <w:t>Smith, N.G. (2011), A quantitative analysis</w:t>
      </w:r>
      <w:r w:rsidR="005853A9">
        <w:rPr>
          <w:kern w:val="0"/>
        </w:rPr>
        <w:t xml:space="preserve"> and </w:t>
      </w:r>
      <w:r>
        <w:rPr>
          <w:kern w:val="0"/>
        </w:rPr>
        <w:t>natural history</w:t>
      </w:r>
      <w:r w:rsidR="00427468">
        <w:rPr>
          <w:kern w:val="0"/>
        </w:rPr>
        <w:t xml:space="preserve"> of </w:t>
      </w:r>
      <w:r>
        <w:rPr>
          <w:kern w:val="0"/>
        </w:rPr>
        <w:t>B. F. Skinner</w:t>
      </w:r>
      <w:r w:rsidR="00700038">
        <w:rPr>
          <w:kern w:val="0"/>
        </w:rPr>
        <w:t>’</w:t>
      </w:r>
      <w:r w:rsidR="00C13DDC">
        <w:rPr>
          <w:kern w:val="0"/>
        </w:rPr>
        <w:t>s</w:t>
      </w:r>
      <w:r>
        <w:rPr>
          <w:kern w:val="0"/>
        </w:rPr>
        <w:t xml:space="preserve"> coauthoring practices. </w:t>
      </w:r>
      <w:r>
        <w:rPr>
          <w:i/>
          <w:iCs/>
          <w:kern w:val="0"/>
        </w:rPr>
        <w:t>Behavior Analyst</w:t>
      </w:r>
      <w:r>
        <w:rPr>
          <w:kern w:val="0"/>
        </w:rPr>
        <w:t xml:space="preserve">, </w:t>
      </w:r>
      <w:r>
        <w:rPr>
          <w:b/>
          <w:bCs/>
          <w:kern w:val="0"/>
        </w:rPr>
        <w:t>34</w:t>
      </w:r>
      <w:r>
        <w:rPr>
          <w:kern w:val="0"/>
        </w:rPr>
        <w:t xml:space="preserve"> (1), 75-91.</w:t>
      </w:r>
    </w:p>
    <w:p w:rsidR="00F562A2" w:rsidRDefault="00F562A2" w:rsidP="00F562A2">
      <w:pPr>
        <w:pStyle w:val="a3"/>
        <w:rPr>
          <w:kern w:val="0"/>
        </w:rPr>
      </w:pPr>
      <w:r>
        <w:rPr>
          <w:rFonts w:hint="eastAsia"/>
          <w:kern w:val="0"/>
        </w:rPr>
        <w:t xml:space="preserve">Full Text: </w:t>
      </w:r>
      <w:hyperlink r:id="rId1426" w:history="1">
        <w:r w:rsidR="00F75175" w:rsidRPr="00F75175">
          <w:rPr>
            <w:rStyle w:val="a5"/>
            <w:kern w:val="0"/>
          </w:rPr>
          <w:t>2011\Beh Ana34, 75.pdf</w:t>
        </w:r>
      </w:hyperlink>
    </w:p>
    <w:p w:rsidR="00202BDD" w:rsidRDefault="00202BDD" w:rsidP="00202BDD">
      <w:pPr>
        <w:pStyle w:val="a3"/>
        <w:rPr>
          <w:kern w:val="0"/>
        </w:rPr>
      </w:pPr>
      <w:r>
        <w:rPr>
          <w:kern w:val="0"/>
        </w:rPr>
        <w:t>Abstract: This paper describes</w:t>
      </w:r>
      <w:r w:rsidR="005853A9">
        <w:rPr>
          <w:kern w:val="0"/>
        </w:rPr>
        <w:t xml:space="preserve"> and </w:t>
      </w:r>
      <w:r>
        <w:rPr>
          <w:kern w:val="0"/>
        </w:rPr>
        <w:t>analyzes B. F. Skinner</w:t>
      </w:r>
      <w:r w:rsidR="00700038">
        <w:rPr>
          <w:kern w:val="0"/>
        </w:rPr>
        <w:t>’</w:t>
      </w:r>
      <w:r w:rsidR="00C13DDC">
        <w:rPr>
          <w:kern w:val="0"/>
        </w:rPr>
        <w:t>s</w:t>
      </w:r>
      <w:r>
        <w:rPr>
          <w:kern w:val="0"/>
        </w:rPr>
        <w:t xml:space="preserve"> coauthoring practices. After identifying his 35 coauthored publications</w:t>
      </w:r>
      <w:r w:rsidR="005853A9">
        <w:rPr>
          <w:kern w:val="0"/>
        </w:rPr>
        <w:t xml:space="preserve"> and </w:t>
      </w:r>
      <w:r>
        <w:rPr>
          <w:kern w:val="0"/>
        </w:rPr>
        <w:t>27 coauthors, we analyze his coauthored works by their form (e.g., journal articles)</w:t>
      </w:r>
      <w:r w:rsidR="005853A9">
        <w:rPr>
          <w:kern w:val="0"/>
        </w:rPr>
        <w:t xml:space="preserve"> and </w:t>
      </w:r>
      <w:r>
        <w:rPr>
          <w:kern w:val="0"/>
        </w:rPr>
        <w:t>kind (e.g., empirical); identify</w:t>
      </w:r>
      <w:r w:rsidR="003A1917">
        <w:rPr>
          <w:kern w:val="0"/>
        </w:rPr>
        <w:t xml:space="preserve"> the </w:t>
      </w:r>
      <w:r>
        <w:rPr>
          <w:kern w:val="0"/>
        </w:rPr>
        <w:t>journals in which he published</w:t>
      </w:r>
      <w:r w:rsidR="005853A9">
        <w:rPr>
          <w:kern w:val="0"/>
        </w:rPr>
        <w:t xml:space="preserve"> and </w:t>
      </w:r>
      <w:r>
        <w:rPr>
          <w:kern w:val="0"/>
        </w:rPr>
        <w:t>their type (e.g., data-type); describe his overall</w:t>
      </w:r>
      <w:r w:rsidR="005853A9">
        <w:rPr>
          <w:kern w:val="0"/>
        </w:rPr>
        <w:t xml:space="preserve"> and </w:t>
      </w:r>
      <w:r>
        <w:rPr>
          <w:kern w:val="0"/>
        </w:rPr>
        <w:t>local rates</w:t>
      </w:r>
      <w:r w:rsidR="00427468">
        <w:rPr>
          <w:kern w:val="0"/>
        </w:rPr>
        <w:t xml:space="preserve"> of </w:t>
      </w:r>
      <w:r>
        <w:rPr>
          <w:kern w:val="0"/>
        </w:rPr>
        <w:t>publishing with his coauthors (e.g., noting breaks in</w:t>
      </w:r>
      <w:r w:rsidR="003A1917">
        <w:rPr>
          <w:kern w:val="0"/>
        </w:rPr>
        <w:t xml:space="preserve"> the </w:t>
      </w:r>
      <w:r>
        <w:rPr>
          <w:kern w:val="0"/>
        </w:rPr>
        <w:t>latter);</w:t>
      </w:r>
      <w:r w:rsidR="005853A9">
        <w:rPr>
          <w:kern w:val="0"/>
        </w:rPr>
        <w:t xml:space="preserve"> and </w:t>
      </w:r>
      <w:r>
        <w:rPr>
          <w:kern w:val="0"/>
        </w:rPr>
        <w:t>compare his coauthoring practices with his single-authoring practices (e.g., form, kind, journal type)</w:t>
      </w:r>
      <w:r w:rsidR="005853A9">
        <w:rPr>
          <w:kern w:val="0"/>
        </w:rPr>
        <w:t xml:space="preserve"> and </w:t>
      </w:r>
      <w:r>
        <w:rPr>
          <w:kern w:val="0"/>
        </w:rPr>
        <w:t>with those in</w:t>
      </w:r>
      <w:r w:rsidR="003A1917">
        <w:rPr>
          <w:kern w:val="0"/>
        </w:rPr>
        <w:t xml:space="preserve"> the </w:t>
      </w:r>
      <w:r>
        <w:rPr>
          <w:kern w:val="0"/>
        </w:rPr>
        <w:t>scientometric literature (e.g., majority</w:t>
      </w:r>
      <w:r w:rsidR="00427468">
        <w:rPr>
          <w:kern w:val="0"/>
        </w:rPr>
        <w:t xml:space="preserve"> of </w:t>
      </w:r>
      <w:r>
        <w:rPr>
          <w:kern w:val="0"/>
        </w:rPr>
        <w:t>coauthored publications are empirical). We address these findings in</w:t>
      </w:r>
      <w:r w:rsidR="003A1917">
        <w:rPr>
          <w:kern w:val="0"/>
        </w:rPr>
        <w:t xml:space="preserve"> the </w:t>
      </w:r>
      <w:r>
        <w:rPr>
          <w:kern w:val="0"/>
        </w:rPr>
        <w:t>context</w:t>
      </w:r>
      <w:r w:rsidR="00427468">
        <w:rPr>
          <w:kern w:val="0"/>
        </w:rPr>
        <w:t xml:space="preserve"> of </w:t>
      </w:r>
      <w:r>
        <w:rPr>
          <w:kern w:val="0"/>
        </w:rPr>
        <w:t>describing</w:t>
      </w:r>
      <w:r w:rsidR="003A1917">
        <w:rPr>
          <w:kern w:val="0"/>
        </w:rPr>
        <w:t xml:space="preserve"> the </w:t>
      </w:r>
      <w:r>
        <w:rPr>
          <w:kern w:val="0"/>
        </w:rPr>
        <w:t>natural history</w:t>
      </w:r>
      <w:r w:rsidR="00427468">
        <w:rPr>
          <w:kern w:val="0"/>
        </w:rPr>
        <w:t xml:space="preserve"> of </w:t>
      </w:r>
      <w:r>
        <w:rPr>
          <w:kern w:val="0"/>
        </w:rPr>
        <w:t>Skinner</w:t>
      </w:r>
      <w:r w:rsidR="00700038">
        <w:rPr>
          <w:kern w:val="0"/>
        </w:rPr>
        <w:t>’</w:t>
      </w:r>
      <w:r w:rsidR="00C13DDC">
        <w:rPr>
          <w:kern w:val="0"/>
        </w:rPr>
        <w:t>s</w:t>
      </w:r>
      <w:r>
        <w:rPr>
          <w:kern w:val="0"/>
        </w:rPr>
        <w:t xml:space="preserve"> coauthoring practices. Finally, we describe some limitations in our methods</w:t>
      </w:r>
      <w:r w:rsidR="005853A9">
        <w:rPr>
          <w:kern w:val="0"/>
        </w:rPr>
        <w:t xml:space="preserve"> and </w:t>
      </w:r>
      <w:r>
        <w:rPr>
          <w:kern w:val="0"/>
        </w:rPr>
        <w:t>offer suggestions for future research.</w:t>
      </w:r>
    </w:p>
    <w:p w:rsidR="00202BDD" w:rsidRDefault="00202BDD" w:rsidP="00202BDD">
      <w:pPr>
        <w:pStyle w:val="a3"/>
        <w:rPr>
          <w:kern w:val="0"/>
        </w:rPr>
      </w:pPr>
      <w:r>
        <w:rPr>
          <w:kern w:val="0"/>
        </w:rPr>
        <w:t>Keywords: B.F.</w:t>
      </w:r>
      <w:r>
        <w:rPr>
          <w:rFonts w:hint="eastAsia"/>
          <w:kern w:val="0"/>
        </w:rPr>
        <w:t xml:space="preserve"> </w:t>
      </w:r>
      <w:r>
        <w:rPr>
          <w:kern w:val="0"/>
        </w:rPr>
        <w:t>Skinner, Behavior, Coauthorship, Future, History, History</w:t>
      </w:r>
      <w:r w:rsidR="00427468">
        <w:rPr>
          <w:kern w:val="0"/>
        </w:rPr>
        <w:t xml:space="preserve"> of </w:t>
      </w:r>
      <w:r>
        <w:rPr>
          <w:kern w:val="0"/>
        </w:rPr>
        <w:t>Behavior Analysis, Journal, Journals, Literature, Multiple Authorship, Psychologists, Publication, Publications, Publishing, Reinforcement, Research, Schedules, Scientific Collaboration, Scientometrics</w:t>
      </w:r>
    </w:p>
    <w:p w:rsidR="003474F2" w:rsidRPr="001A3D2B" w:rsidRDefault="003474F2" w:rsidP="003474F2">
      <w:pPr>
        <w:pStyle w:val="1"/>
      </w:pPr>
      <w:r w:rsidRPr="001A3D2B">
        <w:br w:type="page"/>
      </w:r>
      <w:bookmarkStart w:id="732" w:name="_Toc420814692"/>
      <w:r w:rsidRPr="001A3D2B">
        <w:lastRenderedPageBreak/>
        <w:t>Title: Behavioral Ecology</w:t>
      </w:r>
      <w:r w:rsidR="005853A9">
        <w:t xml:space="preserve"> and </w:t>
      </w:r>
      <w:r w:rsidRPr="001A3D2B">
        <w:t>Sociobiology</w:t>
      </w:r>
      <w:bookmarkEnd w:id="732"/>
    </w:p>
    <w:p w:rsidR="003474F2" w:rsidRPr="001A3D2B" w:rsidRDefault="003474F2" w:rsidP="003474F2">
      <w:pPr>
        <w:pStyle w:val="12"/>
      </w:pPr>
      <w:r w:rsidRPr="001A3D2B">
        <w:t>Full Journal Title: Behavioral Ecology</w:t>
      </w:r>
      <w:r w:rsidR="005853A9">
        <w:t xml:space="preserve"> and </w:t>
      </w:r>
      <w:r w:rsidRPr="001A3D2B">
        <w:t>Sociobiology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Montgomerie, R. (1995</w:t>
      </w:r>
      <w:r w:rsidR="00F42EAC">
        <w:t>), The</w:t>
      </w:r>
      <w:r w:rsidR="003A1917">
        <w:t xml:space="preserve"> </w:t>
      </w:r>
      <w:r w:rsidRPr="001A3D2B">
        <w:t>impact</w:t>
      </w:r>
      <w:r w:rsidR="00427468">
        <w:t xml:space="preserve"> of </w:t>
      </w:r>
      <w:r w:rsidRPr="001A3D2B">
        <w:t>behavioral ecology</w:t>
      </w:r>
      <w:r w:rsidR="005853A9">
        <w:t xml:space="preserve"> and </w:t>
      </w:r>
      <w:r w:rsidRPr="001A3D2B">
        <w:t xml:space="preserve">sociobiology. </w:t>
      </w:r>
      <w:r w:rsidRPr="001A3D2B">
        <w:rPr>
          <w:i/>
          <w:iCs/>
        </w:rPr>
        <w:t>Behavioral Ecology</w:t>
      </w:r>
      <w:r w:rsidR="005853A9">
        <w:rPr>
          <w:i/>
          <w:iCs/>
        </w:rPr>
        <w:t xml:space="preserve"> and </w:t>
      </w:r>
      <w:r w:rsidRPr="001A3D2B">
        <w:rPr>
          <w:i/>
          <w:iCs/>
        </w:rPr>
        <w:t>Sociobiology</w:t>
      </w:r>
      <w:r w:rsidRPr="001A3D2B">
        <w:t xml:space="preserve">, </w:t>
      </w:r>
      <w:r w:rsidRPr="001A3D2B">
        <w:rPr>
          <w:b/>
          <w:bCs/>
        </w:rPr>
        <w:t>37</w:t>
      </w:r>
      <w:r w:rsidRPr="001A3D2B">
        <w:t xml:space="preserve"> (3), 145-146.</w:t>
      </w:r>
    </w:p>
    <w:p w:rsidR="006C2543" w:rsidRPr="001A3D2B" w:rsidRDefault="006C2543" w:rsidP="006C2543">
      <w:pPr>
        <w:pStyle w:val="1"/>
      </w:pPr>
      <w:r w:rsidRPr="001A3D2B">
        <w:rPr>
          <w:b w:val="0"/>
        </w:rPr>
        <w:br w:type="page"/>
      </w:r>
      <w:bookmarkStart w:id="733" w:name="_Toc420814693"/>
      <w:r w:rsidRPr="001A3D2B">
        <w:lastRenderedPageBreak/>
        <w:t>Title: Behavioral Sciences &amp;</w:t>
      </w:r>
      <w:r w:rsidR="003A1917">
        <w:t xml:space="preserve"> the </w:t>
      </w:r>
      <w:r w:rsidRPr="001A3D2B">
        <w:t>Law</w:t>
      </w:r>
      <w:bookmarkEnd w:id="733"/>
    </w:p>
    <w:p w:rsidR="006C2543" w:rsidRPr="001A3D2B" w:rsidRDefault="006C2543" w:rsidP="006C2543">
      <w:pPr>
        <w:pStyle w:val="12"/>
      </w:pPr>
      <w:r w:rsidRPr="001A3D2B">
        <w:t xml:space="preserve">Full Journal Title: </w:t>
      </w:r>
      <w:r w:rsidRPr="001A3D2B">
        <w:rPr>
          <w:kern w:val="0"/>
        </w:rPr>
        <w:t>Behavioral Sciences &amp;</w:t>
      </w:r>
      <w:r w:rsidR="003A1917">
        <w:rPr>
          <w:kern w:val="0"/>
        </w:rPr>
        <w:t xml:space="preserve"> the </w:t>
      </w:r>
      <w:r w:rsidRPr="001A3D2B">
        <w:rPr>
          <w:kern w:val="0"/>
        </w:rPr>
        <w:t>Law</w:t>
      </w:r>
    </w:p>
    <w:p w:rsidR="006C2543" w:rsidRPr="001A3D2B" w:rsidRDefault="006C2543" w:rsidP="006C2543">
      <w:pPr>
        <w:pStyle w:val="12"/>
      </w:pPr>
      <w:r w:rsidRPr="001A3D2B">
        <w:t xml:space="preserve">ISO Abbreviated Title: </w:t>
      </w:r>
    </w:p>
    <w:p w:rsidR="006C2543" w:rsidRPr="001A3D2B" w:rsidRDefault="006C2543" w:rsidP="006C2543">
      <w:pPr>
        <w:pStyle w:val="12"/>
      </w:pPr>
      <w:r w:rsidRPr="001A3D2B">
        <w:t xml:space="preserve">JCR Abbreviated Title: </w:t>
      </w:r>
    </w:p>
    <w:p w:rsidR="006C2543" w:rsidRPr="001A3D2B" w:rsidRDefault="006C2543" w:rsidP="006C2543">
      <w:pPr>
        <w:pStyle w:val="12"/>
      </w:pPr>
      <w:r w:rsidRPr="001A3D2B">
        <w:t xml:space="preserve">ISSN: </w:t>
      </w:r>
    </w:p>
    <w:p w:rsidR="006C2543" w:rsidRPr="001A3D2B" w:rsidRDefault="006C2543" w:rsidP="006C2543">
      <w:pPr>
        <w:pStyle w:val="12"/>
      </w:pPr>
      <w:r w:rsidRPr="001A3D2B">
        <w:t xml:space="preserve">Issues/Year: </w:t>
      </w:r>
    </w:p>
    <w:p w:rsidR="006C2543" w:rsidRPr="001A3D2B" w:rsidRDefault="006C2543" w:rsidP="006C2543">
      <w:pPr>
        <w:pStyle w:val="12"/>
      </w:pPr>
      <w:r w:rsidRPr="001A3D2B">
        <w:t xml:space="preserve">Journal Country/Territory: </w:t>
      </w:r>
    </w:p>
    <w:p w:rsidR="006C2543" w:rsidRPr="001A3D2B" w:rsidRDefault="006C2543" w:rsidP="006C2543">
      <w:pPr>
        <w:pStyle w:val="12"/>
      </w:pPr>
      <w:r w:rsidRPr="001A3D2B">
        <w:t xml:space="preserve">Language: </w:t>
      </w:r>
    </w:p>
    <w:p w:rsidR="006C2543" w:rsidRPr="001A3D2B" w:rsidRDefault="006C2543" w:rsidP="006C2543">
      <w:pPr>
        <w:pStyle w:val="12"/>
      </w:pPr>
      <w:r w:rsidRPr="001A3D2B">
        <w:t xml:space="preserve">Publisher: </w:t>
      </w:r>
    </w:p>
    <w:p w:rsidR="006C2543" w:rsidRPr="001A3D2B" w:rsidRDefault="006C2543" w:rsidP="006C2543">
      <w:pPr>
        <w:pStyle w:val="12"/>
      </w:pPr>
      <w:r w:rsidRPr="001A3D2B">
        <w:t xml:space="preserve">Publisher Address: </w:t>
      </w:r>
    </w:p>
    <w:p w:rsidR="006C2543" w:rsidRPr="001A3D2B" w:rsidRDefault="006C2543" w:rsidP="006C2543">
      <w:pPr>
        <w:pStyle w:val="12"/>
      </w:pPr>
      <w:r w:rsidRPr="001A3D2B">
        <w:t xml:space="preserve">Subject Categories: </w:t>
      </w:r>
    </w:p>
    <w:p w:rsidR="006C2543" w:rsidRPr="001A3D2B" w:rsidRDefault="006C2543" w:rsidP="006C2543">
      <w:pPr>
        <w:pStyle w:val="12"/>
      </w:pPr>
      <w:r w:rsidRPr="001A3D2B">
        <w:t xml:space="preserve">: Impact Factor </w:t>
      </w:r>
    </w:p>
    <w:p w:rsidR="006C2543" w:rsidRPr="001A3D2B" w:rsidRDefault="006C2543" w:rsidP="006C2543">
      <w:pPr>
        <w:pStyle w:val="a3"/>
        <w:rPr>
          <w:kern w:val="0"/>
        </w:rPr>
      </w:pPr>
      <w:r w:rsidRPr="001A3D2B">
        <w:rPr>
          <w:kern w:val="0"/>
        </w:rPr>
        <w:t>? Sommers, S.R.</w:t>
      </w:r>
      <w:r w:rsidR="005853A9">
        <w:rPr>
          <w:kern w:val="0"/>
        </w:rPr>
        <w:t xml:space="preserve"> and </w:t>
      </w:r>
      <w:r w:rsidRPr="001A3D2B">
        <w:rPr>
          <w:kern w:val="0"/>
        </w:rPr>
        <w:t xml:space="preserve">Ellsworth, P.C. (2009), </w:t>
      </w:r>
      <w:r w:rsidR="00B5188C">
        <w:rPr>
          <w:kern w:val="0"/>
        </w:rPr>
        <w:t>“</w:t>
      </w:r>
      <w:r w:rsidRPr="001A3D2B">
        <w:rPr>
          <w:kern w:val="0"/>
        </w:rPr>
        <w:t>Race Salience</w:t>
      </w:r>
      <w:r w:rsidR="00B5188C">
        <w:rPr>
          <w:kern w:val="0"/>
        </w:rPr>
        <w:t>”</w:t>
      </w:r>
      <w:r w:rsidRPr="001A3D2B">
        <w:rPr>
          <w:kern w:val="0"/>
        </w:rPr>
        <w:t xml:space="preserve"> in </w:t>
      </w:r>
      <w:r w:rsidR="00D23FE2" w:rsidRPr="001A3D2B">
        <w:rPr>
          <w:kern w:val="0"/>
        </w:rPr>
        <w:t>juror decision-making: misconceptions, clarifications,</w:t>
      </w:r>
      <w:r w:rsidR="005853A9">
        <w:rPr>
          <w:kern w:val="0"/>
        </w:rPr>
        <w:t xml:space="preserve"> and </w:t>
      </w:r>
      <w:r w:rsidR="00D23FE2" w:rsidRPr="001A3D2B">
        <w:rPr>
          <w:kern w:val="0"/>
        </w:rPr>
        <w:t>unanswered quest</w:t>
      </w:r>
      <w:r w:rsidRPr="001A3D2B">
        <w:rPr>
          <w:kern w:val="0"/>
        </w:rPr>
        <w:t xml:space="preserve">ions. </w:t>
      </w:r>
      <w:r w:rsidRPr="001A3D2B">
        <w:rPr>
          <w:i/>
          <w:iCs/>
          <w:kern w:val="0"/>
        </w:rPr>
        <w:t>Behavioral Sciences &amp;</w:t>
      </w:r>
      <w:r w:rsidR="003A1917">
        <w:rPr>
          <w:i/>
          <w:iCs/>
          <w:kern w:val="0"/>
        </w:rPr>
        <w:t xml:space="preserve"> the </w:t>
      </w:r>
      <w:r w:rsidRPr="001A3D2B">
        <w:rPr>
          <w:i/>
          <w:iCs/>
          <w:kern w:val="0"/>
        </w:rPr>
        <w:t>Law</w:t>
      </w:r>
      <w:r w:rsidRPr="001A3D2B">
        <w:rPr>
          <w:kern w:val="0"/>
        </w:rPr>
        <w:t xml:space="preserve">, </w:t>
      </w:r>
      <w:r w:rsidRPr="001A3D2B">
        <w:rPr>
          <w:b/>
          <w:bCs/>
          <w:kern w:val="0"/>
        </w:rPr>
        <w:t>27</w:t>
      </w:r>
      <w:r w:rsidRPr="001A3D2B">
        <w:rPr>
          <w:kern w:val="0"/>
        </w:rPr>
        <w:t xml:space="preserve"> (4), 599-609.</w:t>
      </w:r>
    </w:p>
    <w:p w:rsidR="00C24A3E" w:rsidRPr="001A3D2B" w:rsidRDefault="00C24A3E" w:rsidP="006C2543">
      <w:pPr>
        <w:pStyle w:val="a3"/>
        <w:rPr>
          <w:kern w:val="0"/>
        </w:rPr>
      </w:pPr>
      <w:r w:rsidRPr="001A3D2B">
        <w:rPr>
          <w:kern w:val="0"/>
        </w:rPr>
        <w:t xml:space="preserve">Full Text: </w:t>
      </w:r>
      <w:hyperlink r:id="rId1427" w:history="1">
        <w:r w:rsidRPr="001A3D2B">
          <w:rPr>
            <w:rStyle w:val="a5"/>
            <w:kern w:val="0"/>
          </w:rPr>
          <w:t>2009\Beh Sci Law27, 599.pdf</w:t>
        </w:r>
      </w:hyperlink>
    </w:p>
    <w:p w:rsidR="006C2543" w:rsidRPr="001A3D2B" w:rsidRDefault="006C2543" w:rsidP="006C2543">
      <w:pPr>
        <w:pStyle w:val="a3"/>
        <w:rPr>
          <w:kern w:val="0"/>
        </w:rPr>
      </w:pPr>
      <w:r w:rsidRPr="001A3D2B">
        <w:rPr>
          <w:kern w:val="0"/>
        </w:rPr>
        <w:t>Abstract: In two frequently cited articles, Sommers</w:t>
      </w:r>
      <w:r w:rsidR="005853A9">
        <w:rPr>
          <w:kern w:val="0"/>
        </w:rPr>
        <w:t xml:space="preserve"> and </w:t>
      </w:r>
      <w:r w:rsidRPr="001A3D2B">
        <w:rPr>
          <w:kern w:val="0"/>
        </w:rPr>
        <w:t>Ellsworth (2000, 2001) concluded that</w:t>
      </w:r>
      <w:r w:rsidR="003A1917">
        <w:rPr>
          <w:kern w:val="0"/>
        </w:rPr>
        <w:t xml:space="preserve"> the </w:t>
      </w:r>
      <w:r w:rsidRPr="001A3D2B">
        <w:rPr>
          <w:kern w:val="0"/>
        </w:rPr>
        <w:t>influence</w:t>
      </w:r>
      <w:r w:rsidR="00427468">
        <w:rPr>
          <w:kern w:val="0"/>
        </w:rPr>
        <w:t xml:space="preserve"> of </w:t>
      </w:r>
      <w:r w:rsidRPr="001A3D2B">
        <w:rPr>
          <w:kern w:val="0"/>
        </w:rPr>
        <w:t>a defendant</w:t>
      </w:r>
      <w:r w:rsidR="00700038">
        <w:rPr>
          <w:kern w:val="0"/>
        </w:rPr>
        <w:t>’</w:t>
      </w:r>
      <w:r w:rsidR="00C13DDC">
        <w:rPr>
          <w:kern w:val="0"/>
        </w:rPr>
        <w:t>s</w:t>
      </w:r>
      <w:r w:rsidRPr="001A3D2B">
        <w:rPr>
          <w:kern w:val="0"/>
        </w:rPr>
        <w:t xml:space="preserve"> race on White mock jurors is more pronounced in interracial trials in which race remains a silent background issue than in trials involving racially charged incidents. Referring to this variable more generally as </w:t>
      </w:r>
      <w:r w:rsidR="00B5188C">
        <w:rPr>
          <w:kern w:val="0"/>
        </w:rPr>
        <w:t>“</w:t>
      </w:r>
      <w:r w:rsidRPr="001A3D2B">
        <w:rPr>
          <w:kern w:val="0"/>
        </w:rPr>
        <w:t>race salience,</w:t>
      </w:r>
      <w:r w:rsidR="00B5188C">
        <w:rPr>
          <w:kern w:val="0"/>
        </w:rPr>
        <w:t>”</w:t>
      </w:r>
      <w:r w:rsidRPr="001A3D2B">
        <w:rPr>
          <w:kern w:val="0"/>
        </w:rPr>
        <w:t xml:space="preserve"> we predicted that any aspect</w:t>
      </w:r>
      <w:r w:rsidR="00427468">
        <w:rPr>
          <w:kern w:val="0"/>
        </w:rPr>
        <w:t xml:space="preserve"> of </w:t>
      </w:r>
      <w:r w:rsidRPr="001A3D2B">
        <w:rPr>
          <w:kern w:val="0"/>
        </w:rPr>
        <w:t>a trial that leads White mock jurors to be concerned about racial bias should render</w:t>
      </w:r>
      <w:r w:rsidR="003A1917">
        <w:rPr>
          <w:kern w:val="0"/>
        </w:rPr>
        <w:t xml:space="preserve"> the </w:t>
      </w:r>
      <w:r w:rsidRPr="001A3D2B">
        <w:rPr>
          <w:kern w:val="0"/>
        </w:rPr>
        <w:t>race</w:t>
      </w:r>
      <w:r w:rsidR="00427468">
        <w:rPr>
          <w:kern w:val="0"/>
        </w:rPr>
        <w:t xml:space="preserve"> of </w:t>
      </w:r>
      <w:r w:rsidRPr="001A3D2B">
        <w:rPr>
          <w:kern w:val="0"/>
        </w:rPr>
        <w:t>a defendant less influential. Though subsequent researchers have further explored this idea</w:t>
      </w:r>
      <w:r w:rsidR="00427468">
        <w:rPr>
          <w:kern w:val="0"/>
        </w:rPr>
        <w:t xml:space="preserve"> of </w:t>
      </w:r>
      <w:r w:rsidR="00B5188C">
        <w:rPr>
          <w:kern w:val="0"/>
        </w:rPr>
        <w:t>“</w:t>
      </w:r>
      <w:r w:rsidRPr="001A3D2B">
        <w:rPr>
          <w:kern w:val="0"/>
        </w:rPr>
        <w:t>race salience,</w:t>
      </w:r>
      <w:r w:rsidR="00B5188C">
        <w:rPr>
          <w:kern w:val="0"/>
        </w:rPr>
        <w:t>”</w:t>
      </w:r>
      <w:r w:rsidRPr="001A3D2B">
        <w:rPr>
          <w:kern w:val="0"/>
        </w:rPr>
        <w:t xml:space="preserve"> they have manipulated it in</w:t>
      </w:r>
      <w:r w:rsidR="003A1917">
        <w:rPr>
          <w:kern w:val="0"/>
        </w:rPr>
        <w:t xml:space="preserve"> the </w:t>
      </w:r>
      <w:r w:rsidRPr="001A3D2B">
        <w:rPr>
          <w:kern w:val="0"/>
        </w:rPr>
        <w:t>same way as in these original studies. As such,</w:t>
      </w:r>
      <w:r w:rsidR="003A1917">
        <w:rPr>
          <w:kern w:val="0"/>
        </w:rPr>
        <w:t xml:space="preserve"> the </w:t>
      </w:r>
      <w:r w:rsidRPr="001A3D2B">
        <w:rPr>
          <w:kern w:val="0"/>
        </w:rPr>
        <w:t>scope</w:t>
      </w:r>
      <w:r w:rsidR="00427468">
        <w:rPr>
          <w:kern w:val="0"/>
        </w:rPr>
        <w:t xml:space="preserve"> of </w:t>
      </w:r>
      <w:r w:rsidR="003A1917">
        <w:rPr>
          <w:kern w:val="0"/>
        </w:rPr>
        <w:t xml:space="preserve">the </w:t>
      </w:r>
      <w:r w:rsidRPr="001A3D2B">
        <w:rPr>
          <w:kern w:val="0"/>
        </w:rPr>
        <w:t xml:space="preserve">extant literature on </w:t>
      </w:r>
      <w:r w:rsidR="00B5188C">
        <w:rPr>
          <w:kern w:val="0"/>
        </w:rPr>
        <w:t>“</w:t>
      </w:r>
      <w:r w:rsidRPr="001A3D2B">
        <w:rPr>
          <w:kern w:val="0"/>
        </w:rPr>
        <w:t>race salience</w:t>
      </w:r>
      <w:r w:rsidR="00B5188C">
        <w:rPr>
          <w:kern w:val="0"/>
        </w:rPr>
        <w:t>”</w:t>
      </w:r>
      <w:r w:rsidR="005853A9">
        <w:rPr>
          <w:kern w:val="0"/>
        </w:rPr>
        <w:t xml:space="preserve"> and </w:t>
      </w:r>
      <w:r w:rsidRPr="001A3D2B">
        <w:rPr>
          <w:kern w:val="0"/>
        </w:rPr>
        <w:t>juror bias is narrower than many realize</w:t>
      </w:r>
      <w:r w:rsidR="00A37C1D">
        <w:rPr>
          <w:kern w:val="0"/>
        </w:rPr>
        <w:t>. The</w:t>
      </w:r>
      <w:r w:rsidR="003A1917">
        <w:rPr>
          <w:kern w:val="0"/>
        </w:rPr>
        <w:t xml:space="preserve"> </w:t>
      </w:r>
      <w:r w:rsidRPr="001A3D2B">
        <w:rPr>
          <w:kern w:val="0"/>
        </w:rPr>
        <w:t>present article seeks to clarify this</w:t>
      </w:r>
      <w:r w:rsidR="005853A9">
        <w:rPr>
          <w:kern w:val="0"/>
        </w:rPr>
        <w:t xml:space="preserve"> and </w:t>
      </w:r>
      <w:r w:rsidRPr="001A3D2B">
        <w:rPr>
          <w:kern w:val="0"/>
        </w:rPr>
        <w:t xml:space="preserve">other misconceptions regarding </w:t>
      </w:r>
      <w:r w:rsidR="00B5188C">
        <w:rPr>
          <w:kern w:val="0"/>
        </w:rPr>
        <w:t>“</w:t>
      </w:r>
      <w:r w:rsidRPr="001A3D2B">
        <w:rPr>
          <w:kern w:val="0"/>
        </w:rPr>
        <w:t>race salience</w:t>
      </w:r>
      <w:r w:rsidR="00B5188C">
        <w:rPr>
          <w:kern w:val="0"/>
        </w:rPr>
        <w:t>”</w:t>
      </w:r>
      <w:r w:rsidR="005853A9">
        <w:rPr>
          <w:kern w:val="0"/>
        </w:rPr>
        <w:t xml:space="preserve"> and </w:t>
      </w:r>
      <w:r w:rsidRPr="001A3D2B">
        <w:rPr>
          <w:kern w:val="0"/>
        </w:rPr>
        <w:t>jury decision-making, identifying in</w:t>
      </w:r>
      <w:r w:rsidR="003A1917">
        <w:rPr>
          <w:kern w:val="0"/>
        </w:rPr>
        <w:t xml:space="preserve"> the </w:t>
      </w:r>
      <w:r w:rsidRPr="001A3D2B">
        <w:rPr>
          <w:kern w:val="0"/>
        </w:rPr>
        <w:t>process avenues for future research on</w:t>
      </w:r>
      <w:r w:rsidR="003A1917">
        <w:rPr>
          <w:kern w:val="0"/>
        </w:rPr>
        <w:t xml:space="preserve"> the </w:t>
      </w:r>
      <w:r w:rsidRPr="001A3D2B">
        <w:rPr>
          <w:kern w:val="0"/>
        </w:rPr>
        <w:t>biasing influence</w:t>
      </w:r>
      <w:r w:rsidR="00427468">
        <w:rPr>
          <w:kern w:val="0"/>
        </w:rPr>
        <w:t xml:space="preserve"> of </w:t>
      </w:r>
      <w:r w:rsidRPr="001A3D2B">
        <w:rPr>
          <w:kern w:val="0"/>
        </w:rPr>
        <w:t>defendant race. Copyright (C) 2009 John Wiley &amp; Sons, Ltd.</w:t>
      </w:r>
    </w:p>
    <w:p w:rsidR="006C2543" w:rsidRPr="001A3D2B" w:rsidRDefault="006C2543" w:rsidP="006C2543">
      <w:pPr>
        <w:pStyle w:val="a3"/>
        <w:rPr>
          <w:kern w:val="0"/>
        </w:rPr>
      </w:pPr>
      <w:r w:rsidRPr="001A3D2B">
        <w:rPr>
          <w:kern w:val="0"/>
        </w:rPr>
        <w:t>Keywords: Bias, Black Defendants, Juries, Motivation, Prejudice, Racial Diversity</w:t>
      </w:r>
    </w:p>
    <w:p w:rsidR="003474F2" w:rsidRPr="001A3D2B" w:rsidRDefault="003474F2" w:rsidP="003474F2">
      <w:pPr>
        <w:pStyle w:val="1"/>
      </w:pPr>
      <w:r w:rsidRPr="001A3D2B">
        <w:br w:type="page"/>
      </w:r>
      <w:bookmarkStart w:id="734" w:name="_Toc420814694"/>
      <w:r w:rsidRPr="001A3D2B">
        <w:lastRenderedPageBreak/>
        <w:t>Title: Behavioral &amp; Social Sciences Librarian</w:t>
      </w:r>
      <w:bookmarkEnd w:id="734"/>
    </w:p>
    <w:p w:rsidR="003474F2" w:rsidRPr="001A3D2B" w:rsidRDefault="003474F2" w:rsidP="003474F2">
      <w:pPr>
        <w:pStyle w:val="12"/>
      </w:pPr>
      <w:bookmarkStart w:id="735" w:name="_Toc81215636"/>
      <w:r w:rsidRPr="001A3D2B">
        <w:t xml:space="preserve">Full Journal Title: </w:t>
      </w:r>
      <w:r w:rsidR="00206C8A">
        <w:fldChar w:fldCharType="begin"/>
      </w:r>
      <w:r w:rsidR="00FD158B">
        <w:instrText>HYPERLINK "http://www.in</w:instrText>
      </w:r>
      <w:bookmarkEnd w:id="735"/>
      <w:r w:rsidR="00FD158B">
        <w:instrText>formaworld.com/smpp/title~content=t792303973~db=all"</w:instrText>
      </w:r>
      <w:r w:rsidR="00206C8A">
        <w:fldChar w:fldCharType="separate"/>
      </w:r>
      <w:r w:rsidRPr="001A3D2B">
        <w:rPr>
          <w:rStyle w:val="a5"/>
        </w:rPr>
        <w:t>Behavioral &amp; Social Sciences Librarian</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Thomas, J. (1993), Graduate student use</w:t>
      </w:r>
      <w:r w:rsidR="00427468">
        <w:t xml:space="preserve"> of </w:t>
      </w:r>
      <w:r w:rsidRPr="001A3D2B">
        <w:t>journals: A bibliometric study</w:t>
      </w:r>
      <w:r w:rsidR="00427468">
        <w:t xml:space="preserve"> of </w:t>
      </w:r>
      <w:r w:rsidRPr="001A3D2B">
        <w:t xml:space="preserve">psychology theses. </w:t>
      </w:r>
      <w:r w:rsidRPr="001A3D2B">
        <w:rPr>
          <w:i/>
          <w:iCs/>
        </w:rPr>
        <w:t>Behavioral &amp; Social Sciences Librarian</w:t>
      </w:r>
      <w:r w:rsidRPr="001A3D2B">
        <w:t xml:space="preserve">, </w:t>
      </w:r>
      <w:r w:rsidRPr="001A3D2B">
        <w:rPr>
          <w:b/>
          <w:bCs/>
        </w:rPr>
        <w:t>12</w:t>
      </w:r>
      <w:r w:rsidRPr="001A3D2B">
        <w:t xml:space="preserve"> (1), 1-7.</w:t>
      </w:r>
    </w:p>
    <w:p w:rsidR="003474F2" w:rsidRPr="001A3D2B" w:rsidRDefault="003474F2" w:rsidP="003474F2">
      <w:pPr>
        <w:pStyle w:val="a3"/>
      </w:pPr>
      <w:r w:rsidRPr="001A3D2B">
        <w:t xml:space="preserve">Full Text: </w:t>
      </w:r>
      <w:hyperlink r:id="rId1428" w:history="1">
        <w:r w:rsidRPr="001A3D2B">
          <w:rPr>
            <w:rStyle w:val="a5"/>
          </w:rPr>
          <w:t>1993\Beh Soc Sci Lib12, 1.pdf</w:t>
        </w:r>
      </w:hyperlink>
    </w:p>
    <w:p w:rsidR="003474F2" w:rsidRPr="001A3D2B" w:rsidRDefault="003474F2" w:rsidP="003474F2">
      <w:pPr>
        <w:pStyle w:val="a3"/>
      </w:pPr>
      <w:r w:rsidRPr="001A3D2B">
        <w:t>Abstract: A 17% reduction in</w:t>
      </w:r>
      <w:r w:rsidR="003A1917">
        <w:t xml:space="preserve"> the </w:t>
      </w:r>
      <w:r w:rsidRPr="001A3D2B">
        <w:t>library materials budget</w:t>
      </w:r>
      <w:r w:rsidR="005853A9">
        <w:t xml:space="preserve"> and </w:t>
      </w:r>
      <w:r w:rsidRPr="001A3D2B">
        <w:t>faculty resistance to journal cancellations necessitated a demonstration</w:t>
      </w:r>
      <w:r w:rsidR="00427468">
        <w:t xml:space="preserve"> of </w:t>
      </w:r>
      <w:r w:rsidRPr="001A3D2B">
        <w:t xml:space="preserve">journal </w:t>
      </w:r>
      <w:r w:rsidR="00D5664A">
        <w:t>USA</w:t>
      </w:r>
      <w:r w:rsidRPr="001A3D2B">
        <w:t>ge in a large academic library. Analysis</w:t>
      </w:r>
      <w:r w:rsidR="00427468">
        <w:t xml:space="preserve"> of </w:t>
      </w:r>
      <w:r w:rsidRPr="001A3D2B">
        <w:t>journal citations from theses revealed quantifiable data that differed from</w:t>
      </w:r>
      <w:r w:rsidR="003A1917">
        <w:t xml:space="preserve"> the </w:t>
      </w:r>
      <w:r w:rsidRPr="001A3D2B">
        <w:t>80, 20 rule. Graduate students cited journals almost twice as frequently as do professional psychologists,</w:t>
      </w:r>
      <w:r w:rsidR="005853A9">
        <w:t xml:space="preserve"> and </w:t>
      </w:r>
      <w:r w:rsidRPr="001A3D2B">
        <w:t>91.9%</w:t>
      </w:r>
      <w:r w:rsidR="00427468">
        <w:t xml:space="preserve"> of </w:t>
      </w:r>
      <w:r w:rsidRPr="001A3D2B">
        <w:t>journal citations in theses were from locally-owned journals. One-quarter</w:t>
      </w:r>
      <w:r w:rsidR="00427468">
        <w:t xml:space="preserve"> of </w:t>
      </w:r>
      <w:r w:rsidR="003A1917">
        <w:t xml:space="preserve">the </w:t>
      </w:r>
      <w:r w:rsidRPr="001A3D2B">
        <w:t>library</w:t>
      </w:r>
      <w:r w:rsidR="00700038">
        <w:t>’</w:t>
      </w:r>
      <w:r w:rsidR="00C13DDC">
        <w:t>s</w:t>
      </w:r>
      <w:r w:rsidRPr="001A3D2B">
        <w:t xml:space="preserve"> </w:t>
      </w:r>
      <w:r w:rsidR="00700038">
        <w:t>‘</w:t>
      </w:r>
      <w:r w:rsidRPr="001A3D2B">
        <w:t>psychology</w:t>
      </w:r>
      <w:r w:rsidR="00700038">
        <w:t>’</w:t>
      </w:r>
      <w:r w:rsidRPr="001A3D2B">
        <w:t xml:space="preserve"> journals were cited not at all, providing a large list</w:t>
      </w:r>
      <w:r w:rsidR="00427468">
        <w:t xml:space="preserve"> of </w:t>
      </w:r>
      <w:r w:rsidRPr="001A3D2B">
        <w:t>candidates for cancellation consideration</w:t>
      </w:r>
      <w:r w:rsidR="00A37C1D">
        <w:t>. The</w:t>
      </w:r>
      <w:r w:rsidRPr="001A3D2B">
        <w:t>sis bibliographies tended to be longer after acquisition</w:t>
      </w:r>
      <w:r w:rsidR="00427468">
        <w:t xml:space="preserve"> of </w:t>
      </w:r>
      <w:r w:rsidRPr="001A3D2B">
        <w:t>PsycLIT</w:t>
      </w:r>
    </w:p>
    <w:p w:rsidR="003474F2" w:rsidRPr="001A3D2B" w:rsidRDefault="003474F2" w:rsidP="003474F2">
      <w:pPr>
        <w:pStyle w:val="a3"/>
      </w:pPr>
      <w:r w:rsidRPr="001A3D2B">
        <w:t>Keywords: Citations, English, Journal, Journals, SCI</w:t>
      </w:r>
    </w:p>
    <w:p w:rsidR="003474F2" w:rsidRPr="001A3D2B" w:rsidRDefault="003474F2" w:rsidP="003474F2">
      <w:pPr>
        <w:pStyle w:val="a3"/>
      </w:pPr>
      <w:r w:rsidRPr="001A3D2B">
        <w:t>? Herubel, J.P.V.M.</w:t>
      </w:r>
      <w:r w:rsidR="005853A9">
        <w:t xml:space="preserve"> and </w:t>
      </w:r>
      <w:r w:rsidRPr="001A3D2B">
        <w:t>Buchanan, A.L. (1994), Jean-Jacques Rousseau among</w:t>
      </w:r>
      <w:r w:rsidR="003A1917">
        <w:t xml:space="preserve"> the </w:t>
      </w:r>
      <w:r w:rsidRPr="001A3D2B">
        <w:t xml:space="preserve">footnotes: Mapping interdisciplinary research in </w:t>
      </w:r>
      <w:r w:rsidRPr="001A3D2B">
        <w:rPr>
          <w:i/>
          <w:iCs/>
        </w:rPr>
        <w:t>Social Science Citation Index</w:t>
      </w:r>
      <w:r w:rsidRPr="001A3D2B">
        <w:t xml:space="preserve">. </w:t>
      </w:r>
      <w:r w:rsidRPr="001A3D2B">
        <w:rPr>
          <w:i/>
          <w:iCs/>
        </w:rPr>
        <w:t>Behavioral &amp; Social Sciences Librarian</w:t>
      </w:r>
      <w:r w:rsidRPr="001A3D2B">
        <w:t xml:space="preserve">, </w:t>
      </w:r>
      <w:r w:rsidRPr="001A3D2B">
        <w:rPr>
          <w:b/>
          <w:bCs/>
        </w:rPr>
        <w:t>13</w:t>
      </w:r>
      <w:r w:rsidRPr="001A3D2B">
        <w:t xml:space="preserve"> (1), 49-57.</w:t>
      </w:r>
    </w:p>
    <w:p w:rsidR="003474F2" w:rsidRPr="001A3D2B" w:rsidRDefault="003474F2" w:rsidP="003474F2">
      <w:pPr>
        <w:pStyle w:val="a3"/>
        <w:rPr>
          <w:bCs/>
        </w:rPr>
      </w:pPr>
      <w:r w:rsidRPr="001A3D2B">
        <w:t xml:space="preserve">Full Text: </w:t>
      </w:r>
      <w:hyperlink r:id="rId1429" w:history="1">
        <w:r w:rsidRPr="001A3D2B">
          <w:rPr>
            <w:rStyle w:val="a5"/>
          </w:rPr>
          <w:t>1994\Beh Soc Sci Lib13, 49.pdf</w:t>
        </w:r>
      </w:hyperlink>
    </w:p>
    <w:p w:rsidR="003474F2" w:rsidRPr="001A3D2B" w:rsidRDefault="003474F2" w:rsidP="003474F2">
      <w:pPr>
        <w:pStyle w:val="a3"/>
      </w:pPr>
      <w:r w:rsidRPr="001A3D2B">
        <w:t>Abstract: Using</w:t>
      </w:r>
      <w:r w:rsidR="003A1917">
        <w:t xml:space="preserve"> the </w:t>
      </w:r>
      <w:r w:rsidRPr="001A3D2B">
        <w:t>Social Science Citation Index (</w:t>
      </w:r>
      <w:r w:rsidR="00D5664A">
        <w:t>SSCI</w:t>
      </w:r>
      <w:r w:rsidRPr="001A3D2B">
        <w:t>) researcher</w:t>
      </w:r>
      <w:r w:rsidR="005853A9">
        <w:t xml:space="preserve"> and </w:t>
      </w:r>
      <w:r w:rsidRPr="001A3D2B">
        <w:t>librarian alike can trace</w:t>
      </w:r>
      <w:r w:rsidR="003A1917">
        <w:t xml:space="preserve"> the </w:t>
      </w:r>
      <w:r w:rsidRPr="001A3D2B">
        <w:t>published record</w:t>
      </w:r>
      <w:r w:rsidR="00427468">
        <w:t xml:space="preserve"> of </w:t>
      </w:r>
      <w:r w:rsidRPr="001A3D2B">
        <w:t>research on a given figure in</w:t>
      </w:r>
      <w:r w:rsidR="003A1917">
        <w:t xml:space="preserve"> the </w:t>
      </w:r>
      <w:r w:rsidRPr="001A3D2B">
        <w:t>social sciences. Jean-Jacques Rousseau was chosen since he is a major figure in political science</w:t>
      </w:r>
      <w:r w:rsidR="005853A9">
        <w:t xml:space="preserve"> and </w:t>
      </w:r>
      <w:r w:rsidRPr="001A3D2B">
        <w:t>in other social sciences. Examination</w:t>
      </w:r>
      <w:r w:rsidR="00427468">
        <w:t xml:space="preserve"> of </w:t>
      </w:r>
      <w:r w:rsidRPr="001A3D2B">
        <w:t xml:space="preserve">citations indexed in </w:t>
      </w:r>
      <w:r w:rsidR="00D5664A">
        <w:t>SSCI</w:t>
      </w:r>
      <w:r w:rsidRPr="001A3D2B">
        <w:t xml:space="preserve"> revealed salient patterns which can be helpful in determining interdisciplinarity and/or disciplinarity. Rousseau</w:t>
      </w:r>
      <w:r w:rsidR="00700038">
        <w:t>’</w:t>
      </w:r>
      <w:r w:rsidR="00C13DDC">
        <w:t>s</w:t>
      </w:r>
      <w:r w:rsidRPr="001A3D2B">
        <w:t xml:space="preserve"> contributions are still readily cited in contemporary research</w:t>
      </w:r>
      <w:r w:rsidR="005853A9">
        <w:t xml:space="preserve"> and </w:t>
      </w:r>
      <w:r w:rsidRPr="001A3D2B">
        <w:t>cross disciplinary boundaries. Collection development efforts can be enhanced through this open window into</w:t>
      </w:r>
      <w:r w:rsidR="003A1917">
        <w:t xml:space="preserve"> the </w:t>
      </w:r>
      <w:r w:rsidRPr="001A3D2B">
        <w:t>nature</w:t>
      </w:r>
      <w:r w:rsidR="00427468">
        <w:t xml:space="preserve"> of </w:t>
      </w:r>
      <w:r w:rsidRPr="001A3D2B">
        <w:t>published research by examining citation patterns</w:t>
      </w:r>
      <w:r w:rsidR="00427468">
        <w:t xml:space="preserve"> of </w:t>
      </w:r>
      <w:r w:rsidRPr="001A3D2B">
        <w:t>a given classical social science author.</w:t>
      </w:r>
    </w:p>
    <w:p w:rsidR="003474F2" w:rsidRPr="001A3D2B" w:rsidRDefault="003474F2" w:rsidP="003474F2">
      <w:pPr>
        <w:pStyle w:val="a3"/>
      </w:pPr>
      <w:r w:rsidRPr="001A3D2B">
        <w:lastRenderedPageBreak/>
        <w:t>Keywords: Boundaries, Citation, Citation Patterns, Citations, Development, Interdisciplinarity, Open, Record, Research, Science, Science Citation Index, Sciences, Social, Social Science, Social Science Citation Index, Social Sciences,</w:t>
      </w:r>
      <w:r w:rsidR="008E3069">
        <w:t xml:space="preserve"> </w:t>
      </w:r>
      <w:r w:rsidR="00D5664A">
        <w:t>SSCI</w:t>
      </w:r>
      <w:r w:rsidR="008E3069">
        <w:t>,</w:t>
      </w:r>
      <w:r w:rsidRPr="001A3D2B">
        <w:t xml:space="preserve"> Trace</w:t>
      </w:r>
    </w:p>
    <w:p w:rsidR="00C24A3E" w:rsidRPr="001A3D2B" w:rsidRDefault="00C24A3E" w:rsidP="00C24A3E">
      <w:pPr>
        <w:pStyle w:val="a3"/>
        <w:rPr>
          <w:kern w:val="0"/>
          <w:szCs w:val="24"/>
        </w:rPr>
      </w:pPr>
      <w:r w:rsidRPr="001A3D2B">
        <w:rPr>
          <w:kern w:val="0"/>
          <w:szCs w:val="24"/>
        </w:rPr>
        <w:t>? Buchanan, A.L., Goedeken, E.A.</w:t>
      </w:r>
      <w:r w:rsidR="005853A9">
        <w:rPr>
          <w:kern w:val="0"/>
          <w:szCs w:val="24"/>
        </w:rPr>
        <w:t xml:space="preserve"> and </w:t>
      </w:r>
      <w:r w:rsidRPr="001A3D2B">
        <w:rPr>
          <w:kern w:val="0"/>
          <w:szCs w:val="24"/>
        </w:rPr>
        <w:t>Herubel, J.P.V.M. (1996), Scholarly communication among academic librarians: An analysis</w:t>
      </w:r>
      <w:r w:rsidR="00427468">
        <w:rPr>
          <w:kern w:val="0"/>
          <w:szCs w:val="24"/>
        </w:rPr>
        <w:t xml:space="preserve"> of </w:t>
      </w:r>
      <w:r w:rsidRPr="001A3D2B">
        <w:rPr>
          <w:kern w:val="0"/>
          <w:szCs w:val="24"/>
        </w:rPr>
        <w:t xml:space="preserve">six ACRL proceedings. </w:t>
      </w:r>
      <w:r w:rsidRPr="001A3D2B">
        <w:rPr>
          <w:i/>
          <w:iCs/>
          <w:kern w:val="0"/>
          <w:szCs w:val="24"/>
        </w:rPr>
        <w:t>Behavioral &amp; Social Sciences Librarian</w:t>
      </w:r>
      <w:r w:rsidRPr="001A3D2B">
        <w:rPr>
          <w:kern w:val="0"/>
          <w:szCs w:val="24"/>
        </w:rPr>
        <w:t xml:space="preserve">, </w:t>
      </w:r>
      <w:r w:rsidRPr="001A3D2B">
        <w:rPr>
          <w:b/>
          <w:bCs/>
          <w:kern w:val="0"/>
          <w:szCs w:val="24"/>
        </w:rPr>
        <w:t>14</w:t>
      </w:r>
      <w:r w:rsidRPr="001A3D2B">
        <w:rPr>
          <w:kern w:val="0"/>
          <w:szCs w:val="24"/>
        </w:rPr>
        <w:t xml:space="preserve"> (2), 1-15.</w:t>
      </w:r>
    </w:p>
    <w:p w:rsidR="00FA7AD6" w:rsidRDefault="00FA7AD6" w:rsidP="00FA7AD6">
      <w:pPr>
        <w:pStyle w:val="a3"/>
      </w:pPr>
      <w:r>
        <w:rPr>
          <w:rFonts w:hint="eastAsia"/>
        </w:rPr>
        <w:t xml:space="preserve">Full Text: </w:t>
      </w:r>
      <w:hyperlink r:id="rId1430" w:history="1">
        <w:r w:rsidRPr="00556163">
          <w:rPr>
            <w:rStyle w:val="a5"/>
          </w:rPr>
          <w:t>1996\Beh Soc Sci Lib14, 1.pdf</w:t>
        </w:r>
      </w:hyperlink>
    </w:p>
    <w:p w:rsidR="00C24A3E" w:rsidRPr="001A3D2B" w:rsidRDefault="00C24A3E" w:rsidP="00C24A3E">
      <w:pPr>
        <w:pStyle w:val="a3"/>
        <w:rPr>
          <w:kern w:val="0"/>
          <w:szCs w:val="24"/>
        </w:rPr>
      </w:pPr>
      <w:r w:rsidRPr="001A3D2B">
        <w:rPr>
          <w:kern w:val="0"/>
          <w:szCs w:val="24"/>
        </w:rPr>
        <w:t>Abstract: Between</w:t>
      </w:r>
      <w:r w:rsidR="003A1917">
        <w:rPr>
          <w:kern w:val="0"/>
          <w:szCs w:val="24"/>
        </w:rPr>
        <w:t xml:space="preserve"> the </w:t>
      </w:r>
      <w:r w:rsidRPr="001A3D2B">
        <w:rPr>
          <w:kern w:val="0"/>
          <w:szCs w:val="24"/>
        </w:rPr>
        <w:t>years 1978</w:t>
      </w:r>
      <w:r w:rsidR="005853A9">
        <w:rPr>
          <w:kern w:val="0"/>
          <w:szCs w:val="24"/>
        </w:rPr>
        <w:t xml:space="preserve"> and </w:t>
      </w:r>
      <w:r w:rsidRPr="001A3D2B">
        <w:rPr>
          <w:kern w:val="0"/>
          <w:szCs w:val="24"/>
        </w:rPr>
        <w:t>1992</w:t>
      </w:r>
      <w:r w:rsidR="003A1917">
        <w:rPr>
          <w:kern w:val="0"/>
          <w:szCs w:val="24"/>
        </w:rPr>
        <w:t xml:space="preserve"> the </w:t>
      </w:r>
      <w:r w:rsidRPr="001A3D2B">
        <w:rPr>
          <w:kern w:val="0"/>
          <w:szCs w:val="24"/>
        </w:rPr>
        <w:t>Association</w:t>
      </w:r>
      <w:r w:rsidR="00427468">
        <w:rPr>
          <w:kern w:val="0"/>
          <w:szCs w:val="24"/>
        </w:rPr>
        <w:t xml:space="preserve"> of </w:t>
      </w:r>
      <w:r w:rsidRPr="001A3D2B">
        <w:rPr>
          <w:kern w:val="0"/>
          <w:szCs w:val="24"/>
        </w:rPr>
        <w:t>College</w:t>
      </w:r>
      <w:r w:rsidR="005853A9">
        <w:rPr>
          <w:kern w:val="0"/>
          <w:szCs w:val="24"/>
        </w:rPr>
        <w:t xml:space="preserve"> and </w:t>
      </w:r>
      <w:r w:rsidRPr="001A3D2B">
        <w:rPr>
          <w:kern w:val="0"/>
          <w:szCs w:val="24"/>
        </w:rPr>
        <w:t>Research Libraries (ACRL) has held national conferences to discuss</w:t>
      </w:r>
      <w:r w:rsidR="003A1917">
        <w:rPr>
          <w:kern w:val="0"/>
          <w:szCs w:val="24"/>
        </w:rPr>
        <w:t xml:space="preserve"> the </w:t>
      </w:r>
      <w:r w:rsidRPr="001A3D2B">
        <w:rPr>
          <w:kern w:val="0"/>
          <w:szCs w:val="24"/>
        </w:rPr>
        <w:t>current state</w:t>
      </w:r>
      <w:r w:rsidR="00427468">
        <w:rPr>
          <w:kern w:val="0"/>
          <w:szCs w:val="24"/>
        </w:rPr>
        <w:t xml:space="preserve"> of </w:t>
      </w:r>
      <w:r w:rsidRPr="001A3D2B">
        <w:rPr>
          <w:kern w:val="0"/>
          <w:szCs w:val="24"/>
        </w:rPr>
        <w:t>academic librarianship</w:t>
      </w:r>
      <w:r w:rsidR="00A37C1D">
        <w:rPr>
          <w:kern w:val="0"/>
          <w:szCs w:val="24"/>
        </w:rPr>
        <w:t>. The</w:t>
      </w:r>
      <w:r w:rsidR="003A1917">
        <w:rPr>
          <w:kern w:val="0"/>
          <w:szCs w:val="24"/>
        </w:rPr>
        <w:t xml:space="preserve"> </w:t>
      </w:r>
      <w:r w:rsidRPr="001A3D2B">
        <w:rPr>
          <w:kern w:val="0"/>
          <w:szCs w:val="24"/>
        </w:rPr>
        <w:t>published conference proceedings appeared as a natural body</w:t>
      </w:r>
      <w:r w:rsidR="00427468">
        <w:rPr>
          <w:kern w:val="0"/>
          <w:szCs w:val="24"/>
        </w:rPr>
        <w:t xml:space="preserve"> of </w:t>
      </w:r>
      <w:r w:rsidRPr="001A3D2B">
        <w:rPr>
          <w:kern w:val="0"/>
          <w:szCs w:val="24"/>
        </w:rPr>
        <w:t>literature to use to analyze</w:t>
      </w:r>
      <w:r w:rsidR="003A1917">
        <w:rPr>
          <w:kern w:val="0"/>
          <w:szCs w:val="24"/>
        </w:rPr>
        <w:t xml:space="preserve"> the </w:t>
      </w:r>
      <w:r w:rsidRPr="001A3D2B">
        <w:rPr>
          <w:kern w:val="0"/>
          <w:szCs w:val="24"/>
        </w:rPr>
        <w:t>scholarly activity</w:t>
      </w:r>
      <w:r w:rsidR="00427468">
        <w:rPr>
          <w:kern w:val="0"/>
          <w:szCs w:val="24"/>
        </w:rPr>
        <w:t xml:space="preserve"> of </w:t>
      </w:r>
      <w:r w:rsidRPr="001A3D2B">
        <w:rPr>
          <w:kern w:val="0"/>
          <w:szCs w:val="24"/>
        </w:rPr>
        <w:t>academic librarians</w:t>
      </w:r>
      <w:r w:rsidR="005853A9">
        <w:rPr>
          <w:kern w:val="0"/>
          <w:szCs w:val="24"/>
        </w:rPr>
        <w:t xml:space="preserve"> and </w:t>
      </w:r>
      <w:r w:rsidRPr="001A3D2B">
        <w:rPr>
          <w:kern w:val="0"/>
          <w:szCs w:val="24"/>
        </w:rPr>
        <w:t>to study its place in</w:t>
      </w:r>
      <w:r w:rsidR="003A1917">
        <w:rPr>
          <w:kern w:val="0"/>
          <w:szCs w:val="24"/>
        </w:rPr>
        <w:t xml:space="preserve"> the </w:t>
      </w:r>
      <w:r w:rsidRPr="001A3D2B">
        <w:rPr>
          <w:kern w:val="0"/>
          <w:szCs w:val="24"/>
        </w:rPr>
        <w:t>larger sociological models</w:t>
      </w:r>
      <w:r w:rsidR="00427468">
        <w:rPr>
          <w:kern w:val="0"/>
          <w:szCs w:val="24"/>
        </w:rPr>
        <w:t xml:space="preserve"> of </w:t>
      </w:r>
      <w:r w:rsidRPr="001A3D2B">
        <w:rPr>
          <w:kern w:val="0"/>
          <w:szCs w:val="24"/>
        </w:rPr>
        <w:t>scholarly academic activity. Once a bibliometric analysis</w:t>
      </w:r>
      <w:r w:rsidR="00427468">
        <w:rPr>
          <w:kern w:val="0"/>
          <w:szCs w:val="24"/>
        </w:rPr>
        <w:t xml:space="preserve"> of </w:t>
      </w:r>
      <w:r w:rsidR="003A1917">
        <w:rPr>
          <w:kern w:val="0"/>
          <w:szCs w:val="24"/>
        </w:rPr>
        <w:t xml:space="preserve">the </w:t>
      </w:r>
      <w:r w:rsidRPr="001A3D2B">
        <w:rPr>
          <w:kern w:val="0"/>
          <w:szCs w:val="24"/>
        </w:rPr>
        <w:t>proceedings was completed,</w:t>
      </w:r>
      <w:r w:rsidR="003A1917">
        <w:rPr>
          <w:kern w:val="0"/>
          <w:szCs w:val="24"/>
        </w:rPr>
        <w:t xml:space="preserve"> the </w:t>
      </w:r>
      <w:r w:rsidRPr="001A3D2B">
        <w:rPr>
          <w:kern w:val="0"/>
          <w:szCs w:val="24"/>
        </w:rPr>
        <w:t>institutions were ranked by scholarly production</w:t>
      </w:r>
      <w:r w:rsidR="005853A9">
        <w:rPr>
          <w:kern w:val="0"/>
          <w:szCs w:val="24"/>
        </w:rPr>
        <w:t xml:space="preserve"> and </w:t>
      </w:r>
      <w:r w:rsidRPr="001A3D2B">
        <w:rPr>
          <w:kern w:val="0"/>
          <w:szCs w:val="24"/>
        </w:rPr>
        <w:t>then compared to earlier published studies</w:t>
      </w:r>
      <w:r w:rsidR="00A37C1D">
        <w:rPr>
          <w:kern w:val="0"/>
          <w:szCs w:val="24"/>
        </w:rPr>
        <w:t>. The</w:t>
      </w:r>
      <w:r w:rsidR="003A1917">
        <w:rPr>
          <w:kern w:val="0"/>
          <w:szCs w:val="24"/>
        </w:rPr>
        <w:t xml:space="preserve"> </w:t>
      </w:r>
      <w:r w:rsidRPr="001A3D2B">
        <w:rPr>
          <w:kern w:val="0"/>
          <w:szCs w:val="24"/>
        </w:rPr>
        <w:t>final phase</w:t>
      </w:r>
      <w:r w:rsidR="00427468">
        <w:rPr>
          <w:kern w:val="0"/>
          <w:szCs w:val="24"/>
        </w:rPr>
        <w:t xml:space="preserve"> of </w:t>
      </w:r>
      <w:r w:rsidR="003A1917">
        <w:rPr>
          <w:kern w:val="0"/>
          <w:szCs w:val="24"/>
        </w:rPr>
        <w:t xml:space="preserve">the </w:t>
      </w:r>
      <w:r w:rsidRPr="001A3D2B">
        <w:rPr>
          <w:kern w:val="0"/>
          <w:szCs w:val="24"/>
        </w:rPr>
        <w:t>study analyzed</w:t>
      </w:r>
      <w:r w:rsidR="003A1917">
        <w:rPr>
          <w:kern w:val="0"/>
          <w:szCs w:val="24"/>
        </w:rPr>
        <w:t xml:space="preserve"> the </w:t>
      </w:r>
      <w:r w:rsidRPr="001A3D2B">
        <w:rPr>
          <w:kern w:val="0"/>
          <w:szCs w:val="24"/>
        </w:rPr>
        <w:t>bibliometric data using Tony Becher</w:t>
      </w:r>
      <w:r w:rsidR="00700038">
        <w:rPr>
          <w:kern w:val="0"/>
          <w:szCs w:val="24"/>
        </w:rPr>
        <w:t>’</w:t>
      </w:r>
      <w:r w:rsidR="00C13DDC">
        <w:rPr>
          <w:kern w:val="0"/>
          <w:szCs w:val="24"/>
        </w:rPr>
        <w:t>s</w:t>
      </w:r>
      <w:r w:rsidRPr="001A3D2B">
        <w:rPr>
          <w:kern w:val="0"/>
          <w:szCs w:val="24"/>
        </w:rPr>
        <w:t xml:space="preserve"> theory</w:t>
      </w:r>
      <w:r w:rsidR="00427468">
        <w:rPr>
          <w:kern w:val="0"/>
          <w:szCs w:val="24"/>
        </w:rPr>
        <w:t xml:space="preserve"> of </w:t>
      </w:r>
      <w:r w:rsidRPr="001A3D2B">
        <w:rPr>
          <w:kern w:val="0"/>
          <w:szCs w:val="24"/>
        </w:rPr>
        <w:t>tribalism</w:t>
      </w:r>
      <w:r w:rsidR="005853A9">
        <w:rPr>
          <w:kern w:val="0"/>
          <w:szCs w:val="24"/>
        </w:rPr>
        <w:t xml:space="preserve"> and </w:t>
      </w:r>
      <w:r w:rsidRPr="001A3D2B">
        <w:rPr>
          <w:kern w:val="0"/>
          <w:szCs w:val="24"/>
        </w:rPr>
        <w:t>Pierre Bourdieu</w:t>
      </w:r>
      <w:r w:rsidR="00700038">
        <w:rPr>
          <w:kern w:val="0"/>
          <w:szCs w:val="24"/>
        </w:rPr>
        <w:t>’</w:t>
      </w:r>
      <w:r w:rsidR="00C13DDC">
        <w:rPr>
          <w:kern w:val="0"/>
          <w:szCs w:val="24"/>
        </w:rPr>
        <w:t>s</w:t>
      </w:r>
      <w:r w:rsidRPr="001A3D2B">
        <w:rPr>
          <w:kern w:val="0"/>
          <w:szCs w:val="24"/>
        </w:rPr>
        <w:t xml:space="preserve"> theories</w:t>
      </w:r>
      <w:r w:rsidR="00427468">
        <w:rPr>
          <w:kern w:val="0"/>
          <w:szCs w:val="24"/>
        </w:rPr>
        <w:t xml:space="preserve"> of </w:t>
      </w:r>
      <w:r w:rsidRPr="001A3D2B">
        <w:rPr>
          <w:kern w:val="0"/>
          <w:szCs w:val="24"/>
        </w:rPr>
        <w:t>habitus, cultural capital,</w:t>
      </w:r>
      <w:r w:rsidR="005853A9">
        <w:rPr>
          <w:kern w:val="0"/>
          <w:szCs w:val="24"/>
        </w:rPr>
        <w:t xml:space="preserve"> and </w:t>
      </w:r>
      <w:r w:rsidRPr="001A3D2B">
        <w:rPr>
          <w:kern w:val="0"/>
          <w:szCs w:val="24"/>
        </w:rPr>
        <w:t>reproduction</w:t>
      </w:r>
      <w:r w:rsidR="00A37C1D">
        <w:rPr>
          <w:kern w:val="0"/>
          <w:szCs w:val="24"/>
        </w:rPr>
        <w:t>. The</w:t>
      </w:r>
      <w:r w:rsidR="003A1917">
        <w:rPr>
          <w:kern w:val="0"/>
          <w:szCs w:val="24"/>
        </w:rPr>
        <w:t xml:space="preserve"> </w:t>
      </w:r>
      <w:r w:rsidRPr="001A3D2B">
        <w:rPr>
          <w:kern w:val="0"/>
          <w:szCs w:val="24"/>
        </w:rPr>
        <w:t>result ii om this introductory study revealed a core</w:t>
      </w:r>
      <w:r w:rsidR="00427468">
        <w:rPr>
          <w:kern w:val="0"/>
          <w:szCs w:val="24"/>
        </w:rPr>
        <w:t xml:space="preserve"> of </w:t>
      </w:r>
      <w:r w:rsidRPr="001A3D2B">
        <w:rPr>
          <w:kern w:val="0"/>
          <w:szCs w:val="24"/>
        </w:rPr>
        <w:t>dominant institutions</w:t>
      </w:r>
      <w:r w:rsidR="005853A9">
        <w:rPr>
          <w:kern w:val="0"/>
          <w:szCs w:val="24"/>
        </w:rPr>
        <w:t xml:space="preserve"> and </w:t>
      </w:r>
      <w:r w:rsidRPr="001A3D2B">
        <w:rPr>
          <w:kern w:val="0"/>
          <w:szCs w:val="24"/>
        </w:rPr>
        <w:t>conforms to several</w:t>
      </w:r>
      <w:r w:rsidR="00427468">
        <w:rPr>
          <w:kern w:val="0"/>
          <w:szCs w:val="24"/>
        </w:rPr>
        <w:t xml:space="preserve"> of </w:t>
      </w:r>
      <w:r w:rsidRPr="001A3D2B">
        <w:rPr>
          <w:kern w:val="0"/>
          <w:szCs w:val="24"/>
        </w:rPr>
        <w:t>Becher</w:t>
      </w:r>
      <w:r w:rsidR="00700038">
        <w:rPr>
          <w:kern w:val="0"/>
          <w:szCs w:val="24"/>
        </w:rPr>
        <w:t>’</w:t>
      </w:r>
      <w:r w:rsidR="00C13DDC">
        <w:rPr>
          <w:kern w:val="0"/>
          <w:szCs w:val="24"/>
        </w:rPr>
        <w:t>s</w:t>
      </w:r>
      <w:r w:rsidR="005853A9">
        <w:rPr>
          <w:kern w:val="0"/>
          <w:szCs w:val="24"/>
        </w:rPr>
        <w:t xml:space="preserve"> and </w:t>
      </w:r>
      <w:r w:rsidRPr="001A3D2B">
        <w:rPr>
          <w:kern w:val="0"/>
          <w:szCs w:val="24"/>
        </w:rPr>
        <w:t>Bourdieu</w:t>
      </w:r>
      <w:r w:rsidR="00700038">
        <w:rPr>
          <w:kern w:val="0"/>
          <w:szCs w:val="24"/>
        </w:rPr>
        <w:t>’</w:t>
      </w:r>
      <w:r w:rsidR="00C13DDC">
        <w:rPr>
          <w:kern w:val="0"/>
          <w:szCs w:val="24"/>
        </w:rPr>
        <w:t>s</w:t>
      </w:r>
      <w:r w:rsidRPr="001A3D2B">
        <w:rPr>
          <w:kern w:val="0"/>
          <w:szCs w:val="24"/>
        </w:rPr>
        <w:t xml:space="preserve"> theories.</w:t>
      </w:r>
    </w:p>
    <w:p w:rsidR="00C24A3E" w:rsidRPr="001A3D2B" w:rsidRDefault="00C24A3E" w:rsidP="00C24A3E">
      <w:pPr>
        <w:pStyle w:val="a3"/>
        <w:rPr>
          <w:kern w:val="0"/>
          <w:szCs w:val="24"/>
        </w:rPr>
      </w:pPr>
      <w:r w:rsidRPr="001A3D2B">
        <w:rPr>
          <w:kern w:val="0"/>
          <w:szCs w:val="24"/>
        </w:rPr>
        <w:t>Keywords: Bibliometric, Bibliometric Analysis, Bibliometric Data, Core, Literature, Research</w:t>
      </w:r>
    </w:p>
    <w:p w:rsidR="003474F2" w:rsidRPr="001A3D2B" w:rsidRDefault="003474F2" w:rsidP="003474F2">
      <w:pPr>
        <w:pStyle w:val="a3"/>
      </w:pPr>
      <w:r w:rsidRPr="001A3D2B">
        <w:t>? Hider, P.M. (1997), Three bibliometric analyses</w:t>
      </w:r>
      <w:r w:rsidR="00427468">
        <w:t xml:space="preserve"> of </w:t>
      </w:r>
      <w:r w:rsidRPr="001A3D2B">
        <w:t xml:space="preserve">anthropology literature. </w:t>
      </w:r>
      <w:r w:rsidRPr="001A3D2B">
        <w:rPr>
          <w:i/>
          <w:iCs/>
        </w:rPr>
        <w:t>Behavioral &amp; Social Sciences Librarian</w:t>
      </w:r>
      <w:r w:rsidRPr="001A3D2B">
        <w:t xml:space="preserve">, </w:t>
      </w:r>
      <w:r w:rsidRPr="001A3D2B">
        <w:rPr>
          <w:b/>
          <w:bCs/>
        </w:rPr>
        <w:t>15</w:t>
      </w:r>
      <w:r w:rsidRPr="001A3D2B">
        <w:t xml:space="preserve"> (1), 1-17.</w:t>
      </w:r>
    </w:p>
    <w:p w:rsidR="003474F2" w:rsidRPr="001A3D2B" w:rsidRDefault="003474F2" w:rsidP="003474F2">
      <w:pPr>
        <w:pStyle w:val="a3"/>
      </w:pPr>
      <w:r w:rsidRPr="001A3D2B">
        <w:t xml:space="preserve">Full Text: </w:t>
      </w:r>
      <w:hyperlink r:id="rId1431" w:history="1">
        <w:r w:rsidRPr="001A3D2B">
          <w:rPr>
            <w:rStyle w:val="a5"/>
          </w:rPr>
          <w:t>1997\Beh Soc Sci Lib15, 1.pdf</w:t>
        </w:r>
      </w:hyperlink>
    </w:p>
    <w:p w:rsidR="003474F2" w:rsidRPr="001A3D2B" w:rsidRDefault="003474F2" w:rsidP="003474F2">
      <w:pPr>
        <w:pStyle w:val="a3"/>
      </w:pPr>
      <w:r w:rsidRPr="001A3D2B">
        <w:t>Abstract: Three bibliometric analyses</w:t>
      </w:r>
      <w:r w:rsidR="00427468">
        <w:t xml:space="preserve"> of </w:t>
      </w:r>
      <w:r w:rsidRPr="001A3D2B">
        <w:t>articles in</w:t>
      </w:r>
      <w:r w:rsidR="003A1917">
        <w:t xml:space="preserve"> the </w:t>
      </w:r>
      <w:r w:rsidRPr="001A3D2B">
        <w:t>UK anthropology journal, Man, are described</w:t>
      </w:r>
      <w:r w:rsidR="00A37C1D">
        <w:t>. The</w:t>
      </w:r>
      <w:r w:rsidR="003A1917">
        <w:t xml:space="preserve"> </w:t>
      </w:r>
      <w:r w:rsidRPr="001A3D2B">
        <w:t>first analysis looks at</w:t>
      </w:r>
      <w:r w:rsidR="003A1917">
        <w:t xml:space="preserve"> the </w:t>
      </w:r>
      <w:r w:rsidRPr="001A3D2B">
        <w:t>forms</w:t>
      </w:r>
      <w:r w:rsidR="00427468">
        <w:t xml:space="preserve"> of </w:t>
      </w:r>
      <w:r w:rsidRPr="001A3D2B">
        <w:t>material cited in</w:t>
      </w:r>
      <w:r w:rsidR="003A1917">
        <w:t xml:space="preserve"> the </w:t>
      </w:r>
      <w:r w:rsidRPr="001A3D2B">
        <w:t>articles</w:t>
      </w:r>
      <w:r w:rsidR="005853A9">
        <w:t xml:space="preserve"> and </w:t>
      </w:r>
      <w:r w:rsidRPr="001A3D2B">
        <w:t>confirms</w:t>
      </w:r>
      <w:r w:rsidR="003A1917">
        <w:t xml:space="preserve"> the </w:t>
      </w:r>
      <w:r w:rsidRPr="001A3D2B">
        <w:t>observation that anthropologists rely heavily on books, while also revealing a rise in</w:t>
      </w:r>
      <w:r w:rsidR="003A1917">
        <w:t xml:space="preserve"> the </w:t>
      </w:r>
      <w:r w:rsidRPr="001A3D2B">
        <w:t>popularity</w:t>
      </w:r>
      <w:r w:rsidR="00427468">
        <w:t xml:space="preserve"> of </w:t>
      </w:r>
      <w:r w:rsidRPr="001A3D2B">
        <w:t>anthologies</w:t>
      </w:r>
      <w:r w:rsidR="00427468">
        <w:t xml:space="preserve"> of </w:t>
      </w:r>
      <w:r w:rsidRPr="001A3D2B">
        <w:t>papers in book form at</w:t>
      </w:r>
      <w:r w:rsidR="003A1917">
        <w:t xml:space="preserve"> the </w:t>
      </w:r>
      <w:r w:rsidRPr="001A3D2B">
        <w:t>expense</w:t>
      </w:r>
      <w:r w:rsidR="00427468">
        <w:t xml:space="preserve"> of </w:t>
      </w:r>
      <w:r w:rsidRPr="001A3D2B">
        <w:t>serials</w:t>
      </w:r>
      <w:r w:rsidR="00A37C1D">
        <w:t>. The</w:t>
      </w:r>
      <w:r w:rsidR="003A1917">
        <w:t xml:space="preserve"> </w:t>
      </w:r>
      <w:r w:rsidRPr="001A3D2B">
        <w:t>second study examines</w:t>
      </w:r>
      <w:r w:rsidR="003A1917">
        <w:t xml:space="preserve"> the </w:t>
      </w:r>
      <w:r w:rsidRPr="001A3D2B">
        <w:t>relative age</w:t>
      </w:r>
      <w:r w:rsidR="00427468">
        <w:t xml:space="preserve"> of </w:t>
      </w:r>
      <w:r w:rsidRPr="001A3D2B">
        <w:t>cited publications</w:t>
      </w:r>
      <w:r w:rsidR="00A37C1D">
        <w:t>. The</w:t>
      </w:r>
      <w:r w:rsidR="003A1917">
        <w:t xml:space="preserve"> </w:t>
      </w:r>
      <w:r w:rsidRPr="001A3D2B">
        <w:t>lack</w:t>
      </w:r>
      <w:r w:rsidR="00427468">
        <w:t xml:space="preserve"> of </w:t>
      </w:r>
      <w:r w:rsidRPr="001A3D2B">
        <w:t>contraction in</w:t>
      </w:r>
      <w:r w:rsidR="003A1917">
        <w:t xml:space="preserve"> the </w:t>
      </w:r>
      <w:r w:rsidRPr="001A3D2B">
        <w:t>citing half-life confirms</w:t>
      </w:r>
      <w:r w:rsidR="003A1917">
        <w:t xml:space="preserve"> the </w:t>
      </w:r>
      <w:r w:rsidRPr="001A3D2B">
        <w:t>commonly-held view that anthropology is a relatively slow-moving discipline, but</w:t>
      </w:r>
      <w:r w:rsidR="003A1917">
        <w:t xml:space="preserve"> the </w:t>
      </w:r>
      <w:r w:rsidRPr="001A3D2B">
        <w:t>decrease in</w:t>
      </w:r>
      <w:r w:rsidR="003A1917">
        <w:t xml:space="preserve"> the </w:t>
      </w:r>
      <w:r w:rsidRPr="001A3D2B">
        <w:t>mean age</w:t>
      </w:r>
      <w:r w:rsidR="00427468">
        <w:t xml:space="preserve"> of </w:t>
      </w:r>
      <w:r w:rsidRPr="001A3D2B">
        <w:t>references contradicts statements made by citation analysts</w:t>
      </w:r>
      <w:r w:rsidR="005853A9">
        <w:t xml:space="preserve"> and </w:t>
      </w:r>
      <w:r w:rsidRPr="001A3D2B">
        <w:t>librarians that anthropology lacks</w:t>
      </w:r>
      <w:r w:rsidR="003A1917">
        <w:t xml:space="preserve"> the </w:t>
      </w:r>
      <w:r w:rsidRPr="001A3D2B">
        <w:t>capacity to build on its older literature without having to refer back to it explicitly</w:t>
      </w:r>
      <w:r w:rsidR="00A37C1D">
        <w:t>. The</w:t>
      </w:r>
      <w:r w:rsidR="003A1917">
        <w:t xml:space="preserve"> </w:t>
      </w:r>
      <w:r w:rsidRPr="001A3D2B">
        <w:t>third analysis investigates</w:t>
      </w:r>
      <w:r w:rsidR="003A1917">
        <w:t xml:space="preserve"> the </w:t>
      </w:r>
      <w:r w:rsidRPr="001A3D2B">
        <w:t>presentational history</w:t>
      </w:r>
      <w:r w:rsidR="00427468">
        <w:t xml:space="preserve"> of </w:t>
      </w:r>
      <w:r w:rsidRPr="001A3D2B">
        <w:t>articles, following a study by Sydney Pierce, but produces conflicting results which demonstrate that, in this case at least,</w:t>
      </w:r>
      <w:r w:rsidR="003A1917">
        <w:t xml:space="preserve"> the </w:t>
      </w:r>
      <w:r w:rsidRPr="001A3D2B">
        <w:t>variables examined are unsatisfactory indicators</w:t>
      </w:r>
      <w:r w:rsidR="00427468">
        <w:t xml:space="preserve"> of </w:t>
      </w:r>
      <w:r w:rsidRPr="001A3D2B">
        <w:t>disciplinary consensus</w:t>
      </w:r>
      <w:r w:rsidR="00A37C1D">
        <w:t>. The</w:t>
      </w:r>
      <w:r w:rsidR="003A1917">
        <w:t xml:space="preserve"> </w:t>
      </w:r>
      <w:r w:rsidRPr="001A3D2B">
        <w:t>concluding discussion looks at</w:t>
      </w:r>
      <w:r w:rsidR="003A1917">
        <w:t xml:space="preserve"> the </w:t>
      </w:r>
      <w:r w:rsidRPr="001A3D2B">
        <w:t>applicability</w:t>
      </w:r>
      <w:r w:rsidR="00427468">
        <w:t xml:space="preserve"> of </w:t>
      </w:r>
      <w:r w:rsidRPr="001A3D2B">
        <w:t>bibliometrics to anthropology librarianship, outlining both problems</w:t>
      </w:r>
      <w:r w:rsidR="005853A9">
        <w:t xml:space="preserve"> and </w:t>
      </w:r>
      <w:r w:rsidRPr="001A3D2B">
        <w:t>benefits,</w:t>
      </w:r>
      <w:r w:rsidR="005853A9">
        <w:t xml:space="preserve"> and </w:t>
      </w:r>
      <w:r w:rsidRPr="001A3D2B">
        <w:t>suggesting areas</w:t>
      </w:r>
      <w:r w:rsidR="00427468">
        <w:t xml:space="preserve"> of </w:t>
      </w:r>
      <w:r w:rsidRPr="001A3D2B">
        <w:t>future bibliometric research most likely to be</w:t>
      </w:r>
      <w:r w:rsidR="00427468">
        <w:t xml:space="preserve"> of </w:t>
      </w:r>
      <w:r w:rsidRPr="001A3D2B">
        <w:lastRenderedPageBreak/>
        <w:t>interest to anthropology librarians.</w:t>
      </w:r>
    </w:p>
    <w:p w:rsidR="003474F2" w:rsidRPr="001A3D2B" w:rsidRDefault="003474F2" w:rsidP="003474F2">
      <w:pPr>
        <w:pStyle w:val="a3"/>
      </w:pPr>
      <w:r w:rsidRPr="001A3D2B">
        <w:t>Keywords: Bibliometric, Bibliometrics, Citation, Journals, Literature, Research</w:t>
      </w:r>
    </w:p>
    <w:p w:rsidR="00FA7AD6" w:rsidRDefault="00FA7AD6" w:rsidP="00FA7AD6">
      <w:pPr>
        <w:pStyle w:val="a3"/>
        <w:rPr>
          <w:kern w:val="0"/>
          <w:szCs w:val="24"/>
        </w:rPr>
      </w:pPr>
      <w:r>
        <w:rPr>
          <w:rFonts w:hint="eastAsia"/>
          <w:kern w:val="0"/>
          <w:szCs w:val="24"/>
        </w:rPr>
        <w:t xml:space="preserve">? </w:t>
      </w:r>
      <w:r>
        <w:rPr>
          <w:kern w:val="0"/>
          <w:szCs w:val="24"/>
        </w:rPr>
        <w:t>Buchanan, A.L.</w:t>
      </w:r>
      <w:r w:rsidR="005853A9">
        <w:rPr>
          <w:kern w:val="0"/>
          <w:szCs w:val="24"/>
        </w:rPr>
        <w:t xml:space="preserve"> and </w:t>
      </w:r>
      <w:r>
        <w:rPr>
          <w:kern w:val="0"/>
          <w:szCs w:val="24"/>
        </w:rPr>
        <w:t>Herubel, J.P.V.M. (1997), Disciplinary culture, bibliometrics,</w:t>
      </w:r>
      <w:r w:rsidR="005853A9">
        <w:rPr>
          <w:kern w:val="0"/>
          <w:szCs w:val="24"/>
        </w:rPr>
        <w:t xml:space="preserve"> and </w:t>
      </w:r>
      <w:r>
        <w:rPr>
          <w:kern w:val="0"/>
          <w:szCs w:val="24"/>
        </w:rPr>
        <w:t xml:space="preserve">historical studies: Preliminary observations. </w:t>
      </w:r>
      <w:r>
        <w:rPr>
          <w:i/>
          <w:iCs/>
          <w:kern w:val="0"/>
          <w:szCs w:val="24"/>
        </w:rPr>
        <w:t>Behavioral &amp; Social Sciences Librarian</w:t>
      </w:r>
      <w:r>
        <w:rPr>
          <w:kern w:val="0"/>
          <w:szCs w:val="24"/>
        </w:rPr>
        <w:t xml:space="preserve">, </w:t>
      </w:r>
      <w:r>
        <w:rPr>
          <w:b/>
          <w:bCs/>
          <w:kern w:val="0"/>
          <w:szCs w:val="24"/>
        </w:rPr>
        <w:t>15</w:t>
      </w:r>
      <w:r>
        <w:rPr>
          <w:kern w:val="0"/>
          <w:szCs w:val="24"/>
        </w:rPr>
        <w:t xml:space="preserve"> (2), 37-53.</w:t>
      </w:r>
    </w:p>
    <w:p w:rsidR="00FA7AD6" w:rsidRDefault="00FA7AD6" w:rsidP="00FA7AD6">
      <w:pPr>
        <w:pStyle w:val="a3"/>
      </w:pPr>
      <w:r>
        <w:rPr>
          <w:rFonts w:hint="eastAsia"/>
        </w:rPr>
        <w:t xml:space="preserve">Full Text: </w:t>
      </w:r>
      <w:hyperlink r:id="rId1432" w:history="1">
        <w:r w:rsidRPr="00556163">
          <w:rPr>
            <w:rStyle w:val="a5"/>
          </w:rPr>
          <w:t>1997\Beh Soc Sci Lib15, 37.pdf</w:t>
        </w:r>
      </w:hyperlink>
    </w:p>
    <w:p w:rsidR="00FA7AD6" w:rsidRDefault="00FA7AD6" w:rsidP="00FA7AD6">
      <w:pPr>
        <w:pStyle w:val="a3"/>
        <w:rPr>
          <w:kern w:val="0"/>
          <w:szCs w:val="24"/>
        </w:rPr>
      </w:pPr>
      <w:r>
        <w:rPr>
          <w:kern w:val="0"/>
          <w:szCs w:val="24"/>
        </w:rPr>
        <w:t>Abstract: Observations are made concerning bibliometrics</w:t>
      </w:r>
      <w:r w:rsidR="005853A9">
        <w:rPr>
          <w:kern w:val="0"/>
          <w:szCs w:val="24"/>
        </w:rPr>
        <w:t xml:space="preserve"> and </w:t>
      </w:r>
      <w:r>
        <w:rPr>
          <w:kern w:val="0"/>
          <w:szCs w:val="24"/>
        </w:rPr>
        <w:t>its relationship to historical studies</w:t>
      </w:r>
      <w:r w:rsidR="00A37C1D">
        <w:rPr>
          <w:kern w:val="0"/>
          <w:szCs w:val="24"/>
        </w:rPr>
        <w:t>. The</w:t>
      </w:r>
      <w:r w:rsidR="003A1917">
        <w:rPr>
          <w:kern w:val="0"/>
          <w:szCs w:val="24"/>
        </w:rPr>
        <w:t xml:space="preserve"> </w:t>
      </w:r>
      <w:r>
        <w:rPr>
          <w:kern w:val="0"/>
          <w:szCs w:val="24"/>
        </w:rPr>
        <w:t>authors suggest historical</w:t>
      </w:r>
      <w:r w:rsidR="005853A9">
        <w:rPr>
          <w:kern w:val="0"/>
          <w:szCs w:val="24"/>
        </w:rPr>
        <w:t xml:space="preserve"> and </w:t>
      </w:r>
      <w:r>
        <w:rPr>
          <w:kern w:val="0"/>
          <w:szCs w:val="24"/>
        </w:rPr>
        <w:t>qualitative bibliometrics be explored to examine community formation</w:t>
      </w:r>
      <w:r w:rsidR="00427468">
        <w:rPr>
          <w:kern w:val="0"/>
          <w:szCs w:val="24"/>
        </w:rPr>
        <w:t xml:space="preserve"> of </w:t>
      </w:r>
      <w:r>
        <w:rPr>
          <w:kern w:val="0"/>
          <w:szCs w:val="24"/>
        </w:rPr>
        <w:t>scientific</w:t>
      </w:r>
      <w:r w:rsidR="005853A9">
        <w:rPr>
          <w:kern w:val="0"/>
          <w:szCs w:val="24"/>
        </w:rPr>
        <w:t xml:space="preserve"> and </w:t>
      </w:r>
      <w:r>
        <w:rPr>
          <w:kern w:val="0"/>
          <w:szCs w:val="24"/>
        </w:rPr>
        <w:t>scholarly communication through institutional affiliation</w:t>
      </w:r>
      <w:r w:rsidR="00A37C1D">
        <w:rPr>
          <w:kern w:val="0"/>
          <w:szCs w:val="24"/>
        </w:rPr>
        <w:t>. The</w:t>
      </w:r>
      <w:r w:rsidR="003A1917">
        <w:rPr>
          <w:kern w:val="0"/>
          <w:szCs w:val="24"/>
        </w:rPr>
        <w:t xml:space="preserve"> </w:t>
      </w:r>
      <w:r>
        <w:rPr>
          <w:kern w:val="0"/>
          <w:szCs w:val="24"/>
        </w:rPr>
        <w:t>history journal Annales: economie, societe, civilisations (Annales: e.s.c.) is investigated for years 1979-1993</w:t>
      </w:r>
      <w:r w:rsidR="00A37C1D">
        <w:rPr>
          <w:kern w:val="0"/>
          <w:szCs w:val="24"/>
        </w:rPr>
        <w:t>. The</w:t>
      </w:r>
      <w:r w:rsidR="003A1917">
        <w:rPr>
          <w:kern w:val="0"/>
          <w:szCs w:val="24"/>
        </w:rPr>
        <w:t xml:space="preserve"> </w:t>
      </w:r>
      <w:r>
        <w:rPr>
          <w:kern w:val="0"/>
          <w:szCs w:val="24"/>
        </w:rPr>
        <w:t>study reveals an institutional</w:t>
      </w:r>
      <w:r w:rsidR="005853A9">
        <w:rPr>
          <w:kern w:val="0"/>
          <w:szCs w:val="24"/>
        </w:rPr>
        <w:t xml:space="preserve"> and </w:t>
      </w:r>
      <w:r>
        <w:rPr>
          <w:kern w:val="0"/>
          <w:szCs w:val="24"/>
        </w:rPr>
        <w:t>geographical mapping</w:t>
      </w:r>
      <w:r w:rsidR="00427468">
        <w:rPr>
          <w:kern w:val="0"/>
          <w:szCs w:val="24"/>
        </w:rPr>
        <w:t xml:space="preserve"> of </w:t>
      </w:r>
      <w:r>
        <w:rPr>
          <w:kern w:val="0"/>
          <w:szCs w:val="24"/>
        </w:rPr>
        <w:t>this school</w:t>
      </w:r>
      <w:r w:rsidR="00700038">
        <w:rPr>
          <w:kern w:val="0"/>
          <w:szCs w:val="24"/>
        </w:rPr>
        <w:t>’</w:t>
      </w:r>
      <w:r w:rsidR="00C13DDC">
        <w:rPr>
          <w:kern w:val="0"/>
          <w:szCs w:val="24"/>
        </w:rPr>
        <w:t>s</w:t>
      </w:r>
      <w:r>
        <w:rPr>
          <w:kern w:val="0"/>
          <w:szCs w:val="24"/>
        </w:rPr>
        <w:t xml:space="preserve"> contributors. Although a recent sample, bibliometrics can be utilized to explore journals from</w:t>
      </w:r>
      <w:r w:rsidR="003A1917">
        <w:rPr>
          <w:kern w:val="0"/>
          <w:szCs w:val="24"/>
        </w:rPr>
        <w:t xml:space="preserve"> the </w:t>
      </w:r>
      <w:r>
        <w:rPr>
          <w:kern w:val="0"/>
          <w:szCs w:val="24"/>
        </w:rPr>
        <w:t>18th, 19th,</w:t>
      </w:r>
      <w:r w:rsidR="005853A9">
        <w:rPr>
          <w:kern w:val="0"/>
          <w:szCs w:val="24"/>
        </w:rPr>
        <w:t xml:space="preserve"> and </w:t>
      </w:r>
      <w:r>
        <w:rPr>
          <w:kern w:val="0"/>
          <w:szCs w:val="24"/>
        </w:rPr>
        <w:t>20th centuries for</w:t>
      </w:r>
      <w:r w:rsidR="003A1917">
        <w:rPr>
          <w:kern w:val="0"/>
          <w:szCs w:val="24"/>
        </w:rPr>
        <w:t xml:space="preserve"> the </w:t>
      </w:r>
      <w:r>
        <w:rPr>
          <w:kern w:val="0"/>
          <w:szCs w:val="24"/>
        </w:rPr>
        <w:t>history</w:t>
      </w:r>
      <w:r w:rsidR="00427468">
        <w:rPr>
          <w:kern w:val="0"/>
          <w:szCs w:val="24"/>
        </w:rPr>
        <w:t xml:space="preserve"> of </w:t>
      </w:r>
      <w:r>
        <w:rPr>
          <w:kern w:val="0"/>
          <w:szCs w:val="24"/>
        </w:rPr>
        <w:t>disciplines, including library</w:t>
      </w:r>
      <w:r w:rsidR="005853A9">
        <w:rPr>
          <w:kern w:val="0"/>
          <w:szCs w:val="24"/>
        </w:rPr>
        <w:t xml:space="preserve"> and </w:t>
      </w:r>
      <w:r>
        <w:rPr>
          <w:kern w:val="0"/>
          <w:szCs w:val="24"/>
        </w:rPr>
        <w:t>information science.</w:t>
      </w:r>
    </w:p>
    <w:p w:rsidR="00FA7AD6" w:rsidRDefault="00FA7AD6" w:rsidP="00FA7AD6">
      <w:pPr>
        <w:pStyle w:val="a3"/>
        <w:rPr>
          <w:kern w:val="0"/>
          <w:szCs w:val="24"/>
        </w:rPr>
      </w:pPr>
      <w:r>
        <w:rPr>
          <w:kern w:val="0"/>
          <w:szCs w:val="24"/>
        </w:rPr>
        <w:t>Keywords: Authors, Bibliometrics, Citation, History, Information Science, Journals, Science</w:t>
      </w:r>
    </w:p>
    <w:p w:rsidR="003474F2" w:rsidRPr="001A3D2B" w:rsidRDefault="003474F2" w:rsidP="003474F2">
      <w:pPr>
        <w:pStyle w:val="a3"/>
      </w:pPr>
      <w:r w:rsidRPr="001A3D2B">
        <w:t>Notes: TTopic</w:t>
      </w:r>
    </w:p>
    <w:p w:rsidR="003474F2" w:rsidRPr="001A3D2B" w:rsidRDefault="003474F2" w:rsidP="003474F2">
      <w:pPr>
        <w:pStyle w:val="a3"/>
      </w:pPr>
      <w:r w:rsidRPr="001A3D2B">
        <w:t xml:space="preserve">? Banks, R. (2006), Decision-making factors related to bibliographic database cancellation. </w:t>
      </w:r>
      <w:r w:rsidRPr="001A3D2B">
        <w:rPr>
          <w:i/>
          <w:iCs/>
        </w:rPr>
        <w:t>Behavioral &amp; Social Sciences Librarian</w:t>
      </w:r>
      <w:r w:rsidRPr="001A3D2B">
        <w:t xml:space="preserve">, </w:t>
      </w:r>
      <w:r w:rsidRPr="001A3D2B">
        <w:rPr>
          <w:b/>
          <w:bCs/>
        </w:rPr>
        <w:t>25</w:t>
      </w:r>
      <w:r w:rsidRPr="001A3D2B">
        <w:t xml:space="preserve"> (1), 93-110.</w:t>
      </w:r>
    </w:p>
    <w:p w:rsidR="003474F2" w:rsidRPr="001A3D2B" w:rsidRDefault="003474F2" w:rsidP="003474F2">
      <w:pPr>
        <w:pStyle w:val="a3"/>
      </w:pPr>
      <w:r w:rsidRPr="001A3D2B">
        <w:t xml:space="preserve">Full Text: </w:t>
      </w:r>
      <w:hyperlink r:id="rId1433" w:history="1">
        <w:r w:rsidRPr="001A3D2B">
          <w:rPr>
            <w:rStyle w:val="a5"/>
          </w:rPr>
          <w:t>2006\Beh Soc Sci Lib25, 93.pdf</w:t>
        </w:r>
      </w:hyperlink>
    </w:p>
    <w:p w:rsidR="003474F2" w:rsidRPr="001A3D2B" w:rsidRDefault="003474F2" w:rsidP="003474F2">
      <w:pPr>
        <w:pStyle w:val="a3"/>
      </w:pPr>
      <w:r w:rsidRPr="001A3D2B">
        <w:t>Abstract:</w:t>
      </w:r>
      <w:r w:rsidR="003A1917">
        <w:t xml:space="preserve"> the </w:t>
      </w:r>
      <w:r w:rsidRPr="001A3D2B">
        <w:t>database analysis strategies used to decide whether</w:t>
      </w:r>
      <w:r w:rsidR="003A1917">
        <w:t xml:space="preserve"> the </w:t>
      </w:r>
      <w:r w:rsidRPr="001A3D2B">
        <w:t>University</w:t>
      </w:r>
      <w:r w:rsidR="00427468">
        <w:t xml:space="preserve"> of </w:t>
      </w:r>
      <w:r w:rsidRPr="001A3D2B">
        <w:t>Illinois at Urbana-Champaign (UIUC) Library should maintain a subscription to</w:t>
      </w:r>
      <w:r w:rsidR="003A1917">
        <w:t xml:space="preserve"> the </w:t>
      </w:r>
      <w:r w:rsidRPr="001A3D2B">
        <w:t>electronic database Wilson Social Sciences Abstracts (Wilson SSA) are described. A variety</w:t>
      </w:r>
      <w:r w:rsidR="00427468">
        <w:t xml:space="preserve"> of </w:t>
      </w:r>
      <w:r w:rsidRPr="001A3D2B">
        <w:t>analyses were conducted: comparison</w:t>
      </w:r>
      <w:r w:rsidR="00427468">
        <w:t xml:space="preserve"> of </w:t>
      </w:r>
      <w:r w:rsidRPr="001A3D2B">
        <w:t>journal title coverage with four other multi-subject databases available at UIUC (Social Sciences Citation Index. EBSCO Academic Search Elite, Current Contents,</w:t>
      </w:r>
      <w:r w:rsidR="005853A9">
        <w:t xml:space="preserve"> and </w:t>
      </w:r>
      <w:r w:rsidRPr="001A3D2B">
        <w:t xml:space="preserve">Infotrac); </w:t>
      </w:r>
      <w:r w:rsidR="00D5664A">
        <w:t>USA</w:t>
      </w:r>
      <w:r w:rsidRPr="001A3D2B">
        <w:t>ge statistics; comparison</w:t>
      </w:r>
      <w:r w:rsidR="00427468">
        <w:t xml:space="preserve"> of </w:t>
      </w:r>
      <w:r w:rsidRPr="001A3D2B">
        <w:t>actual journal year coverage between SSA</w:t>
      </w:r>
      <w:r w:rsidR="005853A9">
        <w:t xml:space="preserve"> and </w:t>
      </w:r>
      <w:r w:rsidR="003A1917">
        <w:t xml:space="preserve">the </w:t>
      </w:r>
      <w:r w:rsidRPr="001A3D2B">
        <w:t>database that offered</w:t>
      </w:r>
      <w:r w:rsidR="003A1917">
        <w:t xml:space="preserve"> the </w:t>
      </w:r>
      <w:r w:rsidRPr="001A3D2B">
        <w:t>highest percentage</w:t>
      </w:r>
      <w:r w:rsidR="00427468">
        <w:t xml:space="preserve"> of </w:t>
      </w:r>
      <w:r w:rsidRPr="001A3D2B">
        <w:t>title coverage (Infotrac); search retrieval analysis for a small number</w:t>
      </w:r>
      <w:r w:rsidR="00427468">
        <w:t xml:space="preserve"> of </w:t>
      </w:r>
      <w:r w:rsidRPr="001A3D2B">
        <w:t>subjects;</w:t>
      </w:r>
      <w:r w:rsidR="005853A9">
        <w:t xml:space="preserve"> and </w:t>
      </w:r>
      <w:r w:rsidRPr="001A3D2B">
        <w:t>comparison</w:t>
      </w:r>
      <w:r w:rsidR="00427468">
        <w:t xml:space="preserve"> of </w:t>
      </w:r>
      <w:r w:rsidRPr="001A3D2B">
        <w:t>journal coverage between Wilson SSA</w:t>
      </w:r>
      <w:r w:rsidR="005853A9">
        <w:t xml:space="preserve"> and </w:t>
      </w:r>
      <w:r w:rsidRPr="001A3D2B">
        <w:t>a multi-social science database search across nine Cambridge Scientific Abstracts social sciences databases. Results showed a high degree</w:t>
      </w:r>
      <w:r w:rsidR="00427468">
        <w:t xml:space="preserve"> of </w:t>
      </w:r>
      <w:r w:rsidRPr="001A3D2B">
        <w:t>overlap in title, as well as year coverage between SSA</w:t>
      </w:r>
      <w:r w:rsidR="005853A9">
        <w:t xml:space="preserve"> and </w:t>
      </w:r>
      <w:r w:rsidR="003A1917">
        <w:t xml:space="preserve">the </w:t>
      </w:r>
      <w:r w:rsidRPr="001A3D2B">
        <w:t>targeted comparison databases,</w:t>
      </w:r>
      <w:r w:rsidR="005853A9">
        <w:t xml:space="preserve"> and </w:t>
      </w:r>
      <w:r w:rsidRPr="001A3D2B">
        <w:t xml:space="preserve">low </w:t>
      </w:r>
      <w:r w:rsidR="00D5664A">
        <w:t>USA</w:t>
      </w:r>
      <w:r w:rsidRPr="001A3D2B">
        <w:t>ge/high costs for</w:t>
      </w:r>
      <w:r w:rsidR="003A1917">
        <w:t xml:space="preserve"> the </w:t>
      </w:r>
      <w:r w:rsidRPr="001A3D2B">
        <w:t>SSA product at UIUC. Despite some strong support for maintaining</w:t>
      </w:r>
      <w:r w:rsidR="003A1917">
        <w:t xml:space="preserve"> the </w:t>
      </w:r>
      <w:r w:rsidRPr="001A3D2B">
        <w:t>subscription to SSA from a small number</w:t>
      </w:r>
      <w:r w:rsidR="00427468">
        <w:t xml:space="preserve"> of </w:t>
      </w:r>
      <w:r w:rsidRPr="001A3D2B">
        <w:t>UIUC faculty, students,</w:t>
      </w:r>
      <w:r w:rsidR="005853A9">
        <w:t xml:space="preserve"> and </w:t>
      </w:r>
      <w:r w:rsidRPr="001A3D2B">
        <w:t>librarians,</w:t>
      </w:r>
      <w:r w:rsidR="003A1917">
        <w:t xml:space="preserve"> the </w:t>
      </w:r>
      <w:r w:rsidRPr="001A3D2B">
        <w:t>decision was made to cancel Wilson Social Sciences Abstracts.</w:t>
      </w:r>
    </w:p>
    <w:p w:rsidR="003474F2" w:rsidRPr="001A3D2B" w:rsidRDefault="003474F2" w:rsidP="003474F2">
      <w:pPr>
        <w:pStyle w:val="a3"/>
      </w:pPr>
      <w:r w:rsidRPr="001A3D2B">
        <w:t xml:space="preserve">Keywords: Analyses, Analysis, Comparison, Costs, Coverage, Database, Databases, Decision, Faculty, Illinois, Journal, Science, Sciences, Small, Social, Social Sciences, </w:t>
      </w:r>
      <w:r w:rsidRPr="001A3D2B">
        <w:lastRenderedPageBreak/>
        <w:t>Statistics, Students, Support</w:t>
      </w:r>
    </w:p>
    <w:p w:rsidR="003474F2" w:rsidRPr="001A3D2B" w:rsidRDefault="003474F2" w:rsidP="003474F2">
      <w:pPr>
        <w:pStyle w:val="1"/>
      </w:pPr>
      <w:r w:rsidRPr="001A3D2B">
        <w:br w:type="page"/>
      </w:r>
      <w:bookmarkStart w:id="736" w:name="_Toc420814695"/>
      <w:r w:rsidRPr="001A3D2B">
        <w:lastRenderedPageBreak/>
        <w:t>Title: Behaviour &amp; Information Technology</w:t>
      </w:r>
      <w:bookmarkEnd w:id="736"/>
    </w:p>
    <w:p w:rsidR="003474F2" w:rsidRPr="001A3D2B" w:rsidRDefault="003474F2" w:rsidP="003474F2">
      <w:pPr>
        <w:pStyle w:val="12"/>
      </w:pPr>
      <w:r w:rsidRPr="001A3D2B">
        <w:t>Full Journal Title: Behaviour &amp; Information Technology</w:t>
      </w:r>
    </w:p>
    <w:p w:rsidR="003474F2" w:rsidRPr="001A3D2B" w:rsidRDefault="003474F2" w:rsidP="003474F2">
      <w:pPr>
        <w:pStyle w:val="12"/>
      </w:pPr>
      <w:r w:rsidRPr="001A3D2B">
        <w:t>ISO Abbreviated Title:</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Valero, P.</w:t>
      </w:r>
      <w:r w:rsidR="005853A9">
        <w:t xml:space="preserve"> and </w:t>
      </w:r>
      <w:r w:rsidRPr="001A3D2B">
        <w:t>Monk, A. (1998), Positioning HCI: Journals, descriptors</w:t>
      </w:r>
      <w:r w:rsidR="005853A9">
        <w:t xml:space="preserve"> and </w:t>
      </w:r>
      <w:r w:rsidRPr="001A3D2B">
        <w:t xml:space="preserve">parent disciplines. </w:t>
      </w:r>
      <w:r w:rsidRPr="001A3D2B">
        <w:rPr>
          <w:i/>
          <w:iCs/>
        </w:rPr>
        <w:t>Behaviour &amp; Information Technology</w:t>
      </w:r>
      <w:r w:rsidRPr="001A3D2B">
        <w:t xml:space="preserve">, </w:t>
      </w:r>
      <w:r w:rsidRPr="001A3D2B">
        <w:rPr>
          <w:b/>
        </w:rPr>
        <w:t>17</w:t>
      </w:r>
      <w:r w:rsidRPr="001A3D2B">
        <w:t xml:space="preserve"> (1), 3-9.</w:t>
      </w:r>
    </w:p>
    <w:p w:rsidR="003474F2" w:rsidRPr="001A3D2B" w:rsidRDefault="003474F2" w:rsidP="003474F2">
      <w:pPr>
        <w:pStyle w:val="a3"/>
      </w:pPr>
      <w:r w:rsidRPr="001A3D2B">
        <w:t xml:space="preserve">Full Text: </w:t>
      </w:r>
      <w:hyperlink r:id="rId1434" w:history="1">
        <w:r w:rsidRPr="001A3D2B">
          <w:rPr>
            <w:rStyle w:val="a5"/>
          </w:rPr>
          <w:t>1998\Beh Inf Tec17, 3.pdf</w:t>
        </w:r>
      </w:hyperlink>
    </w:p>
    <w:p w:rsidR="003474F2" w:rsidRPr="001A3D2B" w:rsidRDefault="003474F2" w:rsidP="003474F2">
      <w:pPr>
        <w:pStyle w:val="a3"/>
        <w:rPr>
          <w:vanish/>
        </w:rPr>
      </w:pPr>
      <w:r w:rsidRPr="001A3D2B">
        <w:t>Abstract:</w:t>
      </w:r>
      <w:r w:rsidR="003A1917">
        <w:t xml:space="preserve"> the </w:t>
      </w:r>
      <w:r w:rsidRPr="001A3D2B">
        <w:t>first part</w:t>
      </w:r>
      <w:r w:rsidR="00427468">
        <w:t xml:space="preserve"> of </w:t>
      </w:r>
      <w:r w:rsidRPr="001A3D2B">
        <w:t>this paper cautions against</w:t>
      </w:r>
      <w:r w:rsidR="003A1917">
        <w:t xml:space="preserve"> the </w:t>
      </w:r>
      <w:r w:rsidRPr="001A3D2B">
        <w:t>injudicious use</w:t>
      </w:r>
      <w:r w:rsidR="00427468">
        <w:t xml:space="preserve"> of </w:t>
      </w:r>
      <w:r w:rsidRPr="001A3D2B">
        <w:t>citation data to rank journals</w:t>
      </w:r>
      <w:r w:rsidR="00A37C1D">
        <w:t>. The</w:t>
      </w:r>
      <w:r w:rsidR="003A1917">
        <w:t xml:space="preserve"> </w:t>
      </w:r>
      <w:r w:rsidRPr="001A3D2B">
        <w:t>second</w:t>
      </w:r>
      <w:r w:rsidR="005853A9">
        <w:t xml:space="preserve"> and </w:t>
      </w:r>
      <w:r w:rsidRPr="001A3D2B">
        <w:t>main part presents a correspondence analysis</w:t>
      </w:r>
      <w:r w:rsidR="00427468">
        <w:t xml:space="preserve"> of </w:t>
      </w:r>
      <w:r w:rsidR="003A1917">
        <w:t xml:space="preserve">the </w:t>
      </w:r>
      <w:r w:rsidRPr="001A3D2B">
        <w:t>descriptors assigned by abstractors to papers in five HCI, two human factors</w:t>
      </w:r>
      <w:r w:rsidR="005853A9">
        <w:t xml:space="preserve"> and </w:t>
      </w:r>
      <w:r w:rsidRPr="001A3D2B">
        <w:t>three psychology journals. This analysis makes it possible to position</w:t>
      </w:r>
      <w:r w:rsidR="003A1917">
        <w:t xml:space="preserve"> the </w:t>
      </w:r>
      <w:r w:rsidRPr="001A3D2B">
        <w:t>journals in a space</w:t>
      </w:r>
      <w:r w:rsidR="00427468">
        <w:t xml:space="preserve"> of </w:t>
      </w:r>
      <w:r w:rsidRPr="001A3D2B">
        <w:t>descriptors</w:t>
      </w:r>
      <w:r w:rsidR="00A37C1D">
        <w:t>. The</w:t>
      </w:r>
      <w:r w:rsidR="003A1917">
        <w:t xml:space="preserve"> </w:t>
      </w:r>
      <w:r w:rsidRPr="001A3D2B">
        <w:t>HCI journals form a cluster distinct from</w:t>
      </w:r>
      <w:r w:rsidR="003A1917">
        <w:t xml:space="preserve"> the </w:t>
      </w:r>
      <w:r w:rsidRPr="001A3D2B">
        <w:t>psychology</w:t>
      </w:r>
      <w:r w:rsidR="005853A9">
        <w:t xml:space="preserve"> and </w:t>
      </w:r>
      <w:r w:rsidRPr="001A3D2B">
        <w:t>human factors journals, suggesting HCI has now separated from its parent disciplines. Further, it is possible to position individual journals, for example, Behaviour &amp; Information Technology is identified as an HCI journal with a leaning towards human factors.</w:t>
      </w:r>
    </w:p>
    <w:p w:rsidR="009C2115" w:rsidRPr="00FC7835" w:rsidRDefault="009C2115" w:rsidP="009C2115">
      <w:pPr>
        <w:pStyle w:val="1"/>
      </w:pPr>
      <w:r w:rsidRPr="00FC7835">
        <w:rPr>
          <w:b w:val="0"/>
        </w:rPr>
        <w:br w:type="page"/>
      </w:r>
      <w:bookmarkStart w:id="737" w:name="_Toc420814696"/>
      <w:r w:rsidRPr="00FC7835">
        <w:lastRenderedPageBreak/>
        <w:t xml:space="preserve">Title: </w:t>
      </w:r>
      <w:r w:rsidRPr="009C2115">
        <w:t>Behavioural</w:t>
      </w:r>
      <w:r w:rsidR="005853A9">
        <w:t xml:space="preserve"> and </w:t>
      </w:r>
      <w:r w:rsidRPr="009C2115">
        <w:t>Cognitive Psychotherapy</w:t>
      </w:r>
      <w:bookmarkEnd w:id="737"/>
    </w:p>
    <w:p w:rsidR="009C2115" w:rsidRPr="00FC7835" w:rsidRDefault="009C2115" w:rsidP="009C2115">
      <w:pPr>
        <w:pStyle w:val="12"/>
      </w:pPr>
      <w:r w:rsidRPr="00FC7835">
        <w:t xml:space="preserve">Full Journal Title: </w:t>
      </w:r>
      <w:r w:rsidRPr="009C2115">
        <w:rPr>
          <w:iCs/>
          <w:kern w:val="0"/>
        </w:rPr>
        <w:t>Behavioural</w:t>
      </w:r>
      <w:r w:rsidR="005853A9">
        <w:rPr>
          <w:iCs/>
          <w:kern w:val="0"/>
        </w:rPr>
        <w:t xml:space="preserve"> and </w:t>
      </w:r>
      <w:r w:rsidRPr="009C2115">
        <w:rPr>
          <w:iCs/>
          <w:kern w:val="0"/>
        </w:rPr>
        <w:t>Cognitive Psychotherapy</w:t>
      </w:r>
    </w:p>
    <w:p w:rsidR="009C2115" w:rsidRPr="00FC7835" w:rsidRDefault="009C2115" w:rsidP="009C2115">
      <w:pPr>
        <w:pStyle w:val="12"/>
      </w:pPr>
      <w:r w:rsidRPr="00FC7835">
        <w:t xml:space="preserve">ISO Abbreviated Title: </w:t>
      </w:r>
    </w:p>
    <w:p w:rsidR="009C2115" w:rsidRPr="00FC7835" w:rsidRDefault="009C2115" w:rsidP="009C2115">
      <w:pPr>
        <w:pStyle w:val="12"/>
      </w:pPr>
      <w:r w:rsidRPr="00FC7835">
        <w:t xml:space="preserve">JCR Abbreviated Title: </w:t>
      </w:r>
    </w:p>
    <w:p w:rsidR="009C2115" w:rsidRPr="00FC7835" w:rsidRDefault="009C2115" w:rsidP="009C2115">
      <w:pPr>
        <w:pStyle w:val="12"/>
      </w:pPr>
      <w:r w:rsidRPr="00FC7835">
        <w:t xml:space="preserve">ISSN: </w:t>
      </w:r>
    </w:p>
    <w:p w:rsidR="009C2115" w:rsidRPr="00FC7835" w:rsidRDefault="009C2115" w:rsidP="009C2115">
      <w:pPr>
        <w:pStyle w:val="12"/>
      </w:pPr>
      <w:r w:rsidRPr="00FC7835">
        <w:t xml:space="preserve">Issues/Year: </w:t>
      </w:r>
    </w:p>
    <w:p w:rsidR="009C2115" w:rsidRPr="00FC7835" w:rsidRDefault="009C2115" w:rsidP="009C2115">
      <w:pPr>
        <w:pStyle w:val="12"/>
      </w:pPr>
      <w:r w:rsidRPr="00FC7835">
        <w:t xml:space="preserve">Journal Country/Territory: </w:t>
      </w:r>
    </w:p>
    <w:p w:rsidR="009C2115" w:rsidRPr="00FC7835" w:rsidRDefault="009C2115" w:rsidP="009C2115">
      <w:pPr>
        <w:pStyle w:val="12"/>
      </w:pPr>
      <w:r w:rsidRPr="00FC7835">
        <w:t xml:space="preserve">Language: </w:t>
      </w:r>
    </w:p>
    <w:p w:rsidR="009C2115" w:rsidRPr="00FC7835" w:rsidRDefault="009C2115" w:rsidP="009C2115">
      <w:pPr>
        <w:pStyle w:val="12"/>
      </w:pPr>
      <w:r w:rsidRPr="00FC7835">
        <w:t xml:space="preserve">Publisher: </w:t>
      </w:r>
    </w:p>
    <w:p w:rsidR="009C2115" w:rsidRPr="00FC7835" w:rsidRDefault="009C2115" w:rsidP="009C2115">
      <w:pPr>
        <w:pStyle w:val="12"/>
      </w:pPr>
      <w:r w:rsidRPr="00FC7835">
        <w:t xml:space="preserve">Publisher Address: </w:t>
      </w:r>
    </w:p>
    <w:p w:rsidR="009C2115" w:rsidRPr="00FC7835" w:rsidRDefault="009C2115" w:rsidP="009C2115">
      <w:pPr>
        <w:pStyle w:val="12"/>
      </w:pPr>
      <w:r w:rsidRPr="00FC7835">
        <w:t xml:space="preserve">Subject Categories: </w:t>
      </w:r>
    </w:p>
    <w:p w:rsidR="009C2115" w:rsidRPr="00FC7835" w:rsidRDefault="009C2115" w:rsidP="009C2115">
      <w:pPr>
        <w:pStyle w:val="12"/>
      </w:pPr>
      <w:r w:rsidRPr="00FC7835">
        <w:t>: Impact Factor</w:t>
      </w:r>
    </w:p>
    <w:p w:rsidR="009C2115" w:rsidRDefault="009C2115" w:rsidP="009C2115">
      <w:pPr>
        <w:pStyle w:val="a3"/>
        <w:rPr>
          <w:kern w:val="0"/>
        </w:rPr>
      </w:pPr>
      <w:r>
        <w:rPr>
          <w:rFonts w:hint="eastAsia"/>
          <w:kern w:val="0"/>
        </w:rPr>
        <w:t xml:space="preserve">? </w:t>
      </w:r>
      <w:r>
        <w:rPr>
          <w:kern w:val="0"/>
        </w:rPr>
        <w:t>McGuinness, M. (2011), OCD in</w:t>
      </w:r>
      <w:r w:rsidR="003A1917">
        <w:rPr>
          <w:kern w:val="0"/>
        </w:rPr>
        <w:t xml:space="preserve"> the </w:t>
      </w:r>
      <w:r>
        <w:rPr>
          <w:kern w:val="0"/>
        </w:rPr>
        <w:t>perinatal period: Is postpartum OCD (ppOCD) a distinct subtype? A review</w:t>
      </w:r>
      <w:r w:rsidR="00427468">
        <w:rPr>
          <w:kern w:val="0"/>
        </w:rPr>
        <w:t xml:space="preserve"> of </w:t>
      </w:r>
      <w:r w:rsidR="003A1917">
        <w:rPr>
          <w:kern w:val="0"/>
        </w:rPr>
        <w:t xml:space="preserve">the </w:t>
      </w:r>
      <w:r>
        <w:rPr>
          <w:kern w:val="0"/>
        </w:rPr>
        <w:t xml:space="preserve">literature. </w:t>
      </w:r>
      <w:r w:rsidRPr="009C2115">
        <w:rPr>
          <w:i/>
          <w:iCs/>
          <w:kern w:val="0"/>
        </w:rPr>
        <w:t>Behavioural</w:t>
      </w:r>
      <w:r w:rsidR="005853A9">
        <w:rPr>
          <w:i/>
          <w:iCs/>
          <w:kern w:val="0"/>
        </w:rPr>
        <w:t xml:space="preserve"> and </w:t>
      </w:r>
      <w:r w:rsidRPr="009C2115">
        <w:rPr>
          <w:i/>
          <w:iCs/>
          <w:kern w:val="0"/>
        </w:rPr>
        <w:t>Cognitive Psychotherapy</w:t>
      </w:r>
      <w:r>
        <w:rPr>
          <w:kern w:val="0"/>
        </w:rPr>
        <w:t xml:space="preserve">, </w:t>
      </w:r>
      <w:r>
        <w:rPr>
          <w:b/>
          <w:bCs/>
          <w:kern w:val="0"/>
        </w:rPr>
        <w:t>39</w:t>
      </w:r>
      <w:r>
        <w:rPr>
          <w:kern w:val="0"/>
        </w:rPr>
        <w:t xml:space="preserve"> (3), 285-310.</w:t>
      </w:r>
    </w:p>
    <w:p w:rsidR="009C2115" w:rsidRDefault="009C2115" w:rsidP="009C2115">
      <w:pPr>
        <w:pStyle w:val="a3"/>
        <w:rPr>
          <w:kern w:val="0"/>
        </w:rPr>
      </w:pPr>
      <w:r>
        <w:rPr>
          <w:kern w:val="0"/>
        </w:rPr>
        <w:t>Abstract: Background: It has been suggested that</w:t>
      </w:r>
      <w:r w:rsidR="003A1917">
        <w:rPr>
          <w:kern w:val="0"/>
        </w:rPr>
        <w:t xml:space="preserve"> the </w:t>
      </w:r>
      <w:r>
        <w:rPr>
          <w:kern w:val="0"/>
        </w:rPr>
        <w:t>perinatal period is a period</w:t>
      </w:r>
      <w:r w:rsidR="00427468">
        <w:rPr>
          <w:kern w:val="0"/>
        </w:rPr>
        <w:t xml:space="preserve"> of </w:t>
      </w:r>
      <w:r>
        <w:rPr>
          <w:kern w:val="0"/>
        </w:rPr>
        <w:t>increased risk for</w:t>
      </w:r>
      <w:r w:rsidR="003A1917">
        <w:rPr>
          <w:kern w:val="0"/>
        </w:rPr>
        <w:t xml:space="preserve"> the </w:t>
      </w:r>
      <w:r>
        <w:rPr>
          <w:kern w:val="0"/>
        </w:rPr>
        <w:t>development and/or exacerbation</w:t>
      </w:r>
      <w:r w:rsidR="00427468">
        <w:rPr>
          <w:kern w:val="0"/>
        </w:rPr>
        <w:t xml:space="preserve"> of </w:t>
      </w:r>
      <w:r>
        <w:rPr>
          <w:kern w:val="0"/>
        </w:rPr>
        <w:t>OCD</w:t>
      </w:r>
      <w:r w:rsidR="005853A9">
        <w:rPr>
          <w:kern w:val="0"/>
        </w:rPr>
        <w:t xml:space="preserve"> and </w:t>
      </w:r>
      <w:r>
        <w:rPr>
          <w:kern w:val="0"/>
        </w:rPr>
        <w:t>that postpartum OCD (ppOCD) presents a distinct clinical picture. This raises</w:t>
      </w:r>
      <w:r w:rsidR="003A1917">
        <w:rPr>
          <w:kern w:val="0"/>
        </w:rPr>
        <w:t xml:space="preserve"> the </w:t>
      </w:r>
      <w:r>
        <w:rPr>
          <w:kern w:val="0"/>
        </w:rPr>
        <w:t>possibility that ppOCD might be a distinct subtype</w:t>
      </w:r>
      <w:r w:rsidR="00427468">
        <w:rPr>
          <w:kern w:val="0"/>
        </w:rPr>
        <w:t xml:space="preserve"> of </w:t>
      </w:r>
      <w:r>
        <w:rPr>
          <w:kern w:val="0"/>
        </w:rPr>
        <w:t>OCD. This review examines this contention. Method: A search using Ovid (</w:t>
      </w:r>
      <w:r w:rsidR="00D5664A">
        <w:rPr>
          <w:kern w:val="0"/>
        </w:rPr>
        <w:t>MEDLINE</w:t>
      </w:r>
      <w:r>
        <w:rPr>
          <w:kern w:val="0"/>
        </w:rPr>
        <w:t>, PsycINFO</w:t>
      </w:r>
      <w:r w:rsidR="005853A9">
        <w:rPr>
          <w:kern w:val="0"/>
        </w:rPr>
        <w:t xml:space="preserve"> and </w:t>
      </w:r>
      <w:r>
        <w:rPr>
          <w:kern w:val="0"/>
        </w:rPr>
        <w:t xml:space="preserve">EMBASE), EBSCO, Cochrane Library, </w:t>
      </w:r>
      <w:r w:rsidR="00D5664A">
        <w:rPr>
          <w:kern w:val="0"/>
        </w:rPr>
        <w:t>Web</w:t>
      </w:r>
      <w:r w:rsidR="00427468">
        <w:rPr>
          <w:kern w:val="0"/>
        </w:rPr>
        <w:t xml:space="preserve"> of </w:t>
      </w:r>
      <w:r w:rsidR="00D5664A">
        <w:rPr>
          <w:kern w:val="0"/>
        </w:rPr>
        <w:t>Science</w:t>
      </w:r>
      <w:r>
        <w:rPr>
          <w:kern w:val="0"/>
        </w:rPr>
        <w:t xml:space="preserve"> (ISI), </w:t>
      </w:r>
      <w:r w:rsidR="002C12F0">
        <w:rPr>
          <w:kern w:val="0"/>
        </w:rPr>
        <w:t>PUBMED</w:t>
      </w:r>
      <w:r>
        <w:rPr>
          <w:kern w:val="0"/>
        </w:rPr>
        <w:t xml:space="preserve"> databases</w:t>
      </w:r>
      <w:r w:rsidR="005853A9">
        <w:rPr>
          <w:kern w:val="0"/>
        </w:rPr>
        <w:t xml:space="preserve"> and </w:t>
      </w:r>
      <w:r>
        <w:rPr>
          <w:kern w:val="0"/>
        </w:rPr>
        <w:t>Google Scholar was carried out using</w:t>
      </w:r>
      <w:r w:rsidR="003A1917">
        <w:rPr>
          <w:kern w:val="0"/>
        </w:rPr>
        <w:t xml:space="preserve"> the </w:t>
      </w:r>
      <w:r>
        <w:rPr>
          <w:kern w:val="0"/>
        </w:rPr>
        <w:t xml:space="preserve">key words: </w:t>
      </w:r>
      <w:r w:rsidR="00B5188C">
        <w:rPr>
          <w:kern w:val="0"/>
        </w:rPr>
        <w:t>“</w:t>
      </w:r>
      <w:r>
        <w:rPr>
          <w:kern w:val="0"/>
        </w:rPr>
        <w:t>obsessive compulsive disorder</w:t>
      </w:r>
      <w:r w:rsidR="00B5188C">
        <w:rPr>
          <w:kern w:val="0"/>
        </w:rPr>
        <w:t>”</w:t>
      </w:r>
      <w:r>
        <w:rPr>
          <w:kern w:val="0"/>
        </w:rPr>
        <w:t xml:space="preserve"> (and derivatives), </w:t>
      </w:r>
      <w:r w:rsidR="00B5188C">
        <w:rPr>
          <w:kern w:val="0"/>
        </w:rPr>
        <w:t>“</w:t>
      </w:r>
      <w:r>
        <w:rPr>
          <w:kern w:val="0"/>
        </w:rPr>
        <w:t>perinatal</w:t>
      </w:r>
      <w:r w:rsidR="00B5188C">
        <w:rPr>
          <w:kern w:val="0"/>
        </w:rPr>
        <w:t>”</w:t>
      </w:r>
      <w:r>
        <w:rPr>
          <w:kern w:val="0"/>
        </w:rPr>
        <w:t xml:space="preserve">, </w:t>
      </w:r>
      <w:r w:rsidR="00B5188C">
        <w:rPr>
          <w:kern w:val="0"/>
        </w:rPr>
        <w:t>“</w:t>
      </w:r>
      <w:r>
        <w:rPr>
          <w:kern w:val="0"/>
        </w:rPr>
        <w:t>pregnancy</w:t>
      </w:r>
      <w:r w:rsidR="00B5188C">
        <w:rPr>
          <w:kern w:val="0"/>
        </w:rPr>
        <w:t>”</w:t>
      </w:r>
      <w:r>
        <w:rPr>
          <w:kern w:val="0"/>
        </w:rPr>
        <w:t xml:space="preserve">, </w:t>
      </w:r>
      <w:r w:rsidR="00B5188C">
        <w:rPr>
          <w:kern w:val="0"/>
        </w:rPr>
        <w:t>“</w:t>
      </w:r>
      <w:r>
        <w:rPr>
          <w:kern w:val="0"/>
        </w:rPr>
        <w:t>postnatal</w:t>
      </w:r>
      <w:r w:rsidR="00B5188C">
        <w:rPr>
          <w:kern w:val="0"/>
        </w:rPr>
        <w:t>”</w:t>
      </w:r>
      <w:r>
        <w:rPr>
          <w:kern w:val="0"/>
        </w:rPr>
        <w:t xml:space="preserve">, </w:t>
      </w:r>
      <w:r w:rsidR="00B5188C">
        <w:rPr>
          <w:kern w:val="0"/>
        </w:rPr>
        <w:t>“</w:t>
      </w:r>
      <w:r>
        <w:rPr>
          <w:kern w:val="0"/>
        </w:rPr>
        <w:t>postpartum</w:t>
      </w:r>
      <w:r w:rsidR="00B5188C">
        <w:rPr>
          <w:kern w:val="0"/>
        </w:rPr>
        <w:t>”</w:t>
      </w:r>
      <w:r>
        <w:rPr>
          <w:kern w:val="0"/>
        </w:rPr>
        <w:t xml:space="preserve">, </w:t>
      </w:r>
      <w:r w:rsidR="00B5188C">
        <w:rPr>
          <w:kern w:val="0"/>
        </w:rPr>
        <w:t>“</w:t>
      </w:r>
      <w:r>
        <w:rPr>
          <w:kern w:val="0"/>
        </w:rPr>
        <w:t>mothers</w:t>
      </w:r>
      <w:r w:rsidR="00B5188C">
        <w:rPr>
          <w:kern w:val="0"/>
        </w:rPr>
        <w:t>”</w:t>
      </w:r>
      <w:r>
        <w:rPr>
          <w:kern w:val="0"/>
        </w:rPr>
        <w:t xml:space="preserve"> (and derivatives), </w:t>
      </w:r>
      <w:r w:rsidR="00B5188C">
        <w:rPr>
          <w:kern w:val="0"/>
        </w:rPr>
        <w:t>“</w:t>
      </w:r>
      <w:r>
        <w:rPr>
          <w:kern w:val="0"/>
        </w:rPr>
        <w:t>anxiety disorders</w:t>
      </w:r>
      <w:r w:rsidR="00B5188C">
        <w:rPr>
          <w:kern w:val="0"/>
        </w:rPr>
        <w:t>”</w:t>
      </w:r>
      <w:r w:rsidR="005853A9">
        <w:rPr>
          <w:kern w:val="0"/>
        </w:rPr>
        <w:t xml:space="preserve"> and </w:t>
      </w:r>
      <w:r w:rsidR="00B5188C">
        <w:rPr>
          <w:kern w:val="0"/>
        </w:rPr>
        <w:t>“</w:t>
      </w:r>
      <w:r>
        <w:rPr>
          <w:kern w:val="0"/>
        </w:rPr>
        <w:t>subtypes.</w:t>
      </w:r>
      <w:r w:rsidR="00B5188C">
        <w:rPr>
          <w:kern w:val="0"/>
        </w:rPr>
        <w:t>”</w:t>
      </w:r>
      <w:r>
        <w:rPr>
          <w:kern w:val="0"/>
        </w:rPr>
        <w:t xml:space="preserve"> These articles</w:t>
      </w:r>
      <w:r w:rsidR="005853A9">
        <w:rPr>
          <w:kern w:val="0"/>
        </w:rPr>
        <w:t xml:space="preserve"> and </w:t>
      </w:r>
      <w:r>
        <w:rPr>
          <w:kern w:val="0"/>
        </w:rPr>
        <w:t>their references were reviewed. Results:</w:t>
      </w:r>
      <w:r w:rsidR="003A1917">
        <w:rPr>
          <w:kern w:val="0"/>
        </w:rPr>
        <w:t xml:space="preserve"> the </w:t>
      </w:r>
      <w:r>
        <w:rPr>
          <w:kern w:val="0"/>
        </w:rPr>
        <w:t>majority</w:t>
      </w:r>
      <w:r w:rsidR="00427468">
        <w:rPr>
          <w:kern w:val="0"/>
        </w:rPr>
        <w:t xml:space="preserve"> of </w:t>
      </w:r>
      <w:r>
        <w:rPr>
          <w:kern w:val="0"/>
        </w:rPr>
        <w:t>studies reviewed were retrospective, which makes it impossible to infer ca</w:t>
      </w:r>
      <w:r w:rsidR="00D5664A">
        <w:rPr>
          <w:kern w:val="0"/>
        </w:rPr>
        <w:t>USA</w:t>
      </w:r>
      <w:r>
        <w:rPr>
          <w:kern w:val="0"/>
        </w:rPr>
        <w:t>lity. Two prospective studies found a higher incidence</w:t>
      </w:r>
      <w:r w:rsidR="00427468">
        <w:rPr>
          <w:kern w:val="0"/>
        </w:rPr>
        <w:t xml:space="preserve"> of </w:t>
      </w:r>
      <w:r>
        <w:rPr>
          <w:kern w:val="0"/>
        </w:rPr>
        <w:t>OCD in</w:t>
      </w:r>
      <w:r w:rsidR="003A1917">
        <w:rPr>
          <w:kern w:val="0"/>
        </w:rPr>
        <w:t xml:space="preserve"> the </w:t>
      </w:r>
      <w:r>
        <w:rPr>
          <w:kern w:val="0"/>
        </w:rPr>
        <w:t>postpartum period</w:t>
      </w:r>
      <w:r w:rsidR="00A37C1D">
        <w:rPr>
          <w:kern w:val="0"/>
        </w:rPr>
        <w:t>. The</w:t>
      </w:r>
      <w:r>
        <w:rPr>
          <w:kern w:val="0"/>
        </w:rPr>
        <w:t>se were carried out in Turkey</w:t>
      </w:r>
      <w:r w:rsidR="005853A9">
        <w:rPr>
          <w:kern w:val="0"/>
        </w:rPr>
        <w:t xml:space="preserve"> and </w:t>
      </w:r>
      <w:r>
        <w:rPr>
          <w:kern w:val="0"/>
        </w:rPr>
        <w:t>Brazil and, as such, may be limited in their applicability to other cultural groups. Conclusion:</w:t>
      </w:r>
      <w:r w:rsidR="003A1917">
        <w:rPr>
          <w:kern w:val="0"/>
        </w:rPr>
        <w:t xml:space="preserve"> the </w:t>
      </w:r>
      <w:r>
        <w:rPr>
          <w:kern w:val="0"/>
        </w:rPr>
        <w:t>concept</w:t>
      </w:r>
      <w:r w:rsidR="00427468">
        <w:rPr>
          <w:kern w:val="0"/>
        </w:rPr>
        <w:t xml:space="preserve"> of </w:t>
      </w:r>
      <w:r>
        <w:rPr>
          <w:kern w:val="0"/>
        </w:rPr>
        <w:t>ppOCD as a specific subtype has not been robustly demonstrated</w:t>
      </w:r>
      <w:r w:rsidR="00A37C1D">
        <w:rPr>
          <w:kern w:val="0"/>
        </w:rPr>
        <w:t>. The</w:t>
      </w:r>
      <w:r w:rsidR="003A1917">
        <w:rPr>
          <w:kern w:val="0"/>
        </w:rPr>
        <w:t xml:space="preserve"> </w:t>
      </w:r>
      <w:r>
        <w:rPr>
          <w:kern w:val="0"/>
        </w:rPr>
        <w:t>evidence that OCD is more prevalent in</w:t>
      </w:r>
      <w:r w:rsidR="003A1917">
        <w:rPr>
          <w:kern w:val="0"/>
        </w:rPr>
        <w:t xml:space="preserve"> the </w:t>
      </w:r>
      <w:r>
        <w:rPr>
          <w:kern w:val="0"/>
        </w:rPr>
        <w:t>postpartum period is mixed</w:t>
      </w:r>
      <w:r w:rsidR="00A37C1D">
        <w:rPr>
          <w:kern w:val="0"/>
        </w:rPr>
        <w:t>. The</w:t>
      </w:r>
      <w:r w:rsidR="003A1917">
        <w:rPr>
          <w:kern w:val="0"/>
        </w:rPr>
        <w:t xml:space="preserve"> </w:t>
      </w:r>
      <w:r>
        <w:rPr>
          <w:kern w:val="0"/>
        </w:rPr>
        <w:t>evidence that OCD in</w:t>
      </w:r>
      <w:r w:rsidR="003A1917">
        <w:rPr>
          <w:kern w:val="0"/>
        </w:rPr>
        <w:t xml:space="preserve"> the </w:t>
      </w:r>
      <w:r>
        <w:rPr>
          <w:kern w:val="0"/>
        </w:rPr>
        <w:t>postpartum period presents a distinctive clinical picture with specific symptomatology</w:t>
      </w:r>
      <w:r w:rsidR="005853A9">
        <w:rPr>
          <w:kern w:val="0"/>
        </w:rPr>
        <w:t xml:space="preserve"> and </w:t>
      </w:r>
      <w:r>
        <w:rPr>
          <w:kern w:val="0"/>
        </w:rPr>
        <w:t>course is more compelling. In view</w:t>
      </w:r>
      <w:r w:rsidR="00427468">
        <w:rPr>
          <w:kern w:val="0"/>
        </w:rPr>
        <w:t xml:space="preserve"> of </w:t>
      </w:r>
      <w:r w:rsidR="003A1917">
        <w:rPr>
          <w:kern w:val="0"/>
        </w:rPr>
        <w:t xml:space="preserve">the </w:t>
      </w:r>
      <w:r>
        <w:rPr>
          <w:kern w:val="0"/>
        </w:rPr>
        <w:t>impact</w:t>
      </w:r>
      <w:r w:rsidR="00427468">
        <w:rPr>
          <w:kern w:val="0"/>
        </w:rPr>
        <w:t xml:space="preserve"> of </w:t>
      </w:r>
      <w:r>
        <w:rPr>
          <w:kern w:val="0"/>
        </w:rPr>
        <w:t>culture</w:t>
      </w:r>
      <w:r w:rsidR="005853A9">
        <w:rPr>
          <w:kern w:val="0"/>
        </w:rPr>
        <w:t xml:space="preserve"> and </w:t>
      </w:r>
      <w:r>
        <w:rPr>
          <w:kern w:val="0"/>
        </w:rPr>
        <w:t>religion on</w:t>
      </w:r>
      <w:r w:rsidR="003A1917">
        <w:rPr>
          <w:kern w:val="0"/>
        </w:rPr>
        <w:t xml:space="preserve"> the </w:t>
      </w:r>
      <w:r>
        <w:rPr>
          <w:kern w:val="0"/>
        </w:rPr>
        <w:t>expression</w:t>
      </w:r>
      <w:r w:rsidR="00427468">
        <w:rPr>
          <w:kern w:val="0"/>
        </w:rPr>
        <w:t xml:space="preserve"> of </w:t>
      </w:r>
      <w:r>
        <w:rPr>
          <w:kern w:val="0"/>
        </w:rPr>
        <w:t>OCD, collaborative, international, prospective studies that take into account</w:t>
      </w:r>
      <w:r w:rsidR="003A1917">
        <w:rPr>
          <w:kern w:val="0"/>
        </w:rPr>
        <w:t xml:space="preserve"> the </w:t>
      </w:r>
      <w:r>
        <w:rPr>
          <w:kern w:val="0"/>
        </w:rPr>
        <w:t>methodological</w:t>
      </w:r>
      <w:r w:rsidR="005853A9">
        <w:rPr>
          <w:kern w:val="0"/>
        </w:rPr>
        <w:t xml:space="preserve"> and </w:t>
      </w:r>
      <w:r>
        <w:rPr>
          <w:kern w:val="0"/>
        </w:rPr>
        <w:t>definitional issues raised in this review are necessary to provide clarification.</w:t>
      </w:r>
    </w:p>
    <w:p w:rsidR="009C2115" w:rsidRDefault="009C2115" w:rsidP="009C2115">
      <w:pPr>
        <w:pStyle w:val="a3"/>
        <w:rPr>
          <w:kern w:val="0"/>
        </w:rPr>
      </w:pPr>
      <w:r>
        <w:rPr>
          <w:kern w:val="0"/>
        </w:rPr>
        <w:t>Keywords: Anxiety Disorders, Brazil, Case Series, Ca</w:t>
      </w:r>
      <w:r w:rsidR="00D5664A">
        <w:rPr>
          <w:kern w:val="0"/>
        </w:rPr>
        <w:t>USA</w:t>
      </w:r>
      <w:r>
        <w:rPr>
          <w:kern w:val="0"/>
        </w:rPr>
        <w:t>lity, Cochrane, Culture, Databases, Development, DSM-III, Epidemiology, Follow-up, Google Scholar, Impact</w:t>
      </w:r>
      <w:r w:rsidR="00D5664A">
        <w:rPr>
          <w:kern w:val="0"/>
        </w:rPr>
        <w:t>, ISI,</w:t>
      </w:r>
      <w:r>
        <w:rPr>
          <w:kern w:val="0"/>
        </w:rPr>
        <w:t xml:space="preserve"> Mothers, Obsessive Compulsive Disorder, Obsessive-Compulsive </w:t>
      </w:r>
      <w:r>
        <w:rPr>
          <w:kern w:val="0"/>
        </w:rPr>
        <w:lastRenderedPageBreak/>
        <w:t xml:space="preserve">Disorder, OCD, Onset, Perinatal, Postnatal, Postpartum, Pregnancy, Prevalence, Prospective Studies, Religion, Review, Risk, Science, Symptoms, Turkey, </w:t>
      </w:r>
      <w:r w:rsidR="00D5664A">
        <w:rPr>
          <w:kern w:val="0"/>
        </w:rPr>
        <w:t>Web</w:t>
      </w:r>
      <w:r w:rsidR="00427468">
        <w:rPr>
          <w:kern w:val="0"/>
        </w:rPr>
        <w:t xml:space="preserve"> of </w:t>
      </w:r>
      <w:r w:rsidR="00D5664A">
        <w:rPr>
          <w:kern w:val="0"/>
        </w:rPr>
        <w:t>Science</w:t>
      </w:r>
    </w:p>
    <w:p w:rsidR="00990401" w:rsidRPr="00FC7835" w:rsidRDefault="00990401" w:rsidP="00990401">
      <w:pPr>
        <w:pStyle w:val="1"/>
      </w:pPr>
      <w:r w:rsidRPr="00FC7835">
        <w:rPr>
          <w:b w:val="0"/>
        </w:rPr>
        <w:br w:type="page"/>
      </w:r>
      <w:bookmarkStart w:id="738" w:name="_Toc420814697"/>
      <w:r w:rsidRPr="00FC7835">
        <w:lastRenderedPageBreak/>
        <w:t xml:space="preserve">Title: </w:t>
      </w:r>
      <w:r w:rsidRPr="00990401">
        <w:t>Berkut</w:t>
      </w:r>
      <w:bookmarkEnd w:id="738"/>
    </w:p>
    <w:p w:rsidR="00990401" w:rsidRPr="00FC7835" w:rsidRDefault="00990401" w:rsidP="00990401">
      <w:pPr>
        <w:pStyle w:val="12"/>
      </w:pPr>
      <w:r w:rsidRPr="00FC7835">
        <w:t xml:space="preserve">Full Journal Title: </w:t>
      </w:r>
      <w:r w:rsidRPr="00990401">
        <w:rPr>
          <w:iCs/>
          <w:kern w:val="0"/>
        </w:rPr>
        <w:t>Berkut</w:t>
      </w:r>
    </w:p>
    <w:p w:rsidR="00990401" w:rsidRPr="00FC7835" w:rsidRDefault="00990401" w:rsidP="00990401">
      <w:pPr>
        <w:pStyle w:val="12"/>
      </w:pPr>
      <w:r w:rsidRPr="00FC7835">
        <w:t xml:space="preserve">ISO Abbreviated Title: </w:t>
      </w:r>
      <w:r w:rsidRPr="00990401">
        <w:rPr>
          <w:iCs/>
          <w:kern w:val="0"/>
        </w:rPr>
        <w:t>Berkut</w:t>
      </w:r>
    </w:p>
    <w:p w:rsidR="00990401" w:rsidRPr="00FC7835" w:rsidRDefault="00990401" w:rsidP="00990401">
      <w:pPr>
        <w:pStyle w:val="12"/>
      </w:pPr>
      <w:r w:rsidRPr="00FC7835">
        <w:t xml:space="preserve">JCR Abbreviated Title: </w:t>
      </w:r>
      <w:r w:rsidRPr="00990401">
        <w:rPr>
          <w:iCs/>
          <w:kern w:val="0"/>
        </w:rPr>
        <w:t>Berkut</w:t>
      </w:r>
    </w:p>
    <w:p w:rsidR="00990401" w:rsidRPr="00FC7835" w:rsidRDefault="00990401" w:rsidP="00990401">
      <w:pPr>
        <w:pStyle w:val="12"/>
      </w:pPr>
      <w:r w:rsidRPr="00FC7835">
        <w:t xml:space="preserve">ISSN: </w:t>
      </w:r>
    </w:p>
    <w:p w:rsidR="00990401" w:rsidRPr="00FC7835" w:rsidRDefault="00990401" w:rsidP="00990401">
      <w:pPr>
        <w:pStyle w:val="12"/>
      </w:pPr>
      <w:r w:rsidRPr="00FC7835">
        <w:t xml:space="preserve">Issues/Year: </w:t>
      </w:r>
    </w:p>
    <w:p w:rsidR="00990401" w:rsidRPr="00FC7835" w:rsidRDefault="00990401" w:rsidP="00990401">
      <w:pPr>
        <w:pStyle w:val="12"/>
      </w:pPr>
      <w:r w:rsidRPr="00FC7835">
        <w:t xml:space="preserve">Journal Country/Territory: </w:t>
      </w:r>
    </w:p>
    <w:p w:rsidR="00990401" w:rsidRPr="00FC7835" w:rsidRDefault="00990401" w:rsidP="00990401">
      <w:pPr>
        <w:pStyle w:val="12"/>
      </w:pPr>
      <w:r w:rsidRPr="00FC7835">
        <w:t xml:space="preserve">Language: </w:t>
      </w:r>
    </w:p>
    <w:p w:rsidR="00990401" w:rsidRPr="00FC7835" w:rsidRDefault="00990401" w:rsidP="00990401">
      <w:pPr>
        <w:pStyle w:val="12"/>
      </w:pPr>
      <w:r w:rsidRPr="00FC7835">
        <w:t xml:space="preserve">Publisher: </w:t>
      </w:r>
    </w:p>
    <w:p w:rsidR="00990401" w:rsidRPr="00FC7835" w:rsidRDefault="00990401" w:rsidP="00990401">
      <w:pPr>
        <w:pStyle w:val="12"/>
      </w:pPr>
      <w:r w:rsidRPr="00FC7835">
        <w:t xml:space="preserve">Publisher Address: </w:t>
      </w:r>
    </w:p>
    <w:p w:rsidR="00990401" w:rsidRPr="00FC7835" w:rsidRDefault="00990401" w:rsidP="00990401">
      <w:pPr>
        <w:pStyle w:val="12"/>
      </w:pPr>
      <w:r w:rsidRPr="00FC7835">
        <w:t xml:space="preserve">Subject Categories: </w:t>
      </w:r>
    </w:p>
    <w:p w:rsidR="00990401" w:rsidRPr="00FC7835" w:rsidRDefault="00990401" w:rsidP="00990401">
      <w:pPr>
        <w:pStyle w:val="12"/>
      </w:pPr>
      <w:r w:rsidRPr="00FC7835">
        <w:t>: Impact Factor</w:t>
      </w:r>
    </w:p>
    <w:p w:rsidR="00990401" w:rsidRDefault="00990401" w:rsidP="00990401">
      <w:pPr>
        <w:pStyle w:val="a3"/>
        <w:rPr>
          <w:kern w:val="0"/>
        </w:rPr>
      </w:pPr>
      <w:r>
        <w:rPr>
          <w:rFonts w:hint="eastAsia"/>
          <w:kern w:val="0"/>
        </w:rPr>
        <w:t xml:space="preserve">? </w:t>
      </w:r>
      <w:r>
        <w:rPr>
          <w:kern w:val="0"/>
        </w:rPr>
        <w:t xml:space="preserve">Grishchenko, V. (2003), Who is who in Ukrainian ornithology. </w:t>
      </w:r>
      <w:r>
        <w:rPr>
          <w:i/>
          <w:iCs/>
          <w:kern w:val="0"/>
        </w:rPr>
        <w:t>Berkut</w:t>
      </w:r>
      <w:r>
        <w:rPr>
          <w:kern w:val="0"/>
        </w:rPr>
        <w:t xml:space="preserve">, </w:t>
      </w:r>
      <w:r>
        <w:rPr>
          <w:b/>
          <w:bCs/>
          <w:kern w:val="0"/>
        </w:rPr>
        <w:t>12</w:t>
      </w:r>
      <w:r>
        <w:rPr>
          <w:kern w:val="0"/>
        </w:rPr>
        <w:t xml:space="preserve"> (1-2</w:t>
      </w:r>
      <w:r>
        <w:rPr>
          <w:rFonts w:hint="eastAsia"/>
          <w:kern w:val="0"/>
        </w:rPr>
        <w:t>), 166-176</w:t>
      </w:r>
      <w:r>
        <w:rPr>
          <w:kern w:val="0"/>
        </w:rPr>
        <w:t>.</w:t>
      </w:r>
    </w:p>
    <w:p w:rsidR="00990401" w:rsidRDefault="00990401" w:rsidP="00990401">
      <w:pPr>
        <w:pStyle w:val="a3"/>
        <w:rPr>
          <w:kern w:val="0"/>
        </w:rPr>
      </w:pPr>
      <w:r>
        <w:rPr>
          <w:kern w:val="0"/>
        </w:rPr>
        <w:t>Abstract: Using</w:t>
      </w:r>
      <w:r w:rsidR="00427468">
        <w:rPr>
          <w:kern w:val="0"/>
        </w:rPr>
        <w:t xml:space="preserve"> of </w:t>
      </w:r>
      <w:r>
        <w:rPr>
          <w:kern w:val="0"/>
        </w:rPr>
        <w:t>Science Citation Index</w:t>
      </w:r>
      <w:r w:rsidR="005853A9">
        <w:rPr>
          <w:kern w:val="0"/>
        </w:rPr>
        <w:t xml:space="preserve"> and </w:t>
      </w:r>
      <w:r>
        <w:rPr>
          <w:kern w:val="0"/>
        </w:rPr>
        <w:t>impact factor is discussed. Authors from different countries</w:t>
      </w:r>
      <w:r w:rsidR="005853A9">
        <w:rPr>
          <w:kern w:val="0"/>
        </w:rPr>
        <w:t xml:space="preserve"> and </w:t>
      </w:r>
      <w:r>
        <w:rPr>
          <w:kern w:val="0"/>
        </w:rPr>
        <w:t>branches</w:t>
      </w:r>
      <w:r w:rsidR="00427468">
        <w:rPr>
          <w:kern w:val="0"/>
        </w:rPr>
        <w:t xml:space="preserve"> of </w:t>
      </w:r>
      <w:r>
        <w:rPr>
          <w:kern w:val="0"/>
        </w:rPr>
        <w:t>science are in unequal conditions. For example, researches in physic, chemistry, genetics, molecular biology etc. have general interest, but many zoological or botanical studies matter only in separate regions</w:t>
      </w:r>
      <w:r w:rsidR="00A37C1D">
        <w:rPr>
          <w:kern w:val="0"/>
        </w:rPr>
        <w:t>. The</w:t>
      </w:r>
      <w:r>
        <w:rPr>
          <w:kern w:val="0"/>
        </w:rPr>
        <w:t>y are much less chances to be cited in foreign journals. Citation index would be more useful, if it was calculated at 2-3 levels: national, regional (CIS, Europe)</w:t>
      </w:r>
      <w:r w:rsidR="005853A9">
        <w:rPr>
          <w:kern w:val="0"/>
        </w:rPr>
        <w:t xml:space="preserve"> and </w:t>
      </w:r>
      <w:r>
        <w:rPr>
          <w:kern w:val="0"/>
        </w:rPr>
        <w:t>worldwide. An attempt to analyse citations in one country is presented: publications on ornithology in Ukraine during last 10 years (1993-2002). Most important Ukrainian periodicals</w:t>
      </w:r>
      <w:r w:rsidR="005853A9">
        <w:rPr>
          <w:kern w:val="0"/>
        </w:rPr>
        <w:t xml:space="preserve"> and </w:t>
      </w:r>
      <w:r>
        <w:rPr>
          <w:kern w:val="0"/>
        </w:rPr>
        <w:t>materials (not abstracts)</w:t>
      </w:r>
      <w:r w:rsidR="00427468">
        <w:rPr>
          <w:kern w:val="0"/>
        </w:rPr>
        <w:t xml:space="preserve"> of </w:t>
      </w:r>
      <w:r>
        <w:rPr>
          <w:kern w:val="0"/>
        </w:rPr>
        <w:t>ornithological conferences were used for</w:t>
      </w:r>
      <w:r w:rsidR="003A1917">
        <w:rPr>
          <w:kern w:val="0"/>
        </w:rPr>
        <w:t xml:space="preserve"> the </w:t>
      </w:r>
      <w:r>
        <w:rPr>
          <w:kern w:val="0"/>
        </w:rPr>
        <w:t>analysis (Table 1). Total 1360 publications were viewed. Only citations</w:t>
      </w:r>
      <w:r w:rsidR="00427468">
        <w:rPr>
          <w:kern w:val="0"/>
        </w:rPr>
        <w:t xml:space="preserve"> of </w:t>
      </w:r>
      <w:r>
        <w:rPr>
          <w:kern w:val="0"/>
        </w:rPr>
        <w:t>periodicals (Tables 2-5)</w:t>
      </w:r>
      <w:r w:rsidR="005853A9">
        <w:rPr>
          <w:kern w:val="0"/>
        </w:rPr>
        <w:t xml:space="preserve"> and </w:t>
      </w:r>
      <w:r>
        <w:rPr>
          <w:kern w:val="0"/>
        </w:rPr>
        <w:t>Ukrainian ornithologists (Tables 7-8) were counted. Specific citation was used as an analogue</w:t>
      </w:r>
      <w:r w:rsidR="00427468">
        <w:rPr>
          <w:kern w:val="0"/>
        </w:rPr>
        <w:t xml:space="preserve"> of </w:t>
      </w:r>
      <w:r w:rsidR="003A1917">
        <w:rPr>
          <w:kern w:val="0"/>
        </w:rPr>
        <w:t xml:space="preserve">the </w:t>
      </w:r>
      <w:r>
        <w:rPr>
          <w:kern w:val="0"/>
        </w:rPr>
        <w:t>impact factor (Table 6). It is</w:t>
      </w:r>
      <w:r w:rsidR="003A1917">
        <w:rPr>
          <w:kern w:val="0"/>
        </w:rPr>
        <w:t xml:space="preserve"> the </w:t>
      </w:r>
      <w:r>
        <w:rPr>
          <w:kern w:val="0"/>
        </w:rPr>
        <w:t>relation</w:t>
      </w:r>
      <w:r w:rsidR="00427468">
        <w:rPr>
          <w:kern w:val="0"/>
        </w:rPr>
        <w:t xml:space="preserve"> of </w:t>
      </w:r>
      <w:r>
        <w:rPr>
          <w:kern w:val="0"/>
        </w:rPr>
        <w:t>total number</w:t>
      </w:r>
      <w:r w:rsidR="00427468">
        <w:rPr>
          <w:kern w:val="0"/>
        </w:rPr>
        <w:t xml:space="preserve"> of </w:t>
      </w:r>
      <w:r>
        <w:rPr>
          <w:kern w:val="0"/>
        </w:rPr>
        <w:t>cites</w:t>
      </w:r>
      <w:r w:rsidR="00427468">
        <w:rPr>
          <w:kern w:val="0"/>
        </w:rPr>
        <w:t xml:space="preserve"> of </w:t>
      </w:r>
      <w:r>
        <w:rPr>
          <w:kern w:val="0"/>
        </w:rPr>
        <w:t>publications from a periodical during considered time period (10 years) to</w:t>
      </w:r>
      <w:r w:rsidR="003A1917">
        <w:rPr>
          <w:kern w:val="0"/>
        </w:rPr>
        <w:t xml:space="preserve"> the </w:t>
      </w:r>
      <w:r>
        <w:rPr>
          <w:kern w:val="0"/>
        </w:rPr>
        <w:t>total number</w:t>
      </w:r>
      <w:r w:rsidR="00427468">
        <w:rPr>
          <w:kern w:val="0"/>
        </w:rPr>
        <w:t xml:space="preserve"> of </w:t>
      </w:r>
      <w:r>
        <w:rPr>
          <w:kern w:val="0"/>
        </w:rPr>
        <w:t>ornithological works published in this periodical till</w:t>
      </w:r>
      <w:r w:rsidR="003A1917">
        <w:rPr>
          <w:kern w:val="0"/>
        </w:rPr>
        <w:t xml:space="preserve"> the </w:t>
      </w:r>
      <w:r>
        <w:rPr>
          <w:kern w:val="0"/>
        </w:rPr>
        <w:t>end</w:t>
      </w:r>
      <w:r w:rsidR="00427468">
        <w:rPr>
          <w:kern w:val="0"/>
        </w:rPr>
        <w:t xml:space="preserve"> of </w:t>
      </w:r>
      <w:r>
        <w:rPr>
          <w:kern w:val="0"/>
        </w:rPr>
        <w:t>2002.</w:t>
      </w:r>
    </w:p>
    <w:p w:rsidR="00990401" w:rsidRDefault="00990401" w:rsidP="00990401">
      <w:pPr>
        <w:pStyle w:val="a3"/>
        <w:rPr>
          <w:kern w:val="0"/>
        </w:rPr>
      </w:pPr>
      <w:r>
        <w:rPr>
          <w:kern w:val="0"/>
        </w:rPr>
        <w:t>Keywords: Analysis, Biology, Chemistry, CIS, Citation, Citations, Conferences, Country, Europe, General, Genetics, Impact, Impact Factor, Index, Journals, Molecular Biology, Periodical, Periodicals, Publications, Regional, Science, Science Citation Index, Till</w:t>
      </w:r>
    </w:p>
    <w:p w:rsidR="00990401" w:rsidRDefault="00990401" w:rsidP="00990401">
      <w:pPr>
        <w:pStyle w:val="a3"/>
        <w:rPr>
          <w:kern w:val="0"/>
        </w:rPr>
      </w:pPr>
      <w:r>
        <w:rPr>
          <w:rFonts w:hint="eastAsia"/>
          <w:kern w:val="0"/>
        </w:rPr>
        <w:t xml:space="preserve">? </w:t>
      </w:r>
      <w:r>
        <w:rPr>
          <w:kern w:val="0"/>
        </w:rPr>
        <w:t>Kopij, G. (2009), Owls</w:t>
      </w:r>
      <w:r w:rsidR="00427468">
        <w:rPr>
          <w:kern w:val="0"/>
        </w:rPr>
        <w:t xml:space="preserve"> of </w:t>
      </w:r>
      <w:r w:rsidR="003A1917">
        <w:rPr>
          <w:kern w:val="0"/>
        </w:rPr>
        <w:t xml:space="preserve">the </w:t>
      </w:r>
      <w:r>
        <w:rPr>
          <w:kern w:val="0"/>
        </w:rPr>
        <w:t>world:</w:t>
      </w:r>
      <w:r w:rsidR="003A1917">
        <w:rPr>
          <w:kern w:val="0"/>
        </w:rPr>
        <w:t xml:space="preserve"> the </w:t>
      </w:r>
      <w:r>
        <w:rPr>
          <w:kern w:val="0"/>
        </w:rPr>
        <w:t>state</w:t>
      </w:r>
      <w:r w:rsidR="00427468">
        <w:rPr>
          <w:kern w:val="0"/>
        </w:rPr>
        <w:t xml:space="preserve"> of </w:t>
      </w:r>
      <w:r>
        <w:rPr>
          <w:kern w:val="0"/>
        </w:rPr>
        <w:t>knowledge on</w:t>
      </w:r>
      <w:r w:rsidR="003A1917">
        <w:rPr>
          <w:kern w:val="0"/>
        </w:rPr>
        <w:t xml:space="preserve"> the </w:t>
      </w:r>
      <w:r>
        <w:rPr>
          <w:kern w:val="0"/>
        </w:rPr>
        <w:t>threshold</w:t>
      </w:r>
      <w:r w:rsidR="00427468">
        <w:rPr>
          <w:kern w:val="0"/>
        </w:rPr>
        <w:t xml:space="preserve"> of </w:t>
      </w:r>
      <w:r w:rsidR="003A1917">
        <w:rPr>
          <w:kern w:val="0"/>
        </w:rPr>
        <w:t xml:space="preserve">the </w:t>
      </w:r>
      <w:r>
        <w:rPr>
          <w:kern w:val="0"/>
        </w:rPr>
        <w:t>21</w:t>
      </w:r>
      <w:r w:rsidRPr="00990401">
        <w:rPr>
          <w:kern w:val="0"/>
          <w:vertAlign w:val="superscript"/>
        </w:rPr>
        <w:t>st</w:t>
      </w:r>
      <w:r>
        <w:rPr>
          <w:kern w:val="0"/>
        </w:rPr>
        <w:t xml:space="preserve"> century. </w:t>
      </w:r>
      <w:r w:rsidRPr="00990401">
        <w:rPr>
          <w:i/>
          <w:iCs/>
          <w:kern w:val="0"/>
        </w:rPr>
        <w:t>Berkut</w:t>
      </w:r>
      <w:r>
        <w:rPr>
          <w:kern w:val="0"/>
        </w:rPr>
        <w:t xml:space="preserve">, </w:t>
      </w:r>
      <w:r>
        <w:rPr>
          <w:b/>
          <w:bCs/>
          <w:kern w:val="0"/>
        </w:rPr>
        <w:t>18</w:t>
      </w:r>
      <w:r>
        <w:rPr>
          <w:kern w:val="0"/>
        </w:rPr>
        <w:t xml:space="preserve"> (1-2</w:t>
      </w:r>
      <w:r>
        <w:rPr>
          <w:rFonts w:hint="eastAsia"/>
          <w:kern w:val="0"/>
        </w:rPr>
        <w:t>), 72-76</w:t>
      </w:r>
      <w:r>
        <w:rPr>
          <w:kern w:val="0"/>
        </w:rPr>
        <w:t>.</w:t>
      </w:r>
    </w:p>
    <w:p w:rsidR="00990401" w:rsidRDefault="00990401" w:rsidP="00990401">
      <w:pPr>
        <w:pStyle w:val="a3"/>
        <w:rPr>
          <w:kern w:val="0"/>
        </w:rPr>
      </w:pPr>
      <w:r>
        <w:rPr>
          <w:rFonts w:hint="eastAsia"/>
          <w:kern w:val="0"/>
        </w:rPr>
        <w:t>Full Text: 2009\</w:t>
      </w:r>
      <w:r w:rsidRPr="00990401">
        <w:rPr>
          <w:iCs/>
          <w:kern w:val="0"/>
        </w:rPr>
        <w:t>Berkut</w:t>
      </w:r>
      <w:r>
        <w:rPr>
          <w:rFonts w:hint="eastAsia"/>
          <w:iCs/>
          <w:kern w:val="0"/>
        </w:rPr>
        <w:t>18, 72.pdf</w:t>
      </w:r>
    </w:p>
    <w:p w:rsidR="00990401" w:rsidRDefault="00990401" w:rsidP="00990401">
      <w:pPr>
        <w:pStyle w:val="a3"/>
        <w:rPr>
          <w:kern w:val="0"/>
        </w:rPr>
      </w:pPr>
      <w:r>
        <w:rPr>
          <w:kern w:val="0"/>
        </w:rPr>
        <w:t>Abstract: An attempt is made to quantity</w:t>
      </w:r>
      <w:r w:rsidR="003A1917">
        <w:rPr>
          <w:kern w:val="0"/>
        </w:rPr>
        <w:t xml:space="preserve"> the </w:t>
      </w:r>
      <w:r>
        <w:rPr>
          <w:kern w:val="0"/>
        </w:rPr>
        <w:t>present knowledge on all owl species in</w:t>
      </w:r>
      <w:r w:rsidR="003A1917">
        <w:rPr>
          <w:kern w:val="0"/>
        </w:rPr>
        <w:t xml:space="preserve"> the </w:t>
      </w:r>
      <w:r>
        <w:rPr>
          <w:kern w:val="0"/>
        </w:rPr>
        <w:lastRenderedPageBreak/>
        <w:t>world. This quantification is based on</w:t>
      </w:r>
      <w:r w:rsidR="003A1917">
        <w:rPr>
          <w:kern w:val="0"/>
        </w:rPr>
        <w:t xml:space="preserve"> the </w:t>
      </w:r>
      <w:r>
        <w:rPr>
          <w:kern w:val="0"/>
        </w:rPr>
        <w:t>bibliometric analysis</w:t>
      </w:r>
      <w:r w:rsidR="00427468">
        <w:rPr>
          <w:kern w:val="0"/>
        </w:rPr>
        <w:t xml:space="preserve"> of </w:t>
      </w:r>
      <w:r>
        <w:rPr>
          <w:kern w:val="0"/>
        </w:rPr>
        <w:t>literature for</w:t>
      </w:r>
      <w:r w:rsidR="003A1917">
        <w:rPr>
          <w:kern w:val="0"/>
        </w:rPr>
        <w:t xml:space="preserve"> the </w:t>
      </w:r>
      <w:r>
        <w:rPr>
          <w:kern w:val="0"/>
        </w:rPr>
        <w:t>years 1971-2000</w:t>
      </w:r>
      <w:r w:rsidR="00A37C1D">
        <w:rPr>
          <w:kern w:val="0"/>
        </w:rPr>
        <w:t>. The</w:t>
      </w:r>
      <w:r w:rsidR="003A1917">
        <w:rPr>
          <w:kern w:val="0"/>
        </w:rPr>
        <w:t xml:space="preserve"> </w:t>
      </w:r>
      <w:r>
        <w:rPr>
          <w:kern w:val="0"/>
        </w:rPr>
        <w:t>Wildlife &amp; Ecology Studies Worldwide (WESW) has been used for this analysis. By far,</w:t>
      </w:r>
      <w:r w:rsidR="003A1917">
        <w:rPr>
          <w:kern w:val="0"/>
        </w:rPr>
        <w:t xml:space="preserve"> the </w:t>
      </w:r>
      <w:r>
        <w:rPr>
          <w:kern w:val="0"/>
        </w:rPr>
        <w:t>best known owl species are</w:t>
      </w:r>
      <w:r w:rsidR="003A1917">
        <w:rPr>
          <w:kern w:val="0"/>
        </w:rPr>
        <w:t xml:space="preserve"> the </w:t>
      </w:r>
      <w:r>
        <w:rPr>
          <w:kern w:val="0"/>
        </w:rPr>
        <w:t>Tawny Owl</w:t>
      </w:r>
      <w:r w:rsidR="005853A9">
        <w:rPr>
          <w:kern w:val="0"/>
        </w:rPr>
        <w:t xml:space="preserve"> and </w:t>
      </w:r>
      <w:r w:rsidR="003A1917">
        <w:rPr>
          <w:kern w:val="0"/>
        </w:rPr>
        <w:t xml:space="preserve">the </w:t>
      </w:r>
      <w:r>
        <w:rPr>
          <w:kern w:val="0"/>
        </w:rPr>
        <w:t>Barn Owl. A group</w:t>
      </w:r>
      <w:r w:rsidR="00427468">
        <w:rPr>
          <w:kern w:val="0"/>
        </w:rPr>
        <w:t xml:space="preserve"> of </w:t>
      </w:r>
      <w:r>
        <w:rPr>
          <w:kern w:val="0"/>
        </w:rPr>
        <w:t>frequently studied species</w:t>
      </w:r>
      <w:r w:rsidR="00427468">
        <w:rPr>
          <w:kern w:val="0"/>
        </w:rPr>
        <w:t xml:space="preserve"> of </w:t>
      </w:r>
      <w:r>
        <w:rPr>
          <w:kern w:val="0"/>
        </w:rPr>
        <w:t>owls (100[long dash]600 papers) include</w:t>
      </w:r>
      <w:r w:rsidR="003A1917">
        <w:rPr>
          <w:kern w:val="0"/>
        </w:rPr>
        <w:t xml:space="preserve"> the </w:t>
      </w:r>
      <w:r>
        <w:rPr>
          <w:kern w:val="0"/>
        </w:rPr>
        <w:t>Long-eared Owl, Tengmalm</w:t>
      </w:r>
      <w:r w:rsidR="00700038">
        <w:rPr>
          <w:kern w:val="0"/>
        </w:rPr>
        <w:t>’</w:t>
      </w:r>
      <w:r w:rsidR="00C13DDC">
        <w:rPr>
          <w:kern w:val="0"/>
        </w:rPr>
        <w:t>s</w:t>
      </w:r>
      <w:r>
        <w:rPr>
          <w:kern w:val="0"/>
        </w:rPr>
        <w:t xml:space="preserve"> Owl, European Eagle Owl, Spotted Owl, Short-eared Owl, Great Horned Owl, Great Grey Owl, Little Owl, Eastern Common Screech Owl, Snowy Owl, Barred Owl, Northern Saw-whet Owl, Eurasian Pygmy Owl, Hawk Owl</w:t>
      </w:r>
      <w:r w:rsidR="005853A9">
        <w:rPr>
          <w:kern w:val="0"/>
        </w:rPr>
        <w:t xml:space="preserve"> and </w:t>
      </w:r>
      <w:r>
        <w:rPr>
          <w:kern w:val="0"/>
        </w:rPr>
        <w:t>Ural Owl. All these species occur in</w:t>
      </w:r>
      <w:r w:rsidR="003A1917">
        <w:rPr>
          <w:kern w:val="0"/>
        </w:rPr>
        <w:t xml:space="preserve"> the </w:t>
      </w:r>
      <w:r>
        <w:rPr>
          <w:kern w:val="0"/>
        </w:rPr>
        <w:t>Holarctic region. In tropical regions</w:t>
      </w:r>
      <w:r w:rsidR="00427468">
        <w:rPr>
          <w:kern w:val="0"/>
        </w:rPr>
        <w:t xml:space="preserve"> of </w:t>
      </w:r>
      <w:r w:rsidR="003A1917">
        <w:rPr>
          <w:kern w:val="0"/>
        </w:rPr>
        <w:t xml:space="preserve">the </w:t>
      </w:r>
      <w:r>
        <w:rPr>
          <w:kern w:val="0"/>
        </w:rPr>
        <w:t>world, there are only seven owl species, which are fairly well-studied (20--30 publications); all others are little known (each species with less than 20 publications). Regional monographs on owls</w:t>
      </w:r>
      <w:r w:rsidR="005853A9">
        <w:rPr>
          <w:kern w:val="0"/>
        </w:rPr>
        <w:t xml:space="preserve"> and </w:t>
      </w:r>
      <w:r>
        <w:rPr>
          <w:kern w:val="0"/>
        </w:rPr>
        <w:t>monographs on particular owl species are listed.</w:t>
      </w:r>
    </w:p>
    <w:p w:rsidR="00990401" w:rsidRDefault="00990401" w:rsidP="00990401">
      <w:pPr>
        <w:pStyle w:val="a3"/>
        <w:rPr>
          <w:kern w:val="0"/>
        </w:rPr>
      </w:pPr>
      <w:r>
        <w:rPr>
          <w:kern w:val="0"/>
        </w:rPr>
        <w:t>Keywords: Analysis, Barn Owl, Bibliometric, Bibliometric Analysis, Knowledge, Literature, Papers, Publications, Quantification, Region, Species, State, Threshold, Tropical, Tropical Regions, World</w:t>
      </w:r>
    </w:p>
    <w:p w:rsidR="00733443" w:rsidRPr="00FC7835" w:rsidRDefault="00733443" w:rsidP="00733443">
      <w:pPr>
        <w:pStyle w:val="1"/>
      </w:pPr>
      <w:r w:rsidRPr="00FC7835">
        <w:rPr>
          <w:b w:val="0"/>
        </w:rPr>
        <w:br w:type="page"/>
      </w:r>
      <w:bookmarkStart w:id="739" w:name="_Toc420814698"/>
      <w:r w:rsidRPr="00FC7835">
        <w:lastRenderedPageBreak/>
        <w:t xml:space="preserve">Title: </w:t>
      </w:r>
      <w:r w:rsidRPr="00733443">
        <w:rPr>
          <w:rFonts w:hint="eastAsia"/>
          <w:iCs w:val="0"/>
          <w:szCs w:val="24"/>
        </w:rPr>
        <w:t>Betriebswirtschaftliche Forschung und Praxis</w:t>
      </w:r>
      <w:bookmarkEnd w:id="739"/>
    </w:p>
    <w:p w:rsidR="00733443" w:rsidRPr="00FC7835" w:rsidRDefault="00733443" w:rsidP="00733443">
      <w:pPr>
        <w:pStyle w:val="12"/>
      </w:pPr>
      <w:r w:rsidRPr="00FC7835">
        <w:t xml:space="preserve">Full Journal Title: </w:t>
      </w:r>
      <w:r w:rsidRPr="00733443">
        <w:rPr>
          <w:rFonts w:hint="eastAsia"/>
          <w:iCs/>
          <w:kern w:val="0"/>
        </w:rPr>
        <w:t>Betriebswirtschaftliche Forschung und Praxis</w:t>
      </w:r>
    </w:p>
    <w:p w:rsidR="00733443" w:rsidRPr="00FC7835" w:rsidRDefault="00733443" w:rsidP="00733443">
      <w:pPr>
        <w:pStyle w:val="12"/>
      </w:pPr>
      <w:r w:rsidRPr="00FC7835">
        <w:t xml:space="preserve">ISO Abbreviated Title: </w:t>
      </w:r>
    </w:p>
    <w:p w:rsidR="00733443" w:rsidRPr="00FC7835" w:rsidRDefault="00733443" w:rsidP="00733443">
      <w:pPr>
        <w:pStyle w:val="12"/>
      </w:pPr>
      <w:r w:rsidRPr="00FC7835">
        <w:t xml:space="preserve">JCR Abbreviated Title: </w:t>
      </w:r>
    </w:p>
    <w:p w:rsidR="00733443" w:rsidRPr="00FC7835" w:rsidRDefault="00733443" w:rsidP="00733443">
      <w:pPr>
        <w:pStyle w:val="12"/>
      </w:pPr>
      <w:r w:rsidRPr="00FC7835">
        <w:t xml:space="preserve">ISSN: </w:t>
      </w:r>
    </w:p>
    <w:p w:rsidR="00733443" w:rsidRPr="00FC7835" w:rsidRDefault="00733443" w:rsidP="00733443">
      <w:pPr>
        <w:pStyle w:val="12"/>
      </w:pPr>
      <w:r w:rsidRPr="00FC7835">
        <w:t xml:space="preserve">Issues/Year: </w:t>
      </w:r>
    </w:p>
    <w:p w:rsidR="00733443" w:rsidRPr="00FC7835" w:rsidRDefault="00733443" w:rsidP="00733443">
      <w:pPr>
        <w:pStyle w:val="12"/>
      </w:pPr>
      <w:r w:rsidRPr="00FC7835">
        <w:t xml:space="preserve">Journal Country/Territory: </w:t>
      </w:r>
    </w:p>
    <w:p w:rsidR="00733443" w:rsidRPr="00FC7835" w:rsidRDefault="00733443" w:rsidP="00733443">
      <w:pPr>
        <w:pStyle w:val="12"/>
      </w:pPr>
      <w:r w:rsidRPr="00FC7835">
        <w:t xml:space="preserve">Language: </w:t>
      </w:r>
    </w:p>
    <w:p w:rsidR="00733443" w:rsidRPr="00FC7835" w:rsidRDefault="00733443" w:rsidP="00733443">
      <w:pPr>
        <w:pStyle w:val="12"/>
      </w:pPr>
      <w:r w:rsidRPr="00FC7835">
        <w:t xml:space="preserve">Publisher: </w:t>
      </w:r>
    </w:p>
    <w:p w:rsidR="00733443" w:rsidRPr="00FC7835" w:rsidRDefault="00733443" w:rsidP="00733443">
      <w:pPr>
        <w:pStyle w:val="12"/>
      </w:pPr>
      <w:r w:rsidRPr="00FC7835">
        <w:t xml:space="preserve">Publisher Address: </w:t>
      </w:r>
    </w:p>
    <w:p w:rsidR="00733443" w:rsidRPr="00FC7835" w:rsidRDefault="00733443" w:rsidP="00733443">
      <w:pPr>
        <w:pStyle w:val="12"/>
      </w:pPr>
      <w:r w:rsidRPr="00FC7835">
        <w:t xml:space="preserve">Subject Categories: </w:t>
      </w:r>
    </w:p>
    <w:p w:rsidR="00733443" w:rsidRPr="00FC7835" w:rsidRDefault="00733443" w:rsidP="00733443">
      <w:pPr>
        <w:pStyle w:val="12"/>
      </w:pPr>
      <w:r w:rsidRPr="00FC7835">
        <w:t>: Impact Factor</w:t>
      </w:r>
    </w:p>
    <w:p w:rsidR="00733443" w:rsidRDefault="00733443" w:rsidP="00733443">
      <w:pPr>
        <w:pStyle w:val="a3"/>
        <w:rPr>
          <w:kern w:val="0"/>
          <w:szCs w:val="24"/>
        </w:rPr>
      </w:pPr>
      <w:r>
        <w:rPr>
          <w:rFonts w:hint="eastAsia"/>
          <w:kern w:val="0"/>
          <w:szCs w:val="24"/>
        </w:rPr>
        <w:t>? Kraus, S., Filser, M., Gotzen, T.</w:t>
      </w:r>
      <w:r w:rsidR="005853A9">
        <w:rPr>
          <w:rFonts w:hint="eastAsia"/>
          <w:kern w:val="0"/>
          <w:szCs w:val="24"/>
        </w:rPr>
        <w:t xml:space="preserve"> and </w:t>
      </w:r>
      <w:r>
        <w:rPr>
          <w:rFonts w:hint="eastAsia"/>
          <w:kern w:val="0"/>
          <w:szCs w:val="24"/>
        </w:rPr>
        <w:t>Harms, R. (2011), Family firms - On</w:t>
      </w:r>
      <w:r w:rsidR="003A1917">
        <w:rPr>
          <w:rFonts w:hint="eastAsia"/>
          <w:kern w:val="0"/>
          <w:szCs w:val="24"/>
        </w:rPr>
        <w:t xml:space="preserve"> the </w:t>
      </w:r>
      <w:r>
        <w:rPr>
          <w:rFonts w:hint="eastAsia"/>
          <w:kern w:val="0"/>
          <w:szCs w:val="24"/>
        </w:rPr>
        <w:t>state</w:t>
      </w:r>
      <w:r w:rsidR="00434900">
        <w:rPr>
          <w:rFonts w:hint="eastAsia"/>
          <w:kern w:val="0"/>
          <w:szCs w:val="24"/>
        </w:rPr>
        <w:t>-of-</w:t>
      </w:r>
      <w:r>
        <w:rPr>
          <w:rFonts w:hint="eastAsia"/>
          <w:kern w:val="0"/>
          <w:szCs w:val="24"/>
        </w:rPr>
        <w:t>the-art</w:t>
      </w:r>
      <w:r w:rsidR="00427468">
        <w:rPr>
          <w:rFonts w:hint="eastAsia"/>
          <w:kern w:val="0"/>
          <w:szCs w:val="24"/>
        </w:rPr>
        <w:t xml:space="preserve"> of </w:t>
      </w:r>
      <w:r>
        <w:rPr>
          <w:rFonts w:hint="eastAsia"/>
          <w:kern w:val="0"/>
          <w:szCs w:val="24"/>
        </w:rPr>
        <w:t xml:space="preserve">business research. </w:t>
      </w:r>
      <w:r w:rsidRPr="00733443">
        <w:rPr>
          <w:rFonts w:hint="eastAsia"/>
          <w:i/>
          <w:iCs/>
          <w:kern w:val="0"/>
          <w:szCs w:val="24"/>
        </w:rPr>
        <w:t>Betriebswirtschaftliche Forschung und Praxis</w:t>
      </w:r>
      <w:r>
        <w:rPr>
          <w:rFonts w:hint="eastAsia"/>
          <w:kern w:val="0"/>
          <w:szCs w:val="24"/>
        </w:rPr>
        <w:t xml:space="preserve">, </w:t>
      </w:r>
      <w:r>
        <w:rPr>
          <w:rFonts w:hint="eastAsia"/>
          <w:b/>
          <w:bCs/>
          <w:kern w:val="0"/>
          <w:szCs w:val="24"/>
        </w:rPr>
        <w:t>63</w:t>
      </w:r>
      <w:r>
        <w:rPr>
          <w:rFonts w:hint="eastAsia"/>
          <w:kern w:val="0"/>
          <w:szCs w:val="24"/>
        </w:rPr>
        <w:t xml:space="preserve"> (6), 587-605.</w:t>
      </w:r>
    </w:p>
    <w:p w:rsidR="00733443" w:rsidRDefault="00733443" w:rsidP="00733443">
      <w:pPr>
        <w:pStyle w:val="a3"/>
        <w:rPr>
          <w:kern w:val="0"/>
          <w:szCs w:val="24"/>
        </w:rPr>
      </w:pPr>
      <w:r>
        <w:rPr>
          <w:rFonts w:hint="eastAsia"/>
          <w:kern w:val="0"/>
          <w:szCs w:val="24"/>
        </w:rPr>
        <w:t>Full Text: 2011\</w:t>
      </w:r>
      <w:r>
        <w:rPr>
          <w:rFonts w:hint="eastAsia"/>
          <w:i/>
          <w:iCs/>
          <w:kern w:val="0"/>
          <w:szCs w:val="24"/>
        </w:rPr>
        <w:t>Bet For Pra</w:t>
      </w:r>
      <w:r>
        <w:rPr>
          <w:rFonts w:hint="eastAsia"/>
          <w:b/>
          <w:bCs/>
          <w:kern w:val="0"/>
          <w:szCs w:val="24"/>
        </w:rPr>
        <w:t>63</w:t>
      </w:r>
      <w:r>
        <w:rPr>
          <w:rFonts w:hint="eastAsia"/>
          <w:kern w:val="0"/>
          <w:szCs w:val="24"/>
        </w:rPr>
        <w:t>, 587.pdf</w:t>
      </w:r>
    </w:p>
    <w:p w:rsidR="00733443" w:rsidRDefault="00733443" w:rsidP="00733443">
      <w:pPr>
        <w:pStyle w:val="a3"/>
        <w:rPr>
          <w:kern w:val="0"/>
          <w:szCs w:val="24"/>
        </w:rPr>
      </w:pPr>
      <w:r>
        <w:rPr>
          <w:rFonts w:hint="eastAsia"/>
          <w:kern w:val="0"/>
          <w:szCs w:val="24"/>
        </w:rPr>
        <w:t>Abstract: Family Firms are receiving increasing attention in business research. At first sight,</w:t>
      </w:r>
      <w:r w:rsidR="003A1917">
        <w:rPr>
          <w:rFonts w:hint="eastAsia"/>
          <w:kern w:val="0"/>
          <w:szCs w:val="24"/>
        </w:rPr>
        <w:t xml:space="preserve"> the </w:t>
      </w:r>
      <w:r>
        <w:rPr>
          <w:rFonts w:hint="eastAsia"/>
          <w:kern w:val="0"/>
          <w:szCs w:val="24"/>
        </w:rPr>
        <w:t>field seems to be heterogeneous, which exacerbates</w:t>
      </w:r>
      <w:r w:rsidR="003A1917">
        <w:rPr>
          <w:rFonts w:hint="eastAsia"/>
          <w:kern w:val="0"/>
          <w:szCs w:val="24"/>
        </w:rPr>
        <w:t xml:space="preserve"> the </w:t>
      </w:r>
      <w:r>
        <w:rPr>
          <w:rFonts w:hint="eastAsia"/>
          <w:kern w:val="0"/>
          <w:szCs w:val="24"/>
        </w:rPr>
        <w:t>orientation in</w:t>
      </w:r>
      <w:r w:rsidR="005853A9">
        <w:rPr>
          <w:rFonts w:hint="eastAsia"/>
          <w:kern w:val="0"/>
          <w:szCs w:val="24"/>
        </w:rPr>
        <w:t xml:space="preserve"> and </w:t>
      </w:r>
      <w:r w:rsidR="003A1917">
        <w:rPr>
          <w:rFonts w:hint="eastAsia"/>
          <w:kern w:val="0"/>
          <w:szCs w:val="24"/>
        </w:rPr>
        <w:t xml:space="preserve">the </w:t>
      </w:r>
      <w:r>
        <w:rPr>
          <w:rFonts w:hint="eastAsia"/>
          <w:kern w:val="0"/>
          <w:szCs w:val="24"/>
        </w:rPr>
        <w:t>advancement</w:t>
      </w:r>
      <w:r w:rsidR="00427468">
        <w:rPr>
          <w:rFonts w:hint="eastAsia"/>
          <w:kern w:val="0"/>
          <w:szCs w:val="24"/>
        </w:rPr>
        <w:t xml:space="preserve"> of </w:t>
      </w:r>
      <w:r w:rsidR="003A1917">
        <w:rPr>
          <w:rFonts w:hint="eastAsia"/>
          <w:kern w:val="0"/>
          <w:szCs w:val="24"/>
        </w:rPr>
        <w:t xml:space="preserve">the </w:t>
      </w:r>
      <w:r>
        <w:rPr>
          <w:rFonts w:hint="eastAsia"/>
          <w:kern w:val="0"/>
          <w:szCs w:val="24"/>
        </w:rPr>
        <w:t>field</w:t>
      </w:r>
      <w:r w:rsidR="00A37C1D">
        <w:rPr>
          <w:rFonts w:hint="eastAsia"/>
          <w:kern w:val="0"/>
          <w:szCs w:val="24"/>
        </w:rPr>
        <w:t>. The</w:t>
      </w:r>
      <w:r>
        <w:rPr>
          <w:rFonts w:hint="eastAsia"/>
          <w:kern w:val="0"/>
          <w:szCs w:val="24"/>
        </w:rPr>
        <w:t>refore, this article strives to systematize Anglo-American family firm research</w:t>
      </w:r>
      <w:r w:rsidR="005853A9">
        <w:rPr>
          <w:rFonts w:hint="eastAsia"/>
          <w:kern w:val="0"/>
          <w:szCs w:val="24"/>
        </w:rPr>
        <w:t xml:space="preserve"> and </w:t>
      </w:r>
      <w:r>
        <w:rPr>
          <w:rFonts w:hint="eastAsia"/>
          <w:kern w:val="0"/>
          <w:szCs w:val="24"/>
        </w:rPr>
        <w:t>thereby to identify key discussion lines</w:t>
      </w:r>
      <w:r w:rsidR="00427468">
        <w:rPr>
          <w:rFonts w:hint="eastAsia"/>
          <w:kern w:val="0"/>
          <w:szCs w:val="24"/>
        </w:rPr>
        <w:t xml:space="preserve"> of </w:t>
      </w:r>
      <w:r>
        <w:rPr>
          <w:rFonts w:hint="eastAsia"/>
          <w:kern w:val="0"/>
          <w:szCs w:val="24"/>
        </w:rPr>
        <w:t>this field. Based on a comprehensive literature analysis, we identify core authors</w:t>
      </w:r>
      <w:r w:rsidR="005853A9">
        <w:rPr>
          <w:rFonts w:hint="eastAsia"/>
          <w:kern w:val="0"/>
          <w:szCs w:val="24"/>
        </w:rPr>
        <w:t xml:space="preserve"> and </w:t>
      </w:r>
      <w:r>
        <w:rPr>
          <w:rFonts w:hint="eastAsia"/>
          <w:kern w:val="0"/>
          <w:szCs w:val="24"/>
        </w:rPr>
        <w:t>core journals. Based on a bibliometric citation analysis</w:t>
      </w:r>
      <w:r w:rsidR="00427468">
        <w:rPr>
          <w:rFonts w:hint="eastAsia"/>
          <w:kern w:val="0"/>
          <w:szCs w:val="24"/>
        </w:rPr>
        <w:t xml:space="preserve"> of </w:t>
      </w:r>
      <w:r>
        <w:rPr>
          <w:rFonts w:hint="eastAsia"/>
          <w:kern w:val="0"/>
          <w:szCs w:val="24"/>
        </w:rPr>
        <w:t>276 journal articles with a total</w:t>
      </w:r>
      <w:r w:rsidR="00427468">
        <w:rPr>
          <w:rFonts w:hint="eastAsia"/>
          <w:kern w:val="0"/>
          <w:szCs w:val="24"/>
        </w:rPr>
        <w:t xml:space="preserve"> of </w:t>
      </w:r>
      <w:r>
        <w:rPr>
          <w:rFonts w:hint="eastAsia"/>
          <w:kern w:val="0"/>
          <w:szCs w:val="24"/>
        </w:rPr>
        <w:t>12,800 references, we have identifiedfive key discussion lines: 1) legitimization</w:t>
      </w:r>
      <w:r w:rsidR="005853A9">
        <w:rPr>
          <w:rFonts w:hint="eastAsia"/>
          <w:kern w:val="0"/>
          <w:szCs w:val="24"/>
        </w:rPr>
        <w:t xml:space="preserve"> and </w:t>
      </w:r>
      <w:r>
        <w:rPr>
          <w:rFonts w:hint="eastAsia"/>
          <w:kern w:val="0"/>
          <w:szCs w:val="24"/>
        </w:rPr>
        <w:t>definition, 2) governance, 3) competitive advantage, 4) leadership,</w:t>
      </w:r>
      <w:r w:rsidR="005853A9">
        <w:rPr>
          <w:rFonts w:hint="eastAsia"/>
          <w:kern w:val="0"/>
          <w:szCs w:val="24"/>
        </w:rPr>
        <w:t xml:space="preserve"> and </w:t>
      </w:r>
      <w:r>
        <w:rPr>
          <w:rFonts w:hint="eastAsia"/>
          <w:kern w:val="0"/>
          <w:szCs w:val="24"/>
        </w:rPr>
        <w:t>5) succession</w:t>
      </w:r>
      <w:r w:rsidR="00A37C1D">
        <w:rPr>
          <w:rFonts w:hint="eastAsia"/>
          <w:kern w:val="0"/>
          <w:szCs w:val="24"/>
        </w:rPr>
        <w:t>. The</w:t>
      </w:r>
      <w:r>
        <w:rPr>
          <w:rFonts w:hint="eastAsia"/>
          <w:kern w:val="0"/>
          <w:szCs w:val="24"/>
        </w:rPr>
        <w:t>se five discussion lines</w:t>
      </w:r>
      <w:r w:rsidR="005853A9">
        <w:rPr>
          <w:rFonts w:hint="eastAsia"/>
          <w:kern w:val="0"/>
          <w:szCs w:val="24"/>
        </w:rPr>
        <w:t xml:space="preserve"> and </w:t>
      </w:r>
      <w:r w:rsidR="003A1917">
        <w:rPr>
          <w:rFonts w:hint="eastAsia"/>
          <w:kern w:val="0"/>
          <w:szCs w:val="24"/>
        </w:rPr>
        <w:t xml:space="preserve">the </w:t>
      </w:r>
      <w:r>
        <w:rPr>
          <w:rFonts w:hint="eastAsia"/>
          <w:kern w:val="0"/>
          <w:szCs w:val="24"/>
        </w:rPr>
        <w:t>respective literature constitute a framework for</w:t>
      </w:r>
      <w:r w:rsidR="003A1917">
        <w:rPr>
          <w:rFonts w:hint="eastAsia"/>
          <w:kern w:val="0"/>
          <w:szCs w:val="24"/>
        </w:rPr>
        <w:t xml:space="preserve"> the </w:t>
      </w:r>
      <w:r>
        <w:rPr>
          <w:rFonts w:hint="eastAsia"/>
          <w:kern w:val="0"/>
          <w:szCs w:val="24"/>
        </w:rPr>
        <w:t>advancement</w:t>
      </w:r>
      <w:r w:rsidR="00427468">
        <w:rPr>
          <w:rFonts w:hint="eastAsia"/>
          <w:kern w:val="0"/>
          <w:szCs w:val="24"/>
        </w:rPr>
        <w:t xml:space="preserve"> of </w:t>
      </w:r>
      <w:r>
        <w:rPr>
          <w:rFonts w:hint="eastAsia"/>
          <w:kern w:val="0"/>
          <w:szCs w:val="24"/>
        </w:rPr>
        <w:t>family firm research.</w:t>
      </w:r>
    </w:p>
    <w:p w:rsidR="00733443" w:rsidRDefault="00733443" w:rsidP="00733443">
      <w:pPr>
        <w:pStyle w:val="a3"/>
        <w:rPr>
          <w:kern w:val="0"/>
          <w:szCs w:val="24"/>
        </w:rPr>
      </w:pPr>
      <w:r>
        <w:rPr>
          <w:rFonts w:hint="eastAsia"/>
          <w:kern w:val="0"/>
          <w:szCs w:val="24"/>
        </w:rPr>
        <w:t>Keywords: Agency Costs, Analysis, Articles, Attention, Authors, Bibliometric, Citation, Citation Analysis, Entrepreneurship-Research, Family, Issues, Journal, Journals, Literature, Literature Analysis, Management, Ownership, Performance, Research, State</w:t>
      </w:r>
      <w:r w:rsidR="00427468">
        <w:rPr>
          <w:rFonts w:hint="eastAsia"/>
          <w:kern w:val="0"/>
          <w:szCs w:val="24"/>
        </w:rPr>
        <w:t xml:space="preserve"> of </w:t>
      </w:r>
      <w:r w:rsidR="003A1917">
        <w:rPr>
          <w:rFonts w:hint="eastAsia"/>
          <w:kern w:val="0"/>
          <w:szCs w:val="24"/>
        </w:rPr>
        <w:t xml:space="preserve">the </w:t>
      </w:r>
      <w:r>
        <w:rPr>
          <w:rFonts w:hint="eastAsia"/>
          <w:kern w:val="0"/>
          <w:szCs w:val="24"/>
        </w:rPr>
        <w:t>Art</w:t>
      </w:r>
    </w:p>
    <w:p w:rsidR="00E44CAC" w:rsidRDefault="00E44CAC" w:rsidP="00E44CAC">
      <w:pPr>
        <w:pStyle w:val="1"/>
      </w:pPr>
      <w:r w:rsidRPr="00FC7835">
        <w:rPr>
          <w:b w:val="0"/>
        </w:rPr>
        <w:br w:type="page"/>
      </w:r>
      <w:bookmarkStart w:id="740" w:name="_Toc420814699"/>
      <w:r w:rsidRPr="00FC7835">
        <w:lastRenderedPageBreak/>
        <w:t xml:space="preserve">Title: </w:t>
      </w:r>
      <w:r w:rsidRPr="00EF18C1">
        <w:rPr>
          <w:rFonts w:eastAsia="SimSun"/>
          <w:lang w:eastAsia="zh-CN"/>
        </w:rPr>
        <w:t>Bibliometric indicators</w:t>
      </w:r>
      <w:r w:rsidRPr="00EF18C1">
        <w:rPr>
          <w:rFonts w:eastAsia="SimSun" w:hint="eastAsia"/>
          <w:lang w:eastAsia="zh-CN"/>
        </w:rPr>
        <w:t>–</w:t>
      </w:r>
      <w:r w:rsidRPr="00EF18C1">
        <w:rPr>
          <w:rFonts w:eastAsia="SimSun"/>
          <w:lang w:eastAsia="zh-CN"/>
        </w:rPr>
        <w:t>definitions</w:t>
      </w:r>
      <w:r w:rsidR="005853A9">
        <w:rPr>
          <w:rFonts w:eastAsia="SimSun"/>
          <w:lang w:eastAsia="zh-CN"/>
        </w:rPr>
        <w:t xml:space="preserve"> and </w:t>
      </w:r>
      <w:r w:rsidR="00D5664A">
        <w:rPr>
          <w:rFonts w:eastAsia="SimSun"/>
          <w:lang w:eastAsia="zh-CN"/>
        </w:rPr>
        <w:t>USA</w:t>
      </w:r>
      <w:r w:rsidRPr="00EF18C1">
        <w:rPr>
          <w:rFonts w:eastAsia="SimSun"/>
          <w:lang w:eastAsia="zh-CN"/>
        </w:rPr>
        <w:t>ge at Karolinska Institutet</w:t>
      </w:r>
      <w:bookmarkEnd w:id="740"/>
    </w:p>
    <w:p w:rsidR="00E44CAC" w:rsidRDefault="00E44CAC" w:rsidP="006A6D1B">
      <w:pPr>
        <w:pStyle w:val="a3"/>
        <w:rPr>
          <w:rFonts w:eastAsiaTheme="minorEastAsia"/>
        </w:rPr>
      </w:pPr>
      <w:r>
        <w:rPr>
          <w:rFonts w:eastAsiaTheme="minorEastAsia" w:hint="eastAsia"/>
        </w:rPr>
        <w:t xml:space="preserve">? </w:t>
      </w:r>
      <w:r w:rsidRPr="00EF18C1">
        <w:rPr>
          <w:lang w:eastAsia="zh-CN"/>
        </w:rPr>
        <w:t>Rehn,</w:t>
      </w:r>
      <w:r w:rsidRPr="00EF18C1">
        <w:rPr>
          <w:rFonts w:hint="eastAsia"/>
          <w:lang w:eastAsia="zh-CN"/>
        </w:rPr>
        <w:t xml:space="preserve"> </w:t>
      </w:r>
      <w:r w:rsidRPr="00EF18C1">
        <w:rPr>
          <w:lang w:eastAsia="zh-CN"/>
        </w:rPr>
        <w:t>C</w:t>
      </w:r>
      <w:r w:rsidRPr="00EF18C1">
        <w:rPr>
          <w:rFonts w:hint="eastAsia"/>
          <w:lang w:eastAsia="zh-CN"/>
        </w:rPr>
        <w:t>.,</w:t>
      </w:r>
      <w:r w:rsidRPr="00EF18C1">
        <w:rPr>
          <w:lang w:eastAsia="zh-CN"/>
        </w:rPr>
        <w:t xml:space="preserve"> Kronman</w:t>
      </w:r>
      <w:r w:rsidRPr="00EF18C1">
        <w:rPr>
          <w:rFonts w:hint="eastAsia"/>
          <w:lang w:eastAsia="zh-CN"/>
        </w:rPr>
        <w:t>,</w:t>
      </w:r>
      <w:r w:rsidRPr="00EF18C1">
        <w:rPr>
          <w:lang w:eastAsia="zh-CN"/>
        </w:rPr>
        <w:t xml:space="preserve"> U</w:t>
      </w:r>
      <w:r w:rsidRPr="00EF18C1">
        <w:rPr>
          <w:rFonts w:hint="eastAsia"/>
          <w:lang w:eastAsia="zh-CN"/>
        </w:rPr>
        <w:t>.</w:t>
      </w:r>
      <w:r w:rsidR="005853A9">
        <w:rPr>
          <w:rFonts w:eastAsiaTheme="minorEastAsia" w:hint="eastAsia"/>
        </w:rPr>
        <w:t xml:space="preserve"> and </w:t>
      </w:r>
      <w:r w:rsidRPr="00EF18C1">
        <w:rPr>
          <w:lang w:eastAsia="zh-CN"/>
        </w:rPr>
        <w:t>Wadskog, D</w:t>
      </w:r>
      <w:r w:rsidRPr="00EF18C1">
        <w:rPr>
          <w:rFonts w:hint="eastAsia"/>
          <w:lang w:eastAsia="zh-CN"/>
        </w:rPr>
        <w:t>.</w:t>
      </w:r>
      <w:r w:rsidRPr="00EF18C1">
        <w:rPr>
          <w:lang w:eastAsia="zh-CN"/>
        </w:rPr>
        <w:t xml:space="preserve"> </w:t>
      </w:r>
      <w:r w:rsidRPr="00EF18C1">
        <w:rPr>
          <w:rFonts w:hint="eastAsia"/>
          <w:lang w:eastAsia="zh-CN"/>
        </w:rPr>
        <w:t>(</w:t>
      </w:r>
      <w:r w:rsidRPr="00EF18C1">
        <w:rPr>
          <w:lang w:eastAsia="zh-CN"/>
        </w:rPr>
        <w:t>2007</w:t>
      </w:r>
      <w:r w:rsidRPr="00EF18C1">
        <w:rPr>
          <w:rFonts w:hint="eastAsia"/>
          <w:lang w:eastAsia="zh-CN"/>
        </w:rPr>
        <w:t>)</w:t>
      </w:r>
      <w:r w:rsidR="00733443">
        <w:rPr>
          <w:rFonts w:hint="eastAsia"/>
        </w:rPr>
        <w:t>,</w:t>
      </w:r>
      <w:r w:rsidRPr="00EF18C1">
        <w:rPr>
          <w:lang w:eastAsia="zh-CN"/>
        </w:rPr>
        <w:t xml:space="preserve"> Bibliometric indicators</w:t>
      </w:r>
      <w:r w:rsidRPr="00EF18C1">
        <w:rPr>
          <w:rFonts w:hint="eastAsia"/>
          <w:lang w:eastAsia="zh-CN"/>
        </w:rPr>
        <w:t>–</w:t>
      </w:r>
      <w:r w:rsidRPr="00EF18C1">
        <w:rPr>
          <w:lang w:eastAsia="zh-CN"/>
        </w:rPr>
        <w:t>definitions</w:t>
      </w:r>
      <w:r w:rsidR="005853A9">
        <w:rPr>
          <w:lang w:eastAsia="zh-CN"/>
        </w:rPr>
        <w:t xml:space="preserve"> and </w:t>
      </w:r>
      <w:r w:rsidR="00D5664A">
        <w:rPr>
          <w:lang w:eastAsia="zh-CN"/>
        </w:rPr>
        <w:t>USA</w:t>
      </w:r>
      <w:r w:rsidRPr="00EF18C1">
        <w:rPr>
          <w:lang w:eastAsia="zh-CN"/>
        </w:rPr>
        <w:t>ge at Karolinska Institutet</w:t>
      </w:r>
      <w:r w:rsidRPr="00EF18C1">
        <w:rPr>
          <w:rFonts w:hint="eastAsia"/>
          <w:lang w:eastAsia="zh-CN"/>
        </w:rPr>
        <w:t>.</w:t>
      </w:r>
      <w:r w:rsidRPr="00EF18C1">
        <w:t xml:space="preserve"> </w:t>
      </w:r>
      <w:r w:rsidRPr="00EF18C1">
        <w:rPr>
          <w:lang w:eastAsia="zh-CN"/>
        </w:rPr>
        <w:t>Karolinska Institutet</w:t>
      </w:r>
      <w:r w:rsidRPr="00EF18C1">
        <w:rPr>
          <w:rFonts w:hint="eastAsia"/>
          <w:lang w:eastAsia="zh-CN"/>
        </w:rPr>
        <w:t>.</w:t>
      </w:r>
    </w:p>
    <w:p w:rsidR="00E44CAC" w:rsidRPr="00E44CAC" w:rsidRDefault="00E44CAC" w:rsidP="006A6D1B">
      <w:pPr>
        <w:pStyle w:val="a3"/>
      </w:pPr>
      <w:r>
        <w:rPr>
          <w:rFonts w:hint="eastAsia"/>
        </w:rPr>
        <w:t xml:space="preserve">Full Text: </w:t>
      </w:r>
      <w:hyperlink r:id="rId1435" w:history="1">
        <w:r w:rsidRPr="00E44CAC">
          <w:rPr>
            <w:rStyle w:val="a5"/>
            <w:rFonts w:eastAsiaTheme="minorEastAsia"/>
          </w:rPr>
          <w:t>2007\Bibliometric indicators.pdf</w:t>
        </w:r>
      </w:hyperlink>
    </w:p>
    <w:p w:rsidR="00EB42B9" w:rsidRPr="00FC7835" w:rsidRDefault="00EB42B9" w:rsidP="00EB42B9">
      <w:pPr>
        <w:pStyle w:val="1"/>
      </w:pPr>
      <w:r w:rsidRPr="00FC7835">
        <w:rPr>
          <w:b w:val="0"/>
        </w:rPr>
        <w:br w:type="page"/>
      </w:r>
      <w:bookmarkStart w:id="741" w:name="_Toc420814700"/>
      <w:r w:rsidRPr="00FC7835">
        <w:lastRenderedPageBreak/>
        <w:t>Title: Bibliometric Notes</w:t>
      </w:r>
      <w:bookmarkEnd w:id="741"/>
    </w:p>
    <w:p w:rsidR="00EB42B9" w:rsidRPr="00FC7835" w:rsidRDefault="00EB42B9" w:rsidP="00EB42B9">
      <w:pPr>
        <w:pStyle w:val="12"/>
      </w:pPr>
      <w:r w:rsidRPr="00FC7835">
        <w:t xml:space="preserve">Full Journal Title: </w:t>
      </w:r>
      <w:bookmarkStart w:id="742" w:name="_Toc279669481"/>
      <w:r w:rsidRPr="00FC7835">
        <w:t>Bibliometric Notes</w:t>
      </w:r>
    </w:p>
    <w:p w:rsidR="00EB42B9" w:rsidRPr="00FC7835" w:rsidRDefault="00EB42B9" w:rsidP="00EB42B9">
      <w:pPr>
        <w:pStyle w:val="12"/>
      </w:pPr>
      <w:r w:rsidRPr="00FC7835">
        <w:t>ISO Ab</w:t>
      </w:r>
      <w:bookmarkEnd w:id="742"/>
      <w:r w:rsidRPr="00FC7835">
        <w:t xml:space="preserve">breviated Title: </w:t>
      </w:r>
    </w:p>
    <w:p w:rsidR="00EB42B9" w:rsidRPr="00FC7835" w:rsidRDefault="00EB42B9" w:rsidP="00EB42B9">
      <w:pPr>
        <w:pStyle w:val="12"/>
      </w:pPr>
      <w:r w:rsidRPr="00FC7835">
        <w:t xml:space="preserve">JCR Abbreviated Title: </w:t>
      </w:r>
    </w:p>
    <w:p w:rsidR="00EB42B9" w:rsidRPr="00FC7835" w:rsidRDefault="00EB42B9" w:rsidP="00EB42B9">
      <w:pPr>
        <w:pStyle w:val="12"/>
      </w:pPr>
      <w:r w:rsidRPr="00FC7835">
        <w:t xml:space="preserve">ISSN: </w:t>
      </w:r>
    </w:p>
    <w:p w:rsidR="00EB42B9" w:rsidRPr="00FC7835" w:rsidRDefault="00EB42B9" w:rsidP="00EB42B9">
      <w:pPr>
        <w:pStyle w:val="12"/>
      </w:pPr>
      <w:r w:rsidRPr="00FC7835">
        <w:t xml:space="preserve">Issues/Year: </w:t>
      </w:r>
    </w:p>
    <w:p w:rsidR="00EB42B9" w:rsidRPr="00FC7835" w:rsidRDefault="00EB42B9" w:rsidP="00EB42B9">
      <w:pPr>
        <w:pStyle w:val="12"/>
      </w:pPr>
      <w:r w:rsidRPr="00FC7835">
        <w:t xml:space="preserve">Journal Country/Territory: </w:t>
      </w:r>
    </w:p>
    <w:p w:rsidR="00EB42B9" w:rsidRPr="00FC7835" w:rsidRDefault="00EB42B9" w:rsidP="00EB42B9">
      <w:pPr>
        <w:pStyle w:val="12"/>
      </w:pPr>
      <w:r w:rsidRPr="00FC7835">
        <w:t xml:space="preserve">Language: </w:t>
      </w:r>
    </w:p>
    <w:p w:rsidR="00EB42B9" w:rsidRPr="00FC7835" w:rsidRDefault="00EB42B9" w:rsidP="00EB42B9">
      <w:pPr>
        <w:pStyle w:val="12"/>
      </w:pPr>
      <w:r w:rsidRPr="00FC7835">
        <w:t xml:space="preserve">Publisher: </w:t>
      </w:r>
    </w:p>
    <w:p w:rsidR="00EB42B9" w:rsidRPr="00FC7835" w:rsidRDefault="00EB42B9" w:rsidP="00EB42B9">
      <w:pPr>
        <w:pStyle w:val="12"/>
      </w:pPr>
      <w:r w:rsidRPr="00FC7835">
        <w:t xml:space="preserve">Publisher Address: </w:t>
      </w:r>
    </w:p>
    <w:p w:rsidR="00EB42B9" w:rsidRPr="00FC7835" w:rsidRDefault="00EB42B9" w:rsidP="00EB42B9">
      <w:pPr>
        <w:pStyle w:val="12"/>
      </w:pPr>
      <w:r w:rsidRPr="00FC7835">
        <w:t xml:space="preserve">Subject Categories: </w:t>
      </w:r>
    </w:p>
    <w:p w:rsidR="00EB42B9" w:rsidRPr="00FC7835" w:rsidRDefault="00EB42B9" w:rsidP="00EB42B9">
      <w:pPr>
        <w:pStyle w:val="12"/>
      </w:pPr>
      <w:r w:rsidRPr="00FC7835">
        <w:t>: Impact Factor</w:t>
      </w:r>
    </w:p>
    <w:p w:rsidR="00EB42B9" w:rsidRPr="00FC7835" w:rsidRDefault="00EB42B9" w:rsidP="00EB42B9">
      <w:pPr>
        <w:pStyle w:val="a3"/>
      </w:pPr>
    </w:p>
    <w:p w:rsidR="00EB42B9" w:rsidRPr="00FC7835" w:rsidRDefault="00EB42B9" w:rsidP="00EB42B9">
      <w:pPr>
        <w:pStyle w:val="1"/>
      </w:pPr>
      <w:r w:rsidRPr="00FC7835">
        <w:rPr>
          <w:b w:val="0"/>
        </w:rPr>
        <w:br w:type="page"/>
      </w:r>
      <w:bookmarkStart w:id="743" w:name="_Toc420814701"/>
      <w:r w:rsidRPr="00FC7835">
        <w:lastRenderedPageBreak/>
        <w:t xml:space="preserve">Title: </w:t>
      </w:r>
      <w:r w:rsidRPr="00300ED1">
        <w:t>Bilig</w:t>
      </w:r>
      <w:bookmarkEnd w:id="743"/>
    </w:p>
    <w:p w:rsidR="00EB42B9" w:rsidRPr="00FC7835" w:rsidRDefault="00EB42B9" w:rsidP="00EB42B9">
      <w:pPr>
        <w:pStyle w:val="12"/>
      </w:pPr>
      <w:r w:rsidRPr="00FC7835">
        <w:t xml:space="preserve">Full Journal Title: </w:t>
      </w:r>
      <w:hyperlink r:id="rId1436" w:history="1">
        <w:r w:rsidRPr="00EB42B9">
          <w:rPr>
            <w:rStyle w:val="a5"/>
            <w:iCs/>
            <w:kern w:val="0"/>
          </w:rPr>
          <w:t>Bilig</w:t>
        </w:r>
      </w:hyperlink>
    </w:p>
    <w:p w:rsidR="00EB42B9" w:rsidRPr="00FC7835" w:rsidRDefault="00EB42B9" w:rsidP="00EB42B9">
      <w:pPr>
        <w:pStyle w:val="12"/>
      </w:pPr>
      <w:r w:rsidRPr="00FC7835">
        <w:t xml:space="preserve">ISO Abbreviated Title: </w:t>
      </w:r>
      <w:r w:rsidRPr="00300ED1">
        <w:rPr>
          <w:iCs/>
          <w:kern w:val="0"/>
        </w:rPr>
        <w:t>Bilig</w:t>
      </w:r>
    </w:p>
    <w:p w:rsidR="00EB42B9" w:rsidRPr="00FC7835" w:rsidRDefault="00EB42B9" w:rsidP="00EB42B9">
      <w:pPr>
        <w:pStyle w:val="12"/>
      </w:pPr>
      <w:r w:rsidRPr="00FC7835">
        <w:t xml:space="preserve">JCR Abbreviated Title: </w:t>
      </w:r>
      <w:r w:rsidRPr="00300ED1">
        <w:rPr>
          <w:iCs/>
          <w:kern w:val="0"/>
        </w:rPr>
        <w:t>Bilig</w:t>
      </w:r>
    </w:p>
    <w:p w:rsidR="00EB42B9" w:rsidRPr="00FC7835" w:rsidRDefault="00EB42B9" w:rsidP="00EB42B9">
      <w:pPr>
        <w:pStyle w:val="12"/>
      </w:pPr>
      <w:r w:rsidRPr="00FC7835">
        <w:t xml:space="preserve">ISSN: </w:t>
      </w:r>
    </w:p>
    <w:p w:rsidR="00EB42B9" w:rsidRPr="00FC7835" w:rsidRDefault="00EB42B9" w:rsidP="00EB42B9">
      <w:pPr>
        <w:pStyle w:val="12"/>
      </w:pPr>
      <w:r w:rsidRPr="00FC7835">
        <w:t xml:space="preserve">Issues/Year: </w:t>
      </w:r>
    </w:p>
    <w:p w:rsidR="00EB42B9" w:rsidRPr="00FC7835" w:rsidRDefault="00EB42B9" w:rsidP="00EB42B9">
      <w:pPr>
        <w:pStyle w:val="12"/>
      </w:pPr>
      <w:r w:rsidRPr="00FC7835">
        <w:t xml:space="preserve">Journal Country/Territory: </w:t>
      </w:r>
    </w:p>
    <w:p w:rsidR="00EB42B9" w:rsidRPr="00FC7835" w:rsidRDefault="00EB42B9" w:rsidP="00EB42B9">
      <w:pPr>
        <w:pStyle w:val="12"/>
      </w:pPr>
      <w:r w:rsidRPr="00FC7835">
        <w:t xml:space="preserve">Language: </w:t>
      </w:r>
    </w:p>
    <w:p w:rsidR="00EB42B9" w:rsidRPr="00FC7835" w:rsidRDefault="00EB42B9" w:rsidP="00EB42B9">
      <w:pPr>
        <w:pStyle w:val="12"/>
      </w:pPr>
      <w:r w:rsidRPr="00FC7835">
        <w:t xml:space="preserve">Publisher: </w:t>
      </w:r>
    </w:p>
    <w:p w:rsidR="00EB42B9" w:rsidRPr="00FC7835" w:rsidRDefault="00EB42B9" w:rsidP="00EB42B9">
      <w:pPr>
        <w:pStyle w:val="12"/>
      </w:pPr>
      <w:r w:rsidRPr="00FC7835">
        <w:t xml:space="preserve">Publisher Address: </w:t>
      </w:r>
    </w:p>
    <w:p w:rsidR="00EB42B9" w:rsidRPr="00FC7835" w:rsidRDefault="00EB42B9" w:rsidP="00EB42B9">
      <w:pPr>
        <w:pStyle w:val="12"/>
      </w:pPr>
      <w:r w:rsidRPr="00FC7835">
        <w:t xml:space="preserve">Subject Categories: </w:t>
      </w:r>
    </w:p>
    <w:p w:rsidR="00EB42B9" w:rsidRPr="00FC7835" w:rsidRDefault="00EB42B9" w:rsidP="00EB42B9">
      <w:pPr>
        <w:pStyle w:val="12"/>
      </w:pPr>
      <w:r w:rsidRPr="00FC7835">
        <w:t>: Impact Factor</w:t>
      </w:r>
    </w:p>
    <w:p w:rsidR="00413CD5" w:rsidRDefault="00413CD5" w:rsidP="00413CD5">
      <w:pPr>
        <w:pStyle w:val="a3"/>
        <w:rPr>
          <w:kern w:val="0"/>
        </w:rPr>
      </w:pPr>
      <w:r>
        <w:rPr>
          <w:rFonts w:hint="eastAsia"/>
          <w:kern w:val="0"/>
        </w:rPr>
        <w:t xml:space="preserve">? </w:t>
      </w:r>
      <w:r>
        <w:rPr>
          <w:kern w:val="0"/>
        </w:rPr>
        <w:t>Al, U., Soydal,</w:t>
      </w:r>
      <w:r>
        <w:rPr>
          <w:rFonts w:hint="eastAsia"/>
          <w:kern w:val="0"/>
        </w:rPr>
        <w:t xml:space="preserve"> </w:t>
      </w:r>
      <w:r>
        <w:rPr>
          <w:kern w:val="0"/>
        </w:rPr>
        <w:t>İ.</w:t>
      </w:r>
      <w:r w:rsidR="005853A9">
        <w:rPr>
          <w:kern w:val="0"/>
        </w:rPr>
        <w:t xml:space="preserve"> and </w:t>
      </w:r>
      <w:r>
        <w:rPr>
          <w:kern w:val="0"/>
        </w:rPr>
        <w:t>Yalçın, H. (2010), An evaluation</w:t>
      </w:r>
      <w:r w:rsidR="00427468">
        <w:rPr>
          <w:kern w:val="0"/>
        </w:rPr>
        <w:t xml:space="preserve"> of </w:t>
      </w:r>
      <w:r w:rsidR="003A1917">
        <w:rPr>
          <w:kern w:val="0"/>
        </w:rPr>
        <w:t xml:space="preserve">the </w:t>
      </w:r>
      <w:r>
        <w:rPr>
          <w:kern w:val="0"/>
        </w:rPr>
        <w:t>bibliometric features</w:t>
      </w:r>
      <w:r w:rsidR="00427468">
        <w:rPr>
          <w:kern w:val="0"/>
        </w:rPr>
        <w:t xml:space="preserve"> of </w:t>
      </w:r>
      <w:r w:rsidRPr="00A332DF">
        <w:rPr>
          <w:i/>
          <w:kern w:val="0"/>
        </w:rPr>
        <w:t>Bilig</w:t>
      </w:r>
      <w:r>
        <w:rPr>
          <w:kern w:val="0"/>
        </w:rPr>
        <w:t xml:space="preserve">. </w:t>
      </w:r>
      <w:r w:rsidRPr="00300ED1">
        <w:rPr>
          <w:i/>
          <w:iCs/>
          <w:kern w:val="0"/>
        </w:rPr>
        <w:t>Bilig</w:t>
      </w:r>
      <w:r>
        <w:rPr>
          <w:kern w:val="0"/>
        </w:rPr>
        <w:t xml:space="preserve">, </w:t>
      </w:r>
      <w:r w:rsidRPr="00300ED1">
        <w:rPr>
          <w:b/>
          <w:kern w:val="0"/>
        </w:rPr>
        <w:t>55</w:t>
      </w:r>
      <w:r>
        <w:rPr>
          <w:kern w:val="0"/>
        </w:rPr>
        <w:t>, 1-20.</w:t>
      </w:r>
    </w:p>
    <w:p w:rsidR="00EB42B9" w:rsidRDefault="00EB42B9" w:rsidP="00EB42B9">
      <w:pPr>
        <w:pStyle w:val="a3"/>
        <w:rPr>
          <w:kern w:val="0"/>
        </w:rPr>
      </w:pPr>
      <w:r>
        <w:rPr>
          <w:rFonts w:hint="eastAsia"/>
          <w:kern w:val="0"/>
        </w:rPr>
        <w:t xml:space="preserve">Full Text: </w:t>
      </w:r>
      <w:hyperlink r:id="rId1437" w:history="1">
        <w:r w:rsidRPr="00300ED1">
          <w:rPr>
            <w:rStyle w:val="a5"/>
            <w:kern w:val="0"/>
          </w:rPr>
          <w:t>2010\Bilig55, 1.pdf</w:t>
        </w:r>
      </w:hyperlink>
    </w:p>
    <w:p w:rsidR="00EB42B9" w:rsidRDefault="00EB42B9" w:rsidP="00EB42B9">
      <w:pPr>
        <w:pStyle w:val="a3"/>
        <w:rPr>
          <w:kern w:val="0"/>
        </w:rPr>
      </w:pPr>
      <w:r>
        <w:rPr>
          <w:kern w:val="0"/>
        </w:rPr>
        <w:t>Abstract: bilig has been indexed by</w:t>
      </w:r>
      <w:r w:rsidR="003A1917">
        <w:rPr>
          <w:kern w:val="0"/>
        </w:rPr>
        <w:t xml:space="preserve"> the </w:t>
      </w:r>
      <w:r>
        <w:rPr>
          <w:kern w:val="0"/>
        </w:rPr>
        <w:t>Social Sciences Citation Index since 2008 This study examines bilig</w:t>
      </w:r>
      <w:r w:rsidR="005853A9">
        <w:rPr>
          <w:kern w:val="0"/>
        </w:rPr>
        <w:t xml:space="preserve"> and </w:t>
      </w:r>
      <w:r w:rsidR="003A1917">
        <w:rPr>
          <w:kern w:val="0"/>
        </w:rPr>
        <w:t xml:space="preserve">the </w:t>
      </w:r>
      <w:r>
        <w:rPr>
          <w:kern w:val="0"/>
        </w:rPr>
        <w:t>bibliometric features</w:t>
      </w:r>
      <w:r w:rsidR="00427468">
        <w:rPr>
          <w:kern w:val="0"/>
        </w:rPr>
        <w:t xml:space="preserve"> of </w:t>
      </w:r>
      <w:r>
        <w:rPr>
          <w:kern w:val="0"/>
        </w:rPr>
        <w:t>its Publications in citation Indexes</w:t>
      </w:r>
      <w:r w:rsidR="003A1917">
        <w:rPr>
          <w:kern w:val="0"/>
        </w:rPr>
        <w:t xml:space="preserve"> the </w:t>
      </w:r>
      <w:r>
        <w:rPr>
          <w:kern w:val="0"/>
        </w:rPr>
        <w:t>following research questions are addressed 1) What are</w:t>
      </w:r>
      <w:r w:rsidR="003A1917">
        <w:rPr>
          <w:kern w:val="0"/>
        </w:rPr>
        <w:t xml:space="preserve"> the </w:t>
      </w:r>
      <w:r>
        <w:rPr>
          <w:kern w:val="0"/>
        </w:rPr>
        <w:t>institutional affiliations</w:t>
      </w:r>
      <w:r w:rsidR="00427468">
        <w:rPr>
          <w:kern w:val="0"/>
        </w:rPr>
        <w:t xml:space="preserve"> of </w:t>
      </w:r>
      <w:r w:rsidR="003A1917">
        <w:rPr>
          <w:kern w:val="0"/>
        </w:rPr>
        <w:t xml:space="preserve">the </w:t>
      </w:r>
      <w:r>
        <w:rPr>
          <w:kern w:val="0"/>
        </w:rPr>
        <w:t>authors</w:t>
      </w:r>
      <w:r w:rsidR="00427468">
        <w:rPr>
          <w:kern w:val="0"/>
        </w:rPr>
        <w:t xml:space="preserve"> of </w:t>
      </w:r>
      <w:r w:rsidR="003A1917">
        <w:rPr>
          <w:kern w:val="0"/>
        </w:rPr>
        <w:t xml:space="preserve">the </w:t>
      </w:r>
      <w:r>
        <w:rPr>
          <w:kern w:val="0"/>
        </w:rPr>
        <w:t>publications? 2) Is multiple authorship a prevalent feature</w:t>
      </w:r>
      <w:r w:rsidR="00427468">
        <w:rPr>
          <w:kern w:val="0"/>
        </w:rPr>
        <w:t xml:space="preserve"> of </w:t>
      </w:r>
      <w:r w:rsidR="003A1917">
        <w:rPr>
          <w:kern w:val="0"/>
        </w:rPr>
        <w:t xml:space="preserve">the </w:t>
      </w:r>
      <w:r>
        <w:rPr>
          <w:kern w:val="0"/>
        </w:rPr>
        <w:t>publications? 3) Which types</w:t>
      </w:r>
      <w:r w:rsidR="00427468">
        <w:rPr>
          <w:kern w:val="0"/>
        </w:rPr>
        <w:t xml:space="preserve"> of </w:t>
      </w:r>
      <w:r>
        <w:rPr>
          <w:kern w:val="0"/>
        </w:rPr>
        <w:t>sources (books, journal articles, etc) get cited more often in</w:t>
      </w:r>
      <w:r w:rsidR="003A1917">
        <w:rPr>
          <w:kern w:val="0"/>
        </w:rPr>
        <w:t xml:space="preserve"> the </w:t>
      </w:r>
      <w:r>
        <w:rPr>
          <w:kern w:val="0"/>
        </w:rPr>
        <w:t>publications? 4) What are</w:t>
      </w:r>
      <w:r w:rsidR="003A1917">
        <w:rPr>
          <w:kern w:val="0"/>
        </w:rPr>
        <w:t xml:space="preserve"> the </w:t>
      </w:r>
      <w:r>
        <w:rPr>
          <w:kern w:val="0"/>
        </w:rPr>
        <w:t>most frequently cited journals in bilig? 5) What is</w:t>
      </w:r>
      <w:r w:rsidR="003A1917">
        <w:rPr>
          <w:kern w:val="0"/>
        </w:rPr>
        <w:t xml:space="preserve"> the </w:t>
      </w:r>
      <w:r>
        <w:rPr>
          <w:kern w:val="0"/>
        </w:rPr>
        <w:t>rate</w:t>
      </w:r>
      <w:r w:rsidR="00427468">
        <w:rPr>
          <w:kern w:val="0"/>
        </w:rPr>
        <w:t xml:space="preserve"> of </w:t>
      </w:r>
      <w:r>
        <w:rPr>
          <w:kern w:val="0"/>
        </w:rPr>
        <w:t>literature obsolescence in bilig? Moreover, this,study examines</w:t>
      </w:r>
      <w:r w:rsidR="003A1917">
        <w:rPr>
          <w:kern w:val="0"/>
        </w:rPr>
        <w:t xml:space="preserve"> the </w:t>
      </w:r>
      <w:r>
        <w:rPr>
          <w:kern w:val="0"/>
        </w:rPr>
        <w:t>relationships among</w:t>
      </w:r>
      <w:r w:rsidR="003A1917">
        <w:rPr>
          <w:kern w:val="0"/>
        </w:rPr>
        <w:t xml:space="preserve"> the </w:t>
      </w:r>
      <w:r>
        <w:rPr>
          <w:kern w:val="0"/>
        </w:rPr>
        <w:t>cited authors in bilig by using social network analysis method In conclusion, it is found that almost all</w:t>
      </w:r>
      <w:r w:rsidR="00427468">
        <w:rPr>
          <w:kern w:val="0"/>
        </w:rPr>
        <w:t xml:space="preserve"> of </w:t>
      </w:r>
      <w:r w:rsidR="003A1917">
        <w:rPr>
          <w:kern w:val="0"/>
        </w:rPr>
        <w:t xml:space="preserve">the </w:t>
      </w:r>
      <w:r>
        <w:rPr>
          <w:kern w:val="0"/>
        </w:rPr>
        <w:t>publications are written in Turkish An important part</w:t>
      </w:r>
      <w:r w:rsidR="00427468">
        <w:rPr>
          <w:kern w:val="0"/>
        </w:rPr>
        <w:t xml:space="preserve"> of </w:t>
      </w:r>
      <w:r w:rsidR="003A1917">
        <w:rPr>
          <w:kern w:val="0"/>
        </w:rPr>
        <w:t xml:space="preserve">the </w:t>
      </w:r>
      <w:r>
        <w:rPr>
          <w:kern w:val="0"/>
        </w:rPr>
        <w:t>contributors is affiliated with Gazi, Hacettepe</w:t>
      </w:r>
      <w:r w:rsidR="005853A9">
        <w:rPr>
          <w:kern w:val="0"/>
        </w:rPr>
        <w:t xml:space="preserve"> and </w:t>
      </w:r>
      <w:r>
        <w:rPr>
          <w:kern w:val="0"/>
        </w:rPr>
        <w:t>Baskent Universities Books receive 65%</w:t>
      </w:r>
      <w:r w:rsidR="00427468">
        <w:rPr>
          <w:kern w:val="0"/>
        </w:rPr>
        <w:t xml:space="preserve"> of </w:t>
      </w:r>
      <w:r>
        <w:rPr>
          <w:kern w:val="0"/>
        </w:rPr>
        <w:t>all citations in Wig Half</w:t>
      </w:r>
      <w:r w:rsidR="00427468">
        <w:rPr>
          <w:kern w:val="0"/>
        </w:rPr>
        <w:t xml:space="preserve"> of </w:t>
      </w:r>
      <w:r w:rsidR="003A1917">
        <w:rPr>
          <w:kern w:val="0"/>
        </w:rPr>
        <w:t xml:space="preserve">the </w:t>
      </w:r>
      <w:r>
        <w:rPr>
          <w:kern w:val="0"/>
        </w:rPr>
        <w:t>sources cited in bilig have been published in</w:t>
      </w:r>
      <w:r w:rsidR="003A1917">
        <w:rPr>
          <w:kern w:val="0"/>
        </w:rPr>
        <w:t xml:space="preserve"> the </w:t>
      </w:r>
      <w:r>
        <w:rPr>
          <w:kern w:val="0"/>
        </w:rPr>
        <w:t>last 16 years.</w:t>
      </w:r>
    </w:p>
    <w:p w:rsidR="00EB42B9" w:rsidRDefault="00EB42B9" w:rsidP="00EB42B9">
      <w:pPr>
        <w:pStyle w:val="a3"/>
        <w:rPr>
          <w:kern w:val="0"/>
        </w:rPr>
      </w:pPr>
      <w:r>
        <w:rPr>
          <w:kern w:val="0"/>
        </w:rPr>
        <w:t>Keywords: Analysis, Authorship, Bibliometric, Bibliometrics Co-Citation Analysis, Bilig, Citation, Citations, Journal, Journals, Literature, Network, Network Analysis, Output, Publications, Research, Sciences, Social Network Analysis, Social-Science Publications, Universities</w:t>
      </w:r>
    </w:p>
    <w:p w:rsidR="004E5D51" w:rsidRDefault="004E5D51" w:rsidP="004E5D51">
      <w:pPr>
        <w:pStyle w:val="a3"/>
        <w:rPr>
          <w:kern w:val="0"/>
        </w:rPr>
      </w:pPr>
      <w:r>
        <w:rPr>
          <w:rFonts w:hint="eastAsia"/>
          <w:kern w:val="0"/>
        </w:rPr>
        <w:t xml:space="preserve">? </w:t>
      </w:r>
      <w:r>
        <w:rPr>
          <w:kern w:val="0"/>
        </w:rPr>
        <w:t>Al, U. (2012), Publication</w:t>
      </w:r>
      <w:r w:rsidR="005853A9">
        <w:rPr>
          <w:kern w:val="0"/>
        </w:rPr>
        <w:t xml:space="preserve"> and </w:t>
      </w:r>
      <w:r>
        <w:rPr>
          <w:kern w:val="0"/>
        </w:rPr>
        <w:t>citation performances</w:t>
      </w:r>
      <w:r w:rsidR="00427468">
        <w:rPr>
          <w:kern w:val="0"/>
        </w:rPr>
        <w:t xml:space="preserve"> of </w:t>
      </w:r>
      <w:r>
        <w:rPr>
          <w:kern w:val="0"/>
        </w:rPr>
        <w:t>European Union countries</w:t>
      </w:r>
      <w:r w:rsidR="005853A9">
        <w:rPr>
          <w:kern w:val="0"/>
        </w:rPr>
        <w:t xml:space="preserve"> and </w:t>
      </w:r>
      <w:r>
        <w:rPr>
          <w:kern w:val="0"/>
        </w:rPr>
        <w:t xml:space="preserve">Turkey. </w:t>
      </w:r>
      <w:r>
        <w:rPr>
          <w:i/>
          <w:iCs/>
          <w:kern w:val="0"/>
        </w:rPr>
        <w:t>Bilig</w:t>
      </w:r>
      <w:r>
        <w:rPr>
          <w:kern w:val="0"/>
        </w:rPr>
        <w:t xml:space="preserve">, </w:t>
      </w:r>
      <w:r w:rsidRPr="008047FD">
        <w:rPr>
          <w:b/>
          <w:kern w:val="0"/>
        </w:rPr>
        <w:t>62</w:t>
      </w:r>
      <w:r>
        <w:rPr>
          <w:kern w:val="0"/>
        </w:rPr>
        <w:t>, 1-20.</w:t>
      </w:r>
    </w:p>
    <w:p w:rsidR="004E5D51" w:rsidRDefault="004E5D51" w:rsidP="004E5D51">
      <w:pPr>
        <w:pStyle w:val="a3"/>
        <w:rPr>
          <w:kern w:val="0"/>
        </w:rPr>
      </w:pPr>
      <w:r>
        <w:rPr>
          <w:rFonts w:hint="eastAsia"/>
          <w:kern w:val="0"/>
        </w:rPr>
        <w:t xml:space="preserve">Full Text: </w:t>
      </w:r>
      <w:hyperlink r:id="rId1438" w:history="1">
        <w:r w:rsidRPr="004E5D51">
          <w:rPr>
            <w:rStyle w:val="a5"/>
            <w:kern w:val="0"/>
          </w:rPr>
          <w:t>2012\Bilig62, 1.pdf</w:t>
        </w:r>
      </w:hyperlink>
    </w:p>
    <w:p w:rsidR="004E5D51" w:rsidRDefault="004E5D51" w:rsidP="004E5D51">
      <w:pPr>
        <w:pStyle w:val="a3"/>
        <w:rPr>
          <w:kern w:val="0"/>
        </w:rPr>
      </w:pPr>
      <w:r>
        <w:rPr>
          <w:kern w:val="0"/>
        </w:rPr>
        <w:t>Abstract: Research on</w:t>
      </w:r>
      <w:r w:rsidR="003A1917">
        <w:rPr>
          <w:kern w:val="0"/>
        </w:rPr>
        <w:t xml:space="preserve"> the </w:t>
      </w:r>
      <w:r>
        <w:rPr>
          <w:kern w:val="0"/>
        </w:rPr>
        <w:t>dynamics</w:t>
      </w:r>
      <w:r w:rsidR="00427468">
        <w:rPr>
          <w:kern w:val="0"/>
        </w:rPr>
        <w:t xml:space="preserve"> of </w:t>
      </w:r>
      <w:r>
        <w:rPr>
          <w:kern w:val="0"/>
        </w:rPr>
        <w:t>scientific publications attracts</w:t>
      </w:r>
      <w:r w:rsidR="003A1917">
        <w:rPr>
          <w:kern w:val="0"/>
        </w:rPr>
        <w:t xml:space="preserve"> the </w:t>
      </w:r>
      <w:r>
        <w:rPr>
          <w:kern w:val="0"/>
        </w:rPr>
        <w:t>attention</w:t>
      </w:r>
      <w:r w:rsidR="00427468">
        <w:rPr>
          <w:kern w:val="0"/>
        </w:rPr>
        <w:t xml:space="preserve"> of </w:t>
      </w:r>
      <w:r w:rsidR="003A1917">
        <w:rPr>
          <w:kern w:val="0"/>
        </w:rPr>
        <w:t xml:space="preserve">the </w:t>
      </w:r>
      <w:r>
        <w:rPr>
          <w:kern w:val="0"/>
        </w:rPr>
        <w:t>scientific world,</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studies in this area has been gradually increasing during recent years</w:t>
      </w:r>
      <w:r w:rsidR="00A37C1D">
        <w:rPr>
          <w:kern w:val="0"/>
        </w:rPr>
        <w:t>. The</w:t>
      </w:r>
      <w:r w:rsidR="003A1917">
        <w:rPr>
          <w:kern w:val="0"/>
        </w:rPr>
        <w:t xml:space="preserve"> </w:t>
      </w:r>
      <w:r>
        <w:rPr>
          <w:kern w:val="0"/>
        </w:rPr>
        <w:t>efficiency</w:t>
      </w:r>
      <w:r w:rsidR="00427468">
        <w:rPr>
          <w:kern w:val="0"/>
        </w:rPr>
        <w:t xml:space="preserve"> of </w:t>
      </w:r>
      <w:r>
        <w:rPr>
          <w:kern w:val="0"/>
        </w:rPr>
        <w:t xml:space="preserve">scientific publications is usually evaluated </w:t>
      </w:r>
      <w:r>
        <w:rPr>
          <w:kern w:val="0"/>
        </w:rPr>
        <w:lastRenderedPageBreak/>
        <w:t>through bibliometric studies. Citation indexes serve as</w:t>
      </w:r>
      <w:r w:rsidR="003A1917">
        <w:rPr>
          <w:kern w:val="0"/>
        </w:rPr>
        <w:t xml:space="preserve"> the </w:t>
      </w:r>
      <w:r>
        <w:rPr>
          <w:kern w:val="0"/>
        </w:rPr>
        <w:t>source</w:t>
      </w:r>
      <w:r w:rsidR="00427468">
        <w:rPr>
          <w:kern w:val="0"/>
        </w:rPr>
        <w:t xml:space="preserve"> of </w:t>
      </w:r>
      <w:r>
        <w:rPr>
          <w:kern w:val="0"/>
        </w:rPr>
        <w:t>data for bibliometric research</w:t>
      </w:r>
      <w:r w:rsidR="00A37C1D">
        <w:rPr>
          <w:kern w:val="0"/>
        </w:rPr>
        <w:t>. The</w:t>
      </w:r>
      <w:r w:rsidR="003A1917">
        <w:rPr>
          <w:kern w:val="0"/>
        </w:rPr>
        <w:t xml:space="preserve"> </w:t>
      </w:r>
      <w:r>
        <w:rPr>
          <w:kern w:val="0"/>
        </w:rPr>
        <w:t>data used in this study is obtained from Essential Science Indicators. Essential Science Indicators provide data about</w:t>
      </w:r>
      <w:r w:rsidR="003A1917">
        <w:rPr>
          <w:kern w:val="0"/>
        </w:rPr>
        <w:t xml:space="preserve"> the </w:t>
      </w:r>
      <w:r>
        <w:rPr>
          <w:kern w:val="0"/>
        </w:rPr>
        <w:t>publications</w:t>
      </w:r>
      <w:r w:rsidR="005853A9">
        <w:rPr>
          <w:kern w:val="0"/>
        </w:rPr>
        <w:t xml:space="preserve"> and </w:t>
      </w:r>
      <w:r>
        <w:rPr>
          <w:kern w:val="0"/>
        </w:rPr>
        <w:t>citations</w:t>
      </w:r>
      <w:r w:rsidR="00427468">
        <w:rPr>
          <w:kern w:val="0"/>
        </w:rPr>
        <w:t xml:space="preserve"> of </w:t>
      </w:r>
      <w:r>
        <w:rPr>
          <w:kern w:val="0"/>
        </w:rPr>
        <w:t>countries in various fields. This study evaluates</w:t>
      </w:r>
      <w:r w:rsidR="003A1917">
        <w:rPr>
          <w:kern w:val="0"/>
        </w:rPr>
        <w:t xml:space="preserve"> the </w:t>
      </w:r>
      <w:r>
        <w:rPr>
          <w:kern w:val="0"/>
        </w:rPr>
        <w:t>publication</w:t>
      </w:r>
      <w:r w:rsidR="005853A9">
        <w:rPr>
          <w:kern w:val="0"/>
        </w:rPr>
        <w:t xml:space="preserve"> and </w:t>
      </w:r>
      <w:r>
        <w:rPr>
          <w:kern w:val="0"/>
        </w:rPr>
        <w:t>citation performance</w:t>
      </w:r>
      <w:r w:rsidR="00427468">
        <w:rPr>
          <w:kern w:val="0"/>
        </w:rPr>
        <w:t xml:space="preserve"> of </w:t>
      </w:r>
      <w:r>
        <w:rPr>
          <w:kern w:val="0"/>
        </w:rPr>
        <w:t>Turkey</w:t>
      </w:r>
      <w:r w:rsidR="005853A9">
        <w:rPr>
          <w:kern w:val="0"/>
        </w:rPr>
        <w:t xml:space="preserve"> and </w:t>
      </w:r>
      <w:r>
        <w:rPr>
          <w:kern w:val="0"/>
        </w:rPr>
        <w:t>includes various comparisons based on European Union countries. In this research, cluster analysis technique is used to determine which countries are similar in publication</w:t>
      </w:r>
      <w:r w:rsidR="005853A9">
        <w:rPr>
          <w:kern w:val="0"/>
        </w:rPr>
        <w:t xml:space="preserve"> and </w:t>
      </w:r>
      <w:r>
        <w:rPr>
          <w:kern w:val="0"/>
        </w:rPr>
        <w:t>citation performances</w:t>
      </w:r>
      <w:r w:rsidR="00A37C1D">
        <w:rPr>
          <w:kern w:val="0"/>
        </w:rPr>
        <w:t>. The</w:t>
      </w:r>
      <w:r w:rsidR="003A1917">
        <w:rPr>
          <w:kern w:val="0"/>
        </w:rPr>
        <w:t xml:space="preserve"> </w:t>
      </w:r>
      <w:r>
        <w:rPr>
          <w:kern w:val="0"/>
        </w:rPr>
        <w:t>findings indicate that England, Germany, France</w:t>
      </w:r>
      <w:r w:rsidR="005853A9">
        <w:rPr>
          <w:kern w:val="0"/>
        </w:rPr>
        <w:t xml:space="preserve"> and </w:t>
      </w:r>
      <w:r>
        <w:rPr>
          <w:kern w:val="0"/>
        </w:rPr>
        <w:t>Italy have</w:t>
      </w:r>
      <w:r w:rsidR="003A1917">
        <w:rPr>
          <w:kern w:val="0"/>
        </w:rPr>
        <w:t xml:space="preserve"> the </w:t>
      </w:r>
      <w:r>
        <w:rPr>
          <w:kern w:val="0"/>
        </w:rPr>
        <w:t>highest publication</w:t>
      </w:r>
      <w:r w:rsidR="005853A9">
        <w:rPr>
          <w:kern w:val="0"/>
        </w:rPr>
        <w:t xml:space="preserve"> and </w:t>
      </w:r>
      <w:r>
        <w:rPr>
          <w:kern w:val="0"/>
        </w:rPr>
        <w:t>citation performance among</w:t>
      </w:r>
      <w:r w:rsidR="003A1917">
        <w:rPr>
          <w:kern w:val="0"/>
        </w:rPr>
        <w:t xml:space="preserve"> the </w:t>
      </w:r>
      <w:r>
        <w:rPr>
          <w:kern w:val="0"/>
        </w:rPr>
        <w:t>European Union countries. On</w:t>
      </w:r>
      <w:r w:rsidR="003A1917">
        <w:rPr>
          <w:kern w:val="0"/>
        </w:rPr>
        <w:t xml:space="preserve"> the </w:t>
      </w:r>
      <w:r>
        <w:rPr>
          <w:kern w:val="0"/>
        </w:rPr>
        <w:t>other hand, Turkey has a place in</w:t>
      </w:r>
      <w:r w:rsidR="003A1917">
        <w:rPr>
          <w:kern w:val="0"/>
        </w:rPr>
        <w:t xml:space="preserve"> the </w:t>
      </w:r>
      <w:r>
        <w:rPr>
          <w:kern w:val="0"/>
        </w:rPr>
        <w:t>group</w:t>
      </w:r>
      <w:r w:rsidR="00427468">
        <w:rPr>
          <w:kern w:val="0"/>
        </w:rPr>
        <w:t xml:space="preserve"> of </w:t>
      </w:r>
      <w:r>
        <w:rPr>
          <w:kern w:val="0"/>
        </w:rPr>
        <w:t>countries with lower citation performances in all research fields.</w:t>
      </w:r>
    </w:p>
    <w:p w:rsidR="004E5D51" w:rsidRDefault="004E5D51" w:rsidP="004E5D51">
      <w:pPr>
        <w:pStyle w:val="a3"/>
        <w:rPr>
          <w:kern w:val="0"/>
        </w:rPr>
      </w:pPr>
      <w:r>
        <w:rPr>
          <w:kern w:val="0"/>
        </w:rPr>
        <w:t>Keywords: Analysis, Bibliometric, Bibliometric Research, Bibliometric Studies, Bibliometrics, Bibliometrics, Citation, Citation Impact, Citations, Cluster, Cluster Analysis, Data, Dynamics, Efficiency, England, European Union, European Union Countries, France, Germany, Indicators, Italy, Performance, Publication, Publication Performance, Publications, Recent, Research, Science, Scientific Publications, Source, Turkey, World</w:t>
      </w:r>
    </w:p>
    <w:p w:rsidR="002B1C6F" w:rsidRPr="00FC7835" w:rsidRDefault="002B1C6F" w:rsidP="002B1C6F">
      <w:pPr>
        <w:pStyle w:val="1"/>
      </w:pPr>
      <w:r w:rsidRPr="00DA0D39">
        <w:br w:type="page"/>
      </w:r>
      <w:bookmarkStart w:id="744" w:name="_Toc420814702"/>
      <w:r w:rsidRPr="00FC7835">
        <w:lastRenderedPageBreak/>
        <w:t xml:space="preserve">Title: </w:t>
      </w:r>
      <w:r w:rsidRPr="002B1C6F">
        <w:t>Bioanalysis</w:t>
      </w:r>
      <w:bookmarkEnd w:id="744"/>
    </w:p>
    <w:p w:rsidR="002B1C6F" w:rsidRPr="00FC7835" w:rsidRDefault="002B1C6F" w:rsidP="002B1C6F">
      <w:pPr>
        <w:pStyle w:val="12"/>
      </w:pPr>
      <w:r w:rsidRPr="00FC7835">
        <w:t xml:space="preserve">Full Journal Title: </w:t>
      </w:r>
      <w:r w:rsidRPr="002B1C6F">
        <w:rPr>
          <w:iCs/>
          <w:kern w:val="0"/>
        </w:rPr>
        <w:t>Bioanalysis</w:t>
      </w:r>
    </w:p>
    <w:p w:rsidR="002B1C6F" w:rsidRPr="00FC7835" w:rsidRDefault="002B1C6F" w:rsidP="002B1C6F">
      <w:pPr>
        <w:pStyle w:val="12"/>
      </w:pPr>
      <w:r w:rsidRPr="00FC7835">
        <w:t xml:space="preserve">ISO Abbreviated Title: </w:t>
      </w:r>
      <w:r w:rsidRPr="002B1C6F">
        <w:rPr>
          <w:iCs/>
          <w:kern w:val="0"/>
        </w:rPr>
        <w:t>Bioanalysis</w:t>
      </w:r>
    </w:p>
    <w:p w:rsidR="002B1C6F" w:rsidRPr="00FC7835" w:rsidRDefault="002B1C6F" w:rsidP="002B1C6F">
      <w:pPr>
        <w:pStyle w:val="12"/>
      </w:pPr>
      <w:r w:rsidRPr="00FC7835">
        <w:t xml:space="preserve">JCR Abbreviated Title: </w:t>
      </w:r>
      <w:r w:rsidRPr="002B1C6F">
        <w:rPr>
          <w:iCs/>
          <w:kern w:val="0"/>
        </w:rPr>
        <w:t>Bioanalysis</w:t>
      </w:r>
    </w:p>
    <w:p w:rsidR="002B1C6F" w:rsidRPr="00FC7835" w:rsidRDefault="002B1C6F" w:rsidP="002B1C6F">
      <w:pPr>
        <w:pStyle w:val="12"/>
      </w:pPr>
      <w:r w:rsidRPr="00FC7835">
        <w:t xml:space="preserve">ISSN: </w:t>
      </w:r>
    </w:p>
    <w:p w:rsidR="002B1C6F" w:rsidRPr="00FC7835" w:rsidRDefault="002B1C6F" w:rsidP="002B1C6F">
      <w:pPr>
        <w:pStyle w:val="12"/>
      </w:pPr>
      <w:r w:rsidRPr="00FC7835">
        <w:t xml:space="preserve">Issues/Year: </w:t>
      </w:r>
    </w:p>
    <w:p w:rsidR="002B1C6F" w:rsidRPr="00FC7835" w:rsidRDefault="002B1C6F" w:rsidP="002B1C6F">
      <w:pPr>
        <w:pStyle w:val="12"/>
      </w:pPr>
      <w:r>
        <w:t xml:space="preserve">Journal Country/Territory: </w:t>
      </w:r>
    </w:p>
    <w:p w:rsidR="002B1C6F" w:rsidRPr="00FC7835" w:rsidRDefault="002B1C6F" w:rsidP="002B1C6F">
      <w:pPr>
        <w:pStyle w:val="12"/>
      </w:pPr>
      <w:r w:rsidRPr="00FC7835">
        <w:t xml:space="preserve">Language: </w:t>
      </w:r>
    </w:p>
    <w:p w:rsidR="002B1C6F" w:rsidRPr="00FC7835" w:rsidRDefault="002B1C6F" w:rsidP="002B1C6F">
      <w:pPr>
        <w:pStyle w:val="12"/>
      </w:pPr>
      <w:r w:rsidRPr="00FC7835">
        <w:t xml:space="preserve">Publisher: </w:t>
      </w:r>
    </w:p>
    <w:p w:rsidR="002B1C6F" w:rsidRPr="00FC7835" w:rsidRDefault="002B1C6F" w:rsidP="002B1C6F">
      <w:pPr>
        <w:pStyle w:val="12"/>
      </w:pPr>
      <w:r w:rsidRPr="00FC7835">
        <w:t xml:space="preserve">Publisher Address: </w:t>
      </w:r>
    </w:p>
    <w:p w:rsidR="002B1C6F" w:rsidRPr="00FC7835" w:rsidRDefault="002B1C6F" w:rsidP="002B1C6F">
      <w:pPr>
        <w:pStyle w:val="12"/>
      </w:pPr>
      <w:r w:rsidRPr="00FC7835">
        <w:t xml:space="preserve">Subject Categories: </w:t>
      </w:r>
    </w:p>
    <w:p w:rsidR="002B1C6F" w:rsidRPr="00FC7835" w:rsidRDefault="002B1C6F" w:rsidP="002B1C6F">
      <w:pPr>
        <w:pStyle w:val="12"/>
      </w:pPr>
      <w:r w:rsidRPr="00FC7835">
        <w:t>: Impact Factor</w:t>
      </w:r>
    </w:p>
    <w:p w:rsidR="002B1C6F" w:rsidRDefault="002B1C6F" w:rsidP="002B1C6F">
      <w:pPr>
        <w:pStyle w:val="a3"/>
        <w:rPr>
          <w:kern w:val="0"/>
        </w:rPr>
      </w:pPr>
      <w:r>
        <w:rPr>
          <w:rFonts w:hint="eastAsia"/>
          <w:kern w:val="0"/>
        </w:rPr>
        <w:t xml:space="preserve">? </w:t>
      </w:r>
      <w:r>
        <w:rPr>
          <w:kern w:val="0"/>
        </w:rPr>
        <w:t>Gomes, F.P., Shaw, P.N., Whitfield, K., Koorts, P. and Hewavitharana, A.K. (2013), Recent trends in the determination</w:t>
      </w:r>
      <w:r w:rsidR="00427468">
        <w:rPr>
          <w:kern w:val="0"/>
        </w:rPr>
        <w:t xml:space="preserve"> of </w:t>
      </w:r>
      <w:r>
        <w:rPr>
          <w:kern w:val="0"/>
        </w:rPr>
        <w:t xml:space="preserve">vitamin D. </w:t>
      </w:r>
      <w:r w:rsidRPr="002B1C6F">
        <w:rPr>
          <w:i/>
          <w:iCs/>
          <w:kern w:val="0"/>
        </w:rPr>
        <w:t>Bioanalysis</w:t>
      </w:r>
      <w:r>
        <w:rPr>
          <w:kern w:val="0"/>
        </w:rPr>
        <w:t xml:space="preserve">, </w:t>
      </w:r>
      <w:r>
        <w:rPr>
          <w:b/>
          <w:bCs/>
          <w:kern w:val="0"/>
        </w:rPr>
        <w:t>5</w:t>
      </w:r>
      <w:r>
        <w:rPr>
          <w:kern w:val="0"/>
        </w:rPr>
        <w:t xml:space="preserve"> (24), 3063-3078.</w:t>
      </w:r>
    </w:p>
    <w:p w:rsidR="002B1C6F" w:rsidRDefault="002B1C6F" w:rsidP="002B1C6F">
      <w:pPr>
        <w:pStyle w:val="a3"/>
        <w:rPr>
          <w:kern w:val="0"/>
        </w:rPr>
      </w:pPr>
      <w:r>
        <w:rPr>
          <w:rFonts w:hint="eastAsia"/>
          <w:kern w:val="0"/>
        </w:rPr>
        <w:t xml:space="preserve">Full Text: </w:t>
      </w:r>
      <w:hyperlink r:id="rId1439" w:history="1">
        <w:r w:rsidRPr="002B1C6F">
          <w:rPr>
            <w:rStyle w:val="a5"/>
            <w:kern w:val="0"/>
          </w:rPr>
          <w:t>2013\Bioanalysis5, 3063.pdf</w:t>
        </w:r>
      </w:hyperlink>
    </w:p>
    <w:p w:rsidR="002B1C6F" w:rsidRDefault="002B1C6F" w:rsidP="002B1C6F">
      <w:pPr>
        <w:pStyle w:val="a3"/>
        <w:rPr>
          <w:kern w:val="0"/>
        </w:rPr>
      </w:pPr>
      <w:r>
        <w:rPr>
          <w:kern w:val="0"/>
        </w:rPr>
        <w:t>Abstract: The occurrence</w:t>
      </w:r>
      <w:r w:rsidR="00427468">
        <w:rPr>
          <w:kern w:val="0"/>
        </w:rPr>
        <w:t xml:space="preserve"> of </w:t>
      </w:r>
      <w:r>
        <w:rPr>
          <w:kern w:val="0"/>
        </w:rPr>
        <w:t>vitamin D deficiency has become an issue</w:t>
      </w:r>
      <w:r w:rsidR="00427468">
        <w:rPr>
          <w:kern w:val="0"/>
        </w:rPr>
        <w:t xml:space="preserve"> of </w:t>
      </w:r>
      <w:r>
        <w:rPr>
          <w:kern w:val="0"/>
        </w:rPr>
        <w:t>serious concern in the worldwide population. As a result numerous analytical methods have been developed, for a variety</w:t>
      </w:r>
      <w:r w:rsidR="00427468">
        <w:rPr>
          <w:kern w:val="0"/>
        </w:rPr>
        <w:t xml:space="preserve"> of </w:t>
      </w:r>
      <w:r>
        <w:rPr>
          <w:kern w:val="0"/>
        </w:rPr>
        <w:t>matrices, during the last few years to measure vitamin D analogs and metabolites. This review employs a comprehensive search</w:t>
      </w:r>
      <w:r w:rsidR="00427468">
        <w:rPr>
          <w:kern w:val="0"/>
        </w:rPr>
        <w:t xml:space="preserve"> of </w:t>
      </w:r>
      <w:r>
        <w:rPr>
          <w:kern w:val="0"/>
        </w:rPr>
        <w:t>all vitamin D methods developed during the last 5 years for all applications, using ISI Web</w:t>
      </w:r>
      <w:r w:rsidR="00427468">
        <w:rPr>
          <w:kern w:val="0"/>
        </w:rPr>
        <w:t xml:space="preserve"> of </w:t>
      </w:r>
      <w:r>
        <w:rPr>
          <w:kern w:val="0"/>
        </w:rPr>
        <w:t>Science(R), Scifinder(R), Science Direct, Scopus and PubMed. Particular emphasis is given to sample-preparation methods and the different forms</w:t>
      </w:r>
      <w:r w:rsidR="00427468">
        <w:rPr>
          <w:kern w:val="0"/>
        </w:rPr>
        <w:t xml:space="preserve"> of </w:t>
      </w:r>
      <w:r>
        <w:rPr>
          <w:kern w:val="0"/>
        </w:rPr>
        <w:t>vitamin D measured across different fields</w:t>
      </w:r>
      <w:r w:rsidR="00427468">
        <w:rPr>
          <w:kern w:val="0"/>
        </w:rPr>
        <w:t xml:space="preserve"> of </w:t>
      </w:r>
      <w:r>
        <w:rPr>
          <w:kern w:val="0"/>
        </w:rPr>
        <w:t>applications such as biological fluids, food and pharmaceutical preparations. This review compares and critically evaluates a wide range</w:t>
      </w:r>
      <w:r w:rsidR="00427468">
        <w:rPr>
          <w:kern w:val="0"/>
        </w:rPr>
        <w:t xml:space="preserve"> of </w:t>
      </w:r>
      <w:r>
        <w:rPr>
          <w:kern w:val="0"/>
        </w:rPr>
        <w:t>approaches and methods, and hence it will enable readers to access developments across a number</w:t>
      </w:r>
      <w:r w:rsidR="00427468">
        <w:rPr>
          <w:kern w:val="0"/>
        </w:rPr>
        <w:t xml:space="preserve"> of </w:t>
      </w:r>
      <w:r>
        <w:rPr>
          <w:kern w:val="0"/>
        </w:rPr>
        <w:t>applications and to select or develop the optimal analytical method for vitamin D for their particular application.</w:t>
      </w:r>
    </w:p>
    <w:p w:rsidR="002B1C6F" w:rsidRDefault="002B1C6F" w:rsidP="002B1C6F">
      <w:pPr>
        <w:pStyle w:val="a3"/>
        <w:rPr>
          <w:kern w:val="0"/>
        </w:rPr>
      </w:pPr>
      <w:r>
        <w:rPr>
          <w:kern w:val="0"/>
        </w:rPr>
        <w:t>Keywords: Access, Adult Nutritionals, Application, Biological, D Metabolites, Diels-Alder Derivatization, Dried Blood Spots, Food, Forms, Infant Formula, ISI, Lc-Ms, Ms, Measure, Metabolites, Methods, Performance Liquid-Chromatography, Pharmaceutical Preparations, Population, Pressure Chemical-Ionization, Pubmed, Recent, Review, Science, Scopus, Serum 25-Hydroxyvitamin D, Tandem Mass-Spectrometry, Trends, Vitamin, Vitamin D, Vitamin D Deficiency</w:t>
      </w:r>
    </w:p>
    <w:p w:rsidR="008373BF" w:rsidRPr="00FC7835" w:rsidRDefault="008373BF" w:rsidP="008373BF">
      <w:pPr>
        <w:pStyle w:val="1"/>
      </w:pPr>
      <w:r w:rsidRPr="00DA0D39">
        <w:br w:type="page"/>
      </w:r>
      <w:bookmarkStart w:id="745" w:name="_Toc420814703"/>
      <w:r w:rsidRPr="00FC7835">
        <w:lastRenderedPageBreak/>
        <w:t xml:space="preserve">Title: </w:t>
      </w:r>
      <w:r w:rsidRPr="00373855">
        <w:rPr>
          <w:szCs w:val="24"/>
        </w:rPr>
        <w:t>Biochemia Medica</w:t>
      </w:r>
      <w:bookmarkEnd w:id="745"/>
    </w:p>
    <w:p w:rsidR="008373BF" w:rsidRPr="00FC7835" w:rsidRDefault="008373BF" w:rsidP="008373BF">
      <w:pPr>
        <w:pStyle w:val="12"/>
      </w:pPr>
      <w:r w:rsidRPr="00FC7835">
        <w:t xml:space="preserve">Full Journal Title: </w:t>
      </w:r>
      <w:r w:rsidR="00206C8A">
        <w:fldChar w:fldCharType="begin"/>
      </w:r>
      <w:r w:rsidR="00FD158B">
        <w:instrText>H</w:instrText>
      </w:r>
      <w:bookmarkStart w:id="746" w:name="_Toc234062096"/>
      <w:bookmarkStart w:id="747" w:name="_Toc276905538"/>
      <w:r w:rsidR="00FD158B">
        <w:instrText>YPERLINK "http://hrcak.</w:instrText>
      </w:r>
      <w:bookmarkEnd w:id="746"/>
      <w:bookmarkEnd w:id="747"/>
      <w:r w:rsidR="00FD158B">
        <w:instrText>srce.hr/index.php?show=casopis&amp;id_casopis=121"</w:instrText>
      </w:r>
      <w:r w:rsidR="00206C8A">
        <w:fldChar w:fldCharType="separate"/>
      </w:r>
      <w:r w:rsidRPr="00175C15">
        <w:rPr>
          <w:rStyle w:val="a5"/>
          <w:kern w:val="0"/>
        </w:rPr>
        <w:t>Biochemia Medica</w:t>
      </w:r>
      <w:r w:rsidR="00206C8A">
        <w:fldChar w:fldCharType="end"/>
      </w:r>
    </w:p>
    <w:p w:rsidR="008373BF" w:rsidRPr="00FC7835" w:rsidRDefault="008373BF" w:rsidP="008373BF">
      <w:pPr>
        <w:pStyle w:val="12"/>
      </w:pPr>
      <w:r w:rsidRPr="00FC7835">
        <w:t xml:space="preserve">ISO Abbreviated Title: </w:t>
      </w:r>
    </w:p>
    <w:p w:rsidR="008373BF" w:rsidRPr="00FC7835" w:rsidRDefault="008373BF" w:rsidP="008373BF">
      <w:pPr>
        <w:pStyle w:val="12"/>
      </w:pPr>
      <w:r w:rsidRPr="00FC7835">
        <w:t xml:space="preserve">JCR Abbreviated Title: </w:t>
      </w:r>
    </w:p>
    <w:p w:rsidR="008373BF" w:rsidRPr="00FC7835" w:rsidRDefault="008373BF" w:rsidP="008373BF">
      <w:pPr>
        <w:pStyle w:val="12"/>
      </w:pPr>
      <w:r w:rsidRPr="00FC7835">
        <w:t xml:space="preserve">ISSN: </w:t>
      </w:r>
    </w:p>
    <w:p w:rsidR="008373BF" w:rsidRPr="00FC7835" w:rsidRDefault="008373BF" w:rsidP="008373BF">
      <w:pPr>
        <w:pStyle w:val="12"/>
      </w:pPr>
      <w:r w:rsidRPr="00FC7835">
        <w:t xml:space="preserve">Issues/Year: </w:t>
      </w:r>
    </w:p>
    <w:p w:rsidR="008373BF" w:rsidRPr="00FC7835" w:rsidRDefault="008373BF" w:rsidP="008373BF">
      <w:pPr>
        <w:pStyle w:val="12"/>
      </w:pPr>
      <w:r>
        <w:t xml:space="preserve">Journal Country/Territory: </w:t>
      </w:r>
    </w:p>
    <w:p w:rsidR="008373BF" w:rsidRPr="00FC7835" w:rsidRDefault="008373BF" w:rsidP="008373BF">
      <w:pPr>
        <w:pStyle w:val="12"/>
      </w:pPr>
      <w:r w:rsidRPr="00FC7835">
        <w:t xml:space="preserve">Language: </w:t>
      </w:r>
    </w:p>
    <w:p w:rsidR="008373BF" w:rsidRPr="00FC7835" w:rsidRDefault="008373BF" w:rsidP="008373BF">
      <w:pPr>
        <w:pStyle w:val="12"/>
      </w:pPr>
      <w:r w:rsidRPr="00FC7835">
        <w:t xml:space="preserve">Publisher: </w:t>
      </w:r>
    </w:p>
    <w:p w:rsidR="008373BF" w:rsidRPr="00FC7835" w:rsidRDefault="008373BF" w:rsidP="008373BF">
      <w:pPr>
        <w:pStyle w:val="12"/>
      </w:pPr>
      <w:r w:rsidRPr="00FC7835">
        <w:t xml:space="preserve">Publisher Address: </w:t>
      </w:r>
    </w:p>
    <w:p w:rsidR="008373BF" w:rsidRPr="00FC7835" w:rsidRDefault="008373BF" w:rsidP="008373BF">
      <w:pPr>
        <w:pStyle w:val="12"/>
      </w:pPr>
      <w:r w:rsidRPr="00FC7835">
        <w:t xml:space="preserve">Subject Categories: </w:t>
      </w:r>
    </w:p>
    <w:p w:rsidR="008373BF" w:rsidRPr="00FC7835" w:rsidRDefault="008373BF" w:rsidP="008373BF">
      <w:pPr>
        <w:pStyle w:val="12"/>
      </w:pPr>
      <w:r w:rsidRPr="00FC7835">
        <w:t>: Impact Factor</w:t>
      </w:r>
    </w:p>
    <w:p w:rsidR="008373BF" w:rsidRDefault="008373BF" w:rsidP="008373BF">
      <w:pPr>
        <w:pStyle w:val="a3"/>
        <w:rPr>
          <w:kern w:val="0"/>
          <w:szCs w:val="24"/>
        </w:rPr>
      </w:pPr>
      <w:r>
        <w:rPr>
          <w:rFonts w:hint="eastAsia"/>
          <w:kern w:val="0"/>
          <w:szCs w:val="24"/>
        </w:rPr>
        <w:t xml:space="preserve">? </w:t>
      </w:r>
      <w:r>
        <w:rPr>
          <w:kern w:val="0"/>
          <w:szCs w:val="24"/>
        </w:rPr>
        <w:t xml:space="preserve">Jokić, M. (2009), </w:t>
      </w:r>
      <w:r w:rsidR="00D5664A">
        <w:rPr>
          <w:rFonts w:hint="eastAsia"/>
          <w:kern w:val="0"/>
          <w:szCs w:val="24"/>
        </w:rPr>
        <w:t>h-Index</w:t>
      </w:r>
      <w:r>
        <w:rPr>
          <w:kern w:val="0"/>
          <w:szCs w:val="24"/>
        </w:rPr>
        <w:t xml:space="preserve"> as a new scientometric indicator. </w:t>
      </w:r>
      <w:r w:rsidRPr="00373855">
        <w:rPr>
          <w:i/>
          <w:iCs/>
          <w:kern w:val="0"/>
          <w:szCs w:val="24"/>
        </w:rPr>
        <w:t>Biochemia Medica</w:t>
      </w:r>
      <w:r>
        <w:rPr>
          <w:kern w:val="0"/>
          <w:szCs w:val="24"/>
        </w:rPr>
        <w:t xml:space="preserve">, </w:t>
      </w:r>
      <w:r>
        <w:rPr>
          <w:b/>
          <w:bCs/>
          <w:kern w:val="0"/>
          <w:szCs w:val="24"/>
        </w:rPr>
        <w:t>19</w:t>
      </w:r>
      <w:r>
        <w:rPr>
          <w:kern w:val="0"/>
          <w:szCs w:val="24"/>
        </w:rPr>
        <w:t xml:space="preserve"> (1), 5-9.</w:t>
      </w:r>
    </w:p>
    <w:p w:rsidR="008373BF" w:rsidRDefault="008373BF" w:rsidP="008373BF">
      <w:pPr>
        <w:pStyle w:val="a3"/>
        <w:rPr>
          <w:kern w:val="0"/>
        </w:rPr>
      </w:pPr>
      <w:r>
        <w:rPr>
          <w:rFonts w:hint="eastAsia"/>
          <w:kern w:val="0"/>
        </w:rPr>
        <w:t xml:space="preserve">Full Text: </w:t>
      </w:r>
      <w:hyperlink r:id="rId1440" w:history="1">
        <w:r w:rsidRPr="00175C15">
          <w:rPr>
            <w:rStyle w:val="a5"/>
            <w:kern w:val="0"/>
          </w:rPr>
          <w:t>2009\Bio Med19, 5.pdf</w:t>
        </w:r>
      </w:hyperlink>
    </w:p>
    <w:p w:rsidR="008373BF" w:rsidRDefault="008373BF" w:rsidP="008373BF">
      <w:pPr>
        <w:pStyle w:val="a3"/>
        <w:rPr>
          <w:kern w:val="0"/>
          <w:szCs w:val="24"/>
        </w:rPr>
      </w:pPr>
      <w:r>
        <w:rPr>
          <w:kern w:val="0"/>
          <w:szCs w:val="24"/>
        </w:rPr>
        <w:t>Abstract: In this text we discuss about indicators for evaluation</w:t>
      </w:r>
      <w:r w:rsidR="00427468">
        <w:rPr>
          <w:kern w:val="0"/>
          <w:szCs w:val="24"/>
        </w:rPr>
        <w:t xml:space="preserve"> of </w:t>
      </w:r>
      <w:r>
        <w:rPr>
          <w:kern w:val="0"/>
          <w:szCs w:val="24"/>
        </w:rPr>
        <w:t>scientific work</w:t>
      </w:r>
      <w:r w:rsidR="00427468">
        <w:rPr>
          <w:kern w:val="0"/>
          <w:szCs w:val="24"/>
        </w:rPr>
        <w:t xml:space="preserve"> of </w:t>
      </w:r>
      <w:r>
        <w:rPr>
          <w:kern w:val="0"/>
          <w:szCs w:val="24"/>
        </w:rPr>
        <w:t>both,</w:t>
      </w:r>
      <w:r w:rsidR="003A1917">
        <w:rPr>
          <w:rFonts w:hint="eastAsia"/>
          <w:kern w:val="0"/>
          <w:szCs w:val="24"/>
        </w:rPr>
        <w:t xml:space="preserve"> the </w:t>
      </w:r>
      <w:r>
        <w:rPr>
          <w:kern w:val="0"/>
          <w:szCs w:val="24"/>
        </w:rPr>
        <w:t>individual author,</w:t>
      </w:r>
      <w:r w:rsidR="005853A9">
        <w:rPr>
          <w:kern w:val="0"/>
          <w:szCs w:val="24"/>
        </w:rPr>
        <w:t xml:space="preserve"> and </w:t>
      </w:r>
      <w:r>
        <w:rPr>
          <w:kern w:val="0"/>
          <w:szCs w:val="24"/>
        </w:rPr>
        <w:t>journal as a whole. Emphasis is put on</w:t>
      </w:r>
      <w:r w:rsidR="003A1917">
        <w:rPr>
          <w:kern w:val="0"/>
          <w:szCs w:val="24"/>
        </w:rPr>
        <w:t xml:space="preserve"> the </w:t>
      </w:r>
      <w:r>
        <w:rPr>
          <w:kern w:val="0"/>
          <w:szCs w:val="24"/>
        </w:rPr>
        <w:t>value</w:t>
      </w:r>
      <w:r w:rsidR="005853A9">
        <w:rPr>
          <w:kern w:val="0"/>
          <w:szCs w:val="24"/>
        </w:rPr>
        <w:t xml:space="preserve"> and </w:t>
      </w:r>
      <w:r>
        <w:rPr>
          <w:kern w:val="0"/>
          <w:szCs w:val="24"/>
        </w:rPr>
        <w:t>significance</w:t>
      </w:r>
      <w:r w:rsidR="00427468">
        <w:rPr>
          <w:kern w:val="0"/>
          <w:szCs w:val="24"/>
        </w:rPr>
        <w:t xml:space="preserve"> of </w:t>
      </w:r>
      <w:r>
        <w:rPr>
          <w:kern w:val="0"/>
          <w:szCs w:val="24"/>
        </w:rPr>
        <w:t xml:space="preserve">a new scientometric indicator, </w:t>
      </w:r>
      <w:r w:rsidR="00D5664A">
        <w:rPr>
          <w:kern w:val="0"/>
          <w:szCs w:val="24"/>
        </w:rPr>
        <w:t>h-Index</w:t>
      </w:r>
      <w:r>
        <w:rPr>
          <w:kern w:val="0"/>
          <w:szCs w:val="24"/>
        </w:rPr>
        <w:t>, which was introduced by physicist Hirsch in 2005,</w:t>
      </w:r>
      <w:r w:rsidR="005853A9">
        <w:rPr>
          <w:kern w:val="0"/>
          <w:szCs w:val="24"/>
        </w:rPr>
        <w:t xml:space="preserve"> and </w:t>
      </w:r>
      <w:r>
        <w:rPr>
          <w:kern w:val="0"/>
          <w:szCs w:val="24"/>
        </w:rPr>
        <w:t>which was adopted both, by leading citation data base providers</w:t>
      </w:r>
      <w:r w:rsidR="005853A9">
        <w:rPr>
          <w:kern w:val="0"/>
          <w:szCs w:val="24"/>
        </w:rPr>
        <w:t xml:space="preserve"> and </w:t>
      </w:r>
      <w:r>
        <w:rPr>
          <w:kern w:val="0"/>
          <w:szCs w:val="24"/>
        </w:rPr>
        <w:t>by</w:t>
      </w:r>
      <w:r w:rsidR="003A1917">
        <w:rPr>
          <w:kern w:val="0"/>
          <w:szCs w:val="24"/>
        </w:rPr>
        <w:t xml:space="preserve"> the </w:t>
      </w:r>
      <w:r>
        <w:rPr>
          <w:kern w:val="0"/>
          <w:szCs w:val="24"/>
        </w:rPr>
        <w:t>wider scientific community.</w:t>
      </w:r>
    </w:p>
    <w:p w:rsidR="008373BF" w:rsidRDefault="008373BF" w:rsidP="008373BF">
      <w:pPr>
        <w:pStyle w:val="a3"/>
        <w:rPr>
          <w:kern w:val="0"/>
          <w:szCs w:val="24"/>
        </w:rPr>
      </w:pPr>
      <w:r>
        <w:rPr>
          <w:kern w:val="0"/>
          <w:szCs w:val="24"/>
        </w:rPr>
        <w:t xml:space="preserve">Keywords: Bibliometric, Scientometric Indicators, Citation, Community, Data, Data Base, Evaluation, </w:t>
      </w:r>
      <w:r w:rsidR="00D5664A">
        <w:rPr>
          <w:rFonts w:hint="eastAsia"/>
          <w:kern w:val="0"/>
          <w:szCs w:val="24"/>
        </w:rPr>
        <w:t>h Index</w:t>
      </w:r>
      <w:r>
        <w:rPr>
          <w:kern w:val="0"/>
          <w:szCs w:val="24"/>
        </w:rPr>
        <w:t xml:space="preserve">, </w:t>
      </w:r>
      <w:r w:rsidR="00D5664A">
        <w:rPr>
          <w:rFonts w:hint="eastAsia"/>
          <w:kern w:val="0"/>
          <w:szCs w:val="24"/>
        </w:rPr>
        <w:t>h-Index</w:t>
      </w:r>
      <w:r>
        <w:rPr>
          <w:kern w:val="0"/>
          <w:szCs w:val="24"/>
        </w:rPr>
        <w:t>, Hirsch, Hirsc</w:t>
      </w:r>
      <w:r w:rsidR="00D5664A">
        <w:rPr>
          <w:kern w:val="0"/>
          <w:szCs w:val="24"/>
        </w:rPr>
        <w:t>h-Index</w:t>
      </w:r>
      <w:r>
        <w:rPr>
          <w:kern w:val="0"/>
          <w:szCs w:val="24"/>
        </w:rPr>
        <w:t>, Impact Factor, Indicator, Indicators, Journal, Providers, Scientometric, Significance, Value, Work</w:t>
      </w:r>
    </w:p>
    <w:p w:rsidR="003750D9" w:rsidRDefault="003750D9" w:rsidP="003750D9">
      <w:pPr>
        <w:pStyle w:val="a3"/>
        <w:rPr>
          <w:kern w:val="0"/>
          <w:szCs w:val="24"/>
        </w:rPr>
      </w:pPr>
      <w:r>
        <w:rPr>
          <w:kern w:val="0"/>
          <w:szCs w:val="24"/>
        </w:rPr>
        <w:t xml:space="preserve">? Bilic-Zulle, L. (2010), Responsible writing in science. </w:t>
      </w:r>
      <w:r>
        <w:rPr>
          <w:i/>
          <w:iCs/>
          <w:kern w:val="0"/>
          <w:szCs w:val="24"/>
        </w:rPr>
        <w:t>Biochemia Medica</w:t>
      </w:r>
      <w:r>
        <w:rPr>
          <w:kern w:val="0"/>
          <w:szCs w:val="24"/>
        </w:rPr>
        <w:t xml:space="preserve">, </w:t>
      </w:r>
      <w:r>
        <w:rPr>
          <w:b/>
          <w:bCs/>
          <w:kern w:val="0"/>
          <w:szCs w:val="24"/>
        </w:rPr>
        <w:t>20</w:t>
      </w:r>
      <w:r>
        <w:rPr>
          <w:kern w:val="0"/>
          <w:szCs w:val="24"/>
        </w:rPr>
        <w:t xml:space="preserve"> (3), 279-281</w:t>
      </w:r>
    </w:p>
    <w:p w:rsidR="003750D9" w:rsidRDefault="003750D9" w:rsidP="003750D9">
      <w:pPr>
        <w:pStyle w:val="a3"/>
        <w:rPr>
          <w:kern w:val="0"/>
        </w:rPr>
      </w:pPr>
      <w:r>
        <w:rPr>
          <w:rFonts w:hint="eastAsia"/>
          <w:kern w:val="0"/>
        </w:rPr>
        <w:t xml:space="preserve">Full Text: </w:t>
      </w:r>
      <w:hyperlink r:id="rId1441" w:history="1">
        <w:r w:rsidRPr="003750D9">
          <w:rPr>
            <w:rStyle w:val="a5"/>
            <w:kern w:val="0"/>
          </w:rPr>
          <w:t>2010\Bio Med20, 279.pdf</w:t>
        </w:r>
      </w:hyperlink>
    </w:p>
    <w:p w:rsidR="003750D9" w:rsidRDefault="003750D9" w:rsidP="003750D9">
      <w:pPr>
        <w:pStyle w:val="a3"/>
        <w:rPr>
          <w:kern w:val="0"/>
          <w:szCs w:val="24"/>
        </w:rPr>
      </w:pPr>
      <w:r>
        <w:rPr>
          <w:kern w:val="0"/>
          <w:szCs w:val="24"/>
        </w:rPr>
        <w:t>Keywords: Medical-Students, Plagiarism, Writing</w:t>
      </w:r>
    </w:p>
    <w:p w:rsidR="003750D9" w:rsidRDefault="003750D9" w:rsidP="003750D9">
      <w:pPr>
        <w:pStyle w:val="a3"/>
        <w:rPr>
          <w:kern w:val="0"/>
          <w:szCs w:val="24"/>
        </w:rPr>
      </w:pPr>
      <w:r>
        <w:rPr>
          <w:kern w:val="0"/>
          <w:szCs w:val="24"/>
        </w:rPr>
        <w:t>? Marusic, A. (2010), Editors as gatekeepers</w:t>
      </w:r>
      <w:r w:rsidR="00427468">
        <w:rPr>
          <w:kern w:val="0"/>
          <w:szCs w:val="24"/>
        </w:rPr>
        <w:t xml:space="preserve"> of </w:t>
      </w:r>
      <w:r>
        <w:rPr>
          <w:kern w:val="0"/>
          <w:szCs w:val="24"/>
        </w:rPr>
        <w:t xml:space="preserve">responsible science. </w:t>
      </w:r>
      <w:r>
        <w:rPr>
          <w:i/>
          <w:iCs/>
          <w:kern w:val="0"/>
          <w:szCs w:val="24"/>
        </w:rPr>
        <w:t>Biochemia Medica</w:t>
      </w:r>
      <w:r>
        <w:rPr>
          <w:kern w:val="0"/>
          <w:szCs w:val="24"/>
        </w:rPr>
        <w:t xml:space="preserve">, </w:t>
      </w:r>
      <w:r>
        <w:rPr>
          <w:b/>
          <w:bCs/>
          <w:kern w:val="0"/>
          <w:szCs w:val="24"/>
        </w:rPr>
        <w:t>20</w:t>
      </w:r>
      <w:r>
        <w:rPr>
          <w:kern w:val="0"/>
          <w:szCs w:val="24"/>
        </w:rPr>
        <w:t xml:space="preserve"> (3), 282-287.</w:t>
      </w:r>
    </w:p>
    <w:p w:rsidR="003750D9" w:rsidRDefault="003750D9" w:rsidP="003750D9">
      <w:pPr>
        <w:pStyle w:val="a3"/>
        <w:rPr>
          <w:kern w:val="0"/>
        </w:rPr>
      </w:pPr>
      <w:r>
        <w:rPr>
          <w:rFonts w:hint="eastAsia"/>
          <w:kern w:val="0"/>
        </w:rPr>
        <w:t xml:space="preserve">Full Text: </w:t>
      </w:r>
      <w:hyperlink r:id="rId1442" w:history="1">
        <w:r w:rsidRPr="003750D9">
          <w:rPr>
            <w:rStyle w:val="a5"/>
            <w:kern w:val="0"/>
          </w:rPr>
          <w:t>2010\Bio Med20, 282.pdf</w:t>
        </w:r>
      </w:hyperlink>
    </w:p>
    <w:p w:rsidR="003750D9" w:rsidRDefault="003750D9" w:rsidP="003750D9">
      <w:pPr>
        <w:pStyle w:val="a3"/>
        <w:rPr>
          <w:kern w:val="0"/>
          <w:szCs w:val="24"/>
        </w:rPr>
      </w:pPr>
      <w:r>
        <w:rPr>
          <w:kern w:val="0"/>
          <w:szCs w:val="24"/>
        </w:rPr>
        <w:t>Abstract: Journal article is</w:t>
      </w:r>
      <w:r w:rsidR="003A1917">
        <w:rPr>
          <w:kern w:val="0"/>
          <w:szCs w:val="24"/>
        </w:rPr>
        <w:t xml:space="preserve"> the </w:t>
      </w:r>
      <w:r>
        <w:rPr>
          <w:kern w:val="0"/>
          <w:szCs w:val="24"/>
        </w:rPr>
        <w:t>best publicly visible documentation</w:t>
      </w:r>
      <w:r w:rsidR="00427468">
        <w:rPr>
          <w:kern w:val="0"/>
          <w:szCs w:val="24"/>
        </w:rPr>
        <w:t xml:space="preserve"> of </w:t>
      </w:r>
      <w:r>
        <w:rPr>
          <w:kern w:val="0"/>
          <w:szCs w:val="24"/>
        </w:rPr>
        <w:t>research activity so that fraud or misconduct in science is often first discovered in scientific journals. Journal editors are responsible for</w:t>
      </w:r>
      <w:r w:rsidR="003A1917">
        <w:rPr>
          <w:kern w:val="0"/>
          <w:szCs w:val="24"/>
        </w:rPr>
        <w:t xml:space="preserve"> the </w:t>
      </w:r>
      <w:r>
        <w:rPr>
          <w:kern w:val="0"/>
          <w:szCs w:val="24"/>
        </w:rPr>
        <w:t>integrity</w:t>
      </w:r>
      <w:r w:rsidR="00427468">
        <w:rPr>
          <w:kern w:val="0"/>
          <w:szCs w:val="24"/>
        </w:rPr>
        <w:t xml:space="preserve"> of </w:t>
      </w:r>
      <w:r w:rsidR="003A1917">
        <w:rPr>
          <w:kern w:val="0"/>
          <w:szCs w:val="24"/>
        </w:rPr>
        <w:t xml:space="preserve">the </w:t>
      </w:r>
      <w:r>
        <w:rPr>
          <w:kern w:val="0"/>
          <w:szCs w:val="24"/>
        </w:rPr>
        <w:t>record they publish in their journals, but they may often find it difficult to ensure</w:t>
      </w:r>
      <w:r w:rsidR="003A1917">
        <w:rPr>
          <w:kern w:val="0"/>
          <w:szCs w:val="24"/>
        </w:rPr>
        <w:t xml:space="preserve"> the </w:t>
      </w:r>
      <w:r>
        <w:rPr>
          <w:kern w:val="0"/>
          <w:szCs w:val="24"/>
        </w:rPr>
        <w:t>full integrity</w:t>
      </w:r>
      <w:r w:rsidR="00427468">
        <w:rPr>
          <w:kern w:val="0"/>
          <w:szCs w:val="24"/>
        </w:rPr>
        <w:t xml:space="preserve"> of </w:t>
      </w:r>
      <w:r w:rsidR="003A1917">
        <w:rPr>
          <w:kern w:val="0"/>
          <w:szCs w:val="24"/>
        </w:rPr>
        <w:t xml:space="preserve">the </w:t>
      </w:r>
      <w:r>
        <w:rPr>
          <w:kern w:val="0"/>
          <w:szCs w:val="24"/>
        </w:rPr>
        <w:t>published work, particularly if they work in small scientific communities</w:t>
      </w:r>
      <w:r w:rsidR="00A37C1D">
        <w:rPr>
          <w:kern w:val="0"/>
          <w:szCs w:val="24"/>
        </w:rPr>
        <w:t>. The</w:t>
      </w:r>
      <w:r w:rsidR="003A1917">
        <w:rPr>
          <w:kern w:val="0"/>
          <w:szCs w:val="24"/>
        </w:rPr>
        <w:t xml:space="preserve"> </w:t>
      </w:r>
      <w:r>
        <w:rPr>
          <w:kern w:val="0"/>
          <w:szCs w:val="24"/>
        </w:rPr>
        <w:t>support for editors is provided by</w:t>
      </w:r>
      <w:r w:rsidR="003A1917">
        <w:rPr>
          <w:kern w:val="0"/>
          <w:szCs w:val="24"/>
        </w:rPr>
        <w:t xml:space="preserve"> the </w:t>
      </w:r>
      <w:r>
        <w:rPr>
          <w:kern w:val="0"/>
          <w:szCs w:val="24"/>
        </w:rPr>
        <w:t>larger editorial community</w:t>
      </w:r>
      <w:r w:rsidR="005853A9">
        <w:rPr>
          <w:kern w:val="0"/>
          <w:szCs w:val="24"/>
        </w:rPr>
        <w:t xml:space="preserve"> and </w:t>
      </w:r>
      <w:r>
        <w:rPr>
          <w:kern w:val="0"/>
          <w:szCs w:val="24"/>
        </w:rPr>
        <w:t>well-developed guidelines for good publishing practice. Particularly useful for editors are</w:t>
      </w:r>
      <w:r w:rsidR="003A1917">
        <w:rPr>
          <w:kern w:val="0"/>
          <w:szCs w:val="24"/>
        </w:rPr>
        <w:t xml:space="preserve"> the </w:t>
      </w:r>
      <w:r>
        <w:rPr>
          <w:kern w:val="0"/>
          <w:szCs w:val="24"/>
        </w:rPr>
        <w:lastRenderedPageBreak/>
        <w:t>guidelines from</w:t>
      </w:r>
      <w:r w:rsidR="003A1917">
        <w:rPr>
          <w:kern w:val="0"/>
          <w:szCs w:val="24"/>
        </w:rPr>
        <w:t xml:space="preserve"> the </w:t>
      </w:r>
      <w:r>
        <w:rPr>
          <w:kern w:val="0"/>
          <w:szCs w:val="24"/>
        </w:rPr>
        <w:t>Committee on Publication Ethics (COPE</w:t>
      </w:r>
      <w:r w:rsidR="00F42EAC">
        <w:rPr>
          <w:kern w:val="0"/>
          <w:szCs w:val="24"/>
        </w:rPr>
        <w:t>), The</w:t>
      </w:r>
      <w:r w:rsidR="003A1917">
        <w:rPr>
          <w:kern w:val="0"/>
          <w:szCs w:val="24"/>
        </w:rPr>
        <w:t xml:space="preserve"> </w:t>
      </w:r>
      <w:r>
        <w:rPr>
          <w:kern w:val="0"/>
          <w:szCs w:val="24"/>
        </w:rPr>
        <w:t>largest editorial organization dealing with actual ethical problems</w:t>
      </w:r>
      <w:r w:rsidR="00427468">
        <w:rPr>
          <w:kern w:val="0"/>
          <w:szCs w:val="24"/>
        </w:rPr>
        <w:t xml:space="preserve"> of </w:t>
      </w:r>
      <w:r>
        <w:rPr>
          <w:kern w:val="0"/>
          <w:szCs w:val="24"/>
        </w:rPr>
        <w:t>journal editors. COPE has developed ethics flow charts - algorithms for editors to follow when they have an ethical problem in their journals</w:t>
      </w:r>
      <w:r w:rsidR="00A37C1D">
        <w:rPr>
          <w:kern w:val="0"/>
          <w:szCs w:val="24"/>
        </w:rPr>
        <w:t>. The</w:t>
      </w:r>
      <w:r>
        <w:rPr>
          <w:kern w:val="0"/>
          <w:szCs w:val="24"/>
        </w:rPr>
        <w:t>se charts provide also important information for authors about what they may expect from journal editors as gatekeepers not only</w:t>
      </w:r>
      <w:r w:rsidR="00427468">
        <w:rPr>
          <w:kern w:val="0"/>
          <w:szCs w:val="24"/>
        </w:rPr>
        <w:t xml:space="preserve"> of </w:t>
      </w:r>
      <w:r>
        <w:rPr>
          <w:kern w:val="0"/>
          <w:szCs w:val="24"/>
        </w:rPr>
        <w:t>good science but</w:t>
      </w:r>
      <w:r w:rsidR="00427468">
        <w:rPr>
          <w:kern w:val="0"/>
          <w:szCs w:val="24"/>
        </w:rPr>
        <w:t xml:space="preserve"> of </w:t>
      </w:r>
      <w:r>
        <w:rPr>
          <w:kern w:val="0"/>
          <w:szCs w:val="24"/>
        </w:rPr>
        <w:t>responsible science.</w:t>
      </w:r>
    </w:p>
    <w:p w:rsidR="003750D9" w:rsidRDefault="003750D9" w:rsidP="003750D9">
      <w:pPr>
        <w:pStyle w:val="a3"/>
        <w:rPr>
          <w:kern w:val="0"/>
          <w:szCs w:val="24"/>
        </w:rPr>
      </w:pPr>
      <w:r>
        <w:rPr>
          <w:kern w:val="0"/>
          <w:szCs w:val="24"/>
        </w:rPr>
        <w:t>Keywords: Authors, Clinical Trial, Editorial Policies, Ethics, Integrity, Journal, Journal Editors, Journals, Medical Journals, Plagiarism, Publication, Publishing, Registration, Research, Scientific Journals, Scientific Misconduct</w:t>
      </w:r>
    </w:p>
    <w:p w:rsidR="003750D9" w:rsidRDefault="003750D9" w:rsidP="003750D9">
      <w:pPr>
        <w:pStyle w:val="a3"/>
        <w:rPr>
          <w:kern w:val="0"/>
          <w:szCs w:val="24"/>
        </w:rPr>
      </w:pPr>
      <w:r>
        <w:rPr>
          <w:kern w:val="0"/>
          <w:szCs w:val="24"/>
        </w:rPr>
        <w:t>? Katavic, V. (2010), Responsible conduct</w:t>
      </w:r>
      <w:r w:rsidR="00427468">
        <w:rPr>
          <w:kern w:val="0"/>
          <w:szCs w:val="24"/>
        </w:rPr>
        <w:t xml:space="preserve"> of </w:t>
      </w:r>
      <w:r>
        <w:rPr>
          <w:kern w:val="0"/>
          <w:szCs w:val="24"/>
        </w:rPr>
        <w:t xml:space="preserve">research: Do we need training in fraud-science? </w:t>
      </w:r>
      <w:r>
        <w:rPr>
          <w:i/>
          <w:iCs/>
          <w:kern w:val="0"/>
          <w:szCs w:val="24"/>
        </w:rPr>
        <w:t>Biochemia Medica</w:t>
      </w:r>
      <w:r>
        <w:rPr>
          <w:kern w:val="0"/>
          <w:szCs w:val="24"/>
        </w:rPr>
        <w:t xml:space="preserve">, </w:t>
      </w:r>
      <w:r>
        <w:rPr>
          <w:b/>
          <w:bCs/>
          <w:kern w:val="0"/>
          <w:szCs w:val="24"/>
        </w:rPr>
        <w:t>20</w:t>
      </w:r>
      <w:r>
        <w:rPr>
          <w:kern w:val="0"/>
          <w:szCs w:val="24"/>
        </w:rPr>
        <w:t xml:space="preserve"> (3), 288-294.</w:t>
      </w:r>
    </w:p>
    <w:p w:rsidR="003750D9" w:rsidRDefault="003750D9" w:rsidP="003750D9">
      <w:pPr>
        <w:pStyle w:val="a3"/>
        <w:rPr>
          <w:kern w:val="0"/>
        </w:rPr>
      </w:pPr>
      <w:r>
        <w:rPr>
          <w:rFonts w:hint="eastAsia"/>
          <w:kern w:val="0"/>
        </w:rPr>
        <w:t xml:space="preserve">Full Text: </w:t>
      </w:r>
      <w:hyperlink r:id="rId1443" w:history="1">
        <w:r w:rsidRPr="003750D9">
          <w:rPr>
            <w:rStyle w:val="a5"/>
            <w:kern w:val="0"/>
          </w:rPr>
          <w:t>2010\Bio Med20, 288.pdf</w:t>
        </w:r>
      </w:hyperlink>
    </w:p>
    <w:p w:rsidR="003750D9" w:rsidRDefault="003750D9" w:rsidP="003750D9">
      <w:pPr>
        <w:pStyle w:val="a3"/>
        <w:rPr>
          <w:kern w:val="0"/>
          <w:szCs w:val="24"/>
        </w:rPr>
      </w:pPr>
      <w:r>
        <w:rPr>
          <w:kern w:val="0"/>
          <w:szCs w:val="24"/>
        </w:rPr>
        <w:t>Abstract: In this evidence-based opinion piece on responsible conduct</w:t>
      </w:r>
      <w:r w:rsidR="00427468">
        <w:rPr>
          <w:kern w:val="0"/>
          <w:szCs w:val="24"/>
        </w:rPr>
        <w:t xml:space="preserve"> of </w:t>
      </w:r>
      <w:r>
        <w:rPr>
          <w:kern w:val="0"/>
          <w:szCs w:val="24"/>
        </w:rPr>
        <w:t>research a short overview</w:t>
      </w:r>
      <w:r w:rsidR="00427468">
        <w:rPr>
          <w:kern w:val="0"/>
          <w:szCs w:val="24"/>
        </w:rPr>
        <w:t xml:space="preserve"> of </w:t>
      </w:r>
      <w:r w:rsidR="003A1917">
        <w:rPr>
          <w:kern w:val="0"/>
          <w:szCs w:val="24"/>
        </w:rPr>
        <w:t xml:space="preserve">the </w:t>
      </w:r>
      <w:r>
        <w:rPr>
          <w:kern w:val="0"/>
          <w:szCs w:val="24"/>
        </w:rPr>
        <w:t>most prominent recent cases</w:t>
      </w:r>
      <w:r w:rsidR="00427468">
        <w:rPr>
          <w:kern w:val="0"/>
          <w:szCs w:val="24"/>
        </w:rPr>
        <w:t xml:space="preserve"> of </w:t>
      </w:r>
      <w:r>
        <w:rPr>
          <w:kern w:val="0"/>
          <w:szCs w:val="24"/>
        </w:rPr>
        <w:t>sanctioned scientific misconduct, developments in</w:t>
      </w:r>
      <w:r w:rsidR="003A1917">
        <w:rPr>
          <w:kern w:val="0"/>
          <w:szCs w:val="24"/>
        </w:rPr>
        <w:t xml:space="preserve"> the </w:t>
      </w:r>
      <w:r>
        <w:rPr>
          <w:kern w:val="0"/>
          <w:szCs w:val="24"/>
        </w:rPr>
        <w:t>field</w:t>
      </w:r>
      <w:r w:rsidR="00427468">
        <w:rPr>
          <w:kern w:val="0"/>
          <w:szCs w:val="24"/>
        </w:rPr>
        <w:t xml:space="preserve"> of </w:t>
      </w:r>
      <w:r>
        <w:rPr>
          <w:kern w:val="0"/>
          <w:szCs w:val="24"/>
        </w:rPr>
        <w:t>responsible conduct</w:t>
      </w:r>
      <w:r w:rsidR="00427468">
        <w:rPr>
          <w:kern w:val="0"/>
          <w:szCs w:val="24"/>
        </w:rPr>
        <w:t xml:space="preserve"> of </w:t>
      </w:r>
      <w:r>
        <w:rPr>
          <w:kern w:val="0"/>
          <w:szCs w:val="24"/>
        </w:rPr>
        <w:t>research, definitions</w:t>
      </w:r>
      <w:r w:rsidR="00427468">
        <w:rPr>
          <w:kern w:val="0"/>
          <w:szCs w:val="24"/>
        </w:rPr>
        <w:t xml:space="preserve"> of </w:t>
      </w:r>
      <w:r>
        <w:rPr>
          <w:kern w:val="0"/>
          <w:szCs w:val="24"/>
        </w:rPr>
        <w:t>types</w:t>
      </w:r>
      <w:r w:rsidR="00427468">
        <w:rPr>
          <w:kern w:val="0"/>
          <w:szCs w:val="24"/>
        </w:rPr>
        <w:t xml:space="preserve"> of </w:t>
      </w:r>
      <w:r>
        <w:rPr>
          <w:kern w:val="0"/>
          <w:szCs w:val="24"/>
        </w:rPr>
        <w:t>scientific misconduct,</w:t>
      </w:r>
      <w:r w:rsidR="005853A9">
        <w:rPr>
          <w:kern w:val="0"/>
          <w:szCs w:val="24"/>
        </w:rPr>
        <w:t xml:space="preserve"> and </w:t>
      </w:r>
      <w:r>
        <w:rPr>
          <w:kern w:val="0"/>
          <w:szCs w:val="24"/>
        </w:rPr>
        <w:t>questionable research practices is given. Intrinsic</w:t>
      </w:r>
      <w:r w:rsidR="005853A9">
        <w:rPr>
          <w:kern w:val="0"/>
          <w:szCs w:val="24"/>
        </w:rPr>
        <w:t xml:space="preserve"> and </w:t>
      </w:r>
      <w:r>
        <w:rPr>
          <w:kern w:val="0"/>
          <w:szCs w:val="24"/>
        </w:rPr>
        <w:t>extrinsic motivation</w:t>
      </w:r>
      <w:r w:rsidR="00427468">
        <w:rPr>
          <w:kern w:val="0"/>
          <w:szCs w:val="24"/>
        </w:rPr>
        <w:t xml:space="preserve"> of </w:t>
      </w:r>
      <w:r>
        <w:rPr>
          <w:kern w:val="0"/>
          <w:szCs w:val="24"/>
        </w:rPr>
        <w:t>scientists to publish</w:t>
      </w:r>
      <w:r w:rsidR="005853A9">
        <w:rPr>
          <w:kern w:val="0"/>
          <w:szCs w:val="24"/>
        </w:rPr>
        <w:t xml:space="preserve"> and </w:t>
      </w:r>
      <w:r>
        <w:rPr>
          <w:kern w:val="0"/>
          <w:szCs w:val="24"/>
        </w:rPr>
        <w:t>perform research is discussed, as well as</w:t>
      </w:r>
      <w:r w:rsidR="003A1917">
        <w:rPr>
          <w:kern w:val="0"/>
          <w:szCs w:val="24"/>
        </w:rPr>
        <w:t xml:space="preserve"> the </w:t>
      </w:r>
      <w:r>
        <w:rPr>
          <w:kern w:val="0"/>
          <w:szCs w:val="24"/>
        </w:rPr>
        <w:t>perception</w:t>
      </w:r>
      <w:r w:rsidR="00427468">
        <w:rPr>
          <w:kern w:val="0"/>
          <w:szCs w:val="24"/>
        </w:rPr>
        <w:t xml:space="preserve"> of </w:t>
      </w:r>
      <w:r>
        <w:rPr>
          <w:kern w:val="0"/>
          <w:szCs w:val="24"/>
        </w:rPr>
        <w:t>fraud, its acceptability</w:t>
      </w:r>
      <w:r w:rsidR="005853A9">
        <w:rPr>
          <w:kern w:val="0"/>
          <w:szCs w:val="24"/>
        </w:rPr>
        <w:t xml:space="preserve"> and </w:t>
      </w:r>
      <w:r>
        <w:rPr>
          <w:kern w:val="0"/>
          <w:szCs w:val="24"/>
        </w:rPr>
        <w:t>influence on science</w:t>
      </w:r>
      <w:r w:rsidR="005853A9">
        <w:rPr>
          <w:kern w:val="0"/>
          <w:szCs w:val="24"/>
        </w:rPr>
        <w:t xml:space="preserve"> and </w:t>
      </w:r>
      <w:r w:rsidR="003A1917">
        <w:rPr>
          <w:kern w:val="0"/>
          <w:szCs w:val="24"/>
        </w:rPr>
        <w:t xml:space="preserve">the </w:t>
      </w:r>
      <w:r>
        <w:rPr>
          <w:kern w:val="0"/>
          <w:szCs w:val="24"/>
        </w:rPr>
        <w:t>scientific (public) record,with a special emphasis on</w:t>
      </w:r>
      <w:r w:rsidR="003A1917">
        <w:rPr>
          <w:kern w:val="0"/>
          <w:szCs w:val="24"/>
        </w:rPr>
        <w:t xml:space="preserve"> the </w:t>
      </w:r>
      <w:r>
        <w:rPr>
          <w:kern w:val="0"/>
          <w:szCs w:val="24"/>
        </w:rPr>
        <w:t>frequency</w:t>
      </w:r>
      <w:r w:rsidR="00427468">
        <w:rPr>
          <w:kern w:val="0"/>
          <w:szCs w:val="24"/>
        </w:rPr>
        <w:t xml:space="preserve"> of </w:t>
      </w:r>
      <w:r>
        <w:rPr>
          <w:kern w:val="0"/>
          <w:szCs w:val="24"/>
        </w:rPr>
        <w:t>sanctioned</w:t>
      </w:r>
      <w:r w:rsidR="005853A9">
        <w:rPr>
          <w:kern w:val="0"/>
          <w:szCs w:val="24"/>
        </w:rPr>
        <w:t xml:space="preserve"> and </w:t>
      </w:r>
      <w:r>
        <w:rPr>
          <w:kern w:val="0"/>
          <w:szCs w:val="24"/>
        </w:rPr>
        <w:t>discovered fraudulent research. Data on (self) reported willingness to perform misconduct</w:t>
      </w:r>
      <w:r w:rsidR="005853A9">
        <w:rPr>
          <w:kern w:val="0"/>
          <w:szCs w:val="24"/>
        </w:rPr>
        <w:t xml:space="preserve"> and </w:t>
      </w:r>
      <w:r>
        <w:rPr>
          <w:kern w:val="0"/>
          <w:szCs w:val="24"/>
        </w:rPr>
        <w:t>questionable research practices are analyzed</w:t>
      </w:r>
      <w:r w:rsidR="005853A9">
        <w:rPr>
          <w:kern w:val="0"/>
          <w:szCs w:val="24"/>
        </w:rPr>
        <w:t xml:space="preserve"> and </w:t>
      </w:r>
      <w:r>
        <w:rPr>
          <w:kern w:val="0"/>
          <w:szCs w:val="24"/>
        </w:rPr>
        <w:t>discussed. An extensive overview on recent publications concerning topics</w:t>
      </w:r>
      <w:r w:rsidR="00427468">
        <w:rPr>
          <w:kern w:val="0"/>
          <w:szCs w:val="24"/>
        </w:rPr>
        <w:t xml:space="preserve"> of </w:t>
      </w:r>
      <w:r>
        <w:rPr>
          <w:kern w:val="0"/>
          <w:szCs w:val="24"/>
        </w:rPr>
        <w:t>responsible conduct</w:t>
      </w:r>
      <w:r w:rsidR="00427468">
        <w:rPr>
          <w:kern w:val="0"/>
          <w:szCs w:val="24"/>
        </w:rPr>
        <w:t xml:space="preserve"> of </w:t>
      </w:r>
      <w:r>
        <w:rPr>
          <w:kern w:val="0"/>
          <w:szCs w:val="24"/>
        </w:rPr>
        <w:t>research is presented. Finally, some suggestions to what</w:t>
      </w:r>
      <w:r w:rsidR="003A1917">
        <w:rPr>
          <w:kern w:val="0"/>
          <w:szCs w:val="24"/>
        </w:rPr>
        <w:t xml:space="preserve"> the </w:t>
      </w:r>
      <w:r>
        <w:rPr>
          <w:kern w:val="0"/>
          <w:szCs w:val="24"/>
        </w:rPr>
        <w:t>stakeholders could do are given, as well as easy (self) checks against scientific misconduct.</w:t>
      </w:r>
    </w:p>
    <w:p w:rsidR="003750D9" w:rsidRDefault="003750D9" w:rsidP="003750D9">
      <w:pPr>
        <w:pStyle w:val="a3"/>
        <w:rPr>
          <w:kern w:val="0"/>
          <w:szCs w:val="24"/>
        </w:rPr>
      </w:pPr>
      <w:r>
        <w:rPr>
          <w:kern w:val="0"/>
          <w:szCs w:val="24"/>
        </w:rPr>
        <w:t>Keywords: Definitions, Editors, Ethics, Host, Journals, Overview, Perception, Plagiarism, Publications, Publishing, Research, Research Integrity, Scientific Misconduct, Scientific Misconduct, Students</w:t>
      </w:r>
    </w:p>
    <w:p w:rsidR="008373BF" w:rsidRDefault="008373BF" w:rsidP="008373BF">
      <w:pPr>
        <w:pStyle w:val="a3"/>
        <w:rPr>
          <w:kern w:val="0"/>
        </w:rPr>
      </w:pPr>
      <w:r>
        <w:rPr>
          <w:rFonts w:hint="eastAsia"/>
          <w:kern w:val="0"/>
        </w:rPr>
        <w:t xml:space="preserve">? </w:t>
      </w:r>
      <w:r>
        <w:rPr>
          <w:kern w:val="0"/>
        </w:rPr>
        <w:t>Roig, M. (2010), Plagiarism</w:t>
      </w:r>
      <w:r w:rsidR="005853A9">
        <w:rPr>
          <w:kern w:val="0"/>
        </w:rPr>
        <w:t xml:space="preserve"> and </w:t>
      </w:r>
      <w:r>
        <w:rPr>
          <w:kern w:val="0"/>
        </w:rPr>
        <w:t xml:space="preserve">self-plagiarism: What every author should know. </w:t>
      </w:r>
      <w:r>
        <w:rPr>
          <w:i/>
          <w:iCs/>
          <w:kern w:val="0"/>
        </w:rPr>
        <w:t>Biochemia Medica</w:t>
      </w:r>
      <w:r>
        <w:rPr>
          <w:kern w:val="0"/>
        </w:rPr>
        <w:t xml:space="preserve">, </w:t>
      </w:r>
      <w:r>
        <w:rPr>
          <w:b/>
          <w:bCs/>
          <w:kern w:val="0"/>
        </w:rPr>
        <w:t>20</w:t>
      </w:r>
      <w:r>
        <w:rPr>
          <w:kern w:val="0"/>
        </w:rPr>
        <w:t xml:space="preserve"> (3), 295-300.</w:t>
      </w:r>
    </w:p>
    <w:p w:rsidR="008373BF" w:rsidRDefault="008373BF" w:rsidP="008373BF">
      <w:pPr>
        <w:pStyle w:val="a3"/>
        <w:rPr>
          <w:kern w:val="0"/>
        </w:rPr>
      </w:pPr>
      <w:r>
        <w:rPr>
          <w:rFonts w:hint="eastAsia"/>
          <w:kern w:val="0"/>
        </w:rPr>
        <w:t xml:space="preserve">Full Text: </w:t>
      </w:r>
      <w:hyperlink r:id="rId1444" w:history="1">
        <w:r w:rsidRPr="00175C15">
          <w:rPr>
            <w:rStyle w:val="a5"/>
            <w:kern w:val="0"/>
          </w:rPr>
          <w:t>2010\Bio Med20, 295.pdf</w:t>
        </w:r>
      </w:hyperlink>
    </w:p>
    <w:p w:rsidR="008373BF" w:rsidRDefault="008373BF" w:rsidP="008373BF">
      <w:pPr>
        <w:pStyle w:val="a3"/>
        <w:rPr>
          <w:kern w:val="0"/>
        </w:rPr>
      </w:pPr>
      <w:r>
        <w:rPr>
          <w:kern w:val="0"/>
        </w:rPr>
        <w:t>Abstract:</w:t>
      </w:r>
      <w:r w:rsidR="003A1917">
        <w:rPr>
          <w:kern w:val="0"/>
        </w:rPr>
        <w:t xml:space="preserve"> the </w:t>
      </w:r>
      <w:r>
        <w:rPr>
          <w:kern w:val="0"/>
        </w:rPr>
        <w:t>scientific community is greatly concerned about</w:t>
      </w:r>
      <w:r w:rsidR="003A1917">
        <w:rPr>
          <w:kern w:val="0"/>
        </w:rPr>
        <w:t xml:space="preserve"> the </w:t>
      </w:r>
      <w:r>
        <w:rPr>
          <w:kern w:val="0"/>
        </w:rPr>
        <w:t>problem</w:t>
      </w:r>
      <w:r w:rsidR="00427468">
        <w:rPr>
          <w:kern w:val="0"/>
        </w:rPr>
        <w:t xml:space="preserve"> of </w:t>
      </w:r>
      <w:r>
        <w:rPr>
          <w:kern w:val="0"/>
        </w:rPr>
        <w:t>plagiarism</w:t>
      </w:r>
      <w:r w:rsidR="005853A9">
        <w:rPr>
          <w:kern w:val="0"/>
        </w:rPr>
        <w:t xml:space="preserve"> and </w:t>
      </w:r>
      <w:r>
        <w:rPr>
          <w:kern w:val="0"/>
        </w:rPr>
        <w:t>self-plagiarism. In this paper I explore these two transgressions</w:t>
      </w:r>
      <w:r w:rsidR="005853A9">
        <w:rPr>
          <w:kern w:val="0"/>
        </w:rPr>
        <w:t xml:space="preserve"> and </w:t>
      </w:r>
      <w:r>
        <w:rPr>
          <w:kern w:val="0"/>
        </w:rPr>
        <w:t>their various manifestations with a focus on</w:t>
      </w:r>
      <w:r w:rsidR="003A1917">
        <w:rPr>
          <w:kern w:val="0"/>
        </w:rPr>
        <w:t xml:space="preserve"> the </w:t>
      </w:r>
      <w:r>
        <w:rPr>
          <w:kern w:val="0"/>
        </w:rPr>
        <w:t>challenges faced by authors with limited English proficiency.</w:t>
      </w:r>
    </w:p>
    <w:p w:rsidR="008373BF" w:rsidRDefault="008373BF" w:rsidP="008373BF">
      <w:pPr>
        <w:pStyle w:val="a3"/>
        <w:rPr>
          <w:kern w:val="0"/>
        </w:rPr>
      </w:pPr>
      <w:r>
        <w:rPr>
          <w:kern w:val="0"/>
        </w:rPr>
        <w:t>Keywords: Author, Begin, College, Duplicate Publication, Editors, Limited English Proficiency, Plagiarism, Science, Self-Plagiarism</w:t>
      </w:r>
    </w:p>
    <w:p w:rsidR="00F20F80" w:rsidRDefault="00F20F80" w:rsidP="00F20F80">
      <w:pPr>
        <w:pStyle w:val="a3"/>
        <w:rPr>
          <w:kern w:val="0"/>
        </w:rPr>
      </w:pPr>
      <w:r>
        <w:rPr>
          <w:rFonts w:hint="eastAsia"/>
          <w:kern w:val="0"/>
        </w:rPr>
        <w:t xml:space="preserve">? </w:t>
      </w:r>
      <w:r>
        <w:rPr>
          <w:kern w:val="0"/>
        </w:rPr>
        <w:t>Comas-Forgas, R., Sureda-Negre, J.</w:t>
      </w:r>
      <w:r w:rsidR="005853A9">
        <w:rPr>
          <w:kern w:val="0"/>
        </w:rPr>
        <w:t xml:space="preserve"> and </w:t>
      </w:r>
      <w:r>
        <w:rPr>
          <w:kern w:val="0"/>
        </w:rPr>
        <w:t xml:space="preserve">Salva-Mut, F. (2010), Academic plagiarism prevalence among Spanish undergraduate students: </w:t>
      </w:r>
      <w:r w:rsidR="002B76AD">
        <w:rPr>
          <w:kern w:val="0"/>
        </w:rPr>
        <w:t xml:space="preserve">An </w:t>
      </w:r>
      <w:r>
        <w:rPr>
          <w:kern w:val="0"/>
        </w:rPr>
        <w:t xml:space="preserve">exploratory analysis. </w:t>
      </w:r>
      <w:r>
        <w:rPr>
          <w:i/>
          <w:iCs/>
          <w:kern w:val="0"/>
        </w:rPr>
        <w:t>Biochemia Medica</w:t>
      </w:r>
      <w:r>
        <w:rPr>
          <w:kern w:val="0"/>
        </w:rPr>
        <w:t xml:space="preserve">, </w:t>
      </w:r>
      <w:r>
        <w:rPr>
          <w:b/>
          <w:bCs/>
          <w:kern w:val="0"/>
        </w:rPr>
        <w:t>20</w:t>
      </w:r>
      <w:r>
        <w:rPr>
          <w:kern w:val="0"/>
        </w:rPr>
        <w:t xml:space="preserve"> (3), 301-306.</w:t>
      </w:r>
    </w:p>
    <w:p w:rsidR="00F20F80" w:rsidRDefault="00F20F80" w:rsidP="00F20F80">
      <w:pPr>
        <w:pStyle w:val="a3"/>
        <w:rPr>
          <w:kern w:val="0"/>
        </w:rPr>
      </w:pPr>
      <w:r>
        <w:rPr>
          <w:rFonts w:hint="eastAsia"/>
          <w:kern w:val="0"/>
        </w:rPr>
        <w:lastRenderedPageBreak/>
        <w:t xml:space="preserve">Full Text: </w:t>
      </w:r>
      <w:hyperlink r:id="rId1445" w:history="1">
        <w:r w:rsidRPr="00F20F80">
          <w:rPr>
            <w:rStyle w:val="a5"/>
            <w:kern w:val="0"/>
          </w:rPr>
          <w:t>2010\Bio Med20, 301.pdf</w:t>
        </w:r>
      </w:hyperlink>
    </w:p>
    <w:p w:rsidR="00F20F80" w:rsidRDefault="00F20F80" w:rsidP="00F20F80">
      <w:pPr>
        <w:pStyle w:val="a3"/>
        <w:rPr>
          <w:kern w:val="0"/>
        </w:rPr>
      </w:pPr>
      <w:r>
        <w:rPr>
          <w:kern w:val="0"/>
        </w:rPr>
        <w:t>Abstract: Introduction:</w:t>
      </w:r>
      <w:r w:rsidR="003A1917">
        <w:rPr>
          <w:kern w:val="0"/>
        </w:rPr>
        <w:t xml:space="preserve"> the </w:t>
      </w:r>
      <w:r>
        <w:rPr>
          <w:kern w:val="0"/>
        </w:rPr>
        <w:t>present research article is an exploratory study on academic plagiarism practices among Spanish university students. Materials</w:t>
      </w:r>
      <w:r w:rsidR="005853A9">
        <w:rPr>
          <w:kern w:val="0"/>
        </w:rPr>
        <w:t xml:space="preserve"> and </w:t>
      </w:r>
      <w:r>
        <w:rPr>
          <w:kern w:val="0"/>
        </w:rPr>
        <w:t>methods: To answer</w:t>
      </w:r>
      <w:r w:rsidR="003A1917">
        <w:rPr>
          <w:kern w:val="0"/>
        </w:rPr>
        <w:t xml:space="preserve"> the </w:t>
      </w:r>
      <w:r>
        <w:rPr>
          <w:kern w:val="0"/>
        </w:rPr>
        <w:t>main research questions, we based our work on across-sectional survey</w:t>
      </w:r>
      <w:r w:rsidR="00427468">
        <w:rPr>
          <w:kern w:val="0"/>
        </w:rPr>
        <w:t xml:space="preserve"> of </w:t>
      </w:r>
      <w:r w:rsidR="003A1917">
        <w:rPr>
          <w:kern w:val="0"/>
        </w:rPr>
        <w:t xml:space="preserve">the </w:t>
      </w:r>
      <w:r>
        <w:rPr>
          <w:kern w:val="0"/>
        </w:rPr>
        <w:t>targeted population</w:t>
      </w:r>
      <w:r w:rsidR="00A37C1D">
        <w:rPr>
          <w:kern w:val="0"/>
        </w:rPr>
        <w:t>. The</w:t>
      </w:r>
      <w:r w:rsidR="003A1917">
        <w:rPr>
          <w:kern w:val="0"/>
        </w:rPr>
        <w:t xml:space="preserve"> </w:t>
      </w:r>
      <w:r>
        <w:rPr>
          <w:kern w:val="0"/>
        </w:rPr>
        <w:t>sample consisted</w:t>
      </w:r>
      <w:r w:rsidR="00427468">
        <w:rPr>
          <w:kern w:val="0"/>
        </w:rPr>
        <w:t xml:space="preserve"> of </w:t>
      </w:r>
      <w:r>
        <w:rPr>
          <w:kern w:val="0"/>
        </w:rPr>
        <w:t>a total</w:t>
      </w:r>
      <w:r w:rsidR="00427468">
        <w:rPr>
          <w:kern w:val="0"/>
        </w:rPr>
        <w:t xml:space="preserve"> of </w:t>
      </w:r>
      <w:r>
        <w:rPr>
          <w:kern w:val="0"/>
        </w:rPr>
        <w:t>560 students</w:t>
      </w:r>
      <w:r w:rsidR="005853A9">
        <w:rPr>
          <w:kern w:val="0"/>
        </w:rPr>
        <w:t xml:space="preserve"> and </w:t>
      </w:r>
      <w:r w:rsidR="003A1917">
        <w:rPr>
          <w:kern w:val="0"/>
        </w:rPr>
        <w:t xml:space="preserve">the </w:t>
      </w:r>
      <w:r>
        <w:rPr>
          <w:kern w:val="0"/>
        </w:rPr>
        <w:t>procedure was non-probability sampling. Results</w:t>
      </w:r>
      <w:r w:rsidR="005853A9">
        <w:rPr>
          <w:kern w:val="0"/>
        </w:rPr>
        <w:t xml:space="preserve"> and </w:t>
      </w:r>
      <w:r>
        <w:rPr>
          <w:kern w:val="0"/>
        </w:rPr>
        <w:t>conclusions:</w:t>
      </w:r>
      <w:r w:rsidR="003A1917">
        <w:rPr>
          <w:kern w:val="0"/>
        </w:rPr>
        <w:t xml:space="preserve"> the </w:t>
      </w:r>
      <w:r>
        <w:rPr>
          <w:kern w:val="0"/>
        </w:rPr>
        <w:t>research findings show that</w:t>
      </w:r>
      <w:r w:rsidR="003A1917">
        <w:rPr>
          <w:kern w:val="0"/>
        </w:rPr>
        <w:t xml:space="preserve"> the </w:t>
      </w:r>
      <w:r>
        <w:rPr>
          <w:kern w:val="0"/>
        </w:rPr>
        <w:t>Internet has become</w:t>
      </w:r>
      <w:r w:rsidR="003A1917">
        <w:rPr>
          <w:kern w:val="0"/>
        </w:rPr>
        <w:t xml:space="preserve"> the </w:t>
      </w:r>
      <w:r>
        <w:rPr>
          <w:kern w:val="0"/>
        </w:rPr>
        <w:t>students</w:t>
      </w:r>
      <w:r w:rsidR="00700038">
        <w:rPr>
          <w:kern w:val="0"/>
        </w:rPr>
        <w:t>’</w:t>
      </w:r>
      <w:r>
        <w:rPr>
          <w:kern w:val="0"/>
        </w:rPr>
        <w:t xml:space="preserve"> main source for</w:t>
      </w:r>
      <w:r w:rsidR="003A1917">
        <w:rPr>
          <w:kern w:val="0"/>
        </w:rPr>
        <w:t xml:space="preserve"> the </w:t>
      </w:r>
      <w:r>
        <w:rPr>
          <w:kern w:val="0"/>
        </w:rPr>
        <w:t>plagiarism</w:t>
      </w:r>
      <w:r w:rsidR="00427468">
        <w:rPr>
          <w:kern w:val="0"/>
        </w:rPr>
        <w:t xml:space="preserve"> of </w:t>
      </w:r>
      <w:r>
        <w:rPr>
          <w:kern w:val="0"/>
        </w:rPr>
        <w:t>academic essays. Furthermore, there is also a substantial prevalence</w:t>
      </w:r>
      <w:r w:rsidR="00427468">
        <w:rPr>
          <w:kern w:val="0"/>
        </w:rPr>
        <w:t xml:space="preserve"> of </w:t>
      </w:r>
      <w:r>
        <w:rPr>
          <w:kern w:val="0"/>
        </w:rPr>
        <w:t>self-plagiarism</w:t>
      </w:r>
      <w:r w:rsidR="005853A9">
        <w:rPr>
          <w:kern w:val="0"/>
        </w:rPr>
        <w:t xml:space="preserve"> and </w:t>
      </w:r>
      <w:r>
        <w:rPr>
          <w:kern w:val="0"/>
        </w:rPr>
        <w:t>peer-to-peer (p2p) plagiarism when elaborating essays.</w:t>
      </w:r>
    </w:p>
    <w:p w:rsidR="00F20F80" w:rsidRDefault="00F20F80" w:rsidP="00F20F80">
      <w:pPr>
        <w:pStyle w:val="a3"/>
        <w:rPr>
          <w:kern w:val="0"/>
        </w:rPr>
      </w:pPr>
      <w:r>
        <w:rPr>
          <w:kern w:val="0"/>
        </w:rPr>
        <w:t>Keywords: Academic Integrity, Academic Plagiarism, Analysis, Dishonesty, Essays, Internet, Perceptions, Plagiarism, Research, Self-Plagiarism</w:t>
      </w:r>
    </w:p>
    <w:p w:rsidR="003750D9" w:rsidRDefault="003750D9" w:rsidP="003750D9">
      <w:pPr>
        <w:pStyle w:val="a3"/>
        <w:rPr>
          <w:kern w:val="0"/>
          <w:szCs w:val="24"/>
        </w:rPr>
      </w:pPr>
      <w:r>
        <w:rPr>
          <w:kern w:val="0"/>
          <w:szCs w:val="24"/>
        </w:rPr>
        <w:t>? Pupovac, V., Bilic-Zulle, L., Mavrinac, M.</w:t>
      </w:r>
      <w:r w:rsidR="005853A9">
        <w:rPr>
          <w:kern w:val="0"/>
          <w:szCs w:val="24"/>
        </w:rPr>
        <w:t xml:space="preserve"> and </w:t>
      </w:r>
      <w:r>
        <w:rPr>
          <w:kern w:val="0"/>
          <w:szCs w:val="24"/>
        </w:rPr>
        <w:t>Petrovecki, M. (2010), Attitudes toward plagiarism among pharmacy</w:t>
      </w:r>
      <w:r w:rsidR="005853A9">
        <w:rPr>
          <w:kern w:val="0"/>
          <w:szCs w:val="24"/>
        </w:rPr>
        <w:t xml:space="preserve"> and </w:t>
      </w:r>
      <w:r>
        <w:rPr>
          <w:kern w:val="0"/>
          <w:szCs w:val="24"/>
        </w:rPr>
        <w:t xml:space="preserve">medical biochemistry students - cross-sectional survey study. </w:t>
      </w:r>
      <w:r>
        <w:rPr>
          <w:i/>
          <w:iCs/>
          <w:kern w:val="0"/>
          <w:szCs w:val="24"/>
        </w:rPr>
        <w:t>Biochemia Medica</w:t>
      </w:r>
      <w:r>
        <w:rPr>
          <w:kern w:val="0"/>
          <w:szCs w:val="24"/>
        </w:rPr>
        <w:t xml:space="preserve">, </w:t>
      </w:r>
      <w:r>
        <w:rPr>
          <w:b/>
          <w:bCs/>
          <w:kern w:val="0"/>
          <w:szCs w:val="24"/>
        </w:rPr>
        <w:t>20</w:t>
      </w:r>
      <w:r>
        <w:rPr>
          <w:kern w:val="0"/>
          <w:szCs w:val="24"/>
        </w:rPr>
        <w:t xml:space="preserve"> (3), 307-313.</w:t>
      </w:r>
    </w:p>
    <w:p w:rsidR="003750D9" w:rsidRDefault="003750D9" w:rsidP="003750D9">
      <w:pPr>
        <w:pStyle w:val="a3"/>
        <w:rPr>
          <w:kern w:val="0"/>
        </w:rPr>
      </w:pPr>
      <w:r>
        <w:rPr>
          <w:rFonts w:hint="eastAsia"/>
          <w:kern w:val="0"/>
        </w:rPr>
        <w:t xml:space="preserve">Full Text: </w:t>
      </w:r>
      <w:hyperlink r:id="rId1446" w:history="1">
        <w:r w:rsidRPr="003750D9">
          <w:rPr>
            <w:rStyle w:val="a5"/>
            <w:kern w:val="0"/>
          </w:rPr>
          <w:t>2010\Bio Med20, 307.pdf</w:t>
        </w:r>
      </w:hyperlink>
    </w:p>
    <w:p w:rsidR="003750D9" w:rsidRDefault="003750D9" w:rsidP="003750D9">
      <w:pPr>
        <w:pStyle w:val="a3"/>
        <w:rPr>
          <w:kern w:val="0"/>
          <w:szCs w:val="24"/>
        </w:rPr>
      </w:pPr>
      <w:r>
        <w:rPr>
          <w:kern w:val="0"/>
          <w:szCs w:val="24"/>
        </w:rPr>
        <w:t>Abstract: Introduction: Plagiarism is one</w:t>
      </w:r>
      <w:r w:rsidR="00427468">
        <w:rPr>
          <w:kern w:val="0"/>
          <w:szCs w:val="24"/>
        </w:rPr>
        <w:t xml:space="preserve"> of </w:t>
      </w:r>
      <w:r w:rsidR="003A1917">
        <w:rPr>
          <w:kern w:val="0"/>
          <w:szCs w:val="24"/>
        </w:rPr>
        <w:t xml:space="preserve">the </w:t>
      </w:r>
      <w:r>
        <w:rPr>
          <w:kern w:val="0"/>
          <w:szCs w:val="24"/>
        </w:rPr>
        <w:t>most frequent</w:t>
      </w:r>
      <w:r w:rsidR="005853A9">
        <w:rPr>
          <w:kern w:val="0"/>
          <w:szCs w:val="24"/>
        </w:rPr>
        <w:t xml:space="preserve"> and </w:t>
      </w:r>
      <w:r>
        <w:rPr>
          <w:kern w:val="0"/>
          <w:szCs w:val="24"/>
        </w:rPr>
        <w:t>serious forms</w:t>
      </w:r>
      <w:r w:rsidR="00427468">
        <w:rPr>
          <w:kern w:val="0"/>
          <w:szCs w:val="24"/>
        </w:rPr>
        <w:t xml:space="preserve"> of </w:t>
      </w:r>
      <w:r>
        <w:rPr>
          <w:kern w:val="0"/>
          <w:szCs w:val="24"/>
        </w:rPr>
        <w:t>misconduct in academic environment</w:t>
      </w:r>
      <w:r w:rsidR="00A37C1D">
        <w:rPr>
          <w:kern w:val="0"/>
          <w:szCs w:val="24"/>
        </w:rPr>
        <w:t>. The</w:t>
      </w:r>
      <w:r w:rsidR="003A1917">
        <w:rPr>
          <w:kern w:val="0"/>
          <w:szCs w:val="24"/>
        </w:rPr>
        <w:t xml:space="preserve"> </w:t>
      </w:r>
      <w:r>
        <w:rPr>
          <w:kern w:val="0"/>
          <w:szCs w:val="24"/>
        </w:rPr>
        <w:t>cross-sectional survey study was done with aim to explore</w:t>
      </w:r>
      <w:r w:rsidR="003A1917">
        <w:rPr>
          <w:kern w:val="0"/>
          <w:szCs w:val="24"/>
        </w:rPr>
        <w:t xml:space="preserve"> the </w:t>
      </w:r>
      <w:r>
        <w:rPr>
          <w:kern w:val="0"/>
          <w:szCs w:val="24"/>
        </w:rPr>
        <w:t>attitudes toward plagiarism. Materials</w:t>
      </w:r>
      <w:r w:rsidR="005853A9">
        <w:rPr>
          <w:kern w:val="0"/>
          <w:szCs w:val="24"/>
        </w:rPr>
        <w:t xml:space="preserve"> and </w:t>
      </w:r>
      <w:r>
        <w:rPr>
          <w:kern w:val="0"/>
          <w:szCs w:val="24"/>
        </w:rPr>
        <w:t>methods: First year students</w:t>
      </w:r>
      <w:r w:rsidR="00427468">
        <w:rPr>
          <w:kern w:val="0"/>
          <w:szCs w:val="24"/>
        </w:rPr>
        <w:t xml:space="preserve"> of </w:t>
      </w:r>
      <w:r>
        <w:rPr>
          <w:kern w:val="0"/>
          <w:szCs w:val="24"/>
        </w:rPr>
        <w:t>Faculty</w:t>
      </w:r>
      <w:r w:rsidR="00427468">
        <w:rPr>
          <w:kern w:val="0"/>
          <w:szCs w:val="24"/>
        </w:rPr>
        <w:t xml:space="preserve"> of </w:t>
      </w:r>
      <w:r>
        <w:rPr>
          <w:kern w:val="0"/>
          <w:szCs w:val="24"/>
        </w:rPr>
        <w:t>Pharmacy</w:t>
      </w:r>
      <w:r w:rsidR="005853A9">
        <w:rPr>
          <w:kern w:val="0"/>
          <w:szCs w:val="24"/>
        </w:rPr>
        <w:t xml:space="preserve"> and </w:t>
      </w:r>
      <w:r>
        <w:rPr>
          <w:kern w:val="0"/>
          <w:szCs w:val="24"/>
        </w:rPr>
        <w:t>Medical Biochemistry, University</w:t>
      </w:r>
      <w:r w:rsidR="00427468">
        <w:rPr>
          <w:kern w:val="0"/>
          <w:szCs w:val="24"/>
        </w:rPr>
        <w:t xml:space="preserve"> of </w:t>
      </w:r>
      <w:r>
        <w:rPr>
          <w:kern w:val="0"/>
          <w:szCs w:val="24"/>
        </w:rPr>
        <w:t>Zagreb, Croatia (N = 146) were anonymously tested using Attitude toward Plagiarism (ATP) questionnaire</w:t>
      </w:r>
      <w:r w:rsidR="00A37C1D">
        <w:rPr>
          <w:kern w:val="0"/>
          <w:szCs w:val="24"/>
        </w:rPr>
        <w:t>. The</w:t>
      </w:r>
      <w:r w:rsidR="003A1917">
        <w:rPr>
          <w:kern w:val="0"/>
          <w:szCs w:val="24"/>
        </w:rPr>
        <w:t xml:space="preserve"> </w:t>
      </w:r>
      <w:r>
        <w:rPr>
          <w:kern w:val="0"/>
          <w:szCs w:val="24"/>
        </w:rPr>
        <w:t>questionnaire is composed</w:t>
      </w:r>
      <w:r w:rsidR="00427468">
        <w:rPr>
          <w:kern w:val="0"/>
          <w:szCs w:val="24"/>
        </w:rPr>
        <w:t xml:space="preserve"> of </w:t>
      </w:r>
      <w:r>
        <w:rPr>
          <w:kern w:val="0"/>
          <w:szCs w:val="24"/>
        </w:rPr>
        <w:t>29 statements on a 5 point Likert scale, (1-strongly disagree, 2-disagree, 3-neither agree nor disagree, 4-agree</w:t>
      </w:r>
      <w:r w:rsidR="005853A9">
        <w:rPr>
          <w:kern w:val="0"/>
          <w:szCs w:val="24"/>
        </w:rPr>
        <w:t xml:space="preserve"> and </w:t>
      </w:r>
      <w:r>
        <w:rPr>
          <w:kern w:val="0"/>
          <w:szCs w:val="24"/>
        </w:rPr>
        <w:t>5-strongly agree) measuring three attitudinal factors (positive</w:t>
      </w:r>
      <w:r w:rsidR="005853A9">
        <w:rPr>
          <w:kern w:val="0"/>
          <w:szCs w:val="24"/>
        </w:rPr>
        <w:t xml:space="preserve"> and </w:t>
      </w:r>
      <w:r>
        <w:rPr>
          <w:kern w:val="0"/>
          <w:szCs w:val="24"/>
        </w:rPr>
        <w:t>negative attitude</w:t>
      </w:r>
      <w:r w:rsidR="005853A9">
        <w:rPr>
          <w:kern w:val="0"/>
          <w:szCs w:val="24"/>
        </w:rPr>
        <w:t xml:space="preserve"> and </w:t>
      </w:r>
      <w:r>
        <w:rPr>
          <w:kern w:val="0"/>
          <w:szCs w:val="24"/>
        </w:rPr>
        <w:t>subjective norms) toward plagiarism. Results were presented as score (mean +/- SD) followed by reference range (divided in three equal parts: low, moderate</w:t>
      </w:r>
      <w:r w:rsidR="005853A9">
        <w:rPr>
          <w:kern w:val="0"/>
          <w:szCs w:val="24"/>
        </w:rPr>
        <w:t xml:space="preserve"> and </w:t>
      </w:r>
      <w:r>
        <w:rPr>
          <w:kern w:val="0"/>
          <w:szCs w:val="24"/>
        </w:rPr>
        <w:t>high score). Score range expends from 12 to 60 (low: 12-28; moderate: 29-45; high: 46-60) measuring positive attitude toward plagiarism, from 7 to 35 (low: 7-16; moderate: 17-26; high: 27-35) measuring negative attitude toward plagiarism</w:t>
      </w:r>
      <w:r w:rsidR="005853A9">
        <w:rPr>
          <w:kern w:val="0"/>
          <w:szCs w:val="24"/>
        </w:rPr>
        <w:t xml:space="preserve"> and </w:t>
      </w:r>
      <w:r>
        <w:rPr>
          <w:kern w:val="0"/>
          <w:szCs w:val="24"/>
        </w:rPr>
        <w:t>from 10 to 50 (low: 10-23; moderate: 24-37; high: 38-50) measuring subjective norms. Response rate was 99% (N = 144). Results: Results revealed moderate positive attitude (36 +/- 7)</w:t>
      </w:r>
      <w:r w:rsidR="005853A9">
        <w:rPr>
          <w:kern w:val="0"/>
          <w:szCs w:val="24"/>
        </w:rPr>
        <w:t xml:space="preserve"> and </w:t>
      </w:r>
      <w:r>
        <w:rPr>
          <w:kern w:val="0"/>
          <w:szCs w:val="24"/>
        </w:rPr>
        <w:t>subjective norms (32 +/- 6) toward plagiarism</w:t>
      </w:r>
      <w:r w:rsidR="005853A9">
        <w:rPr>
          <w:kern w:val="0"/>
          <w:szCs w:val="24"/>
        </w:rPr>
        <w:t xml:space="preserve"> and </w:t>
      </w:r>
      <w:r>
        <w:rPr>
          <w:kern w:val="0"/>
          <w:szCs w:val="24"/>
        </w:rPr>
        <w:t>moderate to high negative attitude (26 +/- 4). Plagiarism is perceived as not very important (63%</w:t>
      </w:r>
      <w:r w:rsidR="00427468">
        <w:rPr>
          <w:kern w:val="0"/>
          <w:szCs w:val="24"/>
        </w:rPr>
        <w:t xml:space="preserve"> of </w:t>
      </w:r>
      <w:r>
        <w:rPr>
          <w:kern w:val="0"/>
          <w:szCs w:val="24"/>
        </w:rPr>
        <w:t>students), harmless (59%), justified under special circumstances (42%),</w:t>
      </w:r>
      <w:r w:rsidR="005853A9">
        <w:rPr>
          <w:kern w:val="0"/>
          <w:szCs w:val="24"/>
        </w:rPr>
        <w:t xml:space="preserve"> and </w:t>
      </w:r>
      <w:r>
        <w:rPr>
          <w:kern w:val="0"/>
          <w:szCs w:val="24"/>
        </w:rPr>
        <w:t>sometimes necessary (35%). Conclusion: Students</w:t>
      </w:r>
      <w:r w:rsidR="00700038">
        <w:rPr>
          <w:kern w:val="0"/>
          <w:szCs w:val="24"/>
        </w:rPr>
        <w:t>’</w:t>
      </w:r>
      <w:r>
        <w:rPr>
          <w:kern w:val="0"/>
          <w:szCs w:val="24"/>
        </w:rPr>
        <w:t xml:space="preserve"> attitudes reflect insufficient level</w:t>
      </w:r>
      <w:r w:rsidR="00427468">
        <w:rPr>
          <w:kern w:val="0"/>
          <w:szCs w:val="24"/>
        </w:rPr>
        <w:t xml:space="preserve"> of </w:t>
      </w:r>
      <w:r>
        <w:rPr>
          <w:kern w:val="0"/>
          <w:szCs w:val="24"/>
        </w:rPr>
        <w:t>seriousness</w:t>
      </w:r>
      <w:r w:rsidR="005853A9">
        <w:rPr>
          <w:kern w:val="0"/>
          <w:szCs w:val="24"/>
        </w:rPr>
        <w:t xml:space="preserve"> and </w:t>
      </w:r>
      <w:r>
        <w:rPr>
          <w:kern w:val="0"/>
          <w:szCs w:val="24"/>
        </w:rPr>
        <w:t>awareness with which plagiarism is perceived</w:t>
      </w:r>
      <w:r w:rsidR="00A37C1D">
        <w:rPr>
          <w:kern w:val="0"/>
          <w:szCs w:val="24"/>
        </w:rPr>
        <w:t>. The</w:t>
      </w:r>
      <w:r>
        <w:rPr>
          <w:kern w:val="0"/>
          <w:szCs w:val="24"/>
        </w:rPr>
        <w:t>y are lacking knowledge on scientific methodology, academic</w:t>
      </w:r>
      <w:r w:rsidR="005853A9">
        <w:rPr>
          <w:kern w:val="0"/>
          <w:szCs w:val="24"/>
        </w:rPr>
        <w:t xml:space="preserve"> and </w:t>
      </w:r>
      <w:r>
        <w:rPr>
          <w:kern w:val="0"/>
          <w:szCs w:val="24"/>
        </w:rPr>
        <w:t>scientific misconduct. Plan</w:t>
      </w:r>
      <w:r w:rsidR="005853A9">
        <w:rPr>
          <w:kern w:val="0"/>
          <w:szCs w:val="24"/>
        </w:rPr>
        <w:t xml:space="preserve"> and </w:t>
      </w:r>
      <w:r>
        <w:rPr>
          <w:kern w:val="0"/>
          <w:szCs w:val="24"/>
        </w:rPr>
        <w:t>program to educate students about academic integrity</w:t>
      </w:r>
      <w:r w:rsidR="005853A9">
        <w:rPr>
          <w:kern w:val="0"/>
          <w:szCs w:val="24"/>
        </w:rPr>
        <w:t xml:space="preserve"> and </w:t>
      </w:r>
      <w:r>
        <w:rPr>
          <w:kern w:val="0"/>
          <w:szCs w:val="24"/>
        </w:rPr>
        <w:t>research methodology is required on all educational level.</w:t>
      </w:r>
    </w:p>
    <w:p w:rsidR="003750D9" w:rsidRDefault="003750D9" w:rsidP="003750D9">
      <w:pPr>
        <w:pStyle w:val="a3"/>
        <w:rPr>
          <w:kern w:val="0"/>
          <w:szCs w:val="24"/>
        </w:rPr>
      </w:pPr>
      <w:r>
        <w:rPr>
          <w:kern w:val="0"/>
          <w:szCs w:val="24"/>
        </w:rPr>
        <w:t xml:space="preserve">Keywords: Academic Integrity, Academic Misconduct, Academic Misconduct, </w:t>
      </w:r>
      <w:r>
        <w:rPr>
          <w:kern w:val="0"/>
          <w:szCs w:val="24"/>
        </w:rPr>
        <w:lastRenderedPageBreak/>
        <w:t>Behavior, Environment, Ethics, Methodology, Perceptions, Plagiarism, Professional Practice, Questionnaire, Questionnaires, Research, Research Integrity, Science, Scientific Misconduct, Students, Survey, University</w:t>
      </w:r>
    </w:p>
    <w:p w:rsidR="00F42E0C" w:rsidRDefault="00F42E0C" w:rsidP="00F42E0C">
      <w:pPr>
        <w:pStyle w:val="a3"/>
        <w:rPr>
          <w:kern w:val="0"/>
        </w:rPr>
      </w:pPr>
      <w:r>
        <w:rPr>
          <w:rFonts w:hint="eastAsia"/>
          <w:kern w:val="0"/>
        </w:rPr>
        <w:t xml:space="preserve">? </w:t>
      </w:r>
      <w:r>
        <w:rPr>
          <w:kern w:val="0"/>
        </w:rPr>
        <w:t>Lippi, G., Favaloro, E.J.</w:t>
      </w:r>
      <w:r w:rsidR="005853A9">
        <w:rPr>
          <w:kern w:val="0"/>
        </w:rPr>
        <w:t xml:space="preserve"> and </w:t>
      </w:r>
      <w:r>
        <w:rPr>
          <w:kern w:val="0"/>
        </w:rPr>
        <w:t>Simundic, A.M. (2012), Biomedical research platforms</w:t>
      </w:r>
      <w:r w:rsidR="005853A9">
        <w:rPr>
          <w:kern w:val="0"/>
        </w:rPr>
        <w:t xml:space="preserve"> and </w:t>
      </w:r>
      <w:r>
        <w:rPr>
          <w:kern w:val="0"/>
        </w:rPr>
        <w:t>their influence on article submissions</w:t>
      </w:r>
      <w:r w:rsidR="005853A9">
        <w:rPr>
          <w:kern w:val="0"/>
        </w:rPr>
        <w:t xml:space="preserve"> and </w:t>
      </w:r>
      <w:r>
        <w:rPr>
          <w:kern w:val="0"/>
        </w:rPr>
        <w:t xml:space="preserve">journal rankings: An update. </w:t>
      </w:r>
      <w:r>
        <w:rPr>
          <w:i/>
          <w:iCs/>
          <w:kern w:val="0"/>
        </w:rPr>
        <w:t>Biochemia Medica</w:t>
      </w:r>
      <w:r>
        <w:rPr>
          <w:kern w:val="0"/>
        </w:rPr>
        <w:t xml:space="preserve">, </w:t>
      </w:r>
      <w:r>
        <w:rPr>
          <w:b/>
          <w:bCs/>
          <w:kern w:val="0"/>
        </w:rPr>
        <w:t>22</w:t>
      </w:r>
      <w:r>
        <w:rPr>
          <w:kern w:val="0"/>
        </w:rPr>
        <w:t xml:space="preserve"> (1), 7-14.</w:t>
      </w:r>
    </w:p>
    <w:p w:rsidR="00F42E0C" w:rsidRDefault="00F42E0C" w:rsidP="00F42E0C">
      <w:pPr>
        <w:pStyle w:val="a3"/>
        <w:rPr>
          <w:kern w:val="0"/>
        </w:rPr>
      </w:pPr>
      <w:r>
        <w:rPr>
          <w:rFonts w:hint="eastAsia"/>
          <w:kern w:val="0"/>
        </w:rPr>
        <w:t xml:space="preserve">Full Text: </w:t>
      </w:r>
      <w:hyperlink r:id="rId1447" w:history="1">
        <w:r w:rsidRPr="002A2FD4">
          <w:rPr>
            <w:rStyle w:val="a5"/>
            <w:kern w:val="0"/>
          </w:rPr>
          <w:t>2012\Bio Med22, 7.pdf</w:t>
        </w:r>
      </w:hyperlink>
    </w:p>
    <w:p w:rsidR="00F42E0C" w:rsidRDefault="00F42E0C" w:rsidP="00F42E0C">
      <w:pPr>
        <w:pStyle w:val="a3"/>
        <w:rPr>
          <w:kern w:val="0"/>
        </w:rPr>
      </w:pPr>
      <w:r>
        <w:rPr>
          <w:kern w:val="0"/>
        </w:rPr>
        <w:t>Abstract: After being indexed in 2006 in EMBASE/Excerpta Medica</w:t>
      </w:r>
      <w:r w:rsidR="005853A9">
        <w:rPr>
          <w:kern w:val="0"/>
        </w:rPr>
        <w:t xml:space="preserve"> and </w:t>
      </w:r>
      <w:r>
        <w:rPr>
          <w:kern w:val="0"/>
        </w:rPr>
        <w:t>Scopus,</w:t>
      </w:r>
      <w:r w:rsidR="005853A9">
        <w:rPr>
          <w:kern w:val="0"/>
        </w:rPr>
        <w:t xml:space="preserve"> and </w:t>
      </w:r>
      <w:r>
        <w:rPr>
          <w:kern w:val="0"/>
        </w:rPr>
        <w:t>later in Science Citation Index Expanded</w:t>
      </w:r>
      <w:r w:rsidR="005853A9">
        <w:rPr>
          <w:kern w:val="0"/>
        </w:rPr>
        <w:t xml:space="preserve"> and </w:t>
      </w:r>
      <w:r>
        <w:rPr>
          <w:kern w:val="0"/>
        </w:rPr>
        <w:t>Journal Citation Reports/Science Edition citation databases, Biochemia Medica launched a new web page</w:t>
      </w:r>
      <w:r w:rsidR="005853A9">
        <w:rPr>
          <w:kern w:val="0"/>
        </w:rPr>
        <w:t xml:space="preserve"> and </w:t>
      </w:r>
      <w:r>
        <w:rPr>
          <w:kern w:val="0"/>
        </w:rPr>
        <w:t>online manuscript submission system in 2010,</w:t>
      </w:r>
      <w:r w:rsidR="005853A9">
        <w:rPr>
          <w:kern w:val="0"/>
        </w:rPr>
        <w:t xml:space="preserve"> and </w:t>
      </w:r>
      <w:r>
        <w:rPr>
          <w:kern w:val="0"/>
        </w:rPr>
        <w:t>celebrated its first Impact Factor in</w:t>
      </w:r>
      <w:r w:rsidR="003A1917">
        <w:rPr>
          <w:kern w:val="0"/>
        </w:rPr>
        <w:t xml:space="preserve"> the </w:t>
      </w:r>
      <w:r>
        <w:rPr>
          <w:kern w:val="0"/>
        </w:rPr>
        <w:t>same year. Now, starting from</w:t>
      </w:r>
      <w:r w:rsidR="003A1917">
        <w:rPr>
          <w:kern w:val="0"/>
        </w:rPr>
        <w:t xml:space="preserve"> the </w:t>
      </w:r>
      <w:r>
        <w:rPr>
          <w:kern w:val="0"/>
        </w:rPr>
        <w:t>end</w:t>
      </w:r>
      <w:r w:rsidR="00427468">
        <w:rPr>
          <w:kern w:val="0"/>
        </w:rPr>
        <w:t xml:space="preserve"> of </w:t>
      </w:r>
      <w:r w:rsidR="003A1917">
        <w:rPr>
          <w:kern w:val="0"/>
        </w:rPr>
        <w:t xml:space="preserve">the </w:t>
      </w:r>
      <w:r>
        <w:rPr>
          <w:kern w:val="0"/>
        </w:rPr>
        <w:t>2011,</w:t>
      </w:r>
      <w:r w:rsidR="003A1917">
        <w:rPr>
          <w:kern w:val="0"/>
        </w:rPr>
        <w:t xml:space="preserve"> the </w:t>
      </w:r>
      <w:r>
        <w:rPr>
          <w:kern w:val="0"/>
        </w:rPr>
        <w:t>journal will also be indexed in PubMed/</w:t>
      </w:r>
      <w:r w:rsidR="00D5664A">
        <w:rPr>
          <w:kern w:val="0"/>
        </w:rPr>
        <w:t>MEDLINE</w:t>
      </w:r>
      <w:r>
        <w:rPr>
          <w:kern w:val="0"/>
        </w:rPr>
        <w:t>,</w:t>
      </w:r>
      <w:r w:rsidR="005853A9">
        <w:rPr>
          <w:kern w:val="0"/>
        </w:rPr>
        <w:t xml:space="preserve"> and </w:t>
      </w:r>
      <w:r>
        <w:rPr>
          <w:kern w:val="0"/>
        </w:rPr>
        <w:t>this will contribute to increase</w:t>
      </w:r>
      <w:r w:rsidR="003A1917">
        <w:rPr>
          <w:kern w:val="0"/>
        </w:rPr>
        <w:t xml:space="preserve"> the </w:t>
      </w:r>
      <w:r>
        <w:rPr>
          <w:kern w:val="0"/>
        </w:rPr>
        <w:t>journal</w:t>
      </w:r>
      <w:r w:rsidR="00700038">
        <w:rPr>
          <w:kern w:val="0"/>
        </w:rPr>
        <w:t>’</w:t>
      </w:r>
      <w:r>
        <w:rPr>
          <w:kern w:val="0"/>
        </w:rPr>
        <w:t>s exposure</w:t>
      </w:r>
      <w:r w:rsidR="005853A9">
        <w:rPr>
          <w:kern w:val="0"/>
        </w:rPr>
        <w:t xml:space="preserve"> and </w:t>
      </w:r>
      <w:r>
        <w:rPr>
          <w:kern w:val="0"/>
        </w:rPr>
        <w:t>accessibility worldwide. This is an important breakthrough, which is expected to further increase</w:t>
      </w:r>
      <w:r w:rsidR="003A1917">
        <w:rPr>
          <w:kern w:val="0"/>
        </w:rPr>
        <w:t xml:space="preserve"> the </w:t>
      </w:r>
      <w:r>
        <w:rPr>
          <w:kern w:val="0"/>
        </w:rPr>
        <w:t>popularity</w:t>
      </w:r>
      <w:r w:rsidR="00427468">
        <w:rPr>
          <w:kern w:val="0"/>
        </w:rPr>
        <w:t xml:space="preserve"> of </w:t>
      </w:r>
      <w:r w:rsidR="003A1917">
        <w:rPr>
          <w:kern w:val="0"/>
        </w:rPr>
        <w:t xml:space="preserve">the </w:t>
      </w:r>
      <w:r>
        <w:rPr>
          <w:kern w:val="0"/>
        </w:rPr>
        <w:t>journal, as well as</w:t>
      </w:r>
      <w:r w:rsidR="003A1917">
        <w:rPr>
          <w:kern w:val="0"/>
        </w:rPr>
        <w:t xml:space="preserve"> the </w:t>
      </w:r>
      <w:r>
        <w:rPr>
          <w:kern w:val="0"/>
        </w:rPr>
        <w:t>submission rate</w:t>
      </w:r>
      <w:r w:rsidR="005853A9">
        <w:rPr>
          <w:kern w:val="0"/>
        </w:rPr>
        <w:t xml:space="preserve"> and </w:t>
      </w:r>
      <w:r>
        <w:rPr>
          <w:kern w:val="0"/>
        </w:rPr>
        <w:t>citations. Although several tools are currently available as Web resources to retrieve scientific articles, whose functioning</w:t>
      </w:r>
      <w:r w:rsidR="005853A9">
        <w:rPr>
          <w:kern w:val="0"/>
        </w:rPr>
        <w:t xml:space="preserve"> and </w:t>
      </w:r>
      <w:r>
        <w:rPr>
          <w:kern w:val="0"/>
        </w:rPr>
        <w:t>basic criteria are thought to be rather similar,</w:t>
      </w:r>
      <w:r w:rsidR="003A1917">
        <w:rPr>
          <w:kern w:val="0"/>
        </w:rPr>
        <w:t xml:space="preserve"> the </w:t>
      </w:r>
      <w:r>
        <w:rPr>
          <w:kern w:val="0"/>
        </w:rPr>
        <w:t>functionality, coverage, notoriety</w:t>
      </w:r>
      <w:r w:rsidR="005853A9">
        <w:rPr>
          <w:kern w:val="0"/>
        </w:rPr>
        <w:t xml:space="preserve"> and </w:t>
      </w:r>
      <w:r>
        <w:rPr>
          <w:kern w:val="0"/>
        </w:rPr>
        <w:t>prominence may differ widely</w:t>
      </w:r>
      <w:r w:rsidR="00A37C1D">
        <w:rPr>
          <w:kern w:val="0"/>
        </w:rPr>
        <w:t>. The</w:t>
      </w:r>
      <w:r w:rsidR="003A1917">
        <w:rPr>
          <w:kern w:val="0"/>
        </w:rPr>
        <w:t xml:space="preserve"> </w:t>
      </w:r>
      <w:r>
        <w:rPr>
          <w:kern w:val="0"/>
        </w:rPr>
        <w:t>recent indexing</w:t>
      </w:r>
      <w:r w:rsidR="00427468">
        <w:rPr>
          <w:kern w:val="0"/>
        </w:rPr>
        <w:t xml:space="preserve"> of </w:t>
      </w:r>
      <w:r>
        <w:rPr>
          <w:kern w:val="0"/>
        </w:rPr>
        <w:t>Biochemia Medica in PubMed/</w:t>
      </w:r>
      <w:r w:rsidR="00D5664A">
        <w:rPr>
          <w:kern w:val="0"/>
        </w:rPr>
        <w:t>MEDLINE</w:t>
      </w:r>
      <w:r>
        <w:rPr>
          <w:kern w:val="0"/>
        </w:rPr>
        <w:t xml:space="preserve"> has thereby given us</w:t>
      </w:r>
      <w:r w:rsidR="003A1917">
        <w:rPr>
          <w:kern w:val="0"/>
        </w:rPr>
        <w:t xml:space="preserve"> the </w:t>
      </w:r>
      <w:r>
        <w:rPr>
          <w:kern w:val="0"/>
        </w:rPr>
        <w:t>opportunity to provide a timely update on biomedical research platforms, their relationship with article submissions</w:t>
      </w:r>
      <w:r w:rsidR="005853A9">
        <w:rPr>
          <w:kern w:val="0"/>
        </w:rPr>
        <w:t xml:space="preserve"> and </w:t>
      </w:r>
      <w:r>
        <w:rPr>
          <w:kern w:val="0"/>
        </w:rPr>
        <w:t>journal rankings.</w:t>
      </w:r>
    </w:p>
    <w:p w:rsidR="00F42E0C" w:rsidRDefault="00F42E0C" w:rsidP="00F42E0C">
      <w:pPr>
        <w:pStyle w:val="a3"/>
        <w:rPr>
          <w:kern w:val="0"/>
        </w:rPr>
      </w:pPr>
      <w:r>
        <w:rPr>
          <w:kern w:val="0"/>
        </w:rPr>
        <w:t xml:space="preserve">Keywords: Association, Biomedical, Biomedical Research, Breakthrough, Citation, Citations, Coverage, Criteria, Databases, Exposure, First, Google-Scholar, Impact, Impact Factor, Impact Factor, Indexing, Internal-Medicine Journals, Journal, Journal Rankings, </w:t>
      </w:r>
      <w:r w:rsidR="00D5664A">
        <w:rPr>
          <w:kern w:val="0"/>
        </w:rPr>
        <w:t>MEDLINE</w:t>
      </w:r>
      <w:r>
        <w:rPr>
          <w:kern w:val="0"/>
        </w:rPr>
        <w:t>, Online, Rankings, Recent, Research, Resources, Science, Science Citation Index, Science Citation Index Expanded, Scopus, Web</w:t>
      </w:r>
    </w:p>
    <w:p w:rsidR="003474F2" w:rsidRPr="001A3D2B" w:rsidRDefault="003474F2" w:rsidP="003474F2">
      <w:pPr>
        <w:pStyle w:val="1"/>
      </w:pPr>
      <w:r w:rsidRPr="001A3D2B">
        <w:br w:type="page"/>
      </w:r>
      <w:bookmarkStart w:id="748" w:name="_Toc420814704"/>
      <w:r w:rsidRPr="001A3D2B">
        <w:lastRenderedPageBreak/>
        <w:t>Title: Biochemical</w:t>
      </w:r>
      <w:r w:rsidR="005853A9">
        <w:t xml:space="preserve"> and </w:t>
      </w:r>
      <w:r w:rsidRPr="001A3D2B">
        <w:t>Biophysical Research Co</w:t>
      </w:r>
      <w:bookmarkStart w:id="749" w:name="_Toc490687684"/>
      <w:bookmarkStart w:id="750" w:name="_Toc57177869"/>
      <w:bookmarkStart w:id="751" w:name="_Toc81215637"/>
      <w:bookmarkStart w:id="752" w:name="_Toc487190515"/>
      <w:bookmarkStart w:id="753" w:name="_Toc487882011"/>
      <w:r w:rsidRPr="001A3D2B">
        <w:t>mmunications</w:t>
      </w:r>
      <w:bookmarkEnd w:id="748"/>
    </w:p>
    <w:p w:rsidR="003474F2" w:rsidRPr="001A3D2B" w:rsidRDefault="003474F2" w:rsidP="003474F2">
      <w:pPr>
        <w:pStyle w:val="12"/>
      </w:pPr>
      <w:r w:rsidRPr="001A3D2B">
        <w:t>Full Journal Title: Biochemical</w:t>
      </w:r>
      <w:r w:rsidR="005853A9">
        <w:t xml:space="preserve"> and </w:t>
      </w:r>
      <w:r w:rsidRPr="001A3D2B">
        <w:t>Biophysic</w:t>
      </w:r>
      <w:bookmarkEnd w:id="749"/>
      <w:bookmarkEnd w:id="750"/>
      <w:bookmarkEnd w:id="751"/>
      <w:r w:rsidRPr="001A3D2B">
        <w:t>al Research Communications</w:t>
      </w:r>
    </w:p>
    <w:p w:rsidR="003474F2" w:rsidRPr="001A3D2B" w:rsidRDefault="003474F2" w:rsidP="003474F2">
      <w:pPr>
        <w:pStyle w:val="12"/>
      </w:pPr>
      <w:r w:rsidRPr="001A3D2B">
        <w:t>ISO Abbreviated Title: Biochem. Biophys. Res. Commun.</w:t>
      </w:r>
    </w:p>
    <w:p w:rsidR="003474F2" w:rsidRPr="001A3D2B" w:rsidRDefault="003474F2" w:rsidP="003474F2">
      <w:pPr>
        <w:pStyle w:val="12"/>
      </w:pPr>
      <w:r w:rsidRPr="001A3D2B">
        <w:t>JCR Abbreviated Title: Biochem Bioph Res Co</w:t>
      </w:r>
    </w:p>
    <w:p w:rsidR="003474F2" w:rsidRPr="001A3D2B" w:rsidRDefault="003474F2" w:rsidP="003474F2">
      <w:pPr>
        <w:pStyle w:val="12"/>
      </w:pPr>
      <w:r w:rsidRPr="001A3D2B">
        <w:t>ISSN: 0006-291X</w:t>
      </w:r>
    </w:p>
    <w:p w:rsidR="003474F2" w:rsidRPr="001A3D2B" w:rsidRDefault="003474F2" w:rsidP="003474F2">
      <w:pPr>
        <w:pStyle w:val="12"/>
      </w:pPr>
      <w:r w:rsidRPr="001A3D2B">
        <w:t>Issues/Year: 36</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Academic Press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525 B St, Ste 1900</w:t>
          </w:r>
        </w:smartTag>
        <w:r w:rsidRPr="001A3D2B">
          <w:t xml:space="preserve">, </w:t>
        </w:r>
        <w:smartTag w:uri="urn:schemas-microsoft-com:office:smarttags" w:element="City">
          <w:r w:rsidRPr="001A3D2B">
            <w:t>San Diego</w:t>
          </w:r>
        </w:smartTag>
        <w:r w:rsidRPr="001A3D2B">
          <w:t xml:space="preserve">, </w:t>
        </w:r>
        <w:smartTag w:uri="urn:schemas-microsoft-com:office:smarttags" w:element="State">
          <w:r w:rsidRPr="001A3D2B">
            <w:t>CA</w:t>
          </w:r>
        </w:smartTag>
        <w:r w:rsidRPr="001A3D2B">
          <w:t xml:space="preserve"> </w:t>
        </w:r>
        <w:smartTag w:uri="urn:schemas-microsoft-com:office:smarttags" w:element="PostalCode">
          <w:r w:rsidRPr="001A3D2B">
            <w:t>92101-4495</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Biochemistry &amp; Molecular Biology: Impact Factor, 89/310(2000)</w:t>
      </w:r>
    </w:p>
    <w:p w:rsidR="003474F2" w:rsidRPr="001A3D2B" w:rsidRDefault="003474F2" w:rsidP="003474F2">
      <w:pPr>
        <w:pStyle w:val="12"/>
      </w:pPr>
      <w:r w:rsidRPr="001A3D2B">
        <w:t>Biophysics: Impact Factor</w:t>
      </w:r>
    </w:p>
    <w:p w:rsidR="003474F2" w:rsidRPr="001A3D2B" w:rsidRDefault="003474F2" w:rsidP="003474F2">
      <w:pPr>
        <w:pStyle w:val="a3"/>
      </w:pPr>
      <w:r w:rsidRPr="001A3D2B">
        <w:t>Banerjee, S.K., Bhatt, K., Rana, S., Misra, P.</w:t>
      </w:r>
      <w:bookmarkEnd w:id="752"/>
      <w:bookmarkEnd w:id="753"/>
      <w:r w:rsidR="005853A9">
        <w:t xml:space="preserve"> and </w:t>
      </w:r>
      <w:r w:rsidRPr="001A3D2B">
        <w:t>Chakraborti, P.K. (1996), Involvement</w:t>
      </w:r>
      <w:r w:rsidR="00427468">
        <w:t xml:space="preserve"> of </w:t>
      </w:r>
      <w:r w:rsidRPr="001A3D2B">
        <w:t>an efflux system in mediating high level</w:t>
      </w:r>
      <w:r w:rsidR="00427468">
        <w:t xml:space="preserve"> of </w:t>
      </w:r>
      <w:r w:rsidRPr="001A3D2B">
        <w:t xml:space="preserve">fluoroquinolone resistance in Mycobacterium smegmatis. </w:t>
      </w:r>
      <w:r w:rsidRPr="001A3D2B">
        <w:rPr>
          <w:i/>
          <w:iCs/>
        </w:rPr>
        <w:t>Biochemical</w:t>
      </w:r>
      <w:r w:rsidR="005853A9">
        <w:rPr>
          <w:i/>
          <w:iCs/>
        </w:rPr>
        <w:t xml:space="preserve"> and </w:t>
      </w:r>
      <w:r w:rsidRPr="001A3D2B">
        <w:rPr>
          <w:i/>
          <w:iCs/>
        </w:rPr>
        <w:t>Biophysical Research Communications</w:t>
      </w:r>
      <w:r w:rsidRPr="001A3D2B">
        <w:t xml:space="preserve">, </w:t>
      </w:r>
      <w:r w:rsidRPr="001A3D2B">
        <w:rPr>
          <w:b/>
          <w:bCs/>
        </w:rPr>
        <w:t>226</w:t>
      </w:r>
      <w:r w:rsidRPr="001A3D2B">
        <w:t xml:space="preserve"> (2), 362-368.</w:t>
      </w:r>
    </w:p>
    <w:p w:rsidR="003474F2" w:rsidRPr="001A3D2B" w:rsidRDefault="003474F2" w:rsidP="003474F2">
      <w:pPr>
        <w:pStyle w:val="a3"/>
      </w:pPr>
      <w:r w:rsidRPr="001A3D2B">
        <w:t xml:space="preserve">Full Text: </w:t>
      </w:r>
      <w:hyperlink r:id="rId1448" w:history="1">
        <w:r w:rsidRPr="001A3D2B">
          <w:rPr>
            <w:rStyle w:val="a5"/>
          </w:rPr>
          <w:t>1996\Bio Bio Res Com226, 362.pdf</w:t>
        </w:r>
      </w:hyperlink>
    </w:p>
    <w:p w:rsidR="003474F2" w:rsidRPr="001A3D2B" w:rsidRDefault="003474F2" w:rsidP="003474F2">
      <w:pPr>
        <w:pStyle w:val="a3"/>
      </w:pPr>
      <w:r w:rsidRPr="001A3D2B">
        <w:t>Abstract: A wild type strain</w:t>
      </w:r>
      <w:r w:rsidR="00427468">
        <w:t xml:space="preserve"> of </w:t>
      </w:r>
      <w:r w:rsidRPr="001A3D2B">
        <w:t>Mycobacterium smegmatis mc(2) 155 was serially adapted to 64 fold</w:t>
      </w:r>
      <w:r w:rsidR="00427468">
        <w:t xml:space="preserve"> of </w:t>
      </w:r>
      <w:r w:rsidRPr="001A3D2B">
        <w:t>minimal inhibitory concentration</w:t>
      </w:r>
      <w:r w:rsidR="00427468">
        <w:t xml:space="preserve"> of </w:t>
      </w:r>
      <w:r w:rsidRPr="001A3D2B">
        <w:t>an antimycobacterial agent, ciprofloxacin. This clone (CIPr) exhibited cross resistance to ofloxacin</w:t>
      </w:r>
      <w:r w:rsidR="005853A9">
        <w:t xml:space="preserve"> and </w:t>
      </w:r>
      <w:r w:rsidRPr="001A3D2B">
        <w:t>ethidium bromide</w:t>
      </w:r>
      <w:r w:rsidR="00A37C1D">
        <w:t>. The</w:t>
      </w:r>
      <w:r w:rsidR="003A1917">
        <w:t xml:space="preserve"> </w:t>
      </w:r>
      <w:r w:rsidRPr="001A3D2B">
        <w:t>rate</w:t>
      </w:r>
      <w:r w:rsidR="00427468">
        <w:t xml:space="preserve"> of </w:t>
      </w:r>
      <w:r w:rsidRPr="001A3D2B">
        <w:t>drug efflux was accelerated in CIPr compared to</w:t>
      </w:r>
      <w:r w:rsidR="003A1917">
        <w:t xml:space="preserve"> the </w:t>
      </w:r>
      <w:r w:rsidRPr="001A3D2B">
        <w:t>wild type strain. Verapamil, a calcium channel blocker, enhanced</w:t>
      </w:r>
      <w:r w:rsidR="003A1917">
        <w:t xml:space="preserve"> the </w:t>
      </w:r>
      <w:r w:rsidRPr="001A3D2B">
        <w:t>drug accumulation in CIPr by diminishing</w:t>
      </w:r>
      <w:r w:rsidR="003A1917">
        <w:t xml:space="preserve"> the </w:t>
      </w:r>
      <w:r w:rsidRPr="001A3D2B">
        <w:t>efflux</w:t>
      </w:r>
      <w:r w:rsidR="005853A9">
        <w:t xml:space="preserve"> and </w:t>
      </w:r>
      <w:r w:rsidRPr="001A3D2B">
        <w:t>thus reversed</w:t>
      </w:r>
      <w:r w:rsidR="003A1917">
        <w:t xml:space="preserve"> the </w:t>
      </w:r>
      <w:r w:rsidRPr="001A3D2B">
        <w:t>resistant phenotype. Additionally, a missense mutation was detected in</w:t>
      </w:r>
      <w:r w:rsidR="003A1917">
        <w:t xml:space="preserve"> the </w:t>
      </w:r>
      <w:r w:rsidRPr="001A3D2B">
        <w:t>quinolone resistance determining region</w:t>
      </w:r>
      <w:r w:rsidR="00427468">
        <w:t xml:space="preserve"> of </w:t>
      </w:r>
      <w:r w:rsidR="003A1917">
        <w:t xml:space="preserve">the </w:t>
      </w:r>
      <w:r w:rsidRPr="001A3D2B">
        <w:t>DNA-gyrase A subunit</w:t>
      </w:r>
      <w:r w:rsidR="00427468">
        <w:t xml:space="preserve"> of </w:t>
      </w:r>
      <w:r w:rsidRPr="001A3D2B">
        <w:t>CIPr. Taken together, these results suggest that drug efflux plays a major role in conferring such a high level</w:t>
      </w:r>
      <w:r w:rsidR="00427468">
        <w:t xml:space="preserve"> of </w:t>
      </w:r>
      <w:r w:rsidRPr="001A3D2B">
        <w:t>resistance in CIPr, in addition to</w:t>
      </w:r>
      <w:r w:rsidR="003A1917">
        <w:t xml:space="preserve"> the </w:t>
      </w:r>
      <w:r w:rsidRPr="001A3D2B">
        <w:t>mutation in</w:t>
      </w:r>
      <w:r w:rsidR="003A1917">
        <w:t xml:space="preserve"> the </w:t>
      </w:r>
      <w:r w:rsidRPr="001A3D2B">
        <w:t>DNA-gyrase locus. (C) 1996 Academic Press, Inc</w:t>
      </w:r>
    </w:p>
    <w:p w:rsidR="003474F2" w:rsidRPr="001A3D2B" w:rsidRDefault="003474F2" w:rsidP="003474F2">
      <w:pPr>
        <w:pStyle w:val="a3"/>
      </w:pPr>
      <w:r w:rsidRPr="001A3D2B">
        <w:t>Keywords: Active Efflux, Antimicrobial Resistance, Dna Gyrase, Drug-Resistance, Gyra, Mechanisms, Mutations, Ofloxacin, Resistance, Tuberculosis</w:t>
      </w:r>
    </w:p>
    <w:p w:rsidR="00606C8F" w:rsidRDefault="00606C8F" w:rsidP="00606C8F">
      <w:pPr>
        <w:pStyle w:val="a3"/>
        <w:rPr>
          <w:kern w:val="0"/>
        </w:rPr>
      </w:pPr>
      <w:r>
        <w:rPr>
          <w:rFonts w:hint="eastAsia"/>
          <w:kern w:val="0"/>
        </w:rPr>
        <w:t xml:space="preserve">? </w:t>
      </w:r>
      <w:r>
        <w:rPr>
          <w:kern w:val="0"/>
        </w:rPr>
        <w:t xml:space="preserve">Fu, C.R., Dong, W., Wang, Z.W., Li, H.S., Qin, Q. and Li, B.S. (2014), The expression of miR-21 and miR-375 predict prognosis of esophageal cancer. </w:t>
      </w:r>
      <w:r>
        <w:rPr>
          <w:i/>
          <w:iCs/>
          <w:kern w:val="0"/>
        </w:rPr>
        <w:t>Biochemical and Biophysical Research Communications</w:t>
      </w:r>
      <w:r>
        <w:rPr>
          <w:kern w:val="0"/>
        </w:rPr>
        <w:t xml:space="preserve">, </w:t>
      </w:r>
      <w:r>
        <w:rPr>
          <w:b/>
          <w:bCs/>
          <w:kern w:val="0"/>
        </w:rPr>
        <w:t>446</w:t>
      </w:r>
      <w:r>
        <w:rPr>
          <w:kern w:val="0"/>
        </w:rPr>
        <w:t xml:space="preserve"> (4), 1197-1203.</w:t>
      </w:r>
    </w:p>
    <w:p w:rsidR="00606C8F" w:rsidRPr="00FC7835" w:rsidRDefault="00606C8F" w:rsidP="00606C8F">
      <w:pPr>
        <w:pStyle w:val="a3"/>
      </w:pPr>
      <w:r>
        <w:t>Full Text:</w:t>
      </w:r>
      <w:r w:rsidRPr="00FC7835">
        <w:t xml:space="preserve"> </w:t>
      </w:r>
      <w:hyperlink r:id="rId1449" w:history="1">
        <w:r w:rsidRPr="00E34B86">
          <w:rPr>
            <w:rStyle w:val="a5"/>
          </w:rPr>
          <w:t>2014\Bio Bio Res Com446, 1197.pdf</w:t>
        </w:r>
      </w:hyperlink>
    </w:p>
    <w:p w:rsidR="00606C8F" w:rsidRDefault="00606C8F" w:rsidP="00606C8F">
      <w:pPr>
        <w:pStyle w:val="a3"/>
        <w:rPr>
          <w:kern w:val="0"/>
        </w:rPr>
      </w:pPr>
      <w:r>
        <w:rPr>
          <w:kern w:val="0"/>
        </w:rPr>
        <w:t xml:space="preserve">Abstract: Background: MicroRNA is a class of small, well-conserved, non-coding </w:t>
      </w:r>
      <w:r>
        <w:rPr>
          <w:kern w:val="0"/>
        </w:rPr>
        <w:lastRenderedPageBreak/>
        <w:t>RNAs, and could play a potential role as diagnostic and prognostic biomarkers of esophageal cancers. We aimed to review comprehensively the evidence of microRNA as prognostic biomarkers in esophageal cancers. Methods: Studies were identified by searching PubMed, Embase and Web of Science until November 2013. Descriptive characteristics of studies were described and an additional meta-analysis for specific microRNAs which were studied most frequently was performed. Pooled hazard ratios (HRs) and their corresponding 95% confidence intervals (CIs) were calculated. Fixed model or random model method was chosen depending on the heterogeneity among the studies. Results: Twenty-two studies including a total of 1946 participants were enrolled after a strict filtering and qualifying process. Among 33 prognostic microRNAs identified for esophageal cancer, miR-21 and miR-375 appeared more frequently</w:t>
      </w:r>
      <w:r w:rsidR="00A37C1D">
        <w:rPr>
          <w:kern w:val="0"/>
        </w:rPr>
        <w:t>. The</w:t>
      </w:r>
      <w:r>
        <w:rPr>
          <w:kern w:val="0"/>
        </w:rPr>
        <w:t xml:space="preserve"> median study size was 70.5 patients (29-249 patients) and the median HR was 3.305 (IQR = 1.615-7.31). For the studies evaluating miR-21</w:t>
      </w:r>
      <w:r w:rsidR="00700038">
        <w:rPr>
          <w:kern w:val="0"/>
        </w:rPr>
        <w:t>’</w:t>
      </w:r>
      <w:r>
        <w:rPr>
          <w:kern w:val="0"/>
        </w:rPr>
        <w:t>s association with overall survival (OS), the pooled HR suggested that high level of miR-21 has a negative impact on OS (HR= 1.52[1.17-1.981, P= 0.001). As for miR-375, the pooled HR for OS (high/low) was 0.53 (95% CI: 0.39-0.73, P &lt; 0.001), indicated that low level of miR-375 has a negative impact on OS</w:t>
      </w:r>
      <w:r w:rsidR="00A37C1D">
        <w:rPr>
          <w:kern w:val="0"/>
        </w:rPr>
        <w:t>. The</w:t>
      </w:r>
      <w:r>
        <w:rPr>
          <w:kern w:val="0"/>
        </w:rPr>
        <w:t>se results indicated that microRNAs show promising associations with prognosis in esophageal cancer. Up-regulation of miR-21 and down-regulation of miR-375 can predict unfavourable prognosis in esophageal cancer. (C) 2014 Elsevier Inc. All rights reserved.</w:t>
      </w:r>
    </w:p>
    <w:p w:rsidR="00606C8F" w:rsidRDefault="00606C8F" w:rsidP="00606C8F">
      <w:pPr>
        <w:pStyle w:val="a3"/>
        <w:rPr>
          <w:kern w:val="0"/>
        </w:rPr>
      </w:pPr>
      <w:r>
        <w:rPr>
          <w:kern w:val="0"/>
        </w:rPr>
        <w:t>Keywords: Association, Biomarker, Biomarkers, Cancer, Characteristics, Confidence, Confidence Intervals, Diagnostic, Down-Regulation, Esophageal Cancer, Evidence, Expression, Hazard, Heterogeneity, Impact, Intervals, Invasion, Meta Analysis, Meta-Analysis, Metaanalysis, Methods, Microrna, Microrna Expression, Model, Overexpression, P, Patients, Poor-Prognosis, Potential, Prognosis, Prognostic, Pubmed, Results, Review, Rights, Role, Science, Size, Small, Squamous-Cell Carcinoma, Survival, Tumor-Growth, Web Of Science</w:t>
      </w:r>
    </w:p>
    <w:p w:rsidR="00050B77" w:rsidRPr="00FC7835" w:rsidRDefault="00050B77" w:rsidP="00050B77">
      <w:pPr>
        <w:pStyle w:val="1"/>
      </w:pPr>
      <w:r w:rsidRPr="00FC7835">
        <w:rPr>
          <w:b w:val="0"/>
        </w:rPr>
        <w:br w:type="page"/>
      </w:r>
      <w:bookmarkStart w:id="754" w:name="_Toc420814705"/>
      <w:r w:rsidRPr="00FC7835">
        <w:lastRenderedPageBreak/>
        <w:t xml:space="preserve">Title: </w:t>
      </w:r>
      <w:r>
        <w:t>Biochemistry</w:t>
      </w:r>
      <w:r w:rsidR="005853A9">
        <w:t xml:space="preserve"> and </w:t>
      </w:r>
      <w:r>
        <w:t>Cell Biology-Biochimie et Biologie Cellulaire</w:t>
      </w:r>
      <w:bookmarkEnd w:id="754"/>
    </w:p>
    <w:p w:rsidR="00050B77" w:rsidRPr="00FC7835" w:rsidRDefault="00050B77" w:rsidP="00050B77">
      <w:pPr>
        <w:pStyle w:val="12"/>
      </w:pPr>
      <w:r w:rsidRPr="00FC7835">
        <w:t xml:space="preserve">Full Journal Title: </w:t>
      </w:r>
      <w:r>
        <w:t>Biochemistry</w:t>
      </w:r>
      <w:r w:rsidR="005853A9">
        <w:t xml:space="preserve"> and </w:t>
      </w:r>
      <w:r>
        <w:t>Cell Biology-Biochimie et Biologie Cellulaire</w:t>
      </w:r>
    </w:p>
    <w:p w:rsidR="00050B77" w:rsidRPr="00FC7835" w:rsidRDefault="00050B77" w:rsidP="00050B77">
      <w:pPr>
        <w:pStyle w:val="12"/>
      </w:pPr>
      <w:r w:rsidRPr="00FC7835">
        <w:t xml:space="preserve">ISO Abbreviated Title: </w:t>
      </w:r>
    </w:p>
    <w:p w:rsidR="00050B77" w:rsidRPr="00FC7835" w:rsidRDefault="00050B77" w:rsidP="00050B77">
      <w:pPr>
        <w:pStyle w:val="12"/>
      </w:pPr>
      <w:r w:rsidRPr="00FC7835">
        <w:t xml:space="preserve">JCR Abbreviated Title: </w:t>
      </w:r>
    </w:p>
    <w:p w:rsidR="00050B77" w:rsidRPr="00FC7835" w:rsidRDefault="00050B77" w:rsidP="00050B77">
      <w:pPr>
        <w:pStyle w:val="12"/>
      </w:pPr>
      <w:r w:rsidRPr="00FC7835">
        <w:t xml:space="preserve">ISSN: </w:t>
      </w:r>
      <w:r w:rsidR="00727AFC" w:rsidRPr="00727AFC">
        <w:t>0829-8211</w:t>
      </w:r>
    </w:p>
    <w:p w:rsidR="00050B77" w:rsidRPr="00FC7835" w:rsidRDefault="00050B77" w:rsidP="00050B77">
      <w:pPr>
        <w:pStyle w:val="12"/>
      </w:pPr>
      <w:r w:rsidRPr="00FC7835">
        <w:t xml:space="preserve">Issues/Year: </w:t>
      </w:r>
    </w:p>
    <w:p w:rsidR="00050B77" w:rsidRPr="00FC7835" w:rsidRDefault="00050B77" w:rsidP="00050B77">
      <w:pPr>
        <w:pStyle w:val="12"/>
      </w:pPr>
      <w:r w:rsidRPr="00FC7835">
        <w:t xml:space="preserve">Journal Country/Territory: </w:t>
      </w:r>
    </w:p>
    <w:p w:rsidR="00050B77" w:rsidRPr="00FC7835" w:rsidRDefault="00050B77" w:rsidP="00050B77">
      <w:pPr>
        <w:pStyle w:val="12"/>
      </w:pPr>
      <w:r w:rsidRPr="00FC7835">
        <w:t xml:space="preserve">Language: </w:t>
      </w:r>
    </w:p>
    <w:p w:rsidR="00050B77" w:rsidRPr="00FC7835" w:rsidRDefault="00050B77" w:rsidP="00050B77">
      <w:pPr>
        <w:pStyle w:val="12"/>
      </w:pPr>
      <w:r w:rsidRPr="00FC7835">
        <w:t xml:space="preserve">Publisher: </w:t>
      </w:r>
    </w:p>
    <w:p w:rsidR="00050B77" w:rsidRPr="00FC7835" w:rsidRDefault="00050B77" w:rsidP="00050B77">
      <w:pPr>
        <w:pStyle w:val="12"/>
      </w:pPr>
      <w:r w:rsidRPr="00FC7835">
        <w:t xml:space="preserve">Publisher Address: </w:t>
      </w:r>
    </w:p>
    <w:p w:rsidR="00050B77" w:rsidRPr="00FC7835" w:rsidRDefault="00050B77" w:rsidP="00050B77">
      <w:pPr>
        <w:pStyle w:val="12"/>
      </w:pPr>
      <w:r w:rsidRPr="00FC7835">
        <w:t xml:space="preserve">Subject Categories: </w:t>
      </w:r>
    </w:p>
    <w:p w:rsidR="00050B77" w:rsidRPr="00FC7835" w:rsidRDefault="00050B77" w:rsidP="00050B77">
      <w:pPr>
        <w:pStyle w:val="12"/>
      </w:pPr>
      <w:r w:rsidRPr="00FC7835">
        <w:t xml:space="preserve">: Impact Factor </w:t>
      </w:r>
    </w:p>
    <w:p w:rsidR="005C67A7" w:rsidRDefault="005C67A7" w:rsidP="00050B77">
      <w:pPr>
        <w:pStyle w:val="a3"/>
      </w:pPr>
      <w:r>
        <w:rPr>
          <w:rFonts w:hint="eastAsia"/>
        </w:rPr>
        <w:t>Note: TTopic</w:t>
      </w:r>
    </w:p>
    <w:p w:rsidR="00050B77" w:rsidRPr="00FC7835" w:rsidRDefault="00050B77" w:rsidP="00050B77">
      <w:pPr>
        <w:pStyle w:val="a3"/>
      </w:pPr>
      <w:r>
        <w:rPr>
          <w:rFonts w:hint="eastAsia"/>
        </w:rPr>
        <w:t>?</w:t>
      </w:r>
      <w:r w:rsidRPr="0042206C">
        <w:t xml:space="preserve"> </w:t>
      </w:r>
      <w:r>
        <w:t>Robert</w:t>
      </w:r>
      <w:r>
        <w:rPr>
          <w:rFonts w:hint="eastAsia"/>
        </w:rPr>
        <w:t>,</w:t>
      </w:r>
      <w:r>
        <w:t xml:space="preserve"> C</w:t>
      </w:r>
      <w:r>
        <w:rPr>
          <w:rFonts w:hint="eastAsia"/>
        </w:rPr>
        <w:t>.,</w:t>
      </w:r>
      <w:r>
        <w:t xml:space="preserve"> Wilson</w:t>
      </w:r>
      <w:r>
        <w:rPr>
          <w:rFonts w:hint="eastAsia"/>
        </w:rPr>
        <w:t>,</w:t>
      </w:r>
      <w:r>
        <w:t xml:space="preserve"> C</w:t>
      </w:r>
      <w:r>
        <w:rPr>
          <w:rFonts w:hint="eastAsia"/>
        </w:rPr>
        <w:t>.</w:t>
      </w:r>
      <w:r>
        <w:t>S</w:t>
      </w:r>
      <w:r>
        <w:rPr>
          <w:rFonts w:hint="eastAsia"/>
        </w:rPr>
        <w:t>.,</w:t>
      </w:r>
      <w:r>
        <w:t xml:space="preserve"> Gaudy</w:t>
      </w:r>
      <w:r>
        <w:rPr>
          <w:rFonts w:hint="eastAsia"/>
        </w:rPr>
        <w:t>,</w:t>
      </w:r>
      <w:r>
        <w:t xml:space="preserve"> J</w:t>
      </w:r>
      <w:r>
        <w:rPr>
          <w:rFonts w:hint="eastAsia"/>
        </w:rPr>
        <w:t>.</w:t>
      </w:r>
      <w:r>
        <w:t>F</w:t>
      </w:r>
      <w:r>
        <w:rPr>
          <w:rFonts w:hint="eastAsia"/>
        </w:rPr>
        <w:t>.,</w:t>
      </w:r>
      <w:r>
        <w:t xml:space="preserve"> Hornebeck</w:t>
      </w:r>
      <w:r>
        <w:rPr>
          <w:rFonts w:hint="eastAsia"/>
        </w:rPr>
        <w:t>,</w:t>
      </w:r>
      <w:r>
        <w:t xml:space="preserve"> W</w:t>
      </w:r>
      <w:r>
        <w:rPr>
          <w:rFonts w:hint="eastAsia"/>
        </w:rPr>
        <w:t>.</w:t>
      </w:r>
      <w:r w:rsidR="005853A9">
        <w:rPr>
          <w:rFonts w:hint="eastAsia"/>
        </w:rPr>
        <w:t xml:space="preserve"> and </w:t>
      </w:r>
      <w:r>
        <w:t>Arreto</w:t>
      </w:r>
      <w:r>
        <w:rPr>
          <w:rFonts w:hint="eastAsia"/>
        </w:rPr>
        <w:t>,</w:t>
      </w:r>
      <w:r>
        <w:t xml:space="preserve"> C</w:t>
      </w:r>
      <w:r>
        <w:rPr>
          <w:rFonts w:hint="eastAsia"/>
        </w:rPr>
        <w:t>.</w:t>
      </w:r>
      <w:r>
        <w:t>D</w:t>
      </w:r>
      <w:r>
        <w:rPr>
          <w:rFonts w:hint="eastAsia"/>
        </w:rPr>
        <w:t>.</w:t>
      </w:r>
      <w:r w:rsidRPr="00FC7835">
        <w:t xml:space="preserve"> (</w:t>
      </w:r>
      <w:r>
        <w:rPr>
          <w:rFonts w:hint="eastAsia"/>
        </w:rPr>
        <w:t>2010</w:t>
      </w:r>
      <w:r w:rsidRPr="00FC7835">
        <w:t>)</w:t>
      </w:r>
      <w:r>
        <w:t>, Trends in matrix metalloproteinase research from 1986-2007: A bibliometric study</w:t>
      </w:r>
      <w:r w:rsidRPr="00FC7835">
        <w:t xml:space="preserve">. </w:t>
      </w:r>
      <w:r w:rsidRPr="0042206C">
        <w:rPr>
          <w:i/>
        </w:rPr>
        <w:t>Biochemistry</w:t>
      </w:r>
      <w:r w:rsidR="005853A9">
        <w:rPr>
          <w:i/>
        </w:rPr>
        <w:t xml:space="preserve"> and </w:t>
      </w:r>
      <w:r w:rsidRPr="0042206C">
        <w:rPr>
          <w:i/>
        </w:rPr>
        <w:t>Cell Biology-Biochimie et Biologie Cellulaire</w:t>
      </w:r>
      <w:r>
        <w:t xml:space="preserve">, </w:t>
      </w:r>
      <w:r>
        <w:rPr>
          <w:rFonts w:hint="eastAsia"/>
          <w:b/>
        </w:rPr>
        <w:t>88</w:t>
      </w:r>
      <w:r w:rsidRPr="00FC7835">
        <w:t xml:space="preserve"> (</w:t>
      </w:r>
      <w:r>
        <w:rPr>
          <w:rFonts w:hint="eastAsia"/>
        </w:rPr>
        <w:t>5</w:t>
      </w:r>
      <w:r w:rsidRPr="00FC7835">
        <w:t>)</w:t>
      </w:r>
      <w:r>
        <w:t>, 843-851</w:t>
      </w:r>
      <w:r w:rsidRPr="00FC7835">
        <w:t>.</w:t>
      </w:r>
    </w:p>
    <w:p w:rsidR="00050B77" w:rsidRDefault="00050B77" w:rsidP="00050B77">
      <w:pPr>
        <w:pStyle w:val="a3"/>
      </w:pPr>
      <w:r>
        <w:t>Full Text:</w:t>
      </w:r>
      <w:r w:rsidRPr="00FC7835">
        <w:t xml:space="preserve"> </w:t>
      </w:r>
      <w:hyperlink r:id="rId1450" w:history="1">
        <w:r w:rsidR="004E6297" w:rsidRPr="004E6297">
          <w:rPr>
            <w:rStyle w:val="a5"/>
          </w:rPr>
          <w:t>2010\Bio Cel Bio88, 843.pdf</w:t>
        </w:r>
      </w:hyperlink>
    </w:p>
    <w:p w:rsidR="00050B77" w:rsidRDefault="00050B77" w:rsidP="00050B77">
      <w:pPr>
        <w:pStyle w:val="a3"/>
      </w:pPr>
      <w:r>
        <w:t>Abstract: Using</w:t>
      </w:r>
      <w:r w:rsidR="003A1917">
        <w:t xml:space="preserve"> the </w:t>
      </w:r>
      <w:r>
        <w:t>SCI-expanded database, this study provides a quantitative description</w:t>
      </w:r>
      <w:r w:rsidR="00427468">
        <w:t xml:space="preserve"> of </w:t>
      </w:r>
      <w:r w:rsidR="003A1917">
        <w:t xml:space="preserve">the </w:t>
      </w:r>
      <w:r>
        <w:t>development</w:t>
      </w:r>
      <w:r w:rsidR="00427468">
        <w:t xml:space="preserve"> of </w:t>
      </w:r>
      <w:r w:rsidR="003A1917">
        <w:t xml:space="preserve">the </w:t>
      </w:r>
      <w:r>
        <w:t>research involving matrix metalloproteinase (MMP) over a period</w:t>
      </w:r>
      <w:r w:rsidR="00427468">
        <w:t xml:space="preserve"> of </w:t>
      </w:r>
      <w:r>
        <w:t>20 years. From 1986 to 2007</w:t>
      </w:r>
      <w:r w:rsidR="003A1917">
        <w:t xml:space="preserve"> the </w:t>
      </w:r>
      <w:r>
        <w:t>scientific literature related to MMP increased sevenfold (397 papers in 1986-1987</w:t>
      </w:r>
      <w:r w:rsidR="005853A9">
        <w:t xml:space="preserve"> and </w:t>
      </w:r>
      <w:r>
        <w:t>2834 in 2006-2007)</w:t>
      </w:r>
      <w:r w:rsidR="00A37C1D">
        <w:t>. The</w:t>
      </w:r>
      <w:r w:rsidR="003A1917">
        <w:t xml:space="preserve"> </w:t>
      </w:r>
      <w:r>
        <w:t>number</w:t>
      </w:r>
      <w:r w:rsidR="00427468">
        <w:t xml:space="preserve"> of </w:t>
      </w:r>
      <w:r>
        <w:t>countries participating in MMP-related research doubled during this period (33 in 1986-1987 to 67 in 2006-2007),</w:t>
      </w:r>
      <w:r w:rsidR="005853A9">
        <w:t xml:space="preserve"> and </w:t>
      </w:r>
      <w:r w:rsidR="003A1917">
        <w:t xml:space="preserve">the </w:t>
      </w:r>
      <w:r w:rsidR="00D5664A">
        <w:t>USA</w:t>
      </w:r>
      <w:r>
        <w:t xml:space="preserve"> continually remained</w:t>
      </w:r>
      <w:r w:rsidR="003A1917">
        <w:t xml:space="preserve"> the </w:t>
      </w:r>
      <w:r>
        <w:t>leader. Several industrialized nations (Japan, Germany</w:t>
      </w:r>
      <w:r w:rsidR="00D5664A">
        <w:t>, UK,</w:t>
      </w:r>
      <w:r>
        <w:t xml:space="preserve"> Canada,</w:t>
      </w:r>
      <w:r w:rsidR="005853A9">
        <w:t xml:space="preserve"> and </w:t>
      </w:r>
      <w:r>
        <w:t>France) also continuously played important roles, with some emerging Asian countries joining</w:t>
      </w:r>
      <w:r w:rsidR="003A1917">
        <w:t xml:space="preserve"> the </w:t>
      </w:r>
      <w:r>
        <w:t>top 10 most productive countries in 20062007: China (ranked 5th), South Korea (6th),</w:t>
      </w:r>
      <w:r w:rsidR="005853A9">
        <w:t xml:space="preserve"> and </w:t>
      </w:r>
      <w:r>
        <w:t>Taiwan (10th)</w:t>
      </w:r>
      <w:r w:rsidR="00A37C1D">
        <w:t>. The</w:t>
      </w:r>
      <w:r w:rsidR="003A1917">
        <w:t xml:space="preserve"> </w:t>
      </w:r>
      <w:r>
        <w:t>MMP-related literature was distributed among a continuously growing number</w:t>
      </w:r>
      <w:r w:rsidR="00427468">
        <w:t xml:space="preserve"> of </w:t>
      </w:r>
      <w:r>
        <w:t>journals (188 in 1986-1987, 527 in 1996-1997,</w:t>
      </w:r>
      <w:r w:rsidR="005853A9">
        <w:t xml:space="preserve"> and </w:t>
      </w:r>
      <w:r>
        <w:t>913 in 2006-2007)</w:t>
      </w:r>
      <w:r w:rsidR="005853A9">
        <w:t xml:space="preserve"> and </w:t>
      </w:r>
      <w:r w:rsidR="003A1917">
        <w:t xml:space="preserve">the </w:t>
      </w:r>
      <w:r>
        <w:t>Journal</w:t>
      </w:r>
      <w:r w:rsidR="00427468">
        <w:t xml:space="preserve"> of </w:t>
      </w:r>
      <w:r>
        <w:t>Biological Chemistry remained</w:t>
      </w:r>
      <w:r w:rsidR="003A1917">
        <w:t xml:space="preserve"> the </w:t>
      </w:r>
      <w:r>
        <w:t>most prolific throughout</w:t>
      </w:r>
      <w:r w:rsidR="003A1917">
        <w:t xml:space="preserve"> the </w:t>
      </w:r>
      <w:r>
        <w:t>entire period</w:t>
      </w:r>
      <w:r w:rsidR="00A37C1D">
        <w:t>. The</w:t>
      </w:r>
      <w:r w:rsidR="003A1917">
        <w:t xml:space="preserve"> </w:t>
      </w:r>
      <w:r>
        <w:t>development</w:t>
      </w:r>
      <w:r w:rsidR="00427468">
        <w:t xml:space="preserve"> of </w:t>
      </w:r>
      <w:r w:rsidR="003A1917">
        <w:t xml:space="preserve">the </w:t>
      </w:r>
      <w:r>
        <w:t>research involving MMPs during</w:t>
      </w:r>
      <w:r w:rsidR="003A1917">
        <w:t xml:space="preserve"> the </w:t>
      </w:r>
      <w:r>
        <w:t>past two decades was also characterized by a progressive transfer</w:t>
      </w:r>
      <w:r w:rsidR="00427468">
        <w:t xml:space="preserve"> of </w:t>
      </w:r>
      <w:r>
        <w:t>interest from basic research to clinical medicine; cell biology</w:t>
      </w:r>
      <w:r w:rsidR="005853A9">
        <w:t xml:space="preserve"> and </w:t>
      </w:r>
      <w:r>
        <w:t>pharmacology were important routes</w:t>
      </w:r>
      <w:r w:rsidR="00427468">
        <w:t xml:space="preserve"> of </w:t>
      </w:r>
      <w:r>
        <w:t>investigation generally pursued by researchers. Journals dedicated to oncology have progressively risen to</w:t>
      </w:r>
      <w:r w:rsidR="003A1917">
        <w:t xml:space="preserve"> the </w:t>
      </w:r>
      <w:r>
        <w:t>top 8 most prolific journals during</w:t>
      </w:r>
      <w:r w:rsidR="003A1917">
        <w:t xml:space="preserve"> the </w:t>
      </w:r>
      <w:r>
        <w:t>20 year period analyzed.</w:t>
      </w:r>
    </w:p>
    <w:p w:rsidR="00050B77" w:rsidRPr="00FC7835" w:rsidRDefault="00050B77" w:rsidP="00050B77">
      <w:pPr>
        <w:pStyle w:val="a3"/>
      </w:pPr>
      <w:r>
        <w:t xml:space="preserve">Keywords: Matrix Metalloproteinase, MMP, Journal Analysis, Cancer Research, </w:t>
      </w:r>
      <w:r>
        <w:lastRenderedPageBreak/>
        <w:t>Bibliometrics, Tadpole Collagenase, Tissue Inhibitors, Science, Cancer, Progression, Targets, World</w:t>
      </w:r>
    </w:p>
    <w:p w:rsidR="00C2218D" w:rsidRPr="00FC7835" w:rsidRDefault="00C2218D" w:rsidP="00C2218D">
      <w:pPr>
        <w:pStyle w:val="1"/>
      </w:pPr>
      <w:r w:rsidRPr="00FC7835">
        <w:rPr>
          <w:b w:val="0"/>
        </w:rPr>
        <w:br w:type="page"/>
      </w:r>
      <w:bookmarkStart w:id="755" w:name="_Toc420814706"/>
      <w:r w:rsidRPr="00FC7835">
        <w:lastRenderedPageBreak/>
        <w:t xml:space="preserve">Title: </w:t>
      </w:r>
      <w:r w:rsidRPr="00C2218D">
        <w:t>Biochimica et Biophysica Acta-Proteins</w:t>
      </w:r>
      <w:r w:rsidR="005853A9">
        <w:t xml:space="preserve"> and </w:t>
      </w:r>
      <w:r w:rsidRPr="00C2218D">
        <w:t>Proteomics</w:t>
      </w:r>
      <w:bookmarkEnd w:id="755"/>
    </w:p>
    <w:p w:rsidR="00C2218D" w:rsidRPr="00FC7835" w:rsidRDefault="00C2218D" w:rsidP="00C2218D">
      <w:pPr>
        <w:pStyle w:val="12"/>
      </w:pPr>
      <w:r w:rsidRPr="00FC7835">
        <w:t xml:space="preserve">Full Journal Title: </w:t>
      </w:r>
      <w:r w:rsidRPr="00C2218D">
        <w:rPr>
          <w:iCs/>
          <w:kern w:val="0"/>
        </w:rPr>
        <w:t>Biochimica et Biophysica Acta-Proteins</w:t>
      </w:r>
      <w:r w:rsidR="005853A9">
        <w:rPr>
          <w:iCs/>
          <w:kern w:val="0"/>
        </w:rPr>
        <w:t xml:space="preserve"> and </w:t>
      </w:r>
      <w:r w:rsidRPr="00C2218D">
        <w:rPr>
          <w:iCs/>
          <w:kern w:val="0"/>
        </w:rPr>
        <w:t>Proteomics</w:t>
      </w:r>
    </w:p>
    <w:p w:rsidR="00C2218D" w:rsidRPr="00FC7835" w:rsidRDefault="00C2218D" w:rsidP="00C2218D">
      <w:pPr>
        <w:pStyle w:val="12"/>
      </w:pPr>
      <w:r w:rsidRPr="00FC7835">
        <w:t xml:space="preserve">ISO Abbreviated Title: </w:t>
      </w:r>
    </w:p>
    <w:p w:rsidR="00C2218D" w:rsidRPr="00FC7835" w:rsidRDefault="00C2218D" w:rsidP="00C2218D">
      <w:pPr>
        <w:pStyle w:val="12"/>
      </w:pPr>
      <w:r w:rsidRPr="00FC7835">
        <w:t xml:space="preserve">JCR Abbreviated Title: </w:t>
      </w:r>
    </w:p>
    <w:p w:rsidR="00C2218D" w:rsidRPr="00FC7835" w:rsidRDefault="00C2218D" w:rsidP="00C2218D">
      <w:pPr>
        <w:pStyle w:val="12"/>
      </w:pPr>
      <w:r w:rsidRPr="00FC7835">
        <w:t xml:space="preserve">ISSN: </w:t>
      </w:r>
    </w:p>
    <w:p w:rsidR="00C2218D" w:rsidRPr="00FC7835" w:rsidRDefault="00C2218D" w:rsidP="00C2218D">
      <w:pPr>
        <w:pStyle w:val="12"/>
      </w:pPr>
      <w:r w:rsidRPr="00FC7835">
        <w:t xml:space="preserve">Issues/Year: </w:t>
      </w:r>
    </w:p>
    <w:p w:rsidR="00C2218D" w:rsidRPr="00FC7835" w:rsidRDefault="00C2218D" w:rsidP="00C2218D">
      <w:pPr>
        <w:pStyle w:val="12"/>
      </w:pPr>
      <w:r w:rsidRPr="00FC7835">
        <w:t xml:space="preserve">Journal Country/Territory: </w:t>
      </w:r>
    </w:p>
    <w:p w:rsidR="00C2218D" w:rsidRPr="00FC7835" w:rsidRDefault="00C2218D" w:rsidP="00C2218D">
      <w:pPr>
        <w:pStyle w:val="12"/>
      </w:pPr>
      <w:r w:rsidRPr="00FC7835">
        <w:t xml:space="preserve">Language: </w:t>
      </w:r>
    </w:p>
    <w:p w:rsidR="00C2218D" w:rsidRPr="00FC7835" w:rsidRDefault="00C2218D" w:rsidP="00C2218D">
      <w:pPr>
        <w:pStyle w:val="12"/>
      </w:pPr>
      <w:r w:rsidRPr="00FC7835">
        <w:t xml:space="preserve">Publisher: </w:t>
      </w:r>
    </w:p>
    <w:p w:rsidR="00C2218D" w:rsidRPr="00FC7835" w:rsidRDefault="00C2218D" w:rsidP="00C2218D">
      <w:pPr>
        <w:pStyle w:val="12"/>
      </w:pPr>
      <w:r w:rsidRPr="00FC7835">
        <w:t xml:space="preserve">Publisher Address: </w:t>
      </w:r>
    </w:p>
    <w:p w:rsidR="00C2218D" w:rsidRPr="00FC7835" w:rsidRDefault="00C2218D" w:rsidP="00C2218D">
      <w:pPr>
        <w:pStyle w:val="12"/>
      </w:pPr>
      <w:r w:rsidRPr="00FC7835">
        <w:t xml:space="preserve">Subject Categories: </w:t>
      </w:r>
    </w:p>
    <w:p w:rsidR="00C2218D" w:rsidRPr="00FC7835" w:rsidRDefault="00C2218D" w:rsidP="00C2218D">
      <w:pPr>
        <w:pStyle w:val="12"/>
      </w:pPr>
      <w:r w:rsidRPr="00FC7835">
        <w:t xml:space="preserve">: Impact Factor </w:t>
      </w:r>
    </w:p>
    <w:p w:rsidR="00C2218D" w:rsidRDefault="00C2218D" w:rsidP="00C2218D">
      <w:pPr>
        <w:pStyle w:val="a3"/>
        <w:rPr>
          <w:kern w:val="0"/>
        </w:rPr>
      </w:pPr>
      <w:r>
        <w:rPr>
          <w:rFonts w:hint="eastAsia"/>
          <w:kern w:val="0"/>
        </w:rPr>
        <w:t xml:space="preserve">? </w:t>
      </w:r>
      <w:r>
        <w:rPr>
          <w:kern w:val="0"/>
        </w:rPr>
        <w:t>Lenart, A.</w:t>
      </w:r>
      <w:r w:rsidR="005853A9">
        <w:rPr>
          <w:kern w:val="0"/>
        </w:rPr>
        <w:t xml:space="preserve"> and </w:t>
      </w:r>
      <w:r>
        <w:rPr>
          <w:kern w:val="0"/>
        </w:rPr>
        <w:t>Pawlowski, K. (2013), Intersection</w:t>
      </w:r>
      <w:r w:rsidR="00427468">
        <w:rPr>
          <w:kern w:val="0"/>
        </w:rPr>
        <w:t xml:space="preserve"> of </w:t>
      </w:r>
      <w:r>
        <w:rPr>
          <w:kern w:val="0"/>
        </w:rPr>
        <w:t>selenoproteins</w:t>
      </w:r>
      <w:r w:rsidR="005853A9">
        <w:rPr>
          <w:kern w:val="0"/>
        </w:rPr>
        <w:t xml:space="preserve"> and </w:t>
      </w:r>
      <w:r>
        <w:rPr>
          <w:kern w:val="0"/>
        </w:rPr>
        <w:t xml:space="preserve">kinase signalling. </w:t>
      </w:r>
      <w:r w:rsidRPr="00C2218D">
        <w:rPr>
          <w:i/>
          <w:iCs/>
          <w:kern w:val="0"/>
        </w:rPr>
        <w:t>Biochimica et Biophysica Acta-Proteins</w:t>
      </w:r>
      <w:r w:rsidR="005853A9">
        <w:rPr>
          <w:i/>
          <w:iCs/>
          <w:kern w:val="0"/>
        </w:rPr>
        <w:t xml:space="preserve"> and </w:t>
      </w:r>
      <w:r w:rsidRPr="00C2218D">
        <w:rPr>
          <w:i/>
          <w:iCs/>
          <w:kern w:val="0"/>
        </w:rPr>
        <w:t>Proteomics</w:t>
      </w:r>
      <w:r>
        <w:rPr>
          <w:kern w:val="0"/>
        </w:rPr>
        <w:t xml:space="preserve">, </w:t>
      </w:r>
      <w:r>
        <w:rPr>
          <w:b/>
          <w:bCs/>
          <w:kern w:val="0"/>
        </w:rPr>
        <w:t>1834</w:t>
      </w:r>
      <w:r>
        <w:rPr>
          <w:kern w:val="0"/>
        </w:rPr>
        <w:t xml:space="preserve"> (7), 1279-1284.</w:t>
      </w:r>
    </w:p>
    <w:p w:rsidR="00C2218D" w:rsidRDefault="00C2218D" w:rsidP="00C2218D">
      <w:pPr>
        <w:pStyle w:val="a3"/>
        <w:rPr>
          <w:kern w:val="0"/>
        </w:rPr>
      </w:pPr>
      <w:r>
        <w:rPr>
          <w:rFonts w:hint="eastAsia"/>
          <w:kern w:val="0"/>
        </w:rPr>
        <w:t xml:space="preserve">Full Text: </w:t>
      </w:r>
      <w:hyperlink r:id="rId1451" w:history="1">
        <w:r w:rsidR="00AB4BAC" w:rsidRPr="00AB4BAC">
          <w:rPr>
            <w:rStyle w:val="a5"/>
            <w:kern w:val="0"/>
          </w:rPr>
          <w:t>2013\Bio Bio Act-Pro Pro1834, 1279.pdf</w:t>
        </w:r>
      </w:hyperlink>
    </w:p>
    <w:p w:rsidR="00C2218D" w:rsidRDefault="00C2218D" w:rsidP="00C2218D">
      <w:pPr>
        <w:pStyle w:val="a3"/>
        <w:rPr>
          <w:kern w:val="0"/>
        </w:rPr>
      </w:pPr>
      <w:r>
        <w:rPr>
          <w:kern w:val="0"/>
        </w:rPr>
        <w:t>Abstract: The small, obscure group</w:t>
      </w:r>
      <w:r w:rsidR="00427468">
        <w:rPr>
          <w:kern w:val="0"/>
        </w:rPr>
        <w:t xml:space="preserve"> of </w:t>
      </w:r>
      <w:r>
        <w:rPr>
          <w:kern w:val="0"/>
        </w:rPr>
        <w:t>selenoprotein oxidoreductases</w:t>
      </w:r>
      <w:r w:rsidR="005853A9">
        <w:rPr>
          <w:kern w:val="0"/>
        </w:rPr>
        <w:t xml:space="preserve"> and </w:t>
      </w:r>
      <w:r>
        <w:rPr>
          <w:kern w:val="0"/>
        </w:rPr>
        <w:t>the huge clan</w:t>
      </w:r>
      <w:r w:rsidR="00427468">
        <w:rPr>
          <w:kern w:val="0"/>
        </w:rPr>
        <w:t xml:space="preserve"> of </w:t>
      </w:r>
      <w:r>
        <w:rPr>
          <w:kern w:val="0"/>
        </w:rPr>
        <w:t>kinases, the workhorses</w:t>
      </w:r>
      <w:r w:rsidR="00427468">
        <w:rPr>
          <w:kern w:val="0"/>
        </w:rPr>
        <w:t xml:space="preserve"> of </w:t>
      </w:r>
      <w:r>
        <w:rPr>
          <w:kern w:val="0"/>
        </w:rPr>
        <w:t>cellular signalling, are rarely discussed together. Focusing on selenoproteins</w:t>
      </w:r>
      <w:r w:rsidR="00427468">
        <w:rPr>
          <w:kern w:val="0"/>
        </w:rPr>
        <w:t xml:space="preserve"> of </w:t>
      </w:r>
      <w:r>
        <w:rPr>
          <w:kern w:val="0"/>
        </w:rPr>
        <w:t>unknown structures, we predict a thioredoxin-like fold for the Selenoprotein N (SelN) family</w:t>
      </w:r>
      <w:r w:rsidR="005853A9">
        <w:rPr>
          <w:kern w:val="0"/>
        </w:rPr>
        <w:t xml:space="preserve"> and </w:t>
      </w:r>
      <w:r>
        <w:rPr>
          <w:kern w:val="0"/>
        </w:rPr>
        <w:t>use the structure to rationalise effects</w:t>
      </w:r>
      <w:r w:rsidR="00427468">
        <w:rPr>
          <w:kern w:val="0"/>
        </w:rPr>
        <w:t xml:space="preserve"> of </w:t>
      </w:r>
      <w:r>
        <w:rPr>
          <w:kern w:val="0"/>
        </w:rPr>
        <w:t>the muscular myopathy-linked mutations in the gene coding SelN. Discussing the recent prediction</w:t>
      </w:r>
      <w:r w:rsidR="00427468">
        <w:rPr>
          <w:kern w:val="0"/>
        </w:rPr>
        <w:t xml:space="preserve"> of </w:t>
      </w:r>
      <w:r>
        <w:rPr>
          <w:kern w:val="0"/>
        </w:rPr>
        <w:t>a protein kinase-like domain in the Selenoprotein O (SelO), we reiterate evidence for an oxidoreductase function alongside the predicted kinase domain. Thus, we propose that SelO, the strongly conserved kinase-cum-tentative-oxidoreductase may reflect oxidoreductase regulation</w:t>
      </w:r>
      <w:r w:rsidR="00427468">
        <w:rPr>
          <w:kern w:val="0"/>
        </w:rPr>
        <w:t xml:space="preserve"> of </w:t>
      </w:r>
      <w:r>
        <w:rPr>
          <w:kern w:val="0"/>
        </w:rPr>
        <w:t>kinase networks. Also, we use bibliometric</w:t>
      </w:r>
      <w:r w:rsidR="005853A9">
        <w:rPr>
          <w:kern w:val="0"/>
        </w:rPr>
        <w:t xml:space="preserve"> and </w:t>
      </w:r>
      <w:r>
        <w:rPr>
          <w:kern w:val="0"/>
        </w:rPr>
        <w:t>systems biology approach to explore the kinase-selenoprotein relationships that begin to emerge from the literature. This article is part</w:t>
      </w:r>
      <w:r w:rsidR="00427468">
        <w:rPr>
          <w:kern w:val="0"/>
        </w:rPr>
        <w:t xml:space="preserve"> of </w:t>
      </w:r>
      <w:r>
        <w:rPr>
          <w:kern w:val="0"/>
        </w:rPr>
        <w:t>a Special Issue entitled: Inhibitors</w:t>
      </w:r>
      <w:r w:rsidR="00427468">
        <w:rPr>
          <w:kern w:val="0"/>
        </w:rPr>
        <w:t xml:space="preserve"> of </w:t>
      </w:r>
      <w:r>
        <w:rPr>
          <w:kern w:val="0"/>
        </w:rPr>
        <w:t>Protein Kinases (2012). (C) 2013 Elsevier B.V. All rights reserved.</w:t>
      </w:r>
    </w:p>
    <w:p w:rsidR="00C2218D" w:rsidRDefault="00C2218D" w:rsidP="00C2218D">
      <w:pPr>
        <w:pStyle w:val="a3"/>
        <w:rPr>
          <w:kern w:val="0"/>
        </w:rPr>
      </w:pPr>
      <w:r>
        <w:rPr>
          <w:kern w:val="0"/>
        </w:rPr>
        <w:t xml:space="preserve">Keywords: Approach, Bibliometric, Biology, Coding, Effects, Evidence, Family, Function, Gene, Literature, N, Networks, Prediction, Protein, Recent, Regulation, Rights, </w:t>
      </w:r>
      <w:r w:rsidR="00AB4BAC">
        <w:rPr>
          <w:kern w:val="0"/>
        </w:rPr>
        <w:t>SI</w:t>
      </w:r>
      <w:r>
        <w:rPr>
          <w:kern w:val="0"/>
        </w:rPr>
        <w:t>, Signalling, Small, Structure, Systems, Systems Biology</w:t>
      </w:r>
    </w:p>
    <w:p w:rsidR="00F52E39" w:rsidRPr="00FC7835" w:rsidRDefault="00F52E39" w:rsidP="00F52E39">
      <w:pPr>
        <w:pStyle w:val="1"/>
      </w:pPr>
      <w:r w:rsidRPr="00FC7835">
        <w:rPr>
          <w:b w:val="0"/>
        </w:rPr>
        <w:br w:type="page"/>
      </w:r>
      <w:bookmarkStart w:id="756" w:name="_Toc420814707"/>
      <w:r w:rsidRPr="00FC7835">
        <w:lastRenderedPageBreak/>
        <w:t xml:space="preserve">Title: </w:t>
      </w:r>
      <w:r w:rsidRPr="00680E4C">
        <w:rPr>
          <w:szCs w:val="24"/>
        </w:rPr>
        <w:t>Biodemography</w:t>
      </w:r>
      <w:r w:rsidR="005853A9">
        <w:rPr>
          <w:szCs w:val="24"/>
        </w:rPr>
        <w:t xml:space="preserve"> and </w:t>
      </w:r>
      <w:r w:rsidRPr="00680E4C">
        <w:rPr>
          <w:szCs w:val="24"/>
        </w:rPr>
        <w:t>Social Biology</w:t>
      </w:r>
      <w:bookmarkEnd w:id="756"/>
    </w:p>
    <w:p w:rsidR="00F52E39" w:rsidRPr="00FC7835" w:rsidRDefault="00F52E39" w:rsidP="00F52E39">
      <w:pPr>
        <w:pStyle w:val="12"/>
      </w:pPr>
      <w:r w:rsidRPr="00FC7835">
        <w:t xml:space="preserve">Full Journal Title: </w:t>
      </w:r>
      <w:r w:rsidRPr="00680E4C">
        <w:rPr>
          <w:iCs/>
          <w:kern w:val="0"/>
        </w:rPr>
        <w:t>Biodemography</w:t>
      </w:r>
      <w:r w:rsidR="005853A9">
        <w:rPr>
          <w:iCs/>
          <w:kern w:val="0"/>
        </w:rPr>
        <w:t xml:space="preserve"> and </w:t>
      </w:r>
      <w:r w:rsidRPr="00680E4C">
        <w:rPr>
          <w:iCs/>
          <w:kern w:val="0"/>
        </w:rPr>
        <w:t>Social Biology</w:t>
      </w:r>
    </w:p>
    <w:p w:rsidR="00F52E39" w:rsidRPr="00FC7835" w:rsidRDefault="00F52E39" w:rsidP="00F52E39">
      <w:pPr>
        <w:pStyle w:val="12"/>
      </w:pPr>
      <w:r w:rsidRPr="00FC7835">
        <w:t xml:space="preserve">ISO Abbreviated Title: </w:t>
      </w:r>
    </w:p>
    <w:p w:rsidR="00F52E39" w:rsidRPr="00FC7835" w:rsidRDefault="00F52E39" w:rsidP="00F52E39">
      <w:pPr>
        <w:pStyle w:val="12"/>
      </w:pPr>
      <w:r w:rsidRPr="00FC7835">
        <w:t xml:space="preserve">JCR Abbreviated Title: </w:t>
      </w:r>
    </w:p>
    <w:p w:rsidR="00F52E39" w:rsidRPr="00FC7835" w:rsidRDefault="00F52E39" w:rsidP="00F52E39">
      <w:pPr>
        <w:pStyle w:val="12"/>
      </w:pPr>
      <w:r w:rsidRPr="00FC7835">
        <w:t xml:space="preserve">ISSN: </w:t>
      </w:r>
    </w:p>
    <w:p w:rsidR="00F52E39" w:rsidRPr="00FC7835" w:rsidRDefault="00F52E39" w:rsidP="00F52E39">
      <w:pPr>
        <w:pStyle w:val="12"/>
      </w:pPr>
      <w:r w:rsidRPr="00FC7835">
        <w:t xml:space="preserve">Issues/Year: </w:t>
      </w:r>
    </w:p>
    <w:p w:rsidR="00F52E39" w:rsidRPr="00FC7835" w:rsidRDefault="00F52E39" w:rsidP="00F52E39">
      <w:pPr>
        <w:pStyle w:val="12"/>
      </w:pPr>
      <w:r w:rsidRPr="00FC7835">
        <w:t xml:space="preserve">Journal Country/Territory: </w:t>
      </w:r>
    </w:p>
    <w:p w:rsidR="00F52E39" w:rsidRPr="00FC7835" w:rsidRDefault="00F52E39" w:rsidP="00F52E39">
      <w:pPr>
        <w:pStyle w:val="12"/>
      </w:pPr>
      <w:r w:rsidRPr="00FC7835">
        <w:t xml:space="preserve">Language: </w:t>
      </w:r>
    </w:p>
    <w:p w:rsidR="00F52E39" w:rsidRPr="00FC7835" w:rsidRDefault="00F52E39" w:rsidP="00F52E39">
      <w:pPr>
        <w:pStyle w:val="12"/>
      </w:pPr>
      <w:r w:rsidRPr="00FC7835">
        <w:t xml:space="preserve">Publisher: </w:t>
      </w:r>
    </w:p>
    <w:p w:rsidR="00F52E39" w:rsidRPr="00FC7835" w:rsidRDefault="00F52E39" w:rsidP="00F52E39">
      <w:pPr>
        <w:pStyle w:val="12"/>
      </w:pPr>
      <w:r w:rsidRPr="00FC7835">
        <w:t xml:space="preserve">Publisher Address: </w:t>
      </w:r>
    </w:p>
    <w:p w:rsidR="00F52E39" w:rsidRPr="00FC7835" w:rsidRDefault="00F52E39" w:rsidP="00F52E39">
      <w:pPr>
        <w:pStyle w:val="12"/>
      </w:pPr>
      <w:r w:rsidRPr="00FC7835">
        <w:t xml:space="preserve">Subject Categories: </w:t>
      </w:r>
    </w:p>
    <w:p w:rsidR="00F52E39" w:rsidRPr="00FC7835" w:rsidRDefault="00F52E39" w:rsidP="00F52E39">
      <w:pPr>
        <w:pStyle w:val="12"/>
      </w:pPr>
      <w:r w:rsidRPr="00FC7835">
        <w:t xml:space="preserve">: Impact Factor </w:t>
      </w:r>
    </w:p>
    <w:p w:rsidR="00F52E39" w:rsidRDefault="00F52E39" w:rsidP="00F52E39">
      <w:pPr>
        <w:pStyle w:val="a3"/>
        <w:rPr>
          <w:kern w:val="0"/>
          <w:szCs w:val="24"/>
        </w:rPr>
      </w:pPr>
      <w:r>
        <w:rPr>
          <w:rFonts w:hint="eastAsia"/>
          <w:kern w:val="0"/>
          <w:szCs w:val="24"/>
        </w:rPr>
        <w:t xml:space="preserve">? </w:t>
      </w:r>
      <w:r>
        <w:rPr>
          <w:kern w:val="0"/>
          <w:szCs w:val="24"/>
        </w:rPr>
        <w:t>Park, S., Bowen, W.M.</w:t>
      </w:r>
      <w:r w:rsidR="005853A9">
        <w:rPr>
          <w:kern w:val="0"/>
          <w:szCs w:val="24"/>
        </w:rPr>
        <w:t xml:space="preserve"> and </w:t>
      </w:r>
      <w:r>
        <w:rPr>
          <w:kern w:val="0"/>
          <w:szCs w:val="24"/>
        </w:rPr>
        <w:t>Steinbacher, R. (2012), Social</w:t>
      </w:r>
      <w:r w:rsidR="005853A9">
        <w:rPr>
          <w:kern w:val="0"/>
          <w:szCs w:val="24"/>
        </w:rPr>
        <w:t xml:space="preserve"> and </w:t>
      </w:r>
      <w:r>
        <w:rPr>
          <w:kern w:val="0"/>
          <w:szCs w:val="24"/>
        </w:rPr>
        <w:t>demographic dimensions</w:t>
      </w:r>
      <w:r w:rsidR="00427468">
        <w:rPr>
          <w:kern w:val="0"/>
          <w:szCs w:val="24"/>
        </w:rPr>
        <w:t xml:space="preserve"> of </w:t>
      </w:r>
      <w:r>
        <w:rPr>
          <w:kern w:val="0"/>
          <w:szCs w:val="24"/>
        </w:rPr>
        <w:t>sex selection technologies: Review</w:t>
      </w:r>
      <w:r w:rsidR="005853A9">
        <w:rPr>
          <w:kern w:val="0"/>
          <w:szCs w:val="24"/>
        </w:rPr>
        <w:t xml:space="preserve"> and </w:t>
      </w:r>
      <w:r>
        <w:rPr>
          <w:kern w:val="0"/>
          <w:szCs w:val="24"/>
        </w:rPr>
        <w:t>analysis</w:t>
      </w:r>
      <w:r w:rsidR="00427468">
        <w:rPr>
          <w:kern w:val="0"/>
          <w:szCs w:val="24"/>
        </w:rPr>
        <w:t xml:space="preserve"> of </w:t>
      </w:r>
      <w:r w:rsidR="003A1917">
        <w:rPr>
          <w:kern w:val="0"/>
          <w:szCs w:val="24"/>
        </w:rPr>
        <w:t xml:space="preserve">the </w:t>
      </w:r>
      <w:r>
        <w:rPr>
          <w:kern w:val="0"/>
          <w:szCs w:val="24"/>
        </w:rPr>
        <w:t xml:space="preserve">research literature. </w:t>
      </w:r>
      <w:r w:rsidRPr="00680E4C">
        <w:rPr>
          <w:i/>
          <w:iCs/>
          <w:kern w:val="0"/>
          <w:szCs w:val="24"/>
        </w:rPr>
        <w:t>Biodemography</w:t>
      </w:r>
      <w:r w:rsidR="005853A9">
        <w:rPr>
          <w:i/>
          <w:iCs/>
          <w:kern w:val="0"/>
          <w:szCs w:val="24"/>
        </w:rPr>
        <w:t xml:space="preserve"> and </w:t>
      </w:r>
      <w:r w:rsidRPr="00680E4C">
        <w:rPr>
          <w:i/>
          <w:iCs/>
          <w:kern w:val="0"/>
          <w:szCs w:val="24"/>
        </w:rPr>
        <w:t>Social Biology</w:t>
      </w:r>
      <w:r>
        <w:rPr>
          <w:kern w:val="0"/>
          <w:szCs w:val="24"/>
        </w:rPr>
        <w:t xml:space="preserve">, </w:t>
      </w:r>
      <w:r>
        <w:rPr>
          <w:b/>
          <w:bCs/>
          <w:kern w:val="0"/>
          <w:szCs w:val="24"/>
        </w:rPr>
        <w:t>58</w:t>
      </w:r>
      <w:r>
        <w:rPr>
          <w:kern w:val="0"/>
          <w:szCs w:val="24"/>
        </w:rPr>
        <w:t xml:space="preserve"> (1), 62-74.</w:t>
      </w:r>
    </w:p>
    <w:p w:rsidR="00F52E39" w:rsidRDefault="00F52E39" w:rsidP="00F52E39">
      <w:pPr>
        <w:pStyle w:val="a3"/>
        <w:rPr>
          <w:kern w:val="0"/>
          <w:szCs w:val="24"/>
        </w:rPr>
      </w:pPr>
      <w:r>
        <w:rPr>
          <w:rFonts w:hint="eastAsia"/>
          <w:kern w:val="0"/>
          <w:szCs w:val="24"/>
        </w:rPr>
        <w:t xml:space="preserve">Full Text: </w:t>
      </w:r>
      <w:hyperlink r:id="rId1452" w:history="1">
        <w:r w:rsidRPr="00680E4C">
          <w:rPr>
            <w:rStyle w:val="a5"/>
            <w:kern w:val="0"/>
            <w:szCs w:val="24"/>
          </w:rPr>
          <w:t>2012\Bio Soc Biol58, 62.pdf</w:t>
        </w:r>
      </w:hyperlink>
    </w:p>
    <w:p w:rsidR="00F52E39" w:rsidRDefault="00F52E39" w:rsidP="00F52E39">
      <w:pPr>
        <w:pStyle w:val="a3"/>
        <w:rPr>
          <w:kern w:val="0"/>
          <w:szCs w:val="24"/>
        </w:rPr>
      </w:pPr>
      <w:r>
        <w:rPr>
          <w:kern w:val="0"/>
          <w:szCs w:val="24"/>
        </w:rPr>
        <w:t>Abstract: Using</w:t>
      </w:r>
      <w:r w:rsidR="003A1917">
        <w:rPr>
          <w:kern w:val="0"/>
          <w:szCs w:val="24"/>
        </w:rPr>
        <w:t xml:space="preserve"> the </w:t>
      </w:r>
      <w:r>
        <w:rPr>
          <w:kern w:val="0"/>
          <w:szCs w:val="24"/>
        </w:rPr>
        <w:t xml:space="preserve">Thomson Reuters </w:t>
      </w:r>
      <w:r w:rsidR="00D5664A">
        <w:rPr>
          <w:kern w:val="0"/>
          <w:szCs w:val="24"/>
        </w:rPr>
        <w:t>Web</w:t>
      </w:r>
      <w:r w:rsidR="00427468">
        <w:rPr>
          <w:kern w:val="0"/>
          <w:szCs w:val="24"/>
        </w:rPr>
        <w:t xml:space="preserve"> of </w:t>
      </w:r>
      <w:r w:rsidR="00D5664A">
        <w:rPr>
          <w:kern w:val="0"/>
          <w:szCs w:val="24"/>
        </w:rPr>
        <w:t>Science</w:t>
      </w:r>
      <w:r>
        <w:rPr>
          <w:kern w:val="0"/>
          <w:szCs w:val="24"/>
        </w:rPr>
        <w:t>, we analytically reviewed existing research from</w:t>
      </w:r>
      <w:r w:rsidR="003A1917">
        <w:rPr>
          <w:kern w:val="0"/>
          <w:szCs w:val="24"/>
        </w:rPr>
        <w:t xml:space="preserve"> the </w:t>
      </w:r>
      <w:r>
        <w:rPr>
          <w:kern w:val="0"/>
          <w:szCs w:val="24"/>
        </w:rPr>
        <w:t>past 30 years on</w:t>
      </w:r>
      <w:r w:rsidR="003A1917">
        <w:rPr>
          <w:kern w:val="0"/>
          <w:szCs w:val="24"/>
        </w:rPr>
        <w:t xml:space="preserve"> the </w:t>
      </w:r>
      <w:r>
        <w:rPr>
          <w:kern w:val="0"/>
          <w:szCs w:val="24"/>
        </w:rPr>
        <w:t>social</w:t>
      </w:r>
      <w:r w:rsidR="005853A9">
        <w:rPr>
          <w:kern w:val="0"/>
          <w:szCs w:val="24"/>
        </w:rPr>
        <w:t xml:space="preserve"> and </w:t>
      </w:r>
      <w:r>
        <w:rPr>
          <w:kern w:val="0"/>
          <w:szCs w:val="24"/>
        </w:rPr>
        <w:t>demographic dimensions</w:t>
      </w:r>
      <w:r w:rsidR="00427468">
        <w:rPr>
          <w:kern w:val="0"/>
          <w:szCs w:val="24"/>
        </w:rPr>
        <w:t xml:space="preserve"> of </w:t>
      </w:r>
      <w:r>
        <w:rPr>
          <w:kern w:val="0"/>
          <w:szCs w:val="24"/>
        </w:rPr>
        <w:t>sex selection technologies. Through content analysis</w:t>
      </w:r>
      <w:r w:rsidR="005853A9">
        <w:rPr>
          <w:kern w:val="0"/>
          <w:szCs w:val="24"/>
        </w:rPr>
        <w:t xml:space="preserve"> and </w:t>
      </w:r>
      <w:r>
        <w:rPr>
          <w:kern w:val="0"/>
          <w:szCs w:val="24"/>
        </w:rPr>
        <w:t>bibliometric analysis, we investigated publications in four categories: description, attitudes, demographics,</w:t>
      </w:r>
      <w:r w:rsidR="005853A9">
        <w:rPr>
          <w:kern w:val="0"/>
          <w:szCs w:val="24"/>
        </w:rPr>
        <w:t xml:space="preserve"> and </w:t>
      </w:r>
      <w:r>
        <w:rPr>
          <w:kern w:val="0"/>
          <w:szCs w:val="24"/>
        </w:rPr>
        <w:t>policy. Our results leave little doubt that individual choices and, in some instances, public policies have</w:t>
      </w:r>
      <w:r w:rsidR="003A1917">
        <w:rPr>
          <w:kern w:val="0"/>
          <w:szCs w:val="24"/>
        </w:rPr>
        <w:t xml:space="preserve"> the </w:t>
      </w:r>
      <w:r>
        <w:rPr>
          <w:kern w:val="0"/>
          <w:szCs w:val="24"/>
        </w:rPr>
        <w:t>potential to bring about significant social</w:t>
      </w:r>
      <w:r w:rsidR="005853A9">
        <w:rPr>
          <w:kern w:val="0"/>
          <w:szCs w:val="24"/>
        </w:rPr>
        <w:t xml:space="preserve"> and </w:t>
      </w:r>
      <w:r>
        <w:rPr>
          <w:kern w:val="0"/>
          <w:szCs w:val="24"/>
        </w:rPr>
        <w:t>demographic changes on local, national,</w:t>
      </w:r>
      <w:r w:rsidR="005853A9">
        <w:rPr>
          <w:kern w:val="0"/>
          <w:szCs w:val="24"/>
        </w:rPr>
        <w:t xml:space="preserve"> and </w:t>
      </w:r>
      <w:r>
        <w:rPr>
          <w:kern w:val="0"/>
          <w:szCs w:val="24"/>
        </w:rPr>
        <w:t>international levels. More research is warranted on</w:t>
      </w:r>
      <w:r w:rsidR="003A1917">
        <w:rPr>
          <w:kern w:val="0"/>
          <w:szCs w:val="24"/>
        </w:rPr>
        <w:t xml:space="preserve"> the </w:t>
      </w:r>
      <w:r>
        <w:rPr>
          <w:kern w:val="0"/>
          <w:szCs w:val="24"/>
        </w:rPr>
        <w:t>ca</w:t>
      </w:r>
      <w:r w:rsidR="00D5664A">
        <w:rPr>
          <w:kern w:val="0"/>
          <w:szCs w:val="24"/>
        </w:rPr>
        <w:t>USA</w:t>
      </w:r>
      <w:r>
        <w:rPr>
          <w:kern w:val="0"/>
          <w:szCs w:val="24"/>
        </w:rPr>
        <w:t>l variables that underlie</w:t>
      </w:r>
      <w:r w:rsidR="003A1917">
        <w:rPr>
          <w:kern w:val="0"/>
          <w:szCs w:val="24"/>
        </w:rPr>
        <w:t xml:space="preserve"> the </w:t>
      </w:r>
      <w:r>
        <w:rPr>
          <w:kern w:val="0"/>
          <w:szCs w:val="24"/>
        </w:rPr>
        <w:t>individual</w:t>
      </w:r>
      <w:r w:rsidR="005853A9">
        <w:rPr>
          <w:kern w:val="0"/>
          <w:szCs w:val="24"/>
        </w:rPr>
        <w:t xml:space="preserve"> and </w:t>
      </w:r>
      <w:r>
        <w:rPr>
          <w:kern w:val="0"/>
          <w:szCs w:val="24"/>
        </w:rPr>
        <w:t>policy decisions that are associated with sex selection technologies.</w:t>
      </w:r>
    </w:p>
    <w:p w:rsidR="00F52E39" w:rsidRDefault="00F52E39" w:rsidP="00F52E39">
      <w:pPr>
        <w:pStyle w:val="a3"/>
        <w:rPr>
          <w:kern w:val="0"/>
          <w:szCs w:val="24"/>
        </w:rPr>
      </w:pPr>
      <w:r>
        <w:rPr>
          <w:kern w:val="0"/>
          <w:szCs w:val="24"/>
        </w:rPr>
        <w:t xml:space="preserve">Keywords: Analysis, Attitudes, Bibliometric, Bibliometric Analysis, Changes, Content Analysis, International, Literature, Local, Policies, Policy, Potential, Public, Publications, Research, Review, Science, Sex, Sex Selection, Social, Technologies, Thomson-Reuters, </w:t>
      </w:r>
      <w:r w:rsidR="00D5664A">
        <w:rPr>
          <w:kern w:val="0"/>
          <w:szCs w:val="24"/>
        </w:rPr>
        <w:t>Web</w:t>
      </w:r>
      <w:r w:rsidR="00427468">
        <w:rPr>
          <w:kern w:val="0"/>
          <w:szCs w:val="24"/>
        </w:rPr>
        <w:t xml:space="preserve"> of </w:t>
      </w:r>
      <w:r w:rsidR="00D5664A">
        <w:rPr>
          <w:kern w:val="0"/>
          <w:szCs w:val="24"/>
        </w:rPr>
        <w:t>Science</w:t>
      </w:r>
    </w:p>
    <w:p w:rsidR="006028E9" w:rsidRPr="00FC7835" w:rsidRDefault="006028E9" w:rsidP="006028E9">
      <w:pPr>
        <w:pStyle w:val="1"/>
      </w:pPr>
      <w:r w:rsidRPr="00FC7835">
        <w:rPr>
          <w:b w:val="0"/>
        </w:rPr>
        <w:br w:type="page"/>
      </w:r>
      <w:bookmarkStart w:id="757" w:name="_Toc420814708"/>
      <w:r w:rsidRPr="00FC7835">
        <w:lastRenderedPageBreak/>
        <w:t xml:space="preserve">Title: </w:t>
      </w:r>
      <w:r w:rsidRPr="006028E9">
        <w:t>Biodiversity</w:t>
      </w:r>
      <w:r w:rsidR="005853A9">
        <w:t xml:space="preserve"> and </w:t>
      </w:r>
      <w:r w:rsidRPr="006028E9">
        <w:t>Conservation</w:t>
      </w:r>
      <w:bookmarkEnd w:id="757"/>
    </w:p>
    <w:p w:rsidR="0007779E" w:rsidRDefault="0007779E" w:rsidP="0007779E">
      <w:pPr>
        <w:pStyle w:val="12"/>
      </w:pPr>
      <w:r>
        <w:t>Full Journal Title: Biodiversity</w:t>
      </w:r>
      <w:r w:rsidR="005853A9">
        <w:t xml:space="preserve"> and </w:t>
      </w:r>
      <w:r>
        <w:t>Conservation</w:t>
      </w:r>
    </w:p>
    <w:p w:rsidR="0007779E" w:rsidRDefault="0007779E" w:rsidP="0007779E">
      <w:pPr>
        <w:pStyle w:val="12"/>
      </w:pPr>
      <w:r>
        <w:t>ISO Abbrev. Title: Biodivers. Conserv.</w:t>
      </w:r>
    </w:p>
    <w:p w:rsidR="0007779E" w:rsidRDefault="0007779E" w:rsidP="0007779E">
      <w:pPr>
        <w:pStyle w:val="12"/>
      </w:pPr>
      <w:r>
        <w:t>JCR Abbrev. Title: Biodivers Conserv</w:t>
      </w:r>
    </w:p>
    <w:p w:rsidR="0007779E" w:rsidRDefault="0007779E" w:rsidP="0007779E">
      <w:pPr>
        <w:pStyle w:val="12"/>
      </w:pPr>
      <w:r>
        <w:t>ISSN: 0960-3115</w:t>
      </w:r>
    </w:p>
    <w:p w:rsidR="0007779E" w:rsidRDefault="0007779E" w:rsidP="0007779E">
      <w:pPr>
        <w:pStyle w:val="12"/>
      </w:pPr>
      <w:r>
        <w:t>Issues/Year: 14</w:t>
      </w:r>
    </w:p>
    <w:p w:rsidR="0007779E" w:rsidRDefault="0007779E" w:rsidP="0007779E">
      <w:pPr>
        <w:pStyle w:val="12"/>
      </w:pPr>
      <w:r>
        <w:t>Language: English</w:t>
      </w:r>
    </w:p>
    <w:p w:rsidR="0007779E" w:rsidRDefault="0007779E" w:rsidP="0007779E">
      <w:pPr>
        <w:pStyle w:val="12"/>
      </w:pPr>
      <w:r>
        <w:t>Journal Country/Territory: Netherlands</w:t>
      </w:r>
    </w:p>
    <w:p w:rsidR="0007779E" w:rsidRDefault="0007779E" w:rsidP="0007779E">
      <w:pPr>
        <w:pStyle w:val="12"/>
      </w:pPr>
      <w:r>
        <w:t>Publisher: Springer</w:t>
      </w:r>
    </w:p>
    <w:p w:rsidR="0007779E" w:rsidRDefault="0007779E" w:rsidP="0007779E">
      <w:pPr>
        <w:pStyle w:val="12"/>
      </w:pPr>
      <w:r>
        <w:t>Publisher Address: Van Godewijckstraat 30, 3311 GZ Dordrecht, Netherlands</w:t>
      </w:r>
    </w:p>
    <w:p w:rsidR="0007779E" w:rsidRDefault="0007779E" w:rsidP="0007779E">
      <w:pPr>
        <w:pStyle w:val="12"/>
      </w:pPr>
      <w:r>
        <w:t>Subject Categories:</w:t>
      </w:r>
    </w:p>
    <w:p w:rsidR="0007779E" w:rsidRDefault="0007779E" w:rsidP="0007779E">
      <w:pPr>
        <w:pStyle w:val="12"/>
      </w:pPr>
      <w:r>
        <w:t>Biodiversity Conservation</w:t>
      </w:r>
      <w:r>
        <w:rPr>
          <w:rFonts w:hint="eastAsia"/>
        </w:rPr>
        <w:t>:</w:t>
      </w:r>
      <w:r w:rsidRPr="007936B9">
        <w:t xml:space="preserve"> </w:t>
      </w:r>
      <w:r w:rsidRPr="00FC7835">
        <w:t xml:space="preserve">Impact Factor </w:t>
      </w:r>
      <w:r>
        <w:rPr>
          <w:rFonts w:hint="eastAsia"/>
        </w:rPr>
        <w:t>2.238, 11/37 (2011)</w:t>
      </w:r>
    </w:p>
    <w:p w:rsidR="0007779E" w:rsidRDefault="0007779E" w:rsidP="0007779E">
      <w:pPr>
        <w:pStyle w:val="12"/>
      </w:pPr>
      <w:r>
        <w:t>Ecology</w:t>
      </w:r>
      <w:r>
        <w:rPr>
          <w:rFonts w:hint="eastAsia"/>
        </w:rPr>
        <w:t>:</w:t>
      </w:r>
      <w:r w:rsidRPr="007936B9">
        <w:t xml:space="preserve"> </w:t>
      </w:r>
      <w:r w:rsidRPr="00FC7835">
        <w:t xml:space="preserve">Impact Factor </w:t>
      </w:r>
      <w:r>
        <w:rPr>
          <w:rFonts w:hint="eastAsia"/>
        </w:rPr>
        <w:t>2.238, 59/134 (2011)</w:t>
      </w:r>
    </w:p>
    <w:p w:rsidR="0007779E" w:rsidRPr="00FC7835" w:rsidRDefault="0007779E" w:rsidP="0007779E">
      <w:pPr>
        <w:pStyle w:val="12"/>
      </w:pPr>
      <w:r>
        <w:t>Environmental Sciences</w:t>
      </w:r>
      <w:r w:rsidRPr="00FC7835">
        <w:t xml:space="preserve">: Impact Factor </w:t>
      </w:r>
      <w:r>
        <w:rPr>
          <w:rFonts w:hint="eastAsia"/>
        </w:rPr>
        <w:t>2.238, 67/205 (2011)</w:t>
      </w:r>
    </w:p>
    <w:p w:rsidR="006028E9" w:rsidRDefault="006028E9" w:rsidP="006028E9">
      <w:pPr>
        <w:pStyle w:val="a3"/>
        <w:rPr>
          <w:kern w:val="0"/>
        </w:rPr>
      </w:pPr>
      <w:r>
        <w:rPr>
          <w:rFonts w:hint="eastAsia"/>
          <w:kern w:val="0"/>
        </w:rPr>
        <w:t xml:space="preserve">? </w:t>
      </w:r>
      <w:r>
        <w:rPr>
          <w:kern w:val="0"/>
        </w:rPr>
        <w:t>Liu, X.J., Zhang, L.A.</w:t>
      </w:r>
      <w:r w:rsidR="005853A9">
        <w:rPr>
          <w:kern w:val="0"/>
        </w:rPr>
        <w:t xml:space="preserve"> and </w:t>
      </w:r>
      <w:r>
        <w:rPr>
          <w:kern w:val="0"/>
        </w:rPr>
        <w:t xml:space="preserve">Hong, S. (2011), Global biodiversity research during 1900-2009: A bibliometric analysis. </w:t>
      </w:r>
      <w:r w:rsidRPr="006028E9">
        <w:rPr>
          <w:i/>
          <w:iCs/>
          <w:kern w:val="0"/>
        </w:rPr>
        <w:t>Biodiversity</w:t>
      </w:r>
      <w:r w:rsidR="005853A9">
        <w:rPr>
          <w:i/>
          <w:iCs/>
          <w:kern w:val="0"/>
        </w:rPr>
        <w:t xml:space="preserve"> and </w:t>
      </w:r>
      <w:r w:rsidRPr="006028E9">
        <w:rPr>
          <w:i/>
          <w:iCs/>
          <w:kern w:val="0"/>
        </w:rPr>
        <w:t>Conservation</w:t>
      </w:r>
      <w:r>
        <w:rPr>
          <w:kern w:val="0"/>
        </w:rPr>
        <w:t xml:space="preserve">, </w:t>
      </w:r>
      <w:r>
        <w:rPr>
          <w:b/>
          <w:bCs/>
          <w:kern w:val="0"/>
        </w:rPr>
        <w:t>20</w:t>
      </w:r>
      <w:r>
        <w:rPr>
          <w:kern w:val="0"/>
        </w:rPr>
        <w:t xml:space="preserve"> (4), 807-826.</w:t>
      </w:r>
    </w:p>
    <w:p w:rsidR="006028E9" w:rsidRDefault="006028E9" w:rsidP="006028E9">
      <w:pPr>
        <w:pStyle w:val="a3"/>
        <w:rPr>
          <w:kern w:val="0"/>
        </w:rPr>
      </w:pPr>
      <w:r>
        <w:rPr>
          <w:rFonts w:hint="eastAsia"/>
          <w:kern w:val="0"/>
        </w:rPr>
        <w:t>F</w:t>
      </w:r>
      <w:r>
        <w:rPr>
          <w:kern w:val="0"/>
        </w:rPr>
        <w:t>u</w:t>
      </w:r>
      <w:r>
        <w:rPr>
          <w:rFonts w:hint="eastAsia"/>
          <w:kern w:val="0"/>
        </w:rPr>
        <w:t xml:space="preserve">ll Text: </w:t>
      </w:r>
      <w:hyperlink r:id="rId1453" w:history="1">
        <w:r w:rsidRPr="006028E9">
          <w:rPr>
            <w:rStyle w:val="a5"/>
            <w:kern w:val="0"/>
          </w:rPr>
          <w:t>2011\Bio Con20, 807.pdf</w:t>
        </w:r>
      </w:hyperlink>
    </w:p>
    <w:p w:rsidR="006028E9" w:rsidRDefault="006028E9" w:rsidP="006028E9">
      <w:pPr>
        <w:pStyle w:val="a3"/>
        <w:rPr>
          <w:kern w:val="0"/>
        </w:rPr>
      </w:pPr>
      <w:r>
        <w:rPr>
          <w:kern w:val="0"/>
        </w:rPr>
        <w:t>Abstract: We performed a bibliometric analysis</w:t>
      </w:r>
      <w:r w:rsidR="00427468">
        <w:rPr>
          <w:kern w:val="0"/>
        </w:rPr>
        <w:t xml:space="preserve"> of </w:t>
      </w:r>
      <w:r>
        <w:rPr>
          <w:kern w:val="0"/>
        </w:rPr>
        <w:t>published biodiversity research for</w:t>
      </w:r>
      <w:r w:rsidR="003A1917">
        <w:rPr>
          <w:kern w:val="0"/>
        </w:rPr>
        <w:t xml:space="preserve"> the </w:t>
      </w:r>
      <w:r>
        <w:rPr>
          <w:kern w:val="0"/>
        </w:rPr>
        <w:t>period</w:t>
      </w:r>
      <w:r w:rsidR="00427468">
        <w:rPr>
          <w:kern w:val="0"/>
        </w:rPr>
        <w:t xml:space="preserve"> of </w:t>
      </w:r>
      <w:r>
        <w:rPr>
          <w:kern w:val="0"/>
        </w:rPr>
        <w:t>1900-2009, based on</w:t>
      </w:r>
      <w:r w:rsidR="003A1917">
        <w:rPr>
          <w:kern w:val="0"/>
        </w:rPr>
        <w:t xml:space="preserve"> the </w:t>
      </w:r>
      <w:r>
        <w:rPr>
          <w:kern w:val="0"/>
        </w:rPr>
        <w:t>Science Citation Index (SCI) database. Our analysis reveals</w:t>
      </w:r>
      <w:r w:rsidR="003A1917">
        <w:rPr>
          <w:kern w:val="0"/>
        </w:rPr>
        <w:t xml:space="preserve"> the </w:t>
      </w:r>
      <w:r>
        <w:rPr>
          <w:kern w:val="0"/>
        </w:rPr>
        <w:t>authorial, institutional, spatiotemporal,</w:t>
      </w:r>
      <w:r w:rsidR="005853A9">
        <w:rPr>
          <w:kern w:val="0"/>
        </w:rPr>
        <w:t xml:space="preserve"> and </w:t>
      </w:r>
      <w:r>
        <w:rPr>
          <w:kern w:val="0"/>
        </w:rPr>
        <w:t>categorical patterns in biodiversity research</w:t>
      </w:r>
      <w:r w:rsidR="005853A9">
        <w:rPr>
          <w:kern w:val="0"/>
        </w:rPr>
        <w:t xml:space="preserve"> and </w:t>
      </w:r>
      <w:r>
        <w:rPr>
          <w:kern w:val="0"/>
        </w:rPr>
        <w:t>provides an alternative demonstration</w:t>
      </w:r>
      <w:r w:rsidR="00427468">
        <w:rPr>
          <w:kern w:val="0"/>
        </w:rPr>
        <w:t xml:space="preserve"> of </w:t>
      </w:r>
      <w:r>
        <w:rPr>
          <w:kern w:val="0"/>
        </w:rPr>
        <w:t>research advancements, which may serve as a potential guide for future research</w:t>
      </w:r>
      <w:r w:rsidR="00A37C1D">
        <w:rPr>
          <w:kern w:val="0"/>
        </w:rPr>
        <w:t>. The</w:t>
      </w:r>
      <w:r w:rsidR="003A1917">
        <w:rPr>
          <w:kern w:val="0"/>
        </w:rPr>
        <w:t xml:space="preserve"> </w:t>
      </w:r>
      <w:r>
        <w:rPr>
          <w:kern w:val="0"/>
        </w:rPr>
        <w:t>growth</w:t>
      </w:r>
      <w:r w:rsidR="00427468">
        <w:rPr>
          <w:kern w:val="0"/>
        </w:rPr>
        <w:t xml:space="preserve"> of </w:t>
      </w:r>
      <w:r>
        <w:rPr>
          <w:kern w:val="0"/>
        </w:rPr>
        <w:t>article outputs has exploded since</w:t>
      </w:r>
      <w:r w:rsidR="003A1917">
        <w:rPr>
          <w:kern w:val="0"/>
        </w:rPr>
        <w:t xml:space="preserve"> the </w:t>
      </w:r>
      <w:r>
        <w:rPr>
          <w:kern w:val="0"/>
        </w:rPr>
        <w:t>1990s, along with an increasing collaboration index, references,</w:t>
      </w:r>
      <w:r w:rsidR="005853A9">
        <w:rPr>
          <w:kern w:val="0"/>
        </w:rPr>
        <w:t xml:space="preserve"> and </w:t>
      </w:r>
      <w:r>
        <w:rPr>
          <w:kern w:val="0"/>
        </w:rPr>
        <w:t>citations. Ecology, environmental sciences, biodiversity conservations,</w:t>
      </w:r>
      <w:r w:rsidR="005853A9">
        <w:rPr>
          <w:kern w:val="0"/>
        </w:rPr>
        <w:t xml:space="preserve"> and </w:t>
      </w:r>
      <w:r>
        <w:rPr>
          <w:kern w:val="0"/>
        </w:rPr>
        <w:t>plant science were most frequently used subject categories in biodiversity studies,</w:t>
      </w:r>
      <w:r w:rsidR="005853A9">
        <w:rPr>
          <w:kern w:val="0"/>
        </w:rPr>
        <w:t xml:space="preserve"> and </w:t>
      </w:r>
      <w:r>
        <w:rPr>
          <w:kern w:val="0"/>
        </w:rPr>
        <w:t>Biological Conservation, Journal</w:t>
      </w:r>
      <w:r w:rsidR="00427468">
        <w:rPr>
          <w:kern w:val="0"/>
        </w:rPr>
        <w:t xml:space="preserve"> of </w:t>
      </w:r>
      <w:r>
        <w:rPr>
          <w:kern w:val="0"/>
        </w:rPr>
        <w:t>Soil</w:t>
      </w:r>
      <w:r w:rsidR="005853A9">
        <w:rPr>
          <w:kern w:val="0"/>
        </w:rPr>
        <w:t xml:space="preserve"> and </w:t>
      </w:r>
      <w:r>
        <w:rPr>
          <w:kern w:val="0"/>
        </w:rPr>
        <w:t>Water Conservation, Conservation Biology</w:t>
      </w:r>
      <w:r w:rsidR="005853A9">
        <w:rPr>
          <w:kern w:val="0"/>
        </w:rPr>
        <w:t xml:space="preserve"> and </w:t>
      </w:r>
      <w:r>
        <w:rPr>
          <w:kern w:val="0"/>
        </w:rPr>
        <w:t>Biodiversity</w:t>
      </w:r>
      <w:r w:rsidR="005853A9">
        <w:rPr>
          <w:kern w:val="0"/>
        </w:rPr>
        <w:t xml:space="preserve"> and </w:t>
      </w:r>
      <w:r>
        <w:rPr>
          <w:kern w:val="0"/>
        </w:rPr>
        <w:t>Conservation were most active journals in this field</w:t>
      </w:r>
      <w:r w:rsidR="00A37C1D">
        <w:rPr>
          <w:kern w:val="0"/>
        </w:rPr>
        <w:t>. The</w:t>
      </w:r>
      <w:r w:rsidR="003A1917">
        <w:rPr>
          <w:kern w:val="0"/>
        </w:rPr>
        <w:t xml:space="preserve"> </w:t>
      </w:r>
      <w:r>
        <w:rPr>
          <w:kern w:val="0"/>
        </w:rPr>
        <w:t>United States was</w:t>
      </w:r>
      <w:r w:rsidR="003A1917">
        <w:rPr>
          <w:kern w:val="0"/>
        </w:rPr>
        <w:t xml:space="preserve"> the </w:t>
      </w:r>
      <w:r>
        <w:rPr>
          <w:kern w:val="0"/>
        </w:rPr>
        <w:t>largest contributor in global biodiversity research, as</w:t>
      </w:r>
      <w:r w:rsidR="003A1917">
        <w:rPr>
          <w:kern w:val="0"/>
        </w:rPr>
        <w:t xml:space="preserve"> the </w:t>
      </w:r>
      <w:r>
        <w:rPr>
          <w:kern w:val="0"/>
        </w:rPr>
        <w:t>U.S. produced</w:t>
      </w:r>
      <w:r w:rsidR="003A1917">
        <w:rPr>
          <w:kern w:val="0"/>
        </w:rPr>
        <w:t xml:space="preserve"> the </w:t>
      </w:r>
      <w:r>
        <w:rPr>
          <w:kern w:val="0"/>
        </w:rPr>
        <w:t>most single-country</w:t>
      </w:r>
      <w:r w:rsidR="005853A9">
        <w:rPr>
          <w:kern w:val="0"/>
        </w:rPr>
        <w:t xml:space="preserve"> and </w:t>
      </w:r>
      <w:r>
        <w:rPr>
          <w:kern w:val="0"/>
        </w:rPr>
        <w:t>collaborative articles, had</w:t>
      </w:r>
      <w:r w:rsidR="003A1917">
        <w:rPr>
          <w:kern w:val="0"/>
        </w:rPr>
        <w:t xml:space="preserve"> the </w:t>
      </w:r>
      <w:r>
        <w:rPr>
          <w:kern w:val="0"/>
        </w:rPr>
        <w:t>greatest number</w:t>
      </w:r>
      <w:r w:rsidR="00427468">
        <w:rPr>
          <w:kern w:val="0"/>
        </w:rPr>
        <w:t xml:space="preserve"> of </w:t>
      </w:r>
      <w:r>
        <w:rPr>
          <w:kern w:val="0"/>
        </w:rPr>
        <w:t>top research institutions,</w:t>
      </w:r>
      <w:r w:rsidR="005853A9">
        <w:rPr>
          <w:kern w:val="0"/>
        </w:rPr>
        <w:t xml:space="preserve"> and </w:t>
      </w:r>
      <w:r>
        <w:rPr>
          <w:kern w:val="0"/>
        </w:rPr>
        <w:t>had a central position in collaboration networks. We perceived an increasing number</w:t>
      </w:r>
      <w:r w:rsidR="00427468">
        <w:rPr>
          <w:kern w:val="0"/>
        </w:rPr>
        <w:t xml:space="preserve"> of </w:t>
      </w:r>
      <w:r>
        <w:rPr>
          <w:kern w:val="0"/>
        </w:rPr>
        <w:t>both internationally collaborative</w:t>
      </w:r>
      <w:r w:rsidR="005853A9">
        <w:rPr>
          <w:kern w:val="0"/>
        </w:rPr>
        <w:t xml:space="preserve"> and </w:t>
      </w:r>
      <w:r>
        <w:rPr>
          <w:kern w:val="0"/>
        </w:rPr>
        <w:t>inter-institutionally collaborative articles, with</w:t>
      </w:r>
      <w:r w:rsidR="003A1917">
        <w:rPr>
          <w:kern w:val="0"/>
        </w:rPr>
        <w:t xml:space="preserve"> the </w:t>
      </w:r>
      <w:r>
        <w:rPr>
          <w:kern w:val="0"/>
        </w:rPr>
        <w:t>latter form</w:t>
      </w:r>
      <w:r w:rsidR="00427468">
        <w:rPr>
          <w:kern w:val="0"/>
        </w:rPr>
        <w:t xml:space="preserve"> of </w:t>
      </w:r>
      <w:r>
        <w:rPr>
          <w:kern w:val="0"/>
        </w:rPr>
        <w:t>collaboration being more prevalent than</w:t>
      </w:r>
      <w:r w:rsidR="003A1917">
        <w:rPr>
          <w:kern w:val="0"/>
        </w:rPr>
        <w:t xml:space="preserve"> the </w:t>
      </w:r>
      <w:r>
        <w:rPr>
          <w:kern w:val="0"/>
        </w:rPr>
        <w:t>former. A keyword analysis found several interesting terminology preferences, confirmed conservation</w:t>
      </w:r>
      <w:r w:rsidR="00700038">
        <w:rPr>
          <w:kern w:val="0"/>
        </w:rPr>
        <w:t>’</w:t>
      </w:r>
      <w:r w:rsidR="00C13DDC">
        <w:rPr>
          <w:kern w:val="0"/>
        </w:rPr>
        <w:t>s</w:t>
      </w:r>
      <w:r>
        <w:rPr>
          <w:kern w:val="0"/>
        </w:rPr>
        <w:t xml:space="preserve"> central position as a topic in biodiversity research, revealed</w:t>
      </w:r>
      <w:r w:rsidR="003A1917">
        <w:rPr>
          <w:kern w:val="0"/>
        </w:rPr>
        <w:t xml:space="preserve"> the </w:t>
      </w:r>
      <w:r>
        <w:rPr>
          <w:kern w:val="0"/>
        </w:rPr>
        <w:t>adoption</w:t>
      </w:r>
      <w:r w:rsidR="00427468">
        <w:rPr>
          <w:kern w:val="0"/>
        </w:rPr>
        <w:t xml:space="preserve"> of </w:t>
      </w:r>
      <w:r>
        <w:rPr>
          <w:kern w:val="0"/>
        </w:rPr>
        <w:t>advanced technologies,</w:t>
      </w:r>
      <w:r w:rsidR="005853A9">
        <w:rPr>
          <w:kern w:val="0"/>
        </w:rPr>
        <w:t xml:space="preserve"> and </w:t>
      </w:r>
      <w:r>
        <w:rPr>
          <w:kern w:val="0"/>
        </w:rPr>
        <w:t>demonstrated keen interest in both</w:t>
      </w:r>
      <w:r w:rsidR="003A1917">
        <w:rPr>
          <w:kern w:val="0"/>
        </w:rPr>
        <w:t xml:space="preserve"> the </w:t>
      </w:r>
      <w:r>
        <w:rPr>
          <w:kern w:val="0"/>
        </w:rPr>
        <w:t>patterns</w:t>
      </w:r>
      <w:r w:rsidR="005853A9">
        <w:rPr>
          <w:kern w:val="0"/>
        </w:rPr>
        <w:t xml:space="preserve"> and </w:t>
      </w:r>
      <w:r>
        <w:rPr>
          <w:kern w:val="0"/>
        </w:rPr>
        <w:t>underlying processes</w:t>
      </w:r>
      <w:r w:rsidR="00427468">
        <w:rPr>
          <w:kern w:val="0"/>
        </w:rPr>
        <w:t xml:space="preserve"> of </w:t>
      </w:r>
      <w:r>
        <w:rPr>
          <w:kern w:val="0"/>
        </w:rPr>
        <w:t>ecosystems. Our study reveals patterns in scientific outputs</w:t>
      </w:r>
      <w:r w:rsidR="005853A9">
        <w:rPr>
          <w:kern w:val="0"/>
        </w:rPr>
        <w:t xml:space="preserve"> and </w:t>
      </w:r>
      <w:r>
        <w:rPr>
          <w:kern w:val="0"/>
        </w:rPr>
        <w:lastRenderedPageBreak/>
        <w:t>academic collaborations</w:t>
      </w:r>
      <w:r w:rsidR="005853A9">
        <w:rPr>
          <w:kern w:val="0"/>
        </w:rPr>
        <w:t xml:space="preserve"> and </w:t>
      </w:r>
      <w:r>
        <w:rPr>
          <w:kern w:val="0"/>
        </w:rPr>
        <w:t>serves as an alternative</w:t>
      </w:r>
      <w:r w:rsidR="005853A9">
        <w:rPr>
          <w:kern w:val="0"/>
        </w:rPr>
        <w:t xml:space="preserve"> and </w:t>
      </w:r>
      <w:r>
        <w:rPr>
          <w:kern w:val="0"/>
        </w:rPr>
        <w:t>innovative way</w:t>
      </w:r>
      <w:r w:rsidR="00427468">
        <w:rPr>
          <w:kern w:val="0"/>
        </w:rPr>
        <w:t xml:space="preserve"> of </w:t>
      </w:r>
      <w:r>
        <w:rPr>
          <w:kern w:val="0"/>
        </w:rPr>
        <w:t>revealing global research trends in biodiversity.</w:t>
      </w:r>
    </w:p>
    <w:p w:rsidR="006028E9" w:rsidRDefault="006028E9" w:rsidP="006028E9">
      <w:pPr>
        <w:pStyle w:val="a3"/>
        <w:rPr>
          <w:kern w:val="0"/>
        </w:rPr>
      </w:pPr>
      <w:r>
        <w:rPr>
          <w:kern w:val="0"/>
        </w:rPr>
        <w:t>Keywords: Adoption, Alternative, Analysis, Bibliometric, Bibliometric Analysis, Bibliometrics, Biodiversity, Biology, Citation, Citations, Collaboration, Collaboration Networks, Collaborations, Consequences, Conservation, Conservation, Database, Ecology, Ecosystems, Environmental, Field, Genetic Diversity, Global, Growth, Index, Institutions, Journal, Journals, Networks, Patterns, Plant, Potential, References, Research, Research Trends, Research Trends</w:t>
      </w:r>
      <w:r w:rsidR="00D5664A">
        <w:rPr>
          <w:kern w:val="0"/>
        </w:rPr>
        <w:t>, SCI,</w:t>
      </w:r>
      <w:r>
        <w:rPr>
          <w:kern w:val="0"/>
        </w:rPr>
        <w:t xml:space="preserve"> Science, Science Citation Index, Sciences, Scientific Outputs, Soil, Species-Diversity, Technologies, Terminology, Threats, Trends, Tropical Forest, United States, Water</w:t>
      </w:r>
    </w:p>
    <w:p w:rsidR="00D83AB6" w:rsidRDefault="00D83AB6" w:rsidP="00D83AB6">
      <w:pPr>
        <w:pStyle w:val="a3"/>
        <w:rPr>
          <w:kern w:val="0"/>
        </w:rPr>
      </w:pPr>
      <w:r>
        <w:rPr>
          <w:rFonts w:hint="eastAsia"/>
          <w:kern w:val="0"/>
        </w:rPr>
        <w:t xml:space="preserve">? </w:t>
      </w:r>
      <w:r>
        <w:rPr>
          <w:kern w:val="0"/>
        </w:rPr>
        <w:t>Arbelaez-Cortes, E. (2013), Knowledge</w:t>
      </w:r>
      <w:r w:rsidR="00427468">
        <w:rPr>
          <w:kern w:val="0"/>
        </w:rPr>
        <w:t xml:space="preserve"> of </w:t>
      </w:r>
      <w:r>
        <w:rPr>
          <w:kern w:val="0"/>
        </w:rPr>
        <w:t>Colombian biodiversity: Published</w:t>
      </w:r>
      <w:r w:rsidR="005853A9">
        <w:rPr>
          <w:kern w:val="0"/>
        </w:rPr>
        <w:t xml:space="preserve"> and </w:t>
      </w:r>
      <w:r>
        <w:rPr>
          <w:kern w:val="0"/>
        </w:rPr>
        <w:t xml:space="preserve">indexed. </w:t>
      </w:r>
      <w:r>
        <w:rPr>
          <w:i/>
          <w:iCs/>
          <w:kern w:val="0"/>
        </w:rPr>
        <w:t>Biodiversity</w:t>
      </w:r>
      <w:r w:rsidR="005853A9">
        <w:rPr>
          <w:i/>
          <w:iCs/>
          <w:kern w:val="0"/>
        </w:rPr>
        <w:t xml:space="preserve"> and </w:t>
      </w:r>
      <w:r>
        <w:rPr>
          <w:i/>
          <w:iCs/>
          <w:kern w:val="0"/>
        </w:rPr>
        <w:t>Conservation</w:t>
      </w:r>
      <w:r>
        <w:rPr>
          <w:kern w:val="0"/>
        </w:rPr>
        <w:t xml:space="preserve">, </w:t>
      </w:r>
      <w:r>
        <w:rPr>
          <w:b/>
          <w:bCs/>
          <w:kern w:val="0"/>
        </w:rPr>
        <w:t>22</w:t>
      </w:r>
      <w:r>
        <w:rPr>
          <w:kern w:val="0"/>
        </w:rPr>
        <w:t xml:space="preserve"> (12), 2875-2906.</w:t>
      </w:r>
    </w:p>
    <w:p w:rsidR="00D83AB6" w:rsidRDefault="00D83AB6" w:rsidP="00D83AB6">
      <w:pPr>
        <w:pStyle w:val="a3"/>
        <w:rPr>
          <w:kern w:val="0"/>
        </w:rPr>
      </w:pPr>
      <w:r>
        <w:rPr>
          <w:rFonts w:hint="eastAsia"/>
          <w:kern w:val="0"/>
        </w:rPr>
        <w:t>F</w:t>
      </w:r>
      <w:r>
        <w:rPr>
          <w:kern w:val="0"/>
        </w:rPr>
        <w:t>u</w:t>
      </w:r>
      <w:r>
        <w:rPr>
          <w:rFonts w:hint="eastAsia"/>
          <w:kern w:val="0"/>
        </w:rPr>
        <w:t xml:space="preserve">ll Text: </w:t>
      </w:r>
      <w:r w:rsidRPr="00B70C76">
        <w:rPr>
          <w:kern w:val="0"/>
        </w:rPr>
        <w:t>201</w:t>
      </w:r>
      <w:r>
        <w:rPr>
          <w:rFonts w:hint="eastAsia"/>
          <w:kern w:val="0"/>
        </w:rPr>
        <w:t>3</w:t>
      </w:r>
      <w:r w:rsidRPr="00B70C76">
        <w:rPr>
          <w:kern w:val="0"/>
        </w:rPr>
        <w:t>\Bio Con2</w:t>
      </w:r>
      <w:r>
        <w:rPr>
          <w:rFonts w:hint="eastAsia"/>
          <w:kern w:val="0"/>
        </w:rPr>
        <w:t>2</w:t>
      </w:r>
      <w:r w:rsidRPr="00B70C76">
        <w:rPr>
          <w:kern w:val="0"/>
        </w:rPr>
        <w:t xml:space="preserve">, </w:t>
      </w:r>
      <w:r>
        <w:rPr>
          <w:kern w:val="0"/>
        </w:rPr>
        <w:t>2875</w:t>
      </w:r>
      <w:r w:rsidRPr="00B70C76">
        <w:rPr>
          <w:kern w:val="0"/>
        </w:rPr>
        <w:t>.pdf</w:t>
      </w:r>
    </w:p>
    <w:p w:rsidR="00D83AB6" w:rsidRDefault="00D83AB6" w:rsidP="00D83AB6">
      <w:pPr>
        <w:pStyle w:val="a3"/>
        <w:rPr>
          <w:kern w:val="0"/>
        </w:rPr>
      </w:pPr>
      <w:r>
        <w:rPr>
          <w:kern w:val="0"/>
        </w:rPr>
        <w:t>Abstract: Documenting patterns</w:t>
      </w:r>
      <w:r w:rsidR="00427468">
        <w:rPr>
          <w:kern w:val="0"/>
        </w:rPr>
        <w:t xml:space="preserve"> of </w:t>
      </w:r>
      <w:r>
        <w:rPr>
          <w:kern w:val="0"/>
        </w:rPr>
        <w:t>published studies on the biodiversity</w:t>
      </w:r>
      <w:r w:rsidR="00427468">
        <w:rPr>
          <w:kern w:val="0"/>
        </w:rPr>
        <w:t xml:space="preserve"> of </w:t>
      </w:r>
      <w:r>
        <w:rPr>
          <w:kern w:val="0"/>
        </w:rPr>
        <w:t>megadiverse countries can offer valuable insights on global biodiversity knowledge. Here, I present results from a bibliometric analysis</w:t>
      </w:r>
      <w:r w:rsidR="00427468">
        <w:rPr>
          <w:kern w:val="0"/>
        </w:rPr>
        <w:t xml:space="preserve"> of </w:t>
      </w:r>
      <w:r>
        <w:rPr>
          <w:kern w:val="0"/>
        </w:rPr>
        <w:t>5,264 indexed publications on biodiversity in Colombia published during the period 1990-2011</w:t>
      </w:r>
      <w:r w:rsidR="005853A9">
        <w:rPr>
          <w:kern w:val="0"/>
        </w:rPr>
        <w:t xml:space="preserve"> and </w:t>
      </w:r>
      <w:r>
        <w:rPr>
          <w:kern w:val="0"/>
        </w:rPr>
        <w:t>gathered by searching the Web</w:t>
      </w:r>
      <w:r w:rsidR="00427468">
        <w:rPr>
          <w:kern w:val="0"/>
        </w:rPr>
        <w:t xml:space="preserve"> of </w:t>
      </w:r>
      <w:r>
        <w:rPr>
          <w:kern w:val="0"/>
        </w:rPr>
        <w:t>Knowledge database. I classified studies into six overlapping subjects: taxa lists, new taxa, new records, conservation, genetic diversity,</w:t>
      </w:r>
      <w:r w:rsidR="005853A9">
        <w:rPr>
          <w:kern w:val="0"/>
        </w:rPr>
        <w:t xml:space="preserve"> and </w:t>
      </w:r>
      <w:r>
        <w:rPr>
          <w:kern w:val="0"/>
        </w:rPr>
        <w:t>other. Publications were also classified by geographic location</w:t>
      </w:r>
      <w:r w:rsidR="005853A9">
        <w:rPr>
          <w:kern w:val="0"/>
        </w:rPr>
        <w:t xml:space="preserve"> and </w:t>
      </w:r>
      <w:r>
        <w:rPr>
          <w:kern w:val="0"/>
        </w:rPr>
        <w:t>the taxonomic group studied. I found variation in the number</w:t>
      </w:r>
      <w:r w:rsidR="00427468">
        <w:rPr>
          <w:kern w:val="0"/>
        </w:rPr>
        <w:t xml:space="preserve"> of </w:t>
      </w:r>
      <w:r>
        <w:rPr>
          <w:kern w:val="0"/>
        </w:rPr>
        <w:t>studies per year, which presented a long-term trend</w:t>
      </w:r>
      <w:r w:rsidR="00427468">
        <w:rPr>
          <w:kern w:val="0"/>
        </w:rPr>
        <w:t xml:space="preserve"> of </w:t>
      </w:r>
      <w:r>
        <w:rPr>
          <w:kern w:val="0"/>
        </w:rPr>
        <w:t>increasing volume</w:t>
      </w:r>
      <w:r w:rsidR="00A37C1D">
        <w:rPr>
          <w:kern w:val="0"/>
        </w:rPr>
        <w:t>. The</w:t>
      </w:r>
      <w:r>
        <w:rPr>
          <w:kern w:val="0"/>
        </w:rPr>
        <w:t xml:space="preserve"> 31 continental departments</w:t>
      </w:r>
      <w:r w:rsidR="00427468">
        <w:rPr>
          <w:kern w:val="0"/>
        </w:rPr>
        <w:t xml:space="preserve"> of </w:t>
      </w:r>
      <w:r>
        <w:rPr>
          <w:kern w:val="0"/>
        </w:rPr>
        <w:t>Colombia</w:t>
      </w:r>
      <w:r w:rsidR="005853A9">
        <w:rPr>
          <w:kern w:val="0"/>
        </w:rPr>
        <w:t xml:space="preserve"> and </w:t>
      </w:r>
      <w:r>
        <w:rPr>
          <w:kern w:val="0"/>
        </w:rPr>
        <w:t>both the Atlantic</w:t>
      </w:r>
      <w:r w:rsidR="005853A9">
        <w:rPr>
          <w:kern w:val="0"/>
        </w:rPr>
        <w:t xml:space="preserve"> and </w:t>
      </w:r>
      <w:r>
        <w:rPr>
          <w:kern w:val="0"/>
        </w:rPr>
        <w:t>the Pacific oceans were represented in the studies, which included 98 taxonomic classes from 47 phyla. However, there were strong biases in taxonomic, geographic,</w:t>
      </w:r>
      <w:r w:rsidR="005853A9">
        <w:rPr>
          <w:kern w:val="0"/>
        </w:rPr>
        <w:t xml:space="preserve"> and </w:t>
      </w:r>
      <w:r>
        <w:rPr>
          <w:kern w:val="0"/>
        </w:rPr>
        <w:t>subject coverage. For instance, 75 %</w:t>
      </w:r>
      <w:r w:rsidR="00427468">
        <w:rPr>
          <w:kern w:val="0"/>
        </w:rPr>
        <w:t xml:space="preserve"> of </w:t>
      </w:r>
      <w:r>
        <w:rPr>
          <w:kern w:val="0"/>
        </w:rPr>
        <w:t>studies focused on animals;</w:t>
      </w:r>
      <w:r w:rsidR="005853A9">
        <w:rPr>
          <w:kern w:val="0"/>
        </w:rPr>
        <w:t xml:space="preserve"> and </w:t>
      </w:r>
      <w:r>
        <w:rPr>
          <w:kern w:val="0"/>
        </w:rPr>
        <w:t>the Atlantic Ocean showed the highest number</w:t>
      </w:r>
      <w:r w:rsidR="00427468">
        <w:rPr>
          <w:kern w:val="0"/>
        </w:rPr>
        <w:t xml:space="preserve"> of </w:t>
      </w:r>
      <w:r>
        <w:rPr>
          <w:kern w:val="0"/>
        </w:rPr>
        <w:t>studies, followed by Antioquia</w:t>
      </w:r>
      <w:r w:rsidR="005853A9">
        <w:rPr>
          <w:kern w:val="0"/>
        </w:rPr>
        <w:t xml:space="preserve"> and </w:t>
      </w:r>
      <w:r>
        <w:rPr>
          <w:kern w:val="0"/>
        </w:rPr>
        <w:t>Valle del Cauca departments. Genetic diversity</w:t>
      </w:r>
      <w:r w:rsidR="005853A9">
        <w:rPr>
          <w:kern w:val="0"/>
        </w:rPr>
        <w:t xml:space="preserve"> and </w:t>
      </w:r>
      <w:r>
        <w:rPr>
          <w:kern w:val="0"/>
        </w:rPr>
        <w:t>conservation were the least-studied subjects. I also found that Colombian researchers</w:t>
      </w:r>
      <w:r w:rsidR="005853A9">
        <w:rPr>
          <w:kern w:val="0"/>
        </w:rPr>
        <w:t xml:space="preserve"> and </w:t>
      </w:r>
      <w:r>
        <w:rPr>
          <w:kern w:val="0"/>
        </w:rPr>
        <w:t>Colombian institutions have played an important role in documenting the country</w:t>
      </w:r>
      <w:r w:rsidR="00700038">
        <w:rPr>
          <w:kern w:val="0"/>
        </w:rPr>
        <w:t>’</w:t>
      </w:r>
      <w:r>
        <w:rPr>
          <w:kern w:val="0"/>
        </w:rPr>
        <w:t>s outstanding biodiversity. However, Colombian biologists still prefer to publish in domestic or Latin American journals, which are mainly regional</w:t>
      </w:r>
      <w:r w:rsidR="005853A9">
        <w:rPr>
          <w:kern w:val="0"/>
        </w:rPr>
        <w:t xml:space="preserve"> and </w:t>
      </w:r>
      <w:r>
        <w:rPr>
          <w:kern w:val="0"/>
        </w:rPr>
        <w:t>have low international visibility</w:t>
      </w:r>
      <w:r w:rsidR="00A37C1D">
        <w:rPr>
          <w:kern w:val="0"/>
        </w:rPr>
        <w:t>. The</w:t>
      </w:r>
      <w:r>
        <w:rPr>
          <w:kern w:val="0"/>
        </w:rPr>
        <w:t xml:space="preserve"> patterns I present here can have important implications for optimizing</w:t>
      </w:r>
      <w:r w:rsidR="005853A9">
        <w:rPr>
          <w:kern w:val="0"/>
        </w:rPr>
        <w:t xml:space="preserve"> and </w:t>
      </w:r>
      <w:r>
        <w:rPr>
          <w:kern w:val="0"/>
        </w:rPr>
        <w:t>guiding research on Colombian biodiversity,</w:t>
      </w:r>
      <w:r w:rsidR="005853A9">
        <w:rPr>
          <w:kern w:val="0"/>
        </w:rPr>
        <w:t xml:space="preserve"> and </w:t>
      </w:r>
      <w:r>
        <w:rPr>
          <w:kern w:val="0"/>
        </w:rPr>
        <w:t>the paper concludes with some recommendations.</w:t>
      </w:r>
    </w:p>
    <w:p w:rsidR="00D83AB6" w:rsidRDefault="00D83AB6" w:rsidP="00D83AB6">
      <w:pPr>
        <w:pStyle w:val="a3"/>
        <w:rPr>
          <w:kern w:val="0"/>
        </w:rPr>
      </w:pPr>
      <w:r>
        <w:rPr>
          <w:kern w:val="0"/>
        </w:rPr>
        <w:t xml:space="preserve">Keywords: Analysis, Andes, Animals, Anthropogenic Edges, Article, Bibliometric, Bibliometric Analysis, Bibliometrics, Biodiversity, Cloud-Forest, Colombia, Conservation, Conservation Priorities, Coverage, Data Base, Database, Diversity, Ecological Research, Ecology, Environmental, Genetic, Genetic Diversity, Global, Illicit Crops, Institutions, International, Journals, Knowledge, Location, Long Term, </w:t>
      </w:r>
      <w:r>
        <w:rPr>
          <w:kern w:val="0"/>
        </w:rPr>
        <w:lastRenderedPageBreak/>
        <w:t>Long-Term, Mexico, Netherlands, Nov, Overlapping, Publications, Rain-Forest, Recommendations, Records, Regional, Research, Role, South America, Spatial-Analysis, Species, Species Richness, Taxon, Trend, Van, Visibility, Volume, Web</w:t>
      </w:r>
      <w:r w:rsidR="00427468">
        <w:rPr>
          <w:kern w:val="0"/>
        </w:rPr>
        <w:t xml:space="preserve"> of </w:t>
      </w:r>
      <w:r>
        <w:rPr>
          <w:kern w:val="0"/>
        </w:rPr>
        <w:t>Knowledge</w:t>
      </w:r>
    </w:p>
    <w:p w:rsidR="003474F2" w:rsidRPr="001A3D2B" w:rsidRDefault="003474F2" w:rsidP="003474F2">
      <w:pPr>
        <w:pStyle w:val="1"/>
      </w:pPr>
      <w:r w:rsidRPr="001A3D2B">
        <w:br w:type="page"/>
      </w:r>
      <w:bookmarkStart w:id="758" w:name="_Toc420814709"/>
      <w:r w:rsidRPr="001A3D2B">
        <w:lastRenderedPageBreak/>
        <w:t>Title: Bioelectrochemistry</w:t>
      </w:r>
      <w:bookmarkEnd w:id="758"/>
    </w:p>
    <w:p w:rsidR="006028E9" w:rsidRPr="00FC7835" w:rsidRDefault="006028E9" w:rsidP="006028E9">
      <w:pPr>
        <w:pStyle w:val="12"/>
      </w:pPr>
      <w:r w:rsidRPr="00FC7835">
        <w:t>Full Journal Title:</w:t>
      </w:r>
      <w:bookmarkStart w:id="759" w:name="_Toc30748137"/>
      <w:bookmarkStart w:id="760" w:name="_Toc43634542"/>
      <w:bookmarkStart w:id="761" w:name="_Toc81215638"/>
      <w:r w:rsidRPr="00FC7835">
        <w:t xml:space="preserve"> </w:t>
      </w:r>
      <w:r w:rsidR="00206C8A">
        <w:fldChar w:fldCharType="begin"/>
      </w:r>
      <w:r w:rsidR="00FD158B">
        <w:instrText>HYPERLINK "http://www.sc</w:instrText>
      </w:r>
      <w:bookmarkEnd w:id="759"/>
      <w:bookmarkEnd w:id="760"/>
      <w:bookmarkEnd w:id="761"/>
      <w:r w:rsidR="00FD158B">
        <w:instrText>iencedirect.com/science?_ob=JournalURL&amp;_cdi=6614&amp;_auth=y&amp;_acct=C000011279&amp;_version=1&amp;_urlVersion=0&amp;_userid=1134284&amp;md5=44c1cb79f746714deb64896ca8274884"</w:instrText>
      </w:r>
      <w:r w:rsidR="00206C8A">
        <w:fldChar w:fldCharType="separate"/>
      </w:r>
      <w:r w:rsidRPr="00FC7835">
        <w:rPr>
          <w:rStyle w:val="a5"/>
        </w:rPr>
        <w:t>Bioelectrochemistry</w:t>
      </w:r>
      <w:r w:rsidR="00206C8A">
        <w:fldChar w:fldCharType="end"/>
      </w:r>
    </w:p>
    <w:p w:rsidR="003474F2" w:rsidRPr="001A3D2B" w:rsidRDefault="003474F2" w:rsidP="003474F2">
      <w:pPr>
        <w:pStyle w:val="12"/>
      </w:pPr>
      <w:r w:rsidRPr="001A3D2B">
        <w:t>ISO Abbreviated Title: Bioelectrochemistry</w:t>
      </w:r>
    </w:p>
    <w:p w:rsidR="003474F2" w:rsidRPr="001A3D2B" w:rsidRDefault="003474F2" w:rsidP="003474F2">
      <w:pPr>
        <w:pStyle w:val="12"/>
      </w:pPr>
      <w:r w:rsidRPr="001A3D2B">
        <w:t>JCR Abbreviated Title: Bioelectrochemistry</w:t>
      </w:r>
    </w:p>
    <w:p w:rsidR="003474F2" w:rsidRPr="001A3D2B" w:rsidRDefault="003474F2" w:rsidP="003474F2">
      <w:pPr>
        <w:pStyle w:val="12"/>
      </w:pPr>
      <w:r w:rsidRPr="001A3D2B">
        <w:t>ISSN: 0302-4598</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Switzerland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Science SA</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564</w:t>
        </w:r>
      </w:smartTag>
      <w:r w:rsidRPr="001A3D2B">
        <w:t>, 1001 La</w:t>
      </w:r>
      <w:r w:rsidR="00D5664A">
        <w:t>USA</w:t>
      </w:r>
      <w:r w:rsidRPr="001A3D2B">
        <w:t xml:space="preserve">nne, </w:t>
      </w:r>
      <w:smartTag w:uri="urn:schemas-microsoft-com:office:smarttags" w:element="country-region">
        <w:r w:rsidRPr="001A3D2B">
          <w:t>Switzerland</w:t>
        </w:r>
      </w:smartTag>
    </w:p>
    <w:p w:rsidR="003474F2" w:rsidRPr="001A3D2B" w:rsidRDefault="003474F2" w:rsidP="003474F2">
      <w:pPr>
        <w:pStyle w:val="12"/>
      </w:pPr>
      <w:r w:rsidRPr="001A3D2B">
        <w:t>Subject Categories:</w:t>
      </w:r>
    </w:p>
    <w:p w:rsidR="003474F2" w:rsidRPr="001A3D2B" w:rsidRDefault="003474F2" w:rsidP="003474F2">
      <w:pPr>
        <w:pStyle w:val="12"/>
      </w:pPr>
      <w:r w:rsidRPr="001A3D2B">
        <w:t>Biochemistry &amp; Molecular Biology: Impact Factor 1.096,/(2001)</w:t>
      </w:r>
    </w:p>
    <w:p w:rsidR="003474F2" w:rsidRPr="001A3D2B" w:rsidRDefault="003474F2" w:rsidP="003474F2">
      <w:pPr>
        <w:pStyle w:val="12"/>
      </w:pPr>
      <w:r w:rsidRPr="001A3D2B">
        <w:t>Biology, Miscellaneous: Impact Factor 1.096,/(2001)</w:t>
      </w:r>
    </w:p>
    <w:p w:rsidR="003474F2" w:rsidRPr="001A3D2B" w:rsidRDefault="003474F2" w:rsidP="003474F2">
      <w:pPr>
        <w:pStyle w:val="12"/>
      </w:pPr>
      <w:r w:rsidRPr="001A3D2B">
        <w:t>Biophysics: Impact Factor 1.096,/(2001)</w:t>
      </w:r>
    </w:p>
    <w:p w:rsidR="003474F2" w:rsidRPr="001A3D2B" w:rsidRDefault="003474F2" w:rsidP="003474F2">
      <w:pPr>
        <w:pStyle w:val="a3"/>
      </w:pPr>
      <w:r w:rsidRPr="001A3D2B">
        <w:t>(1999), A Bibliometric Survey</w:t>
      </w:r>
      <w:r w:rsidR="00427468">
        <w:t xml:space="preserve"> of </w:t>
      </w:r>
      <w:r w:rsidRPr="001A3D2B">
        <w:t xml:space="preserve">Volumes 1–48. </w:t>
      </w:r>
      <w:r w:rsidRPr="001A3D2B">
        <w:rPr>
          <w:i/>
          <w:iCs/>
        </w:rPr>
        <w:t>Bioelectrochemistry</w:t>
      </w:r>
      <w:r w:rsidRPr="001A3D2B">
        <w:t xml:space="preserve">, </w:t>
      </w:r>
      <w:r w:rsidRPr="001A3D2B">
        <w:rPr>
          <w:b/>
          <w:bCs/>
        </w:rPr>
        <w:t>50</w:t>
      </w:r>
      <w:r w:rsidRPr="001A3D2B">
        <w:t xml:space="preserve"> (1-2), 1-17.</w:t>
      </w:r>
    </w:p>
    <w:p w:rsidR="003474F2" w:rsidRPr="001A3D2B" w:rsidRDefault="003474F2" w:rsidP="003474F2">
      <w:pPr>
        <w:pStyle w:val="a3"/>
      </w:pPr>
      <w:r w:rsidRPr="001A3D2B">
        <w:t xml:space="preserve">Full Text: </w:t>
      </w:r>
      <w:hyperlink r:id="rId1454" w:history="1">
        <w:r w:rsidRPr="001A3D2B">
          <w:rPr>
            <w:rStyle w:val="a5"/>
          </w:rPr>
          <w:t>1999\Bioelectrochemistry, 50, 1.pdf</w:t>
        </w:r>
      </w:hyperlink>
    </w:p>
    <w:p w:rsidR="003474F2" w:rsidRPr="001A3D2B" w:rsidRDefault="003474F2" w:rsidP="003474F2">
      <w:pPr>
        <w:pStyle w:val="1"/>
      </w:pPr>
      <w:r w:rsidRPr="001A3D2B">
        <w:br w:type="page"/>
      </w:r>
      <w:bookmarkStart w:id="762" w:name="_Toc420814710"/>
      <w:r w:rsidRPr="001A3D2B">
        <w:lastRenderedPageBreak/>
        <w:t>Title: Bioelectrochemistry</w:t>
      </w:r>
      <w:r w:rsidR="005853A9">
        <w:t xml:space="preserve"> and </w:t>
      </w:r>
      <w:r w:rsidRPr="001A3D2B">
        <w:t>Bioenergetics</w:t>
      </w:r>
      <w:bookmarkEnd w:id="762"/>
    </w:p>
    <w:p w:rsidR="003474F2" w:rsidRPr="001A3D2B" w:rsidRDefault="003474F2" w:rsidP="003474F2">
      <w:pPr>
        <w:pStyle w:val="12"/>
      </w:pPr>
      <w:r w:rsidRPr="001A3D2B">
        <w:t>F</w:t>
      </w:r>
      <w:bookmarkStart w:id="763" w:name="_Toc30655305"/>
      <w:bookmarkStart w:id="764" w:name="_Toc43634543"/>
      <w:bookmarkStart w:id="765" w:name="_Toc81215639"/>
      <w:r w:rsidRPr="001A3D2B">
        <w:t>ull Journal Title: Bioelectrochemistry</w:t>
      </w:r>
      <w:r w:rsidR="005853A9">
        <w:t xml:space="preserve"> and </w:t>
      </w:r>
      <w:r w:rsidRPr="001A3D2B">
        <w:t>B</w:t>
      </w:r>
      <w:bookmarkEnd w:id="763"/>
      <w:bookmarkEnd w:id="764"/>
      <w:bookmarkEnd w:id="765"/>
      <w:r w:rsidRPr="001A3D2B">
        <w:t>ioenergetics</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Schubert, A.P.</w:t>
      </w:r>
      <w:r w:rsidR="005853A9">
        <w:t xml:space="preserve"> and </w:t>
      </w:r>
      <w:r w:rsidRPr="001A3D2B">
        <w:t>Schubert, G.A. (1999), Bioelectrochemistry</w:t>
      </w:r>
      <w:r w:rsidR="005853A9">
        <w:t xml:space="preserve"> and </w:t>
      </w:r>
      <w:r w:rsidRPr="001A3D2B">
        <w:t>Bioenergetics: A bibliometric survey</w:t>
      </w:r>
      <w:r w:rsidR="00427468">
        <w:t xml:space="preserve"> of </w:t>
      </w:r>
      <w:r w:rsidRPr="001A3D2B">
        <w:t xml:space="preserve">volumes 1-48. </w:t>
      </w:r>
      <w:r w:rsidRPr="001A3D2B">
        <w:rPr>
          <w:i/>
          <w:iCs/>
        </w:rPr>
        <w:t>Bioelectrochemistry</w:t>
      </w:r>
      <w:r w:rsidR="005853A9">
        <w:rPr>
          <w:i/>
          <w:iCs/>
        </w:rPr>
        <w:t xml:space="preserve"> and </w:t>
      </w:r>
      <w:r w:rsidRPr="001A3D2B">
        <w:rPr>
          <w:i/>
          <w:iCs/>
        </w:rPr>
        <w:t>Bioenergetics</w:t>
      </w:r>
      <w:r w:rsidRPr="001A3D2B">
        <w:t xml:space="preserve">, </w:t>
      </w:r>
      <w:r w:rsidRPr="001A3D2B">
        <w:rPr>
          <w:b/>
          <w:bCs/>
        </w:rPr>
        <w:t>50</w:t>
      </w:r>
      <w:r w:rsidRPr="001A3D2B">
        <w:t xml:space="preserve"> (1-2), 1-17</w:t>
      </w:r>
    </w:p>
    <w:p w:rsidR="003474F2" w:rsidRPr="001A3D2B" w:rsidRDefault="003474F2" w:rsidP="003474F2">
      <w:pPr>
        <w:pStyle w:val="a3"/>
      </w:pPr>
      <w:r w:rsidRPr="001A3D2B">
        <w:t xml:space="preserve">(1999), </w:t>
      </w:r>
      <w:r w:rsidRPr="001A3D2B">
        <w:rPr>
          <w:szCs w:val="11"/>
        </w:rPr>
        <w:t>A bibliometric survey</w:t>
      </w:r>
      <w:r w:rsidR="00427468">
        <w:rPr>
          <w:szCs w:val="11"/>
        </w:rPr>
        <w:t xml:space="preserve"> of </w:t>
      </w:r>
      <w:r w:rsidRPr="001A3D2B">
        <w:rPr>
          <w:szCs w:val="11"/>
        </w:rPr>
        <w:t>volumes 1-48</w:t>
      </w:r>
      <w:r w:rsidRPr="001A3D2B">
        <w:t xml:space="preserve">. </w:t>
      </w:r>
      <w:r w:rsidRPr="001A3D2B">
        <w:rPr>
          <w:i/>
          <w:iCs/>
        </w:rPr>
        <w:t>Bioelectrochemistry</w:t>
      </w:r>
      <w:r w:rsidR="005853A9">
        <w:rPr>
          <w:i/>
          <w:iCs/>
        </w:rPr>
        <w:t xml:space="preserve"> and </w:t>
      </w:r>
      <w:r w:rsidRPr="001A3D2B">
        <w:rPr>
          <w:i/>
          <w:iCs/>
        </w:rPr>
        <w:t>Bioenergetics</w:t>
      </w:r>
      <w:r w:rsidRPr="001A3D2B">
        <w:t xml:space="preserve">, </w:t>
      </w:r>
      <w:r w:rsidRPr="001A3D2B">
        <w:rPr>
          <w:b/>
          <w:bCs/>
        </w:rPr>
        <w:t>50</w:t>
      </w:r>
      <w:r w:rsidRPr="001A3D2B">
        <w:t xml:space="preserve"> (1), </w:t>
      </w:r>
      <w:r w:rsidRPr="001A3D2B">
        <w:rPr>
          <w:szCs w:val="10"/>
        </w:rPr>
        <w:t>1-17</w:t>
      </w:r>
      <w:r w:rsidRPr="001A3D2B">
        <w:t>.</w:t>
      </w:r>
    </w:p>
    <w:p w:rsidR="003474F2" w:rsidRPr="001A3D2B" w:rsidRDefault="003474F2" w:rsidP="003474F2">
      <w:pPr>
        <w:pStyle w:val="a3"/>
      </w:pPr>
      <w:r w:rsidRPr="001A3D2B">
        <w:t xml:space="preserve">Full Text: </w:t>
      </w:r>
      <w:hyperlink r:id="rId1455" w:history="1">
        <w:r w:rsidRPr="001A3D2B">
          <w:rPr>
            <w:rStyle w:val="a5"/>
          </w:rPr>
          <w:t>1999\Bioe Bio50, 1.pdf</w:t>
        </w:r>
      </w:hyperlink>
    </w:p>
    <w:p w:rsidR="003474F2" w:rsidRPr="001A3D2B" w:rsidRDefault="003474F2" w:rsidP="003474F2">
      <w:pPr>
        <w:pStyle w:val="a3"/>
      </w:pPr>
      <w:r w:rsidRPr="001A3D2B">
        <w:t>(1999), Bioelectrochemistry</w:t>
      </w:r>
      <w:r w:rsidR="005853A9">
        <w:t xml:space="preserve"> and </w:t>
      </w:r>
      <w:r w:rsidRPr="001A3D2B">
        <w:t xml:space="preserve">Bioenergetics: Citation-based bibliography, 1975-1998. </w:t>
      </w:r>
      <w:r w:rsidRPr="001A3D2B">
        <w:rPr>
          <w:i/>
          <w:iCs/>
        </w:rPr>
        <w:t>Bioelectrochemistry</w:t>
      </w:r>
      <w:r w:rsidR="005853A9">
        <w:rPr>
          <w:i/>
          <w:iCs/>
        </w:rPr>
        <w:t xml:space="preserve"> and </w:t>
      </w:r>
      <w:r w:rsidRPr="001A3D2B">
        <w:rPr>
          <w:i/>
          <w:iCs/>
        </w:rPr>
        <w:t>Bioenergetics</w:t>
      </w:r>
      <w:r w:rsidRPr="001A3D2B">
        <w:t xml:space="preserve">, </w:t>
      </w:r>
      <w:r w:rsidRPr="001A3D2B">
        <w:rPr>
          <w:b/>
          <w:bCs/>
        </w:rPr>
        <w:t>50</w:t>
      </w:r>
      <w:r w:rsidRPr="001A3D2B">
        <w:t xml:space="preserve"> (1-2), 19-213.</w:t>
      </w:r>
    </w:p>
    <w:p w:rsidR="003474F2" w:rsidRPr="001A3D2B" w:rsidRDefault="003474F2" w:rsidP="003474F2">
      <w:pPr>
        <w:pStyle w:val="a3"/>
      </w:pPr>
      <w:r w:rsidRPr="001A3D2B">
        <w:t xml:space="preserve">Full Text: </w:t>
      </w:r>
      <w:hyperlink r:id="rId1456" w:history="1">
        <w:r w:rsidRPr="001A3D2B">
          <w:rPr>
            <w:rStyle w:val="a5"/>
          </w:rPr>
          <w:t>1999\Bioe Bio50, 19.pdf</w:t>
        </w:r>
      </w:hyperlink>
    </w:p>
    <w:p w:rsidR="00464632" w:rsidRPr="001A3D2B" w:rsidRDefault="00464632" w:rsidP="00464632">
      <w:pPr>
        <w:pStyle w:val="1"/>
      </w:pPr>
      <w:r>
        <w:br w:type="page"/>
      </w:r>
      <w:bookmarkStart w:id="766" w:name="_Toc420814711"/>
      <w:r>
        <w:lastRenderedPageBreak/>
        <w:t xml:space="preserve">Title: </w:t>
      </w:r>
      <w:r w:rsidRPr="00464632">
        <w:rPr>
          <w:szCs w:val="24"/>
        </w:rPr>
        <w:t>Bioessays</w:t>
      </w:r>
      <w:bookmarkEnd w:id="766"/>
    </w:p>
    <w:p w:rsidR="007A6AFC" w:rsidRPr="001A3D2B" w:rsidRDefault="007A6AFC" w:rsidP="007A6AFC">
      <w:pPr>
        <w:pStyle w:val="12"/>
      </w:pPr>
      <w:r w:rsidRPr="001A3D2B">
        <w:t xml:space="preserve">Full Journal Title: </w:t>
      </w:r>
      <w:hyperlink r:id="rId1457" w:history="1">
        <w:r w:rsidRPr="00284E83">
          <w:rPr>
            <w:rStyle w:val="a5"/>
            <w:iCs/>
            <w:kern w:val="0"/>
          </w:rPr>
          <w:t>Bioessays</w:t>
        </w:r>
      </w:hyperlink>
    </w:p>
    <w:p w:rsidR="00464632" w:rsidRPr="001A3D2B" w:rsidRDefault="00464632" w:rsidP="00464632">
      <w:pPr>
        <w:pStyle w:val="12"/>
      </w:pPr>
      <w:r w:rsidRPr="001A3D2B">
        <w:t xml:space="preserve">ISO Abbreviated Title: </w:t>
      </w:r>
    </w:p>
    <w:p w:rsidR="00464632" w:rsidRPr="001A3D2B" w:rsidRDefault="00464632" w:rsidP="00464632">
      <w:pPr>
        <w:pStyle w:val="12"/>
      </w:pPr>
      <w:r w:rsidRPr="001A3D2B">
        <w:t xml:space="preserve">JCR Abbreviated Title: </w:t>
      </w:r>
    </w:p>
    <w:p w:rsidR="00464632" w:rsidRPr="001A3D2B" w:rsidRDefault="00464632" w:rsidP="00464632">
      <w:pPr>
        <w:pStyle w:val="12"/>
      </w:pPr>
      <w:r w:rsidRPr="001A3D2B">
        <w:t xml:space="preserve">ISSN: </w:t>
      </w:r>
    </w:p>
    <w:p w:rsidR="00464632" w:rsidRPr="001A3D2B" w:rsidRDefault="00464632" w:rsidP="00464632">
      <w:pPr>
        <w:pStyle w:val="12"/>
      </w:pPr>
      <w:r w:rsidRPr="001A3D2B">
        <w:t xml:space="preserve">Issues/Year: </w:t>
      </w:r>
    </w:p>
    <w:p w:rsidR="00464632" w:rsidRPr="001A3D2B" w:rsidRDefault="00464632" w:rsidP="00464632">
      <w:pPr>
        <w:pStyle w:val="12"/>
      </w:pPr>
      <w:r w:rsidRPr="001A3D2B">
        <w:t xml:space="preserve">Journal Country/Territory: </w:t>
      </w:r>
    </w:p>
    <w:p w:rsidR="00464632" w:rsidRPr="001A3D2B" w:rsidRDefault="00464632" w:rsidP="00464632">
      <w:pPr>
        <w:pStyle w:val="12"/>
      </w:pPr>
      <w:r w:rsidRPr="001A3D2B">
        <w:t xml:space="preserve">Language: </w:t>
      </w:r>
    </w:p>
    <w:p w:rsidR="00464632" w:rsidRPr="001A3D2B" w:rsidRDefault="00464632" w:rsidP="00464632">
      <w:pPr>
        <w:pStyle w:val="12"/>
      </w:pPr>
      <w:r w:rsidRPr="001A3D2B">
        <w:t xml:space="preserve">Publisher: </w:t>
      </w:r>
    </w:p>
    <w:p w:rsidR="00464632" w:rsidRPr="001A3D2B" w:rsidRDefault="00464632" w:rsidP="00464632">
      <w:pPr>
        <w:pStyle w:val="12"/>
      </w:pPr>
      <w:r w:rsidRPr="001A3D2B">
        <w:t xml:space="preserve">Publisher Address: </w:t>
      </w:r>
    </w:p>
    <w:p w:rsidR="00464632" w:rsidRPr="001A3D2B" w:rsidRDefault="00464632" w:rsidP="00464632">
      <w:pPr>
        <w:pStyle w:val="12"/>
      </w:pPr>
      <w:r w:rsidRPr="001A3D2B">
        <w:t>Subject Categories:</w:t>
      </w:r>
    </w:p>
    <w:p w:rsidR="00464632" w:rsidRPr="001A3D2B" w:rsidRDefault="00464632" w:rsidP="00464632">
      <w:pPr>
        <w:pStyle w:val="12"/>
      </w:pPr>
      <w:r w:rsidRPr="001A3D2B">
        <w:t>: Impact Factor</w:t>
      </w:r>
    </w:p>
    <w:p w:rsidR="00464632" w:rsidRDefault="00464632" w:rsidP="00464632">
      <w:pPr>
        <w:pStyle w:val="a3"/>
        <w:rPr>
          <w:kern w:val="0"/>
          <w:szCs w:val="24"/>
        </w:rPr>
      </w:pPr>
      <w:r>
        <w:rPr>
          <w:rFonts w:hint="eastAsia"/>
          <w:kern w:val="0"/>
          <w:szCs w:val="24"/>
        </w:rPr>
        <w:t xml:space="preserve">? </w:t>
      </w:r>
      <w:r>
        <w:rPr>
          <w:kern w:val="0"/>
          <w:szCs w:val="24"/>
        </w:rPr>
        <w:t xml:space="preserve">Finch, A. (2010), Can we do better than existing author citation metrics? </w:t>
      </w:r>
      <w:r w:rsidRPr="00464632">
        <w:rPr>
          <w:i/>
          <w:iCs/>
          <w:kern w:val="0"/>
          <w:szCs w:val="24"/>
        </w:rPr>
        <w:t>Bioessays</w:t>
      </w:r>
      <w:r>
        <w:rPr>
          <w:kern w:val="0"/>
          <w:szCs w:val="24"/>
        </w:rPr>
        <w:t xml:space="preserve">, </w:t>
      </w:r>
      <w:r>
        <w:rPr>
          <w:b/>
          <w:bCs/>
          <w:kern w:val="0"/>
          <w:szCs w:val="24"/>
        </w:rPr>
        <w:t>32</w:t>
      </w:r>
      <w:r>
        <w:rPr>
          <w:kern w:val="0"/>
          <w:szCs w:val="24"/>
        </w:rPr>
        <w:t xml:space="preserve"> (9), 744-747</w:t>
      </w:r>
      <w:r>
        <w:rPr>
          <w:rFonts w:hint="eastAsia"/>
          <w:kern w:val="0"/>
          <w:szCs w:val="24"/>
        </w:rPr>
        <w:t>.</w:t>
      </w:r>
    </w:p>
    <w:p w:rsidR="00464632" w:rsidRDefault="00464632" w:rsidP="00464632">
      <w:pPr>
        <w:pStyle w:val="a3"/>
        <w:rPr>
          <w:kern w:val="0"/>
          <w:szCs w:val="24"/>
        </w:rPr>
      </w:pPr>
      <w:r>
        <w:rPr>
          <w:rFonts w:hint="eastAsia"/>
          <w:kern w:val="0"/>
          <w:szCs w:val="24"/>
        </w:rPr>
        <w:t xml:space="preserve">Full Text: </w:t>
      </w:r>
      <w:hyperlink r:id="rId1458" w:history="1">
        <w:r w:rsidRPr="00284E83">
          <w:rPr>
            <w:rStyle w:val="a5"/>
            <w:kern w:val="0"/>
            <w:szCs w:val="24"/>
          </w:rPr>
          <w:t>2010\Bioessays32, 744.pdf</w:t>
        </w:r>
      </w:hyperlink>
    </w:p>
    <w:p w:rsidR="00464632" w:rsidRDefault="00464632" w:rsidP="00464632">
      <w:pPr>
        <w:pStyle w:val="a3"/>
        <w:rPr>
          <w:kern w:val="0"/>
          <w:szCs w:val="24"/>
        </w:rPr>
      </w:pPr>
      <w:r>
        <w:rPr>
          <w:kern w:val="0"/>
          <w:szCs w:val="24"/>
        </w:rPr>
        <w:t xml:space="preserve">Keywords: Author, Bibliometrics, Citation, Citations, Google-Scholar, </w:t>
      </w:r>
      <w:r w:rsidR="00D5664A">
        <w:rPr>
          <w:rFonts w:hint="eastAsia"/>
          <w:kern w:val="0"/>
          <w:szCs w:val="24"/>
        </w:rPr>
        <w:t>h-Index</w:t>
      </w:r>
      <w:r>
        <w:rPr>
          <w:kern w:val="0"/>
          <w:szCs w:val="24"/>
        </w:rPr>
        <w:t xml:space="preserve">, </w:t>
      </w:r>
      <w:r w:rsidR="00D5664A">
        <w:rPr>
          <w:rFonts w:hint="eastAsia"/>
          <w:kern w:val="0"/>
          <w:szCs w:val="24"/>
        </w:rPr>
        <w:t>h-Index</w:t>
      </w:r>
      <w:r>
        <w:rPr>
          <w:kern w:val="0"/>
          <w:szCs w:val="24"/>
        </w:rPr>
        <w:t>, Journal Impact Factor, Science, Scopus, Snip, Variants, Web</w:t>
      </w:r>
    </w:p>
    <w:p w:rsidR="00074C18" w:rsidRPr="00FC7835" w:rsidRDefault="00074C18" w:rsidP="00074C18">
      <w:pPr>
        <w:pStyle w:val="1"/>
      </w:pPr>
      <w:r w:rsidRPr="00FC7835">
        <w:rPr>
          <w:b w:val="0"/>
        </w:rPr>
        <w:br w:type="page"/>
      </w:r>
      <w:bookmarkStart w:id="767" w:name="_Toc420814712"/>
      <w:r w:rsidRPr="00FC7835">
        <w:lastRenderedPageBreak/>
        <w:t xml:space="preserve">Title: </w:t>
      </w:r>
      <w:r w:rsidRPr="00F0504D">
        <w:rPr>
          <w:iCs w:val="0"/>
          <w:szCs w:val="24"/>
        </w:rPr>
        <w:t>Bioethics</w:t>
      </w:r>
      <w:bookmarkEnd w:id="767"/>
    </w:p>
    <w:p w:rsidR="00074C18" w:rsidRPr="002A2A17" w:rsidRDefault="00074C18" w:rsidP="00074C18">
      <w:pPr>
        <w:pStyle w:val="12"/>
      </w:pPr>
      <w:r w:rsidRPr="002A2A17">
        <w:t xml:space="preserve">Full Journal Title: </w:t>
      </w:r>
      <w:r w:rsidRPr="00F0504D">
        <w:rPr>
          <w:iCs/>
          <w:kern w:val="0"/>
        </w:rPr>
        <w:t>Bioethics</w:t>
      </w:r>
    </w:p>
    <w:p w:rsidR="00074C18" w:rsidRPr="002A2A17" w:rsidRDefault="00074C18" w:rsidP="00074C18">
      <w:pPr>
        <w:pStyle w:val="12"/>
      </w:pPr>
      <w:r w:rsidRPr="002A2A17">
        <w:t xml:space="preserve">ISO Abbreviated Title: </w:t>
      </w:r>
      <w:r w:rsidRPr="00F0504D">
        <w:rPr>
          <w:iCs/>
          <w:kern w:val="0"/>
        </w:rPr>
        <w:t>Bioethics</w:t>
      </w:r>
    </w:p>
    <w:p w:rsidR="00074C18" w:rsidRPr="002A2A17" w:rsidRDefault="00074C18" w:rsidP="00074C18">
      <w:pPr>
        <w:pStyle w:val="12"/>
      </w:pPr>
      <w:r w:rsidRPr="002A2A17">
        <w:t xml:space="preserve">JCR Abbreviated Title: </w:t>
      </w:r>
      <w:r w:rsidRPr="00F0504D">
        <w:rPr>
          <w:iCs/>
          <w:kern w:val="0"/>
        </w:rPr>
        <w:t>Bioethics</w:t>
      </w:r>
    </w:p>
    <w:p w:rsidR="00074C18" w:rsidRPr="002A2A17" w:rsidRDefault="00074C18" w:rsidP="00074C18">
      <w:pPr>
        <w:pStyle w:val="12"/>
      </w:pPr>
      <w:r w:rsidRPr="002A2A17">
        <w:t xml:space="preserve">ISSN: </w:t>
      </w:r>
    </w:p>
    <w:p w:rsidR="00074C18" w:rsidRPr="002A2A17" w:rsidRDefault="00074C18" w:rsidP="00074C18">
      <w:pPr>
        <w:pStyle w:val="12"/>
      </w:pPr>
      <w:r w:rsidRPr="002A2A17">
        <w:t xml:space="preserve">Issues/Year: </w:t>
      </w:r>
    </w:p>
    <w:p w:rsidR="00074C18" w:rsidRPr="002A2A17" w:rsidRDefault="00074C18" w:rsidP="00074C18">
      <w:pPr>
        <w:pStyle w:val="12"/>
      </w:pPr>
      <w:r w:rsidRPr="002A2A17">
        <w:t xml:space="preserve">Journal Country/Territory: </w:t>
      </w:r>
    </w:p>
    <w:p w:rsidR="00074C18" w:rsidRPr="002A2A17" w:rsidRDefault="00074C18" w:rsidP="00074C18">
      <w:pPr>
        <w:pStyle w:val="12"/>
      </w:pPr>
      <w:r w:rsidRPr="002A2A17">
        <w:t xml:space="preserve">Language: </w:t>
      </w:r>
    </w:p>
    <w:p w:rsidR="00074C18" w:rsidRPr="002A2A17" w:rsidRDefault="00074C18" w:rsidP="00074C18">
      <w:pPr>
        <w:pStyle w:val="12"/>
      </w:pPr>
      <w:r w:rsidRPr="002A2A17">
        <w:t xml:space="preserve">Publisher: </w:t>
      </w:r>
    </w:p>
    <w:p w:rsidR="00074C18" w:rsidRPr="002A2A17" w:rsidRDefault="00074C18" w:rsidP="00074C18">
      <w:pPr>
        <w:pStyle w:val="12"/>
      </w:pPr>
      <w:r w:rsidRPr="002A2A17">
        <w:t xml:space="preserve">Publisher Address: </w:t>
      </w:r>
    </w:p>
    <w:p w:rsidR="00074C18" w:rsidRPr="002A2A17" w:rsidRDefault="00074C18" w:rsidP="00074C18">
      <w:pPr>
        <w:pStyle w:val="12"/>
      </w:pPr>
      <w:r w:rsidRPr="002A2A17">
        <w:t xml:space="preserve">Subject Categories: </w:t>
      </w:r>
    </w:p>
    <w:p w:rsidR="00074C18" w:rsidRPr="002A2A17" w:rsidRDefault="00074C18" w:rsidP="00074C18">
      <w:pPr>
        <w:pStyle w:val="12"/>
      </w:pPr>
      <w:r w:rsidRPr="002A2A17">
        <w:t xml:space="preserve">: Impact Factor </w:t>
      </w:r>
    </w:p>
    <w:p w:rsidR="00074C18" w:rsidRDefault="00074C18" w:rsidP="00074C18">
      <w:pPr>
        <w:pStyle w:val="a3"/>
        <w:rPr>
          <w:kern w:val="0"/>
          <w:szCs w:val="24"/>
        </w:rPr>
      </w:pPr>
      <w:r>
        <w:rPr>
          <w:kern w:val="0"/>
          <w:szCs w:val="24"/>
        </w:rPr>
        <w:t>? Anekwe, T.D. (2010), Profits</w:t>
      </w:r>
      <w:r w:rsidR="005853A9">
        <w:rPr>
          <w:kern w:val="0"/>
          <w:szCs w:val="24"/>
        </w:rPr>
        <w:t xml:space="preserve"> and </w:t>
      </w:r>
      <w:r>
        <w:rPr>
          <w:kern w:val="0"/>
          <w:szCs w:val="24"/>
        </w:rPr>
        <w:t>plagiarism:</w:t>
      </w:r>
      <w:r w:rsidR="003A1917">
        <w:rPr>
          <w:kern w:val="0"/>
          <w:szCs w:val="24"/>
        </w:rPr>
        <w:t xml:space="preserve"> the </w:t>
      </w:r>
      <w:r>
        <w:rPr>
          <w:kern w:val="0"/>
          <w:szCs w:val="24"/>
        </w:rPr>
        <w:t>case</w:t>
      </w:r>
      <w:r w:rsidR="00427468">
        <w:rPr>
          <w:kern w:val="0"/>
          <w:szCs w:val="24"/>
        </w:rPr>
        <w:t xml:space="preserve"> of </w:t>
      </w:r>
      <w:r>
        <w:rPr>
          <w:kern w:val="0"/>
          <w:szCs w:val="24"/>
        </w:rPr>
        <w:t xml:space="preserve">medical ghostwriting. </w:t>
      </w:r>
      <w:r w:rsidRPr="00F0504D">
        <w:rPr>
          <w:i/>
          <w:iCs/>
          <w:kern w:val="0"/>
          <w:szCs w:val="24"/>
        </w:rPr>
        <w:t>Bioethics</w:t>
      </w:r>
      <w:r>
        <w:rPr>
          <w:kern w:val="0"/>
          <w:szCs w:val="24"/>
        </w:rPr>
        <w:t xml:space="preserve">, </w:t>
      </w:r>
      <w:r>
        <w:rPr>
          <w:b/>
          <w:bCs/>
          <w:kern w:val="0"/>
          <w:szCs w:val="24"/>
        </w:rPr>
        <w:t>24</w:t>
      </w:r>
      <w:r>
        <w:rPr>
          <w:kern w:val="0"/>
          <w:szCs w:val="24"/>
        </w:rPr>
        <w:t xml:space="preserve"> (6), 267-272.</w:t>
      </w:r>
    </w:p>
    <w:p w:rsidR="00074C18" w:rsidRDefault="00074C18" w:rsidP="00074C18">
      <w:pPr>
        <w:pStyle w:val="a3"/>
        <w:rPr>
          <w:kern w:val="0"/>
          <w:szCs w:val="24"/>
        </w:rPr>
      </w:pPr>
      <w:r>
        <w:rPr>
          <w:rFonts w:hint="eastAsia"/>
          <w:kern w:val="0"/>
          <w:szCs w:val="24"/>
        </w:rPr>
        <w:t xml:space="preserve">Full Text: </w:t>
      </w:r>
      <w:hyperlink r:id="rId1459" w:history="1">
        <w:r w:rsidRPr="00F0504D">
          <w:rPr>
            <w:rStyle w:val="a5"/>
            <w:kern w:val="0"/>
            <w:szCs w:val="24"/>
          </w:rPr>
          <w:t>2010\Bioethics24, 267.pdf</w:t>
        </w:r>
      </w:hyperlink>
    </w:p>
    <w:p w:rsidR="00074C18" w:rsidRDefault="00074C18" w:rsidP="00074C18">
      <w:pPr>
        <w:pStyle w:val="a3"/>
        <w:rPr>
          <w:kern w:val="0"/>
          <w:szCs w:val="24"/>
        </w:rPr>
      </w:pPr>
      <w:r>
        <w:rPr>
          <w:kern w:val="0"/>
          <w:szCs w:val="24"/>
        </w:rPr>
        <w:t>Abstract: This paper focuses on medical ghostwriting in</w:t>
      </w:r>
      <w:r w:rsidR="003A1917">
        <w:rPr>
          <w:kern w:val="0"/>
          <w:szCs w:val="24"/>
        </w:rPr>
        <w:t xml:space="preserve"> the </w:t>
      </w:r>
      <w:r>
        <w:rPr>
          <w:kern w:val="0"/>
          <w:szCs w:val="24"/>
        </w:rPr>
        <w:t>United States. I argue that medical ghostwriting often involves plagiarism and, in those cases, can be treated as an act</w:t>
      </w:r>
      <w:r w:rsidR="00427468">
        <w:rPr>
          <w:kern w:val="0"/>
          <w:szCs w:val="24"/>
        </w:rPr>
        <w:t xml:space="preserve"> of </w:t>
      </w:r>
      <w:r>
        <w:rPr>
          <w:kern w:val="0"/>
          <w:szCs w:val="24"/>
        </w:rPr>
        <w:t>research misconduct by both</w:t>
      </w:r>
      <w:r w:rsidR="003A1917">
        <w:rPr>
          <w:kern w:val="0"/>
          <w:szCs w:val="24"/>
        </w:rPr>
        <w:t xml:space="preserve"> the </w:t>
      </w:r>
      <w:r>
        <w:rPr>
          <w:kern w:val="0"/>
          <w:szCs w:val="24"/>
        </w:rPr>
        <w:t>federal government</w:t>
      </w:r>
      <w:r w:rsidR="005853A9">
        <w:rPr>
          <w:kern w:val="0"/>
          <w:szCs w:val="24"/>
        </w:rPr>
        <w:t xml:space="preserve"> and </w:t>
      </w:r>
      <w:r>
        <w:rPr>
          <w:kern w:val="0"/>
          <w:szCs w:val="24"/>
        </w:rPr>
        <w:t>research institutions. I also propose several anti-ghostwriting measures, including: 1) journals should implement guarantor policies so that researchers may be better held accountable for their work; 2) research institutions</w:t>
      </w:r>
      <w:r w:rsidR="005853A9">
        <w:rPr>
          <w:kern w:val="0"/>
          <w:szCs w:val="24"/>
        </w:rPr>
        <w:t xml:space="preserve"> and </w:t>
      </w:r>
      <w:r w:rsidR="003A1917">
        <w:rPr>
          <w:kern w:val="0"/>
          <w:szCs w:val="24"/>
        </w:rPr>
        <w:t xml:space="preserve">the </w:t>
      </w:r>
      <w:r>
        <w:rPr>
          <w:kern w:val="0"/>
          <w:szCs w:val="24"/>
        </w:rPr>
        <w:t>federal government should explicitly prohibit medical ghostwriting</w:t>
      </w:r>
      <w:r w:rsidR="005853A9">
        <w:rPr>
          <w:kern w:val="0"/>
          <w:szCs w:val="24"/>
        </w:rPr>
        <w:t xml:space="preserve"> and </w:t>
      </w:r>
      <w:r>
        <w:rPr>
          <w:kern w:val="0"/>
          <w:szCs w:val="24"/>
        </w:rPr>
        <w:t>outline appropriate penalties;</w:t>
      </w:r>
      <w:r w:rsidR="005853A9">
        <w:rPr>
          <w:kern w:val="0"/>
          <w:szCs w:val="24"/>
        </w:rPr>
        <w:t xml:space="preserve"> and </w:t>
      </w:r>
      <w:r>
        <w:rPr>
          <w:kern w:val="0"/>
          <w:szCs w:val="24"/>
        </w:rPr>
        <w:t>3) a publicly available database should be created to record researchers</w:t>
      </w:r>
      <w:r w:rsidR="00700038">
        <w:rPr>
          <w:kern w:val="0"/>
          <w:szCs w:val="24"/>
        </w:rPr>
        <w:t>’</w:t>
      </w:r>
      <w:r>
        <w:rPr>
          <w:kern w:val="0"/>
          <w:szCs w:val="24"/>
        </w:rPr>
        <w:t xml:space="preserve"> ethics violations.</w:t>
      </w:r>
    </w:p>
    <w:p w:rsidR="00074C18" w:rsidRDefault="00074C18" w:rsidP="00074C18">
      <w:pPr>
        <w:pStyle w:val="a3"/>
        <w:rPr>
          <w:kern w:val="0"/>
          <w:szCs w:val="24"/>
        </w:rPr>
      </w:pPr>
      <w:r>
        <w:rPr>
          <w:kern w:val="0"/>
          <w:szCs w:val="24"/>
        </w:rPr>
        <w:t>Keywords: Articles, Ethics, Ghostwriting, Honorary Authors, Industry, Journals, Medical Ethics, Pharmaceutical Companies, Pharmaceutical Companies, Plagiarism, Policies, Public Health, Research, Research Misconduct</w:t>
      </w:r>
    </w:p>
    <w:p w:rsidR="00074C18" w:rsidRDefault="00074C18" w:rsidP="00074C18">
      <w:pPr>
        <w:pStyle w:val="a3"/>
        <w:rPr>
          <w:kern w:val="0"/>
          <w:szCs w:val="24"/>
        </w:rPr>
      </w:pPr>
      <w:r>
        <w:rPr>
          <w:kern w:val="0"/>
          <w:szCs w:val="24"/>
        </w:rPr>
        <w:t>? Schüklenk, U. (2011), Publishing bioethics</w:t>
      </w:r>
      <w:r w:rsidR="005853A9">
        <w:rPr>
          <w:kern w:val="0"/>
          <w:szCs w:val="24"/>
        </w:rPr>
        <w:t xml:space="preserve"> and </w:t>
      </w:r>
      <w:r w:rsidRPr="00F0504D">
        <w:rPr>
          <w:i/>
          <w:kern w:val="0"/>
          <w:szCs w:val="24"/>
        </w:rPr>
        <w:t>Bioethics</w:t>
      </w:r>
      <w:r>
        <w:rPr>
          <w:kern w:val="0"/>
          <w:szCs w:val="24"/>
        </w:rPr>
        <w:t xml:space="preserve">- Reflections on academic publishing by a journal editor. </w:t>
      </w:r>
      <w:r>
        <w:rPr>
          <w:i/>
          <w:iCs/>
          <w:kern w:val="0"/>
          <w:szCs w:val="24"/>
        </w:rPr>
        <w:t>Bioethics</w:t>
      </w:r>
      <w:r>
        <w:rPr>
          <w:kern w:val="0"/>
          <w:szCs w:val="24"/>
        </w:rPr>
        <w:t xml:space="preserve">, </w:t>
      </w:r>
      <w:r>
        <w:rPr>
          <w:b/>
          <w:bCs/>
          <w:kern w:val="0"/>
          <w:szCs w:val="24"/>
        </w:rPr>
        <w:t>25</w:t>
      </w:r>
      <w:r>
        <w:rPr>
          <w:kern w:val="0"/>
          <w:szCs w:val="24"/>
        </w:rPr>
        <w:t xml:space="preserve"> (2), 57-61.</w:t>
      </w:r>
    </w:p>
    <w:p w:rsidR="00074C18" w:rsidRDefault="00074C18" w:rsidP="00074C18">
      <w:pPr>
        <w:pStyle w:val="a3"/>
        <w:rPr>
          <w:kern w:val="0"/>
          <w:szCs w:val="24"/>
        </w:rPr>
      </w:pPr>
      <w:r>
        <w:rPr>
          <w:rFonts w:hint="eastAsia"/>
          <w:kern w:val="0"/>
          <w:szCs w:val="24"/>
        </w:rPr>
        <w:t xml:space="preserve">Full Text: </w:t>
      </w:r>
      <w:hyperlink r:id="rId1460" w:history="1">
        <w:r w:rsidRPr="00F0504D">
          <w:rPr>
            <w:rStyle w:val="a5"/>
            <w:kern w:val="0"/>
            <w:szCs w:val="24"/>
          </w:rPr>
          <w:t>2011\Bioethics25, 57.pdf</w:t>
        </w:r>
      </w:hyperlink>
    </w:p>
    <w:p w:rsidR="00074C18" w:rsidRDefault="00074C18" w:rsidP="00074C18">
      <w:pPr>
        <w:pStyle w:val="a3"/>
        <w:rPr>
          <w:kern w:val="0"/>
          <w:szCs w:val="24"/>
        </w:rPr>
      </w:pPr>
      <w:r>
        <w:rPr>
          <w:kern w:val="0"/>
          <w:szCs w:val="24"/>
        </w:rPr>
        <w:t>Abstract: This article by one</w:t>
      </w:r>
      <w:r w:rsidR="00427468">
        <w:rPr>
          <w:kern w:val="0"/>
          <w:szCs w:val="24"/>
        </w:rPr>
        <w:t xml:space="preserve"> of </w:t>
      </w:r>
      <w:r w:rsidR="003A1917">
        <w:rPr>
          <w:kern w:val="0"/>
          <w:szCs w:val="24"/>
        </w:rPr>
        <w:t xml:space="preserve">the </w:t>
      </w:r>
      <w:r>
        <w:rPr>
          <w:kern w:val="0"/>
          <w:szCs w:val="24"/>
        </w:rPr>
        <w:t>Editors</w:t>
      </w:r>
      <w:r w:rsidR="00427468">
        <w:rPr>
          <w:kern w:val="0"/>
          <w:szCs w:val="24"/>
        </w:rPr>
        <w:t xml:space="preserve"> of </w:t>
      </w:r>
      <w:r>
        <w:rPr>
          <w:kern w:val="0"/>
          <w:szCs w:val="24"/>
        </w:rPr>
        <w:t>Bioethics, published in</w:t>
      </w:r>
      <w:r w:rsidR="003A1917">
        <w:rPr>
          <w:kern w:val="0"/>
          <w:szCs w:val="24"/>
        </w:rPr>
        <w:t xml:space="preserve"> the </w:t>
      </w:r>
      <w:r>
        <w:rPr>
          <w:kern w:val="0"/>
          <w:szCs w:val="24"/>
        </w:rPr>
        <w:t>25th anniversary issue</w:t>
      </w:r>
      <w:r w:rsidR="00427468">
        <w:rPr>
          <w:kern w:val="0"/>
          <w:szCs w:val="24"/>
        </w:rPr>
        <w:t xml:space="preserve"> of </w:t>
      </w:r>
      <w:r w:rsidR="003A1917">
        <w:rPr>
          <w:kern w:val="0"/>
          <w:szCs w:val="24"/>
        </w:rPr>
        <w:t xml:space="preserve">the </w:t>
      </w:r>
      <w:r>
        <w:rPr>
          <w:kern w:val="0"/>
          <w:szCs w:val="24"/>
        </w:rPr>
        <w:t>journal, describes some</w:t>
      </w:r>
      <w:r w:rsidR="00427468">
        <w:rPr>
          <w:kern w:val="0"/>
          <w:szCs w:val="24"/>
        </w:rPr>
        <w:t xml:space="preserve"> of </w:t>
      </w:r>
      <w:r w:rsidR="003A1917">
        <w:rPr>
          <w:kern w:val="0"/>
          <w:szCs w:val="24"/>
        </w:rPr>
        <w:t xml:space="preserve">the </w:t>
      </w:r>
      <w:r>
        <w:rPr>
          <w:kern w:val="0"/>
          <w:szCs w:val="24"/>
        </w:rPr>
        <w:t>revolutionary changes academic publishing has undergone during</w:t>
      </w:r>
      <w:r w:rsidR="003A1917">
        <w:rPr>
          <w:kern w:val="0"/>
          <w:szCs w:val="24"/>
        </w:rPr>
        <w:t xml:space="preserve"> the </w:t>
      </w:r>
      <w:r>
        <w:rPr>
          <w:kern w:val="0"/>
          <w:szCs w:val="24"/>
        </w:rPr>
        <w:t>last decades. Many humanities journals went from typically small print-runs, counting by</w:t>
      </w:r>
      <w:r w:rsidR="003A1917">
        <w:rPr>
          <w:kern w:val="0"/>
          <w:szCs w:val="24"/>
        </w:rPr>
        <w:t xml:space="preserve"> the </w:t>
      </w:r>
      <w:r>
        <w:rPr>
          <w:kern w:val="0"/>
          <w:szCs w:val="24"/>
        </w:rPr>
        <w:t>hundreds, to on-line availability in tho</w:t>
      </w:r>
      <w:r w:rsidR="00D5664A">
        <w:rPr>
          <w:kern w:val="0"/>
          <w:szCs w:val="24"/>
        </w:rPr>
        <w:t>USA</w:t>
      </w:r>
      <w:r>
        <w:rPr>
          <w:kern w:val="0"/>
          <w:szCs w:val="24"/>
        </w:rPr>
        <w:t>nds</w:t>
      </w:r>
      <w:r w:rsidR="00427468">
        <w:rPr>
          <w:kern w:val="0"/>
          <w:szCs w:val="24"/>
        </w:rPr>
        <w:t xml:space="preserve"> of </w:t>
      </w:r>
      <w:r>
        <w:rPr>
          <w:kern w:val="0"/>
          <w:szCs w:val="24"/>
        </w:rPr>
        <w:t>university libraries worldwide. Article up-take by our subscribers can be measured efficiently</w:t>
      </w:r>
      <w:r w:rsidR="00A37C1D">
        <w:rPr>
          <w:kern w:val="0"/>
          <w:szCs w:val="24"/>
        </w:rPr>
        <w:t>. The</w:t>
      </w:r>
      <w:r w:rsidR="003A1917">
        <w:rPr>
          <w:kern w:val="0"/>
          <w:szCs w:val="24"/>
        </w:rPr>
        <w:t xml:space="preserve"> </w:t>
      </w:r>
      <w:r>
        <w:rPr>
          <w:kern w:val="0"/>
          <w:szCs w:val="24"/>
        </w:rPr>
        <w:t>implications</w:t>
      </w:r>
      <w:r w:rsidR="00427468">
        <w:rPr>
          <w:kern w:val="0"/>
          <w:szCs w:val="24"/>
        </w:rPr>
        <w:t xml:space="preserve"> of </w:t>
      </w:r>
      <w:r>
        <w:rPr>
          <w:kern w:val="0"/>
          <w:szCs w:val="24"/>
        </w:rPr>
        <w:t>this</w:t>
      </w:r>
      <w:r w:rsidR="005853A9">
        <w:rPr>
          <w:kern w:val="0"/>
          <w:szCs w:val="24"/>
        </w:rPr>
        <w:t xml:space="preserve"> and </w:t>
      </w:r>
      <w:r>
        <w:rPr>
          <w:kern w:val="0"/>
          <w:szCs w:val="24"/>
        </w:rPr>
        <w:t xml:space="preserve">other changes to academic publishing are discussed. Important ethical challenges need to be </w:t>
      </w:r>
      <w:r>
        <w:rPr>
          <w:kern w:val="0"/>
          <w:szCs w:val="24"/>
        </w:rPr>
        <w:lastRenderedPageBreak/>
        <w:t>addressed in areas such as</w:t>
      </w:r>
      <w:r w:rsidR="003A1917">
        <w:rPr>
          <w:kern w:val="0"/>
          <w:szCs w:val="24"/>
        </w:rPr>
        <w:t xml:space="preserve"> the </w:t>
      </w:r>
      <w:r>
        <w:rPr>
          <w:kern w:val="0"/>
          <w:szCs w:val="24"/>
        </w:rPr>
        <w:t>enforcement</w:t>
      </w:r>
      <w:r w:rsidR="00427468">
        <w:rPr>
          <w:kern w:val="0"/>
          <w:szCs w:val="24"/>
        </w:rPr>
        <w:t xml:space="preserve"> of </w:t>
      </w:r>
      <w:r>
        <w:rPr>
          <w:kern w:val="0"/>
          <w:szCs w:val="24"/>
        </w:rPr>
        <w:t>plagiarism-related policies,</w:t>
      </w:r>
      <w:r w:rsidR="003A1917">
        <w:rPr>
          <w:kern w:val="0"/>
          <w:szCs w:val="24"/>
        </w:rPr>
        <w:t xml:space="preserve"> the </w:t>
      </w:r>
      <w:r>
        <w:rPr>
          <w:kern w:val="0"/>
          <w:szCs w:val="24"/>
        </w:rPr>
        <w:t xml:space="preserve">so-called </w:t>
      </w:r>
      <w:r w:rsidR="00700038">
        <w:rPr>
          <w:kern w:val="0"/>
          <w:szCs w:val="24"/>
        </w:rPr>
        <w:t>‘</w:t>
      </w:r>
      <w:r>
        <w:rPr>
          <w:kern w:val="0"/>
          <w:szCs w:val="24"/>
        </w:rPr>
        <w:t>impact factor</w:t>
      </w:r>
      <w:r w:rsidR="00700038">
        <w:rPr>
          <w:kern w:val="0"/>
          <w:szCs w:val="24"/>
        </w:rPr>
        <w:t>’</w:t>
      </w:r>
      <w:r w:rsidR="005853A9">
        <w:rPr>
          <w:kern w:val="0"/>
          <w:szCs w:val="24"/>
        </w:rPr>
        <w:t xml:space="preserve"> and </w:t>
      </w:r>
      <w:r>
        <w:rPr>
          <w:kern w:val="0"/>
          <w:szCs w:val="24"/>
        </w:rPr>
        <w:t>its impact on academic integrity,</w:t>
      </w:r>
      <w:r w:rsidR="005853A9">
        <w:rPr>
          <w:kern w:val="0"/>
          <w:szCs w:val="24"/>
        </w:rPr>
        <w:t xml:space="preserve"> and </w:t>
      </w:r>
      <w:r w:rsidR="003A1917">
        <w:rPr>
          <w:kern w:val="0"/>
          <w:szCs w:val="24"/>
        </w:rPr>
        <w:t xml:space="preserve">the </w:t>
      </w:r>
      <w:r>
        <w:rPr>
          <w:kern w:val="0"/>
          <w:szCs w:val="24"/>
        </w:rPr>
        <w:t>question</w:t>
      </w:r>
      <w:r w:rsidR="00427468">
        <w:rPr>
          <w:kern w:val="0"/>
          <w:szCs w:val="24"/>
        </w:rPr>
        <w:t xml:space="preserve"> of </w:t>
      </w:r>
      <w:r>
        <w:rPr>
          <w:kern w:val="0"/>
          <w:szCs w:val="24"/>
        </w:rPr>
        <w:t>whether on-line only publishing can currently guarantee</w:t>
      </w:r>
      <w:r w:rsidR="003A1917">
        <w:rPr>
          <w:kern w:val="0"/>
          <w:szCs w:val="24"/>
        </w:rPr>
        <w:t xml:space="preserve"> the </w:t>
      </w:r>
      <w:r>
        <w:rPr>
          <w:kern w:val="0"/>
          <w:szCs w:val="24"/>
        </w:rPr>
        <w:t>integrity</w:t>
      </w:r>
      <w:r w:rsidR="00427468">
        <w:rPr>
          <w:kern w:val="0"/>
          <w:szCs w:val="24"/>
        </w:rPr>
        <w:t xml:space="preserve"> of </w:t>
      </w:r>
      <w:r>
        <w:rPr>
          <w:kern w:val="0"/>
          <w:szCs w:val="24"/>
        </w:rPr>
        <w:t>academic publishing histories.</w:t>
      </w:r>
    </w:p>
    <w:p w:rsidR="00074C18" w:rsidRDefault="00074C18" w:rsidP="00074C18">
      <w:pPr>
        <w:pStyle w:val="a3"/>
        <w:rPr>
          <w:kern w:val="0"/>
          <w:szCs w:val="24"/>
        </w:rPr>
      </w:pPr>
      <w:r>
        <w:rPr>
          <w:kern w:val="0"/>
          <w:szCs w:val="24"/>
        </w:rPr>
        <w:t>Keywords: Academic Integrity, Digital Publishing, Impact Factor, Journal, Journals, Plagiarism, Policies, Publication Ethics, Publishing</w:t>
      </w:r>
    </w:p>
    <w:p w:rsidR="003474F2" w:rsidRPr="001A3D2B" w:rsidRDefault="003474F2" w:rsidP="003474F2">
      <w:pPr>
        <w:pStyle w:val="1"/>
      </w:pPr>
      <w:r w:rsidRPr="001A3D2B">
        <w:br w:type="page"/>
      </w:r>
      <w:bookmarkStart w:id="768" w:name="_Toc420814713"/>
      <w:r w:rsidRPr="001A3D2B">
        <w:lastRenderedPageBreak/>
        <w:t>Title: Biofutur</w:t>
      </w:r>
      <w:bookmarkEnd w:id="768"/>
    </w:p>
    <w:p w:rsidR="005F6251" w:rsidRPr="001A3D2B" w:rsidRDefault="005F6251" w:rsidP="005F6251">
      <w:pPr>
        <w:pStyle w:val="12"/>
      </w:pPr>
      <w:r w:rsidRPr="001A3D2B">
        <w:t xml:space="preserve">Full Journal Title: </w:t>
      </w:r>
      <w:r w:rsidR="00206C8A">
        <w:fldChar w:fldCharType="begin"/>
      </w:r>
      <w:r w:rsidR="00FD158B">
        <w:instrText>HYPERLINK</w:instrText>
      </w:r>
      <w:bookmarkStart w:id="769" w:name="_Toc81215640"/>
      <w:r w:rsidR="00FD158B">
        <w:instrText xml:space="preserve"> "http://www.sc</w:instrText>
      </w:r>
      <w:bookmarkEnd w:id="769"/>
      <w:r w:rsidR="00FD158B">
        <w:instrText>iencedirect.com/science?_ob=JournalURL&amp;_cdi=6126&amp;_auth=y&amp;_acct=C000011279&amp;_version=1&amp;_urlVersion=0&amp;_userid=1134284&amp;md5=1dab155b247f6aa3a973d5ca10f3a6e9"</w:instrText>
      </w:r>
      <w:r w:rsidR="00206C8A">
        <w:fldChar w:fldCharType="separate"/>
      </w:r>
      <w:r w:rsidRPr="001A3D2B">
        <w:rPr>
          <w:rStyle w:val="a5"/>
        </w:rPr>
        <w:t>Biofutur</w:t>
      </w:r>
      <w:r w:rsidR="00206C8A">
        <w:fldChar w:fldCharType="end"/>
      </w:r>
    </w:p>
    <w:p w:rsidR="005F6251" w:rsidRPr="001A3D2B" w:rsidRDefault="005F6251" w:rsidP="005F6251">
      <w:pPr>
        <w:pStyle w:val="12"/>
      </w:pPr>
      <w:r w:rsidRPr="001A3D2B">
        <w:t>ISO Abbreviated Title: Biofutur</w:t>
      </w:r>
    </w:p>
    <w:p w:rsidR="005F6251" w:rsidRPr="001A3D2B" w:rsidRDefault="005F6251" w:rsidP="005F6251">
      <w:pPr>
        <w:pStyle w:val="12"/>
      </w:pPr>
      <w:r w:rsidRPr="001A3D2B">
        <w:t>JCR Abbreviated Title: Biofutur</w:t>
      </w:r>
    </w:p>
    <w:p w:rsidR="005F6251" w:rsidRPr="001A3D2B" w:rsidRDefault="005F6251" w:rsidP="005F6251">
      <w:pPr>
        <w:pStyle w:val="12"/>
      </w:pPr>
      <w:r w:rsidRPr="001A3D2B">
        <w:t>ISSN: 0294-3506</w:t>
      </w:r>
    </w:p>
    <w:p w:rsidR="005F6251" w:rsidRPr="001A3D2B" w:rsidRDefault="005F6251" w:rsidP="005F6251">
      <w:pPr>
        <w:pStyle w:val="12"/>
      </w:pPr>
      <w:r w:rsidRPr="001A3D2B">
        <w:t xml:space="preserve">Issues/Year: </w:t>
      </w:r>
    </w:p>
    <w:p w:rsidR="005F6251" w:rsidRPr="001A3D2B" w:rsidRDefault="005F6251" w:rsidP="005F6251">
      <w:pPr>
        <w:pStyle w:val="12"/>
      </w:pPr>
      <w:r w:rsidRPr="001A3D2B">
        <w:t xml:space="preserve">Journal Country/Territory: </w:t>
      </w:r>
    </w:p>
    <w:p w:rsidR="005F6251" w:rsidRPr="001A3D2B" w:rsidRDefault="005F6251" w:rsidP="005F6251">
      <w:pPr>
        <w:pStyle w:val="12"/>
      </w:pPr>
      <w:r w:rsidRPr="001A3D2B">
        <w:t xml:space="preserve">Language: </w:t>
      </w:r>
    </w:p>
    <w:p w:rsidR="005F6251" w:rsidRPr="001A3D2B" w:rsidRDefault="005F6251" w:rsidP="005F6251">
      <w:pPr>
        <w:pStyle w:val="12"/>
      </w:pPr>
      <w:r w:rsidRPr="001A3D2B">
        <w:t xml:space="preserve">Publisher: </w:t>
      </w:r>
    </w:p>
    <w:p w:rsidR="005F6251" w:rsidRPr="001A3D2B" w:rsidRDefault="005F6251" w:rsidP="005F6251">
      <w:pPr>
        <w:pStyle w:val="12"/>
      </w:pPr>
      <w:r w:rsidRPr="001A3D2B">
        <w:t xml:space="preserve">Publisher Address: </w:t>
      </w:r>
    </w:p>
    <w:p w:rsidR="005F6251" w:rsidRPr="001A3D2B" w:rsidRDefault="005F6251" w:rsidP="005F6251">
      <w:pPr>
        <w:pStyle w:val="12"/>
      </w:pPr>
      <w:r w:rsidRPr="001A3D2B">
        <w:t xml:space="preserve">Subject Categories: </w:t>
      </w:r>
    </w:p>
    <w:p w:rsidR="005F6251" w:rsidRPr="001A3D2B" w:rsidRDefault="005F6251" w:rsidP="005F6251">
      <w:pPr>
        <w:pStyle w:val="12"/>
      </w:pPr>
      <w:r w:rsidRPr="001A3D2B">
        <w:t xml:space="preserve">: Impact Factor </w:t>
      </w:r>
    </w:p>
    <w:p w:rsidR="003474F2" w:rsidRPr="001A3D2B" w:rsidRDefault="003474F2" w:rsidP="003474F2">
      <w:pPr>
        <w:pStyle w:val="a3"/>
      </w:pPr>
      <w:r w:rsidRPr="001A3D2B">
        <w:t>Notes: TTopic</w:t>
      </w:r>
    </w:p>
    <w:p w:rsidR="005F6251" w:rsidRPr="001A3D2B" w:rsidRDefault="005F6251" w:rsidP="005F6251">
      <w:pPr>
        <w:pStyle w:val="a3"/>
      </w:pPr>
      <w:r w:rsidRPr="001A3D2B">
        <w:t xml:space="preserve">? Filliatreau, G. (2003), Life sciences in </w:t>
      </w:r>
      <w:smartTag w:uri="urn:schemas-microsoft-com:office:smarttags" w:element="place">
        <w:smartTag w:uri="urn:schemas-microsoft-com:office:smarttags" w:element="country-region">
          <w:r w:rsidRPr="001A3D2B">
            <w:t>France</w:t>
          </w:r>
        </w:smartTag>
      </w:smartTag>
      <w:r w:rsidRPr="001A3D2B">
        <w:t>: Elements</w:t>
      </w:r>
      <w:r w:rsidR="00427468">
        <w:t xml:space="preserve"> of </w:t>
      </w:r>
      <w:r w:rsidRPr="001A3D2B">
        <w:t xml:space="preserve">a bibliometric analysis. </w:t>
      </w:r>
      <w:r w:rsidRPr="001A3D2B">
        <w:rPr>
          <w:i/>
          <w:iCs/>
        </w:rPr>
        <w:t>Biofutur</w:t>
      </w:r>
      <w:r w:rsidRPr="001A3D2B">
        <w:t xml:space="preserve">, </w:t>
      </w:r>
      <w:r w:rsidRPr="001A3D2B">
        <w:rPr>
          <w:b/>
        </w:rPr>
        <w:t>232</w:t>
      </w:r>
      <w:r w:rsidRPr="001A3D2B">
        <w:t>, 43-49.</w:t>
      </w:r>
    </w:p>
    <w:p w:rsidR="005F6251" w:rsidRPr="001A3D2B" w:rsidRDefault="005F6251" w:rsidP="005F6251">
      <w:pPr>
        <w:pStyle w:val="a3"/>
      </w:pPr>
      <w:r w:rsidRPr="001A3D2B">
        <w:t xml:space="preserve">Full Text: </w:t>
      </w:r>
      <w:r w:rsidR="00696D4A">
        <w:rPr>
          <w:rFonts w:hint="eastAsia"/>
        </w:rPr>
        <w:t>2003\</w:t>
      </w:r>
      <w:r w:rsidRPr="001A3D2B">
        <w:t>Biofutur232, 43.pdf</w:t>
      </w:r>
    </w:p>
    <w:p w:rsidR="005F6251" w:rsidRPr="001A3D2B" w:rsidRDefault="005F6251" w:rsidP="005F6251">
      <w:pPr>
        <w:pStyle w:val="a3"/>
        <w:rPr>
          <w:kern w:val="0"/>
          <w:szCs w:val="24"/>
        </w:rPr>
      </w:pPr>
      <w:r w:rsidRPr="001A3D2B">
        <w:rPr>
          <w:kern w:val="0"/>
          <w:szCs w:val="24"/>
        </w:rPr>
        <w:t>Keywords: Bibliometric, Bibliometric Analysis, Sciences</w:t>
      </w:r>
    </w:p>
    <w:p w:rsidR="009B3E94" w:rsidRPr="00FC7835" w:rsidRDefault="009B3E94" w:rsidP="009B3E94">
      <w:pPr>
        <w:pStyle w:val="1"/>
      </w:pPr>
      <w:r w:rsidRPr="00FC7835">
        <w:rPr>
          <w:b w:val="0"/>
        </w:rPr>
        <w:br w:type="page"/>
      </w:r>
      <w:bookmarkStart w:id="770" w:name="_Toc420814714"/>
      <w:r w:rsidRPr="00FC7835">
        <w:lastRenderedPageBreak/>
        <w:t>Title: Bioinformatics</w:t>
      </w:r>
      <w:bookmarkEnd w:id="770"/>
    </w:p>
    <w:p w:rsidR="009B3E94" w:rsidRDefault="009B3E94" w:rsidP="009B3E94">
      <w:pPr>
        <w:pStyle w:val="12"/>
      </w:pPr>
      <w:r w:rsidRPr="00FC7835">
        <w:t xml:space="preserve">Full Journal Title: </w:t>
      </w:r>
      <w:r w:rsidR="00206C8A">
        <w:fldChar w:fldCharType="begin"/>
      </w:r>
      <w:r w:rsidR="00FD158B">
        <w:instrText>HYP</w:instrText>
      </w:r>
      <w:bookmarkStart w:id="771" w:name="_Toc293440607"/>
      <w:r w:rsidR="00FD158B">
        <w:instrText>ERLINK "http://bioinf</w:instrText>
      </w:r>
      <w:bookmarkEnd w:id="771"/>
      <w:r w:rsidR="00FD158B">
        <w:instrText>ormatics.oupjournals.org/"</w:instrText>
      </w:r>
      <w:r w:rsidR="00206C8A">
        <w:fldChar w:fldCharType="separate"/>
      </w:r>
      <w:r w:rsidRPr="00FC7835">
        <w:rPr>
          <w:rStyle w:val="a5"/>
        </w:rPr>
        <w:t>Bioinformatics</w:t>
      </w:r>
      <w:r w:rsidR="00206C8A">
        <w:fldChar w:fldCharType="end"/>
      </w:r>
    </w:p>
    <w:p w:rsidR="009B3E94" w:rsidRPr="002A2A17" w:rsidRDefault="009B3E94" w:rsidP="009B3E94">
      <w:pPr>
        <w:pStyle w:val="12"/>
      </w:pPr>
      <w:r w:rsidRPr="002A2A17">
        <w:t xml:space="preserve">ISO Abbreviated Title: </w:t>
      </w:r>
      <w:r w:rsidRPr="00FC7835">
        <w:t>Bioinformatics</w:t>
      </w:r>
    </w:p>
    <w:p w:rsidR="009B3E94" w:rsidRPr="002A2A17" w:rsidRDefault="009B3E94" w:rsidP="009B3E94">
      <w:pPr>
        <w:pStyle w:val="12"/>
      </w:pPr>
      <w:r w:rsidRPr="002A2A17">
        <w:t xml:space="preserve">JCR Abbreviated Title: </w:t>
      </w:r>
      <w:r w:rsidRPr="00FC7835">
        <w:t>Bioinformatics</w:t>
      </w:r>
    </w:p>
    <w:p w:rsidR="009B3E94" w:rsidRPr="002A2A17" w:rsidRDefault="009B3E94" w:rsidP="009B3E94">
      <w:pPr>
        <w:pStyle w:val="12"/>
      </w:pPr>
      <w:r w:rsidRPr="002A2A17">
        <w:t>ISSN: 1367-4803</w:t>
      </w:r>
    </w:p>
    <w:p w:rsidR="009B3E94" w:rsidRPr="002A2A17" w:rsidRDefault="009B3E94" w:rsidP="009B3E94">
      <w:pPr>
        <w:pStyle w:val="12"/>
      </w:pPr>
      <w:r w:rsidRPr="002A2A17">
        <w:t xml:space="preserve">Issues/Year: </w:t>
      </w:r>
    </w:p>
    <w:p w:rsidR="009B3E94" w:rsidRPr="002A2A17" w:rsidRDefault="009B3E94" w:rsidP="009B3E94">
      <w:pPr>
        <w:pStyle w:val="12"/>
      </w:pPr>
      <w:r w:rsidRPr="002A2A17">
        <w:t xml:space="preserve">Journal Country/Territory: </w:t>
      </w:r>
    </w:p>
    <w:p w:rsidR="009B3E94" w:rsidRPr="002A2A17" w:rsidRDefault="009B3E94" w:rsidP="009B3E94">
      <w:pPr>
        <w:pStyle w:val="12"/>
      </w:pPr>
      <w:r w:rsidRPr="002A2A17">
        <w:t xml:space="preserve">Language: </w:t>
      </w:r>
    </w:p>
    <w:p w:rsidR="009B3E94" w:rsidRPr="002A2A17" w:rsidRDefault="009B3E94" w:rsidP="009B3E94">
      <w:pPr>
        <w:pStyle w:val="12"/>
      </w:pPr>
      <w:r w:rsidRPr="002A2A17">
        <w:t xml:space="preserve">Publisher: </w:t>
      </w:r>
    </w:p>
    <w:p w:rsidR="009B3E94" w:rsidRPr="002A2A17" w:rsidRDefault="009B3E94" w:rsidP="009B3E94">
      <w:pPr>
        <w:pStyle w:val="12"/>
      </w:pPr>
      <w:r w:rsidRPr="002A2A17">
        <w:t xml:space="preserve">Publisher Address: </w:t>
      </w:r>
    </w:p>
    <w:p w:rsidR="009B3E94" w:rsidRPr="002A2A17" w:rsidRDefault="009B3E94" w:rsidP="009B3E94">
      <w:pPr>
        <w:pStyle w:val="12"/>
      </w:pPr>
      <w:r w:rsidRPr="002A2A17">
        <w:t xml:space="preserve">Subject Categories: </w:t>
      </w:r>
    </w:p>
    <w:p w:rsidR="009B3E94" w:rsidRPr="002A2A17" w:rsidRDefault="009B3E94" w:rsidP="009B3E94">
      <w:pPr>
        <w:pStyle w:val="12"/>
      </w:pPr>
      <w:r w:rsidRPr="002A2A17">
        <w:t xml:space="preserve">: Impact Factor </w:t>
      </w:r>
    </w:p>
    <w:p w:rsidR="009B3E94" w:rsidRDefault="009B3E94" w:rsidP="009B3E94">
      <w:pPr>
        <w:pStyle w:val="a3"/>
        <w:rPr>
          <w:kern w:val="0"/>
          <w:szCs w:val="24"/>
        </w:rPr>
      </w:pPr>
      <w:r>
        <w:rPr>
          <w:kern w:val="0"/>
          <w:szCs w:val="24"/>
        </w:rPr>
        <w:t>? Errami, M., Sun, Z.H., George, A.C., Long, T.C., Skinner, M.A., Wren, J.D.</w:t>
      </w:r>
      <w:r w:rsidR="005853A9">
        <w:rPr>
          <w:kern w:val="0"/>
          <w:szCs w:val="24"/>
        </w:rPr>
        <w:t xml:space="preserve"> and </w:t>
      </w:r>
      <w:r>
        <w:rPr>
          <w:kern w:val="0"/>
          <w:szCs w:val="24"/>
        </w:rPr>
        <w:t xml:space="preserve">Garner, H.R. (2010), Identifying duplicate content using statistically improbable phrases. </w:t>
      </w:r>
      <w:r>
        <w:rPr>
          <w:i/>
          <w:iCs/>
          <w:kern w:val="0"/>
          <w:szCs w:val="24"/>
        </w:rPr>
        <w:t>Bioinformatics</w:t>
      </w:r>
      <w:r>
        <w:rPr>
          <w:kern w:val="0"/>
          <w:szCs w:val="24"/>
        </w:rPr>
        <w:t xml:space="preserve">, </w:t>
      </w:r>
      <w:r>
        <w:rPr>
          <w:b/>
          <w:bCs/>
          <w:kern w:val="0"/>
          <w:szCs w:val="24"/>
        </w:rPr>
        <w:t>26</w:t>
      </w:r>
      <w:r>
        <w:rPr>
          <w:kern w:val="0"/>
          <w:szCs w:val="24"/>
        </w:rPr>
        <w:t xml:space="preserve"> (11), 1453-1457.</w:t>
      </w:r>
    </w:p>
    <w:p w:rsidR="009B3E94" w:rsidRPr="00FC7835" w:rsidRDefault="009B3E94" w:rsidP="009B3E94">
      <w:pPr>
        <w:pStyle w:val="a3"/>
        <w:rPr>
          <w:iCs/>
        </w:rPr>
      </w:pPr>
      <w:r>
        <w:t>Full Text:</w:t>
      </w:r>
      <w:r>
        <w:rPr>
          <w:rFonts w:hint="eastAsia"/>
        </w:rPr>
        <w:t xml:space="preserve"> </w:t>
      </w:r>
      <w:hyperlink r:id="rId1461" w:history="1">
        <w:r w:rsidRPr="009B3E94">
          <w:rPr>
            <w:rStyle w:val="a5"/>
          </w:rPr>
          <w:t>2010\Bioinformatics26, 1453.pdf</w:t>
        </w:r>
      </w:hyperlink>
    </w:p>
    <w:p w:rsidR="009B3E94" w:rsidRDefault="009B3E94" w:rsidP="009B3E94">
      <w:pPr>
        <w:pStyle w:val="a3"/>
        <w:rPr>
          <w:kern w:val="0"/>
          <w:szCs w:val="24"/>
        </w:rPr>
      </w:pPr>
      <w:r>
        <w:rPr>
          <w:kern w:val="0"/>
          <w:szCs w:val="24"/>
        </w:rPr>
        <w:t xml:space="preserve">Abstract: Motivation: Document similarity metrics such as </w:t>
      </w:r>
      <w:r w:rsidR="002C12F0">
        <w:rPr>
          <w:kern w:val="0"/>
          <w:szCs w:val="24"/>
        </w:rPr>
        <w:t>PUBMED</w:t>
      </w:r>
      <w:r w:rsidR="00700038">
        <w:rPr>
          <w:kern w:val="0"/>
          <w:szCs w:val="24"/>
        </w:rPr>
        <w:t>’</w:t>
      </w:r>
      <w:r w:rsidR="00C13DDC">
        <w:rPr>
          <w:kern w:val="0"/>
          <w:szCs w:val="24"/>
        </w:rPr>
        <w:t>s</w:t>
      </w:r>
      <w:r>
        <w:rPr>
          <w:kern w:val="0"/>
          <w:szCs w:val="24"/>
        </w:rPr>
        <w:t xml:space="preserve"> </w:t>
      </w:r>
      <w:r w:rsidR="00700038">
        <w:rPr>
          <w:kern w:val="0"/>
          <w:szCs w:val="24"/>
        </w:rPr>
        <w:t>‘</w:t>
      </w:r>
      <w:r>
        <w:rPr>
          <w:kern w:val="0"/>
          <w:szCs w:val="24"/>
        </w:rPr>
        <w:t>Find related articles</w:t>
      </w:r>
      <w:r w:rsidR="00700038">
        <w:rPr>
          <w:kern w:val="0"/>
          <w:szCs w:val="24"/>
        </w:rPr>
        <w:t>’</w:t>
      </w:r>
      <w:r>
        <w:rPr>
          <w:kern w:val="0"/>
          <w:szCs w:val="24"/>
        </w:rPr>
        <w:t xml:space="preserve"> feature, which have been primarily used to identify studies with similar topics, can now also be used to detect duplicated or potentially plagiarized papers within literature reference databases. However,</w:t>
      </w:r>
      <w:r w:rsidR="003A1917">
        <w:rPr>
          <w:kern w:val="0"/>
          <w:szCs w:val="24"/>
        </w:rPr>
        <w:t xml:space="preserve"> the </w:t>
      </w:r>
      <w:r>
        <w:rPr>
          <w:kern w:val="0"/>
          <w:szCs w:val="24"/>
        </w:rPr>
        <w:t>CPU-intensive nature</w:t>
      </w:r>
      <w:r w:rsidR="00427468">
        <w:rPr>
          <w:kern w:val="0"/>
          <w:szCs w:val="24"/>
        </w:rPr>
        <w:t xml:space="preserve"> of </w:t>
      </w:r>
      <w:r>
        <w:rPr>
          <w:kern w:val="0"/>
          <w:szCs w:val="24"/>
        </w:rPr>
        <w:t xml:space="preserve">document comparison has limited </w:t>
      </w:r>
      <w:r w:rsidR="00D5664A">
        <w:rPr>
          <w:kern w:val="0"/>
          <w:szCs w:val="24"/>
        </w:rPr>
        <w:t>MEDLINE</w:t>
      </w:r>
      <w:r>
        <w:rPr>
          <w:kern w:val="0"/>
          <w:szCs w:val="24"/>
        </w:rPr>
        <w:t xml:space="preserve"> text similarity studies to</w:t>
      </w:r>
      <w:r w:rsidR="003A1917">
        <w:rPr>
          <w:kern w:val="0"/>
          <w:szCs w:val="24"/>
        </w:rPr>
        <w:t xml:space="preserve"> the </w:t>
      </w:r>
      <w:r>
        <w:rPr>
          <w:kern w:val="0"/>
          <w:szCs w:val="24"/>
        </w:rPr>
        <w:t>comparison</w:t>
      </w:r>
      <w:r w:rsidR="00427468">
        <w:rPr>
          <w:kern w:val="0"/>
          <w:szCs w:val="24"/>
        </w:rPr>
        <w:t xml:space="preserve"> of </w:t>
      </w:r>
      <w:r>
        <w:rPr>
          <w:kern w:val="0"/>
          <w:szCs w:val="24"/>
        </w:rPr>
        <w:t>abstracts, which constitute only a small fraction</w:t>
      </w:r>
      <w:r w:rsidR="00427468">
        <w:rPr>
          <w:kern w:val="0"/>
          <w:szCs w:val="24"/>
        </w:rPr>
        <w:t xml:space="preserve"> of </w:t>
      </w:r>
      <w:r>
        <w:rPr>
          <w:kern w:val="0"/>
          <w:szCs w:val="24"/>
        </w:rPr>
        <w:t>a publication</w:t>
      </w:r>
      <w:r w:rsidR="00700038">
        <w:rPr>
          <w:kern w:val="0"/>
          <w:szCs w:val="24"/>
        </w:rPr>
        <w:t>’</w:t>
      </w:r>
      <w:r w:rsidR="00C13DDC">
        <w:rPr>
          <w:kern w:val="0"/>
          <w:szCs w:val="24"/>
        </w:rPr>
        <w:t>s</w:t>
      </w:r>
      <w:r>
        <w:rPr>
          <w:kern w:val="0"/>
          <w:szCs w:val="24"/>
        </w:rPr>
        <w:t xml:space="preserve"> total text. Extending searches to include text archived by online search engines would drastically increase comparison ability. For large-scale studies, submitting short phrases encased in direct quotes to search engines for exact matches would be optimal for both individual queries</w:t>
      </w:r>
      <w:r w:rsidR="005853A9">
        <w:rPr>
          <w:kern w:val="0"/>
          <w:szCs w:val="24"/>
        </w:rPr>
        <w:t xml:space="preserve"> and </w:t>
      </w:r>
      <w:r>
        <w:rPr>
          <w:kern w:val="0"/>
          <w:szCs w:val="24"/>
        </w:rPr>
        <w:t>programmatic interfaces. We have derived a method</w:t>
      </w:r>
      <w:r w:rsidR="00427468">
        <w:rPr>
          <w:kern w:val="0"/>
          <w:szCs w:val="24"/>
        </w:rPr>
        <w:t xml:space="preserve"> of </w:t>
      </w:r>
      <w:r>
        <w:rPr>
          <w:kern w:val="0"/>
          <w:szCs w:val="24"/>
        </w:rPr>
        <w:t xml:space="preserve">analyzing statistically improbable phrases (SIPs) for assistance in identifying duplicate content. Results: When applied to </w:t>
      </w:r>
      <w:r w:rsidR="00D5664A">
        <w:rPr>
          <w:kern w:val="0"/>
          <w:szCs w:val="24"/>
        </w:rPr>
        <w:t>MEDLINE</w:t>
      </w:r>
      <w:r>
        <w:rPr>
          <w:kern w:val="0"/>
          <w:szCs w:val="24"/>
        </w:rPr>
        <w:t xml:space="preserve"> citations, this method substantially improves upon previous algorithms in</w:t>
      </w:r>
      <w:r w:rsidR="003A1917">
        <w:rPr>
          <w:kern w:val="0"/>
          <w:szCs w:val="24"/>
        </w:rPr>
        <w:t xml:space="preserve"> the </w:t>
      </w:r>
      <w:r>
        <w:rPr>
          <w:kern w:val="0"/>
          <w:szCs w:val="24"/>
        </w:rPr>
        <w:t>detection</w:t>
      </w:r>
      <w:r w:rsidR="00427468">
        <w:rPr>
          <w:kern w:val="0"/>
          <w:szCs w:val="24"/>
        </w:rPr>
        <w:t xml:space="preserve"> of </w:t>
      </w:r>
      <w:r>
        <w:rPr>
          <w:kern w:val="0"/>
          <w:szCs w:val="24"/>
        </w:rPr>
        <w:t>duplication citations, yielding a precision</w:t>
      </w:r>
      <w:r w:rsidR="005853A9">
        <w:rPr>
          <w:kern w:val="0"/>
          <w:szCs w:val="24"/>
        </w:rPr>
        <w:t xml:space="preserve"> and </w:t>
      </w:r>
      <w:r>
        <w:rPr>
          <w:kern w:val="0"/>
          <w:szCs w:val="24"/>
        </w:rPr>
        <w:t>recall</w:t>
      </w:r>
      <w:r w:rsidR="00427468">
        <w:rPr>
          <w:kern w:val="0"/>
          <w:szCs w:val="24"/>
        </w:rPr>
        <w:t xml:space="preserve"> of </w:t>
      </w:r>
      <w:r>
        <w:rPr>
          <w:kern w:val="0"/>
          <w:szCs w:val="24"/>
        </w:rPr>
        <w:t>78.9% (versus 50.3% for eTBLAST)</w:t>
      </w:r>
      <w:r w:rsidR="005853A9">
        <w:rPr>
          <w:kern w:val="0"/>
          <w:szCs w:val="24"/>
        </w:rPr>
        <w:t xml:space="preserve"> and </w:t>
      </w:r>
      <w:r>
        <w:rPr>
          <w:kern w:val="0"/>
          <w:szCs w:val="24"/>
        </w:rPr>
        <w:t>99.6% (versus 99.8% for eTBLAST), respectively.</w:t>
      </w:r>
    </w:p>
    <w:p w:rsidR="009B3E94" w:rsidRDefault="009B3E94" w:rsidP="009B3E94">
      <w:pPr>
        <w:pStyle w:val="a3"/>
        <w:rPr>
          <w:kern w:val="0"/>
          <w:szCs w:val="24"/>
        </w:rPr>
      </w:pPr>
      <w:r>
        <w:rPr>
          <w:kern w:val="0"/>
          <w:szCs w:val="24"/>
        </w:rPr>
        <w:t xml:space="preserve">Keywords: Citations, Databases, Deja-VU, Iceberg, Journals, Literature, </w:t>
      </w:r>
      <w:r w:rsidR="00D5664A">
        <w:rPr>
          <w:kern w:val="0"/>
          <w:szCs w:val="24"/>
        </w:rPr>
        <w:t>MEDLINE</w:t>
      </w:r>
      <w:r>
        <w:rPr>
          <w:kern w:val="0"/>
          <w:szCs w:val="24"/>
        </w:rPr>
        <w:t>, Papers, Plagiarism, Publications, Surgery, Tip</w:t>
      </w:r>
    </w:p>
    <w:p w:rsidR="00BF6B4E" w:rsidRPr="001A3D2B" w:rsidRDefault="00BF6B4E" w:rsidP="00BF6B4E">
      <w:pPr>
        <w:pStyle w:val="1"/>
      </w:pPr>
      <w:r w:rsidRPr="001A3D2B">
        <w:br w:type="page"/>
      </w:r>
      <w:bookmarkStart w:id="772" w:name="_Toc420814715"/>
      <w:r w:rsidRPr="001A3D2B">
        <w:lastRenderedPageBreak/>
        <w:t xml:space="preserve">Title: </w:t>
      </w:r>
      <w:r w:rsidRPr="00BF6B4E">
        <w:t>Biological Control</w:t>
      </w:r>
      <w:bookmarkEnd w:id="772"/>
    </w:p>
    <w:p w:rsidR="00BF6B4E" w:rsidRPr="001A3D2B" w:rsidRDefault="00BF6B4E" w:rsidP="00BF6B4E">
      <w:pPr>
        <w:pStyle w:val="12"/>
      </w:pPr>
      <w:r w:rsidRPr="001A3D2B">
        <w:t xml:space="preserve">Full Journal Title: </w:t>
      </w:r>
      <w:r w:rsidRPr="00BF6B4E">
        <w:rPr>
          <w:iCs/>
          <w:kern w:val="0"/>
        </w:rPr>
        <w:t>Biological Control</w:t>
      </w:r>
    </w:p>
    <w:p w:rsidR="00BF6B4E" w:rsidRPr="001A3D2B" w:rsidRDefault="00BF6B4E" w:rsidP="00BF6B4E">
      <w:pPr>
        <w:pStyle w:val="12"/>
      </w:pPr>
      <w:r w:rsidRPr="001A3D2B">
        <w:t xml:space="preserve">ISO Abbreviated Title: </w:t>
      </w:r>
    </w:p>
    <w:p w:rsidR="00BF6B4E" w:rsidRPr="001A3D2B" w:rsidRDefault="00BF6B4E" w:rsidP="00BF6B4E">
      <w:pPr>
        <w:pStyle w:val="12"/>
      </w:pPr>
      <w:r w:rsidRPr="001A3D2B">
        <w:t xml:space="preserve">JCR Abbreviated Title: </w:t>
      </w:r>
    </w:p>
    <w:p w:rsidR="00BF6B4E" w:rsidRPr="001A3D2B" w:rsidRDefault="00BF6B4E" w:rsidP="00BF6B4E">
      <w:pPr>
        <w:pStyle w:val="12"/>
      </w:pPr>
      <w:r w:rsidRPr="001A3D2B">
        <w:t xml:space="preserve">ISSN: </w:t>
      </w:r>
    </w:p>
    <w:p w:rsidR="00BF6B4E" w:rsidRPr="001A3D2B" w:rsidRDefault="00BF6B4E" w:rsidP="00BF6B4E">
      <w:pPr>
        <w:pStyle w:val="12"/>
      </w:pPr>
      <w:r w:rsidRPr="001A3D2B">
        <w:t xml:space="preserve">Issues/Year: </w:t>
      </w:r>
    </w:p>
    <w:p w:rsidR="00BF6B4E" w:rsidRPr="001A3D2B" w:rsidRDefault="00BF6B4E" w:rsidP="00BF6B4E">
      <w:pPr>
        <w:pStyle w:val="12"/>
      </w:pPr>
      <w:r w:rsidRPr="001A3D2B">
        <w:t xml:space="preserve">Journal Country/Territory: </w:t>
      </w:r>
    </w:p>
    <w:p w:rsidR="00BF6B4E" w:rsidRPr="001A3D2B" w:rsidRDefault="00BF6B4E" w:rsidP="00BF6B4E">
      <w:pPr>
        <w:pStyle w:val="12"/>
      </w:pPr>
      <w:r w:rsidRPr="001A3D2B">
        <w:t xml:space="preserve">Language: </w:t>
      </w:r>
    </w:p>
    <w:p w:rsidR="00BF6B4E" w:rsidRPr="001A3D2B" w:rsidRDefault="00BF6B4E" w:rsidP="00BF6B4E">
      <w:pPr>
        <w:pStyle w:val="12"/>
      </w:pPr>
      <w:r w:rsidRPr="001A3D2B">
        <w:t xml:space="preserve">Publisher: </w:t>
      </w:r>
    </w:p>
    <w:p w:rsidR="00BF6B4E" w:rsidRPr="001A3D2B" w:rsidRDefault="00BF6B4E" w:rsidP="00BF6B4E">
      <w:pPr>
        <w:pStyle w:val="12"/>
      </w:pPr>
      <w:r w:rsidRPr="001A3D2B">
        <w:t xml:space="preserve">Publisher Address: </w:t>
      </w:r>
    </w:p>
    <w:p w:rsidR="00BF6B4E" w:rsidRPr="001A3D2B" w:rsidRDefault="00BF6B4E" w:rsidP="00BF6B4E">
      <w:pPr>
        <w:pStyle w:val="12"/>
      </w:pPr>
      <w:r w:rsidRPr="001A3D2B">
        <w:t xml:space="preserve">Subject Categories: </w:t>
      </w:r>
    </w:p>
    <w:p w:rsidR="00BF6B4E" w:rsidRPr="001A3D2B" w:rsidRDefault="00BF6B4E" w:rsidP="00BF6B4E">
      <w:pPr>
        <w:pStyle w:val="12"/>
      </w:pPr>
      <w:r w:rsidRPr="001A3D2B">
        <w:t xml:space="preserve">: Impact Factor </w:t>
      </w:r>
    </w:p>
    <w:p w:rsidR="00BF6B4E" w:rsidRDefault="00BF6B4E" w:rsidP="00BF6B4E">
      <w:pPr>
        <w:pStyle w:val="a3"/>
        <w:rPr>
          <w:kern w:val="0"/>
        </w:rPr>
      </w:pPr>
      <w:r>
        <w:rPr>
          <w:rFonts w:hint="eastAsia"/>
          <w:kern w:val="0"/>
        </w:rPr>
        <w:t xml:space="preserve">? </w:t>
      </w:r>
      <w:r>
        <w:rPr>
          <w:kern w:val="0"/>
        </w:rPr>
        <w:t>San-Blas, E. (2013), Progress on entomopathogenic nematology research: A bibliometric study</w:t>
      </w:r>
      <w:r w:rsidR="00427468">
        <w:rPr>
          <w:kern w:val="0"/>
        </w:rPr>
        <w:t xml:space="preserve"> of </w:t>
      </w:r>
      <w:r>
        <w:rPr>
          <w:kern w:val="0"/>
        </w:rPr>
        <w:t xml:space="preserve">the last three decades: 1980-2010. </w:t>
      </w:r>
      <w:r w:rsidRPr="00BF6B4E">
        <w:rPr>
          <w:i/>
          <w:iCs/>
          <w:kern w:val="0"/>
        </w:rPr>
        <w:t>Biological Control</w:t>
      </w:r>
      <w:r>
        <w:rPr>
          <w:kern w:val="0"/>
        </w:rPr>
        <w:t xml:space="preserve">, </w:t>
      </w:r>
      <w:r>
        <w:rPr>
          <w:b/>
          <w:bCs/>
          <w:kern w:val="0"/>
        </w:rPr>
        <w:t>66</w:t>
      </w:r>
      <w:r>
        <w:rPr>
          <w:kern w:val="0"/>
        </w:rPr>
        <w:t xml:space="preserve"> (2), 102-124.</w:t>
      </w:r>
    </w:p>
    <w:p w:rsidR="00BF6B4E" w:rsidRDefault="00BF6B4E" w:rsidP="00BF6B4E">
      <w:pPr>
        <w:pStyle w:val="a3"/>
        <w:rPr>
          <w:kern w:val="0"/>
        </w:rPr>
      </w:pPr>
      <w:r>
        <w:rPr>
          <w:rFonts w:hint="eastAsia"/>
          <w:kern w:val="0"/>
        </w:rPr>
        <w:t xml:space="preserve">Full Text: </w:t>
      </w:r>
      <w:hyperlink r:id="rId1462" w:history="1">
        <w:r w:rsidRPr="00BF6B4E">
          <w:rPr>
            <w:rStyle w:val="a5"/>
            <w:kern w:val="0"/>
          </w:rPr>
          <w:t>2013\Bio Con66, 102.pdf</w:t>
        </w:r>
      </w:hyperlink>
    </w:p>
    <w:p w:rsidR="00BF6B4E" w:rsidRDefault="00BF6B4E" w:rsidP="00BF6B4E">
      <w:pPr>
        <w:pStyle w:val="a3"/>
        <w:rPr>
          <w:kern w:val="0"/>
        </w:rPr>
      </w:pPr>
      <w:r>
        <w:rPr>
          <w:kern w:val="0"/>
        </w:rPr>
        <w:t>Abstract: Entomopathogenic nematodes have achieved a place in biological control programmes because</w:t>
      </w:r>
      <w:r w:rsidR="00427468">
        <w:rPr>
          <w:kern w:val="0"/>
        </w:rPr>
        <w:t xml:space="preserve"> of </w:t>
      </w:r>
      <w:r>
        <w:rPr>
          <w:kern w:val="0"/>
        </w:rPr>
        <w:t>their effectiveness, speed</w:t>
      </w:r>
      <w:r w:rsidR="00427468">
        <w:rPr>
          <w:kern w:val="0"/>
        </w:rPr>
        <w:t xml:space="preserve"> of </w:t>
      </w:r>
      <w:r>
        <w:rPr>
          <w:kern w:val="0"/>
        </w:rPr>
        <w:t>action, innocuousness to non-insect targets</w:t>
      </w:r>
      <w:r w:rsidR="005853A9">
        <w:rPr>
          <w:kern w:val="0"/>
        </w:rPr>
        <w:t xml:space="preserve"> and </w:t>
      </w:r>
      <w:r>
        <w:rPr>
          <w:kern w:val="0"/>
        </w:rPr>
        <w:t>simplicity</w:t>
      </w:r>
      <w:r w:rsidR="00427468">
        <w:rPr>
          <w:kern w:val="0"/>
        </w:rPr>
        <w:t xml:space="preserve"> of </w:t>
      </w:r>
      <w:r>
        <w:rPr>
          <w:kern w:val="0"/>
        </w:rPr>
        <w:t>mass production. However many challenges derived to the lack</w:t>
      </w:r>
      <w:r w:rsidR="00427468">
        <w:rPr>
          <w:kern w:val="0"/>
        </w:rPr>
        <w:t xml:space="preserve"> of </w:t>
      </w:r>
      <w:r>
        <w:rPr>
          <w:kern w:val="0"/>
        </w:rPr>
        <w:t>knowledge in some critical steps from laboratories to their use in the fields, have to be resolved in order to improve their performance</w:t>
      </w:r>
      <w:r w:rsidR="005853A9">
        <w:rPr>
          <w:kern w:val="0"/>
        </w:rPr>
        <w:t xml:space="preserve"> and </w:t>
      </w:r>
      <w:r>
        <w:rPr>
          <w:kern w:val="0"/>
        </w:rPr>
        <w:t>to reduce the mass production costs. For those reasons, studies on entomopathogenic nematology have increased considerably in the last few decades. Also, there have been important changes in the ways that results are published; many</w:t>
      </w:r>
      <w:r w:rsidR="00427468">
        <w:rPr>
          <w:kern w:val="0"/>
        </w:rPr>
        <w:t xml:space="preserve"> of </w:t>
      </w:r>
      <w:r>
        <w:rPr>
          <w:kern w:val="0"/>
        </w:rPr>
        <w:t>them relate to major transformations in scientific trends. Using bibliometric tools we characterize variations in number, types</w:t>
      </w:r>
      <w:r w:rsidR="00427468">
        <w:rPr>
          <w:kern w:val="0"/>
        </w:rPr>
        <w:t xml:space="preserve"> of </w:t>
      </w:r>
      <w:r>
        <w:rPr>
          <w:kern w:val="0"/>
        </w:rPr>
        <w:t>journal, countries</w:t>
      </w:r>
      <w:r w:rsidR="00427468">
        <w:rPr>
          <w:kern w:val="0"/>
        </w:rPr>
        <w:t xml:space="preserve"> of </w:t>
      </w:r>
      <w:r>
        <w:rPr>
          <w:kern w:val="0"/>
        </w:rPr>
        <w:t>origin, research topics</w:t>
      </w:r>
      <w:r w:rsidR="005853A9">
        <w:rPr>
          <w:kern w:val="0"/>
        </w:rPr>
        <w:t xml:space="preserve"> and </w:t>
      </w:r>
      <w:r>
        <w:rPr>
          <w:kern w:val="0"/>
        </w:rPr>
        <w:t>the number</w:t>
      </w:r>
      <w:r w:rsidR="00427468">
        <w:rPr>
          <w:kern w:val="0"/>
        </w:rPr>
        <w:t xml:space="preserve"> of </w:t>
      </w:r>
      <w:r>
        <w:rPr>
          <w:kern w:val="0"/>
        </w:rPr>
        <w:t>participating countries,</w:t>
      </w:r>
      <w:r w:rsidR="00427468">
        <w:rPr>
          <w:kern w:val="0"/>
        </w:rPr>
        <w:t xml:space="preserve"> of </w:t>
      </w:r>
      <w:r>
        <w:rPr>
          <w:kern w:val="0"/>
        </w:rPr>
        <w:t>1923 papers (from 1980 to 2010) reported in several on-line editorial databases. (c) 2013 Elsevier Inc. All rights reserved.</w:t>
      </w:r>
    </w:p>
    <w:p w:rsidR="00BF6B4E" w:rsidRDefault="00BF6B4E" w:rsidP="00BF6B4E">
      <w:pPr>
        <w:pStyle w:val="a3"/>
        <w:rPr>
          <w:kern w:val="0"/>
        </w:rPr>
      </w:pPr>
      <w:r>
        <w:rPr>
          <w:kern w:val="0"/>
        </w:rPr>
        <w:t>Keywords: Bacteriophora Infective Juveniles, Bibliometric, Bibliometric Study, Biological, Black Vine Weevil, Changes, Coauthorship Networking, Control, Costs, Database, Databases, Diaprepes-Abbreviatus Coleoptera, Effectiveness, Heterorhabditis, Heterorhabditis-Heliothidis Nematoda, Insect-Parasitic Nematodes, Journal, Knowledge, Metarhizium-Anisopliae Clo-53, Nematodes, Online, Origin, Otiorhynchus-Sulcatus Coleoptera, Papers, Performance, Programmes, Publication, Research, Rights, Scientiometrics, Steinernema, Steinernema-Carpocapsae Rhabditida, Thrips Frankliniella-Occidentalis, Trends, White Grubs Coleoptera</w:t>
      </w:r>
    </w:p>
    <w:p w:rsidR="007A52CA" w:rsidRPr="001A3D2B" w:rsidRDefault="007A52CA" w:rsidP="007A52CA">
      <w:pPr>
        <w:pStyle w:val="1"/>
      </w:pPr>
      <w:r w:rsidRPr="001A3D2B">
        <w:br w:type="page"/>
      </w:r>
      <w:bookmarkStart w:id="773" w:name="_Toc420814716"/>
      <w:r w:rsidRPr="001A3D2B">
        <w:lastRenderedPageBreak/>
        <w:t xml:space="preserve">Title: </w:t>
      </w:r>
      <w:r w:rsidRPr="007A52CA">
        <w:t>Biological Cybernetics</w:t>
      </w:r>
      <w:bookmarkEnd w:id="773"/>
    </w:p>
    <w:p w:rsidR="007A52CA" w:rsidRPr="001A3D2B" w:rsidRDefault="007A52CA" w:rsidP="007A52CA">
      <w:pPr>
        <w:pStyle w:val="12"/>
      </w:pPr>
      <w:r w:rsidRPr="001A3D2B">
        <w:t xml:space="preserve">Full Journal Title: </w:t>
      </w:r>
      <w:r w:rsidRPr="007A52CA">
        <w:rPr>
          <w:iCs/>
          <w:kern w:val="0"/>
        </w:rPr>
        <w:t>Biological Cybernetics</w:t>
      </w:r>
    </w:p>
    <w:p w:rsidR="007A52CA" w:rsidRPr="001A3D2B" w:rsidRDefault="007A52CA" w:rsidP="007A52CA">
      <w:pPr>
        <w:pStyle w:val="12"/>
      </w:pPr>
      <w:r w:rsidRPr="001A3D2B">
        <w:t xml:space="preserve">ISO Abbreviated Title: </w:t>
      </w:r>
    </w:p>
    <w:p w:rsidR="007A52CA" w:rsidRPr="001A3D2B" w:rsidRDefault="007A52CA" w:rsidP="007A52CA">
      <w:pPr>
        <w:pStyle w:val="12"/>
      </w:pPr>
      <w:r w:rsidRPr="001A3D2B">
        <w:t xml:space="preserve">JCR Abbreviated Title: </w:t>
      </w:r>
    </w:p>
    <w:p w:rsidR="007A52CA" w:rsidRPr="001A3D2B" w:rsidRDefault="007A52CA" w:rsidP="007A52CA">
      <w:pPr>
        <w:pStyle w:val="12"/>
      </w:pPr>
      <w:r w:rsidRPr="001A3D2B">
        <w:t xml:space="preserve">ISSN: </w:t>
      </w:r>
    </w:p>
    <w:p w:rsidR="007A52CA" w:rsidRPr="001A3D2B" w:rsidRDefault="007A52CA" w:rsidP="007A52CA">
      <w:pPr>
        <w:pStyle w:val="12"/>
      </w:pPr>
      <w:r w:rsidRPr="001A3D2B">
        <w:t xml:space="preserve">Issues/Year: </w:t>
      </w:r>
    </w:p>
    <w:p w:rsidR="007A52CA" w:rsidRPr="001A3D2B" w:rsidRDefault="007A52CA" w:rsidP="007A52CA">
      <w:pPr>
        <w:pStyle w:val="12"/>
      </w:pPr>
      <w:r w:rsidRPr="001A3D2B">
        <w:t xml:space="preserve">Journal Country/Territory: </w:t>
      </w:r>
    </w:p>
    <w:p w:rsidR="007A52CA" w:rsidRPr="001A3D2B" w:rsidRDefault="007A52CA" w:rsidP="007A52CA">
      <w:pPr>
        <w:pStyle w:val="12"/>
      </w:pPr>
      <w:r w:rsidRPr="001A3D2B">
        <w:t xml:space="preserve">Language: </w:t>
      </w:r>
    </w:p>
    <w:p w:rsidR="007A52CA" w:rsidRPr="001A3D2B" w:rsidRDefault="007A52CA" w:rsidP="007A52CA">
      <w:pPr>
        <w:pStyle w:val="12"/>
      </w:pPr>
      <w:r w:rsidRPr="001A3D2B">
        <w:t xml:space="preserve">Publisher: </w:t>
      </w:r>
    </w:p>
    <w:p w:rsidR="007A52CA" w:rsidRPr="001A3D2B" w:rsidRDefault="007A52CA" w:rsidP="007A52CA">
      <w:pPr>
        <w:pStyle w:val="12"/>
      </w:pPr>
      <w:r w:rsidRPr="001A3D2B">
        <w:t xml:space="preserve">Publisher Address: </w:t>
      </w:r>
    </w:p>
    <w:p w:rsidR="007A52CA" w:rsidRPr="001A3D2B" w:rsidRDefault="007A52CA" w:rsidP="007A52CA">
      <w:pPr>
        <w:pStyle w:val="12"/>
      </w:pPr>
      <w:r w:rsidRPr="001A3D2B">
        <w:t xml:space="preserve">Subject Categories: </w:t>
      </w:r>
    </w:p>
    <w:p w:rsidR="007A52CA" w:rsidRPr="001A3D2B" w:rsidRDefault="007A52CA" w:rsidP="007A52CA">
      <w:pPr>
        <w:pStyle w:val="12"/>
      </w:pPr>
      <w:r w:rsidRPr="001A3D2B">
        <w:t xml:space="preserve">: Impact Factor </w:t>
      </w:r>
    </w:p>
    <w:p w:rsidR="007A52CA" w:rsidRDefault="007A52CA" w:rsidP="007A52CA">
      <w:pPr>
        <w:pStyle w:val="a3"/>
        <w:rPr>
          <w:kern w:val="0"/>
        </w:rPr>
      </w:pPr>
      <w:r>
        <w:rPr>
          <w:rFonts w:hint="eastAsia"/>
          <w:kern w:val="0"/>
        </w:rPr>
        <w:t xml:space="preserve">? </w:t>
      </w:r>
      <w:r>
        <w:rPr>
          <w:kern w:val="0"/>
        </w:rPr>
        <w:t xml:space="preserve">Singh, V., Perdigones, A., Garcia, J.L., Canas-Guerrero, I. and Mazarron, F.R. (2014), Analysis of worldwide research in the field of cybernetics during 1997-2011. </w:t>
      </w:r>
      <w:r w:rsidRPr="007A52CA">
        <w:rPr>
          <w:i/>
          <w:iCs/>
          <w:kern w:val="0"/>
        </w:rPr>
        <w:t>Biological Cybernetics</w:t>
      </w:r>
      <w:r>
        <w:rPr>
          <w:kern w:val="0"/>
        </w:rPr>
        <w:t xml:space="preserve">, </w:t>
      </w:r>
      <w:r>
        <w:rPr>
          <w:b/>
          <w:bCs/>
          <w:kern w:val="0"/>
        </w:rPr>
        <w:t>108</w:t>
      </w:r>
      <w:r>
        <w:rPr>
          <w:kern w:val="0"/>
        </w:rPr>
        <w:t xml:space="preserve"> (6), 757-776.</w:t>
      </w:r>
    </w:p>
    <w:p w:rsidR="007A52CA" w:rsidRDefault="007A52CA" w:rsidP="007A52CA">
      <w:pPr>
        <w:pStyle w:val="a3"/>
        <w:rPr>
          <w:kern w:val="0"/>
        </w:rPr>
      </w:pPr>
      <w:r>
        <w:rPr>
          <w:rFonts w:hint="eastAsia"/>
          <w:kern w:val="0"/>
        </w:rPr>
        <w:t xml:space="preserve">Full Text: </w:t>
      </w:r>
      <w:hyperlink r:id="rId1463" w:history="1">
        <w:r w:rsidRPr="007A52CA">
          <w:rPr>
            <w:rStyle w:val="a5"/>
            <w:kern w:val="0"/>
          </w:rPr>
          <w:t>2014\Bio Cyb108, 757.pdf</w:t>
        </w:r>
      </w:hyperlink>
    </w:p>
    <w:p w:rsidR="007A52CA" w:rsidRDefault="007A52CA" w:rsidP="007A52CA">
      <w:pPr>
        <w:pStyle w:val="a3"/>
        <w:rPr>
          <w:kern w:val="0"/>
        </w:rPr>
      </w:pPr>
      <w:r>
        <w:rPr>
          <w:kern w:val="0"/>
        </w:rPr>
        <w:t>Abstract: The study provides an overview of the research activity carried out in the field of cybernetics. To do so, all research papers from 1997 to 2011 (16,445 research papers) under the category of “Computer Science, Cybernetics” of Web of Science have been processed using our in-house software which is developed specifically for this purpose. Among its multiple capabilities, this software analyses individual and compound keywords, quantifies productivity taking into account the work distribution, estimates the impact of each article and determines the collaborations established at different scales. Keywords analysis identifies the evolution of the most important research topics in the field of cybernetics and their specificity in biological aspects, as well as the research topics with lesser interest. The analysis of productivity, impact and collaborations provides a framework to assess research activity in a specific and realistic context. The geographical and institutional distribution of publications reveals the leading countries and research centres, analysing their relation to main research journals. Moreover, collaborations analysis reveals great differences in terms of internationalization and complexity of research networks. The results of this study may be very useful for the characterization and the decisions made by research in the field of cybernetics.</w:t>
      </w:r>
    </w:p>
    <w:p w:rsidR="007A52CA" w:rsidRDefault="007A52CA" w:rsidP="007A52CA">
      <w:pPr>
        <w:pStyle w:val="a3"/>
        <w:rPr>
          <w:kern w:val="0"/>
        </w:rPr>
      </w:pPr>
      <w:r>
        <w:rPr>
          <w:kern w:val="0"/>
        </w:rPr>
        <w:t xml:space="preserve">Keywords: Activity, Analyses, Analysis, Article, Bibliometric Analysis, Bibliometric Analysis, Biological, Building Technology, Category, Characterization, Collaborations, Complexity, Computer Science, Construction, Context, Cybernetics, Distribution, Estimates, Evolution, Field, Framework, From, Impact, </w:t>
      </w:r>
      <w:r>
        <w:rPr>
          <w:kern w:val="0"/>
        </w:rPr>
        <w:lastRenderedPageBreak/>
        <w:t>Internationalization, Journals, Keywords, Keywords Analysis, Networks, Overview, Papers, Productivity, Publications, Purpose, Research, Research Activity, Research Centres, Research Journals, Research Papers, Scales, Science, Science Database 1997-2008, Software, Spanish Scientific Publications, Specificity, Web, Web Of Science, Work</w:t>
      </w:r>
    </w:p>
    <w:p w:rsidR="009D0547" w:rsidRPr="001A3D2B" w:rsidRDefault="009D0547" w:rsidP="009D0547">
      <w:pPr>
        <w:pStyle w:val="1"/>
      </w:pPr>
      <w:r w:rsidRPr="001A3D2B">
        <w:br w:type="page"/>
      </w:r>
      <w:bookmarkStart w:id="774" w:name="_Toc420814717"/>
      <w:r w:rsidRPr="001A3D2B">
        <w:lastRenderedPageBreak/>
        <w:t xml:space="preserve">Title: </w:t>
      </w:r>
      <w:r w:rsidRPr="009D0547">
        <w:t>Biological Invasions</w:t>
      </w:r>
      <w:bookmarkEnd w:id="774"/>
    </w:p>
    <w:p w:rsidR="009D0547" w:rsidRPr="001A3D2B" w:rsidRDefault="009D0547" w:rsidP="009D0547">
      <w:pPr>
        <w:pStyle w:val="12"/>
      </w:pPr>
      <w:r w:rsidRPr="001A3D2B">
        <w:t xml:space="preserve">Full Journal Title: </w:t>
      </w:r>
      <w:r w:rsidRPr="009D0547">
        <w:rPr>
          <w:iCs/>
          <w:kern w:val="0"/>
        </w:rPr>
        <w:t>Biological Invasions</w:t>
      </w:r>
    </w:p>
    <w:p w:rsidR="009D0547" w:rsidRPr="001A3D2B" w:rsidRDefault="009D0547" w:rsidP="009D0547">
      <w:pPr>
        <w:pStyle w:val="12"/>
      </w:pPr>
      <w:r w:rsidRPr="001A3D2B">
        <w:t xml:space="preserve">ISO Abbreviated Title: </w:t>
      </w:r>
    </w:p>
    <w:p w:rsidR="009D0547" w:rsidRPr="001A3D2B" w:rsidRDefault="009D0547" w:rsidP="009D0547">
      <w:pPr>
        <w:pStyle w:val="12"/>
      </w:pPr>
      <w:r w:rsidRPr="001A3D2B">
        <w:t xml:space="preserve">JCR Abbreviated Title: </w:t>
      </w:r>
    </w:p>
    <w:p w:rsidR="009D0547" w:rsidRPr="001A3D2B" w:rsidRDefault="009D0547" w:rsidP="009D0547">
      <w:pPr>
        <w:pStyle w:val="12"/>
      </w:pPr>
      <w:r w:rsidRPr="001A3D2B">
        <w:t xml:space="preserve">ISSN: </w:t>
      </w:r>
    </w:p>
    <w:p w:rsidR="009D0547" w:rsidRPr="001A3D2B" w:rsidRDefault="009D0547" w:rsidP="009D0547">
      <w:pPr>
        <w:pStyle w:val="12"/>
      </w:pPr>
      <w:r w:rsidRPr="001A3D2B">
        <w:t xml:space="preserve">Issues/Year: </w:t>
      </w:r>
    </w:p>
    <w:p w:rsidR="009D0547" w:rsidRPr="001A3D2B" w:rsidRDefault="009D0547" w:rsidP="009D0547">
      <w:pPr>
        <w:pStyle w:val="12"/>
      </w:pPr>
      <w:r w:rsidRPr="001A3D2B">
        <w:t xml:space="preserve">Journal Country/Territory: </w:t>
      </w:r>
    </w:p>
    <w:p w:rsidR="009D0547" w:rsidRPr="001A3D2B" w:rsidRDefault="009D0547" w:rsidP="009D0547">
      <w:pPr>
        <w:pStyle w:val="12"/>
      </w:pPr>
      <w:r w:rsidRPr="001A3D2B">
        <w:t xml:space="preserve">Language: </w:t>
      </w:r>
    </w:p>
    <w:p w:rsidR="009D0547" w:rsidRPr="001A3D2B" w:rsidRDefault="009D0547" w:rsidP="009D0547">
      <w:pPr>
        <w:pStyle w:val="12"/>
      </w:pPr>
      <w:r w:rsidRPr="001A3D2B">
        <w:t xml:space="preserve">Publisher: </w:t>
      </w:r>
    </w:p>
    <w:p w:rsidR="009D0547" w:rsidRPr="001A3D2B" w:rsidRDefault="009D0547" w:rsidP="009D0547">
      <w:pPr>
        <w:pStyle w:val="12"/>
      </w:pPr>
      <w:r w:rsidRPr="001A3D2B">
        <w:t xml:space="preserve">Publisher Address: </w:t>
      </w:r>
    </w:p>
    <w:p w:rsidR="009D0547" w:rsidRPr="001A3D2B" w:rsidRDefault="009D0547" w:rsidP="009D0547">
      <w:pPr>
        <w:pStyle w:val="12"/>
      </w:pPr>
      <w:r w:rsidRPr="001A3D2B">
        <w:t xml:space="preserve">Subject Categories: </w:t>
      </w:r>
    </w:p>
    <w:p w:rsidR="009D0547" w:rsidRPr="001A3D2B" w:rsidRDefault="009D0547" w:rsidP="009D0547">
      <w:pPr>
        <w:pStyle w:val="12"/>
      </w:pPr>
      <w:r w:rsidRPr="001A3D2B">
        <w:t xml:space="preserve">: Impact Factor </w:t>
      </w:r>
    </w:p>
    <w:p w:rsidR="009D0547" w:rsidRDefault="009D0547" w:rsidP="009D0547">
      <w:pPr>
        <w:pStyle w:val="a3"/>
        <w:rPr>
          <w:kern w:val="0"/>
        </w:rPr>
      </w:pPr>
      <w:r>
        <w:rPr>
          <w:rFonts w:hint="eastAsia"/>
          <w:kern w:val="0"/>
        </w:rPr>
        <w:t xml:space="preserve">? </w:t>
      </w:r>
      <w:r>
        <w:rPr>
          <w:kern w:val="0"/>
        </w:rPr>
        <w:t>Esler, K.J., Prozesky, H., Sharma, G.P.</w:t>
      </w:r>
      <w:r w:rsidR="005853A9">
        <w:rPr>
          <w:kern w:val="0"/>
        </w:rPr>
        <w:t xml:space="preserve"> and </w:t>
      </w:r>
      <w:r>
        <w:rPr>
          <w:kern w:val="0"/>
        </w:rPr>
        <w:t>McGeoch, M. (2010), How wide is</w:t>
      </w:r>
      <w:r w:rsidR="003A1917">
        <w:rPr>
          <w:kern w:val="0"/>
        </w:rPr>
        <w:t xml:space="preserve"> the </w:t>
      </w:r>
      <w:r w:rsidR="00B5188C">
        <w:rPr>
          <w:kern w:val="0"/>
        </w:rPr>
        <w:t>“</w:t>
      </w:r>
      <w:r>
        <w:rPr>
          <w:kern w:val="0"/>
        </w:rPr>
        <w:t>knowing-doing</w:t>
      </w:r>
      <w:r w:rsidR="00B5188C">
        <w:rPr>
          <w:kern w:val="0"/>
        </w:rPr>
        <w:t>”</w:t>
      </w:r>
      <w:r>
        <w:rPr>
          <w:kern w:val="0"/>
        </w:rPr>
        <w:t xml:space="preserve"> gap in invasion biology? </w:t>
      </w:r>
      <w:r w:rsidRPr="009D0547">
        <w:rPr>
          <w:i/>
          <w:iCs/>
          <w:kern w:val="0"/>
        </w:rPr>
        <w:t>Biological Invasions</w:t>
      </w:r>
      <w:r>
        <w:rPr>
          <w:kern w:val="0"/>
        </w:rPr>
        <w:t xml:space="preserve">, </w:t>
      </w:r>
      <w:r>
        <w:rPr>
          <w:b/>
          <w:bCs/>
          <w:kern w:val="0"/>
        </w:rPr>
        <w:t>12</w:t>
      </w:r>
      <w:r>
        <w:rPr>
          <w:kern w:val="0"/>
        </w:rPr>
        <w:t xml:space="preserve"> (12), 4065-4075.</w:t>
      </w:r>
    </w:p>
    <w:p w:rsidR="009D0547" w:rsidRPr="001A3D2B" w:rsidRDefault="009D0547" w:rsidP="009D0547">
      <w:pPr>
        <w:pStyle w:val="a3"/>
      </w:pPr>
      <w:r w:rsidRPr="001A3D2B">
        <w:t xml:space="preserve">Full Text: </w:t>
      </w:r>
      <w:hyperlink r:id="rId1464" w:history="1">
        <w:r w:rsidRPr="009726F4">
          <w:rPr>
            <w:rStyle w:val="a5"/>
          </w:rPr>
          <w:t>2010\Bio Inv12, 4065.pdf</w:t>
        </w:r>
      </w:hyperlink>
    </w:p>
    <w:p w:rsidR="009D0547" w:rsidRDefault="009D0547" w:rsidP="009D0547">
      <w:pPr>
        <w:pStyle w:val="a3"/>
        <w:rPr>
          <w:kern w:val="0"/>
        </w:rPr>
      </w:pPr>
      <w:r>
        <w:rPr>
          <w:kern w:val="0"/>
        </w:rPr>
        <w:t>Abstract: Invasion biology is a growing discipline with clear ecological, social</w:t>
      </w:r>
      <w:r w:rsidR="005853A9">
        <w:rPr>
          <w:kern w:val="0"/>
        </w:rPr>
        <w:t xml:space="preserve"> and </w:t>
      </w:r>
      <w:r>
        <w:rPr>
          <w:kern w:val="0"/>
        </w:rPr>
        <w:t>economic implications. A wide range</w:t>
      </w:r>
      <w:r w:rsidR="00427468">
        <w:rPr>
          <w:kern w:val="0"/>
        </w:rPr>
        <w:t xml:space="preserve"> of </w:t>
      </w:r>
      <w:r>
        <w:rPr>
          <w:kern w:val="0"/>
        </w:rPr>
        <w:t>research effort is thus required to address</w:t>
      </w:r>
      <w:r w:rsidR="003A1917">
        <w:rPr>
          <w:kern w:val="0"/>
        </w:rPr>
        <w:t xml:space="preserve"> the </w:t>
      </w:r>
      <w:r>
        <w:rPr>
          <w:kern w:val="0"/>
        </w:rPr>
        <w:t>invasion problem,</w:t>
      </w:r>
      <w:r w:rsidR="005853A9">
        <w:rPr>
          <w:kern w:val="0"/>
        </w:rPr>
        <w:t xml:space="preserve"> and </w:t>
      </w:r>
      <w:r>
        <w:rPr>
          <w:kern w:val="0"/>
        </w:rPr>
        <w:t>literature on</w:t>
      </w:r>
      <w:r w:rsidR="003A1917">
        <w:rPr>
          <w:kern w:val="0"/>
        </w:rPr>
        <w:t xml:space="preserve"> the </w:t>
      </w:r>
      <w:r>
        <w:rPr>
          <w:kern w:val="0"/>
        </w:rPr>
        <w:t>topic is extensive. However,</w:t>
      </w:r>
      <w:r w:rsidR="003A1917">
        <w:rPr>
          <w:kern w:val="0"/>
        </w:rPr>
        <w:t xml:space="preserve"> the </w:t>
      </w:r>
      <w:r>
        <w:rPr>
          <w:kern w:val="0"/>
        </w:rPr>
        <w:t>extent to which</w:t>
      </w:r>
      <w:r w:rsidR="003A1917">
        <w:rPr>
          <w:kern w:val="0"/>
        </w:rPr>
        <w:t xml:space="preserve"> the </w:t>
      </w:r>
      <w:r>
        <w:rPr>
          <w:kern w:val="0"/>
        </w:rPr>
        <w:t>invasion biology research is addressing</w:t>
      </w:r>
      <w:r w:rsidR="003A1917">
        <w:rPr>
          <w:kern w:val="0"/>
        </w:rPr>
        <w:t xml:space="preserve"> the </w:t>
      </w:r>
      <w:r>
        <w:rPr>
          <w:kern w:val="0"/>
        </w:rPr>
        <w:t>challenges associated with management</w:t>
      </w:r>
      <w:r w:rsidR="005853A9">
        <w:rPr>
          <w:kern w:val="0"/>
        </w:rPr>
        <w:t xml:space="preserve"> and </w:t>
      </w:r>
      <w:r>
        <w:rPr>
          <w:kern w:val="0"/>
        </w:rPr>
        <w:t>mitigation</w:t>
      </w:r>
      <w:r w:rsidR="00427468">
        <w:rPr>
          <w:kern w:val="0"/>
        </w:rPr>
        <w:t xml:space="preserve"> of </w:t>
      </w:r>
      <w:r w:rsidR="003A1917">
        <w:rPr>
          <w:kern w:val="0"/>
        </w:rPr>
        <w:t xml:space="preserve">the </w:t>
      </w:r>
      <w:r>
        <w:rPr>
          <w:kern w:val="0"/>
        </w:rPr>
        <w:t>impacts</w:t>
      </w:r>
      <w:r w:rsidR="00427468">
        <w:rPr>
          <w:kern w:val="0"/>
        </w:rPr>
        <w:t xml:space="preserve"> of </w:t>
      </w:r>
      <w:r>
        <w:rPr>
          <w:kern w:val="0"/>
        </w:rPr>
        <w:t>invasions has been questioned. Using bibliometric analysis, we investigated</w:t>
      </w:r>
      <w:r w:rsidR="003A1917">
        <w:rPr>
          <w:kern w:val="0"/>
        </w:rPr>
        <w:t xml:space="preserve"> the </w:t>
      </w:r>
      <w:r>
        <w:rPr>
          <w:kern w:val="0"/>
        </w:rPr>
        <w:t>extent to which</w:t>
      </w:r>
      <w:r w:rsidR="003A1917">
        <w:rPr>
          <w:kern w:val="0"/>
        </w:rPr>
        <w:t xml:space="preserve"> the </w:t>
      </w:r>
      <w:r>
        <w:rPr>
          <w:kern w:val="0"/>
        </w:rPr>
        <w:t>literature on</w:t>
      </w:r>
      <w:r w:rsidR="003A1917">
        <w:rPr>
          <w:kern w:val="0"/>
        </w:rPr>
        <w:t xml:space="preserve"> the </w:t>
      </w:r>
      <w:r>
        <w:rPr>
          <w:kern w:val="0"/>
        </w:rPr>
        <w:t>subject contributes to implementation</w:t>
      </w:r>
      <w:r w:rsidR="00427468">
        <w:rPr>
          <w:kern w:val="0"/>
        </w:rPr>
        <w:t xml:space="preserve"> of </w:t>
      </w:r>
      <w:r>
        <w:rPr>
          <w:kern w:val="0"/>
        </w:rPr>
        <w:t>knowledge generated, by addressing aspects</w:t>
      </w:r>
      <w:r w:rsidR="00427468">
        <w:rPr>
          <w:kern w:val="0"/>
        </w:rPr>
        <w:t xml:space="preserve"> of </w:t>
      </w:r>
      <w:r>
        <w:rPr>
          <w:kern w:val="0"/>
        </w:rPr>
        <w:t>management, policy, and/or implementation;</w:t>
      </w:r>
      <w:r w:rsidR="003A1917">
        <w:rPr>
          <w:kern w:val="0"/>
        </w:rPr>
        <w:t xml:space="preserve"> the </w:t>
      </w:r>
      <w:r>
        <w:rPr>
          <w:kern w:val="0"/>
        </w:rPr>
        <w:t>impact</w:t>
      </w:r>
      <w:r w:rsidR="00427468">
        <w:rPr>
          <w:kern w:val="0"/>
        </w:rPr>
        <w:t xml:space="preserve"> of </w:t>
      </w:r>
      <w:r>
        <w:rPr>
          <w:kern w:val="0"/>
        </w:rPr>
        <w:t>these papers as indicated by</w:t>
      </w:r>
      <w:r w:rsidR="003A1917">
        <w:rPr>
          <w:kern w:val="0"/>
        </w:rPr>
        <w:t xml:space="preserve"> the </w:t>
      </w:r>
      <w:r>
        <w:rPr>
          <w:kern w:val="0"/>
        </w:rPr>
        <w:t>number</w:t>
      </w:r>
      <w:r w:rsidR="00427468">
        <w:rPr>
          <w:kern w:val="0"/>
        </w:rPr>
        <w:t xml:space="preserve"> of </w:t>
      </w:r>
      <w:r>
        <w:rPr>
          <w:kern w:val="0"/>
        </w:rPr>
        <w:t>citations they attract;</w:t>
      </w:r>
      <w:r w:rsidR="005853A9">
        <w:rPr>
          <w:kern w:val="0"/>
        </w:rPr>
        <w:t xml:space="preserve"> and </w:t>
      </w:r>
      <w:r w:rsidR="003A1917">
        <w:rPr>
          <w:kern w:val="0"/>
        </w:rPr>
        <w:t xml:space="preserve">the </w:t>
      </w:r>
      <w:r>
        <w:rPr>
          <w:kern w:val="0"/>
        </w:rPr>
        <w:t>geopolitical scale</w:t>
      </w:r>
      <w:r w:rsidR="00427468">
        <w:rPr>
          <w:kern w:val="0"/>
        </w:rPr>
        <w:t xml:space="preserve"> of </w:t>
      </w:r>
      <w:r>
        <w:rPr>
          <w:kern w:val="0"/>
        </w:rPr>
        <w:t>focus</w:t>
      </w:r>
      <w:r w:rsidR="00427468">
        <w:rPr>
          <w:kern w:val="0"/>
        </w:rPr>
        <w:t xml:space="preserve"> of </w:t>
      </w:r>
      <w:r>
        <w:rPr>
          <w:kern w:val="0"/>
        </w:rPr>
        <w:t>invasion ecology papers, particularly those that attempt to bridge</w:t>
      </w:r>
      <w:r w:rsidR="003A1917">
        <w:rPr>
          <w:kern w:val="0"/>
        </w:rPr>
        <w:t xml:space="preserve"> the </w:t>
      </w:r>
      <w:r>
        <w:rPr>
          <w:kern w:val="0"/>
        </w:rPr>
        <w:t>knowing-doing gap. We then compared these findings with</w:t>
      </w:r>
      <w:r w:rsidR="003A1917">
        <w:rPr>
          <w:kern w:val="0"/>
        </w:rPr>
        <w:t xml:space="preserve"> the </w:t>
      </w:r>
      <w:r>
        <w:rPr>
          <w:kern w:val="0"/>
        </w:rPr>
        <w:t>information needs</w:t>
      </w:r>
      <w:r w:rsidR="00427468">
        <w:rPr>
          <w:kern w:val="0"/>
        </w:rPr>
        <w:t xml:space="preserve"> of </w:t>
      </w:r>
      <w:r>
        <w:rPr>
          <w:kern w:val="0"/>
        </w:rPr>
        <w:t>conservation practitioners. We first looked globally at popular search engines</w:t>
      </w:r>
      <w:r w:rsidR="005853A9">
        <w:rPr>
          <w:kern w:val="0"/>
        </w:rPr>
        <w:t xml:space="preserve"> and </w:t>
      </w:r>
      <w:r>
        <w:rPr>
          <w:kern w:val="0"/>
        </w:rPr>
        <w:t>then narrowed our focus to South Africa-one</w:t>
      </w:r>
      <w:r w:rsidR="00427468">
        <w:rPr>
          <w:kern w:val="0"/>
        </w:rPr>
        <w:t xml:space="preserve"> of </w:t>
      </w:r>
      <w:r>
        <w:rPr>
          <w:kern w:val="0"/>
        </w:rPr>
        <w:t xml:space="preserve">three regions outside </w:t>
      </w:r>
      <w:r w:rsidR="00D5664A">
        <w:rPr>
          <w:kern w:val="0"/>
        </w:rPr>
        <w:t>USA</w:t>
      </w:r>
      <w:r>
        <w:rPr>
          <w:kern w:val="0"/>
        </w:rPr>
        <w:t xml:space="preserve"> where researchers producing highly cited papers in invasion ecology are well represented. At this level, we conducted a content analysis</w:t>
      </w:r>
      <w:r w:rsidR="00427468">
        <w:rPr>
          <w:kern w:val="0"/>
        </w:rPr>
        <w:t xml:space="preserve"> of </w:t>
      </w:r>
      <w:r>
        <w:rPr>
          <w:kern w:val="0"/>
        </w:rPr>
        <w:t>invasion ecology-related papers,</w:t>
      </w:r>
      <w:r w:rsidR="00427468">
        <w:rPr>
          <w:kern w:val="0"/>
        </w:rPr>
        <w:t xml:space="preserve"> of </w:t>
      </w:r>
      <w:r>
        <w:rPr>
          <w:kern w:val="0"/>
        </w:rPr>
        <w:t>which at least one author was affiliated to a South African institution</w:t>
      </w:r>
      <w:r w:rsidR="00A37C1D">
        <w:rPr>
          <w:kern w:val="0"/>
        </w:rPr>
        <w:t>. The</w:t>
      </w:r>
      <w:r w:rsidR="003A1917">
        <w:rPr>
          <w:kern w:val="0"/>
        </w:rPr>
        <w:t xml:space="preserve"> </w:t>
      </w:r>
      <w:r>
        <w:rPr>
          <w:kern w:val="0"/>
        </w:rPr>
        <w:t>knowledge base in</w:t>
      </w:r>
      <w:r w:rsidR="003A1917">
        <w:rPr>
          <w:kern w:val="0"/>
        </w:rPr>
        <w:t xml:space="preserve"> the </w:t>
      </w:r>
      <w:r>
        <w:rPr>
          <w:kern w:val="0"/>
        </w:rPr>
        <w:t>field</w:t>
      </w:r>
      <w:r w:rsidR="00427468">
        <w:rPr>
          <w:kern w:val="0"/>
        </w:rPr>
        <w:t xml:space="preserve"> of </w:t>
      </w:r>
      <w:r>
        <w:rPr>
          <w:kern w:val="0"/>
        </w:rPr>
        <w:t>invasion biology is comprised largely</w:t>
      </w:r>
      <w:r w:rsidR="00427468">
        <w:rPr>
          <w:kern w:val="0"/>
        </w:rPr>
        <w:t xml:space="preserve"> of </w:t>
      </w:r>
      <w:r>
        <w:rPr>
          <w:kern w:val="0"/>
        </w:rPr>
        <w:t xml:space="preserve">research oriented towards </w:t>
      </w:r>
      <w:r w:rsidR="00B5188C">
        <w:rPr>
          <w:kern w:val="0"/>
        </w:rPr>
        <w:t>“</w:t>
      </w:r>
      <w:r>
        <w:rPr>
          <w:kern w:val="0"/>
        </w:rPr>
        <w:t>knowing</w:t>
      </w:r>
      <w:r w:rsidR="00B5188C">
        <w:rPr>
          <w:kern w:val="0"/>
        </w:rPr>
        <w:t>”</w:t>
      </w:r>
      <w:r>
        <w:rPr>
          <w:kern w:val="0"/>
        </w:rPr>
        <w:t>, while research aimed at strategically applying or implementing that knowledge is poorly represented in</w:t>
      </w:r>
      <w:r w:rsidR="003A1917">
        <w:rPr>
          <w:kern w:val="0"/>
        </w:rPr>
        <w:t xml:space="preserve"> the </w:t>
      </w:r>
      <w:r>
        <w:rPr>
          <w:kern w:val="0"/>
        </w:rPr>
        <w:t>scientific literature,</w:t>
      </w:r>
      <w:r w:rsidR="005853A9">
        <w:rPr>
          <w:kern w:val="0"/>
        </w:rPr>
        <w:t xml:space="preserve"> and </w:t>
      </w:r>
      <w:r w:rsidR="003A1917">
        <w:rPr>
          <w:kern w:val="0"/>
        </w:rPr>
        <w:t xml:space="preserve">the </w:t>
      </w:r>
      <w:r>
        <w:rPr>
          <w:kern w:val="0"/>
        </w:rPr>
        <w:t>scale</w:t>
      </w:r>
      <w:r w:rsidR="00427468">
        <w:rPr>
          <w:kern w:val="0"/>
        </w:rPr>
        <w:t xml:space="preserve"> of </w:t>
      </w:r>
      <w:r>
        <w:rPr>
          <w:kern w:val="0"/>
        </w:rPr>
        <w:t>its emphasis is not local. Conservation practitioners clearly indicate a need for basic knowledge. However, invasion science must develop channels for effective engagement to ensure that</w:t>
      </w:r>
      <w:r w:rsidR="003A1917">
        <w:rPr>
          <w:kern w:val="0"/>
        </w:rPr>
        <w:t xml:space="preserve"> the </w:t>
      </w:r>
      <w:r>
        <w:rPr>
          <w:kern w:val="0"/>
        </w:rPr>
        <w:t>research is contextualised,</w:t>
      </w:r>
      <w:r w:rsidR="005853A9">
        <w:rPr>
          <w:kern w:val="0"/>
        </w:rPr>
        <w:t xml:space="preserve"> and </w:t>
      </w:r>
      <w:r>
        <w:rPr>
          <w:kern w:val="0"/>
        </w:rPr>
        <w:t>will deal with</w:t>
      </w:r>
      <w:r w:rsidR="003A1917">
        <w:rPr>
          <w:kern w:val="0"/>
        </w:rPr>
        <w:t xml:space="preserve"> the </w:t>
      </w:r>
      <w:r>
        <w:rPr>
          <w:kern w:val="0"/>
        </w:rPr>
        <w:lastRenderedPageBreak/>
        <w:t>complex ecological, social</w:t>
      </w:r>
      <w:r w:rsidR="005853A9">
        <w:rPr>
          <w:kern w:val="0"/>
        </w:rPr>
        <w:t xml:space="preserve"> and </w:t>
      </w:r>
      <w:r>
        <w:rPr>
          <w:kern w:val="0"/>
        </w:rPr>
        <w:t>economic challenges posed by invasions.</w:t>
      </w:r>
    </w:p>
    <w:p w:rsidR="009D0547" w:rsidRDefault="009D0547" w:rsidP="009D0547">
      <w:pPr>
        <w:pStyle w:val="a3"/>
        <w:rPr>
          <w:kern w:val="0"/>
        </w:rPr>
      </w:pPr>
      <w:r>
        <w:rPr>
          <w:kern w:val="0"/>
        </w:rPr>
        <w:t xml:space="preserve">Keywords: Alien Plants, Analysis, Bibliometric, Bibliometric Analysis, Biodiversity, Biological Invasion, Biology, Bridge, Citations, Conservation, Conservation Practitioners, Content Analysis, Ecology, Economic, Economic Implications, Engagement, Field, First, Impact, Impacts, Implementation, Information, Interdisciplinary Research, Knowledge, Knowledge Base, Literature, Local, Management, Management, Mitigation, Needs, Papers, Policy, Policy-Makers, Research, Restoration, Scale, Science, Scientific Literature, Si, Social, South-Africa, </w:t>
      </w:r>
      <w:r w:rsidR="00D5664A">
        <w:rPr>
          <w:kern w:val="0"/>
        </w:rPr>
        <w:t>USA</w:t>
      </w:r>
    </w:p>
    <w:p w:rsidR="00DA6EE8" w:rsidRPr="001A3D2B" w:rsidRDefault="00DA6EE8" w:rsidP="00DA6EE8">
      <w:pPr>
        <w:pStyle w:val="1"/>
      </w:pPr>
      <w:r w:rsidRPr="001A3D2B">
        <w:br w:type="page"/>
      </w:r>
      <w:bookmarkStart w:id="775" w:name="_Toc420814718"/>
      <w:r w:rsidRPr="001A3D2B">
        <w:lastRenderedPageBreak/>
        <w:t>Title: Biological Journal</w:t>
      </w:r>
      <w:r w:rsidR="00427468">
        <w:t xml:space="preserve"> of </w:t>
      </w:r>
      <w:r w:rsidR="003A1917">
        <w:t xml:space="preserve">the </w:t>
      </w:r>
      <w:r w:rsidRPr="001A3D2B">
        <w:t>Linnean Socie</w:t>
      </w:r>
      <w:bookmarkStart w:id="776" w:name="_Toc231008080"/>
      <w:r w:rsidRPr="001A3D2B">
        <w:t>ty</w:t>
      </w:r>
      <w:bookmarkEnd w:id="775"/>
    </w:p>
    <w:p w:rsidR="00CE64DF" w:rsidRPr="001A3D2B" w:rsidRDefault="00CE64DF" w:rsidP="00CE64DF">
      <w:pPr>
        <w:pStyle w:val="12"/>
      </w:pPr>
      <w:r w:rsidRPr="001A3D2B">
        <w:t xml:space="preserve">Full Journal Title: </w:t>
      </w:r>
      <w:r w:rsidR="00206C8A">
        <w:fldChar w:fldCharType="begin"/>
      </w:r>
      <w:r w:rsidR="00FD158B">
        <w:instrText>HYPERLINK "http://ap.ejo</w:instrText>
      </w:r>
      <w:bookmarkEnd w:id="776"/>
      <w:r w:rsidR="00FD158B">
        <w:instrText>urnal.ascc.net/cgi-bin/sciserv.pl?collection=journals&amp;journal=00244066"</w:instrText>
      </w:r>
      <w:r w:rsidR="00206C8A">
        <w:fldChar w:fldCharType="separate"/>
      </w:r>
      <w:r w:rsidRPr="001A3D2B">
        <w:rPr>
          <w:rStyle w:val="a5"/>
        </w:rPr>
        <w:t>Biological Journal</w:t>
      </w:r>
      <w:r w:rsidR="00427468">
        <w:rPr>
          <w:rStyle w:val="a5"/>
        </w:rPr>
        <w:t xml:space="preserve"> of </w:t>
      </w:r>
      <w:r w:rsidR="003A1917">
        <w:rPr>
          <w:rStyle w:val="a5"/>
        </w:rPr>
        <w:t xml:space="preserve">the </w:t>
      </w:r>
      <w:r w:rsidRPr="001A3D2B">
        <w:rPr>
          <w:rStyle w:val="a5"/>
        </w:rPr>
        <w:t>Linnean Society</w:t>
      </w:r>
      <w:r w:rsidR="00206C8A">
        <w:fldChar w:fldCharType="end"/>
      </w:r>
    </w:p>
    <w:p w:rsidR="00CE64DF" w:rsidRPr="001A3D2B" w:rsidRDefault="00CE64DF" w:rsidP="00CE64DF">
      <w:pPr>
        <w:pStyle w:val="12"/>
      </w:pPr>
      <w:r w:rsidRPr="001A3D2B">
        <w:t>ISO Abbreviated Title: Biol. J. Linnean Soc.</w:t>
      </w:r>
    </w:p>
    <w:p w:rsidR="00CE64DF" w:rsidRPr="001A3D2B" w:rsidRDefault="00CE64DF" w:rsidP="00CE64DF">
      <w:pPr>
        <w:pStyle w:val="12"/>
      </w:pPr>
      <w:r w:rsidRPr="001A3D2B">
        <w:t>JCR Abbreviated Title: Biol J Linn Soc</w:t>
      </w:r>
    </w:p>
    <w:p w:rsidR="00CE64DF" w:rsidRPr="001A3D2B" w:rsidRDefault="00CE64DF" w:rsidP="00CE64DF">
      <w:pPr>
        <w:pStyle w:val="12"/>
      </w:pPr>
      <w:r w:rsidRPr="001A3D2B">
        <w:t>ISSN: 0024-4066</w:t>
      </w:r>
    </w:p>
    <w:p w:rsidR="00CE64DF" w:rsidRPr="001A3D2B" w:rsidRDefault="00CE64DF" w:rsidP="00CE64DF">
      <w:pPr>
        <w:pStyle w:val="12"/>
      </w:pPr>
      <w:r w:rsidRPr="001A3D2B">
        <w:t>Issues/Year: 12</w:t>
      </w:r>
    </w:p>
    <w:p w:rsidR="00CE64DF" w:rsidRPr="001A3D2B" w:rsidRDefault="00CE64DF" w:rsidP="00CE64DF">
      <w:pPr>
        <w:pStyle w:val="12"/>
      </w:pPr>
      <w:r w:rsidRPr="001A3D2B">
        <w:t>Journal Country/Territory: England</w:t>
      </w:r>
    </w:p>
    <w:p w:rsidR="00CE64DF" w:rsidRPr="001A3D2B" w:rsidRDefault="00CE64DF" w:rsidP="00CE64DF">
      <w:pPr>
        <w:pStyle w:val="12"/>
      </w:pPr>
      <w:r w:rsidRPr="001A3D2B">
        <w:t>Language: English</w:t>
      </w:r>
    </w:p>
    <w:p w:rsidR="00CE64DF" w:rsidRPr="001A3D2B" w:rsidRDefault="00CE64DF" w:rsidP="00CE64DF">
      <w:pPr>
        <w:pStyle w:val="12"/>
      </w:pPr>
      <w:r w:rsidRPr="001A3D2B">
        <w:t>Publisher: Academic Press Ltd</w:t>
      </w:r>
    </w:p>
    <w:p w:rsidR="00CE64DF" w:rsidRPr="001A3D2B" w:rsidRDefault="00CE64DF" w:rsidP="00CE64DF">
      <w:pPr>
        <w:pStyle w:val="12"/>
      </w:pPr>
      <w:r w:rsidRPr="001A3D2B">
        <w:t>Publisher Address: 24-28 Oval Rd, London NW1 7DX, England</w:t>
      </w:r>
    </w:p>
    <w:p w:rsidR="00CE64DF" w:rsidRPr="001A3D2B" w:rsidRDefault="00CE64DF" w:rsidP="00CE64DF">
      <w:pPr>
        <w:pStyle w:val="12"/>
      </w:pPr>
      <w:r w:rsidRPr="001A3D2B">
        <w:t xml:space="preserve">Subject Categories: </w:t>
      </w:r>
    </w:p>
    <w:p w:rsidR="00CE64DF" w:rsidRPr="001A3D2B" w:rsidRDefault="00CE64DF" w:rsidP="00CE64DF">
      <w:pPr>
        <w:pStyle w:val="12"/>
      </w:pPr>
      <w:r w:rsidRPr="001A3D2B">
        <w:t>Evolutionary Biology: Impact Factor 2.308, 15/30 (2001)</w:t>
      </w:r>
    </w:p>
    <w:p w:rsidR="00DA6EE8" w:rsidRPr="001A3D2B" w:rsidRDefault="00DA6EE8" w:rsidP="00DA6EE8">
      <w:pPr>
        <w:pStyle w:val="a3"/>
        <w:rPr>
          <w:kern w:val="0"/>
          <w:szCs w:val="24"/>
        </w:rPr>
      </w:pPr>
      <w:r w:rsidRPr="001A3D2B">
        <w:rPr>
          <w:kern w:val="0"/>
          <w:szCs w:val="24"/>
        </w:rPr>
        <w:t>? Sundberg, P.</w:t>
      </w:r>
      <w:r w:rsidR="005853A9">
        <w:rPr>
          <w:kern w:val="0"/>
          <w:szCs w:val="24"/>
        </w:rPr>
        <w:t xml:space="preserve"> and </w:t>
      </w:r>
      <w:r w:rsidRPr="001A3D2B">
        <w:rPr>
          <w:kern w:val="0"/>
          <w:szCs w:val="24"/>
        </w:rPr>
        <w:t xml:space="preserve">Strand, M. (2009), Taxonomic inflation or taxonomist deflation? A comment on Dubois. </w:t>
      </w:r>
      <w:r w:rsidRPr="001A3D2B">
        <w:rPr>
          <w:i/>
          <w:iCs/>
          <w:kern w:val="0"/>
          <w:szCs w:val="24"/>
        </w:rPr>
        <w:t>Biological Journal</w:t>
      </w:r>
      <w:r w:rsidR="00427468">
        <w:rPr>
          <w:i/>
          <w:iCs/>
          <w:kern w:val="0"/>
          <w:szCs w:val="24"/>
        </w:rPr>
        <w:t xml:space="preserve"> of </w:t>
      </w:r>
      <w:r w:rsidR="003A1917">
        <w:rPr>
          <w:i/>
          <w:iCs/>
          <w:kern w:val="0"/>
          <w:szCs w:val="24"/>
        </w:rPr>
        <w:t xml:space="preserve">the </w:t>
      </w:r>
      <w:r w:rsidRPr="001A3D2B">
        <w:rPr>
          <w:i/>
          <w:iCs/>
          <w:kern w:val="0"/>
          <w:szCs w:val="24"/>
        </w:rPr>
        <w:t>Linnean Society</w:t>
      </w:r>
      <w:r w:rsidRPr="001A3D2B">
        <w:rPr>
          <w:kern w:val="0"/>
          <w:szCs w:val="24"/>
        </w:rPr>
        <w:t xml:space="preserve">, </w:t>
      </w:r>
      <w:r w:rsidRPr="001A3D2B">
        <w:rPr>
          <w:b/>
          <w:bCs/>
          <w:kern w:val="0"/>
          <w:szCs w:val="24"/>
        </w:rPr>
        <w:t>96</w:t>
      </w:r>
      <w:r w:rsidRPr="001A3D2B">
        <w:rPr>
          <w:kern w:val="0"/>
          <w:szCs w:val="24"/>
        </w:rPr>
        <w:t xml:space="preserve"> (3), 712-714.</w:t>
      </w:r>
    </w:p>
    <w:p w:rsidR="00DA6EE8" w:rsidRPr="001A3D2B" w:rsidRDefault="00DA6EE8" w:rsidP="00DA6EE8">
      <w:pPr>
        <w:pStyle w:val="a3"/>
      </w:pPr>
      <w:r w:rsidRPr="001A3D2B">
        <w:t xml:space="preserve">Full Text: </w:t>
      </w:r>
      <w:hyperlink r:id="rId1465" w:history="1">
        <w:r w:rsidRPr="001A3D2B">
          <w:rPr>
            <w:rStyle w:val="a5"/>
          </w:rPr>
          <w:t>2009\Bio J Lin Soc96, 712.pdf</w:t>
        </w:r>
      </w:hyperlink>
    </w:p>
    <w:p w:rsidR="00DA6EE8" w:rsidRPr="001A3D2B" w:rsidRDefault="00DA6EE8" w:rsidP="00DA6EE8">
      <w:pPr>
        <w:pStyle w:val="a3"/>
        <w:rPr>
          <w:kern w:val="0"/>
          <w:szCs w:val="24"/>
        </w:rPr>
      </w:pPr>
      <w:r w:rsidRPr="001A3D2B">
        <w:rPr>
          <w:kern w:val="0"/>
          <w:szCs w:val="24"/>
        </w:rPr>
        <w:t>Abstract: In a recent article, Dubois (2008) discussed</w:t>
      </w:r>
      <w:r w:rsidR="003A1917">
        <w:rPr>
          <w:kern w:val="0"/>
          <w:szCs w:val="24"/>
        </w:rPr>
        <w:t xml:space="preserve"> the </w:t>
      </w:r>
      <w:r w:rsidRPr="001A3D2B">
        <w:rPr>
          <w:kern w:val="0"/>
          <w:szCs w:val="24"/>
        </w:rPr>
        <w:t>problem</w:t>
      </w:r>
      <w:r w:rsidR="00427468">
        <w:rPr>
          <w:kern w:val="0"/>
          <w:szCs w:val="24"/>
        </w:rPr>
        <w:t xml:space="preserve"> of </w:t>
      </w:r>
      <w:r w:rsidRPr="001A3D2B">
        <w:rPr>
          <w:kern w:val="0"/>
          <w:szCs w:val="24"/>
        </w:rPr>
        <w:t>an increasing number</w:t>
      </w:r>
      <w:r w:rsidR="00427468">
        <w:rPr>
          <w:kern w:val="0"/>
          <w:szCs w:val="24"/>
        </w:rPr>
        <w:t xml:space="preserve"> of </w:t>
      </w:r>
      <w:r w:rsidRPr="001A3D2B">
        <w:rPr>
          <w:kern w:val="0"/>
          <w:szCs w:val="24"/>
        </w:rPr>
        <w:t>taxonomic names</w:t>
      </w:r>
      <w:r w:rsidR="005853A9">
        <w:rPr>
          <w:kern w:val="0"/>
          <w:szCs w:val="24"/>
        </w:rPr>
        <w:t xml:space="preserve"> and </w:t>
      </w:r>
      <w:r w:rsidR="003A1917">
        <w:rPr>
          <w:kern w:val="0"/>
          <w:szCs w:val="24"/>
        </w:rPr>
        <w:t xml:space="preserve">the </w:t>
      </w:r>
      <w:r w:rsidRPr="001A3D2B">
        <w:rPr>
          <w:kern w:val="0"/>
          <w:szCs w:val="24"/>
        </w:rPr>
        <w:t>load</w:t>
      </w:r>
      <w:r w:rsidR="00427468">
        <w:rPr>
          <w:kern w:val="0"/>
          <w:szCs w:val="24"/>
        </w:rPr>
        <w:t xml:space="preserve"> of </w:t>
      </w:r>
      <w:r w:rsidRPr="001A3D2B">
        <w:rPr>
          <w:kern w:val="0"/>
          <w:szCs w:val="24"/>
        </w:rPr>
        <w:t>synonymies. Dubios recognized three reasons for an increasing number</w:t>
      </w:r>
      <w:r w:rsidR="00427468">
        <w:rPr>
          <w:kern w:val="0"/>
          <w:szCs w:val="24"/>
        </w:rPr>
        <w:t xml:space="preserve"> of </w:t>
      </w:r>
      <w:r w:rsidRPr="001A3D2B">
        <w:rPr>
          <w:kern w:val="0"/>
          <w:szCs w:val="24"/>
        </w:rPr>
        <w:t>species description: one comprising unwarranted descriptions in an effort to increase citations. We discuss this aspect, arguing that although new names may increase</w:t>
      </w:r>
      <w:r w:rsidR="003A1917">
        <w:rPr>
          <w:kern w:val="0"/>
          <w:szCs w:val="24"/>
        </w:rPr>
        <w:t xml:space="preserve"> the </w:t>
      </w:r>
      <w:r w:rsidRPr="001A3D2B">
        <w:rPr>
          <w:kern w:val="0"/>
          <w:szCs w:val="24"/>
        </w:rPr>
        <w:t>prestige</w:t>
      </w:r>
      <w:r w:rsidR="00427468">
        <w:rPr>
          <w:kern w:val="0"/>
          <w:szCs w:val="24"/>
        </w:rPr>
        <w:t xml:space="preserve"> of </w:t>
      </w:r>
      <w:r w:rsidR="003A1917">
        <w:rPr>
          <w:kern w:val="0"/>
          <w:szCs w:val="24"/>
        </w:rPr>
        <w:t xml:space="preserve">the </w:t>
      </w:r>
      <w:r w:rsidRPr="001A3D2B">
        <w:rPr>
          <w:kern w:val="0"/>
          <w:szCs w:val="24"/>
        </w:rPr>
        <w:t>taxonomist, few journals actually put authors</w:t>
      </w:r>
      <w:r w:rsidR="00427468">
        <w:rPr>
          <w:kern w:val="0"/>
          <w:szCs w:val="24"/>
        </w:rPr>
        <w:t xml:space="preserve"> of </w:t>
      </w:r>
      <w:r w:rsidRPr="001A3D2B">
        <w:rPr>
          <w:kern w:val="0"/>
          <w:szCs w:val="24"/>
        </w:rPr>
        <w:t>taxonomic names in</w:t>
      </w:r>
      <w:r w:rsidR="003A1917">
        <w:rPr>
          <w:kern w:val="0"/>
          <w:szCs w:val="24"/>
        </w:rPr>
        <w:t xml:space="preserve"> the </w:t>
      </w:r>
      <w:r w:rsidRPr="001A3D2B">
        <w:rPr>
          <w:kern w:val="0"/>
          <w:szCs w:val="24"/>
        </w:rPr>
        <w:t>reference lists</w:t>
      </w:r>
      <w:r w:rsidR="005853A9">
        <w:rPr>
          <w:kern w:val="0"/>
          <w:szCs w:val="24"/>
        </w:rPr>
        <w:t xml:space="preserve"> and </w:t>
      </w:r>
      <w:r w:rsidRPr="001A3D2B">
        <w:rPr>
          <w:kern w:val="0"/>
          <w:szCs w:val="24"/>
        </w:rPr>
        <w:t>hence it does not affect citation figures. This practice instead deflates</w:t>
      </w:r>
      <w:r w:rsidR="003A1917">
        <w:rPr>
          <w:kern w:val="0"/>
          <w:szCs w:val="24"/>
        </w:rPr>
        <w:t xml:space="preserve"> the </w:t>
      </w:r>
      <w:r w:rsidRPr="001A3D2B">
        <w:rPr>
          <w:kern w:val="0"/>
          <w:szCs w:val="24"/>
        </w:rPr>
        <w:t>importance</w:t>
      </w:r>
      <w:r w:rsidR="00427468">
        <w:rPr>
          <w:kern w:val="0"/>
          <w:szCs w:val="24"/>
        </w:rPr>
        <w:t xml:space="preserve"> of </w:t>
      </w:r>
      <w:r w:rsidRPr="001A3D2B">
        <w:rPr>
          <w:kern w:val="0"/>
          <w:szCs w:val="24"/>
        </w:rPr>
        <w:t>taxonomic work in a world with increasing bibliometric evaluations</w:t>
      </w:r>
      <w:r w:rsidR="00427468">
        <w:rPr>
          <w:kern w:val="0"/>
          <w:szCs w:val="24"/>
        </w:rPr>
        <w:t xml:space="preserve"> of </w:t>
      </w:r>
      <w:r w:rsidRPr="001A3D2B">
        <w:rPr>
          <w:kern w:val="0"/>
          <w:szCs w:val="24"/>
        </w:rPr>
        <w:t>research output. (C) 2009</w:t>
      </w:r>
      <w:r w:rsidR="003A1917">
        <w:rPr>
          <w:kern w:val="0"/>
          <w:szCs w:val="24"/>
        </w:rPr>
        <w:t xml:space="preserve"> the </w:t>
      </w:r>
      <w:r w:rsidRPr="001A3D2B">
        <w:rPr>
          <w:kern w:val="0"/>
          <w:szCs w:val="24"/>
        </w:rPr>
        <w:t>Linnean Society</w:t>
      </w:r>
      <w:r w:rsidR="00427468">
        <w:rPr>
          <w:kern w:val="0"/>
          <w:szCs w:val="24"/>
        </w:rPr>
        <w:t xml:space="preserve"> of </w:t>
      </w:r>
      <w:r w:rsidRPr="001A3D2B">
        <w:rPr>
          <w:kern w:val="0"/>
          <w:szCs w:val="24"/>
        </w:rPr>
        <w:t>London, Biological Journal</w:t>
      </w:r>
      <w:r w:rsidR="00427468">
        <w:rPr>
          <w:kern w:val="0"/>
          <w:szCs w:val="24"/>
        </w:rPr>
        <w:t xml:space="preserve"> of </w:t>
      </w:r>
      <w:r w:rsidR="003A1917">
        <w:rPr>
          <w:kern w:val="0"/>
          <w:szCs w:val="24"/>
        </w:rPr>
        <w:t xml:space="preserve">the </w:t>
      </w:r>
      <w:r w:rsidRPr="001A3D2B">
        <w:rPr>
          <w:kern w:val="0"/>
          <w:szCs w:val="24"/>
        </w:rPr>
        <w:t>Linnean Society, 2009, 96, 712-714.</w:t>
      </w:r>
    </w:p>
    <w:p w:rsidR="00DA6EE8" w:rsidRPr="001A3D2B" w:rsidRDefault="00DA6EE8" w:rsidP="00DA6EE8">
      <w:pPr>
        <w:pStyle w:val="a3"/>
        <w:rPr>
          <w:kern w:val="0"/>
          <w:szCs w:val="24"/>
        </w:rPr>
      </w:pPr>
      <w:r w:rsidRPr="001A3D2B">
        <w:rPr>
          <w:kern w:val="0"/>
          <w:szCs w:val="24"/>
        </w:rPr>
        <w:t>Keywords: Affect, Authors, Bibliometric, Bibliometry, Citation, Citations, Effort, Inflation, Journals, Load, Mar, Practice, Problem, Reference, Reference Lists, Research, Species, Species Description, Work, World</w:t>
      </w:r>
    </w:p>
    <w:p w:rsidR="003474F2" w:rsidRPr="001A3D2B" w:rsidRDefault="003474F2" w:rsidP="003474F2">
      <w:pPr>
        <w:pStyle w:val="1"/>
      </w:pPr>
      <w:r w:rsidRPr="001A3D2B">
        <w:br w:type="page"/>
      </w:r>
      <w:bookmarkStart w:id="777" w:name="_Toc420814719"/>
      <w:r w:rsidRPr="001A3D2B">
        <w:lastRenderedPageBreak/>
        <w:t>Title: Biological Research</w:t>
      </w:r>
      <w:bookmarkEnd w:id="777"/>
    </w:p>
    <w:p w:rsidR="003474F2" w:rsidRPr="001A3D2B" w:rsidRDefault="003474F2" w:rsidP="003474F2">
      <w:pPr>
        <w:pStyle w:val="12"/>
      </w:pPr>
      <w:r w:rsidRPr="001A3D2B">
        <w:t>Full Journal Title: Biological Research</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Welljams-Dorof, A. (1994), Biological sciences in Chile</w:t>
      </w:r>
      <w:r w:rsidR="005853A9">
        <w:t xml:space="preserve"> and </w:t>
      </w:r>
      <w:r w:rsidRPr="001A3D2B">
        <w:t>South America, 1981-1991: A citationist perspective. Output data</w:t>
      </w:r>
      <w:r w:rsidR="005853A9">
        <w:t xml:space="preserve"> and </w:t>
      </w:r>
      <w:r w:rsidRPr="001A3D2B">
        <w:t xml:space="preserve">specialty area impact trends. </w:t>
      </w:r>
      <w:r w:rsidRPr="001A3D2B">
        <w:rPr>
          <w:i/>
          <w:iCs/>
        </w:rPr>
        <w:t>Biological Research</w:t>
      </w:r>
      <w:r w:rsidRPr="001A3D2B">
        <w:t xml:space="preserve">, </w:t>
      </w:r>
      <w:r w:rsidRPr="001A3D2B">
        <w:rPr>
          <w:b/>
          <w:bCs/>
        </w:rPr>
        <w:t>27</w:t>
      </w:r>
      <w:r w:rsidRPr="001A3D2B">
        <w:t xml:space="preserve"> (2), 91-103.</w:t>
      </w:r>
    </w:p>
    <w:p w:rsidR="003474F2" w:rsidRPr="001A3D2B" w:rsidRDefault="003474F2" w:rsidP="003474F2">
      <w:pPr>
        <w:pStyle w:val="a3"/>
      </w:pPr>
      <w:r w:rsidRPr="001A3D2B">
        <w:t>Abstract:</w:t>
      </w:r>
      <w:r w:rsidR="003A1917">
        <w:t xml:space="preserve"> the </w:t>
      </w:r>
      <w:r w:rsidRPr="001A3D2B">
        <w:t>purpose</w:t>
      </w:r>
      <w:r w:rsidR="00427468">
        <w:t xml:space="preserve"> of </w:t>
      </w:r>
      <w:r w:rsidRPr="001A3D2B">
        <w:t>this report is to examine</w:t>
      </w:r>
      <w:r w:rsidR="003A1917">
        <w:t xml:space="preserve"> the </w:t>
      </w:r>
      <w:r w:rsidRPr="001A3D2B">
        <w:t>biological sciences in Chile</w:t>
      </w:r>
      <w:r w:rsidR="005853A9">
        <w:t xml:space="preserve"> and </w:t>
      </w:r>
      <w:r w:rsidRPr="001A3D2B">
        <w:t>South America in bibliographic terms -</w:t>
      </w:r>
      <w:r w:rsidR="003A1917">
        <w:t xml:space="preserve"> the </w:t>
      </w:r>
      <w:r w:rsidRPr="001A3D2B">
        <w:t>number</w:t>
      </w:r>
      <w:r w:rsidR="00427468">
        <w:t xml:space="preserve"> of </w:t>
      </w:r>
      <w:r w:rsidRPr="001A3D2B">
        <w:t>papers each nation published from 1981-1991</w:t>
      </w:r>
      <w:r w:rsidR="005853A9">
        <w:t xml:space="preserve"> and </w:t>
      </w:r>
      <w:r w:rsidR="003A1917">
        <w:t xml:space="preserve">the </w:t>
      </w:r>
      <w:r w:rsidRPr="001A3D2B">
        <w:t>number</w:t>
      </w:r>
      <w:r w:rsidR="00427468">
        <w:t xml:space="preserve"> of </w:t>
      </w:r>
      <w:r w:rsidRPr="001A3D2B">
        <w:t>citations to them in</w:t>
      </w:r>
      <w:r w:rsidR="003A1917">
        <w:t xml:space="preserve"> the </w:t>
      </w:r>
      <w:r w:rsidRPr="001A3D2B">
        <w:t>international research literature</w:t>
      </w:r>
      <w:r w:rsidR="00A37C1D">
        <w:t>. The</w:t>
      </w:r>
      <w:r w:rsidR="003A1917">
        <w:t xml:space="preserve"> </w:t>
      </w:r>
      <w:r w:rsidRPr="001A3D2B">
        <w:t>database consists</w:t>
      </w:r>
      <w:r w:rsidR="00427468">
        <w:t xml:space="preserve"> of </w:t>
      </w:r>
      <w:r w:rsidRPr="001A3D2B">
        <w:t>34,600 biological science papers from Argentina, Brazil, Chile,</w:t>
      </w:r>
      <w:r w:rsidR="005853A9">
        <w:t xml:space="preserve"> and </w:t>
      </w:r>
      <w:r w:rsidRPr="001A3D2B">
        <w:t>Venezuela in</w:t>
      </w:r>
      <w:r w:rsidR="003A1917">
        <w:t xml:space="preserve"> the </w:t>
      </w:r>
      <w:r w:rsidRPr="001A3D2B">
        <w:t>1981-1991 Science Citation Index files</w:t>
      </w:r>
      <w:r w:rsidR="00427468">
        <w:t xml:space="preserve"> of </w:t>
      </w:r>
      <w:r w:rsidR="003A1917">
        <w:t xml:space="preserve">the </w:t>
      </w:r>
      <w:r w:rsidRPr="001A3D2B">
        <w:t>Institute for Scientific Information. Twelve specialty areas were selected to represent</w:t>
      </w:r>
      <w:r w:rsidR="003A1917">
        <w:t xml:space="preserve"> the </w:t>
      </w:r>
      <w:r w:rsidRPr="001A3D2B">
        <w:t>biological sciences</w:t>
      </w:r>
      <w:r w:rsidR="00427468">
        <w:t xml:space="preserve"> of </w:t>
      </w:r>
      <w:r w:rsidRPr="001A3D2B">
        <w:t>special interest to Chile: animal sciences, biochemistry/biophysics, environmental sciences, experimental biology/medicine, immunology, microbiology/cell biology, molecular biology/genetics, neurosciences, pharmacology, physiology, plant sciences,</w:t>
      </w:r>
      <w:r w:rsidR="005853A9">
        <w:t xml:space="preserve"> and </w:t>
      </w:r>
      <w:r w:rsidRPr="001A3D2B">
        <w:t>reproductive sciences. Data are reported on</w:t>
      </w:r>
      <w:r w:rsidR="003A1917">
        <w:t xml:space="preserve"> the </w:t>
      </w:r>
      <w:r w:rsidRPr="001A3D2B">
        <w:t>number</w:t>
      </w:r>
      <w:r w:rsidR="00427468">
        <w:t xml:space="preserve"> of </w:t>
      </w:r>
      <w:r w:rsidRPr="001A3D2B">
        <w:t>papers in these fields, combined, by authors based in Chile</w:t>
      </w:r>
      <w:r w:rsidR="005853A9">
        <w:t xml:space="preserve"> and </w:t>
      </w:r>
      <w:r w:rsidRPr="001A3D2B">
        <w:t>other South American nations. In addition, time-series trends in</w:t>
      </w:r>
      <w:r w:rsidR="003A1917">
        <w:t xml:space="preserve"> the </w:t>
      </w:r>
      <w:r w:rsidRPr="001A3D2B">
        <w:t>impact (average citations per paper)</w:t>
      </w:r>
      <w:r w:rsidR="00427468">
        <w:t xml:space="preserve"> of </w:t>
      </w:r>
      <w:r w:rsidRPr="001A3D2B">
        <w:t>Chilean research relative to South America as a whole, overall</w:t>
      </w:r>
      <w:r w:rsidR="005853A9">
        <w:t xml:space="preserve"> and </w:t>
      </w:r>
      <w:r w:rsidRPr="001A3D2B">
        <w:t>in each specialty, are presented</w:t>
      </w:r>
      <w:r w:rsidR="005853A9">
        <w:t xml:space="preserve"> and </w:t>
      </w:r>
      <w:r w:rsidRPr="001A3D2B">
        <w:t>discussed.</w:t>
      </w:r>
    </w:p>
    <w:p w:rsidR="003474F2" w:rsidRPr="001A3D2B" w:rsidRDefault="003474F2" w:rsidP="003474F2">
      <w:pPr>
        <w:pStyle w:val="a3"/>
      </w:pPr>
      <w:r w:rsidRPr="001A3D2B">
        <w:t>Keywords: Argentina, Biological, Biological Sciences, Biology, Brazil, Chile, Citations, Data, Database, Environmental, Experimental, Impact, Institute for Scientific Information, International, Literature, Nations, Papers, Pharmacology, Physiology, Plant, Purpose, Research, Science, Science Citation Index, Sciences, South America, Specialty, Time Series, Trends</w:t>
      </w:r>
    </w:p>
    <w:p w:rsidR="003474F2" w:rsidRPr="001A3D2B" w:rsidRDefault="003474F2" w:rsidP="003474F2">
      <w:pPr>
        <w:pStyle w:val="a3"/>
      </w:pPr>
      <w:r w:rsidRPr="001A3D2B">
        <w:t>? Krauskopf, M. (2002), A scientometric view</w:t>
      </w:r>
      <w:r w:rsidR="00427468">
        <w:t xml:space="preserve"> of </w:t>
      </w:r>
      <w:r w:rsidRPr="001A3D2B">
        <w:t xml:space="preserve">some biological disciplines in Chile. </w:t>
      </w:r>
      <w:r w:rsidRPr="001A3D2B">
        <w:rPr>
          <w:i/>
          <w:iCs/>
        </w:rPr>
        <w:t>Biological Research</w:t>
      </w:r>
      <w:r w:rsidRPr="001A3D2B">
        <w:t xml:space="preserve">, </w:t>
      </w:r>
      <w:r w:rsidRPr="001A3D2B">
        <w:rPr>
          <w:b/>
          <w:bCs/>
        </w:rPr>
        <w:t>35</w:t>
      </w:r>
      <w:r w:rsidRPr="001A3D2B">
        <w:t xml:space="preserve"> (1), 95-99.</w:t>
      </w:r>
    </w:p>
    <w:p w:rsidR="003474F2" w:rsidRPr="001A3D2B" w:rsidRDefault="003474F2" w:rsidP="003474F2">
      <w:pPr>
        <w:pStyle w:val="a3"/>
      </w:pPr>
      <w:r w:rsidRPr="001A3D2B">
        <w:t>Abstract: During</w:t>
      </w:r>
      <w:r w:rsidR="003A1917">
        <w:t xml:space="preserve"> the </w:t>
      </w:r>
      <w:r w:rsidRPr="001A3D2B">
        <w:t>last decade</w:t>
      </w:r>
      <w:r w:rsidR="003A1917">
        <w:t xml:space="preserve"> the </w:t>
      </w:r>
      <w:r w:rsidRPr="001A3D2B">
        <w:t xml:space="preserve">articles published by Chilean Research Centers </w:t>
      </w:r>
      <w:r w:rsidRPr="001A3D2B">
        <w:lastRenderedPageBreak/>
        <w:t>grew 1,73 which compares to</w:t>
      </w:r>
      <w:r w:rsidR="003A1917">
        <w:t xml:space="preserve"> the </w:t>
      </w:r>
      <w:r w:rsidRPr="001A3D2B">
        <w:t>2.34 fold increase</w:t>
      </w:r>
      <w:r w:rsidR="00427468">
        <w:t xml:space="preserve"> of </w:t>
      </w:r>
      <w:r w:rsidRPr="001A3D2B">
        <w:t>mainstream research articles registered as a whole in Latin America. However,</w:t>
      </w:r>
      <w:r w:rsidR="003A1917">
        <w:t xml:space="preserve"> the </w:t>
      </w:r>
      <w:r w:rsidRPr="001A3D2B">
        <w:t>relative impact</w:t>
      </w:r>
      <w:r w:rsidR="00427468">
        <w:t xml:space="preserve"> of </w:t>
      </w:r>
      <w:r w:rsidR="003A1917">
        <w:t xml:space="preserve">the </w:t>
      </w:r>
      <w:r w:rsidRPr="001A3D2B">
        <w:t>Chilean publications surpassed that</w:t>
      </w:r>
      <w:r w:rsidR="00427468">
        <w:t xml:space="preserve"> of </w:t>
      </w:r>
      <w:r w:rsidRPr="001A3D2B">
        <w:t>Latin America. In Biological Sciences, traditionally</w:t>
      </w:r>
      <w:r w:rsidR="003A1917">
        <w:t xml:space="preserve"> the </w:t>
      </w:r>
      <w:r w:rsidRPr="001A3D2B">
        <w:t>strongest research area within Chile, Latin America also shows a steeper slope</w:t>
      </w:r>
      <w:r w:rsidR="00427468">
        <w:t xml:space="preserve"> of </w:t>
      </w:r>
      <w:r w:rsidRPr="001A3D2B">
        <w:t>growth. Qualitatively, biological disciplines in Chile are comparable to those published in Latin America although in Chile there are specialties as Physiology that surpass</w:t>
      </w:r>
      <w:r w:rsidR="003A1917">
        <w:t xml:space="preserve"> the </w:t>
      </w:r>
      <w:r w:rsidRPr="001A3D2B">
        <w:t>average world</w:t>
      </w:r>
      <w:r w:rsidR="00700038">
        <w:t>’</w:t>
      </w:r>
      <w:r w:rsidR="00C13DDC">
        <w:t>s</w:t>
      </w:r>
      <w:r w:rsidRPr="001A3D2B">
        <w:t xml:space="preserve"> impact</w:t>
      </w:r>
      <w:r w:rsidR="00A37C1D">
        <w:t>. The</w:t>
      </w:r>
      <w:r w:rsidR="003A1917">
        <w:t xml:space="preserve"> </w:t>
      </w:r>
      <w:r w:rsidRPr="001A3D2B">
        <w:t>scientometric data is consistent with</w:t>
      </w:r>
      <w:r w:rsidR="003A1917">
        <w:t xml:space="preserve"> the </w:t>
      </w:r>
      <w:r w:rsidRPr="001A3D2B">
        <w:t>fall in individual grants that</w:t>
      </w:r>
      <w:r w:rsidR="003A1917">
        <w:t xml:space="preserve"> the </w:t>
      </w:r>
      <w:r w:rsidRPr="001A3D2B">
        <w:t>Chilean Research Fund (FONDECYT) has been allocating during</w:t>
      </w:r>
      <w:r w:rsidR="003A1917">
        <w:t xml:space="preserve"> the </w:t>
      </w:r>
      <w:r w:rsidRPr="001A3D2B">
        <w:t>last decade.</w:t>
      </w:r>
    </w:p>
    <w:p w:rsidR="003474F2" w:rsidRPr="001A3D2B" w:rsidRDefault="003474F2" w:rsidP="003474F2">
      <w:pPr>
        <w:pStyle w:val="a3"/>
      </w:pPr>
      <w:r w:rsidRPr="001A3D2B">
        <w:t>Keywords: Biological, Chile, Data, Growth, Impact, Latin America, Publications, Research, Scientometric</w:t>
      </w:r>
    </w:p>
    <w:p w:rsidR="003474F2" w:rsidRPr="001A3D2B" w:rsidRDefault="003474F2" w:rsidP="003474F2">
      <w:pPr>
        <w:pStyle w:val="1"/>
      </w:pPr>
      <w:r w:rsidRPr="001A3D2B">
        <w:br w:type="page"/>
      </w:r>
      <w:bookmarkStart w:id="778" w:name="_Toc420814720"/>
      <w:r w:rsidRPr="001A3D2B">
        <w:lastRenderedPageBreak/>
        <w:t xml:space="preserve">Title: </w:t>
      </w:r>
      <w:r w:rsidRPr="001A3D2B">
        <w:rPr>
          <w:iCs w:val="0"/>
          <w:szCs w:val="24"/>
        </w:rPr>
        <w:t>Biologist</w:t>
      </w:r>
      <w:bookmarkEnd w:id="778"/>
    </w:p>
    <w:p w:rsidR="003474F2" w:rsidRPr="001A3D2B" w:rsidRDefault="003474F2" w:rsidP="003474F2">
      <w:pPr>
        <w:pStyle w:val="12"/>
      </w:pPr>
      <w:r w:rsidRPr="001A3D2B">
        <w:t>Full Journal Title: Biologist</w:t>
      </w:r>
    </w:p>
    <w:p w:rsidR="003474F2" w:rsidRPr="001A3D2B" w:rsidRDefault="003474F2" w:rsidP="003474F2">
      <w:pPr>
        <w:pStyle w:val="12"/>
      </w:pPr>
      <w:r w:rsidRPr="001A3D2B">
        <w:t>ISO Abbreviated Title: Biologist</w:t>
      </w:r>
    </w:p>
    <w:p w:rsidR="003474F2" w:rsidRPr="001A3D2B" w:rsidRDefault="003474F2" w:rsidP="003474F2">
      <w:pPr>
        <w:pStyle w:val="12"/>
      </w:pPr>
      <w:r w:rsidRPr="001A3D2B">
        <w:t>JCR Abbreviated Title: Biologist</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Anderson, D. (1988</w:t>
      </w:r>
      <w:r w:rsidR="00F42EAC">
        <w:t>), The</w:t>
      </w:r>
      <w:r w:rsidR="003A1917">
        <w:t xml:space="preserve"> </w:t>
      </w:r>
      <w:r w:rsidRPr="001A3D2B">
        <w:t xml:space="preserve">Science Citation Index. </w:t>
      </w:r>
      <w:r w:rsidRPr="001A3D2B">
        <w:rPr>
          <w:i/>
          <w:iCs/>
        </w:rPr>
        <w:t>Biologist</w:t>
      </w:r>
      <w:r w:rsidRPr="001A3D2B">
        <w:t xml:space="preserve">, </w:t>
      </w:r>
      <w:r w:rsidRPr="001A3D2B">
        <w:rPr>
          <w:b/>
          <w:bCs/>
        </w:rPr>
        <w:t>35</w:t>
      </w:r>
      <w:r w:rsidRPr="001A3D2B">
        <w:t xml:space="preserve"> (2), 88.</w:t>
      </w:r>
    </w:p>
    <w:p w:rsidR="003474F2" w:rsidRPr="001A3D2B" w:rsidRDefault="003474F2" w:rsidP="003474F2">
      <w:pPr>
        <w:pStyle w:val="a3"/>
      </w:pPr>
      <w:r w:rsidRPr="001A3D2B">
        <w:t>Keywords: Citation, Science Citation Index</w:t>
      </w:r>
    </w:p>
    <w:p w:rsidR="009C2115" w:rsidRPr="00FC7835" w:rsidRDefault="009C2115" w:rsidP="009C2115">
      <w:pPr>
        <w:pStyle w:val="1"/>
      </w:pPr>
      <w:r w:rsidRPr="00FC7835">
        <w:rPr>
          <w:b w:val="0"/>
        </w:rPr>
        <w:br w:type="page"/>
      </w:r>
      <w:bookmarkStart w:id="779" w:name="_Toc420814721"/>
      <w:r w:rsidRPr="00FC7835">
        <w:lastRenderedPageBreak/>
        <w:t xml:space="preserve">Title: </w:t>
      </w:r>
      <w:r w:rsidRPr="002A2996">
        <w:t>Biology</w:t>
      </w:r>
      <w:r w:rsidR="00427468">
        <w:t xml:space="preserve"> of </w:t>
      </w:r>
      <w:r w:rsidRPr="002A2996">
        <w:t>Blood</w:t>
      </w:r>
      <w:r w:rsidR="005853A9">
        <w:t xml:space="preserve"> and </w:t>
      </w:r>
      <w:r w:rsidRPr="002A2996">
        <w:t>Marrow Transplantation</w:t>
      </w:r>
      <w:bookmarkEnd w:id="779"/>
    </w:p>
    <w:p w:rsidR="009C2115" w:rsidRPr="00FC7835" w:rsidRDefault="009C2115" w:rsidP="009C2115">
      <w:pPr>
        <w:pStyle w:val="12"/>
      </w:pPr>
      <w:r w:rsidRPr="00FC7835">
        <w:t xml:space="preserve">Full Journal Title: </w:t>
      </w:r>
      <w:r w:rsidRPr="002A2996">
        <w:rPr>
          <w:iCs/>
          <w:kern w:val="0"/>
        </w:rPr>
        <w:t>Biology</w:t>
      </w:r>
      <w:r w:rsidR="00427468">
        <w:rPr>
          <w:iCs/>
          <w:kern w:val="0"/>
        </w:rPr>
        <w:t xml:space="preserve"> of </w:t>
      </w:r>
      <w:r w:rsidRPr="002A2996">
        <w:rPr>
          <w:iCs/>
          <w:kern w:val="0"/>
        </w:rPr>
        <w:t>Blood</w:t>
      </w:r>
      <w:r w:rsidR="005853A9">
        <w:rPr>
          <w:iCs/>
          <w:kern w:val="0"/>
        </w:rPr>
        <w:t xml:space="preserve"> and </w:t>
      </w:r>
      <w:r w:rsidRPr="002A2996">
        <w:rPr>
          <w:iCs/>
          <w:kern w:val="0"/>
        </w:rPr>
        <w:t>Marrow Transplantation</w:t>
      </w:r>
    </w:p>
    <w:p w:rsidR="009C2115" w:rsidRPr="00FC7835" w:rsidRDefault="009C2115" w:rsidP="009C2115">
      <w:pPr>
        <w:pStyle w:val="12"/>
      </w:pPr>
      <w:r w:rsidRPr="00FC7835">
        <w:t xml:space="preserve">ISO Abbreviated Title: </w:t>
      </w:r>
    </w:p>
    <w:p w:rsidR="009C2115" w:rsidRPr="00FC7835" w:rsidRDefault="009C2115" w:rsidP="009C2115">
      <w:pPr>
        <w:pStyle w:val="12"/>
      </w:pPr>
      <w:r w:rsidRPr="00FC7835">
        <w:t xml:space="preserve">JCR Abbreviated Title: </w:t>
      </w:r>
    </w:p>
    <w:p w:rsidR="009C2115" w:rsidRPr="00FC7835" w:rsidRDefault="009C2115" w:rsidP="009C2115">
      <w:pPr>
        <w:pStyle w:val="12"/>
      </w:pPr>
      <w:r w:rsidRPr="00FC7835">
        <w:t xml:space="preserve">ISSN: </w:t>
      </w:r>
    </w:p>
    <w:p w:rsidR="009C2115" w:rsidRPr="00FC7835" w:rsidRDefault="009C2115" w:rsidP="009C2115">
      <w:pPr>
        <w:pStyle w:val="12"/>
      </w:pPr>
      <w:r w:rsidRPr="00FC7835">
        <w:t xml:space="preserve">Issues/Year: </w:t>
      </w:r>
    </w:p>
    <w:p w:rsidR="009C2115" w:rsidRPr="00FC7835" w:rsidRDefault="009C2115" w:rsidP="009C2115">
      <w:pPr>
        <w:pStyle w:val="12"/>
      </w:pPr>
      <w:r w:rsidRPr="00FC7835">
        <w:t xml:space="preserve">Journal Country/Territory: </w:t>
      </w:r>
    </w:p>
    <w:p w:rsidR="009C2115" w:rsidRPr="00FC7835" w:rsidRDefault="009C2115" w:rsidP="009C2115">
      <w:pPr>
        <w:pStyle w:val="12"/>
      </w:pPr>
      <w:r w:rsidRPr="00FC7835">
        <w:t xml:space="preserve">Language: </w:t>
      </w:r>
    </w:p>
    <w:p w:rsidR="009C2115" w:rsidRPr="00FC7835" w:rsidRDefault="009C2115" w:rsidP="009C2115">
      <w:pPr>
        <w:pStyle w:val="12"/>
      </w:pPr>
      <w:r w:rsidRPr="00FC7835">
        <w:t xml:space="preserve">Publisher: </w:t>
      </w:r>
    </w:p>
    <w:p w:rsidR="009C2115" w:rsidRPr="00FC7835" w:rsidRDefault="009C2115" w:rsidP="009C2115">
      <w:pPr>
        <w:pStyle w:val="12"/>
      </w:pPr>
      <w:r w:rsidRPr="00FC7835">
        <w:t xml:space="preserve">Publisher Address: </w:t>
      </w:r>
    </w:p>
    <w:p w:rsidR="009C2115" w:rsidRPr="00FC7835" w:rsidRDefault="009C2115" w:rsidP="009C2115">
      <w:pPr>
        <w:pStyle w:val="12"/>
      </w:pPr>
      <w:r w:rsidRPr="00FC7835">
        <w:t xml:space="preserve">Subject Categories: </w:t>
      </w:r>
    </w:p>
    <w:p w:rsidR="009C2115" w:rsidRPr="00FC7835" w:rsidRDefault="009C2115" w:rsidP="009C2115">
      <w:pPr>
        <w:pStyle w:val="12"/>
      </w:pPr>
      <w:r w:rsidRPr="00FC7835">
        <w:t>: Impact Factor</w:t>
      </w:r>
    </w:p>
    <w:p w:rsidR="009C2115" w:rsidRDefault="009C2115" w:rsidP="009C2115">
      <w:pPr>
        <w:pStyle w:val="a3"/>
        <w:rPr>
          <w:kern w:val="0"/>
        </w:rPr>
      </w:pPr>
      <w:r>
        <w:rPr>
          <w:rFonts w:hint="eastAsia"/>
          <w:kern w:val="0"/>
        </w:rPr>
        <w:t xml:space="preserve">? </w:t>
      </w:r>
      <w:r>
        <w:rPr>
          <w:kern w:val="0"/>
        </w:rPr>
        <w:t>Saeed, M., Paulson, K., Lambert, P., Szwajcer, D.</w:t>
      </w:r>
      <w:r w:rsidR="005853A9">
        <w:rPr>
          <w:kern w:val="0"/>
        </w:rPr>
        <w:t xml:space="preserve"> and </w:t>
      </w:r>
      <w:r>
        <w:rPr>
          <w:kern w:val="0"/>
        </w:rPr>
        <w:t>Seftel, M. (2011), Publication bias in blood</w:t>
      </w:r>
      <w:r w:rsidR="005853A9">
        <w:rPr>
          <w:kern w:val="0"/>
        </w:rPr>
        <w:t xml:space="preserve"> and </w:t>
      </w:r>
      <w:r>
        <w:rPr>
          <w:kern w:val="0"/>
        </w:rPr>
        <w:t xml:space="preserve">marrow transplantation. </w:t>
      </w:r>
      <w:r w:rsidRPr="002A2996">
        <w:rPr>
          <w:i/>
          <w:iCs/>
          <w:kern w:val="0"/>
        </w:rPr>
        <w:t>Biology</w:t>
      </w:r>
      <w:r w:rsidR="00427468">
        <w:rPr>
          <w:i/>
          <w:iCs/>
          <w:kern w:val="0"/>
        </w:rPr>
        <w:t xml:space="preserve"> of </w:t>
      </w:r>
      <w:r w:rsidRPr="002A2996">
        <w:rPr>
          <w:i/>
          <w:iCs/>
          <w:kern w:val="0"/>
        </w:rPr>
        <w:t>Blood</w:t>
      </w:r>
      <w:r w:rsidR="005853A9">
        <w:rPr>
          <w:i/>
          <w:iCs/>
          <w:kern w:val="0"/>
        </w:rPr>
        <w:t xml:space="preserve"> and </w:t>
      </w:r>
      <w:r w:rsidRPr="002A2996">
        <w:rPr>
          <w:i/>
          <w:iCs/>
          <w:kern w:val="0"/>
        </w:rPr>
        <w:t>Marrow Transplantation</w:t>
      </w:r>
      <w:r>
        <w:rPr>
          <w:kern w:val="0"/>
        </w:rPr>
        <w:t xml:space="preserve">, </w:t>
      </w:r>
      <w:r>
        <w:rPr>
          <w:b/>
          <w:bCs/>
          <w:kern w:val="0"/>
        </w:rPr>
        <w:t>17</w:t>
      </w:r>
      <w:r>
        <w:rPr>
          <w:kern w:val="0"/>
        </w:rPr>
        <w:t xml:space="preserve"> (6), 930-934.</w:t>
      </w:r>
    </w:p>
    <w:p w:rsidR="009C2115" w:rsidRDefault="009C2115" w:rsidP="009C2115">
      <w:pPr>
        <w:pStyle w:val="a3"/>
        <w:rPr>
          <w:kern w:val="0"/>
        </w:rPr>
      </w:pPr>
      <w:r>
        <w:rPr>
          <w:kern w:val="0"/>
        </w:rPr>
        <w:t>Abstract: Only a small proportion</w:t>
      </w:r>
      <w:r w:rsidR="00427468">
        <w:rPr>
          <w:kern w:val="0"/>
        </w:rPr>
        <w:t xml:space="preserve"> of </w:t>
      </w:r>
      <w:r>
        <w:rPr>
          <w:kern w:val="0"/>
        </w:rPr>
        <w:t xml:space="preserve">abstracts lead to full publication. Abstracts with </w:t>
      </w:r>
      <w:r w:rsidR="00B5188C">
        <w:rPr>
          <w:kern w:val="0"/>
        </w:rPr>
        <w:t>“</w:t>
      </w:r>
      <w:r>
        <w:rPr>
          <w:kern w:val="0"/>
        </w:rPr>
        <w:t>positive</w:t>
      </w:r>
      <w:r w:rsidR="00B5188C">
        <w:rPr>
          <w:kern w:val="0"/>
        </w:rPr>
        <w:t>”</w:t>
      </w:r>
      <w:r>
        <w:rPr>
          <w:kern w:val="0"/>
        </w:rPr>
        <w:t xml:space="preserve"> results are more likely to be published than other abstracts, leading to publication bias. To date, this issue has not been examined in</w:t>
      </w:r>
      <w:r w:rsidR="003A1917">
        <w:rPr>
          <w:kern w:val="0"/>
        </w:rPr>
        <w:t xml:space="preserve"> the </w:t>
      </w:r>
      <w:r>
        <w:rPr>
          <w:kern w:val="0"/>
        </w:rPr>
        <w:t>blood</w:t>
      </w:r>
      <w:r w:rsidR="005853A9">
        <w:rPr>
          <w:kern w:val="0"/>
        </w:rPr>
        <w:t xml:space="preserve"> and </w:t>
      </w:r>
      <w:r>
        <w:rPr>
          <w:kern w:val="0"/>
        </w:rPr>
        <w:t>marrow transplantation (BMT) literature. We hypothesized that because BMT centers are often based at academic centers,</w:t>
      </w:r>
      <w:r w:rsidR="003A1917">
        <w:rPr>
          <w:kern w:val="0"/>
        </w:rPr>
        <w:t xml:space="preserve"> the </w:t>
      </w:r>
      <w:r>
        <w:rPr>
          <w:kern w:val="0"/>
        </w:rPr>
        <w:t>proportion</w:t>
      </w:r>
      <w:r w:rsidR="00427468">
        <w:rPr>
          <w:kern w:val="0"/>
        </w:rPr>
        <w:t xml:space="preserve"> of </w:t>
      </w:r>
      <w:r>
        <w:rPr>
          <w:kern w:val="0"/>
        </w:rPr>
        <w:t>abstracts leading to publication will be high. All abstracts presented at</w:t>
      </w:r>
      <w:r w:rsidR="003A1917">
        <w:rPr>
          <w:kern w:val="0"/>
        </w:rPr>
        <w:t xml:space="preserve"> the </w:t>
      </w:r>
      <w:r>
        <w:rPr>
          <w:kern w:val="0"/>
        </w:rPr>
        <w:t>Canadian Blood</w:t>
      </w:r>
      <w:r w:rsidR="005853A9">
        <w:rPr>
          <w:kern w:val="0"/>
        </w:rPr>
        <w:t xml:space="preserve"> and </w:t>
      </w:r>
      <w:r>
        <w:rPr>
          <w:kern w:val="0"/>
        </w:rPr>
        <w:t>Marrow Transplant Group biannual meetings in 2002, 2004,</w:t>
      </w:r>
      <w:r w:rsidR="005853A9">
        <w:rPr>
          <w:kern w:val="0"/>
        </w:rPr>
        <w:t xml:space="preserve"> and </w:t>
      </w:r>
      <w:r>
        <w:rPr>
          <w:kern w:val="0"/>
        </w:rPr>
        <w:t>2006 were reviewed</w:t>
      </w:r>
      <w:r w:rsidR="005853A9">
        <w:rPr>
          <w:kern w:val="0"/>
        </w:rPr>
        <w:t xml:space="preserve"> and </w:t>
      </w:r>
      <w:r>
        <w:rPr>
          <w:kern w:val="0"/>
        </w:rPr>
        <w:t>categorized by study type, funding source, single-center or multicenter study, form</w:t>
      </w:r>
      <w:r w:rsidR="00427468">
        <w:rPr>
          <w:kern w:val="0"/>
        </w:rPr>
        <w:t xml:space="preserve"> of </w:t>
      </w:r>
      <w:r>
        <w:rPr>
          <w:kern w:val="0"/>
        </w:rPr>
        <w:t>presentation,</w:t>
      </w:r>
      <w:r w:rsidR="005853A9">
        <w:rPr>
          <w:kern w:val="0"/>
        </w:rPr>
        <w:t xml:space="preserve"> and </w:t>
      </w:r>
      <w:r>
        <w:rPr>
          <w:kern w:val="0"/>
        </w:rPr>
        <w:t>positive or negative results, using</w:t>
      </w:r>
      <w:r w:rsidR="003A1917">
        <w:rPr>
          <w:kern w:val="0"/>
        </w:rPr>
        <w:t xml:space="preserve"> the </w:t>
      </w:r>
      <w:r>
        <w:rPr>
          <w:kern w:val="0"/>
        </w:rPr>
        <w:t>authors</w:t>
      </w:r>
      <w:r w:rsidR="00700038">
        <w:rPr>
          <w:kern w:val="0"/>
        </w:rPr>
        <w:t>’</w:t>
      </w:r>
      <w:r>
        <w:rPr>
          <w:kern w:val="0"/>
        </w:rPr>
        <w:t xml:space="preserve"> definitions. To determine publication, each reference was searched on multiple databases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CINAHL) by first, second,</w:t>
      </w:r>
      <w:r w:rsidR="005853A9">
        <w:rPr>
          <w:kern w:val="0"/>
        </w:rPr>
        <w:t xml:space="preserve"> and </w:t>
      </w:r>
      <w:r>
        <w:rPr>
          <w:kern w:val="0"/>
        </w:rPr>
        <w:t>final author names. Two authors performed abstract categorization</w:t>
      </w:r>
      <w:r w:rsidR="005853A9">
        <w:rPr>
          <w:kern w:val="0"/>
        </w:rPr>
        <w:t xml:space="preserve"> and </w:t>
      </w:r>
      <w:r>
        <w:rPr>
          <w:kern w:val="0"/>
        </w:rPr>
        <w:t>searching,</w:t>
      </w:r>
      <w:r w:rsidR="005853A9">
        <w:rPr>
          <w:kern w:val="0"/>
        </w:rPr>
        <w:t xml:space="preserve"> and </w:t>
      </w:r>
      <w:r>
        <w:rPr>
          <w:kern w:val="0"/>
        </w:rPr>
        <w:t>disagreements were resolved by consensus.</w:t>
      </w:r>
      <w:r w:rsidR="00427468">
        <w:rPr>
          <w:kern w:val="0"/>
        </w:rPr>
        <w:t xml:space="preserve"> of </w:t>
      </w:r>
      <w:r w:rsidR="003A1917">
        <w:rPr>
          <w:kern w:val="0"/>
        </w:rPr>
        <w:t xml:space="preserve">the </w:t>
      </w:r>
      <w:r>
        <w:rPr>
          <w:kern w:val="0"/>
        </w:rPr>
        <w:t>141 abstracts reviewed, only 43 were published (30.4%). Twenty-one studies were published from 2002 (36.8%), compared with 12 from 2004 (24.0%)</w:t>
      </w:r>
      <w:r w:rsidR="005853A9">
        <w:rPr>
          <w:kern w:val="0"/>
        </w:rPr>
        <w:t xml:space="preserve"> and </w:t>
      </w:r>
      <w:r>
        <w:rPr>
          <w:kern w:val="0"/>
        </w:rPr>
        <w:t>10 from 2006 (29.4%) (P = .35). Neither positive results nor</w:t>
      </w:r>
      <w:r w:rsidR="003A1917">
        <w:rPr>
          <w:kern w:val="0"/>
        </w:rPr>
        <w:t xml:space="preserve"> the </w:t>
      </w:r>
      <w:r>
        <w:rPr>
          <w:kern w:val="0"/>
        </w:rPr>
        <w:t>number</w:t>
      </w:r>
      <w:r w:rsidR="00427468">
        <w:rPr>
          <w:kern w:val="0"/>
        </w:rPr>
        <w:t xml:space="preserve"> of </w:t>
      </w:r>
      <w:r>
        <w:rPr>
          <w:kern w:val="0"/>
        </w:rPr>
        <w:t>involved centers were associated with</w:t>
      </w:r>
      <w:r w:rsidR="003A1917">
        <w:rPr>
          <w:kern w:val="0"/>
        </w:rPr>
        <w:t xml:space="preserve"> the </w:t>
      </w:r>
      <w:r>
        <w:rPr>
          <w:kern w:val="0"/>
        </w:rPr>
        <w:t>likelihood</w:t>
      </w:r>
      <w:r w:rsidR="00427468">
        <w:rPr>
          <w:kern w:val="0"/>
        </w:rPr>
        <w:t xml:space="preserve"> of </w:t>
      </w:r>
      <w:r>
        <w:rPr>
          <w:kern w:val="0"/>
        </w:rPr>
        <w:t>publication. Clinical studies (retrospective or prospective) were more likely to be published than nonclinical studies (P = .014). Funded studies</w:t>
      </w:r>
      <w:r w:rsidR="005853A9">
        <w:rPr>
          <w:kern w:val="0"/>
        </w:rPr>
        <w:t xml:space="preserve"> and </w:t>
      </w:r>
      <w:r>
        <w:rPr>
          <w:kern w:val="0"/>
        </w:rPr>
        <w:t>oral presentations were more likely to be published (P = .009</w:t>
      </w:r>
      <w:r w:rsidR="005853A9">
        <w:rPr>
          <w:kern w:val="0"/>
        </w:rPr>
        <w:t xml:space="preserve"> and </w:t>
      </w:r>
      <w:r>
        <w:rPr>
          <w:kern w:val="0"/>
        </w:rPr>
        <w:t>.004, respectively). A low rate</w:t>
      </w:r>
      <w:r w:rsidR="00427468">
        <w:rPr>
          <w:kern w:val="0"/>
        </w:rPr>
        <w:t xml:space="preserve"> of </w:t>
      </w:r>
      <w:r>
        <w:rPr>
          <w:kern w:val="0"/>
        </w:rPr>
        <w:t>publication is seen in</w:t>
      </w:r>
      <w:r w:rsidR="003A1917">
        <w:rPr>
          <w:kern w:val="0"/>
        </w:rPr>
        <w:t xml:space="preserve"> the </w:t>
      </w:r>
      <w:r>
        <w:rPr>
          <w:kern w:val="0"/>
        </w:rPr>
        <w:t>field</w:t>
      </w:r>
      <w:r w:rsidR="00427468">
        <w:rPr>
          <w:kern w:val="0"/>
        </w:rPr>
        <w:t xml:space="preserve"> of </w:t>
      </w:r>
      <w:r>
        <w:rPr>
          <w:kern w:val="0"/>
        </w:rPr>
        <w:t>BMT. Studies with clinical outcomes, externally funded studies,</w:t>
      </w:r>
      <w:r w:rsidR="005853A9">
        <w:rPr>
          <w:kern w:val="0"/>
        </w:rPr>
        <w:t xml:space="preserve"> and </w:t>
      </w:r>
      <w:r>
        <w:rPr>
          <w:kern w:val="0"/>
        </w:rPr>
        <w:t>studies presented orally were more likely to be published. However, there was no publication bias in favor</w:t>
      </w:r>
      <w:r w:rsidR="00427468">
        <w:rPr>
          <w:kern w:val="0"/>
        </w:rPr>
        <w:t xml:space="preserve"> of </w:t>
      </w:r>
      <w:r>
        <w:rPr>
          <w:kern w:val="0"/>
        </w:rPr>
        <w:t xml:space="preserve">studies with positive results. Publication bias should be </w:t>
      </w:r>
      <w:r>
        <w:rPr>
          <w:kern w:val="0"/>
        </w:rPr>
        <w:lastRenderedPageBreak/>
        <w:t>evaluated further at larger BMT meetings,</w:t>
      </w:r>
      <w:r w:rsidR="005853A9">
        <w:rPr>
          <w:kern w:val="0"/>
        </w:rPr>
        <w:t xml:space="preserve"> and </w:t>
      </w:r>
      <w:r>
        <w:rPr>
          <w:kern w:val="0"/>
        </w:rPr>
        <w:t>efforts should be made to encourage full publication</w:t>
      </w:r>
      <w:r w:rsidR="00427468">
        <w:rPr>
          <w:kern w:val="0"/>
        </w:rPr>
        <w:t xml:space="preserve"> of </w:t>
      </w:r>
      <w:r>
        <w:rPr>
          <w:kern w:val="0"/>
        </w:rPr>
        <w:t>scientific abstracts. Biol Blood Marrow Transplant 17: 930-934 (2011) (C) 2011 American Society for Blood</w:t>
      </w:r>
      <w:r w:rsidR="005853A9">
        <w:rPr>
          <w:kern w:val="0"/>
        </w:rPr>
        <w:t xml:space="preserve"> and </w:t>
      </w:r>
      <w:r>
        <w:rPr>
          <w:kern w:val="0"/>
        </w:rPr>
        <w:t>Marrow Transplantation.</w:t>
      </w:r>
    </w:p>
    <w:p w:rsidR="009C2115" w:rsidRDefault="009C2115" w:rsidP="009C2115">
      <w:pPr>
        <w:pStyle w:val="a3"/>
        <w:rPr>
          <w:kern w:val="0"/>
        </w:rPr>
      </w:pPr>
      <w:r>
        <w:rPr>
          <w:kern w:val="0"/>
        </w:rPr>
        <w:t xml:space="preserve">Keywords: Author, Authors, Bias, Blood, Databases, Definitions, EMBASE, Evidence-Based Medicine, Full Publication, Funding, Hematopoietic Cell Transplantation, Lead, Literature, </w:t>
      </w:r>
      <w:r w:rsidR="00D5664A">
        <w:rPr>
          <w:kern w:val="0"/>
        </w:rPr>
        <w:t>MEDLINE</w:t>
      </w:r>
      <w:r>
        <w:rPr>
          <w:kern w:val="0"/>
        </w:rPr>
        <w:t xml:space="preserve">, Outcomes, Publication, Publication Bias, Science, Transplant, </w:t>
      </w:r>
      <w:r w:rsidR="00D5664A">
        <w:rPr>
          <w:kern w:val="0"/>
        </w:rPr>
        <w:t>Web</w:t>
      </w:r>
      <w:r w:rsidR="00427468">
        <w:rPr>
          <w:kern w:val="0"/>
        </w:rPr>
        <w:t xml:space="preserve"> of </w:t>
      </w:r>
      <w:r w:rsidR="00D5664A">
        <w:rPr>
          <w:kern w:val="0"/>
        </w:rPr>
        <w:t>Science</w:t>
      </w:r>
    </w:p>
    <w:p w:rsidR="00950466" w:rsidRPr="00FC7835" w:rsidRDefault="00950466" w:rsidP="00950466">
      <w:pPr>
        <w:pStyle w:val="1"/>
      </w:pPr>
      <w:r w:rsidRPr="00FC7835">
        <w:rPr>
          <w:b w:val="0"/>
        </w:rPr>
        <w:br w:type="page"/>
      </w:r>
      <w:bookmarkStart w:id="780" w:name="_Toc420814722"/>
      <w:r w:rsidRPr="00FC7835">
        <w:lastRenderedPageBreak/>
        <w:t xml:space="preserve">Title: </w:t>
      </w:r>
      <w:r w:rsidRPr="001F2112">
        <w:rPr>
          <w:iCs w:val="0"/>
        </w:rPr>
        <w:t>Biomarkers</w:t>
      </w:r>
      <w:bookmarkEnd w:id="780"/>
    </w:p>
    <w:p w:rsidR="00950466" w:rsidRPr="00FC7835" w:rsidRDefault="00950466" w:rsidP="00950466">
      <w:pPr>
        <w:pStyle w:val="12"/>
      </w:pPr>
      <w:r w:rsidRPr="00FC7835">
        <w:t xml:space="preserve">Full Journal Title: </w:t>
      </w:r>
      <w:r w:rsidRPr="001F2112">
        <w:rPr>
          <w:iCs/>
          <w:kern w:val="0"/>
        </w:rPr>
        <w:t>Biomarkers</w:t>
      </w:r>
    </w:p>
    <w:p w:rsidR="00950466" w:rsidRPr="00FC7835" w:rsidRDefault="00950466" w:rsidP="00950466">
      <w:pPr>
        <w:pStyle w:val="12"/>
      </w:pPr>
      <w:r w:rsidRPr="00FC7835">
        <w:t xml:space="preserve">ISO Abbreviated Title: </w:t>
      </w:r>
      <w:r w:rsidRPr="001F2112">
        <w:rPr>
          <w:iCs/>
          <w:kern w:val="0"/>
        </w:rPr>
        <w:t>Biomarkers</w:t>
      </w:r>
    </w:p>
    <w:p w:rsidR="00950466" w:rsidRPr="00FC7835" w:rsidRDefault="00950466" w:rsidP="00950466">
      <w:pPr>
        <w:pStyle w:val="12"/>
      </w:pPr>
      <w:r w:rsidRPr="00FC7835">
        <w:t xml:space="preserve">JCR Abbreviated Title: </w:t>
      </w:r>
      <w:r w:rsidRPr="001F2112">
        <w:rPr>
          <w:iCs/>
          <w:kern w:val="0"/>
        </w:rPr>
        <w:t>Biomarkers</w:t>
      </w:r>
    </w:p>
    <w:p w:rsidR="00950466" w:rsidRPr="00FC7835" w:rsidRDefault="00950466" w:rsidP="00950466">
      <w:pPr>
        <w:pStyle w:val="12"/>
      </w:pPr>
      <w:r w:rsidRPr="00FC7835">
        <w:t xml:space="preserve">ISSN: </w:t>
      </w:r>
    </w:p>
    <w:p w:rsidR="00950466" w:rsidRPr="00FC7835" w:rsidRDefault="00950466" w:rsidP="00950466">
      <w:pPr>
        <w:pStyle w:val="12"/>
      </w:pPr>
      <w:r w:rsidRPr="00FC7835">
        <w:t xml:space="preserve">Issues/Year: </w:t>
      </w:r>
    </w:p>
    <w:p w:rsidR="00950466" w:rsidRPr="00FC7835" w:rsidRDefault="00950466" w:rsidP="00950466">
      <w:pPr>
        <w:pStyle w:val="12"/>
      </w:pPr>
      <w:r w:rsidRPr="00FC7835">
        <w:t xml:space="preserve">Journal Country/Territory: </w:t>
      </w:r>
    </w:p>
    <w:p w:rsidR="00950466" w:rsidRPr="00FC7835" w:rsidRDefault="00950466" w:rsidP="00950466">
      <w:pPr>
        <w:pStyle w:val="12"/>
      </w:pPr>
      <w:r w:rsidRPr="00FC7835">
        <w:t xml:space="preserve">Language: </w:t>
      </w:r>
    </w:p>
    <w:p w:rsidR="00950466" w:rsidRPr="00FC7835" w:rsidRDefault="00950466" w:rsidP="00950466">
      <w:pPr>
        <w:pStyle w:val="12"/>
      </w:pPr>
      <w:r w:rsidRPr="00FC7835">
        <w:t xml:space="preserve">Publisher: </w:t>
      </w:r>
    </w:p>
    <w:p w:rsidR="00950466" w:rsidRPr="00FC7835" w:rsidRDefault="00950466" w:rsidP="00950466">
      <w:pPr>
        <w:pStyle w:val="12"/>
      </w:pPr>
      <w:r w:rsidRPr="00FC7835">
        <w:t xml:space="preserve">Publisher Address: </w:t>
      </w:r>
    </w:p>
    <w:p w:rsidR="00950466" w:rsidRPr="00FC7835" w:rsidRDefault="00950466" w:rsidP="00950466">
      <w:pPr>
        <w:pStyle w:val="12"/>
      </w:pPr>
      <w:r w:rsidRPr="00FC7835">
        <w:t xml:space="preserve">Subject Categories: </w:t>
      </w:r>
    </w:p>
    <w:p w:rsidR="00950466" w:rsidRPr="00FC7835" w:rsidRDefault="00950466" w:rsidP="00950466">
      <w:pPr>
        <w:pStyle w:val="12"/>
      </w:pPr>
      <w:r>
        <w:t>: Impact Factor</w:t>
      </w:r>
    </w:p>
    <w:p w:rsidR="00950466" w:rsidRDefault="00950466" w:rsidP="00950466">
      <w:pPr>
        <w:pStyle w:val="a3"/>
        <w:rPr>
          <w:kern w:val="0"/>
        </w:rPr>
      </w:pPr>
      <w:r>
        <w:rPr>
          <w:kern w:val="0"/>
        </w:rPr>
        <w:t>? Meneely, J.P.</w:t>
      </w:r>
      <w:r w:rsidR="005853A9">
        <w:rPr>
          <w:kern w:val="0"/>
        </w:rPr>
        <w:t xml:space="preserve"> and </w:t>
      </w:r>
      <w:r>
        <w:rPr>
          <w:kern w:val="0"/>
        </w:rPr>
        <w:t>Elliott, C.T. (2013), Microcystins: Measuring human exposure</w:t>
      </w:r>
      <w:r w:rsidR="005853A9">
        <w:rPr>
          <w:kern w:val="0"/>
        </w:rPr>
        <w:t xml:space="preserve"> and </w:t>
      </w:r>
      <w:r>
        <w:rPr>
          <w:kern w:val="0"/>
        </w:rPr>
        <w:t xml:space="preserve">the impact on human health. </w:t>
      </w:r>
      <w:r w:rsidRPr="001F2112">
        <w:rPr>
          <w:i/>
          <w:iCs/>
          <w:kern w:val="0"/>
        </w:rPr>
        <w:t>Biomarkers</w:t>
      </w:r>
      <w:r>
        <w:rPr>
          <w:kern w:val="0"/>
        </w:rPr>
        <w:t xml:space="preserve">, </w:t>
      </w:r>
      <w:r>
        <w:rPr>
          <w:b/>
          <w:bCs/>
          <w:kern w:val="0"/>
        </w:rPr>
        <w:t>18</w:t>
      </w:r>
      <w:r>
        <w:rPr>
          <w:kern w:val="0"/>
        </w:rPr>
        <w:t xml:space="preserve"> (8), 639-649.</w:t>
      </w:r>
    </w:p>
    <w:p w:rsidR="00950466" w:rsidRDefault="00950466" w:rsidP="00950466">
      <w:pPr>
        <w:pStyle w:val="a3"/>
        <w:rPr>
          <w:kern w:val="0"/>
        </w:rPr>
      </w:pPr>
      <w:r>
        <w:rPr>
          <w:rFonts w:hint="eastAsia"/>
          <w:kern w:val="0"/>
        </w:rPr>
        <w:t xml:space="preserve">Full Text: </w:t>
      </w:r>
      <w:hyperlink r:id="rId1466" w:history="1">
        <w:r w:rsidRPr="001F2112">
          <w:rPr>
            <w:rStyle w:val="a5"/>
            <w:kern w:val="0"/>
          </w:rPr>
          <w:t>2013\Biomarkers18, 639.pdf</w:t>
        </w:r>
      </w:hyperlink>
    </w:p>
    <w:p w:rsidR="00950466" w:rsidRDefault="00950466" w:rsidP="00950466">
      <w:pPr>
        <w:pStyle w:val="a3"/>
        <w:rPr>
          <w:kern w:val="0"/>
        </w:rPr>
      </w:pPr>
      <w:r>
        <w:rPr>
          <w:kern w:val="0"/>
        </w:rPr>
        <w:t>Abstract: Context: Freshwater cyanobacterial toxins, microcystins, may be a contributing factor to the development</w:t>
      </w:r>
      <w:r w:rsidR="00427468">
        <w:rPr>
          <w:kern w:val="0"/>
        </w:rPr>
        <w:t xml:space="preserve"> of </w:t>
      </w:r>
      <w:r>
        <w:rPr>
          <w:kern w:val="0"/>
        </w:rPr>
        <w:t>hepatocellular cancer</w:t>
      </w:r>
      <w:r w:rsidR="005853A9">
        <w:rPr>
          <w:kern w:val="0"/>
        </w:rPr>
        <w:t xml:space="preserve"> and </w:t>
      </w:r>
      <w:r>
        <w:rPr>
          <w:kern w:val="0"/>
        </w:rPr>
        <w:t>colorectal cancer. Objectives: This review summarizes the toxicity data, exposure routes</w:t>
      </w:r>
      <w:r w:rsidR="005853A9">
        <w:rPr>
          <w:kern w:val="0"/>
        </w:rPr>
        <w:t xml:space="preserve"> and </w:t>
      </w:r>
      <w:r>
        <w:rPr>
          <w:kern w:val="0"/>
        </w:rPr>
        <w:t>the methodologies available to determine exposure to elucidate the relationship to liver</w:t>
      </w:r>
      <w:r w:rsidR="005853A9">
        <w:rPr>
          <w:kern w:val="0"/>
        </w:rPr>
        <w:t xml:space="preserve"> and </w:t>
      </w:r>
      <w:r>
        <w:rPr>
          <w:kern w:val="0"/>
        </w:rPr>
        <w:t xml:space="preserve">colorectal cancer. Methods: Literature searches were conducted using </w:t>
      </w:r>
      <w:r w:rsidR="00D5664A">
        <w:rPr>
          <w:kern w:val="0"/>
        </w:rPr>
        <w:t>MEDLINE</w:t>
      </w:r>
      <w:r>
        <w:rPr>
          <w:kern w:val="0"/>
        </w:rPr>
        <w:t>,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Results: There is evidence</w:t>
      </w:r>
      <w:r w:rsidR="00427468">
        <w:rPr>
          <w:kern w:val="0"/>
        </w:rPr>
        <w:t xml:space="preserve"> of </w:t>
      </w:r>
      <w:r>
        <w:rPr>
          <w:kern w:val="0"/>
        </w:rPr>
        <w:t>human poisonings resulting from exposure to microcystins, however current methods rely on targeted approaches only suitable for acute exposure. No methods exist for the determination</w:t>
      </w:r>
      <w:r w:rsidR="00427468">
        <w:rPr>
          <w:kern w:val="0"/>
        </w:rPr>
        <w:t xml:space="preserve"> of </w:t>
      </w:r>
      <w:r>
        <w:rPr>
          <w:kern w:val="0"/>
        </w:rPr>
        <w:t>chronic exposure to microcystins. Conclusions: With the growing evidence</w:t>
      </w:r>
      <w:r w:rsidR="00427468">
        <w:rPr>
          <w:kern w:val="0"/>
        </w:rPr>
        <w:t xml:space="preserve"> of </w:t>
      </w:r>
      <w:r>
        <w:rPr>
          <w:kern w:val="0"/>
        </w:rPr>
        <w:t>exposure to microcystins</w:t>
      </w:r>
      <w:r w:rsidR="005853A9">
        <w:rPr>
          <w:kern w:val="0"/>
        </w:rPr>
        <w:t xml:space="preserve"> and </w:t>
      </w:r>
      <w:r>
        <w:rPr>
          <w:kern w:val="0"/>
        </w:rPr>
        <w:t>the possible links to cancer, methods to measure medium to long-term human exposure are needed</w:t>
      </w:r>
      <w:r w:rsidR="00A37C1D">
        <w:rPr>
          <w:kern w:val="0"/>
        </w:rPr>
        <w:t>. The</w:t>
      </w:r>
      <w:r>
        <w:rPr>
          <w:kern w:val="0"/>
        </w:rPr>
        <w:t xml:space="preserve"> identification</w:t>
      </w:r>
      <w:r w:rsidR="005853A9">
        <w:rPr>
          <w:kern w:val="0"/>
        </w:rPr>
        <w:t xml:space="preserve"> and </w:t>
      </w:r>
      <w:r>
        <w:rPr>
          <w:kern w:val="0"/>
        </w:rPr>
        <w:t>validation</w:t>
      </w:r>
      <w:r w:rsidR="00427468">
        <w:rPr>
          <w:kern w:val="0"/>
        </w:rPr>
        <w:t xml:space="preserve"> of </w:t>
      </w:r>
      <w:r>
        <w:rPr>
          <w:kern w:val="0"/>
        </w:rPr>
        <w:t>candidate biomarkers are key to undertaking urgently required epidemiological studies.</w:t>
      </w:r>
    </w:p>
    <w:p w:rsidR="00950466" w:rsidRDefault="00950466" w:rsidP="00950466">
      <w:pPr>
        <w:pStyle w:val="a3"/>
        <w:rPr>
          <w:kern w:val="0"/>
        </w:rPr>
      </w:pPr>
      <w:r>
        <w:rPr>
          <w:kern w:val="0"/>
        </w:rPr>
        <w:t xml:space="preserve">Keywords: Biological Evidence, Biomarkers, Blue-Green-Algae, Cancer, Chronic, Colorectal Cancer, Cyanobacterial Hepatotoxin Microcystin, Data, Development, Dietary-Supplements, Drinking-Water, Evidence, Exposure, Health, Hepatotoxic, Human, Human Health, Identification, Impact, Literature, Liver, Liver Damage, Liver-Tumor Promotion, Long Term, Long-Term, Measure, </w:t>
      </w:r>
      <w:r w:rsidR="00D5664A">
        <w:rPr>
          <w:kern w:val="0"/>
        </w:rPr>
        <w:t>MEDLINE</w:t>
      </w:r>
      <w:r>
        <w:rPr>
          <w:kern w:val="0"/>
        </w:rPr>
        <w:t xml:space="preserve">, Methodologies, Methods, Microcystins, Mouse-Liver, Poisonings, Primary Liver Cancer, Protein Phosphatase-1, Pubmed, Results, Review, Rio-De-Janeiro, Science, Toxic Cyanobacteria, Toxicity, Validation, </w:t>
      </w:r>
      <w:r w:rsidR="00D5664A">
        <w:rPr>
          <w:kern w:val="0"/>
        </w:rPr>
        <w:t>Web</w:t>
      </w:r>
      <w:r w:rsidR="00427468">
        <w:rPr>
          <w:kern w:val="0"/>
        </w:rPr>
        <w:t xml:space="preserve"> of </w:t>
      </w:r>
      <w:r w:rsidR="00D5664A">
        <w:rPr>
          <w:kern w:val="0"/>
        </w:rPr>
        <w:t>Science</w:t>
      </w:r>
    </w:p>
    <w:p w:rsidR="00E34926" w:rsidRPr="00FC7835" w:rsidRDefault="00E34926" w:rsidP="00E34926">
      <w:pPr>
        <w:pStyle w:val="1"/>
      </w:pPr>
      <w:r w:rsidRPr="00FC7835">
        <w:rPr>
          <w:b w:val="0"/>
        </w:rPr>
        <w:br w:type="page"/>
      </w:r>
      <w:bookmarkStart w:id="781" w:name="_Toc420814723"/>
      <w:r w:rsidRPr="00FC7835">
        <w:lastRenderedPageBreak/>
        <w:t>Title: Biomass &amp; Bioenergy</w:t>
      </w:r>
      <w:bookmarkEnd w:id="781"/>
    </w:p>
    <w:p w:rsidR="00E34926" w:rsidRPr="002A2A17" w:rsidRDefault="00E34926" w:rsidP="00E34926">
      <w:pPr>
        <w:pStyle w:val="12"/>
      </w:pPr>
      <w:r w:rsidRPr="00FC7835">
        <w:t>Full Journal Title:</w:t>
      </w:r>
      <w:bookmarkStart w:id="782" w:name="_Toc310936626"/>
      <w:r w:rsidRPr="00FC7835">
        <w:t xml:space="preserve"> </w:t>
      </w:r>
      <w:r w:rsidR="00206C8A">
        <w:fldChar w:fldCharType="begin"/>
      </w:r>
      <w:r w:rsidR="00FD158B">
        <w:instrText>HYPERLINK "http://sdos.e</w:instrText>
      </w:r>
      <w:bookmarkEnd w:id="782"/>
      <w:r w:rsidR="00FD158B">
        <w:instrText>journal.ascc.net/cgi-bin/sciserv.pl?collection=journals&amp;journal=09619534"</w:instrText>
      </w:r>
      <w:r w:rsidR="00206C8A">
        <w:fldChar w:fldCharType="separate"/>
      </w:r>
      <w:r w:rsidRPr="00FC7835">
        <w:rPr>
          <w:rStyle w:val="a5"/>
        </w:rPr>
        <w:t>Biomass &amp; Bioenergy</w:t>
      </w:r>
      <w:r w:rsidR="00206C8A">
        <w:fldChar w:fldCharType="end"/>
      </w:r>
    </w:p>
    <w:p w:rsidR="00E34926" w:rsidRPr="002A2A17" w:rsidRDefault="00E34926" w:rsidP="00E34926">
      <w:pPr>
        <w:pStyle w:val="12"/>
      </w:pPr>
      <w:r w:rsidRPr="002A2A17">
        <w:t xml:space="preserve">ISO Abbreviated Title: </w:t>
      </w:r>
      <w:r w:rsidRPr="002A2A17">
        <w:rPr>
          <w:iCs/>
        </w:rPr>
        <w:t>Biomass Bioenerg.</w:t>
      </w:r>
    </w:p>
    <w:p w:rsidR="00E34926" w:rsidRPr="002A2A17" w:rsidRDefault="00E34926" w:rsidP="00E34926">
      <w:pPr>
        <w:pStyle w:val="12"/>
      </w:pPr>
      <w:r w:rsidRPr="002A2A17">
        <w:t xml:space="preserve">JCR Abbreviated Title: </w:t>
      </w:r>
      <w:r w:rsidRPr="002A2A17">
        <w:rPr>
          <w:iCs/>
        </w:rPr>
        <w:t>Biomass Bioenerg</w:t>
      </w:r>
    </w:p>
    <w:p w:rsidR="00E34926" w:rsidRPr="002A2A17" w:rsidRDefault="00E34926" w:rsidP="00E34926">
      <w:pPr>
        <w:pStyle w:val="12"/>
      </w:pPr>
      <w:r w:rsidRPr="002A2A17">
        <w:t>ISSN: 0961-9534</w:t>
      </w:r>
    </w:p>
    <w:p w:rsidR="00E34926" w:rsidRPr="002A2A17" w:rsidRDefault="00E34926" w:rsidP="00E34926">
      <w:pPr>
        <w:pStyle w:val="12"/>
      </w:pPr>
      <w:r w:rsidRPr="002A2A17">
        <w:t>Issues/Year: 10</w:t>
      </w:r>
    </w:p>
    <w:p w:rsidR="00E34926" w:rsidRPr="002A2A17" w:rsidRDefault="00E34926" w:rsidP="00E34926">
      <w:pPr>
        <w:pStyle w:val="12"/>
      </w:pPr>
      <w:r w:rsidRPr="002A2A17">
        <w:t>Journal Country/Territory: England</w:t>
      </w:r>
    </w:p>
    <w:p w:rsidR="00E34926" w:rsidRPr="002A2A17" w:rsidRDefault="00E34926" w:rsidP="00E34926">
      <w:pPr>
        <w:pStyle w:val="12"/>
      </w:pPr>
      <w:r w:rsidRPr="002A2A17">
        <w:t>Language: English</w:t>
      </w:r>
    </w:p>
    <w:p w:rsidR="00E34926" w:rsidRPr="002A2A17" w:rsidRDefault="00E34926" w:rsidP="00E34926">
      <w:pPr>
        <w:pStyle w:val="12"/>
      </w:pPr>
      <w:r w:rsidRPr="002A2A17">
        <w:t>Publisher: Pergamon-Elsevier Science Ltd</w:t>
      </w:r>
    </w:p>
    <w:p w:rsidR="00E34926" w:rsidRPr="002A2A17" w:rsidRDefault="00E34926" w:rsidP="00E34926">
      <w:pPr>
        <w:pStyle w:val="12"/>
      </w:pPr>
      <w:r w:rsidRPr="002A2A17">
        <w:t>Publisher Address:</w:t>
      </w:r>
      <w:r w:rsidR="003A1917">
        <w:t xml:space="preserve"> the </w:t>
      </w:r>
      <w:r w:rsidRPr="002A2A17">
        <w:t>Boulevard, Langford Lane, Kidlington, Oxford OX5 1GB, England</w:t>
      </w:r>
    </w:p>
    <w:p w:rsidR="00E34926" w:rsidRPr="002A2A17" w:rsidRDefault="00E34926" w:rsidP="00E34926">
      <w:pPr>
        <w:pStyle w:val="12"/>
      </w:pPr>
      <w:r w:rsidRPr="002A2A17">
        <w:t xml:space="preserve">Subject Categories: </w:t>
      </w:r>
    </w:p>
    <w:p w:rsidR="00E34926" w:rsidRPr="002A2A17" w:rsidRDefault="00E34926" w:rsidP="00E34926">
      <w:pPr>
        <w:pStyle w:val="12"/>
      </w:pPr>
      <w:r w:rsidRPr="002A2A17">
        <w:t>Agricultural Engineering: Impact Factor 0.466, / (2000), Impact Factor 0.432, 6/10 (2001)</w:t>
      </w:r>
    </w:p>
    <w:p w:rsidR="00E34926" w:rsidRPr="002A2A17" w:rsidRDefault="00E34926" w:rsidP="00E34926">
      <w:pPr>
        <w:pStyle w:val="12"/>
      </w:pPr>
      <w:r w:rsidRPr="002A2A17">
        <w:t>Biotechnology &amp; Applied Microbiology: Impact Factor 0.466, / (2000), Impact Factor 0.432, 106/131 (2001)</w:t>
      </w:r>
    </w:p>
    <w:p w:rsidR="00E34926" w:rsidRPr="002A2A17" w:rsidRDefault="00E34926" w:rsidP="00E34926">
      <w:pPr>
        <w:pStyle w:val="12"/>
      </w:pPr>
      <w:r w:rsidRPr="002A2A17">
        <w:t>Energy &amp; Fuels: Impact Factor 0.466, / (2000), Impact Factor 0.432, 30/66 (2001)</w:t>
      </w:r>
    </w:p>
    <w:p w:rsidR="00E34926" w:rsidRDefault="00E34926" w:rsidP="00E34926">
      <w:pPr>
        <w:pStyle w:val="a3"/>
        <w:rPr>
          <w:kern w:val="0"/>
        </w:rPr>
      </w:pPr>
      <w:r>
        <w:rPr>
          <w:rFonts w:hint="eastAsia"/>
          <w:kern w:val="0"/>
        </w:rPr>
        <w:t xml:space="preserve">? </w:t>
      </w:r>
      <w:r>
        <w:rPr>
          <w:kern w:val="0"/>
        </w:rPr>
        <w:t>Vandermeulen, V., Prins, W., Nolte, S.</w:t>
      </w:r>
      <w:r w:rsidR="005853A9">
        <w:rPr>
          <w:kern w:val="0"/>
        </w:rPr>
        <w:t xml:space="preserve"> and </w:t>
      </w:r>
      <w:r>
        <w:rPr>
          <w:kern w:val="0"/>
        </w:rPr>
        <w:t>Van Huylenbroeck, G. (2011), How to measure</w:t>
      </w:r>
      <w:r w:rsidR="003A1917">
        <w:rPr>
          <w:kern w:val="0"/>
        </w:rPr>
        <w:t xml:space="preserve"> the </w:t>
      </w:r>
      <w:r>
        <w:rPr>
          <w:kern w:val="0"/>
        </w:rPr>
        <w:t>size</w:t>
      </w:r>
      <w:r w:rsidR="00427468">
        <w:rPr>
          <w:kern w:val="0"/>
        </w:rPr>
        <w:t xml:space="preserve"> of </w:t>
      </w:r>
      <w:r>
        <w:rPr>
          <w:kern w:val="0"/>
        </w:rPr>
        <w:t xml:space="preserve">a bio-based economy: Evidence from Flanders. </w:t>
      </w:r>
      <w:r>
        <w:rPr>
          <w:i/>
          <w:iCs/>
          <w:kern w:val="0"/>
        </w:rPr>
        <w:t>Biomass &amp; Bioenergy</w:t>
      </w:r>
      <w:r>
        <w:rPr>
          <w:kern w:val="0"/>
        </w:rPr>
        <w:t xml:space="preserve">, </w:t>
      </w:r>
      <w:r>
        <w:rPr>
          <w:b/>
          <w:bCs/>
          <w:kern w:val="0"/>
        </w:rPr>
        <w:t>35</w:t>
      </w:r>
      <w:r>
        <w:rPr>
          <w:kern w:val="0"/>
        </w:rPr>
        <w:t xml:space="preserve"> (10), 4368-4375.</w:t>
      </w:r>
    </w:p>
    <w:p w:rsidR="00E34926" w:rsidRPr="007D79E8" w:rsidRDefault="00E34926" w:rsidP="00E34926">
      <w:pPr>
        <w:pStyle w:val="a3"/>
        <w:rPr>
          <w:kern w:val="0"/>
        </w:rPr>
      </w:pPr>
      <w:r w:rsidRPr="007D79E8">
        <w:rPr>
          <w:kern w:val="0"/>
        </w:rPr>
        <w:t xml:space="preserve">Full Text: </w:t>
      </w:r>
      <w:hyperlink r:id="rId1467" w:history="1">
        <w:r w:rsidRPr="00117EEB">
          <w:rPr>
            <w:rStyle w:val="a5"/>
            <w:kern w:val="0"/>
          </w:rPr>
          <w:t>2011\Bio Bio35, 4368.pdf</w:t>
        </w:r>
      </w:hyperlink>
    </w:p>
    <w:p w:rsidR="00E34926" w:rsidRDefault="00E34926" w:rsidP="00E34926">
      <w:pPr>
        <w:pStyle w:val="a3"/>
        <w:rPr>
          <w:kern w:val="0"/>
        </w:rPr>
      </w:pPr>
      <w:r>
        <w:rPr>
          <w:kern w:val="0"/>
        </w:rPr>
        <w:t>Abstract:</w:t>
      </w:r>
      <w:r w:rsidR="003A1917">
        <w:rPr>
          <w:kern w:val="0"/>
        </w:rPr>
        <w:t xml:space="preserve"> the </w:t>
      </w:r>
      <w:r>
        <w:rPr>
          <w:kern w:val="0"/>
        </w:rPr>
        <w:t>need to shift from a fossil fuel based economy towards a more bio-based economy has received a lot</w:t>
      </w:r>
      <w:r w:rsidR="00427468">
        <w:rPr>
          <w:kern w:val="0"/>
        </w:rPr>
        <w:t xml:space="preserve"> of </w:t>
      </w:r>
      <w:r>
        <w:rPr>
          <w:kern w:val="0"/>
        </w:rPr>
        <w:t>attention in public debates</w:t>
      </w:r>
      <w:r w:rsidR="005853A9">
        <w:rPr>
          <w:kern w:val="0"/>
        </w:rPr>
        <w:t xml:space="preserve"> and </w:t>
      </w:r>
      <w:r>
        <w:rPr>
          <w:kern w:val="0"/>
        </w:rPr>
        <w:t>policy making in recent years. However, there seems to be some inconsistency in how a bio-based economy is defined as well as how to estimate</w:t>
      </w:r>
      <w:r w:rsidR="003A1917">
        <w:rPr>
          <w:kern w:val="0"/>
        </w:rPr>
        <w:t xml:space="preserve"> the </w:t>
      </w:r>
      <w:r>
        <w:rPr>
          <w:kern w:val="0"/>
        </w:rPr>
        <w:t>size</w:t>
      </w:r>
      <w:r w:rsidR="00427468">
        <w:rPr>
          <w:kern w:val="0"/>
        </w:rPr>
        <w:t xml:space="preserve"> of </w:t>
      </w:r>
      <w:r>
        <w:rPr>
          <w:kern w:val="0"/>
        </w:rPr>
        <w:t>this bio-based economy</w:t>
      </w:r>
      <w:r w:rsidR="00A37C1D">
        <w:rPr>
          <w:kern w:val="0"/>
        </w:rPr>
        <w:t>. The</w:t>
      </w:r>
      <w:r w:rsidR="003A1917">
        <w:rPr>
          <w:kern w:val="0"/>
        </w:rPr>
        <w:t xml:space="preserve"> </w:t>
      </w:r>
      <w:r>
        <w:rPr>
          <w:kern w:val="0"/>
        </w:rPr>
        <w:t>current article shows, using a Bibliometric analysis, that</w:t>
      </w:r>
      <w:r w:rsidR="003A1917">
        <w:rPr>
          <w:kern w:val="0"/>
        </w:rPr>
        <w:t xml:space="preserve"> the </w:t>
      </w:r>
      <w:r>
        <w:rPr>
          <w:kern w:val="0"/>
        </w:rPr>
        <w:t xml:space="preserve">topic </w:t>
      </w:r>
      <w:r w:rsidR="00B5188C">
        <w:rPr>
          <w:kern w:val="0"/>
        </w:rPr>
        <w:t>“</w:t>
      </w:r>
      <w:r>
        <w:rPr>
          <w:kern w:val="0"/>
        </w:rPr>
        <w:t>bio-based economy</w:t>
      </w:r>
      <w:r w:rsidR="00B5188C">
        <w:rPr>
          <w:kern w:val="0"/>
        </w:rPr>
        <w:t>”</w:t>
      </w:r>
      <w:r>
        <w:rPr>
          <w:kern w:val="0"/>
        </w:rPr>
        <w:t xml:space="preserve"> does not come up extensively in</w:t>
      </w:r>
      <w:r w:rsidR="003A1917">
        <w:rPr>
          <w:kern w:val="0"/>
        </w:rPr>
        <w:t xml:space="preserve"> the </w:t>
      </w:r>
      <w:r>
        <w:rPr>
          <w:kern w:val="0"/>
        </w:rPr>
        <w:t>literature by mid 2010. Moreover, it seems that estimating</w:t>
      </w:r>
      <w:r w:rsidR="003A1917">
        <w:rPr>
          <w:kern w:val="0"/>
        </w:rPr>
        <w:t xml:space="preserve"> the </w:t>
      </w:r>
      <w:r>
        <w:rPr>
          <w:kern w:val="0"/>
        </w:rPr>
        <w:t>importance</w:t>
      </w:r>
      <w:r w:rsidR="00427468">
        <w:rPr>
          <w:kern w:val="0"/>
        </w:rPr>
        <w:t xml:space="preserve"> of </w:t>
      </w:r>
      <w:r w:rsidR="003A1917">
        <w:rPr>
          <w:kern w:val="0"/>
        </w:rPr>
        <w:t xml:space="preserve">the </w:t>
      </w:r>
      <w:r>
        <w:rPr>
          <w:kern w:val="0"/>
        </w:rPr>
        <w:t>whole</w:t>
      </w:r>
      <w:r w:rsidR="00427468">
        <w:rPr>
          <w:kern w:val="0"/>
        </w:rPr>
        <w:t xml:space="preserve"> of </w:t>
      </w:r>
      <w:r>
        <w:rPr>
          <w:kern w:val="0"/>
        </w:rPr>
        <w:t>a bio-based economy (and thereby not only focusing on one type</w:t>
      </w:r>
      <w:r w:rsidR="00427468">
        <w:rPr>
          <w:kern w:val="0"/>
        </w:rPr>
        <w:t xml:space="preserve"> of </w:t>
      </w:r>
      <w:r>
        <w:rPr>
          <w:kern w:val="0"/>
        </w:rPr>
        <w:t>production or product) for a region or country is quite rare, besides a few examples. Within Flanders, one such study has been executed by order</w:t>
      </w:r>
      <w:r w:rsidR="00427468">
        <w:rPr>
          <w:kern w:val="0"/>
        </w:rPr>
        <w:t xml:space="preserve"> of </w:t>
      </w:r>
      <w:r w:rsidR="003A1917">
        <w:rPr>
          <w:kern w:val="0"/>
        </w:rPr>
        <w:t xml:space="preserve">the </w:t>
      </w:r>
      <w:r>
        <w:rPr>
          <w:kern w:val="0"/>
        </w:rPr>
        <w:t>Flemish government</w:t>
      </w:r>
      <w:r w:rsidR="00A37C1D">
        <w:rPr>
          <w:kern w:val="0"/>
        </w:rPr>
        <w:t>. The</w:t>
      </w:r>
      <w:r w:rsidR="003A1917">
        <w:rPr>
          <w:kern w:val="0"/>
        </w:rPr>
        <w:t xml:space="preserve"> </w:t>
      </w:r>
      <w:r>
        <w:rPr>
          <w:kern w:val="0"/>
        </w:rPr>
        <w:t>current article suggests a framework that can be used to estimate</w:t>
      </w:r>
      <w:r w:rsidR="003A1917">
        <w:rPr>
          <w:kern w:val="0"/>
        </w:rPr>
        <w:t xml:space="preserve"> the </w:t>
      </w:r>
      <w:r>
        <w:rPr>
          <w:kern w:val="0"/>
        </w:rPr>
        <w:t>size</w:t>
      </w:r>
      <w:r w:rsidR="00427468">
        <w:rPr>
          <w:kern w:val="0"/>
        </w:rPr>
        <w:t xml:space="preserve"> of </w:t>
      </w:r>
      <w:r w:rsidR="003A1917">
        <w:rPr>
          <w:kern w:val="0"/>
        </w:rPr>
        <w:t xml:space="preserve">the </w:t>
      </w:r>
      <w:r>
        <w:rPr>
          <w:kern w:val="0"/>
        </w:rPr>
        <w:t>bio-based economy in other regions or countries. It is based on several steps, so called critical points related to conceptualization, disaggregation, information</w:t>
      </w:r>
      <w:r w:rsidR="005853A9">
        <w:rPr>
          <w:kern w:val="0"/>
        </w:rPr>
        <w:t xml:space="preserve"> and </w:t>
      </w:r>
      <w:r>
        <w:rPr>
          <w:kern w:val="0"/>
        </w:rPr>
        <w:t>valuation</w:t>
      </w:r>
      <w:r w:rsidR="00A37C1D">
        <w:rPr>
          <w:kern w:val="0"/>
        </w:rPr>
        <w:t>. The</w:t>
      </w:r>
      <w:r w:rsidR="003A1917">
        <w:rPr>
          <w:kern w:val="0"/>
        </w:rPr>
        <w:t xml:space="preserve"> </w:t>
      </w:r>
      <w:r>
        <w:rPr>
          <w:kern w:val="0"/>
        </w:rPr>
        <w:t>critical points depend on who has</w:t>
      </w:r>
      <w:r w:rsidR="005853A9">
        <w:rPr>
          <w:kern w:val="0"/>
        </w:rPr>
        <w:t xml:space="preserve"> and </w:t>
      </w:r>
      <w:r>
        <w:rPr>
          <w:kern w:val="0"/>
        </w:rPr>
        <w:t>who wants</w:t>
      </w:r>
      <w:r w:rsidR="003A1917">
        <w:rPr>
          <w:kern w:val="0"/>
        </w:rPr>
        <w:t xml:space="preserve"> the </w:t>
      </w:r>
      <w:r>
        <w:rPr>
          <w:kern w:val="0"/>
        </w:rPr>
        <w:t>information, what</w:t>
      </w:r>
      <w:r w:rsidR="003A1917">
        <w:rPr>
          <w:kern w:val="0"/>
        </w:rPr>
        <w:t xml:space="preserve"> the </w:t>
      </w:r>
      <w:r>
        <w:rPr>
          <w:kern w:val="0"/>
        </w:rPr>
        <w:t>context is, what kind</w:t>
      </w:r>
      <w:r w:rsidR="00427468">
        <w:rPr>
          <w:kern w:val="0"/>
        </w:rPr>
        <w:t xml:space="preserve"> of </w:t>
      </w:r>
      <w:r>
        <w:rPr>
          <w:kern w:val="0"/>
        </w:rPr>
        <w:t>data is available</w:t>
      </w:r>
      <w:r w:rsidR="005853A9">
        <w:rPr>
          <w:kern w:val="0"/>
        </w:rPr>
        <w:t xml:space="preserve"> and </w:t>
      </w:r>
      <w:r>
        <w:rPr>
          <w:kern w:val="0"/>
        </w:rPr>
        <w:t>whether</w:t>
      </w:r>
      <w:r w:rsidR="003A1917">
        <w:rPr>
          <w:kern w:val="0"/>
        </w:rPr>
        <w:t xml:space="preserve"> the </w:t>
      </w:r>
      <w:r>
        <w:rPr>
          <w:kern w:val="0"/>
        </w:rPr>
        <w:t>research should be comparable</w:t>
      </w:r>
      <w:r w:rsidR="00A37C1D">
        <w:rPr>
          <w:kern w:val="0"/>
        </w:rPr>
        <w:t>. The</w:t>
      </w:r>
      <w:r w:rsidR="003A1917">
        <w:rPr>
          <w:kern w:val="0"/>
        </w:rPr>
        <w:t xml:space="preserve"> </w:t>
      </w:r>
      <w:r>
        <w:rPr>
          <w:kern w:val="0"/>
        </w:rPr>
        <w:t>authors suggest that by following their proposed steps, a reliable estimate</w:t>
      </w:r>
      <w:r w:rsidR="00427468">
        <w:rPr>
          <w:kern w:val="0"/>
        </w:rPr>
        <w:t xml:space="preserve"> of </w:t>
      </w:r>
      <w:r w:rsidR="003A1917">
        <w:rPr>
          <w:kern w:val="0"/>
        </w:rPr>
        <w:t xml:space="preserve">the </w:t>
      </w:r>
      <w:r>
        <w:rPr>
          <w:kern w:val="0"/>
        </w:rPr>
        <w:t>size</w:t>
      </w:r>
      <w:r w:rsidR="00427468">
        <w:rPr>
          <w:kern w:val="0"/>
        </w:rPr>
        <w:t xml:space="preserve"> of </w:t>
      </w:r>
      <w:r w:rsidR="003A1917">
        <w:rPr>
          <w:kern w:val="0"/>
        </w:rPr>
        <w:t xml:space="preserve">the </w:t>
      </w:r>
      <w:r>
        <w:rPr>
          <w:kern w:val="0"/>
        </w:rPr>
        <w:t xml:space="preserve">bio-based economy can be </w:t>
      </w:r>
      <w:r>
        <w:rPr>
          <w:kern w:val="0"/>
        </w:rPr>
        <w:lastRenderedPageBreak/>
        <w:t>calculated. (C) 2011 Elsevier Ltd. All rights reserved.</w:t>
      </w:r>
    </w:p>
    <w:p w:rsidR="00E34926" w:rsidRDefault="00E34926" w:rsidP="00E34926">
      <w:pPr>
        <w:pStyle w:val="a3"/>
        <w:rPr>
          <w:kern w:val="0"/>
        </w:rPr>
      </w:pPr>
      <w:r>
        <w:rPr>
          <w:kern w:val="0"/>
        </w:rPr>
        <w:t>Keywords: Analysis, Attention, Authors, Bibliometric, Bibliometric Analysis, Bio-Based Economy, Biomass, Economic Valuation, Framework, Information, Literature, Oil, Points, Policy, Policy Makers, Policy Making, Renewable Energy, Research, Stakeholders</w:t>
      </w:r>
    </w:p>
    <w:p w:rsidR="008F0FE7" w:rsidRDefault="008F0FE7" w:rsidP="008F0FE7">
      <w:pPr>
        <w:pStyle w:val="a3"/>
        <w:rPr>
          <w:kern w:val="0"/>
        </w:rPr>
      </w:pPr>
      <w:r>
        <w:rPr>
          <w:rFonts w:hint="eastAsia"/>
          <w:kern w:val="0"/>
        </w:rPr>
        <w:t xml:space="preserve">? </w:t>
      </w:r>
      <w:r>
        <w:rPr>
          <w:kern w:val="0"/>
        </w:rPr>
        <w:t>Konur, O. (2012), The scientometric evaluation</w:t>
      </w:r>
      <w:r w:rsidR="00427468">
        <w:rPr>
          <w:kern w:val="0"/>
        </w:rPr>
        <w:t xml:space="preserve"> of </w:t>
      </w:r>
      <w:r>
        <w:rPr>
          <w:kern w:val="0"/>
        </w:rPr>
        <w:t>the research on the production</w:t>
      </w:r>
      <w:r w:rsidR="00427468">
        <w:rPr>
          <w:kern w:val="0"/>
        </w:rPr>
        <w:t xml:space="preserve"> of </w:t>
      </w:r>
      <w:r>
        <w:rPr>
          <w:kern w:val="0"/>
        </w:rPr>
        <w:t xml:space="preserve">bioenergy from biomass. </w:t>
      </w:r>
      <w:r>
        <w:rPr>
          <w:i/>
          <w:iCs/>
          <w:kern w:val="0"/>
        </w:rPr>
        <w:t>Biomass &amp; Bioenergy</w:t>
      </w:r>
      <w:r>
        <w:rPr>
          <w:kern w:val="0"/>
        </w:rPr>
        <w:t xml:space="preserve">, </w:t>
      </w:r>
      <w:r>
        <w:rPr>
          <w:b/>
          <w:bCs/>
          <w:kern w:val="0"/>
        </w:rPr>
        <w:t>47</w:t>
      </w:r>
      <w:r>
        <w:rPr>
          <w:kern w:val="0"/>
        </w:rPr>
        <w:t>, 504-515.</w:t>
      </w:r>
    </w:p>
    <w:p w:rsidR="008F0FE7" w:rsidRPr="007D79E8" w:rsidRDefault="008F0FE7" w:rsidP="008F0FE7">
      <w:pPr>
        <w:pStyle w:val="a3"/>
        <w:rPr>
          <w:kern w:val="0"/>
        </w:rPr>
      </w:pPr>
      <w:r w:rsidRPr="007D79E8">
        <w:rPr>
          <w:kern w:val="0"/>
        </w:rPr>
        <w:t xml:space="preserve">Full Text: </w:t>
      </w:r>
      <w:hyperlink r:id="rId1468" w:history="1">
        <w:r w:rsidRPr="00362D91">
          <w:rPr>
            <w:rStyle w:val="a5"/>
            <w:kern w:val="0"/>
          </w:rPr>
          <w:t>2012\Bio Bio47, 504.pdf</w:t>
        </w:r>
      </w:hyperlink>
    </w:p>
    <w:p w:rsidR="008F0FE7" w:rsidRDefault="008F0FE7" w:rsidP="008F0FE7">
      <w:pPr>
        <w:pStyle w:val="a3"/>
        <w:rPr>
          <w:kern w:val="0"/>
        </w:rPr>
      </w:pPr>
      <w:r>
        <w:rPr>
          <w:kern w:val="0"/>
        </w:rPr>
        <w:t>Abstract: The present study explores the characteristics</w:t>
      </w:r>
      <w:r w:rsidR="00427468">
        <w:rPr>
          <w:kern w:val="0"/>
        </w:rPr>
        <w:t xml:space="preserve"> of </w:t>
      </w:r>
      <w:r>
        <w:rPr>
          <w:kern w:val="0"/>
        </w:rPr>
        <w:t>the literature on the production</w:t>
      </w:r>
      <w:r w:rsidR="00427468">
        <w:rPr>
          <w:kern w:val="0"/>
        </w:rPr>
        <w:t xml:space="preserve"> of </w:t>
      </w:r>
      <w:r>
        <w:rPr>
          <w:kern w:val="0"/>
        </w:rPr>
        <w:t>bioenergy from biomass published during the last three decades, based on the databases</w:t>
      </w:r>
      <w:r w:rsidR="00427468">
        <w:rPr>
          <w:kern w:val="0"/>
        </w:rPr>
        <w:t xml:space="preserve"> of </w:t>
      </w:r>
      <w:r>
        <w:rPr>
          <w:kern w:val="0"/>
        </w:rPr>
        <w:t>Science Citation Index-Expanded (SCIE)</w:t>
      </w:r>
      <w:r w:rsidR="005853A9">
        <w:rPr>
          <w:kern w:val="0"/>
        </w:rPr>
        <w:t xml:space="preserve"> and </w:t>
      </w:r>
      <w:r>
        <w:rPr>
          <w:kern w:val="0"/>
        </w:rPr>
        <w:t>Social Sciences Citation Index (</w:t>
      </w:r>
      <w:r w:rsidR="00D5664A">
        <w:rPr>
          <w:kern w:val="0"/>
        </w:rPr>
        <w:t>SSCI</w:t>
      </w:r>
      <w:r>
        <w:rPr>
          <w:kern w:val="0"/>
        </w:rPr>
        <w:t>)</w:t>
      </w:r>
      <w:r w:rsidR="005853A9">
        <w:rPr>
          <w:kern w:val="0"/>
        </w:rPr>
        <w:t xml:space="preserve"> and </w:t>
      </w:r>
      <w:r>
        <w:rPr>
          <w:kern w:val="0"/>
        </w:rPr>
        <w:t>its implications using the scientometric techniques</w:t>
      </w:r>
      <w:r w:rsidR="00A37C1D">
        <w:rPr>
          <w:kern w:val="0"/>
        </w:rPr>
        <w:t>. The</w:t>
      </w:r>
      <w:r>
        <w:rPr>
          <w:kern w:val="0"/>
        </w:rPr>
        <w:t xml:space="preserve"> results</w:t>
      </w:r>
      <w:r w:rsidR="00427468">
        <w:rPr>
          <w:kern w:val="0"/>
        </w:rPr>
        <w:t xml:space="preserve"> of </w:t>
      </w:r>
      <w:r>
        <w:rPr>
          <w:kern w:val="0"/>
        </w:rPr>
        <w:t>this study reveal that the research output in this field has grown exponentially during this period reaching to 5892 papers in total with paralleling enormous changes in the research landscape. Papers are mostly journal articles, reviews,</w:t>
      </w:r>
      <w:r w:rsidR="005853A9">
        <w:rPr>
          <w:kern w:val="0"/>
        </w:rPr>
        <w:t xml:space="preserve"> and </w:t>
      </w:r>
      <w:r>
        <w:rPr>
          <w:kern w:val="0"/>
        </w:rPr>
        <w:t>proceedings, being predominantly in English</w:t>
      </w:r>
      <w:r w:rsidR="00A37C1D">
        <w:rPr>
          <w:kern w:val="0"/>
        </w:rPr>
        <w:t>. The</w:t>
      </w:r>
      <w:r>
        <w:rPr>
          <w:kern w:val="0"/>
        </w:rPr>
        <w:t xml:space="preserve"> US is the most publishing single country producing 27%</w:t>
      </w:r>
      <w:r w:rsidR="00427468">
        <w:rPr>
          <w:kern w:val="0"/>
        </w:rPr>
        <w:t xml:space="preserve"> of </w:t>
      </w:r>
      <w:r>
        <w:rPr>
          <w:kern w:val="0"/>
        </w:rPr>
        <w:t>the output, but lagging significantly behind the Europe as a whole (near 50%)</w:t>
      </w:r>
      <w:r w:rsidR="00A37C1D">
        <w:rPr>
          <w:kern w:val="0"/>
        </w:rPr>
        <w:t>. The</w:t>
      </w:r>
      <w:r>
        <w:rPr>
          <w:kern w:val="0"/>
        </w:rPr>
        <w:t xml:space="preserve"> </w:t>
      </w:r>
      <w:r w:rsidR="00B5188C">
        <w:rPr>
          <w:kern w:val="0"/>
        </w:rPr>
        <w:t>“</w:t>
      </w:r>
      <w:r>
        <w:rPr>
          <w:kern w:val="0"/>
        </w:rPr>
        <w:t>Chinese Academy</w:t>
      </w:r>
      <w:r w:rsidR="00427468">
        <w:rPr>
          <w:kern w:val="0"/>
        </w:rPr>
        <w:t xml:space="preserve"> of </w:t>
      </w:r>
      <w:r>
        <w:rPr>
          <w:kern w:val="0"/>
        </w:rPr>
        <w:t>Sciences</w:t>
      </w:r>
      <w:r w:rsidR="00B5188C">
        <w:rPr>
          <w:kern w:val="0"/>
        </w:rPr>
        <w:t>”</w:t>
      </w:r>
      <w:r>
        <w:rPr>
          <w:kern w:val="0"/>
        </w:rPr>
        <w:t xml:space="preserve"> is the most contributing institution where the most publishing author is </w:t>
      </w:r>
      <w:r w:rsidR="00B5188C">
        <w:rPr>
          <w:kern w:val="0"/>
        </w:rPr>
        <w:t>“</w:t>
      </w:r>
      <w:r>
        <w:rPr>
          <w:kern w:val="0"/>
        </w:rPr>
        <w:t>A Demirbas</w:t>
      </w:r>
      <w:r w:rsidR="00B5188C">
        <w:rPr>
          <w:kern w:val="0"/>
        </w:rPr>
        <w:t>”</w:t>
      </w:r>
      <w:r>
        <w:rPr>
          <w:kern w:val="0"/>
        </w:rPr>
        <w:t xml:space="preserve">. </w:t>
      </w:r>
      <w:r w:rsidR="00B5188C">
        <w:rPr>
          <w:kern w:val="0"/>
        </w:rPr>
        <w:t>“</w:t>
      </w:r>
      <w:r>
        <w:rPr>
          <w:kern w:val="0"/>
        </w:rPr>
        <w:t>Biomass &amp; Bioenergy</w:t>
      </w:r>
      <w:r w:rsidR="00B5188C">
        <w:rPr>
          <w:kern w:val="0"/>
        </w:rPr>
        <w:t>”</w:t>
      </w:r>
      <w:r>
        <w:rPr>
          <w:kern w:val="0"/>
        </w:rPr>
        <w:t xml:space="preserve"> is the most publishing journal whilst, </w:t>
      </w:r>
      <w:r w:rsidR="00B5188C">
        <w:rPr>
          <w:kern w:val="0"/>
        </w:rPr>
        <w:t>“</w:t>
      </w:r>
      <w:r>
        <w:rPr>
          <w:kern w:val="0"/>
        </w:rPr>
        <w:t>Energy &amp; Fuels</w:t>
      </w:r>
      <w:r w:rsidR="00B5188C">
        <w:rPr>
          <w:kern w:val="0"/>
        </w:rPr>
        <w:t>”</w:t>
      </w:r>
      <w:r>
        <w:rPr>
          <w:kern w:val="0"/>
        </w:rPr>
        <w:t xml:space="preserve"> is the most published subject area</w:t>
      </w:r>
      <w:r w:rsidR="00A37C1D">
        <w:rPr>
          <w:kern w:val="0"/>
        </w:rPr>
        <w:t>. The</w:t>
      </w:r>
      <w:r>
        <w:rPr>
          <w:kern w:val="0"/>
        </w:rPr>
        <w:t xml:space="preserve"> total number</w:t>
      </w:r>
      <w:r w:rsidR="00427468">
        <w:rPr>
          <w:kern w:val="0"/>
        </w:rPr>
        <w:t xml:space="preserve"> of </w:t>
      </w:r>
      <w:r>
        <w:rPr>
          <w:kern w:val="0"/>
        </w:rPr>
        <w:t xml:space="preserve">citations is 82,732, giving a ratio for the </w:t>
      </w:r>
      <w:r w:rsidR="00B5188C">
        <w:rPr>
          <w:kern w:val="0"/>
        </w:rPr>
        <w:t>“</w:t>
      </w:r>
      <w:r>
        <w:rPr>
          <w:kern w:val="0"/>
        </w:rPr>
        <w:t>Average Citations per Item</w:t>
      </w:r>
      <w:r w:rsidR="00B5188C">
        <w:rPr>
          <w:kern w:val="0"/>
        </w:rPr>
        <w:t>”</w:t>
      </w:r>
      <w:r>
        <w:rPr>
          <w:kern w:val="0"/>
        </w:rPr>
        <w:t xml:space="preserve"> as 13.83</w:t>
      </w:r>
      <w:r w:rsidR="005853A9">
        <w:rPr>
          <w:kern w:val="0"/>
        </w:rPr>
        <w:t xml:space="preserve"> and </w:t>
      </w:r>
      <w:r w:rsidR="00B5188C">
        <w:rPr>
          <w:kern w:val="0"/>
        </w:rPr>
        <w:t>“</w:t>
      </w:r>
      <w:r w:rsidR="00D5664A">
        <w:rPr>
          <w:kern w:val="0"/>
        </w:rPr>
        <w:t>H-Index</w:t>
      </w:r>
      <w:r w:rsidR="00B5188C">
        <w:rPr>
          <w:kern w:val="0"/>
        </w:rPr>
        <w:t>”</w:t>
      </w:r>
      <w:r>
        <w:rPr>
          <w:kern w:val="0"/>
        </w:rPr>
        <w:t xml:space="preserve"> as 102</w:t>
      </w:r>
      <w:r w:rsidR="00A37C1D">
        <w:rPr>
          <w:kern w:val="0"/>
        </w:rPr>
        <w:t>. The</w:t>
      </w:r>
      <w:r>
        <w:rPr>
          <w:kern w:val="0"/>
        </w:rPr>
        <w:t xml:space="preserve"> results</w:t>
      </w:r>
      <w:r w:rsidR="00427468">
        <w:rPr>
          <w:kern w:val="0"/>
        </w:rPr>
        <w:t xml:space="preserve"> of </w:t>
      </w:r>
      <w:r>
        <w:rPr>
          <w:kern w:val="0"/>
        </w:rPr>
        <w:t>this first-ever such study</w:t>
      </w:r>
      <w:r w:rsidR="00427468">
        <w:rPr>
          <w:kern w:val="0"/>
        </w:rPr>
        <w:t xml:space="preserve"> of </w:t>
      </w:r>
      <w:r>
        <w:rPr>
          <w:kern w:val="0"/>
        </w:rPr>
        <w:t>its kind show that the scientometric analysis has a great potential to gain valuable insights into the evolution</w:t>
      </w:r>
      <w:r w:rsidR="00427468">
        <w:rPr>
          <w:kern w:val="0"/>
        </w:rPr>
        <w:t xml:space="preserve"> of </w:t>
      </w:r>
      <w:r>
        <w:rPr>
          <w:kern w:val="0"/>
        </w:rPr>
        <w:t>the research on the production</w:t>
      </w:r>
      <w:r w:rsidR="00427468">
        <w:rPr>
          <w:kern w:val="0"/>
        </w:rPr>
        <w:t xml:space="preserve"> of </w:t>
      </w:r>
      <w:r>
        <w:rPr>
          <w:kern w:val="0"/>
        </w:rPr>
        <w:t>bioenergy from biomass. (C) 2012 Elsevier Ltd. All rights reserved.</w:t>
      </w:r>
    </w:p>
    <w:p w:rsidR="008F0FE7" w:rsidRDefault="008F0FE7" w:rsidP="008F0FE7">
      <w:pPr>
        <w:pStyle w:val="a3"/>
        <w:rPr>
          <w:kern w:val="0"/>
        </w:rPr>
      </w:pPr>
      <w:r>
        <w:rPr>
          <w:kern w:val="0"/>
        </w:rPr>
        <w:t xml:space="preserve">Keywords: Analysis, Bibliometric Analysis, Bioenergy, Biomass, Catalytic Conversion, Changes, Characteristics, Citation, Citation Analysis, Citations, Country, Databases, Europe, Evaluation, Evolution, Fast Pyrolysis, Field, Fuels, Higher-Education, Hydrogen-Production, Journal, Journal Articles, Landscape, Lignocellulosic Biomass, Literature, Literature-Reviews, Papers, Plant Biomass, Potential, Publishing, Research, Research Evaluation, Research Output, Reviews, Rights, SCIE, Science, Science Citation Index Expanded, Science Citation Index-Expanded, Scientometric, Scientometric Analysis, Scientometrics, Social Sciences, Social Sciences Citation Index, </w:t>
      </w:r>
      <w:r w:rsidR="00D5664A">
        <w:rPr>
          <w:kern w:val="0"/>
        </w:rPr>
        <w:t>SSCI</w:t>
      </w:r>
      <w:r>
        <w:rPr>
          <w:kern w:val="0"/>
        </w:rPr>
        <w:t>, Techniques, US</w:t>
      </w:r>
    </w:p>
    <w:p w:rsidR="003474F2" w:rsidRPr="001A3D2B" w:rsidRDefault="003474F2" w:rsidP="003474F2">
      <w:pPr>
        <w:pStyle w:val="1"/>
      </w:pPr>
      <w:r w:rsidRPr="001A3D2B">
        <w:br w:type="page"/>
      </w:r>
      <w:bookmarkStart w:id="783" w:name="_Toc420814724"/>
      <w:r w:rsidRPr="001A3D2B">
        <w:lastRenderedPageBreak/>
        <w:t>Title: Biomaterials</w:t>
      </w:r>
      <w:bookmarkEnd w:id="783"/>
    </w:p>
    <w:p w:rsidR="003474F2" w:rsidRPr="001A3D2B" w:rsidRDefault="003474F2" w:rsidP="003474F2">
      <w:pPr>
        <w:pStyle w:val="12"/>
      </w:pPr>
      <w:r w:rsidRPr="001A3D2B">
        <w:t xml:space="preserve">Full Journal Title: </w:t>
      </w:r>
      <w:r w:rsidR="00206C8A">
        <w:fldChar w:fldCharType="begin"/>
      </w:r>
      <w:r w:rsidR="00FD158B">
        <w:instrText>HYPER</w:instrText>
      </w:r>
      <w:bookmarkStart w:id="784" w:name="_Toc225233191"/>
      <w:r w:rsidR="00FD158B">
        <w:instrText>LINK "http://sdos.e</w:instrText>
      </w:r>
      <w:bookmarkEnd w:id="784"/>
      <w:r w:rsidR="00FD158B">
        <w:instrText>journal.ascc.net/cgi-bin/sciserv.pl?collection=journals&amp;journal=01429612"</w:instrText>
      </w:r>
      <w:r w:rsidR="00206C8A">
        <w:fldChar w:fldCharType="separate"/>
      </w:r>
      <w:r w:rsidRPr="001A3D2B">
        <w:rPr>
          <w:rStyle w:val="a5"/>
          <w:iCs/>
        </w:rPr>
        <w:t>Biomaterials</w:t>
      </w:r>
      <w:r w:rsidR="00206C8A">
        <w:fldChar w:fldCharType="end"/>
      </w:r>
      <w:r w:rsidRPr="001A3D2B">
        <w:t xml:space="preserve">, </w:t>
      </w:r>
      <w:hyperlink r:id="rId1469" w:history="1">
        <w:r w:rsidRPr="001A3D2B">
          <w:rPr>
            <w:rStyle w:val="a5"/>
            <w:iCs/>
          </w:rPr>
          <w:t>Biomaterials</w:t>
        </w:r>
      </w:hyperlink>
    </w:p>
    <w:p w:rsidR="003474F2" w:rsidRPr="001A3D2B" w:rsidRDefault="003474F2" w:rsidP="003474F2">
      <w:pPr>
        <w:pStyle w:val="12"/>
      </w:pPr>
      <w:r w:rsidRPr="001A3D2B">
        <w:t>ISO Abbreviated Title: Biomaterials</w:t>
      </w:r>
    </w:p>
    <w:p w:rsidR="003474F2" w:rsidRPr="001A3D2B" w:rsidRDefault="003474F2" w:rsidP="003474F2">
      <w:pPr>
        <w:pStyle w:val="12"/>
      </w:pPr>
      <w:r w:rsidRPr="001A3D2B">
        <w:t>JCR Abbreviated Title: Biomaterials</w:t>
      </w:r>
    </w:p>
    <w:p w:rsidR="003474F2" w:rsidRPr="001A3D2B" w:rsidRDefault="003474F2" w:rsidP="003474F2">
      <w:pPr>
        <w:pStyle w:val="12"/>
      </w:pPr>
      <w:r w:rsidRPr="001A3D2B">
        <w:t>ISSN: 0142-9612</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Sci Ltd</w:t>
      </w:r>
    </w:p>
    <w:p w:rsidR="003474F2" w:rsidRPr="001A3D2B" w:rsidRDefault="003474F2" w:rsidP="003474F2">
      <w:pPr>
        <w:pStyle w:val="12"/>
      </w:pPr>
      <w:r w:rsidRPr="001A3D2B">
        <w:t>Publisher Address:</w:t>
      </w:r>
      <w:r w:rsidR="003A1917">
        <w:t xml:space="preserve"> the </w:t>
      </w:r>
      <w:r w:rsidRPr="001A3D2B">
        <w:t>Boulevard, Langford Lane, Kidlington, Oxford Ox5 1gb, Oxon, England</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Engineering, biomedical: Impact Factor, 1.796/</w:t>
      </w:r>
    </w:p>
    <w:p w:rsidR="003474F2" w:rsidRPr="001A3D2B" w:rsidRDefault="003474F2" w:rsidP="003474F2">
      <w:pPr>
        <w:pStyle w:val="12"/>
      </w:pPr>
      <w:r w:rsidRPr="001A3D2B">
        <w:t>Materials science, biomaterials: Impact Factor, 1.796/</w:t>
      </w:r>
    </w:p>
    <w:p w:rsidR="003474F2" w:rsidRPr="001A3D2B" w:rsidRDefault="003474F2" w:rsidP="003474F2">
      <w:pPr>
        <w:pStyle w:val="a3"/>
      </w:pPr>
      <w:r w:rsidRPr="001A3D2B">
        <w:t>? Leeuwenburgh, S.C.G., Jansen, J.A., Malda, J., Dhert, W.A., Rouwkema, J., van Blitterswijk, C.A., Kirkpatrick, C.J.</w:t>
      </w:r>
      <w:r w:rsidR="005853A9">
        <w:t xml:space="preserve"> and </w:t>
      </w:r>
      <w:r w:rsidRPr="001A3D2B">
        <w:t>Williams, D.F. (2008), Trends in biomaterials research: An analysis</w:t>
      </w:r>
      <w:r w:rsidR="00427468">
        <w:t xml:space="preserve"> of </w:t>
      </w:r>
      <w:r w:rsidR="003A1917">
        <w:t xml:space="preserve">the </w:t>
      </w:r>
      <w:r w:rsidRPr="001A3D2B">
        <w:t>scientific programme</w:t>
      </w:r>
      <w:r w:rsidR="00427468">
        <w:t xml:space="preserve"> of </w:t>
      </w:r>
      <w:r w:rsidR="003A1917">
        <w:t xml:space="preserve">the </w:t>
      </w:r>
      <w:r w:rsidRPr="001A3D2B">
        <w:t xml:space="preserve">World Biomaterials Congress 2008. </w:t>
      </w:r>
      <w:r w:rsidRPr="001A3D2B">
        <w:rPr>
          <w:i/>
        </w:rPr>
        <w:t>Biomaterials</w:t>
      </w:r>
      <w:r w:rsidRPr="001A3D2B">
        <w:rPr>
          <w:iCs/>
        </w:rPr>
        <w:t xml:space="preserve">, </w:t>
      </w:r>
      <w:r w:rsidRPr="001A3D2B">
        <w:rPr>
          <w:b/>
        </w:rPr>
        <w:t>29</w:t>
      </w:r>
      <w:r w:rsidRPr="001A3D2B">
        <w:t xml:space="preserve"> (21), 3047-3052.</w:t>
      </w:r>
    </w:p>
    <w:p w:rsidR="003474F2" w:rsidRPr="001A3D2B" w:rsidRDefault="003474F2" w:rsidP="003474F2">
      <w:pPr>
        <w:pStyle w:val="a3"/>
      </w:pPr>
      <w:r w:rsidRPr="001A3D2B">
        <w:t xml:space="preserve">Full Text: </w:t>
      </w:r>
      <w:hyperlink r:id="rId1470" w:history="1">
        <w:r w:rsidRPr="001A3D2B">
          <w:rPr>
            <w:rStyle w:val="a5"/>
          </w:rPr>
          <w:t>2008\Biomaterials29, 3047.pdf</w:t>
        </w:r>
      </w:hyperlink>
    </w:p>
    <w:p w:rsidR="003474F2" w:rsidRPr="001A3D2B" w:rsidRDefault="003474F2" w:rsidP="003474F2">
      <w:pPr>
        <w:pStyle w:val="a3"/>
      </w:pPr>
      <w:r w:rsidRPr="001A3D2B">
        <w:t>Keywords: Regenerative Medicine, Interface, Future</w:t>
      </w:r>
    </w:p>
    <w:p w:rsidR="002B1C6F" w:rsidRPr="00FC7835" w:rsidRDefault="002B1C6F" w:rsidP="002B1C6F">
      <w:pPr>
        <w:pStyle w:val="1"/>
      </w:pPr>
      <w:r w:rsidRPr="00DA0D39">
        <w:br w:type="page"/>
      </w:r>
      <w:bookmarkStart w:id="785" w:name="_Toc380086593"/>
      <w:bookmarkStart w:id="786" w:name="_Toc420814725"/>
      <w:r w:rsidRPr="00FC7835">
        <w:lastRenderedPageBreak/>
        <w:t xml:space="preserve">Title: </w:t>
      </w:r>
      <w:r w:rsidR="00C361D9">
        <w:t>BioMed Research International</w:t>
      </w:r>
      <w:bookmarkEnd w:id="785"/>
      <w:bookmarkEnd w:id="786"/>
    </w:p>
    <w:p w:rsidR="002B1C6F" w:rsidRPr="00FC7835" w:rsidRDefault="002B1C6F" w:rsidP="002B1C6F">
      <w:pPr>
        <w:pStyle w:val="12"/>
      </w:pPr>
      <w:r w:rsidRPr="00FC7835">
        <w:t xml:space="preserve">Full Journal Title: </w:t>
      </w:r>
      <w:r w:rsidR="00C361D9">
        <w:t>BioMed Research International</w:t>
      </w:r>
    </w:p>
    <w:p w:rsidR="002B1C6F" w:rsidRPr="00FC7835" w:rsidRDefault="002B1C6F" w:rsidP="002B1C6F">
      <w:pPr>
        <w:pStyle w:val="12"/>
      </w:pPr>
      <w:r w:rsidRPr="00FC7835">
        <w:t xml:space="preserve">ISO Abbreviated Title: </w:t>
      </w:r>
    </w:p>
    <w:p w:rsidR="002B1C6F" w:rsidRPr="00FC7835" w:rsidRDefault="002B1C6F" w:rsidP="002B1C6F">
      <w:pPr>
        <w:pStyle w:val="12"/>
      </w:pPr>
      <w:r w:rsidRPr="00FC7835">
        <w:t>JCR Abbreviated Title</w:t>
      </w:r>
      <w:r>
        <w:t>:</w:t>
      </w:r>
      <w:r w:rsidRPr="00FC7835">
        <w:t xml:space="preserve"> </w:t>
      </w:r>
    </w:p>
    <w:p w:rsidR="002B1C6F" w:rsidRPr="00FC7835" w:rsidRDefault="002B1C6F" w:rsidP="002B1C6F">
      <w:pPr>
        <w:pStyle w:val="12"/>
      </w:pPr>
      <w:r w:rsidRPr="00FC7835">
        <w:t xml:space="preserve">ISSN: </w:t>
      </w:r>
    </w:p>
    <w:p w:rsidR="002B1C6F" w:rsidRPr="00FC7835" w:rsidRDefault="002B1C6F" w:rsidP="002B1C6F">
      <w:pPr>
        <w:pStyle w:val="12"/>
      </w:pPr>
      <w:r w:rsidRPr="00FC7835">
        <w:t xml:space="preserve">Issues/Year: </w:t>
      </w:r>
    </w:p>
    <w:p w:rsidR="002B1C6F" w:rsidRPr="00FC7835" w:rsidRDefault="002B1C6F" w:rsidP="002B1C6F">
      <w:pPr>
        <w:pStyle w:val="12"/>
      </w:pPr>
      <w:r>
        <w:t xml:space="preserve">Journal Country/Territory: </w:t>
      </w:r>
    </w:p>
    <w:p w:rsidR="002B1C6F" w:rsidRPr="00FC7835" w:rsidRDefault="002B1C6F" w:rsidP="002B1C6F">
      <w:pPr>
        <w:pStyle w:val="12"/>
      </w:pPr>
      <w:r w:rsidRPr="00FC7835">
        <w:t xml:space="preserve">Language: </w:t>
      </w:r>
    </w:p>
    <w:p w:rsidR="002B1C6F" w:rsidRPr="00FC7835" w:rsidRDefault="002B1C6F" w:rsidP="002B1C6F">
      <w:pPr>
        <w:pStyle w:val="12"/>
      </w:pPr>
      <w:r w:rsidRPr="00FC7835">
        <w:t xml:space="preserve">Publisher: </w:t>
      </w:r>
    </w:p>
    <w:p w:rsidR="002B1C6F" w:rsidRPr="00FC7835" w:rsidRDefault="002B1C6F" w:rsidP="002B1C6F">
      <w:pPr>
        <w:pStyle w:val="12"/>
      </w:pPr>
      <w:r w:rsidRPr="00FC7835">
        <w:t xml:space="preserve">Publisher Address: </w:t>
      </w:r>
    </w:p>
    <w:p w:rsidR="002B1C6F" w:rsidRPr="00FC7835" w:rsidRDefault="002B1C6F" w:rsidP="002B1C6F">
      <w:pPr>
        <w:pStyle w:val="12"/>
      </w:pPr>
      <w:r w:rsidRPr="00FC7835">
        <w:t xml:space="preserve">Subject Categories: </w:t>
      </w:r>
    </w:p>
    <w:p w:rsidR="002B1C6F" w:rsidRPr="00FC7835" w:rsidRDefault="002B1C6F" w:rsidP="002B1C6F">
      <w:pPr>
        <w:pStyle w:val="12"/>
      </w:pPr>
      <w:r w:rsidRPr="00FC7835">
        <w:t>: Impact Factor</w:t>
      </w:r>
    </w:p>
    <w:p w:rsidR="00AE7BB6" w:rsidRDefault="00AE7BB6" w:rsidP="00AE7BB6">
      <w:pPr>
        <w:pStyle w:val="a3"/>
        <w:rPr>
          <w:kern w:val="0"/>
        </w:rPr>
      </w:pPr>
      <w:r>
        <w:rPr>
          <w:kern w:val="0"/>
        </w:rPr>
        <w:t>? Chang, Y.T., Chang, W.N., Tsai, N.W., Huang, C.C., Kung, C.T., Su, Y.J., Lin, W.C., Cheng, B.C., Su, C.M., Chiang, Y.F. and Lu, C.H. (2014), The roles of biomarkers of oxidative stress and antioxidant in Alzheimer</w:t>
      </w:r>
      <w:r w:rsidR="00700038">
        <w:rPr>
          <w:kern w:val="0"/>
        </w:rPr>
        <w:t>’</w:t>
      </w:r>
      <w:r>
        <w:rPr>
          <w:kern w:val="0"/>
        </w:rPr>
        <w:t xml:space="preserve">s disease: A systematic review. </w:t>
      </w:r>
      <w:r w:rsidR="00C361D9">
        <w:rPr>
          <w:i/>
          <w:kern w:val="0"/>
        </w:rPr>
        <w:t>BioMed Research International</w:t>
      </w:r>
      <w:r>
        <w:rPr>
          <w:kern w:val="0"/>
        </w:rPr>
        <w:t xml:space="preserve">, </w:t>
      </w:r>
      <w:r w:rsidRPr="007E35F5">
        <w:rPr>
          <w:kern w:val="0"/>
        </w:rPr>
        <w:t>Article Number: 182303</w:t>
      </w:r>
      <w:r>
        <w:rPr>
          <w:kern w:val="0"/>
        </w:rPr>
        <w:t>.</w:t>
      </w:r>
    </w:p>
    <w:p w:rsidR="00AE7BB6" w:rsidRDefault="00AE7BB6" w:rsidP="00AE7BB6">
      <w:pPr>
        <w:pStyle w:val="a3"/>
        <w:rPr>
          <w:kern w:val="0"/>
        </w:rPr>
      </w:pPr>
      <w:r>
        <w:rPr>
          <w:kern w:val="0"/>
        </w:rPr>
        <w:t xml:space="preserve">Full Text: </w:t>
      </w:r>
      <w:hyperlink r:id="rId1471" w:history="1">
        <w:r w:rsidR="00057785">
          <w:rPr>
            <w:rStyle w:val="a5"/>
            <w:kern w:val="0"/>
          </w:rPr>
          <w:t xml:space="preserve">2014\Bio Res Int, </w:t>
        </w:r>
        <w:r w:rsidR="00FA6E6C" w:rsidRPr="00FA6E6C">
          <w:rPr>
            <w:rStyle w:val="a5"/>
            <w:kern w:val="0"/>
          </w:rPr>
          <w:t>182303.pdf</w:t>
        </w:r>
      </w:hyperlink>
    </w:p>
    <w:p w:rsidR="00AE7BB6" w:rsidRDefault="00AE7BB6" w:rsidP="00AE7BB6">
      <w:pPr>
        <w:pStyle w:val="a3"/>
        <w:rPr>
          <w:kern w:val="0"/>
        </w:rPr>
      </w:pPr>
      <w:r>
        <w:rPr>
          <w:kern w:val="0"/>
        </w:rPr>
        <w:t>Abstract: Purpose. Oxidative stress plays an important role in the pathogenesis of Alzheimer</w:t>
      </w:r>
      <w:r w:rsidR="00700038">
        <w:rPr>
          <w:kern w:val="0"/>
        </w:rPr>
        <w:t>’</w:t>
      </w:r>
      <w:r>
        <w:rPr>
          <w:kern w:val="0"/>
        </w:rPr>
        <w:t>s disease (AD). This paper aims to examine whether biomarkers of oxidative stress and antioxidants could be useful biomarkers in AD, which might form the bases of future clinical studies. Methods. PubMed, SCOPUS, and Web of Science were systematically queried to obtain studies with available data regarding markers of oxidative stress and antioxidants from subjects with AD. Results and Conclusion. Although most studies show elevated serum markers of lipid peroxidation in AD, there is no sufficient evidence to justify the routine use of biomarkers as predictors of severity or outcome in AD.</w:t>
      </w:r>
    </w:p>
    <w:p w:rsidR="00AE7BB6" w:rsidRDefault="00AE7BB6" w:rsidP="00AE7BB6">
      <w:pPr>
        <w:pStyle w:val="a3"/>
        <w:rPr>
          <w:kern w:val="0"/>
        </w:rPr>
      </w:pPr>
      <w:r>
        <w:rPr>
          <w:kern w:val="0"/>
        </w:rPr>
        <w:t>Keywords: Ad, Alzheimer</w:t>
      </w:r>
      <w:r w:rsidR="00700038">
        <w:rPr>
          <w:kern w:val="0"/>
        </w:rPr>
        <w:t>’</w:t>
      </w:r>
      <w:r>
        <w:rPr>
          <w:rFonts w:hint="eastAsia"/>
          <w:kern w:val="0"/>
        </w:rPr>
        <w:t>s</w:t>
      </w:r>
      <w:r>
        <w:rPr>
          <w:kern w:val="0"/>
        </w:rPr>
        <w:t xml:space="preserve"> Disease, Amyotrophic-Lateral-Sclerosis, Antioxidant, Antioxidants, Biomarkers, Cerebrospinal-Fluid Levels, Clinical, Clinical Studies, Data, Disease, Evidence, Glutathione-Peroxidase, Lipid, Lipid Peroxidation, Lipid-Peroxidation, Methods, Mild Cognitive Impairment, Outcome, Oxidative Stress, Pathogenesis, Plasma-Protein Oxidation, Predictors, Proteomic Identification, Pubmed, Results, Review, Role, Science, Scopus, Serum, Stress, Superoxide-Dismutase, Systematic Review, Vascular Dementia, Vitamin-E, Web Of Science</w:t>
      </w:r>
    </w:p>
    <w:p w:rsidR="00A25096" w:rsidRPr="00FC7835" w:rsidRDefault="00A25096" w:rsidP="00A25096">
      <w:pPr>
        <w:pStyle w:val="a3"/>
      </w:pPr>
      <w:r>
        <w:rPr>
          <w:rFonts w:hint="eastAsia"/>
          <w:kern w:val="0"/>
        </w:rPr>
        <w:t xml:space="preserve">? </w:t>
      </w:r>
      <w:r>
        <w:rPr>
          <w:kern w:val="0"/>
        </w:rPr>
        <w:t xml:space="preserve">Bravo, A., Cases, M., Queralt-Rosinach, N., Sanz, F. and Furlong, L.I. (2014), A Knowledge-driven approach to extract disease-related biomarkers from the literature. </w:t>
      </w:r>
      <w:r w:rsidR="00C361D9">
        <w:rPr>
          <w:i/>
          <w:iCs/>
          <w:kern w:val="0"/>
        </w:rPr>
        <w:t>BioMed Research International</w:t>
      </w:r>
      <w:r>
        <w:rPr>
          <w:rFonts w:hint="eastAsia"/>
          <w:kern w:val="0"/>
        </w:rPr>
        <w:t>,</w:t>
      </w:r>
      <w:r w:rsidRPr="009F2D57">
        <w:t xml:space="preserve"> </w:t>
      </w:r>
      <w:r w:rsidRPr="00F64009">
        <w:t xml:space="preserve">Article </w:t>
      </w:r>
      <w:r w:rsidRPr="007F494F">
        <w:rPr>
          <w:iCs/>
        </w:rPr>
        <w:t>Number</w:t>
      </w:r>
      <w:r>
        <w:rPr>
          <w:rFonts w:hint="eastAsia"/>
          <w:iCs/>
        </w:rPr>
        <w:t>:</w:t>
      </w:r>
      <w:r w:rsidRPr="00F64009">
        <w:t xml:space="preserve"> </w:t>
      </w:r>
      <w:r w:rsidRPr="00245CD8">
        <w:t>253128</w:t>
      </w:r>
      <w:r w:rsidRPr="00FC7835">
        <w:t>.</w:t>
      </w:r>
    </w:p>
    <w:p w:rsidR="00A25096" w:rsidRDefault="00A25096" w:rsidP="00A25096">
      <w:pPr>
        <w:pStyle w:val="a3"/>
      </w:pPr>
      <w:r>
        <w:lastRenderedPageBreak/>
        <w:t>Full Text:</w:t>
      </w:r>
      <w:r w:rsidRPr="00FC7835">
        <w:t xml:space="preserve"> </w:t>
      </w:r>
      <w:hyperlink r:id="rId1472" w:history="1">
        <w:r w:rsidR="00AB5752" w:rsidRPr="00AB5752">
          <w:rPr>
            <w:rStyle w:val="a5"/>
          </w:rPr>
          <w:t>2014\Bio Res Int, 253128.pdf</w:t>
        </w:r>
      </w:hyperlink>
    </w:p>
    <w:p w:rsidR="00A25096" w:rsidRDefault="00A25096" w:rsidP="00A25096">
      <w:pPr>
        <w:pStyle w:val="a3"/>
        <w:rPr>
          <w:kern w:val="0"/>
        </w:rPr>
      </w:pPr>
      <w:r>
        <w:rPr>
          <w:kern w:val="0"/>
        </w:rPr>
        <w:t>Abstract: The biomedical literature represents a rich source of biomarker information. However, both the size of literature databases and their lack of standardization hamper the automatic exploitation of the information contained in these resources. Text mining approaches have proven to be useful for the exploitation of information contained in the scientific publications. Here, we show that a knowledge-driven text mining approach can exploit a large literature database to extract a dataset of biomarkers related to diseases covering all therapeutic areas. Our methodology takes advantage of the annotation of MEDLINE publications pertaining to biomarkers with MeSH terms, narrowing the search to specific publications and, therefore, minimizing the false positive ratio. It is based on a dictionary-based named entity recognition system and a relation extraction module</w:t>
      </w:r>
      <w:r w:rsidR="00A37C1D">
        <w:rPr>
          <w:kern w:val="0"/>
        </w:rPr>
        <w:t>. The</w:t>
      </w:r>
      <w:r>
        <w:rPr>
          <w:kern w:val="0"/>
        </w:rPr>
        <w:t xml:space="preserve"> application of this methodology resulted in the identification of 131,012 disease-biomarker associations between 2,803 genes and 2,751 diseases, and represents a valuable knowledge base for those interested in disease-related biomarkers. Additionally, we present a bibliometric analysis of the journals reporting biomarker related information during the last 40 years.</w:t>
      </w:r>
    </w:p>
    <w:p w:rsidR="00A25096" w:rsidRDefault="00A25096" w:rsidP="00A25096">
      <w:pPr>
        <w:pStyle w:val="a3"/>
        <w:rPr>
          <w:kern w:val="0"/>
        </w:rPr>
      </w:pPr>
      <w:r>
        <w:rPr>
          <w:kern w:val="0"/>
        </w:rPr>
        <w:t>Keywords: Analysis, Application, Approach, Bibliometric, Bibliometric Analysis, Biomarker, Biomarkers, Biomedical, Database, Databases, Diseases, Drug Discovery, Extraction, False Positive, Genes, Identification, Information, Integrate, Journals, Knowledge, Knowledge Base, Literature, Medline, Methodology, Mining, Publications, Reporting, Resources, Scientific Publications, Size, Source, Standardization, Text Mining, Text-Mining, Therapeutic</w:t>
      </w:r>
    </w:p>
    <w:p w:rsidR="00116069" w:rsidRDefault="00116069" w:rsidP="00116069">
      <w:pPr>
        <w:pStyle w:val="a3"/>
        <w:rPr>
          <w:kern w:val="0"/>
        </w:rPr>
      </w:pPr>
      <w:r>
        <w:rPr>
          <w:rFonts w:hint="eastAsia"/>
          <w:kern w:val="0"/>
        </w:rPr>
        <w:t xml:space="preserve">? </w:t>
      </w:r>
      <w:r>
        <w:rPr>
          <w:kern w:val="0"/>
        </w:rPr>
        <w:t xml:space="preserve">Wang, Z.M., Liu, J., Liu, H.B., Ye, M., Zhang, Y.F. and Yang, D.S. (2014), Abnormal COX2 protein expression may be correlated with poor prognosis in oral cancer: A meta-analysis. </w:t>
      </w:r>
      <w:r w:rsidR="00C361D9">
        <w:rPr>
          <w:i/>
          <w:iCs/>
          <w:kern w:val="0"/>
        </w:rPr>
        <w:t>BioMed Research International</w:t>
      </w:r>
      <w:r>
        <w:rPr>
          <w:kern w:val="0"/>
        </w:rPr>
        <w:t xml:space="preserve">, </w:t>
      </w:r>
      <w:r w:rsidRPr="007E35F5">
        <w:rPr>
          <w:kern w:val="0"/>
        </w:rPr>
        <w:t xml:space="preserve">Article Number: </w:t>
      </w:r>
      <w:r w:rsidRPr="00D87A55">
        <w:rPr>
          <w:kern w:val="0"/>
        </w:rPr>
        <w:t>364207</w:t>
      </w:r>
      <w:r>
        <w:rPr>
          <w:kern w:val="0"/>
        </w:rPr>
        <w:t>.</w:t>
      </w:r>
    </w:p>
    <w:p w:rsidR="00116069" w:rsidRDefault="00116069" w:rsidP="00116069">
      <w:pPr>
        <w:pStyle w:val="a3"/>
        <w:rPr>
          <w:kern w:val="0"/>
        </w:rPr>
      </w:pPr>
      <w:r>
        <w:rPr>
          <w:kern w:val="0"/>
        </w:rPr>
        <w:t xml:space="preserve">Full Text: </w:t>
      </w:r>
      <w:hyperlink r:id="rId1473" w:history="1">
        <w:r w:rsidRPr="00B126EF">
          <w:rPr>
            <w:rStyle w:val="a5"/>
            <w:kern w:val="0"/>
          </w:rPr>
          <w:t>2014\Bio Res Int, 364207.pdf</w:t>
        </w:r>
      </w:hyperlink>
    </w:p>
    <w:p w:rsidR="00116069" w:rsidRDefault="00116069" w:rsidP="00116069">
      <w:pPr>
        <w:pStyle w:val="a3"/>
        <w:rPr>
          <w:kern w:val="0"/>
        </w:rPr>
      </w:pPr>
      <w:r>
        <w:rPr>
          <w:kern w:val="0"/>
        </w:rPr>
        <w:t xml:space="preserve">Abstract: Background. The prognostic significance of COX2 for survival of patients with oral cancer remains controversial. Thus, the meta-analysis was performed in order to identify COX2 expression impact on prognosis of oral cancer. Method. Relevant literatures were searched using the following electronic databases without any language restrictions: Web of Science, the Cochrane Library Database, PubMed, EMBASE, CINAHL, and CBM. Version 12.0 STATA software (Stata Corporation, College Station, Texas, USA) was used for the current meta-analysis. Odds ratios (ORs) and hazard ratios (HRs) with their corresponding 95% confidence interval (95% CI) were also calculated to clarify the correlation between COX2 expression and prognosis of oral cancer. Results. Final analysis of 979 oral cancer patients from 12 clinical cohort studies was performed. The meta-analysis results show that COX2 expression in cancer tissues was significantly higher than those in normal and benign </w:t>
      </w:r>
      <w:r>
        <w:rPr>
          <w:kern w:val="0"/>
        </w:rPr>
        <w:lastRenderedPageBreak/>
        <w:t>tissues (all P &lt; 0.05). Combined HR of COX2 suggests that positive COX2 expression has a shorter overall survival (OS) than those of negative COX2 expression (P &lt; 0.05). Conclusion. The meta-analysis study shows that elevated COX2 expression may be associated with the pathogenesis of oral cancer and with a worse prognosis in oral cancer patients.</w:t>
      </w:r>
    </w:p>
    <w:p w:rsidR="00116069" w:rsidRDefault="00116069" w:rsidP="00116069">
      <w:pPr>
        <w:pStyle w:val="a3"/>
        <w:rPr>
          <w:kern w:val="0"/>
        </w:rPr>
      </w:pPr>
      <w:r>
        <w:rPr>
          <w:kern w:val="0"/>
        </w:rPr>
        <w:t>Keywords: Analysis, Association, Cancer, Cavity, Clinical, Cohort, Confidence, Correlation, Cyclooxygenase-2 Cox-2, Database, Databases, Embase, Epidemiology, Expression, Gastric-Cancer, Hazard, Impact, Interval, Language, Meta Analysis, Meta-Analysis, Metaanalysis, Microenvironment, Normal, Oral, Overexpression, P, Pathogenesis, Patients, Prognosis, Prognostic, Proliferation, Protein, Pubmed, Restrictions, Results, Science, Significance, Software, Squamous-Cell Carcinoma, Stata, Survival, Texas, Topoisomerase-Ii-Alpha, USA, Web Of Science</w:t>
      </w:r>
    </w:p>
    <w:p w:rsidR="00116069" w:rsidRDefault="00116069" w:rsidP="00116069">
      <w:pPr>
        <w:pStyle w:val="a3"/>
        <w:rPr>
          <w:kern w:val="0"/>
        </w:rPr>
      </w:pPr>
      <w:r>
        <w:rPr>
          <w:rFonts w:hint="eastAsia"/>
          <w:kern w:val="0"/>
        </w:rPr>
        <w:t xml:space="preserve">? </w:t>
      </w:r>
      <w:r>
        <w:rPr>
          <w:kern w:val="0"/>
        </w:rPr>
        <w:t>Č</w:t>
      </w:r>
      <w:r>
        <w:rPr>
          <w:rFonts w:hint="eastAsia"/>
          <w:kern w:val="0"/>
        </w:rPr>
        <w:t>e</w:t>
      </w:r>
      <w:r>
        <w:rPr>
          <w:kern w:val="0"/>
        </w:rPr>
        <w:t xml:space="preserve">čka, F., Jon, B., Šubrt, Z. and Ferko, A. (2014), Surgical Technique in Distal Pancreatectomy: A Systematic Review of Randomized Trials. </w:t>
      </w:r>
      <w:r w:rsidR="00C361D9">
        <w:rPr>
          <w:i/>
          <w:iCs/>
          <w:kern w:val="0"/>
        </w:rPr>
        <w:t>BioMed Research International</w:t>
      </w:r>
      <w:r>
        <w:rPr>
          <w:kern w:val="0"/>
        </w:rPr>
        <w:t xml:space="preserve">, </w:t>
      </w:r>
      <w:r w:rsidRPr="007E35F5">
        <w:rPr>
          <w:kern w:val="0"/>
        </w:rPr>
        <w:t xml:space="preserve">Article Number: </w:t>
      </w:r>
      <w:r w:rsidRPr="00680F65">
        <w:rPr>
          <w:kern w:val="0"/>
        </w:rPr>
        <w:t>482906</w:t>
      </w:r>
      <w:r>
        <w:rPr>
          <w:kern w:val="0"/>
        </w:rPr>
        <w:t>.</w:t>
      </w:r>
    </w:p>
    <w:p w:rsidR="00116069" w:rsidRDefault="00116069" w:rsidP="00116069">
      <w:pPr>
        <w:pStyle w:val="a3"/>
        <w:rPr>
          <w:kern w:val="0"/>
        </w:rPr>
      </w:pPr>
      <w:r>
        <w:rPr>
          <w:kern w:val="0"/>
        </w:rPr>
        <w:t xml:space="preserve">Full Text: </w:t>
      </w:r>
      <w:hyperlink r:id="rId1474" w:history="1">
        <w:r w:rsidRPr="00844B95">
          <w:rPr>
            <w:rStyle w:val="a5"/>
            <w:kern w:val="0"/>
          </w:rPr>
          <w:t>2014\Bio Res Int, 482906.pdf</w:t>
        </w:r>
      </w:hyperlink>
    </w:p>
    <w:p w:rsidR="00116069" w:rsidRDefault="00116069" w:rsidP="00116069">
      <w:pPr>
        <w:pStyle w:val="a3"/>
        <w:rPr>
          <w:kern w:val="0"/>
        </w:rPr>
      </w:pPr>
      <w:r>
        <w:rPr>
          <w:kern w:val="0"/>
        </w:rPr>
        <w:t>Abstract: Despite recent improvements in surgical technique, the morbidity of distal pancreatectomy remains high, with pancreatic fistula being the most significant postoperative complication. A systematic review of randomized controlled trials (RCTs) dealing with surgical techniques in distal pancreatectomy was carried out to summarize up-to-date knowledge on this topic. The Cochrane Central Registry of Controlled Trials, Embase, Web of Science, and Pubmed were searched for relevant articles published from 1990 to December 2013. Ten RCTs were identified and included in the systematic review, with a total of 1286 patients being randomized (samples ranging from 41 to 450). The reviewers were in agreement for application of the eligibility criteria for study selection. It was not possible to carry out meta-analysis of these studies because of the heterogeneity of surgical techniques and approaches, such as varying methods of pancreas transection, reinforcement of the stump with seromuscular patch or pancreaticoenteric anastomosis, sealing with fibrin sealants and pancreatic stent placement. Management of the pancreatic remnant after distal pancreatectomy is still a matter of debate. The results of this systematic review are possibly biased by methodological problems in some of the included studies. New well designed and carefully conducted RCTs must be performed to establish the optimal strategy for pancreatic remnant management after distal pancreatectomy.</w:t>
      </w:r>
    </w:p>
    <w:p w:rsidR="00116069" w:rsidRDefault="00116069" w:rsidP="00116069">
      <w:pPr>
        <w:pStyle w:val="a3"/>
        <w:rPr>
          <w:kern w:val="0"/>
        </w:rPr>
      </w:pPr>
      <w:r>
        <w:rPr>
          <w:kern w:val="0"/>
        </w:rPr>
        <w:t xml:space="preserve">Keywords: Application, Articles, Clinical-Trial, Closure, Complication, Complications, Criteria, Fistula, Heterogeneity, International Study-Group, Knowledge, Management, Meta Analysis, Meta-Analysis, Metaanalysis, Methods, Morbidity, Pancreas, Pancreatic Fistula, Patients, Placement, Postoperative, Postoperative </w:t>
      </w:r>
      <w:r>
        <w:rPr>
          <w:kern w:val="0"/>
        </w:rPr>
        <w:lastRenderedPageBreak/>
        <w:t>Complication, Prevention, Randomized, Randomized Controlled Trials, Recent, Reinforcement, Remnant, Resection, Review, Reviewers, Risk-Factors, Science, Selection, Strategy, Surgical, Surgical Technique, Surgical Techniques, Systematic, Systematic Review, Techniques, Topic, Web Of Science</w:t>
      </w:r>
    </w:p>
    <w:p w:rsidR="00CA6DB2" w:rsidRDefault="00CA6DB2" w:rsidP="00CA6DB2">
      <w:pPr>
        <w:pStyle w:val="a3"/>
        <w:rPr>
          <w:kern w:val="0"/>
        </w:rPr>
      </w:pPr>
      <w:r>
        <w:rPr>
          <w:kern w:val="0"/>
        </w:rPr>
        <w:t>? Santoro, A., Boselli, C., Renzi, C., Gubbiotti, F., Grassi, V., Di Rocco, G., Cirocchi, R. and Redler, A. (2014), Transverse skin crease versus vertical midline incision versus laparoscopy for right hemicolectomy: A systematic review-current status</w:t>
      </w:r>
      <w:r w:rsidR="00427468">
        <w:rPr>
          <w:kern w:val="0"/>
        </w:rPr>
        <w:t xml:space="preserve"> of </w:t>
      </w:r>
      <w:r>
        <w:rPr>
          <w:kern w:val="0"/>
        </w:rPr>
        <w:t xml:space="preserve">right hemicolectomy. </w:t>
      </w:r>
      <w:r w:rsidR="00C361D9">
        <w:rPr>
          <w:i/>
          <w:iCs/>
          <w:kern w:val="0"/>
        </w:rPr>
        <w:t>BioMed Research International</w:t>
      </w:r>
      <w:r>
        <w:rPr>
          <w:rFonts w:hint="eastAsia"/>
          <w:kern w:val="0"/>
        </w:rPr>
        <w:t xml:space="preserve">, </w:t>
      </w:r>
      <w:r>
        <w:rPr>
          <w:kern w:val="0"/>
        </w:rPr>
        <w:t>Article Number: 643685</w:t>
      </w:r>
      <w:r>
        <w:rPr>
          <w:rFonts w:hint="eastAsia"/>
          <w:kern w:val="0"/>
        </w:rPr>
        <w:t>.</w:t>
      </w:r>
    </w:p>
    <w:p w:rsidR="00CA6DB2" w:rsidRDefault="00CA6DB2" w:rsidP="00CA6DB2">
      <w:pPr>
        <w:pStyle w:val="a3"/>
      </w:pPr>
      <w:r>
        <w:t>Full Text:</w:t>
      </w:r>
      <w:r w:rsidRPr="00FC7835">
        <w:t xml:space="preserve"> </w:t>
      </w:r>
      <w:hyperlink r:id="rId1475" w:history="1">
        <w:r w:rsidR="00AB5752" w:rsidRPr="00AB5752">
          <w:rPr>
            <w:rStyle w:val="a5"/>
          </w:rPr>
          <w:t>2014\Bio Res Int, 643685.pdf</w:t>
        </w:r>
      </w:hyperlink>
    </w:p>
    <w:p w:rsidR="00CA6DB2" w:rsidRDefault="00CA6DB2" w:rsidP="00CA6DB2">
      <w:pPr>
        <w:pStyle w:val="a3"/>
        <w:rPr>
          <w:kern w:val="0"/>
        </w:rPr>
      </w:pPr>
      <w:r>
        <w:rPr>
          <w:kern w:val="0"/>
        </w:rPr>
        <w:t>Abstract: Purpose</w:t>
      </w:r>
      <w:r w:rsidR="00A37C1D">
        <w:rPr>
          <w:kern w:val="0"/>
        </w:rPr>
        <w:t>. The</w:t>
      </w:r>
      <w:r>
        <w:rPr>
          <w:kern w:val="0"/>
        </w:rPr>
        <w:t xml:space="preserve"> right hemicolectomy may be conducted through laparoscopic or laparotomic surgery, transverse or midline incisions</w:t>
      </w:r>
      <w:r w:rsidR="00A37C1D">
        <w:rPr>
          <w:kern w:val="0"/>
        </w:rPr>
        <w:t>. The</w:t>
      </w:r>
      <w:r>
        <w:rPr>
          <w:kern w:val="0"/>
        </w:rPr>
        <w:t xml:space="preserve"> transverse laparotomy offers some advantages compared to the midline laparotomy and laparoscopy. A literature review was performed to evaluate the possible advantages</w:t>
      </w:r>
      <w:r w:rsidR="00427468">
        <w:rPr>
          <w:kern w:val="0"/>
        </w:rPr>
        <w:t xml:space="preserve"> of </w:t>
      </w:r>
      <w:r>
        <w:rPr>
          <w:kern w:val="0"/>
        </w:rPr>
        <w:t>the transverse incision versus midline incision or laparoscopic right hemicolectomy. Methods. Asystematic research was performed in Medline, Embase, Cochrane Central Register</w:t>
      </w:r>
      <w:r w:rsidR="00427468">
        <w:rPr>
          <w:kern w:val="0"/>
        </w:rPr>
        <w:t xml:space="preserve"> of </w:t>
      </w:r>
      <w:r>
        <w:rPr>
          <w:kern w:val="0"/>
        </w:rPr>
        <w:t>Controlled Trials, CINAHL, BioMed Central, and the Science Citation Index. Results. Laparotomic right hemicolectomy with transverse incision is preferable to laparotomic hemicolectomy with midline incision. A transverse incision offers a lessened postoperative pain following physical activity, a lessened need to administer analgesic therapy during the post-operative time, better aesthetic results, and a better post-operative pulmonary function. Open surgery with transverse or midline incision ensured a shorter operative time, lower costs and a greater length</w:t>
      </w:r>
      <w:r w:rsidR="00427468">
        <w:rPr>
          <w:kern w:val="0"/>
        </w:rPr>
        <w:t xml:space="preserve"> of </w:t>
      </w:r>
      <w:r>
        <w:rPr>
          <w:kern w:val="0"/>
        </w:rPr>
        <w:t>the incision compared to the laparoscopic. However, there are no differences in the oncological outcomes. Conclusions. It was not possible to identify significant differences between the open right hemicolectomy with transverse incision versus the open right hemicolectomy with midline incision or laparoscopic hemicolectomy.</w:t>
      </w:r>
    </w:p>
    <w:p w:rsidR="00CA6DB2" w:rsidRDefault="00CA6DB2" w:rsidP="00CA6DB2">
      <w:pPr>
        <w:pStyle w:val="a3"/>
        <w:rPr>
          <w:kern w:val="0"/>
        </w:rPr>
      </w:pPr>
      <w:r>
        <w:rPr>
          <w:kern w:val="0"/>
        </w:rPr>
        <w:t>Keywords: Activity, Analgesic, Citation, Costs, Function, Laparoscopic, Laparoscopy, Laparotomy, Length, Literature, Literature Review, Medline, Methods, Open, Open Surgery, Operative, Outcomes, Pain, Physical, Physical Activity, Postoperative, Postoperative Pain, Pulmonary Function, Research, Results, Review, Right, Science, Science Citation Index, Surgery, Therapy</w:t>
      </w:r>
    </w:p>
    <w:p w:rsidR="002B1C6F" w:rsidRPr="00FC7835" w:rsidRDefault="002B1C6F" w:rsidP="002B1C6F">
      <w:pPr>
        <w:pStyle w:val="a3"/>
      </w:pPr>
      <w:r>
        <w:rPr>
          <w:rFonts w:hint="eastAsia"/>
          <w:kern w:val="0"/>
        </w:rPr>
        <w:t xml:space="preserve">? </w:t>
      </w:r>
      <w:r>
        <w:rPr>
          <w:kern w:val="0"/>
        </w:rPr>
        <w:t xml:space="preserve">Nedovic, B., Posteraro, B., Leoncini, E., Ruggeri, A., Amore, R., Sanguinetti, M., Ricciardi, W. and Boccia, S. (2014), Mannose-binding Lectin Codon 54 gene polymorphism and Vulvovaginal Candidiasis: A systematic review and meta-analysis. </w:t>
      </w:r>
      <w:r w:rsidR="00C361D9">
        <w:rPr>
          <w:i/>
        </w:rPr>
        <w:t>BioMed Research International</w:t>
      </w:r>
      <w:r>
        <w:rPr>
          <w:rFonts w:hint="eastAsia"/>
        </w:rPr>
        <w:t xml:space="preserve">, </w:t>
      </w:r>
      <w:r w:rsidR="00531645" w:rsidRPr="00F64009">
        <w:t xml:space="preserve">Article </w:t>
      </w:r>
      <w:r w:rsidR="00531645" w:rsidRPr="007F494F">
        <w:rPr>
          <w:iCs/>
        </w:rPr>
        <w:t>Number</w:t>
      </w:r>
      <w:r w:rsidR="00531645">
        <w:rPr>
          <w:rFonts w:hint="eastAsia"/>
          <w:iCs/>
        </w:rPr>
        <w:t>:</w:t>
      </w:r>
      <w:r w:rsidRPr="00F64009">
        <w:t xml:space="preserve"> </w:t>
      </w:r>
      <w:r w:rsidRPr="00336D8C">
        <w:t>738298</w:t>
      </w:r>
      <w:r w:rsidRPr="00FC7835">
        <w:t>.</w:t>
      </w:r>
    </w:p>
    <w:p w:rsidR="002B1C6F" w:rsidRDefault="002B1C6F" w:rsidP="002B1C6F">
      <w:pPr>
        <w:pStyle w:val="a3"/>
      </w:pPr>
      <w:r>
        <w:t>Full Text:</w:t>
      </w:r>
      <w:r w:rsidRPr="00FC7835">
        <w:t xml:space="preserve"> </w:t>
      </w:r>
      <w:hyperlink r:id="rId1476" w:history="1">
        <w:r w:rsidR="00AB5752" w:rsidRPr="00AB5752">
          <w:rPr>
            <w:rStyle w:val="a5"/>
          </w:rPr>
          <w:t>2014\Bio Res Int, 738298.pdf</w:t>
        </w:r>
      </w:hyperlink>
    </w:p>
    <w:p w:rsidR="002B1C6F" w:rsidRDefault="002B1C6F" w:rsidP="002B1C6F">
      <w:pPr>
        <w:pStyle w:val="a3"/>
        <w:rPr>
          <w:kern w:val="0"/>
        </w:rPr>
      </w:pPr>
      <w:r>
        <w:rPr>
          <w:kern w:val="0"/>
        </w:rPr>
        <w:t xml:space="preserve">Abstract: Mannose-binding lectin (MBL) plays a key role in the human innate immune response. It has been shown that polymorphisms in the MBL2 gene, particularly at codon 54 (variant allele B; wild-type allele designated as A), impact upon host </w:t>
      </w:r>
      <w:r>
        <w:rPr>
          <w:kern w:val="0"/>
        </w:rPr>
        <w:lastRenderedPageBreak/>
        <w:t>susceptibility to Candida infection. This systematic review and meta-analysis were performed to assess the association between MBL2 codon 54 genotype and vulvovaginal candidiasis (VVC) or recurrent VVC (RVVC). Studies were searched in MEDLINE, SCOPUS, and ISI Web</w:t>
      </w:r>
      <w:r w:rsidR="00427468">
        <w:rPr>
          <w:kern w:val="0"/>
        </w:rPr>
        <w:t xml:space="preserve"> of </w:t>
      </w:r>
      <w:r>
        <w:rPr>
          <w:kern w:val="0"/>
        </w:rPr>
        <w:t>Science until April 2013. Five studies including 704 women (386 cases and 318 controls) were part</w:t>
      </w:r>
      <w:r w:rsidR="00427468">
        <w:rPr>
          <w:kern w:val="0"/>
        </w:rPr>
        <w:t xml:space="preserve"> of </w:t>
      </w:r>
      <w:r>
        <w:rPr>
          <w:kern w:val="0"/>
        </w:rPr>
        <w:t>the meta-analysis, and pooled ORs were calculated using the random effects model. For subjects with RVVC, ORs</w:t>
      </w:r>
      <w:r w:rsidR="00427468">
        <w:rPr>
          <w:kern w:val="0"/>
        </w:rPr>
        <w:t xml:space="preserve"> of </w:t>
      </w:r>
      <w:r>
        <w:rPr>
          <w:kern w:val="0"/>
        </w:rPr>
        <w:t>AB versus AA and</w:t>
      </w:r>
      <w:r w:rsidR="00427468">
        <w:rPr>
          <w:kern w:val="0"/>
        </w:rPr>
        <w:t xml:space="preserve"> of </w:t>
      </w:r>
      <w:r>
        <w:rPr>
          <w:kern w:val="0"/>
        </w:rPr>
        <w:t>BB versus AA were 4.84 (95% CI 2.10-11.15; P for heterogeneity = 0.013; I-2 = 68.6%) and 12.68 (95% CI 3.74-42.92; P for heterogeneity = 0.932, I-2 = 0.0%), respectively. For subjects with VVC, OR</w:t>
      </w:r>
      <w:r w:rsidR="00427468">
        <w:rPr>
          <w:kern w:val="0"/>
        </w:rPr>
        <w:t xml:space="preserve"> of </w:t>
      </w:r>
      <w:r>
        <w:rPr>
          <w:kern w:val="0"/>
        </w:rPr>
        <w:t>AB versus AA was 2.57 (95% CI 1.29-5.12; P for heterogeneity = 0.897; I-2 = 0.0%). This analysis indicates that heterozygosity for the MBL2 allele B increases significantly the risk for both diseases, suggesting that MBL may influence the women</w:t>
      </w:r>
      <w:r w:rsidR="00700038">
        <w:rPr>
          <w:kern w:val="0"/>
        </w:rPr>
        <w:t>’</w:t>
      </w:r>
      <w:r>
        <w:rPr>
          <w:kern w:val="0"/>
        </w:rPr>
        <w:t>s innate immunity in response to Candida.</w:t>
      </w:r>
    </w:p>
    <w:p w:rsidR="002B1C6F" w:rsidRDefault="002B1C6F" w:rsidP="002B1C6F">
      <w:pPr>
        <w:pStyle w:val="a3"/>
        <w:rPr>
          <w:kern w:val="0"/>
        </w:rPr>
      </w:pPr>
      <w:r>
        <w:rPr>
          <w:kern w:val="0"/>
        </w:rPr>
        <w:t>Keywords: Albicans, Analysis, Association, Candida, Defense, Diseases, Effects, Gene, Heterogeneity, Host, Human, Immune, Immune Response, Immunity, Impact, Infection, Infections, Influence, Innate, Innate Immunity, ISI, ISI Web</w:t>
      </w:r>
      <w:r w:rsidR="00427468">
        <w:rPr>
          <w:kern w:val="0"/>
        </w:rPr>
        <w:t xml:space="preserve"> of </w:t>
      </w:r>
      <w:r>
        <w:rPr>
          <w:kern w:val="0"/>
        </w:rPr>
        <w:t>Science, MBL2, Medline, Meta Analysis, Meta-Analysis, Metaanalysis, Model, P, Polymorphism, Polymorphisms, Protein, Random Effects Model, Recurrent, Response, Review, Risk, Role, Science, Scopus, Susceptibility, Systematic Review, Variants, Web</w:t>
      </w:r>
      <w:r w:rsidR="00427468">
        <w:rPr>
          <w:kern w:val="0"/>
        </w:rPr>
        <w:t xml:space="preserve"> of </w:t>
      </w:r>
      <w:r>
        <w:rPr>
          <w:kern w:val="0"/>
        </w:rPr>
        <w:t>Science, Women</w:t>
      </w:r>
    </w:p>
    <w:p w:rsidR="00FA6E6C" w:rsidRDefault="00FA6E6C" w:rsidP="00FA6E6C">
      <w:pPr>
        <w:pStyle w:val="a3"/>
        <w:rPr>
          <w:kern w:val="0"/>
        </w:rPr>
      </w:pPr>
      <w:r>
        <w:rPr>
          <w:kern w:val="0"/>
        </w:rPr>
        <w:t xml:space="preserve">? Lippi, G., Cervellin, G. and Mattiuzzi, C. (2014), No evidence for an association of vitamin D deficiency and migraine: A systematic review of the literature. </w:t>
      </w:r>
      <w:r w:rsidR="00C361D9">
        <w:rPr>
          <w:i/>
          <w:iCs/>
          <w:kern w:val="0"/>
        </w:rPr>
        <w:t>BioMed Research International</w:t>
      </w:r>
      <w:r>
        <w:rPr>
          <w:kern w:val="0"/>
        </w:rPr>
        <w:t xml:space="preserve">, </w:t>
      </w:r>
      <w:r w:rsidRPr="007E35F5">
        <w:rPr>
          <w:kern w:val="0"/>
        </w:rPr>
        <w:t>Article Number: 827635</w:t>
      </w:r>
      <w:r>
        <w:rPr>
          <w:kern w:val="0"/>
        </w:rPr>
        <w:t>.</w:t>
      </w:r>
    </w:p>
    <w:p w:rsidR="00FA6E6C" w:rsidRDefault="00FA6E6C" w:rsidP="00FA6E6C">
      <w:pPr>
        <w:pStyle w:val="a3"/>
        <w:rPr>
          <w:kern w:val="0"/>
        </w:rPr>
      </w:pPr>
      <w:r>
        <w:rPr>
          <w:kern w:val="0"/>
        </w:rPr>
        <w:t xml:space="preserve">Full Text: </w:t>
      </w:r>
      <w:hyperlink r:id="rId1477" w:history="1">
        <w:r w:rsidR="00844B95" w:rsidRPr="00844B95">
          <w:rPr>
            <w:rStyle w:val="a5"/>
            <w:kern w:val="0"/>
          </w:rPr>
          <w:t>2014\Bio Res Int, 827635.pdf</w:t>
        </w:r>
      </w:hyperlink>
    </w:p>
    <w:p w:rsidR="00FA6E6C" w:rsidRDefault="00FA6E6C" w:rsidP="00FA6E6C">
      <w:pPr>
        <w:pStyle w:val="a3"/>
        <w:rPr>
          <w:kern w:val="0"/>
        </w:rPr>
      </w:pPr>
      <w:r>
        <w:rPr>
          <w:kern w:val="0"/>
        </w:rPr>
        <w:t>Abstract: Vitamin D deficiency is associated with a number of human disorders, including cardiovascular disease, cancer, diabetes, frailty, and infections. Since an association between vitamin D and migraine has also been recently speculated, we performed an electronic search on Medline, Scopus, and Web of Science using the keywords “migraine” and “vitamin D,” “25OH-D” “cholecalciferol,” “ergocalciferol,” with no language or date restriction</w:t>
      </w:r>
      <w:r w:rsidR="00A37C1D">
        <w:rPr>
          <w:kern w:val="0"/>
        </w:rPr>
        <w:t>. The</w:t>
      </w:r>
      <w:r>
        <w:rPr>
          <w:kern w:val="0"/>
        </w:rPr>
        <w:t xml:space="preserve"> electronic search allowed identifying seven studies (3 observational, 2 cross-sectional, and 2 case reports)</w:t>
      </w:r>
      <w:r w:rsidR="00A37C1D">
        <w:rPr>
          <w:kern w:val="0"/>
        </w:rPr>
        <w:t>. The</w:t>
      </w:r>
      <w:r>
        <w:rPr>
          <w:kern w:val="0"/>
        </w:rPr>
        <w:t xml:space="preserve"> two case reports, including four women, showed favourable effects of vitamin D supplementation on migraine severity, but these studies were small and not placebo controlled. As regards the three observational studies, vitamin D deficiency was observed in 13.2 to 14.8% of migraine patients, and these rates do not differ from those reported in the general population (i.e., vitamin D deficiency between 22 and 42%)</w:t>
      </w:r>
      <w:r w:rsidR="00A37C1D">
        <w:rPr>
          <w:kern w:val="0"/>
        </w:rPr>
        <w:t>. The</w:t>
      </w:r>
      <w:r>
        <w:rPr>
          <w:kern w:val="0"/>
        </w:rPr>
        <w:t xml:space="preserve"> results of the two cross-sectional studies are even more controversial, since no association was found between vitamin D status and migraine in both trials. In conclusion, the current evidence suggests that the association between migraine and vitamin D lacks reliable </w:t>
      </w:r>
      <w:r>
        <w:rPr>
          <w:kern w:val="0"/>
        </w:rPr>
        <w:lastRenderedPageBreak/>
        <w:t>scientific support.</w:t>
      </w:r>
    </w:p>
    <w:p w:rsidR="00FA6E6C" w:rsidRDefault="00FA6E6C" w:rsidP="00FA6E6C">
      <w:pPr>
        <w:pStyle w:val="a3"/>
        <w:rPr>
          <w:kern w:val="0"/>
        </w:rPr>
      </w:pPr>
      <w:r>
        <w:rPr>
          <w:kern w:val="0"/>
        </w:rPr>
        <w:t>Keywords: 25-Hydroxyvitamin D, Association, Calcium, Cancer, Cardiovascular, Cardiovascular Disease, Case Reports, Cross-Sectional Studies, Diabetes, Disease, Effects, Evidence, General, Guidelines, Headache, Human, Infections, Language, Literature, Medline, Observational, Observational Studies, Patients, Placebo, Population, Prevalence, Rates, Review, Science, Scopus, Skin, Small, Support, Systematic Review, Vitamin, Vitamin D, Vitamin D Deficiency, Vitamin D Supplementation, Web Of Science, Women</w:t>
      </w:r>
    </w:p>
    <w:p w:rsidR="00165DDC" w:rsidRDefault="00165DDC" w:rsidP="00165DDC">
      <w:pPr>
        <w:pStyle w:val="a3"/>
        <w:rPr>
          <w:kern w:val="0"/>
        </w:rPr>
      </w:pPr>
      <w:r>
        <w:rPr>
          <w:kern w:val="0"/>
        </w:rPr>
        <w:t xml:space="preserve">? Yang, Z.G., Zhuang, L.P., Lu, Y.F., Xu, Q.N. and Chen, X.R. (2014), Effects and tolerance of silymarin (Milk Thistle) in chronic hepatitis C virus infection patients: A meta-analysis of randomized controlled trials. </w:t>
      </w:r>
      <w:r w:rsidR="00C361D9">
        <w:rPr>
          <w:i/>
          <w:iCs/>
          <w:kern w:val="0"/>
        </w:rPr>
        <w:t>BioMed Research International</w:t>
      </w:r>
      <w:r>
        <w:rPr>
          <w:rFonts w:hint="eastAsia"/>
          <w:kern w:val="0"/>
        </w:rPr>
        <w:t xml:space="preserve">, </w:t>
      </w:r>
      <w:r w:rsidRPr="001229A2">
        <w:rPr>
          <w:kern w:val="0"/>
        </w:rPr>
        <w:t>Article Number: 941085</w:t>
      </w:r>
      <w:r>
        <w:rPr>
          <w:rFonts w:hint="eastAsia"/>
          <w:kern w:val="0"/>
        </w:rPr>
        <w:t>.</w:t>
      </w:r>
    </w:p>
    <w:p w:rsidR="00165DDC" w:rsidRDefault="00165DDC" w:rsidP="00165DDC">
      <w:pPr>
        <w:pStyle w:val="a3"/>
        <w:rPr>
          <w:kern w:val="0"/>
        </w:rPr>
      </w:pPr>
      <w:r>
        <w:rPr>
          <w:kern w:val="0"/>
        </w:rPr>
        <w:t xml:space="preserve">Full Text: </w:t>
      </w:r>
      <w:hyperlink r:id="rId1478" w:history="1">
        <w:r w:rsidRPr="00FC65A6">
          <w:rPr>
            <w:rStyle w:val="a5"/>
            <w:kern w:val="0"/>
          </w:rPr>
          <w:t>2014\Bio Res Int, 941085.pdf</w:t>
        </w:r>
      </w:hyperlink>
    </w:p>
    <w:p w:rsidR="00165DDC" w:rsidRDefault="00165DDC" w:rsidP="00165DDC">
      <w:pPr>
        <w:pStyle w:val="a3"/>
        <w:rPr>
          <w:kern w:val="0"/>
        </w:rPr>
      </w:pPr>
      <w:r>
        <w:rPr>
          <w:kern w:val="0"/>
        </w:rPr>
        <w:t>Abstract: Objective. This study aimed to evaluate the efficacy and safety of silymarin on chronic hepatitis C virus- (HCV-) infected patients. Methods. Randomized controlled trials (RCTs) of silymarin in chronic HCV-infected patients up to April 1, 2014 were systematically identified in PubMed, Ovid, Web of Science, and Cochrane Library databases. Results. A total of 222 and 167 patients in five RCTs were randomly treated with silymarin (or intravenous silibinin) and placebo, respectively. Serum HCV RNA relatively decreased in patients treated with silymarin compared with those administered with placebo, but no significance was found (P = 0.09). Meta-analysis of patients orally treated with silymarin indicated that the changes of HCV RNA are similar in the two groups (P = 0.19). The effect on alanine aminotransferase (ALT) of oral silymarin is not different from that of placebo (P = 0.45). Improvements in quality-of-life (Short Form-36) in both silymarin and placebo recipients were impressive but relatively identical (P = 0.09). Conclusion. Silymarin is well tolerated in chronic HCV-infected patients. However, no evidence of salutary effects of oral silymarin has yet been reported based on intermediate endpoints (ALT and HCV RNA) in this population. Moreover, intravenous administration of silymarin should be further studied.</w:t>
      </w:r>
    </w:p>
    <w:p w:rsidR="00165DDC" w:rsidRDefault="00165DDC" w:rsidP="00165DDC">
      <w:pPr>
        <w:pStyle w:val="a3"/>
        <w:rPr>
          <w:kern w:val="0"/>
        </w:rPr>
      </w:pPr>
      <w:r>
        <w:rPr>
          <w:kern w:val="0"/>
        </w:rPr>
        <w:t>Keywords: Administration, Alanine Aminotransferase, Antiviral Activity, Changes, Chronic, Chronic Hepatitis, Databases, Effects, Efficacy, Evidence, From, Groups, Hcv, Hcv-Rna, Hepatitis, Hepatitis C, Hepatitis C Virus, Infected, Infection, Interferon Therapy, Intravenous, Intravenous Silibinin, Liver-Disease, Long-Term Treatment, Meta Analysis, Meta-Analysis, Metaanalysis, Methods, Milk, Oral, P, Patients, Placebo, Population, Product, Pubmed, Quality Of Life, Randomized, Randomized Controlled Trials, Results, Rna, Safety, Science, Significance, Silybum-Marianum, Tolerance, Update, Web Of Science</w:t>
      </w:r>
    </w:p>
    <w:p w:rsidR="00165DDC" w:rsidRDefault="00165DDC" w:rsidP="00165DDC">
      <w:pPr>
        <w:pStyle w:val="a3"/>
        <w:rPr>
          <w:kern w:val="0"/>
        </w:rPr>
      </w:pPr>
      <w:r>
        <w:rPr>
          <w:rFonts w:hint="eastAsia"/>
          <w:kern w:val="0"/>
        </w:rPr>
        <w:t xml:space="preserve">? </w:t>
      </w:r>
      <w:r>
        <w:rPr>
          <w:kern w:val="0"/>
        </w:rPr>
        <w:t xml:space="preserve">Zhang, Y., Zhao, J.Y., Jiang, Z., Shan, D.X. and Lu, Y. (2014), Biosorption of Fe(II) </w:t>
      </w:r>
      <w:r>
        <w:rPr>
          <w:kern w:val="0"/>
        </w:rPr>
        <w:lastRenderedPageBreak/>
        <w:t xml:space="preserve">and Mn(II) ions from aqueous solution by rice husk ash. </w:t>
      </w:r>
      <w:r w:rsidR="00C361D9">
        <w:rPr>
          <w:i/>
          <w:iCs/>
          <w:kern w:val="0"/>
        </w:rPr>
        <w:t>BioMed Research International</w:t>
      </w:r>
      <w:r>
        <w:rPr>
          <w:rFonts w:hint="eastAsia"/>
          <w:kern w:val="0"/>
        </w:rPr>
        <w:t xml:space="preserve">, </w:t>
      </w:r>
      <w:r w:rsidRPr="00E951C4">
        <w:rPr>
          <w:kern w:val="0"/>
        </w:rPr>
        <w:t xml:space="preserve">Article </w:t>
      </w:r>
      <w:r w:rsidRPr="001229A2">
        <w:rPr>
          <w:kern w:val="0"/>
        </w:rPr>
        <w:t>Number</w:t>
      </w:r>
      <w:r>
        <w:rPr>
          <w:rFonts w:hint="eastAsia"/>
          <w:kern w:val="0"/>
        </w:rPr>
        <w:t>:</w:t>
      </w:r>
      <w:r w:rsidRPr="00407FD1">
        <w:rPr>
          <w:kern w:val="0"/>
        </w:rPr>
        <w:t xml:space="preserve"> 973095</w:t>
      </w:r>
      <w:r>
        <w:rPr>
          <w:rFonts w:hint="eastAsia"/>
          <w:kern w:val="0"/>
        </w:rPr>
        <w:t>.</w:t>
      </w:r>
    </w:p>
    <w:p w:rsidR="00165DDC" w:rsidRPr="007D79E8" w:rsidRDefault="00165DDC" w:rsidP="00165DDC">
      <w:pPr>
        <w:pStyle w:val="a3"/>
      </w:pPr>
      <w:r>
        <w:t xml:space="preserve">Full Text: </w:t>
      </w:r>
      <w:hyperlink r:id="rId1479" w:history="1">
        <w:r w:rsidRPr="00E53607">
          <w:rPr>
            <w:rStyle w:val="a5"/>
          </w:rPr>
          <w:t>2014\Bio Res Int2014, 973095.pdf</w:t>
        </w:r>
      </w:hyperlink>
    </w:p>
    <w:p w:rsidR="00165DDC" w:rsidRDefault="00165DDC" w:rsidP="00165DDC">
      <w:pPr>
        <w:pStyle w:val="a3"/>
        <w:rPr>
          <w:kern w:val="0"/>
        </w:rPr>
      </w:pPr>
      <w:r>
        <w:rPr>
          <w:kern w:val="0"/>
        </w:rPr>
        <w:t>Abstract: Rice husk ash (RHA), an agricultural waste, was used as biosorbent for the removal of Iron(II) and Manganese(II) ions from aqueous solutions. The structural and morphological characteristics of RHA and its elemental compositions before and after adsorption of Fe(II) and Mn(II) were determined by scanning electron microscopic (SEM) and X-ray fluorescence (XRF) analyses. Batch experiments were carried out to determine the influence of initial pH, contact time, adsorbent dosage, and initial concentration on the removal of Fe(II) and Mn(II) ions. Langmuir, Freundlich, and Dubinin-Radushkevich (D-R) models were applied to describe the biosorption isotherm of the metal ions by RHA. The correlation coefficient (</w:t>
      </w:r>
      <w:r w:rsidRPr="00EB1BF4">
        <w:rPr>
          <w:i/>
          <w:kern w:val="0"/>
        </w:rPr>
        <w:t>R</w:t>
      </w:r>
      <w:r>
        <w:rPr>
          <w:rFonts w:hint="eastAsia"/>
          <w:kern w:val="0"/>
          <w:vertAlign w:val="superscript"/>
        </w:rPr>
        <w:t>2</w:t>
      </w:r>
      <w:r>
        <w:rPr>
          <w:kern w:val="0"/>
        </w:rPr>
        <w:t>) of Langmuir and Freundlich isotherm models equals 0.995 and 0.901 for Fe(II), 0.9862 and 0.8924 for Mn(II), respectively, so the Langmuir model fitted the equilibrium data better than the Freundlich isotherm model. The mean free energy values evaluated from the D-R model indicated that the biosorption of Fe(II) and Mn(II) onto RHA was physical in nature. Experimental data also showed that the biosorption processes of both metal ions complied with the pseudo-second-order kinetics.</w:t>
      </w:r>
    </w:p>
    <w:p w:rsidR="00165DDC" w:rsidRDefault="00165DDC" w:rsidP="00165DDC">
      <w:pPr>
        <w:pStyle w:val="a3"/>
        <w:rPr>
          <w:kern w:val="0"/>
        </w:rPr>
      </w:pPr>
      <w:r>
        <w:rPr>
          <w:kern w:val="0"/>
        </w:rPr>
        <w:t>Keywords: Adsorbent, Adsorption, Agricultural Waste, Aqueous Solutions, Ash, Batch, Batch Experiments, Biosorbent, Biosorption, Biosorption Isotherm, Concentration, Contact Time, D-R Model, Dubinin-Radushkevich, Equilibrium, Fluorescence, Free Energy, Freundlich, Freundlich Isotherm, Freundlich Isotherm Model, Influence, Isotherm, Isotherm Model, Isotherm Models, Kinetics, Langmuir, Langmuir and Freundlich, Langmuir Model, Metal, Metal Ions, Mn(II), Model, Models, pH, Pseudo Second Order, Pseudo-Second-Order, Pseudo-Second-Order Kinetics, Removal, RHA, Rice, Rice Husk, Rice Husk Ash, SEM, Waste</w:t>
      </w:r>
    </w:p>
    <w:p w:rsidR="00F25B9F" w:rsidRDefault="00F25B9F" w:rsidP="00F25B9F">
      <w:pPr>
        <w:pStyle w:val="a3"/>
        <w:rPr>
          <w:kern w:val="0"/>
        </w:rPr>
      </w:pPr>
      <w:r>
        <w:rPr>
          <w:rFonts w:hint="eastAsia"/>
          <w:kern w:val="0"/>
          <w:szCs w:val="24"/>
        </w:rPr>
        <w:t xml:space="preserve">? </w:t>
      </w:r>
      <w:r>
        <w:rPr>
          <w:kern w:val="0"/>
          <w:szCs w:val="24"/>
        </w:rPr>
        <w:t xml:space="preserve">Salma, U., Xue, M., Sayed, A.S.M. and Xu, D.B. (2014), Efficacy of intrauterine device in the treatment of intrauterine adhesions. </w:t>
      </w:r>
      <w:r w:rsidR="00C361D9">
        <w:rPr>
          <w:i/>
          <w:kern w:val="0"/>
        </w:rPr>
        <w:t>BioMed Research International</w:t>
      </w:r>
      <w:r>
        <w:rPr>
          <w:kern w:val="0"/>
        </w:rPr>
        <w:t xml:space="preserve">, </w:t>
      </w:r>
      <w:r w:rsidRPr="007E35F5">
        <w:rPr>
          <w:kern w:val="0"/>
        </w:rPr>
        <w:t xml:space="preserve">Article Number: </w:t>
      </w:r>
      <w:r w:rsidRPr="000F046E">
        <w:rPr>
          <w:kern w:val="0"/>
        </w:rPr>
        <w:t>589296</w:t>
      </w:r>
      <w:r>
        <w:rPr>
          <w:kern w:val="0"/>
        </w:rPr>
        <w:t>.</w:t>
      </w:r>
    </w:p>
    <w:p w:rsidR="00F25B9F" w:rsidRDefault="00F25B9F" w:rsidP="00F25B9F">
      <w:pPr>
        <w:pStyle w:val="a3"/>
        <w:rPr>
          <w:kern w:val="0"/>
        </w:rPr>
      </w:pPr>
      <w:r>
        <w:rPr>
          <w:kern w:val="0"/>
        </w:rPr>
        <w:t xml:space="preserve">Full Text: </w:t>
      </w:r>
      <w:hyperlink r:id="rId1480" w:history="1">
        <w:r w:rsidR="00E34B0F" w:rsidRPr="00E34B0F">
          <w:rPr>
            <w:rStyle w:val="a5"/>
            <w:kern w:val="0"/>
          </w:rPr>
          <w:t>2014\Bio Res Int, 589296.pdf</w:t>
        </w:r>
      </w:hyperlink>
    </w:p>
    <w:p w:rsidR="00F25B9F" w:rsidRDefault="00F25B9F" w:rsidP="00F25B9F">
      <w:pPr>
        <w:pStyle w:val="a3"/>
        <w:rPr>
          <w:kern w:val="0"/>
          <w:szCs w:val="24"/>
        </w:rPr>
      </w:pPr>
      <w:r>
        <w:rPr>
          <w:kern w:val="0"/>
          <w:szCs w:val="24"/>
        </w:rPr>
        <w:t xml:space="preserve">Abstract: The primary purpose of this paper is to assess the efficacy of the use of the intrauterine device (IUD) as an adjunctive treatment modality, for intrauterine adhesions (IUAs). All eligible literatures were identified by electronic databases including PubMed, Scopus, and Web of Science. Additional relevant articles were identified from citations in these publications. There were 28 studies included for a systematic review. Of these, 5 studies were eligible for meta-analysis and 23 for qualitative assessment only. Twenty-eight studies related to the use of IUDs as ancillary treatment following adhesiolysis were identified. Of these studies, 25 </w:t>
      </w:r>
      <w:r>
        <w:rPr>
          <w:kern w:val="0"/>
          <w:szCs w:val="24"/>
        </w:rPr>
        <w:lastRenderedPageBreak/>
        <w:t>studies at least one of the following methods were carried out as ancillary treatment: Foley catheter, hyaluronic acid gel, hormonal therapy, or amnion graft in addition to the IUD. There was one study that used IUD therapy as a single ancillary treatment. In 2 studies, no adjunctive therapy was used after adhesiolysis. There was a wide range of reported menstrual and fertility outcomes which were associated with the use of IUD combined with other ancillary treatments. At present, the IUD is beneficial in patients with IUA, regardless of stage of adhesions. However, IUD needs to be combined with other ancillary treatments to obtain maximal outcomes, in particular in patients with moderate to severe IUA.</w:t>
      </w:r>
    </w:p>
    <w:p w:rsidR="00F25B9F" w:rsidRDefault="00F25B9F" w:rsidP="00F25B9F">
      <w:pPr>
        <w:pStyle w:val="a3"/>
        <w:rPr>
          <w:kern w:val="0"/>
          <w:szCs w:val="24"/>
        </w:rPr>
      </w:pPr>
      <w:r>
        <w:rPr>
          <w:kern w:val="0"/>
          <w:szCs w:val="24"/>
        </w:rPr>
        <w:t>Keywords: Adhesions, Amnion, Articles, Assessment, Catheter, Citations, Contraceptive-Device, Databases, Efficacy, Fertility, Foley Catheter, From, Gel, Graft, Hormonal, Hyaluronic Acid, Hysteroscopic Adhesiolysis, Intrauterine, Intrauterine Device, Lysis, Management, Meta Analysis, Meta-Analysis, Metaanalysis, Methods, Needs, Outcomes, Patients, Pregnancy, Primary, Publications, Pubmed, Purpose, Qualitative, Review, Science, Scopus, Severe Ashermans-Syndrome, Surgery, Synechiae, Systematic, Systematic Review, Therapy, Treatment, Uterine Adhesions, Web, Web Of Science</w:t>
      </w:r>
    </w:p>
    <w:p w:rsidR="00B50EAC" w:rsidRDefault="00B50EAC" w:rsidP="00B50EAC">
      <w:pPr>
        <w:pStyle w:val="a3"/>
        <w:rPr>
          <w:kern w:val="0"/>
        </w:rPr>
      </w:pPr>
      <w:r>
        <w:rPr>
          <w:rFonts w:hint="eastAsia"/>
          <w:kern w:val="0"/>
        </w:rPr>
        <w:t xml:space="preserve">? </w:t>
      </w:r>
      <w:r>
        <w:rPr>
          <w:kern w:val="0"/>
        </w:rPr>
        <w:t xml:space="preserve">Sun, Z.L., Xie, Q.Y., Guo, G.L., Ma, K. and Huang, Y.Y. (2014), Serum Fetuin-A levels in patients with cardiovascular disease: A meta-analysis. </w:t>
      </w:r>
      <w:r w:rsidR="00C361D9">
        <w:rPr>
          <w:i/>
          <w:kern w:val="0"/>
        </w:rPr>
        <w:t>BioMed Research International</w:t>
      </w:r>
      <w:r>
        <w:rPr>
          <w:kern w:val="0"/>
        </w:rPr>
        <w:t xml:space="preserve">, </w:t>
      </w:r>
      <w:r w:rsidRPr="007E35F5">
        <w:rPr>
          <w:kern w:val="0"/>
        </w:rPr>
        <w:t xml:space="preserve">Article Number: </w:t>
      </w:r>
      <w:r w:rsidRPr="006047CF">
        <w:rPr>
          <w:kern w:val="0"/>
        </w:rPr>
        <w:t>691540</w:t>
      </w:r>
      <w:r>
        <w:rPr>
          <w:kern w:val="0"/>
        </w:rPr>
        <w:t>.</w:t>
      </w:r>
    </w:p>
    <w:p w:rsidR="00B50EAC" w:rsidRDefault="00B50EAC" w:rsidP="00B50EAC">
      <w:pPr>
        <w:pStyle w:val="a3"/>
        <w:rPr>
          <w:kern w:val="0"/>
        </w:rPr>
      </w:pPr>
      <w:r>
        <w:rPr>
          <w:kern w:val="0"/>
        </w:rPr>
        <w:t xml:space="preserve">Full Text: </w:t>
      </w:r>
      <w:hyperlink r:id="rId1481" w:history="1">
        <w:r w:rsidRPr="00443DB0">
          <w:rPr>
            <w:rStyle w:val="a5"/>
            <w:kern w:val="0"/>
          </w:rPr>
          <w:t>2014\Bio Res Int, 691540.pdf</w:t>
        </w:r>
      </w:hyperlink>
    </w:p>
    <w:p w:rsidR="00B50EAC" w:rsidRDefault="00B50EAC" w:rsidP="00B50EAC">
      <w:pPr>
        <w:pStyle w:val="a3"/>
        <w:rPr>
          <w:kern w:val="0"/>
        </w:rPr>
      </w:pPr>
      <w:r>
        <w:rPr>
          <w:kern w:val="0"/>
        </w:rPr>
        <w:t>Abstract: Background. Fetuin-A (FA) suppresses arterial calcification, promotes insulin resistance, and appears to be elevated in patients with cardiovascular diseases (CVD), but the data is still inconsistent. To clarify the correlation between serum FA levels and the presence and severity of CVDs, we performed this meta-analysis. Method. Potential relevant studies were identified covering the following databases: PubMed, Embase, Web of Science, Cochrane Library, CISCOM, CINAHL, Google Scholar, China BioMedicine (CBM), and China National Knowledge Infrastructure (CNKI) databases. Data from eligible studies were extracted and included in the meta-analysis using a random-effects model. Results. Ten case-control studies, including 1,281 patients with CVDs and 2,663 healthy controls, were included. The results showed significant differences in serum levels of FA between the CVDs patients and the healthy controls (SMD = 1.36, 95% CI: 0.37-2.36, P = 0.007). Ethnicity-subgroup analysis implied that low serum FA levels are related to CVDs in Caucasians (SMD = 1.73, 95% CI: 0.20-3.26, P = 0.026), but not in Asians (SMD = 1.04, 95% CI: -0.33-2.40, P = 0.138). Conclusion. The data indicated that decreased serum FA level is correlated with the development of CVDs. FA might be clinically valuable for reflecting the progression of CVDs.</w:t>
      </w:r>
    </w:p>
    <w:p w:rsidR="00B50EAC" w:rsidRDefault="00B50EAC" w:rsidP="00B50EAC">
      <w:pPr>
        <w:pStyle w:val="a3"/>
        <w:rPr>
          <w:kern w:val="0"/>
        </w:rPr>
      </w:pPr>
      <w:r>
        <w:rPr>
          <w:kern w:val="0"/>
        </w:rPr>
        <w:t xml:space="preserve">Keywords: Analysis, Asians, Association, Biomarkers, C-Reactive Protein, </w:t>
      </w:r>
      <w:r>
        <w:rPr>
          <w:kern w:val="0"/>
        </w:rPr>
        <w:lastRenderedPageBreak/>
        <w:t>Cardiovascular, Cardiovascular Disease, Cardiovascular Diseases, Case-Control, Case-Control Studies, China, Coronary-Artery-Disease, Correlation, Data, Databases, Development, Disease, Diseases, Elevation Myocardial-Infarction, From, Google, Google Scholar, Heterogeneity, Insulin, Insulin Resistance, Knowledge, Meta Analysis, Meta-Analysis, Metaanalysis, Model, Mortality, P, Patients, Progression, Pubmed, Random Effects Model, Resistance, Results, Risk, Science, Serum, Stroke, Web, Web Of Science</w:t>
      </w:r>
    </w:p>
    <w:p w:rsidR="00B15525" w:rsidRDefault="00B15525" w:rsidP="00B15525">
      <w:pPr>
        <w:pStyle w:val="a3"/>
        <w:rPr>
          <w:kern w:val="0"/>
        </w:rPr>
      </w:pPr>
      <w:r>
        <w:rPr>
          <w:rFonts w:hint="eastAsia"/>
          <w:kern w:val="0"/>
          <w:szCs w:val="24"/>
        </w:rPr>
        <w:t xml:space="preserve">? </w:t>
      </w:r>
      <w:r>
        <w:rPr>
          <w:kern w:val="0"/>
          <w:szCs w:val="24"/>
        </w:rPr>
        <w:t xml:space="preserve">Li, X., Liu, K., Pan, Y.S., Zhang, J., Lv, Q., Hua, L.X., Wang, Z.J., Li, J. and Yin, C.J. (2015), Roles of osteopontin gene polymorphism (rs1126616), osteopontin levels in urine and serum, and the risk of urolithiasis: A meta-analysis. </w:t>
      </w:r>
      <w:r w:rsidR="00C361D9">
        <w:rPr>
          <w:i/>
          <w:kern w:val="0"/>
        </w:rPr>
        <w:t>BioMed Research International</w:t>
      </w:r>
      <w:r>
        <w:rPr>
          <w:kern w:val="0"/>
        </w:rPr>
        <w:t xml:space="preserve">, </w:t>
      </w:r>
      <w:r w:rsidRPr="007E35F5">
        <w:rPr>
          <w:kern w:val="0"/>
        </w:rPr>
        <w:t xml:space="preserve">Article Number: </w:t>
      </w:r>
      <w:r w:rsidRPr="0017742A">
        <w:rPr>
          <w:kern w:val="0"/>
        </w:rPr>
        <w:t>315043</w:t>
      </w:r>
      <w:r>
        <w:rPr>
          <w:kern w:val="0"/>
        </w:rPr>
        <w:t>.</w:t>
      </w:r>
    </w:p>
    <w:p w:rsidR="00B15525" w:rsidRDefault="00B15525" w:rsidP="00B15525">
      <w:pPr>
        <w:pStyle w:val="a3"/>
        <w:rPr>
          <w:kern w:val="0"/>
        </w:rPr>
      </w:pPr>
      <w:r>
        <w:rPr>
          <w:kern w:val="0"/>
        </w:rPr>
        <w:t xml:space="preserve">Full Text: </w:t>
      </w:r>
      <w:hyperlink r:id="rId1482" w:history="1">
        <w:r w:rsidRPr="006A6FDB">
          <w:rPr>
            <w:rStyle w:val="a5"/>
            <w:kern w:val="0"/>
          </w:rPr>
          <w:t>2015\Bio Res Int, 315043.pdf</w:t>
        </w:r>
      </w:hyperlink>
    </w:p>
    <w:p w:rsidR="00B15525" w:rsidRDefault="00B15525" w:rsidP="00B15525">
      <w:pPr>
        <w:pStyle w:val="a3"/>
        <w:rPr>
          <w:kern w:val="0"/>
          <w:szCs w:val="24"/>
        </w:rPr>
      </w:pPr>
      <w:r>
        <w:rPr>
          <w:kern w:val="0"/>
          <w:szCs w:val="24"/>
        </w:rPr>
        <w:t>Abstract: Objective. Previous studies have investigated the relationships between osteopontin gene polymorphism rs1126616 and OPN levels and urolithiasis, but the results were controversial. Our study aimed to clarify such relationships. Methods. A meta-analysis was performed by searching the databases Pubmed, Embase, and Web of Science for relevant studies. Crude odds ratios (ORs) or standardised mean differences with 95% confidence intervals (CIs) were calculated to evaluate the strength of association. Publication bias was estimated using Begg’s funnel plots and Egger’s regression test. Results. Overall, a significantly increased risk of urolithiasis was associated with OPN gene polymorphism rs1126616 for all the genetic models except recessive model. When stratified by ethnicity, the results were significant only in Turkish populations. For OPN level association, a low OPN level was detected in the urine of urolithiasis patients in large sample size subgroup. Results also indicated that urolithiasis patients have lower OPN level in serum than normal controls. Conclusion. This meta-analysis revealed that the T allele of OPN gene polymorphism increased susceptibility to urolithiasis. Moreover, significantly lower OPN levels were detected in urine and serum of urolithiasis patients than normal controls, thereby indicating that OPN has important functions in the progression of urolithiasis.</w:t>
      </w:r>
    </w:p>
    <w:p w:rsidR="00B15525" w:rsidRDefault="00B15525" w:rsidP="00B15525">
      <w:pPr>
        <w:pStyle w:val="a3"/>
        <w:rPr>
          <w:kern w:val="0"/>
          <w:szCs w:val="24"/>
        </w:rPr>
      </w:pPr>
      <w:r>
        <w:rPr>
          <w:kern w:val="0"/>
          <w:szCs w:val="24"/>
        </w:rPr>
        <w:t>Keywords: Association, Bias, Calcium-Oxalate Urolithiasis, Cancer-Risk, Confidence, Confidence Intervals, Crystal-Formation, Databases, Ethnicity, Expression, Functions, Gene, Gene Polymorphism, Genetic, Intervals, Kidney-Stones, Meta Analysis, Meta-Analysis, Metaanalysis, Methods, Model, Models, Nephrolithiasis, Normal, Osteopontin, Patients, Polymorphism, Populations, Prevalence, Progression, Proteins, Publication, Publication Bias, Regression, Results, Risk, Sample Size, Science, Serum, Size, Spp1, Strength, Susceptibility, Urine, Urolithiasis, Web, Web Of Science</w:t>
      </w:r>
    </w:p>
    <w:p w:rsidR="004F3E0E" w:rsidRDefault="004F3E0E" w:rsidP="004F3E0E">
      <w:pPr>
        <w:pStyle w:val="a3"/>
        <w:rPr>
          <w:kern w:val="0"/>
        </w:rPr>
      </w:pPr>
      <w:r>
        <w:rPr>
          <w:rFonts w:hint="eastAsia"/>
          <w:kern w:val="0"/>
        </w:rPr>
        <w:t xml:space="preserve">? </w:t>
      </w:r>
      <w:r>
        <w:rPr>
          <w:kern w:val="0"/>
        </w:rPr>
        <w:t xml:space="preserve">Lin, Y., Lin, L.J., Jin, Y., Cao, Y., Zhang, Y., Zheng, C.Q., Liu, J.L. and Yang, S.L. </w:t>
      </w:r>
      <w:r>
        <w:rPr>
          <w:kern w:val="0"/>
        </w:rPr>
        <w:lastRenderedPageBreak/>
        <w:t xml:space="preserve">(2015), Correlation between serum levels of high mobility group box-1 protein and pancreatitis: A meta-analysis. </w:t>
      </w:r>
      <w:r w:rsidR="00C361D9">
        <w:rPr>
          <w:i/>
          <w:kern w:val="0"/>
        </w:rPr>
        <w:t>BioMed Research International</w:t>
      </w:r>
      <w:r>
        <w:rPr>
          <w:kern w:val="0"/>
        </w:rPr>
        <w:t xml:space="preserve">, </w:t>
      </w:r>
      <w:r w:rsidRPr="007E35F5">
        <w:rPr>
          <w:kern w:val="0"/>
        </w:rPr>
        <w:t xml:space="preserve">Article Number: </w:t>
      </w:r>
      <w:r w:rsidRPr="009764E5">
        <w:rPr>
          <w:kern w:val="0"/>
        </w:rPr>
        <w:t>430185</w:t>
      </w:r>
      <w:r>
        <w:rPr>
          <w:kern w:val="0"/>
        </w:rPr>
        <w:t>.</w:t>
      </w:r>
    </w:p>
    <w:p w:rsidR="004F3E0E" w:rsidRDefault="004F3E0E" w:rsidP="004F3E0E">
      <w:pPr>
        <w:pStyle w:val="a3"/>
        <w:rPr>
          <w:kern w:val="0"/>
        </w:rPr>
      </w:pPr>
      <w:r>
        <w:rPr>
          <w:kern w:val="0"/>
        </w:rPr>
        <w:t xml:space="preserve">Full Text: </w:t>
      </w:r>
      <w:hyperlink r:id="rId1483" w:history="1">
        <w:r w:rsidRPr="004F3E0E">
          <w:rPr>
            <w:rStyle w:val="a5"/>
            <w:kern w:val="0"/>
          </w:rPr>
          <w:t>2015\Bio Res Int, 430185.pdf</w:t>
        </w:r>
      </w:hyperlink>
    </w:p>
    <w:p w:rsidR="004F3E0E" w:rsidRDefault="004F3E0E" w:rsidP="004F3E0E">
      <w:pPr>
        <w:pStyle w:val="a3"/>
        <w:rPr>
          <w:kern w:val="0"/>
        </w:rPr>
      </w:pPr>
      <w:r>
        <w:rPr>
          <w:kern w:val="0"/>
        </w:rPr>
        <w:t>Abstract: Background. Aberrant expression of high mobility group box-1 protein (HMGB1) contributes to the progression of various inflammatory diseases. This meta-analysis focused on the clinical significance of serum HMGB1 levels in pancreatitis patients, with the goal of building a novel diagnostic score model. Method. We conducted a meta-analysis by searching in the PubMed, Embase, Web of Science, Cochrane Library, CISCOM, CINAHL, Google Scholar, China BioMedicine (CBM), and China National Knowledge Infrastructure (CNKI) databases without any language restrictions. Studies were pooled and standard mean difference (SMD) and its corresponding 95% confidence intervals (95% CIs) were calculated. Version 12.0 STATA software was used for statistical analysis. Results. We performed a final analysis of 841 subjects from 12 clinical case-control studies. The meta-analysis results showed a positive association between serum HMGB1 levels and the progression of pancreatitis. In the subgroup analysis by country, high serum level of HMGB1 may be related to pancreatitis progression in China, Korea, Hungary, and Japan populations (all P &lt; 0.05). Conclusion. The present meta-analysis indicated that serum HMGB1 level was statistically elevated in patients with pancreatitis, and thus serum levels of HMGB1 could be determined to be a useful biomarker for pancreatitis patients.</w:t>
      </w:r>
    </w:p>
    <w:p w:rsidR="004F3E0E" w:rsidRDefault="004F3E0E" w:rsidP="004F3E0E">
      <w:pPr>
        <w:pStyle w:val="a3"/>
        <w:rPr>
          <w:kern w:val="0"/>
        </w:rPr>
      </w:pPr>
      <w:r>
        <w:rPr>
          <w:kern w:val="0"/>
        </w:rPr>
        <w:t>Keywords: Analysis, Association, Biomarker, Building, Cancer, Case-Control, Case-Control Studies, Cells, China, Clinical, Confidence, Confidence Intervals, Correlation, Country, Databases, Diagnostic, Diseases, Expression, From, Glycation End-Products, Google, Google Scholar, Heterogeneity, Hmgb1, Hungary, Inflammation, Injury, Intervals, Japan, Knowledge, Korea, Language, Mechanisms, Meta Analysis, Meta-Analysis, Metaanalysis, Mobility, Model, P, Pancreatitis, Patients, Populations, Progression, Protein, Pubmed, R, Rats, Receptor, Restrictions, Results, Science, Serum, Significance, Software, Standard, Statistical Analysis, Web, Web Of Science</w:t>
      </w:r>
    </w:p>
    <w:p w:rsidR="00B15525" w:rsidRDefault="00B15525" w:rsidP="00B15525">
      <w:pPr>
        <w:pStyle w:val="a3"/>
        <w:rPr>
          <w:kern w:val="0"/>
        </w:rPr>
      </w:pPr>
      <w:r>
        <w:rPr>
          <w:rFonts w:hint="eastAsia"/>
          <w:kern w:val="0"/>
        </w:rPr>
        <w:t xml:space="preserve">? </w:t>
      </w:r>
      <w:r>
        <w:rPr>
          <w:kern w:val="0"/>
        </w:rPr>
        <w:t xml:space="preserve">Liu, H.Q., Zhang, C.P., Zhang, C.Z., Liu, X.C. and Liu, Z.J. (2015), Influence of two common polymorphisms in the EPHX1 gene on warfarin maintenance dosage: A meta-analysis. </w:t>
      </w:r>
      <w:r w:rsidR="00C361D9">
        <w:rPr>
          <w:i/>
          <w:iCs/>
          <w:kern w:val="0"/>
        </w:rPr>
        <w:t>BioMed Research International</w:t>
      </w:r>
      <w:r>
        <w:rPr>
          <w:rFonts w:hint="eastAsia"/>
          <w:kern w:val="0"/>
        </w:rPr>
        <w:t xml:space="preserve">, </w:t>
      </w:r>
      <w:r w:rsidRPr="006E39B7">
        <w:rPr>
          <w:kern w:val="0"/>
        </w:rPr>
        <w:t>Article Number: 564149</w:t>
      </w:r>
      <w:r>
        <w:rPr>
          <w:rFonts w:hint="eastAsia"/>
          <w:kern w:val="0"/>
        </w:rPr>
        <w:t>.</w:t>
      </w:r>
    </w:p>
    <w:p w:rsidR="00B15525" w:rsidRDefault="00B15525" w:rsidP="00B15525">
      <w:pPr>
        <w:pStyle w:val="a3"/>
        <w:rPr>
          <w:kern w:val="0"/>
        </w:rPr>
      </w:pPr>
      <w:r>
        <w:rPr>
          <w:kern w:val="0"/>
        </w:rPr>
        <w:t xml:space="preserve">Full Text: </w:t>
      </w:r>
      <w:hyperlink r:id="rId1484" w:history="1">
        <w:r w:rsidRPr="000D535C">
          <w:rPr>
            <w:rStyle w:val="a5"/>
            <w:kern w:val="0"/>
          </w:rPr>
          <w:t>2015\Bio Res Int, 564149.pdf</w:t>
        </w:r>
      </w:hyperlink>
    </w:p>
    <w:p w:rsidR="00B15525" w:rsidRDefault="00B15525" w:rsidP="00B15525">
      <w:pPr>
        <w:pStyle w:val="a3"/>
        <w:rPr>
          <w:kern w:val="0"/>
        </w:rPr>
      </w:pPr>
      <w:r>
        <w:rPr>
          <w:kern w:val="0"/>
        </w:rPr>
        <w:t xml:space="preserve">Abstract: We conducted a meta-analysis to investigate the influence of two common single nucleotide polymorphisms (SNPs) (rs2292566 G&gt;A and rs4653436 A&gt;G) in the EPHX1 gene on warfarin maintenance dosages. Relevant literatures were searched using the PubMed, Embase, Web of Science, Cochrane Library, CISCOM, </w:t>
      </w:r>
      <w:r>
        <w:rPr>
          <w:kern w:val="0"/>
        </w:rPr>
        <w:lastRenderedPageBreak/>
        <w:t>CINAHL, Google Scholar, CBM, and CNKI databases without any language restrictions. STATA Version 12.0 software (Stata Corporation, College Station, TX, USA) was used for this meta-analysis. Standard mean difference and its corresponding 95% confidence interval (95% CI) were calculated. Seven studies met the inclusion criteria, including 2,063 warfarin-treated patients. Meta-analysis results illustrated that EPHX1 rs2292566 G&gt;A polymorphism might be strongly correlated with a higher maintenance dose of warfarin. However, no interaction of EPHX1 rs4653436 A&gt;Gpolymorphism with warfarin maintenance dosage was detected. A further subgroup analysis based on stratification by ethnicity indicated that EPHX1 rs2292566 G&gt;A polymorphism was positively correlated with warfarin maintenance dosage among Caucasians, but not Asians. No associations were observed between EPHX1 rs4653436 A&gt;G polymorphism warfarin maintenance dosage among both Caucasians and Asians. Our meta-analysis provides robust and unambiguous evidence that EPHX1 rs2292566 polymorphism may affect the maintenance dose of warfarin in Caucasians.</w:t>
      </w:r>
    </w:p>
    <w:p w:rsidR="00B15525" w:rsidRDefault="00B15525" w:rsidP="00B15525">
      <w:pPr>
        <w:pStyle w:val="a3"/>
        <w:rPr>
          <w:kern w:val="0"/>
        </w:rPr>
      </w:pPr>
      <w:r>
        <w:rPr>
          <w:kern w:val="0"/>
        </w:rPr>
        <w:t>Keywords: Affect, Analysis, Asians, Association, Cigarette-Smoking, Confidence, Coronary-Heart-Disease, Criteria, Databases, Dose Requirements, Ethnicity, Evidence, Gene, Google, Google Scholar, Influence, Interaction, Interval, Language, Maintenance, Meta Analysis, Meta-Analysis, Metaanalysis, Myocardial-Infarction, Normalized Ratio Inr, P-Selectin Levels, Patients, Polymorphism, Polymorphisms, Population, Pubmed, Restrictions, Risk, Science, Software, Stata, Stratification, Usa, Variants, Warfarin, Web, Web Of Science</w:t>
      </w:r>
    </w:p>
    <w:p w:rsidR="004F3E0E" w:rsidRDefault="004F3E0E" w:rsidP="004F3E0E">
      <w:pPr>
        <w:pStyle w:val="a3"/>
        <w:rPr>
          <w:kern w:val="0"/>
        </w:rPr>
      </w:pPr>
      <w:r>
        <w:rPr>
          <w:rFonts w:hint="eastAsia"/>
          <w:kern w:val="0"/>
        </w:rPr>
        <w:t xml:space="preserve">? </w:t>
      </w:r>
      <w:r>
        <w:rPr>
          <w:kern w:val="0"/>
        </w:rPr>
        <w:t xml:space="preserve">Wang, Z.H., Zhu, Z.T., Xiao, X.Y. and Sun, J. (2015), Correlation of serum levels of endostatin with tumor stage in gastric cancer: A systematic review and meta-analysis. </w:t>
      </w:r>
      <w:r w:rsidR="00C361D9">
        <w:rPr>
          <w:i/>
          <w:kern w:val="0"/>
        </w:rPr>
        <w:t>BioMed Research International</w:t>
      </w:r>
      <w:r>
        <w:rPr>
          <w:kern w:val="0"/>
        </w:rPr>
        <w:t xml:space="preserve">, </w:t>
      </w:r>
      <w:r w:rsidRPr="007E35F5">
        <w:rPr>
          <w:kern w:val="0"/>
        </w:rPr>
        <w:t xml:space="preserve">Article Number: </w:t>
      </w:r>
      <w:r w:rsidRPr="009764E5">
        <w:rPr>
          <w:kern w:val="0"/>
        </w:rPr>
        <w:t>623939</w:t>
      </w:r>
      <w:r>
        <w:rPr>
          <w:kern w:val="0"/>
        </w:rPr>
        <w:t>.</w:t>
      </w:r>
    </w:p>
    <w:p w:rsidR="004F3E0E" w:rsidRDefault="004F3E0E" w:rsidP="004F3E0E">
      <w:pPr>
        <w:pStyle w:val="a3"/>
        <w:rPr>
          <w:kern w:val="0"/>
        </w:rPr>
      </w:pPr>
      <w:r>
        <w:rPr>
          <w:kern w:val="0"/>
        </w:rPr>
        <w:t xml:space="preserve">Full Text: </w:t>
      </w:r>
      <w:hyperlink r:id="rId1485" w:history="1">
        <w:r w:rsidRPr="004F3E0E">
          <w:rPr>
            <w:rStyle w:val="a5"/>
            <w:kern w:val="0"/>
          </w:rPr>
          <w:t>2015\Bio Res Int, 623939.pdf</w:t>
        </w:r>
      </w:hyperlink>
    </w:p>
    <w:p w:rsidR="004F3E0E" w:rsidRDefault="004F3E0E" w:rsidP="004F3E0E">
      <w:pPr>
        <w:pStyle w:val="a3"/>
        <w:rPr>
          <w:kern w:val="0"/>
        </w:rPr>
      </w:pPr>
      <w:r>
        <w:rPr>
          <w:kern w:val="0"/>
        </w:rPr>
        <w:t xml:space="preserve">Abstract: Background. We performed a systematic review and meta-analysis to study the association between serum endostatin levels and gastric cancer (GC) progression. Method. We searched the MEDLINE, Science Citation Index, Cochrane Library, PubMed, Embase, Current Contents Index, and several Chinese databases for published studies relevant to our study topic. Carefully selected studies were pooled and SMDand its corresponding 95% CI were calculated. Version 12.0 STATA software was used for statistical analysis. Results. Serum endostatin levels were analyzed in 12 case-control studies (736 GC patients and 350 controls). Significant differences in serum endostatin levels were observed between GC patients and the healthy controls (SMD = 1.418, 95% CI = 1.079 similar to 1.757, P &lt; 0.001). Importantly, significantly lower levels of serum endostatin were found in I-II grade patients compared to those with III-IV grade tumors (P &lt; 0.001). Further, higher serum endostatin levels were observed in the LN invasion-positive GC subjects in </w:t>
      </w:r>
      <w:r>
        <w:rPr>
          <w:kern w:val="0"/>
        </w:rPr>
        <w:lastRenderedPageBreak/>
        <w:t>comparison with LN invasion-negative subjects (P &lt; 0.001). Conclusion. Patients with GC exhibited elevated levels of serum endostatin than controls and its level showed a statistical correlation with the more aggressive type of GC, exhibiting invasion and LN metastasis. Thus, serum levels of endostatin being a useful prognostic biomarker for GC patients warrants further investigation.</w:t>
      </w:r>
    </w:p>
    <w:p w:rsidR="004F3E0E" w:rsidRDefault="004F3E0E" w:rsidP="004F3E0E">
      <w:pPr>
        <w:pStyle w:val="a3"/>
        <w:rPr>
          <w:kern w:val="0"/>
        </w:rPr>
      </w:pPr>
      <w:r>
        <w:rPr>
          <w:kern w:val="0"/>
        </w:rPr>
        <w:t>Keywords: Analysis, Antiangiogenesis, Association, Biomarker, Cancer, Carcinoma, Case-Control, Case-Control Studies, Cells, China, Chinese, Citation, Comparison, Correlation, Databases, Gastric, Gastric Cancer, Heterogeneity, Investigation, Lymphangiogenesis, Lymphatic Metastasis, Medline, Meta Analysis, Meta-Analysis, Metaanalysis, Metastasis, P, Patients, Prognosis, Prognostic, Progression, Publication Bias, Pubmed, R, Results, Review, Science, Science Citation Index, Serum, Software, Statistical Analysis, Systematic, Systematic Review, Therapy, Topic</w:t>
      </w:r>
    </w:p>
    <w:p w:rsidR="00123556" w:rsidRDefault="00123556" w:rsidP="00123556">
      <w:pPr>
        <w:pStyle w:val="a3"/>
        <w:rPr>
          <w:kern w:val="0"/>
        </w:rPr>
      </w:pPr>
      <w:r>
        <w:rPr>
          <w:rFonts w:hint="eastAsia"/>
          <w:kern w:val="0"/>
        </w:rPr>
        <w:t xml:space="preserve">? </w:t>
      </w:r>
      <w:r>
        <w:rPr>
          <w:kern w:val="0"/>
        </w:rPr>
        <w:t xml:space="preserve">Dong, G.X., Zhang, N., Wu, Z.P., Liu, Y.M. and Wang, L.T. (2015), Multiple sclerosis increases fracture risk: A meta-analysis. </w:t>
      </w:r>
      <w:r w:rsidR="00C361D9">
        <w:rPr>
          <w:i/>
          <w:kern w:val="0"/>
        </w:rPr>
        <w:t>BioMed Research International</w:t>
      </w:r>
      <w:r>
        <w:rPr>
          <w:kern w:val="0"/>
        </w:rPr>
        <w:t xml:space="preserve">, </w:t>
      </w:r>
      <w:r w:rsidRPr="007E35F5">
        <w:rPr>
          <w:kern w:val="0"/>
        </w:rPr>
        <w:t xml:space="preserve">Article Number: </w:t>
      </w:r>
      <w:r w:rsidRPr="00C414AF">
        <w:rPr>
          <w:kern w:val="0"/>
        </w:rPr>
        <w:t>650138</w:t>
      </w:r>
      <w:r>
        <w:rPr>
          <w:kern w:val="0"/>
        </w:rPr>
        <w:t>.</w:t>
      </w:r>
    </w:p>
    <w:p w:rsidR="00123556" w:rsidRDefault="00123556" w:rsidP="00123556">
      <w:pPr>
        <w:pStyle w:val="a3"/>
        <w:rPr>
          <w:kern w:val="0"/>
        </w:rPr>
      </w:pPr>
      <w:r>
        <w:rPr>
          <w:kern w:val="0"/>
        </w:rPr>
        <w:t xml:space="preserve">Full Text: </w:t>
      </w:r>
      <w:hyperlink r:id="rId1486" w:history="1">
        <w:r w:rsidRPr="00406FEB">
          <w:rPr>
            <w:rStyle w:val="a5"/>
            <w:kern w:val="0"/>
          </w:rPr>
          <w:t>2015\Bio Res Int, 650138.pdf</w:t>
        </w:r>
      </w:hyperlink>
    </w:p>
    <w:p w:rsidR="00123556" w:rsidRDefault="00123556" w:rsidP="00123556">
      <w:pPr>
        <w:pStyle w:val="a3"/>
        <w:rPr>
          <w:kern w:val="0"/>
        </w:rPr>
      </w:pPr>
      <w:r>
        <w:rPr>
          <w:kern w:val="0"/>
        </w:rPr>
        <w:t>Abstract: Purpose. The association between multiple sclerosis (MS) and fracture risk has been reported, but results of previous studies remain controversial and ambiguous. To assess the association between MS and fracture risk, a meta-analysis was performed. Method. Based on comprehensive searches of the PubMed, Embase, and Web of Science, we identified outcome data from all articles estimating the association between MS and fracture risk. The pooled risk ratios (RRs) with 95% confidence intervals (CIs) were calculated. Results. A significant association between MS and fracture risk was found. This result remained statistically significant when the adjusted RRs were combined. Subgroup analysis stratified by the site of fracture suggested significant associations between MS and tibia fracture risk, femur fracture risk, hip fracture risk, pelvis fracture risk, vertebrae fracture risk, and humerus fracture risk. In the subgroup analysis by gender, female MS patients had increased fracture risk. When stratified by history of drug use, use of antidepressants, hypnotics/anxiolytics, anticonvulsants, and glucocorticoids increased the risk of fracture risk in MS patients. Conclusions. This meta-analysis demonstrated that MS was significantly associated with fracture risk.</w:t>
      </w:r>
    </w:p>
    <w:p w:rsidR="00123556" w:rsidRDefault="00123556" w:rsidP="00123556">
      <w:pPr>
        <w:pStyle w:val="a3"/>
        <w:rPr>
          <w:kern w:val="0"/>
        </w:rPr>
      </w:pPr>
      <w:r>
        <w:rPr>
          <w:kern w:val="0"/>
        </w:rPr>
        <w:t>Keywords: Analysis, Anticonvulsants, Antidepressants, Articles, Association, Bone Health, Cohort, Confidence, Confidence Intervals, Data, Drug, Drug Use, Female, Femur, Fracture, From, Gender, Glow, Glucocorticoids, Hip Fracture, History, Intervals, Meta Analysis, Meta-Analysis, Metaanalysis, Ms, Multiple Sclerosis, National-Health Registers, Outcome, Patients, Pelvis, Pubmed, Results, Risk, Science, Site, Web, Web Of Science</w:t>
      </w:r>
    </w:p>
    <w:p w:rsidR="00C361D9" w:rsidRDefault="00C361D9" w:rsidP="00C361D9">
      <w:pPr>
        <w:pStyle w:val="a3"/>
        <w:rPr>
          <w:kern w:val="0"/>
        </w:rPr>
      </w:pPr>
      <w:r>
        <w:rPr>
          <w:rFonts w:hint="eastAsia"/>
          <w:kern w:val="0"/>
        </w:rPr>
        <w:t xml:space="preserve">? </w:t>
      </w:r>
      <w:r>
        <w:rPr>
          <w:kern w:val="0"/>
        </w:rPr>
        <w:t xml:space="preserve">Zheng, C.J., Ou, W.L., Shen, H.Y., Zhou, Z.H. and Wang, J.J. (2015), Combined </w:t>
      </w:r>
      <w:r>
        <w:rPr>
          <w:kern w:val="0"/>
        </w:rPr>
        <w:lastRenderedPageBreak/>
        <w:t xml:space="preserve">therapy of diabetic peripheral neuropathy with breviscapine and mecobalamin: A systematic review and a meta-analysis of Chinese studies. </w:t>
      </w:r>
      <w:r>
        <w:rPr>
          <w:i/>
          <w:iCs/>
          <w:kern w:val="0"/>
        </w:rPr>
        <w:t>BioMed Research International</w:t>
      </w:r>
      <w:r>
        <w:rPr>
          <w:kern w:val="0"/>
        </w:rPr>
        <w:t xml:space="preserve">, </w:t>
      </w:r>
      <w:r w:rsidRPr="007E35F5">
        <w:rPr>
          <w:kern w:val="0"/>
        </w:rPr>
        <w:t xml:space="preserve">Article Number: </w:t>
      </w:r>
      <w:r w:rsidRPr="00A84C8F">
        <w:rPr>
          <w:kern w:val="0"/>
        </w:rPr>
        <w:t>680756</w:t>
      </w:r>
      <w:r>
        <w:rPr>
          <w:kern w:val="0"/>
        </w:rPr>
        <w:t>.</w:t>
      </w:r>
    </w:p>
    <w:p w:rsidR="00C361D9" w:rsidRDefault="00C361D9" w:rsidP="00C361D9">
      <w:pPr>
        <w:pStyle w:val="a3"/>
        <w:rPr>
          <w:kern w:val="0"/>
        </w:rPr>
      </w:pPr>
      <w:r>
        <w:rPr>
          <w:kern w:val="0"/>
        </w:rPr>
        <w:t xml:space="preserve">Full Text: </w:t>
      </w:r>
      <w:hyperlink r:id="rId1487" w:history="1">
        <w:r w:rsidRPr="00096859">
          <w:rPr>
            <w:rStyle w:val="a5"/>
            <w:kern w:val="0"/>
          </w:rPr>
          <w:t>2015\Bio Res Int, 680756.pdf</w:t>
        </w:r>
      </w:hyperlink>
    </w:p>
    <w:p w:rsidR="00C361D9" w:rsidRDefault="00C361D9" w:rsidP="00C361D9">
      <w:pPr>
        <w:pStyle w:val="a3"/>
        <w:rPr>
          <w:kern w:val="0"/>
        </w:rPr>
      </w:pPr>
      <w:r>
        <w:rPr>
          <w:kern w:val="0"/>
        </w:rPr>
        <w:t>Abstract: Objective. A meta-analysis on combined therapy of diabetic peripheral neuropathy (DPN) with breviscapine and mecobalamin was performed to evaluate the efficacy of this therapy. Methods. Six English databases (Medline, Cochrane Library, PubMed, EMBASE, Web of Science, and CINAHL) and four Chinese databases (China National Knowledge Infrastructure, VIP Journals Database, CBM, and Wanfang database) were searched for studies on the clinical trials in which DPN was treated with breviscapine and mecobalamin, and RevMan 5.1 package was employed for analyzing pooled trials and publication bias. Results. A total of 17 articles including 1398 DPN patients were identified. Homogeneity was observed among different studies (P = 0.74). The efficacy of combined therapy with breviscapine and mecobalamin was significantly better than that in control group [P &lt; 0.0001 (OR = 5.01, 95% CI: 3.70-6.78)]. Conclusion. Available findings suggest that the therapeutic efficacy of breviscapine combining mecobalamin is superior to mecobalamin alone, and this strategy is required to be popularized in clinical practice.</w:t>
      </w:r>
    </w:p>
    <w:p w:rsidR="00C361D9" w:rsidRDefault="00C361D9" w:rsidP="00C361D9">
      <w:pPr>
        <w:pStyle w:val="a3"/>
        <w:rPr>
          <w:kern w:val="0"/>
        </w:rPr>
      </w:pPr>
      <w:r>
        <w:rPr>
          <w:kern w:val="0"/>
        </w:rPr>
        <w:t>Keywords: Articles, Bias, China, Chinese, Clinical, Clinical Practice, Clinical Trials, Combining, Control, Database, Databases, Efficacy, Embase, English, Homogeneity, Injection, Journals, Knowledge, Library, Management, Mechanisms, Medline, Meta Analysis, Meta-Analysis, Metaanalysis, Methods, Methylcobalamin, Neuropathy, P, Pathogenesis, Patients, Pc12 Cells, Peripheral, Practice, Prevalence, Publication, Publication Bias, Pubmed, Results, Review, Science, Scutellarin, Strategy, Systematic, Systematic Review, Therapeutic, Therapeutic Efficacy, Therapy, Vascular Factors, Web, Web Of Science</w:t>
      </w:r>
    </w:p>
    <w:p w:rsidR="00C361D9" w:rsidRDefault="00C361D9" w:rsidP="00C361D9">
      <w:pPr>
        <w:pStyle w:val="a3"/>
        <w:rPr>
          <w:kern w:val="0"/>
        </w:rPr>
      </w:pPr>
      <w:r>
        <w:rPr>
          <w:rFonts w:hint="eastAsia"/>
          <w:kern w:val="0"/>
        </w:rPr>
        <w:t xml:space="preserve">? </w:t>
      </w:r>
      <w:r>
        <w:rPr>
          <w:kern w:val="0"/>
        </w:rPr>
        <w:t xml:space="preserve">Bertino, G., Demma, S., Ardiri, A., Proiti, M., Mangia, A., Gruttadauria, S., Toro, A., Di Carlo, I., Malaguarnera, G., Bertino, N., Malaguarnera, M. and Malaguarnera, M. (2015), The immune system in hepatocellular carcinoma and potential new immunotherapeutic strategies. </w:t>
      </w:r>
      <w:r>
        <w:rPr>
          <w:i/>
          <w:iCs/>
          <w:kern w:val="0"/>
        </w:rPr>
        <w:t>BioMed Research International</w:t>
      </w:r>
      <w:r>
        <w:rPr>
          <w:kern w:val="0"/>
        </w:rPr>
        <w:t xml:space="preserve">, </w:t>
      </w:r>
      <w:r w:rsidRPr="007E35F5">
        <w:rPr>
          <w:kern w:val="0"/>
        </w:rPr>
        <w:t xml:space="preserve">Article Number: </w:t>
      </w:r>
      <w:r w:rsidRPr="00A84C8F">
        <w:rPr>
          <w:kern w:val="0"/>
        </w:rPr>
        <w:t>731469</w:t>
      </w:r>
      <w:r>
        <w:rPr>
          <w:kern w:val="0"/>
        </w:rPr>
        <w:t>.</w:t>
      </w:r>
    </w:p>
    <w:p w:rsidR="00C361D9" w:rsidRDefault="00C361D9" w:rsidP="00C361D9">
      <w:pPr>
        <w:pStyle w:val="a3"/>
        <w:rPr>
          <w:kern w:val="0"/>
        </w:rPr>
      </w:pPr>
      <w:r>
        <w:rPr>
          <w:kern w:val="0"/>
        </w:rPr>
        <w:t xml:space="preserve">Full Text: </w:t>
      </w:r>
      <w:hyperlink r:id="rId1488" w:history="1">
        <w:r w:rsidRPr="00096859">
          <w:rPr>
            <w:rStyle w:val="a5"/>
            <w:kern w:val="0"/>
          </w:rPr>
          <w:t>2015\Bio Res Int, 731469.pdf</w:t>
        </w:r>
      </w:hyperlink>
    </w:p>
    <w:p w:rsidR="00C361D9" w:rsidRDefault="00C361D9" w:rsidP="00C361D9">
      <w:pPr>
        <w:pStyle w:val="a3"/>
        <w:rPr>
          <w:kern w:val="0"/>
        </w:rPr>
      </w:pPr>
      <w:r>
        <w:rPr>
          <w:kern w:val="0"/>
        </w:rPr>
        <w:t xml:space="preserve">Abstract: Background. Hepatocellular carcinoma is a major health problem worldwide and the third most common cause of cancer-related death. HCC treatment decisions are complex and dependent upon tumor staging. Several molecular targeted agents have been evaluated in clinical trials in advanced HCC. Despite of only modest objective response rates according to the Response Evaluation Criteria in Solid Tumors, several studies showed encouraging results in terms of prolongation of the </w:t>
      </w:r>
      <w:r>
        <w:rPr>
          <w:kern w:val="0"/>
        </w:rPr>
        <w:lastRenderedPageBreak/>
        <w:t>time to progression, disease stabilization, and survival. Cellular immunotherapy would improve the immune state and has potential in enhancing the therapeutic outcome for HCC patients. Materials and Methods. A search of the literature was made using cancer literature, the PubMed, Scopus, and Web of Science (WOS) database for the following keywords: “hepatocellular carcinoma,” “molecular hepatocarcinogenesis,” “targeted therapy,” “molecular immunological targets,” “tumour-associated antigens,” “Tregs,” “MDSCs,” “immunotherapy.” Discussion and Conclusion. Treatment strategies combining blockade of immunoregulatory cell types such as Tregs and MDSCs and of inhibitory receptors, with vaccine-induced activation of TAA-specific T cells, may be necessary to achieve the most effective therapeutic antitumour activity in HCC. In the future, new therapeutic options will be represented by a blend of immunotherapy-like vaccines and T-cell modulators, supplemented by molecularly targeted inhibitors of tumor signaling pathways.</w:t>
      </w:r>
    </w:p>
    <w:p w:rsidR="00C361D9" w:rsidRDefault="00C361D9" w:rsidP="00C361D9">
      <w:pPr>
        <w:pStyle w:val="a3"/>
        <w:rPr>
          <w:kern w:val="0"/>
        </w:rPr>
      </w:pPr>
      <w:r>
        <w:rPr>
          <w:kern w:val="0"/>
        </w:rPr>
        <w:t>Keywords: Activation, Activity, Alpha-Fetoprotein Levels, Cancer, Carcinoma, Cell, Chronic Hepatitis-C, Clinical, Clinical Trials, Clinical-Trial, Combining, Database, Death, Dendritic Cells, Disease, Evaluation, Fatty Liver-Disease, Gamma-Carboxy Prothrombin, Hcc, Health, Health Problem, Hepatocellular Carcinoma, Immune, Immunotherapy, Inhibitors, Interferon-Alpha-2b Plus Ribavirin, Literature, Materials, Methods, Options, Outcome, Pathways, Patients, Percutaneous Ethanol Injection, Potential, Progression, Pubmed, Rates, Response, Science, Scopus, Signaling, State, Suppressor-Cells, Survival, T-Cell Responses, Therapeutic, Therapeutic Options, Treatment, Tumor, Vaccines, Web, Web Of Science, Wos</w:t>
      </w:r>
    </w:p>
    <w:p w:rsidR="00970578" w:rsidRPr="001A3D2B" w:rsidRDefault="00970578" w:rsidP="00970578">
      <w:pPr>
        <w:pStyle w:val="1"/>
      </w:pPr>
      <w:r w:rsidRPr="001A3D2B">
        <w:br w:type="page"/>
      </w:r>
      <w:bookmarkStart w:id="787" w:name="_Toc420814726"/>
      <w:r w:rsidRPr="001A3D2B">
        <w:lastRenderedPageBreak/>
        <w:t xml:space="preserve">Title: </w:t>
      </w:r>
      <w:r w:rsidRPr="00970578">
        <w:t>Biomedical Papers-Olomouc</w:t>
      </w:r>
      <w:bookmarkEnd w:id="787"/>
    </w:p>
    <w:p w:rsidR="00970578" w:rsidRPr="001A3D2B" w:rsidRDefault="00970578" w:rsidP="00970578">
      <w:pPr>
        <w:pStyle w:val="12"/>
      </w:pPr>
      <w:r w:rsidRPr="001A3D2B">
        <w:t xml:space="preserve">Full Journal Title: </w:t>
      </w:r>
      <w:r w:rsidRPr="00970578">
        <w:rPr>
          <w:iCs/>
          <w:kern w:val="0"/>
        </w:rPr>
        <w:t>Biomedical Papers-Olomouc</w:t>
      </w:r>
    </w:p>
    <w:p w:rsidR="00970578" w:rsidRPr="001A3D2B" w:rsidRDefault="00970578" w:rsidP="00970578">
      <w:pPr>
        <w:pStyle w:val="12"/>
      </w:pPr>
      <w:r w:rsidRPr="001A3D2B">
        <w:t xml:space="preserve">ISO Abbreviated Title: </w:t>
      </w:r>
    </w:p>
    <w:p w:rsidR="00970578" w:rsidRPr="001A3D2B" w:rsidRDefault="00970578" w:rsidP="00970578">
      <w:pPr>
        <w:pStyle w:val="12"/>
      </w:pPr>
      <w:r w:rsidRPr="001A3D2B">
        <w:t xml:space="preserve">JCR Abbreviated Title: </w:t>
      </w:r>
    </w:p>
    <w:p w:rsidR="00970578" w:rsidRPr="001A3D2B" w:rsidRDefault="00970578" w:rsidP="00970578">
      <w:pPr>
        <w:pStyle w:val="12"/>
      </w:pPr>
      <w:r w:rsidRPr="001A3D2B">
        <w:t xml:space="preserve">ISSN: </w:t>
      </w:r>
    </w:p>
    <w:p w:rsidR="00970578" w:rsidRPr="001A3D2B" w:rsidRDefault="00970578" w:rsidP="00970578">
      <w:pPr>
        <w:pStyle w:val="12"/>
      </w:pPr>
      <w:r w:rsidRPr="001A3D2B">
        <w:t xml:space="preserve">Issues/Year: </w:t>
      </w:r>
    </w:p>
    <w:p w:rsidR="00970578" w:rsidRPr="001A3D2B" w:rsidRDefault="00970578" w:rsidP="00970578">
      <w:pPr>
        <w:pStyle w:val="12"/>
      </w:pPr>
      <w:r w:rsidRPr="001A3D2B">
        <w:t xml:space="preserve">Journal Country/Territory: </w:t>
      </w:r>
    </w:p>
    <w:p w:rsidR="00970578" w:rsidRPr="001A3D2B" w:rsidRDefault="00970578" w:rsidP="00970578">
      <w:pPr>
        <w:pStyle w:val="12"/>
      </w:pPr>
      <w:r w:rsidRPr="001A3D2B">
        <w:t xml:space="preserve">Language: </w:t>
      </w:r>
    </w:p>
    <w:p w:rsidR="00970578" w:rsidRPr="001A3D2B" w:rsidRDefault="00970578" w:rsidP="00970578">
      <w:pPr>
        <w:pStyle w:val="12"/>
      </w:pPr>
      <w:r w:rsidRPr="001A3D2B">
        <w:t xml:space="preserve">Publisher: </w:t>
      </w:r>
    </w:p>
    <w:p w:rsidR="00970578" w:rsidRPr="001A3D2B" w:rsidRDefault="00970578" w:rsidP="00970578">
      <w:pPr>
        <w:pStyle w:val="12"/>
      </w:pPr>
      <w:r w:rsidRPr="001A3D2B">
        <w:t xml:space="preserve">Publisher Address: </w:t>
      </w:r>
    </w:p>
    <w:p w:rsidR="00970578" w:rsidRPr="001A3D2B" w:rsidRDefault="00970578" w:rsidP="00970578">
      <w:pPr>
        <w:pStyle w:val="12"/>
      </w:pPr>
      <w:r w:rsidRPr="001A3D2B">
        <w:t xml:space="preserve">Subject Categories: </w:t>
      </w:r>
    </w:p>
    <w:p w:rsidR="00970578" w:rsidRPr="001A3D2B" w:rsidRDefault="00970578" w:rsidP="00970578">
      <w:pPr>
        <w:pStyle w:val="12"/>
      </w:pPr>
      <w:r w:rsidRPr="001A3D2B">
        <w:t xml:space="preserve">: Impact Factor </w:t>
      </w:r>
    </w:p>
    <w:p w:rsidR="00970578" w:rsidRDefault="00970578" w:rsidP="00970578">
      <w:pPr>
        <w:pStyle w:val="a3"/>
        <w:rPr>
          <w:kern w:val="0"/>
        </w:rPr>
      </w:pPr>
      <w:r>
        <w:rPr>
          <w:rFonts w:hint="eastAsia"/>
          <w:kern w:val="0"/>
        </w:rPr>
        <w:t xml:space="preserve">? </w:t>
      </w:r>
      <w:r>
        <w:rPr>
          <w:kern w:val="0"/>
        </w:rPr>
        <w:t>Pivodova, V., Frankova, J.</w:t>
      </w:r>
      <w:r w:rsidR="005853A9">
        <w:rPr>
          <w:kern w:val="0"/>
        </w:rPr>
        <w:t xml:space="preserve"> and </w:t>
      </w:r>
      <w:r>
        <w:rPr>
          <w:kern w:val="0"/>
        </w:rPr>
        <w:t>Ulrichova, J. (2011), Osteoblast</w:t>
      </w:r>
      <w:r w:rsidR="005853A9">
        <w:rPr>
          <w:kern w:val="0"/>
        </w:rPr>
        <w:t xml:space="preserve"> and </w:t>
      </w:r>
      <w:r>
        <w:rPr>
          <w:kern w:val="0"/>
        </w:rPr>
        <w:t xml:space="preserve">gingival fibroblast markers in dental implant studies. </w:t>
      </w:r>
      <w:r w:rsidRPr="00970578">
        <w:rPr>
          <w:i/>
          <w:iCs/>
          <w:kern w:val="0"/>
        </w:rPr>
        <w:t>Biomedical Papers-Olomouc</w:t>
      </w:r>
      <w:r>
        <w:rPr>
          <w:kern w:val="0"/>
        </w:rPr>
        <w:t xml:space="preserve">, </w:t>
      </w:r>
      <w:r>
        <w:rPr>
          <w:b/>
          <w:bCs/>
          <w:kern w:val="0"/>
        </w:rPr>
        <w:t>155</w:t>
      </w:r>
      <w:r>
        <w:rPr>
          <w:kern w:val="0"/>
        </w:rPr>
        <w:t xml:space="preserve"> (2), 109-116.</w:t>
      </w:r>
    </w:p>
    <w:p w:rsidR="00970578" w:rsidRDefault="00970578" w:rsidP="00970578">
      <w:pPr>
        <w:pStyle w:val="a3"/>
        <w:rPr>
          <w:kern w:val="0"/>
        </w:rPr>
      </w:pPr>
      <w:r>
        <w:rPr>
          <w:rFonts w:hint="eastAsia"/>
          <w:kern w:val="0"/>
        </w:rPr>
        <w:t xml:space="preserve">Full Text: </w:t>
      </w:r>
      <w:hyperlink r:id="rId1489" w:history="1">
        <w:r w:rsidRPr="00970578">
          <w:rPr>
            <w:rStyle w:val="a5"/>
            <w:kern w:val="0"/>
          </w:rPr>
          <w:t>2011\Bio Pap-Olo155, 109.pdf</w:t>
        </w:r>
      </w:hyperlink>
    </w:p>
    <w:p w:rsidR="00970578" w:rsidRDefault="00970578" w:rsidP="00970578">
      <w:pPr>
        <w:pStyle w:val="a3"/>
        <w:rPr>
          <w:kern w:val="0"/>
        </w:rPr>
      </w:pPr>
      <w:r>
        <w:rPr>
          <w:kern w:val="0"/>
        </w:rPr>
        <w:t>Abstract: Background. Dental implants are a suitable option for</w:t>
      </w:r>
      <w:r w:rsidR="003A1917">
        <w:rPr>
          <w:kern w:val="0"/>
        </w:rPr>
        <w:t xml:space="preserve"> the </w:t>
      </w:r>
      <w:r>
        <w:rPr>
          <w:kern w:val="0"/>
        </w:rPr>
        <w:t>replacement</w:t>
      </w:r>
      <w:r w:rsidR="00427468">
        <w:rPr>
          <w:kern w:val="0"/>
        </w:rPr>
        <w:t xml:space="preserve"> of </w:t>
      </w:r>
      <w:r>
        <w:rPr>
          <w:kern w:val="0"/>
        </w:rPr>
        <w:t>some or all missing teeth</w:t>
      </w:r>
      <w:r w:rsidR="00A37C1D">
        <w:rPr>
          <w:kern w:val="0"/>
        </w:rPr>
        <w:t>. The</w:t>
      </w:r>
      <w:r>
        <w:rPr>
          <w:kern w:val="0"/>
        </w:rPr>
        <w:t>ir main function is to secure</w:t>
      </w:r>
      <w:r w:rsidR="003A1917">
        <w:rPr>
          <w:kern w:val="0"/>
        </w:rPr>
        <w:t xml:space="preserve"> the </w:t>
      </w:r>
      <w:r>
        <w:rPr>
          <w:kern w:val="0"/>
        </w:rPr>
        <w:t>stability</w:t>
      </w:r>
      <w:r w:rsidR="00427468">
        <w:rPr>
          <w:kern w:val="0"/>
        </w:rPr>
        <w:t xml:space="preserve"> of </w:t>
      </w:r>
      <w:r w:rsidR="003A1917">
        <w:rPr>
          <w:kern w:val="0"/>
        </w:rPr>
        <w:t xml:space="preserve">the </w:t>
      </w:r>
      <w:r>
        <w:rPr>
          <w:kern w:val="0"/>
        </w:rPr>
        <w:t>artificial tooth</w:t>
      </w:r>
      <w:r w:rsidR="00A37C1D">
        <w:rPr>
          <w:kern w:val="0"/>
        </w:rPr>
        <w:t>. The</w:t>
      </w:r>
      <w:r w:rsidR="003A1917">
        <w:rPr>
          <w:kern w:val="0"/>
        </w:rPr>
        <w:t xml:space="preserve"> </w:t>
      </w:r>
      <w:r>
        <w:rPr>
          <w:kern w:val="0"/>
        </w:rPr>
        <w:t>implant material interacts with several cell types including osteoblasts, gingival fibroblasts, periodontal ligament fibroblasts</w:t>
      </w:r>
      <w:r w:rsidR="005853A9">
        <w:rPr>
          <w:kern w:val="0"/>
        </w:rPr>
        <w:t xml:space="preserve"> and </w:t>
      </w:r>
      <w:r>
        <w:rPr>
          <w:kern w:val="0"/>
        </w:rPr>
        <w:t>monocytes</w:t>
      </w:r>
      <w:r w:rsidR="00A37C1D">
        <w:rPr>
          <w:kern w:val="0"/>
        </w:rPr>
        <w:t>. The</w:t>
      </w:r>
      <w:r w:rsidR="003A1917">
        <w:rPr>
          <w:kern w:val="0"/>
        </w:rPr>
        <w:t xml:space="preserve"> </w:t>
      </w:r>
      <w:r>
        <w:rPr>
          <w:kern w:val="0"/>
        </w:rPr>
        <w:t>most common material used is pure titanium which is corrosion resistant</w:t>
      </w:r>
      <w:r w:rsidR="005853A9">
        <w:rPr>
          <w:kern w:val="0"/>
        </w:rPr>
        <w:t xml:space="preserve"> and </w:t>
      </w:r>
      <w:r>
        <w:rPr>
          <w:kern w:val="0"/>
        </w:rPr>
        <w:t>has an elasticity modulus similar to that</w:t>
      </w:r>
      <w:r w:rsidR="00427468">
        <w:rPr>
          <w:kern w:val="0"/>
        </w:rPr>
        <w:t xml:space="preserve"> of </w:t>
      </w:r>
      <w:r>
        <w:rPr>
          <w:kern w:val="0"/>
        </w:rPr>
        <w:t>bone. In recent years, diverse modified titanium surfaces have also been developed</w:t>
      </w:r>
      <w:r w:rsidR="00A37C1D">
        <w:rPr>
          <w:kern w:val="0"/>
        </w:rPr>
        <w:t>. The</w:t>
      </w:r>
      <w:r w:rsidR="003A1917">
        <w:rPr>
          <w:kern w:val="0"/>
        </w:rPr>
        <w:t xml:space="preserve"> </w:t>
      </w:r>
      <w:r>
        <w:rPr>
          <w:kern w:val="0"/>
        </w:rPr>
        <w:t>wound healing around</w:t>
      </w:r>
      <w:r w:rsidR="003A1917">
        <w:rPr>
          <w:kern w:val="0"/>
        </w:rPr>
        <w:t xml:space="preserve"> the </w:t>
      </w:r>
      <w:r>
        <w:rPr>
          <w:kern w:val="0"/>
        </w:rPr>
        <w:t>implant is a complex process that determines how well</w:t>
      </w:r>
      <w:r w:rsidR="003A1917">
        <w:rPr>
          <w:kern w:val="0"/>
        </w:rPr>
        <w:t xml:space="preserve"> the </w:t>
      </w:r>
      <w:r>
        <w:rPr>
          <w:kern w:val="0"/>
        </w:rPr>
        <w:t>host can heal</w:t>
      </w:r>
      <w:r w:rsidR="005853A9">
        <w:rPr>
          <w:kern w:val="0"/>
        </w:rPr>
        <w:t xml:space="preserve"> and </w:t>
      </w:r>
      <w:r>
        <w:rPr>
          <w:kern w:val="0"/>
        </w:rPr>
        <w:t>accept</w:t>
      </w:r>
      <w:r w:rsidR="003A1917">
        <w:rPr>
          <w:kern w:val="0"/>
        </w:rPr>
        <w:t xml:space="preserve"> the </w:t>
      </w:r>
      <w:r>
        <w:rPr>
          <w:kern w:val="0"/>
        </w:rPr>
        <w:t>implanted material. For this reason, search for markers</w:t>
      </w:r>
      <w:r w:rsidR="00427468">
        <w:rPr>
          <w:kern w:val="0"/>
        </w:rPr>
        <w:t xml:space="preserve"> of </w:t>
      </w:r>
      <w:r w:rsidR="003A1917">
        <w:rPr>
          <w:kern w:val="0"/>
        </w:rPr>
        <w:t xml:space="preserve">the </w:t>
      </w:r>
      <w:r>
        <w:rPr>
          <w:kern w:val="0"/>
        </w:rPr>
        <w:t>biocompatibility</w:t>
      </w:r>
      <w:r w:rsidR="00427468">
        <w:rPr>
          <w:kern w:val="0"/>
        </w:rPr>
        <w:t xml:space="preserve"> of </w:t>
      </w:r>
      <w:r>
        <w:rPr>
          <w:kern w:val="0"/>
        </w:rPr>
        <w:t>these new materials is paramount. To identify markers found to be suitable for studying</w:t>
      </w:r>
      <w:r w:rsidR="003A1917">
        <w:rPr>
          <w:kern w:val="0"/>
        </w:rPr>
        <w:t xml:space="preserve"> the </w:t>
      </w:r>
      <w:r>
        <w:rPr>
          <w:kern w:val="0"/>
        </w:rPr>
        <w:t>biocompatibility</w:t>
      </w:r>
      <w:r w:rsidR="00427468">
        <w:rPr>
          <w:kern w:val="0"/>
        </w:rPr>
        <w:t xml:space="preserve"> of </w:t>
      </w:r>
      <w:r>
        <w:rPr>
          <w:kern w:val="0"/>
        </w:rPr>
        <w:t>dental implants. Methods. Review</w:t>
      </w:r>
      <w:r w:rsidR="00427468">
        <w:rPr>
          <w:kern w:val="0"/>
        </w:rPr>
        <w:t xml:space="preserve"> of </w:t>
      </w:r>
      <w:r>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for</w:t>
      </w:r>
      <w:r w:rsidR="003A1917">
        <w:rPr>
          <w:kern w:val="0"/>
        </w:rPr>
        <w:t xml:space="preserve"> the </w:t>
      </w:r>
      <w:r>
        <w:rPr>
          <w:kern w:val="0"/>
        </w:rPr>
        <w:t>years 1958-2010. Conclusions</w:t>
      </w:r>
      <w:r w:rsidR="00A37C1D">
        <w:rPr>
          <w:kern w:val="0"/>
        </w:rPr>
        <w:t>. The</w:t>
      </w:r>
      <w:r w:rsidR="003A1917">
        <w:rPr>
          <w:kern w:val="0"/>
        </w:rPr>
        <w:t xml:space="preserve"> </w:t>
      </w:r>
      <w:r>
        <w:rPr>
          <w:kern w:val="0"/>
        </w:rPr>
        <w:t>surface</w:t>
      </w:r>
      <w:r w:rsidR="00427468">
        <w:rPr>
          <w:kern w:val="0"/>
        </w:rPr>
        <w:t xml:space="preserve"> of </w:t>
      </w:r>
      <w:r>
        <w:rPr>
          <w:kern w:val="0"/>
        </w:rPr>
        <w:t>dental implant material should enhance firm attachment</w:t>
      </w:r>
      <w:r w:rsidR="00427468">
        <w:rPr>
          <w:kern w:val="0"/>
        </w:rPr>
        <w:t xml:space="preserve"> of </w:t>
      </w:r>
      <w:r w:rsidR="003A1917">
        <w:rPr>
          <w:kern w:val="0"/>
        </w:rPr>
        <w:t xml:space="preserve">the </w:t>
      </w:r>
      <w:r>
        <w:rPr>
          <w:kern w:val="0"/>
        </w:rPr>
        <w:t>implant to junctional epithelium, soft connective tissue</w:t>
      </w:r>
      <w:r w:rsidR="005853A9">
        <w:rPr>
          <w:kern w:val="0"/>
        </w:rPr>
        <w:t xml:space="preserve"> and </w:t>
      </w:r>
      <w:r>
        <w:rPr>
          <w:kern w:val="0"/>
        </w:rPr>
        <w:t>bone. For</w:t>
      </w:r>
      <w:r w:rsidR="003A1917">
        <w:rPr>
          <w:kern w:val="0"/>
        </w:rPr>
        <w:t xml:space="preserve"> the </w:t>
      </w:r>
      <w:r>
        <w:rPr>
          <w:kern w:val="0"/>
        </w:rPr>
        <w:t>purposes</w:t>
      </w:r>
      <w:r w:rsidR="00427468">
        <w:rPr>
          <w:kern w:val="0"/>
        </w:rPr>
        <w:t xml:space="preserve"> of </w:t>
      </w:r>
      <w:r>
        <w:rPr>
          <w:kern w:val="0"/>
        </w:rPr>
        <w:t>dental implant biocompatibility studies, a number</w:t>
      </w:r>
      <w:r w:rsidR="00427468">
        <w:rPr>
          <w:kern w:val="0"/>
        </w:rPr>
        <w:t xml:space="preserve"> of </w:t>
      </w:r>
      <w:r>
        <w:rPr>
          <w:kern w:val="0"/>
        </w:rPr>
        <w:t>markers produced by osteoblasts or by cells</w:t>
      </w:r>
      <w:r w:rsidR="00427468">
        <w:rPr>
          <w:kern w:val="0"/>
        </w:rPr>
        <w:t xml:space="preserve"> of </w:t>
      </w:r>
      <w:r>
        <w:rPr>
          <w:kern w:val="0"/>
        </w:rPr>
        <w:t>periodontal ligament have been proposed. In general,</w:t>
      </w:r>
      <w:r w:rsidR="003A1917">
        <w:rPr>
          <w:kern w:val="0"/>
        </w:rPr>
        <w:t xml:space="preserve"> the </w:t>
      </w:r>
      <w:r>
        <w:rPr>
          <w:kern w:val="0"/>
        </w:rPr>
        <w:t>most typical markers for osteoblasts</w:t>
      </w:r>
      <w:r w:rsidR="005853A9">
        <w:rPr>
          <w:kern w:val="0"/>
        </w:rPr>
        <w:t xml:space="preserve"> and </w:t>
      </w:r>
      <w:r>
        <w:rPr>
          <w:kern w:val="0"/>
        </w:rPr>
        <w:t>fibroblasts are alkaline phosphatase</w:t>
      </w:r>
      <w:r w:rsidR="005853A9">
        <w:rPr>
          <w:kern w:val="0"/>
        </w:rPr>
        <w:t xml:space="preserve"> and </w:t>
      </w:r>
      <w:r>
        <w:rPr>
          <w:kern w:val="0"/>
        </w:rPr>
        <w:t>collagen I, respectively</w:t>
      </w:r>
      <w:r w:rsidR="00A37C1D">
        <w:rPr>
          <w:kern w:val="0"/>
        </w:rPr>
        <w:t>. The</w:t>
      </w:r>
      <w:r w:rsidR="003A1917">
        <w:rPr>
          <w:kern w:val="0"/>
        </w:rPr>
        <w:t xml:space="preserve"> </w:t>
      </w:r>
      <w:r>
        <w:rPr>
          <w:kern w:val="0"/>
        </w:rPr>
        <w:t>involvement</w:t>
      </w:r>
      <w:r w:rsidR="00427468">
        <w:rPr>
          <w:kern w:val="0"/>
        </w:rPr>
        <w:t xml:space="preserve"> of </w:t>
      </w:r>
      <w:r>
        <w:rPr>
          <w:kern w:val="0"/>
        </w:rPr>
        <w:t>both cell types in</w:t>
      </w:r>
      <w:r w:rsidR="003A1917">
        <w:rPr>
          <w:kern w:val="0"/>
        </w:rPr>
        <w:t xml:space="preserve"> the </w:t>
      </w:r>
      <w:r>
        <w:rPr>
          <w:kern w:val="0"/>
        </w:rPr>
        <w:t>inflammatory response is primarily evaluated by determination</w:t>
      </w:r>
      <w:r w:rsidR="00427468">
        <w:rPr>
          <w:kern w:val="0"/>
        </w:rPr>
        <w:t xml:space="preserve"> of </w:t>
      </w:r>
      <w:r>
        <w:rPr>
          <w:kern w:val="0"/>
        </w:rPr>
        <w:t>tumour necrosis factor a</w:t>
      </w:r>
      <w:r w:rsidR="005853A9">
        <w:rPr>
          <w:kern w:val="0"/>
        </w:rPr>
        <w:t xml:space="preserve"> and </w:t>
      </w:r>
      <w:r>
        <w:rPr>
          <w:kern w:val="0"/>
        </w:rPr>
        <w:t>proinflammatory interleukins.</w:t>
      </w:r>
    </w:p>
    <w:p w:rsidR="00970578" w:rsidRDefault="00970578" w:rsidP="00970578">
      <w:pPr>
        <w:pStyle w:val="a3"/>
        <w:rPr>
          <w:kern w:val="0"/>
        </w:rPr>
      </w:pPr>
      <w:r>
        <w:rPr>
          <w:kern w:val="0"/>
        </w:rPr>
        <w:t xml:space="preserve">Keywords: Alkaline-Phosphatase, Bone, Cell-Surface, Corrosion, Databases, Dental Implants, Epidermal-Growth-Factor, Extracellular Matrix Proteins, Extracellular-Matrix, Factor-Alpha, Gingival Fibroblasts, Immunohistochemical </w:t>
      </w:r>
      <w:r>
        <w:rPr>
          <w:kern w:val="0"/>
        </w:rPr>
        <w:lastRenderedPageBreak/>
        <w:t xml:space="preserve">Localization, Implants, In-Vitro, Interleukins, Involvement, Methods, Osteoblasts, Periodontal-Ligament Fibroblasts, Porphyromonas-Gingivalis, Review, Science, Titanium Surfaces, Tumor-Necrosis-Factor, </w:t>
      </w:r>
      <w:r w:rsidR="00D5664A">
        <w:rPr>
          <w:kern w:val="0"/>
        </w:rPr>
        <w:t>Web</w:t>
      </w:r>
      <w:r w:rsidR="00427468">
        <w:rPr>
          <w:kern w:val="0"/>
        </w:rPr>
        <w:t xml:space="preserve"> of </w:t>
      </w:r>
      <w:r w:rsidR="00D5664A">
        <w:rPr>
          <w:kern w:val="0"/>
        </w:rPr>
        <w:t>Science</w:t>
      </w:r>
    </w:p>
    <w:p w:rsidR="00643020" w:rsidRDefault="00643020" w:rsidP="00643020">
      <w:pPr>
        <w:pStyle w:val="a3"/>
        <w:rPr>
          <w:kern w:val="0"/>
        </w:rPr>
      </w:pPr>
      <w:r>
        <w:rPr>
          <w:kern w:val="0"/>
        </w:rPr>
        <w:t xml:space="preserve">? Jochmanova, I. and Lazurova, I. (2014), A new twist in neuroendocrine tumor research: Pacak-Zhuang syndrome, HIF-2 alpha as the major player in its pathogenesis and future therapeutic options. </w:t>
      </w:r>
      <w:r>
        <w:rPr>
          <w:i/>
          <w:iCs/>
          <w:kern w:val="0"/>
        </w:rPr>
        <w:t>Biomedical Papers-Olomouc</w:t>
      </w:r>
      <w:r>
        <w:rPr>
          <w:kern w:val="0"/>
        </w:rPr>
        <w:t xml:space="preserve">, </w:t>
      </w:r>
      <w:r>
        <w:rPr>
          <w:b/>
          <w:bCs/>
          <w:kern w:val="0"/>
        </w:rPr>
        <w:t>158</w:t>
      </w:r>
      <w:r>
        <w:rPr>
          <w:kern w:val="0"/>
        </w:rPr>
        <w:t xml:space="preserve"> (2), 175-180.</w:t>
      </w:r>
    </w:p>
    <w:p w:rsidR="00643020" w:rsidRDefault="00643020" w:rsidP="00643020">
      <w:pPr>
        <w:pStyle w:val="a3"/>
        <w:rPr>
          <w:kern w:val="0"/>
        </w:rPr>
      </w:pPr>
      <w:r>
        <w:rPr>
          <w:kern w:val="0"/>
        </w:rPr>
        <w:t xml:space="preserve">Full Text: </w:t>
      </w:r>
      <w:hyperlink r:id="rId1490" w:history="1">
        <w:r>
          <w:rPr>
            <w:rStyle w:val="a5"/>
          </w:rPr>
          <w:t>2014\Bio Pap-Olo158, 175.pdf</w:t>
        </w:r>
      </w:hyperlink>
    </w:p>
    <w:p w:rsidR="00643020" w:rsidRDefault="00643020" w:rsidP="00643020">
      <w:pPr>
        <w:pStyle w:val="a3"/>
        <w:rPr>
          <w:kern w:val="0"/>
        </w:rPr>
      </w:pPr>
      <w:r>
        <w:rPr>
          <w:kern w:val="0"/>
        </w:rPr>
        <w:t>Abstract: Backround. There is increasing evidence of the role of hypoxia or pseudohypoxia in tumorigenesis, including pheochromocytoma (PHEO) and paraganglioma (PGL). (Pseudo) hypoxia leads to activation of hypoxia-inducible transcription factors (HIFs) and thus, promotes the transcription of hypoxia-responsive genes which are involved in tumorigenesis. Recently identified is a new syndrome consisting of multiple and recurrent PGLs or PHEOs, somatostatinoma, and congenital polycythemia, due to somatic hypoxia-inducible factor 2 alpha gene (HIF2A) mutations. Methods and Results. PubMed and Web of Science online databases were used to search reviews and original articles on the HIF, PHEO/PGL, and Pacak-Zhuang syndrome. Conclusions. The novel somatic and germline gain-of-function HIF2A mutations described latterly emphasize the role of the HIF-2 alpha in the PHEO/PGL development and these findings designate HIF, especially HIF-2 alpha, as a promising treatment target.</w:t>
      </w:r>
    </w:p>
    <w:p w:rsidR="00643020" w:rsidRDefault="00643020" w:rsidP="00643020">
      <w:pPr>
        <w:pStyle w:val="a3"/>
        <w:rPr>
          <w:kern w:val="0"/>
        </w:rPr>
      </w:pPr>
      <w:r>
        <w:rPr>
          <w:kern w:val="0"/>
        </w:rPr>
        <w:t>Keywords: Activation, Articles, Cancer-Therapy, Congenital, Databases, Development, Evidence, Gene, Gene-Expression, Genes, Germline Mutations, Hereditary Paraganglioma, Hif2a Mutations, Hypoxia, Hypoxia-Inducible Factor, Hypoxia-Inducible-Factor, Methods, Mutations, Online, Options, Pacak-Zhuang Syndrome, Paraganglioma, Pathogenesis, Pheochromocytoma, Polycythemia, Pseudo, Pubmed, Recurrent, Renal-Cell-Carcinoma, Research, Results, Reviews, Role, Science, Sdh Mutations, Sporadic Pheochromocytoma, Syndrome, Therapeutic, Therapeutic Options, Transcription, Transcription Factor, Treatment, Tumor, Tumorigenesis, Web Of Science</w:t>
      </w:r>
    </w:p>
    <w:p w:rsidR="002B715B" w:rsidRDefault="002B715B" w:rsidP="002B715B">
      <w:pPr>
        <w:pStyle w:val="a3"/>
        <w:rPr>
          <w:kern w:val="0"/>
        </w:rPr>
      </w:pPr>
      <w:r>
        <w:rPr>
          <w:rFonts w:hint="eastAsia"/>
          <w:kern w:val="0"/>
        </w:rPr>
        <w:t xml:space="preserve">? </w:t>
      </w:r>
      <w:r>
        <w:rPr>
          <w:kern w:val="0"/>
        </w:rPr>
        <w:t xml:space="preserve">Ivica, J. and Wilhelm, J. (2014), Lipophilic fluorescent products of free radicals. </w:t>
      </w:r>
      <w:r>
        <w:rPr>
          <w:i/>
          <w:iCs/>
          <w:kern w:val="0"/>
        </w:rPr>
        <w:t>Biomedical Papers-Olomouc</w:t>
      </w:r>
      <w:r>
        <w:rPr>
          <w:kern w:val="0"/>
        </w:rPr>
        <w:t xml:space="preserve">, </w:t>
      </w:r>
      <w:r>
        <w:rPr>
          <w:b/>
          <w:bCs/>
          <w:kern w:val="0"/>
        </w:rPr>
        <w:t>158</w:t>
      </w:r>
      <w:r>
        <w:rPr>
          <w:kern w:val="0"/>
        </w:rPr>
        <w:t xml:space="preserve"> (3), 365-372.</w:t>
      </w:r>
    </w:p>
    <w:p w:rsidR="002B715B" w:rsidRDefault="002B715B" w:rsidP="002B715B">
      <w:pPr>
        <w:pStyle w:val="a3"/>
        <w:rPr>
          <w:kern w:val="0"/>
        </w:rPr>
      </w:pPr>
      <w:r>
        <w:rPr>
          <w:kern w:val="0"/>
        </w:rPr>
        <w:t xml:space="preserve">Full Text: </w:t>
      </w:r>
      <w:hyperlink r:id="rId1491" w:history="1">
        <w:r w:rsidRPr="000066E9">
          <w:rPr>
            <w:rStyle w:val="a5"/>
            <w:kern w:val="0"/>
          </w:rPr>
          <w:t>2014\Bio Pap-Olo158, 365.pdf</w:t>
        </w:r>
      </w:hyperlink>
    </w:p>
    <w:p w:rsidR="002B715B" w:rsidRDefault="002B715B" w:rsidP="002B715B">
      <w:pPr>
        <w:pStyle w:val="a3"/>
        <w:rPr>
          <w:kern w:val="0"/>
        </w:rPr>
      </w:pPr>
      <w:r>
        <w:rPr>
          <w:kern w:val="0"/>
        </w:rPr>
        <w:t xml:space="preserve">Abstract: Background. Fluorescent pigments are the end-products of reactions involving free radical attack on biological molecules and can be formed, for example, in reactions between lipid peroxidation products, mainly unsaturated aldehydes, with free amino groups. Their characteristic emission maximum was found to be at 420-470 nm after being excited at 340-390 nm. The mechanism of their formation and chemical identity has been revealed in many in vitro studies, in which reactive </w:t>
      </w:r>
      <w:r>
        <w:rPr>
          <w:kern w:val="0"/>
        </w:rPr>
        <w:lastRenderedPageBreak/>
        <w:t>aldehydes were incubated with amino group-containing molecules. Owing to their intrinsic fluorescent properties and molecular stability these products are easily measured by means of spectrofluorimetry and are used as biomarkers of oxidative stress caused by various triggers. It has been found that the fluorescent products are formed in excess in conditions linked with increased free radical production, such as atherosclerosis, Alzheimer’s disease and multiple sclerosis. Methods. We searched the literature using “MEDLINE” and “Web of Science” in order to get an overview of the state of knowledge about fluorescent products of free radicals, that is, their analysis from in vitro studies, animal and human studies and their use as markers of oxidative damage. Conclusions. Although their chemical structure may not have been elucidated, the fluorophores formed in this way have found application as markers of oxidative stress in many animal and human studies. In vitro experiments using model reactions have given some clues as to how certain fluorescent pigments arise during oxidative reactions in vivo. Advances in analytical techniques should lead the chemical characterization of pigments of different origin to completeness.</w:t>
      </w:r>
    </w:p>
    <w:p w:rsidR="002B715B" w:rsidRDefault="002B715B" w:rsidP="002B715B">
      <w:pPr>
        <w:pStyle w:val="a3"/>
        <w:rPr>
          <w:kern w:val="0"/>
        </w:rPr>
      </w:pPr>
      <w:r>
        <w:rPr>
          <w:kern w:val="0"/>
        </w:rPr>
        <w:t>Keywords: Alzheimer’</w:t>
      </w:r>
      <w:r>
        <w:rPr>
          <w:rFonts w:hint="eastAsia"/>
          <w:kern w:val="0"/>
        </w:rPr>
        <w:t>s</w:t>
      </w:r>
      <w:r>
        <w:rPr>
          <w:kern w:val="0"/>
        </w:rPr>
        <w:t>, Alzheimer’</w:t>
      </w:r>
      <w:r>
        <w:rPr>
          <w:rFonts w:hint="eastAsia"/>
          <w:kern w:val="0"/>
        </w:rPr>
        <w:t>s</w:t>
      </w:r>
      <w:r>
        <w:rPr>
          <w:kern w:val="0"/>
        </w:rPr>
        <w:t xml:space="preserve"> Disease, Alzheimers-Disease, Amino-Acids, Analysis, Analytical Techniques, Application, Biological, Biomarkers, Body-Gamma-Irradiation, Characterization, Chemical, Damage, Disease, Emission, Experiments, Fluorescence, Free Radical, Free Radicals, From, Groups, Human, In Vitro, In Vivo, Intrinsic, Knowledge, Lead, Lipid, Lipid Peroxidation, Lipid-Peroxidation, Lipofuscin-Like Pigments, Lipofuscin-Like Pigments, Lipoxidation End-Products, Literature, Low-Density-Lipoprotein, Mechanism, Methods, Mitochondrial Dysfunction, Model, Multiple Sclerosis, Origin, Overview, Oxidative Stress, Properties, Rat-Liver, Stability, State, Stress, Structure, Techniques</w:t>
      </w:r>
    </w:p>
    <w:p w:rsidR="00AF7C94" w:rsidRDefault="00AF7C94" w:rsidP="00AF7C94">
      <w:pPr>
        <w:pStyle w:val="a3"/>
        <w:rPr>
          <w:kern w:val="0"/>
        </w:rPr>
      </w:pPr>
      <w:r>
        <w:rPr>
          <w:rFonts w:hint="eastAsia"/>
          <w:kern w:val="0"/>
        </w:rPr>
        <w:t xml:space="preserve">? </w:t>
      </w:r>
      <w:r>
        <w:rPr>
          <w:kern w:val="0"/>
        </w:rPr>
        <w:t xml:space="preserve">Duskova, K. and Vesely, S. (2015), Prostate Specific Antigen. Current clinical application and future prospects. </w:t>
      </w:r>
      <w:r>
        <w:rPr>
          <w:i/>
          <w:iCs/>
          <w:kern w:val="0"/>
        </w:rPr>
        <w:t>Biomedical Papers-Olomouc</w:t>
      </w:r>
      <w:r>
        <w:rPr>
          <w:kern w:val="0"/>
        </w:rPr>
        <w:t xml:space="preserve">, </w:t>
      </w:r>
      <w:r>
        <w:rPr>
          <w:b/>
          <w:bCs/>
          <w:kern w:val="0"/>
        </w:rPr>
        <w:t>159</w:t>
      </w:r>
      <w:r>
        <w:rPr>
          <w:kern w:val="0"/>
        </w:rPr>
        <w:t xml:space="preserve"> (1), 18-26.</w:t>
      </w:r>
    </w:p>
    <w:p w:rsidR="00AF7C94" w:rsidRDefault="00AF7C94" w:rsidP="00AF7C94">
      <w:pPr>
        <w:pStyle w:val="a3"/>
        <w:rPr>
          <w:kern w:val="0"/>
        </w:rPr>
      </w:pPr>
      <w:r>
        <w:rPr>
          <w:kern w:val="0"/>
        </w:rPr>
        <w:t xml:space="preserve">Full Text: </w:t>
      </w:r>
      <w:hyperlink r:id="rId1492" w:history="1">
        <w:r w:rsidRPr="00043235">
          <w:rPr>
            <w:rStyle w:val="a5"/>
            <w:kern w:val="0"/>
          </w:rPr>
          <w:t>2015\Bio Pap-Olo159, 18.pdf</w:t>
        </w:r>
      </w:hyperlink>
    </w:p>
    <w:p w:rsidR="00AF7C94" w:rsidRDefault="00AF7C94" w:rsidP="00AF7C94">
      <w:pPr>
        <w:pStyle w:val="a3"/>
        <w:rPr>
          <w:kern w:val="0"/>
        </w:rPr>
      </w:pPr>
      <w:r>
        <w:rPr>
          <w:kern w:val="0"/>
        </w:rPr>
        <w:t xml:space="preserve">Abstract: Background. Prostate-specific antigen (PSA) is a glycoprotein produced by the prostate gland and its production can be enhanced in benign and malignant diseases. The introduction of PSA testing has greatly increased the detection of prostate cancer. However there is continuing controversy and confusion over the most appropriate application of the PSA test. Methods. PubMed and Web of Science databases were used to search original and review articles on the historical aspects, clinical utilization and possible future directions in PSA. Conclusions. After its discovery, PSA was quickly established as an exquisitely sensitive tumor marker for prostate cancer detection, assessment of treatment responses and follow-up among patients with prostate cancer. Nevertheless, controversy exists about the proper threshold for recommending prostate biopsy. If this limit is lowered to improve the sensitivity even more, patients with low-risk prostate cancer would be subsequently </w:t>
      </w:r>
      <w:r>
        <w:rPr>
          <w:kern w:val="0"/>
        </w:rPr>
        <w:lastRenderedPageBreak/>
        <w:t>detected. Post-treatment PSA levels can certainly provide valuable information about the effectiveness of the therapy given. Recently introduced ultrasensitive PSA detection techniques are offering new insight into the changes in serum PSA at very low concentrations. This has resulted in identification of valuable postoperative prognostic variables together with the possibility of earlier cancer relapse detection. The development of assays that may show superior sensitivity and specificity in prostate cancer diagnosis is focused on proteins possibly complexed with PSA and other potential markers detectable both in serum and urine. The goal of newly discovered prostate cancer biomarkers is greater cancer specificity in order to reduce the overdiagnosis, overtreatment and financial cost.</w:t>
      </w:r>
    </w:p>
    <w:p w:rsidR="00AF7C94" w:rsidRDefault="00AF7C94" w:rsidP="00AF7C94">
      <w:pPr>
        <w:pStyle w:val="a3"/>
        <w:rPr>
          <w:kern w:val="0"/>
        </w:rPr>
      </w:pPr>
      <w:r>
        <w:rPr>
          <w:kern w:val="0"/>
        </w:rPr>
        <w:t>Keywords: Advanced-Stage, Application, Articles, Assessment, Biochemical Recurrence, Biomarkers, Biopsy, Cancer, Cancer Detection, Cancer Progression, Changes, Clinical, Cost, Databases, Detection, Development, Diagnosis, Discovery, Diseases, Effectiveness, Follow-Up, Future Prospects, Identification, Information, Low Risk, Marker, Methods, Patients, Post-Treatment, Postoperative, Potential, Prognostic, Prostate Cancer, Proteins, PSA, Pubmed, Radical Prostatectomy, Relapse, Review, Science, Sensitivity, Serum, Serum Marker, Specificity, Stem-Cell Antigen, Techniques, Testing, Therapy, Threshold, Tmprss2-Erg Fusion Transcripts, Transition Zone, Treatment, Tumor, Ultrasensitive Assay, Urinary Sediments, Urine, Utilization, Web, Web Of Science, Web Of Science Databases</w:t>
      </w:r>
    </w:p>
    <w:p w:rsidR="00AF7C94" w:rsidRDefault="00AF7C94" w:rsidP="00AF7C94">
      <w:pPr>
        <w:pStyle w:val="a3"/>
        <w:rPr>
          <w:kern w:val="0"/>
        </w:rPr>
      </w:pPr>
      <w:r>
        <w:rPr>
          <w:rFonts w:hint="eastAsia"/>
          <w:kern w:val="0"/>
        </w:rPr>
        <w:t xml:space="preserve">? </w:t>
      </w:r>
      <w:r>
        <w:rPr>
          <w:kern w:val="0"/>
        </w:rPr>
        <w:t xml:space="preserve">Mainerova, B., Prasko, J., Latalova, K., Axmann, K., Cerna, M., Horacek, R. and Bradacova, R. (2015), Alcohol withdrawal delirium - diagnosis, course and treatment. </w:t>
      </w:r>
      <w:r>
        <w:rPr>
          <w:i/>
          <w:iCs/>
          <w:kern w:val="0"/>
        </w:rPr>
        <w:t>Biomedical Papers-Olomouc</w:t>
      </w:r>
      <w:r>
        <w:rPr>
          <w:kern w:val="0"/>
        </w:rPr>
        <w:t xml:space="preserve">, </w:t>
      </w:r>
      <w:r>
        <w:rPr>
          <w:b/>
          <w:bCs/>
          <w:kern w:val="0"/>
        </w:rPr>
        <w:t>159</w:t>
      </w:r>
      <w:r>
        <w:rPr>
          <w:kern w:val="0"/>
        </w:rPr>
        <w:t xml:space="preserve"> (1), 44-52.</w:t>
      </w:r>
    </w:p>
    <w:p w:rsidR="00AF7C94" w:rsidRDefault="00AF7C94" w:rsidP="00AF7C94">
      <w:pPr>
        <w:pStyle w:val="a3"/>
        <w:rPr>
          <w:kern w:val="0"/>
        </w:rPr>
      </w:pPr>
      <w:r>
        <w:rPr>
          <w:kern w:val="0"/>
        </w:rPr>
        <w:t xml:space="preserve">Full Text: </w:t>
      </w:r>
      <w:hyperlink r:id="rId1493" w:history="1">
        <w:r w:rsidRPr="00043235">
          <w:rPr>
            <w:rStyle w:val="a5"/>
            <w:kern w:val="0"/>
          </w:rPr>
          <w:t>2015\Bio Pap-Olo159, 44.pdf</w:t>
        </w:r>
      </w:hyperlink>
    </w:p>
    <w:p w:rsidR="00AF7C94" w:rsidRDefault="00AF7C94" w:rsidP="00AF7C94">
      <w:pPr>
        <w:pStyle w:val="a3"/>
        <w:rPr>
          <w:kern w:val="0"/>
        </w:rPr>
      </w:pPr>
      <w:r>
        <w:rPr>
          <w:kern w:val="0"/>
        </w:rPr>
        <w:t xml:space="preserve">Abstract: Objective. Delirium tremens represents the most severe complication of alcohol withdrawal syndrome and, in its complications, significantly increases the morbidity and mortality of patients. Alcohol withdrawal delirium is characterized by features of alcohol withdrawal itself (tremor, sweating, hypertension, tachycardia etc.) together with general delirious symptoms such as clouded consciousness, disorientation, disturbed circadian rhythms, thought processe and sensory disturbances, all of them fluctuating in time. The treatment combines a supportive and symptomatic approach. Benzodiazepines in supramaximal doses are usually used as drugs of choice but in some countries such as the Czech Republic or Germany, clomethiazole is frequently used as well. Method. A computer search of the all the literature published between 1966 and December 2012 was accomplished on MEDLINE and Web of Science with the key words “delirium tremens”, “alcohol withdrawal”, “treatment” and “pharmacotherapy”. There were no language or time limits applied. Conclusions. When not early recognized and treated adequately, delirium tremens may result in death due to malignant arrhythmia, respiratory arrest, </w:t>
      </w:r>
      <w:r>
        <w:rPr>
          <w:kern w:val="0"/>
        </w:rPr>
        <w:lastRenderedPageBreak/>
        <w:t>sepsis, severe electrolyte disturbance or prolonged seizures and subsequent trauma. Owing to these possible fatalities and other severe unexpected complications, delirium tremens should be managed at an ICU or wards ensuring vital signs monitoring. In symptomatic treatment, high doses of benzodiazepines, especially lorazepam, diazepam and oxazepam are considered the gold standard drugs. Supportive therapy is also of great importance.</w:t>
      </w:r>
    </w:p>
    <w:p w:rsidR="00AF7C94" w:rsidRDefault="00AF7C94" w:rsidP="00AF7C94">
      <w:pPr>
        <w:pStyle w:val="a3"/>
        <w:rPr>
          <w:kern w:val="0"/>
        </w:rPr>
      </w:pPr>
      <w:r>
        <w:rPr>
          <w:kern w:val="0"/>
        </w:rPr>
        <w:t>Keywords: Alcohol, Alcohol Withdrawal, Approach, Arrhythmia, Benzodiazepines, Blind Controlled Trial, Carbamazepine, Choice, Clinical Predictors, Complication, Complications, Computer, Consciousness, Course, Czech Republic, Death, Delirium, Delirium Tremens, Detoxification, Diagnosis, Diazepam, Disorders, Disturbance, Disturbances, Drugs, Fatalities, General, Germany, Gold, Hypertension, Icu, Language, Literature, Lorazepam, Medline, Monitoring, Morbidity, Mortality, Patients, Pharmacotherapy, Practice Guideline, Prolonged, Randomized-Trial, Risk-Factors, Science, Seizures, Sepsis, Standard, Symptoms, Syndrome, Tachycardia, Therapy, Trauma, Treatment, Tremens, Valproic Acid, Web, Web Of Science</w:t>
      </w:r>
    </w:p>
    <w:p w:rsidR="00AF7C94" w:rsidRPr="00FC7835" w:rsidRDefault="00AF7C94" w:rsidP="00AF7C94">
      <w:pPr>
        <w:pStyle w:val="1"/>
      </w:pPr>
      <w:r w:rsidRPr="00FC7835">
        <w:rPr>
          <w:b w:val="0"/>
        </w:rPr>
        <w:br w:type="page"/>
      </w:r>
      <w:bookmarkStart w:id="788" w:name="_Toc416388105"/>
      <w:bookmarkStart w:id="789" w:name="_Toc420814727"/>
      <w:r w:rsidRPr="00FC7835">
        <w:lastRenderedPageBreak/>
        <w:t>Title: Biomed</w:t>
      </w:r>
      <w:r>
        <w:rPr>
          <w:rFonts w:hint="eastAsia"/>
        </w:rPr>
        <w:t>i</w:t>
      </w:r>
      <w:r w:rsidRPr="00FC7835">
        <w:t>cine &amp; Pharmacotherapy</w:t>
      </w:r>
      <w:bookmarkEnd w:id="788"/>
      <w:bookmarkEnd w:id="789"/>
    </w:p>
    <w:p w:rsidR="00705F3E" w:rsidRPr="00FC7835" w:rsidRDefault="00705F3E" w:rsidP="00705F3E">
      <w:pPr>
        <w:pStyle w:val="12"/>
      </w:pPr>
      <w:r w:rsidRPr="00FC7835">
        <w:t xml:space="preserve">Full Journal Title: </w:t>
      </w:r>
      <w:hyperlink r:id="rId1494" w:history="1">
        <w:r>
          <w:rPr>
            <w:rStyle w:val="a5"/>
          </w:rPr>
          <w:t>Biomed</w:t>
        </w:r>
        <w:r>
          <w:rPr>
            <w:rStyle w:val="a5"/>
            <w:rFonts w:hint="eastAsia"/>
          </w:rPr>
          <w:t>i</w:t>
        </w:r>
        <w:r w:rsidRPr="00FC7835">
          <w:rPr>
            <w:rStyle w:val="a5"/>
          </w:rPr>
          <w:t>cine &amp; Pharmacotherapy</w:t>
        </w:r>
      </w:hyperlink>
    </w:p>
    <w:p w:rsidR="00705F3E" w:rsidRPr="00FC7835" w:rsidRDefault="00705F3E" w:rsidP="00705F3E">
      <w:pPr>
        <w:pStyle w:val="12"/>
      </w:pPr>
      <w:r w:rsidRPr="00FC7835">
        <w:t xml:space="preserve">ISO Abbreviated Title: </w:t>
      </w:r>
    </w:p>
    <w:p w:rsidR="00705F3E" w:rsidRPr="00FC7835" w:rsidRDefault="00705F3E" w:rsidP="00705F3E">
      <w:pPr>
        <w:pStyle w:val="12"/>
      </w:pPr>
      <w:r w:rsidRPr="00FC7835">
        <w:t xml:space="preserve">JCR Abbreviated Title: </w:t>
      </w:r>
    </w:p>
    <w:p w:rsidR="00705F3E" w:rsidRPr="00FC7835" w:rsidRDefault="00705F3E" w:rsidP="00705F3E">
      <w:pPr>
        <w:pStyle w:val="12"/>
      </w:pPr>
      <w:r w:rsidRPr="00FC7835">
        <w:t xml:space="preserve">ISSN: </w:t>
      </w:r>
    </w:p>
    <w:p w:rsidR="00705F3E" w:rsidRPr="00FC7835" w:rsidRDefault="00705F3E" w:rsidP="00705F3E">
      <w:pPr>
        <w:pStyle w:val="12"/>
      </w:pPr>
      <w:r w:rsidRPr="00FC7835">
        <w:t xml:space="preserve">Issues/Year: </w:t>
      </w:r>
    </w:p>
    <w:p w:rsidR="00705F3E" w:rsidRPr="00FC7835" w:rsidRDefault="00705F3E" w:rsidP="00705F3E">
      <w:pPr>
        <w:pStyle w:val="12"/>
      </w:pPr>
      <w:r w:rsidRPr="00FC7835">
        <w:t xml:space="preserve">Journal Country/Territory: </w:t>
      </w:r>
    </w:p>
    <w:p w:rsidR="00705F3E" w:rsidRPr="00FC7835" w:rsidRDefault="00705F3E" w:rsidP="00705F3E">
      <w:pPr>
        <w:pStyle w:val="12"/>
      </w:pPr>
      <w:r w:rsidRPr="00FC7835">
        <w:t xml:space="preserve">Language: </w:t>
      </w:r>
    </w:p>
    <w:p w:rsidR="00705F3E" w:rsidRPr="00FC7835" w:rsidRDefault="00705F3E" w:rsidP="00705F3E">
      <w:pPr>
        <w:pStyle w:val="12"/>
      </w:pPr>
      <w:r w:rsidRPr="00FC7835">
        <w:t xml:space="preserve">Publisher: </w:t>
      </w:r>
    </w:p>
    <w:p w:rsidR="00705F3E" w:rsidRPr="00FC7835" w:rsidRDefault="00705F3E" w:rsidP="00705F3E">
      <w:pPr>
        <w:pStyle w:val="12"/>
      </w:pPr>
      <w:r w:rsidRPr="00FC7835">
        <w:t xml:space="preserve">Publisher Address: </w:t>
      </w:r>
    </w:p>
    <w:p w:rsidR="00705F3E" w:rsidRPr="00FC7835" w:rsidRDefault="00705F3E" w:rsidP="00705F3E">
      <w:pPr>
        <w:pStyle w:val="12"/>
      </w:pPr>
      <w:r w:rsidRPr="00FC7835">
        <w:t xml:space="preserve">Subject Categories: </w:t>
      </w:r>
    </w:p>
    <w:p w:rsidR="00705F3E" w:rsidRPr="00FC7835" w:rsidRDefault="00705F3E" w:rsidP="00705F3E">
      <w:pPr>
        <w:pStyle w:val="12"/>
      </w:pPr>
      <w:r w:rsidRPr="00FC7835">
        <w:t xml:space="preserve">: Impact Factor </w:t>
      </w:r>
    </w:p>
    <w:p w:rsidR="00705F3E" w:rsidRDefault="00705F3E" w:rsidP="00705F3E">
      <w:pPr>
        <w:pStyle w:val="a3"/>
        <w:rPr>
          <w:kern w:val="0"/>
        </w:rPr>
      </w:pPr>
      <w:r>
        <w:rPr>
          <w:kern w:val="0"/>
        </w:rPr>
        <w:t xml:space="preserve">? Fu, B., Song, P., Lu, M., Wang, B.L. and Zhao, Q.H. (2014), The association between miR-146a gene rs2910164 polymorphism and gastric cancer risk: A meta-analysis. </w:t>
      </w:r>
      <w:r>
        <w:rPr>
          <w:i/>
          <w:iCs/>
          <w:kern w:val="0"/>
        </w:rPr>
        <w:t>Biomedicine &amp; Pharmacotherapy</w:t>
      </w:r>
      <w:r>
        <w:rPr>
          <w:kern w:val="0"/>
        </w:rPr>
        <w:t xml:space="preserve">, </w:t>
      </w:r>
      <w:r w:rsidRPr="00A5035C">
        <w:rPr>
          <w:b/>
          <w:bCs/>
          <w:kern w:val="0"/>
        </w:rPr>
        <w:t>68</w:t>
      </w:r>
      <w:r>
        <w:rPr>
          <w:kern w:val="0"/>
        </w:rPr>
        <w:t xml:space="preserve"> (8), 923-928.</w:t>
      </w:r>
    </w:p>
    <w:p w:rsidR="00705F3E" w:rsidRPr="00FC7835" w:rsidRDefault="00705F3E" w:rsidP="00705F3E">
      <w:pPr>
        <w:pStyle w:val="a3"/>
      </w:pPr>
      <w:r>
        <w:t>Full Text:</w:t>
      </w:r>
      <w:r w:rsidRPr="00FC7835">
        <w:t xml:space="preserve"> </w:t>
      </w:r>
      <w:hyperlink r:id="rId1495" w:history="1">
        <w:r w:rsidRPr="00705F3E">
          <w:rPr>
            <w:rStyle w:val="a5"/>
            <w:rFonts w:hint="eastAsia"/>
          </w:rPr>
          <w:t>2014</w:t>
        </w:r>
        <w:r w:rsidRPr="00705F3E">
          <w:rPr>
            <w:rStyle w:val="a5"/>
          </w:rPr>
          <w:t>\Bio Pha</w:t>
        </w:r>
        <w:r w:rsidRPr="00705F3E">
          <w:rPr>
            <w:rStyle w:val="a5"/>
            <w:bCs/>
            <w:kern w:val="0"/>
          </w:rPr>
          <w:t>68</w:t>
        </w:r>
        <w:r w:rsidRPr="00705F3E">
          <w:rPr>
            <w:rStyle w:val="a5"/>
          </w:rPr>
          <w:t xml:space="preserve">, </w:t>
        </w:r>
        <w:r w:rsidRPr="00705F3E">
          <w:rPr>
            <w:rStyle w:val="a5"/>
            <w:kern w:val="0"/>
          </w:rPr>
          <w:t>923</w:t>
        </w:r>
        <w:r w:rsidRPr="00705F3E">
          <w:rPr>
            <w:rStyle w:val="a5"/>
          </w:rPr>
          <w:t>.pdf</w:t>
        </w:r>
      </w:hyperlink>
    </w:p>
    <w:p w:rsidR="00705F3E" w:rsidRDefault="00705F3E" w:rsidP="00705F3E">
      <w:pPr>
        <w:pStyle w:val="a3"/>
        <w:rPr>
          <w:kern w:val="0"/>
        </w:rPr>
      </w:pPr>
      <w:r>
        <w:rPr>
          <w:kern w:val="0"/>
        </w:rPr>
        <w:t xml:space="preserve">Abstract: Purpose: Studies have demonstrated that single nucleotide polymorphisms (SNPs) in miRNAs may lead to varying functional outcomes by altering miRNAs expression, even leading to the development of cancers. The association between a single nucleotide polymorphism (SNP) in miR-146a rs2910164 and susceptibility to gastric cancer has been studied during the recent years, but the results are still inconclusive and inconsistent. We performed a meta-analysis to evaluate the relationship between miR-146a rs2910164 polymorphism and the risk of gastric cancer. Materials and methods: The databases of PubMed, MEDLINE and Web of Science were searched for suitable studies. A total of 8 published case-control studies on miR-146a rs2910164 polymorphism and gastric cancer risk including 4308 cases and 6370 controls were included. Results: Overall, significant association was observed between rs2910164 and gastric cancer risk in allele model (OR = 1.11, 95% CI = 1.02-1.21); homozygote model (OR = 1.26, 95% CI = 1.10-1.43) and dominant model (OR = 1.21, 95% CI = 1.09-1.34). Stratified analysis by ethnicity showed significant association between rs2910164 polymorphism and gastric cancer susceptibility in Asians (OR = 1.10, 95% CI = 1.00-1.23 for G vs. C; OR = 1.25, 95% CI = 1.09-1.43 for GG vs. CC; OR = 1.19, 95% CI = 1.07-1.33 for GG vs. GC+CC, respectively). When stratified by genotyping methods and sample size, increased gastric cancer risk was only observed with the method by TaqMan and the sample size more than 1000. Conclusion: In summary, this meta-analysis indicated that miR-146a rs2910164 polymorphism was associated with the susceptibility to </w:t>
      </w:r>
      <w:r>
        <w:rPr>
          <w:kern w:val="0"/>
        </w:rPr>
        <w:lastRenderedPageBreak/>
        <w:t>gastric cancer, especially in Asian population. (C) 2014 Published by Elsevier Masson SAS.</w:t>
      </w:r>
    </w:p>
    <w:p w:rsidR="00705F3E" w:rsidRDefault="00705F3E" w:rsidP="00705F3E">
      <w:pPr>
        <w:pStyle w:val="a3"/>
        <w:rPr>
          <w:kern w:val="0"/>
        </w:rPr>
      </w:pPr>
      <w:r>
        <w:rPr>
          <w:kern w:val="0"/>
        </w:rPr>
        <w:t>Keywords: Analysis, Asian, Asians, Association, Bladder-Cancer, Cancer, Cancer Risk, Cancer Susceptibility, Case-Control, Case-Control Studies, Chinese Population, Databases, Development, Disease, Ethnicity, Expression, Functional Polymorphism, Gastric, Gastric Cancer, Gastric Cancer Risk, Gene, Genotyping, Gg, Hepatocellular-Carcinoma, Lead, Materials, Medline, Meta Analysis, Meta-Analysis, Metaanalysis, Methods, Micrornas, Mir-146a, Mir-146ac-Greater-Than-G, Mir-196a2t-Greater-Than-C, Model, No Association, Outcomes, Polymorphism, Polymorphisms, Population, Pre-Mir-146a, Pubmed, Recent, Results, Risk, Sample Size, Science, Size, Snp, Susceptibility, Web, Web of Science</w:t>
      </w:r>
    </w:p>
    <w:p w:rsidR="003474F2" w:rsidRPr="001A3D2B" w:rsidRDefault="003474F2" w:rsidP="003474F2">
      <w:pPr>
        <w:pStyle w:val="1"/>
      </w:pPr>
      <w:r w:rsidRPr="001A3D2B">
        <w:br w:type="page"/>
      </w:r>
      <w:bookmarkStart w:id="790" w:name="_Toc420814728"/>
      <w:r w:rsidRPr="001A3D2B">
        <w:lastRenderedPageBreak/>
        <w:t>Title: Biometrika</w:t>
      </w:r>
      <w:bookmarkEnd w:id="790"/>
    </w:p>
    <w:p w:rsidR="003474F2" w:rsidRPr="001A3D2B" w:rsidRDefault="003474F2" w:rsidP="003474F2">
      <w:pPr>
        <w:pStyle w:val="12"/>
      </w:pPr>
      <w:r w:rsidRPr="001A3D2B">
        <w:t xml:space="preserve">Full Journal Title: </w:t>
      </w:r>
      <w:r w:rsidR="00206C8A">
        <w:fldChar w:fldCharType="begin"/>
      </w:r>
      <w:r w:rsidR="00FD158B">
        <w:instrText>HYPERLI</w:instrText>
      </w:r>
      <w:bookmarkStart w:id="791" w:name="_Toc118941874"/>
      <w:r w:rsidR="00FD158B">
        <w:instrText>NK "http://uk.jst</w:instrText>
      </w:r>
      <w:bookmarkEnd w:id="791"/>
      <w:r w:rsidR="00FD158B">
        <w:instrText>or.org/journals/00063444.html"</w:instrText>
      </w:r>
      <w:r w:rsidR="00206C8A">
        <w:fldChar w:fldCharType="separate"/>
      </w:r>
      <w:r w:rsidRPr="001A3D2B">
        <w:rPr>
          <w:rStyle w:val="a5"/>
        </w:rPr>
        <w:t>Biometrika</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0006-3444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smartTag w:uri="urn:schemas-microsoft-com:office:smarttags" w:element="place">
        <w:smartTag w:uri="urn:schemas-microsoft-com:office:smarttags" w:element="City">
          <w:r w:rsidRPr="001A3D2B">
            <w:t>Dublin</w:t>
          </w:r>
        </w:smartTag>
      </w:smartTag>
      <w:r w:rsidRPr="001A3D2B">
        <w:t>, L.I.</w:t>
      </w:r>
      <w:r w:rsidR="005853A9">
        <w:t xml:space="preserve"> and </w:t>
      </w:r>
      <w:r w:rsidRPr="001A3D2B">
        <w:t>Lotka, A.J. (1939), Twenty-five years</w:t>
      </w:r>
      <w:r w:rsidR="00427468">
        <w:t xml:space="preserve"> of </w:t>
      </w:r>
      <w:r w:rsidRPr="001A3D2B">
        <w:t xml:space="preserve">health progress. </w:t>
      </w:r>
      <w:r w:rsidRPr="001A3D2B">
        <w:rPr>
          <w:i/>
          <w:iCs/>
        </w:rPr>
        <w:t>Biometrika</w:t>
      </w:r>
      <w:r w:rsidRPr="001A3D2B">
        <w:t xml:space="preserve">, </w:t>
      </w:r>
      <w:r w:rsidRPr="001A3D2B">
        <w:rPr>
          <w:b/>
          <w:bCs/>
        </w:rPr>
        <w:t>30</w:t>
      </w:r>
      <w:r w:rsidRPr="001A3D2B">
        <w:t xml:space="preserve"> (3-4), 469-470.</w:t>
      </w:r>
    </w:p>
    <w:p w:rsidR="003474F2" w:rsidRPr="001A3D2B" w:rsidRDefault="003474F2" w:rsidP="003474F2">
      <w:pPr>
        <w:pStyle w:val="a3"/>
      </w:pPr>
      <w:r w:rsidRPr="001A3D2B">
        <w:t xml:space="preserve">Full Text: </w:t>
      </w:r>
      <w:hyperlink r:id="rId1496" w:history="1">
        <w:r w:rsidRPr="001A3D2B">
          <w:rPr>
            <w:rStyle w:val="a5"/>
          </w:rPr>
          <w:t>-1959\Biometrika30, 469.pdf</w:t>
        </w:r>
      </w:hyperlink>
    </w:p>
    <w:p w:rsidR="003474F2" w:rsidRPr="001A3D2B" w:rsidRDefault="003474F2" w:rsidP="003474F2">
      <w:pPr>
        <w:pStyle w:val="1"/>
      </w:pPr>
      <w:r w:rsidRPr="001A3D2B">
        <w:br w:type="page"/>
      </w:r>
      <w:bookmarkStart w:id="792" w:name="_Toc420814729"/>
      <w:r w:rsidRPr="001A3D2B">
        <w:lastRenderedPageBreak/>
        <w:t>Title: Biopolimery i Kletka</w:t>
      </w:r>
      <w:bookmarkEnd w:id="792"/>
    </w:p>
    <w:p w:rsidR="003474F2" w:rsidRPr="001A3D2B" w:rsidRDefault="003474F2" w:rsidP="003474F2">
      <w:pPr>
        <w:pStyle w:val="12"/>
      </w:pPr>
      <w:r w:rsidRPr="001A3D2B">
        <w:t>Full Journal Title: Biopolimery i Kletka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0233-7657</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3474F2"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Tanatar, N., V. (1990</w:t>
      </w:r>
      <w:r w:rsidR="00F42EAC">
        <w:t>), The</w:t>
      </w:r>
      <w:r w:rsidR="003A1917">
        <w:t xml:space="preserve"> </w:t>
      </w:r>
      <w:r w:rsidRPr="001A3D2B">
        <w:t>scientometric analysis</w:t>
      </w:r>
      <w:r w:rsidR="00427468">
        <w:t xml:space="preserve"> of </w:t>
      </w:r>
      <w:r w:rsidR="003A1917">
        <w:t xml:space="preserve">the </w:t>
      </w:r>
      <w:r w:rsidRPr="001A3D2B">
        <w:t>state</w:t>
      </w:r>
      <w:r w:rsidR="005853A9">
        <w:t xml:space="preserve"> and </w:t>
      </w:r>
      <w:r w:rsidRPr="001A3D2B">
        <w:t>trends</w:t>
      </w:r>
      <w:r w:rsidR="00427468">
        <w:t xml:space="preserve"> of </w:t>
      </w:r>
      <w:r w:rsidR="003A1917">
        <w:t xml:space="preserve">the </w:t>
      </w:r>
      <w:r w:rsidRPr="001A3D2B">
        <w:t>development</w:t>
      </w:r>
      <w:r w:rsidR="00427468">
        <w:t xml:space="preserve"> of </w:t>
      </w:r>
      <w:r w:rsidRPr="001A3D2B">
        <w:t>a scientific problem</w:t>
      </w:r>
      <w:r w:rsidR="003A1917">
        <w:t xml:space="preserve"> the </w:t>
      </w:r>
      <w:r w:rsidRPr="001A3D2B">
        <w:t xml:space="preserve">biosensor problem as an example. </w:t>
      </w:r>
      <w:r w:rsidRPr="001A3D2B">
        <w:rPr>
          <w:i/>
          <w:iCs/>
        </w:rPr>
        <w:t>Biopolimery i Kletka</w:t>
      </w:r>
      <w:r w:rsidRPr="001A3D2B">
        <w:t xml:space="preserve">, </w:t>
      </w:r>
      <w:r w:rsidRPr="001A3D2B">
        <w:rPr>
          <w:b/>
          <w:bCs/>
        </w:rPr>
        <w:t>6</w:t>
      </w:r>
      <w:r w:rsidRPr="001A3D2B">
        <w:t xml:space="preserve"> (3), 5-14.</w:t>
      </w:r>
    </w:p>
    <w:p w:rsidR="003474F2" w:rsidRPr="001A3D2B" w:rsidRDefault="003474F2" w:rsidP="003474F2">
      <w:pPr>
        <w:pStyle w:val="1"/>
      </w:pPr>
      <w:r w:rsidRPr="001A3D2B">
        <w:br w:type="page"/>
      </w:r>
      <w:bookmarkStart w:id="793" w:name="_Toc420814730"/>
      <w:r w:rsidRPr="001A3D2B">
        <w:lastRenderedPageBreak/>
        <w:t>Title: Biopolymers</w:t>
      </w:r>
      <w:r w:rsidR="005853A9">
        <w:t xml:space="preserve"> and </w:t>
      </w:r>
      <w:r w:rsidRPr="001A3D2B">
        <w:t>Cell</w:t>
      </w:r>
      <w:bookmarkEnd w:id="793"/>
    </w:p>
    <w:p w:rsidR="003474F2" w:rsidRPr="001A3D2B" w:rsidRDefault="003474F2" w:rsidP="003474F2">
      <w:pPr>
        <w:pStyle w:val="12"/>
      </w:pPr>
      <w:r w:rsidRPr="001A3D2B">
        <w:t xml:space="preserve">Full Journal Title: </w:t>
      </w:r>
      <w:hyperlink r:id="rId1497" w:history="1">
        <w:r w:rsidRPr="001A3D2B">
          <w:rPr>
            <w:rStyle w:val="a5"/>
          </w:rPr>
          <w:t>Biopolymers</w:t>
        </w:r>
        <w:r w:rsidR="005853A9">
          <w:rPr>
            <w:rStyle w:val="a5"/>
          </w:rPr>
          <w:t xml:space="preserve"> and </w:t>
        </w:r>
        <w:r w:rsidRPr="001A3D2B">
          <w:rPr>
            <w:rStyle w:val="a5"/>
          </w:rPr>
          <w:t>Cell</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Tanatar, N.V. (1990</w:t>
      </w:r>
      <w:r w:rsidR="00F42EAC">
        <w:t>), The</w:t>
      </w:r>
      <w:r w:rsidR="003A1917">
        <w:t xml:space="preserve"> </w:t>
      </w:r>
      <w:r w:rsidRPr="001A3D2B">
        <w:t>scientometric analysis</w:t>
      </w:r>
      <w:r w:rsidR="00427468">
        <w:t xml:space="preserve"> of </w:t>
      </w:r>
      <w:r w:rsidR="003A1917">
        <w:t xml:space="preserve">the </w:t>
      </w:r>
      <w:r w:rsidRPr="001A3D2B">
        <w:t>state</w:t>
      </w:r>
      <w:r w:rsidR="005853A9">
        <w:t xml:space="preserve"> and </w:t>
      </w:r>
      <w:r w:rsidRPr="001A3D2B">
        <w:t>trends</w:t>
      </w:r>
      <w:r w:rsidR="00427468">
        <w:t xml:space="preserve"> of </w:t>
      </w:r>
      <w:r w:rsidR="003A1917">
        <w:t xml:space="preserve">the </w:t>
      </w:r>
      <w:r w:rsidRPr="001A3D2B">
        <w:t>development</w:t>
      </w:r>
      <w:r w:rsidR="00427468">
        <w:t xml:space="preserve"> of </w:t>
      </w:r>
      <w:r w:rsidRPr="001A3D2B">
        <w:t>a scientific problem</w:t>
      </w:r>
      <w:r w:rsidR="003A1917">
        <w:t xml:space="preserve"> the </w:t>
      </w:r>
      <w:r w:rsidRPr="001A3D2B">
        <w:t xml:space="preserve">biosensor problem as an example. </w:t>
      </w:r>
      <w:r w:rsidRPr="001A3D2B">
        <w:rPr>
          <w:i/>
          <w:iCs/>
        </w:rPr>
        <w:t>Biopolymers</w:t>
      </w:r>
      <w:r w:rsidR="005853A9">
        <w:rPr>
          <w:i/>
          <w:iCs/>
        </w:rPr>
        <w:t xml:space="preserve"> and </w:t>
      </w:r>
      <w:r w:rsidRPr="001A3D2B">
        <w:rPr>
          <w:i/>
          <w:iCs/>
        </w:rPr>
        <w:t>Cell</w:t>
      </w:r>
      <w:r w:rsidRPr="001A3D2B">
        <w:t xml:space="preserve">, </w:t>
      </w:r>
      <w:r w:rsidRPr="001A3D2B">
        <w:rPr>
          <w:b/>
          <w:bCs/>
        </w:rPr>
        <w:t>6</w:t>
      </w:r>
      <w:r w:rsidRPr="001A3D2B">
        <w:t xml:space="preserve"> (3), 5-14.</w:t>
      </w:r>
    </w:p>
    <w:p w:rsidR="003474F2" w:rsidRPr="001A3D2B" w:rsidRDefault="003474F2" w:rsidP="003474F2">
      <w:pPr>
        <w:pStyle w:val="a3"/>
      </w:pPr>
      <w:r w:rsidRPr="001A3D2B">
        <w:t>Abstract:</w:t>
      </w:r>
      <w:r w:rsidR="003A1917">
        <w:t xml:space="preserve"> the </w:t>
      </w:r>
      <w:r w:rsidRPr="001A3D2B">
        <w:t>analysis</w:t>
      </w:r>
      <w:r w:rsidR="00427468">
        <w:t xml:space="preserve"> of </w:t>
      </w:r>
      <w:r w:rsidRPr="001A3D2B">
        <w:t>information file formed on</w:t>
      </w:r>
      <w:r w:rsidR="003A1917">
        <w:t xml:space="preserve"> the </w:t>
      </w:r>
      <w:r w:rsidRPr="001A3D2B">
        <w:t>abstract journals was used to assess</w:t>
      </w:r>
      <w:r w:rsidR="003A1917">
        <w:t xml:space="preserve"> the </w:t>
      </w:r>
      <w:r w:rsidRPr="001A3D2B">
        <w:t>state</w:t>
      </w:r>
      <w:r w:rsidR="005853A9">
        <w:t xml:space="preserve"> and </w:t>
      </w:r>
      <w:r w:rsidRPr="001A3D2B">
        <w:t>trends</w:t>
      </w:r>
      <w:r w:rsidR="00427468">
        <w:t xml:space="preserve"> of </w:t>
      </w:r>
      <w:r w:rsidR="003A1917">
        <w:t xml:space="preserve">the </w:t>
      </w:r>
      <w:r w:rsidRPr="001A3D2B">
        <w:t>development</w:t>
      </w:r>
      <w:r w:rsidR="00427468">
        <w:t xml:space="preserve"> of </w:t>
      </w:r>
      <w:r w:rsidRPr="001A3D2B">
        <w:t>biosensor studies</w:t>
      </w:r>
      <w:r w:rsidR="00A37C1D">
        <w:t>. The</w:t>
      </w:r>
      <w:r w:rsidR="003A1917">
        <w:t xml:space="preserve"> </w:t>
      </w:r>
      <w:r w:rsidRPr="001A3D2B">
        <w:t>biosensor problem has determined three integrated parameters subsequently referred to as:</w:t>
      </w:r>
      <w:r w:rsidR="003A1917">
        <w:t xml:space="preserve"> the </w:t>
      </w:r>
      <w:r w:rsidRPr="001A3D2B">
        <w:t>substance under study, bioreceptor</w:t>
      </w:r>
      <w:r w:rsidR="005853A9">
        <w:t xml:space="preserve"> and </w:t>
      </w:r>
      <w:r w:rsidRPr="001A3D2B">
        <w:t>sensor</w:t>
      </w:r>
      <w:r w:rsidR="00A37C1D">
        <w:t>. The</w:t>
      </w:r>
      <w:r w:rsidR="003A1917">
        <w:t xml:space="preserve"> </w:t>
      </w:r>
      <w:r w:rsidRPr="001A3D2B">
        <w:t>classifier based on this structure has allowed performing a fonnalistic description</w:t>
      </w:r>
      <w:r w:rsidR="00427468">
        <w:t xml:space="preserve"> of </w:t>
      </w:r>
      <w:r w:rsidR="003A1917">
        <w:t xml:space="preserve">the </w:t>
      </w:r>
      <w:r w:rsidRPr="001A3D2B">
        <w:t>subject-matter</w:t>
      </w:r>
      <w:r w:rsidR="00427468">
        <w:t xml:space="preserve"> of </w:t>
      </w:r>
      <w:r w:rsidRPr="001A3D2B">
        <w:t>publications</w:t>
      </w:r>
      <w:r w:rsidR="005853A9">
        <w:t xml:space="preserve"> and </w:t>
      </w:r>
      <w:r w:rsidRPr="001A3D2B">
        <w:t>made it possible to form</w:t>
      </w:r>
      <w:r w:rsidR="003A1917">
        <w:t xml:space="preserve"> the </w:t>
      </w:r>
      <w:r w:rsidRPr="001A3D2B">
        <w:t>publication matrices</w:t>
      </w:r>
      <w:r w:rsidR="00A37C1D">
        <w:t>. The</w:t>
      </w:r>
      <w:r w:rsidR="003A1917">
        <w:t xml:space="preserve"> </w:t>
      </w:r>
      <w:r w:rsidRPr="001A3D2B">
        <w:t>subsequent mathematical data processing has shown that just now there are 35 main trends for further research. Following groups for their formalistic classification are possible:</w:t>
      </w:r>
      <w:r w:rsidR="003A1917">
        <w:t xml:space="preserve"> the </w:t>
      </w:r>
      <w:r w:rsidRPr="001A3D2B">
        <w:t>casual trends,</w:t>
      </w:r>
      <w:r w:rsidR="003A1917">
        <w:t xml:space="preserve"> the </w:t>
      </w:r>
      <w:r w:rsidRPr="001A3D2B">
        <w:t>trends to be completed,</w:t>
      </w:r>
      <w:r w:rsidR="003A1917">
        <w:t xml:space="preserve"> the </w:t>
      </w:r>
      <w:r w:rsidRPr="001A3D2B">
        <w:t>developing ones,</w:t>
      </w:r>
      <w:r w:rsidR="003A1917">
        <w:t xml:space="preserve"> the </w:t>
      </w:r>
      <w:r w:rsidRPr="001A3D2B">
        <w:t>intensively developing trends</w:t>
      </w:r>
      <w:r w:rsidR="005853A9">
        <w:t xml:space="preserve"> and </w:t>
      </w:r>
      <w:r w:rsidRPr="001A3D2B">
        <w:t>new ones.</w:t>
      </w:r>
    </w:p>
    <w:p w:rsidR="003474F2" w:rsidRPr="001A3D2B" w:rsidRDefault="003474F2" w:rsidP="003474F2">
      <w:pPr>
        <w:pStyle w:val="1"/>
      </w:pPr>
      <w:r w:rsidRPr="001A3D2B">
        <w:br w:type="page"/>
      </w:r>
      <w:bookmarkStart w:id="794" w:name="_Toc420814731"/>
      <w:r w:rsidRPr="001A3D2B">
        <w:lastRenderedPageBreak/>
        <w:t>Title: Biorheology</w:t>
      </w:r>
      <w:bookmarkEnd w:id="794"/>
    </w:p>
    <w:p w:rsidR="003474F2" w:rsidRPr="001A3D2B" w:rsidRDefault="003474F2" w:rsidP="003474F2">
      <w:pPr>
        <w:pStyle w:val="12"/>
      </w:pPr>
      <w:r w:rsidRPr="001A3D2B">
        <w:t>Full Journal Title: Biorheo</w:t>
      </w:r>
      <w:bookmarkStart w:id="795" w:name="_Toc38434268"/>
      <w:bookmarkStart w:id="796" w:name="_Toc43634544"/>
      <w:bookmarkStart w:id="797" w:name="_Toc81215641"/>
      <w:r w:rsidRPr="001A3D2B">
        <w:t>logy</w:t>
      </w:r>
    </w:p>
    <w:p w:rsidR="003474F2" w:rsidRPr="001A3D2B" w:rsidRDefault="003474F2" w:rsidP="003474F2">
      <w:pPr>
        <w:pStyle w:val="12"/>
      </w:pPr>
      <w:r w:rsidRPr="001A3D2B">
        <w:t>ISO Abbreviat</w:t>
      </w:r>
      <w:bookmarkEnd w:id="795"/>
      <w:bookmarkEnd w:id="796"/>
      <w:bookmarkEnd w:id="797"/>
      <w:r w:rsidRPr="001A3D2B">
        <w:t>ed Title: Biorheology</w:t>
      </w:r>
    </w:p>
    <w:p w:rsidR="003474F2" w:rsidRPr="001A3D2B" w:rsidRDefault="003474F2" w:rsidP="003474F2">
      <w:pPr>
        <w:pStyle w:val="12"/>
      </w:pPr>
      <w:r w:rsidRPr="001A3D2B">
        <w:t>JCR Abbreviated Title: Biorheology</w:t>
      </w:r>
    </w:p>
    <w:p w:rsidR="003474F2" w:rsidRPr="001A3D2B" w:rsidRDefault="003474F2" w:rsidP="003474F2">
      <w:pPr>
        <w:pStyle w:val="12"/>
      </w:pPr>
      <w:r w:rsidRPr="001A3D2B">
        <w:t>ISSN: 0006-355X</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IOS Press</w:t>
      </w:r>
    </w:p>
    <w:p w:rsidR="003474F2" w:rsidRPr="001A3D2B" w:rsidRDefault="003474F2" w:rsidP="003474F2">
      <w:pPr>
        <w:pStyle w:val="12"/>
      </w:pPr>
      <w:r w:rsidRPr="001A3D2B">
        <w:t xml:space="preserve">Publisher Address: Nieuwe Hemweg 6B, 1013 BG </w:t>
      </w:r>
      <w:smartTag w:uri="urn:schemas-microsoft-com:office:smarttags" w:element="place">
        <w:smartTag w:uri="urn:schemas-microsoft-com:office:smarttags" w:element="City">
          <w:r w:rsidRPr="001A3D2B">
            <w:t>Amsterdam</w:t>
          </w:r>
        </w:smartTag>
        <w:r w:rsidRPr="001A3D2B">
          <w:t xml:space="preserve">, </w:t>
        </w:r>
        <w:smartTag w:uri="urn:schemas-microsoft-com:office:smarttags" w:element="country-region">
          <w:r w:rsidRPr="001A3D2B">
            <w:t>Netherlands</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Biophysics: Impact Factor 1.016,/(2001)</w:t>
      </w:r>
    </w:p>
    <w:p w:rsidR="003474F2" w:rsidRPr="001A3D2B" w:rsidRDefault="003474F2" w:rsidP="003474F2">
      <w:pPr>
        <w:pStyle w:val="12"/>
      </w:pPr>
      <w:r w:rsidRPr="001A3D2B">
        <w:t>Engineering, Biomedical: Impact Factor 1.016,/(2001)</w:t>
      </w:r>
    </w:p>
    <w:p w:rsidR="003474F2" w:rsidRPr="001A3D2B" w:rsidRDefault="003474F2" w:rsidP="003474F2">
      <w:pPr>
        <w:pStyle w:val="12"/>
      </w:pPr>
      <w:r w:rsidRPr="001A3D2B">
        <w:t>Hematology: Impact Factor 1.016,/(2001)</w:t>
      </w:r>
    </w:p>
    <w:p w:rsidR="003474F2" w:rsidRPr="001A3D2B" w:rsidRDefault="003474F2" w:rsidP="003474F2">
      <w:pPr>
        <w:pStyle w:val="a3"/>
      </w:pPr>
      <w:r w:rsidRPr="001A3D2B">
        <w:t>Notes: TTopic</w:t>
      </w:r>
    </w:p>
    <w:p w:rsidR="003474F2" w:rsidRPr="001A3D2B" w:rsidRDefault="003474F2" w:rsidP="003474F2">
      <w:pPr>
        <w:pStyle w:val="a3"/>
      </w:pPr>
      <w:r w:rsidRPr="001A3D2B">
        <w:t>Resch, K.L.</w:t>
      </w:r>
      <w:r w:rsidR="005853A9">
        <w:t xml:space="preserve"> and </w:t>
      </w:r>
      <w:r w:rsidRPr="001A3D2B">
        <w:t>Ernst, E. (1995), Scientific productivity in clinical hemorheology.</w:t>
      </w:r>
      <w:r w:rsidRPr="001A3D2B">
        <w:rPr>
          <w:i/>
        </w:rPr>
        <w:t xml:space="preserve"> </w:t>
      </w:r>
      <w:r w:rsidRPr="001A3D2B">
        <w:rPr>
          <w:i/>
          <w:iCs/>
        </w:rPr>
        <w:t>Biorheology</w:t>
      </w:r>
      <w:r w:rsidRPr="001A3D2B">
        <w:t xml:space="preserve">, </w:t>
      </w:r>
      <w:r w:rsidRPr="001A3D2B">
        <w:rPr>
          <w:b/>
        </w:rPr>
        <w:t>32</w:t>
      </w:r>
      <w:r w:rsidRPr="001A3D2B">
        <w:t xml:space="preserve"> (2-3), 380-381.</w:t>
      </w:r>
    </w:p>
    <w:p w:rsidR="003474F2" w:rsidRPr="001A3D2B" w:rsidRDefault="003474F2" w:rsidP="003474F2">
      <w:pPr>
        <w:pStyle w:val="a3"/>
      </w:pPr>
      <w:r w:rsidRPr="001A3D2B">
        <w:t xml:space="preserve">Full Text: </w:t>
      </w:r>
      <w:hyperlink r:id="rId1498" w:history="1">
        <w:r w:rsidRPr="001A3D2B">
          <w:rPr>
            <w:rStyle w:val="a5"/>
          </w:rPr>
          <w:t>1995\Biorheology32, 380.pdf</w:t>
        </w:r>
      </w:hyperlink>
    </w:p>
    <w:p w:rsidR="003474F2" w:rsidRPr="001A3D2B" w:rsidRDefault="003474F2" w:rsidP="003474F2">
      <w:pPr>
        <w:pStyle w:val="a3"/>
      </w:pPr>
      <w:r w:rsidRPr="001A3D2B">
        <w:t>Abstract: Background:</w:t>
      </w:r>
      <w:r w:rsidR="003A1917">
        <w:t xml:space="preserve"> the </w:t>
      </w:r>
      <w:r w:rsidRPr="001A3D2B">
        <w:t>relevance</w:t>
      </w:r>
      <w:r w:rsidR="00427468">
        <w:t xml:space="preserve"> of </w:t>
      </w:r>
      <w:r w:rsidRPr="001A3D2B">
        <w:t>new findings in any area</w:t>
      </w:r>
      <w:r w:rsidR="00427468">
        <w:t xml:space="preserve"> of </w:t>
      </w:r>
      <w:r w:rsidRPr="001A3D2B">
        <w:t>medical research depends crucially on</w:t>
      </w:r>
      <w:r w:rsidR="003A1917">
        <w:t xml:space="preserve"> the </w:t>
      </w:r>
      <w:r w:rsidRPr="001A3D2B">
        <w:t>extent to which it can be made available to</w:t>
      </w:r>
      <w:r w:rsidR="003A1917">
        <w:t xml:space="preserve"> the </w:t>
      </w:r>
      <w:r w:rsidRPr="001A3D2B">
        <w:t>scientific community</w:t>
      </w:r>
      <w:r w:rsidR="00A37C1D">
        <w:t>. The</w:t>
      </w:r>
      <w:r w:rsidRPr="001A3D2B">
        <w:t>refore</w:t>
      </w:r>
      <w:r w:rsidR="003A1917">
        <w:t xml:space="preserve"> the </w:t>
      </w:r>
      <w:r w:rsidRPr="001A3D2B">
        <w:t>worldwide leading medical database (</w:t>
      </w:r>
      <w:r w:rsidR="00D5664A">
        <w:t>MEDLINE</w:t>
      </w:r>
      <w:r w:rsidRPr="001A3D2B">
        <w:t>) was used to investigate this aspect concerning</w:t>
      </w:r>
      <w:r w:rsidR="003A1917">
        <w:t xml:space="preserve"> the </w:t>
      </w:r>
      <w:r w:rsidRPr="001A3D2B">
        <w:t>field</w:t>
      </w:r>
      <w:r w:rsidR="00427468">
        <w:t xml:space="preserve"> of </w:t>
      </w:r>
      <w:r w:rsidRPr="001A3D2B">
        <w:t xml:space="preserve">hemorheology. Method: All </w:t>
      </w:r>
      <w:r w:rsidR="00D5664A">
        <w:t>MEDLINE</w:t>
      </w:r>
      <w:r w:rsidRPr="001A3D2B">
        <w:t xml:space="preserve"> records (year 1993) containing at least one</w:t>
      </w:r>
      <w:r w:rsidR="00427468">
        <w:t xml:space="preserve"> of </w:t>
      </w:r>
      <w:r w:rsidR="003A1917">
        <w:t xml:space="preserve">the </w:t>
      </w:r>
      <w:r w:rsidRPr="001A3D2B">
        <w:t>MeSH headings BLOOD-VISCOSIT</w:t>
      </w:r>
      <w:r w:rsidRPr="001A3D2B">
        <w:rPr>
          <w:vertAlign w:val="superscript"/>
        </w:rPr>
        <w:t>*</w:t>
      </w:r>
      <w:r w:rsidRPr="001A3D2B">
        <w:t>, ERYTHROCYTE-AGGREGATIO</w:t>
      </w:r>
      <w:r w:rsidRPr="001A3D2B">
        <w:rPr>
          <w:vertAlign w:val="superscript"/>
        </w:rPr>
        <w:t>*</w:t>
      </w:r>
      <w:r w:rsidRPr="001A3D2B">
        <w:t>, or ERYTHROCYTE-DEFORMABILIT</w:t>
      </w:r>
      <w:r w:rsidRPr="001A3D2B">
        <w:rPr>
          <w:vertAlign w:val="superscript"/>
        </w:rPr>
        <w:t>*</w:t>
      </w:r>
      <w:r w:rsidRPr="001A3D2B">
        <w:t xml:space="preserve"> or</w:t>
      </w:r>
      <w:r w:rsidR="003A1917">
        <w:t xml:space="preserve"> the </w:t>
      </w:r>
      <w:r w:rsidRPr="001A3D2B">
        <w:t>free search term HEMORHEOLOG</w:t>
      </w:r>
      <w:r w:rsidRPr="001A3D2B">
        <w:rPr>
          <w:vertAlign w:val="superscript"/>
        </w:rPr>
        <w:t>*</w:t>
      </w:r>
      <w:r w:rsidRPr="001A3D2B">
        <w:t>/HAEMORHEOLOG</w:t>
      </w:r>
      <w:r w:rsidRPr="001A3D2B">
        <w:rPr>
          <w:vertAlign w:val="superscript"/>
        </w:rPr>
        <w:t>*</w:t>
      </w:r>
      <w:r w:rsidRPr="001A3D2B">
        <w:t>,</w:t>
      </w:r>
      <w:r w:rsidR="005853A9">
        <w:t xml:space="preserve"> and </w:t>
      </w:r>
      <w:r w:rsidRPr="001A3D2B">
        <w:t>an (English) abstract were retrieved</w:t>
      </w:r>
      <w:r w:rsidR="005853A9">
        <w:t xml:space="preserve"> and </w:t>
      </w:r>
      <w:r w:rsidRPr="001A3D2B">
        <w:t>analyzed. Results: 291 articles from 41 different countries had been published in 185 different journals, 202</w:t>
      </w:r>
      <w:r w:rsidR="00427468">
        <w:t xml:space="preserve"> of </w:t>
      </w:r>
      <w:r w:rsidRPr="001A3D2B">
        <w:t>them (from 28 countries) had been published in English, whereas 89 articles (from 13 countries) had been published in 11 other languages, 25</w:t>
      </w:r>
      <w:r w:rsidR="00427468">
        <w:t xml:space="preserve"> of </w:t>
      </w:r>
      <w:r w:rsidRPr="001A3D2B">
        <w:t xml:space="preserve">them in Chinese, </w:t>
      </w:r>
      <w:smartTag w:uri="urn:schemas-microsoft-com:office:smarttags" w:element="chmetcnv">
        <w:smartTagPr>
          <w:attr w:name="TCSC" w:val="0"/>
          <w:attr w:name="NumberType" w:val="1"/>
          <w:attr w:name="Negative" w:val="False"/>
          <w:attr w:name="HasSpace" w:val="True"/>
          <w:attr w:name="SourceValue" w:val="17"/>
          <w:attr w:name="UnitName" w:val="in"/>
        </w:smartTagPr>
        <w:r w:rsidRPr="001A3D2B">
          <w:t>17 in</w:t>
        </w:r>
      </w:smartTag>
      <w:r w:rsidRPr="001A3D2B">
        <w:t xml:space="preserve"> Russian,</w:t>
      </w:r>
      <w:r w:rsidR="005853A9">
        <w:t xml:space="preserve"> and </w:t>
      </w:r>
      <w:smartTag w:uri="urn:schemas-microsoft-com:office:smarttags" w:element="chmetcnv">
        <w:smartTagPr>
          <w:attr w:name="TCSC" w:val="0"/>
          <w:attr w:name="NumberType" w:val="1"/>
          <w:attr w:name="Negative" w:val="False"/>
          <w:attr w:name="HasSpace" w:val="True"/>
          <w:attr w:name="SourceValue" w:val="13"/>
          <w:attr w:name="UnitName" w:val="in"/>
        </w:smartTagPr>
        <w:r w:rsidRPr="001A3D2B">
          <w:t>13 in</w:t>
        </w:r>
      </w:smartTag>
      <w:r w:rsidRPr="001A3D2B">
        <w:t xml:space="preserve"> German. 123 papers could be categorized as </w:t>
      </w:r>
      <w:r w:rsidR="00700038">
        <w:t>‘</w:t>
      </w:r>
      <w:r w:rsidRPr="001A3D2B">
        <w:t>clinical research</w:t>
      </w:r>
      <w:r w:rsidR="00700038">
        <w:t>’</w:t>
      </w:r>
      <w:r w:rsidRPr="001A3D2B">
        <w:t xml:space="preserve"> (research in man), 105 as </w:t>
      </w:r>
      <w:r w:rsidR="00700038">
        <w:t>‘</w:t>
      </w:r>
      <w:r w:rsidRPr="001A3D2B">
        <w:t>basic research</w:t>
      </w:r>
      <w:r w:rsidR="00700038">
        <w:t>’</w:t>
      </w:r>
      <w:r w:rsidRPr="001A3D2B">
        <w:t xml:space="preserve"> (</w:t>
      </w:r>
      <w:r w:rsidRPr="001A3D2B">
        <w:rPr>
          <w:i/>
          <w:iCs/>
        </w:rPr>
        <w:t>in-vitro</w:t>
      </w:r>
      <w:r w:rsidRPr="001A3D2B">
        <w:t xml:space="preserve"> or animal studies), 28 were dedicated to hemorheological methodology, 25 were reviews,</w:t>
      </w:r>
      <w:r w:rsidR="005853A9">
        <w:t xml:space="preserve"> and </w:t>
      </w:r>
      <w:r w:rsidRPr="001A3D2B">
        <w:t xml:space="preserve">10 were case-reports. papers from </w:t>
      </w:r>
      <w:smartTag w:uri="urn:schemas-microsoft-com:office:smarttags" w:element="place">
        <w:smartTag w:uri="urn:schemas-microsoft-com:office:smarttags" w:element="country-region">
          <w:r w:rsidRPr="001A3D2B">
            <w:t>Germany</w:t>
          </w:r>
        </w:smartTag>
      </w:smartTag>
      <w:r w:rsidRPr="001A3D2B">
        <w:t xml:space="preserve"> as well as from most other European countries mainly focused on clinical issues (12/19). Basic research</w:t>
      </w:r>
      <w:r w:rsidR="005853A9">
        <w:t xml:space="preserve"> and </w:t>
      </w:r>
      <w:r w:rsidRPr="001A3D2B">
        <w:t>hemorheological methodology was most popular in</w:t>
      </w:r>
      <w:r w:rsidR="003A1917">
        <w:t xml:space="preserve"> the </w:t>
      </w:r>
      <w:r w:rsidR="00D5664A">
        <w:t>USA</w:t>
      </w:r>
      <w:r w:rsidRPr="001A3D2B">
        <w:t xml:space="preserve"> (45/60)</w:t>
      </w:r>
      <w:r w:rsidR="005853A9">
        <w:t xml:space="preserve"> and </w:t>
      </w:r>
      <w:r w:rsidRPr="001A3D2B">
        <w:t>Japan (15/26). Whereas</w:t>
      </w:r>
      <w:r w:rsidR="003A1917">
        <w:t xml:space="preserve"> the </w:t>
      </w:r>
      <w:r w:rsidRPr="001A3D2B">
        <w:t>majority</w:t>
      </w:r>
      <w:r w:rsidR="00427468">
        <w:t xml:space="preserve"> of </w:t>
      </w:r>
      <w:r w:rsidRPr="001A3D2B">
        <w:t xml:space="preserve">papers from </w:t>
      </w:r>
      <w:smartTag w:uri="urn:schemas-microsoft-com:office:smarttags" w:element="country-region">
        <w:r w:rsidRPr="001A3D2B">
          <w:t>Austria</w:t>
        </w:r>
      </w:smartTag>
      <w:r w:rsidRPr="001A3D2B">
        <w:t xml:space="preserve">, </w:t>
      </w:r>
      <w:smartTag w:uri="urn:schemas-microsoft-com:office:smarttags" w:element="country-region">
        <w:r w:rsidRPr="001A3D2B">
          <w:t>France</w:t>
        </w:r>
      </w:smartTag>
      <w:r w:rsidRPr="001A3D2B">
        <w:t>,</w:t>
      </w:r>
      <w:r w:rsidR="005853A9">
        <w:t xml:space="preserve"> and </w:t>
      </w:r>
      <w:r w:rsidRPr="001A3D2B">
        <w:t xml:space="preserve">Italy were published in languages other than English, English language papers predominated in </w:t>
      </w:r>
      <w:smartTag w:uri="urn:schemas-microsoft-com:office:smarttags" w:element="place">
        <w:smartTag w:uri="urn:schemas-microsoft-com:office:smarttags" w:element="country-region">
          <w:r w:rsidRPr="001A3D2B">
            <w:lastRenderedPageBreak/>
            <w:t>Germany</w:t>
          </w:r>
        </w:smartTag>
      </w:smartTag>
      <w:r w:rsidRPr="001A3D2B">
        <w:t xml:space="preserve"> (14/19)</w:t>
      </w:r>
      <w:r w:rsidR="005853A9">
        <w:t xml:space="preserve"> and </w:t>
      </w:r>
      <w:r w:rsidRPr="001A3D2B">
        <w:t>most smaller European countries. In terms</w:t>
      </w:r>
      <w:r w:rsidR="00427468">
        <w:t xml:space="preserve"> of </w:t>
      </w:r>
      <w:r w:rsidR="00700038">
        <w:t>‘</w:t>
      </w:r>
      <w:r w:rsidRPr="001A3D2B">
        <w:t>impact factor</w:t>
      </w:r>
      <w:r w:rsidR="00700038">
        <w:t>’</w:t>
      </w:r>
      <w:r w:rsidRPr="001A3D2B">
        <w:t>,</w:t>
      </w:r>
      <w:r w:rsidR="003A1917">
        <w:t xml:space="preserve"> the </w:t>
      </w:r>
      <w:r w:rsidR="00D5664A">
        <w:t>USA</w:t>
      </w:r>
      <w:r w:rsidRPr="001A3D2B">
        <w:t xml:space="preserve"> (122.5)</w:t>
      </w:r>
      <w:r w:rsidR="005853A9">
        <w:t xml:space="preserve"> and </w:t>
      </w:r>
      <w:r w:rsidRPr="001A3D2B">
        <w:t>Great Britain (49.1) were far in front</w:t>
      </w:r>
      <w:r w:rsidR="00427468">
        <w:t xml:space="preserve"> of </w:t>
      </w:r>
      <w:r w:rsidRPr="001A3D2B">
        <w:t>Germany (23.9), while France</w:t>
      </w:r>
      <w:r w:rsidR="005853A9">
        <w:t xml:space="preserve"> and </w:t>
      </w:r>
      <w:r w:rsidRPr="001A3D2B">
        <w:t>Italy (impact factor&lt;10) were found among smaller European Countries like Sweden, Austria, or Switzerland. From a total</w:t>
      </w:r>
      <w:r w:rsidR="00427468">
        <w:t xml:space="preserve"> of </w:t>
      </w:r>
      <w:r w:rsidRPr="001A3D2B">
        <w:t xml:space="preserve">12 German papers categorized as </w:t>
      </w:r>
      <w:r w:rsidR="00700038">
        <w:t>‘</w:t>
      </w:r>
      <w:r w:rsidRPr="001A3D2B">
        <w:t>clinical papers</w:t>
      </w:r>
      <w:r w:rsidR="00700038">
        <w:t>’</w:t>
      </w:r>
      <w:r w:rsidRPr="001A3D2B">
        <w:t xml:space="preserve">, 11 were rated as </w:t>
      </w:r>
      <w:r w:rsidR="00700038">
        <w:t>‘</w:t>
      </w:r>
      <w:r w:rsidRPr="001A3D2B">
        <w:t>JOURNAL ARTICLE</w:t>
      </w:r>
      <w:r w:rsidR="00700038">
        <w:t>’</w:t>
      </w:r>
      <w:r w:rsidRPr="001A3D2B">
        <w:t xml:space="preserve"> by </w:t>
      </w:r>
      <w:r w:rsidR="00D5664A">
        <w:t>MEDLINE</w:t>
      </w:r>
      <w:r w:rsidRPr="001A3D2B">
        <w:t>,</w:t>
      </w:r>
      <w:r w:rsidR="005853A9">
        <w:t xml:space="preserve"> and </w:t>
      </w:r>
      <w:r w:rsidRPr="001A3D2B">
        <w:t xml:space="preserve">one paper as </w:t>
      </w:r>
      <w:r w:rsidR="00700038">
        <w:t>‘</w:t>
      </w:r>
      <w:r w:rsidRPr="001A3D2B">
        <w:t>RANDOMIZED CONTROLLED TRIAL</w:t>
      </w:r>
      <w:r w:rsidR="00700038">
        <w:t>’</w:t>
      </w:r>
      <w:r w:rsidRPr="001A3D2B">
        <w:t>. Conclusion: Few papers (mainly British</w:t>
      </w:r>
      <w:r w:rsidR="005853A9">
        <w:t xml:space="preserve"> and </w:t>
      </w:r>
      <w:r w:rsidRPr="001A3D2B">
        <w:t>US American ones) were published in journals that reach a broad audience. However, a large circulation must be considered a precondition, especially for clinical studies, for</w:t>
      </w:r>
      <w:r w:rsidR="003A1917">
        <w:t xml:space="preserve"> the </w:t>
      </w:r>
      <w:r w:rsidRPr="001A3D2B">
        <w:t>dissemination</w:t>
      </w:r>
      <w:r w:rsidR="00427468">
        <w:t xml:space="preserve"> of </w:t>
      </w:r>
      <w:r w:rsidRPr="001A3D2B">
        <w:t>rheological findings among</w:t>
      </w:r>
      <w:r w:rsidR="003A1917">
        <w:t xml:space="preserve"> the </w:t>
      </w:r>
      <w:r w:rsidRPr="001A3D2B">
        <w:t>general medical audience. Clinical studies were mainly restricted to observing rheological phenomena rather than performing RCTs, not allowing firm new therapeutic evidence,</w:t>
      </w:r>
      <w:r w:rsidR="005853A9">
        <w:t xml:space="preserve"> and </w:t>
      </w:r>
      <w:r w:rsidRPr="001A3D2B">
        <w:t>therefore not supporting</w:t>
      </w:r>
      <w:r w:rsidR="003A1917">
        <w:t xml:space="preserve"> the </w:t>
      </w:r>
      <w:r w:rsidRPr="001A3D2B">
        <w:t>development</w:t>
      </w:r>
      <w:r w:rsidR="005853A9">
        <w:t xml:space="preserve"> and </w:t>
      </w:r>
      <w:r w:rsidRPr="001A3D2B">
        <w:t>recognition</w:t>
      </w:r>
      <w:r w:rsidR="00427468">
        <w:t xml:space="preserve"> of </w:t>
      </w:r>
      <w:r w:rsidRPr="001A3D2B">
        <w:t>hemorheology in clinical medicine. Finally, there seems to be an inappropriate link between basic research</w:t>
      </w:r>
      <w:r w:rsidR="005853A9">
        <w:t xml:space="preserve"> and </w:t>
      </w:r>
      <w:r w:rsidRPr="001A3D2B">
        <w:t>clinical studies, which must have a negative impact on</w:t>
      </w:r>
      <w:r w:rsidR="003A1917">
        <w:t xml:space="preserve"> the </w:t>
      </w:r>
      <w:r w:rsidRPr="001A3D2B">
        <w:t>quality</w:t>
      </w:r>
      <w:r w:rsidR="00427468">
        <w:t xml:space="preserve"> of </w:t>
      </w:r>
      <w:r w:rsidRPr="001A3D2B">
        <w:t>a major part</w:t>
      </w:r>
      <w:r w:rsidR="00427468">
        <w:t xml:space="preserve"> of </w:t>
      </w:r>
      <w:r w:rsidR="003A1917">
        <w:t xml:space="preserve">the </w:t>
      </w:r>
      <w:r w:rsidRPr="001A3D2B">
        <w:t>clinical research work performed.</w:t>
      </w:r>
    </w:p>
    <w:p w:rsidR="003474F2" w:rsidRPr="001A3D2B" w:rsidRDefault="003474F2" w:rsidP="003474F2">
      <w:pPr>
        <w:pStyle w:val="1"/>
      </w:pPr>
      <w:r w:rsidRPr="001A3D2B">
        <w:br w:type="page"/>
      </w:r>
      <w:bookmarkStart w:id="798" w:name="_Toc420814732"/>
      <w:r w:rsidRPr="001A3D2B">
        <w:lastRenderedPageBreak/>
        <w:t xml:space="preserve">Title: </w:t>
      </w:r>
      <w:r w:rsidR="00B04758">
        <w:t>BioScience</w:t>
      </w:r>
      <w:bookmarkEnd w:id="798"/>
    </w:p>
    <w:p w:rsidR="003474F2" w:rsidRPr="001A3D2B" w:rsidRDefault="003474F2" w:rsidP="003474F2">
      <w:pPr>
        <w:pStyle w:val="12"/>
      </w:pPr>
      <w:r w:rsidRPr="001A3D2B">
        <w:t xml:space="preserve">Full Journal Title: </w:t>
      </w:r>
      <w:r w:rsidR="00206C8A">
        <w:fldChar w:fldCharType="begin"/>
      </w:r>
      <w:r w:rsidR="00FD158B">
        <w:instrText>HYPERLI</w:instrText>
      </w:r>
      <w:bookmarkStart w:id="799" w:name="_Toc201423932"/>
      <w:r w:rsidR="00FD158B">
        <w:instrText>NK "http://www.bi</w:instrText>
      </w:r>
      <w:bookmarkEnd w:id="799"/>
      <w:r w:rsidR="00FD158B">
        <w:instrText>oone.org/perlserv/?request=get-archive&amp;issn=0006-3568"</w:instrText>
      </w:r>
      <w:r w:rsidR="00206C8A">
        <w:fldChar w:fldCharType="separate"/>
      </w:r>
      <w:r w:rsidR="00B04758">
        <w:rPr>
          <w:rStyle w:val="a5"/>
          <w:kern w:val="52"/>
        </w:rPr>
        <w:t>BioScience</w:t>
      </w:r>
      <w:r w:rsidR="00206C8A">
        <w:fldChar w:fldCharType="end"/>
      </w:r>
    </w:p>
    <w:p w:rsidR="003474F2" w:rsidRPr="001A3D2B" w:rsidRDefault="003474F2" w:rsidP="003474F2">
      <w:pPr>
        <w:pStyle w:val="12"/>
      </w:pPr>
      <w:r w:rsidRPr="001A3D2B">
        <w:t xml:space="preserve">ISO Abbreviated Title: </w:t>
      </w:r>
      <w:r w:rsidR="00B04758">
        <w:t>BioScience</w:t>
      </w:r>
    </w:p>
    <w:p w:rsidR="003474F2" w:rsidRPr="001A3D2B" w:rsidRDefault="003474F2" w:rsidP="003474F2">
      <w:pPr>
        <w:pStyle w:val="12"/>
      </w:pPr>
      <w:r w:rsidRPr="001A3D2B">
        <w:t xml:space="preserve">JCR Abbreviated Title: </w:t>
      </w:r>
      <w:r w:rsidR="00B04758">
        <w:t>BioScience</w:t>
      </w:r>
    </w:p>
    <w:p w:rsidR="003474F2" w:rsidRPr="001A3D2B" w:rsidRDefault="003474F2" w:rsidP="003474F2">
      <w:pPr>
        <w:pStyle w:val="12"/>
      </w:pPr>
      <w:r w:rsidRPr="001A3D2B">
        <w:t>ISSN: 0006-3568</w:t>
      </w:r>
    </w:p>
    <w:p w:rsidR="003474F2" w:rsidRPr="001A3D2B" w:rsidRDefault="003474F2" w:rsidP="003474F2">
      <w:pPr>
        <w:pStyle w:val="12"/>
      </w:pPr>
      <w:r w:rsidRPr="001A3D2B">
        <w:t>Issues/Year: 11</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Amer Inst Biological Sci</w:t>
      </w:r>
    </w:p>
    <w:p w:rsidR="003474F2" w:rsidRPr="001A3D2B" w:rsidRDefault="003474F2" w:rsidP="003474F2">
      <w:pPr>
        <w:pStyle w:val="12"/>
      </w:pPr>
      <w:r w:rsidRPr="001A3D2B">
        <w:t>Publisher Address: 1444 Eye St, NW, Ste 200, Washington, DC 20005</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Biology: Impact Factor </w:t>
      </w:r>
    </w:p>
    <w:p w:rsidR="000A30A9" w:rsidRDefault="000A30A9" w:rsidP="000A30A9">
      <w:pPr>
        <w:pStyle w:val="a3"/>
        <w:rPr>
          <w:kern w:val="0"/>
        </w:rPr>
      </w:pPr>
      <w:r>
        <w:rPr>
          <w:rFonts w:hint="eastAsia"/>
          <w:kern w:val="0"/>
        </w:rPr>
        <w:t xml:space="preserve">? </w:t>
      </w:r>
      <w:r>
        <w:rPr>
          <w:kern w:val="0"/>
        </w:rPr>
        <w:t>Leimu, R.</w:t>
      </w:r>
      <w:r w:rsidR="005853A9">
        <w:rPr>
          <w:kern w:val="0"/>
        </w:rPr>
        <w:t xml:space="preserve"> and </w:t>
      </w:r>
      <w:r>
        <w:rPr>
          <w:kern w:val="0"/>
        </w:rPr>
        <w:t>Koricheva, J. (2005), Does scientific collaboration increase</w:t>
      </w:r>
      <w:r w:rsidR="003A1917">
        <w:rPr>
          <w:kern w:val="0"/>
        </w:rPr>
        <w:t xml:space="preserve"> the </w:t>
      </w:r>
      <w:r>
        <w:rPr>
          <w:kern w:val="0"/>
        </w:rPr>
        <w:t>impact</w:t>
      </w:r>
      <w:r w:rsidR="00427468">
        <w:rPr>
          <w:kern w:val="0"/>
        </w:rPr>
        <w:t xml:space="preserve"> of </w:t>
      </w:r>
      <w:r>
        <w:rPr>
          <w:kern w:val="0"/>
        </w:rPr>
        <w:t xml:space="preserve">ecological articles? </w:t>
      </w:r>
      <w:r w:rsidR="00B04758">
        <w:rPr>
          <w:i/>
          <w:iCs/>
          <w:kern w:val="0"/>
        </w:rPr>
        <w:t>BioScience</w:t>
      </w:r>
      <w:r>
        <w:rPr>
          <w:kern w:val="0"/>
        </w:rPr>
        <w:t xml:space="preserve">, </w:t>
      </w:r>
      <w:r>
        <w:rPr>
          <w:b/>
          <w:bCs/>
          <w:kern w:val="0"/>
        </w:rPr>
        <w:t>55</w:t>
      </w:r>
      <w:r>
        <w:rPr>
          <w:kern w:val="0"/>
        </w:rPr>
        <w:t xml:space="preserve"> (5), 438-443.</w:t>
      </w:r>
    </w:p>
    <w:p w:rsidR="000A30A9" w:rsidRDefault="000A30A9" w:rsidP="000A30A9">
      <w:pPr>
        <w:pStyle w:val="a3"/>
        <w:rPr>
          <w:kern w:val="0"/>
        </w:rPr>
      </w:pPr>
      <w:r>
        <w:rPr>
          <w:rFonts w:hint="eastAsia"/>
          <w:kern w:val="0"/>
        </w:rPr>
        <w:t xml:space="preserve">Full Text: </w:t>
      </w:r>
      <w:hyperlink r:id="rId1499" w:history="1">
        <w:r w:rsidRPr="004761BD">
          <w:rPr>
            <w:rStyle w:val="a5"/>
            <w:kern w:val="0"/>
          </w:rPr>
          <w:t>2005\</w:t>
        </w:r>
        <w:r w:rsidR="00B04758">
          <w:rPr>
            <w:rStyle w:val="a5"/>
            <w:kern w:val="0"/>
          </w:rPr>
          <w:t>BioScience</w:t>
        </w:r>
        <w:r w:rsidRPr="004761BD">
          <w:rPr>
            <w:rStyle w:val="a5"/>
            <w:kern w:val="0"/>
          </w:rPr>
          <w:t>55, 438.pdf</w:t>
        </w:r>
      </w:hyperlink>
    </w:p>
    <w:p w:rsidR="000A30A9" w:rsidRDefault="000A30A9" w:rsidP="000A30A9">
      <w:pPr>
        <w:pStyle w:val="a3"/>
        <w:rPr>
          <w:kern w:val="0"/>
        </w:rPr>
      </w:pPr>
      <w:r>
        <w:rPr>
          <w:kern w:val="0"/>
        </w:rPr>
        <w:t>Abstract: We examined</w:t>
      </w:r>
      <w:r w:rsidR="003A1917">
        <w:rPr>
          <w:kern w:val="0"/>
        </w:rPr>
        <w:t xml:space="preserve"> the </w:t>
      </w:r>
      <w:r>
        <w:rPr>
          <w:kern w:val="0"/>
        </w:rPr>
        <w:t>effects</w:t>
      </w:r>
      <w:r w:rsidR="00427468">
        <w:rPr>
          <w:kern w:val="0"/>
        </w:rPr>
        <w:t xml:space="preserve"> of </w:t>
      </w:r>
      <w:r>
        <w:rPr>
          <w:kern w:val="0"/>
        </w:rPr>
        <w:t>different types</w:t>
      </w:r>
      <w:r w:rsidR="00427468">
        <w:rPr>
          <w:kern w:val="0"/>
        </w:rPr>
        <w:t xml:space="preserve"> of </w:t>
      </w:r>
      <w:r>
        <w:rPr>
          <w:kern w:val="0"/>
        </w:rPr>
        <w:t>collaboration on</w:t>
      </w:r>
      <w:r w:rsidR="003A1917">
        <w:rPr>
          <w:kern w:val="0"/>
        </w:rPr>
        <w:t xml:space="preserve"> the </w:t>
      </w:r>
      <w:r>
        <w:rPr>
          <w:kern w:val="0"/>
        </w:rPr>
        <w:t>citation rates</w:t>
      </w:r>
      <w:r w:rsidR="00427468">
        <w:rPr>
          <w:kern w:val="0"/>
        </w:rPr>
        <w:t xml:space="preserve"> of </w:t>
      </w:r>
      <w:r>
        <w:rPr>
          <w:kern w:val="0"/>
        </w:rPr>
        <w:t>837 research papers published in Oecologia from 1998 through 2000. Multiauthored papers had higher annual citation rates, but also higher self-citation rates, than single-authored papers. Interdisciplinary collaboration between institutions increased citation rates, whereas in-house collaboration reduced them. Contrary to our predictions, international collaboration had no effect on</w:t>
      </w:r>
      <w:r w:rsidR="003A1917">
        <w:rPr>
          <w:kern w:val="0"/>
        </w:rPr>
        <w:t xml:space="preserve"> the </w:t>
      </w:r>
      <w:r>
        <w:rPr>
          <w:kern w:val="0"/>
        </w:rPr>
        <w:t>citation rates</w:t>
      </w:r>
      <w:r w:rsidR="00427468">
        <w:rPr>
          <w:kern w:val="0"/>
        </w:rPr>
        <w:t xml:space="preserve"> of </w:t>
      </w:r>
      <w:r>
        <w:rPr>
          <w:kern w:val="0"/>
        </w:rPr>
        <w:t>ecological papers,</w:t>
      </w:r>
      <w:r w:rsidR="005853A9">
        <w:rPr>
          <w:kern w:val="0"/>
        </w:rPr>
        <w:t xml:space="preserve"> and </w:t>
      </w:r>
      <w:r>
        <w:rPr>
          <w:kern w:val="0"/>
        </w:rPr>
        <w:t>US ecologists benefited from collaboration more than their European colleagues. Altogether, our results indicate that scientific collaboration in ecology has a rather minor effect on</w:t>
      </w:r>
      <w:r w:rsidR="003A1917">
        <w:rPr>
          <w:kern w:val="0"/>
        </w:rPr>
        <w:t xml:space="preserve"> the </w:t>
      </w:r>
      <w:r>
        <w:rPr>
          <w:kern w:val="0"/>
        </w:rPr>
        <w:t>impact</w:t>
      </w:r>
      <w:r w:rsidR="00427468">
        <w:rPr>
          <w:kern w:val="0"/>
        </w:rPr>
        <w:t xml:space="preserve"> of </w:t>
      </w:r>
      <w:r w:rsidR="003A1917">
        <w:rPr>
          <w:kern w:val="0"/>
        </w:rPr>
        <w:t xml:space="preserve">the </w:t>
      </w:r>
      <w:r>
        <w:rPr>
          <w:kern w:val="0"/>
        </w:rPr>
        <w:t>resulting publications, as measured by their citation rates.</w:t>
      </w:r>
    </w:p>
    <w:p w:rsidR="000A30A9" w:rsidRDefault="000A30A9" w:rsidP="000A30A9">
      <w:pPr>
        <w:pStyle w:val="a3"/>
        <w:rPr>
          <w:kern w:val="0"/>
        </w:rPr>
      </w:pPr>
      <w:r>
        <w:rPr>
          <w:kern w:val="0"/>
        </w:rPr>
        <w:t>Keywords: Authored Papers, Citation, Citation Rates, Coauthorship, Cooperation, Domestic Collaboration, Ecology, International Collaboration, Molecular-Biology, Multidisciplinarity, Patterns, Publications, Quality, Research, Research Institutes, Research Papers, Scientific Collaboration, Self-Citation, Single, US</w:t>
      </w:r>
    </w:p>
    <w:p w:rsidR="003474F2" w:rsidRPr="001A3D2B" w:rsidRDefault="003474F2" w:rsidP="003474F2">
      <w:pPr>
        <w:pStyle w:val="a3"/>
      </w:pPr>
      <w:r w:rsidRPr="001A3D2B">
        <w:t>? Lovegrove, B.G.</w:t>
      </w:r>
      <w:r w:rsidR="005853A9">
        <w:t xml:space="preserve"> and </w:t>
      </w:r>
      <w:r w:rsidRPr="001A3D2B">
        <w:t>Johnson, S.D. (2008), Assessment</w:t>
      </w:r>
      <w:r w:rsidR="00427468">
        <w:t xml:space="preserve"> of </w:t>
      </w:r>
      <w:r w:rsidRPr="001A3D2B">
        <w:t>research performance in biology: How well do peer review</w:t>
      </w:r>
      <w:r w:rsidR="005853A9">
        <w:t xml:space="preserve"> and </w:t>
      </w:r>
      <w:r w:rsidRPr="001A3D2B">
        <w:t xml:space="preserve">bibliometry correlate? </w:t>
      </w:r>
      <w:r w:rsidR="00B04758">
        <w:rPr>
          <w:i/>
          <w:iCs/>
        </w:rPr>
        <w:t>BioScience</w:t>
      </w:r>
      <w:r w:rsidRPr="001A3D2B">
        <w:t xml:space="preserve">, </w:t>
      </w:r>
      <w:r w:rsidRPr="001A3D2B">
        <w:rPr>
          <w:b/>
          <w:bCs/>
        </w:rPr>
        <w:t>58</w:t>
      </w:r>
      <w:r w:rsidRPr="001A3D2B">
        <w:t xml:space="preserve"> (2), 160-164.</w:t>
      </w:r>
    </w:p>
    <w:p w:rsidR="003474F2" w:rsidRPr="001A3D2B" w:rsidRDefault="003474F2" w:rsidP="003474F2">
      <w:pPr>
        <w:pStyle w:val="a3"/>
      </w:pPr>
      <w:r w:rsidRPr="001A3D2B">
        <w:t xml:space="preserve">Full Text: </w:t>
      </w:r>
      <w:hyperlink r:id="rId1500" w:history="1">
        <w:r w:rsidRPr="001A3D2B">
          <w:rPr>
            <w:rStyle w:val="a5"/>
          </w:rPr>
          <w:t>2008\</w:t>
        </w:r>
        <w:r w:rsidR="00B04758">
          <w:rPr>
            <w:rStyle w:val="a5"/>
          </w:rPr>
          <w:t>BioScience</w:t>
        </w:r>
        <w:r w:rsidRPr="001A3D2B">
          <w:rPr>
            <w:rStyle w:val="a5"/>
          </w:rPr>
          <w:t>58, 160.pdf</w:t>
        </w:r>
      </w:hyperlink>
    </w:p>
    <w:p w:rsidR="003474F2" w:rsidRPr="001A3D2B" w:rsidRDefault="003474F2" w:rsidP="003474F2">
      <w:pPr>
        <w:pStyle w:val="a3"/>
      </w:pPr>
      <w:r w:rsidRPr="001A3D2B">
        <w:t>Abstract: Bibliometric indices based on publishing output,</w:t>
      </w:r>
      <w:r w:rsidR="005853A9">
        <w:t xml:space="preserve"> and </w:t>
      </w:r>
      <w:r w:rsidRPr="001A3D2B">
        <w:t>citation records used to measure scientific quality, are increasingly being employed to supplement</w:t>
      </w:r>
      <w:r w:rsidR="005853A9">
        <w:t xml:space="preserve"> and </w:t>
      </w:r>
      <w:r w:rsidRPr="001A3D2B">
        <w:t>even replace traditional alternatives, such as</w:t>
      </w:r>
      <w:r w:rsidR="003A1917">
        <w:t xml:space="preserve"> the </w:t>
      </w:r>
      <w:r w:rsidRPr="001A3D2B">
        <w:t xml:space="preserve">peer-review system. In this article we question whether peer review can predict bibliometric indices for individual </w:t>
      </w:r>
      <w:r w:rsidRPr="001A3D2B">
        <w:lastRenderedPageBreak/>
        <w:t>researchers. We compared</w:t>
      </w:r>
      <w:r w:rsidR="003A1917">
        <w:t xml:space="preserve"> the </w:t>
      </w:r>
      <w:r w:rsidRPr="001A3D2B">
        <w:t>ratings</w:t>
      </w:r>
      <w:r w:rsidR="00427468">
        <w:t xml:space="preserve"> of </w:t>
      </w:r>
      <w:r w:rsidRPr="001A3D2B">
        <w:t>scientific quality obtained using a peer-review system with</w:t>
      </w:r>
      <w:r w:rsidR="003A1917">
        <w:t xml:space="preserve"> the </w:t>
      </w:r>
      <w:r w:rsidRPr="001A3D2B">
        <w:t>most popular bibliometric scores (h-, m-,</w:t>
      </w:r>
      <w:r w:rsidR="005853A9">
        <w:t xml:space="preserve"> and </w:t>
      </w:r>
      <w:r w:rsidRPr="001A3D2B">
        <w:t>g-indices; total citations,</w:t>
      </w:r>
      <w:r w:rsidR="005853A9">
        <w:t xml:space="preserve"> and </w:t>
      </w:r>
      <w:r w:rsidRPr="001A3D2B">
        <w:t>mean number</w:t>
      </w:r>
      <w:r w:rsidR="00427468">
        <w:t xml:space="preserve"> of </w:t>
      </w:r>
      <w:r w:rsidRPr="001A3D2B">
        <w:t>citations per publication) for 163 botanists</w:t>
      </w:r>
      <w:r w:rsidR="005853A9">
        <w:t xml:space="preserve"> and </w:t>
      </w:r>
      <w:r w:rsidRPr="001A3D2B">
        <w:t>zoologists. Although</w:t>
      </w:r>
      <w:r w:rsidR="003A1917">
        <w:t xml:space="preserve"> the </w:t>
      </w:r>
      <w:r w:rsidRPr="001A3D2B">
        <w:t>peer-review ratings were correlated with</w:t>
      </w:r>
      <w:r w:rsidR="003A1917">
        <w:t xml:space="preserve"> the </w:t>
      </w:r>
      <w:r w:rsidRPr="001A3D2B">
        <w:t>bibliometric measures, they explained less than 40 percent</w:t>
      </w:r>
      <w:r w:rsidR="00427468">
        <w:t xml:space="preserve"> of </w:t>
      </w:r>
      <w:r w:rsidR="003A1917">
        <w:t xml:space="preserve">the </w:t>
      </w:r>
      <w:r w:rsidRPr="001A3D2B">
        <w:t>variation in</w:t>
      </w:r>
      <w:r w:rsidR="003A1917">
        <w:t xml:space="preserve"> the </w:t>
      </w:r>
      <w:r w:rsidRPr="001A3D2B">
        <w:t>scores. Most</w:t>
      </w:r>
      <w:r w:rsidR="00427468">
        <w:t xml:space="preserve"> of </w:t>
      </w:r>
      <w:r w:rsidRPr="001A3D2B">
        <w:t>this unexplained variation is presumably due to limitations</w:t>
      </w:r>
      <w:r w:rsidR="00427468">
        <w:t xml:space="preserve"> of </w:t>
      </w:r>
      <w:r w:rsidRPr="001A3D2B">
        <w:t>both</w:t>
      </w:r>
      <w:r w:rsidR="003A1917">
        <w:t xml:space="preserve"> the </w:t>
      </w:r>
      <w:r w:rsidRPr="001A3D2B">
        <w:t>peer-review system</w:t>
      </w:r>
      <w:r w:rsidR="005853A9">
        <w:t xml:space="preserve"> and </w:t>
      </w:r>
      <w:r w:rsidRPr="001A3D2B">
        <w:t>bibliometric scores. We propose a synergy between peer-review</w:t>
      </w:r>
      <w:r w:rsidR="005853A9">
        <w:t xml:space="preserve"> and </w:t>
      </w:r>
      <w:r w:rsidRPr="001A3D2B">
        <w:t>bibliometric scores that can improve</w:t>
      </w:r>
      <w:r w:rsidR="003A1917">
        <w:t xml:space="preserve"> the </w:t>
      </w:r>
      <w:r w:rsidRPr="001A3D2B">
        <w:t>assessment</w:t>
      </w:r>
      <w:r w:rsidR="00427468">
        <w:t xml:space="preserve"> of </w:t>
      </w:r>
      <w:r w:rsidRPr="001A3D2B">
        <w:t>scientific quality, especially by bench marking peer-review decisions against bibliometric thresholds.</w:t>
      </w:r>
    </w:p>
    <w:p w:rsidR="003474F2" w:rsidRPr="001A3D2B" w:rsidRDefault="003474F2" w:rsidP="003474F2">
      <w:pPr>
        <w:pStyle w:val="a3"/>
      </w:pPr>
      <w:r w:rsidRPr="001A3D2B">
        <w:t xml:space="preserve">Keywords: Alternatives, Assessment, Bibliometric, Bibliometric Scores, Bibliometry, Biology, Citation, Citation Record, Citations, </w:t>
      </w:r>
      <w:r w:rsidR="00D5664A">
        <w:t>h-Index</w:t>
      </w:r>
      <w:r w:rsidRPr="001A3D2B">
        <w:t>, Hirsc</w:t>
      </w:r>
      <w:r w:rsidR="00D5664A">
        <w:t>h Index</w:t>
      </w:r>
      <w:r w:rsidRPr="001A3D2B">
        <w:t>, Hirsc</w:t>
      </w:r>
      <w:r w:rsidR="00D5664A">
        <w:t>h-Index</w:t>
      </w:r>
      <w:r w:rsidRPr="001A3D2B">
        <w:t>, Indicators, Peer Review, Peer-Review, Publication, Publication Record, Publishing, Quality, Records, Research, Research Performance, Review, Scientists, Thresholds</w:t>
      </w:r>
    </w:p>
    <w:p w:rsidR="00643020" w:rsidRDefault="00643020" w:rsidP="00643020">
      <w:pPr>
        <w:pStyle w:val="a3"/>
        <w:rPr>
          <w:kern w:val="0"/>
        </w:rPr>
      </w:pPr>
      <w:r>
        <w:rPr>
          <w:kern w:val="0"/>
        </w:rPr>
        <w:t xml:space="preserve">? Acuna-Rodriguez, I.S., Gianoli, E., Carrasco-Urra, F., Stotz, G.C., Salgado-Luarte, C., Rios, R.S. and Molina-Montenegro, M.A. (2014), Antarctic ecology one century after the conquest of the South Pole: How much have we advanced? </w:t>
      </w:r>
      <w:r>
        <w:rPr>
          <w:i/>
          <w:iCs/>
          <w:kern w:val="0"/>
        </w:rPr>
        <w:t>Bioscience</w:t>
      </w:r>
      <w:r>
        <w:rPr>
          <w:kern w:val="0"/>
        </w:rPr>
        <w:t xml:space="preserve">, </w:t>
      </w:r>
      <w:r>
        <w:rPr>
          <w:b/>
          <w:bCs/>
          <w:kern w:val="0"/>
        </w:rPr>
        <w:t>64</w:t>
      </w:r>
      <w:r>
        <w:rPr>
          <w:kern w:val="0"/>
        </w:rPr>
        <w:t xml:space="preserve"> (7), 593-600.</w:t>
      </w:r>
    </w:p>
    <w:p w:rsidR="00643020" w:rsidRDefault="00643020" w:rsidP="00643020">
      <w:pPr>
        <w:pStyle w:val="a3"/>
        <w:rPr>
          <w:kern w:val="2"/>
        </w:rPr>
      </w:pPr>
      <w:r>
        <w:t xml:space="preserve">Full Text: </w:t>
      </w:r>
      <w:hyperlink r:id="rId1501" w:history="1">
        <w:r>
          <w:rPr>
            <w:rStyle w:val="a5"/>
          </w:rPr>
          <w:t>2014\BioScience64, 593.pdf</w:t>
        </w:r>
      </w:hyperlink>
    </w:p>
    <w:p w:rsidR="00643020" w:rsidRDefault="00643020" w:rsidP="00643020">
      <w:pPr>
        <w:pStyle w:val="a3"/>
        <w:rPr>
          <w:kern w:val="0"/>
        </w:rPr>
      </w:pPr>
      <w:r>
        <w:rPr>
          <w:kern w:val="0"/>
        </w:rPr>
        <w:t>Abstract: The knowledge derived from Antarctic ecology may be fundamental for facing the complex environmental future of the world. As an early-warning system, a deep understanding of Antarctic ecosystems is therefore needed, but Antarctic ecology as a field is still very young and currently under consolidation. Around the world, 55 nations are involved in this task through their research programs, and, considering the importance of this joint effort, we evaluate some basic trends of their publications through a wide bibliographical review of Antarctic ecology. All ecology-related Antarctic papers published for 106 years (1904-2010) were reviewed. A lack of population and ecosystem research was observed, even in Animalia, the most studied kingdom. The publications originated mainly in developed countries; however, emerging countries have increased their participation in recent years. The current trends of Antarctic ecology as afield show a constant but low representation in both Antarctic science and ecology.</w:t>
      </w:r>
    </w:p>
    <w:p w:rsidR="00643020" w:rsidRDefault="00643020" w:rsidP="00643020">
      <w:pPr>
        <w:pStyle w:val="a3"/>
        <w:rPr>
          <w:kern w:val="0"/>
        </w:rPr>
      </w:pPr>
      <w:r>
        <w:rPr>
          <w:kern w:val="0"/>
        </w:rPr>
        <w:t>Keywords: Animalia, Antarctic Ecology, Antarctic Research, Antarctic Science, Biodiversity, Climate-Change, Ecology, Ecosystem, Ecosystems, Environmental, Environmental-Change, Field, Food, Ice Shelves, Impacts, International Territorial Administration, Knowledge, Nations, Ocean, Papers, Participation, Peninsula, Population, Publications, Recent, Representation, Research, Review, Science, Scientific Publications, Trends, Understanding, Web Of Science, World</w:t>
      </w:r>
    </w:p>
    <w:p w:rsidR="00B15525" w:rsidRPr="00C73C58" w:rsidRDefault="00B15525" w:rsidP="00B15525">
      <w:pPr>
        <w:pStyle w:val="1"/>
      </w:pPr>
      <w:r w:rsidRPr="00C73C58">
        <w:br w:type="page"/>
      </w:r>
      <w:bookmarkStart w:id="800" w:name="_Toc420814733"/>
      <w:r w:rsidRPr="00C73C58">
        <w:lastRenderedPageBreak/>
        <w:t xml:space="preserve">Title: </w:t>
      </w:r>
      <w:r w:rsidRPr="00B15525">
        <w:rPr>
          <w:iCs w:val="0"/>
          <w:szCs w:val="24"/>
        </w:rPr>
        <w:t>Bioscience Journal</w:t>
      </w:r>
      <w:bookmarkEnd w:id="800"/>
    </w:p>
    <w:p w:rsidR="00B15525" w:rsidRPr="00C73C58" w:rsidRDefault="00B15525" w:rsidP="00B15525">
      <w:pPr>
        <w:pStyle w:val="12"/>
      </w:pPr>
      <w:r w:rsidRPr="00C73C58">
        <w:t xml:space="preserve">Full Journal Title: </w:t>
      </w:r>
      <w:r w:rsidRPr="00B15525">
        <w:rPr>
          <w:iCs/>
          <w:kern w:val="0"/>
        </w:rPr>
        <w:t>Bioscience Journal</w:t>
      </w:r>
    </w:p>
    <w:p w:rsidR="00B15525" w:rsidRPr="00C73C58" w:rsidRDefault="00B15525" w:rsidP="00B15525">
      <w:pPr>
        <w:pStyle w:val="12"/>
      </w:pPr>
      <w:r w:rsidRPr="00C73C58">
        <w:t xml:space="preserve">ISO Abbreviated Title: </w:t>
      </w:r>
    </w:p>
    <w:p w:rsidR="00B15525" w:rsidRPr="00C73C58" w:rsidRDefault="00B15525" w:rsidP="00B15525">
      <w:pPr>
        <w:pStyle w:val="12"/>
      </w:pPr>
      <w:r w:rsidRPr="00C73C58">
        <w:t xml:space="preserve">JCR Abbreviated Title: </w:t>
      </w:r>
    </w:p>
    <w:p w:rsidR="00B15525" w:rsidRPr="00C73C58" w:rsidRDefault="00B15525" w:rsidP="00B15525">
      <w:pPr>
        <w:pStyle w:val="12"/>
      </w:pPr>
      <w:r w:rsidRPr="00C73C58">
        <w:t xml:space="preserve">ISSN: </w:t>
      </w:r>
    </w:p>
    <w:p w:rsidR="00B15525" w:rsidRPr="00C73C58" w:rsidRDefault="00B15525" w:rsidP="00B15525">
      <w:pPr>
        <w:pStyle w:val="12"/>
      </w:pPr>
      <w:r w:rsidRPr="00C73C58">
        <w:t xml:space="preserve">Issues/Year: </w:t>
      </w:r>
    </w:p>
    <w:p w:rsidR="00B15525" w:rsidRPr="00C73C58" w:rsidRDefault="00B15525" w:rsidP="00B15525">
      <w:pPr>
        <w:pStyle w:val="12"/>
      </w:pPr>
      <w:r w:rsidRPr="00C73C58">
        <w:t xml:space="preserve">Journal Country/Territory: </w:t>
      </w:r>
    </w:p>
    <w:p w:rsidR="00B15525" w:rsidRPr="00C73C58" w:rsidRDefault="00B15525" w:rsidP="00B15525">
      <w:pPr>
        <w:pStyle w:val="12"/>
      </w:pPr>
      <w:r w:rsidRPr="00C73C58">
        <w:t xml:space="preserve">Language: </w:t>
      </w:r>
    </w:p>
    <w:p w:rsidR="00B15525" w:rsidRPr="00C73C58" w:rsidRDefault="00B15525" w:rsidP="00B15525">
      <w:pPr>
        <w:pStyle w:val="12"/>
      </w:pPr>
      <w:r w:rsidRPr="00C73C58">
        <w:t xml:space="preserve">Publisher: </w:t>
      </w:r>
    </w:p>
    <w:p w:rsidR="00B15525" w:rsidRPr="00C73C58" w:rsidRDefault="00B15525" w:rsidP="00B15525">
      <w:pPr>
        <w:pStyle w:val="12"/>
      </w:pPr>
      <w:r w:rsidRPr="00C73C58">
        <w:t xml:space="preserve">Publisher Address: </w:t>
      </w:r>
    </w:p>
    <w:p w:rsidR="00B15525" w:rsidRPr="00C73C58" w:rsidRDefault="00B15525" w:rsidP="00B15525">
      <w:pPr>
        <w:pStyle w:val="12"/>
      </w:pPr>
      <w:r w:rsidRPr="00C73C58">
        <w:t xml:space="preserve">Subject Categories: </w:t>
      </w:r>
    </w:p>
    <w:p w:rsidR="00B15525" w:rsidRPr="00C73C58" w:rsidRDefault="00B15525" w:rsidP="00B15525">
      <w:pPr>
        <w:pStyle w:val="12"/>
      </w:pPr>
      <w:r w:rsidRPr="00C73C58">
        <w:t>: Impact Factor</w:t>
      </w:r>
    </w:p>
    <w:p w:rsidR="00B15525" w:rsidRDefault="00B15525" w:rsidP="00B15525">
      <w:pPr>
        <w:pStyle w:val="a3"/>
        <w:rPr>
          <w:kern w:val="0"/>
          <w:szCs w:val="24"/>
        </w:rPr>
      </w:pPr>
      <w:r>
        <w:rPr>
          <w:kern w:val="0"/>
          <w:szCs w:val="24"/>
        </w:rPr>
        <w:t xml:space="preserve">? Ferreira, R.B., Neto, A.C.B., Nabout, J.C., de Jesus, F.F., Caetano, J.M. and Teixeira, I.R. (2014), Trends in global scientific literature about biodiesel: A scientometrics analysis. </w:t>
      </w:r>
      <w:r w:rsidRPr="00B15525">
        <w:rPr>
          <w:i/>
          <w:iCs/>
          <w:kern w:val="0"/>
          <w:szCs w:val="24"/>
        </w:rPr>
        <w:t>Bioscience Journal</w:t>
      </w:r>
      <w:r>
        <w:rPr>
          <w:kern w:val="0"/>
          <w:szCs w:val="24"/>
        </w:rPr>
        <w:t xml:space="preserve">, </w:t>
      </w:r>
      <w:r>
        <w:rPr>
          <w:b/>
          <w:bCs/>
          <w:kern w:val="0"/>
          <w:szCs w:val="24"/>
        </w:rPr>
        <w:t>30</w:t>
      </w:r>
      <w:r>
        <w:rPr>
          <w:kern w:val="0"/>
          <w:szCs w:val="24"/>
        </w:rPr>
        <w:t xml:space="preserve"> (5), 547-554.</w:t>
      </w:r>
    </w:p>
    <w:p w:rsidR="00B15525" w:rsidRDefault="00B15525" w:rsidP="00B15525">
      <w:pPr>
        <w:pStyle w:val="a3"/>
        <w:rPr>
          <w:kern w:val="0"/>
          <w:szCs w:val="24"/>
        </w:rPr>
      </w:pPr>
      <w:r>
        <w:rPr>
          <w:rFonts w:hint="eastAsia"/>
          <w:kern w:val="0"/>
          <w:szCs w:val="24"/>
        </w:rPr>
        <w:t>Full Text: 2014\</w:t>
      </w:r>
      <w:r w:rsidRPr="0017742A">
        <w:rPr>
          <w:iCs/>
          <w:kern w:val="0"/>
          <w:szCs w:val="24"/>
        </w:rPr>
        <w:t>Bio</w:t>
      </w:r>
      <w:r>
        <w:rPr>
          <w:iCs/>
          <w:kern w:val="0"/>
          <w:szCs w:val="24"/>
        </w:rPr>
        <w:t xml:space="preserve"> J</w:t>
      </w:r>
      <w:r w:rsidRPr="0017742A">
        <w:rPr>
          <w:bCs/>
          <w:kern w:val="0"/>
          <w:szCs w:val="24"/>
        </w:rPr>
        <w:t>30</w:t>
      </w:r>
      <w:r>
        <w:rPr>
          <w:kern w:val="0"/>
          <w:szCs w:val="24"/>
        </w:rPr>
        <w:t>, 547</w:t>
      </w:r>
      <w:r>
        <w:rPr>
          <w:rFonts w:hint="eastAsia"/>
          <w:kern w:val="0"/>
          <w:szCs w:val="24"/>
        </w:rPr>
        <w:t>.pdf</w:t>
      </w:r>
    </w:p>
    <w:p w:rsidR="00B15525" w:rsidRDefault="00B15525" w:rsidP="00B15525">
      <w:pPr>
        <w:pStyle w:val="a3"/>
        <w:rPr>
          <w:kern w:val="0"/>
          <w:szCs w:val="24"/>
        </w:rPr>
      </w:pPr>
      <w:r>
        <w:rPr>
          <w:kern w:val="0"/>
          <w:szCs w:val="24"/>
        </w:rPr>
        <w:t>Abstract: Fossil fuel is showing signs of depletion of its reserves and affect the environment due to pollution from burning. Thus emerged a new challenge: to find a substitute fuel that is renewable and less polluting. Biodiesel has emerged as a potential substitute for fossil fuel, for it comes from various raw materials, reduce the environmental impact of pollution and also bring many benefits. However this technology is new and still needs to be improved. Several scientific studies have emerged in order to bring about improvement for biodiesel. Through scientometrics is possible to know the trend of research work, which is indeed important for the academic society, that may be new studies of biodiesel. Thus, this study aimed to make a scientometric analysis of biodiesel. The database used was the “SciVerseScopus.” We performed a search of all studies that had biodiesel* in the title. The studies were analyzed from 1993, the first year of registration for the term until 2010. The following information was obtained: a) Year of publication, b) type of study, c) Type of the journal where the paper was published, d) name of journal in which the study was published, e) Area of concentration, f) keywords, g) Language, h) Country of publication, i) Raw materials used to obtain biodiesel studied in Brazilian studies. In general the studies analyzed follow world trends in production and consumption of biodiesel, being important for the improvement of technology. New jobs scientometrics of biodiesel can be made taking into account their specific characteristics.</w:t>
      </w:r>
    </w:p>
    <w:p w:rsidR="00B15525" w:rsidRDefault="00B15525" w:rsidP="00B15525">
      <w:pPr>
        <w:pStyle w:val="a3"/>
        <w:rPr>
          <w:kern w:val="0"/>
          <w:szCs w:val="24"/>
        </w:rPr>
      </w:pPr>
      <w:r>
        <w:rPr>
          <w:kern w:val="0"/>
          <w:szCs w:val="24"/>
        </w:rPr>
        <w:t xml:space="preserve">Keywords: Affect, Analysis, Benefits, Biodiesel, Challenge, Characteristics, </w:t>
      </w:r>
      <w:r>
        <w:rPr>
          <w:kern w:val="0"/>
          <w:szCs w:val="24"/>
        </w:rPr>
        <w:lastRenderedPageBreak/>
        <w:t>Concentration, Consumption, Country, Database, Environment, Environmental, Environmental Impact, First, Fossil, Fossil Fuel, From, General, Global, Impact, Improvement, Information, Journal, Language, Literature, Needs, Pollution, Potential, Publication, Research, Research Work, Scientometric, Scientometric Analysis, Scientometric Techniques, Scientometrics, Society, Technology, Term, Trend, Trends, Work, World</w:t>
      </w:r>
    </w:p>
    <w:p w:rsidR="00990401" w:rsidRPr="00C73C58" w:rsidRDefault="00990401" w:rsidP="00990401">
      <w:pPr>
        <w:pStyle w:val="1"/>
      </w:pPr>
      <w:r w:rsidRPr="00C73C58">
        <w:br w:type="page"/>
      </w:r>
      <w:bookmarkStart w:id="801" w:name="_Toc420814734"/>
      <w:r w:rsidRPr="00C73C58">
        <w:lastRenderedPageBreak/>
        <w:t xml:space="preserve">Title: </w:t>
      </w:r>
      <w:r w:rsidRPr="00990401">
        <w:t>Biosystema</w:t>
      </w:r>
      <w:bookmarkEnd w:id="801"/>
    </w:p>
    <w:p w:rsidR="00990401" w:rsidRPr="00C73C58" w:rsidRDefault="00990401" w:rsidP="00990401">
      <w:pPr>
        <w:pStyle w:val="12"/>
      </w:pPr>
      <w:r w:rsidRPr="00C73C58">
        <w:t xml:space="preserve">Full Journal Title: </w:t>
      </w:r>
      <w:r w:rsidRPr="00990401">
        <w:rPr>
          <w:iCs/>
          <w:kern w:val="0"/>
        </w:rPr>
        <w:t>Biosystema</w:t>
      </w:r>
    </w:p>
    <w:p w:rsidR="00990401" w:rsidRPr="00C73C58" w:rsidRDefault="00990401" w:rsidP="00990401">
      <w:pPr>
        <w:pStyle w:val="12"/>
      </w:pPr>
      <w:r w:rsidRPr="00C73C58">
        <w:t xml:space="preserve">ISO Abbreviated Title: </w:t>
      </w:r>
      <w:r w:rsidRPr="00990401">
        <w:rPr>
          <w:iCs/>
          <w:kern w:val="0"/>
        </w:rPr>
        <w:t>Biosystema</w:t>
      </w:r>
    </w:p>
    <w:p w:rsidR="00990401" w:rsidRPr="00C73C58" w:rsidRDefault="00990401" w:rsidP="00990401">
      <w:pPr>
        <w:pStyle w:val="12"/>
      </w:pPr>
      <w:r w:rsidRPr="00C73C58">
        <w:t xml:space="preserve">JCR Abbreviated Title: </w:t>
      </w:r>
      <w:r w:rsidRPr="00990401">
        <w:rPr>
          <w:iCs/>
          <w:kern w:val="0"/>
        </w:rPr>
        <w:t>Biosystema</w:t>
      </w:r>
    </w:p>
    <w:p w:rsidR="00990401" w:rsidRPr="00C73C58" w:rsidRDefault="00990401" w:rsidP="00990401">
      <w:pPr>
        <w:pStyle w:val="12"/>
      </w:pPr>
      <w:r w:rsidRPr="00C73C58">
        <w:t xml:space="preserve">ISSN: </w:t>
      </w:r>
    </w:p>
    <w:p w:rsidR="00990401" w:rsidRPr="00C73C58" w:rsidRDefault="00990401" w:rsidP="00990401">
      <w:pPr>
        <w:pStyle w:val="12"/>
      </w:pPr>
      <w:r w:rsidRPr="00C73C58">
        <w:t xml:space="preserve">Issues/Year: </w:t>
      </w:r>
    </w:p>
    <w:p w:rsidR="00990401" w:rsidRPr="00C73C58" w:rsidRDefault="00990401" w:rsidP="00990401">
      <w:pPr>
        <w:pStyle w:val="12"/>
      </w:pPr>
      <w:r w:rsidRPr="00C73C58">
        <w:t xml:space="preserve">Journal Country/Territory: </w:t>
      </w:r>
    </w:p>
    <w:p w:rsidR="00990401" w:rsidRPr="00C73C58" w:rsidRDefault="00990401" w:rsidP="00990401">
      <w:pPr>
        <w:pStyle w:val="12"/>
      </w:pPr>
      <w:r w:rsidRPr="00C73C58">
        <w:t xml:space="preserve">Language: </w:t>
      </w:r>
    </w:p>
    <w:p w:rsidR="00990401" w:rsidRPr="00C73C58" w:rsidRDefault="00990401" w:rsidP="00990401">
      <w:pPr>
        <w:pStyle w:val="12"/>
      </w:pPr>
      <w:r w:rsidRPr="00C73C58">
        <w:t xml:space="preserve">Publisher: </w:t>
      </w:r>
    </w:p>
    <w:p w:rsidR="00990401" w:rsidRPr="00C73C58" w:rsidRDefault="00990401" w:rsidP="00990401">
      <w:pPr>
        <w:pStyle w:val="12"/>
      </w:pPr>
      <w:r w:rsidRPr="00C73C58">
        <w:t xml:space="preserve">Publisher Address: </w:t>
      </w:r>
    </w:p>
    <w:p w:rsidR="00990401" w:rsidRPr="00C73C58" w:rsidRDefault="00990401" w:rsidP="00990401">
      <w:pPr>
        <w:pStyle w:val="12"/>
      </w:pPr>
      <w:r w:rsidRPr="00C73C58">
        <w:t xml:space="preserve">Subject Categories: </w:t>
      </w:r>
    </w:p>
    <w:p w:rsidR="00990401" w:rsidRPr="00C73C58" w:rsidRDefault="00990401" w:rsidP="00990401">
      <w:pPr>
        <w:pStyle w:val="12"/>
      </w:pPr>
      <w:r w:rsidRPr="00C73C58">
        <w:t>: Impact Factor</w:t>
      </w:r>
    </w:p>
    <w:p w:rsidR="00990401" w:rsidRPr="00990401" w:rsidRDefault="00990401" w:rsidP="00990401">
      <w:pPr>
        <w:pStyle w:val="a3"/>
        <w:rPr>
          <w:kern w:val="0"/>
        </w:rPr>
      </w:pPr>
      <w:r>
        <w:rPr>
          <w:rFonts w:hint="eastAsia"/>
          <w:kern w:val="0"/>
        </w:rPr>
        <w:t xml:space="preserve">? </w:t>
      </w:r>
      <w:r>
        <w:rPr>
          <w:kern w:val="0"/>
        </w:rPr>
        <w:t>Sigogneau, A.</w:t>
      </w:r>
      <w:r w:rsidR="005853A9">
        <w:rPr>
          <w:kern w:val="0"/>
        </w:rPr>
        <w:t xml:space="preserve"> and </w:t>
      </w:r>
      <w:r>
        <w:rPr>
          <w:kern w:val="0"/>
        </w:rPr>
        <w:t>Barriel, V. (1998), Position</w:t>
      </w:r>
      <w:r w:rsidR="00427468">
        <w:rPr>
          <w:kern w:val="0"/>
        </w:rPr>
        <w:t xml:space="preserve"> of </w:t>
      </w:r>
      <w:r>
        <w:rPr>
          <w:kern w:val="0"/>
        </w:rPr>
        <w:t xml:space="preserve">France in systematics characterized by some bibliometric indicators. </w:t>
      </w:r>
      <w:r w:rsidRPr="00990401">
        <w:rPr>
          <w:i/>
          <w:iCs/>
          <w:kern w:val="0"/>
        </w:rPr>
        <w:t>Biosystema</w:t>
      </w:r>
      <w:r>
        <w:rPr>
          <w:kern w:val="0"/>
        </w:rPr>
        <w:t xml:space="preserve">, </w:t>
      </w:r>
      <w:r>
        <w:rPr>
          <w:b/>
          <w:bCs/>
          <w:kern w:val="0"/>
        </w:rPr>
        <w:t>16</w:t>
      </w:r>
      <w:r>
        <w:rPr>
          <w:rFonts w:hint="eastAsia"/>
          <w:bCs/>
          <w:kern w:val="0"/>
        </w:rPr>
        <w:t>, 27-36.</w:t>
      </w:r>
    </w:p>
    <w:p w:rsidR="00990401" w:rsidRDefault="00990401" w:rsidP="00990401">
      <w:pPr>
        <w:pStyle w:val="a3"/>
        <w:rPr>
          <w:kern w:val="0"/>
        </w:rPr>
      </w:pPr>
      <w:r>
        <w:rPr>
          <w:kern w:val="0"/>
        </w:rPr>
        <w:t>Keywords: Bibliometric</w:t>
      </w:r>
      <w:r>
        <w:rPr>
          <w:rFonts w:hint="eastAsia"/>
          <w:kern w:val="0"/>
        </w:rPr>
        <w:t xml:space="preserve">, </w:t>
      </w:r>
      <w:r>
        <w:rPr>
          <w:kern w:val="0"/>
        </w:rPr>
        <w:t>France</w:t>
      </w:r>
    </w:p>
    <w:p w:rsidR="002B5705" w:rsidRPr="00C73C58" w:rsidRDefault="002B5705" w:rsidP="002B5705">
      <w:pPr>
        <w:pStyle w:val="1"/>
      </w:pPr>
      <w:r w:rsidRPr="00C73C58">
        <w:br w:type="page"/>
      </w:r>
      <w:bookmarkStart w:id="802" w:name="_Toc420814735"/>
      <w:r w:rsidRPr="00C73C58">
        <w:lastRenderedPageBreak/>
        <w:t xml:space="preserve">Title: </w:t>
      </w:r>
      <w:r w:rsidRPr="00875F6F">
        <w:t>Biotechnologie Agronomie Societe et Env</w:t>
      </w:r>
      <w:bookmarkStart w:id="803" w:name="_Toc288058381"/>
      <w:r w:rsidRPr="00875F6F">
        <w:t>ironnem</w:t>
      </w:r>
      <w:bookmarkEnd w:id="803"/>
      <w:r w:rsidRPr="00875F6F">
        <w:t>ent</w:t>
      </w:r>
      <w:bookmarkEnd w:id="802"/>
    </w:p>
    <w:p w:rsidR="002B5705" w:rsidRPr="00C73C58" w:rsidRDefault="002B5705" w:rsidP="002B5705">
      <w:pPr>
        <w:pStyle w:val="12"/>
      </w:pPr>
      <w:r w:rsidRPr="00C73C58">
        <w:t xml:space="preserve">Full Journal Title: </w:t>
      </w:r>
      <w:r w:rsidRPr="00875F6F">
        <w:rPr>
          <w:iCs/>
          <w:kern w:val="0"/>
        </w:rPr>
        <w:t>Biotechnologie Agronomie Societe et Environnement</w:t>
      </w:r>
    </w:p>
    <w:p w:rsidR="002B5705" w:rsidRPr="00C73C58" w:rsidRDefault="002B5705" w:rsidP="002B5705">
      <w:pPr>
        <w:pStyle w:val="12"/>
      </w:pPr>
      <w:r w:rsidRPr="00C73C58">
        <w:t xml:space="preserve">ISO Abbreviated Title: </w:t>
      </w:r>
    </w:p>
    <w:p w:rsidR="002B5705" w:rsidRPr="00C73C58" w:rsidRDefault="002B5705" w:rsidP="002B5705">
      <w:pPr>
        <w:pStyle w:val="12"/>
      </w:pPr>
      <w:r w:rsidRPr="00C73C58">
        <w:t xml:space="preserve">JCR Abbreviated Title: </w:t>
      </w:r>
    </w:p>
    <w:p w:rsidR="002B5705" w:rsidRPr="00C73C58" w:rsidRDefault="002B5705" w:rsidP="002B5705">
      <w:pPr>
        <w:pStyle w:val="12"/>
      </w:pPr>
      <w:r w:rsidRPr="00C73C58">
        <w:t xml:space="preserve">ISSN: </w:t>
      </w:r>
      <w:r w:rsidRPr="00875F6F">
        <w:t>1370-6233</w:t>
      </w:r>
    </w:p>
    <w:p w:rsidR="002B5705" w:rsidRPr="00C73C58" w:rsidRDefault="002B5705" w:rsidP="002B5705">
      <w:pPr>
        <w:pStyle w:val="12"/>
      </w:pPr>
      <w:r w:rsidRPr="00C73C58">
        <w:t xml:space="preserve">Issues/Year: </w:t>
      </w:r>
    </w:p>
    <w:p w:rsidR="002B5705" w:rsidRPr="00C73C58" w:rsidRDefault="002B5705" w:rsidP="002B5705">
      <w:pPr>
        <w:pStyle w:val="12"/>
      </w:pPr>
      <w:r w:rsidRPr="00C73C58">
        <w:t xml:space="preserve">Journal Country/Territory: </w:t>
      </w:r>
    </w:p>
    <w:p w:rsidR="002B5705" w:rsidRPr="00C73C58" w:rsidRDefault="002B5705" w:rsidP="002B5705">
      <w:pPr>
        <w:pStyle w:val="12"/>
      </w:pPr>
      <w:r w:rsidRPr="00C73C58">
        <w:t xml:space="preserve">Language: </w:t>
      </w:r>
    </w:p>
    <w:p w:rsidR="002B5705" w:rsidRPr="00C73C58" w:rsidRDefault="002B5705" w:rsidP="002B5705">
      <w:pPr>
        <w:pStyle w:val="12"/>
      </w:pPr>
      <w:r w:rsidRPr="00C73C58">
        <w:t xml:space="preserve">Publisher: </w:t>
      </w:r>
    </w:p>
    <w:p w:rsidR="002B5705" w:rsidRPr="00C73C58" w:rsidRDefault="002B5705" w:rsidP="002B5705">
      <w:pPr>
        <w:pStyle w:val="12"/>
      </w:pPr>
      <w:r w:rsidRPr="00C73C58">
        <w:t xml:space="preserve">Publisher Address: </w:t>
      </w:r>
    </w:p>
    <w:p w:rsidR="002B5705" w:rsidRPr="00C73C58" w:rsidRDefault="002B5705" w:rsidP="002B5705">
      <w:pPr>
        <w:pStyle w:val="12"/>
      </w:pPr>
      <w:r w:rsidRPr="00C73C58">
        <w:t xml:space="preserve">Subject Categories: </w:t>
      </w:r>
    </w:p>
    <w:p w:rsidR="002B5705" w:rsidRPr="00C73C58" w:rsidRDefault="002B5705" w:rsidP="002B5705">
      <w:pPr>
        <w:pStyle w:val="12"/>
      </w:pPr>
      <w:r w:rsidRPr="00C73C58">
        <w:t>: Impact Factor</w:t>
      </w:r>
    </w:p>
    <w:p w:rsidR="002B5705" w:rsidRDefault="002B5705" w:rsidP="002B5705">
      <w:pPr>
        <w:pStyle w:val="a3"/>
        <w:rPr>
          <w:kern w:val="0"/>
        </w:rPr>
      </w:pPr>
      <w:r>
        <w:rPr>
          <w:rFonts w:hint="eastAsia"/>
          <w:kern w:val="0"/>
        </w:rPr>
        <w:t xml:space="preserve">? </w:t>
      </w:r>
      <w:r>
        <w:rPr>
          <w:kern w:val="0"/>
        </w:rPr>
        <w:t>Thys, E., Harelimana, G.</w:t>
      </w:r>
      <w:r w:rsidR="005853A9">
        <w:rPr>
          <w:kern w:val="0"/>
        </w:rPr>
        <w:t xml:space="preserve"> and </w:t>
      </w:r>
      <w:r>
        <w:rPr>
          <w:kern w:val="0"/>
        </w:rPr>
        <w:t>Mergeai, G. (2011), Analysis</w:t>
      </w:r>
      <w:r w:rsidR="00427468">
        <w:rPr>
          <w:kern w:val="0"/>
        </w:rPr>
        <w:t xml:space="preserve"> of </w:t>
      </w:r>
      <w:r w:rsidR="003A1917">
        <w:rPr>
          <w:kern w:val="0"/>
        </w:rPr>
        <w:t xml:space="preserve">the </w:t>
      </w:r>
      <w:r>
        <w:rPr>
          <w:kern w:val="0"/>
        </w:rPr>
        <w:t>editorial process</w:t>
      </w:r>
      <w:r w:rsidR="00427468">
        <w:rPr>
          <w:kern w:val="0"/>
        </w:rPr>
        <w:t xml:space="preserve"> of </w:t>
      </w:r>
      <w:r w:rsidR="003A1917">
        <w:rPr>
          <w:kern w:val="0"/>
        </w:rPr>
        <w:t xml:space="preserve">the </w:t>
      </w:r>
      <w:r>
        <w:rPr>
          <w:kern w:val="0"/>
        </w:rPr>
        <w:t xml:space="preserve">multidisciplinary rural development journal </w:t>
      </w:r>
      <w:r w:rsidRPr="00735508">
        <w:rPr>
          <w:i/>
          <w:kern w:val="0"/>
        </w:rPr>
        <w:t>Tropicultura</w:t>
      </w:r>
      <w:r>
        <w:rPr>
          <w:kern w:val="0"/>
        </w:rPr>
        <w:t xml:space="preserve">. </w:t>
      </w:r>
      <w:r w:rsidRPr="00875F6F">
        <w:rPr>
          <w:i/>
          <w:iCs/>
          <w:kern w:val="0"/>
        </w:rPr>
        <w:t>Biotechnologie Agronomie Societe et Environnement</w:t>
      </w:r>
      <w:r>
        <w:rPr>
          <w:kern w:val="0"/>
        </w:rPr>
        <w:t xml:space="preserve">, </w:t>
      </w:r>
      <w:r>
        <w:rPr>
          <w:b/>
          <w:bCs/>
          <w:kern w:val="0"/>
        </w:rPr>
        <w:t>15</w:t>
      </w:r>
      <w:r>
        <w:rPr>
          <w:kern w:val="0"/>
        </w:rPr>
        <w:t xml:space="preserve"> (1), 101-108.</w:t>
      </w:r>
    </w:p>
    <w:p w:rsidR="002B5705" w:rsidRDefault="002B5705" w:rsidP="002B5705">
      <w:pPr>
        <w:pStyle w:val="a3"/>
        <w:rPr>
          <w:kern w:val="0"/>
        </w:rPr>
      </w:pPr>
      <w:r>
        <w:rPr>
          <w:rFonts w:hint="eastAsia"/>
          <w:kern w:val="0"/>
        </w:rPr>
        <w:t xml:space="preserve">Full Text: </w:t>
      </w:r>
      <w:hyperlink r:id="rId1502" w:history="1">
        <w:r w:rsidR="00735508" w:rsidRPr="00735508">
          <w:rPr>
            <w:rStyle w:val="a5"/>
            <w:kern w:val="0"/>
          </w:rPr>
          <w:t>2011\Bio Agr Soc Env15, 101.pdf</w:t>
        </w:r>
      </w:hyperlink>
    </w:p>
    <w:p w:rsidR="002B5705" w:rsidRDefault="002B5705" w:rsidP="002B5705">
      <w:pPr>
        <w:pStyle w:val="a3"/>
        <w:rPr>
          <w:kern w:val="0"/>
        </w:rPr>
      </w:pPr>
      <w:r>
        <w:rPr>
          <w:kern w:val="0"/>
        </w:rPr>
        <w:t>Abstract: Tropicultura is a multidisciplinary journal which aims mainly at releasing research results relevant to rural development in developing countries</w:t>
      </w:r>
      <w:r w:rsidR="005853A9">
        <w:rPr>
          <w:kern w:val="0"/>
        </w:rPr>
        <w:t xml:space="preserve"> and </w:t>
      </w:r>
      <w:r>
        <w:rPr>
          <w:kern w:val="0"/>
        </w:rPr>
        <w:t>at improving</w:t>
      </w:r>
      <w:r w:rsidR="003A1917">
        <w:rPr>
          <w:kern w:val="0"/>
        </w:rPr>
        <w:t xml:space="preserve"> the </w:t>
      </w:r>
      <w:r>
        <w:rPr>
          <w:kern w:val="0"/>
        </w:rPr>
        <w:t>investigation capacities</w:t>
      </w:r>
      <w:r w:rsidR="00427468">
        <w:rPr>
          <w:kern w:val="0"/>
        </w:rPr>
        <w:t xml:space="preserve"> of </w:t>
      </w:r>
      <w:r w:rsidR="003A1917">
        <w:rPr>
          <w:kern w:val="0"/>
        </w:rPr>
        <w:t xml:space="preserve">the </w:t>
      </w:r>
      <w:r>
        <w:rPr>
          <w:kern w:val="0"/>
        </w:rPr>
        <w:t>researchers who submit manuscripts to its editorial board</w:t>
      </w:r>
      <w:r w:rsidR="00A37C1D">
        <w:rPr>
          <w:kern w:val="0"/>
        </w:rPr>
        <w:t>. The</w:t>
      </w:r>
      <w:r w:rsidR="003A1917">
        <w:rPr>
          <w:kern w:val="0"/>
        </w:rPr>
        <w:t xml:space="preserve"> </w:t>
      </w:r>
      <w:r>
        <w:rPr>
          <w:kern w:val="0"/>
        </w:rPr>
        <w:t>operating process</w:t>
      </w:r>
      <w:r w:rsidR="00427468">
        <w:rPr>
          <w:kern w:val="0"/>
        </w:rPr>
        <w:t xml:space="preserve"> of </w:t>
      </w:r>
      <w:r w:rsidR="003A1917">
        <w:rPr>
          <w:kern w:val="0"/>
        </w:rPr>
        <w:t xml:space="preserve">the </w:t>
      </w:r>
      <w:r>
        <w:rPr>
          <w:kern w:val="0"/>
        </w:rPr>
        <w:t>journal</w:t>
      </w:r>
      <w:r w:rsidR="005853A9">
        <w:rPr>
          <w:kern w:val="0"/>
        </w:rPr>
        <w:t xml:space="preserve"> and </w:t>
      </w:r>
      <w:r>
        <w:rPr>
          <w:kern w:val="0"/>
        </w:rPr>
        <w:t>its consequences on its output during</w:t>
      </w:r>
      <w:r w:rsidR="003A1917">
        <w:rPr>
          <w:kern w:val="0"/>
        </w:rPr>
        <w:t xml:space="preserve"> the </w:t>
      </w:r>
      <w:r>
        <w:rPr>
          <w:kern w:val="0"/>
        </w:rPr>
        <w:t>period 2002-2009 were analyzed by considering mainly</w:t>
      </w:r>
      <w:r w:rsidR="003A1917">
        <w:rPr>
          <w:kern w:val="0"/>
        </w:rPr>
        <w:t xml:space="preserve"> the </w:t>
      </w:r>
      <w:r>
        <w:rPr>
          <w:kern w:val="0"/>
        </w:rPr>
        <w:t>factors influencing</w:t>
      </w:r>
      <w:r w:rsidR="003A1917">
        <w:rPr>
          <w:kern w:val="0"/>
        </w:rPr>
        <w:t xml:space="preserve"> the </w:t>
      </w:r>
      <w:r>
        <w:rPr>
          <w:kern w:val="0"/>
        </w:rPr>
        <w:t>duration</w:t>
      </w:r>
      <w:r w:rsidR="00427468">
        <w:rPr>
          <w:kern w:val="0"/>
        </w:rPr>
        <w:t xml:space="preserve"> of </w:t>
      </w:r>
      <w:r w:rsidR="003A1917">
        <w:rPr>
          <w:kern w:val="0"/>
        </w:rPr>
        <w:t xml:space="preserve">the </w:t>
      </w:r>
      <w:r>
        <w:rPr>
          <w:kern w:val="0"/>
        </w:rPr>
        <w:t>editorial work</w:t>
      </w:r>
      <w:r w:rsidR="005853A9">
        <w:rPr>
          <w:kern w:val="0"/>
        </w:rPr>
        <w:t xml:space="preserve"> and </w:t>
      </w:r>
      <w:r w:rsidR="003A1917">
        <w:rPr>
          <w:kern w:val="0"/>
        </w:rPr>
        <w:t xml:space="preserve">the </w:t>
      </w:r>
      <w:r>
        <w:rPr>
          <w:kern w:val="0"/>
        </w:rPr>
        <w:t>final acceptance</w:t>
      </w:r>
      <w:r w:rsidR="00427468">
        <w:rPr>
          <w:kern w:val="0"/>
        </w:rPr>
        <w:t xml:space="preserve"> of </w:t>
      </w:r>
      <w:r w:rsidR="003A1917">
        <w:rPr>
          <w:kern w:val="0"/>
        </w:rPr>
        <w:t xml:space="preserve">the </w:t>
      </w:r>
      <w:r>
        <w:rPr>
          <w:kern w:val="0"/>
        </w:rPr>
        <w:t>manuscripts</w:t>
      </w:r>
      <w:r w:rsidR="00A37C1D">
        <w:rPr>
          <w:kern w:val="0"/>
        </w:rPr>
        <w:t>. The</w:t>
      </w:r>
      <w:r w:rsidR="003A1917">
        <w:rPr>
          <w:kern w:val="0"/>
        </w:rPr>
        <w:t xml:space="preserve"> </w:t>
      </w:r>
      <w:r>
        <w:rPr>
          <w:kern w:val="0"/>
        </w:rPr>
        <w:t>factors taken into consideration were</w:t>
      </w:r>
      <w:r w:rsidR="003A1917">
        <w:rPr>
          <w:kern w:val="0"/>
        </w:rPr>
        <w:t xml:space="preserve"> the </w:t>
      </w:r>
      <w:r>
        <w:rPr>
          <w:kern w:val="0"/>
        </w:rPr>
        <w:t>field</w:t>
      </w:r>
      <w:r w:rsidR="00427468">
        <w:rPr>
          <w:kern w:val="0"/>
        </w:rPr>
        <w:t xml:space="preserve"> of </w:t>
      </w:r>
      <w:r>
        <w:rPr>
          <w:kern w:val="0"/>
        </w:rPr>
        <w:t>research,</w:t>
      </w:r>
      <w:r w:rsidR="003A1917">
        <w:rPr>
          <w:kern w:val="0"/>
        </w:rPr>
        <w:t xml:space="preserve"> the </w:t>
      </w:r>
      <w:r>
        <w:rPr>
          <w:kern w:val="0"/>
        </w:rPr>
        <w:t>geographic origin</w:t>
      </w:r>
      <w:r w:rsidR="00427468">
        <w:rPr>
          <w:kern w:val="0"/>
        </w:rPr>
        <w:t xml:space="preserve"> of </w:t>
      </w:r>
      <w:r w:rsidR="003A1917">
        <w:rPr>
          <w:kern w:val="0"/>
        </w:rPr>
        <w:t xml:space="preserve">the </w:t>
      </w:r>
      <w:r>
        <w:rPr>
          <w:kern w:val="0"/>
        </w:rPr>
        <w:t>data analyzed,</w:t>
      </w:r>
      <w:r w:rsidR="003A1917">
        <w:rPr>
          <w:kern w:val="0"/>
        </w:rPr>
        <w:t xml:space="preserve"> the </w:t>
      </w:r>
      <w:r>
        <w:rPr>
          <w:kern w:val="0"/>
        </w:rPr>
        <w:t>language</w:t>
      </w:r>
      <w:r w:rsidR="00427468">
        <w:rPr>
          <w:kern w:val="0"/>
        </w:rPr>
        <w:t xml:space="preserve"> of </w:t>
      </w:r>
      <w:r>
        <w:rPr>
          <w:kern w:val="0"/>
        </w:rPr>
        <w:t>writing</w:t>
      </w:r>
      <w:r w:rsidR="005853A9">
        <w:rPr>
          <w:kern w:val="0"/>
        </w:rPr>
        <w:t xml:space="preserve"> and </w:t>
      </w:r>
      <w:r w:rsidR="003A1917">
        <w:rPr>
          <w:kern w:val="0"/>
        </w:rPr>
        <w:t xml:space="preserve">the </w:t>
      </w:r>
      <w:r>
        <w:rPr>
          <w:kern w:val="0"/>
        </w:rPr>
        <w:t>country</w:t>
      </w:r>
      <w:r w:rsidR="00427468">
        <w:rPr>
          <w:kern w:val="0"/>
        </w:rPr>
        <w:t xml:space="preserve"> of </w:t>
      </w:r>
      <w:r>
        <w:rPr>
          <w:kern w:val="0"/>
        </w:rPr>
        <w:t>origin</w:t>
      </w:r>
      <w:r w:rsidR="00427468">
        <w:rPr>
          <w:kern w:val="0"/>
        </w:rPr>
        <w:t xml:space="preserve"> of </w:t>
      </w:r>
      <w:r w:rsidR="003A1917">
        <w:rPr>
          <w:kern w:val="0"/>
        </w:rPr>
        <w:t xml:space="preserve">the </w:t>
      </w:r>
      <w:r>
        <w:rPr>
          <w:kern w:val="0"/>
        </w:rPr>
        <w:t>authors</w:t>
      </w:r>
      <w:r w:rsidR="00A37C1D">
        <w:rPr>
          <w:kern w:val="0"/>
        </w:rPr>
        <w:t>. The</w:t>
      </w:r>
      <w:r w:rsidR="003A1917">
        <w:rPr>
          <w:kern w:val="0"/>
        </w:rPr>
        <w:t xml:space="preserve"> </w:t>
      </w:r>
      <w:r>
        <w:rPr>
          <w:kern w:val="0"/>
        </w:rPr>
        <w:t>available data were analyzed using descriptive statistic methods</w:t>
      </w:r>
      <w:r w:rsidR="00A37C1D">
        <w:rPr>
          <w:kern w:val="0"/>
        </w:rPr>
        <w:t>. The</w:t>
      </w:r>
      <w:r>
        <w:rPr>
          <w:kern w:val="0"/>
        </w:rPr>
        <w:t>y were also subjected to parametric</w:t>
      </w:r>
      <w:r w:rsidR="005853A9">
        <w:rPr>
          <w:kern w:val="0"/>
        </w:rPr>
        <w:t xml:space="preserve"> and </w:t>
      </w:r>
      <w:r>
        <w:rPr>
          <w:kern w:val="0"/>
        </w:rPr>
        <w:t>non parametric comparisons. During</w:t>
      </w:r>
      <w:r w:rsidR="003A1917">
        <w:rPr>
          <w:kern w:val="0"/>
        </w:rPr>
        <w:t xml:space="preserve"> the </w:t>
      </w:r>
      <w:r>
        <w:rPr>
          <w:kern w:val="0"/>
        </w:rPr>
        <w:t>investigated period, a total</w:t>
      </w:r>
      <w:r w:rsidR="00427468">
        <w:rPr>
          <w:kern w:val="0"/>
        </w:rPr>
        <w:t xml:space="preserve"> of </w:t>
      </w:r>
      <w:r>
        <w:rPr>
          <w:kern w:val="0"/>
        </w:rPr>
        <w:t>1,034 papers have been submitted to Tropicultura in different fields</w:t>
      </w:r>
      <w:r w:rsidR="00427468">
        <w:rPr>
          <w:kern w:val="0"/>
        </w:rPr>
        <w:t xml:space="preserve"> of </w:t>
      </w:r>
      <w:r>
        <w:rPr>
          <w:kern w:val="0"/>
        </w:rPr>
        <w:t>rural development research, with a large proportion</w:t>
      </w:r>
      <w:r w:rsidR="00427468">
        <w:rPr>
          <w:kern w:val="0"/>
        </w:rPr>
        <w:t xml:space="preserve"> of </w:t>
      </w:r>
      <w:r>
        <w:rPr>
          <w:kern w:val="0"/>
        </w:rPr>
        <w:t>papers in agronomy sensu lato (60%),</w:t>
      </w:r>
      <w:r w:rsidR="005853A9">
        <w:rPr>
          <w:kern w:val="0"/>
        </w:rPr>
        <w:t xml:space="preserve"> and </w:t>
      </w:r>
      <w:r>
        <w:rPr>
          <w:kern w:val="0"/>
        </w:rPr>
        <w:t>livestock production (19%). Most</w:t>
      </w:r>
      <w:r w:rsidR="00427468">
        <w:rPr>
          <w:kern w:val="0"/>
        </w:rPr>
        <w:t xml:space="preserve"> of </w:t>
      </w:r>
      <w:r w:rsidR="003A1917">
        <w:rPr>
          <w:kern w:val="0"/>
        </w:rPr>
        <w:t xml:space="preserve">the </w:t>
      </w:r>
      <w:r>
        <w:rPr>
          <w:kern w:val="0"/>
        </w:rPr>
        <w:t>papers submitted (85.1%) came from Sub-Saharan Africa, followed by North Africa (11.2%), Asia (1.6%), Latin America (1.3%), Europe (0.6%),</w:t>
      </w:r>
      <w:r w:rsidR="005853A9">
        <w:rPr>
          <w:kern w:val="0"/>
        </w:rPr>
        <w:t xml:space="preserve"> and </w:t>
      </w:r>
      <w:r>
        <w:rPr>
          <w:kern w:val="0"/>
        </w:rPr>
        <w:t>Oceania (0.3%)</w:t>
      </w:r>
      <w:r w:rsidR="00A37C1D">
        <w:rPr>
          <w:kern w:val="0"/>
        </w:rPr>
        <w:t>. The</w:t>
      </w:r>
      <w:r w:rsidR="003A1917">
        <w:rPr>
          <w:kern w:val="0"/>
        </w:rPr>
        <w:t xml:space="preserve"> </w:t>
      </w:r>
      <w:r>
        <w:rPr>
          <w:kern w:val="0"/>
        </w:rPr>
        <w:t>rate</w:t>
      </w:r>
      <w:r w:rsidR="00427468">
        <w:rPr>
          <w:kern w:val="0"/>
        </w:rPr>
        <w:t xml:space="preserve"> of </w:t>
      </w:r>
      <w:r>
        <w:rPr>
          <w:kern w:val="0"/>
        </w:rPr>
        <w:t>acceptance (27.4%) was very low compared to other journals, mainly because</w:t>
      </w:r>
      <w:r w:rsidR="00427468">
        <w:rPr>
          <w:kern w:val="0"/>
        </w:rPr>
        <w:t xml:space="preserve"> of </w:t>
      </w:r>
      <w:r>
        <w:rPr>
          <w:kern w:val="0"/>
        </w:rPr>
        <w:t>a poor design</w:t>
      </w:r>
      <w:r w:rsidR="00427468">
        <w:rPr>
          <w:kern w:val="0"/>
        </w:rPr>
        <w:t xml:space="preserve"> of </w:t>
      </w:r>
      <w:r w:rsidR="003A1917">
        <w:rPr>
          <w:kern w:val="0"/>
        </w:rPr>
        <w:t xml:space="preserve">the </w:t>
      </w:r>
      <w:r>
        <w:rPr>
          <w:kern w:val="0"/>
        </w:rPr>
        <w:t>works or inappropriate research topics</w:t>
      </w:r>
      <w:r w:rsidR="00A37C1D">
        <w:rPr>
          <w:kern w:val="0"/>
        </w:rPr>
        <w:t>. The</w:t>
      </w:r>
      <w:r w:rsidR="003A1917">
        <w:rPr>
          <w:kern w:val="0"/>
        </w:rPr>
        <w:t xml:space="preserve"> </w:t>
      </w:r>
      <w:r>
        <w:rPr>
          <w:kern w:val="0"/>
        </w:rPr>
        <w:t>average time for final decision was 355 days</w:t>
      </w:r>
      <w:r w:rsidR="00A37C1D">
        <w:rPr>
          <w:kern w:val="0"/>
        </w:rPr>
        <w:t>. The</w:t>
      </w:r>
      <w:r w:rsidR="003A1917">
        <w:rPr>
          <w:kern w:val="0"/>
        </w:rPr>
        <w:t xml:space="preserve"> </w:t>
      </w:r>
      <w:r>
        <w:rPr>
          <w:kern w:val="0"/>
        </w:rPr>
        <w:t>non parametric classification analysis retained as major determinants for</w:t>
      </w:r>
      <w:r w:rsidR="003A1917">
        <w:rPr>
          <w:kern w:val="0"/>
        </w:rPr>
        <w:t xml:space="preserve"> the </w:t>
      </w:r>
      <w:r>
        <w:rPr>
          <w:kern w:val="0"/>
        </w:rPr>
        <w:t>acceptance</w:t>
      </w:r>
      <w:r w:rsidR="00427468">
        <w:rPr>
          <w:kern w:val="0"/>
        </w:rPr>
        <w:t xml:space="preserve"> of </w:t>
      </w:r>
      <w:r>
        <w:rPr>
          <w:kern w:val="0"/>
        </w:rPr>
        <w:t>papers for publication, in decreasing order</w:t>
      </w:r>
      <w:r w:rsidR="00427468">
        <w:rPr>
          <w:kern w:val="0"/>
        </w:rPr>
        <w:t xml:space="preserve"> of </w:t>
      </w:r>
      <w:r>
        <w:rPr>
          <w:kern w:val="0"/>
        </w:rPr>
        <w:t>influence: time before final decision, language, continent, Belgian cooperation priority countries, Belgian cooperation partner countries,</w:t>
      </w:r>
      <w:r w:rsidR="005853A9">
        <w:rPr>
          <w:kern w:val="0"/>
        </w:rPr>
        <w:t xml:space="preserve"> and </w:t>
      </w:r>
      <w:r w:rsidR="003A1917">
        <w:rPr>
          <w:kern w:val="0"/>
        </w:rPr>
        <w:t xml:space="preserve">the </w:t>
      </w:r>
      <w:r>
        <w:rPr>
          <w:kern w:val="0"/>
        </w:rPr>
        <w:lastRenderedPageBreak/>
        <w:t>field</w:t>
      </w:r>
      <w:r w:rsidR="00427468">
        <w:rPr>
          <w:kern w:val="0"/>
        </w:rPr>
        <w:t xml:space="preserve"> of </w:t>
      </w:r>
      <w:r>
        <w:rPr>
          <w:kern w:val="0"/>
        </w:rPr>
        <w:t>research</w:t>
      </w:r>
      <w:r w:rsidR="00A37C1D">
        <w:rPr>
          <w:kern w:val="0"/>
        </w:rPr>
        <w:t>. The</w:t>
      </w:r>
      <w:r w:rsidR="003A1917">
        <w:rPr>
          <w:kern w:val="0"/>
        </w:rPr>
        <w:t xml:space="preserve"> </w:t>
      </w:r>
      <w:r>
        <w:rPr>
          <w:kern w:val="0"/>
        </w:rPr>
        <w:t>data obtained are discussed in</w:t>
      </w:r>
      <w:r w:rsidR="003A1917">
        <w:rPr>
          <w:kern w:val="0"/>
        </w:rPr>
        <w:t xml:space="preserve"> the </w:t>
      </w:r>
      <w:r>
        <w:rPr>
          <w:kern w:val="0"/>
        </w:rPr>
        <w:t>light</w:t>
      </w:r>
      <w:r w:rsidR="00427468">
        <w:rPr>
          <w:kern w:val="0"/>
        </w:rPr>
        <w:t xml:space="preserve"> of </w:t>
      </w:r>
      <w:r w:rsidR="003A1917">
        <w:rPr>
          <w:kern w:val="0"/>
        </w:rPr>
        <w:t xml:space="preserve">the </w:t>
      </w:r>
      <w:r>
        <w:rPr>
          <w:kern w:val="0"/>
        </w:rPr>
        <w:t>literature related to</w:t>
      </w:r>
      <w:r w:rsidR="003A1917">
        <w:rPr>
          <w:kern w:val="0"/>
        </w:rPr>
        <w:t xml:space="preserve"> the </w:t>
      </w:r>
      <w:r>
        <w:rPr>
          <w:kern w:val="0"/>
        </w:rPr>
        <w:t>editorial process</w:t>
      </w:r>
      <w:r w:rsidR="00427468">
        <w:rPr>
          <w:kern w:val="0"/>
        </w:rPr>
        <w:t xml:space="preserve"> of </w:t>
      </w:r>
      <w:r>
        <w:rPr>
          <w:kern w:val="0"/>
        </w:rPr>
        <w:t>other scientific journals, taking into account</w:t>
      </w:r>
      <w:r w:rsidR="003A1917">
        <w:rPr>
          <w:kern w:val="0"/>
        </w:rPr>
        <w:t xml:space="preserve"> the </w:t>
      </w:r>
      <w:r>
        <w:rPr>
          <w:kern w:val="0"/>
        </w:rPr>
        <w:t>peculiarities</w:t>
      </w:r>
      <w:r w:rsidR="00427468">
        <w:rPr>
          <w:kern w:val="0"/>
        </w:rPr>
        <w:t xml:space="preserve"> of </w:t>
      </w:r>
      <w:r>
        <w:rPr>
          <w:kern w:val="0"/>
        </w:rPr>
        <w:t>Tropicultura related to its history</w:t>
      </w:r>
      <w:r w:rsidR="005853A9">
        <w:rPr>
          <w:kern w:val="0"/>
        </w:rPr>
        <w:t xml:space="preserve"> and </w:t>
      </w:r>
      <w:r>
        <w:rPr>
          <w:kern w:val="0"/>
        </w:rPr>
        <w:t>to</w:t>
      </w:r>
      <w:r w:rsidR="003A1917">
        <w:rPr>
          <w:kern w:val="0"/>
        </w:rPr>
        <w:t xml:space="preserve"> the </w:t>
      </w:r>
      <w:r>
        <w:rPr>
          <w:kern w:val="0"/>
        </w:rPr>
        <w:t>history</w:t>
      </w:r>
      <w:r w:rsidR="00427468">
        <w:rPr>
          <w:kern w:val="0"/>
        </w:rPr>
        <w:t xml:space="preserve"> of </w:t>
      </w:r>
      <w:r w:rsidR="003A1917">
        <w:rPr>
          <w:kern w:val="0"/>
        </w:rPr>
        <w:t xml:space="preserve">the </w:t>
      </w:r>
      <w:r>
        <w:rPr>
          <w:kern w:val="0"/>
        </w:rPr>
        <w:t>rural development actions</w:t>
      </w:r>
      <w:r w:rsidR="00427468">
        <w:rPr>
          <w:kern w:val="0"/>
        </w:rPr>
        <w:t xml:space="preserve"> of </w:t>
      </w:r>
      <w:r w:rsidR="003A1917">
        <w:rPr>
          <w:kern w:val="0"/>
        </w:rPr>
        <w:t xml:space="preserve">the </w:t>
      </w:r>
      <w:r>
        <w:rPr>
          <w:kern w:val="0"/>
        </w:rPr>
        <w:t>Belgian cooperation. This analysis highlighted a series</w:t>
      </w:r>
      <w:r w:rsidR="00427468">
        <w:rPr>
          <w:kern w:val="0"/>
        </w:rPr>
        <w:t xml:space="preserve"> of </w:t>
      </w:r>
      <w:r>
        <w:rPr>
          <w:kern w:val="0"/>
        </w:rPr>
        <w:t>possible improvements at</w:t>
      </w:r>
      <w:r w:rsidR="003A1917">
        <w:rPr>
          <w:kern w:val="0"/>
        </w:rPr>
        <w:t xml:space="preserve"> the </w:t>
      </w:r>
      <w:r>
        <w:rPr>
          <w:kern w:val="0"/>
        </w:rPr>
        <w:t>level</w:t>
      </w:r>
      <w:r w:rsidR="00427468">
        <w:rPr>
          <w:kern w:val="0"/>
        </w:rPr>
        <w:t xml:space="preserve"> of </w:t>
      </w:r>
      <w:r w:rsidR="003A1917">
        <w:rPr>
          <w:kern w:val="0"/>
        </w:rPr>
        <w:t xml:space="preserve">the </w:t>
      </w:r>
      <w:r>
        <w:rPr>
          <w:kern w:val="0"/>
        </w:rPr>
        <w:t>operating process</w:t>
      </w:r>
      <w:r w:rsidR="00427468">
        <w:rPr>
          <w:kern w:val="0"/>
        </w:rPr>
        <w:t xml:space="preserve"> of </w:t>
      </w:r>
      <w:r w:rsidR="003A1917">
        <w:rPr>
          <w:kern w:val="0"/>
        </w:rPr>
        <w:t xml:space="preserve">the </w:t>
      </w:r>
      <w:r>
        <w:rPr>
          <w:kern w:val="0"/>
        </w:rPr>
        <w:t>journal which should enable it to better achieve its goals.</w:t>
      </w:r>
    </w:p>
    <w:p w:rsidR="002B5705" w:rsidRDefault="002B5705" w:rsidP="002B5705">
      <w:pPr>
        <w:pStyle w:val="a3"/>
        <w:rPr>
          <w:kern w:val="0"/>
        </w:rPr>
      </w:pPr>
      <w:r>
        <w:rPr>
          <w:kern w:val="0"/>
        </w:rPr>
        <w:t>Keywords: Acceptance, Africa, Analysis, Asia, Authors, Bibliometric Analysis, Classification, Cooperation, Country, Country</w:t>
      </w:r>
      <w:r w:rsidR="00427468">
        <w:rPr>
          <w:kern w:val="0"/>
        </w:rPr>
        <w:t xml:space="preserve"> of </w:t>
      </w:r>
      <w:r>
        <w:rPr>
          <w:kern w:val="0"/>
        </w:rPr>
        <w:t>Origin, Data, Decision, Design, Developing, Developing Countries, Development, Duration, Europe, Field, History, Investigation, Journal, Journals, Latin America, Literature, Livestock, Manuscripts, Methods, Multidisciplinary, North, Origin, Papers, Publication, Rejection, Research, Research Results, Rural, Rural Development, Scientific Journal, Scientific Journals, Work</w:t>
      </w:r>
    </w:p>
    <w:p w:rsidR="000F3891" w:rsidRPr="001A3D2B" w:rsidRDefault="000F3891" w:rsidP="000F3891">
      <w:pPr>
        <w:pStyle w:val="1"/>
      </w:pPr>
      <w:r w:rsidRPr="001A3D2B">
        <w:br w:type="page"/>
      </w:r>
      <w:bookmarkStart w:id="804" w:name="_Toc420814736"/>
      <w:r w:rsidRPr="001A3D2B">
        <w:lastRenderedPageBreak/>
        <w:t>Title: Biotechnology Advances</w:t>
      </w:r>
      <w:bookmarkEnd w:id="804"/>
    </w:p>
    <w:p w:rsidR="000F3891" w:rsidRPr="001A3D2B" w:rsidRDefault="000F3891" w:rsidP="000F3891">
      <w:pPr>
        <w:pStyle w:val="12"/>
      </w:pPr>
      <w:r w:rsidRPr="001A3D2B">
        <w:t>Full Journal Tit</w:t>
      </w:r>
      <w:bookmarkStart w:id="805" w:name="_Toc231008114"/>
      <w:r w:rsidRPr="001A3D2B">
        <w:t xml:space="preserve">le: </w:t>
      </w:r>
      <w:r w:rsidR="00206C8A">
        <w:fldChar w:fldCharType="begin"/>
      </w:r>
      <w:r w:rsidR="00FD158B">
        <w:instrText>HYPERLINK "http://www.sc</w:instrText>
      </w:r>
      <w:bookmarkEnd w:id="805"/>
      <w:r w:rsidR="00FD158B">
        <w:instrText>iencedirect.com/science?_ob=JournalURL&amp;_cdi=4986&amp;_auth=y&amp;_acct=C000047720&amp;_version=1&amp;_urlVersion=0&amp;_userid=2007471&amp;md5=ea2d675d9a77412a8d39106bf7a2f72e"</w:instrText>
      </w:r>
      <w:r w:rsidR="00206C8A">
        <w:fldChar w:fldCharType="separate"/>
      </w:r>
      <w:r w:rsidRPr="001A3D2B">
        <w:rPr>
          <w:rStyle w:val="a5"/>
        </w:rPr>
        <w:t>Biotechnology Advances</w:t>
      </w:r>
      <w:r w:rsidR="00206C8A">
        <w:fldChar w:fldCharType="end"/>
      </w:r>
    </w:p>
    <w:p w:rsidR="000F3891" w:rsidRPr="001A3D2B" w:rsidRDefault="000F3891" w:rsidP="000F3891">
      <w:pPr>
        <w:pStyle w:val="12"/>
      </w:pPr>
      <w:r w:rsidRPr="001A3D2B">
        <w:t>ISO Abbreviated Title: Biotechnology &amp; Applied Microbiology</w:t>
      </w:r>
    </w:p>
    <w:p w:rsidR="000F3891" w:rsidRPr="001A3D2B" w:rsidRDefault="00CE64DF" w:rsidP="000F3891">
      <w:pPr>
        <w:pStyle w:val="12"/>
      </w:pPr>
      <w:r w:rsidRPr="001A3D2B">
        <w:t>JCR Abbreviated Title:</w:t>
      </w:r>
      <w:r w:rsidR="000F3891" w:rsidRPr="001A3D2B">
        <w:t xml:space="preserve"> Biotechnol Adv</w:t>
      </w:r>
    </w:p>
    <w:p w:rsidR="000F3891" w:rsidRPr="001A3D2B" w:rsidRDefault="000F3891" w:rsidP="000F3891">
      <w:pPr>
        <w:pStyle w:val="12"/>
      </w:pPr>
      <w:r w:rsidRPr="001A3D2B">
        <w:t>ISSN: 0734-9750</w:t>
      </w:r>
    </w:p>
    <w:p w:rsidR="000F3891" w:rsidRPr="001A3D2B" w:rsidRDefault="000F3891" w:rsidP="000F3891">
      <w:pPr>
        <w:pStyle w:val="12"/>
      </w:pPr>
      <w:r w:rsidRPr="001A3D2B">
        <w:t>Issues/Year: 8</w:t>
      </w:r>
    </w:p>
    <w:p w:rsidR="000F3891" w:rsidRPr="001A3D2B" w:rsidRDefault="00AA25A4" w:rsidP="000F3891">
      <w:pPr>
        <w:pStyle w:val="12"/>
      </w:pPr>
      <w:r w:rsidRPr="001A3D2B">
        <w:t>Journal Country/Territory:</w:t>
      </w:r>
      <w:r w:rsidR="008F46E9" w:rsidRPr="001A3D2B">
        <w:t xml:space="preserve"> </w:t>
      </w:r>
      <w:r w:rsidR="000F3891" w:rsidRPr="001A3D2B">
        <w:t>England</w:t>
      </w:r>
    </w:p>
    <w:p w:rsidR="000F3891" w:rsidRPr="001A3D2B" w:rsidRDefault="000F3891" w:rsidP="000F3891">
      <w:pPr>
        <w:pStyle w:val="12"/>
      </w:pPr>
      <w:r w:rsidRPr="001A3D2B">
        <w:t>Language: English</w:t>
      </w:r>
    </w:p>
    <w:p w:rsidR="000F3891" w:rsidRPr="001A3D2B" w:rsidRDefault="000F3891" w:rsidP="000F3891">
      <w:pPr>
        <w:pStyle w:val="12"/>
      </w:pPr>
      <w:r w:rsidRPr="001A3D2B">
        <w:t>Publisher: Pergamon-Elsevier Science Ltd</w:t>
      </w:r>
    </w:p>
    <w:p w:rsidR="000F3891" w:rsidRPr="001A3D2B" w:rsidRDefault="000F3891" w:rsidP="000F3891">
      <w:pPr>
        <w:pStyle w:val="12"/>
      </w:pPr>
      <w:r w:rsidRPr="001A3D2B">
        <w:t>Publisher Address:</w:t>
      </w:r>
      <w:r w:rsidR="003A1917">
        <w:t xml:space="preserve"> the </w:t>
      </w:r>
      <w:r w:rsidRPr="001A3D2B">
        <w:t>Boulevard, Langford Lane, Kidlington, Oxford OX5 1GB, England</w:t>
      </w:r>
    </w:p>
    <w:p w:rsidR="000F3891" w:rsidRPr="001A3D2B" w:rsidRDefault="000F3891" w:rsidP="000F3891">
      <w:pPr>
        <w:pStyle w:val="12"/>
      </w:pPr>
      <w:r w:rsidRPr="001A3D2B">
        <w:t xml:space="preserve">Subject Categories: </w:t>
      </w:r>
    </w:p>
    <w:p w:rsidR="000F3891" w:rsidRPr="001A3D2B" w:rsidRDefault="000F3891" w:rsidP="000F3891">
      <w:pPr>
        <w:pStyle w:val="12"/>
      </w:pPr>
      <w:r w:rsidRPr="001A3D2B">
        <w:t>Biotechnology &amp; Applied Microbiology: Impact Factor 4.455, 15/139 (2005), Impact Factor 5.236, 10/138 (2007)</w:t>
      </w:r>
    </w:p>
    <w:p w:rsidR="005607F3" w:rsidRPr="001A3D2B" w:rsidRDefault="005607F3" w:rsidP="005607F3">
      <w:pPr>
        <w:pStyle w:val="a3"/>
        <w:rPr>
          <w:kern w:val="0"/>
          <w:szCs w:val="24"/>
        </w:rPr>
      </w:pPr>
      <w:r w:rsidRPr="001A3D2B">
        <w:rPr>
          <w:kern w:val="0"/>
          <w:szCs w:val="24"/>
        </w:rPr>
        <w:t>? Gemeiner, P., Mislovičová, D., Tkáč, J., Švitel, J., Pätoprstý, V., Hrabárová, E., Kogan, G.</w:t>
      </w:r>
      <w:r w:rsidR="005853A9">
        <w:rPr>
          <w:kern w:val="0"/>
          <w:szCs w:val="24"/>
        </w:rPr>
        <w:t xml:space="preserve"> and </w:t>
      </w:r>
      <w:r w:rsidRPr="001A3D2B">
        <w:rPr>
          <w:kern w:val="0"/>
          <w:szCs w:val="24"/>
        </w:rPr>
        <w:t xml:space="preserve">Kožár, T. (2009), Lectinomics II. A highway to biomedical/clinical diagnostics. </w:t>
      </w:r>
      <w:r w:rsidRPr="001A3D2B">
        <w:rPr>
          <w:i/>
          <w:iCs/>
          <w:kern w:val="0"/>
          <w:szCs w:val="24"/>
        </w:rPr>
        <w:t>Biotechnology Advances</w:t>
      </w:r>
      <w:r w:rsidRPr="001A3D2B">
        <w:rPr>
          <w:kern w:val="0"/>
          <w:szCs w:val="24"/>
        </w:rPr>
        <w:t xml:space="preserve">, </w:t>
      </w:r>
      <w:r w:rsidRPr="001A3D2B">
        <w:rPr>
          <w:b/>
          <w:bCs/>
          <w:kern w:val="0"/>
          <w:szCs w:val="24"/>
        </w:rPr>
        <w:t>27</w:t>
      </w:r>
      <w:r w:rsidRPr="001A3D2B">
        <w:rPr>
          <w:kern w:val="0"/>
          <w:szCs w:val="24"/>
        </w:rPr>
        <w:t xml:space="preserve"> (1), 1-15.</w:t>
      </w:r>
    </w:p>
    <w:p w:rsidR="000F3891" w:rsidRPr="001A3D2B" w:rsidRDefault="000F3891" w:rsidP="000F3891">
      <w:pPr>
        <w:pStyle w:val="a3"/>
      </w:pPr>
      <w:r w:rsidRPr="001A3D2B">
        <w:t xml:space="preserve">Full Text: </w:t>
      </w:r>
      <w:hyperlink r:id="rId1503" w:history="1">
        <w:r w:rsidRPr="001A3D2B">
          <w:rPr>
            <w:rStyle w:val="a5"/>
          </w:rPr>
          <w:t>2009\Bio Adv27, 1.pdf</w:t>
        </w:r>
      </w:hyperlink>
    </w:p>
    <w:p w:rsidR="000F3891" w:rsidRPr="001A3D2B" w:rsidRDefault="000F3891" w:rsidP="000F3891">
      <w:pPr>
        <w:pStyle w:val="a3"/>
        <w:rPr>
          <w:kern w:val="0"/>
          <w:szCs w:val="24"/>
        </w:rPr>
      </w:pPr>
      <w:r w:rsidRPr="001A3D2B">
        <w:rPr>
          <w:kern w:val="0"/>
          <w:szCs w:val="24"/>
        </w:rPr>
        <w:t>Abstract:</w:t>
      </w:r>
      <w:r w:rsidR="003A1917">
        <w:rPr>
          <w:kern w:val="0"/>
          <w:szCs w:val="24"/>
        </w:rPr>
        <w:t xml:space="preserve"> the </w:t>
      </w:r>
      <w:r w:rsidRPr="001A3D2B">
        <w:rPr>
          <w:kern w:val="0"/>
          <w:szCs w:val="24"/>
        </w:rPr>
        <w:t>review assesses current status</w:t>
      </w:r>
      <w:r w:rsidR="005853A9">
        <w:rPr>
          <w:kern w:val="0"/>
          <w:szCs w:val="24"/>
        </w:rPr>
        <w:t xml:space="preserve"> and </w:t>
      </w:r>
      <w:r w:rsidRPr="001A3D2B">
        <w:rPr>
          <w:kern w:val="0"/>
          <w:szCs w:val="24"/>
        </w:rPr>
        <w:t>attempts to forecast trends in</w:t>
      </w:r>
      <w:r w:rsidR="003A1917">
        <w:rPr>
          <w:kern w:val="0"/>
          <w:szCs w:val="24"/>
        </w:rPr>
        <w:t xml:space="preserve"> the </w:t>
      </w:r>
      <w:r w:rsidRPr="001A3D2B">
        <w:rPr>
          <w:kern w:val="0"/>
          <w:szCs w:val="24"/>
        </w:rPr>
        <w:t>development</w:t>
      </w:r>
      <w:r w:rsidR="00427468">
        <w:rPr>
          <w:kern w:val="0"/>
          <w:szCs w:val="24"/>
        </w:rPr>
        <w:t xml:space="preserve"> of </w:t>
      </w:r>
      <w:r w:rsidRPr="001A3D2B">
        <w:rPr>
          <w:kern w:val="0"/>
          <w:szCs w:val="24"/>
        </w:rPr>
        <w:t>lectin biorecognition technology</w:t>
      </w:r>
      <w:r w:rsidR="00A37C1D">
        <w:rPr>
          <w:kern w:val="0"/>
          <w:szCs w:val="24"/>
        </w:rPr>
        <w:t>. The</w:t>
      </w:r>
      <w:r w:rsidR="003A1917">
        <w:rPr>
          <w:kern w:val="0"/>
          <w:szCs w:val="24"/>
        </w:rPr>
        <w:t xml:space="preserve"> </w:t>
      </w:r>
      <w:r w:rsidRPr="001A3D2B">
        <w:rPr>
          <w:kern w:val="0"/>
          <w:szCs w:val="24"/>
        </w:rPr>
        <w:t>progressive trend is characterized scientometrically</w:t>
      </w:r>
      <w:r w:rsidR="005853A9">
        <w:rPr>
          <w:kern w:val="0"/>
          <w:szCs w:val="24"/>
        </w:rPr>
        <w:t xml:space="preserve"> and </w:t>
      </w:r>
      <w:r w:rsidRPr="001A3D2B">
        <w:rPr>
          <w:kern w:val="0"/>
          <w:szCs w:val="24"/>
        </w:rPr>
        <w:t>reflects</w:t>
      </w:r>
      <w:r w:rsidR="003A1917">
        <w:rPr>
          <w:kern w:val="0"/>
          <w:szCs w:val="24"/>
        </w:rPr>
        <w:t xml:space="preserve"> the </w:t>
      </w:r>
      <w:r w:rsidRPr="001A3D2B">
        <w:rPr>
          <w:kern w:val="0"/>
          <w:szCs w:val="24"/>
        </w:rPr>
        <w:t>current transient situation, when standard low-throughput lectin-based techniques are being replaced by a novel microarray-based techniques offering high-throughput</w:t>
      </w:r>
      <w:r w:rsidR="00427468">
        <w:rPr>
          <w:kern w:val="0"/>
          <w:szCs w:val="24"/>
        </w:rPr>
        <w:t xml:space="preserve"> of </w:t>
      </w:r>
      <w:r w:rsidRPr="001A3D2B">
        <w:rPr>
          <w:kern w:val="0"/>
          <w:szCs w:val="24"/>
        </w:rPr>
        <w:t>detection</w:t>
      </w:r>
      <w:r w:rsidR="00A37C1D">
        <w:rPr>
          <w:kern w:val="0"/>
          <w:szCs w:val="24"/>
        </w:rPr>
        <w:t>. The</w:t>
      </w:r>
      <w:r w:rsidR="003A1917">
        <w:rPr>
          <w:kern w:val="0"/>
          <w:szCs w:val="24"/>
        </w:rPr>
        <w:t xml:space="preserve"> </w:t>
      </w:r>
      <w:r w:rsidRPr="001A3D2B">
        <w:rPr>
          <w:kern w:val="0"/>
          <w:szCs w:val="24"/>
        </w:rPr>
        <w:t>technology is still in its infancy (validation phase), but already shows promise as an efficient tool to decipher</w:t>
      </w:r>
      <w:r w:rsidR="003A1917">
        <w:rPr>
          <w:kern w:val="0"/>
          <w:szCs w:val="24"/>
        </w:rPr>
        <w:t xml:space="preserve"> the </w:t>
      </w:r>
      <w:r w:rsidRPr="001A3D2B">
        <w:rPr>
          <w:kern w:val="0"/>
          <w:szCs w:val="24"/>
        </w:rPr>
        <w:t>enormous complexity</w:t>
      </w:r>
      <w:r w:rsidR="00427468">
        <w:rPr>
          <w:kern w:val="0"/>
          <w:szCs w:val="24"/>
        </w:rPr>
        <w:t xml:space="preserve"> of </w:t>
      </w:r>
      <w:r w:rsidR="003A1917">
        <w:rPr>
          <w:kern w:val="0"/>
          <w:szCs w:val="24"/>
        </w:rPr>
        <w:t xml:space="preserve">the </w:t>
      </w:r>
      <w:r w:rsidRPr="001A3D2B">
        <w:rPr>
          <w:kern w:val="0"/>
          <w:szCs w:val="24"/>
        </w:rPr>
        <w:t>glycocode that influences physiological status</w:t>
      </w:r>
      <w:r w:rsidR="00427468">
        <w:rPr>
          <w:kern w:val="0"/>
          <w:szCs w:val="24"/>
        </w:rPr>
        <w:t xml:space="preserve"> of </w:t>
      </w:r>
      <w:r w:rsidR="003A1917">
        <w:rPr>
          <w:kern w:val="0"/>
          <w:szCs w:val="24"/>
        </w:rPr>
        <w:t xml:space="preserve">the </w:t>
      </w:r>
      <w:r w:rsidRPr="001A3D2B">
        <w:rPr>
          <w:kern w:val="0"/>
          <w:szCs w:val="24"/>
        </w:rPr>
        <w:t>cell. Further enhancement in robustness</w:t>
      </w:r>
      <w:r w:rsidR="005853A9">
        <w:rPr>
          <w:kern w:val="0"/>
          <w:szCs w:val="24"/>
        </w:rPr>
        <w:t xml:space="preserve"> and </w:t>
      </w:r>
      <w:r w:rsidRPr="001A3D2B">
        <w:rPr>
          <w:kern w:val="0"/>
          <w:szCs w:val="24"/>
        </w:rPr>
        <w:t>flexibility</w:t>
      </w:r>
      <w:r w:rsidR="00427468">
        <w:rPr>
          <w:kern w:val="0"/>
          <w:szCs w:val="24"/>
        </w:rPr>
        <w:t xml:space="preserve"> of </w:t>
      </w:r>
      <w:r w:rsidRPr="001A3D2B">
        <w:rPr>
          <w:kern w:val="0"/>
          <w:szCs w:val="24"/>
        </w:rPr>
        <w:t>lectin microarrays is predicted by using recombinant</w:t>
      </w:r>
      <w:r w:rsidR="005853A9">
        <w:rPr>
          <w:kern w:val="0"/>
          <w:szCs w:val="24"/>
        </w:rPr>
        <w:t xml:space="preserve"> and </w:t>
      </w:r>
      <w:r w:rsidRPr="001A3D2B">
        <w:rPr>
          <w:kern w:val="0"/>
          <w:szCs w:val="24"/>
        </w:rPr>
        <w:t>artificial lectins that will render production</w:t>
      </w:r>
      <w:r w:rsidR="00427468">
        <w:rPr>
          <w:kern w:val="0"/>
          <w:szCs w:val="24"/>
        </w:rPr>
        <w:t xml:space="preserve"> of </w:t>
      </w:r>
      <w:r w:rsidRPr="001A3D2B">
        <w:rPr>
          <w:kern w:val="0"/>
          <w:szCs w:val="24"/>
        </w:rPr>
        <w:t>lectin microarrays cost-effective</w:t>
      </w:r>
      <w:r w:rsidR="005853A9">
        <w:rPr>
          <w:kern w:val="0"/>
          <w:szCs w:val="24"/>
        </w:rPr>
        <w:t xml:space="preserve"> and </w:t>
      </w:r>
      <w:r w:rsidRPr="001A3D2B">
        <w:rPr>
          <w:kern w:val="0"/>
          <w:szCs w:val="24"/>
        </w:rPr>
        <w:t>more affordable. Mass spectrometry is expected to play an important role to characterize</w:t>
      </w:r>
      <w:r w:rsidR="003A1917">
        <w:rPr>
          <w:kern w:val="0"/>
          <w:szCs w:val="24"/>
        </w:rPr>
        <w:t xml:space="preserve"> the </w:t>
      </w:r>
      <w:r w:rsidRPr="001A3D2B">
        <w:rPr>
          <w:kern w:val="0"/>
          <w:szCs w:val="24"/>
        </w:rPr>
        <w:t>binding profile</w:t>
      </w:r>
      <w:r w:rsidR="00427468">
        <w:rPr>
          <w:kern w:val="0"/>
          <w:szCs w:val="24"/>
        </w:rPr>
        <w:t xml:space="preserve"> of </w:t>
      </w:r>
      <w:r w:rsidRPr="001A3D2B">
        <w:rPr>
          <w:kern w:val="0"/>
          <w:szCs w:val="24"/>
        </w:rPr>
        <w:t>new lectins. Differences in glycan recognition by lectins</w:t>
      </w:r>
      <w:r w:rsidR="005853A9">
        <w:rPr>
          <w:kern w:val="0"/>
          <w:szCs w:val="24"/>
        </w:rPr>
        <w:t xml:space="preserve"> and </w:t>
      </w:r>
      <w:r w:rsidRPr="001A3D2B">
        <w:rPr>
          <w:kern w:val="0"/>
          <w:szCs w:val="24"/>
        </w:rPr>
        <w:t>anti-carbohydrate antibodies are given on a molecular basis,</w:t>
      </w:r>
      <w:r w:rsidR="005853A9">
        <w:rPr>
          <w:kern w:val="0"/>
          <w:szCs w:val="24"/>
        </w:rPr>
        <w:t xml:space="preserve"> and </w:t>
      </w:r>
      <w:r w:rsidRPr="001A3D2B">
        <w:rPr>
          <w:kern w:val="0"/>
          <w:szCs w:val="24"/>
        </w:rPr>
        <w:t>strong</w:t>
      </w:r>
      <w:r w:rsidR="005853A9">
        <w:rPr>
          <w:kern w:val="0"/>
          <w:szCs w:val="24"/>
        </w:rPr>
        <w:t xml:space="preserve"> and </w:t>
      </w:r>
      <w:r w:rsidRPr="001A3D2B">
        <w:rPr>
          <w:kern w:val="0"/>
          <w:szCs w:val="24"/>
        </w:rPr>
        <w:t>weak points</w:t>
      </w:r>
      <w:r w:rsidR="00427468">
        <w:rPr>
          <w:kern w:val="0"/>
          <w:szCs w:val="24"/>
        </w:rPr>
        <w:t xml:space="preserve"> of </w:t>
      </w:r>
      <w:r w:rsidRPr="001A3D2B">
        <w:rPr>
          <w:kern w:val="0"/>
          <w:szCs w:val="24"/>
        </w:rPr>
        <w:t>both biorecognition molecules in diagnosis are briefly discussed. (C) 2008 Published by Elsevier Inc.</w:t>
      </w:r>
    </w:p>
    <w:p w:rsidR="000F3891" w:rsidRPr="001A3D2B" w:rsidRDefault="000F3891" w:rsidP="000F3891">
      <w:pPr>
        <w:pStyle w:val="a3"/>
        <w:rPr>
          <w:kern w:val="0"/>
          <w:szCs w:val="24"/>
        </w:rPr>
      </w:pPr>
      <w:r w:rsidRPr="001A3D2B">
        <w:rPr>
          <w:kern w:val="0"/>
          <w:szCs w:val="24"/>
        </w:rPr>
        <w:t xml:space="preserve">Keywords: Anti-Carbohydrate Antibodies, Antibodies, Anticarbohydrate Antibodies, Binding, Biomedical Diagnostics, Complexity, Cost-Effective, Detection, Development, Diagnosis, Diagnostics, Escherichia-Coli, Flexibility, Forecast, Glycan, Glycan Microarrays, Highway, Infancy, Influences, Large-Scale Production, </w:t>
      </w:r>
      <w:r w:rsidRPr="001A3D2B">
        <w:rPr>
          <w:kern w:val="0"/>
          <w:szCs w:val="24"/>
        </w:rPr>
        <w:lastRenderedPageBreak/>
        <w:t>Lectin Microarrays, Lectinology, Mannose-Binding Lectin, Mass Spectrometry, Mass-Spectrometry, Modelling</w:t>
      </w:r>
      <w:r w:rsidR="00427468">
        <w:rPr>
          <w:kern w:val="0"/>
          <w:szCs w:val="24"/>
        </w:rPr>
        <w:t xml:space="preserve"> of </w:t>
      </w:r>
      <w:r w:rsidRPr="001A3D2B">
        <w:rPr>
          <w:kern w:val="0"/>
          <w:szCs w:val="24"/>
        </w:rPr>
        <w:t>Glycan-Protein Interactions, Molecular, Monoclonal-Antibodies, Oligosaccharide Microarrays, Play, Production, Progressive, Protein-Carbohydrate Interactions, Recognition, Recombinant, Artificial Lectins, Review, Robustness, Role, Spectrometry, Standard, Status, Techniques, Technology, Tool, Transient, Trend, Trends, Validation, Wheat-Germ-Agglutinin, Yeast Pichia-Pastoris</w:t>
      </w:r>
    </w:p>
    <w:p w:rsidR="003D2E7C" w:rsidRPr="00C73C58" w:rsidRDefault="003D2E7C" w:rsidP="003D2E7C">
      <w:pPr>
        <w:pStyle w:val="1"/>
      </w:pPr>
      <w:r w:rsidRPr="00C73C58">
        <w:br w:type="page"/>
      </w:r>
      <w:bookmarkStart w:id="806" w:name="_Toc420814737"/>
      <w:r w:rsidRPr="00C73C58">
        <w:lastRenderedPageBreak/>
        <w:t xml:space="preserve">Title: </w:t>
      </w:r>
      <w:r w:rsidRPr="003D2E7C">
        <w:rPr>
          <w:iCs w:val="0"/>
        </w:rPr>
        <w:t>Biotechnology Journal</w:t>
      </w:r>
      <w:bookmarkEnd w:id="806"/>
    </w:p>
    <w:p w:rsidR="003D2E7C" w:rsidRPr="00C73C58" w:rsidRDefault="003D2E7C" w:rsidP="003D2E7C">
      <w:pPr>
        <w:pStyle w:val="12"/>
      </w:pPr>
      <w:r w:rsidRPr="00C73C58">
        <w:t xml:space="preserve">Full Journal Title: </w:t>
      </w:r>
      <w:r w:rsidRPr="003D2E7C">
        <w:rPr>
          <w:iCs/>
          <w:kern w:val="0"/>
        </w:rPr>
        <w:t>Biotechnology Journal</w:t>
      </w:r>
    </w:p>
    <w:p w:rsidR="003D2E7C" w:rsidRPr="00C73C58" w:rsidRDefault="003D2E7C" w:rsidP="003D2E7C">
      <w:pPr>
        <w:pStyle w:val="12"/>
      </w:pPr>
      <w:r w:rsidRPr="00C73C58">
        <w:t xml:space="preserve">ISO Abbreviated Title: </w:t>
      </w:r>
    </w:p>
    <w:p w:rsidR="003D2E7C" w:rsidRPr="00C73C58" w:rsidRDefault="003D2E7C" w:rsidP="003D2E7C">
      <w:pPr>
        <w:pStyle w:val="12"/>
      </w:pPr>
      <w:r w:rsidRPr="00C73C58">
        <w:t xml:space="preserve">JCR Abbreviated Title: </w:t>
      </w:r>
    </w:p>
    <w:p w:rsidR="003D2E7C" w:rsidRPr="00C73C58" w:rsidRDefault="003D2E7C" w:rsidP="003D2E7C">
      <w:pPr>
        <w:pStyle w:val="12"/>
      </w:pPr>
      <w:r w:rsidRPr="00C73C58">
        <w:t xml:space="preserve">ISSN: </w:t>
      </w:r>
    </w:p>
    <w:p w:rsidR="003D2E7C" w:rsidRPr="00C73C58" w:rsidRDefault="003D2E7C" w:rsidP="003D2E7C">
      <w:pPr>
        <w:pStyle w:val="12"/>
      </w:pPr>
      <w:r w:rsidRPr="00C73C58">
        <w:t xml:space="preserve">Issues/Year: </w:t>
      </w:r>
    </w:p>
    <w:p w:rsidR="003D2E7C" w:rsidRPr="00C73C58" w:rsidRDefault="003D2E7C" w:rsidP="003D2E7C">
      <w:pPr>
        <w:pStyle w:val="12"/>
      </w:pPr>
      <w:r w:rsidRPr="00C73C58">
        <w:t xml:space="preserve">Journal Country/Territory: </w:t>
      </w:r>
    </w:p>
    <w:p w:rsidR="003D2E7C" w:rsidRPr="00C73C58" w:rsidRDefault="003D2E7C" w:rsidP="003D2E7C">
      <w:pPr>
        <w:pStyle w:val="12"/>
      </w:pPr>
      <w:r w:rsidRPr="00C73C58">
        <w:t xml:space="preserve">Language: </w:t>
      </w:r>
    </w:p>
    <w:p w:rsidR="003D2E7C" w:rsidRPr="00C73C58" w:rsidRDefault="003D2E7C" w:rsidP="003D2E7C">
      <w:pPr>
        <w:pStyle w:val="12"/>
      </w:pPr>
      <w:r w:rsidRPr="00C73C58">
        <w:t xml:space="preserve">Publisher: </w:t>
      </w:r>
    </w:p>
    <w:p w:rsidR="003D2E7C" w:rsidRPr="00C73C58" w:rsidRDefault="003D2E7C" w:rsidP="003D2E7C">
      <w:pPr>
        <w:pStyle w:val="12"/>
      </w:pPr>
      <w:r w:rsidRPr="00C73C58">
        <w:t xml:space="preserve">Publisher Address: </w:t>
      </w:r>
    </w:p>
    <w:p w:rsidR="003D2E7C" w:rsidRPr="00C73C58" w:rsidRDefault="003D2E7C" w:rsidP="003D2E7C">
      <w:pPr>
        <w:pStyle w:val="12"/>
      </w:pPr>
      <w:r w:rsidRPr="00C73C58">
        <w:t xml:space="preserve">Subject Categories: </w:t>
      </w:r>
    </w:p>
    <w:p w:rsidR="003D2E7C" w:rsidRPr="00C73C58" w:rsidRDefault="003D2E7C" w:rsidP="003D2E7C">
      <w:pPr>
        <w:pStyle w:val="12"/>
      </w:pPr>
      <w:r w:rsidRPr="00C73C58">
        <w:t>: Impact Factor</w:t>
      </w:r>
    </w:p>
    <w:p w:rsidR="003D2E7C" w:rsidRDefault="003D2E7C" w:rsidP="003D2E7C">
      <w:pPr>
        <w:pStyle w:val="a3"/>
        <w:rPr>
          <w:kern w:val="0"/>
        </w:rPr>
      </w:pPr>
      <w:r>
        <w:rPr>
          <w:kern w:val="0"/>
        </w:rPr>
        <w:t xml:space="preserve">? Wache, Y., Anal, A.K., Chan, E.S., Heng, P.W.S., Ngo, D.N., In, S., Poncelet, D. and Hanh, P.T. (2014), Meeting report: The 1st BRG-training school in Asia, a first step in the building of an ASEAN encapsulation network. </w:t>
      </w:r>
      <w:r w:rsidRPr="003D2E7C">
        <w:rPr>
          <w:i/>
          <w:iCs/>
          <w:kern w:val="0"/>
        </w:rPr>
        <w:t>Biotechnology Journal</w:t>
      </w:r>
      <w:r>
        <w:rPr>
          <w:kern w:val="0"/>
        </w:rPr>
        <w:t xml:space="preserve">, </w:t>
      </w:r>
      <w:r>
        <w:rPr>
          <w:b/>
          <w:bCs/>
          <w:kern w:val="0"/>
        </w:rPr>
        <w:t>9</w:t>
      </w:r>
      <w:r>
        <w:rPr>
          <w:kern w:val="0"/>
        </w:rPr>
        <w:t xml:space="preserve"> (12), 1473-1475.</w:t>
      </w:r>
    </w:p>
    <w:p w:rsidR="000E2BF9" w:rsidRDefault="000E2BF9" w:rsidP="000E2BF9">
      <w:pPr>
        <w:pStyle w:val="a3"/>
        <w:rPr>
          <w:kern w:val="0"/>
        </w:rPr>
      </w:pPr>
      <w:r>
        <w:rPr>
          <w:rFonts w:hint="eastAsia"/>
          <w:kern w:val="0"/>
        </w:rPr>
        <w:t xml:space="preserve">Full Text: </w:t>
      </w:r>
      <w:hyperlink r:id="rId1504" w:history="1">
        <w:r w:rsidRPr="00B95F16">
          <w:rPr>
            <w:rStyle w:val="a5"/>
            <w:kern w:val="0"/>
          </w:rPr>
          <w:t>2014\Bio J9, 1473.pdf</w:t>
        </w:r>
      </w:hyperlink>
    </w:p>
    <w:p w:rsidR="003D2E7C" w:rsidRDefault="003D2E7C" w:rsidP="003D2E7C">
      <w:pPr>
        <w:pStyle w:val="a3"/>
        <w:rPr>
          <w:kern w:val="0"/>
        </w:rPr>
      </w:pPr>
      <w:r>
        <w:rPr>
          <w:kern w:val="0"/>
        </w:rPr>
        <w:t>Abstract: The 6th training school on bioencapsulation of the Bioencapsulation Research Group (BRG http://bioencapsulation.net/2014_Nha_Trang/index1.html) took place in Nha Trang, Vietnam, in March 2014. This event, organised by Agro-Sup Dijon, Nha Trang University and the BRG with the support of the Agency of French-Speaking Universities (Agence Universitaire de la Francophonie, AUF) and Buchi was the first BRG-event organised in Asia. The success of this school, which brought together bioencapsulation researchers from eight countries of the Association of Southeast Asian Nations (ASEAN) along with those from Europe, Japan, Australia and many other countries, shows that bioencapsulation is a growing field in Southeast Asia. After a brief presentation of bibliometric data showing the dynamism and the specificities of encapsulation research in Southeast Asia, a presentation of the achievements and needs in some countries is given showing the interest in building a network in this region.</w:t>
      </w:r>
    </w:p>
    <w:p w:rsidR="003D2E7C" w:rsidRDefault="003D2E7C" w:rsidP="003D2E7C">
      <w:pPr>
        <w:pStyle w:val="a3"/>
        <w:rPr>
          <w:kern w:val="0"/>
        </w:rPr>
      </w:pPr>
      <w:r>
        <w:rPr>
          <w:kern w:val="0"/>
        </w:rPr>
        <w:t>Keywords: Agency, Asean, Asia, Asian, Association, Australia, Bibliometric, Bibliometric Data, Building, Data, Encapsulation, Europe, Field, First, From, Japan, Needs, Network, Presentation, Region, Research, Researchers, Southeast Asia, Success, Support, Training, Universities, University, Vietnam</w:t>
      </w:r>
    </w:p>
    <w:p w:rsidR="00C910EB" w:rsidRPr="00FC7835" w:rsidRDefault="00C910EB" w:rsidP="00C910EB">
      <w:pPr>
        <w:pStyle w:val="1"/>
      </w:pPr>
      <w:r w:rsidRPr="00FC7835">
        <w:rPr>
          <w:b w:val="0"/>
        </w:rPr>
        <w:br w:type="page"/>
      </w:r>
      <w:bookmarkStart w:id="807" w:name="_Toc379216472"/>
      <w:bookmarkStart w:id="808" w:name="_Toc420814738"/>
      <w:r w:rsidRPr="00FC7835">
        <w:lastRenderedPageBreak/>
        <w:t>Title: Biotropica</w:t>
      </w:r>
      <w:bookmarkEnd w:id="807"/>
      <w:bookmarkEnd w:id="808"/>
    </w:p>
    <w:p w:rsidR="00C910EB" w:rsidRPr="00DF0736" w:rsidRDefault="00C910EB" w:rsidP="00C910EB">
      <w:pPr>
        <w:pStyle w:val="12"/>
      </w:pPr>
      <w:r w:rsidRPr="00DF0736">
        <w:t>Full Journal Title: Biotropica</w:t>
      </w:r>
    </w:p>
    <w:p w:rsidR="00C910EB" w:rsidRPr="00DF0736" w:rsidRDefault="00C910EB" w:rsidP="00C910EB">
      <w:pPr>
        <w:pStyle w:val="12"/>
      </w:pPr>
      <w:r w:rsidRPr="00DF0736">
        <w:t>ISO Abbreviated Title: Biotropica</w:t>
      </w:r>
    </w:p>
    <w:p w:rsidR="00C910EB" w:rsidRPr="00DF0736" w:rsidRDefault="00C910EB" w:rsidP="00C910EB">
      <w:pPr>
        <w:pStyle w:val="12"/>
      </w:pPr>
      <w:r w:rsidRPr="00DF0736">
        <w:t>JCR Abbreviated Title: Biotropica</w:t>
      </w:r>
    </w:p>
    <w:p w:rsidR="00C910EB" w:rsidRPr="00DF0736" w:rsidRDefault="00C910EB" w:rsidP="00C910EB">
      <w:pPr>
        <w:pStyle w:val="12"/>
      </w:pPr>
      <w:r w:rsidRPr="00DF0736">
        <w:t>ISSN: 0006-3606</w:t>
      </w:r>
    </w:p>
    <w:p w:rsidR="00C910EB" w:rsidRPr="00DF0736" w:rsidRDefault="00C910EB" w:rsidP="00C910EB">
      <w:pPr>
        <w:pStyle w:val="12"/>
      </w:pPr>
      <w:r w:rsidRPr="00DF0736">
        <w:t>Issues/Year: 4</w:t>
      </w:r>
    </w:p>
    <w:p w:rsidR="00C910EB" w:rsidRPr="00DF0736" w:rsidRDefault="00C910EB" w:rsidP="00C910EB">
      <w:pPr>
        <w:pStyle w:val="12"/>
      </w:pPr>
      <w:r w:rsidRPr="00DF0736">
        <w:t>Journal Country/Territory: United States</w:t>
      </w:r>
    </w:p>
    <w:p w:rsidR="00C910EB" w:rsidRPr="00DF0736" w:rsidRDefault="00C910EB" w:rsidP="00C910EB">
      <w:pPr>
        <w:pStyle w:val="12"/>
      </w:pPr>
      <w:r w:rsidRPr="00DF0736">
        <w:t>Language: Multi-Language</w:t>
      </w:r>
    </w:p>
    <w:p w:rsidR="00C910EB" w:rsidRPr="00DF0736" w:rsidRDefault="00C910EB" w:rsidP="00C910EB">
      <w:pPr>
        <w:pStyle w:val="12"/>
      </w:pPr>
      <w:r w:rsidRPr="00DF0736">
        <w:t>Publisher: Assoc Tropical Biology Inc</w:t>
      </w:r>
    </w:p>
    <w:p w:rsidR="00C910EB" w:rsidRPr="00DF0736" w:rsidRDefault="00C910EB" w:rsidP="00C910EB">
      <w:pPr>
        <w:pStyle w:val="12"/>
      </w:pPr>
      <w:r w:rsidRPr="00DF0736">
        <w:t>Publisher Address: 810 East 10th St, Lawrence, KS 66044</w:t>
      </w:r>
    </w:p>
    <w:p w:rsidR="00C910EB" w:rsidRPr="00DF0736" w:rsidRDefault="00C910EB" w:rsidP="00C910EB">
      <w:pPr>
        <w:pStyle w:val="12"/>
      </w:pPr>
      <w:r w:rsidRPr="00DF0736">
        <w:t xml:space="preserve">Subject Categories: </w:t>
      </w:r>
    </w:p>
    <w:p w:rsidR="00C910EB" w:rsidRPr="00DF0736" w:rsidRDefault="00C910EB" w:rsidP="00C910EB">
      <w:pPr>
        <w:pStyle w:val="12"/>
      </w:pPr>
      <w:r w:rsidRPr="00DF0736">
        <w:t>Ecology: Impact Factor 0.858, /</w:t>
      </w:r>
    </w:p>
    <w:p w:rsidR="005A2210" w:rsidRDefault="005A2210" w:rsidP="005A2210">
      <w:pPr>
        <w:pStyle w:val="a3"/>
        <w:rPr>
          <w:kern w:val="0"/>
        </w:rPr>
      </w:pPr>
      <w:r>
        <w:rPr>
          <w:rFonts w:hint="eastAsia"/>
          <w:kern w:val="0"/>
        </w:rPr>
        <w:t xml:space="preserve">? </w:t>
      </w:r>
      <w:r>
        <w:rPr>
          <w:kern w:val="0"/>
        </w:rPr>
        <w:t>Malhado, A.C.M., de Azevedo, R.S.D., Todd, P.A., Santos, A.M.C., Fabre, N.N., Batista, V.S., Aguiar, L.J.G.</w:t>
      </w:r>
      <w:r w:rsidR="005853A9">
        <w:rPr>
          <w:kern w:val="0"/>
        </w:rPr>
        <w:t xml:space="preserve"> and </w:t>
      </w:r>
      <w:r>
        <w:rPr>
          <w:kern w:val="0"/>
        </w:rPr>
        <w:t>Ladle, R.J. (2014), Geographic</w:t>
      </w:r>
      <w:r w:rsidR="005853A9">
        <w:rPr>
          <w:kern w:val="0"/>
        </w:rPr>
        <w:t xml:space="preserve"> and </w:t>
      </w:r>
      <w:r>
        <w:rPr>
          <w:kern w:val="0"/>
        </w:rPr>
        <w:t xml:space="preserve">temporal trends in Amazonian knowledge production. </w:t>
      </w:r>
      <w:r>
        <w:rPr>
          <w:i/>
          <w:iCs/>
          <w:kern w:val="0"/>
        </w:rPr>
        <w:t>Biotropica</w:t>
      </w:r>
      <w:r>
        <w:rPr>
          <w:kern w:val="0"/>
        </w:rPr>
        <w:t xml:space="preserve">, </w:t>
      </w:r>
      <w:r>
        <w:rPr>
          <w:b/>
          <w:bCs/>
          <w:kern w:val="0"/>
        </w:rPr>
        <w:t>46</w:t>
      </w:r>
      <w:r>
        <w:rPr>
          <w:kern w:val="0"/>
        </w:rPr>
        <w:t xml:space="preserve"> (1), 6-13.</w:t>
      </w:r>
    </w:p>
    <w:p w:rsidR="005A2210" w:rsidRDefault="005A2210" w:rsidP="005A2210">
      <w:pPr>
        <w:pStyle w:val="a3"/>
        <w:rPr>
          <w:kern w:val="0"/>
        </w:rPr>
      </w:pPr>
      <w:r>
        <w:rPr>
          <w:rFonts w:hint="eastAsia"/>
          <w:kern w:val="0"/>
        </w:rPr>
        <w:t xml:space="preserve">Full Text: </w:t>
      </w:r>
      <w:hyperlink r:id="rId1505" w:history="1">
        <w:r w:rsidRPr="00EE5538">
          <w:rPr>
            <w:rStyle w:val="a5"/>
            <w:kern w:val="0"/>
          </w:rPr>
          <w:t>2014\Biotropica46, 6.pdf</w:t>
        </w:r>
      </w:hyperlink>
    </w:p>
    <w:p w:rsidR="005A2210" w:rsidRDefault="005A2210" w:rsidP="005A2210">
      <w:pPr>
        <w:pStyle w:val="a3"/>
        <w:rPr>
          <w:kern w:val="0"/>
        </w:rPr>
      </w:pPr>
      <w:r>
        <w:rPr>
          <w:kern w:val="0"/>
        </w:rPr>
        <w:t>Abstract: The presence</w:t>
      </w:r>
      <w:r w:rsidR="00427468">
        <w:rPr>
          <w:kern w:val="0"/>
        </w:rPr>
        <w:t xml:space="preserve"> of </w:t>
      </w:r>
      <w:r>
        <w:rPr>
          <w:kern w:val="0"/>
        </w:rPr>
        <w:t>researchers from Western (i.e., developed world) institutions in Amazonia has frequently been contentious due to fears</w:t>
      </w:r>
      <w:r w:rsidR="00427468">
        <w:rPr>
          <w:kern w:val="0"/>
        </w:rPr>
        <w:t xml:space="preserve"> of </w:t>
      </w:r>
      <w:r>
        <w:rPr>
          <w:kern w:val="0"/>
        </w:rPr>
        <w:t>scientific imperialism</w:t>
      </w:r>
      <w:r w:rsidR="00700038">
        <w:rPr>
          <w:kern w:val="0"/>
        </w:rPr>
        <w:t>’</w:t>
      </w:r>
      <w:r>
        <w:rPr>
          <w:kern w:val="0"/>
        </w:rPr>
        <w:t xml:space="preserve"> or suspicions that they may be exerting undue influence over research agendas</w:t>
      </w:r>
      <w:r w:rsidR="005853A9">
        <w:rPr>
          <w:kern w:val="0"/>
        </w:rPr>
        <w:t xml:space="preserve"> and </w:t>
      </w:r>
      <w:r>
        <w:rPr>
          <w:kern w:val="0"/>
        </w:rPr>
        <w:t>knowledge production to the detriment</w:t>
      </w:r>
      <w:r w:rsidR="00427468">
        <w:rPr>
          <w:kern w:val="0"/>
        </w:rPr>
        <w:t xml:space="preserve"> of </w:t>
      </w:r>
      <w:r>
        <w:rPr>
          <w:kern w:val="0"/>
        </w:rPr>
        <w:t>local researchers. Such negative perceptions are widespread, but not well substantiated. A more nuanced understanding</w:t>
      </w:r>
      <w:r w:rsidR="00427468">
        <w:rPr>
          <w:kern w:val="0"/>
        </w:rPr>
        <w:t xml:space="preserve"> of </w:t>
      </w:r>
      <w:r>
        <w:rPr>
          <w:kern w:val="0"/>
        </w:rPr>
        <w:t>these issues requires information on who is conducting research in Amazonia</w:t>
      </w:r>
      <w:r w:rsidR="005853A9">
        <w:rPr>
          <w:kern w:val="0"/>
        </w:rPr>
        <w:t xml:space="preserve"> and </w:t>
      </w:r>
      <w:r>
        <w:rPr>
          <w:kern w:val="0"/>
        </w:rPr>
        <w:t>how knowledge production has changed over time. We performed a bibliometric analysis on Thomson Reuters</w:t>
      </w:r>
      <w:r w:rsidR="00700038">
        <w:rPr>
          <w:kern w:val="0"/>
        </w:rPr>
        <w:t>’</w:t>
      </w:r>
      <w:r>
        <w:rPr>
          <w:kern w:val="0"/>
        </w:rPr>
        <w:t>ISI Web</w:t>
      </w:r>
      <w:r w:rsidR="00427468">
        <w:rPr>
          <w:kern w:val="0"/>
        </w:rPr>
        <w:t xml:space="preserve"> of </w:t>
      </w:r>
      <w:r>
        <w:rPr>
          <w:kern w:val="0"/>
        </w:rPr>
        <w:t>Science</w:t>
      </w:r>
      <w:r w:rsidR="00427468">
        <w:rPr>
          <w:kern w:val="0"/>
        </w:rPr>
        <w:t xml:space="preserve"> of </w:t>
      </w:r>
      <w:r>
        <w:rPr>
          <w:kern w:val="0"/>
        </w:rPr>
        <w:t>all research articles about the Amazon published in three time periods: 1986-1989, 1996-1999,</w:t>
      </w:r>
      <w:r w:rsidR="005853A9">
        <w:rPr>
          <w:kern w:val="0"/>
        </w:rPr>
        <w:t xml:space="preserve"> and </w:t>
      </w:r>
      <w:r>
        <w:rPr>
          <w:kern w:val="0"/>
        </w:rPr>
        <w:t>2006-2009. We found that the number</w:t>
      </w:r>
      <w:r w:rsidR="00427468">
        <w:rPr>
          <w:kern w:val="0"/>
        </w:rPr>
        <w:t xml:space="preserve"> of </w:t>
      </w:r>
      <w:r>
        <w:rPr>
          <w:kern w:val="0"/>
        </w:rPr>
        <w:t>articles published</w:t>
      </w:r>
      <w:r w:rsidR="005853A9">
        <w:rPr>
          <w:kern w:val="0"/>
        </w:rPr>
        <w:t xml:space="preserve"> and </w:t>
      </w:r>
      <w:r>
        <w:rPr>
          <w:kern w:val="0"/>
        </w:rPr>
        <w:t>the diversity</w:t>
      </w:r>
      <w:r w:rsidR="00427468">
        <w:rPr>
          <w:kern w:val="0"/>
        </w:rPr>
        <w:t xml:space="preserve"> of </w:t>
      </w:r>
      <w:r>
        <w:rPr>
          <w:kern w:val="0"/>
        </w:rPr>
        <w:t>countries involved in Amazonian research increased dramatically over the three time periods</w:t>
      </w:r>
      <w:r w:rsidR="00A37C1D">
        <w:rPr>
          <w:kern w:val="0"/>
        </w:rPr>
        <w:t>. The</w:t>
      </w:r>
      <w:r>
        <w:rPr>
          <w:kern w:val="0"/>
        </w:rPr>
        <w:t xml:space="preserve"> representation</w:t>
      </w:r>
      <w:r w:rsidR="00427468">
        <w:rPr>
          <w:kern w:val="0"/>
        </w:rPr>
        <w:t xml:space="preserve"> of </w:t>
      </w:r>
      <w:r>
        <w:rPr>
          <w:kern w:val="0"/>
        </w:rPr>
        <w:t>several Amazonian countriesespecially Brazilincreased, while the proportion</w:t>
      </w:r>
      <w:r w:rsidR="00427468">
        <w:rPr>
          <w:kern w:val="0"/>
        </w:rPr>
        <w:t xml:space="preserve"> of </w:t>
      </w:r>
      <w:r>
        <w:rPr>
          <w:kern w:val="0"/>
        </w:rPr>
        <w:t>articles without a single author from an Amazonian country also increased</w:t>
      </w:r>
      <w:r w:rsidR="00A37C1D">
        <w:rPr>
          <w:kern w:val="0"/>
        </w:rPr>
        <w:t>. The</w:t>
      </w:r>
      <w:r>
        <w:rPr>
          <w:kern w:val="0"/>
        </w:rPr>
        <w:t xml:space="preserve"> results indicate that the research capacity</w:t>
      </w:r>
      <w:r w:rsidR="00427468">
        <w:rPr>
          <w:kern w:val="0"/>
        </w:rPr>
        <w:t xml:space="preserve"> of </w:t>
      </w:r>
      <w:r>
        <w:rPr>
          <w:kern w:val="0"/>
        </w:rPr>
        <w:t>Amazonian countries has increased, but that leadership</w:t>
      </w:r>
      <w:r w:rsidR="00427468">
        <w:rPr>
          <w:kern w:val="0"/>
        </w:rPr>
        <w:t xml:space="preserve"> of </w:t>
      </w:r>
      <w:r>
        <w:rPr>
          <w:kern w:val="0"/>
        </w:rPr>
        <w:t>high-impact projects may still largely reside with researchers from developed countries.</w:t>
      </w:r>
    </w:p>
    <w:p w:rsidR="005A2210" w:rsidRDefault="005A2210" w:rsidP="005A2210">
      <w:pPr>
        <w:pStyle w:val="a3"/>
        <w:rPr>
          <w:kern w:val="0"/>
        </w:rPr>
      </w:pPr>
      <w:r>
        <w:rPr>
          <w:kern w:val="0"/>
        </w:rPr>
        <w:t xml:space="preserve">Keywords: Amazon, Amazonia, Analysis, Bibliometric, Bibliometric Analysis, Biodiversity Research, Biosphere-Atmosphere Experiment, Capacity, Citations, Collaboration, Colonialism, Conservation, Cooperation, Country, Developing-Countries, Diversity, Ecological Research, Genetic-Resources, Influence, Information, Institutions, Issues, Knowledge, Knowledge Production, Leadership, </w:t>
      </w:r>
      <w:r>
        <w:rPr>
          <w:kern w:val="0"/>
        </w:rPr>
        <w:lastRenderedPageBreak/>
        <w:t>Local, Production, Representation, Research, Responsibility, Science, Scientific Productivity, Trends, Understanding, Web</w:t>
      </w:r>
      <w:r w:rsidR="00427468">
        <w:rPr>
          <w:kern w:val="0"/>
        </w:rPr>
        <w:t xml:space="preserve"> of </w:t>
      </w:r>
      <w:r>
        <w:rPr>
          <w:kern w:val="0"/>
        </w:rPr>
        <w:t>Science, World</w:t>
      </w:r>
    </w:p>
    <w:p w:rsidR="00E34926" w:rsidRPr="00FC7835" w:rsidRDefault="00E34926" w:rsidP="00E34926">
      <w:pPr>
        <w:pStyle w:val="1"/>
      </w:pPr>
      <w:r w:rsidRPr="00DA0D39">
        <w:br w:type="page"/>
      </w:r>
      <w:bookmarkStart w:id="809" w:name="_Toc420814739"/>
      <w:r w:rsidRPr="00FC7835">
        <w:lastRenderedPageBreak/>
        <w:t xml:space="preserve">Title: </w:t>
      </w:r>
      <w:r w:rsidRPr="00770902">
        <w:t>Bipolar Disorders</w:t>
      </w:r>
      <w:bookmarkEnd w:id="809"/>
    </w:p>
    <w:p w:rsidR="00E34926" w:rsidRDefault="00E34926" w:rsidP="00E34926">
      <w:pPr>
        <w:pStyle w:val="12"/>
      </w:pPr>
      <w:r w:rsidRPr="00C35FD7">
        <w:t xml:space="preserve">Full Journal Title: </w:t>
      </w:r>
      <w:r w:rsidRPr="00770902">
        <w:t>B</w:t>
      </w:r>
      <w:bookmarkStart w:id="810" w:name="_Toc310936670"/>
      <w:r w:rsidRPr="00770902">
        <w:t>ipolar Disorders</w:t>
      </w:r>
    </w:p>
    <w:p w:rsidR="00E34926" w:rsidRPr="00250070" w:rsidRDefault="00E34926" w:rsidP="00E34926">
      <w:pPr>
        <w:pStyle w:val="12"/>
      </w:pPr>
      <w:r w:rsidRPr="00C35FD7">
        <w:t>ISO Abb</w:t>
      </w:r>
      <w:bookmarkEnd w:id="810"/>
      <w:r w:rsidRPr="00C35FD7">
        <w:t>reviated Title:</w:t>
      </w:r>
      <w:r w:rsidRPr="00250070">
        <w:t xml:space="preserve"> </w:t>
      </w:r>
    </w:p>
    <w:p w:rsidR="00E34926" w:rsidRPr="00C35FD7" w:rsidRDefault="00E34926" w:rsidP="00E34926">
      <w:pPr>
        <w:pStyle w:val="12"/>
      </w:pPr>
      <w:r w:rsidRPr="00C35FD7">
        <w:t xml:space="preserve">JCR Abbreviated Title: </w:t>
      </w:r>
    </w:p>
    <w:p w:rsidR="00E34926" w:rsidRPr="00C35FD7" w:rsidRDefault="00E34926" w:rsidP="00E34926">
      <w:pPr>
        <w:pStyle w:val="12"/>
      </w:pPr>
      <w:r w:rsidRPr="00C35FD7">
        <w:t xml:space="preserve">ISSN: </w:t>
      </w:r>
    </w:p>
    <w:p w:rsidR="00E34926" w:rsidRPr="00C35FD7" w:rsidRDefault="00E34926" w:rsidP="00E34926">
      <w:pPr>
        <w:pStyle w:val="12"/>
      </w:pPr>
      <w:r w:rsidRPr="00C35FD7">
        <w:t xml:space="preserve">Issues/Year: </w:t>
      </w:r>
    </w:p>
    <w:p w:rsidR="00E34926" w:rsidRPr="00C35FD7" w:rsidRDefault="00E34926" w:rsidP="00E34926">
      <w:pPr>
        <w:pStyle w:val="12"/>
      </w:pPr>
      <w:r>
        <w:t xml:space="preserve">Journal Country/Territory: </w:t>
      </w:r>
    </w:p>
    <w:p w:rsidR="00E34926" w:rsidRPr="00C35FD7" w:rsidRDefault="00E34926" w:rsidP="00E34926">
      <w:pPr>
        <w:pStyle w:val="12"/>
      </w:pPr>
      <w:r w:rsidRPr="00C35FD7">
        <w:t xml:space="preserve">Language: </w:t>
      </w:r>
    </w:p>
    <w:p w:rsidR="00E34926" w:rsidRPr="00C35FD7" w:rsidRDefault="00E34926" w:rsidP="00E34926">
      <w:pPr>
        <w:pStyle w:val="12"/>
      </w:pPr>
      <w:r w:rsidRPr="00C35FD7">
        <w:t xml:space="preserve">Publisher: </w:t>
      </w:r>
    </w:p>
    <w:p w:rsidR="00E34926" w:rsidRPr="00C35FD7" w:rsidRDefault="00E34926" w:rsidP="00E34926">
      <w:pPr>
        <w:pStyle w:val="12"/>
      </w:pPr>
      <w:r w:rsidRPr="00C35FD7">
        <w:t xml:space="preserve">Publisher Address: </w:t>
      </w:r>
    </w:p>
    <w:p w:rsidR="00E34926" w:rsidRPr="00C35FD7" w:rsidRDefault="00E34926" w:rsidP="00E34926">
      <w:pPr>
        <w:pStyle w:val="12"/>
      </w:pPr>
      <w:r w:rsidRPr="00C35FD7">
        <w:t xml:space="preserve">Subject Categories: </w:t>
      </w:r>
    </w:p>
    <w:p w:rsidR="00696D4A" w:rsidRDefault="00696D4A" w:rsidP="00696D4A">
      <w:pPr>
        <w:pStyle w:val="a3"/>
        <w:rPr>
          <w:kern w:val="0"/>
          <w:szCs w:val="24"/>
        </w:rPr>
      </w:pPr>
      <w:r>
        <w:rPr>
          <w:rFonts w:hint="eastAsia"/>
          <w:kern w:val="0"/>
          <w:szCs w:val="24"/>
        </w:rPr>
        <w:t xml:space="preserve">? </w:t>
      </w:r>
      <w:r>
        <w:rPr>
          <w:kern w:val="0"/>
          <w:szCs w:val="24"/>
        </w:rPr>
        <w:t xml:space="preserve">Esmaeili, M.A., Gudarzi, S.S. and Mahdavi, N. (2008), Bibliometric analysis of the research on mood disorders in Iran. </w:t>
      </w:r>
      <w:r>
        <w:rPr>
          <w:i/>
          <w:iCs/>
          <w:kern w:val="0"/>
          <w:szCs w:val="24"/>
        </w:rPr>
        <w:t>Bipolar Disorders</w:t>
      </w:r>
      <w:r>
        <w:rPr>
          <w:kern w:val="0"/>
          <w:szCs w:val="24"/>
        </w:rPr>
        <w:t xml:space="preserve">, </w:t>
      </w:r>
      <w:r>
        <w:rPr>
          <w:b/>
          <w:bCs/>
          <w:kern w:val="0"/>
          <w:szCs w:val="24"/>
        </w:rPr>
        <w:t>10</w:t>
      </w:r>
      <w:r>
        <w:rPr>
          <w:kern w:val="0"/>
          <w:szCs w:val="24"/>
        </w:rPr>
        <w:t>, 68</w:t>
      </w:r>
      <w:r w:rsidR="00C6271C">
        <w:rPr>
          <w:rFonts w:hint="eastAsia"/>
          <w:kern w:val="0"/>
          <w:szCs w:val="24"/>
        </w:rPr>
        <w:t>.</w:t>
      </w:r>
    </w:p>
    <w:p w:rsidR="00696D4A" w:rsidRDefault="00696D4A" w:rsidP="00696D4A">
      <w:pPr>
        <w:pStyle w:val="a3"/>
        <w:rPr>
          <w:kern w:val="0"/>
        </w:rPr>
      </w:pPr>
      <w:r>
        <w:rPr>
          <w:rFonts w:hint="eastAsia"/>
          <w:kern w:val="0"/>
        </w:rPr>
        <w:t xml:space="preserve">Full Text: </w:t>
      </w:r>
      <w:hyperlink r:id="rId1506" w:history="1">
        <w:r w:rsidR="00C6271C" w:rsidRPr="00C6271C">
          <w:rPr>
            <w:rStyle w:val="a5"/>
            <w:kern w:val="0"/>
          </w:rPr>
          <w:t>2008\Bip Dis10, 68.pdf</w:t>
        </w:r>
      </w:hyperlink>
    </w:p>
    <w:p w:rsidR="00696D4A" w:rsidRDefault="00696D4A" w:rsidP="00696D4A">
      <w:pPr>
        <w:pStyle w:val="a3"/>
        <w:rPr>
          <w:kern w:val="0"/>
          <w:szCs w:val="24"/>
        </w:rPr>
      </w:pPr>
      <w:r>
        <w:rPr>
          <w:kern w:val="0"/>
          <w:szCs w:val="24"/>
        </w:rPr>
        <w:t>Keywords: Bibliometric, Bibliometric analysis, Iran, research</w:t>
      </w:r>
    </w:p>
    <w:p w:rsidR="00E34926" w:rsidRDefault="00E34926" w:rsidP="00E34926">
      <w:pPr>
        <w:pStyle w:val="a3"/>
        <w:rPr>
          <w:kern w:val="0"/>
        </w:rPr>
      </w:pPr>
      <w:r>
        <w:rPr>
          <w:rFonts w:hint="eastAsia"/>
          <w:kern w:val="0"/>
        </w:rPr>
        <w:t xml:space="preserve">? </w:t>
      </w:r>
      <w:r>
        <w:rPr>
          <w:kern w:val="0"/>
        </w:rPr>
        <w:t>Sarris, J., Mischoulon, D.</w:t>
      </w:r>
      <w:r w:rsidR="005853A9">
        <w:rPr>
          <w:kern w:val="0"/>
        </w:rPr>
        <w:t xml:space="preserve"> and </w:t>
      </w:r>
      <w:r>
        <w:rPr>
          <w:kern w:val="0"/>
        </w:rPr>
        <w:t>Schweitzer, I. (2011), Adjunctive nutraceuticals with standard pharmacotherapies in bipolar disorder: A systematic review</w:t>
      </w:r>
      <w:r w:rsidR="00427468">
        <w:rPr>
          <w:kern w:val="0"/>
        </w:rPr>
        <w:t xml:space="preserve"> of </w:t>
      </w:r>
      <w:r>
        <w:rPr>
          <w:kern w:val="0"/>
        </w:rPr>
        <w:t xml:space="preserve">clinical trials. </w:t>
      </w:r>
      <w:r>
        <w:rPr>
          <w:i/>
          <w:iCs/>
          <w:kern w:val="0"/>
        </w:rPr>
        <w:t>Bipolar Disorders</w:t>
      </w:r>
      <w:r>
        <w:rPr>
          <w:kern w:val="0"/>
        </w:rPr>
        <w:t xml:space="preserve">, </w:t>
      </w:r>
      <w:r>
        <w:rPr>
          <w:b/>
          <w:bCs/>
          <w:kern w:val="0"/>
        </w:rPr>
        <w:t>13</w:t>
      </w:r>
      <w:r>
        <w:rPr>
          <w:kern w:val="0"/>
        </w:rPr>
        <w:t xml:space="preserve"> (5-6), 454-465.</w:t>
      </w:r>
    </w:p>
    <w:p w:rsidR="00E34926" w:rsidRDefault="00E34926" w:rsidP="00E34926">
      <w:pPr>
        <w:pStyle w:val="a3"/>
        <w:rPr>
          <w:kern w:val="0"/>
        </w:rPr>
      </w:pPr>
      <w:r>
        <w:rPr>
          <w:rFonts w:hint="eastAsia"/>
          <w:kern w:val="0"/>
        </w:rPr>
        <w:t xml:space="preserve">Full Text: </w:t>
      </w:r>
      <w:hyperlink r:id="rId1507" w:history="1">
        <w:r w:rsidRPr="00117EEB">
          <w:rPr>
            <w:rStyle w:val="a5"/>
            <w:kern w:val="0"/>
          </w:rPr>
          <w:t>2011\Bip Dis13, 454.pdf</w:t>
        </w:r>
      </w:hyperlink>
    </w:p>
    <w:p w:rsidR="00E34926" w:rsidRDefault="00E34926" w:rsidP="00E34926">
      <w:pPr>
        <w:pStyle w:val="a3"/>
        <w:rPr>
          <w:kern w:val="0"/>
        </w:rPr>
      </w:pPr>
      <w:r>
        <w:rPr>
          <w:kern w:val="0"/>
        </w:rPr>
        <w:t>Abstract: Objective: Studies using augmentation</w:t>
      </w:r>
      <w:r w:rsidR="00427468">
        <w:rPr>
          <w:kern w:val="0"/>
        </w:rPr>
        <w:t xml:space="preserve"> of </w:t>
      </w:r>
      <w:r>
        <w:rPr>
          <w:kern w:val="0"/>
        </w:rPr>
        <w:t>pharmacotherapies with nutraceuticals in bipolar disorder (BD) have been conducted</w:t>
      </w:r>
      <w:r w:rsidR="005853A9">
        <w:rPr>
          <w:kern w:val="0"/>
        </w:rPr>
        <w:t xml:space="preserve"> and </w:t>
      </w:r>
      <w:r>
        <w:rPr>
          <w:kern w:val="0"/>
        </w:rPr>
        <w:t>preliminary evidence in many cases appears positive. To date, however, no specialized systematic review</w:t>
      </w:r>
      <w:r w:rsidR="00427468">
        <w:rPr>
          <w:kern w:val="0"/>
        </w:rPr>
        <w:t xml:space="preserve"> of </w:t>
      </w:r>
      <w:r>
        <w:rPr>
          <w:kern w:val="0"/>
        </w:rPr>
        <w:t>this area has been conducted. We present</w:t>
      </w:r>
      <w:r w:rsidR="003A1917">
        <w:rPr>
          <w:kern w:val="0"/>
        </w:rPr>
        <w:t xml:space="preserve"> the </w:t>
      </w:r>
      <w:r>
        <w:rPr>
          <w:kern w:val="0"/>
        </w:rPr>
        <w:t>first systematic review</w:t>
      </w:r>
      <w:r w:rsidR="00427468">
        <w:rPr>
          <w:kern w:val="0"/>
        </w:rPr>
        <w:t xml:space="preserve"> of </w:t>
      </w:r>
      <w:r>
        <w:rPr>
          <w:kern w:val="0"/>
        </w:rPr>
        <w:t>clinical trials using nutrient-based nutraceuticals in combination with standard pharmacotherapies to treat BD. A subsequent aim</w:t>
      </w:r>
      <w:r w:rsidR="00427468">
        <w:rPr>
          <w:kern w:val="0"/>
        </w:rPr>
        <w:t xml:space="preserve"> of </w:t>
      </w:r>
      <w:r>
        <w:rPr>
          <w:kern w:val="0"/>
        </w:rPr>
        <w:t>this report was to discuss posited underlying mechanisms</w:t>
      </w:r>
      <w:r w:rsidR="00427468">
        <w:rPr>
          <w:kern w:val="0"/>
        </w:rPr>
        <w:t xml:space="preserve"> of </w:t>
      </w:r>
      <w:r>
        <w:rPr>
          <w:kern w:val="0"/>
        </w:rPr>
        <w:t xml:space="preserve">action. Methods: PubMed, CINAHL,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Cochrane Library databases,</w:t>
      </w:r>
      <w:r w:rsidR="005853A9">
        <w:rPr>
          <w:kern w:val="0"/>
        </w:rPr>
        <w:t xml:space="preserve"> and </w:t>
      </w:r>
      <w:r>
        <w:rPr>
          <w:kern w:val="0"/>
        </w:rPr>
        <w:t>grey literature were searched during mid-2010 for human clinical trials in English using nutraceuticals such as omega-3, N-acetyl cysteine (NAC), inositol,</w:t>
      </w:r>
      <w:r w:rsidR="005853A9">
        <w:rPr>
          <w:kern w:val="0"/>
        </w:rPr>
        <w:t xml:space="preserve"> and </w:t>
      </w:r>
      <w:r>
        <w:rPr>
          <w:kern w:val="0"/>
        </w:rPr>
        <w:t>vitamins</w:t>
      </w:r>
      <w:r w:rsidR="005853A9">
        <w:rPr>
          <w:kern w:val="0"/>
        </w:rPr>
        <w:t xml:space="preserve"> and </w:t>
      </w:r>
      <w:r>
        <w:rPr>
          <w:kern w:val="0"/>
        </w:rPr>
        <w:t>minerals, in combination with pharmacotherapies to treat bipolar mania</w:t>
      </w:r>
      <w:r w:rsidR="005853A9">
        <w:rPr>
          <w:kern w:val="0"/>
        </w:rPr>
        <w:t xml:space="preserve"> and </w:t>
      </w:r>
      <w:r>
        <w:rPr>
          <w:kern w:val="0"/>
        </w:rPr>
        <w:t>bipolar depression. A review</w:t>
      </w:r>
      <w:r w:rsidR="00427468">
        <w:rPr>
          <w:kern w:val="0"/>
        </w:rPr>
        <w:t xml:space="preserve"> of </w:t>
      </w:r>
      <w:r w:rsidR="003A1917">
        <w:rPr>
          <w:kern w:val="0"/>
        </w:rPr>
        <w:t xml:space="preserve">the </w:t>
      </w:r>
      <w:r>
        <w:rPr>
          <w:kern w:val="0"/>
        </w:rPr>
        <w:t>results including an effect size analysis (Cohen</w:t>
      </w:r>
      <w:r w:rsidR="00700038">
        <w:rPr>
          <w:kern w:val="0"/>
        </w:rPr>
        <w:t>’</w:t>
      </w:r>
      <w:r>
        <w:rPr>
          <w:kern w:val="0"/>
        </w:rPr>
        <w:t>s d) was subsequently conducted. Results: In treating bipolar depression, positive evidence with large effect sizes were found for NAC (d = 1.04)</w:t>
      </w:r>
      <w:r w:rsidR="005853A9">
        <w:rPr>
          <w:kern w:val="0"/>
        </w:rPr>
        <w:t xml:space="preserve"> and </w:t>
      </w:r>
      <w:r>
        <w:rPr>
          <w:kern w:val="0"/>
        </w:rPr>
        <w:t>a chelated mineral</w:t>
      </w:r>
      <w:r w:rsidR="005853A9">
        <w:rPr>
          <w:kern w:val="0"/>
        </w:rPr>
        <w:t xml:space="preserve"> and </w:t>
      </w:r>
      <w:r>
        <w:rPr>
          <w:kern w:val="0"/>
        </w:rPr>
        <w:t>vitamin formula (d = 1.70). On</w:t>
      </w:r>
      <w:r w:rsidR="003A1917">
        <w:rPr>
          <w:kern w:val="0"/>
        </w:rPr>
        <w:t xml:space="preserve"> the </w:t>
      </w:r>
      <w:r>
        <w:rPr>
          <w:kern w:val="0"/>
        </w:rPr>
        <w:t>outcome</w:t>
      </w:r>
      <w:r w:rsidR="00427468">
        <w:rPr>
          <w:kern w:val="0"/>
        </w:rPr>
        <w:t xml:space="preserve"> of </w:t>
      </w:r>
      <w:r>
        <w:rPr>
          <w:kern w:val="0"/>
        </w:rPr>
        <w:t>bipolar mania, several nutraceuticals reduced mania with strong clinical effects: a chelated mineral formula (d = 0.83), L-tryptophan (d = 1.47), magnesium (d = 1.44), folic acid (d = 0.40),</w:t>
      </w:r>
      <w:r w:rsidR="005853A9">
        <w:rPr>
          <w:kern w:val="0"/>
        </w:rPr>
        <w:t xml:space="preserve"> and </w:t>
      </w:r>
      <w:r>
        <w:rPr>
          <w:kern w:val="0"/>
        </w:rPr>
        <w:t xml:space="preserve">branched-chain amino acids (d = 1.60). Mixed, but mainly positive, evidence was found for omega-3 for bipolar </w:t>
      </w:r>
      <w:r>
        <w:rPr>
          <w:kern w:val="0"/>
        </w:rPr>
        <w:lastRenderedPageBreak/>
        <w:t>depression, while no evidentiary support was found for use in mania. No significant effect on BD outcome scales was found for inositol (possibly due to small samples). Conclusions: BD treatment outcomes may potentially be improved by additional use</w:t>
      </w:r>
      <w:r w:rsidR="00427468">
        <w:rPr>
          <w:kern w:val="0"/>
        </w:rPr>
        <w:t xml:space="preserve"> of </w:t>
      </w:r>
      <w:r>
        <w:rPr>
          <w:kern w:val="0"/>
        </w:rPr>
        <w:t>certain nutraceuticals with conventional pharmacotherapies. However, caution should be extended in interpreting</w:t>
      </w:r>
      <w:r w:rsidR="003A1917">
        <w:rPr>
          <w:kern w:val="0"/>
        </w:rPr>
        <w:t xml:space="preserve"> the </w:t>
      </w:r>
      <w:r>
        <w:rPr>
          <w:kern w:val="0"/>
        </w:rPr>
        <w:t>large effects</w:t>
      </w:r>
      <w:r w:rsidR="00427468">
        <w:rPr>
          <w:kern w:val="0"/>
        </w:rPr>
        <w:t xml:space="preserve"> of </w:t>
      </w:r>
      <w:r>
        <w:rPr>
          <w:kern w:val="0"/>
        </w:rPr>
        <w:t>several isolated studies, as they have not yet been replicated in larger trials.</w:t>
      </w:r>
    </w:p>
    <w:p w:rsidR="00E34926" w:rsidRDefault="00E34926" w:rsidP="00E34926">
      <w:pPr>
        <w:pStyle w:val="a3"/>
        <w:rPr>
          <w:kern w:val="0"/>
        </w:rPr>
      </w:pPr>
      <w:r>
        <w:rPr>
          <w:kern w:val="0"/>
        </w:rPr>
        <w:t xml:space="preserve">Keywords: Acid, Adjunctive, Analysis, Bipolar Depression, Bipolar Disorder, Clinical Trials, Cochrane, Databases, Depression, Disorder, Docosahexaenoic Acid, Double-Blind, English, Folic Acid, Human, Literature, Magnesium, Major Depressive Disorder, Mania, Mania, Mechanisms, Methods, Mood, Mood Stabilizers, Nutraceuticals, Nutrients, Omega-3, Omega-3-Fatty-Acids, Open-Label Trial, Outcome, Outcomes, Placebo-Controlled-Trial, Polyunsaturated Fatty-Acids, Pubmed, Rating-Scale, Review, Science, Systematic, Systematic Review, Treatment, Treatment Outcomes, </w:t>
      </w:r>
      <w:r w:rsidR="00D5664A">
        <w:rPr>
          <w:kern w:val="0"/>
        </w:rPr>
        <w:t>Web</w:t>
      </w:r>
      <w:r w:rsidR="00427468">
        <w:rPr>
          <w:kern w:val="0"/>
        </w:rPr>
        <w:t xml:space="preserve"> of </w:t>
      </w:r>
      <w:r w:rsidR="00D5664A">
        <w:rPr>
          <w:kern w:val="0"/>
        </w:rPr>
        <w:t>Science</w:t>
      </w:r>
    </w:p>
    <w:p w:rsidR="00704FE8" w:rsidRDefault="00704FE8" w:rsidP="00704FE8">
      <w:pPr>
        <w:pStyle w:val="a3"/>
        <w:rPr>
          <w:kern w:val="0"/>
        </w:rPr>
      </w:pPr>
      <w:r>
        <w:rPr>
          <w:rFonts w:hint="eastAsia"/>
          <w:kern w:val="0"/>
        </w:rPr>
        <w:t xml:space="preserve">? </w:t>
      </w:r>
      <w:r>
        <w:rPr>
          <w:kern w:val="0"/>
        </w:rPr>
        <w:t>Biglu, M.H.</w:t>
      </w:r>
      <w:r w:rsidR="005853A9">
        <w:rPr>
          <w:kern w:val="0"/>
        </w:rPr>
        <w:t xml:space="preserve"> and </w:t>
      </w:r>
      <w:r>
        <w:rPr>
          <w:kern w:val="0"/>
        </w:rPr>
        <w:t>Chakhmachi, N. (2012), Scientometrics study</w:t>
      </w:r>
      <w:r w:rsidR="00427468">
        <w:rPr>
          <w:kern w:val="0"/>
        </w:rPr>
        <w:t xml:space="preserve"> of </w:t>
      </w:r>
      <w:r>
        <w:rPr>
          <w:kern w:val="0"/>
        </w:rPr>
        <w:t xml:space="preserve">bipolar disorder in </w:t>
      </w:r>
      <w:r w:rsidR="00D5664A">
        <w:rPr>
          <w:kern w:val="0"/>
        </w:rPr>
        <w:t>Web</w:t>
      </w:r>
      <w:r w:rsidR="00427468">
        <w:rPr>
          <w:kern w:val="0"/>
        </w:rPr>
        <w:t xml:space="preserve"> of </w:t>
      </w:r>
      <w:r w:rsidR="00D5664A">
        <w:rPr>
          <w:kern w:val="0"/>
        </w:rPr>
        <w:t>Science</w:t>
      </w:r>
      <w:r>
        <w:rPr>
          <w:kern w:val="0"/>
        </w:rPr>
        <w:t xml:space="preserve"> (2006-2010). </w:t>
      </w:r>
      <w:r>
        <w:rPr>
          <w:i/>
          <w:iCs/>
          <w:kern w:val="0"/>
        </w:rPr>
        <w:t>Bipolar Disorders</w:t>
      </w:r>
      <w:r>
        <w:rPr>
          <w:kern w:val="0"/>
        </w:rPr>
        <w:t xml:space="preserve">, </w:t>
      </w:r>
      <w:r>
        <w:rPr>
          <w:b/>
          <w:bCs/>
          <w:kern w:val="0"/>
        </w:rPr>
        <w:t>14</w:t>
      </w:r>
      <w:r>
        <w:rPr>
          <w:rFonts w:hint="eastAsia"/>
          <w:kern w:val="0"/>
        </w:rPr>
        <w:t xml:space="preserve"> (S1),</w:t>
      </w:r>
      <w:r>
        <w:rPr>
          <w:kern w:val="0"/>
        </w:rPr>
        <w:t xml:space="preserve"> 62</w:t>
      </w:r>
      <w:r>
        <w:rPr>
          <w:rFonts w:hint="eastAsia"/>
          <w:kern w:val="0"/>
        </w:rPr>
        <w:t>.</w:t>
      </w:r>
    </w:p>
    <w:p w:rsidR="00704FE8" w:rsidRDefault="00704FE8" w:rsidP="00704FE8">
      <w:pPr>
        <w:pStyle w:val="a3"/>
        <w:rPr>
          <w:kern w:val="0"/>
        </w:rPr>
      </w:pPr>
      <w:r>
        <w:rPr>
          <w:rFonts w:hint="eastAsia"/>
          <w:kern w:val="0"/>
        </w:rPr>
        <w:t xml:space="preserve">Full Text: </w:t>
      </w:r>
      <w:hyperlink r:id="rId1508" w:history="1">
        <w:r w:rsidR="00FA0CA3" w:rsidRPr="00FA0CA3">
          <w:rPr>
            <w:rStyle w:val="a5"/>
            <w:kern w:val="0"/>
          </w:rPr>
          <w:t>2012\Bip Dis14, 62.pdf</w:t>
        </w:r>
      </w:hyperlink>
    </w:p>
    <w:p w:rsidR="00704FE8" w:rsidRDefault="00704FE8" w:rsidP="00704FE8">
      <w:pPr>
        <w:pStyle w:val="a3"/>
        <w:rPr>
          <w:kern w:val="0"/>
        </w:rPr>
      </w:pPr>
      <w:r>
        <w:rPr>
          <w:kern w:val="0"/>
        </w:rPr>
        <w:t xml:space="preserve">Keywords: Bipolar, Bipolar Disorder, Germany, Iran, Mar, Science, Scientometrics, SI, Turkey, Web, </w:t>
      </w:r>
      <w:r w:rsidR="00D5664A">
        <w:rPr>
          <w:kern w:val="0"/>
        </w:rPr>
        <w:t>Web</w:t>
      </w:r>
      <w:r w:rsidR="00427468">
        <w:rPr>
          <w:kern w:val="0"/>
        </w:rPr>
        <w:t xml:space="preserve"> of </w:t>
      </w:r>
      <w:r w:rsidR="00D5664A">
        <w:rPr>
          <w:kern w:val="0"/>
        </w:rPr>
        <w:t>Science</w:t>
      </w:r>
      <w:r>
        <w:rPr>
          <w:kern w:val="0"/>
        </w:rPr>
        <w:t>, Wo</w:t>
      </w:r>
      <w:r>
        <w:rPr>
          <w:rFonts w:hint="eastAsia"/>
          <w:kern w:val="0"/>
        </w:rPr>
        <w:t>S</w:t>
      </w:r>
    </w:p>
    <w:p w:rsidR="009C57A2" w:rsidRDefault="009C57A2" w:rsidP="009C57A2">
      <w:pPr>
        <w:pStyle w:val="a3"/>
        <w:rPr>
          <w:kern w:val="0"/>
        </w:rPr>
      </w:pPr>
      <w:r>
        <w:rPr>
          <w:rFonts w:hint="eastAsia"/>
          <w:kern w:val="0"/>
        </w:rPr>
        <w:t xml:space="preserve">? </w:t>
      </w:r>
      <w:r>
        <w:rPr>
          <w:kern w:val="0"/>
        </w:rPr>
        <w:t xml:space="preserve">Malhi, G.S., Bargh, D.M., Coulston, C.M., Das, P. and Berk, M. (2014), Predicting bipolar disorder on the basis of phenomenology: Implications for prevention and early intervention. </w:t>
      </w:r>
      <w:r>
        <w:rPr>
          <w:i/>
          <w:iCs/>
          <w:kern w:val="0"/>
        </w:rPr>
        <w:t>Bipolar Disorders</w:t>
      </w:r>
      <w:r>
        <w:rPr>
          <w:kern w:val="0"/>
        </w:rPr>
        <w:t xml:space="preserve">, </w:t>
      </w:r>
      <w:r>
        <w:rPr>
          <w:b/>
          <w:bCs/>
          <w:kern w:val="0"/>
        </w:rPr>
        <w:t>16</w:t>
      </w:r>
      <w:r>
        <w:rPr>
          <w:kern w:val="0"/>
        </w:rPr>
        <w:t xml:space="preserve"> (5), 455-470.</w:t>
      </w:r>
    </w:p>
    <w:p w:rsidR="009C57A2" w:rsidRDefault="009C57A2" w:rsidP="009C57A2">
      <w:pPr>
        <w:pStyle w:val="a3"/>
        <w:rPr>
          <w:kern w:val="0"/>
        </w:rPr>
      </w:pPr>
      <w:r>
        <w:rPr>
          <w:rFonts w:hint="eastAsia"/>
          <w:kern w:val="0"/>
        </w:rPr>
        <w:t xml:space="preserve">Full Text: </w:t>
      </w:r>
      <w:hyperlink r:id="rId1509" w:history="1">
        <w:r w:rsidR="007C47CA" w:rsidRPr="007C47CA">
          <w:rPr>
            <w:rStyle w:val="a5"/>
            <w:kern w:val="0"/>
          </w:rPr>
          <w:t>2014\Bip Dis16, 455.pdf</w:t>
        </w:r>
      </w:hyperlink>
    </w:p>
    <w:p w:rsidR="009C57A2" w:rsidRDefault="009C57A2" w:rsidP="009C57A2">
      <w:pPr>
        <w:pStyle w:val="a3"/>
        <w:rPr>
          <w:kern w:val="0"/>
        </w:rPr>
      </w:pPr>
      <w:r>
        <w:rPr>
          <w:kern w:val="0"/>
        </w:rPr>
        <w:t xml:space="preserve">Abstract: Objective: Bipolar disorder is a multifaceted illness and there is often a substantial delay between the first onset of symptoms and diagnosis. Early detection has the potential to curtail illness progression and disorder-associated burden but it requires a clear understanding of the initial bipolar prodrome. This article summarizes the phenomenology of bipolar disorder with an emphasis on the initial prodrome, the evolution of the illness, and the implications for prevention and early intervention. Methods: A literature review was undertaken using Medline, Web of Science, and a hand search of relevant literature using keywords (e.g., phenomenology, initial or early symptoms, risk factors, and predictors/prediction). Findings from the literature were reviewed and synthesized and have been put into a clinical context. Results: Bipolar disorder is a recurrent, persistent, and disabling illness that typically develops in adolescence or early adulthood. The literature search yielded 28 articles, in which mood lability, nonspecific, non-mood symptoms, and cyclothymic temperament were the most cited prodromal features. Conclusions: A small number of key prospective studies have provided evidence in support of an initial bipolar prodrome; however, methodological differences across studies have </w:t>
      </w:r>
      <w:r>
        <w:rPr>
          <w:kern w:val="0"/>
        </w:rPr>
        <w:lastRenderedPageBreak/>
        <w:t>prohibited its clear delineation. It is, therefore, not currently possible to anticipate those who will develop bipolar disorder solely on the basis of early phenomenology. Accurate characterization of the bipolar disorder prodrome through high-quality, prospective research studies with adequate control groups will ultimately facilitate prompt and accurate diagnosis.</w:t>
      </w:r>
    </w:p>
    <w:p w:rsidR="009C57A2" w:rsidRDefault="009C57A2" w:rsidP="009C57A2">
      <w:pPr>
        <w:pStyle w:val="a3"/>
        <w:rPr>
          <w:kern w:val="0"/>
        </w:rPr>
      </w:pPr>
      <w:r>
        <w:rPr>
          <w:kern w:val="0"/>
        </w:rPr>
        <w:t>Keywords: Adolescence, Article, Articles, Bipolar, Bipolar Disorder, Burden, Characterization, Clinical, Context, Control, Control Groups, Depression, Diagnosis, Early Intervention, Early-Onset, Evidence, Evolution, First, Groups, High-Risk, I Disorder, Intervention, Literature, Literature Review, Literature Search, Mania, Manic-Depressive Insanity, Medline, Methods, Mood, Mood Lability, Natural-History, Onset, Phenomenology Prevention, Potential, Prevention, Prodromal Features, Prodrome, Progression, Prospective, Prospective Studies, Recurrent, Research, Results, Review, Risk, Risk Factors, Science, Si, Small, Spectrum Disorders, Support, Symptoms, Treatment Enhancement Program, Understanding, Web Of Science, Weekly Symptomatic Status, Well Amish Children</w:t>
      </w:r>
    </w:p>
    <w:p w:rsidR="004F3E0E" w:rsidRDefault="004F3E0E" w:rsidP="004F3E0E">
      <w:pPr>
        <w:pStyle w:val="a3"/>
        <w:rPr>
          <w:kern w:val="0"/>
        </w:rPr>
      </w:pPr>
      <w:r>
        <w:rPr>
          <w:rFonts w:hint="eastAsia"/>
          <w:kern w:val="0"/>
        </w:rPr>
        <w:t xml:space="preserve">? </w:t>
      </w:r>
      <w:r>
        <w:rPr>
          <w:kern w:val="0"/>
        </w:rPr>
        <w:t xml:space="preserve">Gonzalez-Castro, T.B., Nicolini, H., Lanzagorta, N., Lopez-Narvaez, L., Genis, A., Garcia, S.P. and Tovilla-Zarate, C.A. (2015), The role of brain-derived neurotrophic factor (BDNF) Val66Met genetic polymorphism in bipolar disorder: A case-control study, comorbidities, and meta-analysis of 16,786 subjects. </w:t>
      </w:r>
      <w:r>
        <w:rPr>
          <w:i/>
          <w:iCs/>
          <w:kern w:val="0"/>
        </w:rPr>
        <w:t>Bipolar Disorders</w:t>
      </w:r>
      <w:r>
        <w:rPr>
          <w:kern w:val="0"/>
        </w:rPr>
        <w:t xml:space="preserve">, </w:t>
      </w:r>
      <w:r>
        <w:rPr>
          <w:b/>
          <w:bCs/>
          <w:kern w:val="0"/>
        </w:rPr>
        <w:t>17</w:t>
      </w:r>
      <w:r>
        <w:rPr>
          <w:kern w:val="0"/>
        </w:rPr>
        <w:t xml:space="preserve"> (1), 27-38.</w:t>
      </w:r>
    </w:p>
    <w:p w:rsidR="004F3E0E" w:rsidRDefault="004F3E0E" w:rsidP="004F3E0E">
      <w:pPr>
        <w:pStyle w:val="a3"/>
        <w:rPr>
          <w:kern w:val="0"/>
        </w:rPr>
      </w:pPr>
      <w:r>
        <w:rPr>
          <w:rFonts w:hint="eastAsia"/>
          <w:kern w:val="0"/>
        </w:rPr>
        <w:t xml:space="preserve">Full Text: </w:t>
      </w:r>
      <w:hyperlink r:id="rId1510" w:history="1">
        <w:r w:rsidRPr="004F3E0E">
          <w:rPr>
            <w:rStyle w:val="a5"/>
            <w:kern w:val="0"/>
          </w:rPr>
          <w:t>2015\Bip Dis17, 27.pdf</w:t>
        </w:r>
      </w:hyperlink>
    </w:p>
    <w:p w:rsidR="004F3E0E" w:rsidRDefault="004F3E0E" w:rsidP="004F3E0E">
      <w:pPr>
        <w:pStyle w:val="a3"/>
        <w:rPr>
          <w:kern w:val="0"/>
        </w:rPr>
      </w:pPr>
      <w:r>
        <w:rPr>
          <w:kern w:val="0"/>
        </w:rPr>
        <w:t xml:space="preserve">Abstract: ObjectivesThe aim of this study was to evaluate the association of Val66Met brain-derived neurotrophic factor (BDNF) polymorphism with bipolar disorder in (i) a meta-analysis and (ii) a case-control study in a Mexican population. We also investigated the possible association of this polymorphism with clinical features. MethodsWe performed a keyword search of the PubMed and Web of Science databases. A total of 22 studies that have investigated the association of Val66Met (rs6265) with bipolar disorder were selected for inclusion and combined with random effects meta-analysis, using allelic, additive, dominant, and recessive models. Finally, the single nucleotide polymorphism (rs6265) Val66Met in the BDNF gene was genotyped and compared between 139 patients with bipolar disorder and 141 healthy volunteers in a Mexican population. ResultsThe pooled results from the meta-analysis (9,349 cases and 7,437 controls) did not show a significant association in any of the models. The same results were obtained in our case-control study when analyzing the distribution of the genotypic frequencies of the Val66Met polymorphism in patients with bipolar disorder. However, when we analyzed the association between rs6265 and lifetime history of suicidal behavior, we found an association between genotype Val-Val and suicide attempt (p=0.02). ConclusionsAlthough the present study has some limitations, the results indicate a </w:t>
      </w:r>
      <w:r>
        <w:rPr>
          <w:kern w:val="0"/>
        </w:rPr>
        <w:lastRenderedPageBreak/>
        <w:t>lack of association between the Val66Met polymorphism and bipolar disorder. However, in our case-control study in a Mexican population, the Val66Met polymorphism was associated with suicidal behavior in patients with bipolar disorder. Nevertheless, it is important to consider potential interactions of the BDNF gene, the environment, and different inheritance patterns, when carrying out future genetic studies with larger samples.</w:t>
      </w:r>
    </w:p>
    <w:p w:rsidR="004F3E0E" w:rsidRDefault="004F3E0E" w:rsidP="004F3E0E">
      <w:pPr>
        <w:pStyle w:val="a3"/>
        <w:rPr>
          <w:kern w:val="0"/>
        </w:rPr>
      </w:pPr>
      <w:r>
        <w:rPr>
          <w:kern w:val="0"/>
        </w:rPr>
        <w:t>Keywords: Age-Of-Onset, Anxiety Disorder, Association, Behavior, Bipolar, Bipolar Disorder, Brain-Derived Neurotrophic Factor, Brain-Derived Neurotrophic Factor (Bdnf) Gene, Case-Control, Case-Control Study, Chinese Population, Clinical, Clinical Features, Databases, Distribution, Effects, Environment, From, Gene, Genetic, Genetic Polymorphism, Han Chinese, History, Ii Disorder, Major Depressive Disorder, Meta Analysis, Meta-Analysis, Metaanalysis, Mexican Population, Mexico, Models, Neurotrophic Factor, No Association, Patients, Polymorphism, Population, Potential, Pubmed, Role, Schizophrenia, Science, Serum-Levels, Single Nucleotide Polymorphism, Suicidal-Behavior, Suicide, Suicide Attempt, Web, Web Of Science, Web Of Science Databases</w:t>
      </w:r>
    </w:p>
    <w:p w:rsidR="001E1D98" w:rsidRPr="00FC7835" w:rsidRDefault="001E1D98" w:rsidP="001E1D98">
      <w:pPr>
        <w:pStyle w:val="1"/>
      </w:pPr>
      <w:r w:rsidRPr="00DA0D39">
        <w:br w:type="page"/>
      </w:r>
      <w:bookmarkStart w:id="811" w:name="_Toc420814740"/>
      <w:r w:rsidRPr="00FC7835">
        <w:lastRenderedPageBreak/>
        <w:t xml:space="preserve">Title: </w:t>
      </w:r>
      <w:r w:rsidRPr="001E1D98">
        <w:t>Bird Conservation International</w:t>
      </w:r>
      <w:bookmarkEnd w:id="811"/>
    </w:p>
    <w:p w:rsidR="001E1D98" w:rsidRDefault="001E1D98" w:rsidP="001E1D98">
      <w:pPr>
        <w:pStyle w:val="12"/>
      </w:pPr>
      <w:r w:rsidRPr="00C35FD7">
        <w:t xml:space="preserve">Full Journal Title: </w:t>
      </w:r>
      <w:r w:rsidRPr="001E1D98">
        <w:rPr>
          <w:iCs/>
          <w:kern w:val="0"/>
        </w:rPr>
        <w:t>Bird Conservation International</w:t>
      </w:r>
    </w:p>
    <w:p w:rsidR="001E1D98" w:rsidRPr="00250070" w:rsidRDefault="001E1D98" w:rsidP="001E1D98">
      <w:pPr>
        <w:pStyle w:val="12"/>
      </w:pPr>
      <w:r w:rsidRPr="00C35FD7">
        <w:t>ISO Abbreviated Title:</w:t>
      </w:r>
      <w:r w:rsidRPr="00250070">
        <w:t xml:space="preserve"> </w:t>
      </w:r>
    </w:p>
    <w:p w:rsidR="001E1D98" w:rsidRPr="00C35FD7" w:rsidRDefault="001E1D98" w:rsidP="001E1D98">
      <w:pPr>
        <w:pStyle w:val="12"/>
      </w:pPr>
      <w:r w:rsidRPr="00C35FD7">
        <w:t xml:space="preserve">JCR Abbreviated Title: </w:t>
      </w:r>
    </w:p>
    <w:p w:rsidR="001E1D98" w:rsidRPr="00C35FD7" w:rsidRDefault="001E1D98" w:rsidP="001E1D98">
      <w:pPr>
        <w:pStyle w:val="12"/>
      </w:pPr>
      <w:r w:rsidRPr="00C35FD7">
        <w:t xml:space="preserve">ISSN: </w:t>
      </w:r>
    </w:p>
    <w:p w:rsidR="001E1D98" w:rsidRPr="00C35FD7" w:rsidRDefault="001E1D98" w:rsidP="001E1D98">
      <w:pPr>
        <w:pStyle w:val="12"/>
      </w:pPr>
      <w:r w:rsidRPr="00C35FD7">
        <w:t xml:space="preserve">Issues/Year: </w:t>
      </w:r>
    </w:p>
    <w:p w:rsidR="001E1D98" w:rsidRPr="00C35FD7" w:rsidRDefault="001E1D98" w:rsidP="001E1D98">
      <w:pPr>
        <w:pStyle w:val="12"/>
      </w:pPr>
      <w:r>
        <w:t xml:space="preserve">Journal Country/Territory: </w:t>
      </w:r>
    </w:p>
    <w:p w:rsidR="001E1D98" w:rsidRPr="00C35FD7" w:rsidRDefault="001E1D98" w:rsidP="001E1D98">
      <w:pPr>
        <w:pStyle w:val="12"/>
      </w:pPr>
      <w:r w:rsidRPr="00C35FD7">
        <w:t xml:space="preserve">Language: </w:t>
      </w:r>
    </w:p>
    <w:p w:rsidR="001E1D98" w:rsidRPr="00C35FD7" w:rsidRDefault="001E1D98" w:rsidP="001E1D98">
      <w:pPr>
        <w:pStyle w:val="12"/>
      </w:pPr>
      <w:r w:rsidRPr="00C35FD7">
        <w:t xml:space="preserve">Publisher: </w:t>
      </w:r>
    </w:p>
    <w:p w:rsidR="001E1D98" w:rsidRPr="00C35FD7" w:rsidRDefault="001E1D98" w:rsidP="001E1D98">
      <w:pPr>
        <w:pStyle w:val="12"/>
      </w:pPr>
      <w:r w:rsidRPr="00C35FD7">
        <w:t xml:space="preserve">Publisher Address: </w:t>
      </w:r>
    </w:p>
    <w:p w:rsidR="001E1D98" w:rsidRPr="00C35FD7" w:rsidRDefault="001E1D98" w:rsidP="001E1D98">
      <w:pPr>
        <w:pStyle w:val="12"/>
      </w:pPr>
      <w:r w:rsidRPr="00C35FD7">
        <w:t xml:space="preserve">Subject Categories: </w:t>
      </w:r>
    </w:p>
    <w:p w:rsidR="00C6271C" w:rsidRDefault="00C6271C" w:rsidP="001E1D98">
      <w:pPr>
        <w:pStyle w:val="a3"/>
        <w:rPr>
          <w:kern w:val="0"/>
        </w:rPr>
      </w:pPr>
      <w:r>
        <w:rPr>
          <w:rFonts w:hint="eastAsia"/>
          <w:kern w:val="0"/>
        </w:rPr>
        <w:t>Notes: CCountry</w:t>
      </w:r>
    </w:p>
    <w:p w:rsidR="001E1D98" w:rsidRDefault="001E1D98" w:rsidP="001E1D98">
      <w:pPr>
        <w:pStyle w:val="a3"/>
        <w:rPr>
          <w:kern w:val="0"/>
        </w:rPr>
      </w:pPr>
      <w:r>
        <w:rPr>
          <w:rFonts w:hint="eastAsia"/>
          <w:kern w:val="0"/>
        </w:rPr>
        <w:t xml:space="preserve">? </w:t>
      </w:r>
      <w:r>
        <w:rPr>
          <w:kern w:val="0"/>
        </w:rPr>
        <w:t xml:space="preserve">Moreno-Opo, R. and Margalida, A. (2014), Conservation of the Cinereous Vulture </w:t>
      </w:r>
      <w:r w:rsidRPr="001E1D98">
        <w:rPr>
          <w:i/>
          <w:kern w:val="0"/>
        </w:rPr>
        <w:t>Aegypius monachus</w:t>
      </w:r>
      <w:r>
        <w:rPr>
          <w:kern w:val="0"/>
        </w:rPr>
        <w:t xml:space="preserve"> in Spain (1966-2011): A bibliometric review of threats, research and adaptive management. </w:t>
      </w:r>
      <w:r w:rsidRPr="001E1D98">
        <w:rPr>
          <w:i/>
          <w:iCs/>
          <w:kern w:val="0"/>
        </w:rPr>
        <w:t>Bird Conservation International</w:t>
      </w:r>
      <w:r>
        <w:rPr>
          <w:kern w:val="0"/>
        </w:rPr>
        <w:t xml:space="preserve">, </w:t>
      </w:r>
      <w:r>
        <w:rPr>
          <w:b/>
          <w:bCs/>
          <w:kern w:val="0"/>
        </w:rPr>
        <w:t>24</w:t>
      </w:r>
      <w:r>
        <w:rPr>
          <w:kern w:val="0"/>
        </w:rPr>
        <w:t xml:space="preserve"> (2), 178-191.</w:t>
      </w:r>
    </w:p>
    <w:p w:rsidR="001E1D98" w:rsidRDefault="001E1D98" w:rsidP="001E1D98">
      <w:pPr>
        <w:pStyle w:val="a3"/>
        <w:rPr>
          <w:kern w:val="0"/>
        </w:rPr>
      </w:pPr>
      <w:r>
        <w:rPr>
          <w:rFonts w:hint="eastAsia"/>
          <w:kern w:val="0"/>
        </w:rPr>
        <w:t xml:space="preserve">Full Text: </w:t>
      </w:r>
      <w:hyperlink r:id="rId1511" w:history="1">
        <w:r w:rsidRPr="001E1D98">
          <w:rPr>
            <w:rStyle w:val="a5"/>
            <w:kern w:val="0"/>
          </w:rPr>
          <w:t>2014\Bir Con Int24, 178.pdf</w:t>
        </w:r>
      </w:hyperlink>
    </w:p>
    <w:p w:rsidR="001E1D98" w:rsidRDefault="001E1D98" w:rsidP="001E1D98">
      <w:pPr>
        <w:pStyle w:val="a3"/>
        <w:rPr>
          <w:kern w:val="0"/>
        </w:rPr>
      </w:pPr>
      <w:r>
        <w:rPr>
          <w:kern w:val="0"/>
        </w:rPr>
        <w:t>Abstract: Detecting and quantifying threats and researching and implementing management actions are key to improving the conservation status of endangered species. Bibliometric analysis can constitute a useful tool for the evaluation of such questions from a long-term perspective. Taking as a case study the Cinereous Vulture Aegypius monachus in Spain, we tested relationships between population dynamics, research efforts, existing threats and conservation milestones</w:t>
      </w:r>
      <w:r w:rsidR="00A37C1D">
        <w:rPr>
          <w:kern w:val="0"/>
        </w:rPr>
        <w:t>. The</w:t>
      </w:r>
      <w:r>
        <w:rPr>
          <w:kern w:val="0"/>
        </w:rPr>
        <w:t xml:space="preserve"> population growth of the species (from 206 pairs in 1976 to 2,068 in 2011) was parallelled by the increase in the total number of publications, the number of articles in SCI journals and the number of published works dealing with aspects of conservation, threats and management</w:t>
      </w:r>
      <w:r w:rsidR="00A37C1D">
        <w:rPr>
          <w:kern w:val="0"/>
        </w:rPr>
        <w:t>. The</w:t>
      </w:r>
      <w:r>
        <w:rPr>
          <w:kern w:val="0"/>
        </w:rPr>
        <w:t>se results are discussed in terms of cause-effect relationships taking into account that the influence of other non-mutually exclusive factors could also probably explain such associations. Similarly, we analysed the trend of the Cinereous Vulture breeding population with respect to different threats and indices of food availability, obtaining a positive correlation with the increase in big-game hunting bags in Spain. With respect to conservation milestones, we concluded that the current situation is positive in terms of the protection of the species and its habitat, with the situation in relation to food availability being unclear. Finally, we reviewed the main conservation actions that have been taken for the species in Spain and how these have been progressively modified based on new scientific and technical evidence, as an example of adaptive management applied to conservation.</w:t>
      </w:r>
    </w:p>
    <w:p w:rsidR="001E1D98" w:rsidRDefault="001E1D98" w:rsidP="001E1D98">
      <w:pPr>
        <w:pStyle w:val="a3"/>
        <w:rPr>
          <w:kern w:val="0"/>
        </w:rPr>
      </w:pPr>
      <w:r>
        <w:rPr>
          <w:kern w:val="0"/>
        </w:rPr>
        <w:t xml:space="preserve">Keywords: Adaptive Management, Analysis, Articles, Availability, Behavior, </w:t>
      </w:r>
      <w:r>
        <w:rPr>
          <w:kern w:val="0"/>
        </w:rPr>
        <w:lastRenderedPageBreak/>
        <w:t>Bibliometric, Bibliometric Analysis, Case Study, Conservation, Correlation, Diet, Dynamics, Eagle Aquila-Adalberti, Endangered Species, Endangered Vulture, European Vultures, Evaluation, Evidence, Food, Growth, Habitat, Hunting, Indices, Influence, Journals, Long Term, Long-Term, Management, Modified, Policies, Population, Population Dynamics, Protection, Publications, Published Works, Recovery, Research, Review, Sanitary, SCI, Spain, Species, Trend</w:t>
      </w:r>
    </w:p>
    <w:p w:rsidR="003474F2" w:rsidRPr="001A3D2B" w:rsidRDefault="003474F2" w:rsidP="003474F2">
      <w:pPr>
        <w:pStyle w:val="1"/>
      </w:pPr>
      <w:r w:rsidRPr="001A3D2B">
        <w:br w:type="page"/>
      </w:r>
      <w:bookmarkStart w:id="812" w:name="_Toc420814741"/>
      <w:r w:rsidRPr="001A3D2B">
        <w:lastRenderedPageBreak/>
        <w:t>Title: Birth-Issues in Perinatal Care</w:t>
      </w:r>
      <w:bookmarkEnd w:id="812"/>
    </w:p>
    <w:p w:rsidR="003474F2" w:rsidRPr="001A3D2B" w:rsidRDefault="003474F2" w:rsidP="003474F2">
      <w:pPr>
        <w:pStyle w:val="12"/>
      </w:pPr>
      <w:r w:rsidRPr="001A3D2B">
        <w:t>Full Jou</w:t>
      </w:r>
      <w:bookmarkStart w:id="813" w:name="_Toc81937389"/>
      <w:r w:rsidRPr="001A3D2B">
        <w:t>rnal Title: Birth-Issues in Perinatal</w:t>
      </w:r>
      <w:bookmarkEnd w:id="813"/>
      <w:r w:rsidRPr="001A3D2B">
        <w:t xml:space="preserve"> Care</w:t>
      </w:r>
    </w:p>
    <w:p w:rsidR="003474F2" w:rsidRPr="001A3D2B" w:rsidRDefault="003474F2" w:rsidP="003474F2">
      <w:pPr>
        <w:pStyle w:val="12"/>
      </w:pPr>
      <w:r w:rsidRPr="001A3D2B">
        <w:t>ISO Abbreviated Title: Birth-Issue Perinat. Care</w:t>
      </w:r>
    </w:p>
    <w:p w:rsidR="003474F2" w:rsidRPr="001A3D2B" w:rsidRDefault="003474F2" w:rsidP="003474F2">
      <w:pPr>
        <w:pStyle w:val="12"/>
      </w:pPr>
      <w:r w:rsidRPr="001A3D2B">
        <w:t>JCR Abbreviated Title: Birth-Iss Perinat C</w:t>
      </w:r>
    </w:p>
    <w:p w:rsidR="003474F2" w:rsidRPr="001A3D2B" w:rsidRDefault="003474F2" w:rsidP="003474F2">
      <w:pPr>
        <w:pStyle w:val="12"/>
      </w:pPr>
      <w:r w:rsidRPr="001A3D2B">
        <w:t>ISSN: 0730-7659</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Publishing Inc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350 Main St</w:t>
          </w:r>
        </w:smartTag>
        <w:r w:rsidRPr="001A3D2B">
          <w:t xml:space="preserve">, </w:t>
        </w:r>
        <w:smartTag w:uri="urn:schemas-microsoft-com:office:smarttags" w:element="City">
          <w:r w:rsidRPr="001A3D2B">
            <w:t>Malden</w:t>
          </w:r>
        </w:smartTag>
        <w:r w:rsidRPr="001A3D2B">
          <w:t xml:space="preserve">, </w:t>
        </w:r>
        <w:smartTag w:uri="urn:schemas-microsoft-com:office:smarttags" w:element="State">
          <w:r w:rsidRPr="001A3D2B">
            <w:t>MA</w:t>
          </w:r>
        </w:smartTag>
        <w:r w:rsidRPr="001A3D2B">
          <w:t xml:space="preserve"> </w:t>
        </w:r>
        <w:smartTag w:uri="urn:schemas-microsoft-com:office:smarttags" w:element="PostalCode">
          <w:r w:rsidRPr="001A3D2B">
            <w:t>02148</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Nursing: Impact Factor 1.424,/(2002)</w:t>
      </w:r>
    </w:p>
    <w:p w:rsidR="003474F2" w:rsidRPr="001A3D2B" w:rsidRDefault="003474F2" w:rsidP="003474F2">
      <w:pPr>
        <w:pStyle w:val="12"/>
      </w:pPr>
      <w:r w:rsidRPr="001A3D2B">
        <w:t>Obstetrics &amp; Gynecology: Impact Factor 1.424,/(2002)</w:t>
      </w:r>
    </w:p>
    <w:p w:rsidR="003474F2" w:rsidRPr="001A3D2B" w:rsidRDefault="003474F2" w:rsidP="003474F2">
      <w:pPr>
        <w:pStyle w:val="12"/>
      </w:pPr>
      <w:r w:rsidRPr="001A3D2B">
        <w:t>Pediatrics: Impact Factor 1.424,/(2002)</w:t>
      </w:r>
    </w:p>
    <w:p w:rsidR="003474F2" w:rsidRPr="001A3D2B" w:rsidRDefault="003474F2" w:rsidP="003474F2">
      <w:pPr>
        <w:pStyle w:val="a3"/>
      </w:pPr>
      <w:r w:rsidRPr="001A3D2B">
        <w:t xml:space="preserve">Wu, W.L. (2000), Cesarean delivery in </w:t>
      </w:r>
      <w:smartTag w:uri="urn:schemas-microsoft-com:office:smarttags" w:element="place">
        <w:smartTag w:uri="urn:schemas-microsoft-com:office:smarttags" w:element="City">
          <w:r w:rsidRPr="001A3D2B">
            <w:t>Shantou</w:t>
          </w:r>
        </w:smartTag>
        <w:r w:rsidRPr="001A3D2B">
          <w:t xml:space="preserve">, </w:t>
        </w:r>
        <w:smartTag w:uri="urn:schemas-microsoft-com:office:smarttags" w:element="country-region">
          <w:r w:rsidRPr="001A3D2B">
            <w:t>China</w:t>
          </w:r>
        </w:smartTag>
      </w:smartTag>
      <w:r w:rsidRPr="001A3D2B">
        <w:t>: A retrospective analysis</w:t>
      </w:r>
      <w:r w:rsidR="00427468">
        <w:t xml:space="preserve"> of </w:t>
      </w:r>
      <w:r w:rsidRPr="001A3D2B">
        <w:t xml:space="preserve">1922 women. </w:t>
      </w:r>
      <w:r w:rsidRPr="001A3D2B">
        <w:rPr>
          <w:i/>
          <w:iCs/>
        </w:rPr>
        <w:t>Birth-Issues in Perinatal Care</w:t>
      </w:r>
      <w:r w:rsidRPr="001A3D2B">
        <w:t xml:space="preserve">, </w:t>
      </w:r>
      <w:r w:rsidRPr="001A3D2B">
        <w:rPr>
          <w:b/>
          <w:bCs/>
        </w:rPr>
        <w:t>27</w:t>
      </w:r>
      <w:r w:rsidRPr="001A3D2B">
        <w:t xml:space="preserve"> (2), 86-90.</w:t>
      </w:r>
    </w:p>
    <w:p w:rsidR="003474F2" w:rsidRPr="001A3D2B" w:rsidRDefault="003474F2" w:rsidP="003474F2">
      <w:pPr>
        <w:pStyle w:val="a3"/>
      </w:pPr>
      <w:r w:rsidRPr="001A3D2B">
        <w:t xml:space="preserve">Full Text: </w:t>
      </w:r>
      <w:hyperlink r:id="rId1512" w:history="1">
        <w:r w:rsidRPr="001A3D2B">
          <w:rPr>
            <w:rStyle w:val="a5"/>
          </w:rPr>
          <w:t>2000\Bir-Iss Per Car27, 86.pdf</w:t>
        </w:r>
      </w:hyperlink>
    </w:p>
    <w:p w:rsidR="003474F2" w:rsidRPr="001A3D2B" w:rsidRDefault="003474F2" w:rsidP="003474F2">
      <w:pPr>
        <w:pStyle w:val="a3"/>
      </w:pPr>
      <w:r w:rsidRPr="001A3D2B">
        <w:t>Abstract: Background: In China</w:t>
      </w:r>
      <w:r w:rsidR="003A1917">
        <w:t xml:space="preserve"> the </w:t>
      </w:r>
      <w:r w:rsidRPr="001A3D2B">
        <w:t>cesarean section rate increased significantly during</w:t>
      </w:r>
      <w:r w:rsidR="003A1917">
        <w:t xml:space="preserve"> the </w:t>
      </w:r>
      <w:r w:rsidRPr="001A3D2B">
        <w:t>past four decades. This study examined</w:t>
      </w:r>
      <w:r w:rsidR="003A1917">
        <w:t xml:space="preserve"> the </w:t>
      </w:r>
      <w:r w:rsidRPr="001A3D2B">
        <w:t>frequency</w:t>
      </w:r>
      <w:r w:rsidR="005853A9">
        <w:t xml:space="preserve"> and </w:t>
      </w:r>
      <w:r w:rsidRPr="001A3D2B">
        <w:t>indications</w:t>
      </w:r>
      <w:r w:rsidR="00427468">
        <w:t xml:space="preserve"> of </w:t>
      </w:r>
      <w:r w:rsidRPr="001A3D2B">
        <w:t xml:space="preserve">cesarean birth in </w:t>
      </w:r>
      <w:smartTag w:uri="urn:schemas-microsoft-com:office:smarttags" w:element="City">
        <w:r w:rsidRPr="001A3D2B">
          <w:t>Shantou</w:t>
        </w:r>
      </w:smartTag>
      <w:r w:rsidRPr="001A3D2B">
        <w:t xml:space="preserve">, a southern city in </w:t>
      </w:r>
      <w:smartTag w:uri="urn:schemas-microsoft-com:office:smarttags" w:element="place">
        <w:smartTag w:uri="urn:schemas-microsoft-com:office:smarttags" w:element="country-region">
          <w:r w:rsidRPr="001A3D2B">
            <w:t>China</w:t>
          </w:r>
        </w:smartTag>
      </w:smartTag>
      <w:r w:rsidRPr="001A3D2B">
        <w:t>. Methods: An analysis was conducted</w:t>
      </w:r>
      <w:r w:rsidR="00427468">
        <w:t xml:space="preserve"> of </w:t>
      </w:r>
      <w:r w:rsidR="003A1917">
        <w:t xml:space="preserve">the </w:t>
      </w:r>
      <w:r w:rsidRPr="001A3D2B">
        <w:t>medical records</w:t>
      </w:r>
      <w:r w:rsidR="00427468">
        <w:t xml:space="preserve"> of </w:t>
      </w:r>
      <w:r w:rsidRPr="001A3D2B">
        <w:t xml:space="preserve">1922 women who had cesarean deliveries at </w:t>
      </w:r>
      <w:smartTag w:uri="urn:schemas-microsoft-com:office:smarttags" w:element="place">
        <w:smartTag w:uri="urn:schemas-microsoft-com:office:smarttags" w:element="PlaceName">
          <w:r w:rsidRPr="001A3D2B">
            <w:t>Shantou</w:t>
          </w:r>
        </w:smartTag>
        <w:r w:rsidRPr="001A3D2B">
          <w:t xml:space="preserve"> </w:t>
        </w:r>
        <w:smartTag w:uri="urn:schemas-microsoft-com:office:smarttags" w:element="PlaceType">
          <w:r w:rsidRPr="001A3D2B">
            <w:t>City</w:t>
          </w:r>
        </w:smartTag>
      </w:smartTag>
      <w:r w:rsidRPr="001A3D2B">
        <w:t xml:space="preserve"> 2nd People</w:t>
      </w:r>
      <w:r w:rsidR="00700038">
        <w:t>’</w:t>
      </w:r>
      <w:r w:rsidR="00C13DDC">
        <w:t>s</w:t>
      </w:r>
      <w:r w:rsidRPr="001A3D2B">
        <w:t xml:space="preserve"> Hospital between January 1990</w:t>
      </w:r>
      <w:r w:rsidR="005853A9">
        <w:t xml:space="preserve"> and </w:t>
      </w:r>
      <w:r w:rsidRPr="001A3D2B">
        <w:t>December 1997</w:t>
      </w:r>
      <w:r w:rsidR="00A37C1D">
        <w:t>. The</w:t>
      </w:r>
      <w:r w:rsidR="003A1917">
        <w:t xml:space="preserve"> </w:t>
      </w:r>
      <w:r w:rsidRPr="001A3D2B">
        <w:t>medical records</w:t>
      </w:r>
      <w:r w:rsidR="00427468">
        <w:t xml:space="preserve"> of </w:t>
      </w:r>
      <w:r w:rsidRPr="001A3D2B">
        <w:t>10, 490 women who gave birth during this period were examined. Results:</w:t>
      </w:r>
      <w:r w:rsidR="003A1917">
        <w:t xml:space="preserve"> the </w:t>
      </w:r>
      <w:r w:rsidRPr="001A3D2B">
        <w:t>average rate</w:t>
      </w:r>
      <w:r w:rsidR="00427468">
        <w:t xml:space="preserve"> of </w:t>
      </w:r>
      <w:r w:rsidRPr="001A3D2B">
        <w:t>cesarean delivery during</w:t>
      </w:r>
      <w:r w:rsidR="003A1917">
        <w:t xml:space="preserve"> the </w:t>
      </w:r>
      <w:r w:rsidRPr="001A3D2B">
        <w:t>8-year period was 19.4±2.3 percent (means±standard error). From 1990 to 1997</w:t>
      </w:r>
      <w:r w:rsidR="003A1917">
        <w:t xml:space="preserve"> the </w:t>
      </w:r>
      <w:r w:rsidRPr="001A3D2B">
        <w:t>cesarean delivery rates ranged from 11.05 to 29.9 percent, respectively although during this period</w:t>
      </w:r>
      <w:r w:rsidR="003A1917">
        <w:t xml:space="preserve"> the </w:t>
      </w:r>
      <w:r w:rsidRPr="001A3D2B">
        <w:t>total annual number</w:t>
      </w:r>
      <w:r w:rsidR="00427468">
        <w:t xml:space="preserve"> of </w:t>
      </w:r>
      <w:r w:rsidRPr="001A3D2B">
        <w:t>deliveries decreased significantly from 1683 to 951</w:t>
      </w:r>
      <w:r w:rsidR="00A37C1D">
        <w:t>. The</w:t>
      </w:r>
      <w:r w:rsidR="003A1917">
        <w:t xml:space="preserve"> </w:t>
      </w:r>
      <w:r w:rsidRPr="001A3D2B">
        <w:t>rates</w:t>
      </w:r>
      <w:r w:rsidR="00427468">
        <w:t xml:space="preserve"> of </w:t>
      </w:r>
      <w:r w:rsidR="003A1917">
        <w:t xml:space="preserve">the </w:t>
      </w:r>
      <w:r w:rsidRPr="001A3D2B">
        <w:t>most common indications per 100 women for cesarean delivery were failure to progress (23%), premature rupture</w:t>
      </w:r>
      <w:r w:rsidR="00427468">
        <w:t xml:space="preserve"> of </w:t>
      </w:r>
      <w:r w:rsidRPr="001A3D2B">
        <w:t>membranes (20%), fetal distress (19.4%), breech presentation (18.1%), uterine scar (14.6%),</w:t>
      </w:r>
      <w:r w:rsidR="005853A9">
        <w:t xml:space="preserve"> and </w:t>
      </w:r>
      <w:r w:rsidRPr="001A3D2B">
        <w:t>prolonged pregnancy (11.3%). Conclusion:</w:t>
      </w:r>
      <w:r w:rsidR="003A1917">
        <w:t xml:space="preserve"> the </w:t>
      </w:r>
      <w:r w:rsidRPr="001A3D2B">
        <w:t xml:space="preserve">cesarean delivery rate in </w:t>
      </w:r>
      <w:smartTag w:uri="urn:schemas-microsoft-com:office:smarttags" w:element="place">
        <w:smartTag w:uri="urn:schemas-microsoft-com:office:smarttags" w:element="City">
          <w:r w:rsidRPr="001A3D2B">
            <w:t>Shantou</w:t>
          </w:r>
        </w:smartTag>
        <w:r w:rsidRPr="001A3D2B">
          <w:t xml:space="preserve">, </w:t>
        </w:r>
        <w:smartTag w:uri="urn:schemas-microsoft-com:office:smarttags" w:element="country-region">
          <w:r w:rsidRPr="001A3D2B">
            <w:t>China</w:t>
          </w:r>
        </w:smartTag>
      </w:smartTag>
      <w:r w:rsidRPr="001A3D2B">
        <w:t>, has increased steadily</w:t>
      </w:r>
      <w:r w:rsidR="005853A9">
        <w:t xml:space="preserve"> and </w:t>
      </w:r>
      <w:r w:rsidRPr="001A3D2B">
        <w:t>significantly between 1990</w:t>
      </w:r>
      <w:r w:rsidR="005853A9">
        <w:t xml:space="preserve"> and </w:t>
      </w:r>
      <w:r w:rsidRPr="001A3D2B">
        <w:t>1997, despite a decrease in</w:t>
      </w:r>
      <w:r w:rsidR="003A1917">
        <w:t xml:space="preserve"> the </w:t>
      </w:r>
      <w:r w:rsidRPr="001A3D2B">
        <w:t>total number</w:t>
      </w:r>
      <w:r w:rsidR="00427468">
        <w:t xml:space="preserve"> of </w:t>
      </w:r>
      <w:r w:rsidRPr="001A3D2B">
        <w:t>births during</w:t>
      </w:r>
      <w:r w:rsidR="003A1917">
        <w:t xml:space="preserve"> the </w:t>
      </w:r>
      <w:r w:rsidRPr="001A3D2B">
        <w:t>same period. This study showed that on an individual basis vaginal delivery was often possible</w:t>
      </w:r>
      <w:r w:rsidR="005853A9">
        <w:t xml:space="preserve"> and </w:t>
      </w:r>
      <w:r w:rsidRPr="001A3D2B">
        <w:t>reduction</w:t>
      </w:r>
      <w:r w:rsidR="00427468">
        <w:t xml:space="preserve"> of </w:t>
      </w:r>
      <w:r w:rsidR="003A1917">
        <w:t xml:space="preserve">the </w:t>
      </w:r>
      <w:r w:rsidRPr="001A3D2B">
        <w:t>cesarean delivery rate could be achieved safely by paying greater heed to appropriate indications.</w:t>
      </w:r>
    </w:p>
    <w:p w:rsidR="003474F2" w:rsidRPr="001A3D2B" w:rsidRDefault="003474F2" w:rsidP="003474F2">
      <w:pPr>
        <w:pStyle w:val="a3"/>
      </w:pPr>
      <w:r w:rsidRPr="001A3D2B">
        <w:t>Keywords: Decline, Rates</w:t>
      </w:r>
    </w:p>
    <w:p w:rsidR="003474F2" w:rsidRPr="001A3D2B" w:rsidRDefault="003474F2" w:rsidP="003474F2">
      <w:pPr>
        <w:pStyle w:val="a3"/>
      </w:pPr>
      <w:r w:rsidRPr="001A3D2B">
        <w:t>Leung, G.M., Lam, T.H., Thach, T.Q., Wan, S.M.</w:t>
      </w:r>
      <w:r w:rsidR="005853A9">
        <w:t xml:space="preserve"> and </w:t>
      </w:r>
      <w:r w:rsidRPr="001A3D2B">
        <w:t>Ho, L.M. (2001), Rates</w:t>
      </w:r>
      <w:r w:rsidR="00427468">
        <w:t xml:space="preserve"> of </w:t>
      </w:r>
      <w:r w:rsidRPr="001A3D2B">
        <w:lastRenderedPageBreak/>
        <w:t xml:space="preserve">cesarean births in </w:t>
      </w:r>
      <w:smartTag w:uri="urn:schemas-microsoft-com:office:smarttags" w:element="place">
        <w:r w:rsidRPr="001A3D2B">
          <w:t>Hong Kong</w:t>
        </w:r>
      </w:smartTag>
      <w:r w:rsidRPr="001A3D2B">
        <w:t xml:space="preserve">: 1987-1999. </w:t>
      </w:r>
      <w:r w:rsidRPr="001A3D2B">
        <w:rPr>
          <w:i/>
          <w:iCs/>
        </w:rPr>
        <w:t>Birth-Issues in Perinatal Care</w:t>
      </w:r>
      <w:r w:rsidRPr="001A3D2B">
        <w:t xml:space="preserve">, </w:t>
      </w:r>
      <w:r w:rsidRPr="001A3D2B">
        <w:rPr>
          <w:b/>
          <w:bCs/>
        </w:rPr>
        <w:t>28</w:t>
      </w:r>
      <w:r w:rsidRPr="001A3D2B">
        <w:t xml:space="preserve"> (3), 166-172.</w:t>
      </w:r>
    </w:p>
    <w:p w:rsidR="003474F2" w:rsidRPr="001A3D2B" w:rsidRDefault="003474F2" w:rsidP="003474F2">
      <w:pPr>
        <w:pStyle w:val="a3"/>
      </w:pPr>
      <w:r w:rsidRPr="001A3D2B">
        <w:t xml:space="preserve">Full Text: </w:t>
      </w:r>
      <w:hyperlink r:id="rId1513" w:history="1">
        <w:r w:rsidRPr="001A3D2B">
          <w:rPr>
            <w:rStyle w:val="a5"/>
          </w:rPr>
          <w:t>2001\Bir-Iss Per Car28, 166.pdf</w:t>
        </w:r>
      </w:hyperlink>
    </w:p>
    <w:p w:rsidR="003474F2" w:rsidRPr="001A3D2B" w:rsidRDefault="003474F2" w:rsidP="003474F2">
      <w:pPr>
        <w:pStyle w:val="a3"/>
      </w:pPr>
      <w:r w:rsidRPr="001A3D2B">
        <w:t>Abstract: Background: High cesarean birth rates are an issue</w:t>
      </w:r>
      <w:r w:rsidR="00427468">
        <w:t xml:space="preserve"> of </w:t>
      </w:r>
      <w:r w:rsidRPr="001A3D2B">
        <w:t>international public health concern</w:t>
      </w:r>
      <w:r w:rsidR="00A37C1D">
        <w:t>. The</w:t>
      </w:r>
      <w:r w:rsidR="003A1917">
        <w:t xml:space="preserve"> </w:t>
      </w:r>
      <w:r w:rsidRPr="001A3D2B">
        <w:t>purpose</w:t>
      </w:r>
      <w:r w:rsidR="00427468">
        <w:t xml:space="preserve"> of </w:t>
      </w:r>
      <w:r w:rsidRPr="001A3D2B">
        <w:t>this paper was to examine</w:t>
      </w:r>
      <w:r w:rsidR="003A1917">
        <w:t xml:space="preserve"> the </w:t>
      </w:r>
      <w:r w:rsidRPr="001A3D2B">
        <w:t>annual incidence</w:t>
      </w:r>
      <w:r w:rsidR="005853A9">
        <w:t xml:space="preserve"> and </w:t>
      </w:r>
      <w:r w:rsidRPr="001A3D2B">
        <w:t>secular trend</w:t>
      </w:r>
      <w:r w:rsidR="00427468">
        <w:t xml:space="preserve"> of </w:t>
      </w:r>
      <w:r w:rsidRPr="001A3D2B">
        <w:t>cesarean births in Hong Kong</w:t>
      </w:r>
      <w:r w:rsidR="005853A9">
        <w:t xml:space="preserve"> and </w:t>
      </w:r>
      <w:r w:rsidRPr="001A3D2B">
        <w:t>to correlate these rates with socioeconomic, demographic,</w:t>
      </w:r>
      <w:r w:rsidR="005853A9">
        <w:t xml:space="preserve"> and </w:t>
      </w:r>
      <w:r w:rsidRPr="001A3D2B">
        <w:t>health indicators for</w:t>
      </w:r>
      <w:r w:rsidR="003A1917">
        <w:t xml:space="preserve"> the </w:t>
      </w:r>
      <w:r w:rsidRPr="001A3D2B">
        <w:t>population since 1987. Methods: This was a descriptive</w:t>
      </w:r>
      <w:r w:rsidR="005853A9">
        <w:t xml:space="preserve"> and </w:t>
      </w:r>
      <w:r w:rsidRPr="001A3D2B">
        <w:t>ecologic study. Annual population rates</w:t>
      </w:r>
      <w:r w:rsidR="00427468">
        <w:t xml:space="preserve"> of </w:t>
      </w:r>
      <w:r w:rsidRPr="001A3D2B">
        <w:t>cesarean sections were estimated for 1987 from a population-based survey,</w:t>
      </w:r>
      <w:r w:rsidR="005853A9">
        <w:t xml:space="preserve"> and </w:t>
      </w:r>
      <w:r w:rsidRPr="001A3D2B">
        <w:t>for 1993 through 1999 from government data sources</w:t>
      </w:r>
      <w:r w:rsidR="00A37C1D">
        <w:t>. The</w:t>
      </w:r>
      <w:r w:rsidR="003A1917">
        <w:t xml:space="preserve"> </w:t>
      </w:r>
      <w:r w:rsidRPr="001A3D2B">
        <w:t>number</w:t>
      </w:r>
      <w:r w:rsidR="00427468">
        <w:t xml:space="preserve"> of </w:t>
      </w:r>
      <w:r w:rsidRPr="001A3D2B">
        <w:t>excess cesarean sections was calculated for each year using</w:t>
      </w:r>
      <w:r w:rsidR="003A1917">
        <w:t xml:space="preserve"> the </w:t>
      </w:r>
      <w:r w:rsidRPr="001A3D2B">
        <w:t>15 percent upper limit as proposed by</w:t>
      </w:r>
      <w:r w:rsidR="003A1917">
        <w:t xml:space="preserve"> the </w:t>
      </w:r>
      <w:r w:rsidRPr="001A3D2B">
        <w:t>World Health Organization. Results: From 1987 to 1999</w:t>
      </w:r>
      <w:r w:rsidR="003A1917">
        <w:t xml:space="preserve"> the </w:t>
      </w:r>
      <w:r w:rsidRPr="001A3D2B">
        <w:t>overall annual cesarean section rate rose steadily from 16.6 to 27.4 per 100 hospital deliveries, resulting in a 65 percent increase over 12 years</w:t>
      </w:r>
      <w:r w:rsidR="00A37C1D">
        <w:t>. The</w:t>
      </w:r>
      <w:r w:rsidR="003A1917">
        <w:t xml:space="preserve"> </w:t>
      </w:r>
      <w:r w:rsidRPr="001A3D2B">
        <w:t>mean difference in rates</w:t>
      </w:r>
      <w:r w:rsidR="00427468">
        <w:t xml:space="preserve"> of </w:t>
      </w:r>
      <w:r w:rsidRPr="001A3D2B">
        <w:t>surgical delivery between public (mean(public) = 16.0%)</w:t>
      </w:r>
      <w:r w:rsidR="005853A9">
        <w:t xml:space="preserve"> and </w:t>
      </w:r>
      <w:r w:rsidRPr="001A3D2B">
        <w:t>private (mean(private) 43.4%) institutions was 27.4 percent (95% confidence interval (CI) = 24.1, 30.7; p &lt; 0.001). Conclusions: This is</w:t>
      </w:r>
      <w:r w:rsidR="003A1917">
        <w:t xml:space="preserve"> the </w:t>
      </w:r>
      <w:r w:rsidRPr="001A3D2B">
        <w:t>first systematic report</w:t>
      </w:r>
      <w:r w:rsidR="00427468">
        <w:t xml:space="preserve"> of </w:t>
      </w:r>
      <w:r w:rsidRPr="001A3D2B">
        <w:t>secular variations</w:t>
      </w:r>
      <w:r w:rsidR="00427468">
        <w:t xml:space="preserve"> of </w:t>
      </w:r>
      <w:r w:rsidRPr="001A3D2B">
        <w:t>cesarean delivery rates in Asia</w:t>
      </w:r>
      <w:r w:rsidR="00A37C1D">
        <w:t>. The</w:t>
      </w:r>
      <w:r w:rsidR="003A1917">
        <w:t xml:space="preserve"> </w:t>
      </w:r>
      <w:r w:rsidRPr="001A3D2B">
        <w:t>high rates</w:t>
      </w:r>
      <w:r w:rsidR="005853A9">
        <w:t xml:space="preserve"> and </w:t>
      </w:r>
      <w:r w:rsidRPr="001A3D2B">
        <w:t>increasing trend represent an unnecessary excess risk for mothers</w:t>
      </w:r>
      <w:r w:rsidR="005853A9">
        <w:t xml:space="preserve"> and </w:t>
      </w:r>
      <w:r w:rsidRPr="001A3D2B">
        <w:t>their infants. Various strategies combating high cesarean rates have been proposed</w:t>
      </w:r>
      <w:r w:rsidR="005853A9">
        <w:t xml:space="preserve"> and </w:t>
      </w:r>
      <w:r w:rsidRPr="001A3D2B">
        <w:t>have succeeded elsewhere. Concerted action from health care professionals, public health authorities,</w:t>
      </w:r>
      <w:r w:rsidR="003A1917">
        <w:t xml:space="preserve"> the </w:t>
      </w:r>
      <w:r w:rsidRPr="001A3D2B">
        <w:t>general population,</w:t>
      </w:r>
      <w:r w:rsidR="005853A9">
        <w:t xml:space="preserve"> and </w:t>
      </w:r>
      <w:r w:rsidR="003A1917">
        <w:t xml:space="preserve">the </w:t>
      </w:r>
      <w:r w:rsidRPr="001A3D2B">
        <w:t>media is urgently, required to implement solutions to reduce</w:t>
      </w:r>
      <w:r w:rsidR="003A1917">
        <w:t xml:space="preserve"> the </w:t>
      </w:r>
      <w:r w:rsidRPr="001A3D2B">
        <w:t>rate</w:t>
      </w:r>
      <w:r w:rsidR="00427468">
        <w:t xml:space="preserve"> of </w:t>
      </w:r>
      <w:r w:rsidRPr="001A3D2B">
        <w:t>cesarean delivery.</w:t>
      </w:r>
    </w:p>
    <w:p w:rsidR="003474F2" w:rsidRPr="001A3D2B" w:rsidRDefault="003474F2" w:rsidP="003474F2">
      <w:pPr>
        <w:pStyle w:val="a3"/>
      </w:pPr>
      <w:r w:rsidRPr="001A3D2B">
        <w:t xml:space="preserve">Keywords: Section Rates, Obstetric Intervention, Health-Insurance, Delivery Rates, </w:t>
      </w:r>
      <w:smartTag w:uri="urn:schemas-microsoft-com:office:smarttags" w:element="place">
        <w:smartTag w:uri="urn:schemas-microsoft-com:office:smarttags" w:element="City">
          <w:r w:rsidRPr="001A3D2B">
            <w:t>Private</w:t>
          </w:r>
        </w:smartTag>
        <w:r w:rsidRPr="001A3D2B">
          <w:t xml:space="preserve">, </w:t>
        </w:r>
        <w:smartTag w:uri="urn:schemas-microsoft-com:office:smarttags" w:element="country-region">
          <w:r w:rsidRPr="001A3D2B">
            <w:t>China</w:t>
          </w:r>
        </w:smartTag>
      </w:smartTag>
      <w:r w:rsidRPr="001A3D2B">
        <w:t>, Women, Audit</w:t>
      </w:r>
    </w:p>
    <w:p w:rsidR="00617068" w:rsidRPr="00FC7835" w:rsidRDefault="00617068" w:rsidP="00617068">
      <w:pPr>
        <w:pStyle w:val="1"/>
      </w:pPr>
      <w:r w:rsidRPr="00FC7835">
        <w:rPr>
          <w:b w:val="0"/>
        </w:rPr>
        <w:br w:type="page"/>
      </w:r>
      <w:bookmarkStart w:id="814" w:name="_Toc420814742"/>
      <w:r w:rsidRPr="00FC7835">
        <w:lastRenderedPageBreak/>
        <w:t xml:space="preserve">Title: </w:t>
      </w:r>
      <w:r>
        <w:rPr>
          <w:rFonts w:hint="eastAsia"/>
        </w:rPr>
        <w:t>BIT</w:t>
      </w:r>
      <w:bookmarkEnd w:id="814"/>
    </w:p>
    <w:p w:rsidR="00617068" w:rsidRPr="00FC7835" w:rsidRDefault="00617068" w:rsidP="00617068">
      <w:pPr>
        <w:pStyle w:val="12"/>
      </w:pPr>
      <w:r w:rsidRPr="00FC7835">
        <w:t xml:space="preserve">Full Journal Title: </w:t>
      </w:r>
      <w:hyperlink r:id="rId1514" w:history="1">
        <w:r w:rsidRPr="00202C3E">
          <w:rPr>
            <w:rStyle w:val="a5"/>
            <w:rFonts w:hint="eastAsia"/>
          </w:rPr>
          <w:t>BIT</w:t>
        </w:r>
      </w:hyperlink>
    </w:p>
    <w:p w:rsidR="00617068" w:rsidRPr="00FC7835" w:rsidRDefault="00617068" w:rsidP="00617068">
      <w:pPr>
        <w:pStyle w:val="12"/>
      </w:pPr>
      <w:r w:rsidRPr="00FC7835">
        <w:t xml:space="preserve">ISO Abbreviated Title: </w:t>
      </w:r>
      <w:r>
        <w:rPr>
          <w:rFonts w:hint="eastAsia"/>
        </w:rPr>
        <w:t>BIT</w:t>
      </w:r>
    </w:p>
    <w:p w:rsidR="00617068" w:rsidRPr="00FC7835" w:rsidRDefault="00617068" w:rsidP="00617068">
      <w:pPr>
        <w:pStyle w:val="12"/>
      </w:pPr>
      <w:r w:rsidRPr="00FC7835">
        <w:t xml:space="preserve">JCR Abbreviated Title: </w:t>
      </w:r>
      <w:r>
        <w:rPr>
          <w:rFonts w:hint="eastAsia"/>
        </w:rPr>
        <w:t>BIT</w:t>
      </w:r>
    </w:p>
    <w:p w:rsidR="00617068" w:rsidRPr="00FC7835" w:rsidRDefault="00617068" w:rsidP="00617068">
      <w:pPr>
        <w:pStyle w:val="12"/>
      </w:pPr>
      <w:r w:rsidRPr="00FC7835">
        <w:t xml:space="preserve">ISSN: </w:t>
      </w:r>
    </w:p>
    <w:p w:rsidR="00617068" w:rsidRPr="00FC7835" w:rsidRDefault="00617068" w:rsidP="00617068">
      <w:pPr>
        <w:pStyle w:val="12"/>
      </w:pPr>
      <w:r w:rsidRPr="00FC7835">
        <w:t xml:space="preserve">Issues/Year: </w:t>
      </w:r>
    </w:p>
    <w:p w:rsidR="00617068" w:rsidRPr="00FC7835" w:rsidRDefault="00617068" w:rsidP="00617068">
      <w:pPr>
        <w:pStyle w:val="12"/>
      </w:pPr>
      <w:r w:rsidRPr="00FC7835">
        <w:t xml:space="preserve">Journal Country/Territory: </w:t>
      </w:r>
    </w:p>
    <w:p w:rsidR="00617068" w:rsidRPr="00FC7835" w:rsidRDefault="00617068" w:rsidP="00617068">
      <w:pPr>
        <w:pStyle w:val="12"/>
      </w:pPr>
      <w:r w:rsidRPr="00FC7835">
        <w:t xml:space="preserve">Language: </w:t>
      </w:r>
    </w:p>
    <w:p w:rsidR="00617068" w:rsidRPr="00FC7835" w:rsidRDefault="00617068" w:rsidP="00617068">
      <w:pPr>
        <w:pStyle w:val="12"/>
      </w:pPr>
      <w:r w:rsidRPr="00FC7835">
        <w:t xml:space="preserve">Publisher: </w:t>
      </w:r>
    </w:p>
    <w:p w:rsidR="00617068" w:rsidRPr="00FC7835" w:rsidRDefault="00617068" w:rsidP="00617068">
      <w:pPr>
        <w:pStyle w:val="12"/>
      </w:pPr>
      <w:r w:rsidRPr="00FC7835">
        <w:t xml:space="preserve">Publisher Address: </w:t>
      </w:r>
    </w:p>
    <w:p w:rsidR="00617068" w:rsidRPr="00FC7835" w:rsidRDefault="00617068" w:rsidP="00617068">
      <w:pPr>
        <w:pStyle w:val="12"/>
      </w:pPr>
      <w:r w:rsidRPr="00FC7835">
        <w:t xml:space="preserve">Subject Categories: </w:t>
      </w:r>
    </w:p>
    <w:p w:rsidR="00617068" w:rsidRPr="00FC7835" w:rsidRDefault="00617068" w:rsidP="00617068">
      <w:pPr>
        <w:pStyle w:val="12"/>
      </w:pPr>
      <w:r w:rsidRPr="00FC7835">
        <w:t xml:space="preserve">: Impact Factor </w:t>
      </w:r>
    </w:p>
    <w:p w:rsidR="00617068" w:rsidRDefault="00617068" w:rsidP="00617068">
      <w:pPr>
        <w:pStyle w:val="a3"/>
        <w:rPr>
          <w:kern w:val="0"/>
        </w:rPr>
      </w:pPr>
      <w:r>
        <w:rPr>
          <w:rFonts w:hint="eastAsia"/>
          <w:kern w:val="0"/>
        </w:rPr>
        <w:t xml:space="preserve">? </w:t>
      </w:r>
      <w:r>
        <w:rPr>
          <w:kern w:val="0"/>
        </w:rPr>
        <w:t>Britz, D. (1998), An error propagation in</w:t>
      </w:r>
      <w:r w:rsidR="003A1917">
        <w:rPr>
          <w:kern w:val="0"/>
        </w:rPr>
        <w:t xml:space="preserve"> the </w:t>
      </w:r>
      <w:r>
        <w:rPr>
          <w:kern w:val="0"/>
        </w:rPr>
        <w:t xml:space="preserve">numerical literature. </w:t>
      </w:r>
      <w:r>
        <w:rPr>
          <w:i/>
          <w:iCs/>
          <w:kern w:val="0"/>
        </w:rPr>
        <w:t>BIT</w:t>
      </w:r>
      <w:r>
        <w:rPr>
          <w:kern w:val="0"/>
        </w:rPr>
        <w:t xml:space="preserve">, </w:t>
      </w:r>
      <w:r>
        <w:rPr>
          <w:b/>
          <w:bCs/>
          <w:kern w:val="0"/>
        </w:rPr>
        <w:t>38</w:t>
      </w:r>
      <w:r>
        <w:rPr>
          <w:kern w:val="0"/>
        </w:rPr>
        <w:t xml:space="preserve"> (1), 217-218.</w:t>
      </w:r>
    </w:p>
    <w:p w:rsidR="00617068" w:rsidRDefault="00617068" w:rsidP="00617068">
      <w:pPr>
        <w:pStyle w:val="a3"/>
        <w:rPr>
          <w:kern w:val="0"/>
        </w:rPr>
      </w:pPr>
      <w:r>
        <w:rPr>
          <w:rFonts w:hint="eastAsia"/>
          <w:kern w:val="0"/>
        </w:rPr>
        <w:t xml:space="preserve">Full Text: </w:t>
      </w:r>
      <w:hyperlink r:id="rId1515" w:history="1">
        <w:r w:rsidRPr="00202C3E">
          <w:rPr>
            <w:rStyle w:val="a5"/>
            <w:kern w:val="0"/>
          </w:rPr>
          <w:t>1998\BIT38, 217.pdf</w:t>
        </w:r>
      </w:hyperlink>
    </w:p>
    <w:p w:rsidR="00617068" w:rsidRDefault="00617068" w:rsidP="00617068">
      <w:pPr>
        <w:pStyle w:val="a3"/>
        <w:rPr>
          <w:kern w:val="0"/>
        </w:rPr>
      </w:pPr>
      <w:r>
        <w:rPr>
          <w:kern w:val="0"/>
        </w:rPr>
        <w:t>Abstract: An important historical paper on</w:t>
      </w:r>
      <w:r w:rsidR="003A1917">
        <w:rPr>
          <w:kern w:val="0"/>
        </w:rPr>
        <w:t xml:space="preserve"> the </w:t>
      </w:r>
      <w:r>
        <w:rPr>
          <w:kern w:val="0"/>
        </w:rPr>
        <w:t>numerical solution</w:t>
      </w:r>
      <w:r w:rsidR="00427468">
        <w:rPr>
          <w:kern w:val="0"/>
        </w:rPr>
        <w:t xml:space="preserve"> of </w:t>
      </w:r>
      <w:r>
        <w:rPr>
          <w:kern w:val="0"/>
        </w:rPr>
        <w:t>pde</w:t>
      </w:r>
      <w:r w:rsidR="00700038">
        <w:rPr>
          <w:kern w:val="0"/>
        </w:rPr>
        <w:t>’</w:t>
      </w:r>
      <w:r w:rsidR="00C13DDC">
        <w:rPr>
          <w:kern w:val="0"/>
        </w:rPr>
        <w:t>s</w:t>
      </w:r>
      <w:r>
        <w:rPr>
          <w:kern w:val="0"/>
        </w:rPr>
        <w:t xml:space="preserve"> has regularly, but incorrectly been assigned to</w:t>
      </w:r>
      <w:r w:rsidR="003A1917">
        <w:rPr>
          <w:kern w:val="0"/>
        </w:rPr>
        <w:t xml:space="preserve"> the </w:t>
      </w:r>
      <w:r>
        <w:rPr>
          <w:kern w:val="0"/>
        </w:rPr>
        <w:t>year 1951</w:t>
      </w:r>
      <w:r w:rsidR="00A37C1D">
        <w:rPr>
          <w:kern w:val="0"/>
        </w:rPr>
        <w:t>. The</w:t>
      </w:r>
      <w:r w:rsidR="003A1917">
        <w:rPr>
          <w:kern w:val="0"/>
        </w:rPr>
        <w:t xml:space="preserve"> </w:t>
      </w:r>
      <w:r>
        <w:rPr>
          <w:kern w:val="0"/>
        </w:rPr>
        <w:t>origin</w:t>
      </w:r>
      <w:r w:rsidR="00427468">
        <w:rPr>
          <w:kern w:val="0"/>
        </w:rPr>
        <w:t xml:space="preserve"> of </w:t>
      </w:r>
      <w:r>
        <w:rPr>
          <w:kern w:val="0"/>
        </w:rPr>
        <w:t>this error</w:t>
      </w:r>
      <w:r w:rsidR="00427468">
        <w:rPr>
          <w:kern w:val="0"/>
        </w:rPr>
        <w:t xml:space="preserve"> of </w:t>
      </w:r>
      <w:r>
        <w:rPr>
          <w:kern w:val="0"/>
        </w:rPr>
        <w:t>reference is discussed.</w:t>
      </w:r>
    </w:p>
    <w:p w:rsidR="00617068" w:rsidRDefault="00617068" w:rsidP="00617068">
      <w:pPr>
        <w:pStyle w:val="a3"/>
        <w:rPr>
          <w:kern w:val="0"/>
        </w:rPr>
      </w:pPr>
      <w:r>
        <w:rPr>
          <w:kern w:val="0"/>
        </w:rPr>
        <w:t>Keywords: Error, Error Propagation, Literature, Mar, Numerical Solution</w:t>
      </w:r>
      <w:r w:rsidR="00427468">
        <w:rPr>
          <w:kern w:val="0"/>
        </w:rPr>
        <w:t xml:space="preserve"> of </w:t>
      </w:r>
      <w:r>
        <w:rPr>
          <w:kern w:val="0"/>
        </w:rPr>
        <w:t>PDE</w:t>
      </w:r>
      <w:r w:rsidR="00700038">
        <w:rPr>
          <w:kern w:val="0"/>
        </w:rPr>
        <w:t>’</w:t>
      </w:r>
      <w:r w:rsidR="00C13DDC">
        <w:rPr>
          <w:kern w:val="0"/>
        </w:rPr>
        <w:t>s</w:t>
      </w:r>
      <w:r>
        <w:rPr>
          <w:kern w:val="0"/>
        </w:rPr>
        <w:t>, Origin, Reference, Solution</w:t>
      </w:r>
    </w:p>
    <w:p w:rsidR="003474F2" w:rsidRPr="001A3D2B" w:rsidRDefault="003474F2" w:rsidP="003474F2">
      <w:pPr>
        <w:pStyle w:val="1"/>
      </w:pPr>
      <w:r w:rsidRPr="001A3D2B">
        <w:br w:type="page"/>
      </w:r>
      <w:bookmarkStart w:id="815" w:name="_Toc420814743"/>
      <w:r w:rsidRPr="001A3D2B">
        <w:lastRenderedPageBreak/>
        <w:t xml:space="preserve">Title: </w:t>
      </w:r>
      <w:r w:rsidR="0046448A">
        <w:t>BJOG-An</w:t>
      </w:r>
      <w:r w:rsidRPr="001A3D2B">
        <w:t xml:space="preserve"> International Journal</w:t>
      </w:r>
      <w:r w:rsidR="00427468">
        <w:t xml:space="preserve"> of </w:t>
      </w:r>
      <w:r w:rsidRPr="001A3D2B">
        <w:t>Obstet</w:t>
      </w:r>
      <w:bookmarkStart w:id="816" w:name="_Toc174506061"/>
      <w:r w:rsidRPr="001A3D2B">
        <w:t>rics</w:t>
      </w:r>
      <w:r w:rsidR="005853A9">
        <w:t xml:space="preserve"> and </w:t>
      </w:r>
      <w:r w:rsidRPr="001A3D2B">
        <w:t>Gynaecology</w:t>
      </w:r>
      <w:bookmarkEnd w:id="815"/>
    </w:p>
    <w:p w:rsidR="003474F2" w:rsidRPr="001A3D2B" w:rsidRDefault="003474F2" w:rsidP="003474F2">
      <w:pPr>
        <w:pStyle w:val="12"/>
      </w:pPr>
      <w:r w:rsidRPr="001A3D2B">
        <w:t xml:space="preserve">Full Journal Title: </w:t>
      </w:r>
      <w:r w:rsidR="0046448A">
        <w:t>BJOG-An</w:t>
      </w:r>
      <w:r w:rsidRPr="001A3D2B">
        <w:t xml:space="preserve"> International Jou</w:t>
      </w:r>
      <w:bookmarkEnd w:id="816"/>
      <w:r w:rsidRPr="001A3D2B">
        <w:t>rnal</w:t>
      </w:r>
      <w:r w:rsidR="00427468">
        <w:t xml:space="preserve"> of </w:t>
      </w:r>
      <w:r w:rsidRPr="001A3D2B">
        <w:t>Obstetrics</w:t>
      </w:r>
      <w:r w:rsidR="005853A9">
        <w:t xml:space="preserve"> and </w:t>
      </w:r>
      <w:r w:rsidRPr="001A3D2B">
        <w:t>Gynaecology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9C2115" w:rsidRDefault="009C2115" w:rsidP="009C2115">
      <w:pPr>
        <w:pStyle w:val="a3"/>
        <w:rPr>
          <w:kern w:val="0"/>
        </w:rPr>
      </w:pPr>
      <w:r>
        <w:rPr>
          <w:rFonts w:hint="eastAsia"/>
          <w:kern w:val="0"/>
        </w:rPr>
        <w:t xml:space="preserve">? </w:t>
      </w:r>
      <w:r>
        <w:rPr>
          <w:kern w:val="0"/>
        </w:rPr>
        <w:t>Garside, R., Stein, K., Wyatt, K.</w:t>
      </w:r>
      <w:r w:rsidR="005853A9">
        <w:rPr>
          <w:kern w:val="0"/>
        </w:rPr>
        <w:t xml:space="preserve"> and </w:t>
      </w:r>
      <w:r>
        <w:rPr>
          <w:kern w:val="0"/>
        </w:rPr>
        <w:t>Round, A. (2005), Microwave</w:t>
      </w:r>
      <w:r w:rsidR="005853A9">
        <w:rPr>
          <w:kern w:val="0"/>
        </w:rPr>
        <w:t xml:space="preserve"> and </w:t>
      </w:r>
      <w:r>
        <w:rPr>
          <w:kern w:val="0"/>
        </w:rPr>
        <w:t xml:space="preserve">thermal balloon ablation for heavy menstrual bleeding: A systematic review. </w:t>
      </w:r>
      <w:r w:rsidR="0046448A">
        <w:rPr>
          <w:i/>
          <w:iCs/>
          <w:kern w:val="0"/>
        </w:rPr>
        <w:t>BJOG-An</w:t>
      </w:r>
      <w:r>
        <w:rPr>
          <w:i/>
          <w:iCs/>
          <w:kern w:val="0"/>
        </w:rPr>
        <w:t xml:space="preserve"> International Journal</w:t>
      </w:r>
      <w:r w:rsidR="00427468">
        <w:rPr>
          <w:i/>
          <w:iCs/>
          <w:kern w:val="0"/>
        </w:rPr>
        <w:t xml:space="preserve"> of </w:t>
      </w:r>
      <w:r>
        <w:rPr>
          <w:i/>
          <w:iCs/>
          <w:kern w:val="0"/>
        </w:rPr>
        <w:t>Obstetrics</w:t>
      </w:r>
      <w:r w:rsidR="005853A9">
        <w:rPr>
          <w:i/>
          <w:iCs/>
          <w:kern w:val="0"/>
        </w:rPr>
        <w:t xml:space="preserve"> and </w:t>
      </w:r>
      <w:r>
        <w:rPr>
          <w:i/>
          <w:iCs/>
          <w:kern w:val="0"/>
        </w:rPr>
        <w:t>Gynaecology</w:t>
      </w:r>
      <w:r>
        <w:rPr>
          <w:kern w:val="0"/>
        </w:rPr>
        <w:t xml:space="preserve">, </w:t>
      </w:r>
      <w:r>
        <w:rPr>
          <w:b/>
          <w:bCs/>
          <w:kern w:val="0"/>
        </w:rPr>
        <w:t>112</w:t>
      </w:r>
      <w:r>
        <w:rPr>
          <w:kern w:val="0"/>
        </w:rPr>
        <w:t xml:space="preserve"> (1), 12-23.</w:t>
      </w:r>
    </w:p>
    <w:p w:rsidR="00C763C3" w:rsidRPr="00FC7835" w:rsidRDefault="00C763C3" w:rsidP="00C763C3">
      <w:pPr>
        <w:pStyle w:val="a3"/>
        <w:rPr>
          <w:kern w:val="2"/>
        </w:rPr>
      </w:pPr>
      <w:r>
        <w:t>Full Text:</w:t>
      </w:r>
      <w:r w:rsidRPr="00FC7835">
        <w:t xml:space="preserve"> </w:t>
      </w:r>
      <w:hyperlink r:id="rId1516" w:history="1">
        <w:r w:rsidRPr="00C763C3">
          <w:rPr>
            <w:rStyle w:val="a5"/>
          </w:rPr>
          <w:t>2005\BJOG112, 12.pdf</w:t>
        </w:r>
      </w:hyperlink>
    </w:p>
    <w:p w:rsidR="009C2115" w:rsidRDefault="009C2115" w:rsidP="009C2115">
      <w:pPr>
        <w:pStyle w:val="a3"/>
        <w:rPr>
          <w:kern w:val="0"/>
        </w:rPr>
      </w:pPr>
      <w:r>
        <w:rPr>
          <w:kern w:val="0"/>
        </w:rPr>
        <w:t>Abstract: Objective To compare</w:t>
      </w:r>
      <w:r w:rsidR="003A1917">
        <w:rPr>
          <w:kern w:val="0"/>
        </w:rPr>
        <w:t xml:space="preserve"> the </w:t>
      </w:r>
      <w:r>
        <w:rPr>
          <w:kern w:val="0"/>
        </w:rPr>
        <w:t>effectiveness</w:t>
      </w:r>
      <w:r w:rsidR="00427468">
        <w:rPr>
          <w:kern w:val="0"/>
        </w:rPr>
        <w:t xml:space="preserve"> of </w:t>
      </w:r>
      <w:r>
        <w:rPr>
          <w:kern w:val="0"/>
        </w:rPr>
        <w:t xml:space="preserve">two second generation endometrial ablation techniques </w:t>
      </w:r>
      <w:r w:rsidR="005A48B0">
        <w:rPr>
          <w:kern w:val="0"/>
        </w:rPr>
        <w:t>(</w:t>
      </w:r>
      <w:r>
        <w:rPr>
          <w:kern w:val="0"/>
        </w:rPr>
        <w:t>microwave</w:t>
      </w:r>
      <w:r w:rsidR="005853A9">
        <w:rPr>
          <w:kern w:val="0"/>
        </w:rPr>
        <w:t xml:space="preserve"> and </w:t>
      </w:r>
      <w:r>
        <w:rPr>
          <w:kern w:val="0"/>
        </w:rPr>
        <w:t>thermal balloon endometrial ablation) with first generation techniques</w:t>
      </w:r>
      <w:r w:rsidR="00427468">
        <w:rPr>
          <w:kern w:val="0"/>
        </w:rPr>
        <w:t xml:space="preserve"> of </w:t>
      </w:r>
      <w:r>
        <w:rPr>
          <w:kern w:val="0"/>
        </w:rPr>
        <w:t>endometrial ablation to treat heavy menstrual bleeding in women. Search strategy We searched</w:t>
      </w:r>
      <w:r w:rsidR="003A1917">
        <w:rPr>
          <w:kern w:val="0"/>
        </w:rPr>
        <w:t xml:space="preserve"> the </w:t>
      </w:r>
      <w:r>
        <w:rPr>
          <w:kern w:val="0"/>
        </w:rPr>
        <w:t xml:space="preserve">Cochrane Library </w:t>
      </w:r>
      <w:r w:rsidR="005A48B0">
        <w:rPr>
          <w:kern w:val="0"/>
        </w:rPr>
        <w:t>(</w:t>
      </w:r>
      <w:r>
        <w:rPr>
          <w:kern w:val="0"/>
        </w:rPr>
        <w:t>issue 3, 2002</w:t>
      </w:r>
      <w:r w:rsidR="00F42EAC">
        <w:rPr>
          <w:kern w:val="0"/>
        </w:rPr>
        <w:t>), The</w:t>
      </w:r>
      <w:r w:rsidR="003A1917">
        <w:rPr>
          <w:kern w:val="0"/>
        </w:rPr>
        <w:t xml:space="preserve"> </w:t>
      </w:r>
      <w:r>
        <w:rPr>
          <w:kern w:val="0"/>
        </w:rPr>
        <w:t xml:space="preserve">National Research Register, </w:t>
      </w:r>
      <w:r w:rsidR="00D5664A">
        <w:rPr>
          <w:kern w:val="0"/>
        </w:rPr>
        <w:t>MEDLINE</w:t>
      </w:r>
      <w:r>
        <w:rPr>
          <w:kern w:val="0"/>
        </w:rPr>
        <w:t xml:space="preserve"> </w:t>
      </w:r>
      <w:r w:rsidR="005A48B0">
        <w:rPr>
          <w:kern w:val="0"/>
        </w:rPr>
        <w:t>(</w:t>
      </w:r>
      <w:r>
        <w:rPr>
          <w:kern w:val="0"/>
        </w:rPr>
        <w:t xml:space="preserve">1966 to August 2002), EMBASE </w:t>
      </w:r>
      <w:r w:rsidR="005A48B0">
        <w:rPr>
          <w:kern w:val="0"/>
        </w:rPr>
        <w:t>(</w:t>
      </w:r>
      <w:r>
        <w:rPr>
          <w:kern w:val="0"/>
        </w:rPr>
        <w:t>1980 to August 2002)</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Proceedings </w:t>
      </w:r>
      <w:r w:rsidR="005A48B0">
        <w:rPr>
          <w:kern w:val="0"/>
        </w:rPr>
        <w:t>(</w:t>
      </w:r>
      <w:r>
        <w:rPr>
          <w:kern w:val="0"/>
        </w:rPr>
        <w:t>all years). We also searched reference lists</w:t>
      </w:r>
      <w:r w:rsidR="005853A9">
        <w:rPr>
          <w:kern w:val="0"/>
        </w:rPr>
        <w:t xml:space="preserve"> and </w:t>
      </w:r>
      <w:r>
        <w:rPr>
          <w:kern w:val="0"/>
        </w:rPr>
        <w:t>contacted experts</w:t>
      </w:r>
      <w:r w:rsidR="005853A9">
        <w:rPr>
          <w:kern w:val="0"/>
        </w:rPr>
        <w:t xml:space="preserve"> and </w:t>
      </w:r>
      <w:r>
        <w:rPr>
          <w:kern w:val="0"/>
        </w:rPr>
        <w:t>manufacturers in</w:t>
      </w:r>
      <w:r w:rsidR="003A1917">
        <w:rPr>
          <w:kern w:val="0"/>
        </w:rPr>
        <w:t xml:space="preserve"> the </w:t>
      </w:r>
      <w:r>
        <w:rPr>
          <w:kern w:val="0"/>
        </w:rPr>
        <w:t>field. Selection criteria Randomised controlled trials</w:t>
      </w:r>
      <w:r w:rsidR="005853A9">
        <w:rPr>
          <w:kern w:val="0"/>
        </w:rPr>
        <w:t xml:space="preserve"> and </w:t>
      </w:r>
      <w:r>
        <w:rPr>
          <w:kern w:val="0"/>
        </w:rPr>
        <w:t>controlled trials</w:t>
      </w:r>
      <w:r w:rsidR="00427468">
        <w:rPr>
          <w:kern w:val="0"/>
        </w:rPr>
        <w:t xml:space="preserve"> of </w:t>
      </w:r>
      <w:r>
        <w:rPr>
          <w:kern w:val="0"/>
        </w:rPr>
        <w:t>microwave endometrial ablation</w:t>
      </w:r>
      <w:r w:rsidR="005853A9">
        <w:rPr>
          <w:kern w:val="0"/>
        </w:rPr>
        <w:t xml:space="preserve"> and </w:t>
      </w:r>
      <w:r>
        <w:rPr>
          <w:kern w:val="0"/>
        </w:rPr>
        <w:t>thermal balloon endometrial ablation versus transcervical resection</w:t>
      </w:r>
      <w:r w:rsidR="005853A9">
        <w:rPr>
          <w:kern w:val="0"/>
        </w:rPr>
        <w:t xml:space="preserve"> and </w:t>
      </w:r>
      <w:r>
        <w:rPr>
          <w:kern w:val="0"/>
        </w:rPr>
        <w:t>rollerball ablation, alone or in combination, to treat heavy menstrual bleeding were included. Data collection</w:t>
      </w:r>
      <w:r w:rsidR="005853A9">
        <w:rPr>
          <w:kern w:val="0"/>
        </w:rPr>
        <w:t xml:space="preserve"> and </w:t>
      </w:r>
      <w:r>
        <w:rPr>
          <w:kern w:val="0"/>
        </w:rPr>
        <w:t>analysis Two reviewers independently selected studies for inclusion</w:t>
      </w:r>
      <w:r w:rsidR="005853A9">
        <w:rPr>
          <w:kern w:val="0"/>
        </w:rPr>
        <w:t xml:space="preserve"> and </w:t>
      </w:r>
      <w:r>
        <w:rPr>
          <w:kern w:val="0"/>
        </w:rPr>
        <w:t>extracted data. As there was considerable clinical</w:t>
      </w:r>
      <w:r w:rsidR="005853A9">
        <w:rPr>
          <w:kern w:val="0"/>
        </w:rPr>
        <w:t xml:space="preserve"> and </w:t>
      </w:r>
      <w:r>
        <w:rPr>
          <w:kern w:val="0"/>
        </w:rPr>
        <w:t>methodological heterogeneity among</w:t>
      </w:r>
      <w:r w:rsidR="003A1917">
        <w:rPr>
          <w:kern w:val="0"/>
        </w:rPr>
        <w:t xml:space="preserve"> the </w:t>
      </w:r>
      <w:r>
        <w:rPr>
          <w:kern w:val="0"/>
        </w:rPr>
        <w:t>studies, meta-analysis was not undertaken</w:t>
      </w:r>
      <w:r w:rsidR="005853A9">
        <w:rPr>
          <w:kern w:val="0"/>
        </w:rPr>
        <w:t xml:space="preserve"> and </w:t>
      </w:r>
      <w:r>
        <w:rPr>
          <w:kern w:val="0"/>
        </w:rPr>
        <w:t>results are presented descriptively. Results Two randomised controlled trials</w:t>
      </w:r>
      <w:r w:rsidR="00427468">
        <w:rPr>
          <w:kern w:val="0"/>
        </w:rPr>
        <w:t xml:space="preserve"> of </w:t>
      </w:r>
      <w:r>
        <w:rPr>
          <w:kern w:val="0"/>
        </w:rPr>
        <w:t>microwave endometrial ablation</w:t>
      </w:r>
      <w:r w:rsidR="005853A9">
        <w:rPr>
          <w:kern w:val="0"/>
        </w:rPr>
        <w:t xml:space="preserve"> and </w:t>
      </w:r>
      <w:r>
        <w:rPr>
          <w:kern w:val="0"/>
        </w:rPr>
        <w:t xml:space="preserve">eight trials </w:t>
      </w:r>
      <w:r w:rsidR="005A48B0">
        <w:rPr>
          <w:kern w:val="0"/>
        </w:rPr>
        <w:t>(</w:t>
      </w:r>
      <w:r>
        <w:rPr>
          <w:kern w:val="0"/>
        </w:rPr>
        <w:t>six randomised controlled trials)</w:t>
      </w:r>
      <w:r w:rsidR="00427468">
        <w:rPr>
          <w:kern w:val="0"/>
        </w:rPr>
        <w:t xml:space="preserve"> of </w:t>
      </w:r>
      <w:r>
        <w:rPr>
          <w:kern w:val="0"/>
        </w:rPr>
        <w:t>thermal balloon endometrial ablation were included in</w:t>
      </w:r>
      <w:r w:rsidR="003A1917">
        <w:rPr>
          <w:kern w:val="0"/>
        </w:rPr>
        <w:t xml:space="preserve"> the </w:t>
      </w:r>
      <w:r>
        <w:rPr>
          <w:kern w:val="0"/>
        </w:rPr>
        <w:t>review. No significant differences were found between first</w:t>
      </w:r>
      <w:r w:rsidR="005853A9">
        <w:rPr>
          <w:kern w:val="0"/>
        </w:rPr>
        <w:t xml:space="preserve"> and </w:t>
      </w:r>
      <w:r>
        <w:rPr>
          <w:kern w:val="0"/>
        </w:rPr>
        <w:t>second generation techniques in terms</w:t>
      </w:r>
      <w:r w:rsidR="00427468">
        <w:rPr>
          <w:kern w:val="0"/>
        </w:rPr>
        <w:t xml:space="preserve"> of </w:t>
      </w:r>
      <w:r>
        <w:rPr>
          <w:kern w:val="0"/>
        </w:rPr>
        <w:t>amenorrhoea, bleeding patterns, pre-menstrual symptoms, patient satisfaction or quality</w:t>
      </w:r>
      <w:r w:rsidR="00427468">
        <w:rPr>
          <w:kern w:val="0"/>
        </w:rPr>
        <w:t xml:space="preserve"> of </w:t>
      </w:r>
      <w:r>
        <w:rPr>
          <w:kern w:val="0"/>
        </w:rPr>
        <w:t>life. Microwave endometrial ablation</w:t>
      </w:r>
      <w:r w:rsidR="005853A9">
        <w:rPr>
          <w:kern w:val="0"/>
        </w:rPr>
        <w:t xml:space="preserve"> and </w:t>
      </w:r>
      <w:r>
        <w:rPr>
          <w:kern w:val="0"/>
        </w:rPr>
        <w:t>thermal balloon endometrial ablation had significantly shorter operating</w:t>
      </w:r>
      <w:r w:rsidR="005853A9">
        <w:rPr>
          <w:kern w:val="0"/>
        </w:rPr>
        <w:t xml:space="preserve"> and </w:t>
      </w:r>
      <w:r>
        <w:rPr>
          <w:kern w:val="0"/>
        </w:rPr>
        <w:t xml:space="preserve">theatre times than first generation techniques. </w:t>
      </w:r>
      <w:r>
        <w:rPr>
          <w:kern w:val="0"/>
        </w:rPr>
        <w:lastRenderedPageBreak/>
        <w:t>Adverse effects were few with all techniques, but there were fewer peri-operative adverse effects with second generation techniques. Conclusion Microwave endometrial ablation</w:t>
      </w:r>
      <w:r w:rsidR="005853A9">
        <w:rPr>
          <w:kern w:val="0"/>
        </w:rPr>
        <w:t xml:space="preserve"> and </w:t>
      </w:r>
      <w:r>
        <w:rPr>
          <w:kern w:val="0"/>
        </w:rPr>
        <w:t>thermal balloon endometrial ablation are alternatives to first generation techniques for treating heavy menstrual bleeding. No head-to-head trials</w:t>
      </w:r>
      <w:r w:rsidR="00427468">
        <w:rPr>
          <w:kern w:val="0"/>
        </w:rPr>
        <w:t xml:space="preserve"> of </w:t>
      </w:r>
      <w:r>
        <w:rPr>
          <w:kern w:val="0"/>
        </w:rPr>
        <w:t>microwave endometrial ablation</w:t>
      </w:r>
      <w:r w:rsidR="005853A9">
        <w:rPr>
          <w:kern w:val="0"/>
        </w:rPr>
        <w:t xml:space="preserve"> and </w:t>
      </w:r>
      <w:r>
        <w:rPr>
          <w:kern w:val="0"/>
        </w:rPr>
        <w:t>thermal balloon endometrial ablation have been undertaken</w:t>
      </w:r>
      <w:r w:rsidR="005853A9">
        <w:rPr>
          <w:kern w:val="0"/>
        </w:rPr>
        <w:t xml:space="preserve"> and </w:t>
      </w:r>
      <w:r>
        <w:rPr>
          <w:kern w:val="0"/>
        </w:rPr>
        <w:t>there is not yet enough evidence</w:t>
      </w:r>
      <w:r w:rsidR="00427468">
        <w:rPr>
          <w:kern w:val="0"/>
        </w:rPr>
        <w:t xml:space="preserve"> of </w:t>
      </w:r>
      <w:r>
        <w:rPr>
          <w:kern w:val="0"/>
        </w:rPr>
        <w:t>differences in clinical effectiveness between these two techniques.</w:t>
      </w:r>
    </w:p>
    <w:p w:rsidR="009C2115" w:rsidRDefault="009C2115" w:rsidP="009C2115">
      <w:pPr>
        <w:pStyle w:val="a3"/>
        <w:rPr>
          <w:kern w:val="0"/>
        </w:rPr>
      </w:pPr>
      <w:r>
        <w:rPr>
          <w:kern w:val="0"/>
        </w:rPr>
        <w:t xml:space="preserve">Keywords: Adverse Effects, Analysis, Clinical Effectiveness, Cochrane, Effectiveness, Endometrial Ablation, </w:t>
      </w:r>
      <w:r w:rsidR="00D5664A">
        <w:rPr>
          <w:kern w:val="0"/>
        </w:rPr>
        <w:t>MEDLINE</w:t>
      </w:r>
      <w:r>
        <w:rPr>
          <w:kern w:val="0"/>
        </w:rPr>
        <w:t>, Meta-Analysis, Multicenter, Patient Satisfaction, Quality</w:t>
      </w:r>
      <w:r w:rsidR="00427468">
        <w:rPr>
          <w:kern w:val="0"/>
        </w:rPr>
        <w:t xml:space="preserve"> of </w:t>
      </w:r>
      <w:r>
        <w:rPr>
          <w:kern w:val="0"/>
        </w:rPr>
        <w:t xml:space="preserve">Life, Randomized-Trial, Research, Resection, Review, Rollerball Ablation, Science, Search Strategy, Strategy, Symptoms, Systematic, Systematic Review, Treat Menorrhagia, </w:t>
      </w:r>
      <w:r w:rsidR="00D5664A">
        <w:rPr>
          <w:kern w:val="0"/>
        </w:rPr>
        <w:t>Web</w:t>
      </w:r>
      <w:r w:rsidR="00427468">
        <w:rPr>
          <w:kern w:val="0"/>
        </w:rPr>
        <w:t xml:space="preserve"> of </w:t>
      </w:r>
      <w:r w:rsidR="00D5664A">
        <w:rPr>
          <w:kern w:val="0"/>
        </w:rPr>
        <w:t>Science</w:t>
      </w:r>
      <w:r>
        <w:rPr>
          <w:kern w:val="0"/>
        </w:rPr>
        <w:t>, Women</w:t>
      </w:r>
    </w:p>
    <w:p w:rsidR="003474F2" w:rsidRPr="001A3D2B" w:rsidRDefault="003474F2" w:rsidP="003474F2">
      <w:pPr>
        <w:pStyle w:val="a3"/>
      </w:pPr>
      <w:r w:rsidRPr="001A3D2B">
        <w:t>? Johnson, N.P., Bagrie, E.M., Coomarasamy, A., Bhattacharya, S., Shelling, A.N., Jessop, S., Farquhar, C.</w:t>
      </w:r>
      <w:r w:rsidR="005853A9">
        <w:t xml:space="preserve"> and </w:t>
      </w:r>
      <w:r w:rsidRPr="001A3D2B">
        <w:t>Khan, K.S. (2006), Ovarian reserve tests for predicting fertility outcomes for assisted reproductive technology:</w:t>
      </w:r>
      <w:r w:rsidR="003A1917">
        <w:t xml:space="preserve"> the </w:t>
      </w:r>
      <w:r w:rsidRPr="001A3D2B">
        <w:t>International Systematic Collaboration</w:t>
      </w:r>
      <w:r w:rsidR="00427468">
        <w:t xml:space="preserve"> of </w:t>
      </w:r>
      <w:r w:rsidRPr="001A3D2B">
        <w:t>Ovarian Reserve Evaluation protocol for a systematic review</w:t>
      </w:r>
      <w:r w:rsidR="00427468">
        <w:t xml:space="preserve"> of </w:t>
      </w:r>
      <w:r w:rsidRPr="001A3D2B">
        <w:t xml:space="preserve">ovarian reserve test accuracy. </w:t>
      </w:r>
      <w:r w:rsidR="0046448A">
        <w:rPr>
          <w:i/>
          <w:iCs/>
        </w:rPr>
        <w:t>BJOG-An</w:t>
      </w:r>
      <w:r w:rsidRPr="001A3D2B">
        <w:rPr>
          <w:i/>
          <w:iCs/>
        </w:rPr>
        <w:t xml:space="preserve"> International Journal</w:t>
      </w:r>
      <w:r w:rsidR="00427468">
        <w:rPr>
          <w:i/>
          <w:iCs/>
        </w:rPr>
        <w:t xml:space="preserve"> of </w:t>
      </w:r>
      <w:r w:rsidRPr="001A3D2B">
        <w:rPr>
          <w:i/>
          <w:iCs/>
        </w:rPr>
        <w:t>Obstetrics</w:t>
      </w:r>
      <w:r w:rsidR="005853A9">
        <w:rPr>
          <w:i/>
          <w:iCs/>
        </w:rPr>
        <w:t xml:space="preserve"> and </w:t>
      </w:r>
      <w:r w:rsidRPr="001A3D2B">
        <w:rPr>
          <w:i/>
          <w:iCs/>
        </w:rPr>
        <w:t>Gynaecology</w:t>
      </w:r>
      <w:r w:rsidRPr="001A3D2B">
        <w:t xml:space="preserve">, </w:t>
      </w:r>
      <w:r w:rsidRPr="001A3D2B">
        <w:rPr>
          <w:b/>
          <w:bCs/>
        </w:rPr>
        <w:t>113</w:t>
      </w:r>
      <w:r w:rsidRPr="001A3D2B">
        <w:t xml:space="preserve"> (12), 1472-1480.</w:t>
      </w:r>
    </w:p>
    <w:p w:rsidR="00C763C3" w:rsidRPr="00FC7835" w:rsidRDefault="00C763C3" w:rsidP="00C763C3">
      <w:pPr>
        <w:pStyle w:val="a3"/>
        <w:rPr>
          <w:kern w:val="2"/>
        </w:rPr>
      </w:pPr>
      <w:r>
        <w:t>Full Text:</w:t>
      </w:r>
      <w:r w:rsidRPr="00FC7835">
        <w:t xml:space="preserve"> </w:t>
      </w:r>
      <w:hyperlink r:id="rId1517" w:history="1">
        <w:r w:rsidRPr="00C03516">
          <w:rPr>
            <w:rStyle w:val="a5"/>
          </w:rPr>
          <w:t>2006\BJOG113, 1472.pdf</w:t>
        </w:r>
      </w:hyperlink>
    </w:p>
    <w:p w:rsidR="003474F2" w:rsidRPr="001A3D2B" w:rsidRDefault="003474F2" w:rsidP="003474F2">
      <w:pPr>
        <w:pStyle w:val="a3"/>
      </w:pPr>
      <w:r w:rsidRPr="001A3D2B">
        <w:t>Abstract: Background</w:t>
      </w:r>
      <w:r w:rsidR="003A1917">
        <w:t xml:space="preserve"> the </w:t>
      </w:r>
      <w:r w:rsidRPr="001A3D2B">
        <w:t>presence</w:t>
      </w:r>
      <w:r w:rsidR="00427468">
        <w:t xml:space="preserve"> of </w:t>
      </w:r>
      <w:r w:rsidRPr="001A3D2B">
        <w:t>a wide range</w:t>
      </w:r>
      <w:r w:rsidR="00427468">
        <w:t xml:space="preserve"> of </w:t>
      </w:r>
      <w:r w:rsidRPr="001A3D2B">
        <w:t>tests</w:t>
      </w:r>
      <w:r w:rsidR="00427468">
        <w:t xml:space="preserve"> of </w:t>
      </w:r>
      <w:r w:rsidRPr="001A3D2B">
        <w:t>ovarian reserve suggests that no single test provides a sufficiently accurate result. Many tests are used without reference to an evidence base. So far, individual studies conducted on these tests are too small to give precise estimates</w:t>
      </w:r>
      <w:r w:rsidR="00427468">
        <w:t xml:space="preserve"> of </w:t>
      </w:r>
      <w:r w:rsidRPr="001A3D2B">
        <w:t>prognostic accuracy. Objectives To systematically assess</w:t>
      </w:r>
      <w:r w:rsidR="003A1917">
        <w:t xml:space="preserve"> the </w:t>
      </w:r>
      <w:r w:rsidRPr="001A3D2B">
        <w:t>accuracy</w:t>
      </w:r>
      <w:r w:rsidR="00427468">
        <w:t xml:space="preserve"> of </w:t>
      </w:r>
      <w:r w:rsidR="003A1917">
        <w:t xml:space="preserve">the </w:t>
      </w:r>
      <w:r w:rsidRPr="001A3D2B">
        <w:t>available tests</w:t>
      </w:r>
      <w:r w:rsidR="00427468">
        <w:t xml:space="preserve"> of </w:t>
      </w:r>
      <w:r w:rsidRPr="001A3D2B">
        <w:t>ovarian reserve in terms</w:t>
      </w:r>
      <w:r w:rsidR="00427468">
        <w:t xml:space="preserve"> of </w:t>
      </w:r>
      <w:r w:rsidRPr="001A3D2B">
        <w:t>prediction</w:t>
      </w:r>
      <w:r w:rsidR="00427468">
        <w:t xml:space="preserve"> of </w:t>
      </w:r>
      <w:r w:rsidRPr="001A3D2B">
        <w:t>fertility outcomes. Search strategy</w:t>
      </w:r>
      <w:r w:rsidR="003A1917">
        <w:t xml:space="preserve"> the </w:t>
      </w:r>
      <w:r w:rsidRPr="001A3D2B">
        <w:t>search will be conducted using</w:t>
      </w:r>
      <w:r w:rsidR="003A1917">
        <w:t xml:space="preserve"> the </w:t>
      </w:r>
      <w:r w:rsidRPr="001A3D2B">
        <w:t>name</w:t>
      </w:r>
      <w:r w:rsidR="00427468">
        <w:t xml:space="preserve"> of </w:t>
      </w:r>
      <w:r w:rsidR="003A1917">
        <w:t xml:space="preserve">the </w:t>
      </w:r>
      <w:r w:rsidRPr="001A3D2B">
        <w:t>respective index test being studied (as listed on</w:t>
      </w:r>
      <w:r w:rsidR="003A1917">
        <w:t xml:space="preserve"> the </w:t>
      </w:r>
      <w:r w:rsidRPr="001A3D2B">
        <w:t xml:space="preserve">MESH database), if more than 2000 citations are listed, </w:t>
      </w:r>
      <w:r w:rsidR="00700038">
        <w:t>‘</w:t>
      </w:r>
      <w:r w:rsidRPr="001A3D2B">
        <w:t>ovary</w:t>
      </w:r>
      <w:r w:rsidR="00700038">
        <w:t>’</w:t>
      </w:r>
      <w:r w:rsidR="005853A9">
        <w:t xml:space="preserve"> and </w:t>
      </w:r>
      <w:r w:rsidRPr="001A3D2B">
        <w:t xml:space="preserve">or </w:t>
      </w:r>
      <w:r w:rsidR="00700038">
        <w:t>‘</w:t>
      </w:r>
      <w:r w:rsidRPr="001A3D2B">
        <w:t>ovarian</w:t>
      </w:r>
      <w:r w:rsidR="00700038">
        <w:t>’</w:t>
      </w:r>
      <w:r w:rsidRPr="001A3D2B">
        <w:t xml:space="preserve">, </w:t>
      </w:r>
      <w:r w:rsidR="00700038">
        <w:t>‘</w:t>
      </w:r>
      <w:r w:rsidRPr="001A3D2B">
        <w:t>fertility</w:t>
      </w:r>
      <w:r w:rsidR="00700038">
        <w:t>’</w:t>
      </w:r>
      <w:r w:rsidR="005853A9">
        <w:t xml:space="preserve"> and </w:t>
      </w:r>
      <w:r w:rsidRPr="001A3D2B">
        <w:t xml:space="preserve">or </w:t>
      </w:r>
      <w:r w:rsidR="00700038">
        <w:t>‘</w:t>
      </w:r>
      <w:r w:rsidRPr="001A3D2B">
        <w:t>reserve</w:t>
      </w:r>
      <w:r w:rsidR="00700038">
        <w:t>’</w:t>
      </w:r>
      <w:r w:rsidRPr="001A3D2B">
        <w:t xml:space="preserve"> will be combined with</w:t>
      </w:r>
      <w:r w:rsidR="003A1917">
        <w:t xml:space="preserve"> the </w:t>
      </w:r>
      <w:r w:rsidRPr="001A3D2B">
        <w:t>original search term as required. Studies</w:t>
      </w:r>
      <w:r w:rsidR="00427468">
        <w:t xml:space="preserve"> of </w:t>
      </w:r>
      <w:r w:rsidR="003A1917">
        <w:t xml:space="preserve">the </w:t>
      </w:r>
      <w:r w:rsidRPr="001A3D2B">
        <w:t>accuracy</w:t>
      </w:r>
      <w:r w:rsidR="00427468">
        <w:t xml:space="preserve"> of </w:t>
      </w:r>
      <w:r w:rsidRPr="001A3D2B">
        <w:t>tests</w:t>
      </w:r>
      <w:r w:rsidR="00427468">
        <w:t xml:space="preserve"> of </w:t>
      </w:r>
      <w:r w:rsidRPr="001A3D2B">
        <w:t>ovarian reserve will be obtained without language restrictions from 1980 to 2005 using</w:t>
      </w:r>
      <w:r w:rsidR="003A1917">
        <w:t xml:space="preserve"> the </w:t>
      </w:r>
      <w:r w:rsidRPr="001A3D2B">
        <w:t>following electronic databases</w:t>
      </w:r>
      <w:r w:rsidR="005853A9">
        <w:t xml:space="preserve"> and </w:t>
      </w:r>
      <w:r w:rsidRPr="001A3D2B">
        <w:t xml:space="preserve">Ovid software: </w:t>
      </w:r>
      <w:r w:rsidR="00D5664A">
        <w:t>MEDLINE</w:t>
      </w:r>
      <w:r w:rsidRPr="001A3D2B">
        <w:t xml:space="preserve">, EMBASE, </w:t>
      </w:r>
      <w:r w:rsidR="002C12F0">
        <w:t>PUBMED</w:t>
      </w:r>
      <w:r w:rsidRPr="001A3D2B">
        <w:t>, Biological extracts, Pascal, Cochrane Library (CDSR, DARE, CCTR, HTA), Best Evidence databases, SCISEARCH, Conference Proceedings (ISI Proceedings, Healthstar, Current Contents, Science Citation Index, Cancerlit</w:t>
      </w:r>
      <w:r w:rsidR="005853A9">
        <w:t xml:space="preserve"> and </w:t>
      </w:r>
      <w:r w:rsidRPr="001A3D2B">
        <w:t>Econlit</w:t>
      </w:r>
      <w:r w:rsidR="005853A9">
        <w:t xml:space="preserve"> and </w:t>
      </w:r>
      <w:r w:rsidRPr="001A3D2B">
        <w:t>NHS Economic Evaluation database</w:t>
      </w:r>
      <w:r w:rsidR="00A37C1D">
        <w:t>. The</w:t>
      </w:r>
      <w:r w:rsidR="003A1917">
        <w:t xml:space="preserve"> </w:t>
      </w:r>
      <w:r w:rsidRPr="001A3D2B">
        <w:t>National Research Register,</w:t>
      </w:r>
      <w:r w:rsidR="003A1917">
        <w:t xml:space="preserve"> the </w:t>
      </w:r>
      <w:r w:rsidRPr="001A3D2B">
        <w:t>Medical Research Council</w:t>
      </w:r>
      <w:r w:rsidR="00700038">
        <w:t>’</w:t>
      </w:r>
      <w:r w:rsidR="00C13DDC">
        <w:t>s</w:t>
      </w:r>
      <w:r w:rsidRPr="001A3D2B">
        <w:t xml:space="preserve"> Clinical Trials Register, MEDION, DARE,</w:t>
      </w:r>
      <w:r w:rsidR="005853A9">
        <w:t xml:space="preserve"> and </w:t>
      </w:r>
      <w:r w:rsidR="003A1917">
        <w:t xml:space="preserve">the </w:t>
      </w:r>
      <w:r w:rsidRPr="001A3D2B">
        <w:t>US Clinical Trials register. Selection criteria Studies will be selected if accuracy</w:t>
      </w:r>
      <w:r w:rsidR="00427468">
        <w:t xml:space="preserve"> of </w:t>
      </w:r>
      <w:r w:rsidRPr="001A3D2B">
        <w:t>tests are compared with a reference standard</w:t>
      </w:r>
      <w:r w:rsidR="005853A9">
        <w:t xml:space="preserve"> and </w:t>
      </w:r>
      <w:r w:rsidRPr="001A3D2B">
        <w:t>include data that can be abstracted into a two-by-two table to calculate sensitivity</w:t>
      </w:r>
      <w:r w:rsidR="005853A9">
        <w:t xml:space="preserve"> and </w:t>
      </w:r>
      <w:r w:rsidRPr="001A3D2B">
        <w:t>specificity</w:t>
      </w:r>
      <w:r w:rsidR="00A37C1D">
        <w:t>. The</w:t>
      </w:r>
      <w:r w:rsidR="003A1917">
        <w:t xml:space="preserve"> </w:t>
      </w:r>
      <w:r w:rsidRPr="001A3D2B">
        <w:t>studies to be included in this review will examine one</w:t>
      </w:r>
      <w:r w:rsidR="00427468">
        <w:t xml:space="preserve"> of </w:t>
      </w:r>
      <w:r w:rsidR="003A1917">
        <w:t xml:space="preserve">the </w:t>
      </w:r>
      <w:r w:rsidRPr="001A3D2B">
        <w:lastRenderedPageBreak/>
        <w:t xml:space="preserve">following index </w:t>
      </w:r>
      <w:r w:rsidR="00700038">
        <w:t>‘</w:t>
      </w:r>
      <w:r w:rsidRPr="001A3D2B">
        <w:t>tests</w:t>
      </w:r>
      <w:r w:rsidR="00700038">
        <w:t>’</w:t>
      </w:r>
      <w:r w:rsidRPr="001A3D2B">
        <w:t xml:space="preserve"> within a study population</w:t>
      </w:r>
      <w:r w:rsidR="00427468">
        <w:t xml:space="preserve"> of </w:t>
      </w:r>
      <w:r w:rsidRPr="001A3D2B">
        <w:t>women undergoing assisted reproductive technology: Clinical variables-age, history</w:t>
      </w:r>
      <w:r w:rsidR="00427468">
        <w:t xml:space="preserve"> of </w:t>
      </w:r>
      <w:r w:rsidRPr="001A3D2B">
        <w:t>cancelled cycles. Basal blood tests-follicle-stimulating hormone (FSH), lutenising hormone (LH), FSH:LH ratios, estradiol (E-2), inhibin A</w:t>
      </w:r>
      <w:r w:rsidR="005853A9">
        <w:t xml:space="preserve"> and </w:t>
      </w:r>
      <w:r w:rsidRPr="001A3D2B">
        <w:t>B, progesterone (P-4), P-4:E-2 ratios, antimullerian hormone, testosterone, vascular endothelial growth factor, insulin-like growth factor-1: insulin-like growth factor binding protein-1 ratios. Dynamic tests-clomiphene citrate challenge test, gonadotropin analogue stimulating test, exogenous FSH ovarian reserve test. Ultrasound tests-antral follicle count, ovarian volume, ovarian stromal peak systolic velocity, including waveform</w:t>
      </w:r>
      <w:r w:rsidR="005853A9">
        <w:t xml:space="preserve"> and </w:t>
      </w:r>
      <w:r w:rsidRPr="001A3D2B">
        <w:t>pulsatility index, ovarian follicular vascularity. Histology-ovarian biopsy. Data collection</w:t>
      </w:r>
      <w:r w:rsidR="005853A9">
        <w:t xml:space="preserve"> and </w:t>
      </w:r>
      <w:r w:rsidRPr="001A3D2B">
        <w:t>analysis Two independent reviewers win perform quality assessment</w:t>
      </w:r>
      <w:r w:rsidR="005853A9">
        <w:t xml:space="preserve"> and </w:t>
      </w:r>
      <w:r w:rsidRPr="001A3D2B">
        <w:t>data extraction. Prognostic accuracy will be determined by calculating positive</w:t>
      </w:r>
      <w:r w:rsidR="005853A9">
        <w:t xml:space="preserve"> and </w:t>
      </w:r>
      <w:r w:rsidRPr="001A3D2B">
        <w:t>negative likelihood ratios for</w:t>
      </w:r>
      <w:r w:rsidR="003A1917">
        <w:t xml:space="preserve"> the </w:t>
      </w:r>
      <w:r w:rsidRPr="001A3D2B">
        <w:t>following outcomes or reference standards: live birth, ongoing pregnancy, clinical pregnancy, biochemical pregnancy, embryos available for transfer, eggs obtained at oocyte retrieval, cycles cancelled prior to oocyte retrieval. Main results</w:t>
      </w:r>
      <w:r w:rsidR="005853A9">
        <w:t xml:space="preserve"> and </w:t>
      </w:r>
      <w:r w:rsidRPr="001A3D2B">
        <w:t>conclusions N/A.</w:t>
      </w:r>
    </w:p>
    <w:p w:rsidR="003474F2" w:rsidRPr="001A3D2B" w:rsidRDefault="003474F2" w:rsidP="003474F2">
      <w:pPr>
        <w:pStyle w:val="a3"/>
      </w:pPr>
      <w:r w:rsidRPr="001A3D2B">
        <w:t>Keywords: Accuracy, Analysis, Anti-Mullerian Hormone, Assessment, Base, Binding, Biochemical, Biopsy, Blood, Citations, Citrate, Clinical, Databases, Day 3 Estradiol, Dec, Diagnostic-Tests, Eggs, Embryo-Transfer, Estradiol, Extraction, Female Infertility, Fertility, Follicle-Stimulating-Hormone, Fsh, Growth, History, In-Vitro Fertilization, Index, Infertility Evaluation, Inhibin-B, Insulin-Like Growth Factor-1</w:t>
      </w:r>
      <w:r w:rsidR="00D5664A">
        <w:t>, ISI,</w:t>
      </w:r>
      <w:r w:rsidRPr="001A3D2B">
        <w:t xml:space="preserve"> Language, LH, Likelihood Ratios, </w:t>
      </w:r>
      <w:r w:rsidR="00D5664A">
        <w:t>MEDLINE</w:t>
      </w:r>
      <w:r w:rsidRPr="001A3D2B">
        <w:t>, Mesh, Outcomes, Poor Responders, Population, Predicting, Prediction, Pregnancy, Protocol, Quality, Range, Reproductive, Review, Science Citation Index, Sensitivity, Sensitivity</w:t>
      </w:r>
      <w:r w:rsidR="005853A9">
        <w:t xml:space="preserve"> and </w:t>
      </w:r>
      <w:r w:rsidRPr="001A3D2B">
        <w:t>Specificity, Software, Specificity, Standard, Standards, Strategy, Systematic Review, Test, Testosterone, Tests, Transfer</w:t>
      </w:r>
      <w:r w:rsidR="008C1C37">
        <w:t>, US,</w:t>
      </w:r>
      <w:r w:rsidRPr="001A3D2B">
        <w:t xml:space="preserve"> Velocity, Women</w:t>
      </w:r>
    </w:p>
    <w:p w:rsidR="00C763C3" w:rsidRDefault="00C763C3" w:rsidP="00C763C3">
      <w:pPr>
        <w:pStyle w:val="a3"/>
        <w:rPr>
          <w:kern w:val="0"/>
        </w:rPr>
      </w:pPr>
      <w:r>
        <w:rPr>
          <w:rFonts w:hint="eastAsia"/>
          <w:kern w:val="0"/>
        </w:rPr>
        <w:t xml:space="preserve">? </w:t>
      </w:r>
      <w:r>
        <w:rPr>
          <w:kern w:val="0"/>
        </w:rPr>
        <w:t>Patra, J., Bakker, R., Irving, H., Jaddoe, V.W.V., Malini, S.</w:t>
      </w:r>
      <w:r w:rsidR="005853A9">
        <w:rPr>
          <w:kern w:val="0"/>
        </w:rPr>
        <w:t xml:space="preserve"> and </w:t>
      </w:r>
      <w:r>
        <w:rPr>
          <w:kern w:val="0"/>
        </w:rPr>
        <w:t>Rehm, J. (2011), Dose-response relationship between alcohol consumption before</w:t>
      </w:r>
      <w:r w:rsidR="005853A9">
        <w:rPr>
          <w:kern w:val="0"/>
        </w:rPr>
        <w:t xml:space="preserve"> and </w:t>
      </w:r>
      <w:r>
        <w:rPr>
          <w:kern w:val="0"/>
        </w:rPr>
        <w:t>during pregnancy</w:t>
      </w:r>
      <w:r w:rsidR="005853A9">
        <w:rPr>
          <w:kern w:val="0"/>
        </w:rPr>
        <w:t xml:space="preserve"> and </w:t>
      </w:r>
      <w:r w:rsidR="003A1917">
        <w:rPr>
          <w:kern w:val="0"/>
        </w:rPr>
        <w:t xml:space="preserve">the </w:t>
      </w:r>
      <w:r>
        <w:rPr>
          <w:kern w:val="0"/>
        </w:rPr>
        <w:t>risks</w:t>
      </w:r>
      <w:r w:rsidR="00427468">
        <w:rPr>
          <w:kern w:val="0"/>
        </w:rPr>
        <w:t xml:space="preserve"> of </w:t>
      </w:r>
      <w:r>
        <w:rPr>
          <w:kern w:val="0"/>
        </w:rPr>
        <w:t>low birthweight, preterm birth</w:t>
      </w:r>
      <w:r w:rsidR="005853A9">
        <w:rPr>
          <w:kern w:val="0"/>
        </w:rPr>
        <w:t xml:space="preserve"> and </w:t>
      </w:r>
      <w:r>
        <w:rPr>
          <w:kern w:val="0"/>
        </w:rPr>
        <w:t>small for gestational age (SGA)</w:t>
      </w:r>
      <w:r>
        <w:rPr>
          <w:rFonts w:hint="eastAsia"/>
          <w:kern w:val="0"/>
        </w:rPr>
        <w:t xml:space="preserve">: </w:t>
      </w:r>
      <w:r>
        <w:rPr>
          <w:kern w:val="0"/>
        </w:rPr>
        <w:t>A systematic review</w:t>
      </w:r>
      <w:r w:rsidR="005853A9">
        <w:rPr>
          <w:kern w:val="0"/>
        </w:rPr>
        <w:t xml:space="preserve"> and </w:t>
      </w:r>
      <w:r>
        <w:rPr>
          <w:kern w:val="0"/>
        </w:rPr>
        <w:t xml:space="preserve">meta-analyses. </w:t>
      </w:r>
      <w:r>
        <w:rPr>
          <w:i/>
          <w:iCs/>
          <w:kern w:val="0"/>
        </w:rPr>
        <w:t>BJOG-An International Journal</w:t>
      </w:r>
      <w:r w:rsidR="00427468">
        <w:rPr>
          <w:i/>
          <w:iCs/>
          <w:kern w:val="0"/>
        </w:rPr>
        <w:t xml:space="preserve"> of </w:t>
      </w:r>
      <w:r>
        <w:rPr>
          <w:i/>
          <w:iCs/>
          <w:kern w:val="0"/>
        </w:rPr>
        <w:t>Obstetrics</w:t>
      </w:r>
      <w:r w:rsidR="005853A9">
        <w:rPr>
          <w:i/>
          <w:iCs/>
          <w:kern w:val="0"/>
        </w:rPr>
        <w:t xml:space="preserve"> and </w:t>
      </w:r>
      <w:r>
        <w:rPr>
          <w:i/>
          <w:iCs/>
          <w:kern w:val="0"/>
        </w:rPr>
        <w:t>Gynaecology</w:t>
      </w:r>
      <w:r>
        <w:rPr>
          <w:kern w:val="0"/>
        </w:rPr>
        <w:t xml:space="preserve">, </w:t>
      </w:r>
      <w:r>
        <w:rPr>
          <w:b/>
          <w:bCs/>
          <w:kern w:val="0"/>
        </w:rPr>
        <w:t>118</w:t>
      </w:r>
      <w:r>
        <w:rPr>
          <w:kern w:val="0"/>
        </w:rPr>
        <w:t xml:space="preserve"> (12), 1411-1421.</w:t>
      </w:r>
    </w:p>
    <w:p w:rsidR="00C763C3" w:rsidRPr="00FC7835" w:rsidRDefault="00C763C3" w:rsidP="00C763C3">
      <w:pPr>
        <w:pStyle w:val="a3"/>
        <w:rPr>
          <w:kern w:val="2"/>
        </w:rPr>
      </w:pPr>
      <w:r>
        <w:t>Full Text:</w:t>
      </w:r>
      <w:r w:rsidRPr="00FC7835">
        <w:t xml:space="preserve"> </w:t>
      </w:r>
      <w:hyperlink r:id="rId1518" w:history="1">
        <w:r w:rsidRPr="00C763C3">
          <w:rPr>
            <w:rStyle w:val="a5"/>
          </w:rPr>
          <w:t>2011\BJOG118, 1411.pdf</w:t>
        </w:r>
      </w:hyperlink>
    </w:p>
    <w:p w:rsidR="00C763C3" w:rsidRDefault="00C763C3" w:rsidP="00C763C3">
      <w:pPr>
        <w:pStyle w:val="a3"/>
        <w:rPr>
          <w:kern w:val="0"/>
        </w:rPr>
      </w:pPr>
      <w:r>
        <w:rPr>
          <w:kern w:val="0"/>
        </w:rPr>
        <w:t>Abstract: Background Descriptions</w:t>
      </w:r>
      <w:r w:rsidR="00427468">
        <w:rPr>
          <w:kern w:val="0"/>
        </w:rPr>
        <w:t xml:space="preserve"> of </w:t>
      </w:r>
      <w:r w:rsidR="003A1917">
        <w:rPr>
          <w:kern w:val="0"/>
        </w:rPr>
        <w:t xml:space="preserve">the </w:t>
      </w:r>
      <w:r>
        <w:rPr>
          <w:kern w:val="0"/>
        </w:rPr>
        <w:t>effects</w:t>
      </w:r>
      <w:r w:rsidR="00427468">
        <w:rPr>
          <w:kern w:val="0"/>
        </w:rPr>
        <w:t xml:space="preserve"> of </w:t>
      </w:r>
      <w:r>
        <w:rPr>
          <w:kern w:val="0"/>
        </w:rPr>
        <w:t>moderate alcohol consumption during pregnancy on adverse pregnancy outcomes have been inconsistent. Objective To review systematically</w:t>
      </w:r>
      <w:r w:rsidR="005853A9">
        <w:rPr>
          <w:kern w:val="0"/>
        </w:rPr>
        <w:t xml:space="preserve"> and </w:t>
      </w:r>
      <w:r>
        <w:rPr>
          <w:kern w:val="0"/>
        </w:rPr>
        <w:t>perform meta-analyses on</w:t>
      </w:r>
      <w:r w:rsidR="003A1917">
        <w:rPr>
          <w:kern w:val="0"/>
        </w:rPr>
        <w:t xml:space="preserve"> the </w:t>
      </w:r>
      <w:r>
        <w:rPr>
          <w:kern w:val="0"/>
        </w:rPr>
        <w:t>effect</w:t>
      </w:r>
      <w:r w:rsidR="00427468">
        <w:rPr>
          <w:kern w:val="0"/>
        </w:rPr>
        <w:t xml:space="preserve"> of </w:t>
      </w:r>
      <w:r>
        <w:rPr>
          <w:kern w:val="0"/>
        </w:rPr>
        <w:t>maternal alcohol exposure on</w:t>
      </w:r>
      <w:r w:rsidR="003A1917">
        <w:rPr>
          <w:kern w:val="0"/>
        </w:rPr>
        <w:t xml:space="preserve"> the </w:t>
      </w:r>
      <w:r>
        <w:rPr>
          <w:kern w:val="0"/>
        </w:rPr>
        <w:t>risk</w:t>
      </w:r>
      <w:r w:rsidR="00427468">
        <w:rPr>
          <w:kern w:val="0"/>
        </w:rPr>
        <w:t xml:space="preserve"> of </w:t>
      </w:r>
      <w:r>
        <w:rPr>
          <w:kern w:val="0"/>
        </w:rPr>
        <w:t>low birthweight, preterm birth</w:t>
      </w:r>
      <w:r w:rsidR="005853A9">
        <w:rPr>
          <w:kern w:val="0"/>
        </w:rPr>
        <w:t xml:space="preserve"> and </w:t>
      </w:r>
      <w:r>
        <w:rPr>
          <w:kern w:val="0"/>
        </w:rPr>
        <w:t>small for gestational age (SGA). Search strategy Using Medical Subject Headings, a literature search</w:t>
      </w:r>
      <w:r w:rsidR="00427468">
        <w:rPr>
          <w:kern w:val="0"/>
        </w:rPr>
        <w:t xml:space="preserve"> of </w:t>
      </w:r>
      <w:r w:rsidR="00D5664A">
        <w:rPr>
          <w:kern w:val="0"/>
        </w:rPr>
        <w:t>MEDLINE</w:t>
      </w:r>
      <w:r>
        <w:rPr>
          <w:kern w:val="0"/>
        </w:rPr>
        <w:t>, EMBASE, CINAHL, CABS, WHOlist, SIGLE, ETOH,</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between 1 January 1980</w:t>
      </w:r>
      <w:r w:rsidR="005853A9">
        <w:rPr>
          <w:kern w:val="0"/>
        </w:rPr>
        <w:t xml:space="preserve"> and </w:t>
      </w:r>
      <w:r>
        <w:rPr>
          <w:kern w:val="0"/>
        </w:rPr>
        <w:t xml:space="preserve">1 August 2009 was performed followed </w:t>
      </w:r>
      <w:r>
        <w:rPr>
          <w:kern w:val="0"/>
        </w:rPr>
        <w:lastRenderedPageBreak/>
        <w:t>by manual searches. Selection criteria Case-control or cohort studies were assessed for quality (STROBE), 36 available studies were included. Data collection</w:t>
      </w:r>
      <w:r w:rsidR="005853A9">
        <w:rPr>
          <w:kern w:val="0"/>
        </w:rPr>
        <w:t xml:space="preserve"> and </w:t>
      </w:r>
      <w:r>
        <w:rPr>
          <w:kern w:val="0"/>
        </w:rPr>
        <w:t>analysis Two reviewers independently extracted</w:t>
      </w:r>
      <w:r w:rsidR="003A1917">
        <w:rPr>
          <w:kern w:val="0"/>
        </w:rPr>
        <w:t xml:space="preserve"> the </w:t>
      </w:r>
      <w:r>
        <w:rPr>
          <w:kern w:val="0"/>
        </w:rPr>
        <w:t>information on low birthweight, preterm birth</w:t>
      </w:r>
      <w:r w:rsidR="005853A9">
        <w:rPr>
          <w:kern w:val="0"/>
        </w:rPr>
        <w:t xml:space="preserve"> and </w:t>
      </w:r>
      <w:r>
        <w:rPr>
          <w:kern w:val="0"/>
        </w:rPr>
        <w:t>SGA using a standardised protocol. Meta-analyses on dose-response relationships were performed using linear as well as first-order</w:t>
      </w:r>
      <w:r w:rsidR="005853A9">
        <w:rPr>
          <w:kern w:val="0"/>
        </w:rPr>
        <w:t xml:space="preserve"> and </w:t>
      </w:r>
      <w:r>
        <w:rPr>
          <w:kern w:val="0"/>
        </w:rPr>
        <w:t>second-order fractional polynomial regressions to estimate best fitting curves to</w:t>
      </w:r>
      <w:r w:rsidR="003A1917">
        <w:rPr>
          <w:kern w:val="0"/>
        </w:rPr>
        <w:t xml:space="preserve"> the </w:t>
      </w:r>
      <w:r>
        <w:rPr>
          <w:kern w:val="0"/>
        </w:rPr>
        <w:t>data. Main results Compared with abstainers,</w:t>
      </w:r>
      <w:r w:rsidR="003A1917">
        <w:rPr>
          <w:kern w:val="0"/>
        </w:rPr>
        <w:t xml:space="preserve"> the </w:t>
      </w:r>
      <w:r>
        <w:rPr>
          <w:kern w:val="0"/>
        </w:rPr>
        <w:t>overall dose-response relationships for low birthweight</w:t>
      </w:r>
      <w:r w:rsidR="005853A9">
        <w:rPr>
          <w:kern w:val="0"/>
        </w:rPr>
        <w:t xml:space="preserve"> and </w:t>
      </w:r>
      <w:r>
        <w:rPr>
          <w:kern w:val="0"/>
        </w:rPr>
        <w:t>SGA showed no effect up to 10 g pure alcohol, day (an average</w:t>
      </w:r>
      <w:r w:rsidR="00427468">
        <w:rPr>
          <w:kern w:val="0"/>
        </w:rPr>
        <w:t xml:space="preserve"> of </w:t>
      </w:r>
      <w:r>
        <w:rPr>
          <w:kern w:val="0"/>
        </w:rPr>
        <w:t>about 1 drink, day)</w:t>
      </w:r>
      <w:r w:rsidR="005853A9">
        <w:rPr>
          <w:kern w:val="0"/>
        </w:rPr>
        <w:t xml:space="preserve"> and </w:t>
      </w:r>
      <w:r>
        <w:rPr>
          <w:kern w:val="0"/>
        </w:rPr>
        <w:t>preterm birth showed no effect up to 18 g pure alcohol, day (an average</w:t>
      </w:r>
      <w:r w:rsidR="00427468">
        <w:rPr>
          <w:kern w:val="0"/>
        </w:rPr>
        <w:t xml:space="preserve"> of </w:t>
      </w:r>
      <w:r>
        <w:rPr>
          <w:kern w:val="0"/>
        </w:rPr>
        <w:t>1.5 drinks, day); thereafter,</w:t>
      </w:r>
      <w:r w:rsidR="003A1917">
        <w:rPr>
          <w:kern w:val="0"/>
        </w:rPr>
        <w:t xml:space="preserve"> the </w:t>
      </w:r>
      <w:r>
        <w:rPr>
          <w:kern w:val="0"/>
        </w:rPr>
        <w:t>relationship showed a monotonically increasing risk for increasing maternal alcohol consumption. Moderate consumption during pre-pregnancy was associated with reduced risks for all outcomes. Conclusions Dose-response relationship indicates that heavy alcohol consumption during pregnancy increases</w:t>
      </w:r>
      <w:r w:rsidR="003A1917">
        <w:rPr>
          <w:kern w:val="0"/>
        </w:rPr>
        <w:t xml:space="preserve"> the </w:t>
      </w:r>
      <w:r>
        <w:rPr>
          <w:kern w:val="0"/>
        </w:rPr>
        <w:t>risks</w:t>
      </w:r>
      <w:r w:rsidR="00427468">
        <w:rPr>
          <w:kern w:val="0"/>
        </w:rPr>
        <w:t xml:space="preserve"> of </w:t>
      </w:r>
      <w:r>
        <w:rPr>
          <w:kern w:val="0"/>
        </w:rPr>
        <w:t>all three outcomes whereas light to moderate alcohol consumption shows no effect. Preventive measures during antenatal consultations should be initiated.</w:t>
      </w:r>
    </w:p>
    <w:p w:rsidR="00C763C3" w:rsidRDefault="00C763C3" w:rsidP="00C763C3">
      <w:pPr>
        <w:pStyle w:val="a3"/>
        <w:rPr>
          <w:kern w:val="0"/>
        </w:rPr>
      </w:pPr>
      <w:r>
        <w:rPr>
          <w:kern w:val="0"/>
        </w:rPr>
        <w:t xml:space="preserve">Keywords: Alcohol, Alcohol Consumption, Analysis, Antenatal, Binge-Drinking, Birthweight, Cigarette-Smoking, Cohort Studies, Delivery, Dose-Response, Embase, Exposure, Fetal-Growth, First Order, Gestational Age, Health-Compromising Behaviors, Information, Literature, Low Birthweight, Maternal Drinking, </w:t>
      </w:r>
      <w:r w:rsidR="00D5664A">
        <w:rPr>
          <w:kern w:val="0"/>
        </w:rPr>
        <w:t>MEDLINE</w:t>
      </w:r>
      <w:r>
        <w:rPr>
          <w:kern w:val="0"/>
        </w:rPr>
        <w:t xml:space="preserve">, Meta-Analysis, National Sample, Neonatal Development, Outcomes, Pregnancy, Prenatal Alcohol, Preterm, Preterm Birth, Protocol, Review, Risk, Science, Search Strategy, Second-Order, Selection, Small For Gestational Age, Strategy, Systematic, Systematic Review, </w:t>
      </w:r>
      <w:r w:rsidR="00D5664A">
        <w:rPr>
          <w:kern w:val="0"/>
        </w:rPr>
        <w:t>Web</w:t>
      </w:r>
      <w:r w:rsidR="00427468">
        <w:rPr>
          <w:kern w:val="0"/>
        </w:rPr>
        <w:t xml:space="preserve"> of </w:t>
      </w:r>
      <w:r w:rsidR="00D5664A">
        <w:rPr>
          <w:kern w:val="0"/>
        </w:rPr>
        <w:t>Science</w:t>
      </w:r>
      <w:r>
        <w:rPr>
          <w:kern w:val="0"/>
        </w:rPr>
        <w:t>, Women</w:t>
      </w:r>
    </w:p>
    <w:p w:rsidR="00001D6C" w:rsidRDefault="00001D6C" w:rsidP="00001D6C">
      <w:pPr>
        <w:pStyle w:val="a3"/>
        <w:rPr>
          <w:kern w:val="0"/>
        </w:rPr>
      </w:pPr>
      <w:r>
        <w:rPr>
          <w:rFonts w:hint="eastAsia"/>
          <w:kern w:val="0"/>
        </w:rPr>
        <w:t xml:space="preserve">? </w:t>
      </w:r>
      <w:r>
        <w:rPr>
          <w:kern w:val="0"/>
        </w:rPr>
        <w:t>Wu, C.Q., Grandi, S.M., Filion, K.B., Abenhaim, H.A., Joseph, L.</w:t>
      </w:r>
      <w:r w:rsidR="005853A9">
        <w:rPr>
          <w:kern w:val="0"/>
        </w:rPr>
        <w:t xml:space="preserve"> and </w:t>
      </w:r>
      <w:r>
        <w:rPr>
          <w:kern w:val="0"/>
        </w:rPr>
        <w:t>Eisenberg, M.J. (2013), Drospirenone-containing oral contraceptive pills</w:t>
      </w:r>
      <w:r w:rsidR="005853A9">
        <w:rPr>
          <w:kern w:val="0"/>
        </w:rPr>
        <w:t xml:space="preserve"> and </w:t>
      </w:r>
      <w:r>
        <w:rPr>
          <w:kern w:val="0"/>
        </w:rPr>
        <w:t>the risk</w:t>
      </w:r>
      <w:r w:rsidR="00427468">
        <w:rPr>
          <w:kern w:val="0"/>
        </w:rPr>
        <w:t xml:space="preserve"> of </w:t>
      </w:r>
      <w:r>
        <w:rPr>
          <w:kern w:val="0"/>
        </w:rPr>
        <w:t>venous</w:t>
      </w:r>
      <w:r w:rsidR="005853A9">
        <w:rPr>
          <w:kern w:val="0"/>
        </w:rPr>
        <w:t xml:space="preserve"> and </w:t>
      </w:r>
      <w:r>
        <w:rPr>
          <w:kern w:val="0"/>
        </w:rPr>
        <w:t xml:space="preserve">arterial thrombosis: A systematic review. </w:t>
      </w:r>
      <w:r>
        <w:rPr>
          <w:i/>
          <w:iCs/>
          <w:kern w:val="0"/>
        </w:rPr>
        <w:t>BJOG-An International Journal</w:t>
      </w:r>
      <w:r w:rsidR="00427468">
        <w:rPr>
          <w:i/>
          <w:iCs/>
          <w:kern w:val="0"/>
        </w:rPr>
        <w:t xml:space="preserve"> of </w:t>
      </w:r>
      <w:r>
        <w:rPr>
          <w:i/>
          <w:iCs/>
          <w:kern w:val="0"/>
        </w:rPr>
        <w:t>Obstetrics</w:t>
      </w:r>
      <w:r w:rsidR="005853A9">
        <w:rPr>
          <w:i/>
          <w:iCs/>
          <w:kern w:val="0"/>
        </w:rPr>
        <w:t xml:space="preserve"> and </w:t>
      </w:r>
      <w:r>
        <w:rPr>
          <w:i/>
          <w:iCs/>
          <w:kern w:val="0"/>
        </w:rPr>
        <w:t>Gynaecology</w:t>
      </w:r>
      <w:r>
        <w:rPr>
          <w:kern w:val="0"/>
        </w:rPr>
        <w:t xml:space="preserve">, </w:t>
      </w:r>
      <w:r>
        <w:rPr>
          <w:b/>
          <w:bCs/>
          <w:kern w:val="0"/>
        </w:rPr>
        <w:t>120</w:t>
      </w:r>
      <w:r>
        <w:rPr>
          <w:kern w:val="0"/>
        </w:rPr>
        <w:t xml:space="preserve"> (7), 801-811.</w:t>
      </w:r>
    </w:p>
    <w:p w:rsidR="00001D6C" w:rsidRPr="00FC7835" w:rsidRDefault="00001D6C" w:rsidP="00001D6C">
      <w:pPr>
        <w:pStyle w:val="a3"/>
        <w:rPr>
          <w:kern w:val="2"/>
        </w:rPr>
      </w:pPr>
      <w:r>
        <w:t>Full Text:</w:t>
      </w:r>
      <w:r w:rsidRPr="00FC7835">
        <w:t xml:space="preserve"> </w:t>
      </w:r>
      <w:hyperlink r:id="rId1519" w:history="1">
        <w:r w:rsidRPr="00AD6ECB">
          <w:rPr>
            <w:rStyle w:val="a5"/>
          </w:rPr>
          <w:t>2013\BJOG120, 801.pdf</w:t>
        </w:r>
      </w:hyperlink>
    </w:p>
    <w:p w:rsidR="00001D6C" w:rsidRDefault="00001D6C" w:rsidP="00001D6C">
      <w:pPr>
        <w:pStyle w:val="a3"/>
        <w:rPr>
          <w:kern w:val="0"/>
        </w:rPr>
      </w:pPr>
      <w:r>
        <w:rPr>
          <w:kern w:val="0"/>
        </w:rPr>
        <w:t>Abstract: Background Previous studies have provided conflicting results regarding the effect</w:t>
      </w:r>
      <w:r w:rsidR="00427468">
        <w:rPr>
          <w:kern w:val="0"/>
        </w:rPr>
        <w:t xml:space="preserve"> of </w:t>
      </w:r>
      <w:r>
        <w:rPr>
          <w:kern w:val="0"/>
        </w:rPr>
        <w:t>drospirenone-containing oral contraceptive pills (OCPs) on the risk</w:t>
      </w:r>
      <w:r w:rsidR="00427468">
        <w:rPr>
          <w:kern w:val="0"/>
        </w:rPr>
        <w:t xml:space="preserve"> of </w:t>
      </w:r>
      <w:r>
        <w:rPr>
          <w:kern w:val="0"/>
        </w:rPr>
        <w:t>venous</w:t>
      </w:r>
      <w:r w:rsidR="005853A9">
        <w:rPr>
          <w:kern w:val="0"/>
        </w:rPr>
        <w:t xml:space="preserve"> and </w:t>
      </w:r>
      <w:r>
        <w:rPr>
          <w:kern w:val="0"/>
        </w:rPr>
        <w:t>arterial thrombosis. Objectives To conduct a systematic review to assess the risk</w:t>
      </w:r>
      <w:r w:rsidR="00427468">
        <w:rPr>
          <w:kern w:val="0"/>
        </w:rPr>
        <w:t xml:space="preserve"> of </w:t>
      </w:r>
      <w:r>
        <w:rPr>
          <w:kern w:val="0"/>
        </w:rPr>
        <w:t>venous thromboembolism (VTE), myocardial infarction (MI),</w:t>
      </w:r>
      <w:r w:rsidR="005853A9">
        <w:rPr>
          <w:kern w:val="0"/>
        </w:rPr>
        <w:t xml:space="preserve"> and </w:t>
      </w:r>
      <w:r>
        <w:rPr>
          <w:kern w:val="0"/>
        </w:rPr>
        <w:t xml:space="preserve">stroke in individuals taking drospirenone-containing OCPs. Search strategy We systematically searched CINAHL, the Cochrane Library, Dissertation &amp; Abstracts, EMBASE, HealthStar, </w:t>
      </w:r>
      <w:r w:rsidR="00D5664A">
        <w:rPr>
          <w:kern w:val="0"/>
        </w:rPr>
        <w:t>MEDLINE</w:t>
      </w:r>
      <w:r>
        <w:rPr>
          <w:kern w:val="0"/>
        </w:rPr>
        <w:t>,</w:t>
      </w:r>
      <w:r w:rsidR="005853A9">
        <w:rPr>
          <w:kern w:val="0"/>
        </w:rPr>
        <w:t xml:space="preserve"> and </w:t>
      </w:r>
      <w:r>
        <w:rPr>
          <w:kern w:val="0"/>
        </w:rPr>
        <w:t>the Science Citation Index from inception to November 2012. Selection criteria We included all case reports, observational studies,</w:t>
      </w:r>
      <w:r w:rsidR="005853A9">
        <w:rPr>
          <w:kern w:val="0"/>
        </w:rPr>
        <w:t xml:space="preserve"> and </w:t>
      </w:r>
      <w:r>
        <w:rPr>
          <w:kern w:val="0"/>
        </w:rPr>
        <w:t>experimental studies assessing the risk</w:t>
      </w:r>
      <w:r w:rsidR="00427468">
        <w:rPr>
          <w:kern w:val="0"/>
        </w:rPr>
        <w:t xml:space="preserve"> of </w:t>
      </w:r>
      <w:r>
        <w:rPr>
          <w:kern w:val="0"/>
        </w:rPr>
        <w:t>venous</w:t>
      </w:r>
      <w:r w:rsidR="005853A9">
        <w:rPr>
          <w:kern w:val="0"/>
        </w:rPr>
        <w:t xml:space="preserve"> and </w:t>
      </w:r>
      <w:r>
        <w:rPr>
          <w:kern w:val="0"/>
        </w:rPr>
        <w:t>arterial thrombosis</w:t>
      </w:r>
      <w:r w:rsidR="00427468">
        <w:rPr>
          <w:kern w:val="0"/>
        </w:rPr>
        <w:t xml:space="preserve"> of </w:t>
      </w:r>
      <w:r>
        <w:rPr>
          <w:kern w:val="0"/>
        </w:rPr>
        <w:t>drospirenone-containing OCPs. Data collection</w:t>
      </w:r>
      <w:r w:rsidR="005853A9">
        <w:rPr>
          <w:kern w:val="0"/>
        </w:rPr>
        <w:t xml:space="preserve"> and </w:t>
      </w:r>
      <w:r>
        <w:rPr>
          <w:kern w:val="0"/>
        </w:rPr>
        <w:t xml:space="preserve">analysis Data were collected </w:t>
      </w:r>
      <w:r>
        <w:rPr>
          <w:kern w:val="0"/>
        </w:rPr>
        <w:lastRenderedPageBreak/>
        <w:t>independently by two reviewers. Main results A total</w:t>
      </w:r>
      <w:r w:rsidR="00427468">
        <w:rPr>
          <w:kern w:val="0"/>
        </w:rPr>
        <w:t xml:space="preserve"> of </w:t>
      </w:r>
      <w:r>
        <w:rPr>
          <w:kern w:val="0"/>
        </w:rPr>
        <w:t>22 studies [six case reports, three case series (including 26 cases),</w:t>
      </w:r>
      <w:r w:rsidR="005853A9">
        <w:rPr>
          <w:kern w:val="0"/>
        </w:rPr>
        <w:t xml:space="preserve"> and </w:t>
      </w:r>
      <w:r>
        <w:rPr>
          <w:kern w:val="0"/>
        </w:rPr>
        <w:t>13 comparative studies] were included in our systematic review</w:t>
      </w:r>
      <w:r w:rsidR="00A37C1D">
        <w:rPr>
          <w:kern w:val="0"/>
        </w:rPr>
        <w:t>. The</w:t>
      </w:r>
      <w:r>
        <w:rPr>
          <w:kern w:val="0"/>
        </w:rPr>
        <w:t xml:space="preserve"> 32 identified cases suggest a possible link between drospirenone-containing OCPs</w:t>
      </w:r>
      <w:r w:rsidR="005853A9">
        <w:rPr>
          <w:kern w:val="0"/>
        </w:rPr>
        <w:t xml:space="preserve"> and </w:t>
      </w:r>
      <w:r>
        <w:rPr>
          <w:kern w:val="0"/>
        </w:rPr>
        <w:t>venous</w:t>
      </w:r>
      <w:r w:rsidR="005853A9">
        <w:rPr>
          <w:kern w:val="0"/>
        </w:rPr>
        <w:t xml:space="preserve"> and </w:t>
      </w:r>
      <w:r>
        <w:rPr>
          <w:kern w:val="0"/>
        </w:rPr>
        <w:t>arterial thrombosis. Incidence rates</w:t>
      </w:r>
      <w:r w:rsidR="00427468">
        <w:rPr>
          <w:kern w:val="0"/>
        </w:rPr>
        <w:t xml:space="preserve"> of </w:t>
      </w:r>
      <w:r>
        <w:rPr>
          <w:kern w:val="0"/>
        </w:rPr>
        <w:t>VTE among drospirenone-containing OCP users ranged from 23.0 to 136.7 per 100000 woman-years, whereas those among levonorgestrel-containing OCP users ranged from 6.64 to 92.1 per 100000 woman-years</w:t>
      </w:r>
      <w:r w:rsidR="00A37C1D">
        <w:rPr>
          <w:kern w:val="0"/>
        </w:rPr>
        <w:t>. The</w:t>
      </w:r>
      <w:r>
        <w:rPr>
          <w:kern w:val="0"/>
        </w:rPr>
        <w:t xml:space="preserve"> rate ratio for VTE among drospirenone-containing OCP users ranged from 4.0 to 6.3 compared with non-users</w:t>
      </w:r>
      <w:r w:rsidR="00427468">
        <w:rPr>
          <w:kern w:val="0"/>
        </w:rPr>
        <w:t xml:space="preserve"> of </w:t>
      </w:r>
      <w:r>
        <w:rPr>
          <w:kern w:val="0"/>
        </w:rPr>
        <w:t>OCPs,</w:t>
      </w:r>
      <w:r w:rsidR="005853A9">
        <w:rPr>
          <w:kern w:val="0"/>
        </w:rPr>
        <w:t xml:space="preserve"> and </w:t>
      </w:r>
      <w:r>
        <w:rPr>
          <w:kern w:val="0"/>
        </w:rPr>
        <w:t>from 1.0 to 3.3 compared with levonorgestrel-containing OCP users</w:t>
      </w:r>
      <w:r w:rsidR="00A37C1D">
        <w:rPr>
          <w:kern w:val="0"/>
        </w:rPr>
        <w:t>. The</w:t>
      </w:r>
      <w:r>
        <w:rPr>
          <w:kern w:val="0"/>
        </w:rPr>
        <w:t xml:space="preserve"> arterial effects</w:t>
      </w:r>
      <w:r w:rsidR="00427468">
        <w:rPr>
          <w:kern w:val="0"/>
        </w:rPr>
        <w:t xml:space="preserve"> of </w:t>
      </w:r>
      <w:r>
        <w:rPr>
          <w:kern w:val="0"/>
        </w:rPr>
        <w:t>drospirenone-containing OCPs were inconclusive. Author</w:t>
      </w:r>
      <w:r w:rsidR="00700038">
        <w:rPr>
          <w:kern w:val="0"/>
        </w:rPr>
        <w:t>’</w:t>
      </w:r>
      <w:r>
        <w:rPr>
          <w:kern w:val="0"/>
        </w:rPr>
        <w:t>s conclusions Our systematic review suggests that drospirenone-containing OCP use is associated with a higher risk for VTE than both no OCP use</w:t>
      </w:r>
      <w:r w:rsidR="005853A9">
        <w:rPr>
          <w:kern w:val="0"/>
        </w:rPr>
        <w:t xml:space="preserve"> and </w:t>
      </w:r>
      <w:r>
        <w:rPr>
          <w:kern w:val="0"/>
        </w:rPr>
        <w:t>levonorgestrel-containing OCP use.</w:t>
      </w:r>
    </w:p>
    <w:p w:rsidR="00001D6C" w:rsidRDefault="00001D6C" w:rsidP="00001D6C">
      <w:pPr>
        <w:pStyle w:val="a3"/>
        <w:rPr>
          <w:kern w:val="0"/>
        </w:rPr>
      </w:pPr>
      <w:r>
        <w:rPr>
          <w:kern w:val="0"/>
        </w:rPr>
        <w:t xml:space="preserve">Keywords: Analysis, Arterial Thrombosis, Assessing, Case Reports, Citation, Cohort, Collection, Criteria, Data Collection, Deep Vein Thrombosis, Deep-Vein Thrombosis, Dissertation, Drospirenone, Effects, Embase, Experimental, Hormonal Contraception, Infarction, </w:t>
      </w:r>
      <w:r w:rsidR="00D5664A">
        <w:rPr>
          <w:kern w:val="0"/>
        </w:rPr>
        <w:t>MEDLINE</w:t>
      </w:r>
      <w:r>
        <w:rPr>
          <w:kern w:val="0"/>
        </w:rPr>
        <w:t>, Metaanalysis, Myocardial Infarction, Myocardial-Infarction, Observational, Observational Studies, Oral, Oral Contraceptive, Oral Contraceptive Pills, Pulmonary Embolism, Rates, Review, Risk, Safety, Science, Science Citation Index, Search, Search Strategy, Strategy, Stroke, Systematic Review, Thromboembolism, Thrombosis, Venous Thromboembolism, Venous Thrombosis, Women, Yasmin</w:t>
      </w:r>
    </w:p>
    <w:p w:rsidR="00431680" w:rsidRDefault="00431680" w:rsidP="00431680">
      <w:pPr>
        <w:pStyle w:val="a3"/>
        <w:rPr>
          <w:kern w:val="0"/>
        </w:rPr>
      </w:pPr>
      <w:r>
        <w:rPr>
          <w:kern w:val="0"/>
        </w:rPr>
        <w:t xml:space="preserve">? Arora, P., Arora, R.S. and Cahill, D. (2014), Essure (R) for management of hydrosalpinx prior to </w:t>
      </w:r>
      <w:r w:rsidRPr="00AA07EE">
        <w:rPr>
          <w:i/>
          <w:kern w:val="0"/>
        </w:rPr>
        <w:t>in vitro</w:t>
      </w:r>
      <w:r>
        <w:rPr>
          <w:kern w:val="0"/>
        </w:rPr>
        <w:t xml:space="preserve"> fertilisation</w:t>
      </w:r>
      <w:r>
        <w:rPr>
          <w:rFonts w:hint="eastAsia"/>
          <w:kern w:val="0"/>
        </w:rPr>
        <w:t xml:space="preserve">: </w:t>
      </w:r>
      <w:r>
        <w:rPr>
          <w:kern w:val="0"/>
        </w:rPr>
        <w:t xml:space="preserve">A systematic review and pooled analysis. </w:t>
      </w:r>
      <w:r>
        <w:rPr>
          <w:i/>
          <w:iCs/>
          <w:kern w:val="0"/>
        </w:rPr>
        <w:t>BJOG-An International Journal of Obstetrics and Gynaecology</w:t>
      </w:r>
      <w:r>
        <w:rPr>
          <w:kern w:val="0"/>
        </w:rPr>
        <w:t xml:space="preserve">, </w:t>
      </w:r>
      <w:r>
        <w:rPr>
          <w:b/>
          <w:bCs/>
          <w:kern w:val="0"/>
        </w:rPr>
        <w:t>121</w:t>
      </w:r>
      <w:r>
        <w:rPr>
          <w:kern w:val="0"/>
        </w:rPr>
        <w:t xml:space="preserve"> (5), 527-536.</w:t>
      </w:r>
    </w:p>
    <w:p w:rsidR="00431680" w:rsidRDefault="00431680" w:rsidP="00431680">
      <w:pPr>
        <w:pStyle w:val="a3"/>
        <w:rPr>
          <w:kern w:val="0"/>
        </w:rPr>
      </w:pPr>
      <w:r>
        <w:rPr>
          <w:kern w:val="0"/>
        </w:rPr>
        <w:t xml:space="preserve">Full Text: </w:t>
      </w:r>
      <w:hyperlink r:id="rId1520" w:history="1">
        <w:r w:rsidRPr="00AA07EE">
          <w:rPr>
            <w:rStyle w:val="a5"/>
            <w:kern w:val="0"/>
          </w:rPr>
          <w:t>2014\BJOG121, 527.pdf</w:t>
        </w:r>
      </w:hyperlink>
    </w:p>
    <w:p w:rsidR="00431680" w:rsidRDefault="00431680" w:rsidP="00431680">
      <w:pPr>
        <w:pStyle w:val="a3"/>
        <w:rPr>
          <w:kern w:val="0"/>
        </w:rPr>
      </w:pPr>
      <w:r>
        <w:rPr>
          <w:kern w:val="0"/>
        </w:rPr>
        <w:t xml:space="preserve">Abstract: BackgroundHydrosalpinges in infertile women reduce the success of in vitro fertilisation (IVF) by 50%. Surgical management of hydrosalpinges before IVF improves outcome but these procedures are often contraindicated in women with dense pelvic adhesions. Tubal occlusion achieved by Essure((R)) via hysteroscopy provides an alternative. ObjectivesTo conduct a systematic review on the efficacy and safety of Essure((R)) in the management of hydrosalpinx before IVF. Search strategyWe searched MEDLINE (January 1950 to July 2013), EMBASE (January 1980 to July 2013) and Web of Science (1899 to July 2013). We also searched reference lists of relevant articles and proceedings of relevant international conferences (2000-2013). Selection criteriaAll types of studies where women with suspected infertility and presence of hydrosalpinx had hysteroscopic tubal occlusion with Essure((R)) before IVF. Data collection and analysisTwo authors independently selected studies and extracted data. Where necessary, study authors were contacted </w:t>
      </w:r>
      <w:r>
        <w:rPr>
          <w:kern w:val="0"/>
        </w:rPr>
        <w:lastRenderedPageBreak/>
        <w:t>for further data. Main resultsIn all, 115 women in 11 studies received Essure((R)), mainly in the outpatient setting where local anaesthesia by paracervical block and/or intravenous sedation was used. Successful placement of Essure((R)) was achieved in 96.5% (95% confidence interval [95% CI] 91.1-98.9%) of women and tubal occlusion in 98.1% (95% CI 93.1-99.9%). Subsequent IVF resulted in 38.6% pregnancy rate (95% CI 30.9-46.8%), 27.9% live birth rate (95% CI 21.1-35.8%) and 28.6% combined ongoing pregnancy and live birth rate (95% CI 21.7-36.6%) per embryo transfer. Author</w:t>
      </w:r>
      <w:r w:rsidR="00700038">
        <w:rPr>
          <w:kern w:val="0"/>
        </w:rPr>
        <w:t>’</w:t>
      </w:r>
      <w:r>
        <w:rPr>
          <w:kern w:val="0"/>
        </w:rPr>
        <w:t>s conclusionsEssure((R)) appears to be an effective option for management of hydrosalpinx in women before IVF although evidence from a randomised controlled clinical trial is lacking.</w:t>
      </w:r>
    </w:p>
    <w:p w:rsidR="00431680" w:rsidRDefault="00431680" w:rsidP="00431680">
      <w:pPr>
        <w:pStyle w:val="a3"/>
        <w:rPr>
          <w:kern w:val="0"/>
        </w:rPr>
      </w:pPr>
      <w:r>
        <w:rPr>
          <w:kern w:val="0"/>
        </w:rPr>
        <w:t>Keywords: Adhesions, Alternative, Anaesthesia, Analysis, Articles, Authors, Birth, Clinical, Clinical Trial, Collection, Conferences, Confidence, Controlled Clinical Trial, Cost-Analysis, Data, Data Collection, Efficacy, Embase, Embryo, Embryo Transfer, Embryo-Transfer, Essure((R)), Evidence, Hydrosalpinx, Hysteroscopic Sterilization, Hysteroscopy, In Vitro, In Vitro Fertilisation, Infertility, International, Interval, Intravenous, IVF, IVF-ET, Live Birth, Local, Local Anaesthesia, Management, Medline, Micro-Insert, Microinsert, Occlusion, Off-Label, Outcome, Outpatient, Outpatient Setting, Paracervical Block, Pelvic, Placement, Pregnancy, Pregnancy Rate, Pregnancy Rates, Procedures, Proximal Occlusion, R, Randomised, Reference, Reference Lists, Review, Safety, Salpingectomy, Science, Search, Sedation, Success, Surgical, Systematic, Systematic Review, Trial, Tubal Occlusion, Web Of Science, Women</w:t>
      </w:r>
    </w:p>
    <w:p w:rsidR="00116069" w:rsidRDefault="00116069" w:rsidP="00116069">
      <w:pPr>
        <w:pStyle w:val="a3"/>
        <w:rPr>
          <w:kern w:val="0"/>
        </w:rPr>
      </w:pPr>
      <w:r>
        <w:rPr>
          <w:rFonts w:hint="eastAsia"/>
          <w:kern w:val="0"/>
        </w:rPr>
        <w:t xml:space="preserve">? </w:t>
      </w:r>
      <w:r>
        <w:rPr>
          <w:kern w:val="0"/>
        </w:rPr>
        <w:t xml:space="preserve">Dolman, L., Sauvaget, C., Muwonge, R. and Sankaranarayanan, R. (2014), Meta-analysis of the efficacy of cold coagulation as a treatment method for cervical intraepithelial neoplasia: A systematic review. </w:t>
      </w:r>
      <w:r>
        <w:rPr>
          <w:i/>
          <w:iCs/>
          <w:kern w:val="0"/>
        </w:rPr>
        <w:t>BJOG-An International Journal of Obstetrics and Gynaecology</w:t>
      </w:r>
      <w:r>
        <w:rPr>
          <w:kern w:val="0"/>
        </w:rPr>
        <w:t xml:space="preserve">, </w:t>
      </w:r>
      <w:r>
        <w:rPr>
          <w:b/>
          <w:bCs/>
          <w:kern w:val="0"/>
        </w:rPr>
        <w:t>121</w:t>
      </w:r>
      <w:r>
        <w:rPr>
          <w:kern w:val="0"/>
        </w:rPr>
        <w:t xml:space="preserve"> (8), 929-942.</w:t>
      </w:r>
    </w:p>
    <w:p w:rsidR="00116069" w:rsidRDefault="00116069" w:rsidP="00116069">
      <w:pPr>
        <w:pStyle w:val="a3"/>
        <w:rPr>
          <w:kern w:val="0"/>
        </w:rPr>
      </w:pPr>
      <w:r>
        <w:rPr>
          <w:kern w:val="0"/>
        </w:rPr>
        <w:t xml:space="preserve">Full Text: </w:t>
      </w:r>
      <w:hyperlink r:id="rId1521" w:history="1">
        <w:r w:rsidRPr="00B126EF">
          <w:rPr>
            <w:rStyle w:val="a5"/>
            <w:kern w:val="0"/>
          </w:rPr>
          <w:t>2014\BJOG121, 929.pdf</w:t>
        </w:r>
      </w:hyperlink>
    </w:p>
    <w:p w:rsidR="00116069" w:rsidRDefault="00116069" w:rsidP="00116069">
      <w:pPr>
        <w:pStyle w:val="a3"/>
        <w:rPr>
          <w:kern w:val="0"/>
        </w:rPr>
      </w:pPr>
      <w:r>
        <w:rPr>
          <w:kern w:val="0"/>
        </w:rPr>
        <w:t xml:space="preserve">Abstract: Background Cold coagulation is an ablative method for treatment of cervical intraepithelial neoplasia (CIN). Despite reports of efficacy against all grades of CIN (CIN1-3), cold coagulation has been infrequently used since the 1980s, and was absent from the recent Cochrane review on CIN treatment. Objectives To provide a systematic review of cold coagulation efficacy and acceptability for CIN treatment through meta-analysis of clinical reports and a randomised control trial. Search strategy A literature search in PubMed, Web of Science, EMBASE, and regional databases yielded 388 papers. Title, abstract and/or reference list review identified 22 papers describing cold coagulation treatment of CIN, with 13 providing adequate data for inclusion in the meta-analysis. Selection criteria Publications or conference abstracts describing original data (number of women treated, followed up and cured, provider type, cure definition) were retained. No language or publication date </w:t>
      </w:r>
      <w:r>
        <w:rPr>
          <w:kern w:val="0"/>
        </w:rPr>
        <w:lastRenderedPageBreak/>
        <w:t>limitations were imposed. Data collection and analysis Data extracted from 13 studies were pooled, and statistical analyses of proportion cured were conducted with data stratified by lesion grade and study region. Main results Among 4569 CIN patients treated with cold coagulation, summary proportion cured of 96% [95% confidence interval (CI) 92-99%] and 95% (92-98%) were obtained for CIN1 and CIN2-3 disease, respectively. Side-effects and adverse effects were infrequent, and fertility was not impaired. Conclusions Cold coagulation CIN cure rates were comparable to those of other excisional and ablative methods. Cold coagulation is indicated for all grades of CIN, is safe, quick and acceptable, and may be of particular relevance for use in resource-limited settings.</w:t>
      </w:r>
    </w:p>
    <w:p w:rsidR="00116069" w:rsidRDefault="00116069" w:rsidP="00116069">
      <w:pPr>
        <w:pStyle w:val="a3"/>
        <w:rPr>
          <w:kern w:val="0"/>
        </w:rPr>
      </w:pPr>
      <w:r>
        <w:rPr>
          <w:kern w:val="0"/>
        </w:rPr>
        <w:t>Keywords: Acceptability, Adverse Effects, Analyses, Analysis, Cervical Intraepithelial Neoplasia, Cin, Clinical, Coagulation, Cold Coagulation, Collection, Confidence, Conization, Control, Criteria, Cryotherapy, Data, Data Collection, Databases, Destruction, Disease, Effects, Efficacy, Embase, Experience, Fertility, Interval, Language, Laser, Literature, Literature Search, Meta Analysis, Meta-Analysis, Metaanalysis, Methods, Papers, Patient Acceptability, Patients, Pooled Analysis, Publication, Publications, Pubmed, Randomised, Randomized Trial, Rates, Recent, Reference, Region, Regional, Relevance, Review, Science, Search, Search Strategy, Statistical Analyses, Strategy, Systematic, Systematic Review, Therapy, Treatment, Trial, Uterine Cervix, Web Of Science, Women</w:t>
      </w:r>
    </w:p>
    <w:p w:rsidR="003474F2" w:rsidRPr="001A3D2B" w:rsidRDefault="003474F2" w:rsidP="003474F2">
      <w:pPr>
        <w:pStyle w:val="1"/>
      </w:pPr>
      <w:r w:rsidRPr="001A3D2B">
        <w:br w:type="page"/>
      </w:r>
      <w:bookmarkStart w:id="817" w:name="_Toc420814744"/>
      <w:r w:rsidRPr="001A3D2B">
        <w:lastRenderedPageBreak/>
        <w:t>Title: BJU International</w:t>
      </w:r>
      <w:bookmarkEnd w:id="817"/>
    </w:p>
    <w:p w:rsidR="003474F2" w:rsidRPr="001A3D2B" w:rsidRDefault="003474F2" w:rsidP="003474F2">
      <w:pPr>
        <w:pStyle w:val="12"/>
      </w:pPr>
      <w:r w:rsidRPr="001A3D2B">
        <w:t xml:space="preserve">Full Journal Title: </w:t>
      </w:r>
      <w:r w:rsidR="00206C8A">
        <w:fldChar w:fldCharType="begin"/>
      </w:r>
      <w:bookmarkStart w:id="818" w:name="_Toc81215642"/>
      <w:r w:rsidR="00FD158B">
        <w:instrText>HYPERLINK "http://www.bl</w:instrText>
      </w:r>
      <w:bookmarkEnd w:id="818"/>
      <w:r w:rsidR="00FD158B">
        <w:instrText>ackwell-synergy.com/servlet/useragent?func=showIssues&amp;code=bju"</w:instrText>
      </w:r>
      <w:r w:rsidR="00206C8A">
        <w:fldChar w:fldCharType="separate"/>
      </w:r>
      <w:r w:rsidRPr="001A3D2B">
        <w:rPr>
          <w:rStyle w:val="a5"/>
        </w:rPr>
        <w:t>BJU International</w:t>
      </w:r>
      <w:r w:rsidR="00206C8A">
        <w:fldChar w:fldCharType="end"/>
      </w:r>
    </w:p>
    <w:p w:rsidR="003474F2" w:rsidRPr="001A3D2B" w:rsidRDefault="003474F2" w:rsidP="003474F2">
      <w:pPr>
        <w:pStyle w:val="12"/>
      </w:pPr>
      <w:r w:rsidRPr="001A3D2B">
        <w:t>ISO Abbreviated Title: BJU Int.</w:t>
      </w:r>
    </w:p>
    <w:p w:rsidR="003474F2" w:rsidRPr="001A3D2B" w:rsidRDefault="003474F2" w:rsidP="003474F2">
      <w:pPr>
        <w:pStyle w:val="12"/>
      </w:pPr>
      <w:r w:rsidRPr="001A3D2B">
        <w:t>JCR Abbreviated Title: BJU Int</w:t>
      </w:r>
    </w:p>
    <w:p w:rsidR="003474F2" w:rsidRPr="001A3D2B" w:rsidRDefault="003474F2" w:rsidP="003474F2">
      <w:pPr>
        <w:pStyle w:val="12"/>
      </w:pPr>
      <w:r w:rsidRPr="001A3D2B">
        <w:t>ISSN: 1464-4096</w:t>
      </w:r>
    </w:p>
    <w:p w:rsidR="003474F2" w:rsidRPr="001A3D2B" w:rsidRDefault="003474F2" w:rsidP="003474F2">
      <w:pPr>
        <w:pStyle w:val="12"/>
      </w:pPr>
      <w:r w:rsidRPr="001A3D2B">
        <w:t>Issues/Year: 18</w:t>
      </w:r>
    </w:p>
    <w:p w:rsidR="003474F2" w:rsidRPr="001A3D2B" w:rsidRDefault="003474F2" w:rsidP="003474F2">
      <w:pPr>
        <w:pStyle w:val="12"/>
      </w:pPr>
      <w:r w:rsidRPr="001A3D2B">
        <w:t>Language: English</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Publisher: Blackwell Publishing Ltd</w:t>
      </w:r>
    </w:p>
    <w:p w:rsidR="003474F2" w:rsidRPr="001A3D2B" w:rsidRDefault="003474F2" w:rsidP="003474F2">
      <w:pPr>
        <w:pStyle w:val="12"/>
      </w:pPr>
      <w:r w:rsidRPr="001A3D2B">
        <w:t>Publisher Address: 9600 Garsington Rd, Oxford OX4 2DG, Oxon, England</w:t>
      </w:r>
    </w:p>
    <w:p w:rsidR="003474F2" w:rsidRPr="001A3D2B" w:rsidRDefault="003474F2" w:rsidP="003474F2">
      <w:pPr>
        <w:pStyle w:val="12"/>
      </w:pPr>
      <w:r w:rsidRPr="001A3D2B">
        <w:t>Subject Categories:</w:t>
      </w:r>
    </w:p>
    <w:p w:rsidR="003474F2" w:rsidRPr="001A3D2B" w:rsidRDefault="003474F2" w:rsidP="003474F2">
      <w:pPr>
        <w:pStyle w:val="12"/>
      </w:pPr>
      <w:r w:rsidRPr="001A3D2B">
        <w:t>Urology &amp; Nephrology: Impact Factor 2.089 (2004)</w:t>
      </w:r>
    </w:p>
    <w:p w:rsidR="003474F2" w:rsidRPr="001A3D2B" w:rsidRDefault="003474F2" w:rsidP="003474F2">
      <w:pPr>
        <w:pStyle w:val="a3"/>
      </w:pPr>
      <w:r w:rsidRPr="001A3D2B">
        <w:t xml:space="preserve">Grange, R.I. (1999), National bias in citations in urology journals: Parochialism or availability? </w:t>
      </w:r>
      <w:r w:rsidRPr="001A3D2B">
        <w:rPr>
          <w:i/>
          <w:iCs/>
        </w:rPr>
        <w:t>BJU International</w:t>
      </w:r>
      <w:r w:rsidRPr="001A3D2B">
        <w:t xml:space="preserve">, </w:t>
      </w:r>
      <w:r w:rsidRPr="001A3D2B">
        <w:rPr>
          <w:b/>
          <w:bCs/>
        </w:rPr>
        <w:t>84</w:t>
      </w:r>
      <w:r w:rsidRPr="001A3D2B">
        <w:t xml:space="preserve"> (6), 601-603.</w:t>
      </w:r>
    </w:p>
    <w:p w:rsidR="003474F2" w:rsidRPr="001A3D2B" w:rsidRDefault="003474F2" w:rsidP="003474F2">
      <w:pPr>
        <w:pStyle w:val="a3"/>
      </w:pPr>
      <w:r w:rsidRPr="001A3D2B">
        <w:t xml:space="preserve">Full Text: </w:t>
      </w:r>
      <w:hyperlink r:id="rId1522" w:history="1">
        <w:r w:rsidRPr="001A3D2B">
          <w:rPr>
            <w:rStyle w:val="a5"/>
          </w:rPr>
          <w:t>1999\BJU Int84, 601.pdf</w:t>
        </w:r>
      </w:hyperlink>
    </w:p>
    <w:p w:rsidR="003474F2" w:rsidRPr="001A3D2B" w:rsidRDefault="003474F2" w:rsidP="003474F2">
      <w:pPr>
        <w:pStyle w:val="a3"/>
        <w:rPr>
          <w:szCs w:val="18"/>
        </w:rPr>
      </w:pPr>
      <w:r w:rsidRPr="001A3D2B">
        <w:t xml:space="preserve">Abstreat: Objective. </w:t>
      </w:r>
      <w:r w:rsidRPr="001A3D2B">
        <w:rPr>
          <w:szCs w:val="18"/>
        </w:rPr>
        <w:t>To determine any bias by authors</w:t>
      </w:r>
      <w:r w:rsidR="00427468">
        <w:rPr>
          <w:szCs w:val="18"/>
        </w:rPr>
        <w:t xml:space="preserve"> of </w:t>
      </w:r>
      <w:r w:rsidRPr="001A3D2B">
        <w:rPr>
          <w:szCs w:val="18"/>
        </w:rPr>
        <w:t>different nationalities in their citation rate</w:t>
      </w:r>
      <w:r w:rsidR="00427468">
        <w:rPr>
          <w:szCs w:val="18"/>
        </w:rPr>
        <w:t xml:space="preserve"> of </w:t>
      </w:r>
      <w:r w:rsidRPr="001A3D2B">
        <w:rPr>
          <w:szCs w:val="18"/>
        </w:rPr>
        <w:t>selected urological journals in papers published in</w:t>
      </w:r>
      <w:r w:rsidR="003A1917">
        <w:rPr>
          <w:szCs w:val="18"/>
        </w:rPr>
        <w:t xml:space="preserve"> the </w:t>
      </w:r>
      <w:r w:rsidRPr="001A3D2B">
        <w:rPr>
          <w:i/>
          <w:iCs/>
          <w:szCs w:val="18"/>
        </w:rPr>
        <w:t>British Journal</w:t>
      </w:r>
      <w:r w:rsidR="00427468">
        <w:rPr>
          <w:i/>
          <w:iCs/>
          <w:szCs w:val="18"/>
        </w:rPr>
        <w:t xml:space="preserve"> of </w:t>
      </w:r>
      <w:r w:rsidRPr="001A3D2B">
        <w:rPr>
          <w:i/>
          <w:iCs/>
          <w:szCs w:val="18"/>
        </w:rPr>
        <w:t>Urology</w:t>
      </w:r>
      <w:r w:rsidR="005853A9">
        <w:rPr>
          <w:szCs w:val="18"/>
        </w:rPr>
        <w:t xml:space="preserve"> and </w:t>
      </w:r>
      <w:r w:rsidR="003A1917">
        <w:rPr>
          <w:szCs w:val="18"/>
        </w:rPr>
        <w:t xml:space="preserve">the </w:t>
      </w:r>
      <w:r w:rsidRPr="001A3D2B">
        <w:rPr>
          <w:i/>
          <w:iCs/>
          <w:szCs w:val="18"/>
        </w:rPr>
        <w:t>Journal</w:t>
      </w:r>
      <w:r w:rsidR="00427468">
        <w:rPr>
          <w:i/>
          <w:iCs/>
          <w:szCs w:val="18"/>
        </w:rPr>
        <w:t xml:space="preserve"> of </w:t>
      </w:r>
      <w:r w:rsidRPr="001A3D2B">
        <w:rPr>
          <w:i/>
          <w:iCs/>
          <w:szCs w:val="18"/>
        </w:rPr>
        <w:t>Urology</w:t>
      </w:r>
      <w:r w:rsidRPr="001A3D2B">
        <w:rPr>
          <w:szCs w:val="18"/>
        </w:rPr>
        <w:t xml:space="preserve">. </w:t>
      </w:r>
      <w:r w:rsidRPr="001A3D2B">
        <w:t xml:space="preserve">Methods. </w:t>
      </w:r>
      <w:r w:rsidRPr="001A3D2B">
        <w:rPr>
          <w:szCs w:val="18"/>
        </w:rPr>
        <w:t>Using a simple computer program</w:t>
      </w:r>
      <w:r w:rsidR="005853A9">
        <w:rPr>
          <w:szCs w:val="18"/>
        </w:rPr>
        <w:t xml:space="preserve"> and </w:t>
      </w:r>
      <w:r w:rsidRPr="001A3D2B">
        <w:rPr>
          <w:szCs w:val="18"/>
        </w:rPr>
        <w:t>text files</w:t>
      </w:r>
      <w:r w:rsidR="00427468">
        <w:rPr>
          <w:szCs w:val="18"/>
        </w:rPr>
        <w:t xml:space="preserve"> of </w:t>
      </w:r>
      <w:r w:rsidRPr="001A3D2B">
        <w:rPr>
          <w:szCs w:val="18"/>
        </w:rPr>
        <w:t>accepted reports in</w:t>
      </w:r>
      <w:r w:rsidR="003A1917">
        <w:rPr>
          <w:szCs w:val="18"/>
        </w:rPr>
        <w:t xml:space="preserve"> the </w:t>
      </w:r>
      <w:r w:rsidRPr="001A3D2B">
        <w:rPr>
          <w:i/>
          <w:iCs/>
          <w:szCs w:val="18"/>
        </w:rPr>
        <w:t>BJU</w:t>
      </w:r>
      <w:r w:rsidRPr="001A3D2B">
        <w:rPr>
          <w:szCs w:val="18"/>
        </w:rPr>
        <w:t xml:space="preserve">, or those available on CD-ROM from </w:t>
      </w:r>
      <w:r w:rsidRPr="001A3D2B">
        <w:rPr>
          <w:i/>
          <w:iCs/>
          <w:szCs w:val="18"/>
        </w:rPr>
        <w:t>J Urol</w:t>
      </w:r>
      <w:r w:rsidRPr="001A3D2B">
        <w:rPr>
          <w:szCs w:val="18"/>
        </w:rPr>
        <w:t>, 212 recent papers in</w:t>
      </w:r>
      <w:r w:rsidR="003A1917">
        <w:rPr>
          <w:szCs w:val="18"/>
        </w:rPr>
        <w:t xml:space="preserve"> the </w:t>
      </w:r>
      <w:r w:rsidRPr="001A3D2B">
        <w:rPr>
          <w:i/>
          <w:iCs/>
          <w:szCs w:val="18"/>
        </w:rPr>
        <w:t>BJU</w:t>
      </w:r>
      <w:r w:rsidR="005853A9">
        <w:rPr>
          <w:szCs w:val="18"/>
        </w:rPr>
        <w:t xml:space="preserve"> and </w:t>
      </w:r>
      <w:r w:rsidRPr="001A3D2B">
        <w:rPr>
          <w:szCs w:val="18"/>
        </w:rPr>
        <w:t xml:space="preserve">111 from </w:t>
      </w:r>
      <w:r w:rsidRPr="001A3D2B">
        <w:rPr>
          <w:i/>
          <w:iCs/>
          <w:szCs w:val="18"/>
        </w:rPr>
        <w:t xml:space="preserve">J Urol </w:t>
      </w:r>
      <w:r w:rsidRPr="001A3D2B">
        <w:rPr>
          <w:szCs w:val="18"/>
        </w:rPr>
        <w:t>were analysed to determine</w:t>
      </w:r>
      <w:r w:rsidR="003A1917">
        <w:rPr>
          <w:szCs w:val="18"/>
        </w:rPr>
        <w:t xml:space="preserve"> the </w:t>
      </w:r>
      <w:r w:rsidRPr="001A3D2B">
        <w:rPr>
          <w:szCs w:val="18"/>
        </w:rPr>
        <w:t>number</w:t>
      </w:r>
      <w:r w:rsidR="00427468">
        <w:rPr>
          <w:szCs w:val="18"/>
        </w:rPr>
        <w:t xml:space="preserve"> of </w:t>
      </w:r>
      <w:r w:rsidRPr="001A3D2B">
        <w:rPr>
          <w:szCs w:val="18"/>
        </w:rPr>
        <w:t>citations to four major urological journals (</w:t>
      </w:r>
      <w:r w:rsidRPr="001A3D2B">
        <w:rPr>
          <w:i/>
          <w:iCs/>
          <w:szCs w:val="18"/>
        </w:rPr>
        <w:t>BJU</w:t>
      </w:r>
      <w:r w:rsidRPr="001A3D2B">
        <w:rPr>
          <w:szCs w:val="18"/>
        </w:rPr>
        <w:t xml:space="preserve">, </w:t>
      </w:r>
      <w:r w:rsidRPr="001A3D2B">
        <w:rPr>
          <w:i/>
          <w:iCs/>
          <w:szCs w:val="18"/>
        </w:rPr>
        <w:t>J Urol</w:t>
      </w:r>
      <w:r w:rsidRPr="001A3D2B">
        <w:rPr>
          <w:szCs w:val="18"/>
        </w:rPr>
        <w:t xml:space="preserve">, </w:t>
      </w:r>
      <w:r w:rsidRPr="001A3D2B">
        <w:rPr>
          <w:i/>
          <w:iCs/>
          <w:szCs w:val="18"/>
        </w:rPr>
        <w:t>Eur Urol</w:t>
      </w:r>
      <w:r w:rsidR="005853A9">
        <w:rPr>
          <w:i/>
          <w:iCs/>
          <w:szCs w:val="18"/>
        </w:rPr>
        <w:t xml:space="preserve"> and </w:t>
      </w:r>
      <w:r w:rsidRPr="001A3D2B">
        <w:rPr>
          <w:i/>
          <w:iCs/>
          <w:szCs w:val="18"/>
        </w:rPr>
        <w:t>Urology</w:t>
      </w:r>
      <w:r w:rsidRPr="001A3D2B">
        <w:rPr>
          <w:szCs w:val="18"/>
        </w:rPr>
        <w:t>)</w:t>
      </w:r>
      <w:r w:rsidR="00A37C1D">
        <w:rPr>
          <w:szCs w:val="18"/>
        </w:rPr>
        <w:t>. The</w:t>
      </w:r>
      <w:r w:rsidR="003A1917">
        <w:rPr>
          <w:szCs w:val="18"/>
        </w:rPr>
        <w:t xml:space="preserve"> </w:t>
      </w:r>
      <w:r w:rsidRPr="001A3D2B">
        <w:rPr>
          <w:szCs w:val="18"/>
        </w:rPr>
        <w:t>frequencies</w:t>
      </w:r>
      <w:r w:rsidR="00427468">
        <w:rPr>
          <w:szCs w:val="18"/>
        </w:rPr>
        <w:t xml:space="preserve"> of </w:t>
      </w:r>
      <w:r w:rsidRPr="001A3D2B">
        <w:rPr>
          <w:szCs w:val="18"/>
        </w:rPr>
        <w:t>citations to these journals were then compared with</w:t>
      </w:r>
      <w:r w:rsidR="003A1917">
        <w:rPr>
          <w:szCs w:val="18"/>
        </w:rPr>
        <w:t xml:space="preserve"> the </w:t>
      </w:r>
      <w:r w:rsidRPr="001A3D2B">
        <w:rPr>
          <w:szCs w:val="18"/>
        </w:rPr>
        <w:t>national origin</w:t>
      </w:r>
      <w:r w:rsidR="00427468">
        <w:rPr>
          <w:szCs w:val="18"/>
        </w:rPr>
        <w:t xml:space="preserve"> of </w:t>
      </w:r>
      <w:r w:rsidR="003A1917">
        <w:rPr>
          <w:szCs w:val="18"/>
        </w:rPr>
        <w:t xml:space="preserve">the </w:t>
      </w:r>
      <w:r w:rsidRPr="001A3D2B">
        <w:rPr>
          <w:szCs w:val="18"/>
        </w:rPr>
        <w:t>author(s), grouped as</w:t>
      </w:r>
      <w:r w:rsidR="008E3069">
        <w:rPr>
          <w:szCs w:val="18"/>
        </w:rPr>
        <w:t xml:space="preserve"> UK,</w:t>
      </w:r>
      <w:r w:rsidRPr="001A3D2B">
        <w:rPr>
          <w:szCs w:val="18"/>
        </w:rPr>
        <w:t xml:space="preserve"> Europe, North America</w:t>
      </w:r>
      <w:r w:rsidR="005853A9">
        <w:rPr>
          <w:szCs w:val="18"/>
        </w:rPr>
        <w:t xml:space="preserve"> and </w:t>
      </w:r>
      <w:r w:rsidRPr="001A3D2B">
        <w:rPr>
          <w:szCs w:val="18"/>
        </w:rPr>
        <w:t xml:space="preserve">Other. </w:t>
      </w:r>
      <w:r w:rsidRPr="001A3D2B">
        <w:t xml:space="preserve">Results. </w:t>
      </w:r>
      <w:r w:rsidRPr="001A3D2B">
        <w:rPr>
          <w:szCs w:val="18"/>
        </w:rPr>
        <w:t>In both</w:t>
      </w:r>
      <w:r w:rsidR="003A1917">
        <w:rPr>
          <w:szCs w:val="18"/>
        </w:rPr>
        <w:t xml:space="preserve"> the </w:t>
      </w:r>
      <w:r w:rsidRPr="001A3D2B">
        <w:rPr>
          <w:i/>
          <w:iCs/>
          <w:szCs w:val="18"/>
        </w:rPr>
        <w:t>BJU</w:t>
      </w:r>
      <w:r w:rsidR="005853A9">
        <w:rPr>
          <w:i/>
          <w:iCs/>
          <w:szCs w:val="18"/>
        </w:rPr>
        <w:t xml:space="preserve"> and </w:t>
      </w:r>
      <w:r w:rsidRPr="001A3D2B">
        <w:rPr>
          <w:i/>
          <w:iCs/>
          <w:szCs w:val="18"/>
        </w:rPr>
        <w:t>J Urol</w:t>
      </w:r>
      <w:r w:rsidR="003A1917">
        <w:rPr>
          <w:szCs w:val="18"/>
        </w:rPr>
        <w:t xml:space="preserve"> the </w:t>
      </w:r>
      <w:r w:rsidRPr="001A3D2B">
        <w:rPr>
          <w:szCs w:val="18"/>
        </w:rPr>
        <w:t>citation rates</w:t>
      </w:r>
      <w:r w:rsidR="00427468">
        <w:rPr>
          <w:szCs w:val="18"/>
        </w:rPr>
        <w:t xml:space="preserve"> of </w:t>
      </w:r>
      <w:r w:rsidR="003A1917">
        <w:rPr>
          <w:szCs w:val="18"/>
        </w:rPr>
        <w:t xml:space="preserve">the </w:t>
      </w:r>
      <w:r w:rsidRPr="001A3D2B">
        <w:rPr>
          <w:szCs w:val="18"/>
        </w:rPr>
        <w:t xml:space="preserve">selected journals differed significantly among authors from different regions. In </w:t>
      </w:r>
      <w:r w:rsidRPr="001A3D2B">
        <w:rPr>
          <w:i/>
          <w:iCs/>
          <w:szCs w:val="18"/>
        </w:rPr>
        <w:t>BJU</w:t>
      </w:r>
      <w:r w:rsidRPr="001A3D2B">
        <w:rPr>
          <w:szCs w:val="18"/>
        </w:rPr>
        <w:t xml:space="preserve"> papers,</w:t>
      </w:r>
      <w:r w:rsidR="003A1917">
        <w:rPr>
          <w:szCs w:val="18"/>
        </w:rPr>
        <w:t xml:space="preserve"> the </w:t>
      </w:r>
      <w:r w:rsidRPr="001A3D2B">
        <w:rPr>
          <w:szCs w:val="18"/>
        </w:rPr>
        <w:t>citation rate</w:t>
      </w:r>
      <w:r w:rsidR="00427468">
        <w:rPr>
          <w:szCs w:val="18"/>
        </w:rPr>
        <w:t xml:space="preserve"> of </w:t>
      </w:r>
      <w:r w:rsidR="003A1917">
        <w:rPr>
          <w:szCs w:val="18"/>
        </w:rPr>
        <w:t xml:space="preserve">the </w:t>
      </w:r>
      <w:r w:rsidRPr="001A3D2B">
        <w:rPr>
          <w:i/>
          <w:iCs/>
          <w:szCs w:val="18"/>
        </w:rPr>
        <w:t xml:space="preserve">BJU </w:t>
      </w:r>
      <w:r w:rsidRPr="001A3D2B">
        <w:rPr>
          <w:szCs w:val="18"/>
        </w:rPr>
        <w:t xml:space="preserve">was highest by </w:t>
      </w:r>
      <w:smartTag w:uri="urn:schemas-microsoft-com:office:smarttags" w:element="place">
        <w:smartTag w:uri="urn:schemas-microsoft-com:office:smarttags" w:element="country-region">
          <w:r w:rsidRPr="001A3D2B">
            <w:rPr>
              <w:szCs w:val="18"/>
            </w:rPr>
            <w:t>UK</w:t>
          </w:r>
        </w:smartTag>
      </w:smartTag>
      <w:r w:rsidRPr="001A3D2B">
        <w:rPr>
          <w:szCs w:val="18"/>
        </w:rPr>
        <w:t xml:space="preserve"> authors</w:t>
      </w:r>
      <w:r w:rsidR="005853A9">
        <w:rPr>
          <w:szCs w:val="18"/>
        </w:rPr>
        <w:t xml:space="preserve"> and </w:t>
      </w:r>
      <w:r w:rsidRPr="001A3D2B">
        <w:rPr>
          <w:szCs w:val="18"/>
        </w:rPr>
        <w:t>their citation rate</w:t>
      </w:r>
      <w:r w:rsidR="00427468">
        <w:rPr>
          <w:szCs w:val="18"/>
        </w:rPr>
        <w:t xml:space="preserve"> of </w:t>
      </w:r>
      <w:r w:rsidRPr="001A3D2B">
        <w:rPr>
          <w:i/>
          <w:iCs/>
          <w:szCs w:val="18"/>
        </w:rPr>
        <w:t>J Urol</w:t>
      </w:r>
      <w:r w:rsidRPr="001A3D2B">
        <w:rPr>
          <w:szCs w:val="18"/>
        </w:rPr>
        <w:t xml:space="preserve"> was amongst</w:t>
      </w:r>
      <w:r w:rsidR="003A1917">
        <w:rPr>
          <w:szCs w:val="18"/>
        </w:rPr>
        <w:t xml:space="preserve"> the </w:t>
      </w:r>
      <w:r w:rsidRPr="001A3D2B">
        <w:rPr>
          <w:szCs w:val="18"/>
        </w:rPr>
        <w:t>lowest</w:t>
      </w:r>
      <w:r w:rsidR="00427468">
        <w:rPr>
          <w:szCs w:val="18"/>
        </w:rPr>
        <w:t xml:space="preserve"> of </w:t>
      </w:r>
      <w:r w:rsidR="003A1917">
        <w:rPr>
          <w:szCs w:val="18"/>
        </w:rPr>
        <w:t xml:space="preserve">the </w:t>
      </w:r>
      <w:r w:rsidRPr="001A3D2B">
        <w:rPr>
          <w:szCs w:val="18"/>
        </w:rPr>
        <w:t xml:space="preserve">rates for </w:t>
      </w:r>
      <w:r w:rsidRPr="001A3D2B">
        <w:rPr>
          <w:i/>
          <w:iCs/>
          <w:szCs w:val="18"/>
        </w:rPr>
        <w:t>J Urol</w:t>
      </w:r>
      <w:r w:rsidR="00A37C1D">
        <w:rPr>
          <w:szCs w:val="18"/>
        </w:rPr>
        <w:t>. The</w:t>
      </w:r>
      <w:r w:rsidR="003A1917">
        <w:rPr>
          <w:szCs w:val="18"/>
        </w:rPr>
        <w:t xml:space="preserve"> </w:t>
      </w:r>
      <w:r w:rsidRPr="001A3D2B">
        <w:rPr>
          <w:szCs w:val="18"/>
        </w:rPr>
        <w:t xml:space="preserve">highest citation rate for </w:t>
      </w:r>
      <w:r w:rsidRPr="001A3D2B">
        <w:rPr>
          <w:i/>
          <w:iCs/>
          <w:szCs w:val="18"/>
        </w:rPr>
        <w:t xml:space="preserve">J Urol </w:t>
      </w:r>
      <w:r w:rsidRPr="001A3D2B">
        <w:rPr>
          <w:szCs w:val="18"/>
        </w:rPr>
        <w:t>was that by European authors. American authors cited</w:t>
      </w:r>
      <w:r w:rsidR="003A1917">
        <w:rPr>
          <w:szCs w:val="18"/>
        </w:rPr>
        <w:t xml:space="preserve"> the </w:t>
      </w:r>
      <w:r w:rsidRPr="001A3D2B">
        <w:rPr>
          <w:i/>
          <w:iCs/>
          <w:szCs w:val="18"/>
        </w:rPr>
        <w:t>BJU</w:t>
      </w:r>
      <w:r w:rsidRPr="001A3D2B">
        <w:rPr>
          <w:szCs w:val="18"/>
        </w:rPr>
        <w:t xml:space="preserve"> least, citing</w:t>
      </w:r>
      <w:r w:rsidR="003A1917">
        <w:rPr>
          <w:szCs w:val="18"/>
        </w:rPr>
        <w:t xml:space="preserve"> the </w:t>
      </w:r>
      <w:r w:rsidRPr="001A3D2B">
        <w:rPr>
          <w:i/>
          <w:iCs/>
          <w:szCs w:val="18"/>
        </w:rPr>
        <w:t>J Urol</w:t>
      </w:r>
      <w:r w:rsidRPr="001A3D2B">
        <w:rPr>
          <w:szCs w:val="18"/>
        </w:rPr>
        <w:t xml:space="preserve"> about five times more often than they cited</w:t>
      </w:r>
      <w:r w:rsidR="003A1917">
        <w:rPr>
          <w:szCs w:val="18"/>
        </w:rPr>
        <w:t xml:space="preserve"> the </w:t>
      </w:r>
      <w:r w:rsidRPr="001A3D2B">
        <w:rPr>
          <w:i/>
          <w:iCs/>
          <w:szCs w:val="18"/>
        </w:rPr>
        <w:t>BJU.</w:t>
      </w:r>
      <w:r w:rsidR="00427468">
        <w:rPr>
          <w:i/>
          <w:iCs/>
          <w:szCs w:val="18"/>
        </w:rPr>
        <w:t xml:space="preserve"> of </w:t>
      </w:r>
      <w:r w:rsidR="003A1917">
        <w:rPr>
          <w:i/>
          <w:iCs/>
          <w:szCs w:val="18"/>
        </w:rPr>
        <w:t xml:space="preserve">the </w:t>
      </w:r>
      <w:r w:rsidRPr="001A3D2B">
        <w:rPr>
          <w:szCs w:val="18"/>
        </w:rPr>
        <w:t>papers in</w:t>
      </w:r>
      <w:r w:rsidR="003A1917">
        <w:rPr>
          <w:szCs w:val="18"/>
        </w:rPr>
        <w:t xml:space="preserve"> the </w:t>
      </w:r>
      <w:r w:rsidRPr="001A3D2B">
        <w:rPr>
          <w:i/>
          <w:iCs/>
          <w:szCs w:val="18"/>
        </w:rPr>
        <w:t xml:space="preserve">J Urol </w:t>
      </w:r>
      <w:r w:rsidRPr="001A3D2B">
        <w:rPr>
          <w:szCs w:val="18"/>
        </w:rPr>
        <w:t xml:space="preserve">sample, over 60% were from American authors, with only four from </w:t>
      </w:r>
      <w:smartTag w:uri="urn:schemas-microsoft-com:office:smarttags" w:element="country-region">
        <w:r w:rsidRPr="001A3D2B">
          <w:rPr>
            <w:szCs w:val="18"/>
          </w:rPr>
          <w:t>UK</w:t>
        </w:r>
      </w:smartTag>
      <w:r w:rsidRPr="001A3D2B">
        <w:rPr>
          <w:szCs w:val="18"/>
        </w:rPr>
        <w:t xml:space="preserve"> authors; thus</w:t>
      </w:r>
      <w:r w:rsidR="003A1917">
        <w:rPr>
          <w:szCs w:val="18"/>
        </w:rPr>
        <w:t xml:space="preserve"> the </w:t>
      </w:r>
      <w:r w:rsidRPr="001A3D2B">
        <w:rPr>
          <w:szCs w:val="18"/>
        </w:rPr>
        <w:t>UK group was not analysed separately but included in</w:t>
      </w:r>
      <w:r w:rsidR="003A1917">
        <w:rPr>
          <w:szCs w:val="18"/>
        </w:rPr>
        <w:t xml:space="preserve"> the </w:t>
      </w:r>
      <w:r w:rsidRPr="001A3D2B">
        <w:rPr>
          <w:szCs w:val="18"/>
        </w:rPr>
        <w:t>European group</w:t>
      </w:r>
      <w:r w:rsidR="00A37C1D">
        <w:rPr>
          <w:szCs w:val="18"/>
        </w:rPr>
        <w:t>. The</w:t>
      </w:r>
      <w:r w:rsidR="003A1917">
        <w:rPr>
          <w:szCs w:val="18"/>
        </w:rPr>
        <w:t xml:space="preserve"> </w:t>
      </w:r>
      <w:r w:rsidRPr="001A3D2B">
        <w:rPr>
          <w:szCs w:val="18"/>
        </w:rPr>
        <w:t>mean citation rate</w:t>
      </w:r>
      <w:r w:rsidR="00427468">
        <w:rPr>
          <w:szCs w:val="18"/>
        </w:rPr>
        <w:t xml:space="preserve"> of </w:t>
      </w:r>
      <w:r w:rsidRPr="001A3D2B">
        <w:rPr>
          <w:i/>
          <w:iCs/>
          <w:szCs w:val="18"/>
        </w:rPr>
        <w:t>J Urol</w:t>
      </w:r>
      <w:r w:rsidRPr="001A3D2B">
        <w:rPr>
          <w:szCs w:val="18"/>
        </w:rPr>
        <w:t xml:space="preserve"> was highest in papers by American authors, at about 14 times that for citations to</w:t>
      </w:r>
      <w:r w:rsidR="003A1917">
        <w:rPr>
          <w:szCs w:val="18"/>
        </w:rPr>
        <w:t xml:space="preserve"> the </w:t>
      </w:r>
      <w:r w:rsidRPr="001A3D2B">
        <w:rPr>
          <w:i/>
          <w:iCs/>
          <w:szCs w:val="18"/>
        </w:rPr>
        <w:t>BJU</w:t>
      </w:r>
      <w:r w:rsidR="00A37C1D">
        <w:rPr>
          <w:szCs w:val="18"/>
        </w:rPr>
        <w:t>. The</w:t>
      </w:r>
      <w:r w:rsidR="003A1917">
        <w:rPr>
          <w:szCs w:val="18"/>
        </w:rPr>
        <w:t xml:space="preserve"> </w:t>
      </w:r>
      <w:r w:rsidRPr="001A3D2B">
        <w:rPr>
          <w:szCs w:val="18"/>
        </w:rPr>
        <w:t>citation rates for</w:t>
      </w:r>
      <w:r w:rsidR="003A1917">
        <w:rPr>
          <w:szCs w:val="18"/>
        </w:rPr>
        <w:t xml:space="preserve"> the </w:t>
      </w:r>
      <w:r w:rsidRPr="001A3D2B">
        <w:rPr>
          <w:szCs w:val="18"/>
        </w:rPr>
        <w:t xml:space="preserve">other two journals were not significantly different with nationality or journal, but were generally much lower in </w:t>
      </w:r>
      <w:r w:rsidRPr="001A3D2B">
        <w:rPr>
          <w:i/>
          <w:iCs/>
          <w:szCs w:val="18"/>
        </w:rPr>
        <w:t>J Urol</w:t>
      </w:r>
      <w:r w:rsidRPr="001A3D2B">
        <w:rPr>
          <w:szCs w:val="18"/>
        </w:rPr>
        <w:t xml:space="preserve"> than in</w:t>
      </w:r>
      <w:r w:rsidR="003A1917">
        <w:rPr>
          <w:szCs w:val="18"/>
        </w:rPr>
        <w:t xml:space="preserve"> the </w:t>
      </w:r>
      <w:r w:rsidRPr="001A3D2B">
        <w:rPr>
          <w:i/>
          <w:iCs/>
          <w:szCs w:val="18"/>
        </w:rPr>
        <w:t>BJU</w:t>
      </w:r>
      <w:r w:rsidRPr="001A3D2B">
        <w:rPr>
          <w:szCs w:val="18"/>
        </w:rPr>
        <w:t xml:space="preserve">. </w:t>
      </w:r>
      <w:r w:rsidRPr="001A3D2B">
        <w:t>Conclusion</w:t>
      </w:r>
      <w:r w:rsidR="00A37C1D">
        <w:t>. The</w:t>
      </w:r>
      <w:r w:rsidRPr="001A3D2B">
        <w:rPr>
          <w:szCs w:val="18"/>
        </w:rPr>
        <w:t>re are significant differences in citation rates both with authors</w:t>
      </w:r>
      <w:r w:rsidR="00700038">
        <w:rPr>
          <w:szCs w:val="18"/>
        </w:rPr>
        <w:t>’</w:t>
      </w:r>
      <w:r w:rsidRPr="001A3D2B">
        <w:rPr>
          <w:szCs w:val="18"/>
        </w:rPr>
        <w:t xml:space="preserve"> nationality</w:t>
      </w:r>
      <w:r w:rsidR="005853A9">
        <w:rPr>
          <w:szCs w:val="18"/>
        </w:rPr>
        <w:t xml:space="preserve"> and </w:t>
      </w:r>
      <w:r w:rsidRPr="001A3D2B">
        <w:rPr>
          <w:szCs w:val="18"/>
        </w:rPr>
        <w:t xml:space="preserve">between journals. Citation rates may be influenced by journal accessibility, perceived journal </w:t>
      </w:r>
      <w:r w:rsidR="00700038">
        <w:rPr>
          <w:szCs w:val="18"/>
        </w:rPr>
        <w:t>‘</w:t>
      </w:r>
      <w:r w:rsidRPr="001A3D2B">
        <w:rPr>
          <w:szCs w:val="18"/>
        </w:rPr>
        <w:t>prestige</w:t>
      </w:r>
      <w:r w:rsidR="00700038">
        <w:rPr>
          <w:szCs w:val="18"/>
        </w:rPr>
        <w:t>’</w:t>
      </w:r>
      <w:r w:rsidRPr="001A3D2B">
        <w:rPr>
          <w:szCs w:val="18"/>
        </w:rPr>
        <w:t xml:space="preserve"> (impact factor) or national bias. </w:t>
      </w:r>
      <w:r w:rsidRPr="001A3D2B">
        <w:rPr>
          <w:szCs w:val="18"/>
        </w:rPr>
        <w:lastRenderedPageBreak/>
        <w:t>Authors, editors</w:t>
      </w:r>
      <w:r w:rsidR="005853A9">
        <w:rPr>
          <w:szCs w:val="18"/>
        </w:rPr>
        <w:t xml:space="preserve"> and </w:t>
      </w:r>
      <w:r w:rsidRPr="001A3D2B">
        <w:rPr>
          <w:szCs w:val="18"/>
        </w:rPr>
        <w:t>reviewers should be aware</w:t>
      </w:r>
      <w:r w:rsidR="00427468">
        <w:rPr>
          <w:szCs w:val="18"/>
        </w:rPr>
        <w:t xml:space="preserve"> of </w:t>
      </w:r>
      <w:r w:rsidRPr="001A3D2B">
        <w:rPr>
          <w:szCs w:val="18"/>
        </w:rPr>
        <w:t>this potential bias in citation habits. Authors should strive to conduct exhaustive searches using electronic methods, so that all relevant papers are assessed, regardless</w:t>
      </w:r>
      <w:r w:rsidR="00427468">
        <w:rPr>
          <w:szCs w:val="18"/>
        </w:rPr>
        <w:t xml:space="preserve"> of </w:t>
      </w:r>
      <w:r w:rsidRPr="001A3D2B">
        <w:rPr>
          <w:szCs w:val="18"/>
        </w:rPr>
        <w:t>their origin.</w:t>
      </w:r>
    </w:p>
    <w:p w:rsidR="003474F2" w:rsidRPr="001A3D2B" w:rsidRDefault="003474F2" w:rsidP="003474F2">
      <w:pPr>
        <w:pStyle w:val="a3"/>
      </w:pPr>
      <w:r w:rsidRPr="001A3D2B">
        <w:t>? Whitfield, H., Vale, J.</w:t>
      </w:r>
      <w:r w:rsidR="005853A9">
        <w:t xml:space="preserve"> and </w:t>
      </w:r>
      <w:r w:rsidRPr="001A3D2B">
        <w:t>Taylor, S. (2002</w:t>
      </w:r>
      <w:r w:rsidR="00F42EAC">
        <w:t>), The</w:t>
      </w:r>
      <w:r w:rsidR="003A1917">
        <w:t xml:space="preserve"> </w:t>
      </w:r>
      <w:r w:rsidRPr="001A3D2B">
        <w:t>Impact Factor - fact</w:t>
      </w:r>
      <w:r w:rsidR="005853A9">
        <w:t xml:space="preserve"> and </w:t>
      </w:r>
      <w:r w:rsidRPr="001A3D2B">
        <w:t xml:space="preserve">fantasy. </w:t>
      </w:r>
      <w:r w:rsidRPr="001A3D2B">
        <w:rPr>
          <w:i/>
          <w:iCs/>
        </w:rPr>
        <w:t>BJU International</w:t>
      </w:r>
      <w:r w:rsidRPr="001A3D2B">
        <w:t xml:space="preserve">, </w:t>
      </w:r>
      <w:r w:rsidRPr="001A3D2B">
        <w:rPr>
          <w:b/>
          <w:bCs/>
        </w:rPr>
        <w:t>89</w:t>
      </w:r>
      <w:r w:rsidRPr="001A3D2B">
        <w:t xml:space="preserve"> (1), I-III.</w:t>
      </w:r>
    </w:p>
    <w:p w:rsidR="003474F2" w:rsidRPr="001A3D2B" w:rsidRDefault="003474F2" w:rsidP="003474F2">
      <w:pPr>
        <w:pStyle w:val="a3"/>
      </w:pPr>
      <w:r w:rsidRPr="001A3D2B">
        <w:t xml:space="preserve">Full Text: </w:t>
      </w:r>
      <w:hyperlink r:id="rId1523" w:history="1">
        <w:r w:rsidR="007A3486" w:rsidRPr="007A3486">
          <w:rPr>
            <w:rStyle w:val="a5"/>
          </w:rPr>
          <w:t>2002\BJU Int89, I.pdf</w:t>
        </w:r>
      </w:hyperlink>
    </w:p>
    <w:p w:rsidR="003474F2" w:rsidRPr="001A3D2B" w:rsidRDefault="003474F2" w:rsidP="003474F2">
      <w:pPr>
        <w:pStyle w:val="a3"/>
      </w:pPr>
      <w:r w:rsidRPr="001A3D2B">
        <w:t>? Ng, L., Hersey, K.</w:t>
      </w:r>
      <w:r w:rsidR="005853A9">
        <w:t xml:space="preserve"> and </w:t>
      </w:r>
      <w:r w:rsidRPr="001A3D2B">
        <w:t>Fleshner, N. (2004), Publication rate</w:t>
      </w:r>
      <w:r w:rsidR="00427468">
        <w:t xml:space="preserve"> of </w:t>
      </w:r>
      <w:r w:rsidRPr="001A3D2B">
        <w:t>abstracts presented at</w:t>
      </w:r>
      <w:r w:rsidR="003A1917">
        <w:t xml:space="preserve"> the </w:t>
      </w:r>
      <w:r w:rsidRPr="001A3D2B">
        <w:t>annual meeting</w:t>
      </w:r>
      <w:r w:rsidR="00427468">
        <w:t xml:space="preserve"> of </w:t>
      </w:r>
      <w:r w:rsidR="003A1917">
        <w:t xml:space="preserve">the </w:t>
      </w:r>
      <w:r w:rsidRPr="001A3D2B">
        <w:t xml:space="preserve">American Urological Association. </w:t>
      </w:r>
      <w:r w:rsidRPr="001A3D2B">
        <w:rPr>
          <w:i/>
          <w:iCs/>
        </w:rPr>
        <w:t>BJU International</w:t>
      </w:r>
      <w:r w:rsidRPr="001A3D2B">
        <w:t xml:space="preserve">, </w:t>
      </w:r>
      <w:r w:rsidRPr="001A3D2B">
        <w:rPr>
          <w:b/>
          <w:bCs/>
        </w:rPr>
        <w:t>94</w:t>
      </w:r>
      <w:r w:rsidRPr="001A3D2B">
        <w:t xml:space="preserve"> (1), 79-81.</w:t>
      </w:r>
    </w:p>
    <w:p w:rsidR="00F33F4C" w:rsidRPr="001A3D2B" w:rsidRDefault="00F33F4C" w:rsidP="00F33F4C">
      <w:pPr>
        <w:pStyle w:val="a3"/>
      </w:pPr>
      <w:r w:rsidRPr="001A3D2B">
        <w:t xml:space="preserve">Full Text: </w:t>
      </w:r>
      <w:hyperlink r:id="rId1524" w:history="1">
        <w:r w:rsidRPr="00A57CF4">
          <w:rPr>
            <w:rStyle w:val="a5"/>
          </w:rPr>
          <w:t>2004\BJU Int94, 79.pdf</w:t>
        </w:r>
      </w:hyperlink>
    </w:p>
    <w:p w:rsidR="003474F2" w:rsidRPr="001A3D2B" w:rsidRDefault="003474F2" w:rsidP="003474F2">
      <w:pPr>
        <w:pStyle w:val="a3"/>
      </w:pPr>
      <w:r w:rsidRPr="001A3D2B">
        <w:t>Abstract: Objective To determine</w:t>
      </w:r>
      <w:r w:rsidR="003A1917">
        <w:t xml:space="preserve"> the </w:t>
      </w:r>
      <w:r w:rsidRPr="001A3D2B">
        <w:t>rate</w:t>
      </w:r>
      <w:r w:rsidR="005853A9">
        <w:t xml:space="preserve"> and </w:t>
      </w:r>
      <w:r w:rsidRPr="001A3D2B">
        <w:t>time-course</w:t>
      </w:r>
      <w:r w:rsidR="00427468">
        <w:t xml:space="preserve"> of </w:t>
      </w:r>
      <w:r w:rsidRPr="001A3D2B">
        <w:t>peer-reviewed publication</w:t>
      </w:r>
      <w:r w:rsidR="00427468">
        <w:t xml:space="preserve"> of </w:t>
      </w:r>
      <w:r w:rsidRPr="001A3D2B">
        <w:t>abstracts presented at</w:t>
      </w:r>
      <w:r w:rsidR="003A1917">
        <w:t xml:space="preserve"> the </w:t>
      </w:r>
      <w:r w:rsidRPr="001A3D2B">
        <w:t>annual meetings</w:t>
      </w:r>
      <w:r w:rsidR="00427468">
        <w:t xml:space="preserve"> of </w:t>
      </w:r>
      <w:r w:rsidR="003A1917">
        <w:t xml:space="preserve">the </w:t>
      </w:r>
      <w:r w:rsidRPr="001A3D2B">
        <w:t>American Urological Association (AUA). Methods All abstracts presented at</w:t>
      </w:r>
      <w:r w:rsidR="003A1917">
        <w:t xml:space="preserve"> the </w:t>
      </w:r>
      <w:r w:rsidRPr="001A3D2B">
        <w:t>annual meetings</w:t>
      </w:r>
      <w:r w:rsidR="00427468">
        <w:t xml:space="preserve"> of </w:t>
      </w:r>
      <w:r w:rsidR="003A1917">
        <w:t xml:space="preserve">the </w:t>
      </w:r>
      <w:r w:rsidRPr="001A3D2B">
        <w:t>AUA from 1998 to 2000 were searched in</w:t>
      </w:r>
      <w:r w:rsidR="003A1917">
        <w:t xml:space="preserve"> the </w:t>
      </w:r>
      <w:r w:rsidR="002C12F0">
        <w:t>PUBMED</w:t>
      </w:r>
      <w:r w:rsidRPr="001A3D2B">
        <w:t xml:space="preserve"> database. To assess any significant predictors</w:t>
      </w:r>
      <w:r w:rsidR="00427468">
        <w:t xml:space="preserve"> of </w:t>
      </w:r>
      <w:r w:rsidRPr="001A3D2B">
        <w:t>ultimate peer-reviewed publication, abstract number, meeting year, presentation type (podium vs poster), type</w:t>
      </w:r>
      <w:r w:rsidR="00427468">
        <w:t xml:space="preserve"> of </w:t>
      </w:r>
      <w:r w:rsidRPr="001A3D2B">
        <w:t>research (basic vs clinical), date</w:t>
      </w:r>
      <w:r w:rsidR="00427468">
        <w:t xml:space="preserve"> of </w:t>
      </w:r>
      <w:r w:rsidRPr="001A3D2B">
        <w:t>publication</w:t>
      </w:r>
      <w:r w:rsidR="005853A9">
        <w:t xml:space="preserve"> and </w:t>
      </w:r>
      <w:r w:rsidRPr="001A3D2B">
        <w:t>session name (i.e. prostate cancer: advanced) were entered into a database. Results</w:t>
      </w:r>
      <w:r w:rsidR="003A1917">
        <w:t xml:space="preserve"> the </w:t>
      </w:r>
      <w:r w:rsidRPr="001A3D2B">
        <w:t>overall rate</w:t>
      </w:r>
      <w:r w:rsidR="00427468">
        <w:t xml:space="preserve"> of </w:t>
      </w:r>
      <w:r w:rsidRPr="001A3D2B">
        <w:t>publication was 37.8%. Survival analysis indicated that most abstracts were published within 2 years</w:t>
      </w:r>
      <w:r w:rsidR="00427468">
        <w:t xml:space="preserve"> of </w:t>
      </w:r>
      <w:r w:rsidRPr="001A3D2B">
        <w:t>their respective meetings. Univariate</w:t>
      </w:r>
      <w:r w:rsidR="005853A9">
        <w:t xml:space="preserve"> and </w:t>
      </w:r>
      <w:r w:rsidRPr="001A3D2B">
        <w:t>multivariate techniques showed that none</w:t>
      </w:r>
      <w:r w:rsidR="00427468">
        <w:t xml:space="preserve"> of </w:t>
      </w:r>
      <w:r w:rsidR="003A1917">
        <w:t xml:space="preserve">the </w:t>
      </w:r>
      <w:r w:rsidRPr="001A3D2B">
        <w:t>tested covariates were significant predictors</w:t>
      </w:r>
      <w:r w:rsidR="00427468">
        <w:t xml:space="preserve"> of </w:t>
      </w:r>
      <w:r w:rsidRPr="001A3D2B">
        <w:t>publication. Conclusion Information presented at</w:t>
      </w:r>
      <w:r w:rsidR="003A1917">
        <w:t xml:space="preserve"> the </w:t>
      </w:r>
      <w:r w:rsidRPr="001A3D2B">
        <w:t>AUA annual meetings should be carefully considered by physicians before implementation into their clinical practice. Researchers are encouraged to publish their data.</w:t>
      </w:r>
    </w:p>
    <w:p w:rsidR="003474F2" w:rsidRPr="001A3D2B" w:rsidRDefault="003474F2" w:rsidP="003474F2">
      <w:pPr>
        <w:pStyle w:val="a3"/>
      </w:pPr>
      <w:r w:rsidRPr="001A3D2B">
        <w:t>? Hanchanale, V.S., Rao, A.R., Philip, J., Baird, A.</w:t>
      </w:r>
      <w:r w:rsidR="005853A9">
        <w:t xml:space="preserve"> and </w:t>
      </w:r>
      <w:r w:rsidRPr="001A3D2B">
        <w:t xml:space="preserve">Javle, P.M. (2006), </w:t>
      </w:r>
      <w:r w:rsidRPr="001A3D2B">
        <w:rPr>
          <w:i/>
          <w:iCs/>
        </w:rPr>
        <w:t>BJU International</w:t>
      </w:r>
      <w:r w:rsidRPr="001A3D2B">
        <w:t xml:space="preserve"> is really international. </w:t>
      </w:r>
      <w:r w:rsidRPr="001A3D2B">
        <w:rPr>
          <w:i/>
          <w:iCs/>
        </w:rPr>
        <w:t>BJU International</w:t>
      </w:r>
      <w:r w:rsidRPr="001A3D2B">
        <w:t xml:space="preserve">, </w:t>
      </w:r>
      <w:r w:rsidRPr="001A3D2B">
        <w:rPr>
          <w:b/>
          <w:bCs/>
        </w:rPr>
        <w:t>98</w:t>
      </w:r>
      <w:r w:rsidRPr="001A3D2B">
        <w:t xml:space="preserve"> (5), 1122-1123.</w:t>
      </w:r>
    </w:p>
    <w:p w:rsidR="003474F2" w:rsidRPr="001A3D2B" w:rsidRDefault="003474F2" w:rsidP="003474F2">
      <w:pPr>
        <w:pStyle w:val="a3"/>
      </w:pPr>
      <w:r w:rsidRPr="001A3D2B">
        <w:t xml:space="preserve">Full Text: </w:t>
      </w:r>
      <w:hyperlink r:id="rId1525" w:history="1">
        <w:r w:rsidR="00F33F4C" w:rsidRPr="00F33F4C">
          <w:rPr>
            <w:rStyle w:val="a5"/>
          </w:rPr>
          <w:t>2006\BJU Int98, 1122.pdf</w:t>
        </w:r>
      </w:hyperlink>
    </w:p>
    <w:p w:rsidR="009C2115" w:rsidRDefault="009C2115" w:rsidP="009C2115">
      <w:pPr>
        <w:pStyle w:val="a3"/>
        <w:rPr>
          <w:kern w:val="0"/>
        </w:rPr>
      </w:pPr>
      <w:r>
        <w:rPr>
          <w:rFonts w:hint="eastAsia"/>
          <w:kern w:val="0"/>
        </w:rPr>
        <w:t xml:space="preserve">? </w:t>
      </w:r>
      <w:r>
        <w:rPr>
          <w:kern w:val="0"/>
        </w:rPr>
        <w:t>Castagnetti, M., Novara, G., Beniamin, F., Vezzu, B., Rigamonti, W.</w:t>
      </w:r>
      <w:r w:rsidR="005853A9">
        <w:rPr>
          <w:kern w:val="0"/>
        </w:rPr>
        <w:t xml:space="preserve"> and </w:t>
      </w:r>
      <w:r>
        <w:rPr>
          <w:kern w:val="0"/>
        </w:rPr>
        <w:t xml:space="preserve">Artibani, W. (2008), Scintigraphic renal function after unilateral pyeloplasty in children: A systematic review. </w:t>
      </w:r>
      <w:r>
        <w:rPr>
          <w:i/>
          <w:iCs/>
          <w:kern w:val="0"/>
        </w:rPr>
        <w:t>BJU International</w:t>
      </w:r>
      <w:r>
        <w:rPr>
          <w:kern w:val="0"/>
        </w:rPr>
        <w:t xml:space="preserve">, </w:t>
      </w:r>
      <w:r>
        <w:rPr>
          <w:b/>
          <w:bCs/>
          <w:kern w:val="0"/>
        </w:rPr>
        <w:t>102</w:t>
      </w:r>
      <w:r>
        <w:rPr>
          <w:kern w:val="0"/>
        </w:rPr>
        <w:t xml:space="preserve"> (7), 862-868.</w:t>
      </w:r>
    </w:p>
    <w:p w:rsidR="00605399" w:rsidRDefault="00605399" w:rsidP="00605399">
      <w:pPr>
        <w:pStyle w:val="a3"/>
        <w:rPr>
          <w:kern w:val="0"/>
        </w:rPr>
      </w:pPr>
      <w:r>
        <w:rPr>
          <w:rFonts w:hint="eastAsia"/>
          <w:kern w:val="0"/>
        </w:rPr>
        <w:t xml:space="preserve">Full Text: </w:t>
      </w:r>
      <w:hyperlink r:id="rId1526" w:history="1">
        <w:r w:rsidRPr="00595F04">
          <w:rPr>
            <w:rStyle w:val="a5"/>
            <w:kern w:val="0"/>
          </w:rPr>
          <w:t>2008\BJU Int102, 862.pdf</w:t>
        </w:r>
      </w:hyperlink>
    </w:p>
    <w:p w:rsidR="009C2115" w:rsidRDefault="009C2115" w:rsidP="009C2115">
      <w:pPr>
        <w:pStyle w:val="a3"/>
        <w:rPr>
          <w:kern w:val="0"/>
        </w:rPr>
      </w:pPr>
      <w:r>
        <w:rPr>
          <w:kern w:val="0"/>
        </w:rPr>
        <w:t>Abstract: OBJECTIVE To systematically review previous reports</w:t>
      </w:r>
      <w:r w:rsidR="005853A9">
        <w:rPr>
          <w:kern w:val="0"/>
        </w:rPr>
        <w:t xml:space="preserve"> and </w:t>
      </w:r>
      <w:r>
        <w:rPr>
          <w:kern w:val="0"/>
        </w:rPr>
        <w:t>thus determine</w:t>
      </w:r>
      <w:r w:rsidR="003A1917">
        <w:rPr>
          <w:kern w:val="0"/>
        </w:rPr>
        <w:t xml:space="preserve"> the </w:t>
      </w:r>
      <w:r>
        <w:rPr>
          <w:kern w:val="0"/>
        </w:rPr>
        <w:t>functional outcome after pyeloplasty in children with unilateral hydronephrosis due to pelvi-ureteric junction obstruction,</w:t>
      </w:r>
      <w:r w:rsidR="005853A9">
        <w:rPr>
          <w:kern w:val="0"/>
        </w:rPr>
        <w:t xml:space="preserve"> and </w:t>
      </w:r>
      <w:r w:rsidR="003A1917">
        <w:rPr>
          <w:kern w:val="0"/>
        </w:rPr>
        <w:t xml:space="preserve">the </w:t>
      </w:r>
      <w:r>
        <w:rPr>
          <w:kern w:val="0"/>
        </w:rPr>
        <w:t xml:space="preserve">possible variables that could affect it. METHODS We searched </w:t>
      </w:r>
      <w:r w:rsidR="00D5664A">
        <w:rPr>
          <w:kern w:val="0"/>
        </w:rPr>
        <w:t>MEDLINE</w:t>
      </w:r>
      <w:r>
        <w:rPr>
          <w:kern w:val="0"/>
        </w:rPr>
        <w:t>/</w:t>
      </w:r>
      <w:r w:rsidR="002C12F0">
        <w:rPr>
          <w:kern w:val="0"/>
        </w:rPr>
        <w:t>PUBMED</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for articles in English published from 1966 to 2007, using both </w:t>
      </w:r>
      <w:r w:rsidR="00700038">
        <w:rPr>
          <w:kern w:val="0"/>
        </w:rPr>
        <w:t>‘</w:t>
      </w:r>
      <w:r>
        <w:rPr>
          <w:kern w:val="0"/>
        </w:rPr>
        <w:t>medical subject headings</w:t>
      </w:r>
      <w:r w:rsidR="00700038">
        <w:rPr>
          <w:kern w:val="0"/>
        </w:rPr>
        <w:t>’</w:t>
      </w:r>
      <w:r w:rsidR="005853A9">
        <w:rPr>
          <w:kern w:val="0"/>
        </w:rPr>
        <w:t xml:space="preserve"> and </w:t>
      </w:r>
      <w:r w:rsidR="00700038">
        <w:rPr>
          <w:kern w:val="0"/>
        </w:rPr>
        <w:t>‘</w:t>
      </w:r>
      <w:r>
        <w:rPr>
          <w:kern w:val="0"/>
        </w:rPr>
        <w:t>free text</w:t>
      </w:r>
      <w:r w:rsidR="00700038">
        <w:rPr>
          <w:kern w:val="0"/>
        </w:rPr>
        <w:t>’</w:t>
      </w:r>
      <w:r>
        <w:rPr>
          <w:kern w:val="0"/>
        </w:rPr>
        <w:t xml:space="preserve"> protocols. Abstracts, full texts.</w:t>
      </w:r>
      <w:r w:rsidR="005853A9">
        <w:rPr>
          <w:kern w:val="0"/>
        </w:rPr>
        <w:t xml:space="preserve"> and </w:t>
      </w:r>
      <w:r>
        <w:rPr>
          <w:kern w:val="0"/>
        </w:rPr>
        <w:t>bibliographies</w:t>
      </w:r>
      <w:r w:rsidR="00427468">
        <w:rPr>
          <w:kern w:val="0"/>
        </w:rPr>
        <w:t xml:space="preserve"> of </w:t>
      </w:r>
      <w:r>
        <w:rPr>
          <w:kern w:val="0"/>
        </w:rPr>
        <w:t>pertinent papers were reviewed to select studies</w:t>
      </w:r>
      <w:r w:rsidR="00427468">
        <w:rPr>
          <w:kern w:val="0"/>
        </w:rPr>
        <w:t xml:space="preserve"> of </w:t>
      </w:r>
      <w:r>
        <w:rPr>
          <w:kern w:val="0"/>
        </w:rPr>
        <w:t>scintigraphic renal function before</w:t>
      </w:r>
      <w:r w:rsidR="005853A9">
        <w:rPr>
          <w:kern w:val="0"/>
        </w:rPr>
        <w:t xml:space="preserve"> and </w:t>
      </w:r>
      <w:r>
        <w:rPr>
          <w:kern w:val="0"/>
        </w:rPr>
        <w:t>after pyeloplasty</w:t>
      </w:r>
      <w:r w:rsidR="00A37C1D">
        <w:rPr>
          <w:kern w:val="0"/>
        </w:rPr>
        <w:t>. The</w:t>
      </w:r>
      <w:r w:rsidR="003A1917">
        <w:rPr>
          <w:kern w:val="0"/>
        </w:rPr>
        <w:t xml:space="preserve"> </w:t>
      </w:r>
      <w:r>
        <w:rPr>
          <w:kern w:val="0"/>
        </w:rPr>
        <w:t xml:space="preserve">postoperative charge in scintigraphic renal function was </w:t>
      </w:r>
      <w:r>
        <w:rPr>
          <w:kern w:val="0"/>
        </w:rPr>
        <w:lastRenderedPageBreak/>
        <w:t>assessed in relation to presentation (anteanatal vs postnatal), timing</w:t>
      </w:r>
      <w:r w:rsidR="00427468">
        <w:rPr>
          <w:kern w:val="0"/>
        </w:rPr>
        <w:t xml:space="preserve"> of </w:t>
      </w:r>
      <w:r>
        <w:rPr>
          <w:kern w:val="0"/>
        </w:rPr>
        <w:t>surgery (early vs delayed), age at surgery,</w:t>
      </w:r>
      <w:r w:rsidR="005853A9">
        <w:rPr>
          <w:kern w:val="0"/>
        </w:rPr>
        <w:t xml:space="preserve"> and </w:t>
      </w:r>
      <w:r>
        <w:rPr>
          <w:kern w:val="0"/>
        </w:rPr>
        <w:t>preoperative ultrasonography (US)</w:t>
      </w:r>
      <w:r w:rsidR="005853A9">
        <w:rPr>
          <w:kern w:val="0"/>
        </w:rPr>
        <w:t xml:space="preserve"> and </w:t>
      </w:r>
      <w:r>
        <w:rPr>
          <w:kern w:val="0"/>
        </w:rPr>
        <w:t>scintigraphic findings. RESULTS Thirty-six studies l</w:t>
      </w:r>
      <w:r w:rsidR="00427468">
        <w:rPr>
          <w:kern w:val="0"/>
        </w:rPr>
        <w:t xml:space="preserve"> of </w:t>
      </w:r>
      <w:r w:rsidR="003A1917">
        <w:rPr>
          <w:kern w:val="0"/>
        </w:rPr>
        <w:t xml:space="preserve">the </w:t>
      </w:r>
      <w:r>
        <w:rPr>
          <w:kern w:val="0"/>
        </w:rPr>
        <w:t>initial search) were eventually selected for review. Studies were generally</w:t>
      </w:r>
      <w:r w:rsidR="00427468">
        <w:rPr>
          <w:kern w:val="0"/>
        </w:rPr>
        <w:t xml:space="preserve"> of </w:t>
      </w:r>
      <w:r>
        <w:rPr>
          <w:kern w:val="0"/>
        </w:rPr>
        <w:t>poor scientific quality</w:t>
      </w:r>
      <w:r w:rsidR="005853A9">
        <w:rPr>
          <w:kern w:val="0"/>
        </w:rPr>
        <w:t xml:space="preserve"> and </w:t>
      </w:r>
      <w:r>
        <w:rPr>
          <w:kern w:val="0"/>
        </w:rPr>
        <w:t>very heterogeneous in their indications for surgery</w:t>
      </w:r>
      <w:r w:rsidR="005853A9">
        <w:rPr>
          <w:kern w:val="0"/>
        </w:rPr>
        <w:t xml:space="preserve"> and </w:t>
      </w:r>
      <w:r>
        <w:rPr>
          <w:kern w:val="0"/>
        </w:rPr>
        <w:t>follow-up protocols. Postoperative function showed a wide variability. Symptomatic patients diagnosed postnatally seemed to have a greater chance</w:t>
      </w:r>
      <w:r w:rsidR="00427468">
        <w:rPr>
          <w:kern w:val="0"/>
        </w:rPr>
        <w:t xml:space="preserve"> of </w:t>
      </w:r>
      <w:r>
        <w:rPr>
          <w:kern w:val="0"/>
        </w:rPr>
        <w:t>functional improvement after surgery than asymptomatic patients diagnosed antenatally</w:t>
      </w:r>
      <w:r w:rsidR="00A37C1D">
        <w:rPr>
          <w:kern w:val="0"/>
        </w:rPr>
        <w:t>. The</w:t>
      </w:r>
      <w:r w:rsidR="003A1917">
        <w:rPr>
          <w:kern w:val="0"/>
        </w:rPr>
        <w:t xml:space="preserve"> </w:t>
      </w:r>
      <w:r>
        <w:rPr>
          <w:kern w:val="0"/>
        </w:rPr>
        <w:t>chance</w:t>
      </w:r>
      <w:r w:rsidR="00427468">
        <w:rPr>
          <w:kern w:val="0"/>
        </w:rPr>
        <w:t xml:space="preserve"> of </w:t>
      </w:r>
      <w:r>
        <w:rPr>
          <w:kern w:val="0"/>
        </w:rPr>
        <w:t>improvement seemed also to be greater in patients with moderately rather than severely impaired preoperative function. Otherwise,</w:t>
      </w:r>
      <w:r w:rsidR="003A1917">
        <w:rPr>
          <w:kern w:val="0"/>
        </w:rPr>
        <w:t xml:space="preserve"> the </w:t>
      </w:r>
      <w:r>
        <w:rPr>
          <w:kern w:val="0"/>
        </w:rPr>
        <w:t>improvement seemed unrelated to</w:t>
      </w:r>
      <w:r w:rsidR="003A1917">
        <w:rPr>
          <w:kern w:val="0"/>
        </w:rPr>
        <w:t xml:space="preserve"> the </w:t>
      </w:r>
      <w:r>
        <w:rPr>
          <w:kern w:val="0"/>
        </w:rPr>
        <w:t>age at surgery,</w:t>
      </w:r>
      <w:r w:rsidR="003A1917">
        <w:rPr>
          <w:kern w:val="0"/>
        </w:rPr>
        <w:t xml:space="preserve"> the </w:t>
      </w:r>
      <w:r>
        <w:rPr>
          <w:kern w:val="0"/>
        </w:rPr>
        <w:t>preoperative US findings, or</w:t>
      </w:r>
      <w:r w:rsidR="003A1917">
        <w:rPr>
          <w:kern w:val="0"/>
        </w:rPr>
        <w:t xml:space="preserve"> the </w:t>
      </w:r>
      <w:r>
        <w:rPr>
          <w:kern w:val="0"/>
        </w:rPr>
        <w:t>excretion pattern on renal scintigraphy.</w:t>
      </w:r>
      <w:r w:rsidR="00427468">
        <w:rPr>
          <w:kern w:val="0"/>
        </w:rPr>
        <w:t xml:space="preserve"> of </w:t>
      </w:r>
      <w:r>
        <w:rPr>
          <w:kern w:val="0"/>
        </w:rPr>
        <w:t>patients having delayed surgery &gt;97.50% had preserved function afterward. CONCLUSIONS Patients with moderately impaired preoperative function</w:t>
      </w:r>
      <w:r w:rsidR="005853A9">
        <w:rPr>
          <w:kern w:val="0"/>
        </w:rPr>
        <w:t xml:space="preserve"> and </w:t>
      </w:r>
      <w:r>
        <w:rPr>
          <w:kern w:val="0"/>
        </w:rPr>
        <w:t>those diagnosed postnatally because</w:t>
      </w:r>
      <w:r w:rsidR="00427468">
        <w:rPr>
          <w:kern w:val="0"/>
        </w:rPr>
        <w:t xml:space="preserve"> of </w:t>
      </w:r>
      <w:r>
        <w:rPr>
          <w:kern w:val="0"/>
        </w:rPr>
        <w:t>symptoms are those with</w:t>
      </w:r>
      <w:r w:rsidR="003A1917">
        <w:rPr>
          <w:kern w:val="0"/>
        </w:rPr>
        <w:t xml:space="preserve"> the </w:t>
      </w:r>
      <w:r>
        <w:rPr>
          <w:kern w:val="0"/>
        </w:rPr>
        <w:t>greatest likelihood</w:t>
      </w:r>
      <w:r w:rsidR="00427468">
        <w:rPr>
          <w:kern w:val="0"/>
        </w:rPr>
        <w:t xml:space="preserve"> of </w:t>
      </w:r>
      <w:r>
        <w:rPr>
          <w:kern w:val="0"/>
        </w:rPr>
        <w:t>having a functional improvement after surgery.</w:t>
      </w:r>
    </w:p>
    <w:p w:rsidR="009C2115" w:rsidRDefault="009C2115" w:rsidP="009C2115">
      <w:pPr>
        <w:pStyle w:val="a3"/>
        <w:rPr>
          <w:kern w:val="0"/>
        </w:rPr>
      </w:pPr>
      <w:r>
        <w:rPr>
          <w:kern w:val="0"/>
        </w:rPr>
        <w:t xml:space="preserve">Keywords: Children, Conservative Management, Differential Function, Diuretic Renography, Follow-Up, Function Improvement, Functional, Hydronelphrosis, Medical, Outcome, Outcome Analysis, Papers, Pediatric Pyeloplasty, Pelvi-Ureteric Junction Obstruction, Postnatal, Prenatal-Diagnosis, Pyeloplasty, Radioisotope Renography, Renal Function, Review, Science, Surgery, Symptoms, Systematic, Systematic Review, Term-Follow-Up, Ultrasonography, Ureteropelvic Junction Obstruction, Urinary-Tract Obstruction, US, Variability, </w:t>
      </w:r>
      <w:r w:rsidR="00D5664A">
        <w:rPr>
          <w:kern w:val="0"/>
        </w:rPr>
        <w:t>Web</w:t>
      </w:r>
      <w:r w:rsidR="00427468">
        <w:rPr>
          <w:kern w:val="0"/>
        </w:rPr>
        <w:t xml:space="preserve"> of </w:t>
      </w:r>
      <w:r w:rsidR="00D5664A">
        <w:rPr>
          <w:kern w:val="0"/>
        </w:rPr>
        <w:t>Science</w:t>
      </w:r>
    </w:p>
    <w:p w:rsidR="00F33F4C" w:rsidRDefault="00F33F4C" w:rsidP="00F33F4C">
      <w:pPr>
        <w:pStyle w:val="a3"/>
        <w:rPr>
          <w:kern w:val="0"/>
        </w:rPr>
      </w:pPr>
      <w:r>
        <w:rPr>
          <w:rFonts w:hint="eastAsia"/>
          <w:kern w:val="0"/>
        </w:rPr>
        <w:t xml:space="preserve">? </w:t>
      </w:r>
      <w:r>
        <w:rPr>
          <w:kern w:val="0"/>
        </w:rPr>
        <w:t>Willis, D.L., Bahler, C.D., Neuberger, M.M.</w:t>
      </w:r>
      <w:r w:rsidR="005853A9">
        <w:rPr>
          <w:kern w:val="0"/>
        </w:rPr>
        <w:t xml:space="preserve"> and </w:t>
      </w:r>
      <w:r>
        <w:rPr>
          <w:kern w:val="0"/>
        </w:rPr>
        <w:t>Dahm, P. (2011), Predictors</w:t>
      </w:r>
      <w:r w:rsidR="00427468">
        <w:rPr>
          <w:kern w:val="0"/>
        </w:rPr>
        <w:t xml:space="preserve"> of </w:t>
      </w:r>
      <w:r>
        <w:rPr>
          <w:kern w:val="0"/>
        </w:rPr>
        <w:t>citations in</w:t>
      </w:r>
      <w:r w:rsidR="003A1917">
        <w:rPr>
          <w:kern w:val="0"/>
        </w:rPr>
        <w:t xml:space="preserve"> the </w:t>
      </w:r>
      <w:r>
        <w:rPr>
          <w:kern w:val="0"/>
        </w:rPr>
        <w:t xml:space="preserve">urological literature. </w:t>
      </w:r>
      <w:r>
        <w:rPr>
          <w:i/>
          <w:iCs/>
          <w:kern w:val="0"/>
        </w:rPr>
        <w:t>BJU International</w:t>
      </w:r>
      <w:r>
        <w:rPr>
          <w:kern w:val="0"/>
        </w:rPr>
        <w:t xml:space="preserve">, </w:t>
      </w:r>
      <w:r>
        <w:rPr>
          <w:b/>
          <w:bCs/>
          <w:kern w:val="0"/>
        </w:rPr>
        <w:t>107</w:t>
      </w:r>
      <w:r>
        <w:rPr>
          <w:kern w:val="0"/>
        </w:rPr>
        <w:t xml:space="preserve"> (12), 1876-1880.</w:t>
      </w:r>
    </w:p>
    <w:p w:rsidR="00F33F4C" w:rsidRPr="001A3D2B" w:rsidRDefault="00F33F4C" w:rsidP="00F33F4C">
      <w:pPr>
        <w:pStyle w:val="a3"/>
      </w:pPr>
      <w:r w:rsidRPr="001A3D2B">
        <w:t xml:space="preserve">Full Text: </w:t>
      </w:r>
      <w:hyperlink r:id="rId1527" w:history="1">
        <w:r w:rsidRPr="00A57CF4">
          <w:rPr>
            <w:rStyle w:val="a5"/>
          </w:rPr>
          <w:t>2011\BJU Int107, 1876.pdf</w:t>
        </w:r>
      </w:hyperlink>
    </w:p>
    <w:p w:rsidR="00F33F4C" w:rsidRDefault="00F33F4C" w:rsidP="00F33F4C">
      <w:pPr>
        <w:pStyle w:val="a3"/>
        <w:rPr>
          <w:kern w:val="0"/>
        </w:rPr>
      </w:pPr>
      <w:r>
        <w:rPr>
          <w:kern w:val="0"/>
        </w:rPr>
        <w:t>Abstract: To assess</w:t>
      </w:r>
      <w:r w:rsidR="003A1917">
        <w:rPr>
          <w:kern w:val="0"/>
        </w:rPr>
        <w:t xml:space="preserve"> the </w:t>
      </w:r>
      <w:r>
        <w:rPr>
          <w:kern w:val="0"/>
        </w:rPr>
        <w:t>factors associated with increased citation rates in</w:t>
      </w:r>
      <w:r w:rsidR="003A1917">
        <w:rPr>
          <w:kern w:val="0"/>
        </w:rPr>
        <w:t xml:space="preserve"> the </w:t>
      </w:r>
      <w:r>
        <w:rPr>
          <w:kern w:val="0"/>
        </w:rPr>
        <w:t>urological literature by reviewing articles published in</w:t>
      </w:r>
      <w:r w:rsidR="003A1917">
        <w:rPr>
          <w:kern w:val="0"/>
        </w:rPr>
        <w:t xml:space="preserve"> the </w:t>
      </w:r>
      <w:r>
        <w:rPr>
          <w:kern w:val="0"/>
        </w:rPr>
        <w:t>four major urological journals to help authors improve</w:t>
      </w:r>
      <w:r w:rsidR="003A1917">
        <w:rPr>
          <w:kern w:val="0"/>
        </w:rPr>
        <w:t xml:space="preserve"> the </w:t>
      </w:r>
      <w:r>
        <w:rPr>
          <w:kern w:val="0"/>
        </w:rPr>
        <w:t>impact</w:t>
      </w:r>
      <w:r w:rsidR="00427468">
        <w:rPr>
          <w:kern w:val="0"/>
        </w:rPr>
        <w:t xml:space="preserve"> of </w:t>
      </w:r>
      <w:r>
        <w:rPr>
          <w:kern w:val="0"/>
        </w:rPr>
        <w:t>their work. A random sample</w:t>
      </w:r>
      <w:r w:rsidR="00427468">
        <w:rPr>
          <w:kern w:val="0"/>
        </w:rPr>
        <w:t xml:space="preserve"> of </w:t>
      </w:r>
      <w:r>
        <w:rPr>
          <w:kern w:val="0"/>
        </w:rPr>
        <w:t>200 original research articles published between January</w:t>
      </w:r>
      <w:r w:rsidR="005853A9">
        <w:rPr>
          <w:kern w:val="0"/>
        </w:rPr>
        <w:t xml:space="preserve"> and </w:t>
      </w:r>
      <w:r>
        <w:rPr>
          <w:kern w:val="0"/>
        </w:rPr>
        <w:t>June 2004 was analysed from</w:t>
      </w:r>
      <w:r w:rsidR="003A1917">
        <w:rPr>
          <w:kern w:val="0"/>
        </w:rPr>
        <w:t xml:space="preserve"> the </w:t>
      </w:r>
      <w:r>
        <w:rPr>
          <w:kern w:val="0"/>
        </w:rPr>
        <w:t>Journal</w:t>
      </w:r>
      <w:r w:rsidR="00427468">
        <w:rPr>
          <w:kern w:val="0"/>
        </w:rPr>
        <w:t xml:space="preserve"> of </w:t>
      </w:r>
      <w:r>
        <w:rPr>
          <w:kern w:val="0"/>
        </w:rPr>
        <w:t>Urology, Urology, European Urology</w:t>
      </w:r>
      <w:r w:rsidR="005853A9">
        <w:rPr>
          <w:kern w:val="0"/>
        </w:rPr>
        <w:t xml:space="preserve"> and </w:t>
      </w:r>
      <w:r>
        <w:rPr>
          <w:kern w:val="0"/>
        </w:rPr>
        <w:t>BJU International. Study information was abstracted by two independent reviewers</w:t>
      </w:r>
      <w:r w:rsidR="005853A9">
        <w:rPr>
          <w:kern w:val="0"/>
        </w:rPr>
        <w:t xml:space="preserve"> and </w:t>
      </w:r>
      <w:r>
        <w:rPr>
          <w:kern w:val="0"/>
        </w:rPr>
        <w:t>citation counts within 4 years</w:t>
      </w:r>
      <w:r w:rsidR="00427468">
        <w:rPr>
          <w:kern w:val="0"/>
        </w:rPr>
        <w:t xml:space="preserve"> of </w:t>
      </w:r>
      <w:r>
        <w:rPr>
          <w:kern w:val="0"/>
        </w:rPr>
        <w:t xml:space="preserve">publication were collected using </w:t>
      </w:r>
      <w:r w:rsidR="00D5664A">
        <w:rPr>
          <w:kern w:val="0"/>
        </w:rPr>
        <w:t>Web</w:t>
      </w:r>
      <w:r w:rsidR="00427468">
        <w:rPr>
          <w:kern w:val="0"/>
        </w:rPr>
        <w:t xml:space="preserve"> of </w:t>
      </w:r>
      <w:r w:rsidR="00D5664A">
        <w:rPr>
          <w:kern w:val="0"/>
        </w:rPr>
        <w:t>Science</w:t>
      </w:r>
      <w:r>
        <w:rPr>
          <w:kern w:val="0"/>
        </w:rPr>
        <w:t>TM. Study characteristics</w:t>
      </w:r>
      <w:r w:rsidR="005853A9">
        <w:rPr>
          <w:kern w:val="0"/>
        </w:rPr>
        <w:t xml:space="preserve"> and </w:t>
      </w:r>
      <w:r>
        <w:rPr>
          <w:kern w:val="0"/>
        </w:rPr>
        <w:t>citation rates were analysed using median</w:t>
      </w:r>
      <w:r w:rsidR="005853A9">
        <w:rPr>
          <w:kern w:val="0"/>
        </w:rPr>
        <w:t xml:space="preserve"> and </w:t>
      </w:r>
      <w:r>
        <w:rPr>
          <w:kern w:val="0"/>
        </w:rPr>
        <w:t>interquartile ranges (IQRs),</w:t>
      </w:r>
      <w:r w:rsidR="005853A9">
        <w:rPr>
          <w:kern w:val="0"/>
        </w:rPr>
        <w:t xml:space="preserve"> and </w:t>
      </w:r>
      <w:r>
        <w:rPr>
          <w:kern w:val="0"/>
        </w:rPr>
        <w:t>logistic regression analysis was used to evaluate which factors predicted greater citation rates</w:t>
      </w:r>
      <w:r w:rsidR="00A37C1D">
        <w:rPr>
          <w:kern w:val="0"/>
        </w:rPr>
        <w:t>. The</w:t>
      </w:r>
      <w:r w:rsidR="003A1917">
        <w:rPr>
          <w:kern w:val="0"/>
        </w:rPr>
        <w:t xml:space="preserve"> </w:t>
      </w:r>
      <w:r>
        <w:rPr>
          <w:kern w:val="0"/>
        </w:rPr>
        <w:t>overall median number</w:t>
      </w:r>
      <w:r w:rsidR="00427468">
        <w:rPr>
          <w:kern w:val="0"/>
        </w:rPr>
        <w:t xml:space="preserve"> of </w:t>
      </w:r>
      <w:r>
        <w:rPr>
          <w:kern w:val="0"/>
        </w:rPr>
        <w:t>citations per published article was 6.0 (IQR 3-12). After univariate analysis, we found that study design, study topic, continent</w:t>
      </w:r>
      <w:r w:rsidR="00427468">
        <w:rPr>
          <w:kern w:val="0"/>
        </w:rPr>
        <w:t xml:space="preserve"> of </w:t>
      </w:r>
      <w:r>
        <w:rPr>
          <w:kern w:val="0"/>
        </w:rPr>
        <w:t>origin</w:t>
      </w:r>
      <w:r w:rsidR="005853A9">
        <w:rPr>
          <w:kern w:val="0"/>
        </w:rPr>
        <w:t xml:space="preserve"> and </w:t>
      </w:r>
      <w:r>
        <w:rPr>
          <w:kern w:val="0"/>
        </w:rPr>
        <w:t>sample size were associated with greater median citation rates. In a multivariate linear regression model, study design</w:t>
      </w:r>
      <w:r w:rsidR="005853A9">
        <w:rPr>
          <w:kern w:val="0"/>
        </w:rPr>
        <w:t xml:space="preserve"> and </w:t>
      </w:r>
      <w:r>
        <w:rPr>
          <w:kern w:val="0"/>
        </w:rPr>
        <w:t>study topic (oncology) predicted increased citation rates. Randomized controlled trials were cited a median</w:t>
      </w:r>
      <w:r w:rsidR="00427468">
        <w:rPr>
          <w:kern w:val="0"/>
        </w:rPr>
        <w:t xml:space="preserve"> </w:t>
      </w:r>
      <w:r w:rsidR="00427468">
        <w:rPr>
          <w:kern w:val="0"/>
        </w:rPr>
        <w:lastRenderedPageBreak/>
        <w:t xml:space="preserve">of </w:t>
      </w:r>
      <w:r>
        <w:rPr>
          <w:kern w:val="0"/>
        </w:rPr>
        <w:t>13.5 times</w:t>
      </w:r>
      <w:r w:rsidR="005853A9">
        <w:rPr>
          <w:kern w:val="0"/>
        </w:rPr>
        <w:t xml:space="preserve"> and </w:t>
      </w:r>
      <w:r>
        <w:rPr>
          <w:kern w:val="0"/>
        </w:rPr>
        <w:t>were</w:t>
      </w:r>
      <w:r w:rsidR="003A1917">
        <w:rPr>
          <w:kern w:val="0"/>
        </w:rPr>
        <w:t xml:space="preserve"> the </w:t>
      </w:r>
      <w:r>
        <w:rPr>
          <w:kern w:val="0"/>
        </w:rPr>
        <w:t>strongest predictor</w:t>
      </w:r>
      <w:r w:rsidR="00427468">
        <w:rPr>
          <w:kern w:val="0"/>
        </w:rPr>
        <w:t xml:space="preserve"> of </w:t>
      </w:r>
      <w:r>
        <w:rPr>
          <w:kern w:val="0"/>
        </w:rPr>
        <w:t>citation rates with an odds ratio</w:t>
      </w:r>
      <w:r w:rsidR="00427468">
        <w:rPr>
          <w:kern w:val="0"/>
        </w:rPr>
        <w:t xml:space="preserve"> of </w:t>
      </w:r>
      <w:r>
        <w:rPr>
          <w:kern w:val="0"/>
        </w:rPr>
        <w:t>115.5 (95% confidence interval 9.4-1419.6). Citation rates are associated with study design</w:t>
      </w:r>
      <w:r w:rsidR="005853A9">
        <w:rPr>
          <w:kern w:val="0"/>
        </w:rPr>
        <w:t xml:space="preserve"> and </w:t>
      </w:r>
      <w:r>
        <w:rPr>
          <w:kern w:val="0"/>
        </w:rPr>
        <w:t>study topic in</w:t>
      </w:r>
      <w:r w:rsidR="003A1917">
        <w:rPr>
          <w:kern w:val="0"/>
        </w:rPr>
        <w:t xml:space="preserve"> the </w:t>
      </w:r>
      <w:r>
        <w:rPr>
          <w:kern w:val="0"/>
        </w:rPr>
        <w:t>urological literature. Authors may improve</w:t>
      </w:r>
      <w:r w:rsidR="003A1917">
        <w:rPr>
          <w:kern w:val="0"/>
        </w:rPr>
        <w:t xml:space="preserve"> the </w:t>
      </w:r>
      <w:r>
        <w:rPr>
          <w:kern w:val="0"/>
        </w:rPr>
        <w:t>impact</w:t>
      </w:r>
      <w:r w:rsidR="00427468">
        <w:rPr>
          <w:kern w:val="0"/>
        </w:rPr>
        <w:t xml:space="preserve"> of </w:t>
      </w:r>
      <w:r>
        <w:rPr>
          <w:kern w:val="0"/>
        </w:rPr>
        <w:t>their work by designing clinical studies with greater methodological safeguards against bias.</w:t>
      </w:r>
    </w:p>
    <w:p w:rsidR="00F33F4C" w:rsidRDefault="00F33F4C" w:rsidP="00F33F4C">
      <w:pPr>
        <w:pStyle w:val="a3"/>
        <w:rPr>
          <w:kern w:val="0"/>
        </w:rPr>
      </w:pPr>
      <w:r>
        <w:rPr>
          <w:kern w:val="0"/>
        </w:rPr>
        <w:t>Keywords: Articles, Authors, Bias, Bibliometrics, Citation, Citation Analysis, Citation Rates, Citations, Impact Factors, Information, Journal Impact Factor, Journals, Literature, Publication, Quality, Rates, Research, Reviewing, Self-Citation, Urology</w:t>
      </w:r>
    </w:p>
    <w:p w:rsidR="009C2115" w:rsidRDefault="009C2115" w:rsidP="009C2115">
      <w:pPr>
        <w:pStyle w:val="a3"/>
        <w:rPr>
          <w:kern w:val="0"/>
        </w:rPr>
      </w:pPr>
      <w:r>
        <w:rPr>
          <w:rFonts w:hint="eastAsia"/>
          <w:kern w:val="0"/>
        </w:rPr>
        <w:t xml:space="preserve">? </w:t>
      </w:r>
      <w:r>
        <w:rPr>
          <w:kern w:val="0"/>
        </w:rPr>
        <w:t>Shelley, M.D., Cleves, A., Wilt, T.J.</w:t>
      </w:r>
      <w:r w:rsidR="005853A9">
        <w:rPr>
          <w:kern w:val="0"/>
        </w:rPr>
        <w:t xml:space="preserve"> and </w:t>
      </w:r>
      <w:r>
        <w:rPr>
          <w:kern w:val="0"/>
        </w:rPr>
        <w:t>Mason, M.D. (2011), Gemcitabine chemotherapy for</w:t>
      </w:r>
      <w:r w:rsidR="003A1917">
        <w:rPr>
          <w:kern w:val="0"/>
        </w:rPr>
        <w:t xml:space="preserve"> the </w:t>
      </w:r>
      <w:r>
        <w:rPr>
          <w:kern w:val="0"/>
        </w:rPr>
        <w:t>treatment</w:t>
      </w:r>
      <w:r w:rsidR="00427468">
        <w:rPr>
          <w:kern w:val="0"/>
        </w:rPr>
        <w:t xml:space="preserve"> of </w:t>
      </w:r>
      <w:r>
        <w:rPr>
          <w:kern w:val="0"/>
        </w:rPr>
        <w:t xml:space="preserve">metastatic bladder carcinoma. </w:t>
      </w:r>
      <w:r>
        <w:rPr>
          <w:i/>
          <w:iCs/>
          <w:kern w:val="0"/>
        </w:rPr>
        <w:t>BJU International</w:t>
      </w:r>
      <w:r>
        <w:rPr>
          <w:kern w:val="0"/>
        </w:rPr>
        <w:t xml:space="preserve">, </w:t>
      </w:r>
      <w:r>
        <w:rPr>
          <w:b/>
          <w:bCs/>
          <w:kern w:val="0"/>
        </w:rPr>
        <w:t>108</w:t>
      </w:r>
      <w:r>
        <w:rPr>
          <w:kern w:val="0"/>
        </w:rPr>
        <w:t xml:space="preserve"> (2), 168-179.</w:t>
      </w:r>
    </w:p>
    <w:p w:rsidR="00605399" w:rsidRDefault="00605399" w:rsidP="00605399">
      <w:pPr>
        <w:pStyle w:val="a3"/>
        <w:rPr>
          <w:kern w:val="0"/>
        </w:rPr>
      </w:pPr>
      <w:r>
        <w:rPr>
          <w:rFonts w:hint="eastAsia"/>
          <w:kern w:val="0"/>
        </w:rPr>
        <w:t xml:space="preserve">Full Text: </w:t>
      </w:r>
      <w:hyperlink r:id="rId1528" w:history="1">
        <w:r w:rsidRPr="00605399">
          <w:rPr>
            <w:rStyle w:val="a5"/>
            <w:kern w:val="0"/>
          </w:rPr>
          <w:t>2011\BJU Int108, 168.pdf</w:t>
        </w:r>
      </w:hyperlink>
    </w:p>
    <w:p w:rsidR="009C2115" w:rsidRDefault="009C2115" w:rsidP="009C2115">
      <w:pPr>
        <w:pStyle w:val="a3"/>
        <w:rPr>
          <w:kern w:val="0"/>
        </w:rPr>
      </w:pPr>
      <w:r>
        <w:rPr>
          <w:kern w:val="0"/>
        </w:rPr>
        <w:t>Abstract: OBJECTIVE To systematically review</w:t>
      </w:r>
      <w:r w:rsidR="003A1917">
        <w:rPr>
          <w:kern w:val="0"/>
        </w:rPr>
        <w:t xml:space="preserve"> the </w:t>
      </w:r>
      <w:r>
        <w:rPr>
          <w:kern w:val="0"/>
        </w:rPr>
        <w:t>literature on gemcitabine chemotherapy for advanced or metastatic bladder cancer. MATERIALS</w:t>
      </w:r>
      <w:r w:rsidR="005853A9">
        <w:rPr>
          <w:kern w:val="0"/>
        </w:rPr>
        <w:t xml:space="preserve"> and </w:t>
      </w:r>
      <w:r>
        <w:rPr>
          <w:kern w:val="0"/>
        </w:rPr>
        <w:t>METHODS</w:t>
      </w:r>
      <w:r w:rsidR="003A1917">
        <w:rPr>
          <w:kern w:val="0"/>
        </w:rPr>
        <w:t xml:space="preserve"> the </w:t>
      </w:r>
      <w:r>
        <w:rPr>
          <w:kern w:val="0"/>
        </w:rPr>
        <w:t>Medical Literature Analysis</w:t>
      </w:r>
      <w:r w:rsidR="005853A9">
        <w:rPr>
          <w:kern w:val="0"/>
        </w:rPr>
        <w:t xml:space="preserve"> and </w:t>
      </w:r>
      <w:r>
        <w:rPr>
          <w:kern w:val="0"/>
        </w:rPr>
        <w:t>Retrieval System Online-database (</w:t>
      </w:r>
      <w:r w:rsidR="00D5664A">
        <w:rPr>
          <w:kern w:val="0"/>
        </w:rPr>
        <w:t>MEDLINE</w:t>
      </w:r>
      <w:r w:rsidR="00F42EAC">
        <w:rPr>
          <w:kern w:val="0"/>
        </w:rPr>
        <w:t>), The</w:t>
      </w:r>
      <w:r w:rsidR="003A1917">
        <w:rPr>
          <w:kern w:val="0"/>
        </w:rPr>
        <w:t xml:space="preserve"> </w:t>
      </w:r>
      <w:r>
        <w:rPr>
          <w:kern w:val="0"/>
        </w:rPr>
        <w:t>Excerpta Medicadatabase (EMBASE</w:t>
      </w:r>
      <w:r w:rsidR="00F42EAC">
        <w:rPr>
          <w:kern w:val="0"/>
        </w:rPr>
        <w:t>), The</w:t>
      </w:r>
      <w:r w:rsidR="003A1917">
        <w:rPr>
          <w:kern w:val="0"/>
        </w:rPr>
        <w:t xml:space="preserve"> </w:t>
      </w:r>
      <w:r>
        <w:rPr>
          <w:kern w:val="0"/>
        </w:rPr>
        <w:t>Cumulative Index to Nursing</w:t>
      </w:r>
      <w:r w:rsidR="005853A9">
        <w:rPr>
          <w:kern w:val="0"/>
        </w:rPr>
        <w:t xml:space="preserve"> and </w:t>
      </w:r>
      <w:r>
        <w:rPr>
          <w:kern w:val="0"/>
        </w:rPr>
        <w:t>Allied Health Literature database(CIHNAL</w:t>
      </w:r>
      <w:r w:rsidR="00F42EAC">
        <w:rPr>
          <w:kern w:val="0"/>
        </w:rPr>
        <w:t>), The</w:t>
      </w:r>
      <w:r w:rsidR="003A1917">
        <w:rPr>
          <w:kern w:val="0"/>
        </w:rPr>
        <w:t xml:space="preserve"> </w:t>
      </w:r>
      <w:r>
        <w:rPr>
          <w:kern w:val="0"/>
        </w:rPr>
        <w:t>Cochrane database</w:t>
      </w:r>
      <w:r w:rsidR="00427468">
        <w:rPr>
          <w:kern w:val="0"/>
        </w:rPr>
        <w:t xml:space="preserve"> of </w:t>
      </w:r>
      <w:r>
        <w:rPr>
          <w:kern w:val="0"/>
        </w:rPr>
        <w:t>randomized trials,</w:t>
      </w:r>
      <w:r w:rsidR="003A1917">
        <w:rPr>
          <w:kern w:val="0"/>
        </w:rPr>
        <w:t xml:space="preserve"> the </w:t>
      </w:r>
      <w:r>
        <w:rPr>
          <w:kern w:val="0"/>
        </w:rPr>
        <w:t>Literatura Latino-Americana e do Caribe emCiencias da Saudedatabase (LILACS),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searched to identify trials</w:t>
      </w:r>
      <w:r w:rsidR="00427468">
        <w:rPr>
          <w:kern w:val="0"/>
        </w:rPr>
        <w:t xml:space="preserve"> of </w:t>
      </w:r>
      <w:r>
        <w:rPr>
          <w:kern w:val="0"/>
        </w:rPr>
        <w:t>gemcitabine for metastatic bladder cancer. Also searched were international guidelines on metastatic prostate cancer, trial registries,</w:t>
      </w:r>
      <w:r w:rsidR="005853A9">
        <w:rPr>
          <w:kern w:val="0"/>
        </w:rPr>
        <w:t xml:space="preserve"> and </w:t>
      </w:r>
      <w:r>
        <w:rPr>
          <w:kern w:val="0"/>
        </w:rPr>
        <w:t>recent systematic reviews. Data on trial design, survival, tumour response</w:t>
      </w:r>
      <w:r w:rsidR="005853A9">
        <w:rPr>
          <w:kern w:val="0"/>
        </w:rPr>
        <w:t xml:space="preserve"> and </w:t>
      </w:r>
      <w:r>
        <w:rPr>
          <w:kern w:val="0"/>
        </w:rPr>
        <w:t>toxicity outcomes were extracted from relevant studies. RESULTS This review identified six randomized trials</w:t>
      </w:r>
      <w:r w:rsidR="00427468">
        <w:rPr>
          <w:kern w:val="0"/>
        </w:rPr>
        <w:t xml:space="preserve"> of </w:t>
      </w:r>
      <w:r>
        <w:rPr>
          <w:kern w:val="0"/>
        </w:rPr>
        <w:t>combined chemotherapy with gemcitabine for</w:t>
      </w:r>
      <w:r w:rsidR="003A1917">
        <w:rPr>
          <w:kern w:val="0"/>
        </w:rPr>
        <w:t xml:space="preserve"> the </w:t>
      </w:r>
      <w:r>
        <w:rPr>
          <w:kern w:val="0"/>
        </w:rPr>
        <w:t>management</w:t>
      </w:r>
      <w:r w:rsidR="00427468">
        <w:rPr>
          <w:kern w:val="0"/>
        </w:rPr>
        <w:t xml:space="preserve"> of </w:t>
      </w:r>
      <w:r>
        <w:rPr>
          <w:kern w:val="0"/>
        </w:rPr>
        <w:t>unresectable, locally advanced or metastatic bladder cancer. One trial compared gemcitabine plus cisplatin (GCis) with methotrexate/vinblastine/doxorubicin/cisplatin(MVAC)</w:t>
      </w:r>
      <w:r w:rsidR="005853A9">
        <w:rPr>
          <w:kern w:val="0"/>
        </w:rPr>
        <w:t xml:space="preserve"> and </w:t>
      </w:r>
      <w:r>
        <w:rPr>
          <w:kern w:val="0"/>
        </w:rPr>
        <w:t>found no difference in overall survival (OS; hazard ratio 1.09) but a better safety profile with GCis, which was suggested as</w:t>
      </w:r>
      <w:r w:rsidR="003A1917">
        <w:rPr>
          <w:kern w:val="0"/>
        </w:rPr>
        <w:t xml:space="preserve"> the </w:t>
      </w:r>
      <w:r>
        <w:rPr>
          <w:kern w:val="0"/>
        </w:rPr>
        <w:t>treatment</w:t>
      </w:r>
      <w:r w:rsidR="00427468">
        <w:rPr>
          <w:kern w:val="0"/>
        </w:rPr>
        <w:t xml:space="preserve"> of </w:t>
      </w:r>
      <w:r>
        <w:rPr>
          <w:kern w:val="0"/>
        </w:rPr>
        <w:t>choice. A second trial evaluated GCis against gemcitabine plus carboplatin (GCarbo)</w:t>
      </w:r>
      <w:r w:rsidR="005853A9">
        <w:rPr>
          <w:kern w:val="0"/>
        </w:rPr>
        <w:t xml:space="preserve"> and </w:t>
      </w:r>
      <w:r>
        <w:rPr>
          <w:kern w:val="0"/>
        </w:rPr>
        <w:t>reported similar median OS (12.8 vs 9.8 months), disease progression (8.3 vs 7.3 months)</w:t>
      </w:r>
      <w:r w:rsidR="005853A9">
        <w:rPr>
          <w:kern w:val="0"/>
        </w:rPr>
        <w:t xml:space="preserve"> and </w:t>
      </w:r>
      <w:r>
        <w:rPr>
          <w:kern w:val="0"/>
        </w:rPr>
        <w:t>tumour response rates (66% vs 56%) for</w:t>
      </w:r>
      <w:r w:rsidR="003A1917">
        <w:rPr>
          <w:kern w:val="0"/>
        </w:rPr>
        <w:t xml:space="preserve"> the </w:t>
      </w:r>
      <w:r>
        <w:rPr>
          <w:kern w:val="0"/>
        </w:rPr>
        <w:t>two patient groups. A third trial compared GCis with GCis plus paclitaxel (GCisPac)</w:t>
      </w:r>
      <w:r w:rsidR="005853A9">
        <w:rPr>
          <w:kern w:val="0"/>
        </w:rPr>
        <w:t xml:space="preserve"> and </w:t>
      </w:r>
      <w:r>
        <w:rPr>
          <w:kern w:val="0"/>
        </w:rPr>
        <w:t>showed no significant difference in median OS (12.3 vs 15.3 months)</w:t>
      </w:r>
      <w:r w:rsidR="005853A9">
        <w:rPr>
          <w:kern w:val="0"/>
        </w:rPr>
        <w:t xml:space="preserve"> and </w:t>
      </w:r>
      <w:r>
        <w:rPr>
          <w:kern w:val="0"/>
        </w:rPr>
        <w:t>response rates (44% vs 43%) but greater toxicity with GCisPac. A fourth trial assessed GCarbo against methotrexate plus carboplatin plus vinblastine in patients unfit for cisplatin-based chemotherapy</w:t>
      </w:r>
      <w:r w:rsidR="005853A9">
        <w:rPr>
          <w:kern w:val="0"/>
        </w:rPr>
        <w:t xml:space="preserve"> and </w:t>
      </w:r>
      <w:r>
        <w:rPr>
          <w:kern w:val="0"/>
        </w:rPr>
        <w:t>found similar tumour response rates for each regime (38% vs 20%) but</w:t>
      </w:r>
      <w:r w:rsidR="003A1917">
        <w:rPr>
          <w:kern w:val="0"/>
        </w:rPr>
        <w:t xml:space="preserve"> the </w:t>
      </w:r>
      <w:r>
        <w:rPr>
          <w:kern w:val="0"/>
        </w:rPr>
        <w:t>triplet regime was more toxic. Two other randomized studies compared a 2-weekly maintenance regime</w:t>
      </w:r>
      <w:r w:rsidR="00427468">
        <w:rPr>
          <w:kern w:val="0"/>
        </w:rPr>
        <w:t xml:space="preserve"> of </w:t>
      </w:r>
      <w:r>
        <w:rPr>
          <w:kern w:val="0"/>
        </w:rPr>
        <w:t>gemcitabine plus paclitaxel with a 3-weelky regime given for a maximum</w:t>
      </w:r>
      <w:r w:rsidR="00427468">
        <w:rPr>
          <w:kern w:val="0"/>
        </w:rPr>
        <w:t xml:space="preserve"> of </w:t>
      </w:r>
      <w:r>
        <w:rPr>
          <w:kern w:val="0"/>
        </w:rPr>
        <w:t>six cycles</w:t>
      </w:r>
      <w:r w:rsidR="005853A9">
        <w:rPr>
          <w:kern w:val="0"/>
        </w:rPr>
        <w:t xml:space="preserve"> and </w:t>
      </w:r>
      <w:r>
        <w:rPr>
          <w:kern w:val="0"/>
        </w:rPr>
        <w:t>found that</w:t>
      </w:r>
      <w:r w:rsidR="003A1917">
        <w:rPr>
          <w:kern w:val="0"/>
        </w:rPr>
        <w:t xml:space="preserve"> </w:t>
      </w:r>
      <w:r w:rsidR="003A1917">
        <w:rPr>
          <w:kern w:val="0"/>
        </w:rPr>
        <w:lastRenderedPageBreak/>
        <w:t xml:space="preserve">the </w:t>
      </w:r>
      <w:r>
        <w:rPr>
          <w:kern w:val="0"/>
        </w:rPr>
        <w:t>maintenance schedule did not confer any additional survival benefit. In all, 53observational studies</w:t>
      </w:r>
      <w:r w:rsidR="00427468">
        <w:rPr>
          <w:kern w:val="0"/>
        </w:rPr>
        <w:t xml:space="preserve"> of </w:t>
      </w:r>
      <w:r>
        <w:rPr>
          <w:kern w:val="0"/>
        </w:rPr>
        <w:t>gemcitabine chemotherapy were identified that varied considerably in</w:t>
      </w:r>
      <w:r w:rsidR="003A1917">
        <w:rPr>
          <w:kern w:val="0"/>
        </w:rPr>
        <w:t xml:space="preserve"> the </w:t>
      </w:r>
      <w:r>
        <w:rPr>
          <w:kern w:val="0"/>
        </w:rPr>
        <w:t>drug combinations used</w:t>
      </w:r>
      <w:r w:rsidR="005853A9">
        <w:rPr>
          <w:kern w:val="0"/>
        </w:rPr>
        <w:t xml:space="preserve"> and </w:t>
      </w:r>
      <w:r>
        <w:rPr>
          <w:kern w:val="0"/>
        </w:rPr>
        <w:t>schedules. Overall response rates (17-78%)</w:t>
      </w:r>
      <w:r w:rsidR="005853A9">
        <w:rPr>
          <w:kern w:val="0"/>
        </w:rPr>
        <w:t xml:space="preserve"> and </w:t>
      </w:r>
      <w:r>
        <w:rPr>
          <w:kern w:val="0"/>
        </w:rPr>
        <w:t>median OS (6.4-24.0 months) were variable with no combination being clearly superior. CONCLUSIONS Gemcitabine combined chemotherapy is active in</w:t>
      </w:r>
      <w:r w:rsidR="003A1917">
        <w:rPr>
          <w:kern w:val="0"/>
        </w:rPr>
        <w:t xml:space="preserve"> the </w:t>
      </w:r>
      <w:r>
        <w:rPr>
          <w:kern w:val="0"/>
        </w:rPr>
        <w:t>management</w:t>
      </w:r>
      <w:r w:rsidR="00427468">
        <w:rPr>
          <w:kern w:val="0"/>
        </w:rPr>
        <w:t xml:space="preserve"> of </w:t>
      </w:r>
      <w:r>
        <w:rPr>
          <w:kern w:val="0"/>
        </w:rPr>
        <w:t>metastatic bladder cancer. GCis may be considered an alternative regime to MVAC. GCarbo should be considered for patients unfit for cisplatin-based therapy.</w:t>
      </w:r>
    </w:p>
    <w:p w:rsidR="009C2115" w:rsidRDefault="009C2115" w:rsidP="009C2115">
      <w:pPr>
        <w:pStyle w:val="a3"/>
        <w:rPr>
          <w:kern w:val="0"/>
        </w:rPr>
      </w:pPr>
      <w:r>
        <w:rPr>
          <w:kern w:val="0"/>
        </w:rPr>
        <w:t xml:space="preserve">Keywords: 1st-Line Treatment, Advanced Urothelial Carcinoma, Cancer, Carcinoma, Chemotherapy, Cisplatin-Based Chemotherapy, Cochrane, Cooperative-Oncology-Group, Disease, Doxorubicin Plus Gemcitabine, Drug, EMBASE, Evidence-Based Medicine, Guidelines, Health, Impaired Renal-Function, Literature, Management, </w:t>
      </w:r>
      <w:r w:rsidR="00D5664A">
        <w:rPr>
          <w:kern w:val="0"/>
        </w:rPr>
        <w:t>MEDLINE</w:t>
      </w:r>
      <w:r>
        <w:rPr>
          <w:kern w:val="0"/>
        </w:rPr>
        <w:t xml:space="preserve">, Methotrexate, National-Cancer-Institute, Nursing, Outcomes, Phase-II Trial, Profile, Prostate Cancer, Ratio, Review, Safety, Science, Single-Agent Gemcitabine, Survival, Systematic, Systematic Review, Systematic Reviews, Therapy, Toxicity, Transitional-Cell Carcinoma, Treatment, Urological Cancers, </w:t>
      </w:r>
      <w:r w:rsidR="00D5664A">
        <w:rPr>
          <w:kern w:val="0"/>
        </w:rPr>
        <w:t>Web</w:t>
      </w:r>
      <w:r w:rsidR="00427468">
        <w:rPr>
          <w:kern w:val="0"/>
        </w:rPr>
        <w:t xml:space="preserve"> of </w:t>
      </w:r>
      <w:r w:rsidR="00D5664A">
        <w:rPr>
          <w:kern w:val="0"/>
        </w:rPr>
        <w:t>Science</w:t>
      </w:r>
    </w:p>
    <w:p w:rsidR="00BC692A" w:rsidRDefault="00BC692A" w:rsidP="00BC692A">
      <w:pPr>
        <w:pStyle w:val="a3"/>
        <w:rPr>
          <w:kern w:val="0"/>
        </w:rPr>
      </w:pPr>
      <w:r>
        <w:rPr>
          <w:rFonts w:hint="eastAsia"/>
          <w:kern w:val="0"/>
        </w:rPr>
        <w:t xml:space="preserve">? </w:t>
      </w:r>
      <w:r>
        <w:rPr>
          <w:kern w:val="0"/>
        </w:rPr>
        <w:t>Kelly, B.D., Lundon, D.J., Glynn, R.W., Felle, P., Walsh, K.</w:t>
      </w:r>
      <w:r w:rsidR="005853A9">
        <w:rPr>
          <w:kern w:val="0"/>
        </w:rPr>
        <w:t xml:space="preserve"> and </w:t>
      </w:r>
      <w:r>
        <w:rPr>
          <w:kern w:val="0"/>
        </w:rPr>
        <w:t>Kerin, M.J. (2012), A bibliometric analysis</w:t>
      </w:r>
      <w:r w:rsidR="00427468">
        <w:rPr>
          <w:kern w:val="0"/>
        </w:rPr>
        <w:t xml:space="preserve"> of </w:t>
      </w:r>
      <w:r>
        <w:rPr>
          <w:kern w:val="0"/>
        </w:rPr>
        <w:t xml:space="preserve">urological oncology research output over 55 years. </w:t>
      </w:r>
      <w:r>
        <w:rPr>
          <w:i/>
          <w:iCs/>
          <w:kern w:val="0"/>
        </w:rPr>
        <w:t>BJU International</w:t>
      </w:r>
      <w:r>
        <w:rPr>
          <w:kern w:val="0"/>
        </w:rPr>
        <w:t xml:space="preserve">, </w:t>
      </w:r>
      <w:r>
        <w:rPr>
          <w:b/>
          <w:bCs/>
          <w:kern w:val="0"/>
        </w:rPr>
        <w:t>109</w:t>
      </w:r>
      <w:r>
        <w:rPr>
          <w:kern w:val="0"/>
        </w:rPr>
        <w:t>, 67</w:t>
      </w:r>
      <w:r>
        <w:rPr>
          <w:rFonts w:hint="eastAsia"/>
          <w:kern w:val="0"/>
        </w:rPr>
        <w:t>.</w:t>
      </w:r>
    </w:p>
    <w:p w:rsidR="00BC692A" w:rsidRDefault="00BC692A" w:rsidP="00BC692A">
      <w:pPr>
        <w:pStyle w:val="a3"/>
        <w:rPr>
          <w:kern w:val="0"/>
        </w:rPr>
      </w:pPr>
      <w:r>
        <w:rPr>
          <w:rFonts w:hint="eastAsia"/>
          <w:kern w:val="0"/>
        </w:rPr>
        <w:t xml:space="preserve">Full Text: </w:t>
      </w:r>
      <w:r w:rsidRPr="00AC7C31">
        <w:rPr>
          <w:kern w:val="0"/>
        </w:rPr>
        <w:t>2012\BJU Int109, 67.pdf</w:t>
      </w:r>
    </w:p>
    <w:p w:rsidR="00BC692A" w:rsidRDefault="00BC692A" w:rsidP="00BC692A">
      <w:pPr>
        <w:pStyle w:val="a3"/>
        <w:rPr>
          <w:kern w:val="0"/>
        </w:rPr>
      </w:pPr>
      <w:r>
        <w:rPr>
          <w:kern w:val="0"/>
        </w:rPr>
        <w:t>Keywords: Analysis, Bibliometric, Bibliometric Analysis, Oncology, Research, Research Output, SI</w:t>
      </w:r>
    </w:p>
    <w:p w:rsidR="00605399" w:rsidRDefault="00605399" w:rsidP="00605399">
      <w:pPr>
        <w:pStyle w:val="a3"/>
        <w:rPr>
          <w:kern w:val="0"/>
        </w:rPr>
      </w:pPr>
      <w:r>
        <w:rPr>
          <w:rFonts w:hint="eastAsia"/>
          <w:kern w:val="0"/>
        </w:rPr>
        <w:t xml:space="preserve">? </w:t>
      </w:r>
      <w:r>
        <w:rPr>
          <w:kern w:val="0"/>
        </w:rPr>
        <w:t>Froghi, S., Ahmed, K., Finch, A., Fitzpatrick, J.M., Khan, M.S.</w:t>
      </w:r>
      <w:r w:rsidR="005853A9">
        <w:rPr>
          <w:kern w:val="0"/>
        </w:rPr>
        <w:t xml:space="preserve"> and </w:t>
      </w:r>
      <w:r>
        <w:rPr>
          <w:kern w:val="0"/>
        </w:rPr>
        <w:t xml:space="preserve">Dasgupta, P. (2012), Indicators for research performance evaluation: An overview. </w:t>
      </w:r>
      <w:r>
        <w:rPr>
          <w:i/>
          <w:iCs/>
          <w:kern w:val="0"/>
        </w:rPr>
        <w:t>BJU International</w:t>
      </w:r>
      <w:r>
        <w:rPr>
          <w:kern w:val="0"/>
        </w:rPr>
        <w:t xml:space="preserve">, </w:t>
      </w:r>
      <w:r>
        <w:rPr>
          <w:b/>
          <w:bCs/>
          <w:kern w:val="0"/>
        </w:rPr>
        <w:t>109</w:t>
      </w:r>
      <w:r>
        <w:rPr>
          <w:kern w:val="0"/>
        </w:rPr>
        <w:t xml:space="preserve"> (3), 321-323</w:t>
      </w:r>
      <w:r>
        <w:rPr>
          <w:rFonts w:hint="eastAsia"/>
          <w:kern w:val="0"/>
        </w:rPr>
        <w:t>.</w:t>
      </w:r>
    </w:p>
    <w:p w:rsidR="00605399" w:rsidRDefault="00605399" w:rsidP="00605399">
      <w:pPr>
        <w:pStyle w:val="a3"/>
        <w:rPr>
          <w:kern w:val="0"/>
        </w:rPr>
      </w:pPr>
      <w:r>
        <w:rPr>
          <w:rFonts w:hint="eastAsia"/>
          <w:kern w:val="0"/>
        </w:rPr>
        <w:t xml:space="preserve">Full Text: </w:t>
      </w:r>
      <w:hyperlink r:id="rId1529" w:history="1">
        <w:r w:rsidRPr="00595F04">
          <w:rPr>
            <w:rStyle w:val="a5"/>
            <w:kern w:val="0"/>
          </w:rPr>
          <w:t>2012\BJU Int109, 321.pdf</w:t>
        </w:r>
      </w:hyperlink>
    </w:p>
    <w:p w:rsidR="00605399" w:rsidRDefault="00605399" w:rsidP="00605399">
      <w:pPr>
        <w:pStyle w:val="a3"/>
        <w:rPr>
          <w:kern w:val="0"/>
        </w:rPr>
      </w:pPr>
      <w:r>
        <w:rPr>
          <w:kern w:val="0"/>
        </w:rPr>
        <w:t xml:space="preserve">Keywords: Bibliometrics, Evaluation, </w:t>
      </w:r>
      <w:r w:rsidR="00D5664A">
        <w:rPr>
          <w:rFonts w:hint="eastAsia"/>
          <w:kern w:val="0"/>
        </w:rPr>
        <w:t>h-Index</w:t>
      </w:r>
      <w:r>
        <w:rPr>
          <w:kern w:val="0"/>
        </w:rPr>
        <w:t>, Indicators, Performance, Publication, Publish, Research, Research Performance, Scientific-Research Output, Score</w:t>
      </w:r>
    </w:p>
    <w:p w:rsidR="006002D3" w:rsidRDefault="006002D3" w:rsidP="006002D3">
      <w:pPr>
        <w:pStyle w:val="a3"/>
        <w:rPr>
          <w:kern w:val="0"/>
        </w:rPr>
      </w:pPr>
      <w:r>
        <w:rPr>
          <w:rFonts w:hint="eastAsia"/>
          <w:kern w:val="0"/>
        </w:rPr>
        <w:t xml:space="preserve">? </w:t>
      </w:r>
      <w:r>
        <w:rPr>
          <w:kern w:val="0"/>
        </w:rPr>
        <w:t>Shelley, M.D., Jones, G., Cleves, A., Wilt, T.J., Mason, M.D.</w:t>
      </w:r>
      <w:r w:rsidR="005853A9">
        <w:rPr>
          <w:kern w:val="0"/>
        </w:rPr>
        <w:t xml:space="preserve"> and </w:t>
      </w:r>
      <w:r>
        <w:rPr>
          <w:kern w:val="0"/>
        </w:rPr>
        <w:t xml:space="preserve">Kynaston, H.G. (2012), Intravesical gemcitabine therapy for non-muscle invasive bladder cancer (NMIBC): A systematic review. </w:t>
      </w:r>
      <w:r>
        <w:rPr>
          <w:i/>
          <w:iCs/>
          <w:kern w:val="0"/>
        </w:rPr>
        <w:t>BJU International</w:t>
      </w:r>
      <w:r>
        <w:rPr>
          <w:kern w:val="0"/>
        </w:rPr>
        <w:t xml:space="preserve">, </w:t>
      </w:r>
      <w:r>
        <w:rPr>
          <w:b/>
          <w:bCs/>
          <w:kern w:val="0"/>
        </w:rPr>
        <w:t>109</w:t>
      </w:r>
      <w:r>
        <w:rPr>
          <w:kern w:val="0"/>
        </w:rPr>
        <w:t xml:space="preserve"> (4), 496-505.</w:t>
      </w:r>
    </w:p>
    <w:p w:rsidR="006002D3" w:rsidRDefault="006002D3" w:rsidP="006002D3">
      <w:pPr>
        <w:pStyle w:val="a3"/>
        <w:rPr>
          <w:kern w:val="0"/>
        </w:rPr>
      </w:pPr>
      <w:r>
        <w:rPr>
          <w:rFonts w:hint="eastAsia"/>
          <w:kern w:val="0"/>
        </w:rPr>
        <w:t xml:space="preserve">Full Text: </w:t>
      </w:r>
      <w:hyperlink r:id="rId1530" w:history="1">
        <w:r w:rsidRPr="0062652B">
          <w:rPr>
            <w:rStyle w:val="a5"/>
            <w:kern w:val="0"/>
          </w:rPr>
          <w:t>2012\BJU Int109, 496.pdf</w:t>
        </w:r>
      </w:hyperlink>
    </w:p>
    <w:p w:rsidR="006002D3" w:rsidRDefault="006002D3" w:rsidP="006002D3">
      <w:pPr>
        <w:pStyle w:val="a3"/>
        <w:rPr>
          <w:kern w:val="0"/>
        </w:rPr>
      </w:pPr>
      <w:r>
        <w:rPr>
          <w:kern w:val="0"/>
        </w:rPr>
        <w:t>Abstract: Intravesical immunotherapy or chemotherapy for non-muscle invasive bladder cancer is a well-established treatment for preventing or delaying tumour recurrence after tumour resection. However, up to 70%</w:t>
      </w:r>
      <w:r w:rsidR="00427468">
        <w:rPr>
          <w:kern w:val="0"/>
        </w:rPr>
        <w:t xml:space="preserve"> of </w:t>
      </w:r>
      <w:r>
        <w:rPr>
          <w:kern w:val="0"/>
        </w:rPr>
        <w:t>patients may fail</w:t>
      </w:r>
      <w:r w:rsidR="005853A9">
        <w:rPr>
          <w:kern w:val="0"/>
        </w:rPr>
        <w:t xml:space="preserve"> and </w:t>
      </w:r>
      <w:r>
        <w:rPr>
          <w:kern w:val="0"/>
        </w:rPr>
        <w:t>new intravesical agents with improved effectiveness are needed. Gemcitabine is a relatively new anticancer drug that has shown activity against bladder cancer. To systematically review</w:t>
      </w:r>
      <w:r w:rsidR="003A1917">
        <w:rPr>
          <w:kern w:val="0"/>
        </w:rPr>
        <w:t xml:space="preserve"> the </w:t>
      </w:r>
      <w:r>
        <w:rPr>
          <w:kern w:val="0"/>
        </w:rPr>
        <w:t>literature on</w:t>
      </w:r>
      <w:r w:rsidR="003A1917">
        <w:rPr>
          <w:kern w:val="0"/>
        </w:rPr>
        <w:t xml:space="preserve"> the </w:t>
      </w:r>
      <w:r>
        <w:rPr>
          <w:kern w:val="0"/>
        </w:rPr>
        <w:t>effectiveness</w:t>
      </w:r>
      <w:r w:rsidR="005853A9">
        <w:rPr>
          <w:kern w:val="0"/>
        </w:rPr>
        <w:t xml:space="preserve"> and </w:t>
      </w:r>
      <w:r>
        <w:rPr>
          <w:kern w:val="0"/>
        </w:rPr>
        <w:t>toxicity</w:t>
      </w:r>
      <w:r w:rsidR="00427468">
        <w:rPr>
          <w:kern w:val="0"/>
        </w:rPr>
        <w:t xml:space="preserve"> of </w:t>
      </w:r>
      <w:r>
        <w:rPr>
          <w:kern w:val="0"/>
        </w:rPr>
        <w:t xml:space="preserve">intravesical gemcitabine for </w:t>
      </w:r>
      <w:r>
        <w:rPr>
          <w:kern w:val="0"/>
        </w:rPr>
        <w:lastRenderedPageBreak/>
        <w:t xml:space="preserve">non-muscle invasive bladder cancer (NMIBC). </w:t>
      </w:r>
      <w:r w:rsidR="00D5664A">
        <w:rPr>
          <w:kern w:val="0"/>
        </w:rPr>
        <w:t>MEDLINE</w:t>
      </w:r>
      <w:r>
        <w:rPr>
          <w:kern w:val="0"/>
        </w:rPr>
        <w:t>, EMBASE, CINAHL,</w:t>
      </w:r>
      <w:r w:rsidR="003A1917">
        <w:rPr>
          <w:kern w:val="0"/>
        </w:rPr>
        <w:t xml:space="preserve"> the </w:t>
      </w:r>
      <w:r>
        <w:rPr>
          <w:kern w:val="0"/>
        </w:rPr>
        <w:t>Cochrane database</w:t>
      </w:r>
      <w:r w:rsidR="00427468">
        <w:rPr>
          <w:kern w:val="0"/>
        </w:rPr>
        <w:t xml:space="preserve"> of </w:t>
      </w:r>
      <w:r>
        <w:rPr>
          <w:kern w:val="0"/>
        </w:rPr>
        <w:t xml:space="preserve">systematic reviews, LILACS, SCOPUS, BNI, Biomed Central, </w:t>
      </w:r>
      <w:r w:rsidR="00D5664A">
        <w:rPr>
          <w:kern w:val="0"/>
        </w:rPr>
        <w:t>Web</w:t>
      </w:r>
      <w:r w:rsidR="00427468">
        <w:rPr>
          <w:kern w:val="0"/>
        </w:rPr>
        <w:t xml:space="preserve"> of </w:t>
      </w:r>
      <w:r w:rsidR="00D5664A">
        <w:rPr>
          <w:kern w:val="0"/>
        </w:rPr>
        <w:t>Science</w:t>
      </w:r>
      <w:r w:rsidR="005853A9">
        <w:rPr>
          <w:kern w:val="0"/>
        </w:rPr>
        <w:t xml:space="preserve"> and </w:t>
      </w:r>
      <w:r>
        <w:rPr>
          <w:kern w:val="0"/>
        </w:rPr>
        <w:t>BIOSIS were searched to identify trials</w:t>
      </w:r>
      <w:r w:rsidR="00427468">
        <w:rPr>
          <w:kern w:val="0"/>
        </w:rPr>
        <w:t xml:space="preserve"> of </w:t>
      </w:r>
      <w:r>
        <w:rPr>
          <w:kern w:val="0"/>
        </w:rPr>
        <w:t>intravesical gemcitabine for</w:t>
      </w:r>
      <w:r w:rsidR="003A1917">
        <w:rPr>
          <w:kern w:val="0"/>
        </w:rPr>
        <w:t xml:space="preserve"> the </w:t>
      </w:r>
      <w:r>
        <w:rPr>
          <w:kern w:val="0"/>
        </w:rPr>
        <w:t>treatment</w:t>
      </w:r>
      <w:r w:rsidR="00427468">
        <w:rPr>
          <w:kern w:val="0"/>
        </w:rPr>
        <w:t xml:space="preserve"> of </w:t>
      </w:r>
      <w:r>
        <w:rPr>
          <w:kern w:val="0"/>
        </w:rPr>
        <w:t>NMIBC. Also searched were meeting proceedings, international guidelines</w:t>
      </w:r>
      <w:r w:rsidR="005853A9">
        <w:rPr>
          <w:kern w:val="0"/>
        </w:rPr>
        <w:t xml:space="preserve"> and </w:t>
      </w:r>
      <w:r>
        <w:rPr>
          <w:kern w:val="0"/>
        </w:rPr>
        <w:t>trial registries. Data on authors, study design, patient characteristics, interventions</w:t>
      </w:r>
      <w:r w:rsidR="005853A9">
        <w:rPr>
          <w:kern w:val="0"/>
        </w:rPr>
        <w:t xml:space="preserve"> and </w:t>
      </w:r>
      <w:r>
        <w:rPr>
          <w:kern w:val="0"/>
        </w:rPr>
        <w:t>outcome data relating to tumour recurrence, disease progression, survival</w:t>
      </w:r>
      <w:r w:rsidR="005853A9">
        <w:rPr>
          <w:kern w:val="0"/>
        </w:rPr>
        <w:t xml:space="preserve"> and </w:t>
      </w:r>
      <w:r>
        <w:rPr>
          <w:kern w:val="0"/>
        </w:rPr>
        <w:t>adverse events were extracted from relevant studies. Six relevant randomised trials were identified with</w:t>
      </w:r>
      <w:r w:rsidR="003A1917">
        <w:rPr>
          <w:kern w:val="0"/>
        </w:rPr>
        <w:t xml:space="preserve"> the </w:t>
      </w:r>
      <w:r>
        <w:rPr>
          <w:kern w:val="0"/>
        </w:rPr>
        <w:t>number</w:t>
      </w:r>
      <w:r w:rsidR="00427468">
        <w:rPr>
          <w:kern w:val="0"/>
        </w:rPr>
        <w:t xml:space="preserve"> of </w:t>
      </w:r>
      <w:r>
        <w:rPr>
          <w:kern w:val="0"/>
        </w:rPr>
        <w:t>patients randomised in each trial varying from 30 to 341 (total 704). All trials compared gemcitabine to active controls</w:t>
      </w:r>
      <w:r w:rsidR="005853A9">
        <w:rPr>
          <w:kern w:val="0"/>
        </w:rPr>
        <w:t xml:space="preserve"> and </w:t>
      </w:r>
      <w:r>
        <w:rPr>
          <w:kern w:val="0"/>
        </w:rPr>
        <w:t>varied in</w:t>
      </w:r>
      <w:r w:rsidR="003A1917">
        <w:rPr>
          <w:kern w:val="0"/>
        </w:rPr>
        <w:t xml:space="preserve"> the </w:t>
      </w:r>
      <w:r>
        <w:rPr>
          <w:kern w:val="0"/>
        </w:rPr>
        <w:t>reporting</w:t>
      </w:r>
      <w:r w:rsidR="00427468">
        <w:rPr>
          <w:kern w:val="0"/>
        </w:rPr>
        <w:t xml:space="preserve"> of </w:t>
      </w:r>
      <w:r>
        <w:rPr>
          <w:kern w:val="0"/>
        </w:rPr>
        <w:t>outcomes</w:t>
      </w:r>
      <w:r w:rsidR="00A37C1D">
        <w:rPr>
          <w:kern w:val="0"/>
        </w:rPr>
        <w:t>. The</w:t>
      </w:r>
      <w:r w:rsidR="003A1917">
        <w:rPr>
          <w:kern w:val="0"/>
        </w:rPr>
        <w:t xml:space="preserve"> </w:t>
      </w:r>
      <w:r>
        <w:rPr>
          <w:kern w:val="0"/>
        </w:rPr>
        <w:t>first was a marker lesion study which reported greater tumour response rates when intravesical gemcitabine (2 g) was given as three bi-weekly doses (36%) or six weekly doses (40%) compared with a single dose (9%). One study compared a single postoperative instillation</w:t>
      </w:r>
      <w:r w:rsidR="00427468">
        <w:rPr>
          <w:kern w:val="0"/>
        </w:rPr>
        <w:t xml:space="preserve"> of </w:t>
      </w:r>
      <w:r>
        <w:rPr>
          <w:kern w:val="0"/>
        </w:rPr>
        <w:t>intravesical gemcitabine with a saline placebo in 341 patients</w:t>
      </w:r>
      <w:r w:rsidR="005853A9">
        <w:rPr>
          <w:kern w:val="0"/>
        </w:rPr>
        <w:t xml:space="preserve"> and </w:t>
      </w:r>
      <w:r>
        <w:rPr>
          <w:kern w:val="0"/>
        </w:rPr>
        <w:t>found no significant difference in</w:t>
      </w:r>
      <w:r w:rsidR="003A1917">
        <w:rPr>
          <w:kern w:val="0"/>
        </w:rPr>
        <w:t xml:space="preserve"> the </w:t>
      </w:r>
      <w:r>
        <w:rPr>
          <w:kern w:val="0"/>
        </w:rPr>
        <w:t>rates</w:t>
      </w:r>
      <w:r w:rsidR="00427468">
        <w:rPr>
          <w:kern w:val="0"/>
        </w:rPr>
        <w:t xml:space="preserve"> of </w:t>
      </w:r>
      <w:r>
        <w:rPr>
          <w:kern w:val="0"/>
        </w:rPr>
        <w:t>tumour recurrence (28% vs 39%, respectively) or recurrence-free survival (hazard ratio 0.95, 95% confidence interval 0.64-1.39, P = 0.77)</w:t>
      </w:r>
      <w:r w:rsidR="00A37C1D">
        <w:rPr>
          <w:kern w:val="0"/>
        </w:rPr>
        <w:t>. The</w:t>
      </w:r>
      <w:r w:rsidR="003A1917">
        <w:rPr>
          <w:kern w:val="0"/>
        </w:rPr>
        <w:t xml:space="preserve"> </w:t>
      </w:r>
      <w:r>
        <w:rPr>
          <w:kern w:val="0"/>
        </w:rPr>
        <w:t>rate</w:t>
      </w:r>
      <w:r w:rsidR="00427468">
        <w:rPr>
          <w:kern w:val="0"/>
        </w:rPr>
        <w:t xml:space="preserve"> of </w:t>
      </w:r>
      <w:r>
        <w:rPr>
          <w:kern w:val="0"/>
        </w:rPr>
        <w:t>progression to invasive disease was greater with gemcitabine (2.4% vs 0.8%). A further trial compared gemcitabine with intravesical mitomycin C (MMC)</w:t>
      </w:r>
      <w:r w:rsidR="005853A9">
        <w:rPr>
          <w:kern w:val="0"/>
        </w:rPr>
        <w:t xml:space="preserve"> and </w:t>
      </w:r>
      <w:r>
        <w:rPr>
          <w:kern w:val="0"/>
        </w:rPr>
        <w:t>reported that</w:t>
      </w:r>
      <w:r w:rsidR="003A1917">
        <w:rPr>
          <w:kern w:val="0"/>
        </w:rPr>
        <w:t xml:space="preserve"> the </w:t>
      </w:r>
      <w:r>
        <w:rPr>
          <w:kern w:val="0"/>
        </w:rPr>
        <w:t>rates</w:t>
      </w:r>
      <w:r w:rsidR="00427468">
        <w:rPr>
          <w:kern w:val="0"/>
        </w:rPr>
        <w:t xml:space="preserve"> of </w:t>
      </w:r>
      <w:r>
        <w:rPr>
          <w:kern w:val="0"/>
        </w:rPr>
        <w:t>recurrence (28% vs 39%)</w:t>
      </w:r>
      <w:r w:rsidR="005853A9">
        <w:rPr>
          <w:kern w:val="0"/>
        </w:rPr>
        <w:t xml:space="preserve"> and </w:t>
      </w:r>
      <w:r>
        <w:rPr>
          <w:kern w:val="0"/>
        </w:rPr>
        <w:t>progression (11% vs 18%) were lower with gemcitabine but did not reach statistical significance</w:t>
      </w:r>
      <w:r w:rsidR="00A37C1D">
        <w:rPr>
          <w:kern w:val="0"/>
        </w:rPr>
        <w:t>. The</w:t>
      </w:r>
      <w:r w:rsidR="003A1917">
        <w:rPr>
          <w:kern w:val="0"/>
        </w:rPr>
        <w:t xml:space="preserve"> </w:t>
      </w:r>
      <w:r>
        <w:rPr>
          <w:kern w:val="0"/>
        </w:rPr>
        <w:t>overall incidence</w:t>
      </w:r>
      <w:r w:rsidR="00427468">
        <w:rPr>
          <w:kern w:val="0"/>
        </w:rPr>
        <w:t xml:space="preserve"> of </w:t>
      </w:r>
      <w:r>
        <w:rPr>
          <w:kern w:val="0"/>
        </w:rPr>
        <w:t>adverse events was significantly less with gemcitabine (38.8% vs 72.2%, P = 0.02). Three trials compared gemcitabine with intravesical bacille Calmette-Guerin (BCG) but a meta-analysis was not possible due to clinical heterogeneity. In untreated patients at intermediate risk</w:t>
      </w:r>
      <w:r w:rsidR="00427468">
        <w:rPr>
          <w:kern w:val="0"/>
        </w:rPr>
        <w:t xml:space="preserve"> of </w:t>
      </w:r>
      <w:r>
        <w:rPr>
          <w:kern w:val="0"/>
        </w:rPr>
        <w:t>recurrence (primary Ta-T1, no carcinoma in situ) one trial showed that gemcitabine</w:t>
      </w:r>
      <w:r w:rsidR="005853A9">
        <w:rPr>
          <w:kern w:val="0"/>
        </w:rPr>
        <w:t xml:space="preserve"> and </w:t>
      </w:r>
      <w:r>
        <w:rPr>
          <w:kern w:val="0"/>
        </w:rPr>
        <w:t>BCG were similar with respective recurrence rates</w:t>
      </w:r>
      <w:r w:rsidR="00427468">
        <w:rPr>
          <w:kern w:val="0"/>
        </w:rPr>
        <w:t xml:space="preserve"> of </w:t>
      </w:r>
      <w:r>
        <w:rPr>
          <w:kern w:val="0"/>
        </w:rPr>
        <w:t>25%</w:t>
      </w:r>
      <w:r w:rsidR="005853A9">
        <w:rPr>
          <w:kern w:val="0"/>
        </w:rPr>
        <w:t xml:space="preserve"> and </w:t>
      </w:r>
      <w:r>
        <w:rPr>
          <w:kern w:val="0"/>
        </w:rPr>
        <w:t>30% (P = 0.92)</w:t>
      </w:r>
      <w:r w:rsidR="005853A9">
        <w:rPr>
          <w:kern w:val="0"/>
        </w:rPr>
        <w:t xml:space="preserve"> and </w:t>
      </w:r>
      <w:r>
        <w:rPr>
          <w:kern w:val="0"/>
        </w:rPr>
        <w:t>overall progression equal. Dysuria (12.5% vs 45%, P &lt; 0.05)</w:t>
      </w:r>
      <w:r w:rsidR="005853A9">
        <w:rPr>
          <w:kern w:val="0"/>
        </w:rPr>
        <w:t xml:space="preserve"> and </w:t>
      </w:r>
      <w:r>
        <w:rPr>
          <w:kern w:val="0"/>
        </w:rPr>
        <w:t>frequency (10% vs 45%, P &lt; 0.001) were significantly less with gemcitabine. In a second trial</w:t>
      </w:r>
      <w:r w:rsidR="00427468">
        <w:rPr>
          <w:kern w:val="0"/>
        </w:rPr>
        <w:t xml:space="preserve"> of </w:t>
      </w:r>
      <w:r>
        <w:rPr>
          <w:kern w:val="0"/>
        </w:rPr>
        <w:t>high-risk patients</w:t>
      </w:r>
      <w:r w:rsidR="003A1917">
        <w:rPr>
          <w:kern w:val="0"/>
        </w:rPr>
        <w:t xml:space="preserve"> the </w:t>
      </w:r>
      <w:r>
        <w:rPr>
          <w:kern w:val="0"/>
        </w:rPr>
        <w:t>recurrence rate was significantly greater with gemcitabine compared with BCG (53.1% vs 28.1%, P = 0.04%)</w:t>
      </w:r>
      <w:r w:rsidR="005853A9">
        <w:rPr>
          <w:kern w:val="0"/>
        </w:rPr>
        <w:t xml:space="preserve"> and </w:t>
      </w:r>
      <w:r w:rsidR="003A1917">
        <w:rPr>
          <w:kern w:val="0"/>
        </w:rPr>
        <w:t xml:space="preserve">the </w:t>
      </w:r>
      <w:r>
        <w:rPr>
          <w:kern w:val="0"/>
        </w:rPr>
        <w:t>time to recurrence significantly shorter with gemcitabine (25.5 vs 39.4 months, P = 0.042). Finally, in a third trial</w:t>
      </w:r>
      <w:r w:rsidR="00427468">
        <w:rPr>
          <w:kern w:val="0"/>
        </w:rPr>
        <w:t xml:space="preserve"> of </w:t>
      </w:r>
      <w:r>
        <w:rPr>
          <w:kern w:val="0"/>
        </w:rPr>
        <w:t>high-risk patients who had failed previous intravesical BCG therapy, gemcitabine was associated with significantly fewer recurrences (52.5% vs 87.5%, P = 0.002)</w:t>
      </w:r>
      <w:r w:rsidR="005853A9">
        <w:rPr>
          <w:kern w:val="0"/>
        </w:rPr>
        <w:t xml:space="preserve"> and </w:t>
      </w:r>
      <w:r>
        <w:rPr>
          <w:kern w:val="0"/>
        </w:rPr>
        <w:t>a longer time to recurrence (3.9 vs 3.1 months, P = 0.9) compared with BCG. Progression rates were similar in both groups (33% vs 37.5%, P = 0.12) with no significant differences in grade 2 or 3 toxicities</w:t>
      </w:r>
      <w:r w:rsidR="00A37C1D">
        <w:rPr>
          <w:kern w:val="0"/>
        </w:rPr>
        <w:t>. The</w:t>
      </w:r>
      <w:r w:rsidR="003A1917">
        <w:rPr>
          <w:kern w:val="0"/>
        </w:rPr>
        <w:t xml:space="preserve"> </w:t>
      </w:r>
      <w:r>
        <w:rPr>
          <w:kern w:val="0"/>
        </w:rPr>
        <w:t>data from several observational studies confirm</w:t>
      </w:r>
      <w:r w:rsidR="003A1917">
        <w:rPr>
          <w:kern w:val="0"/>
        </w:rPr>
        <w:t xml:space="preserve"> the </w:t>
      </w:r>
      <w:r>
        <w:rPr>
          <w:kern w:val="0"/>
        </w:rPr>
        <w:t>pharmacology</w:t>
      </w:r>
      <w:r w:rsidR="00427468">
        <w:rPr>
          <w:kern w:val="0"/>
        </w:rPr>
        <w:t xml:space="preserve"> of </w:t>
      </w:r>
      <w:r>
        <w:rPr>
          <w:kern w:val="0"/>
        </w:rPr>
        <w:t>gemcitabine as an intravesical agent whilst others report</w:t>
      </w:r>
      <w:r w:rsidR="003A1917">
        <w:rPr>
          <w:kern w:val="0"/>
        </w:rPr>
        <w:t xml:space="preserve"> the </w:t>
      </w:r>
      <w:r>
        <w:rPr>
          <w:kern w:val="0"/>
        </w:rPr>
        <w:t>activity</w:t>
      </w:r>
      <w:r w:rsidR="00427468">
        <w:rPr>
          <w:kern w:val="0"/>
        </w:rPr>
        <w:t xml:space="preserve"> of </w:t>
      </w:r>
      <w:r>
        <w:rPr>
          <w:kern w:val="0"/>
        </w:rPr>
        <w:t>gemcitabine in terms</w:t>
      </w:r>
      <w:r w:rsidR="00427468">
        <w:rPr>
          <w:kern w:val="0"/>
        </w:rPr>
        <w:t xml:space="preserve"> of </w:t>
      </w:r>
      <w:r>
        <w:rPr>
          <w:kern w:val="0"/>
        </w:rPr>
        <w:t>tumour recurrence. However, these studies are inherently biased</w:t>
      </w:r>
      <w:r w:rsidR="005853A9">
        <w:rPr>
          <w:kern w:val="0"/>
        </w:rPr>
        <w:t xml:space="preserve"> and </w:t>
      </w:r>
      <w:r>
        <w:rPr>
          <w:kern w:val="0"/>
        </w:rPr>
        <w:t xml:space="preserve">these data should be interpreted appropriately. </w:t>
      </w:r>
      <w:r>
        <w:rPr>
          <w:kern w:val="0"/>
        </w:rPr>
        <w:lastRenderedPageBreak/>
        <w:t>In conclusion a single study suggests that in NMIBC multiple doses</w:t>
      </w:r>
      <w:r w:rsidR="00427468">
        <w:rPr>
          <w:kern w:val="0"/>
        </w:rPr>
        <w:t xml:space="preserve"> of </w:t>
      </w:r>
      <w:r>
        <w:rPr>
          <w:kern w:val="0"/>
        </w:rPr>
        <w:t>intravesical gemcitabine reduce tumour recurrences to a greater extent than a single dose. In contrast, a single dose immediately after surgery is ineffective based on one study. Gemcitabine may be more active than MMC with a lower toxicity profile. Compared with intravesical BCG therapy, gemcitabine had similar effects in intermediate-risk patients, less effective in high-risk patients</w:t>
      </w:r>
      <w:r w:rsidR="005853A9">
        <w:rPr>
          <w:kern w:val="0"/>
        </w:rPr>
        <w:t xml:space="preserve"> and </w:t>
      </w:r>
      <w:r>
        <w:rPr>
          <w:kern w:val="0"/>
        </w:rPr>
        <w:t>superior in BCG-refractory patients. However, each randomised trial identified represents a different clinical setting in NMIBC</w:t>
      </w:r>
      <w:r w:rsidR="005853A9">
        <w:rPr>
          <w:kern w:val="0"/>
        </w:rPr>
        <w:t xml:space="preserve"> and </w:t>
      </w:r>
      <w:r>
        <w:rPr>
          <w:kern w:val="0"/>
        </w:rPr>
        <w:t>therefore</w:t>
      </w:r>
      <w:r w:rsidR="003A1917">
        <w:rPr>
          <w:kern w:val="0"/>
        </w:rPr>
        <w:t xml:space="preserve"> the </w:t>
      </w:r>
      <w:r>
        <w:rPr>
          <w:kern w:val="0"/>
        </w:rPr>
        <w:t>evidence base is limited. Consequently these data should be interpreted with caution until further corroborative evidence becomes available. Intravesical gemcitabine is a promising drug that may add to</w:t>
      </w:r>
      <w:r w:rsidR="003A1917">
        <w:rPr>
          <w:kern w:val="0"/>
        </w:rPr>
        <w:t xml:space="preserve"> the </w:t>
      </w:r>
      <w:r>
        <w:rPr>
          <w:kern w:val="0"/>
        </w:rPr>
        <w:t>urologist</w:t>
      </w:r>
      <w:r w:rsidR="00700038">
        <w:rPr>
          <w:kern w:val="0"/>
        </w:rPr>
        <w:t>’</w:t>
      </w:r>
      <w:r>
        <w:rPr>
          <w:kern w:val="0"/>
        </w:rPr>
        <w:t>s options in treating patients with NMIBC.</w:t>
      </w:r>
    </w:p>
    <w:p w:rsidR="006002D3" w:rsidRDefault="006002D3" w:rsidP="006002D3">
      <w:pPr>
        <w:pStyle w:val="a3"/>
        <w:rPr>
          <w:kern w:val="0"/>
        </w:rPr>
      </w:pPr>
      <w:r>
        <w:rPr>
          <w:kern w:val="0"/>
        </w:rPr>
        <w:t xml:space="preserve">Keywords: Adverse Events, Authors, Bacillus-Calmette-Guerin, Bladder, Cancer, Carcinoma, Chemotherapy, Cochrane, Design, Differences, Disease, Disease Progression, Drug, Effectiveness, Efficacy, Embase, Frequency, Guidelines, High-Risk Patients, Ii Marker Lesion, Immunotherapy, Incidence, Instillation, Intermediate-Risk, Interventions, Intravesical Gemcitabine, Literature, </w:t>
      </w:r>
      <w:r w:rsidR="00D5664A">
        <w:rPr>
          <w:kern w:val="0"/>
        </w:rPr>
        <w:t>MEDLINE</w:t>
      </w:r>
      <w:r>
        <w:rPr>
          <w:kern w:val="0"/>
        </w:rPr>
        <w:t xml:space="preserve">, Meta Analysis, Meta-Analysis, Multicenter, Non-Muscle Invasive Bladder Cancer (Nmibc), Observational, Observational Studies, Outcome, Outcomes, Patients, Phase-II, Primary, Profile, Progression, Randomized-Trials, Ratio, Recurrence, Review, Risk, Science, Scopus, Statistical, Surgery, Survival, Systematic, Systematic Review, Systematic Reviews, Therapy, Toxicity, Transitional-Cell Carcinoma, Transurethral Resection, Treatment,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111E21" w:rsidRDefault="00111E21" w:rsidP="00111E21">
      <w:pPr>
        <w:pStyle w:val="a3"/>
        <w:rPr>
          <w:kern w:val="0"/>
          <w:szCs w:val="24"/>
        </w:rPr>
      </w:pPr>
      <w:r>
        <w:rPr>
          <w:rFonts w:hint="eastAsia"/>
          <w:kern w:val="0"/>
          <w:szCs w:val="24"/>
        </w:rPr>
        <w:t xml:space="preserve">? </w:t>
      </w:r>
      <w:r>
        <w:rPr>
          <w:kern w:val="0"/>
          <w:szCs w:val="24"/>
        </w:rPr>
        <w:t>Ding, H., Tian, J.Q., Du, W., Zhang, L.Y., Wang, H.Z.</w:t>
      </w:r>
      <w:r w:rsidR="005853A9">
        <w:rPr>
          <w:kern w:val="0"/>
          <w:szCs w:val="24"/>
        </w:rPr>
        <w:t xml:space="preserve"> and </w:t>
      </w:r>
      <w:r>
        <w:rPr>
          <w:kern w:val="0"/>
          <w:szCs w:val="24"/>
        </w:rPr>
        <w:t>Wang, Z.P. (2012), Open non-microsurgical, laparoscopic or open microsurgical varicocelectomy for male infertility: A meta-analysis</w:t>
      </w:r>
      <w:r w:rsidR="00427468">
        <w:rPr>
          <w:kern w:val="0"/>
          <w:szCs w:val="24"/>
        </w:rPr>
        <w:t xml:space="preserve"> of </w:t>
      </w:r>
      <w:r>
        <w:rPr>
          <w:kern w:val="0"/>
          <w:szCs w:val="24"/>
        </w:rPr>
        <w:t xml:space="preserve">randomized controlled trials. </w:t>
      </w:r>
      <w:r>
        <w:rPr>
          <w:i/>
          <w:iCs/>
          <w:kern w:val="0"/>
          <w:szCs w:val="24"/>
        </w:rPr>
        <w:t>BJU International</w:t>
      </w:r>
      <w:r>
        <w:rPr>
          <w:kern w:val="0"/>
          <w:szCs w:val="24"/>
        </w:rPr>
        <w:t xml:space="preserve">, </w:t>
      </w:r>
      <w:r>
        <w:rPr>
          <w:b/>
          <w:bCs/>
          <w:kern w:val="0"/>
          <w:szCs w:val="24"/>
        </w:rPr>
        <w:t>110</w:t>
      </w:r>
      <w:r>
        <w:rPr>
          <w:kern w:val="0"/>
          <w:szCs w:val="24"/>
        </w:rPr>
        <w:t xml:space="preserve"> (10), 1536-1542.</w:t>
      </w:r>
    </w:p>
    <w:p w:rsidR="00111E21" w:rsidRDefault="00111E21" w:rsidP="00111E21">
      <w:pPr>
        <w:pStyle w:val="a3"/>
        <w:rPr>
          <w:kern w:val="0"/>
        </w:rPr>
      </w:pPr>
      <w:r>
        <w:rPr>
          <w:rFonts w:hint="eastAsia"/>
          <w:kern w:val="0"/>
        </w:rPr>
        <w:t xml:space="preserve">Full Text: </w:t>
      </w:r>
      <w:hyperlink r:id="rId1531" w:history="1">
        <w:r w:rsidRPr="00DE6C8F">
          <w:rPr>
            <w:rStyle w:val="a5"/>
            <w:kern w:val="0"/>
          </w:rPr>
          <w:t>2012\BJU Int110, 1536.pdf</w:t>
        </w:r>
      </w:hyperlink>
    </w:p>
    <w:p w:rsidR="00111E21" w:rsidRDefault="00111E21" w:rsidP="00111E21">
      <w:pPr>
        <w:pStyle w:val="a3"/>
        <w:rPr>
          <w:kern w:val="0"/>
          <w:szCs w:val="24"/>
        </w:rPr>
      </w:pPr>
      <w:r>
        <w:rPr>
          <w:kern w:val="0"/>
          <w:szCs w:val="24"/>
        </w:rPr>
        <w:t>Abstract: OBJECTIVE To compare various techniques</w:t>
      </w:r>
      <w:r w:rsidR="00427468">
        <w:rPr>
          <w:kern w:val="0"/>
          <w:szCs w:val="24"/>
        </w:rPr>
        <w:t xml:space="preserve"> of </w:t>
      </w:r>
      <w:r>
        <w:rPr>
          <w:kern w:val="0"/>
          <w:szCs w:val="24"/>
        </w:rPr>
        <w:t>open non-microsurgical, laparoscopic or microsurgical varicocelectomy procedures to describe</w:t>
      </w:r>
      <w:r w:rsidR="003A1917">
        <w:rPr>
          <w:kern w:val="0"/>
          <w:szCs w:val="24"/>
        </w:rPr>
        <w:t xml:space="preserve"> the </w:t>
      </w:r>
      <w:r>
        <w:rPr>
          <w:kern w:val="0"/>
          <w:szCs w:val="24"/>
        </w:rPr>
        <w:t>best method for treating varicocele in infertile men. PATIENTS</w:t>
      </w:r>
      <w:r w:rsidR="005853A9">
        <w:rPr>
          <w:kern w:val="0"/>
          <w:szCs w:val="24"/>
        </w:rPr>
        <w:t xml:space="preserve"> and </w:t>
      </w:r>
      <w:r>
        <w:rPr>
          <w:kern w:val="0"/>
          <w:szCs w:val="24"/>
        </w:rPr>
        <w:t>METHODS We searched PubMed, Embase,</w:t>
      </w:r>
      <w:r w:rsidR="003A1917">
        <w:rPr>
          <w:kern w:val="0"/>
          <w:szCs w:val="24"/>
        </w:rPr>
        <w:t xml:space="preserve"> the </w:t>
      </w:r>
      <w:r>
        <w:rPr>
          <w:kern w:val="0"/>
          <w:szCs w:val="24"/>
        </w:rPr>
        <w:t>Cochrane Library,</w:t>
      </w:r>
      <w:r w:rsidR="003A1917">
        <w:rPr>
          <w:kern w:val="0"/>
          <w:szCs w:val="24"/>
        </w:rPr>
        <w:t xml:space="preserve"> the </w:t>
      </w:r>
      <w:r>
        <w:rPr>
          <w:kern w:val="0"/>
          <w:szCs w:val="24"/>
        </w:rPr>
        <w:t>Institute for Scientific Information (ISI) - Science Citation Index</w:t>
      </w:r>
      <w:r w:rsidR="005853A9">
        <w:rPr>
          <w:kern w:val="0"/>
          <w:szCs w:val="24"/>
        </w:rPr>
        <w:t xml:space="preserve"> and </w:t>
      </w:r>
      <w:r w:rsidR="003A1917">
        <w:rPr>
          <w:kern w:val="0"/>
          <w:szCs w:val="24"/>
        </w:rPr>
        <w:t xml:space="preserve">the </w:t>
      </w:r>
      <w:r>
        <w:rPr>
          <w:kern w:val="0"/>
          <w:szCs w:val="24"/>
        </w:rPr>
        <w:t>Chinese Biomedicine Literature Database up to June 2011. Only randomized controlled trials (RCTs) were included in</w:t>
      </w:r>
      <w:r w:rsidR="003A1917">
        <w:rPr>
          <w:kern w:val="0"/>
          <w:szCs w:val="24"/>
        </w:rPr>
        <w:t xml:space="preserve"> the </w:t>
      </w:r>
      <w:r>
        <w:rPr>
          <w:kern w:val="0"/>
          <w:szCs w:val="24"/>
        </w:rPr>
        <w:t>present study</w:t>
      </w:r>
      <w:r w:rsidR="00A37C1D">
        <w:rPr>
          <w:kern w:val="0"/>
          <w:szCs w:val="24"/>
        </w:rPr>
        <w:t>. The</w:t>
      </w:r>
      <w:r w:rsidR="003A1917">
        <w:rPr>
          <w:kern w:val="0"/>
          <w:szCs w:val="24"/>
        </w:rPr>
        <w:t xml:space="preserve"> </w:t>
      </w:r>
      <w:r>
        <w:rPr>
          <w:kern w:val="0"/>
          <w:szCs w:val="24"/>
        </w:rPr>
        <w:t>outcome measures assessed were pregnancy rate (primary</w:t>
      </w:r>
      <w:r w:rsidR="00F42EAC">
        <w:rPr>
          <w:kern w:val="0"/>
          <w:szCs w:val="24"/>
        </w:rPr>
        <w:t>), The</w:t>
      </w:r>
      <w:r w:rsidR="003A1917">
        <w:rPr>
          <w:kern w:val="0"/>
          <w:szCs w:val="24"/>
        </w:rPr>
        <w:t xml:space="preserve"> </w:t>
      </w:r>
      <w:r>
        <w:rPr>
          <w:kern w:val="0"/>
          <w:szCs w:val="24"/>
        </w:rPr>
        <w:t>incidence</w:t>
      </w:r>
      <w:r w:rsidR="00427468">
        <w:rPr>
          <w:kern w:val="0"/>
          <w:szCs w:val="24"/>
        </w:rPr>
        <w:t xml:space="preserve"> of </w:t>
      </w:r>
      <w:r>
        <w:rPr>
          <w:kern w:val="0"/>
          <w:szCs w:val="24"/>
        </w:rPr>
        <w:t>recurrent varicocele, time to return to work,</w:t>
      </w:r>
      <w:r w:rsidR="003A1917">
        <w:rPr>
          <w:kern w:val="0"/>
          <w:szCs w:val="24"/>
        </w:rPr>
        <w:t xml:space="preserve"> the </w:t>
      </w:r>
      <w:r>
        <w:rPr>
          <w:kern w:val="0"/>
          <w:szCs w:val="24"/>
        </w:rPr>
        <w:t>incidence</w:t>
      </w:r>
      <w:r w:rsidR="00427468">
        <w:rPr>
          <w:kern w:val="0"/>
          <w:szCs w:val="24"/>
        </w:rPr>
        <w:t xml:space="preserve"> of </w:t>
      </w:r>
      <w:r>
        <w:rPr>
          <w:kern w:val="0"/>
          <w:szCs w:val="24"/>
        </w:rPr>
        <w:t>postoperative hydrocele</w:t>
      </w:r>
      <w:r w:rsidR="005853A9">
        <w:rPr>
          <w:kern w:val="0"/>
          <w:szCs w:val="24"/>
        </w:rPr>
        <w:t xml:space="preserve"> and </w:t>
      </w:r>
      <w:r>
        <w:rPr>
          <w:kern w:val="0"/>
          <w:szCs w:val="24"/>
        </w:rPr>
        <w:t>operation duration (secondary). Two authors independently assessed</w:t>
      </w:r>
      <w:r w:rsidR="003A1917">
        <w:rPr>
          <w:kern w:val="0"/>
          <w:szCs w:val="24"/>
        </w:rPr>
        <w:t xml:space="preserve"> the </w:t>
      </w:r>
      <w:r>
        <w:rPr>
          <w:kern w:val="0"/>
          <w:szCs w:val="24"/>
        </w:rPr>
        <w:t>study quality</w:t>
      </w:r>
      <w:r w:rsidR="005853A9">
        <w:rPr>
          <w:kern w:val="0"/>
          <w:szCs w:val="24"/>
        </w:rPr>
        <w:t xml:space="preserve"> and </w:t>
      </w:r>
      <w:r>
        <w:rPr>
          <w:kern w:val="0"/>
          <w:szCs w:val="24"/>
        </w:rPr>
        <w:t>extracted data. All data were analysed using Review Manager (version 5.0). RESULTS</w:t>
      </w:r>
      <w:r w:rsidR="003A1917">
        <w:rPr>
          <w:kern w:val="0"/>
          <w:szCs w:val="24"/>
        </w:rPr>
        <w:t xml:space="preserve"> the </w:t>
      </w:r>
      <w:r>
        <w:rPr>
          <w:kern w:val="0"/>
          <w:szCs w:val="24"/>
        </w:rPr>
        <w:t>present study included four randomized controlled trials comprising 1,015 patients in total. At</w:t>
      </w:r>
      <w:r w:rsidR="003A1917">
        <w:rPr>
          <w:kern w:val="0"/>
          <w:szCs w:val="24"/>
        </w:rPr>
        <w:t xml:space="preserve"> the </w:t>
      </w:r>
      <w:r>
        <w:rPr>
          <w:kern w:val="0"/>
          <w:szCs w:val="24"/>
        </w:rPr>
        <w:t xml:space="preserve">follow-up </w:t>
      </w:r>
      <w:r>
        <w:rPr>
          <w:kern w:val="0"/>
          <w:szCs w:val="24"/>
        </w:rPr>
        <w:lastRenderedPageBreak/>
        <w:t>endpoints, patients who had undergone microsurgery showed a significant advantage over those who had undergone open varicocelectomy in terms</w:t>
      </w:r>
      <w:r w:rsidR="00427468">
        <w:rPr>
          <w:kern w:val="0"/>
          <w:szCs w:val="24"/>
        </w:rPr>
        <w:t xml:space="preserve"> of </w:t>
      </w:r>
      <w:r>
        <w:rPr>
          <w:kern w:val="0"/>
          <w:szCs w:val="24"/>
        </w:rPr>
        <w:t>pregnancy rate (odds ratio [OR] = 1.63, 95% confidence interval [CI] : 1.19-2.23]</w:t>
      </w:r>
      <w:r w:rsidR="00A37C1D">
        <w:rPr>
          <w:kern w:val="0"/>
          <w:szCs w:val="24"/>
        </w:rPr>
        <w:t>. The</w:t>
      </w:r>
      <w:r>
        <w:rPr>
          <w:kern w:val="0"/>
          <w:szCs w:val="24"/>
        </w:rPr>
        <w:t>re was no significant difference between laparoscopic</w:t>
      </w:r>
      <w:r w:rsidR="005853A9">
        <w:rPr>
          <w:kern w:val="0"/>
          <w:szCs w:val="24"/>
        </w:rPr>
        <w:t xml:space="preserve"> and </w:t>
      </w:r>
      <w:r>
        <w:rPr>
          <w:kern w:val="0"/>
          <w:szCs w:val="24"/>
        </w:rPr>
        <w:t>open varicocelectomy (OR = 1.11, 95% CI: 0.65-1.88) or between microsurgery</w:t>
      </w:r>
      <w:r w:rsidR="005853A9">
        <w:rPr>
          <w:kern w:val="0"/>
          <w:szCs w:val="24"/>
        </w:rPr>
        <w:t xml:space="preserve"> and </w:t>
      </w:r>
      <w:r>
        <w:rPr>
          <w:kern w:val="0"/>
          <w:szCs w:val="24"/>
        </w:rPr>
        <w:t>laparoscopic varicocelectomy (OR = 1.37, 95% CI: 0.84-2.24)</w:t>
      </w:r>
      <w:r w:rsidR="00A37C1D">
        <w:rPr>
          <w:kern w:val="0"/>
          <w:szCs w:val="24"/>
        </w:rPr>
        <w:t>. The</w:t>
      </w:r>
      <w:r w:rsidR="003A1917">
        <w:rPr>
          <w:kern w:val="0"/>
          <w:szCs w:val="24"/>
        </w:rPr>
        <w:t xml:space="preserve"> </w:t>
      </w:r>
      <w:r>
        <w:rPr>
          <w:kern w:val="0"/>
          <w:szCs w:val="24"/>
        </w:rPr>
        <w:t>incidences</w:t>
      </w:r>
      <w:r w:rsidR="00427468">
        <w:rPr>
          <w:kern w:val="0"/>
          <w:szCs w:val="24"/>
        </w:rPr>
        <w:t xml:space="preserve"> of </w:t>
      </w:r>
      <w:r>
        <w:rPr>
          <w:kern w:val="0"/>
          <w:szCs w:val="24"/>
        </w:rPr>
        <w:t>recurrent varicocele</w:t>
      </w:r>
      <w:r w:rsidR="005853A9">
        <w:rPr>
          <w:kern w:val="0"/>
          <w:szCs w:val="24"/>
        </w:rPr>
        <w:t xml:space="preserve"> and </w:t>
      </w:r>
      <w:r>
        <w:rPr>
          <w:kern w:val="0"/>
          <w:szCs w:val="24"/>
        </w:rPr>
        <w:t>postoperative hydrocele were significantly lower after microsurgery than after laparoscopic or open varicocelectomy</w:t>
      </w:r>
      <w:r w:rsidR="00A37C1D">
        <w:rPr>
          <w:kern w:val="0"/>
          <w:szCs w:val="24"/>
        </w:rPr>
        <w:t>. The</w:t>
      </w:r>
      <w:r w:rsidR="003A1917">
        <w:rPr>
          <w:kern w:val="0"/>
          <w:szCs w:val="24"/>
        </w:rPr>
        <w:t xml:space="preserve"> </w:t>
      </w:r>
      <w:r>
        <w:rPr>
          <w:kern w:val="0"/>
          <w:szCs w:val="24"/>
        </w:rPr>
        <w:t>time to return to work after microsurgery</w:t>
      </w:r>
      <w:r w:rsidR="005853A9">
        <w:rPr>
          <w:kern w:val="0"/>
          <w:szCs w:val="24"/>
        </w:rPr>
        <w:t xml:space="preserve"> and </w:t>
      </w:r>
      <w:r>
        <w:rPr>
          <w:kern w:val="0"/>
          <w:szCs w:val="24"/>
        </w:rPr>
        <w:t>laparoscopic varicocelectomy was significantly shorter than that after open varicocelectomy</w:t>
      </w:r>
      <w:r w:rsidR="00A37C1D">
        <w:rPr>
          <w:kern w:val="0"/>
          <w:szCs w:val="24"/>
        </w:rPr>
        <w:t>. The</w:t>
      </w:r>
      <w:r w:rsidR="003A1917">
        <w:rPr>
          <w:kern w:val="0"/>
          <w:szCs w:val="24"/>
        </w:rPr>
        <w:t xml:space="preserve"> </w:t>
      </w:r>
      <w:r>
        <w:rPr>
          <w:kern w:val="0"/>
          <w:szCs w:val="24"/>
        </w:rPr>
        <w:t>operation duration</w:t>
      </w:r>
      <w:r w:rsidR="00427468">
        <w:rPr>
          <w:kern w:val="0"/>
          <w:szCs w:val="24"/>
        </w:rPr>
        <w:t xml:space="preserve"> of </w:t>
      </w:r>
      <w:r>
        <w:rPr>
          <w:kern w:val="0"/>
          <w:szCs w:val="24"/>
        </w:rPr>
        <w:t>microsurgical varicocelectomy was longer than that</w:t>
      </w:r>
      <w:r w:rsidR="00427468">
        <w:rPr>
          <w:kern w:val="0"/>
          <w:szCs w:val="24"/>
        </w:rPr>
        <w:t xml:space="preserve"> of </w:t>
      </w:r>
      <w:r>
        <w:rPr>
          <w:kern w:val="0"/>
          <w:szCs w:val="24"/>
        </w:rPr>
        <w:t>laparoscopic or open varicocelectomy. CONCLUSIONS Current evidence indicates that microsurgical varicocelectomy is</w:t>
      </w:r>
      <w:r w:rsidR="003A1917">
        <w:rPr>
          <w:kern w:val="0"/>
          <w:szCs w:val="24"/>
        </w:rPr>
        <w:t xml:space="preserve"> the </w:t>
      </w:r>
      <w:r>
        <w:rPr>
          <w:kern w:val="0"/>
          <w:szCs w:val="24"/>
        </w:rPr>
        <w:t>most effective</w:t>
      </w:r>
      <w:r w:rsidR="005853A9">
        <w:rPr>
          <w:kern w:val="0"/>
          <w:szCs w:val="24"/>
        </w:rPr>
        <w:t xml:space="preserve"> and </w:t>
      </w:r>
      <w:r>
        <w:rPr>
          <w:kern w:val="0"/>
          <w:szCs w:val="24"/>
        </w:rPr>
        <w:t>least morbid method among</w:t>
      </w:r>
      <w:r w:rsidR="003A1917">
        <w:rPr>
          <w:kern w:val="0"/>
          <w:szCs w:val="24"/>
        </w:rPr>
        <w:t xml:space="preserve"> the </w:t>
      </w:r>
      <w:r>
        <w:rPr>
          <w:kern w:val="0"/>
          <w:szCs w:val="24"/>
        </w:rPr>
        <w:t>three varicocelectomy techniques for treating varicocele in infertile men. More high-quality, multicentre, long-term RCTs are required to verify</w:t>
      </w:r>
      <w:r w:rsidR="003A1917">
        <w:rPr>
          <w:kern w:val="0"/>
          <w:szCs w:val="24"/>
        </w:rPr>
        <w:t xml:space="preserve"> the </w:t>
      </w:r>
      <w:r>
        <w:rPr>
          <w:kern w:val="0"/>
          <w:szCs w:val="24"/>
        </w:rPr>
        <w:t>findings.</w:t>
      </w:r>
    </w:p>
    <w:p w:rsidR="00111E21" w:rsidRDefault="00111E21" w:rsidP="00111E21">
      <w:pPr>
        <w:pStyle w:val="a3"/>
        <w:rPr>
          <w:kern w:val="0"/>
          <w:szCs w:val="24"/>
        </w:rPr>
      </w:pPr>
      <w:r>
        <w:rPr>
          <w:kern w:val="0"/>
          <w:szCs w:val="24"/>
        </w:rPr>
        <w:t>Keywords: Authors, Chinese, Citation, Confidence, Data, Duration, Embolization, Evidence, Fertility, Follow-Up, Incidence, Infertility, Institute For Scientific Information, Interval</w:t>
      </w:r>
      <w:r w:rsidR="00D5664A">
        <w:rPr>
          <w:kern w:val="0"/>
          <w:szCs w:val="24"/>
        </w:rPr>
        <w:t>, ISI,</w:t>
      </w:r>
      <w:r>
        <w:rPr>
          <w:kern w:val="0"/>
          <w:szCs w:val="24"/>
        </w:rPr>
        <w:t xml:space="preserve"> Laparoscopic, Ligation, Literature, Long Term, Long-Term, Male, Male Infertile, Men, Meta-Analysis, Metaanalysis, Methods, Nov, Odds Ratio, Open, Operation, Outcome, Outcome Measures, Patient, Patients, Postoperative, Pregnancy, Pregnancy Outcomes, Pregnancy Rate, Primary, Procedures, Pubmed, Quality, Randomized, Randomized Controlled Trials, Recurrent, Recurrent Varicocele, Repair, Review, Science, Science Citation Index, Subinguinal Microscopic Varicocelectomy, Surgery, Techniques, Varicocelectomy, Version, Work</w:t>
      </w:r>
    </w:p>
    <w:p w:rsidR="00B93AAC" w:rsidRDefault="00B93AAC" w:rsidP="00B93AAC">
      <w:pPr>
        <w:pStyle w:val="a3"/>
        <w:rPr>
          <w:kern w:val="0"/>
        </w:rPr>
      </w:pPr>
      <w:r>
        <w:rPr>
          <w:rFonts w:hint="eastAsia"/>
          <w:kern w:val="0"/>
        </w:rPr>
        <w:t xml:space="preserve">? </w:t>
      </w:r>
      <w:r>
        <w:rPr>
          <w:kern w:val="0"/>
        </w:rPr>
        <w:t>Autorino, R., Yakoubi, R., White, W.M., Gettman, M., De Sio, M., Quattrone, C., Di Palma, C., Izzo, A., Correia-Pinto, J., Kaouk, J.H.</w:t>
      </w:r>
      <w:r w:rsidR="005853A9">
        <w:rPr>
          <w:kern w:val="0"/>
        </w:rPr>
        <w:t xml:space="preserve"> and </w:t>
      </w:r>
      <w:r>
        <w:rPr>
          <w:kern w:val="0"/>
        </w:rPr>
        <w:t xml:space="preserve">Lima, E. (2013), Natural orifice transluminal endoscopic surgery (NOTES): Where are we going? A bibliometric assessment. </w:t>
      </w:r>
      <w:r>
        <w:rPr>
          <w:i/>
          <w:iCs/>
          <w:kern w:val="0"/>
        </w:rPr>
        <w:t>BJU International</w:t>
      </w:r>
      <w:r>
        <w:rPr>
          <w:kern w:val="0"/>
        </w:rPr>
        <w:t xml:space="preserve">, </w:t>
      </w:r>
      <w:r>
        <w:rPr>
          <w:b/>
          <w:bCs/>
          <w:kern w:val="0"/>
        </w:rPr>
        <w:t>111</w:t>
      </w:r>
      <w:r>
        <w:rPr>
          <w:kern w:val="0"/>
        </w:rPr>
        <w:t xml:space="preserve"> (1), 11-16.</w:t>
      </w:r>
    </w:p>
    <w:p w:rsidR="00B93AAC" w:rsidRDefault="00B93AAC" w:rsidP="00B93AAC">
      <w:pPr>
        <w:pStyle w:val="a3"/>
        <w:rPr>
          <w:kern w:val="0"/>
        </w:rPr>
      </w:pPr>
      <w:r>
        <w:rPr>
          <w:rFonts w:hint="eastAsia"/>
          <w:kern w:val="0"/>
        </w:rPr>
        <w:t xml:space="preserve">Full Text: </w:t>
      </w:r>
      <w:hyperlink r:id="rId1532" w:history="1">
        <w:r w:rsidRPr="00B93AAC">
          <w:rPr>
            <w:rStyle w:val="a5"/>
            <w:kern w:val="0"/>
          </w:rPr>
          <w:t>2013\BJU Int111, 11.pdf</w:t>
        </w:r>
      </w:hyperlink>
    </w:p>
    <w:p w:rsidR="00B93AAC" w:rsidRDefault="00B93AAC" w:rsidP="00B93AAC">
      <w:pPr>
        <w:pStyle w:val="a3"/>
        <w:rPr>
          <w:kern w:val="0"/>
        </w:rPr>
      </w:pPr>
      <w:r>
        <w:rPr>
          <w:kern w:val="0"/>
        </w:rPr>
        <w:t>Abstract: The aim</w:t>
      </w:r>
      <w:r w:rsidR="00427468">
        <w:rPr>
          <w:kern w:val="0"/>
        </w:rPr>
        <w:t xml:space="preserve"> of </w:t>
      </w:r>
      <w:r>
        <w:rPr>
          <w:kern w:val="0"/>
        </w:rPr>
        <w:t>this study was to analyse natural orifice transluminal endoscopic surgery (NOTES)-related publications over the last 5 years. A systematic literature search was done to retrieve publications related to NOTES from 2006 to 2011</w:t>
      </w:r>
      <w:r w:rsidR="00A37C1D">
        <w:rPr>
          <w:kern w:val="0"/>
        </w:rPr>
        <w:t>. The</w:t>
      </w:r>
      <w:r>
        <w:rPr>
          <w:kern w:val="0"/>
        </w:rPr>
        <w:t xml:space="preserve"> following variables were recorded: year</w:t>
      </w:r>
      <w:r w:rsidR="00427468">
        <w:rPr>
          <w:kern w:val="0"/>
        </w:rPr>
        <w:t xml:space="preserve"> of </w:t>
      </w:r>
      <w:r>
        <w:rPr>
          <w:kern w:val="0"/>
        </w:rPr>
        <w:t>publication; article type; study design; setting; Journal Citation Reports (R) journal category; authors area</w:t>
      </w:r>
      <w:r w:rsidR="00427468">
        <w:rPr>
          <w:kern w:val="0"/>
        </w:rPr>
        <w:t xml:space="preserve"> of </w:t>
      </w:r>
      <w:r>
        <w:rPr>
          <w:kern w:val="0"/>
        </w:rPr>
        <w:t>surgical speciality; geographic area</w:t>
      </w:r>
      <w:r w:rsidR="00427468">
        <w:rPr>
          <w:kern w:val="0"/>
        </w:rPr>
        <w:t xml:space="preserve"> of </w:t>
      </w:r>
      <w:r>
        <w:rPr>
          <w:kern w:val="0"/>
        </w:rPr>
        <w:t>origin; surgical procedure; NOTES technique; NOTES access route; number</w:t>
      </w:r>
      <w:r w:rsidR="00427468">
        <w:rPr>
          <w:kern w:val="0"/>
        </w:rPr>
        <w:t xml:space="preserve"> of </w:t>
      </w:r>
      <w:r>
        <w:rPr>
          <w:kern w:val="0"/>
        </w:rPr>
        <w:t>clinical cases. A time-trend analysis was performed by comparing early (2006-2008)</w:t>
      </w:r>
      <w:r w:rsidR="005853A9">
        <w:rPr>
          <w:kern w:val="0"/>
        </w:rPr>
        <w:t xml:space="preserve"> and </w:t>
      </w:r>
      <w:r>
        <w:rPr>
          <w:kern w:val="0"/>
        </w:rPr>
        <w:t>late (2009-2011) study periods. Overall, 644 publications were included in the analysis</w:t>
      </w:r>
      <w:r w:rsidR="005853A9">
        <w:rPr>
          <w:kern w:val="0"/>
        </w:rPr>
        <w:t xml:space="preserve"> and </w:t>
      </w:r>
      <w:r>
        <w:rPr>
          <w:kern w:val="0"/>
        </w:rPr>
        <w:t>most papers were found in general surgery journals (50.9%). Studies were most frequently clinical series (43.9%)</w:t>
      </w:r>
      <w:r w:rsidR="005853A9">
        <w:rPr>
          <w:kern w:val="0"/>
        </w:rPr>
        <w:t xml:space="preserve"> and </w:t>
      </w:r>
      <w:r>
        <w:rPr>
          <w:kern w:val="0"/>
        </w:rPr>
        <w:lastRenderedPageBreak/>
        <w:t>animal experimental (48%), with the articles focusing primarily on cholecystectomy, access creation</w:t>
      </w:r>
      <w:r w:rsidR="005853A9">
        <w:rPr>
          <w:kern w:val="0"/>
        </w:rPr>
        <w:t xml:space="preserve"> and </w:t>
      </w:r>
      <w:r>
        <w:rPr>
          <w:kern w:val="0"/>
        </w:rPr>
        <w:t>closure,</w:t>
      </w:r>
      <w:r w:rsidR="005853A9">
        <w:rPr>
          <w:kern w:val="0"/>
        </w:rPr>
        <w:t xml:space="preserve"> and </w:t>
      </w:r>
      <w:r>
        <w:rPr>
          <w:kern w:val="0"/>
        </w:rPr>
        <w:t>peritoneoscopy. Pure NOTES techniques were performed in most</w:t>
      </w:r>
      <w:r w:rsidR="00427468">
        <w:rPr>
          <w:kern w:val="0"/>
        </w:rPr>
        <w:t xml:space="preserve"> of </w:t>
      </w:r>
      <w:r>
        <w:rPr>
          <w:kern w:val="0"/>
        </w:rPr>
        <w:t>the published reports (85%) with the remaining cases being hybrid NOTES (7.4%)</w:t>
      </w:r>
      <w:r w:rsidR="005853A9">
        <w:rPr>
          <w:kern w:val="0"/>
        </w:rPr>
        <w:t xml:space="preserve"> and </w:t>
      </w:r>
      <w:r>
        <w:rPr>
          <w:kern w:val="0"/>
        </w:rPr>
        <w:t>NOTES-assisted procedures (6.1%)</w:t>
      </w:r>
      <w:r w:rsidR="00A37C1D">
        <w:rPr>
          <w:kern w:val="0"/>
        </w:rPr>
        <w:t>. The</w:t>
      </w:r>
      <w:r>
        <w:rPr>
          <w:kern w:val="0"/>
        </w:rPr>
        <w:t xml:space="preserve"> access routes included transgastric (52.5%), transcolonic (12.3%), transvesical (12.5%), transvaginal (10.5%),</w:t>
      </w:r>
      <w:r w:rsidR="005853A9">
        <w:rPr>
          <w:kern w:val="0"/>
        </w:rPr>
        <w:t xml:space="preserve"> and </w:t>
      </w:r>
      <w:r>
        <w:rPr>
          <w:kern w:val="0"/>
        </w:rPr>
        <w:t>combined (12.3%). From the early to the late period, there was a significant increase in the number</w:t>
      </w:r>
      <w:r w:rsidR="00427468">
        <w:rPr>
          <w:kern w:val="0"/>
        </w:rPr>
        <w:t xml:space="preserve"> of </w:t>
      </w:r>
      <w:r>
        <w:rPr>
          <w:kern w:val="0"/>
        </w:rPr>
        <w:t>randomised controlled trials (5.6% vs 7.2%) or non-randomised but comparative studies (5.6% vs 22.9%) (P &lt; 0.001)</w:t>
      </w:r>
      <w:r w:rsidR="005853A9">
        <w:rPr>
          <w:kern w:val="0"/>
        </w:rPr>
        <w:t xml:space="preserve"> and </w:t>
      </w:r>
      <w:r>
        <w:rPr>
          <w:kern w:val="0"/>
        </w:rPr>
        <w:t>there was also a significant increase in the number</w:t>
      </w:r>
      <w:r w:rsidR="00427468">
        <w:rPr>
          <w:kern w:val="0"/>
        </w:rPr>
        <w:t xml:space="preserve"> of </w:t>
      </w:r>
      <w:r>
        <w:rPr>
          <w:kern w:val="0"/>
        </w:rPr>
        <w:t>colorectal procedures</w:t>
      </w:r>
      <w:r w:rsidR="005853A9">
        <w:rPr>
          <w:kern w:val="0"/>
        </w:rPr>
        <w:t xml:space="preserve"> and </w:t>
      </w:r>
      <w:r>
        <w:rPr>
          <w:kern w:val="0"/>
        </w:rPr>
        <w:t>nephrectomies (P = 0.002). Pure NOTES remained the most studied approach over the years but with increased investigation in the field</w:t>
      </w:r>
      <w:r w:rsidR="00427468">
        <w:rPr>
          <w:kern w:val="0"/>
        </w:rPr>
        <w:t xml:space="preserve"> of </w:t>
      </w:r>
      <w:r>
        <w:rPr>
          <w:kern w:val="0"/>
        </w:rPr>
        <w:t>NOTES-assisted techniques (P = 0.001)</w:t>
      </w:r>
      <w:r w:rsidR="00A37C1D">
        <w:rPr>
          <w:kern w:val="0"/>
        </w:rPr>
        <w:t>. The</w:t>
      </w:r>
      <w:r>
        <w:rPr>
          <w:kern w:val="0"/>
        </w:rPr>
        <w:t>re was also a significant increase in the adoption</w:t>
      </w:r>
      <w:r w:rsidR="00427468">
        <w:rPr>
          <w:kern w:val="0"/>
        </w:rPr>
        <w:t xml:space="preserve"> of </w:t>
      </w:r>
      <w:r>
        <w:rPr>
          <w:kern w:val="0"/>
        </w:rPr>
        <w:t>transvesical access (7% vs 15.6%) (P = 0.007). NOTES is in a developmental stage</w:t>
      </w:r>
      <w:r w:rsidR="005853A9">
        <w:rPr>
          <w:kern w:val="0"/>
        </w:rPr>
        <w:t xml:space="preserve"> and </w:t>
      </w:r>
      <w:r>
        <w:rPr>
          <w:kern w:val="0"/>
        </w:rPr>
        <w:t>much work is still needed to refine techniques, verify safety</w:t>
      </w:r>
      <w:r w:rsidR="005853A9">
        <w:rPr>
          <w:kern w:val="0"/>
        </w:rPr>
        <w:t xml:space="preserve"> and </w:t>
      </w:r>
      <w:r>
        <w:rPr>
          <w:kern w:val="0"/>
        </w:rPr>
        <w:t>document efficacy. Since the first description</w:t>
      </w:r>
      <w:r w:rsidR="00427468">
        <w:rPr>
          <w:kern w:val="0"/>
        </w:rPr>
        <w:t xml:space="preserve"> of </w:t>
      </w:r>
      <w:r>
        <w:rPr>
          <w:kern w:val="0"/>
        </w:rPr>
        <w:t>the concept</w:t>
      </w:r>
      <w:r w:rsidR="00427468">
        <w:rPr>
          <w:kern w:val="0"/>
        </w:rPr>
        <w:t xml:space="preserve"> of </w:t>
      </w:r>
      <w:r>
        <w:rPr>
          <w:kern w:val="0"/>
        </w:rPr>
        <w:t>NOTES, &gt;2000 clinical cases, irrespective</w:t>
      </w:r>
      <w:r w:rsidR="00427468">
        <w:rPr>
          <w:kern w:val="0"/>
        </w:rPr>
        <w:t xml:space="preserve"> of </w:t>
      </w:r>
      <w:r>
        <w:rPr>
          <w:kern w:val="0"/>
        </w:rPr>
        <w:t>specialty, have been reported. NOTES remains a field</w:t>
      </w:r>
      <w:r w:rsidR="00427468">
        <w:rPr>
          <w:kern w:val="0"/>
        </w:rPr>
        <w:t xml:space="preserve"> of </w:t>
      </w:r>
      <w:r>
        <w:rPr>
          <w:kern w:val="0"/>
        </w:rPr>
        <w:t>intense clinical</w:t>
      </w:r>
      <w:r w:rsidR="005853A9">
        <w:rPr>
          <w:kern w:val="0"/>
        </w:rPr>
        <w:t xml:space="preserve"> and </w:t>
      </w:r>
      <w:r>
        <w:rPr>
          <w:kern w:val="0"/>
        </w:rPr>
        <w:t>experimental research in various surgical specialities.</w:t>
      </w:r>
    </w:p>
    <w:p w:rsidR="00B93AAC" w:rsidRDefault="00B93AAC" w:rsidP="00B93AAC">
      <w:pPr>
        <w:pStyle w:val="a3"/>
        <w:rPr>
          <w:kern w:val="0"/>
        </w:rPr>
      </w:pPr>
      <w:r>
        <w:rPr>
          <w:kern w:val="0"/>
        </w:rPr>
        <w:t>Keywords: Access, Adoption, Analysis, Approach, Assessment, Authors, Bibliometric, Bibliometric Assessment, Cholecystectomy, Citation, Clinical, Closure, Design, Efficacy, Endoscopic Surgery, Experience, Experimental, Field, First, General, General Surgery, Hybrid, Investigation, Journal, Journal Citation Reports, Journals, Laparoscopic Nephrectomy, Literature, Natural, Natural Orifice Transluminal Endoscopic Surgery, Notes, Notes Transvaginal Nephrectomy, Origin, P, Papers, Peritoneoscopy, Procedure, Procedures, Publication, Publications, Pure, R, Randomised, Randomised Controlled Trials, Research, Route, Safety, Scarless Surgery, Specialities, Specialty, Study Design, Surgery, Surgical Procedure, Systematic Literature Search, Techniques, Time Trend, Trends, Urology, Urology, Work</w:t>
      </w:r>
    </w:p>
    <w:p w:rsidR="00D83AB6" w:rsidRDefault="00D83AB6" w:rsidP="00D83AB6">
      <w:pPr>
        <w:pStyle w:val="a3"/>
        <w:rPr>
          <w:kern w:val="0"/>
        </w:rPr>
      </w:pPr>
      <w:r>
        <w:rPr>
          <w:rFonts w:hint="eastAsia"/>
          <w:kern w:val="0"/>
        </w:rPr>
        <w:t xml:space="preserve">? </w:t>
      </w:r>
      <w:r>
        <w:rPr>
          <w:kern w:val="0"/>
        </w:rPr>
        <w:t>Robertson, C., Close, A., Fraser, C., Gurung, T., Jia, X.L., Sharma, P., Vale, L., Ramsay, C.</w:t>
      </w:r>
      <w:r w:rsidR="005853A9">
        <w:rPr>
          <w:kern w:val="0"/>
        </w:rPr>
        <w:t xml:space="preserve"> and </w:t>
      </w:r>
      <w:r>
        <w:rPr>
          <w:kern w:val="0"/>
        </w:rPr>
        <w:t>Pickard, R. (2013), Relative effectiveness</w:t>
      </w:r>
      <w:r w:rsidR="00427468">
        <w:rPr>
          <w:kern w:val="0"/>
        </w:rPr>
        <w:t xml:space="preserve"> of </w:t>
      </w:r>
      <w:r>
        <w:rPr>
          <w:kern w:val="0"/>
        </w:rPr>
        <w:t>robot-assisted</w:t>
      </w:r>
      <w:r w:rsidR="005853A9">
        <w:rPr>
          <w:kern w:val="0"/>
        </w:rPr>
        <w:t xml:space="preserve"> and </w:t>
      </w:r>
      <w:r>
        <w:rPr>
          <w:kern w:val="0"/>
        </w:rPr>
        <w:t>standard laparoscopic prostatectomy as alternatives to open radical prostatectomy for treatment</w:t>
      </w:r>
      <w:r w:rsidR="00427468">
        <w:rPr>
          <w:kern w:val="0"/>
        </w:rPr>
        <w:t xml:space="preserve"> of </w:t>
      </w:r>
      <w:r>
        <w:rPr>
          <w:kern w:val="0"/>
        </w:rPr>
        <w:t>localised prostate cancer: A systematic review</w:t>
      </w:r>
      <w:r w:rsidR="005853A9">
        <w:rPr>
          <w:kern w:val="0"/>
        </w:rPr>
        <w:t xml:space="preserve"> and </w:t>
      </w:r>
      <w:r>
        <w:rPr>
          <w:kern w:val="0"/>
        </w:rPr>
        <w:t xml:space="preserve">mixed treatment comparison meta-analysis. </w:t>
      </w:r>
      <w:r>
        <w:rPr>
          <w:i/>
          <w:iCs/>
          <w:kern w:val="0"/>
        </w:rPr>
        <w:t>BJU International</w:t>
      </w:r>
      <w:r>
        <w:rPr>
          <w:kern w:val="0"/>
        </w:rPr>
        <w:t xml:space="preserve">, </w:t>
      </w:r>
      <w:r>
        <w:rPr>
          <w:b/>
          <w:bCs/>
          <w:kern w:val="0"/>
        </w:rPr>
        <w:t>112</w:t>
      </w:r>
      <w:r>
        <w:rPr>
          <w:kern w:val="0"/>
        </w:rPr>
        <w:t xml:space="preserve"> (6), 798-812.</w:t>
      </w:r>
    </w:p>
    <w:p w:rsidR="00D83AB6" w:rsidRDefault="00D83AB6" w:rsidP="00D83AB6">
      <w:pPr>
        <w:pStyle w:val="a3"/>
        <w:rPr>
          <w:kern w:val="0"/>
        </w:rPr>
      </w:pPr>
      <w:r>
        <w:rPr>
          <w:rFonts w:hint="eastAsia"/>
          <w:kern w:val="0"/>
        </w:rPr>
        <w:t xml:space="preserve">Full Text: </w:t>
      </w:r>
      <w:hyperlink r:id="rId1533" w:history="1">
        <w:r w:rsidRPr="00C21D7F">
          <w:rPr>
            <w:rStyle w:val="a5"/>
            <w:kern w:val="0"/>
          </w:rPr>
          <w:t>2013\BJU Int112, 798.pdf</w:t>
        </w:r>
      </w:hyperlink>
    </w:p>
    <w:p w:rsidR="00D83AB6" w:rsidRDefault="00D83AB6" w:rsidP="00D83AB6">
      <w:pPr>
        <w:pStyle w:val="a3"/>
        <w:rPr>
          <w:kern w:val="0"/>
        </w:rPr>
      </w:pPr>
      <w:r>
        <w:rPr>
          <w:kern w:val="0"/>
        </w:rPr>
        <w:t>Abstract: Objective To compare the effectiveness</w:t>
      </w:r>
      <w:r w:rsidR="00427468">
        <w:rPr>
          <w:kern w:val="0"/>
        </w:rPr>
        <w:t xml:space="preserve"> of </w:t>
      </w:r>
      <w:r>
        <w:rPr>
          <w:kern w:val="0"/>
        </w:rPr>
        <w:t>robot-assisted</w:t>
      </w:r>
      <w:r w:rsidR="005853A9">
        <w:rPr>
          <w:kern w:val="0"/>
        </w:rPr>
        <w:t xml:space="preserve"> and </w:t>
      </w:r>
      <w:r>
        <w:rPr>
          <w:kern w:val="0"/>
        </w:rPr>
        <w:t>standard laparoscopic prostatectomy. Methods A care pathway was described. We performed a systematic literature review based on a search</w:t>
      </w:r>
      <w:r w:rsidR="00427468">
        <w:rPr>
          <w:kern w:val="0"/>
        </w:rPr>
        <w:t xml:space="preserve"> of </w:t>
      </w:r>
      <w:r w:rsidR="00D5664A">
        <w:rPr>
          <w:kern w:val="0"/>
        </w:rPr>
        <w:t>MEDLINE</w:t>
      </w:r>
      <w:r>
        <w:rPr>
          <w:kern w:val="0"/>
        </w:rPr>
        <w:t xml:space="preserve">, </w:t>
      </w:r>
      <w:r w:rsidR="00D5664A">
        <w:rPr>
          <w:kern w:val="0"/>
        </w:rPr>
        <w:t>MEDLINE</w:t>
      </w:r>
      <w:r>
        <w:rPr>
          <w:kern w:val="0"/>
        </w:rPr>
        <w:t xml:space="preserve"> in Process, Embase, Biosis, Science Citation Index, Cochrane Controlled Trials Register, Current Controlled Trials, Clinical Trials, WHO International Clinical Trials </w:t>
      </w:r>
      <w:r>
        <w:rPr>
          <w:kern w:val="0"/>
        </w:rPr>
        <w:lastRenderedPageBreak/>
        <w:t>Registry</w:t>
      </w:r>
      <w:r w:rsidR="005853A9">
        <w:rPr>
          <w:kern w:val="0"/>
        </w:rPr>
        <w:t xml:space="preserve"> and </w:t>
      </w:r>
      <w:r>
        <w:rPr>
          <w:kern w:val="0"/>
        </w:rPr>
        <w:t>NIH Reporter, the Health Technology Assessment databases, the 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Effects,</w:t>
      </w:r>
      <w:r w:rsidR="005853A9">
        <w:rPr>
          <w:kern w:val="0"/>
        </w:rPr>
        <w:t xml:space="preserve"> and </w:t>
      </w:r>
      <w:r>
        <w:rPr>
          <w:kern w:val="0"/>
        </w:rPr>
        <w:t>relevant conference abstracts up to 31st October 2010). Additionally, reference lists were scanned, an expert panel consulted,</w:t>
      </w:r>
      <w:r w:rsidR="005853A9">
        <w:rPr>
          <w:kern w:val="0"/>
        </w:rPr>
        <w:t xml:space="preserve"> and </w:t>
      </w:r>
      <w:r>
        <w:rPr>
          <w:kern w:val="0"/>
        </w:rPr>
        <w:t>websites</w:t>
      </w:r>
      <w:r w:rsidR="00427468">
        <w:rPr>
          <w:kern w:val="0"/>
        </w:rPr>
        <w:t xml:space="preserve"> of </w:t>
      </w:r>
      <w:r>
        <w:rPr>
          <w:kern w:val="0"/>
        </w:rPr>
        <w:t>manufacturers, professional organisations,</w:t>
      </w:r>
      <w:r w:rsidR="005853A9">
        <w:rPr>
          <w:kern w:val="0"/>
        </w:rPr>
        <w:t xml:space="preserve"> and </w:t>
      </w:r>
      <w:r>
        <w:rPr>
          <w:kern w:val="0"/>
        </w:rPr>
        <w:t>regulatory bodies were checked. We selected randomised controlled trials (RCTs)</w:t>
      </w:r>
      <w:r w:rsidR="005853A9">
        <w:rPr>
          <w:kern w:val="0"/>
        </w:rPr>
        <w:t xml:space="preserve"> and </w:t>
      </w:r>
      <w:r>
        <w:rPr>
          <w:kern w:val="0"/>
        </w:rPr>
        <w:t>non-randomised comparative studies, published after 1st January 1995, including men with localised prostate cancer undergoing robot-assisted or laparoscopic prostatectomy compared with the other procedure or with open prostatectomy. Studies where at least 90%</w:t>
      </w:r>
      <w:r w:rsidR="00427468">
        <w:rPr>
          <w:kern w:val="0"/>
        </w:rPr>
        <w:t xml:space="preserve"> of </w:t>
      </w:r>
      <w:r>
        <w:rPr>
          <w:kern w:val="0"/>
        </w:rPr>
        <w:t>included men had clinical tumour stages T1 to T2</w:t>
      </w:r>
      <w:r w:rsidR="005853A9">
        <w:rPr>
          <w:kern w:val="0"/>
        </w:rPr>
        <w:t xml:space="preserve"> and </w:t>
      </w:r>
      <w:r>
        <w:rPr>
          <w:kern w:val="0"/>
        </w:rPr>
        <w:t>which reported at least one</w:t>
      </w:r>
      <w:r w:rsidR="00427468">
        <w:rPr>
          <w:kern w:val="0"/>
        </w:rPr>
        <w:t xml:space="preserve"> of </w:t>
      </w:r>
      <w:r>
        <w:rPr>
          <w:kern w:val="0"/>
        </w:rPr>
        <w:t>our specified outcomes were eligible for inclusion. A mixed-treatment comparison meta-analysis was performed to generate comparative statistics on specified outcomes. Results We included data from 19 064 men across one RCT</w:t>
      </w:r>
      <w:r w:rsidR="005853A9">
        <w:rPr>
          <w:kern w:val="0"/>
        </w:rPr>
        <w:t xml:space="preserve"> and </w:t>
      </w:r>
      <w:r>
        <w:rPr>
          <w:kern w:val="0"/>
        </w:rPr>
        <w:t>57 non-randomised comparative reports. Robotic prostatectomy had a lower risk</w:t>
      </w:r>
      <w:r w:rsidR="00427468">
        <w:rPr>
          <w:kern w:val="0"/>
        </w:rPr>
        <w:t xml:space="preserve"> of </w:t>
      </w:r>
      <w:r>
        <w:rPr>
          <w:kern w:val="0"/>
        </w:rPr>
        <w:t>major intra-operative harms such as organ injury [0.4% robotic vs 2.9% laparoscopic], odds ratio ([OR] {95% credible interval [CrI]} 0.16 [0.03 to 0.76]),</w:t>
      </w:r>
      <w:r w:rsidR="005853A9">
        <w:rPr>
          <w:kern w:val="0"/>
        </w:rPr>
        <w:t xml:space="preserve"> and </w:t>
      </w:r>
      <w:r>
        <w:rPr>
          <w:kern w:val="0"/>
        </w:rPr>
        <w:t>a lower rate</w:t>
      </w:r>
      <w:r w:rsidR="00427468">
        <w:rPr>
          <w:kern w:val="0"/>
        </w:rPr>
        <w:t xml:space="preserve"> of </w:t>
      </w:r>
      <w:r>
        <w:rPr>
          <w:kern w:val="0"/>
        </w:rPr>
        <w:t>surgical margins positive for cancer [17.6% robotic vs 23.6% laparoscopic], OR [95% CrI] 0.69 [0.51 to 0.96])</w:t>
      </w:r>
      <w:r w:rsidR="00A37C1D">
        <w:rPr>
          <w:kern w:val="0"/>
        </w:rPr>
        <w:t>. The</w:t>
      </w:r>
      <w:r>
        <w:rPr>
          <w:kern w:val="0"/>
        </w:rPr>
        <w:t>re was no evidence</w:t>
      </w:r>
      <w:r w:rsidR="00427468">
        <w:rPr>
          <w:kern w:val="0"/>
        </w:rPr>
        <w:t xml:space="preserve"> of </w:t>
      </w:r>
      <w:r>
        <w:rPr>
          <w:kern w:val="0"/>
        </w:rPr>
        <w:t>a difference in the proportion</w:t>
      </w:r>
      <w:r w:rsidR="00427468">
        <w:rPr>
          <w:kern w:val="0"/>
        </w:rPr>
        <w:t xml:space="preserve"> of </w:t>
      </w:r>
      <w:r>
        <w:rPr>
          <w:kern w:val="0"/>
        </w:rPr>
        <w:t>men with urinary incontinence at 12 months (OR [95% CrI] 0.55 [0.09 to 2.84])</w:t>
      </w:r>
      <w:r w:rsidR="00A37C1D">
        <w:rPr>
          <w:kern w:val="0"/>
        </w:rPr>
        <w:t>. The</w:t>
      </w:r>
      <w:r>
        <w:rPr>
          <w:kern w:val="0"/>
        </w:rPr>
        <w:t>re were insufficient data on sexual dysfunction. Surgeon learning rates for the procedures did not differ, although data were limited. Conclusions Men undergoing robotic prostatectomy appear to have reduced surgical morbidity,</w:t>
      </w:r>
      <w:r w:rsidR="005853A9">
        <w:rPr>
          <w:kern w:val="0"/>
        </w:rPr>
        <w:t xml:space="preserve"> and </w:t>
      </w:r>
      <w:r>
        <w:rPr>
          <w:kern w:val="0"/>
        </w:rPr>
        <w:t>a lower risk</w:t>
      </w:r>
      <w:r w:rsidR="00427468">
        <w:rPr>
          <w:kern w:val="0"/>
        </w:rPr>
        <w:t xml:space="preserve"> of </w:t>
      </w:r>
      <w:r>
        <w:rPr>
          <w:kern w:val="0"/>
        </w:rPr>
        <w:t>a positive surgical margin, which may reduce rates</w:t>
      </w:r>
      <w:r w:rsidR="00427468">
        <w:rPr>
          <w:kern w:val="0"/>
        </w:rPr>
        <w:t xml:space="preserve"> of </w:t>
      </w:r>
      <w:r>
        <w:rPr>
          <w:kern w:val="0"/>
        </w:rPr>
        <w:t>cancer recurrence</w:t>
      </w:r>
      <w:r w:rsidR="005853A9">
        <w:rPr>
          <w:kern w:val="0"/>
        </w:rPr>
        <w:t xml:space="preserve"> and </w:t>
      </w:r>
      <w:r>
        <w:rPr>
          <w:kern w:val="0"/>
        </w:rPr>
        <w:t>the need for further treatment, but considerable uncertainty surrounds these results. We found no evidence that men undergoing robotic prostatectomy are disadvantaged in terms</w:t>
      </w:r>
      <w:r w:rsidR="00427468">
        <w:rPr>
          <w:kern w:val="0"/>
        </w:rPr>
        <w:t xml:space="preserve"> of </w:t>
      </w:r>
      <w:r>
        <w:rPr>
          <w:kern w:val="0"/>
        </w:rPr>
        <w:t>early outcomes. We were unable to determine longer-term relative effectiveness.</w:t>
      </w:r>
    </w:p>
    <w:p w:rsidR="00D83AB6" w:rsidRDefault="00D83AB6" w:rsidP="00D83AB6">
      <w:pPr>
        <w:pStyle w:val="a3"/>
        <w:rPr>
          <w:kern w:val="0"/>
        </w:rPr>
      </w:pPr>
      <w:r>
        <w:rPr>
          <w:kern w:val="0"/>
        </w:rPr>
        <w:t xml:space="preserve">Keywords: Alternatives, Article, Assessment, Biosis, Bodies, Cancer, Care, Citation, Clinical, Clinical Trials, Comparison, Credible Interval, Data, Database, Databases, Effectiveness, England, Evidence, Expert Panel, Incontinence, Injury, Int, Interval, Ispor Task-Force, Laparoscopic, Laparoscopic Surgery, Learning, Literature, Literature Review, </w:t>
      </w:r>
      <w:r w:rsidR="00D5664A">
        <w:rPr>
          <w:kern w:val="0"/>
        </w:rPr>
        <w:t>MEDLINE</w:t>
      </w:r>
      <w:r>
        <w:rPr>
          <w:kern w:val="0"/>
        </w:rPr>
        <w:t xml:space="preserve">, Men, Meta Analysis, Meta-Analysis, Metaanalysis, Methods, Morbidity, NIH, Odds Ratio, Open, Outcomes, Procedure, Procedures, Prostate Cancer, Prostatectomy, R, Randomised, Randomised Controlled Trials, Rates, Rct, Recurrence, Reference, Reference Lists, Results, Review, Risk, River, Robotic Surgery, Science, Science Citation Index, Sexual Dysfunction, Standard, Statistics, Surgery, Systematic Review, Technology, Technology Assessment, Treatment, Uncertainty, Urinary, Urinary Incontinence, </w:t>
      </w:r>
      <w:r w:rsidR="00D5664A">
        <w:rPr>
          <w:kern w:val="0"/>
        </w:rPr>
        <w:t>USA</w:t>
      </w:r>
      <w:r>
        <w:rPr>
          <w:kern w:val="0"/>
        </w:rPr>
        <w:t>, Websites, WHO</w:t>
      </w:r>
    </w:p>
    <w:p w:rsidR="00D22306" w:rsidRDefault="00D22306" w:rsidP="00D22306">
      <w:pPr>
        <w:pStyle w:val="a3"/>
        <w:rPr>
          <w:kern w:val="0"/>
          <w:szCs w:val="24"/>
        </w:rPr>
      </w:pPr>
      <w:r>
        <w:rPr>
          <w:rFonts w:hint="eastAsia"/>
          <w:kern w:val="0"/>
          <w:szCs w:val="24"/>
        </w:rPr>
        <w:t xml:space="preserve">? </w:t>
      </w:r>
      <w:r>
        <w:rPr>
          <w:kern w:val="0"/>
          <w:szCs w:val="24"/>
        </w:rPr>
        <w:t>Umasunthar, T., Leonardi-Bee, J., Hodes, M., Turner, P.J., Gore, C., Habibi, P., Warner, J.O.</w:t>
      </w:r>
      <w:r w:rsidR="005853A9">
        <w:rPr>
          <w:kern w:val="0"/>
          <w:szCs w:val="24"/>
        </w:rPr>
        <w:t xml:space="preserve"> and </w:t>
      </w:r>
      <w:r>
        <w:rPr>
          <w:kern w:val="0"/>
          <w:szCs w:val="24"/>
        </w:rPr>
        <w:t>Boyle, R.J. (2013), Incidence</w:t>
      </w:r>
      <w:r w:rsidR="00427468">
        <w:rPr>
          <w:kern w:val="0"/>
          <w:szCs w:val="24"/>
        </w:rPr>
        <w:t xml:space="preserve"> of </w:t>
      </w:r>
      <w:r>
        <w:rPr>
          <w:kern w:val="0"/>
          <w:szCs w:val="24"/>
        </w:rPr>
        <w:t xml:space="preserve">fatal food anaphylaxis in people </w:t>
      </w:r>
      <w:r>
        <w:rPr>
          <w:kern w:val="0"/>
          <w:szCs w:val="24"/>
        </w:rPr>
        <w:lastRenderedPageBreak/>
        <w:t>with food allergy: A systematic review</w:t>
      </w:r>
      <w:r w:rsidR="005853A9">
        <w:rPr>
          <w:kern w:val="0"/>
          <w:szCs w:val="24"/>
        </w:rPr>
        <w:t xml:space="preserve"> and </w:t>
      </w:r>
      <w:r>
        <w:rPr>
          <w:kern w:val="0"/>
          <w:szCs w:val="24"/>
        </w:rPr>
        <w:t xml:space="preserve">meta-analysis. </w:t>
      </w:r>
      <w:r>
        <w:rPr>
          <w:i/>
          <w:iCs/>
          <w:kern w:val="0"/>
          <w:szCs w:val="24"/>
        </w:rPr>
        <w:t>BJU International</w:t>
      </w:r>
      <w:r>
        <w:rPr>
          <w:kern w:val="0"/>
          <w:szCs w:val="24"/>
        </w:rPr>
        <w:t xml:space="preserve">, </w:t>
      </w:r>
      <w:r>
        <w:rPr>
          <w:b/>
          <w:bCs/>
          <w:kern w:val="0"/>
          <w:szCs w:val="24"/>
        </w:rPr>
        <w:t>112</w:t>
      </w:r>
      <w:r>
        <w:rPr>
          <w:kern w:val="0"/>
          <w:szCs w:val="24"/>
        </w:rPr>
        <w:t xml:space="preserve"> (4), 1333-1341.</w:t>
      </w:r>
    </w:p>
    <w:p w:rsidR="00D22306" w:rsidRDefault="00D22306" w:rsidP="00D22306">
      <w:pPr>
        <w:pStyle w:val="a3"/>
        <w:rPr>
          <w:kern w:val="0"/>
        </w:rPr>
      </w:pPr>
      <w:r>
        <w:rPr>
          <w:rFonts w:hint="eastAsia"/>
          <w:kern w:val="0"/>
        </w:rPr>
        <w:t xml:space="preserve">Full Text: </w:t>
      </w:r>
      <w:r w:rsidRPr="007E5085">
        <w:rPr>
          <w:kern w:val="0"/>
        </w:rPr>
        <w:t>2013\BJU Int112, 1333.pdf</w:t>
      </w:r>
    </w:p>
    <w:p w:rsidR="00D22306" w:rsidRDefault="00D22306" w:rsidP="00D22306">
      <w:pPr>
        <w:pStyle w:val="a3"/>
        <w:rPr>
          <w:kern w:val="0"/>
          <w:szCs w:val="24"/>
        </w:rPr>
      </w:pPr>
      <w:r>
        <w:rPr>
          <w:kern w:val="0"/>
          <w:szCs w:val="24"/>
        </w:rPr>
        <w:t>Abstract: Background</w:t>
      </w:r>
      <w:r>
        <w:rPr>
          <w:rFonts w:hint="eastAsia"/>
          <w:kern w:val="0"/>
          <w:szCs w:val="24"/>
        </w:rPr>
        <w:t xml:space="preserve"> </w:t>
      </w:r>
      <w:r>
        <w:rPr>
          <w:kern w:val="0"/>
          <w:szCs w:val="24"/>
        </w:rPr>
        <w:t>Food allergy is a common cause</w:t>
      </w:r>
      <w:r w:rsidR="00427468">
        <w:rPr>
          <w:kern w:val="0"/>
          <w:szCs w:val="24"/>
        </w:rPr>
        <w:t xml:space="preserve"> of </w:t>
      </w:r>
      <w:r>
        <w:rPr>
          <w:kern w:val="0"/>
          <w:szCs w:val="24"/>
        </w:rPr>
        <w:t>anaphylaxis, but the incidence</w:t>
      </w:r>
      <w:r w:rsidR="00427468">
        <w:rPr>
          <w:kern w:val="0"/>
          <w:szCs w:val="24"/>
        </w:rPr>
        <w:t xml:space="preserve"> of </w:t>
      </w:r>
      <w:r>
        <w:rPr>
          <w:kern w:val="0"/>
          <w:szCs w:val="24"/>
        </w:rPr>
        <w:t>fatal food anaphylaxis is not known</w:t>
      </w:r>
      <w:r w:rsidR="00A37C1D">
        <w:rPr>
          <w:kern w:val="0"/>
          <w:szCs w:val="24"/>
        </w:rPr>
        <w:t>. The</w:t>
      </w:r>
      <w:r>
        <w:rPr>
          <w:kern w:val="0"/>
          <w:szCs w:val="24"/>
        </w:rPr>
        <w:t xml:space="preserve"> aim</w:t>
      </w:r>
      <w:r w:rsidR="00427468">
        <w:rPr>
          <w:kern w:val="0"/>
          <w:szCs w:val="24"/>
        </w:rPr>
        <w:t xml:space="preserve"> of </w:t>
      </w:r>
      <w:r>
        <w:rPr>
          <w:kern w:val="0"/>
          <w:szCs w:val="24"/>
        </w:rPr>
        <w:t>this study was to estimate the incidence</w:t>
      </w:r>
      <w:r w:rsidR="00427468">
        <w:rPr>
          <w:kern w:val="0"/>
          <w:szCs w:val="24"/>
        </w:rPr>
        <w:t xml:space="preserve"> of </w:t>
      </w:r>
      <w:r>
        <w:rPr>
          <w:kern w:val="0"/>
          <w:szCs w:val="24"/>
        </w:rPr>
        <w:t>fatal food anaphylaxis for people with food allergy</w:t>
      </w:r>
      <w:r w:rsidR="005853A9">
        <w:rPr>
          <w:kern w:val="0"/>
          <w:szCs w:val="24"/>
        </w:rPr>
        <w:t xml:space="preserve"> and </w:t>
      </w:r>
      <w:r>
        <w:rPr>
          <w:kern w:val="0"/>
          <w:szCs w:val="24"/>
        </w:rPr>
        <w:t>relate this to other mortality risks in the general population. MethodsWe undertook a systematic review</w:t>
      </w:r>
      <w:r w:rsidR="005853A9">
        <w:rPr>
          <w:kern w:val="0"/>
          <w:szCs w:val="24"/>
        </w:rPr>
        <w:t xml:space="preserve"> and </w:t>
      </w:r>
      <w:r>
        <w:rPr>
          <w:kern w:val="0"/>
          <w:szCs w:val="24"/>
        </w:rPr>
        <w:t>meta-analysis, using the generic inverse variance method. Two authors selected studies by consensus, independently extracted data</w:t>
      </w:r>
      <w:r w:rsidR="005853A9">
        <w:rPr>
          <w:kern w:val="0"/>
          <w:szCs w:val="24"/>
        </w:rPr>
        <w:t xml:space="preserve"> and </w:t>
      </w:r>
      <w:r>
        <w:rPr>
          <w:kern w:val="0"/>
          <w:szCs w:val="24"/>
        </w:rPr>
        <w:t>assessed the quality</w:t>
      </w:r>
      <w:r w:rsidR="00427468">
        <w:rPr>
          <w:kern w:val="0"/>
          <w:szCs w:val="24"/>
        </w:rPr>
        <w:t xml:space="preserve"> of </w:t>
      </w:r>
      <w:r>
        <w:rPr>
          <w:kern w:val="0"/>
          <w:szCs w:val="24"/>
        </w:rPr>
        <w:t xml:space="preserve">included studies using the Newcastle-Ottawa assessment scale. We searched </w:t>
      </w:r>
      <w:r w:rsidR="00D5664A">
        <w:rPr>
          <w:kern w:val="0"/>
          <w:szCs w:val="24"/>
        </w:rPr>
        <w:t>MEDLINE</w:t>
      </w:r>
      <w:r>
        <w:rPr>
          <w:kern w:val="0"/>
          <w:szCs w:val="24"/>
        </w:rPr>
        <w:t xml:space="preserve">, Embase, PsychInfo, CINAHL, </w:t>
      </w:r>
      <w:r w:rsidR="00D5664A">
        <w:rPr>
          <w:kern w:val="0"/>
          <w:szCs w:val="24"/>
        </w:rPr>
        <w:t>Web</w:t>
      </w:r>
      <w:r w:rsidR="00427468">
        <w:rPr>
          <w:kern w:val="0"/>
          <w:szCs w:val="24"/>
        </w:rPr>
        <w:t xml:space="preserve"> of </w:t>
      </w:r>
      <w:r w:rsidR="00D5664A">
        <w:rPr>
          <w:kern w:val="0"/>
          <w:szCs w:val="24"/>
        </w:rPr>
        <w:t>Science</w:t>
      </w:r>
      <w:r>
        <w:rPr>
          <w:kern w:val="0"/>
          <w:szCs w:val="24"/>
        </w:rPr>
        <w:t>, LILACS or AMED, between January 1946</w:t>
      </w:r>
      <w:r w:rsidR="005853A9">
        <w:rPr>
          <w:kern w:val="0"/>
          <w:szCs w:val="24"/>
        </w:rPr>
        <w:t xml:space="preserve"> and </w:t>
      </w:r>
      <w:r>
        <w:rPr>
          <w:kern w:val="0"/>
          <w:szCs w:val="24"/>
        </w:rPr>
        <w:t>September 2012,</w:t>
      </w:r>
      <w:r w:rsidR="005853A9">
        <w:rPr>
          <w:kern w:val="0"/>
          <w:szCs w:val="24"/>
        </w:rPr>
        <w:t xml:space="preserve"> and </w:t>
      </w:r>
      <w:r>
        <w:rPr>
          <w:kern w:val="0"/>
          <w:szCs w:val="24"/>
        </w:rPr>
        <w:t>recent conference abstracts. We included registries, databases or cohort studies which described the number</w:t>
      </w:r>
      <w:r w:rsidR="00427468">
        <w:rPr>
          <w:kern w:val="0"/>
          <w:szCs w:val="24"/>
        </w:rPr>
        <w:t xml:space="preserve"> of </w:t>
      </w:r>
      <w:r>
        <w:rPr>
          <w:kern w:val="0"/>
          <w:szCs w:val="24"/>
        </w:rPr>
        <w:t>fatal food anaphylaxis cases in a defined population</w:t>
      </w:r>
      <w:r w:rsidR="005853A9">
        <w:rPr>
          <w:kern w:val="0"/>
          <w:szCs w:val="24"/>
        </w:rPr>
        <w:t xml:space="preserve"> and </w:t>
      </w:r>
      <w:r>
        <w:rPr>
          <w:kern w:val="0"/>
          <w:szCs w:val="24"/>
        </w:rPr>
        <w:t>time period</w:t>
      </w:r>
      <w:r w:rsidR="005853A9">
        <w:rPr>
          <w:kern w:val="0"/>
          <w:szCs w:val="24"/>
        </w:rPr>
        <w:t xml:space="preserve"> and </w:t>
      </w:r>
      <w:r>
        <w:rPr>
          <w:kern w:val="0"/>
          <w:szCs w:val="24"/>
        </w:rPr>
        <w:t>applied an assumed population prevalence rate</w:t>
      </w:r>
      <w:r w:rsidR="00427468">
        <w:rPr>
          <w:kern w:val="0"/>
          <w:szCs w:val="24"/>
        </w:rPr>
        <w:t xml:space="preserve"> of </w:t>
      </w:r>
      <w:r>
        <w:rPr>
          <w:kern w:val="0"/>
          <w:szCs w:val="24"/>
        </w:rPr>
        <w:t>food allergy. ResultsWe included data from 13 studies describing 240 fatal food anaphylaxis episodes over an estimated 165million food-allergic person-years. Study quality was mixed,</w:t>
      </w:r>
      <w:r w:rsidR="005853A9">
        <w:rPr>
          <w:kern w:val="0"/>
          <w:szCs w:val="24"/>
        </w:rPr>
        <w:t xml:space="preserve"> and </w:t>
      </w:r>
      <w:r>
        <w:rPr>
          <w:kern w:val="0"/>
          <w:szCs w:val="24"/>
        </w:rPr>
        <w:t>there was high heterogeneity between study results, possibly due to variation in food allergy prevalence</w:t>
      </w:r>
      <w:r w:rsidR="005853A9">
        <w:rPr>
          <w:kern w:val="0"/>
          <w:szCs w:val="24"/>
        </w:rPr>
        <w:t xml:space="preserve"> and </w:t>
      </w:r>
      <w:r>
        <w:rPr>
          <w:kern w:val="0"/>
          <w:szCs w:val="24"/>
        </w:rPr>
        <w:t>data collection methods. In food-allergic people, fatal food anaphylaxis has an incidence rate</w:t>
      </w:r>
      <w:r w:rsidR="00427468">
        <w:rPr>
          <w:kern w:val="0"/>
          <w:szCs w:val="24"/>
        </w:rPr>
        <w:t xml:space="preserve"> of </w:t>
      </w:r>
      <w:r>
        <w:rPr>
          <w:kern w:val="0"/>
          <w:szCs w:val="24"/>
        </w:rPr>
        <w:t>1.81 per million person-years (95%CI 0.94, 3.45; range 0.63, 6.68). In sensitivity analysis with different estimated food allergy prevalence, the incidence varied from 1.35 to 2.71 per million person-years. At age 0-19, the incidence rate is 3.25 (1.73, 6.10; range 0.94, 15.75; sensitivity analysis 1.18-6.13)</w:t>
      </w:r>
      <w:r w:rsidR="00A37C1D">
        <w:rPr>
          <w:kern w:val="0"/>
          <w:szCs w:val="24"/>
        </w:rPr>
        <w:t>. The</w:t>
      </w:r>
      <w:r>
        <w:rPr>
          <w:kern w:val="0"/>
          <w:szCs w:val="24"/>
        </w:rPr>
        <w:t xml:space="preserve"> incidence</w:t>
      </w:r>
      <w:r w:rsidR="00427468">
        <w:rPr>
          <w:kern w:val="0"/>
          <w:szCs w:val="24"/>
        </w:rPr>
        <w:t xml:space="preserve"> of </w:t>
      </w:r>
      <w:r>
        <w:rPr>
          <w:kern w:val="0"/>
          <w:szCs w:val="24"/>
        </w:rPr>
        <w:t>fatal food anaphylaxis in food-allergic people is lower than accidental death in the general European population. ConclusionFatal food anaphylaxis for a food-allergic person is rarer than accidental death in the general population.</w:t>
      </w:r>
    </w:p>
    <w:p w:rsidR="00D22306" w:rsidRDefault="00D22306" w:rsidP="00D22306">
      <w:pPr>
        <w:pStyle w:val="a3"/>
        <w:rPr>
          <w:kern w:val="0"/>
          <w:szCs w:val="24"/>
        </w:rPr>
      </w:pPr>
      <w:r>
        <w:rPr>
          <w:kern w:val="0"/>
          <w:szCs w:val="24"/>
        </w:rPr>
        <w:t xml:space="preserve">Keywords: Age, Allergy, Analysis, Anaphylaxis, Assessment, Authors, Cohort, Collection, Consensus, Data, Data Collection, Databases, Death, England, Food, Food Allergy, General, Heterogeneity, Incidence, Int, </w:t>
      </w:r>
      <w:r w:rsidR="00D5664A">
        <w:rPr>
          <w:kern w:val="0"/>
          <w:szCs w:val="24"/>
        </w:rPr>
        <w:t>MEDLINE</w:t>
      </w:r>
      <w:r>
        <w:rPr>
          <w:kern w:val="0"/>
          <w:szCs w:val="24"/>
        </w:rPr>
        <w:t xml:space="preserve">, Meta Analysis, Meta-Analysis, Metaanalysis, Methods, Mortality, Person, Population, Prevalence, Quality, Quality Of, Recent, Registries, Review, Risks, River, Scale, Science, Sensitivity, Sensitivity Analysis, Study Quality, Systematic Review, Time Period, </w:t>
      </w:r>
      <w:r w:rsidR="00D5664A">
        <w:rPr>
          <w:kern w:val="0"/>
          <w:szCs w:val="24"/>
        </w:rPr>
        <w:t>USA</w:t>
      </w:r>
      <w:r>
        <w:rPr>
          <w:kern w:val="0"/>
          <w:szCs w:val="24"/>
        </w:rPr>
        <w:t xml:space="preserve">, </w:t>
      </w:r>
      <w:r w:rsidR="00D5664A">
        <w:rPr>
          <w:kern w:val="0"/>
          <w:szCs w:val="24"/>
        </w:rPr>
        <w:t>Web</w:t>
      </w:r>
      <w:r w:rsidR="00427468">
        <w:rPr>
          <w:kern w:val="0"/>
          <w:szCs w:val="24"/>
        </w:rPr>
        <w:t xml:space="preserve"> of </w:t>
      </w:r>
      <w:r w:rsidR="00D5664A">
        <w:rPr>
          <w:kern w:val="0"/>
          <w:szCs w:val="24"/>
        </w:rPr>
        <w:t>Science</w:t>
      </w:r>
    </w:p>
    <w:p w:rsidR="009840F6" w:rsidRDefault="009840F6" w:rsidP="009840F6">
      <w:pPr>
        <w:pStyle w:val="a3"/>
        <w:rPr>
          <w:kern w:val="0"/>
        </w:rPr>
      </w:pPr>
      <w:r>
        <w:rPr>
          <w:kern w:val="0"/>
        </w:rPr>
        <w:t xml:space="preserve">? Omar, M.I., Lam, T.B., Alexander, C.E., Graham, J., Mamoulakis, C., Imamura, M., Maclennan, S., Stewart, F. and N’Dow, J. (2014), Systematic review and meta-analysis of the clinical effectiveness of bipolar compared with monopolar transurethral resection of the prostate (TURP). </w:t>
      </w:r>
      <w:r>
        <w:rPr>
          <w:i/>
          <w:iCs/>
          <w:kern w:val="0"/>
        </w:rPr>
        <w:t>BJU International</w:t>
      </w:r>
      <w:r>
        <w:rPr>
          <w:kern w:val="0"/>
        </w:rPr>
        <w:t xml:space="preserve">, </w:t>
      </w:r>
      <w:r>
        <w:rPr>
          <w:b/>
          <w:bCs/>
          <w:kern w:val="0"/>
        </w:rPr>
        <w:t>113</w:t>
      </w:r>
      <w:r>
        <w:rPr>
          <w:kern w:val="0"/>
        </w:rPr>
        <w:t xml:space="preserve"> (1), 24-35.</w:t>
      </w:r>
    </w:p>
    <w:p w:rsidR="009840F6" w:rsidRDefault="009840F6" w:rsidP="009840F6">
      <w:pPr>
        <w:pStyle w:val="a3"/>
        <w:rPr>
          <w:kern w:val="0"/>
        </w:rPr>
      </w:pPr>
      <w:r>
        <w:rPr>
          <w:rFonts w:hint="eastAsia"/>
          <w:kern w:val="0"/>
        </w:rPr>
        <w:t xml:space="preserve">Full Text: </w:t>
      </w:r>
      <w:hyperlink r:id="rId1534" w:history="1">
        <w:r w:rsidRPr="009840F6">
          <w:rPr>
            <w:rStyle w:val="a5"/>
            <w:kern w:val="0"/>
          </w:rPr>
          <w:t>2014\BJU Int113, 24.pdf</w:t>
        </w:r>
      </w:hyperlink>
    </w:p>
    <w:p w:rsidR="009840F6" w:rsidRDefault="009840F6" w:rsidP="009840F6">
      <w:pPr>
        <w:pStyle w:val="a3"/>
        <w:rPr>
          <w:kern w:val="0"/>
        </w:rPr>
      </w:pPr>
      <w:r>
        <w:rPr>
          <w:kern w:val="0"/>
        </w:rPr>
        <w:lastRenderedPageBreak/>
        <w:t>Abstract: To compare monopolar and bipolar transurethral resection of the prostate (TURP) for clinical effectiveness and adverse events. We conducted an electronic search of MEDLINE, Embase, CENTRAL, Science Citation Index, and also searched reference lists of articles and abstracts from conference proceedings for randomised controlled trials (RCTs) comparing monopolar and bipolar TURP. Two reviewers independently undertook data extraction and assessed the risk of bias in the included trials using the tool recommended by the Cochrane Collaboration. The quality of evidence was assessed using the Grading of Recommendations Assessment, Development and Evaluation (GRADE) approach. From the 949 abstracts that were identified, 94 full texts were assessed for eligibility and a total of 24 trials were included in the review. No statistically significant differences were found in terms of International Prostate Symptom Score (IPSS) or health-related quality of life (HRQL) score. Results for maximum urinary flow rate were significant at 3, 6 and 12 months (all P &lt; 0.001), but no clinically significant differences were found and the meta-analysis showed evidence of heterogeneity Bipolar TURP was associated with fewer adverse events including transurethral resection syndrome (risk ratio [RR] 0.12, 95% confidence interval [CI] 0.05-0.31, P &lt; 0.001), clot retention (RR 0.48, 95% CI 0.30-0.77, P = 0.002) and blood transfusion (RR 0.53, 95% CI 0.35-0.82, P = 0.004) Several major methodological limitations were identified in the included trials; 22/24 trials had a short follow-up of &lt;= 1 year, there was no evidence of a sample size calculation in 20/24 trials and the application of GRADE showed the evidence for most of the assessed outcomes to be of moderate quality, including all those in which statistical differences were found. Whilst there is no overall difference between monopolar and bipolar TURP for clinical effectiveness, bipolar TURP is associated with fewer adverse events and therefore has a superior safety profile. Various methodological limitations were highlighted in the included trials and as such the results of this review should be interpreted with caution. There is a need for further well-conducted, multicentre RCTs with long-term follow-up data.</w:t>
      </w:r>
    </w:p>
    <w:p w:rsidR="009840F6" w:rsidRDefault="009840F6" w:rsidP="009840F6">
      <w:pPr>
        <w:pStyle w:val="a3"/>
        <w:rPr>
          <w:kern w:val="0"/>
        </w:rPr>
      </w:pPr>
      <w:r>
        <w:rPr>
          <w:kern w:val="0"/>
        </w:rPr>
        <w:t xml:space="preserve">Keywords: 1-Year Follow-Up, Abstracts, Adverse Events, Application, Approach, Articles, Assessment, Benign Prostatic Enlargement, Bias, Bipolar, Blood, Blood Transfusion, Calculation, Citation, Clinical, Clinical Effectiveness, Cochrane Collaboration, Collaboration, Complications, Conference Proceedings, Confidence, Conventional Resectoscope, Data, Development, Effectiveness, Enlargement, Evaluation, Events, Evidence, Ex-Vivo, Extraction, Flow, Flow Rate, Follow-Up, From, Grade, Health-Related Quality Of Life, Heterogeneity, Hyperplasia, International, Interval, Life, Long Term, Long-Term, Long-Term Follow-Up, Medline, Meta Analysis, Meta-Analysis, Metaanalysis, Methodological Limitations, Monopolar, Outcomes, P, Plasmakinetic Resection, Quality, Quality Of, Quality Of Life, Randomised, Randomised Controlled Trials, Randomized Controlled-Trial, </w:t>
      </w:r>
      <w:r>
        <w:rPr>
          <w:kern w:val="0"/>
        </w:rPr>
        <w:lastRenderedPageBreak/>
        <w:t>Reference, Reference Lists, Results, Retention, Review, Reviewers, Risk, Safety, Saline, Sample Size, Science, Science Citation Index, Size, Standard Monopolar, Syndrome, Systematic, Systematic Review, Transfusion, Transurethral Resection Of The Prostate (Turp), Urinary</w:t>
      </w:r>
    </w:p>
    <w:p w:rsidR="00445DA2" w:rsidRDefault="00445DA2" w:rsidP="00445DA2">
      <w:pPr>
        <w:pStyle w:val="a3"/>
        <w:rPr>
          <w:kern w:val="0"/>
        </w:rPr>
      </w:pPr>
      <w:r>
        <w:rPr>
          <w:rFonts w:hint="eastAsia"/>
          <w:kern w:val="0"/>
        </w:rPr>
        <w:t xml:space="preserve">? </w:t>
      </w:r>
      <w:r>
        <w:rPr>
          <w:kern w:val="0"/>
        </w:rPr>
        <w:t xml:space="preserve">O’Kelly, F., Nason, G.J., McLoughlin, L.C., Flood, H.D. and Thornhill, J.A. (2014), A comparative bibliometric analysis of the top 150 cited papers in hypospadiology (1945-2013). </w:t>
      </w:r>
      <w:r>
        <w:rPr>
          <w:i/>
          <w:iCs/>
          <w:kern w:val="0"/>
        </w:rPr>
        <w:t>BJU International</w:t>
      </w:r>
      <w:r>
        <w:rPr>
          <w:kern w:val="0"/>
        </w:rPr>
        <w:t xml:space="preserve">, </w:t>
      </w:r>
      <w:r>
        <w:rPr>
          <w:b/>
          <w:bCs/>
          <w:kern w:val="0"/>
        </w:rPr>
        <w:t>114</w:t>
      </w:r>
      <w:r>
        <w:rPr>
          <w:rFonts w:hint="eastAsia"/>
          <w:kern w:val="0"/>
        </w:rPr>
        <w:t>,</w:t>
      </w:r>
      <w:r>
        <w:rPr>
          <w:kern w:val="0"/>
        </w:rPr>
        <w:t xml:space="preserve"> 39</w:t>
      </w:r>
      <w:r>
        <w:rPr>
          <w:rFonts w:hint="eastAsia"/>
          <w:kern w:val="0"/>
        </w:rPr>
        <w:t>.</w:t>
      </w:r>
    </w:p>
    <w:p w:rsidR="00445DA2" w:rsidRDefault="00445DA2" w:rsidP="00445DA2">
      <w:pPr>
        <w:pStyle w:val="a3"/>
        <w:rPr>
          <w:kern w:val="0"/>
        </w:rPr>
      </w:pPr>
      <w:r>
        <w:rPr>
          <w:rFonts w:hint="eastAsia"/>
          <w:kern w:val="0"/>
        </w:rPr>
        <w:t xml:space="preserve">Full Text: </w:t>
      </w:r>
      <w:r w:rsidRPr="004326F1">
        <w:rPr>
          <w:kern w:val="0"/>
        </w:rPr>
        <w:t>2014\BJU Int114, 39.pdf</w:t>
      </w:r>
    </w:p>
    <w:p w:rsidR="00445DA2" w:rsidRDefault="00445DA2" w:rsidP="00445DA2">
      <w:pPr>
        <w:pStyle w:val="a3"/>
        <w:rPr>
          <w:kern w:val="0"/>
        </w:rPr>
      </w:pPr>
      <w:r>
        <w:rPr>
          <w:kern w:val="0"/>
        </w:rPr>
        <w:t>Keywords: Analysis, Bibliometric, Bibliometric Analysis, Papers, Si</w:t>
      </w:r>
    </w:p>
    <w:p w:rsidR="003474F2" w:rsidRPr="001A3D2B" w:rsidRDefault="003474F2" w:rsidP="003474F2">
      <w:pPr>
        <w:pStyle w:val="1"/>
      </w:pPr>
      <w:r w:rsidRPr="001A3D2B">
        <w:br w:type="page"/>
      </w:r>
      <w:bookmarkStart w:id="819" w:name="_Toc420814745"/>
      <w:r w:rsidRPr="001A3D2B">
        <w:lastRenderedPageBreak/>
        <w:t>Title: Blood Cells Molecules</w:t>
      </w:r>
      <w:r w:rsidR="005853A9">
        <w:t xml:space="preserve"> and </w:t>
      </w:r>
      <w:r w:rsidRPr="001A3D2B">
        <w:t>Diseases</w:t>
      </w:r>
      <w:bookmarkEnd w:id="819"/>
    </w:p>
    <w:p w:rsidR="003474F2" w:rsidRPr="001A3D2B" w:rsidRDefault="003474F2" w:rsidP="003474F2">
      <w:pPr>
        <w:pStyle w:val="12"/>
      </w:pPr>
      <w:r w:rsidRPr="001A3D2B">
        <w:t>Full</w:t>
      </w:r>
      <w:bookmarkStart w:id="820" w:name="_Toc57626550"/>
      <w:bookmarkStart w:id="821" w:name="_Toc81215643"/>
      <w:r w:rsidRPr="001A3D2B">
        <w:t xml:space="preserve"> Journal Title: </w:t>
      </w:r>
      <w:r w:rsidR="00206C8A">
        <w:fldChar w:fldCharType="begin"/>
      </w:r>
      <w:r w:rsidR="00FD158B">
        <w:instrText>HYPERLINK "http://sdos.e</w:instrText>
      </w:r>
      <w:bookmarkEnd w:id="820"/>
      <w:bookmarkEnd w:id="821"/>
      <w:r w:rsidR="00FD158B">
        <w:instrText>journal.ascc.net/cgi-bin/sciserv.pl?collection=journals&amp;journal=10799796"</w:instrText>
      </w:r>
      <w:r w:rsidR="00206C8A">
        <w:fldChar w:fldCharType="separate"/>
      </w:r>
      <w:r w:rsidRPr="001A3D2B">
        <w:rPr>
          <w:rStyle w:val="a5"/>
        </w:rPr>
        <w:t>Blood Cells Molecules</w:t>
      </w:r>
      <w:r w:rsidR="005853A9">
        <w:rPr>
          <w:rStyle w:val="a5"/>
        </w:rPr>
        <w:t xml:space="preserve"> and </w:t>
      </w:r>
      <w:r w:rsidRPr="001A3D2B">
        <w:rPr>
          <w:rStyle w:val="a5"/>
        </w:rPr>
        <w:t>Diseases</w:t>
      </w:r>
      <w:r w:rsidR="00206C8A">
        <w:fldChar w:fldCharType="end"/>
      </w:r>
    </w:p>
    <w:p w:rsidR="003474F2" w:rsidRPr="001A3D2B" w:rsidRDefault="003474F2" w:rsidP="003474F2">
      <w:pPr>
        <w:pStyle w:val="12"/>
      </w:pPr>
      <w:r w:rsidRPr="001A3D2B">
        <w:t>ISO Abbreviated Title: Blood Cells Mol. Dis.</w:t>
      </w:r>
    </w:p>
    <w:p w:rsidR="003474F2" w:rsidRPr="001A3D2B" w:rsidRDefault="003474F2" w:rsidP="003474F2">
      <w:pPr>
        <w:pStyle w:val="12"/>
      </w:pPr>
      <w:r w:rsidRPr="001A3D2B">
        <w:t>JCR Abbreviated Title: Blood Cell Mol Dis</w:t>
      </w:r>
    </w:p>
    <w:p w:rsidR="003474F2" w:rsidRPr="001A3D2B" w:rsidRDefault="003474F2" w:rsidP="003474F2">
      <w:pPr>
        <w:pStyle w:val="12"/>
      </w:pPr>
      <w:r w:rsidRPr="001A3D2B">
        <w:t>ISSN: 1079-9796</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Academic Press Inc Elsevier Science</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525 B St, Ste 1900</w:t>
          </w:r>
        </w:smartTag>
        <w:r w:rsidRPr="001A3D2B">
          <w:t xml:space="preserve">, </w:t>
        </w:r>
        <w:smartTag w:uri="urn:schemas-microsoft-com:office:smarttags" w:element="City">
          <w:r w:rsidRPr="001A3D2B">
            <w:t>San Diego</w:t>
          </w:r>
        </w:smartTag>
        <w:r w:rsidRPr="001A3D2B">
          <w:t xml:space="preserve">, </w:t>
        </w:r>
        <w:smartTag w:uri="urn:schemas-microsoft-com:office:smarttags" w:element="State">
          <w:r w:rsidRPr="001A3D2B">
            <w:t>CA</w:t>
          </w:r>
        </w:smartTag>
        <w:r w:rsidRPr="001A3D2B">
          <w:t xml:space="preserve"> </w:t>
        </w:r>
        <w:smartTag w:uri="urn:schemas-microsoft-com:office:smarttags" w:element="PostalCode">
          <w:r w:rsidRPr="001A3D2B">
            <w:t>92101-4495</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Hematology: Impact Factor 1.772,/(2002)</w:t>
      </w:r>
    </w:p>
    <w:p w:rsidR="003474F2" w:rsidRPr="001A3D2B" w:rsidRDefault="003474F2" w:rsidP="003474F2">
      <w:pPr>
        <w:pStyle w:val="a3"/>
      </w:pPr>
      <w:r w:rsidRPr="001A3D2B">
        <w:t>Lichtman, M.A.</w:t>
      </w:r>
      <w:r w:rsidR="005853A9">
        <w:t xml:space="preserve"> and </w:t>
      </w:r>
      <w:r w:rsidRPr="001A3D2B">
        <w:t>Oakes, D. (2001</w:t>
      </w:r>
      <w:r w:rsidR="00F42EAC">
        <w:t>), The</w:t>
      </w:r>
      <w:r w:rsidR="003A1917">
        <w:t xml:space="preserve"> </w:t>
      </w:r>
      <w:r w:rsidRPr="001A3D2B">
        <w:t>productivity</w:t>
      </w:r>
      <w:r w:rsidR="005853A9">
        <w:t xml:space="preserve"> and </w:t>
      </w:r>
      <w:r w:rsidRPr="001A3D2B">
        <w:t>impact</w:t>
      </w:r>
      <w:r w:rsidR="00427468">
        <w:t xml:space="preserve"> of </w:t>
      </w:r>
      <w:r w:rsidR="003A1917">
        <w:t xml:space="preserve">the </w:t>
      </w:r>
      <w:r w:rsidRPr="001A3D2B">
        <w:t>leukemia &amp; lymphoma society scholar program:</w:t>
      </w:r>
      <w:r w:rsidR="003A1917">
        <w:t xml:space="preserve"> the </w:t>
      </w:r>
      <w:r w:rsidRPr="001A3D2B">
        <w:t>Apparent positive effect</w:t>
      </w:r>
      <w:r w:rsidR="00427468">
        <w:t xml:space="preserve"> of </w:t>
      </w:r>
      <w:r w:rsidRPr="001A3D2B">
        <w:t xml:space="preserve">peer review. </w:t>
      </w:r>
      <w:r w:rsidRPr="001A3D2B">
        <w:rPr>
          <w:i/>
          <w:iCs/>
        </w:rPr>
        <w:t>Blood Cells, Molecules</w:t>
      </w:r>
      <w:r w:rsidR="005853A9">
        <w:rPr>
          <w:i/>
          <w:iCs/>
        </w:rPr>
        <w:t xml:space="preserve"> and </w:t>
      </w:r>
      <w:r w:rsidRPr="001A3D2B">
        <w:rPr>
          <w:i/>
          <w:iCs/>
        </w:rPr>
        <w:t>Diseases</w:t>
      </w:r>
      <w:r w:rsidRPr="001A3D2B">
        <w:t xml:space="preserve">, </w:t>
      </w:r>
      <w:r w:rsidRPr="001A3D2B">
        <w:rPr>
          <w:b/>
          <w:bCs/>
        </w:rPr>
        <w:t>27</w:t>
      </w:r>
      <w:r w:rsidRPr="001A3D2B">
        <w:t xml:space="preserve"> (6), 1020-1027.</w:t>
      </w:r>
    </w:p>
    <w:p w:rsidR="003474F2" w:rsidRPr="001A3D2B" w:rsidRDefault="003474F2" w:rsidP="003474F2">
      <w:pPr>
        <w:pStyle w:val="a3"/>
      </w:pPr>
      <w:r w:rsidRPr="001A3D2B">
        <w:t xml:space="preserve">Full Text: </w:t>
      </w:r>
      <w:hyperlink r:id="rId1535" w:history="1">
        <w:r w:rsidRPr="001A3D2B">
          <w:rPr>
            <w:rStyle w:val="a5"/>
          </w:rPr>
          <w:t>2001\Blo Cel Mol Dis27, 1020.pdf</w:t>
        </w:r>
      </w:hyperlink>
    </w:p>
    <w:p w:rsidR="003474F2" w:rsidRPr="001A3D2B" w:rsidRDefault="003474F2" w:rsidP="003474F2">
      <w:pPr>
        <w:pStyle w:val="a3"/>
      </w:pPr>
      <w:r w:rsidRPr="001A3D2B">
        <w:t>Abstract: A study was conducted to compare</w:t>
      </w:r>
      <w:r w:rsidR="003A1917">
        <w:t xml:space="preserve"> the </w:t>
      </w:r>
      <w:r w:rsidR="00700038">
        <w:t>‘</w:t>
      </w:r>
      <w:r w:rsidRPr="001A3D2B">
        <w:t>productivity</w:t>
      </w:r>
      <w:r w:rsidR="00700038">
        <w:t>’</w:t>
      </w:r>
      <w:r w:rsidR="00427468">
        <w:t xml:space="preserve"> of </w:t>
      </w:r>
      <w:r w:rsidRPr="001A3D2B">
        <w:t>a cohort</w:t>
      </w:r>
      <w:r w:rsidR="00427468">
        <w:t xml:space="preserve"> of </w:t>
      </w:r>
      <w:r w:rsidRPr="001A3D2B">
        <w:t>research grant applicants selected by peer review to be scholars</w:t>
      </w:r>
      <w:r w:rsidR="00427468">
        <w:t xml:space="preserve"> of </w:t>
      </w:r>
      <w:r w:rsidR="003A1917">
        <w:t xml:space="preserve">the </w:t>
      </w:r>
      <w:r w:rsidRPr="001A3D2B">
        <w:t>Leukemia Society</w:t>
      </w:r>
      <w:r w:rsidR="00427468">
        <w:t xml:space="preserve"> of </w:t>
      </w:r>
      <w:r w:rsidRPr="001A3D2B">
        <w:t>America (now</w:t>
      </w:r>
      <w:r w:rsidR="003A1917">
        <w:t xml:space="preserve"> the </w:t>
      </w:r>
      <w:r w:rsidRPr="001A3D2B">
        <w:t>Leukemia &amp; Lymphoma Society) with a matched cohort</w:t>
      </w:r>
      <w:r w:rsidR="00427468">
        <w:t xml:space="preserve"> of </w:t>
      </w:r>
      <w:r w:rsidRPr="001A3D2B">
        <w:t>applicants not so selected during</w:t>
      </w:r>
      <w:r w:rsidR="003A1917">
        <w:t xml:space="preserve"> the </w:t>
      </w:r>
      <w:r w:rsidRPr="001A3D2B">
        <w:t>period 1981 to 1990. One hundred</w:t>
      </w:r>
      <w:r w:rsidR="005853A9">
        <w:t xml:space="preserve"> and </w:t>
      </w:r>
      <w:r w:rsidRPr="001A3D2B">
        <w:t>twenty-four scholars</w:t>
      </w:r>
      <w:r w:rsidR="005853A9">
        <w:t xml:space="preserve"> and </w:t>
      </w:r>
      <w:r w:rsidRPr="001A3D2B">
        <w:t>124 nonfunded applicants were studied. Two bibliometric variables</w:t>
      </w:r>
      <w:r w:rsidR="005853A9">
        <w:t xml:space="preserve"> and </w:t>
      </w:r>
      <w:r w:rsidRPr="001A3D2B">
        <w:t>their derivatives were examined from</w:t>
      </w:r>
      <w:r w:rsidR="003A1917">
        <w:t xml:space="preserve"> the </w:t>
      </w:r>
      <w:r w:rsidRPr="001A3D2B">
        <w:t>Institute</w:t>
      </w:r>
      <w:r w:rsidR="00427468">
        <w:t xml:space="preserve"> of </w:t>
      </w:r>
      <w:r w:rsidRPr="001A3D2B">
        <w:t>Scientific Information database:</w:t>
      </w:r>
      <w:r w:rsidR="003A1917">
        <w:t xml:space="preserve"> the </w:t>
      </w:r>
      <w:r w:rsidRPr="001A3D2B">
        <w:t>number</w:t>
      </w:r>
      <w:r w:rsidR="00427468">
        <w:t xml:space="preserve"> of </w:t>
      </w:r>
      <w:r w:rsidRPr="001A3D2B">
        <w:t>papers published</w:t>
      </w:r>
      <w:r w:rsidR="005853A9">
        <w:t xml:space="preserve"> and </w:t>
      </w:r>
      <w:r w:rsidR="003A1917">
        <w:t xml:space="preserve">the </w:t>
      </w:r>
      <w:r w:rsidRPr="001A3D2B">
        <w:t>number</w:t>
      </w:r>
      <w:r w:rsidR="00427468">
        <w:t xml:space="preserve"> of </w:t>
      </w:r>
      <w:r w:rsidRPr="001A3D2B">
        <w:t>citations to those papers. Published papers were measured through December 31, 1999,</w:t>
      </w:r>
      <w:r w:rsidR="005853A9">
        <w:t xml:space="preserve"> and </w:t>
      </w:r>
      <w:r w:rsidRPr="001A3D2B">
        <w:t>citation counts to these papers through December 31, 2000. Scholars published 10, 301 papers through</w:t>
      </w:r>
      <w:r w:rsidR="003A1917">
        <w:t xml:space="preserve"> the </w:t>
      </w:r>
      <w:r w:rsidRPr="001A3D2B">
        <w:t>period</w:t>
      </w:r>
      <w:r w:rsidR="00427468">
        <w:t xml:space="preserve"> of </w:t>
      </w:r>
      <w:r w:rsidRPr="001A3D2B">
        <w:t>observation</w:t>
      </w:r>
      <w:r w:rsidR="005853A9">
        <w:t xml:space="preserve"> and </w:t>
      </w:r>
      <w:r w:rsidRPr="001A3D2B">
        <w:t>nonfunded applicants published 6442 papers. Scholars</w:t>
      </w:r>
      <w:r w:rsidR="00700038">
        <w:t>’</w:t>
      </w:r>
      <w:r w:rsidRPr="001A3D2B">
        <w:t xml:space="preserve"> papers were cited 419,798 times, whereas nonfunded applicants</w:t>
      </w:r>
      <w:r w:rsidR="00700038">
        <w:t>’</w:t>
      </w:r>
      <w:r w:rsidRPr="001A3D2B">
        <w:t xml:space="preserve"> papers were cited 245,586 times</w:t>
      </w:r>
      <w:r w:rsidR="00A37C1D">
        <w:t>. The</w:t>
      </w:r>
      <w:r w:rsidR="003A1917">
        <w:t xml:space="preserve"> </w:t>
      </w:r>
      <w:r w:rsidRPr="001A3D2B">
        <w:t>mean citations per paper were 52 for scholars</w:t>
      </w:r>
      <w:r w:rsidR="005853A9">
        <w:t xml:space="preserve"> and </w:t>
      </w:r>
      <w:r w:rsidRPr="001A3D2B">
        <w:t>38 for nonfunded applicants</w:t>
      </w:r>
      <w:r w:rsidR="00A37C1D">
        <w:t>. The</w:t>
      </w:r>
      <w:r w:rsidR="003A1917">
        <w:t xml:space="preserve"> </w:t>
      </w:r>
      <w:r w:rsidRPr="001A3D2B">
        <w:t>papers published per scholar, citations per scholar,</w:t>
      </w:r>
      <w:r w:rsidR="005853A9">
        <w:t xml:space="preserve"> and </w:t>
      </w:r>
      <w:r w:rsidRPr="001A3D2B">
        <w:t>citations per paper per scholar were significantly greater than</w:t>
      </w:r>
      <w:r w:rsidR="003A1917">
        <w:t xml:space="preserve"> the </w:t>
      </w:r>
      <w:r w:rsidRPr="001A3D2B">
        <w:t>corresponding measures for nonfunded applicants (</w:t>
      </w:r>
      <w:r w:rsidRPr="001A3D2B">
        <w:rPr>
          <w:i/>
          <w:iCs/>
        </w:rPr>
        <w:t>P</w:t>
      </w:r>
      <w:r w:rsidRPr="001A3D2B">
        <w:t xml:space="preserve"> &lt; </w:t>
      </w:r>
      <w:smartTag w:uri="urn:schemas-microsoft-com:office:smarttags" w:element="chmetcnv">
        <w:smartTagPr>
          <w:attr w:name="TCSC" w:val="0"/>
          <w:attr w:name="NumberType" w:val="1"/>
          <w:attr w:name="Negative" w:val="False"/>
          <w:attr w:name="HasSpace" w:val="True"/>
          <w:attr w:name="SourceValue" w:val="0.0001"/>
          <w:attr w:name="UnitName" w:val="in"/>
        </w:smartTagPr>
        <w:r w:rsidRPr="001A3D2B">
          <w:t>0.0001 in</w:t>
        </w:r>
      </w:smartTag>
      <w:r w:rsidRPr="001A3D2B">
        <w:t xml:space="preserve"> each case). Scholar</w:t>
      </w:r>
      <w:r w:rsidR="00700038">
        <w:t>’</w:t>
      </w:r>
      <w:r w:rsidR="00C13DDC">
        <w:t>s</w:t>
      </w:r>
      <w:r w:rsidRPr="001A3D2B">
        <w:t xml:space="preserve"> papers were cited 30% more often, whereas nonfunded applicants were cited 10% more frequently, than a comparison group</w:t>
      </w:r>
      <w:r w:rsidR="00427468">
        <w:t xml:space="preserve"> of </w:t>
      </w:r>
      <w:r w:rsidRPr="001A3D2B">
        <w:t>scientists publishing in</w:t>
      </w:r>
      <w:r w:rsidR="003A1917">
        <w:t xml:space="preserve"> the </w:t>
      </w:r>
      <w:r w:rsidRPr="001A3D2B">
        <w:t>same journal in</w:t>
      </w:r>
      <w:r w:rsidR="003A1917">
        <w:t xml:space="preserve"> the </w:t>
      </w:r>
      <w:r w:rsidRPr="001A3D2B">
        <w:t>same year. High-impact papers, e.g., papers that were cited more than 200 times, were nearly three times as frequent among scholars (494 papers) as among nonfunded applicants (173 papers). This difference was highly significant</w:t>
      </w:r>
      <w:r w:rsidR="00A37C1D">
        <w:t>. The</w:t>
      </w:r>
      <w:r w:rsidR="003A1917">
        <w:t xml:space="preserve"> </w:t>
      </w:r>
      <w:r w:rsidRPr="001A3D2B">
        <w:t>good (better than baseline) performance</w:t>
      </w:r>
      <w:r w:rsidR="00427468">
        <w:t xml:space="preserve"> of </w:t>
      </w:r>
      <w:r w:rsidRPr="001A3D2B">
        <w:t xml:space="preserve">nonfunded applicants may be a </w:t>
      </w:r>
      <w:r w:rsidRPr="001A3D2B">
        <w:lastRenderedPageBreak/>
        <w:t>reflection</w:t>
      </w:r>
      <w:r w:rsidR="00427468">
        <w:t xml:space="preserve"> of </w:t>
      </w:r>
      <w:r w:rsidRPr="001A3D2B">
        <w:t>self-selection among</w:t>
      </w:r>
      <w:r w:rsidR="003A1917">
        <w:t xml:space="preserve"> the </w:t>
      </w:r>
      <w:r w:rsidRPr="001A3D2B">
        <w:t>applicant pool for this competitive award;</w:t>
      </w:r>
      <w:r w:rsidR="003A1917">
        <w:t xml:space="preserve"> the </w:t>
      </w:r>
      <w:r w:rsidRPr="001A3D2B">
        <w:t>more productive performance</w:t>
      </w:r>
      <w:r w:rsidR="00427468">
        <w:t xml:space="preserve"> of </w:t>
      </w:r>
      <w:r w:rsidR="003A1917">
        <w:t xml:space="preserve">the </w:t>
      </w:r>
      <w:r w:rsidRPr="001A3D2B">
        <w:t>scholars is probably</w:t>
      </w:r>
      <w:r w:rsidR="003A1917">
        <w:t xml:space="preserve"> the </w:t>
      </w:r>
      <w:r w:rsidRPr="001A3D2B">
        <w:t>result</w:t>
      </w:r>
      <w:r w:rsidR="00427468">
        <w:t xml:space="preserve"> of </w:t>
      </w:r>
      <w:r w:rsidR="003A1917">
        <w:t xml:space="preserve">the </w:t>
      </w:r>
      <w:r w:rsidRPr="001A3D2B">
        <w:t>selection decisions made during</w:t>
      </w:r>
      <w:r w:rsidR="003A1917">
        <w:t xml:space="preserve"> the </w:t>
      </w:r>
      <w:r w:rsidRPr="001A3D2B">
        <w:t>peer-review process.</w:t>
      </w:r>
    </w:p>
    <w:p w:rsidR="003474F2" w:rsidRPr="001A3D2B" w:rsidRDefault="003474F2" w:rsidP="003474F2">
      <w:pPr>
        <w:pStyle w:val="a3"/>
      </w:pPr>
      <w:r w:rsidRPr="001A3D2B">
        <w:t>Keywords: Career Development, Citation Impact, Impact, Peer Review, Research, Research Productivity</w:t>
      </w:r>
    </w:p>
    <w:p w:rsidR="00D22306" w:rsidRPr="00FC7835" w:rsidRDefault="00D22306" w:rsidP="00D22306">
      <w:pPr>
        <w:pStyle w:val="1"/>
      </w:pPr>
      <w:r w:rsidRPr="00FC7835">
        <w:rPr>
          <w:b w:val="0"/>
        </w:rPr>
        <w:br w:type="page"/>
      </w:r>
      <w:bookmarkStart w:id="822" w:name="_Toc420814746"/>
      <w:r w:rsidRPr="00FC7835">
        <w:lastRenderedPageBreak/>
        <w:t xml:space="preserve">Title: </w:t>
      </w:r>
      <w:r w:rsidRPr="00D22306">
        <w:rPr>
          <w:szCs w:val="24"/>
        </w:rPr>
        <w:t>Blood Coagulation &amp; Fibrinolysis</w:t>
      </w:r>
      <w:bookmarkEnd w:id="822"/>
    </w:p>
    <w:p w:rsidR="00D22306" w:rsidRPr="00FC7835" w:rsidRDefault="00D22306" w:rsidP="00D22306">
      <w:pPr>
        <w:pStyle w:val="12"/>
      </w:pPr>
      <w:r w:rsidRPr="00FC7835">
        <w:t xml:space="preserve">Full Journal Title: </w:t>
      </w:r>
      <w:r w:rsidRPr="00D22306">
        <w:rPr>
          <w:iCs/>
          <w:kern w:val="0"/>
        </w:rPr>
        <w:t>Blood Coagulation &amp; Fibrinolysis</w:t>
      </w:r>
    </w:p>
    <w:p w:rsidR="00D22306" w:rsidRPr="00FC7835" w:rsidRDefault="00D22306" w:rsidP="00D22306">
      <w:pPr>
        <w:pStyle w:val="12"/>
      </w:pPr>
      <w:r w:rsidRPr="00FC7835">
        <w:t xml:space="preserve">ISO Abbreviated Title: </w:t>
      </w:r>
    </w:p>
    <w:p w:rsidR="00D22306" w:rsidRPr="00FC7835" w:rsidRDefault="00D22306" w:rsidP="00D22306">
      <w:pPr>
        <w:pStyle w:val="12"/>
      </w:pPr>
      <w:r w:rsidRPr="00FC7835">
        <w:t xml:space="preserve">JCR Abbreviated Title: </w:t>
      </w:r>
    </w:p>
    <w:p w:rsidR="00D22306" w:rsidRPr="00FC7835" w:rsidRDefault="00D22306" w:rsidP="00D22306">
      <w:pPr>
        <w:pStyle w:val="12"/>
      </w:pPr>
      <w:r w:rsidRPr="00FC7835">
        <w:t xml:space="preserve">ISSN: </w:t>
      </w:r>
    </w:p>
    <w:p w:rsidR="00D22306" w:rsidRPr="00FC7835" w:rsidRDefault="00D22306" w:rsidP="00D22306">
      <w:pPr>
        <w:pStyle w:val="12"/>
      </w:pPr>
      <w:r w:rsidRPr="00FC7835">
        <w:t xml:space="preserve">Issues/Year: </w:t>
      </w:r>
    </w:p>
    <w:p w:rsidR="00D22306" w:rsidRPr="00FC7835" w:rsidRDefault="00D22306" w:rsidP="00D22306">
      <w:pPr>
        <w:pStyle w:val="12"/>
      </w:pPr>
      <w:r w:rsidRPr="00FC7835">
        <w:t xml:space="preserve">Journal Country/Territory: </w:t>
      </w:r>
    </w:p>
    <w:p w:rsidR="00D22306" w:rsidRPr="00FC7835" w:rsidRDefault="00D22306" w:rsidP="00D22306">
      <w:pPr>
        <w:pStyle w:val="12"/>
      </w:pPr>
      <w:r w:rsidRPr="00FC7835">
        <w:t xml:space="preserve">Language: </w:t>
      </w:r>
    </w:p>
    <w:p w:rsidR="00D22306" w:rsidRPr="00FC7835" w:rsidRDefault="00D22306" w:rsidP="00D22306">
      <w:pPr>
        <w:pStyle w:val="12"/>
      </w:pPr>
      <w:r w:rsidRPr="00FC7835">
        <w:t xml:space="preserve">Publisher: </w:t>
      </w:r>
    </w:p>
    <w:p w:rsidR="00D22306" w:rsidRPr="00FC7835" w:rsidRDefault="00D22306" w:rsidP="00D22306">
      <w:pPr>
        <w:pStyle w:val="12"/>
      </w:pPr>
      <w:r w:rsidRPr="00FC7835">
        <w:t xml:space="preserve">Publisher Address: </w:t>
      </w:r>
    </w:p>
    <w:p w:rsidR="00D22306" w:rsidRPr="00FC7835" w:rsidRDefault="00D22306" w:rsidP="00D22306">
      <w:pPr>
        <w:pStyle w:val="12"/>
      </w:pPr>
      <w:r w:rsidRPr="00FC7835">
        <w:t xml:space="preserve">Subject Categories: </w:t>
      </w:r>
    </w:p>
    <w:p w:rsidR="00D22306" w:rsidRPr="00FC7835" w:rsidRDefault="00D22306" w:rsidP="00D22306">
      <w:pPr>
        <w:pStyle w:val="12"/>
      </w:pPr>
      <w:r w:rsidRPr="00FC7835">
        <w:t xml:space="preserve">: Impact Factor </w:t>
      </w:r>
    </w:p>
    <w:p w:rsidR="00D22306" w:rsidRDefault="00D22306" w:rsidP="00D22306">
      <w:pPr>
        <w:pStyle w:val="a3"/>
        <w:rPr>
          <w:kern w:val="0"/>
          <w:szCs w:val="24"/>
        </w:rPr>
      </w:pPr>
      <w:r>
        <w:rPr>
          <w:rFonts w:hint="eastAsia"/>
          <w:kern w:val="0"/>
          <w:szCs w:val="24"/>
        </w:rPr>
        <w:t xml:space="preserve">? </w:t>
      </w:r>
      <w:r>
        <w:rPr>
          <w:kern w:val="0"/>
          <w:szCs w:val="24"/>
        </w:rPr>
        <w:t>Rashish, G., Paes, B.A., Nagel, K., Chan, A.K.</w:t>
      </w:r>
      <w:r w:rsidR="005853A9">
        <w:rPr>
          <w:kern w:val="0"/>
          <w:szCs w:val="24"/>
        </w:rPr>
        <w:t xml:space="preserve"> and </w:t>
      </w:r>
      <w:r>
        <w:rPr>
          <w:kern w:val="0"/>
          <w:szCs w:val="24"/>
        </w:rPr>
        <w:t>Thomas, S. (2013), Spontaneous neonatal arterial thromboembolism: Infants at risk, diagnosis, treatment,</w:t>
      </w:r>
      <w:r w:rsidR="005853A9">
        <w:rPr>
          <w:kern w:val="0"/>
          <w:szCs w:val="24"/>
        </w:rPr>
        <w:t xml:space="preserve"> and </w:t>
      </w:r>
      <w:r>
        <w:rPr>
          <w:kern w:val="0"/>
          <w:szCs w:val="24"/>
        </w:rPr>
        <w:t xml:space="preserve">outcomes. </w:t>
      </w:r>
      <w:r w:rsidRPr="00D22306">
        <w:rPr>
          <w:i/>
          <w:iCs/>
          <w:kern w:val="0"/>
          <w:szCs w:val="24"/>
        </w:rPr>
        <w:t>Blood Coagulation &amp; Fibrinolysis</w:t>
      </w:r>
      <w:r>
        <w:rPr>
          <w:kern w:val="0"/>
          <w:szCs w:val="24"/>
        </w:rPr>
        <w:t xml:space="preserve">, </w:t>
      </w:r>
      <w:r>
        <w:rPr>
          <w:b/>
          <w:bCs/>
          <w:kern w:val="0"/>
          <w:szCs w:val="24"/>
        </w:rPr>
        <w:t>24</w:t>
      </w:r>
      <w:r>
        <w:rPr>
          <w:kern w:val="0"/>
          <w:szCs w:val="24"/>
        </w:rPr>
        <w:t xml:space="preserve"> (8), 787-797.</w:t>
      </w:r>
    </w:p>
    <w:p w:rsidR="00D22306" w:rsidRDefault="00D22306" w:rsidP="00D22306">
      <w:pPr>
        <w:pStyle w:val="a3"/>
        <w:rPr>
          <w:kern w:val="0"/>
          <w:szCs w:val="24"/>
        </w:rPr>
      </w:pPr>
      <w:r>
        <w:rPr>
          <w:rFonts w:hint="eastAsia"/>
          <w:kern w:val="0"/>
          <w:szCs w:val="24"/>
        </w:rPr>
        <w:t>Full Text: 2013\</w:t>
      </w:r>
      <w:r>
        <w:rPr>
          <w:iCs/>
          <w:kern w:val="0"/>
          <w:szCs w:val="24"/>
        </w:rPr>
        <w:t>Bl</w:t>
      </w:r>
      <w:r>
        <w:rPr>
          <w:rFonts w:hint="eastAsia"/>
          <w:iCs/>
          <w:kern w:val="0"/>
          <w:szCs w:val="24"/>
        </w:rPr>
        <w:t>o</w:t>
      </w:r>
      <w:r>
        <w:rPr>
          <w:iCs/>
          <w:kern w:val="0"/>
          <w:szCs w:val="24"/>
        </w:rPr>
        <w:t xml:space="preserve"> Coa Fib</w:t>
      </w:r>
      <w:r w:rsidRPr="009861BA">
        <w:rPr>
          <w:bCs/>
          <w:kern w:val="0"/>
          <w:szCs w:val="24"/>
        </w:rPr>
        <w:t>24</w:t>
      </w:r>
      <w:r>
        <w:rPr>
          <w:kern w:val="0"/>
          <w:szCs w:val="24"/>
        </w:rPr>
        <w:t>, 787</w:t>
      </w:r>
      <w:r>
        <w:rPr>
          <w:rFonts w:hint="eastAsia"/>
          <w:kern w:val="0"/>
          <w:szCs w:val="24"/>
        </w:rPr>
        <w:t>.pdf</w:t>
      </w:r>
    </w:p>
    <w:p w:rsidR="00D22306" w:rsidRDefault="00D22306" w:rsidP="00D22306">
      <w:pPr>
        <w:pStyle w:val="a3"/>
        <w:rPr>
          <w:kern w:val="0"/>
          <w:szCs w:val="24"/>
        </w:rPr>
      </w:pPr>
      <w:r>
        <w:rPr>
          <w:kern w:val="0"/>
          <w:szCs w:val="24"/>
        </w:rPr>
        <w:t>Abstract: Neonatal spontaneous arterial thromboembolism is a rare phenomenon with a high risk</w:t>
      </w:r>
      <w:r w:rsidR="00427468">
        <w:rPr>
          <w:kern w:val="0"/>
          <w:szCs w:val="24"/>
        </w:rPr>
        <w:t xml:space="preserve"> of </w:t>
      </w:r>
      <w:r>
        <w:rPr>
          <w:kern w:val="0"/>
          <w:szCs w:val="24"/>
        </w:rPr>
        <w:t>morbidity</w:t>
      </w:r>
      <w:r w:rsidR="005853A9">
        <w:rPr>
          <w:kern w:val="0"/>
          <w:szCs w:val="24"/>
        </w:rPr>
        <w:t xml:space="preserve"> and </w:t>
      </w:r>
      <w:r>
        <w:rPr>
          <w:kern w:val="0"/>
          <w:szCs w:val="24"/>
        </w:rPr>
        <w:t>mortality. Currently, there is little information regarding common risk factors, diagnostic strategies, therapeutic interventions,</w:t>
      </w:r>
      <w:r w:rsidR="005853A9">
        <w:rPr>
          <w:kern w:val="0"/>
          <w:szCs w:val="24"/>
        </w:rPr>
        <w:t xml:space="preserve"> and </w:t>
      </w:r>
      <w:r>
        <w:rPr>
          <w:kern w:val="0"/>
          <w:szCs w:val="24"/>
        </w:rPr>
        <w:t>outcomes</w:t>
      </w:r>
      <w:r w:rsidR="00427468">
        <w:rPr>
          <w:kern w:val="0"/>
          <w:szCs w:val="24"/>
        </w:rPr>
        <w:t xml:space="preserve"> of </w:t>
      </w:r>
      <w:r>
        <w:rPr>
          <w:kern w:val="0"/>
          <w:szCs w:val="24"/>
        </w:rPr>
        <w:t>this condition</w:t>
      </w:r>
      <w:r w:rsidR="00A37C1D">
        <w:rPr>
          <w:kern w:val="0"/>
          <w:szCs w:val="24"/>
        </w:rPr>
        <w:t>. The</w:t>
      </w:r>
      <w:r>
        <w:rPr>
          <w:kern w:val="0"/>
          <w:szCs w:val="24"/>
        </w:rPr>
        <w:t xml:space="preserve"> objective was to nucleate the best evidence regarding the disorder in order to facilitate early detection</w:t>
      </w:r>
      <w:r w:rsidR="005853A9">
        <w:rPr>
          <w:kern w:val="0"/>
          <w:szCs w:val="24"/>
        </w:rPr>
        <w:t xml:space="preserve"> and </w:t>
      </w:r>
      <w:r>
        <w:rPr>
          <w:kern w:val="0"/>
          <w:szCs w:val="24"/>
        </w:rPr>
        <w:t>treatment recommendations</w:t>
      </w:r>
      <w:r w:rsidR="005853A9">
        <w:rPr>
          <w:kern w:val="0"/>
          <w:szCs w:val="24"/>
        </w:rPr>
        <w:t xml:space="preserve"> and </w:t>
      </w:r>
      <w:r>
        <w:rPr>
          <w:kern w:val="0"/>
          <w:szCs w:val="24"/>
        </w:rPr>
        <w:t xml:space="preserve">document adverse outcomes. </w:t>
      </w:r>
      <w:r w:rsidR="00D5664A">
        <w:rPr>
          <w:kern w:val="0"/>
          <w:szCs w:val="24"/>
        </w:rPr>
        <w:t>Web</w:t>
      </w:r>
      <w:r w:rsidR="00427468">
        <w:rPr>
          <w:kern w:val="0"/>
          <w:szCs w:val="24"/>
        </w:rPr>
        <w:t xml:space="preserve"> of </w:t>
      </w:r>
      <w:r w:rsidR="00D5664A">
        <w:rPr>
          <w:kern w:val="0"/>
          <w:szCs w:val="24"/>
        </w:rPr>
        <w:t>Science</w:t>
      </w:r>
      <w:r>
        <w:rPr>
          <w:kern w:val="0"/>
          <w:szCs w:val="24"/>
        </w:rPr>
        <w:t xml:space="preserve">, PubMed, </w:t>
      </w:r>
      <w:r w:rsidR="00D5664A">
        <w:rPr>
          <w:kern w:val="0"/>
          <w:szCs w:val="24"/>
        </w:rPr>
        <w:t>MEDLINE</w:t>
      </w:r>
      <w:r>
        <w:rPr>
          <w:kern w:val="0"/>
          <w:szCs w:val="24"/>
        </w:rPr>
        <w:t>, CINAHL, Cochrane Databases, DARE,</w:t>
      </w:r>
      <w:r w:rsidR="005853A9">
        <w:rPr>
          <w:kern w:val="0"/>
          <w:szCs w:val="24"/>
        </w:rPr>
        <w:t xml:space="preserve"> and </w:t>
      </w:r>
      <w:r>
        <w:rPr>
          <w:kern w:val="0"/>
          <w:szCs w:val="24"/>
        </w:rPr>
        <w:t>OVID databases were searched using the following keywords: arterial</w:t>
      </w:r>
      <w:r w:rsidR="00700038">
        <w:rPr>
          <w:kern w:val="0"/>
          <w:szCs w:val="24"/>
        </w:rPr>
        <w:t>’</w:t>
      </w:r>
      <w:r w:rsidR="005853A9">
        <w:rPr>
          <w:kern w:val="0"/>
          <w:szCs w:val="24"/>
        </w:rPr>
        <w:t xml:space="preserve"> and </w:t>
      </w:r>
      <w:r>
        <w:rPr>
          <w:kern w:val="0"/>
          <w:szCs w:val="24"/>
        </w:rPr>
        <w:t>thrombus</w:t>
      </w:r>
      <w:r w:rsidR="00700038">
        <w:rPr>
          <w:kern w:val="0"/>
          <w:szCs w:val="24"/>
        </w:rPr>
        <w:t>’</w:t>
      </w:r>
      <w:r>
        <w:rPr>
          <w:kern w:val="0"/>
          <w:szCs w:val="24"/>
        </w:rPr>
        <w:t xml:space="preserve"> OR thrombosis</w:t>
      </w:r>
      <w:r w:rsidR="00700038">
        <w:rPr>
          <w:kern w:val="0"/>
          <w:szCs w:val="24"/>
        </w:rPr>
        <w:t>’</w:t>
      </w:r>
      <w:r>
        <w:rPr>
          <w:kern w:val="0"/>
          <w:szCs w:val="24"/>
        </w:rPr>
        <w:t xml:space="preserve"> OR thromboembolism</w:t>
      </w:r>
      <w:r w:rsidR="00700038">
        <w:rPr>
          <w:kern w:val="0"/>
          <w:szCs w:val="24"/>
        </w:rPr>
        <w:t>’</w:t>
      </w:r>
      <w:r>
        <w:rPr>
          <w:kern w:val="0"/>
          <w:szCs w:val="24"/>
        </w:rPr>
        <w:t xml:space="preserve"> OR embolism</w:t>
      </w:r>
      <w:r w:rsidR="00700038">
        <w:rPr>
          <w:kern w:val="0"/>
          <w:szCs w:val="24"/>
        </w:rPr>
        <w:t>’</w:t>
      </w:r>
      <w:r w:rsidR="005853A9">
        <w:rPr>
          <w:kern w:val="0"/>
          <w:szCs w:val="24"/>
        </w:rPr>
        <w:t xml:space="preserve"> and </w:t>
      </w:r>
      <w:r>
        <w:rPr>
          <w:kern w:val="0"/>
          <w:szCs w:val="24"/>
        </w:rPr>
        <w:t>spontaneous</w:t>
      </w:r>
      <w:r w:rsidR="00700038">
        <w:rPr>
          <w:kern w:val="0"/>
          <w:szCs w:val="24"/>
        </w:rPr>
        <w:t>’</w:t>
      </w:r>
      <w:r w:rsidR="005853A9">
        <w:rPr>
          <w:kern w:val="0"/>
          <w:szCs w:val="24"/>
        </w:rPr>
        <w:t xml:space="preserve"> and </w:t>
      </w:r>
      <w:r>
        <w:rPr>
          <w:kern w:val="0"/>
          <w:szCs w:val="24"/>
        </w:rPr>
        <w:t>at birth</w:t>
      </w:r>
      <w:r w:rsidR="00700038">
        <w:rPr>
          <w:kern w:val="0"/>
          <w:szCs w:val="24"/>
        </w:rPr>
        <w:t>’</w:t>
      </w:r>
      <w:r>
        <w:rPr>
          <w:kern w:val="0"/>
          <w:szCs w:val="24"/>
        </w:rPr>
        <w:t xml:space="preserve"> OR newborn</w:t>
      </w:r>
      <w:r w:rsidR="00700038">
        <w:rPr>
          <w:kern w:val="0"/>
          <w:szCs w:val="24"/>
        </w:rPr>
        <w:t>’</w:t>
      </w:r>
      <w:r>
        <w:rPr>
          <w:kern w:val="0"/>
          <w:szCs w:val="24"/>
        </w:rPr>
        <w:t xml:space="preserve"> OR neonatal</w:t>
      </w:r>
      <w:r w:rsidR="00700038">
        <w:rPr>
          <w:kern w:val="0"/>
          <w:szCs w:val="24"/>
        </w:rPr>
        <w:t>’</w:t>
      </w:r>
      <w:r>
        <w:rPr>
          <w:kern w:val="0"/>
          <w:szCs w:val="24"/>
        </w:rPr>
        <w:t xml:space="preserve"> OR fetal</w:t>
      </w:r>
      <w:r w:rsidR="00700038">
        <w:rPr>
          <w:kern w:val="0"/>
          <w:szCs w:val="24"/>
        </w:rPr>
        <w:t>’</w:t>
      </w:r>
      <w:r w:rsidR="005853A9">
        <w:rPr>
          <w:kern w:val="0"/>
          <w:szCs w:val="24"/>
        </w:rPr>
        <w:t xml:space="preserve"> and </w:t>
      </w:r>
      <w:r>
        <w:rPr>
          <w:kern w:val="0"/>
          <w:szCs w:val="24"/>
        </w:rPr>
        <w:t>umbilical cord</w:t>
      </w:r>
      <w:r w:rsidR="00700038">
        <w:rPr>
          <w:kern w:val="0"/>
          <w:szCs w:val="24"/>
        </w:rPr>
        <w:t>’</w:t>
      </w:r>
      <w:r>
        <w:rPr>
          <w:kern w:val="0"/>
          <w:szCs w:val="24"/>
        </w:rPr>
        <w:t xml:space="preserve"> OR umbilical wall necrosis</w:t>
      </w:r>
      <w:r w:rsidR="00700038">
        <w:rPr>
          <w:kern w:val="0"/>
          <w:szCs w:val="24"/>
        </w:rPr>
        <w:t>’</w:t>
      </w:r>
      <w:r w:rsidR="005853A9">
        <w:rPr>
          <w:kern w:val="0"/>
          <w:szCs w:val="24"/>
        </w:rPr>
        <w:t xml:space="preserve"> and </w:t>
      </w:r>
      <w:r>
        <w:rPr>
          <w:kern w:val="0"/>
          <w:szCs w:val="24"/>
        </w:rPr>
        <w:t>coagulation abnormality</w:t>
      </w:r>
      <w:r w:rsidR="00700038">
        <w:rPr>
          <w:kern w:val="0"/>
          <w:szCs w:val="24"/>
        </w:rPr>
        <w:t>’</w:t>
      </w:r>
      <w:r>
        <w:rPr>
          <w:kern w:val="0"/>
          <w:szCs w:val="24"/>
        </w:rPr>
        <w:t xml:space="preserve"> OR placenta bits</w:t>
      </w:r>
      <w:r w:rsidR="00700038">
        <w:rPr>
          <w:kern w:val="0"/>
          <w:szCs w:val="24"/>
        </w:rPr>
        <w:t>’</w:t>
      </w:r>
      <w:r>
        <w:rPr>
          <w:kern w:val="0"/>
          <w:szCs w:val="24"/>
        </w:rPr>
        <w:t xml:space="preserve"> OR ischemic limbs</w:t>
      </w:r>
      <w:r w:rsidR="00700038">
        <w:rPr>
          <w:kern w:val="0"/>
          <w:szCs w:val="24"/>
        </w:rPr>
        <w:t>’</w:t>
      </w:r>
      <w:r w:rsidR="00A37C1D">
        <w:rPr>
          <w:kern w:val="0"/>
          <w:szCs w:val="24"/>
        </w:rPr>
        <w:t>. The</w:t>
      </w:r>
      <w:r>
        <w:rPr>
          <w:kern w:val="0"/>
          <w:szCs w:val="24"/>
        </w:rPr>
        <w:t xml:space="preserve"> search yielded 172 articles, all</w:t>
      </w:r>
      <w:r w:rsidR="00427468">
        <w:rPr>
          <w:kern w:val="0"/>
          <w:szCs w:val="24"/>
        </w:rPr>
        <w:t xml:space="preserve"> of </w:t>
      </w:r>
      <w:r>
        <w:rPr>
          <w:kern w:val="0"/>
          <w:szCs w:val="24"/>
        </w:rPr>
        <w:t>which were case series or single case descriptions. Twenty-seven met inclusion criteria, with a total</w:t>
      </w:r>
      <w:r w:rsidR="00427468">
        <w:rPr>
          <w:kern w:val="0"/>
          <w:szCs w:val="24"/>
        </w:rPr>
        <w:t xml:space="preserve"> of </w:t>
      </w:r>
      <w:r>
        <w:rPr>
          <w:kern w:val="0"/>
          <w:szCs w:val="24"/>
        </w:rPr>
        <w:t>53 newborns</w:t>
      </w:r>
      <w:r w:rsidR="005853A9">
        <w:rPr>
          <w:kern w:val="0"/>
          <w:szCs w:val="24"/>
        </w:rPr>
        <w:t xml:space="preserve"> and </w:t>
      </w:r>
      <w:r>
        <w:rPr>
          <w:kern w:val="0"/>
          <w:szCs w:val="24"/>
        </w:rPr>
        <w:t>30 newborn pathology reports. Ultrasound was the preferred method</w:t>
      </w:r>
      <w:r w:rsidR="00427468">
        <w:rPr>
          <w:kern w:val="0"/>
          <w:szCs w:val="24"/>
        </w:rPr>
        <w:t xml:space="preserve"> of </w:t>
      </w:r>
      <w:r>
        <w:rPr>
          <w:kern w:val="0"/>
          <w:szCs w:val="24"/>
        </w:rPr>
        <w:t>diagnosis</w:t>
      </w:r>
      <w:r w:rsidR="005853A9">
        <w:rPr>
          <w:kern w:val="0"/>
          <w:szCs w:val="24"/>
        </w:rPr>
        <w:t xml:space="preserve"> and </w:t>
      </w:r>
      <w:r>
        <w:rPr>
          <w:kern w:val="0"/>
          <w:szCs w:val="24"/>
        </w:rPr>
        <w:t>thromboembolic locations varied with the most common site being umbilical, resulting in embolism</w:t>
      </w:r>
      <w:r w:rsidR="005853A9">
        <w:rPr>
          <w:kern w:val="0"/>
          <w:szCs w:val="24"/>
        </w:rPr>
        <w:t xml:space="preserve"> and </w:t>
      </w:r>
      <w:r>
        <w:rPr>
          <w:kern w:val="0"/>
          <w:szCs w:val="24"/>
        </w:rPr>
        <w:t>vascular compromise. Treatment interventions</w:t>
      </w:r>
      <w:r w:rsidR="005853A9">
        <w:rPr>
          <w:kern w:val="0"/>
          <w:szCs w:val="24"/>
        </w:rPr>
        <w:t xml:space="preserve"> and </w:t>
      </w:r>
      <w:r>
        <w:rPr>
          <w:kern w:val="0"/>
          <w:szCs w:val="24"/>
        </w:rPr>
        <w:t>drug dosages were not standardized</w:t>
      </w:r>
      <w:r w:rsidR="005853A9">
        <w:rPr>
          <w:kern w:val="0"/>
          <w:szCs w:val="24"/>
        </w:rPr>
        <w:t xml:space="preserve"> and </w:t>
      </w:r>
      <w:r>
        <w:rPr>
          <w:kern w:val="0"/>
          <w:szCs w:val="24"/>
        </w:rPr>
        <w:t>ranged from use</w:t>
      </w:r>
      <w:r w:rsidR="00427468">
        <w:rPr>
          <w:kern w:val="0"/>
          <w:szCs w:val="24"/>
        </w:rPr>
        <w:t xml:space="preserve"> of </w:t>
      </w:r>
      <w:r>
        <w:rPr>
          <w:kern w:val="0"/>
          <w:szCs w:val="24"/>
        </w:rPr>
        <w:t>anticoagulants to surgery</w:t>
      </w:r>
      <w:r w:rsidR="005853A9">
        <w:rPr>
          <w:kern w:val="0"/>
          <w:szCs w:val="24"/>
        </w:rPr>
        <w:t xml:space="preserve"> and </w:t>
      </w:r>
      <w:r>
        <w:rPr>
          <w:kern w:val="0"/>
          <w:szCs w:val="24"/>
        </w:rPr>
        <w:t>hyperbaric oxygen</w:t>
      </w:r>
      <w:r w:rsidR="00A37C1D">
        <w:rPr>
          <w:kern w:val="0"/>
          <w:szCs w:val="24"/>
        </w:rPr>
        <w:t>. The</w:t>
      </w:r>
      <w:r>
        <w:rPr>
          <w:kern w:val="0"/>
          <w:szCs w:val="24"/>
        </w:rPr>
        <w:t xml:space="preserve"> reported mortality rate was 32.8%. Recurring etiological features facilitated identification</w:t>
      </w:r>
      <w:r w:rsidR="00427468">
        <w:rPr>
          <w:kern w:val="0"/>
          <w:szCs w:val="24"/>
        </w:rPr>
        <w:t xml:space="preserve"> of </w:t>
      </w:r>
      <w:r>
        <w:rPr>
          <w:kern w:val="0"/>
          <w:szCs w:val="24"/>
        </w:rPr>
        <w:t>possible sequences</w:t>
      </w:r>
      <w:r w:rsidR="00427468">
        <w:rPr>
          <w:kern w:val="0"/>
          <w:szCs w:val="24"/>
        </w:rPr>
        <w:t xml:space="preserve"> of </w:t>
      </w:r>
      <w:r>
        <w:rPr>
          <w:kern w:val="0"/>
          <w:szCs w:val="24"/>
        </w:rPr>
        <w:t>events contributing to the disorder</w:t>
      </w:r>
      <w:r w:rsidR="00A37C1D">
        <w:rPr>
          <w:kern w:val="0"/>
          <w:szCs w:val="24"/>
        </w:rPr>
        <w:t>. The</w:t>
      </w:r>
      <w:r>
        <w:rPr>
          <w:kern w:val="0"/>
          <w:szCs w:val="24"/>
        </w:rPr>
        <w:t xml:space="preserve"> literature lacks empirical evidence to affirm causes</w:t>
      </w:r>
      <w:r w:rsidR="005853A9">
        <w:rPr>
          <w:kern w:val="0"/>
          <w:szCs w:val="24"/>
        </w:rPr>
        <w:t xml:space="preserve"> and </w:t>
      </w:r>
      <w:r>
        <w:rPr>
          <w:kern w:val="0"/>
          <w:szCs w:val="24"/>
        </w:rPr>
        <w:t>predisposing risk factors for timely diagnosis</w:t>
      </w:r>
      <w:r w:rsidR="005853A9">
        <w:rPr>
          <w:kern w:val="0"/>
          <w:szCs w:val="24"/>
        </w:rPr>
        <w:t xml:space="preserve"> and </w:t>
      </w:r>
      <w:r>
        <w:rPr>
          <w:kern w:val="0"/>
          <w:szCs w:val="24"/>
        </w:rPr>
        <w:t>effective treatment</w:t>
      </w:r>
      <w:r w:rsidR="00427468">
        <w:rPr>
          <w:kern w:val="0"/>
          <w:szCs w:val="24"/>
        </w:rPr>
        <w:t xml:space="preserve"> of </w:t>
      </w:r>
      <w:r>
        <w:rPr>
          <w:kern w:val="0"/>
          <w:szCs w:val="24"/>
        </w:rPr>
        <w:t xml:space="preserve">spontaneous neonatal arterial thromboembolism. Further research is </w:t>
      </w:r>
      <w:r>
        <w:rPr>
          <w:kern w:val="0"/>
          <w:szCs w:val="24"/>
        </w:rPr>
        <w:lastRenderedPageBreak/>
        <w:t>needed to clearly establish the causes</w:t>
      </w:r>
      <w:r w:rsidR="005853A9">
        <w:rPr>
          <w:kern w:val="0"/>
          <w:szCs w:val="24"/>
        </w:rPr>
        <w:t xml:space="preserve"> and </w:t>
      </w:r>
      <w:r>
        <w:rPr>
          <w:kern w:val="0"/>
          <w:szCs w:val="24"/>
        </w:rPr>
        <w:t>the efficacy</w:t>
      </w:r>
      <w:r w:rsidR="00427468">
        <w:rPr>
          <w:kern w:val="0"/>
          <w:szCs w:val="24"/>
        </w:rPr>
        <w:t xml:space="preserve"> of </w:t>
      </w:r>
      <w:r>
        <w:rPr>
          <w:kern w:val="0"/>
          <w:szCs w:val="24"/>
        </w:rPr>
        <w:t>specific treatment options. (C) 2013 Wolters Kluwer Health vertical bar Lippincott Williams &amp; Wilkins.</w:t>
      </w:r>
    </w:p>
    <w:p w:rsidR="00D22306" w:rsidRDefault="00D22306" w:rsidP="00D22306">
      <w:pPr>
        <w:pStyle w:val="a3"/>
        <w:rPr>
          <w:kern w:val="0"/>
          <w:szCs w:val="24"/>
        </w:rPr>
      </w:pPr>
      <w:r>
        <w:rPr>
          <w:kern w:val="0"/>
          <w:szCs w:val="24"/>
        </w:rPr>
        <w:t xml:space="preserve">Keywords: Adverse Outcomes, Aortic-Arch Thrombosis, Arterial Thromboembolism, Birth, Blood, Canada, Cerebral Infarction, Coagulation, Criteria, Databases, Developmental Hemostasis, Diabetic Mother, Diagnosis, Drug, Efficacy, Embolism, Events, Evidence, Fetal, Human Coagulation System, Hyperbaric Oxygen, Identification, Infants, Information, Interventions, Ischemic-Stroke, Literature, </w:t>
      </w:r>
      <w:r w:rsidR="00D5664A">
        <w:rPr>
          <w:kern w:val="0"/>
          <w:szCs w:val="24"/>
        </w:rPr>
        <w:t>MEDLINE</w:t>
      </w:r>
      <w:r>
        <w:rPr>
          <w:kern w:val="0"/>
          <w:szCs w:val="24"/>
        </w:rPr>
        <w:t xml:space="preserve">, Molecular-Weight Heparin, Morbidity, Mortality, Mortality Rate, Necrosis, Neonatal, Neonate, Newborn, Newborn-Infant, Newborns, Options, Outcomes, Oxygen, Pathology, Placenta, Pubmed, Recommendations, Research, Review, Risk, Risk Factor, Risk Factors, Science, Site, Spontaneous, Surgery, Therapeutic, Thromboembolism, Thrombolytic Therapy, Thrombosis, Tissue-Plasminogen Activator, Treatment, Ultrasound, Umbilical, Umbilical Cord, </w:t>
      </w:r>
      <w:r w:rsidR="00D5664A">
        <w:rPr>
          <w:kern w:val="0"/>
          <w:szCs w:val="24"/>
        </w:rPr>
        <w:t>USA</w:t>
      </w:r>
      <w:r>
        <w:rPr>
          <w:kern w:val="0"/>
          <w:szCs w:val="24"/>
        </w:rPr>
        <w:t xml:space="preserve">, Vertical, </w:t>
      </w:r>
      <w:r w:rsidR="00D5664A">
        <w:rPr>
          <w:kern w:val="0"/>
          <w:szCs w:val="24"/>
        </w:rPr>
        <w:t>Web</w:t>
      </w:r>
      <w:r w:rsidR="00427468">
        <w:rPr>
          <w:kern w:val="0"/>
          <w:szCs w:val="24"/>
        </w:rPr>
        <w:t xml:space="preserve"> of </w:t>
      </w:r>
      <w:r w:rsidR="00D5664A">
        <w:rPr>
          <w:kern w:val="0"/>
          <w:szCs w:val="24"/>
        </w:rPr>
        <w:t>Science</w:t>
      </w:r>
    </w:p>
    <w:p w:rsidR="000D4317" w:rsidRPr="00FC7835" w:rsidRDefault="000D4317" w:rsidP="000D4317">
      <w:pPr>
        <w:pStyle w:val="1"/>
      </w:pPr>
      <w:r w:rsidRPr="00FC7835">
        <w:rPr>
          <w:b w:val="0"/>
        </w:rPr>
        <w:br w:type="page"/>
      </w:r>
      <w:bookmarkStart w:id="823" w:name="_Toc420814747"/>
      <w:r w:rsidRPr="00FC7835">
        <w:lastRenderedPageBreak/>
        <w:t xml:space="preserve">Title: </w:t>
      </w:r>
      <w:r w:rsidRPr="00D414F7">
        <w:rPr>
          <w:szCs w:val="24"/>
        </w:rPr>
        <w:t>Blood Pressure</w:t>
      </w:r>
      <w:bookmarkEnd w:id="823"/>
    </w:p>
    <w:p w:rsidR="000D4317" w:rsidRPr="00FC7835" w:rsidRDefault="000D4317" w:rsidP="000D4317">
      <w:pPr>
        <w:pStyle w:val="12"/>
      </w:pPr>
      <w:r w:rsidRPr="00FC7835">
        <w:t xml:space="preserve">Full Journal Title: </w:t>
      </w:r>
      <w:r w:rsidRPr="00D414F7">
        <w:rPr>
          <w:iCs/>
          <w:kern w:val="0"/>
        </w:rPr>
        <w:t>Blood Pressure</w:t>
      </w:r>
    </w:p>
    <w:p w:rsidR="000D4317" w:rsidRPr="00FC7835" w:rsidRDefault="000D4317" w:rsidP="000D4317">
      <w:pPr>
        <w:pStyle w:val="12"/>
      </w:pPr>
      <w:r w:rsidRPr="00FC7835">
        <w:t xml:space="preserve">ISO Abbreviated Title: </w:t>
      </w:r>
    </w:p>
    <w:p w:rsidR="000D4317" w:rsidRPr="00FC7835" w:rsidRDefault="000D4317" w:rsidP="000D4317">
      <w:pPr>
        <w:pStyle w:val="12"/>
      </w:pPr>
      <w:r w:rsidRPr="00FC7835">
        <w:t xml:space="preserve">JCR Abbreviated Title: </w:t>
      </w:r>
    </w:p>
    <w:p w:rsidR="000D4317" w:rsidRPr="00FC7835" w:rsidRDefault="000D4317" w:rsidP="000D4317">
      <w:pPr>
        <w:pStyle w:val="12"/>
      </w:pPr>
      <w:r w:rsidRPr="00FC7835">
        <w:t xml:space="preserve">ISSN: </w:t>
      </w:r>
    </w:p>
    <w:p w:rsidR="000D4317" w:rsidRPr="00FC7835" w:rsidRDefault="000D4317" w:rsidP="000D4317">
      <w:pPr>
        <w:pStyle w:val="12"/>
      </w:pPr>
      <w:r w:rsidRPr="00FC7835">
        <w:t xml:space="preserve">Issues/Year: </w:t>
      </w:r>
    </w:p>
    <w:p w:rsidR="000D4317" w:rsidRPr="00FC7835" w:rsidRDefault="000D4317" w:rsidP="000D4317">
      <w:pPr>
        <w:pStyle w:val="12"/>
      </w:pPr>
      <w:r w:rsidRPr="00FC7835">
        <w:t xml:space="preserve">Journal Country/Territory: </w:t>
      </w:r>
    </w:p>
    <w:p w:rsidR="000D4317" w:rsidRPr="00FC7835" w:rsidRDefault="000D4317" w:rsidP="000D4317">
      <w:pPr>
        <w:pStyle w:val="12"/>
      </w:pPr>
      <w:r w:rsidRPr="00FC7835">
        <w:t xml:space="preserve">Language: </w:t>
      </w:r>
    </w:p>
    <w:p w:rsidR="000D4317" w:rsidRPr="00FC7835" w:rsidRDefault="000D4317" w:rsidP="000D4317">
      <w:pPr>
        <w:pStyle w:val="12"/>
      </w:pPr>
      <w:r w:rsidRPr="00FC7835">
        <w:t xml:space="preserve">Publisher: </w:t>
      </w:r>
    </w:p>
    <w:p w:rsidR="000D4317" w:rsidRPr="00FC7835" w:rsidRDefault="000D4317" w:rsidP="000D4317">
      <w:pPr>
        <w:pStyle w:val="12"/>
      </w:pPr>
      <w:r w:rsidRPr="00FC7835">
        <w:t xml:space="preserve">Publisher Address: </w:t>
      </w:r>
    </w:p>
    <w:p w:rsidR="000D4317" w:rsidRPr="00FC7835" w:rsidRDefault="000D4317" w:rsidP="000D4317">
      <w:pPr>
        <w:pStyle w:val="12"/>
      </w:pPr>
      <w:r w:rsidRPr="00FC7835">
        <w:t xml:space="preserve">Subject Categories: </w:t>
      </w:r>
    </w:p>
    <w:p w:rsidR="000D4317" w:rsidRPr="00FC7835" w:rsidRDefault="000D4317" w:rsidP="000D4317">
      <w:pPr>
        <w:pStyle w:val="12"/>
      </w:pPr>
      <w:r w:rsidRPr="00FC7835">
        <w:t xml:space="preserve">: Impact Factor </w:t>
      </w:r>
    </w:p>
    <w:p w:rsidR="000D4317" w:rsidRDefault="000D4317" w:rsidP="000D4317">
      <w:pPr>
        <w:pStyle w:val="a3"/>
        <w:rPr>
          <w:kern w:val="0"/>
          <w:szCs w:val="24"/>
        </w:rPr>
      </w:pPr>
      <w:r>
        <w:rPr>
          <w:rFonts w:hint="eastAsia"/>
          <w:kern w:val="0"/>
          <w:szCs w:val="24"/>
        </w:rPr>
        <w:t xml:space="preserve">? </w:t>
      </w:r>
      <w:r>
        <w:rPr>
          <w:kern w:val="0"/>
          <w:szCs w:val="24"/>
        </w:rPr>
        <w:t>Toal, C.B., Meredith, P.A.</w:t>
      </w:r>
      <w:r w:rsidR="005853A9">
        <w:rPr>
          <w:kern w:val="0"/>
          <w:szCs w:val="24"/>
        </w:rPr>
        <w:t xml:space="preserve"> and </w:t>
      </w:r>
      <w:r>
        <w:rPr>
          <w:kern w:val="0"/>
          <w:szCs w:val="24"/>
        </w:rPr>
        <w:t>Elliott, H.L. (2012), Long-acting dihydropyridine calcium-channel blockers</w:t>
      </w:r>
      <w:r w:rsidR="005853A9">
        <w:rPr>
          <w:kern w:val="0"/>
          <w:szCs w:val="24"/>
        </w:rPr>
        <w:t xml:space="preserve"> and </w:t>
      </w:r>
      <w:r>
        <w:rPr>
          <w:kern w:val="0"/>
          <w:szCs w:val="24"/>
        </w:rPr>
        <w:t>sympathetic nervous system activity in hypertension: A literature review comparing amlodipine</w:t>
      </w:r>
      <w:r w:rsidR="005853A9">
        <w:rPr>
          <w:kern w:val="0"/>
          <w:szCs w:val="24"/>
        </w:rPr>
        <w:t xml:space="preserve"> and </w:t>
      </w:r>
      <w:r>
        <w:rPr>
          <w:kern w:val="0"/>
          <w:szCs w:val="24"/>
        </w:rPr>
        <w:t xml:space="preserve">nifedipine GITS. </w:t>
      </w:r>
      <w:r w:rsidRPr="00D414F7">
        <w:rPr>
          <w:i/>
          <w:iCs/>
          <w:kern w:val="0"/>
          <w:szCs w:val="24"/>
        </w:rPr>
        <w:t>Blood Pressure</w:t>
      </w:r>
      <w:r>
        <w:rPr>
          <w:kern w:val="0"/>
          <w:szCs w:val="24"/>
        </w:rPr>
        <w:t xml:space="preserve">, </w:t>
      </w:r>
      <w:r>
        <w:rPr>
          <w:b/>
          <w:bCs/>
          <w:kern w:val="0"/>
          <w:szCs w:val="24"/>
        </w:rPr>
        <w:t>21</w:t>
      </w:r>
      <w:r>
        <w:rPr>
          <w:kern w:val="0"/>
          <w:szCs w:val="24"/>
        </w:rPr>
        <w:t>, 3-10.</w:t>
      </w:r>
    </w:p>
    <w:p w:rsidR="000D4317" w:rsidRDefault="000D4317" w:rsidP="000D4317">
      <w:pPr>
        <w:pStyle w:val="a3"/>
        <w:rPr>
          <w:kern w:val="0"/>
          <w:szCs w:val="24"/>
        </w:rPr>
      </w:pPr>
      <w:r>
        <w:rPr>
          <w:rFonts w:hint="eastAsia"/>
          <w:kern w:val="0"/>
          <w:szCs w:val="24"/>
        </w:rPr>
        <w:t xml:space="preserve">Full Text: </w:t>
      </w:r>
      <w:hyperlink r:id="rId1536" w:history="1">
        <w:r w:rsidRPr="00D414F7">
          <w:rPr>
            <w:rStyle w:val="a5"/>
            <w:kern w:val="0"/>
            <w:szCs w:val="24"/>
          </w:rPr>
          <w:t>2012\Blo Pre21, 3.pdf</w:t>
        </w:r>
      </w:hyperlink>
    </w:p>
    <w:p w:rsidR="000D4317" w:rsidRDefault="000D4317" w:rsidP="000D4317">
      <w:pPr>
        <w:pStyle w:val="a3"/>
        <w:rPr>
          <w:kern w:val="0"/>
          <w:szCs w:val="24"/>
        </w:rPr>
      </w:pPr>
      <w:r>
        <w:rPr>
          <w:kern w:val="0"/>
          <w:szCs w:val="24"/>
        </w:rPr>
        <w:t>Abstract: Calcium-channel blockers (CCBs) constitute a diverse group</w:t>
      </w:r>
      <w:r w:rsidR="00427468">
        <w:rPr>
          <w:kern w:val="0"/>
          <w:szCs w:val="24"/>
        </w:rPr>
        <w:t xml:space="preserve"> of </w:t>
      </w:r>
      <w:r>
        <w:rPr>
          <w:kern w:val="0"/>
          <w:szCs w:val="24"/>
        </w:rPr>
        <w:t>compounds but are often referred to as a single homogeneous class</w:t>
      </w:r>
      <w:r w:rsidR="00427468">
        <w:rPr>
          <w:kern w:val="0"/>
          <w:szCs w:val="24"/>
        </w:rPr>
        <w:t xml:space="preserve"> of </w:t>
      </w:r>
      <w:r>
        <w:rPr>
          <w:kern w:val="0"/>
          <w:szCs w:val="24"/>
        </w:rPr>
        <w:t>drug</w:t>
      </w:r>
      <w:r w:rsidR="005853A9">
        <w:rPr>
          <w:kern w:val="0"/>
          <w:szCs w:val="24"/>
        </w:rPr>
        <w:t xml:space="preserve"> and </w:t>
      </w:r>
      <w:r w:rsidR="003A1917">
        <w:rPr>
          <w:kern w:val="0"/>
          <w:szCs w:val="24"/>
        </w:rPr>
        <w:t xml:space="preserve">the </w:t>
      </w:r>
      <w:r>
        <w:rPr>
          <w:kern w:val="0"/>
          <w:szCs w:val="24"/>
        </w:rPr>
        <w:t>clinical responses indiscriminately summarized. Even within</w:t>
      </w:r>
      <w:r w:rsidR="003A1917">
        <w:rPr>
          <w:kern w:val="0"/>
          <w:szCs w:val="24"/>
        </w:rPr>
        <w:t xml:space="preserve"> the </w:t>
      </w:r>
      <w:r>
        <w:rPr>
          <w:kern w:val="0"/>
          <w:szCs w:val="24"/>
        </w:rPr>
        <w:t>dihydropyridine subgroup, there are significant differences in formulations, pharmacokinetics, durations</w:t>
      </w:r>
      <w:r w:rsidR="00427468">
        <w:rPr>
          <w:kern w:val="0"/>
          <w:szCs w:val="24"/>
        </w:rPr>
        <w:t xml:space="preserve"> of </w:t>
      </w:r>
      <w:r>
        <w:rPr>
          <w:kern w:val="0"/>
          <w:szCs w:val="24"/>
        </w:rPr>
        <w:t>action</w:t>
      </w:r>
      <w:r w:rsidR="005853A9">
        <w:rPr>
          <w:kern w:val="0"/>
          <w:szCs w:val="24"/>
        </w:rPr>
        <w:t xml:space="preserve"> and </w:t>
      </w:r>
      <w:r>
        <w:rPr>
          <w:kern w:val="0"/>
          <w:szCs w:val="24"/>
        </w:rPr>
        <w:t>their effects on blood pressure, heart rate, end organs</w:t>
      </w:r>
      <w:r w:rsidR="005853A9">
        <w:rPr>
          <w:kern w:val="0"/>
          <w:szCs w:val="24"/>
        </w:rPr>
        <w:t xml:space="preserve"> and </w:t>
      </w:r>
      <w:r w:rsidR="003A1917">
        <w:rPr>
          <w:kern w:val="0"/>
          <w:szCs w:val="24"/>
        </w:rPr>
        <w:t xml:space="preserve">the </w:t>
      </w:r>
      <w:r>
        <w:rPr>
          <w:kern w:val="0"/>
          <w:szCs w:val="24"/>
        </w:rPr>
        <w:t>sympathetic nervous system. Amlodipine</w:t>
      </w:r>
      <w:r w:rsidR="005853A9">
        <w:rPr>
          <w:kern w:val="0"/>
          <w:szCs w:val="24"/>
        </w:rPr>
        <w:t xml:space="preserve"> and </w:t>
      </w:r>
      <w:r>
        <w:rPr>
          <w:kern w:val="0"/>
          <w:szCs w:val="24"/>
        </w:rPr>
        <w:t>nifedipine in</w:t>
      </w:r>
      <w:r w:rsidR="003A1917">
        <w:rPr>
          <w:kern w:val="0"/>
          <w:szCs w:val="24"/>
        </w:rPr>
        <w:t xml:space="preserve"> the </w:t>
      </w:r>
      <w:r>
        <w:rPr>
          <w:kern w:val="0"/>
          <w:szCs w:val="24"/>
        </w:rPr>
        <w:t>gastrointestinal therapeutic system (GITS) formulation are</w:t>
      </w:r>
      <w:r w:rsidR="003A1917">
        <w:rPr>
          <w:kern w:val="0"/>
          <w:szCs w:val="24"/>
        </w:rPr>
        <w:t xml:space="preserve"> the </w:t>
      </w:r>
      <w:r>
        <w:rPr>
          <w:kern w:val="0"/>
          <w:szCs w:val="24"/>
        </w:rPr>
        <w:t>most studied</w:t>
      </w:r>
      <w:r w:rsidR="00427468">
        <w:rPr>
          <w:kern w:val="0"/>
          <w:szCs w:val="24"/>
        </w:rPr>
        <w:t xml:space="preserve"> of </w:t>
      </w:r>
      <w:r w:rsidR="003A1917">
        <w:rPr>
          <w:kern w:val="0"/>
          <w:szCs w:val="24"/>
        </w:rPr>
        <w:t xml:space="preserve">the </w:t>
      </w:r>
      <w:r>
        <w:rPr>
          <w:kern w:val="0"/>
          <w:szCs w:val="24"/>
        </w:rPr>
        <w:t>once-daily CCBs. Amlodipine has an inherently long pharmacokinetic half-life, whereas, in contrast, nifedipine has an inherently short half-life but in</w:t>
      </w:r>
      <w:r w:rsidR="003A1917">
        <w:rPr>
          <w:kern w:val="0"/>
          <w:szCs w:val="24"/>
        </w:rPr>
        <w:t xml:space="preserve"> the </w:t>
      </w:r>
      <w:r>
        <w:rPr>
          <w:kern w:val="0"/>
          <w:szCs w:val="24"/>
        </w:rPr>
        <w:t>GITS formulation</w:t>
      </w:r>
      <w:r w:rsidR="003A1917">
        <w:rPr>
          <w:kern w:val="0"/>
          <w:szCs w:val="24"/>
        </w:rPr>
        <w:t xml:space="preserve"> the </w:t>
      </w:r>
      <w:r>
        <w:rPr>
          <w:kern w:val="0"/>
          <w:szCs w:val="24"/>
        </w:rPr>
        <w:t>sophisticated delivery system allows for once-daily dosing. This article is derived from a systematic review</w:t>
      </w:r>
      <w:r w:rsidR="00427468">
        <w:rPr>
          <w:kern w:val="0"/>
          <w:szCs w:val="24"/>
        </w:rPr>
        <w:t xml:space="preserve"> of </w:t>
      </w:r>
      <w:r w:rsidR="003A1917">
        <w:rPr>
          <w:kern w:val="0"/>
          <w:szCs w:val="24"/>
        </w:rPr>
        <w:t xml:space="preserve">the </w:t>
      </w:r>
      <w:r>
        <w:rPr>
          <w:kern w:val="0"/>
          <w:szCs w:val="24"/>
        </w:rPr>
        <w:t>published literature in hypertensive patients</w:t>
      </w:r>
      <w:r w:rsidR="00A37C1D">
        <w:rPr>
          <w:kern w:val="0"/>
          <w:szCs w:val="24"/>
        </w:rPr>
        <w:t>. The</w:t>
      </w:r>
      <w:r w:rsidR="003A1917">
        <w:rPr>
          <w:kern w:val="0"/>
          <w:szCs w:val="24"/>
        </w:rPr>
        <w:t xml:space="preserve"> </w:t>
      </w:r>
      <w:r>
        <w:rPr>
          <w:kern w:val="0"/>
          <w:szCs w:val="24"/>
        </w:rPr>
        <w:t>following search terms in three main databases (</w:t>
      </w:r>
      <w:r w:rsidR="00D5664A">
        <w:rPr>
          <w:kern w:val="0"/>
          <w:szCs w:val="24"/>
        </w:rPr>
        <w:t>MEDLINE</w:t>
      </w:r>
      <w:r>
        <w:rPr>
          <w:kern w:val="0"/>
          <w:szCs w:val="24"/>
        </w:rPr>
        <w:t>, Embase, Science Citation Index) from 1990 to 2011 were utilized: amlodipine, nifedipine, sympathetic nervous system, sympathetic response, sympathetic nerve activity, noradrenaline, norepinephrine</w:t>
      </w:r>
      <w:r w:rsidR="005853A9">
        <w:rPr>
          <w:kern w:val="0"/>
          <w:szCs w:val="24"/>
        </w:rPr>
        <w:t xml:space="preserve"> and </w:t>
      </w:r>
      <w:r>
        <w:rPr>
          <w:kern w:val="0"/>
          <w:szCs w:val="24"/>
        </w:rPr>
        <w:t>heart rate. More than 1500 articles were then screened to derive</w:t>
      </w:r>
      <w:r w:rsidR="003A1917">
        <w:rPr>
          <w:kern w:val="0"/>
          <w:szCs w:val="24"/>
        </w:rPr>
        <w:t xml:space="preserve"> the </w:t>
      </w:r>
      <w:r>
        <w:rPr>
          <w:kern w:val="0"/>
          <w:szCs w:val="24"/>
        </w:rPr>
        <w:t>relevant analysis. As markers</w:t>
      </w:r>
      <w:r w:rsidR="00427468">
        <w:rPr>
          <w:kern w:val="0"/>
          <w:szCs w:val="24"/>
        </w:rPr>
        <w:t xml:space="preserve"> of </w:t>
      </w:r>
      <w:r>
        <w:rPr>
          <w:kern w:val="0"/>
          <w:szCs w:val="24"/>
        </w:rPr>
        <w:t>sympathetic nervous system activation, studies</w:t>
      </w:r>
      <w:r w:rsidR="00427468">
        <w:rPr>
          <w:kern w:val="0"/>
          <w:szCs w:val="24"/>
        </w:rPr>
        <w:t xml:space="preserve"> of </w:t>
      </w:r>
      <w:r>
        <w:rPr>
          <w:kern w:val="0"/>
          <w:szCs w:val="24"/>
        </w:rPr>
        <w:t>plasma norepinephrine concentrations, power spectral analysis, muscle sympathetic nerve activity</w:t>
      </w:r>
      <w:r w:rsidR="005853A9">
        <w:rPr>
          <w:kern w:val="0"/>
          <w:szCs w:val="24"/>
        </w:rPr>
        <w:t xml:space="preserve"> and </w:t>
      </w:r>
      <w:r>
        <w:rPr>
          <w:kern w:val="0"/>
          <w:szCs w:val="24"/>
        </w:rPr>
        <w:t>norepinephrine spillover were reviewed. Overall, each drug lowered blood pressure in hypertensive patients in association with only small changes in heart rate (i.e. &lt; 1 beat/min). Plasma norepinephrine concentrations, as</w:t>
      </w:r>
      <w:r w:rsidR="003A1917">
        <w:rPr>
          <w:kern w:val="0"/>
          <w:szCs w:val="24"/>
        </w:rPr>
        <w:t xml:space="preserve"> the </w:t>
      </w:r>
      <w:r>
        <w:rPr>
          <w:kern w:val="0"/>
          <w:szCs w:val="24"/>
        </w:rPr>
        <w:t>most widely reported marker</w:t>
      </w:r>
      <w:r w:rsidR="00427468">
        <w:rPr>
          <w:kern w:val="0"/>
          <w:szCs w:val="24"/>
        </w:rPr>
        <w:t xml:space="preserve"> </w:t>
      </w:r>
      <w:r w:rsidR="00427468">
        <w:rPr>
          <w:kern w:val="0"/>
          <w:szCs w:val="24"/>
        </w:rPr>
        <w:lastRenderedPageBreak/>
        <w:t xml:space="preserve">of </w:t>
      </w:r>
      <w:r>
        <w:rPr>
          <w:kern w:val="0"/>
          <w:szCs w:val="24"/>
        </w:rPr>
        <w:t>sympathetic nervous system activity, showed greater increases in patients treated with amlodipine than with nifedipine GITS</w:t>
      </w:r>
      <w:r w:rsidR="00A37C1D">
        <w:rPr>
          <w:kern w:val="0"/>
          <w:szCs w:val="24"/>
        </w:rPr>
        <w:t>. The</w:t>
      </w:r>
      <w:r w:rsidR="003A1917">
        <w:rPr>
          <w:kern w:val="0"/>
          <w:szCs w:val="24"/>
        </w:rPr>
        <w:t xml:space="preserve"> </w:t>
      </w:r>
      <w:r>
        <w:rPr>
          <w:kern w:val="0"/>
          <w:szCs w:val="24"/>
        </w:rPr>
        <w:t>evidence indicates that both these once-daily dihydropyridine CCBs lower blood pressure effectively with minimal effects on heart rate</w:t>
      </w:r>
      <w:r w:rsidR="00A37C1D">
        <w:rPr>
          <w:kern w:val="0"/>
          <w:szCs w:val="24"/>
        </w:rPr>
        <w:t>. The</w:t>
      </w:r>
      <w:r>
        <w:rPr>
          <w:kern w:val="0"/>
          <w:szCs w:val="24"/>
        </w:rPr>
        <w:t>re are small differences between</w:t>
      </w:r>
      <w:r w:rsidR="003A1917">
        <w:rPr>
          <w:kern w:val="0"/>
          <w:szCs w:val="24"/>
        </w:rPr>
        <w:t xml:space="preserve"> the </w:t>
      </w:r>
      <w:r>
        <w:rPr>
          <w:kern w:val="0"/>
          <w:szCs w:val="24"/>
        </w:rPr>
        <w:t>drugs in</w:t>
      </w:r>
      <w:r w:rsidR="003A1917">
        <w:rPr>
          <w:kern w:val="0"/>
          <w:szCs w:val="24"/>
        </w:rPr>
        <w:t xml:space="preserve"> the </w:t>
      </w:r>
      <w:r>
        <w:rPr>
          <w:kern w:val="0"/>
          <w:szCs w:val="24"/>
        </w:rPr>
        <w:t>extent to which each activates</w:t>
      </w:r>
      <w:r w:rsidR="003A1917">
        <w:rPr>
          <w:kern w:val="0"/>
          <w:szCs w:val="24"/>
        </w:rPr>
        <w:t xml:space="preserve"> the </w:t>
      </w:r>
      <w:r>
        <w:rPr>
          <w:kern w:val="0"/>
          <w:szCs w:val="24"/>
        </w:rPr>
        <w:t>sympathetic nervous system with an overall non-significant trend in favour</w:t>
      </w:r>
      <w:r w:rsidR="00427468">
        <w:rPr>
          <w:kern w:val="0"/>
          <w:szCs w:val="24"/>
        </w:rPr>
        <w:t xml:space="preserve"> of </w:t>
      </w:r>
      <w:r>
        <w:rPr>
          <w:kern w:val="0"/>
          <w:szCs w:val="24"/>
        </w:rPr>
        <w:t>nifedipine GITS.</w:t>
      </w:r>
    </w:p>
    <w:p w:rsidR="000D4317" w:rsidRDefault="000D4317" w:rsidP="000D4317">
      <w:pPr>
        <w:pStyle w:val="a3"/>
        <w:rPr>
          <w:kern w:val="0"/>
          <w:szCs w:val="24"/>
        </w:rPr>
      </w:pPr>
      <w:r>
        <w:rPr>
          <w:kern w:val="0"/>
          <w:szCs w:val="24"/>
        </w:rPr>
        <w:t xml:space="preserve">Keywords: Activation, Ambulatory Blood-Pressure, Amlodipine, Analysis, Association, Blood, Blood Pressure, Catecholamines, Catecholamines, Changes, Citation, Clinical, Converting Enzyme-Inhibitor, Databases, Delivery, Double-Blind, Drug, Drugs, Effects, Evidence, Extended Release, Formulation, GITS, Half-Life, Heart, Heart Rate, Heart-Rate-Variability, Hypertension, Left-Ventricular Mass, Literature, Literature Review, </w:t>
      </w:r>
      <w:r w:rsidR="00D5664A">
        <w:rPr>
          <w:kern w:val="0"/>
          <w:szCs w:val="24"/>
        </w:rPr>
        <w:t>MEDLINE</w:t>
      </w:r>
      <w:r>
        <w:rPr>
          <w:kern w:val="0"/>
          <w:szCs w:val="24"/>
        </w:rPr>
        <w:t>, Moderate Essential-Hypertension, Muscle, Nifedipine, Norepinephrine, Patients, Pharmacokinetics, Plasma, Plasma Norepinephrine Levels, Power, Power Spectral Analysis, Pressure, Renin-Angiotensin System, Responses, Review, Science, Science Citation Index, Small, Spectral Analysis, Sympathetic Activation, Sympathetic Nerve Activity, Systematic Review, Therapeutic, Trend</w:t>
      </w:r>
    </w:p>
    <w:p w:rsidR="000B7779" w:rsidRPr="00FC7835" w:rsidRDefault="000B7779" w:rsidP="000B7779">
      <w:pPr>
        <w:pStyle w:val="1"/>
      </w:pPr>
      <w:r w:rsidRPr="00FC7835">
        <w:rPr>
          <w:b w:val="0"/>
        </w:rPr>
        <w:br w:type="page"/>
      </w:r>
      <w:bookmarkStart w:id="824" w:name="_Toc420814748"/>
      <w:r w:rsidRPr="00FC7835">
        <w:lastRenderedPageBreak/>
        <w:t xml:space="preserve">Title: </w:t>
      </w:r>
      <w:r w:rsidRPr="00F65DF7">
        <w:rPr>
          <w:szCs w:val="24"/>
        </w:rPr>
        <w:t>Blood Purification</w:t>
      </w:r>
      <w:bookmarkEnd w:id="824"/>
    </w:p>
    <w:p w:rsidR="000B7779" w:rsidRPr="00FC7835" w:rsidRDefault="000B7779" w:rsidP="000B7779">
      <w:pPr>
        <w:pStyle w:val="12"/>
      </w:pPr>
      <w:r w:rsidRPr="00FC7835">
        <w:t xml:space="preserve">Full Journal Title: </w:t>
      </w:r>
      <w:r w:rsidRPr="00F65DF7">
        <w:rPr>
          <w:iCs/>
          <w:kern w:val="0"/>
        </w:rPr>
        <w:t>Blood Purification</w:t>
      </w:r>
    </w:p>
    <w:p w:rsidR="000B7779" w:rsidRPr="00FC7835" w:rsidRDefault="000B7779" w:rsidP="000B7779">
      <w:pPr>
        <w:pStyle w:val="12"/>
      </w:pPr>
      <w:r w:rsidRPr="00FC7835">
        <w:t xml:space="preserve">ISO Abbreviated Title: </w:t>
      </w:r>
    </w:p>
    <w:p w:rsidR="000B7779" w:rsidRPr="00FC7835" w:rsidRDefault="000B7779" w:rsidP="000B7779">
      <w:pPr>
        <w:pStyle w:val="12"/>
      </w:pPr>
      <w:r w:rsidRPr="00FC7835">
        <w:t xml:space="preserve">JCR Abbreviated Title: </w:t>
      </w:r>
    </w:p>
    <w:p w:rsidR="000B7779" w:rsidRPr="00FC7835" w:rsidRDefault="000B7779" w:rsidP="000B7779">
      <w:pPr>
        <w:pStyle w:val="12"/>
      </w:pPr>
      <w:r>
        <w:t xml:space="preserve">ISSN: </w:t>
      </w:r>
    </w:p>
    <w:p w:rsidR="000B7779" w:rsidRPr="00FC7835" w:rsidRDefault="000B7779" w:rsidP="000B7779">
      <w:pPr>
        <w:pStyle w:val="12"/>
      </w:pPr>
      <w:r w:rsidRPr="00FC7835">
        <w:t xml:space="preserve">Issues/Year: </w:t>
      </w:r>
    </w:p>
    <w:p w:rsidR="000B7779" w:rsidRPr="00FC7835" w:rsidRDefault="000B7779" w:rsidP="000B7779">
      <w:pPr>
        <w:pStyle w:val="12"/>
      </w:pPr>
      <w:r w:rsidRPr="00FC7835">
        <w:t xml:space="preserve">Journal Country/Territory: </w:t>
      </w:r>
    </w:p>
    <w:p w:rsidR="000B7779" w:rsidRPr="00FC7835" w:rsidRDefault="000B7779" w:rsidP="000B7779">
      <w:pPr>
        <w:pStyle w:val="12"/>
      </w:pPr>
      <w:r w:rsidRPr="00FC7835">
        <w:t xml:space="preserve">Language: </w:t>
      </w:r>
    </w:p>
    <w:p w:rsidR="000B7779" w:rsidRPr="00FC7835" w:rsidRDefault="000B7779" w:rsidP="000B7779">
      <w:pPr>
        <w:pStyle w:val="12"/>
      </w:pPr>
      <w:r w:rsidRPr="00FC7835">
        <w:t xml:space="preserve">Publisher: </w:t>
      </w:r>
    </w:p>
    <w:p w:rsidR="000B7779" w:rsidRPr="00FC7835" w:rsidRDefault="000B7779" w:rsidP="000B7779">
      <w:pPr>
        <w:pStyle w:val="12"/>
      </w:pPr>
      <w:r w:rsidRPr="00FC7835">
        <w:t xml:space="preserve">Publisher Address: </w:t>
      </w:r>
    </w:p>
    <w:p w:rsidR="000B7779" w:rsidRPr="00FC7835" w:rsidRDefault="000B7779" w:rsidP="000B7779">
      <w:pPr>
        <w:pStyle w:val="12"/>
      </w:pPr>
      <w:r w:rsidRPr="00FC7835">
        <w:t xml:space="preserve">Subject Categories: </w:t>
      </w:r>
    </w:p>
    <w:p w:rsidR="000B7779" w:rsidRPr="00FC7835" w:rsidRDefault="000B7779" w:rsidP="000B7779">
      <w:pPr>
        <w:pStyle w:val="12"/>
      </w:pPr>
      <w:r w:rsidRPr="00FC7835">
        <w:t xml:space="preserve">: Impact Factor </w:t>
      </w:r>
    </w:p>
    <w:p w:rsidR="000B7779" w:rsidRDefault="000B7779" w:rsidP="000B7779">
      <w:pPr>
        <w:pStyle w:val="a3"/>
        <w:rPr>
          <w:kern w:val="0"/>
          <w:szCs w:val="24"/>
        </w:rPr>
      </w:pPr>
      <w:r>
        <w:rPr>
          <w:rFonts w:hint="eastAsia"/>
          <w:kern w:val="0"/>
          <w:szCs w:val="24"/>
        </w:rPr>
        <w:t xml:space="preserve">? </w:t>
      </w:r>
      <w:r>
        <w:rPr>
          <w:kern w:val="0"/>
          <w:szCs w:val="24"/>
        </w:rPr>
        <w:t xml:space="preserve">Liu, H.B., Liu, H.M., Deng, J., Chen, L.H., Yuan, L. and Wu, Y. (2014), Preventing catheter-related bacteremia with taurolidine-citrate catheter locks: A systematic review and meta-analysis. </w:t>
      </w:r>
      <w:r w:rsidRPr="00F65DF7">
        <w:rPr>
          <w:i/>
          <w:iCs/>
          <w:kern w:val="0"/>
          <w:szCs w:val="24"/>
        </w:rPr>
        <w:t>Blood Purification</w:t>
      </w:r>
      <w:r>
        <w:rPr>
          <w:kern w:val="0"/>
          <w:szCs w:val="24"/>
        </w:rPr>
        <w:t xml:space="preserve">, </w:t>
      </w:r>
      <w:r>
        <w:rPr>
          <w:b/>
          <w:bCs/>
          <w:kern w:val="0"/>
          <w:szCs w:val="24"/>
        </w:rPr>
        <w:t>37</w:t>
      </w:r>
      <w:r>
        <w:rPr>
          <w:kern w:val="0"/>
          <w:szCs w:val="24"/>
        </w:rPr>
        <w:t xml:space="preserve"> (3), 179-187.</w:t>
      </w:r>
    </w:p>
    <w:p w:rsidR="000B7779" w:rsidRDefault="000B7779" w:rsidP="000B7779">
      <w:pPr>
        <w:pStyle w:val="a3"/>
        <w:rPr>
          <w:kern w:val="0"/>
          <w:szCs w:val="24"/>
        </w:rPr>
      </w:pPr>
      <w:r>
        <w:rPr>
          <w:rFonts w:hint="eastAsia"/>
          <w:kern w:val="0"/>
          <w:szCs w:val="24"/>
        </w:rPr>
        <w:t xml:space="preserve">Full Text: </w:t>
      </w:r>
      <w:hyperlink r:id="rId1537" w:history="1">
        <w:r w:rsidRPr="00F65DF7">
          <w:rPr>
            <w:rStyle w:val="a5"/>
            <w:kern w:val="0"/>
            <w:szCs w:val="24"/>
          </w:rPr>
          <w:t>2014\Blo Pur37, 179.pdf</w:t>
        </w:r>
      </w:hyperlink>
    </w:p>
    <w:p w:rsidR="000B7779" w:rsidRDefault="000B7779" w:rsidP="000B7779">
      <w:pPr>
        <w:pStyle w:val="a3"/>
        <w:rPr>
          <w:kern w:val="0"/>
          <w:szCs w:val="24"/>
        </w:rPr>
      </w:pPr>
      <w:r>
        <w:rPr>
          <w:kern w:val="0"/>
          <w:szCs w:val="24"/>
        </w:rPr>
        <w:t>Abstract: Background: Preliminary evidence from some studies suggests that taurolidine-citrate locks decrease catheter-related bacteremia (CRB), which is a major cause of morbidity and mortality in patients using intravascular catheters. No previous study has sought to summarize existing evidence on the use of taurolidine-citrate locks. A systematic review and meta-analysis were undertaken to determine whether taurolidine-citrate was more effective than heparin in the prevention of CRB. Methods: The major English (PubMed, EBSCO, Web of Science and OVID) and Chinese (CBM, CNKI, VIP and Wanfang Data) healthcare databases were searched for randomized controlled trials comparing the efficacy and safety of taurolidine-citrate lock solution (TCLS) and heparin lock solution in the prevention of CRB. Results: Three studies involving 236 patients with a total of 34,984 catheter days were included. The use of TCLS significantly decreased the risk of CRB (relative risk = 0.47, 95% CI: 0.25-0.89) and Gram-negative bacterial infection. There was no significant difference in Gram-positive infections and exit-site infections. Conclusions: Catheter locking with TCLS reduced the risk of CRB and Gram-negative bacterial infection. Adverse events include thrombotic events. (C) 2014 S. Karger AG, Basel.</w:t>
      </w:r>
    </w:p>
    <w:p w:rsidR="000B7779" w:rsidRDefault="000B7779" w:rsidP="000B7779">
      <w:pPr>
        <w:pStyle w:val="a3"/>
        <w:rPr>
          <w:kern w:val="0"/>
          <w:szCs w:val="24"/>
        </w:rPr>
      </w:pPr>
      <w:r>
        <w:rPr>
          <w:kern w:val="0"/>
          <w:szCs w:val="24"/>
        </w:rPr>
        <w:t xml:space="preserve">Keywords: Adverse Events, Ag, Bacterial Infection, Biofilm Formation, Blood-Stream Infections, Catheter, Catheter-Related Bacteremia, Chinese, Data, Databases, Efficacy, English, Events, Evidence, Gentamicin, Hemodialysis Catheters, Heparin, Heparin, Home Parenteral-Nutrition, In-Vitro, Infection, Infections, Intravascular </w:t>
      </w:r>
      <w:r>
        <w:rPr>
          <w:kern w:val="0"/>
          <w:szCs w:val="24"/>
        </w:rPr>
        <w:lastRenderedPageBreak/>
        <w:t>Catheters, Lock Solution, Meta Analysis, Meta-Analysis, Metaanalysis, Methods, Morbidity, Mortality, Patients, Prevention, Pubmed, Randomized, Randomized Controlled Trials, Relative Risk, Results, Review, Risk, S, Safety, Science, Sepsis, Solution, Staphylococcus-Aureus, Systematic, Systematic Review, Taurolidine-Citrate, Trial, Web Of Science</w:t>
      </w:r>
    </w:p>
    <w:p w:rsidR="00534370" w:rsidRPr="00FC7835" w:rsidRDefault="00534370" w:rsidP="00534370">
      <w:pPr>
        <w:pStyle w:val="1"/>
      </w:pPr>
      <w:r w:rsidRPr="00FC7835">
        <w:rPr>
          <w:b w:val="0"/>
        </w:rPr>
        <w:br w:type="page"/>
      </w:r>
      <w:bookmarkStart w:id="825" w:name="_Toc420814749"/>
      <w:r w:rsidRPr="00FC7835">
        <w:lastRenderedPageBreak/>
        <w:t xml:space="preserve">Title: </w:t>
      </w:r>
      <w:r w:rsidRPr="00EB1E71">
        <w:rPr>
          <w:iCs w:val="0"/>
          <w:szCs w:val="24"/>
        </w:rPr>
        <w:t xml:space="preserve">BMC </w:t>
      </w:r>
      <w:r w:rsidRPr="00EB1E71">
        <w:rPr>
          <w:szCs w:val="24"/>
        </w:rPr>
        <w:t>Anesthesiology</w:t>
      </w:r>
      <w:bookmarkEnd w:id="825"/>
    </w:p>
    <w:p w:rsidR="00534370" w:rsidRPr="00FC7835" w:rsidRDefault="00534370" w:rsidP="00534370">
      <w:pPr>
        <w:pStyle w:val="12"/>
      </w:pPr>
      <w:r w:rsidRPr="00FC7835">
        <w:t xml:space="preserve">Full Journal Title: </w:t>
      </w:r>
      <w:r w:rsidRPr="00EB1E71">
        <w:rPr>
          <w:iCs/>
          <w:kern w:val="0"/>
        </w:rPr>
        <w:t>BMC Anesthesiology</w:t>
      </w:r>
    </w:p>
    <w:p w:rsidR="00534370" w:rsidRPr="00FC7835" w:rsidRDefault="00534370" w:rsidP="00534370">
      <w:pPr>
        <w:pStyle w:val="12"/>
      </w:pPr>
      <w:r w:rsidRPr="00FC7835">
        <w:t xml:space="preserve">ISO Abbreviated Title: </w:t>
      </w:r>
    </w:p>
    <w:p w:rsidR="00534370" w:rsidRPr="00FC7835" w:rsidRDefault="00534370" w:rsidP="00534370">
      <w:pPr>
        <w:pStyle w:val="12"/>
      </w:pPr>
      <w:r w:rsidRPr="00FC7835">
        <w:t xml:space="preserve">JCR Abbreviated Title: </w:t>
      </w:r>
    </w:p>
    <w:p w:rsidR="00534370" w:rsidRPr="00FC7835" w:rsidRDefault="00534370" w:rsidP="00534370">
      <w:pPr>
        <w:pStyle w:val="12"/>
      </w:pPr>
      <w:r>
        <w:t xml:space="preserve">ISSN: </w:t>
      </w:r>
    </w:p>
    <w:p w:rsidR="00534370" w:rsidRPr="00FC7835" w:rsidRDefault="00534370" w:rsidP="00534370">
      <w:pPr>
        <w:pStyle w:val="12"/>
      </w:pPr>
      <w:r w:rsidRPr="00FC7835">
        <w:t xml:space="preserve">Issues/Year: </w:t>
      </w:r>
    </w:p>
    <w:p w:rsidR="00534370" w:rsidRPr="00FC7835" w:rsidRDefault="00534370" w:rsidP="00534370">
      <w:pPr>
        <w:pStyle w:val="12"/>
      </w:pPr>
      <w:r w:rsidRPr="00FC7835">
        <w:t xml:space="preserve">Journal Country/Territory: </w:t>
      </w:r>
    </w:p>
    <w:p w:rsidR="00534370" w:rsidRPr="00FC7835" w:rsidRDefault="00534370" w:rsidP="00534370">
      <w:pPr>
        <w:pStyle w:val="12"/>
      </w:pPr>
      <w:r w:rsidRPr="00FC7835">
        <w:t xml:space="preserve">Language: </w:t>
      </w:r>
    </w:p>
    <w:p w:rsidR="00534370" w:rsidRPr="00FC7835" w:rsidRDefault="00534370" w:rsidP="00534370">
      <w:pPr>
        <w:pStyle w:val="12"/>
      </w:pPr>
      <w:r w:rsidRPr="00FC7835">
        <w:t xml:space="preserve">Publisher: </w:t>
      </w:r>
    </w:p>
    <w:p w:rsidR="00534370" w:rsidRPr="00FC7835" w:rsidRDefault="00534370" w:rsidP="00534370">
      <w:pPr>
        <w:pStyle w:val="12"/>
      </w:pPr>
      <w:r w:rsidRPr="00FC7835">
        <w:t xml:space="preserve">Publisher Address: </w:t>
      </w:r>
    </w:p>
    <w:p w:rsidR="00534370" w:rsidRPr="00FC7835" w:rsidRDefault="00534370" w:rsidP="00534370">
      <w:pPr>
        <w:pStyle w:val="12"/>
      </w:pPr>
      <w:r w:rsidRPr="00FC7835">
        <w:t xml:space="preserve">Subject Categories: </w:t>
      </w:r>
    </w:p>
    <w:p w:rsidR="00534370" w:rsidRPr="00FC7835" w:rsidRDefault="00534370" w:rsidP="00534370">
      <w:pPr>
        <w:pStyle w:val="12"/>
      </w:pPr>
      <w:r w:rsidRPr="00FC7835">
        <w:t xml:space="preserve">: Impact Factor </w:t>
      </w:r>
    </w:p>
    <w:p w:rsidR="00534370" w:rsidRDefault="00534370" w:rsidP="00534370">
      <w:pPr>
        <w:pStyle w:val="a3"/>
        <w:rPr>
          <w:kern w:val="0"/>
          <w:szCs w:val="24"/>
        </w:rPr>
      </w:pPr>
      <w:r>
        <w:rPr>
          <w:rFonts w:hint="eastAsia"/>
          <w:kern w:val="0"/>
          <w:szCs w:val="24"/>
        </w:rPr>
        <w:t xml:space="preserve">? </w:t>
      </w:r>
      <w:r>
        <w:rPr>
          <w:kern w:val="0"/>
          <w:szCs w:val="24"/>
        </w:rPr>
        <w:t>Pagel, P.S.</w:t>
      </w:r>
      <w:r w:rsidR="005853A9">
        <w:rPr>
          <w:kern w:val="0"/>
          <w:szCs w:val="24"/>
        </w:rPr>
        <w:t xml:space="preserve"> and </w:t>
      </w:r>
      <w:r>
        <w:rPr>
          <w:kern w:val="0"/>
          <w:szCs w:val="24"/>
        </w:rPr>
        <w:t>Hudetz, J.A. (2012), Recent trends in publication</w:t>
      </w:r>
      <w:r w:rsidR="00427468">
        <w:rPr>
          <w:kern w:val="0"/>
          <w:szCs w:val="24"/>
        </w:rPr>
        <w:t xml:space="preserve"> of </w:t>
      </w:r>
      <w:r>
        <w:rPr>
          <w:kern w:val="0"/>
          <w:szCs w:val="24"/>
        </w:rPr>
        <w:t>basic science</w:t>
      </w:r>
      <w:r w:rsidR="005853A9">
        <w:rPr>
          <w:kern w:val="0"/>
          <w:szCs w:val="24"/>
        </w:rPr>
        <w:t xml:space="preserve"> and </w:t>
      </w:r>
      <w:r>
        <w:rPr>
          <w:kern w:val="0"/>
          <w:szCs w:val="24"/>
        </w:rPr>
        <w:t xml:space="preserve">clinical research by United States investigators in anesthesia journals. </w:t>
      </w:r>
      <w:r w:rsidRPr="00EB1E71">
        <w:rPr>
          <w:i/>
          <w:iCs/>
          <w:kern w:val="0"/>
          <w:szCs w:val="24"/>
        </w:rPr>
        <w:t>BMC Anesthesiology</w:t>
      </w:r>
      <w:r>
        <w:rPr>
          <w:kern w:val="0"/>
          <w:szCs w:val="24"/>
        </w:rPr>
        <w:t xml:space="preserve">, </w:t>
      </w:r>
      <w:r>
        <w:rPr>
          <w:b/>
          <w:bCs/>
          <w:kern w:val="0"/>
          <w:szCs w:val="24"/>
        </w:rPr>
        <w:t>12</w:t>
      </w:r>
      <w:r>
        <w:rPr>
          <w:rFonts w:hint="eastAsia"/>
          <w:kern w:val="0"/>
          <w:szCs w:val="24"/>
        </w:rPr>
        <w:t xml:space="preserve">, </w:t>
      </w:r>
      <w:r w:rsidRPr="00EB1E71">
        <w:rPr>
          <w:kern w:val="0"/>
          <w:szCs w:val="24"/>
        </w:rPr>
        <w:t>Article Number: 5</w:t>
      </w:r>
      <w:r>
        <w:rPr>
          <w:rFonts w:hint="eastAsia"/>
          <w:kern w:val="0"/>
          <w:szCs w:val="24"/>
        </w:rPr>
        <w:t>.</w:t>
      </w:r>
    </w:p>
    <w:p w:rsidR="00534370" w:rsidRDefault="00534370" w:rsidP="00534370">
      <w:pPr>
        <w:pStyle w:val="a3"/>
        <w:rPr>
          <w:kern w:val="0"/>
          <w:szCs w:val="24"/>
        </w:rPr>
      </w:pPr>
      <w:r>
        <w:rPr>
          <w:rFonts w:hint="eastAsia"/>
          <w:kern w:val="0"/>
          <w:szCs w:val="24"/>
        </w:rPr>
        <w:t xml:space="preserve">Full Text: </w:t>
      </w:r>
      <w:hyperlink r:id="rId1538" w:history="1">
        <w:r w:rsidRPr="00EB1E71">
          <w:rPr>
            <w:rStyle w:val="a5"/>
            <w:kern w:val="0"/>
            <w:szCs w:val="24"/>
          </w:rPr>
          <w:t>2012\BMC Ane12, 5.pdf</w:t>
        </w:r>
      </w:hyperlink>
    </w:p>
    <w:p w:rsidR="00534370" w:rsidRDefault="00534370" w:rsidP="00534370">
      <w:pPr>
        <w:pStyle w:val="a3"/>
        <w:rPr>
          <w:kern w:val="0"/>
          <w:szCs w:val="24"/>
        </w:rPr>
      </w:pPr>
      <w:r>
        <w:rPr>
          <w:kern w:val="0"/>
          <w:szCs w:val="24"/>
        </w:rPr>
        <w:t>Abstract: Background: United States anesthesia research production declined sharply from 1980-2005. Whether this trend has continued despite recent calls to improve output is unknown. We conducted an observational internet analysis to quantify American basic science</w:t>
      </w:r>
      <w:r w:rsidR="005853A9">
        <w:rPr>
          <w:kern w:val="0"/>
          <w:szCs w:val="24"/>
        </w:rPr>
        <w:t xml:space="preserve"> and </w:t>
      </w:r>
      <w:r>
        <w:rPr>
          <w:kern w:val="0"/>
          <w:szCs w:val="24"/>
        </w:rPr>
        <w:t>clinical anesthesia research output in 14 anesthesia journals with impact factors greater than one at three-year intervals during the past decade. Results: American investigators published 1,486 (21.7%)</w:t>
      </w:r>
      <w:r w:rsidR="00427468">
        <w:rPr>
          <w:kern w:val="0"/>
          <w:szCs w:val="24"/>
        </w:rPr>
        <w:t xml:space="preserve"> of </w:t>
      </w:r>
      <w:r>
        <w:rPr>
          <w:kern w:val="0"/>
          <w:szCs w:val="24"/>
        </w:rPr>
        <w:t>the total</w:t>
      </w:r>
      <w:r w:rsidR="00427468">
        <w:rPr>
          <w:kern w:val="0"/>
          <w:szCs w:val="24"/>
        </w:rPr>
        <w:t xml:space="preserve"> of </w:t>
      </w:r>
      <w:r>
        <w:rPr>
          <w:kern w:val="0"/>
          <w:szCs w:val="24"/>
        </w:rPr>
        <w:t>6,845 research articles identified in anesthesia journals in 2001, 2004, 2007,</w:t>
      </w:r>
      <w:r w:rsidR="005853A9">
        <w:rPr>
          <w:kern w:val="0"/>
          <w:szCs w:val="24"/>
        </w:rPr>
        <w:t xml:space="preserve"> and </w:t>
      </w:r>
      <w:r>
        <w:rPr>
          <w:kern w:val="0"/>
          <w:szCs w:val="24"/>
        </w:rPr>
        <w:t>2010. Approximately two-thirds</w:t>
      </w:r>
      <w:r w:rsidR="00427468">
        <w:rPr>
          <w:kern w:val="0"/>
          <w:szCs w:val="24"/>
        </w:rPr>
        <w:t xml:space="preserve"> of </w:t>
      </w:r>
      <w:r>
        <w:rPr>
          <w:kern w:val="0"/>
          <w:szCs w:val="24"/>
        </w:rPr>
        <w:t>all US articles were published in Anesthesiology</w:t>
      </w:r>
      <w:r w:rsidR="005853A9">
        <w:rPr>
          <w:kern w:val="0"/>
          <w:szCs w:val="24"/>
        </w:rPr>
        <w:t xml:space="preserve"> and </w:t>
      </w:r>
      <w:r>
        <w:rPr>
          <w:kern w:val="0"/>
          <w:szCs w:val="24"/>
        </w:rPr>
        <w:t>Anesthesia</w:t>
      </w:r>
      <w:r w:rsidR="005853A9">
        <w:rPr>
          <w:kern w:val="0"/>
          <w:szCs w:val="24"/>
        </w:rPr>
        <w:t xml:space="preserve"> and </w:t>
      </w:r>
      <w:r>
        <w:rPr>
          <w:kern w:val="0"/>
          <w:szCs w:val="24"/>
        </w:rPr>
        <w:t>Analgesia</w:t>
      </w:r>
      <w:r w:rsidR="00A37C1D">
        <w:rPr>
          <w:kern w:val="0"/>
          <w:szCs w:val="24"/>
        </w:rPr>
        <w:t>. The</w:t>
      </w:r>
      <w:r>
        <w:rPr>
          <w:kern w:val="0"/>
          <w:szCs w:val="24"/>
        </w:rPr>
        <w:t>re was a significant correlation (r(2) = 0.316; P = 0.036) between the number</w:t>
      </w:r>
      <w:r w:rsidR="00427468">
        <w:rPr>
          <w:kern w:val="0"/>
          <w:szCs w:val="24"/>
        </w:rPr>
        <w:t xml:space="preserve"> of </w:t>
      </w:r>
      <w:r>
        <w:rPr>
          <w:kern w:val="0"/>
          <w:szCs w:val="24"/>
        </w:rPr>
        <w:t>articles published by American authors in each anesthesia journal</w:t>
      </w:r>
      <w:r w:rsidR="005853A9">
        <w:rPr>
          <w:kern w:val="0"/>
          <w:szCs w:val="24"/>
        </w:rPr>
        <w:t xml:space="preserve"> and </w:t>
      </w:r>
      <w:r>
        <w:rPr>
          <w:kern w:val="0"/>
          <w:szCs w:val="24"/>
        </w:rPr>
        <w:t>the corresponding journal</w:t>
      </w:r>
      <w:r w:rsidR="00700038">
        <w:rPr>
          <w:kern w:val="0"/>
          <w:szCs w:val="24"/>
        </w:rPr>
        <w:t>’</w:t>
      </w:r>
      <w:r>
        <w:rPr>
          <w:kern w:val="0"/>
          <w:szCs w:val="24"/>
        </w:rPr>
        <w:t>s impact factor in 2010. Significantly (P &lt; 0.05; Pearson</w:t>
      </w:r>
      <w:r w:rsidR="00700038">
        <w:rPr>
          <w:kern w:val="0"/>
          <w:szCs w:val="24"/>
        </w:rPr>
        <w:t>’</w:t>
      </w:r>
      <w:r>
        <w:rPr>
          <w:kern w:val="0"/>
          <w:szCs w:val="24"/>
        </w:rPr>
        <w:t>s Chi-square) fewer basic science articles were published in 2007</w:t>
      </w:r>
      <w:r w:rsidR="005853A9">
        <w:rPr>
          <w:kern w:val="0"/>
          <w:szCs w:val="24"/>
        </w:rPr>
        <w:t xml:space="preserve"> and </w:t>
      </w:r>
      <w:r>
        <w:rPr>
          <w:kern w:val="0"/>
          <w:szCs w:val="24"/>
        </w:rPr>
        <w:t>2010 compared with 2001. US clinical research output also declined in 2007 (201; 15.7%) compared with 2001 (266; 19.1%)</w:t>
      </w:r>
      <w:r w:rsidR="005853A9">
        <w:rPr>
          <w:kern w:val="0"/>
          <w:szCs w:val="24"/>
        </w:rPr>
        <w:t xml:space="preserve"> and </w:t>
      </w:r>
      <w:r>
        <w:rPr>
          <w:kern w:val="0"/>
          <w:szCs w:val="24"/>
        </w:rPr>
        <w:t>2004, but an increase occurred in 2010 (279; 21.8%, P &lt; 0.05 versus 2007). Conclusions: The results indicate that US anesthesia research output continued to decrease from 2001 to 2007. An increase in clinical but not basic science research was observed in 2010 compared with 2007, suggesting that a modest recovery in clinical research production may have begun.</w:t>
      </w:r>
    </w:p>
    <w:p w:rsidR="00534370" w:rsidRDefault="00534370" w:rsidP="00534370">
      <w:pPr>
        <w:pStyle w:val="a3"/>
        <w:rPr>
          <w:kern w:val="0"/>
          <w:szCs w:val="24"/>
        </w:rPr>
      </w:pPr>
      <w:r>
        <w:rPr>
          <w:kern w:val="0"/>
          <w:szCs w:val="24"/>
        </w:rPr>
        <w:t xml:space="preserve">Keywords: Academic Anesthesia, Analysis, Anesthesia, Anesthesia Journals, Authors, Bibliometric Analysis, Bibliometrics, Chi-Square, Clinical, Clinical Research, </w:t>
      </w:r>
      <w:r>
        <w:rPr>
          <w:kern w:val="0"/>
          <w:szCs w:val="24"/>
        </w:rPr>
        <w:lastRenderedPageBreak/>
        <w:t>Correlation, Finances, Impact, Impact Factor, Impact Factors, Intervals, Journal, Journals, Kingdom, Mar, Observational, P, Physician Scientists, Publication, Quality, Recent, Recovery, Representation, Research, Research Output, Results, Scholarship, Science, Science Research, Scientific Publication, Training-Programs, Trend, Trends, United States, US</w:t>
      </w:r>
    </w:p>
    <w:p w:rsidR="003474F2" w:rsidRPr="001A3D2B" w:rsidRDefault="003474F2" w:rsidP="003474F2">
      <w:pPr>
        <w:pStyle w:val="1"/>
      </w:pPr>
      <w:r w:rsidRPr="001A3D2B">
        <w:br w:type="page"/>
      </w:r>
      <w:bookmarkStart w:id="826" w:name="_Toc420814750"/>
      <w:r w:rsidRPr="001A3D2B">
        <w:lastRenderedPageBreak/>
        <w:t>Title: BMC Bioinformatics</w:t>
      </w:r>
      <w:bookmarkEnd w:id="826"/>
    </w:p>
    <w:p w:rsidR="003474F2" w:rsidRPr="001A3D2B" w:rsidRDefault="003474F2" w:rsidP="003474F2">
      <w:pPr>
        <w:pStyle w:val="12"/>
      </w:pPr>
      <w:r w:rsidRPr="001A3D2B">
        <w:t xml:space="preserve">Full Journal Title: </w:t>
      </w:r>
      <w:hyperlink r:id="rId1539" w:history="1">
        <w:r w:rsidRPr="001A3D2B">
          <w:rPr>
            <w:rStyle w:val="a5"/>
          </w:rPr>
          <w:t>BMC Bioinformatics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1471-2105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Plikus, M.V., Zhang, Z.</w:t>
      </w:r>
      <w:r w:rsidR="005853A9">
        <w:t xml:space="preserve"> and </w:t>
      </w:r>
      <w:r w:rsidRPr="001A3D2B">
        <w:t xml:space="preserve">Chuong, C.M. (2006), PubFocus: </w:t>
      </w:r>
      <w:r w:rsidR="00784E2B" w:rsidRPr="001A3D2B">
        <w:t xml:space="preserve">Semantic </w:t>
      </w:r>
      <w:r w:rsidR="00D5664A">
        <w:t>MEDLINE</w:t>
      </w:r>
      <w:r w:rsidRPr="001A3D2B">
        <w:t>/</w:t>
      </w:r>
      <w:r w:rsidR="002C12F0">
        <w:t>PUBMED</w:t>
      </w:r>
      <w:r w:rsidRPr="001A3D2B">
        <w:t xml:space="preserve"> citations analytics through integration</w:t>
      </w:r>
      <w:r w:rsidR="00427468">
        <w:t xml:space="preserve"> of </w:t>
      </w:r>
      <w:r w:rsidRPr="001A3D2B">
        <w:t>controlled biomedical dictionaries</w:t>
      </w:r>
      <w:r w:rsidR="005853A9">
        <w:t xml:space="preserve"> and </w:t>
      </w:r>
      <w:r w:rsidRPr="001A3D2B">
        <w:t xml:space="preserve">ranking algorithm. </w:t>
      </w:r>
      <w:r w:rsidRPr="001A3D2B">
        <w:rPr>
          <w:i/>
          <w:iCs/>
        </w:rPr>
        <w:t>BMC Bioinformatics</w:t>
      </w:r>
      <w:r w:rsidRPr="001A3D2B">
        <w:t xml:space="preserve">, </w:t>
      </w:r>
      <w:r w:rsidRPr="001A3D2B">
        <w:rPr>
          <w:b/>
          <w:bCs/>
        </w:rPr>
        <w:t>7</w:t>
      </w:r>
      <w:r w:rsidRPr="001A3D2B">
        <w:t xml:space="preserve">, </w:t>
      </w:r>
      <w:r w:rsidR="005D2F4B">
        <w:t>Article Number</w:t>
      </w:r>
      <w:r w:rsidRPr="001A3D2B">
        <w:t xml:space="preserve"> 424.</w:t>
      </w:r>
    </w:p>
    <w:p w:rsidR="003474F2" w:rsidRPr="001A3D2B" w:rsidRDefault="003474F2" w:rsidP="003474F2">
      <w:pPr>
        <w:pStyle w:val="a3"/>
      </w:pPr>
      <w:r w:rsidRPr="001A3D2B">
        <w:t xml:space="preserve">Full Text: </w:t>
      </w:r>
      <w:hyperlink r:id="rId1540" w:history="1">
        <w:r w:rsidRPr="001A3D2B">
          <w:rPr>
            <w:rStyle w:val="a5"/>
          </w:rPr>
          <w:t>2006\BMC Bio7, 424.pdf</w:t>
        </w:r>
      </w:hyperlink>
    </w:p>
    <w:p w:rsidR="003474F2" w:rsidRPr="001A3D2B" w:rsidRDefault="003474F2" w:rsidP="003474F2">
      <w:pPr>
        <w:pStyle w:val="a3"/>
      </w:pPr>
      <w:r w:rsidRPr="001A3D2B">
        <w:t xml:space="preserve">Abstract: Background: Understanding research activity within any given biomedical field is important. Search outputs generated by </w:t>
      </w:r>
      <w:r w:rsidR="00D5664A">
        <w:t>MEDLINE</w:t>
      </w:r>
      <w:r w:rsidRPr="001A3D2B">
        <w:t>/</w:t>
      </w:r>
      <w:r w:rsidR="002C12F0">
        <w:t>PUBMED</w:t>
      </w:r>
      <w:r w:rsidRPr="001A3D2B">
        <w:t xml:space="preserve"> are not well classified</w:t>
      </w:r>
      <w:r w:rsidR="005853A9">
        <w:t xml:space="preserve"> and </w:t>
      </w:r>
      <w:r w:rsidRPr="001A3D2B">
        <w:t>require lengthy manual citation analysis. Automation</w:t>
      </w:r>
      <w:r w:rsidR="00427468">
        <w:t xml:space="preserve"> of </w:t>
      </w:r>
      <w:r w:rsidRPr="001A3D2B">
        <w:t>citation analytics can be very useful</w:t>
      </w:r>
      <w:r w:rsidR="005853A9">
        <w:t xml:space="preserve"> and </w:t>
      </w:r>
      <w:r w:rsidRPr="001A3D2B">
        <w:t>timesaving for both novices</w:t>
      </w:r>
      <w:r w:rsidR="005853A9">
        <w:t xml:space="preserve"> and </w:t>
      </w:r>
      <w:r w:rsidRPr="001A3D2B">
        <w:t>experts. Results: PubFocus web server automates analysis</w:t>
      </w:r>
      <w:r w:rsidR="00427468">
        <w:t xml:space="preserve"> of </w:t>
      </w:r>
      <w:r w:rsidR="00D5664A">
        <w:t>MEDLINE</w:t>
      </w:r>
      <w:r w:rsidRPr="001A3D2B">
        <w:t>/</w:t>
      </w:r>
      <w:r w:rsidR="002C12F0">
        <w:t>PUBMED</w:t>
      </w:r>
      <w:r w:rsidRPr="001A3D2B">
        <w:t xml:space="preserve"> search queries by enriching them with two widely used human factor-based bibliometric indicators</w:t>
      </w:r>
      <w:r w:rsidR="00427468">
        <w:t xml:space="preserve"> of </w:t>
      </w:r>
      <w:r w:rsidRPr="001A3D2B">
        <w:t>publication quality: journal impact factor</w:t>
      </w:r>
      <w:r w:rsidR="005853A9">
        <w:t xml:space="preserve"> and </w:t>
      </w:r>
      <w:r w:rsidRPr="001A3D2B">
        <w:t>volume</w:t>
      </w:r>
      <w:r w:rsidR="00427468">
        <w:t xml:space="preserve"> of </w:t>
      </w:r>
      <w:r w:rsidRPr="001A3D2B">
        <w:t>forward references. In addition to providing basic volumetric statistics, PubFocus also prioritizes citations</w:t>
      </w:r>
      <w:r w:rsidR="005853A9">
        <w:t xml:space="preserve"> and </w:t>
      </w:r>
      <w:r w:rsidRPr="001A3D2B">
        <w:t>evaluates authors</w:t>
      </w:r>
      <w:r w:rsidR="00700038">
        <w:t>’</w:t>
      </w:r>
      <w:r w:rsidRPr="001A3D2B">
        <w:t xml:space="preserve"> impact on</w:t>
      </w:r>
      <w:r w:rsidR="003A1917">
        <w:t xml:space="preserve"> the </w:t>
      </w:r>
      <w:r w:rsidRPr="001A3D2B">
        <w:t>field</w:t>
      </w:r>
      <w:r w:rsidR="00427468">
        <w:t xml:space="preserve"> of </w:t>
      </w:r>
      <w:r w:rsidRPr="001A3D2B">
        <w:t>search. PubFocus also analyses presence</w:t>
      </w:r>
      <w:r w:rsidR="005853A9">
        <w:t xml:space="preserve"> and </w:t>
      </w:r>
      <w:r w:rsidRPr="001A3D2B">
        <w:t>occurrence</w:t>
      </w:r>
      <w:r w:rsidR="00427468">
        <w:t xml:space="preserve"> of </w:t>
      </w:r>
      <w:r w:rsidRPr="001A3D2B">
        <w:t>biomedical key terms within citations by utilizing controlled vocabularies. Conclusion: We have developed citations</w:t>
      </w:r>
      <w:r w:rsidR="00700038">
        <w:t>’</w:t>
      </w:r>
      <w:r w:rsidRPr="001A3D2B">
        <w:t xml:space="preserve"> prioritisation algorithm based on journal impact factor, forward referencing volume, referencing dynamics,</w:t>
      </w:r>
      <w:r w:rsidR="005853A9">
        <w:t xml:space="preserve"> and </w:t>
      </w:r>
      <w:r w:rsidRPr="001A3D2B">
        <w:t>author</w:t>
      </w:r>
      <w:r w:rsidR="00700038">
        <w:t>’</w:t>
      </w:r>
      <w:r w:rsidR="00C13DDC">
        <w:t>s</w:t>
      </w:r>
      <w:r w:rsidRPr="001A3D2B">
        <w:t xml:space="preserve"> contribution level. It can be applied either to</w:t>
      </w:r>
      <w:r w:rsidR="003A1917">
        <w:t xml:space="preserve"> the </w:t>
      </w:r>
      <w:r w:rsidRPr="001A3D2B">
        <w:t>primary set</w:t>
      </w:r>
      <w:r w:rsidR="00427468">
        <w:t xml:space="preserve"> of </w:t>
      </w:r>
      <w:r w:rsidR="002C12F0">
        <w:t>PUBMED</w:t>
      </w:r>
      <w:r w:rsidRPr="001A3D2B">
        <w:t xml:space="preserve"> search results or to</w:t>
      </w:r>
      <w:r w:rsidR="003A1917">
        <w:t xml:space="preserve"> the </w:t>
      </w:r>
      <w:r w:rsidRPr="001A3D2B">
        <w:t>subsets</w:t>
      </w:r>
      <w:r w:rsidR="00427468">
        <w:t xml:space="preserve"> of </w:t>
      </w:r>
      <w:r w:rsidRPr="001A3D2B">
        <w:t>these results identified through key terms from controlled biomedical vocabularies</w:t>
      </w:r>
      <w:r w:rsidR="005853A9">
        <w:t xml:space="preserve"> and </w:t>
      </w:r>
      <w:r w:rsidRPr="001A3D2B">
        <w:t>ontologies. NCI (National Cancer Institute) thesaurus</w:t>
      </w:r>
      <w:r w:rsidR="005853A9">
        <w:t xml:space="preserve"> and </w:t>
      </w:r>
      <w:r w:rsidRPr="001A3D2B">
        <w:t>MGD (Mouse Genome Database) mammalian gene orthology have been implemented for key terms analytics. PubFocus provides a scalable platform for</w:t>
      </w:r>
      <w:r w:rsidR="003A1917">
        <w:t xml:space="preserve"> the </w:t>
      </w:r>
      <w:r w:rsidRPr="001A3D2B">
        <w:t>integration</w:t>
      </w:r>
      <w:r w:rsidR="00427468">
        <w:t xml:space="preserve"> of </w:t>
      </w:r>
      <w:r w:rsidRPr="001A3D2B">
        <w:t>multiple available ontology databases. PubFocus analytics can be adapted for input sources</w:t>
      </w:r>
      <w:r w:rsidR="00427468">
        <w:t xml:space="preserve"> of </w:t>
      </w:r>
      <w:r w:rsidRPr="001A3D2B">
        <w:t xml:space="preserve">biomedical citations other than </w:t>
      </w:r>
      <w:r w:rsidR="002C12F0">
        <w:t>PUBMED</w:t>
      </w:r>
      <w:r w:rsidRPr="001A3D2B">
        <w:t>.</w:t>
      </w:r>
    </w:p>
    <w:p w:rsidR="003474F2" w:rsidRPr="001A3D2B" w:rsidRDefault="003474F2" w:rsidP="003474F2">
      <w:pPr>
        <w:pStyle w:val="a3"/>
      </w:pPr>
      <w:r w:rsidRPr="001A3D2B">
        <w:lastRenderedPageBreak/>
        <w:t xml:space="preserve">Keywords: Algorithm, Analyses, Analysis, Bibliometric, Bibliometric Indicators, Biomedical, Citation, Citation Analysis, Citations, Databases, Dynamics, Experts, Field, Gene, Human, Impact, Impact Factor, Indicators, Integration, Journal, Journal Impact, Journal Impact Factor, NCI, Ontology, Primary, Publication, </w:t>
      </w:r>
      <w:r w:rsidR="002C12F0">
        <w:t>PUBMED</w:t>
      </w:r>
      <w:r w:rsidRPr="001A3D2B">
        <w:t>, Quality, Ranking, Referencing, Research, Sources, Statistics, Volume, Web</w:t>
      </w:r>
    </w:p>
    <w:p w:rsidR="005D2F4B" w:rsidRDefault="005D2F4B" w:rsidP="005D2F4B">
      <w:pPr>
        <w:pStyle w:val="a3"/>
        <w:rPr>
          <w:kern w:val="0"/>
        </w:rPr>
      </w:pPr>
      <w:r>
        <w:rPr>
          <w:kern w:val="0"/>
        </w:rPr>
        <w:t>? Usie, A., Karathia, H., Teixido, I., Valls, J., Faus, X., Alves, R.</w:t>
      </w:r>
      <w:r w:rsidR="005853A9">
        <w:rPr>
          <w:kern w:val="0"/>
        </w:rPr>
        <w:t xml:space="preserve"> and </w:t>
      </w:r>
      <w:r>
        <w:rPr>
          <w:kern w:val="0"/>
        </w:rPr>
        <w:t>Solsona, F. (2011), Biblio-MetReS: A bibliometric network reconstruction application</w:t>
      </w:r>
      <w:r w:rsidR="005853A9">
        <w:rPr>
          <w:kern w:val="0"/>
        </w:rPr>
        <w:t xml:space="preserve"> and </w:t>
      </w:r>
      <w:r>
        <w:rPr>
          <w:kern w:val="0"/>
        </w:rPr>
        <w:t xml:space="preserve">server. </w:t>
      </w:r>
      <w:r>
        <w:rPr>
          <w:i/>
          <w:iCs/>
          <w:kern w:val="0"/>
        </w:rPr>
        <w:t>BMC Bioinformatics</w:t>
      </w:r>
      <w:r>
        <w:rPr>
          <w:kern w:val="0"/>
        </w:rPr>
        <w:t xml:space="preserve">, </w:t>
      </w:r>
      <w:r>
        <w:rPr>
          <w:b/>
          <w:bCs/>
          <w:kern w:val="0"/>
        </w:rPr>
        <w:t>12</w:t>
      </w:r>
      <w:r>
        <w:rPr>
          <w:kern w:val="0"/>
        </w:rPr>
        <w:t xml:space="preserve">, </w:t>
      </w:r>
      <w:r>
        <w:t>Article Number: 387.</w:t>
      </w:r>
    </w:p>
    <w:p w:rsidR="00784E2B" w:rsidRPr="001A3D2B" w:rsidRDefault="00784E2B" w:rsidP="00784E2B">
      <w:pPr>
        <w:pStyle w:val="a3"/>
      </w:pPr>
      <w:r w:rsidRPr="001A3D2B">
        <w:t xml:space="preserve">Full Text: </w:t>
      </w:r>
      <w:hyperlink r:id="rId1541" w:history="1">
        <w:r w:rsidRPr="00404202">
          <w:rPr>
            <w:rStyle w:val="a5"/>
          </w:rPr>
          <w:t>2011\BMC Bio12, 387.pdf</w:t>
        </w:r>
      </w:hyperlink>
    </w:p>
    <w:p w:rsidR="005D2F4B" w:rsidRDefault="005D2F4B" w:rsidP="005D2F4B">
      <w:pPr>
        <w:pStyle w:val="a3"/>
        <w:rPr>
          <w:kern w:val="0"/>
        </w:rPr>
      </w:pPr>
      <w:r>
        <w:rPr>
          <w:kern w:val="0"/>
        </w:rPr>
        <w:t>Abstract: Background: Reconstruction</w:t>
      </w:r>
      <w:r w:rsidR="00427468">
        <w:rPr>
          <w:kern w:val="0"/>
        </w:rPr>
        <w:t xml:space="preserve"> of </w:t>
      </w:r>
      <w:r>
        <w:rPr>
          <w:kern w:val="0"/>
        </w:rPr>
        <w:t>genes and/or protein networks from automated analysis</w:t>
      </w:r>
      <w:r w:rsidR="00427468">
        <w:rPr>
          <w:kern w:val="0"/>
        </w:rPr>
        <w:t xml:space="preserve"> of </w:t>
      </w:r>
      <w:r w:rsidR="003A1917">
        <w:rPr>
          <w:kern w:val="0"/>
        </w:rPr>
        <w:t xml:space="preserve">the </w:t>
      </w:r>
      <w:r>
        <w:rPr>
          <w:kern w:val="0"/>
        </w:rPr>
        <w:t>literature is one</w:t>
      </w:r>
      <w:r w:rsidR="00427468">
        <w:rPr>
          <w:kern w:val="0"/>
        </w:rPr>
        <w:t xml:space="preserve"> of </w:t>
      </w:r>
      <w:r w:rsidR="003A1917">
        <w:rPr>
          <w:kern w:val="0"/>
        </w:rPr>
        <w:t xml:space="preserve">the </w:t>
      </w:r>
      <w:r>
        <w:rPr>
          <w:kern w:val="0"/>
        </w:rPr>
        <w:t>current targets</w:t>
      </w:r>
      <w:r w:rsidR="00427468">
        <w:rPr>
          <w:kern w:val="0"/>
        </w:rPr>
        <w:t xml:space="preserve"> of </w:t>
      </w:r>
      <w:r>
        <w:rPr>
          <w:kern w:val="0"/>
        </w:rPr>
        <w:t>text mining in biomedical research. Some user-friendly tools already perform this analysis on precompiled databases</w:t>
      </w:r>
      <w:r w:rsidR="00427468">
        <w:rPr>
          <w:kern w:val="0"/>
        </w:rPr>
        <w:t xml:space="preserve"> of </w:t>
      </w:r>
      <w:r>
        <w:rPr>
          <w:kern w:val="0"/>
        </w:rPr>
        <w:t>abstracts</w:t>
      </w:r>
      <w:r w:rsidR="00427468">
        <w:rPr>
          <w:kern w:val="0"/>
        </w:rPr>
        <w:t xml:space="preserve"> of </w:t>
      </w:r>
      <w:r>
        <w:rPr>
          <w:kern w:val="0"/>
        </w:rPr>
        <w:t>scientific papers. Other tools allow expert users to elaborate</w:t>
      </w:r>
      <w:r w:rsidR="005853A9">
        <w:rPr>
          <w:kern w:val="0"/>
        </w:rPr>
        <w:t xml:space="preserve"> and </w:t>
      </w:r>
      <w:r>
        <w:rPr>
          <w:kern w:val="0"/>
        </w:rPr>
        <w:t>analyze</w:t>
      </w:r>
      <w:r w:rsidR="003A1917">
        <w:rPr>
          <w:kern w:val="0"/>
        </w:rPr>
        <w:t xml:space="preserve"> the </w:t>
      </w:r>
      <w:r>
        <w:rPr>
          <w:kern w:val="0"/>
        </w:rPr>
        <w:t>full content</w:t>
      </w:r>
      <w:r w:rsidR="00427468">
        <w:rPr>
          <w:kern w:val="0"/>
        </w:rPr>
        <w:t xml:space="preserve"> of </w:t>
      </w:r>
      <w:r>
        <w:rPr>
          <w:kern w:val="0"/>
        </w:rPr>
        <w:t>a corpus</w:t>
      </w:r>
      <w:r w:rsidR="00427468">
        <w:rPr>
          <w:kern w:val="0"/>
        </w:rPr>
        <w:t xml:space="preserve"> of </w:t>
      </w:r>
      <w:r>
        <w:rPr>
          <w:kern w:val="0"/>
        </w:rPr>
        <w:t>scientific documents. However, to our knowledge, no user friendly tool that simultaneously analyzes</w:t>
      </w:r>
      <w:r w:rsidR="003A1917">
        <w:rPr>
          <w:kern w:val="0"/>
        </w:rPr>
        <w:t xml:space="preserve"> the </w:t>
      </w:r>
      <w:r>
        <w:rPr>
          <w:kern w:val="0"/>
        </w:rPr>
        <w:t>latest set</w:t>
      </w:r>
      <w:r w:rsidR="00427468">
        <w:rPr>
          <w:kern w:val="0"/>
        </w:rPr>
        <w:t xml:space="preserve"> of </w:t>
      </w:r>
      <w:r>
        <w:rPr>
          <w:kern w:val="0"/>
        </w:rPr>
        <w:t>scientific documents available on line</w:t>
      </w:r>
      <w:r w:rsidR="005853A9">
        <w:rPr>
          <w:kern w:val="0"/>
        </w:rPr>
        <w:t xml:space="preserve"> and </w:t>
      </w:r>
      <w:r>
        <w:rPr>
          <w:kern w:val="0"/>
        </w:rPr>
        <w:t>reconstructs</w:t>
      </w:r>
      <w:r w:rsidR="003A1917">
        <w:rPr>
          <w:kern w:val="0"/>
        </w:rPr>
        <w:t xml:space="preserve"> the </w:t>
      </w:r>
      <w:r>
        <w:rPr>
          <w:kern w:val="0"/>
        </w:rPr>
        <w:t>set</w:t>
      </w:r>
      <w:r w:rsidR="00427468">
        <w:rPr>
          <w:kern w:val="0"/>
        </w:rPr>
        <w:t xml:space="preserve"> of </w:t>
      </w:r>
      <w:r>
        <w:rPr>
          <w:kern w:val="0"/>
        </w:rPr>
        <w:t>genes referenced in those documents is available. Results: This article presents such a tool, Biblio-MetReS,</w:t>
      </w:r>
      <w:r w:rsidR="005853A9">
        <w:rPr>
          <w:kern w:val="0"/>
        </w:rPr>
        <w:t xml:space="preserve"> and </w:t>
      </w:r>
      <w:r>
        <w:rPr>
          <w:kern w:val="0"/>
        </w:rPr>
        <w:t>compares its functioning</w:t>
      </w:r>
      <w:r w:rsidR="005853A9">
        <w:rPr>
          <w:kern w:val="0"/>
        </w:rPr>
        <w:t xml:space="preserve"> and </w:t>
      </w:r>
      <w:r>
        <w:rPr>
          <w:kern w:val="0"/>
        </w:rPr>
        <w:t>results to those</w:t>
      </w:r>
      <w:r w:rsidR="00427468">
        <w:rPr>
          <w:kern w:val="0"/>
        </w:rPr>
        <w:t xml:space="preserve"> of </w:t>
      </w:r>
      <w:r>
        <w:rPr>
          <w:kern w:val="0"/>
        </w:rPr>
        <w:t>other user-friendly applications (iHOP, STRING) that are widely used. Under similar conditions, Biblio-MetReS creates networks that are comparable to those</w:t>
      </w:r>
      <w:r w:rsidR="00427468">
        <w:rPr>
          <w:kern w:val="0"/>
        </w:rPr>
        <w:t xml:space="preserve"> of </w:t>
      </w:r>
      <w:r>
        <w:rPr>
          <w:kern w:val="0"/>
        </w:rPr>
        <w:t>other user friendly tools. Furthermore, analysis</w:t>
      </w:r>
      <w:r w:rsidR="00427468">
        <w:rPr>
          <w:kern w:val="0"/>
        </w:rPr>
        <w:t xml:space="preserve"> of </w:t>
      </w:r>
      <w:r>
        <w:rPr>
          <w:kern w:val="0"/>
        </w:rPr>
        <w:t>full text documents provides more complete reconstructions than those that result from using only</w:t>
      </w:r>
      <w:r w:rsidR="003A1917">
        <w:rPr>
          <w:kern w:val="0"/>
        </w:rPr>
        <w:t xml:space="preserve"> the </w:t>
      </w:r>
      <w:r>
        <w:rPr>
          <w:kern w:val="0"/>
        </w:rPr>
        <w:t>abstract</w:t>
      </w:r>
      <w:r w:rsidR="00427468">
        <w:rPr>
          <w:kern w:val="0"/>
        </w:rPr>
        <w:t xml:space="preserve"> of </w:t>
      </w:r>
      <w:r w:rsidR="003A1917">
        <w:rPr>
          <w:kern w:val="0"/>
        </w:rPr>
        <w:t xml:space="preserve">the </w:t>
      </w:r>
      <w:r>
        <w:rPr>
          <w:kern w:val="0"/>
        </w:rPr>
        <w:t>document. Conclusions: Literature-based automated network reconstruction is still far from providing complete reconstructions</w:t>
      </w:r>
      <w:r w:rsidR="00427468">
        <w:rPr>
          <w:kern w:val="0"/>
        </w:rPr>
        <w:t xml:space="preserve"> of </w:t>
      </w:r>
      <w:r>
        <w:rPr>
          <w:kern w:val="0"/>
        </w:rPr>
        <w:t>molecular networks. However, its value as an auxiliary tool is high</w:t>
      </w:r>
      <w:r w:rsidR="005853A9">
        <w:rPr>
          <w:kern w:val="0"/>
        </w:rPr>
        <w:t xml:space="preserve"> and </w:t>
      </w:r>
      <w:r>
        <w:rPr>
          <w:kern w:val="0"/>
        </w:rPr>
        <w:t>it will increase as standards for reporting biological entities</w:t>
      </w:r>
      <w:r w:rsidR="005853A9">
        <w:rPr>
          <w:kern w:val="0"/>
        </w:rPr>
        <w:t xml:space="preserve"> and </w:t>
      </w:r>
      <w:r>
        <w:rPr>
          <w:kern w:val="0"/>
        </w:rPr>
        <w:t>relationships become more widely accepted</w:t>
      </w:r>
      <w:r w:rsidR="005853A9">
        <w:rPr>
          <w:kern w:val="0"/>
        </w:rPr>
        <w:t xml:space="preserve"> and </w:t>
      </w:r>
      <w:r>
        <w:rPr>
          <w:kern w:val="0"/>
        </w:rPr>
        <w:t>enforced. Biblio-MetReS is an application that can be downloaded from http://metres.udl.cat/. It provides an easy to use environment for researchers to reconstruct their networks</w:t>
      </w:r>
      <w:r w:rsidR="00427468">
        <w:rPr>
          <w:kern w:val="0"/>
        </w:rPr>
        <w:t xml:space="preserve"> of </w:t>
      </w:r>
      <w:r>
        <w:rPr>
          <w:kern w:val="0"/>
        </w:rPr>
        <w:t>interest from an always up to date set</w:t>
      </w:r>
      <w:r w:rsidR="00427468">
        <w:rPr>
          <w:kern w:val="0"/>
        </w:rPr>
        <w:t xml:space="preserve"> of </w:t>
      </w:r>
      <w:r>
        <w:rPr>
          <w:kern w:val="0"/>
        </w:rPr>
        <w:t>scientific documents.</w:t>
      </w:r>
    </w:p>
    <w:p w:rsidR="005D2F4B" w:rsidRDefault="005D2F4B" w:rsidP="005D2F4B">
      <w:pPr>
        <w:pStyle w:val="a3"/>
        <w:rPr>
          <w:kern w:val="0"/>
        </w:rPr>
      </w:pPr>
      <w:r>
        <w:rPr>
          <w:kern w:val="0"/>
        </w:rPr>
        <w:t>Keywords: Analysis, Bibliometric, Biocreative II.5, Biology, Biomedical, Biomedical Literature, Biomedical Research, Challenge, Databases, Environment, Full-Text Articles, Genes, Identification, Information Extraction, Interest, Knowledge, Literature, Molecular, Network, Normalization, Papers, Protein Interactions, Research, Researchers, Standards, System, Text Mining</w:t>
      </w:r>
    </w:p>
    <w:p w:rsidR="00D72764" w:rsidRDefault="00D72764" w:rsidP="00D72764">
      <w:pPr>
        <w:pStyle w:val="a3"/>
        <w:rPr>
          <w:kern w:val="0"/>
        </w:rPr>
      </w:pPr>
      <w:r>
        <w:rPr>
          <w:kern w:val="0"/>
        </w:rPr>
        <w:t>? Hennessey, J.</w:t>
      </w:r>
      <w:r w:rsidR="005853A9">
        <w:rPr>
          <w:kern w:val="0"/>
        </w:rPr>
        <w:t xml:space="preserve"> and </w:t>
      </w:r>
      <w:r>
        <w:rPr>
          <w:kern w:val="0"/>
        </w:rPr>
        <w:t>Ge, S.X. (2013), A cross disciplinary study</w:t>
      </w:r>
      <w:r w:rsidR="00427468">
        <w:rPr>
          <w:kern w:val="0"/>
        </w:rPr>
        <w:t xml:space="preserve"> of </w:t>
      </w:r>
      <w:r>
        <w:rPr>
          <w:kern w:val="0"/>
        </w:rPr>
        <w:t>link decay</w:t>
      </w:r>
      <w:r w:rsidR="005853A9">
        <w:rPr>
          <w:kern w:val="0"/>
        </w:rPr>
        <w:t xml:space="preserve"> and </w:t>
      </w:r>
      <w:r>
        <w:rPr>
          <w:kern w:val="0"/>
        </w:rPr>
        <w:t>the effectiveness</w:t>
      </w:r>
      <w:r w:rsidR="00427468">
        <w:rPr>
          <w:kern w:val="0"/>
        </w:rPr>
        <w:t xml:space="preserve"> of </w:t>
      </w:r>
      <w:r>
        <w:rPr>
          <w:kern w:val="0"/>
        </w:rPr>
        <w:t xml:space="preserve">mitigation techniques. </w:t>
      </w:r>
      <w:r>
        <w:rPr>
          <w:i/>
          <w:iCs/>
          <w:kern w:val="0"/>
        </w:rPr>
        <w:t>BMC Bioinformatics</w:t>
      </w:r>
      <w:r>
        <w:rPr>
          <w:kern w:val="0"/>
        </w:rPr>
        <w:t xml:space="preserve">, </w:t>
      </w:r>
      <w:r>
        <w:rPr>
          <w:b/>
          <w:bCs/>
          <w:kern w:val="0"/>
        </w:rPr>
        <w:t>14</w:t>
      </w:r>
      <w:r>
        <w:rPr>
          <w:kern w:val="0"/>
        </w:rPr>
        <w:t xml:space="preserve"> (S14), Article Number: S5.</w:t>
      </w:r>
    </w:p>
    <w:p w:rsidR="00D72764" w:rsidRPr="001A3D2B" w:rsidRDefault="00D72764" w:rsidP="00D72764">
      <w:pPr>
        <w:pStyle w:val="a3"/>
      </w:pPr>
      <w:r w:rsidRPr="001A3D2B">
        <w:t xml:space="preserve">Full Text: </w:t>
      </w:r>
      <w:r>
        <w:t>201</w:t>
      </w:r>
      <w:r>
        <w:rPr>
          <w:rFonts w:hint="eastAsia"/>
        </w:rPr>
        <w:t>3</w:t>
      </w:r>
      <w:r>
        <w:t>\BMC Bio1</w:t>
      </w:r>
      <w:r>
        <w:rPr>
          <w:rFonts w:hint="eastAsia"/>
        </w:rPr>
        <w:t>4</w:t>
      </w:r>
      <w:r>
        <w:t xml:space="preserve">, </w:t>
      </w:r>
      <w:r>
        <w:rPr>
          <w:rFonts w:hint="eastAsia"/>
        </w:rPr>
        <w:t>S5</w:t>
      </w:r>
      <w:r>
        <w:t>.pdf</w:t>
      </w:r>
    </w:p>
    <w:p w:rsidR="00D72764" w:rsidRDefault="00D72764" w:rsidP="00D72764">
      <w:pPr>
        <w:pStyle w:val="a3"/>
        <w:rPr>
          <w:kern w:val="0"/>
        </w:rPr>
      </w:pPr>
      <w:r>
        <w:rPr>
          <w:kern w:val="0"/>
        </w:rPr>
        <w:t xml:space="preserve">Abstract: Background: The dynamic, decentralized world-wide-web has become an </w:t>
      </w:r>
      <w:r>
        <w:rPr>
          <w:kern w:val="0"/>
        </w:rPr>
        <w:lastRenderedPageBreak/>
        <w:t>essential part</w:t>
      </w:r>
      <w:r w:rsidR="00427468">
        <w:rPr>
          <w:kern w:val="0"/>
        </w:rPr>
        <w:t xml:space="preserve"> of </w:t>
      </w:r>
      <w:r>
        <w:rPr>
          <w:kern w:val="0"/>
        </w:rPr>
        <w:t>scientific research</w:t>
      </w:r>
      <w:r w:rsidR="005853A9">
        <w:rPr>
          <w:kern w:val="0"/>
        </w:rPr>
        <w:t xml:space="preserve"> and </w:t>
      </w:r>
      <w:r>
        <w:rPr>
          <w:kern w:val="0"/>
        </w:rPr>
        <w:t>communication. Researchers create tho</w:t>
      </w:r>
      <w:r w:rsidR="00D5664A">
        <w:rPr>
          <w:kern w:val="0"/>
        </w:rPr>
        <w:t>USA</w:t>
      </w:r>
      <w:r>
        <w:rPr>
          <w:kern w:val="0"/>
        </w:rPr>
        <w:t>nds</w:t>
      </w:r>
      <w:r w:rsidR="00427468">
        <w:rPr>
          <w:kern w:val="0"/>
        </w:rPr>
        <w:t xml:space="preserve"> of </w:t>
      </w:r>
      <w:r>
        <w:rPr>
          <w:kern w:val="0"/>
        </w:rPr>
        <w:t>web sites every year to share software, data</w:t>
      </w:r>
      <w:r w:rsidR="005853A9">
        <w:rPr>
          <w:kern w:val="0"/>
        </w:rPr>
        <w:t xml:space="preserve"> and </w:t>
      </w:r>
      <w:r>
        <w:rPr>
          <w:kern w:val="0"/>
        </w:rPr>
        <w:t>services</w:t>
      </w:r>
      <w:r w:rsidR="00A37C1D">
        <w:rPr>
          <w:kern w:val="0"/>
        </w:rPr>
        <w:t>. The</w:t>
      </w:r>
      <w:r>
        <w:rPr>
          <w:kern w:val="0"/>
        </w:rPr>
        <w:t>se valuable resources tend to disappear over time</w:t>
      </w:r>
      <w:r w:rsidR="00A37C1D">
        <w:rPr>
          <w:kern w:val="0"/>
        </w:rPr>
        <w:t>. The</w:t>
      </w:r>
      <w:r>
        <w:rPr>
          <w:kern w:val="0"/>
        </w:rPr>
        <w:t xml:space="preserve"> problem has been documented in many subject areas. Our goal is to conduct a cross-disciplinary investigation</w:t>
      </w:r>
      <w:r w:rsidR="00427468">
        <w:rPr>
          <w:kern w:val="0"/>
        </w:rPr>
        <w:t xml:space="preserve"> of </w:t>
      </w:r>
      <w:r>
        <w:rPr>
          <w:kern w:val="0"/>
        </w:rPr>
        <w:t>the problem</w:t>
      </w:r>
      <w:r w:rsidR="005853A9">
        <w:rPr>
          <w:kern w:val="0"/>
        </w:rPr>
        <w:t xml:space="preserve"> and </w:t>
      </w:r>
      <w:r>
        <w:rPr>
          <w:kern w:val="0"/>
        </w:rPr>
        <w:t>test the effectiveness</w:t>
      </w:r>
      <w:r w:rsidR="00427468">
        <w:rPr>
          <w:kern w:val="0"/>
        </w:rPr>
        <w:t xml:space="preserve"> of </w:t>
      </w:r>
      <w:r>
        <w:rPr>
          <w:kern w:val="0"/>
        </w:rPr>
        <w:t>existing remedies. Results: We accessed 14,489 unique web pages found in the abstracts within Thomson Reuters</w:t>
      </w:r>
      <w:r w:rsidR="00700038">
        <w:rPr>
          <w:kern w:val="0"/>
        </w:rPr>
        <w:t>’</w:t>
      </w:r>
      <w:r>
        <w:rPr>
          <w:kern w:val="0"/>
        </w:rPr>
        <w:t xml:space="preserve"> </w:t>
      </w:r>
      <w:r w:rsidR="00D5664A">
        <w:rPr>
          <w:kern w:val="0"/>
        </w:rPr>
        <w:t>Web</w:t>
      </w:r>
      <w:r w:rsidR="00427468">
        <w:rPr>
          <w:kern w:val="0"/>
        </w:rPr>
        <w:t xml:space="preserve"> of </w:t>
      </w:r>
      <w:r w:rsidR="00D5664A">
        <w:rPr>
          <w:kern w:val="0"/>
        </w:rPr>
        <w:t>Science</w:t>
      </w:r>
      <w:r>
        <w:rPr>
          <w:kern w:val="0"/>
        </w:rPr>
        <w:t xml:space="preserve"> citation index that were published between 1996</w:t>
      </w:r>
      <w:r w:rsidR="005853A9">
        <w:rPr>
          <w:kern w:val="0"/>
        </w:rPr>
        <w:t xml:space="preserve"> and </w:t>
      </w:r>
      <w:r>
        <w:rPr>
          <w:kern w:val="0"/>
        </w:rPr>
        <w:t>2010</w:t>
      </w:r>
      <w:r w:rsidR="005853A9">
        <w:rPr>
          <w:kern w:val="0"/>
        </w:rPr>
        <w:t xml:space="preserve"> and </w:t>
      </w:r>
      <w:r>
        <w:rPr>
          <w:kern w:val="0"/>
        </w:rPr>
        <w:t>found that the median lifespan</w:t>
      </w:r>
      <w:r w:rsidR="00427468">
        <w:rPr>
          <w:kern w:val="0"/>
        </w:rPr>
        <w:t xml:space="preserve"> of </w:t>
      </w:r>
      <w:r>
        <w:rPr>
          <w:kern w:val="0"/>
        </w:rPr>
        <w:t>these web pages was 9.3 years with 62%</w:t>
      </w:r>
      <w:r w:rsidR="00427468">
        <w:rPr>
          <w:kern w:val="0"/>
        </w:rPr>
        <w:t xml:space="preserve"> of </w:t>
      </w:r>
      <w:r>
        <w:rPr>
          <w:kern w:val="0"/>
        </w:rPr>
        <w:t>them being archived. Survival analysis</w:t>
      </w:r>
      <w:r w:rsidR="005853A9">
        <w:rPr>
          <w:kern w:val="0"/>
        </w:rPr>
        <w:t xml:space="preserve"> and </w:t>
      </w:r>
      <w:r>
        <w:rPr>
          <w:kern w:val="0"/>
        </w:rPr>
        <w:t>logistic regression were used to find significant predictors</w:t>
      </w:r>
      <w:r w:rsidR="00427468">
        <w:rPr>
          <w:kern w:val="0"/>
        </w:rPr>
        <w:t xml:space="preserve"> of </w:t>
      </w:r>
      <w:r>
        <w:rPr>
          <w:kern w:val="0"/>
        </w:rPr>
        <w:t>URL lifespan</w:t>
      </w:r>
      <w:r w:rsidR="00A37C1D">
        <w:rPr>
          <w:kern w:val="0"/>
        </w:rPr>
        <w:t>. The</w:t>
      </w:r>
      <w:r>
        <w:rPr>
          <w:kern w:val="0"/>
        </w:rPr>
        <w:t xml:space="preserve"> availability</w:t>
      </w:r>
      <w:r w:rsidR="00427468">
        <w:rPr>
          <w:kern w:val="0"/>
        </w:rPr>
        <w:t xml:space="preserve"> of </w:t>
      </w:r>
      <w:r>
        <w:rPr>
          <w:kern w:val="0"/>
        </w:rPr>
        <w:t>a web page is most dependent on the time it is published</w:t>
      </w:r>
      <w:r w:rsidR="005853A9">
        <w:rPr>
          <w:kern w:val="0"/>
        </w:rPr>
        <w:t xml:space="preserve"> and </w:t>
      </w:r>
      <w:r>
        <w:rPr>
          <w:kern w:val="0"/>
        </w:rPr>
        <w:t>the top-level domain names. Similar statistical analysis revealed biases in current solutions: the Internet Archive favors web pages with fewer layers in the Universal Resource Locator (URL) while WebCite is significantly influenced by the source</w:t>
      </w:r>
      <w:r w:rsidR="00427468">
        <w:rPr>
          <w:kern w:val="0"/>
        </w:rPr>
        <w:t xml:space="preserve"> of </w:t>
      </w:r>
      <w:r>
        <w:rPr>
          <w:kern w:val="0"/>
        </w:rPr>
        <w:t>publication. We also created a prototype for a process to submit web pages to the archives</w:t>
      </w:r>
      <w:r w:rsidR="005853A9">
        <w:rPr>
          <w:kern w:val="0"/>
        </w:rPr>
        <w:t xml:space="preserve"> and </w:t>
      </w:r>
      <w:r>
        <w:rPr>
          <w:kern w:val="0"/>
        </w:rPr>
        <w:t>increased coverage</w:t>
      </w:r>
      <w:r w:rsidR="00427468">
        <w:rPr>
          <w:kern w:val="0"/>
        </w:rPr>
        <w:t xml:space="preserve"> of </w:t>
      </w:r>
      <w:r>
        <w:rPr>
          <w:kern w:val="0"/>
        </w:rPr>
        <w:t>our list</w:t>
      </w:r>
      <w:r w:rsidR="00427468">
        <w:rPr>
          <w:kern w:val="0"/>
        </w:rPr>
        <w:t xml:space="preserve"> of </w:t>
      </w:r>
      <w:r>
        <w:rPr>
          <w:kern w:val="0"/>
        </w:rPr>
        <w:t>scientific webpages in the Internet Archive</w:t>
      </w:r>
      <w:r w:rsidR="005853A9">
        <w:rPr>
          <w:kern w:val="0"/>
        </w:rPr>
        <w:t xml:space="preserve"> and </w:t>
      </w:r>
      <w:r>
        <w:rPr>
          <w:kern w:val="0"/>
        </w:rPr>
        <w:t>WebCite by 22%</w:t>
      </w:r>
      <w:r w:rsidR="005853A9">
        <w:rPr>
          <w:kern w:val="0"/>
        </w:rPr>
        <w:t xml:space="preserve"> and </w:t>
      </w:r>
      <w:r>
        <w:rPr>
          <w:kern w:val="0"/>
        </w:rPr>
        <w:t>255%, respectively. Conclusion: Our results show that link decay continues to be a problem across different disciplines</w:t>
      </w:r>
      <w:r w:rsidR="005853A9">
        <w:rPr>
          <w:kern w:val="0"/>
        </w:rPr>
        <w:t xml:space="preserve"> and </w:t>
      </w:r>
      <w:r>
        <w:rPr>
          <w:kern w:val="0"/>
        </w:rPr>
        <w:t>that current solutions for static web pages are helping</w:t>
      </w:r>
      <w:r w:rsidR="005853A9">
        <w:rPr>
          <w:kern w:val="0"/>
        </w:rPr>
        <w:t xml:space="preserve"> and </w:t>
      </w:r>
      <w:r>
        <w:rPr>
          <w:kern w:val="0"/>
        </w:rPr>
        <w:t>can be improved.</w:t>
      </w:r>
    </w:p>
    <w:p w:rsidR="00D72764" w:rsidRDefault="00D72764" w:rsidP="00D72764">
      <w:pPr>
        <w:pStyle w:val="a3"/>
        <w:rPr>
          <w:kern w:val="0"/>
        </w:rPr>
      </w:pPr>
      <w:r>
        <w:rPr>
          <w:kern w:val="0"/>
        </w:rPr>
        <w:t xml:space="preserve">Keywords: Accessibility, Analysis, Availability, Citation, Citation Index, Communication, Coverage, Data, Disciplines, Dynamic, Effectiveness, Index, Information-Science, Informetrics, Internet, Internet References, Investigation, Journals, Logistic Regression, </w:t>
      </w:r>
      <w:r w:rsidR="00D5664A">
        <w:rPr>
          <w:kern w:val="0"/>
        </w:rPr>
        <w:t>MEDLINE</w:t>
      </w:r>
      <w:r>
        <w:rPr>
          <w:kern w:val="0"/>
        </w:rPr>
        <w:t xml:space="preserve">, Mitigation, Permanence, Predictors, Publication, Regression, Research, Researchers, Resources, Results, Science, Science Citation Index, Scientific Research, Services, Software, Solutions, Source, Stability, Statistical Analysis, Techniques, Thomson Reuters, Thomson-Reuters, Urls, Web, Web Citation Availability, </w:t>
      </w:r>
      <w:r w:rsidR="00D5664A">
        <w:rPr>
          <w:kern w:val="0"/>
        </w:rPr>
        <w:t>Web</w:t>
      </w:r>
      <w:r w:rsidR="00427468">
        <w:rPr>
          <w:kern w:val="0"/>
        </w:rPr>
        <w:t xml:space="preserve"> of </w:t>
      </w:r>
      <w:r w:rsidR="00D5664A">
        <w:rPr>
          <w:kern w:val="0"/>
        </w:rPr>
        <w:t>Science</w:t>
      </w:r>
    </w:p>
    <w:p w:rsidR="006028E9" w:rsidRPr="001A3D2B" w:rsidRDefault="006028E9" w:rsidP="006028E9">
      <w:pPr>
        <w:pStyle w:val="1"/>
      </w:pPr>
      <w:r w:rsidRPr="001A3D2B">
        <w:br w:type="page"/>
      </w:r>
      <w:bookmarkStart w:id="827" w:name="_Toc420814751"/>
      <w:r w:rsidRPr="001A3D2B">
        <w:lastRenderedPageBreak/>
        <w:t xml:space="preserve">Title: </w:t>
      </w:r>
      <w:r w:rsidR="00523C8B" w:rsidRPr="00523C8B">
        <w:rPr>
          <w:iCs w:val="0"/>
        </w:rPr>
        <w:t xml:space="preserve">BMC </w:t>
      </w:r>
      <w:r w:rsidR="00523C8B" w:rsidRPr="00523C8B">
        <w:t>Cancer</w:t>
      </w:r>
      <w:bookmarkEnd w:id="827"/>
    </w:p>
    <w:p w:rsidR="006028E9" w:rsidRPr="001A3D2B" w:rsidRDefault="006028E9" w:rsidP="006028E9">
      <w:pPr>
        <w:pStyle w:val="12"/>
      </w:pPr>
      <w:r w:rsidRPr="001A3D2B">
        <w:t xml:space="preserve">Full Journal Title: </w:t>
      </w:r>
      <w:r w:rsidR="00523C8B" w:rsidRPr="00523C8B">
        <w:rPr>
          <w:iCs/>
          <w:kern w:val="0"/>
        </w:rPr>
        <w:t>BMC Cancer</w:t>
      </w:r>
    </w:p>
    <w:p w:rsidR="006028E9" w:rsidRPr="001A3D2B" w:rsidRDefault="006028E9" w:rsidP="006028E9">
      <w:pPr>
        <w:pStyle w:val="12"/>
      </w:pPr>
      <w:r w:rsidRPr="001A3D2B">
        <w:t xml:space="preserve">ISO Abbreviated Title: </w:t>
      </w:r>
    </w:p>
    <w:p w:rsidR="006028E9" w:rsidRPr="001A3D2B" w:rsidRDefault="006028E9" w:rsidP="006028E9">
      <w:pPr>
        <w:pStyle w:val="12"/>
      </w:pPr>
      <w:r w:rsidRPr="001A3D2B">
        <w:t xml:space="preserve">JCR Abbreviated Title: </w:t>
      </w:r>
    </w:p>
    <w:p w:rsidR="006028E9" w:rsidRPr="001A3D2B" w:rsidRDefault="006028E9" w:rsidP="006028E9">
      <w:pPr>
        <w:pStyle w:val="12"/>
      </w:pPr>
      <w:r w:rsidRPr="001A3D2B">
        <w:t xml:space="preserve">ISSN: </w:t>
      </w:r>
    </w:p>
    <w:p w:rsidR="006028E9" w:rsidRPr="001A3D2B" w:rsidRDefault="006028E9" w:rsidP="006028E9">
      <w:pPr>
        <w:pStyle w:val="12"/>
      </w:pPr>
      <w:r w:rsidRPr="001A3D2B">
        <w:t xml:space="preserve">Issues/Year: </w:t>
      </w:r>
    </w:p>
    <w:p w:rsidR="006028E9" w:rsidRPr="001A3D2B" w:rsidRDefault="006028E9" w:rsidP="006028E9">
      <w:pPr>
        <w:pStyle w:val="12"/>
      </w:pPr>
      <w:r w:rsidRPr="001A3D2B">
        <w:t xml:space="preserve">Journal Country/Territory: </w:t>
      </w:r>
    </w:p>
    <w:p w:rsidR="006028E9" w:rsidRPr="001A3D2B" w:rsidRDefault="006028E9" w:rsidP="006028E9">
      <w:pPr>
        <w:pStyle w:val="12"/>
      </w:pPr>
      <w:r w:rsidRPr="001A3D2B">
        <w:t xml:space="preserve">Language: </w:t>
      </w:r>
    </w:p>
    <w:p w:rsidR="006028E9" w:rsidRPr="001A3D2B" w:rsidRDefault="006028E9" w:rsidP="006028E9">
      <w:pPr>
        <w:pStyle w:val="12"/>
      </w:pPr>
      <w:r w:rsidRPr="001A3D2B">
        <w:t xml:space="preserve">Publisher: </w:t>
      </w:r>
    </w:p>
    <w:p w:rsidR="006028E9" w:rsidRPr="001A3D2B" w:rsidRDefault="006028E9" w:rsidP="006028E9">
      <w:pPr>
        <w:pStyle w:val="12"/>
      </w:pPr>
      <w:r w:rsidRPr="001A3D2B">
        <w:t xml:space="preserve">Publisher Address: </w:t>
      </w:r>
    </w:p>
    <w:p w:rsidR="006028E9" w:rsidRPr="001A3D2B" w:rsidRDefault="006028E9" w:rsidP="006028E9">
      <w:pPr>
        <w:pStyle w:val="12"/>
      </w:pPr>
      <w:r w:rsidRPr="001A3D2B">
        <w:t>Subject Categories:</w:t>
      </w:r>
    </w:p>
    <w:p w:rsidR="006028E9" w:rsidRPr="001A3D2B" w:rsidRDefault="006028E9" w:rsidP="006028E9">
      <w:pPr>
        <w:pStyle w:val="12"/>
      </w:pPr>
      <w:r w:rsidRPr="001A3D2B">
        <w:t>: Impact Factor</w:t>
      </w:r>
    </w:p>
    <w:p w:rsidR="00523C8B" w:rsidRDefault="00523C8B" w:rsidP="00523C8B">
      <w:pPr>
        <w:pStyle w:val="a3"/>
        <w:rPr>
          <w:kern w:val="0"/>
        </w:rPr>
      </w:pPr>
      <w:r>
        <w:rPr>
          <w:rFonts w:hint="eastAsia"/>
          <w:kern w:val="0"/>
        </w:rPr>
        <w:t xml:space="preserve">? </w:t>
      </w:r>
      <w:r>
        <w:rPr>
          <w:kern w:val="0"/>
        </w:rPr>
        <w:t>Yu, X.F., Bao, Z.J., Zou, J.A.</w:t>
      </w:r>
      <w:r w:rsidR="005853A9">
        <w:rPr>
          <w:kern w:val="0"/>
        </w:rPr>
        <w:t xml:space="preserve"> and </w:t>
      </w:r>
      <w:r>
        <w:rPr>
          <w:kern w:val="0"/>
        </w:rPr>
        <w:t>Dong, J. (2011), Coffee consumption</w:t>
      </w:r>
      <w:r w:rsidR="005853A9">
        <w:rPr>
          <w:kern w:val="0"/>
        </w:rPr>
        <w:t xml:space="preserve"> and </w:t>
      </w:r>
      <w:r>
        <w:rPr>
          <w:kern w:val="0"/>
        </w:rPr>
        <w:t>risk</w:t>
      </w:r>
      <w:r w:rsidR="00427468">
        <w:rPr>
          <w:kern w:val="0"/>
        </w:rPr>
        <w:t xml:space="preserve"> of </w:t>
      </w:r>
      <w:r>
        <w:rPr>
          <w:kern w:val="0"/>
        </w:rPr>
        <w:t>cancers: A meta-analysis</w:t>
      </w:r>
      <w:r w:rsidR="00427468">
        <w:rPr>
          <w:kern w:val="0"/>
        </w:rPr>
        <w:t xml:space="preserve"> of </w:t>
      </w:r>
      <w:r>
        <w:rPr>
          <w:kern w:val="0"/>
        </w:rPr>
        <w:t xml:space="preserve">cohort studies. </w:t>
      </w:r>
      <w:r w:rsidRPr="00523C8B">
        <w:rPr>
          <w:i/>
          <w:iCs/>
          <w:kern w:val="0"/>
        </w:rPr>
        <w:t>BMC Cancer</w:t>
      </w:r>
      <w:r>
        <w:rPr>
          <w:kern w:val="0"/>
        </w:rPr>
        <w:t xml:space="preserve">, </w:t>
      </w:r>
      <w:r>
        <w:rPr>
          <w:b/>
          <w:bCs/>
          <w:kern w:val="0"/>
        </w:rPr>
        <w:t>11</w:t>
      </w:r>
      <w:r>
        <w:rPr>
          <w:rFonts w:hint="eastAsia"/>
          <w:kern w:val="0"/>
        </w:rPr>
        <w:t xml:space="preserve">, </w:t>
      </w:r>
      <w:r w:rsidRPr="00523C8B">
        <w:rPr>
          <w:kern w:val="0"/>
        </w:rPr>
        <w:t>Article Number: 96</w:t>
      </w:r>
      <w:r>
        <w:rPr>
          <w:rFonts w:hint="eastAsia"/>
          <w:kern w:val="0"/>
        </w:rPr>
        <w:t>.</w:t>
      </w:r>
    </w:p>
    <w:p w:rsidR="00523C8B" w:rsidRDefault="00523C8B" w:rsidP="00523C8B">
      <w:pPr>
        <w:pStyle w:val="a3"/>
        <w:rPr>
          <w:kern w:val="0"/>
        </w:rPr>
      </w:pPr>
      <w:r>
        <w:rPr>
          <w:rFonts w:hint="eastAsia"/>
          <w:kern w:val="0"/>
        </w:rPr>
        <w:t xml:space="preserve">Full Text: </w:t>
      </w:r>
      <w:hyperlink r:id="rId1542" w:history="1">
        <w:r w:rsidRPr="00523C8B">
          <w:rPr>
            <w:rStyle w:val="a5"/>
            <w:kern w:val="0"/>
          </w:rPr>
          <w:t>2011\BMC Can11, 96.pdf</w:t>
        </w:r>
      </w:hyperlink>
    </w:p>
    <w:p w:rsidR="00523C8B" w:rsidRDefault="00523C8B" w:rsidP="00523C8B">
      <w:pPr>
        <w:pStyle w:val="a3"/>
        <w:rPr>
          <w:kern w:val="0"/>
        </w:rPr>
      </w:pPr>
      <w:r>
        <w:rPr>
          <w:kern w:val="0"/>
        </w:rPr>
        <w:t>Abstract: Background: Coffee consumption has been shown to be associated with cancer</w:t>
      </w:r>
      <w:r w:rsidR="00427468">
        <w:rPr>
          <w:kern w:val="0"/>
        </w:rPr>
        <w:t xml:space="preserve"> of </w:t>
      </w:r>
      <w:r>
        <w:rPr>
          <w:kern w:val="0"/>
        </w:rPr>
        <w:t>various sites in epidemiological studies. However, there is no comprehensive overview</w:t>
      </w:r>
      <w:r w:rsidR="00427468">
        <w:rPr>
          <w:kern w:val="0"/>
        </w:rPr>
        <w:t xml:space="preserve"> of </w:t>
      </w:r>
      <w:r w:rsidR="003A1917">
        <w:rPr>
          <w:kern w:val="0"/>
        </w:rPr>
        <w:t xml:space="preserve">the </w:t>
      </w:r>
      <w:r>
        <w:rPr>
          <w:kern w:val="0"/>
        </w:rPr>
        <w:t>substantial body</w:t>
      </w:r>
      <w:r w:rsidR="00427468">
        <w:rPr>
          <w:kern w:val="0"/>
        </w:rPr>
        <w:t xml:space="preserve"> of </w:t>
      </w:r>
      <w:r>
        <w:rPr>
          <w:kern w:val="0"/>
        </w:rPr>
        <w:t xml:space="preserve">epidemiologic evidence. Methods: We searched </w:t>
      </w:r>
      <w:r w:rsidR="00D5664A">
        <w:rPr>
          <w:kern w:val="0"/>
        </w:rPr>
        <w:t>MEDLINE</w:t>
      </w:r>
      <w:r>
        <w:rPr>
          <w:kern w:val="0"/>
        </w:rPr>
        <w:t>, EMBASE, Science Citation Index Expanded</w:t>
      </w:r>
      <w:r w:rsidR="005853A9">
        <w:rPr>
          <w:kern w:val="0"/>
        </w:rPr>
        <w:t xml:space="preserve"> and </w:t>
      </w:r>
      <w:r>
        <w:rPr>
          <w:kern w:val="0"/>
        </w:rPr>
        <w:t>bibliographies</w:t>
      </w:r>
      <w:r w:rsidR="00427468">
        <w:rPr>
          <w:kern w:val="0"/>
        </w:rPr>
        <w:t xml:space="preserve"> of </w:t>
      </w:r>
      <w:r>
        <w:rPr>
          <w:kern w:val="0"/>
        </w:rPr>
        <w:t>retrieved articles. Prospective cohort studies were included if they reported relative risks (RRs)</w:t>
      </w:r>
      <w:r w:rsidR="005853A9">
        <w:rPr>
          <w:kern w:val="0"/>
        </w:rPr>
        <w:t xml:space="preserve"> and </w:t>
      </w:r>
      <w:r>
        <w:rPr>
          <w:kern w:val="0"/>
        </w:rPr>
        <w:t>corresponding 95% confidence intervals (CIs)</w:t>
      </w:r>
      <w:r w:rsidR="00427468">
        <w:rPr>
          <w:kern w:val="0"/>
        </w:rPr>
        <w:t xml:space="preserve"> of </w:t>
      </w:r>
      <w:r>
        <w:rPr>
          <w:kern w:val="0"/>
        </w:rPr>
        <w:t>various cancers with respect to frequency</w:t>
      </w:r>
      <w:r w:rsidR="00427468">
        <w:rPr>
          <w:kern w:val="0"/>
        </w:rPr>
        <w:t xml:space="preserve"> of </w:t>
      </w:r>
      <w:r>
        <w:rPr>
          <w:kern w:val="0"/>
        </w:rPr>
        <w:t>coffee intake. We did random-effects meta-analyses</w:t>
      </w:r>
      <w:r w:rsidR="005853A9">
        <w:rPr>
          <w:kern w:val="0"/>
        </w:rPr>
        <w:t xml:space="preserve"> and </w:t>
      </w:r>
      <w:r>
        <w:rPr>
          <w:kern w:val="0"/>
        </w:rPr>
        <w:t>meta-regressions</w:t>
      </w:r>
      <w:r w:rsidR="00427468">
        <w:rPr>
          <w:kern w:val="0"/>
        </w:rPr>
        <w:t xml:space="preserve"> of </w:t>
      </w:r>
      <w:r>
        <w:rPr>
          <w:kern w:val="0"/>
        </w:rPr>
        <w:t>study-specific incremental estimates to determine</w:t>
      </w:r>
      <w:r w:rsidR="003A1917">
        <w:rPr>
          <w:kern w:val="0"/>
        </w:rPr>
        <w:t xml:space="preserve"> the </w:t>
      </w:r>
      <w:r>
        <w:rPr>
          <w:kern w:val="0"/>
        </w:rPr>
        <w:t>risk</w:t>
      </w:r>
      <w:r w:rsidR="00427468">
        <w:rPr>
          <w:kern w:val="0"/>
        </w:rPr>
        <w:t xml:space="preserve"> of </w:t>
      </w:r>
      <w:r>
        <w:rPr>
          <w:kern w:val="0"/>
        </w:rPr>
        <w:t>cancer associated with 1 cup/day increment</w:t>
      </w:r>
      <w:r w:rsidR="00427468">
        <w:rPr>
          <w:kern w:val="0"/>
        </w:rPr>
        <w:t xml:space="preserve"> of </w:t>
      </w:r>
      <w:r>
        <w:rPr>
          <w:kern w:val="0"/>
        </w:rPr>
        <w:t>coffee consumption. Results: 59 studies, consisting</w:t>
      </w:r>
      <w:r w:rsidR="00427468">
        <w:rPr>
          <w:kern w:val="0"/>
        </w:rPr>
        <w:t xml:space="preserve"> of </w:t>
      </w:r>
      <w:r>
        <w:rPr>
          <w:kern w:val="0"/>
        </w:rPr>
        <w:t>40 independent cohorts, met</w:t>
      </w:r>
      <w:r w:rsidR="003A1917">
        <w:rPr>
          <w:kern w:val="0"/>
        </w:rPr>
        <w:t xml:space="preserve"> the </w:t>
      </w:r>
      <w:r>
        <w:rPr>
          <w:kern w:val="0"/>
        </w:rPr>
        <w:t>inclusion criteria. Compared with individuals who did not or seldom drink coffee per day,</w:t>
      </w:r>
      <w:r w:rsidR="003A1917">
        <w:rPr>
          <w:kern w:val="0"/>
        </w:rPr>
        <w:t xml:space="preserve"> the </w:t>
      </w:r>
      <w:r>
        <w:rPr>
          <w:kern w:val="0"/>
        </w:rPr>
        <w:t>pooled RR</w:t>
      </w:r>
      <w:r w:rsidR="00427468">
        <w:rPr>
          <w:kern w:val="0"/>
        </w:rPr>
        <w:t xml:space="preserve"> of </w:t>
      </w:r>
      <w:r>
        <w:rPr>
          <w:kern w:val="0"/>
        </w:rPr>
        <w:t>cancer was 0.87 (95% CI, 0.82-0.92) for regular coffee drinkers, 0.89 (0.84-0.93) for low to moderate coffee drinkers,</w:t>
      </w:r>
      <w:r w:rsidR="005853A9">
        <w:rPr>
          <w:kern w:val="0"/>
        </w:rPr>
        <w:t xml:space="preserve"> and </w:t>
      </w:r>
      <w:r>
        <w:rPr>
          <w:kern w:val="0"/>
        </w:rPr>
        <w:t>0.82 (0.74-0.89) for high drinkers. Overall, an increase in consumption</w:t>
      </w:r>
      <w:r w:rsidR="00427468">
        <w:rPr>
          <w:kern w:val="0"/>
        </w:rPr>
        <w:t xml:space="preserve"> of </w:t>
      </w:r>
      <w:r>
        <w:rPr>
          <w:kern w:val="0"/>
        </w:rPr>
        <w:t>1 cup</w:t>
      </w:r>
      <w:r w:rsidR="00427468">
        <w:rPr>
          <w:kern w:val="0"/>
        </w:rPr>
        <w:t xml:space="preserve"> of </w:t>
      </w:r>
      <w:r>
        <w:rPr>
          <w:kern w:val="0"/>
        </w:rPr>
        <w:t>coffee per day was associated with a 3% reduced risk</w:t>
      </w:r>
      <w:r w:rsidR="00427468">
        <w:rPr>
          <w:kern w:val="0"/>
        </w:rPr>
        <w:t xml:space="preserve"> of </w:t>
      </w:r>
      <w:r>
        <w:rPr>
          <w:kern w:val="0"/>
        </w:rPr>
        <w:t>cancers (RR, 0.97; 95% CI, 0.96-0.98). In subgroup analyses, we noted that, coffee drinking was associated with a reduced risk</w:t>
      </w:r>
      <w:r w:rsidR="00427468">
        <w:rPr>
          <w:kern w:val="0"/>
        </w:rPr>
        <w:t xml:space="preserve"> of </w:t>
      </w:r>
      <w:r>
        <w:rPr>
          <w:kern w:val="0"/>
        </w:rPr>
        <w:t>bladder, breast, buccal</w:t>
      </w:r>
      <w:r w:rsidR="005853A9">
        <w:rPr>
          <w:kern w:val="0"/>
        </w:rPr>
        <w:t xml:space="preserve"> and </w:t>
      </w:r>
      <w:r>
        <w:rPr>
          <w:kern w:val="0"/>
        </w:rPr>
        <w:t>pharyngeal, colorectal, endometrial, esophageal, hepatocellular, leukemic, pancreatic,</w:t>
      </w:r>
      <w:r w:rsidR="005853A9">
        <w:rPr>
          <w:kern w:val="0"/>
        </w:rPr>
        <w:t xml:space="preserve"> and </w:t>
      </w:r>
      <w:r>
        <w:rPr>
          <w:kern w:val="0"/>
        </w:rPr>
        <w:t>prostate cancers. Conclusions: Findings from this meta-analysis suggest that coffee consumption may reduce</w:t>
      </w:r>
      <w:r w:rsidR="003A1917">
        <w:rPr>
          <w:kern w:val="0"/>
        </w:rPr>
        <w:t xml:space="preserve"> the </w:t>
      </w:r>
      <w:r>
        <w:rPr>
          <w:kern w:val="0"/>
        </w:rPr>
        <w:t>total cancer incidence</w:t>
      </w:r>
      <w:r w:rsidR="005853A9">
        <w:rPr>
          <w:kern w:val="0"/>
        </w:rPr>
        <w:t xml:space="preserve"> and </w:t>
      </w:r>
      <w:r>
        <w:rPr>
          <w:kern w:val="0"/>
        </w:rPr>
        <w:t>it also has an inverse association with some type</w:t>
      </w:r>
      <w:r w:rsidR="00427468">
        <w:rPr>
          <w:kern w:val="0"/>
        </w:rPr>
        <w:t xml:space="preserve"> of </w:t>
      </w:r>
      <w:r>
        <w:rPr>
          <w:kern w:val="0"/>
        </w:rPr>
        <w:t>cancers.</w:t>
      </w:r>
    </w:p>
    <w:p w:rsidR="00523C8B" w:rsidRDefault="00523C8B" w:rsidP="00523C8B">
      <w:pPr>
        <w:pStyle w:val="a3"/>
        <w:rPr>
          <w:kern w:val="0"/>
        </w:rPr>
      </w:pPr>
      <w:r>
        <w:rPr>
          <w:kern w:val="0"/>
        </w:rPr>
        <w:t xml:space="preserve">Keywords: Analyses, Association, Bibliographies, Bladder, Bladder-Cancer, Breast-Cancer, Buccal, Caffeine Consumption, Cancer, Citation, Cohort, </w:t>
      </w:r>
      <w:r>
        <w:rPr>
          <w:kern w:val="0"/>
        </w:rPr>
        <w:lastRenderedPageBreak/>
        <w:t xml:space="preserve">Colorectal-Cancer, Confidence, Confidence Intervals, Consumption, Criteria, Dose-Response Data, Estimates, Evidence, Incidence, Intervals, Mar, </w:t>
      </w:r>
      <w:r w:rsidR="00D5664A">
        <w:rPr>
          <w:kern w:val="0"/>
        </w:rPr>
        <w:t>MEDLINE</w:t>
      </w:r>
      <w:r>
        <w:rPr>
          <w:kern w:val="0"/>
        </w:rPr>
        <w:t>, Meta-Analysis, Metaanalysis, Ovarian-Cancer, Pancreatic-Cancer, Population-Based Cohort, Primary Liver-Cancer, Renal-Cell Cancer, Risk, Risks, Science, Science Citation Index, Science Citation Index Expanded</w:t>
      </w:r>
    </w:p>
    <w:p w:rsidR="00C37AD8" w:rsidRDefault="00C37AD8" w:rsidP="00C37AD8">
      <w:pPr>
        <w:pStyle w:val="a3"/>
        <w:rPr>
          <w:kern w:val="0"/>
        </w:rPr>
      </w:pPr>
      <w:r>
        <w:rPr>
          <w:rFonts w:hint="eastAsia"/>
          <w:kern w:val="0"/>
        </w:rPr>
        <w:t xml:space="preserve">? </w:t>
      </w:r>
      <w:r>
        <w:rPr>
          <w:kern w:val="0"/>
        </w:rPr>
        <w:t>Yang, Y.L., Liu, L., Wang, Y., Wu, H., Yang, X.S., Wang, J.N.</w:t>
      </w:r>
      <w:r w:rsidR="005853A9">
        <w:rPr>
          <w:kern w:val="0"/>
        </w:rPr>
        <w:t xml:space="preserve"> and </w:t>
      </w:r>
      <w:r>
        <w:rPr>
          <w:kern w:val="0"/>
        </w:rPr>
        <w:t>Wang, L. (2013), The prevalence</w:t>
      </w:r>
      <w:r w:rsidR="00427468">
        <w:rPr>
          <w:kern w:val="0"/>
        </w:rPr>
        <w:t xml:space="preserve"> of </w:t>
      </w:r>
      <w:r>
        <w:rPr>
          <w:kern w:val="0"/>
        </w:rPr>
        <w:t>depression</w:t>
      </w:r>
      <w:r w:rsidR="005853A9">
        <w:rPr>
          <w:kern w:val="0"/>
        </w:rPr>
        <w:t xml:space="preserve"> and </w:t>
      </w:r>
      <w:r>
        <w:rPr>
          <w:kern w:val="0"/>
        </w:rPr>
        <w:t>anxiety among Chinese adults with cancer: A systematic review</w:t>
      </w:r>
      <w:r w:rsidR="005853A9">
        <w:rPr>
          <w:kern w:val="0"/>
        </w:rPr>
        <w:t xml:space="preserve"> and </w:t>
      </w:r>
      <w:r>
        <w:rPr>
          <w:kern w:val="0"/>
        </w:rPr>
        <w:t xml:space="preserve">meta-analysis. </w:t>
      </w:r>
      <w:r>
        <w:rPr>
          <w:i/>
          <w:iCs/>
          <w:kern w:val="0"/>
        </w:rPr>
        <w:t>BMC Cancer</w:t>
      </w:r>
      <w:r>
        <w:rPr>
          <w:kern w:val="0"/>
        </w:rPr>
        <w:t xml:space="preserve">, </w:t>
      </w:r>
      <w:r>
        <w:rPr>
          <w:b/>
          <w:bCs/>
          <w:kern w:val="0"/>
        </w:rPr>
        <w:t>13</w:t>
      </w:r>
      <w:r>
        <w:rPr>
          <w:rFonts w:hint="eastAsia"/>
          <w:kern w:val="0"/>
        </w:rPr>
        <w:t xml:space="preserve">, </w:t>
      </w:r>
      <w:r w:rsidRPr="00523C8B">
        <w:rPr>
          <w:kern w:val="0"/>
        </w:rPr>
        <w:t xml:space="preserve">Article Number: </w:t>
      </w:r>
      <w:r>
        <w:rPr>
          <w:rFonts w:hint="eastAsia"/>
          <w:kern w:val="0"/>
        </w:rPr>
        <w:t>393.</w:t>
      </w:r>
    </w:p>
    <w:p w:rsidR="00C37AD8" w:rsidRDefault="00C37AD8" w:rsidP="00C37AD8">
      <w:pPr>
        <w:pStyle w:val="a3"/>
        <w:rPr>
          <w:kern w:val="0"/>
        </w:rPr>
      </w:pPr>
      <w:r>
        <w:rPr>
          <w:rFonts w:hint="eastAsia"/>
          <w:kern w:val="0"/>
        </w:rPr>
        <w:t xml:space="preserve">Full Text: </w:t>
      </w:r>
      <w:hyperlink r:id="rId1543" w:history="1">
        <w:r w:rsidRPr="008C17D4">
          <w:rPr>
            <w:rStyle w:val="a5"/>
            <w:kern w:val="0"/>
          </w:rPr>
          <w:t>2013\BMC Can13, 393.pdf</w:t>
        </w:r>
      </w:hyperlink>
    </w:p>
    <w:p w:rsidR="00C37AD8" w:rsidRDefault="00C37AD8" w:rsidP="00C37AD8">
      <w:pPr>
        <w:pStyle w:val="a3"/>
        <w:rPr>
          <w:kern w:val="0"/>
        </w:rPr>
      </w:pPr>
      <w:r>
        <w:rPr>
          <w:kern w:val="0"/>
        </w:rPr>
        <w:t>Abstract: Background: A lot</w:t>
      </w:r>
      <w:r w:rsidR="00427468">
        <w:rPr>
          <w:kern w:val="0"/>
        </w:rPr>
        <w:t xml:space="preserve"> of </w:t>
      </w:r>
      <w:r>
        <w:rPr>
          <w:kern w:val="0"/>
        </w:rPr>
        <w:t>empirical studies have been conducted to evaluate the prevalence</w:t>
      </w:r>
      <w:r w:rsidR="00427468">
        <w:rPr>
          <w:kern w:val="0"/>
        </w:rPr>
        <w:t xml:space="preserve"> of </w:t>
      </w:r>
      <w:r>
        <w:rPr>
          <w:kern w:val="0"/>
        </w:rPr>
        <w:t>depression</w:t>
      </w:r>
      <w:r w:rsidR="005853A9">
        <w:rPr>
          <w:kern w:val="0"/>
        </w:rPr>
        <w:t xml:space="preserve"> and </w:t>
      </w:r>
      <w:r>
        <w:rPr>
          <w:kern w:val="0"/>
        </w:rPr>
        <w:t>anxiety among Chinese adults with cancer. We aimed to conduct a meta-analysis in order to evaluate the prevalence</w:t>
      </w:r>
      <w:r w:rsidR="005853A9">
        <w:rPr>
          <w:kern w:val="0"/>
        </w:rPr>
        <w:t xml:space="preserve"> and </w:t>
      </w:r>
      <w:r>
        <w:rPr>
          <w:kern w:val="0"/>
        </w:rPr>
        <w:t>odds ratios</w:t>
      </w:r>
      <w:r w:rsidR="00427468">
        <w:rPr>
          <w:kern w:val="0"/>
        </w:rPr>
        <w:t xml:space="preserve"> of </w:t>
      </w:r>
      <w:r>
        <w:rPr>
          <w:kern w:val="0"/>
        </w:rPr>
        <w:t>depression</w:t>
      </w:r>
      <w:r w:rsidR="005853A9">
        <w:rPr>
          <w:kern w:val="0"/>
        </w:rPr>
        <w:t xml:space="preserve"> and </w:t>
      </w:r>
      <w:r>
        <w:rPr>
          <w:kern w:val="0"/>
        </w:rPr>
        <w:t>anxiety in Chinese adults with cancer compared with those without. Methods: The three most comprehensive computerized Chinese academic databases-CNKI, Wangfang</w:t>
      </w:r>
      <w:r w:rsidR="005853A9">
        <w:rPr>
          <w:kern w:val="0"/>
        </w:rPr>
        <w:t xml:space="preserve"> and </w:t>
      </w:r>
      <w:r>
        <w:rPr>
          <w:kern w:val="0"/>
        </w:rPr>
        <w:t>Vip databases-were systematically screened through September 2012.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(SCIE) were also searched from their inception until September 2012 without language restrictions,</w:t>
      </w:r>
      <w:r w:rsidR="005853A9">
        <w:rPr>
          <w:kern w:val="0"/>
        </w:rPr>
        <w:t xml:space="preserve"> and </w:t>
      </w:r>
      <w:r>
        <w:rPr>
          <w:kern w:val="0"/>
        </w:rPr>
        <w:t>an internet search was also used. Case-control studies assessing the prevalence</w:t>
      </w:r>
      <w:r w:rsidR="00427468">
        <w:rPr>
          <w:kern w:val="0"/>
        </w:rPr>
        <w:t xml:space="preserve"> of </w:t>
      </w:r>
      <w:r>
        <w:rPr>
          <w:kern w:val="0"/>
        </w:rPr>
        <w:t>depression</w:t>
      </w:r>
      <w:r w:rsidR="005853A9">
        <w:rPr>
          <w:kern w:val="0"/>
        </w:rPr>
        <w:t xml:space="preserve"> and </w:t>
      </w:r>
      <w:r>
        <w:rPr>
          <w:kern w:val="0"/>
        </w:rPr>
        <w:t>anxiety among Chinese adults with cancer were analyzed. Study selection</w:t>
      </w:r>
      <w:r w:rsidR="005853A9">
        <w:rPr>
          <w:kern w:val="0"/>
        </w:rPr>
        <w:t xml:space="preserve"> and </w:t>
      </w:r>
      <w:r>
        <w:rPr>
          <w:kern w:val="0"/>
        </w:rPr>
        <w:t>appraisal were conducted independently by three authors</w:t>
      </w:r>
      <w:r w:rsidR="00A37C1D">
        <w:rPr>
          <w:kern w:val="0"/>
        </w:rPr>
        <w:t>. The</w:t>
      </w:r>
      <w:r>
        <w:rPr>
          <w:kern w:val="0"/>
        </w:rPr>
        <w:t xml:space="preserve"> non-weighted prevalence, pooled random-effects estimates</w:t>
      </w:r>
      <w:r w:rsidR="00427468">
        <w:rPr>
          <w:kern w:val="0"/>
        </w:rPr>
        <w:t xml:space="preserve"> of </w:t>
      </w:r>
      <w:r>
        <w:rPr>
          <w:kern w:val="0"/>
        </w:rPr>
        <w:t>odds ratio (OR)</w:t>
      </w:r>
      <w:r w:rsidR="005853A9">
        <w:rPr>
          <w:kern w:val="0"/>
        </w:rPr>
        <w:t xml:space="preserve"> and </w:t>
      </w:r>
      <w:r>
        <w:rPr>
          <w:kern w:val="0"/>
        </w:rPr>
        <w:t>95% confidence intervals (CI) were all calculated. Results: Seventeen eligible studies with a total</w:t>
      </w:r>
      <w:r w:rsidR="00427468">
        <w:rPr>
          <w:kern w:val="0"/>
        </w:rPr>
        <w:t xml:space="preserve"> of </w:t>
      </w:r>
      <w:r>
        <w:rPr>
          <w:kern w:val="0"/>
        </w:rPr>
        <w:t>3497 subjects were included</w:t>
      </w:r>
      <w:r w:rsidR="00A37C1D">
        <w:rPr>
          <w:kern w:val="0"/>
        </w:rPr>
        <w:t>. The</w:t>
      </w:r>
      <w:r>
        <w:rPr>
          <w:kern w:val="0"/>
        </w:rPr>
        <w:t xml:space="preserve"> prevalence</w:t>
      </w:r>
      <w:r w:rsidR="00427468">
        <w:rPr>
          <w:kern w:val="0"/>
        </w:rPr>
        <w:t xml:space="preserve"> of </w:t>
      </w:r>
      <w:r>
        <w:rPr>
          <w:kern w:val="0"/>
        </w:rPr>
        <w:t>depression</w:t>
      </w:r>
      <w:r w:rsidR="005853A9">
        <w:rPr>
          <w:kern w:val="0"/>
        </w:rPr>
        <w:t xml:space="preserve"> and </w:t>
      </w:r>
      <w:r>
        <w:rPr>
          <w:kern w:val="0"/>
        </w:rPr>
        <w:t>anxiety were significantly higher in adults with cancer compared with those without (Depression: 54.90% vs. 17.50%, OR = 7.85, 95% CI = 5.56-11.07, P = 0.000; Anxiety: 49.69% vs. 18.37%, OR = 6.46, 95% CI = 4.36-9.55, P = 0.000), the same situation was also observed in subgroup</w:t>
      </w:r>
      <w:r w:rsidR="00427468">
        <w:rPr>
          <w:kern w:val="0"/>
        </w:rPr>
        <w:t xml:space="preserve"> of </w:t>
      </w:r>
      <w:r>
        <w:rPr>
          <w:kern w:val="0"/>
        </w:rPr>
        <w:t>control groups, assessment methods</w:t>
      </w:r>
      <w:r w:rsidR="005853A9">
        <w:rPr>
          <w:kern w:val="0"/>
        </w:rPr>
        <w:t xml:space="preserve"> and </w:t>
      </w:r>
      <w:r>
        <w:rPr>
          <w:kern w:val="0"/>
        </w:rPr>
        <w:t>cancer types. Although no difference</w:t>
      </w:r>
      <w:r w:rsidR="00427468">
        <w:rPr>
          <w:kern w:val="0"/>
        </w:rPr>
        <w:t xml:space="preserve"> of </w:t>
      </w:r>
      <w:r>
        <w:rPr>
          <w:kern w:val="0"/>
        </w:rPr>
        <w:t>depression was observed in studies utilizing clinical diagnosis compared with self-report, the OR</w:t>
      </w:r>
      <w:r w:rsidR="00427468">
        <w:rPr>
          <w:kern w:val="0"/>
        </w:rPr>
        <w:t xml:space="preserve"> of </w:t>
      </w:r>
      <w:r>
        <w:rPr>
          <w:kern w:val="0"/>
        </w:rPr>
        <w:t>anxiety in adults with cancer compared with those without was higher in studies utilizing clinical diagnosis (OR = 8.42, 95% CI = 4.83-14.70) than self-reports (OR = 5.83, 95% CI = 3.64-9.34)</w:t>
      </w:r>
      <w:r w:rsidR="00A37C1D">
        <w:rPr>
          <w:kern w:val="0"/>
        </w:rPr>
        <w:t>. The</w:t>
      </w:r>
      <w:r>
        <w:rPr>
          <w:kern w:val="0"/>
        </w:rPr>
        <w:t xml:space="preserve"> ORs</w:t>
      </w:r>
      <w:r w:rsidR="00427468">
        <w:rPr>
          <w:kern w:val="0"/>
        </w:rPr>
        <w:t xml:space="preserve"> of </w:t>
      </w:r>
      <w:r>
        <w:rPr>
          <w:kern w:val="0"/>
        </w:rPr>
        <w:t>depression</w:t>
      </w:r>
      <w:r w:rsidR="005853A9">
        <w:rPr>
          <w:kern w:val="0"/>
        </w:rPr>
        <w:t xml:space="preserve"> and </w:t>
      </w:r>
      <w:r>
        <w:rPr>
          <w:kern w:val="0"/>
        </w:rPr>
        <w:t>anxiety in cancer patients compared with disease group (Depression: OR = 6.03, 95% CI = 4.23-8.61; Anxiety: OR = 4.40, 95% CI = 3.05-6.36) were lower than in those compared with normal group (Depression: OR = 13.58, 95% CI = 6.26-29.46; Anxiety: OR = 15.47, 95% CI = 10.00-23.95). Conclusions: We identified high prevalence rates</w:t>
      </w:r>
      <w:r w:rsidR="00427468">
        <w:rPr>
          <w:kern w:val="0"/>
        </w:rPr>
        <w:t xml:space="preserve"> of </w:t>
      </w:r>
      <w:r>
        <w:rPr>
          <w:kern w:val="0"/>
        </w:rPr>
        <w:t>depression</w:t>
      </w:r>
      <w:r w:rsidR="005853A9">
        <w:rPr>
          <w:kern w:val="0"/>
        </w:rPr>
        <w:t xml:space="preserve"> and </w:t>
      </w:r>
      <w:r>
        <w:rPr>
          <w:kern w:val="0"/>
        </w:rPr>
        <w:t>anxiety among Chinese adults with cancer</w:t>
      </w:r>
      <w:r w:rsidR="00A37C1D">
        <w:rPr>
          <w:kern w:val="0"/>
        </w:rPr>
        <w:t>. The</w:t>
      </w:r>
      <w:r>
        <w:rPr>
          <w:kern w:val="0"/>
        </w:rPr>
        <w:t xml:space="preserve"> findings support that the prevalence</w:t>
      </w:r>
      <w:r w:rsidR="00427468">
        <w:rPr>
          <w:kern w:val="0"/>
        </w:rPr>
        <w:t xml:space="preserve"> of </w:t>
      </w:r>
      <w:r>
        <w:rPr>
          <w:kern w:val="0"/>
        </w:rPr>
        <w:t>depression</w:t>
      </w:r>
      <w:r w:rsidR="005853A9">
        <w:rPr>
          <w:kern w:val="0"/>
        </w:rPr>
        <w:t xml:space="preserve"> and </w:t>
      </w:r>
      <w:r>
        <w:rPr>
          <w:kern w:val="0"/>
        </w:rPr>
        <w:t>anxiety among adults with cancer should receive more attention in Chinese medical settings.</w:t>
      </w:r>
    </w:p>
    <w:p w:rsidR="00C37AD8" w:rsidRDefault="00C37AD8" w:rsidP="00C37AD8">
      <w:pPr>
        <w:pStyle w:val="a3"/>
        <w:rPr>
          <w:kern w:val="0"/>
        </w:rPr>
      </w:pPr>
      <w:r>
        <w:rPr>
          <w:kern w:val="0"/>
        </w:rPr>
        <w:lastRenderedPageBreak/>
        <w:t xml:space="preserve">Keywords: Anxiety, Assessing, Assessment, Attention, Authors, Breast-Cancer, Cancer, Chinese, Clinical, Clinical-Trials, Confidence, Confidence Intervals, Control, Control Groups, Depression, Diagnosis, Disease, Empirical Studies, Epidemiology, Estimates, Groups, Intervals, Language, Medical, Mental-Disorders, Meta Analysis, Meta-Analysis, Metaanalysis, Methods, Normal, Odds Ratio, P, Patients, Prevalence, Psychiatric Morbidity, Psychosocial Interventions, Publication Bias, Pubmed, Quality-Of-Life, Rates, Restrictions, Results, Review, SCIE, Science, Selection, Support, Systematic Review, The-Literature, </w:t>
      </w:r>
      <w:r w:rsidR="00D5664A">
        <w:rPr>
          <w:kern w:val="0"/>
        </w:rPr>
        <w:t>Web</w:t>
      </w:r>
      <w:r w:rsidR="00427468">
        <w:rPr>
          <w:kern w:val="0"/>
        </w:rPr>
        <w:t xml:space="preserve"> of </w:t>
      </w:r>
      <w:r w:rsidR="00D5664A">
        <w:rPr>
          <w:kern w:val="0"/>
        </w:rPr>
        <w:t>Science</w:t>
      </w:r>
    </w:p>
    <w:p w:rsidR="0069476F" w:rsidRDefault="0069476F" w:rsidP="0069476F">
      <w:pPr>
        <w:pStyle w:val="a3"/>
        <w:rPr>
          <w:kern w:val="0"/>
        </w:rPr>
      </w:pPr>
      <w:r>
        <w:rPr>
          <w:rFonts w:hint="eastAsia"/>
          <w:kern w:val="0"/>
        </w:rPr>
        <w:t xml:space="preserve">? </w:t>
      </w:r>
      <w:r>
        <w:rPr>
          <w:kern w:val="0"/>
        </w:rPr>
        <w:t>Chen, J.Q., Zhou, J.D., Lu, J., Xiong, H., Shi, X.L.</w:t>
      </w:r>
      <w:r w:rsidR="005853A9">
        <w:rPr>
          <w:kern w:val="0"/>
        </w:rPr>
        <w:t xml:space="preserve"> and </w:t>
      </w:r>
      <w:r>
        <w:rPr>
          <w:kern w:val="0"/>
        </w:rPr>
        <w:t>Gong, L. (2014), Significance</w:t>
      </w:r>
      <w:r w:rsidR="00427468">
        <w:rPr>
          <w:kern w:val="0"/>
        </w:rPr>
        <w:t xml:space="preserve"> of </w:t>
      </w:r>
      <w:r>
        <w:rPr>
          <w:kern w:val="0"/>
        </w:rPr>
        <w:t>CD44 expression in head</w:t>
      </w:r>
      <w:r w:rsidR="005853A9">
        <w:rPr>
          <w:kern w:val="0"/>
        </w:rPr>
        <w:t xml:space="preserve"> and </w:t>
      </w:r>
      <w:r>
        <w:rPr>
          <w:kern w:val="0"/>
        </w:rPr>
        <w:t>neck cancer: A systemic review</w:t>
      </w:r>
      <w:r w:rsidR="005853A9">
        <w:rPr>
          <w:kern w:val="0"/>
        </w:rPr>
        <w:t xml:space="preserve"> and </w:t>
      </w:r>
      <w:r>
        <w:rPr>
          <w:kern w:val="0"/>
        </w:rPr>
        <w:t xml:space="preserve">meta-analysis. </w:t>
      </w:r>
      <w:r>
        <w:rPr>
          <w:i/>
          <w:iCs/>
          <w:kern w:val="0"/>
        </w:rPr>
        <w:t>BMC Cancer</w:t>
      </w:r>
      <w:r>
        <w:rPr>
          <w:kern w:val="0"/>
        </w:rPr>
        <w:t xml:space="preserve">, </w:t>
      </w:r>
      <w:r>
        <w:rPr>
          <w:b/>
          <w:bCs/>
          <w:kern w:val="0"/>
        </w:rPr>
        <w:t>14</w:t>
      </w:r>
      <w:r>
        <w:rPr>
          <w:rFonts w:hint="eastAsia"/>
          <w:kern w:val="0"/>
        </w:rPr>
        <w:t xml:space="preserve">, </w:t>
      </w:r>
      <w:r w:rsidRPr="00523C8B">
        <w:rPr>
          <w:kern w:val="0"/>
        </w:rPr>
        <w:t xml:space="preserve">Article Number: </w:t>
      </w:r>
      <w:r>
        <w:rPr>
          <w:rFonts w:hint="eastAsia"/>
          <w:kern w:val="0"/>
        </w:rPr>
        <w:t>15.</w:t>
      </w:r>
    </w:p>
    <w:p w:rsidR="0069476F" w:rsidRDefault="0069476F" w:rsidP="0069476F">
      <w:pPr>
        <w:pStyle w:val="a3"/>
        <w:rPr>
          <w:kern w:val="0"/>
        </w:rPr>
      </w:pPr>
      <w:r>
        <w:rPr>
          <w:rFonts w:hint="eastAsia"/>
          <w:kern w:val="0"/>
        </w:rPr>
        <w:t xml:space="preserve">Full Text: </w:t>
      </w:r>
      <w:hyperlink r:id="rId1544" w:history="1">
        <w:r w:rsidRPr="00085208">
          <w:rPr>
            <w:rStyle w:val="a5"/>
            <w:kern w:val="0"/>
          </w:rPr>
          <w:t>2014\BMC Can14, 15.pdf</w:t>
        </w:r>
      </w:hyperlink>
    </w:p>
    <w:p w:rsidR="0069476F" w:rsidRDefault="0069476F" w:rsidP="0069476F">
      <w:pPr>
        <w:pStyle w:val="a3"/>
        <w:rPr>
          <w:kern w:val="0"/>
        </w:rPr>
      </w:pPr>
      <w:r>
        <w:rPr>
          <w:kern w:val="0"/>
        </w:rPr>
        <w:t>Abstract: Background: CD44 has been reported to be involved with tumor growth</w:t>
      </w:r>
      <w:r w:rsidR="005853A9">
        <w:rPr>
          <w:kern w:val="0"/>
        </w:rPr>
        <w:t xml:space="preserve"> and </w:t>
      </w:r>
      <w:r>
        <w:rPr>
          <w:kern w:val="0"/>
        </w:rPr>
        <w:t>metastasis</w:t>
      </w:r>
      <w:r w:rsidR="005853A9">
        <w:rPr>
          <w:kern w:val="0"/>
        </w:rPr>
        <w:t xml:space="preserve"> and </w:t>
      </w:r>
      <w:r>
        <w:rPr>
          <w:kern w:val="0"/>
        </w:rPr>
        <w:t>has also been implicated as a CSC marker in head</w:t>
      </w:r>
      <w:r w:rsidR="005853A9">
        <w:rPr>
          <w:kern w:val="0"/>
        </w:rPr>
        <w:t xml:space="preserve"> and </w:t>
      </w:r>
      <w:r>
        <w:rPr>
          <w:kern w:val="0"/>
        </w:rPr>
        <w:t>neck squamous cell cancer (HNSCC). However, the prognostic value</w:t>
      </w:r>
      <w:r w:rsidR="00427468">
        <w:rPr>
          <w:kern w:val="0"/>
        </w:rPr>
        <w:t xml:space="preserve"> of </w:t>
      </w:r>
      <w:r>
        <w:rPr>
          <w:kern w:val="0"/>
        </w:rPr>
        <w:t>CD44 still remains controversial; hence, we investigated the correlation between CD44</w:t>
      </w:r>
      <w:r w:rsidR="005853A9">
        <w:rPr>
          <w:kern w:val="0"/>
        </w:rPr>
        <w:t xml:space="preserve"> and </w:t>
      </w:r>
      <w:r>
        <w:rPr>
          <w:kern w:val="0"/>
        </w:rPr>
        <w:t>the clinicopathological features</w:t>
      </w:r>
      <w:r w:rsidR="00427468">
        <w:rPr>
          <w:kern w:val="0"/>
        </w:rPr>
        <w:t xml:space="preserve"> of </w:t>
      </w:r>
      <w:r>
        <w:rPr>
          <w:kern w:val="0"/>
        </w:rPr>
        <w:t>HNSCC by meta-analysis. Methods: A comprehensive search was performed using PubMed, ISI web</w:t>
      </w:r>
      <w:r w:rsidR="00427468">
        <w:rPr>
          <w:kern w:val="0"/>
        </w:rPr>
        <w:t xml:space="preserve"> of </w:t>
      </w:r>
      <w:r>
        <w:rPr>
          <w:kern w:val="0"/>
        </w:rPr>
        <w:t>Science</w:t>
      </w:r>
      <w:r w:rsidR="005853A9">
        <w:rPr>
          <w:kern w:val="0"/>
        </w:rPr>
        <w:t xml:space="preserve"> and </w:t>
      </w:r>
      <w:r>
        <w:rPr>
          <w:kern w:val="0"/>
        </w:rPr>
        <w:t>China National Knowledge Infrastructure (CNKI) up to April 2013. Only studies with immunohistochemical staining</w:t>
      </w:r>
      <w:r w:rsidR="00427468">
        <w:rPr>
          <w:kern w:val="0"/>
        </w:rPr>
        <w:t xml:space="preserve"> of </w:t>
      </w:r>
      <w:r>
        <w:rPr>
          <w:kern w:val="0"/>
        </w:rPr>
        <w:t>HNSCC were considered. Data on TNM classification, tumor grade, disease free survival</w:t>
      </w:r>
      <w:r w:rsidR="005853A9">
        <w:rPr>
          <w:kern w:val="0"/>
        </w:rPr>
        <w:t xml:space="preserve"> and </w:t>
      </w:r>
      <w:r>
        <w:rPr>
          <w:kern w:val="0"/>
        </w:rPr>
        <w:t>3- or 5-year overall survival rate were extracted. Results: Thirty studies with 2102 patients met the inclusion criteria for the meta-analysis. Fifteen studies used anti-pan-CD44 antibody, 9 used anti-CD44-v6 antibody, 2 used anti-CD44-v3</w:t>
      </w:r>
      <w:r w:rsidR="005853A9">
        <w:rPr>
          <w:kern w:val="0"/>
        </w:rPr>
        <w:t xml:space="preserve"> and </w:t>
      </w:r>
      <w:r>
        <w:rPr>
          <w:kern w:val="0"/>
        </w:rPr>
        <w:t>2 used anti-CD44s antibody, 1 used anti-CD44-v9,</w:t>
      </w:r>
      <w:r w:rsidR="005853A9">
        <w:rPr>
          <w:kern w:val="0"/>
        </w:rPr>
        <w:t xml:space="preserve"> and </w:t>
      </w:r>
      <w:r>
        <w:rPr>
          <w:kern w:val="0"/>
        </w:rPr>
        <w:t>1 used anti-CD44-v6,-v3</w:t>
      </w:r>
      <w:r w:rsidR="005853A9">
        <w:rPr>
          <w:kern w:val="0"/>
        </w:rPr>
        <w:t xml:space="preserve"> and </w:t>
      </w:r>
      <w:r>
        <w:rPr>
          <w:kern w:val="0"/>
        </w:rPr>
        <w:t>-v4-5 simultaneously</w:t>
      </w:r>
      <w:r w:rsidR="00A37C1D">
        <w:rPr>
          <w:kern w:val="0"/>
        </w:rPr>
        <w:t>. The</w:t>
      </w:r>
      <w:r>
        <w:rPr>
          <w:kern w:val="0"/>
        </w:rPr>
        <w:t xml:space="preserve"> total percentage</w:t>
      </w:r>
      <w:r w:rsidR="00427468">
        <w:rPr>
          <w:kern w:val="0"/>
        </w:rPr>
        <w:t xml:space="preserve"> of </w:t>
      </w:r>
      <w:r>
        <w:rPr>
          <w:kern w:val="0"/>
        </w:rPr>
        <w:t>CD44 expression was 57.8%, with 49.3% in oral cancer patients, 66.4% in pharynx</w:t>
      </w:r>
      <w:r w:rsidR="005853A9">
        <w:rPr>
          <w:kern w:val="0"/>
        </w:rPr>
        <w:t xml:space="preserve"> and </w:t>
      </w:r>
      <w:r>
        <w:rPr>
          <w:kern w:val="0"/>
        </w:rPr>
        <w:t>54.7% in larynx cancer patients expressing CD44. No significant correlation between clinical features</w:t>
      </w:r>
      <w:r w:rsidR="005853A9">
        <w:rPr>
          <w:kern w:val="0"/>
        </w:rPr>
        <w:t xml:space="preserve"> and </w:t>
      </w:r>
      <w:r>
        <w:rPr>
          <w:kern w:val="0"/>
        </w:rPr>
        <w:t>CD44 expression was revealed for oral cancer patients, but CD44 was shown to be associated with advanced T categories (larynx: RR = 1.33, 95% Cl 1.01-1.76; larynx &amp; pharynx RR = 1.21, 95% Cl 1.08-1.35), worse N categories (larynx: RR = 2.53, 95% Cl 1.99-3.21; larynx &amp; pharynx RR = 1.95, 95% Cl 1.35-2.82), higher tumor grades (larynx &amp; pharynx RR = 1.71, 95% Cl 1.04-2.79)</w:t>
      </w:r>
      <w:r w:rsidR="005853A9">
        <w:rPr>
          <w:kern w:val="0"/>
        </w:rPr>
        <w:t xml:space="preserve"> and </w:t>
      </w:r>
      <w:r>
        <w:rPr>
          <w:kern w:val="0"/>
        </w:rPr>
        <w:t>5-year OS rates (larynx: RR = 0.62, 95% Cl 0.47 0.83; larynx &amp; pharynx RR = 0.66, 95% Cl 0.47 0.94) in patients with laryngeal</w:t>
      </w:r>
      <w:r w:rsidR="005853A9">
        <w:rPr>
          <w:kern w:val="0"/>
        </w:rPr>
        <w:t xml:space="preserve"> and </w:t>
      </w:r>
      <w:r>
        <w:rPr>
          <w:kern w:val="0"/>
        </w:rPr>
        <w:t>pharyngolaryngeal cancer. In stratified analysis, pan-CD44</w:t>
      </w:r>
      <w:r w:rsidR="005853A9">
        <w:rPr>
          <w:kern w:val="0"/>
        </w:rPr>
        <w:t xml:space="preserve"> and </w:t>
      </w:r>
      <w:r>
        <w:rPr>
          <w:kern w:val="0"/>
        </w:rPr>
        <w:t>CD44-v6 expression were both correlated with 5-year OS rate</w:t>
      </w:r>
      <w:r w:rsidR="00427468">
        <w:rPr>
          <w:kern w:val="0"/>
        </w:rPr>
        <w:t xml:space="preserve"> of </w:t>
      </w:r>
      <w:r>
        <w:rPr>
          <w:kern w:val="0"/>
        </w:rPr>
        <w:t>patients with laryngeal (CD44: RR = 0.66, 95% Cl 0.46-0.95; CD44-v6 RR = 0.53, 95% Cl 0.37-0.77)</w:t>
      </w:r>
      <w:r w:rsidR="005853A9">
        <w:rPr>
          <w:kern w:val="0"/>
        </w:rPr>
        <w:t xml:space="preserve"> and </w:t>
      </w:r>
      <w:r>
        <w:rPr>
          <w:kern w:val="0"/>
        </w:rPr>
        <w:t xml:space="preserve">pharyngolaryngeal cancer (CD44: RR = 0.56, 95% Cl 0.34-0.93; CD44-v6 RR = 0.53, 95% Cl 0.37-0.77). Conclusions: Our analysis suggested that CD44 is related to </w:t>
      </w:r>
      <w:r>
        <w:rPr>
          <w:kern w:val="0"/>
        </w:rPr>
        <w:lastRenderedPageBreak/>
        <w:t>worse T category, N category, tumor grade</w:t>
      </w:r>
      <w:r w:rsidR="005853A9">
        <w:rPr>
          <w:kern w:val="0"/>
        </w:rPr>
        <w:t xml:space="preserve"> and </w:t>
      </w:r>
      <w:r>
        <w:rPr>
          <w:kern w:val="0"/>
        </w:rPr>
        <w:t>prognosis, in pharyngeal</w:t>
      </w:r>
      <w:r w:rsidR="005853A9">
        <w:rPr>
          <w:kern w:val="0"/>
        </w:rPr>
        <w:t xml:space="preserve"> and </w:t>
      </w:r>
      <w:r>
        <w:rPr>
          <w:kern w:val="0"/>
        </w:rPr>
        <w:t>laryngeal cancer, but no clear association was revealed between CD44 expression</w:t>
      </w:r>
      <w:r w:rsidR="005853A9">
        <w:rPr>
          <w:kern w:val="0"/>
        </w:rPr>
        <w:t xml:space="preserve"> and </w:t>
      </w:r>
      <w:r>
        <w:rPr>
          <w:kern w:val="0"/>
        </w:rPr>
        <w:t>oral cancer.</w:t>
      </w:r>
    </w:p>
    <w:p w:rsidR="0069476F" w:rsidRDefault="0069476F" w:rsidP="0069476F">
      <w:pPr>
        <w:pStyle w:val="a3"/>
        <w:rPr>
          <w:kern w:val="0"/>
        </w:rPr>
      </w:pPr>
      <w:r>
        <w:rPr>
          <w:kern w:val="0"/>
        </w:rPr>
        <w:t>Keywords: Analysis, Antibody, Association, Cancer, Cd44, China, Classification, Clinical, Clinical Features, Correlation, Criteria, Disease, Expression, Growth, Head</w:t>
      </w:r>
      <w:r w:rsidR="005853A9">
        <w:rPr>
          <w:kern w:val="0"/>
        </w:rPr>
        <w:t xml:space="preserve"> and </w:t>
      </w:r>
      <w:r>
        <w:rPr>
          <w:kern w:val="0"/>
        </w:rPr>
        <w:t>Neck Cancer, Immunohistochemical Staining, Isi, Knowledge, Meta Analysis, Meta-Analysis, Metaanalysis, Metastasis, Methods, N, Neck, Oral, Patients, Prognosis, Prognostic, Pubmed, Rates, Results, Review, Science, Survival, Survival Rate, Tumor, Value, Web</w:t>
      </w:r>
    </w:p>
    <w:p w:rsidR="002A6701" w:rsidRDefault="002A6701" w:rsidP="002A6701">
      <w:pPr>
        <w:pStyle w:val="a3"/>
        <w:rPr>
          <w:kern w:val="0"/>
        </w:rPr>
      </w:pPr>
      <w:r>
        <w:rPr>
          <w:kern w:val="0"/>
        </w:rPr>
        <w:t>? Zhang, Z.G., Ni, C., Chen, W.Z., Wu, P., Wang, Z., Yin, J.H., Huang, J. and Qiu, F.M. (2014), Expression</w:t>
      </w:r>
      <w:r w:rsidR="00427468">
        <w:rPr>
          <w:kern w:val="0"/>
        </w:rPr>
        <w:t xml:space="preserve"> of </w:t>
      </w:r>
      <w:r>
        <w:rPr>
          <w:kern w:val="0"/>
        </w:rPr>
        <w:t xml:space="preserve">CXCR4 and breast cancer prognosis: A systematic review and meta-analysis. </w:t>
      </w:r>
      <w:r>
        <w:rPr>
          <w:i/>
          <w:iCs/>
          <w:kern w:val="0"/>
        </w:rPr>
        <w:t>BMC Cancer</w:t>
      </w:r>
      <w:r>
        <w:rPr>
          <w:kern w:val="0"/>
        </w:rPr>
        <w:t xml:space="preserve">, </w:t>
      </w:r>
      <w:r>
        <w:rPr>
          <w:b/>
          <w:bCs/>
          <w:kern w:val="0"/>
        </w:rPr>
        <w:t>14</w:t>
      </w:r>
      <w:r>
        <w:rPr>
          <w:rFonts w:hint="eastAsia"/>
          <w:kern w:val="0"/>
        </w:rPr>
        <w:t xml:space="preserve">, </w:t>
      </w:r>
      <w:r w:rsidRPr="00523C8B">
        <w:rPr>
          <w:kern w:val="0"/>
        </w:rPr>
        <w:t xml:space="preserve">Article Number: </w:t>
      </w:r>
      <w:r>
        <w:rPr>
          <w:rFonts w:hint="eastAsia"/>
          <w:kern w:val="0"/>
        </w:rPr>
        <w:t>49.</w:t>
      </w:r>
    </w:p>
    <w:p w:rsidR="002A6701" w:rsidRDefault="002A6701" w:rsidP="002A6701">
      <w:pPr>
        <w:pStyle w:val="a3"/>
        <w:rPr>
          <w:kern w:val="0"/>
        </w:rPr>
      </w:pPr>
      <w:r>
        <w:rPr>
          <w:rFonts w:hint="eastAsia"/>
          <w:kern w:val="0"/>
        </w:rPr>
        <w:t xml:space="preserve">Full Text: </w:t>
      </w:r>
      <w:hyperlink r:id="rId1545" w:history="1">
        <w:r w:rsidR="00E228B9" w:rsidRPr="00E228B9">
          <w:rPr>
            <w:rStyle w:val="a5"/>
            <w:kern w:val="0"/>
          </w:rPr>
          <w:t>2014\BMC Can14, 49.pdf</w:t>
        </w:r>
      </w:hyperlink>
    </w:p>
    <w:p w:rsidR="002A6701" w:rsidRDefault="002A6701" w:rsidP="002A6701">
      <w:pPr>
        <w:pStyle w:val="a3"/>
        <w:rPr>
          <w:kern w:val="0"/>
        </w:rPr>
      </w:pPr>
      <w:r>
        <w:rPr>
          <w:kern w:val="0"/>
        </w:rPr>
        <w:t>Abstract: Background: The chemokine receptor CXCR4 plays a significant role in biological processes, as well as in tumorigenesis and the progression</w:t>
      </w:r>
      <w:r w:rsidR="00427468">
        <w:rPr>
          <w:kern w:val="0"/>
        </w:rPr>
        <w:t xml:space="preserve"> of </w:t>
      </w:r>
      <w:r>
        <w:rPr>
          <w:kern w:val="0"/>
        </w:rPr>
        <w:t>cancer, especially breast cancer. However, the clinical application</w:t>
      </w:r>
      <w:r w:rsidR="00427468">
        <w:rPr>
          <w:kern w:val="0"/>
        </w:rPr>
        <w:t xml:space="preserve"> of </w:t>
      </w:r>
      <w:r>
        <w:rPr>
          <w:kern w:val="0"/>
        </w:rPr>
        <w:t>CXCR4 for breast cancer prognosis is still very limited. A meta-analysis based on published studies was performed with the aim</w:t>
      </w:r>
      <w:r w:rsidR="00427468">
        <w:rPr>
          <w:kern w:val="0"/>
        </w:rPr>
        <w:t xml:space="preserve"> of </w:t>
      </w:r>
      <w:r>
        <w:rPr>
          <w:kern w:val="0"/>
        </w:rPr>
        <w:t>obtaining an accurate evaluation</w:t>
      </w:r>
      <w:r w:rsidR="00427468">
        <w:rPr>
          <w:kern w:val="0"/>
        </w:rPr>
        <w:t xml:space="preserve"> of </w:t>
      </w:r>
      <w:r>
        <w:rPr>
          <w:kern w:val="0"/>
        </w:rPr>
        <w:t>the relationship between CXCR4 expression and the prognosis</w:t>
      </w:r>
      <w:r w:rsidR="00427468">
        <w:rPr>
          <w:kern w:val="0"/>
        </w:rPr>
        <w:t xml:space="preserve"> of </w:t>
      </w:r>
      <w:r>
        <w:rPr>
          <w:kern w:val="0"/>
        </w:rPr>
        <w:t>breast cancer. Methods: A comprehensive search strategy was used to search relevant literature in PubMed, MEDLINE and the ISI Web</w:t>
      </w:r>
      <w:r w:rsidR="00427468">
        <w:rPr>
          <w:kern w:val="0"/>
        </w:rPr>
        <w:t xml:space="preserve"> of </w:t>
      </w:r>
      <w:r>
        <w:rPr>
          <w:kern w:val="0"/>
        </w:rPr>
        <w:t>Science</w:t>
      </w:r>
      <w:r w:rsidR="00A37C1D">
        <w:rPr>
          <w:kern w:val="0"/>
        </w:rPr>
        <w:t>. The</w:t>
      </w:r>
      <w:r>
        <w:rPr>
          <w:kern w:val="0"/>
        </w:rPr>
        <w:t xml:space="preserve"> correlation between CXCR4 expression and clinicopathological features and breast cancer prognosis was analyzed. This meta-analysis was carried out using Review Manager 4.2. Result: Thirteen eligible studies consisting</w:t>
      </w:r>
      <w:r w:rsidR="00427468">
        <w:rPr>
          <w:kern w:val="0"/>
        </w:rPr>
        <w:t xml:space="preserve"> of </w:t>
      </w:r>
      <w:r>
        <w:rPr>
          <w:kern w:val="0"/>
        </w:rPr>
        <w:t>3865 participants were included. We found that breast cancers with CXCR4 expression were associated with lymph node status (pooled RR = 1.20, 95% CI: 1.01-1.43, P&lt;0.001) and distant metastasis (pooled RR = 1.52, 95% CI: 1.17-1.98, P = 0.125). CXCR4 overexpression was significantly associated with disease free survival (DFS) (RR = 0.77, 95% CI = 0.70-0.86, P = 0.554) and overall survival (OS) (RR = 0.70, 95% CI = 0.59-0.83, P = 0.329). However, there was no significant association between CXCR4 expression and some clinical parameters</w:t>
      </w:r>
      <w:r w:rsidR="00427468">
        <w:rPr>
          <w:kern w:val="0"/>
        </w:rPr>
        <w:t xml:space="preserve"> of </w:t>
      </w:r>
      <w:r>
        <w:rPr>
          <w:kern w:val="0"/>
        </w:rPr>
        <w:t>breast cancer, such as tumor category, ER status, PR status, or c-erbB-2 status. Conclusion: Our meta-analysis showed that CXCR4 is an efficient prognostic factor for breast cancer. Overexpression</w:t>
      </w:r>
      <w:r w:rsidR="00427468">
        <w:rPr>
          <w:kern w:val="0"/>
        </w:rPr>
        <w:t xml:space="preserve"> of </w:t>
      </w:r>
      <w:r>
        <w:rPr>
          <w:kern w:val="0"/>
        </w:rPr>
        <w:t>CXCR4 was significantly associated with lymph node status and distant metastasis and indicated poor overall and disease free survival.</w:t>
      </w:r>
    </w:p>
    <w:p w:rsidR="002A6701" w:rsidRDefault="002A6701" w:rsidP="002A6701">
      <w:pPr>
        <w:pStyle w:val="a3"/>
        <w:rPr>
          <w:kern w:val="0"/>
        </w:rPr>
      </w:pPr>
      <w:r>
        <w:rPr>
          <w:kern w:val="0"/>
        </w:rPr>
        <w:t>Keywords: Application, Association, Biological, Breast Cancer, Cancer, Clinical, Correlation, CXCR4, Disease, Evaluation, Expression, ISI, ISI Web</w:t>
      </w:r>
      <w:r w:rsidR="00427468">
        <w:rPr>
          <w:kern w:val="0"/>
        </w:rPr>
        <w:t xml:space="preserve"> of </w:t>
      </w:r>
      <w:r>
        <w:rPr>
          <w:kern w:val="0"/>
        </w:rPr>
        <w:t xml:space="preserve">Science, Literature, Medline, Meta Analysis, Meta-Analysis, Metaanalysis, Metastasis, Methods, P, Prognosis, Prognostic, Prognostic Factor, Progression, Pubmed, Review, </w:t>
      </w:r>
      <w:r>
        <w:rPr>
          <w:kern w:val="0"/>
        </w:rPr>
        <w:lastRenderedPageBreak/>
        <w:t>Role, Science, Search Strategy, Strategy, Survival, Systematic Review, Tumor, Web</w:t>
      </w:r>
      <w:r w:rsidR="00427468">
        <w:rPr>
          <w:kern w:val="0"/>
        </w:rPr>
        <w:t xml:space="preserve"> of </w:t>
      </w:r>
      <w:r>
        <w:rPr>
          <w:kern w:val="0"/>
        </w:rPr>
        <w:t>Science</w:t>
      </w:r>
    </w:p>
    <w:p w:rsidR="0005697A" w:rsidRDefault="0005697A" w:rsidP="0005697A">
      <w:pPr>
        <w:pStyle w:val="a3"/>
        <w:rPr>
          <w:kern w:val="0"/>
          <w:szCs w:val="24"/>
        </w:rPr>
      </w:pPr>
      <w:r>
        <w:rPr>
          <w:rFonts w:hint="eastAsia"/>
          <w:kern w:val="0"/>
          <w:szCs w:val="24"/>
        </w:rPr>
        <w:t xml:space="preserve">? </w:t>
      </w:r>
      <w:r>
        <w:rPr>
          <w:kern w:val="0"/>
          <w:szCs w:val="24"/>
        </w:rPr>
        <w:t>Xiao, W.K., Chen, D., Li, S.Q., Fu, S.J., Peng, B.G. and Liang, L.J. (2014), Prognostic significance</w:t>
      </w:r>
      <w:r w:rsidR="00427468">
        <w:rPr>
          <w:kern w:val="0"/>
          <w:szCs w:val="24"/>
        </w:rPr>
        <w:t xml:space="preserve"> of </w:t>
      </w:r>
      <w:r>
        <w:rPr>
          <w:kern w:val="0"/>
          <w:szCs w:val="24"/>
        </w:rPr>
        <w:t xml:space="preserve">neutrophil-lymphocyte ratio in hepatocellular carcinoma: A meta-analysis. </w:t>
      </w:r>
      <w:r>
        <w:rPr>
          <w:i/>
          <w:iCs/>
          <w:kern w:val="0"/>
          <w:szCs w:val="24"/>
        </w:rPr>
        <w:t>BMC Cancer</w:t>
      </w:r>
      <w:r>
        <w:rPr>
          <w:kern w:val="0"/>
          <w:szCs w:val="24"/>
        </w:rPr>
        <w:t xml:space="preserve">, </w:t>
      </w:r>
      <w:r>
        <w:rPr>
          <w:b/>
          <w:bCs/>
          <w:kern w:val="0"/>
          <w:szCs w:val="24"/>
        </w:rPr>
        <w:t>14</w:t>
      </w:r>
      <w:r>
        <w:rPr>
          <w:rFonts w:hint="eastAsia"/>
          <w:kern w:val="0"/>
          <w:szCs w:val="24"/>
        </w:rPr>
        <w:t xml:space="preserve">, </w:t>
      </w:r>
      <w:r w:rsidRPr="00FE3A5D">
        <w:rPr>
          <w:kern w:val="0"/>
          <w:szCs w:val="24"/>
        </w:rPr>
        <w:t>Article Number: 117</w:t>
      </w:r>
      <w:r>
        <w:rPr>
          <w:rFonts w:hint="eastAsia"/>
          <w:kern w:val="0"/>
          <w:szCs w:val="24"/>
        </w:rPr>
        <w:t>.</w:t>
      </w:r>
    </w:p>
    <w:p w:rsidR="0005697A" w:rsidRDefault="0005697A" w:rsidP="0005697A">
      <w:pPr>
        <w:pStyle w:val="a3"/>
        <w:rPr>
          <w:kern w:val="0"/>
        </w:rPr>
      </w:pPr>
      <w:r>
        <w:rPr>
          <w:rFonts w:hint="eastAsia"/>
          <w:kern w:val="0"/>
        </w:rPr>
        <w:t xml:space="preserve">Full Text: </w:t>
      </w:r>
      <w:hyperlink r:id="rId1546" w:history="1">
        <w:r w:rsidRPr="00126933">
          <w:rPr>
            <w:rStyle w:val="a5"/>
            <w:kern w:val="0"/>
          </w:rPr>
          <w:t>2014\BMC Can14, 117.pdf</w:t>
        </w:r>
      </w:hyperlink>
    </w:p>
    <w:p w:rsidR="0005697A" w:rsidRDefault="0005697A" w:rsidP="0005697A">
      <w:pPr>
        <w:pStyle w:val="a3"/>
        <w:rPr>
          <w:kern w:val="0"/>
          <w:szCs w:val="24"/>
        </w:rPr>
      </w:pPr>
      <w:r>
        <w:rPr>
          <w:kern w:val="0"/>
          <w:szCs w:val="24"/>
        </w:rPr>
        <w:t>Abstract: Backgrounds: Neutrophil-lymphocyte ratio (NLR) has recently been reported as a predictor</w:t>
      </w:r>
      <w:r w:rsidR="00427468">
        <w:rPr>
          <w:kern w:val="0"/>
          <w:szCs w:val="24"/>
        </w:rPr>
        <w:t xml:space="preserve"> of </w:t>
      </w:r>
      <w:r>
        <w:rPr>
          <w:kern w:val="0"/>
          <w:szCs w:val="24"/>
        </w:rPr>
        <w:t>Hepatocellular carcinoma (HCC). However, its prognostic value in HCC still remains controversial. In this study, we aimed to evaluate the association between NLR and clinical outcome</w:t>
      </w:r>
      <w:r w:rsidR="00427468">
        <w:rPr>
          <w:kern w:val="0"/>
          <w:szCs w:val="24"/>
        </w:rPr>
        <w:t xml:space="preserve"> of </w:t>
      </w:r>
      <w:r>
        <w:rPr>
          <w:kern w:val="0"/>
          <w:szCs w:val="24"/>
        </w:rPr>
        <w:t>HCC patients by performing meta-analysis. Methods: A comprehensive literature search for relevant studies published up to August 2013 was performed by using PubMed, Ovid, the Cochrane Library and Web</w:t>
      </w:r>
      <w:r w:rsidR="00427468">
        <w:rPr>
          <w:kern w:val="0"/>
          <w:szCs w:val="24"/>
        </w:rPr>
        <w:t xml:space="preserve"> of </w:t>
      </w:r>
      <w:r>
        <w:rPr>
          <w:kern w:val="0"/>
          <w:szCs w:val="24"/>
        </w:rPr>
        <w:t>Science databases. Meta-analysis was performed using hazard ratio (HR) or odds ratio (OR) and 95% confidence intervals (95% CIs) as effect measures. Results: A total</w:t>
      </w:r>
      <w:r w:rsidR="00427468">
        <w:rPr>
          <w:kern w:val="0"/>
          <w:szCs w:val="24"/>
        </w:rPr>
        <w:t xml:space="preserve"> of </w:t>
      </w:r>
      <w:r>
        <w:rPr>
          <w:kern w:val="0"/>
          <w:szCs w:val="24"/>
        </w:rPr>
        <w:t>15 studies encompassing 3094 patients were included in this meta-analysis. Our pooled results showed that high NLR was associated with poor overall survival (OS) and disease free survival (DFS) in HCC initially treated by liver transplantation (HR = 3.42, 95% CI: 2.41-4.85, P = 0.000; HR = 5.90, 95% CI: 3.99-8.70, P = 0.000, respectively) and surgical resection (HR = 3.33, 95% CI:2.23-4.98, P = 0.000; HR = 2.10, 95% CI: 2.06-2.14, respectively). High NLR was also associated with poor OS in HCC treated by radiofrequency-ablation (HR = 1.28, 95% CI: 1.10-1.48, P = 0.000), TACE (HR = 2.52, 95% CI: 1.64-3.86, P = 0.000) and mixed treatment (HR = 1.85, 95% CI: 1.40-2.44, P = 0.000), respectively. In addition, high NLR was significantly correlated with the presence</w:t>
      </w:r>
      <w:r w:rsidR="00427468">
        <w:rPr>
          <w:kern w:val="0"/>
          <w:szCs w:val="24"/>
        </w:rPr>
        <w:t xml:space="preserve"> of </w:t>
      </w:r>
      <w:r>
        <w:rPr>
          <w:kern w:val="0"/>
          <w:szCs w:val="24"/>
        </w:rPr>
        <w:t>vascular invasion (OR = 2.69, 95% CI: 2.01-3.59, P = 0.000), tumor multifocality (OR = 1.74, 95% CI: 1.30-2.34, P = 0.000) and higher incidence</w:t>
      </w:r>
      <w:r w:rsidR="00427468">
        <w:rPr>
          <w:kern w:val="0"/>
          <w:szCs w:val="24"/>
        </w:rPr>
        <w:t xml:space="preserve"> of </w:t>
      </w:r>
      <w:r>
        <w:rPr>
          <w:kern w:val="0"/>
          <w:szCs w:val="24"/>
        </w:rPr>
        <w:t>AFP &gt;= 400 ng/ml (OR = 1.46, 95% CI: 1.01-2.09, P = 0.04). Conclusion: Elevated NLR indicates a poor prognosis for patients with HCC. NLR may be a convenient, easily-obtained, low cost and reliable biomarker with prognostic potential for HCC.</w:t>
      </w:r>
    </w:p>
    <w:p w:rsidR="0005697A" w:rsidRDefault="0005697A" w:rsidP="0005697A">
      <w:pPr>
        <w:pStyle w:val="a3"/>
        <w:rPr>
          <w:kern w:val="0"/>
          <w:szCs w:val="24"/>
        </w:rPr>
      </w:pPr>
      <w:r>
        <w:rPr>
          <w:kern w:val="0"/>
          <w:szCs w:val="24"/>
        </w:rPr>
        <w:t>Keywords: Association, Biomarker, C-Reactive Protein, Carcinoma, Clinical, Colorectal-Cancer, Confidence, Confidence Intervals, Cost, Curative Resection, Databases, Disease, Hazard, Hepatocellular Carcinoma, Impact, Incidence, Inflammation, Intervals, Literature, Literature Search, Liver, Liver Transplantation, Liver-Transplantation, Low Cost, Measures, Meta Analysis, Meta-Analysis, Metaanalysis, Methods, Neutrophil-Lymphocyte Ratio, Odds Ratio, Outcome, P, Patients, Potential, Predicts Survival, Preoperative Neutrophil, Prognosis, Prognostic, Pubmed, Recurrence, Results, Science, Significance, Surgical Resection, Survival, Transarterial Chemoembolization, Transplantation, Treatment, Tumor, Value, Web</w:t>
      </w:r>
      <w:r w:rsidR="00427468">
        <w:rPr>
          <w:kern w:val="0"/>
          <w:szCs w:val="24"/>
        </w:rPr>
        <w:t xml:space="preserve"> of </w:t>
      </w:r>
      <w:r>
        <w:rPr>
          <w:kern w:val="0"/>
          <w:szCs w:val="24"/>
        </w:rPr>
        <w:t>Science, Web</w:t>
      </w:r>
      <w:r w:rsidR="00427468">
        <w:rPr>
          <w:kern w:val="0"/>
          <w:szCs w:val="24"/>
        </w:rPr>
        <w:t xml:space="preserve"> of </w:t>
      </w:r>
      <w:r>
        <w:rPr>
          <w:kern w:val="0"/>
          <w:szCs w:val="24"/>
        </w:rPr>
        <w:t>Science Databases</w:t>
      </w:r>
    </w:p>
    <w:p w:rsidR="00427468" w:rsidRDefault="00427468" w:rsidP="00427468">
      <w:pPr>
        <w:pStyle w:val="a3"/>
        <w:rPr>
          <w:kern w:val="0"/>
        </w:rPr>
      </w:pPr>
      <w:r>
        <w:rPr>
          <w:kern w:val="0"/>
        </w:rPr>
        <w:lastRenderedPageBreak/>
        <w:t xml:space="preserve">? He, X., Chen, Z.G., Fu, T., Jin, X.L., Yu, T., Liang, Y., Zhao, X.Y. and Huang, L.S. (2014), Ki-67 is a valuable prognostic predictor of lymphoma but its utility varies in lymphoma subtypes: Evidence from a systematic meta-analysis. </w:t>
      </w:r>
      <w:r>
        <w:rPr>
          <w:i/>
          <w:iCs/>
          <w:kern w:val="0"/>
        </w:rPr>
        <w:t>BMC Cancer</w:t>
      </w:r>
      <w:r>
        <w:rPr>
          <w:kern w:val="0"/>
        </w:rPr>
        <w:t xml:space="preserve">, </w:t>
      </w:r>
      <w:r>
        <w:rPr>
          <w:b/>
          <w:bCs/>
          <w:kern w:val="0"/>
        </w:rPr>
        <w:t>14</w:t>
      </w:r>
      <w:r>
        <w:rPr>
          <w:kern w:val="0"/>
        </w:rPr>
        <w:t xml:space="preserve">, </w:t>
      </w:r>
      <w:r w:rsidRPr="00523C8B">
        <w:rPr>
          <w:kern w:val="0"/>
        </w:rPr>
        <w:t xml:space="preserve">Article Number: </w:t>
      </w:r>
      <w:r w:rsidRPr="00550C9D">
        <w:rPr>
          <w:szCs w:val="24"/>
        </w:rPr>
        <w:t>153</w:t>
      </w:r>
      <w:r>
        <w:rPr>
          <w:kern w:val="0"/>
        </w:rPr>
        <w:t>.</w:t>
      </w:r>
    </w:p>
    <w:p w:rsidR="00427468" w:rsidRDefault="00427468" w:rsidP="00427468">
      <w:pPr>
        <w:pStyle w:val="a3"/>
        <w:rPr>
          <w:kern w:val="0"/>
        </w:rPr>
      </w:pPr>
      <w:r>
        <w:rPr>
          <w:kern w:val="0"/>
        </w:rPr>
        <w:t xml:space="preserve">Full Text: </w:t>
      </w:r>
      <w:hyperlink r:id="rId1547" w:history="1">
        <w:r w:rsidRPr="006D37EB">
          <w:rPr>
            <w:rStyle w:val="a5"/>
            <w:kern w:val="0"/>
          </w:rPr>
          <w:t>2014\BMC Can11, 153.pdf</w:t>
        </w:r>
      </w:hyperlink>
    </w:p>
    <w:p w:rsidR="00427468" w:rsidRDefault="00427468" w:rsidP="00427468">
      <w:pPr>
        <w:pStyle w:val="a3"/>
        <w:rPr>
          <w:kern w:val="0"/>
        </w:rPr>
      </w:pPr>
      <w:r>
        <w:rPr>
          <w:kern w:val="0"/>
        </w:rPr>
        <w:t>Abstract: Background: Ki-67 is a nuclear protein involved in cell proliferation regulation, and its expression has been widely used as an index to evaluate the proliferative activity of lymphoma. However, its prognostic value for lymphoma is still contradictory and inconclusive. Methods: PubMed and Web of Science databases were searched with identical strategies</w:t>
      </w:r>
      <w:r w:rsidR="00A37C1D">
        <w:rPr>
          <w:kern w:val="0"/>
        </w:rPr>
        <w:t>. The</w:t>
      </w:r>
      <w:r>
        <w:rPr>
          <w:kern w:val="0"/>
        </w:rPr>
        <w:t xml:space="preserve"> impact of Ki-67 expression on survival with lymphoma and various subtypes of lymphoma was evaluated</w:t>
      </w:r>
      <w:r w:rsidR="00A37C1D">
        <w:rPr>
          <w:kern w:val="0"/>
        </w:rPr>
        <w:t>. The</w:t>
      </w:r>
      <w:r>
        <w:rPr>
          <w:kern w:val="0"/>
        </w:rPr>
        <w:t xml:space="preserve"> relationship between Ki-67 expression and Diffuse Large B Cell Lymphoma (DLBCL) and Mantle Cell Lymphoma (MCL) was also investigated after the introduction of a CD-20 monoclonal antibody rituximab. Furthermore, we evaluated the association between Ki-67 expression and the clinical-pathological features of lymphoma. Results: A total of 27 studies met the inclusion criteria, which comprised 3902 patients. Meta-analysis suggested that high Ki-67 expression was negatively associated with disease free survival (DFS) (HR = 1.727, 95% CI: 1.159-2.571) and overall survival (OS) (HR = 1.7, 95% CI: 1.44-2) for lymphoma patients. Subgroup analysis on the different subtypes of lymphoma suggested that the association between high Ki-67 expression and OS in Hodgkin Lymphoma (HR = 1.511, 95% CI: 0.524-4.358) was absent, while high Ki-67 expression was highly associated with worse OS for Non-Hodgkin Lymphoma (HR = 1.777, 95% CI: 1.463-2.159) and its various subtypes, including NK, T lymphoma (HR = 4.766, 95% CI: 1.917-11.849), DLBCL (HR = 1.457, 95% CI: 1.123-1.891) and MCL (HR = 2.48, 95% CI: 1.61-3.81). Furthermore, the pooled HRs for MCL was 1.981 (95% CI: 1.099-3.569) with rituximab and 3.123 (95% CI: 2.049-4.76) without rituximab, while for DLBCL, the combined HRs for DLBCL with and without rituximab was 1.459 (95% CI: 1.084-2.062) and 1.456 (95% CI: 0.951-2.23) respectively. In addition, there was no correlation between high Ki-67 expression and the clinical-pathological features of lymphoma including the LDH level, B symptoms, tumor stage, extranodal site, performance status and IPI score. Conclusions: This study showed that the prognostic significance of Ki-67 expression varied in different subtypes of lymphoma and in DLBCL and MCL after the introduction of rituximab, which was valuable for clinical decision-making and individual prognostic evaluation.</w:t>
      </w:r>
    </w:p>
    <w:p w:rsidR="00427468" w:rsidRDefault="00427468" w:rsidP="00427468">
      <w:pPr>
        <w:pStyle w:val="a3"/>
        <w:rPr>
          <w:kern w:val="0"/>
        </w:rPr>
      </w:pPr>
      <w:r>
        <w:rPr>
          <w:kern w:val="0"/>
        </w:rPr>
        <w:t xml:space="preserve">Keywords: Activity, Analysis, Antibody, Antibody Ki-67, Antigen-Expression, Association, B-Cell Lymphoma, Cell, Cell Proliferation, Clinical, Correlation, Criteria, Databases, Decision Making, Decision-Making, Disease, Epstein-Barr-Virus, Evaluation, Evidence, Expression, Impact, Index, Ki-67, Ldh, </w:t>
      </w:r>
      <w:r>
        <w:rPr>
          <w:kern w:val="0"/>
        </w:rPr>
        <w:lastRenderedPageBreak/>
        <w:t>Lymphoma, Mar, MCL, Meta Analysis, Meta-Analysis, Metaanalysis, Methods, Non-Hodgkins-Lymphomas, Patients, Performance, Prognostic, Prognostic Value, Proliferation, Protein, Protein Expression, Pubmed, R-Chop, Regulation, Results, Rituximab, Science, Significance, Site, Survival, Symptoms, Tumor, Utility, Value, Web of Science, Web of Science Databases</w:t>
      </w:r>
    </w:p>
    <w:p w:rsidR="003B1308" w:rsidRDefault="003B1308" w:rsidP="003B1308">
      <w:pPr>
        <w:pStyle w:val="a3"/>
        <w:rPr>
          <w:kern w:val="0"/>
        </w:rPr>
      </w:pPr>
      <w:r>
        <w:rPr>
          <w:kern w:val="0"/>
        </w:rPr>
        <w:t xml:space="preserve">? Wang, S.T., Yan, Q., Chen, P., Zhao, P. and Gu, A.H. (2014), Association of interferon regulatory factor 4 gene polymorphisms rs12203592 and rs872071 with skin cancer and haematological malignancies susceptibility: A meta-analysis of 19 case-control studies. </w:t>
      </w:r>
      <w:r>
        <w:rPr>
          <w:i/>
          <w:iCs/>
          <w:kern w:val="0"/>
        </w:rPr>
        <w:t>BMC Cancer</w:t>
      </w:r>
      <w:r>
        <w:rPr>
          <w:kern w:val="0"/>
        </w:rPr>
        <w:t xml:space="preserve">, </w:t>
      </w:r>
      <w:r>
        <w:rPr>
          <w:b/>
          <w:bCs/>
          <w:kern w:val="0"/>
        </w:rPr>
        <w:t>14</w:t>
      </w:r>
      <w:r>
        <w:rPr>
          <w:kern w:val="0"/>
        </w:rPr>
        <w:t xml:space="preserve">, </w:t>
      </w:r>
      <w:r w:rsidRPr="00523C8B">
        <w:rPr>
          <w:kern w:val="0"/>
        </w:rPr>
        <w:t xml:space="preserve">Article Number: </w:t>
      </w:r>
      <w:r>
        <w:rPr>
          <w:rFonts w:hint="eastAsia"/>
          <w:szCs w:val="24"/>
        </w:rPr>
        <w:t>410</w:t>
      </w:r>
      <w:r>
        <w:rPr>
          <w:kern w:val="0"/>
        </w:rPr>
        <w:t>.</w:t>
      </w:r>
    </w:p>
    <w:p w:rsidR="003B1308" w:rsidRDefault="003B1308" w:rsidP="003B1308">
      <w:pPr>
        <w:pStyle w:val="a3"/>
        <w:rPr>
          <w:kern w:val="0"/>
        </w:rPr>
      </w:pPr>
      <w:r>
        <w:rPr>
          <w:kern w:val="0"/>
        </w:rPr>
        <w:t xml:space="preserve">Full Text: </w:t>
      </w:r>
      <w:hyperlink r:id="rId1548" w:history="1">
        <w:r w:rsidRPr="00AD4D22">
          <w:rPr>
            <w:rStyle w:val="a5"/>
            <w:kern w:val="0"/>
          </w:rPr>
          <w:t>2014\BMC Can11, 410.pdf</w:t>
        </w:r>
      </w:hyperlink>
    </w:p>
    <w:p w:rsidR="003B1308" w:rsidRDefault="003B1308" w:rsidP="003B1308">
      <w:pPr>
        <w:pStyle w:val="a3"/>
        <w:rPr>
          <w:kern w:val="0"/>
        </w:rPr>
      </w:pPr>
      <w:r>
        <w:rPr>
          <w:kern w:val="0"/>
        </w:rPr>
        <w:t>Abstract: Background: Research has indicated that the rs12203592 and rs872071 interferon regulatory factor 4 (IRF4) gene polymorphisms correlate with the risk of cancer, especially skin cancer and haematological malignancies, but the results remain controversial. To understand better the effects of these two polymorphisms on skin cancer and haematological malignancies susceptibility, a cumulative meta-analysis was performed. Methods: We conducted a search using the PubMed and Web of Science databases for relevant case-control studies published before April 2014. Summary odds ratios (ORs) and corresponding 95% confidence intervals (CIs) were estimated using fixed-or random-effects models where appropriate. Heterogeneity test, publication bias test, and sensitivity analysis were also performed. Results: In total, 11 articles comprised of 19 case-control studies were identified; five focused on the rs12203592 polymorphism with 7,992 cases and 8,849 controls, and six were on the rs872071 polymorphism with 3108 cases and 8300 controls. As for rs12203592, a significant correlation with overall skin cancer and haematological malignancies risk was found with the homozygote comparison model (OR = 1.566, 95% CI 1.087-2.256) and recessive model (OR = 1.526, 95% CI 1.107-2.104). For rs872071, a significantly elevated haematological malignancies risk was observed in all genetic models (homozygote comparison: OR = 1.805, 95% CI 1.402-2.323; heterozygote comparison: OR = 1.427, 95% CI 1.203-1.692; dominant: OR = 1.556, 95% CI 1.281-1.891; recessive: OR = 1.432, 95% CI 1.293-1.587; additive: OR = 1.349, 95% CI 1.201-1.515). Similarly, increased skin cancer and haematological malignancies risk was also identified after stratification of the SNP data by cancer type, ethnicity and source of controls for both polymorphisms. Conclusions: Our meta-analysis indicated that the rs12203592 and rs872071 IRF4 gene polymorphisms are associated with individual susceptibility to skin cancer and haematological malignancies. Moreover, the effect of the rs12203592 polymorphism on skin cancer risk was particularly prominent among Caucasians. Further functional research should be performed to validate the association.</w:t>
      </w:r>
    </w:p>
    <w:p w:rsidR="003B1308" w:rsidRDefault="003B1308" w:rsidP="003B1308">
      <w:pPr>
        <w:pStyle w:val="a3"/>
        <w:rPr>
          <w:kern w:val="0"/>
        </w:rPr>
      </w:pPr>
      <w:r>
        <w:rPr>
          <w:kern w:val="0"/>
        </w:rPr>
        <w:t xml:space="preserve">Keywords: Analysis, Articles, Association, Bias, Cancer, Cancer Risk, Case-Control, </w:t>
      </w:r>
      <w:r>
        <w:rPr>
          <w:kern w:val="0"/>
        </w:rPr>
        <w:lastRenderedPageBreak/>
        <w:t>Case-Control Studies, Chronic Lymphocytic-Leukemia, Comparison, Confidence, Confidence Intervals, Correlation, Cumulative, Data, Databases, Effects, Ethnicity, Gene, Genetic, Genome-Wide Association, Interferon, Interferon Regulatory Factor 4, Intervals, IRF Family, IRF4, Melanoma Susceptibility, Meta Analysis, Meta-Analysis, Metaanalysis, Methods, Model, Models, Non-Hodgkin-Lymphoma, Oncogenesis, Polymorphism, Polymorphisms, Population, Publication, Publication Bias, Pubmed, Research, Results, Risk, Rs12203592, Rs872071, Science, Sensitivity, Sensitivity Analysis, Skin, Skin Cancer, Snp, Source, Stratification, Susceptibility, Transcription Factors, Variants, Web Of Science, Web Of Science Databases</w:t>
      </w:r>
    </w:p>
    <w:p w:rsidR="00FA0CA3" w:rsidRDefault="00FA0CA3" w:rsidP="00FA0CA3">
      <w:pPr>
        <w:pStyle w:val="a3"/>
        <w:rPr>
          <w:kern w:val="0"/>
        </w:rPr>
      </w:pPr>
      <w:r>
        <w:rPr>
          <w:rFonts w:hint="eastAsia"/>
          <w:kern w:val="0"/>
        </w:rPr>
        <w:t xml:space="preserve">? </w:t>
      </w:r>
      <w:r>
        <w:rPr>
          <w:kern w:val="0"/>
        </w:rPr>
        <w:t xml:space="preserve">Ong, J.J., Chen, M., Grulich, A.E. and Fairley, C.K. (2014), Regional and national guideline recommendations for digital ano-rectal examination as a means for anal cancer screening in HIV positive men who have sex with men: a systematic review. </w:t>
      </w:r>
      <w:r>
        <w:rPr>
          <w:i/>
          <w:iCs/>
          <w:kern w:val="0"/>
        </w:rPr>
        <w:t>BMC Cancer</w:t>
      </w:r>
      <w:r>
        <w:rPr>
          <w:kern w:val="0"/>
        </w:rPr>
        <w:t xml:space="preserve">, </w:t>
      </w:r>
      <w:r>
        <w:rPr>
          <w:b/>
          <w:bCs/>
          <w:kern w:val="0"/>
        </w:rPr>
        <w:t>14</w:t>
      </w:r>
      <w:r>
        <w:rPr>
          <w:kern w:val="0"/>
        </w:rPr>
        <w:t xml:space="preserve">, </w:t>
      </w:r>
      <w:r w:rsidRPr="00523C8B">
        <w:rPr>
          <w:kern w:val="0"/>
        </w:rPr>
        <w:t xml:space="preserve">Article Number: </w:t>
      </w:r>
      <w:r>
        <w:rPr>
          <w:rFonts w:hint="eastAsia"/>
          <w:szCs w:val="24"/>
        </w:rPr>
        <w:t>557</w:t>
      </w:r>
      <w:r>
        <w:rPr>
          <w:kern w:val="0"/>
        </w:rPr>
        <w:t>.</w:t>
      </w:r>
    </w:p>
    <w:p w:rsidR="00FA0CA3" w:rsidRDefault="00FA0CA3" w:rsidP="00FA0CA3">
      <w:pPr>
        <w:pStyle w:val="a3"/>
        <w:rPr>
          <w:kern w:val="0"/>
        </w:rPr>
      </w:pPr>
      <w:r>
        <w:rPr>
          <w:kern w:val="0"/>
        </w:rPr>
        <w:t xml:space="preserve">Full Text: </w:t>
      </w:r>
      <w:hyperlink r:id="rId1549" w:history="1">
        <w:r w:rsidRPr="002D5FAD">
          <w:rPr>
            <w:rStyle w:val="a5"/>
            <w:kern w:val="0"/>
          </w:rPr>
          <w:t>2014\BMC Can11, 557.pdf</w:t>
        </w:r>
      </w:hyperlink>
    </w:p>
    <w:p w:rsidR="00FA0CA3" w:rsidRDefault="00FA0CA3" w:rsidP="00FA0CA3">
      <w:pPr>
        <w:pStyle w:val="a3"/>
        <w:rPr>
          <w:kern w:val="0"/>
        </w:rPr>
      </w:pPr>
      <w:r>
        <w:rPr>
          <w:kern w:val="0"/>
        </w:rPr>
        <w:t xml:space="preserve">Abstract: Background: Although anal cancer is common in HIV positive men who have sex with men, few centres offer systematic screening. Regular digital ano-rectal examination (DARE) is a type of screening that has been recommended by some experts. How widely this forms part of HIV management guidelines is unclear. Methods: The protocol was registered prospectively (CRD42013005188; www.crd.york.ac.uk/PROSPERO/). We systematically reviewed 121 regional and national HIV guidelines and searched for guidelines from http://hivinsite.ucsf.edu/global?page=cr-00-04#SauguidelineX, PubMed and Web of Science databases up to 5th August 2013 for recommendations of DARE as a means of anal cancer screening in HIV positive MSM. Guidelines were examined in detail if they were clinical guidelines, including both prevention and treatment protocols and were in English. Guidelines were excluded if they were restricted to limited areas (e. g. antiretroviral therapy only, children or pregnant women, strategies for prevention/testing). Information was extracted regarding recommendation of DARE as a screening method, the frequency of DARE recommended, target population for screening and the strength of evidence supporting this. Results: 30 regional and national guidelines were included and examined in detail. Only 2 recommended DARE. The ‘European AIDS Clinical Society Guidelines’ recommends DARE every 1-3 years for HIV positive MSM whilst the ‘US Guideline for prevention and treatment of opportunistic infections in HIV-infected adults and adolescents’ recommends an annual DARE for the HIV + population in general. None of these guidelines specify the age of commencing screening. In each case, the highest level of evidence supporting these two recommendations was expert opinion. Conclusions: Few HIV guidelines discuss or recommend DARE as a means of anal cancer screening. Studies of the efficacy, acceptability and cost-effectiveness of DARE are </w:t>
      </w:r>
      <w:r>
        <w:rPr>
          <w:kern w:val="0"/>
        </w:rPr>
        <w:lastRenderedPageBreak/>
        <w:t>needed to assess its role in anal cancer screening.</w:t>
      </w:r>
    </w:p>
    <w:p w:rsidR="00FA0CA3" w:rsidRDefault="00FA0CA3" w:rsidP="00FA0CA3">
      <w:pPr>
        <w:pStyle w:val="a3"/>
        <w:rPr>
          <w:kern w:val="0"/>
        </w:rPr>
      </w:pPr>
      <w:r>
        <w:rPr>
          <w:kern w:val="0"/>
        </w:rPr>
        <w:t>Keywords: Acceptability, Adolescents, Age, Aid, Aids, Anal, Anal Cancer, Anal Cancer Screening, Antiretroviral Therapy, Association, Cancer, Cancer Screening, Children, Clinical, Clinical Guidelines, Cost Effectiveness, Cost-Effectiveness, Databases, Digital Ano-Rectal Examination, Efficacy, English, Epidemiology, Evidence, Examination, Experience, Expert Opinion, Experts, Forms, General, General-Population, Guideline, Guidelines, Hiv, Hiv Positive, Human-Papillomavirus, Infected Individuals, Infections, Information, Intraepithelial Lesions, Management, Men, Men Who Have Sex With Men, Methods, National Guidelines, Population, Pregnant, Pregnant Women, Prevention, Protocol, Protocols, Pubmed, Recommendations, Regional, Results, Review, Role, Science, Screening, Sex, Squamous-Cell Carcinoma, Strength, Systematic, Systematic Review, Therapy, Treatment, US, Web Of Science, Web Of Science Databases, Women</w:t>
      </w:r>
    </w:p>
    <w:p w:rsidR="008A65C4" w:rsidRDefault="008A65C4" w:rsidP="008A65C4">
      <w:pPr>
        <w:pStyle w:val="a3"/>
        <w:rPr>
          <w:kern w:val="0"/>
        </w:rPr>
      </w:pPr>
      <w:r>
        <w:rPr>
          <w:kern w:val="0"/>
        </w:rPr>
        <w:t xml:space="preserve">? Zhang, Z.Y., Dai, Z.L., Yin, X.W., Li, S.H., Li, S.P. and Ge, H.Y. (2014), Meta-analysis shows that circulating tumor cells including circulating microRNAs are useful to predict the survival of patients with gastric cancer. </w:t>
      </w:r>
      <w:r>
        <w:rPr>
          <w:i/>
          <w:iCs/>
          <w:kern w:val="0"/>
        </w:rPr>
        <w:t>BMC Cancer</w:t>
      </w:r>
      <w:r>
        <w:rPr>
          <w:kern w:val="0"/>
        </w:rPr>
        <w:t xml:space="preserve">, </w:t>
      </w:r>
      <w:r>
        <w:rPr>
          <w:b/>
          <w:bCs/>
          <w:kern w:val="0"/>
        </w:rPr>
        <w:t>14</w:t>
      </w:r>
      <w:r>
        <w:rPr>
          <w:rFonts w:hint="eastAsia"/>
          <w:kern w:val="0"/>
        </w:rPr>
        <w:t xml:space="preserve">, </w:t>
      </w:r>
      <w:r w:rsidRPr="00673ED7">
        <w:rPr>
          <w:kern w:val="0"/>
        </w:rPr>
        <w:t xml:space="preserve">Article Number: </w:t>
      </w:r>
      <w:r>
        <w:rPr>
          <w:rFonts w:hint="eastAsia"/>
          <w:kern w:val="0"/>
        </w:rPr>
        <w:t>773.</w:t>
      </w:r>
    </w:p>
    <w:p w:rsidR="008A65C4" w:rsidRDefault="008A65C4" w:rsidP="008A65C4">
      <w:pPr>
        <w:pStyle w:val="a3"/>
        <w:rPr>
          <w:kern w:val="0"/>
        </w:rPr>
      </w:pPr>
      <w:r>
        <w:rPr>
          <w:kern w:val="0"/>
        </w:rPr>
        <w:t xml:space="preserve">Full Text: </w:t>
      </w:r>
      <w:hyperlink r:id="rId1550" w:history="1">
        <w:r w:rsidRPr="00FC65A6">
          <w:rPr>
            <w:rStyle w:val="a5"/>
            <w:kern w:val="0"/>
          </w:rPr>
          <w:t>2014\BMC Can14, 773.pdf</w:t>
        </w:r>
      </w:hyperlink>
    </w:p>
    <w:p w:rsidR="008A65C4" w:rsidRDefault="008A65C4" w:rsidP="008A65C4">
      <w:pPr>
        <w:pStyle w:val="a3"/>
        <w:rPr>
          <w:kern w:val="0"/>
        </w:rPr>
      </w:pPr>
      <w:r>
        <w:rPr>
          <w:kern w:val="0"/>
        </w:rPr>
        <w:t xml:space="preserve">Abstract: Background: Circulating tumor cells (CTCs) are metastatic cells disseminated into the bloodstreams. They have been proposed to monitor disease progression for decades. However, the prognostic value of CTCs in gastric cancer (GC) remains controversial. We performed a meta-analysis to investigate the topic. Methods: A systematic search was made for relevant studies in academic data bases, involving the Medline, Embase, and Science Citation Index. Data on prognosis of GC patients, such as recurrence-free survival (RFS) and overall survival (OS), were extracted when possible. The meta-analysis was performed with the random effects model and the pooled hazard ratios (HRs) and their associated 95% confident intervals (95%CIs) were computed as effect measures. Results: Twenty six studies (including 40 subgroups) with peripheral blood samples of 1950 cases from 10 countries were included in the final analysis. The pooled results showed that GC patients with detectable CTCs (including circulating miRNAs) had a tendency to experience shortened RFS (HR = 2.91, 95% CI [1.84-4.61], I-2 = 52.18%, n = 10). As for patient deaths, we found a similar association of CTC (including circulating miRNAs) presence with worse OS (HR = 1.78, 95% CI [1.49-2.12], I-2 = 30.71%, n = 30). Additionally, subgroup analyses indicated strong prognostic powers of CTCs, irrespective of geographical, methodological, detection time and sample size differences of the studies. Conclusions: Our meta-analysis shows that CTCs (including circulating miRNAs) can predict the survival of GC patients. Large prospective studies are warranted to determine the best sampling time points, </w:t>
      </w:r>
      <w:r>
        <w:rPr>
          <w:kern w:val="0"/>
        </w:rPr>
        <w:lastRenderedPageBreak/>
        <w:t>detection methods in homogeneous patients with GC in the future.</w:t>
      </w:r>
    </w:p>
    <w:p w:rsidR="008A65C4" w:rsidRDefault="008A65C4" w:rsidP="008A65C4">
      <w:pPr>
        <w:pStyle w:val="a3"/>
        <w:rPr>
          <w:kern w:val="0"/>
        </w:rPr>
      </w:pPr>
      <w:r>
        <w:rPr>
          <w:kern w:val="0"/>
        </w:rPr>
        <w:t>Keywords: Analyses, Analysis, Association, Blood, Cancer, Circulating Tumor Cells, Citation, Clinical-Significance, Data, Disease, Disease Progression, Effects, Experience, Expression, From, Gastric, Gastric Cancer, Hazard, Intervals, Marker, Measures, Medline, Messenger-RNA, Meta Analysis, Meta-Analysis, Metaanalysis, Metastatic, Metastatic Breast-Cancer, Methods, Model, Overall Survival, Patients, Peripheral, Peripheral Blood, Peripheral-Blood, Plasma, Prognosis, Prognostic, Prognostic Value, Progression, Prospective, Prospective Studies, Publication Bias, Random Effects Model, Results, RT-PCR, Sample Size, Sampling, Science, Science Citation Index, Size, Survival, Systematic, Topic, Tumor, Value</w:t>
      </w:r>
    </w:p>
    <w:p w:rsidR="008A65C4" w:rsidRDefault="008A65C4" w:rsidP="008A65C4">
      <w:pPr>
        <w:pStyle w:val="a3"/>
        <w:rPr>
          <w:kern w:val="0"/>
        </w:rPr>
      </w:pPr>
      <w:r>
        <w:rPr>
          <w:kern w:val="0"/>
        </w:rPr>
        <w:t xml:space="preserve">? Liu, Q., Yan, L.F., Xu, C., Gu, A.H., Zhao, P. and Jiang, Z.Y. (2014), Increased incidence of head and neck cancer in liver transplant recipients: A meta-analysis. </w:t>
      </w:r>
      <w:r>
        <w:rPr>
          <w:i/>
          <w:iCs/>
          <w:kern w:val="0"/>
        </w:rPr>
        <w:t>BMC Cancer</w:t>
      </w:r>
      <w:r>
        <w:rPr>
          <w:kern w:val="0"/>
        </w:rPr>
        <w:t xml:space="preserve">, </w:t>
      </w:r>
      <w:r>
        <w:rPr>
          <w:b/>
          <w:bCs/>
          <w:kern w:val="0"/>
        </w:rPr>
        <w:t>14</w:t>
      </w:r>
      <w:r>
        <w:rPr>
          <w:rFonts w:hint="eastAsia"/>
          <w:kern w:val="0"/>
        </w:rPr>
        <w:t xml:space="preserve">, </w:t>
      </w:r>
      <w:r w:rsidRPr="00673ED7">
        <w:rPr>
          <w:kern w:val="0"/>
        </w:rPr>
        <w:t xml:space="preserve">Article Number: </w:t>
      </w:r>
      <w:r>
        <w:rPr>
          <w:rFonts w:hint="eastAsia"/>
          <w:kern w:val="0"/>
        </w:rPr>
        <w:t>776.</w:t>
      </w:r>
    </w:p>
    <w:p w:rsidR="008A65C4" w:rsidRDefault="008A65C4" w:rsidP="008A65C4">
      <w:pPr>
        <w:pStyle w:val="a3"/>
        <w:rPr>
          <w:kern w:val="0"/>
        </w:rPr>
      </w:pPr>
      <w:r>
        <w:rPr>
          <w:kern w:val="0"/>
        </w:rPr>
        <w:t xml:space="preserve">Full Text: </w:t>
      </w:r>
      <w:hyperlink r:id="rId1551" w:history="1">
        <w:r w:rsidRPr="00FC65A6">
          <w:rPr>
            <w:rStyle w:val="a5"/>
            <w:kern w:val="0"/>
          </w:rPr>
          <w:t>2014\BMC Can14, 776.pdf</w:t>
        </w:r>
      </w:hyperlink>
    </w:p>
    <w:p w:rsidR="008A65C4" w:rsidRDefault="008A65C4" w:rsidP="008A65C4">
      <w:pPr>
        <w:pStyle w:val="a3"/>
        <w:rPr>
          <w:kern w:val="0"/>
        </w:rPr>
      </w:pPr>
      <w:r>
        <w:rPr>
          <w:kern w:val="0"/>
        </w:rPr>
        <w:t>Abstract: Background: It is unclear whether liver transplantation is associated with an increased incidence of post-transplant head and neck cancer. This comprehensive meta-analysis evaluated the association between liver transplantation and the risk of head and neck cancer using data from all available studies. Methods: PubMed and Web of Science were systematically searched to identify all relevant publications up to March 2014. Standardized incidence ratio (SIR) and 95% confidence intervals (CIs) for risk of head and neck cancer in liver transplant recipients were calculated. Tests for heterogeneity, sensitivity, and publishing bias were also performed. Result: Of the 964 identified articles, 10 were deemed eligible. These studies included data on 56,507 patients with a total follow-up of 129,448.9 patient-years. SIR for head and neck cancer was 3.836-fold higher (95% CI 2.754-4.918, P = 0.000) in liver transplant recipients than in the general population. No heterogeneity or publication bias was observed. Sensitivity analysis indicated that omission of any of the studies resulted in an SIR for head and neck cancer between 3.488 (95% CI: 2.379-4.598) and 4.306 (95% CI: 3.020-5.592). Conclusions: Liver transplant recipients are at higher risk of developing head and neck cancer than the general population.</w:t>
      </w:r>
    </w:p>
    <w:p w:rsidR="008A65C4" w:rsidRDefault="008A65C4" w:rsidP="008A65C4">
      <w:pPr>
        <w:pStyle w:val="a3"/>
        <w:rPr>
          <w:kern w:val="0"/>
        </w:rPr>
      </w:pPr>
      <w:r>
        <w:rPr>
          <w:kern w:val="0"/>
        </w:rPr>
        <w:t>Keywords: Analysis, Articles, Association, Bias, Cancer, Confidence, Confidence Intervals, Data, De-Novo Malignancies, Developing, Disease, Follow-Up, From, General, General Population, Head And Neck Cancer, Heterogeneity, Immunosuppression, Incidence, Intervals, Kidney, Liver, Liver Transplantation, Meta Analysis, Meta-Analysis, Metaanalysis, Methods, Neck, Organ, P, Patients, Population, Publication, Publication Bias, Publications, Publishing, Pubmed, Risk, Risk-Factors, Science, Sensitivity, Sensitivity Analysis, Skin-Cancer, Standardized Incidence Ratio, Surveillance, Tacrolimus, Transplantation, Tumors, Web Of Science</w:t>
      </w:r>
    </w:p>
    <w:p w:rsidR="008A65C4" w:rsidRDefault="008A65C4" w:rsidP="008A65C4">
      <w:pPr>
        <w:pStyle w:val="a3"/>
        <w:rPr>
          <w:kern w:val="0"/>
        </w:rPr>
      </w:pPr>
      <w:r>
        <w:rPr>
          <w:kern w:val="0"/>
        </w:rPr>
        <w:lastRenderedPageBreak/>
        <w:t xml:space="preserve">? Zhang, W.W., Jiang, W.J., Luan, L.L., Wang, L.L., Zheng, X.R. and Wang, G.C. (2014), Prophylactic cranial irradiation for patients with small-cell lung cancer: A systematic review of the literature with meta-analysis. </w:t>
      </w:r>
      <w:r>
        <w:rPr>
          <w:i/>
          <w:iCs/>
          <w:kern w:val="0"/>
        </w:rPr>
        <w:t>BMC Cancer</w:t>
      </w:r>
      <w:r>
        <w:rPr>
          <w:kern w:val="0"/>
        </w:rPr>
        <w:t xml:space="preserve">, </w:t>
      </w:r>
      <w:r>
        <w:rPr>
          <w:b/>
          <w:bCs/>
          <w:kern w:val="0"/>
        </w:rPr>
        <w:t>14</w:t>
      </w:r>
      <w:r>
        <w:rPr>
          <w:rFonts w:hint="eastAsia"/>
          <w:kern w:val="0"/>
        </w:rPr>
        <w:t xml:space="preserve">, </w:t>
      </w:r>
      <w:r w:rsidRPr="00673ED7">
        <w:rPr>
          <w:kern w:val="0"/>
        </w:rPr>
        <w:t>Article Number: 793</w:t>
      </w:r>
      <w:r>
        <w:rPr>
          <w:rFonts w:hint="eastAsia"/>
          <w:kern w:val="0"/>
        </w:rPr>
        <w:t>.</w:t>
      </w:r>
    </w:p>
    <w:p w:rsidR="008A65C4" w:rsidRDefault="008A65C4" w:rsidP="008A65C4">
      <w:pPr>
        <w:pStyle w:val="a3"/>
        <w:rPr>
          <w:kern w:val="0"/>
        </w:rPr>
      </w:pPr>
      <w:r>
        <w:rPr>
          <w:kern w:val="0"/>
        </w:rPr>
        <w:t xml:space="preserve">Full Text: </w:t>
      </w:r>
      <w:hyperlink r:id="rId1552" w:history="1">
        <w:r w:rsidRPr="00FC65A6">
          <w:rPr>
            <w:rStyle w:val="a5"/>
            <w:kern w:val="0"/>
          </w:rPr>
          <w:t>2014\BMC Can14, 793.pdf</w:t>
        </w:r>
      </w:hyperlink>
    </w:p>
    <w:p w:rsidR="008A65C4" w:rsidRDefault="008A65C4" w:rsidP="008A65C4">
      <w:pPr>
        <w:pStyle w:val="a3"/>
        <w:rPr>
          <w:kern w:val="0"/>
        </w:rPr>
      </w:pPr>
      <w:r>
        <w:rPr>
          <w:kern w:val="0"/>
        </w:rPr>
        <w:t>Abstract: Background: Small cell lung cancer (SCLC) accounts for about 13% of all lung cancer cases. Small cell lung cancer (SCLC) accounts for about 13% of all lung cancer cases. The purpose of the present article is to assess the role of prophylactic cranial irradiation (PCI) in small cell lung cancer (SCLC) by performing a systematic review of the randomized trials published in the literature. Methods: Randomized controlled trials were identified that compared brain metastases incidence and overall survival between PCI and No PCI in patients with SCLC. Search strategies were limited to the English language and to articles published since 1997, and included: databases searched from 1997 to March 2013 -CINAHL, Embase, Medline, Web of Science, and CENTRAL. Methodological quality was assessed with the Jadad scale. The main end points were brain metastasis and survival. Results: The review identified 5 trials, although few were of high quality. Two trials reported the one-year incidence of brain metastasis. PCI reduced the incidence of brain metastasis in one year, with a pooled relative risk of 0.45 (95% CI, 0.35 to 0.58; P &lt; 0.00001). Four trials described the one year survival rate. The combined result revealed a significant (P = 0.01) survival benefit in the group assigned to PCI as compared with the control group, with a pooled relative risk of 0.87 (95% CI, 0.79 to 0.97). Three trials reported the three-year survival rate. The combined result revealed a great significant (P &lt; 0.00001) survival benefit in the PCI group as compared with the No PCI group, with a pooled relative risk of 0.87 (95% CI, 0.83 to 0.91). the Five-year survival rate was compared in four trials Compared with the No PCI group, the PCI group had a significant (P &lt; 0.00001) survival benefit with a pooled relative risk of 0.92 (95% CI, 0.88 to 0.95). Conclusions: The present systematic review indicates that PCI decreases brain metastases incidence and that PCI improves survival in SCLC patients. Prophylactic cranial irradiation should be part of standard care for all patients with small-cell lung cancer who have a response to initial chemotherapy, and it should be part of the standard treatment in future studies involving these patients.</w:t>
      </w:r>
    </w:p>
    <w:p w:rsidR="008A65C4" w:rsidRDefault="008A65C4" w:rsidP="008A65C4">
      <w:pPr>
        <w:pStyle w:val="a3"/>
        <w:rPr>
          <w:kern w:val="0"/>
        </w:rPr>
      </w:pPr>
      <w:r>
        <w:rPr>
          <w:kern w:val="0"/>
        </w:rPr>
        <w:t xml:space="preserve">Keywords: Article, Articles, Brain, Brain Metastases, Brain Metastasis, Cancer, Carcinoma, Care, Cell, Chemotherapy, Complete Remission, Complete Response, Control, Databases, English, Failure, Follow-Up, From, Incidence, Irradiation, Language, Literature, Lung, Lung Cancer, Medline, Meta Analysis, Meta-Analysis, Metaanalysis, Metastases, Metastasis, Methodological Quality, Methods, Oncology Group Rtog, Overall Survival, P, Patients, PCI, Prophylactic, Prophylactic Cranial Irradiation, Purpose, Quality, Radiation-Therapy, Randomized, Randomized </w:t>
      </w:r>
      <w:r>
        <w:rPr>
          <w:kern w:val="0"/>
        </w:rPr>
        <w:lastRenderedPageBreak/>
        <w:t>Controlled Trials, Randomized-Trial, Relative Risk, Response, Results, Review, Risk, Role, Scale, Science, SCLC, Search, Search Strategies, Small, Small Cell Lung Cancer, Small-Cell Lung Cancer, Standard, Survival, Survival Rate, Systematic, Systematic Review, Treatment, Web Of Science</w:t>
      </w:r>
    </w:p>
    <w:p w:rsidR="00EF0A27" w:rsidRDefault="00EF0A27" w:rsidP="00EF0A27">
      <w:pPr>
        <w:pStyle w:val="a3"/>
        <w:rPr>
          <w:kern w:val="0"/>
        </w:rPr>
      </w:pPr>
      <w:r>
        <w:rPr>
          <w:rFonts w:hint="eastAsia"/>
          <w:kern w:val="0"/>
        </w:rPr>
        <w:t xml:space="preserve">? </w:t>
      </w:r>
      <w:r>
        <w:rPr>
          <w:kern w:val="0"/>
        </w:rPr>
        <w:t xml:space="preserve">Yan, Q., Chen, P., Wang, S.T., Liu, N., Zhao, P. and Gu, A.H. (2014), Association between HIF-1 alpha C1772T/G1790A polymorphisms and cancer susceptibility: An updated systematic review and meta-analysis based on 40 case-control studies. </w:t>
      </w:r>
      <w:r>
        <w:rPr>
          <w:i/>
          <w:iCs/>
          <w:kern w:val="0"/>
        </w:rPr>
        <w:t>BMC Cancer</w:t>
      </w:r>
      <w:r>
        <w:rPr>
          <w:kern w:val="0"/>
        </w:rPr>
        <w:t xml:space="preserve">, </w:t>
      </w:r>
      <w:r>
        <w:rPr>
          <w:b/>
          <w:bCs/>
          <w:kern w:val="0"/>
        </w:rPr>
        <w:t>14</w:t>
      </w:r>
      <w:r>
        <w:rPr>
          <w:rFonts w:hint="eastAsia"/>
          <w:kern w:val="0"/>
        </w:rPr>
        <w:t>,</w:t>
      </w:r>
      <w:r w:rsidRPr="00FD60B5">
        <w:rPr>
          <w:kern w:val="0"/>
        </w:rPr>
        <w:t xml:space="preserve"> </w:t>
      </w:r>
      <w:r w:rsidRPr="00673ED7">
        <w:rPr>
          <w:kern w:val="0"/>
        </w:rPr>
        <w:t xml:space="preserve">Article Number: </w:t>
      </w:r>
      <w:r>
        <w:rPr>
          <w:rFonts w:hint="eastAsia"/>
          <w:kern w:val="0"/>
        </w:rPr>
        <w:t>950.</w:t>
      </w:r>
    </w:p>
    <w:p w:rsidR="00EF0A27" w:rsidRDefault="00EF0A27" w:rsidP="00EF0A27">
      <w:pPr>
        <w:pStyle w:val="a3"/>
        <w:rPr>
          <w:kern w:val="0"/>
        </w:rPr>
      </w:pPr>
      <w:r>
        <w:rPr>
          <w:kern w:val="0"/>
        </w:rPr>
        <w:t xml:space="preserve">Full Text: </w:t>
      </w:r>
      <w:hyperlink r:id="rId1553" w:history="1">
        <w:r w:rsidRPr="00BF42C4">
          <w:rPr>
            <w:rStyle w:val="a5"/>
            <w:kern w:val="0"/>
          </w:rPr>
          <w:t>2014\BMC Can14, 950.pdf</w:t>
        </w:r>
      </w:hyperlink>
    </w:p>
    <w:p w:rsidR="00EF0A27" w:rsidRDefault="00EF0A27" w:rsidP="00EF0A27">
      <w:pPr>
        <w:pStyle w:val="a3"/>
        <w:rPr>
          <w:kern w:val="0"/>
        </w:rPr>
      </w:pPr>
      <w:r>
        <w:rPr>
          <w:kern w:val="0"/>
        </w:rPr>
        <w:t>Abstract: Background: HIF-1 (hypoxia-inducible factor 1) is a transcriptional activator that functions as a critical regulator of oxygen homeostasis. Recently, a large number of epidemiological studies have investigated the relationship between HIF-1 alpha C1772T/G1790A polymorphisms and cancer susceptibility. However, the results remain inconclusive. Therefore, we performed a meta-analysis on all of the available case-control studies to systematically summarize the possible association. Methods: A literature search was performed using PubMed and the Web of Science database to obtain relevant published studies. Pooled odds ratios (ORs) and corresponding 95% confidence intervals (CIs) for the relationship between HIF-1 alpha C1772T/G1790A polymorphisms and cancer susceptibility were calculated using fixed-and random-effects models when appropriate. Heterogeneity tests, sensitivity analyses and publication bias assessments were also performed in our meta-analysis. Results: A total of 40 studies met the inclusion criteria were included in the meta-analysis: 40 studies comprised of 10869 cases and 14289 controls for the HIF-1 alpha C1772T polymorphism and 30 studies comprised of 7117 cases and 10442 controls for the HIF-1 alpha G1790A polymorphism. The results demonstrated that there were significant association between the HIF-1 alpha C1772T polymorphism and cancer susceptibility under four genetic models (TT vs. CC: OR = 1.63, 95% CI = 1.02-2.60; CT + TT vs. CC: OR = 1.15, 95% CI = 1.01-1.34; TT vs. CT + CC: OR = 2.11, 95% CI = 1.32-3.77; T vs. C: OR = 1.21, 95% CI = 1.04-1.41). Similarly, the statistically significant association between the HIF-1 alpha G1790A polymorphism and cancer susceptibility was found to be consistently strong in all of the genetic models. Moreover, increased cancer risk was observed when the data were stratified by cancer type, ethnicity and the source of controls. Conclusions: This meta-analysis demonstrates that both the C1772T and G1790A polymorphisms in the HIF-1 alpha gene likely contribute to increased cancer susceptibility, especially in the Asian population and in breast cancer, lung cancer, pancreatic cancer and oral cancer. However, further research is necessary to evaluate the relationship between these polymorphisms and cancer risk.</w:t>
      </w:r>
    </w:p>
    <w:p w:rsidR="00EF0A27" w:rsidRDefault="00EF0A27" w:rsidP="00EF0A27">
      <w:pPr>
        <w:pStyle w:val="a3"/>
        <w:rPr>
          <w:kern w:val="0"/>
        </w:rPr>
      </w:pPr>
      <w:r>
        <w:rPr>
          <w:kern w:val="0"/>
        </w:rPr>
        <w:t xml:space="preserve">Keywords: Activator, Analyses, Asian, Assessments, Association, Bias, Breast Cancer, </w:t>
      </w:r>
      <w:r>
        <w:rPr>
          <w:kern w:val="0"/>
        </w:rPr>
        <w:lastRenderedPageBreak/>
        <w:t>Breast-Cancer, Cancer, Cancer Risk, Cancer Susceptibility, Case-Control, Case-Control Studies, Colorectal-Cancer, Confidence, Confidence Intervals, Criteria, Ct, Data, Database, Ethnicity, Factor 1-Alpha, Factor-1-Alpha Gene, Factor-I, Functions, Gene, Genetic, Hif-1 Gene, Hypoxia-Inducible Factor, Intervals, Literature, Literature Search, Lung, Lung Cancer, Lung-Cancer, Meta Analysis, Meta-Analysis, Metaanalysis, Methods, Models, Oral, Oxygen, Pancreatic Cancer, Polymorphism, Polymorphisms, Population, Prostate-Cancer, Publication, Publication Bias, Pubmed, Renal-Cell Carcinoma, Research, Results, Review, Risk, Science, Sensitivity, Single Nucleotide Polymorphisms, Source, Susceptibility, Systematic, Systematic Review, Web, Web Of Science</w:t>
      </w:r>
    </w:p>
    <w:p w:rsidR="002A32BD" w:rsidRDefault="002A32BD" w:rsidP="002A32BD">
      <w:pPr>
        <w:pStyle w:val="a3"/>
        <w:rPr>
          <w:kern w:val="0"/>
        </w:rPr>
      </w:pPr>
      <w:r>
        <w:rPr>
          <w:rFonts w:hint="eastAsia"/>
          <w:kern w:val="0"/>
        </w:rPr>
        <w:t xml:space="preserve">? </w:t>
      </w:r>
      <w:r>
        <w:rPr>
          <w:kern w:val="0"/>
        </w:rPr>
        <w:t xml:space="preserve">Yang, Y.L., Sui, G.Y., Liu, G.C., Huang, D.S., Wang, S.M. and Wang, L. (2014), The effects of psychological interventions on depression and anxiety among Chinese adults with cancer: A meta-analysis of randomized controlled studies. </w:t>
      </w:r>
      <w:r>
        <w:rPr>
          <w:i/>
          <w:iCs/>
          <w:kern w:val="0"/>
        </w:rPr>
        <w:t>BMC Cancer</w:t>
      </w:r>
      <w:r>
        <w:rPr>
          <w:kern w:val="0"/>
        </w:rPr>
        <w:t xml:space="preserve">, </w:t>
      </w:r>
      <w:r>
        <w:rPr>
          <w:b/>
          <w:bCs/>
          <w:kern w:val="0"/>
        </w:rPr>
        <w:t>14</w:t>
      </w:r>
      <w:r>
        <w:rPr>
          <w:rFonts w:hint="eastAsia"/>
          <w:kern w:val="0"/>
        </w:rPr>
        <w:t xml:space="preserve">, </w:t>
      </w:r>
      <w:r w:rsidRPr="00673ED7">
        <w:rPr>
          <w:kern w:val="0"/>
        </w:rPr>
        <w:t xml:space="preserve">Article Number: </w:t>
      </w:r>
      <w:r>
        <w:rPr>
          <w:rFonts w:hint="eastAsia"/>
          <w:kern w:val="0"/>
        </w:rPr>
        <w:t>956.</w:t>
      </w:r>
    </w:p>
    <w:p w:rsidR="002A32BD" w:rsidRDefault="002A32BD" w:rsidP="002A32BD">
      <w:pPr>
        <w:pStyle w:val="a3"/>
        <w:rPr>
          <w:kern w:val="0"/>
        </w:rPr>
      </w:pPr>
      <w:r>
        <w:rPr>
          <w:kern w:val="0"/>
        </w:rPr>
        <w:t xml:space="preserve">Full Text: </w:t>
      </w:r>
      <w:hyperlink r:id="rId1554" w:history="1">
        <w:r w:rsidRPr="00443DB0">
          <w:rPr>
            <w:rStyle w:val="a5"/>
            <w:kern w:val="0"/>
          </w:rPr>
          <w:t>2014\BMC Can14, 956.pdf</w:t>
        </w:r>
      </w:hyperlink>
    </w:p>
    <w:p w:rsidR="002A32BD" w:rsidRDefault="002A32BD" w:rsidP="002A32BD">
      <w:pPr>
        <w:pStyle w:val="a3"/>
        <w:rPr>
          <w:kern w:val="0"/>
        </w:rPr>
      </w:pPr>
      <w:r>
        <w:rPr>
          <w:kern w:val="0"/>
        </w:rPr>
        <w:t xml:space="preserve">Abstract: Background: Our previous studies found the high prevalence of depression and anxiety among Chinese cancer patients, and many empirical studies have been conducted to evaluate the effects of psychological interventions on depression and anxiety among Chinese cancer patients. This study aimed to conduct a meta-analysis in order to assess the effects of psychological interventions on depression and anxiety in Chinese adults with cancer. Methods: The four most comprehensive Chinese academic database-CNKI, Wanfang, Vip and CBM databases-were searched from their inception until January 2014. PubMed and Web of Science (SCIE) were also searched from their inception until January 2014 without language restrictions, and an internet search was used. Randomized controlled studies assessing the effects of psychological interventions on depression and anxiety among Chinese adults with cancer were analyzed. Study selection and appraisal were conducted independently by three authors. The pooled random-effects estimates of standardized mean difference (SMD) and 95% confidence intervals (CI) were calculated. Moderator analysis (meta-regression and subgroup analysis) was used to explore reasons for heterogeneity. Results: We retrieved 147 studies (covering 14,039 patients) that reported 253 experimental-control comparisons. The random effects model showed a significant large effect size for depression (SMD = 1.199, p &lt; 0.001; 95% CI = 1.095-1.303) and anxiety (SMD = 1.298, p &lt; 0.001; 95% CI = 1.187-1.408). Cumulative meta-analysis indicated that sufficient evidence had accumulated since 2000-2001 to confirm the statistically significant effectiveness of psychological interventions on depression and anxiety in Chinese cancer patients. Moderating effects were found for caner type, patients’ selection, intervention format and questionnaires used. In studies that included lung cancer, preselected patients with </w:t>
      </w:r>
      <w:r>
        <w:rPr>
          <w:kern w:val="0"/>
        </w:rPr>
        <w:lastRenderedPageBreak/>
        <w:t>clear signs of depression/anxiety, adopted individual intervention and used State-Trait Anxiety Inventory (STAI), the effect sizes were larger. Conclusions: We concluded that psychological interventions in Chinese cancer patients have large effects on depression and anxiety. The findings support that an adequate system should be set up to provide routine psychological interventions for cancer patients in Chinese medical settings. However, because of some clear limitations (heterogeneity and publication bias), these results should be interpreted with caution.</w:t>
      </w:r>
    </w:p>
    <w:p w:rsidR="002A32BD" w:rsidRDefault="002A32BD" w:rsidP="002A32BD">
      <w:pPr>
        <w:pStyle w:val="a3"/>
        <w:rPr>
          <w:kern w:val="0"/>
        </w:rPr>
      </w:pPr>
      <w:r>
        <w:rPr>
          <w:kern w:val="0"/>
        </w:rPr>
        <w:t>Keywords: Analysis, Anxiety, Assessing, Authors, Bias, Breast-Cancer, Cancer, Chinese, Chinese Adults With Cancer, Clinical-Trials, Confidence, Confidence Intervals, Cumulative Meta-Analysis, Ddepression, Depression, Disease, Effect Size, Effectiveness, Effects, Emotional Distress, Empirical Studies, Estimates, Evidence, From, Heterogeneity, Internet, Intervals, Intervention, Interventions, Inventory, Language, Lung, Lung Cancer, Medical, Meta Analysis, Meta-Analysis, Meta-Regression, Metaanalysis, Methods, Model, Moderator, Music-Therapy, Patients, Prevalence, Psychological, Psychological Intervention, Psychosocial Interventions, Publication, Publication Bias, Pubmed, Quality-Of-Life, Questionnaires, Radical-Mastectomy, Random Effects Model, Randomized, Restrictions, Results, Scie, Science, Selection, Size, Support, Web, Web Of Science</w:t>
      </w:r>
    </w:p>
    <w:p w:rsidR="00D9712E" w:rsidRDefault="00D9712E" w:rsidP="00D9712E">
      <w:pPr>
        <w:pStyle w:val="a3"/>
        <w:rPr>
          <w:kern w:val="0"/>
        </w:rPr>
      </w:pPr>
      <w:r>
        <w:rPr>
          <w:rFonts w:hint="eastAsia"/>
          <w:kern w:val="0"/>
        </w:rPr>
        <w:t xml:space="preserve">? </w:t>
      </w:r>
      <w:r>
        <w:rPr>
          <w:kern w:val="0"/>
        </w:rPr>
        <w:t xml:space="preserve">Huang, X.Z., Gao, P., Song, Y.X., Sun, J.X., Chen, X.W., Zhao, J.H., Liu, J., Xu, H.M. and Wang, Z.N. (2014), Relationship between circulating tumor cells and tumor response in colorectal cancer patients treated with chemotherapy: A meta-analysis. </w:t>
      </w:r>
      <w:r>
        <w:rPr>
          <w:i/>
          <w:iCs/>
          <w:kern w:val="0"/>
        </w:rPr>
        <w:t>BMC Cancer</w:t>
      </w:r>
      <w:r>
        <w:rPr>
          <w:kern w:val="0"/>
        </w:rPr>
        <w:t xml:space="preserve">, </w:t>
      </w:r>
      <w:r>
        <w:rPr>
          <w:b/>
          <w:bCs/>
          <w:kern w:val="0"/>
        </w:rPr>
        <w:t>14</w:t>
      </w:r>
      <w:r>
        <w:rPr>
          <w:rFonts w:hint="eastAsia"/>
          <w:kern w:val="0"/>
        </w:rPr>
        <w:t xml:space="preserve">, </w:t>
      </w:r>
      <w:r w:rsidRPr="00673ED7">
        <w:rPr>
          <w:kern w:val="0"/>
        </w:rPr>
        <w:t xml:space="preserve">Article Number: </w:t>
      </w:r>
      <w:r>
        <w:rPr>
          <w:rFonts w:hint="eastAsia"/>
          <w:kern w:val="0"/>
        </w:rPr>
        <w:t>976.</w:t>
      </w:r>
    </w:p>
    <w:p w:rsidR="00D9712E" w:rsidRDefault="00D9712E" w:rsidP="00D9712E">
      <w:pPr>
        <w:pStyle w:val="a3"/>
        <w:rPr>
          <w:kern w:val="0"/>
        </w:rPr>
      </w:pPr>
      <w:r>
        <w:rPr>
          <w:kern w:val="0"/>
        </w:rPr>
        <w:t xml:space="preserve">Full Text: </w:t>
      </w:r>
      <w:hyperlink r:id="rId1555" w:history="1">
        <w:r w:rsidRPr="000D535C">
          <w:rPr>
            <w:rStyle w:val="a5"/>
            <w:kern w:val="0"/>
          </w:rPr>
          <w:t>2014\BMC Can14, 976.pdf</w:t>
        </w:r>
      </w:hyperlink>
    </w:p>
    <w:p w:rsidR="00D9712E" w:rsidRDefault="00D9712E" w:rsidP="00D9712E">
      <w:pPr>
        <w:pStyle w:val="a3"/>
        <w:rPr>
          <w:kern w:val="0"/>
        </w:rPr>
      </w:pPr>
      <w:r>
        <w:rPr>
          <w:kern w:val="0"/>
        </w:rPr>
        <w:t xml:space="preserve">Abstract: Background: The prognostic value of circulating tumor cells (CTCs) in colorectal cancer (CRC) patients and their value in predicting tumor response to chemotherapy are controversial. The aim of this meta-analysis was to assess the prognostic and predictive value of CTCs in CRC patients treated with chemotherapy. Methods: A comprehensive literature search for relevant studies was conducted in PubMed, Embase, the Cochrane Database, the Science Citation Index and the Ovid Database, and the reference lists of relevant studies were also perused for other relevant studies (up to April, 2014). Using the random-effects model in Stata software, version 12.0, the meta-analysis was performed using odds ratios (ORs), risk ratios (RRs), hazard ratios (HRs) and 95% confidence intervals (CIs) as effect measures. Subgroup and sensitivity analyses were also performed. Results: Thirteen eligible studies were included. Our meta-analysis indicated that the disease control rate was significantly higher in CRC patients with CTC-low compared with CTC-high (RR = 1.354, 95% CI [1.002-1.830], p = 0.048). CRC patients in the CTC-high group were significantly associated with poor progression-free survival (PFS; HR = 2.500, 95% CI [1.746-3.580], p &lt; 0.001) and poor overall survival (OS; </w:t>
      </w:r>
      <w:r>
        <w:rPr>
          <w:kern w:val="0"/>
        </w:rPr>
        <w:lastRenderedPageBreak/>
        <w:t>HR = 2.856, 95% CI [1.959-4.164], p &lt; 0.001). Patients who converted from CTC-low to CTC-high or who were persistently CTC-high had a worse disease progression (OR = 27.088, 95% CI [4.960-147.919], p &lt; 0.001), PFS (HR = 2.095, 95% CI [1.105-3.969], p = 0.023) and OS (HR = 3.604, 95% CI [2.096-6.197], p &lt; 0.001) than patients who converted from CTC-high to CTC-low. Conclusions: Our meta-analysis indicates that CTCs are associated with prognosis in CRC patients treated with chemotherapy. Moreover, CTCs could provide additional prognostic information to tumor radiographic imaging and might be used as a surrogate and novel predictive marker for the response to chemotherapy.</w:t>
      </w:r>
    </w:p>
    <w:p w:rsidR="00D9712E" w:rsidRDefault="00D9712E" w:rsidP="00D9712E">
      <w:pPr>
        <w:pStyle w:val="a3"/>
        <w:rPr>
          <w:kern w:val="0"/>
        </w:rPr>
      </w:pPr>
      <w:r>
        <w:rPr>
          <w:kern w:val="0"/>
        </w:rPr>
        <w:t>Keywords: 1st-Line Chemotherapy, Analyses, Cancer, Chemotherapy, Circulating Tumor Cells, Citation, Colon-Cancer, Colorectal Cancer, Combination Chemotherapy, Confidence, Confidence Intervals, Control, Database, Disease, Disease Progression, From, Hazard, Imaging, Information, Intervals, Literature, Literature Search, Marker, Measures, Meta Analysis, Meta-Analysis, Meta-Regression, Metaanalysis, Methods, Model, Overall Survival, Patients, Peripheral-Blood, Predictive, Predictive Marker, Predictive Value, Prognosis, Prognostic, Progression, Progression-Free, Publication Bias, Pubmed, Random Effects Model, Randomized Controlled-Trial, Reference, Reference Lists, Relationship, Resistant Prostate-Cancer, Response, Results, Risk, Science, Science Citation Index, Sensitivity, Software, Stata, Surrogate, Surrogate-Marker, Survival, Tumor, Tumor Response, Value, Version</w:t>
      </w:r>
    </w:p>
    <w:p w:rsidR="00F9536B" w:rsidRDefault="00F9536B" w:rsidP="00F9536B">
      <w:pPr>
        <w:pStyle w:val="a3"/>
        <w:rPr>
          <w:kern w:val="0"/>
        </w:rPr>
      </w:pPr>
      <w:r>
        <w:rPr>
          <w:rFonts w:hint="eastAsia"/>
          <w:kern w:val="0"/>
        </w:rPr>
        <w:t xml:space="preserve">? </w:t>
      </w:r>
      <w:r>
        <w:rPr>
          <w:kern w:val="0"/>
        </w:rPr>
        <w:t xml:space="preserve">Huang, X.Z., Gao, P., Song, Y.X., Sun, J.X., Chen, X.W., Zhao, J.H., Xu, H.M. and Wang, Z.N. (2015), Meta-analysis of the prognostic value of circulating tumor cells detected with the CellSearch System in colorectal cancer. </w:t>
      </w:r>
      <w:r>
        <w:rPr>
          <w:i/>
          <w:iCs/>
          <w:kern w:val="0"/>
        </w:rPr>
        <w:t>BMC Cancer</w:t>
      </w:r>
      <w:r>
        <w:rPr>
          <w:kern w:val="0"/>
        </w:rPr>
        <w:t xml:space="preserve">, </w:t>
      </w:r>
      <w:r>
        <w:rPr>
          <w:b/>
          <w:bCs/>
          <w:kern w:val="0"/>
        </w:rPr>
        <w:t>15</w:t>
      </w:r>
      <w:r>
        <w:rPr>
          <w:rFonts w:hint="eastAsia"/>
          <w:kern w:val="0"/>
        </w:rPr>
        <w:t xml:space="preserve">, </w:t>
      </w:r>
      <w:r w:rsidRPr="00673ED7">
        <w:rPr>
          <w:kern w:val="0"/>
        </w:rPr>
        <w:t xml:space="preserve">Article Number: </w:t>
      </w:r>
      <w:r>
        <w:rPr>
          <w:rFonts w:hint="eastAsia"/>
          <w:kern w:val="0"/>
        </w:rPr>
        <w:t>202.</w:t>
      </w:r>
    </w:p>
    <w:p w:rsidR="00F9536B" w:rsidRDefault="00F9536B" w:rsidP="00F9536B">
      <w:pPr>
        <w:pStyle w:val="a3"/>
        <w:rPr>
          <w:kern w:val="0"/>
        </w:rPr>
      </w:pPr>
      <w:r>
        <w:rPr>
          <w:kern w:val="0"/>
        </w:rPr>
        <w:t xml:space="preserve">Full Text: </w:t>
      </w:r>
      <w:hyperlink r:id="rId1556" w:history="1">
        <w:r w:rsidRPr="00F9536B">
          <w:rPr>
            <w:rStyle w:val="a5"/>
            <w:kern w:val="0"/>
          </w:rPr>
          <w:t>2015\BMC Can15, 202.pdf</w:t>
        </w:r>
      </w:hyperlink>
    </w:p>
    <w:p w:rsidR="00F9536B" w:rsidRDefault="00F9536B" w:rsidP="00F9536B">
      <w:pPr>
        <w:pStyle w:val="a3"/>
        <w:rPr>
          <w:kern w:val="0"/>
        </w:rPr>
      </w:pPr>
      <w:r>
        <w:rPr>
          <w:kern w:val="0"/>
        </w:rPr>
        <w:t xml:space="preserve">Abstract: Background: The prognostic value of circulating tumor cells (CTCs) detected with the CellSearch System in patients with colorectal cancer (CRC) is controversial. The aim of our meta-analysis was to evaluate whether the detection of CTCs in the peripheral blood with the standardized CellSearch System has prognostic utility for patients with CRC. Methods: The PubMed, Science Citation Index, Cochrane Database, Embase, and the references in relevant studies were systematically searched (up to December, 2014). No search restrictions were imposed. Our meta-analysis was performed in Stata software, version 12.0 (2011) (Stata Corp, College Station, TX, USA), with the odds ratio (OR), risk ratio (RR), hazard ratio (HR), and 95% confidence interval (95% CI) as the effect measures. Subgroup and sensitivity analyses were also conducted. Results: Eleven studies containing 1847 patients with CRC were analyzed. There was a significantly higher incidence of CTCs in the metastasis-positive group than in the metastasis-negative group (OR = </w:t>
      </w:r>
      <w:r>
        <w:rPr>
          <w:kern w:val="0"/>
        </w:rPr>
        <w:lastRenderedPageBreak/>
        <w:t>4.06, 95% CI [1.74, 9.50], P &lt; 0.01, I-2 = 0%). For hepatic metastasis, a type of metastasis, a higher incidence of CTCs was observed in the hepatic-metastasis-positive group than in the -negative group (OR = 2.61, 95% CI [1.73, 3.96], P &lt; 0.01, I-2 = 0%). The presence of CTCs was significantly related to overall survival (HR = 2.00, 95% CI [1.49, 2.69], P &lt; 0.01, I-2 = 67.1%) and progression-free survival (HR = 1.80, 95% CI [1.52, 2.13], P &lt; 0.01, I-2 = 43.9%) of patients with CRC, regardless of the sampling time. The response rate for the CTC+groups was significantly lower than that for the CTC-groups at baseline and during treatment (baseline: 33% versus 39%, RR = 0.79, 95% CI [0.63, 0.99], P = 0.04, I-2 = 7.0%; during treatment: 17% versus 46%, RR = 0.41, 95% CI [0.22, 0.77], P = 0.01, I-2 = 0.0%;). Conclusions: Our meta-analysis indicates that the detection of CTCs in the peripheral blood with the CellSearch System has prognostic utility for patients with CRC.</w:t>
      </w:r>
    </w:p>
    <w:p w:rsidR="00F9536B" w:rsidRDefault="00F9536B" w:rsidP="00F9536B">
      <w:pPr>
        <w:pStyle w:val="a3"/>
        <w:rPr>
          <w:kern w:val="0"/>
        </w:rPr>
      </w:pPr>
      <w:r>
        <w:rPr>
          <w:kern w:val="0"/>
        </w:rPr>
        <w:t>Keywords: Analyses, Blood, Cancer, Cellsearch System, Chemotherapy Plus Bevacizumab, Circulating Tumor Cells, Citation, Clinical-Significance, Colorectal Cancer, Confidence, Database, Detection, Follow-Up, Hazard, Hazard Ratio, Incidence, Interval, Malignant Ascites, Mar, Measures, Meta Analysis, Meta-Analysis, Metaanalysis, Metastasis, Metastatic Breast-Cancer, Methods, Molecular Aspects, Negative, Odds Ratio, Overall Survival, P, Patients, Peripheral, Peripheral Blood, Peripheral-Blood, Predict Progression-Free, Prognosis, Prognostic, Pubmed, References, Response, Restrictions, Results, Risk, Sampling, Science, Science Citation Index, Sensitivity, Software, Stata, Surgery, Survival, Treatment, Tumor, Usa, Utility, Value, Version</w:t>
      </w:r>
    </w:p>
    <w:p w:rsidR="000132F9" w:rsidRDefault="000132F9" w:rsidP="000132F9">
      <w:pPr>
        <w:pStyle w:val="a3"/>
        <w:rPr>
          <w:kern w:val="0"/>
        </w:rPr>
      </w:pPr>
      <w:r>
        <w:rPr>
          <w:rFonts w:hint="eastAsia"/>
        </w:rPr>
        <w:t xml:space="preserve">? </w:t>
      </w:r>
      <w:r>
        <w:t xml:space="preserve">Mendes, D., Bains, I., Vanni, T. and Jit, M. (2015), Systematic review of model-based cervical screening evaluations. </w:t>
      </w:r>
      <w:r>
        <w:rPr>
          <w:i/>
          <w:iCs/>
        </w:rPr>
        <w:t>BMC Cancer</w:t>
      </w:r>
      <w:r>
        <w:t xml:space="preserve">, </w:t>
      </w:r>
      <w:r>
        <w:rPr>
          <w:b/>
          <w:bCs/>
        </w:rPr>
        <w:t>15</w:t>
      </w:r>
      <w:r>
        <w:rPr>
          <w:rFonts w:hint="eastAsia"/>
          <w:kern w:val="0"/>
        </w:rPr>
        <w:t xml:space="preserve">, </w:t>
      </w:r>
      <w:r w:rsidRPr="00673ED7">
        <w:rPr>
          <w:kern w:val="0"/>
        </w:rPr>
        <w:t xml:space="preserve">Article Number: </w:t>
      </w:r>
      <w:r>
        <w:rPr>
          <w:rFonts w:hint="eastAsia"/>
          <w:kern w:val="0"/>
        </w:rPr>
        <w:t>334.</w:t>
      </w:r>
    </w:p>
    <w:p w:rsidR="000132F9" w:rsidRDefault="000132F9" w:rsidP="000132F9">
      <w:pPr>
        <w:pStyle w:val="a3"/>
        <w:rPr>
          <w:kern w:val="0"/>
        </w:rPr>
      </w:pPr>
      <w:r>
        <w:rPr>
          <w:kern w:val="0"/>
        </w:rPr>
        <w:t xml:space="preserve">Full Text: </w:t>
      </w:r>
      <w:hyperlink r:id="rId1557" w:history="1">
        <w:r w:rsidRPr="00831A4C">
          <w:rPr>
            <w:rStyle w:val="a5"/>
            <w:kern w:val="0"/>
          </w:rPr>
          <w:t>2015\BMC Can15, 334.pdf</w:t>
        </w:r>
      </w:hyperlink>
    </w:p>
    <w:p w:rsidR="000132F9" w:rsidRDefault="000132F9" w:rsidP="000132F9">
      <w:pPr>
        <w:pStyle w:val="a3"/>
      </w:pPr>
      <w:r>
        <w:t xml:space="preserve">Abstract: Background: Optimising population-based cervical screening policies is becoming more complex due to the expanding range of screening technologies available and the interplay with vaccine-induced changes in epidemiology. Mathematical models are increasingly being applied to assess the impact of cervical cancer screening strategies. Methods: We systematically reviewed MEDLINE (R), Embase, Web of Science (R), EconLit, Health Economic Evaluation Database, and The Cochrane Library databases in order to identify the mathematical models of human papillomavirus (HPV) infection and cervical cancer progression used to assess the effectiveness and/or cost-effectiveness of cervical cancer screening strategies. Key model features and conclusions relevant to decision-making were extracted. Results: We found 153 articles meeting our eligibility criteria published up to May 2013. Most studies (72/153) evaluated the introduction of a new screening technology, with particular focus on the comparison of HPV DNA testing and </w:t>
      </w:r>
      <w:r>
        <w:lastRenderedPageBreak/>
        <w:t>cytology (n = 58). Twenty-eight in forty of these analyses supported HPV DNA primary screening implementation. A few studies analysed more recent technologies -rapid HPV DNA testing (n = 3), HPV DNA self-sampling (n = 4), and genotyping (n = 1) -and were also supportive of their introduction. However, no study was found on emerging molecular markers and their potential utility in future screening programmes. Most evaluations (113/153) were based on models simulating aggregate groups of women at risk of cervical cancer over time without accounting for HPV infection transmission. Calibration to country-specific outcome data is becoming more common, but has not yet become standard practice. Conclusions: Models of cervical screening are increasingly used, and allow extrapolation of trial data to project the population-level health and economic impact of different screening policy. However, post-vaccination analyses have rarely incorporated transmission dynamics. Model calibration to country-specific data is increasingly common in recent studies.</w:t>
      </w:r>
    </w:p>
    <w:p w:rsidR="000132F9" w:rsidRDefault="000132F9" w:rsidP="000132F9">
      <w:pPr>
        <w:pStyle w:val="a3"/>
      </w:pPr>
      <w:r>
        <w:t>Keywords: Analyses, Calibration, Cancer, Cancer Screening, Cervical Cancer, Cervical Cancer Screening, Cervical Screening, Changes, Comparison, Cost Effectiveness, Cost-Effectiveness, Cost-Effectiveness Analysis, Criteria, Cytology, Data, Database, Databases, Decision Making, Decision-Making, Developed-Countries, Developing-Countries, DNA, Dynamics, Economic, Economic Evaluations, Economic-Evaluation, Effectiveness, Epidemiology, Evaluation, Extrapolation, Genotyping, Health, HPV, Human, Human Papillomavirus, Human-Papillomavirus Vaccination, Impact, Implementation, Infection, Intraepithelial Neoplasia, Mathematical Models, Medline, Model, Models, Molecular Markers, Outcome, Papillomavirus, Policies, Policy, Population Based, Population-Based, Potential, Practice, Prevention, Primary, Programmes, Recent, Review, Risk, Science, Screening, Standard, Strategies, Systematic Review, Technologies, Technology, Testing, Transmission, Trial, Utility, Web Of Science, Women</w:t>
      </w:r>
    </w:p>
    <w:p w:rsidR="004E242C" w:rsidRPr="001A3D2B" w:rsidRDefault="004E242C" w:rsidP="004E242C">
      <w:pPr>
        <w:pStyle w:val="1"/>
      </w:pPr>
      <w:r w:rsidRPr="001A3D2B">
        <w:br w:type="page"/>
      </w:r>
      <w:bookmarkStart w:id="828" w:name="_Toc420814752"/>
      <w:r w:rsidRPr="001A3D2B">
        <w:lastRenderedPageBreak/>
        <w:t xml:space="preserve">Title: </w:t>
      </w:r>
      <w:r w:rsidRPr="004E242C">
        <w:t>BMC Cardiovascular Disorders</w:t>
      </w:r>
      <w:bookmarkEnd w:id="828"/>
    </w:p>
    <w:p w:rsidR="004E242C" w:rsidRPr="001A3D2B" w:rsidRDefault="004E242C" w:rsidP="004E242C">
      <w:pPr>
        <w:pStyle w:val="12"/>
      </w:pPr>
      <w:r w:rsidRPr="001A3D2B">
        <w:t xml:space="preserve">Full Journal Title: </w:t>
      </w:r>
      <w:r w:rsidRPr="004E242C">
        <w:rPr>
          <w:iCs/>
          <w:kern w:val="0"/>
        </w:rPr>
        <w:t>BMC Cardiovascular Disorders</w:t>
      </w:r>
    </w:p>
    <w:p w:rsidR="004E242C" w:rsidRPr="001A3D2B" w:rsidRDefault="004E242C" w:rsidP="004E242C">
      <w:pPr>
        <w:pStyle w:val="12"/>
      </w:pPr>
      <w:r w:rsidRPr="001A3D2B">
        <w:t xml:space="preserve">ISO Abbreviated Title: </w:t>
      </w:r>
    </w:p>
    <w:p w:rsidR="004E242C" w:rsidRPr="001A3D2B" w:rsidRDefault="004E242C" w:rsidP="004E242C">
      <w:pPr>
        <w:pStyle w:val="12"/>
      </w:pPr>
      <w:r w:rsidRPr="001A3D2B">
        <w:t xml:space="preserve">JCR Abbreviated Title: </w:t>
      </w:r>
    </w:p>
    <w:p w:rsidR="004E242C" w:rsidRPr="001A3D2B" w:rsidRDefault="004E242C" w:rsidP="004E242C">
      <w:pPr>
        <w:pStyle w:val="12"/>
      </w:pPr>
      <w:r w:rsidRPr="001A3D2B">
        <w:t xml:space="preserve">ISSN: </w:t>
      </w:r>
    </w:p>
    <w:p w:rsidR="004E242C" w:rsidRPr="001A3D2B" w:rsidRDefault="004E242C" w:rsidP="004E242C">
      <w:pPr>
        <w:pStyle w:val="12"/>
      </w:pPr>
      <w:r w:rsidRPr="001A3D2B">
        <w:t xml:space="preserve">Issues/Year: </w:t>
      </w:r>
    </w:p>
    <w:p w:rsidR="004E242C" w:rsidRPr="001A3D2B" w:rsidRDefault="004E242C" w:rsidP="004E242C">
      <w:pPr>
        <w:pStyle w:val="12"/>
      </w:pPr>
      <w:r w:rsidRPr="001A3D2B">
        <w:t xml:space="preserve">Journal Country/Territory: </w:t>
      </w:r>
    </w:p>
    <w:p w:rsidR="004E242C" w:rsidRPr="001A3D2B" w:rsidRDefault="004E242C" w:rsidP="004E242C">
      <w:pPr>
        <w:pStyle w:val="12"/>
      </w:pPr>
      <w:r w:rsidRPr="001A3D2B">
        <w:t xml:space="preserve">Language: </w:t>
      </w:r>
    </w:p>
    <w:p w:rsidR="004E242C" w:rsidRPr="001A3D2B" w:rsidRDefault="004E242C" w:rsidP="004E242C">
      <w:pPr>
        <w:pStyle w:val="12"/>
      </w:pPr>
      <w:r w:rsidRPr="001A3D2B">
        <w:t xml:space="preserve">Publisher: </w:t>
      </w:r>
    </w:p>
    <w:p w:rsidR="004E242C" w:rsidRPr="001A3D2B" w:rsidRDefault="004E242C" w:rsidP="004E242C">
      <w:pPr>
        <w:pStyle w:val="12"/>
      </w:pPr>
      <w:r w:rsidRPr="001A3D2B">
        <w:t xml:space="preserve">Publisher Address: </w:t>
      </w:r>
    </w:p>
    <w:p w:rsidR="004E242C" w:rsidRPr="001A3D2B" w:rsidRDefault="004E242C" w:rsidP="004E242C">
      <w:pPr>
        <w:pStyle w:val="12"/>
      </w:pPr>
      <w:r w:rsidRPr="001A3D2B">
        <w:t>Subject Categories:</w:t>
      </w:r>
    </w:p>
    <w:p w:rsidR="004E242C" w:rsidRPr="001A3D2B" w:rsidRDefault="004E242C" w:rsidP="004E242C">
      <w:pPr>
        <w:pStyle w:val="12"/>
      </w:pPr>
      <w:r w:rsidRPr="001A3D2B">
        <w:t>: Impact Factor</w:t>
      </w:r>
    </w:p>
    <w:p w:rsidR="004E242C" w:rsidRDefault="004E242C" w:rsidP="004E242C">
      <w:pPr>
        <w:pStyle w:val="a3"/>
        <w:rPr>
          <w:kern w:val="0"/>
        </w:rPr>
      </w:pPr>
      <w:r>
        <w:rPr>
          <w:rFonts w:hint="eastAsia"/>
          <w:kern w:val="0"/>
        </w:rPr>
        <w:t xml:space="preserve">? </w:t>
      </w:r>
      <w:r>
        <w:rPr>
          <w:kern w:val="0"/>
        </w:rPr>
        <w:t>van der Avoort, C.J., Filion, K.B., Dendukuri, N.</w:t>
      </w:r>
      <w:r w:rsidR="005853A9">
        <w:rPr>
          <w:kern w:val="0"/>
        </w:rPr>
        <w:t xml:space="preserve"> and </w:t>
      </w:r>
      <w:r>
        <w:rPr>
          <w:kern w:val="0"/>
        </w:rPr>
        <w:t>Brophy, J.M. (2009), Microvolt T-wave alternans as a predictor</w:t>
      </w:r>
      <w:r w:rsidR="00427468">
        <w:rPr>
          <w:kern w:val="0"/>
        </w:rPr>
        <w:t xml:space="preserve"> of </w:t>
      </w:r>
      <w:r>
        <w:rPr>
          <w:kern w:val="0"/>
        </w:rPr>
        <w:t>mortality</w:t>
      </w:r>
      <w:r w:rsidR="005853A9">
        <w:rPr>
          <w:kern w:val="0"/>
        </w:rPr>
        <w:t xml:space="preserve"> and </w:t>
      </w:r>
      <w:r>
        <w:rPr>
          <w:kern w:val="0"/>
        </w:rPr>
        <w:t>severe arrhythmias in patients with left-ventricular dysfunction: A systematic review</w:t>
      </w:r>
      <w:r w:rsidR="005853A9">
        <w:rPr>
          <w:kern w:val="0"/>
        </w:rPr>
        <w:t xml:space="preserve"> and </w:t>
      </w:r>
      <w:r>
        <w:rPr>
          <w:kern w:val="0"/>
        </w:rPr>
        <w:t xml:space="preserve">meta-analysis. </w:t>
      </w:r>
      <w:r w:rsidRPr="004E242C">
        <w:rPr>
          <w:i/>
          <w:iCs/>
          <w:kern w:val="0"/>
        </w:rPr>
        <w:t>BMC Cardiovascular Disorders</w:t>
      </w:r>
      <w:r>
        <w:rPr>
          <w:kern w:val="0"/>
        </w:rPr>
        <w:t xml:space="preserve">, </w:t>
      </w:r>
      <w:r>
        <w:rPr>
          <w:b/>
          <w:bCs/>
          <w:kern w:val="0"/>
        </w:rPr>
        <w:t>9</w:t>
      </w:r>
      <w:r w:rsidRPr="009C7CBB">
        <w:rPr>
          <w:rFonts w:hint="eastAsia"/>
          <w:bCs/>
          <w:kern w:val="0"/>
        </w:rPr>
        <w:t xml:space="preserve">, </w:t>
      </w:r>
      <w:r w:rsidRPr="009C7CBB">
        <w:t>A</w:t>
      </w:r>
      <w:r>
        <w:t>rticle Number: 5</w:t>
      </w:r>
      <w:r>
        <w:rPr>
          <w:kern w:val="0"/>
        </w:rPr>
        <w:t>.</w:t>
      </w:r>
    </w:p>
    <w:p w:rsidR="004E242C" w:rsidRDefault="004E242C" w:rsidP="004E242C">
      <w:pPr>
        <w:pStyle w:val="a3"/>
        <w:rPr>
          <w:kern w:val="0"/>
        </w:rPr>
      </w:pPr>
      <w:r>
        <w:rPr>
          <w:rFonts w:hint="eastAsia"/>
          <w:kern w:val="0"/>
        </w:rPr>
        <w:t>F</w:t>
      </w:r>
      <w:r>
        <w:rPr>
          <w:kern w:val="0"/>
        </w:rPr>
        <w:t>u</w:t>
      </w:r>
      <w:r>
        <w:rPr>
          <w:rFonts w:hint="eastAsia"/>
          <w:kern w:val="0"/>
        </w:rPr>
        <w:t xml:space="preserve">ll Text: </w:t>
      </w:r>
      <w:hyperlink r:id="rId1558" w:history="1">
        <w:r w:rsidRPr="005C6DF0">
          <w:rPr>
            <w:rStyle w:val="a5"/>
            <w:kern w:val="0"/>
          </w:rPr>
          <w:t>2009\BMC Car Dis9, 5.pdf</w:t>
        </w:r>
      </w:hyperlink>
    </w:p>
    <w:p w:rsidR="004E242C" w:rsidRDefault="004E242C" w:rsidP="004E242C">
      <w:pPr>
        <w:pStyle w:val="a3"/>
        <w:rPr>
          <w:kern w:val="0"/>
        </w:rPr>
      </w:pPr>
      <w:r>
        <w:rPr>
          <w:kern w:val="0"/>
        </w:rPr>
        <w:t>Abstract: Background: Studies have demonstrated that</w:t>
      </w:r>
      <w:r w:rsidR="003A1917">
        <w:rPr>
          <w:kern w:val="0"/>
        </w:rPr>
        <w:t xml:space="preserve"> the </w:t>
      </w:r>
      <w:r>
        <w:rPr>
          <w:kern w:val="0"/>
        </w:rPr>
        <w:t>use</w:t>
      </w:r>
      <w:r w:rsidR="00427468">
        <w:rPr>
          <w:kern w:val="0"/>
        </w:rPr>
        <w:t xml:space="preserve"> of </w:t>
      </w:r>
      <w:r>
        <w:rPr>
          <w:kern w:val="0"/>
        </w:rPr>
        <w:t>implantable cardioverter defibrillators (ICDs) is effective for</w:t>
      </w:r>
      <w:r w:rsidR="003A1917">
        <w:rPr>
          <w:kern w:val="0"/>
        </w:rPr>
        <w:t xml:space="preserve"> the </w:t>
      </w:r>
      <w:r>
        <w:rPr>
          <w:kern w:val="0"/>
        </w:rPr>
        <w:t>primary prevention</w:t>
      </w:r>
      <w:r w:rsidR="00427468">
        <w:rPr>
          <w:kern w:val="0"/>
        </w:rPr>
        <w:t xml:space="preserve"> of </w:t>
      </w:r>
      <w:r>
        <w:rPr>
          <w:kern w:val="0"/>
        </w:rPr>
        <w:t>arrhythmic events but due to imposing costs, there remains a need to identify which patients will derive</w:t>
      </w:r>
      <w:r w:rsidR="003A1917">
        <w:rPr>
          <w:kern w:val="0"/>
        </w:rPr>
        <w:t xml:space="preserve"> the </w:t>
      </w:r>
      <w:r>
        <w:rPr>
          <w:kern w:val="0"/>
        </w:rPr>
        <w:t>greatest benefit. Microvolt T-wave alternans (MTWA) has been proposed to assist in this stratification. Methods: We systematically searched</w:t>
      </w:r>
      <w:r w:rsidR="003A1917">
        <w:rPr>
          <w:kern w:val="0"/>
        </w:rPr>
        <w:t xml:space="preserve"> the </w:t>
      </w:r>
      <w:r>
        <w:rPr>
          <w:kern w:val="0"/>
        </w:rPr>
        <w:t xml:space="preserve">literature using </w:t>
      </w:r>
      <w:r w:rsidR="00D5664A">
        <w:rPr>
          <w:kern w:val="0"/>
        </w:rPr>
        <w:t>MEDLINE</w:t>
      </w:r>
      <w:r>
        <w:rPr>
          <w:kern w:val="0"/>
        </w:rPr>
        <w:t>, EMBASE, Current Contents,</w:t>
      </w:r>
      <w:r w:rsidR="003A1917">
        <w:rPr>
          <w:kern w:val="0"/>
        </w:rPr>
        <w:t xml:space="preserve"> the </w:t>
      </w:r>
      <w:r>
        <w:rPr>
          <w:kern w:val="0"/>
        </w:rPr>
        <w:t>Cochrane Library, INAHTA,</w:t>
      </w:r>
      <w:r w:rsidR="005853A9">
        <w:rPr>
          <w:kern w:val="0"/>
        </w:rPr>
        <w:t xml:space="preserve"> and </w:t>
      </w:r>
      <w:r w:rsidR="003A1917">
        <w:rPr>
          <w:kern w:val="0"/>
        </w:rPr>
        <w:t xml:space="preserve">the </w:t>
      </w:r>
      <w:r w:rsidR="00D5664A">
        <w:rPr>
          <w:kern w:val="0"/>
        </w:rPr>
        <w:t>Web</w:t>
      </w:r>
      <w:r w:rsidR="00427468">
        <w:rPr>
          <w:kern w:val="0"/>
        </w:rPr>
        <w:t xml:space="preserve"> of </w:t>
      </w:r>
      <w:r w:rsidR="00D5664A">
        <w:rPr>
          <w:kern w:val="0"/>
        </w:rPr>
        <w:t>Science</w:t>
      </w:r>
      <w:r>
        <w:rPr>
          <w:kern w:val="0"/>
        </w:rPr>
        <w:t xml:space="preserve"> to identify all primary prevention randomized controlled trials</w:t>
      </w:r>
      <w:r w:rsidR="005853A9">
        <w:rPr>
          <w:kern w:val="0"/>
        </w:rPr>
        <w:t xml:space="preserve"> and </w:t>
      </w:r>
      <w:r>
        <w:rPr>
          <w:kern w:val="0"/>
        </w:rPr>
        <w:t>prospective cohort studies with at least 12 months</w:t>
      </w:r>
      <w:r w:rsidR="00427468">
        <w:rPr>
          <w:kern w:val="0"/>
        </w:rPr>
        <w:t xml:space="preserve"> of </w:t>
      </w:r>
      <w:r>
        <w:rPr>
          <w:kern w:val="0"/>
        </w:rPr>
        <w:t>follow-up examining MTWA as a predictor</w:t>
      </w:r>
      <w:r w:rsidR="00427468">
        <w:rPr>
          <w:kern w:val="0"/>
        </w:rPr>
        <w:t xml:space="preserve"> of </w:t>
      </w:r>
      <w:r>
        <w:rPr>
          <w:kern w:val="0"/>
        </w:rPr>
        <w:t>mortality</w:t>
      </w:r>
      <w:r w:rsidR="005853A9">
        <w:rPr>
          <w:kern w:val="0"/>
        </w:rPr>
        <w:t xml:space="preserve"> and </w:t>
      </w:r>
      <w:r>
        <w:rPr>
          <w:kern w:val="0"/>
        </w:rPr>
        <w:t>severe arrhythmic events in patients with severe left-ventricular dysfunction</w:t>
      </w:r>
      <w:r w:rsidR="00A37C1D">
        <w:rPr>
          <w:kern w:val="0"/>
        </w:rPr>
        <w:t>. The</w:t>
      </w:r>
      <w:r w:rsidR="003A1917">
        <w:rPr>
          <w:kern w:val="0"/>
        </w:rPr>
        <w:t xml:space="preserve"> </w:t>
      </w:r>
      <w:r>
        <w:rPr>
          <w:kern w:val="0"/>
        </w:rPr>
        <w:t>search was limited to full-text English publications between January 1990</w:t>
      </w:r>
      <w:r w:rsidR="005853A9">
        <w:rPr>
          <w:kern w:val="0"/>
        </w:rPr>
        <w:t xml:space="preserve"> and </w:t>
      </w:r>
      <w:r>
        <w:rPr>
          <w:kern w:val="0"/>
        </w:rPr>
        <w:t>May 2007</w:t>
      </w:r>
      <w:r w:rsidR="00A37C1D">
        <w:rPr>
          <w:kern w:val="0"/>
        </w:rPr>
        <w:t>. The</w:t>
      </w:r>
      <w:r w:rsidR="003A1917">
        <w:rPr>
          <w:kern w:val="0"/>
        </w:rPr>
        <w:t xml:space="preserve"> </w:t>
      </w:r>
      <w:r>
        <w:rPr>
          <w:kern w:val="0"/>
        </w:rPr>
        <w:t>primary outcome was a composite</w:t>
      </w:r>
      <w:r w:rsidR="00427468">
        <w:rPr>
          <w:kern w:val="0"/>
        </w:rPr>
        <w:t xml:space="preserve"> of </w:t>
      </w:r>
      <w:r>
        <w:rPr>
          <w:kern w:val="0"/>
        </w:rPr>
        <w:t>mortality</w:t>
      </w:r>
      <w:r w:rsidR="005853A9">
        <w:rPr>
          <w:kern w:val="0"/>
        </w:rPr>
        <w:t xml:space="preserve"> and </w:t>
      </w:r>
      <w:r>
        <w:rPr>
          <w:kern w:val="0"/>
        </w:rPr>
        <w:t>severe arrhythmias. Data were synthesized using Bayesian hierarchical models. Results: We identified no trials</w:t>
      </w:r>
      <w:r w:rsidR="005853A9">
        <w:rPr>
          <w:kern w:val="0"/>
        </w:rPr>
        <w:t xml:space="preserve"> and </w:t>
      </w:r>
      <w:r>
        <w:rPr>
          <w:kern w:val="0"/>
        </w:rPr>
        <w:t>8 published cohort studies involving a total</w:t>
      </w:r>
      <w:r w:rsidR="00427468">
        <w:rPr>
          <w:kern w:val="0"/>
        </w:rPr>
        <w:t xml:space="preserve"> of </w:t>
      </w:r>
      <w:r>
        <w:rPr>
          <w:kern w:val="0"/>
        </w:rPr>
        <w:t>1,946 patients, including 332 positive, 656 negative, 84 indeterminate,</w:t>
      </w:r>
      <w:r w:rsidR="005853A9">
        <w:rPr>
          <w:kern w:val="0"/>
        </w:rPr>
        <w:t xml:space="preserve"> and </w:t>
      </w:r>
      <w:r>
        <w:rPr>
          <w:kern w:val="0"/>
        </w:rPr>
        <w:t>874 non-negative (which includes both positive</w:t>
      </w:r>
      <w:r w:rsidR="005853A9">
        <w:rPr>
          <w:kern w:val="0"/>
        </w:rPr>
        <w:t xml:space="preserve"> and </w:t>
      </w:r>
      <w:r>
        <w:rPr>
          <w:kern w:val="0"/>
        </w:rPr>
        <w:t>indeterminate tests) MTWA test results</w:t>
      </w:r>
      <w:r w:rsidR="00A37C1D">
        <w:rPr>
          <w:kern w:val="0"/>
        </w:rPr>
        <w:t>. The</w:t>
      </w:r>
      <w:r w:rsidR="003A1917">
        <w:rPr>
          <w:kern w:val="0"/>
        </w:rPr>
        <w:t xml:space="preserve"> </w:t>
      </w:r>
      <w:r>
        <w:rPr>
          <w:kern w:val="0"/>
        </w:rPr>
        <w:t>risk</w:t>
      </w:r>
      <w:r w:rsidR="00427468">
        <w:rPr>
          <w:kern w:val="0"/>
        </w:rPr>
        <w:t xml:space="preserve"> of </w:t>
      </w:r>
      <w:r>
        <w:rPr>
          <w:kern w:val="0"/>
        </w:rPr>
        <w:t>mortality or severe arrhythmic events was higher in patients with a positive MTWA compared to a negative test (RR = 2.7, 95% credible interval (CrI) = 1.4, 6.1). Similar results were obtained when comparing non-negative MTWA to a negative test. Conclusion: A positive MTWA test predicts mortality or severe arrhythmic events in a population</w:t>
      </w:r>
      <w:r w:rsidR="00427468">
        <w:rPr>
          <w:kern w:val="0"/>
        </w:rPr>
        <w:t xml:space="preserve"> of </w:t>
      </w:r>
      <w:r>
        <w:rPr>
          <w:kern w:val="0"/>
        </w:rPr>
        <w:t xml:space="preserve">individuals with </w:t>
      </w:r>
      <w:r>
        <w:rPr>
          <w:kern w:val="0"/>
        </w:rPr>
        <w:lastRenderedPageBreak/>
        <w:t>severe left ventricular dysfunction. However,</w:t>
      </w:r>
      <w:r w:rsidR="003A1917">
        <w:rPr>
          <w:kern w:val="0"/>
        </w:rPr>
        <w:t xml:space="preserve"> the </w:t>
      </w:r>
      <w:r>
        <w:rPr>
          <w:kern w:val="0"/>
        </w:rPr>
        <w:t>wide credible interval suggests</w:t>
      </w:r>
      <w:r w:rsidR="003A1917">
        <w:rPr>
          <w:kern w:val="0"/>
        </w:rPr>
        <w:t xml:space="preserve"> the </w:t>
      </w:r>
      <w:r>
        <w:rPr>
          <w:kern w:val="0"/>
        </w:rPr>
        <w:t>clinical utility</w:t>
      </w:r>
      <w:r w:rsidR="00427468">
        <w:rPr>
          <w:kern w:val="0"/>
        </w:rPr>
        <w:t xml:space="preserve"> of </w:t>
      </w:r>
      <w:r>
        <w:rPr>
          <w:kern w:val="0"/>
        </w:rPr>
        <w:t>this test remains incompletely defined, ranging from very modest to substantial. Additional high quality studies are required to better refine</w:t>
      </w:r>
      <w:r w:rsidR="003A1917">
        <w:rPr>
          <w:kern w:val="0"/>
        </w:rPr>
        <w:t xml:space="preserve"> the </w:t>
      </w:r>
      <w:r>
        <w:rPr>
          <w:kern w:val="0"/>
        </w:rPr>
        <w:t>role</w:t>
      </w:r>
      <w:r w:rsidR="00427468">
        <w:rPr>
          <w:kern w:val="0"/>
        </w:rPr>
        <w:t xml:space="preserve"> of </w:t>
      </w:r>
      <w:r>
        <w:rPr>
          <w:kern w:val="0"/>
        </w:rPr>
        <w:t>MTWA in</w:t>
      </w:r>
      <w:r w:rsidR="003A1917">
        <w:rPr>
          <w:kern w:val="0"/>
        </w:rPr>
        <w:t xml:space="preserve"> the </w:t>
      </w:r>
      <w:r>
        <w:rPr>
          <w:kern w:val="0"/>
        </w:rPr>
        <w:t>decision making process for ICD implantation.</w:t>
      </w:r>
    </w:p>
    <w:p w:rsidR="004E242C" w:rsidRDefault="004E242C" w:rsidP="004E242C">
      <w:pPr>
        <w:pStyle w:val="a3"/>
        <w:rPr>
          <w:kern w:val="0"/>
        </w:rPr>
      </w:pPr>
      <w:r>
        <w:rPr>
          <w:kern w:val="0"/>
        </w:rPr>
        <w:t xml:space="preserve">Keywords: Clinical Utility, Cochrane, Cohort Studies, Congestive-Heart-Failure, Costs, Decision Making, Decision-Making, Dilated Cardiomyopathy, EMBASE, Events, Follow-up, Implantable Cardioverter-Defibrillator, Literature, </w:t>
      </w:r>
      <w:r w:rsidR="00D5664A">
        <w:rPr>
          <w:kern w:val="0"/>
        </w:rPr>
        <w:t>MEDLINE</w:t>
      </w:r>
      <w:r>
        <w:rPr>
          <w:kern w:val="0"/>
        </w:rPr>
        <w:t xml:space="preserve">, Meta-Analysis, Methods, Mortality, Myocardial-Infarction, Outcome, Prevention, Primary, Primary Prevention, Prognostic Value, Publications, Randomized Controlled Trials, Review, Risk, Risk Stratification, Science, Systematic, Systematic Review, Tachyarrhythmia, Trial, </w:t>
      </w:r>
      <w:r w:rsidR="00D5664A">
        <w:rPr>
          <w:kern w:val="0"/>
        </w:rPr>
        <w:t>Web</w:t>
      </w:r>
      <w:r w:rsidR="00427468">
        <w:rPr>
          <w:kern w:val="0"/>
        </w:rPr>
        <w:t xml:space="preserve"> of </w:t>
      </w:r>
      <w:r w:rsidR="00D5664A">
        <w:rPr>
          <w:kern w:val="0"/>
        </w:rPr>
        <w:t>Science</w:t>
      </w:r>
    </w:p>
    <w:p w:rsidR="00CC71AF" w:rsidRPr="00FC7835" w:rsidRDefault="00CC71AF" w:rsidP="00CC71AF">
      <w:pPr>
        <w:pStyle w:val="1"/>
      </w:pPr>
      <w:r w:rsidRPr="00FC7835">
        <w:rPr>
          <w:b w:val="0"/>
        </w:rPr>
        <w:br w:type="page"/>
      </w:r>
      <w:bookmarkStart w:id="829" w:name="_Toc376873359"/>
      <w:bookmarkStart w:id="830" w:name="_Toc420814753"/>
      <w:r w:rsidRPr="00FC7835">
        <w:lastRenderedPageBreak/>
        <w:t xml:space="preserve">Title: </w:t>
      </w:r>
      <w:r>
        <w:t>BMC Complementary</w:t>
      </w:r>
      <w:r w:rsidR="005853A9">
        <w:t xml:space="preserve"> and </w:t>
      </w:r>
      <w:r>
        <w:t>Alternative Medicine</w:t>
      </w:r>
      <w:bookmarkEnd w:id="829"/>
      <w:bookmarkEnd w:id="830"/>
    </w:p>
    <w:p w:rsidR="00CC71AF" w:rsidRPr="00FC7835" w:rsidRDefault="00CC71AF" w:rsidP="00CC71AF">
      <w:pPr>
        <w:pStyle w:val="12"/>
      </w:pPr>
      <w:r w:rsidRPr="00FC7835">
        <w:t xml:space="preserve">Full Journal Title: </w:t>
      </w:r>
      <w:r>
        <w:t>BMC Complementary</w:t>
      </w:r>
      <w:r w:rsidR="005853A9">
        <w:t xml:space="preserve"> and </w:t>
      </w:r>
      <w:r>
        <w:t>Alternative Medicine</w:t>
      </w:r>
    </w:p>
    <w:p w:rsidR="00CC71AF" w:rsidRPr="00FC7835" w:rsidRDefault="00CC71AF" w:rsidP="00CC71AF">
      <w:pPr>
        <w:pStyle w:val="12"/>
      </w:pPr>
      <w:r w:rsidRPr="00FC7835">
        <w:t xml:space="preserve">ISO Abbreviated Title: </w:t>
      </w:r>
    </w:p>
    <w:p w:rsidR="00CC71AF" w:rsidRPr="00FC7835" w:rsidRDefault="00CC71AF" w:rsidP="00CC71AF">
      <w:pPr>
        <w:pStyle w:val="12"/>
      </w:pPr>
      <w:r w:rsidRPr="00FC7835">
        <w:t xml:space="preserve">JCR Abbreviated Title: </w:t>
      </w:r>
    </w:p>
    <w:p w:rsidR="00CC71AF" w:rsidRPr="00FC7835" w:rsidRDefault="00CC71AF" w:rsidP="00CC71AF">
      <w:pPr>
        <w:pStyle w:val="12"/>
      </w:pPr>
      <w:r w:rsidRPr="00FC7835">
        <w:t xml:space="preserve">ISSN: </w:t>
      </w:r>
    </w:p>
    <w:p w:rsidR="00CC71AF" w:rsidRPr="00FC7835" w:rsidRDefault="00CC71AF" w:rsidP="00CC71AF">
      <w:pPr>
        <w:pStyle w:val="12"/>
      </w:pPr>
      <w:r w:rsidRPr="00FC7835">
        <w:t xml:space="preserve">Issues/Year: </w:t>
      </w:r>
    </w:p>
    <w:p w:rsidR="00CC71AF" w:rsidRPr="00FC7835" w:rsidRDefault="00CC71AF" w:rsidP="00CC71AF">
      <w:pPr>
        <w:pStyle w:val="12"/>
      </w:pPr>
      <w:r w:rsidRPr="00FC7835">
        <w:t xml:space="preserve">Journal Country/Territory: </w:t>
      </w:r>
    </w:p>
    <w:p w:rsidR="00CC71AF" w:rsidRPr="00FC7835" w:rsidRDefault="00CC71AF" w:rsidP="00CC71AF">
      <w:pPr>
        <w:pStyle w:val="12"/>
      </w:pPr>
      <w:r w:rsidRPr="00FC7835">
        <w:t xml:space="preserve">Language: </w:t>
      </w:r>
    </w:p>
    <w:p w:rsidR="00CC71AF" w:rsidRPr="00FC7835" w:rsidRDefault="00CC71AF" w:rsidP="00CC71AF">
      <w:pPr>
        <w:pStyle w:val="12"/>
      </w:pPr>
      <w:r w:rsidRPr="00FC7835">
        <w:t xml:space="preserve">Publisher: </w:t>
      </w:r>
    </w:p>
    <w:p w:rsidR="00CC71AF" w:rsidRPr="00FC7835" w:rsidRDefault="00CC71AF" w:rsidP="00CC71AF">
      <w:pPr>
        <w:pStyle w:val="12"/>
      </w:pPr>
      <w:r w:rsidRPr="00FC7835">
        <w:t xml:space="preserve">Publisher Address: </w:t>
      </w:r>
    </w:p>
    <w:p w:rsidR="00CC71AF" w:rsidRPr="00FC7835" w:rsidRDefault="00CC71AF" w:rsidP="00CC71AF">
      <w:pPr>
        <w:pStyle w:val="12"/>
      </w:pPr>
      <w:r w:rsidRPr="00FC7835">
        <w:t xml:space="preserve">Subject Categories: </w:t>
      </w:r>
    </w:p>
    <w:p w:rsidR="00CC71AF" w:rsidRPr="00FC7835" w:rsidRDefault="00CC71AF" w:rsidP="00CC71AF">
      <w:pPr>
        <w:pStyle w:val="12"/>
      </w:pPr>
      <w:r w:rsidRPr="00FC7835">
        <w:t xml:space="preserve">: Impact Factor </w:t>
      </w:r>
    </w:p>
    <w:p w:rsidR="00CC71AF" w:rsidRDefault="00CC71AF" w:rsidP="00CC71AF">
      <w:pPr>
        <w:pStyle w:val="a3"/>
        <w:rPr>
          <w:kern w:val="0"/>
        </w:rPr>
      </w:pPr>
      <w:r>
        <w:rPr>
          <w:rFonts w:hint="eastAsia"/>
          <w:kern w:val="0"/>
        </w:rPr>
        <w:t xml:space="preserve">? </w:t>
      </w:r>
      <w:r>
        <w:rPr>
          <w:kern w:val="0"/>
        </w:rPr>
        <w:t>Ranasinghe, P., Pigera, S., Premakumara, G.A.S., Galappaththy, P., Constantine, G.R.</w:t>
      </w:r>
      <w:r w:rsidR="005853A9">
        <w:rPr>
          <w:kern w:val="0"/>
        </w:rPr>
        <w:t xml:space="preserve"> and </w:t>
      </w:r>
      <w:r>
        <w:rPr>
          <w:kern w:val="0"/>
        </w:rPr>
        <w:t>Katulanda, P. (2013), Medicinal properties</w:t>
      </w:r>
      <w:r w:rsidR="00427468">
        <w:rPr>
          <w:kern w:val="0"/>
        </w:rPr>
        <w:t xml:space="preserve"> of </w:t>
      </w:r>
      <w:r w:rsidR="00700038">
        <w:rPr>
          <w:kern w:val="0"/>
        </w:rPr>
        <w:t>‘</w:t>
      </w:r>
      <w:r>
        <w:rPr>
          <w:kern w:val="0"/>
        </w:rPr>
        <w:t>true</w:t>
      </w:r>
      <w:r w:rsidR="00700038">
        <w:rPr>
          <w:kern w:val="0"/>
        </w:rPr>
        <w:t>’</w:t>
      </w:r>
      <w:r>
        <w:rPr>
          <w:kern w:val="0"/>
        </w:rPr>
        <w:t xml:space="preserve"> cinnamon (</w:t>
      </w:r>
      <w:r w:rsidRPr="00321BDB">
        <w:rPr>
          <w:i/>
          <w:kern w:val="0"/>
        </w:rPr>
        <w:t>Cinnamomum zeylanicum</w:t>
      </w:r>
      <w:r>
        <w:rPr>
          <w:kern w:val="0"/>
        </w:rPr>
        <w:t xml:space="preserve">): A systematic review. </w:t>
      </w:r>
      <w:r>
        <w:rPr>
          <w:i/>
          <w:iCs/>
          <w:kern w:val="0"/>
        </w:rPr>
        <w:t>BMC Complementary</w:t>
      </w:r>
      <w:r w:rsidR="005853A9">
        <w:rPr>
          <w:i/>
          <w:iCs/>
          <w:kern w:val="0"/>
        </w:rPr>
        <w:t xml:space="preserve"> and </w:t>
      </w:r>
      <w:r>
        <w:rPr>
          <w:i/>
          <w:iCs/>
          <w:kern w:val="0"/>
        </w:rPr>
        <w:t>Alternative Medicine</w:t>
      </w:r>
      <w:r>
        <w:rPr>
          <w:kern w:val="0"/>
        </w:rPr>
        <w:t xml:space="preserve">, </w:t>
      </w:r>
      <w:r>
        <w:rPr>
          <w:b/>
          <w:bCs/>
          <w:kern w:val="0"/>
        </w:rPr>
        <w:t>13</w:t>
      </w:r>
      <w:r>
        <w:rPr>
          <w:rFonts w:hint="eastAsia"/>
          <w:kern w:val="0"/>
        </w:rPr>
        <w:t xml:space="preserve">, </w:t>
      </w:r>
      <w:r w:rsidRPr="00CE78E3">
        <w:rPr>
          <w:kern w:val="0"/>
        </w:rPr>
        <w:t>Article Number: 275</w:t>
      </w:r>
      <w:r>
        <w:rPr>
          <w:rFonts w:hint="eastAsia"/>
          <w:kern w:val="0"/>
        </w:rPr>
        <w:t>.</w:t>
      </w:r>
    </w:p>
    <w:p w:rsidR="00CC71AF" w:rsidRDefault="00CC71AF" w:rsidP="00CC71AF">
      <w:pPr>
        <w:pStyle w:val="a3"/>
      </w:pPr>
      <w:r>
        <w:t>Full Text:</w:t>
      </w:r>
      <w:r w:rsidRPr="00FC7835">
        <w:t xml:space="preserve"> </w:t>
      </w:r>
      <w:r w:rsidRPr="002B410A">
        <w:t>2013\BMC Com Alt Med13, 275.pdf</w:t>
      </w:r>
    </w:p>
    <w:p w:rsidR="00CC71AF" w:rsidRDefault="00CC71AF" w:rsidP="00CC71AF">
      <w:pPr>
        <w:pStyle w:val="a3"/>
        <w:rPr>
          <w:kern w:val="0"/>
        </w:rPr>
      </w:pPr>
      <w:r>
        <w:rPr>
          <w:kern w:val="0"/>
        </w:rPr>
        <w:t>Abstract: Background: In traditional medicine Cinnamon is considered a remedy for respiratory, digestive</w:t>
      </w:r>
      <w:r w:rsidR="005853A9">
        <w:rPr>
          <w:kern w:val="0"/>
        </w:rPr>
        <w:t xml:space="preserve"> and </w:t>
      </w:r>
      <w:r>
        <w:rPr>
          <w:kern w:val="0"/>
        </w:rPr>
        <w:t>gynaecological ailments. In-vitro</w:t>
      </w:r>
      <w:r w:rsidR="005853A9">
        <w:rPr>
          <w:kern w:val="0"/>
        </w:rPr>
        <w:t xml:space="preserve"> and </w:t>
      </w:r>
      <w:r>
        <w:rPr>
          <w:kern w:val="0"/>
        </w:rPr>
        <w:t>in-vivo studies from different parts</w:t>
      </w:r>
      <w:r w:rsidR="00427468">
        <w:rPr>
          <w:kern w:val="0"/>
        </w:rPr>
        <w:t xml:space="preserve"> of </w:t>
      </w:r>
      <w:r>
        <w:rPr>
          <w:kern w:val="0"/>
        </w:rPr>
        <w:t>the world have demonstrated numerous beneficial medicinal effects</w:t>
      </w:r>
      <w:r w:rsidR="00427468">
        <w:rPr>
          <w:kern w:val="0"/>
        </w:rPr>
        <w:t xml:space="preserve"> of </w:t>
      </w:r>
      <w:r>
        <w:rPr>
          <w:kern w:val="0"/>
        </w:rPr>
        <w:t>Cinnamomum zeylanicum (CZ). This paper aims to systematically review the scientific literature</w:t>
      </w:r>
      <w:r w:rsidR="005853A9">
        <w:rPr>
          <w:kern w:val="0"/>
        </w:rPr>
        <w:t xml:space="preserve"> and </w:t>
      </w:r>
      <w:r>
        <w:rPr>
          <w:kern w:val="0"/>
        </w:rPr>
        <w:t>provide a comprehensive summary on the potential medicinal benefits</w:t>
      </w:r>
      <w:r w:rsidR="00427468">
        <w:rPr>
          <w:kern w:val="0"/>
        </w:rPr>
        <w:t xml:space="preserve"> of </w:t>
      </w:r>
      <w:r>
        <w:rPr>
          <w:kern w:val="0"/>
        </w:rPr>
        <w:t>CZ. Methods: A comprehensive systematic review was conducted in the following databases; PubMed, Web</w:t>
      </w:r>
      <w:r w:rsidR="00427468">
        <w:rPr>
          <w:kern w:val="0"/>
        </w:rPr>
        <w:t xml:space="preserve"> of </w:t>
      </w:r>
      <w:r>
        <w:rPr>
          <w:kern w:val="0"/>
        </w:rPr>
        <w:t>Science, SciVerse Scopus for studies published before 31st December 2012</w:t>
      </w:r>
      <w:r w:rsidR="00A37C1D">
        <w:rPr>
          <w:kern w:val="0"/>
        </w:rPr>
        <w:t>. The</w:t>
      </w:r>
      <w:r>
        <w:rPr>
          <w:kern w:val="0"/>
        </w:rPr>
        <w:t xml:space="preserve"> following keywords were used: “Cinnamomum zeylanicum”, “Ceylon cinnamon”, “True cinnamon”</w:t>
      </w:r>
      <w:r w:rsidR="005853A9">
        <w:rPr>
          <w:kern w:val="0"/>
        </w:rPr>
        <w:t xml:space="preserve"> and </w:t>
      </w:r>
      <w:r>
        <w:rPr>
          <w:kern w:val="0"/>
        </w:rPr>
        <w:t>“Sri Lankan cinnamon”. To obtain additional data a manual search was performed using the reference lists</w:t>
      </w:r>
      <w:r w:rsidR="00427468">
        <w:rPr>
          <w:kern w:val="0"/>
        </w:rPr>
        <w:t xml:space="preserve"> of </w:t>
      </w:r>
      <w:r>
        <w:rPr>
          <w:kern w:val="0"/>
        </w:rPr>
        <w:t>included articles. Results: The literature search identified the following number</w:t>
      </w:r>
      <w:r w:rsidR="00427468">
        <w:rPr>
          <w:kern w:val="0"/>
        </w:rPr>
        <w:t xml:space="preserve"> of </w:t>
      </w:r>
      <w:r>
        <w:rPr>
          <w:kern w:val="0"/>
        </w:rPr>
        <w:t>articles in the respective databases; PubMed=54, Web</w:t>
      </w:r>
      <w:r w:rsidR="00427468">
        <w:rPr>
          <w:kern w:val="0"/>
        </w:rPr>
        <w:t xml:space="preserve"> of </w:t>
      </w:r>
      <w:r>
        <w:rPr>
          <w:kern w:val="0"/>
        </w:rPr>
        <w:t>Science=76</w:t>
      </w:r>
      <w:r w:rsidR="005853A9">
        <w:rPr>
          <w:kern w:val="0"/>
        </w:rPr>
        <w:t xml:space="preserve"> and </w:t>
      </w:r>
      <w:r>
        <w:rPr>
          <w:kern w:val="0"/>
        </w:rPr>
        <w:t>SciVerse Scopus=591. Thirteen additional articles were identified by searching reference lists. After removing duplicates the total number</w:t>
      </w:r>
      <w:r w:rsidR="00427468">
        <w:rPr>
          <w:kern w:val="0"/>
        </w:rPr>
        <w:t xml:space="preserve"> of </w:t>
      </w:r>
      <w:r>
        <w:rPr>
          <w:kern w:val="0"/>
        </w:rPr>
        <w:t>articles included in the present review is 70</w:t>
      </w:r>
      <w:r w:rsidR="00A37C1D">
        <w:rPr>
          <w:kern w:val="0"/>
        </w:rPr>
        <w:t>. The</w:t>
      </w:r>
      <w:r>
        <w:rPr>
          <w:kern w:val="0"/>
        </w:rPr>
        <w:t xml:space="preserve"> beneficial health effects</w:t>
      </w:r>
      <w:r w:rsidR="00427468">
        <w:rPr>
          <w:kern w:val="0"/>
        </w:rPr>
        <w:t xml:space="preserve"> of </w:t>
      </w:r>
      <w:r>
        <w:rPr>
          <w:kern w:val="0"/>
        </w:rPr>
        <w:t>CZ identified were; a) anti-microbial</w:t>
      </w:r>
      <w:r w:rsidR="005853A9">
        <w:rPr>
          <w:kern w:val="0"/>
        </w:rPr>
        <w:t xml:space="preserve"> and </w:t>
      </w:r>
      <w:r>
        <w:rPr>
          <w:kern w:val="0"/>
        </w:rPr>
        <w:t>anti-parasitic activity, b) lowering</w:t>
      </w:r>
      <w:r w:rsidR="00427468">
        <w:rPr>
          <w:kern w:val="0"/>
        </w:rPr>
        <w:t xml:space="preserve"> of </w:t>
      </w:r>
      <w:r>
        <w:rPr>
          <w:kern w:val="0"/>
        </w:rPr>
        <w:t>blood glucose, blood pressure</w:t>
      </w:r>
      <w:r w:rsidR="005853A9">
        <w:rPr>
          <w:kern w:val="0"/>
        </w:rPr>
        <w:t xml:space="preserve"> and </w:t>
      </w:r>
      <w:r>
        <w:rPr>
          <w:kern w:val="0"/>
        </w:rPr>
        <w:t>serum cholesterol, c) anti-oxidant</w:t>
      </w:r>
      <w:r w:rsidR="005853A9">
        <w:rPr>
          <w:kern w:val="0"/>
        </w:rPr>
        <w:t xml:space="preserve"> and </w:t>
      </w:r>
      <w:r>
        <w:rPr>
          <w:kern w:val="0"/>
        </w:rPr>
        <w:t>free-radical scavenging properties, d) inhibition</w:t>
      </w:r>
      <w:r w:rsidR="00427468">
        <w:rPr>
          <w:kern w:val="0"/>
        </w:rPr>
        <w:t xml:space="preserve"> of </w:t>
      </w:r>
      <w:r>
        <w:rPr>
          <w:kern w:val="0"/>
        </w:rPr>
        <w:t>tau aggregation</w:t>
      </w:r>
      <w:r w:rsidR="005853A9">
        <w:rPr>
          <w:kern w:val="0"/>
        </w:rPr>
        <w:t xml:space="preserve"> and </w:t>
      </w:r>
      <w:r>
        <w:rPr>
          <w:kern w:val="0"/>
        </w:rPr>
        <w:t>filament formation (hallmarks</w:t>
      </w:r>
      <w:r w:rsidR="00427468">
        <w:rPr>
          <w:kern w:val="0"/>
        </w:rPr>
        <w:t xml:space="preserve"> of </w:t>
      </w:r>
      <w:r>
        <w:rPr>
          <w:kern w:val="0"/>
        </w:rPr>
        <w:t>Alzheimer</w:t>
      </w:r>
      <w:r w:rsidR="00700038">
        <w:rPr>
          <w:kern w:val="0"/>
        </w:rPr>
        <w:t>’</w:t>
      </w:r>
      <w:r>
        <w:rPr>
          <w:kern w:val="0"/>
        </w:rPr>
        <w:t>s disease), e) inhibitory effects on osteoclastogenesis, f) anti-secretagogue</w:t>
      </w:r>
      <w:r w:rsidR="005853A9">
        <w:rPr>
          <w:kern w:val="0"/>
        </w:rPr>
        <w:t xml:space="preserve"> and </w:t>
      </w:r>
      <w:r>
        <w:rPr>
          <w:kern w:val="0"/>
        </w:rPr>
        <w:t>anti-gastric ulcer effects, g) anti-nociceptive</w:t>
      </w:r>
      <w:r w:rsidR="005853A9">
        <w:rPr>
          <w:kern w:val="0"/>
        </w:rPr>
        <w:t xml:space="preserve"> and </w:t>
      </w:r>
      <w:r>
        <w:rPr>
          <w:kern w:val="0"/>
        </w:rPr>
        <w:t xml:space="preserve">anti-inflammatory activity, h) </w:t>
      </w:r>
      <w:r>
        <w:rPr>
          <w:kern w:val="0"/>
        </w:rPr>
        <w:lastRenderedPageBreak/>
        <w:t>wound healing properties</w:t>
      </w:r>
      <w:r w:rsidR="005853A9">
        <w:rPr>
          <w:kern w:val="0"/>
        </w:rPr>
        <w:t xml:space="preserve"> and </w:t>
      </w:r>
      <w:r>
        <w:rPr>
          <w:kern w:val="0"/>
        </w:rPr>
        <w:t>i) hepato-protective effects</w:t>
      </w:r>
      <w:r w:rsidR="00A37C1D">
        <w:rPr>
          <w:kern w:val="0"/>
        </w:rPr>
        <w:t>. The</w:t>
      </w:r>
      <w:r>
        <w:rPr>
          <w:kern w:val="0"/>
        </w:rPr>
        <w:t xml:space="preserve"> studies reported minimal toxic</w:t>
      </w:r>
      <w:r w:rsidR="005853A9">
        <w:rPr>
          <w:kern w:val="0"/>
        </w:rPr>
        <w:t xml:space="preserve"> and </w:t>
      </w:r>
      <w:r>
        <w:rPr>
          <w:kern w:val="0"/>
        </w:rPr>
        <w:t>adverse effects. Conclusions: The available in-vitro</w:t>
      </w:r>
      <w:r w:rsidR="005853A9">
        <w:rPr>
          <w:kern w:val="0"/>
        </w:rPr>
        <w:t xml:space="preserve"> and </w:t>
      </w:r>
      <w:r>
        <w:rPr>
          <w:kern w:val="0"/>
        </w:rPr>
        <w:t>in-vivo evidence suggests that CZ has many beneficial health effects. However, since data on humans are sparse, randomized controlled trials in humans will be necessary to determine whether these effects have public health implications.</w:t>
      </w:r>
    </w:p>
    <w:p w:rsidR="00CC71AF" w:rsidRDefault="00CC71AF" w:rsidP="00CC71AF">
      <w:pPr>
        <w:pStyle w:val="a3"/>
        <w:rPr>
          <w:kern w:val="0"/>
        </w:rPr>
      </w:pPr>
      <w:r>
        <w:rPr>
          <w:kern w:val="0"/>
        </w:rPr>
        <w:t>Keywords: Activity, Adverse Effects, Aggregation, Alzheimer</w:t>
      </w:r>
      <w:r w:rsidR="00700038">
        <w:rPr>
          <w:kern w:val="0"/>
        </w:rPr>
        <w:t>’</w:t>
      </w:r>
      <w:r>
        <w:rPr>
          <w:kern w:val="0"/>
        </w:rPr>
        <w:t>S Disease, Antibacterial Activity, Antimicrobial, Antimicrobial Activity, Antioxidant, Antioxidant Activities, Bark Extract, Benefits, Blood, Blood Glucose, Blood Pressure, Ceylon Cinnamon, Cholesterol, Cinnamomum Zeylanicum, Data, Databases, Diabetes-Mellitus, Disease, Effects, Essential Oils, Ethanolic Extract, Evidence, Free Radical, Fruit Extracts, Glucose, Healing, Health, Health Benefits, Humans, In Vitro, In-Vitro Activity, Inhibition, Literature, Literature Search, Medicinal Properties, Medicine, Methods, Osteoclastogenesis, Plants, Potential, Pressure, Properties, Public, Public Health, Pubmed, Randomized, Randomized Controlled Trials, Reference, Reference Lists, Results, Review, Science, Scientific Literature, Scopus, Serum, Systematic Review, Tau, Toxic, Traditional Medicine, True Cinnamon, Web</w:t>
      </w:r>
      <w:r w:rsidR="00427468">
        <w:rPr>
          <w:kern w:val="0"/>
        </w:rPr>
        <w:t xml:space="preserve"> of </w:t>
      </w:r>
      <w:r>
        <w:rPr>
          <w:kern w:val="0"/>
        </w:rPr>
        <w:t>Science, World, Wound, Wound Healing</w:t>
      </w:r>
    </w:p>
    <w:p w:rsidR="002B410A" w:rsidRDefault="00FC4053" w:rsidP="002B410A">
      <w:pPr>
        <w:pStyle w:val="a3"/>
        <w:rPr>
          <w:kern w:val="0"/>
        </w:rPr>
      </w:pPr>
      <w:r>
        <w:rPr>
          <w:rFonts w:hint="eastAsia"/>
          <w:kern w:val="0"/>
        </w:rPr>
        <w:t xml:space="preserve">? </w:t>
      </w:r>
      <w:r>
        <w:rPr>
          <w:kern w:val="0"/>
        </w:rPr>
        <w:t>Chen, H.Y., Li, S.G., Cho, W.C.S.</w:t>
      </w:r>
      <w:r w:rsidR="005853A9">
        <w:rPr>
          <w:kern w:val="0"/>
        </w:rPr>
        <w:t xml:space="preserve"> and </w:t>
      </w:r>
      <w:r>
        <w:rPr>
          <w:kern w:val="0"/>
        </w:rPr>
        <w:t>Zhang, Z.J. (2013), The role</w:t>
      </w:r>
      <w:r w:rsidR="00427468">
        <w:rPr>
          <w:kern w:val="0"/>
        </w:rPr>
        <w:t xml:space="preserve"> of </w:t>
      </w:r>
      <w:r>
        <w:rPr>
          <w:kern w:val="0"/>
        </w:rPr>
        <w:t>acupoint stimulation as an adjunct therapy for lung cancer: A systematic review</w:t>
      </w:r>
      <w:r w:rsidR="005853A9">
        <w:rPr>
          <w:kern w:val="0"/>
        </w:rPr>
        <w:t xml:space="preserve"> and </w:t>
      </w:r>
      <w:r>
        <w:rPr>
          <w:kern w:val="0"/>
        </w:rPr>
        <w:t xml:space="preserve">meta-analysis. </w:t>
      </w:r>
      <w:r>
        <w:rPr>
          <w:i/>
          <w:iCs/>
          <w:kern w:val="0"/>
        </w:rPr>
        <w:t>BMC Complementary</w:t>
      </w:r>
      <w:r w:rsidR="005853A9">
        <w:rPr>
          <w:i/>
          <w:iCs/>
          <w:kern w:val="0"/>
        </w:rPr>
        <w:t xml:space="preserve"> and </w:t>
      </w:r>
      <w:r>
        <w:rPr>
          <w:i/>
          <w:iCs/>
          <w:kern w:val="0"/>
        </w:rPr>
        <w:t>Alternative Medicine</w:t>
      </w:r>
      <w:r>
        <w:rPr>
          <w:kern w:val="0"/>
        </w:rPr>
        <w:t xml:space="preserve">, </w:t>
      </w:r>
      <w:r>
        <w:rPr>
          <w:b/>
          <w:bCs/>
          <w:kern w:val="0"/>
        </w:rPr>
        <w:t>13</w:t>
      </w:r>
      <w:r w:rsidR="002B410A">
        <w:rPr>
          <w:rFonts w:hint="eastAsia"/>
          <w:kern w:val="0"/>
        </w:rPr>
        <w:t>,</w:t>
      </w:r>
      <w:r w:rsidR="002B410A" w:rsidRPr="002B410A">
        <w:rPr>
          <w:kern w:val="0"/>
        </w:rPr>
        <w:t xml:space="preserve"> </w:t>
      </w:r>
      <w:r w:rsidR="002B410A" w:rsidRPr="00CE78E3">
        <w:rPr>
          <w:kern w:val="0"/>
        </w:rPr>
        <w:t xml:space="preserve">Article Number: </w:t>
      </w:r>
      <w:r w:rsidR="002B410A">
        <w:rPr>
          <w:rFonts w:hint="eastAsia"/>
          <w:kern w:val="0"/>
        </w:rPr>
        <w:t>362.</w:t>
      </w:r>
    </w:p>
    <w:p w:rsidR="00FC4053" w:rsidRDefault="00FC4053" w:rsidP="00FC4053">
      <w:pPr>
        <w:pStyle w:val="a3"/>
      </w:pPr>
      <w:r>
        <w:t>Full Text:</w:t>
      </w:r>
      <w:r w:rsidRPr="00FC7835">
        <w:t xml:space="preserve"> </w:t>
      </w:r>
      <w:hyperlink r:id="rId1559" w:history="1">
        <w:r w:rsidR="002B410A" w:rsidRPr="002B410A">
          <w:rPr>
            <w:rStyle w:val="a5"/>
          </w:rPr>
          <w:t>2013\BMC Com Alt Med13, 362.pdf</w:t>
        </w:r>
      </w:hyperlink>
    </w:p>
    <w:p w:rsidR="00FC4053" w:rsidRDefault="00FC4053" w:rsidP="00FC4053">
      <w:pPr>
        <w:pStyle w:val="a3"/>
        <w:rPr>
          <w:kern w:val="0"/>
        </w:rPr>
      </w:pPr>
      <w:r>
        <w:rPr>
          <w:kern w:val="0"/>
        </w:rPr>
        <w:t>Abstract: Background: Lung cancer is the leading cause</w:t>
      </w:r>
      <w:r w:rsidR="00427468">
        <w:rPr>
          <w:kern w:val="0"/>
        </w:rPr>
        <w:t xml:space="preserve"> of </w:t>
      </w:r>
      <w:r>
        <w:rPr>
          <w:kern w:val="0"/>
        </w:rPr>
        <w:t>death in cancer patients. Clinical studies showed that a variety</w:t>
      </w:r>
      <w:r w:rsidR="00427468">
        <w:rPr>
          <w:kern w:val="0"/>
        </w:rPr>
        <w:t xml:space="preserve"> of </w:t>
      </w:r>
      <w:r>
        <w:rPr>
          <w:kern w:val="0"/>
        </w:rPr>
        <w:t>acupoint stimulations have been extensively used for lung cancer patients, including needle insertion, injection with herbal extraction, plaster application,</w:t>
      </w:r>
      <w:r w:rsidR="005853A9">
        <w:rPr>
          <w:kern w:val="0"/>
        </w:rPr>
        <w:t xml:space="preserve"> and </w:t>
      </w:r>
      <w:r>
        <w:rPr>
          <w:kern w:val="0"/>
        </w:rPr>
        <w:t>moxibustion. However, the role</w:t>
      </w:r>
      <w:r w:rsidR="00427468">
        <w:rPr>
          <w:kern w:val="0"/>
        </w:rPr>
        <w:t xml:space="preserve"> of </w:t>
      </w:r>
      <w:r>
        <w:rPr>
          <w:kern w:val="0"/>
        </w:rPr>
        <w:t>acupoint stimulation in lung cancer treatment was not fully reviewed. Methods: in the present study, we conducted a systematic review</w:t>
      </w:r>
      <w:r w:rsidR="005853A9">
        <w:rPr>
          <w:kern w:val="0"/>
        </w:rPr>
        <w:t xml:space="preserve"> and </w:t>
      </w:r>
      <w:r>
        <w:rPr>
          <w:kern w:val="0"/>
        </w:rPr>
        <w:t>meta-analysis on the role</w:t>
      </w:r>
      <w:r w:rsidR="00427468">
        <w:rPr>
          <w:kern w:val="0"/>
        </w:rPr>
        <w:t xml:space="preserve"> of </w:t>
      </w:r>
      <w:r>
        <w:rPr>
          <w:kern w:val="0"/>
        </w:rPr>
        <w:t>acupoint stimulation in lung cancer treatment by electronic</w:t>
      </w:r>
      <w:r w:rsidR="005853A9">
        <w:rPr>
          <w:kern w:val="0"/>
        </w:rPr>
        <w:t xml:space="preserve"> and </w:t>
      </w:r>
      <w:r>
        <w:rPr>
          <w:kern w:val="0"/>
        </w:rPr>
        <w:t>manual searching in seven databases, including Ovid (Ovid MEDLINE, AMED, CAB Abstracts, EMBASE), EBSCOhost research databases (Academic Search premier, MEDLINE, CIHAHL Plus), PreQuest (British Nursing Index, ProQuest Medical Library, ProQuest Dissertations &amp; Theses A&amp;I, PsycINFO),</w:t>
      </w:r>
      <w:r w:rsidR="005853A9">
        <w:rPr>
          <w:kern w:val="0"/>
        </w:rPr>
        <w:t xml:space="preserve"> and </w:t>
      </w:r>
      <w:r>
        <w:rPr>
          <w:kern w:val="0"/>
        </w:rPr>
        <w:t>ISI web</w:t>
      </w:r>
      <w:r w:rsidR="00427468">
        <w:rPr>
          <w:kern w:val="0"/>
        </w:rPr>
        <w:t xml:space="preserve"> of </w:t>
      </w:r>
      <w:r>
        <w:rPr>
          <w:kern w:val="0"/>
        </w:rPr>
        <w:t>knowledge (Web</w:t>
      </w:r>
      <w:r w:rsidR="00427468">
        <w:rPr>
          <w:kern w:val="0"/>
        </w:rPr>
        <w:t xml:space="preserve"> of </w:t>
      </w:r>
      <w:r>
        <w:rPr>
          <w:kern w:val="0"/>
        </w:rPr>
        <w:t>Science, BIOSIS Citation Index, Biological Abstracts, Chinese Science Citation Database), CNKI, Wanfang Data,</w:t>
      </w:r>
      <w:r w:rsidR="005853A9">
        <w:rPr>
          <w:kern w:val="0"/>
        </w:rPr>
        <w:t xml:space="preserve"> and </w:t>
      </w:r>
      <w:r>
        <w:rPr>
          <w:kern w:val="0"/>
        </w:rPr>
        <w:t>CQVIP. Results: Our study showed that acupoint stimulation has strong immunomodulatory effect for lung cancer patients as demonstrated by the significant increase</w:t>
      </w:r>
      <w:r w:rsidR="00427468">
        <w:rPr>
          <w:kern w:val="0"/>
        </w:rPr>
        <w:t xml:space="preserve"> of </w:t>
      </w:r>
      <w:r>
        <w:rPr>
          <w:kern w:val="0"/>
        </w:rPr>
        <w:t>IL-2, T cell subtypes (CD3+</w:t>
      </w:r>
      <w:r w:rsidR="005853A9">
        <w:rPr>
          <w:kern w:val="0"/>
        </w:rPr>
        <w:t xml:space="preserve"> and </w:t>
      </w:r>
      <w:r>
        <w:rPr>
          <w:kern w:val="0"/>
        </w:rPr>
        <w:t>CD4+, but not CD8+ cells),</w:t>
      </w:r>
      <w:r w:rsidR="005853A9">
        <w:rPr>
          <w:kern w:val="0"/>
        </w:rPr>
        <w:t xml:space="preserve"> and </w:t>
      </w:r>
      <w:r>
        <w:rPr>
          <w:kern w:val="0"/>
        </w:rPr>
        <w:t xml:space="preserve">natural killer cells. Further analysis revealed that acupoint stimulation remarkably alleviates the conventional therapy-induced bone marrow </w:t>
      </w:r>
      <w:r>
        <w:rPr>
          <w:kern w:val="0"/>
        </w:rPr>
        <w:lastRenderedPageBreak/>
        <w:t>suppression (hemoglobin, platelet,</w:t>
      </w:r>
      <w:r w:rsidR="005853A9">
        <w:rPr>
          <w:kern w:val="0"/>
        </w:rPr>
        <w:t xml:space="preserve"> and </w:t>
      </w:r>
      <w:r>
        <w:rPr>
          <w:kern w:val="0"/>
        </w:rPr>
        <w:t>WBC reduction) in lung cancer patients, as well as decreases nausea</w:t>
      </w:r>
      <w:r w:rsidR="005853A9">
        <w:rPr>
          <w:kern w:val="0"/>
        </w:rPr>
        <w:t xml:space="preserve"> and </w:t>
      </w:r>
      <w:r>
        <w:rPr>
          <w:kern w:val="0"/>
        </w:rPr>
        <w:t>vomiting</w:t>
      </w:r>
      <w:r w:rsidR="00A37C1D">
        <w:rPr>
          <w:kern w:val="0"/>
        </w:rPr>
        <w:t>. The</w:t>
      </w:r>
      <w:r>
        <w:rPr>
          <w:kern w:val="0"/>
        </w:rPr>
        <w:t xml:space="preserve"> pooled studies also showed that acupoint stimulation can improve Karnofsky performance status, immediate tumor response, quality</w:t>
      </w:r>
      <w:r w:rsidR="00427468">
        <w:rPr>
          <w:kern w:val="0"/>
        </w:rPr>
        <w:t xml:space="preserve"> of </w:t>
      </w:r>
      <w:r>
        <w:rPr>
          <w:kern w:val="0"/>
        </w:rPr>
        <w:t>life (EORCT-QLQ-C30),</w:t>
      </w:r>
      <w:r w:rsidR="005853A9">
        <w:rPr>
          <w:kern w:val="0"/>
        </w:rPr>
        <w:t xml:space="preserve"> and </w:t>
      </w:r>
      <w:r>
        <w:rPr>
          <w:kern w:val="0"/>
        </w:rPr>
        <w:t>pain control</w:t>
      </w:r>
      <w:r w:rsidR="00427468">
        <w:rPr>
          <w:kern w:val="0"/>
        </w:rPr>
        <w:t xml:space="preserve"> of </w:t>
      </w:r>
      <w:r>
        <w:rPr>
          <w:kern w:val="0"/>
        </w:rPr>
        <w:t>cancer patients. Conclusions: Acupoint stimulation is found to be effective in lung cancer treatment, further confirmatory evaluation via large scale randomized trials is warranted.</w:t>
      </w:r>
    </w:p>
    <w:p w:rsidR="00FC4053" w:rsidRDefault="00FC4053" w:rsidP="00FC4053">
      <w:pPr>
        <w:pStyle w:val="a3"/>
        <w:rPr>
          <w:kern w:val="0"/>
        </w:rPr>
      </w:pPr>
      <w:r>
        <w:rPr>
          <w:kern w:val="0"/>
        </w:rPr>
        <w:t>Keywords: Academic, Acupoint, Acupuncture, Acupuncture Treatment, Alternative Medicine, Analysis, Application, Bone, Bone Marrow, Cab, Cancer, Cancer Treatment, Carcinoma, Cause</w:t>
      </w:r>
      <w:r w:rsidR="00427468">
        <w:rPr>
          <w:kern w:val="0"/>
        </w:rPr>
        <w:t xml:space="preserve"> of </w:t>
      </w:r>
      <w:r>
        <w:rPr>
          <w:kern w:val="0"/>
        </w:rPr>
        <w:t>Death, Cell-Activity, Chinese, Chinese Medicine, Citation, Complementary, Control, Conventional, Database, Databases, Death, Dissertations, Efficacy, Embase, Enhancement, Evaluation, Extraction, Hemoglobin, Il-2, Immunomodulatory, Interferon-Gamma, Interleukin-2, Isi, Knowledge, Life, Lung, Lung Cancer, Medical, Medline, Meta Analysis, Meta-Analysis, Metaanalysis, Methods, Natural, Natural Killer Cells, Nausea, Nausea</w:t>
      </w:r>
      <w:r w:rsidR="005853A9">
        <w:rPr>
          <w:kern w:val="0"/>
        </w:rPr>
        <w:t xml:space="preserve"> and </w:t>
      </w:r>
      <w:r>
        <w:rPr>
          <w:kern w:val="0"/>
        </w:rPr>
        <w:t>Vomiting, Nursing, Pain, Pain Control, Patients, Performance, Psycinfo, Quality, Quality Of, Quality</w:t>
      </w:r>
      <w:r w:rsidR="00427468">
        <w:rPr>
          <w:kern w:val="0"/>
        </w:rPr>
        <w:t xml:space="preserve"> of </w:t>
      </w:r>
      <w:r>
        <w:rPr>
          <w:kern w:val="0"/>
        </w:rPr>
        <w:t>Life, Randomized, Reduction, Research, Response, Results, Review, Role, Scale, Science, Search, Systematic Review, Th17, Therapy, Theses, Treatment, Tumor, Vomiting, Web, Web</w:t>
      </w:r>
      <w:r w:rsidR="00427468">
        <w:rPr>
          <w:kern w:val="0"/>
        </w:rPr>
        <w:t xml:space="preserve"> of </w:t>
      </w:r>
      <w:r>
        <w:rPr>
          <w:kern w:val="0"/>
        </w:rPr>
        <w:t>Science</w:t>
      </w:r>
    </w:p>
    <w:p w:rsidR="00D677FA" w:rsidRDefault="00D677FA" w:rsidP="00D677FA">
      <w:pPr>
        <w:pStyle w:val="a3"/>
        <w:rPr>
          <w:kern w:val="0"/>
        </w:rPr>
      </w:pPr>
      <w:r>
        <w:rPr>
          <w:rFonts w:hint="eastAsia"/>
          <w:kern w:val="0"/>
        </w:rPr>
        <w:t xml:space="preserve">? </w:t>
      </w:r>
      <w:r>
        <w:rPr>
          <w:kern w:val="0"/>
        </w:rPr>
        <w:t xml:space="preserve">Cramer, H., Lauche, R. and Dobos, G. (2014), Characteristics of randomized controlled trials of yoga: A bibliometric analysis. </w:t>
      </w:r>
      <w:r>
        <w:rPr>
          <w:i/>
          <w:iCs/>
          <w:kern w:val="0"/>
        </w:rPr>
        <w:t>BMC Complementary and Alternative Medicine</w:t>
      </w:r>
      <w:r>
        <w:rPr>
          <w:kern w:val="0"/>
        </w:rPr>
        <w:t xml:space="preserve">, </w:t>
      </w:r>
      <w:r>
        <w:rPr>
          <w:b/>
          <w:bCs/>
          <w:kern w:val="0"/>
        </w:rPr>
        <w:t>14</w:t>
      </w:r>
      <w:r>
        <w:rPr>
          <w:rFonts w:hint="eastAsia"/>
          <w:kern w:val="0"/>
        </w:rPr>
        <w:t>,</w:t>
      </w:r>
      <w:r w:rsidRPr="002B410A">
        <w:rPr>
          <w:kern w:val="0"/>
        </w:rPr>
        <w:t xml:space="preserve"> </w:t>
      </w:r>
      <w:r w:rsidRPr="00CE78E3">
        <w:rPr>
          <w:kern w:val="0"/>
        </w:rPr>
        <w:t xml:space="preserve">Article Number: </w:t>
      </w:r>
      <w:r>
        <w:rPr>
          <w:rFonts w:hint="eastAsia"/>
          <w:kern w:val="0"/>
        </w:rPr>
        <w:t>362.</w:t>
      </w:r>
    </w:p>
    <w:p w:rsidR="00D677FA" w:rsidRDefault="00D677FA" w:rsidP="00D677FA">
      <w:pPr>
        <w:pStyle w:val="a3"/>
      </w:pPr>
      <w:r>
        <w:t>Full Text:</w:t>
      </w:r>
      <w:r w:rsidRPr="00FC7835">
        <w:t xml:space="preserve"> </w:t>
      </w:r>
      <w:hyperlink r:id="rId1560" w:history="1">
        <w:r w:rsidRPr="004326F1">
          <w:rPr>
            <w:rStyle w:val="a5"/>
          </w:rPr>
          <w:t>2014\BMC Com Alt Med14, 362.pdf</w:t>
        </w:r>
      </w:hyperlink>
    </w:p>
    <w:p w:rsidR="00D677FA" w:rsidRDefault="00D677FA" w:rsidP="00D677FA">
      <w:pPr>
        <w:pStyle w:val="a3"/>
        <w:rPr>
          <w:kern w:val="0"/>
        </w:rPr>
      </w:pPr>
      <w:r>
        <w:rPr>
          <w:kern w:val="0"/>
        </w:rPr>
        <w:t xml:space="preserve">Abstract: Background: A growing number of randomized controlled trials (RCTs) have investigated the therapeutic value of yoga interventions. This bibliometric analysis aimed to provide a comprehensive review of the characteristics of the totality of available randomized yoga trials. Methods: All RCTs of yoga were eligible. Medline/PubMed, Scopus, the Cochrane Library, IndMED, and the tables of content of yoga specialty journals not listed in medical databases were screened through February 2014. Bibliometric data, data on participants, and intervention were extracted and analyzed descriptively. Results: Published between 1975 and 2014, a total of 366 papers were included, reporting 312 RCTs from 23 different countries with 22,548 participants. The median study sample size was 59 (range 8-410, interquartile range = 31, 93). Two hundred sixty-four RCTs (84.6%) were conducted with adults, 105 (33.7%) with older adults and 31 (9.9%) with children. Eighty-four RCTs (26.9%) were conducted with healthy participants. Other trials enrolled patients with one of 63 varied medical conditions; the most common being breast cancer (17 RCTs, 5.4%), depression (14 RCTs, 4.5%), asthma (14 RCTs, 4.5%) and type 2 diabetes mellitus (13 RCTs, 4.2%). Whilst 119 RCTs (38.1%) did not define the style of yoga used, 35 RCTs (11.2%) used Hatha yoga and 30 RCTs (9.6%) yoga </w:t>
      </w:r>
      <w:r>
        <w:rPr>
          <w:kern w:val="0"/>
        </w:rPr>
        <w:lastRenderedPageBreak/>
        <w:t>breathing. The remaining 128 RCTs (41.0%) used 46 varied yoga styles, with a median intervention length of 9 weeks (range 1 day to 1 year; interquartile range = 5, 12). Two hundred and forty-four RCTs (78.2%) used yoga postures, 232 RCTs (74.4%) used breath control, 153 RCTs (49.0%) used meditation and 32 RCTs (10.3%) used philosophy lectures. One hundred and seventy-four RCTs (55.6%) compared yoga with no specific treatment; 21 varied control interventions were used in the remaining RCTs. Conclusions: This bibliometric analysis presents the most complete up-to-date overview on published randomized yoga trials. While the available research evidence is sparse for most conditions, there was a marked increase in published RCTs in recent years.</w:t>
      </w:r>
    </w:p>
    <w:p w:rsidR="00D677FA" w:rsidRDefault="00D677FA" w:rsidP="00D677FA">
      <w:pPr>
        <w:pStyle w:val="a3"/>
        <w:rPr>
          <w:kern w:val="0"/>
        </w:rPr>
      </w:pPr>
      <w:r>
        <w:rPr>
          <w:kern w:val="0"/>
        </w:rPr>
        <w:t>Keywords: Analysis, Asthma, Bibliometric, Bibliometric Analysis, Bibliometric Data, Bibliometrics, Breast Cancer, Breast-Cancer Patients, Cancer, Characteristics, Children, Chronic Neck Pain, Complementary Therapies, Complete, Control, Controlled Pilot Trial, Coronary-Artery-Disease, Data, Databases, Depression, Diabetes, Diabetes Mellitus, Evidence, Heart-Rate-Variability, Intervention, Interventions, Journals, Length, Low-Back-Pain, Medical, Meditation, Methods, Older Adults, Overview, Papers, Patients, Philosophy, Professional Computer Users, Progressive Muscle-Relaxation, Quality-Of-Life, Randomized, Randomized Controlled Trials, Recent, Reporting, Research, Results, Review, Sample Size, Scopus, Size, Specialty, Style Modification Program, Therapeutic, Treatment, Type 2 Diabetes, Type 2 Diabetes Mellitus, Value, Yoga</w:t>
      </w:r>
    </w:p>
    <w:p w:rsidR="001569AF" w:rsidRDefault="001569AF" w:rsidP="001569AF">
      <w:pPr>
        <w:pStyle w:val="a3"/>
        <w:rPr>
          <w:kern w:val="0"/>
        </w:rPr>
      </w:pPr>
      <w:r>
        <w:rPr>
          <w:rFonts w:hint="eastAsia"/>
          <w:kern w:val="0"/>
        </w:rPr>
        <w:t xml:space="preserve">? </w:t>
      </w:r>
      <w:r>
        <w:rPr>
          <w:kern w:val="0"/>
        </w:rPr>
        <w:t xml:space="preserve">Alsaad, A.M.S., Fox, C. and Koren, G. (2015), Toxicology and teratology of the active ingredients of professional therapy MuscleCare products during pregnancy and lactation: A systematic review. </w:t>
      </w:r>
      <w:r>
        <w:rPr>
          <w:i/>
          <w:iCs/>
          <w:kern w:val="0"/>
        </w:rPr>
        <w:t>BMC Complementary and Alternative Medicine</w:t>
      </w:r>
      <w:r>
        <w:rPr>
          <w:kern w:val="0"/>
        </w:rPr>
        <w:t xml:space="preserve">, </w:t>
      </w:r>
      <w:r>
        <w:rPr>
          <w:b/>
          <w:bCs/>
          <w:kern w:val="0"/>
        </w:rPr>
        <w:t>15</w:t>
      </w:r>
      <w:r>
        <w:rPr>
          <w:rFonts w:hint="eastAsia"/>
          <w:kern w:val="0"/>
        </w:rPr>
        <w:t>,</w:t>
      </w:r>
      <w:r w:rsidRPr="002B410A">
        <w:rPr>
          <w:kern w:val="0"/>
        </w:rPr>
        <w:t xml:space="preserve"> </w:t>
      </w:r>
      <w:r w:rsidRPr="00CE78E3">
        <w:rPr>
          <w:kern w:val="0"/>
        </w:rPr>
        <w:t xml:space="preserve">Article Number: </w:t>
      </w:r>
      <w:r>
        <w:rPr>
          <w:rFonts w:hint="eastAsia"/>
          <w:kern w:val="0"/>
        </w:rPr>
        <w:t>40.</w:t>
      </w:r>
    </w:p>
    <w:p w:rsidR="001569AF" w:rsidRDefault="001569AF" w:rsidP="001569AF">
      <w:pPr>
        <w:pStyle w:val="a3"/>
      </w:pPr>
      <w:r>
        <w:t>Full Text:</w:t>
      </w:r>
      <w:r w:rsidRPr="00FC7835">
        <w:t xml:space="preserve"> </w:t>
      </w:r>
      <w:hyperlink r:id="rId1561" w:history="1">
        <w:r w:rsidRPr="0072435F">
          <w:rPr>
            <w:rStyle w:val="a5"/>
          </w:rPr>
          <w:t>2015\BMC Com Alt Med15, 40.pdf</w:t>
        </w:r>
      </w:hyperlink>
    </w:p>
    <w:p w:rsidR="001569AF" w:rsidRDefault="001569AF" w:rsidP="001569AF">
      <w:pPr>
        <w:pStyle w:val="a3"/>
        <w:rPr>
          <w:kern w:val="0"/>
        </w:rPr>
      </w:pPr>
      <w:r>
        <w:rPr>
          <w:kern w:val="0"/>
        </w:rPr>
        <w:t xml:space="preserve">Abstract: Background: The rates of muscle aches, sprains, and inflammation are significantly increased during pregnancy. However, women are afraid to use systemic analgesics due to perceptions of fetal risks. Thus, topical products are important alternatives to consider for those women. Of interest, Professional Therapy MuscleCare (PTMC) has shown to be effective in alleviating the myofascial pain as reported in a randomized, placebo-controlled double-blinded comparative clinical study of five topical analgesics. However, to date, there is no complete review or long-term safety studies on the safety of these products during pregnancy and lactation. Thus, the aim of this article was to review toxicological, developmental, and reproductive effects associated with the use of PTMC products. Methods: We performed a systematic review on safety of PTMC from all toxicological articles investigating the effects of PTMC’s ingredients. This search was conducted through medical and toxicological databases including, Web of Science, EMBASE, Medline, </w:t>
      </w:r>
      <w:r>
        <w:rPr>
          <w:kern w:val="0"/>
        </w:rPr>
        <w:lastRenderedPageBreak/>
        <w:t>and Micromedix. Both reported and theoretical adverse effects were extensively reviewed. Results: Of the 1500 publications reviewed, 100 papers were retrieved and included in the review. Although some ingredients in PTMC products might cause adverse reproductive effects at high systemic doses, these doses are hundreds to thousands fold greater than those systemically available from topical use at the recommended maximum dose (i.e. 10 g/day). Conclusions: This study provides evidence that, when used as indicated, PTMC is apparently safe for pregnant women and their unborn babies as well as for breastfed infants.</w:t>
      </w:r>
    </w:p>
    <w:p w:rsidR="001569AF" w:rsidRDefault="001569AF" w:rsidP="001569AF">
      <w:pPr>
        <w:pStyle w:val="a3"/>
        <w:rPr>
          <w:kern w:val="0"/>
        </w:rPr>
      </w:pPr>
      <w:r>
        <w:rPr>
          <w:kern w:val="0"/>
        </w:rPr>
        <w:t>Keywords: Active, Adverse Effects, Alternatives, Analgesics, Article, Articles, Bioactive Triterpene Glycosides, Camphorated Oil Intoxication, Chondroitin Sulfate, Clinical, Clinical Study, Comparative Clinical Study, Complete, Databases, Double-Blind, Effects, Embase, Evidence, Fetal, From, Glucosamine Sulfate, Infants, Inflammation, Lactation, Long Term, Long-Term, Low-Back-Pain, Mar, Medical, Medline, Methods, Methyl Salicylate, Muscle, Musclecare, Pain, Papers, Pelvic Girdle Pain, Placebo-Controlled Trial, Pregnancy, Pregnant, Pregnant Women, Publications, Randomized, Rates, Results, Review, Risks, Safety, Science, Systematic, Systematic Review, Teratogenicity, Teratology, Theoretical, Therapy, Topical, Toxicology, Vitamin-E Supplementation, Web, Web Of Science, Women</w:t>
      </w:r>
    </w:p>
    <w:p w:rsidR="003474F2" w:rsidRPr="001A3D2B" w:rsidRDefault="003474F2" w:rsidP="003474F2">
      <w:pPr>
        <w:pStyle w:val="1"/>
      </w:pPr>
      <w:r w:rsidRPr="001A3D2B">
        <w:br w:type="page"/>
      </w:r>
      <w:bookmarkStart w:id="831" w:name="_Toc420814754"/>
      <w:r w:rsidRPr="001A3D2B">
        <w:lastRenderedPageBreak/>
        <w:t>Title: BMC Dermatology</w:t>
      </w:r>
      <w:bookmarkEnd w:id="831"/>
    </w:p>
    <w:p w:rsidR="003474F2" w:rsidRPr="001A3D2B" w:rsidRDefault="003474F2" w:rsidP="003474F2">
      <w:pPr>
        <w:pStyle w:val="12"/>
      </w:pPr>
      <w:r w:rsidRPr="001A3D2B">
        <w:t xml:space="preserve">Full Journal Title: </w:t>
      </w:r>
      <w:r w:rsidR="00206C8A">
        <w:fldChar w:fldCharType="begin"/>
      </w:r>
      <w:r w:rsidR="00FD158B">
        <w:instrText>HY</w:instrText>
      </w:r>
      <w:bookmarkStart w:id="832" w:name="_Toc43634545"/>
      <w:bookmarkStart w:id="833" w:name="_Toc81215644"/>
      <w:r w:rsidR="00FD158B">
        <w:instrText>PERLINK "http://www.bi</w:instrText>
      </w:r>
      <w:bookmarkEnd w:id="561"/>
      <w:bookmarkEnd w:id="832"/>
      <w:bookmarkEnd w:id="833"/>
      <w:r w:rsidR="00FD158B">
        <w:instrText>omedcentral.com/bmcdermatol/archive/"</w:instrText>
      </w:r>
      <w:r w:rsidR="00206C8A">
        <w:fldChar w:fldCharType="separate"/>
      </w:r>
      <w:r w:rsidRPr="001A3D2B">
        <w:rPr>
          <w:rStyle w:val="a5"/>
        </w:rPr>
        <w:t>BMC Dermatology</w:t>
      </w:r>
      <w:r w:rsidR="00206C8A">
        <w:fldChar w:fldCharType="end"/>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Impact Factor</w:t>
      </w:r>
    </w:p>
    <w:p w:rsidR="003474F2" w:rsidRPr="001A3D2B" w:rsidRDefault="003474F2" w:rsidP="003474F2">
      <w:pPr>
        <w:pStyle w:val="a3"/>
      </w:pPr>
      <w:r w:rsidRPr="001A3D2B">
        <w:t>Notes: JJournal</w:t>
      </w:r>
    </w:p>
    <w:p w:rsidR="003474F2" w:rsidRPr="001A3D2B" w:rsidRDefault="003474F2" w:rsidP="003474F2">
      <w:pPr>
        <w:pStyle w:val="a3"/>
      </w:pPr>
      <w:r w:rsidRPr="001A3D2B">
        <w:t>Jemec, G.B.E. (2001), Impact factors</w:t>
      </w:r>
      <w:r w:rsidR="00427468">
        <w:t xml:space="preserve"> of </w:t>
      </w:r>
      <w:r w:rsidRPr="001A3D2B">
        <w:t xml:space="preserve">dermatological journals for 1991-2000. </w:t>
      </w:r>
      <w:r w:rsidRPr="001A3D2B">
        <w:rPr>
          <w:i/>
        </w:rPr>
        <w:t>BMC Dermatology</w:t>
      </w:r>
      <w:r w:rsidRPr="001A3D2B">
        <w:t xml:space="preserve">, </w:t>
      </w:r>
      <w:r w:rsidRPr="001A3D2B">
        <w:rPr>
          <w:b/>
          <w:bCs/>
        </w:rPr>
        <w:t>1</w:t>
      </w:r>
      <w:r w:rsidRPr="001A3D2B">
        <w:t>, 7-10.</w:t>
      </w:r>
    </w:p>
    <w:p w:rsidR="003474F2" w:rsidRPr="001A3D2B" w:rsidRDefault="003474F2" w:rsidP="003474F2">
      <w:pPr>
        <w:pStyle w:val="a3"/>
      </w:pPr>
      <w:r w:rsidRPr="001A3D2B">
        <w:t xml:space="preserve">Full Text: </w:t>
      </w:r>
      <w:hyperlink r:id="rId1562" w:history="1">
        <w:r w:rsidRPr="001A3D2B">
          <w:rPr>
            <w:rStyle w:val="a5"/>
          </w:rPr>
          <w:t>2001\BMC Der1, 7.pdf</w:t>
        </w:r>
      </w:hyperlink>
    </w:p>
    <w:p w:rsidR="003474F2" w:rsidRPr="001A3D2B" w:rsidRDefault="003474F2" w:rsidP="003474F2">
      <w:pPr>
        <w:pStyle w:val="a3"/>
      </w:pPr>
      <w:r w:rsidRPr="001A3D2B">
        <w:t>Abstract: Background:</w:t>
      </w:r>
      <w:r w:rsidR="003A1917">
        <w:t xml:space="preserve"> the </w:t>
      </w:r>
      <w:r w:rsidRPr="001A3D2B">
        <w:t>impact factors</w:t>
      </w:r>
      <w:r w:rsidR="00427468">
        <w:t xml:space="preserve"> of </w:t>
      </w:r>
      <w:r w:rsidRPr="001A3D2B">
        <w:t>scientific journals are interesting but not unproblematic. It is speculated that</w:t>
      </w:r>
      <w:r w:rsidR="003A1917">
        <w:t xml:space="preserve"> the </w:t>
      </w:r>
      <w:r w:rsidRPr="001A3D2B">
        <w:t>number</w:t>
      </w:r>
      <w:r w:rsidR="00427468">
        <w:t xml:space="preserve"> of </w:t>
      </w:r>
      <w:r w:rsidRPr="001A3D2B">
        <w:t>journals in which citations can be made correlates with</w:t>
      </w:r>
      <w:r w:rsidR="003A1917">
        <w:t xml:space="preserve"> the </w:t>
      </w:r>
      <w:r w:rsidRPr="001A3D2B">
        <w:t>impact factors in any given speciality.</w:t>
      </w:r>
    </w:p>
    <w:p w:rsidR="003474F2" w:rsidRPr="001A3D2B" w:rsidRDefault="003474F2" w:rsidP="003474F2">
      <w:pPr>
        <w:pStyle w:val="a3"/>
      </w:pPr>
      <w:r w:rsidRPr="001A3D2B">
        <w:t>Methods: Using</w:t>
      </w:r>
      <w:r w:rsidR="003A1917">
        <w:t xml:space="preserve"> the </w:t>
      </w:r>
      <w:r w:rsidRPr="001A3D2B">
        <w:t>Journal Citation Report (JCR) for 1997, a bibliometric analysis was made to assess</w:t>
      </w:r>
      <w:r w:rsidR="003A1917">
        <w:t xml:space="preserve"> the </w:t>
      </w:r>
      <w:r w:rsidRPr="001A3D2B">
        <w:t>correlation between</w:t>
      </w:r>
      <w:r w:rsidR="003A1917">
        <w:t xml:space="preserve"> the </w:t>
      </w:r>
      <w:r w:rsidRPr="001A3D2B">
        <w:t>number</w:t>
      </w:r>
      <w:r w:rsidR="00427468">
        <w:t xml:space="preserve"> of </w:t>
      </w:r>
      <w:r w:rsidRPr="001A3D2B">
        <w:t>journals available in different fields</w:t>
      </w:r>
      <w:r w:rsidR="00427468">
        <w:t xml:space="preserve"> of </w:t>
      </w:r>
      <w:r w:rsidRPr="001A3D2B">
        <w:t>clinical medicine</w:t>
      </w:r>
      <w:r w:rsidR="005853A9">
        <w:t xml:space="preserve"> and </w:t>
      </w:r>
      <w:r w:rsidR="003A1917">
        <w:t xml:space="preserve">the </w:t>
      </w:r>
      <w:r w:rsidRPr="001A3D2B">
        <w:t>top impact factor. A detailed study was made</w:t>
      </w:r>
      <w:r w:rsidR="00427468">
        <w:t xml:space="preserve"> of </w:t>
      </w:r>
      <w:r w:rsidRPr="001A3D2B">
        <w:t>dermatological journals listed in</w:t>
      </w:r>
      <w:r w:rsidR="003A1917">
        <w:t xml:space="preserve"> the </w:t>
      </w:r>
      <w:r w:rsidRPr="001A3D2B">
        <w:t>JCR 1991-2000, to assess</w:t>
      </w:r>
      <w:r w:rsidR="003A1917">
        <w:t xml:space="preserve"> the </w:t>
      </w:r>
      <w:r w:rsidRPr="001A3D2B">
        <w:t>relevance</w:t>
      </w:r>
      <w:r w:rsidR="00427468">
        <w:t xml:space="preserve"> of </w:t>
      </w:r>
      <w:r w:rsidRPr="001A3D2B">
        <w:t>this general survey.</w:t>
      </w:r>
    </w:p>
    <w:p w:rsidR="003474F2" w:rsidRPr="001A3D2B" w:rsidRDefault="003474F2" w:rsidP="003474F2">
      <w:pPr>
        <w:pStyle w:val="a3"/>
      </w:pPr>
      <w:r w:rsidRPr="001A3D2B">
        <w:t>Results: Using</w:t>
      </w:r>
      <w:r w:rsidR="003A1917">
        <w:t xml:space="preserve"> the </w:t>
      </w:r>
      <w:r w:rsidRPr="001A3D2B">
        <w:t>1997 JCR definitions</w:t>
      </w:r>
      <w:r w:rsidR="00427468">
        <w:t xml:space="preserve"> of </w:t>
      </w:r>
      <w:r w:rsidRPr="001A3D2B">
        <w:t>speciality journals, a significant linear correlation was found between</w:t>
      </w:r>
      <w:r w:rsidR="003A1917">
        <w:t xml:space="preserve"> the </w:t>
      </w:r>
      <w:r w:rsidRPr="001A3D2B">
        <w:t>number</w:t>
      </w:r>
      <w:r w:rsidR="00427468">
        <w:t xml:space="preserve"> of </w:t>
      </w:r>
      <w:r w:rsidRPr="001A3D2B">
        <w:t>journals in a given field</w:t>
      </w:r>
      <w:r w:rsidR="005853A9">
        <w:t xml:space="preserve"> and </w:t>
      </w:r>
      <w:r w:rsidR="003A1917">
        <w:t xml:space="preserve">the </w:t>
      </w:r>
      <w:r w:rsidRPr="001A3D2B">
        <w:t>top impact factor</w:t>
      </w:r>
      <w:r w:rsidR="00427468">
        <w:t xml:space="preserve"> of </w:t>
      </w:r>
      <w:r w:rsidRPr="001A3D2B">
        <w:t>that field (rs = 0.612, p &lt; 0.05). Studying</w:t>
      </w:r>
      <w:r w:rsidR="003A1917">
        <w:t xml:space="preserve"> the </w:t>
      </w:r>
      <w:r w:rsidRPr="001A3D2B">
        <w:t xml:space="preserve">trend for dermatological journals 1991 to </w:t>
      </w:r>
      <w:smartTag w:uri="urn:schemas-microsoft-com:office:smarttags" w:element="chmetcnv">
        <w:smartTagPr>
          <w:attr w:name="TCSC" w:val="0"/>
          <w:attr w:name="NumberType" w:val="1"/>
          <w:attr w:name="Negative" w:val="False"/>
          <w:attr w:name="HasSpace" w:val="True"/>
          <w:attr w:name="SourceValue" w:val="2000"/>
          <w:attr w:name="UnitName" w:val="a"/>
        </w:smartTagPr>
        <w:r w:rsidRPr="001A3D2B">
          <w:t>2000 a</w:t>
        </w:r>
      </w:smartTag>
      <w:r w:rsidRPr="001A3D2B">
        <w:t xml:space="preserve"> similar pattern was found. Significant correlations were also found between total number</w:t>
      </w:r>
      <w:r w:rsidR="00427468">
        <w:t xml:space="preserve"> of </w:t>
      </w:r>
      <w:r w:rsidRPr="001A3D2B">
        <w:t>journals</w:t>
      </w:r>
      <w:r w:rsidR="005853A9">
        <w:t xml:space="preserve"> and </w:t>
      </w:r>
      <w:r w:rsidRPr="001A3D2B">
        <w:t>mean impact factor (rs = 0.793, p = 0.006), between</w:t>
      </w:r>
      <w:r w:rsidR="003A1917">
        <w:t xml:space="preserve"> the </w:t>
      </w:r>
      <w:r w:rsidRPr="001A3D2B">
        <w:t>total number</w:t>
      </w:r>
      <w:r w:rsidR="00427468">
        <w:t xml:space="preserve"> of </w:t>
      </w:r>
      <w:r w:rsidRPr="001A3D2B">
        <w:t>journals</w:t>
      </w:r>
      <w:r w:rsidR="005853A9">
        <w:t xml:space="preserve"> and </w:t>
      </w:r>
      <w:r w:rsidR="003A1917">
        <w:t xml:space="preserve">the </w:t>
      </w:r>
      <w:r w:rsidRPr="001A3D2B">
        <w:t>top impact factor (rs = 0.759, p = 0.011)</w:t>
      </w:r>
      <w:r w:rsidR="005853A9">
        <w:t xml:space="preserve"> and </w:t>
      </w:r>
      <w:r w:rsidRPr="001A3D2B">
        <w:t>between</w:t>
      </w:r>
      <w:r w:rsidR="003A1917">
        <w:t xml:space="preserve"> the </w:t>
      </w:r>
      <w:r w:rsidRPr="001A3D2B">
        <w:t>mean</w:t>
      </w:r>
      <w:r w:rsidR="005853A9">
        <w:t xml:space="preserve"> and </w:t>
      </w:r>
      <w:r w:rsidR="003A1917">
        <w:t xml:space="preserve">the </w:t>
      </w:r>
      <w:r w:rsidRPr="001A3D2B">
        <w:t>top impact factor (rs = 0.827, p = 0.003).</w:t>
      </w:r>
    </w:p>
    <w:p w:rsidR="003474F2" w:rsidRPr="001A3D2B" w:rsidRDefault="003474F2" w:rsidP="003474F2">
      <w:pPr>
        <w:pStyle w:val="a3"/>
      </w:pPr>
      <w:r w:rsidRPr="001A3D2B">
        <w:t>Conclusions:</w:t>
      </w:r>
      <w:r w:rsidR="003A1917">
        <w:t xml:space="preserve"> the </w:t>
      </w:r>
      <w:r w:rsidRPr="001A3D2B">
        <w:t>observations suggest that</w:t>
      </w:r>
      <w:r w:rsidR="003A1917">
        <w:t xml:space="preserve"> the </w:t>
      </w:r>
      <w:r w:rsidRPr="001A3D2B">
        <w:t>number</w:t>
      </w:r>
      <w:r w:rsidR="00427468">
        <w:t xml:space="preserve"> of </w:t>
      </w:r>
      <w:r w:rsidRPr="001A3D2B">
        <w:t>journals available predict</w:t>
      </w:r>
      <w:r w:rsidR="003A1917">
        <w:t xml:space="preserve"> the </w:t>
      </w:r>
      <w:r w:rsidRPr="001A3D2B">
        <w:t>top impact factor. For dermatology journals</w:t>
      </w:r>
      <w:r w:rsidR="003A1917">
        <w:t xml:space="preserve"> the </w:t>
      </w:r>
      <w:r w:rsidRPr="001A3D2B">
        <w:t>top</w:t>
      </w:r>
      <w:r w:rsidR="005853A9">
        <w:t xml:space="preserve"> and </w:t>
      </w:r>
      <w:r w:rsidR="003A1917">
        <w:t xml:space="preserve">the </w:t>
      </w:r>
      <w:r w:rsidRPr="001A3D2B">
        <w:t xml:space="preserve">mean impact factor are predicted. This is in good agreement with theoretical expectations as more journals make more print-space available for more papers containing citations. It is suggested that new journals in dermatology should be encouraged, as this will most likely </w:t>
      </w:r>
      <w:r w:rsidRPr="001A3D2B">
        <w:lastRenderedPageBreak/>
        <w:t>increase</w:t>
      </w:r>
      <w:r w:rsidR="003A1917">
        <w:t xml:space="preserve"> the </w:t>
      </w:r>
      <w:r w:rsidRPr="001A3D2B">
        <w:t>impact factor</w:t>
      </w:r>
      <w:r w:rsidR="00427468">
        <w:t xml:space="preserve"> of </w:t>
      </w:r>
      <w:r w:rsidRPr="001A3D2B">
        <w:t>dermatological journals generally.</w:t>
      </w:r>
    </w:p>
    <w:p w:rsidR="003474F2" w:rsidRPr="001A3D2B" w:rsidRDefault="003474F2" w:rsidP="003474F2">
      <w:pPr>
        <w:pStyle w:val="a3"/>
      </w:pPr>
      <w:r w:rsidRPr="001A3D2B">
        <w:t xml:space="preserve">Keywords: Analysis, Background, Bibliometric, </w:t>
      </w:r>
      <w:bookmarkStart w:id="834" w:name="_Toc488467652"/>
      <w:bookmarkStart w:id="835" w:name="_Toc489709719"/>
      <w:bookmarkStart w:id="836" w:name="_Toc490687944"/>
      <w:bookmarkStart w:id="837" w:name="_Toc30655625"/>
      <w:r w:rsidRPr="001A3D2B">
        <w:t>Bibliometric Analysis, Citations, Clinical, Correlates, Correlation, Correlations, Field, General, Impact, Impact Factor, Impact Factors, Journals, Medicine, Methods, Papers, Pattern, Relevance, Scientific Journals, Survey, Trend</w:t>
      </w:r>
    </w:p>
    <w:p w:rsidR="005716E6" w:rsidRPr="001A3D2B" w:rsidRDefault="005716E6" w:rsidP="005716E6">
      <w:pPr>
        <w:pStyle w:val="1"/>
      </w:pPr>
      <w:r w:rsidRPr="001A3D2B">
        <w:br w:type="page"/>
      </w:r>
      <w:bookmarkStart w:id="838" w:name="_Toc420814755"/>
      <w:r w:rsidRPr="001A3D2B">
        <w:lastRenderedPageBreak/>
        <w:t xml:space="preserve">Title: </w:t>
      </w:r>
      <w:r w:rsidRPr="005716E6">
        <w:rPr>
          <w:iCs w:val="0"/>
        </w:rPr>
        <w:t xml:space="preserve">BMC </w:t>
      </w:r>
      <w:r w:rsidRPr="005716E6">
        <w:t>Family Practice</w:t>
      </w:r>
      <w:bookmarkEnd w:id="838"/>
    </w:p>
    <w:p w:rsidR="005716E6" w:rsidRPr="001A3D2B" w:rsidRDefault="005716E6" w:rsidP="005716E6">
      <w:pPr>
        <w:pStyle w:val="12"/>
      </w:pPr>
      <w:r w:rsidRPr="001A3D2B">
        <w:t xml:space="preserve">Full Journal Title: </w:t>
      </w:r>
      <w:r w:rsidRPr="005716E6">
        <w:rPr>
          <w:iCs/>
          <w:kern w:val="0"/>
        </w:rPr>
        <w:t>BMC Family Practice</w:t>
      </w:r>
    </w:p>
    <w:p w:rsidR="005716E6" w:rsidRPr="001A3D2B" w:rsidRDefault="005716E6" w:rsidP="005716E6">
      <w:pPr>
        <w:pStyle w:val="12"/>
      </w:pPr>
      <w:r w:rsidRPr="001A3D2B">
        <w:t xml:space="preserve">ISO Abbreviated Title: </w:t>
      </w:r>
    </w:p>
    <w:p w:rsidR="005716E6" w:rsidRPr="001A3D2B" w:rsidRDefault="005716E6" w:rsidP="005716E6">
      <w:pPr>
        <w:pStyle w:val="12"/>
      </w:pPr>
      <w:r w:rsidRPr="001A3D2B">
        <w:t xml:space="preserve">JCR Abbreviated Title: </w:t>
      </w:r>
    </w:p>
    <w:p w:rsidR="005716E6" w:rsidRPr="001A3D2B" w:rsidRDefault="005716E6" w:rsidP="005716E6">
      <w:pPr>
        <w:pStyle w:val="12"/>
      </w:pPr>
      <w:r w:rsidRPr="001A3D2B">
        <w:t xml:space="preserve">ISSN: </w:t>
      </w:r>
    </w:p>
    <w:p w:rsidR="005716E6" w:rsidRPr="001A3D2B" w:rsidRDefault="005716E6" w:rsidP="005716E6">
      <w:pPr>
        <w:pStyle w:val="12"/>
      </w:pPr>
      <w:r w:rsidRPr="001A3D2B">
        <w:t xml:space="preserve">Issues/Year: </w:t>
      </w:r>
    </w:p>
    <w:p w:rsidR="005716E6" w:rsidRPr="001A3D2B" w:rsidRDefault="005716E6" w:rsidP="005716E6">
      <w:pPr>
        <w:pStyle w:val="12"/>
      </w:pPr>
      <w:r w:rsidRPr="001A3D2B">
        <w:t xml:space="preserve">Journal Country/Territory: </w:t>
      </w:r>
    </w:p>
    <w:p w:rsidR="005716E6" w:rsidRPr="001A3D2B" w:rsidRDefault="005716E6" w:rsidP="005716E6">
      <w:pPr>
        <w:pStyle w:val="12"/>
      </w:pPr>
      <w:r w:rsidRPr="001A3D2B">
        <w:t xml:space="preserve">Language: </w:t>
      </w:r>
    </w:p>
    <w:p w:rsidR="005716E6" w:rsidRPr="001A3D2B" w:rsidRDefault="005716E6" w:rsidP="005716E6">
      <w:pPr>
        <w:pStyle w:val="12"/>
      </w:pPr>
      <w:r w:rsidRPr="001A3D2B">
        <w:t xml:space="preserve">Publisher: </w:t>
      </w:r>
    </w:p>
    <w:p w:rsidR="005716E6" w:rsidRPr="001A3D2B" w:rsidRDefault="005716E6" w:rsidP="005716E6">
      <w:pPr>
        <w:pStyle w:val="12"/>
      </w:pPr>
      <w:r w:rsidRPr="001A3D2B">
        <w:t xml:space="preserve">Publisher Address: </w:t>
      </w:r>
    </w:p>
    <w:p w:rsidR="005716E6" w:rsidRPr="001A3D2B" w:rsidRDefault="005716E6" w:rsidP="005716E6">
      <w:pPr>
        <w:pStyle w:val="12"/>
      </w:pPr>
      <w:r w:rsidRPr="001A3D2B">
        <w:t xml:space="preserve">Subject Categories: </w:t>
      </w:r>
    </w:p>
    <w:p w:rsidR="005716E6" w:rsidRPr="001A3D2B" w:rsidRDefault="005716E6" w:rsidP="005716E6">
      <w:pPr>
        <w:pStyle w:val="12"/>
      </w:pPr>
      <w:r w:rsidRPr="001A3D2B">
        <w:t xml:space="preserve">: Impact Factor </w:t>
      </w:r>
    </w:p>
    <w:p w:rsidR="005716E6" w:rsidRDefault="005716E6" w:rsidP="005716E6">
      <w:pPr>
        <w:pStyle w:val="a3"/>
        <w:rPr>
          <w:kern w:val="0"/>
        </w:rPr>
      </w:pPr>
      <w:r>
        <w:rPr>
          <w:rFonts w:hint="eastAsia"/>
          <w:kern w:val="0"/>
        </w:rPr>
        <w:t xml:space="preserve">? </w:t>
      </w:r>
      <w:r>
        <w:rPr>
          <w:kern w:val="0"/>
        </w:rPr>
        <w:t>Geense, W.W., van de Glind, I.M., Visscher, T.L.S.</w:t>
      </w:r>
      <w:r w:rsidR="005853A9">
        <w:rPr>
          <w:kern w:val="0"/>
        </w:rPr>
        <w:t xml:space="preserve"> and </w:t>
      </w:r>
      <w:r>
        <w:rPr>
          <w:kern w:val="0"/>
        </w:rPr>
        <w:t>van Achterberg, T. (2013), Barriers, facilitators</w:t>
      </w:r>
      <w:r w:rsidR="005853A9">
        <w:rPr>
          <w:kern w:val="0"/>
        </w:rPr>
        <w:t xml:space="preserve"> and </w:t>
      </w:r>
      <w:r>
        <w:rPr>
          <w:kern w:val="0"/>
        </w:rPr>
        <w:t xml:space="preserve">attitudes influencing health promotion activities in general practice: An explorative pilot study. </w:t>
      </w:r>
      <w:r>
        <w:rPr>
          <w:i/>
          <w:iCs/>
          <w:kern w:val="0"/>
        </w:rPr>
        <w:t>BMC Family Practice</w:t>
      </w:r>
      <w:r>
        <w:rPr>
          <w:kern w:val="0"/>
        </w:rPr>
        <w:t xml:space="preserve">, </w:t>
      </w:r>
      <w:r>
        <w:rPr>
          <w:b/>
          <w:bCs/>
          <w:kern w:val="0"/>
        </w:rPr>
        <w:t>14</w:t>
      </w:r>
      <w:r>
        <w:rPr>
          <w:kern w:val="0"/>
        </w:rPr>
        <w:t xml:space="preserve">, </w:t>
      </w:r>
      <w:r w:rsidRPr="0035406C">
        <w:rPr>
          <w:kern w:val="0"/>
        </w:rPr>
        <w:t>Article Number: 20</w:t>
      </w:r>
      <w:r>
        <w:rPr>
          <w:kern w:val="0"/>
        </w:rPr>
        <w:t>.</w:t>
      </w:r>
    </w:p>
    <w:p w:rsidR="00F37971" w:rsidRDefault="00F37971" w:rsidP="00F37971">
      <w:pPr>
        <w:pStyle w:val="a3"/>
        <w:rPr>
          <w:kern w:val="0"/>
        </w:rPr>
      </w:pPr>
      <w:r>
        <w:rPr>
          <w:rFonts w:hint="eastAsia"/>
          <w:kern w:val="0"/>
        </w:rPr>
        <w:t xml:space="preserve">Full Text: </w:t>
      </w:r>
      <w:hyperlink r:id="rId1563" w:history="1">
        <w:r w:rsidRPr="00BB58EB">
          <w:rPr>
            <w:rStyle w:val="a5"/>
            <w:kern w:val="0"/>
          </w:rPr>
          <w:t>2013\BMC Fam Pra14, 20.pdf</w:t>
        </w:r>
      </w:hyperlink>
    </w:p>
    <w:p w:rsidR="005716E6" w:rsidRDefault="005716E6" w:rsidP="005716E6">
      <w:pPr>
        <w:pStyle w:val="a3"/>
        <w:rPr>
          <w:kern w:val="0"/>
        </w:rPr>
      </w:pPr>
      <w:r>
        <w:rPr>
          <w:kern w:val="0"/>
        </w:rPr>
        <w:t>Abstract: Background: The number</w:t>
      </w:r>
      <w:r w:rsidR="00427468">
        <w:rPr>
          <w:kern w:val="0"/>
        </w:rPr>
        <w:t xml:space="preserve"> of </w:t>
      </w:r>
      <w:r>
        <w:rPr>
          <w:kern w:val="0"/>
        </w:rPr>
        <w:t>chronically ill patients increases every year. This is partly due to an unhealthy lifestyle. However, the frequency</w:t>
      </w:r>
      <w:r w:rsidR="005853A9">
        <w:rPr>
          <w:kern w:val="0"/>
        </w:rPr>
        <w:t xml:space="preserve"> and </w:t>
      </w:r>
      <w:r>
        <w:rPr>
          <w:kern w:val="0"/>
        </w:rPr>
        <w:t>quality</w:t>
      </w:r>
      <w:r w:rsidR="00427468">
        <w:rPr>
          <w:kern w:val="0"/>
        </w:rPr>
        <w:t xml:space="preserve"> of </w:t>
      </w:r>
      <w:r>
        <w:rPr>
          <w:kern w:val="0"/>
        </w:rPr>
        <w:t>(evidence-based) health promotion activities conducted by Dutch general practitioners (GPs)</w:t>
      </w:r>
      <w:r w:rsidR="005853A9">
        <w:rPr>
          <w:kern w:val="0"/>
        </w:rPr>
        <w:t xml:space="preserve"> and </w:t>
      </w:r>
      <w:r>
        <w:rPr>
          <w:kern w:val="0"/>
        </w:rPr>
        <w:t>practice nurses (PNs) are limited</w:t>
      </w:r>
      <w:r w:rsidR="00A37C1D">
        <w:rPr>
          <w:kern w:val="0"/>
        </w:rPr>
        <w:t>. The</w:t>
      </w:r>
      <w:r>
        <w:rPr>
          <w:kern w:val="0"/>
        </w:rPr>
        <w:t xml:space="preserve"> aim</w:t>
      </w:r>
      <w:r w:rsidR="00427468">
        <w:rPr>
          <w:kern w:val="0"/>
        </w:rPr>
        <w:t xml:space="preserve"> of </w:t>
      </w:r>
      <w:r>
        <w:rPr>
          <w:kern w:val="0"/>
        </w:rPr>
        <w:t>this pilot study was to explore which lifestyle interventions Dutch GPs</w:t>
      </w:r>
      <w:r w:rsidR="005853A9">
        <w:rPr>
          <w:kern w:val="0"/>
        </w:rPr>
        <w:t xml:space="preserve"> and </w:t>
      </w:r>
      <w:r>
        <w:rPr>
          <w:kern w:val="0"/>
        </w:rPr>
        <w:t>PNs carry out in primary care, which barriers</w:t>
      </w:r>
      <w:r w:rsidR="005853A9">
        <w:rPr>
          <w:kern w:val="0"/>
        </w:rPr>
        <w:t xml:space="preserve"> and </w:t>
      </w:r>
      <w:r>
        <w:rPr>
          <w:kern w:val="0"/>
        </w:rPr>
        <w:t>facilitators can be identified</w:t>
      </w:r>
      <w:r w:rsidR="005853A9">
        <w:rPr>
          <w:kern w:val="0"/>
        </w:rPr>
        <w:t xml:space="preserve"> and </w:t>
      </w:r>
      <w:r>
        <w:rPr>
          <w:kern w:val="0"/>
        </w:rPr>
        <w:t>what main topics are with respect to attitudes towards health promoting activities</w:t>
      </w:r>
      <w:r w:rsidR="00A37C1D">
        <w:rPr>
          <w:kern w:val="0"/>
        </w:rPr>
        <w:t>. The</w:t>
      </w:r>
      <w:r>
        <w:rPr>
          <w:kern w:val="0"/>
        </w:rPr>
        <w:t>se topic areas will be identified for a future, larger scale study. Method: This qualitative study consisted</w:t>
      </w:r>
      <w:r w:rsidR="00427468">
        <w:rPr>
          <w:kern w:val="0"/>
        </w:rPr>
        <w:t xml:space="preserve"> of </w:t>
      </w:r>
      <w:r>
        <w:rPr>
          <w:kern w:val="0"/>
        </w:rPr>
        <w:t>25 semi-structured interviews with sixteen GPs</w:t>
      </w:r>
      <w:r w:rsidR="005853A9">
        <w:rPr>
          <w:kern w:val="0"/>
        </w:rPr>
        <w:t xml:space="preserve"> and </w:t>
      </w:r>
      <w:r>
        <w:rPr>
          <w:kern w:val="0"/>
        </w:rPr>
        <w:t>nine PNs. ATLAS.ti was used to analyse the transcripts</w:t>
      </w:r>
      <w:r w:rsidR="00427468">
        <w:rPr>
          <w:kern w:val="0"/>
        </w:rPr>
        <w:t xml:space="preserve"> of </w:t>
      </w:r>
      <w:r>
        <w:rPr>
          <w:kern w:val="0"/>
        </w:rPr>
        <w:t>the interviews. Results: All GPs</w:t>
      </w:r>
      <w:r w:rsidR="005853A9">
        <w:rPr>
          <w:kern w:val="0"/>
        </w:rPr>
        <w:t xml:space="preserve"> and </w:t>
      </w:r>
      <w:r>
        <w:rPr>
          <w:kern w:val="0"/>
        </w:rPr>
        <w:t>PNs said they discuss lifestyle with their patients. Next to this, GPs</w:t>
      </w:r>
      <w:r w:rsidR="005853A9">
        <w:rPr>
          <w:kern w:val="0"/>
        </w:rPr>
        <w:t xml:space="preserve"> and </w:t>
      </w:r>
      <w:r>
        <w:rPr>
          <w:kern w:val="0"/>
        </w:rPr>
        <w:t>PNs counsel patients, and/or refer them to other disciplines. Only few said they refer patients to specific lifestyle programs or interventions in their own practice or in the neighbourhood. Several barriers</w:t>
      </w:r>
      <w:r w:rsidR="005853A9">
        <w:rPr>
          <w:kern w:val="0"/>
        </w:rPr>
        <w:t xml:space="preserve"> and </w:t>
      </w:r>
      <w:r>
        <w:rPr>
          <w:kern w:val="0"/>
        </w:rPr>
        <w:t>facilitators were identified</w:t>
      </w:r>
      <w:r w:rsidR="00A37C1D">
        <w:rPr>
          <w:kern w:val="0"/>
        </w:rPr>
        <w:t>. The</w:t>
      </w:r>
      <w:r>
        <w:rPr>
          <w:kern w:val="0"/>
        </w:rPr>
        <w:t xml:space="preserve"> main topics as barriers are: a lack</w:t>
      </w:r>
      <w:r w:rsidR="00427468">
        <w:rPr>
          <w:kern w:val="0"/>
        </w:rPr>
        <w:t xml:space="preserve"> of </w:t>
      </w:r>
      <w:r>
        <w:rPr>
          <w:kern w:val="0"/>
        </w:rPr>
        <w:t>patients</w:t>
      </w:r>
      <w:r w:rsidR="00700038">
        <w:rPr>
          <w:kern w:val="0"/>
        </w:rPr>
        <w:t>’</w:t>
      </w:r>
      <w:r>
        <w:rPr>
          <w:kern w:val="0"/>
        </w:rPr>
        <w:t xml:space="preserve"> motivation to make lifestyle changes, insufficient reimbursement, a lack</w:t>
      </w:r>
      <w:r w:rsidR="00427468">
        <w:rPr>
          <w:kern w:val="0"/>
        </w:rPr>
        <w:t xml:space="preserve"> of </w:t>
      </w:r>
      <w:r>
        <w:rPr>
          <w:kern w:val="0"/>
        </w:rPr>
        <w:t>proven effectiveness</w:t>
      </w:r>
      <w:r w:rsidR="00427468">
        <w:rPr>
          <w:kern w:val="0"/>
        </w:rPr>
        <w:t xml:space="preserve"> of </w:t>
      </w:r>
      <w:r>
        <w:rPr>
          <w:kern w:val="0"/>
        </w:rPr>
        <w:t>interventions</w:t>
      </w:r>
      <w:r w:rsidR="005853A9">
        <w:rPr>
          <w:kern w:val="0"/>
        </w:rPr>
        <w:t xml:space="preserve"> and </w:t>
      </w:r>
      <w:r>
        <w:rPr>
          <w:kern w:val="0"/>
        </w:rPr>
        <w:t>a lack</w:t>
      </w:r>
      <w:r w:rsidR="00427468">
        <w:rPr>
          <w:kern w:val="0"/>
        </w:rPr>
        <w:t xml:space="preserve"> of </w:t>
      </w:r>
      <w:r>
        <w:rPr>
          <w:kern w:val="0"/>
        </w:rPr>
        <w:t>overview</w:t>
      </w:r>
      <w:r w:rsidR="00427468">
        <w:rPr>
          <w:kern w:val="0"/>
        </w:rPr>
        <w:t xml:space="preserve"> of </w:t>
      </w:r>
      <w:r>
        <w:rPr>
          <w:kern w:val="0"/>
        </w:rPr>
        <w:t>health promoting programs in their neighbourhood</w:t>
      </w:r>
      <w:r w:rsidR="00A37C1D">
        <w:rPr>
          <w:kern w:val="0"/>
        </w:rPr>
        <w:t>. The</w:t>
      </w:r>
      <w:r>
        <w:rPr>
          <w:kern w:val="0"/>
        </w:rPr>
        <w:t xml:space="preserve"> most cited facilitators are availability</w:t>
      </w:r>
      <w:r w:rsidR="00427468">
        <w:rPr>
          <w:kern w:val="0"/>
        </w:rPr>
        <w:t xml:space="preserve"> of </w:t>
      </w:r>
      <w:r>
        <w:rPr>
          <w:kern w:val="0"/>
        </w:rPr>
        <w:t>a PN, collaboration with other disciplines</w:t>
      </w:r>
      <w:r w:rsidR="005853A9">
        <w:rPr>
          <w:kern w:val="0"/>
        </w:rPr>
        <w:t xml:space="preserve"> and </w:t>
      </w:r>
      <w:r>
        <w:rPr>
          <w:kern w:val="0"/>
        </w:rPr>
        <w:t>availability</w:t>
      </w:r>
      <w:r w:rsidR="00427468">
        <w:rPr>
          <w:kern w:val="0"/>
        </w:rPr>
        <w:t xml:space="preserve"> of </w:t>
      </w:r>
      <w:r>
        <w:rPr>
          <w:kern w:val="0"/>
        </w:rPr>
        <w:t>interventions in their own practice. With respect to attitudes, six different types</w:t>
      </w:r>
      <w:r w:rsidR="00427468">
        <w:rPr>
          <w:kern w:val="0"/>
        </w:rPr>
        <w:t xml:space="preserve"> of </w:t>
      </w:r>
      <w:r>
        <w:rPr>
          <w:kern w:val="0"/>
        </w:rPr>
        <w:t xml:space="preserve">GPs were identified reflecting the main topics that relate to attitudes, varying from </w:t>
      </w:r>
      <w:r w:rsidR="00700038">
        <w:rPr>
          <w:kern w:val="0"/>
        </w:rPr>
        <w:t>‘</w:t>
      </w:r>
      <w:r>
        <w:rPr>
          <w:kern w:val="0"/>
        </w:rPr>
        <w:t>ignorer</w:t>
      </w:r>
      <w:r w:rsidR="00700038">
        <w:rPr>
          <w:kern w:val="0"/>
        </w:rPr>
        <w:t>’</w:t>
      </w:r>
      <w:r>
        <w:rPr>
          <w:kern w:val="0"/>
        </w:rPr>
        <w:t xml:space="preserve"> to </w:t>
      </w:r>
      <w:r w:rsidR="00700038">
        <w:rPr>
          <w:kern w:val="0"/>
        </w:rPr>
        <w:t>‘</w:t>
      </w:r>
      <w:r>
        <w:rPr>
          <w:kern w:val="0"/>
        </w:rPr>
        <w:t>nurturer</w:t>
      </w:r>
      <w:r w:rsidR="00700038">
        <w:rPr>
          <w:kern w:val="0"/>
        </w:rPr>
        <w:t>’</w:t>
      </w:r>
      <w:r w:rsidR="00A37C1D">
        <w:rPr>
          <w:kern w:val="0"/>
        </w:rPr>
        <w:t>. The</w:t>
      </w:r>
      <w:r>
        <w:rPr>
          <w:kern w:val="0"/>
        </w:rPr>
        <w:t xml:space="preserve"> topics relating to PNs attitudes towards health promotion activities, were almost </w:t>
      </w:r>
      <w:r>
        <w:rPr>
          <w:kern w:val="0"/>
        </w:rPr>
        <w:lastRenderedPageBreak/>
        <w:t>unanimously positive. Conclusion: GPs</w:t>
      </w:r>
      <w:r w:rsidR="005853A9">
        <w:rPr>
          <w:kern w:val="0"/>
        </w:rPr>
        <w:t xml:space="preserve"> and </w:t>
      </w:r>
      <w:r>
        <w:rPr>
          <w:kern w:val="0"/>
        </w:rPr>
        <w:t>PNs all say they discuss lifestyle issues with their patients, but the health promotion activities that are organized in their practice vary. Main topics that hinder or facilitate implementation are identified, including those that relate to attitudes</w:t>
      </w:r>
      <w:r w:rsidR="00427468">
        <w:rPr>
          <w:kern w:val="0"/>
        </w:rPr>
        <w:t xml:space="preserve"> of </w:t>
      </w:r>
      <w:r>
        <w:rPr>
          <w:kern w:val="0"/>
        </w:rPr>
        <w:t>GPs</w:t>
      </w:r>
      <w:r w:rsidR="005853A9">
        <w:rPr>
          <w:kern w:val="0"/>
        </w:rPr>
        <w:t xml:space="preserve"> and </w:t>
      </w:r>
      <w:r>
        <w:rPr>
          <w:kern w:val="0"/>
        </w:rPr>
        <w:t>PNs.</w:t>
      </w:r>
    </w:p>
    <w:p w:rsidR="005716E6" w:rsidRDefault="005716E6" w:rsidP="005716E6">
      <w:pPr>
        <w:pStyle w:val="a3"/>
        <w:rPr>
          <w:kern w:val="0"/>
        </w:rPr>
      </w:pPr>
      <w:r>
        <w:rPr>
          <w:kern w:val="0"/>
        </w:rPr>
        <w:t>Keywords: Attitude, Attitudes, Availability, Barriers, Beliefs, Care, Changes, Collaboration, Dutch, Effectiveness, Evidence Based, Evidence-Based, Family Nursing, Family Practice, General, General Practice, Health, Health Promotion, Implementation, Implementation, Intervention, Interventions, Interviews, Life Styles, Nurses, Patients, Physical-Activity, Pilot, Postal Questionnaire Surveys, Practice, Practitioners Attitudes, Prevention, Primary, Primary Care, Promotion, Qualitative, Qualitative Study, Quality, Quality Of, Reimbursement, Results, Risk-Factor Management, Scale, Topic, Views</w:t>
      </w:r>
    </w:p>
    <w:p w:rsidR="006E1210" w:rsidRPr="001A3D2B" w:rsidRDefault="006E1210" w:rsidP="006E1210">
      <w:pPr>
        <w:pStyle w:val="1"/>
      </w:pPr>
      <w:r w:rsidRPr="001A3D2B">
        <w:br w:type="page"/>
      </w:r>
      <w:bookmarkStart w:id="839" w:name="_Toc420814756"/>
      <w:r w:rsidRPr="001A3D2B">
        <w:lastRenderedPageBreak/>
        <w:t xml:space="preserve">Title: </w:t>
      </w:r>
      <w:r w:rsidRPr="006E1210">
        <w:rPr>
          <w:iCs w:val="0"/>
        </w:rPr>
        <w:t>BMC Gastroenterology</w:t>
      </w:r>
      <w:bookmarkEnd w:id="839"/>
    </w:p>
    <w:p w:rsidR="006E1210" w:rsidRPr="001A3D2B" w:rsidRDefault="006E1210" w:rsidP="006E1210">
      <w:pPr>
        <w:pStyle w:val="12"/>
      </w:pPr>
      <w:r w:rsidRPr="001A3D2B">
        <w:t xml:space="preserve">Full Journal Title: </w:t>
      </w:r>
      <w:r w:rsidRPr="006E1210">
        <w:rPr>
          <w:iCs/>
          <w:kern w:val="0"/>
        </w:rPr>
        <w:t>BMC Gastroenterology</w:t>
      </w:r>
    </w:p>
    <w:p w:rsidR="006E1210" w:rsidRPr="001A3D2B" w:rsidRDefault="006E1210" w:rsidP="006E1210">
      <w:pPr>
        <w:pStyle w:val="12"/>
      </w:pPr>
      <w:r w:rsidRPr="001A3D2B">
        <w:t xml:space="preserve">ISO Abbreviated Title: </w:t>
      </w:r>
    </w:p>
    <w:p w:rsidR="006E1210" w:rsidRPr="001A3D2B" w:rsidRDefault="006E1210" w:rsidP="006E1210">
      <w:pPr>
        <w:pStyle w:val="12"/>
      </w:pPr>
      <w:r w:rsidRPr="001A3D2B">
        <w:t xml:space="preserve">JCR Abbreviated Title: </w:t>
      </w:r>
    </w:p>
    <w:p w:rsidR="006E1210" w:rsidRPr="001A3D2B" w:rsidRDefault="006E1210" w:rsidP="006E1210">
      <w:pPr>
        <w:pStyle w:val="12"/>
      </w:pPr>
      <w:r w:rsidRPr="001A3D2B">
        <w:t xml:space="preserve">ISSN: </w:t>
      </w:r>
    </w:p>
    <w:p w:rsidR="006E1210" w:rsidRPr="001A3D2B" w:rsidRDefault="006E1210" w:rsidP="006E1210">
      <w:pPr>
        <w:pStyle w:val="12"/>
      </w:pPr>
      <w:r w:rsidRPr="001A3D2B">
        <w:t xml:space="preserve">Issues/Year: </w:t>
      </w:r>
    </w:p>
    <w:p w:rsidR="006E1210" w:rsidRPr="001A3D2B" w:rsidRDefault="006E1210" w:rsidP="006E1210">
      <w:pPr>
        <w:pStyle w:val="12"/>
      </w:pPr>
      <w:r w:rsidRPr="001A3D2B">
        <w:t xml:space="preserve">Journal Country/Territory: </w:t>
      </w:r>
    </w:p>
    <w:p w:rsidR="006E1210" w:rsidRPr="001A3D2B" w:rsidRDefault="006E1210" w:rsidP="006E1210">
      <w:pPr>
        <w:pStyle w:val="12"/>
      </w:pPr>
      <w:r w:rsidRPr="001A3D2B">
        <w:t xml:space="preserve">Language: </w:t>
      </w:r>
    </w:p>
    <w:p w:rsidR="006E1210" w:rsidRPr="001A3D2B" w:rsidRDefault="006E1210" w:rsidP="006E1210">
      <w:pPr>
        <w:pStyle w:val="12"/>
      </w:pPr>
      <w:r w:rsidRPr="001A3D2B">
        <w:t xml:space="preserve">Publisher: </w:t>
      </w:r>
    </w:p>
    <w:p w:rsidR="006E1210" w:rsidRPr="001A3D2B" w:rsidRDefault="006E1210" w:rsidP="006E1210">
      <w:pPr>
        <w:pStyle w:val="12"/>
      </w:pPr>
      <w:r w:rsidRPr="001A3D2B">
        <w:t xml:space="preserve">Publisher Address: </w:t>
      </w:r>
    </w:p>
    <w:p w:rsidR="006E1210" w:rsidRPr="001A3D2B" w:rsidRDefault="006E1210" w:rsidP="006E1210">
      <w:pPr>
        <w:pStyle w:val="12"/>
      </w:pPr>
      <w:r w:rsidRPr="001A3D2B">
        <w:t xml:space="preserve">Subject Categories: </w:t>
      </w:r>
    </w:p>
    <w:p w:rsidR="006E1210" w:rsidRPr="001A3D2B" w:rsidRDefault="006E1210" w:rsidP="006E1210">
      <w:pPr>
        <w:pStyle w:val="12"/>
      </w:pPr>
      <w:r w:rsidRPr="001A3D2B">
        <w:t xml:space="preserve">: Impact Factor </w:t>
      </w:r>
    </w:p>
    <w:p w:rsidR="002354D4" w:rsidRDefault="002354D4" w:rsidP="002354D4">
      <w:pPr>
        <w:pStyle w:val="a3"/>
        <w:rPr>
          <w:kern w:val="0"/>
        </w:rPr>
      </w:pPr>
      <w:r>
        <w:rPr>
          <w:rFonts w:hint="eastAsia"/>
          <w:kern w:val="0"/>
        </w:rPr>
        <w:t xml:space="preserve">? </w:t>
      </w:r>
      <w:r>
        <w:rPr>
          <w:kern w:val="0"/>
        </w:rPr>
        <w:t>Sterud, T., Ekeberg, O.</w:t>
      </w:r>
      <w:r w:rsidR="005853A9">
        <w:rPr>
          <w:kern w:val="0"/>
        </w:rPr>
        <w:t xml:space="preserve"> and </w:t>
      </w:r>
      <w:r>
        <w:rPr>
          <w:kern w:val="0"/>
        </w:rPr>
        <w:t>Hem, E. (2006), Health status in</w:t>
      </w:r>
      <w:r w:rsidR="003A1917">
        <w:rPr>
          <w:kern w:val="0"/>
        </w:rPr>
        <w:t xml:space="preserve"> the </w:t>
      </w:r>
      <w:r>
        <w:rPr>
          <w:kern w:val="0"/>
        </w:rPr>
        <w:t xml:space="preserve">ambulance services: A systematic review. </w:t>
      </w:r>
      <w:r>
        <w:rPr>
          <w:i/>
          <w:iCs/>
          <w:kern w:val="0"/>
        </w:rPr>
        <w:t>BMC Health Services Research</w:t>
      </w:r>
      <w:r>
        <w:rPr>
          <w:kern w:val="0"/>
        </w:rPr>
        <w:t xml:space="preserve">, </w:t>
      </w:r>
      <w:r>
        <w:rPr>
          <w:b/>
          <w:bCs/>
          <w:kern w:val="0"/>
        </w:rPr>
        <w:t>6</w:t>
      </w:r>
      <w:r>
        <w:rPr>
          <w:rFonts w:hint="eastAsia"/>
          <w:kern w:val="0"/>
        </w:rPr>
        <w:t xml:space="preserve">, </w:t>
      </w:r>
      <w:r w:rsidRPr="002E65A4">
        <w:rPr>
          <w:kern w:val="0"/>
        </w:rPr>
        <w:t>Article Number: 82</w:t>
      </w:r>
      <w:r>
        <w:rPr>
          <w:rFonts w:hint="eastAsia"/>
          <w:kern w:val="0"/>
        </w:rPr>
        <w:t>.</w:t>
      </w:r>
    </w:p>
    <w:p w:rsidR="002354D4" w:rsidRPr="003862C4" w:rsidRDefault="002354D4" w:rsidP="002354D4">
      <w:pPr>
        <w:pStyle w:val="a3"/>
      </w:pPr>
      <w:r>
        <w:rPr>
          <w:rFonts w:hint="eastAsia"/>
        </w:rPr>
        <w:t xml:space="preserve">Full Text: </w:t>
      </w:r>
      <w:hyperlink r:id="rId1564" w:history="1">
        <w:r w:rsidRPr="00172B6E">
          <w:rPr>
            <w:rStyle w:val="a5"/>
          </w:rPr>
          <w:t>2006\BMC Hea Ser Res6, 82.pdf</w:t>
        </w:r>
      </w:hyperlink>
    </w:p>
    <w:p w:rsidR="002354D4" w:rsidRDefault="002354D4" w:rsidP="002354D4">
      <w:pPr>
        <w:pStyle w:val="a3"/>
        <w:rPr>
          <w:kern w:val="0"/>
        </w:rPr>
      </w:pPr>
      <w:r>
        <w:rPr>
          <w:kern w:val="0"/>
        </w:rPr>
        <w:t>Abstract: Background: Researchers have become increasingly aware that ambulance personnel may be at risk</w:t>
      </w:r>
      <w:r w:rsidR="00427468">
        <w:rPr>
          <w:kern w:val="0"/>
        </w:rPr>
        <w:t xml:space="preserve"> of </w:t>
      </w:r>
      <w:r>
        <w:rPr>
          <w:kern w:val="0"/>
        </w:rPr>
        <w:t>developing work-related health problems. This article systematically explores</w:t>
      </w:r>
      <w:r w:rsidR="003A1917">
        <w:rPr>
          <w:kern w:val="0"/>
        </w:rPr>
        <w:t xml:space="preserve"> the </w:t>
      </w:r>
      <w:r>
        <w:rPr>
          <w:kern w:val="0"/>
        </w:rPr>
        <w:t>literature on health problems</w:t>
      </w:r>
      <w:r w:rsidR="005853A9">
        <w:rPr>
          <w:kern w:val="0"/>
        </w:rPr>
        <w:t xml:space="preserve"> and </w:t>
      </w:r>
      <w:r>
        <w:rPr>
          <w:kern w:val="0"/>
        </w:rPr>
        <w:t>work-related</w:t>
      </w:r>
      <w:r w:rsidR="005853A9">
        <w:rPr>
          <w:kern w:val="0"/>
        </w:rPr>
        <w:t xml:space="preserve"> and </w:t>
      </w:r>
      <w:r>
        <w:rPr>
          <w:kern w:val="0"/>
        </w:rPr>
        <w:t>individual health predictors in</w:t>
      </w:r>
      <w:r w:rsidR="003A1917">
        <w:rPr>
          <w:kern w:val="0"/>
        </w:rPr>
        <w:t xml:space="preserve"> the </w:t>
      </w:r>
      <w:r>
        <w:rPr>
          <w:kern w:val="0"/>
        </w:rPr>
        <w:t>ambulance services. Methods: We identified</w:t>
      </w:r>
      <w:r w:rsidR="003A1917">
        <w:rPr>
          <w:kern w:val="0"/>
        </w:rPr>
        <w:t xml:space="preserve"> the </w:t>
      </w:r>
      <w:r>
        <w:rPr>
          <w:kern w:val="0"/>
        </w:rPr>
        <w:t xml:space="preserve">relevant empirical literature by searching several electronic databases including </w:t>
      </w:r>
      <w:r w:rsidR="00D5664A">
        <w:rPr>
          <w:kern w:val="0"/>
        </w:rPr>
        <w:t>MEDLINE</w:t>
      </w:r>
      <w:r>
        <w:rPr>
          <w:kern w:val="0"/>
        </w:rPr>
        <w:t>, EMBASE, PsychINFO, CINAHL,</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Other relevant sources were identified through reference lists</w:t>
      </w:r>
      <w:r w:rsidR="005853A9">
        <w:rPr>
          <w:kern w:val="0"/>
        </w:rPr>
        <w:t xml:space="preserve"> and </w:t>
      </w:r>
      <w:r>
        <w:rPr>
          <w:kern w:val="0"/>
        </w:rPr>
        <w:t>other relevant studies known by</w:t>
      </w:r>
      <w:r w:rsidR="003A1917">
        <w:rPr>
          <w:kern w:val="0"/>
        </w:rPr>
        <w:t xml:space="preserve"> the </w:t>
      </w:r>
      <w:r>
        <w:rPr>
          <w:kern w:val="0"/>
        </w:rPr>
        <w:t>research group. Results: Forty-nine studies are included in this review. Our analysis shows that ambulance workers have a higher standardized mortality rate, higher level</w:t>
      </w:r>
      <w:r w:rsidR="00427468">
        <w:rPr>
          <w:kern w:val="0"/>
        </w:rPr>
        <w:t xml:space="preserve"> of </w:t>
      </w:r>
      <w:r>
        <w:rPr>
          <w:kern w:val="0"/>
        </w:rPr>
        <w:t>fatal accidents, higher level</w:t>
      </w:r>
      <w:r w:rsidR="00427468">
        <w:rPr>
          <w:kern w:val="0"/>
        </w:rPr>
        <w:t xml:space="preserve"> of </w:t>
      </w:r>
      <w:r>
        <w:rPr>
          <w:kern w:val="0"/>
        </w:rPr>
        <w:t>accident injuries</w:t>
      </w:r>
      <w:r w:rsidR="005853A9">
        <w:rPr>
          <w:kern w:val="0"/>
        </w:rPr>
        <w:t xml:space="preserve"> and </w:t>
      </w:r>
      <w:r>
        <w:rPr>
          <w:kern w:val="0"/>
        </w:rPr>
        <w:t>a higher standardized early retirement on medical grounds than</w:t>
      </w:r>
      <w:r w:rsidR="003A1917">
        <w:rPr>
          <w:kern w:val="0"/>
        </w:rPr>
        <w:t xml:space="preserve"> the </w:t>
      </w:r>
      <w:r>
        <w:rPr>
          <w:kern w:val="0"/>
        </w:rPr>
        <w:t>general working population</w:t>
      </w:r>
      <w:r w:rsidR="005853A9">
        <w:rPr>
          <w:kern w:val="0"/>
        </w:rPr>
        <w:t xml:space="preserve"> and </w:t>
      </w:r>
      <w:r>
        <w:rPr>
          <w:kern w:val="0"/>
        </w:rPr>
        <w:t>workers in other health occupations. Ambulance workers also seem to have more musculoskeletal problems than</w:t>
      </w:r>
      <w:r w:rsidR="003A1917">
        <w:rPr>
          <w:kern w:val="0"/>
        </w:rPr>
        <w:t xml:space="preserve"> the </w:t>
      </w:r>
      <w:r>
        <w:rPr>
          <w:kern w:val="0"/>
        </w:rPr>
        <w:t>general population</w:t>
      </w:r>
      <w:r w:rsidR="00A37C1D">
        <w:rPr>
          <w:kern w:val="0"/>
        </w:rPr>
        <w:t>. The</w:t>
      </w:r>
      <w:r>
        <w:rPr>
          <w:kern w:val="0"/>
        </w:rPr>
        <w:t>se conclusions are preliminary at present because each is based on a single study. More studies have addressed mental health problems</w:t>
      </w:r>
      <w:r w:rsidR="00A37C1D">
        <w:rPr>
          <w:kern w:val="0"/>
        </w:rPr>
        <w:t>. The</w:t>
      </w:r>
      <w:r w:rsidR="003A1917">
        <w:rPr>
          <w:kern w:val="0"/>
        </w:rPr>
        <w:t xml:space="preserve"> </w:t>
      </w:r>
      <w:r>
        <w:rPr>
          <w:kern w:val="0"/>
        </w:rPr>
        <w:t>prevalence</w:t>
      </w:r>
      <w:r w:rsidR="00427468">
        <w:rPr>
          <w:kern w:val="0"/>
        </w:rPr>
        <w:t xml:space="preserve"> of </w:t>
      </w:r>
      <w:r>
        <w:rPr>
          <w:kern w:val="0"/>
        </w:rPr>
        <w:t>post-traumatic stress symptom caseness was &gt;20% in five</w:t>
      </w:r>
      <w:r w:rsidR="00427468">
        <w:rPr>
          <w:kern w:val="0"/>
        </w:rPr>
        <w:t xml:space="preserve"> of </w:t>
      </w:r>
      <w:r>
        <w:rPr>
          <w:kern w:val="0"/>
        </w:rPr>
        <w:t>seven studies,</w:t>
      </w:r>
      <w:r w:rsidR="005853A9">
        <w:rPr>
          <w:kern w:val="0"/>
        </w:rPr>
        <w:t xml:space="preserve"> and </w:t>
      </w:r>
      <w:r>
        <w:rPr>
          <w:kern w:val="0"/>
        </w:rPr>
        <w:t>similarly high prevalence rates were reported for anxiety</w:t>
      </w:r>
      <w:r w:rsidR="005853A9">
        <w:rPr>
          <w:kern w:val="0"/>
        </w:rPr>
        <w:t xml:space="preserve"> and </w:t>
      </w:r>
      <w:r>
        <w:rPr>
          <w:kern w:val="0"/>
        </w:rPr>
        <w:t>general psychopathology in four</w:t>
      </w:r>
      <w:r w:rsidR="00427468">
        <w:rPr>
          <w:kern w:val="0"/>
        </w:rPr>
        <w:t xml:space="preserve"> of </w:t>
      </w:r>
      <w:r>
        <w:rPr>
          <w:kern w:val="0"/>
        </w:rPr>
        <w:t>five studies. However, it is unclear whether ambulance personnel suffer from more mental health problems than</w:t>
      </w:r>
      <w:r w:rsidR="003A1917">
        <w:rPr>
          <w:kern w:val="0"/>
        </w:rPr>
        <w:t xml:space="preserve"> the </w:t>
      </w:r>
      <w:r>
        <w:rPr>
          <w:kern w:val="0"/>
        </w:rPr>
        <w:t>general working population. Conclusion: Several indicators suggest that workers in</w:t>
      </w:r>
      <w:r w:rsidR="003A1917">
        <w:rPr>
          <w:kern w:val="0"/>
        </w:rPr>
        <w:t xml:space="preserve"> the </w:t>
      </w:r>
      <w:r>
        <w:rPr>
          <w:kern w:val="0"/>
        </w:rPr>
        <w:t>ambulance services experience more health problems than</w:t>
      </w:r>
      <w:r w:rsidR="003A1917">
        <w:rPr>
          <w:kern w:val="0"/>
        </w:rPr>
        <w:t xml:space="preserve"> the </w:t>
      </w:r>
      <w:r>
        <w:rPr>
          <w:kern w:val="0"/>
        </w:rPr>
        <w:t>general working population</w:t>
      </w:r>
      <w:r w:rsidR="005853A9">
        <w:rPr>
          <w:kern w:val="0"/>
        </w:rPr>
        <w:t xml:space="preserve"> and </w:t>
      </w:r>
      <w:r>
        <w:rPr>
          <w:kern w:val="0"/>
        </w:rPr>
        <w:t xml:space="preserve">workers in other health occupations. Several methodological challenges, such as small sample sizes, </w:t>
      </w:r>
      <w:r>
        <w:rPr>
          <w:kern w:val="0"/>
        </w:rPr>
        <w:lastRenderedPageBreak/>
        <w:t>non-representative samples,</w:t>
      </w:r>
      <w:r w:rsidR="005853A9">
        <w:rPr>
          <w:kern w:val="0"/>
        </w:rPr>
        <w:t xml:space="preserve"> and </w:t>
      </w:r>
      <w:r>
        <w:rPr>
          <w:kern w:val="0"/>
        </w:rPr>
        <w:t>lack</w:t>
      </w:r>
      <w:r w:rsidR="00427468">
        <w:rPr>
          <w:kern w:val="0"/>
        </w:rPr>
        <w:t xml:space="preserve"> of </w:t>
      </w:r>
      <w:r>
        <w:rPr>
          <w:kern w:val="0"/>
        </w:rPr>
        <w:t>comparisons with normative data limit</w:t>
      </w:r>
      <w:r w:rsidR="003A1917">
        <w:rPr>
          <w:kern w:val="0"/>
        </w:rPr>
        <w:t xml:space="preserve"> the </w:t>
      </w:r>
      <w:r>
        <w:rPr>
          <w:kern w:val="0"/>
        </w:rPr>
        <w:t>interpretation</w:t>
      </w:r>
      <w:r w:rsidR="00427468">
        <w:rPr>
          <w:kern w:val="0"/>
        </w:rPr>
        <w:t xml:space="preserve"> of </w:t>
      </w:r>
      <w:r>
        <w:rPr>
          <w:kern w:val="0"/>
        </w:rPr>
        <w:t>many studies. More coordinated research</w:t>
      </w:r>
      <w:r w:rsidR="005853A9">
        <w:rPr>
          <w:kern w:val="0"/>
        </w:rPr>
        <w:t xml:space="preserve"> and </w:t>
      </w:r>
      <w:r>
        <w:rPr>
          <w:kern w:val="0"/>
        </w:rPr>
        <w:t>replication are needed to compare data across studies. We discuss some strategies for future research.</w:t>
      </w:r>
    </w:p>
    <w:p w:rsidR="002354D4" w:rsidRDefault="002354D4" w:rsidP="002354D4">
      <w:pPr>
        <w:pStyle w:val="a3"/>
        <w:rPr>
          <w:kern w:val="0"/>
        </w:rPr>
      </w:pPr>
      <w:r>
        <w:rPr>
          <w:kern w:val="0"/>
        </w:rPr>
        <w:t>Keywords: Analysis, Anxiety, Comparing Early Retirements, Critical Incident Exposure, Databases, EMBASE, Ems Providers, Follow-up, Health, Interpretation</w:t>
      </w:r>
      <w:r w:rsidR="00D5664A">
        <w:rPr>
          <w:kern w:val="0"/>
        </w:rPr>
        <w:t>, ISI,</w:t>
      </w:r>
      <w:r>
        <w:rPr>
          <w:kern w:val="0"/>
        </w:rPr>
        <w:t xml:space="preserve"> Literature, Longitudinal Course, Medical, Medical Grounds, Mental Health, Mental-Health, Methods, Mortality, Personnel, Posttraumatic Stress, Posttraumatic-Stress, Prevalence, Rescue Workers, Research, Researchers, Review, Risk, Science, Stress, Systematic, Systematic Review, </w:t>
      </w:r>
      <w:r w:rsidR="00D5664A">
        <w:rPr>
          <w:kern w:val="0"/>
        </w:rPr>
        <w:t>Web</w:t>
      </w:r>
      <w:r w:rsidR="00427468">
        <w:rPr>
          <w:kern w:val="0"/>
        </w:rPr>
        <w:t xml:space="preserve"> of </w:t>
      </w:r>
      <w:r w:rsidR="00D5664A">
        <w:rPr>
          <w:kern w:val="0"/>
        </w:rPr>
        <w:t>Science</w:t>
      </w:r>
    </w:p>
    <w:p w:rsidR="002354D4" w:rsidRDefault="002354D4" w:rsidP="002354D4">
      <w:pPr>
        <w:pStyle w:val="a3"/>
        <w:rPr>
          <w:kern w:val="0"/>
        </w:rPr>
      </w:pPr>
      <w:r>
        <w:rPr>
          <w:rFonts w:hint="eastAsia"/>
          <w:kern w:val="0"/>
        </w:rPr>
        <w:t xml:space="preserve">? </w:t>
      </w:r>
      <w:r>
        <w:rPr>
          <w:kern w:val="0"/>
        </w:rPr>
        <w:t>Hutton, C.</w:t>
      </w:r>
      <w:r w:rsidR="005853A9">
        <w:rPr>
          <w:kern w:val="0"/>
        </w:rPr>
        <w:t xml:space="preserve"> and </w:t>
      </w:r>
      <w:r>
        <w:rPr>
          <w:kern w:val="0"/>
        </w:rPr>
        <w:t>Gunn, J. (2007), Do longer consultations improve</w:t>
      </w:r>
      <w:r w:rsidR="003A1917">
        <w:rPr>
          <w:kern w:val="0"/>
        </w:rPr>
        <w:t xml:space="preserve"> the </w:t>
      </w:r>
      <w:r>
        <w:rPr>
          <w:kern w:val="0"/>
        </w:rPr>
        <w:t>management</w:t>
      </w:r>
      <w:r w:rsidR="00427468">
        <w:rPr>
          <w:kern w:val="0"/>
        </w:rPr>
        <w:t xml:space="preserve"> of </w:t>
      </w:r>
      <w:r>
        <w:rPr>
          <w:kern w:val="0"/>
        </w:rPr>
        <w:t xml:space="preserve">psychological problems in general practice? A systematic literature review. </w:t>
      </w:r>
      <w:r>
        <w:rPr>
          <w:i/>
          <w:iCs/>
          <w:kern w:val="0"/>
        </w:rPr>
        <w:t>BMC Health Services Research</w:t>
      </w:r>
      <w:r>
        <w:rPr>
          <w:kern w:val="0"/>
        </w:rPr>
        <w:t xml:space="preserve">, </w:t>
      </w:r>
      <w:r>
        <w:rPr>
          <w:b/>
          <w:bCs/>
          <w:kern w:val="0"/>
        </w:rPr>
        <w:t>7</w:t>
      </w:r>
      <w:r>
        <w:rPr>
          <w:rFonts w:hint="eastAsia"/>
          <w:kern w:val="0"/>
        </w:rPr>
        <w:t xml:space="preserve">, </w:t>
      </w:r>
      <w:r>
        <w:rPr>
          <w:kern w:val="0"/>
        </w:rPr>
        <w:t>Article Number: 71</w:t>
      </w:r>
      <w:r>
        <w:rPr>
          <w:rFonts w:hint="eastAsia"/>
          <w:kern w:val="0"/>
        </w:rPr>
        <w:t>.</w:t>
      </w:r>
    </w:p>
    <w:p w:rsidR="002354D4" w:rsidRPr="003862C4" w:rsidRDefault="002354D4" w:rsidP="002354D4">
      <w:pPr>
        <w:pStyle w:val="a3"/>
      </w:pPr>
      <w:r>
        <w:rPr>
          <w:rFonts w:hint="eastAsia"/>
        </w:rPr>
        <w:t xml:space="preserve">Full Text: </w:t>
      </w:r>
      <w:hyperlink r:id="rId1565" w:history="1">
        <w:r w:rsidRPr="00172B6E">
          <w:rPr>
            <w:rStyle w:val="a5"/>
          </w:rPr>
          <w:t>2007\BMC Hea Ser Res7, 71.pdf</w:t>
        </w:r>
      </w:hyperlink>
    </w:p>
    <w:p w:rsidR="002354D4" w:rsidRDefault="002354D4" w:rsidP="002354D4">
      <w:pPr>
        <w:pStyle w:val="a3"/>
        <w:rPr>
          <w:kern w:val="0"/>
        </w:rPr>
      </w:pPr>
      <w:r>
        <w:rPr>
          <w:kern w:val="0"/>
        </w:rPr>
        <w:t>Abstract: Background: Psychological problems present a huge burden</w:t>
      </w:r>
      <w:r w:rsidR="00427468">
        <w:rPr>
          <w:kern w:val="0"/>
        </w:rPr>
        <w:t xml:space="preserve"> of </w:t>
      </w:r>
      <w:r>
        <w:rPr>
          <w:kern w:val="0"/>
        </w:rPr>
        <w:t>illness in our community</w:t>
      </w:r>
      <w:r w:rsidR="005853A9">
        <w:rPr>
          <w:kern w:val="0"/>
        </w:rPr>
        <w:t xml:space="preserve"> and </w:t>
      </w:r>
      <w:r>
        <w:rPr>
          <w:kern w:val="0"/>
        </w:rPr>
        <w:t>GPs are</w:t>
      </w:r>
      <w:r w:rsidR="003A1917">
        <w:rPr>
          <w:kern w:val="0"/>
        </w:rPr>
        <w:t xml:space="preserve"> the </w:t>
      </w:r>
      <w:r>
        <w:rPr>
          <w:kern w:val="0"/>
        </w:rPr>
        <w:t>main providers</w:t>
      </w:r>
      <w:r w:rsidR="00427468">
        <w:rPr>
          <w:kern w:val="0"/>
        </w:rPr>
        <w:t xml:space="preserve"> of </w:t>
      </w:r>
      <w:r>
        <w:rPr>
          <w:kern w:val="0"/>
        </w:rPr>
        <w:t>care</w:t>
      </w:r>
      <w:r w:rsidR="00A37C1D">
        <w:rPr>
          <w:kern w:val="0"/>
        </w:rPr>
        <w:t>. The</w:t>
      </w:r>
      <w:r>
        <w:rPr>
          <w:kern w:val="0"/>
        </w:rPr>
        <w:t>re is evidence that longer consultations in general practice are associated with improved quality</w:t>
      </w:r>
      <w:r w:rsidR="00427468">
        <w:rPr>
          <w:kern w:val="0"/>
        </w:rPr>
        <w:t xml:space="preserve"> of </w:t>
      </w:r>
      <w:r>
        <w:rPr>
          <w:kern w:val="0"/>
        </w:rPr>
        <w:t>care; but this needs to be balanced against</w:t>
      </w:r>
      <w:r w:rsidR="003A1917">
        <w:rPr>
          <w:kern w:val="0"/>
        </w:rPr>
        <w:t xml:space="preserve"> the </w:t>
      </w:r>
      <w:r>
        <w:rPr>
          <w:kern w:val="0"/>
        </w:rPr>
        <w:t>fact that doctor time is a limited resource</w:t>
      </w:r>
      <w:r w:rsidR="005853A9">
        <w:rPr>
          <w:kern w:val="0"/>
        </w:rPr>
        <w:t xml:space="preserve"> and </w:t>
      </w:r>
      <w:r>
        <w:rPr>
          <w:kern w:val="0"/>
        </w:rPr>
        <w:t>longer consultations may lead to reduced access to health care</w:t>
      </w:r>
      <w:r w:rsidR="00A37C1D">
        <w:rPr>
          <w:kern w:val="0"/>
        </w:rPr>
        <w:t>. The</w:t>
      </w:r>
      <w:r w:rsidR="003A1917">
        <w:rPr>
          <w:kern w:val="0"/>
        </w:rPr>
        <w:t xml:space="preserve"> </w:t>
      </w:r>
      <w:r>
        <w:rPr>
          <w:kern w:val="0"/>
        </w:rPr>
        <w:t>aim</w:t>
      </w:r>
      <w:r w:rsidR="00427468">
        <w:rPr>
          <w:kern w:val="0"/>
        </w:rPr>
        <w:t xml:space="preserve"> of </w:t>
      </w:r>
      <w:r>
        <w:rPr>
          <w:kern w:val="0"/>
        </w:rPr>
        <w:t>this research was to conduct a systematic literature review to determine whether management</w:t>
      </w:r>
      <w:r w:rsidR="00427468">
        <w:rPr>
          <w:kern w:val="0"/>
        </w:rPr>
        <w:t xml:space="preserve"> of </w:t>
      </w:r>
      <w:r>
        <w:rPr>
          <w:kern w:val="0"/>
        </w:rPr>
        <w:t>psychological problems in general practice is associated with an increased consultation length</w:t>
      </w:r>
      <w:r w:rsidR="005853A9">
        <w:rPr>
          <w:kern w:val="0"/>
        </w:rPr>
        <w:t xml:space="preserve"> and </w:t>
      </w:r>
      <w:r>
        <w:rPr>
          <w:kern w:val="0"/>
        </w:rPr>
        <w:t xml:space="preserve">to explore whether longer consultations are associated with better health outcomes for patients with psychological problems. Methods: A search was conducted on </w:t>
      </w:r>
      <w:r w:rsidR="00D5664A">
        <w:rPr>
          <w:kern w:val="0"/>
        </w:rPr>
        <w:t>MEDLINE</w:t>
      </w:r>
      <w:r>
        <w:rPr>
          <w:kern w:val="0"/>
        </w:rPr>
        <w:t xml:space="preserve"> (Ovid) databases up to7 June 2006</w:t>
      </w:r>
      <w:r w:rsidR="00A37C1D">
        <w:rPr>
          <w:kern w:val="0"/>
        </w:rPr>
        <w:t>. The</w:t>
      </w:r>
      <w:r w:rsidR="003A1917">
        <w:rPr>
          <w:kern w:val="0"/>
        </w:rPr>
        <w:t xml:space="preserve"> </w:t>
      </w:r>
      <w:r>
        <w:rPr>
          <w:kern w:val="0"/>
        </w:rPr>
        <w:t>following search terms, were used: general practice or primary health care (free text) or family practice (MeSH)</w:t>
      </w:r>
      <w:r w:rsidR="005853A9">
        <w:rPr>
          <w:kern w:val="0"/>
        </w:rPr>
        <w:t xml:space="preserve"> and </w:t>
      </w:r>
      <w:r>
        <w:rPr>
          <w:kern w:val="0"/>
        </w:rPr>
        <w:t>consultation length or duration (free text) or time factors (MeSH)</w:t>
      </w:r>
      <w:r w:rsidR="005853A9">
        <w:rPr>
          <w:kern w:val="0"/>
        </w:rPr>
        <w:t xml:space="preserve"> and </w:t>
      </w:r>
      <w:r>
        <w:rPr>
          <w:kern w:val="0"/>
        </w:rPr>
        <w:t xml:space="preserve">depression or psychological problems or depressed (free text). A similar search was done in </w:t>
      </w:r>
      <w:r w:rsidR="00D5664A">
        <w:rPr>
          <w:kern w:val="0"/>
        </w:rPr>
        <w:t>Web</w:t>
      </w:r>
      <w:r w:rsidR="00427468">
        <w:rPr>
          <w:kern w:val="0"/>
        </w:rPr>
        <w:t xml:space="preserve"> of </w:t>
      </w:r>
      <w:r w:rsidR="00D5664A">
        <w:rPr>
          <w:kern w:val="0"/>
        </w:rPr>
        <w:t>Science</w:t>
      </w:r>
      <w:r>
        <w:rPr>
          <w:kern w:val="0"/>
        </w:rPr>
        <w:t xml:space="preserve">, </w:t>
      </w:r>
      <w:r w:rsidR="002C12F0">
        <w:rPr>
          <w:kern w:val="0"/>
        </w:rPr>
        <w:t>PUBMED</w:t>
      </w:r>
      <w:r>
        <w:rPr>
          <w:kern w:val="0"/>
        </w:rPr>
        <w:t>, Google Scholar,</w:t>
      </w:r>
      <w:r w:rsidR="005853A9">
        <w:rPr>
          <w:kern w:val="0"/>
        </w:rPr>
        <w:t xml:space="preserve"> and </w:t>
      </w:r>
      <w:r>
        <w:rPr>
          <w:kern w:val="0"/>
        </w:rPr>
        <w:t>Cochrane Library</w:t>
      </w:r>
      <w:r w:rsidR="005853A9">
        <w:rPr>
          <w:kern w:val="0"/>
        </w:rPr>
        <w:t xml:space="preserve"> and </w:t>
      </w:r>
      <w:r>
        <w:rPr>
          <w:kern w:val="0"/>
        </w:rPr>
        <w:t>no other papers were found. Studies were included if they contained data comparing consultation length</w:t>
      </w:r>
      <w:r w:rsidR="005853A9">
        <w:rPr>
          <w:kern w:val="0"/>
        </w:rPr>
        <w:t xml:space="preserve"> and </w:t>
      </w:r>
      <w:r>
        <w:rPr>
          <w:kern w:val="0"/>
        </w:rPr>
        <w:t>management or detection</w:t>
      </w:r>
      <w:r w:rsidR="00427468">
        <w:rPr>
          <w:kern w:val="0"/>
        </w:rPr>
        <w:t xml:space="preserve"> of </w:t>
      </w:r>
      <w:r>
        <w:rPr>
          <w:kern w:val="0"/>
        </w:rPr>
        <w:t>psychological problems in a general practice or primary health care setting</w:t>
      </w:r>
      <w:r w:rsidR="00A37C1D">
        <w:rPr>
          <w:kern w:val="0"/>
        </w:rPr>
        <w:t>. The</w:t>
      </w:r>
      <w:r w:rsidR="003A1917">
        <w:rPr>
          <w:kern w:val="0"/>
        </w:rPr>
        <w:t xml:space="preserve"> </w:t>
      </w:r>
      <w:r>
        <w:rPr>
          <w:kern w:val="0"/>
        </w:rPr>
        <w:t>studies were read</w:t>
      </w:r>
      <w:r w:rsidR="005853A9">
        <w:rPr>
          <w:kern w:val="0"/>
        </w:rPr>
        <w:t xml:space="preserve"> and </w:t>
      </w:r>
      <w:r>
        <w:rPr>
          <w:kern w:val="0"/>
        </w:rPr>
        <w:t>categories developed to enable systematic data extraction</w:t>
      </w:r>
      <w:r w:rsidR="005853A9">
        <w:rPr>
          <w:kern w:val="0"/>
        </w:rPr>
        <w:t xml:space="preserve"> and </w:t>
      </w:r>
      <w:r>
        <w:rPr>
          <w:kern w:val="0"/>
        </w:rPr>
        <w:t>synthesis. Results: 29 papers met</w:t>
      </w:r>
      <w:r w:rsidR="003A1917">
        <w:rPr>
          <w:kern w:val="0"/>
        </w:rPr>
        <w:t xml:space="preserve"> the </w:t>
      </w:r>
      <w:r>
        <w:rPr>
          <w:kern w:val="0"/>
        </w:rPr>
        <w:t>inclusion criteria. Consultations with a recorded diagnosis</w:t>
      </w:r>
      <w:r w:rsidR="00427468">
        <w:rPr>
          <w:kern w:val="0"/>
        </w:rPr>
        <w:t xml:space="preserve"> of </w:t>
      </w:r>
      <w:r>
        <w:rPr>
          <w:kern w:val="0"/>
        </w:rPr>
        <w:t>a psychological problem were reported to be longer than those with no recorded psychological diagnosis. It is not clear if this is related to</w:t>
      </w:r>
      <w:r w:rsidR="003A1917">
        <w:rPr>
          <w:kern w:val="0"/>
        </w:rPr>
        <w:t xml:space="preserve"> the </w:t>
      </w:r>
      <w:r>
        <w:rPr>
          <w:kern w:val="0"/>
        </w:rPr>
        <w:t>extra time or</w:t>
      </w:r>
      <w:r w:rsidR="003A1917">
        <w:rPr>
          <w:kern w:val="0"/>
        </w:rPr>
        <w:t xml:space="preserve"> the </w:t>
      </w:r>
      <w:r>
        <w:rPr>
          <w:kern w:val="0"/>
        </w:rPr>
        <w:t>consultation style. GPs reported that time pressure is a major barrier to treating depression</w:t>
      </w:r>
      <w:r w:rsidR="00A37C1D">
        <w:rPr>
          <w:kern w:val="0"/>
        </w:rPr>
        <w:t>. The</w:t>
      </w:r>
      <w:r>
        <w:rPr>
          <w:kern w:val="0"/>
        </w:rPr>
        <w:t>re was some evidence that increased consultation length is associated with more accurate diagnosis</w:t>
      </w:r>
      <w:r w:rsidR="00427468">
        <w:rPr>
          <w:kern w:val="0"/>
        </w:rPr>
        <w:t xml:space="preserve"> of </w:t>
      </w:r>
      <w:r>
        <w:rPr>
          <w:kern w:val="0"/>
        </w:rPr>
        <w:t>psychological problems. Conclusion: Further research is needed to elucidate</w:t>
      </w:r>
      <w:r w:rsidR="003A1917">
        <w:rPr>
          <w:kern w:val="0"/>
        </w:rPr>
        <w:t xml:space="preserve"> the </w:t>
      </w:r>
      <w:r>
        <w:rPr>
          <w:kern w:val="0"/>
        </w:rPr>
        <w:t>factors in longer consultations that are associated with greater detection</w:t>
      </w:r>
      <w:r w:rsidR="00427468">
        <w:rPr>
          <w:kern w:val="0"/>
        </w:rPr>
        <w:t xml:space="preserve"> of </w:t>
      </w:r>
      <w:r>
        <w:rPr>
          <w:kern w:val="0"/>
        </w:rPr>
        <w:t>psychological problems,</w:t>
      </w:r>
      <w:r w:rsidR="005853A9">
        <w:rPr>
          <w:kern w:val="0"/>
        </w:rPr>
        <w:t xml:space="preserve"> and </w:t>
      </w:r>
      <w:r>
        <w:rPr>
          <w:kern w:val="0"/>
        </w:rPr>
        <w:t>to determine</w:t>
      </w:r>
      <w:r w:rsidR="003A1917">
        <w:rPr>
          <w:kern w:val="0"/>
        </w:rPr>
        <w:t xml:space="preserve"> the </w:t>
      </w:r>
      <w:r>
        <w:rPr>
          <w:kern w:val="0"/>
        </w:rPr>
        <w:t xml:space="preserve">association </w:t>
      </w:r>
      <w:r>
        <w:rPr>
          <w:kern w:val="0"/>
        </w:rPr>
        <w:lastRenderedPageBreak/>
        <w:t>between</w:t>
      </w:r>
      <w:r w:rsidR="003A1917">
        <w:rPr>
          <w:kern w:val="0"/>
        </w:rPr>
        <w:t xml:space="preserve"> the </w:t>
      </w:r>
      <w:r>
        <w:rPr>
          <w:kern w:val="0"/>
        </w:rPr>
        <w:t>detection</w:t>
      </w:r>
      <w:r w:rsidR="00427468">
        <w:rPr>
          <w:kern w:val="0"/>
        </w:rPr>
        <w:t xml:space="preserve"> of </w:t>
      </w:r>
      <w:r>
        <w:rPr>
          <w:kern w:val="0"/>
        </w:rPr>
        <w:t>psychological problems</w:t>
      </w:r>
      <w:r w:rsidR="005853A9">
        <w:rPr>
          <w:kern w:val="0"/>
        </w:rPr>
        <w:t xml:space="preserve"> and </w:t>
      </w:r>
      <w:r w:rsidR="003A1917">
        <w:rPr>
          <w:kern w:val="0"/>
        </w:rPr>
        <w:t xml:space="preserve">the </w:t>
      </w:r>
      <w:r>
        <w:rPr>
          <w:kern w:val="0"/>
        </w:rPr>
        <w:t>attitude, gender, age or training</w:t>
      </w:r>
      <w:r w:rsidR="00427468">
        <w:rPr>
          <w:kern w:val="0"/>
        </w:rPr>
        <w:t xml:space="preserve"> of </w:t>
      </w:r>
      <w:r w:rsidR="003A1917">
        <w:rPr>
          <w:kern w:val="0"/>
        </w:rPr>
        <w:t xml:space="preserve">the </w:t>
      </w:r>
      <w:r>
        <w:rPr>
          <w:kern w:val="0"/>
        </w:rPr>
        <w:t>GP</w:t>
      </w:r>
      <w:r w:rsidR="005853A9">
        <w:rPr>
          <w:kern w:val="0"/>
        </w:rPr>
        <w:t xml:space="preserve"> and </w:t>
      </w:r>
      <w:r w:rsidR="003A1917">
        <w:rPr>
          <w:kern w:val="0"/>
        </w:rPr>
        <w:t xml:space="preserve">the </w:t>
      </w:r>
      <w:r>
        <w:rPr>
          <w:kern w:val="0"/>
        </w:rPr>
        <w:t>age, gender</w:t>
      </w:r>
      <w:r w:rsidR="005853A9">
        <w:rPr>
          <w:kern w:val="0"/>
        </w:rPr>
        <w:t xml:space="preserve"> and </w:t>
      </w:r>
      <w:r>
        <w:rPr>
          <w:kern w:val="0"/>
        </w:rPr>
        <w:t>socioeconomic status</w:t>
      </w:r>
      <w:r w:rsidR="00427468">
        <w:rPr>
          <w:kern w:val="0"/>
        </w:rPr>
        <w:t xml:space="preserve"> of </w:t>
      </w:r>
      <w:r w:rsidR="003A1917">
        <w:rPr>
          <w:kern w:val="0"/>
        </w:rPr>
        <w:t xml:space="preserve">the </w:t>
      </w:r>
      <w:r>
        <w:rPr>
          <w:kern w:val="0"/>
        </w:rPr>
        <w:t>patient</w:t>
      </w:r>
      <w:r w:rsidR="00A37C1D">
        <w:rPr>
          <w:kern w:val="0"/>
        </w:rPr>
        <w:t>. The</w:t>
      </w:r>
      <w:r>
        <w:rPr>
          <w:kern w:val="0"/>
        </w:rPr>
        <w:t>se are important considerations if general practice is to deal more effectively with people with psychological problems.</w:t>
      </w:r>
    </w:p>
    <w:p w:rsidR="002354D4" w:rsidRDefault="002354D4" w:rsidP="002354D4">
      <w:pPr>
        <w:pStyle w:val="a3"/>
        <w:rPr>
          <w:kern w:val="0"/>
        </w:rPr>
      </w:pPr>
      <w:r>
        <w:rPr>
          <w:kern w:val="0"/>
        </w:rPr>
        <w:t>Keywords: 5 Minute Consultation, Attitude, Burden, Care, Cochrane, Consultation, Databases, Depression, Determinants, Diagnosis, Family Practice, Gender, General Practice, Google Scholar, GP</w:t>
      </w:r>
      <w:r>
        <w:rPr>
          <w:rFonts w:hint="eastAsia"/>
          <w:kern w:val="0"/>
        </w:rPr>
        <w:t>s</w:t>
      </w:r>
      <w:r>
        <w:rPr>
          <w:kern w:val="0"/>
        </w:rPr>
        <w:t>, Health Care, Health Outcomes, Lead, Length, Literature, Literature Review, Management, Methods, Outcomes, Papers, Practice, Practitioners, Pressure, Primary, Primary Health Care, Psychological, Quality, Quality</w:t>
      </w:r>
      <w:r w:rsidR="00427468">
        <w:rPr>
          <w:kern w:val="0"/>
        </w:rPr>
        <w:t xml:space="preserve"> of </w:t>
      </w:r>
      <w:r>
        <w:rPr>
          <w:kern w:val="0"/>
        </w:rPr>
        <w:t xml:space="preserve">Care, Research, Review, Satisfaction, Science, Socioeconomic Status, Systematic, Systematic Literature Review, Time Constraint, Training, </w:t>
      </w:r>
      <w:r w:rsidR="00D5664A">
        <w:rPr>
          <w:kern w:val="0"/>
        </w:rPr>
        <w:t>Web</w:t>
      </w:r>
      <w:r w:rsidR="00427468">
        <w:rPr>
          <w:kern w:val="0"/>
        </w:rPr>
        <w:t xml:space="preserve"> of </w:t>
      </w:r>
      <w:r w:rsidR="00D5664A">
        <w:rPr>
          <w:kern w:val="0"/>
        </w:rPr>
        <w:t>Science</w:t>
      </w:r>
    </w:p>
    <w:p w:rsidR="002354D4" w:rsidRPr="008B2BB0" w:rsidRDefault="002354D4" w:rsidP="002354D4">
      <w:pPr>
        <w:pStyle w:val="a3"/>
      </w:pPr>
      <w:r w:rsidRPr="008B2BB0">
        <w:t>? Schneider, N., Lingner, H.</w:t>
      </w:r>
      <w:r w:rsidR="005853A9">
        <w:t xml:space="preserve"> and </w:t>
      </w:r>
      <w:r w:rsidRPr="008B2BB0">
        <w:t>Schwartz, F.W. (2007), Disclosing conflicts</w:t>
      </w:r>
      <w:r w:rsidR="00427468">
        <w:t xml:space="preserve"> of </w:t>
      </w:r>
      <w:r w:rsidRPr="008B2BB0">
        <w:t xml:space="preserve">interest in German publications concerning health services research. </w:t>
      </w:r>
      <w:r w:rsidRPr="00CE7517">
        <w:rPr>
          <w:i/>
          <w:iCs/>
        </w:rPr>
        <w:t>BMC Health Services Research</w:t>
      </w:r>
      <w:r w:rsidRPr="008B2BB0">
        <w:t xml:space="preserve">, </w:t>
      </w:r>
      <w:r w:rsidRPr="00551655">
        <w:rPr>
          <w:b/>
          <w:bCs/>
        </w:rPr>
        <w:t>7</w:t>
      </w:r>
      <w:r w:rsidRPr="00250070">
        <w:t xml:space="preserve">, </w:t>
      </w:r>
      <w:r w:rsidRPr="002E65A4">
        <w:rPr>
          <w:kern w:val="0"/>
        </w:rPr>
        <w:t>Article Number</w:t>
      </w:r>
      <w:r>
        <w:rPr>
          <w:rFonts w:hint="eastAsia"/>
          <w:kern w:val="0"/>
        </w:rPr>
        <w:t>:</w:t>
      </w:r>
      <w:r>
        <w:rPr>
          <w:rFonts w:hint="eastAsia"/>
        </w:rPr>
        <w:t xml:space="preserve"> 78.</w:t>
      </w:r>
    </w:p>
    <w:p w:rsidR="002354D4" w:rsidRPr="003862C4" w:rsidRDefault="002354D4" w:rsidP="002354D4">
      <w:pPr>
        <w:pStyle w:val="a3"/>
      </w:pPr>
      <w:r>
        <w:rPr>
          <w:rFonts w:hint="eastAsia"/>
        </w:rPr>
        <w:t xml:space="preserve">Full Text: </w:t>
      </w:r>
      <w:hyperlink r:id="rId1566" w:history="1">
        <w:r w:rsidRPr="007355AA">
          <w:rPr>
            <w:rStyle w:val="a5"/>
          </w:rPr>
          <w:t>2007\BMC Hea Ser Res7, 78.pdf</w:t>
        </w:r>
      </w:hyperlink>
    </w:p>
    <w:p w:rsidR="002354D4" w:rsidRPr="003862C4" w:rsidRDefault="002354D4" w:rsidP="002354D4">
      <w:pPr>
        <w:pStyle w:val="a3"/>
      </w:pPr>
      <w:r w:rsidRPr="003862C4">
        <w:t>Abstract: Background:</w:t>
      </w:r>
      <w:r w:rsidR="003A1917">
        <w:t xml:space="preserve"> the </w:t>
      </w:r>
      <w:r w:rsidRPr="003862C4">
        <w:t>influence</w:t>
      </w:r>
      <w:r w:rsidR="00427468">
        <w:t xml:space="preserve"> of </w:t>
      </w:r>
      <w:r w:rsidR="003A1917">
        <w:t xml:space="preserve">the </w:t>
      </w:r>
      <w:r w:rsidRPr="003862C4">
        <w:t>pharmaceutical industry</w:t>
      </w:r>
      <w:r w:rsidR="005853A9">
        <w:t xml:space="preserve"> and </w:t>
      </w:r>
      <w:r w:rsidRPr="003862C4">
        <w:t>other stakeholders on medical science has been increasingly criticised. When dealing with conflicts</w:t>
      </w:r>
      <w:r w:rsidR="00427468">
        <w:t xml:space="preserve"> of </w:t>
      </w:r>
      <w:r w:rsidRPr="003862C4">
        <w:t>interest in scientific publications it is important to ensure</w:t>
      </w:r>
      <w:r w:rsidR="003A1917">
        <w:t xml:space="preserve"> the </w:t>
      </w:r>
      <w:r w:rsidRPr="003862C4">
        <w:t>best possible transparency</w:t>
      </w:r>
      <w:r w:rsidR="00A37C1D">
        <w:t>. The</w:t>
      </w:r>
      <w:r w:rsidR="003A1917">
        <w:t xml:space="preserve"> </w:t>
      </w:r>
      <w:r w:rsidRPr="003862C4">
        <w:t>objective</w:t>
      </w:r>
      <w:r w:rsidR="00427468">
        <w:t xml:space="preserve"> of </w:t>
      </w:r>
      <w:r w:rsidRPr="003862C4">
        <w:t>this work is to examine</w:t>
      </w:r>
      <w:r w:rsidR="003A1917">
        <w:t xml:space="preserve"> the </w:t>
      </w:r>
      <w:r w:rsidRPr="003862C4">
        <w:t>disclosure practice</w:t>
      </w:r>
      <w:r w:rsidR="00427468">
        <w:t xml:space="preserve"> of </w:t>
      </w:r>
      <w:r w:rsidRPr="003862C4">
        <w:t>financial</w:t>
      </w:r>
      <w:r w:rsidR="005853A9">
        <w:t xml:space="preserve"> and </w:t>
      </w:r>
      <w:r w:rsidRPr="003862C4">
        <w:t>non-financial conflicts</w:t>
      </w:r>
      <w:r w:rsidR="00427468">
        <w:t xml:space="preserve"> of </w:t>
      </w:r>
      <w:r w:rsidRPr="003862C4">
        <w:t>interest in German language publications concerning health services research for</w:t>
      </w:r>
      <w:r w:rsidR="003A1917">
        <w:t xml:space="preserve"> the </w:t>
      </w:r>
      <w:r w:rsidRPr="003862C4">
        <w:t>first time. Methods: We performed a systematic literature search in</w:t>
      </w:r>
      <w:r w:rsidR="003A1917">
        <w:t xml:space="preserve"> the </w:t>
      </w:r>
      <w:r w:rsidR="002C12F0">
        <w:t>PUBMED</w:t>
      </w:r>
      <w:r w:rsidRPr="003862C4">
        <w:t xml:space="preserve"> data base using</w:t>
      </w:r>
      <w:r w:rsidR="003A1917">
        <w:t xml:space="preserve"> the </w:t>
      </w:r>
      <w:r w:rsidRPr="003862C4">
        <w:t xml:space="preserve">MeSH term </w:t>
      </w:r>
      <w:r w:rsidR="00B5188C">
        <w:t>“</w:t>
      </w:r>
      <w:r w:rsidRPr="003862C4">
        <w:t>health services research</w:t>
      </w:r>
      <w:r w:rsidR="00B5188C">
        <w:t>”</w:t>
      </w:r>
      <w:r w:rsidR="00A37C1D">
        <w:t>. The</w:t>
      </w:r>
      <w:r w:rsidR="003A1917">
        <w:t xml:space="preserve"> </w:t>
      </w:r>
      <w:r w:rsidRPr="003862C4">
        <w:t>review was conducted on July 10, 2006, setting</w:t>
      </w:r>
      <w:r w:rsidR="003A1917">
        <w:t xml:space="preserve"> the </w:t>
      </w:r>
      <w:r w:rsidRPr="003862C4">
        <w:t xml:space="preserve">limits </w:t>
      </w:r>
      <w:r w:rsidR="00B5188C">
        <w:t>“</w:t>
      </w:r>
      <w:r w:rsidRPr="003862C4">
        <w:t>dates: published in</w:t>
      </w:r>
      <w:r w:rsidR="003A1917">
        <w:t xml:space="preserve"> the </w:t>
      </w:r>
      <w:r w:rsidRPr="003862C4">
        <w:t>last 2 years</w:t>
      </w:r>
      <w:r w:rsidR="00B5188C">
        <w:t>”</w:t>
      </w:r>
      <w:r w:rsidR="005853A9">
        <w:t xml:space="preserve"> and </w:t>
      </w:r>
      <w:r w:rsidR="00B5188C">
        <w:t>“</w:t>
      </w:r>
      <w:r w:rsidRPr="003862C4">
        <w:t>languages: German</w:t>
      </w:r>
      <w:r w:rsidR="00B5188C">
        <w:t>”</w:t>
      </w:r>
      <w:r w:rsidRPr="003862C4">
        <w:t xml:space="preserve"> (only articles with abstracts). 124 articles in 31 magazines were found. In</w:t>
      </w:r>
      <w:r w:rsidR="003A1917">
        <w:t xml:space="preserve"> the </w:t>
      </w:r>
      <w:r w:rsidRPr="003862C4">
        <w:t>magazines</w:t>
      </w:r>
      <w:r w:rsidR="003A1917">
        <w:t xml:space="preserve"> the </w:t>
      </w:r>
      <w:r w:rsidRPr="003862C4">
        <w:t>instructions for authors were examined as to whether a statement on conflicts</w:t>
      </w:r>
      <w:r w:rsidR="00427468">
        <w:t xml:space="preserve"> of </w:t>
      </w:r>
      <w:r w:rsidRPr="003862C4">
        <w:t>interest is expected -</w:t>
      </w:r>
      <w:r w:rsidR="005853A9">
        <w:t xml:space="preserve"> and </w:t>
      </w:r>
      <w:r w:rsidRPr="003862C4">
        <w:t>if, in which form. Regarding</w:t>
      </w:r>
      <w:r w:rsidR="003A1917">
        <w:t xml:space="preserve"> the </w:t>
      </w:r>
      <w:r w:rsidRPr="003862C4">
        <w:t>articles in</w:t>
      </w:r>
      <w:r w:rsidR="003A1917">
        <w:t xml:space="preserve"> the </w:t>
      </w:r>
      <w:r w:rsidRPr="003862C4">
        <w:t>journals which require a statement, we examined whether</w:t>
      </w:r>
      <w:r w:rsidR="003A1917">
        <w:t xml:space="preserve"> the </w:t>
      </w:r>
      <w:r w:rsidRPr="003862C4">
        <w:t>statement is explicitly published</w:t>
      </w:r>
      <w:r w:rsidR="00A37C1D">
        <w:t>. The</w:t>
      </w:r>
      <w:r w:rsidR="003A1917">
        <w:t xml:space="preserve"> </w:t>
      </w:r>
      <w:r w:rsidRPr="003862C4">
        <w:t>results are descriptively represented. Results: 13 magazines (42%) do not require any statement on conflicts</w:t>
      </w:r>
      <w:r w:rsidR="00427468">
        <w:t xml:space="preserve"> of </w:t>
      </w:r>
      <w:r w:rsidRPr="003862C4">
        <w:t>interest, whereas 18 journals (58%) expect a statement. Two</w:t>
      </w:r>
      <w:r w:rsidR="00427468">
        <w:t xml:space="preserve"> of </w:t>
      </w:r>
      <w:r w:rsidRPr="003862C4">
        <w:t>these 18 magazines refer explicitly to</w:t>
      </w:r>
      <w:r w:rsidR="003A1917">
        <w:t xml:space="preserve"> the </w:t>
      </w:r>
      <w:r w:rsidRPr="003862C4">
        <w:t>uniform requirements</w:t>
      </w:r>
      <w:r w:rsidR="00427468">
        <w:t xml:space="preserve"> of </w:t>
      </w:r>
      <w:r w:rsidR="003A1917">
        <w:t xml:space="preserve">the </w:t>
      </w:r>
      <w:r w:rsidRPr="003862C4">
        <w:t>International Committee</w:t>
      </w:r>
      <w:r w:rsidR="00427468">
        <w:t xml:space="preserve"> of </w:t>
      </w:r>
      <w:r w:rsidR="003A1917">
        <w:t xml:space="preserve">the </w:t>
      </w:r>
      <w:r w:rsidRPr="003862C4">
        <w:t>Medical Journal Editors (ICMJE);</w:t>
      </w:r>
      <w:r w:rsidR="003A1917">
        <w:t xml:space="preserve"> the </w:t>
      </w:r>
      <w:r w:rsidRPr="003862C4">
        <w:t>remaining 16 magazines give differently accentuated instructions on how to disclose conflicts</w:t>
      </w:r>
      <w:r w:rsidR="00427468">
        <w:t xml:space="preserve"> of </w:t>
      </w:r>
      <w:r w:rsidRPr="003862C4">
        <w:t>interest, whereby</w:t>
      </w:r>
      <w:r w:rsidR="003A1917">
        <w:t xml:space="preserve"> the </w:t>
      </w:r>
      <w:r w:rsidRPr="003862C4">
        <w:t>focus is primarily on financial issues. A statement on conflicts</w:t>
      </w:r>
      <w:r w:rsidR="00427468">
        <w:t xml:space="preserve"> of </w:t>
      </w:r>
      <w:r w:rsidRPr="003862C4">
        <w:t>interest is explicitly published in 11</w:t>
      </w:r>
      <w:r w:rsidR="00427468">
        <w:t xml:space="preserve"> of </w:t>
      </w:r>
      <w:r w:rsidR="003A1917">
        <w:t xml:space="preserve">the </w:t>
      </w:r>
      <w:r w:rsidRPr="003862C4">
        <w:t>71 articles (15%) which are found in</w:t>
      </w:r>
      <w:r w:rsidR="003A1917">
        <w:t xml:space="preserve"> the </w:t>
      </w:r>
      <w:r w:rsidRPr="003862C4">
        <w:t>magazines that require a statement with</w:t>
      </w:r>
      <w:r w:rsidR="003A1917">
        <w:t xml:space="preserve"> the </w:t>
      </w:r>
      <w:r w:rsidRPr="003862C4">
        <w:t>submission</w:t>
      </w:r>
      <w:r w:rsidR="00427468">
        <w:t xml:space="preserve"> of </w:t>
      </w:r>
      <w:r w:rsidRPr="003862C4">
        <w:t>a manuscript. Related to</w:t>
      </w:r>
      <w:r w:rsidR="003A1917">
        <w:t xml:space="preserve"> the </w:t>
      </w:r>
      <w:r w:rsidRPr="003862C4">
        <w:t>total number</w:t>
      </w:r>
      <w:r w:rsidR="00427468">
        <w:t xml:space="preserve"> of </w:t>
      </w:r>
      <w:r w:rsidRPr="003862C4">
        <w:t>included articles, this means that</w:t>
      </w:r>
      <w:r w:rsidR="003A1917">
        <w:t xml:space="preserve"> the </w:t>
      </w:r>
      <w:r w:rsidRPr="003862C4">
        <w:t>reader explicitly receives information on potential conflicts</w:t>
      </w:r>
      <w:r w:rsidR="00427468">
        <w:t xml:space="preserve"> of </w:t>
      </w:r>
      <w:r w:rsidRPr="003862C4">
        <w:t>interest in 9%</w:t>
      </w:r>
      <w:r w:rsidR="00427468">
        <w:t xml:space="preserve"> of </w:t>
      </w:r>
      <w:r w:rsidR="003A1917">
        <w:t xml:space="preserve">the </w:t>
      </w:r>
      <w:r w:rsidRPr="003862C4">
        <w:t>cases (11</w:t>
      </w:r>
      <w:r w:rsidR="00427468">
        <w:t xml:space="preserve"> of </w:t>
      </w:r>
      <w:r w:rsidRPr="003862C4">
        <w:t xml:space="preserve">124 articles). </w:t>
      </w:r>
      <w:r w:rsidRPr="003862C4">
        <w:lastRenderedPageBreak/>
        <w:t>Statements</w:t>
      </w:r>
      <w:r w:rsidR="00427468">
        <w:t xml:space="preserve"> of </w:t>
      </w:r>
      <w:r w:rsidRPr="003862C4">
        <w:t>others that are involved in</w:t>
      </w:r>
      <w:r w:rsidR="003A1917">
        <w:t xml:space="preserve"> the </w:t>
      </w:r>
      <w:r w:rsidRPr="003862C4">
        <w:t>publication process (reviewers, editors) are not available in any</w:t>
      </w:r>
      <w:r w:rsidR="00427468">
        <w:t xml:space="preserve"> of </w:t>
      </w:r>
      <w:r w:rsidR="003A1917">
        <w:t xml:space="preserve">the </w:t>
      </w:r>
      <w:r w:rsidRPr="003862C4">
        <w:t>articles examined. Conclusion: A better sensitization for possible conflicts</w:t>
      </w:r>
      <w:r w:rsidR="00427468">
        <w:t xml:space="preserve"> of </w:t>
      </w:r>
      <w:r w:rsidRPr="003862C4">
        <w:t>interest in German publications concerning health services research is necessary. We suggest tightening</w:t>
      </w:r>
      <w:r w:rsidR="003A1917">
        <w:t xml:space="preserve"> the </w:t>
      </w:r>
      <w:r w:rsidRPr="003862C4">
        <w:t>criteria for disclosure in</w:t>
      </w:r>
      <w:r w:rsidR="003A1917">
        <w:t xml:space="preserve"> the </w:t>
      </w:r>
      <w:r w:rsidRPr="003862C4">
        <w:t>instructions for authors in</w:t>
      </w:r>
      <w:r w:rsidR="003A1917">
        <w:t xml:space="preserve"> the </w:t>
      </w:r>
      <w:r w:rsidRPr="003862C4">
        <w:t>scientific journals. Among other things</w:t>
      </w:r>
      <w:r w:rsidR="003A1917">
        <w:t xml:space="preserve"> the </w:t>
      </w:r>
      <w:r w:rsidRPr="003862C4">
        <w:t>equivalent consideration</w:t>
      </w:r>
      <w:r w:rsidR="00427468">
        <w:t xml:space="preserve"> of </w:t>
      </w:r>
      <w:r w:rsidRPr="003862C4">
        <w:t>financial</w:t>
      </w:r>
      <w:r w:rsidR="005853A9">
        <w:t xml:space="preserve"> and </w:t>
      </w:r>
      <w:r w:rsidRPr="003862C4">
        <w:t>non-financial conflicts</w:t>
      </w:r>
      <w:r w:rsidR="00427468">
        <w:t xml:space="preserve"> of </w:t>
      </w:r>
      <w:r w:rsidRPr="003862C4">
        <w:t>interest as well as</w:t>
      </w:r>
      <w:r w:rsidR="003A1917">
        <w:t xml:space="preserve"> the </w:t>
      </w:r>
      <w:r w:rsidRPr="003862C4">
        <w:t>obligatory publication</w:t>
      </w:r>
      <w:r w:rsidR="00427468">
        <w:t xml:space="preserve"> of </w:t>
      </w:r>
      <w:r w:rsidR="003A1917">
        <w:t xml:space="preserve">the </w:t>
      </w:r>
      <w:r w:rsidRPr="003862C4">
        <w:t>statements should be part</w:t>
      </w:r>
      <w:r w:rsidR="00427468">
        <w:t xml:space="preserve"> of </w:t>
      </w:r>
      <w:r w:rsidRPr="003862C4">
        <w:t>good practice.</w:t>
      </w:r>
    </w:p>
    <w:p w:rsidR="002354D4" w:rsidRPr="003862C4" w:rsidRDefault="002354D4" w:rsidP="002354D4">
      <w:pPr>
        <w:pStyle w:val="a3"/>
      </w:pPr>
      <w:r w:rsidRPr="003862C4">
        <w:t>Keywords: Conflicts</w:t>
      </w:r>
      <w:r w:rsidR="00427468">
        <w:t xml:space="preserve"> of </w:t>
      </w:r>
      <w:r w:rsidRPr="003862C4">
        <w:t xml:space="preserve">Interest, Criteria, Data, Data Base, Disclosure, Financial Issues, First, Health, Health Services, Health Services Research, Information, Journals, Literature, Medical, Pharmaceutical Industry, Potential, Practice, Publication, Publications, </w:t>
      </w:r>
      <w:r w:rsidR="002C12F0">
        <w:t>PUBMED</w:t>
      </w:r>
      <w:r w:rsidRPr="003862C4">
        <w:t>, Research, Review, Science, Scientific Journals, Scientific Publications, Sensitization, Services, Stakeholders, Term, Transparency, Work</w:t>
      </w:r>
    </w:p>
    <w:p w:rsidR="002354D4" w:rsidRDefault="002354D4" w:rsidP="002354D4">
      <w:pPr>
        <w:pStyle w:val="a3"/>
        <w:rPr>
          <w:kern w:val="0"/>
        </w:rPr>
      </w:pPr>
      <w:r>
        <w:rPr>
          <w:rFonts w:hint="eastAsia"/>
          <w:kern w:val="0"/>
        </w:rPr>
        <w:t xml:space="preserve">? </w:t>
      </w:r>
      <w:r>
        <w:rPr>
          <w:kern w:val="0"/>
        </w:rPr>
        <w:t>Wulff, C.N., Thygesen, M., Sondergaard, J.</w:t>
      </w:r>
      <w:r w:rsidR="005853A9">
        <w:rPr>
          <w:kern w:val="0"/>
        </w:rPr>
        <w:t xml:space="preserve"> and </w:t>
      </w:r>
      <w:r>
        <w:rPr>
          <w:kern w:val="0"/>
        </w:rPr>
        <w:t xml:space="preserve">Vedsted, P. (2008), Case management used to optimize cancer care pathways: A systematic review. </w:t>
      </w:r>
      <w:r>
        <w:rPr>
          <w:i/>
          <w:iCs/>
          <w:kern w:val="0"/>
        </w:rPr>
        <w:t>BMC Health Services Research</w:t>
      </w:r>
      <w:r>
        <w:rPr>
          <w:kern w:val="0"/>
        </w:rPr>
        <w:t xml:space="preserve">, </w:t>
      </w:r>
      <w:r>
        <w:rPr>
          <w:b/>
          <w:bCs/>
          <w:kern w:val="0"/>
        </w:rPr>
        <w:t>8</w:t>
      </w:r>
      <w:r>
        <w:rPr>
          <w:rFonts w:hint="eastAsia"/>
          <w:kern w:val="0"/>
        </w:rPr>
        <w:t xml:space="preserve">, </w:t>
      </w:r>
      <w:r w:rsidRPr="002E65A4">
        <w:rPr>
          <w:kern w:val="0"/>
        </w:rPr>
        <w:t>Article Number: 227</w:t>
      </w:r>
      <w:r>
        <w:rPr>
          <w:rFonts w:hint="eastAsia"/>
          <w:kern w:val="0"/>
        </w:rPr>
        <w:t>.</w:t>
      </w:r>
    </w:p>
    <w:p w:rsidR="002354D4" w:rsidRPr="003862C4" w:rsidRDefault="002354D4" w:rsidP="002354D4">
      <w:pPr>
        <w:pStyle w:val="a3"/>
      </w:pPr>
      <w:r>
        <w:rPr>
          <w:rFonts w:hint="eastAsia"/>
        </w:rPr>
        <w:t xml:space="preserve">Full Text: </w:t>
      </w:r>
      <w:hyperlink r:id="rId1567" w:history="1">
        <w:r w:rsidRPr="00172B6E">
          <w:rPr>
            <w:rStyle w:val="a5"/>
          </w:rPr>
          <w:t>2008\BMC Hea Ser Res8, 227.pdf</w:t>
        </w:r>
      </w:hyperlink>
    </w:p>
    <w:p w:rsidR="002354D4" w:rsidRDefault="002354D4" w:rsidP="002354D4">
      <w:pPr>
        <w:pStyle w:val="a3"/>
        <w:rPr>
          <w:kern w:val="0"/>
        </w:rPr>
      </w:pPr>
      <w:r>
        <w:rPr>
          <w:kern w:val="0"/>
        </w:rPr>
        <w:t>Abstract: Background: Reports</w:t>
      </w:r>
      <w:r w:rsidR="00427468">
        <w:rPr>
          <w:kern w:val="0"/>
        </w:rPr>
        <w:t xml:space="preserve"> of </w:t>
      </w:r>
      <w:r>
        <w:rPr>
          <w:kern w:val="0"/>
        </w:rPr>
        <w:t>inadequate cancer patient care have given rise to various interventions to support cancer care pathways which, overall, seem poorly studied. Case management (CM) is one method that may support a cost-effective, high-quality patient-centred treatment</w:t>
      </w:r>
      <w:r w:rsidR="005853A9">
        <w:rPr>
          <w:kern w:val="0"/>
        </w:rPr>
        <w:t xml:space="preserve"> and </w:t>
      </w:r>
      <w:r>
        <w:rPr>
          <w:kern w:val="0"/>
        </w:rPr>
        <w:t>care</w:t>
      </w:r>
      <w:r w:rsidR="00A37C1D">
        <w:rPr>
          <w:kern w:val="0"/>
        </w:rPr>
        <w:t>. The</w:t>
      </w:r>
      <w:r w:rsidR="003A1917">
        <w:rPr>
          <w:kern w:val="0"/>
        </w:rPr>
        <w:t xml:space="preserve"> </w:t>
      </w:r>
      <w:r>
        <w:rPr>
          <w:kern w:val="0"/>
        </w:rPr>
        <w:t>purpose</w:t>
      </w:r>
      <w:r w:rsidR="00427468">
        <w:rPr>
          <w:kern w:val="0"/>
        </w:rPr>
        <w:t xml:space="preserve"> of </w:t>
      </w:r>
      <w:r>
        <w:rPr>
          <w:kern w:val="0"/>
        </w:rPr>
        <w:t>this article was to summarise intervention characteristics, outcomes</w:t>
      </w:r>
      <w:r w:rsidR="00427468">
        <w:rPr>
          <w:kern w:val="0"/>
        </w:rPr>
        <w:t xml:space="preserve"> of </w:t>
      </w:r>
      <w:r>
        <w:rPr>
          <w:kern w:val="0"/>
        </w:rPr>
        <w:t>interest, results,</w:t>
      </w:r>
      <w:r w:rsidR="005853A9">
        <w:rPr>
          <w:kern w:val="0"/>
        </w:rPr>
        <w:t xml:space="preserve"> and </w:t>
      </w:r>
      <w:r>
        <w:rPr>
          <w:kern w:val="0"/>
        </w:rPr>
        <w:t>validity components</w:t>
      </w:r>
      <w:r w:rsidR="00427468">
        <w:rPr>
          <w:kern w:val="0"/>
        </w:rPr>
        <w:t xml:space="preserve"> of </w:t>
      </w:r>
      <w:r w:rsidR="003A1917">
        <w:rPr>
          <w:kern w:val="0"/>
        </w:rPr>
        <w:t xml:space="preserve">the </w:t>
      </w:r>
      <w:r>
        <w:rPr>
          <w:kern w:val="0"/>
        </w:rPr>
        <w:t xml:space="preserve">published randomized controlled trials (RCTs) examining CM as a method for optimizing cancer care pathways. Methods: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 CINAHL</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were systematically searched for RCTs published all years up to August 2008. Identified papers were included if they passed</w:t>
      </w:r>
      <w:r w:rsidR="003A1917">
        <w:rPr>
          <w:kern w:val="0"/>
        </w:rPr>
        <w:t xml:space="preserve"> the </w:t>
      </w:r>
      <w:r>
        <w:rPr>
          <w:kern w:val="0"/>
        </w:rPr>
        <w:t>following standards. Inclusion criteria: 1)</w:t>
      </w:r>
      <w:r w:rsidR="003A1917">
        <w:rPr>
          <w:kern w:val="0"/>
        </w:rPr>
        <w:t xml:space="preserve"> the </w:t>
      </w:r>
      <w:r>
        <w:rPr>
          <w:kern w:val="0"/>
        </w:rPr>
        <w:t>intervention should meet</w:t>
      </w:r>
      <w:r w:rsidR="003A1917">
        <w:rPr>
          <w:kern w:val="0"/>
        </w:rPr>
        <w:t xml:space="preserve"> the </w:t>
      </w:r>
      <w:r>
        <w:rPr>
          <w:kern w:val="0"/>
        </w:rPr>
        <w:t>criteria for CM which includes multidisciplinary collaboration, care co-ordination,</w:t>
      </w:r>
      <w:r w:rsidR="005853A9">
        <w:rPr>
          <w:kern w:val="0"/>
        </w:rPr>
        <w:t xml:space="preserve"> and </w:t>
      </w:r>
      <w:r>
        <w:rPr>
          <w:kern w:val="0"/>
        </w:rPr>
        <w:t>it should include in-person meetings between patient</w:t>
      </w:r>
      <w:r w:rsidR="005853A9">
        <w:rPr>
          <w:kern w:val="0"/>
        </w:rPr>
        <w:t xml:space="preserve"> and </w:t>
      </w:r>
      <w:r w:rsidR="003A1917">
        <w:rPr>
          <w:kern w:val="0"/>
        </w:rPr>
        <w:t xml:space="preserve">the </w:t>
      </w:r>
      <w:r>
        <w:rPr>
          <w:kern w:val="0"/>
        </w:rPr>
        <w:t>case manager aimed at supporting, informing</w:t>
      </w:r>
      <w:r w:rsidR="005853A9">
        <w:rPr>
          <w:kern w:val="0"/>
        </w:rPr>
        <w:t xml:space="preserve"> and </w:t>
      </w:r>
      <w:r>
        <w:rPr>
          <w:kern w:val="0"/>
        </w:rPr>
        <w:t>educating</w:t>
      </w:r>
      <w:r w:rsidR="003A1917">
        <w:rPr>
          <w:kern w:val="0"/>
        </w:rPr>
        <w:t xml:space="preserve"> the </w:t>
      </w:r>
      <w:r>
        <w:rPr>
          <w:kern w:val="0"/>
        </w:rPr>
        <w:t>patient. 2)</w:t>
      </w:r>
      <w:r w:rsidR="003A1917">
        <w:rPr>
          <w:kern w:val="0"/>
        </w:rPr>
        <w:t xml:space="preserve"> the </w:t>
      </w:r>
      <w:r>
        <w:rPr>
          <w:kern w:val="0"/>
        </w:rPr>
        <w:t>intervention should focus on cancer patient care. 3)</w:t>
      </w:r>
      <w:r w:rsidR="003A1917">
        <w:rPr>
          <w:kern w:val="0"/>
        </w:rPr>
        <w:t xml:space="preserve"> the </w:t>
      </w:r>
      <w:r>
        <w:rPr>
          <w:kern w:val="0"/>
        </w:rPr>
        <w:t>intervention should aim to improve subjective or objective quality outcomes,</w:t>
      </w:r>
      <w:r w:rsidR="005853A9">
        <w:rPr>
          <w:kern w:val="0"/>
        </w:rPr>
        <w:t xml:space="preserve"> and </w:t>
      </w:r>
      <w:r>
        <w:rPr>
          <w:kern w:val="0"/>
        </w:rPr>
        <w:t>effects should be reported in</w:t>
      </w:r>
      <w:r w:rsidR="003A1917">
        <w:rPr>
          <w:kern w:val="0"/>
        </w:rPr>
        <w:t xml:space="preserve"> the </w:t>
      </w:r>
      <w:r>
        <w:rPr>
          <w:kern w:val="0"/>
        </w:rPr>
        <w:t>paper. Exclusion criteria: Studies centred on cancer screening or palliative cancer care. Data extraction was conducted in order to obtain a descriptive overview</w:t>
      </w:r>
      <w:r w:rsidR="00427468">
        <w:rPr>
          <w:kern w:val="0"/>
        </w:rPr>
        <w:t xml:space="preserve"> of </w:t>
      </w:r>
      <w:r>
        <w:rPr>
          <w:kern w:val="0"/>
        </w:rPr>
        <w:t>intervention characteristics, outcomes</w:t>
      </w:r>
      <w:r w:rsidR="00427468">
        <w:rPr>
          <w:kern w:val="0"/>
        </w:rPr>
        <w:t xml:space="preserve"> of </w:t>
      </w:r>
      <w:r>
        <w:rPr>
          <w:kern w:val="0"/>
        </w:rPr>
        <w:t>interest</w:t>
      </w:r>
      <w:r w:rsidR="005853A9">
        <w:rPr>
          <w:kern w:val="0"/>
        </w:rPr>
        <w:t xml:space="preserve"> and </w:t>
      </w:r>
      <w:r>
        <w:rPr>
          <w:kern w:val="0"/>
        </w:rPr>
        <w:t>findings. Elements</w:t>
      </w:r>
      <w:r w:rsidR="00427468">
        <w:rPr>
          <w:kern w:val="0"/>
        </w:rPr>
        <w:t xml:space="preserve"> of </w:t>
      </w:r>
      <w:r>
        <w:rPr>
          <w:kern w:val="0"/>
        </w:rPr>
        <w:t>CONSORT guidelines</w:t>
      </w:r>
      <w:r w:rsidR="005853A9">
        <w:rPr>
          <w:kern w:val="0"/>
        </w:rPr>
        <w:t xml:space="preserve"> and </w:t>
      </w:r>
      <w:r>
        <w:rPr>
          <w:kern w:val="0"/>
        </w:rPr>
        <w:t>checklists were used to assess aspects</w:t>
      </w:r>
      <w:r w:rsidR="00427468">
        <w:rPr>
          <w:kern w:val="0"/>
        </w:rPr>
        <w:t xml:space="preserve"> of </w:t>
      </w:r>
      <w:r>
        <w:rPr>
          <w:kern w:val="0"/>
        </w:rPr>
        <w:t>study validity. Results:</w:t>
      </w:r>
      <w:r w:rsidR="003A1917">
        <w:rPr>
          <w:kern w:val="0"/>
        </w:rPr>
        <w:t xml:space="preserve"> the </w:t>
      </w:r>
      <w:r>
        <w:rPr>
          <w:kern w:val="0"/>
        </w:rPr>
        <w:t>searches identified 654 unique papers,</w:t>
      </w:r>
      <w:r w:rsidR="00427468">
        <w:rPr>
          <w:kern w:val="0"/>
        </w:rPr>
        <w:t xml:space="preserve"> of </w:t>
      </w:r>
      <w:r>
        <w:rPr>
          <w:kern w:val="0"/>
        </w:rPr>
        <w:t>which 25 were retrieved for scrutiny. Seven papers were finally included. Intervention characteristics, outcomes studied, findings</w:t>
      </w:r>
      <w:r w:rsidR="005853A9">
        <w:rPr>
          <w:kern w:val="0"/>
        </w:rPr>
        <w:t xml:space="preserve"> and </w:t>
      </w:r>
      <w:r>
        <w:rPr>
          <w:kern w:val="0"/>
        </w:rPr>
        <w:t>methodological aspects were all very diverse. Conclusion: Due to</w:t>
      </w:r>
      <w:r w:rsidR="003A1917">
        <w:rPr>
          <w:kern w:val="0"/>
        </w:rPr>
        <w:t xml:space="preserve"> the </w:t>
      </w:r>
      <w:r>
        <w:rPr>
          <w:kern w:val="0"/>
        </w:rPr>
        <w:t>scarcity</w:t>
      </w:r>
      <w:r w:rsidR="00427468">
        <w:rPr>
          <w:kern w:val="0"/>
        </w:rPr>
        <w:t xml:space="preserve"> of </w:t>
      </w:r>
      <w:r>
        <w:rPr>
          <w:kern w:val="0"/>
        </w:rPr>
        <w:t xml:space="preserve">papers included (seven), significant heterogeneity in target group, </w:t>
      </w:r>
      <w:r>
        <w:rPr>
          <w:kern w:val="0"/>
        </w:rPr>
        <w:lastRenderedPageBreak/>
        <w:t>intervention setting, outcomes measured</w:t>
      </w:r>
      <w:r w:rsidR="005853A9">
        <w:rPr>
          <w:kern w:val="0"/>
        </w:rPr>
        <w:t xml:space="preserve"> and </w:t>
      </w:r>
      <w:r>
        <w:rPr>
          <w:kern w:val="0"/>
        </w:rPr>
        <w:t>methodologies applied, no conclusions can be drawn about</w:t>
      </w:r>
      <w:r w:rsidR="003A1917">
        <w:rPr>
          <w:kern w:val="0"/>
        </w:rPr>
        <w:t xml:space="preserve"> the </w:t>
      </w:r>
      <w:r>
        <w:rPr>
          <w:kern w:val="0"/>
        </w:rPr>
        <w:t>effect</w:t>
      </w:r>
      <w:r w:rsidR="00427468">
        <w:rPr>
          <w:kern w:val="0"/>
        </w:rPr>
        <w:t xml:space="preserve"> of </w:t>
      </w:r>
      <w:r>
        <w:rPr>
          <w:kern w:val="0"/>
        </w:rPr>
        <w:t xml:space="preserve">CM on cancer patient care. It is a major challenge that CM shrouds in a </w:t>
      </w:r>
      <w:r w:rsidR="00B5188C">
        <w:rPr>
          <w:kern w:val="0"/>
        </w:rPr>
        <w:t>“</w:t>
      </w:r>
      <w:r>
        <w:rPr>
          <w:kern w:val="0"/>
        </w:rPr>
        <w:t>black box</w:t>
      </w:r>
      <w:r w:rsidR="00B5188C">
        <w:rPr>
          <w:kern w:val="0"/>
        </w:rPr>
        <w:t>”</w:t>
      </w:r>
      <w:r>
        <w:rPr>
          <w:kern w:val="0"/>
        </w:rPr>
        <w:t>, which means that it is difficult to determine which aspect(s)</w:t>
      </w:r>
      <w:r w:rsidR="00427468">
        <w:rPr>
          <w:kern w:val="0"/>
        </w:rPr>
        <w:t xml:space="preserve"> of </w:t>
      </w:r>
      <w:r>
        <w:rPr>
          <w:kern w:val="0"/>
        </w:rPr>
        <w:t>interventions contribute to overall effects. More trials on rigorously developed CM interventions (opening up</w:t>
      </w:r>
      <w:r w:rsidR="003A1917">
        <w:rPr>
          <w:kern w:val="0"/>
        </w:rPr>
        <w:t xml:space="preserve"> the </w:t>
      </w:r>
      <w:r w:rsidR="00B5188C">
        <w:rPr>
          <w:kern w:val="0"/>
        </w:rPr>
        <w:t>“</w:t>
      </w:r>
      <w:r>
        <w:rPr>
          <w:kern w:val="0"/>
        </w:rPr>
        <w:t>black box</w:t>
      </w:r>
      <w:r w:rsidR="00B5188C">
        <w:rPr>
          <w:kern w:val="0"/>
        </w:rPr>
        <w:t>”</w:t>
      </w:r>
      <w:r>
        <w:rPr>
          <w:kern w:val="0"/>
        </w:rPr>
        <w:t>) are needed as is</w:t>
      </w:r>
      <w:r w:rsidR="003A1917">
        <w:rPr>
          <w:kern w:val="0"/>
        </w:rPr>
        <w:t xml:space="preserve"> the </w:t>
      </w:r>
      <w:r>
        <w:rPr>
          <w:kern w:val="0"/>
        </w:rPr>
        <w:t>re-testing</w:t>
      </w:r>
      <w:r w:rsidR="00427468">
        <w:rPr>
          <w:kern w:val="0"/>
        </w:rPr>
        <w:t xml:space="preserve"> of </w:t>
      </w:r>
      <w:r>
        <w:rPr>
          <w:kern w:val="0"/>
        </w:rPr>
        <w:t>interventions</w:t>
      </w:r>
      <w:r w:rsidR="005853A9">
        <w:rPr>
          <w:kern w:val="0"/>
        </w:rPr>
        <w:t xml:space="preserve"> and </w:t>
      </w:r>
      <w:r>
        <w:rPr>
          <w:kern w:val="0"/>
        </w:rPr>
        <w:t>outcomes studied in various settings.</w:t>
      </w:r>
    </w:p>
    <w:p w:rsidR="002354D4" w:rsidRDefault="002354D4" w:rsidP="002354D4">
      <w:pPr>
        <w:pStyle w:val="a3"/>
        <w:rPr>
          <w:kern w:val="0"/>
        </w:rPr>
      </w:pPr>
      <w:r>
        <w:rPr>
          <w:kern w:val="0"/>
        </w:rPr>
        <w:t xml:space="preserve">Keywords: Breast-Cancer, Cancer, Cochrane, Collaboration, Consort, Consort Statement, Disease, Guidelines, Health-Care, Interest, Intervention, Interventions, Lung-Cancer, Management, Methods, Nurse Case-Management, Older Women, Outcomes, Overview, Papers, </w:t>
      </w:r>
      <w:r w:rsidR="002C12F0">
        <w:rPr>
          <w:kern w:val="0"/>
        </w:rPr>
        <w:t>PUBMED</w:t>
      </w:r>
      <w:r>
        <w:rPr>
          <w:kern w:val="0"/>
        </w:rPr>
        <w:t xml:space="preserve">, Randomized Controlled Trials, Randomized-Trials, Review, Science, Screening, Standards, Systematic, Systematic Review, Treatment, Validity, </w:t>
      </w:r>
      <w:r w:rsidR="00D5664A">
        <w:rPr>
          <w:kern w:val="0"/>
        </w:rPr>
        <w:t>Web</w:t>
      </w:r>
      <w:r w:rsidR="00427468">
        <w:rPr>
          <w:kern w:val="0"/>
        </w:rPr>
        <w:t xml:space="preserve"> of </w:t>
      </w:r>
      <w:r w:rsidR="00D5664A">
        <w:rPr>
          <w:kern w:val="0"/>
        </w:rPr>
        <w:t>Science</w:t>
      </w:r>
    </w:p>
    <w:p w:rsidR="005716E6" w:rsidRDefault="005716E6" w:rsidP="005716E6">
      <w:pPr>
        <w:pStyle w:val="a3"/>
        <w:rPr>
          <w:kern w:val="0"/>
        </w:rPr>
      </w:pPr>
      <w:r>
        <w:rPr>
          <w:rFonts w:hint="eastAsia"/>
          <w:kern w:val="0"/>
        </w:rPr>
        <w:t xml:space="preserve">? </w:t>
      </w:r>
      <w:r>
        <w:rPr>
          <w:kern w:val="0"/>
        </w:rPr>
        <w:t>Bouza, C., López-Cuadrado, T., Alcázar, R., Saz-Parkinson, Z.</w:t>
      </w:r>
      <w:r w:rsidR="005853A9">
        <w:rPr>
          <w:kern w:val="0"/>
        </w:rPr>
        <w:t xml:space="preserve"> and </w:t>
      </w:r>
      <w:r>
        <w:rPr>
          <w:kern w:val="0"/>
        </w:rPr>
        <w:t>Amate, J.M. (2009), Meta-analysis</w:t>
      </w:r>
      <w:r w:rsidR="00427468">
        <w:rPr>
          <w:kern w:val="0"/>
        </w:rPr>
        <w:t xml:space="preserve"> of </w:t>
      </w:r>
      <w:r>
        <w:rPr>
          <w:kern w:val="0"/>
        </w:rPr>
        <w:t xml:space="preserve">percutaneous radiofrequency ablation versus ethanol injection in hepatocellular carcinoma. </w:t>
      </w:r>
      <w:r w:rsidRPr="006E1210">
        <w:rPr>
          <w:i/>
          <w:iCs/>
          <w:kern w:val="0"/>
        </w:rPr>
        <w:t>BMC Gastroenterology</w:t>
      </w:r>
      <w:r>
        <w:rPr>
          <w:kern w:val="0"/>
        </w:rPr>
        <w:t xml:space="preserve">, </w:t>
      </w:r>
      <w:r>
        <w:rPr>
          <w:b/>
          <w:bCs/>
          <w:kern w:val="0"/>
        </w:rPr>
        <w:t>9</w:t>
      </w:r>
      <w:r>
        <w:rPr>
          <w:rFonts w:hint="eastAsia"/>
          <w:kern w:val="0"/>
        </w:rPr>
        <w:t xml:space="preserve">, </w:t>
      </w:r>
      <w:r w:rsidRPr="009C7CBB">
        <w:rPr>
          <w:kern w:val="0"/>
        </w:rPr>
        <w:t>Article Number: 31</w:t>
      </w:r>
      <w:r>
        <w:rPr>
          <w:rFonts w:hint="eastAsia"/>
          <w:kern w:val="0"/>
        </w:rPr>
        <w:t>.</w:t>
      </w:r>
    </w:p>
    <w:p w:rsidR="005716E6" w:rsidRDefault="005716E6" w:rsidP="005716E6">
      <w:pPr>
        <w:pStyle w:val="a3"/>
        <w:rPr>
          <w:kern w:val="0"/>
        </w:rPr>
      </w:pPr>
      <w:r>
        <w:rPr>
          <w:rFonts w:hint="eastAsia"/>
          <w:kern w:val="0"/>
        </w:rPr>
        <w:t xml:space="preserve">Full Text: </w:t>
      </w:r>
      <w:hyperlink r:id="rId1568" w:history="1">
        <w:r w:rsidRPr="006E1210">
          <w:rPr>
            <w:rStyle w:val="a5"/>
            <w:kern w:val="0"/>
          </w:rPr>
          <w:t>2009\BMC Gas9, 31.pdf</w:t>
        </w:r>
      </w:hyperlink>
    </w:p>
    <w:p w:rsidR="005716E6" w:rsidRDefault="005716E6" w:rsidP="005716E6">
      <w:pPr>
        <w:pStyle w:val="a3"/>
        <w:rPr>
          <w:kern w:val="0"/>
        </w:rPr>
      </w:pPr>
      <w:r>
        <w:rPr>
          <w:kern w:val="0"/>
        </w:rPr>
        <w:t>Abstract: Background: Percutaneous radiofrequency ablation (RFA) has gained popularity in the treatment</w:t>
      </w:r>
      <w:r w:rsidR="00427468">
        <w:rPr>
          <w:kern w:val="0"/>
        </w:rPr>
        <w:t xml:space="preserve"> of </w:t>
      </w:r>
      <w:r>
        <w:rPr>
          <w:kern w:val="0"/>
        </w:rPr>
        <w:t>hepatocellular carcinoma (HCC). However, its role versus other conventional minimally invasive therapies is still a matter</w:t>
      </w:r>
      <w:r w:rsidR="00427468">
        <w:rPr>
          <w:kern w:val="0"/>
        </w:rPr>
        <w:t xml:space="preserve"> of </w:t>
      </w:r>
      <w:r>
        <w:rPr>
          <w:kern w:val="0"/>
        </w:rPr>
        <w:t>debate</w:t>
      </w:r>
      <w:r w:rsidR="00A37C1D">
        <w:rPr>
          <w:kern w:val="0"/>
        </w:rPr>
        <w:t>. The</w:t>
      </w:r>
      <w:r>
        <w:rPr>
          <w:kern w:val="0"/>
        </w:rPr>
        <w:t xml:space="preserve"> purpose</w:t>
      </w:r>
      <w:r w:rsidR="00427468">
        <w:rPr>
          <w:kern w:val="0"/>
        </w:rPr>
        <w:t xml:space="preserve"> of </w:t>
      </w:r>
      <w:r>
        <w:rPr>
          <w:kern w:val="0"/>
        </w:rPr>
        <w:t>this work is to analyse the efficacy</w:t>
      </w:r>
      <w:r w:rsidR="005853A9">
        <w:rPr>
          <w:kern w:val="0"/>
        </w:rPr>
        <w:t xml:space="preserve"> and </w:t>
      </w:r>
      <w:r>
        <w:rPr>
          <w:kern w:val="0"/>
        </w:rPr>
        <w:t>safety</w:t>
      </w:r>
      <w:r w:rsidR="00427468">
        <w:rPr>
          <w:kern w:val="0"/>
        </w:rPr>
        <w:t xml:space="preserve"> of </w:t>
      </w:r>
      <w:r>
        <w:rPr>
          <w:kern w:val="0"/>
        </w:rPr>
        <w:t>RFA versus that</w:t>
      </w:r>
      <w:r w:rsidR="00427468">
        <w:rPr>
          <w:kern w:val="0"/>
        </w:rPr>
        <w:t xml:space="preserve"> of </w:t>
      </w:r>
      <w:r>
        <w:rPr>
          <w:kern w:val="0"/>
        </w:rPr>
        <w:t>ethanol injection (PEI), the percutaneous standard approach to treat nonsurgical HCC. Methods: Systematic review</w:t>
      </w:r>
      <w:r w:rsidR="005853A9">
        <w:rPr>
          <w:kern w:val="0"/>
        </w:rPr>
        <w:t xml:space="preserve"> and </w:t>
      </w:r>
      <w:r>
        <w:rPr>
          <w:kern w:val="0"/>
        </w:rPr>
        <w:t>meta-analysis</w:t>
      </w:r>
      <w:r w:rsidR="00427468">
        <w:rPr>
          <w:kern w:val="0"/>
        </w:rPr>
        <w:t xml:space="preserve"> of </w:t>
      </w:r>
      <w:r>
        <w:rPr>
          <w:kern w:val="0"/>
        </w:rPr>
        <w:t xml:space="preserve">randomised or quasi-randomised controlled trials published up to August 2008 in PUBMED,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The Cochrane Library. Overall survival, local recurrence rate</w:t>
      </w:r>
      <w:r w:rsidR="005853A9">
        <w:rPr>
          <w:kern w:val="0"/>
        </w:rPr>
        <w:t xml:space="preserve"> and </w:t>
      </w:r>
      <w:r>
        <w:rPr>
          <w:kern w:val="0"/>
        </w:rPr>
        <w:t>adverse effects were considered as primary outcomes. Studies were critically appraised</w:t>
      </w:r>
      <w:r w:rsidR="005853A9">
        <w:rPr>
          <w:kern w:val="0"/>
        </w:rPr>
        <w:t xml:space="preserve"> and </w:t>
      </w:r>
      <w:r>
        <w:rPr>
          <w:kern w:val="0"/>
        </w:rPr>
        <w:t>estimates</w:t>
      </w:r>
      <w:r w:rsidR="00427468">
        <w:rPr>
          <w:kern w:val="0"/>
        </w:rPr>
        <w:t xml:space="preserve"> of </w:t>
      </w:r>
      <w:r>
        <w:rPr>
          <w:kern w:val="0"/>
        </w:rPr>
        <w:t>effect were calculated according to the random-effects model. Inconsistency across studies was evaluated using the I(2) statistic. Sensitivity analyses were conducted to explore statistical heterogeneity. Results: Six studies were eligible</w:t>
      </w:r>
      <w:r w:rsidR="00A37C1D">
        <w:rPr>
          <w:kern w:val="0"/>
        </w:rPr>
        <w:t>. The</w:t>
      </w:r>
      <w:r>
        <w:rPr>
          <w:kern w:val="0"/>
        </w:rPr>
        <w:t xml:space="preserve"> studies reported data on 396 patients treated by RFA</w:t>
      </w:r>
      <w:r w:rsidR="005853A9">
        <w:rPr>
          <w:kern w:val="0"/>
        </w:rPr>
        <w:t xml:space="preserve"> and </w:t>
      </w:r>
      <w:r>
        <w:rPr>
          <w:kern w:val="0"/>
        </w:rPr>
        <w:t>391 treated by PEI. In general, subjects were in Child-Pugh class A (74%)</w:t>
      </w:r>
      <w:r w:rsidR="005853A9">
        <w:rPr>
          <w:kern w:val="0"/>
        </w:rPr>
        <w:t xml:space="preserve"> and </w:t>
      </w:r>
      <w:r>
        <w:rPr>
          <w:kern w:val="0"/>
        </w:rPr>
        <w:t>had unresectable HCC (mean size 2.5 cm). Mean follow-up was 25 +/- 11 months</w:t>
      </w:r>
      <w:r w:rsidR="00A37C1D">
        <w:rPr>
          <w:kern w:val="0"/>
        </w:rPr>
        <w:t>. The</w:t>
      </w:r>
      <w:r>
        <w:rPr>
          <w:kern w:val="0"/>
        </w:rPr>
        <w:t xml:space="preserve"> survival rate showed a significant benefit for RFA over PEI at one, two, three</w:t>
      </w:r>
      <w:r w:rsidR="005853A9">
        <w:rPr>
          <w:kern w:val="0"/>
        </w:rPr>
        <w:t xml:space="preserve"> and </w:t>
      </w:r>
      <w:r>
        <w:rPr>
          <w:kern w:val="0"/>
        </w:rPr>
        <w:t>four years</w:t>
      </w:r>
      <w:r w:rsidR="00A37C1D">
        <w:rPr>
          <w:kern w:val="0"/>
        </w:rPr>
        <w:t>. The</w:t>
      </w:r>
      <w:r>
        <w:rPr>
          <w:kern w:val="0"/>
        </w:rPr>
        <w:t xml:space="preserve"> advantage in survival increased with time with Relative Risk values of: 1.28 (95% CI:1.12-1.45)</w:t>
      </w:r>
      <w:r w:rsidR="005853A9">
        <w:rPr>
          <w:kern w:val="0"/>
        </w:rPr>
        <w:t xml:space="preserve"> and </w:t>
      </w:r>
      <w:r>
        <w:rPr>
          <w:kern w:val="0"/>
        </w:rPr>
        <w:t>1.24 95% CI: 1.05-1.48) for RFA versus PEI at 3-</w:t>
      </w:r>
      <w:r w:rsidR="005853A9">
        <w:rPr>
          <w:kern w:val="0"/>
        </w:rPr>
        <w:t xml:space="preserve"> and </w:t>
      </w:r>
      <w:r>
        <w:rPr>
          <w:kern w:val="0"/>
        </w:rPr>
        <w:t>4-years respectively. Likewise, RFA achieved significantly lower rates</w:t>
      </w:r>
      <w:r w:rsidR="00427468">
        <w:rPr>
          <w:kern w:val="0"/>
        </w:rPr>
        <w:t xml:space="preserve"> of </w:t>
      </w:r>
      <w:r>
        <w:rPr>
          <w:kern w:val="0"/>
        </w:rPr>
        <w:t>local recurrence (RR: 0.37, 95% CI: 0.23-0.59)</w:t>
      </w:r>
      <w:r w:rsidR="00A37C1D">
        <w:rPr>
          <w:kern w:val="0"/>
        </w:rPr>
        <w:t>. The</w:t>
      </w:r>
      <w:r>
        <w:rPr>
          <w:kern w:val="0"/>
        </w:rPr>
        <w:t xml:space="preserve"> overall rate</w:t>
      </w:r>
      <w:r w:rsidR="00427468">
        <w:rPr>
          <w:kern w:val="0"/>
        </w:rPr>
        <w:t xml:space="preserve"> of </w:t>
      </w:r>
      <w:r>
        <w:rPr>
          <w:kern w:val="0"/>
        </w:rPr>
        <w:t>adverse events was higher with RFA (RR:2.55, 95% CI: 1.8-3.6) yet no significant differences were found concerning major complications (RR:1.85, 95% CI: 0.68-5.01)</w:t>
      </w:r>
      <w:r w:rsidR="00A37C1D">
        <w:rPr>
          <w:kern w:val="0"/>
        </w:rPr>
        <w:t>. The</w:t>
      </w:r>
      <w:r>
        <w:rPr>
          <w:kern w:val="0"/>
        </w:rPr>
        <w:t xml:space="preserve">re was not </w:t>
      </w:r>
      <w:r>
        <w:rPr>
          <w:kern w:val="0"/>
        </w:rPr>
        <w:lastRenderedPageBreak/>
        <w:t>enough evidence supporting a better cost-effectiveness ratio for RFA compared to PEI. Conclusion: Available evidence from adequate quality controlled studies support the superiority</w:t>
      </w:r>
      <w:r w:rsidR="00427468">
        <w:rPr>
          <w:kern w:val="0"/>
        </w:rPr>
        <w:t xml:space="preserve"> of </w:t>
      </w:r>
      <w:r>
        <w:rPr>
          <w:kern w:val="0"/>
        </w:rPr>
        <w:t>RFA versus PEI, in terms</w:t>
      </w:r>
      <w:r w:rsidR="00427468">
        <w:rPr>
          <w:kern w:val="0"/>
        </w:rPr>
        <w:t xml:space="preserve"> of </w:t>
      </w:r>
      <w:r>
        <w:rPr>
          <w:kern w:val="0"/>
        </w:rPr>
        <w:t>better survival</w:t>
      </w:r>
      <w:r w:rsidR="005853A9">
        <w:rPr>
          <w:kern w:val="0"/>
        </w:rPr>
        <w:t xml:space="preserve"> and </w:t>
      </w:r>
      <w:r>
        <w:rPr>
          <w:kern w:val="0"/>
        </w:rPr>
        <w:t>local control</w:t>
      </w:r>
      <w:r w:rsidR="00427468">
        <w:rPr>
          <w:kern w:val="0"/>
        </w:rPr>
        <w:t xml:space="preserve"> of </w:t>
      </w:r>
      <w:r>
        <w:rPr>
          <w:kern w:val="0"/>
        </w:rPr>
        <w:t>the disease, for the treatment</w:t>
      </w:r>
      <w:r w:rsidR="00427468">
        <w:rPr>
          <w:kern w:val="0"/>
        </w:rPr>
        <w:t xml:space="preserve"> of </w:t>
      </w:r>
      <w:r>
        <w:rPr>
          <w:kern w:val="0"/>
        </w:rPr>
        <w:t>patients with relatively preserved liver function</w:t>
      </w:r>
      <w:r w:rsidR="005853A9">
        <w:rPr>
          <w:kern w:val="0"/>
        </w:rPr>
        <w:t xml:space="preserve"> and </w:t>
      </w:r>
      <w:r>
        <w:rPr>
          <w:kern w:val="0"/>
        </w:rPr>
        <w:t>early-stage non-surgical HCC. However, the higher rate</w:t>
      </w:r>
      <w:r w:rsidR="00427468">
        <w:rPr>
          <w:kern w:val="0"/>
        </w:rPr>
        <w:t xml:space="preserve"> of </w:t>
      </w:r>
      <w:r>
        <w:rPr>
          <w:kern w:val="0"/>
        </w:rPr>
        <w:t>adverse events displayed is something that will have to be tested with appropriate weighting</w:t>
      </w:r>
      <w:r w:rsidR="00427468">
        <w:rPr>
          <w:kern w:val="0"/>
        </w:rPr>
        <w:t xml:space="preserve"> of </w:t>
      </w:r>
      <w:r>
        <w:rPr>
          <w:kern w:val="0"/>
        </w:rPr>
        <w:t>the possible benefits in each individual case. Overall cost-effectiveness</w:t>
      </w:r>
      <w:r w:rsidR="00427468">
        <w:rPr>
          <w:kern w:val="0"/>
        </w:rPr>
        <w:t xml:space="preserve"> of </w:t>
      </w:r>
      <w:r>
        <w:rPr>
          <w:kern w:val="0"/>
        </w:rPr>
        <w:t>RFA needs further evaluation.</w:t>
      </w:r>
    </w:p>
    <w:p w:rsidR="005716E6" w:rsidRDefault="005716E6" w:rsidP="005716E6">
      <w:pPr>
        <w:pStyle w:val="a3"/>
        <w:rPr>
          <w:kern w:val="0"/>
        </w:rPr>
      </w:pPr>
      <w:r>
        <w:rPr>
          <w:kern w:val="0"/>
        </w:rPr>
        <w:t>Keywords: Adverse Effects, Carcinoma, Cirrhosis, Cochrane, Complications, Control, Controlled Studies, Cost-Effectiveness, Design, Disease, Efficacy, Ethanol, Evaluation, Experience, Follow-up, Hepatocellular Carcinoma</w:t>
      </w:r>
      <w:r w:rsidR="00D5664A">
        <w:rPr>
          <w:kern w:val="0"/>
        </w:rPr>
        <w:t>, ISI,</w:t>
      </w:r>
      <w:r>
        <w:rPr>
          <w:kern w:val="0"/>
        </w:rPr>
        <w:t xml:space="preserve"> Liver-Tumors, Management, Meta Analysis, Meta-Analysis, Methods, Model, Outcomes, PEI, Primary, PUBMED, Randomized Controlled-Trial, Ratio, Recurrence, Review, Safety, Science, Statistical, Survival, Systematic, Systematic Review, Therapy, Thermal Ablation, Treatment, </w:t>
      </w:r>
      <w:r w:rsidR="00D5664A">
        <w:rPr>
          <w:kern w:val="0"/>
        </w:rPr>
        <w:t>Web</w:t>
      </w:r>
      <w:r w:rsidR="00427468">
        <w:rPr>
          <w:kern w:val="0"/>
        </w:rPr>
        <w:t xml:space="preserve"> of </w:t>
      </w:r>
      <w:r w:rsidR="00D5664A">
        <w:rPr>
          <w:kern w:val="0"/>
        </w:rPr>
        <w:t>Science</w:t>
      </w:r>
    </w:p>
    <w:p w:rsidR="002354D4" w:rsidRDefault="002354D4" w:rsidP="002354D4">
      <w:pPr>
        <w:pStyle w:val="a3"/>
        <w:rPr>
          <w:kern w:val="0"/>
        </w:rPr>
      </w:pPr>
      <w:r>
        <w:rPr>
          <w:rFonts w:hint="eastAsia"/>
          <w:kern w:val="0"/>
        </w:rPr>
        <w:t xml:space="preserve">? </w:t>
      </w:r>
      <w:r>
        <w:rPr>
          <w:kern w:val="0"/>
        </w:rPr>
        <w:t>Uiters, E., Deville, W., Foets, M., Spreeuwenberg, P.</w:t>
      </w:r>
      <w:r w:rsidR="005853A9">
        <w:rPr>
          <w:kern w:val="0"/>
        </w:rPr>
        <w:t xml:space="preserve"> and </w:t>
      </w:r>
      <w:r>
        <w:rPr>
          <w:kern w:val="0"/>
        </w:rPr>
        <w:t>Groenewegen, P.P. (2009), Differences between immigrant</w:t>
      </w:r>
      <w:r w:rsidR="005853A9">
        <w:rPr>
          <w:kern w:val="0"/>
        </w:rPr>
        <w:t xml:space="preserve"> and </w:t>
      </w:r>
      <w:r>
        <w:rPr>
          <w:kern w:val="0"/>
        </w:rPr>
        <w:t>non-immigrant groups in</w:t>
      </w:r>
      <w:r w:rsidR="003A1917">
        <w:rPr>
          <w:kern w:val="0"/>
        </w:rPr>
        <w:t xml:space="preserve"> the </w:t>
      </w:r>
      <w:r>
        <w:rPr>
          <w:kern w:val="0"/>
        </w:rPr>
        <w:t>use</w:t>
      </w:r>
      <w:r w:rsidR="00427468">
        <w:rPr>
          <w:kern w:val="0"/>
        </w:rPr>
        <w:t xml:space="preserve"> of </w:t>
      </w:r>
      <w:r>
        <w:rPr>
          <w:kern w:val="0"/>
        </w:rPr>
        <w:t>primary medical care</w:t>
      </w:r>
      <w:r>
        <w:rPr>
          <w:rFonts w:hint="eastAsia"/>
          <w:kern w:val="0"/>
        </w:rPr>
        <w:t>:</w:t>
      </w:r>
      <w:r>
        <w:rPr>
          <w:kern w:val="0"/>
        </w:rPr>
        <w:t xml:space="preserve"> A systematic review. </w:t>
      </w:r>
      <w:r>
        <w:rPr>
          <w:i/>
          <w:iCs/>
          <w:kern w:val="0"/>
        </w:rPr>
        <w:t>BMC Health Services Research</w:t>
      </w:r>
      <w:r>
        <w:rPr>
          <w:kern w:val="0"/>
        </w:rPr>
        <w:t xml:space="preserve">, </w:t>
      </w:r>
      <w:r>
        <w:rPr>
          <w:b/>
          <w:bCs/>
          <w:kern w:val="0"/>
        </w:rPr>
        <w:t>9</w:t>
      </w:r>
      <w:r>
        <w:rPr>
          <w:rFonts w:hint="eastAsia"/>
          <w:kern w:val="0"/>
        </w:rPr>
        <w:t xml:space="preserve">, </w:t>
      </w:r>
      <w:r w:rsidRPr="002E65A4">
        <w:rPr>
          <w:kern w:val="0"/>
        </w:rPr>
        <w:t>Article Number: 76</w:t>
      </w:r>
      <w:r>
        <w:rPr>
          <w:rFonts w:hint="eastAsia"/>
          <w:kern w:val="0"/>
        </w:rPr>
        <w:t>.</w:t>
      </w:r>
    </w:p>
    <w:p w:rsidR="002354D4" w:rsidRPr="003862C4" w:rsidRDefault="002354D4" w:rsidP="002354D4">
      <w:pPr>
        <w:pStyle w:val="a3"/>
      </w:pPr>
      <w:r>
        <w:rPr>
          <w:rFonts w:hint="eastAsia"/>
        </w:rPr>
        <w:t xml:space="preserve">Full Text: </w:t>
      </w:r>
      <w:hyperlink r:id="rId1569" w:history="1">
        <w:r w:rsidRPr="00172B6E">
          <w:rPr>
            <w:rStyle w:val="a5"/>
          </w:rPr>
          <w:t>2009\BMC Hea Ser Res9, 76.pdf</w:t>
        </w:r>
      </w:hyperlink>
    </w:p>
    <w:p w:rsidR="002354D4" w:rsidRDefault="002354D4" w:rsidP="002354D4">
      <w:pPr>
        <w:pStyle w:val="a3"/>
        <w:rPr>
          <w:kern w:val="0"/>
        </w:rPr>
      </w:pPr>
      <w:r>
        <w:rPr>
          <w:kern w:val="0"/>
        </w:rPr>
        <w:t>Abstract: Background: Studies on differences between immigrant</w:t>
      </w:r>
      <w:r w:rsidR="005853A9">
        <w:rPr>
          <w:kern w:val="0"/>
        </w:rPr>
        <w:t xml:space="preserve"> and </w:t>
      </w:r>
      <w:r>
        <w:rPr>
          <w:kern w:val="0"/>
        </w:rPr>
        <w:t>non-immigrant groups in health care utilization vary with respect to</w:t>
      </w:r>
      <w:r w:rsidR="003A1917">
        <w:rPr>
          <w:kern w:val="0"/>
        </w:rPr>
        <w:t xml:space="preserve"> the </w:t>
      </w:r>
      <w:r>
        <w:rPr>
          <w:kern w:val="0"/>
        </w:rPr>
        <w:t>extent</w:t>
      </w:r>
      <w:r w:rsidR="005853A9">
        <w:rPr>
          <w:kern w:val="0"/>
        </w:rPr>
        <w:t xml:space="preserve"> and </w:t>
      </w:r>
      <w:r>
        <w:rPr>
          <w:kern w:val="0"/>
        </w:rPr>
        <w:t>direction</w:t>
      </w:r>
      <w:r w:rsidR="00427468">
        <w:rPr>
          <w:kern w:val="0"/>
        </w:rPr>
        <w:t xml:space="preserve"> of </w:t>
      </w:r>
      <w:r>
        <w:rPr>
          <w:kern w:val="0"/>
        </w:rPr>
        <w:t>differences in use</w:t>
      </w:r>
      <w:r w:rsidR="00A37C1D">
        <w:rPr>
          <w:kern w:val="0"/>
        </w:rPr>
        <w:t>. The</w:t>
      </w:r>
      <w:r>
        <w:rPr>
          <w:kern w:val="0"/>
        </w:rPr>
        <w:t>refore, our study aimed to provide a systematic overview</w:t>
      </w:r>
      <w:r w:rsidR="00427468">
        <w:rPr>
          <w:kern w:val="0"/>
        </w:rPr>
        <w:t xml:space="preserve"> of </w:t>
      </w:r>
      <w:r w:rsidR="003A1917">
        <w:rPr>
          <w:kern w:val="0"/>
        </w:rPr>
        <w:t xml:space="preserve">the </w:t>
      </w:r>
      <w:r>
        <w:rPr>
          <w:kern w:val="0"/>
        </w:rPr>
        <w:t>existing research on differences in primary care utilization between immigrant groups</w:t>
      </w:r>
      <w:r w:rsidR="005853A9">
        <w:rPr>
          <w:kern w:val="0"/>
        </w:rPr>
        <w:t xml:space="preserve"> and </w:t>
      </w:r>
      <w:r w:rsidR="003A1917">
        <w:rPr>
          <w:kern w:val="0"/>
        </w:rPr>
        <w:t xml:space="preserve">the </w:t>
      </w:r>
      <w:r>
        <w:rPr>
          <w:kern w:val="0"/>
        </w:rPr>
        <w:t xml:space="preserve">majority population. Methods: For this review </w:t>
      </w:r>
      <w:r w:rsidR="002C12F0">
        <w:rPr>
          <w:kern w:val="0"/>
        </w:rPr>
        <w:t>PUBMED</w:t>
      </w:r>
      <w:r>
        <w:rPr>
          <w:kern w:val="0"/>
        </w:rPr>
        <w:t xml:space="preserve">, PsycInfo, Cinahl, Sociofile,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Current Contents were consulted. Study selection</w:t>
      </w:r>
      <w:r w:rsidR="005853A9">
        <w:rPr>
          <w:kern w:val="0"/>
        </w:rPr>
        <w:t xml:space="preserve"> and </w:t>
      </w:r>
      <w:r>
        <w:rPr>
          <w:kern w:val="0"/>
        </w:rPr>
        <w:t>quality assessment was performed using a predefined protocol by 2 reviewers independently</w:t>
      </w:r>
      <w:r w:rsidR="00427468">
        <w:rPr>
          <w:kern w:val="0"/>
        </w:rPr>
        <w:t xml:space="preserve"> of </w:t>
      </w:r>
      <w:r>
        <w:rPr>
          <w:kern w:val="0"/>
        </w:rPr>
        <w:t>each other. Only original, quantitative, peer-reviewed papers were taken into account. To account for this hierarchical structure, logistic multilevel analyses were performed to examine</w:t>
      </w:r>
      <w:r w:rsidR="003A1917">
        <w:rPr>
          <w:kern w:val="0"/>
        </w:rPr>
        <w:t xml:space="preserve"> the </w:t>
      </w:r>
      <w:r>
        <w:rPr>
          <w:kern w:val="0"/>
        </w:rPr>
        <w:t>extent to which differences are found across countries</w:t>
      </w:r>
      <w:r w:rsidR="005853A9">
        <w:rPr>
          <w:kern w:val="0"/>
        </w:rPr>
        <w:t xml:space="preserve"> and </w:t>
      </w:r>
      <w:r>
        <w:rPr>
          <w:kern w:val="0"/>
        </w:rPr>
        <w:t>immigrant groups. Differences in primary care use were related to study characteristics, strength</w:t>
      </w:r>
      <w:r w:rsidR="00427468">
        <w:rPr>
          <w:kern w:val="0"/>
        </w:rPr>
        <w:t xml:space="preserve"> of </w:t>
      </w:r>
      <w:r w:rsidR="003A1917">
        <w:rPr>
          <w:kern w:val="0"/>
        </w:rPr>
        <w:t xml:space="preserve">the </w:t>
      </w:r>
      <w:r>
        <w:rPr>
          <w:kern w:val="0"/>
        </w:rPr>
        <w:t>primary care system</w:t>
      </w:r>
      <w:r w:rsidR="005853A9">
        <w:rPr>
          <w:kern w:val="0"/>
        </w:rPr>
        <w:t xml:space="preserve"> and </w:t>
      </w:r>
      <w:r>
        <w:rPr>
          <w:kern w:val="0"/>
        </w:rPr>
        <w:t>methodological quality. Results: A total</w:t>
      </w:r>
      <w:r w:rsidR="00427468">
        <w:rPr>
          <w:kern w:val="0"/>
        </w:rPr>
        <w:t xml:space="preserve"> of </w:t>
      </w:r>
      <w:r>
        <w:rPr>
          <w:kern w:val="0"/>
        </w:rPr>
        <w:t>37 studies from 7 countries met all inclusion criteria. Remarkably, studies performed within</w:t>
      </w:r>
      <w:r w:rsidR="003A1917">
        <w:rPr>
          <w:kern w:val="0"/>
        </w:rPr>
        <w:t xml:space="preserve"> the </w:t>
      </w:r>
      <w:r>
        <w:rPr>
          <w:kern w:val="0"/>
        </w:rPr>
        <w:t>US more often reported a significant lower use among immigrant groups as compared to</w:t>
      </w:r>
      <w:r w:rsidR="003A1917">
        <w:rPr>
          <w:kern w:val="0"/>
        </w:rPr>
        <w:t xml:space="preserve"> the </w:t>
      </w:r>
      <w:r>
        <w:rPr>
          <w:kern w:val="0"/>
        </w:rPr>
        <w:t>majority population than</w:t>
      </w:r>
      <w:r w:rsidR="003A1917">
        <w:rPr>
          <w:kern w:val="0"/>
        </w:rPr>
        <w:t xml:space="preserve"> the </w:t>
      </w:r>
      <w:r>
        <w:rPr>
          <w:kern w:val="0"/>
        </w:rPr>
        <w:t>other countries. As studies scored higher on methodological quality,</w:t>
      </w:r>
      <w:r w:rsidR="003A1917">
        <w:rPr>
          <w:kern w:val="0"/>
        </w:rPr>
        <w:t xml:space="preserve"> the </w:t>
      </w:r>
      <w:r>
        <w:rPr>
          <w:kern w:val="0"/>
        </w:rPr>
        <w:t>likelihood</w:t>
      </w:r>
      <w:r w:rsidR="00427468">
        <w:rPr>
          <w:kern w:val="0"/>
        </w:rPr>
        <w:t xml:space="preserve"> of </w:t>
      </w:r>
      <w:r>
        <w:rPr>
          <w:kern w:val="0"/>
        </w:rPr>
        <w:t>reporting significant differences increased. Adjustment for health status</w:t>
      </w:r>
      <w:r w:rsidR="005853A9">
        <w:rPr>
          <w:kern w:val="0"/>
        </w:rPr>
        <w:t xml:space="preserve"> and </w:t>
      </w:r>
      <w:r>
        <w:rPr>
          <w:kern w:val="0"/>
        </w:rPr>
        <w:t>use</w:t>
      </w:r>
      <w:r w:rsidR="00427468">
        <w:rPr>
          <w:kern w:val="0"/>
        </w:rPr>
        <w:t xml:space="preserve"> of </w:t>
      </w:r>
      <w:r>
        <w:rPr>
          <w:kern w:val="0"/>
        </w:rPr>
        <w:t>culture-/language-adjusted procedures during</w:t>
      </w:r>
      <w:r w:rsidR="003A1917">
        <w:rPr>
          <w:kern w:val="0"/>
        </w:rPr>
        <w:t xml:space="preserve"> the </w:t>
      </w:r>
      <w:r>
        <w:rPr>
          <w:kern w:val="0"/>
        </w:rPr>
        <w:t>data collection were negatively related to reporting significant differences in</w:t>
      </w:r>
      <w:r w:rsidR="003A1917">
        <w:rPr>
          <w:kern w:val="0"/>
        </w:rPr>
        <w:t xml:space="preserve"> the </w:t>
      </w:r>
      <w:r>
        <w:rPr>
          <w:kern w:val="0"/>
        </w:rPr>
        <w:t xml:space="preserve">studies. </w:t>
      </w:r>
      <w:r>
        <w:rPr>
          <w:kern w:val="0"/>
        </w:rPr>
        <w:lastRenderedPageBreak/>
        <w:t>Conclusion: Our review underlined</w:t>
      </w:r>
      <w:r w:rsidR="003A1917">
        <w:rPr>
          <w:kern w:val="0"/>
        </w:rPr>
        <w:t xml:space="preserve"> the </w:t>
      </w:r>
      <w:r>
        <w:rPr>
          <w:kern w:val="0"/>
        </w:rPr>
        <w:t>need for careful design in studies</w:t>
      </w:r>
      <w:r w:rsidR="00427468">
        <w:rPr>
          <w:kern w:val="0"/>
        </w:rPr>
        <w:t xml:space="preserve"> of </w:t>
      </w:r>
      <w:r>
        <w:rPr>
          <w:kern w:val="0"/>
        </w:rPr>
        <w:t>differences in health care use between immigrant groups</w:t>
      </w:r>
      <w:r w:rsidR="005853A9">
        <w:rPr>
          <w:kern w:val="0"/>
        </w:rPr>
        <w:t xml:space="preserve"> and </w:t>
      </w:r>
      <w:r w:rsidR="003A1917">
        <w:rPr>
          <w:kern w:val="0"/>
        </w:rPr>
        <w:t xml:space="preserve">the </w:t>
      </w:r>
      <w:r>
        <w:rPr>
          <w:kern w:val="0"/>
        </w:rPr>
        <w:t>majority population</w:t>
      </w:r>
      <w:r w:rsidR="00A37C1D">
        <w:rPr>
          <w:kern w:val="0"/>
        </w:rPr>
        <w:t>. The</w:t>
      </w:r>
      <w:r w:rsidR="003A1917">
        <w:rPr>
          <w:kern w:val="0"/>
        </w:rPr>
        <w:t xml:space="preserve"> </w:t>
      </w:r>
      <w:r>
        <w:rPr>
          <w:kern w:val="0"/>
        </w:rPr>
        <w:t>results from studies concerning differences between immigrant</w:t>
      </w:r>
      <w:r w:rsidR="005853A9">
        <w:rPr>
          <w:kern w:val="0"/>
        </w:rPr>
        <w:t xml:space="preserve"> and </w:t>
      </w:r>
      <w:r w:rsidR="003A1917">
        <w:rPr>
          <w:kern w:val="0"/>
        </w:rPr>
        <w:t xml:space="preserve">the </w:t>
      </w:r>
      <w:r>
        <w:rPr>
          <w:kern w:val="0"/>
        </w:rPr>
        <w:t>majority population in primary health care use performed within</w:t>
      </w:r>
      <w:r w:rsidR="003A1917">
        <w:rPr>
          <w:kern w:val="0"/>
        </w:rPr>
        <w:t xml:space="preserve"> the </w:t>
      </w:r>
      <w:r>
        <w:rPr>
          <w:kern w:val="0"/>
        </w:rPr>
        <w:t>US might be interpreted as a reflection</w:t>
      </w:r>
      <w:r w:rsidR="00427468">
        <w:rPr>
          <w:kern w:val="0"/>
        </w:rPr>
        <w:t xml:space="preserve"> of </w:t>
      </w:r>
      <w:r>
        <w:rPr>
          <w:kern w:val="0"/>
        </w:rPr>
        <w:t>a weaker primary care system in</w:t>
      </w:r>
      <w:r w:rsidR="003A1917">
        <w:rPr>
          <w:kern w:val="0"/>
        </w:rPr>
        <w:t xml:space="preserve"> the </w:t>
      </w:r>
      <w:r>
        <w:rPr>
          <w:kern w:val="0"/>
        </w:rPr>
        <w:t>US compared to Europe</w:t>
      </w:r>
      <w:r w:rsidR="005853A9">
        <w:rPr>
          <w:kern w:val="0"/>
        </w:rPr>
        <w:t xml:space="preserve"> and </w:t>
      </w:r>
      <w:r>
        <w:rPr>
          <w:kern w:val="0"/>
        </w:rPr>
        <w:t>Canada.</w:t>
      </w:r>
    </w:p>
    <w:p w:rsidR="002354D4" w:rsidRDefault="002354D4" w:rsidP="002354D4">
      <w:pPr>
        <w:pStyle w:val="a3"/>
        <w:rPr>
          <w:kern w:val="0"/>
        </w:rPr>
      </w:pPr>
      <w:r>
        <w:rPr>
          <w:kern w:val="0"/>
        </w:rPr>
        <w:t xml:space="preserve">Keywords: Access, Acculturation, Assessment, Canada, Consultations, Data Collection, Ethnic-Differences, Europe, General-Practice, Health Care, Health Status, Immigrant, Medical, Methods, Mexican-Americans, Overview, Papers, Primary, Primary Care, Primary Health Care, Primary Health-Care, Protocol, </w:t>
      </w:r>
      <w:r w:rsidR="002C12F0">
        <w:rPr>
          <w:kern w:val="0"/>
        </w:rPr>
        <w:t>PUBMED</w:t>
      </w:r>
      <w:r>
        <w:rPr>
          <w:kern w:val="0"/>
        </w:rPr>
        <w:t xml:space="preserve">, Quantitative, Reported Health, Research, Review, Science, Services, Social-Class, Systematic, Systematic Review, US, Utilization, </w:t>
      </w:r>
      <w:r w:rsidR="00D5664A">
        <w:rPr>
          <w:kern w:val="0"/>
        </w:rPr>
        <w:t>Web</w:t>
      </w:r>
      <w:r w:rsidR="00427468">
        <w:rPr>
          <w:kern w:val="0"/>
        </w:rPr>
        <w:t xml:space="preserve"> of </w:t>
      </w:r>
      <w:r w:rsidR="00D5664A">
        <w:rPr>
          <w:kern w:val="0"/>
        </w:rPr>
        <w:t>Science</w:t>
      </w:r>
    </w:p>
    <w:p w:rsidR="002354D4" w:rsidRDefault="002354D4" w:rsidP="002354D4">
      <w:pPr>
        <w:pStyle w:val="a3"/>
        <w:rPr>
          <w:kern w:val="0"/>
        </w:rPr>
      </w:pPr>
      <w:r>
        <w:rPr>
          <w:rFonts w:hint="eastAsia"/>
          <w:kern w:val="0"/>
        </w:rPr>
        <w:t xml:space="preserve">? </w:t>
      </w:r>
      <w:r>
        <w:rPr>
          <w:kern w:val="0"/>
        </w:rPr>
        <w:t>Langer, A.</w:t>
      </w:r>
      <w:r w:rsidR="005853A9">
        <w:rPr>
          <w:kern w:val="0"/>
        </w:rPr>
        <w:t xml:space="preserve"> and </w:t>
      </w:r>
      <w:r>
        <w:rPr>
          <w:kern w:val="0"/>
        </w:rPr>
        <w:t>Rogowski, W. (2009), Systematic review</w:t>
      </w:r>
      <w:r w:rsidR="00427468">
        <w:rPr>
          <w:kern w:val="0"/>
        </w:rPr>
        <w:t xml:space="preserve"> of </w:t>
      </w:r>
      <w:r>
        <w:rPr>
          <w:kern w:val="0"/>
        </w:rPr>
        <w:t>economic evaluations</w:t>
      </w:r>
      <w:r w:rsidR="00427468">
        <w:rPr>
          <w:kern w:val="0"/>
        </w:rPr>
        <w:t xml:space="preserve"> of </w:t>
      </w:r>
      <w:r>
        <w:rPr>
          <w:kern w:val="0"/>
        </w:rPr>
        <w:t>human cell-derived wound care products for</w:t>
      </w:r>
      <w:r w:rsidR="003A1917">
        <w:rPr>
          <w:kern w:val="0"/>
        </w:rPr>
        <w:t xml:space="preserve"> the </w:t>
      </w:r>
      <w:r>
        <w:rPr>
          <w:kern w:val="0"/>
        </w:rPr>
        <w:t>treatment</w:t>
      </w:r>
      <w:r w:rsidR="00427468">
        <w:rPr>
          <w:kern w:val="0"/>
        </w:rPr>
        <w:t xml:space="preserve"> of </w:t>
      </w:r>
      <w:r>
        <w:rPr>
          <w:kern w:val="0"/>
        </w:rPr>
        <w:t>venous leg</w:t>
      </w:r>
      <w:r w:rsidR="005853A9">
        <w:rPr>
          <w:kern w:val="0"/>
        </w:rPr>
        <w:t xml:space="preserve"> and </w:t>
      </w:r>
      <w:r>
        <w:rPr>
          <w:kern w:val="0"/>
        </w:rPr>
        <w:t xml:space="preserve">diabetic foot ulcers. </w:t>
      </w:r>
      <w:r>
        <w:rPr>
          <w:i/>
          <w:iCs/>
          <w:kern w:val="0"/>
        </w:rPr>
        <w:t>BMC Health Services Research</w:t>
      </w:r>
      <w:r>
        <w:rPr>
          <w:kern w:val="0"/>
        </w:rPr>
        <w:t xml:space="preserve">, </w:t>
      </w:r>
      <w:r>
        <w:rPr>
          <w:b/>
          <w:bCs/>
          <w:kern w:val="0"/>
        </w:rPr>
        <w:t>9</w:t>
      </w:r>
      <w:r>
        <w:rPr>
          <w:rFonts w:hint="eastAsia"/>
          <w:kern w:val="0"/>
        </w:rPr>
        <w:t xml:space="preserve">, </w:t>
      </w:r>
      <w:r w:rsidRPr="002E65A4">
        <w:rPr>
          <w:kern w:val="0"/>
        </w:rPr>
        <w:t>Article Number: 115</w:t>
      </w:r>
      <w:r>
        <w:rPr>
          <w:rFonts w:hint="eastAsia"/>
          <w:kern w:val="0"/>
        </w:rPr>
        <w:t>.</w:t>
      </w:r>
    </w:p>
    <w:p w:rsidR="002354D4" w:rsidRPr="003862C4" w:rsidRDefault="002354D4" w:rsidP="002354D4">
      <w:pPr>
        <w:pStyle w:val="a3"/>
      </w:pPr>
      <w:r>
        <w:rPr>
          <w:rFonts w:hint="eastAsia"/>
        </w:rPr>
        <w:t xml:space="preserve">Full Text: </w:t>
      </w:r>
      <w:hyperlink r:id="rId1570" w:history="1">
        <w:r w:rsidRPr="00172B6E">
          <w:rPr>
            <w:rStyle w:val="a5"/>
          </w:rPr>
          <w:t>2009\BMC Hea Ser Res9, 115.pdf</w:t>
        </w:r>
      </w:hyperlink>
    </w:p>
    <w:p w:rsidR="002354D4" w:rsidRDefault="002354D4" w:rsidP="002354D4">
      <w:pPr>
        <w:pStyle w:val="a3"/>
        <w:rPr>
          <w:kern w:val="0"/>
        </w:rPr>
      </w:pPr>
      <w:r>
        <w:rPr>
          <w:kern w:val="0"/>
        </w:rPr>
        <w:t>Abstract: Background: Tissue engineering is an emerging field. Novel bioengineered skin substitutes</w:t>
      </w:r>
      <w:r w:rsidR="005853A9">
        <w:rPr>
          <w:kern w:val="0"/>
        </w:rPr>
        <w:t xml:space="preserve"> and </w:t>
      </w:r>
      <w:r>
        <w:rPr>
          <w:kern w:val="0"/>
        </w:rPr>
        <w:t>genetically derived growth factors offer innovative approaches to reduce</w:t>
      </w:r>
      <w:r w:rsidR="003A1917">
        <w:rPr>
          <w:kern w:val="0"/>
        </w:rPr>
        <w:t xml:space="preserve"> the </w:t>
      </w:r>
      <w:r>
        <w:rPr>
          <w:kern w:val="0"/>
        </w:rPr>
        <w:t>burden</w:t>
      </w:r>
      <w:r w:rsidR="00427468">
        <w:rPr>
          <w:kern w:val="0"/>
        </w:rPr>
        <w:t xml:space="preserve"> of </w:t>
      </w:r>
      <w:r>
        <w:rPr>
          <w:kern w:val="0"/>
        </w:rPr>
        <w:t>diabetic foot</w:t>
      </w:r>
      <w:r w:rsidR="005853A9">
        <w:rPr>
          <w:kern w:val="0"/>
        </w:rPr>
        <w:t xml:space="preserve"> and </w:t>
      </w:r>
      <w:r>
        <w:rPr>
          <w:kern w:val="0"/>
        </w:rPr>
        <w:t>venous leg ulcers for both patients</w:t>
      </w:r>
      <w:r w:rsidR="005853A9">
        <w:rPr>
          <w:kern w:val="0"/>
        </w:rPr>
        <w:t xml:space="preserve"> and </w:t>
      </w:r>
      <w:r>
        <w:rPr>
          <w:kern w:val="0"/>
        </w:rPr>
        <w:t>health care systems. However, they frequently are very costly. Based on a systematic review</w:t>
      </w:r>
      <w:r w:rsidR="00427468">
        <w:rPr>
          <w:kern w:val="0"/>
        </w:rPr>
        <w:t xml:space="preserve"> of </w:t>
      </w:r>
      <w:r w:rsidR="003A1917">
        <w:rPr>
          <w:kern w:val="0"/>
        </w:rPr>
        <w:t xml:space="preserve">the </w:t>
      </w:r>
      <w:r>
        <w:rPr>
          <w:kern w:val="0"/>
        </w:rPr>
        <w:t>literature, this study assesses</w:t>
      </w:r>
      <w:r w:rsidR="003A1917">
        <w:rPr>
          <w:kern w:val="0"/>
        </w:rPr>
        <w:t xml:space="preserve"> the </w:t>
      </w:r>
      <w:r>
        <w:rPr>
          <w:kern w:val="0"/>
        </w:rPr>
        <w:t>cost-effectiveness</w:t>
      </w:r>
      <w:r w:rsidR="00427468">
        <w:rPr>
          <w:kern w:val="0"/>
        </w:rPr>
        <w:t xml:space="preserve"> of </w:t>
      </w:r>
      <w:r>
        <w:rPr>
          <w:kern w:val="0"/>
        </w:rPr>
        <w:t>these growth factors</w:t>
      </w:r>
      <w:r w:rsidR="005853A9">
        <w:rPr>
          <w:kern w:val="0"/>
        </w:rPr>
        <w:t xml:space="preserve"> and </w:t>
      </w:r>
      <w:r>
        <w:rPr>
          <w:kern w:val="0"/>
        </w:rPr>
        <w:t>tissue-engineered artificial skin for treating chronic wounds. Methods: On</w:t>
      </w:r>
      <w:r w:rsidR="003A1917">
        <w:rPr>
          <w:kern w:val="0"/>
        </w:rPr>
        <w:t xml:space="preserve"> the </w:t>
      </w:r>
      <w:r>
        <w:rPr>
          <w:kern w:val="0"/>
        </w:rPr>
        <w:t>basis</w:t>
      </w:r>
      <w:r w:rsidR="00427468">
        <w:rPr>
          <w:kern w:val="0"/>
        </w:rPr>
        <w:t xml:space="preserve"> of </w:t>
      </w:r>
      <w:r>
        <w:rPr>
          <w:kern w:val="0"/>
        </w:rPr>
        <w:t>an extensive explorative search, an appropriate algorithm for a systematic database search was developed</w:t>
      </w:r>
      <w:r w:rsidR="00A37C1D">
        <w:rPr>
          <w:kern w:val="0"/>
        </w:rPr>
        <w:t>. The</w:t>
      </w:r>
      <w:r w:rsidR="003A1917">
        <w:rPr>
          <w:kern w:val="0"/>
        </w:rPr>
        <w:t xml:space="preserve"> </w:t>
      </w:r>
      <w:r>
        <w:rPr>
          <w:kern w:val="0"/>
        </w:rPr>
        <w:t xml:space="preserve">following databases were searched: BIOSIS Previews, CRD databases, Cochrane Library, EconLit, EMBASE, </w:t>
      </w:r>
      <w:r w:rsidR="00D5664A">
        <w:rPr>
          <w:kern w:val="0"/>
        </w:rPr>
        <w:t>MEDLINE</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Only completed</w:t>
      </w:r>
      <w:r w:rsidR="005853A9">
        <w:rPr>
          <w:kern w:val="0"/>
        </w:rPr>
        <w:t xml:space="preserve"> and </w:t>
      </w:r>
      <w:r>
        <w:rPr>
          <w:kern w:val="0"/>
        </w:rPr>
        <w:t>published trial-or model-based studies which contained a full economic evaluation</w:t>
      </w:r>
      <w:r w:rsidR="00427468">
        <w:rPr>
          <w:kern w:val="0"/>
        </w:rPr>
        <w:t xml:space="preserve"> of </w:t>
      </w:r>
      <w:r>
        <w:rPr>
          <w:kern w:val="0"/>
        </w:rPr>
        <w:t>growth factors</w:t>
      </w:r>
      <w:r w:rsidR="005853A9">
        <w:rPr>
          <w:kern w:val="0"/>
        </w:rPr>
        <w:t xml:space="preserve"> and </w:t>
      </w:r>
      <w:r>
        <w:rPr>
          <w:kern w:val="0"/>
        </w:rPr>
        <w:t>bioengineered skin substitutes for</w:t>
      </w:r>
      <w:r w:rsidR="003A1917">
        <w:rPr>
          <w:kern w:val="0"/>
        </w:rPr>
        <w:t xml:space="preserve"> the </w:t>
      </w:r>
      <w:r>
        <w:rPr>
          <w:kern w:val="0"/>
        </w:rPr>
        <w:t>treatment</w:t>
      </w:r>
      <w:r w:rsidR="00427468">
        <w:rPr>
          <w:kern w:val="0"/>
        </w:rPr>
        <w:t xml:space="preserve"> of </w:t>
      </w:r>
      <w:r>
        <w:rPr>
          <w:kern w:val="0"/>
        </w:rPr>
        <w:t>chronic wounds were included. Two reviewers independently undertook</w:t>
      </w:r>
      <w:r w:rsidR="003A1917">
        <w:rPr>
          <w:kern w:val="0"/>
        </w:rPr>
        <w:t xml:space="preserve"> the </w:t>
      </w:r>
      <w:r>
        <w:rPr>
          <w:kern w:val="0"/>
        </w:rPr>
        <w:t>assessment</w:t>
      </w:r>
      <w:r w:rsidR="00427468">
        <w:rPr>
          <w:kern w:val="0"/>
        </w:rPr>
        <w:t xml:space="preserve"> of </w:t>
      </w:r>
      <w:r>
        <w:rPr>
          <w:kern w:val="0"/>
        </w:rPr>
        <w:t>study quality</w:t>
      </w:r>
      <w:r w:rsidR="00A37C1D">
        <w:rPr>
          <w:kern w:val="0"/>
        </w:rPr>
        <w:t>. The</w:t>
      </w:r>
      <w:r w:rsidR="003A1917">
        <w:rPr>
          <w:kern w:val="0"/>
        </w:rPr>
        <w:t xml:space="preserve"> </w:t>
      </w:r>
      <w:r>
        <w:rPr>
          <w:kern w:val="0"/>
        </w:rPr>
        <w:t>relevant studies were assessed by a modified version</w:t>
      </w:r>
      <w:r w:rsidR="00427468">
        <w:rPr>
          <w:kern w:val="0"/>
        </w:rPr>
        <w:t xml:space="preserve"> of </w:t>
      </w:r>
      <w:r w:rsidR="003A1917">
        <w:rPr>
          <w:kern w:val="0"/>
        </w:rPr>
        <w:t xml:space="preserve">the </w:t>
      </w:r>
      <w:r>
        <w:rPr>
          <w:kern w:val="0"/>
        </w:rPr>
        <w:t>Consensus on Health Economic Criteria (CHEC) list</w:t>
      </w:r>
      <w:r w:rsidR="005853A9">
        <w:rPr>
          <w:kern w:val="0"/>
        </w:rPr>
        <w:t xml:space="preserve"> and </w:t>
      </w:r>
      <w:r>
        <w:rPr>
          <w:kern w:val="0"/>
        </w:rPr>
        <w:t>a published checklist for evaluating model-based economic evaluations. Results: Eleven health economic evaluations were included. Three biotechnology products were identified for which topical growth factors or bioengineered skin substitutes for</w:t>
      </w:r>
      <w:r w:rsidR="003A1917">
        <w:rPr>
          <w:kern w:val="0"/>
        </w:rPr>
        <w:t xml:space="preserve"> the </w:t>
      </w:r>
      <w:r>
        <w:rPr>
          <w:kern w:val="0"/>
        </w:rPr>
        <w:t>treatment</w:t>
      </w:r>
      <w:r w:rsidR="00427468">
        <w:rPr>
          <w:kern w:val="0"/>
        </w:rPr>
        <w:t xml:space="preserve"> of </w:t>
      </w:r>
      <w:r>
        <w:rPr>
          <w:kern w:val="0"/>
        </w:rPr>
        <w:t>chronic leg ulceration were economically assessed: (1) Apligraf (R), a bilayered living human skin equivalent indicated for</w:t>
      </w:r>
      <w:r w:rsidR="003A1917">
        <w:rPr>
          <w:kern w:val="0"/>
        </w:rPr>
        <w:t xml:space="preserve"> the </w:t>
      </w:r>
      <w:r>
        <w:rPr>
          <w:kern w:val="0"/>
        </w:rPr>
        <w:t>treatment</w:t>
      </w:r>
      <w:r w:rsidR="00427468">
        <w:rPr>
          <w:kern w:val="0"/>
        </w:rPr>
        <w:t xml:space="preserve"> of </w:t>
      </w:r>
      <w:r>
        <w:rPr>
          <w:kern w:val="0"/>
        </w:rPr>
        <w:t>diabetic foot</w:t>
      </w:r>
      <w:r w:rsidR="005853A9">
        <w:rPr>
          <w:kern w:val="0"/>
        </w:rPr>
        <w:t xml:space="preserve"> and </w:t>
      </w:r>
      <w:r>
        <w:rPr>
          <w:kern w:val="0"/>
        </w:rPr>
        <w:t>venous leg ulcers (five studies); (2) Dermagraft (R), a human fibroblast-derived dermal substitute, which is indicated only for use in</w:t>
      </w:r>
      <w:r w:rsidR="003A1917">
        <w:rPr>
          <w:kern w:val="0"/>
        </w:rPr>
        <w:t xml:space="preserve"> the </w:t>
      </w:r>
      <w:r>
        <w:rPr>
          <w:kern w:val="0"/>
        </w:rPr>
        <w:t>treatment</w:t>
      </w:r>
      <w:r w:rsidR="00427468">
        <w:rPr>
          <w:kern w:val="0"/>
        </w:rPr>
        <w:t xml:space="preserve"> of </w:t>
      </w:r>
      <w:r>
        <w:rPr>
          <w:kern w:val="0"/>
        </w:rPr>
        <w:t>full-thickness diabetic foot ulcers (one study); (3) REGRANEX (R) Gel, a human platelet-derived growth factor for</w:t>
      </w:r>
      <w:r w:rsidR="003A1917">
        <w:rPr>
          <w:kern w:val="0"/>
        </w:rPr>
        <w:t xml:space="preserve"> the </w:t>
      </w:r>
      <w:r>
        <w:rPr>
          <w:kern w:val="0"/>
        </w:rPr>
        <w:t>treatment</w:t>
      </w:r>
      <w:r w:rsidR="00427468">
        <w:rPr>
          <w:kern w:val="0"/>
        </w:rPr>
        <w:t xml:space="preserve"> of </w:t>
      </w:r>
      <w:r>
        <w:rPr>
          <w:kern w:val="0"/>
        </w:rPr>
        <w:lastRenderedPageBreak/>
        <w:t>deep neuropathic diabetic foot ulcers (five studies)</w:t>
      </w:r>
      <w:r w:rsidR="00A37C1D">
        <w:rPr>
          <w:kern w:val="0"/>
        </w:rPr>
        <w:t>. The</w:t>
      </w:r>
      <w:r w:rsidR="003A1917">
        <w:rPr>
          <w:kern w:val="0"/>
        </w:rPr>
        <w:t xml:space="preserve"> </w:t>
      </w:r>
      <w:r>
        <w:rPr>
          <w:kern w:val="0"/>
        </w:rPr>
        <w:t>studies considered in this review were</w:t>
      </w:r>
      <w:r w:rsidR="00427468">
        <w:rPr>
          <w:kern w:val="0"/>
        </w:rPr>
        <w:t xml:space="preserve"> of </w:t>
      </w:r>
      <w:r>
        <w:rPr>
          <w:kern w:val="0"/>
        </w:rPr>
        <w:t>varying</w:t>
      </w:r>
      <w:r w:rsidR="005853A9">
        <w:rPr>
          <w:kern w:val="0"/>
        </w:rPr>
        <w:t xml:space="preserve"> and </w:t>
      </w:r>
      <w:r>
        <w:rPr>
          <w:kern w:val="0"/>
        </w:rPr>
        <w:t>partly low methodological quality</w:t>
      </w:r>
      <w:r w:rsidR="00A37C1D">
        <w:rPr>
          <w:kern w:val="0"/>
        </w:rPr>
        <w:t>. The</w:t>
      </w:r>
      <w:r>
        <w:rPr>
          <w:kern w:val="0"/>
        </w:rPr>
        <w:t>y calculated that due to shorter treatment periods, fewer complications</w:t>
      </w:r>
      <w:r w:rsidR="005853A9">
        <w:rPr>
          <w:kern w:val="0"/>
        </w:rPr>
        <w:t xml:space="preserve"> and </w:t>
      </w:r>
      <w:r>
        <w:rPr>
          <w:kern w:val="0"/>
        </w:rPr>
        <w:t>fewer inpatient episodes</w:t>
      </w:r>
      <w:r w:rsidR="003A1917">
        <w:rPr>
          <w:kern w:val="0"/>
        </w:rPr>
        <w:t xml:space="preserve"> the </w:t>
      </w:r>
      <w:r>
        <w:rPr>
          <w:kern w:val="0"/>
        </w:rPr>
        <w:t>initial cost</w:t>
      </w:r>
      <w:r w:rsidR="00427468">
        <w:rPr>
          <w:kern w:val="0"/>
        </w:rPr>
        <w:t xml:space="preserve"> of </w:t>
      </w:r>
      <w:r w:rsidR="003A1917">
        <w:rPr>
          <w:kern w:val="0"/>
        </w:rPr>
        <w:t xml:space="preserve">the </w:t>
      </w:r>
      <w:r>
        <w:rPr>
          <w:kern w:val="0"/>
        </w:rPr>
        <w:t>novel biotechnology products may be offset, making</w:t>
      </w:r>
      <w:r w:rsidR="003A1917">
        <w:rPr>
          <w:kern w:val="0"/>
        </w:rPr>
        <w:t xml:space="preserve"> the </w:t>
      </w:r>
      <w:r>
        <w:rPr>
          <w:kern w:val="0"/>
        </w:rPr>
        <w:t>treatment cost-effective or even cost-saving</w:t>
      </w:r>
      <w:r w:rsidR="00A37C1D">
        <w:rPr>
          <w:kern w:val="0"/>
        </w:rPr>
        <w:t>. The</w:t>
      </w:r>
      <w:r w:rsidR="003A1917">
        <w:rPr>
          <w:kern w:val="0"/>
        </w:rPr>
        <w:t xml:space="preserve"> </w:t>
      </w:r>
      <w:r>
        <w:rPr>
          <w:kern w:val="0"/>
        </w:rPr>
        <w:t>results</w:t>
      </w:r>
      <w:r w:rsidR="00427468">
        <w:rPr>
          <w:kern w:val="0"/>
        </w:rPr>
        <w:t xml:space="preserve"> of </w:t>
      </w:r>
      <w:r>
        <w:rPr>
          <w:kern w:val="0"/>
        </w:rPr>
        <w:t>most studies were sensitive to initial costs</w:t>
      </w:r>
      <w:r w:rsidR="00427468">
        <w:rPr>
          <w:kern w:val="0"/>
        </w:rPr>
        <w:t xml:space="preserve"> of </w:t>
      </w:r>
      <w:r w:rsidR="003A1917">
        <w:rPr>
          <w:kern w:val="0"/>
        </w:rPr>
        <w:t xml:space="preserve">the </w:t>
      </w:r>
      <w:r>
        <w:rPr>
          <w:kern w:val="0"/>
        </w:rPr>
        <w:t>products</w:t>
      </w:r>
      <w:r w:rsidR="005853A9">
        <w:rPr>
          <w:kern w:val="0"/>
        </w:rPr>
        <w:t xml:space="preserve"> and </w:t>
      </w:r>
      <w:r w:rsidR="003A1917">
        <w:rPr>
          <w:kern w:val="0"/>
        </w:rPr>
        <w:t xml:space="preserve">the </w:t>
      </w:r>
      <w:r>
        <w:rPr>
          <w:kern w:val="0"/>
        </w:rPr>
        <w:t>evidence</w:t>
      </w:r>
      <w:r w:rsidR="00427468">
        <w:rPr>
          <w:kern w:val="0"/>
        </w:rPr>
        <w:t xml:space="preserve"> of </w:t>
      </w:r>
      <w:r>
        <w:rPr>
          <w:kern w:val="0"/>
        </w:rPr>
        <w:t>effectiveness. Conclusion:</w:t>
      </w:r>
      <w:r w:rsidR="003A1917">
        <w:rPr>
          <w:kern w:val="0"/>
        </w:rPr>
        <w:t xml:space="preserve"> the </w:t>
      </w:r>
      <w:r>
        <w:rPr>
          <w:kern w:val="0"/>
        </w:rPr>
        <w:t>study results suggest that some growth factors</w:t>
      </w:r>
      <w:r w:rsidR="005853A9">
        <w:rPr>
          <w:kern w:val="0"/>
        </w:rPr>
        <w:t xml:space="preserve"> and </w:t>
      </w:r>
      <w:r>
        <w:rPr>
          <w:kern w:val="0"/>
        </w:rPr>
        <w:t>tissue-engineered artificial skin products feature favourable cost-effectiveness ratios in selected patient groups with chronic wounds. Despite</w:t>
      </w:r>
      <w:r w:rsidR="003A1917">
        <w:rPr>
          <w:kern w:val="0"/>
        </w:rPr>
        <w:t xml:space="preserve"> the </w:t>
      </w:r>
      <w:r>
        <w:rPr>
          <w:kern w:val="0"/>
        </w:rPr>
        <w:t>limitations</w:t>
      </w:r>
      <w:r w:rsidR="00427468">
        <w:rPr>
          <w:kern w:val="0"/>
        </w:rPr>
        <w:t xml:space="preserve"> of </w:t>
      </w:r>
      <w:r w:rsidR="003A1917">
        <w:rPr>
          <w:kern w:val="0"/>
        </w:rPr>
        <w:t xml:space="preserve">the </w:t>
      </w:r>
      <w:r>
        <w:rPr>
          <w:kern w:val="0"/>
        </w:rPr>
        <w:t>studies considered, it is evident that health care providers</w:t>
      </w:r>
      <w:r w:rsidR="005853A9">
        <w:rPr>
          <w:kern w:val="0"/>
        </w:rPr>
        <w:t xml:space="preserve"> and </w:t>
      </w:r>
      <w:r>
        <w:rPr>
          <w:kern w:val="0"/>
        </w:rPr>
        <w:t>coverage decision makers should take not only</w:t>
      </w:r>
      <w:r w:rsidR="003A1917">
        <w:rPr>
          <w:kern w:val="0"/>
        </w:rPr>
        <w:t xml:space="preserve"> the </w:t>
      </w:r>
      <w:r>
        <w:rPr>
          <w:kern w:val="0"/>
        </w:rPr>
        <w:t>high cost</w:t>
      </w:r>
      <w:r w:rsidR="00427468">
        <w:rPr>
          <w:kern w:val="0"/>
        </w:rPr>
        <w:t xml:space="preserve"> of </w:t>
      </w:r>
      <w:r w:rsidR="003A1917">
        <w:rPr>
          <w:kern w:val="0"/>
        </w:rPr>
        <w:t xml:space="preserve">the </w:t>
      </w:r>
      <w:r>
        <w:rPr>
          <w:kern w:val="0"/>
        </w:rPr>
        <w:t>biotechnology product but</w:t>
      </w:r>
      <w:r w:rsidR="003A1917">
        <w:rPr>
          <w:kern w:val="0"/>
        </w:rPr>
        <w:t xml:space="preserve"> the </w:t>
      </w:r>
      <w:r>
        <w:rPr>
          <w:kern w:val="0"/>
        </w:rPr>
        <w:t>total cost</w:t>
      </w:r>
      <w:r w:rsidR="00427468">
        <w:rPr>
          <w:kern w:val="0"/>
        </w:rPr>
        <w:t xml:space="preserve"> of </w:t>
      </w:r>
      <w:r>
        <w:rPr>
          <w:kern w:val="0"/>
        </w:rPr>
        <w:t>care into account when deciding about</w:t>
      </w:r>
      <w:r w:rsidR="003A1917">
        <w:rPr>
          <w:kern w:val="0"/>
        </w:rPr>
        <w:t xml:space="preserve"> the </w:t>
      </w:r>
      <w:r>
        <w:rPr>
          <w:kern w:val="0"/>
        </w:rPr>
        <w:t>appropriate allocation</w:t>
      </w:r>
      <w:r w:rsidR="00427468">
        <w:rPr>
          <w:kern w:val="0"/>
        </w:rPr>
        <w:t xml:space="preserve"> of </w:t>
      </w:r>
      <w:r>
        <w:rPr>
          <w:kern w:val="0"/>
        </w:rPr>
        <w:t>their financial resources. However, not only</w:t>
      </w:r>
      <w:r w:rsidR="003A1917">
        <w:rPr>
          <w:kern w:val="0"/>
        </w:rPr>
        <w:t xml:space="preserve"> the </w:t>
      </w:r>
      <w:r>
        <w:rPr>
          <w:kern w:val="0"/>
        </w:rPr>
        <w:t>cost-effectiveness but first</w:t>
      </w:r>
      <w:r w:rsidR="00427468">
        <w:rPr>
          <w:kern w:val="0"/>
        </w:rPr>
        <w:t xml:space="preserve"> of </w:t>
      </w:r>
      <w:r>
        <w:rPr>
          <w:kern w:val="0"/>
        </w:rPr>
        <w:t>all</w:t>
      </w:r>
      <w:r w:rsidR="003A1917">
        <w:rPr>
          <w:kern w:val="0"/>
        </w:rPr>
        <w:t xml:space="preserve"> the </w:t>
      </w:r>
      <w:r>
        <w:rPr>
          <w:kern w:val="0"/>
        </w:rPr>
        <w:t>effectiveness</w:t>
      </w:r>
      <w:r w:rsidR="00427468">
        <w:rPr>
          <w:kern w:val="0"/>
        </w:rPr>
        <w:t xml:space="preserve"> of </w:t>
      </w:r>
      <w:r>
        <w:rPr>
          <w:kern w:val="0"/>
        </w:rPr>
        <w:t>these novel biotechnology products deserve further research.</w:t>
      </w:r>
    </w:p>
    <w:p w:rsidR="002354D4" w:rsidRDefault="002354D4" w:rsidP="002354D4">
      <w:pPr>
        <w:pStyle w:val="a3"/>
        <w:rPr>
          <w:kern w:val="0"/>
        </w:rPr>
      </w:pPr>
      <w:r>
        <w:rPr>
          <w:kern w:val="0"/>
        </w:rPr>
        <w:t xml:space="preserve">Keywords: Assessment, Becaplermin, Biotechnology, Burden, Cochrane, Cost-Effectiveness, Costs, Countries, Coverage, Databases, Effectiveness, Efficacy, Evaluation, Graftskin, Growth Factor-Bb, Health, Health Care, Human, Human Skin Equivalent, Literature, Management, Methods, Quality, Research, Review, Safety, Science, Systematic, Systematic Review, Treatment, </w:t>
      </w:r>
      <w:r w:rsidR="00D5664A">
        <w:rPr>
          <w:kern w:val="0"/>
        </w:rPr>
        <w:t>Web</w:t>
      </w:r>
      <w:r w:rsidR="00427468">
        <w:rPr>
          <w:kern w:val="0"/>
        </w:rPr>
        <w:t xml:space="preserve"> of </w:t>
      </w:r>
      <w:r w:rsidR="00D5664A">
        <w:rPr>
          <w:kern w:val="0"/>
        </w:rPr>
        <w:t>Science</w:t>
      </w:r>
    </w:p>
    <w:p w:rsidR="002354D4" w:rsidRDefault="002354D4" w:rsidP="002354D4">
      <w:pPr>
        <w:pStyle w:val="a3"/>
        <w:rPr>
          <w:kern w:val="0"/>
        </w:rPr>
      </w:pPr>
      <w:r>
        <w:rPr>
          <w:rFonts w:hint="eastAsia"/>
          <w:kern w:val="0"/>
        </w:rPr>
        <w:t xml:space="preserve">? </w:t>
      </w:r>
      <w:r>
        <w:rPr>
          <w:kern w:val="0"/>
        </w:rPr>
        <w:t>Van Herck, P., De Smedt, D., Annemans, L., Remmen, R., Rosenthal, M.B.</w:t>
      </w:r>
      <w:r w:rsidR="005853A9">
        <w:rPr>
          <w:kern w:val="0"/>
        </w:rPr>
        <w:t xml:space="preserve"> and </w:t>
      </w:r>
      <w:r>
        <w:rPr>
          <w:kern w:val="0"/>
        </w:rPr>
        <w:t>Sermeus, W. (2010), Systematic review: Effects, design choices,</w:t>
      </w:r>
      <w:r w:rsidR="005853A9">
        <w:rPr>
          <w:kern w:val="0"/>
        </w:rPr>
        <w:t xml:space="preserve"> and </w:t>
      </w:r>
      <w:r>
        <w:rPr>
          <w:kern w:val="0"/>
        </w:rPr>
        <w:t>context</w:t>
      </w:r>
      <w:r w:rsidR="00427468">
        <w:rPr>
          <w:kern w:val="0"/>
        </w:rPr>
        <w:t xml:space="preserve"> of </w:t>
      </w:r>
      <w:r>
        <w:rPr>
          <w:kern w:val="0"/>
        </w:rPr>
        <w:t xml:space="preserve">pay-for-performance in health care. </w:t>
      </w:r>
      <w:r>
        <w:rPr>
          <w:i/>
          <w:iCs/>
          <w:kern w:val="0"/>
        </w:rPr>
        <w:t>BMC Health Services Research</w:t>
      </w:r>
      <w:r>
        <w:rPr>
          <w:kern w:val="0"/>
        </w:rPr>
        <w:t xml:space="preserve">, </w:t>
      </w:r>
      <w:r>
        <w:rPr>
          <w:b/>
          <w:bCs/>
          <w:kern w:val="0"/>
        </w:rPr>
        <w:t>10</w:t>
      </w:r>
      <w:r>
        <w:rPr>
          <w:rFonts w:hint="eastAsia"/>
          <w:kern w:val="0"/>
        </w:rPr>
        <w:t xml:space="preserve">, </w:t>
      </w:r>
      <w:r w:rsidRPr="002E65A4">
        <w:rPr>
          <w:kern w:val="0"/>
        </w:rPr>
        <w:t>Article Number: 247</w:t>
      </w:r>
    </w:p>
    <w:p w:rsidR="002354D4" w:rsidRPr="003862C4" w:rsidRDefault="002354D4" w:rsidP="002354D4">
      <w:pPr>
        <w:pStyle w:val="a3"/>
      </w:pPr>
      <w:r>
        <w:rPr>
          <w:rFonts w:hint="eastAsia"/>
        </w:rPr>
        <w:t xml:space="preserve">Full Text: </w:t>
      </w:r>
      <w:hyperlink r:id="rId1571" w:history="1">
        <w:r w:rsidRPr="00C07B1C">
          <w:rPr>
            <w:rStyle w:val="a5"/>
          </w:rPr>
          <w:t>2010\BMC Hea Ser Res10, 247.pdf</w:t>
        </w:r>
      </w:hyperlink>
    </w:p>
    <w:p w:rsidR="002354D4" w:rsidRDefault="002354D4" w:rsidP="002354D4">
      <w:pPr>
        <w:pStyle w:val="a3"/>
        <w:rPr>
          <w:kern w:val="0"/>
        </w:rPr>
      </w:pPr>
      <w:r>
        <w:rPr>
          <w:kern w:val="0"/>
        </w:rPr>
        <w:t>Abstract: Background: Pay-for-performance (P4P) is one</w:t>
      </w:r>
      <w:r w:rsidR="00427468">
        <w:rPr>
          <w:kern w:val="0"/>
        </w:rPr>
        <w:t xml:space="preserve"> of </w:t>
      </w:r>
      <w:r w:rsidR="003A1917">
        <w:rPr>
          <w:kern w:val="0"/>
        </w:rPr>
        <w:t xml:space="preserve">the </w:t>
      </w:r>
      <w:r>
        <w:rPr>
          <w:kern w:val="0"/>
        </w:rPr>
        <w:t>primary tools used to support healthcare delivery reform. Substantial heterogeneity exists in</w:t>
      </w:r>
      <w:r w:rsidR="003A1917">
        <w:rPr>
          <w:kern w:val="0"/>
        </w:rPr>
        <w:t xml:space="preserve"> the </w:t>
      </w:r>
      <w:r>
        <w:rPr>
          <w:kern w:val="0"/>
        </w:rPr>
        <w:t>development</w:t>
      </w:r>
      <w:r w:rsidR="005853A9">
        <w:rPr>
          <w:kern w:val="0"/>
        </w:rPr>
        <w:t xml:space="preserve"> and </w:t>
      </w:r>
      <w:r>
        <w:rPr>
          <w:kern w:val="0"/>
        </w:rPr>
        <w:t>implementation</w:t>
      </w:r>
      <w:r w:rsidR="00427468">
        <w:rPr>
          <w:kern w:val="0"/>
        </w:rPr>
        <w:t xml:space="preserve"> of </w:t>
      </w:r>
      <w:r>
        <w:rPr>
          <w:kern w:val="0"/>
        </w:rPr>
        <w:t>P4P in health care</w:t>
      </w:r>
      <w:r w:rsidR="005853A9">
        <w:rPr>
          <w:kern w:val="0"/>
        </w:rPr>
        <w:t xml:space="preserve"> and </w:t>
      </w:r>
      <w:r>
        <w:rPr>
          <w:kern w:val="0"/>
        </w:rPr>
        <w:t>its effects. This paper summarizes evidence, obtained from studies published between January 1990</w:t>
      </w:r>
      <w:r w:rsidR="005853A9">
        <w:rPr>
          <w:kern w:val="0"/>
        </w:rPr>
        <w:t xml:space="preserve"> and </w:t>
      </w:r>
      <w:r>
        <w:rPr>
          <w:kern w:val="0"/>
        </w:rPr>
        <w:t>July 2009, concerning P4P effects, as well as evidence on</w:t>
      </w:r>
      <w:r w:rsidR="003A1917">
        <w:rPr>
          <w:kern w:val="0"/>
        </w:rPr>
        <w:t xml:space="preserve"> the </w:t>
      </w:r>
      <w:r>
        <w:rPr>
          <w:kern w:val="0"/>
        </w:rPr>
        <w:t>impact</w:t>
      </w:r>
      <w:r w:rsidR="00427468">
        <w:rPr>
          <w:kern w:val="0"/>
        </w:rPr>
        <w:t xml:space="preserve"> of </w:t>
      </w:r>
      <w:r>
        <w:rPr>
          <w:kern w:val="0"/>
        </w:rPr>
        <w:t>design choices</w:t>
      </w:r>
      <w:r w:rsidR="005853A9">
        <w:rPr>
          <w:kern w:val="0"/>
        </w:rPr>
        <w:t xml:space="preserve"> and </w:t>
      </w:r>
      <w:r>
        <w:rPr>
          <w:kern w:val="0"/>
        </w:rPr>
        <w:t>contextual mediators on these effects. Effect domains include clinical effectiveness, access</w:t>
      </w:r>
      <w:r w:rsidR="005853A9">
        <w:rPr>
          <w:kern w:val="0"/>
        </w:rPr>
        <w:t xml:space="preserve"> and </w:t>
      </w:r>
      <w:r>
        <w:rPr>
          <w:kern w:val="0"/>
        </w:rPr>
        <w:t>equity, coordination</w:t>
      </w:r>
      <w:r w:rsidR="005853A9">
        <w:rPr>
          <w:kern w:val="0"/>
        </w:rPr>
        <w:t xml:space="preserve"> and </w:t>
      </w:r>
      <w:r>
        <w:rPr>
          <w:kern w:val="0"/>
        </w:rPr>
        <w:t>continuity, patient centeredness,</w:t>
      </w:r>
      <w:r w:rsidR="005853A9">
        <w:rPr>
          <w:kern w:val="0"/>
        </w:rPr>
        <w:t xml:space="preserve"> and </w:t>
      </w:r>
      <w:r>
        <w:rPr>
          <w:kern w:val="0"/>
        </w:rPr>
        <w:t>cost-effectiveness. Methods:</w:t>
      </w:r>
      <w:r w:rsidR="003A1917">
        <w:rPr>
          <w:kern w:val="0"/>
        </w:rPr>
        <w:t xml:space="preserve"> the </w:t>
      </w:r>
      <w:r>
        <w:rPr>
          <w:kern w:val="0"/>
        </w:rPr>
        <w:t>systematic review made use</w:t>
      </w:r>
      <w:r w:rsidR="00427468">
        <w:rPr>
          <w:kern w:val="0"/>
        </w:rPr>
        <w:t xml:space="preserve"> of </w:t>
      </w:r>
      <w:r>
        <w:rPr>
          <w:kern w:val="0"/>
        </w:rPr>
        <w:t>electronic database searching, reference screening, forward citation tracking</w:t>
      </w:r>
      <w:r w:rsidR="005853A9">
        <w:rPr>
          <w:kern w:val="0"/>
        </w:rPr>
        <w:t xml:space="preserve"> and </w:t>
      </w:r>
      <w:r>
        <w:rPr>
          <w:kern w:val="0"/>
        </w:rPr>
        <w:t>expert consultation</w:t>
      </w:r>
      <w:r w:rsidR="00A37C1D">
        <w:rPr>
          <w:kern w:val="0"/>
        </w:rPr>
        <w:t>. The</w:t>
      </w:r>
      <w:r w:rsidR="003A1917">
        <w:rPr>
          <w:kern w:val="0"/>
        </w:rPr>
        <w:t xml:space="preserve"> </w:t>
      </w:r>
      <w:r>
        <w:rPr>
          <w:kern w:val="0"/>
        </w:rPr>
        <w:t xml:space="preserve">following databases were searched: Cochrane Library, EconLit, EMBASE, </w:t>
      </w:r>
      <w:r w:rsidR="00D5664A">
        <w:rPr>
          <w:kern w:val="0"/>
        </w:rPr>
        <w:t>MEDLINE</w:t>
      </w:r>
      <w:r>
        <w:rPr>
          <w:kern w:val="0"/>
        </w:rPr>
        <w:t>, PsychINFO,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Studies that evaluate P4P effects in primary care or acute hospital care medicine were included. Papers concerning other target groups or settings, having no empirical evaluation design or not complying with</w:t>
      </w:r>
      <w:r w:rsidR="003A1917">
        <w:rPr>
          <w:kern w:val="0"/>
        </w:rPr>
        <w:t xml:space="preserve"> the </w:t>
      </w:r>
      <w:r>
        <w:rPr>
          <w:kern w:val="0"/>
        </w:rPr>
        <w:t>P4P definition were excluded. According to study design nine validated quality appraisal tools</w:t>
      </w:r>
      <w:r w:rsidR="005853A9">
        <w:rPr>
          <w:kern w:val="0"/>
        </w:rPr>
        <w:t xml:space="preserve"> and </w:t>
      </w:r>
      <w:r>
        <w:rPr>
          <w:kern w:val="0"/>
        </w:rPr>
        <w:t xml:space="preserve">reporting statements were applied. Data </w:t>
      </w:r>
      <w:r>
        <w:rPr>
          <w:kern w:val="0"/>
        </w:rPr>
        <w:lastRenderedPageBreak/>
        <w:t>were extracted</w:t>
      </w:r>
      <w:r w:rsidR="005853A9">
        <w:rPr>
          <w:kern w:val="0"/>
        </w:rPr>
        <w:t xml:space="preserve"> and </w:t>
      </w:r>
      <w:r>
        <w:rPr>
          <w:kern w:val="0"/>
        </w:rPr>
        <w:t>summarized into evidence tables independently by two reviewers. Results: One hundred twenty-eight evaluation studies provide a large body</w:t>
      </w:r>
      <w:r w:rsidR="00427468">
        <w:rPr>
          <w:kern w:val="0"/>
        </w:rPr>
        <w:t xml:space="preserve"> of </w:t>
      </w:r>
      <w:r>
        <w:rPr>
          <w:kern w:val="0"/>
        </w:rPr>
        <w:t>evidence -to be interpreted with caution-concerning</w:t>
      </w:r>
      <w:r w:rsidR="003A1917">
        <w:rPr>
          <w:kern w:val="0"/>
        </w:rPr>
        <w:t xml:space="preserve"> the </w:t>
      </w:r>
      <w:r>
        <w:rPr>
          <w:kern w:val="0"/>
        </w:rPr>
        <w:t>effects</w:t>
      </w:r>
      <w:r w:rsidR="00427468">
        <w:rPr>
          <w:kern w:val="0"/>
        </w:rPr>
        <w:t xml:space="preserve"> of </w:t>
      </w:r>
      <w:r>
        <w:rPr>
          <w:kern w:val="0"/>
        </w:rPr>
        <w:t>P4P on clinical effectiveness</w:t>
      </w:r>
      <w:r w:rsidR="005853A9">
        <w:rPr>
          <w:kern w:val="0"/>
        </w:rPr>
        <w:t xml:space="preserve"> and </w:t>
      </w:r>
      <w:r>
        <w:rPr>
          <w:kern w:val="0"/>
        </w:rPr>
        <w:t>equity</w:t>
      </w:r>
      <w:r w:rsidR="00427468">
        <w:rPr>
          <w:kern w:val="0"/>
        </w:rPr>
        <w:t xml:space="preserve"> of </w:t>
      </w:r>
      <w:r>
        <w:rPr>
          <w:kern w:val="0"/>
        </w:rPr>
        <w:t>care. However, less evidence on</w:t>
      </w:r>
      <w:r w:rsidR="003A1917">
        <w:rPr>
          <w:kern w:val="0"/>
        </w:rPr>
        <w:t xml:space="preserve"> the </w:t>
      </w:r>
      <w:r>
        <w:rPr>
          <w:kern w:val="0"/>
        </w:rPr>
        <w:t>impact on coordination, continuity, patient-centeredness</w:t>
      </w:r>
      <w:r w:rsidR="005853A9">
        <w:rPr>
          <w:kern w:val="0"/>
        </w:rPr>
        <w:t xml:space="preserve"> and </w:t>
      </w:r>
      <w:r>
        <w:rPr>
          <w:kern w:val="0"/>
        </w:rPr>
        <w:t>cost-effectiveness was found. P4P effects can be judged to be encouraging or disappointing, depending on</w:t>
      </w:r>
      <w:r w:rsidR="003A1917">
        <w:rPr>
          <w:kern w:val="0"/>
        </w:rPr>
        <w:t xml:space="preserve"> the </w:t>
      </w:r>
      <w:r>
        <w:rPr>
          <w:kern w:val="0"/>
        </w:rPr>
        <w:t>primary mission</w:t>
      </w:r>
      <w:r w:rsidR="00427468">
        <w:rPr>
          <w:kern w:val="0"/>
        </w:rPr>
        <w:t xml:space="preserve"> of </w:t>
      </w:r>
      <w:r w:rsidR="003A1917">
        <w:rPr>
          <w:kern w:val="0"/>
        </w:rPr>
        <w:t xml:space="preserve">the </w:t>
      </w:r>
      <w:r>
        <w:rPr>
          <w:kern w:val="0"/>
        </w:rPr>
        <w:t>P4P program: supporting minimal quality standards and/or boosting quality improvement. Moreover,</w:t>
      </w:r>
      <w:r w:rsidR="003A1917">
        <w:rPr>
          <w:kern w:val="0"/>
        </w:rPr>
        <w:t xml:space="preserve"> the </w:t>
      </w:r>
      <w:r>
        <w:rPr>
          <w:kern w:val="0"/>
        </w:rPr>
        <w:t>effects</w:t>
      </w:r>
      <w:r w:rsidR="00427468">
        <w:rPr>
          <w:kern w:val="0"/>
        </w:rPr>
        <w:t xml:space="preserve"> of </w:t>
      </w:r>
      <w:r>
        <w:rPr>
          <w:kern w:val="0"/>
        </w:rPr>
        <w:t>P4P interventions varied according to design choices</w:t>
      </w:r>
      <w:r w:rsidR="005853A9">
        <w:rPr>
          <w:kern w:val="0"/>
        </w:rPr>
        <w:t xml:space="preserve"> and </w:t>
      </w:r>
      <w:r>
        <w:rPr>
          <w:kern w:val="0"/>
        </w:rPr>
        <w:t>characteristics</w:t>
      </w:r>
      <w:r w:rsidR="00427468">
        <w:rPr>
          <w:kern w:val="0"/>
        </w:rPr>
        <w:t xml:space="preserve"> of </w:t>
      </w:r>
      <w:r w:rsidR="003A1917">
        <w:rPr>
          <w:kern w:val="0"/>
        </w:rPr>
        <w:t xml:space="preserve">the </w:t>
      </w:r>
      <w:r>
        <w:rPr>
          <w:kern w:val="0"/>
        </w:rPr>
        <w:t>context in which it was introduced. Future P4P programs should (1) select</w:t>
      </w:r>
      <w:r w:rsidR="005853A9">
        <w:rPr>
          <w:kern w:val="0"/>
        </w:rPr>
        <w:t xml:space="preserve"> and </w:t>
      </w:r>
      <w:r>
        <w:rPr>
          <w:kern w:val="0"/>
        </w:rPr>
        <w:t>define P4P targets on</w:t>
      </w:r>
      <w:r w:rsidR="003A1917">
        <w:rPr>
          <w:kern w:val="0"/>
        </w:rPr>
        <w:t xml:space="preserve"> the </w:t>
      </w:r>
      <w:r>
        <w:rPr>
          <w:kern w:val="0"/>
        </w:rPr>
        <w:t>basis</w:t>
      </w:r>
      <w:r w:rsidR="00427468">
        <w:rPr>
          <w:kern w:val="0"/>
        </w:rPr>
        <w:t xml:space="preserve"> of </w:t>
      </w:r>
      <w:r>
        <w:rPr>
          <w:kern w:val="0"/>
        </w:rPr>
        <w:t>baseline room for improvement, (2) make use</w:t>
      </w:r>
      <w:r w:rsidR="00427468">
        <w:rPr>
          <w:kern w:val="0"/>
        </w:rPr>
        <w:t xml:space="preserve"> of </w:t>
      </w:r>
      <w:r>
        <w:rPr>
          <w:kern w:val="0"/>
        </w:rPr>
        <w:t>process</w:t>
      </w:r>
      <w:r w:rsidR="005853A9">
        <w:rPr>
          <w:kern w:val="0"/>
        </w:rPr>
        <w:t xml:space="preserve"> and </w:t>
      </w:r>
      <w:r>
        <w:rPr>
          <w:kern w:val="0"/>
        </w:rPr>
        <w:t>(intermediary) outcome indicators as target measures, (3) involve stakeholders</w:t>
      </w:r>
      <w:r w:rsidR="005853A9">
        <w:rPr>
          <w:kern w:val="0"/>
        </w:rPr>
        <w:t xml:space="preserve"> and </w:t>
      </w:r>
      <w:r>
        <w:rPr>
          <w:kern w:val="0"/>
        </w:rPr>
        <w:t>communicate information about</w:t>
      </w:r>
      <w:r w:rsidR="003A1917">
        <w:rPr>
          <w:kern w:val="0"/>
        </w:rPr>
        <w:t xml:space="preserve"> the </w:t>
      </w:r>
      <w:r>
        <w:rPr>
          <w:kern w:val="0"/>
        </w:rPr>
        <w:t>programs thoroughly</w:t>
      </w:r>
      <w:r w:rsidR="005853A9">
        <w:rPr>
          <w:kern w:val="0"/>
        </w:rPr>
        <w:t xml:space="preserve"> and </w:t>
      </w:r>
      <w:r>
        <w:rPr>
          <w:kern w:val="0"/>
        </w:rPr>
        <w:t>directly, (4) implement a uniform P4P design across payers, (5) focus on both quality improvement</w:t>
      </w:r>
      <w:r w:rsidR="005853A9">
        <w:rPr>
          <w:kern w:val="0"/>
        </w:rPr>
        <w:t xml:space="preserve"> and </w:t>
      </w:r>
      <w:r>
        <w:rPr>
          <w:kern w:val="0"/>
        </w:rPr>
        <w:t>achievement,</w:t>
      </w:r>
      <w:r w:rsidR="005853A9">
        <w:rPr>
          <w:kern w:val="0"/>
        </w:rPr>
        <w:t xml:space="preserve"> and </w:t>
      </w:r>
      <w:r>
        <w:rPr>
          <w:kern w:val="0"/>
        </w:rPr>
        <w:t>(6) distribute incentives to</w:t>
      </w:r>
      <w:r w:rsidR="003A1917">
        <w:rPr>
          <w:kern w:val="0"/>
        </w:rPr>
        <w:t xml:space="preserve"> the </w:t>
      </w:r>
      <w:r>
        <w:rPr>
          <w:kern w:val="0"/>
        </w:rPr>
        <w:t>individual and/or team level. Conclusions: P4P programs result in</w:t>
      </w:r>
      <w:r w:rsidR="003A1917">
        <w:rPr>
          <w:kern w:val="0"/>
        </w:rPr>
        <w:t xml:space="preserve"> the </w:t>
      </w:r>
      <w:r>
        <w:rPr>
          <w:kern w:val="0"/>
        </w:rPr>
        <w:t>full spectrum</w:t>
      </w:r>
      <w:r w:rsidR="00427468">
        <w:rPr>
          <w:kern w:val="0"/>
        </w:rPr>
        <w:t xml:space="preserve"> of </w:t>
      </w:r>
      <w:r>
        <w:rPr>
          <w:kern w:val="0"/>
        </w:rPr>
        <w:t>possible effects for specific targets, from absent or negligible to strongly beneficial. Based on</w:t>
      </w:r>
      <w:r w:rsidR="003A1917">
        <w:rPr>
          <w:kern w:val="0"/>
        </w:rPr>
        <w:t xml:space="preserve"> the </w:t>
      </w:r>
      <w:r>
        <w:rPr>
          <w:kern w:val="0"/>
        </w:rPr>
        <w:t>evidence</w:t>
      </w:r>
      <w:r w:rsidR="003A1917">
        <w:rPr>
          <w:kern w:val="0"/>
        </w:rPr>
        <w:t xml:space="preserve"> the </w:t>
      </w:r>
      <w:r>
        <w:rPr>
          <w:kern w:val="0"/>
        </w:rPr>
        <w:t>review has provided further indications on how effect findings are likely to relate to P4P design choices</w:t>
      </w:r>
      <w:r w:rsidR="005853A9">
        <w:rPr>
          <w:kern w:val="0"/>
        </w:rPr>
        <w:t xml:space="preserve"> and </w:t>
      </w:r>
      <w:r>
        <w:rPr>
          <w:kern w:val="0"/>
        </w:rPr>
        <w:t>context</w:t>
      </w:r>
      <w:r w:rsidR="00A37C1D">
        <w:rPr>
          <w:kern w:val="0"/>
        </w:rPr>
        <w:t>. The</w:t>
      </w:r>
      <w:r w:rsidR="003A1917">
        <w:rPr>
          <w:kern w:val="0"/>
        </w:rPr>
        <w:t xml:space="preserve"> </w:t>
      </w:r>
      <w:r>
        <w:rPr>
          <w:kern w:val="0"/>
        </w:rPr>
        <w:t>provided best practice hypotheses should be tested in future research.</w:t>
      </w:r>
    </w:p>
    <w:p w:rsidR="002354D4" w:rsidRDefault="002354D4" w:rsidP="002354D4">
      <w:pPr>
        <w:pStyle w:val="a3"/>
        <w:rPr>
          <w:kern w:val="0"/>
        </w:rPr>
      </w:pPr>
      <w:r>
        <w:rPr>
          <w:kern w:val="0"/>
        </w:rPr>
        <w:t>Keywords: Citation, Clinical Effectiveness, Cochrane, Consultation, Cost-Effectiveness, Databases, Development, Diabetes Care, Effectiveness, Evaluation, Evaluation Studies, Evidence-Based Medicine, Health Care, Hospital, Impact, Improve Quality, Incentives, Information, Interventions, Medicaid Managed Care, Medicine, Methods, Outcome, Outcomes-Framework, Physician Financial Incentives, Practice, Preventive Care, Primary, Primary Care, Quality Improvement, Quality</w:t>
      </w:r>
      <w:r w:rsidR="00434900">
        <w:rPr>
          <w:kern w:val="0"/>
        </w:rPr>
        <w:t>-of-</w:t>
      </w:r>
      <w:r>
        <w:rPr>
          <w:kern w:val="0"/>
        </w:rPr>
        <w:t xml:space="preserve">Care, Randomized-Trial, Research, Review, Science, Screening, Smoking-Cessation, Standards, Systematic, Systematic Review, </w:t>
      </w:r>
      <w:r w:rsidR="00D5664A">
        <w:rPr>
          <w:kern w:val="0"/>
        </w:rPr>
        <w:t>Web</w:t>
      </w:r>
      <w:r w:rsidR="00427468">
        <w:rPr>
          <w:kern w:val="0"/>
        </w:rPr>
        <w:t xml:space="preserve"> of </w:t>
      </w:r>
      <w:r w:rsidR="00D5664A">
        <w:rPr>
          <w:kern w:val="0"/>
        </w:rPr>
        <w:t>Science</w:t>
      </w:r>
    </w:p>
    <w:p w:rsidR="0091783B" w:rsidRDefault="0091783B" w:rsidP="0091783B">
      <w:pPr>
        <w:pStyle w:val="a3"/>
        <w:rPr>
          <w:kern w:val="0"/>
        </w:rPr>
      </w:pPr>
      <w:r>
        <w:rPr>
          <w:rFonts w:hint="eastAsia"/>
          <w:kern w:val="0"/>
          <w:szCs w:val="24"/>
        </w:rPr>
        <w:t xml:space="preserve">? </w:t>
      </w:r>
      <w:r>
        <w:rPr>
          <w:kern w:val="0"/>
          <w:szCs w:val="24"/>
        </w:rPr>
        <w:t>Xie, Q., Chen, B., Liu, L.</w:t>
      </w:r>
      <w:r w:rsidR="005853A9">
        <w:rPr>
          <w:kern w:val="0"/>
          <w:szCs w:val="24"/>
        </w:rPr>
        <w:t xml:space="preserve"> and </w:t>
      </w:r>
      <w:r>
        <w:rPr>
          <w:kern w:val="0"/>
          <w:szCs w:val="24"/>
        </w:rPr>
        <w:t>Gan, H.T. (2012), Does the variable-stiffness colonoscope makes colonoscopy easier? A meta-analysis</w:t>
      </w:r>
      <w:r w:rsidR="00427468">
        <w:rPr>
          <w:kern w:val="0"/>
          <w:szCs w:val="24"/>
        </w:rPr>
        <w:t xml:space="preserve"> of </w:t>
      </w:r>
      <w:r>
        <w:rPr>
          <w:kern w:val="0"/>
          <w:szCs w:val="24"/>
        </w:rPr>
        <w:t>the efficacy</w:t>
      </w:r>
      <w:r w:rsidR="00427468">
        <w:rPr>
          <w:kern w:val="0"/>
          <w:szCs w:val="24"/>
        </w:rPr>
        <w:t xml:space="preserve"> of </w:t>
      </w:r>
      <w:r>
        <w:rPr>
          <w:kern w:val="0"/>
          <w:szCs w:val="24"/>
        </w:rPr>
        <w:t xml:space="preserve">the variable stiffness colonoscope compared with the standard adult colonoscope. </w:t>
      </w:r>
      <w:r>
        <w:rPr>
          <w:i/>
          <w:iCs/>
          <w:kern w:val="0"/>
          <w:szCs w:val="24"/>
        </w:rPr>
        <w:t>BMC Gastroenterology</w:t>
      </w:r>
      <w:r>
        <w:rPr>
          <w:kern w:val="0"/>
          <w:szCs w:val="24"/>
        </w:rPr>
        <w:t xml:space="preserve">, </w:t>
      </w:r>
      <w:r>
        <w:rPr>
          <w:b/>
          <w:bCs/>
          <w:kern w:val="0"/>
          <w:szCs w:val="24"/>
        </w:rPr>
        <w:t>12</w:t>
      </w:r>
      <w:r>
        <w:rPr>
          <w:rFonts w:hint="eastAsia"/>
          <w:kern w:val="0"/>
        </w:rPr>
        <w:t xml:space="preserve">, </w:t>
      </w:r>
      <w:r w:rsidRPr="009C7CBB">
        <w:rPr>
          <w:kern w:val="0"/>
        </w:rPr>
        <w:t xml:space="preserve">Article Number: </w:t>
      </w:r>
      <w:r>
        <w:rPr>
          <w:rFonts w:hint="eastAsia"/>
          <w:kern w:val="0"/>
        </w:rPr>
        <w:t>15</w:t>
      </w:r>
      <w:r w:rsidRPr="009C7CBB">
        <w:rPr>
          <w:kern w:val="0"/>
        </w:rPr>
        <w:t>1</w:t>
      </w:r>
      <w:r>
        <w:rPr>
          <w:rFonts w:hint="eastAsia"/>
          <w:kern w:val="0"/>
        </w:rPr>
        <w:t>.</w:t>
      </w:r>
    </w:p>
    <w:p w:rsidR="0091783B" w:rsidRDefault="0091783B" w:rsidP="0091783B">
      <w:pPr>
        <w:pStyle w:val="a3"/>
        <w:rPr>
          <w:kern w:val="0"/>
        </w:rPr>
      </w:pPr>
      <w:r>
        <w:rPr>
          <w:rFonts w:hint="eastAsia"/>
          <w:kern w:val="0"/>
        </w:rPr>
        <w:t xml:space="preserve">Full Text: </w:t>
      </w:r>
      <w:hyperlink r:id="rId1572" w:history="1">
        <w:r w:rsidRPr="00E52FB0">
          <w:rPr>
            <w:rStyle w:val="a5"/>
            <w:kern w:val="0"/>
          </w:rPr>
          <w:t>2012\BMC Gas12, 151.pdf</w:t>
        </w:r>
      </w:hyperlink>
    </w:p>
    <w:p w:rsidR="0091783B" w:rsidRDefault="0091783B" w:rsidP="0091783B">
      <w:pPr>
        <w:pStyle w:val="a3"/>
        <w:rPr>
          <w:kern w:val="0"/>
          <w:szCs w:val="24"/>
        </w:rPr>
      </w:pPr>
      <w:r>
        <w:rPr>
          <w:kern w:val="0"/>
          <w:szCs w:val="24"/>
        </w:rPr>
        <w:t>Abstract: Background: The variable-stiffness colonoscope (VSC) appears to have advantages over the standard adult colonoscope (SAC), although data are conflicting. To provide a comprehensive up-to-date review, we conducted a meta-analysis to compare the efficacies</w:t>
      </w:r>
      <w:r w:rsidR="00427468">
        <w:rPr>
          <w:kern w:val="0"/>
          <w:szCs w:val="24"/>
        </w:rPr>
        <w:t xml:space="preserve"> of </w:t>
      </w:r>
      <w:r>
        <w:rPr>
          <w:kern w:val="0"/>
          <w:szCs w:val="24"/>
        </w:rPr>
        <w:t>the VSC</w:t>
      </w:r>
      <w:r w:rsidR="005853A9">
        <w:rPr>
          <w:kern w:val="0"/>
          <w:szCs w:val="24"/>
        </w:rPr>
        <w:t xml:space="preserve"> and </w:t>
      </w:r>
      <w:r>
        <w:rPr>
          <w:kern w:val="0"/>
          <w:szCs w:val="24"/>
        </w:rPr>
        <w:t>SAC. Methods: Electronic databases, including PubMed, EMBASE, the Cochrane library</w:t>
      </w:r>
      <w:r w:rsidR="005853A9">
        <w:rPr>
          <w:kern w:val="0"/>
          <w:szCs w:val="24"/>
        </w:rPr>
        <w:t xml:space="preserve"> and </w:t>
      </w:r>
      <w:r>
        <w:rPr>
          <w:kern w:val="0"/>
          <w:szCs w:val="24"/>
        </w:rPr>
        <w:t>the Science Citation Index, were searched to retrieve relevant trials. In addition, meeting abstracts</w:t>
      </w:r>
      <w:r w:rsidR="005853A9">
        <w:rPr>
          <w:kern w:val="0"/>
          <w:szCs w:val="24"/>
        </w:rPr>
        <w:t xml:space="preserve"> and </w:t>
      </w:r>
      <w:r>
        <w:rPr>
          <w:kern w:val="0"/>
          <w:szCs w:val="24"/>
        </w:rPr>
        <w:t>the reference lists</w:t>
      </w:r>
      <w:r w:rsidR="00427468">
        <w:rPr>
          <w:kern w:val="0"/>
          <w:szCs w:val="24"/>
        </w:rPr>
        <w:t xml:space="preserve"> of </w:t>
      </w:r>
      <w:r>
        <w:rPr>
          <w:kern w:val="0"/>
          <w:szCs w:val="24"/>
        </w:rPr>
        <w:t xml:space="preserve">retrieved articles were reviewed for further relevant studies. Results: </w:t>
      </w:r>
      <w:r>
        <w:rPr>
          <w:kern w:val="0"/>
          <w:szCs w:val="24"/>
        </w:rPr>
        <w:lastRenderedPageBreak/>
        <w:t>Eight randomized controlled trials (RCTs), enrolling a total</w:t>
      </w:r>
      <w:r w:rsidR="00427468">
        <w:rPr>
          <w:kern w:val="0"/>
          <w:szCs w:val="24"/>
        </w:rPr>
        <w:t xml:space="preserve"> of </w:t>
      </w:r>
      <w:r>
        <w:rPr>
          <w:kern w:val="0"/>
          <w:szCs w:val="24"/>
        </w:rPr>
        <w:t>2033 patients, were included in the meta-analysis</w:t>
      </w:r>
      <w:r w:rsidR="00A37C1D">
        <w:rPr>
          <w:kern w:val="0"/>
          <w:szCs w:val="24"/>
        </w:rPr>
        <w:t>. The</w:t>
      </w:r>
      <w:r>
        <w:rPr>
          <w:kern w:val="0"/>
          <w:szCs w:val="24"/>
        </w:rPr>
        <w:t>re was no significant heterogeneity among these studies</w:t>
      </w:r>
      <w:r w:rsidR="00A37C1D">
        <w:rPr>
          <w:kern w:val="0"/>
          <w:szCs w:val="24"/>
        </w:rPr>
        <w:t>. The</w:t>
      </w:r>
      <w:r>
        <w:rPr>
          <w:kern w:val="0"/>
          <w:szCs w:val="24"/>
        </w:rPr>
        <w:t xml:space="preserve"> cecal intubation rate was higher with the use</w:t>
      </w:r>
      <w:r w:rsidR="00427468">
        <w:rPr>
          <w:kern w:val="0"/>
          <w:szCs w:val="24"/>
        </w:rPr>
        <w:t xml:space="preserve"> of </w:t>
      </w:r>
      <w:r>
        <w:rPr>
          <w:kern w:val="0"/>
          <w:szCs w:val="24"/>
        </w:rPr>
        <w:t>VSC (RR = 1.03, 95% CI 1.01 to 1.06, 8 RCTs)</w:t>
      </w:r>
      <w:r w:rsidR="00A37C1D">
        <w:rPr>
          <w:kern w:val="0"/>
          <w:szCs w:val="24"/>
        </w:rPr>
        <w:t>. The</w:t>
      </w:r>
      <w:r>
        <w:rPr>
          <w:kern w:val="0"/>
          <w:szCs w:val="24"/>
        </w:rPr>
        <w:t xml:space="preserve"> VSC was also associated with fewer position changes made during colonoscopy. Time to cecal intubation was similar with VSC</w:t>
      </w:r>
      <w:r w:rsidR="005853A9">
        <w:rPr>
          <w:kern w:val="0"/>
          <w:szCs w:val="24"/>
        </w:rPr>
        <w:t xml:space="preserve"> and </w:t>
      </w:r>
      <w:r>
        <w:rPr>
          <w:kern w:val="0"/>
          <w:szCs w:val="24"/>
        </w:rPr>
        <w:t>SAC (WMD -0.54, 95% CI -1.40 to 0.32) but shorter in subgroup analysis with the use</w:t>
      </w:r>
      <w:r w:rsidR="00427468">
        <w:rPr>
          <w:kern w:val="0"/>
          <w:szCs w:val="24"/>
        </w:rPr>
        <w:t xml:space="preserve"> of </w:t>
      </w:r>
      <w:r>
        <w:rPr>
          <w:kern w:val="0"/>
          <w:szCs w:val="24"/>
        </w:rPr>
        <w:t>VSC (WMD = -1.36, 95% CI -2.29 to -0.43). Sedation dose used with the two types</w:t>
      </w:r>
      <w:r w:rsidR="00427468">
        <w:rPr>
          <w:kern w:val="0"/>
          <w:szCs w:val="24"/>
        </w:rPr>
        <w:t xml:space="preserve"> of </w:t>
      </w:r>
      <w:r>
        <w:rPr>
          <w:kern w:val="0"/>
          <w:szCs w:val="24"/>
        </w:rPr>
        <w:t>instruments showed no evidence</w:t>
      </w:r>
      <w:r w:rsidR="00427468">
        <w:rPr>
          <w:kern w:val="0"/>
          <w:szCs w:val="24"/>
        </w:rPr>
        <w:t xml:space="preserve"> of </w:t>
      </w:r>
      <w:r>
        <w:rPr>
          <w:kern w:val="0"/>
          <w:szCs w:val="24"/>
        </w:rPr>
        <w:t>differences either. For all trials, only patients were blinded because</w:t>
      </w:r>
      <w:r w:rsidR="00427468">
        <w:rPr>
          <w:kern w:val="0"/>
          <w:szCs w:val="24"/>
        </w:rPr>
        <w:t xml:space="preserve"> of </w:t>
      </w:r>
      <w:r>
        <w:rPr>
          <w:kern w:val="0"/>
          <w:szCs w:val="24"/>
        </w:rPr>
        <w:t>the nature</w:t>
      </w:r>
      <w:r w:rsidR="00427468">
        <w:rPr>
          <w:kern w:val="0"/>
          <w:szCs w:val="24"/>
        </w:rPr>
        <w:t xml:space="preserve"> of </w:t>
      </w:r>
      <w:r>
        <w:rPr>
          <w:kern w:val="0"/>
          <w:szCs w:val="24"/>
        </w:rPr>
        <w:t>the interventions. Conclusion: Use</w:t>
      </w:r>
      <w:r w:rsidR="00427468">
        <w:rPr>
          <w:kern w:val="0"/>
          <w:szCs w:val="24"/>
        </w:rPr>
        <w:t xml:space="preserve"> of </w:t>
      </w:r>
      <w:r>
        <w:rPr>
          <w:kern w:val="0"/>
          <w:szCs w:val="24"/>
        </w:rPr>
        <w:t>the VSC significantly improved the cecal intubation rate</w:t>
      </w:r>
      <w:r w:rsidR="005853A9">
        <w:rPr>
          <w:kern w:val="0"/>
          <w:szCs w:val="24"/>
        </w:rPr>
        <w:t xml:space="preserve"> and </w:t>
      </w:r>
      <w:r>
        <w:rPr>
          <w:kern w:val="0"/>
          <w:szCs w:val="24"/>
        </w:rPr>
        <w:t>reduced ancillary maneuvers made during the procedure. Cecal intubation time was similar for the two colonoscope types over all trials, whereas a shortened time with the use</w:t>
      </w:r>
      <w:r w:rsidR="00427468">
        <w:rPr>
          <w:kern w:val="0"/>
          <w:szCs w:val="24"/>
        </w:rPr>
        <w:t xml:space="preserve"> of </w:t>
      </w:r>
      <w:r>
        <w:rPr>
          <w:kern w:val="0"/>
          <w:szCs w:val="24"/>
        </w:rPr>
        <w:t>the adult VSC was seen in subgroup analysis.</w:t>
      </w:r>
    </w:p>
    <w:p w:rsidR="0091783B" w:rsidRDefault="0091783B" w:rsidP="0091783B">
      <w:pPr>
        <w:pStyle w:val="a3"/>
        <w:rPr>
          <w:kern w:val="0"/>
          <w:szCs w:val="24"/>
        </w:rPr>
      </w:pPr>
      <w:r>
        <w:rPr>
          <w:kern w:val="0"/>
          <w:szCs w:val="24"/>
        </w:rPr>
        <w:t>Keywords: Adult, Analysis, Cecal Intubation, Changes, Citation, Colon, Colonoscope, Completion, Data, Databases, Difficult, Efficacy, Evidence, Heterogeneity, Interventions, Maneuvers, Meta-Analysis, Metaanalysis, Patients, Procedure, Pubmed, Randomized, Randomized Controlled Trials, Randomized Controlled-Trial, Rates, Reference, Reference Lists, Review, Routine Colonoscopy, Science, Science Citation Index, Sedation, Small-Caliber, Standard, Stiffness, Time, Unsedated Patients, Variable-Stiffness Colonoscope</w:t>
      </w:r>
    </w:p>
    <w:p w:rsidR="005716E6" w:rsidRDefault="005716E6" w:rsidP="005716E6">
      <w:pPr>
        <w:pStyle w:val="a3"/>
        <w:rPr>
          <w:kern w:val="0"/>
        </w:rPr>
      </w:pPr>
      <w:r>
        <w:rPr>
          <w:rFonts w:hint="eastAsia"/>
          <w:kern w:val="0"/>
        </w:rPr>
        <w:t xml:space="preserve">? </w:t>
      </w:r>
      <w:r>
        <w:rPr>
          <w:kern w:val="0"/>
        </w:rPr>
        <w:t>Zheng, P., Zheng, H.M., Deng, X.M.</w:t>
      </w:r>
      <w:r w:rsidR="005853A9">
        <w:rPr>
          <w:kern w:val="0"/>
        </w:rPr>
        <w:t xml:space="preserve"> and </w:t>
      </w:r>
      <w:r>
        <w:rPr>
          <w:kern w:val="0"/>
        </w:rPr>
        <w:t>Zhang, Y.D. (2012), Green tea consumption</w:t>
      </w:r>
      <w:r w:rsidR="005853A9">
        <w:rPr>
          <w:kern w:val="0"/>
        </w:rPr>
        <w:t xml:space="preserve"> and </w:t>
      </w:r>
      <w:r>
        <w:rPr>
          <w:kern w:val="0"/>
        </w:rPr>
        <w:t>risk</w:t>
      </w:r>
      <w:r w:rsidR="00427468">
        <w:rPr>
          <w:kern w:val="0"/>
        </w:rPr>
        <w:t xml:space="preserve"> of </w:t>
      </w:r>
      <w:r>
        <w:rPr>
          <w:kern w:val="0"/>
        </w:rPr>
        <w:t>esophageal cancer: A meta-analysis</w:t>
      </w:r>
      <w:r w:rsidR="00427468">
        <w:rPr>
          <w:kern w:val="0"/>
        </w:rPr>
        <w:t xml:space="preserve"> of </w:t>
      </w:r>
      <w:r>
        <w:rPr>
          <w:kern w:val="0"/>
        </w:rPr>
        <w:t xml:space="preserve">epidemiologic studies. </w:t>
      </w:r>
      <w:r>
        <w:rPr>
          <w:i/>
          <w:iCs/>
          <w:kern w:val="0"/>
        </w:rPr>
        <w:t>BMC Gastroenterology</w:t>
      </w:r>
      <w:r>
        <w:rPr>
          <w:kern w:val="0"/>
        </w:rPr>
        <w:t xml:space="preserve">, </w:t>
      </w:r>
      <w:r>
        <w:rPr>
          <w:b/>
          <w:bCs/>
          <w:kern w:val="0"/>
        </w:rPr>
        <w:t>12</w:t>
      </w:r>
      <w:r>
        <w:rPr>
          <w:kern w:val="0"/>
        </w:rPr>
        <w:t>, Article Number: 165</w:t>
      </w:r>
      <w:r>
        <w:rPr>
          <w:rFonts w:hint="eastAsia"/>
          <w:kern w:val="0"/>
        </w:rPr>
        <w:t>.</w:t>
      </w:r>
    </w:p>
    <w:p w:rsidR="00F37971" w:rsidRPr="003862C4" w:rsidRDefault="00F37971" w:rsidP="00F37971">
      <w:pPr>
        <w:pStyle w:val="a3"/>
      </w:pPr>
      <w:r>
        <w:rPr>
          <w:rFonts w:hint="eastAsia"/>
        </w:rPr>
        <w:t xml:space="preserve">Full Text: </w:t>
      </w:r>
      <w:hyperlink r:id="rId1573" w:history="1">
        <w:r w:rsidRPr="00BB58EB">
          <w:rPr>
            <w:rStyle w:val="a5"/>
          </w:rPr>
          <w:t>2012\BMC Hea Ser Res12, 165.pdf</w:t>
        </w:r>
      </w:hyperlink>
    </w:p>
    <w:p w:rsidR="005716E6" w:rsidRDefault="005716E6" w:rsidP="005716E6">
      <w:pPr>
        <w:pStyle w:val="a3"/>
        <w:rPr>
          <w:kern w:val="0"/>
        </w:rPr>
      </w:pPr>
      <w:r>
        <w:rPr>
          <w:kern w:val="0"/>
        </w:rPr>
        <w:t>Abstract: Background: Green tea has shown the role</w:t>
      </w:r>
      <w:r w:rsidR="00427468">
        <w:rPr>
          <w:kern w:val="0"/>
        </w:rPr>
        <w:t xml:space="preserve"> of </w:t>
      </w:r>
      <w:r>
        <w:rPr>
          <w:kern w:val="0"/>
        </w:rPr>
        <w:t>chemoprevention for cancer. Recently, several studies suggested that green tea intake may have effect on esophageal cancer risk, whereas the results were inconsistent. Methods: We performed a meta-analysis</w:t>
      </w:r>
      <w:r w:rsidR="00427468">
        <w:rPr>
          <w:kern w:val="0"/>
        </w:rPr>
        <w:t xml:space="preserve"> of </w:t>
      </w:r>
      <w:r>
        <w:rPr>
          <w:kern w:val="0"/>
        </w:rPr>
        <w:t>all English</w:t>
      </w:r>
      <w:r w:rsidR="005853A9">
        <w:rPr>
          <w:kern w:val="0"/>
        </w:rPr>
        <w:t xml:space="preserve"> and </w:t>
      </w:r>
      <w:r>
        <w:rPr>
          <w:kern w:val="0"/>
        </w:rPr>
        <w:t>Chinese language studies</w:t>
      </w:r>
      <w:r w:rsidR="00427468">
        <w:rPr>
          <w:kern w:val="0"/>
        </w:rPr>
        <w:t xml:space="preserve"> of </w:t>
      </w:r>
      <w:r>
        <w:rPr>
          <w:kern w:val="0"/>
        </w:rPr>
        <w:t>green tea consumption</w:t>
      </w:r>
      <w:r w:rsidR="005853A9">
        <w:rPr>
          <w:kern w:val="0"/>
        </w:rPr>
        <w:t xml:space="preserve"> and </w:t>
      </w:r>
      <w:r>
        <w:rPr>
          <w:kern w:val="0"/>
        </w:rPr>
        <w:t xml:space="preserve">esophageal cancer risk indexed in </w:t>
      </w:r>
      <w:r w:rsidR="00D5664A">
        <w:rPr>
          <w:kern w:val="0"/>
        </w:rPr>
        <w:t>MEDLINE</w:t>
      </w:r>
      <w:r>
        <w:rPr>
          <w:kern w:val="0"/>
        </w:rPr>
        <w:t>, Embase, the Science Citation Index, the Chinese Biomedical Database</w:t>
      </w:r>
      <w:r w:rsidR="005853A9">
        <w:rPr>
          <w:kern w:val="0"/>
        </w:rPr>
        <w:t xml:space="preserve"> and </w:t>
      </w:r>
      <w:r>
        <w:rPr>
          <w:kern w:val="0"/>
        </w:rPr>
        <w:t>Wanfang Data from 1980 to June 2012. After reviewing each study, extracting data,</w:t>
      </w:r>
      <w:r w:rsidR="005853A9">
        <w:rPr>
          <w:kern w:val="0"/>
        </w:rPr>
        <w:t xml:space="preserve"> and </w:t>
      </w:r>
      <w:r>
        <w:rPr>
          <w:kern w:val="0"/>
        </w:rPr>
        <w:t>evaluating heterogeneity (Chi-square-based Q test</w:t>
      </w:r>
      <w:r w:rsidR="005853A9">
        <w:rPr>
          <w:kern w:val="0"/>
        </w:rPr>
        <w:t xml:space="preserve"> and </w:t>
      </w:r>
      <w:r>
        <w:rPr>
          <w:kern w:val="0"/>
        </w:rPr>
        <w:t>I-2)</w:t>
      </w:r>
      <w:r w:rsidR="005853A9">
        <w:rPr>
          <w:kern w:val="0"/>
        </w:rPr>
        <w:t xml:space="preserve"> and </w:t>
      </w:r>
      <w:r>
        <w:rPr>
          <w:kern w:val="0"/>
        </w:rPr>
        <w:t>publication bias (Begg</w:t>
      </w:r>
      <w:r w:rsidR="005853A9">
        <w:rPr>
          <w:kern w:val="0"/>
        </w:rPr>
        <w:t xml:space="preserve"> and </w:t>
      </w:r>
      <w:r>
        <w:rPr>
          <w:kern w:val="0"/>
        </w:rPr>
        <w:t>Egger test), a meta-analysis was performed to evaluate the association between high/medium/low green tea consumption</w:t>
      </w:r>
      <w:r w:rsidR="005853A9">
        <w:rPr>
          <w:kern w:val="0"/>
        </w:rPr>
        <w:t xml:space="preserve"> and </w:t>
      </w:r>
      <w:r>
        <w:rPr>
          <w:kern w:val="0"/>
        </w:rPr>
        <w:t>non-drinking esophageal cancer risk. Pooled relative risk (RR) or odds ratio (OR) with 95% confidence intervals (CIs) were calculated using the fixed-or random-effect models. Results: Ten eligible epidemiologic studies including 33731 participants</w:t>
      </w:r>
      <w:r w:rsidR="005853A9">
        <w:rPr>
          <w:kern w:val="0"/>
        </w:rPr>
        <w:t xml:space="preserve"> and </w:t>
      </w:r>
      <w:r>
        <w:rPr>
          <w:kern w:val="0"/>
        </w:rPr>
        <w:t>3557 cases for esophageal cancer were included. Eight</w:t>
      </w:r>
      <w:r w:rsidR="00427468">
        <w:rPr>
          <w:kern w:val="0"/>
        </w:rPr>
        <w:t xml:space="preserve"> of </w:t>
      </w:r>
      <w:r>
        <w:rPr>
          <w:kern w:val="0"/>
        </w:rPr>
        <w:t>which were case-control studies,</w:t>
      </w:r>
      <w:r w:rsidR="005853A9">
        <w:rPr>
          <w:kern w:val="0"/>
        </w:rPr>
        <w:t xml:space="preserve"> and </w:t>
      </w:r>
      <w:r>
        <w:rPr>
          <w:kern w:val="0"/>
        </w:rPr>
        <w:t>two were cohort studies. Overall, there were no association between high/medium/low green tea consumption</w:t>
      </w:r>
      <w:r w:rsidR="005853A9">
        <w:rPr>
          <w:kern w:val="0"/>
        </w:rPr>
        <w:t xml:space="preserve"> and </w:t>
      </w:r>
      <w:r>
        <w:rPr>
          <w:kern w:val="0"/>
        </w:rPr>
        <w:lastRenderedPageBreak/>
        <w:t>non-drinking risk</w:t>
      </w:r>
      <w:r w:rsidR="00427468">
        <w:rPr>
          <w:kern w:val="0"/>
        </w:rPr>
        <w:t xml:space="preserve"> of </w:t>
      </w:r>
      <w:r>
        <w:rPr>
          <w:kern w:val="0"/>
        </w:rPr>
        <w:t>esophageal cancer (High: highest vs non-drinker: RR/OR = 0.76, 95% CI: 0.49 to 1.02. Medium: drinker vs non-drinker: RR/OR = 0.86, 95% CI: 0.70 to 1.03. Low: lowest vs non-drinker: RR/OR = 0.83, 95% CI: 0.58 to 1.08). When stratified analyses according to study design (case-control</w:t>
      </w:r>
      <w:r w:rsidR="005853A9">
        <w:rPr>
          <w:kern w:val="0"/>
        </w:rPr>
        <w:t xml:space="preserve"> and </w:t>
      </w:r>
      <w:r>
        <w:rPr>
          <w:kern w:val="0"/>
        </w:rPr>
        <w:t>cohort studies), country (China</w:t>
      </w:r>
      <w:r w:rsidR="005853A9">
        <w:rPr>
          <w:kern w:val="0"/>
        </w:rPr>
        <w:t xml:space="preserve"> and </w:t>
      </w:r>
      <w:r>
        <w:rPr>
          <w:kern w:val="0"/>
        </w:rPr>
        <w:t>Japan), participates source (population-based</w:t>
      </w:r>
      <w:r w:rsidR="005853A9">
        <w:rPr>
          <w:kern w:val="0"/>
        </w:rPr>
        <w:t xml:space="preserve"> and </w:t>
      </w:r>
      <w:r>
        <w:rPr>
          <w:kern w:val="0"/>
        </w:rPr>
        <w:t>hospital-based case-control),</w:t>
      </w:r>
      <w:r w:rsidR="005853A9">
        <w:rPr>
          <w:kern w:val="0"/>
        </w:rPr>
        <w:t xml:space="preserve"> and </w:t>
      </w:r>
      <w:r>
        <w:rPr>
          <w:kern w:val="0"/>
        </w:rPr>
        <w:t>gender (female</w:t>
      </w:r>
      <w:r w:rsidR="005853A9">
        <w:rPr>
          <w:kern w:val="0"/>
        </w:rPr>
        <w:t xml:space="preserve"> and </w:t>
      </w:r>
      <w:r>
        <w:rPr>
          <w:kern w:val="0"/>
        </w:rPr>
        <w:t>male), there were significant association between high/medium/low green tea consumption</w:t>
      </w:r>
      <w:r w:rsidR="005853A9">
        <w:rPr>
          <w:kern w:val="0"/>
        </w:rPr>
        <w:t xml:space="preserve"> and </w:t>
      </w:r>
      <w:r>
        <w:rPr>
          <w:kern w:val="0"/>
        </w:rPr>
        <w:t>non-drinking risk</w:t>
      </w:r>
      <w:r w:rsidR="00427468">
        <w:rPr>
          <w:kern w:val="0"/>
        </w:rPr>
        <w:t xml:space="preserve"> of </w:t>
      </w:r>
      <w:r>
        <w:rPr>
          <w:kern w:val="0"/>
        </w:rPr>
        <w:t>esophageal cancer among female (High: RR/OR = 0.32, 95% CI: 0.10 to 0.54. Medium: RR/OR = 0.43, 95% CI: 0.21 to 0.66. Low: RR/OR = 0.45, 95% CI: 0.10 to 0.79), but not the others. Conclusions: We did not found significant association between green tea consumption</w:t>
      </w:r>
      <w:r w:rsidR="005853A9">
        <w:rPr>
          <w:kern w:val="0"/>
        </w:rPr>
        <w:t xml:space="preserve"> and </w:t>
      </w:r>
      <w:r>
        <w:rPr>
          <w:kern w:val="0"/>
        </w:rPr>
        <w:t>non-drinking esophageal cancer risk, but an evidence</w:t>
      </w:r>
      <w:r w:rsidR="00427468">
        <w:rPr>
          <w:kern w:val="0"/>
        </w:rPr>
        <w:t xml:space="preserve"> of </w:t>
      </w:r>
      <w:r>
        <w:rPr>
          <w:kern w:val="0"/>
        </w:rPr>
        <w:t>protective effect was observed among female.</w:t>
      </w:r>
    </w:p>
    <w:p w:rsidR="005716E6" w:rsidRDefault="005716E6" w:rsidP="005716E6">
      <w:pPr>
        <w:pStyle w:val="a3"/>
        <w:rPr>
          <w:kern w:val="0"/>
        </w:rPr>
      </w:pPr>
      <w:r>
        <w:rPr>
          <w:kern w:val="0"/>
        </w:rPr>
        <w:t xml:space="preserve">Keywords: Alcohol-Drinking, Analyses, Association, Bias, Cancer, Carcinoma, Case-Control, Case-Control Studies, China, Chinese, Citation, Cohort, Confidence, Confidence Intervals, Consumption, Country, Data, Design, Disease, Evidence, Female, Gender, Habits, Heterogeneity, Intervals, Japan, Language, Male, </w:t>
      </w:r>
      <w:r w:rsidR="00D5664A">
        <w:rPr>
          <w:kern w:val="0"/>
        </w:rPr>
        <w:t>MEDLINE</w:t>
      </w:r>
      <w:r>
        <w:rPr>
          <w:kern w:val="0"/>
        </w:rPr>
        <w:t>, Men, Meta Analysis, Meta-Analysis, Metaanalysis, Models, Nov, Odds Ratio, Population Based, Population-Based, Publication, Publication Bias, Relative Risk, Results, Risk, Role, Science, Science Citation Index, Source, Squamous-Cell, Study Design, Tobacco Smoking</w:t>
      </w:r>
    </w:p>
    <w:p w:rsidR="000B7779" w:rsidRDefault="000B7779" w:rsidP="000B7779">
      <w:pPr>
        <w:pStyle w:val="a3"/>
        <w:rPr>
          <w:kern w:val="0"/>
        </w:rPr>
      </w:pPr>
      <w:r>
        <w:rPr>
          <w:rFonts w:hint="eastAsia"/>
          <w:kern w:val="0"/>
          <w:szCs w:val="24"/>
        </w:rPr>
        <w:t xml:space="preserve">? </w:t>
      </w:r>
      <w:r>
        <w:rPr>
          <w:kern w:val="0"/>
          <w:szCs w:val="24"/>
        </w:rPr>
        <w:t xml:space="preserve">Zhou, X.L., Xu, W., Tang, X.X., Luo, L.S., Tu, J.F., Zhang, C.J., Xu, X., Wu, Q.D. and Pan, W.S. (2014), Fecal lactoferrin in discriminating inflammatory bowel disease from Irritable bowel syndrome: A diagnostic meta-analysis. </w:t>
      </w:r>
      <w:r>
        <w:rPr>
          <w:i/>
          <w:iCs/>
          <w:kern w:val="0"/>
          <w:szCs w:val="24"/>
        </w:rPr>
        <w:t>BMC Gastroenterology</w:t>
      </w:r>
      <w:r>
        <w:rPr>
          <w:kern w:val="0"/>
          <w:szCs w:val="24"/>
        </w:rPr>
        <w:t xml:space="preserve">, </w:t>
      </w:r>
      <w:r>
        <w:rPr>
          <w:b/>
          <w:bCs/>
          <w:kern w:val="0"/>
          <w:szCs w:val="24"/>
        </w:rPr>
        <w:t>14</w:t>
      </w:r>
      <w:r>
        <w:rPr>
          <w:kern w:val="0"/>
        </w:rPr>
        <w:t>, Article Number: 1</w:t>
      </w:r>
      <w:r>
        <w:rPr>
          <w:rFonts w:hint="eastAsia"/>
          <w:kern w:val="0"/>
        </w:rPr>
        <w:t>21.</w:t>
      </w:r>
    </w:p>
    <w:p w:rsidR="000B7779" w:rsidRPr="003862C4" w:rsidRDefault="000B7779" w:rsidP="000B7779">
      <w:pPr>
        <w:pStyle w:val="a3"/>
      </w:pPr>
      <w:r>
        <w:rPr>
          <w:rFonts w:hint="eastAsia"/>
        </w:rPr>
        <w:t xml:space="preserve">Full Text: </w:t>
      </w:r>
      <w:hyperlink r:id="rId1574" w:history="1">
        <w:r w:rsidRPr="00F65DF7">
          <w:rPr>
            <w:rStyle w:val="a5"/>
          </w:rPr>
          <w:t>2014\BMC Hea Ser Res14, 121.pdf</w:t>
        </w:r>
      </w:hyperlink>
    </w:p>
    <w:p w:rsidR="000B7779" w:rsidRDefault="000B7779" w:rsidP="000B7779">
      <w:pPr>
        <w:pStyle w:val="a3"/>
        <w:rPr>
          <w:kern w:val="0"/>
          <w:szCs w:val="24"/>
        </w:rPr>
      </w:pPr>
      <w:r>
        <w:rPr>
          <w:kern w:val="0"/>
          <w:szCs w:val="24"/>
        </w:rPr>
        <w:t>Abstract: Background: To perform a meta-analysis evaluating the diagnostic ability of fecal lactoferrin (FL) to distinguish inflammatory bowel disease (IBD) from irritable bowel syndrome (IBS). Methods: The Medline, EMBASE, Web of Science, Cochrane library and CNKI databases were systematically searched for studies that used FL concentrations to distinguish between IBD and IBS. The sensitivity, specificity, and other diagnostic indexes of FL were pooled using a random-effects model. Results: Seven studies, involving 1012 patients, were eligible for inclusion. In distinguishing IBD from IBS, FL had a pooled sensitivity of 0.78 (95% confidence interval [CI]: 0.75, 0.82), a specificity of 0.94 (95% CI: 0.91, 0.96), a positive likelihood ratio of 12.31 (95% CI: 5.93, 29.15), and a negative likelihood ratio of 0.23 (95% CI: 0.18, 0.29). The area under the summary receiver-operating characteristic curve was 0.94 (95% CI: 0.90, 0.98) and the diagnostic odds ratio was 52.65 (95% CI: 25.69, 107.91). Conclusions: FL, as a noninvasive and simple marker, is useful in differentiating between IBD and IBS.</w:t>
      </w:r>
    </w:p>
    <w:p w:rsidR="000B7779" w:rsidRDefault="000B7779" w:rsidP="000B7779">
      <w:pPr>
        <w:pStyle w:val="a3"/>
        <w:rPr>
          <w:kern w:val="0"/>
          <w:szCs w:val="24"/>
        </w:rPr>
      </w:pPr>
      <w:r>
        <w:rPr>
          <w:kern w:val="0"/>
          <w:szCs w:val="24"/>
        </w:rPr>
        <w:lastRenderedPageBreak/>
        <w:t>Keywords: Accuracy, Biomarkers, Bowel, Calprotectin, Confidence, Crohns-Disease, Databases, Diagnostic, Disease, Embase, Fecal Lactoferrin, Ib, Ibd, Identifying Intestinal Inflammation, Inflammatory Bowel Disease, Interval, Irritable Bowel Syndrome, Lactoferrin, Likelihood Ratio, Management, Marker, Medline, Meta Analysis, Meta-Analysis, Metaanalysis, Methods, Model, Neutrophil-Derived Proteins, Noninvasive Markers, Odds Ratio, Patients, Random Effects Model, Receiver Operating Characteristic Curve, Results, Science, Sensitivity, Specificity, Syndrome, Systematic Reviews, Test-Performance, Web Of Science</w:t>
      </w:r>
    </w:p>
    <w:p w:rsidR="00EA4CDA" w:rsidRDefault="00EA4CDA" w:rsidP="00EA4CDA">
      <w:pPr>
        <w:pStyle w:val="a3"/>
        <w:rPr>
          <w:kern w:val="0"/>
        </w:rPr>
      </w:pPr>
      <w:r>
        <w:rPr>
          <w:rFonts w:hint="eastAsia"/>
          <w:kern w:val="0"/>
        </w:rPr>
        <w:t xml:space="preserve">? </w:t>
      </w:r>
      <w:r>
        <w:rPr>
          <w:kern w:val="0"/>
        </w:rPr>
        <w:t xml:space="preserve">Pan, Y.M., Pan, J., Guo, L.K., Qiu, M. and Zhang, J.J. (2014), Covered versus uncovered self-expandable metallic stents for palliation of malignant gastric outlet obstruction: A systematic review and meta-analysis. </w:t>
      </w:r>
      <w:r>
        <w:rPr>
          <w:i/>
          <w:iCs/>
          <w:kern w:val="0"/>
        </w:rPr>
        <w:t>BMC Gastroenterology</w:t>
      </w:r>
      <w:r>
        <w:rPr>
          <w:kern w:val="0"/>
        </w:rPr>
        <w:t xml:space="preserve">, </w:t>
      </w:r>
      <w:r>
        <w:rPr>
          <w:b/>
          <w:bCs/>
          <w:kern w:val="0"/>
        </w:rPr>
        <w:t>14</w:t>
      </w:r>
      <w:r>
        <w:rPr>
          <w:kern w:val="0"/>
        </w:rPr>
        <w:t>, Article Number: 1</w:t>
      </w:r>
      <w:r>
        <w:rPr>
          <w:rFonts w:hint="eastAsia"/>
          <w:kern w:val="0"/>
        </w:rPr>
        <w:t>70.</w:t>
      </w:r>
    </w:p>
    <w:p w:rsidR="00EA4CDA" w:rsidRPr="003862C4" w:rsidRDefault="00EA4CDA" w:rsidP="00EA4CDA">
      <w:pPr>
        <w:pStyle w:val="a3"/>
      </w:pPr>
      <w:r>
        <w:rPr>
          <w:rFonts w:hint="eastAsia"/>
        </w:rPr>
        <w:t xml:space="preserve">Full Text: </w:t>
      </w:r>
      <w:hyperlink r:id="rId1575" w:history="1">
        <w:r w:rsidRPr="00EA4CDA">
          <w:rPr>
            <w:rStyle w:val="a5"/>
          </w:rPr>
          <w:t>2014\BMC Hea Ser Res14, 170.pdf</w:t>
        </w:r>
      </w:hyperlink>
    </w:p>
    <w:p w:rsidR="00EA4CDA" w:rsidRDefault="00EA4CDA" w:rsidP="00EA4CDA">
      <w:pPr>
        <w:pStyle w:val="a3"/>
        <w:rPr>
          <w:kern w:val="0"/>
        </w:rPr>
      </w:pPr>
      <w:r>
        <w:rPr>
          <w:kern w:val="0"/>
        </w:rPr>
        <w:t>Abstract: Background: Self-expandable metallic stents (SEMSs) are widely used for palliation of malignant gastric outlet obstruction (GOO). There are two types of SEMS, covered and uncovered, each with its own advantages and disadvantages. We aimed to compare the efficacy and safety between uncovered and covered SEMSs in the palliation of malignant gastric outlet obstruction. Methods: Databases including PubMed, EMBASE, the Cochrane Library, the Science Citation Index and momentous meeting abstracts were searched and evaluated by two reviewers independently. Results: Nine trials involving 849 patients were analyzed. Meta-analysis showed there was no significant difference in technical success rate (RR 1.0, 95% CI [0.98, 1.01]), clinical success rate (RR 1.04, 95% CI [0.98, 1.11]), post-stenting dysphagia score (WMD -0.01, 95% CI [-0.52, 0.50]), stent patency (WMD -0.31, 95% CI [-1.73, 1.11]), overall complications (RR 1.07, 95% CI [0.87, 1.32]) and reintervention rate (RR 1.30, 95% CI [0.92, 1.83]) between covered and uncovered SEMSs group. However, covered SEMSs were associated with higher migration rate (RR 3.48, 95% CI [2.16, 5.62], P &lt; 0.00001) and lower obstruction rate (RR 0.42, 95% CI [0.24, 0.73], P = 0.002). Conclusions: In the palliative treatment of malignant gastric outlet obstruction, both covered and uncovered SEMSs are safely and effective. Covered stents can reduce the risk of restenosis, whereas uncovered stents are effective in decreasing stent migration.</w:t>
      </w:r>
    </w:p>
    <w:p w:rsidR="00EA4CDA" w:rsidRDefault="00EA4CDA" w:rsidP="00EA4CDA">
      <w:pPr>
        <w:pStyle w:val="a3"/>
        <w:rPr>
          <w:kern w:val="0"/>
        </w:rPr>
      </w:pPr>
      <w:r>
        <w:rPr>
          <w:kern w:val="0"/>
        </w:rPr>
        <w:t>Keywords: Cancer, Citation, Clinical, Clinical-Outcomes, Complications, Covered Semss, Databases, Duodenal Obstruction, Dysphagia, Efficacy, Embase, Gastric, Gastric Outlet Obstruction, Gastroduodenal Obstruction, Gastrojejunostomy, Meta Analysis, Meta-Analysis, Metaanalysis, Methods, Migration, P, Palliation, Patency, Patients, Placement, Pubmed, Randomized-Trial, Restenosis, Results, Review, Reviewers, Risk, Safety, Science, Science Citation Index, SEM, Stents, Success, Success Rate, Systematic, Systematic Review, Treatment, Uncovered Semss</w:t>
      </w:r>
    </w:p>
    <w:p w:rsidR="009840F6" w:rsidRPr="00893943" w:rsidRDefault="009840F6" w:rsidP="009840F6">
      <w:pPr>
        <w:pStyle w:val="1"/>
      </w:pPr>
      <w:r>
        <w:lastRenderedPageBreak/>
        <w:br w:type="page"/>
      </w:r>
      <w:bookmarkStart w:id="840" w:name="_Toc420814757"/>
      <w:r w:rsidRPr="00893943">
        <w:lastRenderedPageBreak/>
        <w:t xml:space="preserve">Title: </w:t>
      </w:r>
      <w:r w:rsidRPr="002949D0">
        <w:rPr>
          <w:iCs w:val="0"/>
        </w:rPr>
        <w:t>BMC Geriatrics</w:t>
      </w:r>
      <w:bookmarkEnd w:id="840"/>
    </w:p>
    <w:p w:rsidR="009840F6" w:rsidRPr="0041113B" w:rsidRDefault="009840F6" w:rsidP="009840F6">
      <w:pPr>
        <w:pStyle w:val="12"/>
      </w:pPr>
      <w:r w:rsidRPr="0041113B">
        <w:t xml:space="preserve">Full Journal Title: </w:t>
      </w:r>
      <w:r w:rsidRPr="002949D0">
        <w:rPr>
          <w:iCs/>
          <w:kern w:val="0"/>
        </w:rPr>
        <w:t>BMC Geriatrics</w:t>
      </w:r>
    </w:p>
    <w:p w:rsidR="009840F6" w:rsidRPr="004C0FCC" w:rsidRDefault="009840F6" w:rsidP="009840F6">
      <w:pPr>
        <w:pStyle w:val="12"/>
      </w:pPr>
      <w:r w:rsidRPr="004C0FCC">
        <w:t xml:space="preserve">ISO Abbreviated Title: </w:t>
      </w:r>
    </w:p>
    <w:p w:rsidR="009840F6" w:rsidRPr="004C0FCC" w:rsidRDefault="009840F6" w:rsidP="009840F6">
      <w:pPr>
        <w:pStyle w:val="12"/>
      </w:pPr>
      <w:r w:rsidRPr="004C0FCC">
        <w:t>JCR Abbreviated Title</w:t>
      </w:r>
      <w:r>
        <w:t>:</w:t>
      </w:r>
      <w:r w:rsidRPr="004C0FCC">
        <w:t xml:space="preserve"> </w:t>
      </w:r>
    </w:p>
    <w:p w:rsidR="009840F6" w:rsidRPr="004C0FCC" w:rsidRDefault="009840F6" w:rsidP="009840F6">
      <w:pPr>
        <w:pStyle w:val="12"/>
      </w:pPr>
      <w:r w:rsidRPr="004C0FCC">
        <w:t xml:space="preserve">ISSN: </w:t>
      </w:r>
    </w:p>
    <w:p w:rsidR="009840F6" w:rsidRPr="004C0FCC" w:rsidRDefault="009840F6" w:rsidP="009840F6">
      <w:pPr>
        <w:pStyle w:val="12"/>
      </w:pPr>
      <w:r w:rsidRPr="004C0FCC">
        <w:t xml:space="preserve">Issues/Year: </w:t>
      </w:r>
    </w:p>
    <w:p w:rsidR="009840F6" w:rsidRDefault="009840F6" w:rsidP="009840F6">
      <w:pPr>
        <w:pStyle w:val="12"/>
      </w:pPr>
      <w:r>
        <w:t xml:space="preserve">Journal Country/Territory: </w:t>
      </w:r>
    </w:p>
    <w:p w:rsidR="009840F6" w:rsidRDefault="009840F6" w:rsidP="009840F6">
      <w:pPr>
        <w:pStyle w:val="12"/>
      </w:pPr>
      <w:r>
        <w:t xml:space="preserve">Language: </w:t>
      </w:r>
    </w:p>
    <w:p w:rsidR="009840F6" w:rsidRDefault="009840F6" w:rsidP="009840F6">
      <w:pPr>
        <w:pStyle w:val="12"/>
      </w:pPr>
      <w:r>
        <w:t xml:space="preserve">Publisher: </w:t>
      </w:r>
    </w:p>
    <w:p w:rsidR="009840F6" w:rsidRDefault="009840F6" w:rsidP="009840F6">
      <w:pPr>
        <w:pStyle w:val="12"/>
      </w:pPr>
      <w:r>
        <w:t xml:space="preserve">Publisher Address: </w:t>
      </w:r>
    </w:p>
    <w:p w:rsidR="009840F6" w:rsidRDefault="009840F6" w:rsidP="009840F6">
      <w:pPr>
        <w:pStyle w:val="12"/>
      </w:pPr>
      <w:r>
        <w:t xml:space="preserve">Subject Categories: </w:t>
      </w:r>
    </w:p>
    <w:p w:rsidR="009840F6" w:rsidRDefault="009840F6" w:rsidP="009840F6">
      <w:pPr>
        <w:pStyle w:val="12"/>
      </w:pPr>
      <w:r>
        <w:t>: Impact Factor</w:t>
      </w:r>
      <w:r>
        <w:rPr>
          <w:rFonts w:hint="eastAsia"/>
        </w:rPr>
        <w:t xml:space="preserve"> </w:t>
      </w:r>
    </w:p>
    <w:p w:rsidR="009840F6" w:rsidRDefault="009840F6" w:rsidP="009840F6">
      <w:pPr>
        <w:pStyle w:val="a3"/>
        <w:rPr>
          <w:kern w:val="0"/>
        </w:rPr>
      </w:pPr>
      <w:r>
        <w:rPr>
          <w:kern w:val="0"/>
        </w:rPr>
        <w:t xml:space="preserve">? Salahudeen, M.S., Duffull, S.B. and Nishtala, P.S. (2015), Anticholinergic burden quantified by anticholinergic risk scales and adverse outcomes in older people: A systematic review. </w:t>
      </w:r>
      <w:r w:rsidRPr="002949D0">
        <w:rPr>
          <w:i/>
          <w:iCs/>
          <w:kern w:val="0"/>
        </w:rPr>
        <w:t>BMC Geriatrics</w:t>
      </w:r>
      <w:r>
        <w:rPr>
          <w:kern w:val="0"/>
        </w:rPr>
        <w:t xml:space="preserve">, </w:t>
      </w:r>
      <w:r>
        <w:rPr>
          <w:b/>
          <w:bCs/>
          <w:kern w:val="0"/>
        </w:rPr>
        <w:t>15</w:t>
      </w:r>
      <w:r w:rsidRPr="00BC7C8F">
        <w:rPr>
          <w:rFonts w:hint="eastAsia"/>
          <w:bCs/>
          <w:kern w:val="0"/>
        </w:rPr>
        <w:t xml:space="preserve">, </w:t>
      </w:r>
      <w:r w:rsidRPr="00BC7C8F">
        <w:rPr>
          <w:bCs/>
          <w:kern w:val="0"/>
        </w:rPr>
        <w:t>Article Number: 31</w:t>
      </w:r>
      <w:r>
        <w:rPr>
          <w:kern w:val="0"/>
        </w:rPr>
        <w:t>.</w:t>
      </w:r>
    </w:p>
    <w:p w:rsidR="009840F6" w:rsidRDefault="009840F6" w:rsidP="009840F6">
      <w:pPr>
        <w:pStyle w:val="a3"/>
        <w:rPr>
          <w:kern w:val="0"/>
        </w:rPr>
      </w:pPr>
      <w:r>
        <w:rPr>
          <w:rFonts w:hint="eastAsia"/>
          <w:kern w:val="0"/>
        </w:rPr>
        <w:t xml:space="preserve">Full Text: </w:t>
      </w:r>
      <w:hyperlink r:id="rId1576" w:history="1">
        <w:r w:rsidRPr="002949D0">
          <w:rPr>
            <w:rStyle w:val="a5"/>
            <w:kern w:val="0"/>
          </w:rPr>
          <w:t>2015\BMC Ger15, 31.pdf</w:t>
        </w:r>
      </w:hyperlink>
    </w:p>
    <w:p w:rsidR="009840F6" w:rsidRDefault="009840F6" w:rsidP="009840F6">
      <w:pPr>
        <w:pStyle w:val="a3"/>
        <w:rPr>
          <w:kern w:val="0"/>
        </w:rPr>
      </w:pPr>
      <w:r>
        <w:rPr>
          <w:kern w:val="0"/>
        </w:rPr>
        <w:t xml:space="preserve">Abstract: Background: The cumulative effect of taking multiple medicines with anticholinergic properties termed as anticholinergic burden can adversely impact cognition, physical function and increase the risk of mortality. Expert opinion derived risk scales are routinely used in research and clinical practice to quantify anticholinergic burden. These scales rank the anticholinergic activity of medicines into four categories, ranging from no anticholinergic activity (= 0) to definite/high anticholinergic activity (= 3). The aim of this systematic review was to compare anticholinergic burden quantified by the anticholinergic risk scales and evaluate associations with adverse outcomes in older people. Methods: We conducted a literature search in Ovid MEDLINE, EMBASE and PsycINFO from 1984-2014 to identify expert opinion derived anticholinergic risk scales. In addition to this, a citation analysis was performed in Web of Science and Google Scholar to track prospective citing of references of selected articles for assessment of individual scales for adverse anticholinergic outcomes. The primary outcomes of interest were functional and cognitive outcomes associated with anticholinergic burden in older people. The critical appraisals of the included studies were performed by two independent reviewers and the data were extracted onto standardised forms. Results: The primary electronic literature search identified a total of 1250 records in the 3 different databases. On the basis of full-text analysis, we identified 7 expert-based anticholinergic rating scales that met the inclusion criteria. The rating of anticholinergic activity for medicines among these rating scales was inconsistent. For </w:t>
      </w:r>
      <w:r>
        <w:rPr>
          <w:kern w:val="0"/>
        </w:rPr>
        <w:lastRenderedPageBreak/>
        <w:t>example, quetiapine was rated as having high anticholinergic activity in one scale (n = 1), moderate in another scale (n = 1) and low in two other scales (n = 2). Citation analysis of the individual scales showed that the Anticholinergic Cognitive Burden (ACB) scale was the most frequently validated expert based anticholinergic scale for adverse outcomes (N = 13). Conclusions: In conclusion, there is not one standardised tool for measuring anticholinergic burden. Cohort studies have shown that higher anticholinergic burden is associated with negative brain effects, poorer cognitive and functional outcomes.</w:t>
      </w:r>
    </w:p>
    <w:p w:rsidR="009840F6" w:rsidRDefault="009840F6" w:rsidP="009840F6">
      <w:pPr>
        <w:pStyle w:val="a3"/>
        <w:rPr>
          <w:kern w:val="0"/>
        </w:rPr>
      </w:pPr>
      <w:r>
        <w:rPr>
          <w:kern w:val="0"/>
        </w:rPr>
        <w:t>Keywords: Activity, Adverse Outcomes, Aged Care, Analysis, Anticholinergic Burden, Anticholinergic Scales, Antimuscarinic, Articles, Assessment, Brain, Burden, Citation, Citation Analysis, Clinical, Clinical Practice, Cognition, Cognitive, Cognitive Impairment, Cohort Studies, Criteria, Cumulative, Data, Databases, Drug Burden, Effects, Embase, Expert Opinion, Forms, Frail Elderly Population, From, Full Text Analysis, Full-Text Analysis, Function, Google, Google Scholar, Hip Fracture, Hospitalized-Patients, Impact, Literature, Literature Search, Mar, Medline, Methods, Mortality, N, Negative, Older, Older People, Outcomes, Physical, Physical Function, Potentially Inappropriate Medications, Practice, Prescribed Medications, Primary, Properties, Prospective, Prospective Cohort, Psycinfo, Quetiapine, Rank, Rating Scale, Records, References, Research, Results, Review, Reviewers, Risk, Scale, Scales, Science, Systematic, Systematic Review, Web, Web Of Science</w:t>
      </w:r>
    </w:p>
    <w:p w:rsidR="00D30EBE" w:rsidRDefault="00D30EBE" w:rsidP="00D30EBE">
      <w:pPr>
        <w:pStyle w:val="a3"/>
        <w:rPr>
          <w:kern w:val="0"/>
        </w:rPr>
      </w:pPr>
      <w:r>
        <w:rPr>
          <w:rFonts w:hint="eastAsia"/>
        </w:rPr>
        <w:t xml:space="preserve">? </w:t>
      </w:r>
      <w:r w:rsidRPr="00185FC5">
        <w:t xml:space="preserve">van Dalen-Kok, A.H., Pieper, M.J.C., de Waal, M.W.M., Lukas, A., Husebo, B.S. and Achterberg, W.P. (2015), Association between pain, neuropsychiatric symptoms, and physical function in dementia: A systematic review and meta-analysis. </w:t>
      </w:r>
      <w:r w:rsidRPr="00185FC5">
        <w:rPr>
          <w:i/>
          <w:iCs/>
        </w:rPr>
        <w:t>BMC Geriatrics</w:t>
      </w:r>
      <w:r w:rsidRPr="00185FC5">
        <w:t xml:space="preserve">, </w:t>
      </w:r>
      <w:r w:rsidRPr="00185FC5">
        <w:rPr>
          <w:b/>
          <w:bCs/>
        </w:rPr>
        <w:t>15</w:t>
      </w:r>
      <w:r w:rsidRPr="00BC7C8F">
        <w:rPr>
          <w:rFonts w:hint="eastAsia"/>
          <w:bCs/>
          <w:kern w:val="0"/>
        </w:rPr>
        <w:t xml:space="preserve">, </w:t>
      </w:r>
      <w:r w:rsidRPr="00BC7C8F">
        <w:rPr>
          <w:bCs/>
          <w:kern w:val="0"/>
        </w:rPr>
        <w:t xml:space="preserve">Article Number: </w:t>
      </w:r>
      <w:r>
        <w:rPr>
          <w:rFonts w:hint="eastAsia"/>
          <w:bCs/>
          <w:kern w:val="0"/>
        </w:rPr>
        <w:t>49</w:t>
      </w:r>
      <w:r>
        <w:rPr>
          <w:kern w:val="0"/>
        </w:rPr>
        <w:t>.</w:t>
      </w:r>
    </w:p>
    <w:p w:rsidR="00D30EBE" w:rsidRDefault="00D30EBE" w:rsidP="00D30EBE">
      <w:pPr>
        <w:pStyle w:val="a3"/>
        <w:rPr>
          <w:kern w:val="0"/>
        </w:rPr>
      </w:pPr>
      <w:r>
        <w:rPr>
          <w:rFonts w:hint="eastAsia"/>
          <w:kern w:val="0"/>
        </w:rPr>
        <w:t xml:space="preserve">Full Text: </w:t>
      </w:r>
      <w:hyperlink r:id="rId1577" w:history="1">
        <w:r w:rsidRPr="00212653">
          <w:rPr>
            <w:rStyle w:val="a5"/>
            <w:kern w:val="0"/>
          </w:rPr>
          <w:t>2015\BMC Ger15, 49.pdf</w:t>
        </w:r>
      </w:hyperlink>
    </w:p>
    <w:p w:rsidR="00D30EBE" w:rsidRPr="00185FC5" w:rsidRDefault="00D30EBE" w:rsidP="00D30EBE">
      <w:pPr>
        <w:pStyle w:val="a3"/>
      </w:pPr>
      <w:r w:rsidRPr="00185FC5">
        <w:t xml:space="preserve">Abstract: Background: Pain, neuropsychiatric symptoms (NPS) and functional impairment are prevalent in patients with dementia and pain is hypothesized to be causal in both neuropsychiatric symptoms (NPS) and functional impairment. As the exact nature of the associations is unknown, this review examines the strength of associations between pain and NPS, and pain and physical function in patients with dementia. Special attention is paid to the description of measurement instruments and the methods used to detect pain, NPS and physical function. Methods: A systematic search was made in the databases of PubMed (Medline), Embase, Cochrane, Cinahl, PsychINFO, and Web of Science. Studies were included that described associations between pain and NPS and/or physical function in patients with moderate to severe dementia. Results: The search yielded 22 articles describing 18 studies, including two longitudinal studies. Most evidence was found for the association between pain and depression, followed by the association between pain and agitation/aggression. The longitudinal studies reported no direct effects between pain and NPS but some </w:t>
      </w:r>
      <w:r w:rsidRPr="00185FC5">
        <w:lastRenderedPageBreak/>
        <w:t>indirect effects, e.g. pain through depression. Although some association was established between pain and NPS, and pain and physical function, the strength of associations was relatively weak. Interestingly, only three studies used an observer rating scale for pain-related behaviour. Conclusions: Available evidence does not support strong associations between pain, NPS and physical function. This might be due to inadequate use or lack of rating scales to detect pain-related behaviour. These results show that the relationship between pain and NPS, as well as with physical function, is complicated and warrants additional longitudinal evaluation.</w:t>
      </w:r>
    </w:p>
    <w:p w:rsidR="00D30EBE" w:rsidRPr="00185FC5" w:rsidRDefault="00D30EBE" w:rsidP="00D30EBE">
      <w:pPr>
        <w:pStyle w:val="a3"/>
      </w:pPr>
      <w:r w:rsidRPr="00185FC5">
        <w:t>Keywords: Alzheimer-Disease</w:t>
      </w:r>
      <w:r>
        <w:t xml:space="preserve">, </w:t>
      </w:r>
      <w:r w:rsidRPr="00185FC5">
        <w:t>Association</w:t>
      </w:r>
      <w:r>
        <w:t xml:space="preserve">, </w:t>
      </w:r>
      <w:r w:rsidRPr="00185FC5">
        <w:t>Associations</w:t>
      </w:r>
      <w:r>
        <w:t xml:space="preserve">, </w:t>
      </w:r>
      <w:r w:rsidRPr="00185FC5">
        <w:t>Behavioral Disturbances</w:t>
      </w:r>
      <w:r>
        <w:t xml:space="preserve">, </w:t>
      </w:r>
      <w:r w:rsidRPr="00185FC5">
        <w:t>Behaviour</w:t>
      </w:r>
      <w:r>
        <w:t xml:space="preserve">, </w:t>
      </w:r>
      <w:r w:rsidRPr="00185FC5">
        <w:t>Databases</w:t>
      </w:r>
      <w:r>
        <w:t xml:space="preserve">, </w:t>
      </w:r>
      <w:r w:rsidRPr="00185FC5">
        <w:t>Dementia</w:t>
      </w:r>
      <w:r>
        <w:t xml:space="preserve">, </w:t>
      </w:r>
      <w:r w:rsidRPr="00185FC5">
        <w:t>Depression</w:t>
      </w:r>
      <w:r>
        <w:t xml:space="preserve">, </w:t>
      </w:r>
      <w:r w:rsidRPr="00185FC5">
        <w:t>Effects</w:t>
      </w:r>
      <w:r>
        <w:t xml:space="preserve">, </w:t>
      </w:r>
      <w:r w:rsidRPr="00185FC5">
        <w:t>Elderly-Patients</w:t>
      </w:r>
      <w:r>
        <w:t xml:space="preserve">, </w:t>
      </w:r>
      <w:r w:rsidRPr="00185FC5">
        <w:t>Evaluation</w:t>
      </w:r>
      <w:r>
        <w:t xml:space="preserve">, </w:t>
      </w:r>
      <w:r w:rsidRPr="00185FC5">
        <w:t>Evidence</w:t>
      </w:r>
      <w:r>
        <w:t xml:space="preserve">, </w:t>
      </w:r>
      <w:r w:rsidRPr="00185FC5">
        <w:t>Function</w:t>
      </w:r>
      <w:r>
        <w:t xml:space="preserve">, </w:t>
      </w:r>
      <w:r w:rsidRPr="00185FC5">
        <w:t>Functional Impairment</w:t>
      </w:r>
      <w:r>
        <w:t xml:space="preserve">, </w:t>
      </w:r>
      <w:r w:rsidRPr="00185FC5">
        <w:t>Indirect Effects</w:t>
      </w:r>
      <w:r>
        <w:t xml:space="preserve">, </w:t>
      </w:r>
      <w:r w:rsidRPr="00185FC5">
        <w:t>Long-Term-Care</w:t>
      </w:r>
      <w:r>
        <w:t xml:space="preserve">, </w:t>
      </w:r>
      <w:r w:rsidRPr="00185FC5">
        <w:t>Longitudinal</w:t>
      </w:r>
      <w:r>
        <w:t xml:space="preserve">, </w:t>
      </w:r>
      <w:r w:rsidRPr="00185FC5">
        <w:t>Longitudinal Studies</w:t>
      </w:r>
      <w:r>
        <w:t xml:space="preserve">, </w:t>
      </w:r>
      <w:r w:rsidRPr="00185FC5">
        <w:t>Measurement</w:t>
      </w:r>
      <w:r>
        <w:t xml:space="preserve">, </w:t>
      </w:r>
      <w:r w:rsidRPr="00185FC5">
        <w:t>Medication Use</w:t>
      </w:r>
      <w:r>
        <w:t xml:space="preserve">, </w:t>
      </w:r>
      <w:r w:rsidRPr="00185FC5">
        <w:t>Meta-Analysis</w:t>
      </w:r>
      <w:r>
        <w:t xml:space="preserve">, </w:t>
      </w:r>
      <w:r w:rsidRPr="00185FC5">
        <w:t>Metaanalysis</w:t>
      </w:r>
      <w:r>
        <w:t xml:space="preserve">, </w:t>
      </w:r>
      <w:r w:rsidRPr="00185FC5">
        <w:t>Methods</w:t>
      </w:r>
      <w:r>
        <w:t xml:space="preserve">, </w:t>
      </w:r>
      <w:r w:rsidRPr="00185FC5">
        <w:t>Neuropsychiatric Symptoms</w:t>
      </w:r>
      <w:r>
        <w:t xml:space="preserve">, </w:t>
      </w:r>
      <w:r w:rsidRPr="00185FC5">
        <w:t>Nps</w:t>
      </w:r>
      <w:r>
        <w:t xml:space="preserve">, </w:t>
      </w:r>
      <w:r w:rsidRPr="00185FC5">
        <w:t>Nursing-Home Residents</w:t>
      </w:r>
      <w:r>
        <w:t xml:space="preserve">, </w:t>
      </w:r>
      <w:r w:rsidRPr="00185FC5">
        <w:t>Pain</w:t>
      </w:r>
      <w:r>
        <w:t xml:space="preserve">, </w:t>
      </w:r>
      <w:r w:rsidRPr="00185FC5">
        <w:t>Patients</w:t>
      </w:r>
      <w:r>
        <w:t xml:space="preserve">, </w:t>
      </w:r>
      <w:r w:rsidRPr="00185FC5">
        <w:t>Physical</w:t>
      </w:r>
      <w:r>
        <w:t xml:space="preserve">, </w:t>
      </w:r>
      <w:r w:rsidRPr="00185FC5">
        <w:t>Physical Function</w:t>
      </w:r>
      <w:r>
        <w:t xml:space="preserve">, </w:t>
      </w:r>
      <w:r w:rsidRPr="00185FC5">
        <w:t>Prevalence</w:t>
      </w:r>
      <w:r>
        <w:t xml:space="preserve">, </w:t>
      </w:r>
      <w:r w:rsidRPr="00185FC5">
        <w:t>Pubmed</w:t>
      </w:r>
      <w:r>
        <w:t xml:space="preserve">, </w:t>
      </w:r>
      <w:r w:rsidRPr="00185FC5">
        <w:t>Review</w:t>
      </w:r>
      <w:r>
        <w:t xml:space="preserve">, </w:t>
      </w:r>
      <w:r w:rsidRPr="00185FC5">
        <w:t>Risk-Factors</w:t>
      </w:r>
      <w:r>
        <w:t xml:space="preserve">, </w:t>
      </w:r>
      <w:r w:rsidRPr="00185FC5">
        <w:t>Scale</w:t>
      </w:r>
      <w:r>
        <w:t xml:space="preserve">, </w:t>
      </w:r>
      <w:r w:rsidRPr="00185FC5">
        <w:t>Scales</w:t>
      </w:r>
      <w:r>
        <w:t xml:space="preserve">, </w:t>
      </w:r>
      <w:r w:rsidRPr="00185FC5">
        <w:t>Science</w:t>
      </w:r>
      <w:r>
        <w:t xml:space="preserve">, </w:t>
      </w:r>
      <w:r w:rsidRPr="00185FC5">
        <w:t>Strength</w:t>
      </w:r>
      <w:r>
        <w:t xml:space="preserve">, </w:t>
      </w:r>
      <w:r w:rsidRPr="00185FC5">
        <w:t>Support</w:t>
      </w:r>
      <w:r>
        <w:t xml:space="preserve">, </w:t>
      </w:r>
      <w:r w:rsidRPr="00185FC5">
        <w:t>Symptoms</w:t>
      </w:r>
      <w:r>
        <w:t xml:space="preserve">, </w:t>
      </w:r>
      <w:r w:rsidRPr="00185FC5">
        <w:t>Systematic Review</w:t>
      </w:r>
      <w:r>
        <w:t xml:space="preserve">, </w:t>
      </w:r>
      <w:r w:rsidRPr="00185FC5">
        <w:t>Treating Pain</w:t>
      </w:r>
      <w:r>
        <w:t xml:space="preserve">, </w:t>
      </w:r>
      <w:r w:rsidRPr="00185FC5">
        <w:t>Web Of Science</w:t>
      </w:r>
    </w:p>
    <w:p w:rsidR="00D30EBE" w:rsidRDefault="00D30EBE" w:rsidP="00D30EBE">
      <w:pPr>
        <w:pStyle w:val="a3"/>
        <w:rPr>
          <w:kern w:val="0"/>
        </w:rPr>
      </w:pPr>
      <w:r>
        <w:rPr>
          <w:rFonts w:hint="eastAsia"/>
        </w:rPr>
        <w:t xml:space="preserve">? </w:t>
      </w:r>
      <w:r w:rsidRPr="00185FC5">
        <w:t xml:space="preserve">Wheeler, C., Lloyd-Evans, B., Churchard, A., Fitzgerald, C., Fullarton, K., Mosse, L., Paterson, B., Zugaro, C.G. and Johnson, S. (2015), Implementation of the Crisis Resolution Team model in adult mental health settings: A systematic review. </w:t>
      </w:r>
      <w:r w:rsidRPr="00185FC5">
        <w:rPr>
          <w:i/>
          <w:iCs/>
        </w:rPr>
        <w:t>BMC Psychiatry</w:t>
      </w:r>
      <w:r w:rsidRPr="00185FC5">
        <w:t xml:space="preserve">, </w:t>
      </w:r>
      <w:r w:rsidRPr="00185FC5">
        <w:rPr>
          <w:b/>
          <w:bCs/>
        </w:rPr>
        <w:t>15</w:t>
      </w:r>
      <w:r w:rsidRPr="00BC7C8F">
        <w:rPr>
          <w:rFonts w:hint="eastAsia"/>
          <w:bCs/>
          <w:kern w:val="0"/>
        </w:rPr>
        <w:t xml:space="preserve">, </w:t>
      </w:r>
      <w:r w:rsidRPr="00BC7C8F">
        <w:rPr>
          <w:bCs/>
          <w:kern w:val="0"/>
        </w:rPr>
        <w:t xml:space="preserve">Article Number: </w:t>
      </w:r>
      <w:r>
        <w:rPr>
          <w:rFonts w:hint="eastAsia"/>
          <w:bCs/>
          <w:kern w:val="0"/>
        </w:rPr>
        <w:t>74</w:t>
      </w:r>
      <w:r>
        <w:rPr>
          <w:kern w:val="0"/>
        </w:rPr>
        <w:t>.</w:t>
      </w:r>
    </w:p>
    <w:p w:rsidR="00D30EBE" w:rsidRDefault="00D30EBE" w:rsidP="00D30EBE">
      <w:pPr>
        <w:pStyle w:val="a3"/>
        <w:rPr>
          <w:kern w:val="0"/>
        </w:rPr>
      </w:pPr>
      <w:r>
        <w:rPr>
          <w:rFonts w:hint="eastAsia"/>
          <w:kern w:val="0"/>
        </w:rPr>
        <w:t xml:space="preserve">Full Text: </w:t>
      </w:r>
      <w:hyperlink r:id="rId1578" w:history="1">
        <w:r w:rsidRPr="00212653">
          <w:rPr>
            <w:rStyle w:val="a5"/>
            <w:kern w:val="0"/>
          </w:rPr>
          <w:t>2015\BMC Ger15, 74.pdf</w:t>
        </w:r>
      </w:hyperlink>
    </w:p>
    <w:p w:rsidR="00D30EBE" w:rsidRPr="00185FC5" w:rsidRDefault="00D30EBE" w:rsidP="00D30EBE">
      <w:pPr>
        <w:pStyle w:val="a3"/>
      </w:pPr>
      <w:r w:rsidRPr="00185FC5">
        <w:t>Abstract: Background: Crisis Resolution Teams (CRTs) aim to offer an alternative to hospital admission during mental health crises, providing rapid assessment, home treatment, and facilitation of early discharge from hospital. CRTs were implemented nationally in England following the NHS Plan of 2000. Single centre studies suggest CRTs can reduce hospital admissions and increase service users</w:t>
      </w:r>
      <w:r>
        <w:t>’</w:t>
      </w:r>
      <w:r w:rsidRPr="00185FC5">
        <w:t xml:space="preserve"> satisfaction: however, there is also evidence that model implementation and outcomes vary considerably. Evidence on crucial characteristics of effective CRTs is needed to allow team functioning to be optimised. This review aims to establish what evidence, if any, is available regarding the characteristics of effective and acceptable CRTs. Methods: A systematic review was conducted. MEDLINE, Embase, PsycINFO, CINAHL and Web of Science were searched to November 2013. A further web-based search was conducted for government and expert guidelines on CRTs. We analysed studies separately as: comparing CRTs to Treatment as Usual; comparing two or more CRT models; national or regional surveys of CRT services; qualitative studies of stakeholders</w:t>
      </w:r>
      <w:r>
        <w:t>’</w:t>
      </w:r>
      <w:r w:rsidRPr="00185FC5">
        <w:t xml:space="preserve"> views regarding best practice in CRTs; and guidelines from government and expert organisations regarding CRT service delivery. Quality assessment and narrative synthesis were conducted. Statistical meta-analysis was not feasible due to the variety of design of retrieved studies. Results: Sixty-nine studies </w:t>
      </w:r>
      <w:r w:rsidRPr="00185FC5">
        <w:lastRenderedPageBreak/>
        <w:t>were included. Studies varied in quality and in the composition and activities of the clinical services studied. Quantitative studies suggested that longer opening hours and the presence of a psychiatrist in the team may increase CRTs</w:t>
      </w:r>
      <w:r>
        <w:t>’</w:t>
      </w:r>
      <w:r w:rsidRPr="00185FC5">
        <w:t xml:space="preserve"> ability to prevent hospital admissions. Stakeholders emphasised communication and integration with other local mental health services; provision of treatment at home; and limiting the number of different staff members visiting a service user. Existing guidelines prioritised 24-hour, seven-day-a-week CRT service provision (including psychiatrist and medical prescriber); and high quality of staff training. Conclusions: We cannot draw confident conclusions about the critical components of CRTs from available quantitative evidence. Clearer definition of the CRT model is required, informed by stakeholders</w:t>
      </w:r>
      <w:r>
        <w:t>’</w:t>
      </w:r>
      <w:r w:rsidRPr="00185FC5">
        <w:t xml:space="preserve"> views and guidelines. Future studies examining the relationship of overall CRT model fidelity to outcomes, or evaluating the impact of key aspects of the CRT model, are desirable.</w:t>
      </w:r>
    </w:p>
    <w:p w:rsidR="00D30EBE" w:rsidRPr="00185FC5" w:rsidRDefault="00D30EBE" w:rsidP="00D30EBE">
      <w:pPr>
        <w:pStyle w:val="a3"/>
      </w:pPr>
      <w:r w:rsidRPr="00185FC5">
        <w:t>Keywords: Admissions</w:t>
      </w:r>
      <w:r>
        <w:t xml:space="preserve">, </w:t>
      </w:r>
      <w:r w:rsidRPr="00185FC5">
        <w:t>Adult</w:t>
      </w:r>
      <w:r>
        <w:t xml:space="preserve">, </w:t>
      </w:r>
      <w:r w:rsidRPr="00185FC5">
        <w:t>Alternative</w:t>
      </w:r>
      <w:r>
        <w:t xml:space="preserve">, </w:t>
      </w:r>
      <w:r w:rsidRPr="00185FC5">
        <w:t>Assessment</w:t>
      </w:r>
      <w:r>
        <w:t xml:space="preserve">, </w:t>
      </w:r>
      <w:r w:rsidRPr="00185FC5">
        <w:t>Care</w:t>
      </w:r>
      <w:r>
        <w:t xml:space="preserve">, </w:t>
      </w:r>
      <w:r w:rsidRPr="00185FC5">
        <w:t>Characteristics</w:t>
      </w:r>
      <w:r>
        <w:t xml:space="preserve">, </w:t>
      </w:r>
      <w:r w:rsidRPr="00185FC5">
        <w:t>Clinical</w:t>
      </w:r>
      <w:r>
        <w:t xml:space="preserve">, </w:t>
      </w:r>
      <w:r w:rsidRPr="00185FC5">
        <w:t>Communication</w:t>
      </w:r>
      <w:r>
        <w:t xml:space="preserve">, </w:t>
      </w:r>
      <w:r w:rsidRPr="00185FC5">
        <w:t>Composition</w:t>
      </w:r>
      <w:r>
        <w:t xml:space="preserve">, </w:t>
      </w:r>
      <w:r w:rsidRPr="00185FC5">
        <w:t>Crisis Assessment And Treatment Team</w:t>
      </w:r>
      <w:r>
        <w:t xml:space="preserve">, </w:t>
      </w:r>
      <w:r w:rsidRPr="00185FC5">
        <w:t>Crisis Resolution Team</w:t>
      </w:r>
      <w:r>
        <w:t xml:space="preserve">, </w:t>
      </w:r>
      <w:r w:rsidRPr="00185FC5">
        <w:t>Delivery</w:t>
      </w:r>
      <w:r>
        <w:t xml:space="preserve">, </w:t>
      </w:r>
      <w:r w:rsidRPr="00185FC5">
        <w:t>Design</w:t>
      </w:r>
      <w:r>
        <w:t xml:space="preserve">, </w:t>
      </w:r>
      <w:r w:rsidRPr="00185FC5">
        <w:t>Discharge</w:t>
      </w:r>
      <w:r>
        <w:t xml:space="preserve">, </w:t>
      </w:r>
      <w:r w:rsidRPr="00185FC5">
        <w:t>Early Discharge</w:t>
      </w:r>
      <w:r>
        <w:t xml:space="preserve">, </w:t>
      </w:r>
      <w:r w:rsidRPr="00185FC5">
        <w:t>England</w:t>
      </w:r>
      <w:r>
        <w:t xml:space="preserve">, </w:t>
      </w:r>
      <w:r w:rsidRPr="00185FC5">
        <w:t>Evidence</w:t>
      </w:r>
      <w:r>
        <w:t xml:space="preserve">, </w:t>
      </w:r>
      <w:r w:rsidRPr="00185FC5">
        <w:t>Good Practice</w:t>
      </w:r>
      <w:r>
        <w:t xml:space="preserve">, </w:t>
      </w:r>
      <w:r w:rsidRPr="00185FC5">
        <w:t>Guidelines</w:t>
      </w:r>
      <w:r>
        <w:t xml:space="preserve">, </w:t>
      </w:r>
      <w:r w:rsidRPr="00185FC5">
        <w:t>Health</w:t>
      </w:r>
      <w:r>
        <w:t xml:space="preserve">, </w:t>
      </w:r>
      <w:r w:rsidRPr="00185FC5">
        <w:t>Health Services</w:t>
      </w:r>
      <w:r>
        <w:t xml:space="preserve">, </w:t>
      </w:r>
      <w:r w:rsidRPr="00185FC5">
        <w:t>Home Treatment</w:t>
      </w:r>
      <w:r>
        <w:t xml:space="preserve">, </w:t>
      </w:r>
      <w:r w:rsidRPr="00185FC5">
        <w:t>Home Treatment Team</w:t>
      </w:r>
      <w:r>
        <w:t xml:space="preserve">, </w:t>
      </w:r>
      <w:r w:rsidRPr="00185FC5">
        <w:t>Hospital</w:t>
      </w:r>
      <w:r>
        <w:t xml:space="preserve">, </w:t>
      </w:r>
      <w:r w:rsidRPr="00185FC5">
        <w:t>Hospitalization</w:t>
      </w:r>
      <w:r>
        <w:t xml:space="preserve">, </w:t>
      </w:r>
      <w:r w:rsidRPr="00185FC5">
        <w:t>Impact</w:t>
      </w:r>
      <w:r>
        <w:t xml:space="preserve">, </w:t>
      </w:r>
      <w:r w:rsidRPr="00185FC5">
        <w:t>Implementation</w:t>
      </w:r>
      <w:r>
        <w:t xml:space="preserve">, </w:t>
      </w:r>
      <w:r w:rsidRPr="00185FC5">
        <w:t>Integration</w:t>
      </w:r>
      <w:r>
        <w:t xml:space="preserve">, </w:t>
      </w:r>
      <w:r w:rsidRPr="00185FC5">
        <w:t>Intervention</w:t>
      </w:r>
      <w:r>
        <w:t xml:space="preserve">, </w:t>
      </w:r>
      <w:r w:rsidRPr="00185FC5">
        <w:t>Local</w:t>
      </w:r>
      <w:r>
        <w:t xml:space="preserve">, </w:t>
      </w:r>
      <w:r w:rsidRPr="00185FC5">
        <w:t>Medical</w:t>
      </w:r>
      <w:r>
        <w:t xml:space="preserve">, </w:t>
      </w:r>
      <w:r w:rsidRPr="00185FC5">
        <w:t>Medline</w:t>
      </w:r>
      <w:r>
        <w:t xml:space="preserve">, </w:t>
      </w:r>
      <w:r w:rsidRPr="00185FC5">
        <w:t>Mental Health</w:t>
      </w:r>
      <w:r>
        <w:t xml:space="preserve">, </w:t>
      </w:r>
      <w:r w:rsidRPr="00185FC5">
        <w:t>Meta-Analysis</w:t>
      </w:r>
      <w:r>
        <w:t xml:space="preserve">, </w:t>
      </w:r>
      <w:r w:rsidRPr="00185FC5">
        <w:t>Metaanalysis</w:t>
      </w:r>
      <w:r>
        <w:t xml:space="preserve">, </w:t>
      </w:r>
      <w:r w:rsidRPr="00185FC5">
        <w:t>Model</w:t>
      </w:r>
      <w:r>
        <w:t xml:space="preserve">, </w:t>
      </w:r>
      <w:r w:rsidRPr="00185FC5">
        <w:t>Models</w:t>
      </w:r>
      <w:r>
        <w:t xml:space="preserve">, </w:t>
      </w:r>
      <w:r w:rsidRPr="00185FC5">
        <w:t>Outcomes</w:t>
      </w:r>
      <w:r>
        <w:t xml:space="preserve">, </w:t>
      </w:r>
      <w:r w:rsidRPr="00185FC5">
        <w:t>People</w:t>
      </w:r>
      <w:r>
        <w:t xml:space="preserve">, </w:t>
      </w:r>
      <w:r w:rsidRPr="00185FC5">
        <w:t>Practice</w:t>
      </w:r>
      <w:r>
        <w:t xml:space="preserve">, </w:t>
      </w:r>
      <w:r w:rsidRPr="00185FC5">
        <w:t>Psycinfo</w:t>
      </w:r>
      <w:r>
        <w:t xml:space="preserve">, </w:t>
      </w:r>
      <w:r w:rsidRPr="00185FC5">
        <w:t>Qualitative</w:t>
      </w:r>
      <w:r>
        <w:t xml:space="preserve">, </w:t>
      </w:r>
      <w:r w:rsidRPr="00185FC5">
        <w:t>Quality</w:t>
      </w:r>
      <w:r>
        <w:t xml:space="preserve">, </w:t>
      </w:r>
      <w:r w:rsidRPr="00185FC5">
        <w:t>Quality Of</w:t>
      </w:r>
      <w:r>
        <w:t xml:space="preserve">, </w:t>
      </w:r>
      <w:r w:rsidRPr="00185FC5">
        <w:t>Regional</w:t>
      </w:r>
      <w:r>
        <w:t xml:space="preserve">, </w:t>
      </w:r>
      <w:r w:rsidRPr="00185FC5">
        <w:t>Review</w:t>
      </w:r>
      <w:r>
        <w:t xml:space="preserve">, </w:t>
      </w:r>
      <w:r w:rsidRPr="00185FC5">
        <w:t>Satisfaction</w:t>
      </w:r>
      <w:r>
        <w:t xml:space="preserve">, </w:t>
      </w:r>
      <w:r w:rsidRPr="00185FC5">
        <w:t>Science</w:t>
      </w:r>
      <w:r>
        <w:t xml:space="preserve">, </w:t>
      </w:r>
      <w:r w:rsidRPr="00185FC5">
        <w:t>Service</w:t>
      </w:r>
      <w:r>
        <w:t xml:space="preserve">, </w:t>
      </w:r>
      <w:r w:rsidRPr="00185FC5">
        <w:t>Service Implementation</w:t>
      </w:r>
      <w:r>
        <w:t xml:space="preserve">, </w:t>
      </w:r>
      <w:r w:rsidRPr="00185FC5">
        <w:t>Service User</w:t>
      </w:r>
      <w:r>
        <w:t xml:space="preserve">, </w:t>
      </w:r>
      <w:r w:rsidRPr="00185FC5">
        <w:t>Services</w:t>
      </w:r>
      <w:r>
        <w:t xml:space="preserve">, </w:t>
      </w:r>
      <w:r w:rsidRPr="00185FC5">
        <w:t>Stakeholders</w:t>
      </w:r>
      <w:r>
        <w:t xml:space="preserve">, </w:t>
      </w:r>
      <w:r w:rsidRPr="00185FC5">
        <w:t>Support</w:t>
      </w:r>
      <w:r>
        <w:t xml:space="preserve">, </w:t>
      </w:r>
      <w:r w:rsidRPr="00185FC5">
        <w:t>Surveys</w:t>
      </w:r>
      <w:r>
        <w:t xml:space="preserve">, </w:t>
      </w:r>
      <w:r w:rsidRPr="00185FC5">
        <w:t>Synthesis</w:t>
      </w:r>
      <w:r>
        <w:t xml:space="preserve">, </w:t>
      </w:r>
      <w:r w:rsidRPr="00185FC5">
        <w:t>Systematic Review</w:t>
      </w:r>
      <w:r>
        <w:t xml:space="preserve">, </w:t>
      </w:r>
      <w:r w:rsidRPr="00185FC5">
        <w:t>Training</w:t>
      </w:r>
      <w:r>
        <w:t xml:space="preserve">, </w:t>
      </w:r>
      <w:r w:rsidRPr="00185FC5">
        <w:t>Treatment</w:t>
      </w:r>
      <w:r>
        <w:t xml:space="preserve">, </w:t>
      </w:r>
      <w:r w:rsidRPr="00185FC5">
        <w:t>Web Of Science</w:t>
      </w:r>
    </w:p>
    <w:p w:rsidR="003474F2" w:rsidRPr="001A3D2B" w:rsidRDefault="003474F2" w:rsidP="003474F2">
      <w:pPr>
        <w:pStyle w:val="1"/>
      </w:pPr>
      <w:r w:rsidRPr="001A3D2B">
        <w:br w:type="page"/>
      </w:r>
      <w:bookmarkStart w:id="841" w:name="_Toc420814758"/>
      <w:r w:rsidRPr="001A3D2B">
        <w:lastRenderedPageBreak/>
        <w:t>Title: BMC Health Services Research</w:t>
      </w:r>
      <w:bookmarkEnd w:id="841"/>
    </w:p>
    <w:p w:rsidR="003474F2" w:rsidRPr="001A3D2B" w:rsidRDefault="003474F2" w:rsidP="003474F2">
      <w:pPr>
        <w:pStyle w:val="12"/>
      </w:pPr>
      <w:r w:rsidRPr="001A3D2B">
        <w:t xml:space="preserve">Full Journal Title: </w:t>
      </w:r>
      <w:hyperlink r:id="rId1579" w:history="1">
        <w:r w:rsidRPr="001A3D2B">
          <w:rPr>
            <w:rStyle w:val="a5"/>
            <w:iCs/>
          </w:rPr>
          <w:t>BMC Health Services Research</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F72919" w:rsidRDefault="00F72919" w:rsidP="00F72919">
      <w:pPr>
        <w:pStyle w:val="a3"/>
        <w:rPr>
          <w:kern w:val="0"/>
        </w:rPr>
      </w:pPr>
      <w:r>
        <w:rPr>
          <w:rFonts w:hint="eastAsia"/>
          <w:kern w:val="0"/>
        </w:rPr>
        <w:t xml:space="preserve">? </w:t>
      </w:r>
      <w:r>
        <w:rPr>
          <w:kern w:val="0"/>
        </w:rPr>
        <w:t>Sterud, T., Ekeberg, O.</w:t>
      </w:r>
      <w:r w:rsidR="005853A9">
        <w:rPr>
          <w:kern w:val="0"/>
        </w:rPr>
        <w:t xml:space="preserve"> and </w:t>
      </w:r>
      <w:r>
        <w:rPr>
          <w:kern w:val="0"/>
        </w:rPr>
        <w:t>Hem, E. (2006), Health status in</w:t>
      </w:r>
      <w:r w:rsidR="003A1917">
        <w:rPr>
          <w:kern w:val="0"/>
        </w:rPr>
        <w:t xml:space="preserve"> the </w:t>
      </w:r>
      <w:r>
        <w:rPr>
          <w:kern w:val="0"/>
        </w:rPr>
        <w:t xml:space="preserve">ambulance services: A systematic review. </w:t>
      </w:r>
      <w:r>
        <w:rPr>
          <w:i/>
          <w:iCs/>
          <w:kern w:val="0"/>
        </w:rPr>
        <w:t>BMC Health Services Research</w:t>
      </w:r>
      <w:r>
        <w:rPr>
          <w:kern w:val="0"/>
        </w:rPr>
        <w:t xml:space="preserve">, </w:t>
      </w:r>
      <w:r>
        <w:rPr>
          <w:b/>
          <w:bCs/>
          <w:kern w:val="0"/>
        </w:rPr>
        <w:t>6</w:t>
      </w:r>
      <w:r>
        <w:rPr>
          <w:rFonts w:hint="eastAsia"/>
          <w:kern w:val="0"/>
        </w:rPr>
        <w:t xml:space="preserve">, </w:t>
      </w:r>
      <w:r w:rsidRPr="002E65A4">
        <w:rPr>
          <w:kern w:val="0"/>
        </w:rPr>
        <w:t>Article Number: 82</w:t>
      </w:r>
      <w:r>
        <w:rPr>
          <w:rFonts w:hint="eastAsia"/>
          <w:kern w:val="0"/>
        </w:rPr>
        <w:t>.</w:t>
      </w:r>
    </w:p>
    <w:p w:rsidR="00F72919" w:rsidRPr="003862C4" w:rsidRDefault="00F72919" w:rsidP="00F72919">
      <w:pPr>
        <w:pStyle w:val="a3"/>
      </w:pPr>
      <w:r>
        <w:rPr>
          <w:rFonts w:hint="eastAsia"/>
        </w:rPr>
        <w:t xml:space="preserve">Full Text: </w:t>
      </w:r>
      <w:hyperlink r:id="rId1580" w:history="1">
        <w:r w:rsidRPr="00172B6E">
          <w:rPr>
            <w:rStyle w:val="a5"/>
          </w:rPr>
          <w:t>2006\BMC Hea Ser Res6, 82.pdf</w:t>
        </w:r>
      </w:hyperlink>
    </w:p>
    <w:p w:rsidR="00F72919" w:rsidRDefault="00F72919" w:rsidP="00F72919">
      <w:pPr>
        <w:pStyle w:val="a3"/>
        <w:rPr>
          <w:kern w:val="0"/>
        </w:rPr>
      </w:pPr>
      <w:r>
        <w:rPr>
          <w:kern w:val="0"/>
        </w:rPr>
        <w:t>Abstract: Background: Researchers have become increasingly aware that ambulance personnel may be at risk</w:t>
      </w:r>
      <w:r w:rsidR="00427468">
        <w:rPr>
          <w:kern w:val="0"/>
        </w:rPr>
        <w:t xml:space="preserve"> of </w:t>
      </w:r>
      <w:r>
        <w:rPr>
          <w:kern w:val="0"/>
        </w:rPr>
        <w:t>developing work-related health problems. This article systematically explores</w:t>
      </w:r>
      <w:r w:rsidR="003A1917">
        <w:rPr>
          <w:kern w:val="0"/>
        </w:rPr>
        <w:t xml:space="preserve"> the </w:t>
      </w:r>
      <w:r>
        <w:rPr>
          <w:kern w:val="0"/>
        </w:rPr>
        <w:t>literature on health problems</w:t>
      </w:r>
      <w:r w:rsidR="005853A9">
        <w:rPr>
          <w:kern w:val="0"/>
        </w:rPr>
        <w:t xml:space="preserve"> and </w:t>
      </w:r>
      <w:r>
        <w:rPr>
          <w:kern w:val="0"/>
        </w:rPr>
        <w:t>work-related</w:t>
      </w:r>
      <w:r w:rsidR="005853A9">
        <w:rPr>
          <w:kern w:val="0"/>
        </w:rPr>
        <w:t xml:space="preserve"> and </w:t>
      </w:r>
      <w:r>
        <w:rPr>
          <w:kern w:val="0"/>
        </w:rPr>
        <w:t>individual health predictors in</w:t>
      </w:r>
      <w:r w:rsidR="003A1917">
        <w:rPr>
          <w:kern w:val="0"/>
        </w:rPr>
        <w:t xml:space="preserve"> the </w:t>
      </w:r>
      <w:r>
        <w:rPr>
          <w:kern w:val="0"/>
        </w:rPr>
        <w:t>ambulance services. Methods: We identified</w:t>
      </w:r>
      <w:r w:rsidR="003A1917">
        <w:rPr>
          <w:kern w:val="0"/>
        </w:rPr>
        <w:t xml:space="preserve"> the </w:t>
      </w:r>
      <w:r>
        <w:rPr>
          <w:kern w:val="0"/>
        </w:rPr>
        <w:t xml:space="preserve">relevant empirical literature by searching several electronic databases including </w:t>
      </w:r>
      <w:r w:rsidR="00D5664A">
        <w:rPr>
          <w:kern w:val="0"/>
        </w:rPr>
        <w:t>MEDLINE</w:t>
      </w:r>
      <w:r>
        <w:rPr>
          <w:kern w:val="0"/>
        </w:rPr>
        <w:t>, EMBASE, PsychINFO, CINAHL,</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Other relevant sources were identified through reference lists</w:t>
      </w:r>
      <w:r w:rsidR="005853A9">
        <w:rPr>
          <w:kern w:val="0"/>
        </w:rPr>
        <w:t xml:space="preserve"> and </w:t>
      </w:r>
      <w:r>
        <w:rPr>
          <w:kern w:val="0"/>
        </w:rPr>
        <w:t>other relevant studies known by</w:t>
      </w:r>
      <w:r w:rsidR="003A1917">
        <w:rPr>
          <w:kern w:val="0"/>
        </w:rPr>
        <w:t xml:space="preserve"> the </w:t>
      </w:r>
      <w:r>
        <w:rPr>
          <w:kern w:val="0"/>
        </w:rPr>
        <w:t>research group. Results: Forty-nine studies are included in this review. Our analysis shows that ambulance workers have a higher standardized mortality rate, higher level</w:t>
      </w:r>
      <w:r w:rsidR="00427468">
        <w:rPr>
          <w:kern w:val="0"/>
        </w:rPr>
        <w:t xml:space="preserve"> of </w:t>
      </w:r>
      <w:r>
        <w:rPr>
          <w:kern w:val="0"/>
        </w:rPr>
        <w:t>fatal accidents, higher level</w:t>
      </w:r>
      <w:r w:rsidR="00427468">
        <w:rPr>
          <w:kern w:val="0"/>
        </w:rPr>
        <w:t xml:space="preserve"> of </w:t>
      </w:r>
      <w:r>
        <w:rPr>
          <w:kern w:val="0"/>
        </w:rPr>
        <w:t>accident injuries</w:t>
      </w:r>
      <w:r w:rsidR="005853A9">
        <w:rPr>
          <w:kern w:val="0"/>
        </w:rPr>
        <w:t xml:space="preserve"> and </w:t>
      </w:r>
      <w:r>
        <w:rPr>
          <w:kern w:val="0"/>
        </w:rPr>
        <w:t>a higher standardized early retirement on medical grounds than</w:t>
      </w:r>
      <w:r w:rsidR="003A1917">
        <w:rPr>
          <w:kern w:val="0"/>
        </w:rPr>
        <w:t xml:space="preserve"> the </w:t>
      </w:r>
      <w:r>
        <w:rPr>
          <w:kern w:val="0"/>
        </w:rPr>
        <w:t>general working population</w:t>
      </w:r>
      <w:r w:rsidR="005853A9">
        <w:rPr>
          <w:kern w:val="0"/>
        </w:rPr>
        <w:t xml:space="preserve"> and </w:t>
      </w:r>
      <w:r>
        <w:rPr>
          <w:kern w:val="0"/>
        </w:rPr>
        <w:t>workers in other health occupations. Ambulance workers also seem to have more musculoskeletal problems than</w:t>
      </w:r>
      <w:r w:rsidR="003A1917">
        <w:rPr>
          <w:kern w:val="0"/>
        </w:rPr>
        <w:t xml:space="preserve"> the </w:t>
      </w:r>
      <w:r>
        <w:rPr>
          <w:kern w:val="0"/>
        </w:rPr>
        <w:t>general population</w:t>
      </w:r>
      <w:r w:rsidR="00A37C1D">
        <w:rPr>
          <w:kern w:val="0"/>
        </w:rPr>
        <w:t>. The</w:t>
      </w:r>
      <w:r>
        <w:rPr>
          <w:kern w:val="0"/>
        </w:rPr>
        <w:t>se conclusions are preliminary at present because each is based on a single study. More studies have addressed mental health problems</w:t>
      </w:r>
      <w:r w:rsidR="00A37C1D">
        <w:rPr>
          <w:kern w:val="0"/>
        </w:rPr>
        <w:t>. The</w:t>
      </w:r>
      <w:r w:rsidR="003A1917">
        <w:rPr>
          <w:kern w:val="0"/>
        </w:rPr>
        <w:t xml:space="preserve"> </w:t>
      </w:r>
      <w:r>
        <w:rPr>
          <w:kern w:val="0"/>
        </w:rPr>
        <w:t>prevalence</w:t>
      </w:r>
      <w:r w:rsidR="00427468">
        <w:rPr>
          <w:kern w:val="0"/>
        </w:rPr>
        <w:t xml:space="preserve"> of </w:t>
      </w:r>
      <w:r>
        <w:rPr>
          <w:kern w:val="0"/>
        </w:rPr>
        <w:t>post-traumatic stress symptom caseness was &gt;20% in five</w:t>
      </w:r>
      <w:r w:rsidR="00427468">
        <w:rPr>
          <w:kern w:val="0"/>
        </w:rPr>
        <w:t xml:space="preserve"> of </w:t>
      </w:r>
      <w:r>
        <w:rPr>
          <w:kern w:val="0"/>
        </w:rPr>
        <w:t>seven studies,</w:t>
      </w:r>
      <w:r w:rsidR="005853A9">
        <w:rPr>
          <w:kern w:val="0"/>
        </w:rPr>
        <w:t xml:space="preserve"> and </w:t>
      </w:r>
      <w:r>
        <w:rPr>
          <w:kern w:val="0"/>
        </w:rPr>
        <w:t>similarly high prevalence rates were reported for anxiety</w:t>
      </w:r>
      <w:r w:rsidR="005853A9">
        <w:rPr>
          <w:kern w:val="0"/>
        </w:rPr>
        <w:t xml:space="preserve"> and </w:t>
      </w:r>
      <w:r>
        <w:rPr>
          <w:kern w:val="0"/>
        </w:rPr>
        <w:t>general psychopathology in four</w:t>
      </w:r>
      <w:r w:rsidR="00427468">
        <w:rPr>
          <w:kern w:val="0"/>
        </w:rPr>
        <w:t xml:space="preserve"> of </w:t>
      </w:r>
      <w:r>
        <w:rPr>
          <w:kern w:val="0"/>
        </w:rPr>
        <w:t>five studies. However, it is unclear whether ambulance personnel suffer from more mental health problems than</w:t>
      </w:r>
      <w:r w:rsidR="003A1917">
        <w:rPr>
          <w:kern w:val="0"/>
        </w:rPr>
        <w:t xml:space="preserve"> the </w:t>
      </w:r>
      <w:r>
        <w:rPr>
          <w:kern w:val="0"/>
        </w:rPr>
        <w:t>general working population. Conclusion: Several indicators suggest that workers in</w:t>
      </w:r>
      <w:r w:rsidR="003A1917">
        <w:rPr>
          <w:kern w:val="0"/>
        </w:rPr>
        <w:t xml:space="preserve"> the </w:t>
      </w:r>
      <w:r>
        <w:rPr>
          <w:kern w:val="0"/>
        </w:rPr>
        <w:t>ambulance services experience more health problems than</w:t>
      </w:r>
      <w:r w:rsidR="003A1917">
        <w:rPr>
          <w:kern w:val="0"/>
        </w:rPr>
        <w:t xml:space="preserve"> the </w:t>
      </w:r>
      <w:r>
        <w:rPr>
          <w:kern w:val="0"/>
        </w:rPr>
        <w:t>general working population</w:t>
      </w:r>
      <w:r w:rsidR="005853A9">
        <w:rPr>
          <w:kern w:val="0"/>
        </w:rPr>
        <w:t xml:space="preserve"> and </w:t>
      </w:r>
      <w:r>
        <w:rPr>
          <w:kern w:val="0"/>
        </w:rPr>
        <w:t xml:space="preserve">workers in other health occupations. Several methodological challenges, such as small sample sizes, </w:t>
      </w:r>
      <w:r>
        <w:rPr>
          <w:kern w:val="0"/>
        </w:rPr>
        <w:lastRenderedPageBreak/>
        <w:t>non-representative samples,</w:t>
      </w:r>
      <w:r w:rsidR="005853A9">
        <w:rPr>
          <w:kern w:val="0"/>
        </w:rPr>
        <w:t xml:space="preserve"> and </w:t>
      </w:r>
      <w:r>
        <w:rPr>
          <w:kern w:val="0"/>
        </w:rPr>
        <w:t>lack</w:t>
      </w:r>
      <w:r w:rsidR="00427468">
        <w:rPr>
          <w:kern w:val="0"/>
        </w:rPr>
        <w:t xml:space="preserve"> of </w:t>
      </w:r>
      <w:r>
        <w:rPr>
          <w:kern w:val="0"/>
        </w:rPr>
        <w:t>comparisons with normative data limit</w:t>
      </w:r>
      <w:r w:rsidR="003A1917">
        <w:rPr>
          <w:kern w:val="0"/>
        </w:rPr>
        <w:t xml:space="preserve"> the </w:t>
      </w:r>
      <w:r>
        <w:rPr>
          <w:kern w:val="0"/>
        </w:rPr>
        <w:t>interpretation</w:t>
      </w:r>
      <w:r w:rsidR="00427468">
        <w:rPr>
          <w:kern w:val="0"/>
        </w:rPr>
        <w:t xml:space="preserve"> of </w:t>
      </w:r>
      <w:r>
        <w:rPr>
          <w:kern w:val="0"/>
        </w:rPr>
        <w:t>many studies. More coordinated research</w:t>
      </w:r>
      <w:r w:rsidR="005853A9">
        <w:rPr>
          <w:kern w:val="0"/>
        </w:rPr>
        <w:t xml:space="preserve"> and </w:t>
      </w:r>
      <w:r>
        <w:rPr>
          <w:kern w:val="0"/>
        </w:rPr>
        <w:t>replication are needed to compare data across studies. We discuss some strategies for future research.</w:t>
      </w:r>
    </w:p>
    <w:p w:rsidR="00F72919" w:rsidRDefault="00F72919" w:rsidP="00F72919">
      <w:pPr>
        <w:pStyle w:val="a3"/>
        <w:rPr>
          <w:kern w:val="0"/>
        </w:rPr>
      </w:pPr>
      <w:r>
        <w:rPr>
          <w:kern w:val="0"/>
        </w:rPr>
        <w:t>Keywords: Analysis, Anxiety, Comparing Early Retirements, Critical Incident Exposure, Databases, EMBASE, Ems Providers, Follow-up, Health, Interpretation</w:t>
      </w:r>
      <w:r w:rsidR="00D5664A">
        <w:rPr>
          <w:kern w:val="0"/>
        </w:rPr>
        <w:t>, ISI,</w:t>
      </w:r>
      <w:r>
        <w:rPr>
          <w:kern w:val="0"/>
        </w:rPr>
        <w:t xml:space="preserve"> Literature, Longitudinal Course, Medical, Medical Grounds, Mental Health, Mental-Health, Methods, Mortality, Personnel, Posttraumatic Stress, Posttraumatic-Stress, Prevalence, Rescue Workers, Research, Researchers, Review, Risk, Science, Stress, Systematic, Systematic Review, </w:t>
      </w:r>
      <w:r w:rsidR="00D5664A">
        <w:rPr>
          <w:kern w:val="0"/>
        </w:rPr>
        <w:t>Web</w:t>
      </w:r>
      <w:r w:rsidR="00427468">
        <w:rPr>
          <w:kern w:val="0"/>
        </w:rPr>
        <w:t xml:space="preserve"> of </w:t>
      </w:r>
      <w:r w:rsidR="00D5664A">
        <w:rPr>
          <w:kern w:val="0"/>
        </w:rPr>
        <w:t>Science</w:t>
      </w:r>
    </w:p>
    <w:p w:rsidR="00F72919" w:rsidRDefault="00F72919" w:rsidP="00F72919">
      <w:pPr>
        <w:pStyle w:val="a3"/>
        <w:rPr>
          <w:kern w:val="0"/>
        </w:rPr>
      </w:pPr>
      <w:r>
        <w:rPr>
          <w:rFonts w:hint="eastAsia"/>
          <w:kern w:val="0"/>
        </w:rPr>
        <w:t xml:space="preserve">? </w:t>
      </w:r>
      <w:r>
        <w:rPr>
          <w:kern w:val="0"/>
        </w:rPr>
        <w:t>Hutton, C.</w:t>
      </w:r>
      <w:r w:rsidR="005853A9">
        <w:rPr>
          <w:kern w:val="0"/>
        </w:rPr>
        <w:t xml:space="preserve"> and </w:t>
      </w:r>
      <w:r>
        <w:rPr>
          <w:kern w:val="0"/>
        </w:rPr>
        <w:t>Gunn, J. (2007), Do longer consultations improve</w:t>
      </w:r>
      <w:r w:rsidR="003A1917">
        <w:rPr>
          <w:kern w:val="0"/>
        </w:rPr>
        <w:t xml:space="preserve"> the </w:t>
      </w:r>
      <w:r>
        <w:rPr>
          <w:kern w:val="0"/>
        </w:rPr>
        <w:t>management</w:t>
      </w:r>
      <w:r w:rsidR="00427468">
        <w:rPr>
          <w:kern w:val="0"/>
        </w:rPr>
        <w:t xml:space="preserve"> of </w:t>
      </w:r>
      <w:r>
        <w:rPr>
          <w:kern w:val="0"/>
        </w:rPr>
        <w:t xml:space="preserve">psychological problems in general practice? A systematic literature review. </w:t>
      </w:r>
      <w:r>
        <w:rPr>
          <w:i/>
          <w:iCs/>
          <w:kern w:val="0"/>
        </w:rPr>
        <w:t>BMC Health Services Research</w:t>
      </w:r>
      <w:r>
        <w:rPr>
          <w:kern w:val="0"/>
        </w:rPr>
        <w:t xml:space="preserve">, </w:t>
      </w:r>
      <w:r>
        <w:rPr>
          <w:b/>
          <w:bCs/>
          <w:kern w:val="0"/>
        </w:rPr>
        <w:t>7</w:t>
      </w:r>
      <w:r>
        <w:rPr>
          <w:rFonts w:hint="eastAsia"/>
          <w:kern w:val="0"/>
        </w:rPr>
        <w:t xml:space="preserve">, </w:t>
      </w:r>
      <w:r>
        <w:rPr>
          <w:kern w:val="0"/>
        </w:rPr>
        <w:t>Article Number: 71</w:t>
      </w:r>
      <w:r>
        <w:rPr>
          <w:rFonts w:hint="eastAsia"/>
          <w:kern w:val="0"/>
        </w:rPr>
        <w:t>.</w:t>
      </w:r>
    </w:p>
    <w:p w:rsidR="00F72919" w:rsidRPr="003862C4" w:rsidRDefault="00F72919" w:rsidP="00F72919">
      <w:pPr>
        <w:pStyle w:val="a3"/>
      </w:pPr>
      <w:r>
        <w:rPr>
          <w:rFonts w:hint="eastAsia"/>
        </w:rPr>
        <w:t xml:space="preserve">Full Text: </w:t>
      </w:r>
      <w:hyperlink r:id="rId1581" w:history="1">
        <w:r w:rsidRPr="00172B6E">
          <w:rPr>
            <w:rStyle w:val="a5"/>
          </w:rPr>
          <w:t>2007\BMC Hea Ser Res7, 71.pdf</w:t>
        </w:r>
      </w:hyperlink>
    </w:p>
    <w:p w:rsidR="00F72919" w:rsidRDefault="00F72919" w:rsidP="00F72919">
      <w:pPr>
        <w:pStyle w:val="a3"/>
        <w:rPr>
          <w:kern w:val="0"/>
        </w:rPr>
      </w:pPr>
      <w:r>
        <w:rPr>
          <w:kern w:val="0"/>
        </w:rPr>
        <w:t>Abstract: Background: Psychological problems present a huge burden</w:t>
      </w:r>
      <w:r w:rsidR="00427468">
        <w:rPr>
          <w:kern w:val="0"/>
        </w:rPr>
        <w:t xml:space="preserve"> of </w:t>
      </w:r>
      <w:r>
        <w:rPr>
          <w:kern w:val="0"/>
        </w:rPr>
        <w:t>illness in our community</w:t>
      </w:r>
      <w:r w:rsidR="005853A9">
        <w:rPr>
          <w:kern w:val="0"/>
        </w:rPr>
        <w:t xml:space="preserve"> and </w:t>
      </w:r>
      <w:r>
        <w:rPr>
          <w:kern w:val="0"/>
        </w:rPr>
        <w:t>GPs are</w:t>
      </w:r>
      <w:r w:rsidR="003A1917">
        <w:rPr>
          <w:kern w:val="0"/>
        </w:rPr>
        <w:t xml:space="preserve"> the </w:t>
      </w:r>
      <w:r>
        <w:rPr>
          <w:kern w:val="0"/>
        </w:rPr>
        <w:t>main providers</w:t>
      </w:r>
      <w:r w:rsidR="00427468">
        <w:rPr>
          <w:kern w:val="0"/>
        </w:rPr>
        <w:t xml:space="preserve"> of </w:t>
      </w:r>
      <w:r>
        <w:rPr>
          <w:kern w:val="0"/>
        </w:rPr>
        <w:t>care</w:t>
      </w:r>
      <w:r w:rsidR="00A37C1D">
        <w:rPr>
          <w:kern w:val="0"/>
        </w:rPr>
        <w:t>. The</w:t>
      </w:r>
      <w:r>
        <w:rPr>
          <w:kern w:val="0"/>
        </w:rPr>
        <w:t>re is evidence that longer consultations in general practice are associated with improved quality</w:t>
      </w:r>
      <w:r w:rsidR="00427468">
        <w:rPr>
          <w:kern w:val="0"/>
        </w:rPr>
        <w:t xml:space="preserve"> of </w:t>
      </w:r>
      <w:r>
        <w:rPr>
          <w:kern w:val="0"/>
        </w:rPr>
        <w:t>care; but this needs to be balanced against</w:t>
      </w:r>
      <w:r w:rsidR="003A1917">
        <w:rPr>
          <w:kern w:val="0"/>
        </w:rPr>
        <w:t xml:space="preserve"> the </w:t>
      </w:r>
      <w:r>
        <w:rPr>
          <w:kern w:val="0"/>
        </w:rPr>
        <w:t>fact that doctor time is a limited resource</w:t>
      </w:r>
      <w:r w:rsidR="005853A9">
        <w:rPr>
          <w:kern w:val="0"/>
        </w:rPr>
        <w:t xml:space="preserve"> and </w:t>
      </w:r>
      <w:r>
        <w:rPr>
          <w:kern w:val="0"/>
        </w:rPr>
        <w:t>longer consultations may lead to reduced access to health care</w:t>
      </w:r>
      <w:r w:rsidR="00A37C1D">
        <w:rPr>
          <w:kern w:val="0"/>
        </w:rPr>
        <w:t>. The</w:t>
      </w:r>
      <w:r w:rsidR="003A1917">
        <w:rPr>
          <w:kern w:val="0"/>
        </w:rPr>
        <w:t xml:space="preserve"> </w:t>
      </w:r>
      <w:r>
        <w:rPr>
          <w:kern w:val="0"/>
        </w:rPr>
        <w:t>aim</w:t>
      </w:r>
      <w:r w:rsidR="00427468">
        <w:rPr>
          <w:kern w:val="0"/>
        </w:rPr>
        <w:t xml:space="preserve"> of </w:t>
      </w:r>
      <w:r>
        <w:rPr>
          <w:kern w:val="0"/>
        </w:rPr>
        <w:t>this research was to conduct a systematic literature review to determine whether management</w:t>
      </w:r>
      <w:r w:rsidR="00427468">
        <w:rPr>
          <w:kern w:val="0"/>
        </w:rPr>
        <w:t xml:space="preserve"> of </w:t>
      </w:r>
      <w:r>
        <w:rPr>
          <w:kern w:val="0"/>
        </w:rPr>
        <w:t>psychological problems in general practice is associated with an increased consultation length</w:t>
      </w:r>
      <w:r w:rsidR="005853A9">
        <w:rPr>
          <w:kern w:val="0"/>
        </w:rPr>
        <w:t xml:space="preserve"> and </w:t>
      </w:r>
      <w:r>
        <w:rPr>
          <w:kern w:val="0"/>
        </w:rPr>
        <w:t xml:space="preserve">to explore whether longer consultations are associated with better health outcomes for patients with psychological problems. Methods: A search was conducted on </w:t>
      </w:r>
      <w:r w:rsidR="00D5664A">
        <w:rPr>
          <w:kern w:val="0"/>
        </w:rPr>
        <w:t>MEDLINE</w:t>
      </w:r>
      <w:r>
        <w:rPr>
          <w:kern w:val="0"/>
        </w:rPr>
        <w:t xml:space="preserve"> (Ovid) databases up to7 June 2006</w:t>
      </w:r>
      <w:r w:rsidR="00A37C1D">
        <w:rPr>
          <w:kern w:val="0"/>
        </w:rPr>
        <w:t>. The</w:t>
      </w:r>
      <w:r w:rsidR="003A1917">
        <w:rPr>
          <w:kern w:val="0"/>
        </w:rPr>
        <w:t xml:space="preserve"> </w:t>
      </w:r>
      <w:r>
        <w:rPr>
          <w:kern w:val="0"/>
        </w:rPr>
        <w:t>following search terms, were used: general practice or primary health care (free text) or family practice (MeSH)</w:t>
      </w:r>
      <w:r w:rsidR="005853A9">
        <w:rPr>
          <w:kern w:val="0"/>
        </w:rPr>
        <w:t xml:space="preserve"> and </w:t>
      </w:r>
      <w:r>
        <w:rPr>
          <w:kern w:val="0"/>
        </w:rPr>
        <w:t>consultation length or duration (free text) or time factors (MeSH)</w:t>
      </w:r>
      <w:r w:rsidR="005853A9">
        <w:rPr>
          <w:kern w:val="0"/>
        </w:rPr>
        <w:t xml:space="preserve"> and </w:t>
      </w:r>
      <w:r>
        <w:rPr>
          <w:kern w:val="0"/>
        </w:rPr>
        <w:t xml:space="preserve">depression or psychological problems or depressed (free text). A similar search was done in </w:t>
      </w:r>
      <w:r w:rsidR="00D5664A">
        <w:rPr>
          <w:kern w:val="0"/>
        </w:rPr>
        <w:t>Web</w:t>
      </w:r>
      <w:r w:rsidR="00427468">
        <w:rPr>
          <w:kern w:val="0"/>
        </w:rPr>
        <w:t xml:space="preserve"> of </w:t>
      </w:r>
      <w:r w:rsidR="00D5664A">
        <w:rPr>
          <w:kern w:val="0"/>
        </w:rPr>
        <w:t>Science</w:t>
      </w:r>
      <w:r>
        <w:rPr>
          <w:kern w:val="0"/>
        </w:rPr>
        <w:t>, PUBMED, Google Scholar,</w:t>
      </w:r>
      <w:r w:rsidR="005853A9">
        <w:rPr>
          <w:kern w:val="0"/>
        </w:rPr>
        <w:t xml:space="preserve"> and </w:t>
      </w:r>
      <w:r>
        <w:rPr>
          <w:kern w:val="0"/>
        </w:rPr>
        <w:t>Cochrane Library</w:t>
      </w:r>
      <w:r w:rsidR="005853A9">
        <w:rPr>
          <w:kern w:val="0"/>
        </w:rPr>
        <w:t xml:space="preserve"> and </w:t>
      </w:r>
      <w:r>
        <w:rPr>
          <w:kern w:val="0"/>
        </w:rPr>
        <w:t>no other papers were found. Studies were included if they contained data comparing consultation length</w:t>
      </w:r>
      <w:r w:rsidR="005853A9">
        <w:rPr>
          <w:kern w:val="0"/>
        </w:rPr>
        <w:t xml:space="preserve"> and </w:t>
      </w:r>
      <w:r>
        <w:rPr>
          <w:kern w:val="0"/>
        </w:rPr>
        <w:t>management or detection</w:t>
      </w:r>
      <w:r w:rsidR="00427468">
        <w:rPr>
          <w:kern w:val="0"/>
        </w:rPr>
        <w:t xml:space="preserve"> of </w:t>
      </w:r>
      <w:r>
        <w:rPr>
          <w:kern w:val="0"/>
        </w:rPr>
        <w:t>psychological problems in a general practice or primary health care setting</w:t>
      </w:r>
      <w:r w:rsidR="00A37C1D">
        <w:rPr>
          <w:kern w:val="0"/>
        </w:rPr>
        <w:t>. The</w:t>
      </w:r>
      <w:r w:rsidR="003A1917">
        <w:rPr>
          <w:kern w:val="0"/>
        </w:rPr>
        <w:t xml:space="preserve"> </w:t>
      </w:r>
      <w:r>
        <w:rPr>
          <w:kern w:val="0"/>
        </w:rPr>
        <w:t>studies were read</w:t>
      </w:r>
      <w:r w:rsidR="005853A9">
        <w:rPr>
          <w:kern w:val="0"/>
        </w:rPr>
        <w:t xml:space="preserve"> and </w:t>
      </w:r>
      <w:r>
        <w:rPr>
          <w:kern w:val="0"/>
        </w:rPr>
        <w:t>categories developed to enable systematic data extraction</w:t>
      </w:r>
      <w:r w:rsidR="005853A9">
        <w:rPr>
          <w:kern w:val="0"/>
        </w:rPr>
        <w:t xml:space="preserve"> and </w:t>
      </w:r>
      <w:r>
        <w:rPr>
          <w:kern w:val="0"/>
        </w:rPr>
        <w:t>synthesis. Results: 29 papers met</w:t>
      </w:r>
      <w:r w:rsidR="003A1917">
        <w:rPr>
          <w:kern w:val="0"/>
        </w:rPr>
        <w:t xml:space="preserve"> the </w:t>
      </w:r>
      <w:r>
        <w:rPr>
          <w:kern w:val="0"/>
        </w:rPr>
        <w:t>inclusion criteria. Consultations with a recorded diagnosis</w:t>
      </w:r>
      <w:r w:rsidR="00427468">
        <w:rPr>
          <w:kern w:val="0"/>
        </w:rPr>
        <w:t xml:space="preserve"> of </w:t>
      </w:r>
      <w:r>
        <w:rPr>
          <w:kern w:val="0"/>
        </w:rPr>
        <w:t>a psychological problem were reported to be longer than those with no recorded psychological diagnosis. It is not clear if this is related to</w:t>
      </w:r>
      <w:r w:rsidR="003A1917">
        <w:rPr>
          <w:kern w:val="0"/>
        </w:rPr>
        <w:t xml:space="preserve"> the </w:t>
      </w:r>
      <w:r>
        <w:rPr>
          <w:kern w:val="0"/>
        </w:rPr>
        <w:t>extra time or</w:t>
      </w:r>
      <w:r w:rsidR="003A1917">
        <w:rPr>
          <w:kern w:val="0"/>
        </w:rPr>
        <w:t xml:space="preserve"> the </w:t>
      </w:r>
      <w:r>
        <w:rPr>
          <w:kern w:val="0"/>
        </w:rPr>
        <w:t>consultation style. GPs reported that time pressure is a major barrier to treating depression</w:t>
      </w:r>
      <w:r w:rsidR="00A37C1D">
        <w:rPr>
          <w:kern w:val="0"/>
        </w:rPr>
        <w:t>. The</w:t>
      </w:r>
      <w:r>
        <w:rPr>
          <w:kern w:val="0"/>
        </w:rPr>
        <w:t>re was some evidence that increased consultation length is associated with more accurate diagnosis</w:t>
      </w:r>
      <w:r w:rsidR="00427468">
        <w:rPr>
          <w:kern w:val="0"/>
        </w:rPr>
        <w:t xml:space="preserve"> of </w:t>
      </w:r>
      <w:r>
        <w:rPr>
          <w:kern w:val="0"/>
        </w:rPr>
        <w:t>psychological problems. Conclusion: Further research is needed to elucidate</w:t>
      </w:r>
      <w:r w:rsidR="003A1917">
        <w:rPr>
          <w:kern w:val="0"/>
        </w:rPr>
        <w:t xml:space="preserve"> the </w:t>
      </w:r>
      <w:r>
        <w:rPr>
          <w:kern w:val="0"/>
        </w:rPr>
        <w:t>factors in longer consultations that are associated with greater detection</w:t>
      </w:r>
      <w:r w:rsidR="00427468">
        <w:rPr>
          <w:kern w:val="0"/>
        </w:rPr>
        <w:t xml:space="preserve"> of </w:t>
      </w:r>
      <w:r>
        <w:rPr>
          <w:kern w:val="0"/>
        </w:rPr>
        <w:t>psychological problems,</w:t>
      </w:r>
      <w:r w:rsidR="005853A9">
        <w:rPr>
          <w:kern w:val="0"/>
        </w:rPr>
        <w:t xml:space="preserve"> and </w:t>
      </w:r>
      <w:r>
        <w:rPr>
          <w:kern w:val="0"/>
        </w:rPr>
        <w:t>to determine</w:t>
      </w:r>
      <w:r w:rsidR="003A1917">
        <w:rPr>
          <w:kern w:val="0"/>
        </w:rPr>
        <w:t xml:space="preserve"> the </w:t>
      </w:r>
      <w:r>
        <w:rPr>
          <w:kern w:val="0"/>
        </w:rPr>
        <w:t xml:space="preserve">association </w:t>
      </w:r>
      <w:r>
        <w:rPr>
          <w:kern w:val="0"/>
        </w:rPr>
        <w:lastRenderedPageBreak/>
        <w:t>between</w:t>
      </w:r>
      <w:r w:rsidR="003A1917">
        <w:rPr>
          <w:kern w:val="0"/>
        </w:rPr>
        <w:t xml:space="preserve"> the </w:t>
      </w:r>
      <w:r>
        <w:rPr>
          <w:kern w:val="0"/>
        </w:rPr>
        <w:t>detection</w:t>
      </w:r>
      <w:r w:rsidR="00427468">
        <w:rPr>
          <w:kern w:val="0"/>
        </w:rPr>
        <w:t xml:space="preserve"> of </w:t>
      </w:r>
      <w:r>
        <w:rPr>
          <w:kern w:val="0"/>
        </w:rPr>
        <w:t>psychological problems</w:t>
      </w:r>
      <w:r w:rsidR="005853A9">
        <w:rPr>
          <w:kern w:val="0"/>
        </w:rPr>
        <w:t xml:space="preserve"> and </w:t>
      </w:r>
      <w:r w:rsidR="003A1917">
        <w:rPr>
          <w:kern w:val="0"/>
        </w:rPr>
        <w:t xml:space="preserve">the </w:t>
      </w:r>
      <w:r>
        <w:rPr>
          <w:kern w:val="0"/>
        </w:rPr>
        <w:t>attitude, gender, age or training</w:t>
      </w:r>
      <w:r w:rsidR="00427468">
        <w:rPr>
          <w:kern w:val="0"/>
        </w:rPr>
        <w:t xml:space="preserve"> of </w:t>
      </w:r>
      <w:r w:rsidR="003A1917">
        <w:rPr>
          <w:kern w:val="0"/>
        </w:rPr>
        <w:t xml:space="preserve">the </w:t>
      </w:r>
      <w:r>
        <w:rPr>
          <w:kern w:val="0"/>
        </w:rPr>
        <w:t>GP</w:t>
      </w:r>
      <w:r w:rsidR="005853A9">
        <w:rPr>
          <w:kern w:val="0"/>
        </w:rPr>
        <w:t xml:space="preserve"> and </w:t>
      </w:r>
      <w:r w:rsidR="003A1917">
        <w:rPr>
          <w:kern w:val="0"/>
        </w:rPr>
        <w:t xml:space="preserve">the </w:t>
      </w:r>
      <w:r>
        <w:rPr>
          <w:kern w:val="0"/>
        </w:rPr>
        <w:t>age, gender</w:t>
      </w:r>
      <w:r w:rsidR="005853A9">
        <w:rPr>
          <w:kern w:val="0"/>
        </w:rPr>
        <w:t xml:space="preserve"> and </w:t>
      </w:r>
      <w:r>
        <w:rPr>
          <w:kern w:val="0"/>
        </w:rPr>
        <w:t>socioeconomic status</w:t>
      </w:r>
      <w:r w:rsidR="00427468">
        <w:rPr>
          <w:kern w:val="0"/>
        </w:rPr>
        <w:t xml:space="preserve"> of </w:t>
      </w:r>
      <w:r w:rsidR="003A1917">
        <w:rPr>
          <w:kern w:val="0"/>
        </w:rPr>
        <w:t xml:space="preserve">the </w:t>
      </w:r>
      <w:r>
        <w:rPr>
          <w:kern w:val="0"/>
        </w:rPr>
        <w:t>patient</w:t>
      </w:r>
      <w:r w:rsidR="00A37C1D">
        <w:rPr>
          <w:kern w:val="0"/>
        </w:rPr>
        <w:t>. The</w:t>
      </w:r>
      <w:r>
        <w:rPr>
          <w:kern w:val="0"/>
        </w:rPr>
        <w:t>se are important considerations if general practice is to deal more effectively with people with psychological problems.</w:t>
      </w:r>
    </w:p>
    <w:p w:rsidR="00F72919" w:rsidRDefault="00F72919" w:rsidP="00F72919">
      <w:pPr>
        <w:pStyle w:val="a3"/>
        <w:rPr>
          <w:kern w:val="0"/>
        </w:rPr>
      </w:pPr>
      <w:r>
        <w:rPr>
          <w:kern w:val="0"/>
        </w:rPr>
        <w:t>Keywords: 5 Minute Consultation, Attitude, Burden, Care, Cochrane, Consultation, Databases, Depression, Determinants, Diagnosis, Family Practice, Gender, General Practice, Google Scholar, GP</w:t>
      </w:r>
      <w:r>
        <w:rPr>
          <w:rFonts w:hint="eastAsia"/>
          <w:kern w:val="0"/>
        </w:rPr>
        <w:t>s</w:t>
      </w:r>
      <w:r>
        <w:rPr>
          <w:kern w:val="0"/>
        </w:rPr>
        <w:t>, Health Care, Health Outcomes, Lead, Length, Literature, Literature Review, Management, Methods, Outcomes, Papers, Practice, Practitioners, Pressure, Primary, Primary Health Care, Psychological, Quality, Quality</w:t>
      </w:r>
      <w:r w:rsidR="00427468">
        <w:rPr>
          <w:kern w:val="0"/>
        </w:rPr>
        <w:t xml:space="preserve"> of </w:t>
      </w:r>
      <w:r>
        <w:rPr>
          <w:kern w:val="0"/>
        </w:rPr>
        <w:t xml:space="preserve">Care, Research, Review, Satisfaction, Science, Socioeconomic Status, Systematic, Systematic Literature Review, Time Constraint, Training, </w:t>
      </w:r>
      <w:r w:rsidR="00D5664A">
        <w:rPr>
          <w:kern w:val="0"/>
        </w:rPr>
        <w:t>Web</w:t>
      </w:r>
      <w:r w:rsidR="00427468">
        <w:rPr>
          <w:kern w:val="0"/>
        </w:rPr>
        <w:t xml:space="preserve"> of </w:t>
      </w:r>
      <w:r w:rsidR="00D5664A">
        <w:rPr>
          <w:kern w:val="0"/>
        </w:rPr>
        <w:t>Science</w:t>
      </w:r>
    </w:p>
    <w:p w:rsidR="00F72919" w:rsidRPr="008B2BB0" w:rsidRDefault="00F72919" w:rsidP="00F72919">
      <w:pPr>
        <w:pStyle w:val="a3"/>
      </w:pPr>
      <w:r w:rsidRPr="008B2BB0">
        <w:t>? Schneider, N., Lingner, H.</w:t>
      </w:r>
      <w:r w:rsidR="005853A9">
        <w:t xml:space="preserve"> and </w:t>
      </w:r>
      <w:r w:rsidRPr="008B2BB0">
        <w:t>Schwartz, F.W. (2007), Disclosing conflicts</w:t>
      </w:r>
      <w:r w:rsidR="00427468">
        <w:t xml:space="preserve"> of </w:t>
      </w:r>
      <w:r w:rsidRPr="008B2BB0">
        <w:t xml:space="preserve">interest in German publications concerning health services research. </w:t>
      </w:r>
      <w:r w:rsidRPr="00CE7517">
        <w:rPr>
          <w:i/>
          <w:iCs/>
        </w:rPr>
        <w:t>BMC Health Services Research</w:t>
      </w:r>
      <w:r w:rsidRPr="008B2BB0">
        <w:t xml:space="preserve">, </w:t>
      </w:r>
      <w:r w:rsidRPr="00551655">
        <w:rPr>
          <w:b/>
          <w:bCs/>
        </w:rPr>
        <w:t>7</w:t>
      </w:r>
      <w:r w:rsidRPr="00250070">
        <w:t xml:space="preserve">, </w:t>
      </w:r>
      <w:r w:rsidRPr="002E65A4">
        <w:rPr>
          <w:kern w:val="0"/>
        </w:rPr>
        <w:t>Article Number</w:t>
      </w:r>
      <w:r>
        <w:rPr>
          <w:rFonts w:hint="eastAsia"/>
          <w:kern w:val="0"/>
        </w:rPr>
        <w:t>:</w:t>
      </w:r>
      <w:r>
        <w:rPr>
          <w:rFonts w:hint="eastAsia"/>
        </w:rPr>
        <w:t xml:space="preserve"> 78.</w:t>
      </w:r>
    </w:p>
    <w:p w:rsidR="00F72919" w:rsidRPr="003862C4" w:rsidRDefault="00F72919" w:rsidP="00F72919">
      <w:pPr>
        <w:pStyle w:val="a3"/>
      </w:pPr>
      <w:r>
        <w:rPr>
          <w:rFonts w:hint="eastAsia"/>
        </w:rPr>
        <w:t xml:space="preserve">Full Text: </w:t>
      </w:r>
      <w:hyperlink r:id="rId1582" w:history="1">
        <w:r w:rsidRPr="007355AA">
          <w:rPr>
            <w:rStyle w:val="a5"/>
          </w:rPr>
          <w:t>2007\BMC Hea Ser Res7, 78.pdf</w:t>
        </w:r>
      </w:hyperlink>
    </w:p>
    <w:p w:rsidR="00F72919" w:rsidRPr="003862C4" w:rsidRDefault="00F72919" w:rsidP="00F72919">
      <w:pPr>
        <w:pStyle w:val="a3"/>
      </w:pPr>
      <w:r w:rsidRPr="003862C4">
        <w:t>Abstract: Background:</w:t>
      </w:r>
      <w:r w:rsidR="003A1917">
        <w:t xml:space="preserve"> the </w:t>
      </w:r>
      <w:r w:rsidRPr="003862C4">
        <w:t>influence</w:t>
      </w:r>
      <w:r w:rsidR="00427468">
        <w:t xml:space="preserve"> of </w:t>
      </w:r>
      <w:r w:rsidR="003A1917">
        <w:t xml:space="preserve">the </w:t>
      </w:r>
      <w:r w:rsidRPr="003862C4">
        <w:t>pharmaceutical industry</w:t>
      </w:r>
      <w:r w:rsidR="005853A9">
        <w:t xml:space="preserve"> and </w:t>
      </w:r>
      <w:r w:rsidRPr="003862C4">
        <w:t>other stakeholders on medical science has been increasingly criticised. When dealing with conflicts</w:t>
      </w:r>
      <w:r w:rsidR="00427468">
        <w:t xml:space="preserve"> of </w:t>
      </w:r>
      <w:r w:rsidRPr="003862C4">
        <w:t>interest in scientific publications it is important to ensure</w:t>
      </w:r>
      <w:r w:rsidR="003A1917">
        <w:t xml:space="preserve"> the </w:t>
      </w:r>
      <w:r w:rsidRPr="003862C4">
        <w:t>best possible transparency</w:t>
      </w:r>
      <w:r w:rsidR="00A37C1D">
        <w:t>. The</w:t>
      </w:r>
      <w:r w:rsidR="003A1917">
        <w:t xml:space="preserve"> </w:t>
      </w:r>
      <w:r w:rsidRPr="003862C4">
        <w:t>objective</w:t>
      </w:r>
      <w:r w:rsidR="00427468">
        <w:t xml:space="preserve"> of </w:t>
      </w:r>
      <w:r w:rsidRPr="003862C4">
        <w:t>this work is to examine</w:t>
      </w:r>
      <w:r w:rsidR="003A1917">
        <w:t xml:space="preserve"> the </w:t>
      </w:r>
      <w:r w:rsidRPr="003862C4">
        <w:t>disclosure practice</w:t>
      </w:r>
      <w:r w:rsidR="00427468">
        <w:t xml:space="preserve"> of </w:t>
      </w:r>
      <w:r w:rsidRPr="003862C4">
        <w:t>financial</w:t>
      </w:r>
      <w:r w:rsidR="005853A9">
        <w:t xml:space="preserve"> and </w:t>
      </w:r>
      <w:r w:rsidRPr="003862C4">
        <w:t>non-financial conflicts</w:t>
      </w:r>
      <w:r w:rsidR="00427468">
        <w:t xml:space="preserve"> of </w:t>
      </w:r>
      <w:r w:rsidRPr="003862C4">
        <w:t>interest in German language publications concerning health services research for</w:t>
      </w:r>
      <w:r w:rsidR="003A1917">
        <w:t xml:space="preserve"> the </w:t>
      </w:r>
      <w:r w:rsidRPr="003862C4">
        <w:t>first time. Methods: We performed a systematic literature search in</w:t>
      </w:r>
      <w:r w:rsidR="003A1917">
        <w:t xml:space="preserve"> the </w:t>
      </w:r>
      <w:r w:rsidRPr="003862C4">
        <w:t>PubMed data base using</w:t>
      </w:r>
      <w:r w:rsidR="003A1917">
        <w:t xml:space="preserve"> the </w:t>
      </w:r>
      <w:r w:rsidRPr="003862C4">
        <w:t xml:space="preserve">MeSH term </w:t>
      </w:r>
      <w:r w:rsidR="00B5188C">
        <w:t>“</w:t>
      </w:r>
      <w:r w:rsidRPr="003862C4">
        <w:t>health services research</w:t>
      </w:r>
      <w:r w:rsidR="00B5188C">
        <w:t>”</w:t>
      </w:r>
      <w:r w:rsidR="00A37C1D">
        <w:t>. The</w:t>
      </w:r>
      <w:r w:rsidR="003A1917">
        <w:t xml:space="preserve"> </w:t>
      </w:r>
      <w:r w:rsidRPr="003862C4">
        <w:t>review was conducted on July 10, 2006, setting</w:t>
      </w:r>
      <w:r w:rsidR="003A1917">
        <w:t xml:space="preserve"> the </w:t>
      </w:r>
      <w:r w:rsidRPr="003862C4">
        <w:t xml:space="preserve">limits </w:t>
      </w:r>
      <w:r w:rsidR="00B5188C">
        <w:t>“</w:t>
      </w:r>
      <w:r w:rsidRPr="003862C4">
        <w:t>dates: published in</w:t>
      </w:r>
      <w:r w:rsidR="003A1917">
        <w:t xml:space="preserve"> the </w:t>
      </w:r>
      <w:r w:rsidRPr="003862C4">
        <w:t>last 2 years</w:t>
      </w:r>
      <w:r w:rsidR="00B5188C">
        <w:t>”</w:t>
      </w:r>
      <w:r w:rsidR="005853A9">
        <w:t xml:space="preserve"> and </w:t>
      </w:r>
      <w:r w:rsidR="00B5188C">
        <w:t>“</w:t>
      </w:r>
      <w:r w:rsidRPr="003862C4">
        <w:t>languages: German</w:t>
      </w:r>
      <w:r w:rsidR="00B5188C">
        <w:t>”</w:t>
      </w:r>
      <w:r w:rsidRPr="003862C4">
        <w:t xml:space="preserve"> (only articles with abstracts). 124 articles in 31 magazines were found. In</w:t>
      </w:r>
      <w:r w:rsidR="003A1917">
        <w:t xml:space="preserve"> the </w:t>
      </w:r>
      <w:r w:rsidRPr="003862C4">
        <w:t>magazines</w:t>
      </w:r>
      <w:r w:rsidR="003A1917">
        <w:t xml:space="preserve"> the </w:t>
      </w:r>
      <w:r w:rsidRPr="003862C4">
        <w:t>instructions for authors were examined as to whether a statement on conflicts</w:t>
      </w:r>
      <w:r w:rsidR="00427468">
        <w:t xml:space="preserve"> of </w:t>
      </w:r>
      <w:r w:rsidRPr="003862C4">
        <w:t>interest is expected -</w:t>
      </w:r>
      <w:r w:rsidR="005853A9">
        <w:t xml:space="preserve"> and </w:t>
      </w:r>
      <w:r w:rsidRPr="003862C4">
        <w:t>if, in which form. Regarding</w:t>
      </w:r>
      <w:r w:rsidR="003A1917">
        <w:t xml:space="preserve"> the </w:t>
      </w:r>
      <w:r w:rsidRPr="003862C4">
        <w:t>articles in</w:t>
      </w:r>
      <w:r w:rsidR="003A1917">
        <w:t xml:space="preserve"> the </w:t>
      </w:r>
      <w:r w:rsidRPr="003862C4">
        <w:t>journals which require a statement, we examined whether</w:t>
      </w:r>
      <w:r w:rsidR="003A1917">
        <w:t xml:space="preserve"> the </w:t>
      </w:r>
      <w:r w:rsidRPr="003862C4">
        <w:t>statement is explicitly published</w:t>
      </w:r>
      <w:r w:rsidR="00A37C1D">
        <w:t>. The</w:t>
      </w:r>
      <w:r w:rsidR="003A1917">
        <w:t xml:space="preserve"> </w:t>
      </w:r>
      <w:r w:rsidRPr="003862C4">
        <w:t>results are descriptively represented. Results: 13 magazines (42%) do not require any statement on conflicts</w:t>
      </w:r>
      <w:r w:rsidR="00427468">
        <w:t xml:space="preserve"> of </w:t>
      </w:r>
      <w:r w:rsidRPr="003862C4">
        <w:t>interest, whereas 18 journals (58%) expect a statement. Two</w:t>
      </w:r>
      <w:r w:rsidR="00427468">
        <w:t xml:space="preserve"> of </w:t>
      </w:r>
      <w:r w:rsidRPr="003862C4">
        <w:t>these 18 magazines refer explicitly to</w:t>
      </w:r>
      <w:r w:rsidR="003A1917">
        <w:t xml:space="preserve"> the </w:t>
      </w:r>
      <w:r w:rsidRPr="003862C4">
        <w:t>uniform requirements</w:t>
      </w:r>
      <w:r w:rsidR="00427468">
        <w:t xml:space="preserve"> of </w:t>
      </w:r>
      <w:r w:rsidR="003A1917">
        <w:t xml:space="preserve">the </w:t>
      </w:r>
      <w:r w:rsidRPr="003862C4">
        <w:t>International Committee</w:t>
      </w:r>
      <w:r w:rsidR="00427468">
        <w:t xml:space="preserve"> of </w:t>
      </w:r>
      <w:r w:rsidR="003A1917">
        <w:t xml:space="preserve">the </w:t>
      </w:r>
      <w:r w:rsidRPr="003862C4">
        <w:t>Medical Journal Editors (ICMJE);</w:t>
      </w:r>
      <w:r w:rsidR="003A1917">
        <w:t xml:space="preserve"> the </w:t>
      </w:r>
      <w:r w:rsidRPr="003862C4">
        <w:t>remaining 16 magazines give differently accentuated instructions on how to disclose conflicts</w:t>
      </w:r>
      <w:r w:rsidR="00427468">
        <w:t xml:space="preserve"> of </w:t>
      </w:r>
      <w:r w:rsidRPr="003862C4">
        <w:t>interest, whereby</w:t>
      </w:r>
      <w:r w:rsidR="003A1917">
        <w:t xml:space="preserve"> the </w:t>
      </w:r>
      <w:r w:rsidRPr="003862C4">
        <w:t>focus is primarily on financial issues. A statement on conflicts</w:t>
      </w:r>
      <w:r w:rsidR="00427468">
        <w:t xml:space="preserve"> of </w:t>
      </w:r>
      <w:r w:rsidRPr="003862C4">
        <w:t>interest is explicitly published in 11</w:t>
      </w:r>
      <w:r w:rsidR="00427468">
        <w:t xml:space="preserve"> of </w:t>
      </w:r>
      <w:r w:rsidR="003A1917">
        <w:t xml:space="preserve">the </w:t>
      </w:r>
      <w:r w:rsidRPr="003862C4">
        <w:t>71 articles (15%) which are found in</w:t>
      </w:r>
      <w:r w:rsidR="003A1917">
        <w:t xml:space="preserve"> the </w:t>
      </w:r>
      <w:r w:rsidRPr="003862C4">
        <w:t>magazines that require a statement with</w:t>
      </w:r>
      <w:r w:rsidR="003A1917">
        <w:t xml:space="preserve"> the </w:t>
      </w:r>
      <w:r w:rsidRPr="003862C4">
        <w:t>submission</w:t>
      </w:r>
      <w:r w:rsidR="00427468">
        <w:t xml:space="preserve"> of </w:t>
      </w:r>
      <w:r w:rsidRPr="003862C4">
        <w:t>a manuscript. Related to</w:t>
      </w:r>
      <w:r w:rsidR="003A1917">
        <w:t xml:space="preserve"> the </w:t>
      </w:r>
      <w:r w:rsidRPr="003862C4">
        <w:t>total number</w:t>
      </w:r>
      <w:r w:rsidR="00427468">
        <w:t xml:space="preserve"> of </w:t>
      </w:r>
      <w:r w:rsidRPr="003862C4">
        <w:t>included articles, this means that</w:t>
      </w:r>
      <w:r w:rsidR="003A1917">
        <w:t xml:space="preserve"> the </w:t>
      </w:r>
      <w:r w:rsidRPr="003862C4">
        <w:t>reader explicitly receives information on potential conflicts</w:t>
      </w:r>
      <w:r w:rsidR="00427468">
        <w:t xml:space="preserve"> of </w:t>
      </w:r>
      <w:r w:rsidRPr="003862C4">
        <w:t>interest in 9%</w:t>
      </w:r>
      <w:r w:rsidR="00427468">
        <w:t xml:space="preserve"> of </w:t>
      </w:r>
      <w:r w:rsidR="003A1917">
        <w:t xml:space="preserve">the </w:t>
      </w:r>
      <w:r w:rsidRPr="003862C4">
        <w:t>cases (11</w:t>
      </w:r>
      <w:r w:rsidR="00427468">
        <w:t xml:space="preserve"> of </w:t>
      </w:r>
      <w:r w:rsidRPr="003862C4">
        <w:t xml:space="preserve">124 articles). </w:t>
      </w:r>
      <w:r w:rsidRPr="003862C4">
        <w:lastRenderedPageBreak/>
        <w:t>Statements</w:t>
      </w:r>
      <w:r w:rsidR="00427468">
        <w:t xml:space="preserve"> of </w:t>
      </w:r>
      <w:r w:rsidRPr="003862C4">
        <w:t>others that are involved in</w:t>
      </w:r>
      <w:r w:rsidR="003A1917">
        <w:t xml:space="preserve"> the </w:t>
      </w:r>
      <w:r w:rsidRPr="003862C4">
        <w:t>publication process (reviewers, editors) are not available in any</w:t>
      </w:r>
      <w:r w:rsidR="00427468">
        <w:t xml:space="preserve"> of </w:t>
      </w:r>
      <w:r w:rsidR="003A1917">
        <w:t xml:space="preserve">the </w:t>
      </w:r>
      <w:r w:rsidRPr="003862C4">
        <w:t>articles examined. Conclusion: A better sensitization for possible conflicts</w:t>
      </w:r>
      <w:r w:rsidR="00427468">
        <w:t xml:space="preserve"> of </w:t>
      </w:r>
      <w:r w:rsidRPr="003862C4">
        <w:t>interest in German publications concerning health services research is necessary. We suggest tightening</w:t>
      </w:r>
      <w:r w:rsidR="003A1917">
        <w:t xml:space="preserve"> the </w:t>
      </w:r>
      <w:r w:rsidRPr="003862C4">
        <w:t>criteria for disclosure in</w:t>
      </w:r>
      <w:r w:rsidR="003A1917">
        <w:t xml:space="preserve"> the </w:t>
      </w:r>
      <w:r w:rsidRPr="003862C4">
        <w:t>instructions for authors in</w:t>
      </w:r>
      <w:r w:rsidR="003A1917">
        <w:t xml:space="preserve"> the </w:t>
      </w:r>
      <w:r w:rsidRPr="003862C4">
        <w:t>scientific journals. Among other things</w:t>
      </w:r>
      <w:r w:rsidR="003A1917">
        <w:t xml:space="preserve"> the </w:t>
      </w:r>
      <w:r w:rsidRPr="003862C4">
        <w:t>equivalent consideration</w:t>
      </w:r>
      <w:r w:rsidR="00427468">
        <w:t xml:space="preserve"> of </w:t>
      </w:r>
      <w:r w:rsidRPr="003862C4">
        <w:t>financial</w:t>
      </w:r>
      <w:r w:rsidR="005853A9">
        <w:t xml:space="preserve"> and </w:t>
      </w:r>
      <w:r w:rsidRPr="003862C4">
        <w:t>non-financial conflicts</w:t>
      </w:r>
      <w:r w:rsidR="00427468">
        <w:t xml:space="preserve"> of </w:t>
      </w:r>
      <w:r w:rsidRPr="003862C4">
        <w:t>interest as well as</w:t>
      </w:r>
      <w:r w:rsidR="003A1917">
        <w:t xml:space="preserve"> the </w:t>
      </w:r>
      <w:r w:rsidRPr="003862C4">
        <w:t>obligatory publication</w:t>
      </w:r>
      <w:r w:rsidR="00427468">
        <w:t xml:space="preserve"> of </w:t>
      </w:r>
      <w:r w:rsidR="003A1917">
        <w:t xml:space="preserve">the </w:t>
      </w:r>
      <w:r w:rsidRPr="003862C4">
        <w:t>statements should be part</w:t>
      </w:r>
      <w:r w:rsidR="00427468">
        <w:t xml:space="preserve"> of </w:t>
      </w:r>
      <w:r w:rsidRPr="003862C4">
        <w:t>good practice.</w:t>
      </w:r>
    </w:p>
    <w:p w:rsidR="00F72919" w:rsidRPr="003862C4" w:rsidRDefault="00F72919" w:rsidP="00F72919">
      <w:pPr>
        <w:pStyle w:val="a3"/>
      </w:pPr>
      <w:r w:rsidRPr="003862C4">
        <w:t>Keywords: Conflicts</w:t>
      </w:r>
      <w:r w:rsidR="00427468">
        <w:t xml:space="preserve"> of </w:t>
      </w:r>
      <w:r w:rsidRPr="003862C4">
        <w:t>Interest, Criteria, Data, Data Base, Disclosure, Financial Issues, First, Health, Health Services, Health Services Research, Information, Journals, Literature, Medical, Pharmaceutical Industry, Potential, Practice, Publication, Publications, Pubmed, Research, Review, Science, Scientific Journals, Scientific Publications, Sensitization, Services, Stakeholders, Term, Transparency, Work</w:t>
      </w:r>
    </w:p>
    <w:p w:rsidR="00F72919" w:rsidRDefault="00F72919" w:rsidP="00F72919">
      <w:pPr>
        <w:pStyle w:val="a3"/>
        <w:rPr>
          <w:kern w:val="0"/>
        </w:rPr>
      </w:pPr>
      <w:r>
        <w:rPr>
          <w:rFonts w:hint="eastAsia"/>
          <w:kern w:val="0"/>
        </w:rPr>
        <w:t xml:space="preserve">? </w:t>
      </w:r>
      <w:r>
        <w:rPr>
          <w:kern w:val="0"/>
        </w:rPr>
        <w:t>Wulff, C.N., Thygesen, M., Sondergaard, J.</w:t>
      </w:r>
      <w:r w:rsidR="005853A9">
        <w:rPr>
          <w:kern w:val="0"/>
        </w:rPr>
        <w:t xml:space="preserve"> and </w:t>
      </w:r>
      <w:r>
        <w:rPr>
          <w:kern w:val="0"/>
        </w:rPr>
        <w:t xml:space="preserve">Vedsted, P. (2008), Case management used to optimize cancer care pathways: A systematic review. </w:t>
      </w:r>
      <w:r>
        <w:rPr>
          <w:i/>
          <w:iCs/>
          <w:kern w:val="0"/>
        </w:rPr>
        <w:t>BMC Health Services Research</w:t>
      </w:r>
      <w:r>
        <w:rPr>
          <w:kern w:val="0"/>
        </w:rPr>
        <w:t xml:space="preserve">, </w:t>
      </w:r>
      <w:r>
        <w:rPr>
          <w:b/>
          <w:bCs/>
          <w:kern w:val="0"/>
        </w:rPr>
        <w:t>8</w:t>
      </w:r>
      <w:r>
        <w:rPr>
          <w:rFonts w:hint="eastAsia"/>
          <w:kern w:val="0"/>
        </w:rPr>
        <w:t xml:space="preserve">, </w:t>
      </w:r>
      <w:r w:rsidRPr="002E65A4">
        <w:rPr>
          <w:kern w:val="0"/>
        </w:rPr>
        <w:t>Article Number: 227</w:t>
      </w:r>
      <w:r>
        <w:rPr>
          <w:rFonts w:hint="eastAsia"/>
          <w:kern w:val="0"/>
        </w:rPr>
        <w:t>.</w:t>
      </w:r>
    </w:p>
    <w:p w:rsidR="00F72919" w:rsidRPr="003862C4" w:rsidRDefault="00F72919" w:rsidP="00F72919">
      <w:pPr>
        <w:pStyle w:val="a3"/>
      </w:pPr>
      <w:r>
        <w:rPr>
          <w:rFonts w:hint="eastAsia"/>
        </w:rPr>
        <w:t xml:space="preserve">Full Text: </w:t>
      </w:r>
      <w:hyperlink r:id="rId1583" w:history="1">
        <w:r w:rsidRPr="00172B6E">
          <w:rPr>
            <w:rStyle w:val="a5"/>
          </w:rPr>
          <w:t>2008\BMC Hea Ser Res8, 227.pdf</w:t>
        </w:r>
      </w:hyperlink>
    </w:p>
    <w:p w:rsidR="00F72919" w:rsidRDefault="00F72919" w:rsidP="00F72919">
      <w:pPr>
        <w:pStyle w:val="a3"/>
        <w:rPr>
          <w:kern w:val="0"/>
        </w:rPr>
      </w:pPr>
      <w:r>
        <w:rPr>
          <w:kern w:val="0"/>
        </w:rPr>
        <w:t>Abstract: Background: Reports</w:t>
      </w:r>
      <w:r w:rsidR="00427468">
        <w:rPr>
          <w:kern w:val="0"/>
        </w:rPr>
        <w:t xml:space="preserve"> of </w:t>
      </w:r>
      <w:r>
        <w:rPr>
          <w:kern w:val="0"/>
        </w:rPr>
        <w:t>inadequate cancer patient care have given rise to various interventions to support cancer care pathways which, overall, seem poorly studied. Case management (CM) is one method that may support a cost-effective, high-quality patient-centred treatment</w:t>
      </w:r>
      <w:r w:rsidR="005853A9">
        <w:rPr>
          <w:kern w:val="0"/>
        </w:rPr>
        <w:t xml:space="preserve"> and </w:t>
      </w:r>
      <w:r>
        <w:rPr>
          <w:kern w:val="0"/>
        </w:rPr>
        <w:t>care</w:t>
      </w:r>
      <w:r w:rsidR="00A37C1D">
        <w:rPr>
          <w:kern w:val="0"/>
        </w:rPr>
        <w:t>. The</w:t>
      </w:r>
      <w:r w:rsidR="003A1917">
        <w:rPr>
          <w:kern w:val="0"/>
        </w:rPr>
        <w:t xml:space="preserve"> </w:t>
      </w:r>
      <w:r>
        <w:rPr>
          <w:kern w:val="0"/>
        </w:rPr>
        <w:t>purpose</w:t>
      </w:r>
      <w:r w:rsidR="00427468">
        <w:rPr>
          <w:kern w:val="0"/>
        </w:rPr>
        <w:t xml:space="preserve"> of </w:t>
      </w:r>
      <w:r>
        <w:rPr>
          <w:kern w:val="0"/>
        </w:rPr>
        <w:t>this article was to summarise intervention characteristics, outcomes</w:t>
      </w:r>
      <w:r w:rsidR="00427468">
        <w:rPr>
          <w:kern w:val="0"/>
        </w:rPr>
        <w:t xml:space="preserve"> of </w:t>
      </w:r>
      <w:r>
        <w:rPr>
          <w:kern w:val="0"/>
        </w:rPr>
        <w:t>interest, results,</w:t>
      </w:r>
      <w:r w:rsidR="005853A9">
        <w:rPr>
          <w:kern w:val="0"/>
        </w:rPr>
        <w:t xml:space="preserve"> and </w:t>
      </w:r>
      <w:r>
        <w:rPr>
          <w:kern w:val="0"/>
        </w:rPr>
        <w:t>validity components</w:t>
      </w:r>
      <w:r w:rsidR="00427468">
        <w:rPr>
          <w:kern w:val="0"/>
        </w:rPr>
        <w:t xml:space="preserve"> of </w:t>
      </w:r>
      <w:r w:rsidR="003A1917">
        <w:rPr>
          <w:kern w:val="0"/>
        </w:rPr>
        <w:t xml:space="preserve">the </w:t>
      </w:r>
      <w:r>
        <w:rPr>
          <w:kern w:val="0"/>
        </w:rPr>
        <w:t xml:space="preserve">published randomized controlled trials (RCTs) examining CM as a method for optimizing cancer care pathways. Methods: PUBMED, EMBASE, </w:t>
      </w:r>
      <w:r w:rsidR="00D5664A">
        <w:rPr>
          <w:kern w:val="0"/>
        </w:rPr>
        <w:t>Web</w:t>
      </w:r>
      <w:r w:rsidR="00427468">
        <w:rPr>
          <w:kern w:val="0"/>
        </w:rPr>
        <w:t xml:space="preserve"> of </w:t>
      </w:r>
      <w:r w:rsidR="00D5664A">
        <w:rPr>
          <w:kern w:val="0"/>
        </w:rPr>
        <w:t>Science</w:t>
      </w:r>
      <w:r>
        <w:rPr>
          <w:kern w:val="0"/>
        </w:rPr>
        <w:t>, CINAHL</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were systematically searched for RCTs published all years up to August 2008. Identified papers were included if they passed</w:t>
      </w:r>
      <w:r w:rsidR="003A1917">
        <w:rPr>
          <w:kern w:val="0"/>
        </w:rPr>
        <w:t xml:space="preserve"> the </w:t>
      </w:r>
      <w:r>
        <w:rPr>
          <w:kern w:val="0"/>
        </w:rPr>
        <w:t>following standards. Inclusion criteria: 1)</w:t>
      </w:r>
      <w:r w:rsidR="003A1917">
        <w:rPr>
          <w:kern w:val="0"/>
        </w:rPr>
        <w:t xml:space="preserve"> the </w:t>
      </w:r>
      <w:r>
        <w:rPr>
          <w:kern w:val="0"/>
        </w:rPr>
        <w:t>intervention should meet</w:t>
      </w:r>
      <w:r w:rsidR="003A1917">
        <w:rPr>
          <w:kern w:val="0"/>
        </w:rPr>
        <w:t xml:space="preserve"> the </w:t>
      </w:r>
      <w:r>
        <w:rPr>
          <w:kern w:val="0"/>
        </w:rPr>
        <w:t>criteria for CM which includes multidisciplinary collaboration, care co-ordination,</w:t>
      </w:r>
      <w:r w:rsidR="005853A9">
        <w:rPr>
          <w:kern w:val="0"/>
        </w:rPr>
        <w:t xml:space="preserve"> and </w:t>
      </w:r>
      <w:r>
        <w:rPr>
          <w:kern w:val="0"/>
        </w:rPr>
        <w:t>it should include in-person meetings between patient</w:t>
      </w:r>
      <w:r w:rsidR="005853A9">
        <w:rPr>
          <w:kern w:val="0"/>
        </w:rPr>
        <w:t xml:space="preserve"> and </w:t>
      </w:r>
      <w:r w:rsidR="003A1917">
        <w:rPr>
          <w:kern w:val="0"/>
        </w:rPr>
        <w:t xml:space="preserve">the </w:t>
      </w:r>
      <w:r>
        <w:rPr>
          <w:kern w:val="0"/>
        </w:rPr>
        <w:t>case manager aimed at supporting, informing</w:t>
      </w:r>
      <w:r w:rsidR="005853A9">
        <w:rPr>
          <w:kern w:val="0"/>
        </w:rPr>
        <w:t xml:space="preserve"> and </w:t>
      </w:r>
      <w:r>
        <w:rPr>
          <w:kern w:val="0"/>
        </w:rPr>
        <w:t>educating</w:t>
      </w:r>
      <w:r w:rsidR="003A1917">
        <w:rPr>
          <w:kern w:val="0"/>
        </w:rPr>
        <w:t xml:space="preserve"> the </w:t>
      </w:r>
      <w:r>
        <w:rPr>
          <w:kern w:val="0"/>
        </w:rPr>
        <w:t>patient. 2)</w:t>
      </w:r>
      <w:r w:rsidR="003A1917">
        <w:rPr>
          <w:kern w:val="0"/>
        </w:rPr>
        <w:t xml:space="preserve"> the </w:t>
      </w:r>
      <w:r>
        <w:rPr>
          <w:kern w:val="0"/>
        </w:rPr>
        <w:t>intervention should focus on cancer patient care. 3)</w:t>
      </w:r>
      <w:r w:rsidR="003A1917">
        <w:rPr>
          <w:kern w:val="0"/>
        </w:rPr>
        <w:t xml:space="preserve"> the </w:t>
      </w:r>
      <w:r>
        <w:rPr>
          <w:kern w:val="0"/>
        </w:rPr>
        <w:t>intervention should aim to improve subjective or objective quality outcomes,</w:t>
      </w:r>
      <w:r w:rsidR="005853A9">
        <w:rPr>
          <w:kern w:val="0"/>
        </w:rPr>
        <w:t xml:space="preserve"> and </w:t>
      </w:r>
      <w:r>
        <w:rPr>
          <w:kern w:val="0"/>
        </w:rPr>
        <w:t>effects should be reported in</w:t>
      </w:r>
      <w:r w:rsidR="003A1917">
        <w:rPr>
          <w:kern w:val="0"/>
        </w:rPr>
        <w:t xml:space="preserve"> the </w:t>
      </w:r>
      <w:r>
        <w:rPr>
          <w:kern w:val="0"/>
        </w:rPr>
        <w:t>paper. Exclusion criteria: Studies centred on cancer screening or palliative cancer care. Data extraction was conducted in order to obtain a descriptive overview</w:t>
      </w:r>
      <w:r w:rsidR="00427468">
        <w:rPr>
          <w:kern w:val="0"/>
        </w:rPr>
        <w:t xml:space="preserve"> of </w:t>
      </w:r>
      <w:r>
        <w:rPr>
          <w:kern w:val="0"/>
        </w:rPr>
        <w:t>intervention characteristics, outcomes</w:t>
      </w:r>
      <w:r w:rsidR="00427468">
        <w:rPr>
          <w:kern w:val="0"/>
        </w:rPr>
        <w:t xml:space="preserve"> of </w:t>
      </w:r>
      <w:r>
        <w:rPr>
          <w:kern w:val="0"/>
        </w:rPr>
        <w:t>interest</w:t>
      </w:r>
      <w:r w:rsidR="005853A9">
        <w:rPr>
          <w:kern w:val="0"/>
        </w:rPr>
        <w:t xml:space="preserve"> and </w:t>
      </w:r>
      <w:r>
        <w:rPr>
          <w:kern w:val="0"/>
        </w:rPr>
        <w:t>findings. Elements</w:t>
      </w:r>
      <w:r w:rsidR="00427468">
        <w:rPr>
          <w:kern w:val="0"/>
        </w:rPr>
        <w:t xml:space="preserve"> of </w:t>
      </w:r>
      <w:r>
        <w:rPr>
          <w:kern w:val="0"/>
        </w:rPr>
        <w:t>CONSORT guidelines</w:t>
      </w:r>
      <w:r w:rsidR="005853A9">
        <w:rPr>
          <w:kern w:val="0"/>
        </w:rPr>
        <w:t xml:space="preserve"> and </w:t>
      </w:r>
      <w:r>
        <w:rPr>
          <w:kern w:val="0"/>
        </w:rPr>
        <w:t>checklists were used to assess aspects</w:t>
      </w:r>
      <w:r w:rsidR="00427468">
        <w:rPr>
          <w:kern w:val="0"/>
        </w:rPr>
        <w:t xml:space="preserve"> of </w:t>
      </w:r>
      <w:r>
        <w:rPr>
          <w:kern w:val="0"/>
        </w:rPr>
        <w:t>study validity. Results:</w:t>
      </w:r>
      <w:r w:rsidR="003A1917">
        <w:rPr>
          <w:kern w:val="0"/>
        </w:rPr>
        <w:t xml:space="preserve"> the </w:t>
      </w:r>
      <w:r>
        <w:rPr>
          <w:kern w:val="0"/>
        </w:rPr>
        <w:t>searches identified 654 unique papers,</w:t>
      </w:r>
      <w:r w:rsidR="00427468">
        <w:rPr>
          <w:kern w:val="0"/>
        </w:rPr>
        <w:t xml:space="preserve"> of </w:t>
      </w:r>
      <w:r>
        <w:rPr>
          <w:kern w:val="0"/>
        </w:rPr>
        <w:t>which 25 were retrieved for scrutiny. Seven papers were finally included. Intervention characteristics, outcomes studied, findings</w:t>
      </w:r>
      <w:r w:rsidR="005853A9">
        <w:rPr>
          <w:kern w:val="0"/>
        </w:rPr>
        <w:t xml:space="preserve"> and </w:t>
      </w:r>
      <w:r>
        <w:rPr>
          <w:kern w:val="0"/>
        </w:rPr>
        <w:t>methodological aspects were all very diverse. Conclusion: Due to</w:t>
      </w:r>
      <w:r w:rsidR="003A1917">
        <w:rPr>
          <w:kern w:val="0"/>
        </w:rPr>
        <w:t xml:space="preserve"> the </w:t>
      </w:r>
      <w:r>
        <w:rPr>
          <w:kern w:val="0"/>
        </w:rPr>
        <w:t>scarcity</w:t>
      </w:r>
      <w:r w:rsidR="00427468">
        <w:rPr>
          <w:kern w:val="0"/>
        </w:rPr>
        <w:t xml:space="preserve"> of </w:t>
      </w:r>
      <w:r>
        <w:rPr>
          <w:kern w:val="0"/>
        </w:rPr>
        <w:t xml:space="preserve">papers included (seven), significant heterogeneity in target group, </w:t>
      </w:r>
      <w:r>
        <w:rPr>
          <w:kern w:val="0"/>
        </w:rPr>
        <w:lastRenderedPageBreak/>
        <w:t>intervention setting, outcomes measured</w:t>
      </w:r>
      <w:r w:rsidR="005853A9">
        <w:rPr>
          <w:kern w:val="0"/>
        </w:rPr>
        <w:t xml:space="preserve"> and </w:t>
      </w:r>
      <w:r>
        <w:rPr>
          <w:kern w:val="0"/>
        </w:rPr>
        <w:t>methodologies applied, no conclusions can be drawn about</w:t>
      </w:r>
      <w:r w:rsidR="003A1917">
        <w:rPr>
          <w:kern w:val="0"/>
        </w:rPr>
        <w:t xml:space="preserve"> the </w:t>
      </w:r>
      <w:r>
        <w:rPr>
          <w:kern w:val="0"/>
        </w:rPr>
        <w:t>effect</w:t>
      </w:r>
      <w:r w:rsidR="00427468">
        <w:rPr>
          <w:kern w:val="0"/>
        </w:rPr>
        <w:t xml:space="preserve"> of </w:t>
      </w:r>
      <w:r>
        <w:rPr>
          <w:kern w:val="0"/>
        </w:rPr>
        <w:t xml:space="preserve">CM on cancer patient care. It is a major challenge that CM shrouds in a </w:t>
      </w:r>
      <w:r w:rsidR="00B5188C">
        <w:rPr>
          <w:kern w:val="0"/>
        </w:rPr>
        <w:t>“</w:t>
      </w:r>
      <w:r>
        <w:rPr>
          <w:kern w:val="0"/>
        </w:rPr>
        <w:t>black box</w:t>
      </w:r>
      <w:r w:rsidR="00B5188C">
        <w:rPr>
          <w:kern w:val="0"/>
        </w:rPr>
        <w:t>”</w:t>
      </w:r>
      <w:r>
        <w:rPr>
          <w:kern w:val="0"/>
        </w:rPr>
        <w:t>, which means that it is difficult to determine which aspect(s)</w:t>
      </w:r>
      <w:r w:rsidR="00427468">
        <w:rPr>
          <w:kern w:val="0"/>
        </w:rPr>
        <w:t xml:space="preserve"> of </w:t>
      </w:r>
      <w:r>
        <w:rPr>
          <w:kern w:val="0"/>
        </w:rPr>
        <w:t>interventions contribute to overall effects. More trials on rigorously developed CM interventions (opening up</w:t>
      </w:r>
      <w:r w:rsidR="003A1917">
        <w:rPr>
          <w:kern w:val="0"/>
        </w:rPr>
        <w:t xml:space="preserve"> the </w:t>
      </w:r>
      <w:r w:rsidR="00B5188C">
        <w:rPr>
          <w:kern w:val="0"/>
        </w:rPr>
        <w:t>“</w:t>
      </w:r>
      <w:r>
        <w:rPr>
          <w:kern w:val="0"/>
        </w:rPr>
        <w:t>black box</w:t>
      </w:r>
      <w:r w:rsidR="00B5188C">
        <w:rPr>
          <w:kern w:val="0"/>
        </w:rPr>
        <w:t>”</w:t>
      </w:r>
      <w:r>
        <w:rPr>
          <w:kern w:val="0"/>
        </w:rPr>
        <w:t>) are needed as is</w:t>
      </w:r>
      <w:r w:rsidR="003A1917">
        <w:rPr>
          <w:kern w:val="0"/>
        </w:rPr>
        <w:t xml:space="preserve"> the </w:t>
      </w:r>
      <w:r>
        <w:rPr>
          <w:kern w:val="0"/>
        </w:rPr>
        <w:t>re-testing</w:t>
      </w:r>
      <w:r w:rsidR="00427468">
        <w:rPr>
          <w:kern w:val="0"/>
        </w:rPr>
        <w:t xml:space="preserve"> of </w:t>
      </w:r>
      <w:r>
        <w:rPr>
          <w:kern w:val="0"/>
        </w:rPr>
        <w:t>interventions</w:t>
      </w:r>
      <w:r w:rsidR="005853A9">
        <w:rPr>
          <w:kern w:val="0"/>
        </w:rPr>
        <w:t xml:space="preserve"> and </w:t>
      </w:r>
      <w:r>
        <w:rPr>
          <w:kern w:val="0"/>
        </w:rPr>
        <w:t>outcomes studied in various settings.</w:t>
      </w:r>
    </w:p>
    <w:p w:rsidR="00F72919" w:rsidRDefault="00F72919" w:rsidP="00F72919">
      <w:pPr>
        <w:pStyle w:val="a3"/>
        <w:rPr>
          <w:kern w:val="0"/>
        </w:rPr>
      </w:pPr>
      <w:r>
        <w:rPr>
          <w:kern w:val="0"/>
        </w:rPr>
        <w:t xml:space="preserve">Keywords: Breast-Cancer, Cancer, Cochrane, Collaboration, Consort, Consort Statement, Disease, Guidelines, Health-Care, Interest, Intervention, Interventions, Lung-Cancer, Management, Methods, Nurse Case-Management, Older Women, Outcomes, Overview, Papers, PUBMED, Randomized Controlled Trials, Randomized-Trials, Review, Science, Screening, Standards, Systematic, Systematic Review, Treatment, Validity, </w:t>
      </w:r>
      <w:r w:rsidR="00D5664A">
        <w:rPr>
          <w:kern w:val="0"/>
        </w:rPr>
        <w:t>Web</w:t>
      </w:r>
      <w:r w:rsidR="00427468">
        <w:rPr>
          <w:kern w:val="0"/>
        </w:rPr>
        <w:t xml:space="preserve"> of </w:t>
      </w:r>
      <w:r w:rsidR="00D5664A">
        <w:rPr>
          <w:kern w:val="0"/>
        </w:rPr>
        <w:t>Science</w:t>
      </w:r>
    </w:p>
    <w:p w:rsidR="00F72919" w:rsidRDefault="00F72919" w:rsidP="00F72919">
      <w:pPr>
        <w:pStyle w:val="a3"/>
        <w:rPr>
          <w:kern w:val="0"/>
        </w:rPr>
      </w:pPr>
      <w:r>
        <w:rPr>
          <w:rFonts w:hint="eastAsia"/>
          <w:kern w:val="0"/>
        </w:rPr>
        <w:t xml:space="preserve">? </w:t>
      </w:r>
      <w:r>
        <w:rPr>
          <w:kern w:val="0"/>
        </w:rPr>
        <w:t>Uiters, E., Deville, W., Foets, M., Spreeuwenberg, P.</w:t>
      </w:r>
      <w:r w:rsidR="005853A9">
        <w:rPr>
          <w:kern w:val="0"/>
        </w:rPr>
        <w:t xml:space="preserve"> and </w:t>
      </w:r>
      <w:r>
        <w:rPr>
          <w:kern w:val="0"/>
        </w:rPr>
        <w:t>Groenewegen, P.P. (2009), Differences between immigrant</w:t>
      </w:r>
      <w:r w:rsidR="005853A9">
        <w:rPr>
          <w:kern w:val="0"/>
        </w:rPr>
        <w:t xml:space="preserve"> and </w:t>
      </w:r>
      <w:r>
        <w:rPr>
          <w:kern w:val="0"/>
        </w:rPr>
        <w:t>non-immigrant groups in</w:t>
      </w:r>
      <w:r w:rsidR="003A1917">
        <w:rPr>
          <w:kern w:val="0"/>
        </w:rPr>
        <w:t xml:space="preserve"> the </w:t>
      </w:r>
      <w:r>
        <w:rPr>
          <w:kern w:val="0"/>
        </w:rPr>
        <w:t>use</w:t>
      </w:r>
      <w:r w:rsidR="00427468">
        <w:rPr>
          <w:kern w:val="0"/>
        </w:rPr>
        <w:t xml:space="preserve"> of </w:t>
      </w:r>
      <w:r>
        <w:rPr>
          <w:kern w:val="0"/>
        </w:rPr>
        <w:t>primary medical care</w:t>
      </w:r>
      <w:r>
        <w:rPr>
          <w:rFonts w:hint="eastAsia"/>
          <w:kern w:val="0"/>
        </w:rPr>
        <w:t>:</w:t>
      </w:r>
      <w:r>
        <w:rPr>
          <w:kern w:val="0"/>
        </w:rPr>
        <w:t xml:space="preserve"> A systematic review. </w:t>
      </w:r>
      <w:r>
        <w:rPr>
          <w:i/>
          <w:iCs/>
          <w:kern w:val="0"/>
        </w:rPr>
        <w:t>BMC Health Services Research</w:t>
      </w:r>
      <w:r>
        <w:rPr>
          <w:kern w:val="0"/>
        </w:rPr>
        <w:t xml:space="preserve">, </w:t>
      </w:r>
      <w:r>
        <w:rPr>
          <w:b/>
          <w:bCs/>
          <w:kern w:val="0"/>
        </w:rPr>
        <w:t>9</w:t>
      </w:r>
      <w:r>
        <w:rPr>
          <w:rFonts w:hint="eastAsia"/>
          <w:kern w:val="0"/>
        </w:rPr>
        <w:t xml:space="preserve">, </w:t>
      </w:r>
      <w:r w:rsidRPr="002E65A4">
        <w:rPr>
          <w:kern w:val="0"/>
        </w:rPr>
        <w:t>Article Number: 76</w:t>
      </w:r>
      <w:r>
        <w:rPr>
          <w:rFonts w:hint="eastAsia"/>
          <w:kern w:val="0"/>
        </w:rPr>
        <w:t>.</w:t>
      </w:r>
    </w:p>
    <w:p w:rsidR="00F72919" w:rsidRPr="003862C4" w:rsidRDefault="00F72919" w:rsidP="00F72919">
      <w:pPr>
        <w:pStyle w:val="a3"/>
      </w:pPr>
      <w:r>
        <w:rPr>
          <w:rFonts w:hint="eastAsia"/>
        </w:rPr>
        <w:t xml:space="preserve">Full Text: </w:t>
      </w:r>
      <w:hyperlink r:id="rId1584" w:history="1">
        <w:r w:rsidRPr="00172B6E">
          <w:rPr>
            <w:rStyle w:val="a5"/>
          </w:rPr>
          <w:t>2009\BMC Hea Ser Res9, 76.pdf</w:t>
        </w:r>
      </w:hyperlink>
    </w:p>
    <w:p w:rsidR="00F72919" w:rsidRDefault="00F72919" w:rsidP="00F72919">
      <w:pPr>
        <w:pStyle w:val="a3"/>
        <w:rPr>
          <w:kern w:val="0"/>
        </w:rPr>
      </w:pPr>
      <w:r>
        <w:rPr>
          <w:kern w:val="0"/>
        </w:rPr>
        <w:t>Abstract: Background: Studies on differences between immigrant</w:t>
      </w:r>
      <w:r w:rsidR="005853A9">
        <w:rPr>
          <w:kern w:val="0"/>
        </w:rPr>
        <w:t xml:space="preserve"> and </w:t>
      </w:r>
      <w:r>
        <w:rPr>
          <w:kern w:val="0"/>
        </w:rPr>
        <w:t>non-immigrant groups in health care utilization vary with respect to</w:t>
      </w:r>
      <w:r w:rsidR="003A1917">
        <w:rPr>
          <w:kern w:val="0"/>
        </w:rPr>
        <w:t xml:space="preserve"> the </w:t>
      </w:r>
      <w:r>
        <w:rPr>
          <w:kern w:val="0"/>
        </w:rPr>
        <w:t>extent</w:t>
      </w:r>
      <w:r w:rsidR="005853A9">
        <w:rPr>
          <w:kern w:val="0"/>
        </w:rPr>
        <w:t xml:space="preserve"> and </w:t>
      </w:r>
      <w:r>
        <w:rPr>
          <w:kern w:val="0"/>
        </w:rPr>
        <w:t>direction</w:t>
      </w:r>
      <w:r w:rsidR="00427468">
        <w:rPr>
          <w:kern w:val="0"/>
        </w:rPr>
        <w:t xml:space="preserve"> of </w:t>
      </w:r>
      <w:r>
        <w:rPr>
          <w:kern w:val="0"/>
        </w:rPr>
        <w:t>differences in use</w:t>
      </w:r>
      <w:r w:rsidR="00A37C1D">
        <w:rPr>
          <w:kern w:val="0"/>
        </w:rPr>
        <w:t>. The</w:t>
      </w:r>
      <w:r>
        <w:rPr>
          <w:kern w:val="0"/>
        </w:rPr>
        <w:t>refore, our study aimed to provide a systematic overview</w:t>
      </w:r>
      <w:r w:rsidR="00427468">
        <w:rPr>
          <w:kern w:val="0"/>
        </w:rPr>
        <w:t xml:space="preserve"> of </w:t>
      </w:r>
      <w:r w:rsidR="003A1917">
        <w:rPr>
          <w:kern w:val="0"/>
        </w:rPr>
        <w:t xml:space="preserve">the </w:t>
      </w:r>
      <w:r>
        <w:rPr>
          <w:kern w:val="0"/>
        </w:rPr>
        <w:t>existing research on differences in primary care utilization between immigrant groups</w:t>
      </w:r>
      <w:r w:rsidR="005853A9">
        <w:rPr>
          <w:kern w:val="0"/>
        </w:rPr>
        <w:t xml:space="preserve"> and </w:t>
      </w:r>
      <w:r w:rsidR="003A1917">
        <w:rPr>
          <w:kern w:val="0"/>
        </w:rPr>
        <w:t xml:space="preserve">the </w:t>
      </w:r>
      <w:r>
        <w:rPr>
          <w:kern w:val="0"/>
        </w:rPr>
        <w:t xml:space="preserve">majority population. Methods: For this review PUBMED, PsycInfo, Cinahl, Sociofile,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Current Contents were consulted. Study selection</w:t>
      </w:r>
      <w:r w:rsidR="005853A9">
        <w:rPr>
          <w:kern w:val="0"/>
        </w:rPr>
        <w:t xml:space="preserve"> and </w:t>
      </w:r>
      <w:r>
        <w:rPr>
          <w:kern w:val="0"/>
        </w:rPr>
        <w:t>quality assessment was performed using a predefined protocol by 2 reviewers independently</w:t>
      </w:r>
      <w:r w:rsidR="00427468">
        <w:rPr>
          <w:kern w:val="0"/>
        </w:rPr>
        <w:t xml:space="preserve"> of </w:t>
      </w:r>
      <w:r>
        <w:rPr>
          <w:kern w:val="0"/>
        </w:rPr>
        <w:t>each other. Only original, quantitative, peer-reviewed papers were taken into account. To account for this hierarchical structure, logistic multilevel analyses were performed to examine</w:t>
      </w:r>
      <w:r w:rsidR="003A1917">
        <w:rPr>
          <w:kern w:val="0"/>
        </w:rPr>
        <w:t xml:space="preserve"> the </w:t>
      </w:r>
      <w:r>
        <w:rPr>
          <w:kern w:val="0"/>
        </w:rPr>
        <w:t>extent to which differences are found across countries</w:t>
      </w:r>
      <w:r w:rsidR="005853A9">
        <w:rPr>
          <w:kern w:val="0"/>
        </w:rPr>
        <w:t xml:space="preserve"> and </w:t>
      </w:r>
      <w:r>
        <w:rPr>
          <w:kern w:val="0"/>
        </w:rPr>
        <w:t>immigrant groups. Differences in primary care use were related to study characteristics, strength</w:t>
      </w:r>
      <w:r w:rsidR="00427468">
        <w:rPr>
          <w:kern w:val="0"/>
        </w:rPr>
        <w:t xml:space="preserve"> of </w:t>
      </w:r>
      <w:r w:rsidR="003A1917">
        <w:rPr>
          <w:kern w:val="0"/>
        </w:rPr>
        <w:t xml:space="preserve">the </w:t>
      </w:r>
      <w:r>
        <w:rPr>
          <w:kern w:val="0"/>
        </w:rPr>
        <w:t>primary care system</w:t>
      </w:r>
      <w:r w:rsidR="005853A9">
        <w:rPr>
          <w:kern w:val="0"/>
        </w:rPr>
        <w:t xml:space="preserve"> and </w:t>
      </w:r>
      <w:r>
        <w:rPr>
          <w:kern w:val="0"/>
        </w:rPr>
        <w:t>methodological quality. Results: A total</w:t>
      </w:r>
      <w:r w:rsidR="00427468">
        <w:rPr>
          <w:kern w:val="0"/>
        </w:rPr>
        <w:t xml:space="preserve"> of </w:t>
      </w:r>
      <w:r>
        <w:rPr>
          <w:kern w:val="0"/>
        </w:rPr>
        <w:t>37 studies from 7 countries met all inclusion criteria. Remarkably, studies performed within</w:t>
      </w:r>
      <w:r w:rsidR="003A1917">
        <w:rPr>
          <w:kern w:val="0"/>
        </w:rPr>
        <w:t xml:space="preserve"> the </w:t>
      </w:r>
      <w:r>
        <w:rPr>
          <w:kern w:val="0"/>
        </w:rPr>
        <w:t>US more often reported a significant lower use among immigrant groups as compared to</w:t>
      </w:r>
      <w:r w:rsidR="003A1917">
        <w:rPr>
          <w:kern w:val="0"/>
        </w:rPr>
        <w:t xml:space="preserve"> the </w:t>
      </w:r>
      <w:r>
        <w:rPr>
          <w:kern w:val="0"/>
        </w:rPr>
        <w:t>majority population than</w:t>
      </w:r>
      <w:r w:rsidR="003A1917">
        <w:rPr>
          <w:kern w:val="0"/>
        </w:rPr>
        <w:t xml:space="preserve"> the </w:t>
      </w:r>
      <w:r>
        <w:rPr>
          <w:kern w:val="0"/>
        </w:rPr>
        <w:t>other countries. As studies scored higher on methodological quality,</w:t>
      </w:r>
      <w:r w:rsidR="003A1917">
        <w:rPr>
          <w:kern w:val="0"/>
        </w:rPr>
        <w:t xml:space="preserve"> the </w:t>
      </w:r>
      <w:r>
        <w:rPr>
          <w:kern w:val="0"/>
        </w:rPr>
        <w:t>likelihood</w:t>
      </w:r>
      <w:r w:rsidR="00427468">
        <w:rPr>
          <w:kern w:val="0"/>
        </w:rPr>
        <w:t xml:space="preserve"> of </w:t>
      </w:r>
      <w:r>
        <w:rPr>
          <w:kern w:val="0"/>
        </w:rPr>
        <w:t>reporting significant differences increased. Adjustment for health status</w:t>
      </w:r>
      <w:r w:rsidR="005853A9">
        <w:rPr>
          <w:kern w:val="0"/>
        </w:rPr>
        <w:t xml:space="preserve"> and </w:t>
      </w:r>
      <w:r>
        <w:rPr>
          <w:kern w:val="0"/>
        </w:rPr>
        <w:t>use</w:t>
      </w:r>
      <w:r w:rsidR="00427468">
        <w:rPr>
          <w:kern w:val="0"/>
        </w:rPr>
        <w:t xml:space="preserve"> of </w:t>
      </w:r>
      <w:r>
        <w:rPr>
          <w:kern w:val="0"/>
        </w:rPr>
        <w:t>culture-/language-adjusted procedures during</w:t>
      </w:r>
      <w:r w:rsidR="003A1917">
        <w:rPr>
          <w:kern w:val="0"/>
        </w:rPr>
        <w:t xml:space="preserve"> the </w:t>
      </w:r>
      <w:r>
        <w:rPr>
          <w:kern w:val="0"/>
        </w:rPr>
        <w:t>data collection were negatively related to reporting significant differences in</w:t>
      </w:r>
      <w:r w:rsidR="003A1917">
        <w:rPr>
          <w:kern w:val="0"/>
        </w:rPr>
        <w:t xml:space="preserve"> the </w:t>
      </w:r>
      <w:r>
        <w:rPr>
          <w:kern w:val="0"/>
        </w:rPr>
        <w:t>studies. Conclusion: Our review underlined</w:t>
      </w:r>
      <w:r w:rsidR="003A1917">
        <w:rPr>
          <w:kern w:val="0"/>
        </w:rPr>
        <w:t xml:space="preserve"> the </w:t>
      </w:r>
      <w:r>
        <w:rPr>
          <w:kern w:val="0"/>
        </w:rPr>
        <w:t>need for careful design in studies</w:t>
      </w:r>
      <w:r w:rsidR="00427468">
        <w:rPr>
          <w:kern w:val="0"/>
        </w:rPr>
        <w:t xml:space="preserve"> of </w:t>
      </w:r>
      <w:r>
        <w:rPr>
          <w:kern w:val="0"/>
        </w:rPr>
        <w:t>differences in health care use between immigrant groups</w:t>
      </w:r>
      <w:r w:rsidR="005853A9">
        <w:rPr>
          <w:kern w:val="0"/>
        </w:rPr>
        <w:t xml:space="preserve"> and </w:t>
      </w:r>
      <w:r w:rsidR="003A1917">
        <w:rPr>
          <w:kern w:val="0"/>
        </w:rPr>
        <w:t xml:space="preserve">the </w:t>
      </w:r>
      <w:r>
        <w:rPr>
          <w:kern w:val="0"/>
        </w:rPr>
        <w:t>majority population</w:t>
      </w:r>
      <w:r w:rsidR="00A37C1D">
        <w:rPr>
          <w:kern w:val="0"/>
        </w:rPr>
        <w:t>. The</w:t>
      </w:r>
      <w:r w:rsidR="003A1917">
        <w:rPr>
          <w:kern w:val="0"/>
        </w:rPr>
        <w:t xml:space="preserve"> </w:t>
      </w:r>
      <w:r>
        <w:rPr>
          <w:kern w:val="0"/>
        </w:rPr>
        <w:t>results from studies concerning differences between immigrant</w:t>
      </w:r>
      <w:r w:rsidR="005853A9">
        <w:rPr>
          <w:kern w:val="0"/>
        </w:rPr>
        <w:t xml:space="preserve"> and </w:t>
      </w:r>
      <w:r w:rsidR="003A1917">
        <w:rPr>
          <w:kern w:val="0"/>
        </w:rPr>
        <w:t xml:space="preserve">the </w:t>
      </w:r>
      <w:r>
        <w:rPr>
          <w:kern w:val="0"/>
        </w:rPr>
        <w:t xml:space="preserve">majority </w:t>
      </w:r>
      <w:r>
        <w:rPr>
          <w:kern w:val="0"/>
        </w:rPr>
        <w:lastRenderedPageBreak/>
        <w:t>population in primary health care use performed within</w:t>
      </w:r>
      <w:r w:rsidR="003A1917">
        <w:rPr>
          <w:kern w:val="0"/>
        </w:rPr>
        <w:t xml:space="preserve"> the </w:t>
      </w:r>
      <w:r>
        <w:rPr>
          <w:kern w:val="0"/>
        </w:rPr>
        <w:t>US might be interpreted as a reflection</w:t>
      </w:r>
      <w:r w:rsidR="00427468">
        <w:rPr>
          <w:kern w:val="0"/>
        </w:rPr>
        <w:t xml:space="preserve"> of </w:t>
      </w:r>
      <w:r>
        <w:rPr>
          <w:kern w:val="0"/>
        </w:rPr>
        <w:t>a weaker primary care system in</w:t>
      </w:r>
      <w:r w:rsidR="003A1917">
        <w:rPr>
          <w:kern w:val="0"/>
        </w:rPr>
        <w:t xml:space="preserve"> the </w:t>
      </w:r>
      <w:r>
        <w:rPr>
          <w:kern w:val="0"/>
        </w:rPr>
        <w:t>US compared to Europe</w:t>
      </w:r>
      <w:r w:rsidR="005853A9">
        <w:rPr>
          <w:kern w:val="0"/>
        </w:rPr>
        <w:t xml:space="preserve"> and </w:t>
      </w:r>
      <w:r>
        <w:rPr>
          <w:kern w:val="0"/>
        </w:rPr>
        <w:t>Canada.</w:t>
      </w:r>
    </w:p>
    <w:p w:rsidR="00F72919" w:rsidRDefault="00F72919" w:rsidP="00F72919">
      <w:pPr>
        <w:pStyle w:val="a3"/>
        <w:rPr>
          <w:kern w:val="0"/>
        </w:rPr>
      </w:pPr>
      <w:r>
        <w:rPr>
          <w:kern w:val="0"/>
        </w:rPr>
        <w:t xml:space="preserve">Keywords: Access, Acculturation, Assessment, Canada, Consultations, Data Collection, Ethnic-Differences, Europe, General-Practice, Health Care, Health Status, Immigrant, Medical, Methods, Mexican-Americans, Overview, Papers, Primary, Primary Care, Primary Health Care, Primary Health-Care, Protocol, PUBMED, Quantitative, Reported Health, Research, Review, Science, Services, Social-Class, Systematic, Systematic Review, US, Utilization, </w:t>
      </w:r>
      <w:r w:rsidR="00D5664A">
        <w:rPr>
          <w:kern w:val="0"/>
        </w:rPr>
        <w:t>Web</w:t>
      </w:r>
      <w:r w:rsidR="00427468">
        <w:rPr>
          <w:kern w:val="0"/>
        </w:rPr>
        <w:t xml:space="preserve"> of </w:t>
      </w:r>
      <w:r w:rsidR="00D5664A">
        <w:rPr>
          <w:kern w:val="0"/>
        </w:rPr>
        <w:t>Science</w:t>
      </w:r>
    </w:p>
    <w:p w:rsidR="00F72919" w:rsidRDefault="00F72919" w:rsidP="00F72919">
      <w:pPr>
        <w:pStyle w:val="a3"/>
        <w:rPr>
          <w:kern w:val="0"/>
        </w:rPr>
      </w:pPr>
      <w:r>
        <w:rPr>
          <w:rFonts w:hint="eastAsia"/>
          <w:kern w:val="0"/>
        </w:rPr>
        <w:t xml:space="preserve">? </w:t>
      </w:r>
      <w:r>
        <w:rPr>
          <w:kern w:val="0"/>
        </w:rPr>
        <w:t>Langer, A.</w:t>
      </w:r>
      <w:r w:rsidR="005853A9">
        <w:rPr>
          <w:kern w:val="0"/>
        </w:rPr>
        <w:t xml:space="preserve"> and </w:t>
      </w:r>
      <w:r>
        <w:rPr>
          <w:kern w:val="0"/>
        </w:rPr>
        <w:t>Rogowski, W. (2009), Systematic review</w:t>
      </w:r>
      <w:r w:rsidR="00427468">
        <w:rPr>
          <w:kern w:val="0"/>
        </w:rPr>
        <w:t xml:space="preserve"> of </w:t>
      </w:r>
      <w:r>
        <w:rPr>
          <w:kern w:val="0"/>
        </w:rPr>
        <w:t>economic evaluations</w:t>
      </w:r>
      <w:r w:rsidR="00427468">
        <w:rPr>
          <w:kern w:val="0"/>
        </w:rPr>
        <w:t xml:space="preserve"> of </w:t>
      </w:r>
      <w:r>
        <w:rPr>
          <w:kern w:val="0"/>
        </w:rPr>
        <w:t>human cell-derived wound care products for</w:t>
      </w:r>
      <w:r w:rsidR="003A1917">
        <w:rPr>
          <w:kern w:val="0"/>
        </w:rPr>
        <w:t xml:space="preserve"> the </w:t>
      </w:r>
      <w:r>
        <w:rPr>
          <w:kern w:val="0"/>
        </w:rPr>
        <w:t>treatment</w:t>
      </w:r>
      <w:r w:rsidR="00427468">
        <w:rPr>
          <w:kern w:val="0"/>
        </w:rPr>
        <w:t xml:space="preserve"> of </w:t>
      </w:r>
      <w:r>
        <w:rPr>
          <w:kern w:val="0"/>
        </w:rPr>
        <w:t>venous leg</w:t>
      </w:r>
      <w:r w:rsidR="005853A9">
        <w:rPr>
          <w:kern w:val="0"/>
        </w:rPr>
        <w:t xml:space="preserve"> and </w:t>
      </w:r>
      <w:r>
        <w:rPr>
          <w:kern w:val="0"/>
        </w:rPr>
        <w:t xml:space="preserve">diabetic foot ulcers. </w:t>
      </w:r>
      <w:r>
        <w:rPr>
          <w:i/>
          <w:iCs/>
          <w:kern w:val="0"/>
        </w:rPr>
        <w:t>BMC Health Services Research</w:t>
      </w:r>
      <w:r>
        <w:rPr>
          <w:kern w:val="0"/>
        </w:rPr>
        <w:t xml:space="preserve">, </w:t>
      </w:r>
      <w:r>
        <w:rPr>
          <w:b/>
          <w:bCs/>
          <w:kern w:val="0"/>
        </w:rPr>
        <w:t>9</w:t>
      </w:r>
      <w:r>
        <w:rPr>
          <w:rFonts w:hint="eastAsia"/>
          <w:kern w:val="0"/>
        </w:rPr>
        <w:t xml:space="preserve">, </w:t>
      </w:r>
      <w:r w:rsidRPr="002E65A4">
        <w:rPr>
          <w:kern w:val="0"/>
        </w:rPr>
        <w:t>Article Number: 115</w:t>
      </w:r>
      <w:r>
        <w:rPr>
          <w:rFonts w:hint="eastAsia"/>
          <w:kern w:val="0"/>
        </w:rPr>
        <w:t>.</w:t>
      </w:r>
    </w:p>
    <w:p w:rsidR="00F72919" w:rsidRPr="003862C4" w:rsidRDefault="00F72919" w:rsidP="00F72919">
      <w:pPr>
        <w:pStyle w:val="a3"/>
      </w:pPr>
      <w:r>
        <w:rPr>
          <w:rFonts w:hint="eastAsia"/>
        </w:rPr>
        <w:t xml:space="preserve">Full Text: </w:t>
      </w:r>
      <w:hyperlink r:id="rId1585" w:history="1">
        <w:r w:rsidRPr="00172B6E">
          <w:rPr>
            <w:rStyle w:val="a5"/>
          </w:rPr>
          <w:t>2009\BMC Hea Ser Res9, 115.pdf</w:t>
        </w:r>
      </w:hyperlink>
    </w:p>
    <w:p w:rsidR="00F72919" w:rsidRDefault="00F72919" w:rsidP="00F72919">
      <w:pPr>
        <w:pStyle w:val="a3"/>
        <w:rPr>
          <w:kern w:val="0"/>
        </w:rPr>
      </w:pPr>
      <w:r>
        <w:rPr>
          <w:kern w:val="0"/>
        </w:rPr>
        <w:t>Abstract: Background: Tissue engineering is an emerging field. Novel bioengineered skin substitutes</w:t>
      </w:r>
      <w:r w:rsidR="005853A9">
        <w:rPr>
          <w:kern w:val="0"/>
        </w:rPr>
        <w:t xml:space="preserve"> and </w:t>
      </w:r>
      <w:r>
        <w:rPr>
          <w:kern w:val="0"/>
        </w:rPr>
        <w:t>genetically derived growth factors offer innovative approaches to reduce</w:t>
      </w:r>
      <w:r w:rsidR="003A1917">
        <w:rPr>
          <w:kern w:val="0"/>
        </w:rPr>
        <w:t xml:space="preserve"> the </w:t>
      </w:r>
      <w:r>
        <w:rPr>
          <w:kern w:val="0"/>
        </w:rPr>
        <w:t>burden</w:t>
      </w:r>
      <w:r w:rsidR="00427468">
        <w:rPr>
          <w:kern w:val="0"/>
        </w:rPr>
        <w:t xml:space="preserve"> of </w:t>
      </w:r>
      <w:r>
        <w:rPr>
          <w:kern w:val="0"/>
        </w:rPr>
        <w:t>diabetic foot</w:t>
      </w:r>
      <w:r w:rsidR="005853A9">
        <w:rPr>
          <w:kern w:val="0"/>
        </w:rPr>
        <w:t xml:space="preserve"> and </w:t>
      </w:r>
      <w:r>
        <w:rPr>
          <w:kern w:val="0"/>
        </w:rPr>
        <w:t>venous leg ulcers for both patients</w:t>
      </w:r>
      <w:r w:rsidR="005853A9">
        <w:rPr>
          <w:kern w:val="0"/>
        </w:rPr>
        <w:t xml:space="preserve"> and </w:t>
      </w:r>
      <w:r>
        <w:rPr>
          <w:kern w:val="0"/>
        </w:rPr>
        <w:t>health care systems. However, they frequently are very costly. Based on a systematic review</w:t>
      </w:r>
      <w:r w:rsidR="00427468">
        <w:rPr>
          <w:kern w:val="0"/>
        </w:rPr>
        <w:t xml:space="preserve"> of </w:t>
      </w:r>
      <w:r w:rsidR="003A1917">
        <w:rPr>
          <w:kern w:val="0"/>
        </w:rPr>
        <w:t xml:space="preserve">the </w:t>
      </w:r>
      <w:r>
        <w:rPr>
          <w:kern w:val="0"/>
        </w:rPr>
        <w:t>literature, this study assesses</w:t>
      </w:r>
      <w:r w:rsidR="003A1917">
        <w:rPr>
          <w:kern w:val="0"/>
        </w:rPr>
        <w:t xml:space="preserve"> the </w:t>
      </w:r>
      <w:r>
        <w:rPr>
          <w:kern w:val="0"/>
        </w:rPr>
        <w:t>cost-effectiveness</w:t>
      </w:r>
      <w:r w:rsidR="00427468">
        <w:rPr>
          <w:kern w:val="0"/>
        </w:rPr>
        <w:t xml:space="preserve"> of </w:t>
      </w:r>
      <w:r>
        <w:rPr>
          <w:kern w:val="0"/>
        </w:rPr>
        <w:t>these growth factors</w:t>
      </w:r>
      <w:r w:rsidR="005853A9">
        <w:rPr>
          <w:kern w:val="0"/>
        </w:rPr>
        <w:t xml:space="preserve"> and </w:t>
      </w:r>
      <w:r>
        <w:rPr>
          <w:kern w:val="0"/>
        </w:rPr>
        <w:t>tissue-engineered artificial skin for treating chronic wounds. Methods: On</w:t>
      </w:r>
      <w:r w:rsidR="003A1917">
        <w:rPr>
          <w:kern w:val="0"/>
        </w:rPr>
        <w:t xml:space="preserve"> the </w:t>
      </w:r>
      <w:r>
        <w:rPr>
          <w:kern w:val="0"/>
        </w:rPr>
        <w:t>basis</w:t>
      </w:r>
      <w:r w:rsidR="00427468">
        <w:rPr>
          <w:kern w:val="0"/>
        </w:rPr>
        <w:t xml:space="preserve"> of </w:t>
      </w:r>
      <w:r>
        <w:rPr>
          <w:kern w:val="0"/>
        </w:rPr>
        <w:t>an extensive explorative search, an appropriate algorithm for a systematic database search was developed</w:t>
      </w:r>
      <w:r w:rsidR="00A37C1D">
        <w:rPr>
          <w:kern w:val="0"/>
        </w:rPr>
        <w:t>. The</w:t>
      </w:r>
      <w:r w:rsidR="003A1917">
        <w:rPr>
          <w:kern w:val="0"/>
        </w:rPr>
        <w:t xml:space="preserve"> </w:t>
      </w:r>
      <w:r>
        <w:rPr>
          <w:kern w:val="0"/>
        </w:rPr>
        <w:t xml:space="preserve">following databases were searched: BIOSIS Previews, CRD databases, Cochrane Library, EconLit, EMBASE, </w:t>
      </w:r>
      <w:r w:rsidR="00D5664A">
        <w:rPr>
          <w:kern w:val="0"/>
        </w:rPr>
        <w:t>MEDLINE</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Only completed</w:t>
      </w:r>
      <w:r w:rsidR="005853A9">
        <w:rPr>
          <w:kern w:val="0"/>
        </w:rPr>
        <w:t xml:space="preserve"> and </w:t>
      </w:r>
      <w:r>
        <w:rPr>
          <w:kern w:val="0"/>
        </w:rPr>
        <w:t>published trial-or model-based studies which contained a full economic evaluation</w:t>
      </w:r>
      <w:r w:rsidR="00427468">
        <w:rPr>
          <w:kern w:val="0"/>
        </w:rPr>
        <w:t xml:space="preserve"> of </w:t>
      </w:r>
      <w:r>
        <w:rPr>
          <w:kern w:val="0"/>
        </w:rPr>
        <w:t>growth factors</w:t>
      </w:r>
      <w:r w:rsidR="005853A9">
        <w:rPr>
          <w:kern w:val="0"/>
        </w:rPr>
        <w:t xml:space="preserve"> and </w:t>
      </w:r>
      <w:r>
        <w:rPr>
          <w:kern w:val="0"/>
        </w:rPr>
        <w:t>bioengineered skin substitutes for</w:t>
      </w:r>
      <w:r w:rsidR="003A1917">
        <w:rPr>
          <w:kern w:val="0"/>
        </w:rPr>
        <w:t xml:space="preserve"> the </w:t>
      </w:r>
      <w:r>
        <w:rPr>
          <w:kern w:val="0"/>
        </w:rPr>
        <w:t>treatment</w:t>
      </w:r>
      <w:r w:rsidR="00427468">
        <w:rPr>
          <w:kern w:val="0"/>
        </w:rPr>
        <w:t xml:space="preserve"> of </w:t>
      </w:r>
      <w:r>
        <w:rPr>
          <w:kern w:val="0"/>
        </w:rPr>
        <w:t>chronic wounds were included. Two reviewers independently undertook</w:t>
      </w:r>
      <w:r w:rsidR="003A1917">
        <w:rPr>
          <w:kern w:val="0"/>
        </w:rPr>
        <w:t xml:space="preserve"> the </w:t>
      </w:r>
      <w:r>
        <w:rPr>
          <w:kern w:val="0"/>
        </w:rPr>
        <w:t>assessment</w:t>
      </w:r>
      <w:r w:rsidR="00427468">
        <w:rPr>
          <w:kern w:val="0"/>
        </w:rPr>
        <w:t xml:space="preserve"> of </w:t>
      </w:r>
      <w:r>
        <w:rPr>
          <w:kern w:val="0"/>
        </w:rPr>
        <w:t>study quality</w:t>
      </w:r>
      <w:r w:rsidR="00A37C1D">
        <w:rPr>
          <w:kern w:val="0"/>
        </w:rPr>
        <w:t>. The</w:t>
      </w:r>
      <w:r w:rsidR="003A1917">
        <w:rPr>
          <w:kern w:val="0"/>
        </w:rPr>
        <w:t xml:space="preserve"> </w:t>
      </w:r>
      <w:r>
        <w:rPr>
          <w:kern w:val="0"/>
        </w:rPr>
        <w:t>relevant studies were assessed by a modified version</w:t>
      </w:r>
      <w:r w:rsidR="00427468">
        <w:rPr>
          <w:kern w:val="0"/>
        </w:rPr>
        <w:t xml:space="preserve"> of </w:t>
      </w:r>
      <w:r w:rsidR="003A1917">
        <w:rPr>
          <w:kern w:val="0"/>
        </w:rPr>
        <w:t xml:space="preserve">the </w:t>
      </w:r>
      <w:r>
        <w:rPr>
          <w:kern w:val="0"/>
        </w:rPr>
        <w:t>Consensus on Health Economic Criteria (CHEC) list</w:t>
      </w:r>
      <w:r w:rsidR="005853A9">
        <w:rPr>
          <w:kern w:val="0"/>
        </w:rPr>
        <w:t xml:space="preserve"> and </w:t>
      </w:r>
      <w:r>
        <w:rPr>
          <w:kern w:val="0"/>
        </w:rPr>
        <w:t>a published checklist for evaluating model-based economic evaluations. Results: Eleven health economic evaluations were included. Three biotechnology products were identified for which topical growth factors or bioengineered skin substitutes for</w:t>
      </w:r>
      <w:r w:rsidR="003A1917">
        <w:rPr>
          <w:kern w:val="0"/>
        </w:rPr>
        <w:t xml:space="preserve"> the </w:t>
      </w:r>
      <w:r>
        <w:rPr>
          <w:kern w:val="0"/>
        </w:rPr>
        <w:t>treatment</w:t>
      </w:r>
      <w:r w:rsidR="00427468">
        <w:rPr>
          <w:kern w:val="0"/>
        </w:rPr>
        <w:t xml:space="preserve"> of </w:t>
      </w:r>
      <w:r>
        <w:rPr>
          <w:kern w:val="0"/>
        </w:rPr>
        <w:t>chronic leg ulceration were economically assessed: (1) Apligraf (R), a bilayered living human skin equivalent indicated for</w:t>
      </w:r>
      <w:r w:rsidR="003A1917">
        <w:rPr>
          <w:kern w:val="0"/>
        </w:rPr>
        <w:t xml:space="preserve"> the </w:t>
      </w:r>
      <w:r>
        <w:rPr>
          <w:kern w:val="0"/>
        </w:rPr>
        <w:t>treatment</w:t>
      </w:r>
      <w:r w:rsidR="00427468">
        <w:rPr>
          <w:kern w:val="0"/>
        </w:rPr>
        <w:t xml:space="preserve"> of </w:t>
      </w:r>
      <w:r>
        <w:rPr>
          <w:kern w:val="0"/>
        </w:rPr>
        <w:t>diabetic foot</w:t>
      </w:r>
      <w:r w:rsidR="005853A9">
        <w:rPr>
          <w:kern w:val="0"/>
        </w:rPr>
        <w:t xml:space="preserve"> and </w:t>
      </w:r>
      <w:r>
        <w:rPr>
          <w:kern w:val="0"/>
        </w:rPr>
        <w:t>venous leg ulcers (five studies); (2) Dermagraft (R), a human fibroblast-derived dermal substitute, which is indicated only for use in</w:t>
      </w:r>
      <w:r w:rsidR="003A1917">
        <w:rPr>
          <w:kern w:val="0"/>
        </w:rPr>
        <w:t xml:space="preserve"> the </w:t>
      </w:r>
      <w:r>
        <w:rPr>
          <w:kern w:val="0"/>
        </w:rPr>
        <w:t>treatment</w:t>
      </w:r>
      <w:r w:rsidR="00427468">
        <w:rPr>
          <w:kern w:val="0"/>
        </w:rPr>
        <w:t xml:space="preserve"> of </w:t>
      </w:r>
      <w:r>
        <w:rPr>
          <w:kern w:val="0"/>
        </w:rPr>
        <w:t>full-thickness diabetic foot ulcers (one study); (3) REGRANEX (R) Gel, a human platelet-derived growth factor for</w:t>
      </w:r>
      <w:r w:rsidR="003A1917">
        <w:rPr>
          <w:kern w:val="0"/>
        </w:rPr>
        <w:t xml:space="preserve"> the </w:t>
      </w:r>
      <w:r>
        <w:rPr>
          <w:kern w:val="0"/>
        </w:rPr>
        <w:t>treatment</w:t>
      </w:r>
      <w:r w:rsidR="00427468">
        <w:rPr>
          <w:kern w:val="0"/>
        </w:rPr>
        <w:t xml:space="preserve"> of </w:t>
      </w:r>
      <w:r>
        <w:rPr>
          <w:kern w:val="0"/>
        </w:rPr>
        <w:t>deep neuropathic diabetic foot ulcers (five studies)</w:t>
      </w:r>
      <w:r w:rsidR="00A37C1D">
        <w:rPr>
          <w:kern w:val="0"/>
        </w:rPr>
        <w:t>. The</w:t>
      </w:r>
      <w:r w:rsidR="003A1917">
        <w:rPr>
          <w:kern w:val="0"/>
        </w:rPr>
        <w:t xml:space="preserve"> </w:t>
      </w:r>
      <w:r>
        <w:rPr>
          <w:kern w:val="0"/>
        </w:rPr>
        <w:t>studies considered in this review were</w:t>
      </w:r>
      <w:r w:rsidR="00427468">
        <w:rPr>
          <w:kern w:val="0"/>
        </w:rPr>
        <w:t xml:space="preserve"> of </w:t>
      </w:r>
      <w:r>
        <w:rPr>
          <w:kern w:val="0"/>
        </w:rPr>
        <w:t>varying</w:t>
      </w:r>
      <w:r w:rsidR="005853A9">
        <w:rPr>
          <w:kern w:val="0"/>
        </w:rPr>
        <w:t xml:space="preserve"> and </w:t>
      </w:r>
      <w:r>
        <w:rPr>
          <w:kern w:val="0"/>
        </w:rPr>
        <w:t>partly low methodological quality</w:t>
      </w:r>
      <w:r w:rsidR="00A37C1D">
        <w:rPr>
          <w:kern w:val="0"/>
        </w:rPr>
        <w:t>. The</w:t>
      </w:r>
      <w:r>
        <w:rPr>
          <w:kern w:val="0"/>
        </w:rPr>
        <w:t>y calculated that due to shorter treatment periods, fewer complications</w:t>
      </w:r>
      <w:r w:rsidR="005853A9">
        <w:rPr>
          <w:kern w:val="0"/>
        </w:rPr>
        <w:t xml:space="preserve"> and </w:t>
      </w:r>
      <w:r>
        <w:rPr>
          <w:kern w:val="0"/>
        </w:rPr>
        <w:t>fewer inpatient episodes</w:t>
      </w:r>
      <w:r w:rsidR="003A1917">
        <w:rPr>
          <w:kern w:val="0"/>
        </w:rPr>
        <w:t xml:space="preserve"> </w:t>
      </w:r>
      <w:r w:rsidR="003A1917">
        <w:rPr>
          <w:kern w:val="0"/>
        </w:rPr>
        <w:lastRenderedPageBreak/>
        <w:t xml:space="preserve">the </w:t>
      </w:r>
      <w:r>
        <w:rPr>
          <w:kern w:val="0"/>
        </w:rPr>
        <w:t>initial cost</w:t>
      </w:r>
      <w:r w:rsidR="00427468">
        <w:rPr>
          <w:kern w:val="0"/>
        </w:rPr>
        <w:t xml:space="preserve"> of </w:t>
      </w:r>
      <w:r w:rsidR="003A1917">
        <w:rPr>
          <w:kern w:val="0"/>
        </w:rPr>
        <w:t xml:space="preserve">the </w:t>
      </w:r>
      <w:r>
        <w:rPr>
          <w:kern w:val="0"/>
        </w:rPr>
        <w:t>novel biotechnology products may be offset, making</w:t>
      </w:r>
      <w:r w:rsidR="003A1917">
        <w:rPr>
          <w:kern w:val="0"/>
        </w:rPr>
        <w:t xml:space="preserve"> the </w:t>
      </w:r>
      <w:r>
        <w:rPr>
          <w:kern w:val="0"/>
        </w:rPr>
        <w:t>treatment cost-effective or even cost-saving</w:t>
      </w:r>
      <w:r w:rsidR="00A37C1D">
        <w:rPr>
          <w:kern w:val="0"/>
        </w:rPr>
        <w:t>. The</w:t>
      </w:r>
      <w:r w:rsidR="003A1917">
        <w:rPr>
          <w:kern w:val="0"/>
        </w:rPr>
        <w:t xml:space="preserve"> </w:t>
      </w:r>
      <w:r>
        <w:rPr>
          <w:kern w:val="0"/>
        </w:rPr>
        <w:t>results</w:t>
      </w:r>
      <w:r w:rsidR="00427468">
        <w:rPr>
          <w:kern w:val="0"/>
        </w:rPr>
        <w:t xml:space="preserve"> of </w:t>
      </w:r>
      <w:r>
        <w:rPr>
          <w:kern w:val="0"/>
        </w:rPr>
        <w:t>most studies were sensitive to initial costs</w:t>
      </w:r>
      <w:r w:rsidR="00427468">
        <w:rPr>
          <w:kern w:val="0"/>
        </w:rPr>
        <w:t xml:space="preserve"> of </w:t>
      </w:r>
      <w:r w:rsidR="003A1917">
        <w:rPr>
          <w:kern w:val="0"/>
        </w:rPr>
        <w:t xml:space="preserve">the </w:t>
      </w:r>
      <w:r>
        <w:rPr>
          <w:kern w:val="0"/>
        </w:rPr>
        <w:t>products</w:t>
      </w:r>
      <w:r w:rsidR="005853A9">
        <w:rPr>
          <w:kern w:val="0"/>
        </w:rPr>
        <w:t xml:space="preserve"> and </w:t>
      </w:r>
      <w:r w:rsidR="003A1917">
        <w:rPr>
          <w:kern w:val="0"/>
        </w:rPr>
        <w:t xml:space="preserve">the </w:t>
      </w:r>
      <w:r>
        <w:rPr>
          <w:kern w:val="0"/>
        </w:rPr>
        <w:t>evidence</w:t>
      </w:r>
      <w:r w:rsidR="00427468">
        <w:rPr>
          <w:kern w:val="0"/>
        </w:rPr>
        <w:t xml:space="preserve"> of </w:t>
      </w:r>
      <w:r>
        <w:rPr>
          <w:kern w:val="0"/>
        </w:rPr>
        <w:t>effectiveness. Conclusion:</w:t>
      </w:r>
      <w:r w:rsidR="003A1917">
        <w:rPr>
          <w:kern w:val="0"/>
        </w:rPr>
        <w:t xml:space="preserve"> the </w:t>
      </w:r>
      <w:r>
        <w:rPr>
          <w:kern w:val="0"/>
        </w:rPr>
        <w:t>study results suggest that some growth factors</w:t>
      </w:r>
      <w:r w:rsidR="005853A9">
        <w:rPr>
          <w:kern w:val="0"/>
        </w:rPr>
        <w:t xml:space="preserve"> and </w:t>
      </w:r>
      <w:r>
        <w:rPr>
          <w:kern w:val="0"/>
        </w:rPr>
        <w:t>tissue-engineered artificial skin products feature favourable cost-effectiveness ratios in selected patient groups with chronic wounds. Despite</w:t>
      </w:r>
      <w:r w:rsidR="003A1917">
        <w:rPr>
          <w:kern w:val="0"/>
        </w:rPr>
        <w:t xml:space="preserve"> the </w:t>
      </w:r>
      <w:r>
        <w:rPr>
          <w:kern w:val="0"/>
        </w:rPr>
        <w:t>limitations</w:t>
      </w:r>
      <w:r w:rsidR="00427468">
        <w:rPr>
          <w:kern w:val="0"/>
        </w:rPr>
        <w:t xml:space="preserve"> of </w:t>
      </w:r>
      <w:r w:rsidR="003A1917">
        <w:rPr>
          <w:kern w:val="0"/>
        </w:rPr>
        <w:t xml:space="preserve">the </w:t>
      </w:r>
      <w:r>
        <w:rPr>
          <w:kern w:val="0"/>
        </w:rPr>
        <w:t>studies considered, it is evident that health care providers</w:t>
      </w:r>
      <w:r w:rsidR="005853A9">
        <w:rPr>
          <w:kern w:val="0"/>
        </w:rPr>
        <w:t xml:space="preserve"> and </w:t>
      </w:r>
      <w:r>
        <w:rPr>
          <w:kern w:val="0"/>
        </w:rPr>
        <w:t>coverage decision makers should take not only</w:t>
      </w:r>
      <w:r w:rsidR="003A1917">
        <w:rPr>
          <w:kern w:val="0"/>
        </w:rPr>
        <w:t xml:space="preserve"> the </w:t>
      </w:r>
      <w:r>
        <w:rPr>
          <w:kern w:val="0"/>
        </w:rPr>
        <w:t>high cost</w:t>
      </w:r>
      <w:r w:rsidR="00427468">
        <w:rPr>
          <w:kern w:val="0"/>
        </w:rPr>
        <w:t xml:space="preserve"> of </w:t>
      </w:r>
      <w:r w:rsidR="003A1917">
        <w:rPr>
          <w:kern w:val="0"/>
        </w:rPr>
        <w:t xml:space="preserve">the </w:t>
      </w:r>
      <w:r>
        <w:rPr>
          <w:kern w:val="0"/>
        </w:rPr>
        <w:t>biotechnology product but</w:t>
      </w:r>
      <w:r w:rsidR="003A1917">
        <w:rPr>
          <w:kern w:val="0"/>
        </w:rPr>
        <w:t xml:space="preserve"> the </w:t>
      </w:r>
      <w:r>
        <w:rPr>
          <w:kern w:val="0"/>
        </w:rPr>
        <w:t>total cost</w:t>
      </w:r>
      <w:r w:rsidR="00427468">
        <w:rPr>
          <w:kern w:val="0"/>
        </w:rPr>
        <w:t xml:space="preserve"> of </w:t>
      </w:r>
      <w:r>
        <w:rPr>
          <w:kern w:val="0"/>
        </w:rPr>
        <w:t>care into account when deciding about</w:t>
      </w:r>
      <w:r w:rsidR="003A1917">
        <w:rPr>
          <w:kern w:val="0"/>
        </w:rPr>
        <w:t xml:space="preserve"> the </w:t>
      </w:r>
      <w:r>
        <w:rPr>
          <w:kern w:val="0"/>
        </w:rPr>
        <w:t>appropriate allocation</w:t>
      </w:r>
      <w:r w:rsidR="00427468">
        <w:rPr>
          <w:kern w:val="0"/>
        </w:rPr>
        <w:t xml:space="preserve"> of </w:t>
      </w:r>
      <w:r>
        <w:rPr>
          <w:kern w:val="0"/>
        </w:rPr>
        <w:t>their financial resources. However, not only</w:t>
      </w:r>
      <w:r w:rsidR="003A1917">
        <w:rPr>
          <w:kern w:val="0"/>
        </w:rPr>
        <w:t xml:space="preserve"> the </w:t>
      </w:r>
      <w:r>
        <w:rPr>
          <w:kern w:val="0"/>
        </w:rPr>
        <w:t>cost-effectiveness but first</w:t>
      </w:r>
      <w:r w:rsidR="00427468">
        <w:rPr>
          <w:kern w:val="0"/>
        </w:rPr>
        <w:t xml:space="preserve"> of </w:t>
      </w:r>
      <w:r>
        <w:rPr>
          <w:kern w:val="0"/>
        </w:rPr>
        <w:t>all</w:t>
      </w:r>
      <w:r w:rsidR="003A1917">
        <w:rPr>
          <w:kern w:val="0"/>
        </w:rPr>
        <w:t xml:space="preserve"> the </w:t>
      </w:r>
      <w:r>
        <w:rPr>
          <w:kern w:val="0"/>
        </w:rPr>
        <w:t>effectiveness</w:t>
      </w:r>
      <w:r w:rsidR="00427468">
        <w:rPr>
          <w:kern w:val="0"/>
        </w:rPr>
        <w:t xml:space="preserve"> of </w:t>
      </w:r>
      <w:r>
        <w:rPr>
          <w:kern w:val="0"/>
        </w:rPr>
        <w:t>these novel biotechnology products deserve further research.</w:t>
      </w:r>
    </w:p>
    <w:p w:rsidR="00F72919" w:rsidRDefault="00F72919" w:rsidP="00F72919">
      <w:pPr>
        <w:pStyle w:val="a3"/>
        <w:rPr>
          <w:kern w:val="0"/>
        </w:rPr>
      </w:pPr>
      <w:r>
        <w:rPr>
          <w:kern w:val="0"/>
        </w:rPr>
        <w:t xml:space="preserve">Keywords: Assessment, Becaplermin, Biotechnology, Burden, Cochrane, Cost-Effectiveness, Costs, Countries, Coverage, Databases, Effectiveness, Efficacy, Evaluation, Graftskin, Growth Factor-BB, Health, Health Care, Human, Human Skin Equivalent, Literature, Management, Methods, Quality, Research, Review, Safety, Science, Systematic, Systematic Review, Treatment, </w:t>
      </w:r>
      <w:r w:rsidR="00D5664A">
        <w:rPr>
          <w:kern w:val="0"/>
        </w:rPr>
        <w:t>Web</w:t>
      </w:r>
      <w:r w:rsidR="00427468">
        <w:rPr>
          <w:kern w:val="0"/>
        </w:rPr>
        <w:t xml:space="preserve"> of </w:t>
      </w:r>
      <w:r w:rsidR="00D5664A">
        <w:rPr>
          <w:kern w:val="0"/>
        </w:rPr>
        <w:t>Science</w:t>
      </w:r>
    </w:p>
    <w:p w:rsidR="00F72919" w:rsidRDefault="00F72919" w:rsidP="00F72919">
      <w:pPr>
        <w:pStyle w:val="a3"/>
        <w:rPr>
          <w:kern w:val="0"/>
        </w:rPr>
      </w:pPr>
      <w:r>
        <w:rPr>
          <w:rFonts w:hint="eastAsia"/>
          <w:kern w:val="0"/>
        </w:rPr>
        <w:t xml:space="preserve">? </w:t>
      </w:r>
      <w:r>
        <w:rPr>
          <w:kern w:val="0"/>
        </w:rPr>
        <w:t>Van Herck, P., De Smedt, D., Annemans, L., Remmen, R., Rosenthal, M.B.</w:t>
      </w:r>
      <w:r w:rsidR="005853A9">
        <w:rPr>
          <w:kern w:val="0"/>
        </w:rPr>
        <w:t xml:space="preserve"> and </w:t>
      </w:r>
      <w:r>
        <w:rPr>
          <w:kern w:val="0"/>
        </w:rPr>
        <w:t>Sermeus, W. (2010), Systematic review: Effects, design choices,</w:t>
      </w:r>
      <w:r w:rsidR="005853A9">
        <w:rPr>
          <w:kern w:val="0"/>
        </w:rPr>
        <w:t xml:space="preserve"> and </w:t>
      </w:r>
      <w:r>
        <w:rPr>
          <w:kern w:val="0"/>
        </w:rPr>
        <w:t>context</w:t>
      </w:r>
      <w:r w:rsidR="00427468">
        <w:rPr>
          <w:kern w:val="0"/>
        </w:rPr>
        <w:t xml:space="preserve"> of </w:t>
      </w:r>
      <w:r>
        <w:rPr>
          <w:kern w:val="0"/>
        </w:rPr>
        <w:t xml:space="preserve">pay-for-performance in health care. </w:t>
      </w:r>
      <w:r>
        <w:rPr>
          <w:i/>
          <w:iCs/>
          <w:kern w:val="0"/>
        </w:rPr>
        <w:t>BMC Health Services Research</w:t>
      </w:r>
      <w:r>
        <w:rPr>
          <w:kern w:val="0"/>
        </w:rPr>
        <w:t xml:space="preserve">, </w:t>
      </w:r>
      <w:r>
        <w:rPr>
          <w:b/>
          <w:bCs/>
          <w:kern w:val="0"/>
        </w:rPr>
        <w:t>10</w:t>
      </w:r>
      <w:r>
        <w:rPr>
          <w:rFonts w:hint="eastAsia"/>
          <w:kern w:val="0"/>
        </w:rPr>
        <w:t xml:space="preserve">, </w:t>
      </w:r>
      <w:r w:rsidRPr="002E65A4">
        <w:rPr>
          <w:kern w:val="0"/>
        </w:rPr>
        <w:t>Article Number: 247</w:t>
      </w:r>
      <w:r>
        <w:rPr>
          <w:rFonts w:hint="eastAsia"/>
          <w:kern w:val="0"/>
        </w:rPr>
        <w:t>.</w:t>
      </w:r>
    </w:p>
    <w:p w:rsidR="00F72919" w:rsidRPr="003862C4" w:rsidRDefault="00F72919" w:rsidP="00F72919">
      <w:pPr>
        <w:pStyle w:val="a3"/>
      </w:pPr>
      <w:r>
        <w:rPr>
          <w:rFonts w:hint="eastAsia"/>
        </w:rPr>
        <w:t xml:space="preserve">Full Text: </w:t>
      </w:r>
      <w:hyperlink r:id="rId1586" w:history="1">
        <w:r w:rsidRPr="00C07B1C">
          <w:rPr>
            <w:rStyle w:val="a5"/>
          </w:rPr>
          <w:t>2010\BMC Hea Ser Res10, 247.pdf</w:t>
        </w:r>
      </w:hyperlink>
    </w:p>
    <w:p w:rsidR="00F72919" w:rsidRDefault="00F72919" w:rsidP="00F72919">
      <w:pPr>
        <w:pStyle w:val="a3"/>
        <w:rPr>
          <w:kern w:val="0"/>
        </w:rPr>
      </w:pPr>
      <w:r>
        <w:rPr>
          <w:kern w:val="0"/>
        </w:rPr>
        <w:t>Abstract: Background: Pay-for-performance (P4P) is one</w:t>
      </w:r>
      <w:r w:rsidR="00427468">
        <w:rPr>
          <w:kern w:val="0"/>
        </w:rPr>
        <w:t xml:space="preserve"> of </w:t>
      </w:r>
      <w:r w:rsidR="003A1917">
        <w:rPr>
          <w:kern w:val="0"/>
        </w:rPr>
        <w:t xml:space="preserve">the </w:t>
      </w:r>
      <w:r>
        <w:rPr>
          <w:kern w:val="0"/>
        </w:rPr>
        <w:t>primary tools used to support healthcare delivery reform. Substantial heterogeneity exists in</w:t>
      </w:r>
      <w:r w:rsidR="003A1917">
        <w:rPr>
          <w:kern w:val="0"/>
        </w:rPr>
        <w:t xml:space="preserve"> the </w:t>
      </w:r>
      <w:r>
        <w:rPr>
          <w:kern w:val="0"/>
        </w:rPr>
        <w:t>development</w:t>
      </w:r>
      <w:r w:rsidR="005853A9">
        <w:rPr>
          <w:kern w:val="0"/>
        </w:rPr>
        <w:t xml:space="preserve"> and </w:t>
      </w:r>
      <w:r>
        <w:rPr>
          <w:kern w:val="0"/>
        </w:rPr>
        <w:t>implementation</w:t>
      </w:r>
      <w:r w:rsidR="00427468">
        <w:rPr>
          <w:kern w:val="0"/>
        </w:rPr>
        <w:t xml:space="preserve"> of </w:t>
      </w:r>
      <w:r>
        <w:rPr>
          <w:kern w:val="0"/>
        </w:rPr>
        <w:t>P4P in health care</w:t>
      </w:r>
      <w:r w:rsidR="005853A9">
        <w:rPr>
          <w:kern w:val="0"/>
        </w:rPr>
        <w:t xml:space="preserve"> and </w:t>
      </w:r>
      <w:r>
        <w:rPr>
          <w:kern w:val="0"/>
        </w:rPr>
        <w:t>its effects. This paper summarizes evidence, obtained from studies published between January 1990</w:t>
      </w:r>
      <w:r w:rsidR="005853A9">
        <w:rPr>
          <w:kern w:val="0"/>
        </w:rPr>
        <w:t xml:space="preserve"> and </w:t>
      </w:r>
      <w:r>
        <w:rPr>
          <w:kern w:val="0"/>
        </w:rPr>
        <w:t>July 2009, concerning P4P effects, as well as evidence on</w:t>
      </w:r>
      <w:r w:rsidR="003A1917">
        <w:rPr>
          <w:kern w:val="0"/>
        </w:rPr>
        <w:t xml:space="preserve"> the </w:t>
      </w:r>
      <w:r>
        <w:rPr>
          <w:kern w:val="0"/>
        </w:rPr>
        <w:t>impact</w:t>
      </w:r>
      <w:r w:rsidR="00427468">
        <w:rPr>
          <w:kern w:val="0"/>
        </w:rPr>
        <w:t xml:space="preserve"> of </w:t>
      </w:r>
      <w:r>
        <w:rPr>
          <w:kern w:val="0"/>
        </w:rPr>
        <w:t>design choices</w:t>
      </w:r>
      <w:r w:rsidR="005853A9">
        <w:rPr>
          <w:kern w:val="0"/>
        </w:rPr>
        <w:t xml:space="preserve"> and </w:t>
      </w:r>
      <w:r>
        <w:rPr>
          <w:kern w:val="0"/>
        </w:rPr>
        <w:t>contextual mediators on these effects. Effect domains include clinical effectiveness, access</w:t>
      </w:r>
      <w:r w:rsidR="005853A9">
        <w:rPr>
          <w:kern w:val="0"/>
        </w:rPr>
        <w:t xml:space="preserve"> and </w:t>
      </w:r>
      <w:r>
        <w:rPr>
          <w:kern w:val="0"/>
        </w:rPr>
        <w:t>equity, coordination</w:t>
      </w:r>
      <w:r w:rsidR="005853A9">
        <w:rPr>
          <w:kern w:val="0"/>
        </w:rPr>
        <w:t xml:space="preserve"> and </w:t>
      </w:r>
      <w:r>
        <w:rPr>
          <w:kern w:val="0"/>
        </w:rPr>
        <w:t>continuity, patient centeredness,</w:t>
      </w:r>
      <w:r w:rsidR="005853A9">
        <w:rPr>
          <w:kern w:val="0"/>
        </w:rPr>
        <w:t xml:space="preserve"> and </w:t>
      </w:r>
      <w:r>
        <w:rPr>
          <w:kern w:val="0"/>
        </w:rPr>
        <w:t>cost-effectiveness. Methods:</w:t>
      </w:r>
      <w:r w:rsidR="003A1917">
        <w:rPr>
          <w:kern w:val="0"/>
        </w:rPr>
        <w:t xml:space="preserve"> the </w:t>
      </w:r>
      <w:r>
        <w:rPr>
          <w:kern w:val="0"/>
        </w:rPr>
        <w:t>systematic review made use</w:t>
      </w:r>
      <w:r w:rsidR="00427468">
        <w:rPr>
          <w:kern w:val="0"/>
        </w:rPr>
        <w:t xml:space="preserve"> of </w:t>
      </w:r>
      <w:r>
        <w:rPr>
          <w:kern w:val="0"/>
        </w:rPr>
        <w:t>electronic database searching, reference screening, forward citation tracking</w:t>
      </w:r>
      <w:r w:rsidR="005853A9">
        <w:rPr>
          <w:kern w:val="0"/>
        </w:rPr>
        <w:t xml:space="preserve"> and </w:t>
      </w:r>
      <w:r>
        <w:rPr>
          <w:kern w:val="0"/>
        </w:rPr>
        <w:t>expert consultation</w:t>
      </w:r>
      <w:r w:rsidR="00A37C1D">
        <w:rPr>
          <w:kern w:val="0"/>
        </w:rPr>
        <w:t>. The</w:t>
      </w:r>
      <w:r w:rsidR="003A1917">
        <w:rPr>
          <w:kern w:val="0"/>
        </w:rPr>
        <w:t xml:space="preserve"> </w:t>
      </w:r>
      <w:r>
        <w:rPr>
          <w:kern w:val="0"/>
        </w:rPr>
        <w:t xml:space="preserve">following databases were searched: Cochrane Library, EconLit, EMBASE, </w:t>
      </w:r>
      <w:r w:rsidR="00D5664A">
        <w:rPr>
          <w:kern w:val="0"/>
        </w:rPr>
        <w:t>MEDLINE</w:t>
      </w:r>
      <w:r>
        <w:rPr>
          <w:kern w:val="0"/>
        </w:rPr>
        <w:t>, PsychINFO,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Studies that evaluate P4P effects in primary care or acute hospital care medicine were included. Papers concerning other target groups or settings, having no empirical evaluation design or not complying with</w:t>
      </w:r>
      <w:r w:rsidR="003A1917">
        <w:rPr>
          <w:kern w:val="0"/>
        </w:rPr>
        <w:t xml:space="preserve"> the </w:t>
      </w:r>
      <w:r>
        <w:rPr>
          <w:kern w:val="0"/>
        </w:rPr>
        <w:t>P4P definition were excluded. According to study design nine validated quality appraisal tools</w:t>
      </w:r>
      <w:r w:rsidR="005853A9">
        <w:rPr>
          <w:kern w:val="0"/>
        </w:rPr>
        <w:t xml:space="preserve"> and </w:t>
      </w:r>
      <w:r>
        <w:rPr>
          <w:kern w:val="0"/>
        </w:rPr>
        <w:t>reporting statements were applied. Data were extracted</w:t>
      </w:r>
      <w:r w:rsidR="005853A9">
        <w:rPr>
          <w:kern w:val="0"/>
        </w:rPr>
        <w:t xml:space="preserve"> and </w:t>
      </w:r>
      <w:r>
        <w:rPr>
          <w:kern w:val="0"/>
        </w:rPr>
        <w:t>summarized into evidence tables independently by two reviewers. Results: One hundred twenty-eight evaluation studies provide a large body</w:t>
      </w:r>
      <w:r w:rsidR="00427468">
        <w:rPr>
          <w:kern w:val="0"/>
        </w:rPr>
        <w:t xml:space="preserve"> of </w:t>
      </w:r>
      <w:r>
        <w:rPr>
          <w:kern w:val="0"/>
        </w:rPr>
        <w:t>evidence -to be interpreted with caution-concerning</w:t>
      </w:r>
      <w:r w:rsidR="003A1917">
        <w:rPr>
          <w:kern w:val="0"/>
        </w:rPr>
        <w:t xml:space="preserve"> the </w:t>
      </w:r>
      <w:r>
        <w:rPr>
          <w:kern w:val="0"/>
        </w:rPr>
        <w:t>effects</w:t>
      </w:r>
      <w:r w:rsidR="00427468">
        <w:rPr>
          <w:kern w:val="0"/>
        </w:rPr>
        <w:t xml:space="preserve"> of </w:t>
      </w:r>
      <w:r>
        <w:rPr>
          <w:kern w:val="0"/>
        </w:rPr>
        <w:t xml:space="preserve">P4P on clinical </w:t>
      </w:r>
      <w:r>
        <w:rPr>
          <w:kern w:val="0"/>
        </w:rPr>
        <w:lastRenderedPageBreak/>
        <w:t>effectiveness</w:t>
      </w:r>
      <w:r w:rsidR="005853A9">
        <w:rPr>
          <w:kern w:val="0"/>
        </w:rPr>
        <w:t xml:space="preserve"> and </w:t>
      </w:r>
      <w:r>
        <w:rPr>
          <w:kern w:val="0"/>
        </w:rPr>
        <w:t>equity</w:t>
      </w:r>
      <w:r w:rsidR="00427468">
        <w:rPr>
          <w:kern w:val="0"/>
        </w:rPr>
        <w:t xml:space="preserve"> of </w:t>
      </w:r>
      <w:r>
        <w:rPr>
          <w:kern w:val="0"/>
        </w:rPr>
        <w:t>care. However, less evidence on</w:t>
      </w:r>
      <w:r w:rsidR="003A1917">
        <w:rPr>
          <w:kern w:val="0"/>
        </w:rPr>
        <w:t xml:space="preserve"> the </w:t>
      </w:r>
      <w:r>
        <w:rPr>
          <w:kern w:val="0"/>
        </w:rPr>
        <w:t>impact on coordination, continuity, patient-centeredness</w:t>
      </w:r>
      <w:r w:rsidR="005853A9">
        <w:rPr>
          <w:kern w:val="0"/>
        </w:rPr>
        <w:t xml:space="preserve"> and </w:t>
      </w:r>
      <w:r>
        <w:rPr>
          <w:kern w:val="0"/>
        </w:rPr>
        <w:t>cost-effectiveness was found. P4P effects can be judged to be encouraging or disappointing, depending on</w:t>
      </w:r>
      <w:r w:rsidR="003A1917">
        <w:rPr>
          <w:kern w:val="0"/>
        </w:rPr>
        <w:t xml:space="preserve"> the </w:t>
      </w:r>
      <w:r>
        <w:rPr>
          <w:kern w:val="0"/>
        </w:rPr>
        <w:t>primary mission</w:t>
      </w:r>
      <w:r w:rsidR="00427468">
        <w:rPr>
          <w:kern w:val="0"/>
        </w:rPr>
        <w:t xml:space="preserve"> of </w:t>
      </w:r>
      <w:r w:rsidR="003A1917">
        <w:rPr>
          <w:kern w:val="0"/>
        </w:rPr>
        <w:t xml:space="preserve">the </w:t>
      </w:r>
      <w:r>
        <w:rPr>
          <w:kern w:val="0"/>
        </w:rPr>
        <w:t>P4P program: supporting minimal quality standards and/or boosting quality improvement. Moreover,</w:t>
      </w:r>
      <w:r w:rsidR="003A1917">
        <w:rPr>
          <w:kern w:val="0"/>
        </w:rPr>
        <w:t xml:space="preserve"> the </w:t>
      </w:r>
      <w:r>
        <w:rPr>
          <w:kern w:val="0"/>
        </w:rPr>
        <w:t>effects</w:t>
      </w:r>
      <w:r w:rsidR="00427468">
        <w:rPr>
          <w:kern w:val="0"/>
        </w:rPr>
        <w:t xml:space="preserve"> of </w:t>
      </w:r>
      <w:r>
        <w:rPr>
          <w:kern w:val="0"/>
        </w:rPr>
        <w:t>P4P interventions varied according to design choices</w:t>
      </w:r>
      <w:r w:rsidR="005853A9">
        <w:rPr>
          <w:kern w:val="0"/>
        </w:rPr>
        <w:t xml:space="preserve"> and </w:t>
      </w:r>
      <w:r>
        <w:rPr>
          <w:kern w:val="0"/>
        </w:rPr>
        <w:t>characteristics</w:t>
      </w:r>
      <w:r w:rsidR="00427468">
        <w:rPr>
          <w:kern w:val="0"/>
        </w:rPr>
        <w:t xml:space="preserve"> of </w:t>
      </w:r>
      <w:r w:rsidR="003A1917">
        <w:rPr>
          <w:kern w:val="0"/>
        </w:rPr>
        <w:t xml:space="preserve">the </w:t>
      </w:r>
      <w:r>
        <w:rPr>
          <w:kern w:val="0"/>
        </w:rPr>
        <w:t>context in which it was introduced. Future P4P programs should (1) select</w:t>
      </w:r>
      <w:r w:rsidR="005853A9">
        <w:rPr>
          <w:kern w:val="0"/>
        </w:rPr>
        <w:t xml:space="preserve"> and </w:t>
      </w:r>
      <w:r>
        <w:rPr>
          <w:kern w:val="0"/>
        </w:rPr>
        <w:t>define P4P targets on</w:t>
      </w:r>
      <w:r w:rsidR="003A1917">
        <w:rPr>
          <w:kern w:val="0"/>
        </w:rPr>
        <w:t xml:space="preserve"> the </w:t>
      </w:r>
      <w:r>
        <w:rPr>
          <w:kern w:val="0"/>
        </w:rPr>
        <w:t>basis</w:t>
      </w:r>
      <w:r w:rsidR="00427468">
        <w:rPr>
          <w:kern w:val="0"/>
        </w:rPr>
        <w:t xml:space="preserve"> of </w:t>
      </w:r>
      <w:r>
        <w:rPr>
          <w:kern w:val="0"/>
        </w:rPr>
        <w:t>baseline room for improvement, (2) make use</w:t>
      </w:r>
      <w:r w:rsidR="00427468">
        <w:rPr>
          <w:kern w:val="0"/>
        </w:rPr>
        <w:t xml:space="preserve"> of </w:t>
      </w:r>
      <w:r>
        <w:rPr>
          <w:kern w:val="0"/>
        </w:rPr>
        <w:t>process</w:t>
      </w:r>
      <w:r w:rsidR="005853A9">
        <w:rPr>
          <w:kern w:val="0"/>
        </w:rPr>
        <w:t xml:space="preserve"> and </w:t>
      </w:r>
      <w:r>
        <w:rPr>
          <w:kern w:val="0"/>
        </w:rPr>
        <w:t>(intermediary) outcome indicators as target measures, (3) involve stakeholders</w:t>
      </w:r>
      <w:r w:rsidR="005853A9">
        <w:rPr>
          <w:kern w:val="0"/>
        </w:rPr>
        <w:t xml:space="preserve"> and </w:t>
      </w:r>
      <w:r>
        <w:rPr>
          <w:kern w:val="0"/>
        </w:rPr>
        <w:t>communicate information about</w:t>
      </w:r>
      <w:r w:rsidR="003A1917">
        <w:rPr>
          <w:kern w:val="0"/>
        </w:rPr>
        <w:t xml:space="preserve"> the </w:t>
      </w:r>
      <w:r>
        <w:rPr>
          <w:kern w:val="0"/>
        </w:rPr>
        <w:t>programs thoroughly</w:t>
      </w:r>
      <w:r w:rsidR="005853A9">
        <w:rPr>
          <w:kern w:val="0"/>
        </w:rPr>
        <w:t xml:space="preserve"> and </w:t>
      </w:r>
      <w:r>
        <w:rPr>
          <w:kern w:val="0"/>
        </w:rPr>
        <w:t>directly, (4) implement a uniform P4P design across payers, (5) focus on both quality improvement</w:t>
      </w:r>
      <w:r w:rsidR="005853A9">
        <w:rPr>
          <w:kern w:val="0"/>
        </w:rPr>
        <w:t xml:space="preserve"> and </w:t>
      </w:r>
      <w:r>
        <w:rPr>
          <w:kern w:val="0"/>
        </w:rPr>
        <w:t>achievement,</w:t>
      </w:r>
      <w:r w:rsidR="005853A9">
        <w:rPr>
          <w:kern w:val="0"/>
        </w:rPr>
        <w:t xml:space="preserve"> and </w:t>
      </w:r>
      <w:r>
        <w:rPr>
          <w:kern w:val="0"/>
        </w:rPr>
        <w:t>(6) distribute incentives to</w:t>
      </w:r>
      <w:r w:rsidR="003A1917">
        <w:rPr>
          <w:kern w:val="0"/>
        </w:rPr>
        <w:t xml:space="preserve"> the </w:t>
      </w:r>
      <w:r>
        <w:rPr>
          <w:kern w:val="0"/>
        </w:rPr>
        <w:t>individual and/or team level. Conclusions: P4P programs result in</w:t>
      </w:r>
      <w:r w:rsidR="003A1917">
        <w:rPr>
          <w:kern w:val="0"/>
        </w:rPr>
        <w:t xml:space="preserve"> the </w:t>
      </w:r>
      <w:r>
        <w:rPr>
          <w:kern w:val="0"/>
        </w:rPr>
        <w:t>full spectrum</w:t>
      </w:r>
      <w:r w:rsidR="00427468">
        <w:rPr>
          <w:kern w:val="0"/>
        </w:rPr>
        <w:t xml:space="preserve"> of </w:t>
      </w:r>
      <w:r>
        <w:rPr>
          <w:kern w:val="0"/>
        </w:rPr>
        <w:t>possible effects for specific targets, from absent or negligible to strongly beneficial. Based on</w:t>
      </w:r>
      <w:r w:rsidR="003A1917">
        <w:rPr>
          <w:kern w:val="0"/>
        </w:rPr>
        <w:t xml:space="preserve"> the </w:t>
      </w:r>
      <w:r>
        <w:rPr>
          <w:kern w:val="0"/>
        </w:rPr>
        <w:t>evidence</w:t>
      </w:r>
      <w:r w:rsidR="003A1917">
        <w:rPr>
          <w:kern w:val="0"/>
        </w:rPr>
        <w:t xml:space="preserve"> the </w:t>
      </w:r>
      <w:r>
        <w:rPr>
          <w:kern w:val="0"/>
        </w:rPr>
        <w:t>review has provided further indications on how effect findings are likely to relate to P4P design choices</w:t>
      </w:r>
      <w:r w:rsidR="005853A9">
        <w:rPr>
          <w:kern w:val="0"/>
        </w:rPr>
        <w:t xml:space="preserve"> and </w:t>
      </w:r>
      <w:r>
        <w:rPr>
          <w:kern w:val="0"/>
        </w:rPr>
        <w:t>context</w:t>
      </w:r>
      <w:r w:rsidR="00A37C1D">
        <w:rPr>
          <w:kern w:val="0"/>
        </w:rPr>
        <w:t>. The</w:t>
      </w:r>
      <w:r w:rsidR="003A1917">
        <w:rPr>
          <w:kern w:val="0"/>
        </w:rPr>
        <w:t xml:space="preserve"> </w:t>
      </w:r>
      <w:r>
        <w:rPr>
          <w:kern w:val="0"/>
        </w:rPr>
        <w:t>provided best practice hypotheses should be tested in future research.</w:t>
      </w:r>
    </w:p>
    <w:p w:rsidR="00F72919" w:rsidRDefault="00F72919" w:rsidP="00F72919">
      <w:pPr>
        <w:pStyle w:val="a3"/>
        <w:rPr>
          <w:kern w:val="0"/>
        </w:rPr>
      </w:pPr>
      <w:r>
        <w:rPr>
          <w:kern w:val="0"/>
        </w:rPr>
        <w:t>Keywords: Citation, Clinical Effectiveness, Cochrane, Consultation, Cost-Effectiveness, Databases, Development, Diabetes Care, Effectiveness, Evaluation, Evaluation Studies, Evidence-Based Medicine, Health Care, Hospital, Impact, Improve Quality, Incentives, Information, Interventions, Medicaid Managed Care, Medicine, Methods, Outcome, Outcomes-Framework, Physician Financial Incentives, Practice, Preventive Care, Primary, Primary Care, Quality Improvement, Quality</w:t>
      </w:r>
      <w:r w:rsidR="00434900">
        <w:rPr>
          <w:kern w:val="0"/>
        </w:rPr>
        <w:t>-of-</w:t>
      </w:r>
      <w:r>
        <w:rPr>
          <w:kern w:val="0"/>
        </w:rPr>
        <w:t xml:space="preserve">Care, Randomized-Trial, Research, Review, Science, Screening, Smoking-Cessation, Standards, Systematic, Systematic Review, </w:t>
      </w:r>
      <w:r w:rsidR="00D5664A">
        <w:rPr>
          <w:kern w:val="0"/>
        </w:rPr>
        <w:t>Web</w:t>
      </w:r>
      <w:r w:rsidR="00427468">
        <w:rPr>
          <w:kern w:val="0"/>
        </w:rPr>
        <w:t xml:space="preserve"> of </w:t>
      </w:r>
      <w:r w:rsidR="00D5664A">
        <w:rPr>
          <w:kern w:val="0"/>
        </w:rPr>
        <w:t>Science</w:t>
      </w:r>
    </w:p>
    <w:p w:rsidR="000E5BE7" w:rsidRPr="00804AEE" w:rsidRDefault="000E5BE7" w:rsidP="000E5BE7">
      <w:pPr>
        <w:pStyle w:val="a3"/>
        <w:rPr>
          <w:kern w:val="0"/>
        </w:rPr>
      </w:pPr>
      <w:r>
        <w:rPr>
          <w:rFonts w:hint="eastAsia"/>
          <w:kern w:val="0"/>
        </w:rPr>
        <w:t xml:space="preserve">? </w:t>
      </w:r>
      <w:r>
        <w:rPr>
          <w:kern w:val="0"/>
        </w:rPr>
        <w:t>Davies, S.L., Goodman, C., Bunn, F., Victor, C., Dickinson, A., Iliffe, S., Gage, H., Martin, W.</w:t>
      </w:r>
      <w:r w:rsidR="005853A9">
        <w:rPr>
          <w:kern w:val="0"/>
        </w:rPr>
        <w:t xml:space="preserve"> and </w:t>
      </w:r>
      <w:r>
        <w:rPr>
          <w:kern w:val="0"/>
        </w:rPr>
        <w:t>Froggatt, K. (2011), A systematic review</w:t>
      </w:r>
      <w:r w:rsidR="00427468">
        <w:rPr>
          <w:kern w:val="0"/>
        </w:rPr>
        <w:t xml:space="preserve"> of </w:t>
      </w:r>
      <w:r>
        <w:rPr>
          <w:kern w:val="0"/>
        </w:rPr>
        <w:t>integrated working between care homes</w:t>
      </w:r>
      <w:r w:rsidR="005853A9">
        <w:rPr>
          <w:kern w:val="0"/>
        </w:rPr>
        <w:t xml:space="preserve"> and </w:t>
      </w:r>
      <w:r>
        <w:rPr>
          <w:kern w:val="0"/>
        </w:rPr>
        <w:t xml:space="preserve">health care services. </w:t>
      </w:r>
      <w:r>
        <w:rPr>
          <w:i/>
          <w:iCs/>
          <w:kern w:val="0"/>
        </w:rPr>
        <w:t>BMC Health Services Research</w:t>
      </w:r>
      <w:r>
        <w:rPr>
          <w:kern w:val="0"/>
        </w:rPr>
        <w:t xml:space="preserve">, </w:t>
      </w:r>
      <w:r>
        <w:rPr>
          <w:b/>
          <w:bCs/>
          <w:kern w:val="0"/>
        </w:rPr>
        <w:t>11</w:t>
      </w:r>
      <w:r>
        <w:rPr>
          <w:rFonts w:hint="eastAsia"/>
          <w:kern w:val="0"/>
        </w:rPr>
        <w:t>,</w:t>
      </w:r>
      <w:r w:rsidRPr="00804AEE">
        <w:rPr>
          <w:rStyle w:val="60"/>
        </w:rPr>
        <w:t xml:space="preserve"> </w:t>
      </w:r>
      <w:r w:rsidRPr="00804AEE">
        <w:t>Article Number: 320</w:t>
      </w:r>
      <w:r>
        <w:rPr>
          <w:rFonts w:hint="eastAsia"/>
        </w:rPr>
        <w:t>.</w:t>
      </w:r>
    </w:p>
    <w:p w:rsidR="000E5BE7" w:rsidRDefault="000E5BE7" w:rsidP="000E5BE7">
      <w:pPr>
        <w:pStyle w:val="a3"/>
      </w:pPr>
      <w:r>
        <w:rPr>
          <w:rFonts w:hint="eastAsia"/>
        </w:rPr>
        <w:t xml:space="preserve">Full Text: </w:t>
      </w:r>
      <w:hyperlink r:id="rId1587" w:history="1">
        <w:r w:rsidR="00BF37D3" w:rsidRPr="00BF37D3">
          <w:rPr>
            <w:rStyle w:val="a5"/>
          </w:rPr>
          <w:t>2011\BMC Hea Ser Res11, 320.pdf</w:t>
        </w:r>
      </w:hyperlink>
    </w:p>
    <w:p w:rsidR="000E5BE7" w:rsidRDefault="000E5BE7" w:rsidP="000E5BE7">
      <w:pPr>
        <w:pStyle w:val="a3"/>
        <w:rPr>
          <w:kern w:val="0"/>
        </w:rPr>
      </w:pPr>
      <w:r>
        <w:rPr>
          <w:kern w:val="0"/>
        </w:rPr>
        <w:t>Abstract: Background: In</w:t>
      </w:r>
      <w:r w:rsidR="003A1917">
        <w:rPr>
          <w:kern w:val="0"/>
        </w:rPr>
        <w:t xml:space="preserve"> the </w:t>
      </w:r>
      <w:r>
        <w:rPr>
          <w:kern w:val="0"/>
        </w:rPr>
        <w:t>UK there are almost three times as many beds in care homes as in National Health Service (NHS) hospitals. Care homes rely on primary health care for access to medical care</w:t>
      </w:r>
      <w:r w:rsidR="005853A9">
        <w:rPr>
          <w:kern w:val="0"/>
        </w:rPr>
        <w:t xml:space="preserve"> and </w:t>
      </w:r>
      <w:r>
        <w:rPr>
          <w:kern w:val="0"/>
        </w:rPr>
        <w:t>specialist services. Repeated policy documents</w:t>
      </w:r>
      <w:r w:rsidR="005853A9">
        <w:rPr>
          <w:kern w:val="0"/>
        </w:rPr>
        <w:t xml:space="preserve"> and </w:t>
      </w:r>
      <w:r>
        <w:rPr>
          <w:kern w:val="0"/>
        </w:rPr>
        <w:t>government reviews register concern about how health care works with independent providers,</w:t>
      </w:r>
      <w:r w:rsidR="005853A9">
        <w:rPr>
          <w:kern w:val="0"/>
        </w:rPr>
        <w:t xml:space="preserve"> and </w:t>
      </w:r>
      <w:r w:rsidR="003A1917">
        <w:rPr>
          <w:kern w:val="0"/>
        </w:rPr>
        <w:t xml:space="preserve">the </w:t>
      </w:r>
      <w:r>
        <w:rPr>
          <w:kern w:val="0"/>
        </w:rPr>
        <w:t>need to increase</w:t>
      </w:r>
      <w:r w:rsidR="003A1917">
        <w:rPr>
          <w:kern w:val="0"/>
        </w:rPr>
        <w:t xml:space="preserve"> the </w:t>
      </w:r>
      <w:r>
        <w:rPr>
          <w:kern w:val="0"/>
        </w:rPr>
        <w:t>equity, continuity</w:t>
      </w:r>
      <w:r w:rsidR="005853A9">
        <w:rPr>
          <w:kern w:val="0"/>
        </w:rPr>
        <w:t xml:space="preserve"> and </w:t>
      </w:r>
      <w:r>
        <w:rPr>
          <w:kern w:val="0"/>
        </w:rPr>
        <w:t>quality</w:t>
      </w:r>
      <w:r w:rsidR="00427468">
        <w:rPr>
          <w:kern w:val="0"/>
        </w:rPr>
        <w:t xml:space="preserve"> of </w:t>
      </w:r>
      <w:r>
        <w:rPr>
          <w:kern w:val="0"/>
        </w:rPr>
        <w:t>medical care for care homes. Despite multiple initiatives, it is not known if some approaches to service delivery are more effective in promoting integrated working between</w:t>
      </w:r>
      <w:r w:rsidR="003A1917">
        <w:rPr>
          <w:kern w:val="0"/>
        </w:rPr>
        <w:t xml:space="preserve"> the </w:t>
      </w:r>
      <w:r>
        <w:rPr>
          <w:kern w:val="0"/>
        </w:rPr>
        <w:t>NHS</w:t>
      </w:r>
      <w:r w:rsidR="005853A9">
        <w:rPr>
          <w:kern w:val="0"/>
        </w:rPr>
        <w:t xml:space="preserve"> and </w:t>
      </w:r>
      <w:r>
        <w:rPr>
          <w:kern w:val="0"/>
        </w:rPr>
        <w:t>care homes. This study aims to evaluate</w:t>
      </w:r>
      <w:r w:rsidR="003A1917">
        <w:rPr>
          <w:kern w:val="0"/>
        </w:rPr>
        <w:t xml:space="preserve"> the </w:t>
      </w:r>
      <w:r>
        <w:rPr>
          <w:kern w:val="0"/>
        </w:rPr>
        <w:t>different integrated approaches to health care services supporting older people in care homes,</w:t>
      </w:r>
      <w:r w:rsidR="005853A9">
        <w:rPr>
          <w:kern w:val="0"/>
        </w:rPr>
        <w:t xml:space="preserve"> and </w:t>
      </w:r>
      <w:r>
        <w:rPr>
          <w:kern w:val="0"/>
        </w:rPr>
        <w:t>identify barriers</w:t>
      </w:r>
      <w:r w:rsidR="005853A9">
        <w:rPr>
          <w:kern w:val="0"/>
        </w:rPr>
        <w:t xml:space="preserve"> and </w:t>
      </w:r>
      <w:r>
        <w:rPr>
          <w:kern w:val="0"/>
        </w:rPr>
        <w:t xml:space="preserve">facilitators to integrated working. Methods: A systematic </w:t>
      </w:r>
      <w:r>
        <w:rPr>
          <w:kern w:val="0"/>
        </w:rPr>
        <w:lastRenderedPageBreak/>
        <w:t xml:space="preserve">review was conducted using </w:t>
      </w:r>
      <w:r w:rsidR="00D5664A">
        <w:rPr>
          <w:kern w:val="0"/>
        </w:rPr>
        <w:t>MEDLINE</w:t>
      </w:r>
      <w:r>
        <w:rPr>
          <w:kern w:val="0"/>
        </w:rPr>
        <w:t xml:space="preserve"> (PubMed), CINAHL, BNI, EMBASE, PsycInfo, DH Data, Kings Fund, </w:t>
      </w:r>
      <w:r w:rsidR="00D5664A">
        <w:rPr>
          <w:kern w:val="0"/>
        </w:rPr>
        <w:t>Web</w:t>
      </w:r>
      <w:r w:rsidR="00427468">
        <w:rPr>
          <w:kern w:val="0"/>
        </w:rPr>
        <w:t xml:space="preserve"> of </w:t>
      </w:r>
      <w:r w:rsidR="00D5664A">
        <w:rPr>
          <w:kern w:val="0"/>
        </w:rPr>
        <w:t>Science</w:t>
      </w:r>
      <w:r>
        <w:rPr>
          <w:kern w:val="0"/>
        </w:rPr>
        <w:t xml:space="preserve"> (WoS incl.</w:t>
      </w:r>
      <w:r w:rsidR="008E3069">
        <w:rPr>
          <w:kern w:val="0"/>
        </w:rPr>
        <w:t xml:space="preserve"> SCI, </w:t>
      </w:r>
      <w:r w:rsidR="00D5664A">
        <w:rPr>
          <w:kern w:val="0"/>
        </w:rPr>
        <w:t>SSCI</w:t>
      </w:r>
      <w:r w:rsidR="008E3069">
        <w:rPr>
          <w:kern w:val="0"/>
        </w:rPr>
        <w:t>,</w:t>
      </w:r>
      <w:r>
        <w:rPr>
          <w:kern w:val="0"/>
        </w:rPr>
        <w:t xml:space="preserve"> HCI)</w:t>
      </w:r>
      <w:r w:rsidR="005853A9">
        <w:rPr>
          <w:kern w:val="0"/>
        </w:rPr>
        <w:t xml:space="preserve"> and </w:t>
      </w:r>
      <w:r w:rsidR="003A1917">
        <w:rPr>
          <w:kern w:val="0"/>
        </w:rPr>
        <w:t xml:space="preserve">the </w:t>
      </w:r>
      <w:r>
        <w:rPr>
          <w:kern w:val="0"/>
        </w:rPr>
        <w:t>Cochrane Library incl. DARE. Studies were included if they evaluated</w:t>
      </w:r>
      <w:r w:rsidR="003A1917">
        <w:rPr>
          <w:kern w:val="0"/>
        </w:rPr>
        <w:t xml:space="preserve"> the </w:t>
      </w:r>
      <w:r>
        <w:rPr>
          <w:kern w:val="0"/>
        </w:rPr>
        <w:t>effectiveness</w:t>
      </w:r>
      <w:r w:rsidR="00427468">
        <w:rPr>
          <w:kern w:val="0"/>
        </w:rPr>
        <w:t xml:space="preserve"> of </w:t>
      </w:r>
      <w:r>
        <w:rPr>
          <w:kern w:val="0"/>
        </w:rPr>
        <w:t>integrated working between primary health care professionals</w:t>
      </w:r>
      <w:r w:rsidR="005853A9">
        <w:rPr>
          <w:kern w:val="0"/>
        </w:rPr>
        <w:t xml:space="preserve"> and </w:t>
      </w:r>
      <w:r>
        <w:rPr>
          <w:kern w:val="0"/>
        </w:rPr>
        <w:t>care homes, or identified barriers</w:t>
      </w:r>
      <w:r w:rsidR="005853A9">
        <w:rPr>
          <w:kern w:val="0"/>
        </w:rPr>
        <w:t xml:space="preserve"> and </w:t>
      </w:r>
      <w:r>
        <w:rPr>
          <w:kern w:val="0"/>
        </w:rPr>
        <w:t>facilitators to integrated working. Studies were quality assessed; data was extracted on health, service use, cost</w:t>
      </w:r>
      <w:r w:rsidR="005853A9">
        <w:rPr>
          <w:kern w:val="0"/>
        </w:rPr>
        <w:t xml:space="preserve"> and </w:t>
      </w:r>
      <w:r>
        <w:rPr>
          <w:kern w:val="0"/>
        </w:rPr>
        <w:t>process related outcomes. A modified narrative synthesis approach was used to compare</w:t>
      </w:r>
      <w:r w:rsidR="005853A9">
        <w:rPr>
          <w:kern w:val="0"/>
        </w:rPr>
        <w:t xml:space="preserve"> and </w:t>
      </w:r>
      <w:r>
        <w:rPr>
          <w:kern w:val="0"/>
        </w:rPr>
        <w:t>contrast integration using</w:t>
      </w:r>
      <w:r w:rsidR="003A1917">
        <w:rPr>
          <w:kern w:val="0"/>
        </w:rPr>
        <w:t xml:space="preserve"> the </w:t>
      </w:r>
      <w:r>
        <w:rPr>
          <w:kern w:val="0"/>
        </w:rPr>
        <w:t>principles</w:t>
      </w:r>
      <w:r w:rsidR="00427468">
        <w:rPr>
          <w:kern w:val="0"/>
        </w:rPr>
        <w:t xml:space="preserve"> of </w:t>
      </w:r>
      <w:r>
        <w:rPr>
          <w:kern w:val="0"/>
        </w:rPr>
        <w:t>framework analysis. Results: Seventeen studies were included; 10 quantitative studies, two process evaluations, one mixed methods study</w:t>
      </w:r>
      <w:r w:rsidR="005853A9">
        <w:rPr>
          <w:kern w:val="0"/>
        </w:rPr>
        <w:t xml:space="preserve"> and </w:t>
      </w:r>
      <w:r>
        <w:rPr>
          <w:kern w:val="0"/>
        </w:rPr>
        <w:t>four qualitative</w:t>
      </w:r>
      <w:r w:rsidR="00A37C1D">
        <w:rPr>
          <w:kern w:val="0"/>
        </w:rPr>
        <w:t>. The</w:t>
      </w:r>
      <w:r w:rsidR="003A1917">
        <w:rPr>
          <w:kern w:val="0"/>
        </w:rPr>
        <w:t xml:space="preserve"> </w:t>
      </w:r>
      <w:r>
        <w:rPr>
          <w:kern w:val="0"/>
        </w:rPr>
        <w:t>majority were carried out in nursing homes</w:t>
      </w:r>
      <w:r w:rsidR="00A37C1D">
        <w:rPr>
          <w:kern w:val="0"/>
        </w:rPr>
        <w:t>. The</w:t>
      </w:r>
      <w:r>
        <w:rPr>
          <w:kern w:val="0"/>
        </w:rPr>
        <w:t>y were characterised by heterogeneity</w:t>
      </w:r>
      <w:r w:rsidR="00427468">
        <w:rPr>
          <w:kern w:val="0"/>
        </w:rPr>
        <w:t xml:space="preserve"> of </w:t>
      </w:r>
      <w:r>
        <w:rPr>
          <w:kern w:val="0"/>
        </w:rPr>
        <w:t>topic, interventions, methodology</w:t>
      </w:r>
      <w:r w:rsidR="005853A9">
        <w:rPr>
          <w:kern w:val="0"/>
        </w:rPr>
        <w:t xml:space="preserve"> and </w:t>
      </w:r>
      <w:r>
        <w:rPr>
          <w:kern w:val="0"/>
        </w:rPr>
        <w:t>outcomes. Most quantitative studies reported limited effects</w:t>
      </w:r>
      <w:r w:rsidR="00427468">
        <w:rPr>
          <w:kern w:val="0"/>
        </w:rPr>
        <w:t xml:space="preserve"> of </w:t>
      </w:r>
      <w:r w:rsidR="003A1917">
        <w:rPr>
          <w:kern w:val="0"/>
        </w:rPr>
        <w:t xml:space="preserve">the </w:t>
      </w:r>
      <w:r>
        <w:rPr>
          <w:kern w:val="0"/>
        </w:rPr>
        <w:t>intervention; there was insufficient information to evaluate cost. Facilitators to integrated working included care home managers</w:t>
      </w:r>
      <w:r w:rsidR="00700038">
        <w:rPr>
          <w:kern w:val="0"/>
        </w:rPr>
        <w:t>’</w:t>
      </w:r>
      <w:r>
        <w:rPr>
          <w:kern w:val="0"/>
        </w:rPr>
        <w:t xml:space="preserve"> support</w:t>
      </w:r>
      <w:r w:rsidR="005853A9">
        <w:rPr>
          <w:kern w:val="0"/>
        </w:rPr>
        <w:t xml:space="preserve"> and </w:t>
      </w:r>
      <w:r>
        <w:rPr>
          <w:kern w:val="0"/>
        </w:rPr>
        <w:t>protected time for staff training. Studies with</w:t>
      </w:r>
      <w:r w:rsidR="003A1917">
        <w:rPr>
          <w:kern w:val="0"/>
        </w:rPr>
        <w:t xml:space="preserve"> the </w:t>
      </w:r>
      <w:r>
        <w:rPr>
          <w:kern w:val="0"/>
        </w:rPr>
        <w:t>potential for integrated working were longer in duration. Conclusions: Despite evidence about what inhibits</w:t>
      </w:r>
      <w:r w:rsidR="005853A9">
        <w:rPr>
          <w:kern w:val="0"/>
        </w:rPr>
        <w:t xml:space="preserve"> and </w:t>
      </w:r>
      <w:r>
        <w:rPr>
          <w:kern w:val="0"/>
        </w:rPr>
        <w:t>facilitates integrated working there was limited evidence about what</w:t>
      </w:r>
      <w:r w:rsidR="003A1917">
        <w:rPr>
          <w:kern w:val="0"/>
        </w:rPr>
        <w:t xml:space="preserve"> the </w:t>
      </w:r>
      <w:r>
        <w:rPr>
          <w:kern w:val="0"/>
        </w:rPr>
        <w:t>outcomes</w:t>
      </w:r>
      <w:r w:rsidR="00427468">
        <w:rPr>
          <w:kern w:val="0"/>
        </w:rPr>
        <w:t xml:space="preserve"> of </w:t>
      </w:r>
      <w:r>
        <w:rPr>
          <w:kern w:val="0"/>
        </w:rPr>
        <w:t>different approaches to integrated care between health service</w:t>
      </w:r>
      <w:r w:rsidR="005853A9">
        <w:rPr>
          <w:kern w:val="0"/>
        </w:rPr>
        <w:t xml:space="preserve"> and </w:t>
      </w:r>
      <w:r>
        <w:rPr>
          <w:kern w:val="0"/>
        </w:rPr>
        <w:t>care homes might be</w:t>
      </w:r>
      <w:r w:rsidR="00A37C1D">
        <w:rPr>
          <w:kern w:val="0"/>
        </w:rPr>
        <w:t>. The</w:t>
      </w:r>
      <w:r w:rsidR="003A1917">
        <w:rPr>
          <w:kern w:val="0"/>
        </w:rPr>
        <w:t xml:space="preserve"> </w:t>
      </w:r>
      <w:r>
        <w:rPr>
          <w:kern w:val="0"/>
        </w:rPr>
        <w:t>majority</w:t>
      </w:r>
      <w:r w:rsidR="00427468">
        <w:rPr>
          <w:kern w:val="0"/>
        </w:rPr>
        <w:t xml:space="preserve"> of </w:t>
      </w:r>
      <w:r>
        <w:rPr>
          <w:kern w:val="0"/>
        </w:rPr>
        <w:t>studies only achieved integrated working at</w:t>
      </w:r>
      <w:r w:rsidR="003A1917">
        <w:rPr>
          <w:kern w:val="0"/>
        </w:rPr>
        <w:t xml:space="preserve"> the </w:t>
      </w:r>
      <w:r>
        <w:rPr>
          <w:kern w:val="0"/>
        </w:rPr>
        <w:t>patient level</w:t>
      </w:r>
      <w:r w:rsidR="00427468">
        <w:rPr>
          <w:kern w:val="0"/>
        </w:rPr>
        <w:t xml:space="preserve"> of </w:t>
      </w:r>
      <w:r>
        <w:rPr>
          <w:kern w:val="0"/>
        </w:rPr>
        <w:t>care</w:t>
      </w:r>
      <w:r w:rsidR="005853A9">
        <w:rPr>
          <w:kern w:val="0"/>
        </w:rPr>
        <w:t xml:space="preserve"> and </w:t>
      </w:r>
      <w:r w:rsidR="003A1917">
        <w:rPr>
          <w:kern w:val="0"/>
        </w:rPr>
        <w:t xml:space="preserve">the </w:t>
      </w:r>
      <w:r>
        <w:rPr>
          <w:kern w:val="0"/>
        </w:rPr>
        <w:t>focus on health service defined problems</w:t>
      </w:r>
      <w:r w:rsidR="005853A9">
        <w:rPr>
          <w:kern w:val="0"/>
        </w:rPr>
        <w:t xml:space="preserve"> and </w:t>
      </w:r>
      <w:r>
        <w:rPr>
          <w:kern w:val="0"/>
        </w:rPr>
        <w:t>outcome measures did not incorporate</w:t>
      </w:r>
      <w:r w:rsidR="003A1917">
        <w:rPr>
          <w:kern w:val="0"/>
        </w:rPr>
        <w:t xml:space="preserve"> the </w:t>
      </w:r>
      <w:r>
        <w:rPr>
          <w:kern w:val="0"/>
        </w:rPr>
        <w:t>priorities</w:t>
      </w:r>
      <w:r w:rsidR="00427468">
        <w:rPr>
          <w:kern w:val="0"/>
        </w:rPr>
        <w:t xml:space="preserve"> of </w:t>
      </w:r>
      <w:r>
        <w:rPr>
          <w:kern w:val="0"/>
        </w:rPr>
        <w:t>residents or acknowledge</w:t>
      </w:r>
      <w:r w:rsidR="003A1917">
        <w:rPr>
          <w:kern w:val="0"/>
        </w:rPr>
        <w:t xml:space="preserve"> the </w:t>
      </w:r>
      <w:r>
        <w:rPr>
          <w:kern w:val="0"/>
        </w:rPr>
        <w:t>skills</w:t>
      </w:r>
      <w:r w:rsidR="00427468">
        <w:rPr>
          <w:kern w:val="0"/>
        </w:rPr>
        <w:t xml:space="preserve"> of </w:t>
      </w:r>
      <w:r>
        <w:rPr>
          <w:kern w:val="0"/>
        </w:rPr>
        <w:t>care home staff</w:t>
      </w:r>
      <w:r w:rsidR="00A37C1D">
        <w:rPr>
          <w:kern w:val="0"/>
        </w:rPr>
        <w:t>. The</w:t>
      </w:r>
      <w:r>
        <w:rPr>
          <w:kern w:val="0"/>
        </w:rPr>
        <w:t>re is a need for more research to understand how integrated working is achieved</w:t>
      </w:r>
      <w:r w:rsidR="005853A9">
        <w:rPr>
          <w:kern w:val="0"/>
        </w:rPr>
        <w:t xml:space="preserve"> and </w:t>
      </w:r>
      <w:r>
        <w:rPr>
          <w:kern w:val="0"/>
        </w:rPr>
        <w:t>to test</w:t>
      </w:r>
      <w:r w:rsidR="003A1917">
        <w:rPr>
          <w:kern w:val="0"/>
        </w:rPr>
        <w:t xml:space="preserve"> the </w:t>
      </w:r>
      <w:r>
        <w:rPr>
          <w:kern w:val="0"/>
        </w:rPr>
        <w:t>effect</w:t>
      </w:r>
      <w:r w:rsidR="00427468">
        <w:rPr>
          <w:kern w:val="0"/>
        </w:rPr>
        <w:t xml:space="preserve"> of </w:t>
      </w:r>
      <w:r>
        <w:rPr>
          <w:kern w:val="0"/>
        </w:rPr>
        <w:t>different approaches on cost, staff satisfaction</w:t>
      </w:r>
      <w:r w:rsidR="005853A9">
        <w:rPr>
          <w:kern w:val="0"/>
        </w:rPr>
        <w:t xml:space="preserve"> and </w:t>
      </w:r>
      <w:r>
        <w:rPr>
          <w:kern w:val="0"/>
        </w:rPr>
        <w:t>resident outcomes.</w:t>
      </w:r>
    </w:p>
    <w:p w:rsidR="000E5BE7" w:rsidRDefault="000E5BE7" w:rsidP="000E5BE7">
      <w:pPr>
        <w:pStyle w:val="a3"/>
        <w:rPr>
          <w:kern w:val="0"/>
        </w:rPr>
      </w:pPr>
      <w:r>
        <w:rPr>
          <w:kern w:val="0"/>
        </w:rPr>
        <w:t xml:space="preserve">Keywords: Analysis, Barriers, Care, Care Homes, Cochrane, Cost-Effectiveness, District Nurses, Effectiveness, Embase, Facilitators, HCI, Health, Health Care, Health Service, Homes, Hospitals, Impact, Information, Integration, Intervention, Interventions, Medical, </w:t>
      </w:r>
      <w:r w:rsidR="00D5664A">
        <w:rPr>
          <w:kern w:val="0"/>
        </w:rPr>
        <w:t>MEDLINE</w:t>
      </w:r>
      <w:r>
        <w:rPr>
          <w:kern w:val="0"/>
        </w:rPr>
        <w:t>, Methodology, Methods, Mixed Methods, Modified, Nursing, Nursing Homes, Nursing-Homes, Older People, Outcome, Outcomes, People, Policy, Primary, Primary Health Care, Priorities, Process, Providing Care, Pubmed, Qualitative, Quality, Quality</w:t>
      </w:r>
      <w:r w:rsidR="00434900">
        <w:rPr>
          <w:kern w:val="0"/>
        </w:rPr>
        <w:t>-of-</w:t>
      </w:r>
      <w:r>
        <w:rPr>
          <w:kern w:val="0"/>
        </w:rPr>
        <w:t>Care, Quantitative, Randomized Controlled-Trial, Research, Residential Care, Residents, Review</w:t>
      </w:r>
      <w:r w:rsidR="00D5664A">
        <w:rPr>
          <w:kern w:val="0"/>
        </w:rPr>
        <w:t>, SCI,</w:t>
      </w:r>
      <w:r>
        <w:rPr>
          <w:kern w:val="0"/>
        </w:rPr>
        <w:t xml:space="preserve"> Science,</w:t>
      </w:r>
      <w:r w:rsidR="008E3069">
        <w:rPr>
          <w:kern w:val="0"/>
        </w:rPr>
        <w:t xml:space="preserve"> </w:t>
      </w:r>
      <w:r w:rsidR="00D5664A">
        <w:rPr>
          <w:kern w:val="0"/>
        </w:rPr>
        <w:t>SSCI</w:t>
      </w:r>
      <w:r w:rsidR="008E3069">
        <w:rPr>
          <w:kern w:val="0"/>
        </w:rPr>
        <w:t>,</w:t>
      </w:r>
      <w:r>
        <w:rPr>
          <w:kern w:val="0"/>
        </w:rPr>
        <w:t xml:space="preserve"> Synthesis, Systematic, Systematic Review, Training</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r>
        <w:rPr>
          <w:kern w:val="0"/>
        </w:rPr>
        <w:t>, WOS</w:t>
      </w:r>
    </w:p>
    <w:p w:rsidR="00F72919" w:rsidRDefault="00F72919" w:rsidP="00F72919">
      <w:pPr>
        <w:pStyle w:val="a3"/>
        <w:rPr>
          <w:kern w:val="0"/>
        </w:rPr>
      </w:pPr>
      <w:r>
        <w:rPr>
          <w:rFonts w:hint="eastAsia"/>
          <w:kern w:val="0"/>
        </w:rPr>
        <w:t xml:space="preserve">? </w:t>
      </w:r>
      <w:r>
        <w:rPr>
          <w:kern w:val="0"/>
        </w:rPr>
        <w:t>Gagliardi, A.R.</w:t>
      </w:r>
      <w:r w:rsidR="005853A9">
        <w:rPr>
          <w:kern w:val="0"/>
        </w:rPr>
        <w:t xml:space="preserve"> and </w:t>
      </w:r>
      <w:r>
        <w:rPr>
          <w:kern w:val="0"/>
        </w:rPr>
        <w:t>Dobrow, M.J. (2011), Paucity</w:t>
      </w:r>
      <w:r w:rsidR="00427468">
        <w:rPr>
          <w:kern w:val="0"/>
        </w:rPr>
        <w:t xml:space="preserve"> of </w:t>
      </w:r>
      <w:r>
        <w:rPr>
          <w:kern w:val="0"/>
        </w:rPr>
        <w:t>qualitative research in general medical</w:t>
      </w:r>
      <w:r w:rsidR="005853A9">
        <w:rPr>
          <w:kern w:val="0"/>
        </w:rPr>
        <w:t xml:space="preserve"> and </w:t>
      </w:r>
      <w:r>
        <w:rPr>
          <w:kern w:val="0"/>
        </w:rPr>
        <w:t>health services</w:t>
      </w:r>
      <w:r w:rsidR="005853A9">
        <w:rPr>
          <w:kern w:val="0"/>
        </w:rPr>
        <w:t xml:space="preserve"> and </w:t>
      </w:r>
      <w:r>
        <w:rPr>
          <w:kern w:val="0"/>
        </w:rPr>
        <w:t>policy research journals: Analysis</w:t>
      </w:r>
      <w:r w:rsidR="00427468">
        <w:rPr>
          <w:kern w:val="0"/>
        </w:rPr>
        <w:t xml:space="preserve"> of </w:t>
      </w:r>
      <w:r>
        <w:rPr>
          <w:kern w:val="0"/>
        </w:rPr>
        <w:t xml:space="preserve">publication rates. </w:t>
      </w:r>
      <w:r>
        <w:rPr>
          <w:i/>
          <w:iCs/>
          <w:kern w:val="0"/>
        </w:rPr>
        <w:t>BMC Health Services Research</w:t>
      </w:r>
      <w:r>
        <w:rPr>
          <w:kern w:val="0"/>
        </w:rPr>
        <w:t xml:space="preserve">, </w:t>
      </w:r>
      <w:r>
        <w:rPr>
          <w:b/>
          <w:bCs/>
          <w:kern w:val="0"/>
        </w:rPr>
        <w:t>11</w:t>
      </w:r>
      <w:r>
        <w:rPr>
          <w:rFonts w:hint="eastAsia"/>
          <w:kern w:val="0"/>
        </w:rPr>
        <w:t xml:space="preserve">, </w:t>
      </w:r>
      <w:r>
        <w:t>Article Number: 268</w:t>
      </w:r>
      <w:r>
        <w:rPr>
          <w:rFonts w:hint="eastAsia"/>
        </w:rPr>
        <w:t>.</w:t>
      </w:r>
    </w:p>
    <w:p w:rsidR="00F72919" w:rsidRPr="001A3D2B" w:rsidRDefault="00F72919" w:rsidP="00F72919">
      <w:pPr>
        <w:pStyle w:val="a3"/>
      </w:pPr>
      <w:r w:rsidRPr="001A3D2B">
        <w:t xml:space="preserve">Full Text: </w:t>
      </w:r>
      <w:hyperlink r:id="rId1588" w:history="1">
        <w:r w:rsidRPr="00B223C1">
          <w:rPr>
            <w:rStyle w:val="a5"/>
          </w:rPr>
          <w:t>2011\BMC Hea Ser Res11, 268.pdf</w:t>
        </w:r>
      </w:hyperlink>
    </w:p>
    <w:p w:rsidR="00F72919" w:rsidRDefault="00F72919" w:rsidP="00F72919">
      <w:pPr>
        <w:pStyle w:val="a3"/>
        <w:rPr>
          <w:kern w:val="0"/>
        </w:rPr>
      </w:pPr>
      <w:r>
        <w:rPr>
          <w:kern w:val="0"/>
        </w:rPr>
        <w:t>Abstract: Background: Qualitative research has</w:t>
      </w:r>
      <w:r w:rsidR="003A1917">
        <w:rPr>
          <w:kern w:val="0"/>
        </w:rPr>
        <w:t xml:space="preserve"> the </w:t>
      </w:r>
      <w:r>
        <w:rPr>
          <w:kern w:val="0"/>
        </w:rPr>
        <w:t>potential to inform</w:t>
      </w:r>
      <w:r w:rsidR="005853A9">
        <w:rPr>
          <w:kern w:val="0"/>
        </w:rPr>
        <w:t xml:space="preserve"> and </w:t>
      </w:r>
      <w:r>
        <w:rPr>
          <w:kern w:val="0"/>
        </w:rPr>
        <w:t>improve health care decisions but a study based on one year</w:t>
      </w:r>
      <w:r w:rsidR="00427468">
        <w:rPr>
          <w:kern w:val="0"/>
        </w:rPr>
        <w:t xml:space="preserve"> of </w:t>
      </w:r>
      <w:r>
        <w:rPr>
          <w:kern w:val="0"/>
        </w:rPr>
        <w:t xml:space="preserve">publications suggests that it is </w:t>
      </w:r>
      <w:r>
        <w:rPr>
          <w:kern w:val="0"/>
        </w:rPr>
        <w:lastRenderedPageBreak/>
        <w:t>not published in prominent health care journals. A more detailed, longitudinal analysis</w:t>
      </w:r>
      <w:r w:rsidR="00427468">
        <w:rPr>
          <w:kern w:val="0"/>
        </w:rPr>
        <w:t xml:space="preserve"> of </w:t>
      </w:r>
      <w:r>
        <w:rPr>
          <w:kern w:val="0"/>
        </w:rPr>
        <w:t>its availability is needed</w:t>
      </w:r>
      <w:r w:rsidR="00A37C1D">
        <w:rPr>
          <w:kern w:val="0"/>
        </w:rPr>
        <w:t>. The</w:t>
      </w:r>
      <w:r w:rsidR="003A1917">
        <w:rPr>
          <w:kern w:val="0"/>
        </w:rPr>
        <w:t xml:space="preserve"> </w:t>
      </w:r>
      <w:r>
        <w:rPr>
          <w:kern w:val="0"/>
        </w:rPr>
        <w:t>purpose</w:t>
      </w:r>
      <w:r w:rsidR="00427468">
        <w:rPr>
          <w:kern w:val="0"/>
        </w:rPr>
        <w:t xml:space="preserve"> of </w:t>
      </w:r>
      <w:r>
        <w:rPr>
          <w:kern w:val="0"/>
        </w:rPr>
        <w:t>this study was to identify, count</w:t>
      </w:r>
      <w:r w:rsidR="005853A9">
        <w:rPr>
          <w:kern w:val="0"/>
        </w:rPr>
        <w:t xml:space="preserve"> and </w:t>
      </w:r>
      <w:r>
        <w:rPr>
          <w:kern w:val="0"/>
        </w:rPr>
        <w:t>compare</w:t>
      </w:r>
      <w:r w:rsidR="003A1917">
        <w:rPr>
          <w:kern w:val="0"/>
        </w:rPr>
        <w:t xml:space="preserve"> the </w:t>
      </w:r>
      <w:r>
        <w:rPr>
          <w:kern w:val="0"/>
        </w:rPr>
        <w:t>number</w:t>
      </w:r>
      <w:r w:rsidR="00427468">
        <w:rPr>
          <w:kern w:val="0"/>
        </w:rPr>
        <w:t xml:space="preserve"> of </w:t>
      </w:r>
      <w:r>
        <w:rPr>
          <w:kern w:val="0"/>
        </w:rPr>
        <w:t>qualitative</w:t>
      </w:r>
      <w:r w:rsidR="005853A9">
        <w:rPr>
          <w:kern w:val="0"/>
        </w:rPr>
        <w:t xml:space="preserve"> and </w:t>
      </w:r>
      <w:r>
        <w:rPr>
          <w:kern w:val="0"/>
        </w:rPr>
        <w:t>non-qualitative research studies published in high impact health care journals,</w:t>
      </w:r>
      <w:r w:rsidR="005853A9">
        <w:rPr>
          <w:kern w:val="0"/>
        </w:rPr>
        <w:t xml:space="preserve"> and </w:t>
      </w:r>
      <w:r>
        <w:rPr>
          <w:kern w:val="0"/>
        </w:rPr>
        <w:t>explore trends in these data over</w:t>
      </w:r>
      <w:r w:rsidR="003A1917">
        <w:rPr>
          <w:kern w:val="0"/>
        </w:rPr>
        <w:t xml:space="preserve"> the </w:t>
      </w:r>
      <w:r>
        <w:rPr>
          <w:kern w:val="0"/>
        </w:rPr>
        <w:t>last decade. Methods: A bibliometric approach was used to identify</w:t>
      </w:r>
      <w:r w:rsidR="005853A9">
        <w:rPr>
          <w:kern w:val="0"/>
        </w:rPr>
        <w:t xml:space="preserve"> and </w:t>
      </w:r>
      <w:r>
        <w:rPr>
          <w:kern w:val="0"/>
        </w:rPr>
        <w:t>quantify qualitative articles published in 20 top general medical</w:t>
      </w:r>
      <w:r w:rsidR="005853A9">
        <w:rPr>
          <w:kern w:val="0"/>
        </w:rPr>
        <w:t xml:space="preserve"> and </w:t>
      </w:r>
      <w:r>
        <w:rPr>
          <w:kern w:val="0"/>
        </w:rPr>
        <w:t>health services</w:t>
      </w:r>
      <w:r w:rsidR="005853A9">
        <w:rPr>
          <w:kern w:val="0"/>
        </w:rPr>
        <w:t xml:space="preserve"> and </w:t>
      </w:r>
      <w:r>
        <w:rPr>
          <w:kern w:val="0"/>
        </w:rPr>
        <w:t>policy research journals from 1999 to 2008. Eligible journals were selected based on performance in four different ranking systems reported in</w:t>
      </w:r>
      <w:r w:rsidR="003A1917">
        <w:rPr>
          <w:kern w:val="0"/>
        </w:rPr>
        <w:t xml:space="preserve"> the </w:t>
      </w:r>
      <w:r>
        <w:rPr>
          <w:kern w:val="0"/>
        </w:rPr>
        <w:t>2008 ISI Journal Citation Reports. Qualitative</w:t>
      </w:r>
      <w:r w:rsidR="005853A9">
        <w:rPr>
          <w:kern w:val="0"/>
        </w:rPr>
        <w:t xml:space="preserve"> and </w:t>
      </w:r>
      <w:r>
        <w:rPr>
          <w:kern w:val="0"/>
        </w:rPr>
        <w:t xml:space="preserve">non-qualitative research published in these journals were identified by searching </w:t>
      </w:r>
      <w:r w:rsidR="00D5664A">
        <w:rPr>
          <w:kern w:val="0"/>
        </w:rPr>
        <w:t>MEDLINE</w:t>
      </w:r>
      <w:r>
        <w:rPr>
          <w:kern w:val="0"/>
        </w:rPr>
        <w:t>,</w:t>
      </w:r>
      <w:r w:rsidR="005853A9">
        <w:rPr>
          <w:kern w:val="0"/>
        </w:rPr>
        <w:t xml:space="preserve"> and </w:t>
      </w:r>
      <w:r>
        <w:rPr>
          <w:kern w:val="0"/>
        </w:rPr>
        <w:t>validated by hand-searching tables</w:t>
      </w:r>
      <w:r w:rsidR="00427468">
        <w:rPr>
          <w:kern w:val="0"/>
        </w:rPr>
        <w:t xml:space="preserve"> of </w:t>
      </w:r>
      <w:r>
        <w:rPr>
          <w:kern w:val="0"/>
        </w:rPr>
        <w:t>contents for four journals. Results:</w:t>
      </w:r>
      <w:r w:rsidR="003A1917">
        <w:rPr>
          <w:kern w:val="0"/>
        </w:rPr>
        <w:t xml:space="preserve"> the </w:t>
      </w:r>
      <w:r>
        <w:rPr>
          <w:kern w:val="0"/>
        </w:rPr>
        <w:t>total number</w:t>
      </w:r>
      <w:r w:rsidR="00427468">
        <w:rPr>
          <w:kern w:val="0"/>
        </w:rPr>
        <w:t xml:space="preserve"> of </w:t>
      </w:r>
      <w:r>
        <w:rPr>
          <w:kern w:val="0"/>
        </w:rPr>
        <w:t>qualitative research articles published during 1999 to 2008 in ten general medical journals ranged from 0 to 41,</w:t>
      </w:r>
      <w:r w:rsidR="005853A9">
        <w:rPr>
          <w:kern w:val="0"/>
        </w:rPr>
        <w:t xml:space="preserve"> and </w:t>
      </w:r>
      <w:r>
        <w:rPr>
          <w:kern w:val="0"/>
        </w:rPr>
        <w:t>in ten health services</w:t>
      </w:r>
      <w:r w:rsidR="005853A9">
        <w:rPr>
          <w:kern w:val="0"/>
        </w:rPr>
        <w:t xml:space="preserve"> and </w:t>
      </w:r>
      <w:r>
        <w:rPr>
          <w:kern w:val="0"/>
        </w:rPr>
        <w:t>policy research journals from 0 to 39. Over this period</w:t>
      </w:r>
      <w:r w:rsidR="003A1917">
        <w:rPr>
          <w:kern w:val="0"/>
        </w:rPr>
        <w:t xml:space="preserve"> the </w:t>
      </w:r>
      <w:r>
        <w:rPr>
          <w:kern w:val="0"/>
        </w:rPr>
        <w:t>percentage</w:t>
      </w:r>
      <w:r w:rsidR="00427468">
        <w:rPr>
          <w:kern w:val="0"/>
        </w:rPr>
        <w:t xml:space="preserve"> of </w:t>
      </w:r>
      <w:r>
        <w:rPr>
          <w:kern w:val="0"/>
        </w:rPr>
        <w:t>empirical research articles that were qualitative ranged from 0% to 0.6% for</w:t>
      </w:r>
      <w:r w:rsidR="003A1917">
        <w:rPr>
          <w:kern w:val="0"/>
        </w:rPr>
        <w:t xml:space="preserve"> the </w:t>
      </w:r>
      <w:r>
        <w:rPr>
          <w:kern w:val="0"/>
        </w:rPr>
        <w:t>general medical journals,</w:t>
      </w:r>
      <w:r w:rsidR="005853A9">
        <w:rPr>
          <w:kern w:val="0"/>
        </w:rPr>
        <w:t xml:space="preserve"> and </w:t>
      </w:r>
      <w:r>
        <w:rPr>
          <w:kern w:val="0"/>
        </w:rPr>
        <w:t>0% to 6.4% for</w:t>
      </w:r>
      <w:r w:rsidR="003A1917">
        <w:rPr>
          <w:kern w:val="0"/>
        </w:rPr>
        <w:t xml:space="preserve"> the </w:t>
      </w:r>
      <w:r>
        <w:rPr>
          <w:kern w:val="0"/>
        </w:rPr>
        <w:t>health services</w:t>
      </w:r>
      <w:r w:rsidR="005853A9">
        <w:rPr>
          <w:kern w:val="0"/>
        </w:rPr>
        <w:t xml:space="preserve"> and </w:t>
      </w:r>
      <w:r>
        <w:rPr>
          <w:kern w:val="0"/>
        </w:rPr>
        <w:t>policy research journals. Conclusions: This analysis suggests that qualitative research it is rarely published in high impact general medical</w:t>
      </w:r>
      <w:r w:rsidR="005853A9">
        <w:rPr>
          <w:kern w:val="0"/>
        </w:rPr>
        <w:t xml:space="preserve"> and </w:t>
      </w:r>
      <w:r>
        <w:rPr>
          <w:kern w:val="0"/>
        </w:rPr>
        <w:t>health services</w:t>
      </w:r>
      <w:r w:rsidR="005853A9">
        <w:rPr>
          <w:kern w:val="0"/>
        </w:rPr>
        <w:t xml:space="preserve"> and </w:t>
      </w:r>
      <w:r>
        <w:rPr>
          <w:kern w:val="0"/>
        </w:rPr>
        <w:t>policy research journals</w:t>
      </w:r>
      <w:r w:rsidR="00A37C1D">
        <w:rPr>
          <w:kern w:val="0"/>
        </w:rPr>
        <w:t>. The</w:t>
      </w:r>
      <w:r w:rsidR="003A1917">
        <w:rPr>
          <w:kern w:val="0"/>
        </w:rPr>
        <w:t xml:space="preserve"> </w:t>
      </w:r>
      <w:r>
        <w:rPr>
          <w:kern w:val="0"/>
        </w:rPr>
        <w:t>factors that contribute to this persistent marginalization need to be better understood.</w:t>
      </w:r>
    </w:p>
    <w:p w:rsidR="00F72919" w:rsidRDefault="00F72919" w:rsidP="00F72919">
      <w:pPr>
        <w:pStyle w:val="a3"/>
        <w:rPr>
          <w:kern w:val="0"/>
        </w:rPr>
      </w:pPr>
      <w:r>
        <w:rPr>
          <w:kern w:val="0"/>
        </w:rPr>
        <w:t>Keywords: Analysis, Appraisal, Bibliometric, Care, Citation, Context, Health Care, Health Services, Impact</w:t>
      </w:r>
      <w:r w:rsidR="00D5664A">
        <w:rPr>
          <w:kern w:val="0"/>
        </w:rPr>
        <w:t>, ISI,</w:t>
      </w:r>
      <w:r>
        <w:rPr>
          <w:kern w:val="0"/>
        </w:rPr>
        <w:t xml:space="preserve"> Journal, Journal Citation Reports, Journals, Medical, Medical Journals, </w:t>
      </w:r>
      <w:r w:rsidR="00D5664A">
        <w:rPr>
          <w:kern w:val="0"/>
        </w:rPr>
        <w:t>MEDLINE</w:t>
      </w:r>
      <w:r>
        <w:rPr>
          <w:kern w:val="0"/>
        </w:rPr>
        <w:t>, Methods, Policy, Publication, Publications, Qualitative Research, Ranking, Reports, Research, Strategies, Trends</w:t>
      </w:r>
    </w:p>
    <w:p w:rsidR="00BA3B3F" w:rsidRDefault="00BA3B3F" w:rsidP="00BA3B3F">
      <w:pPr>
        <w:pStyle w:val="a3"/>
        <w:rPr>
          <w:kern w:val="0"/>
        </w:rPr>
      </w:pPr>
      <w:r>
        <w:rPr>
          <w:rFonts w:hint="eastAsia"/>
          <w:kern w:val="0"/>
        </w:rPr>
        <w:t>? Sikorski, C., Luppa, M., Konig, H.H., van den Bussche, H.</w:t>
      </w:r>
      <w:r w:rsidR="005853A9">
        <w:rPr>
          <w:rFonts w:hint="eastAsia"/>
          <w:kern w:val="0"/>
        </w:rPr>
        <w:t xml:space="preserve"> and </w:t>
      </w:r>
      <w:r>
        <w:rPr>
          <w:rFonts w:hint="eastAsia"/>
          <w:kern w:val="0"/>
        </w:rPr>
        <w:t>Riedel-Heller, S.G. (2012), Does GP training in depression care affect patient outcome? - A systematic review</w:t>
      </w:r>
      <w:r w:rsidR="005853A9">
        <w:rPr>
          <w:rFonts w:hint="eastAsia"/>
          <w:kern w:val="0"/>
        </w:rPr>
        <w:t xml:space="preserve"> and </w:t>
      </w:r>
      <w:r>
        <w:rPr>
          <w:rFonts w:hint="eastAsia"/>
          <w:kern w:val="0"/>
        </w:rPr>
        <w:t xml:space="preserve">meta-analysis. </w:t>
      </w:r>
      <w:r>
        <w:rPr>
          <w:rFonts w:hint="eastAsia"/>
          <w:i/>
          <w:iCs/>
          <w:kern w:val="0"/>
        </w:rPr>
        <w:t>BMC Health Services Research</w:t>
      </w:r>
      <w:r>
        <w:rPr>
          <w:rFonts w:hint="eastAsia"/>
          <w:kern w:val="0"/>
        </w:rPr>
        <w:t xml:space="preserve">, </w:t>
      </w:r>
      <w:r>
        <w:rPr>
          <w:rFonts w:hint="eastAsia"/>
          <w:b/>
          <w:bCs/>
          <w:kern w:val="0"/>
        </w:rPr>
        <w:t>12</w:t>
      </w:r>
      <w:r>
        <w:rPr>
          <w:rFonts w:hint="eastAsia"/>
          <w:kern w:val="0"/>
        </w:rPr>
        <w:t xml:space="preserve">, </w:t>
      </w:r>
      <w:r>
        <w:rPr>
          <w:rFonts w:hint="eastAsia"/>
        </w:rPr>
        <w:t>Article Number: 10.</w:t>
      </w:r>
    </w:p>
    <w:p w:rsidR="00BA3B3F" w:rsidRDefault="00BA3B3F" w:rsidP="00BA3B3F">
      <w:pPr>
        <w:pStyle w:val="a3"/>
      </w:pPr>
      <w:r>
        <w:rPr>
          <w:rFonts w:hint="eastAsia"/>
        </w:rPr>
        <w:t xml:space="preserve">Full Text: </w:t>
      </w:r>
      <w:hyperlink r:id="rId1589" w:history="1">
        <w:r w:rsidRPr="0066386C">
          <w:rPr>
            <w:rStyle w:val="a5"/>
          </w:rPr>
          <w:t>2012\BMC Hea Ser Res12, 10.pdf</w:t>
        </w:r>
      </w:hyperlink>
    </w:p>
    <w:p w:rsidR="00BA3B3F" w:rsidRDefault="00BA3B3F" w:rsidP="00BA3B3F">
      <w:pPr>
        <w:pStyle w:val="a3"/>
        <w:rPr>
          <w:kern w:val="0"/>
        </w:rPr>
      </w:pPr>
      <w:r>
        <w:rPr>
          <w:rFonts w:hint="eastAsia"/>
          <w:kern w:val="0"/>
        </w:rPr>
        <w:t>Abstract: Background: Primary care practices provide a gate-keeping function in many health care systems. Since depressive disorders are highly prevalent in primary care settings, reliable detection</w:t>
      </w:r>
      <w:r w:rsidR="005853A9">
        <w:rPr>
          <w:rFonts w:hint="eastAsia"/>
          <w:kern w:val="0"/>
        </w:rPr>
        <w:t xml:space="preserve"> and </w:t>
      </w:r>
      <w:r>
        <w:rPr>
          <w:rFonts w:hint="eastAsia"/>
          <w:kern w:val="0"/>
        </w:rPr>
        <w:t>diagnoses are a first step to enhance depression care for patients. Provider training is a self-evident approach to enhance detection, diagnoses</w:t>
      </w:r>
      <w:r w:rsidR="005853A9">
        <w:rPr>
          <w:rFonts w:hint="eastAsia"/>
          <w:kern w:val="0"/>
        </w:rPr>
        <w:t xml:space="preserve"> and </w:t>
      </w:r>
      <w:r>
        <w:rPr>
          <w:rFonts w:hint="eastAsia"/>
          <w:kern w:val="0"/>
        </w:rPr>
        <w:t>treatment options</w:t>
      </w:r>
      <w:r w:rsidR="005853A9">
        <w:rPr>
          <w:rFonts w:hint="eastAsia"/>
          <w:kern w:val="0"/>
        </w:rPr>
        <w:t xml:space="preserve"> and </w:t>
      </w:r>
      <w:r>
        <w:rPr>
          <w:rFonts w:hint="eastAsia"/>
          <w:kern w:val="0"/>
        </w:rPr>
        <w:t>might even lead to improved patient outcomes. Methods: A systematic literature search was conducted reviewing research studies providing training</w:t>
      </w:r>
      <w:r w:rsidR="00427468">
        <w:rPr>
          <w:rFonts w:hint="eastAsia"/>
          <w:kern w:val="0"/>
        </w:rPr>
        <w:t xml:space="preserve"> of </w:t>
      </w:r>
      <w:r>
        <w:rPr>
          <w:rFonts w:hint="eastAsia"/>
          <w:kern w:val="0"/>
        </w:rPr>
        <w:t>general practitioners, published from 1999 until May 2011, available on</w:t>
      </w:r>
      <w:r w:rsidR="003A1917">
        <w:rPr>
          <w:rFonts w:hint="eastAsia"/>
          <w:kern w:val="0"/>
        </w:rPr>
        <w:t xml:space="preserve"> the </w:t>
      </w:r>
      <w:r>
        <w:rPr>
          <w:rFonts w:hint="eastAsia"/>
          <w:kern w:val="0"/>
        </w:rPr>
        <w:t xml:space="preserve">electronic databases </w:t>
      </w:r>
      <w:r w:rsidR="00D5664A">
        <w:rPr>
          <w:rFonts w:hint="eastAsia"/>
          <w:kern w:val="0"/>
        </w:rPr>
        <w:t>MEDLINE</w:t>
      </w:r>
      <w:r>
        <w:rPr>
          <w:rFonts w:hint="eastAsia"/>
          <w:kern w:val="0"/>
        </w:rPr>
        <w:t xml:space="preserve">, </w:t>
      </w:r>
      <w:r w:rsidR="00D5664A">
        <w:rPr>
          <w:rFonts w:hint="eastAsia"/>
          <w:kern w:val="0"/>
        </w:rPr>
        <w:t>Web</w:t>
      </w:r>
      <w:r w:rsidR="00427468">
        <w:rPr>
          <w:rFonts w:hint="eastAsia"/>
          <w:kern w:val="0"/>
        </w:rPr>
        <w:t xml:space="preserve"> of </w:t>
      </w:r>
      <w:r w:rsidR="00D5664A">
        <w:rPr>
          <w:rFonts w:hint="eastAsia"/>
          <w:kern w:val="0"/>
        </w:rPr>
        <w:t>Science</w:t>
      </w:r>
      <w:r>
        <w:rPr>
          <w:rFonts w:hint="eastAsia"/>
          <w:kern w:val="0"/>
        </w:rPr>
        <w:t>, PsycINFO</w:t>
      </w:r>
      <w:r w:rsidR="005853A9">
        <w:rPr>
          <w:rFonts w:hint="eastAsia"/>
          <w:kern w:val="0"/>
        </w:rPr>
        <w:t xml:space="preserve"> and </w:t>
      </w:r>
      <w:r w:rsidR="003A1917">
        <w:rPr>
          <w:rFonts w:hint="eastAsia"/>
          <w:kern w:val="0"/>
        </w:rPr>
        <w:t xml:space="preserve">the </w:t>
      </w:r>
      <w:r>
        <w:rPr>
          <w:rFonts w:hint="eastAsia"/>
          <w:kern w:val="0"/>
        </w:rPr>
        <w:t>Cochrane Library as well as national guidelines</w:t>
      </w:r>
      <w:r w:rsidR="005853A9">
        <w:rPr>
          <w:rFonts w:hint="eastAsia"/>
          <w:kern w:val="0"/>
        </w:rPr>
        <w:t xml:space="preserve"> and </w:t>
      </w:r>
      <w:r>
        <w:rPr>
          <w:rFonts w:hint="eastAsia"/>
          <w:kern w:val="0"/>
        </w:rPr>
        <w:t>health technology assessments (HTA). Results: 108 articles were fully assessed</w:t>
      </w:r>
      <w:r w:rsidR="005853A9">
        <w:rPr>
          <w:rFonts w:hint="eastAsia"/>
          <w:kern w:val="0"/>
        </w:rPr>
        <w:t xml:space="preserve"> and </w:t>
      </w:r>
      <w:r>
        <w:rPr>
          <w:rFonts w:hint="eastAsia"/>
          <w:kern w:val="0"/>
        </w:rPr>
        <w:t>11 articles met</w:t>
      </w:r>
      <w:r w:rsidR="003A1917">
        <w:rPr>
          <w:rFonts w:hint="eastAsia"/>
          <w:kern w:val="0"/>
        </w:rPr>
        <w:t xml:space="preserve"> the </w:t>
      </w:r>
      <w:r>
        <w:rPr>
          <w:rFonts w:hint="eastAsia"/>
          <w:kern w:val="0"/>
        </w:rPr>
        <w:t>inclusion criteria</w:t>
      </w:r>
      <w:r w:rsidR="005853A9">
        <w:rPr>
          <w:rFonts w:hint="eastAsia"/>
          <w:kern w:val="0"/>
        </w:rPr>
        <w:t xml:space="preserve"> and </w:t>
      </w:r>
      <w:r>
        <w:rPr>
          <w:rFonts w:hint="eastAsia"/>
          <w:kern w:val="0"/>
        </w:rPr>
        <w:t>were included. Training</w:t>
      </w:r>
      <w:r w:rsidR="00427468">
        <w:rPr>
          <w:rFonts w:hint="eastAsia"/>
          <w:kern w:val="0"/>
        </w:rPr>
        <w:t xml:space="preserve"> of </w:t>
      </w:r>
      <w:r>
        <w:rPr>
          <w:rFonts w:hint="eastAsia"/>
          <w:kern w:val="0"/>
        </w:rPr>
        <w:t>providers alone (even in a specific interventional method) did not result in improved patient outcomes</w:t>
      </w:r>
      <w:r w:rsidR="00A37C1D">
        <w:rPr>
          <w:rFonts w:hint="eastAsia"/>
          <w:kern w:val="0"/>
        </w:rPr>
        <w:t>. The</w:t>
      </w:r>
      <w:r w:rsidR="003A1917">
        <w:rPr>
          <w:rFonts w:hint="eastAsia"/>
          <w:kern w:val="0"/>
        </w:rPr>
        <w:t xml:space="preserve"> </w:t>
      </w:r>
      <w:r>
        <w:rPr>
          <w:rFonts w:hint="eastAsia"/>
          <w:kern w:val="0"/>
        </w:rPr>
        <w:t xml:space="preserve">additional </w:t>
      </w:r>
      <w:r>
        <w:rPr>
          <w:rFonts w:hint="eastAsia"/>
          <w:kern w:val="0"/>
        </w:rPr>
        <w:lastRenderedPageBreak/>
        <w:t>implementation</w:t>
      </w:r>
      <w:r w:rsidR="00427468">
        <w:rPr>
          <w:rFonts w:hint="eastAsia"/>
          <w:kern w:val="0"/>
        </w:rPr>
        <w:t xml:space="preserve"> of </w:t>
      </w:r>
      <w:r>
        <w:rPr>
          <w:rFonts w:hint="eastAsia"/>
          <w:kern w:val="0"/>
        </w:rPr>
        <w:t>guidelines</w:t>
      </w:r>
      <w:r w:rsidR="005853A9">
        <w:rPr>
          <w:rFonts w:hint="eastAsia"/>
          <w:kern w:val="0"/>
        </w:rPr>
        <w:t xml:space="preserve"> and </w:t>
      </w:r>
      <w:r w:rsidR="003A1917">
        <w:rPr>
          <w:rFonts w:hint="eastAsia"/>
          <w:kern w:val="0"/>
        </w:rPr>
        <w:t xml:space="preserve">the </w:t>
      </w:r>
      <w:r>
        <w:rPr>
          <w:rFonts w:hint="eastAsia"/>
          <w:kern w:val="0"/>
        </w:rPr>
        <w:t>use</w:t>
      </w:r>
      <w:r w:rsidR="00427468">
        <w:rPr>
          <w:rFonts w:hint="eastAsia"/>
          <w:kern w:val="0"/>
        </w:rPr>
        <w:t xml:space="preserve"> of </w:t>
      </w:r>
      <w:r>
        <w:rPr>
          <w:rFonts w:hint="eastAsia"/>
          <w:kern w:val="0"/>
        </w:rPr>
        <w:t>more complex interventions in primary care yield a significant reduction in depressive symptomatology</w:t>
      </w:r>
      <w:r w:rsidR="00A37C1D">
        <w:rPr>
          <w:rFonts w:hint="eastAsia"/>
          <w:kern w:val="0"/>
        </w:rPr>
        <w:t>. The</w:t>
      </w:r>
      <w:r w:rsidR="003A1917">
        <w:rPr>
          <w:rFonts w:hint="eastAsia"/>
          <w:kern w:val="0"/>
        </w:rPr>
        <w:t xml:space="preserve"> </w:t>
      </w:r>
      <w:r>
        <w:rPr>
          <w:rFonts w:hint="eastAsia"/>
          <w:kern w:val="0"/>
        </w:rPr>
        <w:t>number</w:t>
      </w:r>
      <w:r w:rsidR="00427468">
        <w:rPr>
          <w:rFonts w:hint="eastAsia"/>
          <w:kern w:val="0"/>
        </w:rPr>
        <w:t xml:space="preserve"> of </w:t>
      </w:r>
      <w:r>
        <w:rPr>
          <w:rFonts w:hint="eastAsia"/>
          <w:kern w:val="0"/>
        </w:rPr>
        <w:t>studies examining sole provider training is limited,</w:t>
      </w:r>
      <w:r w:rsidR="005853A9">
        <w:rPr>
          <w:rFonts w:hint="eastAsia"/>
          <w:kern w:val="0"/>
        </w:rPr>
        <w:t xml:space="preserve"> and </w:t>
      </w:r>
      <w:r>
        <w:rPr>
          <w:rFonts w:hint="eastAsia"/>
          <w:kern w:val="0"/>
        </w:rPr>
        <w:t>studies include different patient samples (new on-set cases vs. chronically depressed patients), which reduce comparability. Conclusions: This is</w:t>
      </w:r>
      <w:r w:rsidR="003A1917">
        <w:rPr>
          <w:rFonts w:hint="eastAsia"/>
          <w:kern w:val="0"/>
        </w:rPr>
        <w:t xml:space="preserve"> the </w:t>
      </w:r>
      <w:r>
        <w:rPr>
          <w:rFonts w:hint="eastAsia"/>
          <w:kern w:val="0"/>
        </w:rPr>
        <w:t>first overview</w:t>
      </w:r>
      <w:r w:rsidR="00427468">
        <w:rPr>
          <w:rFonts w:hint="eastAsia"/>
          <w:kern w:val="0"/>
        </w:rPr>
        <w:t xml:space="preserve"> of </w:t>
      </w:r>
      <w:r>
        <w:rPr>
          <w:rFonts w:hint="eastAsia"/>
          <w:kern w:val="0"/>
        </w:rPr>
        <w:t>randomized controlled trials introducing GP training for depression care. Provider training by itself does not seem to improve depression care; however, if combined with additional guidelines implementation, results are promising for new-onset depression patient samples. Additional organizational structure changes in form</w:t>
      </w:r>
      <w:r w:rsidR="00427468">
        <w:rPr>
          <w:rFonts w:hint="eastAsia"/>
          <w:kern w:val="0"/>
        </w:rPr>
        <w:t xml:space="preserve"> of </w:t>
      </w:r>
      <w:r>
        <w:rPr>
          <w:rFonts w:hint="eastAsia"/>
          <w:kern w:val="0"/>
        </w:rPr>
        <w:t>collaborative care models are more likely to show effects on depression care.</w:t>
      </w:r>
    </w:p>
    <w:p w:rsidR="00BA3B3F" w:rsidRDefault="00BA3B3F" w:rsidP="00BA3B3F">
      <w:pPr>
        <w:pStyle w:val="a3"/>
        <w:rPr>
          <w:kern w:val="0"/>
        </w:rPr>
      </w:pPr>
      <w:r>
        <w:rPr>
          <w:rFonts w:hint="eastAsia"/>
          <w:kern w:val="0"/>
        </w:rPr>
        <w:t xml:space="preserve">Keywords: Articles, Care, Cochrane, Community, Cost-Effectiveness, Databases, Depression, Epidemiology, General-Practitioners, Guidelines, Health, Health Care, Health Service, Improve, Intervention, Interventions, Lead, Literature, Major Depression, Management, </w:t>
      </w:r>
      <w:r w:rsidR="00D5664A">
        <w:rPr>
          <w:rFonts w:hint="eastAsia"/>
          <w:kern w:val="0"/>
        </w:rPr>
        <w:t>MEDLINE</w:t>
      </w:r>
      <w:r>
        <w:rPr>
          <w:rFonts w:hint="eastAsia"/>
          <w:kern w:val="0"/>
        </w:rPr>
        <w:t xml:space="preserve">, Mental-Disorders, Meta Analysis, Meta-Analysis, Methods, Outcome, Outcomes, Overview, Patient Outcomes, Patients, Primary, Primary Care, Randomized Controlled Trials, Randomized Controlled-Trial, Reduction, Research, Review, Reviewing, Science, Systematic, Systematic Review, Technology, Training, Treatment, </w:t>
      </w:r>
      <w:r w:rsidR="00D5664A">
        <w:rPr>
          <w:rFonts w:hint="eastAsia"/>
          <w:kern w:val="0"/>
        </w:rPr>
        <w:t>Web</w:t>
      </w:r>
      <w:r w:rsidR="00427468">
        <w:rPr>
          <w:rFonts w:hint="eastAsia"/>
          <w:kern w:val="0"/>
        </w:rPr>
        <w:t xml:space="preserve"> of </w:t>
      </w:r>
      <w:r w:rsidR="00D5664A">
        <w:rPr>
          <w:rFonts w:hint="eastAsia"/>
          <w:kern w:val="0"/>
        </w:rPr>
        <w:t>Science</w:t>
      </w:r>
      <w:r>
        <w:rPr>
          <w:rFonts w:hint="eastAsia"/>
          <w:kern w:val="0"/>
        </w:rPr>
        <w:t xml:space="preserve">, </w:t>
      </w:r>
      <w:r w:rsidR="00D5664A">
        <w:rPr>
          <w:rFonts w:hint="eastAsia"/>
          <w:kern w:val="0"/>
        </w:rPr>
        <w:t>Web-of-Science</w:t>
      </w:r>
    </w:p>
    <w:p w:rsidR="00130B9F" w:rsidRDefault="00130B9F" w:rsidP="00130B9F">
      <w:pPr>
        <w:pStyle w:val="a3"/>
        <w:rPr>
          <w:kern w:val="0"/>
        </w:rPr>
      </w:pPr>
      <w:r>
        <w:rPr>
          <w:rFonts w:hint="eastAsia"/>
          <w:kern w:val="0"/>
        </w:rPr>
        <w:t xml:space="preserve">? </w:t>
      </w:r>
      <w:r>
        <w:rPr>
          <w:kern w:val="0"/>
        </w:rPr>
        <w:t>Treanor, C.</w:t>
      </w:r>
      <w:r w:rsidR="005853A9">
        <w:rPr>
          <w:kern w:val="0"/>
        </w:rPr>
        <w:t xml:space="preserve"> and </w:t>
      </w:r>
      <w:r>
        <w:rPr>
          <w:kern w:val="0"/>
        </w:rPr>
        <w:t>Donnelly, M. (2012), An international review</w:t>
      </w:r>
      <w:r w:rsidR="00427468">
        <w:rPr>
          <w:kern w:val="0"/>
        </w:rPr>
        <w:t xml:space="preserve"> of </w:t>
      </w:r>
      <w:r w:rsidR="003A1917">
        <w:rPr>
          <w:kern w:val="0"/>
        </w:rPr>
        <w:t xml:space="preserve">the </w:t>
      </w:r>
      <w:r>
        <w:rPr>
          <w:kern w:val="0"/>
        </w:rPr>
        <w:t>patterns</w:t>
      </w:r>
      <w:r w:rsidR="005853A9">
        <w:rPr>
          <w:kern w:val="0"/>
        </w:rPr>
        <w:t xml:space="preserve"> and </w:t>
      </w:r>
      <w:r>
        <w:rPr>
          <w:kern w:val="0"/>
        </w:rPr>
        <w:t>determinants</w:t>
      </w:r>
      <w:r w:rsidR="00427468">
        <w:rPr>
          <w:kern w:val="0"/>
        </w:rPr>
        <w:t xml:space="preserve"> of </w:t>
      </w:r>
      <w:r>
        <w:rPr>
          <w:kern w:val="0"/>
        </w:rPr>
        <w:t xml:space="preserve">health service utilisation by adult cancer survivors. </w:t>
      </w:r>
      <w:r>
        <w:rPr>
          <w:i/>
          <w:iCs/>
          <w:kern w:val="0"/>
        </w:rPr>
        <w:t>BMC Health Services Research</w:t>
      </w:r>
      <w:r>
        <w:rPr>
          <w:kern w:val="0"/>
        </w:rPr>
        <w:t xml:space="preserve">, </w:t>
      </w:r>
      <w:r>
        <w:rPr>
          <w:b/>
          <w:bCs/>
          <w:kern w:val="0"/>
        </w:rPr>
        <w:t>12</w:t>
      </w:r>
      <w:r>
        <w:rPr>
          <w:rFonts w:hint="eastAsia"/>
          <w:kern w:val="0"/>
        </w:rPr>
        <w:t xml:space="preserve">, </w:t>
      </w:r>
      <w:r>
        <w:rPr>
          <w:rFonts w:hint="eastAsia"/>
        </w:rPr>
        <w:t>Article Number: 316.</w:t>
      </w:r>
    </w:p>
    <w:p w:rsidR="00130B9F" w:rsidRDefault="00130B9F" w:rsidP="00130B9F">
      <w:pPr>
        <w:pStyle w:val="a3"/>
      </w:pPr>
      <w:r>
        <w:rPr>
          <w:rFonts w:hint="eastAsia"/>
        </w:rPr>
        <w:t xml:space="preserve">Full Text: </w:t>
      </w:r>
      <w:hyperlink r:id="rId1590" w:history="1">
        <w:r w:rsidRPr="001E7055">
          <w:rPr>
            <w:rStyle w:val="a5"/>
          </w:rPr>
          <w:t>2012\BMC Hea Ser Res12, 316.pdf</w:t>
        </w:r>
      </w:hyperlink>
    </w:p>
    <w:p w:rsidR="00130B9F" w:rsidRDefault="00130B9F" w:rsidP="00130B9F">
      <w:pPr>
        <w:pStyle w:val="a3"/>
        <w:rPr>
          <w:kern w:val="0"/>
        </w:rPr>
      </w:pPr>
      <w:r>
        <w:rPr>
          <w:kern w:val="0"/>
        </w:rPr>
        <w:t>Abstract: Background: There is a need to review factors related to health service utilisation by</w:t>
      </w:r>
      <w:r w:rsidR="003A1917">
        <w:rPr>
          <w:kern w:val="0"/>
        </w:rPr>
        <w:t xml:space="preserve"> the </w:t>
      </w:r>
      <w:r>
        <w:rPr>
          <w:kern w:val="0"/>
        </w:rPr>
        <w:t>increasing number</w:t>
      </w:r>
      <w:r w:rsidR="00427468">
        <w:rPr>
          <w:kern w:val="0"/>
        </w:rPr>
        <w:t xml:space="preserve"> of </w:t>
      </w:r>
      <w:r>
        <w:rPr>
          <w:kern w:val="0"/>
        </w:rPr>
        <w:t>cancer survivors in order to inform care planning</w:t>
      </w:r>
      <w:r w:rsidR="005853A9">
        <w:rPr>
          <w:kern w:val="0"/>
        </w:rPr>
        <w:t xml:space="preserve"> and </w:t>
      </w:r>
      <w:r w:rsidR="003A1917">
        <w:rPr>
          <w:kern w:val="0"/>
        </w:rPr>
        <w:t xml:space="preserve">the </w:t>
      </w:r>
      <w:r>
        <w:rPr>
          <w:kern w:val="0"/>
        </w:rPr>
        <w:t>organisation</w:t>
      </w:r>
      <w:r w:rsidR="005853A9">
        <w:rPr>
          <w:kern w:val="0"/>
        </w:rPr>
        <w:t xml:space="preserve"> and </w:t>
      </w:r>
      <w:r>
        <w:rPr>
          <w:kern w:val="0"/>
        </w:rPr>
        <w:t>delivery</w:t>
      </w:r>
      <w:r w:rsidR="00427468">
        <w:rPr>
          <w:kern w:val="0"/>
        </w:rPr>
        <w:t xml:space="preserve"> of </w:t>
      </w:r>
      <w:r>
        <w:rPr>
          <w:kern w:val="0"/>
        </w:rPr>
        <w:t>services. Methods: Studies were identified via systematic searches</w:t>
      </w:r>
      <w:r w:rsidR="00427468">
        <w:rPr>
          <w:kern w:val="0"/>
        </w:rPr>
        <w:t xml:space="preserve"> of </w:t>
      </w:r>
      <w:r w:rsidR="00D5664A">
        <w:rPr>
          <w:kern w:val="0"/>
        </w:rPr>
        <w:t>MEDLINE</w:t>
      </w:r>
      <w:r>
        <w:rPr>
          <w:kern w:val="0"/>
        </w:rPr>
        <w:t>, PsycINFO, CINAHL, Social Science Citation Index</w:t>
      </w:r>
      <w:r w:rsidR="005853A9">
        <w:rPr>
          <w:kern w:val="0"/>
        </w:rPr>
        <w:t xml:space="preserve"> and </w:t>
      </w:r>
      <w:r w:rsidR="003A1917">
        <w:rPr>
          <w:kern w:val="0"/>
        </w:rPr>
        <w:t xml:space="preserve">the </w:t>
      </w:r>
      <w:r>
        <w:rPr>
          <w:kern w:val="0"/>
        </w:rPr>
        <w:t>SEER-MEDICARE library. Methodological quality was assessed using STROBE;</w:t>
      </w:r>
      <w:r w:rsidR="005853A9">
        <w:rPr>
          <w:kern w:val="0"/>
        </w:rPr>
        <w:t xml:space="preserve"> and </w:t>
      </w:r>
      <w:r w:rsidR="003A1917">
        <w:rPr>
          <w:kern w:val="0"/>
        </w:rPr>
        <w:t xml:space="preserve">the </w:t>
      </w:r>
      <w:r>
        <w:rPr>
          <w:kern w:val="0"/>
        </w:rPr>
        <w:t>Andersen Behavioural Model was used as a framework to structure, organise</w:t>
      </w:r>
      <w:r w:rsidR="005853A9">
        <w:rPr>
          <w:kern w:val="0"/>
        </w:rPr>
        <w:t xml:space="preserve"> and </w:t>
      </w:r>
      <w:r>
        <w:rPr>
          <w:kern w:val="0"/>
        </w:rPr>
        <w:t>analyse</w:t>
      </w:r>
      <w:r w:rsidR="003A1917">
        <w:rPr>
          <w:kern w:val="0"/>
        </w:rPr>
        <w:t xml:space="preserve"> the </w:t>
      </w:r>
      <w:r>
        <w:rPr>
          <w:kern w:val="0"/>
        </w:rPr>
        <w:t>results</w:t>
      </w:r>
      <w:r w:rsidR="00427468">
        <w:rPr>
          <w:kern w:val="0"/>
        </w:rPr>
        <w:t xml:space="preserve"> of </w:t>
      </w:r>
      <w:r w:rsidR="003A1917">
        <w:rPr>
          <w:kern w:val="0"/>
        </w:rPr>
        <w:t xml:space="preserve">the </w:t>
      </w:r>
      <w:r>
        <w:rPr>
          <w:kern w:val="0"/>
        </w:rPr>
        <w:t>review. Results: Younger, white cancer survivors were most likely to receive follow-up screening, preventive care, visit their physician, utilise professional mental health services</w:t>
      </w:r>
      <w:r w:rsidR="005853A9">
        <w:rPr>
          <w:kern w:val="0"/>
        </w:rPr>
        <w:t xml:space="preserve"> and </w:t>
      </w:r>
      <w:r>
        <w:rPr>
          <w:kern w:val="0"/>
        </w:rPr>
        <w:t>least likely to be hospitalised. Utilisation rates</w:t>
      </w:r>
      <w:r w:rsidR="00427468">
        <w:rPr>
          <w:kern w:val="0"/>
        </w:rPr>
        <w:t xml:space="preserve"> of </w:t>
      </w:r>
      <w:r>
        <w:rPr>
          <w:kern w:val="0"/>
        </w:rPr>
        <w:t>other health professionals such as physiotherapists were low. Only studies</w:t>
      </w:r>
      <w:r w:rsidR="00427468">
        <w:rPr>
          <w:kern w:val="0"/>
        </w:rPr>
        <w:t xml:space="preserve"> of </w:t>
      </w:r>
      <w:r>
        <w:rPr>
          <w:kern w:val="0"/>
        </w:rPr>
        <w:t>health service use conducted in</w:t>
      </w:r>
      <w:r w:rsidR="003A1917">
        <w:rPr>
          <w:kern w:val="0"/>
        </w:rPr>
        <w:t xml:space="preserve"> the </w:t>
      </w:r>
      <w:r w:rsidR="00D5664A">
        <w:rPr>
          <w:kern w:val="0"/>
        </w:rPr>
        <w:t>USA</w:t>
      </w:r>
      <w:r>
        <w:rPr>
          <w:kern w:val="0"/>
        </w:rPr>
        <w:t xml:space="preserve"> investigated</w:t>
      </w:r>
      <w:r w:rsidR="003A1917">
        <w:rPr>
          <w:kern w:val="0"/>
        </w:rPr>
        <w:t xml:space="preserve"> the </w:t>
      </w:r>
      <w:r>
        <w:rPr>
          <w:kern w:val="0"/>
        </w:rPr>
        <w:t>role</w:t>
      </w:r>
      <w:r w:rsidR="00427468">
        <w:rPr>
          <w:kern w:val="0"/>
        </w:rPr>
        <w:t xml:space="preserve"> of </w:t>
      </w:r>
      <w:r>
        <w:rPr>
          <w:kern w:val="0"/>
        </w:rPr>
        <w:t>type</w:t>
      </w:r>
      <w:r w:rsidR="00427468">
        <w:rPr>
          <w:kern w:val="0"/>
        </w:rPr>
        <w:t xml:space="preserve"> of </w:t>
      </w:r>
      <w:r>
        <w:rPr>
          <w:kern w:val="0"/>
        </w:rPr>
        <w:t>health insurance</w:t>
      </w:r>
      <w:r w:rsidR="005853A9">
        <w:rPr>
          <w:kern w:val="0"/>
        </w:rPr>
        <w:t xml:space="preserve"> and </w:t>
      </w:r>
      <w:r>
        <w:rPr>
          <w:kern w:val="0"/>
        </w:rPr>
        <w:t>ethnicity</w:t>
      </w:r>
      <w:r w:rsidR="00A37C1D">
        <w:rPr>
          <w:kern w:val="0"/>
        </w:rPr>
        <w:t>. The</w:t>
      </w:r>
      <w:r>
        <w:rPr>
          <w:kern w:val="0"/>
        </w:rPr>
        <w:t>re appeared to be disparate service use among US samples in terms</w:t>
      </w:r>
      <w:r w:rsidR="00427468">
        <w:rPr>
          <w:kern w:val="0"/>
        </w:rPr>
        <w:t xml:space="preserve"> of </w:t>
      </w:r>
      <w:r>
        <w:rPr>
          <w:kern w:val="0"/>
        </w:rPr>
        <w:t>ethnicity</w:t>
      </w:r>
      <w:r w:rsidR="005853A9">
        <w:rPr>
          <w:kern w:val="0"/>
        </w:rPr>
        <w:t xml:space="preserve"> and </w:t>
      </w:r>
      <w:r>
        <w:rPr>
          <w:kern w:val="0"/>
        </w:rPr>
        <w:t>socio-demographic status, regardless</w:t>
      </w:r>
      <w:r w:rsidR="00427468">
        <w:rPr>
          <w:kern w:val="0"/>
        </w:rPr>
        <w:t xml:space="preserve"> of </w:t>
      </w:r>
      <w:r>
        <w:rPr>
          <w:kern w:val="0"/>
        </w:rPr>
        <w:t>type</w:t>
      </w:r>
      <w:r w:rsidR="00427468">
        <w:rPr>
          <w:kern w:val="0"/>
        </w:rPr>
        <w:t xml:space="preserve"> of </w:t>
      </w:r>
      <w:r>
        <w:rPr>
          <w:kern w:val="0"/>
        </w:rPr>
        <w:t>health insurance provision s- this may be explained by underlying differences in health-seeking behaviours. Overall, use</w:t>
      </w:r>
      <w:r w:rsidR="00427468">
        <w:rPr>
          <w:kern w:val="0"/>
        </w:rPr>
        <w:t xml:space="preserve"> of </w:t>
      </w:r>
      <w:r>
        <w:rPr>
          <w:kern w:val="0"/>
        </w:rPr>
        <w:t>follow-up care appeared to be lower than expected</w:t>
      </w:r>
      <w:r w:rsidR="005853A9">
        <w:rPr>
          <w:kern w:val="0"/>
        </w:rPr>
        <w:t xml:space="preserve"> and </w:t>
      </w:r>
      <w:r>
        <w:rPr>
          <w:kern w:val="0"/>
        </w:rPr>
        <w:t>barriers existed for particular groups</w:t>
      </w:r>
      <w:r w:rsidR="00427468">
        <w:rPr>
          <w:kern w:val="0"/>
        </w:rPr>
        <w:t xml:space="preserve"> of </w:t>
      </w:r>
      <w:r>
        <w:rPr>
          <w:kern w:val="0"/>
        </w:rPr>
        <w:lastRenderedPageBreak/>
        <w:t>cancer survivors. Conclusions: Studies focussed on</w:t>
      </w:r>
      <w:r w:rsidR="003A1917">
        <w:rPr>
          <w:kern w:val="0"/>
        </w:rPr>
        <w:t xml:space="preserve"> the </w:t>
      </w:r>
      <w:r>
        <w:rPr>
          <w:kern w:val="0"/>
        </w:rPr>
        <w:t>use</w:t>
      </w:r>
      <w:r w:rsidR="00427468">
        <w:rPr>
          <w:kern w:val="0"/>
        </w:rPr>
        <w:t xml:space="preserve"> of </w:t>
      </w:r>
      <w:r>
        <w:rPr>
          <w:kern w:val="0"/>
        </w:rPr>
        <w:t>a specific type</w:t>
      </w:r>
      <w:r w:rsidR="00427468">
        <w:rPr>
          <w:kern w:val="0"/>
        </w:rPr>
        <w:t xml:space="preserve"> of </w:t>
      </w:r>
      <w:r>
        <w:rPr>
          <w:kern w:val="0"/>
        </w:rPr>
        <w:t>service rather than adopting a whole-system approach</w:t>
      </w:r>
      <w:r w:rsidR="005853A9">
        <w:rPr>
          <w:kern w:val="0"/>
        </w:rPr>
        <w:t xml:space="preserve"> and </w:t>
      </w:r>
      <w:r>
        <w:rPr>
          <w:kern w:val="0"/>
        </w:rPr>
        <w:t>future health services research should address this shortcoming. Overall, there is a need to improve access to care for all cancer survivors. Studies were predominantly US-based focussing mainly on breast or colorectal cancer. Thus,</w:t>
      </w:r>
      <w:r w:rsidR="003A1917">
        <w:rPr>
          <w:kern w:val="0"/>
        </w:rPr>
        <w:t xml:space="preserve"> the </w:t>
      </w:r>
      <w:r>
        <w:rPr>
          <w:kern w:val="0"/>
        </w:rPr>
        <w:t>generalisability</w:t>
      </w:r>
      <w:r w:rsidR="00427468">
        <w:rPr>
          <w:kern w:val="0"/>
        </w:rPr>
        <w:t xml:space="preserve"> of </w:t>
      </w:r>
      <w:r>
        <w:rPr>
          <w:kern w:val="0"/>
        </w:rPr>
        <w:t>findings to other health-care systems</w:t>
      </w:r>
      <w:r w:rsidR="005853A9">
        <w:rPr>
          <w:kern w:val="0"/>
        </w:rPr>
        <w:t xml:space="preserve"> and </w:t>
      </w:r>
      <w:r>
        <w:rPr>
          <w:kern w:val="0"/>
        </w:rPr>
        <w:t>cancer sites is unclear</w:t>
      </w:r>
      <w:r w:rsidR="00A37C1D">
        <w:rPr>
          <w:kern w:val="0"/>
        </w:rPr>
        <w:t>. The</w:t>
      </w:r>
      <w:r w:rsidR="003A1917">
        <w:rPr>
          <w:kern w:val="0"/>
        </w:rPr>
        <w:t xml:space="preserve"> </w:t>
      </w:r>
      <w:r>
        <w:rPr>
          <w:kern w:val="0"/>
        </w:rPr>
        <w:t>Andersen Behavioural Model provided an appropriate framework for studying</w:t>
      </w:r>
      <w:r w:rsidR="005853A9">
        <w:rPr>
          <w:kern w:val="0"/>
        </w:rPr>
        <w:t xml:space="preserve"> and </w:t>
      </w:r>
      <w:r>
        <w:rPr>
          <w:kern w:val="0"/>
        </w:rPr>
        <w:t>understanding health service use among cancer survivors</w:t>
      </w:r>
      <w:r w:rsidR="00A37C1D">
        <w:rPr>
          <w:kern w:val="0"/>
        </w:rPr>
        <w:t>. The</w:t>
      </w:r>
      <w:r w:rsidR="003A1917">
        <w:rPr>
          <w:kern w:val="0"/>
        </w:rPr>
        <w:t xml:space="preserve"> </w:t>
      </w:r>
      <w:r>
        <w:rPr>
          <w:kern w:val="0"/>
        </w:rPr>
        <w:t>active involvement</w:t>
      </w:r>
      <w:r w:rsidR="00427468">
        <w:rPr>
          <w:kern w:val="0"/>
        </w:rPr>
        <w:t xml:space="preserve"> of </w:t>
      </w:r>
      <w:r>
        <w:rPr>
          <w:kern w:val="0"/>
        </w:rPr>
        <w:t>physicians</w:t>
      </w:r>
      <w:r w:rsidR="005853A9">
        <w:rPr>
          <w:kern w:val="0"/>
        </w:rPr>
        <w:t xml:space="preserve"> and </w:t>
      </w:r>
      <w:r>
        <w:rPr>
          <w:kern w:val="0"/>
        </w:rPr>
        <w:t>use</w:t>
      </w:r>
      <w:r w:rsidR="00427468">
        <w:rPr>
          <w:kern w:val="0"/>
        </w:rPr>
        <w:t xml:space="preserve"> of </w:t>
      </w:r>
      <w:r>
        <w:rPr>
          <w:kern w:val="0"/>
        </w:rPr>
        <w:t>personalised care plans are required in order to ensure that post-treatment needs</w:t>
      </w:r>
      <w:r w:rsidR="005853A9">
        <w:rPr>
          <w:kern w:val="0"/>
        </w:rPr>
        <w:t xml:space="preserve"> and </w:t>
      </w:r>
      <w:r>
        <w:rPr>
          <w:kern w:val="0"/>
        </w:rPr>
        <w:t>recommendations for care are met.</w:t>
      </w:r>
    </w:p>
    <w:p w:rsidR="00130B9F" w:rsidRDefault="00130B9F" w:rsidP="00130B9F">
      <w:pPr>
        <w:pStyle w:val="a3"/>
        <w:rPr>
          <w:kern w:val="0"/>
        </w:rPr>
      </w:pPr>
      <w:r>
        <w:rPr>
          <w:kern w:val="0"/>
        </w:rPr>
        <w:t>Keywords: Access, Adult, Andersen Behavioural Model, Approach, Barriers, Cancer, Cancer Survivor, Care, Care Utilization, Citation, Colorectal Cancer, Colorectal-Cancer, Delivery, Determinants</w:t>
      </w:r>
      <w:r w:rsidR="00427468">
        <w:rPr>
          <w:kern w:val="0"/>
        </w:rPr>
        <w:t xml:space="preserve"> of </w:t>
      </w:r>
      <w:r>
        <w:rPr>
          <w:kern w:val="0"/>
        </w:rPr>
        <w:t xml:space="preserve">Health, Ethnicity, Follow-Up, Framework, Health, Health Care, Health Insurance, Health Professionals, Health Service Utilisation, Health Services, Health Services Research, Insurance, International, Long-Term, Mammography, </w:t>
      </w:r>
      <w:r w:rsidR="00D5664A">
        <w:rPr>
          <w:kern w:val="0"/>
        </w:rPr>
        <w:t>MEDLINE</w:t>
      </w:r>
      <w:r>
        <w:rPr>
          <w:kern w:val="0"/>
        </w:rPr>
        <w:t xml:space="preserve">, Mental Health, Model, Needs, Physician, Physicians, Planned Behavior, Planning, Population-Based Survey, Preventive Care, Psycinfo, Quality, Rates, Recommendations, Research, Review, Role, Science, Science Citation Index, Screening, Service, Services, Social Science Citation Index, Stage Breast-Cancer, Structure, Surveillance Care, Systematic Review, Systems, Understanding, US, </w:t>
      </w:r>
      <w:r w:rsidR="00D5664A">
        <w:rPr>
          <w:kern w:val="0"/>
        </w:rPr>
        <w:t>USA</w:t>
      </w:r>
      <w:r>
        <w:rPr>
          <w:kern w:val="0"/>
        </w:rPr>
        <w:t>, Utilisation</w:t>
      </w:r>
    </w:p>
    <w:p w:rsidR="003C483A" w:rsidRDefault="003C483A" w:rsidP="003C483A">
      <w:pPr>
        <w:pStyle w:val="a3"/>
        <w:rPr>
          <w:kern w:val="0"/>
        </w:rPr>
      </w:pPr>
      <w:r>
        <w:rPr>
          <w:rFonts w:hint="eastAsia"/>
          <w:kern w:val="0"/>
        </w:rPr>
        <w:t xml:space="preserve">? </w:t>
      </w:r>
      <w:r>
        <w:rPr>
          <w:kern w:val="0"/>
        </w:rPr>
        <w:t>Cai, H.W., Dai, H.B., Hu, Y.M., Yan, X.F.</w:t>
      </w:r>
      <w:r w:rsidR="005853A9">
        <w:rPr>
          <w:kern w:val="0"/>
        </w:rPr>
        <w:t xml:space="preserve"> and </w:t>
      </w:r>
      <w:r>
        <w:rPr>
          <w:kern w:val="0"/>
        </w:rPr>
        <w:t>Xu, H.M. (2013), Pharmacist care</w:t>
      </w:r>
      <w:r w:rsidR="005853A9">
        <w:rPr>
          <w:kern w:val="0"/>
        </w:rPr>
        <w:t xml:space="preserve"> and </w:t>
      </w:r>
      <w:r>
        <w:rPr>
          <w:kern w:val="0"/>
        </w:rPr>
        <w:t>the management</w:t>
      </w:r>
      <w:r w:rsidR="00427468">
        <w:rPr>
          <w:kern w:val="0"/>
        </w:rPr>
        <w:t xml:space="preserve"> of </w:t>
      </w:r>
      <w:r>
        <w:rPr>
          <w:kern w:val="0"/>
        </w:rPr>
        <w:t>coronary heart disease: A systematic review</w:t>
      </w:r>
      <w:r w:rsidR="00427468">
        <w:rPr>
          <w:kern w:val="0"/>
        </w:rPr>
        <w:t xml:space="preserve"> of </w:t>
      </w:r>
      <w:r>
        <w:rPr>
          <w:kern w:val="0"/>
        </w:rPr>
        <w:t xml:space="preserve">randomized controlled trials. </w:t>
      </w:r>
      <w:r>
        <w:rPr>
          <w:i/>
          <w:iCs/>
          <w:kern w:val="0"/>
        </w:rPr>
        <w:t>BMC Health Services Research</w:t>
      </w:r>
      <w:r>
        <w:rPr>
          <w:kern w:val="0"/>
        </w:rPr>
        <w:t xml:space="preserve">, </w:t>
      </w:r>
      <w:r>
        <w:rPr>
          <w:b/>
          <w:bCs/>
          <w:kern w:val="0"/>
        </w:rPr>
        <w:t>13</w:t>
      </w:r>
      <w:r>
        <w:rPr>
          <w:rFonts w:hint="eastAsia"/>
          <w:kern w:val="0"/>
        </w:rPr>
        <w:t xml:space="preserve">, </w:t>
      </w:r>
      <w:r>
        <w:rPr>
          <w:rFonts w:hint="eastAsia"/>
        </w:rPr>
        <w:t>Article Number: 461.</w:t>
      </w:r>
    </w:p>
    <w:p w:rsidR="003C483A" w:rsidRDefault="003C483A" w:rsidP="003C483A">
      <w:pPr>
        <w:pStyle w:val="a3"/>
      </w:pPr>
      <w:r>
        <w:rPr>
          <w:rFonts w:hint="eastAsia"/>
        </w:rPr>
        <w:t xml:space="preserve">Full Text: </w:t>
      </w:r>
      <w:hyperlink r:id="rId1591" w:history="1">
        <w:r w:rsidRPr="008C558A">
          <w:rPr>
            <w:rStyle w:val="a5"/>
          </w:rPr>
          <w:t>2013\BMC Hea Ser Res13, 461.pdf</w:t>
        </w:r>
      </w:hyperlink>
    </w:p>
    <w:p w:rsidR="003C483A" w:rsidRDefault="003C483A" w:rsidP="003C483A">
      <w:pPr>
        <w:pStyle w:val="a3"/>
        <w:rPr>
          <w:kern w:val="0"/>
        </w:rPr>
      </w:pPr>
      <w:r>
        <w:rPr>
          <w:kern w:val="0"/>
        </w:rPr>
        <w:t>Abstract: Background: Secondary prevention is important for reducing both mortality</w:t>
      </w:r>
      <w:r w:rsidR="005853A9">
        <w:rPr>
          <w:kern w:val="0"/>
        </w:rPr>
        <w:t xml:space="preserve"> and </w:t>
      </w:r>
      <w:r>
        <w:rPr>
          <w:kern w:val="0"/>
        </w:rPr>
        <w:t>morbidity</w:t>
      </w:r>
      <w:r w:rsidR="00427468">
        <w:rPr>
          <w:kern w:val="0"/>
        </w:rPr>
        <w:t xml:space="preserve"> of </w:t>
      </w:r>
      <w:r>
        <w:rPr>
          <w:kern w:val="0"/>
        </w:rPr>
        <w:t>patients with coronary heart disease (CHD). Pharmacists can provide medication</w:t>
      </w:r>
      <w:r w:rsidR="005853A9">
        <w:rPr>
          <w:kern w:val="0"/>
        </w:rPr>
        <w:t xml:space="preserve"> and </w:t>
      </w:r>
      <w:r>
        <w:rPr>
          <w:kern w:val="0"/>
        </w:rPr>
        <w:t>also work on disease management for patients with CHD. This review has been carried out to evaluate the role</w:t>
      </w:r>
      <w:r w:rsidR="00427468">
        <w:rPr>
          <w:kern w:val="0"/>
        </w:rPr>
        <w:t xml:space="preserve"> of </w:t>
      </w:r>
      <w:r>
        <w:rPr>
          <w:kern w:val="0"/>
        </w:rPr>
        <w:t>pharmacist care on mortality, morbidity,</w:t>
      </w:r>
      <w:r w:rsidR="005853A9">
        <w:rPr>
          <w:kern w:val="0"/>
        </w:rPr>
        <w:t xml:space="preserve"> and </w:t>
      </w:r>
      <w:r>
        <w:rPr>
          <w:kern w:val="0"/>
        </w:rPr>
        <w:t>the CHD management. Methods: The PubMed, MEDLINE, EMBASE, Web</w:t>
      </w:r>
      <w:r w:rsidR="00427468">
        <w:rPr>
          <w:kern w:val="0"/>
        </w:rPr>
        <w:t xml:space="preserve"> of </w:t>
      </w:r>
      <w:r>
        <w:rPr>
          <w:kern w:val="0"/>
        </w:rPr>
        <w:t>Science</w:t>
      </w:r>
      <w:r w:rsidR="005853A9">
        <w:rPr>
          <w:kern w:val="0"/>
        </w:rPr>
        <w:t xml:space="preserve"> and </w:t>
      </w:r>
      <w:r>
        <w:rPr>
          <w:kern w:val="0"/>
        </w:rPr>
        <w:t>Cochrane Central Register</w:t>
      </w:r>
      <w:r w:rsidR="00427468">
        <w:rPr>
          <w:kern w:val="0"/>
        </w:rPr>
        <w:t xml:space="preserve"> of </w:t>
      </w:r>
      <w:r>
        <w:rPr>
          <w:kern w:val="0"/>
        </w:rPr>
        <w:t>Controlled Trials databases were searched for randomized controlled trials (RCTs) to evaluate the impact</w:t>
      </w:r>
      <w:r w:rsidR="00427468">
        <w:rPr>
          <w:kern w:val="0"/>
        </w:rPr>
        <w:t xml:space="preserve"> of </w:t>
      </w:r>
      <w:r>
        <w:rPr>
          <w:kern w:val="0"/>
        </w:rPr>
        <w:t>pharmacist care interventions on patients with CHD (in both community</w:t>
      </w:r>
      <w:r w:rsidR="005853A9">
        <w:rPr>
          <w:kern w:val="0"/>
        </w:rPr>
        <w:t xml:space="preserve"> and </w:t>
      </w:r>
      <w:r>
        <w:rPr>
          <w:kern w:val="0"/>
        </w:rPr>
        <w:t>hospital settings). Primary outcomes</w:t>
      </w:r>
      <w:r w:rsidR="00427468">
        <w:rPr>
          <w:kern w:val="0"/>
        </w:rPr>
        <w:t xml:space="preserve"> of </w:t>
      </w:r>
      <w:r>
        <w:rPr>
          <w:kern w:val="0"/>
        </w:rPr>
        <w:t>interest were mortality, cardiovascular events</w:t>
      </w:r>
      <w:r w:rsidR="005853A9">
        <w:rPr>
          <w:kern w:val="0"/>
        </w:rPr>
        <w:t xml:space="preserve"> and </w:t>
      </w:r>
      <w:r>
        <w:rPr>
          <w:kern w:val="0"/>
        </w:rPr>
        <w:t>hospitalizations. Secondary outcomes were medication adherence, blood pressure control,</w:t>
      </w:r>
      <w:r w:rsidR="005853A9">
        <w:rPr>
          <w:kern w:val="0"/>
        </w:rPr>
        <w:t xml:space="preserve"> and </w:t>
      </w:r>
      <w:r>
        <w:rPr>
          <w:kern w:val="0"/>
        </w:rPr>
        <w:t>lipid management. Results: Five RCTs (2568 patients) were identified</w:t>
      </w:r>
      <w:r w:rsidR="00A37C1D">
        <w:rPr>
          <w:kern w:val="0"/>
        </w:rPr>
        <w:t>. The</w:t>
      </w:r>
      <w:r>
        <w:rPr>
          <w:kern w:val="0"/>
        </w:rPr>
        <w:t xml:space="preserve"> outcomes were mortality, cardiovascular events,</w:t>
      </w:r>
      <w:r w:rsidR="005853A9">
        <w:rPr>
          <w:kern w:val="0"/>
        </w:rPr>
        <w:t xml:space="preserve"> and </w:t>
      </w:r>
      <w:r>
        <w:rPr>
          <w:kern w:val="0"/>
        </w:rPr>
        <w:t>hospitalizations in one study (421 patients), medication adherence in five studies, blood pressure in two studies (1914 patients),</w:t>
      </w:r>
      <w:r w:rsidR="005853A9">
        <w:rPr>
          <w:kern w:val="0"/>
        </w:rPr>
        <w:t xml:space="preserve"> and </w:t>
      </w:r>
      <w:r>
        <w:rPr>
          <w:kern w:val="0"/>
        </w:rPr>
        <w:t>lipid management in three studies (932 patients)</w:t>
      </w:r>
      <w:r w:rsidR="00A37C1D">
        <w:rPr>
          <w:kern w:val="0"/>
        </w:rPr>
        <w:t xml:space="preserve">. </w:t>
      </w:r>
      <w:r w:rsidR="00A37C1D">
        <w:rPr>
          <w:kern w:val="0"/>
        </w:rPr>
        <w:lastRenderedPageBreak/>
        <w:t>The</w:t>
      </w:r>
      <w:r>
        <w:rPr>
          <w:kern w:val="0"/>
        </w:rPr>
        <w:t xml:space="preserve"> interventions</w:t>
      </w:r>
      <w:r w:rsidR="00427468">
        <w:rPr>
          <w:kern w:val="0"/>
        </w:rPr>
        <w:t xml:space="preserve"> of </w:t>
      </w:r>
      <w:r>
        <w:rPr>
          <w:kern w:val="0"/>
        </w:rPr>
        <w:t>pharmacists included patient education, medication management, feedback to health care professionals,</w:t>
      </w:r>
      <w:r w:rsidR="005853A9">
        <w:rPr>
          <w:kern w:val="0"/>
        </w:rPr>
        <w:t xml:space="preserve"> and </w:t>
      </w:r>
      <w:r>
        <w:rPr>
          <w:kern w:val="0"/>
        </w:rPr>
        <w:t>disease management</w:t>
      </w:r>
      <w:r w:rsidR="00A37C1D">
        <w:rPr>
          <w:kern w:val="0"/>
        </w:rPr>
        <w:t>. The</w:t>
      </w:r>
      <w:r>
        <w:rPr>
          <w:kern w:val="0"/>
        </w:rPr>
        <w:t>re was no significant effect</w:t>
      </w:r>
      <w:r w:rsidR="00427468">
        <w:rPr>
          <w:kern w:val="0"/>
        </w:rPr>
        <w:t xml:space="preserve"> of </w:t>
      </w:r>
      <w:r>
        <w:rPr>
          <w:kern w:val="0"/>
        </w:rPr>
        <w:t>pharmacist care on mortality, recurrent cardiac events or hospitalization</w:t>
      </w:r>
      <w:r w:rsidR="00427468">
        <w:rPr>
          <w:kern w:val="0"/>
        </w:rPr>
        <w:t xml:space="preserve"> of </w:t>
      </w:r>
      <w:r>
        <w:rPr>
          <w:kern w:val="0"/>
        </w:rPr>
        <w:t>CHD patients. Significant positive effects</w:t>
      </w:r>
      <w:r w:rsidR="00427468">
        <w:rPr>
          <w:kern w:val="0"/>
        </w:rPr>
        <w:t xml:space="preserve"> of </w:t>
      </w:r>
      <w:r>
        <w:rPr>
          <w:kern w:val="0"/>
        </w:rPr>
        <w:t>pharmacist care were shown on medication adherence in three studies, on blood pressure control in one study</w:t>
      </w:r>
      <w:r w:rsidR="005853A9">
        <w:rPr>
          <w:kern w:val="0"/>
        </w:rPr>
        <w:t xml:space="preserve"> and </w:t>
      </w:r>
      <w:r>
        <w:rPr>
          <w:kern w:val="0"/>
        </w:rPr>
        <w:t>on lipid management in one study. Conclusion: In this study, we concluded that pharmacists have a beneficial role in the care</w:t>
      </w:r>
      <w:r w:rsidR="00427468">
        <w:rPr>
          <w:kern w:val="0"/>
        </w:rPr>
        <w:t xml:space="preserve"> of </w:t>
      </w:r>
      <w:r>
        <w:rPr>
          <w:kern w:val="0"/>
        </w:rPr>
        <w:t>CHD patients, although the evidence supporting positive impacts on mortality</w:t>
      </w:r>
      <w:r w:rsidR="005853A9">
        <w:rPr>
          <w:kern w:val="0"/>
        </w:rPr>
        <w:t xml:space="preserve"> and </w:t>
      </w:r>
      <w:r>
        <w:rPr>
          <w:kern w:val="0"/>
        </w:rPr>
        <w:t>morbidity remains uncertain due to the unavailability</w:t>
      </w:r>
      <w:r w:rsidR="00427468">
        <w:rPr>
          <w:kern w:val="0"/>
        </w:rPr>
        <w:t xml:space="preserve"> of </w:t>
      </w:r>
      <w:r>
        <w:rPr>
          <w:kern w:val="0"/>
        </w:rPr>
        <w:t>data in these areas. Further research is needed to discern the contribution</w:t>
      </w:r>
      <w:r w:rsidR="00427468">
        <w:rPr>
          <w:kern w:val="0"/>
        </w:rPr>
        <w:t xml:space="preserve"> of </w:t>
      </w:r>
      <w:r>
        <w:rPr>
          <w:kern w:val="0"/>
        </w:rPr>
        <w:t>pharmacist care on hard endpoints</w:t>
      </w:r>
      <w:r w:rsidR="00427468">
        <w:rPr>
          <w:kern w:val="0"/>
        </w:rPr>
        <w:t xml:space="preserve"> of </w:t>
      </w:r>
      <w:r>
        <w:rPr>
          <w:kern w:val="0"/>
        </w:rPr>
        <w:t>CHD.</w:t>
      </w:r>
    </w:p>
    <w:p w:rsidR="003C483A" w:rsidRDefault="003C483A" w:rsidP="003C483A">
      <w:pPr>
        <w:pStyle w:val="a3"/>
        <w:rPr>
          <w:kern w:val="0"/>
        </w:rPr>
      </w:pPr>
      <w:r>
        <w:rPr>
          <w:kern w:val="0"/>
        </w:rPr>
        <w:t>Keywords: Adherence, Blood, Blood Pressure, Cardiovascular, Care, Community, Control, Data, Databases, Disease, Disease Management, Education, Effects, Embase, Events, Evidence, Health, Health Care, Heart, Hospital, Hospitalization, Impact, Impacts, Interventions, Lipid, Management, Medline, Methods, Morbidity, Mortality, Nov, Outcomes, Patient Education, Patients, Pharmacist, Pharmacists, Pressure, Prevention, Pubmed, Randomized, Randomized Controlled Trials, Recurrent, Research, Results, Review, Role, Science, Systematic Review, Web</w:t>
      </w:r>
      <w:r w:rsidR="00427468">
        <w:rPr>
          <w:kern w:val="0"/>
        </w:rPr>
        <w:t xml:space="preserve"> of </w:t>
      </w:r>
      <w:r>
        <w:rPr>
          <w:kern w:val="0"/>
        </w:rPr>
        <w:t>Science, Work</w:t>
      </w:r>
    </w:p>
    <w:p w:rsidR="003C6F51" w:rsidRDefault="003C6F51" w:rsidP="003C6F51">
      <w:pPr>
        <w:pStyle w:val="a3"/>
        <w:rPr>
          <w:kern w:val="0"/>
        </w:rPr>
      </w:pPr>
      <w:r>
        <w:rPr>
          <w:rFonts w:hint="eastAsia"/>
          <w:kern w:val="0"/>
        </w:rPr>
        <w:t xml:space="preserve">? </w:t>
      </w:r>
      <w:r>
        <w:t>Nicholson,</w:t>
      </w:r>
      <w:r>
        <w:rPr>
          <w:rFonts w:hint="eastAsia"/>
        </w:rPr>
        <w:t xml:space="preserve"> C.,</w:t>
      </w:r>
      <w:r>
        <w:t xml:space="preserve"> Jackson</w:t>
      </w:r>
      <w:r>
        <w:rPr>
          <w:rFonts w:hint="eastAsia"/>
        </w:rPr>
        <w:t>, C.</w:t>
      </w:r>
      <w:r>
        <w:t xml:space="preserve"> and Marley</w:t>
      </w:r>
      <w:r>
        <w:rPr>
          <w:rFonts w:hint="eastAsia"/>
        </w:rPr>
        <w:t>, J.</w:t>
      </w:r>
      <w:r>
        <w:rPr>
          <w:kern w:val="0"/>
        </w:rPr>
        <w:t xml:space="preserve"> (2013), </w:t>
      </w:r>
      <w:r>
        <w:t>A governance model for integrated primary/secondary care for the health-reforming first</w:t>
      </w:r>
      <w:r>
        <w:rPr>
          <w:rFonts w:hint="eastAsia"/>
        </w:rPr>
        <w:t xml:space="preserve"> </w:t>
      </w:r>
      <w:r>
        <w:t>world</w:t>
      </w:r>
      <w:r>
        <w:rPr>
          <w:rFonts w:hint="eastAsia"/>
        </w:rPr>
        <w:t>:</w:t>
      </w:r>
      <w:r>
        <w:t xml:space="preserve"> Results</w:t>
      </w:r>
      <w:r w:rsidR="00427468">
        <w:t xml:space="preserve"> of </w:t>
      </w:r>
      <w:r>
        <w:t>a systematic review</w:t>
      </w:r>
      <w:r>
        <w:rPr>
          <w:kern w:val="0"/>
        </w:rPr>
        <w:t xml:space="preserve">. </w:t>
      </w:r>
      <w:r>
        <w:rPr>
          <w:i/>
          <w:iCs/>
          <w:kern w:val="0"/>
        </w:rPr>
        <w:t>BMC Health Services Research</w:t>
      </w:r>
      <w:r>
        <w:rPr>
          <w:kern w:val="0"/>
        </w:rPr>
        <w:t xml:space="preserve">, </w:t>
      </w:r>
      <w:r>
        <w:rPr>
          <w:b/>
          <w:bCs/>
          <w:kern w:val="0"/>
        </w:rPr>
        <w:t>13</w:t>
      </w:r>
      <w:r>
        <w:rPr>
          <w:rFonts w:hint="eastAsia"/>
          <w:kern w:val="0"/>
        </w:rPr>
        <w:t xml:space="preserve">, </w:t>
      </w:r>
      <w:r>
        <w:rPr>
          <w:rFonts w:hint="eastAsia"/>
        </w:rPr>
        <w:t>Article Number: 528.</w:t>
      </w:r>
    </w:p>
    <w:p w:rsidR="003C6F51" w:rsidRDefault="003C6F51" w:rsidP="003C6F51">
      <w:pPr>
        <w:pStyle w:val="a3"/>
      </w:pPr>
      <w:r>
        <w:rPr>
          <w:rFonts w:hint="eastAsia"/>
        </w:rPr>
        <w:t xml:space="preserve">Full Text: </w:t>
      </w:r>
      <w:hyperlink r:id="rId1592" w:history="1">
        <w:r w:rsidRPr="003C6F51">
          <w:rPr>
            <w:rStyle w:val="a5"/>
          </w:rPr>
          <w:t>2013\BMC Hea Ser Res13, 528.pdf</w:t>
        </w:r>
      </w:hyperlink>
    </w:p>
    <w:p w:rsidR="003C6F51" w:rsidRDefault="003C6F51" w:rsidP="003C6F51">
      <w:pPr>
        <w:pStyle w:val="a3"/>
      </w:pPr>
      <w:r>
        <w:t>Abstract</w:t>
      </w:r>
      <w:r>
        <w:rPr>
          <w:rFonts w:hint="eastAsia"/>
        </w:rPr>
        <w:t>:</w:t>
      </w:r>
      <w:r>
        <w:t xml:space="preserve"> Background: Internationally, key health care reform elements rely on improved integration</w:t>
      </w:r>
      <w:r w:rsidR="00427468">
        <w:t xml:space="preserve"> of </w:t>
      </w:r>
      <w:r>
        <w:t>care between the primary and secondary sectors</w:t>
      </w:r>
      <w:r w:rsidR="00A37C1D">
        <w:t>. The</w:t>
      </w:r>
      <w:r>
        <w:t xml:space="preserve"> objective</w:t>
      </w:r>
      <w:r w:rsidR="00427468">
        <w:t xml:space="preserve"> of </w:t>
      </w:r>
      <w:r>
        <w:t>this systematic review is to synthesise the existing published literature on elements</w:t>
      </w:r>
      <w:r w:rsidR="00427468">
        <w:t xml:space="preserve"> of </w:t>
      </w:r>
      <w:r>
        <w:t>current integrated primary/secondary health care</w:t>
      </w:r>
      <w:r w:rsidR="00A37C1D">
        <w:t>. The</w:t>
      </w:r>
      <w:r>
        <w:t>se elements and how they have supported integrated healthcare governance are presented. Methods: A systematic review</w:t>
      </w:r>
      <w:r w:rsidR="00427468">
        <w:t xml:space="preserve"> of </w:t>
      </w:r>
      <w:r>
        <w:t>peer-reviewed literature from PubMed, MEDLINE, CINAHL, the Cochrane Library, Informit Health Collection, the Primary Health Care Research and Information Service, the Canadian Health Services Research Foundation, European Foundation for Primary Care, European Forum for Primary Care, and Europa Sinapse was undertaken for the years 2006–2012. Relevant websites were also searched for grey literature. Papers were assessed by two assessors according to agreed inclusion criteria which were published in English, between 2006–2012, studies describing an integrated primary/secondary care model, and had reported outcomes in care quality, efficiency and/or satisfaction. Results: Twenty-one studies met the inclusion criteria. All studies evaluated the process</w:t>
      </w:r>
      <w:r w:rsidR="00427468">
        <w:t xml:space="preserve"> of </w:t>
      </w:r>
      <w:r>
        <w:t>integrated governance and service delivery structures, rather than the effectiveness</w:t>
      </w:r>
      <w:r w:rsidR="00427468">
        <w:t xml:space="preserve"> of </w:t>
      </w:r>
      <w:r>
        <w:t>services</w:t>
      </w:r>
      <w:r w:rsidR="00A37C1D">
        <w:t>. The</w:t>
      </w:r>
      <w:r>
        <w:t xml:space="preserve">y included case reports and qualitative data analyses addressing policy change, </w:t>
      </w:r>
      <w:r>
        <w:lastRenderedPageBreak/>
        <w:t>business issues and issues</w:t>
      </w:r>
      <w:r w:rsidR="00427468">
        <w:t xml:space="preserve"> of </w:t>
      </w:r>
      <w:r>
        <w:t>clinical integration. A thematic synthesis approach organising data according to themes identified ten elements needed for integrated primary/secondary health care governance across a regional setting including: joint planning; integrated information communication technology; change management; shared clinical priorities; incentives; population focus; measurement – using data as a quality improvement tool; continuing professional development supporting joint working; patient/community engagement; and, innovation.</w:t>
      </w:r>
      <w:r>
        <w:rPr>
          <w:rFonts w:hint="eastAsia"/>
        </w:rPr>
        <w:t xml:space="preserve"> </w:t>
      </w:r>
      <w:r>
        <w:t>Conclusions: All examples</w:t>
      </w:r>
      <w:r w:rsidR="00427468">
        <w:t xml:space="preserve"> of </w:t>
      </w:r>
      <w:r>
        <w:t>successful primary/secondary care integration reported in the literature have focused on a combination</w:t>
      </w:r>
      <w:r w:rsidR="00427468">
        <w:t xml:space="preserve"> of </w:t>
      </w:r>
      <w:r>
        <w:t>some, if not all,</w:t>
      </w:r>
      <w:r w:rsidR="00427468">
        <w:t xml:space="preserve"> of </w:t>
      </w:r>
      <w:r>
        <w:t>the ten elements described in this paper, and there appears to be agreement that multiple elements are required to ensure successful and sustained integration efforts. Whilst no one model fits all systems these elements provide a focus for setting up integration initiatives which need to be flexible for adapting to local conditions and settings.</w:t>
      </w:r>
    </w:p>
    <w:p w:rsidR="003C6F51" w:rsidRDefault="003C6F51" w:rsidP="003C6F51">
      <w:pPr>
        <w:pStyle w:val="a3"/>
      </w:pPr>
      <w:r>
        <w:t>Keywords: Primary/Secondary Integration, Governance, Health System</w:t>
      </w:r>
    </w:p>
    <w:p w:rsidR="00D06A28" w:rsidRDefault="00D06A28" w:rsidP="00D06A28">
      <w:pPr>
        <w:pStyle w:val="a3"/>
        <w:rPr>
          <w:kern w:val="0"/>
        </w:rPr>
      </w:pPr>
      <w:r>
        <w:rPr>
          <w:kern w:val="0"/>
        </w:rPr>
        <w:t xml:space="preserve">? Graverholt, B., Forsetlund, L. and Jamtvedt, G. (2014), Reducing hospital admissions from nursing homes: A systematic review. </w:t>
      </w:r>
      <w:r>
        <w:rPr>
          <w:i/>
          <w:iCs/>
          <w:kern w:val="0"/>
        </w:rPr>
        <w:t>BMC Health Services Research</w:t>
      </w:r>
      <w:r>
        <w:rPr>
          <w:kern w:val="0"/>
        </w:rPr>
        <w:t xml:space="preserve">, </w:t>
      </w:r>
      <w:r>
        <w:rPr>
          <w:b/>
          <w:bCs/>
          <w:kern w:val="0"/>
        </w:rPr>
        <w:t>14</w:t>
      </w:r>
      <w:r>
        <w:rPr>
          <w:rFonts w:hint="eastAsia"/>
          <w:kern w:val="0"/>
        </w:rPr>
        <w:t xml:space="preserve">, </w:t>
      </w:r>
      <w:r>
        <w:rPr>
          <w:rFonts w:hint="eastAsia"/>
        </w:rPr>
        <w:t>Article Number: 36.</w:t>
      </w:r>
    </w:p>
    <w:p w:rsidR="00D06A28" w:rsidRDefault="00D06A28" w:rsidP="00D06A28">
      <w:pPr>
        <w:pStyle w:val="a3"/>
      </w:pPr>
      <w:r>
        <w:rPr>
          <w:rFonts w:hint="eastAsia"/>
        </w:rPr>
        <w:t xml:space="preserve">Full Text: </w:t>
      </w:r>
      <w:hyperlink r:id="rId1593" w:history="1">
        <w:r w:rsidRPr="00815992">
          <w:rPr>
            <w:rStyle w:val="a5"/>
          </w:rPr>
          <w:t>2014\BMC Hea Ser Res14, 36.pdf</w:t>
        </w:r>
      </w:hyperlink>
    </w:p>
    <w:p w:rsidR="00D06A28" w:rsidRDefault="00D06A28" w:rsidP="00D06A28">
      <w:pPr>
        <w:pStyle w:val="a3"/>
        <w:rPr>
          <w:kern w:val="0"/>
        </w:rPr>
      </w:pPr>
      <w:r>
        <w:rPr>
          <w:kern w:val="0"/>
        </w:rPr>
        <w:t>Abstract: Background: The geriatric nursing home population is vulnerable to acute and deteriorating illness due to advanced age, multiple chronic illnesses and high levels</w:t>
      </w:r>
      <w:r w:rsidR="00427468">
        <w:rPr>
          <w:kern w:val="0"/>
        </w:rPr>
        <w:t xml:space="preserve"> of </w:t>
      </w:r>
      <w:r>
        <w:rPr>
          <w:kern w:val="0"/>
        </w:rPr>
        <w:t>dependency. Although the detriments</w:t>
      </w:r>
      <w:r w:rsidR="00427468">
        <w:rPr>
          <w:kern w:val="0"/>
        </w:rPr>
        <w:t xml:space="preserve"> of </w:t>
      </w:r>
      <w:r>
        <w:rPr>
          <w:kern w:val="0"/>
        </w:rPr>
        <w:t>hospitalising the frail and old are widely recognised, hospital admissions from nursing homes remain common. Little is known about what alternatives exist to prevent and reduce hospital admissions from this setting</w:t>
      </w:r>
      <w:r w:rsidR="00A37C1D">
        <w:rPr>
          <w:kern w:val="0"/>
        </w:rPr>
        <w:t>. The</w:t>
      </w:r>
      <w:r>
        <w:rPr>
          <w:kern w:val="0"/>
        </w:rPr>
        <w:t xml:space="preserve"> objective</w:t>
      </w:r>
      <w:r w:rsidR="00427468">
        <w:rPr>
          <w:kern w:val="0"/>
        </w:rPr>
        <w:t xml:space="preserve"> of </w:t>
      </w:r>
      <w:r>
        <w:rPr>
          <w:kern w:val="0"/>
        </w:rPr>
        <w:t>this study, therefore, is to summarise the effects</w:t>
      </w:r>
      <w:r w:rsidR="00427468">
        <w:rPr>
          <w:kern w:val="0"/>
        </w:rPr>
        <w:t xml:space="preserve"> of </w:t>
      </w:r>
      <w:r>
        <w:rPr>
          <w:kern w:val="0"/>
        </w:rPr>
        <w:t>interventions to reduce acute hospitalisations from nursing homes. Methods: A systematic literature search was performed in Cochrane Library, PubMed, MEDLINE, EMBASE and ISI Web</w:t>
      </w:r>
      <w:r w:rsidR="00427468">
        <w:rPr>
          <w:kern w:val="0"/>
        </w:rPr>
        <w:t xml:space="preserve"> of </w:t>
      </w:r>
      <w:r>
        <w:rPr>
          <w:kern w:val="0"/>
        </w:rPr>
        <w:t>Science in April 2013. Studies were eligible if they had a geriatric nursing home study population and were evaluating any type</w:t>
      </w:r>
      <w:r w:rsidR="00427468">
        <w:rPr>
          <w:kern w:val="0"/>
        </w:rPr>
        <w:t xml:space="preserve"> of </w:t>
      </w:r>
      <w:r>
        <w:rPr>
          <w:kern w:val="0"/>
        </w:rPr>
        <w:t>intervention aiming at reducing acute hospital admission. Systematic reviews, randomised controlled trials, quasi randomised controlled trials, controlled before-after studies and interrupted time series were eligible study designs</w:t>
      </w:r>
      <w:r w:rsidR="00A37C1D">
        <w:rPr>
          <w:kern w:val="0"/>
        </w:rPr>
        <w:t>. The</w:t>
      </w:r>
      <w:r>
        <w:rPr>
          <w:kern w:val="0"/>
        </w:rPr>
        <w:t xml:space="preserve"> process</w:t>
      </w:r>
      <w:r w:rsidR="00427468">
        <w:rPr>
          <w:kern w:val="0"/>
        </w:rPr>
        <w:t xml:space="preserve"> of </w:t>
      </w:r>
      <w:r>
        <w:rPr>
          <w:kern w:val="0"/>
        </w:rPr>
        <w:t>selecting studies, assessing them, extracting data and grading the total evidence was done by two researchers individually, with any disagreement solved by a third. We made use</w:t>
      </w:r>
      <w:r w:rsidR="00427468">
        <w:rPr>
          <w:kern w:val="0"/>
        </w:rPr>
        <w:t xml:space="preserve"> of </w:t>
      </w:r>
      <w:r>
        <w:rPr>
          <w:kern w:val="0"/>
        </w:rPr>
        <w:t>meta-analyses from included systematic reviews, the remaining synthesis is descriptive. Based on the type</w:t>
      </w:r>
      <w:r w:rsidR="00427468">
        <w:rPr>
          <w:kern w:val="0"/>
        </w:rPr>
        <w:t xml:space="preserve"> of </w:t>
      </w:r>
      <w:r>
        <w:rPr>
          <w:kern w:val="0"/>
        </w:rPr>
        <w:t>intervention, the included studies were categorised in: 1) Interventions to structure and standardise clinical practice, 2) Geriatric specialist services and 3) Influenza vaccination. Results: Five systematic reviews and five primary studies were included, evaluating a total</w:t>
      </w:r>
      <w:r w:rsidR="00427468">
        <w:rPr>
          <w:kern w:val="0"/>
        </w:rPr>
        <w:t xml:space="preserve"> of </w:t>
      </w:r>
      <w:r>
        <w:rPr>
          <w:kern w:val="0"/>
        </w:rPr>
        <w:t>11 different interventions. Fewer hospital admissions were found in four out</w:t>
      </w:r>
      <w:r w:rsidR="00427468">
        <w:rPr>
          <w:kern w:val="0"/>
        </w:rPr>
        <w:t xml:space="preserve"> of </w:t>
      </w:r>
      <w:r>
        <w:rPr>
          <w:kern w:val="0"/>
        </w:rPr>
        <w:t xml:space="preserve">seven </w:t>
      </w:r>
      <w:r>
        <w:rPr>
          <w:kern w:val="0"/>
        </w:rPr>
        <w:lastRenderedPageBreak/>
        <w:t>evaluations</w:t>
      </w:r>
      <w:r w:rsidR="00427468">
        <w:rPr>
          <w:kern w:val="0"/>
        </w:rPr>
        <w:t xml:space="preserve"> of </w:t>
      </w:r>
      <w:r>
        <w:rPr>
          <w:kern w:val="0"/>
        </w:rPr>
        <w:t>structuring and standardising clinical practice; in both evaluations</w:t>
      </w:r>
      <w:r w:rsidR="00427468">
        <w:rPr>
          <w:kern w:val="0"/>
        </w:rPr>
        <w:t xml:space="preserve"> of </w:t>
      </w:r>
      <w:r>
        <w:rPr>
          <w:kern w:val="0"/>
        </w:rPr>
        <w:t>geriatric specialist services, and in influenza vaccination</w:t>
      </w:r>
      <w:r w:rsidR="00427468">
        <w:rPr>
          <w:kern w:val="0"/>
        </w:rPr>
        <w:t xml:space="preserve"> of </w:t>
      </w:r>
      <w:r>
        <w:rPr>
          <w:kern w:val="0"/>
        </w:rPr>
        <w:t>residents</w:t>
      </w:r>
      <w:r w:rsidR="00A37C1D">
        <w:rPr>
          <w:kern w:val="0"/>
        </w:rPr>
        <w:t>. The</w:t>
      </w:r>
      <w:r>
        <w:rPr>
          <w:kern w:val="0"/>
        </w:rPr>
        <w:t xml:space="preserve"> quality</w:t>
      </w:r>
      <w:r w:rsidR="00427468">
        <w:rPr>
          <w:kern w:val="0"/>
        </w:rPr>
        <w:t xml:space="preserve"> of </w:t>
      </w:r>
      <w:r>
        <w:rPr>
          <w:kern w:val="0"/>
        </w:rPr>
        <w:t>the evidence for all comparisons was</w:t>
      </w:r>
      <w:r w:rsidR="00427468">
        <w:rPr>
          <w:kern w:val="0"/>
        </w:rPr>
        <w:t xml:space="preserve"> of </w:t>
      </w:r>
      <w:r>
        <w:rPr>
          <w:kern w:val="0"/>
        </w:rPr>
        <w:t>low or very low quality, using the GRADE approach. Conclusions: Overall, eleven interventions to reduce hospital admissions from nursing homes were identified. None</w:t>
      </w:r>
      <w:r w:rsidR="00427468">
        <w:rPr>
          <w:kern w:val="0"/>
        </w:rPr>
        <w:t xml:space="preserve"> of </w:t>
      </w:r>
      <w:r>
        <w:rPr>
          <w:kern w:val="0"/>
        </w:rPr>
        <w:t>them were tested more than once and the quality</w:t>
      </w:r>
      <w:r w:rsidR="00427468">
        <w:rPr>
          <w:kern w:val="0"/>
        </w:rPr>
        <w:t xml:space="preserve"> of </w:t>
      </w:r>
      <w:r>
        <w:rPr>
          <w:kern w:val="0"/>
        </w:rPr>
        <w:t>the evidence was low for every comparison. Still, several interventions had effects on reducing hospital admissions and may represent important aspects</w:t>
      </w:r>
      <w:r w:rsidR="00427468">
        <w:rPr>
          <w:kern w:val="0"/>
        </w:rPr>
        <w:t xml:space="preserve"> of </w:t>
      </w:r>
      <w:r>
        <w:rPr>
          <w:kern w:val="0"/>
        </w:rPr>
        <w:t>nursing home care to reduce hospital admissions.</w:t>
      </w:r>
    </w:p>
    <w:p w:rsidR="00D06A28" w:rsidRDefault="00D06A28" w:rsidP="00D06A28">
      <w:pPr>
        <w:pStyle w:val="a3"/>
        <w:rPr>
          <w:kern w:val="0"/>
        </w:rPr>
      </w:pPr>
      <w:r>
        <w:rPr>
          <w:kern w:val="0"/>
        </w:rPr>
        <w:t>Keywords: Age, Alternatives, Approach, Assessing, Care, Chronic, Clinical, Clinical Practice, Comparison, Data, Dependency, Effects, Embase, Evidence, Geriatric, Grade, Hospital, Influenza, Interrupted Time Series, Intervention, Interventions, Isi, Isi Web</w:t>
      </w:r>
      <w:r w:rsidR="00427468">
        <w:rPr>
          <w:kern w:val="0"/>
        </w:rPr>
        <w:t xml:space="preserve"> of </w:t>
      </w:r>
      <w:r>
        <w:rPr>
          <w:kern w:val="0"/>
        </w:rPr>
        <w:t>Science, Literature, Literature Search, Medline, Methods, Nursing, Nursing Home, Nursing Homes, Population, Practice, Prevent, Primary, Pubmed, Quality, Quality Of, Randomised, Randomised Controlled Trials, Results, Review, Reviews, Science, Services, Structure, Synthesis, Systematic Literature Search, Systematic Review, Systematic Reviews, Time Series, Vaccination, Web</w:t>
      </w:r>
      <w:r w:rsidR="00427468">
        <w:rPr>
          <w:kern w:val="0"/>
        </w:rPr>
        <w:t xml:space="preserve"> of </w:t>
      </w:r>
      <w:r>
        <w:rPr>
          <w:kern w:val="0"/>
        </w:rPr>
        <w:t>Science</w:t>
      </w:r>
    </w:p>
    <w:p w:rsidR="00D06A28" w:rsidRDefault="00D06A28" w:rsidP="00D06A28">
      <w:pPr>
        <w:pStyle w:val="a3"/>
        <w:rPr>
          <w:kern w:val="0"/>
        </w:rPr>
      </w:pPr>
      <w:r>
        <w:rPr>
          <w:kern w:val="0"/>
        </w:rPr>
        <w:t xml:space="preserve">? </w:t>
      </w:r>
      <w:r>
        <w:t>Machingaidze, S</w:t>
      </w:r>
      <w:r>
        <w:rPr>
          <w:rFonts w:hint="eastAsia"/>
        </w:rPr>
        <w:t xml:space="preserve">., </w:t>
      </w:r>
      <w:r>
        <w:t>Hussey, G</w:t>
      </w:r>
      <w:r>
        <w:rPr>
          <w:rFonts w:hint="eastAsia"/>
        </w:rPr>
        <w:t>.</w:t>
      </w:r>
      <w:r>
        <w:t>D</w:t>
      </w:r>
      <w:r>
        <w:rPr>
          <w:rFonts w:hint="eastAsia"/>
        </w:rPr>
        <w:t>. and</w:t>
      </w:r>
      <w:r>
        <w:t xml:space="preserve"> Wiysonge, C</w:t>
      </w:r>
      <w:r>
        <w:rPr>
          <w:rFonts w:hint="eastAsia"/>
        </w:rPr>
        <w:t>.</w:t>
      </w:r>
      <w:r>
        <w:t>S</w:t>
      </w:r>
      <w:r>
        <w:rPr>
          <w:rFonts w:hint="eastAsia"/>
        </w:rPr>
        <w:t>.</w:t>
      </w:r>
      <w:r>
        <w:rPr>
          <w:kern w:val="0"/>
        </w:rPr>
        <w:t xml:space="preserve"> (2014), </w:t>
      </w:r>
      <w:r>
        <w:t>Trends in the types and quality</w:t>
      </w:r>
      <w:r w:rsidR="00427468">
        <w:t xml:space="preserve"> of </w:t>
      </w:r>
      <w:r>
        <w:t>childhood immunisations research output from Africa 1970-2010: Mapping the evidence base</w:t>
      </w:r>
      <w:r>
        <w:rPr>
          <w:kern w:val="0"/>
        </w:rPr>
        <w:t xml:space="preserve">. </w:t>
      </w:r>
      <w:r>
        <w:rPr>
          <w:i/>
          <w:iCs/>
          <w:kern w:val="0"/>
        </w:rPr>
        <w:t>BMC Health Services Research</w:t>
      </w:r>
      <w:r>
        <w:rPr>
          <w:kern w:val="0"/>
        </w:rPr>
        <w:t xml:space="preserve">, </w:t>
      </w:r>
      <w:r>
        <w:rPr>
          <w:b/>
          <w:bCs/>
          <w:kern w:val="0"/>
        </w:rPr>
        <w:t>14</w:t>
      </w:r>
      <w:r>
        <w:rPr>
          <w:rFonts w:hint="eastAsia"/>
          <w:kern w:val="0"/>
        </w:rPr>
        <w:t xml:space="preserve">, </w:t>
      </w:r>
      <w:r>
        <w:rPr>
          <w:rFonts w:hint="eastAsia"/>
        </w:rPr>
        <w:t>Article Number: 52.</w:t>
      </w:r>
    </w:p>
    <w:p w:rsidR="00D06A28" w:rsidRDefault="00D06A28" w:rsidP="00D06A28">
      <w:pPr>
        <w:pStyle w:val="a3"/>
      </w:pPr>
      <w:r>
        <w:rPr>
          <w:rFonts w:hint="eastAsia"/>
        </w:rPr>
        <w:t xml:space="preserve">Full Text: </w:t>
      </w:r>
      <w:hyperlink r:id="rId1594" w:history="1">
        <w:r w:rsidRPr="00815992">
          <w:rPr>
            <w:rStyle w:val="a5"/>
          </w:rPr>
          <w:t>2014\BMC Hea Ser Res14, 52.pdf</w:t>
        </w:r>
      </w:hyperlink>
    </w:p>
    <w:p w:rsidR="00D06A28" w:rsidRDefault="00D06A28" w:rsidP="00D06A28">
      <w:pPr>
        <w:pStyle w:val="a3"/>
      </w:pPr>
      <w:r>
        <w:t>Abstract</w:t>
      </w:r>
      <w:r>
        <w:rPr>
          <w:rFonts w:hint="eastAsia"/>
        </w:rPr>
        <w:t xml:space="preserve">: </w:t>
      </w:r>
      <w:r>
        <w:t>Background: Over the past four decades, extraordinary progress has been made in establishing and improving childhood immunization programmes around Africa. In order to ensure effective and sustainable positive growth</w:t>
      </w:r>
      <w:r w:rsidR="00427468">
        <w:t xml:space="preserve"> of </w:t>
      </w:r>
      <w:r>
        <w:t>these childhood immunisations programmes, the development, adaptation and implementation</w:t>
      </w:r>
      <w:r w:rsidR="00427468">
        <w:t xml:space="preserve"> of </w:t>
      </w:r>
      <w:r>
        <w:t>all interventions (programme activities, new vaccines, new strategies and policies) should be informed by the best available local evidence.</w:t>
      </w:r>
    </w:p>
    <w:p w:rsidR="00D06A28" w:rsidRDefault="00D06A28" w:rsidP="00D06A28">
      <w:pPr>
        <w:pStyle w:val="a3"/>
      </w:pPr>
      <w:r>
        <w:t>Methods: An assessment</w:t>
      </w:r>
      <w:r w:rsidR="00427468">
        <w:t xml:space="preserve"> of </w:t>
      </w:r>
      <w:r>
        <w:t>the peer-reviewed literature on childhood immunization research published in English from 1970 to 2010 was conducted in PubMed and Africa-Wide databases. All study types were eligible for inclusion. A standard form was used to extract information from all studies identified as relevant and entered into a Microsoft Access database for analysis.</w:t>
      </w:r>
    </w:p>
    <w:p w:rsidR="00D06A28" w:rsidRDefault="00D06A28" w:rsidP="00D06A28">
      <w:pPr>
        <w:pStyle w:val="a3"/>
      </w:pPr>
      <w:r>
        <w:t>Results: Our initial search yielded 5436 articles from the two databases, from which 848 full text articles were identified as relevant. Among studies classified as clinical research (417), 40% were clinical trials, 24% were burden</w:t>
      </w:r>
      <w:r w:rsidR="00427468">
        <w:t xml:space="preserve"> of </w:t>
      </w:r>
      <w:r>
        <w:t>disease/epidemiology and 36% were other clinical studies. Among studies classified as operational research (431), 77% related to programme management, 18% were policy related and 5% were related to vaccine financing. Studies were conducted in 48 African countries with six countries (South Africa, The Gambia, Nigeria, Senegal, Guinea-Bissau and Kenya) accounting for 56%</w:t>
      </w:r>
      <w:r w:rsidR="00427468">
        <w:t xml:space="preserve"> of </w:t>
      </w:r>
      <w:r>
        <w:t xml:space="preserve">the total research output. Studies were published in </w:t>
      </w:r>
      <w:r>
        <w:lastRenderedPageBreak/>
        <w:t>152 different journals with impact factors ranging from 0.192 to 53.29; with a median impact factor</w:t>
      </w:r>
      <w:r w:rsidR="00427468">
        <w:t xml:space="preserve"> of </w:t>
      </w:r>
      <w:r>
        <w:t>3.572.</w:t>
      </w:r>
    </w:p>
    <w:p w:rsidR="00D06A28" w:rsidRDefault="00D06A28" w:rsidP="00D06A28">
      <w:pPr>
        <w:pStyle w:val="a3"/>
      </w:pPr>
      <w:r>
        <w:t>Conclusion: A similar proportion</w:t>
      </w:r>
      <w:r w:rsidR="00427468">
        <w:t xml:space="preserve"> of </w:t>
      </w:r>
      <w:r>
        <w:t>clinical versus operational research output was found. However, an uneven distribution across Africa was observed with only six countries accounting for over half</w:t>
      </w:r>
      <w:r w:rsidR="00427468">
        <w:t xml:space="preserve"> of </w:t>
      </w:r>
      <w:r>
        <w:t>the research output</w:t>
      </w:r>
      <w:r w:rsidR="00A37C1D">
        <w:t>. The</w:t>
      </w:r>
      <w:r>
        <w:t xml:space="preserve"> research conducted was</w:t>
      </w:r>
      <w:r w:rsidR="00427468">
        <w:t xml:space="preserve"> of </w:t>
      </w:r>
      <w:r>
        <w:t>moderate to high quality, with 62% being published in journals with 2010 impact factors greater than two. Urgent attention should be given to the development</w:t>
      </w:r>
      <w:r w:rsidR="00427468">
        <w:t xml:space="preserve"> of </w:t>
      </w:r>
      <w:r>
        <w:t>research capacity in low performing countries around Africa, with increased focus on the process</w:t>
      </w:r>
      <w:r w:rsidR="00427468">
        <w:t xml:space="preserve"> of </w:t>
      </w:r>
      <w:r>
        <w:t>turning immunisations programme research evidence into policy and practice, as well as increased focus on issues relating to vaccine financing and sustainability in Africa.</w:t>
      </w:r>
    </w:p>
    <w:p w:rsidR="00D06A28" w:rsidRDefault="00D06A28" w:rsidP="00D06A28">
      <w:pPr>
        <w:pStyle w:val="a3"/>
      </w:pPr>
      <w:r>
        <w:t>Keywords:</w:t>
      </w:r>
      <w:r>
        <w:rPr>
          <w:rFonts w:hint="eastAsia"/>
        </w:rPr>
        <w:t xml:space="preserve"> </w:t>
      </w:r>
      <w:r>
        <w:t>Expanded Programme on Immunisations (EPI), Immunisations Programmes, Childhood Immunisations, Vaccines, Children, Africa, Middle-Income Countries, Grey Literature, Interventions, Vaccination, Strategies, Delivery, Services, Children, Program, Region</w:t>
      </w:r>
    </w:p>
    <w:p w:rsidR="00BB404A" w:rsidRDefault="00BB404A" w:rsidP="00BB404A">
      <w:pPr>
        <w:pStyle w:val="a3"/>
        <w:rPr>
          <w:kern w:val="0"/>
        </w:rPr>
      </w:pPr>
      <w:r>
        <w:rPr>
          <w:rFonts w:hint="eastAsia"/>
          <w:kern w:val="0"/>
        </w:rPr>
        <w:t xml:space="preserve">? </w:t>
      </w:r>
      <w:r>
        <w:rPr>
          <w:kern w:val="0"/>
        </w:rPr>
        <w:t xml:space="preserve">Okuyama, A., Wagner, C. and Bijnen, B. (2014), Speaking up for patient safety by hospital-based health care professionals: A literature review. </w:t>
      </w:r>
      <w:r>
        <w:rPr>
          <w:i/>
          <w:iCs/>
          <w:kern w:val="0"/>
        </w:rPr>
        <w:t>BMC Health Services Research</w:t>
      </w:r>
      <w:r>
        <w:rPr>
          <w:kern w:val="0"/>
        </w:rPr>
        <w:t xml:space="preserve">, </w:t>
      </w:r>
      <w:r>
        <w:rPr>
          <w:b/>
          <w:bCs/>
          <w:kern w:val="0"/>
        </w:rPr>
        <w:t>14</w:t>
      </w:r>
      <w:r>
        <w:rPr>
          <w:rFonts w:hint="eastAsia"/>
          <w:kern w:val="0"/>
        </w:rPr>
        <w:t xml:space="preserve">, </w:t>
      </w:r>
      <w:r>
        <w:rPr>
          <w:rFonts w:hint="eastAsia"/>
        </w:rPr>
        <w:t>Article Number: 61.</w:t>
      </w:r>
    </w:p>
    <w:p w:rsidR="00BB404A" w:rsidRDefault="00BB404A" w:rsidP="00BB404A">
      <w:pPr>
        <w:pStyle w:val="a3"/>
      </w:pPr>
      <w:r>
        <w:rPr>
          <w:rFonts w:hint="eastAsia"/>
        </w:rPr>
        <w:t xml:space="preserve">Full Text: </w:t>
      </w:r>
      <w:hyperlink r:id="rId1595" w:history="1">
        <w:r w:rsidRPr="00842428">
          <w:rPr>
            <w:rStyle w:val="a5"/>
          </w:rPr>
          <w:t>2014\BMC Hea Ser Res14, 61.pdf</w:t>
        </w:r>
      </w:hyperlink>
    </w:p>
    <w:p w:rsidR="00BB404A" w:rsidRDefault="00BB404A" w:rsidP="00BB404A">
      <w:pPr>
        <w:pStyle w:val="a3"/>
        <w:rPr>
          <w:kern w:val="0"/>
        </w:rPr>
      </w:pPr>
      <w:r>
        <w:rPr>
          <w:kern w:val="0"/>
        </w:rPr>
        <w:t>Abstract: Background: Speaking up is important for patient safety, but often, health care professionals hesitate to voice concerns. Understanding the influencing factors can help to improve speaking-up behaviour and team communication. This review focused on health care professionals</w:t>
      </w:r>
      <w:r w:rsidR="00700038">
        <w:rPr>
          <w:kern w:val="0"/>
        </w:rPr>
        <w:t>’</w:t>
      </w:r>
      <w:r>
        <w:rPr>
          <w:kern w:val="0"/>
        </w:rPr>
        <w:t xml:space="preserve"> speaking-up behaviour for patient safety and aimed at (1) assessing the effectiveness</w:t>
      </w:r>
      <w:r w:rsidR="00427468">
        <w:rPr>
          <w:kern w:val="0"/>
        </w:rPr>
        <w:t xml:space="preserve"> of </w:t>
      </w:r>
      <w:r>
        <w:rPr>
          <w:kern w:val="0"/>
        </w:rPr>
        <w:t>speaking up, (2) evaluating the effectiveness</w:t>
      </w:r>
      <w:r w:rsidR="00427468">
        <w:rPr>
          <w:kern w:val="0"/>
        </w:rPr>
        <w:t xml:space="preserve"> of </w:t>
      </w:r>
      <w:r>
        <w:rPr>
          <w:kern w:val="0"/>
        </w:rPr>
        <w:t>speaking-up training, (3) identifying the factors influencing speaking-up behaviour, and (4) developing a model for speaking-up behaviour. Methods: Five databases (PubMed, MEDLINE, CINAHL, Web</w:t>
      </w:r>
      <w:r w:rsidR="00427468">
        <w:rPr>
          <w:kern w:val="0"/>
        </w:rPr>
        <w:t xml:space="preserve"> of </w:t>
      </w:r>
      <w:r>
        <w:rPr>
          <w:kern w:val="0"/>
        </w:rPr>
        <w:t>Science, and the Cochrane Library) were searched for English articles describing health care professionals</w:t>
      </w:r>
      <w:r w:rsidR="00700038">
        <w:rPr>
          <w:kern w:val="0"/>
        </w:rPr>
        <w:t>’</w:t>
      </w:r>
      <w:r>
        <w:rPr>
          <w:kern w:val="0"/>
        </w:rPr>
        <w:t xml:space="preserve"> speaking- up behaviour as well as those evaluating the relationship between speaking up and patient safety. Influencing factors were identified and then integrated into a model</w:t>
      </w:r>
      <w:r w:rsidR="00427468">
        <w:rPr>
          <w:kern w:val="0"/>
        </w:rPr>
        <w:t xml:space="preserve"> of </w:t>
      </w:r>
      <w:r>
        <w:rPr>
          <w:kern w:val="0"/>
        </w:rPr>
        <w:t>voicing behaviour. Results: In total, 26 studies were identified in 27 articles. Some indicated that hesitancy to speak up can be an important contributing factor in communication errors and that training can improve speaking- up behaviour. Many influencing factors were found: (1) the motivation to speak up, such as the perceived risk for patients, and the ambiguity or clarity</w:t>
      </w:r>
      <w:r w:rsidR="00427468">
        <w:rPr>
          <w:kern w:val="0"/>
        </w:rPr>
        <w:t xml:space="preserve"> of </w:t>
      </w:r>
      <w:r>
        <w:rPr>
          <w:kern w:val="0"/>
        </w:rPr>
        <w:t>the clinical situation; (2) contextual factors, such as hospital administrative support, interdisciplinary policy- making, team work and relationship between other team members, and attitude</w:t>
      </w:r>
      <w:r w:rsidR="00427468">
        <w:rPr>
          <w:kern w:val="0"/>
        </w:rPr>
        <w:t xml:space="preserve"> of </w:t>
      </w:r>
      <w:r>
        <w:rPr>
          <w:kern w:val="0"/>
        </w:rPr>
        <w:t xml:space="preserve">leaders/ superiors; (3) individual factors, such as job satisfaction, responsibility toward patients, responsibility as professionals, </w:t>
      </w:r>
      <w:r>
        <w:rPr>
          <w:kern w:val="0"/>
        </w:rPr>
        <w:lastRenderedPageBreak/>
        <w:t>confidence based on experience, communication skills, and educational background; (4) the perceived efficacy</w:t>
      </w:r>
      <w:r w:rsidR="00427468">
        <w:rPr>
          <w:kern w:val="0"/>
        </w:rPr>
        <w:t xml:space="preserve"> of </w:t>
      </w:r>
      <w:r>
        <w:rPr>
          <w:kern w:val="0"/>
        </w:rPr>
        <w:t>speaking up, such as lack</w:t>
      </w:r>
      <w:r w:rsidR="00427468">
        <w:rPr>
          <w:kern w:val="0"/>
        </w:rPr>
        <w:t xml:space="preserve"> of </w:t>
      </w:r>
      <w:r>
        <w:rPr>
          <w:kern w:val="0"/>
        </w:rPr>
        <w:t>impact and personal control; (5) the perceived safety</w:t>
      </w:r>
      <w:r w:rsidR="00427468">
        <w:rPr>
          <w:kern w:val="0"/>
        </w:rPr>
        <w:t xml:space="preserve"> of </w:t>
      </w:r>
      <w:r>
        <w:rPr>
          <w:kern w:val="0"/>
        </w:rPr>
        <w:t>speaking up, such as fear for the responses</w:t>
      </w:r>
      <w:r w:rsidR="00427468">
        <w:rPr>
          <w:kern w:val="0"/>
        </w:rPr>
        <w:t xml:space="preserve"> of </w:t>
      </w:r>
      <w:r>
        <w:rPr>
          <w:kern w:val="0"/>
        </w:rPr>
        <w:t>others and conflict and concerns over appearing incompetent; and (6) tactics and targets, such as collecting facts, showing positive intent, and selecting the person who has spoken up. Conclusions: Hesitancy to speak up can be an important contributing factor to communication errors. Our model helps us to understand how health care professionals think about voicing their concerns. Further research is required to investigate the relative importance</w:t>
      </w:r>
      <w:r w:rsidR="00427468">
        <w:rPr>
          <w:kern w:val="0"/>
        </w:rPr>
        <w:t xml:space="preserve"> of </w:t>
      </w:r>
      <w:r>
        <w:rPr>
          <w:kern w:val="0"/>
        </w:rPr>
        <w:t>different factors.</w:t>
      </w:r>
    </w:p>
    <w:p w:rsidR="00BB404A" w:rsidRDefault="00BB404A" w:rsidP="00BB404A">
      <w:pPr>
        <w:pStyle w:val="a3"/>
        <w:rPr>
          <w:kern w:val="0"/>
        </w:rPr>
      </w:pPr>
      <w:r>
        <w:rPr>
          <w:kern w:val="0"/>
        </w:rPr>
        <w:t>Keywords: Accountability, Assessing, Attitude, Behaviour, Care, Clinical, Communication, Communication, Communication Skills, Confidence, Control, Databases, Developing, Directions, Effectiveness, Efficacy, Employee Voice, English, Errors, Experience, Fear, Health, Health Care, Hospital, Impact, Influencing Factors, Inter-Professional Relations, Interdisciplinary, Job Satisfaction, Literature, Literature Review, Medline, Methods, Model, Motivation, Organizations, Patient Care Team, Patient Safety, Patients, Performance, Person, Policy, Policy Making, Pubmed, Research, Responsibility, Results, Review, Risk, Safety, Satisfaction, Science, Silence, Speaking Up, Support, Teams, Teamwork, Training, Web</w:t>
      </w:r>
      <w:r w:rsidR="00427468">
        <w:rPr>
          <w:kern w:val="0"/>
        </w:rPr>
        <w:t xml:space="preserve"> of </w:t>
      </w:r>
      <w:r>
        <w:rPr>
          <w:kern w:val="0"/>
        </w:rPr>
        <w:t>Science, Work</w:t>
      </w:r>
    </w:p>
    <w:p w:rsidR="00BB404A" w:rsidRDefault="00BB404A" w:rsidP="00BB404A">
      <w:pPr>
        <w:pStyle w:val="a3"/>
        <w:rPr>
          <w:kern w:val="0"/>
        </w:rPr>
      </w:pPr>
      <w:r>
        <w:rPr>
          <w:rFonts w:hint="eastAsia"/>
          <w:kern w:val="0"/>
        </w:rPr>
        <w:t xml:space="preserve">? </w:t>
      </w:r>
      <w:r>
        <w:rPr>
          <w:kern w:val="0"/>
        </w:rPr>
        <w:t xml:space="preserve">Domecq, J.P., Prutsky, G., Elraiyah, T., Wang, Z., Nabhan, M., Shippee, N., Brito, J.P., Boehmer, K., Hasan, R., Firwana, B., Erwin, P., Eton, D., Sloan, J., Montori, V., Asi, N., Abu Dabrh, A. and Murad, M.H. (2014), Patient engagement in research: A systematic review. </w:t>
      </w:r>
      <w:r>
        <w:rPr>
          <w:i/>
          <w:iCs/>
          <w:kern w:val="0"/>
        </w:rPr>
        <w:t>BMC Health Services Research</w:t>
      </w:r>
      <w:r>
        <w:rPr>
          <w:kern w:val="0"/>
        </w:rPr>
        <w:t>,</w:t>
      </w:r>
      <w:r w:rsidRPr="001D485E">
        <w:rPr>
          <w:bCs/>
          <w:kern w:val="0"/>
        </w:rPr>
        <w:t xml:space="preserve"> </w:t>
      </w:r>
      <w:r>
        <w:rPr>
          <w:b/>
          <w:bCs/>
          <w:kern w:val="0"/>
        </w:rPr>
        <w:t>14</w:t>
      </w:r>
      <w:r>
        <w:rPr>
          <w:rFonts w:hint="eastAsia"/>
          <w:kern w:val="0"/>
        </w:rPr>
        <w:t xml:space="preserve">, </w:t>
      </w:r>
      <w:r>
        <w:rPr>
          <w:rFonts w:hint="eastAsia"/>
        </w:rPr>
        <w:t>Article Number: 89.</w:t>
      </w:r>
    </w:p>
    <w:p w:rsidR="00BB404A" w:rsidRDefault="00BB404A" w:rsidP="00BB404A">
      <w:pPr>
        <w:pStyle w:val="a3"/>
      </w:pPr>
      <w:r>
        <w:rPr>
          <w:rFonts w:hint="eastAsia"/>
        </w:rPr>
        <w:t xml:space="preserve">Full Text: </w:t>
      </w:r>
      <w:hyperlink r:id="rId1596" w:history="1">
        <w:r w:rsidRPr="00842428">
          <w:rPr>
            <w:rStyle w:val="a5"/>
          </w:rPr>
          <w:t>2014\BMC Hea Ser Res14, 89.pdf</w:t>
        </w:r>
      </w:hyperlink>
    </w:p>
    <w:p w:rsidR="00BB404A" w:rsidRDefault="00BB404A" w:rsidP="00BB404A">
      <w:pPr>
        <w:pStyle w:val="a3"/>
        <w:rPr>
          <w:kern w:val="0"/>
        </w:rPr>
      </w:pPr>
      <w:r>
        <w:rPr>
          <w:kern w:val="0"/>
        </w:rPr>
        <w:t>Abstract: Background: A compelling ethical rationale supports patient engagement in healthcare research. It is also assumed that patient engagement will lead to research findings that are more pertinent to patients</w:t>
      </w:r>
      <w:r w:rsidR="00700038">
        <w:rPr>
          <w:kern w:val="0"/>
        </w:rPr>
        <w:t>’</w:t>
      </w:r>
      <w:r>
        <w:rPr>
          <w:kern w:val="0"/>
        </w:rPr>
        <w:t xml:space="preserve"> concerns and dilemmas. However; it is unclear how to best conduct this process. In this systematic review we aimed to answer 4 key questions: what are the best ways to identify patient representatives? How to engage them in designing and conducting research? What are the observed benefits</w:t>
      </w:r>
      <w:r w:rsidR="00427468">
        <w:rPr>
          <w:kern w:val="0"/>
        </w:rPr>
        <w:t xml:space="preserve"> of </w:t>
      </w:r>
      <w:r>
        <w:rPr>
          <w:kern w:val="0"/>
        </w:rPr>
        <w:t>patient engagement? What are the harms and barriers</w:t>
      </w:r>
      <w:r w:rsidR="00427468">
        <w:rPr>
          <w:kern w:val="0"/>
        </w:rPr>
        <w:t xml:space="preserve"> of </w:t>
      </w:r>
      <w:r>
        <w:rPr>
          <w:kern w:val="0"/>
        </w:rPr>
        <w:t>patient engagement? Methods: We searched MEDLINE, EMBASE, PsycInfo, Cochrane, EBSCO, CINAHL, SCOPUS, Web</w:t>
      </w:r>
      <w:r w:rsidR="00427468">
        <w:rPr>
          <w:kern w:val="0"/>
        </w:rPr>
        <w:t xml:space="preserve"> of </w:t>
      </w:r>
      <w:r>
        <w:rPr>
          <w:kern w:val="0"/>
        </w:rPr>
        <w:t>Science, Business Search Premier, Academic Search Premier and Google Scholar. Included studies were published in English,</w:t>
      </w:r>
      <w:r w:rsidR="00427468">
        <w:rPr>
          <w:kern w:val="0"/>
        </w:rPr>
        <w:t xml:space="preserve"> of </w:t>
      </w:r>
      <w:r>
        <w:rPr>
          <w:kern w:val="0"/>
        </w:rPr>
        <w:t>any size or design that described engaging patients or their surrogates in research design. We conducted an environmental scan</w:t>
      </w:r>
      <w:r w:rsidR="00427468">
        <w:rPr>
          <w:kern w:val="0"/>
        </w:rPr>
        <w:t xml:space="preserve"> of </w:t>
      </w:r>
      <w:r>
        <w:rPr>
          <w:kern w:val="0"/>
        </w:rPr>
        <w:t>the grey literature and consulted with experts and patients. Data were analyzed using a non-quantitative, meta-narrative approach. Results: We included 142 studies that described a spectrum</w:t>
      </w:r>
      <w:r w:rsidR="00427468">
        <w:rPr>
          <w:kern w:val="0"/>
        </w:rPr>
        <w:t xml:space="preserve"> of </w:t>
      </w:r>
      <w:r>
        <w:rPr>
          <w:kern w:val="0"/>
        </w:rPr>
        <w:t xml:space="preserve">engagement. In general, engagement was feasible in most settings and most </w:t>
      </w:r>
      <w:r>
        <w:rPr>
          <w:kern w:val="0"/>
        </w:rPr>
        <w:lastRenderedPageBreak/>
        <w:t>commonly done in the beginning</w:t>
      </w:r>
      <w:r w:rsidR="00427468">
        <w:rPr>
          <w:kern w:val="0"/>
        </w:rPr>
        <w:t xml:space="preserve"> of </w:t>
      </w:r>
      <w:r>
        <w:rPr>
          <w:kern w:val="0"/>
        </w:rPr>
        <w:t>research (agenda setting and protocol development) and less commonly during the execution and translation</w:t>
      </w:r>
      <w:r w:rsidR="00427468">
        <w:rPr>
          <w:kern w:val="0"/>
        </w:rPr>
        <w:t xml:space="preserve"> of </w:t>
      </w:r>
      <w:r>
        <w:rPr>
          <w:kern w:val="0"/>
        </w:rPr>
        <w:t>research. We found no comparative analytic studies to recommend a particular method. Patient engagement increased study enrollment rates and aided researchers in securing funding, designing study protocols and choosing relevant outcomes</w:t>
      </w:r>
      <w:r w:rsidR="00A37C1D">
        <w:rPr>
          <w:kern w:val="0"/>
        </w:rPr>
        <w:t>. The</w:t>
      </w:r>
      <w:r>
        <w:rPr>
          <w:kern w:val="0"/>
        </w:rPr>
        <w:t xml:space="preserve"> most commonly cited challenges were related to logistics (extra time and funding needed for engagement) and to an overarching worry</w:t>
      </w:r>
      <w:r w:rsidR="00427468">
        <w:rPr>
          <w:kern w:val="0"/>
        </w:rPr>
        <w:t xml:space="preserve"> of </w:t>
      </w:r>
      <w:r>
        <w:rPr>
          <w:kern w:val="0"/>
        </w:rPr>
        <w:t>a tokenistic engagement. Conclusions: Patient engagement in healthcare research is likely feasible in many settings. However, this engagement comes at a cost and can become tokenistic. Research dedicated to identifying the best methods to achieve engagement is lacking and clearly needed.</w:t>
      </w:r>
    </w:p>
    <w:p w:rsidR="00BB404A" w:rsidRDefault="00BB404A" w:rsidP="00BB404A">
      <w:pPr>
        <w:pStyle w:val="a3"/>
        <w:rPr>
          <w:kern w:val="0"/>
        </w:rPr>
      </w:pPr>
      <w:r>
        <w:rPr>
          <w:kern w:val="0"/>
        </w:rPr>
        <w:t>Keywords: Academic, Approach, Barriers, Benefits, Business, Care, Clinical-Trials, Cost, Data, Design, Development, Dilemmas, Embase, Engagement, English, Environmental, Ethical, Evidence-Based Medicine, Experts, Funding, General, Google, Google Scholar, Health Research, Lead, Literature, Logistics, Medline, Methods, Outcomes, Participation, Patient, Patient Centered Outcomes Research, Patient Engagement, Patients, Practice Guidelines, Preferences, Protocol, Protocols, Public Involvement, Qualitative Research, Rates, Research, Research Design, Results, Review, Science, Scopus, Search, Size, Systematic Review, Translation, Web</w:t>
      </w:r>
      <w:r w:rsidR="00427468">
        <w:rPr>
          <w:kern w:val="0"/>
        </w:rPr>
        <w:t xml:space="preserve"> of </w:t>
      </w:r>
      <w:r>
        <w:rPr>
          <w:kern w:val="0"/>
        </w:rPr>
        <w:t>Science</w:t>
      </w:r>
    </w:p>
    <w:p w:rsidR="00383B08" w:rsidRDefault="00383B08" w:rsidP="00383B08">
      <w:pPr>
        <w:pStyle w:val="a3"/>
        <w:rPr>
          <w:kern w:val="0"/>
        </w:rPr>
      </w:pPr>
      <w:r>
        <w:rPr>
          <w:rFonts w:hint="eastAsia"/>
          <w:kern w:val="0"/>
        </w:rPr>
        <w:t xml:space="preserve">? </w:t>
      </w:r>
      <w:r>
        <w:rPr>
          <w:kern w:val="0"/>
        </w:rPr>
        <w:t xml:space="preserve">Dewa, C.S., Loong, D., Bonato, S., Thanh, N.X. and Jacobs, P. (2014), How does burnout affect physician productivity? A systematic literature review. </w:t>
      </w:r>
      <w:r>
        <w:rPr>
          <w:i/>
          <w:iCs/>
          <w:kern w:val="0"/>
        </w:rPr>
        <w:t>BMC Health Services Research</w:t>
      </w:r>
      <w:r>
        <w:rPr>
          <w:kern w:val="0"/>
        </w:rPr>
        <w:t xml:space="preserve">, </w:t>
      </w:r>
      <w:r>
        <w:rPr>
          <w:b/>
          <w:bCs/>
          <w:kern w:val="0"/>
        </w:rPr>
        <w:t>14</w:t>
      </w:r>
      <w:r>
        <w:rPr>
          <w:rFonts w:hint="eastAsia"/>
          <w:kern w:val="0"/>
        </w:rPr>
        <w:t xml:space="preserve">, </w:t>
      </w:r>
      <w:r>
        <w:rPr>
          <w:rFonts w:hint="eastAsia"/>
        </w:rPr>
        <w:t>Article Number: 325.</w:t>
      </w:r>
    </w:p>
    <w:p w:rsidR="00383B08" w:rsidRDefault="00383B08" w:rsidP="00383B08">
      <w:pPr>
        <w:pStyle w:val="a3"/>
      </w:pPr>
      <w:r>
        <w:rPr>
          <w:rFonts w:hint="eastAsia"/>
        </w:rPr>
        <w:t xml:space="preserve">Full Text: </w:t>
      </w:r>
      <w:hyperlink r:id="rId1597" w:history="1">
        <w:r w:rsidR="006E0460" w:rsidRPr="006E0460">
          <w:rPr>
            <w:rStyle w:val="a5"/>
          </w:rPr>
          <w:t>2014\BMC Hea Ser Res14, 325.pdf</w:t>
        </w:r>
      </w:hyperlink>
    </w:p>
    <w:p w:rsidR="00383B08" w:rsidRDefault="00383B08" w:rsidP="00383B08">
      <w:pPr>
        <w:pStyle w:val="a3"/>
        <w:rPr>
          <w:kern w:val="0"/>
        </w:rPr>
      </w:pPr>
      <w:r>
        <w:rPr>
          <w:kern w:val="0"/>
        </w:rPr>
        <w:t xml:space="preserve">Abstract: Background: Interest in the well-being of physicians has increased because of their contributions to the healthcare system quality. There is growing recognition that physicians are exposed to workplace factors that increase the risk of work stress. Long-term exposure to high work stress can result in burnout. Reports from around the world suggest that about one-third to one-half of physicians experience burnout. Understanding the outcomes associated with burnout is critical to understanding its affects on the healthcare system. Productivity outcomes are among those that could have the most immediate effects on the healthcare system. This systematic literature review is one of the first to explore the evidence for the types of physician productivity outcomes associated with physician burnout. It answers the question, “How does burnout affect physician productivity?” Methods: A systematic search was performed of: Medline Current, Medline in process, PsycInfo, Embase and Web of Science. The search period covered 2002 to 2012. The searches identified articles about practicing physicians working in civilian settings. Articles that primarily looked only at residents or medical students were excluded. Productivity was </w:t>
      </w:r>
      <w:r>
        <w:rPr>
          <w:kern w:val="0"/>
        </w:rPr>
        <w:lastRenderedPageBreak/>
        <w:t>captured by hours worked, patients seen, sick leave, leaving the profession, retirement, workload and presenteeism. Studies also were excluded if: (1) the study sample was not comprised of at least 50% physicians, (2) the study did not examine the relationship between burnout and productivity or (3) a validated measure of burnout was not used. Results: The search identified 870 unique citations; 5 met the inclusion/exclusion criteria. This review indicates that globally there is recognition of the potential impact of physician burnout on productivity. Productivity was examined using: number of sick leave days, work ability, intent to either continue practicing or change jobs. The majority of the studies indicate there is a negative relationship between burnout and productivity. However, there is variation depending on the type of productivity outcome examined. Conclusions: There is evidence that burnout is associated with decreased productivity. However, this line of inquiry is still developing. A number of gaps are yet to be filled including understanding how to quantify the changes in productivity related to burnout.</w:t>
      </w:r>
    </w:p>
    <w:p w:rsidR="00383B08" w:rsidRDefault="00383B08" w:rsidP="00383B08">
      <w:pPr>
        <w:pStyle w:val="a3"/>
        <w:rPr>
          <w:kern w:val="0"/>
        </w:rPr>
      </w:pPr>
      <w:r>
        <w:rPr>
          <w:kern w:val="0"/>
        </w:rPr>
        <w:t>Keywords: Articles, Burnout, Changes, Citations, Criteria, Developing, Effects, Evidence, Experience, Exposure, First, Impact, Literature, Literature Review, Measure, Medical, Medical Students, Medline, Methods, Outcome, Outcomes, Patients, Physician, Physicians, Potential, Productivity, Profession, Quality, Results, Review, Risk, Science, Stress, Students, Systematic, Systematic Literature Review, Understanding, Web Of Science, Well-Being, Work, Workload, World</w:t>
      </w:r>
    </w:p>
    <w:p w:rsidR="00D9712E" w:rsidRDefault="00D9712E" w:rsidP="00D9712E">
      <w:pPr>
        <w:pStyle w:val="a3"/>
        <w:rPr>
          <w:kern w:val="0"/>
        </w:rPr>
      </w:pPr>
      <w:r>
        <w:rPr>
          <w:rFonts w:hint="eastAsia"/>
          <w:kern w:val="0"/>
        </w:rPr>
        <w:t xml:space="preserve">? </w:t>
      </w:r>
      <w:r>
        <w:rPr>
          <w:kern w:val="0"/>
        </w:rPr>
        <w:t xml:space="preserve">McCleary, N., Ramsay, C.R., Francis, J.J., Campbell, M.K. and Allan, J. (2014), Perceived difficulty and appropriateness of decision making by General Practitioners: </w:t>
      </w:r>
      <w:r w:rsidR="00E869A8">
        <w:rPr>
          <w:kern w:val="0"/>
        </w:rPr>
        <w:t xml:space="preserve">A </w:t>
      </w:r>
      <w:r>
        <w:rPr>
          <w:kern w:val="0"/>
        </w:rPr>
        <w:t xml:space="preserve">systematic review of scenario studies. </w:t>
      </w:r>
      <w:r>
        <w:rPr>
          <w:i/>
          <w:iCs/>
          <w:kern w:val="0"/>
        </w:rPr>
        <w:t>BMC Health Services Research</w:t>
      </w:r>
      <w:r>
        <w:rPr>
          <w:kern w:val="0"/>
        </w:rPr>
        <w:t xml:space="preserve">, </w:t>
      </w:r>
      <w:r>
        <w:rPr>
          <w:b/>
          <w:bCs/>
          <w:kern w:val="0"/>
        </w:rPr>
        <w:t>14</w:t>
      </w:r>
      <w:r>
        <w:rPr>
          <w:kern w:val="0"/>
        </w:rPr>
        <w:t xml:space="preserve">, </w:t>
      </w:r>
      <w:r>
        <w:rPr>
          <w:rFonts w:hint="eastAsia"/>
        </w:rPr>
        <w:t>Article Number: 621.</w:t>
      </w:r>
    </w:p>
    <w:p w:rsidR="00D9712E" w:rsidRDefault="00D9712E" w:rsidP="00D9712E">
      <w:pPr>
        <w:pStyle w:val="a3"/>
      </w:pPr>
      <w:r>
        <w:rPr>
          <w:rFonts w:hint="eastAsia"/>
        </w:rPr>
        <w:t xml:space="preserve">Full Text: </w:t>
      </w:r>
      <w:hyperlink r:id="rId1598" w:history="1">
        <w:r w:rsidRPr="000D535C">
          <w:rPr>
            <w:rStyle w:val="a5"/>
          </w:rPr>
          <w:t>2014\BMC Hea Ser Res14, 621.pdf</w:t>
        </w:r>
      </w:hyperlink>
    </w:p>
    <w:p w:rsidR="00D9712E" w:rsidRDefault="00D9712E" w:rsidP="00D9712E">
      <w:pPr>
        <w:pStyle w:val="a3"/>
        <w:rPr>
          <w:kern w:val="0"/>
        </w:rPr>
      </w:pPr>
      <w:r>
        <w:rPr>
          <w:kern w:val="0"/>
        </w:rPr>
        <w:t xml:space="preserve">Abstract: Background: Health-care quality in primary care depends largely on the appropriateness of General Practitioners’ (GPs; Primary Care or Family Physicians) decisions, which may be influenced by how difficult they perceive decisions to be. Patient scenarios (clinical or case vignettes) are widely used to investigate GPs’ decision making. This review aimed to identify the extent to which perceived decision difficulty, decision appropriateness, and their relationship have been assessed in scenario studies of GPs’ decision making; identify possible determinants of difficulty and appropriateness; and investigate the relationship between difficulty and appropriateness. Methods: MEDLINE, EMBASE, PsycINFO, the Cochrane Library and Web of Science were searched for scenario studies of GPs’ decision making. One author completed article screening. Ten percent of titles and abstracts were checked by an independent volunteer, resulting in 91% agreement. Data on decision difficulty and appropriateness were extracted by one author and descriptively synthesised. Chi-squared tests were used to explore associations </w:t>
      </w:r>
      <w:r>
        <w:rPr>
          <w:kern w:val="0"/>
        </w:rPr>
        <w:lastRenderedPageBreak/>
        <w:t>between decision appropriateness, decision type and decision appropriateness assessment method. Results: Of 152 included studies, 66 assessed decision appropriateness and five assessed perceived difficulty. While no studies assessed the relationship between perceived difficulty and appropriateness, one study objectively varied the difficulty of the scenarios and assessed the relationship between a measure of objective difficulty and appropriateness. Across 38 studies where calculations were possible, 62% of the decisions were appropriate as defined by the appropriateness standard used. Chi-squared tests identified statistically significant associations between decision appropriateness, decision type and decision appropriateness assessment method. Findings suggested a negative relationship between decision difficulty and appropriateness, while interventions may have the potential to reduce perceived difficulty. Conclusions: Scenario-based research into GPs’ decisions rarely considers the relationship between perceived decision difficulty and decision appropriateness. The links between these decisional components require further investigation.</w:t>
      </w:r>
    </w:p>
    <w:p w:rsidR="00D9712E" w:rsidRDefault="00D9712E" w:rsidP="00D9712E">
      <w:pPr>
        <w:pStyle w:val="a3"/>
        <w:rPr>
          <w:kern w:val="0"/>
        </w:rPr>
      </w:pPr>
      <w:r>
        <w:rPr>
          <w:kern w:val="0"/>
        </w:rPr>
        <w:t>Keywords: Abstracts, Article, Assessment, Behavior, Care, Clinical, Clinical Decision Making, Data, Decision, Decision Appropriateness, Decision Difficulty, Decision Making, Decision-Making, Embase, Family, General Practitioner, Gps, Health Care, Healthcare, Interventions, Investigation, Management, Measure, Medline, Methods, Negative, Nov, Outcomes Framework, Patient, Patient Scenario, Potential, Prescribing Antibiotics, Primary, Primary Care, Primary Care Physician, Primary-Care Physicians, Psycinfo, Quality, Research, Respiratory-Tract Infections, Results, Review, Scenario, Scenario Studies, Scenarios, Science, Screening, Services, Standard, Systematic, Systematic Review, Vignette, Vignette, Web, Web Of Science</w:t>
      </w:r>
    </w:p>
    <w:p w:rsidR="00E869A8" w:rsidRDefault="00E869A8" w:rsidP="00E869A8">
      <w:pPr>
        <w:pStyle w:val="a3"/>
        <w:rPr>
          <w:kern w:val="0"/>
        </w:rPr>
      </w:pPr>
      <w:r>
        <w:rPr>
          <w:rFonts w:hint="eastAsia"/>
          <w:kern w:val="0"/>
        </w:rPr>
        <w:t xml:space="preserve">? </w:t>
      </w:r>
      <w:r>
        <w:rPr>
          <w:kern w:val="0"/>
        </w:rPr>
        <w:t xml:space="preserve">Tran, B.X., Nguyen, L.H., Ohinmaa, A., Maher, R.M., Nong, V.M. and Latkin, C.A. (2015), Longitudinal and cross sectional assessments of health utility in adults with HIV/AIDS: A systematic review and meta-analysis. </w:t>
      </w:r>
      <w:r>
        <w:rPr>
          <w:i/>
          <w:iCs/>
          <w:kern w:val="0"/>
        </w:rPr>
        <w:t>BMC Health Services Research</w:t>
      </w:r>
      <w:r>
        <w:rPr>
          <w:kern w:val="0"/>
        </w:rPr>
        <w:t xml:space="preserve">, </w:t>
      </w:r>
      <w:r>
        <w:rPr>
          <w:b/>
          <w:bCs/>
          <w:kern w:val="0"/>
        </w:rPr>
        <w:t>15</w:t>
      </w:r>
      <w:r>
        <w:rPr>
          <w:rFonts w:hint="eastAsia"/>
          <w:kern w:val="0"/>
        </w:rPr>
        <w:t>,</w:t>
      </w:r>
      <w:r w:rsidRPr="008833E1">
        <w:rPr>
          <w:rFonts w:hint="eastAsia"/>
        </w:rPr>
        <w:t xml:space="preserve"> </w:t>
      </w:r>
      <w:r>
        <w:rPr>
          <w:rFonts w:hint="eastAsia"/>
        </w:rPr>
        <w:t>Article Number: 7.</w:t>
      </w:r>
    </w:p>
    <w:p w:rsidR="00E869A8" w:rsidRDefault="00E869A8" w:rsidP="00E869A8">
      <w:pPr>
        <w:pStyle w:val="a3"/>
      </w:pPr>
      <w:r>
        <w:rPr>
          <w:rFonts w:hint="eastAsia"/>
        </w:rPr>
        <w:t xml:space="preserve">Full Text: </w:t>
      </w:r>
      <w:hyperlink r:id="rId1599" w:history="1">
        <w:r w:rsidRPr="00537F09">
          <w:rPr>
            <w:rStyle w:val="a5"/>
          </w:rPr>
          <w:t>2015\BMC Hea Ser Res15, 7.pdf</w:t>
        </w:r>
      </w:hyperlink>
    </w:p>
    <w:p w:rsidR="00E869A8" w:rsidRDefault="00E869A8" w:rsidP="00E869A8">
      <w:pPr>
        <w:pStyle w:val="a3"/>
        <w:rPr>
          <w:kern w:val="0"/>
        </w:rPr>
      </w:pPr>
      <w:r>
        <w:rPr>
          <w:kern w:val="0"/>
        </w:rPr>
        <w:t xml:space="preserve">Abstract: Background: Utility estimates are important health outcomes for economic evaluation of care and treatment interventions for patients with HIV/AIDS. We conducted a systematic review and meta-analysis of utility measurements to examine the performance of preference-based instruments, estimate health utility of patients with HIV/AIDS by disease stages, and investigate changes in their health utility over the course of antiretroviral treatment. Methods: We searched PubMed/Medline, Cochrane Database of Systematic Review, NHS Economic Evaluation Database and Web of Science for English-language peer-reviewed papers published during 2000-2013. We selected 49 studies that used 3 direct and 6 indirect preference based instruments to make a total of 218 utility measurements. Random effect models with </w:t>
      </w:r>
      <w:r>
        <w:rPr>
          <w:kern w:val="0"/>
        </w:rPr>
        <w:lastRenderedPageBreak/>
        <w:t>robust estimation of standard errors and multivariate fractional polynomial regression were used to obtain the pooled estimates of utility and model their trends. Results: Reliability of direct-preference measures tended to be lower than other types of measures. Utility elicited by two of the indirect preference measures - SF-6D (0.171) and EQ-5D (0.114), and that of Time-Trade off (TTO) (0.151) was significantly different than utility elicited by Standard Gamble (SG). Compared to asymptomatic HIV patients, symptomatic and AIDS patients reported a decrement of 0.025 (p &amp;#x2009;=&amp;#x2009;0.40) and 0.176 (p &amp;#x2009;=&amp;#x2009;0.001) in utility scores, adjusting for method of assessment. In longitudinal studies, the pooled health utility of HIV/AIDS patients significantly decreased in the first 3 months of treatment, and rapidly increased afterwards. Magnitude of change varied depending on the method of assessment and length of antiretroviral treatment. Conclusion: The study provides an accumulation of evidence on measurement properties of health utility estimates that can help inform the selection of instruments for future studies. The pooled estimates of health utilities and their trends are useful in economic evaluation and policy modelling of HIV/AIDS treatment strategies.</w:t>
      </w:r>
    </w:p>
    <w:p w:rsidR="00E869A8" w:rsidRDefault="00E869A8" w:rsidP="00E869A8">
      <w:pPr>
        <w:pStyle w:val="a3"/>
        <w:rPr>
          <w:kern w:val="0"/>
        </w:rPr>
      </w:pPr>
      <w:r>
        <w:rPr>
          <w:kern w:val="0"/>
        </w:rPr>
        <w:t>Keywords: Accumulation, Active Antiretroviral Therapy, Adults, Aid, Aids, Antiretroviral, Assessment, Assessments, Care, Changes, Clinical-Trial, Cost-Effectiveness, Course, Cross-Sectional, Database, Disease, Economic, Economic Evaluation, Errors, Estimates, Evaluation, Evidence, First, Health, Health Outcomes, Hiv, Hiv-Infected Patients, Hiv, Aids, Human-Immunodeficiency-Virus, Instruments, Interventions, Length, Longitudinal, Longitudinal Meta-Analysis, Longitudinal Studies, Measurement, Measures, Meta Analysis, Meta-Analysis, Metaanalysis, Methods, Model, Modelling, Models, Multivariate, Nhs, Outcomes, Papers, Patients, Peer-Reviewed, Performance, Policy, Positive Patients, Preference, Preference Weights, Properties, Quality Of Life, Quality-Of-Life, Regression, Reliability, Results, Review, Science, Selection, South-Africa, Standard, Systematic, Systematic Review, The-Literature, Treatment, Trends, Utility, Web, Web Of Science</w:t>
      </w:r>
    </w:p>
    <w:p w:rsidR="00A813E2" w:rsidRDefault="00A813E2" w:rsidP="00A813E2">
      <w:pPr>
        <w:pStyle w:val="a3"/>
        <w:rPr>
          <w:kern w:val="0"/>
        </w:rPr>
      </w:pPr>
      <w:r>
        <w:rPr>
          <w:kern w:val="0"/>
        </w:rPr>
        <w:t xml:space="preserve">? Mbuagbaw, L., Mursleen, S., Lytvyn, L., Smieja, M., Dolovich, L. and Thabane, L. (2015), Mobile phone text messaging interventions for HIV and other chronic diseases: An overview of systematic reviews and framework for evidence transfer. </w:t>
      </w:r>
      <w:r>
        <w:rPr>
          <w:i/>
          <w:iCs/>
          <w:kern w:val="0"/>
        </w:rPr>
        <w:t>BMC Health Services Research</w:t>
      </w:r>
      <w:r>
        <w:rPr>
          <w:kern w:val="0"/>
        </w:rPr>
        <w:t xml:space="preserve">, </w:t>
      </w:r>
      <w:r>
        <w:rPr>
          <w:b/>
          <w:bCs/>
          <w:kern w:val="0"/>
        </w:rPr>
        <w:t>15</w:t>
      </w:r>
      <w:r>
        <w:rPr>
          <w:rFonts w:hint="eastAsia"/>
          <w:kern w:val="0"/>
        </w:rPr>
        <w:t xml:space="preserve">, </w:t>
      </w:r>
      <w:r>
        <w:rPr>
          <w:rFonts w:hint="eastAsia"/>
        </w:rPr>
        <w:t>Article Number: 33.</w:t>
      </w:r>
    </w:p>
    <w:p w:rsidR="00A813E2" w:rsidRDefault="00A813E2" w:rsidP="00A813E2">
      <w:pPr>
        <w:pStyle w:val="a3"/>
      </w:pPr>
      <w:r>
        <w:rPr>
          <w:rFonts w:hint="eastAsia"/>
        </w:rPr>
        <w:t xml:space="preserve">Full Text: </w:t>
      </w:r>
      <w:hyperlink r:id="rId1600" w:history="1">
        <w:r w:rsidRPr="00A813E2">
          <w:rPr>
            <w:rStyle w:val="a5"/>
          </w:rPr>
          <w:t>2015\BMC Hea Ser Res15, 33.pdf</w:t>
        </w:r>
      </w:hyperlink>
    </w:p>
    <w:p w:rsidR="00A813E2" w:rsidRDefault="00A813E2" w:rsidP="00A813E2">
      <w:pPr>
        <w:pStyle w:val="a3"/>
        <w:rPr>
          <w:kern w:val="0"/>
        </w:rPr>
      </w:pPr>
      <w:r>
        <w:rPr>
          <w:kern w:val="0"/>
        </w:rPr>
        <w:t xml:space="preserve">Abstract: Background: Strong international commitment and the widespread use of antiretroviral therapy have led to higher longevity for people living with human immune deficiency virus (HIV). Text messaging interventions have been shown to improve health outcomes in people living with HIV. The objectives of this overview were to: map the state of the evidence of text messaging interventions, identify </w:t>
      </w:r>
      <w:r>
        <w:rPr>
          <w:kern w:val="0"/>
        </w:rPr>
        <w:lastRenderedPageBreak/>
        <w:t>knowledge gaps, and develop a framework for the transfer of evidence to other chronic diseases. Methods: We conducted a systematic review of systematic reviews on text messaging interventions to improve health or health related outcomes. We conducted a comprehensive search of PubMed, EMBASE (Exerpta Medica Database), CINAHL (Cumulative Index to Nursing and Allied Health Literature), PsycINFO, Web of Science (WoS) and the Cochrane Library on the 17th April 2014. Screening, data extraction and assessment of methodological quality were done in duplicate. Our findings were used to develop a conceptual framework for transfer. Results: Our search identified 135 potential systematic reviews of which nine were included, reporting on 37 source studies, conducted in 19 different countries. Seven of nine (77.7%) of these reviews were high quality. There was some evidence for text messaging as a tool to improve adherence to antiretroviral therapy. Text messages also improved attendance at appointments and behaviour change outcomes. The findings were inconclusive for self-management of illness, treatment of tuberculosis and communicating results of medical investigations. The geographical distribution of text messaging research was limited to specific regions of the world. Prominent knowledge gaps included the absence of data on long term outcomes, patient satisfaction, and economic evaluations. The included reviews also identified methodological limitations in many of the primary studies. Conclusions: Global evidence supports the use of text messaging as a tool to improve adherence to medication and attendance at scheduled appointments. Given the similarities between HIV and other chronic diseases (long-term medications, life-long care, strong link to behaviour and the need for home-based support) evidence from HIV may be transferred to these diseases using our proposed framework by integration of HIV and chronic disease services or direct transfer.</w:t>
      </w:r>
    </w:p>
    <w:p w:rsidR="00A813E2" w:rsidRDefault="00A813E2" w:rsidP="00A813E2">
      <w:pPr>
        <w:pStyle w:val="a3"/>
        <w:rPr>
          <w:kern w:val="0"/>
        </w:rPr>
      </w:pPr>
      <w:r>
        <w:rPr>
          <w:kern w:val="0"/>
        </w:rPr>
        <w:t>Keywords: Adherence, Amstar, Antiretroviral, Antiretroviral Therapy, Assessment, Behaviour, Care, Chronic, Chronic Disease, Commitment, Data, Database, Disease, Diseases, Distribution, Economic, Embase, Evidence, Evidence Transfer, Extraction, Framework, From, Global, Health, Health Outcomes, Hiv, Hiv Chronic Disease, Human, Immune, Integration, International, Interventions, Investigations, Knowledge, Literature, Living, Long Term, Long-Term, Longevity, Management, Measurement Tool, Medical, Methodological Limitations, Methodological Quality, Methods, Mobile Phone, Nursing, Outcomes, Overview, Patient, Patient Satisfaction, Potential, Primary, Psycinfo, Pubmed, Quality, Reporting, Research, Results, Review, Reviews, Satisfaction, Science, Screening, Self Management, Self-Management, Services, Source, State, Support, Systematic, Systematic Review, Systematic Reviews, Term, Text Message, Text Messages, Text Messaging, Therapy, Treatment, Tuberculosis, Web, Web Of Science, World, Wos</w:t>
      </w:r>
    </w:p>
    <w:p w:rsidR="003474F2" w:rsidRPr="001A3D2B" w:rsidRDefault="003474F2" w:rsidP="003474F2">
      <w:pPr>
        <w:pStyle w:val="1"/>
      </w:pPr>
      <w:r w:rsidRPr="001A3D2B">
        <w:br w:type="page"/>
      </w:r>
      <w:bookmarkStart w:id="842" w:name="_Toc420814759"/>
      <w:r w:rsidRPr="001A3D2B">
        <w:lastRenderedPageBreak/>
        <w:t>Title: BMC Infectious Diseases</w:t>
      </w:r>
      <w:bookmarkEnd w:id="842"/>
    </w:p>
    <w:p w:rsidR="003474F2" w:rsidRPr="001A3D2B" w:rsidRDefault="003474F2" w:rsidP="003474F2">
      <w:pPr>
        <w:pStyle w:val="12"/>
      </w:pPr>
      <w:r w:rsidRPr="001A3D2B">
        <w:t xml:space="preserve">Full Journal Title: </w:t>
      </w:r>
      <w:hyperlink r:id="rId1601" w:history="1">
        <w:r w:rsidRPr="001A3D2B">
          <w:rPr>
            <w:rStyle w:val="a5"/>
            <w:iCs/>
          </w:rPr>
          <w:t>BMC Infectious Diseases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A62BD9" w:rsidRDefault="00A62BD9" w:rsidP="00A62BD9">
      <w:pPr>
        <w:pStyle w:val="a3"/>
        <w:rPr>
          <w:kern w:val="0"/>
        </w:rPr>
      </w:pPr>
      <w:r>
        <w:rPr>
          <w:rFonts w:hint="eastAsia"/>
          <w:kern w:val="0"/>
        </w:rPr>
        <w:t xml:space="preserve">? </w:t>
      </w:r>
      <w:r>
        <w:rPr>
          <w:kern w:val="0"/>
        </w:rPr>
        <w:t>Kalantri, S., Pai, M., Pascopella, L., Riley, L.</w:t>
      </w:r>
      <w:r w:rsidR="005853A9">
        <w:rPr>
          <w:kern w:val="0"/>
        </w:rPr>
        <w:t xml:space="preserve"> and </w:t>
      </w:r>
      <w:r>
        <w:rPr>
          <w:kern w:val="0"/>
        </w:rPr>
        <w:t>Reingold, A. (2005), Bacteriophage-based tests for</w:t>
      </w:r>
      <w:r w:rsidR="003A1917">
        <w:rPr>
          <w:kern w:val="0"/>
        </w:rPr>
        <w:t xml:space="preserve"> the </w:t>
      </w:r>
      <w:r>
        <w:rPr>
          <w:kern w:val="0"/>
        </w:rPr>
        <w:t>detection</w:t>
      </w:r>
      <w:r w:rsidR="00427468">
        <w:rPr>
          <w:kern w:val="0"/>
        </w:rPr>
        <w:t xml:space="preserve"> of </w:t>
      </w:r>
      <w:r w:rsidRPr="00733BD7">
        <w:rPr>
          <w:i/>
          <w:kern w:val="0"/>
        </w:rPr>
        <w:t>Mycobacterium tuberculosis</w:t>
      </w:r>
      <w:r>
        <w:rPr>
          <w:kern w:val="0"/>
        </w:rPr>
        <w:t xml:space="preserve"> in clinical specimens: A systematic review</w:t>
      </w:r>
      <w:r w:rsidR="005853A9">
        <w:rPr>
          <w:kern w:val="0"/>
        </w:rPr>
        <w:t xml:space="preserve"> and </w:t>
      </w:r>
      <w:r>
        <w:rPr>
          <w:kern w:val="0"/>
        </w:rPr>
        <w:t xml:space="preserve">meta-analysis. </w:t>
      </w:r>
      <w:r>
        <w:rPr>
          <w:i/>
          <w:iCs/>
          <w:kern w:val="0"/>
        </w:rPr>
        <w:t>BMC Infectious Diseases</w:t>
      </w:r>
      <w:r>
        <w:rPr>
          <w:kern w:val="0"/>
        </w:rPr>
        <w:t xml:space="preserve">, </w:t>
      </w:r>
      <w:r>
        <w:rPr>
          <w:b/>
          <w:bCs/>
          <w:kern w:val="0"/>
        </w:rPr>
        <w:t>5</w:t>
      </w:r>
      <w:r>
        <w:rPr>
          <w:rFonts w:hint="eastAsia"/>
          <w:kern w:val="0"/>
        </w:rPr>
        <w:t xml:space="preserve">, </w:t>
      </w:r>
      <w:r>
        <w:t>Article Number: 59</w:t>
      </w:r>
      <w:r>
        <w:rPr>
          <w:rFonts w:hint="eastAsia"/>
        </w:rPr>
        <w:t>.</w:t>
      </w:r>
    </w:p>
    <w:p w:rsidR="00A62BD9" w:rsidRPr="00FC7835" w:rsidRDefault="00A62BD9" w:rsidP="00A62BD9">
      <w:pPr>
        <w:pStyle w:val="a3"/>
        <w:rPr>
          <w:kern w:val="0"/>
        </w:rPr>
      </w:pPr>
      <w:r>
        <w:rPr>
          <w:kern w:val="0"/>
        </w:rPr>
        <w:t>Full Text:</w:t>
      </w:r>
      <w:r w:rsidRPr="00FC7835">
        <w:rPr>
          <w:kern w:val="0"/>
        </w:rPr>
        <w:t xml:space="preserve"> </w:t>
      </w:r>
      <w:hyperlink r:id="rId1602" w:history="1">
        <w:r w:rsidRPr="00733BD7">
          <w:rPr>
            <w:rStyle w:val="a5"/>
            <w:kern w:val="0"/>
          </w:rPr>
          <w:t>2005\BMC Inf Dis5, 59.pdf</w:t>
        </w:r>
      </w:hyperlink>
    </w:p>
    <w:p w:rsidR="00A62BD9" w:rsidRDefault="00A62BD9" w:rsidP="00A62BD9">
      <w:pPr>
        <w:pStyle w:val="a3"/>
        <w:rPr>
          <w:kern w:val="0"/>
        </w:rPr>
      </w:pPr>
      <w:r>
        <w:rPr>
          <w:kern w:val="0"/>
        </w:rPr>
        <w:t>Abstract: Background: Sputum microscopy,</w:t>
      </w:r>
      <w:r w:rsidR="003A1917">
        <w:rPr>
          <w:kern w:val="0"/>
        </w:rPr>
        <w:t xml:space="preserve"> the </w:t>
      </w:r>
      <w:r>
        <w:rPr>
          <w:kern w:val="0"/>
        </w:rPr>
        <w:t>most important conventional test for tuberculosis, is specific in settings with high burden</w:t>
      </w:r>
      <w:r w:rsidR="00427468">
        <w:rPr>
          <w:kern w:val="0"/>
        </w:rPr>
        <w:t xml:space="preserve"> of </w:t>
      </w:r>
      <w:r>
        <w:rPr>
          <w:kern w:val="0"/>
        </w:rPr>
        <w:t>tuberculosis</w:t>
      </w:r>
      <w:r w:rsidR="005853A9">
        <w:rPr>
          <w:kern w:val="0"/>
        </w:rPr>
        <w:t xml:space="preserve"> and </w:t>
      </w:r>
      <w:r>
        <w:rPr>
          <w:kern w:val="0"/>
        </w:rPr>
        <w:t>low prevalence</w:t>
      </w:r>
      <w:r w:rsidR="00427468">
        <w:rPr>
          <w:kern w:val="0"/>
        </w:rPr>
        <w:t xml:space="preserve"> of </w:t>
      </w:r>
      <w:r>
        <w:rPr>
          <w:kern w:val="0"/>
        </w:rPr>
        <w:t>non tuberculous mycobacteria. However,</w:t>
      </w:r>
      <w:r w:rsidR="003A1917">
        <w:rPr>
          <w:kern w:val="0"/>
        </w:rPr>
        <w:t xml:space="preserve"> the </w:t>
      </w:r>
      <w:r>
        <w:rPr>
          <w:kern w:val="0"/>
        </w:rPr>
        <w:t>test lacks sensitivity. Although bacteriophage-based tests for tuberculosis have shown promising results, their overall accuracy has not been systematically evaluated. Methods: We did a systematic review</w:t>
      </w:r>
      <w:r w:rsidR="005853A9">
        <w:rPr>
          <w:kern w:val="0"/>
        </w:rPr>
        <w:t xml:space="preserve"> and </w:t>
      </w:r>
      <w:r>
        <w:rPr>
          <w:kern w:val="0"/>
        </w:rPr>
        <w:t>meta-analysis</w:t>
      </w:r>
      <w:r w:rsidR="00427468">
        <w:rPr>
          <w:kern w:val="0"/>
        </w:rPr>
        <w:t xml:space="preserve"> of </w:t>
      </w:r>
      <w:r>
        <w:rPr>
          <w:kern w:val="0"/>
        </w:rPr>
        <w:t>published studies to evaluate</w:t>
      </w:r>
      <w:r w:rsidR="003A1917">
        <w:rPr>
          <w:kern w:val="0"/>
        </w:rPr>
        <w:t xml:space="preserve"> the </w:t>
      </w:r>
      <w:r>
        <w:rPr>
          <w:kern w:val="0"/>
        </w:rPr>
        <w:t>accuracy</w:t>
      </w:r>
      <w:r w:rsidR="00427468">
        <w:rPr>
          <w:kern w:val="0"/>
        </w:rPr>
        <w:t xml:space="preserve"> of </w:t>
      </w:r>
      <w:r>
        <w:rPr>
          <w:kern w:val="0"/>
        </w:rPr>
        <w:t>phage-based tests for</w:t>
      </w:r>
      <w:r w:rsidR="003A1917">
        <w:rPr>
          <w:kern w:val="0"/>
        </w:rPr>
        <w:t xml:space="preserve"> the </w:t>
      </w:r>
      <w:r>
        <w:rPr>
          <w:kern w:val="0"/>
        </w:rPr>
        <w:t>direct detection</w:t>
      </w:r>
      <w:r w:rsidR="00427468">
        <w:rPr>
          <w:kern w:val="0"/>
        </w:rPr>
        <w:t xml:space="preserve"> of </w:t>
      </w:r>
      <w:r>
        <w:rPr>
          <w:kern w:val="0"/>
        </w:rPr>
        <w:t xml:space="preserve">M. tuberculosis in clinical specimens. To identify studies, we searched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BIOSIS,</w:t>
      </w:r>
      <w:r w:rsidR="005853A9">
        <w:rPr>
          <w:kern w:val="0"/>
        </w:rPr>
        <w:t xml:space="preserve"> and </w:t>
      </w:r>
      <w:r>
        <w:rPr>
          <w:kern w:val="0"/>
        </w:rPr>
        <w:t>contacted authors, experts</w:t>
      </w:r>
      <w:r w:rsidR="005853A9">
        <w:rPr>
          <w:kern w:val="0"/>
        </w:rPr>
        <w:t xml:space="preserve"> and </w:t>
      </w:r>
      <w:r>
        <w:rPr>
          <w:kern w:val="0"/>
        </w:rPr>
        <w:t>test manufacturers. Thirteen studies, all based on phage amplification method, met our inclusion criteria. Overall accuracy was evaluated using forest plots, summary receiver operating (SROC) curves,</w:t>
      </w:r>
      <w:r w:rsidR="005853A9">
        <w:rPr>
          <w:kern w:val="0"/>
        </w:rPr>
        <w:t xml:space="preserve"> and </w:t>
      </w:r>
      <w:r>
        <w:rPr>
          <w:kern w:val="0"/>
        </w:rPr>
        <w:t>subgroup analyses. Results:</w:t>
      </w:r>
      <w:r w:rsidR="003A1917">
        <w:rPr>
          <w:kern w:val="0"/>
        </w:rPr>
        <w:t xml:space="preserve"> the </w:t>
      </w:r>
      <w:r>
        <w:rPr>
          <w:kern w:val="0"/>
        </w:rPr>
        <w:t>data suggest that phage-based assays have high specificity (range 0.83 to 1.00), but modest</w:t>
      </w:r>
      <w:r w:rsidR="005853A9">
        <w:rPr>
          <w:kern w:val="0"/>
        </w:rPr>
        <w:t xml:space="preserve"> and </w:t>
      </w:r>
      <w:r>
        <w:rPr>
          <w:kern w:val="0"/>
        </w:rPr>
        <w:t>variable sensitivity (range 0.21 to 0.88)</w:t>
      </w:r>
      <w:r w:rsidR="00A37C1D">
        <w:rPr>
          <w:kern w:val="0"/>
        </w:rPr>
        <w:t>. The</w:t>
      </w:r>
      <w:r w:rsidR="003A1917">
        <w:rPr>
          <w:kern w:val="0"/>
        </w:rPr>
        <w:t xml:space="preserve"> </w:t>
      </w:r>
      <w:r>
        <w:rPr>
          <w:kern w:val="0"/>
        </w:rPr>
        <w:t>sensitivity ranged between 0.29</w:t>
      </w:r>
      <w:r w:rsidR="005853A9">
        <w:rPr>
          <w:kern w:val="0"/>
        </w:rPr>
        <w:t xml:space="preserve"> and </w:t>
      </w:r>
      <w:r>
        <w:rPr>
          <w:kern w:val="0"/>
        </w:rPr>
        <w:t>0.87 among smear-positive,</w:t>
      </w:r>
      <w:r w:rsidR="005853A9">
        <w:rPr>
          <w:kern w:val="0"/>
        </w:rPr>
        <w:t xml:space="preserve"> and </w:t>
      </w:r>
      <w:r>
        <w:rPr>
          <w:kern w:val="0"/>
        </w:rPr>
        <w:t>0.13 to 0.78 among smear-negative specimens</w:t>
      </w:r>
      <w:r w:rsidR="00A37C1D">
        <w:rPr>
          <w:kern w:val="0"/>
        </w:rPr>
        <w:t>. The</w:t>
      </w:r>
      <w:r w:rsidR="003A1917">
        <w:rPr>
          <w:kern w:val="0"/>
        </w:rPr>
        <w:t xml:space="preserve"> </w:t>
      </w:r>
      <w:r>
        <w:rPr>
          <w:kern w:val="0"/>
        </w:rPr>
        <w:t>specificity ranged between 0.60</w:t>
      </w:r>
      <w:r w:rsidR="005853A9">
        <w:rPr>
          <w:kern w:val="0"/>
        </w:rPr>
        <w:t xml:space="preserve"> and </w:t>
      </w:r>
      <w:r>
        <w:rPr>
          <w:kern w:val="0"/>
        </w:rPr>
        <w:t>0.88 among smear-positive</w:t>
      </w:r>
      <w:r w:rsidR="005853A9">
        <w:rPr>
          <w:kern w:val="0"/>
        </w:rPr>
        <w:t xml:space="preserve"> and </w:t>
      </w:r>
      <w:r>
        <w:rPr>
          <w:kern w:val="0"/>
        </w:rPr>
        <w:t>0.89 to 0.99 among smear- negative specimens. SROC analyses suggest that overall accuracy</w:t>
      </w:r>
      <w:r w:rsidR="00427468">
        <w:rPr>
          <w:kern w:val="0"/>
        </w:rPr>
        <w:t xml:space="preserve"> of </w:t>
      </w:r>
      <w:r>
        <w:rPr>
          <w:kern w:val="0"/>
        </w:rPr>
        <w:t>phage-based assays is slightly higher than smear microscopy in direct head-to-head comparisons. Conclusion: Phage-based assays have high specificity but lower</w:t>
      </w:r>
      <w:r w:rsidR="005853A9">
        <w:rPr>
          <w:kern w:val="0"/>
        </w:rPr>
        <w:t xml:space="preserve"> and </w:t>
      </w:r>
      <w:r>
        <w:rPr>
          <w:kern w:val="0"/>
        </w:rPr>
        <w:t>variable sensitivity</w:t>
      </w:r>
      <w:r w:rsidR="00A37C1D">
        <w:rPr>
          <w:kern w:val="0"/>
        </w:rPr>
        <w:t>. The</w:t>
      </w:r>
      <w:r>
        <w:rPr>
          <w:kern w:val="0"/>
        </w:rPr>
        <w:t xml:space="preserve">ir performance characteristics are similar to sputum microscopy. Phage assays cannot replace </w:t>
      </w:r>
      <w:r>
        <w:rPr>
          <w:kern w:val="0"/>
        </w:rPr>
        <w:lastRenderedPageBreak/>
        <w:t>conventional diagnostic tests such as microscopy</w:t>
      </w:r>
      <w:r w:rsidR="005853A9">
        <w:rPr>
          <w:kern w:val="0"/>
        </w:rPr>
        <w:t xml:space="preserve"> and </w:t>
      </w:r>
      <w:r>
        <w:rPr>
          <w:kern w:val="0"/>
        </w:rPr>
        <w:t>culture at this time. Further research is required to identify methods that can enhance</w:t>
      </w:r>
      <w:r w:rsidR="003A1917">
        <w:rPr>
          <w:kern w:val="0"/>
        </w:rPr>
        <w:t xml:space="preserve"> the </w:t>
      </w:r>
      <w:r>
        <w:rPr>
          <w:kern w:val="0"/>
        </w:rPr>
        <w:t>sensitivity</w:t>
      </w:r>
      <w:r w:rsidR="00427468">
        <w:rPr>
          <w:kern w:val="0"/>
        </w:rPr>
        <w:t xml:space="preserve"> of </w:t>
      </w:r>
      <w:r>
        <w:rPr>
          <w:kern w:val="0"/>
        </w:rPr>
        <w:t>phage-based assays without compromising</w:t>
      </w:r>
      <w:r w:rsidR="003A1917">
        <w:rPr>
          <w:kern w:val="0"/>
        </w:rPr>
        <w:t xml:space="preserve"> the </w:t>
      </w:r>
      <w:r>
        <w:rPr>
          <w:kern w:val="0"/>
        </w:rPr>
        <w:t>high specificity.</w:t>
      </w:r>
    </w:p>
    <w:p w:rsidR="00A62BD9" w:rsidRDefault="00A62BD9" w:rsidP="00A62BD9">
      <w:pPr>
        <w:pStyle w:val="a3"/>
        <w:rPr>
          <w:kern w:val="0"/>
        </w:rPr>
      </w:pPr>
      <w:r>
        <w:rPr>
          <w:kern w:val="0"/>
        </w:rPr>
        <w:t xml:space="preserve">Keywords: Accuracy, Assay, Authors, Burden, Culture, EMBASE, Fastplaquetb, Meta-Analysis, Methods, Microscopy, Phage, Prevalence, Pulmonary Tuberculosis, Rapid Diagnosis, Research, Review, Science, South-Africa, Sputum, Systematic, Systematic Review, TB, Tools, Tuberculosis, </w:t>
      </w:r>
      <w:r w:rsidR="00D5664A">
        <w:rPr>
          <w:kern w:val="0"/>
        </w:rPr>
        <w:t>Web</w:t>
      </w:r>
      <w:r w:rsidR="00427468">
        <w:rPr>
          <w:kern w:val="0"/>
        </w:rPr>
        <w:t xml:space="preserve"> of </w:t>
      </w:r>
      <w:r w:rsidR="00D5664A">
        <w:rPr>
          <w:kern w:val="0"/>
        </w:rPr>
        <w:t>Science</w:t>
      </w:r>
    </w:p>
    <w:p w:rsidR="00A62BD9" w:rsidRDefault="00A62BD9" w:rsidP="00A62BD9">
      <w:pPr>
        <w:pStyle w:val="a3"/>
        <w:rPr>
          <w:kern w:val="0"/>
        </w:rPr>
      </w:pPr>
      <w:r>
        <w:rPr>
          <w:rFonts w:hint="eastAsia"/>
          <w:kern w:val="0"/>
        </w:rPr>
        <w:t xml:space="preserve">? </w:t>
      </w:r>
      <w:r>
        <w:rPr>
          <w:kern w:val="0"/>
        </w:rPr>
        <w:t>Morgan, M., Kalantri, S., Flores, L.</w:t>
      </w:r>
      <w:r w:rsidR="005853A9">
        <w:rPr>
          <w:kern w:val="0"/>
        </w:rPr>
        <w:t xml:space="preserve"> and </w:t>
      </w:r>
      <w:r>
        <w:rPr>
          <w:kern w:val="0"/>
        </w:rPr>
        <w:t>Pai, M. (2005), A commercial line probe assay for</w:t>
      </w:r>
      <w:r w:rsidR="003A1917">
        <w:rPr>
          <w:kern w:val="0"/>
        </w:rPr>
        <w:t xml:space="preserve"> the </w:t>
      </w:r>
      <w:r>
        <w:rPr>
          <w:kern w:val="0"/>
        </w:rPr>
        <w:t>rapid detection</w:t>
      </w:r>
      <w:r w:rsidR="00427468">
        <w:rPr>
          <w:kern w:val="0"/>
        </w:rPr>
        <w:t xml:space="preserve"> of </w:t>
      </w:r>
      <w:r>
        <w:rPr>
          <w:kern w:val="0"/>
        </w:rPr>
        <w:t>rifampicin resistance in Mycobacterium tuberculosis: A systematic review</w:t>
      </w:r>
      <w:r w:rsidR="005853A9">
        <w:rPr>
          <w:kern w:val="0"/>
        </w:rPr>
        <w:t xml:space="preserve"> and </w:t>
      </w:r>
      <w:r>
        <w:rPr>
          <w:kern w:val="0"/>
        </w:rPr>
        <w:t xml:space="preserve">meta-analysis. </w:t>
      </w:r>
      <w:r>
        <w:rPr>
          <w:i/>
          <w:iCs/>
          <w:kern w:val="0"/>
        </w:rPr>
        <w:t>BMC Infectious Diseases</w:t>
      </w:r>
      <w:r>
        <w:rPr>
          <w:kern w:val="0"/>
        </w:rPr>
        <w:t xml:space="preserve">, </w:t>
      </w:r>
      <w:r>
        <w:rPr>
          <w:b/>
          <w:bCs/>
          <w:kern w:val="0"/>
        </w:rPr>
        <w:t>5</w:t>
      </w:r>
      <w:r>
        <w:rPr>
          <w:rFonts w:hint="eastAsia"/>
          <w:kern w:val="0"/>
        </w:rPr>
        <w:t xml:space="preserve">, </w:t>
      </w:r>
      <w:r>
        <w:t>Article Number: 62</w:t>
      </w:r>
      <w:r>
        <w:rPr>
          <w:rFonts w:hint="eastAsia"/>
        </w:rPr>
        <w:t>.</w:t>
      </w:r>
    </w:p>
    <w:p w:rsidR="00A62BD9" w:rsidRPr="00FC7835" w:rsidRDefault="00A62BD9" w:rsidP="00A62BD9">
      <w:pPr>
        <w:pStyle w:val="a3"/>
        <w:rPr>
          <w:kern w:val="0"/>
        </w:rPr>
      </w:pPr>
      <w:r>
        <w:rPr>
          <w:kern w:val="0"/>
        </w:rPr>
        <w:t>Full Text:</w:t>
      </w:r>
      <w:r w:rsidRPr="00FC7835">
        <w:rPr>
          <w:kern w:val="0"/>
        </w:rPr>
        <w:t xml:space="preserve"> </w:t>
      </w:r>
      <w:hyperlink r:id="rId1603" w:history="1">
        <w:r w:rsidRPr="004C6014">
          <w:rPr>
            <w:rStyle w:val="a5"/>
            <w:kern w:val="0"/>
          </w:rPr>
          <w:t>2005\BMC Inf Dis5, 62.pdf</w:t>
        </w:r>
      </w:hyperlink>
    </w:p>
    <w:p w:rsidR="00A62BD9" w:rsidRDefault="00A62BD9" w:rsidP="00A62BD9">
      <w:pPr>
        <w:pStyle w:val="a3"/>
        <w:rPr>
          <w:kern w:val="0"/>
        </w:rPr>
      </w:pPr>
      <w:r>
        <w:rPr>
          <w:kern w:val="0"/>
        </w:rPr>
        <w:t>Abstract: Background: Mycobacterium tuberculosis is a leading cause</w:t>
      </w:r>
      <w:r w:rsidR="00427468">
        <w:rPr>
          <w:kern w:val="0"/>
        </w:rPr>
        <w:t xml:space="preserve"> of </w:t>
      </w:r>
      <w:r>
        <w:rPr>
          <w:kern w:val="0"/>
        </w:rPr>
        <w:t>death worldwide. In multi-drug resistant tuberculosis (MDR-TB) infectiousness is frequently prolonged, jeopardizing efforts to control TB</w:t>
      </w:r>
      <w:r w:rsidR="00A37C1D">
        <w:rPr>
          <w:kern w:val="0"/>
        </w:rPr>
        <w:t>. The</w:t>
      </w:r>
      <w:r w:rsidR="003A1917">
        <w:rPr>
          <w:kern w:val="0"/>
        </w:rPr>
        <w:t xml:space="preserve"> </w:t>
      </w:r>
      <w:r>
        <w:rPr>
          <w:kern w:val="0"/>
        </w:rPr>
        <w:t>conventional tuberculosis drug susceptibility tests are sensitive</w:t>
      </w:r>
      <w:r w:rsidR="005853A9">
        <w:rPr>
          <w:kern w:val="0"/>
        </w:rPr>
        <w:t xml:space="preserve"> and </w:t>
      </w:r>
      <w:r>
        <w:rPr>
          <w:kern w:val="0"/>
        </w:rPr>
        <w:t>specific, but they are not rapid</w:t>
      </w:r>
      <w:r w:rsidR="00A37C1D">
        <w:rPr>
          <w:kern w:val="0"/>
        </w:rPr>
        <w:t>. The</w:t>
      </w:r>
      <w:r w:rsidR="003A1917">
        <w:rPr>
          <w:kern w:val="0"/>
        </w:rPr>
        <w:t xml:space="preserve"> </w:t>
      </w:r>
      <w:r>
        <w:rPr>
          <w:kern w:val="0"/>
        </w:rPr>
        <w:t>INNO-LiPA Rif. TB(R) (LiPA) is a commercial line probe assay designed to rapidly detect rifampicin resistance, a marker</w:t>
      </w:r>
      <w:r w:rsidR="00427468">
        <w:rPr>
          <w:kern w:val="0"/>
        </w:rPr>
        <w:t xml:space="preserve"> of </w:t>
      </w:r>
      <w:r>
        <w:rPr>
          <w:kern w:val="0"/>
        </w:rPr>
        <w:t>MDR-TB. Although LiPA has shown promising results, its overall accuracy has not been systematically evaluated. Methods: We did a systematic review</w:t>
      </w:r>
      <w:r w:rsidR="005853A9">
        <w:rPr>
          <w:kern w:val="0"/>
        </w:rPr>
        <w:t xml:space="preserve"> and </w:t>
      </w:r>
      <w:r>
        <w:rPr>
          <w:kern w:val="0"/>
        </w:rPr>
        <w:t>meta-analysis to evaluate</w:t>
      </w:r>
      <w:r w:rsidR="003A1917">
        <w:rPr>
          <w:kern w:val="0"/>
        </w:rPr>
        <w:t xml:space="preserve"> the </w:t>
      </w:r>
      <w:r>
        <w:rPr>
          <w:kern w:val="0"/>
        </w:rPr>
        <w:t>accuracy</w:t>
      </w:r>
      <w:r w:rsidR="00427468">
        <w:rPr>
          <w:kern w:val="0"/>
        </w:rPr>
        <w:t xml:space="preserve"> of </w:t>
      </w:r>
      <w:r>
        <w:rPr>
          <w:kern w:val="0"/>
        </w:rPr>
        <w:t>LiPA for</w:t>
      </w:r>
      <w:r w:rsidR="003A1917">
        <w:rPr>
          <w:kern w:val="0"/>
        </w:rPr>
        <w:t xml:space="preserve"> the </w:t>
      </w:r>
      <w:r>
        <w:rPr>
          <w:kern w:val="0"/>
        </w:rPr>
        <w:t>detection</w:t>
      </w:r>
      <w:r w:rsidR="00427468">
        <w:rPr>
          <w:kern w:val="0"/>
        </w:rPr>
        <w:t xml:space="preserve"> of </w:t>
      </w:r>
      <w:r>
        <w:rPr>
          <w:kern w:val="0"/>
        </w:rPr>
        <w:t>rifampicin-resistant tuberculosis among culture isolates</w:t>
      </w:r>
      <w:r w:rsidR="005853A9">
        <w:rPr>
          <w:kern w:val="0"/>
        </w:rPr>
        <w:t xml:space="preserve"> and </w:t>
      </w:r>
      <w:r>
        <w:rPr>
          <w:kern w:val="0"/>
        </w:rPr>
        <w:t xml:space="preserve">clinical specimens. We searched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Pr>
          <w:kern w:val="0"/>
        </w:rPr>
        <w:t>, BIOSIS,</w:t>
      </w:r>
      <w:r w:rsidR="005853A9">
        <w:rPr>
          <w:kern w:val="0"/>
        </w:rPr>
        <w:t xml:space="preserve"> and </w:t>
      </w:r>
      <w:r>
        <w:rPr>
          <w:kern w:val="0"/>
        </w:rPr>
        <w:t>Google Scholar,</w:t>
      </w:r>
      <w:r w:rsidR="005853A9">
        <w:rPr>
          <w:kern w:val="0"/>
        </w:rPr>
        <w:t xml:space="preserve"> and </w:t>
      </w:r>
      <w:r>
        <w:rPr>
          <w:kern w:val="0"/>
        </w:rPr>
        <w:t>contacted authors, experts</w:t>
      </w:r>
      <w:r w:rsidR="005853A9">
        <w:rPr>
          <w:kern w:val="0"/>
        </w:rPr>
        <w:t xml:space="preserve"> and </w:t>
      </w:r>
      <w:r w:rsidR="003A1917">
        <w:rPr>
          <w:kern w:val="0"/>
        </w:rPr>
        <w:t xml:space="preserve">the </w:t>
      </w:r>
      <w:r>
        <w:rPr>
          <w:kern w:val="0"/>
        </w:rPr>
        <w:t>manufacturer. Fifteen studies met our inclusion criteria.</w:t>
      </w:r>
      <w:r w:rsidR="00427468">
        <w:rPr>
          <w:kern w:val="0"/>
        </w:rPr>
        <w:t xml:space="preserve"> of </w:t>
      </w:r>
      <w:r>
        <w:rPr>
          <w:kern w:val="0"/>
        </w:rPr>
        <w:t>these, 11 studies used culture isolates, one used clinical specimens,</w:t>
      </w:r>
      <w:r w:rsidR="005853A9">
        <w:rPr>
          <w:kern w:val="0"/>
        </w:rPr>
        <w:t xml:space="preserve"> and </w:t>
      </w:r>
      <w:r>
        <w:rPr>
          <w:kern w:val="0"/>
        </w:rPr>
        <w:t>three used both. We used a summary receiver operating characteristic (SROC) curve</w:t>
      </w:r>
      <w:r w:rsidR="005853A9">
        <w:rPr>
          <w:kern w:val="0"/>
        </w:rPr>
        <w:t xml:space="preserve"> and </w:t>
      </w:r>
      <w:r>
        <w:rPr>
          <w:kern w:val="0"/>
        </w:rPr>
        <w:t>Q* index to perform meta-analysis</w:t>
      </w:r>
      <w:r w:rsidR="005853A9">
        <w:rPr>
          <w:kern w:val="0"/>
        </w:rPr>
        <w:t xml:space="preserve"> and </w:t>
      </w:r>
      <w:r>
        <w:rPr>
          <w:kern w:val="0"/>
        </w:rPr>
        <w:t>summarize diagnostic accuracy. Results: Twelve</w:t>
      </w:r>
      <w:r w:rsidR="00427468">
        <w:rPr>
          <w:kern w:val="0"/>
        </w:rPr>
        <w:t xml:space="preserve"> of </w:t>
      </w:r>
      <w:r>
        <w:rPr>
          <w:kern w:val="0"/>
        </w:rPr>
        <w:t>14 studies that applied LiPA to isolates had sensitivity greater than 95%,</w:t>
      </w:r>
      <w:r w:rsidR="005853A9">
        <w:rPr>
          <w:kern w:val="0"/>
        </w:rPr>
        <w:t xml:space="preserve"> and </w:t>
      </w:r>
      <w:r>
        <w:rPr>
          <w:kern w:val="0"/>
        </w:rPr>
        <w:t>12</w:t>
      </w:r>
      <w:r w:rsidR="00427468">
        <w:rPr>
          <w:kern w:val="0"/>
        </w:rPr>
        <w:t xml:space="preserve"> of </w:t>
      </w:r>
      <w:r>
        <w:rPr>
          <w:kern w:val="0"/>
        </w:rPr>
        <w:t>14 had specificity</w:t>
      </w:r>
      <w:r w:rsidR="00427468">
        <w:rPr>
          <w:kern w:val="0"/>
        </w:rPr>
        <w:t xml:space="preserve"> of </w:t>
      </w:r>
      <w:r>
        <w:rPr>
          <w:kern w:val="0"/>
        </w:rPr>
        <w:t>100%</w:t>
      </w:r>
      <w:r w:rsidR="00A37C1D">
        <w:rPr>
          <w:kern w:val="0"/>
        </w:rPr>
        <w:t>. The</w:t>
      </w:r>
      <w:r w:rsidR="003A1917">
        <w:rPr>
          <w:kern w:val="0"/>
        </w:rPr>
        <w:t xml:space="preserve"> </w:t>
      </w:r>
      <w:r>
        <w:rPr>
          <w:kern w:val="0"/>
        </w:rPr>
        <w:t>four studies that applied LiPA directly to clinical specimens had 100% specificity,</w:t>
      </w:r>
      <w:r w:rsidR="005853A9">
        <w:rPr>
          <w:kern w:val="0"/>
        </w:rPr>
        <w:t xml:space="preserve"> and </w:t>
      </w:r>
      <w:r>
        <w:rPr>
          <w:kern w:val="0"/>
        </w:rPr>
        <w:t>sensitivity that ranged between 80%</w:t>
      </w:r>
      <w:r w:rsidR="005853A9">
        <w:rPr>
          <w:kern w:val="0"/>
        </w:rPr>
        <w:t xml:space="preserve"> and </w:t>
      </w:r>
      <w:r>
        <w:rPr>
          <w:kern w:val="0"/>
        </w:rPr>
        <w:t>100%</w:t>
      </w:r>
      <w:r w:rsidR="00A37C1D">
        <w:rPr>
          <w:kern w:val="0"/>
        </w:rPr>
        <w:t>. The</w:t>
      </w:r>
      <w:r w:rsidR="003A1917">
        <w:rPr>
          <w:kern w:val="0"/>
        </w:rPr>
        <w:t xml:space="preserve"> </w:t>
      </w:r>
      <w:r>
        <w:rPr>
          <w:kern w:val="0"/>
        </w:rPr>
        <w:t>SROC curve had an area</w:t>
      </w:r>
      <w:r w:rsidR="00427468">
        <w:rPr>
          <w:kern w:val="0"/>
        </w:rPr>
        <w:t xml:space="preserve"> of </w:t>
      </w:r>
      <w:r>
        <w:rPr>
          <w:kern w:val="0"/>
        </w:rPr>
        <w:t>0.99</w:t>
      </w:r>
      <w:r w:rsidR="005853A9">
        <w:rPr>
          <w:kern w:val="0"/>
        </w:rPr>
        <w:t xml:space="preserve"> and </w:t>
      </w:r>
      <w:r>
        <w:rPr>
          <w:kern w:val="0"/>
        </w:rPr>
        <w:t>Q*</w:t>
      </w:r>
      <w:r w:rsidR="00427468">
        <w:rPr>
          <w:kern w:val="0"/>
        </w:rPr>
        <w:t xml:space="preserve"> of </w:t>
      </w:r>
      <w:r>
        <w:rPr>
          <w:kern w:val="0"/>
        </w:rPr>
        <w:t>0.97. Conclusion: LiPA is a highly sensitive</w:t>
      </w:r>
      <w:r w:rsidR="005853A9">
        <w:rPr>
          <w:kern w:val="0"/>
        </w:rPr>
        <w:t xml:space="preserve"> and </w:t>
      </w:r>
      <w:r>
        <w:rPr>
          <w:kern w:val="0"/>
        </w:rPr>
        <w:t>specific test for</w:t>
      </w:r>
      <w:r w:rsidR="003A1917">
        <w:rPr>
          <w:kern w:val="0"/>
        </w:rPr>
        <w:t xml:space="preserve"> the </w:t>
      </w:r>
      <w:r>
        <w:rPr>
          <w:kern w:val="0"/>
        </w:rPr>
        <w:t>detection</w:t>
      </w:r>
      <w:r w:rsidR="00427468">
        <w:rPr>
          <w:kern w:val="0"/>
        </w:rPr>
        <w:t xml:space="preserve"> of </w:t>
      </w:r>
      <w:r>
        <w:rPr>
          <w:kern w:val="0"/>
        </w:rPr>
        <w:t>rifampicin resistance in culture isolates</w:t>
      </w:r>
      <w:r w:rsidR="00A37C1D">
        <w:rPr>
          <w:kern w:val="0"/>
        </w:rPr>
        <w:t>. The</w:t>
      </w:r>
      <w:r w:rsidR="003A1917">
        <w:rPr>
          <w:kern w:val="0"/>
        </w:rPr>
        <w:t xml:space="preserve"> </w:t>
      </w:r>
      <w:r>
        <w:rPr>
          <w:kern w:val="0"/>
        </w:rPr>
        <w:t>test appears to have relatively lower sensitivity when used directly on clinical specimens. More evidence is needed before LiPA can be used to detect MDR-TB among populations at risk in clinical practice.</w:t>
      </w:r>
    </w:p>
    <w:p w:rsidR="00A62BD9" w:rsidRDefault="00A62BD9" w:rsidP="00A62BD9">
      <w:pPr>
        <w:pStyle w:val="a3"/>
        <w:rPr>
          <w:kern w:val="0"/>
        </w:rPr>
      </w:pPr>
      <w:r>
        <w:rPr>
          <w:kern w:val="0"/>
        </w:rPr>
        <w:t xml:space="preserve">Keywords: Accuracy, Authors, Complex, Control, Countries, Culture, Curve, Diagnostic-Test, Drug, Gene, Google Scholar, Hybridization Assay, Lipa, Mdr-Tb, Meta-Analysis, Methods, Practice, Resistance, Review, Risk, Rpob Mutations, Science, Specimens, Susceptibility, Systematic, Systematic Review, TB, Tuberculosis,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lastRenderedPageBreak/>
        <w:t xml:space="preserve">Notes: </w:t>
      </w:r>
      <w:r w:rsidR="00904730" w:rsidRPr="001A3D2B">
        <w:t>FField</w:t>
      </w:r>
    </w:p>
    <w:p w:rsidR="003474F2" w:rsidRPr="001A3D2B" w:rsidRDefault="003474F2" w:rsidP="003474F2">
      <w:pPr>
        <w:pStyle w:val="a3"/>
      </w:pPr>
      <w:smartTag w:uri="urn:schemas-microsoft-com:office:smarttags" w:element="place">
        <w:smartTag w:uri="urn:schemas-microsoft-com:office:smarttags" w:element="City">
          <w:r w:rsidRPr="001A3D2B">
            <w:t>Falagas</w:t>
          </w:r>
        </w:smartTag>
        <w:r w:rsidRPr="001A3D2B">
          <w:t xml:space="preserve">, </w:t>
        </w:r>
        <w:smartTag w:uri="urn:schemas-microsoft-com:office:smarttags" w:element="State">
          <w:r w:rsidRPr="001A3D2B">
            <w:t>M.E.</w:t>
          </w:r>
        </w:smartTag>
      </w:smartTag>
      <w:r w:rsidRPr="001A3D2B">
        <w:t>, Papastamataki, P.A.</w:t>
      </w:r>
      <w:r w:rsidR="005853A9">
        <w:t xml:space="preserve"> and </w:t>
      </w:r>
      <w:r w:rsidRPr="001A3D2B">
        <w:t>Bliziotis, I.A. (2006), A bibliometric analysis</w:t>
      </w:r>
      <w:r w:rsidR="00427468">
        <w:t xml:space="preserve"> of </w:t>
      </w:r>
      <w:r w:rsidRPr="001A3D2B">
        <w:t xml:space="preserve">research productivity in Parasitology by different world regions during a 9-year period (1995-2003). </w:t>
      </w:r>
      <w:r w:rsidRPr="001A3D2B">
        <w:rPr>
          <w:i/>
          <w:iCs/>
        </w:rPr>
        <w:t>BMC Infectious Diseases</w:t>
      </w:r>
      <w:r w:rsidRPr="001A3D2B">
        <w:t xml:space="preserve">, </w:t>
      </w:r>
      <w:r w:rsidRPr="001A3D2B">
        <w:rPr>
          <w:b/>
          <w:bCs/>
        </w:rPr>
        <w:t>6</w:t>
      </w:r>
      <w:r w:rsidRPr="001A3D2B">
        <w:t xml:space="preserve"> (56), 1-6.</w:t>
      </w:r>
    </w:p>
    <w:p w:rsidR="003474F2" w:rsidRPr="001A3D2B" w:rsidRDefault="003474F2" w:rsidP="003474F2">
      <w:pPr>
        <w:pStyle w:val="a3"/>
      </w:pPr>
      <w:r w:rsidRPr="001A3D2B">
        <w:t xml:space="preserve">Full Text: </w:t>
      </w:r>
      <w:hyperlink r:id="rId1604" w:history="1">
        <w:r w:rsidRPr="001A3D2B">
          <w:rPr>
            <w:rStyle w:val="a5"/>
          </w:rPr>
          <w:t>2006\BMC Inf Dis6, 1.pdf</w:t>
        </w:r>
      </w:hyperlink>
    </w:p>
    <w:p w:rsidR="003474F2" w:rsidRPr="001A3D2B" w:rsidRDefault="003474F2" w:rsidP="003474F2">
      <w:pPr>
        <w:pStyle w:val="a3"/>
      </w:pPr>
      <w:r w:rsidRPr="001A3D2B">
        <w:t>Abstract: Background:</w:t>
      </w:r>
      <w:r w:rsidR="003A1917">
        <w:t xml:space="preserve"> the </w:t>
      </w:r>
      <w:r w:rsidRPr="001A3D2B">
        <w:t>objective</w:t>
      </w:r>
      <w:r w:rsidR="00427468">
        <w:t xml:space="preserve"> of </w:t>
      </w:r>
      <w:r w:rsidRPr="001A3D2B">
        <w:t>this study was to estimate</w:t>
      </w:r>
      <w:r w:rsidR="003A1917">
        <w:t xml:space="preserve"> the </w:t>
      </w:r>
      <w:r w:rsidRPr="001A3D2B">
        <w:t>research productivity</w:t>
      </w:r>
      <w:r w:rsidR="00427468">
        <w:t xml:space="preserve"> of </w:t>
      </w:r>
      <w:r w:rsidRPr="001A3D2B">
        <w:t>different world regions in</w:t>
      </w:r>
      <w:r w:rsidR="003A1917">
        <w:t xml:space="preserve"> the </w:t>
      </w:r>
      <w:r w:rsidRPr="001A3D2B">
        <w:t>field</w:t>
      </w:r>
      <w:r w:rsidR="00427468">
        <w:t xml:space="preserve"> of </w:t>
      </w:r>
      <w:r w:rsidRPr="001A3D2B">
        <w:t>Parasitology. Methods: Using</w:t>
      </w:r>
      <w:r w:rsidR="003A1917">
        <w:t xml:space="preserve"> the </w:t>
      </w:r>
      <w:r w:rsidR="002C12F0">
        <w:t>PUBMED</w:t>
      </w:r>
      <w:r w:rsidRPr="001A3D2B">
        <w:t xml:space="preserve"> database we retrieved articles from journals included in</w:t>
      </w:r>
      <w:r w:rsidR="003A1917">
        <w:t xml:space="preserve"> the </w:t>
      </w:r>
      <w:r w:rsidR="00700038">
        <w:t>‘</w:t>
      </w:r>
      <w:r w:rsidRPr="001A3D2B">
        <w:t>Parasitology</w:t>
      </w:r>
      <w:r w:rsidR="00700038">
        <w:t>’</w:t>
      </w:r>
      <w:r w:rsidRPr="001A3D2B">
        <w:t xml:space="preserve"> category</w:t>
      </w:r>
      <w:r w:rsidR="00427468">
        <w:t xml:space="preserve"> of </w:t>
      </w:r>
      <w:r w:rsidR="003A1917">
        <w:t xml:space="preserve">the </w:t>
      </w:r>
      <w:r w:rsidR="00700038">
        <w:t>‘</w:t>
      </w:r>
      <w:r w:rsidRPr="001A3D2B">
        <w:t>Journal Citation Reports</w:t>
      </w:r>
      <w:r w:rsidR="00700038">
        <w:t>’</w:t>
      </w:r>
      <w:r w:rsidRPr="001A3D2B">
        <w:t xml:space="preserve"> database</w:t>
      </w:r>
      <w:r w:rsidR="00427468">
        <w:t xml:space="preserve"> of </w:t>
      </w:r>
      <w:r w:rsidR="003A1917">
        <w:t xml:space="preserve">the </w:t>
      </w:r>
      <w:r w:rsidRPr="001A3D2B">
        <w:t>Institute for Scientific Information for</w:t>
      </w:r>
      <w:r w:rsidR="003A1917">
        <w:t xml:space="preserve"> the </w:t>
      </w:r>
      <w:r w:rsidRPr="001A3D2B">
        <w:t>period 1995 - 2003. Research productivity was evaluated based on a methodology we developed</w:t>
      </w:r>
      <w:r w:rsidR="005853A9">
        <w:t xml:space="preserve"> and </w:t>
      </w:r>
      <w:r w:rsidRPr="001A3D2B">
        <w:t>used in other bibliometric studies by analysing: (1)</w:t>
      </w:r>
      <w:r w:rsidR="003A1917">
        <w:t xml:space="preserve"> the </w:t>
      </w:r>
      <w:r w:rsidRPr="001A3D2B">
        <w:t>total number</w:t>
      </w:r>
      <w:r w:rsidR="00427468">
        <w:t xml:space="preserve"> of </w:t>
      </w:r>
      <w:r w:rsidRPr="001A3D2B">
        <w:t>publications, (2)</w:t>
      </w:r>
      <w:r w:rsidR="003A1917">
        <w:t xml:space="preserve"> the </w:t>
      </w:r>
      <w:r w:rsidRPr="001A3D2B">
        <w:t>mean impact factor</w:t>
      </w:r>
      <w:r w:rsidR="00427468">
        <w:t xml:space="preserve"> of </w:t>
      </w:r>
      <w:r w:rsidRPr="001A3D2B">
        <w:t>all papers,</w:t>
      </w:r>
      <w:r w:rsidR="005853A9">
        <w:t xml:space="preserve"> and </w:t>
      </w:r>
      <w:r w:rsidRPr="001A3D2B">
        <w:t>(3)</w:t>
      </w:r>
      <w:r w:rsidR="003A1917">
        <w:t xml:space="preserve"> the </w:t>
      </w:r>
      <w:r w:rsidRPr="001A3D2B">
        <w:t>product</w:t>
      </w:r>
      <w:r w:rsidR="00427468">
        <w:t xml:space="preserve"> of </w:t>
      </w:r>
      <w:r w:rsidR="003A1917">
        <w:t xml:space="preserve">the </w:t>
      </w:r>
      <w:r w:rsidRPr="001A3D2B">
        <w:t>above two parameters, (4)</w:t>
      </w:r>
      <w:r w:rsidR="003A1917">
        <w:t xml:space="preserve"> the </w:t>
      </w:r>
      <w:r w:rsidRPr="001A3D2B">
        <w:t>research productivity in relation to gross domestic product</w:t>
      </w:r>
      <w:r w:rsidR="00427468">
        <w:t xml:space="preserve"> of </w:t>
      </w:r>
      <w:r w:rsidRPr="001A3D2B">
        <w:t>each region,</w:t>
      </w:r>
      <w:r w:rsidR="005853A9">
        <w:t xml:space="preserve"> and </w:t>
      </w:r>
      <w:r w:rsidRPr="001A3D2B">
        <w:t>(5)</w:t>
      </w:r>
      <w:r w:rsidR="003A1917">
        <w:t xml:space="preserve"> the </w:t>
      </w:r>
      <w:r w:rsidRPr="001A3D2B">
        <w:t>research productivity in relation to gross national income per capita</w:t>
      </w:r>
      <w:r w:rsidR="005853A9">
        <w:t xml:space="preserve"> and </w:t>
      </w:r>
      <w:r w:rsidRPr="001A3D2B">
        <w:t>population</w:t>
      </w:r>
      <w:r w:rsidR="00427468">
        <w:t xml:space="preserve"> of </w:t>
      </w:r>
      <w:r w:rsidRPr="001A3D2B">
        <w:t>each region. Results: Data on</w:t>
      </w:r>
      <w:r w:rsidR="003A1917">
        <w:t xml:space="preserve"> the </w:t>
      </w:r>
      <w:r w:rsidRPr="001A3D2B">
        <w:t>country</w:t>
      </w:r>
      <w:r w:rsidR="00427468">
        <w:t xml:space="preserve"> of </w:t>
      </w:r>
      <w:r w:rsidRPr="001A3D2B">
        <w:t>origin</w:t>
      </w:r>
      <w:r w:rsidR="00427468">
        <w:t xml:space="preserve"> of </w:t>
      </w:r>
      <w:r w:rsidR="003A1917">
        <w:t xml:space="preserve">the </w:t>
      </w:r>
      <w:r w:rsidRPr="001A3D2B">
        <w:t>research was available for 18,110 out</w:t>
      </w:r>
      <w:r w:rsidR="00427468">
        <w:t xml:space="preserve"> of </w:t>
      </w:r>
      <w:r w:rsidRPr="001A3D2B">
        <w:t>18,377 articles (98.6%</w:t>
      </w:r>
      <w:r w:rsidR="00427468">
        <w:t xml:space="preserve"> of </w:t>
      </w:r>
      <w:r w:rsidRPr="001A3D2B">
        <w:t>all articles from</w:t>
      </w:r>
      <w:r w:rsidR="003A1917">
        <w:t xml:space="preserve"> the </w:t>
      </w:r>
      <w:r w:rsidRPr="001A3D2B">
        <w:t>included journals). Western Europe exceeds all world regions in research production for</w:t>
      </w:r>
      <w:r w:rsidR="003A1917">
        <w:t xml:space="preserve"> the </w:t>
      </w:r>
      <w:r w:rsidRPr="001A3D2B">
        <w:t>period studied (34.8%</w:t>
      </w:r>
      <w:r w:rsidR="00427468">
        <w:t xml:space="preserve"> of </w:t>
      </w:r>
      <w:r w:rsidRPr="001A3D2B">
        <w:t xml:space="preserve">total articles), with </w:t>
      </w:r>
      <w:r w:rsidR="00D5664A">
        <w:t>USA</w:t>
      </w:r>
      <w:r w:rsidRPr="001A3D2B">
        <w:t xml:space="preserve"> ranking second (19.9%),</w:t>
      </w:r>
      <w:r w:rsidR="005853A9">
        <w:t xml:space="preserve"> and </w:t>
      </w:r>
      <w:r w:rsidRPr="001A3D2B">
        <w:t>Latin America &amp;</w:t>
      </w:r>
      <w:r w:rsidR="003A1917">
        <w:t xml:space="preserve"> the </w:t>
      </w:r>
      <w:r w:rsidRPr="001A3D2B">
        <w:t>Caribbean ranking third (17.2%)</w:t>
      </w:r>
      <w:r w:rsidR="00A37C1D">
        <w:t>. The</w:t>
      </w:r>
      <w:r w:rsidR="003A1917">
        <w:t xml:space="preserve"> </w:t>
      </w:r>
      <w:r w:rsidRPr="001A3D2B">
        <w:t>mean impact factor in articles published in Parasitology journals was highest for</w:t>
      </w:r>
      <w:r w:rsidR="003A1917">
        <w:t xml:space="preserve"> the </w:t>
      </w:r>
      <w:r w:rsidR="00D5664A">
        <w:t>USA</w:t>
      </w:r>
      <w:r w:rsidRPr="001A3D2B">
        <w:t xml:space="preserve"> (1.88). </w:t>
      </w:r>
      <w:smartTag w:uri="urn:schemas-microsoft-com:office:smarttags" w:element="place">
        <w:r w:rsidRPr="001A3D2B">
          <w:t>Oceania</w:t>
        </w:r>
      </w:smartTag>
      <w:r w:rsidRPr="001A3D2B">
        <w:t xml:space="preserve"> ranked first in research productivity when adjustments for both</w:t>
      </w:r>
      <w:r w:rsidR="003A1917">
        <w:t xml:space="preserve"> the </w:t>
      </w:r>
      <w:r w:rsidRPr="001A3D2B">
        <w:t>gross national income per capita (GNIPC)</w:t>
      </w:r>
      <w:r w:rsidR="005853A9">
        <w:t xml:space="preserve"> and </w:t>
      </w:r>
      <w:r w:rsidRPr="001A3D2B">
        <w:t xml:space="preserve">population were made. </w:t>
      </w:r>
      <w:smartTag w:uri="urn:schemas-microsoft-com:office:smarttags" w:element="place">
        <w:r w:rsidRPr="001A3D2B">
          <w:t>Eastern Europe</w:t>
        </w:r>
      </w:smartTag>
      <w:r w:rsidRPr="001A3D2B">
        <w:t xml:space="preserve"> almost tripled</w:t>
      </w:r>
      <w:r w:rsidR="003A1917">
        <w:t xml:space="preserve"> the </w:t>
      </w:r>
      <w:r w:rsidRPr="001A3D2B">
        <w:t>production</w:t>
      </w:r>
      <w:r w:rsidR="00427468">
        <w:t xml:space="preserve"> of </w:t>
      </w:r>
      <w:r w:rsidRPr="001A3D2B">
        <w:t>articles from only 1.9%</w:t>
      </w:r>
      <w:r w:rsidR="00427468">
        <w:t xml:space="preserve"> of </w:t>
      </w:r>
      <w:r w:rsidRPr="001A3D2B">
        <w:t>total production in 1995 to 4.3% in 2003. Similarly, Latin America</w:t>
      </w:r>
      <w:r w:rsidR="005853A9">
        <w:t xml:space="preserve"> and </w:t>
      </w:r>
      <w:r w:rsidR="003A1917">
        <w:t xml:space="preserve">the </w:t>
      </w:r>
      <w:r w:rsidRPr="001A3D2B">
        <w:t>Caribbean</w:t>
      </w:r>
      <w:r w:rsidR="005853A9">
        <w:t xml:space="preserve"> and </w:t>
      </w:r>
      <w:r w:rsidRPr="001A3D2B">
        <w:t>Asia doubled their production. However,</w:t>
      </w:r>
      <w:r w:rsidR="003A1917">
        <w:t xml:space="preserve"> the </w:t>
      </w:r>
      <w:r w:rsidRPr="001A3D2B">
        <w:t>absolute</w:t>
      </w:r>
      <w:r w:rsidR="005853A9">
        <w:t xml:space="preserve"> and </w:t>
      </w:r>
      <w:r w:rsidRPr="001A3D2B">
        <w:t xml:space="preserve">relative production by some developing areas, including </w:t>
      </w:r>
      <w:smartTag w:uri="urn:schemas-microsoft-com:office:smarttags" w:element="place">
        <w:r w:rsidRPr="001A3D2B">
          <w:t>Africa</w:t>
        </w:r>
      </w:smartTag>
      <w:r w:rsidRPr="001A3D2B">
        <w:t>, is still very low, despite</w:t>
      </w:r>
      <w:r w:rsidR="003A1917">
        <w:t xml:space="preserve"> the </w:t>
      </w:r>
      <w:r w:rsidRPr="001A3D2B">
        <w:t>fact that parasitic diseases are major public health problems in these areas. Conclusion: Our data suggest that more help should be provided by</w:t>
      </w:r>
      <w:r w:rsidR="003A1917">
        <w:t xml:space="preserve"> the </w:t>
      </w:r>
      <w:r w:rsidRPr="001A3D2B">
        <w:t>developed nations to developing areas for improvement</w:t>
      </w:r>
      <w:r w:rsidR="00427468">
        <w:t xml:space="preserve"> of </w:t>
      </w:r>
      <w:r w:rsidR="003A1917">
        <w:t xml:space="preserve">the </w:t>
      </w:r>
      <w:r w:rsidRPr="001A3D2B">
        <w:t>infrastructure</w:t>
      </w:r>
      <w:r w:rsidR="00427468">
        <w:t xml:space="preserve"> of </w:t>
      </w:r>
      <w:r w:rsidRPr="001A3D2B">
        <w:t>research.</w:t>
      </w:r>
    </w:p>
    <w:p w:rsidR="003474F2" w:rsidRPr="001A3D2B" w:rsidRDefault="003474F2" w:rsidP="003474F2">
      <w:pPr>
        <w:pStyle w:val="a3"/>
      </w:pPr>
      <w:r w:rsidRPr="001A3D2B">
        <w:t>Keywords: Africa, Analysis, Asia, Bibliometric, Bibliometric Analysis, Bibliometric Studies, Country, Country</w:t>
      </w:r>
      <w:r w:rsidR="00427468">
        <w:t xml:space="preserve"> of </w:t>
      </w:r>
      <w:r w:rsidRPr="001A3D2B">
        <w:t xml:space="preserve">Origin, Data, Database, Developing, Diseases, Eastern Europe, Europe, Field, First, Gross Domestic Product, Gross National Income, Health, Impact, Impact Factor, Improvement, Infrastructure, Institute for Scientific Information, Journals, Latin America, Methodology, Nations, Origin, Papers, Population, Productivity, Public, Public Health, Publications, </w:t>
      </w:r>
      <w:r w:rsidR="002C12F0">
        <w:t>PUBMED</w:t>
      </w:r>
      <w:r w:rsidRPr="001A3D2B">
        <w:t xml:space="preserve">, Ranking, Research, Research Productivity, </w:t>
      </w:r>
      <w:r w:rsidR="00D5664A">
        <w:t>USA</w:t>
      </w:r>
      <w:r w:rsidRPr="001A3D2B">
        <w:t>, World</w:t>
      </w:r>
    </w:p>
    <w:p w:rsidR="00694E67" w:rsidRDefault="00694E67" w:rsidP="003474F2">
      <w:pPr>
        <w:pStyle w:val="a3"/>
      </w:pPr>
      <w:r>
        <w:rPr>
          <w:rFonts w:hint="eastAsia"/>
        </w:rPr>
        <w:t>Notes: CCountry</w:t>
      </w:r>
    </w:p>
    <w:p w:rsidR="003474F2" w:rsidRPr="001A3D2B" w:rsidRDefault="003474F2" w:rsidP="003474F2">
      <w:pPr>
        <w:pStyle w:val="a3"/>
      </w:pPr>
      <w:r w:rsidRPr="001A3D2B">
        <w:t xml:space="preserve">? Uthman, O.A. (2008), HIV/AIDS in Nigeria: A bibliometric analysis. </w:t>
      </w:r>
      <w:r w:rsidRPr="001A3D2B">
        <w:rPr>
          <w:i/>
          <w:iCs/>
        </w:rPr>
        <w:t xml:space="preserve">BMC Infectious </w:t>
      </w:r>
      <w:r w:rsidRPr="001A3D2B">
        <w:rPr>
          <w:i/>
          <w:iCs/>
        </w:rPr>
        <w:lastRenderedPageBreak/>
        <w:t>Diseases</w:t>
      </w:r>
      <w:r w:rsidRPr="001A3D2B">
        <w:t xml:space="preserve">, </w:t>
      </w:r>
      <w:r w:rsidRPr="001A3D2B">
        <w:rPr>
          <w:b/>
          <w:bCs/>
        </w:rPr>
        <w:t>8</w:t>
      </w:r>
      <w:r w:rsidRPr="001A3D2B">
        <w:t>, 19.</w:t>
      </w:r>
    </w:p>
    <w:p w:rsidR="003474F2" w:rsidRPr="001A3D2B" w:rsidRDefault="003474F2" w:rsidP="003474F2">
      <w:pPr>
        <w:pStyle w:val="a3"/>
      </w:pPr>
      <w:r w:rsidRPr="001A3D2B">
        <w:t xml:space="preserve">Full Text: </w:t>
      </w:r>
      <w:hyperlink r:id="rId1605" w:history="1">
        <w:r w:rsidRPr="001A3D2B">
          <w:rPr>
            <w:rStyle w:val="a5"/>
          </w:rPr>
          <w:t>2008\BMC Inf Dis8, 19.pdf</w:t>
        </w:r>
      </w:hyperlink>
    </w:p>
    <w:p w:rsidR="003474F2" w:rsidRPr="001A3D2B" w:rsidRDefault="003474F2" w:rsidP="003474F2">
      <w:pPr>
        <w:pStyle w:val="a3"/>
      </w:pPr>
      <w:r w:rsidRPr="001A3D2B">
        <w:t>Abstract: BACKGROUND: Nigeria is home to more people living with HIV than any other country in</w:t>
      </w:r>
      <w:r w:rsidR="003A1917">
        <w:t xml:space="preserve"> the </w:t>
      </w:r>
      <w:r w:rsidRPr="001A3D2B">
        <w:t>world, except South Africa</w:t>
      </w:r>
      <w:r w:rsidR="005853A9">
        <w:t xml:space="preserve"> and </w:t>
      </w:r>
      <w:r w:rsidRPr="001A3D2B">
        <w:t>India-where an estimated 2.9 million [1.7 million - 4.2 million] people were living with</w:t>
      </w:r>
      <w:r w:rsidR="003A1917">
        <w:t xml:space="preserve"> the </w:t>
      </w:r>
      <w:r w:rsidRPr="001A3D2B">
        <w:t>virus in 2005. A systematic assessment</w:t>
      </w:r>
      <w:r w:rsidR="00427468">
        <w:t xml:space="preserve"> of </w:t>
      </w:r>
      <w:r w:rsidRPr="001A3D2B">
        <w:t>recent HIV/AIDS research output from Nigeria is not available. Without objective information about</w:t>
      </w:r>
      <w:r w:rsidR="003A1917">
        <w:t xml:space="preserve"> the </w:t>
      </w:r>
      <w:r w:rsidRPr="001A3D2B">
        <w:t>current deficiencies</w:t>
      </w:r>
      <w:r w:rsidR="005853A9">
        <w:t xml:space="preserve"> and </w:t>
      </w:r>
      <w:r w:rsidRPr="001A3D2B">
        <w:t>strengths in</w:t>
      </w:r>
      <w:r w:rsidR="003A1917">
        <w:t xml:space="preserve"> the </w:t>
      </w:r>
      <w:r w:rsidRPr="001A3D2B">
        <w:t>HIV research output from Nigeria, it is difficult to plan substantial improvements in HIV/AIDS research that could enhance population health</w:t>
      </w:r>
      <w:r w:rsidR="00A37C1D">
        <w:t>. The</w:t>
      </w:r>
      <w:r w:rsidR="003A1917">
        <w:t xml:space="preserve"> </w:t>
      </w:r>
      <w:r w:rsidRPr="001A3D2B">
        <w:t>aim</w:t>
      </w:r>
      <w:r w:rsidR="00427468">
        <w:t xml:space="preserve"> of </w:t>
      </w:r>
      <w:r w:rsidRPr="001A3D2B">
        <w:t>this study was to analyse</w:t>
      </w:r>
      <w:r w:rsidR="003A1917">
        <w:t xml:space="preserve"> the </w:t>
      </w:r>
      <w:r w:rsidRPr="001A3D2B">
        <w:t>trends in Nigeria</w:t>
      </w:r>
      <w:r w:rsidR="00700038">
        <w:t>’</w:t>
      </w:r>
      <w:r w:rsidR="00C13DDC">
        <w:t>s</w:t>
      </w:r>
      <w:r w:rsidRPr="001A3D2B">
        <w:t xml:space="preserve"> SCI publications in HIV/AIDS from 1980 to 2006. Special attention was paid to internationally collaborated works that were identified based on</w:t>
      </w:r>
      <w:r w:rsidR="003A1917">
        <w:t xml:space="preserve"> the </w:t>
      </w:r>
      <w:r w:rsidRPr="001A3D2B">
        <w:t>countries</w:t>
      </w:r>
      <w:r w:rsidR="00427468">
        <w:t xml:space="preserve"> of </w:t>
      </w:r>
      <w:r w:rsidR="003A1917">
        <w:t xml:space="preserve">the </w:t>
      </w:r>
      <w:r w:rsidRPr="001A3D2B">
        <w:t>authors</w:t>
      </w:r>
      <w:r w:rsidR="00700038">
        <w:t>’</w:t>
      </w:r>
      <w:r w:rsidRPr="001A3D2B">
        <w:t xml:space="preserve"> affiliation. METHODS: A bibliometric analysis regarding Nigerian HIV/AIDS research was conducted in</w:t>
      </w:r>
      <w:r w:rsidR="003A1917">
        <w:t xml:space="preserve"> the </w:t>
      </w:r>
      <w:r w:rsidRPr="001A3D2B">
        <w:t>ISI databases for</w:t>
      </w:r>
      <w:r w:rsidR="003A1917">
        <w:t xml:space="preserve"> the </w:t>
      </w:r>
      <w:r w:rsidRPr="001A3D2B">
        <w:t>period</w:t>
      </w:r>
      <w:r w:rsidR="00427468">
        <w:t xml:space="preserve"> of </w:t>
      </w:r>
      <w:r w:rsidRPr="001A3D2B">
        <w:t>1980 to 2006. An attempt was made to identify</w:t>
      </w:r>
      <w:r w:rsidR="003A1917">
        <w:t xml:space="preserve"> the </w:t>
      </w:r>
      <w:r w:rsidRPr="001A3D2B">
        <w:t>patterns</w:t>
      </w:r>
      <w:r w:rsidR="00427468">
        <w:t xml:space="preserve"> of </w:t>
      </w:r>
      <w:r w:rsidR="003A1917">
        <w:t xml:space="preserve">the </w:t>
      </w:r>
      <w:r w:rsidRPr="001A3D2B">
        <w:t>growth in HIV/AIDS literature, as well as type</w:t>
      </w:r>
      <w:r w:rsidR="00427468">
        <w:t xml:space="preserve"> of </w:t>
      </w:r>
      <w:r w:rsidRPr="001A3D2B">
        <w:t>document published, authorship, institutional affiliations</w:t>
      </w:r>
      <w:r w:rsidR="00427468">
        <w:t xml:space="preserve"> of </w:t>
      </w:r>
      <w:r w:rsidRPr="001A3D2B">
        <w:t>authors,</w:t>
      </w:r>
      <w:r w:rsidR="005853A9">
        <w:t xml:space="preserve"> and </w:t>
      </w:r>
      <w:r w:rsidRPr="001A3D2B">
        <w:t>subject content. International collaboration was deemed to exist in an article if any co-author</w:t>
      </w:r>
      <w:r w:rsidR="00700038">
        <w:t>’</w:t>
      </w:r>
      <w:r w:rsidR="00C13DDC">
        <w:t>s</w:t>
      </w:r>
      <w:r w:rsidRPr="001A3D2B">
        <w:t xml:space="preserve"> affiliation was located outside Nigeria</w:t>
      </w:r>
      <w:r w:rsidR="00A37C1D">
        <w:t>. The</w:t>
      </w:r>
      <w:r w:rsidR="003A1917">
        <w:t xml:space="preserve"> </w:t>
      </w:r>
      <w:r w:rsidRPr="001A3D2B">
        <w:t>impact factors in</w:t>
      </w:r>
      <w:r w:rsidR="003A1917">
        <w:t xml:space="preserve"> the </w:t>
      </w:r>
      <w:r w:rsidRPr="001A3D2B">
        <w:t>2006 Journal Citations Reports Science Edition was arbitrarily adopted to estimate</w:t>
      </w:r>
      <w:r w:rsidR="003A1917">
        <w:t xml:space="preserve"> the </w:t>
      </w:r>
      <w:r w:rsidRPr="001A3D2B">
        <w:t>quality</w:t>
      </w:r>
      <w:r w:rsidR="00427468">
        <w:t xml:space="preserve"> of </w:t>
      </w:r>
      <w:r w:rsidRPr="001A3D2B">
        <w:t>articles. RESULTS: Nigeria</w:t>
      </w:r>
      <w:r w:rsidR="00700038">
        <w:t>’</w:t>
      </w:r>
      <w:r w:rsidR="00C13DDC">
        <w:t>s</w:t>
      </w:r>
      <w:r w:rsidRPr="001A3D2B">
        <w:t xml:space="preserve"> ISI publications in HIV/AIDS increased from one articles in 1987 to 33 in 2006,</w:t>
      </w:r>
      <w:r w:rsidR="005853A9">
        <w:t xml:space="preserve"> and </w:t>
      </w:r>
      <w:r w:rsidR="003A1917">
        <w:t xml:space="preserve">the </w:t>
      </w:r>
      <w:r w:rsidRPr="001A3D2B">
        <w:t>articles with international collaboration increased from one articles in 1980 to 16 in 2006. Articles with international collaboration appeared in journals with higher impact factors</w:t>
      </w:r>
      <w:r w:rsidR="005853A9">
        <w:t xml:space="preserve"> and </w:t>
      </w:r>
      <w:r w:rsidRPr="001A3D2B">
        <w:t>received more citations. A high pattern</w:t>
      </w:r>
      <w:r w:rsidR="00427468">
        <w:t xml:space="preserve"> of </w:t>
      </w:r>
      <w:r w:rsidRPr="001A3D2B">
        <w:t>co-authorship was found. Over 85%</w:t>
      </w:r>
      <w:r w:rsidR="00427468">
        <w:t xml:space="preserve"> of </w:t>
      </w:r>
      <w:r w:rsidR="003A1917">
        <w:t xml:space="preserve">the </w:t>
      </w:r>
      <w:r w:rsidRPr="001A3D2B">
        <w:t>articles were published in collaboration among two or more authors</w:t>
      </w:r>
      <w:r w:rsidR="00A37C1D">
        <w:t>. The</w:t>
      </w:r>
      <w:r w:rsidR="003A1917">
        <w:t xml:space="preserve"> </w:t>
      </w:r>
      <w:r w:rsidR="00D5664A">
        <w:t>USA</w:t>
      </w:r>
      <w:r w:rsidRPr="001A3D2B">
        <w:t>, as</w:t>
      </w:r>
      <w:r w:rsidR="003A1917">
        <w:t xml:space="preserve"> the </w:t>
      </w:r>
      <w:r w:rsidRPr="001A3D2B">
        <w:t>most important collaborating partner</w:t>
      </w:r>
      <w:r w:rsidR="00427468">
        <w:t xml:space="preserve"> of </w:t>
      </w:r>
      <w:r w:rsidRPr="001A3D2B">
        <w:t>Nigeria</w:t>
      </w:r>
      <w:r w:rsidR="00700038">
        <w:t>’</w:t>
      </w:r>
      <w:r w:rsidR="00C13DDC">
        <w:t>s</w:t>
      </w:r>
      <w:r w:rsidRPr="001A3D2B">
        <w:t xml:space="preserve"> HIV/AIDS researchers, contributed 30.8%</w:t>
      </w:r>
      <w:r w:rsidR="00427468">
        <w:t xml:space="preserve"> of </w:t>
      </w:r>
      <w:r w:rsidRPr="001A3D2B">
        <w:t>articles with international collaboration. CONCLUSION: Nigeria has achieved a significant increase in</w:t>
      </w:r>
      <w:r w:rsidR="003A1917">
        <w:t xml:space="preserve"> the </w:t>
      </w:r>
      <w:r w:rsidRPr="001A3D2B">
        <w:t>number</w:t>
      </w:r>
      <w:r w:rsidR="00427468">
        <w:t xml:space="preserve"> of </w:t>
      </w:r>
      <w:r w:rsidRPr="001A3D2B">
        <w:t>SCI publications</w:t>
      </w:r>
      <w:r w:rsidR="005853A9">
        <w:t xml:space="preserve"> and </w:t>
      </w:r>
      <w:r w:rsidRPr="001A3D2B">
        <w:t>collaborations in HIV literature from 1987 to 2005</w:t>
      </w:r>
      <w:r w:rsidR="00A37C1D">
        <w:t>. The</w:t>
      </w:r>
      <w:r w:rsidRPr="001A3D2B">
        <w:t>re is need to challenge</w:t>
      </w:r>
      <w:r w:rsidR="003A1917">
        <w:t xml:space="preserve"> the </w:t>
      </w:r>
      <w:r w:rsidRPr="001A3D2B">
        <w:t>status, scientists from Nigeria should forge multiple collaborations beyond historical, political,</w:t>
      </w:r>
      <w:r w:rsidR="005853A9">
        <w:t xml:space="preserve"> and </w:t>
      </w:r>
      <w:r w:rsidRPr="001A3D2B">
        <w:t>cultural lines to share knowledge</w:t>
      </w:r>
      <w:r w:rsidR="005853A9">
        <w:t xml:space="preserve"> and </w:t>
      </w:r>
      <w:r w:rsidRPr="001A3D2B">
        <w:t>expertise on HIV/AIDS.</w:t>
      </w:r>
    </w:p>
    <w:p w:rsidR="003474F2" w:rsidRPr="001A3D2B" w:rsidRDefault="003474F2" w:rsidP="003474F2">
      <w:pPr>
        <w:pStyle w:val="a3"/>
      </w:pPr>
      <w:r w:rsidRPr="001A3D2B">
        <w:t>Keywords: Affiliation, Africa, AID, AIDS, Analysis, Assessment, Attention, Authors, Authorship, Bibliometric, Bibliometric Analysis, Challenge, Citations, Collaboration, Collaborations, Content, Country, Cultural, Databases, European-Union, Expertise, Factors, Growth, Health, HIV, HIV, AIDS, Home, Impact, Impact Factors, India, Information, Institutional, International</w:t>
      </w:r>
      <w:r w:rsidR="00D5664A">
        <w:t>, ISI,</w:t>
      </w:r>
      <w:r w:rsidRPr="001A3D2B">
        <w:t xml:space="preserve"> Journals, Knowledge, Literature, Living, Nigeria, Objective, Pattern, Population, Population Health, Publications, Quality, Quality of, Research</w:t>
      </w:r>
      <w:r w:rsidR="00D5664A">
        <w:t>, SCI,</w:t>
      </w:r>
      <w:r w:rsidRPr="001A3D2B">
        <w:t xml:space="preserve"> South Africa, Status, Systematic, Trends, </w:t>
      </w:r>
      <w:r w:rsidR="00D5664A">
        <w:t>USA</w:t>
      </w:r>
      <w:r w:rsidRPr="001A3D2B">
        <w:t>, Virus, World</w:t>
      </w:r>
    </w:p>
    <w:p w:rsidR="00A62BD9" w:rsidRDefault="00A62BD9" w:rsidP="00A62BD9">
      <w:pPr>
        <w:pStyle w:val="a3"/>
        <w:rPr>
          <w:kern w:val="0"/>
        </w:rPr>
      </w:pPr>
      <w:r>
        <w:rPr>
          <w:rFonts w:hint="eastAsia"/>
          <w:kern w:val="0"/>
        </w:rPr>
        <w:lastRenderedPageBreak/>
        <w:t xml:space="preserve">? </w:t>
      </w:r>
      <w:r>
        <w:rPr>
          <w:kern w:val="0"/>
        </w:rPr>
        <w:t>Abba, K., Sinfield, R., Hart, C.A.</w:t>
      </w:r>
      <w:r w:rsidR="005853A9">
        <w:rPr>
          <w:kern w:val="0"/>
        </w:rPr>
        <w:t xml:space="preserve"> and </w:t>
      </w:r>
      <w:r>
        <w:rPr>
          <w:kern w:val="0"/>
        </w:rPr>
        <w:t>Garner, P. (2009), Antimicrobial drugs for persistent diarrhoea</w:t>
      </w:r>
      <w:r w:rsidR="00427468">
        <w:rPr>
          <w:kern w:val="0"/>
        </w:rPr>
        <w:t xml:space="preserve"> of </w:t>
      </w:r>
      <w:r>
        <w:rPr>
          <w:kern w:val="0"/>
        </w:rPr>
        <w:t>unknown or non-specific cause in children under six in low</w:t>
      </w:r>
      <w:r w:rsidR="005853A9">
        <w:rPr>
          <w:kern w:val="0"/>
        </w:rPr>
        <w:t xml:space="preserve"> and </w:t>
      </w:r>
      <w:r>
        <w:rPr>
          <w:kern w:val="0"/>
        </w:rPr>
        <w:t>middle income countries: Systematic review</w:t>
      </w:r>
      <w:r w:rsidR="00427468">
        <w:rPr>
          <w:kern w:val="0"/>
        </w:rPr>
        <w:t xml:space="preserve"> of </w:t>
      </w:r>
      <w:r>
        <w:rPr>
          <w:kern w:val="0"/>
        </w:rPr>
        <w:t xml:space="preserve">randomized controlled trials. </w:t>
      </w:r>
      <w:r>
        <w:rPr>
          <w:i/>
          <w:iCs/>
          <w:kern w:val="0"/>
        </w:rPr>
        <w:t>BMC Infectious Diseases</w:t>
      </w:r>
      <w:r>
        <w:rPr>
          <w:kern w:val="0"/>
        </w:rPr>
        <w:t xml:space="preserve">, </w:t>
      </w:r>
      <w:r>
        <w:rPr>
          <w:b/>
          <w:bCs/>
          <w:kern w:val="0"/>
        </w:rPr>
        <w:t>9</w:t>
      </w:r>
      <w:r>
        <w:rPr>
          <w:rFonts w:hint="eastAsia"/>
          <w:kern w:val="0"/>
        </w:rPr>
        <w:t xml:space="preserve">, </w:t>
      </w:r>
      <w:r>
        <w:t>Article Number: 24</w:t>
      </w:r>
      <w:r>
        <w:rPr>
          <w:rFonts w:hint="eastAsia"/>
        </w:rPr>
        <w:t>.</w:t>
      </w:r>
    </w:p>
    <w:p w:rsidR="00A62BD9" w:rsidRPr="00FC7835" w:rsidRDefault="00A62BD9" w:rsidP="00A62BD9">
      <w:pPr>
        <w:pStyle w:val="a3"/>
        <w:rPr>
          <w:kern w:val="0"/>
        </w:rPr>
      </w:pPr>
      <w:r>
        <w:rPr>
          <w:kern w:val="0"/>
        </w:rPr>
        <w:t>Full Text:</w:t>
      </w:r>
      <w:r w:rsidRPr="00FC7835">
        <w:rPr>
          <w:kern w:val="0"/>
        </w:rPr>
        <w:t xml:space="preserve"> </w:t>
      </w:r>
      <w:hyperlink r:id="rId1606" w:history="1">
        <w:r w:rsidRPr="00733BD7">
          <w:rPr>
            <w:rStyle w:val="a5"/>
            <w:kern w:val="0"/>
          </w:rPr>
          <w:t>2009\BMC Inf Dis9, 24.pdf</w:t>
        </w:r>
      </w:hyperlink>
    </w:p>
    <w:p w:rsidR="00A62BD9" w:rsidRDefault="00A62BD9" w:rsidP="00A62BD9">
      <w:pPr>
        <w:pStyle w:val="a3"/>
        <w:rPr>
          <w:kern w:val="0"/>
        </w:rPr>
      </w:pPr>
      <w:r>
        <w:rPr>
          <w:kern w:val="0"/>
        </w:rPr>
        <w:t>Abstract: Background: A high proportion</w:t>
      </w:r>
      <w:r w:rsidR="00427468">
        <w:rPr>
          <w:kern w:val="0"/>
        </w:rPr>
        <w:t xml:space="preserve"> of </w:t>
      </w:r>
      <w:r>
        <w:rPr>
          <w:kern w:val="0"/>
        </w:rPr>
        <w:t>children with persistent diarrhoea in middle</w:t>
      </w:r>
      <w:r w:rsidR="005853A9">
        <w:rPr>
          <w:kern w:val="0"/>
        </w:rPr>
        <w:t xml:space="preserve"> and </w:t>
      </w:r>
      <w:r>
        <w:rPr>
          <w:kern w:val="0"/>
        </w:rPr>
        <w:t>low income countries die</w:t>
      </w:r>
      <w:r w:rsidR="00A37C1D">
        <w:rPr>
          <w:kern w:val="0"/>
        </w:rPr>
        <w:t>. The</w:t>
      </w:r>
      <w:r w:rsidR="003A1917">
        <w:rPr>
          <w:kern w:val="0"/>
        </w:rPr>
        <w:t xml:space="preserve"> </w:t>
      </w:r>
      <w:r>
        <w:rPr>
          <w:kern w:val="0"/>
        </w:rPr>
        <w:t>best treatment is not clear. We conducted a systematic review to evaluate</w:t>
      </w:r>
      <w:r w:rsidR="003A1917">
        <w:rPr>
          <w:kern w:val="0"/>
        </w:rPr>
        <w:t xml:space="preserve"> the </w:t>
      </w:r>
      <w:r>
        <w:rPr>
          <w:kern w:val="0"/>
        </w:rPr>
        <w:t>effectiveness</w:t>
      </w:r>
      <w:r w:rsidR="00427468">
        <w:rPr>
          <w:kern w:val="0"/>
        </w:rPr>
        <w:t xml:space="preserve"> of </w:t>
      </w:r>
      <w:r>
        <w:rPr>
          <w:kern w:val="0"/>
        </w:rPr>
        <w:t>antimicrobial drug treatment for persistent diarrhoea</w:t>
      </w:r>
      <w:r w:rsidR="00427468">
        <w:rPr>
          <w:kern w:val="0"/>
        </w:rPr>
        <w:t xml:space="preserve"> of </w:t>
      </w:r>
      <w:r>
        <w:rPr>
          <w:kern w:val="0"/>
        </w:rPr>
        <w:t>unknown or non-specific cause. Methods: We included randomized comparisons</w:t>
      </w:r>
      <w:r w:rsidR="00427468">
        <w:rPr>
          <w:kern w:val="0"/>
        </w:rPr>
        <w:t xml:space="preserve"> of </w:t>
      </w:r>
      <w:r>
        <w:rPr>
          <w:kern w:val="0"/>
        </w:rPr>
        <w:t>antimicrobial drugs for</w:t>
      </w:r>
      <w:r w:rsidR="003A1917">
        <w:rPr>
          <w:kern w:val="0"/>
        </w:rPr>
        <w:t xml:space="preserve"> the </w:t>
      </w:r>
      <w:r>
        <w:rPr>
          <w:kern w:val="0"/>
        </w:rPr>
        <w:t>treatment</w:t>
      </w:r>
      <w:r w:rsidR="00427468">
        <w:rPr>
          <w:kern w:val="0"/>
        </w:rPr>
        <w:t xml:space="preserve"> of </w:t>
      </w:r>
      <w:r>
        <w:rPr>
          <w:kern w:val="0"/>
        </w:rPr>
        <w:t>persistent diarrhoea</w:t>
      </w:r>
      <w:r w:rsidR="00427468">
        <w:rPr>
          <w:kern w:val="0"/>
        </w:rPr>
        <w:t xml:space="preserve"> of </w:t>
      </w:r>
      <w:r>
        <w:rPr>
          <w:kern w:val="0"/>
        </w:rPr>
        <w:t>unknown or non-specific cause in children under</w:t>
      </w:r>
      <w:r w:rsidR="003A1917">
        <w:rPr>
          <w:kern w:val="0"/>
        </w:rPr>
        <w:t xml:space="preserve"> the </w:t>
      </w:r>
      <w:r>
        <w:rPr>
          <w:kern w:val="0"/>
        </w:rPr>
        <w:t>age</w:t>
      </w:r>
      <w:r w:rsidR="00427468">
        <w:rPr>
          <w:kern w:val="0"/>
        </w:rPr>
        <w:t xml:space="preserve"> of </w:t>
      </w:r>
      <w:r>
        <w:rPr>
          <w:kern w:val="0"/>
        </w:rPr>
        <w:t>six years in low</w:t>
      </w:r>
      <w:r w:rsidR="005853A9">
        <w:rPr>
          <w:kern w:val="0"/>
        </w:rPr>
        <w:t xml:space="preserve"> and </w:t>
      </w:r>
      <w:r>
        <w:rPr>
          <w:kern w:val="0"/>
        </w:rPr>
        <w:t>middle income countries. We searched</w:t>
      </w:r>
      <w:r w:rsidR="003A1917">
        <w:rPr>
          <w:kern w:val="0"/>
        </w:rPr>
        <w:t xml:space="preserve"> the </w:t>
      </w:r>
      <w:r>
        <w:rPr>
          <w:kern w:val="0"/>
        </w:rPr>
        <w:t xml:space="preserve">electronic databases </w:t>
      </w:r>
      <w:r w:rsidR="00D5664A">
        <w:rPr>
          <w:kern w:val="0"/>
        </w:rPr>
        <w:t>MEDLINE</w:t>
      </w:r>
      <w:r>
        <w:rPr>
          <w:kern w:val="0"/>
        </w:rPr>
        <w:t xml:space="preserve">, EMBASE, LILACS,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(CENTRAL) to May 2008 for relevant randomized or quasi randomized controlled trials. We summarised</w:t>
      </w:r>
      <w:r w:rsidR="003A1917">
        <w:rPr>
          <w:kern w:val="0"/>
        </w:rPr>
        <w:t xml:space="preserve"> the </w:t>
      </w:r>
      <w:r>
        <w:rPr>
          <w:kern w:val="0"/>
        </w:rPr>
        <w:t>characteristics</w:t>
      </w:r>
      <w:r w:rsidR="00427468">
        <w:rPr>
          <w:kern w:val="0"/>
        </w:rPr>
        <w:t xml:space="preserve"> of </w:t>
      </w:r>
      <w:r w:rsidR="003A1917">
        <w:rPr>
          <w:kern w:val="0"/>
        </w:rPr>
        <w:t xml:space="preserve">the </w:t>
      </w:r>
      <w:r>
        <w:rPr>
          <w:kern w:val="0"/>
        </w:rPr>
        <w:t>eligible trials, assessed their quality using standard criteria,</w:t>
      </w:r>
      <w:r w:rsidR="005853A9">
        <w:rPr>
          <w:kern w:val="0"/>
        </w:rPr>
        <w:t xml:space="preserve"> and </w:t>
      </w:r>
      <w:r>
        <w:rPr>
          <w:kern w:val="0"/>
        </w:rPr>
        <w:t>extracted relevant outcomes data. Where appropriate, we combined</w:t>
      </w:r>
      <w:r w:rsidR="003A1917">
        <w:rPr>
          <w:kern w:val="0"/>
        </w:rPr>
        <w:t xml:space="preserve"> the </w:t>
      </w:r>
      <w:r>
        <w:rPr>
          <w:kern w:val="0"/>
        </w:rPr>
        <w:t>results</w:t>
      </w:r>
      <w:r w:rsidR="00427468">
        <w:rPr>
          <w:kern w:val="0"/>
        </w:rPr>
        <w:t xml:space="preserve"> of </w:t>
      </w:r>
      <w:r>
        <w:rPr>
          <w:kern w:val="0"/>
        </w:rPr>
        <w:t>different trials. Results: Three trials from South East Asia</w:t>
      </w:r>
      <w:r w:rsidR="005853A9">
        <w:rPr>
          <w:kern w:val="0"/>
        </w:rPr>
        <w:t xml:space="preserve"> and </w:t>
      </w:r>
      <w:r>
        <w:rPr>
          <w:kern w:val="0"/>
        </w:rPr>
        <w:t>one from Guatemala were included, all were small,</w:t>
      </w:r>
      <w:r w:rsidR="005853A9">
        <w:rPr>
          <w:kern w:val="0"/>
        </w:rPr>
        <w:t xml:space="preserve"> and </w:t>
      </w:r>
      <w:r>
        <w:rPr>
          <w:kern w:val="0"/>
        </w:rPr>
        <w:t>three had adequate allocation concealment. Two were in patients with diarrhoea</w:t>
      </w:r>
      <w:r w:rsidR="00427468">
        <w:rPr>
          <w:kern w:val="0"/>
        </w:rPr>
        <w:t xml:space="preserve"> of </w:t>
      </w:r>
      <w:r>
        <w:rPr>
          <w:kern w:val="0"/>
        </w:rPr>
        <w:t>unknown cause,</w:t>
      </w:r>
      <w:r w:rsidR="005853A9">
        <w:rPr>
          <w:kern w:val="0"/>
        </w:rPr>
        <w:t xml:space="preserve"> and </w:t>
      </w:r>
      <w:r>
        <w:rPr>
          <w:kern w:val="0"/>
        </w:rPr>
        <w:t>two were in patients in whom known bacterial or parasitological causes</w:t>
      </w:r>
      <w:r w:rsidR="00427468">
        <w:rPr>
          <w:kern w:val="0"/>
        </w:rPr>
        <w:t xml:space="preserve"> of </w:t>
      </w:r>
      <w:r>
        <w:rPr>
          <w:kern w:val="0"/>
        </w:rPr>
        <w:t>diarrhoea had been excluded. No difference was demonstrated for oral gentamicin compared with placebo (presence</w:t>
      </w:r>
      <w:r w:rsidR="00427468">
        <w:rPr>
          <w:kern w:val="0"/>
        </w:rPr>
        <w:t xml:space="preserve"> of </w:t>
      </w:r>
      <w:r>
        <w:rPr>
          <w:kern w:val="0"/>
        </w:rPr>
        <w:t>diarrhoea at 6 or 7 days; 2 trials, n = 151);</w:t>
      </w:r>
      <w:r w:rsidR="005853A9">
        <w:rPr>
          <w:kern w:val="0"/>
        </w:rPr>
        <w:t xml:space="preserve"> and </w:t>
      </w:r>
      <w:r>
        <w:rPr>
          <w:kern w:val="0"/>
        </w:rPr>
        <w:t>for metronidazole compared with placebo (presence</w:t>
      </w:r>
      <w:r w:rsidR="00427468">
        <w:rPr>
          <w:kern w:val="0"/>
        </w:rPr>
        <w:t xml:space="preserve"> of </w:t>
      </w:r>
      <w:r>
        <w:rPr>
          <w:kern w:val="0"/>
        </w:rPr>
        <w:t>diarrhoea at 3, 5</w:t>
      </w:r>
      <w:r w:rsidR="005853A9">
        <w:rPr>
          <w:kern w:val="0"/>
        </w:rPr>
        <w:t xml:space="preserve"> and </w:t>
      </w:r>
      <w:r>
        <w:rPr>
          <w:kern w:val="0"/>
        </w:rPr>
        <w:t>7 days; 1 trial, n = 99). In one small trial, sulphamethoxazole-trimethoprim appeared better than placebo in relation to diarrhoea at seven days</w:t>
      </w:r>
      <w:r w:rsidR="005853A9">
        <w:rPr>
          <w:kern w:val="0"/>
        </w:rPr>
        <w:t xml:space="preserve"> and </w:t>
      </w:r>
      <w:r>
        <w:rPr>
          <w:kern w:val="0"/>
        </w:rPr>
        <w:t>total stool volume (n = 55). Conclusion: There is little evidence as to whether or not antimicrobials help treat persistent diarrhoea in young children in low</w:t>
      </w:r>
      <w:r w:rsidR="005853A9">
        <w:rPr>
          <w:kern w:val="0"/>
        </w:rPr>
        <w:t xml:space="preserve"> and </w:t>
      </w:r>
      <w:r>
        <w:rPr>
          <w:kern w:val="0"/>
        </w:rPr>
        <w:t>middle income countries.</w:t>
      </w:r>
    </w:p>
    <w:p w:rsidR="00A62BD9" w:rsidRDefault="00A62BD9" w:rsidP="00A62BD9">
      <w:pPr>
        <w:pStyle w:val="a3"/>
        <w:rPr>
          <w:kern w:val="0"/>
        </w:rPr>
      </w:pPr>
      <w:r>
        <w:rPr>
          <w:kern w:val="0"/>
        </w:rPr>
        <w:t xml:space="preserve">Keywords: Antimicrobials, Asia, Children, Cochrane, Cryptosporidiosis, Databases, Drug, Effectiveness, EMBASE, Escherichia-Coli, Human-Immunodeficiency-Virus, Income, Infection, </w:t>
      </w:r>
      <w:r w:rsidR="00D5664A">
        <w:rPr>
          <w:kern w:val="0"/>
        </w:rPr>
        <w:t>MEDLINE</w:t>
      </w:r>
      <w:r>
        <w:rPr>
          <w:kern w:val="0"/>
        </w:rPr>
        <w:t xml:space="preserve">, Methods, Of-Science, Outcomes, Randomized Controlled Trials, Review, Science, Systematic, Systematic Review, Treatment, Web, </w:t>
      </w:r>
      <w:r w:rsidR="00D5664A">
        <w:rPr>
          <w:kern w:val="0"/>
        </w:rPr>
        <w:t>Web-of-Science</w:t>
      </w:r>
    </w:p>
    <w:p w:rsidR="005607F3" w:rsidRPr="001A3D2B" w:rsidRDefault="005607F3" w:rsidP="005607F3">
      <w:pPr>
        <w:pStyle w:val="a3"/>
        <w:rPr>
          <w:kern w:val="0"/>
          <w:szCs w:val="24"/>
        </w:rPr>
      </w:pPr>
      <w:r w:rsidRPr="001A3D2B">
        <w:rPr>
          <w:kern w:val="0"/>
          <w:szCs w:val="24"/>
        </w:rPr>
        <w:t>? Zheng, H.C., Yan, L., Cui, L., Guan, Y.F.</w:t>
      </w:r>
      <w:r w:rsidR="005853A9">
        <w:rPr>
          <w:kern w:val="0"/>
          <w:szCs w:val="24"/>
        </w:rPr>
        <w:t xml:space="preserve"> and </w:t>
      </w:r>
      <w:r w:rsidRPr="001A3D2B">
        <w:rPr>
          <w:kern w:val="0"/>
          <w:szCs w:val="24"/>
        </w:rPr>
        <w:t>Takano, Y. (2009), Mapping</w:t>
      </w:r>
      <w:r w:rsidR="003A1917">
        <w:rPr>
          <w:kern w:val="0"/>
          <w:szCs w:val="24"/>
        </w:rPr>
        <w:t xml:space="preserve"> the </w:t>
      </w:r>
      <w:r w:rsidRPr="001A3D2B">
        <w:rPr>
          <w:kern w:val="0"/>
          <w:szCs w:val="24"/>
        </w:rPr>
        <w:t>history</w:t>
      </w:r>
      <w:r w:rsidR="005853A9">
        <w:rPr>
          <w:kern w:val="0"/>
          <w:szCs w:val="24"/>
        </w:rPr>
        <w:t xml:space="preserve"> and </w:t>
      </w:r>
      <w:r w:rsidRPr="001A3D2B">
        <w:rPr>
          <w:kern w:val="0"/>
          <w:szCs w:val="24"/>
        </w:rPr>
        <w:t>current situation</w:t>
      </w:r>
      <w:r w:rsidR="00427468">
        <w:rPr>
          <w:kern w:val="0"/>
          <w:szCs w:val="24"/>
        </w:rPr>
        <w:t xml:space="preserve"> of </w:t>
      </w:r>
      <w:r w:rsidRPr="001A3D2B">
        <w:rPr>
          <w:kern w:val="0"/>
          <w:szCs w:val="24"/>
        </w:rPr>
        <w:t xml:space="preserve">research on John Cunningham virus - A bibliometric analysis. </w:t>
      </w:r>
      <w:r w:rsidRPr="001A3D2B">
        <w:rPr>
          <w:i/>
          <w:iCs/>
          <w:kern w:val="0"/>
          <w:szCs w:val="24"/>
        </w:rPr>
        <w:t>BMC Infectious Diseases</w:t>
      </w:r>
      <w:r w:rsidRPr="001A3D2B">
        <w:rPr>
          <w:kern w:val="0"/>
          <w:szCs w:val="24"/>
        </w:rPr>
        <w:t xml:space="preserve">, </w:t>
      </w:r>
      <w:r w:rsidRPr="001A3D2B">
        <w:rPr>
          <w:b/>
          <w:bCs/>
          <w:kern w:val="0"/>
          <w:szCs w:val="24"/>
        </w:rPr>
        <w:t>9</w:t>
      </w:r>
      <w:r w:rsidRPr="001A3D2B">
        <w:rPr>
          <w:kern w:val="0"/>
          <w:szCs w:val="24"/>
        </w:rPr>
        <w:t>, Article Number: 28.</w:t>
      </w:r>
    </w:p>
    <w:p w:rsidR="005607F3" w:rsidRPr="001A3D2B" w:rsidRDefault="005607F3" w:rsidP="005607F3">
      <w:pPr>
        <w:pStyle w:val="a3"/>
      </w:pPr>
      <w:r w:rsidRPr="001A3D2B">
        <w:t xml:space="preserve">Full Text: </w:t>
      </w:r>
      <w:hyperlink r:id="rId1607" w:history="1">
        <w:r w:rsidRPr="001A3D2B">
          <w:rPr>
            <w:rStyle w:val="a5"/>
          </w:rPr>
          <w:t>2009\BMC Inf Dis9, 28.pdf</w:t>
        </w:r>
      </w:hyperlink>
    </w:p>
    <w:p w:rsidR="005607F3" w:rsidRPr="001A3D2B" w:rsidRDefault="005607F3" w:rsidP="005607F3">
      <w:pPr>
        <w:pStyle w:val="a3"/>
        <w:rPr>
          <w:kern w:val="0"/>
          <w:szCs w:val="24"/>
        </w:rPr>
      </w:pPr>
      <w:r w:rsidRPr="001A3D2B">
        <w:rPr>
          <w:kern w:val="0"/>
          <w:szCs w:val="24"/>
        </w:rPr>
        <w:t>Abstract: Background: John Cunningham virus (JCV) constitutes a family</w:t>
      </w:r>
      <w:r w:rsidR="00427468">
        <w:rPr>
          <w:kern w:val="0"/>
          <w:szCs w:val="24"/>
        </w:rPr>
        <w:t xml:space="preserve"> of </w:t>
      </w:r>
      <w:r w:rsidRPr="001A3D2B">
        <w:rPr>
          <w:kern w:val="0"/>
          <w:szCs w:val="24"/>
        </w:rPr>
        <w:t>polyoma viruses, which plays important roles in</w:t>
      </w:r>
      <w:r w:rsidR="003A1917">
        <w:rPr>
          <w:kern w:val="0"/>
          <w:szCs w:val="24"/>
        </w:rPr>
        <w:t xml:space="preserve"> the </w:t>
      </w:r>
      <w:r w:rsidRPr="001A3D2B">
        <w:rPr>
          <w:kern w:val="0"/>
          <w:szCs w:val="24"/>
        </w:rPr>
        <w:t xml:space="preserve">progressive multifocal </w:t>
      </w:r>
      <w:r w:rsidRPr="001A3D2B">
        <w:rPr>
          <w:kern w:val="0"/>
          <w:szCs w:val="24"/>
        </w:rPr>
        <w:lastRenderedPageBreak/>
        <w:t>leukoencephalopathy (PML)</w:t>
      </w:r>
      <w:r w:rsidR="005853A9">
        <w:rPr>
          <w:kern w:val="0"/>
          <w:szCs w:val="24"/>
        </w:rPr>
        <w:t xml:space="preserve"> and </w:t>
      </w:r>
      <w:r w:rsidRPr="001A3D2B">
        <w:rPr>
          <w:kern w:val="0"/>
          <w:szCs w:val="24"/>
        </w:rPr>
        <w:t>tumorigenesis. However, no bibliometric investigation has been reported to guide</w:t>
      </w:r>
      <w:r w:rsidR="003A1917">
        <w:rPr>
          <w:kern w:val="0"/>
          <w:szCs w:val="24"/>
        </w:rPr>
        <w:t xml:space="preserve"> the </w:t>
      </w:r>
      <w:r w:rsidRPr="001A3D2B">
        <w:rPr>
          <w:kern w:val="0"/>
          <w:szCs w:val="24"/>
        </w:rPr>
        <w:t>researchers</w:t>
      </w:r>
      <w:r w:rsidR="005853A9">
        <w:rPr>
          <w:kern w:val="0"/>
          <w:szCs w:val="24"/>
        </w:rPr>
        <w:t xml:space="preserve"> and </w:t>
      </w:r>
      <w:r w:rsidRPr="001A3D2B">
        <w:rPr>
          <w:kern w:val="0"/>
          <w:szCs w:val="24"/>
        </w:rPr>
        <w:t>potential readers. Methods: Papers were collected from database SCI-expanded</w:t>
      </w:r>
      <w:r w:rsidR="005853A9">
        <w:rPr>
          <w:kern w:val="0"/>
          <w:szCs w:val="24"/>
        </w:rPr>
        <w:t xml:space="preserve"> and </w:t>
      </w:r>
      <w:r w:rsidR="002C12F0">
        <w:rPr>
          <w:kern w:val="0"/>
          <w:szCs w:val="24"/>
        </w:rPr>
        <w:t>PUBMED</w:t>
      </w:r>
      <w:r w:rsidRPr="001A3D2B">
        <w:rPr>
          <w:kern w:val="0"/>
          <w:szCs w:val="24"/>
        </w:rPr>
        <w:t xml:space="preserve"> until May 22, 2008</w:t>
      </w:r>
      <w:r w:rsidR="00A37C1D">
        <w:rPr>
          <w:kern w:val="0"/>
          <w:szCs w:val="24"/>
        </w:rPr>
        <w:t>. The</w:t>
      </w:r>
      <w:r w:rsidR="003A1917">
        <w:rPr>
          <w:kern w:val="0"/>
          <w:szCs w:val="24"/>
        </w:rPr>
        <w:t xml:space="preserve"> </w:t>
      </w:r>
      <w:r w:rsidRPr="001A3D2B">
        <w:rPr>
          <w:kern w:val="0"/>
          <w:szCs w:val="24"/>
        </w:rPr>
        <w:t>highly-productive authors, institutes</w:t>
      </w:r>
      <w:r w:rsidR="005853A9">
        <w:rPr>
          <w:kern w:val="0"/>
          <w:szCs w:val="24"/>
        </w:rPr>
        <w:t xml:space="preserve"> and </w:t>
      </w:r>
      <w:r w:rsidRPr="001A3D2B">
        <w:rPr>
          <w:kern w:val="0"/>
          <w:szCs w:val="24"/>
        </w:rPr>
        <w:t>countries, highly-cited authors</w:t>
      </w:r>
      <w:r w:rsidR="005853A9">
        <w:rPr>
          <w:kern w:val="0"/>
          <w:szCs w:val="24"/>
        </w:rPr>
        <w:t xml:space="preserve"> and </w:t>
      </w:r>
      <w:r w:rsidRPr="001A3D2B">
        <w:rPr>
          <w:kern w:val="0"/>
          <w:szCs w:val="24"/>
        </w:rPr>
        <w:t>journals were ranked</w:t>
      </w:r>
      <w:r w:rsidR="00A37C1D">
        <w:rPr>
          <w:kern w:val="0"/>
          <w:szCs w:val="24"/>
        </w:rPr>
        <w:t>. The</w:t>
      </w:r>
      <w:r w:rsidR="003A1917">
        <w:rPr>
          <w:kern w:val="0"/>
          <w:szCs w:val="24"/>
        </w:rPr>
        <w:t xml:space="preserve"> </w:t>
      </w:r>
      <w:r w:rsidRPr="001A3D2B">
        <w:rPr>
          <w:kern w:val="0"/>
          <w:szCs w:val="24"/>
        </w:rPr>
        <w:t>highly-cited articles were subjected to co-citation</w:t>
      </w:r>
      <w:r w:rsidR="005853A9">
        <w:rPr>
          <w:kern w:val="0"/>
          <w:szCs w:val="24"/>
        </w:rPr>
        <w:t xml:space="preserve"> and </w:t>
      </w:r>
      <w:r w:rsidRPr="001A3D2B">
        <w:rPr>
          <w:kern w:val="0"/>
          <w:szCs w:val="24"/>
        </w:rPr>
        <w:t>chronological analysis with highly-frequent MeSH words for co-occurrence analysis. Results: Until now, 1785 articles about JCV were indexed in SCI-expanded</w:t>
      </w:r>
      <w:r w:rsidR="005853A9">
        <w:rPr>
          <w:kern w:val="0"/>
          <w:szCs w:val="24"/>
        </w:rPr>
        <w:t xml:space="preserve"> and </w:t>
      </w:r>
      <w:r w:rsidRPr="001A3D2B">
        <w:rPr>
          <w:kern w:val="0"/>
          <w:szCs w:val="24"/>
        </w:rPr>
        <w:t xml:space="preserve">1506 in </w:t>
      </w:r>
      <w:r w:rsidR="002C12F0">
        <w:rPr>
          <w:kern w:val="0"/>
          <w:szCs w:val="24"/>
        </w:rPr>
        <w:t>PUBMED</w:t>
      </w:r>
      <w:r w:rsidR="00A37C1D">
        <w:rPr>
          <w:kern w:val="0"/>
          <w:szCs w:val="24"/>
        </w:rPr>
        <w:t>. The</w:t>
      </w:r>
      <w:r w:rsidR="003A1917">
        <w:rPr>
          <w:kern w:val="0"/>
          <w:szCs w:val="24"/>
        </w:rPr>
        <w:t xml:space="preserve"> </w:t>
      </w:r>
      <w:r w:rsidRPr="001A3D2B">
        <w:rPr>
          <w:kern w:val="0"/>
          <w:szCs w:val="24"/>
        </w:rPr>
        <w:t xml:space="preserve">main document type was original article. </w:t>
      </w:r>
      <w:r w:rsidR="00D5664A">
        <w:rPr>
          <w:kern w:val="0"/>
          <w:szCs w:val="24"/>
        </w:rPr>
        <w:t>USA</w:t>
      </w:r>
      <w:r w:rsidRPr="001A3D2B">
        <w:rPr>
          <w:kern w:val="0"/>
          <w:szCs w:val="24"/>
        </w:rPr>
        <w:t>, Japan</w:t>
      </w:r>
      <w:r w:rsidR="005853A9">
        <w:rPr>
          <w:kern w:val="0"/>
          <w:szCs w:val="24"/>
        </w:rPr>
        <w:t xml:space="preserve"> and </w:t>
      </w:r>
      <w:r w:rsidRPr="001A3D2B">
        <w:rPr>
          <w:kern w:val="0"/>
          <w:szCs w:val="24"/>
        </w:rPr>
        <w:t>Italy were</w:t>
      </w:r>
      <w:r w:rsidR="003A1917">
        <w:rPr>
          <w:kern w:val="0"/>
          <w:szCs w:val="24"/>
        </w:rPr>
        <w:t xml:space="preserve"> the </w:t>
      </w:r>
      <w:r w:rsidRPr="001A3D2B">
        <w:rPr>
          <w:kern w:val="0"/>
          <w:szCs w:val="24"/>
        </w:rPr>
        <w:t>largest three producers about JCV. Temple University published 128 papers</w:t>
      </w:r>
      <w:r w:rsidR="005853A9">
        <w:rPr>
          <w:kern w:val="0"/>
          <w:szCs w:val="24"/>
        </w:rPr>
        <w:t xml:space="preserve"> and </w:t>
      </w:r>
      <w:r w:rsidRPr="001A3D2B">
        <w:rPr>
          <w:kern w:val="0"/>
          <w:szCs w:val="24"/>
        </w:rPr>
        <w:t>ranked</w:t>
      </w:r>
      <w:r w:rsidR="003A1917">
        <w:rPr>
          <w:kern w:val="0"/>
          <w:szCs w:val="24"/>
        </w:rPr>
        <w:t xml:space="preserve"> the </w:t>
      </w:r>
      <w:r w:rsidRPr="001A3D2B">
        <w:rPr>
          <w:kern w:val="0"/>
          <w:szCs w:val="24"/>
        </w:rPr>
        <w:t>top, followed by University</w:t>
      </w:r>
      <w:r w:rsidR="00427468">
        <w:rPr>
          <w:kern w:val="0"/>
          <w:szCs w:val="24"/>
        </w:rPr>
        <w:t xml:space="preserve"> of </w:t>
      </w:r>
      <w:r w:rsidRPr="001A3D2B">
        <w:rPr>
          <w:kern w:val="0"/>
          <w:szCs w:val="24"/>
        </w:rPr>
        <w:t>Tokyo. Khalili K</w:t>
      </w:r>
      <w:r w:rsidR="005853A9">
        <w:rPr>
          <w:kern w:val="0"/>
          <w:szCs w:val="24"/>
        </w:rPr>
        <w:t xml:space="preserve"> and </w:t>
      </w:r>
      <w:r w:rsidRPr="001A3D2B">
        <w:rPr>
          <w:kern w:val="0"/>
          <w:szCs w:val="24"/>
        </w:rPr>
        <w:t>Yogo Y became</w:t>
      </w:r>
      <w:r w:rsidR="003A1917">
        <w:rPr>
          <w:kern w:val="0"/>
          <w:szCs w:val="24"/>
        </w:rPr>
        <w:t xml:space="preserve"> the </w:t>
      </w:r>
      <w:r w:rsidRPr="001A3D2B">
        <w:rPr>
          <w:kern w:val="0"/>
          <w:szCs w:val="24"/>
        </w:rPr>
        <w:t>core authors due to more than 20 documents produced. Journal</w:t>
      </w:r>
      <w:r w:rsidR="00427468">
        <w:rPr>
          <w:kern w:val="0"/>
          <w:szCs w:val="24"/>
        </w:rPr>
        <w:t xml:space="preserve"> of </w:t>
      </w:r>
      <w:r w:rsidRPr="001A3D2B">
        <w:rPr>
          <w:kern w:val="0"/>
          <w:szCs w:val="24"/>
        </w:rPr>
        <w:t>Neurovirology published more than 15 papers</w:t>
      </w:r>
      <w:r w:rsidR="005853A9">
        <w:rPr>
          <w:kern w:val="0"/>
          <w:szCs w:val="24"/>
        </w:rPr>
        <w:t xml:space="preserve"> and </w:t>
      </w:r>
      <w:r w:rsidRPr="001A3D2B">
        <w:rPr>
          <w:kern w:val="0"/>
          <w:szCs w:val="24"/>
        </w:rPr>
        <w:t>ranked</w:t>
      </w:r>
      <w:r w:rsidR="003A1917">
        <w:rPr>
          <w:kern w:val="0"/>
          <w:szCs w:val="24"/>
        </w:rPr>
        <w:t xml:space="preserve"> the </w:t>
      </w:r>
      <w:r w:rsidRPr="001A3D2B">
        <w:rPr>
          <w:kern w:val="0"/>
          <w:szCs w:val="24"/>
        </w:rPr>
        <w:t>top. Padgett BL</w:t>
      </w:r>
      <w:r w:rsidR="005853A9">
        <w:rPr>
          <w:kern w:val="0"/>
          <w:szCs w:val="24"/>
        </w:rPr>
        <w:t xml:space="preserve"> and </w:t>
      </w:r>
      <w:r w:rsidRPr="001A3D2B">
        <w:rPr>
          <w:kern w:val="0"/>
          <w:szCs w:val="24"/>
        </w:rPr>
        <w:t>Berger JR were</w:t>
      </w:r>
      <w:r w:rsidR="003A1917">
        <w:rPr>
          <w:kern w:val="0"/>
          <w:szCs w:val="24"/>
        </w:rPr>
        <w:t xml:space="preserve"> the </w:t>
      </w:r>
      <w:r w:rsidRPr="001A3D2B">
        <w:rPr>
          <w:kern w:val="0"/>
          <w:szCs w:val="24"/>
        </w:rPr>
        <w:t>first two highly-cited authors. Journal</w:t>
      </w:r>
      <w:r w:rsidR="00427468">
        <w:rPr>
          <w:kern w:val="0"/>
          <w:szCs w:val="24"/>
        </w:rPr>
        <w:t xml:space="preserve"> of </w:t>
      </w:r>
      <w:r w:rsidRPr="001A3D2B">
        <w:rPr>
          <w:kern w:val="0"/>
          <w:szCs w:val="24"/>
        </w:rPr>
        <w:t>Virology</w:t>
      </w:r>
      <w:r w:rsidR="005853A9">
        <w:rPr>
          <w:kern w:val="0"/>
          <w:szCs w:val="24"/>
        </w:rPr>
        <w:t xml:space="preserve"> and </w:t>
      </w:r>
      <w:r w:rsidRPr="001A3D2B">
        <w:rPr>
          <w:kern w:val="0"/>
          <w:szCs w:val="24"/>
        </w:rPr>
        <w:t>Journal</w:t>
      </w:r>
      <w:r w:rsidR="00427468">
        <w:rPr>
          <w:kern w:val="0"/>
          <w:szCs w:val="24"/>
        </w:rPr>
        <w:t xml:space="preserve"> of </w:t>
      </w:r>
      <w:r w:rsidRPr="001A3D2B">
        <w:rPr>
          <w:kern w:val="0"/>
          <w:szCs w:val="24"/>
        </w:rPr>
        <w:t>Neurovirology respectively ranked to</w:t>
      </w:r>
      <w:r w:rsidR="003A1917">
        <w:rPr>
          <w:kern w:val="0"/>
          <w:szCs w:val="24"/>
        </w:rPr>
        <w:t xml:space="preserve"> the </w:t>
      </w:r>
      <w:r w:rsidRPr="001A3D2B">
        <w:rPr>
          <w:kern w:val="0"/>
          <w:szCs w:val="24"/>
        </w:rPr>
        <w:t>first two highly-cited journals</w:t>
      </w:r>
      <w:r w:rsidR="00A37C1D">
        <w:rPr>
          <w:kern w:val="0"/>
          <w:szCs w:val="24"/>
        </w:rPr>
        <w:t>. The</w:t>
      </w:r>
      <w:r w:rsidRPr="001A3D2B">
        <w:rPr>
          <w:kern w:val="0"/>
          <w:szCs w:val="24"/>
        </w:rPr>
        <w:t>se top highly-cited articles were divided into 5 aspects: (1)</w:t>
      </w:r>
      <w:r w:rsidR="003A1917">
        <w:rPr>
          <w:kern w:val="0"/>
          <w:szCs w:val="24"/>
        </w:rPr>
        <w:t xml:space="preserve"> the </w:t>
      </w:r>
      <w:r w:rsidRPr="001A3D2B">
        <w:rPr>
          <w:kern w:val="0"/>
          <w:szCs w:val="24"/>
        </w:rPr>
        <w:t>correlation between JC virus</w:t>
      </w:r>
      <w:r w:rsidR="005853A9">
        <w:rPr>
          <w:kern w:val="0"/>
          <w:szCs w:val="24"/>
        </w:rPr>
        <w:t xml:space="preserve"> and </w:t>
      </w:r>
      <w:r w:rsidRPr="001A3D2B">
        <w:rPr>
          <w:kern w:val="0"/>
          <w:szCs w:val="24"/>
        </w:rPr>
        <w:t>tumors; (2) Ca</w:t>
      </w:r>
      <w:r w:rsidR="00D5664A">
        <w:rPr>
          <w:kern w:val="0"/>
          <w:szCs w:val="24"/>
        </w:rPr>
        <w:t>USA</w:t>
      </w:r>
      <w:r w:rsidRPr="001A3D2B">
        <w:rPr>
          <w:kern w:val="0"/>
          <w:szCs w:val="24"/>
        </w:rPr>
        <w:t>l correlation</w:t>
      </w:r>
      <w:r w:rsidR="00427468">
        <w:rPr>
          <w:kern w:val="0"/>
          <w:szCs w:val="24"/>
        </w:rPr>
        <w:t xml:space="preserve"> of </w:t>
      </w:r>
      <w:r w:rsidRPr="001A3D2B">
        <w:rPr>
          <w:kern w:val="0"/>
          <w:szCs w:val="24"/>
        </w:rPr>
        <w:t>JCV with PML; (3) Polyoma virus infection</w:t>
      </w:r>
      <w:r w:rsidR="005853A9">
        <w:rPr>
          <w:kern w:val="0"/>
          <w:szCs w:val="24"/>
        </w:rPr>
        <w:t xml:space="preserve"> and </w:t>
      </w:r>
      <w:r w:rsidRPr="001A3D2B">
        <w:rPr>
          <w:kern w:val="0"/>
          <w:szCs w:val="24"/>
        </w:rPr>
        <w:t>its related diseases in renal-allograft recipients; (4) Detection</w:t>
      </w:r>
      <w:r w:rsidR="00427468">
        <w:rPr>
          <w:kern w:val="0"/>
          <w:szCs w:val="24"/>
        </w:rPr>
        <w:t xml:space="preserve"> of </w:t>
      </w:r>
      <w:r w:rsidRPr="001A3D2B">
        <w:rPr>
          <w:kern w:val="0"/>
          <w:szCs w:val="24"/>
        </w:rPr>
        <w:t>JCV antibody, oncogene</w:t>
      </w:r>
      <w:r w:rsidR="005853A9">
        <w:rPr>
          <w:kern w:val="0"/>
          <w:szCs w:val="24"/>
        </w:rPr>
        <w:t xml:space="preserve"> and </w:t>
      </w:r>
      <w:r w:rsidRPr="001A3D2B">
        <w:rPr>
          <w:kern w:val="0"/>
          <w:szCs w:val="24"/>
        </w:rPr>
        <w:t>its encoding protein; (5) Genetics</w:t>
      </w:r>
      <w:r w:rsidR="005853A9">
        <w:rPr>
          <w:kern w:val="0"/>
          <w:szCs w:val="24"/>
        </w:rPr>
        <w:t xml:space="preserve"> and </w:t>
      </w:r>
      <w:r w:rsidRPr="001A3D2B">
        <w:rPr>
          <w:kern w:val="0"/>
          <w:szCs w:val="24"/>
        </w:rPr>
        <w:t>molecular biology</w:t>
      </w:r>
      <w:r w:rsidR="00427468">
        <w:rPr>
          <w:kern w:val="0"/>
          <w:szCs w:val="24"/>
        </w:rPr>
        <w:t xml:space="preserve"> of </w:t>
      </w:r>
      <w:r w:rsidRPr="001A3D2B">
        <w:rPr>
          <w:kern w:val="0"/>
          <w:szCs w:val="24"/>
        </w:rPr>
        <w:t>JCV</w:t>
      </w:r>
      <w:r w:rsidR="00A37C1D">
        <w:rPr>
          <w:kern w:val="0"/>
          <w:szCs w:val="24"/>
        </w:rPr>
        <w:t>. The</w:t>
      </w:r>
      <w:r w:rsidR="003A1917">
        <w:rPr>
          <w:kern w:val="0"/>
          <w:szCs w:val="24"/>
        </w:rPr>
        <w:t xml:space="preserve"> </w:t>
      </w:r>
      <w:r w:rsidRPr="001A3D2B">
        <w:rPr>
          <w:kern w:val="0"/>
          <w:szCs w:val="24"/>
        </w:rPr>
        <w:t>MeSH/subheadings were classified into five groups: (1) JCV</w:t>
      </w:r>
      <w:r w:rsidR="005853A9">
        <w:rPr>
          <w:kern w:val="0"/>
          <w:szCs w:val="24"/>
        </w:rPr>
        <w:t xml:space="preserve"> and </w:t>
      </w:r>
      <w:r w:rsidRPr="001A3D2B">
        <w:rPr>
          <w:kern w:val="0"/>
          <w:szCs w:val="24"/>
        </w:rPr>
        <w:t>virus infectious diseases; (2) JCV pathogenicity</w:t>
      </w:r>
      <w:r w:rsidR="005853A9">
        <w:rPr>
          <w:kern w:val="0"/>
          <w:szCs w:val="24"/>
        </w:rPr>
        <w:t xml:space="preserve"> and </w:t>
      </w:r>
      <w:r w:rsidRPr="001A3D2B">
        <w:rPr>
          <w:kern w:val="0"/>
          <w:szCs w:val="24"/>
        </w:rPr>
        <w:t>pathological appearance</w:t>
      </w:r>
      <w:r w:rsidR="00427468">
        <w:rPr>
          <w:kern w:val="0"/>
          <w:szCs w:val="24"/>
        </w:rPr>
        <w:t xml:space="preserve"> of </w:t>
      </w:r>
      <w:r w:rsidRPr="001A3D2B">
        <w:rPr>
          <w:kern w:val="0"/>
          <w:szCs w:val="24"/>
        </w:rPr>
        <w:t>PML; (3) JCV isolation</w:t>
      </w:r>
      <w:r w:rsidR="005853A9">
        <w:rPr>
          <w:kern w:val="0"/>
          <w:szCs w:val="24"/>
        </w:rPr>
        <w:t xml:space="preserve"> and </w:t>
      </w:r>
      <w:r w:rsidRPr="001A3D2B">
        <w:rPr>
          <w:kern w:val="0"/>
          <w:szCs w:val="24"/>
        </w:rPr>
        <w:t>detection; (4) Immunology</w:t>
      </w:r>
      <w:r w:rsidR="00427468">
        <w:rPr>
          <w:kern w:val="0"/>
          <w:szCs w:val="24"/>
        </w:rPr>
        <w:t xml:space="preserve"> of </w:t>
      </w:r>
      <w:r w:rsidRPr="001A3D2B">
        <w:rPr>
          <w:kern w:val="0"/>
          <w:szCs w:val="24"/>
        </w:rPr>
        <w:t>JCV</w:t>
      </w:r>
      <w:r w:rsidR="005853A9">
        <w:rPr>
          <w:kern w:val="0"/>
          <w:szCs w:val="24"/>
        </w:rPr>
        <w:t xml:space="preserve"> and </w:t>
      </w:r>
      <w:r w:rsidRPr="001A3D2B">
        <w:rPr>
          <w:kern w:val="0"/>
          <w:szCs w:val="24"/>
        </w:rPr>
        <w:t>PML; (5) JCV genetics</w:t>
      </w:r>
      <w:r w:rsidR="005853A9">
        <w:rPr>
          <w:kern w:val="0"/>
          <w:szCs w:val="24"/>
        </w:rPr>
        <w:t xml:space="preserve"> and </w:t>
      </w:r>
      <w:r w:rsidRPr="001A3D2B">
        <w:rPr>
          <w:kern w:val="0"/>
          <w:szCs w:val="24"/>
        </w:rPr>
        <w:t>tumors. Conclusion: JCV investigation mainly focused on its isolation</w:t>
      </w:r>
      <w:r w:rsidR="005853A9">
        <w:rPr>
          <w:kern w:val="0"/>
          <w:szCs w:val="24"/>
        </w:rPr>
        <w:t xml:space="preserve"> and </w:t>
      </w:r>
      <w:r w:rsidRPr="001A3D2B">
        <w:rPr>
          <w:kern w:val="0"/>
          <w:szCs w:val="24"/>
        </w:rPr>
        <w:t>detection, as well as its correlation with PML</w:t>
      </w:r>
      <w:r w:rsidR="005853A9">
        <w:rPr>
          <w:kern w:val="0"/>
          <w:szCs w:val="24"/>
        </w:rPr>
        <w:t xml:space="preserve"> and </w:t>
      </w:r>
      <w:r w:rsidRPr="001A3D2B">
        <w:rPr>
          <w:kern w:val="0"/>
          <w:szCs w:val="24"/>
        </w:rPr>
        <w:t>tumors. Establishment</w:t>
      </w:r>
      <w:r w:rsidR="00427468">
        <w:rPr>
          <w:kern w:val="0"/>
          <w:szCs w:val="24"/>
        </w:rPr>
        <w:t xml:space="preserve"> of </w:t>
      </w:r>
      <w:r w:rsidRPr="001A3D2B">
        <w:rPr>
          <w:kern w:val="0"/>
          <w:szCs w:val="24"/>
        </w:rPr>
        <w:t>transgenic animal model using JCV T antigen would be a hopeful</w:t>
      </w:r>
      <w:r w:rsidR="005853A9">
        <w:rPr>
          <w:kern w:val="0"/>
          <w:szCs w:val="24"/>
        </w:rPr>
        <w:t xml:space="preserve"> and </w:t>
      </w:r>
      <w:r w:rsidRPr="001A3D2B">
        <w:rPr>
          <w:kern w:val="0"/>
          <w:szCs w:val="24"/>
        </w:rPr>
        <w:t>useful project in</w:t>
      </w:r>
      <w:r w:rsidR="003A1917">
        <w:rPr>
          <w:kern w:val="0"/>
          <w:szCs w:val="24"/>
        </w:rPr>
        <w:t xml:space="preserve"> the </w:t>
      </w:r>
      <w:r w:rsidRPr="001A3D2B">
        <w:rPr>
          <w:kern w:val="0"/>
          <w:szCs w:val="24"/>
        </w:rPr>
        <w:t>further study.</w:t>
      </w:r>
    </w:p>
    <w:p w:rsidR="005607F3" w:rsidRPr="001A3D2B" w:rsidRDefault="005607F3" w:rsidP="005607F3">
      <w:pPr>
        <w:pStyle w:val="a3"/>
        <w:rPr>
          <w:kern w:val="0"/>
          <w:szCs w:val="24"/>
        </w:rPr>
      </w:pPr>
      <w:r w:rsidRPr="001A3D2B">
        <w:rPr>
          <w:kern w:val="0"/>
          <w:szCs w:val="24"/>
        </w:rPr>
        <w:t xml:space="preserve">Keywords: Analysis, Animal Model, Antibody, Authors, Bibliometric, Bibliometric Analysis, Bibliometric Investigation, Biology, Cancer, Co-Citation, Cocitation, Correlation, Database, Detection, Diseases, Family, First, Genetics, Groups, History, Human Polyomavirus, Infection, Infectious Diseases, Investigation, Isolation, Italy, Japan, JC-Virus, Journals, Load, Mar, Model, Molecular, Molecular Biology, Papers, Pathogenicity, PML, Potential, Progressive, Progressive Multifocal Leukoencephalopathy, Protein, Research, Roles, Tumorigenesis, Tumors, </w:t>
      </w:r>
      <w:r w:rsidR="00D5664A">
        <w:rPr>
          <w:kern w:val="0"/>
          <w:szCs w:val="24"/>
        </w:rPr>
        <w:t>USA</w:t>
      </w:r>
      <w:r w:rsidRPr="001A3D2B">
        <w:rPr>
          <w:kern w:val="0"/>
          <w:szCs w:val="24"/>
        </w:rPr>
        <w:t>, Virus</w:t>
      </w:r>
    </w:p>
    <w:p w:rsidR="00A62BD9" w:rsidRDefault="00A62BD9" w:rsidP="00A62BD9">
      <w:pPr>
        <w:pStyle w:val="a3"/>
        <w:rPr>
          <w:kern w:val="0"/>
        </w:rPr>
      </w:pPr>
      <w:r>
        <w:rPr>
          <w:rFonts w:hint="eastAsia"/>
          <w:kern w:val="0"/>
        </w:rPr>
        <w:t xml:space="preserve">? </w:t>
      </w:r>
      <w:r>
        <w:rPr>
          <w:kern w:val="0"/>
        </w:rPr>
        <w:t>Abba, K., Sinfield, R., Hart, C.A.</w:t>
      </w:r>
      <w:r w:rsidR="005853A9">
        <w:rPr>
          <w:kern w:val="0"/>
        </w:rPr>
        <w:t xml:space="preserve"> and </w:t>
      </w:r>
      <w:r>
        <w:rPr>
          <w:kern w:val="0"/>
        </w:rPr>
        <w:t>Garner, P. (2009), Pathogens associated with persistent diarrhoea in children in low</w:t>
      </w:r>
      <w:r w:rsidR="005853A9">
        <w:rPr>
          <w:kern w:val="0"/>
        </w:rPr>
        <w:t xml:space="preserve"> and </w:t>
      </w:r>
      <w:r>
        <w:rPr>
          <w:kern w:val="0"/>
        </w:rPr>
        <w:t xml:space="preserve">middle income countries: Systematic review. </w:t>
      </w:r>
      <w:r>
        <w:rPr>
          <w:i/>
          <w:iCs/>
          <w:kern w:val="0"/>
        </w:rPr>
        <w:t>BMC Infectious Diseases</w:t>
      </w:r>
      <w:r>
        <w:rPr>
          <w:kern w:val="0"/>
        </w:rPr>
        <w:t xml:space="preserve">, </w:t>
      </w:r>
      <w:r>
        <w:rPr>
          <w:b/>
          <w:bCs/>
          <w:kern w:val="0"/>
        </w:rPr>
        <w:t>9</w:t>
      </w:r>
      <w:r>
        <w:rPr>
          <w:rFonts w:hint="eastAsia"/>
          <w:kern w:val="0"/>
        </w:rPr>
        <w:t xml:space="preserve">, </w:t>
      </w:r>
      <w:r>
        <w:t>Article Number: 88</w:t>
      </w:r>
      <w:r>
        <w:rPr>
          <w:rFonts w:hint="eastAsia"/>
        </w:rPr>
        <w:t>.</w:t>
      </w:r>
    </w:p>
    <w:p w:rsidR="00A62BD9" w:rsidRPr="00FC7835" w:rsidRDefault="00A62BD9" w:rsidP="00A62BD9">
      <w:pPr>
        <w:pStyle w:val="a3"/>
        <w:rPr>
          <w:kern w:val="0"/>
        </w:rPr>
      </w:pPr>
      <w:r>
        <w:rPr>
          <w:kern w:val="0"/>
        </w:rPr>
        <w:t>Full Text:</w:t>
      </w:r>
      <w:r w:rsidRPr="00FC7835">
        <w:rPr>
          <w:kern w:val="0"/>
        </w:rPr>
        <w:t xml:space="preserve"> </w:t>
      </w:r>
      <w:r w:rsidRPr="00733BD7">
        <w:rPr>
          <w:kern w:val="0"/>
        </w:rPr>
        <w:t>2009\BMC Inf Dis9, 88.pdf</w:t>
      </w:r>
    </w:p>
    <w:p w:rsidR="00A62BD9" w:rsidRDefault="00A62BD9" w:rsidP="00A62BD9">
      <w:pPr>
        <w:pStyle w:val="a3"/>
        <w:rPr>
          <w:kern w:val="0"/>
        </w:rPr>
      </w:pPr>
      <w:r>
        <w:rPr>
          <w:kern w:val="0"/>
        </w:rPr>
        <w:t>Abstract: Background: Persistent diarrhoea in children is a common problem in low</w:t>
      </w:r>
      <w:r w:rsidR="005853A9">
        <w:rPr>
          <w:kern w:val="0"/>
        </w:rPr>
        <w:t xml:space="preserve"> and </w:t>
      </w:r>
      <w:r>
        <w:rPr>
          <w:kern w:val="0"/>
        </w:rPr>
        <w:t xml:space="preserve">middle income countries. To help target appropriate treatment for specific pathogens </w:t>
      </w:r>
      <w:r>
        <w:rPr>
          <w:kern w:val="0"/>
        </w:rPr>
        <w:lastRenderedPageBreak/>
        <w:t>in</w:t>
      </w:r>
      <w:r w:rsidR="003A1917">
        <w:rPr>
          <w:kern w:val="0"/>
        </w:rPr>
        <w:t xml:space="preserve"> the </w:t>
      </w:r>
      <w:r>
        <w:rPr>
          <w:kern w:val="0"/>
        </w:rPr>
        <w:t>absence</w:t>
      </w:r>
      <w:r w:rsidR="00427468">
        <w:rPr>
          <w:kern w:val="0"/>
        </w:rPr>
        <w:t xml:space="preserve"> of </w:t>
      </w:r>
      <w:r>
        <w:rPr>
          <w:kern w:val="0"/>
        </w:rPr>
        <w:t>diagnostic tests, we systematically reviewed pathogens most commonly associated with persistent diarrhoea in children. Methods: We sought all descriptive studies</w:t>
      </w:r>
      <w:r w:rsidR="00427468">
        <w:rPr>
          <w:kern w:val="0"/>
        </w:rPr>
        <w:t xml:space="preserve"> of </w:t>
      </w:r>
      <w:r>
        <w:rPr>
          <w:kern w:val="0"/>
        </w:rPr>
        <w:t>pathogens in</w:t>
      </w:r>
      <w:r w:rsidR="003A1917">
        <w:rPr>
          <w:kern w:val="0"/>
        </w:rPr>
        <w:t xml:space="preserve"> the </w:t>
      </w:r>
      <w:r>
        <w:rPr>
          <w:kern w:val="0"/>
        </w:rPr>
        <w:t>stool</w:t>
      </w:r>
      <w:r w:rsidR="00427468">
        <w:rPr>
          <w:kern w:val="0"/>
        </w:rPr>
        <w:t xml:space="preserve"> of </w:t>
      </w:r>
      <w:r>
        <w:rPr>
          <w:kern w:val="0"/>
        </w:rPr>
        <w:t>children with diarrhoea</w:t>
      </w:r>
      <w:r w:rsidR="00427468">
        <w:rPr>
          <w:kern w:val="0"/>
        </w:rPr>
        <w:t xml:space="preserve"> of </w:t>
      </w:r>
      <w:r>
        <w:rPr>
          <w:kern w:val="0"/>
        </w:rPr>
        <w:t>over 14 days duration in low</w:t>
      </w:r>
      <w:r w:rsidR="005853A9">
        <w:rPr>
          <w:kern w:val="0"/>
        </w:rPr>
        <w:t xml:space="preserve"> and </w:t>
      </w:r>
      <w:r>
        <w:rPr>
          <w:kern w:val="0"/>
        </w:rPr>
        <w:t>middle income countries with a comprehensive search</w:t>
      </w:r>
      <w:r w:rsidR="00427468">
        <w:rPr>
          <w:kern w:val="0"/>
        </w:rPr>
        <w:t xml:space="preserve"> of </w:t>
      </w:r>
      <w:r w:rsidR="003A1917">
        <w:rPr>
          <w:kern w:val="0"/>
        </w:rPr>
        <w:t xml:space="preserve">the </w:t>
      </w:r>
      <w:r w:rsidR="00D5664A">
        <w:rPr>
          <w:kern w:val="0"/>
        </w:rPr>
        <w:t>MEDLINE</w:t>
      </w:r>
      <w:r>
        <w:rPr>
          <w:kern w:val="0"/>
        </w:rPr>
        <w:t>, EMBASE, LILACS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 described</w:t>
      </w:r>
      <w:r w:rsidR="003A1917">
        <w:rPr>
          <w:kern w:val="0"/>
        </w:rPr>
        <w:t xml:space="preserve"> the </w:t>
      </w:r>
      <w:r>
        <w:rPr>
          <w:kern w:val="0"/>
        </w:rPr>
        <w:t>study designs</w:t>
      </w:r>
      <w:r w:rsidR="005853A9">
        <w:rPr>
          <w:kern w:val="0"/>
        </w:rPr>
        <w:t xml:space="preserve"> and </w:t>
      </w:r>
      <w:r>
        <w:rPr>
          <w:kern w:val="0"/>
        </w:rPr>
        <w:t>populations, assessed</w:t>
      </w:r>
      <w:r w:rsidR="003A1917">
        <w:rPr>
          <w:kern w:val="0"/>
        </w:rPr>
        <w:t xml:space="preserve"> the </w:t>
      </w:r>
      <w:r>
        <w:rPr>
          <w:kern w:val="0"/>
        </w:rPr>
        <w:t>quality</w:t>
      </w:r>
      <w:r w:rsidR="00427468">
        <w:rPr>
          <w:kern w:val="0"/>
        </w:rPr>
        <w:t xml:space="preserve"> of </w:t>
      </w:r>
      <w:r w:rsidR="003A1917">
        <w:rPr>
          <w:kern w:val="0"/>
        </w:rPr>
        <w:t xml:space="preserve">the </w:t>
      </w:r>
      <w:r>
        <w:rPr>
          <w:kern w:val="0"/>
        </w:rPr>
        <w:t>laboratory tests,</w:t>
      </w:r>
      <w:r w:rsidR="005853A9">
        <w:rPr>
          <w:kern w:val="0"/>
        </w:rPr>
        <w:t xml:space="preserve"> and </w:t>
      </w:r>
      <w:r>
        <w:rPr>
          <w:kern w:val="0"/>
        </w:rPr>
        <w:t>extracted</w:t>
      </w:r>
      <w:r w:rsidR="005853A9">
        <w:rPr>
          <w:kern w:val="0"/>
        </w:rPr>
        <w:t xml:space="preserve"> and </w:t>
      </w:r>
      <w:r>
        <w:rPr>
          <w:kern w:val="0"/>
        </w:rPr>
        <w:t>summarised data on pathogens. For Escherichia coli, we calculated high</w:t>
      </w:r>
      <w:r w:rsidR="005853A9">
        <w:rPr>
          <w:kern w:val="0"/>
        </w:rPr>
        <w:t xml:space="preserve"> and </w:t>
      </w:r>
      <w:r>
        <w:rPr>
          <w:kern w:val="0"/>
        </w:rPr>
        <w:t>low prevalence estimates</w:t>
      </w:r>
      <w:r w:rsidR="00427468">
        <w:rPr>
          <w:kern w:val="0"/>
        </w:rPr>
        <w:t xml:space="preserve"> of </w:t>
      </w:r>
      <w:r>
        <w:rPr>
          <w:kern w:val="0"/>
        </w:rPr>
        <w:t>all enteropathic types combined. Results across studies were compared for geographical patterns. Results: Nineteen studies were included. Some used episodes</w:t>
      </w:r>
      <w:r w:rsidR="00427468">
        <w:rPr>
          <w:kern w:val="0"/>
        </w:rPr>
        <w:t xml:space="preserve"> of </w:t>
      </w:r>
      <w:r>
        <w:rPr>
          <w:kern w:val="0"/>
        </w:rPr>
        <w:t>diarrhoea as</w:t>
      </w:r>
      <w:r w:rsidR="003A1917">
        <w:rPr>
          <w:kern w:val="0"/>
        </w:rPr>
        <w:t xml:space="preserve"> the </w:t>
      </w:r>
      <w:r>
        <w:rPr>
          <w:kern w:val="0"/>
        </w:rPr>
        <w:t>unit</w:t>
      </w:r>
      <w:r w:rsidR="00427468">
        <w:rPr>
          <w:kern w:val="0"/>
        </w:rPr>
        <w:t xml:space="preserve"> of </w:t>
      </w:r>
      <w:r>
        <w:rPr>
          <w:kern w:val="0"/>
        </w:rPr>
        <w:t>analysis, others used children</w:t>
      </w:r>
      <w:r w:rsidR="00A37C1D">
        <w:rPr>
          <w:kern w:val="0"/>
        </w:rPr>
        <w:t>. The</w:t>
      </w:r>
      <w:r w:rsidR="003A1917">
        <w:rPr>
          <w:kern w:val="0"/>
        </w:rPr>
        <w:t xml:space="preserve"> </w:t>
      </w:r>
      <w:r>
        <w:rPr>
          <w:kern w:val="0"/>
        </w:rPr>
        <w:t>quality</w:t>
      </w:r>
      <w:r w:rsidR="00427468">
        <w:rPr>
          <w:kern w:val="0"/>
        </w:rPr>
        <w:t xml:space="preserve"> of </w:t>
      </w:r>
      <w:r>
        <w:rPr>
          <w:kern w:val="0"/>
        </w:rPr>
        <w:t>reporting</w:t>
      </w:r>
      <w:r w:rsidR="00427468">
        <w:rPr>
          <w:kern w:val="0"/>
        </w:rPr>
        <w:t xml:space="preserve"> of </w:t>
      </w:r>
      <w:r>
        <w:rPr>
          <w:kern w:val="0"/>
        </w:rPr>
        <w:t>laboratory procedures varied,</w:t>
      </w:r>
      <w:r w:rsidR="005853A9">
        <w:rPr>
          <w:kern w:val="0"/>
        </w:rPr>
        <w:t xml:space="preserve"> and </w:t>
      </w:r>
      <w:r>
        <w:rPr>
          <w:kern w:val="0"/>
        </w:rPr>
        <w:t>pathogens (particularly E. coli types) were classified in different ways. As there were no apparent regional differences in pathogen prevalence, we aggregated data between studies to give a guide to overall prevalence. Enteropathic E. coli types were commonly found in children with persistent diarrhoea (up to 63%). Various other organisms, including viruses, bacteria</w:t>
      </w:r>
      <w:r w:rsidR="005853A9">
        <w:rPr>
          <w:kern w:val="0"/>
        </w:rPr>
        <w:t xml:space="preserve"> and </w:t>
      </w:r>
      <w:r>
        <w:rPr>
          <w:kern w:val="0"/>
        </w:rPr>
        <w:t>parasites, were detected but across all studies their prevalence was under 10%. However, these pathogens were also found in similar frequencies in children without diarrhoea. Conclusion: A number</w:t>
      </w:r>
      <w:r w:rsidR="00427468">
        <w:rPr>
          <w:kern w:val="0"/>
        </w:rPr>
        <w:t xml:space="preserve"> of </w:t>
      </w:r>
      <w:r>
        <w:rPr>
          <w:kern w:val="0"/>
        </w:rPr>
        <w:t>pathogens are commonly associated with persistent diarrhoea in children, but in children without diarrhoea</w:t>
      </w:r>
      <w:r w:rsidR="003A1917">
        <w:rPr>
          <w:kern w:val="0"/>
        </w:rPr>
        <w:t xml:space="preserve"> the </w:t>
      </w:r>
      <w:r>
        <w:rPr>
          <w:kern w:val="0"/>
        </w:rPr>
        <w:t>pathogens are found with similar frequencies. New research with carefully selected controls</w:t>
      </w:r>
      <w:r w:rsidR="005853A9">
        <w:rPr>
          <w:kern w:val="0"/>
        </w:rPr>
        <w:t xml:space="preserve"> and </w:t>
      </w:r>
      <w:r>
        <w:rPr>
          <w:kern w:val="0"/>
        </w:rPr>
        <w:t>standardised laboratory investigations across countries will help map causes</w:t>
      </w:r>
      <w:r w:rsidR="005853A9">
        <w:rPr>
          <w:kern w:val="0"/>
        </w:rPr>
        <w:t xml:space="preserve"> and </w:t>
      </w:r>
      <w:r>
        <w:rPr>
          <w:kern w:val="0"/>
        </w:rPr>
        <w:t>help explore effective options for presumptive treatment.</w:t>
      </w:r>
    </w:p>
    <w:p w:rsidR="00A62BD9" w:rsidRDefault="00A62BD9" w:rsidP="00A62BD9">
      <w:pPr>
        <w:pStyle w:val="a3"/>
        <w:rPr>
          <w:kern w:val="0"/>
        </w:rPr>
      </w:pPr>
      <w:r>
        <w:rPr>
          <w:kern w:val="0"/>
        </w:rPr>
        <w:t xml:space="preserve">Keywords: Analysis, Bacteria, Bangladesh, Children, Databases, Descriptive Studies, Duration, EMBASE, Epidemiology, Escherichia-Coli, HIV, Income, Infection, Malnutrition, </w:t>
      </w:r>
      <w:r w:rsidR="00D5664A">
        <w:rPr>
          <w:kern w:val="0"/>
        </w:rPr>
        <w:t>MEDLINE</w:t>
      </w:r>
      <w:r>
        <w:rPr>
          <w:kern w:val="0"/>
        </w:rPr>
        <w:t xml:space="preserve">, Methods, Northeastern Brazil, Of-Science, Prevalence, Research, Review, Risk-Factors, Science, Systematic, Systematic Review, Treatment, Web, </w:t>
      </w:r>
      <w:r w:rsidR="00D5664A">
        <w:rPr>
          <w:kern w:val="0"/>
        </w:rPr>
        <w:t>Web-of-Science</w:t>
      </w:r>
      <w:r>
        <w:rPr>
          <w:kern w:val="0"/>
        </w:rPr>
        <w:t>, Zambian Children</w:t>
      </w:r>
    </w:p>
    <w:p w:rsidR="008F20C0" w:rsidRDefault="008F20C0" w:rsidP="008F20C0">
      <w:pPr>
        <w:pStyle w:val="a3"/>
        <w:rPr>
          <w:kern w:val="0"/>
        </w:rPr>
      </w:pPr>
      <w:r>
        <w:rPr>
          <w:rFonts w:hint="eastAsia"/>
          <w:kern w:val="0"/>
        </w:rPr>
        <w:t xml:space="preserve">? </w:t>
      </w:r>
      <w:r>
        <w:rPr>
          <w:kern w:val="0"/>
        </w:rPr>
        <w:t>Uthman, O.A. (2010), Pattern</w:t>
      </w:r>
      <w:r w:rsidR="005853A9">
        <w:rPr>
          <w:kern w:val="0"/>
        </w:rPr>
        <w:t xml:space="preserve"> and </w:t>
      </w:r>
      <w:r>
        <w:rPr>
          <w:kern w:val="0"/>
        </w:rPr>
        <w:t>determinants</w:t>
      </w:r>
      <w:r w:rsidR="00427468">
        <w:rPr>
          <w:kern w:val="0"/>
        </w:rPr>
        <w:t xml:space="preserve"> of </w:t>
      </w:r>
      <w:r>
        <w:rPr>
          <w:kern w:val="0"/>
        </w:rPr>
        <w:t>HIV research productivity in sub-Saharan Africa: Bibliometric analysis</w:t>
      </w:r>
      <w:r w:rsidR="00427468">
        <w:rPr>
          <w:kern w:val="0"/>
        </w:rPr>
        <w:t xml:space="preserve"> of </w:t>
      </w:r>
      <w:r>
        <w:rPr>
          <w:kern w:val="0"/>
        </w:rPr>
        <w:t xml:space="preserve">1981 to 2009 </w:t>
      </w:r>
      <w:r w:rsidR="002C12F0">
        <w:rPr>
          <w:kern w:val="0"/>
        </w:rPr>
        <w:t>PUBMED</w:t>
      </w:r>
      <w:r>
        <w:rPr>
          <w:kern w:val="0"/>
        </w:rPr>
        <w:t xml:space="preserve"> papers. </w:t>
      </w:r>
      <w:r>
        <w:rPr>
          <w:i/>
          <w:iCs/>
          <w:kern w:val="0"/>
        </w:rPr>
        <w:t>BMC Infectious Diseases</w:t>
      </w:r>
      <w:r>
        <w:rPr>
          <w:kern w:val="0"/>
        </w:rPr>
        <w:t xml:space="preserve">, </w:t>
      </w:r>
      <w:r>
        <w:rPr>
          <w:b/>
          <w:bCs/>
          <w:kern w:val="0"/>
        </w:rPr>
        <w:t>10</w:t>
      </w:r>
      <w:r>
        <w:rPr>
          <w:rFonts w:hint="eastAsia"/>
          <w:kern w:val="0"/>
          <w:szCs w:val="24"/>
        </w:rPr>
        <w:t xml:space="preserve">, </w:t>
      </w:r>
      <w:r>
        <w:rPr>
          <w:kern w:val="0"/>
          <w:szCs w:val="24"/>
        </w:rPr>
        <w:t>Article Number:</w:t>
      </w:r>
      <w:r>
        <w:rPr>
          <w:kern w:val="0"/>
        </w:rPr>
        <w:t xml:space="preserve"> </w:t>
      </w:r>
      <w:r>
        <w:rPr>
          <w:rFonts w:hint="eastAsia"/>
          <w:kern w:val="0"/>
        </w:rPr>
        <w:t>47</w:t>
      </w:r>
      <w:r>
        <w:rPr>
          <w:kern w:val="0"/>
        </w:rPr>
        <w:t>.</w:t>
      </w:r>
    </w:p>
    <w:p w:rsidR="003C754E" w:rsidRPr="00D07B75" w:rsidRDefault="003C754E" w:rsidP="003C754E">
      <w:pPr>
        <w:pStyle w:val="a3"/>
      </w:pPr>
      <w:r>
        <w:rPr>
          <w:rFonts w:hint="eastAsia"/>
        </w:rPr>
        <w:t>Full Text:</w:t>
      </w:r>
      <w:r w:rsidRPr="00265F61">
        <w:rPr>
          <w:rFonts w:hint="eastAsia"/>
        </w:rPr>
        <w:t xml:space="preserve"> </w:t>
      </w:r>
      <w:hyperlink r:id="rId1608" w:history="1">
        <w:r w:rsidRPr="001809AA">
          <w:rPr>
            <w:rStyle w:val="a5"/>
          </w:rPr>
          <w:t>2010\BMC Inf Dis10, 47.pdf</w:t>
        </w:r>
      </w:hyperlink>
    </w:p>
    <w:p w:rsidR="008F20C0" w:rsidRDefault="008F20C0" w:rsidP="008F20C0">
      <w:pPr>
        <w:pStyle w:val="a3"/>
        <w:rPr>
          <w:kern w:val="0"/>
        </w:rPr>
      </w:pPr>
      <w:r>
        <w:rPr>
          <w:kern w:val="0"/>
        </w:rPr>
        <w:t>Abstract: Background: Several bibliometric studies have been published on AIDS</w:t>
      </w:r>
      <w:r w:rsidR="00A37C1D">
        <w:rPr>
          <w:kern w:val="0"/>
        </w:rPr>
        <w:t>. The</w:t>
      </w:r>
      <w:r w:rsidR="003A1917">
        <w:rPr>
          <w:kern w:val="0"/>
        </w:rPr>
        <w:t xml:space="preserve"> </w:t>
      </w:r>
      <w:r>
        <w:rPr>
          <w:kern w:val="0"/>
        </w:rPr>
        <w:t>findings obtained from these studies have provided a general picture</w:t>
      </w:r>
      <w:r w:rsidR="00427468">
        <w:rPr>
          <w:kern w:val="0"/>
        </w:rPr>
        <w:t xml:space="preserve"> of </w:t>
      </w:r>
      <w:r w:rsidR="003A1917">
        <w:rPr>
          <w:kern w:val="0"/>
        </w:rPr>
        <w:t xml:space="preserve">the </w:t>
      </w:r>
      <w:r>
        <w:rPr>
          <w:kern w:val="0"/>
        </w:rPr>
        <w:t>history</w:t>
      </w:r>
      <w:r w:rsidR="005853A9">
        <w:rPr>
          <w:kern w:val="0"/>
        </w:rPr>
        <w:t xml:space="preserve"> and </w:t>
      </w:r>
      <w:r>
        <w:rPr>
          <w:kern w:val="0"/>
        </w:rPr>
        <w:t>growth</w:t>
      </w:r>
      <w:r w:rsidR="00427468">
        <w:rPr>
          <w:kern w:val="0"/>
        </w:rPr>
        <w:t xml:space="preserve"> of </w:t>
      </w:r>
      <w:r>
        <w:rPr>
          <w:kern w:val="0"/>
        </w:rPr>
        <w:t>AIDS literature. However, factors related to variation in HIV research productivity in sub-Saharan Africa have not been examined</w:t>
      </w:r>
      <w:r w:rsidR="00A37C1D">
        <w:rPr>
          <w:kern w:val="0"/>
        </w:rPr>
        <w:t>. The</w:t>
      </w:r>
      <w:r>
        <w:rPr>
          <w:kern w:val="0"/>
        </w:rPr>
        <w:t>refore, this study aims to fill some</w:t>
      </w:r>
      <w:r w:rsidR="00427468">
        <w:rPr>
          <w:kern w:val="0"/>
        </w:rPr>
        <w:t xml:space="preserve"> of </w:t>
      </w:r>
      <w:r w:rsidR="003A1917">
        <w:rPr>
          <w:kern w:val="0"/>
        </w:rPr>
        <w:t xml:space="preserve">the </w:t>
      </w:r>
      <w:r>
        <w:rPr>
          <w:kern w:val="0"/>
        </w:rPr>
        <w:t xml:space="preserve">gap in existing research to provide insights into factors associated with HIV research productivity in sub-Saharan Africa. Methods: A bibliometric analysis regarding sub-Saharan Africa HIV/AIDS research was </w:t>
      </w:r>
      <w:r>
        <w:rPr>
          <w:kern w:val="0"/>
        </w:rPr>
        <w:lastRenderedPageBreak/>
        <w:t>conducted in</w:t>
      </w:r>
      <w:r w:rsidR="003A1917">
        <w:rPr>
          <w:kern w:val="0"/>
        </w:rPr>
        <w:t xml:space="preserve"> the </w:t>
      </w:r>
      <w:r w:rsidR="002C12F0">
        <w:rPr>
          <w:kern w:val="0"/>
        </w:rPr>
        <w:t>PUBMED</w:t>
      </w:r>
      <w:r>
        <w:rPr>
          <w:kern w:val="0"/>
        </w:rPr>
        <w:t xml:space="preserve"> database for</w:t>
      </w:r>
      <w:r w:rsidR="003A1917">
        <w:rPr>
          <w:kern w:val="0"/>
        </w:rPr>
        <w:t xml:space="preserve"> the </w:t>
      </w:r>
      <w:r>
        <w:rPr>
          <w:kern w:val="0"/>
        </w:rPr>
        <w:t>period</w:t>
      </w:r>
      <w:r w:rsidR="00427468">
        <w:rPr>
          <w:kern w:val="0"/>
        </w:rPr>
        <w:t xml:space="preserve"> of </w:t>
      </w:r>
      <w:r>
        <w:rPr>
          <w:kern w:val="0"/>
        </w:rPr>
        <w:t>1981 to 2009</w:t>
      </w:r>
      <w:r w:rsidR="00A37C1D">
        <w:rPr>
          <w:kern w:val="0"/>
        </w:rPr>
        <w:t>. The</w:t>
      </w:r>
      <w:r w:rsidR="003A1917">
        <w:rPr>
          <w:kern w:val="0"/>
        </w:rPr>
        <w:t xml:space="preserve"> </w:t>
      </w:r>
      <w:r>
        <w:rPr>
          <w:kern w:val="0"/>
        </w:rPr>
        <w:t>numbers</w:t>
      </w:r>
      <w:r w:rsidR="00427468">
        <w:rPr>
          <w:kern w:val="0"/>
        </w:rPr>
        <w:t xml:space="preserve"> of </w:t>
      </w:r>
      <w:r>
        <w:rPr>
          <w:kern w:val="0"/>
        </w:rPr>
        <w:t xml:space="preserve">HIV research articles indexed in </w:t>
      </w:r>
      <w:r w:rsidR="002C12F0">
        <w:rPr>
          <w:kern w:val="0"/>
        </w:rPr>
        <w:t>PUBMED</w:t>
      </w:r>
      <w:r>
        <w:rPr>
          <w:kern w:val="0"/>
        </w:rPr>
        <w:t xml:space="preserve"> was used as surrogate for total HIV research productivity. Series</w:t>
      </w:r>
      <w:r w:rsidR="00427468">
        <w:rPr>
          <w:kern w:val="0"/>
        </w:rPr>
        <w:t xml:space="preserve"> of </w:t>
      </w:r>
      <w:r>
        <w:rPr>
          <w:kern w:val="0"/>
        </w:rPr>
        <w:t>univariable</w:t>
      </w:r>
      <w:r w:rsidR="005853A9">
        <w:rPr>
          <w:kern w:val="0"/>
        </w:rPr>
        <w:t xml:space="preserve"> and </w:t>
      </w:r>
      <w:r>
        <w:rPr>
          <w:kern w:val="0"/>
        </w:rPr>
        <w:t>multivariable negative binomial regression models were used to explore factors associated with variation in HIV research productivity in sub-Saharan Africa. Results: First authors from South Africa, Uganda</w:t>
      </w:r>
      <w:r w:rsidR="005853A9">
        <w:rPr>
          <w:kern w:val="0"/>
        </w:rPr>
        <w:t xml:space="preserve"> and </w:t>
      </w:r>
      <w:r>
        <w:rPr>
          <w:kern w:val="0"/>
        </w:rPr>
        <w:t>Kenya contributed almost half</w:t>
      </w:r>
      <w:r w:rsidR="00427468">
        <w:rPr>
          <w:kern w:val="0"/>
        </w:rPr>
        <w:t xml:space="preserve"> of </w:t>
      </w:r>
      <w:r w:rsidR="003A1917">
        <w:rPr>
          <w:kern w:val="0"/>
        </w:rPr>
        <w:t xml:space="preserve">the </w:t>
      </w:r>
      <w:r>
        <w:rPr>
          <w:kern w:val="0"/>
        </w:rPr>
        <w:t>total number</w:t>
      </w:r>
      <w:r w:rsidR="00427468">
        <w:rPr>
          <w:kern w:val="0"/>
        </w:rPr>
        <w:t xml:space="preserve"> of </w:t>
      </w:r>
      <w:r>
        <w:rPr>
          <w:kern w:val="0"/>
        </w:rPr>
        <w:t xml:space="preserve">HIV articles indexed in </w:t>
      </w:r>
      <w:r w:rsidR="002C12F0">
        <w:rPr>
          <w:kern w:val="0"/>
        </w:rPr>
        <w:t>PUBMED</w:t>
      </w:r>
      <w:r>
        <w:rPr>
          <w:kern w:val="0"/>
        </w:rPr>
        <w:t xml:space="preserve"> between 1981</w:t>
      </w:r>
      <w:r w:rsidR="005853A9">
        <w:rPr>
          <w:kern w:val="0"/>
        </w:rPr>
        <w:t xml:space="preserve"> and </w:t>
      </w:r>
      <w:r>
        <w:rPr>
          <w:kern w:val="0"/>
        </w:rPr>
        <w:t>2009. Uganda, Zimbabwe</w:t>
      </w:r>
      <w:r w:rsidR="005853A9">
        <w:rPr>
          <w:kern w:val="0"/>
        </w:rPr>
        <w:t xml:space="preserve"> and </w:t>
      </w:r>
      <w:r>
        <w:rPr>
          <w:kern w:val="0"/>
        </w:rPr>
        <w:t>Malawi had better records when</w:t>
      </w:r>
      <w:r w:rsidR="003A1917">
        <w:rPr>
          <w:kern w:val="0"/>
        </w:rPr>
        <w:t xml:space="preserve"> the </w:t>
      </w:r>
      <w:r>
        <w:rPr>
          <w:kern w:val="0"/>
        </w:rPr>
        <w:t>total production was adjusted for gross domestic product (GDP). Comoros,</w:t>
      </w:r>
      <w:r w:rsidR="003A1917">
        <w:rPr>
          <w:kern w:val="0"/>
        </w:rPr>
        <w:t xml:space="preserve"> the </w:t>
      </w:r>
      <w:r>
        <w:rPr>
          <w:kern w:val="0"/>
        </w:rPr>
        <w:t>Gambia</w:t>
      </w:r>
      <w:r w:rsidR="005853A9">
        <w:rPr>
          <w:kern w:val="0"/>
        </w:rPr>
        <w:t xml:space="preserve"> and </w:t>
      </w:r>
      <w:r>
        <w:rPr>
          <w:kern w:val="0"/>
        </w:rPr>
        <w:t>Guinea-Bissau were</w:t>
      </w:r>
      <w:r w:rsidR="003A1917">
        <w:rPr>
          <w:kern w:val="0"/>
        </w:rPr>
        <w:t xml:space="preserve"> the </w:t>
      </w:r>
      <w:r>
        <w:rPr>
          <w:kern w:val="0"/>
        </w:rPr>
        <w:t>most productive countries when</w:t>
      </w:r>
      <w:r w:rsidR="003A1917">
        <w:rPr>
          <w:kern w:val="0"/>
        </w:rPr>
        <w:t xml:space="preserve"> the </w:t>
      </w:r>
      <w:r>
        <w:rPr>
          <w:kern w:val="0"/>
        </w:rPr>
        <w:t>total products were normalized by number</w:t>
      </w:r>
      <w:r w:rsidR="00427468">
        <w:rPr>
          <w:kern w:val="0"/>
        </w:rPr>
        <w:t xml:space="preserve"> of </w:t>
      </w:r>
      <w:r>
        <w:rPr>
          <w:kern w:val="0"/>
        </w:rPr>
        <w:t>people with HIV</w:t>
      </w:r>
      <w:r w:rsidR="00A37C1D">
        <w:rPr>
          <w:kern w:val="0"/>
        </w:rPr>
        <w:t>. The</w:t>
      </w:r>
      <w:r>
        <w:rPr>
          <w:kern w:val="0"/>
        </w:rPr>
        <w:t>re were strong positive</w:t>
      </w:r>
      <w:r w:rsidR="005853A9">
        <w:rPr>
          <w:kern w:val="0"/>
        </w:rPr>
        <w:t xml:space="preserve"> and </w:t>
      </w:r>
      <w:r>
        <w:rPr>
          <w:kern w:val="0"/>
        </w:rPr>
        <w:t>statistically significant correlation between countries number</w:t>
      </w:r>
      <w:r w:rsidR="00427468">
        <w:rPr>
          <w:kern w:val="0"/>
        </w:rPr>
        <w:t xml:space="preserve"> of </w:t>
      </w:r>
      <w:r>
        <w:rPr>
          <w:kern w:val="0"/>
        </w:rPr>
        <w:t>indexed journal (Pearson correlation r = 0.77, p = .001), number</w:t>
      </w:r>
      <w:r w:rsidR="00427468">
        <w:rPr>
          <w:kern w:val="0"/>
        </w:rPr>
        <w:t xml:space="preserve"> of </w:t>
      </w:r>
      <w:r>
        <w:rPr>
          <w:kern w:val="0"/>
        </w:rPr>
        <w:t>higher institutions (r = 0.60, p = .001), number</w:t>
      </w:r>
      <w:r w:rsidR="00427468">
        <w:rPr>
          <w:kern w:val="0"/>
        </w:rPr>
        <w:t xml:space="preserve"> of </w:t>
      </w:r>
      <w:r>
        <w:rPr>
          <w:kern w:val="0"/>
        </w:rPr>
        <w:t>physicians (r = 0.83, p = .001)</w:t>
      </w:r>
      <w:r w:rsidR="005853A9">
        <w:rPr>
          <w:kern w:val="0"/>
        </w:rPr>
        <w:t xml:space="preserve"> and </w:t>
      </w:r>
      <w:r>
        <w:rPr>
          <w:kern w:val="0"/>
        </w:rPr>
        <w:t>absolute numbers</w:t>
      </w:r>
      <w:r w:rsidR="00427468">
        <w:rPr>
          <w:kern w:val="0"/>
        </w:rPr>
        <w:t xml:space="preserve"> of </w:t>
      </w:r>
      <w:r>
        <w:rPr>
          <w:kern w:val="0"/>
        </w:rPr>
        <w:t>HIV articles. Conclusions: HIV research productivity in Africa is highly skewed. To increase HIV research output, total expenditure on health (%</w:t>
      </w:r>
      <w:r w:rsidR="00427468">
        <w:rPr>
          <w:kern w:val="0"/>
        </w:rPr>
        <w:t xml:space="preserve"> of </w:t>
      </w:r>
      <w:r>
        <w:rPr>
          <w:kern w:val="0"/>
        </w:rPr>
        <w:t>GDP), private expenditure on health,</w:t>
      </w:r>
      <w:r w:rsidR="005853A9">
        <w:rPr>
          <w:kern w:val="0"/>
        </w:rPr>
        <w:t xml:space="preserve"> and </w:t>
      </w:r>
      <w:r>
        <w:rPr>
          <w:kern w:val="0"/>
        </w:rPr>
        <w:t>adult literacy rate may be important factors to address.</w:t>
      </w:r>
    </w:p>
    <w:p w:rsidR="008F20C0" w:rsidRDefault="008F20C0" w:rsidP="008F20C0">
      <w:pPr>
        <w:pStyle w:val="a3"/>
        <w:rPr>
          <w:kern w:val="0"/>
        </w:rPr>
      </w:pPr>
      <w:r>
        <w:rPr>
          <w:kern w:val="0"/>
        </w:rPr>
        <w:t>Keywords: Africa, AIDS, Articles, Bibliometric, Bibliometric Analysis, Bibliometric Studies, Database, Growth, Health, History, HIV, Immunodeficiency-Syndrome AIDS, Journal, Literature, Models, Positive, Productivity, Regression, Research, Research Output, Research Productivity, South Africa</w:t>
      </w:r>
    </w:p>
    <w:p w:rsidR="00A62BD9" w:rsidRDefault="00A62BD9" w:rsidP="00A62BD9">
      <w:pPr>
        <w:pStyle w:val="a3"/>
        <w:rPr>
          <w:kern w:val="0"/>
        </w:rPr>
      </w:pPr>
      <w:r>
        <w:rPr>
          <w:rFonts w:hint="eastAsia"/>
          <w:kern w:val="0"/>
        </w:rPr>
        <w:t xml:space="preserve">? </w:t>
      </w:r>
      <w:r>
        <w:rPr>
          <w:kern w:val="0"/>
        </w:rPr>
        <w:t>Gillet, E., Meys, J.F.A., Verstraelen, H., Bosire, C., De Sutter, P., Temmerman, M.</w:t>
      </w:r>
      <w:r w:rsidR="005853A9">
        <w:rPr>
          <w:kern w:val="0"/>
        </w:rPr>
        <w:t xml:space="preserve"> and </w:t>
      </w:r>
      <w:r>
        <w:rPr>
          <w:kern w:val="0"/>
        </w:rPr>
        <w:t xml:space="preserve">Broeck, D.V. (2011), Bacterial vaginosis is associated with uterine cervical human papillomavirus infection: A meta-analysis. </w:t>
      </w:r>
      <w:r>
        <w:rPr>
          <w:i/>
          <w:iCs/>
          <w:kern w:val="0"/>
        </w:rPr>
        <w:t>BMC Infectious Diseases</w:t>
      </w:r>
      <w:r>
        <w:rPr>
          <w:kern w:val="0"/>
        </w:rPr>
        <w:t xml:space="preserve">, </w:t>
      </w:r>
      <w:r>
        <w:rPr>
          <w:b/>
          <w:bCs/>
          <w:kern w:val="0"/>
        </w:rPr>
        <w:t>11</w:t>
      </w:r>
      <w:r>
        <w:rPr>
          <w:rFonts w:hint="eastAsia"/>
          <w:kern w:val="0"/>
        </w:rPr>
        <w:t xml:space="preserve">, </w:t>
      </w:r>
      <w:r>
        <w:t>Article Number: 10</w:t>
      </w:r>
      <w:r>
        <w:rPr>
          <w:rFonts w:hint="eastAsia"/>
        </w:rPr>
        <w:t>.</w:t>
      </w:r>
    </w:p>
    <w:p w:rsidR="00A62BD9" w:rsidRPr="00FC7835" w:rsidRDefault="00A62BD9" w:rsidP="00A62BD9">
      <w:pPr>
        <w:pStyle w:val="a3"/>
        <w:rPr>
          <w:kern w:val="0"/>
        </w:rPr>
      </w:pPr>
      <w:r>
        <w:rPr>
          <w:kern w:val="0"/>
        </w:rPr>
        <w:t>Full Text:</w:t>
      </w:r>
      <w:r w:rsidRPr="00FC7835">
        <w:rPr>
          <w:kern w:val="0"/>
        </w:rPr>
        <w:t xml:space="preserve"> </w:t>
      </w:r>
      <w:hyperlink r:id="rId1609" w:history="1">
        <w:r w:rsidRPr="00733BD7">
          <w:rPr>
            <w:rStyle w:val="a5"/>
            <w:kern w:val="0"/>
          </w:rPr>
          <w:t>2011\BMC Inf Dis11, 10.pdf</w:t>
        </w:r>
      </w:hyperlink>
    </w:p>
    <w:p w:rsidR="00A62BD9" w:rsidRDefault="00A62BD9" w:rsidP="00A62BD9">
      <w:pPr>
        <w:pStyle w:val="a3"/>
        <w:rPr>
          <w:kern w:val="0"/>
        </w:rPr>
      </w:pPr>
      <w:r>
        <w:rPr>
          <w:kern w:val="0"/>
        </w:rPr>
        <w:t>Abstract: Background: Bacterial vaginosis (BV), an alteration</w:t>
      </w:r>
      <w:r w:rsidR="00427468">
        <w:rPr>
          <w:kern w:val="0"/>
        </w:rPr>
        <w:t xml:space="preserve"> of </w:t>
      </w:r>
      <w:r>
        <w:rPr>
          <w:kern w:val="0"/>
        </w:rPr>
        <w:t>vaginal flora involving a decrease in Lactobacilli</w:t>
      </w:r>
      <w:r w:rsidR="005853A9">
        <w:rPr>
          <w:kern w:val="0"/>
        </w:rPr>
        <w:t xml:space="preserve"> and </w:t>
      </w:r>
      <w:r>
        <w:rPr>
          <w:kern w:val="0"/>
        </w:rPr>
        <w:t>predominance</w:t>
      </w:r>
      <w:r w:rsidR="00427468">
        <w:rPr>
          <w:kern w:val="0"/>
        </w:rPr>
        <w:t xml:space="preserve"> of </w:t>
      </w:r>
      <w:r>
        <w:rPr>
          <w:kern w:val="0"/>
        </w:rPr>
        <w:t>anaerobic bacteria, is among</w:t>
      </w:r>
      <w:r w:rsidR="003A1917">
        <w:rPr>
          <w:kern w:val="0"/>
        </w:rPr>
        <w:t xml:space="preserve"> the </w:t>
      </w:r>
      <w:r>
        <w:rPr>
          <w:kern w:val="0"/>
        </w:rPr>
        <w:t>most common cause</w:t>
      </w:r>
      <w:r w:rsidR="00427468">
        <w:rPr>
          <w:kern w:val="0"/>
        </w:rPr>
        <w:t xml:space="preserve"> of </w:t>
      </w:r>
      <w:r>
        <w:rPr>
          <w:kern w:val="0"/>
        </w:rPr>
        <w:t>vaginal complaints for women</w:t>
      </w:r>
      <w:r w:rsidR="00427468">
        <w:rPr>
          <w:kern w:val="0"/>
        </w:rPr>
        <w:t xml:space="preserve"> of </w:t>
      </w:r>
      <w:r>
        <w:rPr>
          <w:kern w:val="0"/>
        </w:rPr>
        <w:t>childbearing age. It is well known that BV has an influence in acquisition</w:t>
      </w:r>
      <w:r w:rsidR="00427468">
        <w:rPr>
          <w:kern w:val="0"/>
        </w:rPr>
        <w:t xml:space="preserve"> of </w:t>
      </w:r>
      <w:r>
        <w:rPr>
          <w:kern w:val="0"/>
        </w:rPr>
        <w:t>certain genital infections. However, association between BV</w:t>
      </w:r>
      <w:r w:rsidR="005853A9">
        <w:rPr>
          <w:kern w:val="0"/>
        </w:rPr>
        <w:t xml:space="preserve"> and </w:t>
      </w:r>
      <w:r>
        <w:rPr>
          <w:kern w:val="0"/>
        </w:rPr>
        <w:t>cervical human papillomavirus (HPV) infection has been inconsistent among studies</w:t>
      </w:r>
      <w:r w:rsidR="00A37C1D">
        <w:rPr>
          <w:kern w:val="0"/>
        </w:rPr>
        <w:t>. The</w:t>
      </w:r>
      <w:r w:rsidR="003A1917">
        <w:rPr>
          <w:kern w:val="0"/>
        </w:rPr>
        <w:t xml:space="preserve"> </w:t>
      </w:r>
      <w:r>
        <w:rPr>
          <w:kern w:val="0"/>
        </w:rPr>
        <w:t>objective</w:t>
      </w:r>
      <w:r w:rsidR="00427468">
        <w:rPr>
          <w:kern w:val="0"/>
        </w:rPr>
        <w:t xml:space="preserve"> of </w:t>
      </w:r>
      <w:r>
        <w:rPr>
          <w:kern w:val="0"/>
        </w:rPr>
        <w:t>this meta- analysis</w:t>
      </w:r>
      <w:r w:rsidR="00427468">
        <w:rPr>
          <w:kern w:val="0"/>
        </w:rPr>
        <w:t xml:space="preserve"> of </w:t>
      </w:r>
      <w:r>
        <w:rPr>
          <w:kern w:val="0"/>
        </w:rPr>
        <w:t>published studies is to clarify</w:t>
      </w:r>
      <w:r w:rsidR="005853A9">
        <w:rPr>
          <w:kern w:val="0"/>
        </w:rPr>
        <w:t xml:space="preserve"> and </w:t>
      </w:r>
      <w:r>
        <w:rPr>
          <w:kern w:val="0"/>
        </w:rPr>
        <w:t>summarize published literature on</w:t>
      </w:r>
      <w:r w:rsidR="003A1917">
        <w:rPr>
          <w:kern w:val="0"/>
        </w:rPr>
        <w:t xml:space="preserve"> the </w:t>
      </w:r>
      <w:r>
        <w:rPr>
          <w:kern w:val="0"/>
        </w:rPr>
        <w:t xml:space="preserve">extent to which BV is associated with cervical HPV infection. Methods: </w:t>
      </w:r>
      <w:r w:rsidR="00D5664A">
        <w:rPr>
          <w:kern w:val="0"/>
        </w:rPr>
        <w:t>MEDLINE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systematically searched for eligible publications until December 2009. Articles were selected based on inclusion</w:t>
      </w:r>
      <w:r w:rsidR="005853A9">
        <w:rPr>
          <w:kern w:val="0"/>
        </w:rPr>
        <w:t xml:space="preserve"> and </w:t>
      </w:r>
      <w:r>
        <w:rPr>
          <w:kern w:val="0"/>
        </w:rPr>
        <w:t>exclusion criteria. After testing heterogeneity</w:t>
      </w:r>
      <w:r w:rsidR="00427468">
        <w:rPr>
          <w:kern w:val="0"/>
        </w:rPr>
        <w:t xml:space="preserve"> of </w:t>
      </w:r>
      <w:r>
        <w:rPr>
          <w:kern w:val="0"/>
        </w:rPr>
        <w:t>studies, meta-analysis was performed using random effect model. Results: Twelve eligible studies were selected to review</w:t>
      </w:r>
      <w:r w:rsidR="003A1917">
        <w:rPr>
          <w:kern w:val="0"/>
        </w:rPr>
        <w:t xml:space="preserve"> the </w:t>
      </w:r>
      <w:r>
        <w:rPr>
          <w:kern w:val="0"/>
        </w:rPr>
        <w:t>association between BV</w:t>
      </w:r>
      <w:r w:rsidR="005853A9">
        <w:rPr>
          <w:kern w:val="0"/>
        </w:rPr>
        <w:t xml:space="preserve"> and </w:t>
      </w:r>
      <w:r>
        <w:rPr>
          <w:kern w:val="0"/>
        </w:rPr>
        <w:t>HPV, including a total</w:t>
      </w:r>
      <w:r w:rsidR="00427468">
        <w:rPr>
          <w:kern w:val="0"/>
        </w:rPr>
        <w:t xml:space="preserve"> of </w:t>
      </w:r>
      <w:r>
        <w:rPr>
          <w:kern w:val="0"/>
        </w:rPr>
        <w:t>6,372 women</w:t>
      </w:r>
      <w:r w:rsidR="00A37C1D">
        <w:rPr>
          <w:kern w:val="0"/>
        </w:rPr>
        <w:t>. The</w:t>
      </w:r>
      <w:r w:rsidR="003A1917">
        <w:rPr>
          <w:kern w:val="0"/>
        </w:rPr>
        <w:t xml:space="preserve"> </w:t>
      </w:r>
      <w:r>
        <w:rPr>
          <w:kern w:val="0"/>
        </w:rPr>
        <w:t>pooled prevalence</w:t>
      </w:r>
      <w:r w:rsidR="00427468">
        <w:rPr>
          <w:kern w:val="0"/>
        </w:rPr>
        <w:t xml:space="preserve"> of </w:t>
      </w:r>
      <w:r>
        <w:rPr>
          <w:kern w:val="0"/>
        </w:rPr>
        <w:t>BV was 32%</w:t>
      </w:r>
      <w:r w:rsidR="00A37C1D">
        <w:rPr>
          <w:kern w:val="0"/>
        </w:rPr>
        <w:t>. The</w:t>
      </w:r>
      <w:r w:rsidR="003A1917">
        <w:rPr>
          <w:kern w:val="0"/>
        </w:rPr>
        <w:t xml:space="preserve"> </w:t>
      </w:r>
      <w:r>
        <w:rPr>
          <w:kern w:val="0"/>
        </w:rPr>
        <w:lastRenderedPageBreak/>
        <w:t>overall estimated odds ratio (OR) showed a positive association between BV</w:t>
      </w:r>
      <w:r w:rsidR="005853A9">
        <w:rPr>
          <w:kern w:val="0"/>
        </w:rPr>
        <w:t xml:space="preserve"> and </w:t>
      </w:r>
      <w:r>
        <w:rPr>
          <w:kern w:val="0"/>
        </w:rPr>
        <w:t>cervical HPV infection (OR, 1.43; 95% confidence interval, 1.11-1.84). Conclusion: This meta- analysis</w:t>
      </w:r>
      <w:r w:rsidR="00427468">
        <w:rPr>
          <w:kern w:val="0"/>
        </w:rPr>
        <w:t xml:space="preserve"> of </w:t>
      </w:r>
      <w:r>
        <w:rPr>
          <w:kern w:val="0"/>
        </w:rPr>
        <w:t>available literature resulted in a positive association between BV</w:t>
      </w:r>
      <w:r w:rsidR="005853A9">
        <w:rPr>
          <w:kern w:val="0"/>
        </w:rPr>
        <w:t xml:space="preserve"> and </w:t>
      </w:r>
      <w:r>
        <w:rPr>
          <w:kern w:val="0"/>
        </w:rPr>
        <w:t>uterine cervical HPV infection.</w:t>
      </w:r>
    </w:p>
    <w:p w:rsidR="00A62BD9" w:rsidRDefault="00A62BD9" w:rsidP="00A62BD9">
      <w:pPr>
        <w:pStyle w:val="a3"/>
        <w:rPr>
          <w:kern w:val="0"/>
        </w:rPr>
      </w:pPr>
      <w:r>
        <w:rPr>
          <w:kern w:val="0"/>
        </w:rPr>
        <w:t xml:space="preserve">Keywords: Analysis, Articles, Bacteria, Chlamydia-Trachomatis, Clue Cells, Dysbacteriosis, Epidemiology, HPV, Human, Human Papillomavirus, Infection, Intraepithelial Neoplasia, Literature, Meta-Analysis, Methods, Model, Natural-History, Prevalence, Publications, Ratio, Review, Risk-Factors, Science, Simplex-Virus Type-2, Smears, </w:t>
      </w:r>
      <w:r w:rsidR="00D5664A">
        <w:rPr>
          <w:kern w:val="0"/>
        </w:rPr>
        <w:t>Web</w:t>
      </w:r>
      <w:r w:rsidR="00427468">
        <w:rPr>
          <w:kern w:val="0"/>
        </w:rPr>
        <w:t xml:space="preserve"> of </w:t>
      </w:r>
      <w:r w:rsidR="00D5664A">
        <w:rPr>
          <w:kern w:val="0"/>
        </w:rPr>
        <w:t>Science</w:t>
      </w:r>
      <w:r>
        <w:rPr>
          <w:kern w:val="0"/>
        </w:rPr>
        <w:t>, Women</w:t>
      </w:r>
    </w:p>
    <w:p w:rsidR="006A1B19" w:rsidRDefault="006A1B19" w:rsidP="006A1B19">
      <w:pPr>
        <w:pStyle w:val="a3"/>
        <w:rPr>
          <w:kern w:val="0"/>
        </w:rPr>
      </w:pPr>
      <w:r>
        <w:rPr>
          <w:rFonts w:hint="eastAsia"/>
          <w:kern w:val="0"/>
        </w:rPr>
        <w:t xml:space="preserve">? </w:t>
      </w:r>
      <w:r>
        <w:rPr>
          <w:kern w:val="0"/>
        </w:rPr>
        <w:t>Xu, G.Y., Liu, B., Wang, F., Wei, C.G., Zhang, Y., Sheng, J.Y., Wang, G.Q.</w:t>
      </w:r>
      <w:r w:rsidR="005853A9">
        <w:rPr>
          <w:kern w:val="0"/>
        </w:rPr>
        <w:t xml:space="preserve"> and </w:t>
      </w:r>
      <w:r>
        <w:rPr>
          <w:kern w:val="0"/>
        </w:rPr>
        <w:t>Li, F. (2013), High-throughput screen</w:t>
      </w:r>
      <w:r w:rsidR="00427468">
        <w:rPr>
          <w:kern w:val="0"/>
        </w:rPr>
        <w:t xml:space="preserve"> of </w:t>
      </w:r>
      <w:r>
        <w:rPr>
          <w:kern w:val="0"/>
        </w:rPr>
        <w:t xml:space="preserve">essential gene modules in </w:t>
      </w:r>
      <w:r w:rsidRPr="00583F38">
        <w:rPr>
          <w:i/>
          <w:kern w:val="0"/>
        </w:rPr>
        <w:t>Mycobacterium tuberculosis</w:t>
      </w:r>
      <w:r>
        <w:rPr>
          <w:kern w:val="0"/>
        </w:rPr>
        <w:t xml:space="preserve">: A bibliometric approach. </w:t>
      </w:r>
      <w:r>
        <w:rPr>
          <w:i/>
          <w:iCs/>
          <w:kern w:val="0"/>
        </w:rPr>
        <w:t>BMC Infectious Diseases</w:t>
      </w:r>
      <w:r>
        <w:rPr>
          <w:kern w:val="0"/>
        </w:rPr>
        <w:t xml:space="preserve">, </w:t>
      </w:r>
      <w:r>
        <w:rPr>
          <w:b/>
          <w:bCs/>
          <w:kern w:val="0"/>
        </w:rPr>
        <w:t>13</w:t>
      </w:r>
      <w:r>
        <w:rPr>
          <w:rFonts w:hint="eastAsia"/>
          <w:kern w:val="0"/>
        </w:rPr>
        <w:t xml:space="preserve">, </w:t>
      </w:r>
      <w:r>
        <w:t xml:space="preserve">Article Number: </w:t>
      </w:r>
      <w:r>
        <w:rPr>
          <w:rFonts w:hint="eastAsia"/>
        </w:rPr>
        <w:t>227.</w:t>
      </w:r>
    </w:p>
    <w:p w:rsidR="006A1B19" w:rsidRPr="00FC7835" w:rsidRDefault="006A1B19" w:rsidP="006A1B19">
      <w:pPr>
        <w:pStyle w:val="a3"/>
        <w:rPr>
          <w:kern w:val="0"/>
        </w:rPr>
      </w:pPr>
      <w:r>
        <w:rPr>
          <w:kern w:val="0"/>
        </w:rPr>
        <w:t>Full Text:</w:t>
      </w:r>
      <w:r w:rsidRPr="00FC7835">
        <w:rPr>
          <w:kern w:val="0"/>
        </w:rPr>
        <w:t xml:space="preserve"> </w:t>
      </w:r>
      <w:hyperlink r:id="rId1610" w:history="1">
        <w:r w:rsidRPr="00583F38">
          <w:rPr>
            <w:rStyle w:val="a5"/>
            <w:kern w:val="0"/>
          </w:rPr>
          <w:t>2013\BMC Inf Dis13, 227.pdf</w:t>
        </w:r>
      </w:hyperlink>
    </w:p>
    <w:p w:rsidR="006A1B19" w:rsidRDefault="006A1B19" w:rsidP="006A1B19">
      <w:pPr>
        <w:pStyle w:val="a3"/>
        <w:rPr>
          <w:kern w:val="0"/>
        </w:rPr>
      </w:pPr>
      <w:r>
        <w:rPr>
          <w:kern w:val="0"/>
        </w:rPr>
        <w:t>Abstract: Background: Tuberculosis (TB) is an infectious disease caused by Mycobacterium tuberculosis (M. tuberculosis)</w:t>
      </w:r>
      <w:r w:rsidR="00A37C1D">
        <w:rPr>
          <w:kern w:val="0"/>
        </w:rPr>
        <w:t>. The</w:t>
      </w:r>
      <w:r>
        <w:rPr>
          <w:kern w:val="0"/>
        </w:rPr>
        <w:t xml:space="preserve"> annotation</w:t>
      </w:r>
      <w:r w:rsidR="00427468">
        <w:rPr>
          <w:kern w:val="0"/>
        </w:rPr>
        <w:t xml:space="preserve"> of </w:t>
      </w:r>
      <w:r>
        <w:rPr>
          <w:kern w:val="0"/>
        </w:rPr>
        <w:t>functional genome</w:t>
      </w:r>
      <w:r w:rsidR="005853A9">
        <w:rPr>
          <w:kern w:val="0"/>
        </w:rPr>
        <w:t xml:space="preserve"> and </w:t>
      </w:r>
      <w:r>
        <w:rPr>
          <w:kern w:val="0"/>
        </w:rPr>
        <w:t>signaling network in M. tuberculosis are still not systematic. Essential gene modules are a collection</w:t>
      </w:r>
      <w:r w:rsidR="00427468">
        <w:rPr>
          <w:kern w:val="0"/>
        </w:rPr>
        <w:t xml:space="preserve"> of </w:t>
      </w:r>
      <w:r>
        <w:rPr>
          <w:kern w:val="0"/>
        </w:rPr>
        <w:t>functionally related essential genes in the same signaling or metabolic pathway</w:t>
      </w:r>
      <w:r w:rsidR="00A37C1D">
        <w:rPr>
          <w:kern w:val="0"/>
        </w:rPr>
        <w:t>. The</w:t>
      </w:r>
      <w:r>
        <w:rPr>
          <w:kern w:val="0"/>
        </w:rPr>
        <w:t xml:space="preserve"> determination</w:t>
      </w:r>
      <w:r w:rsidR="00427468">
        <w:rPr>
          <w:kern w:val="0"/>
        </w:rPr>
        <w:t xml:space="preserve"> of </w:t>
      </w:r>
      <w:r>
        <w:rPr>
          <w:kern w:val="0"/>
        </w:rPr>
        <w:t>essential genes</w:t>
      </w:r>
      <w:r w:rsidR="005853A9">
        <w:rPr>
          <w:kern w:val="0"/>
        </w:rPr>
        <w:t xml:space="preserve"> and </w:t>
      </w:r>
      <w:r>
        <w:rPr>
          <w:kern w:val="0"/>
        </w:rPr>
        <w:t>essential gene modules at genomic level may be important for better understanding</w:t>
      </w:r>
      <w:r w:rsidR="00427468">
        <w:rPr>
          <w:kern w:val="0"/>
        </w:rPr>
        <w:t xml:space="preserve"> of </w:t>
      </w:r>
      <w:r>
        <w:rPr>
          <w:kern w:val="0"/>
        </w:rPr>
        <w:t>the physiology</w:t>
      </w:r>
      <w:r w:rsidR="005853A9">
        <w:rPr>
          <w:kern w:val="0"/>
        </w:rPr>
        <w:t xml:space="preserve"> and </w:t>
      </w:r>
      <w:r>
        <w:rPr>
          <w:kern w:val="0"/>
        </w:rPr>
        <w:t>pathology</w:t>
      </w:r>
      <w:r w:rsidR="00427468">
        <w:rPr>
          <w:kern w:val="0"/>
        </w:rPr>
        <w:t xml:space="preserve"> of </w:t>
      </w:r>
      <w:r>
        <w:rPr>
          <w:kern w:val="0"/>
        </w:rPr>
        <w:t>M. tuberculosis,</w:t>
      </w:r>
      <w:r w:rsidR="005853A9">
        <w:rPr>
          <w:kern w:val="0"/>
        </w:rPr>
        <w:t xml:space="preserve"> and </w:t>
      </w:r>
      <w:r>
        <w:rPr>
          <w:kern w:val="0"/>
        </w:rPr>
        <w:t>also helpful for the development</w:t>
      </w:r>
      <w:r w:rsidR="00427468">
        <w:rPr>
          <w:kern w:val="0"/>
        </w:rPr>
        <w:t xml:space="preserve"> of </w:t>
      </w:r>
      <w:r>
        <w:rPr>
          <w:kern w:val="0"/>
        </w:rPr>
        <w:t>drugs against this pathogen</w:t>
      </w:r>
      <w:r w:rsidR="00A37C1D">
        <w:rPr>
          <w:kern w:val="0"/>
        </w:rPr>
        <w:t>. The</w:t>
      </w:r>
      <w:r>
        <w:rPr>
          <w:kern w:val="0"/>
        </w:rPr>
        <w:t xml:space="preserve"> establishment</w:t>
      </w:r>
      <w:r w:rsidR="00427468">
        <w:rPr>
          <w:kern w:val="0"/>
        </w:rPr>
        <w:t xml:space="preserve"> of </w:t>
      </w:r>
      <w:r>
        <w:rPr>
          <w:kern w:val="0"/>
        </w:rPr>
        <w:t>genomic operon database (DOOR)</w:t>
      </w:r>
      <w:r w:rsidR="005853A9">
        <w:rPr>
          <w:kern w:val="0"/>
        </w:rPr>
        <w:t xml:space="preserve"> and </w:t>
      </w:r>
      <w:r>
        <w:rPr>
          <w:kern w:val="0"/>
        </w:rPr>
        <w:t>the annotation</w:t>
      </w:r>
      <w:r w:rsidR="00427468">
        <w:rPr>
          <w:kern w:val="0"/>
        </w:rPr>
        <w:t xml:space="preserve"> of </w:t>
      </w:r>
      <w:r>
        <w:rPr>
          <w:kern w:val="0"/>
        </w:rPr>
        <w:t>gene pathways have felicitated the genomic analysis</w:t>
      </w:r>
      <w:r w:rsidR="00427468">
        <w:rPr>
          <w:kern w:val="0"/>
        </w:rPr>
        <w:t xml:space="preserve"> of </w:t>
      </w:r>
      <w:r>
        <w:rPr>
          <w:kern w:val="0"/>
        </w:rPr>
        <w:t>the essential gene modules</w:t>
      </w:r>
      <w:r w:rsidR="00427468">
        <w:rPr>
          <w:kern w:val="0"/>
        </w:rPr>
        <w:t xml:space="preserve"> of </w:t>
      </w:r>
      <w:r>
        <w:rPr>
          <w:kern w:val="0"/>
        </w:rPr>
        <w:t>M. tuberculosis. Method: Bibliometric approach has been used to perform a High-throughput screen for essential genes</w:t>
      </w:r>
      <w:r w:rsidR="00427468">
        <w:rPr>
          <w:kern w:val="0"/>
        </w:rPr>
        <w:t xml:space="preserve"> of </w:t>
      </w:r>
      <w:r>
        <w:rPr>
          <w:kern w:val="0"/>
        </w:rPr>
        <w:t>M. tuberculosis strain H37Rv. Ant colony algorithm were used to identify the essential genes in other M. tuberculosis reference strains. Essential gene modules were analyzed by operon database DOOR</w:t>
      </w:r>
      <w:r w:rsidR="00A37C1D">
        <w:rPr>
          <w:kern w:val="0"/>
        </w:rPr>
        <w:t>. The</w:t>
      </w:r>
      <w:r>
        <w:rPr>
          <w:kern w:val="0"/>
        </w:rPr>
        <w:t xml:space="preserve"> pathways</w:t>
      </w:r>
      <w:r w:rsidR="00427468">
        <w:rPr>
          <w:kern w:val="0"/>
        </w:rPr>
        <w:t xml:space="preserve"> of </w:t>
      </w:r>
      <w:r>
        <w:rPr>
          <w:kern w:val="0"/>
        </w:rPr>
        <w:t>essential genes were assessed by Biocarta, KEGG, NCI-PID, HumanCyc</w:t>
      </w:r>
      <w:r w:rsidR="005853A9">
        <w:rPr>
          <w:kern w:val="0"/>
        </w:rPr>
        <w:t xml:space="preserve"> and </w:t>
      </w:r>
      <w:r>
        <w:rPr>
          <w:kern w:val="0"/>
        </w:rPr>
        <w:t>Reactome</w:t>
      </w:r>
      <w:r w:rsidR="00A37C1D">
        <w:rPr>
          <w:kern w:val="0"/>
        </w:rPr>
        <w:t>. The</w:t>
      </w:r>
      <w:r>
        <w:rPr>
          <w:kern w:val="0"/>
        </w:rPr>
        <w:t xml:space="preserve"> function prediction</w:t>
      </w:r>
      <w:r w:rsidR="00427468">
        <w:rPr>
          <w:kern w:val="0"/>
        </w:rPr>
        <w:t xml:space="preserve"> of </w:t>
      </w:r>
      <w:r>
        <w:rPr>
          <w:kern w:val="0"/>
        </w:rPr>
        <w:t>essential genes was analyzed by Pfam. Results: A total approximately 700 essential genes were identified in M. tuberculosis genome. 40%</w:t>
      </w:r>
      <w:r w:rsidR="00427468">
        <w:rPr>
          <w:kern w:val="0"/>
        </w:rPr>
        <w:t xml:space="preserve"> of </w:t>
      </w:r>
      <w:r>
        <w:rPr>
          <w:kern w:val="0"/>
        </w:rPr>
        <w:t>operons are consisted</w:t>
      </w:r>
      <w:r w:rsidR="00427468">
        <w:rPr>
          <w:kern w:val="0"/>
        </w:rPr>
        <w:t xml:space="preserve"> of </w:t>
      </w:r>
      <w:r>
        <w:rPr>
          <w:kern w:val="0"/>
        </w:rPr>
        <w:t>two or more essential genes</w:t>
      </w:r>
      <w:r w:rsidR="00A37C1D">
        <w:rPr>
          <w:kern w:val="0"/>
        </w:rPr>
        <w:t>. The</w:t>
      </w:r>
      <w:r>
        <w:rPr>
          <w:kern w:val="0"/>
        </w:rPr>
        <w:t xml:space="preserve"> essential genes were distributed in 92 pathways in M. tuberculosis. In function prediction, 61.79%</w:t>
      </w:r>
      <w:r w:rsidR="00427468">
        <w:rPr>
          <w:kern w:val="0"/>
        </w:rPr>
        <w:t xml:space="preserve"> of </w:t>
      </w:r>
      <w:r>
        <w:rPr>
          <w:kern w:val="0"/>
        </w:rPr>
        <w:t>essential genes were categorized into virulence, intermediary metabolism/ respiration, cell wall related</w:t>
      </w:r>
      <w:r w:rsidR="005853A9">
        <w:rPr>
          <w:kern w:val="0"/>
        </w:rPr>
        <w:t xml:space="preserve"> and </w:t>
      </w:r>
      <w:r>
        <w:rPr>
          <w:kern w:val="0"/>
        </w:rPr>
        <w:t>lipid metabolism, which are fundamental functions that exist in most bacteria species. Conclusion: We have identified the essential genes</w:t>
      </w:r>
      <w:r w:rsidR="00427468">
        <w:rPr>
          <w:kern w:val="0"/>
        </w:rPr>
        <w:t xml:space="preserve"> of </w:t>
      </w:r>
      <w:r>
        <w:rPr>
          <w:kern w:val="0"/>
        </w:rPr>
        <w:t>M. tuberculosis using bibliometric approach at genomic level</w:t>
      </w:r>
      <w:r w:rsidR="00A37C1D">
        <w:rPr>
          <w:kern w:val="0"/>
        </w:rPr>
        <w:t>. The</w:t>
      </w:r>
      <w:r>
        <w:rPr>
          <w:kern w:val="0"/>
        </w:rPr>
        <w:t xml:space="preserve"> essential gene modules were further identified</w:t>
      </w:r>
      <w:r w:rsidR="005853A9">
        <w:rPr>
          <w:kern w:val="0"/>
        </w:rPr>
        <w:t xml:space="preserve"> and </w:t>
      </w:r>
      <w:r>
        <w:rPr>
          <w:kern w:val="0"/>
        </w:rPr>
        <w:t>analyzed.</w:t>
      </w:r>
    </w:p>
    <w:p w:rsidR="006A1B19" w:rsidRDefault="006A1B19" w:rsidP="006A1B19">
      <w:pPr>
        <w:pStyle w:val="a3"/>
        <w:rPr>
          <w:kern w:val="0"/>
        </w:rPr>
      </w:pPr>
      <w:r>
        <w:rPr>
          <w:kern w:val="0"/>
        </w:rPr>
        <w:t xml:space="preserve">Keywords: Algorithm, Analysis, Approach, Bacteria, Bibliometric, Biosynthesis, Cell Wall, Collection, Database, Development, Disease, Distributed, Drug-Resistant </w:t>
      </w:r>
      <w:r>
        <w:rPr>
          <w:kern w:val="0"/>
        </w:rPr>
        <w:lastRenderedPageBreak/>
        <w:t>Tuberculosis, Drugs, Essential Gene Modules, Function, Functions, Gene, Genes, Genome, Lipid, Lipid Metabolism, Metabolism, Mycobacterium Tuberculosis, Network, Operon, Operons, Pathogen, Pathology, Pathway, Pathways, Physiology, Prediction, Reference, Respiration, Results, Sequence, Signaling, Species, Survival, Tuberculosis, Understanding, Virulence</w:t>
      </w:r>
    </w:p>
    <w:p w:rsidR="00153DF2" w:rsidRDefault="00153DF2" w:rsidP="00153DF2">
      <w:pPr>
        <w:pStyle w:val="a3"/>
        <w:rPr>
          <w:kern w:val="0"/>
        </w:rPr>
      </w:pPr>
      <w:r>
        <w:rPr>
          <w:rFonts w:hint="eastAsia"/>
          <w:kern w:val="0"/>
        </w:rPr>
        <w:t xml:space="preserve">? </w:t>
      </w:r>
      <w:r>
        <w:rPr>
          <w:kern w:val="0"/>
        </w:rPr>
        <w:t>Fricke, R., Uibel, S., Klingelhoefer, D.</w:t>
      </w:r>
      <w:r w:rsidR="005853A9">
        <w:rPr>
          <w:kern w:val="0"/>
        </w:rPr>
        <w:t xml:space="preserve"> and </w:t>
      </w:r>
      <w:r>
        <w:rPr>
          <w:kern w:val="0"/>
        </w:rPr>
        <w:t>Groneberg, D.A. (2013), Influenza: A scientometric</w:t>
      </w:r>
      <w:r w:rsidR="005853A9">
        <w:rPr>
          <w:kern w:val="0"/>
        </w:rPr>
        <w:t xml:space="preserve"> and </w:t>
      </w:r>
      <w:r>
        <w:rPr>
          <w:kern w:val="0"/>
        </w:rPr>
        <w:t xml:space="preserve">density-equalizing analysis. </w:t>
      </w:r>
      <w:r>
        <w:rPr>
          <w:i/>
          <w:iCs/>
          <w:kern w:val="0"/>
        </w:rPr>
        <w:t>BMC Infectious Diseases</w:t>
      </w:r>
      <w:r>
        <w:rPr>
          <w:kern w:val="0"/>
        </w:rPr>
        <w:t xml:space="preserve">, </w:t>
      </w:r>
      <w:r>
        <w:rPr>
          <w:b/>
          <w:bCs/>
          <w:kern w:val="0"/>
        </w:rPr>
        <w:t>13</w:t>
      </w:r>
      <w:r>
        <w:rPr>
          <w:rFonts w:hint="eastAsia"/>
          <w:kern w:val="0"/>
        </w:rPr>
        <w:t xml:space="preserve">, </w:t>
      </w:r>
      <w:r w:rsidRPr="00C43060">
        <w:rPr>
          <w:kern w:val="0"/>
        </w:rPr>
        <w:t>Article Number: 454</w:t>
      </w:r>
      <w:r>
        <w:rPr>
          <w:rFonts w:hint="eastAsia"/>
          <w:kern w:val="0"/>
        </w:rPr>
        <w:t>.</w:t>
      </w:r>
    </w:p>
    <w:p w:rsidR="00153DF2" w:rsidRPr="00FC7835" w:rsidRDefault="00153DF2" w:rsidP="00153DF2">
      <w:pPr>
        <w:pStyle w:val="a3"/>
        <w:rPr>
          <w:kern w:val="0"/>
        </w:rPr>
      </w:pPr>
      <w:r>
        <w:rPr>
          <w:kern w:val="0"/>
        </w:rPr>
        <w:t>Full Text:</w:t>
      </w:r>
      <w:r w:rsidRPr="00FC7835">
        <w:rPr>
          <w:kern w:val="0"/>
        </w:rPr>
        <w:t xml:space="preserve"> </w:t>
      </w:r>
      <w:hyperlink r:id="rId1611" w:history="1">
        <w:r w:rsidRPr="00665457">
          <w:rPr>
            <w:rStyle w:val="a5"/>
            <w:kern w:val="0"/>
          </w:rPr>
          <w:t>2013\BMC Inf Dis13, 454.pdf</w:t>
        </w:r>
      </w:hyperlink>
    </w:p>
    <w:p w:rsidR="00153DF2" w:rsidRDefault="00153DF2" w:rsidP="00153DF2">
      <w:pPr>
        <w:pStyle w:val="a3"/>
        <w:rPr>
          <w:kern w:val="0"/>
        </w:rPr>
      </w:pPr>
      <w:r>
        <w:rPr>
          <w:kern w:val="0"/>
        </w:rPr>
        <w:t>Abstract: Background: Novel influenza in 2009 caused by H1N1, as well as the seasonal influenza, still are a challenge for the public health sectors worldwide. An increasing number</w:t>
      </w:r>
      <w:r w:rsidR="00427468">
        <w:rPr>
          <w:kern w:val="0"/>
        </w:rPr>
        <w:t xml:space="preserve"> of </w:t>
      </w:r>
      <w:r>
        <w:rPr>
          <w:kern w:val="0"/>
        </w:rPr>
        <w:t>publications referring to this infectious disease make it difficult to distinguish relevant research output</w:t>
      </w:r>
      <w:r w:rsidR="00A37C1D">
        <w:rPr>
          <w:kern w:val="0"/>
        </w:rPr>
        <w:t>. The</w:t>
      </w:r>
      <w:r>
        <w:rPr>
          <w:kern w:val="0"/>
        </w:rPr>
        <w:t xml:space="preserve"> current study used scientometric indices for a detailed investigation on influenza related research activity</w:t>
      </w:r>
      <w:r w:rsidR="005853A9">
        <w:rPr>
          <w:kern w:val="0"/>
        </w:rPr>
        <w:t xml:space="preserve"> and </w:t>
      </w:r>
      <w:r>
        <w:rPr>
          <w:kern w:val="0"/>
        </w:rPr>
        <w:t>the method</w:t>
      </w:r>
      <w:r w:rsidR="00427468">
        <w:rPr>
          <w:kern w:val="0"/>
        </w:rPr>
        <w:t xml:space="preserve"> of </w:t>
      </w:r>
      <w:r>
        <w:rPr>
          <w:kern w:val="0"/>
        </w:rPr>
        <w:t>density equalizing mapping to make the differences</w:t>
      </w:r>
      <w:r w:rsidR="00427468">
        <w:rPr>
          <w:kern w:val="0"/>
        </w:rPr>
        <w:t xml:space="preserve"> of </w:t>
      </w:r>
      <w:r>
        <w:rPr>
          <w:kern w:val="0"/>
        </w:rPr>
        <w:t>the overall research worldwide obvious</w:t>
      </w:r>
      <w:r w:rsidR="00A37C1D">
        <w:rPr>
          <w:kern w:val="0"/>
        </w:rPr>
        <w:t>. The</w:t>
      </w:r>
      <w:r>
        <w:rPr>
          <w:kern w:val="0"/>
        </w:rPr>
        <w:t xml:space="preserve"> aim</w:t>
      </w:r>
      <w:r w:rsidR="00427468">
        <w:rPr>
          <w:kern w:val="0"/>
        </w:rPr>
        <w:t xml:space="preserve"> of </w:t>
      </w:r>
      <w:r>
        <w:rPr>
          <w:kern w:val="0"/>
        </w:rPr>
        <w:t>the study was to compare scientific effort over the time as well as geographical distribution including the cooperation on national</w:t>
      </w:r>
      <w:r w:rsidR="005853A9">
        <w:rPr>
          <w:kern w:val="0"/>
        </w:rPr>
        <w:t xml:space="preserve"> and </w:t>
      </w:r>
      <w:r>
        <w:rPr>
          <w:kern w:val="0"/>
        </w:rPr>
        <w:t>international level. Methods: Therefore, publication data was retrieved from Web</w:t>
      </w:r>
      <w:r w:rsidR="00427468">
        <w:rPr>
          <w:kern w:val="0"/>
        </w:rPr>
        <w:t xml:space="preserve"> of </w:t>
      </w:r>
      <w:r>
        <w:rPr>
          <w:kern w:val="0"/>
        </w:rPr>
        <w:t>Science (WoS)</w:t>
      </w:r>
      <w:r w:rsidR="00427468">
        <w:rPr>
          <w:kern w:val="0"/>
        </w:rPr>
        <w:t xml:space="preserve"> of </w:t>
      </w:r>
      <w:r>
        <w:rPr>
          <w:kern w:val="0"/>
        </w:rPr>
        <w:t>Thomson Scientific. Subsequently the data was analysed in order to show geographical distributions</w:t>
      </w:r>
      <w:r w:rsidR="005853A9">
        <w:rPr>
          <w:kern w:val="0"/>
        </w:rPr>
        <w:t xml:space="preserve"> and </w:t>
      </w:r>
      <w:r>
        <w:rPr>
          <w:kern w:val="0"/>
        </w:rPr>
        <w:t>the development</w:t>
      </w:r>
      <w:r w:rsidR="00427468">
        <w:rPr>
          <w:kern w:val="0"/>
        </w:rPr>
        <w:t xml:space="preserve"> of </w:t>
      </w:r>
      <w:r>
        <w:rPr>
          <w:kern w:val="0"/>
        </w:rPr>
        <w:t>the research output over the time</w:t>
      </w:r>
      <w:r w:rsidR="00A37C1D">
        <w:rPr>
          <w:kern w:val="0"/>
        </w:rPr>
        <w:t>. The</w:t>
      </w:r>
      <w:r>
        <w:rPr>
          <w:kern w:val="0"/>
        </w:rPr>
        <w:t xml:space="preserve"> query retrieved 51,418 publications that are listed in WoS for the time interval from 1900 to 2009</w:t>
      </w:r>
      <w:r w:rsidR="00A37C1D">
        <w:rPr>
          <w:kern w:val="0"/>
        </w:rPr>
        <w:t>. The</w:t>
      </w:r>
      <w:r>
        <w:rPr>
          <w:kern w:val="0"/>
        </w:rPr>
        <w:t>re is a continuous increase in research output</w:t>
      </w:r>
      <w:r w:rsidR="005853A9">
        <w:rPr>
          <w:kern w:val="0"/>
        </w:rPr>
        <w:t xml:space="preserve"> and </w:t>
      </w:r>
      <w:r>
        <w:rPr>
          <w:kern w:val="0"/>
        </w:rPr>
        <w:t>general citation activity especially since 1990. Results: The identified all in all 51,418 publications were published by researchers from 151 different countries. Scientists from the USA participate in more than 37 percent</w:t>
      </w:r>
      <w:r w:rsidR="00427468">
        <w:rPr>
          <w:kern w:val="0"/>
        </w:rPr>
        <w:t xml:space="preserve"> of </w:t>
      </w:r>
      <w:r>
        <w:rPr>
          <w:kern w:val="0"/>
        </w:rPr>
        <w:t>all publications, followed by researchers from the UK</w:t>
      </w:r>
      <w:r w:rsidR="005853A9">
        <w:rPr>
          <w:kern w:val="0"/>
        </w:rPr>
        <w:t xml:space="preserve"> and </w:t>
      </w:r>
      <w:r>
        <w:rPr>
          <w:kern w:val="0"/>
        </w:rPr>
        <w:t>Germany with more than five percent. In addition, the USA is in the focus</w:t>
      </w:r>
      <w:r w:rsidR="00427468">
        <w:rPr>
          <w:kern w:val="0"/>
        </w:rPr>
        <w:t xml:space="preserve"> of </w:t>
      </w:r>
      <w:r>
        <w:rPr>
          <w:kern w:val="0"/>
        </w:rPr>
        <w:t>international cooperation. In terms</w:t>
      </w:r>
      <w:r w:rsidR="00427468">
        <w:rPr>
          <w:kern w:val="0"/>
        </w:rPr>
        <w:t xml:space="preserve"> of </w:t>
      </w:r>
      <w:r>
        <w:rPr>
          <w:kern w:val="0"/>
        </w:rPr>
        <w:t>number</w:t>
      </w:r>
      <w:r w:rsidR="00427468">
        <w:rPr>
          <w:kern w:val="0"/>
        </w:rPr>
        <w:t xml:space="preserve"> of </w:t>
      </w:r>
      <w:r>
        <w:rPr>
          <w:kern w:val="0"/>
        </w:rPr>
        <w:t>publications on influenza, the Journal</w:t>
      </w:r>
      <w:r w:rsidR="00427468">
        <w:rPr>
          <w:kern w:val="0"/>
        </w:rPr>
        <w:t xml:space="preserve"> of </w:t>
      </w:r>
      <w:r>
        <w:rPr>
          <w:kern w:val="0"/>
        </w:rPr>
        <w:t>Virology ranks first, followed by Vaccine</w:t>
      </w:r>
      <w:r w:rsidR="005853A9">
        <w:rPr>
          <w:kern w:val="0"/>
        </w:rPr>
        <w:t xml:space="preserve"> and </w:t>
      </w:r>
      <w:r>
        <w:rPr>
          <w:kern w:val="0"/>
        </w:rPr>
        <w:t>Virology</w:t>
      </w:r>
      <w:r w:rsidR="00A37C1D">
        <w:rPr>
          <w:kern w:val="0"/>
        </w:rPr>
        <w:t>. The</w:t>
      </w:r>
      <w:r>
        <w:rPr>
          <w:kern w:val="0"/>
        </w:rPr>
        <w:t xml:space="preserve"> highest impact factor (IF 2009) in this selection can be established for The Lancet (30.75). Robert Webster seems to be the most prolific author contributing the most publications in the field</w:t>
      </w:r>
      <w:r w:rsidR="00427468">
        <w:rPr>
          <w:kern w:val="0"/>
        </w:rPr>
        <w:t xml:space="preserve"> of </w:t>
      </w:r>
      <w:r>
        <w:rPr>
          <w:kern w:val="0"/>
        </w:rPr>
        <w:t>influenza. Conclusions: This study reveals an increasing</w:t>
      </w:r>
      <w:r w:rsidR="005853A9">
        <w:rPr>
          <w:kern w:val="0"/>
        </w:rPr>
        <w:t xml:space="preserve"> and </w:t>
      </w:r>
      <w:r>
        <w:rPr>
          <w:kern w:val="0"/>
        </w:rPr>
        <w:t>wide research interest in influenza. Nevertheless, citation based-declaration</w:t>
      </w:r>
      <w:r w:rsidR="00427468">
        <w:rPr>
          <w:kern w:val="0"/>
        </w:rPr>
        <w:t xml:space="preserve"> of </w:t>
      </w:r>
      <w:r>
        <w:rPr>
          <w:kern w:val="0"/>
        </w:rPr>
        <w:t>scientific quality should be considered critically due to distortion by self-citation</w:t>
      </w:r>
      <w:r w:rsidR="005853A9">
        <w:rPr>
          <w:kern w:val="0"/>
        </w:rPr>
        <w:t xml:space="preserve"> and </w:t>
      </w:r>
      <w:r>
        <w:rPr>
          <w:kern w:val="0"/>
        </w:rPr>
        <w:t>co-authorship.</w:t>
      </w:r>
    </w:p>
    <w:p w:rsidR="00153DF2" w:rsidRDefault="00153DF2" w:rsidP="00153DF2">
      <w:pPr>
        <w:pStyle w:val="a3"/>
        <w:rPr>
          <w:kern w:val="0"/>
        </w:rPr>
      </w:pPr>
      <w:r>
        <w:rPr>
          <w:kern w:val="0"/>
        </w:rPr>
        <w:t xml:space="preserve">Keywords: Activity, Analysis, Benchmarking, Challenge, Citation, Co-Authorship, Coauthorship, Cooperation, Data, Development, Disease, Distribution, Field, First, General, Germany, Health, Impact, Impact Factor, Indices, Influenza, International, International Cooperation, Interval, Investigation, Journal, Mapping, Methods, Public, Public Health, Publication, Publications, Quality, Research, Research Output, </w:t>
      </w:r>
      <w:r>
        <w:rPr>
          <w:kern w:val="0"/>
        </w:rPr>
        <w:lastRenderedPageBreak/>
        <w:t>Results, Science, Scientists, Scientometric, Seasonal, Selection, Self-Citation, UK, USA, Virology, Web</w:t>
      </w:r>
      <w:r w:rsidR="00427468">
        <w:rPr>
          <w:kern w:val="0"/>
        </w:rPr>
        <w:t xml:space="preserve"> of </w:t>
      </w:r>
      <w:r>
        <w:rPr>
          <w:kern w:val="0"/>
        </w:rPr>
        <w:t>Science, Wos</w:t>
      </w:r>
    </w:p>
    <w:p w:rsidR="00C809CD" w:rsidRDefault="00C809CD" w:rsidP="00C809CD">
      <w:pPr>
        <w:pStyle w:val="a3"/>
        <w:rPr>
          <w:kern w:val="0"/>
        </w:rPr>
      </w:pPr>
      <w:r>
        <w:rPr>
          <w:rFonts w:hint="eastAsia"/>
          <w:kern w:val="0"/>
        </w:rPr>
        <w:t xml:space="preserve">? </w:t>
      </w:r>
      <w:r>
        <w:rPr>
          <w:kern w:val="0"/>
        </w:rPr>
        <w:t>Nglazi, M.D., Bekker, L.G., Wood, R., Hussey, G.D.</w:t>
      </w:r>
      <w:r w:rsidR="005853A9">
        <w:rPr>
          <w:kern w:val="0"/>
        </w:rPr>
        <w:t xml:space="preserve"> and </w:t>
      </w:r>
      <w:r>
        <w:rPr>
          <w:kern w:val="0"/>
        </w:rPr>
        <w:t xml:space="preserve">Wiysonge, C.S. (2013), Mobile phone text messaging for promoting adherence to anti-tuberculosis treatment: A systematic review. </w:t>
      </w:r>
      <w:r>
        <w:rPr>
          <w:i/>
          <w:iCs/>
          <w:kern w:val="0"/>
        </w:rPr>
        <w:t>BMC Infectious Diseases</w:t>
      </w:r>
      <w:r>
        <w:rPr>
          <w:kern w:val="0"/>
        </w:rPr>
        <w:t xml:space="preserve">, </w:t>
      </w:r>
      <w:r>
        <w:rPr>
          <w:b/>
          <w:bCs/>
          <w:kern w:val="0"/>
        </w:rPr>
        <w:t>13</w:t>
      </w:r>
      <w:r>
        <w:rPr>
          <w:rFonts w:hint="eastAsia"/>
          <w:kern w:val="0"/>
        </w:rPr>
        <w:t xml:space="preserve">, </w:t>
      </w:r>
      <w:r>
        <w:t xml:space="preserve">Article Number: </w:t>
      </w:r>
      <w:r>
        <w:rPr>
          <w:rFonts w:hint="eastAsia"/>
        </w:rPr>
        <w:t>566.</w:t>
      </w:r>
    </w:p>
    <w:p w:rsidR="00C809CD" w:rsidRPr="00FC7835" w:rsidRDefault="00C809CD" w:rsidP="00C809CD">
      <w:pPr>
        <w:pStyle w:val="a3"/>
        <w:rPr>
          <w:kern w:val="0"/>
        </w:rPr>
      </w:pPr>
      <w:r>
        <w:rPr>
          <w:kern w:val="0"/>
        </w:rPr>
        <w:t>Full Text:</w:t>
      </w:r>
      <w:r w:rsidRPr="00FC7835">
        <w:rPr>
          <w:kern w:val="0"/>
        </w:rPr>
        <w:t xml:space="preserve"> </w:t>
      </w:r>
      <w:hyperlink r:id="rId1612" w:history="1">
        <w:r w:rsidRPr="00C8751C">
          <w:rPr>
            <w:rStyle w:val="a5"/>
            <w:kern w:val="0"/>
          </w:rPr>
          <w:t>2013\BMC Inf Dis13, 566.pdf</w:t>
        </w:r>
      </w:hyperlink>
    </w:p>
    <w:p w:rsidR="00C809CD" w:rsidRDefault="00C809CD" w:rsidP="00C809CD">
      <w:pPr>
        <w:pStyle w:val="a3"/>
        <w:rPr>
          <w:kern w:val="0"/>
        </w:rPr>
      </w:pPr>
      <w:r>
        <w:rPr>
          <w:kern w:val="0"/>
        </w:rPr>
        <w:t>Abstract: Background: Mobile phone text messaging (SMS) has the potential to promote adherence to tuberculosis treatment. This systematic review aims to synthesize current evidence on the effectiveness</w:t>
      </w:r>
      <w:r w:rsidR="00427468">
        <w:rPr>
          <w:kern w:val="0"/>
        </w:rPr>
        <w:t xml:space="preserve"> of </w:t>
      </w:r>
      <w:r>
        <w:rPr>
          <w:kern w:val="0"/>
        </w:rPr>
        <w:t>SMS interventions in improving patients</w:t>
      </w:r>
      <w:r w:rsidR="00700038">
        <w:rPr>
          <w:kern w:val="0"/>
        </w:rPr>
        <w:t>’</w:t>
      </w:r>
      <w:r>
        <w:rPr>
          <w:kern w:val="0"/>
        </w:rPr>
        <w:t xml:space="preserve"> adherence to tuberculosis treatment. Methods: We searched electronic databases (PubMed, EMBASE, Science Citation Index), reference lists</w:t>
      </w:r>
      <w:r w:rsidR="00427468">
        <w:rPr>
          <w:kern w:val="0"/>
        </w:rPr>
        <w:t xml:space="preserve"> of </w:t>
      </w:r>
      <w:r>
        <w:rPr>
          <w:kern w:val="0"/>
        </w:rPr>
        <w:t>relevant articles, conference proceedings,</w:t>
      </w:r>
      <w:r w:rsidR="005853A9">
        <w:rPr>
          <w:kern w:val="0"/>
        </w:rPr>
        <w:t xml:space="preserve"> and </w:t>
      </w:r>
      <w:r>
        <w:rPr>
          <w:kern w:val="0"/>
        </w:rPr>
        <w:t>selected websites for eligible studies available by 15 February 2013; regardless</w:t>
      </w:r>
      <w:r w:rsidR="00427468">
        <w:rPr>
          <w:kern w:val="0"/>
        </w:rPr>
        <w:t xml:space="preserve"> of </w:t>
      </w:r>
      <w:r>
        <w:rPr>
          <w:kern w:val="0"/>
        </w:rPr>
        <w:t>language or publication status. Two authors independently screened selected eligible studies,</w:t>
      </w:r>
      <w:r w:rsidR="005853A9">
        <w:rPr>
          <w:kern w:val="0"/>
        </w:rPr>
        <w:t xml:space="preserve"> and </w:t>
      </w:r>
      <w:r>
        <w:rPr>
          <w:kern w:val="0"/>
        </w:rPr>
        <w:t>assessed risk</w:t>
      </w:r>
      <w:r w:rsidR="00427468">
        <w:rPr>
          <w:kern w:val="0"/>
        </w:rPr>
        <w:t xml:space="preserve"> of </w:t>
      </w:r>
      <w:r>
        <w:rPr>
          <w:kern w:val="0"/>
        </w:rPr>
        <w:t>bias in included studies; resolving discrepancies by discussion</w:t>
      </w:r>
      <w:r w:rsidR="005853A9">
        <w:rPr>
          <w:kern w:val="0"/>
        </w:rPr>
        <w:t xml:space="preserve"> and </w:t>
      </w:r>
      <w:r>
        <w:rPr>
          <w:kern w:val="0"/>
        </w:rPr>
        <w:t>consensus. Results: We identified four studies that compared the outcomes</w:t>
      </w:r>
      <w:r w:rsidR="00427468">
        <w:rPr>
          <w:kern w:val="0"/>
        </w:rPr>
        <w:t xml:space="preserve"> of </w:t>
      </w:r>
      <w:r>
        <w:rPr>
          <w:kern w:val="0"/>
        </w:rPr>
        <w:t>the SMS intervention group with controls. Only one</w:t>
      </w:r>
      <w:r w:rsidR="00427468">
        <w:rPr>
          <w:kern w:val="0"/>
        </w:rPr>
        <w:t xml:space="preserve"> of </w:t>
      </w:r>
      <w:r>
        <w:rPr>
          <w:kern w:val="0"/>
        </w:rPr>
        <w:t>the four studies was a randomized controlled trial. This was conducted in Argentina</w:t>
      </w:r>
      <w:r w:rsidR="005853A9">
        <w:rPr>
          <w:kern w:val="0"/>
        </w:rPr>
        <w:t xml:space="preserve"> and </w:t>
      </w:r>
      <w:r>
        <w:rPr>
          <w:kern w:val="0"/>
        </w:rPr>
        <w:t>the SMS intervention did not significantly improve adherence to tuberculosis treatment compared to self-administration</w:t>
      </w:r>
      <w:r w:rsidR="00427468">
        <w:rPr>
          <w:kern w:val="0"/>
        </w:rPr>
        <w:t xml:space="preserve"> of </w:t>
      </w:r>
      <w:r>
        <w:rPr>
          <w:kern w:val="0"/>
        </w:rPr>
        <w:t>tuberculosis treatment (risk ratio [RR] 1.49, 95% confidence intervals [CI] 0.90 to 2.42). One</w:t>
      </w:r>
      <w:r w:rsidR="00427468">
        <w:rPr>
          <w:kern w:val="0"/>
        </w:rPr>
        <w:t xml:space="preserve"> of </w:t>
      </w:r>
      <w:r>
        <w:rPr>
          <w:kern w:val="0"/>
        </w:rPr>
        <w:t>the non-randomized studies, conducted in South Africa, which compared SMS reminders to directly observed therapy short course (DOTS) reported similar rates</w:t>
      </w:r>
      <w:r w:rsidR="00427468">
        <w:rPr>
          <w:kern w:val="0"/>
        </w:rPr>
        <w:t xml:space="preserve"> of </w:t>
      </w:r>
      <w:r>
        <w:rPr>
          <w:kern w:val="0"/>
        </w:rPr>
        <w:t>tuberculosis cure (62.35% vs. 66.4%)</w:t>
      </w:r>
      <w:r w:rsidR="005853A9">
        <w:rPr>
          <w:kern w:val="0"/>
        </w:rPr>
        <w:t xml:space="preserve"> and </w:t>
      </w:r>
      <w:r>
        <w:rPr>
          <w:kern w:val="0"/>
        </w:rPr>
        <w:t>treatment success (72.94% vs. 69.4%). A second study from South Africa, utilized SMS reminders when patients delayed in opening their pill bottles</w:t>
      </w:r>
      <w:r w:rsidR="005853A9">
        <w:rPr>
          <w:kern w:val="0"/>
        </w:rPr>
        <w:t xml:space="preserve"> and </w:t>
      </w:r>
      <w:r>
        <w:rPr>
          <w:kern w:val="0"/>
        </w:rPr>
        <w:t>reported increased tuberculosis cure (RR 2.32, 95% CI 1.60 to 3.36)</w:t>
      </w:r>
      <w:r w:rsidR="005853A9">
        <w:rPr>
          <w:kern w:val="0"/>
        </w:rPr>
        <w:t xml:space="preserve"> and </w:t>
      </w:r>
      <w:r>
        <w:rPr>
          <w:kern w:val="0"/>
        </w:rPr>
        <w:t>smear conversion (RR 1.62, 95% CI 1.09 to 2.42) rates compared to DOTS. In the third non-randomized study, conducted in Kenya, use</w:t>
      </w:r>
      <w:r w:rsidR="00427468">
        <w:rPr>
          <w:kern w:val="0"/>
        </w:rPr>
        <w:t xml:space="preserve"> of </w:t>
      </w:r>
      <w:r>
        <w:rPr>
          <w:kern w:val="0"/>
        </w:rPr>
        <w:t>SMS reminders increased rates</w:t>
      </w:r>
      <w:r w:rsidR="00427468">
        <w:rPr>
          <w:kern w:val="0"/>
        </w:rPr>
        <w:t xml:space="preserve"> of </w:t>
      </w:r>
      <w:r>
        <w:rPr>
          <w:kern w:val="0"/>
        </w:rPr>
        <w:t>clinic attendance on scheduled days compared to standard care (RR 1.56, 95% CI 1.06 to 2.29). Using the GRADE approach, we rate the quality</w:t>
      </w:r>
      <w:r w:rsidR="00427468">
        <w:rPr>
          <w:kern w:val="0"/>
        </w:rPr>
        <w:t xml:space="preserve"> of </w:t>
      </w:r>
      <w:r>
        <w:rPr>
          <w:kern w:val="0"/>
        </w:rPr>
        <w:t>the evidence as low, mainly because</w:t>
      </w:r>
      <w:r w:rsidR="00427468">
        <w:rPr>
          <w:kern w:val="0"/>
        </w:rPr>
        <w:t xml:space="preserve"> of </w:t>
      </w:r>
      <w:r>
        <w:rPr>
          <w:kern w:val="0"/>
        </w:rPr>
        <w:t>the high risk</w:t>
      </w:r>
      <w:r w:rsidR="00427468">
        <w:rPr>
          <w:kern w:val="0"/>
        </w:rPr>
        <w:t xml:space="preserve"> of </w:t>
      </w:r>
      <w:r>
        <w:rPr>
          <w:kern w:val="0"/>
        </w:rPr>
        <w:t>bias</w:t>
      </w:r>
      <w:r w:rsidR="005853A9">
        <w:rPr>
          <w:kern w:val="0"/>
        </w:rPr>
        <w:t xml:space="preserve"> and </w:t>
      </w:r>
      <w:r>
        <w:rPr>
          <w:kern w:val="0"/>
        </w:rPr>
        <w:t>heterogeneity</w:t>
      </w:r>
      <w:r w:rsidR="00427468">
        <w:rPr>
          <w:kern w:val="0"/>
        </w:rPr>
        <w:t xml:space="preserve"> of </w:t>
      </w:r>
      <w:r>
        <w:rPr>
          <w:kern w:val="0"/>
        </w:rPr>
        <w:t>effects across studies. Conclusions: This systematic review indicates that there is a paucity</w:t>
      </w:r>
      <w:r w:rsidR="00427468">
        <w:rPr>
          <w:kern w:val="0"/>
        </w:rPr>
        <w:t xml:space="preserve"> of </w:t>
      </w:r>
      <w:r>
        <w:rPr>
          <w:kern w:val="0"/>
        </w:rPr>
        <w:t>high-quality data on the effectiveness</w:t>
      </w:r>
      <w:r w:rsidR="00427468">
        <w:rPr>
          <w:kern w:val="0"/>
        </w:rPr>
        <w:t xml:space="preserve"> of </w:t>
      </w:r>
      <w:r>
        <w:rPr>
          <w:kern w:val="0"/>
        </w:rPr>
        <w:t>SMS interventions for improving patients</w:t>
      </w:r>
      <w:r w:rsidR="00700038">
        <w:rPr>
          <w:kern w:val="0"/>
        </w:rPr>
        <w:t>’</w:t>
      </w:r>
      <w:r>
        <w:rPr>
          <w:kern w:val="0"/>
        </w:rPr>
        <w:t xml:space="preserve"> adherence to tuberculosis treatment</w:t>
      </w:r>
      <w:r w:rsidR="00A37C1D">
        <w:rPr>
          <w:kern w:val="0"/>
        </w:rPr>
        <w:t>. The</w:t>
      </w:r>
      <w:r>
        <w:rPr>
          <w:kern w:val="0"/>
        </w:rPr>
        <w:t xml:space="preserve"> low quality</w:t>
      </w:r>
      <w:r w:rsidR="00427468">
        <w:rPr>
          <w:kern w:val="0"/>
        </w:rPr>
        <w:t xml:space="preserve"> of </w:t>
      </w:r>
      <w:r>
        <w:rPr>
          <w:kern w:val="0"/>
        </w:rPr>
        <w:t>the current evidence implies that further studies (in particular randomized trials) on the subject are needed. In the interim, if the intervention is implemented outside research settings an impact evaluation is warranted.</w:t>
      </w:r>
    </w:p>
    <w:p w:rsidR="00C809CD" w:rsidRDefault="00C809CD" w:rsidP="00C809CD">
      <w:pPr>
        <w:pStyle w:val="a3"/>
        <w:rPr>
          <w:kern w:val="0"/>
        </w:rPr>
      </w:pPr>
      <w:r>
        <w:rPr>
          <w:kern w:val="0"/>
        </w:rPr>
        <w:t xml:space="preserve">Keywords: Adherence, Africa, Anti-Tubercular Agents, Approach, Argentina, Attitudes, Authors, Bias, Care, Citation, Clinic, Compliance, Conference Proceedings, Confidence, Confidence Intervals, Consensus, Controlled Trial, Conversion, Course, </w:t>
      </w:r>
      <w:r>
        <w:rPr>
          <w:kern w:val="0"/>
        </w:rPr>
        <w:lastRenderedPageBreak/>
        <w:t>Data, Databases, Effectiveness, Effects, Embase, England, Evaluation, Evidence, Feasibility, Floor, Grade, Health-Care, Heterogeneity, HIV, Impact, Inn, Intervals, Intervention, Interventions, Kenya, Language, London, Metaanalysis, Methods, Mobile Phone, Outcomes, Patients, Pill, Potential, Publication, Pubmed, Quality, Quality Of, Randomized, Randomized Controlled Trial, Randomized Controlled-Trial, Rates, Reference, Reference Lists, Research, Results, Review, Risk, Science, Science Citation Index, South Africa, Standard, Systematic Review, Text Messages, Therapy, Treatment, Trial, Tuberculosis, Tuberculosis Treatment, Websites</w:t>
      </w:r>
    </w:p>
    <w:p w:rsidR="00427468" w:rsidRDefault="00427468" w:rsidP="00427468">
      <w:pPr>
        <w:pStyle w:val="a3"/>
        <w:rPr>
          <w:kern w:val="0"/>
        </w:rPr>
      </w:pPr>
      <w:r>
        <w:rPr>
          <w:kern w:val="0"/>
        </w:rPr>
        <w:t xml:space="preserve">? Naish, S., Dale, P., Mackenzie, J.S., McBride, J., Mengersen, K. and Tong, S.L. (2014), Climate change and dengue: A critical and systematic review of quantitative modelling approaches. </w:t>
      </w:r>
      <w:r>
        <w:rPr>
          <w:i/>
          <w:iCs/>
          <w:kern w:val="0"/>
        </w:rPr>
        <w:t>BMC Infectious Diseases</w:t>
      </w:r>
      <w:r>
        <w:rPr>
          <w:kern w:val="0"/>
        </w:rPr>
        <w:t xml:space="preserve">, </w:t>
      </w:r>
      <w:r>
        <w:rPr>
          <w:b/>
          <w:bCs/>
          <w:kern w:val="0"/>
        </w:rPr>
        <w:t>14</w:t>
      </w:r>
      <w:r>
        <w:rPr>
          <w:kern w:val="0"/>
        </w:rPr>
        <w:t xml:space="preserve">, </w:t>
      </w:r>
      <w:r>
        <w:t xml:space="preserve">Article Number: </w:t>
      </w:r>
      <w:r w:rsidRPr="00550C9D">
        <w:rPr>
          <w:szCs w:val="24"/>
        </w:rPr>
        <w:t>167</w:t>
      </w:r>
      <w:r>
        <w:t>.</w:t>
      </w:r>
    </w:p>
    <w:p w:rsidR="00427468" w:rsidRPr="00FC7835" w:rsidRDefault="00427468" w:rsidP="00427468">
      <w:pPr>
        <w:pStyle w:val="a3"/>
        <w:rPr>
          <w:kern w:val="0"/>
        </w:rPr>
      </w:pPr>
      <w:r>
        <w:rPr>
          <w:kern w:val="0"/>
        </w:rPr>
        <w:t>Full Text:</w:t>
      </w:r>
      <w:r w:rsidRPr="00FC7835">
        <w:rPr>
          <w:kern w:val="0"/>
        </w:rPr>
        <w:t xml:space="preserve"> </w:t>
      </w:r>
      <w:hyperlink r:id="rId1613" w:history="1">
        <w:r w:rsidRPr="006D37EB">
          <w:rPr>
            <w:rStyle w:val="a5"/>
            <w:kern w:val="0"/>
          </w:rPr>
          <w:t>2014\BMC Inf Dis5, 167.pdf</w:t>
        </w:r>
      </w:hyperlink>
    </w:p>
    <w:p w:rsidR="00427468" w:rsidRDefault="00427468" w:rsidP="00427468">
      <w:pPr>
        <w:pStyle w:val="a3"/>
        <w:rPr>
          <w:kern w:val="0"/>
        </w:rPr>
      </w:pPr>
      <w:r>
        <w:rPr>
          <w:kern w:val="0"/>
        </w:rPr>
        <w:t>Abstract: Background: Many studies have found associations between climatic conditions and dengue transmission. However, there is a debate about the future impacts of climate change on dengue transmission. This paper reviewed epidemiological evidence on the relationship between climate and dengue with a focus on quantitative methods for assessing the potential impacts of climate change on global dengue transmission. Methods: A literature search was conducted in October 2012, using the electronic databases PubMed, Scopus, ScienceDirect, ProQuest, and Web of Science</w:t>
      </w:r>
      <w:r w:rsidR="00A37C1D">
        <w:rPr>
          <w:kern w:val="0"/>
        </w:rPr>
        <w:t>. The</w:t>
      </w:r>
      <w:r>
        <w:rPr>
          <w:kern w:val="0"/>
        </w:rPr>
        <w:t xml:space="preserve"> search focused on peer-reviewed journal articles published in English from January 1991 through October 2012. Results: Sixteen studies met the inclusion criteria and most studies showed that the transmission of dengue is highly sensitive to climatic conditions, especially temperature, rainfall and relative humidity. Studies on the potential impacts of climate change on dengue indicate increased climatic suitability for transmission and an expansion of the geographic regions at risk during this century. A variety of quantitative modelling approaches were used in the studies. Several key methodological issues and current knowledge gaps were identified through this review. Conclusions: It is important to assemble spatio-temporal patterns of dengue transmission compatible with long-term data on climate and other socio-ecological changes and this would advance projections of dengue risks associated with climate change.</w:t>
      </w:r>
    </w:p>
    <w:p w:rsidR="00427468" w:rsidRDefault="00427468" w:rsidP="00427468">
      <w:pPr>
        <w:pStyle w:val="a3"/>
        <w:rPr>
          <w:kern w:val="0"/>
        </w:rPr>
      </w:pPr>
      <w:r>
        <w:rPr>
          <w:kern w:val="0"/>
        </w:rPr>
        <w:t xml:space="preserve">Keywords: Advance, Aedes-Aegypti Diptera, Assessing, Changes, Climate, Climate Change, Criteria, Data, Databases, Dengue, El-Nino, English, Evidence, Fever, Global, Impacts, Infectious-Diseases, Issues, Journal, Journal Articles, Knowledge, Literature, Literature Search, Long Term, Long-Term, Mar, Methods, Modelling, Models, Peer-Reviewed, Potential, Projection, Pubmed, Puerto-Rico, Quantitative Methods, Rainfall, Results, Review, Risk, Risks, Scenarios, Science, Scopus, Systematic Review, Temperature, Temperature-Fluctuations, Transmission, </w:t>
      </w:r>
      <w:r>
        <w:rPr>
          <w:kern w:val="0"/>
        </w:rPr>
        <w:lastRenderedPageBreak/>
        <w:t>Transmission Dynamics, Variability, Vector, Virus, Web of Science</w:t>
      </w:r>
    </w:p>
    <w:p w:rsidR="00135C2F" w:rsidRDefault="00135C2F" w:rsidP="00135C2F">
      <w:pPr>
        <w:pStyle w:val="a3"/>
        <w:rPr>
          <w:kern w:val="0"/>
        </w:rPr>
      </w:pPr>
      <w:r>
        <w:rPr>
          <w:rFonts w:hint="eastAsia"/>
          <w:kern w:val="0"/>
        </w:rPr>
        <w:t xml:space="preserve">? </w:t>
      </w:r>
      <w:r>
        <w:rPr>
          <w:kern w:val="0"/>
        </w:rPr>
        <w:t xml:space="preserve">Kim, J.H., Nelson, K.E., Panzner, U., Kasture, Y., Labrique, A.B. and Wierzba, T.F. (2014), A systematic review of the epidemiology of hepatitis E virus in Africa. </w:t>
      </w:r>
      <w:r>
        <w:rPr>
          <w:i/>
          <w:iCs/>
          <w:kern w:val="0"/>
        </w:rPr>
        <w:t>BMC Infectious Diseases</w:t>
      </w:r>
      <w:r>
        <w:rPr>
          <w:kern w:val="0"/>
        </w:rPr>
        <w:t xml:space="preserve">, </w:t>
      </w:r>
      <w:r>
        <w:rPr>
          <w:b/>
          <w:bCs/>
          <w:kern w:val="0"/>
        </w:rPr>
        <w:t>14</w:t>
      </w:r>
      <w:r>
        <w:rPr>
          <w:kern w:val="0"/>
        </w:rPr>
        <w:t xml:space="preserve">, </w:t>
      </w:r>
      <w:r>
        <w:t xml:space="preserve">Article Number: </w:t>
      </w:r>
      <w:r>
        <w:rPr>
          <w:rFonts w:hint="eastAsia"/>
          <w:szCs w:val="24"/>
        </w:rPr>
        <w:t>38</w:t>
      </w:r>
      <w:r>
        <w:t>.</w:t>
      </w:r>
    </w:p>
    <w:p w:rsidR="00135C2F" w:rsidRPr="00FC7835" w:rsidRDefault="00135C2F" w:rsidP="00135C2F">
      <w:pPr>
        <w:pStyle w:val="a3"/>
        <w:rPr>
          <w:kern w:val="0"/>
        </w:rPr>
      </w:pPr>
      <w:r>
        <w:rPr>
          <w:kern w:val="0"/>
        </w:rPr>
        <w:t>Full Text:</w:t>
      </w:r>
      <w:r w:rsidRPr="00FC7835">
        <w:rPr>
          <w:kern w:val="0"/>
        </w:rPr>
        <w:t xml:space="preserve"> </w:t>
      </w:r>
      <w:hyperlink r:id="rId1614" w:history="1">
        <w:r w:rsidRPr="00AC33DA">
          <w:rPr>
            <w:rStyle w:val="a5"/>
            <w:kern w:val="0"/>
          </w:rPr>
          <w:t>2014\BMC Inf Dis5, 38.pdf</w:t>
        </w:r>
      </w:hyperlink>
    </w:p>
    <w:p w:rsidR="00135C2F" w:rsidRDefault="00135C2F" w:rsidP="00135C2F">
      <w:pPr>
        <w:pStyle w:val="a3"/>
        <w:rPr>
          <w:kern w:val="0"/>
        </w:rPr>
      </w:pPr>
      <w:r>
        <w:rPr>
          <w:kern w:val="0"/>
        </w:rPr>
        <w:t>Abstract: Background: Hepatitis E Virus (HEV) infection is a newly recognized serious threat to global public health and Africa is suspected to be among the most severely affected regions in the world. Understanding HEV epidemiology in Africa will expedite the implementation of evidence-based control policies aimed at preventing the spread of HEV including policies for the use of available resources such as HEV vaccines. Methods: Here we present a comprehensive review of HEV epidemiology in Africa based on published data. We searched for articles on HEV epidemiology in Africa from online databases such as PubMed, Scopus, and ISI Web of Science and critically reviewed appropriate publications to extract consistent findings, identify knowledge gaps, and suggest future studies. Results: Taking a particularly high toll in pregnant women and their fetuses, HEV has infected human populations in 28 of 56 African countries. Since 1979, 17 HEV outbreaks have been reported about once every other year from Africa causing a reported 35,300 cases with 650 deaths. Conclusions: In Africa, HEV infection is not new, is widespread, and the number of reported outbreaks are likely a significant underestimate</w:t>
      </w:r>
      <w:r w:rsidR="00A37C1D">
        <w:rPr>
          <w:kern w:val="0"/>
        </w:rPr>
        <w:t>. The</w:t>
      </w:r>
      <w:r>
        <w:rPr>
          <w:kern w:val="0"/>
        </w:rPr>
        <w:t xml:space="preserve"> authors suggest that this is a continent-wide public health problem that deserves the attention of local, regional and international agencies to implement control policies that can save numerous lives, especially those of pregnant women and their fetuses.</w:t>
      </w:r>
    </w:p>
    <w:p w:rsidR="00135C2F" w:rsidRDefault="00135C2F" w:rsidP="00135C2F">
      <w:pPr>
        <w:pStyle w:val="a3"/>
        <w:rPr>
          <w:kern w:val="0"/>
        </w:rPr>
      </w:pPr>
      <w:r>
        <w:rPr>
          <w:kern w:val="0"/>
        </w:rPr>
        <w:t>Keywords: Acute Sporadic Hepatitis, Acute Viral-Hepatitis, Africa, African Countries, Articles, Attention, Authors, Control, Data, Databases, E Outbreak, Enterically-Transmitted Hepatitis, Epidemiology, Evidence Based, Evidence-Based, Global, Health, Health Problem, Hepatitis, Hepatitis E, Hev, High Prevalence, Human, Implementation, Infected, Infection, International, ISI, ISI Web Of Science, Knowledge, Local, Methods, Nile Delta, Non-A, Non-B-Hepatitis, Online, Outbreak, Policies, Populations, Pregnancy, Pregnant, Pregnant Women, Pregnant-Women, Public, Public Health, Public Health Problem, Publications, Pubmed, Regional, Resources, Results, Review, Rural Egyptian Communities, Science, Scopus, Systematic, Systematic Review, Vaccines, Web Of Science, Women, World</w:t>
      </w:r>
    </w:p>
    <w:p w:rsidR="00485005" w:rsidRDefault="00485005" w:rsidP="00485005">
      <w:pPr>
        <w:pStyle w:val="a3"/>
        <w:rPr>
          <w:kern w:val="0"/>
        </w:rPr>
      </w:pPr>
      <w:r>
        <w:rPr>
          <w:rFonts w:hint="eastAsia"/>
          <w:kern w:val="0"/>
        </w:rPr>
        <w:t xml:space="preserve">? </w:t>
      </w:r>
      <w:r>
        <w:rPr>
          <w:kern w:val="0"/>
        </w:rPr>
        <w:t xml:space="preserve">Maynard-Smith, L., Larke, N., Peters, J.A. and Lawn, S.D. (2014), Diagnostic accuracy of the Xpert MTB/RIF assay for extrapulmonary and pulmonary tuberculosis when testing non-respiratory samples: A systematic review. </w:t>
      </w:r>
      <w:r>
        <w:rPr>
          <w:i/>
          <w:iCs/>
          <w:kern w:val="0"/>
        </w:rPr>
        <w:t>BMC Infectious Diseases</w:t>
      </w:r>
      <w:r>
        <w:rPr>
          <w:kern w:val="0"/>
        </w:rPr>
        <w:t xml:space="preserve">, </w:t>
      </w:r>
      <w:r>
        <w:rPr>
          <w:b/>
          <w:bCs/>
          <w:kern w:val="0"/>
        </w:rPr>
        <w:t>14</w:t>
      </w:r>
      <w:r>
        <w:rPr>
          <w:kern w:val="0"/>
        </w:rPr>
        <w:t xml:space="preserve">, </w:t>
      </w:r>
      <w:r>
        <w:t xml:space="preserve">Article Number: </w:t>
      </w:r>
      <w:r>
        <w:rPr>
          <w:rFonts w:hint="eastAsia"/>
          <w:szCs w:val="24"/>
        </w:rPr>
        <w:t>709</w:t>
      </w:r>
      <w:r>
        <w:t>.</w:t>
      </w:r>
    </w:p>
    <w:p w:rsidR="00485005" w:rsidRPr="00FC7835" w:rsidRDefault="00485005" w:rsidP="00485005">
      <w:pPr>
        <w:pStyle w:val="a3"/>
        <w:rPr>
          <w:kern w:val="0"/>
        </w:rPr>
      </w:pPr>
      <w:r>
        <w:rPr>
          <w:kern w:val="0"/>
        </w:rPr>
        <w:t>Full Text:</w:t>
      </w:r>
      <w:r w:rsidRPr="00FC7835">
        <w:rPr>
          <w:kern w:val="0"/>
        </w:rPr>
        <w:t xml:space="preserve"> </w:t>
      </w:r>
      <w:hyperlink r:id="rId1615" w:history="1">
        <w:r w:rsidRPr="00E02CF5">
          <w:rPr>
            <w:rStyle w:val="a5"/>
            <w:kern w:val="0"/>
          </w:rPr>
          <w:t>2014\BMC Inf Dis14, 709.pdf</w:t>
        </w:r>
      </w:hyperlink>
    </w:p>
    <w:p w:rsidR="00485005" w:rsidRDefault="00485005" w:rsidP="00485005">
      <w:pPr>
        <w:pStyle w:val="a3"/>
        <w:rPr>
          <w:kern w:val="0"/>
        </w:rPr>
      </w:pPr>
      <w:r>
        <w:rPr>
          <w:kern w:val="0"/>
        </w:rPr>
        <w:t xml:space="preserve">Abstract: Background: Although the evidence base regarding the use of the Xpert </w:t>
      </w:r>
      <w:r>
        <w:rPr>
          <w:kern w:val="0"/>
        </w:rPr>
        <w:lastRenderedPageBreak/>
        <w:t>MTB/RIF assay for diagnosis of pulmonary tuberculosis (TB) when testing respiratory samples is well established, the evidence base for its diagnostic accuracy for extrapulmonary and sputum-scarce pulmonary TB when testing non-respiratory samples is less clearly defined. Methods: A systematic literature search of 7 electronic databases (Medline, EMBASE, ISI Web of Science, BIOSIS, Global Health Database, Scopus and Cochrane Database) was conducted to identify studies of the diagnostic accuracy of the Xpert assay when testing non-respiratory samples compared with a culture-based reference standard. Data were extracted and study quality was assessed using the QUADAS-2 tool. Sensitivities and specificities were calculated on a per-sample basis, stratified by sample type and smear microscopy status and summarised using forest plots. Pooled estimates were calculated for groups with sufficient data. Results: Twenty-seven studies with a total of 6,026 non-respiratory samples were included. Among the 23 studies comparing Xpert and culture done on the same samples, sensitivity was very heterogeneous with a median sensitivity of 0.83 (IQR, 0.68-0.94) whereas specificities were typically very high (median, 0.98; IQR, 0.89-1.00). The pooled summary estimates of sensitivity when testing smear-positive and smear-negative samples were 0.95 (95% CI 0.91-1.00) and 0.69 (95% CI 0.60-0.80), respectively. Pooled summary estimates of sensitivity varied substantially between sample types: lymph node tissue, 0.96 (95% CI, 0.72-0.99); tissue samples of all types, 0.88 (95% CI, 0.76-0.94); pleural fluid, 0.34 (95% CI, 0.24-0.44); gastric aspirates for diagnosis of sputum-scarce pulmonary TB, 0.78 (IQR, 0.68 -0.85). Median sensitivities when testing cerebrospinal fluid and non-pleural serous fluid samples were 0.85 (IQR, 0.75-1.00) and 0.67 (IQR, 0.00-1.00), respectively. Conclusion: Xpert detects with high specificity the vast majority of EPTB cases with smear-positive non-respiratory samples and approximately two-thirds of those with smear-negative samples. Xpert is a useful rule-in diagnostic test for EPTB, especially when testing cerebrospinal fluid and tissue samples. In addition, it has a high sensitivity for detecting pulmonary TB when using gastric aspirate samples. These findings support recent WHO guidelines regarding the use of Xpert for TB diagnosis from non-respiratory samples.</w:t>
      </w:r>
    </w:p>
    <w:p w:rsidR="00485005" w:rsidRDefault="00485005" w:rsidP="00485005">
      <w:pPr>
        <w:pStyle w:val="a3"/>
        <w:rPr>
          <w:kern w:val="0"/>
        </w:rPr>
      </w:pPr>
      <w:r>
        <w:rPr>
          <w:kern w:val="0"/>
        </w:rPr>
        <w:t xml:space="preserve">Keywords: Accuracy, Cerebrospinal Fluid, Children, Culture, Data, Database, Databases, Diagnosis, Diagnostic, Diagnostic Accuracy, Diagnostic Test, Embase, Estimates, Evidence, Extrapulmonary, Forest, From, Gastric, Genexpert, Genexpert MTB, RIF, Global, Groups, Guidelines, Health, ISI, ISI Web Of Science, Literature, Literature Search, Median, Medline, Methods, Microscopy, Mycobacterium-Tuberculosis, Nonrespiratory Specimens, Pleural Tuberculosis, Quality, Rapid Diagnosis, Real-Time PCR, Recent, Reference, Results, Review, Rifampin Resistance, Science, Scopus, Sensitivity, Smear, Specificity, Standard, Stool Samples, Support, Systematic, Systematic Literature Search, Systematic </w:t>
      </w:r>
      <w:r>
        <w:rPr>
          <w:kern w:val="0"/>
        </w:rPr>
        <w:lastRenderedPageBreak/>
        <w:t>Review, TB, Testing, Tuberculosis, Web, Web Of Science, Who, XPERT MTB, RIF</w:t>
      </w:r>
    </w:p>
    <w:p w:rsidR="001569AF" w:rsidRDefault="001569AF" w:rsidP="001569AF">
      <w:pPr>
        <w:pStyle w:val="a3"/>
        <w:rPr>
          <w:kern w:val="0"/>
        </w:rPr>
      </w:pPr>
      <w:r>
        <w:rPr>
          <w:rFonts w:hint="eastAsia"/>
          <w:kern w:val="0"/>
        </w:rPr>
        <w:t xml:space="preserve">? </w:t>
      </w:r>
      <w:r>
        <w:rPr>
          <w:kern w:val="0"/>
        </w:rPr>
        <w:t xml:space="preserve">Chan, G.J., Lee, A.C.C., Baqui, A.H., Tan, J.W. and Black, R.E. (2015), Prevalence of early-onset neonatal infection among newborns of mothers with bacterial infection or colonization: A systematic review and meta-analysis. </w:t>
      </w:r>
      <w:r>
        <w:rPr>
          <w:i/>
          <w:iCs/>
          <w:kern w:val="0"/>
        </w:rPr>
        <w:t>BMC Infectious Diseases</w:t>
      </w:r>
      <w:r>
        <w:rPr>
          <w:kern w:val="0"/>
        </w:rPr>
        <w:t xml:space="preserve">, </w:t>
      </w:r>
      <w:r>
        <w:rPr>
          <w:b/>
          <w:bCs/>
          <w:kern w:val="0"/>
        </w:rPr>
        <w:t>15</w:t>
      </w:r>
      <w:r>
        <w:rPr>
          <w:kern w:val="0"/>
        </w:rPr>
        <w:t xml:space="preserve">, </w:t>
      </w:r>
      <w:r>
        <w:t xml:space="preserve">Article Number: </w:t>
      </w:r>
      <w:r>
        <w:rPr>
          <w:rFonts w:hint="eastAsia"/>
          <w:szCs w:val="24"/>
        </w:rPr>
        <w:t>118</w:t>
      </w:r>
      <w:r>
        <w:t>.</w:t>
      </w:r>
    </w:p>
    <w:p w:rsidR="001569AF" w:rsidRPr="00FC7835" w:rsidRDefault="001569AF" w:rsidP="001569AF">
      <w:pPr>
        <w:pStyle w:val="a3"/>
        <w:rPr>
          <w:kern w:val="0"/>
        </w:rPr>
      </w:pPr>
      <w:r>
        <w:rPr>
          <w:kern w:val="0"/>
        </w:rPr>
        <w:t>Full Text:</w:t>
      </w:r>
      <w:r w:rsidRPr="00FC7835">
        <w:rPr>
          <w:kern w:val="0"/>
        </w:rPr>
        <w:t xml:space="preserve"> </w:t>
      </w:r>
      <w:hyperlink r:id="rId1616" w:history="1">
        <w:r w:rsidRPr="0072435F">
          <w:rPr>
            <w:rStyle w:val="a5"/>
            <w:kern w:val="0"/>
          </w:rPr>
          <w:t>2015\BMC Inf Dis15, 118.pdf</w:t>
        </w:r>
      </w:hyperlink>
    </w:p>
    <w:p w:rsidR="001569AF" w:rsidRDefault="001569AF" w:rsidP="001569AF">
      <w:pPr>
        <w:pStyle w:val="a3"/>
        <w:rPr>
          <w:kern w:val="0"/>
        </w:rPr>
      </w:pPr>
      <w:r>
        <w:rPr>
          <w:kern w:val="0"/>
        </w:rPr>
        <w:t>Abstract: Background: Although neonatal infections cause a significant proportion of deaths in the first week of life, little is known about the burden of neonatal disease originating from maternal infection or colonization globally. This paper describes the prevalence of vertical transmission - the percentage of newborns with neonatal infection among newborns exposed to maternal infection. Methods: We searched Pubmed, Embase, Scopus, Web of Science, Cochrane Library, and WHO Regional Databases for studies of maternal infection, vertical transmission, and neonatal infection. Studies that measured prevalence of bacterial vertical transmission were included. Random effects meta-analyses were used to pool data to calculate prevalence estimates of vertical transmission. Results: 122 studies met the inclusion criteria. Only seven studies (5.7%) were from very high neonatal mortality settings. Considerable heterogeneity existed between studies given the various definitions of infection (lab-confirmed, clinical signs), colonization, and risk factors of infection. The prevalence of early onset neonatal lab-confirmed infection among newborns of mothers with lab-confirmed infection was 17.2% (95% CI 6.5-27.9). The prevalence of neonatal lab-confirmed infection among newborns of colonized mothers was 0% (95% CI 0.0-0.0). The prevalence of neonatal surface colonization among newborns of colonized mothers ranged from 30.9-45.5% depending on the organism. The prevalence of neonatal lab-confirmed infection among newborns of mothers with risk factors (premature rupture of membranes, preterm premature rupture of membranes, prolonged rupture of membranes) ranged from 2.9-19.2% depending on the risk factor. Conclusions: The prevalence of early-onset neonatal infection is high among newborns of mothers with infection or risk factors for infection. More high quality studies are needed particularly in high neonatal mortality settings to accurately estimate the prevalence of early-onset infection among newborns at risk.</w:t>
      </w:r>
    </w:p>
    <w:p w:rsidR="001569AF" w:rsidRDefault="001569AF" w:rsidP="001569AF">
      <w:pPr>
        <w:pStyle w:val="a3"/>
        <w:rPr>
          <w:kern w:val="0"/>
        </w:rPr>
      </w:pPr>
      <w:r>
        <w:rPr>
          <w:kern w:val="0"/>
        </w:rPr>
        <w:t xml:space="preserve">Keywords: Bacterial Infection, Burden, Clinical, Colonization, Criteria, Data, Databases, Definitions, Disease, Early-Onset, Effects, Estimates, Factors, First, From, Group-B Streptococci, Heterogeneity, Immediate Postpartum Treatment, Infection, Infections, Intra-Amniotic Infection, Intrapartum Chemoprophylaxis, Life, Mar, Maternal, Maternal Infection, Meta Analysis, Meta-Analyses, Meta-Analysis, Metaanalysis, Methods, Mortality, Mothers, Neonatal, Neonatal Infection, Neonatal Mortality, Newborns, Onset, Pregnant-Women, Premature, Premature Rupture Of Membranes, Preterm, Preterm Premature Rupture, Preterm Premature Rupture Of Membranes, </w:t>
      </w:r>
      <w:r>
        <w:rPr>
          <w:kern w:val="0"/>
        </w:rPr>
        <w:lastRenderedPageBreak/>
        <w:t>Prevalence, Prolonged, Quality, Results, Review, Risk, Risk Factor, Risk Factors, Risk-Factors, Rupture, Rupture Of Membranes, Science, Scopus, Staphylococcus-Aureus, Surface, Systematic, Systematic Review, Transmission, Ureaplasma-Urealyticum Colonization, Vaginal Chlorhexidine Disinfection, Vertical, Vertical Transmission, Web, Web Of Science, Who</w:t>
      </w:r>
    </w:p>
    <w:p w:rsidR="00B21266" w:rsidRPr="001A3D2B" w:rsidRDefault="00B21266" w:rsidP="00B21266">
      <w:pPr>
        <w:pStyle w:val="1"/>
      </w:pPr>
      <w:r w:rsidRPr="001A3D2B">
        <w:br w:type="page"/>
      </w:r>
      <w:bookmarkStart w:id="843" w:name="_Toc420814760"/>
      <w:r w:rsidRPr="001A3D2B">
        <w:lastRenderedPageBreak/>
        <w:t xml:space="preserve">Title: </w:t>
      </w:r>
      <w:r w:rsidRPr="00B21266">
        <w:rPr>
          <w:iCs w:val="0"/>
        </w:rPr>
        <w:t xml:space="preserve">BMC </w:t>
      </w:r>
      <w:r w:rsidRPr="00B21266">
        <w:t>Medical Education</w:t>
      </w:r>
      <w:bookmarkEnd w:id="843"/>
    </w:p>
    <w:p w:rsidR="00C4358E" w:rsidRPr="001A3D2B" w:rsidRDefault="00C4358E" w:rsidP="00C4358E">
      <w:pPr>
        <w:pStyle w:val="12"/>
      </w:pPr>
      <w:r w:rsidRPr="001A3D2B">
        <w:t xml:space="preserve">Full Journal Title: </w:t>
      </w:r>
      <w:hyperlink r:id="rId1617" w:history="1">
        <w:r w:rsidRPr="00703AF9">
          <w:rPr>
            <w:rStyle w:val="a5"/>
            <w:iCs/>
            <w:kern w:val="0"/>
          </w:rPr>
          <w:t>BMC Medical Education</w:t>
        </w:r>
      </w:hyperlink>
    </w:p>
    <w:p w:rsidR="00B74B33" w:rsidRDefault="00B74B33" w:rsidP="00B74B33">
      <w:pPr>
        <w:pStyle w:val="12"/>
      </w:pPr>
      <w:r>
        <w:t>ISO Abbrev. Title: BMC Med. Educ.</w:t>
      </w:r>
    </w:p>
    <w:p w:rsidR="00B74B33" w:rsidRDefault="00B74B33" w:rsidP="00B74B33">
      <w:pPr>
        <w:pStyle w:val="12"/>
      </w:pPr>
      <w:r>
        <w:t>JCR Abbrev. Title: BMC Med Educ</w:t>
      </w:r>
    </w:p>
    <w:p w:rsidR="00B74B33" w:rsidRDefault="00B74B33" w:rsidP="00B74B33">
      <w:pPr>
        <w:pStyle w:val="12"/>
      </w:pPr>
      <w:r>
        <w:t>ISSN: 1472-6920</w:t>
      </w:r>
    </w:p>
    <w:p w:rsidR="00B74B33" w:rsidRDefault="00B74B33" w:rsidP="00B74B33">
      <w:pPr>
        <w:pStyle w:val="12"/>
      </w:pPr>
      <w:r>
        <w:t>Issues/Year: 0</w:t>
      </w:r>
    </w:p>
    <w:p w:rsidR="00B74B33" w:rsidRDefault="00B74B33" w:rsidP="00B74B33">
      <w:pPr>
        <w:pStyle w:val="12"/>
      </w:pPr>
      <w:r>
        <w:t>Language: English</w:t>
      </w:r>
    </w:p>
    <w:p w:rsidR="00B74B33" w:rsidRDefault="00B74B33" w:rsidP="00B74B33">
      <w:pPr>
        <w:pStyle w:val="12"/>
      </w:pPr>
      <w:r>
        <w:t>Journal Country/Territory: England</w:t>
      </w:r>
    </w:p>
    <w:p w:rsidR="00B74B33" w:rsidRDefault="00B74B33" w:rsidP="00B74B33">
      <w:pPr>
        <w:pStyle w:val="12"/>
      </w:pPr>
      <w:r>
        <w:t>Publisher: Biomed Central Ltd</w:t>
      </w:r>
    </w:p>
    <w:p w:rsidR="00B74B33" w:rsidRDefault="00B74B33" w:rsidP="00B74B33">
      <w:pPr>
        <w:pStyle w:val="12"/>
      </w:pPr>
      <w:r>
        <w:t>Publisher Address: 236 Grays Inn Rd, Floor 6, London Wc1x 8hl, England</w:t>
      </w:r>
    </w:p>
    <w:p w:rsidR="00B74B33" w:rsidRDefault="00B74B33" w:rsidP="00B74B33">
      <w:pPr>
        <w:pStyle w:val="12"/>
      </w:pPr>
      <w:r>
        <w:t>Subject Categories:</w:t>
      </w:r>
    </w:p>
    <w:p w:rsidR="00B74B33" w:rsidRPr="001A3D2B" w:rsidRDefault="00B74B33" w:rsidP="00B74B33">
      <w:pPr>
        <w:pStyle w:val="12"/>
      </w:pPr>
      <w:r>
        <w:t>Education, Scientific Disciplines</w:t>
      </w:r>
      <w:r w:rsidRPr="001A3D2B">
        <w:t xml:space="preserve">: Impact Factor </w:t>
      </w:r>
      <w:r>
        <w:rPr>
          <w:rFonts w:hint="eastAsia"/>
        </w:rPr>
        <w:t>1.152, 15/33 (2011)</w:t>
      </w:r>
    </w:p>
    <w:p w:rsidR="00B21266" w:rsidRDefault="00B21266" w:rsidP="00B21266">
      <w:pPr>
        <w:pStyle w:val="a3"/>
      </w:pPr>
      <w:r>
        <w:rPr>
          <w:rFonts w:hint="eastAsia"/>
          <w:kern w:val="0"/>
        </w:rPr>
        <w:t xml:space="preserve">? </w:t>
      </w:r>
      <w:r>
        <w:rPr>
          <w:kern w:val="0"/>
        </w:rPr>
        <w:t>Walker, R.L., Sykes, L., Hemmelgarn, B.R.</w:t>
      </w:r>
      <w:r w:rsidR="005853A9">
        <w:rPr>
          <w:kern w:val="0"/>
        </w:rPr>
        <w:t xml:space="preserve"> and </w:t>
      </w:r>
      <w:r>
        <w:rPr>
          <w:kern w:val="0"/>
        </w:rPr>
        <w:t>Quan, H.D. (2010), Authors</w:t>
      </w:r>
      <w:r w:rsidR="00700038">
        <w:rPr>
          <w:kern w:val="0"/>
        </w:rPr>
        <w:t>’</w:t>
      </w:r>
      <w:r>
        <w:rPr>
          <w:kern w:val="0"/>
        </w:rPr>
        <w:t xml:space="preserve"> opinions on publication in relation to annual performance assessment. </w:t>
      </w:r>
      <w:r w:rsidRPr="00B21266">
        <w:rPr>
          <w:i/>
          <w:iCs/>
          <w:kern w:val="0"/>
        </w:rPr>
        <w:t>BMC Medical Education</w:t>
      </w:r>
      <w:r>
        <w:rPr>
          <w:kern w:val="0"/>
        </w:rPr>
        <w:t xml:space="preserve">, </w:t>
      </w:r>
      <w:r>
        <w:rPr>
          <w:b/>
          <w:bCs/>
          <w:kern w:val="0"/>
        </w:rPr>
        <w:t>10</w:t>
      </w:r>
      <w:r>
        <w:rPr>
          <w:rFonts w:hint="eastAsia"/>
          <w:kern w:val="0"/>
        </w:rPr>
        <w:t xml:space="preserve">, </w:t>
      </w:r>
      <w:r>
        <w:t>Article Number: 21</w:t>
      </w:r>
      <w:r>
        <w:rPr>
          <w:rFonts w:hint="eastAsia"/>
        </w:rPr>
        <w:t>.</w:t>
      </w:r>
    </w:p>
    <w:p w:rsidR="00B21266" w:rsidRDefault="00B21266" w:rsidP="00B21266">
      <w:pPr>
        <w:pStyle w:val="a3"/>
        <w:rPr>
          <w:kern w:val="0"/>
        </w:rPr>
      </w:pPr>
      <w:r>
        <w:rPr>
          <w:rFonts w:hint="eastAsia"/>
        </w:rPr>
        <w:t xml:space="preserve">Full Text: </w:t>
      </w:r>
      <w:hyperlink r:id="rId1618" w:history="1">
        <w:r w:rsidRPr="00B21266">
          <w:rPr>
            <w:rStyle w:val="a5"/>
          </w:rPr>
          <w:t>2010\BMC Med Edu10, 21.pdf</w:t>
        </w:r>
      </w:hyperlink>
    </w:p>
    <w:p w:rsidR="00B21266" w:rsidRDefault="00B21266" w:rsidP="00B21266">
      <w:pPr>
        <w:pStyle w:val="a3"/>
        <w:rPr>
          <w:kern w:val="0"/>
        </w:rPr>
      </w:pPr>
      <w:r>
        <w:rPr>
          <w:kern w:val="0"/>
        </w:rPr>
        <w:t>Abstract: Background: In</w:t>
      </w:r>
      <w:r w:rsidR="003A1917">
        <w:rPr>
          <w:kern w:val="0"/>
        </w:rPr>
        <w:t xml:space="preserve"> the </w:t>
      </w:r>
      <w:r>
        <w:rPr>
          <w:kern w:val="0"/>
        </w:rPr>
        <w:t>past 50 years there has been a substantial increase in</w:t>
      </w:r>
      <w:r w:rsidR="003A1917">
        <w:rPr>
          <w:kern w:val="0"/>
        </w:rPr>
        <w:t xml:space="preserve"> the </w:t>
      </w:r>
      <w:r>
        <w:rPr>
          <w:kern w:val="0"/>
        </w:rPr>
        <w:t>volume</w:t>
      </w:r>
      <w:r w:rsidR="00427468">
        <w:rPr>
          <w:kern w:val="0"/>
        </w:rPr>
        <w:t xml:space="preserve"> of </w:t>
      </w:r>
      <w:r>
        <w:rPr>
          <w:kern w:val="0"/>
        </w:rPr>
        <w:t>published research</w:t>
      </w:r>
      <w:r w:rsidR="005853A9">
        <w:rPr>
          <w:kern w:val="0"/>
        </w:rPr>
        <w:t xml:space="preserve"> and </w:t>
      </w:r>
      <w:r>
        <w:rPr>
          <w:kern w:val="0"/>
        </w:rPr>
        <w:t>in</w:t>
      </w:r>
      <w:r w:rsidR="003A1917">
        <w:rPr>
          <w:kern w:val="0"/>
        </w:rPr>
        <w:t xml:space="preserve"> the </w:t>
      </w:r>
      <w:r>
        <w:rPr>
          <w:kern w:val="0"/>
        </w:rPr>
        <w:t>number</w:t>
      </w:r>
      <w:r w:rsidR="00427468">
        <w:rPr>
          <w:kern w:val="0"/>
        </w:rPr>
        <w:t xml:space="preserve"> of </w:t>
      </w:r>
      <w:r>
        <w:rPr>
          <w:kern w:val="0"/>
        </w:rPr>
        <w:t>authors per scientific publication</w:t>
      </w:r>
      <w:r w:rsidR="00A37C1D">
        <w:rPr>
          <w:kern w:val="0"/>
        </w:rPr>
        <w:t>. The</w:t>
      </w:r>
      <w:r>
        <w:rPr>
          <w:kern w:val="0"/>
        </w:rPr>
        <w:t>re is also significant pressure exerted on researchers to produce publications. Thus,</w:t>
      </w:r>
      <w:r w:rsidR="003A1917">
        <w:rPr>
          <w:kern w:val="0"/>
        </w:rPr>
        <w:t xml:space="preserve"> the </w:t>
      </w:r>
      <w:r>
        <w:rPr>
          <w:kern w:val="0"/>
        </w:rPr>
        <w:t>purpose</w:t>
      </w:r>
      <w:r w:rsidR="00427468">
        <w:rPr>
          <w:kern w:val="0"/>
        </w:rPr>
        <w:t xml:space="preserve"> of </w:t>
      </w:r>
      <w:r>
        <w:rPr>
          <w:kern w:val="0"/>
        </w:rPr>
        <w:t>this study was to survey corresponding authors in published medical journals to determine their opinion on publication impact in relation to performance review</w:t>
      </w:r>
      <w:r w:rsidR="005853A9">
        <w:rPr>
          <w:kern w:val="0"/>
        </w:rPr>
        <w:t xml:space="preserve"> and </w:t>
      </w:r>
      <w:r>
        <w:rPr>
          <w:kern w:val="0"/>
        </w:rPr>
        <w:t>promotion. Methods: Cross-sectional survey</w:t>
      </w:r>
      <w:r w:rsidR="00427468">
        <w:rPr>
          <w:kern w:val="0"/>
        </w:rPr>
        <w:t xml:space="preserve"> of </w:t>
      </w:r>
      <w:r>
        <w:rPr>
          <w:kern w:val="0"/>
        </w:rPr>
        <w:t>corresponding authors</w:t>
      </w:r>
      <w:r w:rsidR="00427468">
        <w:rPr>
          <w:kern w:val="0"/>
        </w:rPr>
        <w:t xml:space="preserve"> of </w:t>
      </w:r>
      <w:r>
        <w:rPr>
          <w:kern w:val="0"/>
        </w:rPr>
        <w:t>original research articles published in June 2007 among 72 medical journals. Measurement outcomes included</w:t>
      </w:r>
      <w:r w:rsidR="003A1917">
        <w:rPr>
          <w:kern w:val="0"/>
        </w:rPr>
        <w:t xml:space="preserve"> the </w:t>
      </w:r>
      <w:r>
        <w:rPr>
          <w:kern w:val="0"/>
        </w:rPr>
        <w:t>number</w:t>
      </w:r>
      <w:r w:rsidR="00427468">
        <w:rPr>
          <w:kern w:val="0"/>
        </w:rPr>
        <w:t xml:space="preserve"> of </w:t>
      </w:r>
      <w:r>
        <w:rPr>
          <w:kern w:val="0"/>
        </w:rPr>
        <w:t>publications, number</w:t>
      </w:r>
      <w:r w:rsidR="00427468">
        <w:rPr>
          <w:kern w:val="0"/>
        </w:rPr>
        <w:t xml:space="preserve"> of </w:t>
      </w:r>
      <w:r>
        <w:rPr>
          <w:kern w:val="0"/>
        </w:rPr>
        <w:t>authors, authorship order</w:t>
      </w:r>
      <w:r w:rsidR="005853A9">
        <w:rPr>
          <w:kern w:val="0"/>
        </w:rPr>
        <w:t xml:space="preserve"> and </w:t>
      </w:r>
      <w:r>
        <w:rPr>
          <w:kern w:val="0"/>
        </w:rPr>
        <w:t>journal impact factor in relation to performance review</w:t>
      </w:r>
      <w:r w:rsidR="005853A9">
        <w:rPr>
          <w:kern w:val="0"/>
        </w:rPr>
        <w:t xml:space="preserve"> and </w:t>
      </w:r>
      <w:r>
        <w:rPr>
          <w:kern w:val="0"/>
        </w:rPr>
        <w:t>promotion. Results:</w:t>
      </w:r>
      <w:r w:rsidR="00427468">
        <w:rPr>
          <w:kern w:val="0"/>
        </w:rPr>
        <w:t xml:space="preserve"> of </w:t>
      </w:r>
      <w:r>
        <w:rPr>
          <w:kern w:val="0"/>
        </w:rPr>
        <w:t>687 surveys, 478 were analyzed (response rate 69.6%). Corresponding authors self-reported that number</w:t>
      </w:r>
      <w:r w:rsidR="00427468">
        <w:rPr>
          <w:kern w:val="0"/>
        </w:rPr>
        <w:t xml:space="preserve"> of </w:t>
      </w:r>
      <w:r>
        <w:rPr>
          <w:kern w:val="0"/>
        </w:rPr>
        <w:t>publications (78.7%), journal impact factor (67.8%)</w:t>
      </w:r>
      <w:r w:rsidR="005853A9">
        <w:rPr>
          <w:kern w:val="0"/>
        </w:rPr>
        <w:t xml:space="preserve"> and </w:t>
      </w:r>
      <w:r>
        <w:rPr>
          <w:kern w:val="0"/>
        </w:rPr>
        <w:t>being</w:t>
      </w:r>
      <w:r w:rsidR="003A1917">
        <w:rPr>
          <w:kern w:val="0"/>
        </w:rPr>
        <w:t xml:space="preserve"> the </w:t>
      </w:r>
      <w:r>
        <w:rPr>
          <w:kern w:val="0"/>
        </w:rPr>
        <w:t>first author (75.9%) were most influential for their annual performance review</w:t>
      </w:r>
      <w:r w:rsidR="005853A9">
        <w:rPr>
          <w:kern w:val="0"/>
        </w:rPr>
        <w:t xml:space="preserve"> and </w:t>
      </w:r>
      <w:r>
        <w:rPr>
          <w:kern w:val="0"/>
        </w:rPr>
        <w:t>assessment. Only 17.6%</w:t>
      </w:r>
      <w:r w:rsidR="00427468">
        <w:rPr>
          <w:kern w:val="0"/>
        </w:rPr>
        <w:t xml:space="preserve"> of </w:t>
      </w:r>
      <w:r>
        <w:rPr>
          <w:kern w:val="0"/>
        </w:rPr>
        <w:t>authors reported that</w:t>
      </w:r>
      <w:r w:rsidR="003A1917">
        <w:rPr>
          <w:kern w:val="0"/>
        </w:rPr>
        <w:t xml:space="preserve"> the </w:t>
      </w:r>
      <w:r>
        <w:rPr>
          <w:kern w:val="0"/>
        </w:rPr>
        <w:t>number</w:t>
      </w:r>
      <w:r w:rsidR="00427468">
        <w:rPr>
          <w:kern w:val="0"/>
        </w:rPr>
        <w:t xml:space="preserve"> of </w:t>
      </w:r>
      <w:r>
        <w:rPr>
          <w:kern w:val="0"/>
        </w:rPr>
        <w:t>authors on a manuscript was important criteria for performance review</w:t>
      </w:r>
      <w:r w:rsidR="005853A9">
        <w:rPr>
          <w:kern w:val="0"/>
        </w:rPr>
        <w:t xml:space="preserve"> and </w:t>
      </w:r>
      <w:r>
        <w:rPr>
          <w:kern w:val="0"/>
        </w:rPr>
        <w:t>assessment. A higher percentage</w:t>
      </w:r>
      <w:r w:rsidR="00427468">
        <w:rPr>
          <w:kern w:val="0"/>
        </w:rPr>
        <w:t xml:space="preserve"> of </w:t>
      </w:r>
      <w:r>
        <w:rPr>
          <w:kern w:val="0"/>
        </w:rPr>
        <w:t>Asian authors reported that</w:t>
      </w:r>
      <w:r w:rsidR="003A1917">
        <w:rPr>
          <w:kern w:val="0"/>
        </w:rPr>
        <w:t xml:space="preserve"> the </w:t>
      </w:r>
      <w:r>
        <w:rPr>
          <w:kern w:val="0"/>
        </w:rPr>
        <w:t>number</w:t>
      </w:r>
      <w:r w:rsidR="00427468">
        <w:rPr>
          <w:kern w:val="0"/>
        </w:rPr>
        <w:t xml:space="preserve"> of </w:t>
      </w:r>
      <w:r>
        <w:rPr>
          <w:kern w:val="0"/>
        </w:rPr>
        <w:t>authors was key to performance review</w:t>
      </w:r>
      <w:r w:rsidR="005853A9">
        <w:rPr>
          <w:kern w:val="0"/>
        </w:rPr>
        <w:t xml:space="preserve"> and </w:t>
      </w:r>
      <w:r>
        <w:rPr>
          <w:kern w:val="0"/>
        </w:rPr>
        <w:t>promotion (41.4% versus 7.8 to 22.2%). compared to authors from other countries. Conclusions:</w:t>
      </w:r>
      <w:r w:rsidR="003A1917">
        <w:rPr>
          <w:kern w:val="0"/>
        </w:rPr>
        <w:t xml:space="preserve"> the </w:t>
      </w:r>
      <w:r>
        <w:rPr>
          <w:kern w:val="0"/>
        </w:rPr>
        <w:t>number</w:t>
      </w:r>
      <w:r w:rsidR="00427468">
        <w:rPr>
          <w:kern w:val="0"/>
        </w:rPr>
        <w:t xml:space="preserve"> of </w:t>
      </w:r>
      <w:r>
        <w:rPr>
          <w:kern w:val="0"/>
        </w:rPr>
        <w:t>publications, authorship order</w:t>
      </w:r>
      <w:r w:rsidR="005853A9">
        <w:rPr>
          <w:kern w:val="0"/>
        </w:rPr>
        <w:t xml:space="preserve"> and </w:t>
      </w:r>
      <w:r>
        <w:rPr>
          <w:kern w:val="0"/>
        </w:rPr>
        <w:t>journal impact factor were important factors for performance reviews</w:t>
      </w:r>
      <w:r w:rsidR="005853A9">
        <w:rPr>
          <w:kern w:val="0"/>
        </w:rPr>
        <w:t xml:space="preserve"> and </w:t>
      </w:r>
      <w:r>
        <w:rPr>
          <w:kern w:val="0"/>
        </w:rPr>
        <w:t>promotion at academic</w:t>
      </w:r>
      <w:r w:rsidR="005853A9">
        <w:rPr>
          <w:kern w:val="0"/>
        </w:rPr>
        <w:t xml:space="preserve"> and </w:t>
      </w:r>
      <w:r>
        <w:rPr>
          <w:kern w:val="0"/>
        </w:rPr>
        <w:t>non-academic institutes</w:t>
      </w:r>
      <w:r w:rsidR="00A37C1D">
        <w:rPr>
          <w:kern w:val="0"/>
        </w:rPr>
        <w:t>. The</w:t>
      </w:r>
      <w:r w:rsidR="003A1917">
        <w:rPr>
          <w:kern w:val="0"/>
        </w:rPr>
        <w:t xml:space="preserve"> </w:t>
      </w:r>
      <w:r>
        <w:rPr>
          <w:kern w:val="0"/>
        </w:rPr>
        <w:t>number</w:t>
      </w:r>
      <w:r w:rsidR="00427468">
        <w:rPr>
          <w:kern w:val="0"/>
        </w:rPr>
        <w:t xml:space="preserve"> of </w:t>
      </w:r>
      <w:r>
        <w:rPr>
          <w:kern w:val="0"/>
        </w:rPr>
        <w:t>authors was not identified as important criteria</w:t>
      </w:r>
      <w:r w:rsidR="00A37C1D">
        <w:rPr>
          <w:kern w:val="0"/>
        </w:rPr>
        <w:t>. The</w:t>
      </w:r>
      <w:r>
        <w:rPr>
          <w:kern w:val="0"/>
        </w:rPr>
        <w:t>se factors may be contributing to</w:t>
      </w:r>
      <w:r w:rsidR="003A1917">
        <w:rPr>
          <w:kern w:val="0"/>
        </w:rPr>
        <w:t xml:space="preserve"> the </w:t>
      </w:r>
      <w:r>
        <w:rPr>
          <w:kern w:val="0"/>
        </w:rPr>
        <w:t>increase in</w:t>
      </w:r>
      <w:r w:rsidR="003A1917">
        <w:rPr>
          <w:kern w:val="0"/>
        </w:rPr>
        <w:t xml:space="preserve"> the </w:t>
      </w:r>
      <w:r>
        <w:rPr>
          <w:kern w:val="0"/>
        </w:rPr>
        <w:t>number</w:t>
      </w:r>
      <w:r w:rsidR="00427468">
        <w:rPr>
          <w:kern w:val="0"/>
        </w:rPr>
        <w:t xml:space="preserve"> of </w:t>
      </w:r>
      <w:r>
        <w:rPr>
          <w:kern w:val="0"/>
        </w:rPr>
        <w:t xml:space="preserve">authors </w:t>
      </w:r>
      <w:r>
        <w:rPr>
          <w:kern w:val="0"/>
        </w:rPr>
        <w:lastRenderedPageBreak/>
        <w:t>per publication.</w:t>
      </w:r>
    </w:p>
    <w:p w:rsidR="00B21266" w:rsidRDefault="00B21266" w:rsidP="00B21266">
      <w:pPr>
        <w:pStyle w:val="a3"/>
        <w:rPr>
          <w:kern w:val="0"/>
        </w:rPr>
      </w:pPr>
      <w:r>
        <w:rPr>
          <w:kern w:val="0"/>
        </w:rPr>
        <w:t>Keywords: Assessment, Author, Authors, Authorship, Cross-Sectional Survey, History, Impact, Impact Factor, Journal, Journal Impact, Journal Impact Factor, Journals, Measurement, Medical, Medical Journals, Methods, Outcomes, Pressure, Promotion, Publication, Publications, Published Research, Research, Researchers, Review, Scientific Publication, Survey</w:t>
      </w:r>
    </w:p>
    <w:p w:rsidR="00CF2DAE" w:rsidRDefault="00CF2DAE" w:rsidP="00CF2DAE">
      <w:pPr>
        <w:pStyle w:val="a3"/>
      </w:pPr>
      <w:r>
        <w:rPr>
          <w:rFonts w:hint="eastAsia"/>
          <w:kern w:val="0"/>
          <w:szCs w:val="24"/>
        </w:rPr>
        <w:t>? Olid, A.S., Zurro, A.M., Villa, J.J., Hijar, A.M., Tuduri, X.M., Puime, A.O., Dalmau, G.M.</w:t>
      </w:r>
      <w:r w:rsidR="005853A9">
        <w:rPr>
          <w:rFonts w:hint="eastAsia"/>
          <w:kern w:val="0"/>
          <w:szCs w:val="24"/>
        </w:rPr>
        <w:t xml:space="preserve"> and </w:t>
      </w:r>
      <w:r>
        <w:rPr>
          <w:rFonts w:hint="eastAsia"/>
          <w:kern w:val="0"/>
          <w:szCs w:val="24"/>
        </w:rPr>
        <w:t>Alonso-Coello, P. (2012), Medical students</w:t>
      </w:r>
      <w:r w:rsidR="00700038">
        <w:rPr>
          <w:kern w:val="0"/>
          <w:szCs w:val="24"/>
        </w:rPr>
        <w:t>’</w:t>
      </w:r>
      <w:r>
        <w:rPr>
          <w:rFonts w:hint="eastAsia"/>
          <w:kern w:val="0"/>
          <w:szCs w:val="24"/>
        </w:rPr>
        <w:t xml:space="preserve"> perceptions</w:t>
      </w:r>
      <w:r w:rsidR="005853A9">
        <w:rPr>
          <w:rFonts w:hint="eastAsia"/>
          <w:kern w:val="0"/>
          <w:szCs w:val="24"/>
        </w:rPr>
        <w:t xml:space="preserve"> and </w:t>
      </w:r>
      <w:r>
        <w:rPr>
          <w:rFonts w:hint="eastAsia"/>
          <w:kern w:val="0"/>
          <w:szCs w:val="24"/>
        </w:rPr>
        <w:t xml:space="preserve">attitudes about family practice: A qualitative research synthesis. </w:t>
      </w:r>
      <w:r>
        <w:rPr>
          <w:rFonts w:hint="eastAsia"/>
          <w:i/>
          <w:iCs/>
          <w:kern w:val="0"/>
          <w:szCs w:val="24"/>
        </w:rPr>
        <w:t>BMC Medical Education</w:t>
      </w:r>
      <w:r>
        <w:rPr>
          <w:rFonts w:hint="eastAsia"/>
          <w:kern w:val="0"/>
          <w:szCs w:val="24"/>
        </w:rPr>
        <w:t xml:space="preserve">, </w:t>
      </w:r>
      <w:r>
        <w:rPr>
          <w:rFonts w:hint="eastAsia"/>
          <w:b/>
          <w:bCs/>
          <w:kern w:val="0"/>
          <w:szCs w:val="24"/>
        </w:rPr>
        <w:t>12</w:t>
      </w:r>
      <w:r>
        <w:rPr>
          <w:rFonts w:hint="eastAsia"/>
          <w:kern w:val="0"/>
        </w:rPr>
        <w:t>, Article Number: 81.</w:t>
      </w:r>
    </w:p>
    <w:p w:rsidR="00CF2DAE" w:rsidRDefault="00CF2DAE" w:rsidP="00CF2DAE">
      <w:pPr>
        <w:pStyle w:val="a3"/>
        <w:rPr>
          <w:kern w:val="0"/>
        </w:rPr>
      </w:pPr>
      <w:r>
        <w:rPr>
          <w:rFonts w:hint="eastAsia"/>
        </w:rPr>
        <w:t xml:space="preserve">Full Text: </w:t>
      </w:r>
      <w:hyperlink r:id="rId1619" w:history="1">
        <w:r w:rsidRPr="005623C1">
          <w:rPr>
            <w:rStyle w:val="a5"/>
          </w:rPr>
          <w:t>2012\BMC Med Edu12, 81.pdf</w:t>
        </w:r>
      </w:hyperlink>
    </w:p>
    <w:p w:rsidR="00CF2DAE" w:rsidRDefault="001E1D98" w:rsidP="00CF2DAE">
      <w:pPr>
        <w:pStyle w:val="a3"/>
        <w:rPr>
          <w:kern w:val="0"/>
          <w:szCs w:val="24"/>
        </w:rPr>
      </w:pPr>
      <w:r>
        <w:rPr>
          <w:rFonts w:hint="eastAsia"/>
          <w:kern w:val="0"/>
          <w:szCs w:val="24"/>
        </w:rPr>
        <w:t>Abstract:</w:t>
      </w:r>
      <w:r w:rsidR="00CF2DAE">
        <w:rPr>
          <w:rFonts w:hint="eastAsia"/>
          <w:kern w:val="0"/>
          <w:szCs w:val="24"/>
        </w:rPr>
        <w:t xml:space="preserve"> Background: During the last decade medical students from most Western countries have shown little interest in family practice. Understanding the factors that influence medical students to choose family medicine is crucial. Objective: To systematically review</w:t>
      </w:r>
      <w:r w:rsidR="005853A9">
        <w:rPr>
          <w:rFonts w:hint="eastAsia"/>
          <w:kern w:val="0"/>
          <w:szCs w:val="24"/>
        </w:rPr>
        <w:t xml:space="preserve"> and </w:t>
      </w:r>
      <w:r w:rsidR="00CF2DAE">
        <w:rPr>
          <w:rFonts w:hint="eastAsia"/>
          <w:kern w:val="0"/>
          <w:szCs w:val="24"/>
        </w:rPr>
        <w:t>synthesize published evidence about medical students</w:t>
      </w:r>
      <w:r w:rsidR="00700038">
        <w:rPr>
          <w:kern w:val="0"/>
          <w:szCs w:val="24"/>
        </w:rPr>
        <w:t>’</w:t>
      </w:r>
      <w:r w:rsidR="00CF2DAE">
        <w:rPr>
          <w:rFonts w:hint="eastAsia"/>
          <w:kern w:val="0"/>
          <w:szCs w:val="24"/>
        </w:rPr>
        <w:t xml:space="preserve"> attitudes</w:t>
      </w:r>
      <w:r w:rsidR="005853A9">
        <w:rPr>
          <w:rFonts w:hint="eastAsia"/>
          <w:kern w:val="0"/>
          <w:szCs w:val="24"/>
        </w:rPr>
        <w:t xml:space="preserve"> and </w:t>
      </w:r>
      <w:r w:rsidR="00CF2DAE">
        <w:rPr>
          <w:rFonts w:hint="eastAsia"/>
          <w:kern w:val="0"/>
          <w:szCs w:val="24"/>
        </w:rPr>
        <w:t>perceptions towards family practice. Methods: A qualitative systematic review</w:t>
      </w:r>
      <w:r w:rsidR="00A37C1D">
        <w:rPr>
          <w:rFonts w:hint="eastAsia"/>
          <w:kern w:val="0"/>
          <w:szCs w:val="24"/>
        </w:rPr>
        <w:t>. The</w:t>
      </w:r>
      <w:r w:rsidR="00CF2DAE">
        <w:rPr>
          <w:rFonts w:hint="eastAsia"/>
          <w:kern w:val="0"/>
          <w:szCs w:val="24"/>
        </w:rPr>
        <w:t xml:space="preserve"> literature search was undertaken in July 2010 in PubMed, EMBASE, Cumulative Index to Nursing</w:t>
      </w:r>
      <w:r w:rsidR="005853A9">
        <w:rPr>
          <w:rFonts w:hint="eastAsia"/>
          <w:kern w:val="0"/>
          <w:szCs w:val="24"/>
        </w:rPr>
        <w:t xml:space="preserve"> and </w:t>
      </w:r>
      <w:r w:rsidR="00CF2DAE">
        <w:rPr>
          <w:rFonts w:hint="eastAsia"/>
          <w:kern w:val="0"/>
          <w:szCs w:val="24"/>
        </w:rPr>
        <w:t>Allied Health Literature (CINAHL), Social Science Citation Index (</w:t>
      </w:r>
      <w:r w:rsidR="00D5664A">
        <w:rPr>
          <w:rFonts w:hint="eastAsia"/>
          <w:kern w:val="0"/>
          <w:szCs w:val="24"/>
        </w:rPr>
        <w:t>SSCI</w:t>
      </w:r>
      <w:r w:rsidR="00CF2DAE">
        <w:rPr>
          <w:rFonts w:hint="eastAsia"/>
          <w:kern w:val="0"/>
          <w:szCs w:val="24"/>
        </w:rPr>
        <w:t>),</w:t>
      </w:r>
      <w:r w:rsidR="005853A9">
        <w:rPr>
          <w:rFonts w:hint="eastAsia"/>
          <w:kern w:val="0"/>
          <w:szCs w:val="24"/>
        </w:rPr>
        <w:t xml:space="preserve"> and </w:t>
      </w:r>
      <w:r w:rsidR="00CF2DAE">
        <w:rPr>
          <w:rFonts w:hint="eastAsia"/>
          <w:kern w:val="0"/>
          <w:szCs w:val="24"/>
        </w:rPr>
        <w:t>ProQuest Dissertations &amp; Theses. Two authors independently selected the studies for their inclusion</w:t>
      </w:r>
      <w:r w:rsidR="005853A9">
        <w:rPr>
          <w:rFonts w:hint="eastAsia"/>
          <w:kern w:val="0"/>
          <w:szCs w:val="24"/>
        </w:rPr>
        <w:t xml:space="preserve"> and </w:t>
      </w:r>
      <w:r w:rsidR="00CF2DAE">
        <w:rPr>
          <w:rFonts w:hint="eastAsia"/>
          <w:kern w:val="0"/>
          <w:szCs w:val="24"/>
        </w:rPr>
        <w:t>assessed their quality</w:t>
      </w:r>
      <w:r w:rsidR="00A37C1D">
        <w:rPr>
          <w:rFonts w:hint="eastAsia"/>
          <w:kern w:val="0"/>
          <w:szCs w:val="24"/>
        </w:rPr>
        <w:t>. The</w:t>
      </w:r>
      <w:r w:rsidR="00CF2DAE">
        <w:rPr>
          <w:rFonts w:hint="eastAsia"/>
          <w:kern w:val="0"/>
          <w:szCs w:val="24"/>
        </w:rPr>
        <w:t xml:space="preserve"> selected studies were thoroughly read. Key themes</w:t>
      </w:r>
      <w:r w:rsidR="005853A9">
        <w:rPr>
          <w:rFonts w:hint="eastAsia"/>
          <w:kern w:val="0"/>
          <w:szCs w:val="24"/>
        </w:rPr>
        <w:t xml:space="preserve"> and </w:t>
      </w:r>
      <w:r w:rsidR="00CF2DAE">
        <w:rPr>
          <w:rFonts w:hint="eastAsia"/>
          <w:kern w:val="0"/>
          <w:szCs w:val="24"/>
        </w:rPr>
        <w:t>categories were identified. A matrix was created for allowing the comparison</w:t>
      </w:r>
      <w:r w:rsidR="00427468">
        <w:rPr>
          <w:rFonts w:hint="eastAsia"/>
          <w:kern w:val="0"/>
          <w:szCs w:val="24"/>
        </w:rPr>
        <w:t xml:space="preserve"> of </w:t>
      </w:r>
      <w:r w:rsidR="00CF2DAE">
        <w:rPr>
          <w:rFonts w:hint="eastAsia"/>
          <w:kern w:val="0"/>
          <w:szCs w:val="24"/>
        </w:rPr>
        <w:t>each theme across studies. Results: Ten studies were finally included. Seven broad themes were identified across them: 1) Scope</w:t>
      </w:r>
      <w:r w:rsidR="005853A9">
        <w:rPr>
          <w:rFonts w:hint="eastAsia"/>
          <w:kern w:val="0"/>
          <w:szCs w:val="24"/>
        </w:rPr>
        <w:t xml:space="preserve"> and </w:t>
      </w:r>
      <w:r w:rsidR="00CF2DAE">
        <w:rPr>
          <w:rFonts w:hint="eastAsia"/>
          <w:kern w:val="0"/>
          <w:szCs w:val="24"/>
        </w:rPr>
        <w:t>context</w:t>
      </w:r>
      <w:r w:rsidR="00427468">
        <w:rPr>
          <w:rFonts w:hint="eastAsia"/>
          <w:kern w:val="0"/>
          <w:szCs w:val="24"/>
        </w:rPr>
        <w:t xml:space="preserve"> of </w:t>
      </w:r>
      <w:r w:rsidR="00CF2DAE">
        <w:rPr>
          <w:rFonts w:hint="eastAsia"/>
          <w:kern w:val="0"/>
          <w:szCs w:val="24"/>
        </w:rPr>
        <w:t>practice was a broad theme comprising linked sub-themes: perception</w:t>
      </w:r>
      <w:r w:rsidR="00427468">
        <w:rPr>
          <w:rFonts w:hint="eastAsia"/>
          <w:kern w:val="0"/>
          <w:szCs w:val="24"/>
        </w:rPr>
        <w:t xml:space="preserve"> of </w:t>
      </w:r>
      <w:r w:rsidR="00CF2DAE">
        <w:rPr>
          <w:rFonts w:hint="eastAsia"/>
          <w:kern w:val="0"/>
          <w:szCs w:val="24"/>
        </w:rPr>
        <w:t>a varied specialty, broad practice, holistic perspective</w:t>
      </w:r>
      <w:r w:rsidR="005853A9">
        <w:rPr>
          <w:rFonts w:hint="eastAsia"/>
          <w:kern w:val="0"/>
          <w:szCs w:val="24"/>
        </w:rPr>
        <w:t xml:space="preserve"> and </w:t>
      </w:r>
      <w:r w:rsidR="00CF2DAE">
        <w:rPr>
          <w:rFonts w:hint="eastAsia"/>
          <w:kern w:val="0"/>
          <w:szCs w:val="24"/>
        </w:rPr>
        <w:t>flexibility that allows having a family; 2) Lower interest or intellectually less challenging: treating common disease, repetitive, quasi administrative job; 3) Influence</w:t>
      </w:r>
      <w:r w:rsidR="00427468">
        <w:rPr>
          <w:rFonts w:hint="eastAsia"/>
          <w:kern w:val="0"/>
          <w:szCs w:val="24"/>
        </w:rPr>
        <w:t xml:space="preserve"> of </w:t>
      </w:r>
      <w:r w:rsidR="00CF2DAE">
        <w:rPr>
          <w:rFonts w:hint="eastAsia"/>
          <w:kern w:val="0"/>
          <w:szCs w:val="24"/>
        </w:rPr>
        <w:t>role models, either positive</w:t>
      </w:r>
      <w:r w:rsidR="005853A9">
        <w:rPr>
          <w:rFonts w:hint="eastAsia"/>
          <w:kern w:val="0"/>
          <w:szCs w:val="24"/>
        </w:rPr>
        <w:t xml:space="preserve"> and </w:t>
      </w:r>
      <w:r w:rsidR="00CF2DAE">
        <w:rPr>
          <w:rFonts w:hint="eastAsia"/>
          <w:kern w:val="0"/>
          <w:szCs w:val="24"/>
        </w:rPr>
        <w:t>negative,</w:t>
      </w:r>
      <w:r w:rsidR="005853A9">
        <w:rPr>
          <w:rFonts w:hint="eastAsia"/>
          <w:kern w:val="0"/>
          <w:szCs w:val="24"/>
        </w:rPr>
        <w:t xml:space="preserve"> and </w:t>
      </w:r>
      <w:r w:rsidR="00CF2DAE">
        <w:rPr>
          <w:rFonts w:hint="eastAsia"/>
          <w:kern w:val="0"/>
          <w:szCs w:val="24"/>
        </w:rPr>
        <w:t>society: negative comments from other professionals, peers</w:t>
      </w:r>
      <w:r w:rsidR="005853A9">
        <w:rPr>
          <w:rFonts w:hint="eastAsia"/>
          <w:kern w:val="0"/>
          <w:szCs w:val="24"/>
        </w:rPr>
        <w:t xml:space="preserve"> and </w:t>
      </w:r>
      <w:r w:rsidR="00CF2DAE">
        <w:rPr>
          <w:rFonts w:hint="eastAsia"/>
          <w:kern w:val="0"/>
          <w:szCs w:val="24"/>
        </w:rPr>
        <w:t>family; 4) Lower prestige; 5) Poor remuneration; 6) Medical school influences, being important both the length</w:t>
      </w:r>
      <w:r w:rsidR="005853A9">
        <w:rPr>
          <w:rFonts w:hint="eastAsia"/>
          <w:kern w:val="0"/>
          <w:szCs w:val="24"/>
        </w:rPr>
        <w:t xml:space="preserve"> and </w:t>
      </w:r>
      <w:r w:rsidR="00CF2DAE">
        <w:rPr>
          <w:rFonts w:hint="eastAsia"/>
          <w:kern w:val="0"/>
          <w:szCs w:val="24"/>
        </w:rPr>
        <w:t>quality</w:t>
      </w:r>
      <w:r w:rsidR="00427468">
        <w:rPr>
          <w:rFonts w:hint="eastAsia"/>
          <w:kern w:val="0"/>
          <w:szCs w:val="24"/>
        </w:rPr>
        <w:t xml:space="preserve"> of </w:t>
      </w:r>
      <w:r w:rsidR="00CF2DAE">
        <w:rPr>
          <w:rFonts w:hint="eastAsia"/>
          <w:kern w:val="0"/>
          <w:szCs w:val="24"/>
        </w:rPr>
        <w:t>the exposure; 7) Post graduate training, where the shorter duration</w:t>
      </w:r>
      <w:r w:rsidR="005853A9">
        <w:rPr>
          <w:rFonts w:hint="eastAsia"/>
          <w:kern w:val="0"/>
          <w:szCs w:val="24"/>
        </w:rPr>
        <w:t xml:space="preserve"> and </w:t>
      </w:r>
      <w:r w:rsidR="00CF2DAE">
        <w:rPr>
          <w:rFonts w:hint="eastAsia"/>
          <w:kern w:val="0"/>
          <w:szCs w:val="24"/>
        </w:rPr>
        <w:t>the lower intensity were perceived as positive aspects. After identifying these seven key themes, were also looked into patterns in the distribution</w:t>
      </w:r>
      <w:r w:rsidR="00427468">
        <w:rPr>
          <w:rFonts w:hint="eastAsia"/>
          <w:kern w:val="0"/>
          <w:szCs w:val="24"/>
        </w:rPr>
        <w:t xml:space="preserve"> of </w:t>
      </w:r>
      <w:r w:rsidR="00CF2DAE">
        <w:rPr>
          <w:rFonts w:hint="eastAsia"/>
          <w:kern w:val="0"/>
          <w:szCs w:val="24"/>
        </w:rPr>
        <w:t>these themes among studies. Conclusions: Our qualitative review provides a comprehensive picture</w:t>
      </w:r>
      <w:r w:rsidR="00427468">
        <w:rPr>
          <w:rFonts w:hint="eastAsia"/>
          <w:kern w:val="0"/>
          <w:szCs w:val="24"/>
        </w:rPr>
        <w:t xml:space="preserve"> of </w:t>
      </w:r>
      <w:r w:rsidR="00CF2DAE">
        <w:rPr>
          <w:rFonts w:hint="eastAsia"/>
          <w:kern w:val="0"/>
          <w:szCs w:val="24"/>
        </w:rPr>
        <w:t>medical students</w:t>
      </w:r>
      <w:r w:rsidR="00700038">
        <w:rPr>
          <w:kern w:val="0"/>
          <w:szCs w:val="24"/>
        </w:rPr>
        <w:t>’</w:t>
      </w:r>
      <w:r w:rsidR="00CF2DAE">
        <w:rPr>
          <w:rFonts w:hint="eastAsia"/>
          <w:kern w:val="0"/>
          <w:szCs w:val="24"/>
        </w:rPr>
        <w:t xml:space="preserve"> attitudes towards family practice in the available literature. In general, although some students find family medicine appealing, it is regarded as a career</w:t>
      </w:r>
      <w:r w:rsidR="00427468">
        <w:rPr>
          <w:rFonts w:hint="eastAsia"/>
          <w:kern w:val="0"/>
          <w:szCs w:val="24"/>
        </w:rPr>
        <w:t xml:space="preserve"> of </w:t>
      </w:r>
      <w:r w:rsidR="00CF2DAE">
        <w:rPr>
          <w:rFonts w:hint="eastAsia"/>
          <w:kern w:val="0"/>
          <w:szCs w:val="24"/>
        </w:rPr>
        <w:t>low interest</w:t>
      </w:r>
      <w:r w:rsidR="005853A9">
        <w:rPr>
          <w:rFonts w:hint="eastAsia"/>
          <w:kern w:val="0"/>
          <w:szCs w:val="24"/>
        </w:rPr>
        <w:t xml:space="preserve"> and </w:t>
      </w:r>
      <w:r w:rsidR="00CF2DAE">
        <w:rPr>
          <w:rFonts w:hint="eastAsia"/>
          <w:kern w:val="0"/>
          <w:szCs w:val="24"/>
        </w:rPr>
        <w:t>prestige. More research is needed on the influence</w:t>
      </w:r>
      <w:r w:rsidR="00427468">
        <w:rPr>
          <w:rFonts w:hint="eastAsia"/>
          <w:kern w:val="0"/>
          <w:szCs w:val="24"/>
        </w:rPr>
        <w:t xml:space="preserve"> of </w:t>
      </w:r>
      <w:r w:rsidR="00CF2DAE">
        <w:rPr>
          <w:rFonts w:hint="eastAsia"/>
          <w:kern w:val="0"/>
          <w:szCs w:val="24"/>
        </w:rPr>
        <w:t>role models, medical school</w:t>
      </w:r>
      <w:r w:rsidR="005853A9">
        <w:rPr>
          <w:rFonts w:hint="eastAsia"/>
          <w:kern w:val="0"/>
          <w:szCs w:val="24"/>
        </w:rPr>
        <w:t xml:space="preserve"> and </w:t>
      </w:r>
      <w:r w:rsidR="00CF2DAE">
        <w:rPr>
          <w:rFonts w:hint="eastAsia"/>
          <w:kern w:val="0"/>
          <w:szCs w:val="24"/>
        </w:rPr>
        <w:t>post graduate training.</w:t>
      </w:r>
    </w:p>
    <w:p w:rsidR="00CF2DAE" w:rsidRDefault="00CF2DAE" w:rsidP="00CF2DAE">
      <w:pPr>
        <w:pStyle w:val="a3"/>
        <w:rPr>
          <w:kern w:val="0"/>
          <w:szCs w:val="24"/>
        </w:rPr>
      </w:pPr>
      <w:r>
        <w:rPr>
          <w:rFonts w:hint="eastAsia"/>
          <w:kern w:val="0"/>
          <w:szCs w:val="24"/>
        </w:rPr>
        <w:t xml:space="preserve">Keywords: Attitudes, Authors, Choice, Citation, Comments, Comparison, Context, </w:t>
      </w:r>
      <w:r>
        <w:rPr>
          <w:rFonts w:hint="eastAsia"/>
          <w:kern w:val="0"/>
          <w:szCs w:val="24"/>
        </w:rPr>
        <w:lastRenderedPageBreak/>
        <w:t xml:space="preserve">Disease, Distribution, Duration, Evidence, Exposure, Family, Family Medicine, Family Practice, Flexibility, General, General-Practice, Graduate, Holistic, Length, Literature, Matrix, Medical, Medical Students, Medicine, Models, Nursing, Perception, Perceptions, Practice, Primary-Care, Professional Identity, Pubmed, Qualitative, Qualitative Research, Quality, Quality Of, Research, Review, Role, Science, Science Citation Index, Social Science Citation Index, Society, Specialty, </w:t>
      </w:r>
      <w:r w:rsidR="00D5664A">
        <w:rPr>
          <w:rFonts w:hint="eastAsia"/>
          <w:kern w:val="0"/>
          <w:szCs w:val="24"/>
        </w:rPr>
        <w:t>SSCI</w:t>
      </w:r>
      <w:r>
        <w:rPr>
          <w:rFonts w:hint="eastAsia"/>
          <w:kern w:val="0"/>
          <w:szCs w:val="24"/>
        </w:rPr>
        <w:t>, Students, Synthesis, Systematic Review, Theses, Training</w:t>
      </w:r>
    </w:p>
    <w:p w:rsidR="00C14871" w:rsidRDefault="00C14871" w:rsidP="00C14871">
      <w:pPr>
        <w:pStyle w:val="a3"/>
      </w:pPr>
      <w:r>
        <w:rPr>
          <w:kern w:val="0"/>
        </w:rPr>
        <w:t xml:space="preserve">? Phillips, A.C., Lewis, L.K., Mcevoy, M.P., Galipeau, J., Glasziou, P., Hammick, M., Moher, D., Tilson, J.K. and Williams, M.T. (2014), A systematic review of how studies describe educational interventions for evidence-based practice: Stage 1 of the development of a reporting guideline. </w:t>
      </w:r>
      <w:r>
        <w:rPr>
          <w:i/>
          <w:iCs/>
          <w:kern w:val="0"/>
        </w:rPr>
        <w:t>BMC Medical Education</w:t>
      </w:r>
      <w:r>
        <w:rPr>
          <w:kern w:val="0"/>
        </w:rPr>
        <w:t xml:space="preserve">, </w:t>
      </w:r>
      <w:r>
        <w:rPr>
          <w:rFonts w:hint="eastAsia"/>
          <w:b/>
          <w:bCs/>
          <w:kern w:val="0"/>
          <w:szCs w:val="24"/>
        </w:rPr>
        <w:t>14</w:t>
      </w:r>
      <w:r>
        <w:rPr>
          <w:rFonts w:hint="eastAsia"/>
          <w:kern w:val="0"/>
        </w:rPr>
        <w:t>, Article Number: 152.</w:t>
      </w:r>
    </w:p>
    <w:p w:rsidR="00C14871" w:rsidRDefault="00C14871" w:rsidP="00C14871">
      <w:pPr>
        <w:pStyle w:val="a3"/>
        <w:rPr>
          <w:kern w:val="0"/>
        </w:rPr>
      </w:pPr>
      <w:r>
        <w:rPr>
          <w:rFonts w:hint="eastAsia"/>
        </w:rPr>
        <w:t xml:space="preserve">Full Text: </w:t>
      </w:r>
      <w:hyperlink r:id="rId1620" w:history="1">
        <w:r w:rsidRPr="0084021E">
          <w:rPr>
            <w:rStyle w:val="a5"/>
          </w:rPr>
          <w:t>2014\BMC Med Edu14, 152.pdf</w:t>
        </w:r>
      </w:hyperlink>
    </w:p>
    <w:p w:rsidR="00C14871" w:rsidRDefault="00C14871" w:rsidP="00C14871">
      <w:pPr>
        <w:pStyle w:val="a3"/>
        <w:rPr>
          <w:kern w:val="0"/>
        </w:rPr>
      </w:pPr>
      <w:r>
        <w:rPr>
          <w:kern w:val="0"/>
        </w:rPr>
        <w:t xml:space="preserve">Abstract: Background: The aim of this systematic review was to identify which information is included when reporting educational interventions used to facilitate foundational skills and knowledge of evidence-based practice (EBP) training for health professionals. This systematic review comprised the first stage in the three stage development process for a reporting guideline for educational interventions for EBP. Methods: The review question was ‘What information has been reported when describing educational interventions targeting foundational evidence-based practice knowledge and skills?’ MEDLINE, Academic Search Premier, ERIC, CINAHL, Scopus, Embase, Informit health, Cochrane Library and Web of Science databases were searched from inception until October - December 2011. Randomised and non-randomised controlled trials reporting original data on educational interventions specific to developing foundational knowledge and skills of evidence-based practice were included. Studies were not appraised for methodological bias, however, reporting frequency and item commonality were compared between a random selection of studies included in the systematic review and a random selection of studies excluded as they were not controlled trials. Twenty-five data items were extracted by two independent reviewers (consistency &gt; 90%). Results: Sixty-one studies met the inclusion criteria (n = 29 randomised, n = 32 non-randomised). The most consistently reported items were the learner’s stage of training, professional discipline and the evaluation methods used (100%). The least consistently reported items were the instructor(s) previous teaching experience (n = 8, 13%), and student effort outside face to face contact (n = 1, 2%). Conclusion: This systematic review demonstrates inconsistencies in describing educational interventions for EBP in randomised and non-randomised trials. To enable educational interventions to be replicable and comparable, improvements in the reporting for educational interventions for EBP are required. In the absence of a specific reporting guideline, </w:t>
      </w:r>
      <w:r>
        <w:rPr>
          <w:kern w:val="0"/>
        </w:rPr>
        <w:lastRenderedPageBreak/>
        <w:t>there are a range of items which are reported with variable frequency. Identifying the important items for describing educational interventions for facilitating foundational knowledge and skills in EBP remains to be determined. The findings of this systematic review will be used to inform the next stage in the development of a reporting guideline for educational interventions for EBP.</w:t>
      </w:r>
    </w:p>
    <w:p w:rsidR="00C14871" w:rsidRDefault="00C14871" w:rsidP="00C14871">
      <w:pPr>
        <w:pStyle w:val="a3"/>
        <w:rPr>
          <w:kern w:val="0"/>
        </w:rPr>
      </w:pPr>
      <w:r>
        <w:rPr>
          <w:kern w:val="0"/>
        </w:rPr>
        <w:t>Keywords: Academic, Bias, Consistency, Consort Statement, Criteria, Critical-Appraisal Skills, Data, Databases, Developing, Development, E-Learning Course, Educational Intervention, Evaluation, Evaluation Methods, Evidence Based, Evidence-Based, Evidence-Based Medicine, Evidence-Based Practice, Experience, First, Guideline, Health, Health Professionals, Information, Interventions, Journal Club, Knowledge, Medline, Methods, Practice, Randomised, Randomized-Controlled-Trial, Reader Method, Real-Time, Reporting, Reporting Guidelines, Results, Review, Reviewers, Science, Scopus, Search, Searching Skills, Selection, Student, Systematic, Systematic Review, Targeting, Teaching, Teaching Critical-Appraisal, Training, Web Of Science, Web Of Science Databases</w:t>
      </w:r>
    </w:p>
    <w:p w:rsidR="007A52CA" w:rsidRDefault="007A52CA" w:rsidP="007A52CA">
      <w:pPr>
        <w:pStyle w:val="a3"/>
      </w:pPr>
      <w:r>
        <w:rPr>
          <w:rFonts w:hint="eastAsia"/>
          <w:kern w:val="0"/>
        </w:rPr>
        <w:t xml:space="preserve">? </w:t>
      </w:r>
      <w:r>
        <w:rPr>
          <w:kern w:val="0"/>
        </w:rPr>
        <w:t xml:space="preserve">Doja, A., Horsley, T. and Sampson, M. (2014), Productivity in medical education research: An examination of countries of origin. </w:t>
      </w:r>
      <w:r>
        <w:rPr>
          <w:i/>
          <w:iCs/>
          <w:kern w:val="0"/>
        </w:rPr>
        <w:t>BMC Medical Education</w:t>
      </w:r>
      <w:r>
        <w:rPr>
          <w:kern w:val="0"/>
        </w:rPr>
        <w:t xml:space="preserve">, </w:t>
      </w:r>
      <w:r>
        <w:rPr>
          <w:b/>
          <w:bCs/>
          <w:kern w:val="0"/>
        </w:rPr>
        <w:t>14</w:t>
      </w:r>
      <w:r>
        <w:rPr>
          <w:rFonts w:hint="eastAsia"/>
          <w:kern w:val="0"/>
        </w:rPr>
        <w:t>, Article Number: 243.</w:t>
      </w:r>
    </w:p>
    <w:p w:rsidR="007A52CA" w:rsidRDefault="007A52CA" w:rsidP="007A52CA">
      <w:pPr>
        <w:pStyle w:val="a3"/>
        <w:rPr>
          <w:kern w:val="0"/>
        </w:rPr>
      </w:pPr>
      <w:r>
        <w:rPr>
          <w:rFonts w:hint="eastAsia"/>
        </w:rPr>
        <w:t xml:space="preserve">Full Text: </w:t>
      </w:r>
      <w:hyperlink r:id="rId1621" w:history="1">
        <w:r w:rsidRPr="005B4301">
          <w:rPr>
            <w:rStyle w:val="a5"/>
          </w:rPr>
          <w:t>2014\BMC Med Edu14, 243.pdf</w:t>
        </w:r>
      </w:hyperlink>
    </w:p>
    <w:p w:rsidR="007A52CA" w:rsidRDefault="007A52CA" w:rsidP="007A52CA">
      <w:pPr>
        <w:pStyle w:val="a3"/>
        <w:rPr>
          <w:kern w:val="0"/>
        </w:rPr>
      </w:pPr>
      <w:r>
        <w:rPr>
          <w:kern w:val="0"/>
        </w:rPr>
        <w:t>Abstract: Background: Productivity and countries of origin of publications within the field of medical education research have not been explored. Using bibliometric techniques we conducted an analysis of studies evaluating medical education interventions, examining the country where research originated as well as networks of authors within countries identified as ‘most productive’. Methods: PubMed was used to search for evaluative studies of medical education. We then examined relative productivity of countries with &gt;100 publications in our sample (number of publications/number of medical schools in country). Author networks from the top 2 countries with the highest relative productivity were constructed. Results: 6874 publications from 18,883 different authors were included. The countries with the highest relative publication productivity were Canada (37.1), Netherlands (28.3), New Zealand (27), the UK (23), and the U.S.A (17.1). Author collaboration networks differed in both numbers of authors and intensity of collaborations in the countries with highest relative productivity. Conclusions: In terms of the number of publications of evaluative studies in medical education, Canada was the country with the highest relative productivity. Author networks allow for the identification of ongoing and potential new collaborations amongst authors.</w:t>
      </w:r>
    </w:p>
    <w:p w:rsidR="007A52CA" w:rsidRDefault="007A52CA" w:rsidP="007A52CA">
      <w:pPr>
        <w:pStyle w:val="a3"/>
        <w:rPr>
          <w:kern w:val="0"/>
        </w:rPr>
      </w:pPr>
      <w:r>
        <w:rPr>
          <w:kern w:val="0"/>
        </w:rPr>
        <w:t xml:space="preserve">Keywords: Academic Productivity, Analysis, Author Networks, Authors, Bibliometric, Bibliometric Techniques, Bibliometrics, Canada, Collaboration, Collaboration Networks, Collaborations, Constructed, Country, Education, Education Research, </w:t>
      </w:r>
      <w:r>
        <w:rPr>
          <w:kern w:val="0"/>
        </w:rPr>
        <w:lastRenderedPageBreak/>
        <w:t>Examination, Field, From, Identification, Index, Intensity, Interventions, Medical, Medical Education, Medical Schools, Methods, Networks, New Zealand, Nov, Origin, Potential, Productivity, Publication, Publication Productivity, Publications, Pubmed, Research, Results, Techniques, UK</w:t>
      </w:r>
    </w:p>
    <w:p w:rsidR="007A52CA" w:rsidRDefault="007A52CA" w:rsidP="007A52CA">
      <w:pPr>
        <w:pStyle w:val="a3"/>
      </w:pPr>
      <w:r>
        <w:rPr>
          <w:rFonts w:hint="eastAsia"/>
          <w:kern w:val="0"/>
        </w:rPr>
        <w:t xml:space="preserve">? </w:t>
      </w:r>
      <w:r>
        <w:rPr>
          <w:kern w:val="0"/>
        </w:rPr>
        <w:t xml:space="preserve">Doja, A., Eady, K., Horsley, T., Bould, M.D., Victor, J.C. and Sampson, M. (2014), The h-index in medical education: An analysis of medical education journal editorial boards. </w:t>
      </w:r>
      <w:r>
        <w:rPr>
          <w:i/>
          <w:iCs/>
          <w:kern w:val="0"/>
        </w:rPr>
        <w:t>BMC Medical Education</w:t>
      </w:r>
      <w:r>
        <w:rPr>
          <w:kern w:val="0"/>
        </w:rPr>
        <w:t xml:space="preserve">, </w:t>
      </w:r>
      <w:r>
        <w:rPr>
          <w:b/>
          <w:bCs/>
          <w:kern w:val="0"/>
        </w:rPr>
        <w:t>14</w:t>
      </w:r>
      <w:r>
        <w:rPr>
          <w:rFonts w:hint="eastAsia"/>
          <w:kern w:val="0"/>
        </w:rPr>
        <w:t>, Article Number: 251.</w:t>
      </w:r>
    </w:p>
    <w:p w:rsidR="007A52CA" w:rsidRDefault="007A52CA" w:rsidP="007A52CA">
      <w:pPr>
        <w:pStyle w:val="a3"/>
        <w:rPr>
          <w:kern w:val="0"/>
        </w:rPr>
      </w:pPr>
      <w:r>
        <w:rPr>
          <w:rFonts w:hint="eastAsia"/>
        </w:rPr>
        <w:t xml:space="preserve">Full Text: </w:t>
      </w:r>
      <w:hyperlink r:id="rId1622" w:history="1">
        <w:r w:rsidRPr="005B4301">
          <w:rPr>
            <w:rStyle w:val="a5"/>
          </w:rPr>
          <w:t>2014\BMC Med Edu14, 251.pdf</w:t>
        </w:r>
      </w:hyperlink>
    </w:p>
    <w:p w:rsidR="007A52CA" w:rsidRDefault="007A52CA" w:rsidP="007A52CA">
      <w:pPr>
        <w:pStyle w:val="a3"/>
        <w:rPr>
          <w:kern w:val="0"/>
        </w:rPr>
      </w:pPr>
      <w:r>
        <w:rPr>
          <w:kern w:val="0"/>
        </w:rPr>
        <w:t>Abstract: Background: Disciplines differ in their authorship and citation practices, thus discipline-specific h-index norms are desirable. Thus the goal of this study was to examine the relationship between the h-index and academic rank in the field of medical education, and the differences in the h-index between MD’s and PhD’s in this field. Methods: Due to the absence of a formalized registry of medical educators, we sampled available editorial board membership (considered a proxy for identifying ‘career’ medical educators) to establish h-index values. These were determined using Web of Science (WoS) and Google Scholar (GS), and internet searching was used to determine their academic rank. The correlation between authors’ h-indices derived from WoS and GS was also determined. Results: 130 editors were identified (95 full professors, 21 associate professors, 14 assistant professors). A significant difference was noted between the h-indices of full professors and associate/assistant professors (p &lt; .001). Median h-indices equaled 14 for full professors (Interquartile range [IQR] = 11); 7 for associate professors (IQR = 7) and 6.5 for assistant professors (IQR = 8). h-indices of MD’s and PhD’s did not differ significantly. Moderate correlation between GS and WOS h-indices was noted R = 0.46, p &lt; .001. Conclusions: The results provide some guidance as to the expected h-indices of a select group of medical educators. No differences appear to exist between assistant professor and associate professor ranks or between MD’s and PhD’s.</w:t>
      </w:r>
    </w:p>
    <w:p w:rsidR="007A52CA" w:rsidRDefault="007A52CA" w:rsidP="007A52CA">
      <w:pPr>
        <w:pStyle w:val="a3"/>
        <w:rPr>
          <w:kern w:val="0"/>
        </w:rPr>
      </w:pPr>
      <w:r>
        <w:rPr>
          <w:kern w:val="0"/>
        </w:rPr>
        <w:t>Keywords: Academic Productivity, Analysis, Anesthesia, Authors, Authorship, Bibliometric Analysis, Citation, Correlation, Disciplines, Editors, Education, Field, From, Google, Google Scholar, Gs, Guidance, H Index, H-Index, Impact Factor, Indicators, Internet, Journal, Median, Medical, Medical Education, Medical Education Journals, Methods, Norms, Nov, Practices, Professor, Professors, R, Rank, Registry, Research Performance, Researchers, Results, Science, Scientific-Research, Scopus, University, Web, Web Of Science, Wos</w:t>
      </w:r>
    </w:p>
    <w:p w:rsidR="00123556" w:rsidRDefault="00123556" w:rsidP="00123556">
      <w:pPr>
        <w:pStyle w:val="a3"/>
      </w:pPr>
      <w:r>
        <w:rPr>
          <w:rFonts w:hint="eastAsia"/>
          <w:kern w:val="0"/>
        </w:rPr>
        <w:t xml:space="preserve">? </w:t>
      </w:r>
      <w:r>
        <w:rPr>
          <w:kern w:val="0"/>
        </w:rPr>
        <w:t xml:space="preserve">Kelm, Z., Womer, J., Walter, J.K. and Feudtner, C. (2014), Interventions to cultivate physician empathy: A systematic review. </w:t>
      </w:r>
      <w:r>
        <w:rPr>
          <w:i/>
          <w:iCs/>
          <w:kern w:val="0"/>
        </w:rPr>
        <w:t>BMC Medical Education</w:t>
      </w:r>
      <w:r>
        <w:rPr>
          <w:kern w:val="0"/>
        </w:rPr>
        <w:t xml:space="preserve">, </w:t>
      </w:r>
      <w:r>
        <w:rPr>
          <w:b/>
          <w:bCs/>
          <w:kern w:val="0"/>
        </w:rPr>
        <w:t>14</w:t>
      </w:r>
      <w:r>
        <w:rPr>
          <w:rFonts w:hint="eastAsia"/>
          <w:kern w:val="0"/>
        </w:rPr>
        <w:t xml:space="preserve">, Article Number: </w:t>
      </w:r>
      <w:r w:rsidRPr="00C414AF">
        <w:rPr>
          <w:kern w:val="0"/>
        </w:rPr>
        <w:t>219</w:t>
      </w:r>
      <w:r>
        <w:rPr>
          <w:rFonts w:hint="eastAsia"/>
          <w:kern w:val="0"/>
        </w:rPr>
        <w:t>.</w:t>
      </w:r>
    </w:p>
    <w:p w:rsidR="00123556" w:rsidRDefault="00123556" w:rsidP="00123556">
      <w:pPr>
        <w:pStyle w:val="a3"/>
        <w:rPr>
          <w:kern w:val="0"/>
        </w:rPr>
      </w:pPr>
      <w:r>
        <w:rPr>
          <w:rFonts w:hint="eastAsia"/>
        </w:rPr>
        <w:t xml:space="preserve">Full Text: </w:t>
      </w:r>
      <w:hyperlink r:id="rId1623" w:history="1">
        <w:r w:rsidRPr="00406FEB">
          <w:rPr>
            <w:rStyle w:val="a5"/>
          </w:rPr>
          <w:t>2014\BMC Med Edu14, 219.pdf</w:t>
        </w:r>
      </w:hyperlink>
    </w:p>
    <w:p w:rsidR="00123556" w:rsidRDefault="00123556" w:rsidP="00123556">
      <w:pPr>
        <w:pStyle w:val="a3"/>
        <w:rPr>
          <w:kern w:val="0"/>
        </w:rPr>
      </w:pPr>
      <w:r>
        <w:rPr>
          <w:kern w:val="0"/>
        </w:rPr>
        <w:t xml:space="preserve">Abstract: Background: Physician empathy is both theoretically and empirically critical </w:t>
      </w:r>
      <w:r>
        <w:rPr>
          <w:kern w:val="0"/>
        </w:rPr>
        <w:lastRenderedPageBreak/>
        <w:t>to patient health, but research indicates that empathy declines throughout medical school and is lower than ideal among physicians. In this paper, we synthesize the published literature regarding interventions that were quantitatively evaluated to detect changes in empathy among medical students, residents, fellows and physicians. Methods: We systematically searched PubMed, EMBASE, Web of Science and PsychINFO in June of 2014 to identify articles that quantitatively assessed changes in empathy due to interventions among medical students, residents, fellows and physicians. Results: Of the 1,415 articles identified, 64 met inclusion criteria. We qualitatively synthesized the findings of qualified studies by extracting data for ten study metrics: 1) source population, 2) sample size, 3) control group, 4) random assignment, 5) intervention type, 6) intervention duration, 7) assessment strategy, 8) type of outcome measure, 9) outcome assessment time frame, and 10) whether a statistically significant increase in empathy was reported. Overall, the 64 included studies were characterized by relatively poor research designs, insufficient reporting of intervention procedures, low incidence of patient-report empathy assessment measures, and inadequate evaluations of long-term efficacy. 8 of 10 studies with highly rigorous designs, however, found that targeted interventions did increase empathy. Conclusions: Physician empathy appears to be an important aspect of patient and physician well-being. Although the current empathy intervention literature is limited by a variety of methodological weaknesses, a sample of high-quality study designs provides initial support for the notion that physician empathy can be enhanced through interventions. Future research should strive to increase the sample of high-quality designs through more randomized, controlled studies with valid measures, explicit reporting of intervention strategies and procedures, and long-term efficacy assessments.</w:t>
      </w:r>
    </w:p>
    <w:p w:rsidR="00123556" w:rsidRDefault="00123556" w:rsidP="00123556">
      <w:pPr>
        <w:pStyle w:val="a3"/>
        <w:rPr>
          <w:kern w:val="0"/>
        </w:rPr>
      </w:pPr>
      <w:r>
        <w:rPr>
          <w:kern w:val="0"/>
        </w:rPr>
        <w:t>Keywords: Articles, Assessment, Assessments, Changes, Communication-Skills, Compassion Emotional Intelligence, Consolidation Workshops, Continuing Medical Education, Control, Criteria, Data, Doctor-Patient-Relationship, Duration, Efficacy, Embase, Empathy, Graduate Medical Education, Health, Incidence, Internship And Residency, Intervention, Interventions, Jefferson Scale, Literature, Long Term, Long-Term, Measure, Measures, Medical, Medical Students, Methods, Metrics, Notion, Outcome, Outcome Assessment, Outcome Measure, Patient, Physician, Physicians, Population, Primary-Care Physicians, Procedures, Psychometric Data, Pubmed, Randomized, Randomized Controlled-Trial, Reporting, Research, Results, Review, Sample Size, Science, Simulated Patients, Size, Source, Standardized Patients, Strategy, Students, Support, Systematic, Systematic Review, Training Medical-Students, Undergraduate Medical Education, Web, Web Of Science, Well-Being</w:t>
      </w:r>
    </w:p>
    <w:p w:rsidR="001569AF" w:rsidRDefault="001569AF" w:rsidP="001569AF">
      <w:pPr>
        <w:pStyle w:val="a3"/>
      </w:pPr>
      <w:r>
        <w:rPr>
          <w:rFonts w:hint="eastAsia"/>
          <w:kern w:val="0"/>
        </w:rPr>
        <w:t xml:space="preserve">? </w:t>
      </w:r>
      <w:r>
        <w:rPr>
          <w:kern w:val="0"/>
        </w:rPr>
        <w:t xml:space="preserve">Meo, S.A., Hassan, A., Aqil, M. and Usmani, A.M. (2015), Medical education </w:t>
      </w:r>
      <w:r>
        <w:rPr>
          <w:kern w:val="0"/>
        </w:rPr>
        <w:lastRenderedPageBreak/>
        <w:t xml:space="preserve">research in GCC countries. </w:t>
      </w:r>
      <w:r>
        <w:rPr>
          <w:i/>
          <w:iCs/>
          <w:kern w:val="0"/>
        </w:rPr>
        <w:t>BMC Medical Education</w:t>
      </w:r>
      <w:r>
        <w:rPr>
          <w:kern w:val="0"/>
        </w:rPr>
        <w:t xml:space="preserve">, </w:t>
      </w:r>
      <w:r>
        <w:rPr>
          <w:b/>
          <w:bCs/>
          <w:kern w:val="0"/>
        </w:rPr>
        <w:t>15</w:t>
      </w:r>
      <w:r>
        <w:rPr>
          <w:rFonts w:hint="eastAsia"/>
          <w:kern w:val="0"/>
        </w:rPr>
        <w:t>, Article Number: 8.</w:t>
      </w:r>
    </w:p>
    <w:p w:rsidR="001569AF" w:rsidRDefault="001569AF" w:rsidP="001569AF">
      <w:pPr>
        <w:pStyle w:val="a3"/>
        <w:rPr>
          <w:kern w:val="0"/>
        </w:rPr>
      </w:pPr>
      <w:r>
        <w:rPr>
          <w:rFonts w:hint="eastAsia"/>
        </w:rPr>
        <w:t xml:space="preserve">Full Text: </w:t>
      </w:r>
      <w:hyperlink r:id="rId1624" w:history="1">
        <w:r w:rsidRPr="0072435F">
          <w:rPr>
            <w:rStyle w:val="a5"/>
          </w:rPr>
          <w:t>2015\BMC Med Edu15, 8.pdf</w:t>
        </w:r>
      </w:hyperlink>
    </w:p>
    <w:p w:rsidR="001569AF" w:rsidRDefault="001569AF" w:rsidP="001569AF">
      <w:pPr>
        <w:pStyle w:val="a3"/>
        <w:rPr>
          <w:kern w:val="0"/>
        </w:rPr>
      </w:pPr>
      <w:r>
        <w:rPr>
          <w:kern w:val="0"/>
        </w:rPr>
        <w:t>Abstract: Background: Medical education is an essential domain to produce physicians with high standards of medical knowledge, skills and professionalism in medical practice. This study aimed to investigate the research progress and prospects of GCC countries in medical education during the period 1996-2013. Methods: In this study, the research papers published in various global scientific journals during the period 1996-2013 were accessed. We recorded the total number of research documents having an affiliation with GCC Countries including Saudi Arabia, Bahrain, Kuwait, Qatar, United Arab Emirates and Oman. The main source for information was Institute of Scientific Information (ISI) Web of Science, Thomson Reuters. Results: In ISI-Web of Science, Saudi Arabia contributed 40797 research papers, Kuwait 1666, United Arab Emirates 3045, Qatar 4265, Bahrain 1666 and Oman 4848 research papers. However, in Medical Education only Saudi Arabia contributed 323 (0.79%) research papers, Kuwait 52 (0.03%), United Arab Emirates 41(0.01%), Qatar 37(0.008%), Bahrain 28 (0.06%) and Oman 22 (0.45%) research papers in in ISI indexed journals. In medical education the Hirsch index (h-index) of Saudi Arabia is 14, United Arab Emirates 14, Kuwait 11, Qatar 8, Bahrain 8 and Oman 5. Conclusion: GCC countries produced very little research in medical education during the period 1996-2013. They must improve their research outcomes in medical education to produce better physicians to enhance the standards in medical practice in the region.</w:t>
      </w:r>
    </w:p>
    <w:p w:rsidR="001569AF" w:rsidRDefault="001569AF" w:rsidP="001569AF">
      <w:pPr>
        <w:pStyle w:val="a3"/>
        <w:rPr>
          <w:kern w:val="0"/>
        </w:rPr>
      </w:pPr>
      <w:r>
        <w:rPr>
          <w:kern w:val="0"/>
        </w:rPr>
        <w:t>Keywords: Affiliation, Countries, Documents, Education, Education Research, GCC, Global, h Index, h-Index, Hirsch, Hirsch Index, Hirsch-Index, Index, Indexed Journal, Information, ISI, ISI Web Of Science, Journals, Knowledge, Kuwait, Medical, Medical Education, Medical Knowledge, Medical Practice, Methods, Outcomes, Papers, Physicians, Practice, Professionalism, Progress, Region, Research, Research Papers, Research Progress, Results, Saudi Arabia, Science, Scientific Journals, Source, Standards, Thomson Reuters, Thomson-Reuters, United Arab Emirates, Web, Web of Science</w:t>
      </w:r>
    </w:p>
    <w:p w:rsidR="00F9536B" w:rsidRDefault="00F9536B" w:rsidP="00F9536B">
      <w:pPr>
        <w:pStyle w:val="a3"/>
      </w:pPr>
      <w:r>
        <w:rPr>
          <w:rFonts w:hint="eastAsia"/>
          <w:kern w:val="0"/>
        </w:rPr>
        <w:t xml:space="preserve">? </w:t>
      </w:r>
      <w:r>
        <w:rPr>
          <w:kern w:val="0"/>
        </w:rPr>
        <w:t xml:space="preserve">Schiekirka, S. and Raupach, T. (2015), A systematic review of factors influencing student ratings in undergraduate medical education course evaluations. </w:t>
      </w:r>
      <w:r>
        <w:rPr>
          <w:i/>
          <w:iCs/>
          <w:kern w:val="0"/>
        </w:rPr>
        <w:t>BMC Medical Education</w:t>
      </w:r>
      <w:r>
        <w:rPr>
          <w:kern w:val="0"/>
        </w:rPr>
        <w:t xml:space="preserve">, </w:t>
      </w:r>
      <w:r>
        <w:rPr>
          <w:b/>
          <w:bCs/>
          <w:kern w:val="0"/>
        </w:rPr>
        <w:t>15</w:t>
      </w:r>
      <w:r>
        <w:rPr>
          <w:rFonts w:hint="eastAsia"/>
          <w:kern w:val="0"/>
        </w:rPr>
        <w:t>, Article Number: 30.</w:t>
      </w:r>
    </w:p>
    <w:p w:rsidR="00F9536B" w:rsidRDefault="00F9536B" w:rsidP="00F9536B">
      <w:pPr>
        <w:pStyle w:val="a3"/>
        <w:rPr>
          <w:kern w:val="0"/>
        </w:rPr>
      </w:pPr>
      <w:r>
        <w:rPr>
          <w:rFonts w:hint="eastAsia"/>
        </w:rPr>
        <w:t xml:space="preserve">Full Text: </w:t>
      </w:r>
      <w:hyperlink r:id="rId1625" w:history="1">
        <w:r w:rsidRPr="00F9536B">
          <w:rPr>
            <w:rStyle w:val="a5"/>
          </w:rPr>
          <w:t xml:space="preserve">2015\BMC Med Edu15, </w:t>
        </w:r>
        <w:r w:rsidRPr="00F9536B">
          <w:rPr>
            <w:rStyle w:val="a5"/>
            <w:rFonts w:hint="eastAsia"/>
          </w:rPr>
          <w:t>30</w:t>
        </w:r>
        <w:r w:rsidRPr="00F9536B">
          <w:rPr>
            <w:rStyle w:val="a5"/>
          </w:rPr>
          <w:t>.pdf</w:t>
        </w:r>
      </w:hyperlink>
    </w:p>
    <w:p w:rsidR="00F9536B" w:rsidRDefault="00F9536B" w:rsidP="00F9536B">
      <w:pPr>
        <w:pStyle w:val="a3"/>
        <w:rPr>
          <w:kern w:val="0"/>
        </w:rPr>
      </w:pPr>
      <w:r>
        <w:rPr>
          <w:kern w:val="0"/>
        </w:rPr>
        <w:t xml:space="preserve">Abstract: Background: Student ratings are a popular source of course evaluations in undergraduate medical education. Data on the reliability and validity of such ratings have mostly been derived from studies unrelated to medical education. Since medical education differs considerably from other higher education settings, an analysis of factors influencing overall student ratings with a specific focus on medical education </w:t>
      </w:r>
      <w:r>
        <w:rPr>
          <w:kern w:val="0"/>
        </w:rPr>
        <w:lastRenderedPageBreak/>
        <w:t>was needed. Methods: For the purpose of this systematic review, online databases (PubMed, PsycInfo and Web of Science) were searched up to August 1st, 2013. Original research articles on the use of student ratings in course evaluations in undergraduate medical education were eligible for inclusion. Included studies considered the format of evaluation tools and assessed the association of independent and dependent (i.e., overall course ratings) variables. Inclusion and exclusion criteria were checked by two independent reviewers, and results were synthesised in a narrative review. Results: Twenty-five studies met the inclusion criteria. Qualitative research (2 studies) indicated that overall course ratings are mainly influenced by student satisfaction with teaching and exam difficulty rather than objective determinants of high quality teaching. Quantitative research (23 studies) yielded various influencing factors related to four categories: student characteristics, exposure to teaching, satisfaction with examinations and the evaluation process itself. Female gender, greater initial interest in course content, higher exam scores and higher satisfaction with exams were associated with more positive overall course ratings. Conclusions: Due to the heterogeneity and methodological limitations of included studies, results must be interpreted with caution. Medical educators need to be aware of various influences on student ratings when developing data collection instruments and interpreting evaluation results. More research into the reliability and validity of overall course ratings as typically used in the evaluation of undergraduate medical education is warranted.</w:t>
      </w:r>
    </w:p>
    <w:p w:rsidR="00F9536B" w:rsidRDefault="00F9536B" w:rsidP="00F9536B">
      <w:pPr>
        <w:pStyle w:val="a3"/>
        <w:rPr>
          <w:kern w:val="0"/>
        </w:rPr>
      </w:pPr>
      <w:r>
        <w:rPr>
          <w:kern w:val="0"/>
        </w:rPr>
        <w:t>Keywords: Analysis, Articles, Association, Bias, Characteristics, Collection, Content, Course, Criteria, Curriculum, Data, Data Collection, Databases, Developing, Education, Environment, Evaluation, Evaluation Tools, Exposure, Factors, Female, From, Gender, Heterogeneity, Higher Education, Influence, Instruction, Instruments, Mar, Medical, Medical Education, Methodological Limitations, Methods, Narrative Review, Online, Pubmed, Purpose, Qualitative, Qualitative Research, Quality, Quantitative, Reliability, Research, Respondents, Results, Review, Reviewers, Satisfaction, Science, Source, Student, Student Rating, Systematic, Systematic Review, Teaching, Undergraduate, Undergraduate Medical Education, Validity, Validity, Web, Web Of Science</w:t>
      </w:r>
    </w:p>
    <w:p w:rsidR="003474F2" w:rsidRPr="001A3D2B" w:rsidRDefault="003474F2" w:rsidP="003474F2">
      <w:pPr>
        <w:pStyle w:val="1"/>
      </w:pPr>
      <w:r w:rsidRPr="001A3D2B">
        <w:br w:type="page"/>
      </w:r>
      <w:bookmarkStart w:id="844" w:name="_Toc420814761"/>
      <w:r w:rsidRPr="001A3D2B">
        <w:lastRenderedPageBreak/>
        <w:t xml:space="preserve">Title: </w:t>
      </w:r>
      <w:r w:rsidRPr="001A3D2B">
        <w:rPr>
          <w:szCs w:val="24"/>
        </w:rPr>
        <w:t>BMC Medical Ethics</w:t>
      </w:r>
      <w:bookmarkEnd w:id="844"/>
    </w:p>
    <w:p w:rsidR="003474F2" w:rsidRPr="001A3D2B" w:rsidRDefault="003474F2" w:rsidP="003474F2">
      <w:pPr>
        <w:pStyle w:val="12"/>
      </w:pPr>
      <w:r w:rsidRPr="001A3D2B">
        <w:t xml:space="preserve">Full Journal Title: </w:t>
      </w:r>
      <w:hyperlink r:id="rId1626" w:history="1">
        <w:r w:rsidRPr="001A3D2B">
          <w:rPr>
            <w:rStyle w:val="a5"/>
          </w:rPr>
          <w:t>BMC Medical Ethics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BMC Med Ethics</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Holm, S.</w:t>
      </w:r>
      <w:r w:rsidR="005853A9">
        <w:t xml:space="preserve"> and </w:t>
      </w:r>
      <w:r w:rsidRPr="001A3D2B">
        <w:t xml:space="preserve">Williams-Jones, B. (2006), Global bioethics -- myth or reality? </w:t>
      </w:r>
      <w:r w:rsidRPr="001A3D2B">
        <w:rPr>
          <w:i/>
        </w:rPr>
        <w:t>BMC Medical Ethics</w:t>
      </w:r>
      <w:r w:rsidRPr="001A3D2B">
        <w:t xml:space="preserve">, </w:t>
      </w:r>
      <w:r w:rsidRPr="001A3D2B">
        <w:rPr>
          <w:b/>
          <w:bCs/>
        </w:rPr>
        <w:t>7</w:t>
      </w:r>
      <w:r w:rsidRPr="001A3D2B">
        <w:t>, E10.</w:t>
      </w:r>
    </w:p>
    <w:p w:rsidR="003474F2" w:rsidRPr="001A3D2B" w:rsidRDefault="003474F2" w:rsidP="003474F2">
      <w:pPr>
        <w:pStyle w:val="a3"/>
      </w:pPr>
      <w:r w:rsidRPr="001A3D2B">
        <w:t>Abstract: BACKGROUND: There has been debate on whether a global or unified field</w:t>
      </w:r>
      <w:r w:rsidR="00427468">
        <w:t xml:space="preserve"> of </w:t>
      </w:r>
      <w:r w:rsidRPr="001A3D2B">
        <w:t>bioethics exists. If bioethics is a unified global field, or at</w:t>
      </w:r>
      <w:r w:rsidR="003A1917">
        <w:t xml:space="preserve"> the </w:t>
      </w:r>
      <w:r w:rsidRPr="001A3D2B">
        <w:t>very least a closely shared way</w:t>
      </w:r>
      <w:r w:rsidR="00427468">
        <w:t xml:space="preserve"> of </w:t>
      </w:r>
      <w:r w:rsidRPr="001A3D2B">
        <w:t>thinking, then we should expect bioethicists to behave</w:t>
      </w:r>
      <w:r w:rsidR="003A1917">
        <w:t xml:space="preserve"> the </w:t>
      </w:r>
      <w:r w:rsidRPr="001A3D2B">
        <w:t>same way in their academic activities anywhere in</w:t>
      </w:r>
      <w:r w:rsidR="003A1917">
        <w:t xml:space="preserve"> the </w:t>
      </w:r>
      <w:r w:rsidRPr="001A3D2B">
        <w:t xml:space="preserve">world. This paper investigates whether there is a </w:t>
      </w:r>
      <w:r w:rsidR="00700038">
        <w:t>‘</w:t>
      </w:r>
      <w:r w:rsidRPr="001A3D2B">
        <w:t>global bioethics</w:t>
      </w:r>
      <w:r w:rsidR="00700038">
        <w:t>’</w:t>
      </w:r>
      <w:r w:rsidRPr="001A3D2B">
        <w:t xml:space="preserve"> in</w:t>
      </w:r>
      <w:r w:rsidR="003A1917">
        <w:t xml:space="preserve"> the </w:t>
      </w:r>
      <w:r w:rsidRPr="001A3D2B">
        <w:t>sense</w:t>
      </w:r>
      <w:r w:rsidR="00427468">
        <w:t xml:space="preserve"> of </w:t>
      </w:r>
      <w:r w:rsidRPr="001A3D2B">
        <w:t>a unified academic community. METHODS: To address this question, we study</w:t>
      </w:r>
      <w:r w:rsidR="003A1917">
        <w:t xml:space="preserve"> the </w:t>
      </w:r>
      <w:r w:rsidRPr="001A3D2B">
        <w:t>web-linking patterns</w:t>
      </w:r>
      <w:r w:rsidR="00427468">
        <w:t xml:space="preserve"> of </w:t>
      </w:r>
      <w:r w:rsidRPr="001A3D2B">
        <w:t>bioethics institutions,</w:t>
      </w:r>
      <w:r w:rsidR="003A1917">
        <w:t xml:space="preserve"> the </w:t>
      </w:r>
      <w:r w:rsidRPr="001A3D2B">
        <w:t>citation patterns</w:t>
      </w:r>
      <w:r w:rsidR="00427468">
        <w:t xml:space="preserve"> of </w:t>
      </w:r>
      <w:r w:rsidRPr="001A3D2B">
        <w:t>bioethics papers</w:t>
      </w:r>
      <w:r w:rsidR="005853A9">
        <w:t xml:space="preserve"> and </w:t>
      </w:r>
      <w:r w:rsidR="003A1917">
        <w:t xml:space="preserve">the </w:t>
      </w:r>
      <w:r w:rsidRPr="001A3D2B">
        <w:t>buying patterns</w:t>
      </w:r>
      <w:r w:rsidR="00427468">
        <w:t xml:space="preserve"> of </w:t>
      </w:r>
      <w:r w:rsidRPr="001A3D2B">
        <w:t>bioethics books. RESULTS: All three analyses indicate that there are geographical</w:t>
      </w:r>
      <w:r w:rsidR="005853A9">
        <w:t xml:space="preserve"> and </w:t>
      </w:r>
      <w:r w:rsidRPr="001A3D2B">
        <w:t>institutional differences in</w:t>
      </w:r>
      <w:r w:rsidR="003A1917">
        <w:t xml:space="preserve"> the </w:t>
      </w:r>
      <w:r w:rsidRPr="001A3D2B">
        <w:t>academic behavior</w:t>
      </w:r>
      <w:r w:rsidR="00427468">
        <w:t xml:space="preserve"> of </w:t>
      </w:r>
      <w:r w:rsidRPr="001A3D2B">
        <w:t>bioethicists</w:t>
      </w:r>
      <w:r w:rsidR="005853A9">
        <w:t xml:space="preserve"> and </w:t>
      </w:r>
      <w:r w:rsidRPr="001A3D2B">
        <w:t>bioethics institutions. CONCLUSION: These exploratory studies support</w:t>
      </w:r>
      <w:r w:rsidR="003A1917">
        <w:t xml:space="preserve"> the </w:t>
      </w:r>
      <w:r w:rsidRPr="001A3D2B">
        <w:t>position that there is no unified global field</w:t>
      </w:r>
      <w:r w:rsidR="00427468">
        <w:t xml:space="preserve"> of </w:t>
      </w:r>
      <w:r w:rsidRPr="001A3D2B">
        <w:t>bioethics. This is a problem if</w:t>
      </w:r>
      <w:r w:rsidR="003A1917">
        <w:t xml:space="preserve"> the </w:t>
      </w:r>
      <w:r w:rsidRPr="001A3D2B">
        <w:t>only reason is parochialism. But these regional differences are probably</w:t>
      </w:r>
      <w:r w:rsidR="00427468">
        <w:t xml:space="preserve"> of </w:t>
      </w:r>
      <w:r w:rsidRPr="001A3D2B">
        <w:t>less concern if one notices that bioethics comes in many not always mutually understandable dialects.</w:t>
      </w:r>
    </w:p>
    <w:p w:rsidR="003474F2" w:rsidRPr="001A3D2B" w:rsidRDefault="003474F2" w:rsidP="003474F2">
      <w:pPr>
        <w:pStyle w:val="a3"/>
      </w:pPr>
      <w:r w:rsidRPr="001A3D2B">
        <w:t>Keywords: Analyses, Background, Behavior, Bioethics, Citation, Citation Patterns, Community, Field, Global Bioethics, Institutions, Methods, Papers, Regional, Support, World</w:t>
      </w:r>
    </w:p>
    <w:p w:rsidR="00001D6C" w:rsidRPr="001A3D2B" w:rsidRDefault="00001D6C" w:rsidP="00001D6C">
      <w:pPr>
        <w:pStyle w:val="1"/>
      </w:pPr>
      <w:r w:rsidRPr="001A3D2B">
        <w:br w:type="page"/>
      </w:r>
      <w:bookmarkStart w:id="845" w:name="_Toc420814762"/>
      <w:r w:rsidRPr="001A3D2B">
        <w:lastRenderedPageBreak/>
        <w:t xml:space="preserve">Title: </w:t>
      </w:r>
      <w:r w:rsidRPr="00001D6C">
        <w:rPr>
          <w:iCs w:val="0"/>
        </w:rPr>
        <w:t xml:space="preserve">BMC </w:t>
      </w:r>
      <w:r w:rsidRPr="00001D6C">
        <w:t>Medical Genomics</w:t>
      </w:r>
      <w:bookmarkEnd w:id="845"/>
    </w:p>
    <w:p w:rsidR="00001D6C" w:rsidRPr="001A3D2B" w:rsidRDefault="00001D6C" w:rsidP="00001D6C">
      <w:pPr>
        <w:pStyle w:val="12"/>
      </w:pPr>
      <w:r w:rsidRPr="001A3D2B">
        <w:t xml:space="preserve">Full Journal Title: </w:t>
      </w:r>
      <w:r w:rsidRPr="00001D6C">
        <w:rPr>
          <w:iCs/>
          <w:kern w:val="0"/>
        </w:rPr>
        <w:t>BMC Medical Genomics</w:t>
      </w:r>
    </w:p>
    <w:p w:rsidR="00001D6C" w:rsidRPr="001A3D2B" w:rsidRDefault="00001D6C" w:rsidP="00001D6C">
      <w:pPr>
        <w:pStyle w:val="12"/>
      </w:pPr>
      <w:r w:rsidRPr="001A3D2B">
        <w:t xml:space="preserve">ISO Abbreviated Title: </w:t>
      </w:r>
    </w:p>
    <w:p w:rsidR="00001D6C" w:rsidRPr="001A3D2B" w:rsidRDefault="00001D6C" w:rsidP="00001D6C">
      <w:pPr>
        <w:pStyle w:val="12"/>
      </w:pPr>
      <w:r w:rsidRPr="001A3D2B">
        <w:t xml:space="preserve">JCR Abbreviated Title: </w:t>
      </w:r>
    </w:p>
    <w:p w:rsidR="00001D6C" w:rsidRPr="001A3D2B" w:rsidRDefault="00001D6C" w:rsidP="00001D6C">
      <w:pPr>
        <w:pStyle w:val="12"/>
      </w:pPr>
      <w:r w:rsidRPr="001A3D2B">
        <w:t xml:space="preserve">ISSN: </w:t>
      </w:r>
    </w:p>
    <w:p w:rsidR="00001D6C" w:rsidRPr="001A3D2B" w:rsidRDefault="00001D6C" w:rsidP="00001D6C">
      <w:pPr>
        <w:pStyle w:val="12"/>
      </w:pPr>
      <w:r w:rsidRPr="001A3D2B">
        <w:t xml:space="preserve">Issues/Year: </w:t>
      </w:r>
    </w:p>
    <w:p w:rsidR="00001D6C" w:rsidRPr="001A3D2B" w:rsidRDefault="00001D6C" w:rsidP="00001D6C">
      <w:pPr>
        <w:pStyle w:val="12"/>
      </w:pPr>
      <w:r w:rsidRPr="001A3D2B">
        <w:t xml:space="preserve">Journal Country/Territory: </w:t>
      </w:r>
    </w:p>
    <w:p w:rsidR="00001D6C" w:rsidRPr="001A3D2B" w:rsidRDefault="00001D6C" w:rsidP="00001D6C">
      <w:pPr>
        <w:pStyle w:val="12"/>
      </w:pPr>
      <w:r w:rsidRPr="001A3D2B">
        <w:t xml:space="preserve">Language: </w:t>
      </w:r>
    </w:p>
    <w:p w:rsidR="00001D6C" w:rsidRPr="001A3D2B" w:rsidRDefault="00001D6C" w:rsidP="00001D6C">
      <w:pPr>
        <w:pStyle w:val="12"/>
      </w:pPr>
      <w:r w:rsidRPr="001A3D2B">
        <w:t xml:space="preserve">Publisher: </w:t>
      </w:r>
    </w:p>
    <w:p w:rsidR="00001D6C" w:rsidRPr="001A3D2B" w:rsidRDefault="00001D6C" w:rsidP="00001D6C">
      <w:pPr>
        <w:pStyle w:val="12"/>
      </w:pPr>
      <w:r w:rsidRPr="001A3D2B">
        <w:t xml:space="preserve">Publisher Address: </w:t>
      </w:r>
    </w:p>
    <w:p w:rsidR="00001D6C" w:rsidRPr="001A3D2B" w:rsidRDefault="00001D6C" w:rsidP="00001D6C">
      <w:pPr>
        <w:pStyle w:val="12"/>
      </w:pPr>
      <w:r w:rsidRPr="001A3D2B">
        <w:t xml:space="preserve">Subject Categories: </w:t>
      </w:r>
    </w:p>
    <w:p w:rsidR="00001D6C" w:rsidRPr="001A3D2B" w:rsidRDefault="00001D6C" w:rsidP="00001D6C">
      <w:pPr>
        <w:pStyle w:val="12"/>
      </w:pPr>
      <w:r w:rsidRPr="001A3D2B">
        <w:t xml:space="preserve">: Impact Factor </w:t>
      </w:r>
    </w:p>
    <w:p w:rsidR="00001D6C" w:rsidRDefault="00001D6C" w:rsidP="00001D6C">
      <w:pPr>
        <w:pStyle w:val="a3"/>
        <w:rPr>
          <w:kern w:val="0"/>
        </w:rPr>
      </w:pPr>
      <w:r>
        <w:rPr>
          <w:rFonts w:hint="eastAsia"/>
          <w:kern w:val="0"/>
        </w:rPr>
        <w:t xml:space="preserve">? </w:t>
      </w:r>
      <w:r>
        <w:rPr>
          <w:kern w:val="0"/>
        </w:rPr>
        <w:t>Cheung, W.A., Ouellette, B.F.F.</w:t>
      </w:r>
      <w:r w:rsidR="005853A9">
        <w:rPr>
          <w:kern w:val="0"/>
        </w:rPr>
        <w:t xml:space="preserve"> and </w:t>
      </w:r>
      <w:r>
        <w:rPr>
          <w:kern w:val="0"/>
        </w:rPr>
        <w:t xml:space="preserve">Wasserman, W.W. (2013), Compensating for literature annotation bias when predicting novel drug-disease relationships through Medical Subject Heading Over-representation Profile (MeSHOP) similarity. </w:t>
      </w:r>
      <w:r w:rsidRPr="00001D6C">
        <w:rPr>
          <w:i/>
          <w:iCs/>
          <w:kern w:val="0"/>
        </w:rPr>
        <w:t>BMC Medical Genomics</w:t>
      </w:r>
      <w:r>
        <w:rPr>
          <w:kern w:val="0"/>
        </w:rPr>
        <w:t xml:space="preserve">, </w:t>
      </w:r>
      <w:r>
        <w:rPr>
          <w:b/>
          <w:bCs/>
          <w:kern w:val="0"/>
        </w:rPr>
        <w:t>6</w:t>
      </w:r>
      <w:r>
        <w:rPr>
          <w:rFonts w:hint="eastAsia"/>
          <w:kern w:val="0"/>
        </w:rPr>
        <w:t xml:space="preserve"> (S2),</w:t>
      </w:r>
      <w:r w:rsidRPr="005964DD">
        <w:t xml:space="preserve"> </w:t>
      </w:r>
      <w:r>
        <w:rPr>
          <w:kern w:val="0"/>
        </w:rPr>
        <w:t>Article Number: S3</w:t>
      </w:r>
      <w:r>
        <w:rPr>
          <w:rFonts w:hint="eastAsia"/>
          <w:kern w:val="0"/>
        </w:rPr>
        <w:t>.</w:t>
      </w:r>
    </w:p>
    <w:p w:rsidR="00001D6C" w:rsidRDefault="00001D6C" w:rsidP="00001D6C">
      <w:pPr>
        <w:pStyle w:val="a3"/>
        <w:rPr>
          <w:kern w:val="0"/>
        </w:rPr>
      </w:pPr>
      <w:r>
        <w:rPr>
          <w:rFonts w:hint="eastAsia"/>
          <w:kern w:val="0"/>
        </w:rPr>
        <w:t xml:space="preserve">Full Text: </w:t>
      </w:r>
      <w:hyperlink r:id="rId1627" w:history="1">
        <w:r w:rsidRPr="00001D6C">
          <w:rPr>
            <w:rStyle w:val="a5"/>
            <w:kern w:val="0"/>
          </w:rPr>
          <w:t>2013\BMC Med Gen6, S3.pdf</w:t>
        </w:r>
      </w:hyperlink>
    </w:p>
    <w:p w:rsidR="00001D6C" w:rsidRDefault="00001D6C" w:rsidP="00001D6C">
      <w:pPr>
        <w:pStyle w:val="a3"/>
        <w:rPr>
          <w:kern w:val="0"/>
        </w:rPr>
      </w:pPr>
      <w:r>
        <w:rPr>
          <w:kern w:val="0"/>
        </w:rPr>
        <w:t xml:space="preserve">Abstract: Background: Using annotations to the articles in </w:t>
      </w:r>
      <w:r w:rsidR="00D5664A">
        <w:rPr>
          <w:kern w:val="0"/>
        </w:rPr>
        <w:t>MEDLINE</w:t>
      </w:r>
      <w:r>
        <w:rPr>
          <w:kern w:val="0"/>
        </w:rPr>
        <w:t xml:space="preserve"> (R)/PubMed (R), over six tho</w:t>
      </w:r>
      <w:r w:rsidR="00D5664A">
        <w:rPr>
          <w:kern w:val="0"/>
        </w:rPr>
        <w:t>USA</w:t>
      </w:r>
      <w:r>
        <w:rPr>
          <w:kern w:val="0"/>
        </w:rPr>
        <w:t>nd chemical compounds with pharmacological actions have been tracked since 1996. Medical Subject Heading Over-representation Profiles (MeSHOPs) quantitatively leverage the literature associated with biological entities such as diseases or drugs, providing the opportunity to reposition known compounds towards novel disease applications. Methods: A MeSHOP is constructed by counting the number</w:t>
      </w:r>
      <w:r w:rsidR="00427468">
        <w:rPr>
          <w:kern w:val="0"/>
        </w:rPr>
        <w:t xml:space="preserve"> of </w:t>
      </w:r>
      <w:r>
        <w:rPr>
          <w:kern w:val="0"/>
        </w:rPr>
        <w:t xml:space="preserve">times each medical subject term is assigned to an entity-related research publication in the </w:t>
      </w:r>
      <w:r w:rsidR="00D5664A">
        <w:rPr>
          <w:kern w:val="0"/>
        </w:rPr>
        <w:t>MEDLINE</w:t>
      </w:r>
      <w:r>
        <w:rPr>
          <w:kern w:val="0"/>
        </w:rPr>
        <w:t xml:space="preserve"> database</w:t>
      </w:r>
      <w:r w:rsidR="005853A9">
        <w:rPr>
          <w:kern w:val="0"/>
        </w:rPr>
        <w:t xml:space="preserve"> and </w:t>
      </w:r>
      <w:r>
        <w:rPr>
          <w:kern w:val="0"/>
        </w:rPr>
        <w:t>calculating the significance</w:t>
      </w:r>
      <w:r w:rsidR="00427468">
        <w:rPr>
          <w:kern w:val="0"/>
        </w:rPr>
        <w:t xml:space="preserve"> of </w:t>
      </w:r>
      <w:r>
        <w:rPr>
          <w:kern w:val="0"/>
        </w:rPr>
        <w:t>the count by comparing against the count</w:t>
      </w:r>
      <w:r w:rsidR="00427468">
        <w:rPr>
          <w:kern w:val="0"/>
        </w:rPr>
        <w:t xml:space="preserve"> of </w:t>
      </w:r>
      <w:r>
        <w:rPr>
          <w:kern w:val="0"/>
        </w:rPr>
        <w:t>the term in a background set</w:t>
      </w:r>
      <w:r w:rsidR="00427468">
        <w:rPr>
          <w:kern w:val="0"/>
        </w:rPr>
        <w:t xml:space="preserve"> of </w:t>
      </w:r>
      <w:r>
        <w:rPr>
          <w:kern w:val="0"/>
        </w:rPr>
        <w:t>publications. Based on the expectation that drugs suitable for treatment</w:t>
      </w:r>
      <w:r w:rsidR="00427468">
        <w:rPr>
          <w:kern w:val="0"/>
        </w:rPr>
        <w:t xml:space="preserve"> of </w:t>
      </w:r>
      <w:r>
        <w:rPr>
          <w:kern w:val="0"/>
        </w:rPr>
        <w:t>a disease (or disease symptom) will have similar annotation properties to the disease, we successfully predict drug-disease associations by comparing MeSHOPs</w:t>
      </w:r>
      <w:r w:rsidR="00427468">
        <w:rPr>
          <w:kern w:val="0"/>
        </w:rPr>
        <w:t xml:space="preserve"> of </w:t>
      </w:r>
      <w:r>
        <w:rPr>
          <w:kern w:val="0"/>
        </w:rPr>
        <w:t>diseases</w:t>
      </w:r>
      <w:r w:rsidR="005853A9">
        <w:rPr>
          <w:kern w:val="0"/>
        </w:rPr>
        <w:t xml:space="preserve"> and </w:t>
      </w:r>
      <w:r>
        <w:rPr>
          <w:kern w:val="0"/>
        </w:rPr>
        <w:t>drugs. Results: The MeSHOP comparison approach delivers an 11% improvement over bibliometric baselines. However, novel drug-disease associations are observed to be biased towards drugs</w:t>
      </w:r>
      <w:r w:rsidR="005853A9">
        <w:rPr>
          <w:kern w:val="0"/>
        </w:rPr>
        <w:t xml:space="preserve"> and </w:t>
      </w:r>
      <w:r>
        <w:rPr>
          <w:kern w:val="0"/>
        </w:rPr>
        <w:t>diseases with more publications. To account for the annotation biases, a correction procedure is introduced</w:t>
      </w:r>
      <w:r w:rsidR="005853A9">
        <w:rPr>
          <w:kern w:val="0"/>
        </w:rPr>
        <w:t xml:space="preserve"> and </w:t>
      </w:r>
      <w:r>
        <w:rPr>
          <w:kern w:val="0"/>
        </w:rPr>
        <w:t>evaluated. Conclusions: By explicitly accounting for the annotation bias, unexpectedly similar drug-disease pairs are highlighted as candidates for drug repositioning research. MeSHOPs are shown to provide a literature-supported perspective for discovery</w:t>
      </w:r>
      <w:r w:rsidR="00427468">
        <w:rPr>
          <w:kern w:val="0"/>
        </w:rPr>
        <w:t xml:space="preserve"> of </w:t>
      </w:r>
      <w:r>
        <w:rPr>
          <w:kern w:val="0"/>
        </w:rPr>
        <w:t>new links between drugs</w:t>
      </w:r>
      <w:r w:rsidR="005853A9">
        <w:rPr>
          <w:kern w:val="0"/>
        </w:rPr>
        <w:t xml:space="preserve"> and </w:t>
      </w:r>
      <w:r>
        <w:rPr>
          <w:kern w:val="0"/>
        </w:rPr>
        <w:t>diseases based on pre-existing knowledge.</w:t>
      </w:r>
    </w:p>
    <w:p w:rsidR="00001D6C" w:rsidRDefault="00001D6C" w:rsidP="00001D6C">
      <w:pPr>
        <w:pStyle w:val="a3"/>
        <w:rPr>
          <w:kern w:val="0"/>
        </w:rPr>
      </w:pPr>
      <w:r>
        <w:rPr>
          <w:kern w:val="0"/>
        </w:rPr>
        <w:lastRenderedPageBreak/>
        <w:t xml:space="preserve">Keywords: Approach, Bias, Bibliometric, Biological, Chemical, Comparison, Constructed, Database, Discovery, Disease, Diseases, Drug, Drug Repositioning, Drugs, Improvement, Knowledge, Literature, Medical, </w:t>
      </w:r>
      <w:r w:rsidR="00D5664A">
        <w:rPr>
          <w:kern w:val="0"/>
        </w:rPr>
        <w:t>MEDLINE</w:t>
      </w:r>
      <w:r>
        <w:rPr>
          <w:kern w:val="0"/>
        </w:rPr>
        <w:t>, Methods, Ontologies, Procedure, Properties, Publication, Publications, R, Research, Results, Significance, Similarity, Term, Treatment</w:t>
      </w:r>
    </w:p>
    <w:p w:rsidR="005607F3" w:rsidRPr="001A3D2B" w:rsidRDefault="005607F3" w:rsidP="005607F3">
      <w:pPr>
        <w:pStyle w:val="1"/>
      </w:pPr>
      <w:r w:rsidRPr="001A3D2B">
        <w:br w:type="page"/>
      </w:r>
      <w:bookmarkStart w:id="846" w:name="_Toc420814763"/>
      <w:r w:rsidRPr="001A3D2B">
        <w:lastRenderedPageBreak/>
        <w:t xml:space="preserve">Title: </w:t>
      </w:r>
      <w:r w:rsidRPr="001A3D2B">
        <w:rPr>
          <w:szCs w:val="24"/>
        </w:rPr>
        <w:t>BMC Medical Informatics</w:t>
      </w:r>
      <w:r w:rsidR="005853A9">
        <w:rPr>
          <w:szCs w:val="24"/>
        </w:rPr>
        <w:t xml:space="preserve"> and </w:t>
      </w:r>
      <w:r w:rsidRPr="001A3D2B">
        <w:rPr>
          <w:szCs w:val="24"/>
        </w:rPr>
        <w:t>Decision Making</w:t>
      </w:r>
      <w:bookmarkEnd w:id="846"/>
    </w:p>
    <w:p w:rsidR="005607F3" w:rsidRPr="001A3D2B" w:rsidRDefault="005607F3" w:rsidP="005607F3">
      <w:pPr>
        <w:pStyle w:val="12"/>
      </w:pPr>
      <w:r w:rsidRPr="001A3D2B">
        <w:t xml:space="preserve">Full Journal Title: </w:t>
      </w:r>
      <w:hyperlink r:id="rId1628" w:history="1">
        <w:r w:rsidRPr="001A3D2B">
          <w:rPr>
            <w:rStyle w:val="a5"/>
            <w:kern w:val="0"/>
          </w:rPr>
          <w:t>BMC Medical Informatics</w:t>
        </w:r>
        <w:r w:rsidR="005853A9">
          <w:rPr>
            <w:rStyle w:val="a5"/>
            <w:kern w:val="0"/>
          </w:rPr>
          <w:t xml:space="preserve"> and </w:t>
        </w:r>
        <w:r w:rsidRPr="001A3D2B">
          <w:rPr>
            <w:rStyle w:val="a5"/>
            <w:kern w:val="0"/>
          </w:rPr>
          <w:t>Decision Making</w:t>
        </w:r>
      </w:hyperlink>
    </w:p>
    <w:p w:rsidR="005607F3" w:rsidRPr="001A3D2B" w:rsidRDefault="005607F3" w:rsidP="005607F3">
      <w:pPr>
        <w:pStyle w:val="12"/>
      </w:pPr>
      <w:r w:rsidRPr="001A3D2B">
        <w:t xml:space="preserve">ISO Abbreviated Title: </w:t>
      </w:r>
    </w:p>
    <w:p w:rsidR="005607F3" w:rsidRPr="001A3D2B" w:rsidRDefault="005607F3" w:rsidP="005607F3">
      <w:pPr>
        <w:pStyle w:val="12"/>
      </w:pPr>
      <w:r w:rsidRPr="001A3D2B">
        <w:t xml:space="preserve">JCR Abbreviated Title: </w:t>
      </w:r>
    </w:p>
    <w:p w:rsidR="005607F3" w:rsidRPr="001A3D2B" w:rsidRDefault="005607F3" w:rsidP="005607F3">
      <w:pPr>
        <w:pStyle w:val="12"/>
      </w:pPr>
      <w:r w:rsidRPr="001A3D2B">
        <w:t xml:space="preserve">ISSN: </w:t>
      </w:r>
    </w:p>
    <w:p w:rsidR="005607F3" w:rsidRPr="001A3D2B" w:rsidRDefault="005607F3" w:rsidP="005607F3">
      <w:pPr>
        <w:pStyle w:val="12"/>
      </w:pPr>
      <w:r w:rsidRPr="001A3D2B">
        <w:t xml:space="preserve">Issues/Year: </w:t>
      </w:r>
    </w:p>
    <w:p w:rsidR="005607F3" w:rsidRPr="001A3D2B" w:rsidRDefault="00AA25A4" w:rsidP="005607F3">
      <w:pPr>
        <w:pStyle w:val="12"/>
      </w:pPr>
      <w:r w:rsidRPr="001A3D2B">
        <w:t>Journal Country/Territory:</w:t>
      </w:r>
      <w:r w:rsidR="008F46E9" w:rsidRPr="001A3D2B">
        <w:t xml:space="preserve"> </w:t>
      </w:r>
    </w:p>
    <w:p w:rsidR="005607F3" w:rsidRPr="001A3D2B" w:rsidRDefault="005607F3" w:rsidP="005607F3">
      <w:pPr>
        <w:pStyle w:val="12"/>
      </w:pPr>
      <w:r w:rsidRPr="001A3D2B">
        <w:t xml:space="preserve">Language: </w:t>
      </w:r>
    </w:p>
    <w:p w:rsidR="005607F3" w:rsidRPr="001A3D2B" w:rsidRDefault="005607F3" w:rsidP="005607F3">
      <w:pPr>
        <w:pStyle w:val="12"/>
      </w:pPr>
      <w:r w:rsidRPr="001A3D2B">
        <w:t xml:space="preserve">Publisher: </w:t>
      </w:r>
    </w:p>
    <w:p w:rsidR="005607F3" w:rsidRPr="001A3D2B" w:rsidRDefault="005607F3" w:rsidP="005607F3">
      <w:pPr>
        <w:pStyle w:val="12"/>
      </w:pPr>
      <w:r w:rsidRPr="001A3D2B">
        <w:t xml:space="preserve">Publisher Address: </w:t>
      </w:r>
    </w:p>
    <w:p w:rsidR="005607F3" w:rsidRPr="001A3D2B" w:rsidRDefault="005607F3" w:rsidP="005607F3">
      <w:pPr>
        <w:pStyle w:val="12"/>
      </w:pPr>
      <w:r w:rsidRPr="001A3D2B">
        <w:t xml:space="preserve">Subject Categories: </w:t>
      </w:r>
    </w:p>
    <w:p w:rsidR="005607F3" w:rsidRPr="001A3D2B" w:rsidRDefault="005607F3" w:rsidP="005607F3">
      <w:pPr>
        <w:pStyle w:val="12"/>
      </w:pPr>
      <w:r w:rsidRPr="001A3D2B">
        <w:t xml:space="preserve">: Impact Factor </w:t>
      </w:r>
    </w:p>
    <w:p w:rsidR="005607F3" w:rsidRPr="001A3D2B" w:rsidRDefault="005607F3" w:rsidP="005607F3">
      <w:pPr>
        <w:pStyle w:val="a3"/>
        <w:rPr>
          <w:kern w:val="0"/>
          <w:szCs w:val="24"/>
        </w:rPr>
      </w:pPr>
      <w:r w:rsidRPr="001A3D2B">
        <w:rPr>
          <w:kern w:val="0"/>
          <w:szCs w:val="24"/>
        </w:rPr>
        <w:t>? DeShazo, J.P., LaVallie, D.L.</w:t>
      </w:r>
      <w:r w:rsidR="005853A9">
        <w:rPr>
          <w:kern w:val="0"/>
          <w:szCs w:val="24"/>
        </w:rPr>
        <w:t xml:space="preserve"> and </w:t>
      </w:r>
      <w:r w:rsidRPr="001A3D2B">
        <w:rPr>
          <w:kern w:val="0"/>
          <w:szCs w:val="24"/>
        </w:rPr>
        <w:t>Wolf, F.M. (2009), Publication trends in</w:t>
      </w:r>
      <w:r w:rsidR="003A1917">
        <w:rPr>
          <w:kern w:val="0"/>
          <w:szCs w:val="24"/>
        </w:rPr>
        <w:t xml:space="preserve"> the </w:t>
      </w:r>
      <w:r w:rsidRPr="001A3D2B">
        <w:rPr>
          <w:kern w:val="0"/>
          <w:szCs w:val="24"/>
        </w:rPr>
        <w:t>medical informatics literature: 20 years</w:t>
      </w:r>
      <w:r w:rsidR="00427468">
        <w:rPr>
          <w:kern w:val="0"/>
          <w:szCs w:val="24"/>
        </w:rPr>
        <w:t xml:space="preserve"> of </w:t>
      </w:r>
      <w:r w:rsidR="00B5188C">
        <w:rPr>
          <w:kern w:val="0"/>
          <w:szCs w:val="24"/>
        </w:rPr>
        <w:t>“</w:t>
      </w:r>
      <w:r w:rsidRPr="001A3D2B">
        <w:rPr>
          <w:kern w:val="0"/>
          <w:szCs w:val="24"/>
        </w:rPr>
        <w:t>Medical Informatics</w:t>
      </w:r>
      <w:r w:rsidR="00B5188C">
        <w:rPr>
          <w:kern w:val="0"/>
          <w:szCs w:val="24"/>
        </w:rPr>
        <w:t>”</w:t>
      </w:r>
      <w:r w:rsidRPr="001A3D2B">
        <w:rPr>
          <w:kern w:val="0"/>
          <w:szCs w:val="24"/>
        </w:rPr>
        <w:t xml:space="preserve"> in MeSH. </w:t>
      </w:r>
      <w:r w:rsidRPr="001A3D2B">
        <w:rPr>
          <w:i/>
          <w:iCs/>
          <w:kern w:val="0"/>
          <w:szCs w:val="24"/>
        </w:rPr>
        <w:t>BMC Medical Informatics</w:t>
      </w:r>
      <w:r w:rsidR="005853A9">
        <w:rPr>
          <w:i/>
          <w:iCs/>
          <w:kern w:val="0"/>
          <w:szCs w:val="24"/>
        </w:rPr>
        <w:t xml:space="preserve"> and </w:t>
      </w:r>
      <w:r w:rsidRPr="001A3D2B">
        <w:rPr>
          <w:i/>
          <w:iCs/>
          <w:kern w:val="0"/>
          <w:szCs w:val="24"/>
        </w:rPr>
        <w:t>Decision Making</w:t>
      </w:r>
      <w:r w:rsidRPr="001A3D2B">
        <w:rPr>
          <w:kern w:val="0"/>
          <w:szCs w:val="24"/>
        </w:rPr>
        <w:t xml:space="preserve">, </w:t>
      </w:r>
      <w:r w:rsidRPr="001A3D2B">
        <w:rPr>
          <w:b/>
          <w:bCs/>
          <w:kern w:val="0"/>
          <w:szCs w:val="24"/>
        </w:rPr>
        <w:t>9</w:t>
      </w:r>
      <w:r w:rsidRPr="001A3D2B">
        <w:rPr>
          <w:kern w:val="0"/>
          <w:szCs w:val="24"/>
        </w:rPr>
        <w:t>, Article Number: 7.</w:t>
      </w:r>
    </w:p>
    <w:p w:rsidR="005607F3" w:rsidRPr="001A3D2B" w:rsidRDefault="005607F3" w:rsidP="005607F3">
      <w:pPr>
        <w:pStyle w:val="a3"/>
        <w:rPr>
          <w:kern w:val="0"/>
          <w:szCs w:val="24"/>
        </w:rPr>
      </w:pPr>
      <w:r w:rsidRPr="001A3D2B">
        <w:rPr>
          <w:kern w:val="0"/>
          <w:szCs w:val="24"/>
        </w:rPr>
        <w:t xml:space="preserve">Full Text: </w:t>
      </w:r>
      <w:hyperlink r:id="rId1629" w:history="1">
        <w:r w:rsidRPr="001A3D2B">
          <w:rPr>
            <w:rStyle w:val="a5"/>
            <w:kern w:val="0"/>
            <w:szCs w:val="24"/>
          </w:rPr>
          <w:t>2009\BMC Med Inf Dec Mak9, 7.pdf</w:t>
        </w:r>
      </w:hyperlink>
    </w:p>
    <w:p w:rsidR="005607F3" w:rsidRPr="001A3D2B" w:rsidRDefault="005607F3" w:rsidP="005607F3">
      <w:pPr>
        <w:pStyle w:val="a3"/>
        <w:rPr>
          <w:kern w:val="0"/>
          <w:szCs w:val="24"/>
        </w:rPr>
      </w:pPr>
      <w:r w:rsidRPr="001A3D2B">
        <w:rPr>
          <w:kern w:val="0"/>
          <w:szCs w:val="24"/>
        </w:rPr>
        <w:t>Abstract: Background:</w:t>
      </w:r>
      <w:r w:rsidR="003A1917">
        <w:rPr>
          <w:kern w:val="0"/>
          <w:szCs w:val="24"/>
        </w:rPr>
        <w:t xml:space="preserve"> the </w:t>
      </w:r>
      <w:r w:rsidRPr="001A3D2B">
        <w:rPr>
          <w:kern w:val="0"/>
          <w:szCs w:val="24"/>
        </w:rPr>
        <w:t>purpose</w:t>
      </w:r>
      <w:r w:rsidR="00427468">
        <w:rPr>
          <w:kern w:val="0"/>
          <w:szCs w:val="24"/>
        </w:rPr>
        <w:t xml:space="preserve"> of </w:t>
      </w:r>
      <w:r w:rsidRPr="001A3D2B">
        <w:rPr>
          <w:kern w:val="0"/>
          <w:szCs w:val="24"/>
        </w:rPr>
        <w:t>this study is to identify publication output,</w:t>
      </w:r>
      <w:r w:rsidR="005853A9">
        <w:rPr>
          <w:kern w:val="0"/>
          <w:szCs w:val="24"/>
        </w:rPr>
        <w:t xml:space="preserve"> and </w:t>
      </w:r>
      <w:r w:rsidRPr="001A3D2B">
        <w:rPr>
          <w:kern w:val="0"/>
          <w:szCs w:val="24"/>
        </w:rPr>
        <w:t>research areas, as well as descriptively</w:t>
      </w:r>
      <w:r w:rsidR="005853A9">
        <w:rPr>
          <w:kern w:val="0"/>
          <w:szCs w:val="24"/>
        </w:rPr>
        <w:t xml:space="preserve"> and </w:t>
      </w:r>
      <w:r w:rsidRPr="001A3D2B">
        <w:rPr>
          <w:kern w:val="0"/>
          <w:szCs w:val="24"/>
        </w:rPr>
        <w:t>quantitatively characterize</w:t>
      </w:r>
      <w:r w:rsidR="003A1917">
        <w:rPr>
          <w:kern w:val="0"/>
          <w:szCs w:val="24"/>
        </w:rPr>
        <w:t xml:space="preserve"> the </w:t>
      </w:r>
      <w:r w:rsidRPr="001A3D2B">
        <w:rPr>
          <w:kern w:val="0"/>
          <w:szCs w:val="24"/>
        </w:rPr>
        <w:t>field</w:t>
      </w:r>
      <w:r w:rsidR="00427468">
        <w:rPr>
          <w:kern w:val="0"/>
          <w:szCs w:val="24"/>
        </w:rPr>
        <w:t xml:space="preserve"> of </w:t>
      </w:r>
      <w:r w:rsidRPr="001A3D2B">
        <w:rPr>
          <w:kern w:val="0"/>
          <w:szCs w:val="24"/>
        </w:rPr>
        <w:t>medical informatics through publication trend analysis over a twenty year period (1987-2006). Methods: A bibliometric analysis</w:t>
      </w:r>
      <w:r w:rsidR="00427468">
        <w:rPr>
          <w:kern w:val="0"/>
          <w:szCs w:val="24"/>
        </w:rPr>
        <w:t xml:space="preserve"> of </w:t>
      </w:r>
      <w:r w:rsidRPr="001A3D2B">
        <w:rPr>
          <w:kern w:val="0"/>
          <w:szCs w:val="24"/>
        </w:rPr>
        <w:t xml:space="preserve">medical informatics citations indexed in </w:t>
      </w:r>
      <w:r w:rsidR="00D5664A">
        <w:rPr>
          <w:kern w:val="0"/>
          <w:szCs w:val="24"/>
        </w:rPr>
        <w:t>MEDLINE</w:t>
      </w:r>
      <w:r w:rsidRPr="001A3D2B">
        <w:rPr>
          <w:kern w:val="0"/>
          <w:szCs w:val="24"/>
        </w:rPr>
        <w:t xml:space="preserve"> was performed using publication trends, journal frequency, impact factors, MeSH term frequencies</w:t>
      </w:r>
      <w:r w:rsidR="005853A9">
        <w:rPr>
          <w:kern w:val="0"/>
          <w:szCs w:val="24"/>
        </w:rPr>
        <w:t xml:space="preserve"> and </w:t>
      </w:r>
      <w:r w:rsidRPr="001A3D2B">
        <w:rPr>
          <w:kern w:val="0"/>
          <w:szCs w:val="24"/>
        </w:rPr>
        <w:t>characteristics</w:t>
      </w:r>
      <w:r w:rsidR="00427468">
        <w:rPr>
          <w:kern w:val="0"/>
          <w:szCs w:val="24"/>
        </w:rPr>
        <w:t xml:space="preserve"> of </w:t>
      </w:r>
      <w:r w:rsidRPr="001A3D2B">
        <w:rPr>
          <w:kern w:val="0"/>
          <w:szCs w:val="24"/>
        </w:rPr>
        <w:t>citations. Results: There were 77,023 medical informatics articles published during this 20 year period in 4,644 unique journals</w:t>
      </w:r>
      <w:r w:rsidR="00A37C1D">
        <w:rPr>
          <w:kern w:val="0"/>
          <w:szCs w:val="24"/>
        </w:rPr>
        <w:t>. The</w:t>
      </w:r>
      <w:r w:rsidR="003A1917">
        <w:rPr>
          <w:kern w:val="0"/>
          <w:szCs w:val="24"/>
        </w:rPr>
        <w:t xml:space="preserve"> </w:t>
      </w:r>
      <w:r w:rsidRPr="001A3D2B">
        <w:rPr>
          <w:kern w:val="0"/>
          <w:szCs w:val="24"/>
        </w:rPr>
        <w:t>average annual article publication growth rate was 12%</w:t>
      </w:r>
      <w:r w:rsidR="00A37C1D">
        <w:rPr>
          <w:kern w:val="0"/>
          <w:szCs w:val="24"/>
        </w:rPr>
        <w:t>. The</w:t>
      </w:r>
      <w:r w:rsidR="003A1917">
        <w:rPr>
          <w:kern w:val="0"/>
          <w:szCs w:val="24"/>
        </w:rPr>
        <w:t xml:space="preserve"> </w:t>
      </w:r>
      <w:r w:rsidRPr="001A3D2B">
        <w:rPr>
          <w:kern w:val="0"/>
          <w:szCs w:val="24"/>
        </w:rPr>
        <w:t>50 identified medical informatics MeSH terms are rarely assigned together to</w:t>
      </w:r>
      <w:r w:rsidR="003A1917">
        <w:rPr>
          <w:kern w:val="0"/>
          <w:szCs w:val="24"/>
        </w:rPr>
        <w:t xml:space="preserve"> the </w:t>
      </w:r>
      <w:r w:rsidRPr="001A3D2B">
        <w:rPr>
          <w:kern w:val="0"/>
          <w:szCs w:val="24"/>
        </w:rPr>
        <w:t>same document</w:t>
      </w:r>
      <w:r w:rsidR="005853A9">
        <w:rPr>
          <w:kern w:val="0"/>
          <w:szCs w:val="24"/>
        </w:rPr>
        <w:t xml:space="preserve"> and </w:t>
      </w:r>
      <w:r w:rsidRPr="001A3D2B">
        <w:rPr>
          <w:kern w:val="0"/>
          <w:szCs w:val="24"/>
        </w:rPr>
        <w:t>are almost exclusively paired with a non-medical informatics MeSH term, suggesting a strong interdisciplinary trend. Trends in citations, journals,</w:t>
      </w:r>
      <w:r w:rsidR="005853A9">
        <w:rPr>
          <w:kern w:val="0"/>
          <w:szCs w:val="24"/>
        </w:rPr>
        <w:t xml:space="preserve"> and </w:t>
      </w:r>
      <w:r w:rsidRPr="001A3D2B">
        <w:rPr>
          <w:kern w:val="0"/>
          <w:szCs w:val="24"/>
        </w:rPr>
        <w:t>MeSH categories</w:t>
      </w:r>
      <w:r w:rsidR="00427468">
        <w:rPr>
          <w:kern w:val="0"/>
          <w:szCs w:val="24"/>
        </w:rPr>
        <w:t xml:space="preserve"> of </w:t>
      </w:r>
      <w:r w:rsidRPr="001A3D2B">
        <w:rPr>
          <w:kern w:val="0"/>
          <w:szCs w:val="24"/>
        </w:rPr>
        <w:t>medical informatics output for</w:t>
      </w:r>
      <w:r w:rsidR="003A1917">
        <w:rPr>
          <w:kern w:val="0"/>
          <w:szCs w:val="24"/>
        </w:rPr>
        <w:t xml:space="preserve"> the </w:t>
      </w:r>
      <w:r w:rsidRPr="001A3D2B">
        <w:rPr>
          <w:kern w:val="0"/>
          <w:szCs w:val="24"/>
        </w:rPr>
        <w:t>20-year period are summarized. Average impact factor scores</w:t>
      </w:r>
      <w:r w:rsidR="005853A9">
        <w:rPr>
          <w:kern w:val="0"/>
          <w:szCs w:val="24"/>
        </w:rPr>
        <w:t xml:space="preserve"> and </w:t>
      </w:r>
      <w:r w:rsidRPr="001A3D2B">
        <w:rPr>
          <w:kern w:val="0"/>
          <w:szCs w:val="24"/>
        </w:rPr>
        <w:t>weighted average impact factor scores increased over</w:t>
      </w:r>
      <w:r w:rsidR="003A1917">
        <w:rPr>
          <w:kern w:val="0"/>
          <w:szCs w:val="24"/>
        </w:rPr>
        <w:t xml:space="preserve"> the </w:t>
      </w:r>
      <w:r w:rsidRPr="001A3D2B">
        <w:rPr>
          <w:kern w:val="0"/>
          <w:szCs w:val="24"/>
        </w:rPr>
        <w:t>20-year period with two notable growth periods. Conclusion: There is a steadily growing presence</w:t>
      </w:r>
      <w:r w:rsidR="005853A9">
        <w:rPr>
          <w:kern w:val="0"/>
          <w:szCs w:val="24"/>
        </w:rPr>
        <w:t xml:space="preserve"> and </w:t>
      </w:r>
      <w:r w:rsidRPr="001A3D2B">
        <w:rPr>
          <w:kern w:val="0"/>
          <w:szCs w:val="24"/>
        </w:rPr>
        <w:t>increasing visibility</w:t>
      </w:r>
      <w:r w:rsidR="00427468">
        <w:rPr>
          <w:kern w:val="0"/>
          <w:szCs w:val="24"/>
        </w:rPr>
        <w:t xml:space="preserve"> of </w:t>
      </w:r>
      <w:r w:rsidRPr="001A3D2B">
        <w:rPr>
          <w:kern w:val="0"/>
          <w:szCs w:val="24"/>
        </w:rPr>
        <w:t>medical informatics literature over</w:t>
      </w:r>
      <w:r w:rsidR="003A1917">
        <w:rPr>
          <w:kern w:val="0"/>
          <w:szCs w:val="24"/>
        </w:rPr>
        <w:t xml:space="preserve"> the </w:t>
      </w:r>
      <w:r w:rsidRPr="001A3D2B">
        <w:rPr>
          <w:kern w:val="0"/>
          <w:szCs w:val="24"/>
        </w:rPr>
        <w:t>years. Patterns in research output that seem to characterize</w:t>
      </w:r>
      <w:r w:rsidR="003A1917">
        <w:rPr>
          <w:kern w:val="0"/>
          <w:szCs w:val="24"/>
        </w:rPr>
        <w:t xml:space="preserve"> the </w:t>
      </w:r>
      <w:r w:rsidRPr="001A3D2B">
        <w:rPr>
          <w:kern w:val="0"/>
          <w:szCs w:val="24"/>
        </w:rPr>
        <w:t>historic trends</w:t>
      </w:r>
      <w:r w:rsidR="005853A9">
        <w:rPr>
          <w:kern w:val="0"/>
          <w:szCs w:val="24"/>
        </w:rPr>
        <w:t xml:space="preserve"> and </w:t>
      </w:r>
      <w:r w:rsidRPr="001A3D2B">
        <w:rPr>
          <w:kern w:val="0"/>
          <w:szCs w:val="24"/>
        </w:rPr>
        <w:t>current components</w:t>
      </w:r>
      <w:r w:rsidR="00427468">
        <w:rPr>
          <w:kern w:val="0"/>
          <w:szCs w:val="24"/>
        </w:rPr>
        <w:t xml:space="preserve"> of </w:t>
      </w:r>
      <w:r w:rsidR="003A1917">
        <w:rPr>
          <w:kern w:val="0"/>
          <w:szCs w:val="24"/>
        </w:rPr>
        <w:t xml:space="preserve">the </w:t>
      </w:r>
      <w:r w:rsidRPr="001A3D2B">
        <w:rPr>
          <w:kern w:val="0"/>
          <w:szCs w:val="24"/>
        </w:rPr>
        <w:t>field</w:t>
      </w:r>
      <w:r w:rsidR="00427468">
        <w:rPr>
          <w:kern w:val="0"/>
          <w:szCs w:val="24"/>
        </w:rPr>
        <w:t xml:space="preserve"> of </w:t>
      </w:r>
      <w:r w:rsidRPr="001A3D2B">
        <w:rPr>
          <w:kern w:val="0"/>
          <w:szCs w:val="24"/>
        </w:rPr>
        <w:t>medical informatics suggest it may be a maturing discipline,</w:t>
      </w:r>
      <w:r w:rsidR="005853A9">
        <w:rPr>
          <w:kern w:val="0"/>
          <w:szCs w:val="24"/>
        </w:rPr>
        <w:t xml:space="preserve"> and </w:t>
      </w:r>
      <w:r w:rsidRPr="001A3D2B">
        <w:rPr>
          <w:kern w:val="0"/>
          <w:szCs w:val="24"/>
        </w:rPr>
        <w:t>highlight specific journals in which</w:t>
      </w:r>
      <w:r w:rsidR="003A1917">
        <w:rPr>
          <w:kern w:val="0"/>
          <w:szCs w:val="24"/>
        </w:rPr>
        <w:t xml:space="preserve"> the </w:t>
      </w:r>
      <w:r w:rsidRPr="001A3D2B">
        <w:rPr>
          <w:kern w:val="0"/>
          <w:szCs w:val="24"/>
        </w:rPr>
        <w:t>medical informatics literature appears most frequently, including general medical journals as well as informatics-specific journals.</w:t>
      </w:r>
    </w:p>
    <w:p w:rsidR="005607F3" w:rsidRPr="001A3D2B" w:rsidRDefault="005607F3" w:rsidP="005607F3">
      <w:pPr>
        <w:pStyle w:val="a3"/>
        <w:rPr>
          <w:kern w:val="0"/>
          <w:szCs w:val="24"/>
        </w:rPr>
      </w:pPr>
      <w:r w:rsidRPr="001A3D2B">
        <w:rPr>
          <w:kern w:val="0"/>
          <w:szCs w:val="24"/>
        </w:rPr>
        <w:t xml:space="preserve">Keywords: Analysis, Bibliometric, Bibliometric Analysis, Characteristics, Citations, </w:t>
      </w:r>
      <w:r w:rsidRPr="001A3D2B">
        <w:rPr>
          <w:kern w:val="0"/>
          <w:szCs w:val="24"/>
        </w:rPr>
        <w:lastRenderedPageBreak/>
        <w:t>Factor Scores, Factors, Field, General, Growth, Growth Rate, Health-Care, Impact, Impact Factor, Impact Factor Scores, Impact Factors, Informatics, Interdisciplinary, Inventory, Journal, Journals, Literature, Medical, Medical Informatics, Medical Journals, Presence, Publication, Purpose, Research, Science, Scientific Literature, Systems, Term, Trend, Trend Analysis, Trends, Visibility</w:t>
      </w:r>
    </w:p>
    <w:p w:rsidR="00AE2713" w:rsidRDefault="00AE2713" w:rsidP="00AE2713">
      <w:pPr>
        <w:pStyle w:val="a3"/>
        <w:rPr>
          <w:kern w:val="0"/>
        </w:rPr>
      </w:pPr>
      <w:r>
        <w:rPr>
          <w:rFonts w:hint="eastAsia"/>
          <w:kern w:val="0"/>
        </w:rPr>
        <w:t xml:space="preserve">? </w:t>
      </w:r>
      <w:r>
        <w:rPr>
          <w:kern w:val="0"/>
        </w:rPr>
        <w:t>Spreckelsen, C., Deserno, T.M.</w:t>
      </w:r>
      <w:r w:rsidR="005853A9">
        <w:rPr>
          <w:kern w:val="0"/>
        </w:rPr>
        <w:t xml:space="preserve"> and </w:t>
      </w:r>
      <w:r>
        <w:rPr>
          <w:kern w:val="0"/>
        </w:rPr>
        <w:t>Spitzer, K. (2011), Visibility</w:t>
      </w:r>
      <w:r w:rsidR="00427468">
        <w:rPr>
          <w:kern w:val="0"/>
        </w:rPr>
        <w:t xml:space="preserve"> of </w:t>
      </w:r>
      <w:r>
        <w:rPr>
          <w:kern w:val="0"/>
        </w:rPr>
        <w:t>medical informatics regarding bibliometric indices</w:t>
      </w:r>
      <w:r w:rsidR="005853A9">
        <w:rPr>
          <w:kern w:val="0"/>
        </w:rPr>
        <w:t xml:space="preserve"> and </w:t>
      </w:r>
      <w:r>
        <w:rPr>
          <w:kern w:val="0"/>
        </w:rPr>
        <w:t xml:space="preserve">databases. </w:t>
      </w:r>
      <w:r>
        <w:rPr>
          <w:i/>
          <w:iCs/>
          <w:kern w:val="0"/>
        </w:rPr>
        <w:t>BMC Medical Informatics</w:t>
      </w:r>
      <w:r w:rsidR="005853A9">
        <w:rPr>
          <w:i/>
          <w:iCs/>
          <w:kern w:val="0"/>
        </w:rPr>
        <w:t xml:space="preserve"> and </w:t>
      </w:r>
      <w:r>
        <w:rPr>
          <w:i/>
          <w:iCs/>
          <w:kern w:val="0"/>
        </w:rPr>
        <w:t>Decision Making</w:t>
      </w:r>
      <w:r>
        <w:rPr>
          <w:kern w:val="0"/>
        </w:rPr>
        <w:t xml:space="preserve">, </w:t>
      </w:r>
      <w:r>
        <w:rPr>
          <w:b/>
          <w:bCs/>
          <w:kern w:val="0"/>
        </w:rPr>
        <w:t>11</w:t>
      </w:r>
      <w:r>
        <w:rPr>
          <w:rFonts w:hint="eastAsia"/>
          <w:kern w:val="0"/>
        </w:rPr>
        <w:t xml:space="preserve">, </w:t>
      </w:r>
      <w:r>
        <w:rPr>
          <w:kern w:val="0"/>
        </w:rPr>
        <w:t>Article Number: 24</w:t>
      </w:r>
      <w:r>
        <w:rPr>
          <w:rFonts w:hint="eastAsia"/>
          <w:kern w:val="0"/>
        </w:rPr>
        <w:t>.</w:t>
      </w:r>
    </w:p>
    <w:p w:rsidR="00AE2713" w:rsidRPr="001A3D2B" w:rsidRDefault="00AE2713" w:rsidP="00AE2713">
      <w:pPr>
        <w:pStyle w:val="a3"/>
        <w:rPr>
          <w:kern w:val="0"/>
          <w:szCs w:val="24"/>
        </w:rPr>
      </w:pPr>
      <w:r w:rsidRPr="001A3D2B">
        <w:rPr>
          <w:kern w:val="0"/>
          <w:szCs w:val="24"/>
        </w:rPr>
        <w:t xml:space="preserve">Full Text: </w:t>
      </w:r>
      <w:hyperlink r:id="rId1630" w:history="1">
        <w:r w:rsidRPr="00B00A28">
          <w:rPr>
            <w:rStyle w:val="a5"/>
            <w:kern w:val="0"/>
            <w:szCs w:val="24"/>
          </w:rPr>
          <w:t>2011\BMC Med Inf Dec Mak11, 24.pdf</w:t>
        </w:r>
      </w:hyperlink>
    </w:p>
    <w:p w:rsidR="00AE2713" w:rsidRDefault="00AE2713" w:rsidP="00AE2713">
      <w:pPr>
        <w:pStyle w:val="a3"/>
        <w:rPr>
          <w:kern w:val="0"/>
        </w:rPr>
      </w:pPr>
      <w:r>
        <w:rPr>
          <w:kern w:val="0"/>
        </w:rPr>
        <w:t>Abstract: Background:</w:t>
      </w:r>
      <w:r w:rsidR="003A1917">
        <w:rPr>
          <w:kern w:val="0"/>
        </w:rPr>
        <w:t xml:space="preserve"> the </w:t>
      </w:r>
      <w:r>
        <w:rPr>
          <w:kern w:val="0"/>
        </w:rPr>
        <w:t>quantitative study</w:t>
      </w:r>
      <w:r w:rsidR="00427468">
        <w:rPr>
          <w:kern w:val="0"/>
        </w:rPr>
        <w:t xml:space="preserve"> of </w:t>
      </w:r>
      <w:r w:rsidR="003A1917">
        <w:rPr>
          <w:kern w:val="0"/>
        </w:rPr>
        <w:t xml:space="preserve">the </w:t>
      </w:r>
      <w:r>
        <w:rPr>
          <w:kern w:val="0"/>
        </w:rPr>
        <w:t>publication output (bibliometrics) deeply influences how scientific work is perceived (bibliometric visibility). Recently, new bibliometric indices</w:t>
      </w:r>
      <w:r w:rsidR="005853A9">
        <w:rPr>
          <w:kern w:val="0"/>
        </w:rPr>
        <w:t xml:space="preserve"> and </w:t>
      </w:r>
      <w:r>
        <w:rPr>
          <w:kern w:val="0"/>
        </w:rPr>
        <w:t>databases have been established, which may change</w:t>
      </w:r>
      <w:r w:rsidR="003A1917">
        <w:rPr>
          <w:kern w:val="0"/>
        </w:rPr>
        <w:t xml:space="preserve"> the </w:t>
      </w:r>
      <w:r>
        <w:rPr>
          <w:kern w:val="0"/>
        </w:rPr>
        <w:t>visibility</w:t>
      </w:r>
      <w:r w:rsidR="00427468">
        <w:rPr>
          <w:kern w:val="0"/>
        </w:rPr>
        <w:t xml:space="preserve"> of </w:t>
      </w:r>
      <w:r>
        <w:rPr>
          <w:kern w:val="0"/>
        </w:rPr>
        <w:t>disciplines, institutions</w:t>
      </w:r>
      <w:r w:rsidR="005853A9">
        <w:rPr>
          <w:kern w:val="0"/>
        </w:rPr>
        <w:t xml:space="preserve"> and </w:t>
      </w:r>
      <w:r>
        <w:rPr>
          <w:kern w:val="0"/>
        </w:rPr>
        <w:t>individuals. This study examines</w:t>
      </w:r>
      <w:r w:rsidR="003A1917">
        <w:rPr>
          <w:kern w:val="0"/>
        </w:rPr>
        <w:t xml:space="preserve"> the </w:t>
      </w:r>
      <w:r>
        <w:rPr>
          <w:kern w:val="0"/>
        </w:rPr>
        <w:t>effects</w:t>
      </w:r>
      <w:r w:rsidR="00427468">
        <w:rPr>
          <w:kern w:val="0"/>
        </w:rPr>
        <w:t xml:space="preserve"> of </w:t>
      </w:r>
      <w:r w:rsidR="003A1917">
        <w:rPr>
          <w:kern w:val="0"/>
        </w:rPr>
        <w:t xml:space="preserve">the </w:t>
      </w:r>
      <w:r>
        <w:rPr>
          <w:kern w:val="0"/>
        </w:rPr>
        <w:t>new indices on</w:t>
      </w:r>
      <w:r w:rsidR="003A1917">
        <w:rPr>
          <w:kern w:val="0"/>
        </w:rPr>
        <w:t xml:space="preserve"> the </w:t>
      </w:r>
      <w:r>
        <w:rPr>
          <w:kern w:val="0"/>
        </w:rPr>
        <w:t>visibility</w:t>
      </w:r>
      <w:r w:rsidR="00427468">
        <w:rPr>
          <w:kern w:val="0"/>
        </w:rPr>
        <w:t xml:space="preserve"> of </w:t>
      </w:r>
      <w:r>
        <w:rPr>
          <w:kern w:val="0"/>
        </w:rPr>
        <w:t>Medical Informatics. Methods: By objective criteria, three sets</w:t>
      </w:r>
      <w:r w:rsidR="00427468">
        <w:rPr>
          <w:kern w:val="0"/>
        </w:rPr>
        <w:t xml:space="preserve"> of </w:t>
      </w:r>
      <w:r>
        <w:rPr>
          <w:kern w:val="0"/>
        </w:rPr>
        <w:t>journals are chosen, two representing Medical Informatics</w:t>
      </w:r>
      <w:r w:rsidR="005853A9">
        <w:rPr>
          <w:kern w:val="0"/>
        </w:rPr>
        <w:t xml:space="preserve"> and </w:t>
      </w:r>
      <w:r>
        <w:rPr>
          <w:kern w:val="0"/>
        </w:rPr>
        <w:t>a third addressing Internal Medicine as a benchmark</w:t>
      </w:r>
      <w:r w:rsidR="00A37C1D">
        <w:rPr>
          <w:kern w:val="0"/>
        </w:rPr>
        <w:t>. The</w:t>
      </w:r>
      <w:r w:rsidR="003A1917">
        <w:rPr>
          <w:kern w:val="0"/>
        </w:rPr>
        <w:t xml:space="preserve"> </w:t>
      </w:r>
      <w:r>
        <w:rPr>
          <w:kern w:val="0"/>
        </w:rPr>
        <w:t>availability</w:t>
      </w:r>
      <w:r w:rsidR="00427468">
        <w:rPr>
          <w:kern w:val="0"/>
        </w:rPr>
        <w:t xml:space="preserve"> of </w:t>
      </w:r>
      <w:r>
        <w:rPr>
          <w:kern w:val="0"/>
        </w:rPr>
        <w:t>index data (index coverage)</w:t>
      </w:r>
      <w:r w:rsidR="005853A9">
        <w:rPr>
          <w:kern w:val="0"/>
        </w:rPr>
        <w:t xml:space="preserve"> and </w:t>
      </w:r>
      <w:r w:rsidR="003A1917">
        <w:rPr>
          <w:kern w:val="0"/>
        </w:rPr>
        <w:t xml:space="preserve">the </w:t>
      </w:r>
      <w:r>
        <w:rPr>
          <w:kern w:val="0"/>
        </w:rPr>
        <w:t>aggregate scores</w:t>
      </w:r>
      <w:r w:rsidR="00427468">
        <w:rPr>
          <w:kern w:val="0"/>
        </w:rPr>
        <w:t xml:space="preserve"> of </w:t>
      </w:r>
      <w:r>
        <w:rPr>
          <w:kern w:val="0"/>
        </w:rPr>
        <w:t>these corpora are compared for journal-related (Journal impact factor, Eigenfactor metrics, SCImago journal rank)</w:t>
      </w:r>
      <w:r w:rsidR="005853A9">
        <w:rPr>
          <w:kern w:val="0"/>
        </w:rPr>
        <w:t xml:space="preserve"> and </w:t>
      </w:r>
      <w:r>
        <w:rPr>
          <w:kern w:val="0"/>
        </w:rPr>
        <w:t>author-related indices (Hirsc</w:t>
      </w:r>
      <w:r w:rsidR="00D5664A">
        <w:rPr>
          <w:kern w:val="0"/>
        </w:rPr>
        <w:t>h-Index</w:t>
      </w:r>
      <w:r>
        <w:rPr>
          <w:kern w:val="0"/>
        </w:rPr>
        <w:t>, Egghes G-index). Correlation analysis compares</w:t>
      </w:r>
      <w:r w:rsidR="003A1917">
        <w:rPr>
          <w:kern w:val="0"/>
        </w:rPr>
        <w:t xml:space="preserve"> the </w:t>
      </w:r>
      <w:r>
        <w:rPr>
          <w:kern w:val="0"/>
        </w:rPr>
        <w:t>dependence</w:t>
      </w:r>
      <w:r w:rsidR="00427468">
        <w:rPr>
          <w:kern w:val="0"/>
        </w:rPr>
        <w:t xml:space="preserve"> of </w:t>
      </w:r>
      <w:r>
        <w:rPr>
          <w:kern w:val="0"/>
        </w:rPr>
        <w:t>author-related indices. Results:</w:t>
      </w:r>
      <w:r w:rsidR="003A1917">
        <w:rPr>
          <w:kern w:val="0"/>
        </w:rPr>
        <w:t xml:space="preserve"> the </w:t>
      </w:r>
      <w:r>
        <w:rPr>
          <w:kern w:val="0"/>
        </w:rPr>
        <w:t>bibliometric visibility depended on</w:t>
      </w:r>
      <w:r w:rsidR="003A1917">
        <w:rPr>
          <w:kern w:val="0"/>
        </w:rPr>
        <w:t xml:space="preserve"> the </w:t>
      </w:r>
      <w:r>
        <w:rPr>
          <w:kern w:val="0"/>
        </w:rPr>
        <w:t>research focus</w:t>
      </w:r>
      <w:r w:rsidR="005853A9">
        <w:rPr>
          <w:kern w:val="0"/>
        </w:rPr>
        <w:t xml:space="preserve"> and </w:t>
      </w:r>
      <w:r w:rsidR="003A1917">
        <w:rPr>
          <w:kern w:val="0"/>
        </w:rPr>
        <w:t xml:space="preserve">the </w:t>
      </w:r>
      <w:r>
        <w:rPr>
          <w:kern w:val="0"/>
        </w:rPr>
        <w:t>citation database: Scopus covers more journals relevant for Medical Informatics than ISI/Thomson Reuters. Journals focused on Medical Informatics</w:t>
      </w:r>
      <w:r w:rsidR="00700038">
        <w:rPr>
          <w:kern w:val="0"/>
        </w:rPr>
        <w:t>’</w:t>
      </w:r>
      <w:r>
        <w:rPr>
          <w:kern w:val="0"/>
        </w:rPr>
        <w:t xml:space="preserve"> methodology were negatively affected by</w:t>
      </w:r>
      <w:r w:rsidR="003A1917">
        <w:rPr>
          <w:kern w:val="0"/>
        </w:rPr>
        <w:t xml:space="preserve"> the </w:t>
      </w:r>
      <w:r>
        <w:rPr>
          <w:kern w:val="0"/>
        </w:rPr>
        <w:t>Eigenfactor metrics, while</w:t>
      </w:r>
      <w:r w:rsidR="003A1917">
        <w:rPr>
          <w:kern w:val="0"/>
        </w:rPr>
        <w:t xml:space="preserve"> the </w:t>
      </w:r>
      <w:r>
        <w:rPr>
          <w:kern w:val="0"/>
        </w:rPr>
        <w:t>visibility profited from an interdisciplinary research focus</w:t>
      </w:r>
      <w:r w:rsidR="00A37C1D">
        <w:rPr>
          <w:kern w:val="0"/>
        </w:rPr>
        <w:t>. The</w:t>
      </w:r>
      <w:r w:rsidR="003A1917">
        <w:rPr>
          <w:kern w:val="0"/>
        </w:rPr>
        <w:t xml:space="preserve"> </w:t>
      </w:r>
      <w:r>
        <w:rPr>
          <w:kern w:val="0"/>
        </w:rPr>
        <w:t>correlation between Hirsch-indices computed on citation databases</w:t>
      </w:r>
      <w:r w:rsidR="005853A9">
        <w:rPr>
          <w:kern w:val="0"/>
        </w:rPr>
        <w:t xml:space="preserve"> and </w:t>
      </w:r>
      <w:r w:rsidR="003A1917">
        <w:rPr>
          <w:kern w:val="0"/>
        </w:rPr>
        <w:t xml:space="preserve">the </w:t>
      </w:r>
      <w:r>
        <w:rPr>
          <w:kern w:val="0"/>
        </w:rPr>
        <w:t>Internet was strong. Conclusions:</w:t>
      </w:r>
      <w:r w:rsidR="003A1917">
        <w:rPr>
          <w:kern w:val="0"/>
        </w:rPr>
        <w:t xml:space="preserve"> the </w:t>
      </w:r>
      <w:r>
        <w:rPr>
          <w:kern w:val="0"/>
        </w:rPr>
        <w:t>visibility</w:t>
      </w:r>
      <w:r w:rsidR="00427468">
        <w:rPr>
          <w:kern w:val="0"/>
        </w:rPr>
        <w:t xml:space="preserve"> of </w:t>
      </w:r>
      <w:r>
        <w:rPr>
          <w:kern w:val="0"/>
        </w:rPr>
        <w:t>smaller technology-oriented disciplines like Medical Informatics is changed by</w:t>
      </w:r>
      <w:r w:rsidR="003A1917">
        <w:rPr>
          <w:kern w:val="0"/>
        </w:rPr>
        <w:t xml:space="preserve"> the </w:t>
      </w:r>
      <w:r>
        <w:rPr>
          <w:kern w:val="0"/>
        </w:rPr>
        <w:t>new bibliometric indices</w:t>
      </w:r>
      <w:r w:rsidR="005853A9">
        <w:rPr>
          <w:kern w:val="0"/>
        </w:rPr>
        <w:t xml:space="preserve"> and </w:t>
      </w:r>
      <w:r>
        <w:rPr>
          <w:kern w:val="0"/>
        </w:rPr>
        <w:t>databases possibly leading to suitably changed publication strategies. Freely accessible author-related indices enable an easy</w:t>
      </w:r>
      <w:r w:rsidR="005853A9">
        <w:rPr>
          <w:kern w:val="0"/>
        </w:rPr>
        <w:t xml:space="preserve"> and </w:t>
      </w:r>
      <w:r>
        <w:rPr>
          <w:kern w:val="0"/>
        </w:rPr>
        <w:t>adequate individual assessment.</w:t>
      </w:r>
    </w:p>
    <w:p w:rsidR="00AE2713" w:rsidRDefault="00AE2713" w:rsidP="00AE2713">
      <w:pPr>
        <w:pStyle w:val="a3"/>
        <w:rPr>
          <w:kern w:val="0"/>
        </w:rPr>
      </w:pPr>
      <w:r>
        <w:rPr>
          <w:kern w:val="0"/>
        </w:rPr>
        <w:t>Keywords: Assessment, Bibliometric, Bibliometric Indices, Bibliometrics, Citation, Citation Analysis, Correlation, Databases, Hirsc</w:t>
      </w:r>
      <w:r w:rsidR="00D5664A">
        <w:rPr>
          <w:kern w:val="0"/>
        </w:rPr>
        <w:t>h Index</w:t>
      </w:r>
      <w:r>
        <w:rPr>
          <w:kern w:val="0"/>
        </w:rPr>
        <w:t>, Impact Factor, Journal, Journal Impact, Journal Impact Factor, Journals, Medical, Methodology, Metrics, Principles, Publication, Research, Scimago, Scopus, Visibility, Web Sites</w:t>
      </w:r>
    </w:p>
    <w:p w:rsidR="00CF2DAE" w:rsidRDefault="00CF2DAE" w:rsidP="00CF2DAE">
      <w:pPr>
        <w:pStyle w:val="a3"/>
      </w:pPr>
      <w:r>
        <w:rPr>
          <w:rFonts w:hint="eastAsia"/>
          <w:kern w:val="0"/>
          <w:szCs w:val="24"/>
        </w:rPr>
        <w:t>? Jean-Fran</w:t>
      </w:r>
      <w:r>
        <w:rPr>
          <w:kern w:val="0"/>
          <w:szCs w:val="24"/>
        </w:rPr>
        <w:t>ç</w:t>
      </w:r>
      <w:r>
        <w:rPr>
          <w:rFonts w:hint="eastAsia"/>
          <w:kern w:val="0"/>
          <w:szCs w:val="24"/>
        </w:rPr>
        <w:t>ois, G., Laetitia, R.</w:t>
      </w:r>
      <w:r w:rsidR="005853A9">
        <w:rPr>
          <w:rFonts w:hint="eastAsia"/>
          <w:kern w:val="0"/>
          <w:szCs w:val="24"/>
        </w:rPr>
        <w:t xml:space="preserve"> and </w:t>
      </w:r>
      <w:r>
        <w:rPr>
          <w:rFonts w:hint="eastAsia"/>
          <w:kern w:val="0"/>
          <w:szCs w:val="24"/>
        </w:rPr>
        <w:t>Stefan, D. (2013), Is the coverage</w:t>
      </w:r>
      <w:r w:rsidR="00427468">
        <w:rPr>
          <w:rFonts w:hint="eastAsia"/>
          <w:kern w:val="0"/>
          <w:szCs w:val="24"/>
        </w:rPr>
        <w:t xml:space="preserve"> of </w:t>
      </w:r>
      <w:r>
        <w:rPr>
          <w:rFonts w:hint="eastAsia"/>
          <w:kern w:val="0"/>
          <w:szCs w:val="24"/>
        </w:rPr>
        <w:t xml:space="preserve">google scholar enough to be used alone for systematic reviews. </w:t>
      </w:r>
      <w:r>
        <w:rPr>
          <w:rFonts w:hint="eastAsia"/>
          <w:i/>
          <w:iCs/>
          <w:kern w:val="0"/>
          <w:szCs w:val="24"/>
        </w:rPr>
        <w:t>BMC Medical Informatics</w:t>
      </w:r>
      <w:r w:rsidR="005853A9">
        <w:rPr>
          <w:rFonts w:hint="eastAsia"/>
          <w:i/>
          <w:iCs/>
          <w:kern w:val="0"/>
          <w:szCs w:val="24"/>
        </w:rPr>
        <w:t xml:space="preserve"> and </w:t>
      </w:r>
      <w:r>
        <w:rPr>
          <w:rFonts w:hint="eastAsia"/>
          <w:i/>
          <w:iCs/>
          <w:kern w:val="0"/>
          <w:szCs w:val="24"/>
        </w:rPr>
        <w:t>Decision Making</w:t>
      </w:r>
      <w:r>
        <w:rPr>
          <w:rFonts w:hint="eastAsia"/>
          <w:kern w:val="0"/>
          <w:szCs w:val="24"/>
        </w:rPr>
        <w:t xml:space="preserve">, </w:t>
      </w:r>
      <w:r>
        <w:rPr>
          <w:rFonts w:hint="eastAsia"/>
          <w:b/>
          <w:bCs/>
          <w:kern w:val="0"/>
          <w:szCs w:val="24"/>
        </w:rPr>
        <w:t>13</w:t>
      </w:r>
      <w:r>
        <w:rPr>
          <w:rFonts w:hint="eastAsia"/>
          <w:kern w:val="0"/>
        </w:rPr>
        <w:t>, Article Number: 7.</w:t>
      </w:r>
    </w:p>
    <w:p w:rsidR="00CF2DAE" w:rsidRDefault="00CF2DAE" w:rsidP="00CF2DAE">
      <w:pPr>
        <w:pStyle w:val="a3"/>
        <w:rPr>
          <w:kern w:val="0"/>
        </w:rPr>
      </w:pPr>
      <w:r>
        <w:rPr>
          <w:rFonts w:hint="eastAsia"/>
        </w:rPr>
        <w:t xml:space="preserve">Full Text: </w:t>
      </w:r>
      <w:hyperlink r:id="rId1631" w:history="1">
        <w:r w:rsidRPr="005623C1">
          <w:rPr>
            <w:rStyle w:val="a5"/>
          </w:rPr>
          <w:t>2013\BMC Med Inf Dec Mak13, 7.pdf</w:t>
        </w:r>
      </w:hyperlink>
    </w:p>
    <w:p w:rsidR="00CF2DAE" w:rsidRDefault="00CF2DAE" w:rsidP="00CF2DAE">
      <w:pPr>
        <w:pStyle w:val="a3"/>
        <w:rPr>
          <w:kern w:val="0"/>
          <w:szCs w:val="24"/>
        </w:rPr>
      </w:pPr>
      <w:r>
        <w:rPr>
          <w:rFonts w:hint="eastAsia"/>
          <w:kern w:val="0"/>
          <w:szCs w:val="24"/>
        </w:rPr>
        <w:t>Abstract: Background: In searches for clinical trials</w:t>
      </w:r>
      <w:r w:rsidR="005853A9">
        <w:rPr>
          <w:rFonts w:hint="eastAsia"/>
          <w:kern w:val="0"/>
          <w:szCs w:val="24"/>
        </w:rPr>
        <w:t xml:space="preserve"> and </w:t>
      </w:r>
      <w:r>
        <w:rPr>
          <w:rFonts w:hint="eastAsia"/>
          <w:kern w:val="0"/>
          <w:szCs w:val="24"/>
        </w:rPr>
        <w:t xml:space="preserve">systematic reviews, it is said that Google Scholar (GS) should never be used in isolation, but in addition to </w:t>
      </w:r>
      <w:r>
        <w:rPr>
          <w:rFonts w:hint="eastAsia"/>
          <w:kern w:val="0"/>
          <w:szCs w:val="24"/>
        </w:rPr>
        <w:lastRenderedPageBreak/>
        <w:t>PubMed, Cochrane,</w:t>
      </w:r>
      <w:r w:rsidR="005853A9">
        <w:rPr>
          <w:rFonts w:hint="eastAsia"/>
          <w:kern w:val="0"/>
          <w:szCs w:val="24"/>
        </w:rPr>
        <w:t xml:space="preserve"> and </w:t>
      </w:r>
      <w:r>
        <w:rPr>
          <w:rFonts w:hint="eastAsia"/>
          <w:kern w:val="0"/>
          <w:szCs w:val="24"/>
        </w:rPr>
        <w:t>other trusted sources</w:t>
      </w:r>
      <w:r w:rsidR="00427468">
        <w:rPr>
          <w:rFonts w:hint="eastAsia"/>
          <w:kern w:val="0"/>
          <w:szCs w:val="24"/>
        </w:rPr>
        <w:t xml:space="preserve"> of </w:t>
      </w:r>
      <w:r>
        <w:rPr>
          <w:rFonts w:hint="eastAsia"/>
          <w:kern w:val="0"/>
          <w:szCs w:val="24"/>
        </w:rPr>
        <w:t>information. We therefore performed a study to assess the coverage</w:t>
      </w:r>
      <w:r w:rsidR="00427468">
        <w:rPr>
          <w:rFonts w:hint="eastAsia"/>
          <w:kern w:val="0"/>
          <w:szCs w:val="24"/>
        </w:rPr>
        <w:t xml:space="preserve"> of </w:t>
      </w:r>
      <w:r>
        <w:rPr>
          <w:rFonts w:hint="eastAsia"/>
          <w:kern w:val="0"/>
          <w:szCs w:val="24"/>
        </w:rPr>
        <w:t>GS specifically for the studies included in systematic reviews</w:t>
      </w:r>
      <w:r w:rsidR="005853A9">
        <w:rPr>
          <w:rFonts w:hint="eastAsia"/>
          <w:kern w:val="0"/>
          <w:szCs w:val="24"/>
        </w:rPr>
        <w:t xml:space="preserve"> and </w:t>
      </w:r>
      <w:r>
        <w:rPr>
          <w:rFonts w:hint="eastAsia"/>
          <w:kern w:val="0"/>
          <w:szCs w:val="24"/>
        </w:rPr>
        <w:t>evaluate if GS was sensitive enough to be used alone for systematic reviews. Methods: All the original studies included in 29 systematic reviews published in the Cochrane Database Syst Rev or in the JAMA in 2009 were gathered in a gold standard database. GS was searched for all these studies one by one to assess the percentage</w:t>
      </w:r>
      <w:r w:rsidR="00427468">
        <w:rPr>
          <w:rFonts w:hint="eastAsia"/>
          <w:kern w:val="0"/>
          <w:szCs w:val="24"/>
        </w:rPr>
        <w:t xml:space="preserve"> of </w:t>
      </w:r>
      <w:r>
        <w:rPr>
          <w:rFonts w:hint="eastAsia"/>
          <w:kern w:val="0"/>
          <w:szCs w:val="24"/>
        </w:rPr>
        <w:t>studies which could have been identified by searching only GS. Results: All the 738 original studies included in the gold standard database were retrieved in GS (100%). Conclusion: The coverage</w:t>
      </w:r>
      <w:r w:rsidR="00427468">
        <w:rPr>
          <w:rFonts w:hint="eastAsia"/>
          <w:kern w:val="0"/>
          <w:szCs w:val="24"/>
        </w:rPr>
        <w:t xml:space="preserve"> of </w:t>
      </w:r>
      <w:r>
        <w:rPr>
          <w:rFonts w:hint="eastAsia"/>
          <w:kern w:val="0"/>
          <w:szCs w:val="24"/>
        </w:rPr>
        <w:t>GS for the studies included in the systematic reviews is 100%. If the authors</w:t>
      </w:r>
      <w:r w:rsidR="00427468">
        <w:rPr>
          <w:rFonts w:hint="eastAsia"/>
          <w:kern w:val="0"/>
          <w:szCs w:val="24"/>
        </w:rPr>
        <w:t xml:space="preserve"> of </w:t>
      </w:r>
      <w:r>
        <w:rPr>
          <w:rFonts w:hint="eastAsia"/>
          <w:kern w:val="0"/>
          <w:szCs w:val="24"/>
        </w:rPr>
        <w:t>the 29 systematic reviews had used only GS, no reference would have been missed. With some improvement in the research options, to increase its precision, GS could become the leading bibliographic database in medicine</w:t>
      </w:r>
      <w:r w:rsidR="005853A9">
        <w:rPr>
          <w:rFonts w:hint="eastAsia"/>
          <w:kern w:val="0"/>
          <w:szCs w:val="24"/>
        </w:rPr>
        <w:t xml:space="preserve"> and </w:t>
      </w:r>
      <w:r>
        <w:rPr>
          <w:rFonts w:hint="eastAsia"/>
          <w:kern w:val="0"/>
          <w:szCs w:val="24"/>
        </w:rPr>
        <w:t>could be used alone for systematic reviews.</w:t>
      </w:r>
    </w:p>
    <w:p w:rsidR="00CF2DAE" w:rsidRDefault="00CF2DAE" w:rsidP="00CF2DAE">
      <w:pPr>
        <w:pStyle w:val="a3"/>
        <w:rPr>
          <w:kern w:val="0"/>
          <w:szCs w:val="24"/>
        </w:rPr>
      </w:pPr>
      <w:r>
        <w:rPr>
          <w:rFonts w:hint="eastAsia"/>
          <w:kern w:val="0"/>
          <w:szCs w:val="24"/>
        </w:rPr>
        <w:t xml:space="preserve">Keywords: Articles, Authors, Bibliographic, Bibliographic Databases, Bibliometrics, Clinical, Clinical Trials, Coverage, Database, Embase, Gold, Google, Google Scholar, Gs, Improvement, Information, Information Retrieval Methods, Information-Retrieval, Literature Searches, Medical Literature, Medicine, </w:t>
      </w:r>
      <w:r w:rsidR="00D5664A">
        <w:rPr>
          <w:rFonts w:hint="eastAsia"/>
          <w:kern w:val="0"/>
          <w:szCs w:val="24"/>
        </w:rPr>
        <w:t>MEDLINE</w:t>
      </w:r>
      <w:r>
        <w:rPr>
          <w:rFonts w:hint="eastAsia"/>
          <w:kern w:val="0"/>
          <w:szCs w:val="24"/>
        </w:rPr>
        <w:t>, Options, Precision, Pubmed, Randomized Controlled-Trials, Reference, Research, Reviews, Sources, Sources</w:t>
      </w:r>
      <w:r w:rsidR="00427468">
        <w:rPr>
          <w:rFonts w:hint="eastAsia"/>
          <w:kern w:val="0"/>
          <w:szCs w:val="24"/>
        </w:rPr>
        <w:t xml:space="preserve"> of </w:t>
      </w:r>
      <w:r>
        <w:rPr>
          <w:rFonts w:hint="eastAsia"/>
          <w:kern w:val="0"/>
          <w:szCs w:val="24"/>
        </w:rPr>
        <w:t>Information, Standard, Systematic Reviews</w:t>
      </w:r>
    </w:p>
    <w:p w:rsidR="00F04826" w:rsidRDefault="00F04826" w:rsidP="00F04826">
      <w:pPr>
        <w:pStyle w:val="a3"/>
      </w:pPr>
      <w:r>
        <w:rPr>
          <w:rFonts w:hint="eastAsia"/>
          <w:kern w:val="0"/>
        </w:rPr>
        <w:t xml:space="preserve">? </w:t>
      </w:r>
      <w:r>
        <w:rPr>
          <w:kern w:val="0"/>
        </w:rPr>
        <w:t>Zhang, C.C., Yu, Q., Fan, Q.H.</w:t>
      </w:r>
      <w:r w:rsidR="005853A9">
        <w:rPr>
          <w:kern w:val="0"/>
        </w:rPr>
        <w:t xml:space="preserve"> and </w:t>
      </w:r>
      <w:r>
        <w:rPr>
          <w:kern w:val="0"/>
        </w:rPr>
        <w:t xml:space="preserve">Duan, Z.G. (2013), Research collaboration in health management research communities. </w:t>
      </w:r>
      <w:r>
        <w:rPr>
          <w:i/>
          <w:iCs/>
          <w:kern w:val="0"/>
        </w:rPr>
        <w:t>BMC Medical Informatics</w:t>
      </w:r>
      <w:r w:rsidR="005853A9">
        <w:rPr>
          <w:i/>
          <w:iCs/>
          <w:kern w:val="0"/>
        </w:rPr>
        <w:t xml:space="preserve"> and </w:t>
      </w:r>
      <w:r>
        <w:rPr>
          <w:i/>
          <w:iCs/>
          <w:kern w:val="0"/>
        </w:rPr>
        <w:t>Decision Making</w:t>
      </w:r>
      <w:r>
        <w:rPr>
          <w:kern w:val="0"/>
        </w:rPr>
        <w:t xml:space="preserve">, </w:t>
      </w:r>
      <w:r>
        <w:rPr>
          <w:b/>
          <w:bCs/>
          <w:kern w:val="0"/>
        </w:rPr>
        <w:t>13</w:t>
      </w:r>
      <w:r>
        <w:rPr>
          <w:rFonts w:hint="eastAsia"/>
          <w:kern w:val="0"/>
        </w:rPr>
        <w:t>, Article Number: 52.</w:t>
      </w:r>
    </w:p>
    <w:p w:rsidR="00F04826" w:rsidRDefault="00F04826" w:rsidP="00F04826">
      <w:pPr>
        <w:pStyle w:val="a3"/>
        <w:jc w:val="left"/>
        <w:rPr>
          <w:kern w:val="0"/>
        </w:rPr>
      </w:pPr>
      <w:r>
        <w:rPr>
          <w:rFonts w:hint="eastAsia"/>
        </w:rPr>
        <w:t xml:space="preserve">Full Text: </w:t>
      </w:r>
      <w:hyperlink r:id="rId1632" w:history="1">
        <w:r w:rsidRPr="00A24197">
          <w:rPr>
            <w:rStyle w:val="a5"/>
          </w:rPr>
          <w:t>2013\BMC Med Inf Dec Mak13, 52.pdf</w:t>
        </w:r>
      </w:hyperlink>
    </w:p>
    <w:p w:rsidR="00F04826" w:rsidRDefault="00F04826" w:rsidP="00F04826">
      <w:pPr>
        <w:pStyle w:val="a3"/>
        <w:rPr>
          <w:kern w:val="0"/>
        </w:rPr>
      </w:pPr>
      <w:r>
        <w:rPr>
          <w:kern w:val="0"/>
        </w:rPr>
        <w:t>Abstract: Background: This study uses scientometrics methodology to reveal the status quo</w:t>
      </w:r>
      <w:r w:rsidR="005853A9">
        <w:rPr>
          <w:kern w:val="0"/>
        </w:rPr>
        <w:t xml:space="preserve"> and </w:t>
      </w:r>
      <w:r>
        <w:rPr>
          <w:kern w:val="0"/>
        </w:rPr>
        <w:t>emerging issues</w:t>
      </w:r>
      <w:r w:rsidR="00427468">
        <w:rPr>
          <w:kern w:val="0"/>
        </w:rPr>
        <w:t xml:space="preserve"> of </w:t>
      </w:r>
      <w:r>
        <w:rPr>
          <w:kern w:val="0"/>
        </w:rPr>
        <w:t>collaboration in health management. Methods: We searched all the articles with the keyword “health management” in the period 1999-2011 in Web</w:t>
      </w:r>
      <w:r w:rsidR="00427468">
        <w:rPr>
          <w:kern w:val="0"/>
        </w:rPr>
        <w:t xml:space="preserve"> of </w:t>
      </w:r>
      <w:r>
        <w:rPr>
          <w:kern w:val="0"/>
        </w:rPr>
        <w:t>Knowledge, then 3067 articles were found. Methods such as Social network analysis (SNA), co-authorship, co-word analysis were used in this study. Results: Analysis</w:t>
      </w:r>
      <w:r w:rsidR="00427468">
        <w:rPr>
          <w:kern w:val="0"/>
        </w:rPr>
        <w:t xml:space="preserve"> of </w:t>
      </w:r>
      <w:r>
        <w:rPr>
          <w:kern w:val="0"/>
        </w:rPr>
        <w:t>the past 13 years</w:t>
      </w:r>
      <w:r w:rsidR="00427468">
        <w:rPr>
          <w:kern w:val="0"/>
        </w:rPr>
        <w:t xml:space="preserve"> of </w:t>
      </w:r>
      <w:r>
        <w:rPr>
          <w:kern w:val="0"/>
        </w:rPr>
        <w:t>research in the field</w:t>
      </w:r>
      <w:r w:rsidR="00427468">
        <w:rPr>
          <w:kern w:val="0"/>
        </w:rPr>
        <w:t xml:space="preserve"> of </w:t>
      </w:r>
      <w:r>
        <w:rPr>
          <w:kern w:val="0"/>
        </w:rPr>
        <w:t>health management indicates that, whether the production</w:t>
      </w:r>
      <w:r w:rsidR="00427468">
        <w:rPr>
          <w:kern w:val="0"/>
        </w:rPr>
        <w:t xml:space="preserve"> of </w:t>
      </w:r>
      <w:r>
        <w:rPr>
          <w:kern w:val="0"/>
        </w:rPr>
        <w:t>scientific research, or authors, institutions</w:t>
      </w:r>
      <w:r w:rsidR="005853A9">
        <w:rPr>
          <w:kern w:val="0"/>
        </w:rPr>
        <w:t xml:space="preserve"> and </w:t>
      </w:r>
      <w:r>
        <w:rPr>
          <w:kern w:val="0"/>
        </w:rPr>
        <w:t>scientific research collaboration at the national level, collaboration behavior has been growing steadily across all collaboration types. However, the international scientific research cooperation about health management study between countries needs to be further encouraged. 17 researchers can be seen as the academic leaders in this field. 37 research institutions play a vital role in the information dissemination</w:t>
      </w:r>
      <w:r w:rsidR="005853A9">
        <w:rPr>
          <w:kern w:val="0"/>
        </w:rPr>
        <w:t xml:space="preserve"> and </w:t>
      </w:r>
      <w:r>
        <w:rPr>
          <w:kern w:val="0"/>
        </w:rPr>
        <w:t>resources control in health management</w:t>
      </w:r>
      <w:r w:rsidR="00A37C1D">
        <w:rPr>
          <w:kern w:val="0"/>
        </w:rPr>
        <w:t>. The</w:t>
      </w:r>
      <w:r>
        <w:rPr>
          <w:kern w:val="0"/>
        </w:rPr>
        <w:t xml:space="preserve"> component analysis found that 22 research groups can be regarded as the backbone in this field</w:t>
      </w:r>
      <w:r w:rsidR="00A37C1D">
        <w:rPr>
          <w:kern w:val="0"/>
        </w:rPr>
        <w:t>. The</w:t>
      </w:r>
      <w:r>
        <w:rPr>
          <w:kern w:val="0"/>
        </w:rPr>
        <w:t xml:space="preserve"> 8 institution groups consisting</w:t>
      </w:r>
      <w:r w:rsidR="00427468">
        <w:rPr>
          <w:kern w:val="0"/>
        </w:rPr>
        <w:t xml:space="preserve"> of </w:t>
      </w:r>
      <w:r>
        <w:rPr>
          <w:kern w:val="0"/>
        </w:rPr>
        <w:t>33 institutions form the core</w:t>
      </w:r>
      <w:r w:rsidR="00427468">
        <w:rPr>
          <w:kern w:val="0"/>
        </w:rPr>
        <w:t xml:space="preserve"> of </w:t>
      </w:r>
      <w:r>
        <w:rPr>
          <w:kern w:val="0"/>
        </w:rPr>
        <w:t xml:space="preserve">this field. </w:t>
      </w:r>
      <w:r w:rsidR="00D5664A">
        <w:rPr>
          <w:kern w:val="0"/>
        </w:rPr>
        <w:t>USA</w:t>
      </w:r>
      <w:r>
        <w:rPr>
          <w:kern w:val="0"/>
        </w:rPr>
        <w:t>, UK</w:t>
      </w:r>
      <w:r w:rsidR="005853A9">
        <w:rPr>
          <w:kern w:val="0"/>
        </w:rPr>
        <w:t xml:space="preserve"> </w:t>
      </w:r>
      <w:r w:rsidR="005853A9">
        <w:rPr>
          <w:kern w:val="0"/>
        </w:rPr>
        <w:lastRenderedPageBreak/>
        <w:t xml:space="preserve">and </w:t>
      </w:r>
      <w:r>
        <w:rPr>
          <w:kern w:val="0"/>
        </w:rPr>
        <w:t>Australia lie in the center by cohesive subgroup analysis; Based on keywords analysis, 44 keywords with high frequency such as care, disease, system</w:t>
      </w:r>
      <w:r w:rsidR="005853A9">
        <w:rPr>
          <w:kern w:val="0"/>
        </w:rPr>
        <w:t xml:space="preserve"> and </w:t>
      </w:r>
      <w:r>
        <w:rPr>
          <w:kern w:val="0"/>
        </w:rPr>
        <w:t>model were involved in the health management field. Conclusions: This study demonstrates that although it is growing steadily, collaboration behavior about health management study needs to be enhanced, especially between different institutions or countries/regions, which would promote the progress</w:t>
      </w:r>
      <w:r w:rsidR="005853A9">
        <w:rPr>
          <w:kern w:val="0"/>
        </w:rPr>
        <w:t xml:space="preserve"> and </w:t>
      </w:r>
      <w:r>
        <w:rPr>
          <w:kern w:val="0"/>
        </w:rPr>
        <w:t>internationalization</w:t>
      </w:r>
      <w:r w:rsidR="00427468">
        <w:rPr>
          <w:kern w:val="0"/>
        </w:rPr>
        <w:t xml:space="preserve"> of </w:t>
      </w:r>
      <w:r>
        <w:rPr>
          <w:kern w:val="0"/>
        </w:rPr>
        <w:t>health management. Besides, researchers should pay attention to the cooperation</w:t>
      </w:r>
      <w:r w:rsidR="00427468">
        <w:rPr>
          <w:kern w:val="0"/>
        </w:rPr>
        <w:t xml:space="preserve"> of </w:t>
      </w:r>
      <w:r>
        <w:rPr>
          <w:kern w:val="0"/>
        </w:rPr>
        <w:t>representative scholars</w:t>
      </w:r>
      <w:r w:rsidR="005853A9">
        <w:rPr>
          <w:kern w:val="0"/>
        </w:rPr>
        <w:t xml:space="preserve"> and </w:t>
      </w:r>
      <w:r>
        <w:rPr>
          <w:kern w:val="0"/>
        </w:rPr>
        <w:t>institutions, as well as the hot areas</w:t>
      </w:r>
      <w:r w:rsidR="00427468">
        <w:rPr>
          <w:kern w:val="0"/>
        </w:rPr>
        <w:t xml:space="preserve"> of </w:t>
      </w:r>
      <w:r>
        <w:rPr>
          <w:kern w:val="0"/>
        </w:rPr>
        <w:t>research, because their experience would help us promote the research development</w:t>
      </w:r>
      <w:r w:rsidR="00427468">
        <w:rPr>
          <w:kern w:val="0"/>
        </w:rPr>
        <w:t xml:space="preserve"> of </w:t>
      </w:r>
      <w:r>
        <w:rPr>
          <w:kern w:val="0"/>
        </w:rPr>
        <w:t>our nation.</w:t>
      </w:r>
    </w:p>
    <w:p w:rsidR="00F04826" w:rsidRDefault="00F04826" w:rsidP="00F04826">
      <w:pPr>
        <w:pStyle w:val="a3"/>
        <w:rPr>
          <w:kern w:val="0"/>
        </w:rPr>
      </w:pPr>
      <w:r>
        <w:rPr>
          <w:kern w:val="0"/>
        </w:rPr>
        <w:t>Keywords: Analysis, Australia, Authors, Behavior, Care, Co-Authorship, Co-Authorship, Co-Word, Co-Word Analysis, Coauthorship, Collaboration, Control, Cooperation, Development, Disease, Emerging Issues, Experience, Field, Groups, Health, Health Management, Information, Information Dissemination, Institutions, International, International Scientific Collaboration, Internationalization, Keywords Analysis, Knowledge, Management, Methodology, Methods, Model, Needs, Network, Network, Network Analysis, Patterns, Progress, Publications, Research, Research Collaboration, Research Institutions, Resources, Results, Role, Sciences, Scientific Research, Scientometrics, Social Network, Social Network Analysis</w:t>
      </w:r>
      <w:r w:rsidR="00D5664A">
        <w:rPr>
          <w:kern w:val="0"/>
        </w:rPr>
        <w:t>, UK,</w:t>
      </w:r>
      <w:r>
        <w:rPr>
          <w:kern w:val="0"/>
        </w:rPr>
        <w:t xml:space="preserve"> </w:t>
      </w:r>
      <w:r w:rsidR="00D5664A">
        <w:rPr>
          <w:kern w:val="0"/>
        </w:rPr>
        <w:t>USA</w:t>
      </w:r>
      <w:r>
        <w:rPr>
          <w:kern w:val="0"/>
        </w:rPr>
        <w:t>, Visualization, Web</w:t>
      </w:r>
      <w:r w:rsidR="00427468">
        <w:rPr>
          <w:kern w:val="0"/>
        </w:rPr>
        <w:t xml:space="preserve"> of </w:t>
      </w:r>
      <w:r>
        <w:rPr>
          <w:kern w:val="0"/>
        </w:rPr>
        <w:t>Knowledge</w:t>
      </w:r>
    </w:p>
    <w:p w:rsidR="00E8697C" w:rsidRDefault="00E8697C" w:rsidP="00E8697C">
      <w:pPr>
        <w:pStyle w:val="a3"/>
      </w:pPr>
      <w:r>
        <w:rPr>
          <w:rFonts w:hint="eastAsia"/>
          <w:kern w:val="0"/>
        </w:rPr>
        <w:t xml:space="preserve">? </w:t>
      </w:r>
      <w:r>
        <w:rPr>
          <w:kern w:val="0"/>
        </w:rPr>
        <w:t>Yao, Q., Lyu, P.H., Ma, F.C., Yao, L.</w:t>
      </w:r>
      <w:r w:rsidR="005853A9">
        <w:rPr>
          <w:kern w:val="0"/>
        </w:rPr>
        <w:t xml:space="preserve"> and </w:t>
      </w:r>
      <w:r>
        <w:rPr>
          <w:kern w:val="0"/>
        </w:rPr>
        <w:t xml:space="preserve">Zhang, S.J. (2013), Global informetric perspective studies on translational medical research. </w:t>
      </w:r>
      <w:r>
        <w:rPr>
          <w:i/>
          <w:iCs/>
          <w:kern w:val="0"/>
        </w:rPr>
        <w:t>BMC Medical Informatics</w:t>
      </w:r>
      <w:r w:rsidR="005853A9">
        <w:rPr>
          <w:i/>
          <w:iCs/>
          <w:kern w:val="0"/>
        </w:rPr>
        <w:t xml:space="preserve"> and </w:t>
      </w:r>
      <w:r>
        <w:rPr>
          <w:i/>
          <w:iCs/>
          <w:kern w:val="0"/>
        </w:rPr>
        <w:t>Decision Making</w:t>
      </w:r>
      <w:r>
        <w:rPr>
          <w:kern w:val="0"/>
        </w:rPr>
        <w:t xml:space="preserve">, </w:t>
      </w:r>
      <w:r>
        <w:rPr>
          <w:b/>
          <w:bCs/>
          <w:kern w:val="0"/>
        </w:rPr>
        <w:t>13</w:t>
      </w:r>
      <w:r>
        <w:rPr>
          <w:rFonts w:hint="eastAsia"/>
          <w:kern w:val="0"/>
        </w:rPr>
        <w:t>, Article Number: 77.</w:t>
      </w:r>
    </w:p>
    <w:p w:rsidR="00E8697C" w:rsidRDefault="00E8697C" w:rsidP="00E8697C">
      <w:pPr>
        <w:pStyle w:val="a3"/>
        <w:jc w:val="left"/>
        <w:rPr>
          <w:kern w:val="0"/>
        </w:rPr>
      </w:pPr>
      <w:r>
        <w:rPr>
          <w:rFonts w:hint="eastAsia"/>
        </w:rPr>
        <w:t xml:space="preserve">Full Text: </w:t>
      </w:r>
      <w:hyperlink r:id="rId1633" w:history="1">
        <w:r w:rsidRPr="00855718">
          <w:rPr>
            <w:rStyle w:val="a5"/>
          </w:rPr>
          <w:t>2013\BMC Med Inf Dec Mak13, 77.pdf</w:t>
        </w:r>
      </w:hyperlink>
    </w:p>
    <w:p w:rsidR="00E8697C" w:rsidRDefault="00E8697C" w:rsidP="00E8697C">
      <w:pPr>
        <w:pStyle w:val="a3"/>
        <w:rPr>
          <w:kern w:val="0"/>
        </w:rPr>
      </w:pPr>
      <w:r>
        <w:rPr>
          <w:kern w:val="0"/>
        </w:rPr>
        <w:t>Abstract: Background: Translational medical research literature has increased rapidly in the last few decades</w:t>
      </w:r>
      <w:r w:rsidR="005853A9">
        <w:rPr>
          <w:kern w:val="0"/>
        </w:rPr>
        <w:t xml:space="preserve"> and </w:t>
      </w:r>
      <w:r>
        <w:rPr>
          <w:kern w:val="0"/>
        </w:rPr>
        <w:t>played a more</w:t>
      </w:r>
      <w:r w:rsidR="005853A9">
        <w:rPr>
          <w:kern w:val="0"/>
        </w:rPr>
        <w:t xml:space="preserve"> and </w:t>
      </w:r>
      <w:r>
        <w:rPr>
          <w:kern w:val="0"/>
        </w:rPr>
        <w:t>more important role during the development</w:t>
      </w:r>
      <w:r w:rsidR="00427468">
        <w:rPr>
          <w:kern w:val="0"/>
        </w:rPr>
        <w:t xml:space="preserve"> of </w:t>
      </w:r>
      <w:r>
        <w:rPr>
          <w:kern w:val="0"/>
        </w:rPr>
        <w:t>medicine science</w:t>
      </w:r>
      <w:r w:rsidR="00A37C1D">
        <w:rPr>
          <w:kern w:val="0"/>
        </w:rPr>
        <w:t>. The</w:t>
      </w:r>
      <w:r>
        <w:rPr>
          <w:kern w:val="0"/>
        </w:rPr>
        <w:t xml:space="preserve"> main aim</w:t>
      </w:r>
      <w:r w:rsidR="00427468">
        <w:rPr>
          <w:kern w:val="0"/>
        </w:rPr>
        <w:t xml:space="preserve"> of </w:t>
      </w:r>
      <w:r>
        <w:rPr>
          <w:kern w:val="0"/>
        </w:rPr>
        <w:t>this study is to evaluate the global performance</w:t>
      </w:r>
      <w:r w:rsidR="00427468">
        <w:rPr>
          <w:kern w:val="0"/>
        </w:rPr>
        <w:t xml:space="preserve"> of </w:t>
      </w:r>
      <w:r>
        <w:rPr>
          <w:kern w:val="0"/>
        </w:rPr>
        <w:t>translational medical research during the past few decades. Methods: Bibliometric, social network analysis,</w:t>
      </w:r>
      <w:r w:rsidR="005853A9">
        <w:rPr>
          <w:kern w:val="0"/>
        </w:rPr>
        <w:t xml:space="preserve"> and </w:t>
      </w:r>
      <w:r>
        <w:rPr>
          <w:kern w:val="0"/>
        </w:rPr>
        <w:t>visualization technologies were used for analyzing translational medical research performance from the aspects</w:t>
      </w:r>
      <w:r w:rsidR="00427468">
        <w:rPr>
          <w:kern w:val="0"/>
        </w:rPr>
        <w:t xml:space="preserve"> of </w:t>
      </w:r>
      <w:r>
        <w:rPr>
          <w:kern w:val="0"/>
        </w:rPr>
        <w:t>subject categories, journals, countries, institutes, keywords,</w:t>
      </w:r>
      <w:r w:rsidR="005853A9">
        <w:rPr>
          <w:kern w:val="0"/>
        </w:rPr>
        <w:t xml:space="preserve"> and </w:t>
      </w:r>
      <w:r>
        <w:rPr>
          <w:kern w:val="0"/>
        </w:rPr>
        <w:t>MeSH terms. Meanwhile, the co-author, co-words</w:t>
      </w:r>
      <w:r w:rsidR="005853A9">
        <w:rPr>
          <w:kern w:val="0"/>
        </w:rPr>
        <w:t xml:space="preserve"> and </w:t>
      </w:r>
      <w:r>
        <w:rPr>
          <w:kern w:val="0"/>
        </w:rPr>
        <w:t>cluster analysis methods were also used to trace popular topics in translational medical research related work. Results: Research output suggested a solid development in translational medical research, in terms</w:t>
      </w:r>
      <w:r w:rsidR="00427468">
        <w:rPr>
          <w:kern w:val="0"/>
        </w:rPr>
        <w:t xml:space="preserve"> of </w:t>
      </w:r>
      <w:r>
        <w:rPr>
          <w:kern w:val="0"/>
        </w:rPr>
        <w:t>increasing scientific production</w:t>
      </w:r>
      <w:r w:rsidR="005853A9">
        <w:rPr>
          <w:kern w:val="0"/>
        </w:rPr>
        <w:t xml:space="preserve"> and </w:t>
      </w:r>
      <w:r>
        <w:rPr>
          <w:kern w:val="0"/>
        </w:rPr>
        <w:t>research collaboration. We identified the core journals, mainstream subject categories, leading countries,</w:t>
      </w:r>
      <w:r w:rsidR="005853A9">
        <w:rPr>
          <w:kern w:val="0"/>
        </w:rPr>
        <w:t xml:space="preserve"> and </w:t>
      </w:r>
      <w:r>
        <w:rPr>
          <w:kern w:val="0"/>
        </w:rPr>
        <w:t>institutions in translational medical research</w:t>
      </w:r>
      <w:r w:rsidR="00A37C1D">
        <w:rPr>
          <w:kern w:val="0"/>
        </w:rPr>
        <w:t>. The</w:t>
      </w:r>
      <w:r>
        <w:rPr>
          <w:kern w:val="0"/>
        </w:rPr>
        <w:t>re was an uneven distribution</w:t>
      </w:r>
      <w:r w:rsidR="00427468">
        <w:rPr>
          <w:kern w:val="0"/>
        </w:rPr>
        <w:t xml:space="preserve"> of </w:t>
      </w:r>
      <w:r>
        <w:rPr>
          <w:kern w:val="0"/>
        </w:rPr>
        <w:t>publications at authorial, institutional,</w:t>
      </w:r>
      <w:r w:rsidR="005853A9">
        <w:rPr>
          <w:kern w:val="0"/>
        </w:rPr>
        <w:t xml:space="preserve"> and </w:t>
      </w:r>
      <w:r>
        <w:rPr>
          <w:kern w:val="0"/>
        </w:rPr>
        <w:t>national levels</w:t>
      </w:r>
      <w:r w:rsidR="00A37C1D">
        <w:rPr>
          <w:kern w:val="0"/>
        </w:rPr>
        <w:t>. The</w:t>
      </w:r>
      <w:r>
        <w:rPr>
          <w:kern w:val="0"/>
        </w:rPr>
        <w:t xml:space="preserve"> most commonly used keywords that appeared in the articles were “translational research”, “translational medicine”, “biomarkers”, “stroke”, “inflammation”, “cancer”,</w:t>
      </w:r>
      <w:r w:rsidR="005853A9">
        <w:rPr>
          <w:kern w:val="0"/>
        </w:rPr>
        <w:t xml:space="preserve"> and </w:t>
      </w:r>
      <w:r>
        <w:rPr>
          <w:kern w:val="0"/>
        </w:rPr>
        <w:t xml:space="preserve">“breast cancer”. Conclusions: </w:t>
      </w:r>
      <w:r>
        <w:rPr>
          <w:kern w:val="0"/>
        </w:rPr>
        <w:lastRenderedPageBreak/>
        <w:t>The subject categories</w:t>
      </w:r>
      <w:r w:rsidR="00427468">
        <w:rPr>
          <w:kern w:val="0"/>
        </w:rPr>
        <w:t xml:space="preserve"> of </w:t>
      </w:r>
      <w:r>
        <w:rPr>
          <w:kern w:val="0"/>
        </w:rPr>
        <w:t>“Research &amp; Experimental Medicine”, “Medical Laboratory Technology”,</w:t>
      </w:r>
      <w:r w:rsidR="005853A9">
        <w:rPr>
          <w:kern w:val="0"/>
        </w:rPr>
        <w:t xml:space="preserve"> and </w:t>
      </w:r>
      <w:r>
        <w:rPr>
          <w:kern w:val="0"/>
        </w:rPr>
        <w:t>“General &amp; Internal Medicine” play a key role in translational medical research both in production</w:t>
      </w:r>
      <w:r w:rsidR="005853A9">
        <w:rPr>
          <w:kern w:val="0"/>
        </w:rPr>
        <w:t xml:space="preserve"> and </w:t>
      </w:r>
      <w:r>
        <w:rPr>
          <w:kern w:val="0"/>
        </w:rPr>
        <w:t>in its networks. Translational medical research</w:t>
      </w:r>
      <w:r w:rsidR="005853A9">
        <w:rPr>
          <w:kern w:val="0"/>
        </w:rPr>
        <w:t xml:space="preserve"> and </w:t>
      </w:r>
      <w:r>
        <w:rPr>
          <w:kern w:val="0"/>
        </w:rPr>
        <w:t>CTS, etc. are core journals</w:t>
      </w:r>
      <w:r w:rsidR="00427468">
        <w:rPr>
          <w:kern w:val="0"/>
        </w:rPr>
        <w:t xml:space="preserve"> of </w:t>
      </w:r>
      <w:r>
        <w:rPr>
          <w:kern w:val="0"/>
        </w:rPr>
        <w:t>translational research. G7 countries are the leading nations for translational medical research. Some developing countries, such as P.R China, also play an important role in the communication</w:t>
      </w:r>
      <w:r w:rsidR="00427468">
        <w:rPr>
          <w:kern w:val="0"/>
        </w:rPr>
        <w:t xml:space="preserve"> of </w:t>
      </w:r>
      <w:r>
        <w:rPr>
          <w:kern w:val="0"/>
        </w:rPr>
        <w:t>translational research</w:t>
      </w:r>
      <w:r w:rsidR="00A37C1D">
        <w:rPr>
          <w:kern w:val="0"/>
        </w:rPr>
        <w:t>. The</w:t>
      </w:r>
      <w:r>
        <w:rPr>
          <w:kern w:val="0"/>
        </w:rPr>
        <w:t xml:space="preserve"> </w:t>
      </w:r>
      <w:r w:rsidR="00D5664A">
        <w:rPr>
          <w:kern w:val="0"/>
        </w:rPr>
        <w:t>USA</w:t>
      </w:r>
      <w:r w:rsidR="005853A9">
        <w:rPr>
          <w:kern w:val="0"/>
        </w:rPr>
        <w:t xml:space="preserve"> and </w:t>
      </w:r>
      <w:r>
        <w:rPr>
          <w:kern w:val="0"/>
        </w:rPr>
        <w:t>its institutions play a dominant role in the production, collaboration, citations</w:t>
      </w:r>
      <w:r w:rsidR="005853A9">
        <w:rPr>
          <w:kern w:val="0"/>
        </w:rPr>
        <w:t xml:space="preserve"> and </w:t>
      </w:r>
      <w:r>
        <w:rPr>
          <w:kern w:val="0"/>
        </w:rPr>
        <w:t>high quality articles</w:t>
      </w:r>
      <w:r w:rsidR="00A37C1D">
        <w:rPr>
          <w:kern w:val="0"/>
        </w:rPr>
        <w:t>. The</w:t>
      </w:r>
      <w:r>
        <w:rPr>
          <w:kern w:val="0"/>
        </w:rPr>
        <w:t xml:space="preserve"> research trends in translational medical research involve drug design</w:t>
      </w:r>
      <w:r w:rsidR="005853A9">
        <w:rPr>
          <w:kern w:val="0"/>
        </w:rPr>
        <w:t xml:space="preserve"> and </w:t>
      </w:r>
      <w:r>
        <w:rPr>
          <w:kern w:val="0"/>
        </w:rPr>
        <w:t>development, pathogenesis</w:t>
      </w:r>
      <w:r w:rsidR="005853A9">
        <w:rPr>
          <w:kern w:val="0"/>
        </w:rPr>
        <w:t xml:space="preserve"> and </w:t>
      </w:r>
      <w:r>
        <w:rPr>
          <w:kern w:val="0"/>
        </w:rPr>
        <w:t>treatment</w:t>
      </w:r>
      <w:r w:rsidR="00427468">
        <w:rPr>
          <w:kern w:val="0"/>
        </w:rPr>
        <w:t xml:space="preserve"> of </w:t>
      </w:r>
      <w:r>
        <w:rPr>
          <w:kern w:val="0"/>
        </w:rPr>
        <w:t>disease, disease model research, evidence-based research,</w:t>
      </w:r>
      <w:r w:rsidR="005853A9">
        <w:rPr>
          <w:kern w:val="0"/>
        </w:rPr>
        <w:t xml:space="preserve"> and </w:t>
      </w:r>
      <w:r>
        <w:rPr>
          <w:kern w:val="0"/>
        </w:rPr>
        <w:t>stem</w:t>
      </w:r>
      <w:r w:rsidR="005853A9">
        <w:rPr>
          <w:kern w:val="0"/>
        </w:rPr>
        <w:t xml:space="preserve"> and </w:t>
      </w:r>
      <w:r>
        <w:rPr>
          <w:kern w:val="0"/>
        </w:rPr>
        <w:t>progenitor cells.</w:t>
      </w:r>
    </w:p>
    <w:p w:rsidR="00E8697C" w:rsidRDefault="00E8697C" w:rsidP="00E8697C">
      <w:pPr>
        <w:pStyle w:val="a3"/>
        <w:rPr>
          <w:kern w:val="0"/>
        </w:rPr>
      </w:pPr>
      <w:r>
        <w:rPr>
          <w:kern w:val="0"/>
        </w:rPr>
        <w:t xml:space="preserve">Keywords: Analysis, Bibliometric, China, Citations, Cluster, Cluster Analysis, Co-Author, Collaboration, Communication, Ct, Design, Developing, Developing Countries, Development, Disease, Distribution, Drug, Drug Design, Evidence Based, Evidence-Based, Evidence-Based Research, G7 Countries, Global, Institutions, Journals, Literature, Medical, Medical Research, Medicine, Methods, Model, Nations, Network, Network Analysis, Networks, Pathogenesis, Performance, Popular Topics, Progenitor, Progenitor Cells, Publications, Quality, Research, Research Collaboration, Research Output, Research Performance, Research Trends, Results, Role, Science, Scientific Production, Social, Social Network Analysis, Technologies, Translational Medical Research, Translational Research, Treatment, Trends, </w:t>
      </w:r>
      <w:r w:rsidR="00D5664A">
        <w:rPr>
          <w:kern w:val="0"/>
        </w:rPr>
        <w:t>USA</w:t>
      </w:r>
      <w:r>
        <w:rPr>
          <w:kern w:val="0"/>
        </w:rPr>
        <w:t>, Visualization, Work</w:t>
      </w:r>
    </w:p>
    <w:p w:rsidR="00A04D4B" w:rsidRDefault="00A04D4B" w:rsidP="00A04D4B">
      <w:pPr>
        <w:pStyle w:val="a3"/>
        <w:rPr>
          <w:kern w:val="0"/>
        </w:rPr>
      </w:pPr>
      <w:r>
        <w:rPr>
          <w:rFonts w:hint="eastAsia"/>
          <w:kern w:val="0"/>
        </w:rPr>
        <w:t xml:space="preserve">? </w:t>
      </w:r>
      <w:r>
        <w:rPr>
          <w:kern w:val="0"/>
        </w:rPr>
        <w:t xml:space="preserve">Elwyn, G., Scholl, I., Tietbohl, C., Mann, M., Edwards, A.G.K., Clay, C., Legare, F., van der Weijden, T., Lewis, C.L., Wexler, R.M. and Frosch, D.L. (2013), “Many miles to go ... “: A systematic review of the implementation of patient decision support interventions into routine clinical practice. </w:t>
      </w:r>
      <w:r>
        <w:rPr>
          <w:i/>
          <w:iCs/>
          <w:kern w:val="0"/>
        </w:rPr>
        <w:t>BMC Medical Informatics and Decision Making</w:t>
      </w:r>
      <w:r>
        <w:rPr>
          <w:kern w:val="0"/>
        </w:rPr>
        <w:t xml:space="preserve">, </w:t>
      </w:r>
      <w:r>
        <w:rPr>
          <w:b/>
          <w:bCs/>
          <w:kern w:val="0"/>
        </w:rPr>
        <w:t>13</w:t>
      </w:r>
      <w:r>
        <w:rPr>
          <w:rFonts w:hint="eastAsia"/>
          <w:kern w:val="0"/>
        </w:rPr>
        <w:t xml:space="preserve"> (</w:t>
      </w:r>
      <w:r w:rsidRPr="00CE78E3">
        <w:rPr>
          <w:kern w:val="0"/>
        </w:rPr>
        <w:t>S2</w:t>
      </w:r>
      <w:r>
        <w:rPr>
          <w:rFonts w:hint="eastAsia"/>
          <w:kern w:val="0"/>
        </w:rPr>
        <w:t xml:space="preserve">), </w:t>
      </w:r>
      <w:r w:rsidRPr="00CE78E3">
        <w:rPr>
          <w:kern w:val="0"/>
        </w:rPr>
        <w:t>Article Number: S14</w:t>
      </w:r>
      <w:r>
        <w:rPr>
          <w:rFonts w:hint="eastAsia"/>
          <w:kern w:val="0"/>
        </w:rPr>
        <w:t>.</w:t>
      </w:r>
    </w:p>
    <w:p w:rsidR="00A04D4B" w:rsidRDefault="00A04D4B" w:rsidP="00A04D4B">
      <w:pPr>
        <w:pStyle w:val="a3"/>
        <w:jc w:val="left"/>
        <w:rPr>
          <w:kern w:val="0"/>
        </w:rPr>
      </w:pPr>
      <w:r>
        <w:rPr>
          <w:rFonts w:hint="eastAsia"/>
        </w:rPr>
        <w:t xml:space="preserve">Full Text: </w:t>
      </w:r>
      <w:hyperlink r:id="rId1634" w:history="1">
        <w:r w:rsidRPr="00321BDB">
          <w:rPr>
            <w:rStyle w:val="a5"/>
          </w:rPr>
          <w:t>2013\BMC Med Inf Dec Mak13, S14.pdf</w:t>
        </w:r>
      </w:hyperlink>
    </w:p>
    <w:p w:rsidR="00A04D4B" w:rsidRDefault="00A04D4B" w:rsidP="00A04D4B">
      <w:pPr>
        <w:pStyle w:val="a3"/>
        <w:rPr>
          <w:kern w:val="0"/>
        </w:rPr>
      </w:pPr>
      <w:r>
        <w:rPr>
          <w:kern w:val="0"/>
        </w:rPr>
        <w:t xml:space="preserve">Abstract: Background: Two decades of research has established the positive effect of using patient-targeted decision support interventions: patients gain knowledge, greater understanding of probabilities and increased confidence in decisions. Yet, despite their efficacy, the effectiveness of these decision support interventions in routine practice has yet to be established; widespread adoption has not occurred. The aim of this review was to search for and analyze the findings of published peer-reviewed studies that investigated the success levels of strategies or methods where attempts were made to implement patient-targeted decision support interventions into routine clinical settings. Methods: An electronic search strategy was devised and adapted for the following databases: ASSIA, CINAHL, Embase, HMIC, Medline, Medline-in-process, OpenSIGLE, PsycINFO, Scopus, Social </w:t>
      </w:r>
      <w:r>
        <w:rPr>
          <w:kern w:val="0"/>
        </w:rPr>
        <w:lastRenderedPageBreak/>
        <w:t>Services Abstracts, and the Web of Science. In addition, we used snowballing techniques. Studies were included after dual independent assessment. Results: After assessment, 5322 abstracts yielded 51 articles for consideration. After examining full-texts, 17 studies were included and subjected to data extraction. The approach used in all studies was one where clinicians and their staff used a referral model, asking eligible patients to use decision support. The results point to significant challenges to the implementation of patient decision support using this model, including indifference on the part of health care professionals. This indifference stemmed from a reported lack of confidence in the content of decision support interventions and concern about disruption to established workflows, ultimately contributing to organizational inertia regarding their adoption. Conclusions: It seems too early to make firm recommendations about how best to implement patient decision support into routine practice because approaches that use a ‘referral model’ consistently report difficulties. We sense that the underlying issues that militate against the use of patient decision support and, more generally, limit the adoption of shared decision making, are under-investigated and under-specified. Future reports from implementation studies could be improved by following guidelines, for example the SQUIRE proposals, and by adopting methods that would be able to go beyond the ‘barriers’ and ‘facilitators’ approach to understand more about the nature of professional and organizational resistance to these tools.</w:t>
      </w:r>
    </w:p>
    <w:p w:rsidR="00A04D4B" w:rsidRDefault="00A04D4B" w:rsidP="00A04D4B">
      <w:pPr>
        <w:pStyle w:val="a3"/>
        <w:rPr>
          <w:kern w:val="0"/>
        </w:rPr>
      </w:pPr>
      <w:r>
        <w:rPr>
          <w:kern w:val="0"/>
        </w:rPr>
        <w:t>Keywords: Adoption, Approach, Assessment, Barriers, Breast Care Center, Call Center, Care, Clinical, Clinical Practice, Communication Aids, Confidence, Data, Databases, Decision, Decision Making, Decision Support, Decision-Making, Effectiveness, Efficacy, Extraction, Facilitators, General-Practice, Guidelines, Health, Health Care, Health-Services Research, Implementation, Indifference, Interventions, Issues, Knowledge, Medline, Methods, Model, Nov, Organizational, Patients, Peer-Reviewed, Practice, Psycinfo, Quality Improvement, Randomized-Trial, Recommendations, Research, Resistance, Results, Review, Science, Scopus, Search Strategy, Strategy, Support, Systematic Review, Techniques, Understanding, Web of Science</w:t>
      </w:r>
    </w:p>
    <w:p w:rsidR="00A04D4B" w:rsidRDefault="00A04D4B" w:rsidP="00A04D4B">
      <w:pPr>
        <w:pStyle w:val="a3"/>
        <w:rPr>
          <w:kern w:val="0"/>
        </w:rPr>
      </w:pPr>
      <w:r>
        <w:rPr>
          <w:rFonts w:hint="eastAsia"/>
          <w:kern w:val="0"/>
        </w:rPr>
        <w:t xml:space="preserve">? </w:t>
      </w:r>
      <w:r>
        <w:rPr>
          <w:kern w:val="0"/>
        </w:rPr>
        <w:t xml:space="preserve">Blanc, X., Collet, T.H., Auer, R., Fischer, R., Locatelli, I., Iriarte, P., Krause, J., Legare, F. and Cornuz, J. (2014), Publication trends of shared decision making in 15 high impact medical journals: A full-text review with bibliometric analysis. </w:t>
      </w:r>
      <w:r>
        <w:rPr>
          <w:i/>
          <w:iCs/>
          <w:kern w:val="0"/>
        </w:rPr>
        <w:t>BMC Medical Informatics and Decision Making</w:t>
      </w:r>
      <w:r>
        <w:rPr>
          <w:kern w:val="0"/>
        </w:rPr>
        <w:t xml:space="preserve">, </w:t>
      </w:r>
      <w:r>
        <w:rPr>
          <w:b/>
          <w:bCs/>
          <w:kern w:val="0"/>
        </w:rPr>
        <w:t>14</w:t>
      </w:r>
      <w:r>
        <w:rPr>
          <w:rFonts w:hint="eastAsia"/>
          <w:kern w:val="0"/>
        </w:rPr>
        <w:t xml:space="preserve">, </w:t>
      </w:r>
      <w:r w:rsidRPr="00CE78E3">
        <w:rPr>
          <w:kern w:val="0"/>
        </w:rPr>
        <w:t xml:space="preserve">Article Number: </w:t>
      </w:r>
      <w:r>
        <w:rPr>
          <w:rFonts w:hint="eastAsia"/>
          <w:kern w:val="0"/>
        </w:rPr>
        <w:t>71.</w:t>
      </w:r>
    </w:p>
    <w:p w:rsidR="00A04D4B" w:rsidRDefault="00A04D4B" w:rsidP="00A04D4B">
      <w:pPr>
        <w:pStyle w:val="a3"/>
        <w:jc w:val="left"/>
        <w:rPr>
          <w:kern w:val="0"/>
        </w:rPr>
      </w:pPr>
      <w:r>
        <w:rPr>
          <w:rFonts w:hint="eastAsia"/>
        </w:rPr>
        <w:t xml:space="preserve">Full Text: </w:t>
      </w:r>
      <w:hyperlink r:id="rId1635" w:history="1">
        <w:r w:rsidRPr="001A588E">
          <w:rPr>
            <w:rStyle w:val="a5"/>
          </w:rPr>
          <w:t>2014\BMC Med Inf Dec Mak14, 71.pdf</w:t>
        </w:r>
      </w:hyperlink>
    </w:p>
    <w:p w:rsidR="00A04D4B" w:rsidRDefault="00A04D4B" w:rsidP="00A04D4B">
      <w:pPr>
        <w:pStyle w:val="a3"/>
        <w:rPr>
          <w:kern w:val="0"/>
        </w:rPr>
      </w:pPr>
      <w:r>
        <w:rPr>
          <w:kern w:val="0"/>
        </w:rPr>
        <w:t xml:space="preserve">Abstract: Background: Shared Decision Making (SDM) is increasingly advocated as a model for medical decision making. However, there is still low use of SDM in clinical practice. High impact factor journals might represent an efficient way for its dissemination. We aimed to identify and characterize publication trends of SDM in </w:t>
      </w:r>
      <w:r>
        <w:rPr>
          <w:kern w:val="0"/>
        </w:rPr>
        <w:lastRenderedPageBreak/>
        <w:t>15 high impact medical journals. Methods: We selected the 15 general and internal medicine journals with the highest impact factor publishing original articles, letters and editorials. We retrieved publications from 1996 to 2011 through the full-text search function on each journal website and abstracted bibliometric data. We included publications of any type containing the phrase "shared decision making" or five other variants in their abstract or full text. These were referred to as SDM publications. A polynomial Poisson regression model with logarithmic link function was used to assess the evolution across the period of the number of SDM publications according to publication characteristics. Results: We identified 1285 SDM publications out of 229,179 publications in 15 journals from 1996 to 2011. The absolute number of SDM publications by journal ranged from 2 to 273 over 16 years. SDM publications increased both in absolute and relative numbers per year, from 46 (0.32% relative to all publications from the 15 journals) in 1996 to 165 (1.17%) in 2011. This growth was exponential (P &lt; 0.01). We found fewer research publications (465, 36.2% of all SDM publications) than non-research publications, which included non-systematic reviews, letters, and editorials. The increase of research publications across time was linear. Full-text search retrieved ten times more SDM publications than a similar PubMed search (1285 vs. 119 respectively). Conclusion: This review in full-text showed that SDM publications increased exponentially in major medical journals from 1996 to 2011. This growth might reflect an increased dissemination of the SDM concept to the medical community.</w:t>
      </w:r>
    </w:p>
    <w:p w:rsidR="00A04D4B" w:rsidRDefault="00A04D4B" w:rsidP="00A04D4B">
      <w:pPr>
        <w:pStyle w:val="a3"/>
        <w:rPr>
          <w:kern w:val="0"/>
        </w:rPr>
      </w:pPr>
      <w:r>
        <w:rPr>
          <w:kern w:val="0"/>
        </w:rPr>
        <w:t>Keywords: Analysis, Articles, Bibliometric, Bibliometric Analysis, Bibliometric Data, Challenge, Characteristics, Clinical, Clinical Practice, Clinical-Practice, Community, Concept, Data, Decision, Decision Making, Decision-Making, Encounter, Evolution, Full Text Search, Function, General, Growth, Health-Care, High Agreement, Impact, Impact Factor, Information Storage And Retrieval, Internal Medicine, Journal, Journals, Low Kappa, Medical, Medical Decision Making, Medical Journals, Medicine, Methods, Model, P, Paradoxes, Poisson Regression, Practice, Publication, Publication Trends, Publications, Publishing, Pubmed, Regression, Regression Model, Research, Results, Review, Reviews, Shared Decision Making, Text Mining, Trends</w:t>
      </w:r>
    </w:p>
    <w:p w:rsidR="003474F2" w:rsidRPr="001A3D2B" w:rsidRDefault="003474F2" w:rsidP="003474F2">
      <w:pPr>
        <w:pStyle w:val="1"/>
      </w:pPr>
      <w:r w:rsidRPr="001A3D2B">
        <w:br w:type="page"/>
      </w:r>
      <w:bookmarkStart w:id="847" w:name="_Toc420814764"/>
      <w:r w:rsidRPr="001A3D2B">
        <w:lastRenderedPageBreak/>
        <w:t>Title: BMC Medical Research Methodology</w:t>
      </w:r>
      <w:bookmarkEnd w:id="847"/>
    </w:p>
    <w:p w:rsidR="003474F2" w:rsidRPr="001A3D2B" w:rsidRDefault="003474F2" w:rsidP="003474F2">
      <w:pPr>
        <w:pStyle w:val="12"/>
      </w:pPr>
      <w:r w:rsidRPr="001A3D2B">
        <w:t xml:space="preserve">Full Journal Title: </w:t>
      </w:r>
      <w:hyperlink r:id="rId1636" w:history="1">
        <w:r w:rsidRPr="001A3D2B">
          <w:rPr>
            <w:rStyle w:val="a5"/>
          </w:rPr>
          <w:t>BMC Medical Research Methodology</w:t>
        </w:r>
      </w:hyperlink>
    </w:p>
    <w:p w:rsidR="00300241" w:rsidRDefault="00300241" w:rsidP="00300241">
      <w:pPr>
        <w:pStyle w:val="12"/>
      </w:pPr>
      <w:r>
        <w:t>ISO Abbrev. Title: BMC Med. Res. Methodol.</w:t>
      </w:r>
    </w:p>
    <w:p w:rsidR="00300241" w:rsidRDefault="00300241" w:rsidP="00300241">
      <w:pPr>
        <w:pStyle w:val="12"/>
      </w:pPr>
      <w:r>
        <w:t>JCR Abbrev. Title: BMC Med Res Methodol</w:t>
      </w:r>
    </w:p>
    <w:p w:rsidR="00300241" w:rsidRDefault="00300241" w:rsidP="00300241">
      <w:pPr>
        <w:pStyle w:val="12"/>
      </w:pPr>
      <w:r>
        <w:t>ISSN: 1471-2288</w:t>
      </w:r>
    </w:p>
    <w:p w:rsidR="00300241" w:rsidRDefault="00300241" w:rsidP="00300241">
      <w:pPr>
        <w:pStyle w:val="12"/>
      </w:pPr>
      <w:r>
        <w:t>Issues/Year: 0</w:t>
      </w:r>
    </w:p>
    <w:p w:rsidR="00300241" w:rsidRDefault="00300241" w:rsidP="00300241">
      <w:pPr>
        <w:pStyle w:val="12"/>
      </w:pPr>
      <w:r>
        <w:t>Language: English</w:t>
      </w:r>
    </w:p>
    <w:p w:rsidR="00300241" w:rsidRDefault="00300241" w:rsidP="00300241">
      <w:pPr>
        <w:pStyle w:val="12"/>
      </w:pPr>
      <w:r>
        <w:t>Journal Country/Territory: England</w:t>
      </w:r>
    </w:p>
    <w:p w:rsidR="00300241" w:rsidRDefault="00300241" w:rsidP="00300241">
      <w:pPr>
        <w:pStyle w:val="12"/>
      </w:pPr>
      <w:r>
        <w:t>Publisher: Biomed Central Ltd</w:t>
      </w:r>
    </w:p>
    <w:p w:rsidR="00300241" w:rsidRDefault="00300241" w:rsidP="00300241">
      <w:pPr>
        <w:pStyle w:val="12"/>
      </w:pPr>
      <w:r>
        <w:t>Publisher Address: 236 Grays Inn Rd, Floor 6, London WC1X 8HL, England</w:t>
      </w:r>
    </w:p>
    <w:p w:rsidR="00300241" w:rsidRPr="00FC7835" w:rsidRDefault="00300241" w:rsidP="00300241">
      <w:pPr>
        <w:pStyle w:val="12"/>
      </w:pPr>
      <w:r w:rsidRPr="00FC7835">
        <w:t xml:space="preserve">Subject Categories: </w:t>
      </w:r>
    </w:p>
    <w:p w:rsidR="00300241" w:rsidRPr="00FC7835" w:rsidRDefault="00300241" w:rsidP="00300241">
      <w:pPr>
        <w:pStyle w:val="12"/>
      </w:pPr>
      <w:r w:rsidRPr="00D57D6C">
        <w:t>Health Care Sciences &amp; Services</w:t>
      </w:r>
      <w:r w:rsidRPr="00FC7835">
        <w:t xml:space="preserve">: Impact Factor </w:t>
      </w:r>
      <w:r>
        <w:rPr>
          <w:rFonts w:hint="eastAsia"/>
        </w:rPr>
        <w:t>2.303, 22/69 (2009)</w:t>
      </w:r>
    </w:p>
    <w:p w:rsidR="003474F2" w:rsidRPr="001A3D2B" w:rsidRDefault="003474F2" w:rsidP="003474F2">
      <w:pPr>
        <w:pStyle w:val="a3"/>
      </w:pPr>
      <w:r w:rsidRPr="001A3D2B">
        <w:t>? Galandi, D., Schwarzer, G.</w:t>
      </w:r>
      <w:r w:rsidR="005853A9">
        <w:t xml:space="preserve"> and </w:t>
      </w:r>
      <w:r w:rsidRPr="001A3D2B">
        <w:t>Antes, G. (2006</w:t>
      </w:r>
      <w:r w:rsidR="00F42EAC">
        <w:t>), The</w:t>
      </w:r>
      <w:r w:rsidR="003A1917">
        <w:t xml:space="preserve"> </w:t>
      </w:r>
      <w:r w:rsidRPr="001A3D2B">
        <w:t>demise</w:t>
      </w:r>
      <w:r w:rsidR="00427468">
        <w:t xml:space="preserve"> of </w:t>
      </w:r>
      <w:r w:rsidR="003A1917">
        <w:t xml:space="preserve">the </w:t>
      </w:r>
      <w:r w:rsidRPr="001A3D2B">
        <w:t>randomised controlled trial: Bibliometric study</w:t>
      </w:r>
      <w:r w:rsidR="00427468">
        <w:t xml:space="preserve"> of </w:t>
      </w:r>
      <w:r w:rsidR="003A1917">
        <w:t xml:space="preserve">the </w:t>
      </w:r>
      <w:r w:rsidRPr="001A3D2B">
        <w:t xml:space="preserve">German-language health care literature, 1948 to 2004. </w:t>
      </w:r>
      <w:r w:rsidRPr="001A3D2B">
        <w:rPr>
          <w:i/>
          <w:iCs/>
        </w:rPr>
        <w:t>BMC Medical Research Methodology</w:t>
      </w:r>
      <w:r w:rsidRPr="001A3D2B">
        <w:t xml:space="preserve">, </w:t>
      </w:r>
      <w:r w:rsidRPr="001A3D2B">
        <w:rPr>
          <w:b/>
          <w:bCs/>
        </w:rPr>
        <w:t>6</w:t>
      </w:r>
      <w:r w:rsidR="00C01B08" w:rsidRPr="001A3D2B">
        <w:t xml:space="preserve">, Article Number: </w:t>
      </w:r>
      <w:r w:rsidRPr="001A3D2B">
        <w:t>30.</w:t>
      </w:r>
    </w:p>
    <w:p w:rsidR="00FA4269" w:rsidRPr="001A3D2B" w:rsidRDefault="00FA4269" w:rsidP="00FA4269">
      <w:pPr>
        <w:pStyle w:val="a3"/>
      </w:pPr>
      <w:r w:rsidRPr="001A3D2B">
        <w:t xml:space="preserve">Full Text: </w:t>
      </w:r>
      <w:hyperlink r:id="rId1637" w:history="1">
        <w:r w:rsidRPr="001A3D2B">
          <w:rPr>
            <w:rStyle w:val="a5"/>
          </w:rPr>
          <w:t>2006\BMC Med Res Met6, 30.pdf</w:t>
        </w:r>
      </w:hyperlink>
    </w:p>
    <w:p w:rsidR="003474F2" w:rsidRPr="001A3D2B" w:rsidRDefault="003474F2" w:rsidP="003474F2">
      <w:pPr>
        <w:pStyle w:val="a3"/>
      </w:pPr>
      <w:r w:rsidRPr="001A3D2B">
        <w:t>Abstract: BACKGROUND: In order to reduce systematic errors (such as language bias)</w:t>
      </w:r>
      <w:r w:rsidR="005853A9">
        <w:t xml:space="preserve"> and </w:t>
      </w:r>
      <w:r w:rsidRPr="001A3D2B">
        <w:t>increase</w:t>
      </w:r>
      <w:r w:rsidR="003A1917">
        <w:t xml:space="preserve"> the </w:t>
      </w:r>
      <w:r w:rsidRPr="001A3D2B">
        <w:t>precision</w:t>
      </w:r>
      <w:r w:rsidR="00427468">
        <w:t xml:space="preserve"> of </w:t>
      </w:r>
      <w:r w:rsidR="003A1917">
        <w:t xml:space="preserve">the </w:t>
      </w:r>
      <w:r w:rsidRPr="001A3D2B">
        <w:t>summary treatment effect estimate, a comprehensive identification</w:t>
      </w:r>
      <w:r w:rsidR="00427468">
        <w:t xml:space="preserve"> of </w:t>
      </w:r>
      <w:r w:rsidRPr="001A3D2B">
        <w:t>randomised controlled trials (RCT), irrespective</w:t>
      </w:r>
      <w:r w:rsidR="00427468">
        <w:t xml:space="preserve"> of </w:t>
      </w:r>
      <w:r w:rsidRPr="001A3D2B">
        <w:t>publication language, is crucial in systematic reviews</w:t>
      </w:r>
      <w:r w:rsidR="005853A9">
        <w:t xml:space="preserve"> and </w:t>
      </w:r>
      <w:r w:rsidRPr="001A3D2B">
        <w:t>meta-analyses. We identified trials in</w:t>
      </w:r>
      <w:r w:rsidR="003A1917">
        <w:t xml:space="preserve"> the </w:t>
      </w:r>
      <w:r w:rsidRPr="001A3D2B">
        <w:t>German general health care literature. METHODS: Eight German language general health care journals were searched for randomised controlled trials</w:t>
      </w:r>
      <w:r w:rsidR="005853A9">
        <w:t xml:space="preserve"> and </w:t>
      </w:r>
      <w:r w:rsidRPr="001A3D2B">
        <w:t>analysed with respect to</w:t>
      </w:r>
      <w:r w:rsidR="003A1917">
        <w:t xml:space="preserve"> the </w:t>
      </w:r>
      <w:r w:rsidRPr="001A3D2B">
        <w:t>number</w:t>
      </w:r>
      <w:r w:rsidR="00427468">
        <w:t xml:space="preserve"> of </w:t>
      </w:r>
      <w:r w:rsidRPr="001A3D2B">
        <w:t>published RCTs each year</w:t>
      </w:r>
      <w:r w:rsidR="005853A9">
        <w:t xml:space="preserve"> and </w:t>
      </w:r>
      <w:r w:rsidR="003A1917">
        <w:t xml:space="preserve">the </w:t>
      </w:r>
      <w:r w:rsidRPr="001A3D2B">
        <w:t>size</w:t>
      </w:r>
      <w:r w:rsidR="00427468">
        <w:t xml:space="preserve"> of </w:t>
      </w:r>
      <w:r w:rsidRPr="001A3D2B">
        <w:t>trials. RESULTS: A total</w:t>
      </w:r>
      <w:r w:rsidR="00427468">
        <w:t xml:space="preserve"> of </w:t>
      </w:r>
      <w:r w:rsidRPr="001A3D2B">
        <w:t>1618 trials were identified with a median total number</w:t>
      </w:r>
      <w:r w:rsidR="00427468">
        <w:t xml:space="preserve"> of </w:t>
      </w:r>
      <w:r w:rsidRPr="001A3D2B">
        <w:t>43 patients per trial. Between 1970</w:t>
      </w:r>
      <w:r w:rsidR="005853A9">
        <w:t xml:space="preserve"> and </w:t>
      </w:r>
      <w:r w:rsidRPr="001A3D2B">
        <w:t>2004 a small but constant rise in sample size from a median number</w:t>
      </w:r>
      <w:r w:rsidR="00427468">
        <w:t xml:space="preserve"> of </w:t>
      </w:r>
      <w:r w:rsidRPr="001A3D2B">
        <w:t>30 to 60 patients per trial can be observed</w:t>
      </w:r>
      <w:r w:rsidR="00A37C1D">
        <w:t>. The</w:t>
      </w:r>
      <w:r w:rsidR="003A1917">
        <w:t xml:space="preserve"> </w:t>
      </w:r>
      <w:r w:rsidRPr="001A3D2B">
        <w:t>number</w:t>
      </w:r>
      <w:r w:rsidR="00427468">
        <w:t xml:space="preserve"> of </w:t>
      </w:r>
      <w:r w:rsidRPr="001A3D2B">
        <w:t>published trials was very low between 1948</w:t>
      </w:r>
      <w:r w:rsidR="005853A9">
        <w:t xml:space="preserve"> and </w:t>
      </w:r>
      <w:r w:rsidRPr="001A3D2B">
        <w:t>1970, but increased between 1970</w:t>
      </w:r>
      <w:r w:rsidR="005853A9">
        <w:t xml:space="preserve"> and </w:t>
      </w:r>
      <w:r w:rsidRPr="001A3D2B">
        <w:t>1986 to a maximum</w:t>
      </w:r>
      <w:r w:rsidR="00427468">
        <w:t xml:space="preserve"> of </w:t>
      </w:r>
      <w:r w:rsidRPr="001A3D2B">
        <w:t>11.2 RCTs per journal</w:t>
      </w:r>
      <w:r w:rsidR="005853A9">
        <w:t xml:space="preserve"> and </w:t>
      </w:r>
      <w:r w:rsidRPr="001A3D2B">
        <w:t>year. In</w:t>
      </w:r>
      <w:r w:rsidR="003A1917">
        <w:t xml:space="preserve"> the </w:t>
      </w:r>
      <w:r w:rsidRPr="001A3D2B">
        <w:t>following time period a striking decline</w:t>
      </w:r>
      <w:r w:rsidR="00427468">
        <w:t xml:space="preserve"> of </w:t>
      </w:r>
      <w:r w:rsidR="003A1917">
        <w:t xml:space="preserve">the </w:t>
      </w:r>
      <w:r w:rsidRPr="001A3D2B">
        <w:t>number</w:t>
      </w:r>
      <w:r w:rsidR="00427468">
        <w:t xml:space="preserve"> of </w:t>
      </w:r>
      <w:r w:rsidRPr="001A3D2B">
        <w:t>RCTs was observed. Between 1999</w:t>
      </w:r>
      <w:r w:rsidR="005853A9">
        <w:t xml:space="preserve"> and </w:t>
      </w:r>
      <w:r w:rsidRPr="001A3D2B">
        <w:t>2001 only 0.8 RCTs per journal</w:t>
      </w:r>
      <w:r w:rsidR="005853A9">
        <w:t xml:space="preserve"> and </w:t>
      </w:r>
      <w:r w:rsidRPr="001A3D2B">
        <w:t>year were published, in</w:t>
      </w:r>
      <w:r w:rsidR="003A1917">
        <w:t xml:space="preserve"> the </w:t>
      </w:r>
      <w:r w:rsidRPr="001A3D2B">
        <w:t>next three years,</w:t>
      </w:r>
      <w:r w:rsidR="003A1917">
        <w:t xml:space="preserve"> the </w:t>
      </w:r>
      <w:r w:rsidRPr="001A3D2B">
        <w:t>number</w:t>
      </w:r>
      <w:r w:rsidR="00427468">
        <w:t xml:space="preserve"> of </w:t>
      </w:r>
      <w:r w:rsidRPr="001A3D2B">
        <w:t>published trials increased to 1.7 RCTs per journal</w:t>
      </w:r>
      <w:r w:rsidR="005853A9">
        <w:t xml:space="preserve"> and </w:t>
      </w:r>
      <w:r w:rsidRPr="001A3D2B">
        <w:t>year. CONCLUSION: German language general health care journals no longer have a role in</w:t>
      </w:r>
      <w:r w:rsidR="003A1917">
        <w:t xml:space="preserve"> the </w:t>
      </w:r>
      <w:r w:rsidRPr="001A3D2B">
        <w:t>dissemination</w:t>
      </w:r>
      <w:r w:rsidR="00427468">
        <w:t xml:space="preserve"> of </w:t>
      </w:r>
      <w:r w:rsidRPr="001A3D2B">
        <w:t>trial results</w:t>
      </w:r>
      <w:r w:rsidR="00A37C1D">
        <w:t>. The</w:t>
      </w:r>
      <w:r w:rsidR="003A1917">
        <w:t xml:space="preserve"> </w:t>
      </w:r>
      <w:r w:rsidRPr="001A3D2B">
        <w:t>slight rise in</w:t>
      </w:r>
      <w:r w:rsidR="003A1917">
        <w:t xml:space="preserve"> the </w:t>
      </w:r>
      <w:r w:rsidRPr="001A3D2B">
        <w:t>number</w:t>
      </w:r>
      <w:r w:rsidR="00427468">
        <w:t xml:space="preserve"> of </w:t>
      </w:r>
      <w:r w:rsidRPr="001A3D2B">
        <w:t>published RCTs in</w:t>
      </w:r>
      <w:r w:rsidR="003A1917">
        <w:t xml:space="preserve"> the </w:t>
      </w:r>
      <w:r w:rsidRPr="001A3D2B">
        <w:t>last three years can be explained by a change</w:t>
      </w:r>
      <w:r w:rsidR="00427468">
        <w:t xml:space="preserve"> of </w:t>
      </w:r>
      <w:r w:rsidRPr="001A3D2B">
        <w:t>publication language from German to English</w:t>
      </w:r>
      <w:r w:rsidR="00427468">
        <w:t xml:space="preserve"> of </w:t>
      </w:r>
      <w:r w:rsidRPr="001A3D2B">
        <w:t>three</w:t>
      </w:r>
      <w:r w:rsidR="00427468">
        <w:t xml:space="preserve"> of </w:t>
      </w:r>
      <w:r w:rsidR="003A1917">
        <w:t xml:space="preserve">the </w:t>
      </w:r>
      <w:r w:rsidRPr="001A3D2B">
        <w:t>analysed journals.</w:t>
      </w:r>
    </w:p>
    <w:p w:rsidR="003474F2" w:rsidRPr="001A3D2B" w:rsidRDefault="003474F2" w:rsidP="003474F2">
      <w:pPr>
        <w:pStyle w:val="a3"/>
      </w:pPr>
      <w:r w:rsidRPr="001A3D2B">
        <w:t xml:space="preserve">Keywords: Background, Bias, Bibliometric, Bibliometric Study, Care, Controlled Trial, Errors, General, Health, Health Care, Identification, Journal, Journals, Literature, </w:t>
      </w:r>
      <w:r w:rsidRPr="001A3D2B">
        <w:lastRenderedPageBreak/>
        <w:t>Methods, Patients, Precision, Publication, Randomised, Randomised Controlled Trial, Randomised Controlled Trials, RCT, Reviews, Role, Sample Size, Size, Small, Systematic Reviews, Treatment, Trial</w:t>
      </w:r>
    </w:p>
    <w:p w:rsidR="002D1B1D" w:rsidRDefault="002D1B1D" w:rsidP="002D1B1D">
      <w:pPr>
        <w:pStyle w:val="a3"/>
        <w:rPr>
          <w:kern w:val="0"/>
        </w:rPr>
      </w:pPr>
      <w:r>
        <w:rPr>
          <w:rFonts w:hint="eastAsia"/>
          <w:kern w:val="0"/>
        </w:rPr>
        <w:t xml:space="preserve">? </w:t>
      </w:r>
      <w:r>
        <w:rPr>
          <w:kern w:val="0"/>
        </w:rPr>
        <w:t>Weisscher, N., de Haan, R.J.</w:t>
      </w:r>
      <w:r w:rsidR="005853A9">
        <w:rPr>
          <w:kern w:val="0"/>
        </w:rPr>
        <w:t xml:space="preserve"> and </w:t>
      </w:r>
      <w:r>
        <w:rPr>
          <w:kern w:val="0"/>
        </w:rPr>
        <w:t>Vermeulen, M. (2007</w:t>
      </w:r>
      <w:r w:rsidR="00F42EAC">
        <w:rPr>
          <w:kern w:val="0"/>
        </w:rPr>
        <w:t>), The</w:t>
      </w:r>
      <w:r w:rsidR="003A1917">
        <w:rPr>
          <w:kern w:val="0"/>
        </w:rPr>
        <w:t xml:space="preserve"> </w:t>
      </w:r>
      <w:r>
        <w:rPr>
          <w:kern w:val="0"/>
        </w:rPr>
        <w:t>impact</w:t>
      </w:r>
      <w:r w:rsidR="00427468">
        <w:rPr>
          <w:kern w:val="0"/>
        </w:rPr>
        <w:t xml:space="preserve"> of </w:t>
      </w:r>
      <w:r>
        <w:rPr>
          <w:kern w:val="0"/>
        </w:rPr>
        <w:t>disease-related impairments on disability</w:t>
      </w:r>
      <w:r w:rsidR="005853A9">
        <w:rPr>
          <w:kern w:val="0"/>
        </w:rPr>
        <w:t xml:space="preserve"> and </w:t>
      </w:r>
      <w:r>
        <w:rPr>
          <w:kern w:val="0"/>
        </w:rPr>
        <w:t>health-related quality</w:t>
      </w:r>
      <w:r w:rsidR="00427468">
        <w:rPr>
          <w:kern w:val="0"/>
        </w:rPr>
        <w:t xml:space="preserve"> of </w:t>
      </w:r>
      <w:r>
        <w:rPr>
          <w:kern w:val="0"/>
        </w:rPr>
        <w:t xml:space="preserve">life: A systematic review. </w:t>
      </w:r>
      <w:r>
        <w:rPr>
          <w:i/>
          <w:iCs/>
          <w:kern w:val="0"/>
        </w:rPr>
        <w:t>BMC Medical Research Methodology</w:t>
      </w:r>
      <w:r>
        <w:rPr>
          <w:kern w:val="0"/>
        </w:rPr>
        <w:t xml:space="preserve">, </w:t>
      </w:r>
      <w:r>
        <w:rPr>
          <w:b/>
          <w:bCs/>
          <w:kern w:val="0"/>
        </w:rPr>
        <w:t>7</w:t>
      </w:r>
      <w:r>
        <w:rPr>
          <w:rFonts w:hint="eastAsia"/>
          <w:kern w:val="0"/>
        </w:rPr>
        <w:t xml:space="preserve">, </w:t>
      </w:r>
      <w:r>
        <w:t>Article Number: 24</w:t>
      </w:r>
      <w:r>
        <w:rPr>
          <w:rFonts w:hint="eastAsia"/>
        </w:rPr>
        <w:t>.</w:t>
      </w:r>
    </w:p>
    <w:p w:rsidR="002D1B1D" w:rsidRDefault="002D1B1D" w:rsidP="002D1B1D">
      <w:pPr>
        <w:pStyle w:val="a3"/>
      </w:pPr>
      <w:r>
        <w:rPr>
          <w:rFonts w:hint="eastAsia"/>
        </w:rPr>
        <w:t xml:space="preserve">Full Text: </w:t>
      </w:r>
      <w:hyperlink r:id="rId1638" w:history="1">
        <w:r w:rsidRPr="005A11C3">
          <w:rPr>
            <w:rStyle w:val="a5"/>
          </w:rPr>
          <w:t>2007\BMC Med Res Met7, 24.pdf</w:t>
        </w:r>
      </w:hyperlink>
    </w:p>
    <w:p w:rsidR="002D1B1D" w:rsidRDefault="002D1B1D" w:rsidP="002D1B1D">
      <w:pPr>
        <w:pStyle w:val="a3"/>
        <w:rPr>
          <w:kern w:val="0"/>
        </w:rPr>
      </w:pPr>
      <w:r>
        <w:rPr>
          <w:kern w:val="0"/>
        </w:rPr>
        <w:t>Abstract: Background: To investigate</w:t>
      </w:r>
      <w:r w:rsidR="003A1917">
        <w:rPr>
          <w:kern w:val="0"/>
        </w:rPr>
        <w:t xml:space="preserve"> the </w:t>
      </w:r>
      <w:r>
        <w:rPr>
          <w:kern w:val="0"/>
        </w:rPr>
        <w:t>interchangeability</w:t>
      </w:r>
      <w:r w:rsidR="00427468">
        <w:rPr>
          <w:kern w:val="0"/>
        </w:rPr>
        <w:t xml:space="preserve"> of </w:t>
      </w:r>
      <w:r>
        <w:rPr>
          <w:kern w:val="0"/>
        </w:rPr>
        <w:t>measures</w:t>
      </w:r>
      <w:r w:rsidR="00427468">
        <w:rPr>
          <w:kern w:val="0"/>
        </w:rPr>
        <w:t xml:space="preserve"> of </w:t>
      </w:r>
      <w:r>
        <w:rPr>
          <w:kern w:val="0"/>
        </w:rPr>
        <w:t>disability</w:t>
      </w:r>
      <w:r w:rsidR="005853A9">
        <w:rPr>
          <w:kern w:val="0"/>
        </w:rPr>
        <w:t xml:space="preserve"> and </w:t>
      </w:r>
      <w:r>
        <w:rPr>
          <w:kern w:val="0"/>
        </w:rPr>
        <w:t>healthrelated quality</w:t>
      </w:r>
      <w:r w:rsidR="00427468">
        <w:rPr>
          <w:kern w:val="0"/>
        </w:rPr>
        <w:t xml:space="preserve"> of </w:t>
      </w:r>
      <w:r>
        <w:rPr>
          <w:kern w:val="0"/>
        </w:rPr>
        <w:t>life (HRQL) by comparing their associations patterns with diseaserelated impairment measures in patients with a variety</w:t>
      </w:r>
      <w:r w:rsidR="00427468">
        <w:rPr>
          <w:kern w:val="0"/>
        </w:rPr>
        <w:t xml:space="preserve"> of </w:t>
      </w:r>
      <w:r>
        <w:rPr>
          <w:kern w:val="0"/>
        </w:rPr>
        <w:t>conditions. Methods: A systematic literature search</w:t>
      </w:r>
      <w:r w:rsidR="00427468">
        <w:rPr>
          <w:kern w:val="0"/>
        </w:rPr>
        <w:t xml:space="preserve"> of </w:t>
      </w:r>
      <w:r w:rsidR="00D5664A">
        <w:rPr>
          <w:kern w:val="0"/>
        </w:rPr>
        <w:t>MEDLINE</w:t>
      </w:r>
      <w:r>
        <w:rPr>
          <w:kern w:val="0"/>
        </w:rPr>
        <w:t xml:space="preserve">, EMBASE,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a hand search</w:t>
      </w:r>
      <w:r w:rsidR="00427468">
        <w:rPr>
          <w:kern w:val="0"/>
        </w:rPr>
        <w:t xml:space="preserve"> of </w:t>
      </w:r>
      <w:r>
        <w:rPr>
          <w:kern w:val="0"/>
        </w:rPr>
        <w:t>reference lists through January 2006. Studies were included if they reported associations patterns between impairment</w:t>
      </w:r>
      <w:r w:rsidR="005853A9">
        <w:rPr>
          <w:kern w:val="0"/>
        </w:rPr>
        <w:t xml:space="preserve"> and </w:t>
      </w:r>
      <w:r>
        <w:rPr>
          <w:kern w:val="0"/>
        </w:rPr>
        <w:t>disability</w:t>
      </w:r>
      <w:r w:rsidR="005853A9">
        <w:rPr>
          <w:kern w:val="0"/>
        </w:rPr>
        <w:t xml:space="preserve"> and </w:t>
      </w:r>
      <w:r>
        <w:rPr>
          <w:kern w:val="0"/>
        </w:rPr>
        <w:t>between impairment</w:t>
      </w:r>
      <w:r w:rsidR="005853A9">
        <w:rPr>
          <w:kern w:val="0"/>
        </w:rPr>
        <w:t xml:space="preserve"> and </w:t>
      </w:r>
      <w:r>
        <w:rPr>
          <w:kern w:val="0"/>
        </w:rPr>
        <w:t>HRQL. Correlation coefficients were transformed to Fisher</w:t>
      </w:r>
      <w:r w:rsidR="00700038">
        <w:rPr>
          <w:kern w:val="0"/>
        </w:rPr>
        <w:t>’</w:t>
      </w:r>
      <w:r w:rsidR="00C13DDC">
        <w:rPr>
          <w:kern w:val="0"/>
        </w:rPr>
        <w:t>s</w:t>
      </w:r>
      <w:r>
        <w:rPr>
          <w:kern w:val="0"/>
        </w:rPr>
        <w:t xml:space="preserve"> z effect size (ES(z)). Weighted averages were reported as pooled ES(z) with 95% confidence intervals (CI). Results:</w:t>
      </w:r>
      <w:r w:rsidR="003A1917">
        <w:rPr>
          <w:kern w:val="0"/>
        </w:rPr>
        <w:t xml:space="preserve"> the </w:t>
      </w:r>
      <w:r>
        <w:rPr>
          <w:kern w:val="0"/>
        </w:rPr>
        <w:t>relationship between impairment</w:t>
      </w:r>
      <w:r w:rsidR="005853A9">
        <w:rPr>
          <w:kern w:val="0"/>
        </w:rPr>
        <w:t xml:space="preserve"> and </w:t>
      </w:r>
      <w:r>
        <w:rPr>
          <w:kern w:val="0"/>
        </w:rPr>
        <w:t>disability was stronger (pooled ES(z) = 0.69; 95% CI, 0.66 0.72) than between impairment</w:t>
      </w:r>
      <w:r w:rsidR="005853A9">
        <w:rPr>
          <w:kern w:val="0"/>
        </w:rPr>
        <w:t xml:space="preserve"> and </w:t>
      </w:r>
      <w:r>
        <w:rPr>
          <w:kern w:val="0"/>
        </w:rPr>
        <w:t>HRQL (pooled ES(z) = 0.38; 95% CI, 0.36-0.41)</w:t>
      </w:r>
      <w:r w:rsidR="00A37C1D">
        <w:rPr>
          <w:kern w:val="0"/>
        </w:rPr>
        <w:t>. The</w:t>
      </w:r>
      <w:r w:rsidR="003A1917">
        <w:rPr>
          <w:kern w:val="0"/>
        </w:rPr>
        <w:t xml:space="preserve"> </w:t>
      </w:r>
      <w:r>
        <w:rPr>
          <w:kern w:val="0"/>
        </w:rPr>
        <w:t>physical component score (pooled ES(z) = 0.43; 95% CI, 0.39 0.47)</w:t>
      </w:r>
      <w:r w:rsidR="005853A9">
        <w:rPr>
          <w:kern w:val="0"/>
        </w:rPr>
        <w:t xml:space="preserve"> and </w:t>
      </w:r>
      <w:r>
        <w:rPr>
          <w:kern w:val="0"/>
        </w:rPr>
        <w:t>diseasespecific HRQL (pooled ES(z) = 0.46; 95% CI, 0.40 0.51) were stronger associated with impairments than</w:t>
      </w:r>
      <w:r w:rsidR="003A1917">
        <w:rPr>
          <w:kern w:val="0"/>
        </w:rPr>
        <w:t xml:space="preserve"> the </w:t>
      </w:r>
      <w:r>
        <w:rPr>
          <w:kern w:val="0"/>
        </w:rPr>
        <w:t>mental component score (pooled ES(z) = 0.28; 95% CI, 0.20 0.36)</w:t>
      </w:r>
      <w:r w:rsidR="005853A9">
        <w:rPr>
          <w:kern w:val="0"/>
        </w:rPr>
        <w:t xml:space="preserve"> and </w:t>
      </w:r>
      <w:r>
        <w:rPr>
          <w:kern w:val="0"/>
        </w:rPr>
        <w:t>generic HRQL (pooled ES(z) = 0.36; 95% CI, 0.33 0.39). Conclusion: This study shows measures</w:t>
      </w:r>
      <w:r w:rsidR="00427468">
        <w:rPr>
          <w:kern w:val="0"/>
        </w:rPr>
        <w:t xml:space="preserve"> of </w:t>
      </w:r>
      <w:r>
        <w:rPr>
          <w:kern w:val="0"/>
        </w:rPr>
        <w:t>disability</w:t>
      </w:r>
      <w:r w:rsidR="005853A9">
        <w:rPr>
          <w:kern w:val="0"/>
        </w:rPr>
        <w:t xml:space="preserve"> and </w:t>
      </w:r>
      <w:r>
        <w:rPr>
          <w:kern w:val="0"/>
        </w:rPr>
        <w:t>different HRQL domains were not equally related to impairment. Patient</w:t>
      </w:r>
      <w:r w:rsidR="00700038">
        <w:rPr>
          <w:kern w:val="0"/>
        </w:rPr>
        <w:t>’</w:t>
      </w:r>
      <w:r w:rsidR="00C13DDC">
        <w:rPr>
          <w:kern w:val="0"/>
        </w:rPr>
        <w:t>s</w:t>
      </w:r>
      <w:r>
        <w:rPr>
          <w:kern w:val="0"/>
        </w:rPr>
        <w:t xml:space="preserve"> impairments are better reflected in disability measures, than in HRQL instruments</w:t>
      </w:r>
      <w:r w:rsidR="00A37C1D">
        <w:rPr>
          <w:kern w:val="0"/>
        </w:rPr>
        <w:t>. The</w:t>
      </w:r>
      <w:r>
        <w:rPr>
          <w:kern w:val="0"/>
        </w:rPr>
        <w:t>re are many outcomes</w:t>
      </w:r>
      <w:r w:rsidR="00427468">
        <w:rPr>
          <w:kern w:val="0"/>
        </w:rPr>
        <w:t xml:space="preserve"> of </w:t>
      </w:r>
      <w:r>
        <w:rPr>
          <w:kern w:val="0"/>
        </w:rPr>
        <w:t>interest</w:t>
      </w:r>
      <w:r w:rsidR="005853A9">
        <w:rPr>
          <w:kern w:val="0"/>
        </w:rPr>
        <w:t xml:space="preserve"> and </w:t>
      </w:r>
      <w:r>
        <w:rPr>
          <w:kern w:val="0"/>
        </w:rPr>
        <w:t>precisely defining them</w:t>
      </w:r>
      <w:r w:rsidR="005853A9">
        <w:rPr>
          <w:kern w:val="0"/>
        </w:rPr>
        <w:t xml:space="preserve"> and </w:t>
      </w:r>
      <w:r>
        <w:rPr>
          <w:kern w:val="0"/>
        </w:rPr>
        <w:t>measuring them will improve assessing</w:t>
      </w:r>
      <w:r w:rsidR="003A1917">
        <w:rPr>
          <w:kern w:val="0"/>
        </w:rPr>
        <w:t xml:space="preserve"> the </w:t>
      </w:r>
      <w:r>
        <w:rPr>
          <w:kern w:val="0"/>
        </w:rPr>
        <w:t>impact</w:t>
      </w:r>
      <w:r w:rsidR="00427468">
        <w:rPr>
          <w:kern w:val="0"/>
        </w:rPr>
        <w:t xml:space="preserve"> of </w:t>
      </w:r>
      <w:r>
        <w:rPr>
          <w:kern w:val="0"/>
        </w:rPr>
        <w:t>new interventions.</w:t>
      </w:r>
    </w:p>
    <w:p w:rsidR="002D1B1D" w:rsidRDefault="002D1B1D" w:rsidP="002D1B1D">
      <w:pPr>
        <w:pStyle w:val="a3"/>
        <w:rPr>
          <w:kern w:val="0"/>
        </w:rPr>
      </w:pPr>
      <w:r>
        <w:rPr>
          <w:kern w:val="0"/>
        </w:rPr>
        <w:t>Keywords: Comprehensive Assessment, Confidence Intervals, Correlation, EMBASE, Functional Status, Health-Related Quality</w:t>
      </w:r>
      <w:r w:rsidR="00427468">
        <w:rPr>
          <w:kern w:val="0"/>
        </w:rPr>
        <w:t xml:space="preserve"> of </w:t>
      </w:r>
      <w:r>
        <w:rPr>
          <w:kern w:val="0"/>
        </w:rPr>
        <w:t xml:space="preserve">Life, Impact, Interest, Interventions, Literature, </w:t>
      </w:r>
      <w:r w:rsidR="00D5664A">
        <w:rPr>
          <w:kern w:val="0"/>
        </w:rPr>
        <w:t>MEDLINE</w:t>
      </w:r>
      <w:r>
        <w:rPr>
          <w:kern w:val="0"/>
        </w:rPr>
        <w:t>, Methods, Multiple-Sclerosis, Outcome Measures, Outcomes, Parkinsons-Disease, Quality</w:t>
      </w:r>
      <w:r w:rsidR="00427468">
        <w:rPr>
          <w:kern w:val="0"/>
        </w:rPr>
        <w:t xml:space="preserve"> of </w:t>
      </w:r>
      <w:r>
        <w:rPr>
          <w:kern w:val="0"/>
        </w:rPr>
        <w:t xml:space="preserve">Life, Review, Rheumatoid-Arthritis, Scales, Science, Spinal-Cord Injury, Status Questionnaire, Systematic, Systematic Review, Validity, </w:t>
      </w:r>
      <w:r w:rsidR="00D5664A">
        <w:rPr>
          <w:kern w:val="0"/>
        </w:rPr>
        <w:t>Web</w:t>
      </w:r>
      <w:r w:rsidR="00427468">
        <w:rPr>
          <w:kern w:val="0"/>
        </w:rPr>
        <w:t xml:space="preserve"> of </w:t>
      </w:r>
      <w:r w:rsidR="00D5664A">
        <w:rPr>
          <w:kern w:val="0"/>
        </w:rPr>
        <w:t>Science</w:t>
      </w:r>
    </w:p>
    <w:p w:rsidR="00FA4269" w:rsidRPr="001A3D2B" w:rsidRDefault="00FA4269" w:rsidP="00FA4269">
      <w:pPr>
        <w:pStyle w:val="a3"/>
      </w:pPr>
      <w:r w:rsidRPr="001A3D2B">
        <w:t>? Benamer, H.T.S.</w:t>
      </w:r>
      <w:r w:rsidR="005853A9">
        <w:t xml:space="preserve"> and </w:t>
      </w:r>
      <w:r w:rsidRPr="001A3D2B">
        <w:t xml:space="preserve">Bakoush, O. (2009), Arab nations lagging behind other Middle Eastern countries in biomedical research: A comparative study. </w:t>
      </w:r>
      <w:r w:rsidRPr="001A3D2B">
        <w:rPr>
          <w:i/>
          <w:iCs/>
        </w:rPr>
        <w:t>BMC Medical Research Methodology</w:t>
      </w:r>
      <w:r w:rsidRPr="001A3D2B">
        <w:t xml:space="preserve">, </w:t>
      </w:r>
      <w:r w:rsidRPr="001A3D2B">
        <w:rPr>
          <w:b/>
          <w:bCs/>
        </w:rPr>
        <w:t>9</w:t>
      </w:r>
      <w:r w:rsidRPr="001A3D2B">
        <w:t xml:space="preserve">, </w:t>
      </w:r>
      <w:r w:rsidR="00007C83" w:rsidRPr="001A3D2B">
        <w:t xml:space="preserve">Article Number: </w:t>
      </w:r>
      <w:r w:rsidRPr="001A3D2B">
        <w:t>26.</w:t>
      </w:r>
    </w:p>
    <w:p w:rsidR="00FA4269" w:rsidRPr="001A3D2B" w:rsidRDefault="00FA4269" w:rsidP="00FA4269">
      <w:pPr>
        <w:pStyle w:val="a3"/>
      </w:pPr>
      <w:r w:rsidRPr="001A3D2B">
        <w:t xml:space="preserve">Full Text: </w:t>
      </w:r>
      <w:hyperlink r:id="rId1639" w:history="1">
        <w:r w:rsidRPr="001A3D2B">
          <w:rPr>
            <w:rStyle w:val="a5"/>
          </w:rPr>
          <w:t>2009\BMC Med Res Met9, 26.pdf</w:t>
        </w:r>
      </w:hyperlink>
    </w:p>
    <w:p w:rsidR="00FA4269" w:rsidRPr="001A3D2B" w:rsidRDefault="00FA4269" w:rsidP="00FA4269">
      <w:pPr>
        <w:pStyle w:val="a3"/>
      </w:pPr>
      <w:r w:rsidRPr="001A3D2B">
        <w:t>Abstract: Background: Analysis</w:t>
      </w:r>
      <w:r w:rsidR="00427468">
        <w:t xml:space="preserve"> of </w:t>
      </w:r>
      <w:r w:rsidRPr="001A3D2B">
        <w:t>biomedical research</w:t>
      </w:r>
      <w:r w:rsidR="005853A9">
        <w:t xml:space="preserve"> and </w:t>
      </w:r>
      <w:r w:rsidRPr="001A3D2B">
        <w:t>publications in a country or group</w:t>
      </w:r>
      <w:r w:rsidR="00427468">
        <w:t xml:space="preserve"> of </w:t>
      </w:r>
      <w:r w:rsidRPr="001A3D2B">
        <w:t>countries is used to monitor research progress</w:t>
      </w:r>
      <w:r w:rsidR="005853A9">
        <w:t xml:space="preserve"> and </w:t>
      </w:r>
      <w:r w:rsidRPr="001A3D2B">
        <w:t>trends. This study aims to assess</w:t>
      </w:r>
      <w:r w:rsidR="003A1917">
        <w:t xml:space="preserve"> the </w:t>
      </w:r>
      <w:r w:rsidRPr="001A3D2B">
        <w:t>performance</w:t>
      </w:r>
      <w:r w:rsidR="00427468">
        <w:t xml:space="preserve"> of </w:t>
      </w:r>
      <w:r w:rsidRPr="001A3D2B">
        <w:t>biomedical research in</w:t>
      </w:r>
      <w:r w:rsidR="003A1917">
        <w:t xml:space="preserve"> the </w:t>
      </w:r>
      <w:r w:rsidRPr="001A3D2B">
        <w:t>Arab world during 2001-2005</w:t>
      </w:r>
      <w:r w:rsidR="005853A9">
        <w:t xml:space="preserve"> </w:t>
      </w:r>
      <w:r w:rsidR="005853A9">
        <w:lastRenderedPageBreak/>
        <w:t xml:space="preserve">and </w:t>
      </w:r>
      <w:r w:rsidRPr="001A3D2B">
        <w:t>to compare it with other Middle Eastern non-Arab countries.</w:t>
      </w:r>
    </w:p>
    <w:p w:rsidR="00FA4269" w:rsidRPr="001A3D2B" w:rsidRDefault="00FA4269" w:rsidP="00FA4269">
      <w:pPr>
        <w:pStyle w:val="a3"/>
      </w:pPr>
      <w:r w:rsidRPr="001A3D2B">
        <w:t xml:space="preserve">Methods: </w:t>
      </w:r>
      <w:r w:rsidR="002C12F0">
        <w:t>PUBMED</w:t>
      </w:r>
      <w:r w:rsidR="005853A9">
        <w:t xml:space="preserve"> and </w:t>
      </w:r>
      <w:r w:rsidRPr="001A3D2B">
        <w:t>Science Citation Index Expanded (SCI-expanded) were searched systematically for</w:t>
      </w:r>
      <w:r w:rsidR="003A1917">
        <w:t xml:space="preserve"> the </w:t>
      </w:r>
      <w:r w:rsidRPr="001A3D2B">
        <w:t>original biomedical research publications</w:t>
      </w:r>
      <w:r w:rsidR="005853A9">
        <w:t xml:space="preserve"> and </w:t>
      </w:r>
      <w:r w:rsidRPr="001A3D2B">
        <w:t>their citation frequencies</w:t>
      </w:r>
      <w:r w:rsidR="00427468">
        <w:t xml:space="preserve"> of </w:t>
      </w:r>
      <w:r w:rsidRPr="001A3D2B">
        <w:t>16 Arab nations</w:t>
      </w:r>
      <w:r w:rsidR="005853A9">
        <w:t xml:space="preserve"> and </w:t>
      </w:r>
      <w:r w:rsidRPr="001A3D2B">
        <w:t>three non-Arab Middle Eastern countries (Iran, Israel</w:t>
      </w:r>
      <w:r w:rsidR="005853A9">
        <w:t xml:space="preserve"> and </w:t>
      </w:r>
      <w:r w:rsidRPr="001A3D2B">
        <w:t>Turkey), all</w:t>
      </w:r>
      <w:r w:rsidR="00427468">
        <w:t xml:space="preserve"> of </w:t>
      </w:r>
      <w:r w:rsidRPr="001A3D2B">
        <w:t>which are classified as middle or high income countries.</w:t>
      </w:r>
    </w:p>
    <w:p w:rsidR="00FA4269" w:rsidRPr="001A3D2B" w:rsidRDefault="00FA4269" w:rsidP="00FA4269">
      <w:pPr>
        <w:pStyle w:val="a3"/>
      </w:pPr>
      <w:r w:rsidRPr="001A3D2B">
        <w:t>Results:</w:t>
      </w:r>
      <w:r w:rsidR="003A1917">
        <w:t xml:space="preserve"> the </w:t>
      </w:r>
      <w:r w:rsidRPr="001A3D2B">
        <w:t>16 Arab countries together have 5775</w:t>
      </w:r>
      <w:r w:rsidR="005853A9">
        <w:t xml:space="preserve"> and </w:t>
      </w:r>
      <w:r w:rsidRPr="001A3D2B">
        <w:t xml:space="preserve">14,374 original research articles listed by </w:t>
      </w:r>
      <w:r w:rsidR="002C12F0">
        <w:t>PUBMED</w:t>
      </w:r>
      <w:r w:rsidR="005853A9">
        <w:t xml:space="preserve"> and </w:t>
      </w:r>
      <w:r w:rsidRPr="001A3D2B">
        <w:t>SCI-expanded, respectively, significantly less (p &lt; 0.001) than</w:t>
      </w:r>
      <w:r w:rsidR="003A1917">
        <w:t xml:space="preserve"> the </w:t>
      </w:r>
      <w:r w:rsidRPr="001A3D2B">
        <w:t>other three Middle Eastern countries (25,643</w:t>
      </w:r>
      <w:r w:rsidR="005853A9">
        <w:t xml:space="preserve"> and </w:t>
      </w:r>
      <w:r w:rsidRPr="001A3D2B">
        <w:t>49,110)</w:t>
      </w:r>
      <w:r w:rsidR="00A37C1D">
        <w:t>. The</w:t>
      </w:r>
      <w:r w:rsidR="003A1917">
        <w:t xml:space="preserve"> </w:t>
      </w:r>
      <w:r w:rsidRPr="001A3D2B">
        <w:t>Arab countries also scored less when</w:t>
      </w:r>
      <w:r w:rsidR="003A1917">
        <w:t xml:space="preserve"> the </w:t>
      </w:r>
      <w:r w:rsidRPr="001A3D2B">
        <w:t>data were normalized to population, gross domestic product (GDP),</w:t>
      </w:r>
      <w:r w:rsidR="005853A9">
        <w:t xml:space="preserve"> and </w:t>
      </w:r>
      <w:r w:rsidRPr="001A3D2B">
        <w:t>GDP/capita</w:t>
      </w:r>
      <w:r w:rsidR="00A37C1D">
        <w:t>. The</w:t>
      </w:r>
      <w:r w:rsidR="003A1917">
        <w:t xml:space="preserve"> </w:t>
      </w:r>
      <w:r w:rsidRPr="001A3D2B">
        <w:t>publications from</w:t>
      </w:r>
      <w:r w:rsidR="003A1917">
        <w:t xml:space="preserve"> the </w:t>
      </w:r>
      <w:r w:rsidRPr="001A3D2B">
        <w:t>Arab countries also have a significantly lower (p &lt; 0.001) citation frequency.</w:t>
      </w:r>
    </w:p>
    <w:p w:rsidR="00FA4269" w:rsidRPr="001A3D2B" w:rsidRDefault="00FA4269" w:rsidP="00FA4269">
      <w:pPr>
        <w:pStyle w:val="a3"/>
      </w:pPr>
      <w:r w:rsidRPr="001A3D2B">
        <w:t>Conclusion:</w:t>
      </w:r>
      <w:r w:rsidR="003A1917">
        <w:t xml:space="preserve"> the </w:t>
      </w:r>
      <w:r w:rsidRPr="001A3D2B">
        <w:t>Arab world is producing fewer biomedical publications</w:t>
      </w:r>
      <w:r w:rsidR="00427468">
        <w:t xml:space="preserve"> of </w:t>
      </w:r>
      <w:r w:rsidRPr="001A3D2B">
        <w:t>lower quality than other Middle Eastern countries. Studies are needed to clarify</w:t>
      </w:r>
      <w:r w:rsidR="003A1917">
        <w:t xml:space="preserve"> the </w:t>
      </w:r>
      <w:r w:rsidRPr="001A3D2B">
        <w:t>causes</w:t>
      </w:r>
      <w:r w:rsidR="005853A9">
        <w:t xml:space="preserve"> and </w:t>
      </w:r>
      <w:r w:rsidRPr="001A3D2B">
        <w:t>to propose strategies to improve</w:t>
      </w:r>
      <w:r w:rsidR="003A1917">
        <w:t xml:space="preserve"> the </w:t>
      </w:r>
      <w:r w:rsidRPr="001A3D2B">
        <w:t>biomedical research status in Arab countries.</w:t>
      </w:r>
    </w:p>
    <w:p w:rsidR="00FA4269" w:rsidRPr="001A3D2B" w:rsidRDefault="00FA4269" w:rsidP="00FA4269">
      <w:pPr>
        <w:pStyle w:val="a3"/>
      </w:pPr>
      <w:r w:rsidRPr="001A3D2B">
        <w:t>Keywords: Publications, Geography, Journals, Impact, Index</w:t>
      </w:r>
    </w:p>
    <w:p w:rsidR="00C01B08" w:rsidRPr="001A3D2B" w:rsidRDefault="00C01B08" w:rsidP="00C01B08">
      <w:pPr>
        <w:pStyle w:val="a3"/>
        <w:rPr>
          <w:kern w:val="0"/>
        </w:rPr>
      </w:pPr>
      <w:r w:rsidRPr="001A3D2B">
        <w:rPr>
          <w:kern w:val="0"/>
        </w:rPr>
        <w:t>? Takahashi-Omoe, H., Omoe, K.</w:t>
      </w:r>
      <w:r w:rsidR="005853A9">
        <w:rPr>
          <w:kern w:val="0"/>
        </w:rPr>
        <w:t xml:space="preserve"> and </w:t>
      </w:r>
      <w:r w:rsidRPr="001A3D2B">
        <w:rPr>
          <w:kern w:val="0"/>
        </w:rPr>
        <w:t>Okabe, N. (2009), New journal selection for quantitative survey</w:t>
      </w:r>
      <w:r w:rsidR="00427468">
        <w:rPr>
          <w:kern w:val="0"/>
        </w:rPr>
        <w:t xml:space="preserve"> of </w:t>
      </w:r>
      <w:r w:rsidRPr="001A3D2B">
        <w:rPr>
          <w:kern w:val="0"/>
        </w:rPr>
        <w:t xml:space="preserve">infectious disease research: Application for Asian trend analysis. </w:t>
      </w:r>
      <w:r w:rsidRPr="001A3D2B">
        <w:rPr>
          <w:i/>
          <w:iCs/>
          <w:kern w:val="0"/>
        </w:rPr>
        <w:t>BMC Medical Research Methodology</w:t>
      </w:r>
      <w:r w:rsidRPr="001A3D2B">
        <w:rPr>
          <w:kern w:val="0"/>
        </w:rPr>
        <w:t xml:space="preserve">, </w:t>
      </w:r>
      <w:r w:rsidRPr="001A3D2B">
        <w:rPr>
          <w:b/>
          <w:bCs/>
          <w:kern w:val="0"/>
        </w:rPr>
        <w:t>9</w:t>
      </w:r>
      <w:r w:rsidRPr="001A3D2B">
        <w:rPr>
          <w:kern w:val="0"/>
        </w:rPr>
        <w:t xml:space="preserve">, </w:t>
      </w:r>
      <w:r w:rsidRPr="001A3D2B">
        <w:t>Article Number: 67.</w:t>
      </w:r>
    </w:p>
    <w:p w:rsidR="00C01B08" w:rsidRPr="001A3D2B" w:rsidRDefault="00C01B08" w:rsidP="00C01B08">
      <w:pPr>
        <w:pStyle w:val="a3"/>
      </w:pPr>
      <w:r w:rsidRPr="001A3D2B">
        <w:t xml:space="preserve">Full Text: </w:t>
      </w:r>
      <w:hyperlink r:id="rId1640" w:history="1">
        <w:r w:rsidRPr="001A3D2B">
          <w:rPr>
            <w:rStyle w:val="a5"/>
          </w:rPr>
          <w:t>2009\BMC Med Res Met9, 67.pdf</w:t>
        </w:r>
      </w:hyperlink>
    </w:p>
    <w:p w:rsidR="00C01B08" w:rsidRPr="001A3D2B" w:rsidRDefault="00C01B08" w:rsidP="00C01B08">
      <w:pPr>
        <w:pStyle w:val="a3"/>
        <w:rPr>
          <w:kern w:val="0"/>
        </w:rPr>
      </w:pPr>
      <w:r w:rsidRPr="001A3D2B">
        <w:rPr>
          <w:kern w:val="0"/>
        </w:rPr>
        <w:t>Abstract: Background: Quantitative survey</w:t>
      </w:r>
      <w:r w:rsidR="00427468">
        <w:rPr>
          <w:kern w:val="0"/>
        </w:rPr>
        <w:t xml:space="preserve"> of </w:t>
      </w:r>
      <w:r w:rsidRPr="001A3D2B">
        <w:rPr>
          <w:kern w:val="0"/>
        </w:rPr>
        <w:t>research articles, as an application</w:t>
      </w:r>
      <w:r w:rsidR="00427468">
        <w:rPr>
          <w:kern w:val="0"/>
        </w:rPr>
        <w:t xml:space="preserve"> of </w:t>
      </w:r>
      <w:r w:rsidRPr="001A3D2B">
        <w:rPr>
          <w:kern w:val="0"/>
        </w:rPr>
        <w:t>bibliometrics, is an effective tool for grasping overall trends in various medical research fields. This type</w:t>
      </w:r>
      <w:r w:rsidR="00427468">
        <w:rPr>
          <w:kern w:val="0"/>
        </w:rPr>
        <w:t xml:space="preserve"> of </w:t>
      </w:r>
      <w:r w:rsidRPr="001A3D2B">
        <w:rPr>
          <w:kern w:val="0"/>
        </w:rPr>
        <w:t>survey has been also applied to infectious disease research; however, previous studies were insufficient as they underestimated articles published in non-English or regional journals. Methods: Using a combination</w:t>
      </w:r>
      <w:r w:rsidR="00427468">
        <w:rPr>
          <w:kern w:val="0"/>
        </w:rPr>
        <w:t xml:space="preserve"> of </w:t>
      </w:r>
      <w:r w:rsidRPr="001A3D2B">
        <w:rPr>
          <w:kern w:val="0"/>
        </w:rPr>
        <w:t>Scopus (TM)</w:t>
      </w:r>
      <w:r w:rsidR="005853A9">
        <w:rPr>
          <w:kern w:val="0"/>
        </w:rPr>
        <w:t xml:space="preserve"> and </w:t>
      </w:r>
      <w:r w:rsidR="002C12F0">
        <w:rPr>
          <w:kern w:val="0"/>
        </w:rPr>
        <w:t>PUBMED</w:t>
      </w:r>
      <w:r w:rsidRPr="001A3D2B">
        <w:rPr>
          <w:kern w:val="0"/>
        </w:rPr>
        <w:t>,</w:t>
      </w:r>
      <w:r w:rsidR="003A1917">
        <w:rPr>
          <w:kern w:val="0"/>
        </w:rPr>
        <w:t xml:space="preserve"> the </w:t>
      </w:r>
      <w:r w:rsidRPr="001A3D2B">
        <w:rPr>
          <w:kern w:val="0"/>
        </w:rPr>
        <w:t>databases</w:t>
      </w:r>
      <w:r w:rsidR="00427468">
        <w:rPr>
          <w:kern w:val="0"/>
        </w:rPr>
        <w:t xml:space="preserve"> of </w:t>
      </w:r>
      <w:r w:rsidRPr="001A3D2B">
        <w:rPr>
          <w:kern w:val="0"/>
        </w:rPr>
        <w:t>scientific literature,</w:t>
      </w:r>
      <w:r w:rsidR="005853A9">
        <w:rPr>
          <w:kern w:val="0"/>
        </w:rPr>
        <w:t xml:space="preserve"> and </w:t>
      </w:r>
      <w:r w:rsidRPr="001A3D2B">
        <w:rPr>
          <w:kern w:val="0"/>
        </w:rPr>
        <w:t>English</w:t>
      </w:r>
      <w:r w:rsidR="005853A9">
        <w:rPr>
          <w:kern w:val="0"/>
        </w:rPr>
        <w:t xml:space="preserve"> and </w:t>
      </w:r>
      <w:r w:rsidRPr="001A3D2B">
        <w:rPr>
          <w:kern w:val="0"/>
        </w:rPr>
        <w:t>non-English keywords directly linked to infectious disease control, we identified international</w:t>
      </w:r>
      <w:r w:rsidR="005853A9">
        <w:rPr>
          <w:kern w:val="0"/>
        </w:rPr>
        <w:t xml:space="preserve"> and </w:t>
      </w:r>
      <w:r w:rsidRPr="001A3D2B">
        <w:rPr>
          <w:kern w:val="0"/>
        </w:rPr>
        <w:t>regional infectious disease journals. In order to ascertain whether</w:t>
      </w:r>
      <w:r w:rsidR="003A1917">
        <w:rPr>
          <w:kern w:val="0"/>
        </w:rPr>
        <w:t xml:space="preserve"> the </w:t>
      </w:r>
      <w:r w:rsidRPr="001A3D2B">
        <w:rPr>
          <w:kern w:val="0"/>
        </w:rPr>
        <w:t>newly selected journals were appropriate to survey a wide range</w:t>
      </w:r>
      <w:r w:rsidR="00427468">
        <w:rPr>
          <w:kern w:val="0"/>
        </w:rPr>
        <w:t xml:space="preserve"> of </w:t>
      </w:r>
      <w:r w:rsidRPr="001A3D2B">
        <w:rPr>
          <w:kern w:val="0"/>
        </w:rPr>
        <w:t>research articles, we compared</w:t>
      </w:r>
      <w:r w:rsidR="003A1917">
        <w:rPr>
          <w:kern w:val="0"/>
        </w:rPr>
        <w:t xml:space="preserve"> the </w:t>
      </w:r>
      <w:r w:rsidRPr="001A3D2B">
        <w:rPr>
          <w:kern w:val="0"/>
        </w:rPr>
        <w:t>number</w:t>
      </w:r>
      <w:r w:rsidR="00427468">
        <w:rPr>
          <w:kern w:val="0"/>
        </w:rPr>
        <w:t xml:space="preserve"> of </w:t>
      </w:r>
      <w:r w:rsidRPr="001A3D2B">
        <w:rPr>
          <w:kern w:val="0"/>
        </w:rPr>
        <w:t>original articles</w:t>
      </w:r>
      <w:r w:rsidR="005853A9">
        <w:rPr>
          <w:kern w:val="0"/>
        </w:rPr>
        <w:t xml:space="preserve"> and </w:t>
      </w:r>
      <w:r w:rsidRPr="001A3D2B">
        <w:rPr>
          <w:kern w:val="0"/>
        </w:rPr>
        <w:t>reviews registered in</w:t>
      </w:r>
      <w:r w:rsidR="003A1917">
        <w:rPr>
          <w:kern w:val="0"/>
        </w:rPr>
        <w:t xml:space="preserve"> the </w:t>
      </w:r>
      <w:r w:rsidRPr="001A3D2B">
        <w:rPr>
          <w:kern w:val="0"/>
        </w:rPr>
        <w:t>selected journals to those in</w:t>
      </w:r>
      <w:r w:rsidR="003A1917">
        <w:rPr>
          <w:kern w:val="0"/>
        </w:rPr>
        <w:t xml:space="preserve"> the </w:t>
      </w:r>
      <w:r w:rsidR="00700038">
        <w:rPr>
          <w:kern w:val="0"/>
        </w:rPr>
        <w:t>‘</w:t>
      </w:r>
      <w:r w:rsidRPr="001A3D2B">
        <w:rPr>
          <w:kern w:val="0"/>
        </w:rPr>
        <w:t>Infectious Disease Category</w:t>
      </w:r>
      <w:r w:rsidR="00700038">
        <w:rPr>
          <w:kern w:val="0"/>
        </w:rPr>
        <w:t>’</w:t>
      </w:r>
      <w:r w:rsidR="00427468">
        <w:rPr>
          <w:kern w:val="0"/>
        </w:rPr>
        <w:t xml:space="preserve"> of </w:t>
      </w:r>
      <w:r w:rsidR="003A1917">
        <w:rPr>
          <w:kern w:val="0"/>
        </w:rPr>
        <w:t xml:space="preserve">the </w:t>
      </w:r>
      <w:r w:rsidRPr="001A3D2B">
        <w:rPr>
          <w:kern w:val="0"/>
        </w:rPr>
        <w:t>Science Citation Index Expanded (TM) (SCI Infectious Disease Category) during 1998-2006. Subsequently, we applied</w:t>
      </w:r>
      <w:r w:rsidR="003A1917">
        <w:rPr>
          <w:kern w:val="0"/>
        </w:rPr>
        <w:t xml:space="preserve"> the </w:t>
      </w:r>
      <w:r w:rsidRPr="001A3D2B">
        <w:rPr>
          <w:kern w:val="0"/>
        </w:rPr>
        <w:t>newly selected journals to survey</w:t>
      </w:r>
      <w:r w:rsidR="003A1917">
        <w:rPr>
          <w:kern w:val="0"/>
        </w:rPr>
        <w:t xml:space="preserve"> the </w:t>
      </w:r>
      <w:r w:rsidRPr="001A3D2B">
        <w:rPr>
          <w:kern w:val="0"/>
        </w:rPr>
        <w:t>number</w:t>
      </w:r>
      <w:r w:rsidR="00427468">
        <w:rPr>
          <w:kern w:val="0"/>
        </w:rPr>
        <w:t xml:space="preserve"> of </w:t>
      </w:r>
      <w:r w:rsidRPr="001A3D2B">
        <w:rPr>
          <w:kern w:val="0"/>
        </w:rPr>
        <w:t>original articles</w:t>
      </w:r>
      <w:r w:rsidR="005853A9">
        <w:rPr>
          <w:kern w:val="0"/>
        </w:rPr>
        <w:t xml:space="preserve"> and </w:t>
      </w:r>
      <w:r w:rsidRPr="001A3D2B">
        <w:rPr>
          <w:kern w:val="0"/>
        </w:rPr>
        <w:t>reviews originating from 11 Asian countries during</w:t>
      </w:r>
      <w:r w:rsidR="003A1917">
        <w:rPr>
          <w:kern w:val="0"/>
        </w:rPr>
        <w:t xml:space="preserve"> the </w:t>
      </w:r>
      <w:r w:rsidRPr="001A3D2B">
        <w:rPr>
          <w:kern w:val="0"/>
        </w:rPr>
        <w:t>same period. Results: One hundred journals, written in English or 7 non-English languages, were newly selected as infectious disease journals</w:t>
      </w:r>
      <w:r w:rsidR="00A37C1D">
        <w:rPr>
          <w:kern w:val="0"/>
        </w:rPr>
        <w:t>. The</w:t>
      </w:r>
      <w:r w:rsidR="003A1917">
        <w:rPr>
          <w:kern w:val="0"/>
        </w:rPr>
        <w:t xml:space="preserve"> </w:t>
      </w:r>
      <w:r w:rsidRPr="001A3D2B">
        <w:rPr>
          <w:kern w:val="0"/>
        </w:rPr>
        <w:t>journals published 14,156 original articles</w:t>
      </w:r>
      <w:r w:rsidR="005853A9">
        <w:rPr>
          <w:kern w:val="0"/>
        </w:rPr>
        <w:t xml:space="preserve"> and </w:t>
      </w:r>
      <w:r w:rsidRPr="001A3D2B">
        <w:rPr>
          <w:kern w:val="0"/>
        </w:rPr>
        <w:t>reviews</w:t>
      </w:r>
      <w:r w:rsidR="00427468">
        <w:rPr>
          <w:kern w:val="0"/>
        </w:rPr>
        <w:t xml:space="preserve"> of </w:t>
      </w:r>
      <w:r w:rsidRPr="001A3D2B">
        <w:rPr>
          <w:kern w:val="0"/>
        </w:rPr>
        <w:t>Asian origin</w:t>
      </w:r>
      <w:r w:rsidR="005853A9">
        <w:rPr>
          <w:kern w:val="0"/>
        </w:rPr>
        <w:t xml:space="preserve"> and </w:t>
      </w:r>
      <w:r w:rsidRPr="001A3D2B">
        <w:rPr>
          <w:kern w:val="0"/>
        </w:rPr>
        <w:t>118,158 throughout</w:t>
      </w:r>
      <w:r w:rsidR="003A1917">
        <w:rPr>
          <w:kern w:val="0"/>
        </w:rPr>
        <w:t xml:space="preserve"> the </w:t>
      </w:r>
      <w:r w:rsidRPr="001A3D2B">
        <w:rPr>
          <w:kern w:val="0"/>
        </w:rPr>
        <w:t>world, more than those registered in</w:t>
      </w:r>
      <w:r w:rsidR="003A1917">
        <w:rPr>
          <w:kern w:val="0"/>
        </w:rPr>
        <w:t xml:space="preserve"> the </w:t>
      </w:r>
      <w:r w:rsidRPr="001A3D2B">
        <w:rPr>
          <w:kern w:val="0"/>
        </w:rPr>
        <w:t>SCI Infectious Disease Category (4,621</w:t>
      </w:r>
      <w:r w:rsidR="00427468">
        <w:rPr>
          <w:kern w:val="0"/>
        </w:rPr>
        <w:t xml:space="preserve"> of </w:t>
      </w:r>
      <w:r w:rsidRPr="001A3D2B">
        <w:rPr>
          <w:kern w:val="0"/>
        </w:rPr>
        <w:t>Asian origin</w:t>
      </w:r>
      <w:r w:rsidR="005853A9">
        <w:rPr>
          <w:kern w:val="0"/>
        </w:rPr>
        <w:t xml:space="preserve"> and </w:t>
      </w:r>
      <w:r w:rsidRPr="001A3D2B">
        <w:rPr>
          <w:kern w:val="0"/>
        </w:rPr>
        <w:t>66,518</w:t>
      </w:r>
      <w:r w:rsidR="00427468">
        <w:rPr>
          <w:kern w:val="0"/>
        </w:rPr>
        <w:t xml:space="preserve"> of </w:t>
      </w:r>
      <w:r w:rsidR="003A1917">
        <w:rPr>
          <w:kern w:val="0"/>
        </w:rPr>
        <w:t xml:space="preserve">the </w:t>
      </w:r>
      <w:r w:rsidRPr="001A3D2B">
        <w:rPr>
          <w:kern w:val="0"/>
        </w:rPr>
        <w:t>world in</w:t>
      </w:r>
      <w:r w:rsidR="003A1917">
        <w:rPr>
          <w:kern w:val="0"/>
        </w:rPr>
        <w:t xml:space="preserve"> the </w:t>
      </w:r>
      <w:r w:rsidRPr="001A3D2B">
        <w:rPr>
          <w:kern w:val="0"/>
        </w:rPr>
        <w:t>category). In Asian trend analysis</w:t>
      </w:r>
      <w:r w:rsidR="00427468">
        <w:rPr>
          <w:kern w:val="0"/>
        </w:rPr>
        <w:t xml:space="preserve"> of </w:t>
      </w:r>
      <w:r w:rsidR="003A1917">
        <w:rPr>
          <w:kern w:val="0"/>
        </w:rPr>
        <w:t xml:space="preserve">the </w:t>
      </w:r>
      <w:r w:rsidRPr="001A3D2B">
        <w:rPr>
          <w:kern w:val="0"/>
        </w:rPr>
        <w:t xml:space="preserve">100 journals, </w:t>
      </w:r>
      <w:r w:rsidRPr="001A3D2B">
        <w:rPr>
          <w:kern w:val="0"/>
        </w:rPr>
        <w:lastRenderedPageBreak/>
        <w:t>Japan had</w:t>
      </w:r>
      <w:r w:rsidR="003A1917">
        <w:rPr>
          <w:kern w:val="0"/>
        </w:rPr>
        <w:t xml:space="preserve"> the </w:t>
      </w:r>
      <w:r w:rsidRPr="001A3D2B">
        <w:rPr>
          <w:kern w:val="0"/>
        </w:rPr>
        <w:t>highest percentage</w:t>
      </w:r>
      <w:r w:rsidR="00427468">
        <w:rPr>
          <w:kern w:val="0"/>
        </w:rPr>
        <w:t xml:space="preserve"> of </w:t>
      </w:r>
      <w:r w:rsidRPr="001A3D2B">
        <w:rPr>
          <w:kern w:val="0"/>
        </w:rPr>
        <w:t>original articles</w:t>
      </w:r>
      <w:r w:rsidR="005853A9">
        <w:rPr>
          <w:kern w:val="0"/>
        </w:rPr>
        <w:t xml:space="preserve"> and </w:t>
      </w:r>
      <w:r w:rsidRPr="001A3D2B">
        <w:rPr>
          <w:kern w:val="0"/>
        </w:rPr>
        <w:t>reviews in</w:t>
      </w:r>
      <w:r w:rsidR="003A1917">
        <w:rPr>
          <w:kern w:val="0"/>
        </w:rPr>
        <w:t xml:space="preserve"> the </w:t>
      </w:r>
      <w:r w:rsidRPr="001A3D2B">
        <w:rPr>
          <w:kern w:val="0"/>
        </w:rPr>
        <w:t>area,</w:t>
      </w:r>
      <w:r w:rsidR="005853A9">
        <w:rPr>
          <w:kern w:val="0"/>
        </w:rPr>
        <w:t xml:space="preserve"> and </w:t>
      </w:r>
      <w:r w:rsidRPr="001A3D2B">
        <w:rPr>
          <w:kern w:val="0"/>
        </w:rPr>
        <w:t>no noticeable increase in articles was revealed during</w:t>
      </w:r>
      <w:r w:rsidR="003A1917">
        <w:rPr>
          <w:kern w:val="0"/>
        </w:rPr>
        <w:t xml:space="preserve"> the </w:t>
      </w:r>
      <w:r w:rsidRPr="001A3D2B">
        <w:rPr>
          <w:kern w:val="0"/>
        </w:rPr>
        <w:t>study period. China, India</w:t>
      </w:r>
      <w:r w:rsidR="005853A9">
        <w:rPr>
          <w:kern w:val="0"/>
        </w:rPr>
        <w:t xml:space="preserve"> and </w:t>
      </w:r>
      <w:r w:rsidRPr="001A3D2B">
        <w:rPr>
          <w:kern w:val="0"/>
        </w:rPr>
        <w:t>Taiwan had relatively large numbers</w:t>
      </w:r>
      <w:r w:rsidR="005853A9">
        <w:rPr>
          <w:kern w:val="0"/>
        </w:rPr>
        <w:t xml:space="preserve"> and </w:t>
      </w:r>
      <w:r w:rsidRPr="001A3D2B">
        <w:rPr>
          <w:kern w:val="0"/>
        </w:rPr>
        <w:t>a high increase rate</w:t>
      </w:r>
      <w:r w:rsidR="00427468">
        <w:rPr>
          <w:kern w:val="0"/>
        </w:rPr>
        <w:t xml:space="preserve"> of </w:t>
      </w:r>
      <w:r w:rsidRPr="001A3D2B">
        <w:rPr>
          <w:kern w:val="0"/>
        </w:rPr>
        <w:t>original articles among Asian countries. When adjusting</w:t>
      </w:r>
      <w:r w:rsidR="003A1917">
        <w:rPr>
          <w:kern w:val="0"/>
        </w:rPr>
        <w:t xml:space="preserve"> the </w:t>
      </w:r>
      <w:r w:rsidRPr="001A3D2B">
        <w:rPr>
          <w:kern w:val="0"/>
        </w:rPr>
        <w:t>publication</w:t>
      </w:r>
      <w:r w:rsidR="00427468">
        <w:rPr>
          <w:kern w:val="0"/>
        </w:rPr>
        <w:t xml:space="preserve"> of </w:t>
      </w:r>
      <w:r w:rsidRPr="001A3D2B">
        <w:rPr>
          <w:kern w:val="0"/>
        </w:rPr>
        <w:t>original articles according to</w:t>
      </w:r>
      <w:r w:rsidR="003A1917">
        <w:rPr>
          <w:kern w:val="0"/>
        </w:rPr>
        <w:t xml:space="preserve"> the </w:t>
      </w:r>
      <w:r w:rsidRPr="001A3D2B">
        <w:rPr>
          <w:kern w:val="0"/>
        </w:rPr>
        <w:t>country population</w:t>
      </w:r>
      <w:r w:rsidR="005853A9">
        <w:rPr>
          <w:kern w:val="0"/>
        </w:rPr>
        <w:t xml:space="preserve"> and </w:t>
      </w:r>
      <w:r w:rsidR="003A1917">
        <w:rPr>
          <w:kern w:val="0"/>
        </w:rPr>
        <w:t xml:space="preserve">the </w:t>
      </w:r>
      <w:r w:rsidRPr="001A3D2B">
        <w:rPr>
          <w:kern w:val="0"/>
        </w:rPr>
        <w:t>gross domestic product (GDP), Singapore</w:t>
      </w:r>
      <w:r w:rsidR="005853A9">
        <w:rPr>
          <w:kern w:val="0"/>
        </w:rPr>
        <w:t xml:space="preserve"> and </w:t>
      </w:r>
      <w:r w:rsidRPr="001A3D2B">
        <w:rPr>
          <w:kern w:val="0"/>
        </w:rPr>
        <w:t>Taiwan were</w:t>
      </w:r>
      <w:r w:rsidR="003A1917">
        <w:rPr>
          <w:kern w:val="0"/>
        </w:rPr>
        <w:t xml:space="preserve"> the </w:t>
      </w:r>
      <w:r w:rsidRPr="001A3D2B">
        <w:rPr>
          <w:kern w:val="0"/>
        </w:rPr>
        <w:t>most productive. Conclusion: A survey</w:t>
      </w:r>
      <w:r w:rsidR="00427468">
        <w:rPr>
          <w:kern w:val="0"/>
        </w:rPr>
        <w:t xml:space="preserve"> of </w:t>
      </w:r>
      <w:r w:rsidRPr="001A3D2B">
        <w:rPr>
          <w:kern w:val="0"/>
        </w:rPr>
        <w:t>100 selected journals is more sensitive than</w:t>
      </w:r>
      <w:r w:rsidR="003A1917">
        <w:rPr>
          <w:kern w:val="0"/>
        </w:rPr>
        <w:t xml:space="preserve"> the </w:t>
      </w:r>
      <w:r w:rsidRPr="001A3D2B">
        <w:rPr>
          <w:kern w:val="0"/>
        </w:rPr>
        <w:t>SCI Infectious Disease Category from</w:t>
      </w:r>
      <w:r w:rsidR="003A1917">
        <w:rPr>
          <w:kern w:val="0"/>
        </w:rPr>
        <w:t xml:space="preserve"> the </w:t>
      </w:r>
      <w:r w:rsidRPr="001A3D2B">
        <w:rPr>
          <w:kern w:val="0"/>
        </w:rPr>
        <w:t>viewpoint</w:t>
      </w:r>
      <w:r w:rsidR="00427468">
        <w:rPr>
          <w:kern w:val="0"/>
        </w:rPr>
        <w:t xml:space="preserve"> of </w:t>
      </w:r>
      <w:r w:rsidRPr="001A3D2B">
        <w:rPr>
          <w:kern w:val="0"/>
        </w:rPr>
        <w:t>avoiding underestimating</w:t>
      </w:r>
      <w:r w:rsidR="003A1917">
        <w:rPr>
          <w:kern w:val="0"/>
        </w:rPr>
        <w:t xml:space="preserve"> the </w:t>
      </w:r>
      <w:r w:rsidRPr="001A3D2B">
        <w:rPr>
          <w:kern w:val="0"/>
        </w:rPr>
        <w:t>number</w:t>
      </w:r>
      <w:r w:rsidR="00427468">
        <w:rPr>
          <w:kern w:val="0"/>
        </w:rPr>
        <w:t xml:space="preserve"> of </w:t>
      </w:r>
      <w:r w:rsidRPr="001A3D2B">
        <w:rPr>
          <w:kern w:val="0"/>
        </w:rPr>
        <w:t>infectious disease research articles</w:t>
      </w:r>
      <w:r w:rsidR="00427468">
        <w:rPr>
          <w:kern w:val="0"/>
        </w:rPr>
        <w:t xml:space="preserve"> of </w:t>
      </w:r>
      <w:r w:rsidRPr="001A3D2B">
        <w:rPr>
          <w:kern w:val="0"/>
        </w:rPr>
        <w:t>Asian origin</w:t>
      </w:r>
      <w:r w:rsidR="00A37C1D">
        <w:rPr>
          <w:kern w:val="0"/>
        </w:rPr>
        <w:t>. The</w:t>
      </w:r>
      <w:r w:rsidR="003A1917">
        <w:rPr>
          <w:kern w:val="0"/>
        </w:rPr>
        <w:t xml:space="preserve"> </w:t>
      </w:r>
      <w:r w:rsidRPr="001A3D2B">
        <w:rPr>
          <w:kern w:val="0"/>
        </w:rPr>
        <w:t>survey method is applicable to grasp global trends in disease research, although</w:t>
      </w:r>
      <w:r w:rsidR="003A1917">
        <w:rPr>
          <w:kern w:val="0"/>
        </w:rPr>
        <w:t xml:space="preserve"> the </w:t>
      </w:r>
      <w:r w:rsidRPr="001A3D2B">
        <w:rPr>
          <w:kern w:val="0"/>
        </w:rPr>
        <w:t>method may require further development.</w:t>
      </w:r>
    </w:p>
    <w:p w:rsidR="00C01B08" w:rsidRPr="001A3D2B" w:rsidRDefault="00C01B08" w:rsidP="00C01B08">
      <w:pPr>
        <w:pStyle w:val="a3"/>
        <w:rPr>
          <w:kern w:val="0"/>
        </w:rPr>
      </w:pPr>
      <w:r w:rsidRPr="001A3D2B">
        <w:rPr>
          <w:kern w:val="0"/>
        </w:rPr>
        <w:t>Keywords: Articles, Bibliometric Analysis, Bibliometrics, Countries, Epidemiology, Europe, Fields, Japan Contribution, Medicine, Public-Health Research, Research Productivity</w:t>
      </w:r>
    </w:p>
    <w:p w:rsidR="00300241" w:rsidRDefault="00300241" w:rsidP="00300241">
      <w:pPr>
        <w:pStyle w:val="a3"/>
      </w:pPr>
      <w:r w:rsidRPr="008B2BB0">
        <w:t xml:space="preserve">? </w:t>
      </w:r>
      <w:r>
        <w:t>Rohra, D</w:t>
      </w:r>
      <w:r>
        <w:rPr>
          <w:rFonts w:hint="eastAsia"/>
        </w:rPr>
        <w:t>.</w:t>
      </w:r>
      <w:r>
        <w:t>K</w:t>
      </w:r>
      <w:r>
        <w:rPr>
          <w:rFonts w:hint="eastAsia"/>
        </w:rPr>
        <w:t>.</w:t>
      </w:r>
      <w:r w:rsidRPr="008B2BB0">
        <w:t xml:space="preserve"> (20</w:t>
      </w:r>
      <w:r>
        <w:rPr>
          <w:rFonts w:hint="eastAsia"/>
        </w:rPr>
        <w:t>11</w:t>
      </w:r>
      <w:r w:rsidRPr="008B2BB0">
        <w:t xml:space="preserve">), </w:t>
      </w:r>
      <w:r>
        <w:t>Representation</w:t>
      </w:r>
      <w:r w:rsidR="00427468">
        <w:t xml:space="preserve"> of </w:t>
      </w:r>
      <w:r>
        <w:t>less-developed countries in Pharmacology journals: An online survey</w:t>
      </w:r>
      <w:r w:rsidR="00427468">
        <w:t xml:space="preserve"> of </w:t>
      </w:r>
      <w:r>
        <w:t>corresponding authors</w:t>
      </w:r>
      <w:r w:rsidRPr="008B2BB0">
        <w:t xml:space="preserve">. </w:t>
      </w:r>
      <w:r w:rsidRPr="00CE7517">
        <w:rPr>
          <w:i/>
          <w:iCs/>
        </w:rPr>
        <w:t>BMC Medical Research Methodology</w:t>
      </w:r>
      <w:r w:rsidRPr="008B2BB0">
        <w:t xml:space="preserve">, </w:t>
      </w:r>
      <w:r>
        <w:rPr>
          <w:rFonts w:hint="eastAsia"/>
          <w:b/>
          <w:bCs/>
        </w:rPr>
        <w:t>11</w:t>
      </w:r>
      <w:r w:rsidRPr="003862C4">
        <w:t xml:space="preserve">, </w:t>
      </w:r>
      <w:r w:rsidRPr="007E40CD">
        <w:t>Article Number:</w:t>
      </w:r>
      <w:r>
        <w:rPr>
          <w:rFonts w:hint="eastAsia"/>
        </w:rPr>
        <w:t xml:space="preserve"> 60</w:t>
      </w:r>
      <w:r w:rsidRPr="003862C4">
        <w:t>.</w:t>
      </w:r>
    </w:p>
    <w:p w:rsidR="00300241" w:rsidRDefault="00300241" w:rsidP="00300241">
      <w:pPr>
        <w:pStyle w:val="a3"/>
      </w:pPr>
      <w:r>
        <w:rPr>
          <w:rFonts w:hint="eastAsia"/>
        </w:rPr>
        <w:t xml:space="preserve">Full Text: </w:t>
      </w:r>
      <w:hyperlink r:id="rId1641" w:history="1">
        <w:r w:rsidRPr="009E2749">
          <w:rPr>
            <w:rStyle w:val="a5"/>
          </w:rPr>
          <w:t>2011\BMC Med Res Met11, 60.pdf</w:t>
        </w:r>
      </w:hyperlink>
    </w:p>
    <w:p w:rsidR="00300241" w:rsidRDefault="00300241" w:rsidP="00300241">
      <w:pPr>
        <w:pStyle w:val="a3"/>
      </w:pPr>
      <w:r>
        <w:t>Abstract: Background: Scientists from less-developed countries (LDC) perceive that it is difficult to publish in international journals from their countries. This online survey was conducted with the primary aim</w:t>
      </w:r>
      <w:r w:rsidR="00427468">
        <w:t xml:space="preserve"> of </w:t>
      </w:r>
      <w:r>
        <w:t>determining the opinion</w:t>
      </w:r>
      <w:r w:rsidR="00427468">
        <w:t xml:space="preserve"> of </w:t>
      </w:r>
      <w:r>
        <w:t>corresponding authors</w:t>
      </w:r>
      <w:r w:rsidR="00427468">
        <w:t xml:space="preserve"> of </w:t>
      </w:r>
      <w:r>
        <w:t>published papers in international Pharmacology journals regarding the difficulties in publications</w:t>
      </w:r>
      <w:r w:rsidR="005853A9">
        <w:t xml:space="preserve"> and </w:t>
      </w:r>
      <w:r>
        <w:t>their possible solutions.</w:t>
      </w:r>
    </w:p>
    <w:p w:rsidR="00300241" w:rsidRDefault="00300241" w:rsidP="00300241">
      <w:pPr>
        <w:pStyle w:val="a3"/>
      </w:pPr>
      <w:r>
        <w:t>Methods: The titles</w:t>
      </w:r>
      <w:r w:rsidR="00427468">
        <w:t xml:space="preserve"> of </w:t>
      </w:r>
      <w:r>
        <w:t>all Pharmacology journals were retrieved from Pubmed. 131 journals were included in study</w:t>
      </w:r>
      <w:r w:rsidR="00A37C1D">
        <w:t>. The</w:t>
      </w:r>
      <w:r>
        <w:t xml:space="preserve"> latest issue</w:t>
      </w:r>
      <w:r w:rsidR="00427468">
        <w:t xml:space="preserve"> of </w:t>
      </w:r>
      <w:r>
        <w:t>all journals was reviewed thoroughly. An online survey was conducted from the corresponding authors</w:t>
      </w:r>
      <w:r w:rsidR="00427468">
        <w:t xml:space="preserve"> of </w:t>
      </w:r>
      <w:r>
        <w:t>the published papers who belonged to LDC.</w:t>
      </w:r>
    </w:p>
    <w:p w:rsidR="00300241" w:rsidRDefault="00300241" w:rsidP="00300241">
      <w:pPr>
        <w:pStyle w:val="a3"/>
      </w:pPr>
      <w:r>
        <w:t>Results: 584 out 1919 papers (30.4%) originated from the LDC. 332 responses (response rate; 64.5%) were received from the authors. Approximately 50% the papers from LDC were published in journals with impact factor</w:t>
      </w:r>
      <w:r w:rsidR="00427468">
        <w:t xml:space="preserve"> of </w:t>
      </w:r>
      <w:r>
        <w:t>less than 2. A weak negative correlation (r = -0.236) was observed between journal impact factor</w:t>
      </w:r>
      <w:r w:rsidR="005853A9">
        <w:t xml:space="preserve"> and </w:t>
      </w:r>
      <w:r>
        <w:t>the percentage</w:t>
      </w:r>
      <w:r w:rsidR="00427468">
        <w:t xml:space="preserve"> of </w:t>
      </w:r>
      <w:r>
        <w:t>publications emanating from LDC. A significant majority</w:t>
      </w:r>
      <w:r w:rsidR="00427468">
        <w:t xml:space="preserve"> of </w:t>
      </w:r>
      <w:r>
        <w:t>the corresponding authors (n = 254; 76.5%) perceived that it is difficult to publish in good quality journals from their countries. According to their opinion, biased attitude</w:t>
      </w:r>
      <w:r w:rsidR="00427468">
        <w:t xml:space="preserve"> of </w:t>
      </w:r>
      <w:r>
        <w:t>editors</w:t>
      </w:r>
      <w:r w:rsidR="005853A9">
        <w:t xml:space="preserve"> and </w:t>
      </w:r>
      <w:r>
        <w:t>reviewers (64.8%) is the most important reason followed by the poor writing skills</w:t>
      </w:r>
      <w:r w:rsidR="00427468">
        <w:t xml:space="preserve"> of </w:t>
      </w:r>
      <w:r>
        <w:t>the scientists from LDC (52.8%)</w:t>
      </w:r>
      <w:r w:rsidR="00A37C1D">
        <w:t>. The</w:t>
      </w:r>
      <w:r>
        <w:t xml:space="preserve"> authors thought that well-written manuscript (76.1%), improvement in the quality</w:t>
      </w:r>
      <w:r w:rsidR="00427468">
        <w:t xml:space="preserve"> of </w:t>
      </w:r>
      <w:r>
        <w:t>research (69.9%)</w:t>
      </w:r>
      <w:r w:rsidR="005853A9">
        <w:t xml:space="preserve"> and </w:t>
      </w:r>
      <w:r>
        <w:t>multidisciplinary research (42.9%) are important determinants that may improve the chances</w:t>
      </w:r>
      <w:r w:rsidR="00427468">
        <w:t xml:space="preserve"> of </w:t>
      </w:r>
      <w:r>
        <w:t>publications.</w:t>
      </w:r>
    </w:p>
    <w:p w:rsidR="00300241" w:rsidRDefault="00300241" w:rsidP="00300241">
      <w:pPr>
        <w:pStyle w:val="a3"/>
      </w:pPr>
      <w:r>
        <w:t>Conclusions: The LDC are underrepresented in publications in Pharmacology journals</w:t>
      </w:r>
      <w:r w:rsidR="00A37C1D">
        <w:t xml:space="preserve">. </w:t>
      </w:r>
      <w:r w:rsidR="00A37C1D">
        <w:lastRenderedPageBreak/>
        <w:t>The</w:t>
      </w:r>
      <w:r>
        <w:t xml:space="preserve"> corresponding authors</w:t>
      </w:r>
      <w:r w:rsidR="00427468">
        <w:t xml:space="preserve"> of </w:t>
      </w:r>
      <w:r>
        <w:t>the published articles think that biased attitude</w:t>
      </w:r>
      <w:r w:rsidR="00427468">
        <w:t xml:space="preserve"> of </w:t>
      </w:r>
      <w:r>
        <w:t>the editors as well as the reviewers</w:t>
      </w:r>
      <w:r w:rsidR="00427468">
        <w:t xml:space="preserve"> of </w:t>
      </w:r>
      <w:r>
        <w:t>international journals</w:t>
      </w:r>
      <w:r w:rsidR="005853A9">
        <w:t xml:space="preserve"> and </w:t>
      </w:r>
      <w:r>
        <w:t>the poor writing skills</w:t>
      </w:r>
      <w:r w:rsidR="00427468">
        <w:t xml:space="preserve"> of </w:t>
      </w:r>
      <w:r>
        <w:t>scientists are the major factors underlying the non-acceptance</w:t>
      </w:r>
      <w:r w:rsidR="00427468">
        <w:t xml:space="preserve"> of </w:t>
      </w:r>
      <w:r>
        <w:t>their results</w:t>
      </w:r>
      <w:r w:rsidR="00A37C1D">
        <w:t>. The</w:t>
      </w:r>
      <w:r>
        <w:t>y also think that the improvement in the writing skills</w:t>
      </w:r>
      <w:r w:rsidR="005853A9">
        <w:t xml:space="preserve"> and </w:t>
      </w:r>
      <w:r>
        <w:t>quality</w:t>
      </w:r>
      <w:r w:rsidR="00427468">
        <w:t xml:space="preserve"> of </w:t>
      </w:r>
      <w:r>
        <w:t>research will increase the chances</w:t>
      </w:r>
      <w:r w:rsidR="00427468">
        <w:t xml:space="preserve"> of </w:t>
      </w:r>
      <w:r>
        <w:t>acceptance</w:t>
      </w:r>
      <w:r w:rsidR="00427468">
        <w:t xml:space="preserve"> of </w:t>
      </w:r>
      <w:r>
        <w:t>their works in international journals.</w:t>
      </w:r>
    </w:p>
    <w:p w:rsidR="00300241" w:rsidRDefault="00300241" w:rsidP="00300241">
      <w:pPr>
        <w:pStyle w:val="a3"/>
      </w:pPr>
      <w:r>
        <w:t>Keywords: Impact Factor, Science, Indexes, Gap</w:t>
      </w:r>
    </w:p>
    <w:p w:rsidR="008D3C09" w:rsidRDefault="008D3C09" w:rsidP="008D3C09">
      <w:pPr>
        <w:pStyle w:val="a3"/>
      </w:pPr>
      <w:r>
        <w:rPr>
          <w:rFonts w:hint="eastAsia"/>
          <w:kern w:val="0"/>
        </w:rPr>
        <w:t xml:space="preserve">? </w:t>
      </w:r>
      <w:r>
        <w:rPr>
          <w:kern w:val="0"/>
        </w:rPr>
        <w:t xml:space="preserve">Wright, K., Golder, S. and Rodriguez-Lopez, R. (2014), Citation searching: A systematic review case study of multiple risk behaviour interventions. </w:t>
      </w:r>
      <w:r>
        <w:rPr>
          <w:i/>
          <w:iCs/>
          <w:kern w:val="0"/>
        </w:rPr>
        <w:t>BMC Medical Research Methodology</w:t>
      </w:r>
      <w:r>
        <w:rPr>
          <w:kern w:val="0"/>
        </w:rPr>
        <w:t xml:space="preserve">, </w:t>
      </w:r>
      <w:r>
        <w:rPr>
          <w:b/>
          <w:bCs/>
          <w:kern w:val="0"/>
        </w:rPr>
        <w:t>14</w:t>
      </w:r>
      <w:r w:rsidRPr="003862C4">
        <w:t xml:space="preserve">, </w:t>
      </w:r>
      <w:r w:rsidRPr="007E40CD">
        <w:t>Article Number:</w:t>
      </w:r>
      <w:r>
        <w:rPr>
          <w:rFonts w:hint="eastAsia"/>
        </w:rPr>
        <w:t xml:space="preserve"> 73</w:t>
      </w:r>
      <w:r w:rsidRPr="003862C4">
        <w:t>.</w:t>
      </w:r>
    </w:p>
    <w:p w:rsidR="008D3C09" w:rsidRDefault="008D3C09" w:rsidP="008D3C09">
      <w:pPr>
        <w:pStyle w:val="a3"/>
      </w:pPr>
      <w:r>
        <w:rPr>
          <w:rFonts w:hint="eastAsia"/>
        </w:rPr>
        <w:t xml:space="preserve">Full Text: </w:t>
      </w:r>
      <w:hyperlink r:id="rId1642" w:history="1">
        <w:r w:rsidRPr="000A3DFF">
          <w:rPr>
            <w:rStyle w:val="a5"/>
          </w:rPr>
          <w:t>2014\BMC Med Res Met14, 73.pdf</w:t>
        </w:r>
      </w:hyperlink>
    </w:p>
    <w:p w:rsidR="008D3C09" w:rsidRDefault="008D3C09" w:rsidP="008D3C09">
      <w:pPr>
        <w:pStyle w:val="a3"/>
        <w:rPr>
          <w:kern w:val="0"/>
        </w:rPr>
      </w:pPr>
      <w:r>
        <w:rPr>
          <w:kern w:val="0"/>
        </w:rPr>
        <w:t>Abstract: Background: The value of citation searches as part of the systematic review process is currently unknown. While the major guides to conducting systematic reviews state that citation searching should be carried out in addition to searching bibliographic databases there are still few studies in the literature that support this view. Rather than using a predefined search strategy to retrieve studies, citation searching uses known relevant papers to identify further papers. Methods: We describe a case study about the effectiveness of using the citation sources Google Scholar, Scopus, Web of Science and OVIDSP MEDLINE to identify records for inclusion in a systematic review. We used the 40 included studies identified by traditional database searches from one systematic review of interventions for multiple risk behaviours. We searched for each of the included studies in the four citation sources to retrieve the details of all papers that have cited these studies. We carried out two analyses; the first was to examine the overlap between the four citation sources to identify which citation tool was the most useful; the second was to investigate whether the citation searches identified any relevant records in addition to those retrieved by the original database searches. Results: The highest number of citations was retrieved from Google Scholar (1680), followed by Scopus (1173), then Web of Science (1095) and lastly OVIDSP (213). To retrieve all the records identified by the citation tracking searching all four resources was required. Google Scholar identified the highest number of unique citations</w:t>
      </w:r>
      <w:r w:rsidR="00A37C1D">
        <w:rPr>
          <w:kern w:val="0"/>
        </w:rPr>
        <w:t>. The</w:t>
      </w:r>
      <w:r>
        <w:rPr>
          <w:kern w:val="0"/>
        </w:rPr>
        <w:t xml:space="preserve"> citation tracking identified 9 studies that met the review</w:t>
      </w:r>
      <w:r w:rsidR="00700038">
        <w:rPr>
          <w:kern w:val="0"/>
        </w:rPr>
        <w:t>’</w:t>
      </w:r>
      <w:r>
        <w:rPr>
          <w:kern w:val="0"/>
        </w:rPr>
        <w:t>s inclusion criteria. Eight of these had already been identified by the traditional databases searches and identified in the screening process while the ninth was not available in any of the databases when the original searches were carried out. It would, however, have been identified by two of the database search strategies if searches had been carried out later. Conclusions: Based on the results from this investigation, citation searching as a supplementary search method for systematic reviews may not be the best use of valuable time and resources. It would be useful to verify these findings in other reviews.</w:t>
      </w:r>
    </w:p>
    <w:p w:rsidR="008D3C09" w:rsidRDefault="008D3C09" w:rsidP="008D3C09">
      <w:pPr>
        <w:pStyle w:val="a3"/>
        <w:rPr>
          <w:kern w:val="0"/>
        </w:rPr>
      </w:pPr>
      <w:r>
        <w:rPr>
          <w:kern w:val="0"/>
        </w:rPr>
        <w:t xml:space="preserve">Keywords: Analyses, Behaviour, Bibliographic, Bibliographic Databases, Cancer </w:t>
      </w:r>
      <w:r>
        <w:rPr>
          <w:kern w:val="0"/>
        </w:rPr>
        <w:lastRenderedPageBreak/>
        <w:t>Prevention, Case Study, Citation, Citation Searching, Citations, College-Students, Criteria, Database, Databases, Effectiveness, First, Google, Google Scholar, Health Behaviors, Information Retrieval, Interventions, Investigation, Life-Style Intervention, Literature, Medline, Methods, Papers, Physical-Activity, Pregnant-Women, Randomized-Controlled-Trial, Records, Resources, Results, Review, Review Process, Reviews, Risk, Risk Behaviour, Science, Scopus, Screening, Search Strategies, Search Strategy, Smoking-Cessation, Sources, State, Strategy, Support, Systematic, Systematic Review, Systematic Reviews, Value, Web Of Science, Weight-Gain, Wisewoman Project</w:t>
      </w:r>
    </w:p>
    <w:p w:rsidR="00705F3E" w:rsidRDefault="00705F3E" w:rsidP="00705F3E">
      <w:pPr>
        <w:pStyle w:val="a3"/>
        <w:rPr>
          <w:kern w:val="0"/>
        </w:rPr>
      </w:pPr>
      <w:r>
        <w:rPr>
          <w:kern w:val="0"/>
        </w:rPr>
        <w:t xml:space="preserve">? Keltie, K., Cole, H., Arber, M., Patrick, H., Powell, J., Campbell, B. and Sims, A. (2014), Identifying complications of interventional procedures from UK routine healthcare databases: A systematic search for methods using clinical codes. </w:t>
      </w:r>
      <w:r>
        <w:rPr>
          <w:i/>
          <w:iCs/>
          <w:kern w:val="0"/>
        </w:rPr>
        <w:t>BMC Medical Research Methodology</w:t>
      </w:r>
      <w:r>
        <w:rPr>
          <w:kern w:val="0"/>
        </w:rPr>
        <w:t xml:space="preserve">, </w:t>
      </w:r>
      <w:r>
        <w:rPr>
          <w:b/>
          <w:bCs/>
          <w:kern w:val="0"/>
        </w:rPr>
        <w:t>14</w:t>
      </w:r>
      <w:r>
        <w:rPr>
          <w:rFonts w:hint="eastAsia"/>
          <w:kern w:val="0"/>
        </w:rPr>
        <w:t xml:space="preserve">, </w:t>
      </w:r>
      <w:r w:rsidRPr="007E40CD">
        <w:t>Article Number:</w:t>
      </w:r>
      <w:r>
        <w:rPr>
          <w:rFonts w:hint="eastAsia"/>
        </w:rPr>
        <w:t xml:space="preserve"> 126.</w:t>
      </w:r>
    </w:p>
    <w:p w:rsidR="00705F3E" w:rsidRDefault="00705F3E" w:rsidP="00705F3E">
      <w:pPr>
        <w:pStyle w:val="a3"/>
      </w:pPr>
      <w:r>
        <w:rPr>
          <w:rFonts w:hint="eastAsia"/>
        </w:rPr>
        <w:t xml:space="preserve">Full Text: </w:t>
      </w:r>
      <w:hyperlink r:id="rId1643" w:history="1">
        <w:r w:rsidRPr="00705F3E">
          <w:rPr>
            <w:rStyle w:val="a5"/>
          </w:rPr>
          <w:t xml:space="preserve">2014\BMC Med Res Met14, </w:t>
        </w:r>
        <w:r w:rsidRPr="00705F3E">
          <w:rPr>
            <w:rStyle w:val="a5"/>
            <w:rFonts w:hint="eastAsia"/>
          </w:rPr>
          <w:t>126</w:t>
        </w:r>
        <w:r w:rsidRPr="00705F3E">
          <w:rPr>
            <w:rStyle w:val="a5"/>
          </w:rPr>
          <w:t>.pdf</w:t>
        </w:r>
      </w:hyperlink>
    </w:p>
    <w:p w:rsidR="00705F3E" w:rsidRDefault="00705F3E" w:rsidP="00705F3E">
      <w:pPr>
        <w:pStyle w:val="a3"/>
        <w:rPr>
          <w:kern w:val="0"/>
        </w:rPr>
      </w:pPr>
      <w:r>
        <w:rPr>
          <w:kern w:val="0"/>
        </w:rPr>
        <w:t xml:space="preserve">Abstract: Background: Several authors have developed and applied methods to routine data sets to identify the nature and rate of complications following interventional procedures. But, to date, there has been no systematic search for such methods. The objective of this article was to find, classify and appraise published methods, based on analysis of clinical codes, which used routine healthcare databases in a United Kingdom setting to identify complications resulting from interventional procedures. Methods: A literature search strategy was developed to identify published studies that referred, in the title or abstract, to the name or acronym of a known routine healthcare database and to complications from procedures or devices. The following data sources were searched in February and March 2013: Cochrane Methods Register, Conference Proceedings Citation Index -Science, Econlit, EMBASE, Health Management Information Consortium, Health Technology Assessment database, MathSciNet, MEDLINE, MEDLINE in-process, OAIster, OpenGrey, Science Citation Index Expanded and ScienceDirect. Of the eligible papers, those which reported methods using clinical coding were classified and summarised in tabular form using the following headings: routine healthcare database; medical speciality; method for identifying complications; length of follow-up; method of recording comorbidity. The benefits and limitations of each approach were assessed. Results: From 3688 papers identified from the literature search, 44 reported the use of clinical codes to identify complications, from which four distinct methods were identified: 1) searching the index admission for specified clinical codes, 2) searching a sequence of admissions for specified clinical codes, 3) searching for specified clinical codes for complications from procedures and devices within the International Classification of Diseases 10th revision (ICD-10) coding scheme which is the methodology recommended by NHS Classification Service, and 4) conducting manual clinical </w:t>
      </w:r>
      <w:r>
        <w:rPr>
          <w:kern w:val="0"/>
        </w:rPr>
        <w:lastRenderedPageBreak/>
        <w:t>review of diagnostic and procedure codes. Conclusions: The four distinct methods identifying complication from codified data offer great potential in generating new evidence on the quality and safety of new procedures using routine data. However the most robust method, using the methodology recommended by the NHS Classification Service, was the least frequently used, highlighting that much valuable observational data is being ignored.</w:t>
      </w:r>
    </w:p>
    <w:p w:rsidR="00705F3E" w:rsidRDefault="00705F3E" w:rsidP="00705F3E">
      <w:pPr>
        <w:pStyle w:val="a3"/>
        <w:rPr>
          <w:kern w:val="0"/>
        </w:rPr>
      </w:pPr>
      <w:r>
        <w:rPr>
          <w:kern w:val="0"/>
        </w:rPr>
        <w:t>Keywords: Administrative Data, Adverse Effects, Analysis, Approach, Article, Assessment, Authors, Benefits, Citation, Classification, Clinical, Codes, Coding, Colorectal Resection, Comorbidity, Complication, Complications, Conference, Data, Database, Databases, Diagnostic, Embase, Evidence, Follow-Up, From, Health, Health Information Systems, Hip-Replacement, Hospital Episode Statistics, Icd-10, Index, Information, International, International Classification Of Diseases, Length, Literature, Literature Search, Lower-Limb, Management, Medical, Medical Errors, Medline, Methodology, Methods, National Joint Registry, NHS, Nov, Observational, Papers, Patient Outcomes, Patient Safety, Potential, Procedure, Procedures, Proceedings, Quality, Results, Retrospective Analysis, Review, Safety, Science, Science Citation Index, Science Citation Index Expanded, Sciencedirect, Search Strategy, Sources, Strategy, Systematic, Technology, Technology Assessment, Topic Advisory Group, Uk, United Kingdom, United-Kingdom</w:t>
      </w:r>
    </w:p>
    <w:p w:rsidR="003474F2" w:rsidRPr="001A3D2B" w:rsidRDefault="003474F2" w:rsidP="003474F2">
      <w:pPr>
        <w:pStyle w:val="1"/>
      </w:pPr>
      <w:r w:rsidRPr="001A3D2B">
        <w:br w:type="page"/>
      </w:r>
      <w:bookmarkStart w:id="848" w:name="_Toc420814765"/>
      <w:r w:rsidRPr="001A3D2B">
        <w:lastRenderedPageBreak/>
        <w:t xml:space="preserve">Title: </w:t>
      </w:r>
      <w:r w:rsidRPr="001A3D2B">
        <w:rPr>
          <w:szCs w:val="24"/>
        </w:rPr>
        <w:t>BMC Medicine</w:t>
      </w:r>
      <w:bookmarkEnd w:id="848"/>
    </w:p>
    <w:p w:rsidR="003474F2" w:rsidRPr="001A3D2B" w:rsidRDefault="003474F2" w:rsidP="003474F2">
      <w:pPr>
        <w:pStyle w:val="12"/>
      </w:pPr>
      <w:r w:rsidRPr="001A3D2B">
        <w:t xml:space="preserve">Full Journal Title: </w:t>
      </w:r>
      <w:hyperlink r:id="rId1644" w:history="1">
        <w:r w:rsidRPr="001A3D2B">
          <w:rPr>
            <w:rStyle w:val="a5"/>
          </w:rPr>
          <w:t>BMC Medicine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074789" w:rsidRPr="00FC7835" w:rsidRDefault="00074789" w:rsidP="00074789">
      <w:pPr>
        <w:pStyle w:val="a3"/>
      </w:pPr>
      <w:r w:rsidRPr="00FC7835">
        <w:rPr>
          <w:kern w:val="0"/>
          <w:szCs w:val="30"/>
        </w:rPr>
        <w:t>?</w:t>
      </w:r>
      <w:r w:rsidRPr="00FC7835">
        <w:rPr>
          <w:szCs w:val="24"/>
        </w:rPr>
        <w:t xml:space="preserve"> </w:t>
      </w:r>
      <w:r>
        <w:t>Montori, V</w:t>
      </w:r>
      <w:r>
        <w:rPr>
          <w:rFonts w:hint="eastAsia"/>
        </w:rPr>
        <w:t>.</w:t>
      </w:r>
      <w:r>
        <w:t>M</w:t>
      </w:r>
      <w:r>
        <w:rPr>
          <w:rFonts w:hint="eastAsia"/>
        </w:rPr>
        <w:t>.,</w:t>
      </w:r>
      <w:r>
        <w:t xml:space="preserve"> Wilczynski, N</w:t>
      </w:r>
      <w:r>
        <w:rPr>
          <w:rFonts w:hint="eastAsia"/>
        </w:rPr>
        <w:t>.</w:t>
      </w:r>
      <w:r>
        <w:t>L</w:t>
      </w:r>
      <w:r>
        <w:rPr>
          <w:rFonts w:hint="eastAsia"/>
        </w:rPr>
        <w:t>.,</w:t>
      </w:r>
      <w:r>
        <w:t xml:space="preserve"> Morgan, D</w:t>
      </w:r>
      <w:r>
        <w:rPr>
          <w:rFonts w:hint="eastAsia"/>
        </w:rPr>
        <w:t>.,</w:t>
      </w:r>
      <w:r>
        <w:t xml:space="preserve"> Haynes, R</w:t>
      </w:r>
      <w:r>
        <w:rPr>
          <w:rFonts w:hint="eastAsia"/>
        </w:rPr>
        <w:t>.</w:t>
      </w:r>
      <w:r>
        <w:t>B</w:t>
      </w:r>
      <w:r>
        <w:rPr>
          <w:rFonts w:hint="eastAsia"/>
        </w:rPr>
        <w:t>.</w:t>
      </w:r>
      <w:r w:rsidR="005853A9">
        <w:rPr>
          <w:rFonts w:hint="eastAsia"/>
        </w:rPr>
        <w:t xml:space="preserve"> and </w:t>
      </w:r>
      <w:r w:rsidR="003A1917">
        <w:rPr>
          <w:rFonts w:hint="eastAsia"/>
        </w:rPr>
        <w:t xml:space="preserve">the </w:t>
      </w:r>
      <w:r>
        <w:t>Hedges Team</w:t>
      </w:r>
      <w:r w:rsidRPr="00FC7835">
        <w:t xml:space="preserve"> (200</w:t>
      </w:r>
      <w:r>
        <w:rPr>
          <w:rFonts w:hint="eastAsia"/>
        </w:rPr>
        <w:t>3</w:t>
      </w:r>
      <w:r w:rsidRPr="00FC7835">
        <w:t>)</w:t>
      </w:r>
      <w:r>
        <w:t>, Systematic reviews: A cross-sectional study</w:t>
      </w:r>
      <w:r w:rsidR="00427468">
        <w:t xml:space="preserve"> of </w:t>
      </w:r>
      <w:r>
        <w:t>location</w:t>
      </w:r>
      <w:r w:rsidR="005853A9">
        <w:t xml:space="preserve"> and </w:t>
      </w:r>
      <w:r>
        <w:t>citation counts</w:t>
      </w:r>
      <w:r>
        <w:rPr>
          <w:rFonts w:hint="eastAsia"/>
        </w:rPr>
        <w:t>.</w:t>
      </w:r>
      <w:r w:rsidRPr="00FC7835">
        <w:t xml:space="preserve"> </w:t>
      </w:r>
      <w:r w:rsidRPr="00FC7835">
        <w:rPr>
          <w:i/>
          <w:szCs w:val="24"/>
        </w:rPr>
        <w:t>BMC Medicine</w:t>
      </w:r>
      <w:r>
        <w:t xml:space="preserve">, </w:t>
      </w:r>
      <w:r>
        <w:rPr>
          <w:rFonts w:hint="eastAsia"/>
          <w:b/>
          <w:bCs/>
        </w:rPr>
        <w:t>1</w:t>
      </w:r>
      <w:r>
        <w:rPr>
          <w:rFonts w:hint="eastAsia"/>
          <w:kern w:val="0"/>
        </w:rPr>
        <w:t xml:space="preserve">, </w:t>
      </w:r>
      <w:r w:rsidRPr="007E40CD">
        <w:t xml:space="preserve">Article Number: </w:t>
      </w:r>
      <w:r>
        <w:rPr>
          <w:rFonts w:hint="eastAsia"/>
          <w:bCs/>
        </w:rPr>
        <w:t>2</w:t>
      </w:r>
      <w:r w:rsidRPr="00FC7835">
        <w:t>.</w:t>
      </w:r>
    </w:p>
    <w:p w:rsidR="00074789" w:rsidRDefault="00074789" w:rsidP="00074789">
      <w:pPr>
        <w:pStyle w:val="a3"/>
      </w:pPr>
      <w:r>
        <w:t>Full Text:</w:t>
      </w:r>
      <w:r w:rsidRPr="00FC7835">
        <w:t xml:space="preserve"> </w:t>
      </w:r>
      <w:hyperlink r:id="rId1645" w:history="1">
        <w:r w:rsidRPr="008F7594">
          <w:rPr>
            <w:rStyle w:val="a5"/>
          </w:rPr>
          <w:t>2003\BMC Med1, 2.pdf</w:t>
        </w:r>
      </w:hyperlink>
    </w:p>
    <w:p w:rsidR="00074789" w:rsidRDefault="00074789" w:rsidP="00074789">
      <w:pPr>
        <w:pStyle w:val="a3"/>
      </w:pPr>
      <w:r>
        <w:t>Abstract: Background: Systematic reviews summarize all pertinent evidence on a defined health question</w:t>
      </w:r>
      <w:r w:rsidR="00A37C1D">
        <w:t>. The</w:t>
      </w:r>
      <w:r>
        <w:t>y help clinical scientists to direct their research</w:t>
      </w:r>
      <w:r w:rsidR="005853A9">
        <w:t xml:space="preserve"> and </w:t>
      </w:r>
      <w:r>
        <w:t>clinicians to keep updated. Our objective was to determine</w:t>
      </w:r>
      <w:r w:rsidR="003A1917">
        <w:t xml:space="preserve"> the </w:t>
      </w:r>
      <w:r>
        <w:t>extent to which systematic reviews are clustered in a large collection</w:t>
      </w:r>
      <w:r w:rsidR="00427468">
        <w:t xml:space="preserve"> of </w:t>
      </w:r>
      <w:r>
        <w:t>clinical journals</w:t>
      </w:r>
      <w:r w:rsidR="005853A9">
        <w:t xml:space="preserve"> and </w:t>
      </w:r>
      <w:r>
        <w:t>whether review type (narrative or systematic) affects citation counts.</w:t>
      </w:r>
    </w:p>
    <w:p w:rsidR="00074789" w:rsidRDefault="00074789" w:rsidP="00074789">
      <w:pPr>
        <w:pStyle w:val="a3"/>
      </w:pPr>
      <w:r>
        <w:t>Methods: We used hand searches</w:t>
      </w:r>
      <w:r w:rsidR="00427468">
        <w:t xml:space="preserve"> of </w:t>
      </w:r>
      <w:r>
        <w:t>170 clinical journals in</w:t>
      </w:r>
      <w:r w:rsidR="003A1917">
        <w:t xml:space="preserve"> the </w:t>
      </w:r>
      <w:r>
        <w:t>fields</w:t>
      </w:r>
      <w:r w:rsidR="00427468">
        <w:t xml:space="preserve"> of </w:t>
      </w:r>
      <w:r>
        <w:t>general internal medicine, primary medical care, nursing,</w:t>
      </w:r>
      <w:r w:rsidR="005853A9">
        <w:t xml:space="preserve"> and </w:t>
      </w:r>
      <w:r>
        <w:t xml:space="preserve">mental health to identify review articles (year 2000). We defined </w:t>
      </w:r>
      <w:r w:rsidR="00700038">
        <w:t>‘</w:t>
      </w:r>
      <w:r>
        <w:t>review</w:t>
      </w:r>
      <w:r w:rsidR="00700038">
        <w:t>’</w:t>
      </w:r>
      <w:r>
        <w:t xml:space="preserve"> as any full text article that was bannered as a review, overview, or meta-analysis in</w:t>
      </w:r>
      <w:r w:rsidR="003A1917">
        <w:t xml:space="preserve"> the </w:t>
      </w:r>
      <w:r>
        <w:t>title or in a section heading, or that indicated in</w:t>
      </w:r>
      <w:r w:rsidR="003A1917">
        <w:t xml:space="preserve"> the </w:t>
      </w:r>
      <w:r>
        <w:t>text that</w:t>
      </w:r>
      <w:r w:rsidR="003A1917">
        <w:t xml:space="preserve"> the </w:t>
      </w:r>
      <w:r>
        <w:t>intention</w:t>
      </w:r>
      <w:r w:rsidR="00427468">
        <w:t xml:space="preserve"> of </w:t>
      </w:r>
      <w:r w:rsidR="003A1917">
        <w:t xml:space="preserve">the </w:t>
      </w:r>
      <w:r>
        <w:t>authors was to review or summarize</w:t>
      </w:r>
      <w:r w:rsidR="003A1917">
        <w:t xml:space="preserve"> the </w:t>
      </w:r>
      <w:r>
        <w:t>literature on a particular topic. We obtained citation counts for review articles in</w:t>
      </w:r>
      <w:r w:rsidR="003A1917">
        <w:t xml:space="preserve"> the </w:t>
      </w:r>
      <w:r>
        <w:t>five journals that published</w:t>
      </w:r>
      <w:r w:rsidR="003A1917">
        <w:t xml:space="preserve"> the </w:t>
      </w:r>
      <w:r>
        <w:t>most systematic reviews.</w:t>
      </w:r>
    </w:p>
    <w:p w:rsidR="00074789" w:rsidRDefault="00074789" w:rsidP="00074789">
      <w:pPr>
        <w:pStyle w:val="a3"/>
      </w:pPr>
      <w:r>
        <w:t>Results: 11%</w:t>
      </w:r>
      <w:r w:rsidR="00427468">
        <w:t xml:space="preserve"> of </w:t>
      </w:r>
      <w:r w:rsidR="003A1917">
        <w:t xml:space="preserve">the </w:t>
      </w:r>
      <w:r>
        <w:t>journals concentrated 80%</w:t>
      </w:r>
      <w:r w:rsidR="00427468">
        <w:t xml:space="preserve"> of </w:t>
      </w:r>
      <w:r>
        <w:t>all systematic reviews. Impact factors were weakly correlated with</w:t>
      </w:r>
      <w:r w:rsidR="003A1917">
        <w:t xml:space="preserve"> the </w:t>
      </w:r>
      <w:r>
        <w:t>publication</w:t>
      </w:r>
      <w:r w:rsidR="00427468">
        <w:t xml:space="preserve"> of </w:t>
      </w:r>
      <w:r>
        <w:t>systematic reviews (R-2 = 0.075, P = 0.0035)</w:t>
      </w:r>
      <w:r w:rsidR="00A37C1D">
        <w:t>. The</w:t>
      </w:r>
      <w:r>
        <w:t>re were more citations for systematic reviews (median 26.5, IQR 12 - 56.5) than for narrative reviews (8, 20, P &lt; .0001 for</w:t>
      </w:r>
      <w:r w:rsidR="003A1917">
        <w:t xml:space="preserve"> the </w:t>
      </w:r>
      <w:r>
        <w:t>difference). Systematic reviews had twice as many citations as narrative reviews published in</w:t>
      </w:r>
      <w:r w:rsidR="003A1917">
        <w:t xml:space="preserve"> the </w:t>
      </w:r>
      <w:r>
        <w:t>same journal (95% confidence interval 1.5 - 2.7).</w:t>
      </w:r>
    </w:p>
    <w:p w:rsidR="00074789" w:rsidRPr="00FC7835" w:rsidRDefault="00074789" w:rsidP="00074789">
      <w:pPr>
        <w:pStyle w:val="a3"/>
      </w:pPr>
      <w:r>
        <w:t>Conclusions: A few clinical journals published most systematic reviews. Authors cited systematic reviews more often than narrative reviews, an indirect endorsement</w:t>
      </w:r>
      <w:r w:rsidR="00427468">
        <w:t xml:space="preserve"> of </w:t>
      </w:r>
      <w:r w:rsidR="003A1917">
        <w:t xml:space="preserve">the </w:t>
      </w:r>
      <w:r w:rsidR="00700038">
        <w:t>‘</w:t>
      </w:r>
      <w:r>
        <w:t>hierarchy</w:t>
      </w:r>
      <w:r w:rsidR="00427468">
        <w:t xml:space="preserve"> of </w:t>
      </w:r>
      <w:r>
        <w:t>evidence</w:t>
      </w:r>
      <w:r w:rsidR="00700038">
        <w:t>’</w:t>
      </w:r>
      <w:r>
        <w:t>.</w:t>
      </w:r>
    </w:p>
    <w:p w:rsidR="00C01B08" w:rsidRPr="001A3D2B" w:rsidRDefault="00C01B08" w:rsidP="00C01B08">
      <w:pPr>
        <w:pStyle w:val="a3"/>
      </w:pPr>
      <w:r w:rsidRPr="001A3D2B">
        <w:rPr>
          <w:kern w:val="0"/>
          <w:szCs w:val="30"/>
        </w:rPr>
        <w:lastRenderedPageBreak/>
        <w:t>?</w:t>
      </w:r>
      <w:r w:rsidRPr="001A3D2B">
        <w:rPr>
          <w:szCs w:val="24"/>
        </w:rPr>
        <w:t xml:space="preserve"> </w:t>
      </w:r>
      <w:r w:rsidRPr="001A3D2B">
        <w:t>McKibbon, K.A., Wilczynski, N.L.</w:t>
      </w:r>
      <w:r w:rsidR="005853A9">
        <w:t xml:space="preserve"> and </w:t>
      </w:r>
      <w:r w:rsidRPr="001A3D2B">
        <w:t xml:space="preserve">Haynes, R.B. (2004), </w:t>
      </w:r>
      <w:r w:rsidRPr="001A3D2B">
        <w:rPr>
          <w:szCs w:val="30"/>
        </w:rPr>
        <w:t>What do evidence-based secondary journals tell us about</w:t>
      </w:r>
      <w:r w:rsidR="003A1917">
        <w:rPr>
          <w:szCs w:val="30"/>
        </w:rPr>
        <w:t xml:space="preserve"> the </w:t>
      </w:r>
      <w:r w:rsidRPr="001A3D2B">
        <w:rPr>
          <w:szCs w:val="30"/>
        </w:rPr>
        <w:t>publication</w:t>
      </w:r>
      <w:r w:rsidR="00427468">
        <w:rPr>
          <w:szCs w:val="30"/>
        </w:rPr>
        <w:t xml:space="preserve"> of </w:t>
      </w:r>
      <w:r w:rsidRPr="001A3D2B">
        <w:rPr>
          <w:szCs w:val="30"/>
        </w:rPr>
        <w:t>clinically important articles in primary healthcare journals?</w:t>
      </w:r>
      <w:r w:rsidRPr="001A3D2B">
        <w:t xml:space="preserve"> </w:t>
      </w:r>
      <w:r w:rsidRPr="001A3D2B">
        <w:rPr>
          <w:i/>
          <w:szCs w:val="24"/>
        </w:rPr>
        <w:t>BMC Medicine</w:t>
      </w:r>
      <w:r w:rsidRPr="001A3D2B">
        <w:t xml:space="preserve">, </w:t>
      </w:r>
      <w:r w:rsidRPr="001A3D2B">
        <w:rPr>
          <w:b/>
          <w:bCs/>
        </w:rPr>
        <w:t>2</w:t>
      </w:r>
      <w:r w:rsidRPr="001A3D2B">
        <w:rPr>
          <w:kern w:val="0"/>
        </w:rPr>
        <w:t xml:space="preserve">, </w:t>
      </w:r>
      <w:r w:rsidRPr="001A3D2B">
        <w:t xml:space="preserve">Article Number: </w:t>
      </w:r>
      <w:r w:rsidRPr="001A3D2B">
        <w:rPr>
          <w:bCs/>
        </w:rPr>
        <w:t>33</w:t>
      </w:r>
      <w:r w:rsidRPr="001A3D2B">
        <w:t>.</w:t>
      </w:r>
    </w:p>
    <w:p w:rsidR="00C01B08" w:rsidRPr="001A3D2B" w:rsidRDefault="00C01B08" w:rsidP="00C01B08">
      <w:pPr>
        <w:pStyle w:val="a3"/>
      </w:pPr>
      <w:r w:rsidRPr="001A3D2B">
        <w:t xml:space="preserve">Full Text: </w:t>
      </w:r>
      <w:hyperlink r:id="rId1646" w:history="1">
        <w:r w:rsidRPr="001A3D2B">
          <w:rPr>
            <w:rStyle w:val="a5"/>
          </w:rPr>
          <w:t>2004\BMC Med2, 33.pdf</w:t>
        </w:r>
      </w:hyperlink>
    </w:p>
    <w:p w:rsidR="00C01B08" w:rsidRPr="001A3D2B" w:rsidRDefault="00C01B08" w:rsidP="00C01B08">
      <w:pPr>
        <w:pStyle w:val="a3"/>
      </w:pPr>
      <w:r w:rsidRPr="001A3D2B">
        <w:t>Abstract: BACKGROUND: We conducted this analysis to determine i) which journals publish high-quality, clinically relevant studies in internal medicine, general/family practice, general practice nursing,</w:t>
      </w:r>
      <w:r w:rsidR="005853A9">
        <w:t xml:space="preserve"> and </w:t>
      </w:r>
      <w:r w:rsidRPr="001A3D2B">
        <w:t>mental health;</w:t>
      </w:r>
      <w:r w:rsidR="005853A9">
        <w:t xml:space="preserve"> and </w:t>
      </w:r>
      <w:r w:rsidRPr="001A3D2B">
        <w:t>ii)</w:t>
      </w:r>
      <w:r w:rsidR="003A1917">
        <w:t xml:space="preserve"> the </w:t>
      </w:r>
      <w:r w:rsidRPr="001A3D2B">
        <w:t>proportion</w:t>
      </w:r>
      <w:r w:rsidR="00427468">
        <w:t xml:space="preserve"> of </w:t>
      </w:r>
      <w:r w:rsidRPr="001A3D2B">
        <w:t>clinically relevant articles in each journal. METHODS: We performed an analytic survey</w:t>
      </w:r>
      <w:r w:rsidR="00427468">
        <w:t xml:space="preserve"> of </w:t>
      </w:r>
      <w:r w:rsidRPr="001A3D2B">
        <w:t>a hand search</w:t>
      </w:r>
      <w:r w:rsidR="00427468">
        <w:t xml:space="preserve"> of </w:t>
      </w:r>
      <w:r w:rsidRPr="001A3D2B">
        <w:t>170 general medicine, general healthcare,</w:t>
      </w:r>
      <w:r w:rsidR="005853A9">
        <w:t xml:space="preserve"> and </w:t>
      </w:r>
      <w:r w:rsidRPr="001A3D2B">
        <w:t>specialty journals for 2000. Research staff assessed individual articles by using explicit criteria for scientific merit for healthcare application. Practitioners assessed</w:t>
      </w:r>
      <w:r w:rsidR="003A1917">
        <w:t xml:space="preserve"> the </w:t>
      </w:r>
      <w:r w:rsidRPr="001A3D2B">
        <w:t>clinical importance</w:t>
      </w:r>
      <w:r w:rsidR="00427468">
        <w:t xml:space="preserve"> of </w:t>
      </w:r>
      <w:r w:rsidRPr="001A3D2B">
        <w:t>these articles. Outcome measures were</w:t>
      </w:r>
      <w:r w:rsidR="003A1917">
        <w:t xml:space="preserve"> the </w:t>
      </w:r>
      <w:r w:rsidRPr="001A3D2B">
        <w:t>number</w:t>
      </w:r>
      <w:r w:rsidR="00427468">
        <w:t xml:space="preserve"> of </w:t>
      </w:r>
      <w:r w:rsidRPr="001A3D2B">
        <w:t>high-quality, clinically relevant studies published in</w:t>
      </w:r>
      <w:r w:rsidR="003A1917">
        <w:t xml:space="preserve"> the </w:t>
      </w:r>
      <w:r w:rsidRPr="001A3D2B">
        <w:t>170 journal titles</w:t>
      </w:r>
      <w:r w:rsidR="005853A9">
        <w:t xml:space="preserve"> and </w:t>
      </w:r>
      <w:r w:rsidRPr="001A3D2B">
        <w:t>how many</w:t>
      </w:r>
      <w:r w:rsidR="00427468">
        <w:t xml:space="preserve"> of </w:t>
      </w:r>
      <w:r w:rsidRPr="001A3D2B">
        <w:t>these were published in each</w:t>
      </w:r>
      <w:r w:rsidR="00427468">
        <w:t xml:space="preserve"> of </w:t>
      </w:r>
      <w:r w:rsidRPr="001A3D2B">
        <w:t xml:space="preserve">four discipline-specific, secondary </w:t>
      </w:r>
      <w:r w:rsidR="00B5188C">
        <w:t>“</w:t>
      </w:r>
      <w:r w:rsidRPr="001A3D2B">
        <w:t>evidence-based</w:t>
      </w:r>
      <w:r w:rsidR="00B5188C">
        <w:t>”</w:t>
      </w:r>
      <w:r w:rsidRPr="001A3D2B">
        <w:t xml:space="preserve"> journals (ACP Journal Club for internal medicine</w:t>
      </w:r>
      <w:r w:rsidR="005853A9">
        <w:t xml:space="preserve"> and </w:t>
      </w:r>
      <w:r w:rsidRPr="001A3D2B">
        <w:t>its subspecialties; Evidence-Based Medicine for general/family practice; Evidence-Based Nursing for general practice nursing;</w:t>
      </w:r>
      <w:r w:rsidR="005853A9">
        <w:t xml:space="preserve"> and </w:t>
      </w:r>
      <w:r w:rsidRPr="001A3D2B">
        <w:t>Evidence-Based Mental Health for all aspects</w:t>
      </w:r>
      <w:r w:rsidR="00427468">
        <w:t xml:space="preserve"> of </w:t>
      </w:r>
      <w:r w:rsidRPr="001A3D2B">
        <w:t>mental health). Original studies</w:t>
      </w:r>
      <w:r w:rsidR="005853A9">
        <w:t xml:space="preserve"> and </w:t>
      </w:r>
      <w:r w:rsidRPr="001A3D2B">
        <w:t>review articles were classified for purpose: therapy</w:t>
      </w:r>
      <w:r w:rsidR="005853A9">
        <w:t xml:space="preserve"> and </w:t>
      </w:r>
      <w:r w:rsidRPr="001A3D2B">
        <w:t>prevention, screening</w:t>
      </w:r>
      <w:r w:rsidR="005853A9">
        <w:t xml:space="preserve"> and </w:t>
      </w:r>
      <w:r w:rsidRPr="001A3D2B">
        <w:t>diagnosis, prognosis, etiology</w:t>
      </w:r>
      <w:r w:rsidR="005853A9">
        <w:t xml:space="preserve"> and </w:t>
      </w:r>
      <w:r w:rsidRPr="001A3D2B">
        <w:t>harm, economics</w:t>
      </w:r>
      <w:r w:rsidR="005853A9">
        <w:t xml:space="preserve"> and </w:t>
      </w:r>
      <w:r w:rsidRPr="001A3D2B">
        <w:t>cost, clinical prediction guides,</w:t>
      </w:r>
      <w:r w:rsidR="005853A9">
        <w:t xml:space="preserve"> and </w:t>
      </w:r>
      <w:r w:rsidRPr="001A3D2B">
        <w:t>qualitative studies. RESULTS: We evaluated 60,352 articles from 170 journal titles</w:t>
      </w:r>
      <w:r w:rsidR="00A37C1D">
        <w:t>. The</w:t>
      </w:r>
      <w:r w:rsidR="003A1917">
        <w:t xml:space="preserve"> </w:t>
      </w:r>
      <w:r w:rsidRPr="001A3D2B">
        <w:t>pass criteria</w:t>
      </w:r>
      <w:r w:rsidR="00427468">
        <w:t xml:space="preserve"> of </w:t>
      </w:r>
      <w:r w:rsidRPr="001A3D2B">
        <w:t>high-quality methods</w:t>
      </w:r>
      <w:r w:rsidR="005853A9">
        <w:t xml:space="preserve"> and </w:t>
      </w:r>
      <w:r w:rsidRPr="001A3D2B">
        <w:t>clinically relevant material were met by 3059 original articles</w:t>
      </w:r>
      <w:r w:rsidR="005853A9">
        <w:t xml:space="preserve"> and </w:t>
      </w:r>
      <w:r w:rsidRPr="001A3D2B">
        <w:t>1073 review articles. For ACP Journal Club (internal medicine), four titles supplied 56.5%</w:t>
      </w:r>
      <w:r w:rsidR="00427468">
        <w:t xml:space="preserve"> of </w:t>
      </w:r>
      <w:r w:rsidR="003A1917">
        <w:t xml:space="preserve">the </w:t>
      </w:r>
      <w:r w:rsidRPr="001A3D2B">
        <w:t>articles</w:t>
      </w:r>
      <w:r w:rsidR="005853A9">
        <w:t xml:space="preserve"> and </w:t>
      </w:r>
      <w:r w:rsidRPr="001A3D2B">
        <w:t>27 titles supplied</w:t>
      </w:r>
      <w:r w:rsidR="003A1917">
        <w:t xml:space="preserve"> the </w:t>
      </w:r>
      <w:r w:rsidRPr="001A3D2B">
        <w:t>other 43.5%. For Evidence-Based Medicine (general/family practice), five titles supplied 50.7%</w:t>
      </w:r>
      <w:r w:rsidR="00427468">
        <w:t xml:space="preserve"> of </w:t>
      </w:r>
      <w:r w:rsidR="003A1917">
        <w:t xml:space="preserve">the </w:t>
      </w:r>
      <w:r w:rsidRPr="001A3D2B">
        <w:t>articles</w:t>
      </w:r>
      <w:r w:rsidR="005853A9">
        <w:t xml:space="preserve"> and </w:t>
      </w:r>
      <w:r w:rsidRPr="001A3D2B">
        <w:t>40 titles supplied</w:t>
      </w:r>
      <w:r w:rsidR="003A1917">
        <w:t xml:space="preserve"> the </w:t>
      </w:r>
      <w:r w:rsidRPr="001A3D2B">
        <w:t>remaining 49.3%. For Evidence-Based Nursing (general practice nursing), seven titles supplied 51.0%</w:t>
      </w:r>
      <w:r w:rsidR="00427468">
        <w:t xml:space="preserve"> of </w:t>
      </w:r>
      <w:r w:rsidR="003A1917">
        <w:t xml:space="preserve">the </w:t>
      </w:r>
      <w:r w:rsidRPr="001A3D2B">
        <w:t>articles</w:t>
      </w:r>
      <w:r w:rsidR="005853A9">
        <w:t xml:space="preserve"> and </w:t>
      </w:r>
      <w:r w:rsidRPr="001A3D2B">
        <w:t>34 additional titles supplied 49.0%. For Evidence-Based Mental Health (mental health), nine titles supplied 53.2%</w:t>
      </w:r>
      <w:r w:rsidR="00427468">
        <w:t xml:space="preserve"> of </w:t>
      </w:r>
      <w:r w:rsidR="003A1917">
        <w:t xml:space="preserve">the </w:t>
      </w:r>
      <w:r w:rsidRPr="001A3D2B">
        <w:t>articles</w:t>
      </w:r>
      <w:r w:rsidR="005853A9">
        <w:t xml:space="preserve"> and </w:t>
      </w:r>
      <w:r w:rsidRPr="001A3D2B">
        <w:t>34 additional titles supplied 46.8%. For</w:t>
      </w:r>
      <w:r w:rsidR="003A1917">
        <w:t xml:space="preserve"> the </w:t>
      </w:r>
      <w:r w:rsidRPr="001A3D2B">
        <w:t>disciplines</w:t>
      </w:r>
      <w:r w:rsidR="00427468">
        <w:t xml:space="preserve"> of </w:t>
      </w:r>
      <w:r w:rsidRPr="001A3D2B">
        <w:t>internal medicine, general/family practice,</w:t>
      </w:r>
      <w:r w:rsidR="005853A9">
        <w:t xml:space="preserve"> and </w:t>
      </w:r>
      <w:r w:rsidRPr="001A3D2B">
        <w:t>mental health (but not general practice nursing</w:t>
      </w:r>
      <w:r w:rsidR="00F42EAC">
        <w:t>), The</w:t>
      </w:r>
      <w:r w:rsidR="003A1917">
        <w:t xml:space="preserve"> </w:t>
      </w:r>
      <w:r w:rsidRPr="001A3D2B">
        <w:t>number</w:t>
      </w:r>
      <w:r w:rsidR="00427468">
        <w:t xml:space="preserve"> of </w:t>
      </w:r>
      <w:r w:rsidRPr="001A3D2B">
        <w:t>clinically important articles was correlated with Science Citation Index (SCI) Impact Factors. CONCLUSIONS: Although many clinical journals publish high-quality, clinically relevant</w:t>
      </w:r>
      <w:r w:rsidR="005853A9">
        <w:t xml:space="preserve"> and </w:t>
      </w:r>
      <w:r w:rsidRPr="001A3D2B">
        <w:t>important original studies</w:t>
      </w:r>
      <w:r w:rsidR="005853A9">
        <w:t xml:space="preserve"> and </w:t>
      </w:r>
      <w:r w:rsidRPr="001A3D2B">
        <w:t>systematic reviews,</w:t>
      </w:r>
      <w:r w:rsidR="003A1917">
        <w:t xml:space="preserve"> the </w:t>
      </w:r>
      <w:r w:rsidRPr="001A3D2B">
        <w:t>articles for each discipline studied were concentrated in a small subset</w:t>
      </w:r>
      <w:r w:rsidR="00427468">
        <w:t xml:space="preserve"> of </w:t>
      </w:r>
      <w:r w:rsidRPr="001A3D2B">
        <w:t>journals. This subset varied according to healthcare discipline; however, many</w:t>
      </w:r>
      <w:r w:rsidR="00427468">
        <w:t xml:space="preserve"> of </w:t>
      </w:r>
      <w:r w:rsidR="003A1917">
        <w:t xml:space="preserve">the </w:t>
      </w:r>
      <w:r w:rsidRPr="001A3D2B">
        <w:t>important articles for all disciplines in this study were published in broad-based healthcare journals rather than subspecialty or discipline-specific journals.</w:t>
      </w:r>
    </w:p>
    <w:p w:rsidR="00072018" w:rsidRDefault="00072018" w:rsidP="00072018">
      <w:pPr>
        <w:pStyle w:val="a3"/>
        <w:rPr>
          <w:kern w:val="0"/>
        </w:rPr>
      </w:pPr>
      <w:r>
        <w:rPr>
          <w:rFonts w:hint="eastAsia"/>
          <w:kern w:val="0"/>
        </w:rPr>
        <w:t xml:space="preserve">? </w:t>
      </w:r>
      <w:r>
        <w:t>Wager, E</w:t>
      </w:r>
      <w:r>
        <w:rPr>
          <w:rFonts w:hint="eastAsia"/>
        </w:rPr>
        <w:t>.,</w:t>
      </w:r>
      <w:r>
        <w:t xml:space="preserve"> Parkin, E</w:t>
      </w:r>
      <w:r>
        <w:rPr>
          <w:rFonts w:hint="eastAsia"/>
        </w:rPr>
        <w:t>.</w:t>
      </w:r>
      <w:r>
        <w:t>C</w:t>
      </w:r>
      <w:r>
        <w:rPr>
          <w:rFonts w:hint="eastAsia"/>
        </w:rPr>
        <w:t>.</w:t>
      </w:r>
      <w:r w:rsidR="005853A9">
        <w:rPr>
          <w:rFonts w:hint="eastAsia"/>
        </w:rPr>
        <w:t xml:space="preserve"> and </w:t>
      </w:r>
      <w:r>
        <w:t>Tamber, P</w:t>
      </w:r>
      <w:r>
        <w:rPr>
          <w:rFonts w:hint="eastAsia"/>
        </w:rPr>
        <w:t>.</w:t>
      </w:r>
      <w:r>
        <w:t>S</w:t>
      </w:r>
      <w:r>
        <w:rPr>
          <w:rFonts w:hint="eastAsia"/>
        </w:rPr>
        <w:t>.</w:t>
      </w:r>
      <w:r>
        <w:rPr>
          <w:kern w:val="0"/>
        </w:rPr>
        <w:t xml:space="preserve"> (200</w:t>
      </w:r>
      <w:r>
        <w:rPr>
          <w:rFonts w:hint="eastAsia"/>
          <w:kern w:val="0"/>
        </w:rPr>
        <w:t>6</w:t>
      </w:r>
      <w:r>
        <w:rPr>
          <w:kern w:val="0"/>
        </w:rPr>
        <w:t xml:space="preserve">), </w:t>
      </w:r>
      <w:r>
        <w:t xml:space="preserve">Are reviewers suggested by authors </w:t>
      </w:r>
      <w:r>
        <w:lastRenderedPageBreak/>
        <w:t>as good as those chosen by editors? Results</w:t>
      </w:r>
      <w:r w:rsidR="00427468">
        <w:t xml:space="preserve"> of </w:t>
      </w:r>
      <w:r>
        <w:t>a rater-blinded, retrospective study</w:t>
      </w:r>
      <w:r>
        <w:rPr>
          <w:kern w:val="0"/>
        </w:rPr>
        <w:t xml:space="preserve">. </w:t>
      </w:r>
      <w:r>
        <w:rPr>
          <w:i/>
          <w:iCs/>
          <w:kern w:val="0"/>
        </w:rPr>
        <w:t>BMC Medicine</w:t>
      </w:r>
      <w:r>
        <w:rPr>
          <w:kern w:val="0"/>
        </w:rPr>
        <w:t xml:space="preserve">, </w:t>
      </w:r>
      <w:r>
        <w:rPr>
          <w:rFonts w:hint="eastAsia"/>
          <w:b/>
          <w:bCs/>
          <w:kern w:val="0"/>
        </w:rPr>
        <w:t>4</w:t>
      </w:r>
      <w:r>
        <w:rPr>
          <w:rFonts w:hint="eastAsia"/>
          <w:kern w:val="0"/>
        </w:rPr>
        <w:t xml:space="preserve">, </w:t>
      </w:r>
      <w:r w:rsidRPr="007E40CD">
        <w:t xml:space="preserve">Article Number: </w:t>
      </w:r>
      <w:r>
        <w:rPr>
          <w:rFonts w:hint="eastAsia"/>
        </w:rPr>
        <w:t>13</w:t>
      </w:r>
      <w:r w:rsidRPr="007E40CD">
        <w:rPr>
          <w:rFonts w:hint="eastAsia"/>
        </w:rPr>
        <w:t>.</w:t>
      </w:r>
    </w:p>
    <w:p w:rsidR="00072018" w:rsidRDefault="00072018" w:rsidP="00072018">
      <w:pPr>
        <w:pStyle w:val="a3"/>
      </w:pPr>
      <w:r>
        <w:t>Full Text:</w:t>
      </w:r>
      <w:r w:rsidRPr="00FC7835">
        <w:t xml:space="preserve"> </w:t>
      </w:r>
      <w:hyperlink r:id="rId1647" w:history="1">
        <w:r w:rsidRPr="002F7098">
          <w:rPr>
            <w:rStyle w:val="a5"/>
          </w:rPr>
          <w:t>2006\BMC Med4, 13.pdf</w:t>
        </w:r>
      </w:hyperlink>
    </w:p>
    <w:p w:rsidR="00072018" w:rsidRDefault="00072018" w:rsidP="00072018">
      <w:pPr>
        <w:pStyle w:val="a3"/>
      </w:pPr>
      <w:r>
        <w:t>Abstract: Background: BioMed Central (BMC) requires authors to suggest four reviewers when making a submission. Editors searching for reviewers use these suggestions as a source</w:t>
      </w:r>
      <w:r w:rsidR="00A37C1D">
        <w:t>. The</w:t>
      </w:r>
      <w:r w:rsidR="003A1917">
        <w:t xml:space="preserve"> </w:t>
      </w:r>
      <w:r>
        <w:t>review process</w:t>
      </w:r>
      <w:r w:rsidR="00427468">
        <w:t xml:space="preserve"> of </w:t>
      </w:r>
      <w:r w:rsidR="003A1917">
        <w:t xml:space="preserve">the </w:t>
      </w:r>
      <w:r>
        <w:t>medical journals in</w:t>
      </w:r>
      <w:r w:rsidR="003A1917">
        <w:t xml:space="preserve"> the </w:t>
      </w:r>
      <w:r>
        <w:t>BMC series is open-authors</w:t>
      </w:r>
      <w:r w:rsidR="005853A9">
        <w:t xml:space="preserve"> and </w:t>
      </w:r>
      <w:r>
        <w:t>reviewers know each other</w:t>
      </w:r>
      <w:r w:rsidR="00700038">
        <w:t>’</w:t>
      </w:r>
      <w:r>
        <w:t>s identity -although reviewers can make confidential comments to</w:t>
      </w:r>
      <w:r w:rsidR="003A1917">
        <w:t xml:space="preserve"> the </w:t>
      </w:r>
      <w:r>
        <w:t>editor. Reviews are published alongside accepted articles so readers may see</w:t>
      </w:r>
      <w:r w:rsidR="003A1917">
        <w:t xml:space="preserve"> the </w:t>
      </w:r>
      <w:r>
        <w:t>reviewers</w:t>
      </w:r>
      <w:r w:rsidR="00700038">
        <w:t>’</w:t>
      </w:r>
      <w:r>
        <w:t xml:space="preserve"> names</w:t>
      </w:r>
      <w:r w:rsidR="005853A9">
        <w:t xml:space="preserve"> and </w:t>
      </w:r>
      <w:r>
        <w:t>recommendations. Our objective was to compare</w:t>
      </w:r>
      <w:r w:rsidR="003A1917">
        <w:t xml:space="preserve"> the </w:t>
      </w:r>
      <w:r>
        <w:t>performance</w:t>
      </w:r>
      <w:r w:rsidR="00427468">
        <w:t xml:space="preserve"> of </w:t>
      </w:r>
      <w:r>
        <w:t>author-nominated reviewers (ANR) with that</w:t>
      </w:r>
      <w:r w:rsidR="00427468">
        <w:t xml:space="preserve"> of </w:t>
      </w:r>
      <w:r>
        <w:t>editor-chosen reviewers (ECR) in terms</w:t>
      </w:r>
      <w:r w:rsidR="00427468">
        <w:t xml:space="preserve"> of </w:t>
      </w:r>
      <w:r>
        <w:t>review quality</w:t>
      </w:r>
      <w:r w:rsidR="005853A9">
        <w:t xml:space="preserve"> and </w:t>
      </w:r>
      <w:r>
        <w:t>recommendations about submissions in an online-only medical journal.</w:t>
      </w:r>
    </w:p>
    <w:p w:rsidR="00072018" w:rsidRDefault="00072018" w:rsidP="00072018">
      <w:pPr>
        <w:pStyle w:val="a3"/>
      </w:pPr>
      <w:r>
        <w:t>Methods: Pairs</w:t>
      </w:r>
      <w:r w:rsidR="00427468">
        <w:t xml:space="preserve"> of </w:t>
      </w:r>
      <w:r>
        <w:t>reviews from 100 consecutive submissions to medical journals in</w:t>
      </w:r>
      <w:r w:rsidR="003A1917">
        <w:t xml:space="preserve"> the </w:t>
      </w:r>
      <w:r>
        <w:t>BMC series (with one author-nominated</w:t>
      </w:r>
      <w:r w:rsidR="005853A9">
        <w:t xml:space="preserve"> and </w:t>
      </w:r>
      <w:r>
        <w:t>one editor-chosen reviewer</w:t>
      </w:r>
      <w:r w:rsidR="005853A9">
        <w:t xml:space="preserve"> and </w:t>
      </w:r>
      <w:r>
        <w:t>a final decision) were assessed by two raters, blinded to reviewer type, using a validated review quality instrument (RQI) which rates 7 items on 5-point Likert scales</w:t>
      </w:r>
      <w:r w:rsidR="00A37C1D">
        <w:t>. The</w:t>
      </w:r>
      <w:r w:rsidR="003A1917">
        <w:t xml:space="preserve"> </w:t>
      </w:r>
      <w:r>
        <w:t>raters discussed their ratings after</w:t>
      </w:r>
      <w:r w:rsidR="003A1917">
        <w:t xml:space="preserve"> the </w:t>
      </w:r>
      <w:r>
        <w:t>first 20 pairs (keeping reviewer type masked)</w:t>
      </w:r>
      <w:r w:rsidR="005853A9">
        <w:t xml:space="preserve"> and </w:t>
      </w:r>
      <w:r>
        <w:t>resolved major discrepancies in scoring</w:t>
      </w:r>
      <w:r w:rsidR="005853A9">
        <w:t xml:space="preserve"> and </w:t>
      </w:r>
      <w:r>
        <w:t>interpretation to improve inter-rater reliability. Reviewers</w:t>
      </w:r>
      <w:r w:rsidR="00700038">
        <w:t>’</w:t>
      </w:r>
      <w:r>
        <w:t xml:space="preserve"> recommendations were also compared.</w:t>
      </w:r>
    </w:p>
    <w:p w:rsidR="00072018" w:rsidRDefault="00072018" w:rsidP="00072018">
      <w:pPr>
        <w:pStyle w:val="a3"/>
      </w:pPr>
      <w:r>
        <w:t>Results: Reviewer source had no impact on review quality (mean RQI score (+/- SD) 2.24 +/- 0.55 for ANR, 2.34 +/- 0.54 for ECR) or tone (mean scores on additional question 2.72 ANR vs 2.82 ECR) (maximum score = 5 in both cases). However author- nominated reviewers were significantly more likely to recommend acceptance (47 vs 35)</w:t>
      </w:r>
      <w:r w:rsidR="005853A9">
        <w:t xml:space="preserve"> and </w:t>
      </w:r>
      <w:r>
        <w:t>less likely to recommend rejection (10 vs 23) than editor- chosen reviewers after initial review p &lt; 0.001). However, by</w:t>
      </w:r>
      <w:r w:rsidR="003A1917">
        <w:t xml:space="preserve"> the </w:t>
      </w:r>
      <w:r>
        <w:t>final review stage (i.e. after authors had responded to reviewer comments) ANR</w:t>
      </w:r>
      <w:r w:rsidR="005853A9">
        <w:t xml:space="preserve"> and </w:t>
      </w:r>
      <w:r>
        <w:t>ECR recommendations were similar (65 vs 66 accept, 10 vs 14 reject, p = 0.47)</w:t>
      </w:r>
      <w:r w:rsidR="00A37C1D">
        <w:t>. The</w:t>
      </w:r>
      <w:r w:rsidR="003A1917">
        <w:t xml:space="preserve"> </w:t>
      </w:r>
      <w:r>
        <w:t>number</w:t>
      </w:r>
      <w:r w:rsidR="00427468">
        <w:t xml:space="preserve"> of </w:t>
      </w:r>
      <w:r>
        <w:t>reviewers unable to decide about acceptance was similar in both groups at both review stages.</w:t>
      </w:r>
    </w:p>
    <w:p w:rsidR="00072018" w:rsidRDefault="00072018" w:rsidP="00072018">
      <w:pPr>
        <w:pStyle w:val="a3"/>
      </w:pPr>
      <w:r>
        <w:t>Conclusion: Author- nominated reviewers produced reviews</w:t>
      </w:r>
      <w:r w:rsidR="00427468">
        <w:t xml:space="preserve"> of </w:t>
      </w:r>
      <w:r>
        <w:t>similar quality to editor- chosen reviewers but were more likely to recommend acceptance during</w:t>
      </w:r>
      <w:r w:rsidR="003A1917">
        <w:t xml:space="preserve"> the </w:t>
      </w:r>
      <w:r>
        <w:t>initial stages</w:t>
      </w:r>
      <w:r w:rsidR="00427468">
        <w:t xml:space="preserve"> of </w:t>
      </w:r>
      <w:r>
        <w:t>peer review.</w:t>
      </w:r>
    </w:p>
    <w:p w:rsidR="00072018" w:rsidRPr="00FC7835" w:rsidRDefault="00072018" w:rsidP="00072018">
      <w:pPr>
        <w:pStyle w:val="a3"/>
      </w:pPr>
      <w:r>
        <w:t>Keywords: Quality, Recommendations</w:t>
      </w:r>
    </w:p>
    <w:p w:rsidR="00C01B08" w:rsidRPr="001A3D2B" w:rsidRDefault="00C01B08" w:rsidP="00C01B08">
      <w:pPr>
        <w:pStyle w:val="a3"/>
        <w:rPr>
          <w:kern w:val="0"/>
        </w:rPr>
      </w:pPr>
      <w:r w:rsidRPr="001A3D2B">
        <w:rPr>
          <w:kern w:val="0"/>
        </w:rPr>
        <w:t>? Dandona, L., Raban, M.Z., Guggilla, R.K., Bhatnagar, A.</w:t>
      </w:r>
      <w:r w:rsidR="005853A9">
        <w:rPr>
          <w:kern w:val="0"/>
        </w:rPr>
        <w:t xml:space="preserve"> and </w:t>
      </w:r>
      <w:r w:rsidRPr="001A3D2B">
        <w:rPr>
          <w:kern w:val="0"/>
        </w:rPr>
        <w:t>Dandona, R. (2009), Trends</w:t>
      </w:r>
      <w:r w:rsidR="00427468">
        <w:rPr>
          <w:kern w:val="0"/>
        </w:rPr>
        <w:t xml:space="preserve"> of </w:t>
      </w:r>
      <w:r w:rsidRPr="001A3D2B">
        <w:rPr>
          <w:kern w:val="0"/>
        </w:rPr>
        <w:t xml:space="preserve">public health research output from India during 2001-2008. </w:t>
      </w:r>
      <w:r w:rsidRPr="001A3D2B">
        <w:rPr>
          <w:i/>
          <w:iCs/>
          <w:kern w:val="0"/>
        </w:rPr>
        <w:t>BMC Medicine</w:t>
      </w:r>
      <w:r w:rsidRPr="001A3D2B">
        <w:rPr>
          <w:kern w:val="0"/>
        </w:rPr>
        <w:t xml:space="preserve">, </w:t>
      </w:r>
      <w:r w:rsidRPr="001A3D2B">
        <w:rPr>
          <w:b/>
          <w:bCs/>
          <w:kern w:val="0"/>
        </w:rPr>
        <w:t>7</w:t>
      </w:r>
      <w:r w:rsidRPr="001A3D2B">
        <w:rPr>
          <w:kern w:val="0"/>
        </w:rPr>
        <w:t xml:space="preserve">, </w:t>
      </w:r>
      <w:r w:rsidRPr="001A3D2B">
        <w:t>Article Number: 59.</w:t>
      </w:r>
    </w:p>
    <w:p w:rsidR="00C01B08" w:rsidRPr="001A3D2B" w:rsidRDefault="00C01B08" w:rsidP="00C01B08">
      <w:pPr>
        <w:pStyle w:val="a3"/>
      </w:pPr>
      <w:r w:rsidRPr="001A3D2B">
        <w:t xml:space="preserve">Full Text: </w:t>
      </w:r>
      <w:hyperlink r:id="rId1648" w:history="1">
        <w:r w:rsidRPr="001A3D2B">
          <w:rPr>
            <w:rStyle w:val="a5"/>
          </w:rPr>
          <w:t>2009\BMC Med7, 59.pdf</w:t>
        </w:r>
      </w:hyperlink>
    </w:p>
    <w:p w:rsidR="00C01B08" w:rsidRPr="001A3D2B" w:rsidRDefault="00C01B08" w:rsidP="00C01B08">
      <w:pPr>
        <w:pStyle w:val="a3"/>
        <w:rPr>
          <w:kern w:val="0"/>
        </w:rPr>
      </w:pPr>
      <w:r w:rsidRPr="001A3D2B">
        <w:rPr>
          <w:kern w:val="0"/>
        </w:rPr>
        <w:t>Abstract: Background: An understanding</w:t>
      </w:r>
      <w:r w:rsidR="00427468">
        <w:rPr>
          <w:kern w:val="0"/>
        </w:rPr>
        <w:t xml:space="preserve"> of </w:t>
      </w:r>
      <w:r w:rsidRPr="001A3D2B">
        <w:rPr>
          <w:kern w:val="0"/>
        </w:rPr>
        <w:t>how public health research output from India is changing in relation to</w:t>
      </w:r>
      <w:r w:rsidR="003A1917">
        <w:rPr>
          <w:kern w:val="0"/>
        </w:rPr>
        <w:t xml:space="preserve"> the </w:t>
      </w:r>
      <w:r w:rsidRPr="001A3D2B">
        <w:rPr>
          <w:kern w:val="0"/>
        </w:rPr>
        <w:t>disease burden</w:t>
      </w:r>
      <w:r w:rsidR="005853A9">
        <w:rPr>
          <w:kern w:val="0"/>
        </w:rPr>
        <w:t xml:space="preserve"> and </w:t>
      </w:r>
      <w:r w:rsidRPr="001A3D2B">
        <w:rPr>
          <w:kern w:val="0"/>
        </w:rPr>
        <w:t xml:space="preserve">public health priorities is </w:t>
      </w:r>
      <w:r w:rsidRPr="001A3D2B">
        <w:rPr>
          <w:kern w:val="0"/>
        </w:rPr>
        <w:lastRenderedPageBreak/>
        <w:t>required in order to inform relevant research development. We therefore studied</w:t>
      </w:r>
      <w:r w:rsidR="003A1917">
        <w:rPr>
          <w:kern w:val="0"/>
        </w:rPr>
        <w:t xml:space="preserve"> the </w:t>
      </w:r>
      <w:r w:rsidRPr="001A3D2B">
        <w:rPr>
          <w:kern w:val="0"/>
        </w:rPr>
        <w:t>trends in</w:t>
      </w:r>
      <w:r w:rsidR="003A1917">
        <w:rPr>
          <w:kern w:val="0"/>
        </w:rPr>
        <w:t xml:space="preserve"> the </w:t>
      </w:r>
      <w:r w:rsidRPr="001A3D2B">
        <w:rPr>
          <w:kern w:val="0"/>
        </w:rPr>
        <w:t>public health research output from India during 2001-2008 that was readily available in</w:t>
      </w:r>
      <w:r w:rsidR="003A1917">
        <w:rPr>
          <w:kern w:val="0"/>
        </w:rPr>
        <w:t xml:space="preserve"> the </w:t>
      </w:r>
      <w:r w:rsidRPr="001A3D2B">
        <w:rPr>
          <w:kern w:val="0"/>
        </w:rPr>
        <w:t>public domain. Methods:</w:t>
      </w:r>
      <w:r w:rsidR="003A1917">
        <w:rPr>
          <w:kern w:val="0"/>
        </w:rPr>
        <w:t xml:space="preserve"> the </w:t>
      </w:r>
      <w:r w:rsidRPr="001A3D2B">
        <w:rPr>
          <w:kern w:val="0"/>
        </w:rPr>
        <w:t>scope</w:t>
      </w:r>
      <w:r w:rsidR="005853A9">
        <w:rPr>
          <w:kern w:val="0"/>
        </w:rPr>
        <w:t xml:space="preserve"> and </w:t>
      </w:r>
      <w:r w:rsidRPr="001A3D2B">
        <w:rPr>
          <w:kern w:val="0"/>
        </w:rPr>
        <w:t>type</w:t>
      </w:r>
      <w:r w:rsidR="00427468">
        <w:rPr>
          <w:kern w:val="0"/>
        </w:rPr>
        <w:t xml:space="preserve"> of </w:t>
      </w:r>
      <w:r w:rsidR="003A1917">
        <w:rPr>
          <w:kern w:val="0"/>
        </w:rPr>
        <w:t xml:space="preserve">the </w:t>
      </w:r>
      <w:r w:rsidRPr="001A3D2B">
        <w:rPr>
          <w:kern w:val="0"/>
        </w:rPr>
        <w:t>published research from India in 2007 that was included in</w:t>
      </w:r>
      <w:r w:rsidR="003A1917">
        <w:rPr>
          <w:kern w:val="0"/>
        </w:rPr>
        <w:t xml:space="preserve"> the </w:t>
      </w:r>
      <w:r w:rsidR="002C12F0">
        <w:rPr>
          <w:kern w:val="0"/>
        </w:rPr>
        <w:t>PUBMED</w:t>
      </w:r>
      <w:r w:rsidRPr="001A3D2B">
        <w:rPr>
          <w:kern w:val="0"/>
        </w:rPr>
        <w:t xml:space="preserve"> database was assessed</w:t>
      </w:r>
      <w:r w:rsidR="005853A9">
        <w:rPr>
          <w:kern w:val="0"/>
        </w:rPr>
        <w:t xml:space="preserve"> and </w:t>
      </w:r>
      <w:r w:rsidRPr="001A3D2B">
        <w:rPr>
          <w:kern w:val="0"/>
        </w:rPr>
        <w:t>compared with a previous similar assessment for 2002. Papers were classified based on</w:t>
      </w:r>
      <w:r w:rsidR="003A1917">
        <w:rPr>
          <w:kern w:val="0"/>
        </w:rPr>
        <w:t xml:space="preserve"> the </w:t>
      </w:r>
      <w:r w:rsidRPr="001A3D2B">
        <w:rPr>
          <w:kern w:val="0"/>
        </w:rPr>
        <w:t>review</w:t>
      </w:r>
      <w:r w:rsidR="00427468">
        <w:rPr>
          <w:kern w:val="0"/>
        </w:rPr>
        <w:t xml:space="preserve"> of </w:t>
      </w:r>
      <w:r w:rsidRPr="001A3D2B">
        <w:rPr>
          <w:kern w:val="0"/>
        </w:rPr>
        <w:t>abstracts</w:t>
      </w:r>
      <w:r w:rsidR="005853A9">
        <w:rPr>
          <w:kern w:val="0"/>
        </w:rPr>
        <w:t xml:space="preserve"> and </w:t>
      </w:r>
      <w:r w:rsidRPr="001A3D2B">
        <w:rPr>
          <w:kern w:val="0"/>
        </w:rPr>
        <w:t>original public health research papers were assessed in detail. Impact factors for</w:t>
      </w:r>
      <w:r w:rsidR="003A1917">
        <w:rPr>
          <w:kern w:val="0"/>
        </w:rPr>
        <w:t xml:space="preserve"> the </w:t>
      </w:r>
      <w:r w:rsidRPr="001A3D2B">
        <w:rPr>
          <w:kern w:val="0"/>
        </w:rPr>
        <w:t>journals were used to compute quality-adjusted research output</w:t>
      </w:r>
      <w:r w:rsidR="00A37C1D">
        <w:rPr>
          <w:kern w:val="0"/>
        </w:rPr>
        <w:t>. The</w:t>
      </w:r>
      <w:r w:rsidR="003A1917">
        <w:rPr>
          <w:kern w:val="0"/>
        </w:rPr>
        <w:t xml:space="preserve"> </w:t>
      </w:r>
      <w:r w:rsidRPr="001A3D2B">
        <w:rPr>
          <w:kern w:val="0"/>
        </w:rPr>
        <w:t>websites</w:t>
      </w:r>
      <w:r w:rsidR="00427468">
        <w:rPr>
          <w:kern w:val="0"/>
        </w:rPr>
        <w:t xml:space="preserve"> of </w:t>
      </w:r>
      <w:r w:rsidRPr="001A3D2B">
        <w:rPr>
          <w:kern w:val="0"/>
        </w:rPr>
        <w:t>governmental organizations, academic</w:t>
      </w:r>
      <w:r w:rsidR="005853A9">
        <w:rPr>
          <w:kern w:val="0"/>
        </w:rPr>
        <w:t xml:space="preserve"> and </w:t>
      </w:r>
      <w:r w:rsidRPr="001A3D2B">
        <w:rPr>
          <w:kern w:val="0"/>
        </w:rPr>
        <w:t>research institutions</w:t>
      </w:r>
      <w:r w:rsidR="005853A9">
        <w:rPr>
          <w:kern w:val="0"/>
        </w:rPr>
        <w:t xml:space="preserve"> and </w:t>
      </w:r>
      <w:r w:rsidRPr="001A3D2B">
        <w:rPr>
          <w:kern w:val="0"/>
        </w:rPr>
        <w:t>international organizations were searched in order to identify</w:t>
      </w:r>
      <w:r w:rsidR="005853A9">
        <w:rPr>
          <w:kern w:val="0"/>
        </w:rPr>
        <w:t xml:space="preserve"> and </w:t>
      </w:r>
      <w:r w:rsidRPr="001A3D2B">
        <w:rPr>
          <w:kern w:val="0"/>
        </w:rPr>
        <w:t>review reports on original public health research produced in India from 2001 to 2008</w:t>
      </w:r>
      <w:r w:rsidR="00A37C1D">
        <w:rPr>
          <w:kern w:val="0"/>
        </w:rPr>
        <w:t>. The</w:t>
      </w:r>
      <w:r w:rsidR="003A1917">
        <w:rPr>
          <w:kern w:val="0"/>
        </w:rPr>
        <w:t xml:space="preserve"> </w:t>
      </w:r>
      <w:r w:rsidRPr="001A3D2B">
        <w:rPr>
          <w:kern w:val="0"/>
        </w:rPr>
        <w:t>reports were classified based on</w:t>
      </w:r>
      <w:r w:rsidR="003A1917">
        <w:rPr>
          <w:kern w:val="0"/>
        </w:rPr>
        <w:t xml:space="preserve"> the </w:t>
      </w:r>
      <w:r w:rsidRPr="001A3D2B">
        <w:rPr>
          <w:kern w:val="0"/>
        </w:rPr>
        <w:t>topics covered</w:t>
      </w:r>
      <w:r w:rsidR="005853A9">
        <w:rPr>
          <w:kern w:val="0"/>
        </w:rPr>
        <w:t xml:space="preserve"> and </w:t>
      </w:r>
      <w:r w:rsidRPr="001A3D2B">
        <w:rPr>
          <w:kern w:val="0"/>
        </w:rPr>
        <w:t>quality</w:t>
      </w:r>
      <w:r w:rsidR="005853A9">
        <w:rPr>
          <w:kern w:val="0"/>
        </w:rPr>
        <w:t xml:space="preserve"> and </w:t>
      </w:r>
      <w:r w:rsidRPr="001A3D2B">
        <w:rPr>
          <w:kern w:val="0"/>
        </w:rPr>
        <w:t>their trends over time were assessed. Results:</w:t>
      </w:r>
      <w:r w:rsidR="003A1917">
        <w:rPr>
          <w:kern w:val="0"/>
        </w:rPr>
        <w:t xml:space="preserve"> the </w:t>
      </w:r>
      <w:r w:rsidRPr="001A3D2B">
        <w:rPr>
          <w:kern w:val="0"/>
        </w:rPr>
        <w:t>number</w:t>
      </w:r>
      <w:r w:rsidR="00427468">
        <w:rPr>
          <w:kern w:val="0"/>
        </w:rPr>
        <w:t xml:space="preserve"> of </w:t>
      </w:r>
      <w:r w:rsidRPr="001A3D2B">
        <w:rPr>
          <w:kern w:val="0"/>
        </w:rPr>
        <w:t xml:space="preserve">original health research papers from India in </w:t>
      </w:r>
      <w:r w:rsidR="002C12F0">
        <w:rPr>
          <w:kern w:val="0"/>
        </w:rPr>
        <w:t>PUBMED</w:t>
      </w:r>
      <w:r w:rsidRPr="001A3D2B">
        <w:rPr>
          <w:kern w:val="0"/>
        </w:rPr>
        <w:t xml:space="preserve"> doubled from 4494 in 2002 to 9066 in 2007. This included a 3.1-fold increase in public health research papers, but these comprised only 5%</w:t>
      </w:r>
      <w:r w:rsidR="00427468">
        <w:rPr>
          <w:kern w:val="0"/>
        </w:rPr>
        <w:t xml:space="preserve"> of </w:t>
      </w:r>
      <w:r w:rsidR="003A1917">
        <w:rPr>
          <w:kern w:val="0"/>
        </w:rPr>
        <w:t xml:space="preserve">the </w:t>
      </w:r>
      <w:r w:rsidRPr="001A3D2B">
        <w:rPr>
          <w:kern w:val="0"/>
        </w:rPr>
        <w:t>total papers in 2007. Within public health,</w:t>
      </w:r>
      <w:r w:rsidR="003A1917">
        <w:rPr>
          <w:kern w:val="0"/>
        </w:rPr>
        <w:t xml:space="preserve"> the </w:t>
      </w:r>
      <w:r w:rsidRPr="001A3D2B">
        <w:rPr>
          <w:kern w:val="0"/>
        </w:rPr>
        <w:t>increase was lowest for</w:t>
      </w:r>
      <w:r w:rsidR="003A1917">
        <w:rPr>
          <w:kern w:val="0"/>
        </w:rPr>
        <w:t xml:space="preserve"> the </w:t>
      </w:r>
      <w:r w:rsidRPr="001A3D2B">
        <w:rPr>
          <w:kern w:val="0"/>
        </w:rPr>
        <w:t>health system</w:t>
      </w:r>
      <w:r w:rsidR="005853A9">
        <w:rPr>
          <w:kern w:val="0"/>
        </w:rPr>
        <w:t xml:space="preserve"> and </w:t>
      </w:r>
      <w:r w:rsidRPr="001A3D2B">
        <w:rPr>
          <w:kern w:val="0"/>
        </w:rPr>
        <w:t>policy category. Several major causes</w:t>
      </w:r>
      <w:r w:rsidR="00427468">
        <w:rPr>
          <w:kern w:val="0"/>
        </w:rPr>
        <w:t xml:space="preserve"> of </w:t>
      </w:r>
      <w:r w:rsidRPr="001A3D2B">
        <w:rPr>
          <w:kern w:val="0"/>
        </w:rPr>
        <w:t>disease burden in India continued to be underrepresented in</w:t>
      </w:r>
      <w:r w:rsidR="003A1917">
        <w:rPr>
          <w:kern w:val="0"/>
        </w:rPr>
        <w:t xml:space="preserve"> the </w:t>
      </w:r>
      <w:r w:rsidRPr="001A3D2B">
        <w:rPr>
          <w:kern w:val="0"/>
        </w:rPr>
        <w:t>quality-adjusted public health research output in 2007</w:t>
      </w:r>
      <w:r w:rsidR="00A37C1D">
        <w:rPr>
          <w:kern w:val="0"/>
        </w:rPr>
        <w:t>. The</w:t>
      </w:r>
      <w:r w:rsidR="003A1917">
        <w:rPr>
          <w:kern w:val="0"/>
        </w:rPr>
        <w:t xml:space="preserve"> </w:t>
      </w:r>
      <w:r w:rsidRPr="001A3D2B">
        <w:rPr>
          <w:kern w:val="0"/>
        </w:rPr>
        <w:t>number</w:t>
      </w:r>
      <w:r w:rsidR="00427468">
        <w:rPr>
          <w:kern w:val="0"/>
        </w:rPr>
        <w:t xml:space="preserve"> of </w:t>
      </w:r>
      <w:r w:rsidRPr="001A3D2B">
        <w:rPr>
          <w:kern w:val="0"/>
        </w:rPr>
        <w:t>papers evaluating population health interventions increased from 2002 to 2007, but there were none on</w:t>
      </w:r>
      <w:r w:rsidR="003A1917">
        <w:rPr>
          <w:kern w:val="0"/>
        </w:rPr>
        <w:t xml:space="preserve"> the </w:t>
      </w:r>
      <w:r w:rsidRPr="001A3D2B">
        <w:rPr>
          <w:kern w:val="0"/>
        </w:rPr>
        <w:t>leading non-communicable causes</w:t>
      </w:r>
      <w:r w:rsidR="00427468">
        <w:rPr>
          <w:kern w:val="0"/>
        </w:rPr>
        <w:t xml:space="preserve"> of </w:t>
      </w:r>
      <w:r w:rsidRPr="001A3D2B">
        <w:rPr>
          <w:kern w:val="0"/>
        </w:rPr>
        <w:t>disease burden or on road traffic injuries</w:t>
      </w:r>
      <w:r w:rsidR="00A37C1D">
        <w:rPr>
          <w:kern w:val="0"/>
        </w:rPr>
        <w:t>. The</w:t>
      </w:r>
      <w:r w:rsidR="003A1917">
        <w:rPr>
          <w:kern w:val="0"/>
        </w:rPr>
        <w:t xml:space="preserve"> </w:t>
      </w:r>
      <w:r w:rsidRPr="001A3D2B">
        <w:rPr>
          <w:kern w:val="0"/>
        </w:rPr>
        <w:t>number</w:t>
      </w:r>
      <w:r w:rsidR="00427468">
        <w:rPr>
          <w:kern w:val="0"/>
        </w:rPr>
        <w:t xml:space="preserve"> of </w:t>
      </w:r>
      <w:r w:rsidRPr="001A3D2B">
        <w:rPr>
          <w:kern w:val="0"/>
        </w:rPr>
        <w:t>identified original public health research reports increased by 64.7% from 204 in 2001-2004 to 336 in 2005-2008</w:t>
      </w:r>
      <w:r w:rsidR="00A37C1D">
        <w:rPr>
          <w:kern w:val="0"/>
        </w:rPr>
        <w:t>. The</w:t>
      </w:r>
      <w:r w:rsidR="003A1917">
        <w:rPr>
          <w:kern w:val="0"/>
        </w:rPr>
        <w:t xml:space="preserve"> </w:t>
      </w:r>
      <w:r w:rsidRPr="001A3D2B">
        <w:rPr>
          <w:kern w:val="0"/>
        </w:rPr>
        <w:t>proportion</w:t>
      </w:r>
      <w:r w:rsidR="00427468">
        <w:rPr>
          <w:kern w:val="0"/>
        </w:rPr>
        <w:t xml:space="preserve"> of </w:t>
      </w:r>
      <w:r w:rsidRPr="001A3D2B">
        <w:rPr>
          <w:kern w:val="0"/>
        </w:rPr>
        <w:t>reports on reproductive</w:t>
      </w:r>
      <w:r w:rsidR="005853A9">
        <w:rPr>
          <w:kern w:val="0"/>
        </w:rPr>
        <w:t xml:space="preserve"> and </w:t>
      </w:r>
      <w:r w:rsidRPr="001A3D2B">
        <w:rPr>
          <w:kern w:val="0"/>
        </w:rPr>
        <w:t>child health was very high but decreased slightly from 38.7%</w:t>
      </w:r>
      <w:r w:rsidR="00427468">
        <w:rPr>
          <w:kern w:val="0"/>
        </w:rPr>
        <w:t xml:space="preserve"> of </w:t>
      </w:r>
      <w:r w:rsidR="003A1917">
        <w:rPr>
          <w:kern w:val="0"/>
        </w:rPr>
        <w:t xml:space="preserve">the </w:t>
      </w:r>
      <w:r w:rsidRPr="001A3D2B">
        <w:rPr>
          <w:kern w:val="0"/>
        </w:rPr>
        <w:t>total in 2001-2004 to 31.5% in 2005-2008 (P = 0.09); those on</w:t>
      </w:r>
      <w:r w:rsidR="003A1917">
        <w:rPr>
          <w:kern w:val="0"/>
        </w:rPr>
        <w:t xml:space="preserve"> the </w:t>
      </w:r>
      <w:r w:rsidRPr="001A3D2B">
        <w:rPr>
          <w:kern w:val="0"/>
        </w:rPr>
        <w:t>leading chronic non-communicable conditions</w:t>
      </w:r>
      <w:r w:rsidR="005853A9">
        <w:rPr>
          <w:kern w:val="0"/>
        </w:rPr>
        <w:t xml:space="preserve"> and </w:t>
      </w:r>
      <w:r w:rsidRPr="001A3D2B">
        <w:rPr>
          <w:kern w:val="0"/>
        </w:rPr>
        <w:t>injuries increased from 6.4% to 13.4% (P = 0.01) but this was still much lower than their contribution to</w:t>
      </w:r>
      <w:r w:rsidR="003A1917">
        <w:rPr>
          <w:kern w:val="0"/>
        </w:rPr>
        <w:t xml:space="preserve"> the </w:t>
      </w:r>
      <w:r w:rsidRPr="001A3D2B">
        <w:rPr>
          <w:kern w:val="0"/>
        </w:rPr>
        <w:t>disease burden. Health system/policy issues were</w:t>
      </w:r>
      <w:r w:rsidR="003A1917">
        <w:rPr>
          <w:kern w:val="0"/>
        </w:rPr>
        <w:t xml:space="preserve"> the </w:t>
      </w:r>
      <w:r w:rsidRPr="001A3D2B">
        <w:rPr>
          <w:kern w:val="0"/>
        </w:rPr>
        <w:t>topic in 27.4% reports but health information issues were covered in a miniscule 0.6% reports</w:t>
      </w:r>
      <w:r w:rsidR="00A37C1D">
        <w:rPr>
          <w:kern w:val="0"/>
        </w:rPr>
        <w:t>. The</w:t>
      </w:r>
      <w:r w:rsidR="003A1917">
        <w:rPr>
          <w:kern w:val="0"/>
        </w:rPr>
        <w:t xml:space="preserve"> </w:t>
      </w:r>
      <w:r w:rsidRPr="001A3D2B">
        <w:rPr>
          <w:kern w:val="0"/>
        </w:rPr>
        <w:t>proportion</w:t>
      </w:r>
      <w:r w:rsidR="00427468">
        <w:rPr>
          <w:kern w:val="0"/>
        </w:rPr>
        <w:t xml:space="preserve"> of </w:t>
      </w:r>
      <w:r w:rsidRPr="001A3D2B">
        <w:rPr>
          <w:kern w:val="0"/>
        </w:rPr>
        <w:t>reports that were evaluations increased slightly from 26% in 2001-2004 to 31.5% in 2005-2008, with this proportion being higher among</w:t>
      </w:r>
      <w:r w:rsidR="003A1917">
        <w:rPr>
          <w:kern w:val="0"/>
        </w:rPr>
        <w:t xml:space="preserve"> the </w:t>
      </w:r>
      <w:r w:rsidRPr="001A3D2B">
        <w:rPr>
          <w:kern w:val="0"/>
        </w:rPr>
        <w:t>reports commissioned by international organizations (P &lt; 0.001)</w:t>
      </w:r>
      <w:r w:rsidR="00A37C1D">
        <w:rPr>
          <w:kern w:val="0"/>
        </w:rPr>
        <w:t>. The</w:t>
      </w:r>
      <w:r w:rsidR="003A1917">
        <w:rPr>
          <w:kern w:val="0"/>
        </w:rPr>
        <w:t xml:space="preserve"> </w:t>
      </w:r>
      <w:r w:rsidRPr="001A3D2B">
        <w:rPr>
          <w:kern w:val="0"/>
        </w:rPr>
        <w:t>proportion</w:t>
      </w:r>
      <w:r w:rsidR="00427468">
        <w:rPr>
          <w:kern w:val="0"/>
        </w:rPr>
        <w:t xml:space="preserve"> of </w:t>
      </w:r>
      <w:r w:rsidRPr="001A3D2B">
        <w:rPr>
          <w:kern w:val="0"/>
        </w:rPr>
        <w:t>reports commissioned by Indian governmental organizations alone, or in collaboration with international organizations, doubled from 2001-2004 to 2005-2008 (P &lt; 0.001). Only 25%</w:t>
      </w:r>
      <w:r w:rsidR="00427468">
        <w:rPr>
          <w:kern w:val="0"/>
        </w:rPr>
        <w:t xml:space="preserve"> of </w:t>
      </w:r>
      <w:r w:rsidR="003A1917">
        <w:rPr>
          <w:kern w:val="0"/>
        </w:rPr>
        <w:t xml:space="preserve">the </w:t>
      </w:r>
      <w:r w:rsidRPr="001A3D2B">
        <w:rPr>
          <w:kern w:val="0"/>
        </w:rPr>
        <w:t>total 540 reports had a quality score</w:t>
      </w:r>
      <w:r w:rsidR="00427468">
        <w:rPr>
          <w:kern w:val="0"/>
        </w:rPr>
        <w:t xml:space="preserve"> of </w:t>
      </w:r>
      <w:r w:rsidRPr="001A3D2B">
        <w:rPr>
          <w:kern w:val="0"/>
        </w:rPr>
        <w:t>adequate or better</w:t>
      </w:r>
      <w:r w:rsidR="00A37C1D">
        <w:rPr>
          <w:kern w:val="0"/>
        </w:rPr>
        <w:t>. The</w:t>
      </w:r>
      <w:r w:rsidR="003A1917">
        <w:rPr>
          <w:kern w:val="0"/>
        </w:rPr>
        <w:t xml:space="preserve"> </w:t>
      </w:r>
      <w:r w:rsidRPr="001A3D2B">
        <w:rPr>
          <w:kern w:val="0"/>
        </w:rPr>
        <w:t>quality</w:t>
      </w:r>
      <w:r w:rsidR="00427468">
        <w:rPr>
          <w:kern w:val="0"/>
        </w:rPr>
        <w:t xml:space="preserve"> of </w:t>
      </w:r>
      <w:r w:rsidRPr="001A3D2B">
        <w:rPr>
          <w:kern w:val="0"/>
        </w:rPr>
        <w:t>reports produced by collaborations between Indian</w:t>
      </w:r>
      <w:r w:rsidR="005853A9">
        <w:rPr>
          <w:kern w:val="0"/>
        </w:rPr>
        <w:t xml:space="preserve"> and </w:t>
      </w:r>
      <w:r w:rsidRPr="001A3D2B">
        <w:rPr>
          <w:kern w:val="0"/>
        </w:rPr>
        <w:t>international organizations was higher than those produced by Indian or international organizations alone (P &lt; 0.001). Conclusion: This is</w:t>
      </w:r>
      <w:r w:rsidR="003A1917">
        <w:rPr>
          <w:kern w:val="0"/>
        </w:rPr>
        <w:t xml:space="preserve"> the </w:t>
      </w:r>
      <w:r w:rsidRPr="001A3D2B">
        <w:rPr>
          <w:kern w:val="0"/>
        </w:rPr>
        <w:t>first analysis from India that includes research reports in addition to published papers. It provides</w:t>
      </w:r>
      <w:r w:rsidR="003A1917">
        <w:rPr>
          <w:kern w:val="0"/>
        </w:rPr>
        <w:t xml:space="preserve"> the </w:t>
      </w:r>
      <w:r w:rsidRPr="001A3D2B">
        <w:rPr>
          <w:kern w:val="0"/>
        </w:rPr>
        <w:t>most up-to-date understanding</w:t>
      </w:r>
      <w:r w:rsidR="00427468">
        <w:rPr>
          <w:kern w:val="0"/>
        </w:rPr>
        <w:t xml:space="preserve"> of </w:t>
      </w:r>
      <w:r w:rsidRPr="001A3D2B">
        <w:rPr>
          <w:kern w:val="0"/>
        </w:rPr>
        <w:t>public health research output from India</w:t>
      </w:r>
      <w:r w:rsidR="00A37C1D">
        <w:rPr>
          <w:kern w:val="0"/>
        </w:rPr>
        <w:t>. The</w:t>
      </w:r>
      <w:r w:rsidR="003A1917">
        <w:rPr>
          <w:kern w:val="0"/>
        </w:rPr>
        <w:t xml:space="preserve"> </w:t>
      </w:r>
      <w:r w:rsidRPr="001A3D2B">
        <w:rPr>
          <w:kern w:val="0"/>
        </w:rPr>
        <w:t>increase in available public health research output</w:t>
      </w:r>
      <w:r w:rsidR="005853A9">
        <w:rPr>
          <w:kern w:val="0"/>
        </w:rPr>
        <w:t xml:space="preserve"> and </w:t>
      </w:r>
      <w:r w:rsidR="003A1917">
        <w:rPr>
          <w:kern w:val="0"/>
        </w:rPr>
        <w:t xml:space="preserve">the </w:t>
      </w:r>
      <w:r w:rsidRPr="001A3D2B">
        <w:rPr>
          <w:kern w:val="0"/>
        </w:rPr>
        <w:t>increase in commissioning</w:t>
      </w:r>
      <w:r w:rsidR="00427468">
        <w:rPr>
          <w:kern w:val="0"/>
        </w:rPr>
        <w:t xml:space="preserve"> </w:t>
      </w:r>
      <w:r w:rsidR="00427468">
        <w:rPr>
          <w:kern w:val="0"/>
        </w:rPr>
        <w:lastRenderedPageBreak/>
        <w:t xml:space="preserve">of </w:t>
      </w:r>
      <w:r w:rsidRPr="001A3D2B">
        <w:rPr>
          <w:kern w:val="0"/>
        </w:rPr>
        <w:t>this research by Indian governmental organizations are encouraging. However,</w:t>
      </w:r>
      <w:r w:rsidR="003A1917">
        <w:rPr>
          <w:kern w:val="0"/>
        </w:rPr>
        <w:t xml:space="preserve"> the </w:t>
      </w:r>
      <w:r w:rsidRPr="001A3D2B">
        <w:rPr>
          <w:kern w:val="0"/>
        </w:rPr>
        <w:t>distribution</w:t>
      </w:r>
      <w:r w:rsidR="00427468">
        <w:rPr>
          <w:kern w:val="0"/>
        </w:rPr>
        <w:t xml:space="preserve"> of </w:t>
      </w:r>
      <w:r w:rsidRPr="001A3D2B">
        <w:rPr>
          <w:kern w:val="0"/>
        </w:rPr>
        <w:t>research topics</w:t>
      </w:r>
      <w:r w:rsidR="005853A9">
        <w:rPr>
          <w:kern w:val="0"/>
        </w:rPr>
        <w:t xml:space="preserve"> and </w:t>
      </w:r>
      <w:r w:rsidR="003A1917">
        <w:rPr>
          <w:kern w:val="0"/>
        </w:rPr>
        <w:t xml:space="preserve">the </w:t>
      </w:r>
      <w:r w:rsidRPr="001A3D2B">
        <w:rPr>
          <w:kern w:val="0"/>
        </w:rPr>
        <w:t>quality</w:t>
      </w:r>
      <w:r w:rsidR="00427468">
        <w:rPr>
          <w:kern w:val="0"/>
        </w:rPr>
        <w:t xml:space="preserve"> of </w:t>
      </w:r>
      <w:r w:rsidRPr="001A3D2B">
        <w:rPr>
          <w:kern w:val="0"/>
        </w:rPr>
        <w:t>research reports continue to be unsatisfactory. It is necessary for health policy to address these continuing deficits in public health research in order to reduce</w:t>
      </w:r>
      <w:r w:rsidR="003A1917">
        <w:rPr>
          <w:kern w:val="0"/>
        </w:rPr>
        <w:t xml:space="preserve"> the </w:t>
      </w:r>
      <w:r w:rsidRPr="001A3D2B">
        <w:rPr>
          <w:kern w:val="0"/>
        </w:rPr>
        <w:t>very large disease burden in India.</w:t>
      </w:r>
    </w:p>
    <w:p w:rsidR="00C01B08" w:rsidRPr="001A3D2B" w:rsidRDefault="00C01B08" w:rsidP="00C01B08">
      <w:pPr>
        <w:pStyle w:val="a3"/>
        <w:rPr>
          <w:kern w:val="0"/>
        </w:rPr>
      </w:pPr>
      <w:r w:rsidRPr="001A3D2B">
        <w:rPr>
          <w:kern w:val="0"/>
        </w:rPr>
        <w:t>Keywords: Bibliometric Analysis, Diseases, Policy, Trials</w:t>
      </w:r>
    </w:p>
    <w:p w:rsidR="004A3B0D" w:rsidRPr="001A3D2B" w:rsidRDefault="004A3B0D" w:rsidP="004A3B0D">
      <w:pPr>
        <w:pStyle w:val="a3"/>
        <w:rPr>
          <w:kern w:val="0"/>
        </w:rPr>
      </w:pPr>
      <w:r>
        <w:rPr>
          <w:rFonts w:hint="eastAsia"/>
          <w:kern w:val="0"/>
        </w:rPr>
        <w:t xml:space="preserve">? </w:t>
      </w:r>
      <w:r>
        <w:rPr>
          <w:kern w:val="0"/>
        </w:rPr>
        <w:t>Atsou, K., Chouaid, C.</w:t>
      </w:r>
      <w:r w:rsidR="005853A9">
        <w:rPr>
          <w:kern w:val="0"/>
        </w:rPr>
        <w:t xml:space="preserve"> and </w:t>
      </w:r>
      <w:r>
        <w:rPr>
          <w:kern w:val="0"/>
        </w:rPr>
        <w:t>Hejblum, G. (2011), Variability</w:t>
      </w:r>
      <w:r w:rsidR="00427468">
        <w:rPr>
          <w:kern w:val="0"/>
        </w:rPr>
        <w:t xml:space="preserve"> of </w:t>
      </w:r>
      <w:r w:rsidR="003A1917">
        <w:rPr>
          <w:kern w:val="0"/>
        </w:rPr>
        <w:t xml:space="preserve">the </w:t>
      </w:r>
      <w:r>
        <w:rPr>
          <w:kern w:val="0"/>
        </w:rPr>
        <w:t xml:space="preserve">chronic obstructive pulmonary disease key epidemiological data in Europe: Systematic review. </w:t>
      </w:r>
      <w:r>
        <w:rPr>
          <w:i/>
          <w:iCs/>
          <w:kern w:val="0"/>
        </w:rPr>
        <w:t>BMC Medicine</w:t>
      </w:r>
      <w:r>
        <w:rPr>
          <w:kern w:val="0"/>
        </w:rPr>
        <w:t xml:space="preserve">, </w:t>
      </w:r>
      <w:r>
        <w:rPr>
          <w:b/>
          <w:bCs/>
          <w:kern w:val="0"/>
        </w:rPr>
        <w:t>9</w:t>
      </w:r>
      <w:r w:rsidRPr="001A3D2B">
        <w:rPr>
          <w:kern w:val="0"/>
        </w:rPr>
        <w:t xml:space="preserve">, </w:t>
      </w:r>
      <w:r w:rsidRPr="001A3D2B">
        <w:t xml:space="preserve">Article Number: </w:t>
      </w:r>
      <w:r>
        <w:rPr>
          <w:rFonts w:hint="eastAsia"/>
        </w:rPr>
        <w:t>7</w:t>
      </w:r>
      <w:r w:rsidRPr="001A3D2B">
        <w:t>.</w:t>
      </w:r>
    </w:p>
    <w:p w:rsidR="004A3B0D" w:rsidRPr="001A3D2B" w:rsidRDefault="004A3B0D" w:rsidP="004A3B0D">
      <w:pPr>
        <w:pStyle w:val="a3"/>
      </w:pPr>
      <w:r w:rsidRPr="001A3D2B">
        <w:t xml:space="preserve">Full Text: </w:t>
      </w:r>
      <w:hyperlink r:id="rId1649" w:history="1">
        <w:r w:rsidRPr="004A3B0D">
          <w:rPr>
            <w:rStyle w:val="a5"/>
          </w:rPr>
          <w:t>2011\BMC Med9, 7.pdf</w:t>
        </w:r>
      </w:hyperlink>
    </w:p>
    <w:p w:rsidR="004A3B0D" w:rsidRDefault="004A3B0D" w:rsidP="004A3B0D">
      <w:pPr>
        <w:pStyle w:val="a3"/>
        <w:rPr>
          <w:kern w:val="0"/>
        </w:rPr>
      </w:pPr>
      <w:r>
        <w:rPr>
          <w:kern w:val="0"/>
        </w:rPr>
        <w:t>Abstract: Background: Chronic obstructive pulmonary disease (COPD) is predicted to become a major cause</w:t>
      </w:r>
      <w:r w:rsidR="00427468">
        <w:rPr>
          <w:kern w:val="0"/>
        </w:rPr>
        <w:t xml:space="preserve"> of </w:t>
      </w:r>
      <w:r>
        <w:rPr>
          <w:kern w:val="0"/>
        </w:rPr>
        <w:t>death worldwide. Studies on</w:t>
      </w:r>
      <w:r w:rsidR="003A1917">
        <w:rPr>
          <w:kern w:val="0"/>
        </w:rPr>
        <w:t xml:space="preserve"> the </w:t>
      </w:r>
      <w:r>
        <w:rPr>
          <w:kern w:val="0"/>
        </w:rPr>
        <w:t>variability in</w:t>
      </w:r>
      <w:r w:rsidR="003A1917">
        <w:rPr>
          <w:kern w:val="0"/>
        </w:rPr>
        <w:t xml:space="preserve"> the </w:t>
      </w:r>
      <w:r>
        <w:rPr>
          <w:kern w:val="0"/>
        </w:rPr>
        <w:t>estimates</w:t>
      </w:r>
      <w:r w:rsidR="00427468">
        <w:rPr>
          <w:kern w:val="0"/>
        </w:rPr>
        <w:t xml:space="preserve"> of </w:t>
      </w:r>
      <w:r>
        <w:rPr>
          <w:kern w:val="0"/>
        </w:rPr>
        <w:t>key epidemiological parameters</w:t>
      </w:r>
      <w:r w:rsidR="00427468">
        <w:rPr>
          <w:kern w:val="0"/>
        </w:rPr>
        <w:t xml:space="preserve"> of </w:t>
      </w:r>
      <w:r>
        <w:rPr>
          <w:kern w:val="0"/>
        </w:rPr>
        <w:t>COPD may contribute to better assessment</w:t>
      </w:r>
      <w:r w:rsidR="00427468">
        <w:rPr>
          <w:kern w:val="0"/>
        </w:rPr>
        <w:t xml:space="preserve"> of </w:t>
      </w:r>
      <w:r w:rsidR="003A1917">
        <w:rPr>
          <w:kern w:val="0"/>
        </w:rPr>
        <w:t xml:space="preserve">the </w:t>
      </w:r>
      <w:r>
        <w:rPr>
          <w:kern w:val="0"/>
        </w:rPr>
        <w:t>burden</w:t>
      </w:r>
      <w:r w:rsidR="00427468">
        <w:rPr>
          <w:kern w:val="0"/>
        </w:rPr>
        <w:t xml:space="preserve"> of </w:t>
      </w:r>
      <w:r>
        <w:rPr>
          <w:kern w:val="0"/>
        </w:rPr>
        <w:t>this disease</w:t>
      </w:r>
      <w:r w:rsidR="005853A9">
        <w:rPr>
          <w:kern w:val="0"/>
        </w:rPr>
        <w:t xml:space="preserve"> and </w:t>
      </w:r>
      <w:r>
        <w:rPr>
          <w:kern w:val="0"/>
        </w:rPr>
        <w:t>to helpful guidance for future research</w:t>
      </w:r>
      <w:r w:rsidR="005853A9">
        <w:rPr>
          <w:kern w:val="0"/>
        </w:rPr>
        <w:t xml:space="preserve"> and </w:t>
      </w:r>
      <w:r>
        <w:rPr>
          <w:kern w:val="0"/>
        </w:rPr>
        <w:t>public policies. In</w:t>
      </w:r>
      <w:r w:rsidR="003A1917">
        <w:rPr>
          <w:kern w:val="0"/>
        </w:rPr>
        <w:t xml:space="preserve"> the </w:t>
      </w:r>
      <w:r>
        <w:rPr>
          <w:kern w:val="0"/>
        </w:rPr>
        <w:t>present study, we examined differences in</w:t>
      </w:r>
      <w:r w:rsidR="003A1917">
        <w:rPr>
          <w:kern w:val="0"/>
        </w:rPr>
        <w:t xml:space="preserve"> the </w:t>
      </w:r>
      <w:r>
        <w:rPr>
          <w:kern w:val="0"/>
        </w:rPr>
        <w:t>main epidemiological characteristics</w:t>
      </w:r>
      <w:r w:rsidR="00427468">
        <w:rPr>
          <w:kern w:val="0"/>
        </w:rPr>
        <w:t xml:space="preserve"> of </w:t>
      </w:r>
      <w:r>
        <w:rPr>
          <w:kern w:val="0"/>
        </w:rPr>
        <w:t>COPD derived from studies across countries</w:t>
      </w:r>
      <w:r w:rsidR="00427468">
        <w:rPr>
          <w:kern w:val="0"/>
        </w:rPr>
        <w:t xml:space="preserve"> of </w:t>
      </w:r>
      <w:r w:rsidR="003A1917">
        <w:rPr>
          <w:kern w:val="0"/>
        </w:rPr>
        <w:t xml:space="preserve">the </w:t>
      </w:r>
      <w:r>
        <w:rPr>
          <w:kern w:val="0"/>
        </w:rPr>
        <w:t>European Union, focusing on prevalence, severity, frequency</w:t>
      </w:r>
      <w:r w:rsidR="00427468">
        <w:rPr>
          <w:kern w:val="0"/>
        </w:rPr>
        <w:t xml:space="preserve"> of </w:t>
      </w:r>
      <w:r>
        <w:rPr>
          <w:kern w:val="0"/>
        </w:rPr>
        <w:t>exacerbations</w:t>
      </w:r>
      <w:r w:rsidR="005853A9">
        <w:rPr>
          <w:kern w:val="0"/>
        </w:rPr>
        <w:t xml:space="preserve"> and </w:t>
      </w:r>
      <w:r>
        <w:rPr>
          <w:kern w:val="0"/>
        </w:rPr>
        <w:t>mortality, as well as on differences between</w:t>
      </w:r>
      <w:r w:rsidR="003A1917">
        <w:rPr>
          <w:kern w:val="0"/>
        </w:rPr>
        <w:t xml:space="preserve"> the </w:t>
      </w:r>
      <w:r>
        <w:rPr>
          <w:kern w:val="0"/>
        </w:rPr>
        <w:t>studies</w:t>
      </w:r>
      <w:r w:rsidR="00700038">
        <w:rPr>
          <w:kern w:val="0"/>
        </w:rPr>
        <w:t>’</w:t>
      </w:r>
      <w:r>
        <w:rPr>
          <w:kern w:val="0"/>
        </w:rPr>
        <w:t xml:space="preserve"> methods. Methods: This systematic review was based on a search for</w:t>
      </w:r>
      <w:r w:rsidR="003A1917">
        <w:rPr>
          <w:kern w:val="0"/>
        </w:rPr>
        <w:t xml:space="preserve"> the </w:t>
      </w:r>
      <w:r>
        <w:rPr>
          <w:kern w:val="0"/>
        </w:rPr>
        <w:t>relevant literature in</w:t>
      </w:r>
      <w:r w:rsidR="003A1917">
        <w:rPr>
          <w:kern w:val="0"/>
        </w:rPr>
        <w:t xml:space="preserve"> the </w:t>
      </w:r>
      <w:r>
        <w:rPr>
          <w:kern w:val="0"/>
        </w:rPr>
        <w:t>Science Citation Index database via</w:t>
      </w:r>
      <w:r w:rsidR="003A1917">
        <w:rPr>
          <w:kern w:val="0"/>
        </w:rPr>
        <w:t xml:space="preserve"> the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on COPD mortality rates issued from national statistics. Analysis was finally based on 65 articles</w:t>
      </w:r>
      <w:r w:rsidR="005853A9">
        <w:rPr>
          <w:kern w:val="0"/>
        </w:rPr>
        <w:t xml:space="preserve"> and </w:t>
      </w:r>
      <w:r>
        <w:rPr>
          <w:kern w:val="0"/>
        </w:rPr>
        <w:t>Eurostat COPD mortality data for 21 European countries. Results: Epidemiological characteristics</w:t>
      </w:r>
      <w:r w:rsidR="00427468">
        <w:rPr>
          <w:kern w:val="0"/>
        </w:rPr>
        <w:t xml:space="preserve"> of </w:t>
      </w:r>
      <w:r>
        <w:rPr>
          <w:kern w:val="0"/>
        </w:rPr>
        <w:t>COPD varied widely from country to country. For example, prevalence estimates ranged between 2.1%</w:t>
      </w:r>
      <w:r w:rsidR="005853A9">
        <w:rPr>
          <w:kern w:val="0"/>
        </w:rPr>
        <w:t xml:space="preserve"> and </w:t>
      </w:r>
      <w:r>
        <w:rPr>
          <w:kern w:val="0"/>
        </w:rPr>
        <w:t>26.1%, depending on</w:t>
      </w:r>
      <w:r w:rsidR="003A1917">
        <w:rPr>
          <w:kern w:val="0"/>
        </w:rPr>
        <w:t xml:space="preserve"> the </w:t>
      </w:r>
      <w:r>
        <w:rPr>
          <w:kern w:val="0"/>
        </w:rPr>
        <w:t>country,</w:t>
      </w:r>
      <w:r w:rsidR="003A1917">
        <w:rPr>
          <w:kern w:val="0"/>
        </w:rPr>
        <w:t xml:space="preserve"> the </w:t>
      </w:r>
      <w:r>
        <w:rPr>
          <w:kern w:val="0"/>
        </w:rPr>
        <w:t>age group</w:t>
      </w:r>
      <w:r w:rsidR="005853A9">
        <w:rPr>
          <w:kern w:val="0"/>
        </w:rPr>
        <w:t xml:space="preserve"> and </w:t>
      </w:r>
      <w:r w:rsidR="003A1917">
        <w:rPr>
          <w:kern w:val="0"/>
        </w:rPr>
        <w:t xml:space="preserve">the </w:t>
      </w:r>
      <w:r>
        <w:rPr>
          <w:kern w:val="0"/>
        </w:rPr>
        <w:t>methods used. Likewise, COPD mortality rates ranged from 7.2 to 36.1 per 10(5) inhabitants</w:t>
      </w:r>
      <w:r w:rsidR="00A37C1D">
        <w:rPr>
          <w:kern w:val="0"/>
        </w:rPr>
        <w:t>. The</w:t>
      </w:r>
      <w:r w:rsidR="003A1917">
        <w:rPr>
          <w:kern w:val="0"/>
        </w:rPr>
        <w:t xml:space="preserve"> </w:t>
      </w:r>
      <w:r>
        <w:rPr>
          <w:kern w:val="0"/>
        </w:rPr>
        <w:t>methods used to estimate these epidemiological parameters were highly variable in terms</w:t>
      </w:r>
      <w:r w:rsidR="00427468">
        <w:rPr>
          <w:kern w:val="0"/>
        </w:rPr>
        <w:t xml:space="preserve"> of </w:t>
      </w:r>
      <w:r w:rsidR="003A1917">
        <w:rPr>
          <w:kern w:val="0"/>
        </w:rPr>
        <w:t xml:space="preserve">the </w:t>
      </w:r>
      <w:r>
        <w:rPr>
          <w:kern w:val="0"/>
        </w:rPr>
        <w:t>definition</w:t>
      </w:r>
      <w:r w:rsidR="00427468">
        <w:rPr>
          <w:kern w:val="0"/>
        </w:rPr>
        <w:t xml:space="preserve"> of </w:t>
      </w:r>
      <w:r>
        <w:rPr>
          <w:kern w:val="0"/>
        </w:rPr>
        <w:t>COPD, severity scales, methods</w:t>
      </w:r>
      <w:r w:rsidR="00427468">
        <w:rPr>
          <w:kern w:val="0"/>
        </w:rPr>
        <w:t xml:space="preserve"> of </w:t>
      </w:r>
      <w:r>
        <w:rPr>
          <w:kern w:val="0"/>
        </w:rPr>
        <w:t>investigation</w:t>
      </w:r>
      <w:r w:rsidR="005853A9">
        <w:rPr>
          <w:kern w:val="0"/>
        </w:rPr>
        <w:t xml:space="preserve"> and </w:t>
      </w:r>
      <w:r>
        <w:rPr>
          <w:kern w:val="0"/>
        </w:rPr>
        <w:t>target populations. Nevertheless, to a large extent, several recent international guidelines or research initiatives, such as GOLD, BOLD or PLATINO, have boosted a substantial standardization</w:t>
      </w:r>
      <w:r w:rsidR="00427468">
        <w:rPr>
          <w:kern w:val="0"/>
        </w:rPr>
        <w:t xml:space="preserve"> of </w:t>
      </w:r>
      <w:r>
        <w:rPr>
          <w:kern w:val="0"/>
        </w:rPr>
        <w:t>methodology in data collection</w:t>
      </w:r>
      <w:r w:rsidR="005853A9">
        <w:rPr>
          <w:kern w:val="0"/>
        </w:rPr>
        <w:t xml:space="preserve"> and </w:t>
      </w:r>
      <w:r>
        <w:rPr>
          <w:kern w:val="0"/>
        </w:rPr>
        <w:t>have resulted in</w:t>
      </w:r>
      <w:r w:rsidR="003A1917">
        <w:rPr>
          <w:kern w:val="0"/>
        </w:rPr>
        <w:t xml:space="preserve"> the </w:t>
      </w:r>
      <w:r>
        <w:rPr>
          <w:kern w:val="0"/>
        </w:rPr>
        <w:t>availability</w:t>
      </w:r>
      <w:r w:rsidR="00427468">
        <w:rPr>
          <w:kern w:val="0"/>
        </w:rPr>
        <w:t xml:space="preserve"> of </w:t>
      </w:r>
      <w:r>
        <w:rPr>
          <w:kern w:val="0"/>
        </w:rPr>
        <w:t>more comparable epidemiological estimates across countries. On</w:t>
      </w:r>
      <w:r w:rsidR="003A1917">
        <w:rPr>
          <w:kern w:val="0"/>
        </w:rPr>
        <w:t xml:space="preserve"> the </w:t>
      </w:r>
      <w:r>
        <w:rPr>
          <w:kern w:val="0"/>
        </w:rPr>
        <w:t>basis</w:t>
      </w:r>
      <w:r w:rsidR="00427468">
        <w:rPr>
          <w:kern w:val="0"/>
        </w:rPr>
        <w:t xml:space="preserve"> of </w:t>
      </w:r>
      <w:r>
        <w:rPr>
          <w:kern w:val="0"/>
        </w:rPr>
        <w:t>such standardization, severity estimates as well as prevalence estimates present much less variation across countries</w:t>
      </w:r>
      <w:r w:rsidR="00A37C1D">
        <w:rPr>
          <w:kern w:val="0"/>
        </w:rPr>
        <w:t>. The</w:t>
      </w:r>
      <w:r w:rsidR="003A1917">
        <w:rPr>
          <w:kern w:val="0"/>
        </w:rPr>
        <w:t xml:space="preserve"> </w:t>
      </w:r>
      <w:r>
        <w:rPr>
          <w:kern w:val="0"/>
        </w:rPr>
        <w:t>contribution</w:t>
      </w:r>
      <w:r w:rsidR="00427468">
        <w:rPr>
          <w:kern w:val="0"/>
        </w:rPr>
        <w:t xml:space="preserve"> of </w:t>
      </w:r>
      <w:r>
        <w:rPr>
          <w:kern w:val="0"/>
        </w:rPr>
        <w:t>these recent guidelines</w:t>
      </w:r>
      <w:r w:rsidR="005853A9">
        <w:rPr>
          <w:kern w:val="0"/>
        </w:rPr>
        <w:t xml:space="preserve"> and </w:t>
      </w:r>
      <w:r>
        <w:rPr>
          <w:kern w:val="0"/>
        </w:rPr>
        <w:t>initiatives is outlined, as are</w:t>
      </w:r>
      <w:r w:rsidR="003A1917">
        <w:rPr>
          <w:kern w:val="0"/>
        </w:rPr>
        <w:t xml:space="preserve"> the </w:t>
      </w:r>
      <w:r>
        <w:rPr>
          <w:kern w:val="0"/>
        </w:rPr>
        <w:t>problems remaining in arriving at more accurate COPD epidemiological estimates across European countries. Conclusions:</w:t>
      </w:r>
      <w:r w:rsidR="003A1917">
        <w:rPr>
          <w:kern w:val="0"/>
        </w:rPr>
        <w:t xml:space="preserve"> the </w:t>
      </w:r>
      <w:r>
        <w:rPr>
          <w:kern w:val="0"/>
        </w:rPr>
        <w:t>accuracy</w:t>
      </w:r>
      <w:r w:rsidR="00427468">
        <w:rPr>
          <w:kern w:val="0"/>
        </w:rPr>
        <w:t xml:space="preserve"> of </w:t>
      </w:r>
      <w:r>
        <w:rPr>
          <w:kern w:val="0"/>
        </w:rPr>
        <w:t>COPD epidemiological parameters is important for guiding decision making with regard to preventive measures, interventions</w:t>
      </w:r>
      <w:r w:rsidR="005853A9">
        <w:rPr>
          <w:kern w:val="0"/>
        </w:rPr>
        <w:t xml:space="preserve"> and </w:t>
      </w:r>
      <w:r>
        <w:rPr>
          <w:kern w:val="0"/>
        </w:rPr>
        <w:t>patient management in various health care systems</w:t>
      </w:r>
      <w:r w:rsidR="00A37C1D">
        <w:rPr>
          <w:kern w:val="0"/>
        </w:rPr>
        <w:t>. The</w:t>
      </w:r>
      <w:r>
        <w:rPr>
          <w:kern w:val="0"/>
        </w:rPr>
        <w:t>refore,</w:t>
      </w:r>
      <w:r w:rsidR="003A1917">
        <w:rPr>
          <w:kern w:val="0"/>
        </w:rPr>
        <w:t xml:space="preserve"> the </w:t>
      </w:r>
      <w:r>
        <w:rPr>
          <w:kern w:val="0"/>
        </w:rPr>
        <w:t>recent initiatives for standardizing data collection should be enhanced to result in COPD epidemiological estimates</w:t>
      </w:r>
      <w:r w:rsidR="00427468">
        <w:rPr>
          <w:kern w:val="0"/>
        </w:rPr>
        <w:t xml:space="preserve"> of </w:t>
      </w:r>
      <w:r>
        <w:rPr>
          <w:kern w:val="0"/>
        </w:rPr>
        <w:t xml:space="preserve">improved quality. Moreover, establishing international </w:t>
      </w:r>
      <w:r>
        <w:rPr>
          <w:kern w:val="0"/>
        </w:rPr>
        <w:lastRenderedPageBreak/>
        <w:t>guidelines for reporting research on COPD may also constitute a major contribution.</w:t>
      </w:r>
    </w:p>
    <w:p w:rsidR="004A3B0D" w:rsidRDefault="004A3B0D" w:rsidP="004A3B0D">
      <w:pPr>
        <w:pStyle w:val="a3"/>
        <w:rPr>
          <w:kern w:val="0"/>
        </w:rPr>
      </w:pPr>
      <w:r>
        <w:rPr>
          <w:kern w:val="0"/>
        </w:rPr>
        <w:t>Keywords: Accuracy, Age, Air-Flow, Airways Obstruction, Assessment, Availability, Burden, Care, Cause</w:t>
      </w:r>
      <w:r w:rsidR="00427468">
        <w:rPr>
          <w:kern w:val="0"/>
        </w:rPr>
        <w:t xml:space="preserve"> of </w:t>
      </w:r>
      <w:r>
        <w:rPr>
          <w:kern w:val="0"/>
        </w:rPr>
        <w:t xml:space="preserve">Death, Characteristics, Chronic, Chronic Obstructive Pulmonary Disease, Chronic-Bronchitis, Collection, Country, Data, Data Collection, Database, Death, Decision, Decision Making, Decision-Making, Disease, Estimates, Europe, European Union, General-Population, Gold, Guidance, Guidelines, Health, Health Care, Health-Care, International, International Guidelines, Interventions, Investigation, Literature, Lung-Disease, Management, Methodology, Methods, Mortality, Northern Sweden, Policies, Populations, Prevalence, Public, Quality, Rates, Reporting, Research, Respiratory Symptoms, Review, Scales, Science Citation Index, Standardization, Standardizing, Statistics, Systematic Review, Systems, United-States, Variability, </w:t>
      </w:r>
      <w:r w:rsidR="00D5664A">
        <w:rPr>
          <w:kern w:val="0"/>
        </w:rPr>
        <w:t>Web</w:t>
      </w:r>
      <w:r w:rsidR="00427468">
        <w:rPr>
          <w:kern w:val="0"/>
        </w:rPr>
        <w:t xml:space="preserve"> of </w:t>
      </w:r>
      <w:r w:rsidR="00D5664A">
        <w:rPr>
          <w:kern w:val="0"/>
        </w:rPr>
        <w:t>Science</w:t>
      </w:r>
      <w:r>
        <w:rPr>
          <w:kern w:val="0"/>
        </w:rPr>
        <w:t>, Young-Adults</w:t>
      </w:r>
    </w:p>
    <w:p w:rsidR="003F2167" w:rsidRDefault="003F2167" w:rsidP="003F2167">
      <w:pPr>
        <w:pStyle w:val="a3"/>
        <w:rPr>
          <w:kern w:val="0"/>
          <w:szCs w:val="24"/>
        </w:rPr>
      </w:pPr>
      <w:r>
        <w:rPr>
          <w:rFonts w:hint="eastAsia"/>
          <w:kern w:val="0"/>
          <w:szCs w:val="24"/>
        </w:rPr>
        <w:t xml:space="preserve">? </w:t>
      </w:r>
      <w:r>
        <w:rPr>
          <w:kern w:val="0"/>
          <w:szCs w:val="24"/>
        </w:rPr>
        <w:t>White, H.L.</w:t>
      </w:r>
      <w:r w:rsidR="005853A9">
        <w:rPr>
          <w:kern w:val="0"/>
          <w:szCs w:val="24"/>
        </w:rPr>
        <w:t xml:space="preserve"> and </w:t>
      </w:r>
      <w:r>
        <w:rPr>
          <w:kern w:val="0"/>
          <w:szCs w:val="24"/>
        </w:rPr>
        <w:t>Glazier, R.H. (2011), Do hospitalist physicians improve</w:t>
      </w:r>
      <w:r w:rsidR="003A1917">
        <w:rPr>
          <w:kern w:val="0"/>
          <w:szCs w:val="24"/>
        </w:rPr>
        <w:t xml:space="preserve"> the </w:t>
      </w:r>
      <w:r>
        <w:rPr>
          <w:kern w:val="0"/>
          <w:szCs w:val="24"/>
        </w:rPr>
        <w:t>quality</w:t>
      </w:r>
      <w:r w:rsidR="00427468">
        <w:rPr>
          <w:kern w:val="0"/>
          <w:szCs w:val="24"/>
        </w:rPr>
        <w:t xml:space="preserve"> of </w:t>
      </w:r>
      <w:r>
        <w:rPr>
          <w:kern w:val="0"/>
          <w:szCs w:val="24"/>
        </w:rPr>
        <w:t>inpatient care delivery? A systematic review</w:t>
      </w:r>
      <w:r w:rsidR="00427468">
        <w:rPr>
          <w:kern w:val="0"/>
          <w:szCs w:val="24"/>
        </w:rPr>
        <w:t xml:space="preserve"> of </w:t>
      </w:r>
      <w:r>
        <w:rPr>
          <w:kern w:val="0"/>
          <w:szCs w:val="24"/>
        </w:rPr>
        <w:t>process, efficiency</w:t>
      </w:r>
      <w:r w:rsidR="005853A9">
        <w:rPr>
          <w:kern w:val="0"/>
          <w:szCs w:val="24"/>
        </w:rPr>
        <w:t xml:space="preserve"> and </w:t>
      </w:r>
      <w:r>
        <w:rPr>
          <w:kern w:val="0"/>
          <w:szCs w:val="24"/>
        </w:rPr>
        <w:t xml:space="preserve">outcome measures. </w:t>
      </w:r>
      <w:r>
        <w:rPr>
          <w:i/>
          <w:iCs/>
          <w:kern w:val="0"/>
          <w:szCs w:val="24"/>
        </w:rPr>
        <w:t>BMC Medicine</w:t>
      </w:r>
      <w:r>
        <w:rPr>
          <w:kern w:val="0"/>
          <w:szCs w:val="24"/>
        </w:rPr>
        <w:t xml:space="preserve">, </w:t>
      </w:r>
      <w:r>
        <w:rPr>
          <w:b/>
          <w:bCs/>
          <w:kern w:val="0"/>
          <w:szCs w:val="24"/>
        </w:rPr>
        <w:t>9</w:t>
      </w:r>
      <w:r>
        <w:rPr>
          <w:rFonts w:hint="eastAsia"/>
          <w:kern w:val="0"/>
          <w:szCs w:val="24"/>
        </w:rPr>
        <w:t xml:space="preserve">, </w:t>
      </w:r>
      <w:r w:rsidRPr="00B3472A">
        <w:rPr>
          <w:kern w:val="0"/>
          <w:szCs w:val="24"/>
        </w:rPr>
        <w:t>Article Number: 58</w:t>
      </w:r>
      <w:r>
        <w:rPr>
          <w:rFonts w:hint="eastAsia"/>
          <w:kern w:val="0"/>
          <w:szCs w:val="24"/>
        </w:rPr>
        <w:t>.</w:t>
      </w:r>
    </w:p>
    <w:p w:rsidR="003F2167" w:rsidRPr="001A3D2B" w:rsidRDefault="003F2167" w:rsidP="003F2167">
      <w:pPr>
        <w:pStyle w:val="a3"/>
      </w:pPr>
      <w:r w:rsidRPr="001A3D2B">
        <w:t xml:space="preserve">Full Text: </w:t>
      </w:r>
      <w:hyperlink r:id="rId1650" w:history="1">
        <w:r w:rsidRPr="00021DD3">
          <w:rPr>
            <w:rStyle w:val="a5"/>
          </w:rPr>
          <w:t>2011\BMC Med9, 58.pdf</w:t>
        </w:r>
      </w:hyperlink>
    </w:p>
    <w:p w:rsidR="003F2167" w:rsidRDefault="003F2167" w:rsidP="003F2167">
      <w:pPr>
        <w:pStyle w:val="a3"/>
        <w:rPr>
          <w:kern w:val="0"/>
          <w:szCs w:val="24"/>
        </w:rPr>
      </w:pPr>
      <w:r>
        <w:rPr>
          <w:kern w:val="0"/>
          <w:szCs w:val="24"/>
        </w:rPr>
        <w:t>Abstract: Background: Despite more than a decade</w:t>
      </w:r>
      <w:r w:rsidR="00427468">
        <w:rPr>
          <w:kern w:val="0"/>
          <w:szCs w:val="24"/>
        </w:rPr>
        <w:t xml:space="preserve"> of </w:t>
      </w:r>
      <w:r>
        <w:rPr>
          <w:kern w:val="0"/>
          <w:szCs w:val="24"/>
        </w:rPr>
        <w:t>research on hospitalists</w:t>
      </w:r>
      <w:r w:rsidR="005853A9">
        <w:rPr>
          <w:kern w:val="0"/>
          <w:szCs w:val="24"/>
        </w:rPr>
        <w:t xml:space="preserve"> and </w:t>
      </w:r>
      <w:r>
        <w:rPr>
          <w:kern w:val="0"/>
          <w:szCs w:val="24"/>
        </w:rPr>
        <w:t>their performance, disagreement still exists regarding whether</w:t>
      </w:r>
      <w:r w:rsidR="005853A9">
        <w:rPr>
          <w:kern w:val="0"/>
          <w:szCs w:val="24"/>
        </w:rPr>
        <w:t xml:space="preserve"> and </w:t>
      </w:r>
      <w:r>
        <w:rPr>
          <w:kern w:val="0"/>
          <w:szCs w:val="24"/>
        </w:rPr>
        <w:t>how hospital-based physicians improve</w:t>
      </w:r>
      <w:r w:rsidR="003A1917">
        <w:rPr>
          <w:kern w:val="0"/>
          <w:szCs w:val="24"/>
        </w:rPr>
        <w:t xml:space="preserve"> the </w:t>
      </w:r>
      <w:r>
        <w:rPr>
          <w:kern w:val="0"/>
          <w:szCs w:val="24"/>
        </w:rPr>
        <w:t>quality</w:t>
      </w:r>
      <w:r w:rsidR="00427468">
        <w:rPr>
          <w:kern w:val="0"/>
          <w:szCs w:val="24"/>
        </w:rPr>
        <w:t xml:space="preserve"> of </w:t>
      </w:r>
      <w:r>
        <w:rPr>
          <w:kern w:val="0"/>
          <w:szCs w:val="24"/>
        </w:rPr>
        <w:t>inpatient care delivery. This systematic review summarizes</w:t>
      </w:r>
      <w:r w:rsidR="003A1917">
        <w:rPr>
          <w:kern w:val="0"/>
          <w:szCs w:val="24"/>
        </w:rPr>
        <w:t xml:space="preserve"> the </w:t>
      </w:r>
      <w:r>
        <w:rPr>
          <w:kern w:val="0"/>
          <w:szCs w:val="24"/>
        </w:rPr>
        <w:t>findings from 65 comparative evaluations to determine whether hospitalists provide a higher quality</w:t>
      </w:r>
      <w:r w:rsidR="00427468">
        <w:rPr>
          <w:kern w:val="0"/>
          <w:szCs w:val="24"/>
        </w:rPr>
        <w:t xml:space="preserve"> of </w:t>
      </w:r>
      <w:r>
        <w:rPr>
          <w:kern w:val="0"/>
          <w:szCs w:val="24"/>
        </w:rPr>
        <w:t>inpatient care relative to traditional inpatient physicians who maintain hospital privileges with concurrent outpatient practices. Methods: Articles on hospitalist performance published between January 1996</w:t>
      </w:r>
      <w:r w:rsidR="005853A9">
        <w:rPr>
          <w:kern w:val="0"/>
          <w:szCs w:val="24"/>
        </w:rPr>
        <w:t xml:space="preserve"> and </w:t>
      </w:r>
      <w:r>
        <w:rPr>
          <w:kern w:val="0"/>
          <w:szCs w:val="24"/>
        </w:rPr>
        <w:t xml:space="preserve">December 2010 were identified through </w:t>
      </w:r>
      <w:r w:rsidR="00D5664A">
        <w:rPr>
          <w:kern w:val="0"/>
          <w:szCs w:val="24"/>
        </w:rPr>
        <w:t>MEDLINE</w:t>
      </w:r>
      <w:r>
        <w:rPr>
          <w:kern w:val="0"/>
          <w:szCs w:val="24"/>
        </w:rPr>
        <w:t>, Embase, Science Citation Index, CINAHL, NHS Economic Evaluation Database</w:t>
      </w:r>
      <w:r w:rsidR="005853A9">
        <w:rPr>
          <w:kern w:val="0"/>
          <w:szCs w:val="24"/>
        </w:rPr>
        <w:t xml:space="preserve"> and </w:t>
      </w:r>
      <w:r>
        <w:rPr>
          <w:kern w:val="0"/>
          <w:szCs w:val="24"/>
        </w:rPr>
        <w:t>a hand-search</w:t>
      </w:r>
      <w:r w:rsidR="00427468">
        <w:rPr>
          <w:kern w:val="0"/>
          <w:szCs w:val="24"/>
        </w:rPr>
        <w:t xml:space="preserve"> of </w:t>
      </w:r>
      <w:r>
        <w:rPr>
          <w:kern w:val="0"/>
          <w:szCs w:val="24"/>
        </w:rPr>
        <w:t>reference lists, key journals</w:t>
      </w:r>
      <w:r w:rsidR="005853A9">
        <w:rPr>
          <w:kern w:val="0"/>
          <w:szCs w:val="24"/>
        </w:rPr>
        <w:t xml:space="preserve"> and </w:t>
      </w:r>
      <w:r>
        <w:rPr>
          <w:kern w:val="0"/>
          <w:szCs w:val="24"/>
        </w:rPr>
        <w:t>editorials. Comparative evaluations presenting original, quantitative data on processes, efficiency or clinical outcome measures</w:t>
      </w:r>
      <w:r w:rsidR="00427468">
        <w:rPr>
          <w:kern w:val="0"/>
          <w:szCs w:val="24"/>
        </w:rPr>
        <w:t xml:space="preserve"> of </w:t>
      </w:r>
      <w:r>
        <w:rPr>
          <w:kern w:val="0"/>
          <w:szCs w:val="24"/>
        </w:rPr>
        <w:t>care between hospitalists, community-based physicians</w:t>
      </w:r>
      <w:r w:rsidR="005853A9">
        <w:rPr>
          <w:kern w:val="0"/>
          <w:szCs w:val="24"/>
        </w:rPr>
        <w:t xml:space="preserve"> and </w:t>
      </w:r>
      <w:r>
        <w:rPr>
          <w:kern w:val="0"/>
          <w:szCs w:val="24"/>
        </w:rPr>
        <w:t>traditional academic attending physicians were included (n = 65). After proposing a conceptual framework for evaluating inpatient physician performance, major findings on quality are summarized according to their percentage change, direction</w:t>
      </w:r>
      <w:r w:rsidR="005853A9">
        <w:rPr>
          <w:kern w:val="0"/>
          <w:szCs w:val="24"/>
        </w:rPr>
        <w:t xml:space="preserve"> and </w:t>
      </w:r>
      <w:r>
        <w:rPr>
          <w:kern w:val="0"/>
          <w:szCs w:val="24"/>
        </w:rPr>
        <w:t>statistical significance. Results:</w:t>
      </w:r>
      <w:r w:rsidR="003A1917">
        <w:rPr>
          <w:kern w:val="0"/>
          <w:szCs w:val="24"/>
        </w:rPr>
        <w:t xml:space="preserve"> the </w:t>
      </w:r>
      <w:r>
        <w:rPr>
          <w:kern w:val="0"/>
          <w:szCs w:val="24"/>
        </w:rPr>
        <w:t>majority</w:t>
      </w:r>
      <w:r w:rsidR="00427468">
        <w:rPr>
          <w:kern w:val="0"/>
          <w:szCs w:val="24"/>
        </w:rPr>
        <w:t xml:space="preserve"> of </w:t>
      </w:r>
      <w:r>
        <w:rPr>
          <w:kern w:val="0"/>
          <w:szCs w:val="24"/>
        </w:rPr>
        <w:t>reviewed articles demonstrated that hospitalists are efficient providers</w:t>
      </w:r>
      <w:r w:rsidR="00427468">
        <w:rPr>
          <w:kern w:val="0"/>
          <w:szCs w:val="24"/>
        </w:rPr>
        <w:t xml:space="preserve"> of </w:t>
      </w:r>
      <w:r>
        <w:rPr>
          <w:kern w:val="0"/>
          <w:szCs w:val="24"/>
        </w:rPr>
        <w:t>inpatient care on</w:t>
      </w:r>
      <w:r w:rsidR="003A1917">
        <w:rPr>
          <w:kern w:val="0"/>
          <w:szCs w:val="24"/>
        </w:rPr>
        <w:t xml:space="preserve"> the </w:t>
      </w:r>
      <w:r>
        <w:rPr>
          <w:kern w:val="0"/>
          <w:szCs w:val="24"/>
        </w:rPr>
        <w:t>basis</w:t>
      </w:r>
      <w:r w:rsidR="00427468">
        <w:rPr>
          <w:kern w:val="0"/>
          <w:szCs w:val="24"/>
        </w:rPr>
        <w:t xml:space="preserve"> of </w:t>
      </w:r>
      <w:r>
        <w:rPr>
          <w:kern w:val="0"/>
          <w:szCs w:val="24"/>
        </w:rPr>
        <w:t>reductions in their patients</w:t>
      </w:r>
      <w:r w:rsidR="00700038">
        <w:rPr>
          <w:kern w:val="0"/>
          <w:szCs w:val="24"/>
        </w:rPr>
        <w:t>’</w:t>
      </w:r>
      <w:r>
        <w:rPr>
          <w:kern w:val="0"/>
          <w:szCs w:val="24"/>
        </w:rPr>
        <w:t xml:space="preserve"> average length</w:t>
      </w:r>
      <w:r w:rsidR="00427468">
        <w:rPr>
          <w:kern w:val="0"/>
          <w:szCs w:val="24"/>
        </w:rPr>
        <w:t xml:space="preserve"> of </w:t>
      </w:r>
      <w:r>
        <w:rPr>
          <w:kern w:val="0"/>
          <w:szCs w:val="24"/>
        </w:rPr>
        <w:t>stay (69%)</w:t>
      </w:r>
      <w:r w:rsidR="005853A9">
        <w:rPr>
          <w:kern w:val="0"/>
          <w:szCs w:val="24"/>
        </w:rPr>
        <w:t xml:space="preserve"> and </w:t>
      </w:r>
      <w:r>
        <w:rPr>
          <w:kern w:val="0"/>
          <w:szCs w:val="24"/>
        </w:rPr>
        <w:t>total hospital costs (70%); however,</w:t>
      </w:r>
      <w:r w:rsidR="003A1917">
        <w:rPr>
          <w:kern w:val="0"/>
          <w:szCs w:val="24"/>
        </w:rPr>
        <w:t xml:space="preserve"> the </w:t>
      </w:r>
      <w:r>
        <w:rPr>
          <w:kern w:val="0"/>
          <w:szCs w:val="24"/>
        </w:rPr>
        <w:t>clinical quality</w:t>
      </w:r>
      <w:r w:rsidR="00427468">
        <w:rPr>
          <w:kern w:val="0"/>
          <w:szCs w:val="24"/>
        </w:rPr>
        <w:t xml:space="preserve"> of </w:t>
      </w:r>
      <w:r>
        <w:rPr>
          <w:kern w:val="0"/>
          <w:szCs w:val="24"/>
        </w:rPr>
        <w:t>hospitalist care appears to be comparable to that provided by their colleagues</w:t>
      </w:r>
      <w:r w:rsidR="00A37C1D">
        <w:rPr>
          <w:kern w:val="0"/>
          <w:szCs w:val="24"/>
        </w:rPr>
        <w:t>. The</w:t>
      </w:r>
      <w:r w:rsidR="003A1917">
        <w:rPr>
          <w:kern w:val="0"/>
          <w:szCs w:val="24"/>
        </w:rPr>
        <w:t xml:space="preserve"> </w:t>
      </w:r>
      <w:r>
        <w:rPr>
          <w:kern w:val="0"/>
          <w:szCs w:val="24"/>
        </w:rPr>
        <w:t>methodological quality</w:t>
      </w:r>
      <w:r w:rsidR="00427468">
        <w:rPr>
          <w:kern w:val="0"/>
          <w:szCs w:val="24"/>
        </w:rPr>
        <w:t xml:space="preserve"> of </w:t>
      </w:r>
      <w:r>
        <w:rPr>
          <w:kern w:val="0"/>
          <w:szCs w:val="24"/>
        </w:rPr>
        <w:t>hospitalist evaluations remains a concern</w:t>
      </w:r>
      <w:r w:rsidR="005853A9">
        <w:rPr>
          <w:kern w:val="0"/>
          <w:szCs w:val="24"/>
        </w:rPr>
        <w:t xml:space="preserve"> and </w:t>
      </w:r>
      <w:r>
        <w:rPr>
          <w:kern w:val="0"/>
          <w:szCs w:val="24"/>
        </w:rPr>
        <w:t>has not improved over time. Persistent issues include insufficient reporting</w:t>
      </w:r>
      <w:r w:rsidR="00427468">
        <w:rPr>
          <w:kern w:val="0"/>
          <w:szCs w:val="24"/>
        </w:rPr>
        <w:t xml:space="preserve"> of </w:t>
      </w:r>
      <w:r>
        <w:rPr>
          <w:kern w:val="0"/>
          <w:szCs w:val="24"/>
        </w:rPr>
        <w:t>source or sample populations (n = 30), patients lost to follow-up (n = 42)</w:t>
      </w:r>
      <w:r w:rsidR="005853A9">
        <w:rPr>
          <w:kern w:val="0"/>
          <w:szCs w:val="24"/>
        </w:rPr>
        <w:t xml:space="preserve"> and </w:t>
      </w:r>
      <w:r>
        <w:rPr>
          <w:kern w:val="0"/>
          <w:szCs w:val="24"/>
        </w:rPr>
        <w:t>estimates</w:t>
      </w:r>
      <w:r w:rsidR="00427468">
        <w:rPr>
          <w:kern w:val="0"/>
          <w:szCs w:val="24"/>
        </w:rPr>
        <w:t xml:space="preserve"> of </w:t>
      </w:r>
      <w:r>
        <w:rPr>
          <w:kern w:val="0"/>
          <w:szCs w:val="24"/>
        </w:rPr>
        <w:t>effect or random variability (n = 35); inappropriate use</w:t>
      </w:r>
      <w:r w:rsidR="00427468">
        <w:rPr>
          <w:kern w:val="0"/>
          <w:szCs w:val="24"/>
        </w:rPr>
        <w:t xml:space="preserve"> of </w:t>
      </w:r>
      <w:r>
        <w:rPr>
          <w:kern w:val="0"/>
          <w:szCs w:val="24"/>
        </w:rPr>
        <w:t xml:space="preserve">statistical tests </w:t>
      </w:r>
      <w:r>
        <w:rPr>
          <w:kern w:val="0"/>
          <w:szCs w:val="24"/>
        </w:rPr>
        <w:lastRenderedPageBreak/>
        <w:t>(n = 55);</w:t>
      </w:r>
      <w:r w:rsidR="005853A9">
        <w:rPr>
          <w:kern w:val="0"/>
          <w:szCs w:val="24"/>
        </w:rPr>
        <w:t xml:space="preserve"> and </w:t>
      </w:r>
      <w:r>
        <w:rPr>
          <w:kern w:val="0"/>
          <w:szCs w:val="24"/>
        </w:rPr>
        <w:t>failure to adjust for established confounders (n = 37). Conclusions: Future research should include an expanded focus on</w:t>
      </w:r>
      <w:r w:rsidR="003A1917">
        <w:rPr>
          <w:kern w:val="0"/>
          <w:szCs w:val="24"/>
        </w:rPr>
        <w:t xml:space="preserve"> the </w:t>
      </w:r>
      <w:r>
        <w:rPr>
          <w:kern w:val="0"/>
          <w:szCs w:val="24"/>
        </w:rPr>
        <w:t>specific structures</w:t>
      </w:r>
      <w:r w:rsidR="00427468">
        <w:rPr>
          <w:kern w:val="0"/>
          <w:szCs w:val="24"/>
        </w:rPr>
        <w:t xml:space="preserve"> of </w:t>
      </w:r>
      <w:r>
        <w:rPr>
          <w:kern w:val="0"/>
          <w:szCs w:val="24"/>
        </w:rPr>
        <w:t>care that differentiate hospitalists from other inpatient physician groups as well as</w:t>
      </w:r>
      <w:r w:rsidR="003A1917">
        <w:rPr>
          <w:kern w:val="0"/>
          <w:szCs w:val="24"/>
        </w:rPr>
        <w:t xml:space="preserve"> the </w:t>
      </w:r>
      <w:r>
        <w:rPr>
          <w:kern w:val="0"/>
          <w:szCs w:val="24"/>
        </w:rPr>
        <w:t>development</w:t>
      </w:r>
      <w:r w:rsidR="00427468">
        <w:rPr>
          <w:kern w:val="0"/>
          <w:szCs w:val="24"/>
        </w:rPr>
        <w:t xml:space="preserve"> of </w:t>
      </w:r>
      <w:r>
        <w:rPr>
          <w:kern w:val="0"/>
          <w:szCs w:val="24"/>
        </w:rPr>
        <w:t>better conceptual</w:t>
      </w:r>
      <w:r w:rsidR="005853A9">
        <w:rPr>
          <w:kern w:val="0"/>
          <w:szCs w:val="24"/>
        </w:rPr>
        <w:t xml:space="preserve"> and </w:t>
      </w:r>
      <w:r>
        <w:rPr>
          <w:kern w:val="0"/>
          <w:szCs w:val="24"/>
        </w:rPr>
        <w:t>statistical models that identify</w:t>
      </w:r>
      <w:r w:rsidR="005853A9">
        <w:rPr>
          <w:kern w:val="0"/>
          <w:szCs w:val="24"/>
        </w:rPr>
        <w:t xml:space="preserve"> and </w:t>
      </w:r>
      <w:r>
        <w:rPr>
          <w:kern w:val="0"/>
          <w:szCs w:val="24"/>
        </w:rPr>
        <w:t>measure underlying mechanisms driving provider-outcome associations in quality.</w:t>
      </w:r>
    </w:p>
    <w:p w:rsidR="003F2167" w:rsidRDefault="003F2167" w:rsidP="003F2167">
      <w:pPr>
        <w:pStyle w:val="a3"/>
        <w:rPr>
          <w:kern w:val="0"/>
          <w:szCs w:val="24"/>
        </w:rPr>
      </w:pPr>
      <w:r>
        <w:rPr>
          <w:kern w:val="0"/>
          <w:szCs w:val="24"/>
        </w:rPr>
        <w:t>Keywords: Citation, Clinical-Outcomes, Controlled-Trial, Development, Evaluation, General Medicine Service, Health Maintenance Organization, Heart-Failure, Journals, Length</w:t>
      </w:r>
      <w:r w:rsidR="00434900">
        <w:rPr>
          <w:kern w:val="0"/>
          <w:szCs w:val="24"/>
        </w:rPr>
        <w:t>-of-</w:t>
      </w:r>
      <w:r>
        <w:rPr>
          <w:kern w:val="0"/>
          <w:szCs w:val="24"/>
        </w:rPr>
        <w:t xml:space="preserve">Stay, </w:t>
      </w:r>
      <w:r w:rsidR="00D5664A">
        <w:rPr>
          <w:kern w:val="0"/>
          <w:szCs w:val="24"/>
        </w:rPr>
        <w:t>MEDLINE</w:t>
      </w:r>
      <w:r>
        <w:rPr>
          <w:kern w:val="0"/>
          <w:szCs w:val="24"/>
        </w:rPr>
        <w:t>, Patient Outcomes, Pediatric Hospitalists, Pneumonia Care, Research, Resource Utilization, Review, Science Citation Index, Statistical, Systematic Review</w:t>
      </w:r>
    </w:p>
    <w:p w:rsidR="00F44843" w:rsidRDefault="00F44843" w:rsidP="00F44843">
      <w:pPr>
        <w:pStyle w:val="a3"/>
        <w:rPr>
          <w:kern w:val="0"/>
        </w:rPr>
      </w:pPr>
      <w:r>
        <w:rPr>
          <w:rFonts w:hint="eastAsia"/>
          <w:kern w:val="0"/>
        </w:rPr>
        <w:t xml:space="preserve">? </w:t>
      </w:r>
      <w:r>
        <w:rPr>
          <w:kern w:val="0"/>
        </w:rPr>
        <w:t>Wiysonge, C.S., Uthman, O.A., Ndumbe, P.M.</w:t>
      </w:r>
      <w:r w:rsidR="005853A9">
        <w:rPr>
          <w:kern w:val="0"/>
        </w:rPr>
        <w:t xml:space="preserve"> and </w:t>
      </w:r>
      <w:r>
        <w:rPr>
          <w:kern w:val="0"/>
        </w:rPr>
        <w:t>Hussey, G.D. (2013), A bibliometric analysis</w:t>
      </w:r>
      <w:r w:rsidR="00427468">
        <w:rPr>
          <w:kern w:val="0"/>
        </w:rPr>
        <w:t xml:space="preserve"> of </w:t>
      </w:r>
      <w:r>
        <w:rPr>
          <w:kern w:val="0"/>
        </w:rPr>
        <w:t>childhood immunization research productivity in Africa since the onset</w:t>
      </w:r>
      <w:r w:rsidR="00427468">
        <w:rPr>
          <w:kern w:val="0"/>
        </w:rPr>
        <w:t xml:space="preserve"> of </w:t>
      </w:r>
      <w:r>
        <w:rPr>
          <w:kern w:val="0"/>
        </w:rPr>
        <w:t xml:space="preserve">the Expanded Program on Immunization in 1974. </w:t>
      </w:r>
      <w:r>
        <w:rPr>
          <w:i/>
          <w:iCs/>
          <w:kern w:val="0"/>
        </w:rPr>
        <w:t>BMC Medicine</w:t>
      </w:r>
      <w:r>
        <w:rPr>
          <w:kern w:val="0"/>
        </w:rPr>
        <w:t xml:space="preserve">, </w:t>
      </w:r>
      <w:r>
        <w:rPr>
          <w:b/>
          <w:bCs/>
          <w:kern w:val="0"/>
        </w:rPr>
        <w:t>11</w:t>
      </w:r>
      <w:r>
        <w:rPr>
          <w:rFonts w:hint="eastAsia"/>
          <w:kern w:val="0"/>
        </w:rPr>
        <w:t xml:space="preserve">, </w:t>
      </w:r>
      <w:r w:rsidRPr="008C579B">
        <w:rPr>
          <w:kern w:val="0"/>
        </w:rPr>
        <w:t>Article Number: 66</w:t>
      </w:r>
      <w:r>
        <w:rPr>
          <w:rFonts w:hint="eastAsia"/>
          <w:kern w:val="0"/>
        </w:rPr>
        <w:t>.</w:t>
      </w:r>
    </w:p>
    <w:p w:rsidR="00F44843" w:rsidRPr="001A3D2B" w:rsidRDefault="00F44843" w:rsidP="00F44843">
      <w:pPr>
        <w:pStyle w:val="a3"/>
      </w:pPr>
      <w:r w:rsidRPr="001A3D2B">
        <w:t xml:space="preserve">Full Text: </w:t>
      </w:r>
      <w:hyperlink r:id="rId1651" w:history="1">
        <w:r w:rsidRPr="00207313">
          <w:rPr>
            <w:rStyle w:val="a5"/>
          </w:rPr>
          <w:t>2013\BMC Med11, 66.pdf</w:t>
        </w:r>
      </w:hyperlink>
    </w:p>
    <w:p w:rsidR="00F44843" w:rsidRDefault="00F44843" w:rsidP="00F44843">
      <w:pPr>
        <w:pStyle w:val="a3"/>
        <w:rPr>
          <w:kern w:val="0"/>
        </w:rPr>
      </w:pPr>
      <w:r>
        <w:rPr>
          <w:kern w:val="0"/>
        </w:rPr>
        <w:t>Abstract: Background: The implementation</w:t>
      </w:r>
      <w:r w:rsidR="00427468">
        <w:rPr>
          <w:kern w:val="0"/>
        </w:rPr>
        <w:t xml:space="preserve"> of </w:t>
      </w:r>
      <w:r>
        <w:rPr>
          <w:kern w:val="0"/>
        </w:rPr>
        <w:t>strategic immunization plans whose development is informed by available locally-relevant research evidence should improve immunization coverage</w:t>
      </w:r>
      <w:r w:rsidR="005853A9">
        <w:rPr>
          <w:kern w:val="0"/>
        </w:rPr>
        <w:t xml:space="preserve"> and </w:t>
      </w:r>
      <w:r>
        <w:rPr>
          <w:kern w:val="0"/>
        </w:rPr>
        <w:t>prevent disease, disability</w:t>
      </w:r>
      <w:r w:rsidR="005853A9">
        <w:rPr>
          <w:kern w:val="0"/>
        </w:rPr>
        <w:t xml:space="preserve"> and </w:t>
      </w:r>
      <w:r>
        <w:rPr>
          <w:kern w:val="0"/>
        </w:rPr>
        <w:t>death in Africa. In general, health research helps to answer questions, generate the evidence required to guide policy</w:t>
      </w:r>
      <w:r w:rsidR="005853A9">
        <w:rPr>
          <w:kern w:val="0"/>
        </w:rPr>
        <w:t xml:space="preserve"> and </w:t>
      </w:r>
      <w:r>
        <w:rPr>
          <w:kern w:val="0"/>
        </w:rPr>
        <w:t>identify new tools. However, factors that influence the publication</w:t>
      </w:r>
      <w:r w:rsidR="00427468">
        <w:rPr>
          <w:kern w:val="0"/>
        </w:rPr>
        <w:t xml:space="preserve"> of </w:t>
      </w:r>
      <w:r>
        <w:rPr>
          <w:kern w:val="0"/>
        </w:rPr>
        <w:t>immunization research in Africa are not known. We, therefore, undertook this study to fill this research gap by providing insights into factors associated with childhood immunization research productivity on the continent. We postulated that research productivity influences immunization coverage. Methods: We conducted a bibliometric analysis</w:t>
      </w:r>
      <w:r w:rsidR="00427468">
        <w:rPr>
          <w:kern w:val="0"/>
        </w:rPr>
        <w:t xml:space="preserve"> of </w:t>
      </w:r>
      <w:r>
        <w:rPr>
          <w:kern w:val="0"/>
        </w:rPr>
        <w:t>childhood immunization research output from Africa, using research articles indexed in PubMed as a surrogate for total research productivity. We used zero-truncated negative binomial regression models to explore the factors associated with research productivity. Results: We identified 1,641 articles on childhood immunization indexed in PubMed between 1974</w:t>
      </w:r>
      <w:r w:rsidR="005853A9">
        <w:rPr>
          <w:kern w:val="0"/>
        </w:rPr>
        <w:t xml:space="preserve"> and </w:t>
      </w:r>
      <w:r>
        <w:rPr>
          <w:kern w:val="0"/>
        </w:rPr>
        <w:t>2010 with authors from Africa, which represent only 8.9%</w:t>
      </w:r>
      <w:r w:rsidR="00427468">
        <w:rPr>
          <w:kern w:val="0"/>
        </w:rPr>
        <w:t xml:space="preserve"> of </w:t>
      </w:r>
      <w:r>
        <w:rPr>
          <w:kern w:val="0"/>
        </w:rPr>
        <w:t>the global output. Five countries (South Africa, Nigeria, The Gambia, Egypt</w:t>
      </w:r>
      <w:r w:rsidR="005853A9">
        <w:rPr>
          <w:kern w:val="0"/>
        </w:rPr>
        <w:t xml:space="preserve"> and </w:t>
      </w:r>
      <w:r>
        <w:rPr>
          <w:kern w:val="0"/>
        </w:rPr>
        <w:t>Kenya) contributed 48%</w:t>
      </w:r>
      <w:r w:rsidR="00427468">
        <w:rPr>
          <w:kern w:val="0"/>
        </w:rPr>
        <w:t xml:space="preserve"> of </w:t>
      </w:r>
      <w:r>
        <w:rPr>
          <w:kern w:val="0"/>
        </w:rPr>
        <w:t>the articles. After controlling for population</w:t>
      </w:r>
      <w:r w:rsidR="005853A9">
        <w:rPr>
          <w:kern w:val="0"/>
        </w:rPr>
        <w:t xml:space="preserve"> and </w:t>
      </w:r>
      <w:r>
        <w:rPr>
          <w:kern w:val="0"/>
        </w:rPr>
        <w:t>gross domestic product, The Gambia, Guinea-Bissau</w:t>
      </w:r>
      <w:r w:rsidR="005853A9">
        <w:rPr>
          <w:kern w:val="0"/>
        </w:rPr>
        <w:t xml:space="preserve"> and </w:t>
      </w:r>
      <w:r>
        <w:rPr>
          <w:kern w:val="0"/>
        </w:rPr>
        <w:t>Sao Tome</w:t>
      </w:r>
      <w:r w:rsidR="005853A9">
        <w:rPr>
          <w:kern w:val="0"/>
        </w:rPr>
        <w:t xml:space="preserve"> and </w:t>
      </w:r>
      <w:r>
        <w:rPr>
          <w:kern w:val="0"/>
        </w:rPr>
        <w:t>Principe were the most productive countries. In univariable analyses, the country</w:t>
      </w:r>
      <w:r w:rsidR="00700038">
        <w:rPr>
          <w:kern w:val="0"/>
        </w:rPr>
        <w:t>’</w:t>
      </w:r>
      <w:r>
        <w:rPr>
          <w:kern w:val="0"/>
        </w:rPr>
        <w:t>s gross domestic product, total health expenditure, private health expenditure,</w:t>
      </w:r>
      <w:r w:rsidR="005853A9">
        <w:rPr>
          <w:kern w:val="0"/>
        </w:rPr>
        <w:t xml:space="preserve"> and </w:t>
      </w:r>
      <w:r>
        <w:rPr>
          <w:kern w:val="0"/>
        </w:rPr>
        <w:t>research</w:t>
      </w:r>
      <w:r w:rsidR="005853A9">
        <w:rPr>
          <w:kern w:val="0"/>
        </w:rPr>
        <w:t xml:space="preserve"> and </w:t>
      </w:r>
      <w:r>
        <w:rPr>
          <w:kern w:val="0"/>
        </w:rPr>
        <w:t>development expenditure had a significant positive association with increased research productivity. Immunization coverage, adult literacy rate, human development index</w:t>
      </w:r>
      <w:r w:rsidR="005853A9">
        <w:rPr>
          <w:kern w:val="0"/>
        </w:rPr>
        <w:t xml:space="preserve"> and </w:t>
      </w:r>
      <w:r>
        <w:rPr>
          <w:kern w:val="0"/>
        </w:rPr>
        <w:t>physician density had no significant association. In the multivarable model, only private health expenditure maintained significant statistical association with the number</w:t>
      </w:r>
      <w:r w:rsidR="00427468">
        <w:rPr>
          <w:kern w:val="0"/>
        </w:rPr>
        <w:t xml:space="preserve"> of </w:t>
      </w:r>
      <w:r>
        <w:rPr>
          <w:kern w:val="0"/>
        </w:rPr>
        <w:t xml:space="preserve">immunization </w:t>
      </w:r>
      <w:r>
        <w:rPr>
          <w:kern w:val="0"/>
        </w:rPr>
        <w:lastRenderedPageBreak/>
        <w:t>articles. Conclusions: Immunization research productivity in Africa is highly skewed, with private health expenditure having a significant positive association. However, the current contribution</w:t>
      </w:r>
      <w:r w:rsidR="00427468">
        <w:rPr>
          <w:kern w:val="0"/>
        </w:rPr>
        <w:t xml:space="preserve"> of </w:t>
      </w:r>
      <w:r>
        <w:rPr>
          <w:kern w:val="0"/>
        </w:rPr>
        <w:t>authors from Africa to global childhood immunization research output is minimal</w:t>
      </w:r>
      <w:r w:rsidR="00A37C1D">
        <w:rPr>
          <w:kern w:val="0"/>
        </w:rPr>
        <w:t>. The</w:t>
      </w:r>
      <w:r>
        <w:rPr>
          <w:kern w:val="0"/>
        </w:rPr>
        <w:t xml:space="preserve"> lack</w:t>
      </w:r>
      <w:r w:rsidR="00427468">
        <w:rPr>
          <w:kern w:val="0"/>
        </w:rPr>
        <w:t xml:space="preserve"> of </w:t>
      </w:r>
      <w:r>
        <w:rPr>
          <w:kern w:val="0"/>
        </w:rPr>
        <w:t>association between research productivity</w:t>
      </w:r>
      <w:r w:rsidR="005853A9">
        <w:rPr>
          <w:kern w:val="0"/>
        </w:rPr>
        <w:t xml:space="preserve"> and </w:t>
      </w:r>
      <w:r>
        <w:rPr>
          <w:kern w:val="0"/>
        </w:rPr>
        <w:t>immunization coverage may be an indication</w:t>
      </w:r>
      <w:r w:rsidR="00427468">
        <w:rPr>
          <w:kern w:val="0"/>
        </w:rPr>
        <w:t xml:space="preserve"> of </w:t>
      </w:r>
      <w:r>
        <w:rPr>
          <w:kern w:val="0"/>
        </w:rPr>
        <w:t>lack</w:t>
      </w:r>
      <w:r w:rsidR="00427468">
        <w:rPr>
          <w:kern w:val="0"/>
        </w:rPr>
        <w:t xml:space="preserve"> of </w:t>
      </w:r>
      <w:r>
        <w:rPr>
          <w:kern w:val="0"/>
        </w:rPr>
        <w:t>interactive communication between health decision-makers, program managers</w:t>
      </w:r>
      <w:r w:rsidR="005853A9">
        <w:rPr>
          <w:kern w:val="0"/>
        </w:rPr>
        <w:t xml:space="preserve"> and </w:t>
      </w:r>
      <w:r>
        <w:rPr>
          <w:kern w:val="0"/>
        </w:rPr>
        <w:t>researchers; to ensure that immunization policies</w:t>
      </w:r>
      <w:r w:rsidR="005853A9">
        <w:rPr>
          <w:kern w:val="0"/>
        </w:rPr>
        <w:t xml:space="preserve"> and </w:t>
      </w:r>
      <w:r>
        <w:rPr>
          <w:kern w:val="0"/>
        </w:rPr>
        <w:t>plans are always informed by the best available evidence.</w:t>
      </w:r>
    </w:p>
    <w:p w:rsidR="00F44843" w:rsidRDefault="00F44843" w:rsidP="00F44843">
      <w:pPr>
        <w:pStyle w:val="a3"/>
        <w:rPr>
          <w:kern w:val="0"/>
        </w:rPr>
      </w:pPr>
      <w:r>
        <w:rPr>
          <w:kern w:val="0"/>
        </w:rPr>
        <w:t>Keywords: Adult, Africa, Analyses, Analysis, Association, Authors, Bibliometric, Bibliometric Analysis, Bibliometrics, Childhood, Childhood Immunization, Communication, Continent, Coverage, Death, Delivery, Development, Disability, Disease, Egypt, Evidence, Expanded Program On Immunization, General, Global, Global Trends, Gross Domestic Product, Health, Health Research, Human, Human Development, Immunization, Implementation, Index, Indication, Influence, Kenya, Low</w:t>
      </w:r>
      <w:r w:rsidR="005853A9">
        <w:rPr>
          <w:kern w:val="0"/>
        </w:rPr>
        <w:t xml:space="preserve"> and </w:t>
      </w:r>
      <w:r>
        <w:rPr>
          <w:kern w:val="0"/>
        </w:rPr>
        <w:t>Middle-Income Counries, Mar, Medicine, Methods, Middle-Income Countries, Model, Model Selection, Models, Nigeria, Onset, Physician, Policies, Policy, Population, Prevent, Productivity, Publication, Pubmed, Pubmed Papers, Regression, Research, Research</w:t>
      </w:r>
      <w:r w:rsidR="005853A9">
        <w:rPr>
          <w:kern w:val="0"/>
        </w:rPr>
        <w:t xml:space="preserve"> and </w:t>
      </w:r>
      <w:r>
        <w:rPr>
          <w:kern w:val="0"/>
        </w:rPr>
        <w:t>Development, Research Output, Research Productivity, Results, South Africa, Strategic, Strategy, Sub-Saharan Africa, Sub-Saharan Africa, Surrogate, Systematic Reviews, Vaccines</w:t>
      </w:r>
    </w:p>
    <w:p w:rsidR="00A25096" w:rsidRDefault="00A25096" w:rsidP="00A25096">
      <w:pPr>
        <w:pStyle w:val="a3"/>
        <w:rPr>
          <w:kern w:val="0"/>
        </w:rPr>
      </w:pPr>
      <w:r>
        <w:rPr>
          <w:rFonts w:hint="eastAsia"/>
          <w:kern w:val="0"/>
        </w:rPr>
        <w:t xml:space="preserve">? </w:t>
      </w:r>
      <w:r>
        <w:rPr>
          <w:kern w:val="0"/>
        </w:rPr>
        <w:t xml:space="preserve">Qiu, S.H., Cai, X., Chen, X., Yang, B.Q. and Sun, Z.L. (2014), Step counter use in type 2 diabetes: A meta-analysis of randomized controlled trials. </w:t>
      </w:r>
      <w:r>
        <w:rPr>
          <w:i/>
          <w:iCs/>
          <w:kern w:val="0"/>
        </w:rPr>
        <w:t>BMC Medicine</w:t>
      </w:r>
      <w:r>
        <w:rPr>
          <w:kern w:val="0"/>
        </w:rPr>
        <w:t xml:space="preserve">, </w:t>
      </w:r>
      <w:r>
        <w:rPr>
          <w:b/>
          <w:bCs/>
          <w:kern w:val="0"/>
        </w:rPr>
        <w:t>12</w:t>
      </w:r>
      <w:r>
        <w:rPr>
          <w:rFonts w:hint="eastAsia"/>
          <w:kern w:val="0"/>
        </w:rPr>
        <w:t xml:space="preserve">, </w:t>
      </w:r>
      <w:r w:rsidRPr="008C579B">
        <w:rPr>
          <w:kern w:val="0"/>
        </w:rPr>
        <w:t xml:space="preserve">Article Number: </w:t>
      </w:r>
      <w:r>
        <w:rPr>
          <w:rFonts w:hint="eastAsia"/>
          <w:kern w:val="0"/>
        </w:rPr>
        <w:t>36.</w:t>
      </w:r>
    </w:p>
    <w:p w:rsidR="00A25096" w:rsidRPr="001A3D2B" w:rsidRDefault="00A25096" w:rsidP="00A25096">
      <w:pPr>
        <w:pStyle w:val="a3"/>
      </w:pPr>
      <w:r w:rsidRPr="001A3D2B">
        <w:t xml:space="preserve">Full Text: </w:t>
      </w:r>
      <w:hyperlink r:id="rId1652" w:history="1">
        <w:r w:rsidRPr="005B0FBA">
          <w:rPr>
            <w:rStyle w:val="a5"/>
          </w:rPr>
          <w:t>2014\BMC Med12, 36.pdf</w:t>
        </w:r>
      </w:hyperlink>
    </w:p>
    <w:p w:rsidR="00A25096" w:rsidRDefault="00A25096" w:rsidP="00A25096">
      <w:pPr>
        <w:pStyle w:val="a3"/>
        <w:rPr>
          <w:kern w:val="0"/>
        </w:rPr>
      </w:pPr>
      <w:r>
        <w:rPr>
          <w:kern w:val="0"/>
        </w:rPr>
        <w:t>Abstract: Background: While step counter use has become popular among type 2 diabetes (T2D) patients, its effectiveness in increasing physical activity (PA) and improving glycemic control has been poorly defined</w:t>
      </w:r>
      <w:r w:rsidR="00A37C1D">
        <w:rPr>
          <w:kern w:val="0"/>
        </w:rPr>
        <w:t>. The</w:t>
      </w:r>
      <w:r>
        <w:rPr>
          <w:kern w:val="0"/>
        </w:rPr>
        <w:t xml:space="preserve"> aim of this meta-analysis of randomized controlled trials (RCTs) was to evaluate the association of step counter use with PA and glycemic control in T2D patients. Methods: Articles were identified by searches of PubMed, Web of Science and Cochrane Library from January 1994 to June 2013. RCTs in the English language were included, if they had assessed the effectiveness of step counters as motivating and monitoring tools in T2D patients, with reported changes in steps per day (steps/d) or glycosylated hemoglobin A1c (HbA1c), or both. Data were independently collected by 2 authors and overall estimates were made by a random-effects model. Results: Of the 551 articles retrieved, 11 RCTs were included. Step counter use significantly increased PA by 1,822 steps/d (7 studies, 861 participants; 95% confidence interval (Cl): 751 to 2,894 steps/d) in patients with T2D. Step counter use with a PA goal showed a bigger increase in PA (weighted mean difference (WMD) 3,200 steps/d, 95% Cl: </w:t>
      </w:r>
      <w:r>
        <w:rPr>
          <w:kern w:val="0"/>
        </w:rPr>
        <w:lastRenderedPageBreak/>
        <w:t>2,053 to 4,347 steps/d) than without (WMD 598 steps/d, 95% Cl: -65 to 1,260 steps/d). Further subgroup analysis suggested step counter use with a self-set PA goal (WMD 2,816 steps/d, 95% Cl: 1,288 to 4,344 steps/d) made no difference in increasing PA from a 10,000 steps/d goal (WMD 3,820 steps/d, 95% Cl: 2,702 to 4,938 steps/d). However, no significant HbA1c change was observed by step counter use (10 studies, 1,423 participants; WMD 0.02%, 95% Cl: -0.08% to 0.13%), either with (WMD 0.04%, 95% Cl: -0.21% to 0.30%) or without a PA goal (WMD 0.01%, 95% Cl: -0.10% to 0.13%). Conclusions: Step counter use is associated with a significant increase in PA in patients with T2D. However, evidence regarding its effect in improving glycemic control remains insufficient.</w:t>
      </w:r>
    </w:p>
    <w:p w:rsidR="00A25096" w:rsidRDefault="00A25096" w:rsidP="00A25096">
      <w:pPr>
        <w:pStyle w:val="a3"/>
        <w:rPr>
          <w:kern w:val="0"/>
        </w:rPr>
      </w:pPr>
      <w:r>
        <w:rPr>
          <w:kern w:val="0"/>
        </w:rPr>
        <w:t>Keywords: Activity, Analysis, Articles, Association, Authors, Cardiorespiratory Fitness, Changes, Confidence, Control, Data, Diabetes, Effectiveness, English, Estimates, Evidence, Exercise, Glycemic Control, Glycosylated Hemoglobin, Hba1c, Health Outcomes, Hemoglobin, Interval, Language, Mellitus, Meta Analysis, Meta-Analysis, Metaanalysis, Methods, Model, Monitoring, Older-Adults, Patients, Pedometer, Physical, Physical Activity, Physical-Activity Intervention, Pubmed, Random Effects Model, Randomized, Randomized Controlled Trial, Randomized Controlled Trials, Results, Risk, Science, Sedentary Behavior, Step Counter, Telephone Support, Type 2 Diabetes, Web Of Science</w:t>
      </w:r>
    </w:p>
    <w:p w:rsidR="000132F9" w:rsidRDefault="000132F9" w:rsidP="000132F9">
      <w:pPr>
        <w:pStyle w:val="a3"/>
        <w:rPr>
          <w:kern w:val="0"/>
        </w:rPr>
      </w:pPr>
      <w:r>
        <w:rPr>
          <w:rFonts w:hint="eastAsia"/>
        </w:rPr>
        <w:t xml:space="preserve">? </w:t>
      </w:r>
      <w:r>
        <w:t xml:space="preserve">Lafranca, J.A., IJermans, J.N.M., Betjes, M.G.H. and Dor, F.J.M.F. (2015), Body mass index and outcome in renal transplant recipients: A systematic review and meta-analysis. </w:t>
      </w:r>
      <w:r>
        <w:rPr>
          <w:i/>
          <w:iCs/>
        </w:rPr>
        <w:t>BMC Medicine</w:t>
      </w:r>
      <w:r>
        <w:t xml:space="preserve">, </w:t>
      </w:r>
      <w:r>
        <w:rPr>
          <w:b/>
          <w:bCs/>
        </w:rPr>
        <w:t>13</w:t>
      </w:r>
      <w:r>
        <w:rPr>
          <w:rFonts w:hint="eastAsia"/>
          <w:kern w:val="0"/>
        </w:rPr>
        <w:t xml:space="preserve">, </w:t>
      </w:r>
      <w:r w:rsidRPr="008C579B">
        <w:rPr>
          <w:kern w:val="0"/>
        </w:rPr>
        <w:t xml:space="preserve">Article Number: </w:t>
      </w:r>
      <w:r>
        <w:rPr>
          <w:rFonts w:hint="eastAsia"/>
          <w:kern w:val="0"/>
        </w:rPr>
        <w:t>111.</w:t>
      </w:r>
    </w:p>
    <w:p w:rsidR="000132F9" w:rsidRPr="001A3D2B" w:rsidRDefault="000132F9" w:rsidP="000132F9">
      <w:pPr>
        <w:pStyle w:val="a3"/>
      </w:pPr>
      <w:r w:rsidRPr="001A3D2B">
        <w:t xml:space="preserve">Full Text: </w:t>
      </w:r>
      <w:hyperlink r:id="rId1653" w:history="1">
        <w:r w:rsidRPr="00831A4C">
          <w:rPr>
            <w:rStyle w:val="a5"/>
          </w:rPr>
          <w:t>2015\BMC Med13, 111.pdf</w:t>
        </w:r>
      </w:hyperlink>
    </w:p>
    <w:p w:rsidR="000132F9" w:rsidRDefault="000132F9" w:rsidP="000132F9">
      <w:pPr>
        <w:pStyle w:val="a3"/>
      </w:pPr>
      <w:r>
        <w:t xml:space="preserve">Abstract: Background: Whether overweight or obese end stage renal disease (ESRD) patients are suitable for renal transplantation (RT) is often debated. The objective of this review and meta-analysis was to systematically investigate the outcome of low versus high BMI recipients after RT. Methods: Comprehensive searches were conducted in MEDLINE OvidSP, Web of Science, Google Scholar, Embase, and CENTRAL (the Cochrane Library 2014, issue 8). We reviewed four major guidelines that are available regarding (potential) RT recipients. The methodology was in accordance with the Cochrane Handbook for Systematic Reviews of Interventions and written based on the PRISMA statement. The quality assessment of studies was performed by using the GRADE tool. A meta-analysis was performed using Review Manager 5.3. Random-effects models were used. Results: After identifying 5,526 studies addressing this topic, 56 studies were included. We extracted data for 37 outcome measures (including data of more than 209,000 RT recipients), of which 26 could be meta-analysed. The following outcome measures demonstrated significant differences in favour of low BMI (&lt; 30) recipients: mortality (RR = 1.52), delayed graft function (RR = 1.52), acute rejection (RR = 1.17), 1-, 2-, and 3-year graft </w:t>
      </w:r>
      <w:r>
        <w:lastRenderedPageBreak/>
        <w:t>survival (RR = 0.97, 0.95, and 0.97), 1-, 2-, and 3-year patient survival (RR = 0.99, 0.99, and 0.99), wound infection and dehiscence (RR = 3.13 and 4.85), NODAT (RR = 2.24), length of hospital stay (2.31 days), operation duration (0.77 hours), hypertension (RR = 1.35), and incisional hernia (RR = 2.72). However, patient survival expressed in hazard ratios was in significant favour of high BMI recipients. Differences in other outcome parameters were not significant. Conclusions: Several of the pooled outcome measurements show significant benefits for ‘low’ BMI (&lt; 30) recipients. Therefore, we postulate that ESRD patients with a BMI &gt; 30 preferably should lose weight prior to RT. If this cannot be achieved with common measures, in morbidly obese RT candidates, bariatric surgery could be considered.</w:t>
      </w:r>
    </w:p>
    <w:p w:rsidR="000132F9" w:rsidRDefault="000132F9" w:rsidP="000132F9">
      <w:pPr>
        <w:pStyle w:val="a3"/>
      </w:pPr>
      <w:r>
        <w:t>Keywords: Allograft Survival, Assessment, Bariatric Surgery, Bmi, Data, Dehiscence, Disease, Duration, Function, Gastric Bypass, Google Scholar, Graft, Guidelines, Hazard, Hospital, Hospital Stay, Hypertension, Index, Infection, Kidney Graft Function, Laparoscopic Sleeve Gastrectomy, Length, Medline, Meta-Analysis, Metaanalysis, Methodology, Models, Morbidly Obese-Patients, Mortality, Obese, Operation, Outcome, Outcome Measures, Overweight, Patient Survival, Patients, Potential, Pretransplant Obesity, Quality, Quality Assessment, Rejection, Renal, Renal Transplant, Renal Transplant Recipients, Renal Transplantation, Review, Risk-Factors, Science, Single-Center Experience, Surgery, Survival, Systematic Review, Transplantation, Web Of Science, Wound, Wound Infection</w:t>
      </w:r>
    </w:p>
    <w:p w:rsidR="000A30A9" w:rsidRPr="001A3D2B" w:rsidRDefault="000A30A9" w:rsidP="000A30A9">
      <w:pPr>
        <w:pStyle w:val="1"/>
      </w:pPr>
      <w:r w:rsidRPr="001A3D2B">
        <w:br w:type="page"/>
      </w:r>
      <w:bookmarkStart w:id="849" w:name="_Toc420814766"/>
      <w:r w:rsidRPr="001A3D2B">
        <w:lastRenderedPageBreak/>
        <w:t xml:space="preserve">Title: </w:t>
      </w:r>
      <w:r w:rsidRPr="000A30A9">
        <w:rPr>
          <w:iCs w:val="0"/>
        </w:rPr>
        <w:t>BMC Musculoskeletal Disorders</w:t>
      </w:r>
      <w:bookmarkEnd w:id="849"/>
    </w:p>
    <w:p w:rsidR="000A30A9" w:rsidRPr="001A3D2B" w:rsidRDefault="000A30A9" w:rsidP="000A30A9">
      <w:pPr>
        <w:pStyle w:val="12"/>
      </w:pPr>
      <w:r w:rsidRPr="001A3D2B">
        <w:t xml:space="preserve">Full Journal Title: </w:t>
      </w:r>
      <w:r w:rsidRPr="000A30A9">
        <w:rPr>
          <w:iCs/>
          <w:kern w:val="0"/>
        </w:rPr>
        <w:t>BMC Musculoskeletal Disorders</w:t>
      </w:r>
    </w:p>
    <w:p w:rsidR="000A30A9" w:rsidRPr="001A3D2B" w:rsidRDefault="000A30A9" w:rsidP="000A30A9">
      <w:pPr>
        <w:pStyle w:val="12"/>
      </w:pPr>
      <w:r w:rsidRPr="001A3D2B">
        <w:t xml:space="preserve">ISO Abbreviated Title: </w:t>
      </w:r>
    </w:p>
    <w:p w:rsidR="000A30A9" w:rsidRPr="001A3D2B" w:rsidRDefault="000A30A9" w:rsidP="000A30A9">
      <w:pPr>
        <w:pStyle w:val="12"/>
      </w:pPr>
      <w:r w:rsidRPr="001A3D2B">
        <w:t xml:space="preserve">JCR Abbreviated Title: </w:t>
      </w:r>
      <w:r w:rsidRPr="000A30A9">
        <w:rPr>
          <w:iCs/>
          <w:kern w:val="0"/>
        </w:rPr>
        <w:t>BMC Musculoskeletal Disorders</w:t>
      </w:r>
    </w:p>
    <w:p w:rsidR="000A30A9" w:rsidRPr="001A3D2B" w:rsidRDefault="000A30A9" w:rsidP="000A30A9">
      <w:pPr>
        <w:pStyle w:val="12"/>
      </w:pPr>
      <w:r w:rsidRPr="001A3D2B">
        <w:t xml:space="preserve">ISSN: </w:t>
      </w:r>
    </w:p>
    <w:p w:rsidR="000A30A9" w:rsidRPr="001A3D2B" w:rsidRDefault="000A30A9" w:rsidP="000A30A9">
      <w:pPr>
        <w:pStyle w:val="12"/>
      </w:pPr>
      <w:r w:rsidRPr="001A3D2B">
        <w:t xml:space="preserve">Issues/Year: </w:t>
      </w:r>
    </w:p>
    <w:p w:rsidR="000A30A9" w:rsidRPr="001A3D2B" w:rsidRDefault="000A30A9" w:rsidP="000A30A9">
      <w:pPr>
        <w:pStyle w:val="12"/>
      </w:pPr>
      <w:r w:rsidRPr="001A3D2B">
        <w:t xml:space="preserve">Journal Country/Territory: </w:t>
      </w:r>
    </w:p>
    <w:p w:rsidR="000A30A9" w:rsidRPr="001A3D2B" w:rsidRDefault="000A30A9" w:rsidP="000A30A9">
      <w:pPr>
        <w:pStyle w:val="12"/>
      </w:pPr>
      <w:r w:rsidRPr="001A3D2B">
        <w:t xml:space="preserve">Language: </w:t>
      </w:r>
    </w:p>
    <w:p w:rsidR="000A30A9" w:rsidRPr="001A3D2B" w:rsidRDefault="000A30A9" w:rsidP="000A30A9">
      <w:pPr>
        <w:pStyle w:val="12"/>
      </w:pPr>
      <w:r w:rsidRPr="001A3D2B">
        <w:t xml:space="preserve">Publisher: </w:t>
      </w:r>
    </w:p>
    <w:p w:rsidR="000A30A9" w:rsidRPr="001A3D2B" w:rsidRDefault="000A30A9" w:rsidP="000A30A9">
      <w:pPr>
        <w:pStyle w:val="12"/>
      </w:pPr>
      <w:r w:rsidRPr="001A3D2B">
        <w:t xml:space="preserve">Publisher Address: </w:t>
      </w:r>
    </w:p>
    <w:p w:rsidR="000A30A9" w:rsidRPr="001A3D2B" w:rsidRDefault="000A30A9" w:rsidP="000A30A9">
      <w:pPr>
        <w:pStyle w:val="12"/>
      </w:pPr>
      <w:r w:rsidRPr="001A3D2B">
        <w:t xml:space="preserve">Subject Categories: </w:t>
      </w:r>
    </w:p>
    <w:p w:rsidR="000A30A9" w:rsidRPr="001A3D2B" w:rsidRDefault="000A30A9" w:rsidP="000A30A9">
      <w:pPr>
        <w:pStyle w:val="12"/>
      </w:pPr>
      <w:r w:rsidRPr="001A3D2B">
        <w:t xml:space="preserve">: Impact Factor </w:t>
      </w:r>
    </w:p>
    <w:p w:rsidR="00B866F1" w:rsidRDefault="00B866F1" w:rsidP="00B866F1">
      <w:pPr>
        <w:pStyle w:val="a3"/>
        <w:rPr>
          <w:kern w:val="0"/>
        </w:rPr>
      </w:pPr>
      <w:r>
        <w:rPr>
          <w:rFonts w:hint="eastAsia"/>
          <w:kern w:val="0"/>
        </w:rPr>
        <w:t xml:space="preserve">? </w:t>
      </w:r>
      <w:r>
        <w:rPr>
          <w:kern w:val="0"/>
        </w:rPr>
        <w:t>Eechaute, C., Vaes, P., Van Aerschot, L., Asman, S.</w:t>
      </w:r>
      <w:r w:rsidR="005853A9">
        <w:rPr>
          <w:kern w:val="0"/>
        </w:rPr>
        <w:t xml:space="preserve"> and </w:t>
      </w:r>
      <w:r>
        <w:rPr>
          <w:kern w:val="0"/>
        </w:rPr>
        <w:t>Duquet, W. (2007</w:t>
      </w:r>
      <w:r w:rsidR="00F42EAC">
        <w:rPr>
          <w:kern w:val="0"/>
        </w:rPr>
        <w:t>), The</w:t>
      </w:r>
      <w:r w:rsidR="003A1917">
        <w:rPr>
          <w:kern w:val="0"/>
        </w:rPr>
        <w:t xml:space="preserve"> </w:t>
      </w:r>
      <w:r>
        <w:rPr>
          <w:kern w:val="0"/>
        </w:rPr>
        <w:t>clinimetric qualities</w:t>
      </w:r>
      <w:r w:rsidR="00427468">
        <w:rPr>
          <w:kern w:val="0"/>
        </w:rPr>
        <w:t xml:space="preserve"> of </w:t>
      </w:r>
      <w:r>
        <w:rPr>
          <w:kern w:val="0"/>
        </w:rPr>
        <w:t xml:space="preserve">patient-assessed instruments for measuring chronic ankle instability: A systematic review. </w:t>
      </w:r>
      <w:r>
        <w:rPr>
          <w:i/>
          <w:iCs/>
          <w:kern w:val="0"/>
        </w:rPr>
        <w:t>BMC Musculoskeletal Disorders</w:t>
      </w:r>
      <w:r>
        <w:rPr>
          <w:kern w:val="0"/>
        </w:rPr>
        <w:t xml:space="preserve">, </w:t>
      </w:r>
      <w:r>
        <w:rPr>
          <w:b/>
          <w:bCs/>
          <w:kern w:val="0"/>
        </w:rPr>
        <w:t>8</w:t>
      </w:r>
      <w:r>
        <w:rPr>
          <w:rFonts w:hint="eastAsia"/>
          <w:kern w:val="0"/>
        </w:rPr>
        <w:t xml:space="preserve">, </w:t>
      </w:r>
      <w:r>
        <w:t>Article Number: 6</w:t>
      </w:r>
      <w:r>
        <w:rPr>
          <w:rFonts w:hint="eastAsia"/>
        </w:rPr>
        <w:t>.</w:t>
      </w:r>
    </w:p>
    <w:p w:rsidR="00B866F1" w:rsidRDefault="00B866F1" w:rsidP="00B866F1">
      <w:pPr>
        <w:pStyle w:val="a3"/>
        <w:rPr>
          <w:kern w:val="0"/>
        </w:rPr>
      </w:pPr>
      <w:r>
        <w:rPr>
          <w:rFonts w:hint="eastAsia"/>
          <w:kern w:val="0"/>
        </w:rPr>
        <w:t xml:space="preserve">Full Text: </w:t>
      </w:r>
      <w:hyperlink r:id="rId1654" w:history="1">
        <w:r w:rsidRPr="00364C11">
          <w:rPr>
            <w:rStyle w:val="a5"/>
            <w:kern w:val="0"/>
          </w:rPr>
          <w:t>2007\BMC Mus Dis, 8, 6.pdf</w:t>
        </w:r>
      </w:hyperlink>
    </w:p>
    <w:p w:rsidR="00B866F1" w:rsidRDefault="00B866F1" w:rsidP="00B866F1">
      <w:pPr>
        <w:pStyle w:val="a3"/>
        <w:rPr>
          <w:kern w:val="0"/>
        </w:rPr>
      </w:pPr>
      <w:r>
        <w:rPr>
          <w:kern w:val="0"/>
        </w:rPr>
        <w:t>Abstract: Background:</w:t>
      </w:r>
      <w:r w:rsidR="003A1917">
        <w:rPr>
          <w:kern w:val="0"/>
        </w:rPr>
        <w:t xml:space="preserve"> the </w:t>
      </w:r>
      <w:r>
        <w:rPr>
          <w:kern w:val="0"/>
        </w:rPr>
        <w:t>assessment</w:t>
      </w:r>
      <w:r w:rsidR="00427468">
        <w:rPr>
          <w:kern w:val="0"/>
        </w:rPr>
        <w:t xml:space="preserve"> of </w:t>
      </w:r>
      <w:r>
        <w:rPr>
          <w:kern w:val="0"/>
        </w:rPr>
        <w:t>outcomes from</w:t>
      </w:r>
      <w:r w:rsidR="003A1917">
        <w:rPr>
          <w:kern w:val="0"/>
        </w:rPr>
        <w:t xml:space="preserve"> the </w:t>
      </w:r>
      <w:r>
        <w:rPr>
          <w:kern w:val="0"/>
        </w:rPr>
        <w:t>patient</w:t>
      </w:r>
      <w:r w:rsidR="00700038">
        <w:rPr>
          <w:kern w:val="0"/>
        </w:rPr>
        <w:t>’</w:t>
      </w:r>
      <w:r w:rsidR="00C13DDC">
        <w:rPr>
          <w:kern w:val="0"/>
        </w:rPr>
        <w:t>s</w:t>
      </w:r>
      <w:r>
        <w:rPr>
          <w:kern w:val="0"/>
        </w:rPr>
        <w:t xml:space="preserve"> perspective becomes more recognized in health care. Also in patients with chronic ankle instability,</w:t>
      </w:r>
      <w:r w:rsidR="003A1917">
        <w:rPr>
          <w:kern w:val="0"/>
        </w:rPr>
        <w:t xml:space="preserve"> the </w:t>
      </w:r>
      <w:r>
        <w:rPr>
          <w:kern w:val="0"/>
        </w:rPr>
        <w:t>degree</w:t>
      </w:r>
      <w:r w:rsidR="00427468">
        <w:rPr>
          <w:kern w:val="0"/>
        </w:rPr>
        <w:t xml:space="preserve"> of </w:t>
      </w:r>
      <w:r>
        <w:rPr>
          <w:kern w:val="0"/>
        </w:rPr>
        <w:t>present impairments, disabilities</w:t>
      </w:r>
      <w:r w:rsidR="005853A9">
        <w:rPr>
          <w:kern w:val="0"/>
        </w:rPr>
        <w:t xml:space="preserve"> and </w:t>
      </w:r>
      <w:r>
        <w:rPr>
          <w:kern w:val="0"/>
        </w:rPr>
        <w:t>participation problems should be documented from</w:t>
      </w:r>
      <w:r w:rsidR="003A1917">
        <w:rPr>
          <w:kern w:val="0"/>
        </w:rPr>
        <w:t xml:space="preserve"> the </w:t>
      </w:r>
      <w:r>
        <w:rPr>
          <w:kern w:val="0"/>
        </w:rPr>
        <w:t>perspective</w:t>
      </w:r>
      <w:r w:rsidR="00427468">
        <w:rPr>
          <w:kern w:val="0"/>
        </w:rPr>
        <w:t xml:space="preserve"> of </w:t>
      </w:r>
      <w:r w:rsidR="003A1917">
        <w:rPr>
          <w:kern w:val="0"/>
        </w:rPr>
        <w:t xml:space="preserve">the </w:t>
      </w:r>
      <w:r>
        <w:rPr>
          <w:kern w:val="0"/>
        </w:rPr>
        <w:t>patient</w:t>
      </w:r>
      <w:r w:rsidR="00A37C1D">
        <w:rPr>
          <w:kern w:val="0"/>
        </w:rPr>
        <w:t>. The</w:t>
      </w:r>
      <w:r w:rsidR="003A1917">
        <w:rPr>
          <w:kern w:val="0"/>
        </w:rPr>
        <w:t xml:space="preserve"> </w:t>
      </w:r>
      <w:r>
        <w:rPr>
          <w:kern w:val="0"/>
        </w:rPr>
        <w:t>decision about which patient-assessed instrument is most appropriate for clinical practice should be based upon systematic reviews. Only rating scales constructed for patients with acute ligament injuries were systematically reviewed in</w:t>
      </w:r>
      <w:r w:rsidR="003A1917">
        <w:rPr>
          <w:kern w:val="0"/>
        </w:rPr>
        <w:t xml:space="preserve"> the </w:t>
      </w:r>
      <w:r>
        <w:rPr>
          <w:kern w:val="0"/>
        </w:rPr>
        <w:t>past</w:t>
      </w:r>
      <w:r w:rsidR="00A37C1D">
        <w:rPr>
          <w:kern w:val="0"/>
        </w:rPr>
        <w:t>. The</w:t>
      </w:r>
      <w:r w:rsidR="003A1917">
        <w:rPr>
          <w:kern w:val="0"/>
        </w:rPr>
        <w:t xml:space="preserve"> </w:t>
      </w:r>
      <w:r>
        <w:rPr>
          <w:kern w:val="0"/>
        </w:rPr>
        <w:t>aim</w:t>
      </w:r>
      <w:r w:rsidR="00427468">
        <w:rPr>
          <w:kern w:val="0"/>
        </w:rPr>
        <w:t xml:space="preserve"> of </w:t>
      </w:r>
      <w:r>
        <w:rPr>
          <w:kern w:val="0"/>
        </w:rPr>
        <w:t>this study was to review systematically</w:t>
      </w:r>
      <w:r w:rsidR="003A1917">
        <w:rPr>
          <w:kern w:val="0"/>
        </w:rPr>
        <w:t xml:space="preserve"> the </w:t>
      </w:r>
      <w:r>
        <w:rPr>
          <w:kern w:val="0"/>
        </w:rPr>
        <w:t>clinimetric qualities</w:t>
      </w:r>
      <w:r w:rsidR="00427468">
        <w:rPr>
          <w:kern w:val="0"/>
        </w:rPr>
        <w:t xml:space="preserve"> of </w:t>
      </w:r>
      <w:r>
        <w:rPr>
          <w:kern w:val="0"/>
        </w:rPr>
        <w:t>patient-assessed instruments designed for patients with chronic ankle instability. Methods: A computerized literature search</w:t>
      </w:r>
      <w:r w:rsidR="00427468">
        <w:rPr>
          <w:kern w:val="0"/>
        </w:rPr>
        <w:t xml:space="preserve"> of </w:t>
      </w:r>
      <w:r w:rsidR="00D5664A">
        <w:rPr>
          <w:kern w:val="0"/>
        </w:rPr>
        <w:t>MEDLINE</w:t>
      </w:r>
      <w:r>
        <w:rPr>
          <w:kern w:val="0"/>
        </w:rPr>
        <w:t xml:space="preserve">, EMBASE, Cinahl, </w:t>
      </w:r>
      <w:r w:rsidR="00D5664A">
        <w:rPr>
          <w:kern w:val="0"/>
        </w:rPr>
        <w:t>Web</w:t>
      </w:r>
      <w:r w:rsidR="00427468">
        <w:rPr>
          <w:kern w:val="0"/>
        </w:rPr>
        <w:t xml:space="preserve"> of </w:t>
      </w:r>
      <w:r w:rsidR="00D5664A">
        <w:rPr>
          <w:kern w:val="0"/>
        </w:rPr>
        <w:t>Science</w:t>
      </w:r>
      <w:r>
        <w:rPr>
          <w:kern w:val="0"/>
        </w:rPr>
        <w:t>, Sport Discus</w:t>
      </w:r>
      <w:r w:rsidR="005853A9">
        <w:rPr>
          <w:kern w:val="0"/>
        </w:rPr>
        <w:t xml:space="preserve"> and </w:t>
      </w:r>
      <w:r w:rsidR="003A1917">
        <w:rPr>
          <w:kern w:val="0"/>
        </w:rPr>
        <w:t xml:space="preserve">the </w:t>
      </w:r>
      <w:r>
        <w:rPr>
          <w:kern w:val="0"/>
        </w:rPr>
        <w:t>Cochrane Controlled Trial Register was performed to identify eligible instruments. Two reviewers independently evaluated</w:t>
      </w:r>
      <w:r w:rsidR="003A1917">
        <w:rPr>
          <w:kern w:val="0"/>
        </w:rPr>
        <w:t xml:space="preserve"> the </w:t>
      </w:r>
      <w:r>
        <w:rPr>
          <w:kern w:val="0"/>
        </w:rPr>
        <w:t>clinimetric qualities</w:t>
      </w:r>
      <w:r w:rsidR="00427468">
        <w:rPr>
          <w:kern w:val="0"/>
        </w:rPr>
        <w:t xml:space="preserve"> of </w:t>
      </w:r>
      <w:r w:rsidR="003A1917">
        <w:rPr>
          <w:kern w:val="0"/>
        </w:rPr>
        <w:t xml:space="preserve">the </w:t>
      </w:r>
      <w:r>
        <w:rPr>
          <w:kern w:val="0"/>
        </w:rPr>
        <w:t>selected instruments using a criteria list</w:t>
      </w:r>
      <w:r w:rsidR="00A37C1D">
        <w:rPr>
          <w:kern w:val="0"/>
        </w:rPr>
        <w:t>. The</w:t>
      </w:r>
      <w:r w:rsidR="003A1917">
        <w:rPr>
          <w:kern w:val="0"/>
        </w:rPr>
        <w:t xml:space="preserve"> </w:t>
      </w:r>
      <w:r>
        <w:rPr>
          <w:kern w:val="0"/>
        </w:rPr>
        <w:t>interobserver reliability</w:t>
      </w:r>
      <w:r w:rsidR="00427468">
        <w:rPr>
          <w:kern w:val="0"/>
        </w:rPr>
        <w:t xml:space="preserve"> of </w:t>
      </w:r>
      <w:r>
        <w:rPr>
          <w:kern w:val="0"/>
        </w:rPr>
        <w:t>both</w:t>
      </w:r>
      <w:r w:rsidR="003A1917">
        <w:rPr>
          <w:kern w:val="0"/>
        </w:rPr>
        <w:t xml:space="preserve"> the </w:t>
      </w:r>
      <w:r>
        <w:rPr>
          <w:kern w:val="0"/>
        </w:rPr>
        <w:t>selection procedure</w:t>
      </w:r>
      <w:r w:rsidR="005853A9">
        <w:rPr>
          <w:kern w:val="0"/>
        </w:rPr>
        <w:t xml:space="preserve"> and </w:t>
      </w:r>
      <w:r w:rsidR="003A1917">
        <w:rPr>
          <w:kern w:val="0"/>
        </w:rPr>
        <w:t xml:space="preserve">the </w:t>
      </w:r>
      <w:r>
        <w:rPr>
          <w:kern w:val="0"/>
        </w:rPr>
        <w:t>clinimetric evaluation was calculated using modified kappa coefficients. Results:</w:t>
      </w:r>
      <w:r w:rsidR="003A1917">
        <w:rPr>
          <w:kern w:val="0"/>
        </w:rPr>
        <w:t xml:space="preserve"> the </w:t>
      </w:r>
      <w:r>
        <w:rPr>
          <w:kern w:val="0"/>
        </w:rPr>
        <w:t>inter-observer reliability</w:t>
      </w:r>
      <w:r w:rsidR="00427468">
        <w:rPr>
          <w:kern w:val="0"/>
        </w:rPr>
        <w:t xml:space="preserve"> of </w:t>
      </w:r>
      <w:r w:rsidR="003A1917">
        <w:rPr>
          <w:kern w:val="0"/>
        </w:rPr>
        <w:t xml:space="preserve">the </w:t>
      </w:r>
      <w:r>
        <w:rPr>
          <w:kern w:val="0"/>
        </w:rPr>
        <w:t>selection procedure was excellent (k =.86). Four instruments met</w:t>
      </w:r>
      <w:r w:rsidR="003A1917">
        <w:rPr>
          <w:kern w:val="0"/>
        </w:rPr>
        <w:t xml:space="preserve"> the </w:t>
      </w:r>
      <w:r>
        <w:rPr>
          <w:kern w:val="0"/>
        </w:rPr>
        <w:t>eligibility criteria:</w:t>
      </w:r>
      <w:r w:rsidR="003A1917">
        <w:rPr>
          <w:kern w:val="0"/>
        </w:rPr>
        <w:t xml:space="preserve"> the </w:t>
      </w:r>
      <w:r>
        <w:rPr>
          <w:kern w:val="0"/>
        </w:rPr>
        <w:t>Ankle Joint Functional Assessment Tool (AJFAT</w:t>
      </w:r>
      <w:r w:rsidR="00F42EAC">
        <w:rPr>
          <w:kern w:val="0"/>
        </w:rPr>
        <w:t>), The</w:t>
      </w:r>
      <w:r w:rsidR="003A1917">
        <w:rPr>
          <w:kern w:val="0"/>
        </w:rPr>
        <w:t xml:space="preserve"> </w:t>
      </w:r>
      <w:r>
        <w:rPr>
          <w:kern w:val="0"/>
        </w:rPr>
        <w:t>Functional Ankle Outcome Score (FAOS</w:t>
      </w:r>
      <w:r w:rsidR="00F42EAC">
        <w:rPr>
          <w:kern w:val="0"/>
        </w:rPr>
        <w:t>), The</w:t>
      </w:r>
      <w:r w:rsidR="003A1917">
        <w:rPr>
          <w:kern w:val="0"/>
        </w:rPr>
        <w:t xml:space="preserve"> </w:t>
      </w:r>
      <w:r>
        <w:rPr>
          <w:kern w:val="0"/>
        </w:rPr>
        <w:t>Foot</w:t>
      </w:r>
      <w:r w:rsidR="005853A9">
        <w:rPr>
          <w:kern w:val="0"/>
        </w:rPr>
        <w:t xml:space="preserve"> and </w:t>
      </w:r>
      <w:r>
        <w:rPr>
          <w:kern w:val="0"/>
        </w:rPr>
        <w:t>Ankle Disability Index (FADI)</w:t>
      </w:r>
      <w:r w:rsidR="005853A9">
        <w:rPr>
          <w:kern w:val="0"/>
        </w:rPr>
        <w:t xml:space="preserve"> and </w:t>
      </w:r>
      <w:r w:rsidR="003A1917">
        <w:rPr>
          <w:kern w:val="0"/>
        </w:rPr>
        <w:t xml:space="preserve">the </w:t>
      </w:r>
      <w:r>
        <w:rPr>
          <w:kern w:val="0"/>
        </w:rPr>
        <w:t>Functional Ankle Ability Measure (FAAM)</w:t>
      </w:r>
      <w:r w:rsidR="00A37C1D">
        <w:rPr>
          <w:kern w:val="0"/>
        </w:rPr>
        <w:t>. The</w:t>
      </w:r>
      <w:r w:rsidR="003A1917">
        <w:rPr>
          <w:kern w:val="0"/>
        </w:rPr>
        <w:t xml:space="preserve"> </w:t>
      </w:r>
      <w:r>
        <w:rPr>
          <w:kern w:val="0"/>
        </w:rPr>
        <w:t>inter-observer reliability</w:t>
      </w:r>
      <w:r w:rsidR="00427468">
        <w:rPr>
          <w:kern w:val="0"/>
        </w:rPr>
        <w:t xml:space="preserve"> of </w:t>
      </w:r>
      <w:r w:rsidR="003A1917">
        <w:rPr>
          <w:kern w:val="0"/>
        </w:rPr>
        <w:t xml:space="preserve">the </w:t>
      </w:r>
      <w:r>
        <w:rPr>
          <w:kern w:val="0"/>
        </w:rPr>
        <w:t>quality assessment was substantial to excellent (k between .64</w:t>
      </w:r>
      <w:r w:rsidR="005853A9">
        <w:rPr>
          <w:kern w:val="0"/>
        </w:rPr>
        <w:t xml:space="preserve"> and </w:t>
      </w:r>
      <w:r>
        <w:rPr>
          <w:kern w:val="0"/>
        </w:rPr>
        <w:t xml:space="preserve">.88). Test-retest reliability was </w:t>
      </w:r>
      <w:r>
        <w:rPr>
          <w:kern w:val="0"/>
        </w:rPr>
        <w:lastRenderedPageBreak/>
        <w:t>demonstrated for</w:t>
      </w:r>
      <w:r w:rsidR="003A1917">
        <w:rPr>
          <w:kern w:val="0"/>
        </w:rPr>
        <w:t xml:space="preserve"> the </w:t>
      </w:r>
      <w:r>
        <w:rPr>
          <w:kern w:val="0"/>
        </w:rPr>
        <w:t>FAOS,</w:t>
      </w:r>
      <w:r w:rsidR="003A1917">
        <w:rPr>
          <w:kern w:val="0"/>
        </w:rPr>
        <w:t xml:space="preserve"> the </w:t>
      </w:r>
      <w:r>
        <w:rPr>
          <w:kern w:val="0"/>
        </w:rPr>
        <w:t>FADI</w:t>
      </w:r>
      <w:r w:rsidR="005853A9">
        <w:rPr>
          <w:kern w:val="0"/>
        </w:rPr>
        <w:t xml:space="preserve"> and </w:t>
      </w:r>
      <w:r w:rsidR="003A1917">
        <w:rPr>
          <w:kern w:val="0"/>
        </w:rPr>
        <w:t xml:space="preserve">the </w:t>
      </w:r>
      <w:r>
        <w:rPr>
          <w:kern w:val="0"/>
        </w:rPr>
        <w:t>FAAM but not for</w:t>
      </w:r>
      <w:r w:rsidR="003A1917">
        <w:rPr>
          <w:kern w:val="0"/>
        </w:rPr>
        <w:t xml:space="preserve"> the </w:t>
      </w:r>
      <w:r>
        <w:rPr>
          <w:kern w:val="0"/>
        </w:rPr>
        <w:t>AJFAT</w:t>
      </w:r>
      <w:r w:rsidR="00A37C1D">
        <w:rPr>
          <w:kern w:val="0"/>
        </w:rPr>
        <w:t>. The</w:t>
      </w:r>
      <w:r w:rsidR="003A1917">
        <w:rPr>
          <w:kern w:val="0"/>
        </w:rPr>
        <w:t xml:space="preserve"> </w:t>
      </w:r>
      <w:r>
        <w:rPr>
          <w:kern w:val="0"/>
        </w:rPr>
        <w:t>FAOS</w:t>
      </w:r>
      <w:r w:rsidR="005853A9">
        <w:rPr>
          <w:kern w:val="0"/>
        </w:rPr>
        <w:t xml:space="preserve"> and </w:t>
      </w:r>
      <w:r w:rsidR="003A1917">
        <w:rPr>
          <w:kern w:val="0"/>
        </w:rPr>
        <w:t xml:space="preserve">the </w:t>
      </w:r>
      <w:r>
        <w:rPr>
          <w:kern w:val="0"/>
        </w:rPr>
        <w:t>FAAM met</w:t>
      </w:r>
      <w:r w:rsidR="003A1917">
        <w:rPr>
          <w:kern w:val="0"/>
        </w:rPr>
        <w:t xml:space="preserve"> the </w:t>
      </w:r>
      <w:r>
        <w:rPr>
          <w:kern w:val="0"/>
        </w:rPr>
        <w:t>criteria for content validity</w:t>
      </w:r>
      <w:r w:rsidR="005853A9">
        <w:rPr>
          <w:kern w:val="0"/>
        </w:rPr>
        <w:t xml:space="preserve"> and </w:t>
      </w:r>
      <w:r>
        <w:rPr>
          <w:kern w:val="0"/>
        </w:rPr>
        <w:t>construct validity. For none</w:t>
      </w:r>
      <w:r w:rsidR="00427468">
        <w:rPr>
          <w:kern w:val="0"/>
        </w:rPr>
        <w:t xml:space="preserve"> of </w:t>
      </w:r>
      <w:r w:rsidR="003A1917">
        <w:rPr>
          <w:kern w:val="0"/>
        </w:rPr>
        <w:t xml:space="preserve">the </w:t>
      </w:r>
      <w:r>
        <w:rPr>
          <w:kern w:val="0"/>
        </w:rPr>
        <w:t>studied instruments,</w:t>
      </w:r>
      <w:r w:rsidR="003A1917">
        <w:rPr>
          <w:kern w:val="0"/>
        </w:rPr>
        <w:t xml:space="preserve"> the </w:t>
      </w:r>
      <w:r>
        <w:rPr>
          <w:kern w:val="0"/>
        </w:rPr>
        <w:t>internal consistency was sufficiently demonstrated</w:t>
      </w:r>
      <w:r w:rsidR="00A37C1D">
        <w:rPr>
          <w:kern w:val="0"/>
        </w:rPr>
        <w:t>. The</w:t>
      </w:r>
      <w:r w:rsidR="003A1917">
        <w:rPr>
          <w:kern w:val="0"/>
        </w:rPr>
        <w:t xml:space="preserve"> </w:t>
      </w:r>
      <w:r>
        <w:rPr>
          <w:kern w:val="0"/>
        </w:rPr>
        <w:t>presence</w:t>
      </w:r>
      <w:r w:rsidR="00427468">
        <w:rPr>
          <w:kern w:val="0"/>
        </w:rPr>
        <w:t xml:space="preserve"> of </w:t>
      </w:r>
      <w:r>
        <w:rPr>
          <w:kern w:val="0"/>
        </w:rPr>
        <w:t>floor-</w:t>
      </w:r>
      <w:r w:rsidR="005853A9">
        <w:rPr>
          <w:kern w:val="0"/>
        </w:rPr>
        <w:t xml:space="preserve"> and </w:t>
      </w:r>
      <w:r>
        <w:rPr>
          <w:kern w:val="0"/>
        </w:rPr>
        <w:t>ceiling effects was assessed for</w:t>
      </w:r>
      <w:r w:rsidR="003A1917">
        <w:rPr>
          <w:kern w:val="0"/>
        </w:rPr>
        <w:t xml:space="preserve"> the </w:t>
      </w:r>
      <w:r>
        <w:rPr>
          <w:kern w:val="0"/>
        </w:rPr>
        <w:t>FAOS but ceiling effects were present for all subscales. Responsiveness was demonstrated for</w:t>
      </w:r>
      <w:r w:rsidR="003A1917">
        <w:rPr>
          <w:kern w:val="0"/>
        </w:rPr>
        <w:t xml:space="preserve"> the </w:t>
      </w:r>
      <w:r>
        <w:rPr>
          <w:kern w:val="0"/>
        </w:rPr>
        <w:t>AJFAT, FADI</w:t>
      </w:r>
      <w:r w:rsidR="005853A9">
        <w:rPr>
          <w:kern w:val="0"/>
        </w:rPr>
        <w:t xml:space="preserve"> and </w:t>
      </w:r>
      <w:r w:rsidR="003A1917">
        <w:rPr>
          <w:kern w:val="0"/>
        </w:rPr>
        <w:t xml:space="preserve">the </w:t>
      </w:r>
      <w:r>
        <w:rPr>
          <w:kern w:val="0"/>
        </w:rPr>
        <w:t>FAAM. Only for</w:t>
      </w:r>
      <w:r w:rsidR="003A1917">
        <w:rPr>
          <w:kern w:val="0"/>
        </w:rPr>
        <w:t xml:space="preserve"> the </w:t>
      </w:r>
      <w:r>
        <w:rPr>
          <w:kern w:val="0"/>
        </w:rPr>
        <w:t>FAAM, a minimal clinical important difference (MCID) was presented. Conclusion:</w:t>
      </w:r>
      <w:r w:rsidR="003A1917">
        <w:rPr>
          <w:kern w:val="0"/>
        </w:rPr>
        <w:t xml:space="preserve"> the </w:t>
      </w:r>
      <w:r>
        <w:rPr>
          <w:kern w:val="0"/>
        </w:rPr>
        <w:t>FADI</w:t>
      </w:r>
      <w:r w:rsidR="005853A9">
        <w:rPr>
          <w:kern w:val="0"/>
        </w:rPr>
        <w:t xml:space="preserve"> and </w:t>
      </w:r>
      <w:r w:rsidR="003A1917">
        <w:rPr>
          <w:kern w:val="0"/>
        </w:rPr>
        <w:t xml:space="preserve">the </w:t>
      </w:r>
      <w:r>
        <w:rPr>
          <w:kern w:val="0"/>
        </w:rPr>
        <w:t>FAAM can be considered as</w:t>
      </w:r>
      <w:r w:rsidR="003A1917">
        <w:rPr>
          <w:kern w:val="0"/>
        </w:rPr>
        <w:t xml:space="preserve"> the </w:t>
      </w:r>
      <w:r>
        <w:rPr>
          <w:kern w:val="0"/>
        </w:rPr>
        <w:t>most appropriate, patient-assessed tools to quantify functional disabilities in patients with chronic ankle instability</w:t>
      </w:r>
      <w:r w:rsidR="00A37C1D">
        <w:rPr>
          <w:kern w:val="0"/>
        </w:rPr>
        <w:t>. The</w:t>
      </w:r>
      <w:r w:rsidR="003A1917">
        <w:rPr>
          <w:kern w:val="0"/>
        </w:rPr>
        <w:t xml:space="preserve"> </w:t>
      </w:r>
      <w:r>
        <w:rPr>
          <w:kern w:val="0"/>
        </w:rPr>
        <w:t>clinimetric qualities</w:t>
      </w:r>
      <w:r w:rsidR="00427468">
        <w:rPr>
          <w:kern w:val="0"/>
        </w:rPr>
        <w:t xml:space="preserve"> of </w:t>
      </w:r>
      <w:r w:rsidR="003A1917">
        <w:rPr>
          <w:kern w:val="0"/>
        </w:rPr>
        <w:t xml:space="preserve">the </w:t>
      </w:r>
      <w:r>
        <w:rPr>
          <w:kern w:val="0"/>
        </w:rPr>
        <w:t>FAAM need to be further demonstrated in a specific population</w:t>
      </w:r>
      <w:r w:rsidR="00427468">
        <w:rPr>
          <w:kern w:val="0"/>
        </w:rPr>
        <w:t xml:space="preserve"> of </w:t>
      </w:r>
      <w:r>
        <w:rPr>
          <w:kern w:val="0"/>
        </w:rPr>
        <w:t>patients with chronic ankle instability.</w:t>
      </w:r>
    </w:p>
    <w:p w:rsidR="00B866F1" w:rsidRDefault="00B866F1" w:rsidP="00B866F1">
      <w:pPr>
        <w:pStyle w:val="a3"/>
        <w:rPr>
          <w:kern w:val="0"/>
        </w:rPr>
      </w:pPr>
      <w:r>
        <w:rPr>
          <w:kern w:val="0"/>
        </w:rPr>
        <w:t xml:space="preserve">Keywords: Ankle Instability, Assessment, Chronic Ankle Instability, Cochrane, Evaluation, Follow-Up, Foot, Functional, Functionally Unstable Ankles, Health Care, Joint Position Sense, Lateral Ligament, Literature, Methods, Of-Life, Outcome Measures, Outcomes, Practice, Reliability, Review, Science, Strength, Systematic, Systematic Review, Systematic Reviews, Validity, </w:t>
      </w:r>
      <w:r w:rsidR="00D5664A">
        <w:rPr>
          <w:kern w:val="0"/>
        </w:rPr>
        <w:t>Web</w:t>
      </w:r>
      <w:r w:rsidR="00427468">
        <w:rPr>
          <w:kern w:val="0"/>
        </w:rPr>
        <w:t xml:space="preserve"> of </w:t>
      </w:r>
      <w:r w:rsidR="00D5664A">
        <w:rPr>
          <w:kern w:val="0"/>
        </w:rPr>
        <w:t>Science</w:t>
      </w:r>
    </w:p>
    <w:p w:rsidR="000A30A9" w:rsidRDefault="000A30A9" w:rsidP="000A30A9">
      <w:pPr>
        <w:pStyle w:val="a3"/>
        <w:rPr>
          <w:kern w:val="0"/>
        </w:rPr>
      </w:pPr>
      <w:r>
        <w:rPr>
          <w:rFonts w:hint="eastAsia"/>
          <w:kern w:val="0"/>
        </w:rPr>
        <w:t xml:space="preserve">? </w:t>
      </w:r>
      <w:r>
        <w:rPr>
          <w:kern w:val="0"/>
        </w:rPr>
        <w:t>Siebelt, M., Siebelt, T., Pilot, P., Bloem, R.M., Bhandari, M.</w:t>
      </w:r>
      <w:r w:rsidR="005853A9">
        <w:rPr>
          <w:kern w:val="0"/>
        </w:rPr>
        <w:t xml:space="preserve"> and </w:t>
      </w:r>
      <w:r>
        <w:rPr>
          <w:kern w:val="0"/>
        </w:rPr>
        <w:t>Poolman, R.W. (2010), Citation analysis</w:t>
      </w:r>
      <w:r w:rsidR="00427468">
        <w:rPr>
          <w:kern w:val="0"/>
        </w:rPr>
        <w:t xml:space="preserve"> of </w:t>
      </w:r>
      <w:r>
        <w:rPr>
          <w:kern w:val="0"/>
        </w:rPr>
        <w:t>orthopaedic literature; 18 major orthopaedic journals compared for Impact Factor</w:t>
      </w:r>
      <w:r w:rsidR="005853A9">
        <w:rPr>
          <w:kern w:val="0"/>
        </w:rPr>
        <w:t xml:space="preserve"> and </w:t>
      </w:r>
      <w:r>
        <w:rPr>
          <w:kern w:val="0"/>
        </w:rPr>
        <w:t xml:space="preserve">SCImago. </w:t>
      </w:r>
      <w:r w:rsidRPr="000A30A9">
        <w:rPr>
          <w:i/>
          <w:iCs/>
          <w:kern w:val="0"/>
        </w:rPr>
        <w:t>BMC Musculoskeletal Disorders</w:t>
      </w:r>
      <w:r>
        <w:rPr>
          <w:kern w:val="0"/>
        </w:rPr>
        <w:t xml:space="preserve">, </w:t>
      </w:r>
      <w:r>
        <w:rPr>
          <w:b/>
          <w:bCs/>
          <w:kern w:val="0"/>
        </w:rPr>
        <w:t>11</w:t>
      </w:r>
      <w:r>
        <w:rPr>
          <w:rFonts w:hint="eastAsia"/>
          <w:kern w:val="0"/>
        </w:rPr>
        <w:t xml:space="preserve">, </w:t>
      </w:r>
      <w:r w:rsidRPr="000A30A9">
        <w:rPr>
          <w:kern w:val="0"/>
        </w:rPr>
        <w:t>Article Number: 4</w:t>
      </w:r>
      <w:r>
        <w:rPr>
          <w:rFonts w:hint="eastAsia"/>
          <w:kern w:val="0"/>
        </w:rPr>
        <w:t>.</w:t>
      </w:r>
    </w:p>
    <w:p w:rsidR="00913CBD" w:rsidRDefault="00913CBD" w:rsidP="000A30A9">
      <w:pPr>
        <w:pStyle w:val="a3"/>
        <w:rPr>
          <w:kern w:val="0"/>
        </w:rPr>
      </w:pPr>
      <w:r>
        <w:rPr>
          <w:rFonts w:hint="eastAsia"/>
          <w:kern w:val="0"/>
        </w:rPr>
        <w:t xml:space="preserve">Full Text: </w:t>
      </w:r>
      <w:hyperlink r:id="rId1655" w:history="1">
        <w:r w:rsidRPr="00913CBD">
          <w:rPr>
            <w:rStyle w:val="a5"/>
            <w:kern w:val="0"/>
          </w:rPr>
          <w:t>2010\BMC Mus Dis, 11, 4.pdf</w:t>
        </w:r>
      </w:hyperlink>
    </w:p>
    <w:p w:rsidR="000A30A9" w:rsidRDefault="000A30A9" w:rsidP="000A30A9">
      <w:pPr>
        <w:pStyle w:val="a3"/>
        <w:rPr>
          <w:kern w:val="0"/>
        </w:rPr>
      </w:pPr>
      <w:r>
        <w:rPr>
          <w:kern w:val="0"/>
        </w:rPr>
        <w:t>Abstract: Background: One</w:t>
      </w:r>
      <w:r w:rsidR="00427468">
        <w:rPr>
          <w:kern w:val="0"/>
        </w:rPr>
        <w:t xml:space="preserve"> of </w:t>
      </w:r>
      <w:r w:rsidR="003A1917">
        <w:rPr>
          <w:kern w:val="0"/>
        </w:rPr>
        <w:t xml:space="preserve">the </w:t>
      </w:r>
      <w:r>
        <w:rPr>
          <w:kern w:val="0"/>
        </w:rPr>
        <w:t>disadvantages</w:t>
      </w:r>
      <w:r w:rsidR="00427468">
        <w:rPr>
          <w:kern w:val="0"/>
        </w:rPr>
        <w:t xml:space="preserve"> of </w:t>
      </w:r>
      <w:r w:rsidR="003A1917">
        <w:rPr>
          <w:kern w:val="0"/>
        </w:rPr>
        <w:t xml:space="preserve">the </w:t>
      </w:r>
      <w:r>
        <w:rPr>
          <w:kern w:val="0"/>
        </w:rPr>
        <w:t>Impact Factor (IF) is self-citation</w:t>
      </w:r>
      <w:r w:rsidR="00A37C1D">
        <w:rPr>
          <w:kern w:val="0"/>
        </w:rPr>
        <w:t>. The</w:t>
      </w:r>
      <w:r w:rsidR="003A1917">
        <w:rPr>
          <w:kern w:val="0"/>
        </w:rPr>
        <w:t xml:space="preserve"> </w:t>
      </w:r>
      <w:r>
        <w:rPr>
          <w:kern w:val="0"/>
        </w:rPr>
        <w:t>SCImago Journal Rank (SJR) indicator excludes self-citations</w:t>
      </w:r>
      <w:r w:rsidR="005853A9">
        <w:rPr>
          <w:kern w:val="0"/>
        </w:rPr>
        <w:t xml:space="preserve"> and </w:t>
      </w:r>
      <w:r>
        <w:rPr>
          <w:kern w:val="0"/>
        </w:rPr>
        <w:t>considers</w:t>
      </w:r>
      <w:r w:rsidR="003A1917">
        <w:rPr>
          <w:kern w:val="0"/>
        </w:rPr>
        <w:t xml:space="preserve"> the </w:t>
      </w:r>
      <w:r>
        <w:rPr>
          <w:kern w:val="0"/>
        </w:rPr>
        <w:t>quality, rather than absolute numbers,</w:t>
      </w:r>
      <w:r w:rsidR="00427468">
        <w:rPr>
          <w:kern w:val="0"/>
        </w:rPr>
        <w:t xml:space="preserve"> of </w:t>
      </w:r>
      <w:r>
        <w:rPr>
          <w:kern w:val="0"/>
        </w:rPr>
        <w:t>citations</w:t>
      </w:r>
      <w:r w:rsidR="00427468">
        <w:rPr>
          <w:kern w:val="0"/>
        </w:rPr>
        <w:t xml:space="preserve"> of </w:t>
      </w:r>
      <w:r>
        <w:rPr>
          <w:kern w:val="0"/>
        </w:rPr>
        <w:t>a journal by other journals</w:t>
      </w:r>
      <w:r w:rsidR="00A37C1D">
        <w:rPr>
          <w:kern w:val="0"/>
        </w:rPr>
        <w:t>. The</w:t>
      </w:r>
      <w:r w:rsidR="003A1917">
        <w:rPr>
          <w:kern w:val="0"/>
        </w:rPr>
        <w:t xml:space="preserve"> </w:t>
      </w:r>
      <w:r>
        <w:rPr>
          <w:kern w:val="0"/>
        </w:rPr>
        <w:t>present study re-evaluated</w:t>
      </w:r>
      <w:r w:rsidR="003A1917">
        <w:rPr>
          <w:kern w:val="0"/>
        </w:rPr>
        <w:t xml:space="preserve"> the </w:t>
      </w:r>
      <w:r>
        <w:rPr>
          <w:kern w:val="0"/>
        </w:rPr>
        <w:t>influence</w:t>
      </w:r>
      <w:r w:rsidR="00427468">
        <w:rPr>
          <w:kern w:val="0"/>
        </w:rPr>
        <w:t xml:space="preserve"> of </w:t>
      </w:r>
      <w:r>
        <w:rPr>
          <w:kern w:val="0"/>
        </w:rPr>
        <w:t>self-citation on</w:t>
      </w:r>
      <w:r w:rsidR="003A1917">
        <w:rPr>
          <w:kern w:val="0"/>
        </w:rPr>
        <w:t xml:space="preserve"> the </w:t>
      </w:r>
      <w:r>
        <w:rPr>
          <w:kern w:val="0"/>
        </w:rPr>
        <w:t>2007 IF for 18 major orthopaedic journals</w:t>
      </w:r>
      <w:r w:rsidR="005853A9">
        <w:rPr>
          <w:kern w:val="0"/>
        </w:rPr>
        <w:t xml:space="preserve"> and </w:t>
      </w:r>
      <w:r>
        <w:rPr>
          <w:kern w:val="0"/>
        </w:rPr>
        <w:t>investigated</w:t>
      </w:r>
      <w:r w:rsidR="003A1917">
        <w:rPr>
          <w:kern w:val="0"/>
        </w:rPr>
        <w:t xml:space="preserve"> the </w:t>
      </w:r>
      <w:r>
        <w:rPr>
          <w:kern w:val="0"/>
        </w:rPr>
        <w:t>difference in ranking between IF</w:t>
      </w:r>
      <w:r w:rsidR="005853A9">
        <w:rPr>
          <w:kern w:val="0"/>
        </w:rPr>
        <w:t xml:space="preserve"> and </w:t>
      </w:r>
      <w:r>
        <w:rPr>
          <w:kern w:val="0"/>
        </w:rPr>
        <w:t>SJR. Methods:</w:t>
      </w:r>
      <w:r w:rsidR="003A1917">
        <w:rPr>
          <w:kern w:val="0"/>
        </w:rPr>
        <w:t xml:space="preserve"> the </w:t>
      </w:r>
      <w:r>
        <w:rPr>
          <w:kern w:val="0"/>
        </w:rPr>
        <w:t>journals were analysed for self-citation both overall</w:t>
      </w:r>
      <w:r w:rsidR="005853A9">
        <w:rPr>
          <w:kern w:val="0"/>
        </w:rPr>
        <w:t xml:space="preserve"> and </w:t>
      </w:r>
      <w:r>
        <w:rPr>
          <w:kern w:val="0"/>
        </w:rPr>
        <w:t>divided into a general group (n = 8)</w:t>
      </w:r>
      <w:r w:rsidR="005853A9">
        <w:rPr>
          <w:kern w:val="0"/>
        </w:rPr>
        <w:t xml:space="preserve"> and </w:t>
      </w:r>
      <w:r>
        <w:rPr>
          <w:kern w:val="0"/>
        </w:rPr>
        <w:t>a specialized group (n = 10). Self-cited</w:t>
      </w:r>
      <w:r w:rsidR="005853A9">
        <w:rPr>
          <w:kern w:val="0"/>
        </w:rPr>
        <w:t xml:space="preserve"> and </w:t>
      </w:r>
      <w:r>
        <w:rPr>
          <w:kern w:val="0"/>
        </w:rPr>
        <w:t>self-citing rates, as well as citation densities</w:t>
      </w:r>
      <w:r w:rsidR="005853A9">
        <w:rPr>
          <w:kern w:val="0"/>
        </w:rPr>
        <w:t xml:space="preserve"> and </w:t>
      </w:r>
      <w:r>
        <w:rPr>
          <w:kern w:val="0"/>
        </w:rPr>
        <w:t>IFs corrected for self-citation (cIF), were calculated</w:t>
      </w:r>
      <w:r w:rsidR="00A37C1D">
        <w:rPr>
          <w:kern w:val="0"/>
        </w:rPr>
        <w:t>. The</w:t>
      </w:r>
      <w:r w:rsidR="003A1917">
        <w:rPr>
          <w:kern w:val="0"/>
        </w:rPr>
        <w:t xml:space="preserve"> </w:t>
      </w:r>
      <w:r>
        <w:rPr>
          <w:kern w:val="0"/>
        </w:rPr>
        <w:t>rankings</w:t>
      </w:r>
      <w:r w:rsidR="00427468">
        <w:rPr>
          <w:kern w:val="0"/>
        </w:rPr>
        <w:t xml:space="preserve"> of </w:t>
      </w:r>
      <w:r w:rsidR="003A1917">
        <w:rPr>
          <w:kern w:val="0"/>
        </w:rPr>
        <w:t xml:space="preserve">the </w:t>
      </w:r>
      <w:r>
        <w:rPr>
          <w:kern w:val="0"/>
        </w:rPr>
        <w:t>18 journals by IF</w:t>
      </w:r>
      <w:r w:rsidR="005853A9">
        <w:rPr>
          <w:kern w:val="0"/>
        </w:rPr>
        <w:t xml:space="preserve"> and </w:t>
      </w:r>
      <w:r>
        <w:rPr>
          <w:kern w:val="0"/>
        </w:rPr>
        <w:t>by SJR were compared</w:t>
      </w:r>
      <w:r w:rsidR="005853A9">
        <w:rPr>
          <w:kern w:val="0"/>
        </w:rPr>
        <w:t xml:space="preserve"> and </w:t>
      </w:r>
      <w:r w:rsidR="003A1917">
        <w:rPr>
          <w:kern w:val="0"/>
        </w:rPr>
        <w:t xml:space="preserve">the </w:t>
      </w:r>
      <w:r>
        <w:rPr>
          <w:kern w:val="0"/>
        </w:rPr>
        <w:t>absolute difference between these rankings (Delta R) was determined. Results: Specialized journals had higher self-citing rates (p = 0.01, Delta median = 9.50, 95%CI-19.42 to 0.42), higher self-cited rates (p = 0.0004, Delta median = -10.50, 95% CI-15.28 to -5.72)</w:t>
      </w:r>
      <w:r w:rsidR="005853A9">
        <w:rPr>
          <w:kern w:val="0"/>
        </w:rPr>
        <w:t xml:space="preserve"> and </w:t>
      </w:r>
      <w:r>
        <w:rPr>
          <w:kern w:val="0"/>
        </w:rPr>
        <w:t>greater differences between IF</w:t>
      </w:r>
      <w:r w:rsidR="005853A9">
        <w:rPr>
          <w:kern w:val="0"/>
        </w:rPr>
        <w:t xml:space="preserve"> and </w:t>
      </w:r>
      <w:r>
        <w:rPr>
          <w:kern w:val="0"/>
        </w:rPr>
        <w:t>cIF (p = 0.003, Delta median = 3.50, 95%CI -6.1 to 13.1)</w:t>
      </w:r>
      <w:r w:rsidR="00A37C1D">
        <w:rPr>
          <w:kern w:val="0"/>
        </w:rPr>
        <w:t>. The</w:t>
      </w:r>
      <w:r>
        <w:rPr>
          <w:kern w:val="0"/>
        </w:rPr>
        <w:t>re was no significant correlation between self-citing rate</w:t>
      </w:r>
      <w:r w:rsidR="005853A9">
        <w:rPr>
          <w:kern w:val="0"/>
        </w:rPr>
        <w:t xml:space="preserve"> and </w:t>
      </w:r>
      <w:r>
        <w:rPr>
          <w:kern w:val="0"/>
        </w:rPr>
        <w:t>IF for both groups (general: r = 0.46, p = 0.27; specialized: r = 0.21, p = 0.56). When</w:t>
      </w:r>
      <w:r w:rsidR="003A1917">
        <w:rPr>
          <w:kern w:val="0"/>
        </w:rPr>
        <w:t xml:space="preserve"> the </w:t>
      </w:r>
      <w:r>
        <w:rPr>
          <w:kern w:val="0"/>
        </w:rPr>
        <w:t>difference in ranking between IF</w:t>
      </w:r>
      <w:r w:rsidR="005853A9">
        <w:rPr>
          <w:kern w:val="0"/>
        </w:rPr>
        <w:t xml:space="preserve"> and </w:t>
      </w:r>
      <w:r>
        <w:rPr>
          <w:kern w:val="0"/>
        </w:rPr>
        <w:t xml:space="preserve">SJR was compared between both groups, sub-specialist journals were ranked lower compared to their general counterparts (Delta R: p = 0.006, Delta median = 2.0, 95% </w:t>
      </w:r>
      <w:r>
        <w:rPr>
          <w:kern w:val="0"/>
        </w:rPr>
        <w:lastRenderedPageBreak/>
        <w:t>CI -0.39 to 4.39). Conclusions: Citation analysis shows that specialized orthopaedic journals have specific self-citation tendencies</w:t>
      </w:r>
      <w:r w:rsidR="00A37C1D">
        <w:rPr>
          <w:kern w:val="0"/>
        </w:rPr>
        <w:t>. The</w:t>
      </w:r>
      <w:r w:rsidR="003A1917">
        <w:rPr>
          <w:kern w:val="0"/>
        </w:rPr>
        <w:t xml:space="preserve"> </w:t>
      </w:r>
      <w:r>
        <w:rPr>
          <w:kern w:val="0"/>
        </w:rPr>
        <w:t>correlation between self-cited rate</w:t>
      </w:r>
      <w:r w:rsidR="005853A9">
        <w:rPr>
          <w:kern w:val="0"/>
        </w:rPr>
        <w:t xml:space="preserve"> and </w:t>
      </w:r>
      <w:r>
        <w:rPr>
          <w:kern w:val="0"/>
        </w:rPr>
        <w:t>IF in our sample was large but, due to small sample size, not significant</w:t>
      </w:r>
      <w:r w:rsidR="00A37C1D">
        <w:rPr>
          <w:kern w:val="0"/>
        </w:rPr>
        <w:t>. The</w:t>
      </w:r>
      <w:r w:rsidR="003A1917">
        <w:rPr>
          <w:kern w:val="0"/>
        </w:rPr>
        <w:t xml:space="preserve"> </w:t>
      </w:r>
      <w:r>
        <w:rPr>
          <w:kern w:val="0"/>
        </w:rPr>
        <w:t>SJR excludes self-citations in its calculation</w:t>
      </w:r>
      <w:r w:rsidR="005853A9">
        <w:rPr>
          <w:kern w:val="0"/>
        </w:rPr>
        <w:t xml:space="preserve"> and </w:t>
      </w:r>
      <w:r>
        <w:rPr>
          <w:kern w:val="0"/>
        </w:rPr>
        <w:t>therefore enhances</w:t>
      </w:r>
      <w:r w:rsidR="003A1917">
        <w:rPr>
          <w:kern w:val="0"/>
        </w:rPr>
        <w:t xml:space="preserve"> the </w:t>
      </w:r>
      <w:r>
        <w:rPr>
          <w:kern w:val="0"/>
        </w:rPr>
        <w:t>underestimation in ranking</w:t>
      </w:r>
      <w:r w:rsidR="00427468">
        <w:rPr>
          <w:kern w:val="0"/>
        </w:rPr>
        <w:t xml:space="preserve"> of </w:t>
      </w:r>
      <w:r>
        <w:rPr>
          <w:kern w:val="0"/>
        </w:rPr>
        <w:t>specialized journals.</w:t>
      </w:r>
    </w:p>
    <w:p w:rsidR="000A30A9" w:rsidRDefault="000A30A9" w:rsidP="000A30A9">
      <w:pPr>
        <w:pStyle w:val="a3"/>
        <w:rPr>
          <w:kern w:val="0"/>
        </w:rPr>
      </w:pPr>
      <w:r>
        <w:rPr>
          <w:kern w:val="0"/>
        </w:rPr>
        <w:t>Keywords: Analysis, Citation, Citation Analysis, Citations, Impact Factor, Journals, Self-Citation, Self-Citations</w:t>
      </w:r>
    </w:p>
    <w:p w:rsidR="00B866F1" w:rsidRDefault="00B866F1" w:rsidP="00B866F1">
      <w:pPr>
        <w:pStyle w:val="a3"/>
        <w:rPr>
          <w:kern w:val="0"/>
        </w:rPr>
      </w:pPr>
      <w:r>
        <w:rPr>
          <w:rFonts w:hint="eastAsia"/>
          <w:kern w:val="0"/>
        </w:rPr>
        <w:t xml:space="preserve">? </w:t>
      </w:r>
      <w:r>
        <w:rPr>
          <w:kern w:val="0"/>
        </w:rPr>
        <w:t>Descatha, A., Jauffret, P., Chastang, J.F., Roquelaure, Y.</w:t>
      </w:r>
      <w:r w:rsidR="005853A9">
        <w:rPr>
          <w:kern w:val="0"/>
        </w:rPr>
        <w:t xml:space="preserve"> and </w:t>
      </w:r>
      <w:r>
        <w:rPr>
          <w:kern w:val="0"/>
        </w:rPr>
        <w:t>Leclerc, A. (2011), Should we consider Dupuytren</w:t>
      </w:r>
      <w:r w:rsidR="00700038">
        <w:rPr>
          <w:kern w:val="0"/>
        </w:rPr>
        <w:t>’</w:t>
      </w:r>
      <w:r w:rsidR="00C13DDC">
        <w:rPr>
          <w:kern w:val="0"/>
        </w:rPr>
        <w:t>s</w:t>
      </w:r>
      <w:r>
        <w:rPr>
          <w:kern w:val="0"/>
        </w:rPr>
        <w:t xml:space="preserve"> contracture as work-related? A review</w:t>
      </w:r>
      <w:r w:rsidR="005853A9">
        <w:rPr>
          <w:kern w:val="0"/>
        </w:rPr>
        <w:t xml:space="preserve"> and </w:t>
      </w:r>
      <w:r>
        <w:rPr>
          <w:kern w:val="0"/>
        </w:rPr>
        <w:t>meta-analysis</w:t>
      </w:r>
      <w:r w:rsidR="00427468">
        <w:rPr>
          <w:kern w:val="0"/>
        </w:rPr>
        <w:t xml:space="preserve"> of </w:t>
      </w:r>
      <w:r>
        <w:rPr>
          <w:kern w:val="0"/>
        </w:rPr>
        <w:t xml:space="preserve">an old debate. </w:t>
      </w:r>
      <w:r>
        <w:rPr>
          <w:i/>
          <w:iCs/>
          <w:kern w:val="0"/>
        </w:rPr>
        <w:t>BMC Musculoskeletal Disorders</w:t>
      </w:r>
      <w:r>
        <w:rPr>
          <w:kern w:val="0"/>
        </w:rPr>
        <w:t xml:space="preserve">, </w:t>
      </w:r>
      <w:r>
        <w:rPr>
          <w:b/>
          <w:bCs/>
          <w:kern w:val="0"/>
        </w:rPr>
        <w:t>12</w:t>
      </w:r>
      <w:r>
        <w:rPr>
          <w:rFonts w:hint="eastAsia"/>
          <w:kern w:val="0"/>
        </w:rPr>
        <w:t xml:space="preserve">, </w:t>
      </w:r>
      <w:r>
        <w:t>Article Number: 96</w:t>
      </w:r>
      <w:r>
        <w:rPr>
          <w:rFonts w:hint="eastAsia"/>
        </w:rPr>
        <w:t>.</w:t>
      </w:r>
    </w:p>
    <w:p w:rsidR="00B866F1" w:rsidRDefault="00B866F1" w:rsidP="00B866F1">
      <w:pPr>
        <w:pStyle w:val="a3"/>
        <w:rPr>
          <w:kern w:val="0"/>
        </w:rPr>
      </w:pPr>
      <w:r>
        <w:rPr>
          <w:rFonts w:hint="eastAsia"/>
          <w:kern w:val="0"/>
        </w:rPr>
        <w:t xml:space="preserve">Full Text: </w:t>
      </w:r>
      <w:hyperlink r:id="rId1656" w:history="1">
        <w:r w:rsidRPr="00364C11">
          <w:rPr>
            <w:rStyle w:val="a5"/>
            <w:kern w:val="0"/>
          </w:rPr>
          <w:t>2011\BMC Mus Dis, 12, 96.pdf</w:t>
        </w:r>
      </w:hyperlink>
    </w:p>
    <w:p w:rsidR="00B866F1" w:rsidRDefault="00B866F1" w:rsidP="00B866F1">
      <w:pPr>
        <w:pStyle w:val="a3"/>
        <w:rPr>
          <w:kern w:val="0"/>
        </w:rPr>
      </w:pPr>
      <w:r>
        <w:rPr>
          <w:kern w:val="0"/>
        </w:rPr>
        <w:t>Abstract: Background: In view</w:t>
      </w:r>
      <w:r w:rsidR="00427468">
        <w:rPr>
          <w:kern w:val="0"/>
        </w:rPr>
        <w:t xml:space="preserve"> of </w:t>
      </w:r>
      <w:r w:rsidR="003A1917">
        <w:rPr>
          <w:kern w:val="0"/>
        </w:rPr>
        <w:t xml:space="preserve">the </w:t>
      </w:r>
      <w:r>
        <w:rPr>
          <w:kern w:val="0"/>
        </w:rPr>
        <w:t>conflicting opinions published, a meta-analysis was undertaken on epidemiological studies in order to assess any association between Dupuytren</w:t>
      </w:r>
      <w:r w:rsidR="00700038">
        <w:rPr>
          <w:kern w:val="0"/>
        </w:rPr>
        <w:t>’</w:t>
      </w:r>
      <w:r w:rsidR="00C13DDC">
        <w:rPr>
          <w:kern w:val="0"/>
        </w:rPr>
        <w:t>s</w:t>
      </w:r>
      <w:r>
        <w:rPr>
          <w:kern w:val="0"/>
        </w:rPr>
        <w:t xml:space="preserve"> contracture</w:t>
      </w:r>
      <w:r w:rsidR="005853A9">
        <w:rPr>
          <w:kern w:val="0"/>
        </w:rPr>
        <w:t xml:space="preserve"> and </w:t>
      </w:r>
      <w:r>
        <w:rPr>
          <w:kern w:val="0"/>
        </w:rPr>
        <w:t>work exposure. Methods: Using</w:t>
      </w:r>
      <w:r w:rsidR="003A1917">
        <w:rPr>
          <w:kern w:val="0"/>
        </w:rPr>
        <w:t xml:space="preserve"> the </w:t>
      </w:r>
      <w:r>
        <w:rPr>
          <w:kern w:val="0"/>
        </w:rPr>
        <w:t xml:space="preserve">key words: </w:t>
      </w:r>
      <w:r w:rsidR="00B5188C">
        <w:rPr>
          <w:kern w:val="0"/>
        </w:rPr>
        <w:t>“</w:t>
      </w:r>
      <w:r>
        <w:rPr>
          <w:kern w:val="0"/>
        </w:rPr>
        <w:t>occupational disease</w:t>
      </w:r>
      <w:r w:rsidR="00B5188C">
        <w:rPr>
          <w:kern w:val="0"/>
        </w:rPr>
        <w:t>”</w:t>
      </w:r>
      <w:r>
        <w:rPr>
          <w:kern w:val="0"/>
        </w:rPr>
        <w:t xml:space="preserve">, </w:t>
      </w:r>
      <w:r w:rsidR="00B5188C">
        <w:rPr>
          <w:kern w:val="0"/>
        </w:rPr>
        <w:t>“</w:t>
      </w:r>
      <w:r>
        <w:rPr>
          <w:kern w:val="0"/>
        </w:rPr>
        <w:t>work</w:t>
      </w:r>
      <w:r w:rsidR="00B5188C">
        <w:rPr>
          <w:kern w:val="0"/>
        </w:rPr>
        <w:t>”</w:t>
      </w:r>
      <w:r w:rsidR="005853A9">
        <w:rPr>
          <w:kern w:val="0"/>
        </w:rPr>
        <w:t xml:space="preserve"> and </w:t>
      </w:r>
      <w:r w:rsidR="00B5188C">
        <w:rPr>
          <w:kern w:val="0"/>
        </w:rPr>
        <w:t>“</w:t>
      </w:r>
      <w:r>
        <w:rPr>
          <w:kern w:val="0"/>
        </w:rPr>
        <w:t>Dupuytren contracture</w:t>
      </w:r>
      <w:r w:rsidR="00B5188C">
        <w:rPr>
          <w:kern w:val="0"/>
        </w:rPr>
        <w:t>”</w:t>
      </w:r>
      <w:r>
        <w:rPr>
          <w:kern w:val="0"/>
        </w:rPr>
        <w:t xml:space="preserve"> without limitation on language or year</w:t>
      </w:r>
      <w:r w:rsidR="00427468">
        <w:rPr>
          <w:kern w:val="0"/>
        </w:rPr>
        <w:t xml:space="preserve"> of </w:t>
      </w:r>
      <w:r>
        <w:rPr>
          <w:kern w:val="0"/>
        </w:rPr>
        <w:t xml:space="preserve">publication, epidemiological studies were selected from four databases (Pub-Med, EMBASE, </w:t>
      </w:r>
      <w:r w:rsidR="00D5664A">
        <w:rPr>
          <w:kern w:val="0"/>
        </w:rPr>
        <w:t>Web</w:t>
      </w:r>
      <w:r w:rsidR="00427468">
        <w:rPr>
          <w:kern w:val="0"/>
        </w:rPr>
        <w:t xml:space="preserve"> of </w:t>
      </w:r>
      <w:r w:rsidR="00D5664A">
        <w:rPr>
          <w:kern w:val="0"/>
        </w:rPr>
        <w:t>Science</w:t>
      </w:r>
      <w:r>
        <w:rPr>
          <w:kern w:val="0"/>
        </w:rPr>
        <w:t>, BDSP) after two rounds (valid control group, valid work exposure). A quality assessment list was constructed</w:t>
      </w:r>
      <w:r w:rsidR="005853A9">
        <w:rPr>
          <w:kern w:val="0"/>
        </w:rPr>
        <w:t xml:space="preserve"> and </w:t>
      </w:r>
      <w:r>
        <w:rPr>
          <w:kern w:val="0"/>
        </w:rPr>
        <w:t>used to isolate papers with high quality methodological criteria (scores</w:t>
      </w:r>
      <w:r w:rsidR="00427468">
        <w:rPr>
          <w:kern w:val="0"/>
        </w:rPr>
        <w:t xml:space="preserve"> of </w:t>
      </w:r>
      <w:r>
        <w:rPr>
          <w:kern w:val="0"/>
        </w:rPr>
        <w:t>13 or above, HQMC). Relevant associations between manual work, vibration exposure (at work)</w:t>
      </w:r>
      <w:r w:rsidR="005853A9">
        <w:rPr>
          <w:kern w:val="0"/>
        </w:rPr>
        <w:t xml:space="preserve"> and </w:t>
      </w:r>
      <w:r>
        <w:rPr>
          <w:kern w:val="0"/>
        </w:rPr>
        <w:t>Dupuytren</w:t>
      </w:r>
      <w:r w:rsidR="00700038">
        <w:rPr>
          <w:kern w:val="0"/>
        </w:rPr>
        <w:t>’</w:t>
      </w:r>
      <w:r w:rsidR="00C13DDC">
        <w:rPr>
          <w:kern w:val="0"/>
        </w:rPr>
        <w:t>s</w:t>
      </w:r>
      <w:r>
        <w:rPr>
          <w:kern w:val="0"/>
        </w:rPr>
        <w:t xml:space="preserve"> contracture were extracted from</w:t>
      </w:r>
      <w:r w:rsidR="003A1917">
        <w:rPr>
          <w:kern w:val="0"/>
        </w:rPr>
        <w:t xml:space="preserve"> the </w:t>
      </w:r>
      <w:r>
        <w:rPr>
          <w:kern w:val="0"/>
        </w:rPr>
        <w:t>articles</w:t>
      </w:r>
      <w:r w:rsidR="005853A9">
        <w:rPr>
          <w:kern w:val="0"/>
        </w:rPr>
        <w:t xml:space="preserve"> and </w:t>
      </w:r>
      <w:r>
        <w:rPr>
          <w:kern w:val="0"/>
        </w:rPr>
        <w:t>a metarisk calculated using</w:t>
      </w:r>
      <w:r w:rsidR="003A1917">
        <w:rPr>
          <w:kern w:val="0"/>
        </w:rPr>
        <w:t xml:space="preserve"> the </w:t>
      </w:r>
      <w:r>
        <w:rPr>
          <w:kern w:val="0"/>
        </w:rPr>
        <w:t>generic variance approach (meta-odds ratios, meta-OR). Results: From 1951 to 2007, 14 epidemiological studies (including 2 cohort studies, 3 case-control studies,</w:t>
      </w:r>
      <w:r w:rsidR="005853A9">
        <w:rPr>
          <w:kern w:val="0"/>
        </w:rPr>
        <w:t xml:space="preserve"> and </w:t>
      </w:r>
      <w:r>
        <w:rPr>
          <w:kern w:val="0"/>
        </w:rPr>
        <w:t>9 cross-sectional studies/population surveys) were included. Two different results could be extracted from five studies (based on different types</w:t>
      </w:r>
      <w:r w:rsidR="00427468">
        <w:rPr>
          <w:kern w:val="0"/>
        </w:rPr>
        <w:t xml:space="preserve"> of </w:t>
      </w:r>
      <w:r>
        <w:rPr>
          <w:kern w:val="0"/>
        </w:rPr>
        <w:t>exposure), leading to 19 results, 12 for manual work (9 studies),</w:t>
      </w:r>
      <w:r w:rsidR="005853A9">
        <w:rPr>
          <w:kern w:val="0"/>
        </w:rPr>
        <w:t xml:space="preserve"> and </w:t>
      </w:r>
      <w:r>
        <w:rPr>
          <w:kern w:val="0"/>
        </w:rPr>
        <w:t>7 for vibration exposure (5 studies). Six studies met</w:t>
      </w:r>
      <w:r w:rsidR="003A1917">
        <w:rPr>
          <w:kern w:val="0"/>
        </w:rPr>
        <w:t xml:space="preserve"> the </w:t>
      </w:r>
      <w:r>
        <w:rPr>
          <w:kern w:val="0"/>
        </w:rPr>
        <w:t>HQMC, yielding 9 results, 5 for manual work</w:t>
      </w:r>
      <w:r w:rsidR="005853A9">
        <w:rPr>
          <w:kern w:val="0"/>
        </w:rPr>
        <w:t xml:space="preserve"> and </w:t>
      </w:r>
      <w:r>
        <w:rPr>
          <w:kern w:val="0"/>
        </w:rPr>
        <w:t>4 for vibration exposure. Five studies found a dose-response relationship</w:t>
      </w:r>
      <w:r w:rsidR="00A37C1D">
        <w:rPr>
          <w:kern w:val="0"/>
        </w:rPr>
        <w:t>. The</w:t>
      </w:r>
      <w:r w:rsidR="003A1917">
        <w:rPr>
          <w:kern w:val="0"/>
        </w:rPr>
        <w:t xml:space="preserve"> </w:t>
      </w:r>
      <w:r>
        <w:rPr>
          <w:kern w:val="0"/>
        </w:rPr>
        <w:t>meta-OR for manual work was 2.02[1.57;2.60] (HQMC studies only: 2.01[1.51;2.66]),</w:t>
      </w:r>
      <w:r w:rsidR="005853A9">
        <w:rPr>
          <w:kern w:val="0"/>
        </w:rPr>
        <w:t xml:space="preserve"> and </w:t>
      </w:r>
      <w:r w:rsidR="003A1917">
        <w:rPr>
          <w:kern w:val="0"/>
        </w:rPr>
        <w:t xml:space="preserve">the </w:t>
      </w:r>
      <w:r>
        <w:rPr>
          <w:kern w:val="0"/>
        </w:rPr>
        <w:t>meta-OR for vibration exposure was 2.88 [1.36;6.07] (HQMC studies only: 2.14 [1.59;2.88]). Conclusion: These results support</w:t>
      </w:r>
      <w:r w:rsidR="003A1917">
        <w:rPr>
          <w:kern w:val="0"/>
        </w:rPr>
        <w:t xml:space="preserve"> the </w:t>
      </w:r>
      <w:r>
        <w:rPr>
          <w:kern w:val="0"/>
        </w:rPr>
        <w:t>hypothesis</w:t>
      </w:r>
      <w:r w:rsidR="00427468">
        <w:rPr>
          <w:kern w:val="0"/>
        </w:rPr>
        <w:t xml:space="preserve"> of </w:t>
      </w:r>
      <w:r>
        <w:rPr>
          <w:kern w:val="0"/>
        </w:rPr>
        <w:t>an association between high levels</w:t>
      </w:r>
      <w:r w:rsidR="00427468">
        <w:rPr>
          <w:kern w:val="0"/>
        </w:rPr>
        <w:t xml:space="preserve"> of </w:t>
      </w:r>
      <w:r>
        <w:rPr>
          <w:kern w:val="0"/>
        </w:rPr>
        <w:t>work exposure (manual work</w:t>
      </w:r>
      <w:r w:rsidR="005853A9">
        <w:rPr>
          <w:kern w:val="0"/>
        </w:rPr>
        <w:t xml:space="preserve"> and </w:t>
      </w:r>
      <w:r>
        <w:rPr>
          <w:kern w:val="0"/>
        </w:rPr>
        <w:t>vibration exposure)</w:t>
      </w:r>
      <w:r w:rsidR="005853A9">
        <w:rPr>
          <w:kern w:val="0"/>
        </w:rPr>
        <w:t xml:space="preserve"> and </w:t>
      </w:r>
      <w:r>
        <w:rPr>
          <w:kern w:val="0"/>
        </w:rPr>
        <w:t>Dupuytren</w:t>
      </w:r>
      <w:r w:rsidR="00700038">
        <w:rPr>
          <w:kern w:val="0"/>
        </w:rPr>
        <w:t>’</w:t>
      </w:r>
      <w:r w:rsidR="00C13DDC">
        <w:rPr>
          <w:kern w:val="0"/>
        </w:rPr>
        <w:t>s</w:t>
      </w:r>
      <w:r>
        <w:rPr>
          <w:kern w:val="0"/>
        </w:rPr>
        <w:t xml:space="preserve"> contracture in certain cases.</w:t>
      </w:r>
    </w:p>
    <w:p w:rsidR="00B866F1" w:rsidRDefault="00B866F1" w:rsidP="00B866F1">
      <w:pPr>
        <w:pStyle w:val="a3"/>
        <w:rPr>
          <w:kern w:val="0"/>
        </w:rPr>
      </w:pPr>
      <w:r>
        <w:rPr>
          <w:kern w:val="0"/>
        </w:rPr>
        <w:t xml:space="preserve">Keywords: Alcohol, Assessment, Associations, Case-Control Studies, Cohort Studies, Control, Databases, Disease, Disorders, Dose-Response, Dupuytren Contracture, Epidemiology, Hand, Meta-Analysis, Methods, Observational Studies, Occupation, Occupational, Papers, Prevalence, Pub Med, Publication, </w:t>
      </w:r>
      <w:r w:rsidR="002C12F0">
        <w:rPr>
          <w:kern w:val="0"/>
        </w:rPr>
        <w:t>PUBMED</w:t>
      </w:r>
      <w:r>
        <w:rPr>
          <w:kern w:val="0"/>
        </w:rPr>
        <w:t xml:space="preserve">, Review, Science, Vibration, </w:t>
      </w:r>
      <w:r w:rsidR="00D5664A">
        <w:rPr>
          <w:kern w:val="0"/>
        </w:rPr>
        <w:t>Web</w:t>
      </w:r>
      <w:r w:rsidR="00427468">
        <w:rPr>
          <w:kern w:val="0"/>
        </w:rPr>
        <w:t xml:space="preserve"> of </w:t>
      </w:r>
      <w:r w:rsidR="00D5664A">
        <w:rPr>
          <w:kern w:val="0"/>
        </w:rPr>
        <w:t>Science</w:t>
      </w:r>
      <w:r>
        <w:rPr>
          <w:kern w:val="0"/>
        </w:rPr>
        <w:t>, White Finger</w:t>
      </w:r>
    </w:p>
    <w:p w:rsidR="00B866F1" w:rsidRDefault="00B866F1" w:rsidP="00B866F1">
      <w:pPr>
        <w:pStyle w:val="a3"/>
        <w:rPr>
          <w:kern w:val="0"/>
        </w:rPr>
      </w:pPr>
      <w:r>
        <w:rPr>
          <w:rFonts w:hint="eastAsia"/>
          <w:kern w:val="0"/>
        </w:rPr>
        <w:lastRenderedPageBreak/>
        <w:t xml:space="preserve">? </w:t>
      </w:r>
      <w:r>
        <w:rPr>
          <w:kern w:val="0"/>
        </w:rPr>
        <w:t>Tijssen, M., van Cingel, R., van Melick, N.</w:t>
      </w:r>
      <w:r w:rsidR="005853A9">
        <w:rPr>
          <w:kern w:val="0"/>
        </w:rPr>
        <w:t xml:space="preserve"> and </w:t>
      </w:r>
      <w:r>
        <w:rPr>
          <w:kern w:val="0"/>
        </w:rPr>
        <w:t>de Visser, E. (2011), Patient-Reported Outcome questionnaires for hip arthroscopy: A systematic review</w:t>
      </w:r>
      <w:r w:rsidR="00427468">
        <w:rPr>
          <w:kern w:val="0"/>
        </w:rPr>
        <w:t xml:space="preserve"> of </w:t>
      </w:r>
      <w:r w:rsidR="003A1917">
        <w:rPr>
          <w:kern w:val="0"/>
        </w:rPr>
        <w:t xml:space="preserve">the </w:t>
      </w:r>
      <w:r>
        <w:rPr>
          <w:kern w:val="0"/>
        </w:rPr>
        <w:t xml:space="preserve">psychometric evidence. </w:t>
      </w:r>
      <w:r>
        <w:rPr>
          <w:i/>
          <w:iCs/>
          <w:kern w:val="0"/>
        </w:rPr>
        <w:t>BMC Musculoskeletal Disorders</w:t>
      </w:r>
      <w:r>
        <w:rPr>
          <w:kern w:val="0"/>
        </w:rPr>
        <w:t xml:space="preserve">, </w:t>
      </w:r>
      <w:r>
        <w:rPr>
          <w:b/>
          <w:bCs/>
          <w:kern w:val="0"/>
        </w:rPr>
        <w:t>12</w:t>
      </w:r>
      <w:r>
        <w:rPr>
          <w:rFonts w:hint="eastAsia"/>
          <w:kern w:val="0"/>
        </w:rPr>
        <w:t xml:space="preserve">, </w:t>
      </w:r>
      <w:r>
        <w:t>Article Number: 117</w:t>
      </w:r>
      <w:r>
        <w:rPr>
          <w:rFonts w:hint="eastAsia"/>
        </w:rPr>
        <w:t>.</w:t>
      </w:r>
    </w:p>
    <w:p w:rsidR="00B866F1" w:rsidRDefault="00B866F1" w:rsidP="00B866F1">
      <w:pPr>
        <w:pStyle w:val="a3"/>
        <w:rPr>
          <w:kern w:val="0"/>
        </w:rPr>
      </w:pPr>
      <w:r>
        <w:rPr>
          <w:rFonts w:hint="eastAsia"/>
          <w:kern w:val="0"/>
        </w:rPr>
        <w:t xml:space="preserve">Full Text: </w:t>
      </w:r>
      <w:hyperlink r:id="rId1657" w:history="1">
        <w:r w:rsidRPr="00364C11">
          <w:rPr>
            <w:rStyle w:val="a5"/>
            <w:kern w:val="0"/>
          </w:rPr>
          <w:t>2011\BMC Mus Dis, 12, 117.pdf</w:t>
        </w:r>
      </w:hyperlink>
    </w:p>
    <w:p w:rsidR="00B866F1" w:rsidRDefault="00B866F1" w:rsidP="00B866F1">
      <w:pPr>
        <w:pStyle w:val="a3"/>
        <w:rPr>
          <w:kern w:val="0"/>
        </w:rPr>
      </w:pPr>
      <w:r>
        <w:rPr>
          <w:kern w:val="0"/>
        </w:rPr>
        <w:t>Abstract: Background: Hip arthroscopies are often used in</w:t>
      </w:r>
      <w:r w:rsidR="003A1917">
        <w:rPr>
          <w:kern w:val="0"/>
        </w:rPr>
        <w:t xml:space="preserve"> the </w:t>
      </w:r>
      <w:r>
        <w:rPr>
          <w:kern w:val="0"/>
        </w:rPr>
        <w:t>treatment</w:t>
      </w:r>
      <w:r w:rsidR="00427468">
        <w:rPr>
          <w:kern w:val="0"/>
        </w:rPr>
        <w:t xml:space="preserve"> of </w:t>
      </w:r>
      <w:r>
        <w:rPr>
          <w:kern w:val="0"/>
        </w:rPr>
        <w:t>intra-articular hip injuries. Patient-reported outcomes (PRO) are an important parameter in evaluating treatment. It is unclear which PRO questionnaires are specifically available for hip arthroscopy patients</w:t>
      </w:r>
      <w:r w:rsidR="00A37C1D">
        <w:rPr>
          <w:kern w:val="0"/>
        </w:rPr>
        <w:t>. The</w:t>
      </w:r>
      <w:r w:rsidR="003A1917">
        <w:rPr>
          <w:kern w:val="0"/>
        </w:rPr>
        <w:t xml:space="preserve"> </w:t>
      </w:r>
      <w:r>
        <w:rPr>
          <w:kern w:val="0"/>
        </w:rPr>
        <w:t>aim</w:t>
      </w:r>
      <w:r w:rsidR="00427468">
        <w:rPr>
          <w:kern w:val="0"/>
        </w:rPr>
        <w:t xml:space="preserve"> of </w:t>
      </w:r>
      <w:r>
        <w:rPr>
          <w:kern w:val="0"/>
        </w:rPr>
        <w:t>this systematic review was to investigate which PRO questionnaires are valid</w:t>
      </w:r>
      <w:r w:rsidR="005853A9">
        <w:rPr>
          <w:kern w:val="0"/>
        </w:rPr>
        <w:t xml:space="preserve"> and </w:t>
      </w:r>
      <w:r>
        <w:rPr>
          <w:kern w:val="0"/>
        </w:rPr>
        <w:t>reliable in</w:t>
      </w:r>
      <w:r w:rsidR="003A1917">
        <w:rPr>
          <w:kern w:val="0"/>
        </w:rPr>
        <w:t xml:space="preserve"> the </w:t>
      </w:r>
      <w:r>
        <w:rPr>
          <w:kern w:val="0"/>
        </w:rPr>
        <w:t>evaluation</w:t>
      </w:r>
      <w:r w:rsidR="00427468">
        <w:rPr>
          <w:kern w:val="0"/>
        </w:rPr>
        <w:t xml:space="preserve"> of </w:t>
      </w:r>
      <w:r>
        <w:rPr>
          <w:kern w:val="0"/>
        </w:rPr>
        <w:t xml:space="preserve">patients undergoing hip arthroscopy. Methods: A search was conducted in </w:t>
      </w:r>
      <w:r w:rsidR="002C12F0">
        <w:rPr>
          <w:kern w:val="0"/>
        </w:rPr>
        <w:t>PUBMED</w:t>
      </w:r>
      <w:r>
        <w:rPr>
          <w:kern w:val="0"/>
        </w:rPr>
        <w:t xml:space="preserve">, </w:t>
      </w:r>
      <w:r w:rsidR="00D5664A">
        <w:rPr>
          <w:kern w:val="0"/>
        </w:rPr>
        <w:t>MEDLINE</w:t>
      </w:r>
      <w:r>
        <w:rPr>
          <w:kern w:val="0"/>
        </w:rPr>
        <w:t>, CINAHL,</w:t>
      </w:r>
      <w:r w:rsidR="003A1917">
        <w:rPr>
          <w:kern w:val="0"/>
        </w:rPr>
        <w:t xml:space="preserve"> the </w:t>
      </w:r>
      <w:r>
        <w:rPr>
          <w:kern w:val="0"/>
        </w:rPr>
        <w:t>Cochrane Library, Pedro,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1931 to October 2010. Studies assessing</w:t>
      </w:r>
      <w:r w:rsidR="003A1917">
        <w:rPr>
          <w:kern w:val="0"/>
        </w:rPr>
        <w:t xml:space="preserve"> the </w:t>
      </w:r>
      <w:r>
        <w:rPr>
          <w:kern w:val="0"/>
        </w:rPr>
        <w:t>quality</w:t>
      </w:r>
      <w:r w:rsidR="00427468">
        <w:rPr>
          <w:kern w:val="0"/>
        </w:rPr>
        <w:t xml:space="preserve"> of </w:t>
      </w:r>
      <w:r>
        <w:rPr>
          <w:kern w:val="0"/>
        </w:rPr>
        <w:t>PRO questionnaires in</w:t>
      </w:r>
      <w:r w:rsidR="003A1917">
        <w:rPr>
          <w:kern w:val="0"/>
        </w:rPr>
        <w:t xml:space="preserve"> the </w:t>
      </w:r>
      <w:r>
        <w:rPr>
          <w:kern w:val="0"/>
        </w:rPr>
        <w:t>evaluation</w:t>
      </w:r>
      <w:r w:rsidR="00427468">
        <w:rPr>
          <w:kern w:val="0"/>
        </w:rPr>
        <w:t xml:space="preserve"> of </w:t>
      </w:r>
      <w:r>
        <w:rPr>
          <w:kern w:val="0"/>
        </w:rPr>
        <w:t>patients undergoing hip arthroscopy were included</w:t>
      </w:r>
      <w:r w:rsidR="00A37C1D">
        <w:rPr>
          <w:kern w:val="0"/>
        </w:rPr>
        <w:t>. The</w:t>
      </w:r>
      <w:r w:rsidR="003A1917">
        <w:rPr>
          <w:kern w:val="0"/>
        </w:rPr>
        <w:t xml:space="preserve"> </w:t>
      </w:r>
      <w:r>
        <w:rPr>
          <w:kern w:val="0"/>
        </w:rPr>
        <w:t>quality</w:t>
      </w:r>
      <w:r w:rsidR="00427468">
        <w:rPr>
          <w:kern w:val="0"/>
        </w:rPr>
        <w:t xml:space="preserve"> of </w:t>
      </w:r>
      <w:r w:rsidR="003A1917">
        <w:rPr>
          <w:kern w:val="0"/>
        </w:rPr>
        <w:t xml:space="preserve">the </w:t>
      </w:r>
      <w:r>
        <w:rPr>
          <w:kern w:val="0"/>
        </w:rPr>
        <w:t>questionnaires was evaluated by</w:t>
      </w:r>
      <w:r w:rsidR="003A1917">
        <w:rPr>
          <w:kern w:val="0"/>
        </w:rPr>
        <w:t xml:space="preserve"> the </w:t>
      </w:r>
      <w:r>
        <w:rPr>
          <w:kern w:val="0"/>
        </w:rPr>
        <w:t>psychometric properties</w:t>
      </w:r>
      <w:r w:rsidR="00427468">
        <w:rPr>
          <w:kern w:val="0"/>
        </w:rPr>
        <w:t xml:space="preserve"> of </w:t>
      </w:r>
      <w:r w:rsidR="003A1917">
        <w:rPr>
          <w:kern w:val="0"/>
        </w:rPr>
        <w:t xml:space="preserve">the </w:t>
      </w:r>
      <w:r>
        <w:rPr>
          <w:kern w:val="0"/>
        </w:rPr>
        <w:t>outcome measures</w:t>
      </w:r>
      <w:r w:rsidR="00A37C1D">
        <w:rPr>
          <w:kern w:val="0"/>
        </w:rPr>
        <w:t>. The</w:t>
      </w:r>
      <w:r w:rsidR="003A1917">
        <w:rPr>
          <w:kern w:val="0"/>
        </w:rPr>
        <w:t xml:space="preserve"> </w:t>
      </w:r>
      <w:r>
        <w:rPr>
          <w:kern w:val="0"/>
        </w:rPr>
        <w:t>quality</w:t>
      </w:r>
      <w:r w:rsidR="00427468">
        <w:rPr>
          <w:kern w:val="0"/>
        </w:rPr>
        <w:t xml:space="preserve"> of </w:t>
      </w:r>
      <w:r w:rsidR="003A1917">
        <w:rPr>
          <w:kern w:val="0"/>
        </w:rPr>
        <w:t xml:space="preserve">the </w:t>
      </w:r>
      <w:r>
        <w:rPr>
          <w:kern w:val="0"/>
        </w:rPr>
        <w:t>articles investigating</w:t>
      </w:r>
      <w:r w:rsidR="003A1917">
        <w:rPr>
          <w:kern w:val="0"/>
        </w:rPr>
        <w:t xml:space="preserve"> the </w:t>
      </w:r>
      <w:r>
        <w:rPr>
          <w:kern w:val="0"/>
        </w:rPr>
        <w:t>questionnaires was assessed by</w:t>
      </w:r>
      <w:r w:rsidR="003A1917">
        <w:rPr>
          <w:kern w:val="0"/>
        </w:rPr>
        <w:t xml:space="preserve"> the </w:t>
      </w:r>
      <w:r>
        <w:rPr>
          <w:kern w:val="0"/>
        </w:rPr>
        <w:t>COSMIN list. Results: Five articles identified three questionnaires;</w:t>
      </w:r>
      <w:r w:rsidR="003A1917">
        <w:rPr>
          <w:kern w:val="0"/>
        </w:rPr>
        <w:t xml:space="preserve"> the </w:t>
      </w:r>
      <w:r>
        <w:rPr>
          <w:kern w:val="0"/>
        </w:rPr>
        <w:t>Modified Harris Hip Score (MHHS</w:t>
      </w:r>
      <w:r w:rsidR="00F42EAC">
        <w:rPr>
          <w:kern w:val="0"/>
        </w:rPr>
        <w:t>), The</w:t>
      </w:r>
      <w:r w:rsidR="003A1917">
        <w:rPr>
          <w:kern w:val="0"/>
        </w:rPr>
        <w:t xml:space="preserve"> </w:t>
      </w:r>
      <w:r>
        <w:rPr>
          <w:kern w:val="0"/>
        </w:rPr>
        <w:t>Nonarthritic Hip Score (NAHS)</w:t>
      </w:r>
      <w:r w:rsidR="005853A9">
        <w:rPr>
          <w:kern w:val="0"/>
        </w:rPr>
        <w:t xml:space="preserve"> and </w:t>
      </w:r>
      <w:r w:rsidR="003A1917">
        <w:rPr>
          <w:kern w:val="0"/>
        </w:rPr>
        <w:t xml:space="preserve">the </w:t>
      </w:r>
      <w:r>
        <w:rPr>
          <w:kern w:val="0"/>
        </w:rPr>
        <w:t>Hip Outcome Score (HOS)</w:t>
      </w:r>
      <w:r w:rsidR="00A37C1D">
        <w:rPr>
          <w:kern w:val="0"/>
        </w:rPr>
        <w:t>. The</w:t>
      </w:r>
      <w:r w:rsidR="003A1917">
        <w:rPr>
          <w:kern w:val="0"/>
        </w:rPr>
        <w:t xml:space="preserve"> </w:t>
      </w:r>
      <w:r>
        <w:rPr>
          <w:kern w:val="0"/>
        </w:rPr>
        <w:t>NAHS scored best on</w:t>
      </w:r>
      <w:r w:rsidR="003A1917">
        <w:rPr>
          <w:kern w:val="0"/>
        </w:rPr>
        <w:t xml:space="preserve"> the </w:t>
      </w:r>
      <w:r>
        <w:rPr>
          <w:kern w:val="0"/>
        </w:rPr>
        <w:t>content validity, whereas</w:t>
      </w:r>
      <w:r w:rsidR="003A1917">
        <w:rPr>
          <w:kern w:val="0"/>
        </w:rPr>
        <w:t xml:space="preserve"> the </w:t>
      </w:r>
      <w:r>
        <w:rPr>
          <w:kern w:val="0"/>
        </w:rPr>
        <w:t>HOS scored best on agreement, internal consistency, reliability</w:t>
      </w:r>
      <w:r w:rsidR="005853A9">
        <w:rPr>
          <w:kern w:val="0"/>
        </w:rPr>
        <w:t xml:space="preserve"> and </w:t>
      </w:r>
      <w:r>
        <w:rPr>
          <w:kern w:val="0"/>
        </w:rPr>
        <w:t>responsiveness</w:t>
      </w:r>
      <w:r w:rsidR="00A37C1D">
        <w:rPr>
          <w:kern w:val="0"/>
        </w:rPr>
        <w:t>. The</w:t>
      </w:r>
      <w:r w:rsidR="003A1917">
        <w:rPr>
          <w:kern w:val="0"/>
        </w:rPr>
        <w:t xml:space="preserve"> </w:t>
      </w:r>
      <w:r>
        <w:rPr>
          <w:kern w:val="0"/>
        </w:rPr>
        <w:t>quality</w:t>
      </w:r>
      <w:r w:rsidR="00427468">
        <w:rPr>
          <w:kern w:val="0"/>
        </w:rPr>
        <w:t xml:space="preserve"> of </w:t>
      </w:r>
      <w:r w:rsidR="003A1917">
        <w:rPr>
          <w:kern w:val="0"/>
        </w:rPr>
        <w:t xml:space="preserve">the </w:t>
      </w:r>
      <w:r>
        <w:rPr>
          <w:kern w:val="0"/>
        </w:rPr>
        <w:t>articles describing</w:t>
      </w:r>
      <w:r w:rsidR="003A1917">
        <w:rPr>
          <w:kern w:val="0"/>
        </w:rPr>
        <w:t xml:space="preserve"> the </w:t>
      </w:r>
      <w:r>
        <w:rPr>
          <w:kern w:val="0"/>
        </w:rPr>
        <w:t>HOS scored highest</w:t>
      </w:r>
      <w:r w:rsidR="00A37C1D">
        <w:rPr>
          <w:kern w:val="0"/>
        </w:rPr>
        <w:t>. The</w:t>
      </w:r>
      <w:r w:rsidR="003A1917">
        <w:rPr>
          <w:kern w:val="0"/>
        </w:rPr>
        <w:t xml:space="preserve"> </w:t>
      </w:r>
      <w:r>
        <w:rPr>
          <w:kern w:val="0"/>
        </w:rPr>
        <w:t>NAHS is</w:t>
      </w:r>
      <w:r w:rsidR="003A1917">
        <w:rPr>
          <w:kern w:val="0"/>
        </w:rPr>
        <w:t xml:space="preserve"> the </w:t>
      </w:r>
      <w:r>
        <w:rPr>
          <w:kern w:val="0"/>
        </w:rPr>
        <w:t>best quality questionnaire</w:t>
      </w:r>
      <w:r w:rsidR="00A37C1D">
        <w:rPr>
          <w:kern w:val="0"/>
        </w:rPr>
        <w:t>. The</w:t>
      </w:r>
      <w:r w:rsidR="003A1917">
        <w:rPr>
          <w:kern w:val="0"/>
        </w:rPr>
        <w:t xml:space="preserve"> </w:t>
      </w:r>
      <w:r>
        <w:rPr>
          <w:kern w:val="0"/>
        </w:rPr>
        <w:t>articles describing</w:t>
      </w:r>
      <w:r w:rsidR="003A1917">
        <w:rPr>
          <w:kern w:val="0"/>
        </w:rPr>
        <w:t xml:space="preserve"> the </w:t>
      </w:r>
      <w:r>
        <w:rPr>
          <w:kern w:val="0"/>
        </w:rPr>
        <w:t>HOS are</w:t>
      </w:r>
      <w:r w:rsidR="003A1917">
        <w:rPr>
          <w:kern w:val="0"/>
        </w:rPr>
        <w:t xml:space="preserve"> the </w:t>
      </w:r>
      <w:r>
        <w:rPr>
          <w:kern w:val="0"/>
        </w:rPr>
        <w:t>best quality articles. Conclusions: This systematic review shows that there is no conclusive evidence for</w:t>
      </w:r>
      <w:r w:rsidR="003A1917">
        <w:rPr>
          <w:kern w:val="0"/>
        </w:rPr>
        <w:t xml:space="preserve"> the </w:t>
      </w:r>
      <w:r>
        <w:rPr>
          <w:kern w:val="0"/>
        </w:rPr>
        <w:t>use</w:t>
      </w:r>
      <w:r w:rsidR="00427468">
        <w:rPr>
          <w:kern w:val="0"/>
        </w:rPr>
        <w:t xml:space="preserve"> of </w:t>
      </w:r>
      <w:r>
        <w:rPr>
          <w:kern w:val="0"/>
        </w:rPr>
        <w:t>a single patient-reported outcome questionnaire in</w:t>
      </w:r>
      <w:r w:rsidR="003A1917">
        <w:rPr>
          <w:kern w:val="0"/>
        </w:rPr>
        <w:t xml:space="preserve"> the </w:t>
      </w:r>
      <w:r>
        <w:rPr>
          <w:kern w:val="0"/>
        </w:rPr>
        <w:t>evaluation</w:t>
      </w:r>
      <w:r w:rsidR="00427468">
        <w:rPr>
          <w:kern w:val="0"/>
        </w:rPr>
        <w:t xml:space="preserve"> of </w:t>
      </w:r>
      <w:r>
        <w:rPr>
          <w:kern w:val="0"/>
        </w:rPr>
        <w:t>patients undergoing hip arthroscopy. Based on available psychometric evidence we recommend using a combination</w:t>
      </w:r>
      <w:r w:rsidR="00427468">
        <w:rPr>
          <w:kern w:val="0"/>
        </w:rPr>
        <w:t xml:space="preserve"> of </w:t>
      </w:r>
      <w:r w:rsidR="003A1917">
        <w:rPr>
          <w:kern w:val="0"/>
        </w:rPr>
        <w:t xml:space="preserve">the </w:t>
      </w:r>
      <w:r>
        <w:rPr>
          <w:kern w:val="0"/>
        </w:rPr>
        <w:t>NAHS</w:t>
      </w:r>
      <w:r w:rsidR="005853A9">
        <w:rPr>
          <w:kern w:val="0"/>
        </w:rPr>
        <w:t xml:space="preserve"> and </w:t>
      </w:r>
      <w:r w:rsidR="003A1917">
        <w:rPr>
          <w:kern w:val="0"/>
        </w:rPr>
        <w:t xml:space="preserve">the </w:t>
      </w:r>
      <w:r>
        <w:rPr>
          <w:kern w:val="0"/>
        </w:rPr>
        <w:t>HOS for patients undergoing hip arthroscopy.</w:t>
      </w:r>
    </w:p>
    <w:p w:rsidR="00B866F1" w:rsidRDefault="00B866F1" w:rsidP="00B866F1">
      <w:pPr>
        <w:pStyle w:val="a3"/>
        <w:rPr>
          <w:kern w:val="0"/>
        </w:rPr>
      </w:pPr>
      <w:r>
        <w:rPr>
          <w:kern w:val="0"/>
        </w:rPr>
        <w:t xml:space="preserve">Keywords: Checklist, Cochrane, Consensus, Cosmin, EMBASE, Evaluation, Femoroacetabular Impingement, Methods, Outcome, Outcomes, Prevalence, Quality, Questionnaire, Questionnaires, Reliability, Review, Science, Score, Status Measurement Instruments, Systematic, Systematic Review, Treatment, Validity, </w:t>
      </w:r>
      <w:r w:rsidR="00D5664A">
        <w:rPr>
          <w:kern w:val="0"/>
        </w:rPr>
        <w:t>Web</w:t>
      </w:r>
      <w:r w:rsidR="00427468">
        <w:rPr>
          <w:kern w:val="0"/>
        </w:rPr>
        <w:t xml:space="preserve"> of </w:t>
      </w:r>
      <w:r w:rsidR="00D5664A">
        <w:rPr>
          <w:kern w:val="0"/>
        </w:rPr>
        <w:t>Science</w:t>
      </w:r>
    </w:p>
    <w:p w:rsidR="00D777D6" w:rsidRDefault="00D777D6" w:rsidP="00D777D6">
      <w:pPr>
        <w:pStyle w:val="a3"/>
        <w:rPr>
          <w:kern w:val="0"/>
        </w:rPr>
      </w:pPr>
      <w:r>
        <w:rPr>
          <w:rFonts w:hint="eastAsia"/>
          <w:kern w:val="0"/>
        </w:rPr>
        <w:t xml:space="preserve">? </w:t>
      </w:r>
      <w:r>
        <w:rPr>
          <w:kern w:val="0"/>
        </w:rPr>
        <w:t>van Heiningen, J., Vlieland, T.P.M.V.</w:t>
      </w:r>
      <w:r w:rsidR="005853A9">
        <w:rPr>
          <w:kern w:val="0"/>
        </w:rPr>
        <w:t xml:space="preserve"> and </w:t>
      </w:r>
      <w:r>
        <w:rPr>
          <w:kern w:val="0"/>
        </w:rPr>
        <w:t>van der Heide, H.J.L. (2013), The mid-term outcome</w:t>
      </w:r>
      <w:r w:rsidR="00427468">
        <w:rPr>
          <w:kern w:val="0"/>
        </w:rPr>
        <w:t xml:space="preserve"> of </w:t>
      </w:r>
      <w:r>
        <w:rPr>
          <w:kern w:val="0"/>
        </w:rPr>
        <w:t>total ankle arthroplasty</w:t>
      </w:r>
      <w:r w:rsidR="005853A9">
        <w:rPr>
          <w:kern w:val="0"/>
        </w:rPr>
        <w:t xml:space="preserve"> and </w:t>
      </w:r>
      <w:r>
        <w:rPr>
          <w:kern w:val="0"/>
        </w:rPr>
        <w:t xml:space="preserve">ankle fusion in rheumatoid arthritis: A systematic review. </w:t>
      </w:r>
      <w:r>
        <w:rPr>
          <w:i/>
          <w:iCs/>
          <w:kern w:val="0"/>
        </w:rPr>
        <w:t>BMC Musculoskeletal Disorders</w:t>
      </w:r>
      <w:r>
        <w:rPr>
          <w:kern w:val="0"/>
        </w:rPr>
        <w:t xml:space="preserve">, </w:t>
      </w:r>
      <w:r>
        <w:rPr>
          <w:b/>
          <w:bCs/>
          <w:kern w:val="0"/>
        </w:rPr>
        <w:t>14</w:t>
      </w:r>
      <w:r>
        <w:rPr>
          <w:rFonts w:hint="eastAsia"/>
          <w:kern w:val="0"/>
        </w:rPr>
        <w:t xml:space="preserve">, </w:t>
      </w:r>
      <w:r>
        <w:t xml:space="preserve">Article Number: </w:t>
      </w:r>
      <w:r>
        <w:rPr>
          <w:rFonts w:hint="eastAsia"/>
        </w:rPr>
        <w:t>306.</w:t>
      </w:r>
    </w:p>
    <w:p w:rsidR="00D777D6" w:rsidRDefault="00D777D6" w:rsidP="00D777D6">
      <w:pPr>
        <w:pStyle w:val="a3"/>
        <w:rPr>
          <w:kern w:val="0"/>
        </w:rPr>
      </w:pPr>
      <w:r>
        <w:rPr>
          <w:rFonts w:hint="eastAsia"/>
          <w:kern w:val="0"/>
        </w:rPr>
        <w:t xml:space="preserve">Full Text: </w:t>
      </w:r>
      <w:hyperlink r:id="rId1658" w:history="1">
        <w:r w:rsidRPr="00E034DB">
          <w:rPr>
            <w:rStyle w:val="a5"/>
            <w:kern w:val="0"/>
          </w:rPr>
          <w:t>2013\BMC Mus Dis14, 306.pdf</w:t>
        </w:r>
      </w:hyperlink>
    </w:p>
    <w:p w:rsidR="00D777D6" w:rsidRDefault="00D777D6" w:rsidP="00D777D6">
      <w:pPr>
        <w:pStyle w:val="a3"/>
        <w:rPr>
          <w:kern w:val="0"/>
        </w:rPr>
      </w:pPr>
      <w:r>
        <w:rPr>
          <w:kern w:val="0"/>
        </w:rPr>
        <w:t>Abstract: Background: While arthrodesis is the standard treatment</w:t>
      </w:r>
      <w:r w:rsidR="00427468">
        <w:rPr>
          <w:kern w:val="0"/>
        </w:rPr>
        <w:t xml:space="preserve"> of </w:t>
      </w:r>
      <w:r>
        <w:rPr>
          <w:kern w:val="0"/>
        </w:rPr>
        <w:t>a severely arthritic ankle joint, total ankle arthroplasty has become a popular alternative. This review provides clinical outcomes</w:t>
      </w:r>
      <w:r w:rsidR="005853A9">
        <w:rPr>
          <w:kern w:val="0"/>
        </w:rPr>
        <w:t xml:space="preserve"> and </w:t>
      </w:r>
      <w:r>
        <w:rPr>
          <w:kern w:val="0"/>
        </w:rPr>
        <w:t>complications</w:t>
      </w:r>
      <w:r w:rsidR="00427468">
        <w:rPr>
          <w:kern w:val="0"/>
        </w:rPr>
        <w:t xml:space="preserve"> of </w:t>
      </w:r>
      <w:r>
        <w:rPr>
          <w:kern w:val="0"/>
        </w:rPr>
        <w:t>both interventions in patients with rheumatoid arthritis. Methods: Studies were obtained from Pubmed, Embase</w:t>
      </w:r>
      <w:r w:rsidR="005853A9">
        <w:rPr>
          <w:kern w:val="0"/>
        </w:rPr>
        <w:t xml:space="preserve"> and </w:t>
      </w:r>
      <w:r w:rsidR="00D5664A">
        <w:rPr>
          <w:kern w:val="0"/>
        </w:rPr>
        <w:lastRenderedPageBreak/>
        <w:t>Web</w:t>
      </w:r>
      <w:r w:rsidR="00427468">
        <w:rPr>
          <w:kern w:val="0"/>
        </w:rPr>
        <w:t xml:space="preserve"> of </w:t>
      </w:r>
      <w:r w:rsidR="00D5664A">
        <w:rPr>
          <w:kern w:val="0"/>
        </w:rPr>
        <w:t>Science</w:t>
      </w:r>
      <w:r>
        <w:rPr>
          <w:kern w:val="0"/>
        </w:rPr>
        <w:t xml:space="preserve"> (January 1980 - June 2011)</w:t>
      </w:r>
      <w:r w:rsidR="005853A9">
        <w:rPr>
          <w:kern w:val="0"/>
        </w:rPr>
        <w:t xml:space="preserve"> and </w:t>
      </w:r>
      <w:r>
        <w:rPr>
          <w:kern w:val="0"/>
        </w:rPr>
        <w:t>additional manual search. Inclusion criteria: original clinical study, &gt; 5 rheumatoid arthritis (population), internal fixation arthrodesis or three-component mobile bearing prosthesis (intervention), ankle scoring system (outcome)</w:t>
      </w:r>
      <w:r w:rsidR="00A37C1D">
        <w:rPr>
          <w:kern w:val="0"/>
        </w:rPr>
        <w:t>. The</w:t>
      </w:r>
      <w:r>
        <w:rPr>
          <w:kern w:val="0"/>
        </w:rPr>
        <w:t xml:space="preserve"> clinical outcome score, complication-</w:t>
      </w:r>
      <w:r w:rsidR="005853A9">
        <w:rPr>
          <w:kern w:val="0"/>
        </w:rPr>
        <w:t xml:space="preserve"> and </w:t>
      </w:r>
      <w:r>
        <w:rPr>
          <w:kern w:val="0"/>
        </w:rPr>
        <w:t>failure rates were extracted</w:t>
      </w:r>
      <w:r w:rsidR="005853A9">
        <w:rPr>
          <w:kern w:val="0"/>
        </w:rPr>
        <w:t xml:space="preserve"> and </w:t>
      </w:r>
      <w:r>
        <w:rPr>
          <w:kern w:val="0"/>
        </w:rPr>
        <w:t>the methodological quality</w:t>
      </w:r>
      <w:r w:rsidR="00427468">
        <w:rPr>
          <w:kern w:val="0"/>
        </w:rPr>
        <w:t xml:space="preserve"> of </w:t>
      </w:r>
      <w:r>
        <w:rPr>
          <w:kern w:val="0"/>
        </w:rPr>
        <w:t>the studies was analysed. Results: 17 observational studies</w:t>
      </w:r>
      <w:r w:rsidR="00427468">
        <w:rPr>
          <w:kern w:val="0"/>
        </w:rPr>
        <w:t xml:space="preserve"> of </w:t>
      </w:r>
      <w:r>
        <w:rPr>
          <w:kern w:val="0"/>
        </w:rPr>
        <w:t>868 citations were included</w:t>
      </w:r>
      <w:r w:rsidR="00A37C1D">
        <w:rPr>
          <w:kern w:val="0"/>
        </w:rPr>
        <w:t>. The</w:t>
      </w:r>
      <w:r>
        <w:rPr>
          <w:kern w:val="0"/>
        </w:rPr>
        <w:t xml:space="preserve"> effect size concerning total ankle arthroplasty ranged between 1.9</w:t>
      </w:r>
      <w:r w:rsidR="005853A9">
        <w:rPr>
          <w:kern w:val="0"/>
        </w:rPr>
        <w:t xml:space="preserve"> and </w:t>
      </w:r>
      <w:r>
        <w:rPr>
          <w:kern w:val="0"/>
        </w:rPr>
        <w:t>6.0, for arthrodesis the effect sizes were 4.0</w:t>
      </w:r>
      <w:r w:rsidR="005853A9">
        <w:rPr>
          <w:kern w:val="0"/>
        </w:rPr>
        <w:t xml:space="preserve"> and </w:t>
      </w:r>
      <w:r>
        <w:rPr>
          <w:kern w:val="0"/>
        </w:rPr>
        <w:t>4.7. Reoperation due to implant failure or reoperation due to non-union, was 11%</w:t>
      </w:r>
      <w:r w:rsidR="005853A9">
        <w:rPr>
          <w:kern w:val="0"/>
        </w:rPr>
        <w:t xml:space="preserve"> and </w:t>
      </w:r>
      <w:r>
        <w:rPr>
          <w:kern w:val="0"/>
        </w:rPr>
        <w:t>12% for respectively total ankle arthroplasty</w:t>
      </w:r>
      <w:r w:rsidR="005853A9">
        <w:rPr>
          <w:kern w:val="0"/>
        </w:rPr>
        <w:t xml:space="preserve"> and </w:t>
      </w:r>
      <w:r>
        <w:rPr>
          <w:kern w:val="0"/>
        </w:rPr>
        <w:t>arthrodesis</w:t>
      </w:r>
      <w:r w:rsidR="00A37C1D">
        <w:rPr>
          <w:kern w:val="0"/>
        </w:rPr>
        <w:t>. The</w:t>
      </w:r>
      <w:r>
        <w:rPr>
          <w:kern w:val="0"/>
        </w:rPr>
        <w:t xml:space="preserve"> methodological quality</w:t>
      </w:r>
      <w:r w:rsidR="00427468">
        <w:rPr>
          <w:kern w:val="0"/>
        </w:rPr>
        <w:t xml:space="preserve"> of </w:t>
      </w:r>
      <w:r>
        <w:rPr>
          <w:kern w:val="0"/>
        </w:rPr>
        <w:t>the studies was low (mean 6.4 out</w:t>
      </w:r>
      <w:r w:rsidR="00427468">
        <w:rPr>
          <w:kern w:val="0"/>
        </w:rPr>
        <w:t xml:space="preserve"> of </w:t>
      </w:r>
      <w:r>
        <w:rPr>
          <w:kern w:val="0"/>
        </w:rPr>
        <w:t>a maximum</w:t>
      </w:r>
      <w:r w:rsidR="00427468">
        <w:rPr>
          <w:kern w:val="0"/>
        </w:rPr>
        <w:t xml:space="preserve"> of </w:t>
      </w:r>
      <w:r>
        <w:rPr>
          <w:kern w:val="0"/>
        </w:rPr>
        <w:t>14 points)</w:t>
      </w:r>
      <w:r w:rsidR="005853A9">
        <w:rPr>
          <w:kern w:val="0"/>
        </w:rPr>
        <w:t xml:space="preserve"> and </w:t>
      </w:r>
      <w:r>
        <w:rPr>
          <w:kern w:val="0"/>
        </w:rPr>
        <w:t>was lower for arthrodesis (mean 4.8) as compared to arthroplasty (mean 7.8) (p = 0.04). Conclusions: 17 observational</w:t>
      </w:r>
      <w:r w:rsidR="005853A9">
        <w:rPr>
          <w:kern w:val="0"/>
        </w:rPr>
        <w:t xml:space="preserve"> and </w:t>
      </w:r>
      <w:r>
        <w:rPr>
          <w:kern w:val="0"/>
        </w:rPr>
        <w:t>no (randomized) controlled clinical trials are published on the effectiveness</w:t>
      </w:r>
      <w:r w:rsidR="00427468">
        <w:rPr>
          <w:kern w:val="0"/>
        </w:rPr>
        <w:t xml:space="preserve"> of </w:t>
      </w:r>
      <w:r>
        <w:rPr>
          <w:kern w:val="0"/>
        </w:rPr>
        <w:t>arthroplasty or arthrodesis</w:t>
      </w:r>
      <w:r w:rsidR="00427468">
        <w:rPr>
          <w:kern w:val="0"/>
        </w:rPr>
        <w:t xml:space="preserve"> of </w:t>
      </w:r>
      <w:r>
        <w:rPr>
          <w:kern w:val="0"/>
        </w:rPr>
        <w:t>the ankle in rheumatoid arthritis. Regardless</w:t>
      </w:r>
      <w:r w:rsidR="00427468">
        <w:rPr>
          <w:kern w:val="0"/>
        </w:rPr>
        <w:t xml:space="preserve"> of </w:t>
      </w:r>
      <w:r>
        <w:rPr>
          <w:kern w:val="0"/>
        </w:rPr>
        <w:t>the methodological limitations it can be concluded that both interventions show clinical improvement</w:t>
      </w:r>
      <w:r w:rsidR="005853A9">
        <w:rPr>
          <w:kern w:val="0"/>
        </w:rPr>
        <w:t xml:space="preserve"> and </w:t>
      </w:r>
      <w:r>
        <w:rPr>
          <w:kern w:val="0"/>
        </w:rPr>
        <w:t>in line with current literature neither procedure is superior to the other.</w:t>
      </w:r>
    </w:p>
    <w:p w:rsidR="00D777D6" w:rsidRDefault="00D777D6" w:rsidP="00D777D6">
      <w:pPr>
        <w:pStyle w:val="a3"/>
        <w:rPr>
          <w:kern w:val="0"/>
        </w:rPr>
      </w:pPr>
      <w:r>
        <w:rPr>
          <w:kern w:val="0"/>
        </w:rPr>
        <w:t xml:space="preserve">Keywords: Alternative, Ankle Arthrodesis , Ankle Fusion, Ankle Joint , Talocrural Joint, Arthritis, Arthrodesis, Arthroplasty, Citations, Clinical, Clinical Outcome Score, Clinical Outcomes, Clinical Study, Clinical Trials, Complication, Complications, Criteria, Effect Size, Effectiveness, Failure, Fixation, Follow-Up, Foot, Fusion, Implant Failure, Improvement, Internal Fixation, Intervention, Interventions, Literature, Long-Term, Metaanalysis, Methods, Mobile, Observational, Observational Studies, Outcome, Outcomes, Patients, Population, Procedure, Prosthesis, Quality, Quality Of, Randomized, Rates, Reoperation, Replacements, Responsiveness, Results, Review, Rheumatoid Arthritis, Science, Scoring System, Size, Standard, Star, Systematic Review, Three Component Mobile Bearing Prosthesis , Third Generation Total Ankle Implant, Treatment, </w:t>
      </w:r>
      <w:r w:rsidR="00D5664A">
        <w:rPr>
          <w:kern w:val="0"/>
        </w:rPr>
        <w:t>Web</w:t>
      </w:r>
      <w:r w:rsidR="00427468">
        <w:rPr>
          <w:kern w:val="0"/>
        </w:rPr>
        <w:t xml:space="preserve"> of </w:t>
      </w:r>
      <w:r w:rsidR="00D5664A">
        <w:rPr>
          <w:kern w:val="0"/>
        </w:rPr>
        <w:t>Science</w:t>
      </w:r>
    </w:p>
    <w:p w:rsidR="00643020" w:rsidRDefault="00643020" w:rsidP="00643020">
      <w:pPr>
        <w:pStyle w:val="a3"/>
        <w:rPr>
          <w:kern w:val="0"/>
        </w:rPr>
      </w:pPr>
      <w:r>
        <w:rPr>
          <w:kern w:val="0"/>
        </w:rPr>
        <w:t xml:space="preserve">? Laird, R.A., Gilbert, J., Kent, P. and Keating, J.L. (2014), Comparing lumbo-pelvic kinematics in people with and without back pain: A systematic review and meta-analysis. </w:t>
      </w:r>
      <w:r>
        <w:rPr>
          <w:i/>
          <w:iCs/>
          <w:kern w:val="0"/>
        </w:rPr>
        <w:t>BMC Musculoskeletal Disorders</w:t>
      </w:r>
      <w:r>
        <w:rPr>
          <w:kern w:val="0"/>
        </w:rPr>
        <w:t xml:space="preserve">, </w:t>
      </w:r>
      <w:r>
        <w:rPr>
          <w:b/>
          <w:bCs/>
          <w:kern w:val="0"/>
        </w:rPr>
        <w:t>15</w:t>
      </w:r>
      <w:r>
        <w:rPr>
          <w:kern w:val="0"/>
        </w:rPr>
        <w:t>, Article Number: 229.</w:t>
      </w:r>
    </w:p>
    <w:p w:rsidR="00643020" w:rsidRDefault="00643020" w:rsidP="00643020">
      <w:pPr>
        <w:pStyle w:val="a3"/>
        <w:rPr>
          <w:kern w:val="0"/>
        </w:rPr>
      </w:pPr>
      <w:r>
        <w:rPr>
          <w:kern w:val="0"/>
        </w:rPr>
        <w:t xml:space="preserve">Full Text: </w:t>
      </w:r>
      <w:hyperlink r:id="rId1659" w:history="1">
        <w:r>
          <w:rPr>
            <w:rStyle w:val="a5"/>
          </w:rPr>
          <w:t>2014\BMC Mus Dis15, 229.pdf</w:t>
        </w:r>
      </w:hyperlink>
    </w:p>
    <w:p w:rsidR="00643020" w:rsidRDefault="00643020" w:rsidP="00643020">
      <w:pPr>
        <w:pStyle w:val="a3"/>
        <w:rPr>
          <w:kern w:val="0"/>
        </w:rPr>
      </w:pPr>
      <w:r>
        <w:rPr>
          <w:kern w:val="0"/>
        </w:rPr>
        <w:t xml:space="preserve">Abstract: Background: Clinicians commonly examine posture and movement in people with the belief that correcting dysfunctional movement may reduce pain. If dysfunctional movement is to be accurately identified, clinicians should know what constitutes normal movement and how this differs in people with low back pain (LBP). This systematic review examined studies that compared biomechanical aspects of lumbo-pelvic movement in people with and without LBP. Methods: MEDLINE, Cochrane Central, EMBASE, AMI, CINAHL, Scopus, AMED, ISI Web </w:t>
      </w:r>
      <w:r>
        <w:rPr>
          <w:kern w:val="0"/>
        </w:rPr>
        <w:lastRenderedPageBreak/>
        <w:t>of Science were searched from inception until January 2014 for relevant studies. Studies had to compare adults with and without LBP using skin surface measurement techniques to measure lumbo-pelvic posture or movement. Two reviewers independently applied inclusion and exclusion criteria, and identified and extracted data. Standardised mean differences and 95% confidence intervals were estimated for group differences between people with and without LBP, and where possible, meta-analyses were performed. Within-group variability in all measurements was also compared. Results: The search identified 43 eligible studies. Compared to people without LBP, on average, people with LBP display: (i) no difference in lordosis angle (8 studies), (ii) reduced lumbar ROM (19 studies), (iii) no difference in lumbar relative to hip contribution to end-range flexion (4 studies), (iv) no difference in standing pelvic tilt angle (3 studies), (v) slower movement (8 studies), and (vi) reduced proprioception (17 studies). Movement variability appeared greater for people with LBP for flexion, lateral flexion and rotation ROM, and movement speed, but not for other movement characteristics. Considerable heterogeneity exists between studies, including a lack of detail or standardization between studies on the criteria used to define participants as people with LBP (cases) or without LBP (controls). Conclusions: On average, people with LBP have reduced lumbar ROM and proprioception, and move more slowly compared to people without LBP. Whether these deficits exist prior to LBP onset is unknown.</w:t>
      </w:r>
    </w:p>
    <w:p w:rsidR="00643020" w:rsidRDefault="00643020" w:rsidP="00643020">
      <w:pPr>
        <w:pStyle w:val="a3"/>
        <w:rPr>
          <w:kern w:val="0"/>
        </w:rPr>
      </w:pPr>
      <w:r>
        <w:rPr>
          <w:kern w:val="0"/>
        </w:rPr>
        <w:t>Keywords: Back Pain, Belief, Characteristics, Confidence, Confidence Intervals, Contribution, Criteria, Data, Diagnostic-Accuracy, Embase, Flexion Pattern, Healthy Controls, Heterogeneity, Intervals, Isi, Isi Web Of Science, Lordosis, Low Back, Low Back Pain, Lumbar Sagittal Motion, Measure, Measurement, Medline, Meta Analysis, Meta-Analysis, Metaanalysis, Methods, Movement, Movement Disorders, Normal, Onset, Pain, Pelvic, Pelvic Inclination, Posture, Precision Control, Proprioception, Range Of Movement, Repositioning Error, Results, Review, Reviewers, Science, Scopus, Skin, Spinal Mobility, Standardization, Standing Posture, Surface, Systematic, Systematic Review, Techniques, Trunk Movement, Variability, Web Of Science</w:t>
      </w:r>
    </w:p>
    <w:p w:rsidR="00D0431C" w:rsidRDefault="00D0431C" w:rsidP="00D0431C">
      <w:pPr>
        <w:pStyle w:val="a3"/>
        <w:rPr>
          <w:kern w:val="0"/>
        </w:rPr>
      </w:pPr>
      <w:r>
        <w:rPr>
          <w:kern w:val="0"/>
        </w:rPr>
        <w:t xml:space="preserve">? Kou, S.T. and Wu, Y.C. (2014), Meta-analysis of tumor necrosis factor alpha-308 polymorphism and knee osteoarthritis risk. </w:t>
      </w:r>
      <w:r>
        <w:rPr>
          <w:i/>
          <w:iCs/>
          <w:kern w:val="0"/>
        </w:rPr>
        <w:t>BMC Musculoskeletal Disorders</w:t>
      </w:r>
      <w:r>
        <w:rPr>
          <w:kern w:val="0"/>
        </w:rPr>
        <w:t xml:space="preserve">, </w:t>
      </w:r>
      <w:r>
        <w:rPr>
          <w:b/>
          <w:bCs/>
          <w:kern w:val="0"/>
        </w:rPr>
        <w:t>15</w:t>
      </w:r>
      <w:r>
        <w:rPr>
          <w:kern w:val="0"/>
        </w:rPr>
        <w:t xml:space="preserve">, Article Number: </w:t>
      </w:r>
      <w:r>
        <w:rPr>
          <w:rFonts w:hint="eastAsia"/>
        </w:rPr>
        <w:t>373</w:t>
      </w:r>
      <w:r>
        <w:rPr>
          <w:kern w:val="0"/>
        </w:rPr>
        <w:t>.</w:t>
      </w:r>
    </w:p>
    <w:p w:rsidR="00D0431C" w:rsidRDefault="00D0431C" w:rsidP="00D0431C">
      <w:pPr>
        <w:pStyle w:val="a3"/>
        <w:rPr>
          <w:kern w:val="0"/>
        </w:rPr>
      </w:pPr>
      <w:r>
        <w:rPr>
          <w:kern w:val="0"/>
        </w:rPr>
        <w:t xml:space="preserve">Full Text: </w:t>
      </w:r>
      <w:hyperlink r:id="rId1660" w:history="1">
        <w:r w:rsidRPr="00D0431C">
          <w:rPr>
            <w:rStyle w:val="a5"/>
          </w:rPr>
          <w:t xml:space="preserve">2014\BMC Mus Dis15, </w:t>
        </w:r>
        <w:r w:rsidRPr="00D0431C">
          <w:rPr>
            <w:rStyle w:val="a5"/>
            <w:rFonts w:hint="eastAsia"/>
          </w:rPr>
          <w:t>373</w:t>
        </w:r>
        <w:r w:rsidRPr="00D0431C">
          <w:rPr>
            <w:rStyle w:val="a5"/>
          </w:rPr>
          <w:t>.pdf</w:t>
        </w:r>
      </w:hyperlink>
    </w:p>
    <w:p w:rsidR="00D0431C" w:rsidRDefault="00D0431C" w:rsidP="00D0431C">
      <w:pPr>
        <w:pStyle w:val="a3"/>
        <w:rPr>
          <w:kern w:val="0"/>
        </w:rPr>
      </w:pPr>
      <w:r>
        <w:rPr>
          <w:kern w:val="0"/>
        </w:rPr>
        <w:t xml:space="preserve">Abstract: Background: Several case-control studies have been conducted to clarify the association between the tumor necrosis factor alpha (TNF-alpha) -G308A polymorphism and risk of osteoarthritis (OA); however, the results are inconsistent. This meta-analysis was performed to clarify this issue using all the available evidence. Methods: Eligible articles were retrieved by searching PubMed, Web of </w:t>
      </w:r>
      <w:r>
        <w:rPr>
          <w:kern w:val="0"/>
        </w:rPr>
        <w:lastRenderedPageBreak/>
        <w:t>Science and Google scholar. The strength of the association between the TNF-alpha-G308A polymorphism and risk of OA was assessed by odds ratios (ORs) with the corresponding 95% confidence interval (CI) for each study. Results: Seven studies were included in the meta-analysis, which included 983 OA cases and 1355 controls. The pooled analysis based on all included studies showed a significantly increased OA risk in the recessive genetic model analysis (OR = 11.08, 95% CI = 4.75-25.86, p &lt; 0.001) and in the A allele vs. G allele analysis (OR = 2.30, 95% CI = 1.08-4.90). However, there was no statistical difference in the dominant genetic model analysis (OR = 2.45, 95% CI = 0.95-6.27, p = 0.06). Furthermore, we found that OA patients had a higher frequency of the AA genotype (OR = 10.49, 95% CI = 4.47-24.61) and GA genotype (OR = 1.78, 95% CI = 1.03-3.08) compared with the control population. Conclusion: Our results suggested that the TNF-alpha-G308A polymorphism were associated with an increased risk of OA.</w:t>
      </w:r>
    </w:p>
    <w:p w:rsidR="00D0431C" w:rsidRDefault="00D0431C" w:rsidP="00D0431C">
      <w:pPr>
        <w:pStyle w:val="a3"/>
        <w:rPr>
          <w:kern w:val="0"/>
        </w:rPr>
      </w:pPr>
      <w:r>
        <w:rPr>
          <w:kern w:val="0"/>
        </w:rPr>
        <w:t>Keywords: -308 Polymorphism, Analysis, Articles, Association, Case-Control, Case-Control Studies, Class Ii, Iii Region, Confidence, Control, Disease, Evidence, Expression, Gene Polymorphism, Genetic, Genome-Wide Association, Google, Google Scholar, Interval, Knee, Meta Analysis, Meta-Analysis, Metaanalysis, Methods, Model, Necrosis, Nov, Osteoarthritis, Patients, Polymorphism, Pooled Analysis, Population, Pubmed, Results, Rheumatoid-Arthritis, Risk, Science, Strength, Susceptibility, TNF Alpha, TNF-Alpha, TNF-Alpha, Tumor, Tumor Necrosis Factor, Variants, Web, Web of Science</w:t>
      </w:r>
    </w:p>
    <w:p w:rsidR="00D0431C" w:rsidRDefault="00D0431C" w:rsidP="00D0431C">
      <w:pPr>
        <w:pStyle w:val="a3"/>
        <w:rPr>
          <w:kern w:val="0"/>
        </w:rPr>
      </w:pPr>
      <w:r>
        <w:rPr>
          <w:kern w:val="0"/>
        </w:rPr>
        <w:t xml:space="preserve">? Pan, F., Tian, J., Winzenberg, T., Ding, C.H. and Jones, G. (2014), Association between GDF5 rs143383 polymorphism and knee osteoarthritis: An updated meta-analysis based on 23,995 subjects. </w:t>
      </w:r>
      <w:r>
        <w:rPr>
          <w:i/>
          <w:iCs/>
          <w:kern w:val="0"/>
        </w:rPr>
        <w:t>BMC Musculoskeletal Disorders</w:t>
      </w:r>
      <w:r>
        <w:rPr>
          <w:kern w:val="0"/>
        </w:rPr>
        <w:t xml:space="preserve">, </w:t>
      </w:r>
      <w:r>
        <w:rPr>
          <w:b/>
          <w:bCs/>
          <w:kern w:val="0"/>
        </w:rPr>
        <w:t>15</w:t>
      </w:r>
      <w:r>
        <w:rPr>
          <w:kern w:val="0"/>
        </w:rPr>
        <w:t xml:space="preserve">, Article Number: </w:t>
      </w:r>
      <w:r>
        <w:rPr>
          <w:rFonts w:hint="eastAsia"/>
          <w:kern w:val="0"/>
        </w:rPr>
        <w:t>404</w:t>
      </w:r>
      <w:r>
        <w:rPr>
          <w:kern w:val="0"/>
        </w:rPr>
        <w:t>.</w:t>
      </w:r>
    </w:p>
    <w:p w:rsidR="00D0431C" w:rsidRDefault="00D0431C" w:rsidP="00D0431C">
      <w:pPr>
        <w:pStyle w:val="a3"/>
        <w:rPr>
          <w:kern w:val="0"/>
        </w:rPr>
      </w:pPr>
      <w:r>
        <w:rPr>
          <w:kern w:val="0"/>
        </w:rPr>
        <w:t xml:space="preserve">Full Text: </w:t>
      </w:r>
      <w:hyperlink r:id="rId1661" w:history="1">
        <w:r w:rsidRPr="00D0431C">
          <w:rPr>
            <w:rStyle w:val="a5"/>
          </w:rPr>
          <w:t xml:space="preserve">2014\BMC Mus Dis15, </w:t>
        </w:r>
        <w:r w:rsidRPr="00D0431C">
          <w:rPr>
            <w:rStyle w:val="a5"/>
            <w:rFonts w:hint="eastAsia"/>
          </w:rPr>
          <w:t>404</w:t>
        </w:r>
        <w:r w:rsidRPr="00D0431C">
          <w:rPr>
            <w:rStyle w:val="a5"/>
          </w:rPr>
          <w:t>.pdf</w:t>
        </w:r>
      </w:hyperlink>
    </w:p>
    <w:p w:rsidR="00D0431C" w:rsidRDefault="00D0431C" w:rsidP="00D0431C">
      <w:pPr>
        <w:pStyle w:val="a3"/>
        <w:rPr>
          <w:kern w:val="0"/>
        </w:rPr>
      </w:pPr>
      <w:r>
        <w:rPr>
          <w:kern w:val="0"/>
        </w:rPr>
        <w:t xml:space="preserve">Abstract: Background: Previous studies investigating the association between GDF5 rs143383 polymorphism and knee osteoarthritis (OA) have suggested stronger associations in Asians than Caucasians, but limitations on the amount of available data have meant that a definitive assessment has not been possible. Given the availability of more recent data, the aim of this meta-analysis was to determine the overall association between GDF5 rs143383 polymorphism and knee OA and whether the association varies by ethnicity. Methods: Searches of Medline, Embase, and ISI Web of Science were conducted up to July 2013. Summary odds ratios (ORs) and 95% confidence intervals (CIs) were calculated to estimate the strength of association between the GDF5 polymorphism and knee OA risk. Results: A total of 20 studies with 23,995 individuals were included. There were weak but significant associations present between the GDF5 polymorphism and knee OA at the allele level (C vs. T: OR = 0.85, 95% CI = 0.80-0.90) and genotype level (CC vs. TT: OR </w:t>
      </w:r>
      <w:r>
        <w:rPr>
          <w:kern w:val="0"/>
        </w:rPr>
        <w:lastRenderedPageBreak/>
        <w:t>= 0.73; CT vs. TT: OR = 0.84; CC/CT vs. TT: OR = 0.81; CC vs. CT/TT: OR = 0.81) in the overall population. In the subgroup analysis by ethnicity, we observed a strong significant association (OR = 0.60 to 0.80, all P &lt; 0.05) in Asian population and weaker associations (OR = 0.78 to 0.87, all P &lt; 0.05) in Caucasian population; however marked heterogeneity was detected in all models except for CC vs. TT (I-2 = 12.9%) and CC vs. CT + TT (I-2 = 0.0%) in Asians. Conclusions: These results strongly suggest that the C allele and CC genotype of the GDF5 gene are protective for knee OA susceptibility across different populations.</w:t>
      </w:r>
    </w:p>
    <w:p w:rsidR="00D0431C" w:rsidRDefault="00D0431C" w:rsidP="00D0431C">
      <w:pPr>
        <w:pStyle w:val="a3"/>
        <w:rPr>
          <w:kern w:val="0"/>
        </w:rPr>
      </w:pPr>
      <w:r>
        <w:rPr>
          <w:kern w:val="0"/>
        </w:rPr>
        <w:t>Keywords: 5’-Utr, 5’Utr, Analysis, Asian, Asians, Assessment, Association, Availability, Caucasian, Confidence, Confidence Intervals, Core Promoter Polymorphism, Ct, Data, Ethnicity, Gdf5, Gene, Genetic Epidemiology, Growth-Differentiation-Factor-5, Heterogeneity, Intervals, Isi, Isi Web of Science, Knee, Mechanisms, Medline, Meta Analysis, Meta-Analysis, Metaanalysis, Methods, Models, Mutations, Osteoarthritis, P, Polymorphism, Population, Populations, Recent, Results, Risk, Science, Strength, Susceptibility, Web, Web of Science</w:t>
      </w:r>
    </w:p>
    <w:p w:rsidR="00A813E2" w:rsidRDefault="00A813E2" w:rsidP="00A813E2">
      <w:pPr>
        <w:pStyle w:val="a3"/>
        <w:rPr>
          <w:kern w:val="0"/>
        </w:rPr>
      </w:pPr>
      <w:r>
        <w:rPr>
          <w:kern w:val="0"/>
        </w:rPr>
        <w:t xml:space="preserve">? Yuan, Q., Sun, L., Li, J.J. and An, C.H. (2014), Elevated VEGF levels contribute to the pathogenesis of osteoarthritis. </w:t>
      </w:r>
      <w:r>
        <w:rPr>
          <w:i/>
          <w:iCs/>
          <w:kern w:val="0"/>
        </w:rPr>
        <w:t>BMC Musculoskeletal Disorders</w:t>
      </w:r>
      <w:r>
        <w:rPr>
          <w:kern w:val="0"/>
        </w:rPr>
        <w:t xml:space="preserve">, </w:t>
      </w:r>
      <w:r>
        <w:rPr>
          <w:b/>
          <w:bCs/>
          <w:kern w:val="0"/>
        </w:rPr>
        <w:t>15</w:t>
      </w:r>
      <w:r>
        <w:rPr>
          <w:kern w:val="0"/>
        </w:rPr>
        <w:t xml:space="preserve">, Article Number: </w:t>
      </w:r>
      <w:r>
        <w:rPr>
          <w:rFonts w:hint="eastAsia"/>
          <w:kern w:val="0"/>
        </w:rPr>
        <w:t>437</w:t>
      </w:r>
      <w:r>
        <w:rPr>
          <w:kern w:val="0"/>
        </w:rPr>
        <w:t>.</w:t>
      </w:r>
    </w:p>
    <w:p w:rsidR="00A813E2" w:rsidRDefault="00A813E2" w:rsidP="00A813E2">
      <w:pPr>
        <w:pStyle w:val="a3"/>
        <w:rPr>
          <w:kern w:val="0"/>
        </w:rPr>
      </w:pPr>
      <w:r>
        <w:rPr>
          <w:kern w:val="0"/>
        </w:rPr>
        <w:t xml:space="preserve">Full Text: </w:t>
      </w:r>
      <w:hyperlink r:id="rId1662" w:history="1">
        <w:r w:rsidRPr="003048C5">
          <w:rPr>
            <w:rStyle w:val="a5"/>
            <w:kern w:val="0"/>
          </w:rPr>
          <w:t>2014\BMC Mus Dis15, 437.pdf</w:t>
        </w:r>
      </w:hyperlink>
    </w:p>
    <w:p w:rsidR="00A813E2" w:rsidRDefault="00A813E2" w:rsidP="00A813E2">
      <w:pPr>
        <w:pStyle w:val="a3"/>
        <w:rPr>
          <w:kern w:val="0"/>
        </w:rPr>
      </w:pPr>
      <w:r>
        <w:rPr>
          <w:kern w:val="0"/>
        </w:rPr>
        <w:t xml:space="preserve">Abstract: Background: The aim of our meta-analysis is to understand the relationship between the pathogenesis of osteoarthritis and the expression levels of vascular endothelial growth factor (VEGF) in multiple disease tissues in osteoarthritis patients. Methods: The following electronic databases were searched, without language restrictions, to retrieve published studies relevant to VEGF and osteoarthritis: MEDLINE (1966 similar to 2013), the Cochrane Library Database (Issue 12, 2013), EMBASE (1980 similar to 2013), CINAHL (1982 similar to 2013), Web of Science (1945 similar to 2013) and the Chinese Biomedical Database (CBM) (1982 similar to 2013). Meta-analysis of the extracted data was performed using the STATA statistical software. Standardized mean difference (SMD) with its corresponding 95% confidence interval (95% CI) was calculated. Results: A total of 11 case-control studies, containing 302 osteoarthritis patients and 195 healthy controls, met our selection criteria for this meta-analysis. Our analyses of the data available from multiple disease tissues demonstrate that VEGF expression levels in osteoarthritis patients are significantly higher than healthy controls (SMD = 1.18, 95% CI: 4.91 similar to 9.11, P &lt; 0.001). A subgroup analysis based on ethnicity revealed that both Asian and Caucasian osteoarthritis patients had higher levels of VEGF expression compared to their respective healthy counterparts (Asians: SMD = 5.49, 95% CI: 3.44 similar to 7.54, P &lt; 0.001; Caucasians: SMD = 15.17, 95% CI: 5.21 similar to 25.13, P = 0.003; respectively). We also performed other subgroup analyses based on </w:t>
      </w:r>
      <w:r>
        <w:rPr>
          <w:kern w:val="0"/>
        </w:rPr>
        <w:lastRenderedPageBreak/>
        <w:t>country, language and sample source, and the results showed that, in all these subgroups, osteoarthritis patients had higher levels of VEGF expression than healthy controls (all P &gt; 0.05). Conclusion: Our meta-analysis provides evidence that higher VEGF expression levels strongly correlate with the pathogenesis of osteoarthritis.</w:t>
      </w:r>
    </w:p>
    <w:p w:rsidR="00A813E2" w:rsidRDefault="00A813E2" w:rsidP="00A813E2">
      <w:pPr>
        <w:pStyle w:val="a3"/>
        <w:rPr>
          <w:kern w:val="0"/>
        </w:rPr>
      </w:pPr>
      <w:r>
        <w:rPr>
          <w:kern w:val="0"/>
        </w:rPr>
        <w:t>Keywords: Analyses, Analysis, Articular-Cartilage, Asian, Asians, Biomedical, Case-Control, Case-Control Studies, Caucasian, Chinese, Confidence, Country, Criteria, Data, Database, Databases, Disease, Embase, Endothelial Growth-Factor, Epidemiology, Ethnicity, Evidence, Expression, From, Growth, Growth Factor, Interval, Knee, Language, Medline, Mesenchymal Stem-Cells, Meta Analysis, Meta-Analysis, Metaanalysis, Methods, Osteoarthritis, Osteoporotic Osteoblasts, P, Pathogenesis, Patients, Postmenopausal Women, Restrictions, Results, Science, Selection, Selection Criteria, Software, Source, Synovial-Fluid, Vascular Endothelial Growth Factor, Vascular-Permeability, VEGF, Web, Web Of Science</w:t>
      </w:r>
    </w:p>
    <w:p w:rsidR="00950466" w:rsidRPr="001A3D2B" w:rsidRDefault="00950466" w:rsidP="00950466">
      <w:pPr>
        <w:pStyle w:val="1"/>
      </w:pPr>
      <w:r w:rsidRPr="001A3D2B">
        <w:br w:type="page"/>
      </w:r>
      <w:bookmarkStart w:id="850" w:name="_Toc420814767"/>
      <w:r w:rsidRPr="001A3D2B">
        <w:lastRenderedPageBreak/>
        <w:t xml:space="preserve">Title: </w:t>
      </w:r>
      <w:r w:rsidRPr="00950466">
        <w:rPr>
          <w:iCs w:val="0"/>
        </w:rPr>
        <w:t>BMC Nephrology</w:t>
      </w:r>
      <w:bookmarkEnd w:id="850"/>
    </w:p>
    <w:p w:rsidR="00950466" w:rsidRPr="001A3D2B" w:rsidRDefault="00950466" w:rsidP="00950466">
      <w:pPr>
        <w:pStyle w:val="12"/>
      </w:pPr>
      <w:r w:rsidRPr="001A3D2B">
        <w:t xml:space="preserve">Full Journal Title: </w:t>
      </w:r>
      <w:r w:rsidRPr="00950466">
        <w:rPr>
          <w:iCs/>
          <w:kern w:val="0"/>
        </w:rPr>
        <w:t>BMC Nephrology</w:t>
      </w:r>
    </w:p>
    <w:p w:rsidR="00950466" w:rsidRPr="001A3D2B" w:rsidRDefault="00950466" w:rsidP="00950466">
      <w:pPr>
        <w:pStyle w:val="12"/>
      </w:pPr>
      <w:r w:rsidRPr="001A3D2B">
        <w:t xml:space="preserve">ISO Abbreviated Title: </w:t>
      </w:r>
    </w:p>
    <w:p w:rsidR="00950466" w:rsidRPr="001A3D2B" w:rsidRDefault="00950466" w:rsidP="00950466">
      <w:pPr>
        <w:pStyle w:val="12"/>
      </w:pPr>
      <w:r>
        <w:t xml:space="preserve">JCR Abbreviated Title: </w:t>
      </w:r>
    </w:p>
    <w:p w:rsidR="00950466" w:rsidRPr="001A3D2B" w:rsidRDefault="00950466" w:rsidP="00950466">
      <w:pPr>
        <w:pStyle w:val="12"/>
      </w:pPr>
      <w:r w:rsidRPr="001A3D2B">
        <w:t xml:space="preserve">ISSN: </w:t>
      </w:r>
    </w:p>
    <w:p w:rsidR="00950466" w:rsidRPr="001A3D2B" w:rsidRDefault="00950466" w:rsidP="00950466">
      <w:pPr>
        <w:pStyle w:val="12"/>
      </w:pPr>
      <w:r w:rsidRPr="001A3D2B">
        <w:t xml:space="preserve">Issues/Year: </w:t>
      </w:r>
    </w:p>
    <w:p w:rsidR="00950466" w:rsidRPr="001A3D2B" w:rsidRDefault="00950466" w:rsidP="00950466">
      <w:pPr>
        <w:pStyle w:val="12"/>
      </w:pPr>
      <w:r w:rsidRPr="001A3D2B">
        <w:t xml:space="preserve">Journal Country/Territory: </w:t>
      </w:r>
    </w:p>
    <w:p w:rsidR="00950466" w:rsidRPr="001A3D2B" w:rsidRDefault="00950466" w:rsidP="00950466">
      <w:pPr>
        <w:pStyle w:val="12"/>
      </w:pPr>
      <w:r w:rsidRPr="001A3D2B">
        <w:t xml:space="preserve">Language: </w:t>
      </w:r>
    </w:p>
    <w:p w:rsidR="00950466" w:rsidRPr="001A3D2B" w:rsidRDefault="00950466" w:rsidP="00950466">
      <w:pPr>
        <w:pStyle w:val="12"/>
      </w:pPr>
      <w:r w:rsidRPr="001A3D2B">
        <w:t xml:space="preserve">Publisher: </w:t>
      </w:r>
    </w:p>
    <w:p w:rsidR="00950466" w:rsidRPr="001A3D2B" w:rsidRDefault="00950466" w:rsidP="00950466">
      <w:pPr>
        <w:pStyle w:val="12"/>
      </w:pPr>
      <w:r w:rsidRPr="001A3D2B">
        <w:t xml:space="preserve">Publisher Address: </w:t>
      </w:r>
    </w:p>
    <w:p w:rsidR="00950466" w:rsidRPr="001A3D2B" w:rsidRDefault="00950466" w:rsidP="00950466">
      <w:pPr>
        <w:pStyle w:val="12"/>
      </w:pPr>
      <w:r w:rsidRPr="001A3D2B">
        <w:t xml:space="preserve">Subject Categories: </w:t>
      </w:r>
    </w:p>
    <w:p w:rsidR="00950466" w:rsidRPr="001A3D2B" w:rsidRDefault="00950466" w:rsidP="00950466">
      <w:pPr>
        <w:pStyle w:val="12"/>
      </w:pPr>
      <w:r w:rsidRPr="001A3D2B">
        <w:t xml:space="preserve">: Impact Factor </w:t>
      </w:r>
    </w:p>
    <w:p w:rsidR="00950466" w:rsidRDefault="00950466" w:rsidP="00950466">
      <w:pPr>
        <w:pStyle w:val="a3"/>
        <w:rPr>
          <w:kern w:val="0"/>
        </w:rPr>
      </w:pPr>
      <w:r>
        <w:rPr>
          <w:kern w:val="0"/>
        </w:rPr>
        <w:t>? Walker, S.R., Gill, K., Macdonald, K., Komenda, P., Rigatto, C., Sood, M.M., Bohm, C.J., Storsley, L.J.</w:t>
      </w:r>
      <w:r w:rsidR="005853A9">
        <w:rPr>
          <w:kern w:val="0"/>
        </w:rPr>
        <w:t xml:space="preserve"> and </w:t>
      </w:r>
      <w:r>
        <w:rPr>
          <w:kern w:val="0"/>
        </w:rPr>
        <w:t>Tangri, N. (2013), Association</w:t>
      </w:r>
      <w:r w:rsidR="00427468">
        <w:rPr>
          <w:kern w:val="0"/>
        </w:rPr>
        <w:t xml:space="preserve"> of </w:t>
      </w:r>
      <w:r>
        <w:rPr>
          <w:kern w:val="0"/>
        </w:rPr>
        <w:t>frailty</w:t>
      </w:r>
      <w:r w:rsidR="005853A9">
        <w:rPr>
          <w:kern w:val="0"/>
        </w:rPr>
        <w:t xml:space="preserve"> and </w:t>
      </w:r>
      <w:r>
        <w:rPr>
          <w:kern w:val="0"/>
        </w:rPr>
        <w:t xml:space="preserve">physical function in patients with non-dialysis CKD: A systematic review. </w:t>
      </w:r>
      <w:r w:rsidRPr="00950466">
        <w:rPr>
          <w:i/>
          <w:iCs/>
          <w:kern w:val="0"/>
        </w:rPr>
        <w:t>BMC Nephrology</w:t>
      </w:r>
      <w:r>
        <w:rPr>
          <w:kern w:val="0"/>
        </w:rPr>
        <w:t xml:space="preserve">, </w:t>
      </w:r>
      <w:r>
        <w:rPr>
          <w:b/>
          <w:bCs/>
          <w:kern w:val="0"/>
        </w:rPr>
        <w:t>14</w:t>
      </w:r>
      <w:r>
        <w:rPr>
          <w:rFonts w:hint="eastAsia"/>
          <w:kern w:val="0"/>
        </w:rPr>
        <w:t xml:space="preserve">, </w:t>
      </w:r>
      <w:r>
        <w:rPr>
          <w:kern w:val="0"/>
        </w:rPr>
        <w:t>Article Number: 228</w:t>
      </w:r>
      <w:r>
        <w:rPr>
          <w:rFonts w:hint="eastAsia"/>
          <w:kern w:val="0"/>
        </w:rPr>
        <w:t>.</w:t>
      </w:r>
    </w:p>
    <w:p w:rsidR="00950466" w:rsidRDefault="00950466" w:rsidP="00950466">
      <w:pPr>
        <w:pStyle w:val="a3"/>
        <w:rPr>
          <w:kern w:val="0"/>
        </w:rPr>
      </w:pPr>
      <w:r>
        <w:rPr>
          <w:rFonts w:hint="eastAsia"/>
          <w:kern w:val="0"/>
        </w:rPr>
        <w:t xml:space="preserve">Full Text: </w:t>
      </w:r>
      <w:hyperlink r:id="rId1663" w:history="1">
        <w:r w:rsidRPr="00950466">
          <w:rPr>
            <w:rStyle w:val="a5"/>
            <w:kern w:val="0"/>
          </w:rPr>
          <w:t>2013\BMC Nep14, 228.pdf</w:t>
        </w:r>
      </w:hyperlink>
    </w:p>
    <w:p w:rsidR="00950466" w:rsidRDefault="00950466" w:rsidP="00950466">
      <w:pPr>
        <w:pStyle w:val="a3"/>
        <w:rPr>
          <w:kern w:val="0"/>
        </w:rPr>
      </w:pPr>
      <w:r>
        <w:rPr>
          <w:kern w:val="0"/>
        </w:rPr>
        <w:t>Abstract: Background: Frailty is a condition characterized by a decline in physical function</w:t>
      </w:r>
      <w:r w:rsidR="005853A9">
        <w:rPr>
          <w:kern w:val="0"/>
        </w:rPr>
        <w:t xml:space="preserve"> and </w:t>
      </w:r>
      <w:r>
        <w:rPr>
          <w:kern w:val="0"/>
        </w:rPr>
        <w:t>functional capacity. Common symptoms</w:t>
      </w:r>
      <w:r w:rsidR="00427468">
        <w:rPr>
          <w:kern w:val="0"/>
        </w:rPr>
        <w:t xml:space="preserve"> of </w:t>
      </w:r>
      <w:r>
        <w:rPr>
          <w:kern w:val="0"/>
        </w:rPr>
        <w:t>frailty, such as weakness</w:t>
      </w:r>
      <w:r w:rsidR="005853A9">
        <w:rPr>
          <w:kern w:val="0"/>
        </w:rPr>
        <w:t xml:space="preserve"> and </w:t>
      </w:r>
      <w:r>
        <w:rPr>
          <w:kern w:val="0"/>
        </w:rPr>
        <w:t>exhaustion, are prevalent in patients with chronic kidney disease (CKD)</w:t>
      </w:r>
      <w:r w:rsidR="00A37C1D">
        <w:rPr>
          <w:kern w:val="0"/>
        </w:rPr>
        <w:t>. The</w:t>
      </w:r>
      <w:r>
        <w:rPr>
          <w:kern w:val="0"/>
        </w:rPr>
        <w:t xml:space="preserve"> increased vulnerability</w:t>
      </w:r>
      <w:r w:rsidR="00427468">
        <w:rPr>
          <w:kern w:val="0"/>
        </w:rPr>
        <w:t xml:space="preserve"> of </w:t>
      </w:r>
      <w:r>
        <w:rPr>
          <w:kern w:val="0"/>
        </w:rPr>
        <w:t>frail patients with coexisting CKD may place them at a heightened risk</w:t>
      </w:r>
      <w:r w:rsidR="00427468">
        <w:rPr>
          <w:kern w:val="0"/>
        </w:rPr>
        <w:t xml:space="preserve"> of </w:t>
      </w:r>
      <w:r>
        <w:rPr>
          <w:kern w:val="0"/>
        </w:rPr>
        <w:t>encountering additional health complications</w:t>
      </w:r>
      <w:r w:rsidR="00A37C1D">
        <w:rPr>
          <w:kern w:val="0"/>
        </w:rPr>
        <w:t>. The</w:t>
      </w:r>
      <w:r>
        <w:rPr>
          <w:kern w:val="0"/>
        </w:rPr>
        <w:t xml:space="preserve"> purpose</w:t>
      </w:r>
      <w:r w:rsidR="00427468">
        <w:rPr>
          <w:kern w:val="0"/>
        </w:rPr>
        <w:t xml:space="preserve"> of </w:t>
      </w:r>
      <w:r>
        <w:rPr>
          <w:kern w:val="0"/>
        </w:rPr>
        <w:t>this systematic review was to explore the link between frailty, CKD</w:t>
      </w:r>
      <w:r w:rsidR="005853A9">
        <w:rPr>
          <w:kern w:val="0"/>
        </w:rPr>
        <w:t xml:space="preserve"> and </w:t>
      </w:r>
      <w:r>
        <w:rPr>
          <w:kern w:val="0"/>
        </w:rPr>
        <w:t>clinical outcomes. Methods: We searched for cross sectional</w:t>
      </w:r>
      <w:r w:rsidR="005853A9">
        <w:rPr>
          <w:kern w:val="0"/>
        </w:rPr>
        <w:t xml:space="preserve"> and </w:t>
      </w:r>
      <w:r>
        <w:rPr>
          <w:kern w:val="0"/>
        </w:rPr>
        <w:t>prospective studies in the general population</w:t>
      </w:r>
      <w:r w:rsidR="005853A9">
        <w:rPr>
          <w:kern w:val="0"/>
        </w:rPr>
        <w:t xml:space="preserve"> and </w:t>
      </w:r>
      <w:r>
        <w:rPr>
          <w:kern w:val="0"/>
        </w:rPr>
        <w:t xml:space="preserve">in the CKD population indexed in EMBASE, Pubmed, </w:t>
      </w:r>
      <w:r w:rsidR="00D5664A">
        <w:rPr>
          <w:kern w:val="0"/>
        </w:rPr>
        <w:t>Web</w:t>
      </w:r>
      <w:r w:rsidR="00427468">
        <w:rPr>
          <w:kern w:val="0"/>
        </w:rPr>
        <w:t xml:space="preserve"> of </w:t>
      </w:r>
      <w:r w:rsidR="00D5664A">
        <w:rPr>
          <w:kern w:val="0"/>
        </w:rPr>
        <w:t>Science</w:t>
      </w:r>
      <w:r>
        <w:rPr>
          <w:kern w:val="0"/>
        </w:rPr>
        <w:t>, CINAHL, Cochrane</w:t>
      </w:r>
      <w:r w:rsidR="005853A9">
        <w:rPr>
          <w:kern w:val="0"/>
        </w:rPr>
        <w:t xml:space="preserve"> and </w:t>
      </w:r>
      <w:r>
        <w:rPr>
          <w:kern w:val="0"/>
        </w:rPr>
        <w:t>Ageline examining the association between frailty</w:t>
      </w:r>
      <w:r w:rsidR="005853A9">
        <w:rPr>
          <w:kern w:val="0"/>
        </w:rPr>
        <w:t xml:space="preserve"> and </w:t>
      </w:r>
      <w:r>
        <w:rPr>
          <w:kern w:val="0"/>
        </w:rPr>
        <w:t>CKD</w:t>
      </w:r>
      <w:r w:rsidR="005853A9">
        <w:rPr>
          <w:kern w:val="0"/>
        </w:rPr>
        <w:t xml:space="preserve"> and </w:t>
      </w:r>
      <w:r>
        <w:rPr>
          <w:kern w:val="0"/>
        </w:rPr>
        <w:t>those relating frailty in patients with CKD to clinical outcomes. Results: We screened 5,066 abstracts</w:t>
      </w:r>
      <w:r w:rsidR="005853A9">
        <w:rPr>
          <w:kern w:val="0"/>
        </w:rPr>
        <w:t xml:space="preserve"> and </w:t>
      </w:r>
      <w:r>
        <w:rPr>
          <w:kern w:val="0"/>
        </w:rPr>
        <w:t>retrieved 108 studies for full text review. We identified 7 studies associating frailty or physical function to CKD. From the 7 studies, we identified only two studies that related frailty in patients with CKD to a clinical outcome. CKD was consistently associated with increasing frailty or reduced physical function [odds ratios (OR) 1.30 to 3.12]. In patients with CKD, frailty was associated with a greater than two-fold higher risk</w:t>
      </w:r>
      <w:r w:rsidR="00427468">
        <w:rPr>
          <w:kern w:val="0"/>
        </w:rPr>
        <w:t xml:space="preserve"> of </w:t>
      </w:r>
      <w:r>
        <w:rPr>
          <w:kern w:val="0"/>
        </w:rPr>
        <w:t>dialysis and/or death [OR from 2.0 to 5.88]. Conclusions: CKD is associated with a higher risk</w:t>
      </w:r>
      <w:r w:rsidR="00427468">
        <w:rPr>
          <w:kern w:val="0"/>
        </w:rPr>
        <w:t xml:space="preserve"> of </w:t>
      </w:r>
      <w:r>
        <w:rPr>
          <w:kern w:val="0"/>
        </w:rPr>
        <w:t>frailty or diminished physical function. Furthermore, the presence</w:t>
      </w:r>
      <w:r w:rsidR="00427468">
        <w:rPr>
          <w:kern w:val="0"/>
        </w:rPr>
        <w:t xml:space="preserve"> of </w:t>
      </w:r>
      <w:r>
        <w:rPr>
          <w:kern w:val="0"/>
        </w:rPr>
        <w:t>frailty in patients with CKD may lead to a higher risk</w:t>
      </w:r>
      <w:r w:rsidR="00427468">
        <w:rPr>
          <w:kern w:val="0"/>
        </w:rPr>
        <w:t xml:space="preserve"> of </w:t>
      </w:r>
      <w:r>
        <w:rPr>
          <w:kern w:val="0"/>
        </w:rPr>
        <w:t>mortality. Further research must be conducted to understand the mechanisms</w:t>
      </w:r>
      <w:r w:rsidR="00427468">
        <w:rPr>
          <w:kern w:val="0"/>
        </w:rPr>
        <w:t xml:space="preserve"> of </w:t>
      </w:r>
      <w:r>
        <w:rPr>
          <w:kern w:val="0"/>
        </w:rPr>
        <w:t>frailty in CKD</w:t>
      </w:r>
      <w:r w:rsidR="005853A9">
        <w:rPr>
          <w:kern w:val="0"/>
        </w:rPr>
        <w:t xml:space="preserve"> and </w:t>
      </w:r>
      <w:r>
        <w:rPr>
          <w:kern w:val="0"/>
        </w:rPr>
        <w:t xml:space="preserve">to confirm its association with </w:t>
      </w:r>
      <w:r>
        <w:rPr>
          <w:kern w:val="0"/>
        </w:rPr>
        <w:lastRenderedPageBreak/>
        <w:t>clinical outcomes.</w:t>
      </w:r>
    </w:p>
    <w:p w:rsidR="00950466" w:rsidRDefault="00950466" w:rsidP="00950466">
      <w:pPr>
        <w:pStyle w:val="a3"/>
        <w:rPr>
          <w:kern w:val="0"/>
        </w:rPr>
      </w:pPr>
      <w:r>
        <w:rPr>
          <w:kern w:val="0"/>
        </w:rPr>
        <w:t xml:space="preserve">Keywords: Association, Body-Composition, Capacity, Chronic, Chronic Kidney Disease, Chronic Kidney-Disease, Clinical, Clinical Outcomes, Complications, Death, Dialysis, Disease, Elderly, Embase, Exhaustion, Frailty, Function, General, Health, Kidney, Kidney Disease, Lead, Mechanisms, Methods, Mortality, Older-Adults, Outcome, Outcomes, Patients, Performance, Physical, Physical Function, Population, Prevalence, Prospective, Prospective Studies, Purpose, Randomized Controlled-Trial, Research, Results, Review, Risk, Science, Symptoms, Systematic Review, Vulnerability, </w:t>
      </w:r>
      <w:r w:rsidR="00D5664A">
        <w:rPr>
          <w:kern w:val="0"/>
        </w:rPr>
        <w:t>Web</w:t>
      </w:r>
      <w:r w:rsidR="00427468">
        <w:rPr>
          <w:kern w:val="0"/>
        </w:rPr>
        <w:t xml:space="preserve"> of </w:t>
      </w:r>
      <w:r w:rsidR="00D5664A">
        <w:rPr>
          <w:kern w:val="0"/>
        </w:rPr>
        <w:t>Science</w:t>
      </w:r>
    </w:p>
    <w:p w:rsidR="00FA0CA3" w:rsidRDefault="00FA0CA3" w:rsidP="00FA0CA3">
      <w:pPr>
        <w:pStyle w:val="a3"/>
        <w:rPr>
          <w:kern w:val="0"/>
        </w:rPr>
      </w:pPr>
      <w:r>
        <w:rPr>
          <w:rFonts w:hint="eastAsia"/>
          <w:kern w:val="0"/>
        </w:rPr>
        <w:t xml:space="preserve">? </w:t>
      </w:r>
      <w:r>
        <w:rPr>
          <w:kern w:val="0"/>
        </w:rPr>
        <w:t>Li, L., Yang, C., Zhao, Y.L., Zeng, X.X., Liu, F. and Fu, P. (2014), Is hyperuricemia an independent risk factor for new-onset chronic kidney disease?</w:t>
      </w:r>
      <w:r>
        <w:rPr>
          <w:rFonts w:hint="eastAsia"/>
          <w:kern w:val="0"/>
        </w:rPr>
        <w:t>:</w:t>
      </w:r>
      <w:r>
        <w:rPr>
          <w:kern w:val="0"/>
        </w:rPr>
        <w:t xml:space="preserve"> A systematic review and meta-analysis based on observational cohort studies. </w:t>
      </w:r>
      <w:r>
        <w:rPr>
          <w:i/>
          <w:iCs/>
          <w:kern w:val="0"/>
        </w:rPr>
        <w:t>BMC Nephrology</w:t>
      </w:r>
      <w:r>
        <w:rPr>
          <w:kern w:val="0"/>
        </w:rPr>
        <w:t xml:space="preserve">, </w:t>
      </w:r>
      <w:r>
        <w:rPr>
          <w:b/>
          <w:bCs/>
          <w:kern w:val="0"/>
        </w:rPr>
        <w:t>15</w:t>
      </w:r>
      <w:r>
        <w:rPr>
          <w:rFonts w:hint="eastAsia"/>
          <w:kern w:val="0"/>
        </w:rPr>
        <w:t xml:space="preserve">, </w:t>
      </w:r>
      <w:r>
        <w:rPr>
          <w:kern w:val="0"/>
        </w:rPr>
        <w:t xml:space="preserve">Article Number: </w:t>
      </w:r>
      <w:r>
        <w:rPr>
          <w:rFonts w:hint="eastAsia"/>
          <w:kern w:val="0"/>
        </w:rPr>
        <w:t>122.</w:t>
      </w:r>
    </w:p>
    <w:p w:rsidR="00FA0CA3" w:rsidRDefault="00FA0CA3" w:rsidP="00FA0CA3">
      <w:pPr>
        <w:pStyle w:val="a3"/>
        <w:rPr>
          <w:kern w:val="0"/>
        </w:rPr>
      </w:pPr>
      <w:r>
        <w:rPr>
          <w:rFonts w:hint="eastAsia"/>
          <w:kern w:val="0"/>
        </w:rPr>
        <w:t xml:space="preserve">Full Text: </w:t>
      </w:r>
      <w:hyperlink r:id="rId1664" w:history="1">
        <w:r w:rsidRPr="002D5FAD">
          <w:rPr>
            <w:rStyle w:val="a5"/>
            <w:kern w:val="0"/>
          </w:rPr>
          <w:t>2014\BMC Nep15, 122.pdf</w:t>
        </w:r>
      </w:hyperlink>
    </w:p>
    <w:p w:rsidR="00FA0CA3" w:rsidRDefault="00FA0CA3" w:rsidP="00FA0CA3">
      <w:pPr>
        <w:pStyle w:val="a3"/>
        <w:rPr>
          <w:kern w:val="0"/>
        </w:rPr>
      </w:pPr>
      <w:r>
        <w:rPr>
          <w:kern w:val="0"/>
        </w:rPr>
        <w:t>Abstract: Background: Hyperuricemia has been reported to be associated with chronic kidney disease (CKD). However whether an elevated serum uric acid level is an independent risk factor for new-onset CKD remained controversial. Methods: A systematic review and meta-analysis using a literature search of online databases including PubMed, Embase, Ovid and ISI Web/Web of Science was conducted. Summary adjusted odds ratios with corresponding 95% confidence intervals (95% CI) were calculated to evaluate the risk estimates of hyperuricemia for new-onset CKD. Results: Thirteen studies containing 190,718 participants were included. A significant positive association was found between elevated serum uric acid levels and new-onset CKD at follow-up (summary OR, 1.15; 95% CI, 1.05-1.25). Hyperuricemia was found be an independent predictor for the development of newly diagnosed CKD in non-CKD patients (summary OR, 2.35; 95% CI, 1.59-3.46). This association increased with increasing length of follow-up. No significant differences were found for risk estimates of the associations between elevated serum uric acid levels and developing CKD between males and females. Conclusions: With long-term follow-up of non-CKD individuals, elevated serum uric acid levels showed an increased risk for the development of chronic renal dysfunction.</w:t>
      </w:r>
    </w:p>
    <w:p w:rsidR="00FA0CA3" w:rsidRDefault="00FA0CA3" w:rsidP="00FA0CA3">
      <w:pPr>
        <w:pStyle w:val="a3"/>
        <w:rPr>
          <w:kern w:val="0"/>
        </w:rPr>
      </w:pPr>
      <w:r>
        <w:rPr>
          <w:kern w:val="0"/>
        </w:rPr>
        <w:t xml:space="preserve">Keywords: Allopurinol, Association, Blood-Pressure, Cell-Proliferation, Chronic, Chronic Kidney Disease, Cohort, Confidence, Confidence Intervals, Databases, Developing, Development, Disease, Epidemiology, Estimates, Follow-Up, Hyperuricemia, Intervals, Isi, Kidney, Kidney Disease, Length, Levels Predict, Literature, Literature Search, Long Term, Long-Term, Long-Term Follow-Up, Meta Analysis, Meta-Analysis, Metaanalysis, Metabolic Syndrome, Methods, Observational, Online, Patients, Population, Predictor, Pubmed, Renal, Renal-Function, Results, Review, Risk, Risk Factor, Science, Serum, Serum </w:t>
      </w:r>
      <w:r>
        <w:rPr>
          <w:kern w:val="0"/>
        </w:rPr>
        <w:lastRenderedPageBreak/>
        <w:t>Uric-Acid, Systematic, Systematic Review, Uric Acid</w:t>
      </w:r>
    </w:p>
    <w:p w:rsidR="0096099C" w:rsidRPr="00FC7835" w:rsidRDefault="0096099C" w:rsidP="0096099C">
      <w:pPr>
        <w:pStyle w:val="1"/>
      </w:pPr>
      <w:r w:rsidRPr="00DA0D39">
        <w:br w:type="page"/>
      </w:r>
      <w:bookmarkStart w:id="851" w:name="_Toc420814768"/>
      <w:r w:rsidRPr="00FC7835">
        <w:lastRenderedPageBreak/>
        <w:t xml:space="preserve">Title: </w:t>
      </w:r>
      <w:r w:rsidRPr="00430DDC">
        <w:rPr>
          <w:iCs w:val="0"/>
        </w:rPr>
        <w:t xml:space="preserve">BMC </w:t>
      </w:r>
      <w:r w:rsidRPr="00430DDC">
        <w:t>Neurology</w:t>
      </w:r>
      <w:bookmarkEnd w:id="851"/>
    </w:p>
    <w:p w:rsidR="0096099C" w:rsidRPr="00FC7835" w:rsidRDefault="0096099C" w:rsidP="0096099C">
      <w:pPr>
        <w:pStyle w:val="12"/>
      </w:pPr>
      <w:r w:rsidRPr="00FC7835">
        <w:t xml:space="preserve">Full Journal Title: </w:t>
      </w:r>
      <w:r w:rsidRPr="00430DDC">
        <w:rPr>
          <w:iCs/>
          <w:kern w:val="0"/>
        </w:rPr>
        <w:t>BMC Neurology</w:t>
      </w:r>
    </w:p>
    <w:p w:rsidR="0096099C" w:rsidRPr="00FC7835" w:rsidRDefault="0096099C" w:rsidP="0096099C">
      <w:pPr>
        <w:pStyle w:val="12"/>
      </w:pPr>
      <w:r w:rsidRPr="00FC7835">
        <w:t xml:space="preserve">ISO Abbreviated Title: </w:t>
      </w:r>
    </w:p>
    <w:p w:rsidR="0096099C" w:rsidRPr="00FC7835" w:rsidRDefault="0096099C" w:rsidP="0096099C">
      <w:pPr>
        <w:pStyle w:val="12"/>
      </w:pPr>
      <w:r w:rsidRPr="00FC7835">
        <w:t>JCR Abbreviated Title</w:t>
      </w:r>
      <w:r>
        <w:t>:</w:t>
      </w:r>
      <w:r w:rsidRPr="00FC7835">
        <w:t xml:space="preserve"> </w:t>
      </w:r>
    </w:p>
    <w:p w:rsidR="0096099C" w:rsidRPr="00FC7835" w:rsidRDefault="0096099C" w:rsidP="0096099C">
      <w:pPr>
        <w:pStyle w:val="12"/>
      </w:pPr>
      <w:r>
        <w:t xml:space="preserve">ISSN: </w:t>
      </w:r>
    </w:p>
    <w:p w:rsidR="0096099C" w:rsidRPr="00FC7835" w:rsidRDefault="0096099C" w:rsidP="0096099C">
      <w:pPr>
        <w:pStyle w:val="12"/>
      </w:pPr>
      <w:r w:rsidRPr="00FC7835">
        <w:t xml:space="preserve">Issues/Year: </w:t>
      </w:r>
    </w:p>
    <w:p w:rsidR="0096099C" w:rsidRPr="00FC7835" w:rsidRDefault="0096099C" w:rsidP="0096099C">
      <w:pPr>
        <w:pStyle w:val="12"/>
      </w:pPr>
      <w:r>
        <w:t xml:space="preserve">Journal Country/Territory: </w:t>
      </w:r>
    </w:p>
    <w:p w:rsidR="0096099C" w:rsidRPr="00FC7835" w:rsidRDefault="0096099C" w:rsidP="0096099C">
      <w:pPr>
        <w:pStyle w:val="12"/>
      </w:pPr>
      <w:r w:rsidRPr="00FC7835">
        <w:t xml:space="preserve">Language: </w:t>
      </w:r>
    </w:p>
    <w:p w:rsidR="0096099C" w:rsidRPr="00FC7835" w:rsidRDefault="0096099C" w:rsidP="0096099C">
      <w:pPr>
        <w:pStyle w:val="12"/>
      </w:pPr>
      <w:r w:rsidRPr="00FC7835">
        <w:t xml:space="preserve">Publisher: </w:t>
      </w:r>
    </w:p>
    <w:p w:rsidR="0096099C" w:rsidRPr="00FC7835" w:rsidRDefault="0096099C" w:rsidP="0096099C">
      <w:pPr>
        <w:pStyle w:val="12"/>
      </w:pPr>
      <w:r w:rsidRPr="00FC7835">
        <w:t xml:space="preserve">Publisher Address: </w:t>
      </w:r>
    </w:p>
    <w:p w:rsidR="0096099C" w:rsidRPr="00FC7835" w:rsidRDefault="0096099C" w:rsidP="0096099C">
      <w:pPr>
        <w:pStyle w:val="12"/>
      </w:pPr>
      <w:r w:rsidRPr="00FC7835">
        <w:t xml:space="preserve">Subject Categories: </w:t>
      </w:r>
    </w:p>
    <w:p w:rsidR="0096099C" w:rsidRPr="00FC7835" w:rsidRDefault="0096099C" w:rsidP="0096099C">
      <w:pPr>
        <w:pStyle w:val="12"/>
      </w:pPr>
      <w:r w:rsidRPr="00FC7835">
        <w:t xml:space="preserve">: Impact Factor </w:t>
      </w:r>
    </w:p>
    <w:p w:rsidR="0096099C" w:rsidRDefault="0096099C" w:rsidP="0096099C">
      <w:pPr>
        <w:pStyle w:val="a3"/>
        <w:rPr>
          <w:kern w:val="0"/>
        </w:rPr>
      </w:pPr>
      <w:r>
        <w:rPr>
          <w:rFonts w:hint="eastAsia"/>
          <w:kern w:val="0"/>
        </w:rPr>
        <w:t xml:space="preserve">? </w:t>
      </w:r>
      <w:r>
        <w:rPr>
          <w:kern w:val="0"/>
        </w:rPr>
        <w:t>Mo, C.J., Peng, Q.L., Sui, J.Z., Wang, J., Deng, Y., Xie, L., Li, T.J., He, Y., Qin, X. and Li, S. (2014), Lack</w:t>
      </w:r>
      <w:r w:rsidR="00427468">
        <w:rPr>
          <w:kern w:val="0"/>
        </w:rPr>
        <w:t xml:space="preserve"> of </w:t>
      </w:r>
      <w:r>
        <w:rPr>
          <w:kern w:val="0"/>
        </w:rPr>
        <w:t>association between cathepsin D C224T polymorphism and Alzheimer</w:t>
      </w:r>
      <w:r w:rsidR="00700038">
        <w:rPr>
          <w:kern w:val="0"/>
        </w:rPr>
        <w:t>’</w:t>
      </w:r>
      <w:r>
        <w:rPr>
          <w:kern w:val="0"/>
        </w:rPr>
        <w:t xml:space="preserve">s disease risk: An update meta-analysis. </w:t>
      </w:r>
      <w:r w:rsidRPr="00430DDC">
        <w:rPr>
          <w:i/>
          <w:iCs/>
          <w:kern w:val="0"/>
        </w:rPr>
        <w:t>BMC Neurology</w:t>
      </w:r>
      <w:r>
        <w:rPr>
          <w:kern w:val="0"/>
        </w:rPr>
        <w:t xml:space="preserve">, </w:t>
      </w:r>
      <w:r>
        <w:rPr>
          <w:b/>
          <w:bCs/>
          <w:kern w:val="0"/>
        </w:rPr>
        <w:t>14</w:t>
      </w:r>
      <w:r>
        <w:rPr>
          <w:rFonts w:hint="eastAsia"/>
          <w:kern w:val="0"/>
        </w:rPr>
        <w:t>,</w:t>
      </w:r>
      <w:r w:rsidRPr="00430DDC">
        <w:t xml:space="preserve"> </w:t>
      </w:r>
      <w:r w:rsidRPr="00430DDC">
        <w:rPr>
          <w:kern w:val="0"/>
        </w:rPr>
        <w:t>Article Number: 13</w:t>
      </w:r>
      <w:r>
        <w:rPr>
          <w:rFonts w:hint="eastAsia"/>
          <w:kern w:val="0"/>
        </w:rPr>
        <w:t>.</w:t>
      </w:r>
    </w:p>
    <w:p w:rsidR="0096099C" w:rsidRDefault="0096099C" w:rsidP="0096099C">
      <w:pPr>
        <w:pStyle w:val="a3"/>
        <w:rPr>
          <w:kern w:val="0"/>
        </w:rPr>
      </w:pPr>
      <w:r>
        <w:rPr>
          <w:rFonts w:hint="eastAsia"/>
          <w:kern w:val="0"/>
        </w:rPr>
        <w:t xml:space="preserve">Full Text: </w:t>
      </w:r>
      <w:hyperlink r:id="rId1665" w:history="1">
        <w:r w:rsidRPr="00430DDC">
          <w:rPr>
            <w:rStyle w:val="a5"/>
            <w:kern w:val="0"/>
          </w:rPr>
          <w:t>2014\BMC Neu14, 13.pdf</w:t>
        </w:r>
      </w:hyperlink>
    </w:p>
    <w:p w:rsidR="0096099C" w:rsidRDefault="0096099C" w:rsidP="0096099C">
      <w:pPr>
        <w:pStyle w:val="a3"/>
        <w:rPr>
          <w:kern w:val="0"/>
        </w:rPr>
      </w:pPr>
      <w:r>
        <w:rPr>
          <w:kern w:val="0"/>
        </w:rPr>
        <w:t>Abstract: Background: Cathepsin D C224T polymorphism has been reported to associate with AD susceptibility. But the results were inconsistent. This study aimed to assess the relationship between C224T polymorphism and AD risk. Methods: The relevant studies were identified by searching PubMed, Embase, Web</w:t>
      </w:r>
      <w:r w:rsidR="00427468">
        <w:rPr>
          <w:kern w:val="0"/>
        </w:rPr>
        <w:t xml:space="preserve"> of </w:t>
      </w:r>
      <w:r>
        <w:rPr>
          <w:kern w:val="0"/>
        </w:rPr>
        <w:t>Science, Google Scholar and Wan fang electronic databases updated on July 2013</w:t>
      </w:r>
      <w:r w:rsidR="00A37C1D">
        <w:rPr>
          <w:kern w:val="0"/>
        </w:rPr>
        <w:t>. The</w:t>
      </w:r>
      <w:r>
        <w:rPr>
          <w:kern w:val="0"/>
        </w:rPr>
        <w:t xml:space="preserve"> relationship between Cathepsin D C224T polymorphism and AD risk was evaluated by ORs and 95% CIs. Results: A total</w:t>
      </w:r>
      <w:r w:rsidR="00427468">
        <w:rPr>
          <w:kern w:val="0"/>
        </w:rPr>
        <w:t xml:space="preserve"> of </w:t>
      </w:r>
      <w:r>
        <w:rPr>
          <w:kern w:val="0"/>
        </w:rPr>
        <w:t>25 case-control studies including 5,602 cases and 11,049 controls were included in the meta-analysis</w:t>
      </w:r>
      <w:r w:rsidR="00A37C1D">
        <w:rPr>
          <w:kern w:val="0"/>
        </w:rPr>
        <w:t>. The</w:t>
      </w:r>
      <w:r>
        <w:rPr>
          <w:kern w:val="0"/>
        </w:rPr>
        <w:t>re was no association between C224T polymorphism and AD risk with all the studies were pooled in the meta-analysis (CT vs. CC: OR = 1.125, 95% CI = 0.974-1.299, P = 0.109; CT + TT vs. CC: OR = 1.136, 95% CI = 0.978-1.320, P = 0.094). Furthermore, when stratified by ethnicity, age</w:t>
      </w:r>
      <w:r w:rsidR="00427468">
        <w:rPr>
          <w:kern w:val="0"/>
        </w:rPr>
        <w:t xml:space="preserve"> of </w:t>
      </w:r>
      <w:r>
        <w:rPr>
          <w:kern w:val="0"/>
        </w:rPr>
        <w:t>onset and APOE epsilon 4 status, significant association did not found in all subgroups. Conclusion: The present meta-analysis suggested that the Cathepsin D C224T polymorphism was not associated with AD susceptibility.</w:t>
      </w:r>
    </w:p>
    <w:p w:rsidR="0096099C" w:rsidRDefault="0096099C" w:rsidP="0096099C">
      <w:pPr>
        <w:pStyle w:val="a3"/>
        <w:rPr>
          <w:kern w:val="0"/>
        </w:rPr>
      </w:pPr>
      <w:r>
        <w:rPr>
          <w:kern w:val="0"/>
        </w:rPr>
        <w:t>Keywords: AD, Age, Alzheimer</w:t>
      </w:r>
      <w:r w:rsidR="00700038">
        <w:rPr>
          <w:kern w:val="0"/>
        </w:rPr>
        <w:t>’</w:t>
      </w:r>
      <w:r>
        <w:rPr>
          <w:rFonts w:hint="eastAsia"/>
          <w:kern w:val="0"/>
        </w:rPr>
        <w:t>s</w:t>
      </w:r>
      <w:r>
        <w:rPr>
          <w:kern w:val="0"/>
        </w:rPr>
        <w:t xml:space="preserve"> Disease, Amyloid Precursor Protein, Association, Case-Control, Case-Control Studies, Cathepsin D, Complex Disease, CT, D Genetic-Polymorphism, Databases, Dementia, Disease, Ethnicity, Exon-2 Polymorphism, Expression, Google, Google Scholar, Meta Analysis, Meta-Analysis, Metaanalysis, Methods, Onset, P, Polymorphism, Population, Prevalence, Pubmed, </w:t>
      </w:r>
      <w:r>
        <w:rPr>
          <w:kern w:val="0"/>
        </w:rPr>
        <w:lastRenderedPageBreak/>
        <w:t>Replication, Results, Risk, Science, Variants, Web</w:t>
      </w:r>
      <w:r w:rsidR="00427468">
        <w:rPr>
          <w:kern w:val="0"/>
        </w:rPr>
        <w:t xml:space="preserve"> of </w:t>
      </w:r>
      <w:r>
        <w:rPr>
          <w:kern w:val="0"/>
        </w:rPr>
        <w:t>Science</w:t>
      </w:r>
    </w:p>
    <w:p w:rsidR="00D62F75" w:rsidRDefault="00D62F75" w:rsidP="00D62F75">
      <w:pPr>
        <w:pStyle w:val="a3"/>
        <w:rPr>
          <w:kern w:val="0"/>
        </w:rPr>
      </w:pPr>
      <w:r>
        <w:rPr>
          <w:kern w:val="0"/>
        </w:rPr>
        <w:t xml:space="preserve">? Meyer-Moock, S., Feng, Y.S., Maeurer, M., Dippel, F.W. and Kohlmann, T. (2014), Systematic literature review and validity evaluation of the Expanded Disability Status Scale (EDSS) and the Multiple Sclerosis Functional Composite (MSFC) in patients with multiple sclerosis. </w:t>
      </w:r>
      <w:r>
        <w:rPr>
          <w:i/>
          <w:iCs/>
          <w:kern w:val="0"/>
        </w:rPr>
        <w:t>BMC Neurology</w:t>
      </w:r>
      <w:r>
        <w:rPr>
          <w:kern w:val="0"/>
        </w:rPr>
        <w:t xml:space="preserve">, </w:t>
      </w:r>
      <w:r>
        <w:rPr>
          <w:b/>
          <w:bCs/>
          <w:kern w:val="0"/>
        </w:rPr>
        <w:t>14</w:t>
      </w:r>
      <w:r>
        <w:rPr>
          <w:kern w:val="0"/>
        </w:rPr>
        <w:t>,</w:t>
      </w:r>
      <w:r w:rsidRPr="00430DDC">
        <w:t xml:space="preserve"> </w:t>
      </w:r>
      <w:r w:rsidRPr="00430DDC">
        <w:rPr>
          <w:kern w:val="0"/>
        </w:rPr>
        <w:t xml:space="preserve">Article Number: </w:t>
      </w:r>
      <w:r>
        <w:rPr>
          <w:kern w:val="0"/>
        </w:rPr>
        <w:t>58.</w:t>
      </w:r>
    </w:p>
    <w:p w:rsidR="00D62F75" w:rsidRDefault="00D62F75" w:rsidP="00D62F75">
      <w:pPr>
        <w:pStyle w:val="a3"/>
        <w:rPr>
          <w:kern w:val="0"/>
        </w:rPr>
      </w:pPr>
      <w:r>
        <w:rPr>
          <w:kern w:val="0"/>
        </w:rPr>
        <w:t xml:space="preserve">Full Text: </w:t>
      </w:r>
      <w:hyperlink r:id="rId1666" w:history="1">
        <w:r w:rsidRPr="006D37EB">
          <w:rPr>
            <w:rStyle w:val="a5"/>
            <w:kern w:val="0"/>
          </w:rPr>
          <w:t>2014\BMC Neu14, 58.pdf</w:t>
        </w:r>
      </w:hyperlink>
    </w:p>
    <w:p w:rsidR="00D62F75" w:rsidRDefault="00D62F75" w:rsidP="00D62F75">
      <w:pPr>
        <w:pStyle w:val="a3"/>
        <w:rPr>
          <w:kern w:val="0"/>
        </w:rPr>
      </w:pPr>
      <w:r>
        <w:rPr>
          <w:kern w:val="0"/>
        </w:rPr>
        <w:t>Abstract: Background: There are a number of instruments that describe severity and progression of multiple sclerosis and they are increasingly used as endpoints to assess the effectiveness of therapeutic interventions. We examined to what extent the psychometric properties of two accepted instruments - EDSS and MSFC - meet methodological standards and the value they have in clinical trials. Methods: We conducted a systematic literature search in relevant databases [MEDLINE (PubMed), ISI Web of Science, EMBASE, PsycINFO &amp; PSYNDEX, CINAHL] yielding 3,860 results. Relevant full-text publications were identified using abstract and then full-text reviews, and the literature was reviewed. Results: For evaluation of psychometric properties (validity, reliability, sensitivity of change) of EDSS and MSFC, 120 relevant full-text publications were identified, 54 of them assessed the EDSS, 26 the MSFC and 40 included both instruments</w:t>
      </w:r>
      <w:r w:rsidR="00A37C1D">
        <w:rPr>
          <w:kern w:val="0"/>
        </w:rPr>
        <w:t>. The</w:t>
      </w:r>
      <w:r>
        <w:rPr>
          <w:kern w:val="0"/>
        </w:rPr>
        <w:t xml:space="preserve"> EDSS has some documented weaknesses in reliability and sensitivity to change</w:t>
      </w:r>
      <w:r w:rsidR="00A37C1D">
        <w:rPr>
          <w:kern w:val="0"/>
        </w:rPr>
        <w:t>. The</w:t>
      </w:r>
      <w:r>
        <w:rPr>
          <w:kern w:val="0"/>
        </w:rPr>
        <w:t xml:space="preserve"> main limitations of the MSFC are learning effects and the z-scores method used to calculate the total score. However, the methodological criterion of validity applies sufficiently for both instruments. For use in clinical studies, we found the EDSS to be preferred as a primary and secondary outcome measure in recent studies (50 EDSS, 9 MSFC). Conclusions: Recognizing their strengths and weaknesses, both EDSS and MSFC are suitable to detect the effectiveness of clinical interventions and to monitor disease progression. Almost all publications identify the EDSS as the most widely used tool to measure disease outcomes in clinical trials. Despite some limitations, both instruments are accepted as endpoints and neither are discussed as surrogate parameters in identified publications. A great advantage of the EDSS is its international acceptance (e. g. by EMA) as a primary endpoint in clinical trials and its broad use in trials, enabling cross-study comparisons.</w:t>
      </w:r>
    </w:p>
    <w:p w:rsidR="00D62F75" w:rsidRDefault="00D62F75" w:rsidP="00D62F75">
      <w:pPr>
        <w:pStyle w:val="a3"/>
        <w:rPr>
          <w:kern w:val="0"/>
        </w:rPr>
      </w:pPr>
      <w:r>
        <w:rPr>
          <w:kern w:val="0"/>
        </w:rPr>
        <w:t xml:space="preserve">Keywords: Acceptance, Clinical, Clinical Studies, Clinical Trials, Clinical-Outcome Measures, Composite, Contrast Letter Acuity, Databases, Disability, Disease, Disease Progression, Double-Blind, Effectiveness, Effects, Embase, Evaluation, Expanded Disability Status Scale (EDSS), Instruments, International, Interrater Reliability, Interventions, ISI, ISI Web of Science, Learning, Literature, Literature Review, Literature Search, Mar, Measure, Methods, Multiple Sclerosis, Multiple Sclerosis Functional Composite (MSFC), Outcome, Outcome Measure, Outcomes, Patients, Placebo-Controlled Trial, Primary, Progression, Properties, Psychometric </w:t>
      </w:r>
      <w:r>
        <w:rPr>
          <w:kern w:val="0"/>
        </w:rPr>
        <w:lastRenderedPageBreak/>
        <w:t>Properties, Psycinfo, Publications, Pubmed, Quality-Of-Life, Rating-Scales, Recent, Reliability, Results, Review, Reviews, Scale, Science, Sensitivity, Sensitivity of Change, Serial Addition Test, Standards, Surrogate, Systematic Literature Review, Systematic Literature Search, Therapeutic, Timed 25-Foot Walk, Validity, Value, Web of Science</w:t>
      </w:r>
    </w:p>
    <w:p w:rsidR="003474F2" w:rsidRPr="001A3D2B" w:rsidRDefault="003474F2" w:rsidP="003474F2">
      <w:pPr>
        <w:pStyle w:val="1"/>
      </w:pPr>
      <w:r w:rsidRPr="001A3D2B">
        <w:br w:type="page"/>
      </w:r>
      <w:bookmarkStart w:id="852" w:name="_Toc420814769"/>
      <w:r w:rsidRPr="001A3D2B">
        <w:lastRenderedPageBreak/>
        <w:t>Title: BMC Nursing</w:t>
      </w:r>
      <w:bookmarkEnd w:id="852"/>
    </w:p>
    <w:p w:rsidR="003474F2" w:rsidRPr="001A3D2B" w:rsidRDefault="003474F2" w:rsidP="003474F2">
      <w:pPr>
        <w:pStyle w:val="12"/>
      </w:pPr>
      <w:r w:rsidRPr="001A3D2B">
        <w:t xml:space="preserve">Full Journal Title: </w:t>
      </w:r>
      <w:hyperlink r:id="rId1667" w:history="1">
        <w:r w:rsidRPr="001A3D2B">
          <w:rPr>
            <w:rStyle w:val="a5"/>
          </w:rPr>
          <w:t>BMC Nursing</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JCR Abbreviated Title: BMC Nurs</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Gallagher, A., Li, S., Wainwright, P., Jones, I.R.</w:t>
      </w:r>
      <w:r w:rsidR="005853A9">
        <w:t xml:space="preserve"> and </w:t>
      </w:r>
      <w:r w:rsidRPr="001A3D2B">
        <w:t>Lee, D. (2008), Dignity in</w:t>
      </w:r>
      <w:r w:rsidR="003A1917">
        <w:t xml:space="preserve"> the </w:t>
      </w:r>
      <w:r w:rsidRPr="001A3D2B">
        <w:t>care</w:t>
      </w:r>
      <w:r w:rsidR="00427468">
        <w:t xml:space="preserve"> of </w:t>
      </w:r>
      <w:r w:rsidRPr="001A3D2B">
        <w:t>older people - a review</w:t>
      </w:r>
      <w:r w:rsidR="00427468">
        <w:t xml:space="preserve"> of </w:t>
      </w:r>
      <w:r w:rsidR="003A1917">
        <w:t xml:space="preserve">the </w:t>
      </w:r>
      <w:r w:rsidRPr="001A3D2B">
        <w:t>theoretical</w:t>
      </w:r>
      <w:r w:rsidR="005853A9">
        <w:t xml:space="preserve"> and </w:t>
      </w:r>
      <w:r w:rsidRPr="001A3D2B">
        <w:t xml:space="preserve">empirical literature. </w:t>
      </w:r>
      <w:r w:rsidRPr="001A3D2B">
        <w:rPr>
          <w:i/>
          <w:iCs/>
        </w:rPr>
        <w:t>BMC Nursing</w:t>
      </w:r>
      <w:r w:rsidRPr="001A3D2B">
        <w:t xml:space="preserve">, </w:t>
      </w:r>
      <w:r w:rsidRPr="001A3D2B">
        <w:rPr>
          <w:b/>
          <w:bCs/>
        </w:rPr>
        <w:t>7</w:t>
      </w:r>
      <w:r w:rsidRPr="001A3D2B">
        <w:t xml:space="preserve"> (11), 1-12.</w:t>
      </w:r>
    </w:p>
    <w:p w:rsidR="003474F2" w:rsidRPr="001A3D2B" w:rsidRDefault="003474F2" w:rsidP="003474F2">
      <w:pPr>
        <w:pStyle w:val="a3"/>
      </w:pPr>
      <w:r w:rsidRPr="001A3D2B">
        <w:t xml:space="preserve">Full Text: </w:t>
      </w:r>
      <w:hyperlink r:id="rId1668" w:history="1">
        <w:r w:rsidRPr="001A3D2B">
          <w:rPr>
            <w:rStyle w:val="a5"/>
          </w:rPr>
          <w:t>2008\BMC Nur7, 1.pdf</w:t>
        </w:r>
      </w:hyperlink>
    </w:p>
    <w:p w:rsidR="003474F2" w:rsidRPr="001A3D2B" w:rsidRDefault="003474F2" w:rsidP="003474F2">
      <w:pPr>
        <w:pStyle w:val="a3"/>
      </w:pPr>
      <w:r w:rsidRPr="001A3D2B">
        <w:t>Abstract:</w:t>
      </w:r>
      <w:r w:rsidR="001E1D98">
        <w:t>Abstract:</w:t>
      </w:r>
      <w:r w:rsidRPr="001A3D2B">
        <w:t xml:space="preserve"> BACKGROUND: Dignity has become a central concern in UK health policy in relation to older</w:t>
      </w:r>
      <w:r w:rsidR="005853A9">
        <w:t xml:space="preserve"> and </w:t>
      </w:r>
      <w:r w:rsidRPr="001A3D2B">
        <w:t>vulnerable people</w:t>
      </w:r>
      <w:r w:rsidR="00A37C1D">
        <w:t>. The</w:t>
      </w:r>
      <w:r w:rsidR="003A1917">
        <w:t xml:space="preserve"> </w:t>
      </w:r>
      <w:r w:rsidRPr="001A3D2B">
        <w:t>empirical</w:t>
      </w:r>
      <w:r w:rsidR="005853A9">
        <w:t xml:space="preserve"> and </w:t>
      </w:r>
      <w:r w:rsidRPr="001A3D2B">
        <w:t>theoretical literature relating to dignity is extensive</w:t>
      </w:r>
      <w:r w:rsidR="005853A9">
        <w:t xml:space="preserve"> and </w:t>
      </w:r>
      <w:r w:rsidRPr="001A3D2B">
        <w:t>as likely to confound</w:t>
      </w:r>
      <w:r w:rsidR="005853A9">
        <w:t xml:space="preserve"> and </w:t>
      </w:r>
      <w:r w:rsidRPr="001A3D2B">
        <w:t>confuse as to clarify</w:t>
      </w:r>
      <w:r w:rsidR="003A1917">
        <w:t xml:space="preserve"> the </w:t>
      </w:r>
      <w:r w:rsidRPr="001A3D2B">
        <w:t>meaning</w:t>
      </w:r>
      <w:r w:rsidR="00427468">
        <w:t xml:space="preserve"> of </w:t>
      </w:r>
      <w:r w:rsidRPr="001A3D2B">
        <w:t>dignity for nurses in practice</w:t>
      </w:r>
      <w:r w:rsidR="00A37C1D">
        <w:t>. The</w:t>
      </w:r>
      <w:r w:rsidR="003A1917">
        <w:t xml:space="preserve"> </w:t>
      </w:r>
      <w:r w:rsidRPr="001A3D2B">
        <w:t>aim</w:t>
      </w:r>
      <w:r w:rsidR="00427468">
        <w:t xml:space="preserve"> of </w:t>
      </w:r>
      <w:r w:rsidRPr="001A3D2B">
        <w:t>this paper is critically to examine</w:t>
      </w:r>
      <w:r w:rsidR="003A1917">
        <w:t xml:space="preserve"> the </w:t>
      </w:r>
      <w:r w:rsidRPr="001A3D2B">
        <w:t>literature</w:t>
      </w:r>
      <w:r w:rsidR="005853A9">
        <w:t xml:space="preserve"> and </w:t>
      </w:r>
      <w:r w:rsidRPr="001A3D2B">
        <w:t>to address</w:t>
      </w:r>
      <w:r w:rsidR="003A1917">
        <w:t xml:space="preserve"> the </w:t>
      </w:r>
      <w:r w:rsidRPr="001A3D2B">
        <w:t>following questions: What does dignity mean? What promotes</w:t>
      </w:r>
      <w:r w:rsidR="005853A9">
        <w:t xml:space="preserve"> and </w:t>
      </w:r>
      <w:r w:rsidRPr="001A3D2B">
        <w:t>diminishes dignity?</w:t>
      </w:r>
      <w:r w:rsidR="005853A9">
        <w:t xml:space="preserve"> and </w:t>
      </w:r>
      <w:r w:rsidRPr="001A3D2B">
        <w:t>how might dignity be operationalised in</w:t>
      </w:r>
      <w:r w:rsidR="003A1917">
        <w:t xml:space="preserve"> the </w:t>
      </w:r>
      <w:r w:rsidRPr="001A3D2B">
        <w:t>care</w:t>
      </w:r>
      <w:r w:rsidR="00427468">
        <w:t xml:space="preserve"> of </w:t>
      </w:r>
      <w:r w:rsidRPr="001A3D2B">
        <w:t>older people? This paper critically reviews</w:t>
      </w:r>
      <w:r w:rsidR="003A1917">
        <w:t xml:space="preserve"> the </w:t>
      </w:r>
      <w:r w:rsidRPr="001A3D2B">
        <w:t>theoretical</w:t>
      </w:r>
      <w:r w:rsidR="005853A9">
        <w:t xml:space="preserve"> and </w:t>
      </w:r>
      <w:r w:rsidRPr="001A3D2B">
        <w:t>empirical literature relating to dignity</w:t>
      </w:r>
      <w:r w:rsidR="005853A9">
        <w:t xml:space="preserve"> and </w:t>
      </w:r>
      <w:r w:rsidRPr="001A3D2B">
        <w:t>clarifies</w:t>
      </w:r>
      <w:r w:rsidR="003A1917">
        <w:t xml:space="preserve"> the </w:t>
      </w:r>
      <w:r w:rsidRPr="001A3D2B">
        <w:t>meaning</w:t>
      </w:r>
      <w:r w:rsidR="005853A9">
        <w:t xml:space="preserve"> and </w:t>
      </w:r>
      <w:r w:rsidRPr="001A3D2B">
        <w:t>implications</w:t>
      </w:r>
      <w:r w:rsidR="00427468">
        <w:t xml:space="preserve"> of </w:t>
      </w:r>
      <w:r w:rsidRPr="001A3D2B">
        <w:t>dignity in relation to</w:t>
      </w:r>
      <w:r w:rsidR="003A1917">
        <w:t xml:space="preserve"> the </w:t>
      </w:r>
      <w:r w:rsidRPr="001A3D2B">
        <w:t>care</w:t>
      </w:r>
      <w:r w:rsidR="00427468">
        <w:t xml:space="preserve"> of </w:t>
      </w:r>
      <w:r w:rsidRPr="001A3D2B">
        <w:t>older people. If nurses are to provide dignified care clarification is an essential first step. METHODS: This is a review article, critically examining papers reporting theoretical perspectives</w:t>
      </w:r>
      <w:r w:rsidR="005853A9">
        <w:t xml:space="preserve"> and </w:t>
      </w:r>
      <w:r w:rsidRPr="001A3D2B">
        <w:t>empirical studies relating to dignity</w:t>
      </w:r>
      <w:r w:rsidR="00A37C1D">
        <w:t>. The</w:t>
      </w:r>
      <w:r w:rsidR="003A1917">
        <w:t xml:space="preserve"> </w:t>
      </w:r>
      <w:r w:rsidRPr="001A3D2B">
        <w:t>following databases were searched: Assia, BHI, CINAHL, Social Services Abstracts, IBSS, Web</w:t>
      </w:r>
      <w:r w:rsidR="00427468">
        <w:t xml:space="preserve"> of </w:t>
      </w:r>
      <w:r w:rsidRPr="001A3D2B">
        <w:t>Knowledge Social Sciences Citation Index</w:t>
      </w:r>
      <w:r w:rsidR="005853A9">
        <w:t xml:space="preserve"> and </w:t>
      </w:r>
      <w:r w:rsidRPr="001A3D2B">
        <w:t>Arts &amp; Humanities Citation Index</w:t>
      </w:r>
      <w:r w:rsidR="005853A9">
        <w:t xml:space="preserve"> and </w:t>
      </w:r>
      <w:r w:rsidRPr="001A3D2B">
        <w:t>location</w:t>
      </w:r>
      <w:r w:rsidR="00427468">
        <w:t xml:space="preserve"> of </w:t>
      </w:r>
      <w:r w:rsidRPr="001A3D2B">
        <w:t>books a chapters in philosophy literature. An analytical approach was adopted to</w:t>
      </w:r>
      <w:r w:rsidR="003A1917">
        <w:t xml:space="preserve"> the </w:t>
      </w:r>
      <w:r w:rsidRPr="001A3D2B">
        <w:t>publications reviewed, focusing on</w:t>
      </w:r>
      <w:r w:rsidR="003A1917">
        <w:t xml:space="preserve"> the </w:t>
      </w:r>
      <w:r w:rsidRPr="001A3D2B">
        <w:t>objectives</w:t>
      </w:r>
      <w:r w:rsidR="00427468">
        <w:t xml:space="preserve"> of </w:t>
      </w:r>
      <w:r w:rsidR="003A1917">
        <w:t xml:space="preserve">the </w:t>
      </w:r>
      <w:r w:rsidRPr="001A3D2B">
        <w:t>review. RESULTS</w:t>
      </w:r>
      <w:r w:rsidR="005853A9">
        <w:t xml:space="preserve"> and </w:t>
      </w:r>
      <w:r w:rsidRPr="001A3D2B">
        <w:t>DISCUSSION: We review a range</w:t>
      </w:r>
      <w:r w:rsidR="00427468">
        <w:t xml:space="preserve"> of </w:t>
      </w:r>
      <w:r w:rsidRPr="001A3D2B">
        <w:t>theoretical</w:t>
      </w:r>
      <w:r w:rsidR="005853A9">
        <w:t xml:space="preserve"> and </w:t>
      </w:r>
      <w:r w:rsidRPr="001A3D2B">
        <w:t>empirical accounts</w:t>
      </w:r>
      <w:r w:rsidR="00427468">
        <w:t xml:space="preserve"> of </w:t>
      </w:r>
      <w:r w:rsidRPr="001A3D2B">
        <w:t>dignity</w:t>
      </w:r>
      <w:r w:rsidR="005853A9">
        <w:t xml:space="preserve"> and </w:t>
      </w:r>
      <w:r w:rsidRPr="001A3D2B">
        <w:t>identify key dignity promoting factors evident in</w:t>
      </w:r>
      <w:r w:rsidR="003A1917">
        <w:t xml:space="preserve"> the </w:t>
      </w:r>
      <w:r w:rsidRPr="001A3D2B">
        <w:t>literature, including staff attitudes</w:t>
      </w:r>
      <w:r w:rsidR="005853A9">
        <w:t xml:space="preserve"> and </w:t>
      </w:r>
      <w:r w:rsidRPr="001A3D2B">
        <w:t>behaviour; environment; culture</w:t>
      </w:r>
      <w:r w:rsidR="00427468">
        <w:t xml:space="preserve"> of </w:t>
      </w:r>
      <w:r w:rsidRPr="001A3D2B">
        <w:t>care;</w:t>
      </w:r>
      <w:r w:rsidR="005853A9">
        <w:t xml:space="preserve"> and </w:t>
      </w:r>
      <w:r w:rsidR="003A1917">
        <w:t xml:space="preserve">the </w:t>
      </w:r>
      <w:r w:rsidRPr="001A3D2B">
        <w:t>performance</w:t>
      </w:r>
      <w:r w:rsidR="00427468">
        <w:t xml:space="preserve"> of </w:t>
      </w:r>
      <w:r w:rsidRPr="001A3D2B">
        <w:t>specific care activities. Although there is scope to learn more about cultural aspects</w:t>
      </w:r>
      <w:r w:rsidR="00427468">
        <w:t xml:space="preserve"> of </w:t>
      </w:r>
      <w:r w:rsidRPr="001A3D2B">
        <w:t xml:space="preserve">dignity we know a good deal about dignity in care in general terms. </w:t>
      </w:r>
      <w:r w:rsidRPr="001A3D2B">
        <w:lastRenderedPageBreak/>
        <w:t>CONCLUSION: We argue that what is required is to provide sufficient support</w:t>
      </w:r>
      <w:r w:rsidR="005853A9">
        <w:t xml:space="preserve"> and </w:t>
      </w:r>
      <w:r w:rsidRPr="001A3D2B">
        <w:t>education to help nurses understand dignity</w:t>
      </w:r>
      <w:r w:rsidR="005853A9">
        <w:t xml:space="preserve"> and </w:t>
      </w:r>
      <w:r w:rsidRPr="001A3D2B">
        <w:t>adequate resources to operationalise dignity in their everyday practice. Using</w:t>
      </w:r>
      <w:r w:rsidR="003A1917">
        <w:t xml:space="preserve"> the </w:t>
      </w:r>
      <w:r w:rsidRPr="001A3D2B">
        <w:t>themes identified from our review we offer proposals for</w:t>
      </w:r>
      <w:r w:rsidR="003A1917">
        <w:t xml:space="preserve"> the </w:t>
      </w:r>
      <w:r w:rsidRPr="001A3D2B">
        <w:t>direction</w:t>
      </w:r>
      <w:r w:rsidR="00427468">
        <w:t xml:space="preserve"> of </w:t>
      </w:r>
      <w:r w:rsidRPr="001A3D2B">
        <w:t>future research.</w:t>
      </w:r>
    </w:p>
    <w:p w:rsidR="003474F2" w:rsidRPr="001A3D2B" w:rsidRDefault="003474F2" w:rsidP="003474F2">
      <w:pPr>
        <w:pStyle w:val="a3"/>
      </w:pPr>
      <w:r w:rsidRPr="001A3D2B">
        <w:t>Keywords: Approach, Attitudes, Background, Behaviour, Care, Cultural, Culture, Databases, Education, Empirical Studies, Environment, First, General, Health, Health Policy, Literature, Location, Methods, Nurses, Older People, Papers, Performance, Philosophy, Policy, Practice, Publications, Reporting, Research, Review, Reviews, Scope, Support, UK</w:t>
      </w:r>
    </w:p>
    <w:p w:rsidR="000519B7" w:rsidRPr="001A3D2B" w:rsidRDefault="000519B7" w:rsidP="000519B7">
      <w:pPr>
        <w:pStyle w:val="1"/>
      </w:pPr>
      <w:r w:rsidRPr="001A3D2B">
        <w:br w:type="page"/>
      </w:r>
      <w:bookmarkStart w:id="853" w:name="_Toc420814770"/>
      <w:r w:rsidRPr="001A3D2B">
        <w:lastRenderedPageBreak/>
        <w:t xml:space="preserve">Title: </w:t>
      </w:r>
      <w:r w:rsidRPr="000519B7">
        <w:rPr>
          <w:rFonts w:hint="eastAsia"/>
          <w:iCs w:val="0"/>
          <w:szCs w:val="24"/>
        </w:rPr>
        <w:t>BMC Ophthalmology</w:t>
      </w:r>
      <w:bookmarkEnd w:id="853"/>
    </w:p>
    <w:p w:rsidR="000519B7" w:rsidRPr="001A3D2B" w:rsidRDefault="000519B7" w:rsidP="000519B7">
      <w:pPr>
        <w:pStyle w:val="12"/>
      </w:pPr>
      <w:r w:rsidRPr="001A3D2B">
        <w:t xml:space="preserve">Full Journal Title: </w:t>
      </w:r>
      <w:r w:rsidRPr="000519B7">
        <w:rPr>
          <w:rFonts w:hint="eastAsia"/>
          <w:iCs/>
          <w:kern w:val="0"/>
        </w:rPr>
        <w:t>BMC Ophthalmology</w:t>
      </w:r>
    </w:p>
    <w:p w:rsidR="000519B7" w:rsidRPr="001A3D2B" w:rsidRDefault="000519B7" w:rsidP="000519B7">
      <w:pPr>
        <w:pStyle w:val="12"/>
      </w:pPr>
      <w:r w:rsidRPr="001A3D2B">
        <w:t xml:space="preserve">ISO Abbreviated Title: </w:t>
      </w:r>
    </w:p>
    <w:p w:rsidR="000519B7" w:rsidRPr="001A3D2B" w:rsidRDefault="000519B7" w:rsidP="000519B7">
      <w:pPr>
        <w:pStyle w:val="12"/>
      </w:pPr>
      <w:r w:rsidRPr="001A3D2B">
        <w:t xml:space="preserve">JCR Abbreviated Title: </w:t>
      </w:r>
    </w:p>
    <w:p w:rsidR="000519B7" w:rsidRPr="001A3D2B" w:rsidRDefault="000519B7" w:rsidP="000519B7">
      <w:pPr>
        <w:pStyle w:val="12"/>
      </w:pPr>
      <w:r w:rsidRPr="001A3D2B">
        <w:t xml:space="preserve">ISSN: </w:t>
      </w:r>
    </w:p>
    <w:p w:rsidR="000519B7" w:rsidRPr="001A3D2B" w:rsidRDefault="000519B7" w:rsidP="000519B7">
      <w:pPr>
        <w:pStyle w:val="12"/>
      </w:pPr>
      <w:r w:rsidRPr="001A3D2B">
        <w:t xml:space="preserve">Issues/Year: </w:t>
      </w:r>
    </w:p>
    <w:p w:rsidR="000519B7" w:rsidRPr="001A3D2B" w:rsidRDefault="000519B7" w:rsidP="000519B7">
      <w:pPr>
        <w:pStyle w:val="12"/>
      </w:pPr>
      <w:r w:rsidRPr="001A3D2B">
        <w:t xml:space="preserve">Journal Country/Territory: </w:t>
      </w:r>
    </w:p>
    <w:p w:rsidR="000519B7" w:rsidRPr="001A3D2B" w:rsidRDefault="000519B7" w:rsidP="000519B7">
      <w:pPr>
        <w:pStyle w:val="12"/>
      </w:pPr>
      <w:r w:rsidRPr="001A3D2B">
        <w:t xml:space="preserve">Language: </w:t>
      </w:r>
    </w:p>
    <w:p w:rsidR="000519B7" w:rsidRPr="001A3D2B" w:rsidRDefault="000519B7" w:rsidP="000519B7">
      <w:pPr>
        <w:pStyle w:val="12"/>
      </w:pPr>
      <w:r w:rsidRPr="001A3D2B">
        <w:t xml:space="preserve">Publisher: </w:t>
      </w:r>
    </w:p>
    <w:p w:rsidR="000519B7" w:rsidRPr="001A3D2B" w:rsidRDefault="000519B7" w:rsidP="000519B7">
      <w:pPr>
        <w:pStyle w:val="12"/>
      </w:pPr>
      <w:r w:rsidRPr="001A3D2B">
        <w:t xml:space="preserve">Publisher Address: </w:t>
      </w:r>
    </w:p>
    <w:p w:rsidR="000519B7" w:rsidRPr="001A3D2B" w:rsidRDefault="000519B7" w:rsidP="000519B7">
      <w:pPr>
        <w:pStyle w:val="12"/>
      </w:pPr>
      <w:r w:rsidRPr="001A3D2B">
        <w:t xml:space="preserve">Subject Categories: </w:t>
      </w:r>
    </w:p>
    <w:p w:rsidR="000519B7" w:rsidRPr="001A3D2B" w:rsidRDefault="000519B7" w:rsidP="000519B7">
      <w:pPr>
        <w:pStyle w:val="12"/>
      </w:pPr>
      <w:r w:rsidRPr="001A3D2B">
        <w:t xml:space="preserve">: Impact Factor </w:t>
      </w:r>
    </w:p>
    <w:p w:rsidR="000519B7" w:rsidRDefault="000519B7" w:rsidP="000519B7">
      <w:pPr>
        <w:pStyle w:val="a3"/>
        <w:rPr>
          <w:kern w:val="0"/>
          <w:szCs w:val="24"/>
        </w:rPr>
      </w:pPr>
      <w:r>
        <w:rPr>
          <w:rFonts w:hint="eastAsia"/>
          <w:kern w:val="0"/>
          <w:szCs w:val="24"/>
        </w:rPr>
        <w:t>? Huang, W.B., Wang, W., Zhan, J., Zhou, M.W., Chen, S.D.</w:t>
      </w:r>
      <w:r w:rsidR="005853A9">
        <w:rPr>
          <w:rFonts w:hint="eastAsia"/>
          <w:kern w:val="0"/>
          <w:szCs w:val="24"/>
        </w:rPr>
        <w:t xml:space="preserve"> and </w:t>
      </w:r>
      <w:r>
        <w:rPr>
          <w:rFonts w:hint="eastAsia"/>
          <w:kern w:val="0"/>
          <w:szCs w:val="24"/>
        </w:rPr>
        <w:t>Zhang, X.L. (2013), Scientific publications in ophthalmic journals from China</w:t>
      </w:r>
      <w:r w:rsidR="005853A9">
        <w:rPr>
          <w:rFonts w:hint="eastAsia"/>
          <w:kern w:val="0"/>
          <w:szCs w:val="24"/>
        </w:rPr>
        <w:t xml:space="preserve"> and </w:t>
      </w:r>
      <w:r>
        <w:rPr>
          <w:rFonts w:hint="eastAsia"/>
          <w:kern w:val="0"/>
          <w:szCs w:val="24"/>
        </w:rPr>
        <w:t>other top-ranking countries: A 12-year review</w:t>
      </w:r>
      <w:r w:rsidR="00427468">
        <w:rPr>
          <w:rFonts w:hint="eastAsia"/>
          <w:kern w:val="0"/>
          <w:szCs w:val="24"/>
        </w:rPr>
        <w:t xml:space="preserve"> of </w:t>
      </w:r>
      <w:r>
        <w:rPr>
          <w:rFonts w:hint="eastAsia"/>
          <w:kern w:val="0"/>
          <w:szCs w:val="24"/>
        </w:rPr>
        <w:t xml:space="preserve">the literature. </w:t>
      </w:r>
      <w:r w:rsidRPr="000519B7">
        <w:rPr>
          <w:rFonts w:hint="eastAsia"/>
          <w:i/>
          <w:iCs/>
          <w:kern w:val="0"/>
          <w:szCs w:val="24"/>
        </w:rPr>
        <w:t>BMC Ophthalmology</w:t>
      </w:r>
      <w:r>
        <w:rPr>
          <w:rFonts w:hint="eastAsia"/>
          <w:kern w:val="0"/>
          <w:szCs w:val="24"/>
        </w:rPr>
        <w:t xml:space="preserve">, </w:t>
      </w:r>
      <w:r>
        <w:rPr>
          <w:rFonts w:hint="eastAsia"/>
          <w:b/>
          <w:bCs/>
          <w:kern w:val="0"/>
          <w:szCs w:val="24"/>
        </w:rPr>
        <w:t>13</w:t>
      </w:r>
      <w:r>
        <w:rPr>
          <w:rFonts w:hint="eastAsia"/>
          <w:kern w:val="0"/>
          <w:szCs w:val="24"/>
        </w:rPr>
        <w:t>, Article Number: UNSP 25.</w:t>
      </w:r>
    </w:p>
    <w:p w:rsidR="000519B7" w:rsidRDefault="000519B7" w:rsidP="000519B7">
      <w:pPr>
        <w:pStyle w:val="a3"/>
        <w:rPr>
          <w:kern w:val="0"/>
          <w:szCs w:val="24"/>
        </w:rPr>
      </w:pPr>
      <w:r>
        <w:rPr>
          <w:rFonts w:hint="eastAsia"/>
          <w:kern w:val="0"/>
          <w:szCs w:val="24"/>
        </w:rPr>
        <w:t xml:space="preserve">Full Text: </w:t>
      </w:r>
      <w:hyperlink r:id="rId1669" w:history="1">
        <w:r w:rsidRPr="000519B7">
          <w:rPr>
            <w:rStyle w:val="a5"/>
            <w:kern w:val="0"/>
            <w:szCs w:val="24"/>
          </w:rPr>
          <w:t>2013\BMC Oph13, UNSP 25.pdf</w:t>
        </w:r>
      </w:hyperlink>
    </w:p>
    <w:p w:rsidR="000519B7" w:rsidRDefault="000519B7" w:rsidP="000519B7">
      <w:pPr>
        <w:pStyle w:val="a3"/>
        <w:rPr>
          <w:kern w:val="0"/>
          <w:szCs w:val="24"/>
        </w:rPr>
      </w:pPr>
      <w:r>
        <w:rPr>
          <w:rFonts w:hint="eastAsia"/>
          <w:kern w:val="0"/>
          <w:szCs w:val="24"/>
        </w:rPr>
        <w:t>Abstract: Background: Eye diseases with increasing mortality are common health problems that affect people</w:t>
      </w:r>
      <w:r w:rsidR="00427468">
        <w:rPr>
          <w:rFonts w:hint="eastAsia"/>
          <w:kern w:val="0"/>
          <w:szCs w:val="24"/>
        </w:rPr>
        <w:t xml:space="preserve"> of </w:t>
      </w:r>
      <w:r>
        <w:rPr>
          <w:rFonts w:hint="eastAsia"/>
          <w:kern w:val="0"/>
          <w:szCs w:val="24"/>
        </w:rPr>
        <w:t>all ages</w:t>
      </w:r>
      <w:r w:rsidR="005853A9">
        <w:rPr>
          <w:rFonts w:hint="eastAsia"/>
          <w:kern w:val="0"/>
          <w:szCs w:val="24"/>
        </w:rPr>
        <w:t xml:space="preserve"> and </w:t>
      </w:r>
      <w:r>
        <w:rPr>
          <w:rFonts w:hint="eastAsia"/>
          <w:kern w:val="0"/>
          <w:szCs w:val="24"/>
        </w:rPr>
        <w:t>demographic backgrounds. In this study, we study the publication characteristics in international ophthalmic journals</w:t>
      </w:r>
      <w:r w:rsidR="00427468">
        <w:rPr>
          <w:rFonts w:hint="eastAsia"/>
          <w:kern w:val="0"/>
          <w:szCs w:val="24"/>
        </w:rPr>
        <w:t xml:space="preserve"> of </w:t>
      </w:r>
      <w:r>
        <w:rPr>
          <w:rFonts w:hint="eastAsia"/>
          <w:kern w:val="0"/>
          <w:szCs w:val="24"/>
        </w:rPr>
        <w:t>the US, the UK, Germany, Australia, Japan,</w:t>
      </w:r>
      <w:r w:rsidR="005853A9">
        <w:rPr>
          <w:rFonts w:hint="eastAsia"/>
          <w:kern w:val="0"/>
          <w:szCs w:val="24"/>
        </w:rPr>
        <w:t xml:space="preserve"> and </w:t>
      </w:r>
      <w:r>
        <w:rPr>
          <w:rFonts w:hint="eastAsia"/>
          <w:kern w:val="0"/>
          <w:szCs w:val="24"/>
        </w:rPr>
        <w:t>China. Methods: Articles published in 53 ophthalmic journals from 2000 to 2011 were retrieved from the PubMed database. We recorded the number</w:t>
      </w:r>
      <w:r w:rsidR="00427468">
        <w:rPr>
          <w:rFonts w:hint="eastAsia"/>
          <w:kern w:val="0"/>
          <w:szCs w:val="24"/>
        </w:rPr>
        <w:t xml:space="preserve"> of </w:t>
      </w:r>
      <w:r>
        <w:rPr>
          <w:rFonts w:hint="eastAsia"/>
          <w:kern w:val="0"/>
          <w:szCs w:val="24"/>
        </w:rPr>
        <w:t>articles published each year, analyzed the publication type,</w:t>
      </w:r>
      <w:r w:rsidR="005853A9">
        <w:rPr>
          <w:rFonts w:hint="eastAsia"/>
          <w:kern w:val="0"/>
          <w:szCs w:val="24"/>
        </w:rPr>
        <w:t xml:space="preserve"> and </w:t>
      </w:r>
      <w:r>
        <w:rPr>
          <w:rFonts w:hint="eastAsia"/>
          <w:kern w:val="0"/>
          <w:szCs w:val="24"/>
        </w:rPr>
        <w:t>evaluated the accumulated</w:t>
      </w:r>
      <w:r w:rsidR="005853A9">
        <w:rPr>
          <w:rFonts w:hint="eastAsia"/>
          <w:kern w:val="0"/>
          <w:szCs w:val="24"/>
        </w:rPr>
        <w:t xml:space="preserve"> and </w:t>
      </w:r>
      <w:r>
        <w:rPr>
          <w:rFonts w:hint="eastAsia"/>
          <w:kern w:val="0"/>
          <w:szCs w:val="24"/>
        </w:rPr>
        <w:t>average impact factors (IFs),</w:t>
      </w:r>
      <w:r w:rsidR="005853A9">
        <w:rPr>
          <w:rFonts w:hint="eastAsia"/>
          <w:kern w:val="0"/>
          <w:szCs w:val="24"/>
        </w:rPr>
        <w:t xml:space="preserve"> and </w:t>
      </w:r>
      <w:r>
        <w:rPr>
          <w:rFonts w:hint="eastAsia"/>
          <w:kern w:val="0"/>
          <w:szCs w:val="24"/>
        </w:rPr>
        <w:t>the distribution</w:t>
      </w:r>
      <w:r w:rsidR="00427468">
        <w:rPr>
          <w:rFonts w:hint="eastAsia"/>
          <w:kern w:val="0"/>
          <w:szCs w:val="24"/>
        </w:rPr>
        <w:t xml:space="preserve"> of </w:t>
      </w:r>
      <w:r>
        <w:rPr>
          <w:rFonts w:hint="eastAsia"/>
          <w:kern w:val="0"/>
          <w:szCs w:val="24"/>
        </w:rPr>
        <w:t>articles in ophthalmic journals in relation to IFs</w:t>
      </w:r>
      <w:r w:rsidR="00A37C1D">
        <w:rPr>
          <w:rFonts w:hint="eastAsia"/>
          <w:kern w:val="0"/>
          <w:szCs w:val="24"/>
        </w:rPr>
        <w:t>. The</w:t>
      </w:r>
      <w:r>
        <w:rPr>
          <w:rFonts w:hint="eastAsia"/>
          <w:kern w:val="0"/>
          <w:szCs w:val="24"/>
        </w:rPr>
        <w:t xml:space="preserve"> characteristics</w:t>
      </w:r>
      <w:r w:rsidR="00427468">
        <w:rPr>
          <w:rFonts w:hint="eastAsia"/>
          <w:kern w:val="0"/>
          <w:szCs w:val="24"/>
        </w:rPr>
        <w:t xml:space="preserve"> of </w:t>
      </w:r>
      <w:r>
        <w:rPr>
          <w:rFonts w:hint="eastAsia"/>
          <w:kern w:val="0"/>
          <w:szCs w:val="24"/>
        </w:rPr>
        <w:t>publication outputs from China</w:t>
      </w:r>
      <w:r w:rsidR="005853A9">
        <w:rPr>
          <w:rFonts w:hint="eastAsia"/>
          <w:kern w:val="0"/>
          <w:szCs w:val="24"/>
        </w:rPr>
        <w:t xml:space="preserve"> and </w:t>
      </w:r>
      <w:r>
        <w:rPr>
          <w:rFonts w:hint="eastAsia"/>
          <w:kern w:val="0"/>
          <w:szCs w:val="24"/>
        </w:rPr>
        <w:t>other top-ranking countries were compared. Results: The total number</w:t>
      </w:r>
      <w:r w:rsidR="00427468">
        <w:rPr>
          <w:rFonts w:hint="eastAsia"/>
          <w:kern w:val="0"/>
          <w:szCs w:val="24"/>
        </w:rPr>
        <w:t xml:space="preserve"> of </w:t>
      </w:r>
      <w:r>
        <w:rPr>
          <w:rFonts w:hint="eastAsia"/>
          <w:kern w:val="0"/>
          <w:szCs w:val="24"/>
        </w:rPr>
        <w:t>articles increased significantly during the past 12 years, with an increase</w:t>
      </w:r>
      <w:r w:rsidR="00427468">
        <w:rPr>
          <w:rFonts w:hint="eastAsia"/>
          <w:kern w:val="0"/>
          <w:szCs w:val="24"/>
        </w:rPr>
        <w:t xml:space="preserve"> of </w:t>
      </w:r>
      <w:r>
        <w:rPr>
          <w:rFonts w:hint="eastAsia"/>
          <w:kern w:val="0"/>
          <w:szCs w:val="24"/>
        </w:rPr>
        <w:t>51.0%</w:t>
      </w:r>
      <w:r w:rsidR="00A37C1D">
        <w:rPr>
          <w:rFonts w:hint="eastAsia"/>
          <w:kern w:val="0"/>
          <w:szCs w:val="24"/>
        </w:rPr>
        <w:t>. The</w:t>
      </w:r>
      <w:r>
        <w:rPr>
          <w:rFonts w:hint="eastAsia"/>
          <w:kern w:val="0"/>
          <w:szCs w:val="24"/>
        </w:rPr>
        <w:t xml:space="preserve"> growth in the annual number</w:t>
      </w:r>
      <w:r w:rsidR="00427468">
        <w:rPr>
          <w:rFonts w:hint="eastAsia"/>
          <w:kern w:val="0"/>
          <w:szCs w:val="24"/>
        </w:rPr>
        <w:t xml:space="preserve"> of </w:t>
      </w:r>
      <w:r>
        <w:rPr>
          <w:rFonts w:hint="eastAsia"/>
          <w:kern w:val="0"/>
          <w:szCs w:val="24"/>
        </w:rPr>
        <w:t>articles from the US, the UK, Australia,</w:t>
      </w:r>
      <w:r w:rsidR="005853A9">
        <w:rPr>
          <w:rFonts w:hint="eastAsia"/>
          <w:kern w:val="0"/>
          <w:szCs w:val="24"/>
        </w:rPr>
        <w:t xml:space="preserve"> and </w:t>
      </w:r>
      <w:r>
        <w:rPr>
          <w:rFonts w:hint="eastAsia"/>
          <w:kern w:val="0"/>
          <w:szCs w:val="24"/>
        </w:rPr>
        <w:t>China showed a significantly positive trend. Publications from the US exceeded those from any other country</w:t>
      </w:r>
      <w:r w:rsidR="005853A9">
        <w:rPr>
          <w:rFonts w:hint="eastAsia"/>
          <w:kern w:val="0"/>
          <w:szCs w:val="24"/>
        </w:rPr>
        <w:t xml:space="preserve"> and </w:t>
      </w:r>
      <w:r>
        <w:rPr>
          <w:rFonts w:hint="eastAsia"/>
          <w:kern w:val="0"/>
          <w:szCs w:val="24"/>
        </w:rPr>
        <w:t>had the highest IFs, largest number</w:t>
      </w:r>
      <w:r w:rsidR="00427468">
        <w:rPr>
          <w:rFonts w:hint="eastAsia"/>
          <w:kern w:val="0"/>
          <w:szCs w:val="24"/>
        </w:rPr>
        <w:t xml:space="preserve"> of </w:t>
      </w:r>
      <w:r>
        <w:rPr>
          <w:rFonts w:hint="eastAsia"/>
          <w:kern w:val="0"/>
          <w:szCs w:val="24"/>
        </w:rPr>
        <w:t>total citations</w:t>
      </w:r>
      <w:r w:rsidR="00427468">
        <w:rPr>
          <w:rFonts w:hint="eastAsia"/>
          <w:kern w:val="0"/>
          <w:szCs w:val="24"/>
        </w:rPr>
        <w:t xml:space="preserve"> of </w:t>
      </w:r>
      <w:r>
        <w:rPr>
          <w:rFonts w:hint="eastAsia"/>
          <w:kern w:val="0"/>
          <w:szCs w:val="24"/>
        </w:rPr>
        <w:t>articles,</w:t>
      </w:r>
      <w:r w:rsidR="005853A9">
        <w:rPr>
          <w:rFonts w:hint="eastAsia"/>
          <w:kern w:val="0"/>
          <w:szCs w:val="24"/>
        </w:rPr>
        <w:t xml:space="preserve"> and </w:t>
      </w:r>
      <w:r>
        <w:rPr>
          <w:rFonts w:hint="eastAsia"/>
          <w:kern w:val="0"/>
          <w:szCs w:val="24"/>
        </w:rPr>
        <w:t>the most articles published in leading ophthalmic journals. During the past 12 years, China contributed 3.5%</w:t>
      </w:r>
      <w:r w:rsidR="00427468">
        <w:rPr>
          <w:rFonts w:hint="eastAsia"/>
          <w:kern w:val="0"/>
          <w:szCs w:val="24"/>
        </w:rPr>
        <w:t xml:space="preserve"> of </w:t>
      </w:r>
      <w:r>
        <w:rPr>
          <w:rFonts w:hint="eastAsia"/>
          <w:kern w:val="0"/>
          <w:szCs w:val="24"/>
        </w:rPr>
        <w:t>the total publications,</w:t>
      </w:r>
      <w:r w:rsidR="005853A9">
        <w:rPr>
          <w:rFonts w:hint="eastAsia"/>
          <w:kern w:val="0"/>
          <w:szCs w:val="24"/>
        </w:rPr>
        <w:t xml:space="preserve"> and </w:t>
      </w:r>
      <w:r>
        <w:rPr>
          <w:rFonts w:hint="eastAsia"/>
          <w:kern w:val="0"/>
          <w:szCs w:val="24"/>
        </w:rPr>
        <w:t>the number</w:t>
      </w:r>
      <w:r w:rsidR="00427468">
        <w:rPr>
          <w:rFonts w:hint="eastAsia"/>
          <w:kern w:val="0"/>
          <w:szCs w:val="24"/>
        </w:rPr>
        <w:t xml:space="preserve"> of </w:t>
      </w:r>
      <w:r>
        <w:rPr>
          <w:rFonts w:hint="eastAsia"/>
          <w:kern w:val="0"/>
          <w:szCs w:val="24"/>
        </w:rPr>
        <w:t>Chinese articles showed a more than 6-fold increase (from 99 to 605, R2 = 0.947, P&lt;0.001)</w:t>
      </w:r>
      <w:r w:rsidR="00A37C1D">
        <w:rPr>
          <w:rFonts w:hint="eastAsia"/>
          <w:kern w:val="0"/>
          <w:szCs w:val="24"/>
        </w:rPr>
        <w:t>. The</w:t>
      </w:r>
      <w:r>
        <w:rPr>
          <w:rFonts w:hint="eastAsia"/>
          <w:kern w:val="0"/>
          <w:szCs w:val="24"/>
        </w:rPr>
        <w:t xml:space="preserve"> numbers</w:t>
      </w:r>
      <w:r w:rsidR="00427468">
        <w:rPr>
          <w:rFonts w:hint="eastAsia"/>
          <w:kern w:val="0"/>
          <w:szCs w:val="24"/>
        </w:rPr>
        <w:t xml:space="preserve"> of </w:t>
      </w:r>
      <w:r>
        <w:rPr>
          <w:rFonts w:hint="eastAsia"/>
          <w:kern w:val="0"/>
          <w:szCs w:val="24"/>
        </w:rPr>
        <w:t>IFs</w:t>
      </w:r>
      <w:r w:rsidR="005853A9">
        <w:rPr>
          <w:rFonts w:hint="eastAsia"/>
          <w:kern w:val="0"/>
          <w:szCs w:val="24"/>
        </w:rPr>
        <w:t xml:space="preserve"> and </w:t>
      </w:r>
      <w:r>
        <w:rPr>
          <w:rFonts w:hint="eastAsia"/>
          <w:kern w:val="0"/>
          <w:szCs w:val="24"/>
        </w:rPr>
        <w:t>citations</w:t>
      </w:r>
      <w:r w:rsidR="00427468">
        <w:rPr>
          <w:rFonts w:hint="eastAsia"/>
          <w:kern w:val="0"/>
          <w:szCs w:val="24"/>
        </w:rPr>
        <w:t xml:space="preserve"> of </w:t>
      </w:r>
      <w:r>
        <w:rPr>
          <w:rFonts w:hint="eastAsia"/>
          <w:kern w:val="0"/>
          <w:szCs w:val="24"/>
        </w:rPr>
        <w:t xml:space="preserve">articles originating in China were mostly lower than for other top-ranking counties. Conclusions: Research on ophthalmic journals has maintained an upward growing trend from 2000 to 2011. Chinese ophthalmology research has developed rapidly, but </w:t>
      </w:r>
      <w:r>
        <w:rPr>
          <w:rFonts w:hint="eastAsia"/>
          <w:kern w:val="0"/>
          <w:szCs w:val="24"/>
        </w:rPr>
        <w:lastRenderedPageBreak/>
        <w:t>the gap still exists between China</w:t>
      </w:r>
      <w:r w:rsidR="005853A9">
        <w:rPr>
          <w:rFonts w:hint="eastAsia"/>
          <w:kern w:val="0"/>
          <w:szCs w:val="24"/>
        </w:rPr>
        <w:t xml:space="preserve"> and </w:t>
      </w:r>
      <w:r>
        <w:rPr>
          <w:rFonts w:hint="eastAsia"/>
          <w:kern w:val="0"/>
          <w:szCs w:val="24"/>
        </w:rPr>
        <w:t>other top-ranking countries for the advanced level</w:t>
      </w:r>
      <w:r w:rsidR="00427468">
        <w:rPr>
          <w:rFonts w:hint="eastAsia"/>
          <w:kern w:val="0"/>
          <w:szCs w:val="24"/>
        </w:rPr>
        <w:t xml:space="preserve"> of </w:t>
      </w:r>
      <w:r>
        <w:rPr>
          <w:rFonts w:hint="eastAsia"/>
          <w:kern w:val="0"/>
          <w:szCs w:val="24"/>
        </w:rPr>
        <w:t>research.</w:t>
      </w:r>
    </w:p>
    <w:p w:rsidR="000519B7" w:rsidRDefault="000519B7" w:rsidP="000519B7">
      <w:pPr>
        <w:pStyle w:val="a3"/>
        <w:rPr>
          <w:kern w:val="0"/>
          <w:szCs w:val="24"/>
        </w:rPr>
      </w:pPr>
      <w:r>
        <w:rPr>
          <w:rFonts w:hint="eastAsia"/>
          <w:kern w:val="0"/>
          <w:szCs w:val="24"/>
        </w:rPr>
        <w:t>Keywords: 10-Year Survey, Articles, Australia, Bibliometrics, Characteristics, China, Chinese, Citations, Country, Database, Diseases, Distribution, Germany, Growth, Health, Impact, Impact Factor, Impact Factors, International, Japan, Journals, Literature, Methods, Mortality, Ophthalmology, Publication, Publications, Pubmed, Research, Results, Review, Scientific Publications, Top-Ranking Countries, Trend</w:t>
      </w:r>
      <w:r w:rsidR="00D5664A">
        <w:rPr>
          <w:rFonts w:hint="eastAsia"/>
          <w:kern w:val="0"/>
          <w:szCs w:val="24"/>
        </w:rPr>
        <w:t>, UK,</w:t>
      </w:r>
      <w:r>
        <w:rPr>
          <w:rFonts w:hint="eastAsia"/>
          <w:kern w:val="0"/>
          <w:szCs w:val="24"/>
        </w:rPr>
        <w:t xml:space="preserve"> US</w:t>
      </w:r>
    </w:p>
    <w:p w:rsidR="00950466" w:rsidRDefault="00950466" w:rsidP="00950466">
      <w:pPr>
        <w:pStyle w:val="a3"/>
        <w:rPr>
          <w:kern w:val="0"/>
        </w:rPr>
      </w:pPr>
      <w:r>
        <w:rPr>
          <w:kern w:val="0"/>
        </w:rPr>
        <w:t>? Lu, Y., Ge, Y.R., Shi, Y.H., Yin, J.</w:t>
      </w:r>
      <w:r w:rsidR="005853A9">
        <w:rPr>
          <w:kern w:val="0"/>
        </w:rPr>
        <w:t xml:space="preserve"> and </w:t>
      </w:r>
      <w:r>
        <w:rPr>
          <w:kern w:val="0"/>
        </w:rPr>
        <w:t xml:space="preserve">Huang, Z.P. (2013), Two polymorphisms (rs699947, rs2010963) in the </w:t>
      </w:r>
      <w:r w:rsidRPr="00950466">
        <w:rPr>
          <w:i/>
          <w:kern w:val="0"/>
        </w:rPr>
        <w:t>VEGFA</w:t>
      </w:r>
      <w:r>
        <w:rPr>
          <w:kern w:val="0"/>
        </w:rPr>
        <w:t xml:space="preserve"> gene</w:t>
      </w:r>
      <w:r w:rsidR="005853A9">
        <w:rPr>
          <w:kern w:val="0"/>
        </w:rPr>
        <w:t xml:space="preserve"> and </w:t>
      </w:r>
      <w:r>
        <w:rPr>
          <w:kern w:val="0"/>
        </w:rPr>
        <w:t xml:space="preserve">diabetic retinopathy: An updated meta-analysis. </w:t>
      </w:r>
      <w:r>
        <w:rPr>
          <w:i/>
          <w:iCs/>
          <w:kern w:val="0"/>
        </w:rPr>
        <w:t>BMC Ophthalmology</w:t>
      </w:r>
      <w:r>
        <w:rPr>
          <w:kern w:val="0"/>
        </w:rPr>
        <w:t xml:space="preserve">, </w:t>
      </w:r>
      <w:r>
        <w:rPr>
          <w:b/>
          <w:bCs/>
          <w:kern w:val="0"/>
        </w:rPr>
        <w:t>13</w:t>
      </w:r>
      <w:r>
        <w:rPr>
          <w:rFonts w:hint="eastAsia"/>
          <w:kern w:val="0"/>
        </w:rPr>
        <w:t xml:space="preserve">, </w:t>
      </w:r>
      <w:r w:rsidRPr="00C52A44">
        <w:rPr>
          <w:kern w:val="0"/>
        </w:rPr>
        <w:t>UNSP 56</w:t>
      </w:r>
      <w:r>
        <w:rPr>
          <w:rFonts w:hint="eastAsia"/>
          <w:kern w:val="0"/>
        </w:rPr>
        <w:t>.</w:t>
      </w:r>
    </w:p>
    <w:p w:rsidR="00950466" w:rsidRDefault="00950466" w:rsidP="00950466">
      <w:pPr>
        <w:pStyle w:val="a3"/>
        <w:rPr>
          <w:kern w:val="0"/>
          <w:szCs w:val="24"/>
        </w:rPr>
      </w:pPr>
      <w:r>
        <w:rPr>
          <w:rFonts w:hint="eastAsia"/>
          <w:kern w:val="0"/>
          <w:szCs w:val="24"/>
        </w:rPr>
        <w:t xml:space="preserve">Full Text: </w:t>
      </w:r>
      <w:hyperlink r:id="rId1670" w:history="1">
        <w:r w:rsidRPr="00950466">
          <w:rPr>
            <w:rStyle w:val="a5"/>
            <w:kern w:val="0"/>
            <w:szCs w:val="24"/>
          </w:rPr>
          <w:t>2013\BMC Oph13, UNSP 56.pdf</w:t>
        </w:r>
      </w:hyperlink>
    </w:p>
    <w:p w:rsidR="00950466" w:rsidRDefault="00950466" w:rsidP="00950466">
      <w:pPr>
        <w:pStyle w:val="a3"/>
        <w:rPr>
          <w:kern w:val="0"/>
        </w:rPr>
      </w:pPr>
      <w:r>
        <w:rPr>
          <w:kern w:val="0"/>
        </w:rPr>
        <w:t>Abstract: Background: The vascular endothelial growth factor (VEGFA) gene has been suggested to play an important role in the pathogenesis</w:t>
      </w:r>
      <w:r w:rsidR="00427468">
        <w:rPr>
          <w:kern w:val="0"/>
        </w:rPr>
        <w:t xml:space="preserve"> of </w:t>
      </w:r>
      <w:r>
        <w:rPr>
          <w:kern w:val="0"/>
        </w:rPr>
        <w:t>diabetic retinopathy (DR). However, the results have been inconsistent. In this study, we performed a meta-analysis to clarify the associations between VEGFA polymorphisms</w:t>
      </w:r>
      <w:r w:rsidR="005853A9">
        <w:rPr>
          <w:kern w:val="0"/>
        </w:rPr>
        <w:t xml:space="preserve"> and </w:t>
      </w:r>
      <w:r>
        <w:rPr>
          <w:kern w:val="0"/>
        </w:rPr>
        <w:t xml:space="preserve">DR risk. Methods: Published literature from PubMed, EMBASE,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Google Scholar were retrieved. Pooled odds ratios (ORs) with 95% confidence intervals (CIs) were calculated using fixed-or random-effects model. Results: A total</w:t>
      </w:r>
      <w:r w:rsidR="00427468">
        <w:rPr>
          <w:kern w:val="0"/>
        </w:rPr>
        <w:t xml:space="preserve"> of </w:t>
      </w:r>
      <w:r>
        <w:rPr>
          <w:kern w:val="0"/>
        </w:rPr>
        <w:t>eight studies (1204 cases</w:t>
      </w:r>
      <w:r w:rsidR="005853A9">
        <w:rPr>
          <w:kern w:val="0"/>
        </w:rPr>
        <w:t xml:space="preserve"> and </w:t>
      </w:r>
      <w:r>
        <w:rPr>
          <w:kern w:val="0"/>
        </w:rPr>
        <w:t>1198 controls) for rs699947 polymorphism</w:t>
      </w:r>
      <w:r w:rsidR="005853A9">
        <w:rPr>
          <w:kern w:val="0"/>
        </w:rPr>
        <w:t xml:space="preserve"> and </w:t>
      </w:r>
      <w:r>
        <w:rPr>
          <w:kern w:val="0"/>
        </w:rPr>
        <w:t>ten studies (1666 cases</w:t>
      </w:r>
      <w:r w:rsidR="005853A9">
        <w:rPr>
          <w:kern w:val="0"/>
        </w:rPr>
        <w:t xml:space="preserve"> and </w:t>
      </w:r>
      <w:r>
        <w:rPr>
          <w:kern w:val="0"/>
        </w:rPr>
        <w:t>1782 controls) for rs2010963 polymorphism were included in the meta-analysis</w:t>
      </w:r>
      <w:r w:rsidR="00A37C1D">
        <w:rPr>
          <w:kern w:val="0"/>
        </w:rPr>
        <w:t>. The</w:t>
      </w:r>
      <w:r>
        <w:rPr>
          <w:kern w:val="0"/>
        </w:rPr>
        <w:t xml:space="preserve"> results suggested that rs699947 polymorphism was marginally associated with DR under a homogeneous co-dominant model (AA vs. CC: OR = 1.69, 95% CI = 1.03-2.77, p = 0.040)</w:t>
      </w:r>
      <w:r w:rsidR="005853A9">
        <w:rPr>
          <w:kern w:val="0"/>
        </w:rPr>
        <w:t xml:space="preserve"> and </w:t>
      </w:r>
      <w:r>
        <w:rPr>
          <w:kern w:val="0"/>
        </w:rPr>
        <w:t>a dominant model (AA + AC vs. CC: OR = 1.38, 95% CI = 1.01-1.90, p = 0.040), whereas the association between rs2010963 polymorphism</w:t>
      </w:r>
      <w:r w:rsidR="005853A9">
        <w:rPr>
          <w:kern w:val="0"/>
        </w:rPr>
        <w:t xml:space="preserve"> and </w:t>
      </w:r>
      <w:r>
        <w:rPr>
          <w:kern w:val="0"/>
        </w:rPr>
        <w:t>DR was not significant under all genetic models (all p &gt; 0.05). In the subgroup analysis, the effect size for rs699947 polymorphism was only marginally significant among European populations under a dominant model (OR = 1.47, 95% CI = 1.07-2.02, p = 0.018), but not among East Asians. After exclusion</w:t>
      </w:r>
      <w:r w:rsidR="00427468">
        <w:rPr>
          <w:kern w:val="0"/>
        </w:rPr>
        <w:t xml:space="preserve"> of </w:t>
      </w:r>
      <w:r>
        <w:rPr>
          <w:kern w:val="0"/>
        </w:rPr>
        <w:t>outliers which were the source</w:t>
      </w:r>
      <w:r w:rsidR="00427468">
        <w:rPr>
          <w:kern w:val="0"/>
        </w:rPr>
        <w:t xml:space="preserve"> of </w:t>
      </w:r>
      <w:r>
        <w:rPr>
          <w:kern w:val="0"/>
        </w:rPr>
        <w:t>between-study heterogeneity, there was significant association between rs699947 polymorphism</w:t>
      </w:r>
      <w:r w:rsidR="005853A9">
        <w:rPr>
          <w:kern w:val="0"/>
        </w:rPr>
        <w:t xml:space="preserve"> and </w:t>
      </w:r>
      <w:r>
        <w:rPr>
          <w:kern w:val="0"/>
        </w:rPr>
        <w:t>DR under a homogeneous co-dominant model (OR = 1.64, 95% CI = 1.18-2.28, p = 0.003), even after multiple comparison correction. Conclusions: Our meta-analysis confirmed the significant association between rs699947 polymorphism</w:t>
      </w:r>
      <w:r w:rsidR="005853A9">
        <w:rPr>
          <w:kern w:val="0"/>
        </w:rPr>
        <w:t xml:space="preserve"> and </w:t>
      </w:r>
      <w:r>
        <w:rPr>
          <w:kern w:val="0"/>
        </w:rPr>
        <w:t>DR after exclusion</w:t>
      </w:r>
      <w:r w:rsidR="00427468">
        <w:rPr>
          <w:kern w:val="0"/>
        </w:rPr>
        <w:t xml:space="preserve"> of </w:t>
      </w:r>
      <w:r>
        <w:rPr>
          <w:kern w:val="0"/>
        </w:rPr>
        <w:t>outliers,</w:t>
      </w:r>
      <w:r w:rsidR="005853A9">
        <w:rPr>
          <w:kern w:val="0"/>
        </w:rPr>
        <w:t xml:space="preserve"> and </w:t>
      </w:r>
      <w:r>
        <w:rPr>
          <w:kern w:val="0"/>
        </w:rPr>
        <w:t>rs2010963 polymorphism might be not associated with DR.</w:t>
      </w:r>
    </w:p>
    <w:p w:rsidR="00950466" w:rsidRDefault="00950466" w:rsidP="00950466">
      <w:pPr>
        <w:pStyle w:val="a3"/>
        <w:rPr>
          <w:kern w:val="0"/>
        </w:rPr>
      </w:pPr>
      <w:r>
        <w:rPr>
          <w:kern w:val="0"/>
        </w:rPr>
        <w:t xml:space="preserve">Keywords: Analysis, Association, Bias, Chinese, Comparison, Confidence, Confidence Intervals, Diabetic Retinopathy, Effect Size, Embase, Endothelial-Growth-Factor, Gene, Genetic, Google, Google Scholar, Growth, Growth Factor, Heterogeneity, Intervals, Literature, Meta Analysis, Meta-Analysis, Metaanalysis, Methods, </w:t>
      </w:r>
      <w:r>
        <w:rPr>
          <w:kern w:val="0"/>
        </w:rPr>
        <w:lastRenderedPageBreak/>
        <w:t xml:space="preserve">Microvascular Complications, Model, Models, Outliers, Pathogenesis, Polymorphism, Polymorphisms, Populations, Progression, Pubmed, Random Effects Model, Results, Risk, Role, Science, Size, Source, The Vascular Endothelial Growth Factor Gene, Variants, Vascular Endothelial Growth Factor, </w:t>
      </w:r>
      <w:r w:rsidR="00D5664A">
        <w:rPr>
          <w:kern w:val="0"/>
        </w:rPr>
        <w:t>Web</w:t>
      </w:r>
      <w:r w:rsidR="00427468">
        <w:rPr>
          <w:kern w:val="0"/>
        </w:rPr>
        <w:t xml:space="preserve"> of </w:t>
      </w:r>
      <w:r w:rsidR="00D5664A">
        <w:rPr>
          <w:kern w:val="0"/>
        </w:rPr>
        <w:t>Science</w:t>
      </w:r>
    </w:p>
    <w:p w:rsidR="00A25096" w:rsidRDefault="00A25096" w:rsidP="00A25096">
      <w:pPr>
        <w:pStyle w:val="a3"/>
        <w:rPr>
          <w:kern w:val="0"/>
        </w:rPr>
      </w:pPr>
      <w:r>
        <w:rPr>
          <w:rFonts w:hint="eastAsia"/>
          <w:kern w:val="0"/>
        </w:rPr>
        <w:t xml:space="preserve">? </w:t>
      </w:r>
      <w:r>
        <w:rPr>
          <w:kern w:val="0"/>
        </w:rPr>
        <w:t xml:space="preserve">Lindner, M. and Bertelmann, T. (2014), On the ocular findings in ochronosis: A systematic review of literature. </w:t>
      </w:r>
      <w:r>
        <w:rPr>
          <w:i/>
          <w:iCs/>
          <w:kern w:val="0"/>
        </w:rPr>
        <w:t>BMC Ophthalmology</w:t>
      </w:r>
      <w:r>
        <w:rPr>
          <w:kern w:val="0"/>
        </w:rPr>
        <w:t xml:space="preserve">, </w:t>
      </w:r>
      <w:r>
        <w:rPr>
          <w:b/>
          <w:bCs/>
          <w:kern w:val="0"/>
        </w:rPr>
        <w:t>14</w:t>
      </w:r>
      <w:r>
        <w:rPr>
          <w:rFonts w:hint="eastAsia"/>
          <w:kern w:val="0"/>
        </w:rPr>
        <w:t xml:space="preserve">, </w:t>
      </w:r>
      <w:r w:rsidRPr="00245CD8">
        <w:rPr>
          <w:kern w:val="0"/>
        </w:rPr>
        <w:t>Article Number: 12</w:t>
      </w:r>
      <w:r>
        <w:rPr>
          <w:rFonts w:hint="eastAsia"/>
          <w:kern w:val="0"/>
        </w:rPr>
        <w:t>.</w:t>
      </w:r>
    </w:p>
    <w:p w:rsidR="00A25096" w:rsidRDefault="00A25096" w:rsidP="00A25096">
      <w:pPr>
        <w:pStyle w:val="a3"/>
        <w:rPr>
          <w:kern w:val="0"/>
          <w:szCs w:val="24"/>
        </w:rPr>
      </w:pPr>
      <w:r>
        <w:rPr>
          <w:rFonts w:hint="eastAsia"/>
          <w:kern w:val="0"/>
          <w:szCs w:val="24"/>
        </w:rPr>
        <w:t xml:space="preserve">Full Text: </w:t>
      </w:r>
      <w:hyperlink r:id="rId1671" w:history="1">
        <w:r w:rsidRPr="005B0FBA">
          <w:rPr>
            <w:rStyle w:val="a5"/>
            <w:kern w:val="0"/>
            <w:szCs w:val="24"/>
          </w:rPr>
          <w:t>2014\BMC Oph14, 12.pdf</w:t>
        </w:r>
      </w:hyperlink>
    </w:p>
    <w:p w:rsidR="00A25096" w:rsidRDefault="00A25096" w:rsidP="00A25096">
      <w:pPr>
        <w:pStyle w:val="a3"/>
        <w:rPr>
          <w:kern w:val="0"/>
        </w:rPr>
      </w:pPr>
      <w:r>
        <w:rPr>
          <w:kern w:val="0"/>
        </w:rPr>
        <w:t>Abstract: Background: Ochronosis/ Alkaptonuria is a tyrosine metabolism disorder where accumulation of homogentisic acid, in eye, skin, cartilage and several other connective tissues leads to a black pigmentation of the affected tissues. It is autosomal- recessive inherited in men with a frequency of 1- 9/ 1,000,000. While it is clear that pigment deposits lead to joint destruction, renal stone formation and cardiac valvulopathy respectively, the significance of ocular findings is still unclear. We therefore aim to evaluate the frequency and clinical significance of ocular findings in ochronosis and discuss possible therapeutic options. Methods: Systematic review of literature via Medline and Web of Science. Only case reports in English, German, French, Spanish or Italian documenting detailed ophthalmologic examination were included. Results: Our search revealed 36 case reports including 40 patients. Average age at the onset of ocular signs was 40.6 years</w:t>
      </w:r>
      <w:r w:rsidR="00A37C1D">
        <w:rPr>
          <w:kern w:val="0"/>
        </w:rPr>
        <w:t>. The</w:t>
      </w:r>
      <w:r>
        <w:rPr>
          <w:kern w:val="0"/>
        </w:rPr>
        <w:t xml:space="preserve"> most frequent sign was symmetric brown sclera pigmentation present in 82.5 percent of the patients. “ Oil- drops”, brown pigment spots in the limbus are generally considered pathognomonic but were a little less frequent (75 percent). Vermiform pigment deposits at the level of the conjunctiva or increased conjunctival vessel diameter is also frequent. We found an increased incidence of central vein occlusion and elevated intraocular pressure going along with chamber angle hyperpigmentation. Another condition observed twice is rapid progressive astigmatism attributable to corneoscleral pigment accumulation. Conclusion: Our observations suggest that ocular findings are of double relevance. First, characteristic ocular findings can anticipate the time of diagnosis and second, ocular findings may complicate to various conditions putting sight at risk. Opthalmologists and general physicians should be aware of both</w:t>
      </w:r>
      <w:r w:rsidR="00A37C1D">
        <w:rPr>
          <w:kern w:val="0"/>
        </w:rPr>
        <w:t>. The</w:t>
      </w:r>
      <w:r>
        <w:rPr>
          <w:kern w:val="0"/>
        </w:rPr>
        <w:t>rapeutic options include protein restriction, administration of high dose vitamin C or nitisonone. Evidence for all of them is limited.</w:t>
      </w:r>
    </w:p>
    <w:p w:rsidR="00A25096" w:rsidRDefault="00A25096" w:rsidP="00A25096">
      <w:pPr>
        <w:pStyle w:val="a3"/>
        <w:rPr>
          <w:kern w:val="0"/>
        </w:rPr>
      </w:pPr>
      <w:r>
        <w:rPr>
          <w:kern w:val="0"/>
        </w:rPr>
        <w:t xml:space="preserve">Keywords: Accumulation, Administration, Age, Alcaptonuria, Alkaptonuria, Alkaptonuric Ochronosis, Ascorbic-Acid, Black Pigmentation, Case Reports, Clinical, Connective Tissue, Diagnosis, Endogenous Ochronosis, Endogenous Ochronosis, English, Evidence, Examination, Eye, General, Hereditary Ochronosis, High Dose, Homogentisic Acid, Homogentisic Acid, Homogentisic Acid Oxidase Deficiency, Hot-Spots, Incidence, Lead, Literature, Medline, Men, Metabolism, </w:t>
      </w:r>
      <w:r>
        <w:rPr>
          <w:kern w:val="0"/>
        </w:rPr>
        <w:lastRenderedPageBreak/>
        <w:t>Methods, Observations, Occlusion, Ocular, Of-The-Literature, Oil, Oil-Drops, Onset, Opththalmology, Options, Patients, Physicians, Pigment, Pressure, Protein, Relevance, Renal, Results, Review, Review Of Literature, Risk, Science, Sclera, Significance, Skin, Systematic, Systematic Review, Therapeutic, Therapeutic Options, Vitamin, Vitamin C, Web Of Science</w:t>
      </w:r>
    </w:p>
    <w:p w:rsidR="005433A3" w:rsidRDefault="005433A3" w:rsidP="005433A3">
      <w:pPr>
        <w:pStyle w:val="a3"/>
        <w:rPr>
          <w:kern w:val="0"/>
        </w:rPr>
      </w:pPr>
      <w:r>
        <w:rPr>
          <w:rFonts w:hint="eastAsia"/>
          <w:kern w:val="0"/>
        </w:rPr>
        <w:t xml:space="preserve">? </w:t>
      </w:r>
      <w:r>
        <w:rPr>
          <w:kern w:val="0"/>
        </w:rPr>
        <w:t xml:space="preserve">Li, D., Zhou, M.W., Peng, X.Y. and Sun, H.Y. (2014), Homocysteine, methylenetetrahydrofolate reductase C677T polymorphism, and risk of retinal vein occlusion: An updated meta-analysis. </w:t>
      </w:r>
      <w:r>
        <w:rPr>
          <w:i/>
          <w:iCs/>
          <w:kern w:val="0"/>
        </w:rPr>
        <w:t>BMC Ophthalmology</w:t>
      </w:r>
      <w:r>
        <w:rPr>
          <w:kern w:val="0"/>
        </w:rPr>
        <w:t xml:space="preserve">, </w:t>
      </w:r>
      <w:r>
        <w:rPr>
          <w:b/>
          <w:bCs/>
          <w:kern w:val="0"/>
        </w:rPr>
        <w:t>14</w:t>
      </w:r>
      <w:r>
        <w:rPr>
          <w:rFonts w:hint="eastAsia"/>
          <w:kern w:val="0"/>
        </w:rPr>
        <w:t xml:space="preserve">, </w:t>
      </w:r>
      <w:r w:rsidRPr="00245CD8">
        <w:rPr>
          <w:kern w:val="0"/>
        </w:rPr>
        <w:t xml:space="preserve">Article Number: </w:t>
      </w:r>
      <w:r>
        <w:rPr>
          <w:rFonts w:hint="eastAsia"/>
          <w:kern w:val="0"/>
        </w:rPr>
        <w:t>147.</w:t>
      </w:r>
    </w:p>
    <w:p w:rsidR="005433A3" w:rsidRDefault="005433A3" w:rsidP="005433A3">
      <w:pPr>
        <w:pStyle w:val="a3"/>
        <w:rPr>
          <w:kern w:val="0"/>
          <w:szCs w:val="24"/>
        </w:rPr>
      </w:pPr>
      <w:r>
        <w:rPr>
          <w:rFonts w:hint="eastAsia"/>
          <w:kern w:val="0"/>
          <w:szCs w:val="24"/>
        </w:rPr>
        <w:t xml:space="preserve">Full Text: </w:t>
      </w:r>
      <w:hyperlink r:id="rId1672" w:history="1">
        <w:r w:rsidRPr="00E02CF5">
          <w:rPr>
            <w:rStyle w:val="a5"/>
            <w:kern w:val="0"/>
            <w:szCs w:val="24"/>
          </w:rPr>
          <w:t>2014\BMC Oph14, 147.pdf</w:t>
        </w:r>
      </w:hyperlink>
    </w:p>
    <w:p w:rsidR="005433A3" w:rsidRDefault="005433A3" w:rsidP="005433A3">
      <w:pPr>
        <w:pStyle w:val="a3"/>
        <w:rPr>
          <w:kern w:val="0"/>
        </w:rPr>
      </w:pPr>
      <w:r>
        <w:rPr>
          <w:kern w:val="0"/>
        </w:rPr>
        <w:t>Abstract: Background: To evaluate the role of plasma total homocysteine (tHcy) and homozygosity for the thermolabile variant of the methylenetetrahydrofolate reductase (MTHFR) C677T genotype in the risk of retinal vein occlusion (RVO). Methods: Relevant studies were selected through an extensive search of PubMed, EMBASE, and the Web of Science databases. Summary weighted mean differences (WMDs) or odds ratios (ORs) and 95% confidence intervals (CI) were calculated with a random-effects model. Results: Forty-two studies with 6445 participants were included in this updated systematic review and meta-analysis. The mean plasma tHcy level in the RVO patients was significantly higher than in the controls (WMD = 2.13 mu mol/L; 95% CI: 1.29 to 2.98, P &lt; 0.001), but there was evidence of between-study heterogeneity (P &lt; 0.001). No significant association between MTHFR C677T genotype and RVO was found under all genetic models. Conclusion: There was some evidence that plasma tHcy is associated with an increased risk of RVO. There was no evidence to suggest an association between homozygosity for the MTHFR C677T genotype and RVO.</w:t>
      </w:r>
    </w:p>
    <w:p w:rsidR="005433A3" w:rsidRDefault="005433A3" w:rsidP="005433A3">
      <w:pPr>
        <w:pStyle w:val="a3"/>
        <w:rPr>
          <w:kern w:val="0"/>
        </w:rPr>
      </w:pPr>
      <w:r>
        <w:rPr>
          <w:kern w:val="0"/>
        </w:rPr>
        <w:t>Keywords: Abnormalities, Association, Confidence, Confidence Intervals, Databases, Disease, Embase, Evidence, Folate, Genetic, Heterogeneity, Homocysteine, Hyperhomocysteinemia, Intervals, Lipoprotein, Meta Analysis, Meta-Analysis, Metaanalysis, Methods, Methylenetetrahydrofolate Reductase, Model, Models, MTHFR, MTHFR C677T, MTHFR Genotype, Mutation, Nov, Occlusion, P, Patients, Plasma, Plasma Total Homocysteine, Polymorphism, Population, Pubmed, Random Effects Model, Results, Retinal Vein Occlusion, Review, Risk, Role, Science, Systematic, Systematic Review, Thrombosis, Web, Web Of Science, Web Of Science Databases</w:t>
      </w:r>
    </w:p>
    <w:p w:rsidR="009840F6" w:rsidRDefault="009840F6" w:rsidP="009840F6">
      <w:pPr>
        <w:pStyle w:val="a3"/>
        <w:rPr>
          <w:kern w:val="0"/>
        </w:rPr>
      </w:pPr>
      <w:r>
        <w:rPr>
          <w:kern w:val="0"/>
        </w:rPr>
        <w:t xml:space="preserve">? Song, W.T. and Xia, X.B. (2015), Ranibizumab for macular edema secondary to retinal vein occlusion: A meta-analysis of dose effects and comparison with no anti-VEGF treatment. </w:t>
      </w:r>
      <w:r>
        <w:rPr>
          <w:i/>
          <w:iCs/>
          <w:kern w:val="0"/>
        </w:rPr>
        <w:t>BMC Ophthalmology</w:t>
      </w:r>
      <w:r>
        <w:rPr>
          <w:kern w:val="0"/>
        </w:rPr>
        <w:t xml:space="preserve">, </w:t>
      </w:r>
      <w:r>
        <w:rPr>
          <w:b/>
          <w:bCs/>
          <w:kern w:val="0"/>
        </w:rPr>
        <w:t>15</w:t>
      </w:r>
      <w:r>
        <w:rPr>
          <w:rFonts w:hint="eastAsia"/>
          <w:kern w:val="0"/>
        </w:rPr>
        <w:t xml:space="preserve">, </w:t>
      </w:r>
      <w:r w:rsidRPr="00245CD8">
        <w:rPr>
          <w:kern w:val="0"/>
        </w:rPr>
        <w:t xml:space="preserve">Article Number: </w:t>
      </w:r>
      <w:r>
        <w:rPr>
          <w:rFonts w:hint="eastAsia"/>
          <w:kern w:val="0"/>
        </w:rPr>
        <w:t>31.</w:t>
      </w:r>
    </w:p>
    <w:p w:rsidR="009840F6" w:rsidRDefault="009840F6" w:rsidP="009840F6">
      <w:pPr>
        <w:pStyle w:val="a3"/>
        <w:rPr>
          <w:kern w:val="0"/>
          <w:szCs w:val="24"/>
        </w:rPr>
      </w:pPr>
      <w:r>
        <w:rPr>
          <w:rFonts w:hint="eastAsia"/>
          <w:kern w:val="0"/>
          <w:szCs w:val="24"/>
        </w:rPr>
        <w:t xml:space="preserve">Full Text: </w:t>
      </w:r>
      <w:hyperlink r:id="rId1673" w:history="1">
        <w:r w:rsidRPr="009840F6">
          <w:rPr>
            <w:rStyle w:val="a5"/>
            <w:kern w:val="0"/>
            <w:szCs w:val="24"/>
          </w:rPr>
          <w:t>2014\BMC Oph14, 31.pdf</w:t>
        </w:r>
      </w:hyperlink>
    </w:p>
    <w:p w:rsidR="009840F6" w:rsidRDefault="009840F6" w:rsidP="009840F6">
      <w:pPr>
        <w:pStyle w:val="a3"/>
        <w:rPr>
          <w:kern w:val="0"/>
        </w:rPr>
      </w:pPr>
      <w:r>
        <w:rPr>
          <w:kern w:val="0"/>
        </w:rPr>
        <w:t xml:space="preserve">Abstract: Background: To compare the efficacy and tolerability of intravitreal </w:t>
      </w:r>
      <w:r>
        <w:rPr>
          <w:kern w:val="0"/>
        </w:rPr>
        <w:lastRenderedPageBreak/>
        <w:t>ranibizumab (IVR) 0.5 mg or 0.3 mg with non-anti-vascular endothelial growth factor (VEGF), and to compare the efficacy of IVR 0.5 mg with IVR 0.3 mg in the treatment of macular edema secondary to retinal vein occlusion. Methods: Relevant studies were selected after an extensive search using the PubMed, EMBASE, Web of Science, and Cochrane Library databases. Outcomes of interest included visual outcomes, anatomic variables, and adverse events. Results: Four randomized controlled trials (RCTs) met our inclusion criteria. IVR 0.5 mg produced a significantly higher improvement in visual acuity at six months, with pooled weighted mean differences (WMDs) of 12.30 early treatment diabetic retinopathy study (ETDRS) letters (95% CI: 10.03, 14.58) (P &lt; 0.001), and led to a higher proportion of patients gaining &gt;= 15 letters (RR, 2.36; 95% CI: 1.86, 2.99; P &lt; 0.001) at the follow-up endpoint, compared with non-anti-VEGF. A more obvious reduction in central foveal thickness (CFT) was observed in the IVR 0.5 mg group than the non-anti-VEGF group, and the mean difference in CFT was statistically significant (WMD, -216.86 mu m; 95% CI: -279.01, -154.71; P &lt; 0.001). A similar efficacy was found between the IVR 0.3 mg group and the non-anti-VEGF group. No significant differences were found between IVR 0.5 mg and 0.3 mg. The incidence of iris neovascularization in the non-anti-VEGF group was significantly higher than that of the IVR group. Conclusions: IVR 0.5 mg or 0.3 mg was more effective than sham injection and laser treatment. IVR 0.3 mg is as effective as IVR 0.5 mg in the treatment of macular edema secondary to retinal vein occlusion.</w:t>
      </w:r>
    </w:p>
    <w:p w:rsidR="009840F6" w:rsidRDefault="009840F6" w:rsidP="009840F6">
      <w:pPr>
        <w:pStyle w:val="a3"/>
        <w:rPr>
          <w:kern w:val="0"/>
        </w:rPr>
      </w:pPr>
      <w:r>
        <w:rPr>
          <w:kern w:val="0"/>
        </w:rPr>
        <w:t>Keywords: 12-Month Outcomes, Adverse Events, Comparison, Criteria, Cruise-Trials, Databases, Degeneration, Diabetic Retinopathy, Effects, Efficacy, Embase, Endothelial Growth-Factor, Events, Follow-Up, Growth, Growth Factor, Improvement, Incidence, Intravitreal Ranibizumab, Intravitreal Ranibizumab, Laser, Library, Macular Edema, Mar, Meta Analysis, Meta-Analysis, Metaanalysis, Methods, Occlusion, Outcomes, P, Patients, Phase-III, Pubmed, Randomized, Randomized Controlled Trials, Randomized Controlled-Trial, Reduction, Results, Retinal Vein Occlusion, Science, Sustained Benefits, Therapy, Treatment, Vegf, Web, Web Of Science</w:t>
      </w:r>
    </w:p>
    <w:p w:rsidR="000753DA" w:rsidRPr="001A3D2B" w:rsidRDefault="000753DA" w:rsidP="000753DA">
      <w:pPr>
        <w:pStyle w:val="1"/>
      </w:pPr>
      <w:r w:rsidRPr="001A3D2B">
        <w:br w:type="page"/>
      </w:r>
      <w:bookmarkStart w:id="854" w:name="_Toc420814771"/>
      <w:r w:rsidRPr="001A3D2B">
        <w:lastRenderedPageBreak/>
        <w:t xml:space="preserve">Title: </w:t>
      </w:r>
      <w:r w:rsidRPr="00E34B86">
        <w:rPr>
          <w:iCs w:val="0"/>
        </w:rPr>
        <w:t xml:space="preserve">BMC </w:t>
      </w:r>
      <w:r w:rsidRPr="00E34B86">
        <w:t>Oral Health</w:t>
      </w:r>
      <w:bookmarkEnd w:id="854"/>
    </w:p>
    <w:p w:rsidR="000753DA" w:rsidRPr="001A3D2B" w:rsidRDefault="000753DA" w:rsidP="000753DA">
      <w:pPr>
        <w:pStyle w:val="12"/>
      </w:pPr>
      <w:r w:rsidRPr="001A3D2B">
        <w:t xml:space="preserve">Full Journal Title: </w:t>
      </w:r>
      <w:r w:rsidRPr="00E34B86">
        <w:rPr>
          <w:iCs/>
          <w:kern w:val="0"/>
        </w:rPr>
        <w:t>BMC Oral Health</w:t>
      </w:r>
    </w:p>
    <w:p w:rsidR="000753DA" w:rsidRPr="001A3D2B" w:rsidRDefault="000753DA" w:rsidP="000753DA">
      <w:pPr>
        <w:pStyle w:val="12"/>
      </w:pPr>
      <w:r w:rsidRPr="001A3D2B">
        <w:t xml:space="preserve">ISO Abbreviated Title: </w:t>
      </w:r>
    </w:p>
    <w:p w:rsidR="000753DA" w:rsidRPr="001A3D2B" w:rsidRDefault="000753DA" w:rsidP="000753DA">
      <w:pPr>
        <w:pStyle w:val="12"/>
      </w:pPr>
      <w:r w:rsidRPr="001A3D2B">
        <w:t xml:space="preserve">JCR Abbreviated Title: </w:t>
      </w:r>
    </w:p>
    <w:p w:rsidR="000753DA" w:rsidRPr="001A3D2B" w:rsidRDefault="000753DA" w:rsidP="000753DA">
      <w:pPr>
        <w:pStyle w:val="12"/>
      </w:pPr>
      <w:r w:rsidRPr="001A3D2B">
        <w:t xml:space="preserve">ISSN: </w:t>
      </w:r>
    </w:p>
    <w:p w:rsidR="000753DA" w:rsidRPr="001A3D2B" w:rsidRDefault="000753DA" w:rsidP="000753DA">
      <w:pPr>
        <w:pStyle w:val="12"/>
      </w:pPr>
      <w:r w:rsidRPr="001A3D2B">
        <w:t xml:space="preserve">Issues/Year: </w:t>
      </w:r>
    </w:p>
    <w:p w:rsidR="000753DA" w:rsidRPr="001A3D2B" w:rsidRDefault="000753DA" w:rsidP="000753DA">
      <w:pPr>
        <w:pStyle w:val="12"/>
      </w:pPr>
      <w:r w:rsidRPr="001A3D2B">
        <w:t xml:space="preserve">Journal Country/Territory: </w:t>
      </w:r>
    </w:p>
    <w:p w:rsidR="000753DA" w:rsidRPr="001A3D2B" w:rsidRDefault="000753DA" w:rsidP="000753DA">
      <w:pPr>
        <w:pStyle w:val="12"/>
      </w:pPr>
      <w:r w:rsidRPr="001A3D2B">
        <w:t xml:space="preserve">Language: </w:t>
      </w:r>
    </w:p>
    <w:p w:rsidR="000753DA" w:rsidRPr="001A3D2B" w:rsidRDefault="000753DA" w:rsidP="000753DA">
      <w:pPr>
        <w:pStyle w:val="12"/>
      </w:pPr>
      <w:r w:rsidRPr="001A3D2B">
        <w:t xml:space="preserve">Publisher: </w:t>
      </w:r>
    </w:p>
    <w:p w:rsidR="000753DA" w:rsidRPr="001A3D2B" w:rsidRDefault="000753DA" w:rsidP="000753DA">
      <w:pPr>
        <w:pStyle w:val="12"/>
      </w:pPr>
      <w:r w:rsidRPr="001A3D2B">
        <w:t xml:space="preserve">Publisher Address: </w:t>
      </w:r>
    </w:p>
    <w:p w:rsidR="000753DA" w:rsidRPr="001A3D2B" w:rsidRDefault="000753DA" w:rsidP="000753DA">
      <w:pPr>
        <w:pStyle w:val="12"/>
      </w:pPr>
      <w:r w:rsidRPr="001A3D2B">
        <w:t xml:space="preserve">Subject Categories: </w:t>
      </w:r>
    </w:p>
    <w:p w:rsidR="000753DA" w:rsidRPr="001A3D2B" w:rsidRDefault="000753DA" w:rsidP="000753DA">
      <w:pPr>
        <w:pStyle w:val="12"/>
      </w:pPr>
      <w:r w:rsidRPr="001A3D2B">
        <w:t xml:space="preserve">: Impact Factor </w:t>
      </w:r>
    </w:p>
    <w:p w:rsidR="000753DA" w:rsidRDefault="000753DA" w:rsidP="000753DA">
      <w:pPr>
        <w:pStyle w:val="a3"/>
        <w:rPr>
          <w:kern w:val="0"/>
        </w:rPr>
      </w:pPr>
      <w:r>
        <w:rPr>
          <w:rFonts w:hint="eastAsia"/>
          <w:kern w:val="0"/>
        </w:rPr>
        <w:t xml:space="preserve">? </w:t>
      </w:r>
      <w:r>
        <w:rPr>
          <w:kern w:val="0"/>
        </w:rPr>
        <w:t xml:space="preserve">Gilchrist, F., Rodd, H., Deery, C. and Marshman, Z. (2014), Assessment of the quality of measures of child oral health-related quality of life. </w:t>
      </w:r>
      <w:r w:rsidRPr="00E34B86">
        <w:rPr>
          <w:i/>
          <w:iCs/>
          <w:kern w:val="0"/>
        </w:rPr>
        <w:t>BMC Oral Health</w:t>
      </w:r>
      <w:r>
        <w:rPr>
          <w:kern w:val="0"/>
        </w:rPr>
        <w:t xml:space="preserve">, </w:t>
      </w:r>
      <w:r>
        <w:rPr>
          <w:b/>
          <w:bCs/>
          <w:kern w:val="0"/>
        </w:rPr>
        <w:t>14</w:t>
      </w:r>
      <w:r>
        <w:rPr>
          <w:rFonts w:hint="eastAsia"/>
          <w:kern w:val="0"/>
        </w:rPr>
        <w:t xml:space="preserve">, </w:t>
      </w:r>
      <w:r w:rsidRPr="00BA26FB">
        <w:rPr>
          <w:kern w:val="0"/>
        </w:rPr>
        <w:t>Article Number: 40</w:t>
      </w:r>
      <w:r>
        <w:rPr>
          <w:rFonts w:hint="eastAsia"/>
          <w:kern w:val="0"/>
        </w:rPr>
        <w:t>.</w:t>
      </w:r>
    </w:p>
    <w:p w:rsidR="000753DA" w:rsidRDefault="000753DA" w:rsidP="000753DA">
      <w:pPr>
        <w:pStyle w:val="a3"/>
        <w:rPr>
          <w:kern w:val="0"/>
        </w:rPr>
      </w:pPr>
      <w:r>
        <w:rPr>
          <w:rFonts w:hint="eastAsia"/>
          <w:kern w:val="0"/>
        </w:rPr>
        <w:t xml:space="preserve">Full Text: </w:t>
      </w:r>
      <w:hyperlink r:id="rId1674" w:history="1">
        <w:r w:rsidRPr="00E34B86">
          <w:rPr>
            <w:rStyle w:val="a5"/>
            <w:kern w:val="0"/>
          </w:rPr>
          <w:t>2014\BMC Ora Hea14, 40.pdf</w:t>
        </w:r>
      </w:hyperlink>
    </w:p>
    <w:p w:rsidR="000753DA" w:rsidRDefault="000753DA" w:rsidP="000753DA">
      <w:pPr>
        <w:pStyle w:val="a3"/>
        <w:rPr>
          <w:kern w:val="0"/>
        </w:rPr>
      </w:pPr>
      <w:r>
        <w:rPr>
          <w:kern w:val="0"/>
        </w:rPr>
        <w:t>Abstract: Background: Several measures of oral health-related quality of life have been developed for children</w:t>
      </w:r>
      <w:r w:rsidR="00A37C1D">
        <w:rPr>
          <w:kern w:val="0"/>
        </w:rPr>
        <w:t>. The</w:t>
      </w:r>
      <w:r>
        <w:rPr>
          <w:kern w:val="0"/>
        </w:rPr>
        <w:t xml:space="preserve"> most frequently used are the Child Perceptions Questionnaire (CPQ), the Child Oral Impacts on Daily Performances (C-OIDP) and the Child Oral Health Impact Profile (COHIP)</w:t>
      </w:r>
      <w:r w:rsidR="00A37C1D">
        <w:rPr>
          <w:kern w:val="0"/>
        </w:rPr>
        <w:t>. The</w:t>
      </w:r>
      <w:r>
        <w:rPr>
          <w:kern w:val="0"/>
        </w:rPr>
        <w:t xml:space="preserve"> aim of this study was to assess the methodological quality of the development and testing of these three measures. Methods: A systematic search strategy was used to identify eligible studies published up to December 2012, using both MEDLINE and Web of Science. Titles and abstracts were read independently by two investigators and full papers retrieved where the inclusion criteria were met. Data were extracted by two teams of two investigators using a piloted protocol</w:t>
      </w:r>
      <w:r w:rsidR="00A37C1D">
        <w:rPr>
          <w:kern w:val="0"/>
        </w:rPr>
        <w:t>. The</w:t>
      </w:r>
      <w:r>
        <w:rPr>
          <w:kern w:val="0"/>
        </w:rPr>
        <w:t xml:space="preserve"> data were used to describe the development of the measures and their use against existing criteria</w:t>
      </w:r>
      <w:r w:rsidR="00A37C1D">
        <w:rPr>
          <w:kern w:val="0"/>
        </w:rPr>
        <w:t>. The</w:t>
      </w:r>
      <w:r>
        <w:rPr>
          <w:kern w:val="0"/>
        </w:rPr>
        <w:t xml:space="preserve"> methodological quality and measurement properties of the measures were assessed using standards proposed by the Consensus-based Standards for the Selection of Health Measurement Instruments (COSMIN) group. Results: The search strategy yielded 653 papers, of which 417 were duplicates. Following analysis of the abstracts, 119 papers met the inclusion criteria</w:t>
      </w:r>
      <w:r w:rsidR="00A37C1D">
        <w:rPr>
          <w:kern w:val="0"/>
        </w:rPr>
        <w:t>. The</w:t>
      </w:r>
      <w:r>
        <w:rPr>
          <w:kern w:val="0"/>
        </w:rPr>
        <w:t xml:space="preserve"> majority of papers reported cross-sectional studies (n = 117) with three of longitudinal design. Fifteen studies which had used the original version of the measures in their original language were included in the COSMIN analysis</w:t>
      </w:r>
      <w:r w:rsidR="00A37C1D">
        <w:rPr>
          <w:kern w:val="0"/>
        </w:rPr>
        <w:t>. The</w:t>
      </w:r>
      <w:r>
        <w:rPr>
          <w:kern w:val="0"/>
        </w:rPr>
        <w:t xml:space="preserve"> most frequently used measure was the CPQ. Reliability and construct validity appear to be adequate for all three measures. Children were not fully involved in item generation which may compromise their content validity. </w:t>
      </w:r>
      <w:r>
        <w:rPr>
          <w:kern w:val="0"/>
        </w:rPr>
        <w:lastRenderedPageBreak/>
        <w:t>Internal consistency was measured using classic test theory with no evidence of modern psychometric techniques being used to test unidimensionality of the measures included in the COSMIN analysis. Conclusion: The three measures evaluated appear to be able to discriminate between groups. CPQ has been most widely tested and several versions are available. COHIP employed a rigorous development strategy but has been tested in fewer populations. C-OIDP is shorter and has been used successfully in epidemiological studies. Further testing using modern psychometric techniques such as item response theory is recommended. Future developments should also focus on the development of measures which can evaluate longitudinal change.</w:t>
      </w:r>
    </w:p>
    <w:p w:rsidR="000753DA" w:rsidRDefault="000753DA" w:rsidP="000753DA">
      <w:pPr>
        <w:pStyle w:val="a3"/>
        <w:rPr>
          <w:kern w:val="0"/>
        </w:rPr>
      </w:pPr>
      <w:r>
        <w:rPr>
          <w:kern w:val="0"/>
        </w:rPr>
        <w:t>Keywords: Analysis, Assessment, Child, Children, Consistency, Criteria, Cross-Cultural Adaptation, Cross-Sectional Studies, Daily Performances, Data, Design, Development, Disease-Specific Questionnaires, Evidence, Generation, Groups, Health, Health-Related Quality Of Life, Impact, Impact Profile, Impacts, Instruments, Internal Consistency, Language, Life, Longitudinal, Measure, Measurement, Measures, Medline, Methods, OIDP Index, Oral, Orthodontic Appliance Therapy, Papers, Perceptions, Perceptions Questionnaire CPQ(11-14), Populations, Properties, Protocol, Quality, Quality Of, Quality Of Life, Questionnaire, Reliability, Response, Results, School-Children, Science, Search Strategy, Short Forms, Standards, Strategy, Systematic, Techniques, Testing, Theory, Titles, Traumatic Dental Injuries, Validity, Version, Web Of Science</w:t>
      </w:r>
    </w:p>
    <w:p w:rsidR="00AF7C94" w:rsidRDefault="00AF7C94" w:rsidP="00AF7C94">
      <w:pPr>
        <w:pStyle w:val="a3"/>
        <w:rPr>
          <w:kern w:val="0"/>
        </w:rPr>
      </w:pPr>
      <w:r>
        <w:rPr>
          <w:rFonts w:hint="eastAsia"/>
          <w:kern w:val="0"/>
        </w:rPr>
        <w:t xml:space="preserve">? </w:t>
      </w:r>
      <w:r>
        <w:rPr>
          <w:kern w:val="0"/>
        </w:rPr>
        <w:t xml:space="preserve">Chen, Q.S., Zheng, X.C., Chen, W.T., Ni, Z.Y. and Zhou, Y. (2015), Influence of orthodontic treatment with fixed appliances on enamel color: A systematic review. </w:t>
      </w:r>
      <w:r w:rsidRPr="00E34B86">
        <w:rPr>
          <w:i/>
          <w:iCs/>
          <w:kern w:val="0"/>
        </w:rPr>
        <w:t>BMC Oral Health</w:t>
      </w:r>
      <w:r>
        <w:rPr>
          <w:kern w:val="0"/>
        </w:rPr>
        <w:t xml:space="preserve">, </w:t>
      </w:r>
      <w:r>
        <w:rPr>
          <w:b/>
          <w:bCs/>
          <w:kern w:val="0"/>
        </w:rPr>
        <w:t>1</w:t>
      </w:r>
      <w:r>
        <w:rPr>
          <w:rFonts w:hint="eastAsia"/>
          <w:b/>
          <w:bCs/>
          <w:kern w:val="0"/>
        </w:rPr>
        <w:t>5</w:t>
      </w:r>
      <w:r>
        <w:rPr>
          <w:rFonts w:hint="eastAsia"/>
          <w:kern w:val="0"/>
        </w:rPr>
        <w:t xml:space="preserve">, </w:t>
      </w:r>
      <w:r w:rsidRPr="00BA26FB">
        <w:rPr>
          <w:kern w:val="0"/>
        </w:rPr>
        <w:t xml:space="preserve">Article Number: </w:t>
      </w:r>
      <w:r>
        <w:rPr>
          <w:rFonts w:hint="eastAsia"/>
          <w:kern w:val="0"/>
        </w:rPr>
        <w:t>31.</w:t>
      </w:r>
    </w:p>
    <w:p w:rsidR="00AF7C94" w:rsidRDefault="00AF7C94" w:rsidP="00AF7C94">
      <w:pPr>
        <w:pStyle w:val="a3"/>
        <w:rPr>
          <w:kern w:val="0"/>
        </w:rPr>
      </w:pPr>
      <w:r>
        <w:rPr>
          <w:rFonts w:hint="eastAsia"/>
          <w:kern w:val="0"/>
        </w:rPr>
        <w:t xml:space="preserve">Full Text: </w:t>
      </w:r>
      <w:hyperlink r:id="rId1675" w:history="1">
        <w:r w:rsidRPr="00043235">
          <w:rPr>
            <w:rStyle w:val="a5"/>
            <w:kern w:val="0"/>
          </w:rPr>
          <w:t>2015\BMC Ora Hea15, 31.pdf</w:t>
        </w:r>
      </w:hyperlink>
    </w:p>
    <w:p w:rsidR="00AF7C94" w:rsidRDefault="00AF7C94" w:rsidP="00AF7C94">
      <w:pPr>
        <w:pStyle w:val="a3"/>
        <w:rPr>
          <w:kern w:val="0"/>
        </w:rPr>
      </w:pPr>
      <w:r>
        <w:rPr>
          <w:kern w:val="0"/>
        </w:rPr>
        <w:t xml:space="preserve">Abstract: Background: The purposes of this systematic review were to identify and review the orthodontic literature with regard to enamel color alterations after orthodontic treatment with fixed appliances. The effects of clean-up procedures on the surface of enamel were also investigated. Methods: We searched the following electronic databases: Medline (1950 to 6 July 2014), EMBASE via OVID (1980 to 6 July 2014), Google Scholar, Web of Science (1950 to 6 July 2014), CENTRAL (The Cochrane Library, 2014, Issue 7). We also searched the reference lists of relevant articles. Quality assessment of the included articles was performed. Two authors were responsible for study selection, validity assessment, and data extraction. Results: Five studies met the inclusion criteria, including 3 randomized controlled trials and 2 prospective studies. Four trials were assessed as being unclear with regard to risk of bias. One was assessed as being at high risk of bias. The studies reviewed suggested that orthodontic treatment alters the original color of enamel, and both adhesive systems and resin-removal methods can contribute to this change. Conclusion: There </w:t>
      </w:r>
      <w:r>
        <w:rPr>
          <w:kern w:val="0"/>
        </w:rPr>
        <w:lastRenderedPageBreak/>
        <w:t>is no strong evidence from this review that orthodontic treatment with fixed appliances alters the original color of enamel. Further well-designed and conducted randomized controlled trials are required, to facilitate comparisons of results.</w:t>
      </w:r>
    </w:p>
    <w:p w:rsidR="00AF7C94" w:rsidRDefault="00AF7C94" w:rsidP="00AF7C94">
      <w:pPr>
        <w:pStyle w:val="a3"/>
        <w:rPr>
          <w:kern w:val="0"/>
        </w:rPr>
      </w:pPr>
      <w:r>
        <w:rPr>
          <w:kern w:val="0"/>
        </w:rPr>
        <w:t>Keywords: Articles, Assessment, Authors, Bias, Brackets, Cleanup, Color, Criteria, Data, Databases, Different Adhesives, Effects, Embase, Enamel Color, Evidence, Extraction, From, Google, Google Scholar, Influence, Literature, Mar, Medline, Methods, Orthodontic Treatment, Procedures, Prospective, Prospective Studies, Quality, Quality Assessment, Randomized, Randomized Controlled Trials, Reference, Reference Lists, Results, Review, Risk, Science, Selection, Self-Etching Primer, Surface, Systematic, Systematic Review, Systems, Teeth, Tooth Color, Treatment, Validity, Web, Web Of Science</w:t>
      </w:r>
    </w:p>
    <w:p w:rsidR="007C3DA3" w:rsidRPr="001A3D2B" w:rsidRDefault="007C3DA3" w:rsidP="007C3DA3">
      <w:pPr>
        <w:pStyle w:val="1"/>
      </w:pPr>
      <w:r w:rsidRPr="001A3D2B">
        <w:br w:type="page"/>
      </w:r>
      <w:bookmarkStart w:id="855" w:name="_Toc420814772"/>
      <w:r w:rsidRPr="001A3D2B">
        <w:lastRenderedPageBreak/>
        <w:t xml:space="preserve">Title: </w:t>
      </w:r>
      <w:r w:rsidRPr="007C3DA3">
        <w:rPr>
          <w:iCs w:val="0"/>
        </w:rPr>
        <w:t xml:space="preserve">BMC </w:t>
      </w:r>
      <w:r w:rsidRPr="007C3DA3">
        <w:t>Pediatrics</w:t>
      </w:r>
      <w:bookmarkEnd w:id="855"/>
    </w:p>
    <w:p w:rsidR="007C3DA3" w:rsidRPr="001A3D2B" w:rsidRDefault="007C3DA3" w:rsidP="007C3DA3">
      <w:pPr>
        <w:pStyle w:val="12"/>
      </w:pPr>
      <w:r w:rsidRPr="001A3D2B">
        <w:t xml:space="preserve">Full Journal Title: </w:t>
      </w:r>
      <w:r w:rsidRPr="007C3DA3">
        <w:rPr>
          <w:iCs/>
          <w:kern w:val="0"/>
        </w:rPr>
        <w:t>BMC Pediatrics</w:t>
      </w:r>
    </w:p>
    <w:p w:rsidR="007C3DA3" w:rsidRPr="001A3D2B" w:rsidRDefault="007C3DA3" w:rsidP="007C3DA3">
      <w:pPr>
        <w:pStyle w:val="12"/>
      </w:pPr>
      <w:r w:rsidRPr="001A3D2B">
        <w:t xml:space="preserve">ISO Abbreviated Title: </w:t>
      </w:r>
    </w:p>
    <w:p w:rsidR="007C3DA3" w:rsidRPr="001A3D2B" w:rsidRDefault="007C3DA3" w:rsidP="007C3DA3">
      <w:pPr>
        <w:pStyle w:val="12"/>
      </w:pPr>
      <w:r w:rsidRPr="001A3D2B">
        <w:t xml:space="preserve">JCR Abbreviated Title: </w:t>
      </w:r>
    </w:p>
    <w:p w:rsidR="007C3DA3" w:rsidRPr="001A3D2B" w:rsidRDefault="007C3DA3" w:rsidP="007C3DA3">
      <w:pPr>
        <w:pStyle w:val="12"/>
      </w:pPr>
      <w:r w:rsidRPr="001A3D2B">
        <w:t xml:space="preserve">ISSN: </w:t>
      </w:r>
    </w:p>
    <w:p w:rsidR="007C3DA3" w:rsidRPr="001A3D2B" w:rsidRDefault="007C3DA3" w:rsidP="007C3DA3">
      <w:pPr>
        <w:pStyle w:val="12"/>
      </w:pPr>
      <w:r w:rsidRPr="001A3D2B">
        <w:t xml:space="preserve">Issues/Year: </w:t>
      </w:r>
    </w:p>
    <w:p w:rsidR="007C3DA3" w:rsidRPr="001A3D2B" w:rsidRDefault="007C3DA3" w:rsidP="007C3DA3">
      <w:pPr>
        <w:pStyle w:val="12"/>
      </w:pPr>
      <w:r w:rsidRPr="001A3D2B">
        <w:t xml:space="preserve">Journal Country/Territory: </w:t>
      </w:r>
    </w:p>
    <w:p w:rsidR="007C3DA3" w:rsidRPr="001A3D2B" w:rsidRDefault="007C3DA3" w:rsidP="007C3DA3">
      <w:pPr>
        <w:pStyle w:val="12"/>
      </w:pPr>
      <w:r w:rsidRPr="001A3D2B">
        <w:t xml:space="preserve">Language: </w:t>
      </w:r>
    </w:p>
    <w:p w:rsidR="007C3DA3" w:rsidRPr="001A3D2B" w:rsidRDefault="007C3DA3" w:rsidP="007C3DA3">
      <w:pPr>
        <w:pStyle w:val="12"/>
      </w:pPr>
      <w:r w:rsidRPr="001A3D2B">
        <w:t xml:space="preserve">Publisher: </w:t>
      </w:r>
    </w:p>
    <w:p w:rsidR="007C3DA3" w:rsidRPr="001A3D2B" w:rsidRDefault="007C3DA3" w:rsidP="007C3DA3">
      <w:pPr>
        <w:pStyle w:val="12"/>
      </w:pPr>
      <w:r w:rsidRPr="001A3D2B">
        <w:t xml:space="preserve">Publisher Address: </w:t>
      </w:r>
    </w:p>
    <w:p w:rsidR="007C3DA3" w:rsidRPr="001A3D2B" w:rsidRDefault="007C3DA3" w:rsidP="007C3DA3">
      <w:pPr>
        <w:pStyle w:val="12"/>
      </w:pPr>
      <w:r w:rsidRPr="001A3D2B">
        <w:t xml:space="preserve">Subject Categories: </w:t>
      </w:r>
    </w:p>
    <w:p w:rsidR="007C3DA3" w:rsidRPr="001A3D2B" w:rsidRDefault="007C3DA3" w:rsidP="007C3DA3">
      <w:pPr>
        <w:pStyle w:val="12"/>
      </w:pPr>
      <w:r w:rsidRPr="001A3D2B">
        <w:t xml:space="preserve">: Impact Factor </w:t>
      </w:r>
    </w:p>
    <w:p w:rsidR="00B866F1" w:rsidRDefault="00B866F1" w:rsidP="00B866F1">
      <w:pPr>
        <w:pStyle w:val="a3"/>
        <w:rPr>
          <w:kern w:val="0"/>
        </w:rPr>
      </w:pPr>
      <w:r>
        <w:rPr>
          <w:rFonts w:hint="eastAsia"/>
          <w:kern w:val="0"/>
        </w:rPr>
        <w:t xml:space="preserve">? </w:t>
      </w:r>
      <w:r>
        <w:rPr>
          <w:kern w:val="0"/>
        </w:rPr>
        <w:t>Barnard, K., Thomas, S., Royle, P., Noyes, K.</w:t>
      </w:r>
      <w:r w:rsidR="005853A9">
        <w:rPr>
          <w:kern w:val="0"/>
        </w:rPr>
        <w:t xml:space="preserve"> and </w:t>
      </w:r>
      <w:r>
        <w:rPr>
          <w:kern w:val="0"/>
        </w:rPr>
        <w:t>Waugh, N. (2010), Fear</w:t>
      </w:r>
      <w:r w:rsidR="00427468">
        <w:rPr>
          <w:kern w:val="0"/>
        </w:rPr>
        <w:t xml:space="preserve"> of </w:t>
      </w:r>
      <w:r>
        <w:rPr>
          <w:kern w:val="0"/>
        </w:rPr>
        <w:t>hypoglycaemia in parents</w:t>
      </w:r>
      <w:r w:rsidR="00427468">
        <w:rPr>
          <w:kern w:val="0"/>
        </w:rPr>
        <w:t xml:space="preserve"> of </w:t>
      </w:r>
      <w:r>
        <w:rPr>
          <w:kern w:val="0"/>
        </w:rPr>
        <w:t xml:space="preserve">young children with type 1 diabetes: A systematic review. </w:t>
      </w:r>
      <w:r>
        <w:rPr>
          <w:i/>
          <w:iCs/>
          <w:kern w:val="0"/>
        </w:rPr>
        <w:t>BMC Pediatrics</w:t>
      </w:r>
      <w:r>
        <w:rPr>
          <w:kern w:val="0"/>
        </w:rPr>
        <w:t xml:space="preserve">, </w:t>
      </w:r>
      <w:r>
        <w:rPr>
          <w:b/>
          <w:bCs/>
          <w:kern w:val="0"/>
        </w:rPr>
        <w:t>10</w:t>
      </w:r>
      <w:r>
        <w:rPr>
          <w:rFonts w:hint="eastAsia"/>
          <w:kern w:val="0"/>
        </w:rPr>
        <w:t xml:space="preserve">, </w:t>
      </w:r>
      <w:r>
        <w:t>Article Number: 50</w:t>
      </w:r>
      <w:r>
        <w:rPr>
          <w:rFonts w:hint="eastAsia"/>
        </w:rPr>
        <w:t>.</w:t>
      </w:r>
    </w:p>
    <w:p w:rsidR="00B866F1" w:rsidRPr="00FC7835" w:rsidRDefault="00B866F1" w:rsidP="00B866F1">
      <w:pPr>
        <w:pStyle w:val="a3"/>
      </w:pPr>
      <w:r>
        <w:t>Full Text:</w:t>
      </w:r>
      <w:r w:rsidRPr="00FC7835">
        <w:t xml:space="preserve"> </w:t>
      </w:r>
      <w:hyperlink r:id="rId1676" w:history="1">
        <w:r w:rsidRPr="00364C11">
          <w:rPr>
            <w:rStyle w:val="a5"/>
          </w:rPr>
          <w:t>2010\BMC Ped10, 50.pdf</w:t>
        </w:r>
      </w:hyperlink>
    </w:p>
    <w:p w:rsidR="00B866F1" w:rsidRDefault="00B866F1" w:rsidP="00B866F1">
      <w:pPr>
        <w:pStyle w:val="a3"/>
        <w:rPr>
          <w:kern w:val="0"/>
        </w:rPr>
      </w:pPr>
      <w:r>
        <w:rPr>
          <w:kern w:val="0"/>
        </w:rPr>
        <w:t>Abstract: Background: Many children with type 1 diabetes have poor glycaemic control. Since</w:t>
      </w:r>
      <w:r w:rsidR="003A1917">
        <w:rPr>
          <w:kern w:val="0"/>
        </w:rPr>
        <w:t xml:space="preserve"> the </w:t>
      </w:r>
      <w:r>
        <w:rPr>
          <w:kern w:val="0"/>
        </w:rPr>
        <w:t>Diabetes Control</w:t>
      </w:r>
      <w:r w:rsidR="005853A9">
        <w:rPr>
          <w:kern w:val="0"/>
        </w:rPr>
        <w:t xml:space="preserve"> and </w:t>
      </w:r>
      <w:r>
        <w:rPr>
          <w:kern w:val="0"/>
        </w:rPr>
        <w:t>Complications Trial (DCCT) showed that tighter control reduces complication rates, there has been more emphasis on intensified insulin therapy. We know that patients</w:t>
      </w:r>
      <w:r w:rsidR="005853A9">
        <w:rPr>
          <w:kern w:val="0"/>
        </w:rPr>
        <w:t xml:space="preserve"> and </w:t>
      </w:r>
      <w:r>
        <w:rPr>
          <w:kern w:val="0"/>
        </w:rPr>
        <w:t>families are afraid</w:t>
      </w:r>
      <w:r w:rsidR="00427468">
        <w:rPr>
          <w:kern w:val="0"/>
        </w:rPr>
        <w:t xml:space="preserve"> of </w:t>
      </w:r>
      <w:r>
        <w:rPr>
          <w:kern w:val="0"/>
        </w:rPr>
        <w:t>hypoglycaemia. We hypothesised that fear</w:t>
      </w:r>
      <w:r w:rsidR="00427468">
        <w:rPr>
          <w:kern w:val="0"/>
        </w:rPr>
        <w:t xml:space="preserve"> of </w:t>
      </w:r>
      <w:r>
        <w:rPr>
          <w:kern w:val="0"/>
        </w:rPr>
        <w:t>hypoglycaemia might take precedence over concern about long-term complications,</w:t>
      </w:r>
      <w:r w:rsidR="005853A9">
        <w:rPr>
          <w:kern w:val="0"/>
        </w:rPr>
        <w:t xml:space="preserve"> and </w:t>
      </w:r>
      <w:r>
        <w:rPr>
          <w:kern w:val="0"/>
        </w:rPr>
        <w:t>that behaviour to avoid hypoglycaemia might be at</w:t>
      </w:r>
      <w:r w:rsidR="003A1917">
        <w:rPr>
          <w:kern w:val="0"/>
        </w:rPr>
        <w:t xml:space="preserve"> the </w:t>
      </w:r>
      <w:r>
        <w:rPr>
          <w:kern w:val="0"/>
        </w:rPr>
        <w:t>cost</w:t>
      </w:r>
      <w:r w:rsidR="00427468">
        <w:rPr>
          <w:kern w:val="0"/>
        </w:rPr>
        <w:t xml:space="preserve"> of </w:t>
      </w:r>
      <w:r>
        <w:rPr>
          <w:kern w:val="0"/>
        </w:rPr>
        <w:t>poorer control,</w:t>
      </w:r>
      <w:r w:rsidR="005853A9">
        <w:rPr>
          <w:kern w:val="0"/>
        </w:rPr>
        <w:t xml:space="preserve"> and </w:t>
      </w:r>
      <w:r>
        <w:rPr>
          <w:kern w:val="0"/>
        </w:rPr>
        <w:t>aimed to evaluate</w:t>
      </w:r>
      <w:r w:rsidR="003A1917">
        <w:rPr>
          <w:kern w:val="0"/>
        </w:rPr>
        <w:t xml:space="preserve"> the </w:t>
      </w:r>
      <w:r>
        <w:rPr>
          <w:kern w:val="0"/>
        </w:rPr>
        <w:t>effectiveness</w:t>
      </w:r>
      <w:r w:rsidR="00427468">
        <w:rPr>
          <w:kern w:val="0"/>
        </w:rPr>
        <w:t xml:space="preserve"> of </w:t>
      </w:r>
      <w:r>
        <w:rPr>
          <w:kern w:val="0"/>
        </w:rPr>
        <w:t>any interventions designed to prevent that</w:t>
      </w:r>
      <w:r w:rsidR="00A37C1D">
        <w:rPr>
          <w:kern w:val="0"/>
        </w:rPr>
        <w:t>. The</w:t>
      </w:r>
      <w:r w:rsidR="003A1917">
        <w:rPr>
          <w:kern w:val="0"/>
        </w:rPr>
        <w:t xml:space="preserve"> </w:t>
      </w:r>
      <w:r>
        <w:rPr>
          <w:kern w:val="0"/>
        </w:rPr>
        <w:t>objective</w:t>
      </w:r>
      <w:r w:rsidR="00427468">
        <w:rPr>
          <w:kern w:val="0"/>
        </w:rPr>
        <w:t xml:space="preserve"> of </w:t>
      </w:r>
      <w:r>
        <w:rPr>
          <w:kern w:val="0"/>
        </w:rPr>
        <w:t>this review was to systematically review studies concerning</w:t>
      </w:r>
      <w:r w:rsidR="003A1917">
        <w:rPr>
          <w:kern w:val="0"/>
        </w:rPr>
        <w:t xml:space="preserve"> the </w:t>
      </w:r>
      <w:r>
        <w:rPr>
          <w:kern w:val="0"/>
        </w:rPr>
        <w:t>extent</w:t>
      </w:r>
      <w:r w:rsidR="005853A9">
        <w:rPr>
          <w:kern w:val="0"/>
        </w:rPr>
        <w:t xml:space="preserve"> and </w:t>
      </w:r>
      <w:r>
        <w:rPr>
          <w:kern w:val="0"/>
        </w:rPr>
        <w:t>consequences</w:t>
      </w:r>
      <w:r w:rsidR="00427468">
        <w:rPr>
          <w:kern w:val="0"/>
        </w:rPr>
        <w:t xml:space="preserve"> of </w:t>
      </w:r>
      <w:r>
        <w:rPr>
          <w:kern w:val="0"/>
        </w:rPr>
        <w:t>fear</w:t>
      </w:r>
      <w:r w:rsidR="00427468">
        <w:rPr>
          <w:kern w:val="0"/>
        </w:rPr>
        <w:t xml:space="preserve"> of </w:t>
      </w:r>
      <w:r>
        <w:rPr>
          <w:kern w:val="0"/>
        </w:rPr>
        <w:t>hypoglycaemia in parents</w:t>
      </w:r>
      <w:r w:rsidR="00427468">
        <w:rPr>
          <w:kern w:val="0"/>
        </w:rPr>
        <w:t xml:space="preserve"> of </w:t>
      </w:r>
      <w:r>
        <w:rPr>
          <w:kern w:val="0"/>
        </w:rPr>
        <w:t>children under 12 years</w:t>
      </w:r>
      <w:r w:rsidR="00427468">
        <w:rPr>
          <w:kern w:val="0"/>
        </w:rPr>
        <w:t xml:space="preserve"> of </w:t>
      </w:r>
      <w:r>
        <w:rPr>
          <w:kern w:val="0"/>
        </w:rPr>
        <w:t>age with type 1 diabetes,</w:t>
      </w:r>
      <w:r w:rsidR="005853A9">
        <w:rPr>
          <w:kern w:val="0"/>
        </w:rPr>
        <w:t xml:space="preserve"> and </w:t>
      </w:r>
      <w:r>
        <w:rPr>
          <w:kern w:val="0"/>
        </w:rPr>
        <w:t xml:space="preserve">interventions to reduce it. Methods: Data Sources: </w:t>
      </w:r>
      <w:r w:rsidR="00D5664A">
        <w:rPr>
          <w:kern w:val="0"/>
        </w:rPr>
        <w:t>MEDLINE</w:t>
      </w:r>
      <w:r>
        <w:rPr>
          <w:kern w:val="0"/>
        </w:rPr>
        <w:t>, EMBASE, PsycINFO,</w:t>
      </w:r>
      <w:r w:rsidR="003A1917">
        <w:rPr>
          <w:kern w:val="0"/>
        </w:rPr>
        <w:t xml:space="preserve"> the </w:t>
      </w:r>
      <w:r>
        <w:rPr>
          <w:kern w:val="0"/>
        </w:rPr>
        <w:t xml:space="preserve">Cochrane Library, </w:t>
      </w:r>
      <w:r w:rsidR="00D5664A">
        <w:rPr>
          <w:kern w:val="0"/>
        </w:rPr>
        <w:t>Web</w:t>
      </w:r>
      <w:r w:rsidR="00427468">
        <w:rPr>
          <w:kern w:val="0"/>
        </w:rPr>
        <w:t xml:space="preserve"> of </w:t>
      </w:r>
      <w:r w:rsidR="00D5664A">
        <w:rPr>
          <w:kern w:val="0"/>
        </w:rPr>
        <w:t>Science</w:t>
      </w:r>
      <w:r>
        <w:rPr>
          <w:kern w:val="0"/>
        </w:rPr>
        <w:t>, meeting abstracts</w:t>
      </w:r>
      <w:r w:rsidR="00427468">
        <w:rPr>
          <w:kern w:val="0"/>
        </w:rPr>
        <w:t xml:space="preserve"> of </w:t>
      </w:r>
      <w:r>
        <w:rPr>
          <w:kern w:val="0"/>
        </w:rPr>
        <w:t>EASD, ADA</w:t>
      </w:r>
      <w:r w:rsidR="005853A9">
        <w:rPr>
          <w:kern w:val="0"/>
        </w:rPr>
        <w:t xml:space="preserve"> and </w:t>
      </w:r>
      <w:r>
        <w:rPr>
          <w:kern w:val="0"/>
        </w:rPr>
        <w:t>Diabetes</w:t>
      </w:r>
      <w:r w:rsidR="008E3069">
        <w:rPr>
          <w:kern w:val="0"/>
        </w:rPr>
        <w:t xml:space="preserve"> UK,</w:t>
      </w:r>
      <w:r>
        <w:rPr>
          <w:kern w:val="0"/>
        </w:rPr>
        <w:t xml:space="preserve"> Current Controlled Trials, ClinicalTrials.gov, UK CRN, scrutiny</w:t>
      </w:r>
      <w:r w:rsidR="00427468">
        <w:rPr>
          <w:kern w:val="0"/>
        </w:rPr>
        <w:t xml:space="preserve"> of </w:t>
      </w:r>
      <w:r>
        <w:rPr>
          <w:kern w:val="0"/>
        </w:rPr>
        <w:t>bibliographies</w:t>
      </w:r>
      <w:r w:rsidR="00427468">
        <w:rPr>
          <w:kern w:val="0"/>
        </w:rPr>
        <w:t xml:space="preserve"> of </w:t>
      </w:r>
      <w:r>
        <w:rPr>
          <w:kern w:val="0"/>
        </w:rPr>
        <w:t>retrieved papers</w:t>
      </w:r>
      <w:r w:rsidR="005853A9">
        <w:rPr>
          <w:kern w:val="0"/>
        </w:rPr>
        <w:t xml:space="preserve"> and </w:t>
      </w:r>
      <w:r>
        <w:rPr>
          <w:kern w:val="0"/>
        </w:rPr>
        <w:t>contact with experts in</w:t>
      </w:r>
      <w:r w:rsidR="003A1917">
        <w:rPr>
          <w:kern w:val="0"/>
        </w:rPr>
        <w:t xml:space="preserve"> the </w:t>
      </w:r>
      <w:r>
        <w:rPr>
          <w:kern w:val="0"/>
        </w:rPr>
        <w:t>field. Inclusions: Relevant studies</w:t>
      </w:r>
      <w:r w:rsidR="00427468">
        <w:rPr>
          <w:kern w:val="0"/>
        </w:rPr>
        <w:t xml:space="preserve"> of </w:t>
      </w:r>
      <w:r>
        <w:rPr>
          <w:kern w:val="0"/>
        </w:rPr>
        <w:t>any design</w:t>
      </w:r>
      <w:r w:rsidR="00427468">
        <w:rPr>
          <w:kern w:val="0"/>
        </w:rPr>
        <w:t xml:space="preserve"> of </w:t>
      </w:r>
      <w:r>
        <w:rPr>
          <w:kern w:val="0"/>
        </w:rPr>
        <w:t>parents</w:t>
      </w:r>
      <w:r w:rsidR="00427468">
        <w:rPr>
          <w:kern w:val="0"/>
        </w:rPr>
        <w:t xml:space="preserve"> of </w:t>
      </w:r>
      <w:r>
        <w:rPr>
          <w:kern w:val="0"/>
        </w:rPr>
        <w:t>children under 12 years</w:t>
      </w:r>
      <w:r w:rsidR="00427468">
        <w:rPr>
          <w:kern w:val="0"/>
        </w:rPr>
        <w:t xml:space="preserve"> of </w:t>
      </w:r>
      <w:r>
        <w:rPr>
          <w:kern w:val="0"/>
        </w:rPr>
        <w:t>age with Type 1 diabetes were included</w:t>
      </w:r>
      <w:r w:rsidR="00A37C1D">
        <w:rPr>
          <w:kern w:val="0"/>
        </w:rPr>
        <w:t>. The</w:t>
      </w:r>
      <w:r w:rsidR="003A1917">
        <w:rPr>
          <w:kern w:val="0"/>
        </w:rPr>
        <w:t xml:space="preserve"> </w:t>
      </w:r>
      <w:r>
        <w:rPr>
          <w:kern w:val="0"/>
        </w:rPr>
        <w:t>key outcomes were</w:t>
      </w:r>
      <w:r w:rsidR="003A1917">
        <w:rPr>
          <w:kern w:val="0"/>
        </w:rPr>
        <w:t xml:space="preserve"> the </w:t>
      </w:r>
      <w:r>
        <w:rPr>
          <w:kern w:val="0"/>
        </w:rPr>
        <w:t>extent</w:t>
      </w:r>
      <w:r w:rsidR="005853A9">
        <w:rPr>
          <w:kern w:val="0"/>
        </w:rPr>
        <w:t xml:space="preserve"> and </w:t>
      </w:r>
      <w:r>
        <w:rPr>
          <w:kern w:val="0"/>
        </w:rPr>
        <w:t>impact</w:t>
      </w:r>
      <w:r w:rsidR="00427468">
        <w:rPr>
          <w:kern w:val="0"/>
        </w:rPr>
        <w:t xml:space="preserve"> of </w:t>
      </w:r>
      <w:r>
        <w:rPr>
          <w:kern w:val="0"/>
        </w:rPr>
        <w:t>fear, hypoglycaemia avoidance behaviour in parents due to parental fear</w:t>
      </w:r>
      <w:r w:rsidR="00427468">
        <w:rPr>
          <w:kern w:val="0"/>
        </w:rPr>
        <w:t xml:space="preserve"> of </w:t>
      </w:r>
      <w:r>
        <w:rPr>
          <w:kern w:val="0"/>
        </w:rPr>
        <w:t>hypoglycaemia in their children,</w:t>
      </w:r>
      <w:r w:rsidR="003A1917">
        <w:rPr>
          <w:kern w:val="0"/>
        </w:rPr>
        <w:t xml:space="preserve"> the </w:t>
      </w:r>
      <w:r>
        <w:rPr>
          <w:kern w:val="0"/>
        </w:rPr>
        <w:t>effect on diabetes control,</w:t>
      </w:r>
      <w:r w:rsidR="005853A9">
        <w:rPr>
          <w:kern w:val="0"/>
        </w:rPr>
        <w:t xml:space="preserve"> and </w:t>
      </w:r>
      <w:r w:rsidR="003A1917">
        <w:rPr>
          <w:kern w:val="0"/>
        </w:rPr>
        <w:t xml:space="preserve">the </w:t>
      </w:r>
      <w:r>
        <w:rPr>
          <w:kern w:val="0"/>
        </w:rPr>
        <w:t>impact</w:t>
      </w:r>
      <w:r w:rsidR="00427468">
        <w:rPr>
          <w:kern w:val="0"/>
        </w:rPr>
        <w:t xml:space="preserve"> of </w:t>
      </w:r>
      <w:r>
        <w:rPr>
          <w:kern w:val="0"/>
        </w:rPr>
        <w:t>interventions to reduce this fear</w:t>
      </w:r>
      <w:r w:rsidR="005853A9">
        <w:rPr>
          <w:kern w:val="0"/>
        </w:rPr>
        <w:t xml:space="preserve"> and </w:t>
      </w:r>
      <w:r>
        <w:rPr>
          <w:kern w:val="0"/>
        </w:rPr>
        <w:t>hypoglycaemia avoidance behaviour. Results: Eight articles from six studies met</w:t>
      </w:r>
      <w:r w:rsidR="003A1917">
        <w:rPr>
          <w:kern w:val="0"/>
        </w:rPr>
        <w:t xml:space="preserve"> the </w:t>
      </w:r>
      <w:r>
        <w:rPr>
          <w:kern w:val="0"/>
        </w:rPr>
        <w:t>inclusion criteria. All were cross sectional studies</w:t>
      </w:r>
      <w:r w:rsidR="005853A9">
        <w:rPr>
          <w:kern w:val="0"/>
        </w:rPr>
        <w:t xml:space="preserve"> and </w:t>
      </w:r>
      <w:r>
        <w:rPr>
          <w:kern w:val="0"/>
        </w:rPr>
        <w:t>most were</w:t>
      </w:r>
      <w:r w:rsidR="00427468">
        <w:rPr>
          <w:kern w:val="0"/>
        </w:rPr>
        <w:t xml:space="preserve"> of </w:t>
      </w:r>
      <w:r>
        <w:rPr>
          <w:kern w:val="0"/>
        </w:rPr>
        <w:t>good quality. Parental fear</w:t>
      </w:r>
      <w:r w:rsidR="00427468">
        <w:rPr>
          <w:kern w:val="0"/>
        </w:rPr>
        <w:t xml:space="preserve"> of </w:t>
      </w:r>
      <w:r>
        <w:rPr>
          <w:kern w:val="0"/>
        </w:rPr>
        <w:t>hypoglycaemia, anxiety</w:t>
      </w:r>
      <w:r w:rsidR="005853A9">
        <w:rPr>
          <w:kern w:val="0"/>
        </w:rPr>
        <w:t xml:space="preserve"> and </w:t>
      </w:r>
      <w:r>
        <w:rPr>
          <w:kern w:val="0"/>
        </w:rPr>
        <w:t xml:space="preserve">depression were reported to be </w:t>
      </w:r>
      <w:r>
        <w:rPr>
          <w:kern w:val="0"/>
        </w:rPr>
        <w:lastRenderedPageBreak/>
        <w:t>common</w:t>
      </w:r>
      <w:r w:rsidR="00A37C1D">
        <w:rPr>
          <w:kern w:val="0"/>
        </w:rPr>
        <w:t>. The</w:t>
      </w:r>
      <w:r>
        <w:rPr>
          <w:kern w:val="0"/>
        </w:rPr>
        <w:t>re was a paucity</w:t>
      </w:r>
      <w:r w:rsidR="00427468">
        <w:rPr>
          <w:kern w:val="0"/>
        </w:rPr>
        <w:t xml:space="preserve"> of </w:t>
      </w:r>
      <w:r>
        <w:rPr>
          <w:kern w:val="0"/>
        </w:rPr>
        <w:t>evidence on behaviour to avoid hypoglycaemia, but there were some suggestions that higher than desirable blood glucose levels might be permitted in order to avoid hypoglycaemia. No studies reporting interventions to reduce parental fear</w:t>
      </w:r>
      <w:r w:rsidR="00427468">
        <w:rPr>
          <w:kern w:val="0"/>
        </w:rPr>
        <w:t xml:space="preserve"> of </w:t>
      </w:r>
      <w:r>
        <w:rPr>
          <w:kern w:val="0"/>
        </w:rPr>
        <w:t>hypoglycaemia were found. Conclusions:</w:t>
      </w:r>
      <w:r w:rsidR="003A1917">
        <w:rPr>
          <w:kern w:val="0"/>
        </w:rPr>
        <w:t xml:space="preserve"> the </w:t>
      </w:r>
      <w:r>
        <w:rPr>
          <w:kern w:val="0"/>
        </w:rPr>
        <w:t>evidence base was limited. Parents</w:t>
      </w:r>
      <w:r w:rsidR="00427468">
        <w:rPr>
          <w:kern w:val="0"/>
        </w:rPr>
        <w:t xml:space="preserve"> of </w:t>
      </w:r>
      <w:r>
        <w:rPr>
          <w:kern w:val="0"/>
        </w:rPr>
        <w:t>children with Type 1 diabetes reported considerable parental fear</w:t>
      </w:r>
      <w:r w:rsidR="00427468">
        <w:rPr>
          <w:kern w:val="0"/>
        </w:rPr>
        <w:t xml:space="preserve"> of </w:t>
      </w:r>
      <w:r>
        <w:rPr>
          <w:kern w:val="0"/>
        </w:rPr>
        <w:t>hypoglycaemia, affecting both parental health</w:t>
      </w:r>
      <w:r w:rsidR="005853A9">
        <w:rPr>
          <w:kern w:val="0"/>
        </w:rPr>
        <w:t xml:space="preserve"> and </w:t>
      </w:r>
      <w:r>
        <w:rPr>
          <w:kern w:val="0"/>
        </w:rPr>
        <w:t>quality</w:t>
      </w:r>
      <w:r w:rsidR="00427468">
        <w:rPr>
          <w:kern w:val="0"/>
        </w:rPr>
        <w:t xml:space="preserve"> of </w:t>
      </w:r>
      <w:r>
        <w:rPr>
          <w:kern w:val="0"/>
        </w:rPr>
        <w:t>life</w:t>
      </w:r>
      <w:r w:rsidR="00A37C1D">
        <w:rPr>
          <w:kern w:val="0"/>
        </w:rPr>
        <w:t>. The</w:t>
      </w:r>
      <w:r>
        <w:rPr>
          <w:kern w:val="0"/>
        </w:rPr>
        <w:t>re is some suggestion that hypoglycaemia avoidance behaviours by parents might adversely affect glycaemic control. Trials</w:t>
      </w:r>
      <w:r w:rsidR="00427468">
        <w:rPr>
          <w:kern w:val="0"/>
        </w:rPr>
        <w:t xml:space="preserve"> of </w:t>
      </w:r>
      <w:r>
        <w:rPr>
          <w:kern w:val="0"/>
        </w:rPr>
        <w:t>interventions to reduce parental anxiety</w:t>
      </w:r>
      <w:r w:rsidR="005853A9">
        <w:rPr>
          <w:kern w:val="0"/>
        </w:rPr>
        <w:t xml:space="preserve"> and </w:t>
      </w:r>
      <w:r>
        <w:rPr>
          <w:kern w:val="0"/>
        </w:rPr>
        <w:t>hypoglycaemia avoidance behaviour are needed. We suggest that there should be a trial</w:t>
      </w:r>
      <w:r w:rsidR="00427468">
        <w:rPr>
          <w:kern w:val="0"/>
        </w:rPr>
        <w:t xml:space="preserve"> of </w:t>
      </w:r>
      <w:r>
        <w:rPr>
          <w:kern w:val="0"/>
        </w:rPr>
        <w:t>structured education for parents</w:t>
      </w:r>
      <w:r w:rsidR="00427468">
        <w:rPr>
          <w:kern w:val="0"/>
        </w:rPr>
        <w:t xml:space="preserve"> of </w:t>
      </w:r>
      <w:r>
        <w:rPr>
          <w:kern w:val="0"/>
        </w:rPr>
        <w:t>young children with Type 1 diabetes.</w:t>
      </w:r>
    </w:p>
    <w:p w:rsidR="00B866F1" w:rsidRDefault="00B866F1" w:rsidP="00B866F1">
      <w:pPr>
        <w:pStyle w:val="a3"/>
        <w:rPr>
          <w:kern w:val="0"/>
        </w:rPr>
      </w:pPr>
      <w:r>
        <w:rPr>
          <w:kern w:val="0"/>
        </w:rPr>
        <w:t xml:space="preserve">Keywords: Adolescents, Anxiety, Blood, Children, Cochrane, Cohort, Complications, Control, Depression, Diabetes, Education, Effectiveness, EMBASE, Families, Hypoglycaemia, Impact, Insulin, Interventions, </w:t>
      </w:r>
      <w:r w:rsidR="00D5664A">
        <w:rPr>
          <w:kern w:val="0"/>
        </w:rPr>
        <w:t>MEDLINE</w:t>
      </w:r>
      <w:r>
        <w:rPr>
          <w:kern w:val="0"/>
        </w:rPr>
        <w:t>, Mellitus, Methods, Mothers, Outcomes, Papers, Parents, Quality</w:t>
      </w:r>
      <w:r w:rsidR="00427468">
        <w:rPr>
          <w:kern w:val="0"/>
        </w:rPr>
        <w:t xml:space="preserve"> of </w:t>
      </w:r>
      <w:r>
        <w:rPr>
          <w:kern w:val="0"/>
        </w:rPr>
        <w:t>Life, Review, Science, Sources, Systematic, Systematic Review, Therapy, Type 1, Type 1 Diabetes</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7C3DA3" w:rsidRDefault="007C3DA3" w:rsidP="007C3DA3">
      <w:pPr>
        <w:pStyle w:val="a3"/>
        <w:rPr>
          <w:kern w:val="0"/>
        </w:rPr>
      </w:pPr>
      <w:r>
        <w:rPr>
          <w:rFonts w:hint="eastAsia"/>
          <w:kern w:val="0"/>
        </w:rPr>
        <w:t xml:space="preserve">? </w:t>
      </w:r>
      <w:r>
        <w:rPr>
          <w:kern w:val="0"/>
        </w:rPr>
        <w:t>Meerpohl, J.J., Wolff, R.F., Antes, G.</w:t>
      </w:r>
      <w:r w:rsidR="005853A9">
        <w:rPr>
          <w:kern w:val="0"/>
        </w:rPr>
        <w:t xml:space="preserve"> and </w:t>
      </w:r>
      <w:r>
        <w:rPr>
          <w:kern w:val="0"/>
        </w:rPr>
        <w:t>von Elm, E. (2011), Are pediatric Open Access journals promoting good publication practice? An analysis</w:t>
      </w:r>
      <w:r w:rsidR="00427468">
        <w:rPr>
          <w:kern w:val="0"/>
        </w:rPr>
        <w:t xml:space="preserve"> of </w:t>
      </w:r>
      <w:r>
        <w:rPr>
          <w:kern w:val="0"/>
        </w:rPr>
        <w:t xml:space="preserve">author instructions. </w:t>
      </w:r>
      <w:r w:rsidRPr="007C3DA3">
        <w:rPr>
          <w:i/>
          <w:iCs/>
          <w:kern w:val="0"/>
        </w:rPr>
        <w:t>BMC Pediatrics</w:t>
      </w:r>
      <w:r>
        <w:rPr>
          <w:kern w:val="0"/>
        </w:rPr>
        <w:t xml:space="preserve">, </w:t>
      </w:r>
      <w:r>
        <w:rPr>
          <w:b/>
          <w:bCs/>
          <w:kern w:val="0"/>
        </w:rPr>
        <w:t>11</w:t>
      </w:r>
      <w:r>
        <w:rPr>
          <w:rFonts w:hint="eastAsia"/>
          <w:kern w:val="0"/>
        </w:rPr>
        <w:t>,</w:t>
      </w:r>
      <w:r w:rsidRPr="007C3DA3">
        <w:t xml:space="preserve"> Article Number: 27</w:t>
      </w:r>
      <w:r>
        <w:rPr>
          <w:rFonts w:hint="eastAsia"/>
        </w:rPr>
        <w:t>.</w:t>
      </w:r>
    </w:p>
    <w:p w:rsidR="007C3DA3" w:rsidRPr="00FC7835" w:rsidRDefault="007C3DA3" w:rsidP="007C3DA3">
      <w:pPr>
        <w:pStyle w:val="a3"/>
      </w:pPr>
      <w:r>
        <w:t>Full Text:</w:t>
      </w:r>
      <w:r w:rsidRPr="00FC7835">
        <w:t xml:space="preserve"> </w:t>
      </w:r>
      <w:hyperlink r:id="rId1677" w:history="1">
        <w:r w:rsidRPr="007C3DA3">
          <w:rPr>
            <w:rStyle w:val="a5"/>
          </w:rPr>
          <w:t>2011\BMC Ped11, 27.pdf</w:t>
        </w:r>
      </w:hyperlink>
    </w:p>
    <w:p w:rsidR="007C3DA3" w:rsidRDefault="007C3DA3" w:rsidP="007C3DA3">
      <w:pPr>
        <w:pStyle w:val="a3"/>
        <w:rPr>
          <w:kern w:val="0"/>
        </w:rPr>
      </w:pPr>
      <w:r>
        <w:rPr>
          <w:kern w:val="0"/>
        </w:rPr>
        <w:t>Abstract: Background: Several studies analyzed whether conventional journals in general medicine or specialties such as pediatrics endorse recommendations aiming to improve publication practice. Despite evidence showing benefits</w:t>
      </w:r>
      <w:r w:rsidR="00427468">
        <w:rPr>
          <w:kern w:val="0"/>
        </w:rPr>
        <w:t xml:space="preserve"> of </w:t>
      </w:r>
      <w:r>
        <w:rPr>
          <w:kern w:val="0"/>
        </w:rPr>
        <w:t>these recommendations,</w:t>
      </w:r>
      <w:r w:rsidR="003A1917">
        <w:rPr>
          <w:kern w:val="0"/>
        </w:rPr>
        <w:t xml:space="preserve"> the </w:t>
      </w:r>
      <w:r>
        <w:rPr>
          <w:kern w:val="0"/>
        </w:rPr>
        <w:t>proportion</w:t>
      </w:r>
      <w:r w:rsidR="00427468">
        <w:rPr>
          <w:kern w:val="0"/>
        </w:rPr>
        <w:t xml:space="preserve"> of </w:t>
      </w:r>
      <w:r>
        <w:rPr>
          <w:kern w:val="0"/>
        </w:rPr>
        <w:t>endorsing journals has been moderate to low</w:t>
      </w:r>
      <w:r w:rsidR="005853A9">
        <w:rPr>
          <w:kern w:val="0"/>
        </w:rPr>
        <w:t xml:space="preserve"> and </w:t>
      </w:r>
      <w:r>
        <w:rPr>
          <w:kern w:val="0"/>
        </w:rPr>
        <w:t>varied considerably for different recommendations. About half</w:t>
      </w:r>
      <w:r w:rsidR="00427468">
        <w:rPr>
          <w:kern w:val="0"/>
        </w:rPr>
        <w:t xml:space="preserve"> of </w:t>
      </w:r>
      <w:r>
        <w:rPr>
          <w:kern w:val="0"/>
        </w:rPr>
        <w:t>pediatric journals indexed in</w:t>
      </w:r>
      <w:r w:rsidR="003A1917">
        <w:rPr>
          <w:kern w:val="0"/>
        </w:rPr>
        <w:t xml:space="preserve"> the </w:t>
      </w:r>
      <w:r>
        <w:rPr>
          <w:kern w:val="0"/>
        </w:rPr>
        <w:t>Journal Citation Report referred to</w:t>
      </w:r>
      <w:r w:rsidR="003A1917">
        <w:rPr>
          <w:kern w:val="0"/>
        </w:rPr>
        <w:t xml:space="preserve"> the </w:t>
      </w:r>
      <w:r>
        <w:rPr>
          <w:kern w:val="0"/>
        </w:rPr>
        <w:t>Uniform Requirements for Manuscripts</w:t>
      </w:r>
      <w:r w:rsidR="00427468">
        <w:rPr>
          <w:kern w:val="0"/>
        </w:rPr>
        <w:t xml:space="preserve"> of </w:t>
      </w:r>
      <w:r w:rsidR="003A1917">
        <w:rPr>
          <w:kern w:val="0"/>
        </w:rPr>
        <w:t xml:space="preserve">the </w:t>
      </w:r>
      <w:r>
        <w:rPr>
          <w:kern w:val="0"/>
        </w:rPr>
        <w:t>International Committee</w:t>
      </w:r>
      <w:r w:rsidR="00427468">
        <w:rPr>
          <w:kern w:val="0"/>
        </w:rPr>
        <w:t xml:space="preserve"> of </w:t>
      </w:r>
      <w:r>
        <w:rPr>
          <w:kern w:val="0"/>
        </w:rPr>
        <w:t>Medical Journal Editors (ICMJE) but only about a quarter recommended registration</w:t>
      </w:r>
      <w:r w:rsidR="00427468">
        <w:rPr>
          <w:kern w:val="0"/>
        </w:rPr>
        <w:t xml:space="preserve"> of </w:t>
      </w:r>
      <w:r>
        <w:rPr>
          <w:kern w:val="0"/>
        </w:rPr>
        <w:t>trials. We aimed to investigate to what extent pediatric open-access (OA) journals endorse these recommendations. We hypothesized that a high proportion</w:t>
      </w:r>
      <w:r w:rsidR="00427468">
        <w:rPr>
          <w:kern w:val="0"/>
        </w:rPr>
        <w:t xml:space="preserve"> of </w:t>
      </w:r>
      <w:r>
        <w:rPr>
          <w:kern w:val="0"/>
        </w:rPr>
        <w:t>these journals have adopted recommendations on good publication practice since OA electronic publishing has been associated with a number</w:t>
      </w:r>
      <w:r w:rsidR="00427468">
        <w:rPr>
          <w:kern w:val="0"/>
        </w:rPr>
        <w:t xml:space="preserve"> of </w:t>
      </w:r>
      <w:r>
        <w:rPr>
          <w:kern w:val="0"/>
        </w:rPr>
        <w:t>editorial innovations aiming at improved access</w:t>
      </w:r>
      <w:r w:rsidR="005853A9">
        <w:rPr>
          <w:kern w:val="0"/>
        </w:rPr>
        <w:t xml:space="preserve"> and </w:t>
      </w:r>
      <w:r>
        <w:rPr>
          <w:kern w:val="0"/>
        </w:rPr>
        <w:t>transparency. Methods: We identified 41 journals publishing original research in</w:t>
      </w:r>
      <w:r w:rsidR="003A1917">
        <w:rPr>
          <w:kern w:val="0"/>
        </w:rPr>
        <w:t xml:space="preserve"> the </w:t>
      </w:r>
      <w:r>
        <w:rPr>
          <w:kern w:val="0"/>
        </w:rPr>
        <w:t xml:space="preserve">subject category </w:t>
      </w:r>
      <w:r w:rsidR="00B5188C">
        <w:rPr>
          <w:kern w:val="0"/>
        </w:rPr>
        <w:t>“</w:t>
      </w:r>
      <w:r>
        <w:rPr>
          <w:kern w:val="0"/>
        </w:rPr>
        <w:t>Health Sciences, Medicine (General), Pediatrics</w:t>
      </w:r>
      <w:r w:rsidR="00B5188C">
        <w:rPr>
          <w:kern w:val="0"/>
        </w:rPr>
        <w:t>”</w:t>
      </w:r>
      <w:r w:rsidR="00427468">
        <w:rPr>
          <w:kern w:val="0"/>
        </w:rPr>
        <w:t xml:space="preserve"> of </w:t>
      </w:r>
      <w:r w:rsidR="003A1917">
        <w:rPr>
          <w:kern w:val="0"/>
        </w:rPr>
        <w:t xml:space="preserve">the </w:t>
      </w:r>
      <w:r>
        <w:rPr>
          <w:kern w:val="0"/>
        </w:rPr>
        <w:t>Directory</w:t>
      </w:r>
      <w:r w:rsidR="00427468">
        <w:rPr>
          <w:kern w:val="0"/>
        </w:rPr>
        <w:t xml:space="preserve"> of </w:t>
      </w:r>
      <w:r>
        <w:rPr>
          <w:kern w:val="0"/>
        </w:rPr>
        <w:t>Open Access Journals http://www.doaj.org. From</w:t>
      </w:r>
      <w:r w:rsidR="003A1917">
        <w:rPr>
          <w:kern w:val="0"/>
        </w:rPr>
        <w:t xml:space="preserve"> the </w:t>
      </w:r>
      <w:r>
        <w:rPr>
          <w:kern w:val="0"/>
        </w:rPr>
        <w:t>journals</w:t>
      </w:r>
      <w:r w:rsidR="00700038">
        <w:rPr>
          <w:kern w:val="0"/>
        </w:rPr>
        <w:t>’</w:t>
      </w:r>
      <w:r>
        <w:rPr>
          <w:kern w:val="0"/>
        </w:rPr>
        <w:t xml:space="preserve"> online author instructions we extracted information regarding endorsement</w:t>
      </w:r>
      <w:r w:rsidR="00427468">
        <w:rPr>
          <w:kern w:val="0"/>
        </w:rPr>
        <w:t xml:space="preserve"> of </w:t>
      </w:r>
      <w:r>
        <w:rPr>
          <w:kern w:val="0"/>
        </w:rPr>
        <w:t>four domains</w:t>
      </w:r>
      <w:r w:rsidR="00427468">
        <w:rPr>
          <w:kern w:val="0"/>
        </w:rPr>
        <w:t xml:space="preserve"> of </w:t>
      </w:r>
      <w:r>
        <w:rPr>
          <w:kern w:val="0"/>
        </w:rPr>
        <w:t>editorial policy:</w:t>
      </w:r>
      <w:r w:rsidR="003A1917">
        <w:rPr>
          <w:kern w:val="0"/>
        </w:rPr>
        <w:t xml:space="preserve"> the </w:t>
      </w:r>
      <w:r>
        <w:rPr>
          <w:kern w:val="0"/>
        </w:rPr>
        <w:t>Uniform Requirements for Manuscripts, trial registration, disclosure</w:t>
      </w:r>
      <w:r w:rsidR="00427468">
        <w:rPr>
          <w:kern w:val="0"/>
        </w:rPr>
        <w:t xml:space="preserve"> of </w:t>
      </w:r>
      <w:r>
        <w:rPr>
          <w:kern w:val="0"/>
        </w:rPr>
        <w:t>conflicts</w:t>
      </w:r>
      <w:r w:rsidR="00427468">
        <w:rPr>
          <w:kern w:val="0"/>
        </w:rPr>
        <w:t xml:space="preserve"> of </w:t>
      </w:r>
      <w:r>
        <w:rPr>
          <w:kern w:val="0"/>
        </w:rPr>
        <w:t>interest</w:t>
      </w:r>
      <w:r w:rsidR="005853A9">
        <w:rPr>
          <w:kern w:val="0"/>
        </w:rPr>
        <w:t xml:space="preserve"> and </w:t>
      </w:r>
      <w:r>
        <w:rPr>
          <w:kern w:val="0"/>
        </w:rPr>
        <w:t>five major reporting guidelines such as</w:t>
      </w:r>
      <w:r w:rsidR="003A1917">
        <w:rPr>
          <w:kern w:val="0"/>
        </w:rPr>
        <w:t xml:space="preserve"> the </w:t>
      </w:r>
      <w:r>
        <w:rPr>
          <w:kern w:val="0"/>
        </w:rPr>
        <w:t>CONSORT (Consolidated Standards</w:t>
      </w:r>
      <w:r w:rsidR="00427468">
        <w:rPr>
          <w:kern w:val="0"/>
        </w:rPr>
        <w:t xml:space="preserve"> of </w:t>
      </w:r>
      <w:r>
        <w:rPr>
          <w:kern w:val="0"/>
        </w:rPr>
        <w:t xml:space="preserve">Reporting Trials) statement. Two investigators collected data </w:t>
      </w:r>
      <w:r>
        <w:rPr>
          <w:kern w:val="0"/>
        </w:rPr>
        <w:lastRenderedPageBreak/>
        <w:t>independently. Results:</w:t>
      </w:r>
      <w:r w:rsidR="003A1917">
        <w:rPr>
          <w:kern w:val="0"/>
        </w:rPr>
        <w:t xml:space="preserve"> the </w:t>
      </w:r>
      <w:r>
        <w:rPr>
          <w:kern w:val="0"/>
        </w:rPr>
        <w:t>Uniform Requirements were mentioned by 27 (66%) pediatric OA journals. Thirteen (32%) required or recommended trial registration prior to publication</w:t>
      </w:r>
      <w:r w:rsidR="00427468">
        <w:rPr>
          <w:kern w:val="0"/>
        </w:rPr>
        <w:t xml:space="preserve"> of </w:t>
      </w:r>
      <w:r>
        <w:rPr>
          <w:kern w:val="0"/>
        </w:rPr>
        <w:t>a trial report. Conflict</w:t>
      </w:r>
      <w:r w:rsidR="00427468">
        <w:rPr>
          <w:kern w:val="0"/>
        </w:rPr>
        <w:t xml:space="preserve"> of </w:t>
      </w:r>
      <w:r>
        <w:rPr>
          <w:kern w:val="0"/>
        </w:rPr>
        <w:t>interest policies were stated by 25 journals (61%). Advice about reporting guidelines was less frequent: CONSORT was referred to by 12 journals (29%) followed by other reporting guidelines (MOOSE, PRISMA or STARD) (8 journals, 20%)</w:t>
      </w:r>
      <w:r w:rsidR="005853A9">
        <w:rPr>
          <w:kern w:val="0"/>
        </w:rPr>
        <w:t xml:space="preserve"> and </w:t>
      </w:r>
      <w:r>
        <w:rPr>
          <w:kern w:val="0"/>
        </w:rPr>
        <w:t>STROBE (3 journals, 7%)</w:t>
      </w:r>
      <w:r w:rsidR="00A37C1D">
        <w:rPr>
          <w:kern w:val="0"/>
        </w:rPr>
        <w:t>. The</w:t>
      </w:r>
      <w:r w:rsidR="003A1917">
        <w:rPr>
          <w:kern w:val="0"/>
        </w:rPr>
        <w:t xml:space="preserve"> </w:t>
      </w:r>
      <w:r>
        <w:rPr>
          <w:kern w:val="0"/>
        </w:rPr>
        <w:t>EQUATOR network, a platform</w:t>
      </w:r>
      <w:r w:rsidR="00427468">
        <w:rPr>
          <w:kern w:val="0"/>
        </w:rPr>
        <w:t xml:space="preserve"> of </w:t>
      </w:r>
      <w:r>
        <w:rPr>
          <w:kern w:val="0"/>
        </w:rPr>
        <w:t>several guideline initiatives, was acknowledged by 4 journals (10%). Journals published by OA publishing houses gave more guidance than journals published by professional societies or other publishers. Conclusions: Pediatric OA journals mentioned certain recommendations such as</w:t>
      </w:r>
      <w:r w:rsidR="003A1917">
        <w:rPr>
          <w:kern w:val="0"/>
        </w:rPr>
        <w:t xml:space="preserve"> the </w:t>
      </w:r>
      <w:r>
        <w:rPr>
          <w:kern w:val="0"/>
        </w:rPr>
        <w:t>Uniform Requirements or trial registration more frequently than conventional journals; however, endorsement is still only moderate. Further research should confirm these exploratory findings in other medical fields</w:t>
      </w:r>
      <w:r w:rsidR="005853A9">
        <w:rPr>
          <w:kern w:val="0"/>
        </w:rPr>
        <w:t xml:space="preserve"> and </w:t>
      </w:r>
      <w:r>
        <w:rPr>
          <w:kern w:val="0"/>
        </w:rPr>
        <w:t>should clarify what</w:t>
      </w:r>
      <w:r w:rsidR="003A1917">
        <w:rPr>
          <w:kern w:val="0"/>
        </w:rPr>
        <w:t xml:space="preserve"> the </w:t>
      </w:r>
      <w:r>
        <w:rPr>
          <w:kern w:val="0"/>
        </w:rPr>
        <w:t>motivations</w:t>
      </w:r>
      <w:r w:rsidR="005853A9">
        <w:rPr>
          <w:kern w:val="0"/>
        </w:rPr>
        <w:t xml:space="preserve"> and </w:t>
      </w:r>
      <w:r>
        <w:rPr>
          <w:kern w:val="0"/>
        </w:rPr>
        <w:t>barriers are in implementing such policies.</w:t>
      </w:r>
    </w:p>
    <w:p w:rsidR="007C3DA3" w:rsidRDefault="007C3DA3" w:rsidP="007C3DA3">
      <w:pPr>
        <w:pStyle w:val="a3"/>
        <w:rPr>
          <w:kern w:val="0"/>
        </w:rPr>
      </w:pPr>
      <w:r>
        <w:rPr>
          <w:kern w:val="0"/>
        </w:rPr>
        <w:t>Keywords: Barriers, Citation, Conflict</w:t>
      </w:r>
      <w:r w:rsidR="00427468">
        <w:rPr>
          <w:kern w:val="0"/>
        </w:rPr>
        <w:t xml:space="preserve"> of </w:t>
      </w:r>
      <w:r>
        <w:rPr>
          <w:kern w:val="0"/>
        </w:rPr>
        <w:t>Interest, Conflict</w:t>
      </w:r>
      <w:r w:rsidR="00434900">
        <w:rPr>
          <w:kern w:val="0"/>
        </w:rPr>
        <w:t>-of-</w:t>
      </w:r>
      <w:r>
        <w:rPr>
          <w:kern w:val="0"/>
        </w:rPr>
        <w:t>Interest, Epidemiology, Germany, Impact, Information, Journal, Journals, Medical, Methods, Open Access, Policies, Policy, Professional, Publication, Publishing, Quality, Randomized Controlled-Trials, Registration, Research, Statement</w:t>
      </w:r>
    </w:p>
    <w:p w:rsidR="00BC692A" w:rsidRDefault="00BC692A" w:rsidP="00BC692A">
      <w:pPr>
        <w:pStyle w:val="a3"/>
        <w:rPr>
          <w:kern w:val="0"/>
        </w:rPr>
      </w:pPr>
      <w:r>
        <w:rPr>
          <w:rFonts w:hint="eastAsia"/>
          <w:kern w:val="0"/>
        </w:rPr>
        <w:t xml:space="preserve">? </w:t>
      </w:r>
      <w:r>
        <w:rPr>
          <w:kern w:val="0"/>
        </w:rPr>
        <w:t>Seto, I., Foisy, M., Arkison, B., Klassen, T.</w:t>
      </w:r>
      <w:r w:rsidR="005853A9">
        <w:rPr>
          <w:kern w:val="0"/>
        </w:rPr>
        <w:t xml:space="preserve"> and </w:t>
      </w:r>
      <w:r>
        <w:rPr>
          <w:kern w:val="0"/>
        </w:rPr>
        <w:t>Williams, K. (2012</w:t>
      </w:r>
      <w:r w:rsidR="00F42EAC">
        <w:rPr>
          <w:kern w:val="0"/>
        </w:rPr>
        <w:t>), The</w:t>
      </w:r>
      <w:r w:rsidR="003A1917">
        <w:rPr>
          <w:kern w:val="0"/>
        </w:rPr>
        <w:t xml:space="preserve"> </w:t>
      </w:r>
      <w:r>
        <w:rPr>
          <w:kern w:val="0"/>
        </w:rPr>
        <w:t>evaluation</w:t>
      </w:r>
      <w:r w:rsidR="00427468">
        <w:rPr>
          <w:kern w:val="0"/>
        </w:rPr>
        <w:t xml:space="preserve"> of </w:t>
      </w:r>
      <w:r>
        <w:rPr>
          <w:kern w:val="0"/>
        </w:rPr>
        <w:t xml:space="preserve">an evidence-based clinical answer format for pediatricians. </w:t>
      </w:r>
      <w:r>
        <w:rPr>
          <w:i/>
          <w:iCs/>
          <w:kern w:val="0"/>
        </w:rPr>
        <w:t>BMC Pediatrics</w:t>
      </w:r>
      <w:r>
        <w:rPr>
          <w:kern w:val="0"/>
        </w:rPr>
        <w:t xml:space="preserve">, </w:t>
      </w:r>
      <w:r>
        <w:rPr>
          <w:b/>
          <w:bCs/>
          <w:kern w:val="0"/>
        </w:rPr>
        <w:t>12</w:t>
      </w:r>
      <w:r>
        <w:rPr>
          <w:rFonts w:hint="eastAsia"/>
          <w:kern w:val="0"/>
        </w:rPr>
        <w:t xml:space="preserve">, </w:t>
      </w:r>
      <w:r>
        <w:t>Article Number: 34</w:t>
      </w:r>
      <w:r>
        <w:rPr>
          <w:rFonts w:hint="eastAsia"/>
        </w:rPr>
        <w:t>.</w:t>
      </w:r>
    </w:p>
    <w:p w:rsidR="00BC692A" w:rsidRPr="00FC7835" w:rsidRDefault="00BC692A" w:rsidP="00BC692A">
      <w:pPr>
        <w:pStyle w:val="a3"/>
      </w:pPr>
      <w:r>
        <w:t>Full Text:</w:t>
      </w:r>
      <w:r w:rsidRPr="00FC7835">
        <w:t xml:space="preserve"> </w:t>
      </w:r>
      <w:hyperlink r:id="rId1678" w:history="1">
        <w:r w:rsidRPr="00AC7C31">
          <w:rPr>
            <w:rStyle w:val="a5"/>
          </w:rPr>
          <w:t>2012\BMC Ped12, 34.pdf</w:t>
        </w:r>
      </w:hyperlink>
    </w:p>
    <w:p w:rsidR="00BC692A" w:rsidRDefault="00BC692A" w:rsidP="00BC692A">
      <w:pPr>
        <w:pStyle w:val="a3"/>
        <w:rPr>
          <w:kern w:val="0"/>
        </w:rPr>
      </w:pPr>
      <w:r>
        <w:rPr>
          <w:kern w:val="0"/>
        </w:rPr>
        <w:t>Abstract: Background: Clinicians are increasingly using electronic sources</w:t>
      </w:r>
      <w:r w:rsidR="00427468">
        <w:rPr>
          <w:kern w:val="0"/>
        </w:rPr>
        <w:t xml:space="preserve"> of </w:t>
      </w:r>
      <w:r>
        <w:rPr>
          <w:kern w:val="0"/>
        </w:rPr>
        <w:t>evidence to support clinical decision-making; however, there are multiple demands on clinician time,</w:t>
      </w:r>
      <w:r w:rsidR="005853A9">
        <w:rPr>
          <w:kern w:val="0"/>
        </w:rPr>
        <w:t xml:space="preserve"> and </w:t>
      </w:r>
      <w:r>
        <w:rPr>
          <w:kern w:val="0"/>
        </w:rPr>
        <w:t>summarised</w:t>
      </w:r>
      <w:r w:rsidR="005853A9">
        <w:rPr>
          <w:kern w:val="0"/>
        </w:rPr>
        <w:t xml:space="preserve"> and </w:t>
      </w:r>
      <w:r>
        <w:rPr>
          <w:kern w:val="0"/>
        </w:rPr>
        <w:t>synthesised evidence is needed. Clinical Answers (CA) have been developed to address this need;</w:t>
      </w:r>
      <w:r w:rsidR="003A1917">
        <w:rPr>
          <w:kern w:val="0"/>
        </w:rPr>
        <w:t xml:space="preserve"> the </w:t>
      </w:r>
      <w:r>
        <w:rPr>
          <w:kern w:val="0"/>
        </w:rPr>
        <w:t>CA is a synthesised evidence-based summary that supports point</w:t>
      </w:r>
      <w:r w:rsidR="00434900">
        <w:rPr>
          <w:kern w:val="0"/>
        </w:rPr>
        <w:t>-of-</w:t>
      </w:r>
      <w:r>
        <w:rPr>
          <w:kern w:val="0"/>
        </w:rPr>
        <w:t>care clinical decision-making</w:t>
      </w:r>
      <w:r w:rsidR="00A37C1D">
        <w:rPr>
          <w:kern w:val="0"/>
        </w:rPr>
        <w:t>. The</w:t>
      </w:r>
      <w:r w:rsidR="003A1917">
        <w:rPr>
          <w:kern w:val="0"/>
        </w:rPr>
        <w:t xml:space="preserve"> </w:t>
      </w:r>
      <w:r>
        <w:rPr>
          <w:kern w:val="0"/>
        </w:rPr>
        <w:t>aim</w:t>
      </w:r>
      <w:r w:rsidR="00427468">
        <w:rPr>
          <w:kern w:val="0"/>
        </w:rPr>
        <w:t xml:space="preserve"> of </w:t>
      </w:r>
      <w:r>
        <w:rPr>
          <w:kern w:val="0"/>
        </w:rPr>
        <w:t>this paper is to report on a survey used to test</w:t>
      </w:r>
      <w:r w:rsidR="005853A9">
        <w:rPr>
          <w:kern w:val="0"/>
        </w:rPr>
        <w:t xml:space="preserve"> and </w:t>
      </w:r>
      <w:r>
        <w:rPr>
          <w:kern w:val="0"/>
        </w:rPr>
        <w:t>improve</w:t>
      </w:r>
      <w:r w:rsidR="003A1917">
        <w:rPr>
          <w:kern w:val="0"/>
        </w:rPr>
        <w:t xml:space="preserve"> the </w:t>
      </w:r>
      <w:r>
        <w:rPr>
          <w:kern w:val="0"/>
        </w:rPr>
        <w:t>CA format. Methods: An online survey was sent to pediatricians via e-mail</w:t>
      </w:r>
      <w:r w:rsidR="005853A9">
        <w:rPr>
          <w:kern w:val="0"/>
        </w:rPr>
        <w:t xml:space="preserve"> and </w:t>
      </w:r>
      <w:r>
        <w:rPr>
          <w:kern w:val="0"/>
        </w:rPr>
        <w:t>posted on a child health clinical standards website. Quantitative data analysis consisted primarily</w:t>
      </w:r>
      <w:r w:rsidR="00427468">
        <w:rPr>
          <w:kern w:val="0"/>
        </w:rPr>
        <w:t xml:space="preserve"> of </w:t>
      </w:r>
      <w:r>
        <w:rPr>
          <w:kern w:val="0"/>
        </w:rPr>
        <w:t>descriptive statistics; qualitative data analysis consisted</w:t>
      </w:r>
      <w:r w:rsidR="00427468">
        <w:rPr>
          <w:kern w:val="0"/>
        </w:rPr>
        <w:t xml:space="preserve"> of </w:t>
      </w:r>
      <w:r>
        <w:rPr>
          <w:kern w:val="0"/>
        </w:rPr>
        <w:t>content analysis. Results: Eighty-three pediatricians responded to</w:t>
      </w:r>
      <w:r w:rsidR="003A1917">
        <w:rPr>
          <w:kern w:val="0"/>
        </w:rPr>
        <w:t xml:space="preserve"> the </w:t>
      </w:r>
      <w:r>
        <w:rPr>
          <w:kern w:val="0"/>
        </w:rPr>
        <w:t>survey. Most respondents found</w:t>
      </w:r>
      <w:r w:rsidR="003A1917">
        <w:rPr>
          <w:kern w:val="0"/>
        </w:rPr>
        <w:t xml:space="preserve"> the </w:t>
      </w:r>
      <w:r>
        <w:rPr>
          <w:kern w:val="0"/>
        </w:rPr>
        <w:t>CA useful or very useful (93%)</w:t>
      </w:r>
      <w:r w:rsidR="005853A9">
        <w:rPr>
          <w:kern w:val="0"/>
        </w:rPr>
        <w:t xml:space="preserve"> and </w:t>
      </w:r>
      <w:r>
        <w:rPr>
          <w:kern w:val="0"/>
        </w:rPr>
        <w:t>agreed or strongly agreed that</w:t>
      </w:r>
      <w:r w:rsidR="003A1917">
        <w:rPr>
          <w:kern w:val="0"/>
        </w:rPr>
        <w:t xml:space="preserve"> the </w:t>
      </w:r>
      <w:r>
        <w:rPr>
          <w:kern w:val="0"/>
        </w:rPr>
        <w:t>layout was effective</w:t>
      </w:r>
      <w:r w:rsidR="005853A9">
        <w:rPr>
          <w:kern w:val="0"/>
        </w:rPr>
        <w:t xml:space="preserve"> and </w:t>
      </w:r>
      <w:r>
        <w:rPr>
          <w:kern w:val="0"/>
        </w:rPr>
        <w:t>allowed them to quickly locate critical information (82%). Quantitative</w:t>
      </w:r>
      <w:r w:rsidR="005853A9">
        <w:rPr>
          <w:kern w:val="0"/>
        </w:rPr>
        <w:t xml:space="preserve"> and </w:t>
      </w:r>
      <w:r>
        <w:rPr>
          <w:kern w:val="0"/>
        </w:rPr>
        <w:t>qualitative data suggested that respondents thought there should be less detail in</w:t>
      </w:r>
      <w:r w:rsidR="003A1917">
        <w:rPr>
          <w:kern w:val="0"/>
        </w:rPr>
        <w:t xml:space="preserve"> the </w:t>
      </w:r>
      <w:r>
        <w:rPr>
          <w:kern w:val="0"/>
        </w:rPr>
        <w:t>linked figures</w:t>
      </w:r>
      <w:r w:rsidR="005853A9">
        <w:rPr>
          <w:kern w:val="0"/>
        </w:rPr>
        <w:t xml:space="preserve"> and </w:t>
      </w:r>
      <w:r>
        <w:rPr>
          <w:kern w:val="0"/>
        </w:rPr>
        <w:t>tables (p = 0.0002), but overall respondents seemed to think there was an appropriate level</w:t>
      </w:r>
      <w:r w:rsidR="00427468">
        <w:rPr>
          <w:kern w:val="0"/>
        </w:rPr>
        <w:t xml:space="preserve"> of </w:t>
      </w:r>
      <w:r>
        <w:rPr>
          <w:kern w:val="0"/>
        </w:rPr>
        <w:t>detail in most sections</w:t>
      </w:r>
      <w:r w:rsidR="00427468">
        <w:rPr>
          <w:kern w:val="0"/>
        </w:rPr>
        <w:t xml:space="preserve"> of </w:t>
      </w:r>
      <w:r w:rsidR="003A1917">
        <w:rPr>
          <w:kern w:val="0"/>
        </w:rPr>
        <w:t xml:space="preserve">the </w:t>
      </w:r>
      <w:r>
        <w:rPr>
          <w:kern w:val="0"/>
        </w:rPr>
        <w:t>CA. Conclusions: Based on</w:t>
      </w:r>
      <w:r w:rsidR="003A1917">
        <w:rPr>
          <w:kern w:val="0"/>
        </w:rPr>
        <w:t xml:space="preserve"> the </w:t>
      </w:r>
      <w:r>
        <w:rPr>
          <w:kern w:val="0"/>
        </w:rPr>
        <w:t>quantitative</w:t>
      </w:r>
      <w:r w:rsidR="005853A9">
        <w:rPr>
          <w:kern w:val="0"/>
        </w:rPr>
        <w:t xml:space="preserve"> and </w:t>
      </w:r>
      <w:r>
        <w:rPr>
          <w:kern w:val="0"/>
        </w:rPr>
        <w:t>qualitative survey responses, major</w:t>
      </w:r>
      <w:r w:rsidR="005853A9">
        <w:rPr>
          <w:kern w:val="0"/>
        </w:rPr>
        <w:t xml:space="preserve"> and </w:t>
      </w:r>
      <w:r>
        <w:rPr>
          <w:kern w:val="0"/>
        </w:rPr>
        <w:t>minor modifications to</w:t>
      </w:r>
      <w:r w:rsidR="003A1917">
        <w:rPr>
          <w:kern w:val="0"/>
        </w:rPr>
        <w:t xml:space="preserve"> the </w:t>
      </w:r>
      <w:r>
        <w:rPr>
          <w:kern w:val="0"/>
        </w:rPr>
        <w:t xml:space="preserve">CA format were implemented, such as removing forest plots, </w:t>
      </w:r>
      <w:r>
        <w:rPr>
          <w:kern w:val="0"/>
        </w:rPr>
        <w:lastRenderedPageBreak/>
        <w:t>adding links in each addendum to bring</w:t>
      </w:r>
      <w:r w:rsidR="003A1917">
        <w:rPr>
          <w:kern w:val="0"/>
        </w:rPr>
        <w:t xml:space="preserve"> the </w:t>
      </w:r>
      <w:r>
        <w:rPr>
          <w:kern w:val="0"/>
        </w:rPr>
        <w:t>user back to</w:t>
      </w:r>
      <w:r w:rsidR="003A1917">
        <w:rPr>
          <w:kern w:val="0"/>
        </w:rPr>
        <w:t xml:space="preserve"> the </w:t>
      </w:r>
      <w:r>
        <w:rPr>
          <w:kern w:val="0"/>
        </w:rPr>
        <w:t>front page,</w:t>
      </w:r>
      <w:r w:rsidR="005853A9">
        <w:rPr>
          <w:kern w:val="0"/>
        </w:rPr>
        <w:t xml:space="preserve"> and </w:t>
      </w:r>
      <w:r>
        <w:rPr>
          <w:kern w:val="0"/>
        </w:rPr>
        <w:t xml:space="preserve">adding an </w:t>
      </w:r>
      <w:r w:rsidR="00700038">
        <w:rPr>
          <w:kern w:val="0"/>
        </w:rPr>
        <w:t>‘</w:t>
      </w:r>
      <w:r>
        <w:rPr>
          <w:kern w:val="0"/>
        </w:rPr>
        <w:t>Implications for practice</w:t>
      </w:r>
      <w:r w:rsidR="00700038">
        <w:rPr>
          <w:kern w:val="0"/>
        </w:rPr>
        <w:t>’</w:t>
      </w:r>
      <w:r>
        <w:rPr>
          <w:kern w:val="0"/>
        </w:rPr>
        <w:t xml:space="preserve"> section to</w:t>
      </w:r>
      <w:r w:rsidR="003A1917">
        <w:rPr>
          <w:kern w:val="0"/>
        </w:rPr>
        <w:t xml:space="preserve"> the </w:t>
      </w:r>
      <w:r>
        <w:rPr>
          <w:kern w:val="0"/>
        </w:rPr>
        <w:t>CA. Findings suggest that CAs will be a useful tool for pediatricians; thus,</w:t>
      </w:r>
      <w:r w:rsidR="003A1917">
        <w:rPr>
          <w:kern w:val="0"/>
        </w:rPr>
        <w:t xml:space="preserve"> the </w:t>
      </w:r>
      <w:r>
        <w:rPr>
          <w:kern w:val="0"/>
        </w:rPr>
        <w:t>research team has now begun creating CAs to assist busy clinicians in their day-to-day clinical practice by providing high-quality information for decision-making at</w:t>
      </w:r>
      <w:r w:rsidR="003A1917">
        <w:rPr>
          <w:kern w:val="0"/>
        </w:rPr>
        <w:t xml:space="preserve"> the </w:t>
      </w:r>
      <w:r>
        <w:rPr>
          <w:kern w:val="0"/>
        </w:rPr>
        <w:t>point</w:t>
      </w:r>
      <w:r w:rsidR="00434900">
        <w:rPr>
          <w:kern w:val="0"/>
        </w:rPr>
        <w:t>-of-</w:t>
      </w:r>
      <w:r>
        <w:rPr>
          <w:kern w:val="0"/>
        </w:rPr>
        <w:t>care.</w:t>
      </w:r>
    </w:p>
    <w:p w:rsidR="00BC692A" w:rsidRDefault="00BC692A" w:rsidP="00BC692A">
      <w:pPr>
        <w:pStyle w:val="a3"/>
        <w:rPr>
          <w:kern w:val="0"/>
        </w:rPr>
      </w:pPr>
      <w:r>
        <w:rPr>
          <w:kern w:val="0"/>
        </w:rPr>
        <w:t>Keywords: Analysis, Bibliometric Analysis, Ca, Care, Child, Child Health, Clinical, Clinical Practice, Clinician, Content Analysis, Data, Data Analysis, Decision Making, Decision-Making, Delivery</w:t>
      </w:r>
      <w:r w:rsidR="00427468">
        <w:rPr>
          <w:kern w:val="0"/>
        </w:rPr>
        <w:t xml:space="preserve"> of </w:t>
      </w:r>
      <w:r>
        <w:rPr>
          <w:kern w:val="0"/>
        </w:rPr>
        <w:t>Health Care, Ed [Education], Electronic, Evaluation, Evidence, Evidence Based, Evidence-Based, Forest, Health, Information, Information-Seeking Behavior, Internet, Mar, Methods, Minor, Pediatricians, Pediatrics, Point</w:t>
      </w:r>
      <w:r w:rsidR="00434900">
        <w:rPr>
          <w:kern w:val="0"/>
        </w:rPr>
        <w:t>-of-</w:t>
      </w:r>
      <w:r>
        <w:rPr>
          <w:kern w:val="0"/>
        </w:rPr>
        <w:t>Care Systems, Practice, Qualitative, Questionnaires, Questions, Research, Sources, St [Standards], Standards, Statistics, Support, Survey, UT [Utilization]</w:t>
      </w:r>
    </w:p>
    <w:p w:rsidR="0010082F" w:rsidRDefault="0010082F" w:rsidP="0010082F">
      <w:pPr>
        <w:pStyle w:val="a3"/>
        <w:rPr>
          <w:kern w:val="0"/>
        </w:rPr>
      </w:pPr>
      <w:r>
        <w:rPr>
          <w:kern w:val="0"/>
        </w:rPr>
        <w:t>? Feenstra, B., Boland, L., Lawson, M.L., Harrison, D., Kryworuchko, J., Leblanc, M. and Stacey, D. (2014), Interventions to support children</w:t>
      </w:r>
      <w:r w:rsidR="00700038">
        <w:rPr>
          <w:kern w:val="0"/>
        </w:rPr>
        <w:t>’</w:t>
      </w:r>
      <w:r>
        <w:rPr>
          <w:kern w:val="0"/>
        </w:rPr>
        <w:t xml:space="preserve">s engagement in health-related decisions: A systematic review. </w:t>
      </w:r>
      <w:r>
        <w:rPr>
          <w:i/>
          <w:iCs/>
          <w:kern w:val="0"/>
        </w:rPr>
        <w:t>BMC Pediatrics</w:t>
      </w:r>
      <w:r>
        <w:rPr>
          <w:kern w:val="0"/>
        </w:rPr>
        <w:t xml:space="preserve">, </w:t>
      </w:r>
      <w:r>
        <w:rPr>
          <w:b/>
          <w:bCs/>
          <w:kern w:val="0"/>
        </w:rPr>
        <w:t>14</w:t>
      </w:r>
      <w:r>
        <w:rPr>
          <w:rFonts w:hint="eastAsia"/>
          <w:kern w:val="0"/>
        </w:rPr>
        <w:t xml:space="preserve">, </w:t>
      </w:r>
      <w:r w:rsidRPr="002F758C">
        <w:rPr>
          <w:kern w:val="0"/>
        </w:rPr>
        <w:t>Article Number: 109</w:t>
      </w:r>
      <w:r>
        <w:rPr>
          <w:rFonts w:hint="eastAsia"/>
          <w:kern w:val="0"/>
        </w:rPr>
        <w:t>.</w:t>
      </w:r>
    </w:p>
    <w:p w:rsidR="0010082F" w:rsidRPr="00FC7835" w:rsidRDefault="0010082F" w:rsidP="0010082F">
      <w:pPr>
        <w:pStyle w:val="a3"/>
      </w:pPr>
      <w:r>
        <w:t>Full Text:</w:t>
      </w:r>
      <w:r w:rsidRPr="00FC7835">
        <w:t xml:space="preserve"> </w:t>
      </w:r>
      <w:hyperlink r:id="rId1679" w:history="1">
        <w:r w:rsidRPr="0010082F">
          <w:rPr>
            <w:rStyle w:val="a5"/>
          </w:rPr>
          <w:t>2014\BMC Ped14, 109.pdf</w:t>
        </w:r>
      </w:hyperlink>
    </w:p>
    <w:p w:rsidR="0010082F" w:rsidRDefault="0010082F" w:rsidP="0010082F">
      <w:pPr>
        <w:pStyle w:val="a3"/>
        <w:rPr>
          <w:kern w:val="0"/>
        </w:rPr>
      </w:pPr>
      <w:r>
        <w:rPr>
          <w:kern w:val="0"/>
        </w:rPr>
        <w:t>Abstract: Background: Children often need support in health decision-making</w:t>
      </w:r>
      <w:r w:rsidR="00A37C1D">
        <w:rPr>
          <w:kern w:val="0"/>
        </w:rPr>
        <w:t>. The</w:t>
      </w:r>
      <w:r>
        <w:rPr>
          <w:kern w:val="0"/>
        </w:rPr>
        <w:t xml:space="preserve"> objective of this study was to review characteristics and effectiveness of interventions that support health decision-making of children. Methods: A systematic review. Electronic databases (PubMed, the Cochrane Library, Web of Science, Scopus, ProQuest Dissertations and Theses, CINAHL, PsycINFO, MEDLINE, and EMBASE) were searched from inception until March 2012. Two independent reviewers screened eligibility: a) intervention studies; b) involved supporting children (&lt;= 18 years) considering health-related decision(s); and c) measured decision quality or decision-making process outcomes. Data extraction and quality appraisal were conducted by one author and verified by another using a standardized data extraction form. Quality appraisal was based on the Cochrane Risk of Bias tool. Results: Of 4313 citations, 5 studies were eligible. Interventions focused on supporting decisions about risk behaviors (n = 3), psycho-educational services (n = 1), and end of life (n = 1). Two of 5 studies had statistically significant findings: i) compared to attention placebo, decision coaching alone increased values congruence between child and parent, and child satisfaction with decision-making process (lower risk of bias); ii) compared to no intervention, a workshop with weekly assignments increased overall decision-making quality (higher risk of bias). Conclusions: Few studies have focused on interventions to support children</w:t>
      </w:r>
      <w:r w:rsidR="00700038">
        <w:rPr>
          <w:kern w:val="0"/>
        </w:rPr>
        <w:t>’</w:t>
      </w:r>
      <w:r>
        <w:rPr>
          <w:kern w:val="0"/>
        </w:rPr>
        <w:t>s participation in decisions about their health. More research is needed to determine effective methods for supporting children</w:t>
      </w:r>
      <w:r w:rsidR="00700038">
        <w:rPr>
          <w:kern w:val="0"/>
        </w:rPr>
        <w:t>’</w:t>
      </w:r>
      <w:r>
        <w:rPr>
          <w:kern w:val="0"/>
        </w:rPr>
        <w:t>s health decision-making.</w:t>
      </w:r>
    </w:p>
    <w:p w:rsidR="0010082F" w:rsidRDefault="0010082F" w:rsidP="0010082F">
      <w:pPr>
        <w:pStyle w:val="a3"/>
        <w:rPr>
          <w:kern w:val="0"/>
        </w:rPr>
      </w:pPr>
      <w:r>
        <w:rPr>
          <w:kern w:val="0"/>
        </w:rPr>
        <w:lastRenderedPageBreak/>
        <w:t>Keywords: Adolescent, Adolescents, Aids, Attention, Bias, Care, Characteristics, Child, Children, Citations, Data, Databases, Decision, Decision Making, Decision-Making, Decision-Making Process, Dissertations, Effectiveness, Embase, End Of Life, Engagement, Extraction, Framework, Health, Hiv, Intervention, Intervention Studies, Interventions, Life, Medline, Methods, Model, Outcomes, Parents, Participation, Patient Participation, Perspective, Placebo, Practice, Protection, Psycinfo, Pubmed, Quality, Research, Results, Review, Reviewers, Risk, Risk Behaviors, Satisfaction, Science, Scopus, Services, Support, Systematic, Systematic Review, Theses, Web Of Science</w:t>
      </w:r>
    </w:p>
    <w:p w:rsidR="005E154E" w:rsidRPr="001A3D2B" w:rsidRDefault="005E154E" w:rsidP="005E154E">
      <w:pPr>
        <w:pStyle w:val="1"/>
      </w:pPr>
      <w:r w:rsidRPr="001A3D2B">
        <w:br w:type="page"/>
      </w:r>
      <w:bookmarkStart w:id="856" w:name="_Toc420814773"/>
      <w:r w:rsidRPr="001A3D2B">
        <w:lastRenderedPageBreak/>
        <w:t xml:space="preserve">Title: </w:t>
      </w:r>
      <w:r w:rsidRPr="005E154E">
        <w:t>BMC Pregnancy and Childbirth</w:t>
      </w:r>
      <w:bookmarkEnd w:id="856"/>
    </w:p>
    <w:p w:rsidR="005E154E" w:rsidRPr="001A3D2B" w:rsidRDefault="005E154E" w:rsidP="005E154E">
      <w:pPr>
        <w:pStyle w:val="12"/>
      </w:pPr>
      <w:r w:rsidRPr="001A3D2B">
        <w:t xml:space="preserve">Full Journal Title: </w:t>
      </w:r>
      <w:r w:rsidRPr="005E154E">
        <w:rPr>
          <w:iCs/>
          <w:kern w:val="0"/>
        </w:rPr>
        <w:t>BMC Pregnancy and Childbirth</w:t>
      </w:r>
    </w:p>
    <w:p w:rsidR="005E154E" w:rsidRPr="001A3D2B" w:rsidRDefault="005E154E" w:rsidP="005E154E">
      <w:pPr>
        <w:pStyle w:val="12"/>
      </w:pPr>
      <w:r w:rsidRPr="001A3D2B">
        <w:t xml:space="preserve">ISO Abbreviated Title: </w:t>
      </w:r>
    </w:p>
    <w:p w:rsidR="005E154E" w:rsidRPr="001A3D2B" w:rsidRDefault="005E154E" w:rsidP="005E154E">
      <w:pPr>
        <w:pStyle w:val="12"/>
      </w:pPr>
      <w:r w:rsidRPr="001A3D2B">
        <w:t xml:space="preserve">JCR Abbreviated Title: </w:t>
      </w:r>
    </w:p>
    <w:p w:rsidR="005E154E" w:rsidRPr="001A3D2B" w:rsidRDefault="005E154E" w:rsidP="005E154E">
      <w:pPr>
        <w:pStyle w:val="12"/>
      </w:pPr>
      <w:r w:rsidRPr="001A3D2B">
        <w:t xml:space="preserve">ISSN: </w:t>
      </w:r>
    </w:p>
    <w:p w:rsidR="005E154E" w:rsidRPr="001A3D2B" w:rsidRDefault="005E154E" w:rsidP="005E154E">
      <w:pPr>
        <w:pStyle w:val="12"/>
      </w:pPr>
      <w:r w:rsidRPr="001A3D2B">
        <w:t xml:space="preserve">Issues/Year: </w:t>
      </w:r>
    </w:p>
    <w:p w:rsidR="005E154E" w:rsidRPr="001A3D2B" w:rsidRDefault="005E154E" w:rsidP="005E154E">
      <w:pPr>
        <w:pStyle w:val="12"/>
      </w:pPr>
      <w:r w:rsidRPr="001A3D2B">
        <w:t xml:space="preserve">Journal Country/Territory: </w:t>
      </w:r>
    </w:p>
    <w:p w:rsidR="005E154E" w:rsidRPr="001A3D2B" w:rsidRDefault="005E154E" w:rsidP="005E154E">
      <w:pPr>
        <w:pStyle w:val="12"/>
      </w:pPr>
      <w:r w:rsidRPr="001A3D2B">
        <w:t xml:space="preserve">Language: </w:t>
      </w:r>
    </w:p>
    <w:p w:rsidR="005E154E" w:rsidRPr="001A3D2B" w:rsidRDefault="005E154E" w:rsidP="005E154E">
      <w:pPr>
        <w:pStyle w:val="12"/>
      </w:pPr>
      <w:r w:rsidRPr="001A3D2B">
        <w:t xml:space="preserve">Publisher: </w:t>
      </w:r>
    </w:p>
    <w:p w:rsidR="005E154E" w:rsidRPr="001A3D2B" w:rsidRDefault="005E154E" w:rsidP="005E154E">
      <w:pPr>
        <w:pStyle w:val="12"/>
      </w:pPr>
      <w:r w:rsidRPr="001A3D2B">
        <w:t xml:space="preserve">Publisher Address: </w:t>
      </w:r>
    </w:p>
    <w:p w:rsidR="005E154E" w:rsidRPr="001A3D2B" w:rsidRDefault="005E154E" w:rsidP="005E154E">
      <w:pPr>
        <w:pStyle w:val="12"/>
      </w:pPr>
      <w:r w:rsidRPr="001A3D2B">
        <w:t xml:space="preserve">Subject Categories: </w:t>
      </w:r>
    </w:p>
    <w:p w:rsidR="005E154E" w:rsidRPr="001A3D2B" w:rsidRDefault="005E154E" w:rsidP="005E154E">
      <w:pPr>
        <w:pStyle w:val="12"/>
      </w:pPr>
      <w:r w:rsidRPr="001A3D2B">
        <w:t xml:space="preserve">: Impact Factor </w:t>
      </w:r>
    </w:p>
    <w:p w:rsidR="005E154E" w:rsidRDefault="005E154E" w:rsidP="005E154E">
      <w:pPr>
        <w:pStyle w:val="a3"/>
      </w:pPr>
      <w:r>
        <w:rPr>
          <w:rFonts w:hint="eastAsia"/>
          <w:kern w:val="0"/>
        </w:rPr>
        <w:t xml:space="preserve">? </w:t>
      </w:r>
      <w:r>
        <w:rPr>
          <w:kern w:val="0"/>
        </w:rPr>
        <w:t>Barger, M.K., Dunn, J.T., Bearman, S., De</w:t>
      </w:r>
      <w:r>
        <w:rPr>
          <w:rFonts w:hint="eastAsia"/>
          <w:kern w:val="0"/>
        </w:rPr>
        <w:t xml:space="preserve"> </w:t>
      </w:r>
      <w:r>
        <w:rPr>
          <w:kern w:val="0"/>
        </w:rPr>
        <w:t xml:space="preserve">Lain, M. and Gates, E. (2013), A survey of access to trial of labor in California hospitals in 2012. </w:t>
      </w:r>
      <w:r w:rsidRPr="005E154E">
        <w:rPr>
          <w:i/>
          <w:iCs/>
          <w:kern w:val="0"/>
        </w:rPr>
        <w:t>BMC Pregnancy and Childbirth</w:t>
      </w:r>
      <w:r>
        <w:rPr>
          <w:kern w:val="0"/>
        </w:rPr>
        <w:t xml:space="preserve">, </w:t>
      </w:r>
      <w:r>
        <w:rPr>
          <w:b/>
          <w:bCs/>
          <w:kern w:val="0"/>
        </w:rPr>
        <w:t>13</w:t>
      </w:r>
      <w:r>
        <w:rPr>
          <w:rFonts w:hint="eastAsia"/>
          <w:kern w:val="0"/>
        </w:rPr>
        <w:t>, Article Number: 83.</w:t>
      </w:r>
    </w:p>
    <w:p w:rsidR="005E154E" w:rsidRDefault="005E154E" w:rsidP="005E154E">
      <w:pPr>
        <w:pStyle w:val="a3"/>
        <w:jc w:val="left"/>
        <w:rPr>
          <w:kern w:val="0"/>
        </w:rPr>
      </w:pPr>
      <w:r>
        <w:rPr>
          <w:rFonts w:hint="eastAsia"/>
        </w:rPr>
        <w:t xml:space="preserve">Full Text: </w:t>
      </w:r>
      <w:hyperlink r:id="rId1680" w:history="1">
        <w:r w:rsidRPr="00A24197">
          <w:rPr>
            <w:rStyle w:val="a5"/>
          </w:rPr>
          <w:t>2013\BMC Med Inf Dec Mak13, 83.pdf</w:t>
        </w:r>
      </w:hyperlink>
    </w:p>
    <w:p w:rsidR="005E154E" w:rsidRDefault="005E154E" w:rsidP="005E154E">
      <w:pPr>
        <w:pStyle w:val="a3"/>
        <w:rPr>
          <w:kern w:val="0"/>
        </w:rPr>
      </w:pPr>
      <w:r>
        <w:rPr>
          <w:kern w:val="0"/>
        </w:rPr>
        <w:t xml:space="preserve">Abstract: Background: In 2010, the NIH and ACOG recommended increasing women’s access to trial of labor after cesarean (TOLAC). This study explored access to TOLAC in California, change in access since 2007 and 2010, and characteristics of TOLAC and non-TOLAC hospitals. Methods: Between November 2011 and June 2012, charge nurses at all civilian California birth hospitals were surveyed about hospitals’ TOLAC availability and requirements for providers. VBAC rates were obtained from the California Office of Statewide Health Planning and Development (OSHPD). Distance between hospitals was calculated using OSHPD geocoding. Results: All 243 birth hospitals that were contacted participated. In 2010, among the 56% TOLAC hospitals, the median VBAC rate among TOLAC hospitals was 10.8% (range 0-37.3%). The most cited reason for low VBAC rates was physician unwillingness to perform them, especially due to the requirement to be continually present during labor. TOLAC hospitals were more likely to be larger hospitals in urban communities with obstetrical residency training. However, there were six (11.3%) residency programs in non-TOLAC hospitals and 5 (13.5%) rural hospitals offering TOLAC. The majority of TOLAC hospitals had 24/7 anesthesia coverage and required the obstetrician to be continually present if a TOLAC patient was admitted; 17 (12.2%) allowed personnel to be 15-30 minutes away. TOLAC eligibility criteria included one prior cesarean (32.4%), spontaneous labor (52.5%), continuous fetal monitoring and intravenous access (99.3%), and epidural analgesia (19.4%). The mean distance from a non-TOLAC to a TOLAC hospital was 37 mi. </w:t>
      </w:r>
      <w:r>
        <w:rPr>
          <w:kern w:val="0"/>
        </w:rPr>
        <w:lastRenderedPageBreak/>
        <w:t>with 25% of non-TOLAC hospitals more than 51 mi. from the closest TOLAC hospital. In 2012, 139 hospitals (57.2%) offered TOLAC, 16.6% fewer than in 2007. Since 2010, five hospitals started and four stopped offering TOLAC, a net gain of one hospital offering TOLAC with three more considering it. Only two hospitals cited change in ACOG guidelines as a reason for the change. Conclusions: Despite the 2010 NIH and ACOG recommendations encouraging greater access to TOLAC, 44% of California hospitals do not allow TOLAC. of the 56% allowing TOLAC, 10.8% report fewer than 3% VBAC births. Thus, national recommendations encouraging greater access to TOLAC had a minor effect in California.</w:t>
      </w:r>
    </w:p>
    <w:p w:rsidR="005E154E" w:rsidRDefault="005E154E" w:rsidP="005E154E">
      <w:pPr>
        <w:pStyle w:val="a3"/>
        <w:rPr>
          <w:kern w:val="0"/>
        </w:rPr>
      </w:pPr>
      <w:r>
        <w:rPr>
          <w:kern w:val="0"/>
        </w:rPr>
        <w:t>Keywords: Access, Access to Care, ACOG, Analgesia, Anesthesia, Availability, Birth, California, Cesarean, Cesarean Delivery, Characteristics, Charge, Coverage, Criteria, Epidural, Epidural Analgesia, Fetal, Fetal Monitoring, Florida, Guidelines, Hospital, Hospitals, Intravenous, Labor, Methods, Minor, Monitoring, NIH, Nurses, Obstetrical, Obstetrician, Outcomes, Personnel, Physician, Providers, Rates, Recommendations, Requirement, Residency, Residency Training, Results, Rural, Rural Hospitals, Spontaneous Labor, Survey, Training, Trial, Trial of Labor, Trial of Labor After Cesarean, Urban, Vaginal Birth, Vaginal Birth After Cesarean, VBAC</w:t>
      </w:r>
    </w:p>
    <w:p w:rsidR="005E154E" w:rsidRDefault="005E154E" w:rsidP="005E154E">
      <w:pPr>
        <w:pStyle w:val="a3"/>
        <w:rPr>
          <w:kern w:val="0"/>
        </w:rPr>
      </w:pPr>
      <w:r>
        <w:rPr>
          <w:rFonts w:hint="eastAsia"/>
          <w:kern w:val="0"/>
        </w:rPr>
        <w:t xml:space="preserve">? </w:t>
      </w:r>
      <w:r>
        <w:rPr>
          <w:kern w:val="0"/>
        </w:rPr>
        <w:t xml:space="preserve">Ollerhead, E. and Osrin, D. (2014), Barriers to and incentives for achieving partograph use in obstetric practice in low- and middle-income countries: A systematic review. </w:t>
      </w:r>
      <w:r>
        <w:rPr>
          <w:i/>
          <w:iCs/>
          <w:kern w:val="0"/>
        </w:rPr>
        <w:t>BMC Pregnancy and Childbirth</w:t>
      </w:r>
      <w:r>
        <w:rPr>
          <w:kern w:val="0"/>
        </w:rPr>
        <w:t xml:space="preserve">, </w:t>
      </w:r>
      <w:r>
        <w:rPr>
          <w:b/>
          <w:bCs/>
          <w:kern w:val="0"/>
        </w:rPr>
        <w:t>14</w:t>
      </w:r>
      <w:r>
        <w:rPr>
          <w:rFonts w:hint="eastAsia"/>
          <w:kern w:val="0"/>
        </w:rPr>
        <w:t xml:space="preserve">, </w:t>
      </w:r>
      <w:r w:rsidRPr="00CE78E3">
        <w:rPr>
          <w:kern w:val="0"/>
        </w:rPr>
        <w:t xml:space="preserve">Article Number: </w:t>
      </w:r>
      <w:r>
        <w:rPr>
          <w:rFonts w:hint="eastAsia"/>
          <w:kern w:val="0"/>
        </w:rPr>
        <w:t>281.</w:t>
      </w:r>
    </w:p>
    <w:p w:rsidR="005E154E" w:rsidRDefault="005E154E" w:rsidP="005E154E">
      <w:pPr>
        <w:pStyle w:val="a3"/>
        <w:jc w:val="left"/>
        <w:rPr>
          <w:kern w:val="0"/>
        </w:rPr>
      </w:pPr>
      <w:r>
        <w:rPr>
          <w:rFonts w:hint="eastAsia"/>
        </w:rPr>
        <w:t xml:space="preserve">Full Text: </w:t>
      </w:r>
      <w:hyperlink r:id="rId1681" w:history="1">
        <w:r w:rsidRPr="005E154E">
          <w:rPr>
            <w:rStyle w:val="a5"/>
          </w:rPr>
          <w:t>2014\BMC Pre Chi14, 281.pdf</w:t>
        </w:r>
      </w:hyperlink>
    </w:p>
    <w:p w:rsidR="005E154E" w:rsidRDefault="005E154E" w:rsidP="005E154E">
      <w:pPr>
        <w:pStyle w:val="a3"/>
        <w:rPr>
          <w:kern w:val="0"/>
        </w:rPr>
      </w:pPr>
      <w:r>
        <w:rPr>
          <w:kern w:val="0"/>
        </w:rPr>
        <w:t xml:space="preserve">Abstract: Background: The partograph is a graphic display of the progress of labour, recommended by the World Health Organization, but often underused in practice in low-and middle-income countries. We were interested in going beyond demonstration of potential efficacy - on which the existing literature concentrates - through a systematic review to identify barriers to and incentives for achieving partograph use. Methods: We searched Ovid MEDLINE, Ovid Maternity and Infant Care, POPLINE, Web of Science, and Scopus, from 1st January 1994 to 30th September 2013, using the term ‘partogra*’ to include ‘partograph’, ‘partogram’, or ‘partogramme’. The selection criteria were for primary or secondary research describing barriers to and incentives for partograph use in low-and middle-income countries, in English, reported in peer-reviewed publications since 1994. Thematic analysis of text on partograph use was applied to a commonly used framework for change in clinical practice, with levels describing the innovation, the individual professional, the woman, and social, organisational, economic and political contexts. Results: Reported barriers to and incentives for partograph use related to the partograph itself, professional skills and practice, clinical leadership and quality assurance, and the organisational environment within the wider provision of obstetric care. Neither the evidence base for its effectiveness, nor its credibility, was reported </w:t>
      </w:r>
      <w:r>
        <w:rPr>
          <w:kern w:val="0"/>
        </w:rPr>
        <w:lastRenderedPageBreak/>
        <w:t>as a barrier to use. Conclusion: Identifying and addressing local barriers and incentives in low-and middle-income countries, based on those in published research, could inform strategies to improve partograph use. Emerging technologies could be used to address some barriers. The thresholds for essential maternity care at which the partograph adds value should be further evaluated.</w:t>
      </w:r>
    </w:p>
    <w:p w:rsidR="005E154E" w:rsidRDefault="005E154E" w:rsidP="005E154E">
      <w:pPr>
        <w:pStyle w:val="a3"/>
        <w:rPr>
          <w:kern w:val="0"/>
        </w:rPr>
      </w:pPr>
      <w:r>
        <w:rPr>
          <w:kern w:val="0"/>
        </w:rPr>
        <w:t>Keywords: Addis-Ababa, Analysis, Angolan Midwives, Assurance, Attitudes, Barrier, Barriers, Care, Clinical, Clinical Practice, Credibility, Criteria, Developing Countries, Economic, Effectiveness, Efficacy, Emerging Technologies, English, Environment, Evidence, Facilities, Framework, Health, Health Knowledge, Incentives, Infant, Innovation, Labor, Labour, Leadership, Literature, Local, Low- And Middle-Income Countries, Low-And Middle-Income Countries, Management, Maternity, Maternity Care, Maternity Units, Medline, Methods, Nigeria, Obstetric, Obstetric Care, Obstetric Practice, Obstetrics, Obstructed Labor, Partogram, Peer-Reviewed, Peer-Reviewed Publications, Perinatal-Care, Potential, Practice, Primary, Progress, Publications, Quality, Quality Assurance, Quality Of Health Care, Research, Results, Review, Science, Scopus, Selection, Selection Criteria, Social, Systematic, Systematic Review, Technologies, Term, Thresholds, Value, Web Of Science, World Health Organization, World-Health-Organization</w:t>
      </w:r>
    </w:p>
    <w:p w:rsidR="00D9712E" w:rsidRDefault="00D9712E" w:rsidP="00D9712E">
      <w:pPr>
        <w:pStyle w:val="a3"/>
        <w:rPr>
          <w:kern w:val="0"/>
        </w:rPr>
      </w:pPr>
      <w:r>
        <w:rPr>
          <w:rFonts w:hint="eastAsia"/>
          <w:kern w:val="0"/>
        </w:rPr>
        <w:t xml:space="preserve">? </w:t>
      </w:r>
      <w:r>
        <w:rPr>
          <w:kern w:val="0"/>
        </w:rPr>
        <w:t xml:space="preserve">Fyfe, T.M., Ritchey, M.J., Taruc, C., Crompton, D., Galliford, B. and Perrin, R. (2014), Appropriate provision of anti-D prophylaxis to RhD negative pregnant women: a scoping review. </w:t>
      </w:r>
      <w:r>
        <w:rPr>
          <w:i/>
          <w:iCs/>
          <w:kern w:val="0"/>
        </w:rPr>
        <w:t>BMC Pregnancy and Childbirth</w:t>
      </w:r>
      <w:r>
        <w:rPr>
          <w:kern w:val="0"/>
        </w:rPr>
        <w:t xml:space="preserve">, </w:t>
      </w:r>
      <w:r>
        <w:rPr>
          <w:b/>
          <w:bCs/>
          <w:kern w:val="0"/>
        </w:rPr>
        <w:t>14</w:t>
      </w:r>
      <w:r>
        <w:rPr>
          <w:rFonts w:hint="eastAsia"/>
          <w:kern w:val="0"/>
        </w:rPr>
        <w:t>,</w:t>
      </w:r>
      <w:r w:rsidRPr="00003DCF">
        <w:rPr>
          <w:kern w:val="0"/>
        </w:rPr>
        <w:t xml:space="preserve"> </w:t>
      </w:r>
      <w:r w:rsidRPr="00CE78E3">
        <w:rPr>
          <w:kern w:val="0"/>
        </w:rPr>
        <w:t xml:space="preserve">Article Number: </w:t>
      </w:r>
      <w:r>
        <w:rPr>
          <w:rFonts w:hint="eastAsia"/>
          <w:kern w:val="0"/>
        </w:rPr>
        <w:t>411.</w:t>
      </w:r>
    </w:p>
    <w:p w:rsidR="00D9712E" w:rsidRDefault="00D9712E" w:rsidP="00D9712E">
      <w:pPr>
        <w:pStyle w:val="a3"/>
        <w:jc w:val="left"/>
        <w:rPr>
          <w:kern w:val="0"/>
        </w:rPr>
      </w:pPr>
      <w:r>
        <w:rPr>
          <w:rFonts w:hint="eastAsia"/>
        </w:rPr>
        <w:t xml:space="preserve">Full Text: </w:t>
      </w:r>
      <w:hyperlink r:id="rId1682" w:history="1">
        <w:r w:rsidRPr="000D535C">
          <w:rPr>
            <w:rStyle w:val="a5"/>
          </w:rPr>
          <w:t>2014\BMC Pre Chi14, 411.pdf</w:t>
        </w:r>
      </w:hyperlink>
    </w:p>
    <w:p w:rsidR="00D9712E" w:rsidRDefault="00D9712E" w:rsidP="00D9712E">
      <w:pPr>
        <w:pStyle w:val="a3"/>
        <w:rPr>
          <w:kern w:val="0"/>
        </w:rPr>
      </w:pPr>
      <w:r>
        <w:rPr>
          <w:kern w:val="0"/>
        </w:rPr>
        <w:t xml:space="preserve">Abstract: Background: The purpose of this scoping review was to review the literature on healthcare provider provision of anti-D prophylaxis to RhD negative pregnant women in appropriate clinical situations in various healthcare settings. Methods: A scoping review framework was used to structure the process. The following databases were searched: CINAHL (EBSCO), EBM Reviews (OvidSP), Embase (OvidSP), Medline (OvidSP), and Web of Science (ISI). In addition, hand searching of article references was conducted. The search yielded 301 articles. Thirty-five articles remained for review after screening. Two team members reviewed each article using a detailed data collection sheet. A third reviewer was utilized if discrepancies occurred amongst reviewers. Results: The review process yielded 18 included articles. The majority of the studies were conducted in the United Kingdom. Of the 18 studies, 15 were retrospective studies. The articles were largely conducted in one institution. The articles with a focus on routine antenatal provision of anti-D immunoglobulin found that it was given 80 to 90% of the time. Postpartum provision of anti-D immunoglobulin had significantly higher results of 95-100%. The review found that the delivery of anti-D immunoglobulin to RhD negative pregnant women during situations of potential sensitizing events was suboptimal. Conclusions: The </w:t>
      </w:r>
      <w:r>
        <w:rPr>
          <w:kern w:val="0"/>
        </w:rPr>
        <w:lastRenderedPageBreak/>
        <w:t>included articles examine the management of RhD negative pregnancies in various countries with existing national guidelines. The existing evidence indicates an opportunity for quality improvement in situations where potential sensitizing events are not at routine times in pregnancy, such as miscarriage or fetal demise early in pregnancy. Routine care for the prevention of RhD alloimmunization in pregnancy and postpartum appears to be fairly consistent. The paucity of recent literature in this area leads to a recommendation for further research.</w:t>
      </w:r>
    </w:p>
    <w:p w:rsidR="00D9712E" w:rsidRDefault="00D9712E" w:rsidP="00D9712E">
      <w:pPr>
        <w:pStyle w:val="a3"/>
        <w:rPr>
          <w:kern w:val="0"/>
        </w:rPr>
      </w:pPr>
      <w:r>
        <w:rPr>
          <w:kern w:val="0"/>
        </w:rPr>
        <w:t>Keywords: Accident, Anti-D, Anti-D Immunoglobulin, Article, Articles, Care, Clinical, Collection, D Hemolytic-Disease, D Immunoglobulin, Data, Data Collection, Databases, Delivery, EBM, Emergency-Department, Events, Evidence, Fetal, Framework, Guideline Adherence, Guidelines, Immunoglobulin, Implementation, Improvement, ISI, Literature, Management, Medline, Methods, Miscarriage, National Guidelines, Negative, Newborn, Postpartum, Potential, Practice Guidelines, Pregnancy, Pregnant, Pregnant Women, Prevention, Program, Prophylaxis, Purpose, Quality, Quality Improvement, Recent, References, Research, Results, Retrospective, Retrospective Studies, Review, Review Process, Reviewers, RHD Isoimmunization, Rho(D) Immune Globulin, Science, Scoping Review, Screening, Sensitization, Structure, United Kingdom, Web, Web Of Science, Women</w:t>
      </w:r>
    </w:p>
    <w:p w:rsidR="0024417D" w:rsidRPr="001A3D2B" w:rsidRDefault="0024417D" w:rsidP="0024417D">
      <w:pPr>
        <w:pStyle w:val="1"/>
      </w:pPr>
      <w:r w:rsidRPr="001A3D2B">
        <w:br w:type="page"/>
      </w:r>
      <w:bookmarkStart w:id="857" w:name="_Toc420814774"/>
      <w:r w:rsidRPr="001A3D2B">
        <w:lastRenderedPageBreak/>
        <w:t xml:space="preserve">Title: </w:t>
      </w:r>
      <w:r w:rsidRPr="0024417D">
        <w:rPr>
          <w:iCs w:val="0"/>
        </w:rPr>
        <w:t xml:space="preserve">BMC </w:t>
      </w:r>
      <w:r w:rsidRPr="0024417D">
        <w:t>Psychiatry</w:t>
      </w:r>
      <w:bookmarkEnd w:id="857"/>
    </w:p>
    <w:p w:rsidR="0024417D" w:rsidRPr="001A3D2B" w:rsidRDefault="0024417D" w:rsidP="0024417D">
      <w:pPr>
        <w:pStyle w:val="12"/>
      </w:pPr>
      <w:r w:rsidRPr="001A3D2B">
        <w:t xml:space="preserve">Full Journal Title: </w:t>
      </w:r>
      <w:r w:rsidRPr="0024417D">
        <w:rPr>
          <w:iCs/>
          <w:kern w:val="0"/>
        </w:rPr>
        <w:t>BMC Psychiatry</w:t>
      </w:r>
    </w:p>
    <w:p w:rsidR="0024417D" w:rsidRPr="001A3D2B" w:rsidRDefault="0024417D" w:rsidP="0024417D">
      <w:pPr>
        <w:pStyle w:val="12"/>
      </w:pPr>
      <w:r w:rsidRPr="001A3D2B">
        <w:t xml:space="preserve">ISO Abbreviated Title: </w:t>
      </w:r>
    </w:p>
    <w:p w:rsidR="0024417D" w:rsidRPr="001A3D2B" w:rsidRDefault="0024417D" w:rsidP="0024417D">
      <w:pPr>
        <w:pStyle w:val="12"/>
      </w:pPr>
      <w:r w:rsidRPr="001A3D2B">
        <w:t xml:space="preserve">JCR Abbreviated Title: </w:t>
      </w:r>
    </w:p>
    <w:p w:rsidR="0024417D" w:rsidRPr="001A3D2B" w:rsidRDefault="0024417D" w:rsidP="0024417D">
      <w:pPr>
        <w:pStyle w:val="12"/>
      </w:pPr>
      <w:r w:rsidRPr="001A3D2B">
        <w:t xml:space="preserve">ISSN: </w:t>
      </w:r>
    </w:p>
    <w:p w:rsidR="0024417D" w:rsidRPr="001A3D2B" w:rsidRDefault="0024417D" w:rsidP="0024417D">
      <w:pPr>
        <w:pStyle w:val="12"/>
      </w:pPr>
      <w:r w:rsidRPr="001A3D2B">
        <w:t xml:space="preserve">Issues/Year: </w:t>
      </w:r>
    </w:p>
    <w:p w:rsidR="0024417D" w:rsidRPr="001A3D2B" w:rsidRDefault="0024417D" w:rsidP="0024417D">
      <w:pPr>
        <w:pStyle w:val="12"/>
      </w:pPr>
      <w:r w:rsidRPr="001A3D2B">
        <w:t xml:space="preserve">Journal Country/Territory: </w:t>
      </w:r>
    </w:p>
    <w:p w:rsidR="0024417D" w:rsidRPr="001A3D2B" w:rsidRDefault="0024417D" w:rsidP="0024417D">
      <w:pPr>
        <w:pStyle w:val="12"/>
      </w:pPr>
      <w:r w:rsidRPr="001A3D2B">
        <w:t xml:space="preserve">Language: </w:t>
      </w:r>
    </w:p>
    <w:p w:rsidR="0024417D" w:rsidRPr="001A3D2B" w:rsidRDefault="0024417D" w:rsidP="0024417D">
      <w:pPr>
        <w:pStyle w:val="12"/>
      </w:pPr>
      <w:r w:rsidRPr="001A3D2B">
        <w:t xml:space="preserve">Publisher: </w:t>
      </w:r>
    </w:p>
    <w:p w:rsidR="0024417D" w:rsidRPr="001A3D2B" w:rsidRDefault="0024417D" w:rsidP="0024417D">
      <w:pPr>
        <w:pStyle w:val="12"/>
      </w:pPr>
      <w:r w:rsidRPr="001A3D2B">
        <w:t xml:space="preserve">Publisher Address: </w:t>
      </w:r>
    </w:p>
    <w:p w:rsidR="0024417D" w:rsidRPr="001A3D2B" w:rsidRDefault="0024417D" w:rsidP="0024417D">
      <w:pPr>
        <w:pStyle w:val="12"/>
      </w:pPr>
      <w:r w:rsidRPr="001A3D2B">
        <w:t xml:space="preserve">Subject Categories: </w:t>
      </w:r>
    </w:p>
    <w:p w:rsidR="0024417D" w:rsidRPr="001A3D2B" w:rsidRDefault="0024417D" w:rsidP="0024417D">
      <w:pPr>
        <w:pStyle w:val="12"/>
      </w:pPr>
      <w:r w:rsidRPr="001A3D2B">
        <w:t xml:space="preserve">: Impact Factor </w:t>
      </w:r>
    </w:p>
    <w:p w:rsidR="0024417D" w:rsidRDefault="0024417D" w:rsidP="0024417D">
      <w:pPr>
        <w:pStyle w:val="a3"/>
        <w:rPr>
          <w:kern w:val="0"/>
        </w:rPr>
      </w:pPr>
      <w:r>
        <w:rPr>
          <w:rFonts w:hint="eastAsia"/>
          <w:kern w:val="0"/>
        </w:rPr>
        <w:t xml:space="preserve">? </w:t>
      </w:r>
      <w:r>
        <w:rPr>
          <w:kern w:val="0"/>
        </w:rPr>
        <w:t>Tovilla-Zárate, C., Juárez-Rojop, I., Ramón-Frias, T., Villar-Soto, M., Pool-García, S., Medellín, B.C., Mendoza, A.D.G., Narvaez, L.L.</w:t>
      </w:r>
      <w:r w:rsidR="005853A9">
        <w:rPr>
          <w:kern w:val="0"/>
        </w:rPr>
        <w:t xml:space="preserve"> and </w:t>
      </w:r>
      <w:r>
        <w:rPr>
          <w:kern w:val="0"/>
        </w:rPr>
        <w:t>Humberto, N. (2011), No association between COMT val158met polymorphism</w:t>
      </w:r>
      <w:r w:rsidR="005853A9">
        <w:rPr>
          <w:kern w:val="0"/>
        </w:rPr>
        <w:t xml:space="preserve"> and </w:t>
      </w:r>
      <w:r>
        <w:rPr>
          <w:kern w:val="0"/>
        </w:rPr>
        <w:t>suicidal behavior: Meta-analysis</w:t>
      </w:r>
      <w:r w:rsidR="005853A9">
        <w:rPr>
          <w:kern w:val="0"/>
        </w:rPr>
        <w:t xml:space="preserve"> and </w:t>
      </w:r>
      <w:r>
        <w:rPr>
          <w:kern w:val="0"/>
        </w:rPr>
        <w:t xml:space="preserve">new data. </w:t>
      </w:r>
      <w:r w:rsidRPr="0024417D">
        <w:rPr>
          <w:i/>
          <w:iCs/>
          <w:kern w:val="0"/>
        </w:rPr>
        <w:t>BMC Psychiatry</w:t>
      </w:r>
      <w:r>
        <w:rPr>
          <w:kern w:val="0"/>
        </w:rPr>
        <w:t xml:space="preserve">, </w:t>
      </w:r>
      <w:r>
        <w:rPr>
          <w:b/>
          <w:bCs/>
          <w:kern w:val="0"/>
        </w:rPr>
        <w:t>11</w:t>
      </w:r>
      <w:r>
        <w:rPr>
          <w:rFonts w:hint="eastAsia"/>
          <w:kern w:val="0"/>
        </w:rPr>
        <w:t xml:space="preserve">, </w:t>
      </w:r>
      <w:r w:rsidRPr="0024417D">
        <w:rPr>
          <w:kern w:val="0"/>
        </w:rPr>
        <w:t>Article Number: 151</w:t>
      </w:r>
      <w:r>
        <w:rPr>
          <w:rFonts w:hint="eastAsia"/>
          <w:kern w:val="0"/>
        </w:rPr>
        <w:t>.</w:t>
      </w:r>
    </w:p>
    <w:p w:rsidR="0024417D" w:rsidRDefault="0024417D" w:rsidP="0024417D">
      <w:pPr>
        <w:pStyle w:val="a3"/>
        <w:rPr>
          <w:kern w:val="0"/>
        </w:rPr>
      </w:pPr>
      <w:r>
        <w:rPr>
          <w:rFonts w:hint="eastAsia"/>
          <w:kern w:val="0"/>
        </w:rPr>
        <w:t xml:space="preserve">Full Text: </w:t>
      </w:r>
      <w:hyperlink r:id="rId1683" w:history="1">
        <w:r w:rsidRPr="0024417D">
          <w:rPr>
            <w:rStyle w:val="a5"/>
            <w:kern w:val="0"/>
          </w:rPr>
          <w:t>2011\BMC Psy11, 151.pdf</w:t>
        </w:r>
      </w:hyperlink>
    </w:p>
    <w:p w:rsidR="0024417D" w:rsidRDefault="0024417D" w:rsidP="0024417D">
      <w:pPr>
        <w:pStyle w:val="a3"/>
        <w:rPr>
          <w:kern w:val="0"/>
        </w:rPr>
      </w:pPr>
      <w:r>
        <w:rPr>
          <w:kern w:val="0"/>
        </w:rPr>
        <w:t>Abstract: Background:</w:t>
      </w:r>
      <w:r w:rsidR="003A1917">
        <w:rPr>
          <w:kern w:val="0"/>
        </w:rPr>
        <w:t xml:space="preserve"> the </w:t>
      </w:r>
      <w:r>
        <w:rPr>
          <w:kern w:val="0"/>
        </w:rPr>
        <w:t>polymorphism COMTval158met has been associated with suicidal behavior in case-control</w:t>
      </w:r>
      <w:r w:rsidR="005853A9">
        <w:rPr>
          <w:kern w:val="0"/>
        </w:rPr>
        <w:t xml:space="preserve"> and </w:t>
      </w:r>
      <w:r>
        <w:rPr>
          <w:kern w:val="0"/>
        </w:rPr>
        <w:t>meta-analysis studies, but results</w:t>
      </w:r>
      <w:r w:rsidR="005853A9">
        <w:rPr>
          <w:kern w:val="0"/>
        </w:rPr>
        <w:t xml:space="preserve"> and </w:t>
      </w:r>
      <w:r>
        <w:rPr>
          <w:kern w:val="0"/>
        </w:rPr>
        <w:t>conclusions remain controversial</w:t>
      </w:r>
      <w:r w:rsidR="00A37C1D">
        <w:rPr>
          <w:kern w:val="0"/>
        </w:rPr>
        <w:t>. The</w:t>
      </w:r>
      <w:r w:rsidR="003A1917">
        <w:rPr>
          <w:kern w:val="0"/>
        </w:rPr>
        <w:t xml:space="preserve"> </w:t>
      </w:r>
      <w:r>
        <w:rPr>
          <w:kern w:val="0"/>
        </w:rPr>
        <w:t>objective</w:t>
      </w:r>
      <w:r w:rsidR="00427468">
        <w:rPr>
          <w:kern w:val="0"/>
        </w:rPr>
        <w:t xml:space="preserve"> of </w:t>
      </w:r>
      <w:r>
        <w:rPr>
          <w:kern w:val="0"/>
        </w:rPr>
        <w:t>this study was to examine</w:t>
      </w:r>
      <w:r w:rsidR="003A1917">
        <w:rPr>
          <w:kern w:val="0"/>
        </w:rPr>
        <w:t xml:space="preserve"> the </w:t>
      </w:r>
      <w:r>
        <w:rPr>
          <w:kern w:val="0"/>
        </w:rPr>
        <w:t>association between COMT val158met with suicidal behavior in a case-control study</w:t>
      </w:r>
      <w:r w:rsidR="005853A9">
        <w:rPr>
          <w:kern w:val="0"/>
        </w:rPr>
        <w:t xml:space="preserve"> and </w:t>
      </w:r>
      <w:r>
        <w:rPr>
          <w:kern w:val="0"/>
        </w:rPr>
        <w:t>to assess</w:t>
      </w:r>
      <w:r w:rsidR="003A1917">
        <w:rPr>
          <w:kern w:val="0"/>
        </w:rPr>
        <w:t xml:space="preserve"> the </w:t>
      </w:r>
      <w:r>
        <w:rPr>
          <w:kern w:val="0"/>
        </w:rPr>
        <w:t>combined evidence -this case-control study</w:t>
      </w:r>
      <w:r w:rsidR="005853A9">
        <w:rPr>
          <w:kern w:val="0"/>
        </w:rPr>
        <w:t xml:space="preserve"> and </w:t>
      </w:r>
      <w:r>
        <w:rPr>
          <w:kern w:val="0"/>
        </w:rPr>
        <w:t>available data from other related studies-we carried out a meta-analysis. Methods: We conducted a case-control study with 105 patients with suicide attempts</w:t>
      </w:r>
      <w:r w:rsidR="005853A9">
        <w:rPr>
          <w:kern w:val="0"/>
        </w:rPr>
        <w:t xml:space="preserve"> and </w:t>
      </w:r>
      <w:r>
        <w:rPr>
          <w:kern w:val="0"/>
        </w:rPr>
        <w:t>236 controls. Subsequently, we performed a meta-analysis</w:t>
      </w:r>
      <w:r w:rsidR="00427468">
        <w:rPr>
          <w:kern w:val="0"/>
        </w:rPr>
        <w:t xml:space="preserve"> of </w:t>
      </w:r>
      <w:r>
        <w:rPr>
          <w:kern w:val="0"/>
        </w:rPr>
        <w:t xml:space="preserve">published genetic association studies by searching through </w:t>
      </w:r>
      <w:r w:rsidR="00D5664A">
        <w:rPr>
          <w:kern w:val="0"/>
        </w:rPr>
        <w:t>MEDLINE</w:t>
      </w:r>
      <w:r>
        <w:rPr>
          <w:kern w:val="0"/>
        </w:rPr>
        <w:t>,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Results: No significant differences were found in</w:t>
      </w:r>
      <w:r w:rsidR="003A1917">
        <w:rPr>
          <w:kern w:val="0"/>
        </w:rPr>
        <w:t xml:space="preserve"> the </w:t>
      </w:r>
      <w:r>
        <w:rPr>
          <w:kern w:val="0"/>
        </w:rPr>
        <w:t>distribution</w:t>
      </w:r>
      <w:r w:rsidR="00427468">
        <w:rPr>
          <w:kern w:val="0"/>
        </w:rPr>
        <w:t xml:space="preserve"> of </w:t>
      </w:r>
      <w:r>
        <w:rPr>
          <w:kern w:val="0"/>
        </w:rPr>
        <w:t>alleles (chi(2) = 0.33, 1 df, p = 0.56) or genotypes (chi(2) = 2.36, 2 df, p = 0.26)</w:t>
      </w:r>
      <w:r w:rsidR="00A37C1D">
        <w:rPr>
          <w:kern w:val="0"/>
        </w:rPr>
        <w:t>. The</w:t>
      </w:r>
      <w:r w:rsidR="003A1917">
        <w:rPr>
          <w:kern w:val="0"/>
        </w:rPr>
        <w:t xml:space="preserve"> </w:t>
      </w:r>
      <w:r>
        <w:rPr>
          <w:kern w:val="0"/>
        </w:rPr>
        <w:t>meta-analysis comprising 12 association studies (including</w:t>
      </w:r>
      <w:r w:rsidR="003A1917">
        <w:rPr>
          <w:kern w:val="0"/>
        </w:rPr>
        <w:t xml:space="preserve"> the </w:t>
      </w:r>
      <w:r>
        <w:rPr>
          <w:kern w:val="0"/>
        </w:rPr>
        <w:t>present one) showed that</w:t>
      </w:r>
      <w:r w:rsidR="003A1917">
        <w:rPr>
          <w:kern w:val="0"/>
        </w:rPr>
        <w:t xml:space="preserve"> the </w:t>
      </w:r>
      <w:r>
        <w:rPr>
          <w:kern w:val="0"/>
        </w:rPr>
        <w:t>risk COMTmet allele</w:t>
      </w:r>
      <w:r w:rsidR="00427468">
        <w:rPr>
          <w:kern w:val="0"/>
        </w:rPr>
        <w:t xml:space="preserve"> of </w:t>
      </w:r>
      <w:r>
        <w:rPr>
          <w:kern w:val="0"/>
        </w:rPr>
        <w:t>COMTval158/met is not associated with suicidal behavior (OR: 1.09, 95% CI: 0.97-1.23), even in</w:t>
      </w:r>
      <w:r w:rsidR="003A1917">
        <w:rPr>
          <w:kern w:val="0"/>
        </w:rPr>
        <w:t xml:space="preserve"> the </w:t>
      </w:r>
      <w:r>
        <w:rPr>
          <w:kern w:val="0"/>
        </w:rPr>
        <w:t>absence</w:t>
      </w:r>
      <w:r w:rsidR="00427468">
        <w:rPr>
          <w:kern w:val="0"/>
        </w:rPr>
        <w:t xml:space="preserve"> of </w:t>
      </w:r>
      <w:r>
        <w:rPr>
          <w:kern w:val="0"/>
        </w:rPr>
        <w:t>heterogeneity (OR: 1.09, 95% CI: 0.97-1.23). Conclusion: Our results showed no association between COMTval158/met</w:t>
      </w:r>
      <w:r w:rsidR="005853A9">
        <w:rPr>
          <w:kern w:val="0"/>
        </w:rPr>
        <w:t xml:space="preserve"> and </w:t>
      </w:r>
      <w:r>
        <w:rPr>
          <w:kern w:val="0"/>
        </w:rPr>
        <w:t>suicidal behavior. However, more studies are necessary to determine conclusively an association between COMT</w:t>
      </w:r>
      <w:r w:rsidR="005853A9">
        <w:rPr>
          <w:kern w:val="0"/>
        </w:rPr>
        <w:t xml:space="preserve"> and </w:t>
      </w:r>
      <w:r>
        <w:rPr>
          <w:kern w:val="0"/>
        </w:rPr>
        <w:t>suicidal behavior.</w:t>
      </w:r>
    </w:p>
    <w:p w:rsidR="0024417D" w:rsidRDefault="0024417D" w:rsidP="0024417D">
      <w:pPr>
        <w:pStyle w:val="a3"/>
        <w:rPr>
          <w:kern w:val="0"/>
        </w:rPr>
      </w:pPr>
      <w:r>
        <w:rPr>
          <w:kern w:val="0"/>
        </w:rPr>
        <w:t xml:space="preserve">Keywords: Anger Traits, Behavior, Case-Control, Case-Control Study, Catechol-O-Methyltransferase, Databases, Differences, Disorders, Functional Polymorphism, Gene-Gene Interaction, Genetic, Genotype, </w:t>
      </w:r>
      <w:r w:rsidR="00D5664A">
        <w:rPr>
          <w:kern w:val="0"/>
        </w:rPr>
        <w:t>MEDLINE</w:t>
      </w:r>
      <w:r>
        <w:rPr>
          <w:kern w:val="0"/>
        </w:rPr>
        <w:t xml:space="preserve">, Meta </w:t>
      </w:r>
      <w:r>
        <w:rPr>
          <w:kern w:val="0"/>
        </w:rPr>
        <w:lastRenderedPageBreak/>
        <w:t xml:space="preserve">Analysis, Meta-Analysis, Metabolites, Methods, Patients, Personality, Polymorphism, Pubmed, Risk, Schizophrenia, Science, Treatment Response, </w:t>
      </w:r>
      <w:r w:rsidR="00D5664A">
        <w:rPr>
          <w:kern w:val="0"/>
        </w:rPr>
        <w:t>Web</w:t>
      </w:r>
      <w:r w:rsidR="00427468">
        <w:rPr>
          <w:kern w:val="0"/>
        </w:rPr>
        <w:t xml:space="preserve"> of </w:t>
      </w:r>
      <w:r w:rsidR="00D5664A">
        <w:rPr>
          <w:kern w:val="0"/>
        </w:rPr>
        <w:t>Science</w:t>
      </w:r>
    </w:p>
    <w:p w:rsidR="00FC3407" w:rsidRDefault="00FC3407" w:rsidP="00FC3407">
      <w:pPr>
        <w:pStyle w:val="a3"/>
        <w:rPr>
          <w:kern w:val="0"/>
        </w:rPr>
      </w:pPr>
      <w:r>
        <w:rPr>
          <w:rFonts w:hint="eastAsia"/>
          <w:kern w:val="0"/>
        </w:rPr>
        <w:t xml:space="preserve">? </w:t>
      </w:r>
      <w:r>
        <w:rPr>
          <w:kern w:val="0"/>
        </w:rPr>
        <w:t>Baethge, C. (2013), The production</w:t>
      </w:r>
      <w:r w:rsidR="005853A9">
        <w:rPr>
          <w:kern w:val="0"/>
        </w:rPr>
        <w:t xml:space="preserve"> and </w:t>
      </w:r>
      <w:r>
        <w:rPr>
          <w:kern w:val="0"/>
        </w:rPr>
        <w:t>recognition</w:t>
      </w:r>
      <w:r w:rsidR="00427468">
        <w:rPr>
          <w:kern w:val="0"/>
        </w:rPr>
        <w:t xml:space="preserve"> of </w:t>
      </w:r>
      <w:r>
        <w:rPr>
          <w:kern w:val="0"/>
        </w:rPr>
        <w:t xml:space="preserve">psychiatric original articles published in languages other than English. </w:t>
      </w:r>
      <w:r>
        <w:rPr>
          <w:i/>
          <w:iCs/>
          <w:kern w:val="0"/>
        </w:rPr>
        <w:t>BMC Psychiatry</w:t>
      </w:r>
      <w:r>
        <w:rPr>
          <w:kern w:val="0"/>
        </w:rPr>
        <w:t xml:space="preserve">, </w:t>
      </w:r>
      <w:r>
        <w:rPr>
          <w:b/>
          <w:bCs/>
          <w:kern w:val="0"/>
        </w:rPr>
        <w:t>13</w:t>
      </w:r>
      <w:r>
        <w:rPr>
          <w:rFonts w:hint="eastAsia"/>
          <w:kern w:val="0"/>
        </w:rPr>
        <w:t xml:space="preserve">, </w:t>
      </w:r>
      <w:r w:rsidRPr="006939E5">
        <w:rPr>
          <w:kern w:val="0"/>
        </w:rPr>
        <w:t>Article Number: 102</w:t>
      </w:r>
      <w:r>
        <w:rPr>
          <w:rFonts w:hint="eastAsia"/>
          <w:kern w:val="0"/>
        </w:rPr>
        <w:t>.</w:t>
      </w:r>
    </w:p>
    <w:p w:rsidR="00FC3407" w:rsidRDefault="00FC3407" w:rsidP="00FC3407">
      <w:pPr>
        <w:pStyle w:val="a3"/>
        <w:rPr>
          <w:kern w:val="0"/>
        </w:rPr>
      </w:pPr>
      <w:r>
        <w:rPr>
          <w:rFonts w:hint="eastAsia"/>
          <w:kern w:val="0"/>
        </w:rPr>
        <w:t xml:space="preserve">Full Text: </w:t>
      </w:r>
      <w:hyperlink r:id="rId1684" w:history="1">
        <w:r w:rsidRPr="00FC3407">
          <w:rPr>
            <w:rStyle w:val="a5"/>
            <w:kern w:val="0"/>
          </w:rPr>
          <w:t>2013\BMC Psy13, 102.pdf</w:t>
        </w:r>
      </w:hyperlink>
    </w:p>
    <w:p w:rsidR="00FC3407" w:rsidRDefault="00FC3407" w:rsidP="00FC3407">
      <w:pPr>
        <w:pStyle w:val="a3"/>
        <w:rPr>
          <w:kern w:val="0"/>
        </w:rPr>
      </w:pPr>
      <w:r>
        <w:rPr>
          <w:kern w:val="0"/>
        </w:rPr>
        <w:t>Abstract: Background: Whereas the most influential journals in psychiatry are English language journals, periodicals published in other languages serve an important purpose for local communities</w:t>
      </w:r>
      <w:r w:rsidR="00427468">
        <w:rPr>
          <w:kern w:val="0"/>
        </w:rPr>
        <w:t xml:space="preserve"> of </w:t>
      </w:r>
      <w:r>
        <w:rPr>
          <w:kern w:val="0"/>
        </w:rPr>
        <w:t>clinicians</w:t>
      </w:r>
      <w:r w:rsidR="005853A9">
        <w:rPr>
          <w:kern w:val="0"/>
        </w:rPr>
        <w:t xml:space="preserve"> and </w:t>
      </w:r>
      <w:r>
        <w:rPr>
          <w:kern w:val="0"/>
        </w:rPr>
        <w:t>researchers. This study aimed at analyzing the scientific production</w:t>
      </w:r>
      <w:r w:rsidR="005853A9">
        <w:rPr>
          <w:kern w:val="0"/>
        </w:rPr>
        <w:t xml:space="preserve"> and </w:t>
      </w:r>
      <w:r>
        <w:rPr>
          <w:kern w:val="0"/>
        </w:rPr>
        <w:t>the recognition</w:t>
      </w:r>
      <w:r w:rsidR="00427468">
        <w:rPr>
          <w:kern w:val="0"/>
        </w:rPr>
        <w:t xml:space="preserve"> of </w:t>
      </w:r>
      <w:r>
        <w:rPr>
          <w:kern w:val="0"/>
        </w:rPr>
        <w:t>non-English general psychiatry journals. Methods: In a cohort study, the 2009 volume</w:t>
      </w:r>
      <w:r w:rsidR="00427468">
        <w:rPr>
          <w:kern w:val="0"/>
        </w:rPr>
        <w:t xml:space="preserve"> of </w:t>
      </w:r>
      <w:r>
        <w:rPr>
          <w:kern w:val="0"/>
        </w:rPr>
        <w:t>ten journals from Brazil (1), German language countries (5), France (2), Italy (1),</w:t>
      </w:r>
      <w:r w:rsidR="005853A9">
        <w:rPr>
          <w:kern w:val="0"/>
        </w:rPr>
        <w:t xml:space="preserve"> and </w:t>
      </w:r>
      <w:r>
        <w:rPr>
          <w:kern w:val="0"/>
        </w:rPr>
        <w:t>Poland (1) was searched for original articles. Patterns</w:t>
      </w:r>
      <w:r w:rsidR="00427468">
        <w:rPr>
          <w:kern w:val="0"/>
        </w:rPr>
        <w:t xml:space="preserve"> of </w:t>
      </w:r>
      <w:r>
        <w:rPr>
          <w:kern w:val="0"/>
        </w:rPr>
        <w:t>citations to these articles during 2010</w:t>
      </w:r>
      <w:r w:rsidR="005853A9">
        <w:rPr>
          <w:kern w:val="0"/>
        </w:rPr>
        <w:t xml:space="preserve"> and </w:t>
      </w:r>
      <w:r>
        <w:rPr>
          <w:kern w:val="0"/>
        </w:rPr>
        <w:t xml:space="preserve">2011 as documented in </w:t>
      </w:r>
      <w:r w:rsidR="00D5664A">
        <w:rPr>
          <w:kern w:val="0"/>
        </w:rPr>
        <w:t>Web</w:t>
      </w:r>
      <w:r w:rsidR="00427468">
        <w:rPr>
          <w:kern w:val="0"/>
        </w:rPr>
        <w:t xml:space="preserve"> of </w:t>
      </w:r>
      <w:r w:rsidR="00D5664A">
        <w:rPr>
          <w:kern w:val="0"/>
        </w:rPr>
        <w:t>Science</w:t>
      </w:r>
      <w:r>
        <w:rPr>
          <w:kern w:val="0"/>
        </w:rPr>
        <w:t xml:space="preserve"> were analyzed. Results: The journals published 199 original articles (range: 4-46), mostly observational studies. Half</w:t>
      </w:r>
      <w:r w:rsidR="00427468">
        <w:rPr>
          <w:kern w:val="0"/>
        </w:rPr>
        <w:t xml:space="preserve"> of </w:t>
      </w:r>
      <w:r>
        <w:rPr>
          <w:kern w:val="0"/>
        </w:rPr>
        <w:t>the papers were cited in the following two years</w:t>
      </w:r>
      <w:r w:rsidR="00A37C1D">
        <w:rPr>
          <w:kern w:val="0"/>
        </w:rPr>
        <w:t>. The</w:t>
      </w:r>
      <w:r>
        <w:rPr>
          <w:kern w:val="0"/>
        </w:rPr>
        <w:t>re were 246 citations received, or an average</w:t>
      </w:r>
      <w:r w:rsidR="00427468">
        <w:rPr>
          <w:kern w:val="0"/>
        </w:rPr>
        <w:t xml:space="preserve"> of </w:t>
      </w:r>
      <w:r>
        <w:rPr>
          <w:kern w:val="0"/>
        </w:rPr>
        <w:t>1.25 cites per article (range: 0.25-4.04). Many</w:t>
      </w:r>
      <w:r w:rsidR="00427468">
        <w:rPr>
          <w:kern w:val="0"/>
        </w:rPr>
        <w:t xml:space="preserve"> of </w:t>
      </w:r>
      <w:r>
        <w:rPr>
          <w:kern w:val="0"/>
        </w:rPr>
        <w:t>these citations came from the local community, that is, from the same authors</w:t>
      </w:r>
      <w:r w:rsidR="005853A9">
        <w:rPr>
          <w:kern w:val="0"/>
        </w:rPr>
        <w:t xml:space="preserve"> and </w:t>
      </w:r>
      <w:r>
        <w:rPr>
          <w:kern w:val="0"/>
        </w:rPr>
        <w:t>journals. Citations by other periodicals</w:t>
      </w:r>
      <w:r w:rsidR="005853A9">
        <w:rPr>
          <w:kern w:val="0"/>
        </w:rPr>
        <w:t xml:space="preserve"> and </w:t>
      </w:r>
      <w:r>
        <w:rPr>
          <w:kern w:val="0"/>
        </w:rPr>
        <w:t>other authors accounted for 36% [95%-CI: 30%-42%], citations in English sources for 33% [28%-39%]</w:t>
      </w:r>
      <w:r w:rsidR="00427468">
        <w:rPr>
          <w:kern w:val="0"/>
        </w:rPr>
        <w:t xml:space="preserve"> of </w:t>
      </w:r>
      <w:r>
        <w:rPr>
          <w:kern w:val="0"/>
        </w:rPr>
        <w:t>all quotations</w:t>
      </w:r>
      <w:r w:rsidR="00A37C1D">
        <w:rPr>
          <w:kern w:val="0"/>
        </w:rPr>
        <w:t>. The</w:t>
      </w:r>
      <w:r>
        <w:rPr>
          <w:kern w:val="0"/>
        </w:rPr>
        <w:t>re was considerable heterogeneity with regard to citations received among the ten journals investigated. Conclusion: Non-English language general psychiatry journals contribute substantially to the body</w:t>
      </w:r>
      <w:r w:rsidR="00427468">
        <w:rPr>
          <w:kern w:val="0"/>
        </w:rPr>
        <w:t xml:space="preserve"> of </w:t>
      </w:r>
      <w:r>
        <w:rPr>
          <w:kern w:val="0"/>
        </w:rPr>
        <w:t>research. However, recognition,</w:t>
      </w:r>
      <w:r w:rsidR="005853A9">
        <w:rPr>
          <w:kern w:val="0"/>
        </w:rPr>
        <w:t xml:space="preserve"> and </w:t>
      </w:r>
      <w:r>
        <w:rPr>
          <w:kern w:val="0"/>
        </w:rPr>
        <w:t>in particular recognition by the international research community is moderate.</w:t>
      </w:r>
    </w:p>
    <w:p w:rsidR="00FC3407" w:rsidRDefault="00FC3407" w:rsidP="00FC3407">
      <w:pPr>
        <w:pStyle w:val="a3"/>
        <w:rPr>
          <w:kern w:val="0"/>
        </w:rPr>
      </w:pPr>
      <w:r>
        <w:rPr>
          <w:kern w:val="0"/>
        </w:rPr>
        <w:t xml:space="preserve">Keywords: Authors, Bibliometric Analysis, Bibliometric Analysis, Brazil, Citation, Citations, Cohort, Cohort Study, Community, France, General, Heterogeneity, International, Italy, Journals, Journals As Topic, Language, Languages, Local, Mar, Medicine, Methods, Observational, Observational Studies, Papers, Periodicals, Psychiatry, Purpose, Research, Results, Science, Scientific Production, Sources, Volume, </w:t>
      </w:r>
      <w:r w:rsidR="00D5664A">
        <w:rPr>
          <w:kern w:val="0"/>
        </w:rPr>
        <w:t>Web</w:t>
      </w:r>
      <w:r w:rsidR="00427468">
        <w:rPr>
          <w:kern w:val="0"/>
        </w:rPr>
        <w:t xml:space="preserve"> of </w:t>
      </w:r>
      <w:r w:rsidR="00D5664A">
        <w:rPr>
          <w:kern w:val="0"/>
        </w:rPr>
        <w:t>Science</w:t>
      </w:r>
    </w:p>
    <w:p w:rsidR="00A27C14" w:rsidRDefault="00A27C14" w:rsidP="00A27C14">
      <w:pPr>
        <w:pStyle w:val="a3"/>
        <w:rPr>
          <w:kern w:val="0"/>
        </w:rPr>
      </w:pPr>
      <w:r>
        <w:rPr>
          <w:rFonts w:hint="eastAsia"/>
          <w:kern w:val="0"/>
        </w:rPr>
        <w:t xml:space="preserve">? </w:t>
      </w:r>
      <w:r>
        <w:rPr>
          <w:kern w:val="0"/>
        </w:rPr>
        <w:t>Torres, U.S., Portela-Oliveira, E., Borgwardt, S.</w:t>
      </w:r>
      <w:r w:rsidR="005853A9">
        <w:rPr>
          <w:kern w:val="0"/>
        </w:rPr>
        <w:t xml:space="preserve"> and </w:t>
      </w:r>
      <w:r>
        <w:rPr>
          <w:kern w:val="0"/>
        </w:rPr>
        <w:t xml:space="preserve">Busatto, G.F. (2013), Structural brain changes associated with antipsychotic treatment in schizophrenia as revealed by voxel-based morphometric MRI: An activation likelihood estimation meta-analysis. </w:t>
      </w:r>
      <w:r>
        <w:rPr>
          <w:i/>
          <w:iCs/>
          <w:kern w:val="0"/>
        </w:rPr>
        <w:t>BMC Psychiatry</w:t>
      </w:r>
      <w:r>
        <w:rPr>
          <w:kern w:val="0"/>
        </w:rPr>
        <w:t xml:space="preserve">, </w:t>
      </w:r>
      <w:r>
        <w:rPr>
          <w:b/>
          <w:bCs/>
          <w:kern w:val="0"/>
        </w:rPr>
        <w:t>13</w:t>
      </w:r>
      <w:r>
        <w:rPr>
          <w:rFonts w:hint="eastAsia"/>
          <w:kern w:val="0"/>
        </w:rPr>
        <w:t xml:space="preserve">, </w:t>
      </w:r>
      <w:r w:rsidRPr="006939E5">
        <w:rPr>
          <w:kern w:val="0"/>
        </w:rPr>
        <w:t xml:space="preserve">Article Number: </w:t>
      </w:r>
      <w:r>
        <w:rPr>
          <w:rFonts w:hint="eastAsia"/>
          <w:kern w:val="0"/>
        </w:rPr>
        <w:t>34</w:t>
      </w:r>
      <w:r w:rsidRPr="006939E5">
        <w:rPr>
          <w:kern w:val="0"/>
        </w:rPr>
        <w:t>2</w:t>
      </w:r>
      <w:r>
        <w:rPr>
          <w:rFonts w:hint="eastAsia"/>
          <w:kern w:val="0"/>
        </w:rPr>
        <w:t>.</w:t>
      </w:r>
    </w:p>
    <w:p w:rsidR="00A27C14" w:rsidRDefault="00A27C14" w:rsidP="00A27C14">
      <w:pPr>
        <w:pStyle w:val="a3"/>
        <w:rPr>
          <w:kern w:val="0"/>
        </w:rPr>
      </w:pPr>
      <w:r>
        <w:rPr>
          <w:rFonts w:hint="eastAsia"/>
          <w:kern w:val="0"/>
        </w:rPr>
        <w:t xml:space="preserve">Full Text: </w:t>
      </w:r>
      <w:hyperlink r:id="rId1685" w:history="1">
        <w:r w:rsidRPr="00665457">
          <w:rPr>
            <w:rStyle w:val="a5"/>
            <w:kern w:val="0"/>
          </w:rPr>
          <w:t>2013\BMC Psy13, 342.pdf</w:t>
        </w:r>
      </w:hyperlink>
    </w:p>
    <w:p w:rsidR="00A27C14" w:rsidRDefault="00A27C14" w:rsidP="00A27C14">
      <w:pPr>
        <w:pStyle w:val="a3"/>
        <w:rPr>
          <w:kern w:val="0"/>
        </w:rPr>
      </w:pPr>
      <w:r>
        <w:rPr>
          <w:kern w:val="0"/>
        </w:rPr>
        <w:t>Abstract: Background: The results</w:t>
      </w:r>
      <w:r w:rsidR="00427468">
        <w:rPr>
          <w:kern w:val="0"/>
        </w:rPr>
        <w:t xml:space="preserve"> of </w:t>
      </w:r>
      <w:r>
        <w:rPr>
          <w:kern w:val="0"/>
        </w:rPr>
        <w:t>multiple studies on the association between antipsychotic use</w:t>
      </w:r>
      <w:r w:rsidR="005853A9">
        <w:rPr>
          <w:kern w:val="0"/>
        </w:rPr>
        <w:t xml:space="preserve"> and </w:t>
      </w:r>
      <w:r>
        <w:rPr>
          <w:kern w:val="0"/>
        </w:rPr>
        <w:t>structural brain changes in schizophrenia have been assessed only in qualitative literature reviews to date. We aimed to perform a meta-analysis</w:t>
      </w:r>
      <w:r w:rsidR="00427468">
        <w:rPr>
          <w:kern w:val="0"/>
        </w:rPr>
        <w:t xml:space="preserve"> of </w:t>
      </w:r>
      <w:r>
        <w:rPr>
          <w:kern w:val="0"/>
        </w:rPr>
        <w:t xml:space="preserve">voxel-based morphometry (VBM) studies on this association to quantitatively </w:t>
      </w:r>
      <w:r>
        <w:rPr>
          <w:kern w:val="0"/>
        </w:rPr>
        <w:lastRenderedPageBreak/>
        <w:t>synthesize the findings</w:t>
      </w:r>
      <w:r w:rsidR="00427468">
        <w:rPr>
          <w:kern w:val="0"/>
        </w:rPr>
        <w:t xml:space="preserve"> of </w:t>
      </w:r>
      <w:r>
        <w:rPr>
          <w:kern w:val="0"/>
        </w:rPr>
        <w:t>these studies. Methods: A systematic computerized literature search was carried out through MEDLINE/PubMed, EMBASE, ISI Web</w:t>
      </w:r>
      <w:r w:rsidR="00427468">
        <w:rPr>
          <w:kern w:val="0"/>
        </w:rPr>
        <w:t xml:space="preserve"> of </w:t>
      </w:r>
      <w:r>
        <w:rPr>
          <w:kern w:val="0"/>
        </w:rPr>
        <w:t>Science, SCOPUS</w:t>
      </w:r>
      <w:r w:rsidR="005853A9">
        <w:rPr>
          <w:kern w:val="0"/>
        </w:rPr>
        <w:t xml:space="preserve"> and </w:t>
      </w:r>
      <w:r>
        <w:rPr>
          <w:kern w:val="0"/>
        </w:rPr>
        <w:t>PsycINFO databases aiming to identify all VBM studies addressing this question</w:t>
      </w:r>
      <w:r w:rsidR="005853A9">
        <w:rPr>
          <w:kern w:val="0"/>
        </w:rPr>
        <w:t xml:space="preserve"> and </w:t>
      </w:r>
      <w:r>
        <w:rPr>
          <w:kern w:val="0"/>
        </w:rPr>
        <w:t>meeting predetermined inclusion criteria. All studies reporting coordinates representing foci</w:t>
      </w:r>
      <w:r w:rsidR="00427468">
        <w:rPr>
          <w:kern w:val="0"/>
        </w:rPr>
        <w:t xml:space="preserve"> of </w:t>
      </w:r>
      <w:r>
        <w:rPr>
          <w:kern w:val="0"/>
        </w:rPr>
        <w:t>structural brain changes associated with antipsychotic use were meta-analyzed by using the activation likelihood estimation technique, currently the most sophisticated</w:t>
      </w:r>
      <w:r w:rsidR="005853A9">
        <w:rPr>
          <w:kern w:val="0"/>
        </w:rPr>
        <w:t xml:space="preserve"> and </w:t>
      </w:r>
      <w:r>
        <w:rPr>
          <w:kern w:val="0"/>
        </w:rPr>
        <w:t>best-validated tool for voxel-wise meta-analysis</w:t>
      </w:r>
      <w:r w:rsidR="00427468">
        <w:rPr>
          <w:kern w:val="0"/>
        </w:rPr>
        <w:t xml:space="preserve"> of </w:t>
      </w:r>
      <w:r>
        <w:rPr>
          <w:kern w:val="0"/>
        </w:rPr>
        <w:t>neuroimaging studies. Results: Ten studies (five cross-sectional</w:t>
      </w:r>
      <w:r w:rsidR="005853A9">
        <w:rPr>
          <w:kern w:val="0"/>
        </w:rPr>
        <w:t xml:space="preserve"> and </w:t>
      </w:r>
      <w:r>
        <w:rPr>
          <w:kern w:val="0"/>
        </w:rPr>
        <w:t>five longitudinal) met the inclusion criteria</w:t>
      </w:r>
      <w:r w:rsidR="005853A9">
        <w:rPr>
          <w:kern w:val="0"/>
        </w:rPr>
        <w:t xml:space="preserve"> and </w:t>
      </w:r>
      <w:r>
        <w:rPr>
          <w:kern w:val="0"/>
        </w:rPr>
        <w:t>comprised a total</w:t>
      </w:r>
      <w:r w:rsidR="00427468">
        <w:rPr>
          <w:kern w:val="0"/>
        </w:rPr>
        <w:t xml:space="preserve"> of </w:t>
      </w:r>
      <w:r>
        <w:rPr>
          <w:kern w:val="0"/>
        </w:rPr>
        <w:t>548 individuals (298 patients on antipsychotic drugs</w:t>
      </w:r>
      <w:r w:rsidR="005853A9">
        <w:rPr>
          <w:kern w:val="0"/>
        </w:rPr>
        <w:t xml:space="preserve"> and </w:t>
      </w:r>
      <w:r>
        <w:rPr>
          <w:kern w:val="0"/>
        </w:rPr>
        <w:t>250 controls). Depending on the methodologies</w:t>
      </w:r>
      <w:r w:rsidR="00427468">
        <w:rPr>
          <w:kern w:val="0"/>
        </w:rPr>
        <w:t xml:space="preserve"> of </w:t>
      </w:r>
      <w:r>
        <w:rPr>
          <w:kern w:val="0"/>
        </w:rPr>
        <w:t>the selected studies, the control groups included healthy subjects, drug-free patients, or the same patients evaluated repeatedly in longitudinal comparisons (i.e., serving as their own controls). A total</w:t>
      </w:r>
      <w:r w:rsidR="00427468">
        <w:rPr>
          <w:kern w:val="0"/>
        </w:rPr>
        <w:t xml:space="preserve"> of </w:t>
      </w:r>
      <w:r>
        <w:rPr>
          <w:kern w:val="0"/>
        </w:rPr>
        <w:t>102 foci associated with structural alterations were retrieved</w:t>
      </w:r>
      <w:r w:rsidR="00A37C1D">
        <w:rPr>
          <w:kern w:val="0"/>
        </w:rPr>
        <w:t>. The</w:t>
      </w:r>
      <w:r>
        <w:rPr>
          <w:kern w:val="0"/>
        </w:rPr>
        <w:t xml:space="preserve"> meta-analysis revealed seven clusters</w:t>
      </w:r>
      <w:r w:rsidR="00427468">
        <w:rPr>
          <w:kern w:val="0"/>
        </w:rPr>
        <w:t xml:space="preserve"> of </w:t>
      </w:r>
      <w:r>
        <w:rPr>
          <w:kern w:val="0"/>
        </w:rPr>
        <w:t>areas with consistent structural brain changes in patients on antipsychotics compared to controls</w:t>
      </w:r>
      <w:r w:rsidR="00A37C1D">
        <w:rPr>
          <w:kern w:val="0"/>
        </w:rPr>
        <w:t>. The</w:t>
      </w:r>
      <w:r>
        <w:rPr>
          <w:kern w:val="0"/>
        </w:rPr>
        <w:t xml:space="preserve"> seven clusters included four areas</w:t>
      </w:r>
      <w:r w:rsidR="00427468">
        <w:rPr>
          <w:kern w:val="0"/>
        </w:rPr>
        <w:t xml:space="preserve"> of </w:t>
      </w:r>
      <w:r>
        <w:rPr>
          <w:kern w:val="0"/>
        </w:rPr>
        <w:t>relative volumetric decrease in the left lateral temporal cortex [Brodmann area (BA) 20], left inferior frontal gyrus (BA 44), superior frontal gyrus extending to the left middle frontal gyrus (BA 6),</w:t>
      </w:r>
      <w:r w:rsidR="005853A9">
        <w:rPr>
          <w:kern w:val="0"/>
        </w:rPr>
        <w:t xml:space="preserve"> and </w:t>
      </w:r>
      <w:r>
        <w:rPr>
          <w:kern w:val="0"/>
        </w:rPr>
        <w:t>right rectal gyrus (BA 11),</w:t>
      </w:r>
      <w:r w:rsidR="005853A9">
        <w:rPr>
          <w:kern w:val="0"/>
        </w:rPr>
        <w:t xml:space="preserve"> and </w:t>
      </w:r>
      <w:r>
        <w:rPr>
          <w:kern w:val="0"/>
        </w:rPr>
        <w:t>three areas</w:t>
      </w:r>
      <w:r w:rsidR="00427468">
        <w:rPr>
          <w:kern w:val="0"/>
        </w:rPr>
        <w:t xml:space="preserve"> of </w:t>
      </w:r>
      <w:r>
        <w:rPr>
          <w:kern w:val="0"/>
        </w:rPr>
        <w:t>relative volumetric increase in the left dorsal anterior cingulate cortex (BA 24), left ventral anterior cingulate cortex (BA 24)</w:t>
      </w:r>
      <w:r w:rsidR="005853A9">
        <w:rPr>
          <w:kern w:val="0"/>
        </w:rPr>
        <w:t xml:space="preserve"> and </w:t>
      </w:r>
      <w:r>
        <w:rPr>
          <w:kern w:val="0"/>
        </w:rPr>
        <w:t>right putamen. Conclusions: Our results identify the specific brain regions where possible associations between antipsychotic drug usage</w:t>
      </w:r>
      <w:r w:rsidR="005853A9">
        <w:rPr>
          <w:kern w:val="0"/>
        </w:rPr>
        <w:t xml:space="preserve"> and </w:t>
      </w:r>
      <w:r>
        <w:rPr>
          <w:kern w:val="0"/>
        </w:rPr>
        <w:t>structural brain changes in schizophrenia patients are more consistently reported. Additional longitudinal VBM studies including larger</w:t>
      </w:r>
      <w:r w:rsidR="005853A9">
        <w:rPr>
          <w:kern w:val="0"/>
        </w:rPr>
        <w:t xml:space="preserve"> and </w:t>
      </w:r>
      <w:r>
        <w:rPr>
          <w:kern w:val="0"/>
        </w:rPr>
        <w:t>more homogeneous samples</w:t>
      </w:r>
      <w:r w:rsidR="00427468">
        <w:rPr>
          <w:kern w:val="0"/>
        </w:rPr>
        <w:t xml:space="preserve"> of </w:t>
      </w:r>
      <w:r>
        <w:rPr>
          <w:kern w:val="0"/>
        </w:rPr>
        <w:t>schizophrenia patients may be needed to further disentangle such alterations from those possibly linked to the intrinsic pathological progressive process in schizophrenia.</w:t>
      </w:r>
    </w:p>
    <w:p w:rsidR="00A27C14" w:rsidRDefault="00A27C14" w:rsidP="00A27C14">
      <w:pPr>
        <w:pStyle w:val="a3"/>
        <w:rPr>
          <w:kern w:val="0"/>
        </w:rPr>
      </w:pPr>
      <w:r>
        <w:rPr>
          <w:kern w:val="0"/>
        </w:rPr>
        <w:t>Keywords: 1st Episode Schizophrenia, 1st-Episode Schizophrenia, Activation, Anterior Cingulate Gyrus, Antipsychotics, Association, Brain, Changes, Control, Control Groups, Criteria, Databases, Drug, Drugs, Embase, Gray-Matter Volume, Grey-Matter, Groups, Intrinsic, ISI, ISI Web</w:t>
      </w:r>
      <w:r w:rsidR="00427468">
        <w:rPr>
          <w:kern w:val="0"/>
        </w:rPr>
        <w:t xml:space="preserve"> of </w:t>
      </w:r>
      <w:r>
        <w:rPr>
          <w:kern w:val="0"/>
        </w:rPr>
        <w:t>Science, Literature, Literature Search, Longitudinal, Longitudinal Mri, Magnetic Resonance Imaging, Meta Analysis, Meta-Analysis, Metaanalysis, Methodologies, Methods, Morphometry, MRI, Naive Schizophrenia, Neuroimaging, Patients, Positron-Emission-Tomography, Psycinfo, Qualitative, Reporting, Results, Reviews, Right, Schizophrenia, Science, Scopus, Temporal, Treatment, Ventricular Enlargement, Voxel-Based Morphometry, Web</w:t>
      </w:r>
      <w:r w:rsidR="00427468">
        <w:rPr>
          <w:kern w:val="0"/>
        </w:rPr>
        <w:t xml:space="preserve"> of </w:t>
      </w:r>
      <w:r>
        <w:rPr>
          <w:kern w:val="0"/>
        </w:rPr>
        <w:t>Science, White-Matter</w:t>
      </w:r>
    </w:p>
    <w:p w:rsidR="00E34B0F" w:rsidRDefault="00E34B0F" w:rsidP="00E34B0F">
      <w:pPr>
        <w:pStyle w:val="a3"/>
        <w:rPr>
          <w:kern w:val="0"/>
        </w:rPr>
      </w:pPr>
      <w:r>
        <w:rPr>
          <w:kern w:val="0"/>
          <w:szCs w:val="24"/>
        </w:rPr>
        <w:t xml:space="preserve">? Su, L., Cai, Y.Y., Xu, Y.F., Dutt, A., Shi, S.X. and Bramon, E. (2014), Cerebral metabolism in major depressive disorder: A voxel-based meta-analysis of positron emission tomography studies. </w:t>
      </w:r>
      <w:r>
        <w:rPr>
          <w:i/>
          <w:iCs/>
          <w:kern w:val="0"/>
          <w:szCs w:val="24"/>
        </w:rPr>
        <w:t>BMC Psychiatry</w:t>
      </w:r>
      <w:r>
        <w:rPr>
          <w:kern w:val="0"/>
          <w:szCs w:val="24"/>
        </w:rPr>
        <w:t xml:space="preserve">, </w:t>
      </w:r>
      <w:r>
        <w:rPr>
          <w:b/>
          <w:bCs/>
          <w:kern w:val="0"/>
          <w:szCs w:val="24"/>
        </w:rPr>
        <w:t>14</w:t>
      </w:r>
      <w:r>
        <w:rPr>
          <w:kern w:val="0"/>
        </w:rPr>
        <w:t xml:space="preserve">, </w:t>
      </w:r>
      <w:r w:rsidRPr="006939E5">
        <w:rPr>
          <w:kern w:val="0"/>
        </w:rPr>
        <w:t xml:space="preserve">Article Number: </w:t>
      </w:r>
      <w:r>
        <w:rPr>
          <w:rFonts w:hint="eastAsia"/>
          <w:kern w:val="0"/>
        </w:rPr>
        <w:t>321</w:t>
      </w:r>
    </w:p>
    <w:p w:rsidR="00E34B0F" w:rsidRDefault="00E34B0F" w:rsidP="00E34B0F">
      <w:pPr>
        <w:pStyle w:val="a3"/>
        <w:rPr>
          <w:kern w:val="0"/>
        </w:rPr>
      </w:pPr>
      <w:r>
        <w:rPr>
          <w:kern w:val="0"/>
        </w:rPr>
        <w:lastRenderedPageBreak/>
        <w:t xml:space="preserve">Full Text: </w:t>
      </w:r>
      <w:hyperlink r:id="rId1686" w:history="1">
        <w:r w:rsidRPr="00F33C03">
          <w:rPr>
            <w:rStyle w:val="a5"/>
            <w:kern w:val="0"/>
          </w:rPr>
          <w:t>2014\BMC Psy14, 321.pdf</w:t>
        </w:r>
      </w:hyperlink>
    </w:p>
    <w:p w:rsidR="00E34B0F" w:rsidRDefault="00E34B0F" w:rsidP="00E34B0F">
      <w:pPr>
        <w:pStyle w:val="a3"/>
        <w:rPr>
          <w:kern w:val="0"/>
          <w:szCs w:val="24"/>
        </w:rPr>
      </w:pPr>
      <w:r>
        <w:rPr>
          <w:kern w:val="0"/>
          <w:szCs w:val="24"/>
        </w:rPr>
        <w:t>Abstract: Background: Major depressive disorder (MDD) is a common mental illness with high lifetime prevalence close to 20%. Positron emission tomography (PET) studies have reported decreased prefrontal, insular and limbic cerebral glucose metabolism in depressed patients compared with healthy controls. However, the literature has not always been consistent. To evaluate current evidence from PET studies, we conducted a voxel-based meta-analysis of cerebral metabolism in MDD. Method: Data were collected from databases including PubMed and Web of Science, with the last report up to April 2013. Voxel-based meta-analyses were performed using the revised activation likelihood estimation (ALE) software. Results: Ten whole-brain-based FDG-PET studies in MDD were included in the meta-analysis, comprising 188 MDD patients and 169 healthy controls. ALE analyses showed the brain metabolism in bilateral insula, left lentiform nucleus putamen and extra-nuclear, right caudate and cingulate gyrus were significantly decreased. However, the brain activity in right thalamus pulvinar and declive of posterior lobe, left culmen of vermis in anterior lobe were significantly increased in MDD patients. Conclusion: Our meta-analysis demonstrates the specific brain regions where possible dysfunctions are more consistently reported in MDD patients. Altered metabolism in insula, limbic system, basal ganglia, thalamus, and cerebellum and thus these regions are likely to play a key role in the pathophysiology of depression.</w:t>
      </w:r>
    </w:p>
    <w:p w:rsidR="00E34B0F" w:rsidRDefault="00E34B0F" w:rsidP="00E34B0F">
      <w:pPr>
        <w:pStyle w:val="a3"/>
        <w:rPr>
          <w:kern w:val="0"/>
          <w:szCs w:val="24"/>
        </w:rPr>
      </w:pPr>
      <w:r>
        <w:rPr>
          <w:kern w:val="0"/>
          <w:szCs w:val="24"/>
        </w:rPr>
        <w:t>Keywords: Abnormalities, Activation, Activation Likelihood Estimation, Activity, Ale Metaanalysis, Analyses, Bilateral, Blood-Flow, Brain, Cerebellum, Cerebral, Cingulate Gyrus, Data, Databases, Depression, Emission, Evidence, Fmri, From, Glucose, Literature, Major Depressive Disorder, Mental Illness, Meta Analysis, Meta-Analysis, Metaanalysis, Metabolism, Neural Activity, Nov, Pathophysiology, Patients, Pet, Positron Emission Tomography, Prevalence, Psychiatric-Disorders, Psychotherapy, Pubmed, Results, Right, Role, Science, Software, Web, Web Of Science, Working-Memory</w:t>
      </w:r>
    </w:p>
    <w:p w:rsidR="007A52CA" w:rsidRDefault="007A52CA" w:rsidP="007A52CA">
      <w:pPr>
        <w:pStyle w:val="a3"/>
      </w:pPr>
      <w:r>
        <w:rPr>
          <w:rFonts w:hint="eastAsia"/>
          <w:kern w:val="0"/>
        </w:rPr>
        <w:t xml:space="preserve">? </w:t>
      </w:r>
      <w:r>
        <w:rPr>
          <w:kern w:val="0"/>
        </w:rPr>
        <w:t xml:space="preserve">Zhou, X.Y., Michael, K.D., Liu, Y.Y., Del Giovane, C., Qin, B., Cohen, D., Gentile, S. and Xie, P. (2014), Systematic review of management for treatment-resistant depression in adolescents. </w:t>
      </w:r>
      <w:r>
        <w:rPr>
          <w:i/>
          <w:iCs/>
          <w:kern w:val="0"/>
        </w:rPr>
        <w:t>BMC Psychiatry</w:t>
      </w:r>
      <w:r>
        <w:rPr>
          <w:kern w:val="0"/>
        </w:rPr>
        <w:t xml:space="preserve">, </w:t>
      </w:r>
      <w:r>
        <w:rPr>
          <w:b/>
          <w:bCs/>
          <w:kern w:val="0"/>
        </w:rPr>
        <w:t>14</w:t>
      </w:r>
      <w:r>
        <w:rPr>
          <w:rFonts w:hint="eastAsia"/>
          <w:kern w:val="0"/>
        </w:rPr>
        <w:t>, Article Number: 340.</w:t>
      </w:r>
    </w:p>
    <w:p w:rsidR="007A52CA" w:rsidRDefault="007A52CA" w:rsidP="007A52CA">
      <w:pPr>
        <w:pStyle w:val="a3"/>
        <w:rPr>
          <w:kern w:val="0"/>
        </w:rPr>
      </w:pPr>
      <w:r>
        <w:rPr>
          <w:rFonts w:hint="eastAsia"/>
        </w:rPr>
        <w:t xml:space="preserve">Full Text: </w:t>
      </w:r>
      <w:hyperlink r:id="rId1687" w:history="1">
        <w:r w:rsidRPr="005B4301">
          <w:rPr>
            <w:rStyle w:val="a5"/>
          </w:rPr>
          <w:t>2014\BMC Psy14, 340.pdf</w:t>
        </w:r>
      </w:hyperlink>
    </w:p>
    <w:p w:rsidR="007A52CA" w:rsidRDefault="007A52CA" w:rsidP="007A52CA">
      <w:pPr>
        <w:pStyle w:val="a3"/>
        <w:rPr>
          <w:kern w:val="0"/>
        </w:rPr>
      </w:pPr>
      <w:r>
        <w:rPr>
          <w:kern w:val="0"/>
        </w:rPr>
        <w:t xml:space="preserve">Abstract: Background: Current guidelines for treatment-resistant depression in adolescents remain inadequate. This study aimed to systematically review the management of treatment-resistant depression in adolescent patients. Methods: We conducted an electronic database search of PUBMED, EMBASE, Cochrane, Web of Science and PsycINFO for studies with adolescent treatment-resistant depression published up to January 2014. Treatment-resistant depression was defined as failure to respond to at least one course of psychological or pharmacological treatment for </w:t>
      </w:r>
      <w:r>
        <w:rPr>
          <w:kern w:val="0"/>
        </w:rPr>
        <w:lastRenderedPageBreak/>
        <w:t>depression with an adequate dosage, duration, and appropriate compliance during the current illness episode. The Cochrane risk-of-bias method was used to assess the quality of randomized controlled trials. A meta-analysis of all active treatments was conducted. Results: Eight studies with 411 depressed adolescents that fit predetermined criteria investigated pharmacological treatments and psychotherapies. Six were open-label studies, and two were randomized controlled trials. The overall response rate for all active treatments investigated was 46% (95% CI 33 to 59; N = 411) with a moderately high degree of heterogeneity (I-2 = 76.1%, 95% CI = 47%-86%). When only the two randomized trials were included, the overall response rate of active treatment was 53% (95% CI = 38-67; N = 347). In these randomized trials, SSRI therapy plus CBT was significantly more effective than SSRI therapy alone, while amitriptyline was not more effective than placebo. Conclusions: Approximately half of the adolescents who presented with treatment-refractory depression responded to active treatment, which suggests that practitioners should remain persistent in managing these challenging cases. The combination of antidepressant medication and psychotherapy should be recommended for adolescents who present with treatment-resistant depression.</w:t>
      </w:r>
    </w:p>
    <w:p w:rsidR="007A52CA" w:rsidRDefault="007A52CA" w:rsidP="007A52CA">
      <w:pPr>
        <w:pStyle w:val="a3"/>
        <w:rPr>
          <w:kern w:val="0"/>
        </w:rPr>
      </w:pPr>
      <w:r>
        <w:rPr>
          <w:kern w:val="0"/>
        </w:rPr>
        <w:t>Keywords: Active, Adolescent, Adolescents, Adult-Onset Depression, Antidepressant, Augmentation, Care Glad-Pc, Cbt, Childhood-Onset, Compliance, Course, Criteria, Database, Depression, Disorder, Duration, Embase, Failure, Guidelines, Heterogeneity, Juvenile-Onset, Major Depression, Management, Meta Analysis, Meta-Analysis, Metaanalysis, Methods, N, Nov, Patients, Placebo, Psychological, Psychotherapy, Psycinfo, Quality, Quality Of, Randomized, Randomized Controlled Trials, Randomized Controlled-Trial, Rating-Scale, Response, Results, Review, Science, Ssri, Systematic, Systematic Review, Therapy, Treatment, Treatment Resistant Depression, Treatment-Resistant Depression, Web, Web Of Science</w:t>
      </w:r>
    </w:p>
    <w:p w:rsidR="005433A3" w:rsidRDefault="005433A3" w:rsidP="005433A3">
      <w:pPr>
        <w:pStyle w:val="a3"/>
      </w:pPr>
      <w:r>
        <w:rPr>
          <w:rFonts w:hint="eastAsia"/>
          <w:kern w:val="0"/>
        </w:rPr>
        <w:t xml:space="preserve">? </w:t>
      </w:r>
      <w:r>
        <w:rPr>
          <w:kern w:val="0"/>
        </w:rPr>
        <w:t xml:space="preserve">Igoumenou, A., Ebmeier, K., Roberts, N. and Fazel, S. (2014), Geographic trends of scientific output and citation practices in psychiatry. </w:t>
      </w:r>
      <w:r>
        <w:rPr>
          <w:i/>
          <w:iCs/>
          <w:kern w:val="0"/>
        </w:rPr>
        <w:t>BMC Psychiatry</w:t>
      </w:r>
      <w:r>
        <w:rPr>
          <w:kern w:val="0"/>
        </w:rPr>
        <w:t xml:space="preserve">, </w:t>
      </w:r>
      <w:r>
        <w:rPr>
          <w:b/>
          <w:bCs/>
          <w:kern w:val="0"/>
        </w:rPr>
        <w:t>14</w:t>
      </w:r>
      <w:r>
        <w:rPr>
          <w:rFonts w:hint="eastAsia"/>
          <w:kern w:val="0"/>
        </w:rPr>
        <w:t>, Article Number: 332.</w:t>
      </w:r>
    </w:p>
    <w:p w:rsidR="005433A3" w:rsidRDefault="005433A3" w:rsidP="005433A3">
      <w:pPr>
        <w:pStyle w:val="a3"/>
        <w:rPr>
          <w:kern w:val="0"/>
        </w:rPr>
      </w:pPr>
      <w:r>
        <w:rPr>
          <w:rFonts w:hint="eastAsia"/>
        </w:rPr>
        <w:t xml:space="preserve">Full Text: </w:t>
      </w:r>
      <w:hyperlink r:id="rId1688" w:history="1">
        <w:r w:rsidRPr="00E02CF5">
          <w:rPr>
            <w:rStyle w:val="a5"/>
          </w:rPr>
          <w:t>2014\BMC Psy14, 332.pdf</w:t>
        </w:r>
      </w:hyperlink>
    </w:p>
    <w:p w:rsidR="005433A3" w:rsidRDefault="005433A3" w:rsidP="005433A3">
      <w:pPr>
        <w:pStyle w:val="a3"/>
        <w:rPr>
          <w:kern w:val="0"/>
        </w:rPr>
      </w:pPr>
      <w:r>
        <w:rPr>
          <w:kern w:val="0"/>
        </w:rPr>
        <w:t xml:space="preserve">Abstract: Background: Measures of research productivity are increasingly used to determine how research should be evaluated and funding decisions made. In psychiatry, citation patterns within and between countries are not known, and whether these differ by choice of citation metric. Method: In this study, we examined publication characteristics and citation practices in articles published in 50 Web of Science indexed psychiatric and relevant clinical neurosciences journals, between January 2004 and December 2009 comprising 51,072 records that produced 375,962 citations. We compared citation patterns, including self-citations, between countries using standard x(2) tests. Results: We found that most publications came from the </w:t>
      </w:r>
      <w:r>
        <w:rPr>
          <w:kern w:val="0"/>
        </w:rPr>
        <w:lastRenderedPageBreak/>
        <w:t>USA, with Germany being second and UK third in productivity. USA articles received most citations and the highest citation rate with an average 11.5 citations per article. The UK received the second highest absolute number of citations, but came fourth by citation rate (9.7 citations/article), after the Netherlands (11.4 citations/article) and Canada (9.8 citations/article). Within the USA, Harvard University published most articles and these articles were the most cited, on average 20.0 citations per paper. In Europe, UK institutions published and were cited most often. The Institute of Psychiatry/Kings College London was the leading institution in terms of number of published records and overall citations, while Oxford University had the highest citation rate (18.5 citations/record). There were no differences between the self-citation practices of American and European researchers. Articles that examined some aspect of treatment in psychiatry were the most published. In terms of diagnosis, papers about schizophrenia-spectrum disorders were the most published and the most cited. Conclusions: We found large differences between and within countries in terms of their research productivity in psychiatry and clinical neuroscience. In addition, the ranking of countries and institutions differed widely by whether productivity was assessed by total research records published, overall citations these received, or citations per paper. The choice of measures of scientific output could be important in determining how research output translates into decisions about resource allocation.</w:t>
      </w:r>
    </w:p>
    <w:p w:rsidR="005433A3" w:rsidRDefault="005433A3" w:rsidP="005433A3">
      <w:pPr>
        <w:pStyle w:val="a3"/>
        <w:rPr>
          <w:kern w:val="0"/>
        </w:rPr>
      </w:pPr>
      <w:r>
        <w:rPr>
          <w:kern w:val="0"/>
        </w:rPr>
        <w:t>Keywords: Allocation, Article, Articles, Bibliometric Analysis, Canada, Characteristics, Choice, Citation, Citation Metric, Citation Patterns, Citation Practices, Citations, Clinical, Diagnosis, Europe, Field, From, Funding, Germany, Google-Scholar, Harvard University, Impact, Index, Institutions, Journals, Measures, Mental-Health Research, Most Cited, Neuroscience, Neurosciences, Oxford University, Papers, Practices, Productivity, Psychiatry, Publication, Publications, Ranking, Records, Research, Research Output, Research Productivity, Researchers, Resource Allocation, Results, Schizophrenia Spectrum Disorders, Science, Scientific Output, Scopus, Self-Citation, Self-Citations, Standard, The Netherlands, Treatment, Trends, UK, University, USA, Web, Web Of Science</w:t>
      </w:r>
    </w:p>
    <w:p w:rsidR="00163034" w:rsidRDefault="00163034" w:rsidP="00163034">
      <w:pPr>
        <w:pStyle w:val="a3"/>
      </w:pPr>
      <w:r>
        <w:rPr>
          <w:rFonts w:hint="eastAsia"/>
          <w:kern w:val="0"/>
        </w:rPr>
        <w:t xml:space="preserve">? </w:t>
      </w:r>
      <w:r>
        <w:rPr>
          <w:kern w:val="0"/>
        </w:rPr>
        <w:t xml:space="preserve">Baller, J.B., McGinty, E.E., Azrin, S.T., Juliano-Bult, D. and Daumit, G.L. (2015), Screening for cardiovascular risk factors in adults with serious mental illness: A review of the evidence. </w:t>
      </w:r>
      <w:r>
        <w:rPr>
          <w:i/>
          <w:iCs/>
          <w:kern w:val="0"/>
        </w:rPr>
        <w:t>BMC Psychiatry</w:t>
      </w:r>
      <w:r>
        <w:rPr>
          <w:kern w:val="0"/>
        </w:rPr>
        <w:t xml:space="preserve">, </w:t>
      </w:r>
      <w:r>
        <w:rPr>
          <w:b/>
          <w:bCs/>
          <w:kern w:val="0"/>
        </w:rPr>
        <w:t>1</w:t>
      </w:r>
      <w:r>
        <w:rPr>
          <w:rFonts w:hint="eastAsia"/>
          <w:b/>
          <w:bCs/>
          <w:kern w:val="0"/>
        </w:rPr>
        <w:t>5</w:t>
      </w:r>
      <w:r>
        <w:rPr>
          <w:rFonts w:hint="eastAsia"/>
          <w:kern w:val="0"/>
        </w:rPr>
        <w:t>, Article Number: 55.</w:t>
      </w:r>
    </w:p>
    <w:p w:rsidR="00163034" w:rsidRDefault="00163034" w:rsidP="00163034">
      <w:pPr>
        <w:pStyle w:val="a3"/>
        <w:rPr>
          <w:kern w:val="0"/>
        </w:rPr>
      </w:pPr>
      <w:r>
        <w:rPr>
          <w:rFonts w:hint="eastAsia"/>
        </w:rPr>
        <w:t xml:space="preserve">Full Text: </w:t>
      </w:r>
      <w:hyperlink r:id="rId1689" w:history="1">
        <w:r w:rsidRPr="00043235">
          <w:rPr>
            <w:rStyle w:val="a5"/>
          </w:rPr>
          <w:t>2015\BMC Psy15, 55.pdf</w:t>
        </w:r>
      </w:hyperlink>
    </w:p>
    <w:p w:rsidR="00163034" w:rsidRDefault="00163034" w:rsidP="00163034">
      <w:pPr>
        <w:pStyle w:val="a3"/>
        <w:rPr>
          <w:kern w:val="0"/>
        </w:rPr>
      </w:pPr>
      <w:r>
        <w:rPr>
          <w:kern w:val="0"/>
        </w:rPr>
        <w:t xml:space="preserve">Abstract: Background: Adults with serious mental illness have a mortality rate two to three times higher than the overall US population, much of which is due to somatic conditions, especially cardiovascular disease. Given the disproportionately high prevalence of cardiovascular risk factors in the population with SMI, screening for these conditions is an important first step for timely diagnosis and appropriate </w:t>
      </w:r>
      <w:r>
        <w:rPr>
          <w:kern w:val="0"/>
        </w:rPr>
        <w:lastRenderedPageBreak/>
        <w:t>treatment. This comprehensive literature review summarizes screening rates for cardiovascular risk factors in the population with serious mental illness. Methods: Relevant articles published between 2000 and 2013 were identified using the EMBASE, PsychInfo, PubMed, SCOPUS and Web of Science databases. We reviewed 10 studies measuring screening rates for obesity, diabetes, dyslipidemia, and hypertension in the population with serious mental illness. Two reviewers independently extracted information on screening rates, study population, and study setting. Results: Rates of screening varied considerably by time period, study population, and data source for all medical conditions. For example, rates of lipid testing for antipsychotic users ranged from 6% to 85%. For some conditions, rates of screening were consistently high. For example, screening rates for hypertension ranged from 79% - 88%. Conclusions: There is considerable variation in screening of cardiovascular risk factors in the population with serious mental illness, with significant need for improvement in some study populations and settings. Implementation of standard screening protocols triggered by diagnosis of serious mental illness or antipsychotic use may be promising avenues for ensuring timely diagnosis and treatment of cardiovascular risk factors in this population.</w:t>
      </w:r>
    </w:p>
    <w:p w:rsidR="00163034" w:rsidRDefault="00163034" w:rsidP="00163034">
      <w:pPr>
        <w:pStyle w:val="a3"/>
        <w:rPr>
          <w:kern w:val="0"/>
        </w:rPr>
      </w:pPr>
      <w:r>
        <w:rPr>
          <w:kern w:val="0"/>
        </w:rPr>
        <w:t>Keywords: 2nd-Generation Antipsychotic-Drugs, Adults, Antipsychotic, Articles, Cardiovascular, Cardiovascular Disease, Cardiovascular Risk, Community Psychiatric-Services, Data, Databases, Decision-Support-Systems, Diabetes, Diagnosis, Disease, Embase, Evidence, Factors, First, From, Health-Care, Hypertension, Implementation, Improvement, Information, Lipid, Literature, Literature Review, Mar, Medical, Medical-Care, Mental Illness, Metabolic Syndrome, Methods, Mortality, Mortality Rate, Obesity, Population, Populations, Prevalence, Protocols, Pubmed, Quality-Of-Care, Rates, Results, Review, Reviewers, Risk, Risk Factors, Schizophrenia, Science, Scopus, Screening, Serious Mental Illness, Source, Standard, Testing, Time Period, Treatment, United-States, Us, Web, Web Of Science, Web Of Science Databases</w:t>
      </w:r>
    </w:p>
    <w:p w:rsidR="003474F2" w:rsidRPr="001A3D2B" w:rsidRDefault="003474F2" w:rsidP="003474F2">
      <w:pPr>
        <w:pStyle w:val="1"/>
      </w:pPr>
      <w:r w:rsidRPr="001A3D2B">
        <w:br w:type="page"/>
      </w:r>
      <w:bookmarkStart w:id="858" w:name="_Toc420814775"/>
      <w:r w:rsidRPr="001A3D2B">
        <w:lastRenderedPageBreak/>
        <w:t>Title: BMC Public Health</w:t>
      </w:r>
      <w:bookmarkEnd w:id="858"/>
    </w:p>
    <w:p w:rsidR="003474F2" w:rsidRPr="001A3D2B" w:rsidRDefault="003474F2" w:rsidP="003474F2">
      <w:pPr>
        <w:pStyle w:val="12"/>
      </w:pPr>
      <w:r w:rsidRPr="001A3D2B">
        <w:t xml:space="preserve">Full Journal Title: </w:t>
      </w:r>
      <w:hyperlink r:id="rId1690" w:history="1">
        <w:r w:rsidRPr="001A3D2B">
          <w:rPr>
            <w:rStyle w:val="a5"/>
            <w:szCs w:val="19"/>
          </w:rPr>
          <w:t xml:space="preserve">BMC </w:t>
        </w:r>
        <w:r w:rsidRPr="001A3D2B">
          <w:rPr>
            <w:rStyle w:val="a5"/>
          </w:rPr>
          <w:t>Public Health</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1471-2458</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A91285" w:rsidRPr="00FC7835" w:rsidRDefault="00A91285" w:rsidP="00A91285">
      <w:pPr>
        <w:pStyle w:val="a3"/>
      </w:pPr>
      <w:r w:rsidRPr="00FC7835">
        <w:rPr>
          <w:kern w:val="0"/>
          <w:szCs w:val="30"/>
        </w:rPr>
        <w:t>?</w:t>
      </w:r>
      <w:r w:rsidRPr="00FC7835">
        <w:rPr>
          <w:szCs w:val="24"/>
        </w:rPr>
        <w:t xml:space="preserve"> L</w:t>
      </w:r>
      <w:r>
        <w:rPr>
          <w:szCs w:val="24"/>
        </w:rPr>
        <w:t>ó</w:t>
      </w:r>
      <w:r w:rsidRPr="00FC7835">
        <w:rPr>
          <w:szCs w:val="24"/>
        </w:rPr>
        <w:t>pez-Abente</w:t>
      </w:r>
      <w:r>
        <w:rPr>
          <w:szCs w:val="24"/>
        </w:rPr>
        <w:t>, G.</w:t>
      </w:r>
      <w:r w:rsidR="005853A9">
        <w:rPr>
          <w:szCs w:val="24"/>
        </w:rPr>
        <w:t xml:space="preserve"> and </w:t>
      </w:r>
      <w:r>
        <w:rPr>
          <w:szCs w:val="24"/>
        </w:rPr>
        <w:t>Muñ</w:t>
      </w:r>
      <w:r w:rsidRPr="00FC7835">
        <w:rPr>
          <w:szCs w:val="24"/>
        </w:rPr>
        <w:t>oz-Tinoco</w:t>
      </w:r>
      <w:r>
        <w:rPr>
          <w:szCs w:val="24"/>
        </w:rPr>
        <w:t xml:space="preserve">, </w:t>
      </w:r>
      <w:r w:rsidRPr="00FC7835">
        <w:rPr>
          <w:szCs w:val="24"/>
        </w:rPr>
        <w:t>C.</w:t>
      </w:r>
      <w:r w:rsidRPr="00FC7835">
        <w:t xml:space="preserve"> (2005)</w:t>
      </w:r>
      <w:r>
        <w:t xml:space="preserve">, </w:t>
      </w:r>
      <w:r w:rsidRPr="00FC7835">
        <w:rPr>
          <w:szCs w:val="24"/>
        </w:rPr>
        <w:t>Time trends in</w:t>
      </w:r>
      <w:r w:rsidR="003A1917">
        <w:rPr>
          <w:szCs w:val="24"/>
        </w:rPr>
        <w:t xml:space="preserve"> the </w:t>
      </w:r>
      <w:r w:rsidRPr="00FC7835">
        <w:rPr>
          <w:szCs w:val="24"/>
        </w:rPr>
        <w:t>impact factor</w:t>
      </w:r>
      <w:r w:rsidR="00427468">
        <w:rPr>
          <w:szCs w:val="24"/>
        </w:rPr>
        <w:t xml:space="preserve"> of </w:t>
      </w:r>
      <w:r w:rsidRPr="00FC7835">
        <w:rPr>
          <w:szCs w:val="24"/>
        </w:rPr>
        <w:t>Public Health journals</w:t>
      </w:r>
      <w:r w:rsidRPr="00FC7835">
        <w:t xml:space="preserve">. </w:t>
      </w:r>
      <w:r w:rsidRPr="00FC7835">
        <w:rPr>
          <w:i/>
          <w:szCs w:val="24"/>
        </w:rPr>
        <w:t>BMC Public Health</w:t>
      </w:r>
      <w:r>
        <w:t xml:space="preserve">, </w:t>
      </w:r>
      <w:r w:rsidRPr="00FC7835">
        <w:rPr>
          <w:b/>
          <w:bCs/>
        </w:rPr>
        <w:t>5</w:t>
      </w:r>
      <w:r>
        <w:rPr>
          <w:rFonts w:hint="eastAsia"/>
          <w:kern w:val="0"/>
          <w:szCs w:val="24"/>
        </w:rPr>
        <w:t>,</w:t>
      </w:r>
      <w:r w:rsidRPr="00871A82">
        <w:t xml:space="preserve"> </w:t>
      </w:r>
      <w:r>
        <w:rPr>
          <w:kern w:val="0"/>
          <w:szCs w:val="24"/>
        </w:rPr>
        <w:t xml:space="preserve">Article Number: </w:t>
      </w:r>
      <w:r>
        <w:rPr>
          <w:rFonts w:hint="eastAsia"/>
          <w:kern w:val="0"/>
          <w:szCs w:val="24"/>
        </w:rPr>
        <w:t>24</w:t>
      </w:r>
      <w:r w:rsidRPr="00FC7835">
        <w:t>.</w:t>
      </w:r>
    </w:p>
    <w:p w:rsidR="00A91285" w:rsidRPr="00FC7835" w:rsidRDefault="00A91285" w:rsidP="00A91285">
      <w:pPr>
        <w:pStyle w:val="a3"/>
      </w:pPr>
      <w:r>
        <w:t>Full Text:</w:t>
      </w:r>
      <w:r w:rsidRPr="00FC7835">
        <w:t xml:space="preserve"> </w:t>
      </w:r>
      <w:hyperlink r:id="rId1691" w:history="1">
        <w:r w:rsidRPr="00FC7835">
          <w:rPr>
            <w:rStyle w:val="a5"/>
          </w:rPr>
          <w:t>2005\BMC Pub Hea5</w:t>
        </w:r>
        <w:r>
          <w:rPr>
            <w:rStyle w:val="a5"/>
          </w:rPr>
          <w:t xml:space="preserve">, </w:t>
        </w:r>
        <w:r w:rsidRPr="00FC7835">
          <w:rPr>
            <w:rStyle w:val="a5"/>
          </w:rPr>
          <w:t>24.pdf</w:t>
        </w:r>
      </w:hyperlink>
    </w:p>
    <w:p w:rsidR="00A91285" w:rsidRPr="00FC7835" w:rsidRDefault="00A91285" w:rsidP="00A91285">
      <w:pPr>
        <w:pStyle w:val="a3"/>
        <w:rPr>
          <w:szCs w:val="24"/>
        </w:rPr>
      </w:pPr>
      <w:r w:rsidRPr="00FC7835">
        <w:rPr>
          <w:szCs w:val="24"/>
        </w:rPr>
        <w:t>Abstract: Background: Journal impact factor (IF) is linked to</w:t>
      </w:r>
      <w:r w:rsidR="003A1917">
        <w:rPr>
          <w:szCs w:val="24"/>
        </w:rPr>
        <w:t xml:space="preserve"> the </w:t>
      </w:r>
      <w:r w:rsidRPr="00FC7835">
        <w:rPr>
          <w:szCs w:val="24"/>
        </w:rPr>
        <w:t>probability</w:t>
      </w:r>
      <w:r w:rsidR="00427468">
        <w:rPr>
          <w:szCs w:val="24"/>
        </w:rPr>
        <w:t xml:space="preserve"> of </w:t>
      </w:r>
      <w:r w:rsidRPr="00FC7835">
        <w:rPr>
          <w:szCs w:val="24"/>
        </w:rPr>
        <w:t>a paper being cited</w:t>
      </w:r>
      <w:r w:rsidR="005853A9">
        <w:rPr>
          <w:szCs w:val="24"/>
        </w:rPr>
        <w:t xml:space="preserve"> and </w:t>
      </w:r>
      <w:r w:rsidRPr="00FC7835">
        <w:rPr>
          <w:szCs w:val="24"/>
        </w:rPr>
        <w:t>is progressively becoming incorporated into researchers</w:t>
      </w:r>
      <w:r w:rsidR="00700038">
        <w:rPr>
          <w:szCs w:val="24"/>
        </w:rPr>
        <w:t>’</w:t>
      </w:r>
      <w:r w:rsidRPr="00FC7835">
        <w:rPr>
          <w:szCs w:val="24"/>
        </w:rPr>
        <w:t xml:space="preserve"> curricula vitae. Furthermore</w:t>
      </w:r>
      <w:r>
        <w:rPr>
          <w:szCs w:val="24"/>
        </w:rPr>
        <w:t>,</w:t>
      </w:r>
      <w:r w:rsidR="003A1917">
        <w:rPr>
          <w:szCs w:val="24"/>
        </w:rPr>
        <w:t xml:space="preserve"> the </w:t>
      </w:r>
      <w:r w:rsidRPr="00FC7835">
        <w:rPr>
          <w:szCs w:val="24"/>
        </w:rPr>
        <w:t>decision as to which journal a given study should be submitted</w:t>
      </w:r>
      <w:r>
        <w:rPr>
          <w:szCs w:val="24"/>
        </w:rPr>
        <w:t xml:space="preserve">, </w:t>
      </w:r>
      <w:r w:rsidRPr="00FC7835">
        <w:rPr>
          <w:szCs w:val="24"/>
        </w:rPr>
        <w:t>may well be based on</w:t>
      </w:r>
      <w:r w:rsidR="003A1917">
        <w:rPr>
          <w:szCs w:val="24"/>
        </w:rPr>
        <w:t xml:space="preserve"> the </w:t>
      </w:r>
      <w:r w:rsidRPr="00FC7835">
        <w:rPr>
          <w:szCs w:val="24"/>
        </w:rPr>
        <w:t>trend in</w:t>
      </w:r>
      <w:r w:rsidR="003A1917">
        <w:rPr>
          <w:szCs w:val="24"/>
        </w:rPr>
        <w:t xml:space="preserve"> the </w:t>
      </w:r>
      <w:r w:rsidRPr="00FC7835">
        <w:rPr>
          <w:szCs w:val="24"/>
        </w:rPr>
        <w:t>journal</w:t>
      </w:r>
      <w:r w:rsidR="00700038">
        <w:rPr>
          <w:szCs w:val="24"/>
        </w:rPr>
        <w:t>’</w:t>
      </w:r>
      <w:r w:rsidR="00C13DDC">
        <w:rPr>
          <w:szCs w:val="24"/>
        </w:rPr>
        <w:t>s</w:t>
      </w:r>
      <w:r w:rsidRPr="00FC7835">
        <w:rPr>
          <w:szCs w:val="24"/>
        </w:rPr>
        <w:t xml:space="preserve"> overall quality. This study sought to assess time trends in journal IF in</w:t>
      </w:r>
      <w:r w:rsidR="003A1917">
        <w:rPr>
          <w:szCs w:val="24"/>
        </w:rPr>
        <w:t xml:space="preserve"> the </w:t>
      </w:r>
      <w:r w:rsidRPr="00FC7835">
        <w:rPr>
          <w:szCs w:val="24"/>
        </w:rPr>
        <w:t>field</w:t>
      </w:r>
      <w:r w:rsidR="00427468">
        <w:rPr>
          <w:szCs w:val="24"/>
        </w:rPr>
        <w:t xml:space="preserve"> of </w:t>
      </w:r>
      <w:r w:rsidRPr="00FC7835">
        <w:rPr>
          <w:szCs w:val="24"/>
        </w:rPr>
        <w:t>public</w:t>
      </w:r>
      <w:r>
        <w:rPr>
          <w:szCs w:val="24"/>
        </w:rPr>
        <w:t xml:space="preserve">, </w:t>
      </w:r>
      <w:r w:rsidRPr="00FC7835">
        <w:rPr>
          <w:szCs w:val="24"/>
        </w:rPr>
        <w:t>environmental</w:t>
      </w:r>
      <w:r w:rsidR="005853A9">
        <w:rPr>
          <w:szCs w:val="24"/>
        </w:rPr>
        <w:t xml:space="preserve"> and </w:t>
      </w:r>
      <w:r w:rsidRPr="00FC7835">
        <w:rPr>
          <w:szCs w:val="24"/>
        </w:rPr>
        <w:t>occupational health.</w:t>
      </w:r>
    </w:p>
    <w:p w:rsidR="00A91285" w:rsidRPr="00FC7835" w:rsidRDefault="00A91285" w:rsidP="00A91285">
      <w:pPr>
        <w:pStyle w:val="a3"/>
        <w:rPr>
          <w:szCs w:val="24"/>
        </w:rPr>
      </w:pPr>
      <w:r w:rsidRPr="00FC7835">
        <w:rPr>
          <w:szCs w:val="24"/>
        </w:rPr>
        <w:t>Methods: We used</w:t>
      </w:r>
      <w:r w:rsidR="003A1917">
        <w:rPr>
          <w:szCs w:val="24"/>
        </w:rPr>
        <w:t xml:space="preserve"> the </w:t>
      </w:r>
      <w:r w:rsidRPr="00FC7835">
        <w:rPr>
          <w:szCs w:val="24"/>
        </w:rPr>
        <w:t>IFs</w:t>
      </w:r>
      <w:r w:rsidR="00427468">
        <w:rPr>
          <w:szCs w:val="24"/>
        </w:rPr>
        <w:t xml:space="preserve"> of </w:t>
      </w:r>
      <w:r w:rsidRPr="00FC7835">
        <w:rPr>
          <w:szCs w:val="24"/>
        </w:rPr>
        <w:t>80 public health journals that were registered by</w:t>
      </w:r>
      <w:r w:rsidR="003A1917">
        <w:rPr>
          <w:szCs w:val="24"/>
        </w:rPr>
        <w:t xml:space="preserve"> the </w:t>
      </w:r>
      <w:r w:rsidRPr="00FC7835">
        <w:rPr>
          <w:szCs w:val="24"/>
        </w:rPr>
        <w:t>Science Citation Index from 1992 through 2003</w:t>
      </w:r>
      <w:r w:rsidR="005853A9">
        <w:rPr>
          <w:szCs w:val="24"/>
        </w:rPr>
        <w:t xml:space="preserve"> and </w:t>
      </w:r>
      <w:r w:rsidRPr="00FC7835">
        <w:rPr>
          <w:szCs w:val="24"/>
        </w:rPr>
        <w:t>had been listed for a minimum period</w:t>
      </w:r>
      <w:r w:rsidR="00427468">
        <w:rPr>
          <w:szCs w:val="24"/>
        </w:rPr>
        <w:t xml:space="preserve"> of </w:t>
      </w:r>
      <w:r w:rsidR="003A1917">
        <w:rPr>
          <w:szCs w:val="24"/>
        </w:rPr>
        <w:t xml:space="preserve">the </w:t>
      </w:r>
      <w:r w:rsidRPr="00FC7835">
        <w:rPr>
          <w:szCs w:val="24"/>
        </w:rPr>
        <w:t>previous 3 years. Impact factor time trends were assessed using a linear regression model</w:t>
      </w:r>
      <w:r>
        <w:rPr>
          <w:szCs w:val="24"/>
        </w:rPr>
        <w:t xml:space="preserve">, </w:t>
      </w:r>
      <w:r w:rsidRPr="00FC7835">
        <w:rPr>
          <w:szCs w:val="24"/>
        </w:rPr>
        <w:t>in which</w:t>
      </w:r>
      <w:r w:rsidR="003A1917">
        <w:rPr>
          <w:szCs w:val="24"/>
        </w:rPr>
        <w:t xml:space="preserve"> the </w:t>
      </w:r>
      <w:r w:rsidRPr="00FC7835">
        <w:rPr>
          <w:szCs w:val="24"/>
        </w:rPr>
        <w:t>dependent variable was IF</w:t>
      </w:r>
      <w:r w:rsidR="005853A9">
        <w:rPr>
          <w:szCs w:val="24"/>
        </w:rPr>
        <w:t xml:space="preserve"> and </w:t>
      </w:r>
      <w:r w:rsidR="003A1917">
        <w:rPr>
          <w:szCs w:val="24"/>
        </w:rPr>
        <w:t xml:space="preserve">the </w:t>
      </w:r>
      <w:r w:rsidRPr="00FC7835">
        <w:rPr>
          <w:szCs w:val="24"/>
        </w:rPr>
        <w:t>independent variable</w:t>
      </w:r>
      <w:r>
        <w:rPr>
          <w:szCs w:val="24"/>
        </w:rPr>
        <w:t>,</w:t>
      </w:r>
      <w:r w:rsidR="003A1917">
        <w:rPr>
          <w:szCs w:val="24"/>
        </w:rPr>
        <w:t xml:space="preserve"> the </w:t>
      </w:r>
      <w:r w:rsidRPr="00FC7835">
        <w:rPr>
          <w:szCs w:val="24"/>
        </w:rPr>
        <w:t>year</w:t>
      </w:r>
      <w:r w:rsidR="00A37C1D">
        <w:rPr>
          <w:szCs w:val="24"/>
        </w:rPr>
        <w:t>. The</w:t>
      </w:r>
      <w:r w:rsidR="003A1917">
        <w:rPr>
          <w:szCs w:val="24"/>
        </w:rPr>
        <w:t xml:space="preserve"> </w:t>
      </w:r>
      <w:r w:rsidRPr="00FC7835">
        <w:rPr>
          <w:szCs w:val="24"/>
        </w:rPr>
        <w:t>slope</w:t>
      </w:r>
      <w:r w:rsidR="00427468">
        <w:rPr>
          <w:szCs w:val="24"/>
        </w:rPr>
        <w:t xml:space="preserve"> of </w:t>
      </w:r>
      <w:r w:rsidR="003A1917">
        <w:rPr>
          <w:szCs w:val="24"/>
        </w:rPr>
        <w:t xml:space="preserve">the </w:t>
      </w:r>
      <w:r w:rsidRPr="00FC7835">
        <w:rPr>
          <w:szCs w:val="24"/>
        </w:rPr>
        <w:t>model</w:t>
      </w:r>
      <w:r w:rsidR="005853A9">
        <w:rPr>
          <w:szCs w:val="24"/>
        </w:rPr>
        <w:t xml:space="preserve"> and </w:t>
      </w:r>
      <w:r w:rsidRPr="00FC7835">
        <w:rPr>
          <w:szCs w:val="24"/>
        </w:rPr>
        <w:t>its statistical significance were taken as</w:t>
      </w:r>
      <w:r w:rsidR="003A1917">
        <w:rPr>
          <w:szCs w:val="24"/>
        </w:rPr>
        <w:t xml:space="preserve"> the </w:t>
      </w:r>
      <w:r w:rsidRPr="00FC7835">
        <w:rPr>
          <w:szCs w:val="24"/>
        </w:rPr>
        <w:t>indicator</w:t>
      </w:r>
      <w:r w:rsidR="00427468">
        <w:rPr>
          <w:szCs w:val="24"/>
        </w:rPr>
        <w:t xml:space="preserve"> of </w:t>
      </w:r>
      <w:r w:rsidRPr="00FC7835">
        <w:rPr>
          <w:szCs w:val="24"/>
        </w:rPr>
        <w:t>annual change.</w:t>
      </w:r>
    </w:p>
    <w:p w:rsidR="00A91285" w:rsidRPr="00FC7835" w:rsidRDefault="00A91285" w:rsidP="00A91285">
      <w:pPr>
        <w:pStyle w:val="a3"/>
        <w:rPr>
          <w:szCs w:val="24"/>
        </w:rPr>
      </w:pPr>
      <w:r w:rsidRPr="00FC7835">
        <w:rPr>
          <w:szCs w:val="24"/>
        </w:rPr>
        <w:t>Results:</w:t>
      </w:r>
      <w:r w:rsidR="003A1917">
        <w:rPr>
          <w:szCs w:val="24"/>
        </w:rPr>
        <w:t xml:space="preserve"> the </w:t>
      </w:r>
      <w:r w:rsidRPr="00FC7835">
        <w:rPr>
          <w:szCs w:val="24"/>
        </w:rPr>
        <w:t>IF range for</w:t>
      </w:r>
      <w:r w:rsidR="003A1917">
        <w:rPr>
          <w:szCs w:val="24"/>
        </w:rPr>
        <w:t xml:space="preserve"> the </w:t>
      </w:r>
      <w:r w:rsidRPr="00FC7835">
        <w:rPr>
          <w:szCs w:val="24"/>
        </w:rPr>
        <w:t xml:space="preserve">journals covered went from 0.18 to </w:t>
      </w:r>
      <w:smartTag w:uri="urn:schemas-microsoft-com:office:smarttags" w:element="chmetcnv">
        <w:smartTagPr>
          <w:attr w:name="UnitName" w:val="in"/>
          <w:attr w:name="SourceValue" w:val="5.2"/>
          <w:attr w:name="HasSpace" w:val="True"/>
          <w:attr w:name="Negative" w:val="False"/>
          <w:attr w:name="NumberType" w:val="1"/>
          <w:attr w:name="TCSC" w:val="0"/>
        </w:smartTagPr>
        <w:r w:rsidRPr="00FC7835">
          <w:rPr>
            <w:szCs w:val="24"/>
          </w:rPr>
          <w:t>5.2 in</w:t>
        </w:r>
      </w:smartTag>
      <w:r w:rsidRPr="00FC7835">
        <w:rPr>
          <w:szCs w:val="24"/>
        </w:rPr>
        <w:t xml:space="preserve"> 2003. Although there was no statistical association between annual change</w:t>
      </w:r>
      <w:r w:rsidR="005853A9">
        <w:rPr>
          <w:szCs w:val="24"/>
        </w:rPr>
        <w:t xml:space="preserve"> and </w:t>
      </w:r>
      <w:r w:rsidRPr="00FC7835">
        <w:rPr>
          <w:szCs w:val="24"/>
        </w:rPr>
        <w:t>mean IF</w:t>
      </w:r>
      <w:r>
        <w:rPr>
          <w:szCs w:val="24"/>
        </w:rPr>
        <w:t xml:space="preserve">, </w:t>
      </w:r>
      <w:r w:rsidRPr="00FC7835">
        <w:rPr>
          <w:szCs w:val="24"/>
        </w:rPr>
        <w:t>most</w:t>
      </w:r>
      <w:r w:rsidR="00427468">
        <w:rPr>
          <w:szCs w:val="24"/>
        </w:rPr>
        <w:t xml:space="preserve"> of </w:t>
      </w:r>
      <w:r w:rsidR="003A1917">
        <w:rPr>
          <w:szCs w:val="24"/>
        </w:rPr>
        <w:t xml:space="preserve">the </w:t>
      </w:r>
      <w:r w:rsidRPr="00FC7835">
        <w:rPr>
          <w:szCs w:val="24"/>
        </w:rPr>
        <w:t>fastest growing journals registered mean IFs in excess</w:t>
      </w:r>
      <w:r w:rsidR="00427468">
        <w:rPr>
          <w:szCs w:val="24"/>
        </w:rPr>
        <w:t xml:space="preserve"> of </w:t>
      </w:r>
      <w:r w:rsidRPr="00FC7835">
        <w:rPr>
          <w:szCs w:val="24"/>
        </w:rPr>
        <w:t>1.5</w:t>
      </w:r>
      <w:r>
        <w:rPr>
          <w:szCs w:val="24"/>
        </w:rPr>
        <w:t>,</w:t>
      </w:r>
      <w:r w:rsidR="005853A9">
        <w:rPr>
          <w:szCs w:val="24"/>
        </w:rPr>
        <w:t xml:space="preserve"> and </w:t>
      </w:r>
      <w:r w:rsidRPr="00FC7835">
        <w:rPr>
          <w:szCs w:val="24"/>
        </w:rPr>
        <w:t>some represented emerging areas</w:t>
      </w:r>
      <w:r w:rsidR="00427468">
        <w:rPr>
          <w:szCs w:val="24"/>
        </w:rPr>
        <w:t xml:space="preserve"> of </w:t>
      </w:r>
      <w:r w:rsidRPr="00FC7835">
        <w:rPr>
          <w:szCs w:val="24"/>
        </w:rPr>
        <w:t>public health research. Graphs displaying IF trends are shown.</w:t>
      </w:r>
    </w:p>
    <w:p w:rsidR="00A91285" w:rsidRPr="00FC7835" w:rsidRDefault="00A91285" w:rsidP="00A91285">
      <w:pPr>
        <w:pStyle w:val="a3"/>
        <w:rPr>
          <w:szCs w:val="24"/>
        </w:rPr>
      </w:pPr>
      <w:r w:rsidRPr="00FC7835">
        <w:rPr>
          <w:szCs w:val="24"/>
        </w:rPr>
        <w:t>Conclusion: In view</w:t>
      </w:r>
      <w:r w:rsidR="00427468">
        <w:rPr>
          <w:szCs w:val="24"/>
        </w:rPr>
        <w:t xml:space="preserve"> of </w:t>
      </w:r>
      <w:r w:rsidR="003A1917">
        <w:rPr>
          <w:szCs w:val="24"/>
        </w:rPr>
        <w:t xml:space="preserve">the </w:t>
      </w:r>
      <w:r w:rsidRPr="00FC7835">
        <w:rPr>
          <w:szCs w:val="24"/>
        </w:rPr>
        <w:t>delay between</w:t>
      </w:r>
      <w:r w:rsidR="003A1917">
        <w:rPr>
          <w:szCs w:val="24"/>
        </w:rPr>
        <w:t xml:space="preserve"> the </w:t>
      </w:r>
      <w:r w:rsidRPr="00FC7835">
        <w:rPr>
          <w:szCs w:val="24"/>
        </w:rPr>
        <w:t>publication</w:t>
      </w:r>
      <w:r w:rsidR="00427468">
        <w:rPr>
          <w:szCs w:val="24"/>
        </w:rPr>
        <w:t xml:space="preserve"> of </w:t>
      </w:r>
      <w:r w:rsidRPr="00FC7835">
        <w:rPr>
          <w:szCs w:val="24"/>
        </w:rPr>
        <w:t>IFs</w:t>
      </w:r>
      <w:r w:rsidR="005853A9">
        <w:rPr>
          <w:szCs w:val="24"/>
        </w:rPr>
        <w:t xml:space="preserve"> and </w:t>
      </w:r>
      <w:r w:rsidRPr="00FC7835">
        <w:rPr>
          <w:szCs w:val="24"/>
        </w:rPr>
        <w:t>that</w:t>
      </w:r>
      <w:r w:rsidR="00427468">
        <w:rPr>
          <w:szCs w:val="24"/>
        </w:rPr>
        <w:t xml:space="preserve"> of </w:t>
      </w:r>
      <w:r w:rsidRPr="00FC7835">
        <w:rPr>
          <w:szCs w:val="24"/>
        </w:rPr>
        <w:t>any given paper</w:t>
      </w:r>
      <w:r>
        <w:rPr>
          <w:szCs w:val="24"/>
        </w:rPr>
        <w:t xml:space="preserve">, </w:t>
      </w:r>
      <w:r w:rsidRPr="00FC7835">
        <w:rPr>
          <w:szCs w:val="24"/>
        </w:rPr>
        <w:t>knowing</w:t>
      </w:r>
      <w:r w:rsidR="003A1917">
        <w:rPr>
          <w:szCs w:val="24"/>
        </w:rPr>
        <w:t xml:space="preserve"> the </w:t>
      </w:r>
      <w:r w:rsidRPr="00FC7835">
        <w:rPr>
          <w:szCs w:val="24"/>
        </w:rPr>
        <w:t>trend in IF is essential in order to make a correct choice</w:t>
      </w:r>
      <w:r w:rsidR="00427468">
        <w:rPr>
          <w:szCs w:val="24"/>
        </w:rPr>
        <w:t xml:space="preserve"> of </w:t>
      </w:r>
      <w:r w:rsidRPr="00FC7835">
        <w:rPr>
          <w:szCs w:val="24"/>
        </w:rPr>
        <w:t>journal.</w:t>
      </w:r>
    </w:p>
    <w:p w:rsidR="00A91285" w:rsidRDefault="00A91285" w:rsidP="00A91285">
      <w:pPr>
        <w:pStyle w:val="a3"/>
        <w:rPr>
          <w:kern w:val="0"/>
          <w:szCs w:val="24"/>
        </w:rPr>
      </w:pPr>
      <w:r>
        <w:rPr>
          <w:rFonts w:hint="eastAsia"/>
          <w:kern w:val="0"/>
          <w:szCs w:val="24"/>
        </w:rPr>
        <w:t xml:space="preserve">? </w:t>
      </w:r>
      <w:r>
        <w:rPr>
          <w:kern w:val="0"/>
          <w:szCs w:val="24"/>
        </w:rPr>
        <w:t>Latthe, P., Latthe, M., Say, L., Gulmezoglu, M.</w:t>
      </w:r>
      <w:r w:rsidR="005853A9">
        <w:rPr>
          <w:kern w:val="0"/>
          <w:szCs w:val="24"/>
        </w:rPr>
        <w:t xml:space="preserve"> and </w:t>
      </w:r>
      <w:r>
        <w:rPr>
          <w:kern w:val="0"/>
          <w:szCs w:val="24"/>
        </w:rPr>
        <w:t>Khan, K.S. (2006), WHO systematic review</w:t>
      </w:r>
      <w:r w:rsidR="00427468">
        <w:rPr>
          <w:kern w:val="0"/>
          <w:szCs w:val="24"/>
        </w:rPr>
        <w:t xml:space="preserve"> of </w:t>
      </w:r>
      <w:r>
        <w:rPr>
          <w:kern w:val="0"/>
          <w:szCs w:val="24"/>
        </w:rPr>
        <w:t>prevalence</w:t>
      </w:r>
      <w:r w:rsidR="00427468">
        <w:rPr>
          <w:kern w:val="0"/>
          <w:szCs w:val="24"/>
        </w:rPr>
        <w:t xml:space="preserve"> of </w:t>
      </w:r>
      <w:r>
        <w:rPr>
          <w:kern w:val="0"/>
          <w:szCs w:val="24"/>
        </w:rPr>
        <w:t xml:space="preserve">chronic pelvic pain: A neglected reproductive health morbidity. </w:t>
      </w:r>
      <w:r>
        <w:rPr>
          <w:i/>
          <w:iCs/>
          <w:kern w:val="0"/>
          <w:szCs w:val="24"/>
        </w:rPr>
        <w:t>BMC Public Health</w:t>
      </w:r>
      <w:r>
        <w:rPr>
          <w:kern w:val="0"/>
          <w:szCs w:val="24"/>
        </w:rPr>
        <w:t xml:space="preserve">, </w:t>
      </w:r>
      <w:r>
        <w:rPr>
          <w:b/>
          <w:bCs/>
          <w:kern w:val="0"/>
          <w:szCs w:val="24"/>
        </w:rPr>
        <w:t>6</w:t>
      </w:r>
      <w:r>
        <w:rPr>
          <w:rFonts w:hint="eastAsia"/>
          <w:kern w:val="0"/>
          <w:szCs w:val="24"/>
        </w:rPr>
        <w:t>,</w:t>
      </w:r>
      <w:r w:rsidRPr="00871A82">
        <w:t xml:space="preserve"> </w:t>
      </w:r>
      <w:r>
        <w:rPr>
          <w:kern w:val="0"/>
          <w:szCs w:val="24"/>
        </w:rPr>
        <w:t>Article Number: 177</w:t>
      </w:r>
      <w:r>
        <w:rPr>
          <w:rFonts w:hint="eastAsia"/>
          <w:kern w:val="0"/>
          <w:szCs w:val="24"/>
        </w:rPr>
        <w:t>.</w:t>
      </w:r>
    </w:p>
    <w:p w:rsidR="00A91285" w:rsidRDefault="00A91285" w:rsidP="00A91285">
      <w:pPr>
        <w:pStyle w:val="a3"/>
        <w:rPr>
          <w:kern w:val="0"/>
          <w:szCs w:val="24"/>
        </w:rPr>
      </w:pPr>
      <w:r>
        <w:rPr>
          <w:rFonts w:hint="eastAsia"/>
          <w:kern w:val="0"/>
          <w:szCs w:val="24"/>
        </w:rPr>
        <w:lastRenderedPageBreak/>
        <w:t xml:space="preserve">Full Text: </w:t>
      </w:r>
      <w:hyperlink r:id="rId1692" w:history="1">
        <w:r w:rsidRPr="00E24330">
          <w:rPr>
            <w:rStyle w:val="a5"/>
            <w:kern w:val="0"/>
            <w:szCs w:val="24"/>
          </w:rPr>
          <w:t>2006\BMC Pub Hea6, 177.pdf</w:t>
        </w:r>
      </w:hyperlink>
    </w:p>
    <w:p w:rsidR="00A91285" w:rsidRDefault="00A91285" w:rsidP="00A91285">
      <w:pPr>
        <w:pStyle w:val="a3"/>
        <w:rPr>
          <w:kern w:val="0"/>
          <w:szCs w:val="24"/>
        </w:rPr>
      </w:pPr>
      <w:r>
        <w:rPr>
          <w:kern w:val="0"/>
          <w:szCs w:val="24"/>
        </w:rPr>
        <w:t>Abstract: Background: Health care planning for chronic pelvic pain (CPP), an important cause</w:t>
      </w:r>
      <w:r w:rsidR="00427468">
        <w:rPr>
          <w:kern w:val="0"/>
          <w:szCs w:val="24"/>
        </w:rPr>
        <w:t xml:space="preserve"> of </w:t>
      </w:r>
      <w:r>
        <w:rPr>
          <w:kern w:val="0"/>
          <w:szCs w:val="24"/>
        </w:rPr>
        <w:t>morbidity amongst women is hampered due to lack</w:t>
      </w:r>
      <w:r w:rsidR="00427468">
        <w:rPr>
          <w:kern w:val="0"/>
          <w:szCs w:val="24"/>
        </w:rPr>
        <w:t xml:space="preserve"> of </w:t>
      </w:r>
      <w:r>
        <w:rPr>
          <w:kern w:val="0"/>
          <w:szCs w:val="24"/>
        </w:rPr>
        <w:t>clear collated summaries</w:t>
      </w:r>
      <w:r w:rsidR="00427468">
        <w:rPr>
          <w:kern w:val="0"/>
          <w:szCs w:val="24"/>
        </w:rPr>
        <w:t xml:space="preserve"> of </w:t>
      </w:r>
      <w:r>
        <w:rPr>
          <w:kern w:val="0"/>
          <w:szCs w:val="24"/>
        </w:rPr>
        <w:t>its basic epidemiological data. We systematically reviewed worldwide literature on</w:t>
      </w:r>
      <w:r w:rsidR="003A1917">
        <w:rPr>
          <w:kern w:val="0"/>
          <w:szCs w:val="24"/>
        </w:rPr>
        <w:t xml:space="preserve"> the </w:t>
      </w:r>
      <w:r>
        <w:rPr>
          <w:kern w:val="0"/>
          <w:szCs w:val="24"/>
        </w:rPr>
        <w:t>prevalence</w:t>
      </w:r>
      <w:r w:rsidR="00427468">
        <w:rPr>
          <w:kern w:val="0"/>
          <w:szCs w:val="24"/>
        </w:rPr>
        <w:t xml:space="preserve"> of </w:t>
      </w:r>
      <w:r>
        <w:rPr>
          <w:kern w:val="0"/>
          <w:szCs w:val="24"/>
        </w:rPr>
        <w:t>different types</w:t>
      </w:r>
      <w:r w:rsidR="00427468">
        <w:rPr>
          <w:kern w:val="0"/>
          <w:szCs w:val="24"/>
        </w:rPr>
        <w:t xml:space="preserve"> of </w:t>
      </w:r>
      <w:r>
        <w:rPr>
          <w:kern w:val="0"/>
          <w:szCs w:val="24"/>
        </w:rPr>
        <w:t>CPP to assess</w:t>
      </w:r>
      <w:r w:rsidR="003A1917">
        <w:rPr>
          <w:kern w:val="0"/>
          <w:szCs w:val="24"/>
        </w:rPr>
        <w:t xml:space="preserve"> the </w:t>
      </w:r>
      <w:r>
        <w:rPr>
          <w:kern w:val="0"/>
          <w:szCs w:val="24"/>
        </w:rPr>
        <w:t>geographical distribution</w:t>
      </w:r>
      <w:r w:rsidR="00427468">
        <w:rPr>
          <w:kern w:val="0"/>
          <w:szCs w:val="24"/>
        </w:rPr>
        <w:t xml:space="preserve"> of </w:t>
      </w:r>
      <w:r>
        <w:rPr>
          <w:kern w:val="0"/>
          <w:szCs w:val="24"/>
        </w:rPr>
        <w:t>data,</w:t>
      </w:r>
      <w:r w:rsidR="005853A9">
        <w:rPr>
          <w:kern w:val="0"/>
          <w:szCs w:val="24"/>
        </w:rPr>
        <w:t xml:space="preserve"> and </w:t>
      </w:r>
      <w:r>
        <w:rPr>
          <w:kern w:val="0"/>
          <w:szCs w:val="24"/>
        </w:rPr>
        <w:t>to explore sources</w:t>
      </w:r>
      <w:r w:rsidR="00427468">
        <w:rPr>
          <w:kern w:val="0"/>
          <w:szCs w:val="24"/>
        </w:rPr>
        <w:t xml:space="preserve"> of </w:t>
      </w:r>
      <w:r>
        <w:rPr>
          <w:kern w:val="0"/>
          <w:szCs w:val="24"/>
        </w:rPr>
        <w:t xml:space="preserve">variation in its estimates. Methods: We identified data available from </w:t>
      </w:r>
      <w:r w:rsidR="00D5664A">
        <w:rPr>
          <w:kern w:val="0"/>
          <w:szCs w:val="24"/>
        </w:rPr>
        <w:t>MEDLINE</w:t>
      </w:r>
      <w:r>
        <w:rPr>
          <w:kern w:val="0"/>
          <w:szCs w:val="24"/>
        </w:rPr>
        <w:t xml:space="preserve"> (1966 to 2004), Embase (1980 to 2004), PsycINFO (1887 to 2003), LILACS (1982 to 2004), Science Citation index, CINAHL (January 1980 to 2004)</w:t>
      </w:r>
      <w:r w:rsidR="005853A9">
        <w:rPr>
          <w:kern w:val="0"/>
          <w:szCs w:val="24"/>
        </w:rPr>
        <w:t xml:space="preserve"> and </w:t>
      </w:r>
      <w:r>
        <w:rPr>
          <w:kern w:val="0"/>
          <w:szCs w:val="24"/>
        </w:rPr>
        <w:t>hand searching</w:t>
      </w:r>
      <w:r w:rsidR="00427468">
        <w:rPr>
          <w:kern w:val="0"/>
          <w:szCs w:val="24"/>
        </w:rPr>
        <w:t xml:space="preserve"> of </w:t>
      </w:r>
      <w:r>
        <w:rPr>
          <w:kern w:val="0"/>
          <w:szCs w:val="24"/>
        </w:rPr>
        <w:t>reference lists. Two reviewers extracted data independently, using a piloted form, on participants</w:t>
      </w:r>
      <w:r w:rsidR="00700038">
        <w:rPr>
          <w:kern w:val="0"/>
          <w:szCs w:val="24"/>
        </w:rPr>
        <w:t>’</w:t>
      </w:r>
      <w:r>
        <w:rPr>
          <w:kern w:val="0"/>
          <w:szCs w:val="24"/>
        </w:rPr>
        <w:t xml:space="preserve"> characteristics, study quality</w:t>
      </w:r>
      <w:r w:rsidR="005853A9">
        <w:rPr>
          <w:kern w:val="0"/>
          <w:szCs w:val="24"/>
        </w:rPr>
        <w:t xml:space="preserve"> and </w:t>
      </w:r>
      <w:r>
        <w:rPr>
          <w:kern w:val="0"/>
          <w:szCs w:val="24"/>
        </w:rPr>
        <w:t>rates</w:t>
      </w:r>
      <w:r w:rsidR="00427468">
        <w:rPr>
          <w:kern w:val="0"/>
          <w:szCs w:val="24"/>
        </w:rPr>
        <w:t xml:space="preserve"> of </w:t>
      </w:r>
      <w:r>
        <w:rPr>
          <w:kern w:val="0"/>
          <w:szCs w:val="24"/>
        </w:rPr>
        <w:t>CPP. We considered a study to be</w:t>
      </w:r>
      <w:r w:rsidR="00427468">
        <w:rPr>
          <w:kern w:val="0"/>
          <w:szCs w:val="24"/>
        </w:rPr>
        <w:t xml:space="preserve"> of </w:t>
      </w:r>
      <w:r>
        <w:rPr>
          <w:kern w:val="0"/>
          <w:szCs w:val="24"/>
        </w:rPr>
        <w:t>high quality (valid) if had at least three</w:t>
      </w:r>
      <w:r w:rsidR="00427468">
        <w:rPr>
          <w:kern w:val="0"/>
          <w:szCs w:val="24"/>
        </w:rPr>
        <w:t xml:space="preserve"> of </w:t>
      </w:r>
      <w:r w:rsidR="003A1917">
        <w:rPr>
          <w:kern w:val="0"/>
          <w:szCs w:val="24"/>
        </w:rPr>
        <w:t xml:space="preserve">the </w:t>
      </w:r>
      <w:r>
        <w:rPr>
          <w:kern w:val="0"/>
          <w:szCs w:val="24"/>
        </w:rPr>
        <w:t>following features: prospective design, validated measurement tool, adequate sampling method, sample size estimation</w:t>
      </w:r>
      <w:r w:rsidR="005853A9">
        <w:rPr>
          <w:kern w:val="0"/>
          <w:szCs w:val="24"/>
        </w:rPr>
        <w:t xml:space="preserve"> and </w:t>
      </w:r>
      <w:r>
        <w:rPr>
          <w:kern w:val="0"/>
          <w:szCs w:val="24"/>
        </w:rPr>
        <w:t>response rate &gt; 80%. We performed both univariate</w:t>
      </w:r>
      <w:r w:rsidR="005853A9">
        <w:rPr>
          <w:kern w:val="0"/>
          <w:szCs w:val="24"/>
        </w:rPr>
        <w:t xml:space="preserve"> and </w:t>
      </w:r>
      <w:r>
        <w:rPr>
          <w:kern w:val="0"/>
          <w:szCs w:val="24"/>
        </w:rPr>
        <w:t>multivariate meta-regression analysis to explore heterogeneity</w:t>
      </w:r>
      <w:r w:rsidR="00427468">
        <w:rPr>
          <w:kern w:val="0"/>
          <w:szCs w:val="24"/>
        </w:rPr>
        <w:t xml:space="preserve"> of </w:t>
      </w:r>
      <w:r>
        <w:rPr>
          <w:kern w:val="0"/>
          <w:szCs w:val="24"/>
        </w:rPr>
        <w:t>results across studies. Results: There were 178 studies (459975 participants) in 148 articles.</w:t>
      </w:r>
      <w:r w:rsidR="00427468">
        <w:rPr>
          <w:kern w:val="0"/>
          <w:szCs w:val="24"/>
        </w:rPr>
        <w:t xml:space="preserve"> of </w:t>
      </w:r>
      <w:r>
        <w:rPr>
          <w:kern w:val="0"/>
          <w:szCs w:val="24"/>
        </w:rPr>
        <w:t>these, 106 studies were (124259 participants) on dysmenorrhoea, 54 (35973 participants) on dyspareunia</w:t>
      </w:r>
      <w:r w:rsidR="005853A9">
        <w:rPr>
          <w:kern w:val="0"/>
          <w:szCs w:val="24"/>
        </w:rPr>
        <w:t xml:space="preserve"> and </w:t>
      </w:r>
      <w:r>
        <w:rPr>
          <w:kern w:val="0"/>
          <w:szCs w:val="24"/>
        </w:rPr>
        <w:t>18 (301756 participants) on noncyclical pain</w:t>
      </w:r>
      <w:r w:rsidR="00A37C1D">
        <w:rPr>
          <w:kern w:val="0"/>
          <w:szCs w:val="24"/>
        </w:rPr>
        <w:t>. The</w:t>
      </w:r>
      <w:r>
        <w:rPr>
          <w:kern w:val="0"/>
          <w:szCs w:val="24"/>
        </w:rPr>
        <w:t>re were only 19/95 (20%) less developed</w:t>
      </w:r>
      <w:r w:rsidR="005853A9">
        <w:rPr>
          <w:kern w:val="0"/>
          <w:szCs w:val="24"/>
        </w:rPr>
        <w:t xml:space="preserve"> and </w:t>
      </w:r>
      <w:r>
        <w:rPr>
          <w:kern w:val="0"/>
          <w:szCs w:val="24"/>
        </w:rPr>
        <w:t>1/45 (2.2%) least developed countries with relevant data in contrast to 22/43 (51.2%) developed countries. Metaregression analysis showed that rates</w:t>
      </w:r>
      <w:r w:rsidR="00427468">
        <w:rPr>
          <w:kern w:val="0"/>
          <w:szCs w:val="24"/>
        </w:rPr>
        <w:t xml:space="preserve"> of </w:t>
      </w:r>
      <w:r>
        <w:rPr>
          <w:kern w:val="0"/>
          <w:szCs w:val="24"/>
        </w:rPr>
        <w:t>pain varied according to study quality features</w:t>
      </w:r>
      <w:r w:rsidR="00A37C1D">
        <w:rPr>
          <w:kern w:val="0"/>
          <w:szCs w:val="24"/>
        </w:rPr>
        <w:t>. The</w:t>
      </w:r>
      <w:r>
        <w:rPr>
          <w:kern w:val="0"/>
          <w:szCs w:val="24"/>
        </w:rPr>
        <w:t>re were 40 (22.5%) high quality studies with representative samples. Amongst them,</w:t>
      </w:r>
      <w:r w:rsidR="003A1917">
        <w:rPr>
          <w:kern w:val="0"/>
          <w:szCs w:val="24"/>
        </w:rPr>
        <w:t xml:space="preserve"> the </w:t>
      </w:r>
      <w:r>
        <w:rPr>
          <w:kern w:val="0"/>
          <w:szCs w:val="24"/>
        </w:rPr>
        <w:t>rate</w:t>
      </w:r>
      <w:r w:rsidR="00427468">
        <w:rPr>
          <w:kern w:val="0"/>
          <w:szCs w:val="24"/>
        </w:rPr>
        <w:t xml:space="preserve"> of </w:t>
      </w:r>
      <w:r>
        <w:rPr>
          <w:kern w:val="0"/>
          <w:szCs w:val="24"/>
        </w:rPr>
        <w:t>dysmenorrhoea was 16.8 to 81%, that</w:t>
      </w:r>
      <w:r w:rsidR="00427468">
        <w:rPr>
          <w:kern w:val="0"/>
          <w:szCs w:val="24"/>
        </w:rPr>
        <w:t xml:space="preserve"> of </w:t>
      </w:r>
      <w:r>
        <w:rPr>
          <w:kern w:val="0"/>
          <w:szCs w:val="24"/>
        </w:rPr>
        <w:t>dyspareunia was 8 to 21.8%,</w:t>
      </w:r>
      <w:r w:rsidR="005853A9">
        <w:rPr>
          <w:kern w:val="0"/>
          <w:szCs w:val="24"/>
        </w:rPr>
        <w:t xml:space="preserve"> and </w:t>
      </w:r>
      <w:r>
        <w:rPr>
          <w:kern w:val="0"/>
          <w:szCs w:val="24"/>
        </w:rPr>
        <w:t>that for noncyclical pain was 2.1 to 24%. Conclusion: There were few valid population based estimates</w:t>
      </w:r>
      <w:r w:rsidR="00427468">
        <w:rPr>
          <w:kern w:val="0"/>
          <w:szCs w:val="24"/>
        </w:rPr>
        <w:t xml:space="preserve"> of </w:t>
      </w:r>
      <w:r>
        <w:rPr>
          <w:kern w:val="0"/>
          <w:szCs w:val="24"/>
        </w:rPr>
        <w:t>disease burden due to CPP from less developed countries</w:t>
      </w:r>
      <w:r w:rsidR="00A37C1D">
        <w:rPr>
          <w:kern w:val="0"/>
          <w:szCs w:val="24"/>
        </w:rPr>
        <w:t>. The</w:t>
      </w:r>
      <w:r w:rsidR="003A1917">
        <w:rPr>
          <w:kern w:val="0"/>
          <w:szCs w:val="24"/>
        </w:rPr>
        <w:t xml:space="preserve"> </w:t>
      </w:r>
      <w:r>
        <w:rPr>
          <w:kern w:val="0"/>
          <w:szCs w:val="24"/>
        </w:rPr>
        <w:t>variation in rates</w:t>
      </w:r>
      <w:r w:rsidR="00427468">
        <w:rPr>
          <w:kern w:val="0"/>
          <w:szCs w:val="24"/>
        </w:rPr>
        <w:t xml:space="preserve"> of </w:t>
      </w:r>
      <w:r>
        <w:rPr>
          <w:kern w:val="0"/>
          <w:szCs w:val="24"/>
        </w:rPr>
        <w:t>CPP worldwide was due to variable study quality. Where valid data were available, a high disease burden</w:t>
      </w:r>
      <w:r w:rsidR="00427468">
        <w:rPr>
          <w:kern w:val="0"/>
          <w:szCs w:val="24"/>
        </w:rPr>
        <w:t xml:space="preserve"> of </w:t>
      </w:r>
      <w:r>
        <w:rPr>
          <w:kern w:val="0"/>
          <w:szCs w:val="24"/>
        </w:rPr>
        <w:t>all types</w:t>
      </w:r>
      <w:r w:rsidR="00427468">
        <w:rPr>
          <w:kern w:val="0"/>
          <w:szCs w:val="24"/>
        </w:rPr>
        <w:t xml:space="preserve"> of </w:t>
      </w:r>
      <w:r>
        <w:rPr>
          <w:kern w:val="0"/>
          <w:szCs w:val="24"/>
        </w:rPr>
        <w:t>pelvic pain was found.</w:t>
      </w:r>
    </w:p>
    <w:p w:rsidR="00A91285" w:rsidRDefault="00A91285" w:rsidP="00A91285">
      <w:pPr>
        <w:pStyle w:val="a3"/>
        <w:rPr>
          <w:kern w:val="0"/>
          <w:szCs w:val="24"/>
        </w:rPr>
      </w:pPr>
      <w:r>
        <w:rPr>
          <w:kern w:val="0"/>
          <w:szCs w:val="24"/>
        </w:rPr>
        <w:t>Keywords: Citation, Community, Dysmenorrhea, Endometriosis, Epidemiology, Heterogeneity, Literature, Menstrual Symptoms, Metaanalysis, Middle-Aged Women, Primary-Care, Young-Women</w:t>
      </w:r>
    </w:p>
    <w:p w:rsidR="007E5EA9" w:rsidRDefault="007E5EA9" w:rsidP="007E5EA9">
      <w:pPr>
        <w:pStyle w:val="a3"/>
        <w:rPr>
          <w:kern w:val="0"/>
        </w:rPr>
      </w:pPr>
      <w:r>
        <w:rPr>
          <w:rFonts w:hint="eastAsia"/>
          <w:kern w:val="0"/>
        </w:rPr>
        <w:t xml:space="preserve">? </w:t>
      </w:r>
      <w:r>
        <w:rPr>
          <w:kern w:val="0"/>
        </w:rPr>
        <w:t>Pavlin, N.L., Gunn, J.M., Parker, R., Fairley, C.K.</w:t>
      </w:r>
      <w:r w:rsidR="005853A9">
        <w:rPr>
          <w:kern w:val="0"/>
        </w:rPr>
        <w:t xml:space="preserve"> and </w:t>
      </w:r>
      <w:r>
        <w:rPr>
          <w:kern w:val="0"/>
        </w:rPr>
        <w:t>Hocking, J. (2006), Implementing chlamydia screening: What do women think? A systematic review</w:t>
      </w:r>
      <w:r w:rsidR="00427468">
        <w:rPr>
          <w:kern w:val="0"/>
        </w:rPr>
        <w:t xml:space="preserve"> of </w:t>
      </w:r>
      <w:r w:rsidR="003A1917">
        <w:rPr>
          <w:kern w:val="0"/>
        </w:rPr>
        <w:t xml:space="preserve">the </w:t>
      </w:r>
      <w:r>
        <w:rPr>
          <w:kern w:val="0"/>
        </w:rPr>
        <w:t xml:space="preserve">literature. </w:t>
      </w:r>
      <w:r>
        <w:rPr>
          <w:i/>
          <w:iCs/>
          <w:kern w:val="0"/>
        </w:rPr>
        <w:t>BMC Public Health</w:t>
      </w:r>
      <w:r>
        <w:rPr>
          <w:kern w:val="0"/>
        </w:rPr>
        <w:t xml:space="preserve">, </w:t>
      </w:r>
      <w:r>
        <w:rPr>
          <w:b/>
          <w:bCs/>
          <w:kern w:val="0"/>
        </w:rPr>
        <w:t>6</w:t>
      </w:r>
      <w:r>
        <w:rPr>
          <w:rFonts w:hint="eastAsia"/>
          <w:kern w:val="0"/>
        </w:rPr>
        <w:t xml:space="preserve">, </w:t>
      </w:r>
      <w:r>
        <w:t>Article Number: 22</w:t>
      </w:r>
      <w:r>
        <w:rPr>
          <w:rFonts w:hint="eastAsia"/>
        </w:rPr>
        <w:t>1.</w:t>
      </w:r>
    </w:p>
    <w:p w:rsidR="007E5EA9" w:rsidRPr="00FC7835" w:rsidRDefault="007E5EA9" w:rsidP="007E5EA9">
      <w:pPr>
        <w:pStyle w:val="a3"/>
      </w:pPr>
      <w:r>
        <w:t>Full Text:</w:t>
      </w:r>
      <w:r w:rsidRPr="00FC7835">
        <w:t xml:space="preserve"> </w:t>
      </w:r>
      <w:hyperlink r:id="rId1693" w:history="1">
        <w:r w:rsidRPr="004A5C8F">
          <w:rPr>
            <w:rStyle w:val="a5"/>
          </w:rPr>
          <w:t>2006\BMC Pub Hea6, 221.pdf</w:t>
        </w:r>
      </w:hyperlink>
    </w:p>
    <w:p w:rsidR="007E5EA9" w:rsidRDefault="007E5EA9" w:rsidP="007E5EA9">
      <w:pPr>
        <w:pStyle w:val="a3"/>
        <w:rPr>
          <w:kern w:val="0"/>
        </w:rPr>
      </w:pPr>
      <w:r>
        <w:rPr>
          <w:kern w:val="0"/>
        </w:rPr>
        <w:t>Abstract: Background: Chlamydia trachomatis is a common sexually transmitted infection that can have serious consequences. It is universally agreed that screening for chlamydia infection should be offered to sexually active young women. We undertook a literature review to document</w:t>
      </w:r>
      <w:r w:rsidR="003A1917">
        <w:rPr>
          <w:kern w:val="0"/>
        </w:rPr>
        <w:t xml:space="preserve"> the </w:t>
      </w:r>
      <w:r>
        <w:rPr>
          <w:kern w:val="0"/>
        </w:rPr>
        <w:t>views, attitudes</w:t>
      </w:r>
      <w:r w:rsidR="005853A9">
        <w:rPr>
          <w:kern w:val="0"/>
        </w:rPr>
        <w:t xml:space="preserve"> and </w:t>
      </w:r>
      <w:r>
        <w:rPr>
          <w:kern w:val="0"/>
        </w:rPr>
        <w:t>opinions</w:t>
      </w:r>
      <w:r w:rsidR="00427468">
        <w:rPr>
          <w:kern w:val="0"/>
        </w:rPr>
        <w:t xml:space="preserve"> of </w:t>
      </w:r>
      <w:r>
        <w:rPr>
          <w:kern w:val="0"/>
        </w:rPr>
        <w:t>women about being screened, tested</w:t>
      </w:r>
      <w:r w:rsidR="005853A9">
        <w:rPr>
          <w:kern w:val="0"/>
        </w:rPr>
        <w:t xml:space="preserve"> and </w:t>
      </w:r>
      <w:r>
        <w:rPr>
          <w:kern w:val="0"/>
        </w:rPr>
        <w:t xml:space="preserve">diagnosed with Chlamydia trachomatis. </w:t>
      </w:r>
      <w:r>
        <w:rPr>
          <w:kern w:val="0"/>
        </w:rPr>
        <w:lastRenderedPageBreak/>
        <w:t>Methods: Online databases (</w:t>
      </w:r>
      <w:r w:rsidR="00D5664A">
        <w:rPr>
          <w:kern w:val="0"/>
        </w:rPr>
        <w:t>MEDLINE</w:t>
      </w:r>
      <w:r>
        <w:rPr>
          <w:kern w:val="0"/>
        </w:rPr>
        <w:t xml:space="preserve">, Meditext, PsycINFO,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reference lists searched up to August 2005. Search terms: chlamydia, attitude, attitude to health, interview, qualitative, women. Eligibility criteria: about chlamydia, included women, involved interviews/surveys/focus groups, looked at women</w:t>
      </w:r>
      <w:r w:rsidR="00700038">
        <w:rPr>
          <w:kern w:val="0"/>
        </w:rPr>
        <w:t>’</w:t>
      </w:r>
      <w:r w:rsidR="00C13DDC">
        <w:rPr>
          <w:kern w:val="0"/>
        </w:rPr>
        <w:t>s</w:t>
      </w:r>
      <w:r>
        <w:rPr>
          <w:kern w:val="0"/>
        </w:rPr>
        <w:t xml:space="preserve"> views/opinions/attitudes, published in English</w:t>
      </w:r>
      <w:r w:rsidR="00A37C1D">
        <w:rPr>
          <w:kern w:val="0"/>
        </w:rPr>
        <w:t>. The</w:t>
      </w:r>
      <w:r>
        <w:rPr>
          <w:kern w:val="0"/>
        </w:rPr>
        <w:t>matic analysis identified</w:t>
      </w:r>
      <w:r w:rsidR="003A1917">
        <w:rPr>
          <w:kern w:val="0"/>
        </w:rPr>
        <w:t xml:space="preserve"> the </w:t>
      </w:r>
      <w:r>
        <w:rPr>
          <w:kern w:val="0"/>
        </w:rPr>
        <w:t>main</w:t>
      </w:r>
      <w:r w:rsidR="005853A9">
        <w:rPr>
          <w:kern w:val="0"/>
        </w:rPr>
        <w:t xml:space="preserve"> and </w:t>
      </w:r>
      <w:r>
        <w:rPr>
          <w:kern w:val="0"/>
        </w:rPr>
        <w:t>recurrent themes emerging from</w:t>
      </w:r>
      <w:r w:rsidR="003A1917">
        <w:rPr>
          <w:kern w:val="0"/>
        </w:rPr>
        <w:t xml:space="preserve"> the </w:t>
      </w:r>
      <w:r>
        <w:rPr>
          <w:kern w:val="0"/>
        </w:rPr>
        <w:t>literature. We compared our thematic analysis with</w:t>
      </w:r>
      <w:r w:rsidR="003A1917">
        <w:rPr>
          <w:kern w:val="0"/>
        </w:rPr>
        <w:t xml:space="preserve"> the </w:t>
      </w:r>
      <w:r>
        <w:rPr>
          <w:kern w:val="0"/>
        </w:rPr>
        <w:t>Theory</w:t>
      </w:r>
      <w:r w:rsidR="00427468">
        <w:rPr>
          <w:kern w:val="0"/>
        </w:rPr>
        <w:t xml:space="preserve"> of </w:t>
      </w:r>
      <w:r>
        <w:rPr>
          <w:kern w:val="0"/>
        </w:rPr>
        <w:t>Planned Behaviour to provide a model that could assist in planning chlamydia screening programs. Results: From 561 identified articles, 25 fulfilled inclusion criteria</w:t>
      </w:r>
      <w:r w:rsidR="005853A9">
        <w:rPr>
          <w:kern w:val="0"/>
        </w:rPr>
        <w:t xml:space="preserve"> and </w:t>
      </w:r>
      <w:r>
        <w:rPr>
          <w:kern w:val="0"/>
        </w:rPr>
        <w:t xml:space="preserve">were reviewed. 22: </w:t>
      </w:r>
      <w:r w:rsidR="00D5664A">
        <w:rPr>
          <w:kern w:val="0"/>
        </w:rPr>
        <w:t>USA</w:t>
      </w:r>
      <w:r>
        <w:rPr>
          <w:kern w:val="0"/>
        </w:rPr>
        <w:t>, UK; 3: Holland, Sweden, Australia. Major themes identified: need for knowledge</w:t>
      </w:r>
      <w:r w:rsidR="005853A9">
        <w:rPr>
          <w:kern w:val="0"/>
        </w:rPr>
        <w:t xml:space="preserve"> and </w:t>
      </w:r>
      <w:r>
        <w:rPr>
          <w:kern w:val="0"/>
        </w:rPr>
        <w:t>information, choice</w:t>
      </w:r>
      <w:r w:rsidR="005853A9">
        <w:rPr>
          <w:kern w:val="0"/>
        </w:rPr>
        <w:t xml:space="preserve"> and </w:t>
      </w:r>
      <w:r>
        <w:rPr>
          <w:kern w:val="0"/>
        </w:rPr>
        <w:t>support; concerns about confidentiality, cost, fear, anxiety</w:t>
      </w:r>
      <w:r w:rsidR="005853A9">
        <w:rPr>
          <w:kern w:val="0"/>
        </w:rPr>
        <w:t xml:space="preserve"> and </w:t>
      </w:r>
      <w:r>
        <w:rPr>
          <w:kern w:val="0"/>
        </w:rPr>
        <w:t>stigma. Women are more likely to find chlamydia screening/testing acceptable if they think chlamydia is a serious, common condition which can cause infertility</w:t>
      </w:r>
      <w:r w:rsidR="005853A9">
        <w:rPr>
          <w:kern w:val="0"/>
        </w:rPr>
        <w:t xml:space="preserve"> and </w:t>
      </w:r>
      <w:r>
        <w:rPr>
          <w:kern w:val="0"/>
        </w:rPr>
        <w:t>if they understand that chlamydia infection can be asymptomatic. Women want a range</w:t>
      </w:r>
      <w:r w:rsidR="00427468">
        <w:rPr>
          <w:kern w:val="0"/>
        </w:rPr>
        <w:t xml:space="preserve"> of </w:t>
      </w:r>
      <w:r>
        <w:rPr>
          <w:kern w:val="0"/>
        </w:rPr>
        <w:t>options for chlamydia testing including urine tests, self-administered swabs, pelvic exams</w:t>
      </w:r>
      <w:r w:rsidR="005853A9">
        <w:rPr>
          <w:kern w:val="0"/>
        </w:rPr>
        <w:t xml:space="preserve"> and </w:t>
      </w:r>
      <w:r>
        <w:rPr>
          <w:kern w:val="0"/>
        </w:rPr>
        <w:t>clinician-collected swabs, home-testing</w:t>
      </w:r>
      <w:r w:rsidR="005853A9">
        <w:rPr>
          <w:kern w:val="0"/>
        </w:rPr>
        <w:t xml:space="preserve"> and </w:t>
      </w:r>
      <w:r>
        <w:rPr>
          <w:kern w:val="0"/>
        </w:rPr>
        <w:t>community-based testing. Tests should be free, easy</w:t>
      </w:r>
      <w:r w:rsidR="005853A9">
        <w:rPr>
          <w:kern w:val="0"/>
        </w:rPr>
        <w:t xml:space="preserve"> and </w:t>
      </w:r>
      <w:r>
        <w:rPr>
          <w:kern w:val="0"/>
        </w:rPr>
        <w:t>quick. Women want support for dealing with</w:t>
      </w:r>
      <w:r w:rsidR="003A1917">
        <w:rPr>
          <w:kern w:val="0"/>
        </w:rPr>
        <w:t xml:space="preserve"> the </w:t>
      </w:r>
      <w:r>
        <w:rPr>
          <w:kern w:val="0"/>
        </w:rPr>
        <w:t>implications</w:t>
      </w:r>
      <w:r w:rsidR="00427468">
        <w:rPr>
          <w:kern w:val="0"/>
        </w:rPr>
        <w:t xml:space="preserve"> of </w:t>
      </w:r>
      <w:r>
        <w:rPr>
          <w:kern w:val="0"/>
        </w:rPr>
        <w:t>a chlamydia diagnosis, they feel chlamydia diagnoses need to be normalised</w:t>
      </w:r>
      <w:r w:rsidR="005853A9">
        <w:rPr>
          <w:kern w:val="0"/>
        </w:rPr>
        <w:t xml:space="preserve"> and </w:t>
      </w:r>
      <w:r>
        <w:rPr>
          <w:kern w:val="0"/>
        </w:rPr>
        <w:t>destigmatised</w:t>
      </w:r>
      <w:r w:rsidR="005853A9">
        <w:rPr>
          <w:kern w:val="0"/>
        </w:rPr>
        <w:t xml:space="preserve"> and </w:t>
      </w:r>
      <w:r>
        <w:rPr>
          <w:kern w:val="0"/>
        </w:rPr>
        <w:t>they want assistance with partner notification. Women need to know that their confidentiality will be maintained. Conclusion: Our review found that women from various countries</w:t>
      </w:r>
      <w:r w:rsidR="005853A9">
        <w:rPr>
          <w:kern w:val="0"/>
        </w:rPr>
        <w:t xml:space="preserve"> and </w:t>
      </w:r>
      <w:r>
        <w:rPr>
          <w:kern w:val="0"/>
        </w:rPr>
        <w:t>ethnic backgrounds share similar views regarding chlamydia screening, testing</w:t>
      </w:r>
      <w:r w:rsidR="005853A9">
        <w:rPr>
          <w:kern w:val="0"/>
        </w:rPr>
        <w:t xml:space="preserve"> and </w:t>
      </w:r>
      <w:r>
        <w:rPr>
          <w:kern w:val="0"/>
        </w:rPr>
        <w:t>diagnosis</w:t>
      </w:r>
      <w:r w:rsidR="00A37C1D">
        <w:rPr>
          <w:kern w:val="0"/>
        </w:rPr>
        <w:t>. The</w:t>
      </w:r>
      <w:r w:rsidR="003A1917">
        <w:rPr>
          <w:kern w:val="0"/>
        </w:rPr>
        <w:t xml:space="preserve"> </w:t>
      </w:r>
      <w:r>
        <w:rPr>
          <w:kern w:val="0"/>
        </w:rPr>
        <w:t>acknowledged importance</w:t>
      </w:r>
      <w:r w:rsidR="00427468">
        <w:rPr>
          <w:kern w:val="0"/>
        </w:rPr>
        <w:t xml:space="preserve"> of </w:t>
      </w:r>
      <w:r>
        <w:rPr>
          <w:kern w:val="0"/>
        </w:rPr>
        <w:t>women</w:t>
      </w:r>
      <w:r w:rsidR="00700038">
        <w:rPr>
          <w:kern w:val="0"/>
        </w:rPr>
        <w:t>’</w:t>
      </w:r>
      <w:r w:rsidR="00C13DDC">
        <w:rPr>
          <w:kern w:val="0"/>
        </w:rPr>
        <w:t>s</w:t>
      </w:r>
      <w:r>
        <w:rPr>
          <w:kern w:val="0"/>
        </w:rPr>
        <w:t xml:space="preserve"> views in planning an effective chlamydia screening program is expanded in this review which details</w:t>
      </w:r>
      <w:r w:rsidR="003A1917">
        <w:rPr>
          <w:kern w:val="0"/>
        </w:rPr>
        <w:t xml:space="preserve"> the </w:t>
      </w:r>
      <w:r>
        <w:rPr>
          <w:kern w:val="0"/>
        </w:rPr>
        <w:t>nature</w:t>
      </w:r>
      <w:r w:rsidR="005853A9">
        <w:rPr>
          <w:kern w:val="0"/>
        </w:rPr>
        <w:t xml:space="preserve"> and </w:t>
      </w:r>
      <w:r>
        <w:rPr>
          <w:kern w:val="0"/>
        </w:rPr>
        <w:t>complexity</w:t>
      </w:r>
      <w:r w:rsidR="00427468">
        <w:rPr>
          <w:kern w:val="0"/>
        </w:rPr>
        <w:t xml:space="preserve"> of </w:t>
      </w:r>
      <w:r>
        <w:rPr>
          <w:kern w:val="0"/>
        </w:rPr>
        <w:t>such views</w:t>
      </w:r>
      <w:r w:rsidR="005853A9">
        <w:rPr>
          <w:kern w:val="0"/>
        </w:rPr>
        <w:t xml:space="preserve"> and </w:t>
      </w:r>
      <w:r>
        <w:rPr>
          <w:kern w:val="0"/>
        </w:rPr>
        <w:t>considers their likely impact.</w:t>
      </w:r>
    </w:p>
    <w:p w:rsidR="007E5EA9" w:rsidRDefault="007E5EA9" w:rsidP="007E5EA9">
      <w:pPr>
        <w:pStyle w:val="a3"/>
        <w:rPr>
          <w:kern w:val="0"/>
        </w:rPr>
      </w:pPr>
      <w:r>
        <w:rPr>
          <w:kern w:val="0"/>
        </w:rPr>
        <w:t xml:space="preserve">Keywords: Acceptability, Analysis, Anxiety, Attitude, Behaviour, Databases, Diagnosis, Family-Planning Clinics, Genital-Infection, Gonorrhea, Health, Impact, Infection, Information, Knowledge, Life-Styles, Literature, Literature Review, </w:t>
      </w:r>
      <w:r w:rsidR="00D5664A">
        <w:rPr>
          <w:kern w:val="0"/>
        </w:rPr>
        <w:t>MEDLINE</w:t>
      </w:r>
      <w:r>
        <w:rPr>
          <w:kern w:val="0"/>
        </w:rPr>
        <w:t>, Methods, Model, Review, Science, Screening, Sexual Attitudes, Systematic, Systematic Review, Theory, Trachomatis Infections</w:t>
      </w:r>
      <w:r w:rsidR="00D5664A">
        <w:rPr>
          <w:kern w:val="0"/>
        </w:rPr>
        <w:t>, UK,</w:t>
      </w:r>
      <w:r>
        <w:rPr>
          <w:kern w:val="0"/>
        </w:rPr>
        <w:t xml:space="preserve"> Urine, </w:t>
      </w:r>
      <w:r w:rsidR="00D5664A">
        <w:rPr>
          <w:kern w:val="0"/>
        </w:rPr>
        <w:t>Web</w:t>
      </w:r>
      <w:r w:rsidR="00427468">
        <w:rPr>
          <w:kern w:val="0"/>
        </w:rPr>
        <w:t xml:space="preserve"> of </w:t>
      </w:r>
      <w:r w:rsidR="00D5664A">
        <w:rPr>
          <w:kern w:val="0"/>
        </w:rPr>
        <w:t>Science</w:t>
      </w:r>
      <w:r>
        <w:rPr>
          <w:kern w:val="0"/>
        </w:rPr>
        <w:t>, Women, Young-Women</w:t>
      </w:r>
    </w:p>
    <w:p w:rsidR="00A91285" w:rsidRPr="00FC7835" w:rsidRDefault="00A91285" w:rsidP="00A91285">
      <w:pPr>
        <w:pStyle w:val="a3"/>
      </w:pPr>
      <w:r w:rsidRPr="00FC7835">
        <w:t>? Sanz-Casado</w:t>
      </w:r>
      <w:r>
        <w:t xml:space="preserve">, </w:t>
      </w:r>
      <w:r w:rsidRPr="00FC7835">
        <w:t>E.</w:t>
      </w:r>
      <w:r>
        <w:t xml:space="preserve">, </w:t>
      </w:r>
      <w:r w:rsidRPr="00FC7835">
        <w:t>Pau</w:t>
      </w:r>
      <w:r>
        <w:t xml:space="preserve">, </w:t>
      </w:r>
      <w:r w:rsidRPr="00FC7835">
        <w:t>M.R.S.</w:t>
      </w:r>
      <w:r>
        <w:t xml:space="preserve">, </w:t>
      </w:r>
      <w:r w:rsidRPr="00FC7835">
        <w:t>Suárez-Balseiro</w:t>
      </w:r>
      <w:r>
        <w:t xml:space="preserve">, </w:t>
      </w:r>
      <w:r w:rsidRPr="00FC7835">
        <w:t>C.A.</w:t>
      </w:r>
      <w:r>
        <w:t xml:space="preserve">, </w:t>
      </w:r>
      <w:r w:rsidRPr="00FC7835">
        <w:t>Iribarren-Maestro</w:t>
      </w:r>
      <w:r>
        <w:t xml:space="preserve">, </w:t>
      </w:r>
      <w:r w:rsidRPr="00FC7835">
        <w:t>I.</w:t>
      </w:r>
      <w:r w:rsidR="005853A9">
        <w:t xml:space="preserve"> and </w:t>
      </w:r>
      <w:r w:rsidRPr="00FC7835">
        <w:t>de Pedro-Cuesta</w:t>
      </w:r>
      <w:r>
        <w:t xml:space="preserve">, </w:t>
      </w:r>
      <w:r w:rsidRPr="00FC7835">
        <w:t>J. (2006)</w:t>
      </w:r>
      <w:r>
        <w:t xml:space="preserve">, </w:t>
      </w:r>
      <w:r w:rsidRPr="00FC7835">
        <w:rPr>
          <w:szCs w:val="19"/>
        </w:rPr>
        <w:t>Trends in scientific activity addressing transmissible spongiform encephalopathies: A bibliometric study covering</w:t>
      </w:r>
      <w:r w:rsidR="003A1917">
        <w:rPr>
          <w:szCs w:val="19"/>
        </w:rPr>
        <w:t xml:space="preserve"> the </w:t>
      </w:r>
      <w:r w:rsidRPr="00FC7835">
        <w:rPr>
          <w:szCs w:val="19"/>
        </w:rPr>
        <w:t>period 1973–2002</w:t>
      </w:r>
      <w:r w:rsidRPr="00FC7835">
        <w:t xml:space="preserve">. </w:t>
      </w:r>
      <w:r w:rsidRPr="00FC7835">
        <w:rPr>
          <w:i/>
          <w:szCs w:val="24"/>
        </w:rPr>
        <w:t>BMC Public Health</w:t>
      </w:r>
      <w:r>
        <w:t xml:space="preserve">, </w:t>
      </w:r>
      <w:r w:rsidRPr="00FC7835">
        <w:rPr>
          <w:b/>
        </w:rPr>
        <w:t>6</w:t>
      </w:r>
      <w:r>
        <w:rPr>
          <w:rFonts w:hint="eastAsia"/>
          <w:kern w:val="0"/>
          <w:szCs w:val="24"/>
        </w:rPr>
        <w:t>,</w:t>
      </w:r>
      <w:r w:rsidRPr="00871A82">
        <w:t xml:space="preserve"> </w:t>
      </w:r>
      <w:r>
        <w:rPr>
          <w:kern w:val="0"/>
          <w:szCs w:val="24"/>
        </w:rPr>
        <w:t xml:space="preserve">Article Number: </w:t>
      </w:r>
      <w:r>
        <w:rPr>
          <w:rFonts w:hint="eastAsia"/>
          <w:kern w:val="0"/>
          <w:szCs w:val="24"/>
        </w:rPr>
        <w:t>245</w:t>
      </w:r>
      <w:r w:rsidRPr="00FC7835">
        <w:t>.</w:t>
      </w:r>
    </w:p>
    <w:p w:rsidR="00A91285" w:rsidRPr="00FC7835" w:rsidRDefault="00A91285" w:rsidP="00A91285">
      <w:pPr>
        <w:pStyle w:val="a3"/>
      </w:pPr>
      <w:r>
        <w:t>Full Text:</w:t>
      </w:r>
      <w:r w:rsidRPr="00FC7835">
        <w:t xml:space="preserve"> </w:t>
      </w:r>
      <w:hyperlink r:id="rId1694" w:history="1">
        <w:r w:rsidRPr="00FC7835">
          <w:rPr>
            <w:rStyle w:val="a5"/>
          </w:rPr>
          <w:t>2006\BMC Pub Hea6</w:t>
        </w:r>
        <w:r>
          <w:rPr>
            <w:rStyle w:val="a5"/>
          </w:rPr>
          <w:t xml:space="preserve">, </w:t>
        </w:r>
        <w:r w:rsidRPr="00FC7835">
          <w:rPr>
            <w:rStyle w:val="a5"/>
          </w:rPr>
          <w:t>245.pdf</w:t>
        </w:r>
      </w:hyperlink>
    </w:p>
    <w:p w:rsidR="00A91285" w:rsidRPr="00FC7835" w:rsidRDefault="00A91285" w:rsidP="00A91285">
      <w:pPr>
        <w:pStyle w:val="a3"/>
      </w:pPr>
      <w:r w:rsidRPr="00FC7835">
        <w:t>Abstract: Background</w:t>
      </w:r>
    </w:p>
    <w:p w:rsidR="00A91285" w:rsidRPr="00FC7835" w:rsidRDefault="00A91285" w:rsidP="00A91285">
      <w:pPr>
        <w:pStyle w:val="a3"/>
      </w:pPr>
      <w:r w:rsidRPr="00FC7835">
        <w:t>The purpose</w:t>
      </w:r>
      <w:r w:rsidR="00427468">
        <w:t xml:space="preserve"> of </w:t>
      </w:r>
      <w:r w:rsidRPr="00FC7835">
        <w:t>this study is to analyse</w:t>
      </w:r>
      <w:r w:rsidR="003A1917">
        <w:t xml:space="preserve"> the </w:t>
      </w:r>
      <w:r w:rsidRPr="00FC7835">
        <w:t>trends in scientific research on transmissible spongiform encephalopathies by applying bibliometric tools to</w:t>
      </w:r>
      <w:r w:rsidR="003A1917">
        <w:t xml:space="preserve"> the </w:t>
      </w:r>
      <w:r w:rsidRPr="00FC7835">
        <w:t xml:space="preserve">scientific </w:t>
      </w:r>
      <w:r w:rsidRPr="00FC7835">
        <w:lastRenderedPageBreak/>
        <w:t>literature published between 1973</w:t>
      </w:r>
      <w:r w:rsidR="005853A9">
        <w:t xml:space="preserve"> and </w:t>
      </w:r>
      <w:r w:rsidRPr="00FC7835">
        <w:t>2002.</w:t>
      </w:r>
    </w:p>
    <w:p w:rsidR="00A91285" w:rsidRPr="00FC7835" w:rsidRDefault="00A91285" w:rsidP="00A91285">
      <w:pPr>
        <w:pStyle w:val="a3"/>
      </w:pPr>
      <w:r w:rsidRPr="00FC7835">
        <w:t>Methods</w:t>
      </w:r>
    </w:p>
    <w:p w:rsidR="00A91285" w:rsidRPr="00FC7835" w:rsidRDefault="00A91285" w:rsidP="00A91285">
      <w:pPr>
        <w:pStyle w:val="a3"/>
      </w:pPr>
      <w:r w:rsidRPr="00FC7835">
        <w:t>The data for</w:t>
      </w:r>
      <w:r w:rsidR="003A1917">
        <w:t xml:space="preserve"> the </w:t>
      </w:r>
      <w:r w:rsidRPr="00FC7835">
        <w:t xml:space="preserve">study were obtained from </w:t>
      </w:r>
      <w:r w:rsidR="00D5664A">
        <w:t>MEDLINE</w:t>
      </w:r>
      <w:r w:rsidRPr="00FC7835">
        <w:t xml:space="preserve"> database</w:t>
      </w:r>
      <w:r>
        <w:t xml:space="preserve">, </w:t>
      </w:r>
      <w:r w:rsidRPr="00FC7835">
        <w:t>in order to determine</w:t>
      </w:r>
      <w:r w:rsidR="003A1917">
        <w:t xml:space="preserve"> the </w:t>
      </w:r>
      <w:r w:rsidRPr="00FC7835">
        <w:t>volume</w:t>
      </w:r>
      <w:r w:rsidR="00427468">
        <w:t xml:space="preserve"> of </w:t>
      </w:r>
      <w:r w:rsidRPr="00FC7835">
        <w:t>scientific output in</w:t>
      </w:r>
      <w:r w:rsidR="003A1917">
        <w:t xml:space="preserve"> the </w:t>
      </w:r>
      <w:r w:rsidRPr="00FC7835">
        <w:t>above period</w:t>
      </w:r>
      <w:r>
        <w:t>,</w:t>
      </w:r>
      <w:r w:rsidR="003A1917">
        <w:t xml:space="preserve"> the </w:t>
      </w:r>
      <w:r w:rsidRPr="00FC7835">
        <w:t>countries involved</w:t>
      </w:r>
      <w:r>
        <w:t>,</w:t>
      </w:r>
      <w:r w:rsidR="003A1917">
        <w:t xml:space="preserve"> the </w:t>
      </w:r>
      <w:r w:rsidRPr="00FC7835">
        <w:t>type</w:t>
      </w:r>
      <w:r w:rsidR="00427468">
        <w:t xml:space="preserve"> of </w:t>
      </w:r>
      <w:r w:rsidRPr="00FC7835">
        <w:t>document</w:t>
      </w:r>
      <w:r w:rsidR="005853A9">
        <w:t xml:space="preserve"> and </w:t>
      </w:r>
      <w:r w:rsidR="003A1917">
        <w:t xml:space="preserve">the </w:t>
      </w:r>
      <w:r w:rsidRPr="00FC7835">
        <w:t>trends in</w:t>
      </w:r>
      <w:r w:rsidR="003A1917">
        <w:t xml:space="preserve"> the </w:t>
      </w:r>
      <w:r w:rsidRPr="00FC7835">
        <w:t>subject matters addressed</w:t>
      </w:r>
      <w:r w:rsidR="00A37C1D">
        <w:t>. The</w:t>
      </w:r>
      <w:r w:rsidR="003A1917">
        <w:t xml:space="preserve"> </w:t>
      </w:r>
      <w:r w:rsidRPr="00FC7835">
        <w:t>period 1973–2002 was divided in three sub-periods.</w:t>
      </w:r>
    </w:p>
    <w:p w:rsidR="00A91285" w:rsidRPr="00FC7835" w:rsidRDefault="00A91285" w:rsidP="00A91285">
      <w:pPr>
        <w:pStyle w:val="a3"/>
      </w:pPr>
      <w:r w:rsidRPr="00FC7835">
        <w:t>Results</w:t>
      </w:r>
    </w:p>
    <w:p w:rsidR="00A91285" w:rsidRPr="00FC7835" w:rsidRDefault="00A91285" w:rsidP="00A91285">
      <w:pPr>
        <w:pStyle w:val="a3"/>
      </w:pPr>
      <w:r w:rsidRPr="00FC7835">
        <w:t>We observed a significant growth in scientific production</w:t>
      </w:r>
      <w:r w:rsidR="00A37C1D">
        <w:t>. The</w:t>
      </w:r>
      <w:r w:rsidR="003A1917">
        <w:t xml:space="preserve"> </w:t>
      </w:r>
      <w:r w:rsidRPr="00FC7835">
        <w:t>percentage</w:t>
      </w:r>
      <w:r w:rsidR="00427468">
        <w:t xml:space="preserve"> of </w:t>
      </w:r>
      <w:r w:rsidRPr="00FC7835">
        <w:t>increase is 871.7 from 1973 to 2002. This is more evident since 1991</w:t>
      </w:r>
      <w:r w:rsidR="005853A9">
        <w:t xml:space="preserve"> and </w:t>
      </w:r>
      <w:r w:rsidRPr="00FC7835">
        <w:t>particularly in</w:t>
      </w:r>
      <w:r w:rsidR="003A1917">
        <w:t xml:space="preserve"> the </w:t>
      </w:r>
      <w:r w:rsidRPr="00FC7835">
        <w:t>1996–2001 period</w:t>
      </w:r>
      <w:r w:rsidR="00A37C1D">
        <w:t>. The</w:t>
      </w:r>
      <w:r w:rsidR="003A1917">
        <w:t xml:space="preserve"> </w:t>
      </w:r>
      <w:r w:rsidRPr="00FC7835">
        <w:t>countries found to have</w:t>
      </w:r>
      <w:r w:rsidR="003A1917">
        <w:t xml:space="preserve"> the </w:t>
      </w:r>
      <w:r w:rsidRPr="00FC7835">
        <w:t>highest output were</w:t>
      </w:r>
      <w:r w:rsidR="003A1917">
        <w:t xml:space="preserve"> the </w:t>
      </w:r>
      <w:r w:rsidRPr="00FC7835">
        <w:t>United States</w:t>
      </w:r>
      <w:r>
        <w:t>,</w:t>
      </w:r>
      <w:r w:rsidR="003A1917">
        <w:t xml:space="preserve"> the </w:t>
      </w:r>
      <w:r w:rsidRPr="00FC7835">
        <w:t>United Kingdom</w:t>
      </w:r>
      <w:r>
        <w:t xml:space="preserve">, </w:t>
      </w:r>
      <w:r w:rsidRPr="00FC7835">
        <w:t>Japan</w:t>
      </w:r>
      <w:r>
        <w:t xml:space="preserve">, </w:t>
      </w:r>
      <w:r w:rsidRPr="00FC7835">
        <w:t>France</w:t>
      </w:r>
      <w:r w:rsidR="005853A9">
        <w:t xml:space="preserve"> and </w:t>
      </w:r>
      <w:r w:rsidRPr="00FC7835">
        <w:t>Germany</w:t>
      </w:r>
      <w:r w:rsidR="00A37C1D">
        <w:t>. The</w:t>
      </w:r>
      <w:r w:rsidR="003A1917">
        <w:t xml:space="preserve"> </w:t>
      </w:r>
      <w:r w:rsidRPr="00FC7835">
        <w:t>evolution in</w:t>
      </w:r>
      <w:r w:rsidR="003A1917">
        <w:t xml:space="preserve"> the </w:t>
      </w:r>
      <w:r w:rsidRPr="00FC7835">
        <w:t>subject matters was almost constant in</w:t>
      </w:r>
      <w:r w:rsidR="003A1917">
        <w:t xml:space="preserve"> the </w:t>
      </w:r>
      <w:r w:rsidRPr="00FC7835">
        <w:t>three sub-periods in which</w:t>
      </w:r>
      <w:r w:rsidR="003A1917">
        <w:t xml:space="preserve"> the </w:t>
      </w:r>
      <w:r w:rsidRPr="00FC7835">
        <w:t>study was divided. In</w:t>
      </w:r>
      <w:r w:rsidR="003A1917">
        <w:t xml:space="preserve"> the </w:t>
      </w:r>
      <w:r w:rsidRPr="00FC7835">
        <w:t>first</w:t>
      </w:r>
      <w:r w:rsidR="005853A9">
        <w:t xml:space="preserve"> and </w:t>
      </w:r>
      <w:r w:rsidRPr="00FC7835">
        <w:t>second sub-periods</w:t>
      </w:r>
      <w:r>
        <w:t>,</w:t>
      </w:r>
      <w:r w:rsidR="003A1917">
        <w:t xml:space="preserve"> the </w:t>
      </w:r>
      <w:r w:rsidRPr="00FC7835">
        <w:t>subject matters</w:t>
      </w:r>
      <w:r w:rsidR="00427468">
        <w:t xml:space="preserve"> of </w:t>
      </w:r>
      <w:r w:rsidRPr="00FC7835">
        <w:t>greatest interest were more general</w:t>
      </w:r>
      <w:r>
        <w:t xml:space="preserve">, </w:t>
      </w:r>
      <w:r w:rsidRPr="00FC7835">
        <w:t>i.e Nervous system or Nervous system diseases</w:t>
      </w:r>
      <w:r>
        <w:t xml:space="preserve">, </w:t>
      </w:r>
      <w:r w:rsidRPr="00FC7835">
        <w:t>Creutzfeldt-Jakob disease</w:t>
      </w:r>
      <w:r>
        <w:t xml:space="preserve">, </w:t>
      </w:r>
      <w:r w:rsidRPr="00FC7835">
        <w:t>Scrapie</w:t>
      </w:r>
      <w:r>
        <w:t>,</w:t>
      </w:r>
      <w:r w:rsidR="005853A9">
        <w:t xml:space="preserve"> and </w:t>
      </w:r>
      <w:r w:rsidRPr="00FC7835">
        <w:t>Chemicals</w:t>
      </w:r>
      <w:r w:rsidR="005853A9">
        <w:t xml:space="preserve"> and </w:t>
      </w:r>
      <w:r w:rsidRPr="00FC7835">
        <w:t>Drugs</w:t>
      </w:r>
      <w:r>
        <w:t xml:space="preserve">, </w:t>
      </w:r>
      <w:r w:rsidRPr="00FC7835">
        <w:t>but in</w:t>
      </w:r>
      <w:r w:rsidR="003A1917">
        <w:t xml:space="preserve"> the </w:t>
      </w:r>
      <w:r w:rsidRPr="00FC7835">
        <w:t>last sub-period</w:t>
      </w:r>
      <w:r>
        <w:t xml:space="preserve">, </w:t>
      </w:r>
      <w:r w:rsidRPr="00FC7835">
        <w:t>some changes were observed because</w:t>
      </w:r>
      <w:r w:rsidR="003A1917">
        <w:t xml:space="preserve"> the </w:t>
      </w:r>
      <w:r w:rsidRPr="00FC7835">
        <w:t>Prion-related matters had</w:t>
      </w:r>
      <w:r w:rsidR="003A1917">
        <w:t xml:space="preserve"> the </w:t>
      </w:r>
      <w:r w:rsidRPr="00FC7835">
        <w:t>greatest presence.</w:t>
      </w:r>
    </w:p>
    <w:p w:rsidR="00A91285" w:rsidRPr="00FC7835" w:rsidRDefault="00A91285" w:rsidP="00A91285">
      <w:pPr>
        <w:pStyle w:val="a3"/>
      </w:pPr>
      <w:r w:rsidRPr="00FC7835">
        <w:t>Collaboration among authors is small from 1973 to 1992</w:t>
      </w:r>
      <w:r>
        <w:t xml:space="preserve">, </w:t>
      </w:r>
      <w:r w:rsidRPr="00FC7835">
        <w:t>but increases notably in</w:t>
      </w:r>
      <w:r w:rsidR="003A1917">
        <w:t xml:space="preserve"> the </w:t>
      </w:r>
      <w:r w:rsidRPr="00FC7835">
        <w:t>third sub-period</w:t>
      </w:r>
      <w:r>
        <w:t>,</w:t>
      </w:r>
      <w:r w:rsidR="005853A9">
        <w:t xml:space="preserve"> and </w:t>
      </w:r>
      <w:r w:rsidRPr="00FC7835">
        <w:t>also</w:t>
      </w:r>
      <w:r w:rsidR="003A1917">
        <w:t xml:space="preserve"> the </w:t>
      </w:r>
      <w:r w:rsidRPr="00FC7835">
        <w:t>number</w:t>
      </w:r>
      <w:r w:rsidR="00427468">
        <w:t xml:space="preserve"> of </w:t>
      </w:r>
      <w:r w:rsidRPr="00FC7835">
        <w:t>authors</w:t>
      </w:r>
      <w:r w:rsidR="005853A9">
        <w:t xml:space="preserve"> and </w:t>
      </w:r>
      <w:r w:rsidRPr="00FC7835">
        <w:t>clusters formed. Some</w:t>
      </w:r>
      <w:r w:rsidR="00427468">
        <w:t xml:space="preserve"> of </w:t>
      </w:r>
      <w:r w:rsidR="003A1917">
        <w:t xml:space="preserve">the </w:t>
      </w:r>
      <w:r w:rsidRPr="00FC7835">
        <w:t>authors</w:t>
      </w:r>
      <w:r>
        <w:t xml:space="preserve">, </w:t>
      </w:r>
      <w:r w:rsidRPr="00FC7835">
        <w:t>like Gajdusek or Prusiner</w:t>
      </w:r>
      <w:r>
        <w:t xml:space="preserve">, </w:t>
      </w:r>
      <w:r w:rsidRPr="00FC7835">
        <w:t>appear in</w:t>
      </w:r>
      <w:r w:rsidR="003A1917">
        <w:t xml:space="preserve"> the </w:t>
      </w:r>
      <w:r w:rsidRPr="00FC7835">
        <w:t>whole period.</w:t>
      </w:r>
    </w:p>
    <w:p w:rsidR="00A91285" w:rsidRPr="00FC7835" w:rsidRDefault="00A91285" w:rsidP="00A91285">
      <w:pPr>
        <w:pStyle w:val="a3"/>
      </w:pPr>
      <w:r w:rsidRPr="00FC7835">
        <w:t>Conclusion</w:t>
      </w:r>
    </w:p>
    <w:p w:rsidR="00A91285" w:rsidRPr="00FC7835" w:rsidRDefault="00A91285" w:rsidP="00A91285">
      <w:pPr>
        <w:pStyle w:val="a3"/>
      </w:pPr>
      <w:r w:rsidRPr="00FC7835">
        <w:t>The study reveals a very high increase in scientific production. It is related also with</w:t>
      </w:r>
      <w:r w:rsidR="003A1917">
        <w:t xml:space="preserve"> the </w:t>
      </w:r>
      <w:r w:rsidRPr="00FC7835">
        <w:t>beginnings</w:t>
      </w:r>
      <w:r w:rsidR="00427468">
        <w:t xml:space="preserve"> of </w:t>
      </w:r>
      <w:r w:rsidRPr="00FC7835">
        <w:t>research on bovine spongiform encephalopathy</w:t>
      </w:r>
      <w:r w:rsidR="005853A9">
        <w:t xml:space="preserve"> and </w:t>
      </w:r>
      <w:r w:rsidRPr="00FC7835">
        <w:t>variant Creutzfeldt-Jakob disease</w:t>
      </w:r>
      <w:r>
        <w:t xml:space="preserve">, </w:t>
      </w:r>
      <w:r w:rsidRPr="00FC7835">
        <w:t>with</w:t>
      </w:r>
      <w:r w:rsidR="003A1917">
        <w:t xml:space="preserve"> the </w:t>
      </w:r>
      <w:r w:rsidRPr="00FC7835">
        <w:t>establishment</w:t>
      </w:r>
      <w:r w:rsidR="00427468">
        <w:t xml:space="preserve"> of </w:t>
      </w:r>
      <w:r w:rsidRPr="00FC7835">
        <w:t>progressive collaboration relationships</w:t>
      </w:r>
      <w:r w:rsidR="005853A9">
        <w:t xml:space="preserve"> and </w:t>
      </w:r>
      <w:r w:rsidRPr="00FC7835">
        <w:t>a reflection</w:t>
      </w:r>
      <w:r w:rsidR="00427468">
        <w:t xml:space="preserve"> of </w:t>
      </w:r>
      <w:r w:rsidRPr="00FC7835">
        <w:t>public health concerns about this problem.</w:t>
      </w:r>
    </w:p>
    <w:p w:rsidR="00A91285" w:rsidRPr="00FC7835" w:rsidRDefault="00A91285" w:rsidP="00A91285">
      <w:pPr>
        <w:pStyle w:val="a3"/>
        <w:rPr>
          <w:kern w:val="0"/>
        </w:rPr>
      </w:pPr>
      <w:r w:rsidRPr="00FC7835">
        <w:rPr>
          <w:kern w:val="0"/>
        </w:rPr>
        <w:t>Keywords: Activity</w:t>
      </w:r>
      <w:r>
        <w:rPr>
          <w:kern w:val="0"/>
        </w:rPr>
        <w:t xml:space="preserve">, </w:t>
      </w:r>
      <w:r w:rsidRPr="00FC7835">
        <w:rPr>
          <w:kern w:val="0"/>
        </w:rPr>
        <w:t>Bibliometric Study</w:t>
      </w:r>
      <w:r>
        <w:rPr>
          <w:kern w:val="0"/>
        </w:rPr>
        <w:t xml:space="preserve">, </w:t>
      </w:r>
      <w:r w:rsidRPr="00FC7835">
        <w:rPr>
          <w:kern w:val="0"/>
        </w:rPr>
        <w:t>Bovine</w:t>
      </w:r>
      <w:r>
        <w:rPr>
          <w:kern w:val="0"/>
        </w:rPr>
        <w:t xml:space="preserve">, </w:t>
      </w:r>
      <w:r w:rsidRPr="00FC7835">
        <w:rPr>
          <w:kern w:val="0"/>
        </w:rPr>
        <w:t>Clusters</w:t>
      </w:r>
      <w:r>
        <w:rPr>
          <w:kern w:val="0"/>
        </w:rPr>
        <w:t xml:space="preserve">, </w:t>
      </w:r>
      <w:r w:rsidRPr="00FC7835">
        <w:rPr>
          <w:kern w:val="0"/>
        </w:rPr>
        <w:t>Collaboration</w:t>
      </w:r>
      <w:r>
        <w:rPr>
          <w:kern w:val="0"/>
        </w:rPr>
        <w:t xml:space="preserve">, </w:t>
      </w:r>
      <w:r w:rsidRPr="00FC7835">
        <w:rPr>
          <w:kern w:val="0"/>
        </w:rPr>
        <w:t>Databases</w:t>
      </w:r>
      <w:r>
        <w:rPr>
          <w:kern w:val="0"/>
        </w:rPr>
        <w:t xml:space="preserve">, </w:t>
      </w:r>
      <w:r w:rsidRPr="00FC7835">
        <w:rPr>
          <w:kern w:val="0"/>
        </w:rPr>
        <w:t>Disease</w:t>
      </w:r>
      <w:r>
        <w:rPr>
          <w:kern w:val="0"/>
        </w:rPr>
        <w:t xml:space="preserve">, </w:t>
      </w:r>
      <w:r w:rsidRPr="00FC7835">
        <w:rPr>
          <w:kern w:val="0"/>
        </w:rPr>
        <w:t>Diseases</w:t>
      </w:r>
      <w:r>
        <w:rPr>
          <w:kern w:val="0"/>
        </w:rPr>
        <w:t xml:space="preserve">, </w:t>
      </w:r>
      <w:r w:rsidRPr="00FC7835">
        <w:rPr>
          <w:kern w:val="0"/>
        </w:rPr>
        <w:t>Evolution</w:t>
      </w:r>
      <w:r>
        <w:rPr>
          <w:kern w:val="0"/>
        </w:rPr>
        <w:t xml:space="preserve">, </w:t>
      </w:r>
      <w:r w:rsidRPr="00FC7835">
        <w:rPr>
          <w:kern w:val="0"/>
        </w:rPr>
        <w:t>France</w:t>
      </w:r>
      <w:r>
        <w:rPr>
          <w:kern w:val="0"/>
        </w:rPr>
        <w:t xml:space="preserve">, </w:t>
      </w:r>
      <w:r w:rsidRPr="00FC7835">
        <w:rPr>
          <w:kern w:val="0"/>
        </w:rPr>
        <w:t>General</w:t>
      </w:r>
      <w:r>
        <w:rPr>
          <w:kern w:val="0"/>
        </w:rPr>
        <w:t xml:space="preserve">, </w:t>
      </w:r>
      <w:r w:rsidRPr="00FC7835">
        <w:rPr>
          <w:kern w:val="0"/>
        </w:rPr>
        <w:t>Germany</w:t>
      </w:r>
      <w:r>
        <w:rPr>
          <w:kern w:val="0"/>
        </w:rPr>
        <w:t xml:space="preserve">, </w:t>
      </w:r>
      <w:r w:rsidRPr="00FC7835">
        <w:rPr>
          <w:kern w:val="0"/>
        </w:rPr>
        <w:t>Growth</w:t>
      </w:r>
      <w:r>
        <w:rPr>
          <w:kern w:val="0"/>
        </w:rPr>
        <w:t xml:space="preserve">, </w:t>
      </w:r>
      <w:r w:rsidRPr="00FC7835">
        <w:rPr>
          <w:kern w:val="0"/>
        </w:rPr>
        <w:t>Health</w:t>
      </w:r>
      <w:r>
        <w:rPr>
          <w:kern w:val="0"/>
        </w:rPr>
        <w:t xml:space="preserve">, </w:t>
      </w:r>
      <w:r w:rsidRPr="00FC7835">
        <w:rPr>
          <w:kern w:val="0"/>
        </w:rPr>
        <w:t>Japan</w:t>
      </w:r>
      <w:r>
        <w:rPr>
          <w:kern w:val="0"/>
        </w:rPr>
        <w:t xml:space="preserve">, </w:t>
      </w:r>
      <w:r w:rsidRPr="00FC7835">
        <w:rPr>
          <w:kern w:val="0"/>
        </w:rPr>
        <w:t>Output</w:t>
      </w:r>
      <w:r>
        <w:rPr>
          <w:kern w:val="0"/>
        </w:rPr>
        <w:t xml:space="preserve">, </w:t>
      </w:r>
      <w:r w:rsidRPr="00FC7835">
        <w:rPr>
          <w:kern w:val="0"/>
        </w:rPr>
        <w:t>Production</w:t>
      </w:r>
      <w:r>
        <w:rPr>
          <w:kern w:val="0"/>
        </w:rPr>
        <w:t xml:space="preserve">, </w:t>
      </w:r>
      <w:r w:rsidRPr="00FC7835">
        <w:rPr>
          <w:kern w:val="0"/>
        </w:rPr>
        <w:t>Public Health</w:t>
      </w:r>
      <w:r>
        <w:rPr>
          <w:kern w:val="0"/>
        </w:rPr>
        <w:t xml:space="preserve">, </w:t>
      </w:r>
      <w:r w:rsidRPr="00FC7835">
        <w:rPr>
          <w:kern w:val="0"/>
        </w:rPr>
        <w:t>Research</w:t>
      </w:r>
      <w:r>
        <w:rPr>
          <w:kern w:val="0"/>
        </w:rPr>
        <w:t xml:space="preserve">, </w:t>
      </w:r>
      <w:r w:rsidRPr="00FC7835">
        <w:rPr>
          <w:kern w:val="0"/>
        </w:rPr>
        <w:t>Scientific Production</w:t>
      </w:r>
      <w:r>
        <w:rPr>
          <w:kern w:val="0"/>
        </w:rPr>
        <w:t xml:space="preserve">, </w:t>
      </w:r>
      <w:r w:rsidRPr="00FC7835">
        <w:rPr>
          <w:kern w:val="0"/>
        </w:rPr>
        <w:t>Tools</w:t>
      </w:r>
      <w:r>
        <w:rPr>
          <w:kern w:val="0"/>
        </w:rPr>
        <w:t xml:space="preserve">, </w:t>
      </w:r>
      <w:r w:rsidRPr="00FC7835">
        <w:rPr>
          <w:kern w:val="0"/>
        </w:rPr>
        <w:t>Trends</w:t>
      </w:r>
      <w:r>
        <w:rPr>
          <w:kern w:val="0"/>
        </w:rPr>
        <w:t xml:space="preserve">, </w:t>
      </w:r>
      <w:r w:rsidRPr="00FC7835">
        <w:rPr>
          <w:kern w:val="0"/>
        </w:rPr>
        <w:t>United Kingdom</w:t>
      </w:r>
      <w:r>
        <w:rPr>
          <w:kern w:val="0"/>
        </w:rPr>
        <w:t xml:space="preserve">, </w:t>
      </w:r>
      <w:r w:rsidRPr="00FC7835">
        <w:rPr>
          <w:kern w:val="0"/>
        </w:rPr>
        <w:t>United States</w:t>
      </w:r>
    </w:p>
    <w:p w:rsidR="00A91285" w:rsidRPr="00FC7835" w:rsidRDefault="00A91285" w:rsidP="00A91285">
      <w:pPr>
        <w:pStyle w:val="a3"/>
        <w:rPr>
          <w:kern w:val="2"/>
        </w:rPr>
      </w:pPr>
      <w:r w:rsidRPr="00FC7835">
        <w:t>? Soteriades</w:t>
      </w:r>
      <w:r>
        <w:t xml:space="preserve">, </w:t>
      </w:r>
      <w:r w:rsidRPr="00FC7835">
        <w:t>E.S.</w:t>
      </w:r>
      <w:r w:rsidR="005853A9">
        <w:t xml:space="preserve"> and </w:t>
      </w:r>
      <w:r w:rsidRPr="00FC7835">
        <w:t>Falagas</w:t>
      </w:r>
      <w:r>
        <w:t xml:space="preserve">, </w:t>
      </w:r>
      <w:r w:rsidRPr="00FC7835">
        <w:t>M.E. (2006)</w:t>
      </w:r>
      <w:r>
        <w:t xml:space="preserve">, </w:t>
      </w:r>
      <w:r w:rsidRPr="00FC7835">
        <w:t>A bibliometric analysis in</w:t>
      </w:r>
      <w:r w:rsidR="003A1917">
        <w:t xml:space="preserve"> the </w:t>
      </w:r>
      <w:r w:rsidRPr="00FC7835">
        <w:t>fields</w:t>
      </w:r>
      <w:r w:rsidR="00427468">
        <w:t xml:space="preserve"> of </w:t>
      </w:r>
      <w:r w:rsidRPr="00FC7835">
        <w:t>preventive medicine</w:t>
      </w:r>
      <w:r>
        <w:t xml:space="preserve">, </w:t>
      </w:r>
      <w:r w:rsidRPr="00FC7835">
        <w:t>occupational</w:t>
      </w:r>
      <w:r w:rsidR="005853A9">
        <w:t xml:space="preserve"> and </w:t>
      </w:r>
      <w:r w:rsidRPr="00FC7835">
        <w:t>environmental medicine</w:t>
      </w:r>
      <w:r>
        <w:t xml:space="preserve">, </w:t>
      </w:r>
      <w:r w:rsidRPr="00FC7835">
        <w:t>epidemiology</w:t>
      </w:r>
      <w:r>
        <w:t>,</w:t>
      </w:r>
      <w:r w:rsidR="005853A9">
        <w:t xml:space="preserve"> and </w:t>
      </w:r>
      <w:r w:rsidRPr="00FC7835">
        <w:t xml:space="preserve">public health. </w:t>
      </w:r>
      <w:r w:rsidRPr="00FC7835">
        <w:rPr>
          <w:i/>
          <w:szCs w:val="24"/>
        </w:rPr>
        <w:t>BMC Public Health</w:t>
      </w:r>
      <w:r>
        <w:t xml:space="preserve">, </w:t>
      </w:r>
      <w:r w:rsidRPr="00FC7835">
        <w:rPr>
          <w:b/>
        </w:rPr>
        <w:t>6</w:t>
      </w:r>
      <w:r>
        <w:rPr>
          <w:rFonts w:hint="eastAsia"/>
          <w:kern w:val="0"/>
          <w:szCs w:val="24"/>
        </w:rPr>
        <w:t>,</w:t>
      </w:r>
      <w:r w:rsidRPr="00871A82">
        <w:t xml:space="preserve"> </w:t>
      </w:r>
      <w:r>
        <w:rPr>
          <w:kern w:val="0"/>
          <w:szCs w:val="24"/>
        </w:rPr>
        <w:t xml:space="preserve">Article Number: </w:t>
      </w:r>
      <w:r>
        <w:rPr>
          <w:rFonts w:hint="eastAsia"/>
          <w:kern w:val="0"/>
          <w:szCs w:val="24"/>
        </w:rPr>
        <w:t>301</w:t>
      </w:r>
      <w:r w:rsidRPr="00FC7835">
        <w:t>.</w:t>
      </w:r>
    </w:p>
    <w:p w:rsidR="00A91285" w:rsidRPr="00FC7835" w:rsidRDefault="00A91285" w:rsidP="00A91285">
      <w:pPr>
        <w:pStyle w:val="a3"/>
      </w:pPr>
      <w:r>
        <w:t>Full Text:</w:t>
      </w:r>
      <w:r w:rsidRPr="00FC7835">
        <w:t xml:space="preserve"> </w:t>
      </w:r>
      <w:hyperlink r:id="rId1695" w:history="1">
        <w:r w:rsidRPr="00FC7835">
          <w:rPr>
            <w:rStyle w:val="a5"/>
          </w:rPr>
          <w:t>2006\BMC Pub Hea6</w:t>
        </w:r>
        <w:r>
          <w:rPr>
            <w:rStyle w:val="a5"/>
          </w:rPr>
          <w:t xml:space="preserve">, </w:t>
        </w:r>
        <w:r w:rsidRPr="00FC7835">
          <w:rPr>
            <w:rStyle w:val="a5"/>
          </w:rPr>
          <w:t>301.pdf</w:t>
        </w:r>
      </w:hyperlink>
    </w:p>
    <w:p w:rsidR="00A91285" w:rsidRPr="00FC7835" w:rsidRDefault="00A91285" w:rsidP="00A91285">
      <w:pPr>
        <w:pStyle w:val="a3"/>
      </w:pPr>
      <w:r w:rsidRPr="00FC7835">
        <w:t>ABSTRACT: BACKGROUND: Research in</w:t>
      </w:r>
      <w:r w:rsidR="003A1917">
        <w:t xml:space="preserve"> the </w:t>
      </w:r>
      <w:r w:rsidRPr="00FC7835">
        <w:t>fields</w:t>
      </w:r>
      <w:r w:rsidR="00427468">
        <w:t xml:space="preserve"> of </w:t>
      </w:r>
      <w:r w:rsidRPr="00FC7835">
        <w:t>Preventive Medicine</w:t>
      </w:r>
      <w:r>
        <w:t xml:space="preserve">, </w:t>
      </w:r>
      <w:r w:rsidRPr="00FC7835">
        <w:t>Occupational / Environmental Medicine</w:t>
      </w:r>
      <w:r>
        <w:t xml:space="preserve">, </w:t>
      </w:r>
      <w:r w:rsidRPr="00FC7835">
        <w:t>Epidemiology</w:t>
      </w:r>
      <w:r w:rsidR="005853A9">
        <w:t xml:space="preserve"> and </w:t>
      </w:r>
      <w:r w:rsidRPr="00FC7835">
        <w:t>Public Health play an important role in</w:t>
      </w:r>
      <w:r w:rsidR="003A1917">
        <w:t xml:space="preserve"> the </w:t>
      </w:r>
      <w:r w:rsidRPr="00FC7835">
        <w:t>advancement</w:t>
      </w:r>
      <w:r w:rsidR="00427468">
        <w:t xml:space="preserve"> of </w:t>
      </w:r>
      <w:r w:rsidRPr="00FC7835">
        <w:t>knowledge. In order to map</w:t>
      </w:r>
      <w:r w:rsidR="003A1917">
        <w:t xml:space="preserve"> the </w:t>
      </w:r>
      <w:r w:rsidRPr="00FC7835">
        <w:t>research production around</w:t>
      </w:r>
      <w:r w:rsidR="003A1917">
        <w:t xml:space="preserve"> the </w:t>
      </w:r>
      <w:r w:rsidRPr="00FC7835">
        <w:t>world we performed a bibliometric analysis in</w:t>
      </w:r>
      <w:r w:rsidR="003A1917">
        <w:t xml:space="preserve"> the </w:t>
      </w:r>
      <w:r w:rsidRPr="00FC7835">
        <w:t>above fields. METHODS: All articles published by different world regions in</w:t>
      </w:r>
      <w:r w:rsidR="003A1917">
        <w:t xml:space="preserve"> the </w:t>
      </w:r>
      <w:r w:rsidRPr="00FC7835">
        <w:t>above mentioned scientific fields</w:t>
      </w:r>
      <w:r w:rsidR="005853A9">
        <w:t xml:space="preserve"> and </w:t>
      </w:r>
      <w:r w:rsidRPr="00FC7835">
        <w:t>cited in</w:t>
      </w:r>
      <w:r w:rsidR="003A1917">
        <w:t xml:space="preserve"> the </w:t>
      </w:r>
      <w:r w:rsidRPr="00FC7835">
        <w:t>Journal Citation Reports (JCR) database</w:t>
      </w:r>
      <w:r w:rsidR="00427468">
        <w:t xml:space="preserve"> of </w:t>
      </w:r>
      <w:r w:rsidR="003A1917">
        <w:t xml:space="preserve">the </w:t>
      </w:r>
      <w:r w:rsidRPr="00FC7835">
        <w:lastRenderedPageBreak/>
        <w:t>Institute for Scientific Information (ISI) during</w:t>
      </w:r>
      <w:r w:rsidR="003A1917">
        <w:t xml:space="preserve"> the </w:t>
      </w:r>
      <w:r w:rsidRPr="00FC7835">
        <w:t>period 1995</w:t>
      </w:r>
      <w:r w:rsidR="005853A9">
        <w:t xml:space="preserve"> and </w:t>
      </w:r>
      <w:r w:rsidRPr="00FC7835">
        <w:t>2003</w:t>
      </w:r>
      <w:r>
        <w:t xml:space="preserve">, </w:t>
      </w:r>
      <w:r w:rsidRPr="00FC7835">
        <w:t>were evaluated</w:t>
      </w:r>
      <w:r w:rsidR="00A37C1D">
        <w:t>. The</w:t>
      </w:r>
      <w:r w:rsidR="003A1917">
        <w:t xml:space="preserve"> </w:t>
      </w:r>
      <w:r w:rsidRPr="00FC7835">
        <w:t>research production</w:t>
      </w:r>
      <w:r w:rsidR="00427468">
        <w:t xml:space="preserve"> of </w:t>
      </w:r>
      <w:r w:rsidRPr="00FC7835">
        <w:t>different world regions was adjusted for: a)</w:t>
      </w:r>
      <w:r w:rsidR="003A1917">
        <w:t xml:space="preserve"> the </w:t>
      </w:r>
      <w:r w:rsidRPr="00FC7835">
        <w:t>gross domestic product in 1995 US dollars</w:t>
      </w:r>
      <w:r>
        <w:t>,</w:t>
      </w:r>
      <w:r w:rsidR="005853A9">
        <w:t xml:space="preserve"> and </w:t>
      </w:r>
      <w:r w:rsidRPr="00FC7835">
        <w:t>b)</w:t>
      </w:r>
      <w:r w:rsidR="003A1917">
        <w:t xml:space="preserve"> the </w:t>
      </w:r>
      <w:r w:rsidRPr="00FC7835">
        <w:t>population size</w:t>
      </w:r>
      <w:r w:rsidR="00427468">
        <w:t xml:space="preserve"> of </w:t>
      </w:r>
      <w:r w:rsidRPr="00FC7835">
        <w:t>each region. RESULTS: A total</w:t>
      </w:r>
      <w:r w:rsidR="00427468">
        <w:t xml:space="preserve"> of </w:t>
      </w:r>
      <w:r w:rsidRPr="00FC7835">
        <w:t>48,861 articles were retrieved</w:t>
      </w:r>
      <w:r w:rsidR="005853A9">
        <w:t xml:space="preserve"> and </w:t>
      </w:r>
      <w:r w:rsidRPr="00FC7835">
        <w:t>categorized</w:t>
      </w:r>
      <w:r w:rsidR="00A37C1D">
        <w:t>. The</w:t>
      </w:r>
      <w:r w:rsidR="003A1917">
        <w:t xml:space="preserve"> </w:t>
      </w:r>
      <w:r w:rsidR="00D5664A">
        <w:t>USA</w:t>
      </w:r>
      <w:r w:rsidRPr="00FC7835">
        <w:t xml:space="preserve"> led</w:t>
      </w:r>
      <w:r w:rsidR="003A1917">
        <w:t xml:space="preserve"> the </w:t>
      </w:r>
      <w:r w:rsidRPr="00FC7835">
        <w:t>research production in all three subcategories</w:t>
      </w:r>
      <w:r w:rsidR="00A37C1D">
        <w:t>. The</w:t>
      </w:r>
      <w:r w:rsidR="003A1917">
        <w:t xml:space="preserve"> </w:t>
      </w:r>
      <w:r w:rsidRPr="00FC7835">
        <w:t>percentage</w:t>
      </w:r>
      <w:r w:rsidR="00427468">
        <w:t xml:space="preserve"> of </w:t>
      </w:r>
      <w:r w:rsidRPr="00FC7835">
        <w:t xml:space="preserve">articles published by </w:t>
      </w:r>
      <w:r w:rsidR="00D5664A">
        <w:t>USA</w:t>
      </w:r>
      <w:r w:rsidRPr="00FC7835">
        <w:t xml:space="preserve"> researchers was 43%</w:t>
      </w:r>
      <w:r>
        <w:t xml:space="preserve">, </w:t>
      </w:r>
      <w:r w:rsidRPr="00FC7835">
        <w:t>44%</w:t>
      </w:r>
      <w:r w:rsidR="005853A9">
        <w:t xml:space="preserve"> and </w:t>
      </w:r>
      <w:r w:rsidRPr="00FC7835">
        <w:t>61% in</w:t>
      </w:r>
      <w:r w:rsidR="003A1917">
        <w:t xml:space="preserve"> the </w:t>
      </w:r>
      <w:r w:rsidRPr="00FC7835">
        <w:t>Preventive Medicine</w:t>
      </w:r>
      <w:r>
        <w:t xml:space="preserve">, </w:t>
      </w:r>
      <w:r w:rsidRPr="00FC7835">
        <w:t>Epidemiology</w:t>
      </w:r>
      <w:r>
        <w:t>,</w:t>
      </w:r>
      <w:r w:rsidR="005853A9">
        <w:t xml:space="preserve"> and </w:t>
      </w:r>
      <w:r w:rsidRPr="00FC7835">
        <w:t>Public Health subcategories</w:t>
      </w:r>
      <w:r>
        <w:t xml:space="preserve">, </w:t>
      </w:r>
      <w:r w:rsidRPr="00FC7835">
        <w:t>respectively. Canada</w:t>
      </w:r>
      <w:r w:rsidR="005853A9">
        <w:t xml:space="preserve"> and </w:t>
      </w:r>
      <w:r w:rsidRPr="00FC7835">
        <w:t>Western Europe shared</w:t>
      </w:r>
      <w:r w:rsidR="003A1917">
        <w:t xml:space="preserve"> the </w:t>
      </w:r>
      <w:r w:rsidRPr="00FC7835">
        <w:t>second position in</w:t>
      </w:r>
      <w:r w:rsidR="003A1917">
        <w:t xml:space="preserve"> the </w:t>
      </w:r>
      <w:r w:rsidRPr="00FC7835">
        <w:t>first two subcategories</w:t>
      </w:r>
      <w:r>
        <w:t xml:space="preserve">, </w:t>
      </w:r>
      <w:r w:rsidRPr="00FC7835">
        <w:t xml:space="preserve">while </w:t>
      </w:r>
      <w:smartTag w:uri="urn:schemas-microsoft-com:office:smarttags" w:element="place">
        <w:r w:rsidRPr="00FC7835">
          <w:t>Oceania</w:t>
        </w:r>
      </w:smartTag>
      <w:r w:rsidRPr="00FC7835">
        <w:t xml:space="preserve"> researchers ranked second in</w:t>
      </w:r>
      <w:r w:rsidR="003A1917">
        <w:t xml:space="preserve"> the </w:t>
      </w:r>
      <w:r w:rsidRPr="00FC7835">
        <w:t>field</w:t>
      </w:r>
      <w:r w:rsidR="00427468">
        <w:t xml:space="preserve"> of </w:t>
      </w:r>
      <w:r w:rsidRPr="00FC7835">
        <w:t xml:space="preserve">Public Health. CONCLUSIONS: </w:t>
      </w:r>
      <w:r w:rsidR="00D5664A">
        <w:t>USA</w:t>
      </w:r>
      <w:r w:rsidRPr="00FC7835">
        <w:t xml:space="preserve"> researchers maintain a leadership position in</w:t>
      </w:r>
      <w:r w:rsidR="003A1917">
        <w:t xml:space="preserve"> the </w:t>
      </w:r>
      <w:r w:rsidRPr="00FC7835">
        <w:t>production</w:t>
      </w:r>
      <w:r w:rsidR="00427468">
        <w:t xml:space="preserve"> of </w:t>
      </w:r>
      <w:r w:rsidRPr="00FC7835">
        <w:t>scientific articles in</w:t>
      </w:r>
      <w:r w:rsidR="003A1917">
        <w:t xml:space="preserve"> the </w:t>
      </w:r>
      <w:r w:rsidRPr="00FC7835">
        <w:t>fields</w:t>
      </w:r>
      <w:r w:rsidR="00427468">
        <w:t xml:space="preserve"> of </w:t>
      </w:r>
      <w:r w:rsidRPr="00FC7835">
        <w:t>Preventive Medicine</w:t>
      </w:r>
      <w:r>
        <w:t xml:space="preserve">, </w:t>
      </w:r>
      <w:r w:rsidRPr="00FC7835">
        <w:t>Occupational / Environmental Medicine</w:t>
      </w:r>
      <w:r w:rsidR="005853A9">
        <w:t xml:space="preserve"> and </w:t>
      </w:r>
      <w:r w:rsidRPr="00FC7835">
        <w:t>Epidemiology</w:t>
      </w:r>
      <w:r>
        <w:t xml:space="preserve">, </w:t>
      </w:r>
      <w:r w:rsidRPr="00FC7835">
        <w:t>at a level similar to other scientific disciplines</w:t>
      </w:r>
      <w:r>
        <w:t xml:space="preserve">, </w:t>
      </w:r>
      <w:r w:rsidRPr="00FC7835">
        <w:t xml:space="preserve">while </w:t>
      </w:r>
      <w:r w:rsidR="00D5664A">
        <w:t>USA</w:t>
      </w:r>
      <w:r w:rsidRPr="00FC7835">
        <w:t xml:space="preserve"> contribution to science in</w:t>
      </w:r>
      <w:r w:rsidR="003A1917">
        <w:t xml:space="preserve"> the </w:t>
      </w:r>
      <w:r w:rsidRPr="00FC7835">
        <w:t>field</w:t>
      </w:r>
      <w:r w:rsidR="00427468">
        <w:t xml:space="preserve"> of </w:t>
      </w:r>
      <w:r w:rsidRPr="00FC7835">
        <w:t>Public Health is by all means outstanding. Less developed regions would need to support their researchers in</w:t>
      </w:r>
      <w:r w:rsidR="003A1917">
        <w:t xml:space="preserve"> the </w:t>
      </w:r>
      <w:r w:rsidRPr="00FC7835">
        <w:t>above fields in order to improve scientific production</w:t>
      </w:r>
      <w:r w:rsidR="005853A9">
        <w:t xml:space="preserve"> and </w:t>
      </w:r>
      <w:r w:rsidRPr="00FC7835">
        <w:t>advancement</w:t>
      </w:r>
      <w:r w:rsidR="00427468">
        <w:t xml:space="preserve"> of </w:t>
      </w:r>
      <w:r w:rsidRPr="00FC7835">
        <w:t>knowledge in their countries.</w:t>
      </w:r>
    </w:p>
    <w:p w:rsidR="00A91285" w:rsidRPr="00FC7835" w:rsidRDefault="00A91285" w:rsidP="00A91285">
      <w:pPr>
        <w:pStyle w:val="a3"/>
        <w:rPr>
          <w:kern w:val="0"/>
        </w:rPr>
      </w:pPr>
      <w:r w:rsidRPr="00FC7835">
        <w:rPr>
          <w:kern w:val="0"/>
        </w:rPr>
        <w:t>Keywords: Analysis</w:t>
      </w:r>
      <w:r>
        <w:rPr>
          <w:kern w:val="0"/>
        </w:rPr>
        <w:t xml:space="preserve">, </w:t>
      </w:r>
      <w:r w:rsidRPr="00FC7835">
        <w:rPr>
          <w:kern w:val="0"/>
        </w:rPr>
        <w:t>Articles</w:t>
      </w:r>
      <w:r>
        <w:rPr>
          <w:kern w:val="0"/>
        </w:rPr>
        <w:t xml:space="preserve">, </w:t>
      </w:r>
      <w:r w:rsidRPr="00FC7835">
        <w:rPr>
          <w:kern w:val="0"/>
        </w:rPr>
        <w:t>Bibliometric</w:t>
      </w:r>
      <w:r>
        <w:rPr>
          <w:kern w:val="0"/>
        </w:rPr>
        <w:t xml:space="preserve">, </w:t>
      </w:r>
      <w:r w:rsidRPr="00FC7835">
        <w:rPr>
          <w:kern w:val="0"/>
        </w:rPr>
        <w:t>Bibliometric Analysis</w:t>
      </w:r>
      <w:r>
        <w:rPr>
          <w:kern w:val="0"/>
        </w:rPr>
        <w:t xml:space="preserve">, </w:t>
      </w:r>
      <w:r w:rsidRPr="00FC7835">
        <w:rPr>
          <w:kern w:val="0"/>
        </w:rPr>
        <w:t>Canada</w:t>
      </w:r>
      <w:r>
        <w:rPr>
          <w:kern w:val="0"/>
        </w:rPr>
        <w:t xml:space="preserve">, </w:t>
      </w:r>
      <w:r w:rsidRPr="00FC7835">
        <w:rPr>
          <w:kern w:val="0"/>
        </w:rPr>
        <w:t>DEC</w:t>
      </w:r>
      <w:r>
        <w:rPr>
          <w:kern w:val="0"/>
        </w:rPr>
        <w:t xml:space="preserve">, </w:t>
      </w:r>
      <w:r w:rsidRPr="00FC7835">
        <w:rPr>
          <w:kern w:val="0"/>
        </w:rPr>
        <w:t>Diseases</w:t>
      </w:r>
      <w:r>
        <w:rPr>
          <w:kern w:val="0"/>
        </w:rPr>
        <w:t xml:space="preserve">, </w:t>
      </w:r>
      <w:r w:rsidRPr="00FC7835">
        <w:rPr>
          <w:kern w:val="0"/>
        </w:rPr>
        <w:t>Environmental</w:t>
      </w:r>
      <w:r>
        <w:rPr>
          <w:kern w:val="0"/>
        </w:rPr>
        <w:t xml:space="preserve">, </w:t>
      </w:r>
      <w:r w:rsidRPr="00FC7835">
        <w:rPr>
          <w:kern w:val="0"/>
        </w:rPr>
        <w:t>Environmental Medicine</w:t>
      </w:r>
      <w:r>
        <w:rPr>
          <w:kern w:val="0"/>
        </w:rPr>
        <w:t xml:space="preserve">, </w:t>
      </w:r>
      <w:r w:rsidRPr="00FC7835">
        <w:rPr>
          <w:kern w:val="0"/>
        </w:rPr>
        <w:t>Epidemiology</w:t>
      </w:r>
      <w:r>
        <w:rPr>
          <w:kern w:val="0"/>
        </w:rPr>
        <w:t xml:space="preserve">, </w:t>
      </w:r>
      <w:r w:rsidRPr="00FC7835">
        <w:rPr>
          <w:kern w:val="0"/>
        </w:rPr>
        <w:t>Europe</w:t>
      </w:r>
      <w:r>
        <w:rPr>
          <w:kern w:val="0"/>
        </w:rPr>
        <w:t xml:space="preserve">, </w:t>
      </w:r>
      <w:r w:rsidRPr="00FC7835">
        <w:rPr>
          <w:kern w:val="0"/>
        </w:rPr>
        <w:t>Health</w:t>
      </w:r>
      <w:r>
        <w:rPr>
          <w:kern w:val="0"/>
        </w:rPr>
        <w:t xml:space="preserve">, </w:t>
      </w:r>
      <w:r w:rsidRPr="00FC7835">
        <w:rPr>
          <w:kern w:val="0"/>
        </w:rPr>
        <w:t>Impact-Factor</w:t>
      </w:r>
      <w:r>
        <w:rPr>
          <w:kern w:val="0"/>
        </w:rPr>
        <w:t xml:space="preserve">, </w:t>
      </w:r>
      <w:r w:rsidRPr="00FC7835">
        <w:rPr>
          <w:kern w:val="0"/>
        </w:rPr>
        <w:t>Institute for Scientific Information</w:t>
      </w:r>
      <w:r>
        <w:rPr>
          <w:kern w:val="0"/>
        </w:rPr>
        <w:t xml:space="preserve">, </w:t>
      </w:r>
      <w:r w:rsidRPr="00FC7835">
        <w:rPr>
          <w:kern w:val="0"/>
        </w:rPr>
        <w:t>Interventions</w:t>
      </w:r>
      <w:r w:rsidR="00D5664A">
        <w:rPr>
          <w:kern w:val="0"/>
        </w:rPr>
        <w:t>, ISI,</w:t>
      </w:r>
      <w:r>
        <w:rPr>
          <w:kern w:val="0"/>
        </w:rPr>
        <w:t xml:space="preserve"> </w:t>
      </w:r>
      <w:r w:rsidRPr="00FC7835">
        <w:rPr>
          <w:kern w:val="0"/>
        </w:rPr>
        <w:t>Journal Citation Reports</w:t>
      </w:r>
      <w:r>
        <w:rPr>
          <w:kern w:val="0"/>
        </w:rPr>
        <w:t xml:space="preserve">, </w:t>
      </w:r>
      <w:r w:rsidRPr="00FC7835">
        <w:rPr>
          <w:kern w:val="0"/>
        </w:rPr>
        <w:t>Journals</w:t>
      </w:r>
      <w:r>
        <w:rPr>
          <w:kern w:val="0"/>
        </w:rPr>
        <w:t xml:space="preserve">, </w:t>
      </w:r>
      <w:r w:rsidRPr="00FC7835">
        <w:rPr>
          <w:kern w:val="0"/>
        </w:rPr>
        <w:t>Knowledge</w:t>
      </w:r>
      <w:r>
        <w:rPr>
          <w:kern w:val="0"/>
        </w:rPr>
        <w:t xml:space="preserve">, </w:t>
      </w:r>
      <w:r w:rsidRPr="00FC7835">
        <w:rPr>
          <w:kern w:val="0"/>
        </w:rPr>
        <w:t>Leadership</w:t>
      </w:r>
      <w:r>
        <w:rPr>
          <w:kern w:val="0"/>
        </w:rPr>
        <w:t xml:space="preserve">, </w:t>
      </w:r>
      <w:r w:rsidRPr="00FC7835">
        <w:rPr>
          <w:kern w:val="0"/>
        </w:rPr>
        <w:t>Medicine</w:t>
      </w:r>
      <w:r>
        <w:rPr>
          <w:kern w:val="0"/>
        </w:rPr>
        <w:t xml:space="preserve">, </w:t>
      </w:r>
      <w:r w:rsidRPr="00FC7835">
        <w:rPr>
          <w:kern w:val="0"/>
        </w:rPr>
        <w:t>Occupational</w:t>
      </w:r>
      <w:r>
        <w:rPr>
          <w:kern w:val="0"/>
        </w:rPr>
        <w:t xml:space="preserve">, </w:t>
      </w:r>
      <w:r w:rsidRPr="00FC7835">
        <w:rPr>
          <w:kern w:val="0"/>
        </w:rPr>
        <w:t>Order</w:t>
      </w:r>
      <w:r>
        <w:rPr>
          <w:kern w:val="0"/>
        </w:rPr>
        <w:t xml:space="preserve">, </w:t>
      </w:r>
      <w:r w:rsidRPr="00FC7835">
        <w:rPr>
          <w:kern w:val="0"/>
        </w:rPr>
        <w:t>Population</w:t>
      </w:r>
      <w:r>
        <w:rPr>
          <w:kern w:val="0"/>
        </w:rPr>
        <w:t xml:space="preserve">, </w:t>
      </w:r>
      <w:r w:rsidRPr="00FC7835">
        <w:rPr>
          <w:kern w:val="0"/>
        </w:rPr>
        <w:t>Position</w:t>
      </w:r>
      <w:r>
        <w:rPr>
          <w:kern w:val="0"/>
        </w:rPr>
        <w:t xml:space="preserve">, </w:t>
      </w:r>
      <w:r w:rsidRPr="00FC7835">
        <w:rPr>
          <w:kern w:val="0"/>
        </w:rPr>
        <w:t>Preventive Medicine</w:t>
      </w:r>
      <w:r>
        <w:rPr>
          <w:kern w:val="0"/>
        </w:rPr>
        <w:t xml:space="preserve">, </w:t>
      </w:r>
      <w:r w:rsidRPr="00FC7835">
        <w:rPr>
          <w:kern w:val="0"/>
        </w:rPr>
        <w:t>Production</w:t>
      </w:r>
      <w:r>
        <w:rPr>
          <w:kern w:val="0"/>
        </w:rPr>
        <w:t xml:space="preserve">, </w:t>
      </w:r>
      <w:r w:rsidRPr="00FC7835">
        <w:rPr>
          <w:kern w:val="0"/>
        </w:rPr>
        <w:t>Public Health</w:t>
      </w:r>
      <w:r>
        <w:rPr>
          <w:kern w:val="0"/>
        </w:rPr>
        <w:t xml:space="preserve">, </w:t>
      </w:r>
      <w:r w:rsidRPr="00FC7835">
        <w:rPr>
          <w:kern w:val="0"/>
        </w:rPr>
        <w:t>Research</w:t>
      </w:r>
      <w:r>
        <w:rPr>
          <w:kern w:val="0"/>
        </w:rPr>
        <w:t xml:space="preserve">, </w:t>
      </w:r>
      <w:r w:rsidRPr="00FC7835">
        <w:rPr>
          <w:kern w:val="0"/>
        </w:rPr>
        <w:t>Role</w:t>
      </w:r>
      <w:r>
        <w:rPr>
          <w:kern w:val="0"/>
        </w:rPr>
        <w:t xml:space="preserve">, </w:t>
      </w:r>
      <w:r w:rsidRPr="00FC7835">
        <w:rPr>
          <w:kern w:val="0"/>
        </w:rPr>
        <w:t>Science</w:t>
      </w:r>
      <w:r>
        <w:rPr>
          <w:kern w:val="0"/>
        </w:rPr>
        <w:t xml:space="preserve">, </w:t>
      </w:r>
      <w:r w:rsidRPr="00FC7835">
        <w:rPr>
          <w:kern w:val="0"/>
        </w:rPr>
        <w:t>Scientific Production</w:t>
      </w:r>
      <w:r>
        <w:rPr>
          <w:kern w:val="0"/>
        </w:rPr>
        <w:t xml:space="preserve">, </w:t>
      </w:r>
      <w:r w:rsidRPr="00FC7835">
        <w:rPr>
          <w:kern w:val="0"/>
        </w:rPr>
        <w:t>Size</w:t>
      </w:r>
      <w:r>
        <w:rPr>
          <w:kern w:val="0"/>
        </w:rPr>
        <w:t xml:space="preserve">, </w:t>
      </w:r>
      <w:r w:rsidRPr="00FC7835">
        <w:rPr>
          <w:kern w:val="0"/>
        </w:rPr>
        <w:t>Support</w:t>
      </w:r>
      <w:r>
        <w:rPr>
          <w:kern w:val="0"/>
        </w:rPr>
        <w:t xml:space="preserve">, </w:t>
      </w:r>
      <w:r w:rsidRPr="00FC7835">
        <w:rPr>
          <w:kern w:val="0"/>
        </w:rPr>
        <w:t>Trend</w:t>
      </w:r>
      <w:r w:rsidR="008C1C37">
        <w:rPr>
          <w:kern w:val="0"/>
        </w:rPr>
        <w:t>, US,</w:t>
      </w:r>
      <w:r>
        <w:rPr>
          <w:kern w:val="0"/>
        </w:rPr>
        <w:t xml:space="preserve"> </w:t>
      </w:r>
      <w:r w:rsidR="00D5664A">
        <w:rPr>
          <w:kern w:val="0"/>
        </w:rPr>
        <w:t>USA</w:t>
      </w:r>
    </w:p>
    <w:p w:rsidR="007E5EA9" w:rsidRDefault="007E5EA9" w:rsidP="007E5EA9">
      <w:pPr>
        <w:pStyle w:val="a3"/>
        <w:rPr>
          <w:kern w:val="0"/>
        </w:rPr>
      </w:pPr>
      <w:r>
        <w:rPr>
          <w:rFonts w:hint="eastAsia"/>
          <w:kern w:val="0"/>
        </w:rPr>
        <w:t xml:space="preserve">? </w:t>
      </w:r>
      <w:r>
        <w:rPr>
          <w:kern w:val="0"/>
        </w:rPr>
        <w:t>Patra, J., Taylor, B., Irving, H., Roerecke, M., Baliunas, D., Mohapatra, S.</w:t>
      </w:r>
      <w:r w:rsidR="005853A9">
        <w:rPr>
          <w:kern w:val="0"/>
        </w:rPr>
        <w:t xml:space="preserve"> and </w:t>
      </w:r>
      <w:r>
        <w:rPr>
          <w:kern w:val="0"/>
        </w:rPr>
        <w:t>Rehm, J. (2010), Alcohol consumption</w:t>
      </w:r>
      <w:r w:rsidR="005853A9">
        <w:rPr>
          <w:kern w:val="0"/>
        </w:rPr>
        <w:t xml:space="preserve"> and </w:t>
      </w:r>
      <w:r w:rsidR="003A1917">
        <w:rPr>
          <w:kern w:val="0"/>
        </w:rPr>
        <w:t xml:space="preserve">the </w:t>
      </w:r>
      <w:r>
        <w:rPr>
          <w:kern w:val="0"/>
        </w:rPr>
        <w:t>risk</w:t>
      </w:r>
      <w:r w:rsidR="00427468">
        <w:rPr>
          <w:kern w:val="0"/>
        </w:rPr>
        <w:t xml:space="preserve"> of </w:t>
      </w:r>
      <w:r>
        <w:rPr>
          <w:kern w:val="0"/>
        </w:rPr>
        <w:t>morbidity</w:t>
      </w:r>
      <w:r w:rsidR="005853A9">
        <w:rPr>
          <w:kern w:val="0"/>
        </w:rPr>
        <w:t xml:space="preserve"> and </w:t>
      </w:r>
      <w:r>
        <w:rPr>
          <w:kern w:val="0"/>
        </w:rPr>
        <w:t>mortality for different stroke types: A systematic review</w:t>
      </w:r>
      <w:r w:rsidR="005853A9">
        <w:rPr>
          <w:kern w:val="0"/>
        </w:rPr>
        <w:t xml:space="preserve"> and </w:t>
      </w:r>
      <w:r>
        <w:rPr>
          <w:kern w:val="0"/>
        </w:rPr>
        <w:t xml:space="preserve">meta-analysis. </w:t>
      </w:r>
      <w:r>
        <w:rPr>
          <w:i/>
          <w:iCs/>
          <w:kern w:val="0"/>
        </w:rPr>
        <w:t>BMC Public Health</w:t>
      </w:r>
      <w:r>
        <w:rPr>
          <w:kern w:val="0"/>
        </w:rPr>
        <w:t xml:space="preserve">, </w:t>
      </w:r>
      <w:r>
        <w:rPr>
          <w:b/>
          <w:bCs/>
          <w:kern w:val="0"/>
        </w:rPr>
        <w:t>10</w:t>
      </w:r>
      <w:r>
        <w:rPr>
          <w:rFonts w:hint="eastAsia"/>
          <w:kern w:val="0"/>
        </w:rPr>
        <w:t xml:space="preserve">, </w:t>
      </w:r>
      <w:r>
        <w:t>Article Number: 258</w:t>
      </w:r>
      <w:r>
        <w:rPr>
          <w:rFonts w:hint="eastAsia"/>
        </w:rPr>
        <w:t>.</w:t>
      </w:r>
    </w:p>
    <w:p w:rsidR="007E5EA9" w:rsidRPr="00FC7835" w:rsidRDefault="007E5EA9" w:rsidP="007E5EA9">
      <w:pPr>
        <w:pStyle w:val="a3"/>
      </w:pPr>
      <w:r>
        <w:t>Full Text:</w:t>
      </w:r>
      <w:r w:rsidRPr="00FC7835">
        <w:t xml:space="preserve"> </w:t>
      </w:r>
      <w:hyperlink r:id="rId1696" w:history="1">
        <w:r w:rsidRPr="004A5C8F">
          <w:rPr>
            <w:rStyle w:val="a5"/>
          </w:rPr>
          <w:t>2010\BMC Pub Hea10, 258.pdf</w:t>
        </w:r>
      </w:hyperlink>
    </w:p>
    <w:p w:rsidR="007E5EA9" w:rsidRDefault="007E5EA9" w:rsidP="007E5EA9">
      <w:pPr>
        <w:pStyle w:val="a3"/>
        <w:rPr>
          <w:kern w:val="0"/>
        </w:rPr>
      </w:pPr>
      <w:r>
        <w:rPr>
          <w:kern w:val="0"/>
        </w:rPr>
        <w:t>Abstract: Background: Observational studies have suggested a complex relationship between alcohol consumption</w:t>
      </w:r>
      <w:r w:rsidR="005853A9">
        <w:rPr>
          <w:kern w:val="0"/>
        </w:rPr>
        <w:t xml:space="preserve"> and </w:t>
      </w:r>
      <w:r>
        <w:rPr>
          <w:kern w:val="0"/>
        </w:rPr>
        <w:t>stroke, dependent on sex, type</w:t>
      </w:r>
      <w:r w:rsidR="00427468">
        <w:rPr>
          <w:kern w:val="0"/>
        </w:rPr>
        <w:t xml:space="preserve"> of </w:t>
      </w:r>
      <w:r>
        <w:rPr>
          <w:kern w:val="0"/>
        </w:rPr>
        <w:t>stroke</w:t>
      </w:r>
      <w:r w:rsidR="005853A9">
        <w:rPr>
          <w:kern w:val="0"/>
        </w:rPr>
        <w:t xml:space="preserve"> and </w:t>
      </w:r>
      <w:r>
        <w:rPr>
          <w:kern w:val="0"/>
        </w:rPr>
        <w:t>outcome (morbidity vs. mortality). We undertook a systematic review</w:t>
      </w:r>
      <w:r w:rsidR="005853A9">
        <w:rPr>
          <w:kern w:val="0"/>
        </w:rPr>
        <w:t xml:space="preserve"> and </w:t>
      </w:r>
      <w:r>
        <w:rPr>
          <w:kern w:val="0"/>
        </w:rPr>
        <w:t>a meta-analysis</w:t>
      </w:r>
      <w:r w:rsidR="00427468">
        <w:rPr>
          <w:kern w:val="0"/>
        </w:rPr>
        <w:t xml:space="preserve"> of </w:t>
      </w:r>
      <w:r>
        <w:rPr>
          <w:kern w:val="0"/>
        </w:rPr>
        <w:t>studies assessing</w:t>
      </w:r>
      <w:r w:rsidR="003A1917">
        <w:rPr>
          <w:kern w:val="0"/>
        </w:rPr>
        <w:t xml:space="preserve"> the </w:t>
      </w:r>
      <w:r>
        <w:rPr>
          <w:kern w:val="0"/>
        </w:rPr>
        <w:t>association between levels</w:t>
      </w:r>
      <w:r w:rsidR="00427468">
        <w:rPr>
          <w:kern w:val="0"/>
        </w:rPr>
        <w:t xml:space="preserve"> of </w:t>
      </w:r>
      <w:r>
        <w:rPr>
          <w:kern w:val="0"/>
        </w:rPr>
        <w:t>average alcohol consumption</w:t>
      </w:r>
      <w:r w:rsidR="005853A9">
        <w:rPr>
          <w:kern w:val="0"/>
        </w:rPr>
        <w:t xml:space="preserve"> and </w:t>
      </w:r>
      <w:r>
        <w:rPr>
          <w:kern w:val="0"/>
        </w:rPr>
        <w:t>relative risks</w:t>
      </w:r>
      <w:r w:rsidR="00427468">
        <w:rPr>
          <w:kern w:val="0"/>
        </w:rPr>
        <w:t xml:space="preserve"> of </w:t>
      </w:r>
      <w:r>
        <w:rPr>
          <w:kern w:val="0"/>
        </w:rPr>
        <w:t>ischemic</w:t>
      </w:r>
      <w:r w:rsidR="005853A9">
        <w:rPr>
          <w:kern w:val="0"/>
        </w:rPr>
        <w:t xml:space="preserve"> and </w:t>
      </w:r>
      <w:r>
        <w:rPr>
          <w:kern w:val="0"/>
        </w:rPr>
        <w:t>hemorrhagic strokes separately by sex</w:t>
      </w:r>
      <w:r w:rsidR="005853A9">
        <w:rPr>
          <w:kern w:val="0"/>
        </w:rPr>
        <w:t xml:space="preserve"> and </w:t>
      </w:r>
      <w:r>
        <w:rPr>
          <w:kern w:val="0"/>
        </w:rPr>
        <w:t>outcome. This meta-analysis is</w:t>
      </w:r>
      <w:r w:rsidR="003A1917">
        <w:rPr>
          <w:kern w:val="0"/>
        </w:rPr>
        <w:t xml:space="preserve"> the </w:t>
      </w:r>
      <w:r>
        <w:rPr>
          <w:kern w:val="0"/>
        </w:rPr>
        <w:t>first to explicitly separate morbidity</w:t>
      </w:r>
      <w:r w:rsidR="005853A9">
        <w:rPr>
          <w:kern w:val="0"/>
        </w:rPr>
        <w:t xml:space="preserve"> and </w:t>
      </w:r>
      <w:r>
        <w:rPr>
          <w:kern w:val="0"/>
        </w:rPr>
        <w:t>mortality</w:t>
      </w:r>
      <w:r w:rsidR="00427468">
        <w:rPr>
          <w:kern w:val="0"/>
        </w:rPr>
        <w:t xml:space="preserve"> of </w:t>
      </w:r>
      <w:r>
        <w:rPr>
          <w:kern w:val="0"/>
        </w:rPr>
        <w:t>alcohol-attributable stroke</w:t>
      </w:r>
      <w:r w:rsidR="005853A9">
        <w:rPr>
          <w:kern w:val="0"/>
        </w:rPr>
        <w:t xml:space="preserve"> and </w:t>
      </w:r>
      <w:r>
        <w:rPr>
          <w:kern w:val="0"/>
        </w:rPr>
        <w:t>thus has implications for public health</w:t>
      </w:r>
      <w:r w:rsidR="005853A9">
        <w:rPr>
          <w:kern w:val="0"/>
        </w:rPr>
        <w:t xml:space="preserve"> and </w:t>
      </w:r>
      <w:r>
        <w:rPr>
          <w:kern w:val="0"/>
        </w:rPr>
        <w:t>prevention. Methods: Using Medical Subject Headings (alcohol drinking, ethanol, cerebrovascular accident, cerebrovascular disorders,</w:t>
      </w:r>
      <w:r w:rsidR="005853A9">
        <w:rPr>
          <w:kern w:val="0"/>
        </w:rPr>
        <w:t xml:space="preserve"> and </w:t>
      </w:r>
      <w:r>
        <w:rPr>
          <w:kern w:val="0"/>
        </w:rPr>
        <w:t>intracranial embolism</w:t>
      </w:r>
      <w:r w:rsidR="005853A9">
        <w:rPr>
          <w:kern w:val="0"/>
        </w:rPr>
        <w:t xml:space="preserve"> and </w:t>
      </w:r>
      <w:r>
        <w:rPr>
          <w:kern w:val="0"/>
        </w:rPr>
        <w:t>thrombosis</w:t>
      </w:r>
      <w:r w:rsidR="005853A9">
        <w:rPr>
          <w:kern w:val="0"/>
        </w:rPr>
        <w:t xml:space="preserve"> and </w:t>
      </w:r>
      <w:r w:rsidR="003A1917">
        <w:rPr>
          <w:kern w:val="0"/>
        </w:rPr>
        <w:t xml:space="preserve">the </w:t>
      </w:r>
      <w:r>
        <w:rPr>
          <w:kern w:val="0"/>
        </w:rPr>
        <w:t>key word stroke), a literature search</w:t>
      </w:r>
      <w:r w:rsidR="00427468">
        <w:rPr>
          <w:kern w:val="0"/>
        </w:rPr>
        <w:t xml:space="preserve"> of </w:t>
      </w:r>
      <w:r w:rsidR="00D5664A">
        <w:rPr>
          <w:kern w:val="0"/>
        </w:rPr>
        <w:t>MEDLINE</w:t>
      </w:r>
      <w:r>
        <w:rPr>
          <w:kern w:val="0"/>
        </w:rPr>
        <w:t>, EMBASE, CINAHL, CABS, WHOlist, SIGLE, ETOH,</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between 1980 to June 2009 was performed followed by manual searches</w:t>
      </w:r>
      <w:r w:rsidR="00427468">
        <w:rPr>
          <w:kern w:val="0"/>
        </w:rPr>
        <w:t xml:space="preserve"> of </w:t>
      </w:r>
      <w:r>
        <w:rPr>
          <w:kern w:val="0"/>
        </w:rPr>
        <w:lastRenderedPageBreak/>
        <w:t>bibliographies</w:t>
      </w:r>
      <w:r w:rsidR="00427468">
        <w:rPr>
          <w:kern w:val="0"/>
        </w:rPr>
        <w:t xml:space="preserve"> of </w:t>
      </w:r>
      <w:r>
        <w:rPr>
          <w:kern w:val="0"/>
        </w:rPr>
        <w:t>key retrieved articles. From twenty-six observational studies (cohort or case-control) with ischemic or hemorrhagic strokes</w:t>
      </w:r>
      <w:r w:rsidR="003A1917">
        <w:rPr>
          <w:kern w:val="0"/>
        </w:rPr>
        <w:t xml:space="preserve"> the </w:t>
      </w:r>
      <w:r>
        <w:rPr>
          <w:kern w:val="0"/>
        </w:rPr>
        <w:t>relative risk or odds ratios or hazard ratios</w:t>
      </w:r>
      <w:r w:rsidR="00427468">
        <w:rPr>
          <w:kern w:val="0"/>
        </w:rPr>
        <w:t xml:space="preserve"> of </w:t>
      </w:r>
      <w:r>
        <w:rPr>
          <w:kern w:val="0"/>
        </w:rPr>
        <w:t>stroke associated with alcohol consumption were reported; alcohol consumption was quantified;</w:t>
      </w:r>
      <w:r w:rsidR="005853A9">
        <w:rPr>
          <w:kern w:val="0"/>
        </w:rPr>
        <w:t xml:space="preserve"> and </w:t>
      </w:r>
      <w:r>
        <w:rPr>
          <w:kern w:val="0"/>
        </w:rPr>
        <w:t>life time abstention (manually estimated where data for current abstainers were given) was used as</w:t>
      </w:r>
      <w:r w:rsidR="003A1917">
        <w:rPr>
          <w:kern w:val="0"/>
        </w:rPr>
        <w:t xml:space="preserve"> the </w:t>
      </w:r>
      <w:r>
        <w:rPr>
          <w:kern w:val="0"/>
        </w:rPr>
        <w:t>reference group. Two reviewers independently extracted</w:t>
      </w:r>
      <w:r w:rsidR="003A1917">
        <w:rPr>
          <w:kern w:val="0"/>
        </w:rPr>
        <w:t xml:space="preserve"> the </w:t>
      </w:r>
      <w:r>
        <w:rPr>
          <w:kern w:val="0"/>
        </w:rPr>
        <w:t>information on study design, participant characteristics, level</w:t>
      </w:r>
      <w:r w:rsidR="00427468">
        <w:rPr>
          <w:kern w:val="0"/>
        </w:rPr>
        <w:t xml:space="preserve"> of </w:t>
      </w:r>
      <w:r>
        <w:rPr>
          <w:kern w:val="0"/>
        </w:rPr>
        <w:t>alcohol consumption, stroke outcome, control for potential confounding factors, risk estimates</w:t>
      </w:r>
      <w:r w:rsidR="005853A9">
        <w:rPr>
          <w:kern w:val="0"/>
        </w:rPr>
        <w:t xml:space="preserve"> and </w:t>
      </w:r>
      <w:r>
        <w:rPr>
          <w:kern w:val="0"/>
        </w:rPr>
        <w:t>key criteria</w:t>
      </w:r>
      <w:r w:rsidR="00427468">
        <w:rPr>
          <w:kern w:val="0"/>
        </w:rPr>
        <w:t xml:space="preserve"> of </w:t>
      </w:r>
      <w:r>
        <w:rPr>
          <w:kern w:val="0"/>
        </w:rPr>
        <w:t>study quality using a standardized protocol. Results:</w:t>
      </w:r>
      <w:r w:rsidR="003A1917">
        <w:rPr>
          <w:kern w:val="0"/>
        </w:rPr>
        <w:t xml:space="preserve"> the </w:t>
      </w:r>
      <w:r>
        <w:rPr>
          <w:kern w:val="0"/>
        </w:rPr>
        <w:t>dose-response relationship for hemorrhagic stroke had monotonically increasing risk for increasing consumption, whereas ischemic stroke showed a curvilinear relationship, with a protective effect</w:t>
      </w:r>
      <w:r w:rsidR="00427468">
        <w:rPr>
          <w:kern w:val="0"/>
        </w:rPr>
        <w:t xml:space="preserve"> of </w:t>
      </w:r>
      <w:r>
        <w:rPr>
          <w:kern w:val="0"/>
        </w:rPr>
        <w:t>alcohol for low to moderate consumption,</w:t>
      </w:r>
      <w:r w:rsidR="005853A9">
        <w:rPr>
          <w:kern w:val="0"/>
        </w:rPr>
        <w:t xml:space="preserve"> and </w:t>
      </w:r>
      <w:r>
        <w:rPr>
          <w:kern w:val="0"/>
        </w:rPr>
        <w:t>increased risk for higher exposure. For more than 3 drinks on average/day, in general women had higher risks than men,</w:t>
      </w:r>
      <w:r w:rsidR="005853A9">
        <w:rPr>
          <w:kern w:val="0"/>
        </w:rPr>
        <w:t xml:space="preserve"> and </w:t>
      </w:r>
      <w:r w:rsidR="003A1917">
        <w:rPr>
          <w:kern w:val="0"/>
        </w:rPr>
        <w:t xml:space="preserve">the </w:t>
      </w:r>
      <w:r>
        <w:rPr>
          <w:kern w:val="0"/>
        </w:rPr>
        <w:t>risks for mortality were higher compared to</w:t>
      </w:r>
      <w:r w:rsidR="003A1917">
        <w:rPr>
          <w:kern w:val="0"/>
        </w:rPr>
        <w:t xml:space="preserve"> the </w:t>
      </w:r>
      <w:r>
        <w:rPr>
          <w:kern w:val="0"/>
        </w:rPr>
        <w:t>risks for morbidity. Conclusions: These results indicate that heavy alcohol consumption increases</w:t>
      </w:r>
      <w:r w:rsidR="003A1917">
        <w:rPr>
          <w:kern w:val="0"/>
        </w:rPr>
        <w:t xml:space="preserve"> the </w:t>
      </w:r>
      <w:r>
        <w:rPr>
          <w:kern w:val="0"/>
        </w:rPr>
        <w:t>relative risk</w:t>
      </w:r>
      <w:r w:rsidR="00427468">
        <w:rPr>
          <w:kern w:val="0"/>
        </w:rPr>
        <w:t xml:space="preserve"> of </w:t>
      </w:r>
      <w:r>
        <w:rPr>
          <w:kern w:val="0"/>
        </w:rPr>
        <w:t>any stroke while light or moderate alcohol consumption may be protective against ischemic stroke. Preventive measures that should be initiated are discussed.</w:t>
      </w:r>
    </w:p>
    <w:p w:rsidR="007E5EA9" w:rsidRDefault="007E5EA9" w:rsidP="007E5EA9">
      <w:pPr>
        <w:pStyle w:val="a3"/>
        <w:rPr>
          <w:kern w:val="0"/>
        </w:rPr>
      </w:pPr>
      <w:r>
        <w:rPr>
          <w:kern w:val="0"/>
        </w:rPr>
        <w:t xml:space="preserve">Keywords: Alcohol, Alcohol Consumption, Alcohol Drinking, British Men, Cerebrovascular Disorders, Cerebrovascular-Disease, Cigarette-Smoking, Computed-Tomography, Confounding, Control, Coronary-Heart-Disease, Databases, Dose-Response, Drinking, EMBASE, Ethanol, Follow-Up, Information, Ischemic-Stroke, Japanese Men, Literature, </w:t>
      </w:r>
      <w:r w:rsidR="00D5664A">
        <w:rPr>
          <w:kern w:val="0"/>
        </w:rPr>
        <w:t>MEDLINE</w:t>
      </w:r>
      <w:r>
        <w:rPr>
          <w:kern w:val="0"/>
        </w:rPr>
        <w:t xml:space="preserve">, Meta-Analysis, Methods, Morbidity, Mortality, Observational Studies, Outcome, Prevention, Protocol, Public Health, Relative Risk, Review, Risk, Science, Stroke, Subarachnoid Hemorrhage, Systematic, Systematic Review, Thrombosis, </w:t>
      </w:r>
      <w:r w:rsidR="00D5664A">
        <w:rPr>
          <w:kern w:val="0"/>
        </w:rPr>
        <w:t>Web</w:t>
      </w:r>
      <w:r w:rsidR="00427468">
        <w:rPr>
          <w:kern w:val="0"/>
        </w:rPr>
        <w:t xml:space="preserve"> of </w:t>
      </w:r>
      <w:r w:rsidR="00D5664A">
        <w:rPr>
          <w:kern w:val="0"/>
        </w:rPr>
        <w:t>Science</w:t>
      </w:r>
      <w:r>
        <w:rPr>
          <w:kern w:val="0"/>
        </w:rPr>
        <w:t>, Women</w:t>
      </w:r>
    </w:p>
    <w:p w:rsidR="007E5EA9" w:rsidRDefault="007E5EA9" w:rsidP="007E5EA9">
      <w:pPr>
        <w:pStyle w:val="a3"/>
        <w:rPr>
          <w:kern w:val="0"/>
        </w:rPr>
      </w:pPr>
      <w:r>
        <w:rPr>
          <w:rFonts w:hint="eastAsia"/>
          <w:kern w:val="0"/>
        </w:rPr>
        <w:t xml:space="preserve">? </w:t>
      </w:r>
      <w:r>
        <w:rPr>
          <w:kern w:val="0"/>
        </w:rPr>
        <w:t>Malta, M., Magnanini, M.M.F., Mello, M.B., Pascom, A.R.P., Linhares, Y.</w:t>
      </w:r>
      <w:r w:rsidR="005853A9">
        <w:rPr>
          <w:kern w:val="0"/>
        </w:rPr>
        <w:t xml:space="preserve"> and </w:t>
      </w:r>
      <w:r>
        <w:rPr>
          <w:kern w:val="0"/>
        </w:rPr>
        <w:t>Bastos, F.I. (2010), HIV prevalence among female sex workers, drug users</w:t>
      </w:r>
      <w:r w:rsidR="005853A9">
        <w:rPr>
          <w:kern w:val="0"/>
        </w:rPr>
        <w:t xml:space="preserve"> and </w:t>
      </w:r>
      <w:r>
        <w:rPr>
          <w:kern w:val="0"/>
        </w:rPr>
        <w:t>men who have sex with men in Brazil: A systematic review</w:t>
      </w:r>
      <w:r w:rsidR="005853A9">
        <w:rPr>
          <w:kern w:val="0"/>
        </w:rPr>
        <w:t xml:space="preserve"> and </w:t>
      </w:r>
      <w:r>
        <w:rPr>
          <w:kern w:val="0"/>
        </w:rPr>
        <w:t xml:space="preserve">meta-analysis. </w:t>
      </w:r>
      <w:r>
        <w:rPr>
          <w:i/>
          <w:iCs/>
          <w:kern w:val="0"/>
        </w:rPr>
        <w:t>BMC Public Health</w:t>
      </w:r>
      <w:r>
        <w:rPr>
          <w:kern w:val="0"/>
        </w:rPr>
        <w:t xml:space="preserve">, </w:t>
      </w:r>
      <w:r>
        <w:rPr>
          <w:b/>
          <w:bCs/>
          <w:kern w:val="0"/>
        </w:rPr>
        <w:t>10</w:t>
      </w:r>
      <w:r>
        <w:rPr>
          <w:rFonts w:hint="eastAsia"/>
          <w:kern w:val="0"/>
        </w:rPr>
        <w:t xml:space="preserve">, </w:t>
      </w:r>
      <w:r>
        <w:t>Article Number: 317</w:t>
      </w:r>
      <w:r>
        <w:rPr>
          <w:rFonts w:hint="eastAsia"/>
        </w:rPr>
        <w:t>.</w:t>
      </w:r>
    </w:p>
    <w:p w:rsidR="007E5EA9" w:rsidRPr="00FC7835" w:rsidRDefault="007E5EA9" w:rsidP="007E5EA9">
      <w:pPr>
        <w:pStyle w:val="a3"/>
      </w:pPr>
      <w:r>
        <w:t>Full Text:</w:t>
      </w:r>
      <w:r w:rsidRPr="00FC7835">
        <w:t xml:space="preserve"> </w:t>
      </w:r>
      <w:hyperlink r:id="rId1697" w:history="1">
        <w:r w:rsidRPr="004A5C8F">
          <w:rPr>
            <w:rStyle w:val="a5"/>
          </w:rPr>
          <w:t>2010\BMC Pub Hea10, 317.pdf</w:t>
        </w:r>
      </w:hyperlink>
    </w:p>
    <w:p w:rsidR="007E5EA9" w:rsidRDefault="007E5EA9" w:rsidP="007E5EA9">
      <w:pPr>
        <w:pStyle w:val="a3"/>
        <w:rPr>
          <w:kern w:val="0"/>
        </w:rPr>
      </w:pPr>
      <w:r>
        <w:rPr>
          <w:kern w:val="0"/>
        </w:rPr>
        <w:t>Abstract: Background:</w:t>
      </w:r>
      <w:r w:rsidR="003A1917">
        <w:rPr>
          <w:kern w:val="0"/>
        </w:rPr>
        <w:t xml:space="preserve"> the </w:t>
      </w:r>
      <w:r>
        <w:rPr>
          <w:kern w:val="0"/>
        </w:rPr>
        <w:t>Brazilian response towards AIDS epidemic is well known, but</w:t>
      </w:r>
      <w:r w:rsidR="003A1917">
        <w:rPr>
          <w:kern w:val="0"/>
        </w:rPr>
        <w:t xml:space="preserve"> the </w:t>
      </w:r>
      <w:r>
        <w:rPr>
          <w:kern w:val="0"/>
        </w:rPr>
        <w:t>absence</w:t>
      </w:r>
      <w:r w:rsidR="00427468">
        <w:rPr>
          <w:kern w:val="0"/>
        </w:rPr>
        <w:t xml:space="preserve"> of </w:t>
      </w:r>
      <w:r>
        <w:rPr>
          <w:kern w:val="0"/>
        </w:rPr>
        <w:t>a systematic review</w:t>
      </w:r>
      <w:r w:rsidR="00427468">
        <w:rPr>
          <w:kern w:val="0"/>
        </w:rPr>
        <w:t xml:space="preserve"> of </w:t>
      </w:r>
      <w:r>
        <w:rPr>
          <w:kern w:val="0"/>
        </w:rPr>
        <w:t>vulnerable populations ? men who have sex with men (MSM), female sex workers (FSW),</w:t>
      </w:r>
      <w:r w:rsidR="005853A9">
        <w:rPr>
          <w:kern w:val="0"/>
        </w:rPr>
        <w:t xml:space="preserve"> and </w:t>
      </w:r>
      <w:r>
        <w:rPr>
          <w:kern w:val="0"/>
        </w:rPr>
        <w:t>drug users (DU) remains a main gap in</w:t>
      </w:r>
      <w:r w:rsidR="003A1917">
        <w:rPr>
          <w:kern w:val="0"/>
        </w:rPr>
        <w:t xml:space="preserve"> the </w:t>
      </w:r>
      <w:r>
        <w:rPr>
          <w:kern w:val="0"/>
        </w:rPr>
        <w:t>available literature. Our goal was to conduct a systematic review</w:t>
      </w:r>
      <w:r w:rsidR="005853A9">
        <w:rPr>
          <w:kern w:val="0"/>
        </w:rPr>
        <w:t xml:space="preserve"> and </w:t>
      </w:r>
      <w:r>
        <w:rPr>
          <w:kern w:val="0"/>
        </w:rPr>
        <w:t>meta-analysis</w:t>
      </w:r>
      <w:r w:rsidR="00427468">
        <w:rPr>
          <w:kern w:val="0"/>
        </w:rPr>
        <w:t xml:space="preserve"> of </w:t>
      </w:r>
      <w:r>
        <w:rPr>
          <w:kern w:val="0"/>
        </w:rPr>
        <w:t>studies assessing HIV prevalence among MSM, FSW</w:t>
      </w:r>
      <w:r w:rsidR="005853A9">
        <w:rPr>
          <w:kern w:val="0"/>
        </w:rPr>
        <w:t xml:space="preserve"> and </w:t>
      </w:r>
      <w:r>
        <w:rPr>
          <w:kern w:val="0"/>
        </w:rPr>
        <w:t>DU, calculating a combined pooled prevalence</w:t>
      </w:r>
      <w:r w:rsidR="005853A9">
        <w:rPr>
          <w:kern w:val="0"/>
        </w:rPr>
        <w:t xml:space="preserve"> and </w:t>
      </w:r>
      <w:r>
        <w:rPr>
          <w:kern w:val="0"/>
        </w:rPr>
        <w:t>summarizing factors associated</w:t>
      </w:r>
      <w:r w:rsidR="003A1917">
        <w:rPr>
          <w:kern w:val="0"/>
        </w:rPr>
        <w:t xml:space="preserve"> the </w:t>
      </w:r>
      <w:r>
        <w:rPr>
          <w:kern w:val="0"/>
        </w:rPr>
        <w:t>pooled prevalence for each group. Methods: Nine electronic databases (</w:t>
      </w:r>
      <w:r w:rsidR="00D5664A">
        <w:rPr>
          <w:kern w:val="0"/>
        </w:rPr>
        <w:t>MEDLINE</w:t>
      </w:r>
      <w:r>
        <w:rPr>
          <w:kern w:val="0"/>
        </w:rPr>
        <w:t xml:space="preserve"> via </w:t>
      </w:r>
      <w:r w:rsidR="002C12F0">
        <w:rPr>
          <w:kern w:val="0"/>
        </w:rPr>
        <w:t>PUBMED</w:t>
      </w:r>
      <w:r>
        <w:rPr>
          <w:kern w:val="0"/>
        </w:rPr>
        <w:t>, EMBASE, Cochrane CENTRAL, AIDSLINE, AMED, CINAHL, TOXNET, SciELO,</w:t>
      </w:r>
      <w:r w:rsidR="005853A9">
        <w:rPr>
          <w:kern w:val="0"/>
        </w:rPr>
        <w:t xml:space="preserve"> and </w:t>
      </w:r>
      <w:r>
        <w:rPr>
          <w:kern w:val="0"/>
        </w:rPr>
        <w:t>ISI-</w:t>
      </w:r>
      <w:r w:rsidR="00D5664A">
        <w:rPr>
          <w:kern w:val="0"/>
        </w:rPr>
        <w:t>Web</w:t>
      </w:r>
      <w:r w:rsidR="00427468">
        <w:rPr>
          <w:kern w:val="0"/>
        </w:rPr>
        <w:t xml:space="preserve"> of </w:t>
      </w:r>
      <w:r w:rsidR="00D5664A">
        <w:rPr>
          <w:kern w:val="0"/>
        </w:rPr>
        <w:t>Science</w:t>
      </w:r>
      <w:r>
        <w:rPr>
          <w:kern w:val="0"/>
        </w:rPr>
        <w:t xml:space="preserve">) were searched for peer-reviewed </w:t>
      </w:r>
      <w:r>
        <w:rPr>
          <w:kern w:val="0"/>
        </w:rPr>
        <w:lastRenderedPageBreak/>
        <w:t>papers published in English, French, Spanish or Portuguese, from 1999 to 2009. To be included in</w:t>
      </w:r>
      <w:r w:rsidR="003A1917">
        <w:rPr>
          <w:kern w:val="0"/>
        </w:rPr>
        <w:t xml:space="preserve"> the </w:t>
      </w:r>
      <w:r>
        <w:rPr>
          <w:kern w:val="0"/>
        </w:rPr>
        <w:t>review, studies had to measure HIV prevalence and/or incidence as</w:t>
      </w:r>
      <w:r w:rsidR="003A1917">
        <w:rPr>
          <w:kern w:val="0"/>
        </w:rPr>
        <w:t xml:space="preserve"> the </w:t>
      </w:r>
      <w:r>
        <w:rPr>
          <w:kern w:val="0"/>
        </w:rPr>
        <w:t>primary outcome among at least one specific population under analysis. Results:</w:t>
      </w:r>
      <w:r w:rsidR="003A1917">
        <w:rPr>
          <w:kern w:val="0"/>
        </w:rPr>
        <w:t xml:space="preserve"> the </w:t>
      </w:r>
      <w:r>
        <w:rPr>
          <w:kern w:val="0"/>
        </w:rPr>
        <w:t>studies targeting</w:t>
      </w:r>
      <w:r w:rsidR="003A1917">
        <w:rPr>
          <w:kern w:val="0"/>
        </w:rPr>
        <w:t xml:space="preserve"> the </w:t>
      </w:r>
      <w:r>
        <w:rPr>
          <w:kern w:val="0"/>
        </w:rPr>
        <w:t>three populations analyzed mostly young participants aged 30 years or less. Among FSW, eight studies were selected (3,625 participants), consistently identifying higher condom use with sexual clients than with occasional</w:t>
      </w:r>
      <w:r w:rsidR="005853A9">
        <w:rPr>
          <w:kern w:val="0"/>
        </w:rPr>
        <w:t xml:space="preserve"> and </w:t>
      </w:r>
      <w:r>
        <w:rPr>
          <w:kern w:val="0"/>
        </w:rPr>
        <w:t>stable partners</w:t>
      </w:r>
      <w:r w:rsidR="00A37C1D">
        <w:rPr>
          <w:kern w:val="0"/>
        </w:rPr>
        <w:t>. The</w:t>
      </w:r>
      <w:r w:rsidR="003A1917">
        <w:rPr>
          <w:kern w:val="0"/>
        </w:rPr>
        <w:t xml:space="preserve"> </w:t>
      </w:r>
      <w:r>
        <w:rPr>
          <w:kern w:val="0"/>
        </w:rPr>
        <w:t>combined HIV prevalence for FSW was 6.2 (95% CI: 4.4-8.3). Ten studies targeting MSM were identified (6,475 participants). Unprotected anal intercourse was commonly reported on those studies, but with great variability according to</w:t>
      </w:r>
      <w:r w:rsidR="003A1917">
        <w:rPr>
          <w:kern w:val="0"/>
        </w:rPr>
        <w:t xml:space="preserve"> the </w:t>
      </w:r>
      <w:r>
        <w:rPr>
          <w:kern w:val="0"/>
        </w:rPr>
        <w:t>nature</w:t>
      </w:r>
      <w:r w:rsidR="00427468">
        <w:rPr>
          <w:kern w:val="0"/>
        </w:rPr>
        <w:t xml:space="preserve"> of </w:t>
      </w:r>
      <w:r w:rsidR="003A1917">
        <w:rPr>
          <w:kern w:val="0"/>
        </w:rPr>
        <w:t xml:space="preserve">the </w:t>
      </w:r>
      <w:r>
        <w:rPr>
          <w:kern w:val="0"/>
        </w:rPr>
        <w:t>relationship - stable vs. occasional sex partners -</w:t>
      </w:r>
      <w:r w:rsidR="005853A9">
        <w:rPr>
          <w:kern w:val="0"/>
        </w:rPr>
        <w:t xml:space="preserve"> and </w:t>
      </w:r>
      <w:r>
        <w:rPr>
          <w:kern w:val="0"/>
        </w:rPr>
        <w:t>sexual practice - receptive vs. insertive anal sex. Pooled HIV prevalence for MSM was 13.6 (95% CI: 8.2-20.2). Twenty nine studies targeting DU were identified (13,063 participants). Those studies consistently identified injection drug use</w:t>
      </w:r>
      <w:r w:rsidR="005853A9">
        <w:rPr>
          <w:kern w:val="0"/>
        </w:rPr>
        <w:t xml:space="preserve"> and </w:t>
      </w:r>
      <w:r>
        <w:rPr>
          <w:kern w:val="0"/>
        </w:rPr>
        <w:t>syringe/needle sharing as key predictors</w:t>
      </w:r>
      <w:r w:rsidR="00427468">
        <w:rPr>
          <w:kern w:val="0"/>
        </w:rPr>
        <w:t xml:space="preserve"> of </w:t>
      </w:r>
      <w:r>
        <w:rPr>
          <w:kern w:val="0"/>
        </w:rPr>
        <w:t>HIV-infection, as well as engagement in sex work</w:t>
      </w:r>
      <w:r w:rsidR="005853A9">
        <w:rPr>
          <w:kern w:val="0"/>
        </w:rPr>
        <w:t xml:space="preserve"> and </w:t>
      </w:r>
      <w:r>
        <w:rPr>
          <w:kern w:val="0"/>
        </w:rPr>
        <w:t>male-to-male sex</w:t>
      </w:r>
      <w:r w:rsidR="00A37C1D">
        <w:rPr>
          <w:kern w:val="0"/>
        </w:rPr>
        <w:t>. The</w:t>
      </w:r>
      <w:r w:rsidR="003A1917">
        <w:rPr>
          <w:kern w:val="0"/>
        </w:rPr>
        <w:t xml:space="preserve"> </w:t>
      </w:r>
      <w:r>
        <w:rPr>
          <w:kern w:val="0"/>
        </w:rPr>
        <w:t>combined HIV prevalence across studies targeting DU was 23.1 (95% CI: 16.7-30.2). Conclusions: FSW, MSM</w:t>
      </w:r>
      <w:r w:rsidR="005853A9">
        <w:rPr>
          <w:kern w:val="0"/>
        </w:rPr>
        <w:t xml:space="preserve"> and </w:t>
      </w:r>
      <w:r>
        <w:rPr>
          <w:kern w:val="0"/>
        </w:rPr>
        <w:t>DU from Brazil have a much risk</w:t>
      </w:r>
      <w:r w:rsidR="00427468">
        <w:rPr>
          <w:kern w:val="0"/>
        </w:rPr>
        <w:t xml:space="preserve"> of </w:t>
      </w:r>
      <w:r>
        <w:rPr>
          <w:kern w:val="0"/>
        </w:rPr>
        <w:t>acquiring HIV infection compared to</w:t>
      </w:r>
      <w:r w:rsidR="003A1917">
        <w:rPr>
          <w:kern w:val="0"/>
        </w:rPr>
        <w:t xml:space="preserve"> the </w:t>
      </w:r>
      <w:r>
        <w:rPr>
          <w:kern w:val="0"/>
        </w:rPr>
        <w:t>general population, among which HIV prevalence has been relatively low (similar to 0.6%). Those vulnerable populations should be targeted by focused prevention strategies that provide accurate information, counseling</w:t>
      </w:r>
      <w:r w:rsidR="005853A9">
        <w:rPr>
          <w:kern w:val="0"/>
        </w:rPr>
        <w:t xml:space="preserve"> and </w:t>
      </w:r>
      <w:r>
        <w:rPr>
          <w:kern w:val="0"/>
        </w:rPr>
        <w:t>testing, as well as concrete means to foster behavior change (e. g. access to condoms, drug abuse treatment,</w:t>
      </w:r>
      <w:r w:rsidR="005853A9">
        <w:rPr>
          <w:kern w:val="0"/>
        </w:rPr>
        <w:t xml:space="preserve"> and </w:t>
      </w:r>
      <w:r>
        <w:rPr>
          <w:kern w:val="0"/>
        </w:rPr>
        <w:t>clean syringes in</w:t>
      </w:r>
      <w:r w:rsidR="003A1917">
        <w:rPr>
          <w:kern w:val="0"/>
        </w:rPr>
        <w:t xml:space="preserve"> the </w:t>
      </w:r>
      <w:r>
        <w:rPr>
          <w:kern w:val="0"/>
        </w:rPr>
        <w:t>case</w:t>
      </w:r>
      <w:r w:rsidR="00427468">
        <w:rPr>
          <w:kern w:val="0"/>
        </w:rPr>
        <w:t xml:space="preserve"> of </w:t>
      </w:r>
      <w:r>
        <w:rPr>
          <w:kern w:val="0"/>
        </w:rPr>
        <w:t>active injecting drug users), tailored to gender</w:t>
      </w:r>
      <w:r w:rsidR="005853A9">
        <w:rPr>
          <w:kern w:val="0"/>
        </w:rPr>
        <w:t xml:space="preserve"> and </w:t>
      </w:r>
      <w:r>
        <w:rPr>
          <w:kern w:val="0"/>
        </w:rPr>
        <w:t>culture-specific needs. Programs that provide these services need to be implemented on public health services throughout</w:t>
      </w:r>
      <w:r w:rsidR="003A1917">
        <w:rPr>
          <w:kern w:val="0"/>
        </w:rPr>
        <w:t xml:space="preserve"> the </w:t>
      </w:r>
      <w:r>
        <w:rPr>
          <w:kern w:val="0"/>
        </w:rPr>
        <w:t>country, in order to decrease</w:t>
      </w:r>
      <w:r w:rsidR="003A1917">
        <w:rPr>
          <w:kern w:val="0"/>
        </w:rPr>
        <w:t xml:space="preserve"> the </w:t>
      </w:r>
      <w:r>
        <w:rPr>
          <w:kern w:val="0"/>
        </w:rPr>
        <w:t>vulnerability</w:t>
      </w:r>
      <w:r w:rsidR="00427468">
        <w:rPr>
          <w:kern w:val="0"/>
        </w:rPr>
        <w:t xml:space="preserve"> of </w:t>
      </w:r>
      <w:r>
        <w:rPr>
          <w:kern w:val="0"/>
        </w:rPr>
        <w:t>those populations to HIV infection.</w:t>
      </w:r>
    </w:p>
    <w:p w:rsidR="007E5EA9" w:rsidRDefault="007E5EA9" w:rsidP="007E5EA9">
      <w:pPr>
        <w:pStyle w:val="a3"/>
        <w:rPr>
          <w:kern w:val="0"/>
        </w:rPr>
      </w:pPr>
      <w:r>
        <w:rPr>
          <w:kern w:val="0"/>
        </w:rPr>
        <w:t xml:space="preserve">Keywords: Aged, Aid, Aids, Analysis, Belo-Horizonte, Brazil, Cocaine Users, Cochrane, Consort Statement, Databases, Drug, Drug Use, EMBASE, Gender, Genetic Diversity, Health Services, Hiv, Infection, Information, Literature, </w:t>
      </w:r>
      <w:r w:rsidR="00D5664A">
        <w:rPr>
          <w:kern w:val="0"/>
        </w:rPr>
        <w:t>MEDLINE</w:t>
      </w:r>
      <w:r>
        <w:rPr>
          <w:kern w:val="0"/>
        </w:rPr>
        <w:t xml:space="preserve">, Meta Analysis, Meta-Analysis, Methods, Outcome, Papers, Porto-Alegre, Practice, Prevalence, Prevention, Primary, Project Horizonte, Public Health, </w:t>
      </w:r>
      <w:r w:rsidR="002C12F0">
        <w:rPr>
          <w:kern w:val="0"/>
        </w:rPr>
        <w:t>PUBMED</w:t>
      </w:r>
      <w:r>
        <w:rPr>
          <w:kern w:val="0"/>
        </w:rPr>
        <w:t>, Randomized Trials, Review, Rio-De-Janeiro, Risk, Risk-Factors, Sao-Paulo, Scielo, Science, Systematic, Systematic Review, Treatment, Variability, Vulnerability, Vulnerable Populations</w:t>
      </w:r>
    </w:p>
    <w:p w:rsidR="007E5EA9" w:rsidRDefault="007E5EA9" w:rsidP="007E5EA9">
      <w:pPr>
        <w:pStyle w:val="a3"/>
        <w:rPr>
          <w:kern w:val="0"/>
        </w:rPr>
      </w:pPr>
      <w:r>
        <w:rPr>
          <w:rFonts w:hint="eastAsia"/>
          <w:kern w:val="0"/>
        </w:rPr>
        <w:t xml:space="preserve">? </w:t>
      </w:r>
      <w:r>
        <w:rPr>
          <w:kern w:val="0"/>
        </w:rPr>
        <w:t>Lai, J.K.C., Lucas, R.M., Clements, M.S., Roddam, A.W.</w:t>
      </w:r>
      <w:r w:rsidR="005853A9">
        <w:rPr>
          <w:kern w:val="0"/>
        </w:rPr>
        <w:t xml:space="preserve"> and </w:t>
      </w:r>
      <w:r>
        <w:rPr>
          <w:kern w:val="0"/>
        </w:rPr>
        <w:t>Banks, E. (2010), Hip fracture risk in relation to vitamin D supplementation</w:t>
      </w:r>
      <w:r w:rsidR="005853A9">
        <w:rPr>
          <w:kern w:val="0"/>
        </w:rPr>
        <w:t xml:space="preserve"> and </w:t>
      </w:r>
      <w:r>
        <w:rPr>
          <w:kern w:val="0"/>
        </w:rPr>
        <w:t>serum 25-hydroxyvitamin D levels: A systematic review</w:t>
      </w:r>
      <w:r w:rsidR="005853A9">
        <w:rPr>
          <w:kern w:val="0"/>
        </w:rPr>
        <w:t xml:space="preserve"> and </w:t>
      </w:r>
      <w:r>
        <w:rPr>
          <w:kern w:val="0"/>
        </w:rPr>
        <w:t>meta-analysis</w:t>
      </w:r>
      <w:r w:rsidR="00427468">
        <w:rPr>
          <w:kern w:val="0"/>
        </w:rPr>
        <w:t xml:space="preserve"> of </w:t>
      </w:r>
      <w:r>
        <w:rPr>
          <w:kern w:val="0"/>
        </w:rPr>
        <w:t>randomised controlled trials</w:t>
      </w:r>
      <w:r w:rsidR="005853A9">
        <w:rPr>
          <w:kern w:val="0"/>
        </w:rPr>
        <w:t xml:space="preserve"> and </w:t>
      </w:r>
      <w:r>
        <w:rPr>
          <w:kern w:val="0"/>
        </w:rPr>
        <w:t xml:space="preserve">observational studies. </w:t>
      </w:r>
      <w:r>
        <w:rPr>
          <w:i/>
          <w:iCs/>
          <w:kern w:val="0"/>
        </w:rPr>
        <w:t>BMC Public Health</w:t>
      </w:r>
      <w:r>
        <w:rPr>
          <w:kern w:val="0"/>
        </w:rPr>
        <w:t xml:space="preserve">, </w:t>
      </w:r>
      <w:r>
        <w:rPr>
          <w:b/>
          <w:bCs/>
          <w:kern w:val="0"/>
        </w:rPr>
        <w:t>10</w:t>
      </w:r>
      <w:r>
        <w:rPr>
          <w:rFonts w:hint="eastAsia"/>
          <w:kern w:val="0"/>
        </w:rPr>
        <w:t xml:space="preserve">, </w:t>
      </w:r>
      <w:r>
        <w:t>Article Number: 331</w:t>
      </w:r>
      <w:r>
        <w:rPr>
          <w:rFonts w:hint="eastAsia"/>
        </w:rPr>
        <w:t>.</w:t>
      </w:r>
    </w:p>
    <w:p w:rsidR="007E5EA9" w:rsidRPr="00FC7835" w:rsidRDefault="007E5EA9" w:rsidP="007E5EA9">
      <w:pPr>
        <w:pStyle w:val="a3"/>
      </w:pPr>
      <w:r>
        <w:t>Full Text:</w:t>
      </w:r>
      <w:r w:rsidRPr="00FC7835">
        <w:t xml:space="preserve"> </w:t>
      </w:r>
      <w:hyperlink r:id="rId1698" w:history="1">
        <w:r w:rsidRPr="004A5C8F">
          <w:rPr>
            <w:rStyle w:val="a5"/>
          </w:rPr>
          <w:t>2010\BMC Pub Hea10, 331.pdf</w:t>
        </w:r>
      </w:hyperlink>
    </w:p>
    <w:p w:rsidR="007E5EA9" w:rsidRDefault="007E5EA9" w:rsidP="007E5EA9">
      <w:pPr>
        <w:pStyle w:val="a3"/>
        <w:rPr>
          <w:kern w:val="0"/>
        </w:rPr>
      </w:pPr>
      <w:r>
        <w:rPr>
          <w:kern w:val="0"/>
        </w:rPr>
        <w:t xml:space="preserve">Abstract: Background: Vitamin D supplementation for fracture prevention is </w:t>
      </w:r>
      <w:r>
        <w:rPr>
          <w:kern w:val="0"/>
        </w:rPr>
        <w:lastRenderedPageBreak/>
        <w:t>widespread despite conflicting interpretation</w:t>
      </w:r>
      <w:r w:rsidR="00427468">
        <w:rPr>
          <w:kern w:val="0"/>
        </w:rPr>
        <w:t xml:space="preserve"> of </w:t>
      </w:r>
      <w:r>
        <w:rPr>
          <w:kern w:val="0"/>
        </w:rPr>
        <w:t>relevant randomised controlled trial (RCT) evidence. This study summarises quantitatively</w:t>
      </w:r>
      <w:r w:rsidR="003A1917">
        <w:rPr>
          <w:kern w:val="0"/>
        </w:rPr>
        <w:t xml:space="preserve"> the </w:t>
      </w:r>
      <w:r>
        <w:rPr>
          <w:kern w:val="0"/>
        </w:rPr>
        <w:t>current evidence from RCTs</w:t>
      </w:r>
      <w:r w:rsidR="005853A9">
        <w:rPr>
          <w:kern w:val="0"/>
        </w:rPr>
        <w:t xml:space="preserve"> and </w:t>
      </w:r>
      <w:r>
        <w:rPr>
          <w:kern w:val="0"/>
        </w:rPr>
        <w:t>observational studies regarding vitamin D, parathyroid hormone (PTH)</w:t>
      </w:r>
      <w:r w:rsidR="005853A9">
        <w:rPr>
          <w:kern w:val="0"/>
        </w:rPr>
        <w:t xml:space="preserve"> and </w:t>
      </w:r>
      <w:r>
        <w:rPr>
          <w:kern w:val="0"/>
        </w:rPr>
        <w:t>hip fracture risk. Methods: We undertook separate meta-analyses</w:t>
      </w:r>
      <w:r w:rsidR="00427468">
        <w:rPr>
          <w:kern w:val="0"/>
        </w:rPr>
        <w:t xml:space="preserve"> of </w:t>
      </w:r>
      <w:r>
        <w:rPr>
          <w:kern w:val="0"/>
        </w:rPr>
        <w:t>RCTs examining vitamin D supplementation</w:t>
      </w:r>
      <w:r w:rsidR="005853A9">
        <w:rPr>
          <w:kern w:val="0"/>
        </w:rPr>
        <w:t xml:space="preserve"> and </w:t>
      </w:r>
      <w:r>
        <w:rPr>
          <w:kern w:val="0"/>
        </w:rPr>
        <w:t>hip fracture,</w:t>
      </w:r>
      <w:r w:rsidR="005853A9">
        <w:rPr>
          <w:kern w:val="0"/>
        </w:rPr>
        <w:t xml:space="preserve"> and </w:t>
      </w:r>
      <w:r>
        <w:rPr>
          <w:kern w:val="0"/>
        </w:rPr>
        <w:t>observational studies</w:t>
      </w:r>
      <w:r w:rsidR="00427468">
        <w:rPr>
          <w:kern w:val="0"/>
        </w:rPr>
        <w:t xml:space="preserve"> of </w:t>
      </w:r>
      <w:r>
        <w:rPr>
          <w:kern w:val="0"/>
        </w:rPr>
        <w:t>serum vitamin D status (25-hydroxyvitamin D (25(OH)D) level), PTH</w:t>
      </w:r>
      <w:r w:rsidR="005853A9">
        <w:rPr>
          <w:kern w:val="0"/>
        </w:rPr>
        <w:t xml:space="preserve"> and </w:t>
      </w:r>
      <w:r>
        <w:rPr>
          <w:kern w:val="0"/>
        </w:rPr>
        <w:t>hip fracture. Results from RCTs were combined using</w:t>
      </w:r>
      <w:r w:rsidR="003A1917">
        <w:rPr>
          <w:kern w:val="0"/>
        </w:rPr>
        <w:t xml:space="preserve"> the </w:t>
      </w:r>
      <w:r>
        <w:rPr>
          <w:kern w:val="0"/>
        </w:rPr>
        <w:t>reported hazard ratios/relative risks (RR). Results from case-control studies were combined using</w:t>
      </w:r>
      <w:r w:rsidR="003A1917">
        <w:rPr>
          <w:kern w:val="0"/>
        </w:rPr>
        <w:t xml:space="preserve"> the </w:t>
      </w:r>
      <w:r>
        <w:rPr>
          <w:kern w:val="0"/>
        </w:rPr>
        <w:t>ratio</w:t>
      </w:r>
      <w:r w:rsidR="00427468">
        <w:rPr>
          <w:kern w:val="0"/>
        </w:rPr>
        <w:t xml:space="preserve"> of </w:t>
      </w:r>
      <w:r>
        <w:rPr>
          <w:kern w:val="0"/>
        </w:rPr>
        <w:t>25(OH)D</w:t>
      </w:r>
      <w:r w:rsidR="005853A9">
        <w:rPr>
          <w:kern w:val="0"/>
        </w:rPr>
        <w:t xml:space="preserve"> and </w:t>
      </w:r>
      <w:r>
        <w:rPr>
          <w:kern w:val="0"/>
        </w:rPr>
        <w:t>PTH measurements</w:t>
      </w:r>
      <w:r w:rsidR="00427468">
        <w:rPr>
          <w:kern w:val="0"/>
        </w:rPr>
        <w:t xml:space="preserve"> of </w:t>
      </w:r>
      <w:r>
        <w:rPr>
          <w:kern w:val="0"/>
        </w:rPr>
        <w:t>hip fracture cases compared with controls. Original published studies</w:t>
      </w:r>
      <w:r w:rsidR="00427468">
        <w:rPr>
          <w:kern w:val="0"/>
        </w:rPr>
        <w:t xml:space="preserve"> of </w:t>
      </w:r>
      <w:r>
        <w:rPr>
          <w:kern w:val="0"/>
        </w:rPr>
        <w:t>vitamin D, PTH</w:t>
      </w:r>
      <w:r w:rsidR="005853A9">
        <w:rPr>
          <w:kern w:val="0"/>
        </w:rPr>
        <w:t xml:space="preserve"> and </w:t>
      </w:r>
      <w:r>
        <w:rPr>
          <w:kern w:val="0"/>
        </w:rPr>
        <w:t xml:space="preserve">hip fracture were identified through </w:t>
      </w:r>
      <w:r w:rsidR="002C12F0">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searches</w:t>
      </w:r>
      <w:r w:rsidR="00427468">
        <w:rPr>
          <w:kern w:val="0"/>
        </w:rPr>
        <w:t xml:space="preserve"> of </w:t>
      </w:r>
      <w:r>
        <w:rPr>
          <w:kern w:val="0"/>
        </w:rPr>
        <w:t>reference lists</w:t>
      </w:r>
      <w:r w:rsidR="005853A9">
        <w:rPr>
          <w:kern w:val="0"/>
        </w:rPr>
        <w:t xml:space="preserve"> and </w:t>
      </w:r>
      <w:r>
        <w:rPr>
          <w:kern w:val="0"/>
        </w:rPr>
        <w:t>forward citations</w:t>
      </w:r>
      <w:r w:rsidR="00427468">
        <w:rPr>
          <w:kern w:val="0"/>
        </w:rPr>
        <w:t xml:space="preserve"> of </w:t>
      </w:r>
      <w:r>
        <w:rPr>
          <w:kern w:val="0"/>
        </w:rPr>
        <w:t>key papers. Results:</w:t>
      </w:r>
      <w:r w:rsidR="003A1917">
        <w:rPr>
          <w:kern w:val="0"/>
        </w:rPr>
        <w:t xml:space="preserve"> the </w:t>
      </w:r>
      <w:r>
        <w:rPr>
          <w:kern w:val="0"/>
        </w:rPr>
        <w:t>seven eligible RCTs identified showed no significant difference in hip fracture risk in those randomised to cholecalciferol or ergocalciferol supplementation versus placebo/control (RR = 1.13[95% CI 0.98-1.29]; 801 cases), with no significant difference between trials</w:t>
      </w:r>
      <w:r w:rsidR="00427468">
        <w:rPr>
          <w:kern w:val="0"/>
        </w:rPr>
        <w:t xml:space="preserve"> of </w:t>
      </w:r>
      <w:r>
        <w:rPr>
          <w:kern w:val="0"/>
        </w:rPr>
        <w:t>&lt;800 IU/day</w:t>
      </w:r>
      <w:r w:rsidR="005853A9">
        <w:rPr>
          <w:kern w:val="0"/>
        </w:rPr>
        <w:t xml:space="preserve"> and </w:t>
      </w:r>
      <w:r>
        <w:rPr>
          <w:kern w:val="0"/>
        </w:rPr>
        <w:t>&gt;= 800 IU/day</w:t>
      </w:r>
      <w:r w:rsidR="00A37C1D">
        <w:rPr>
          <w:kern w:val="0"/>
        </w:rPr>
        <w:t>. The</w:t>
      </w:r>
      <w:r w:rsidR="003A1917">
        <w:rPr>
          <w:kern w:val="0"/>
        </w:rPr>
        <w:t xml:space="preserve"> </w:t>
      </w:r>
      <w:r>
        <w:rPr>
          <w:kern w:val="0"/>
        </w:rPr>
        <w:t>17 identified case-control studies found 33% lower serum 25(OH)D levels in cases compared to controls, based on 1903 cases. This difference was significantly greater in studies with population-based compared to hospital-based controls (X(1)(2) (heterogeneity) = 51.02, p &lt; 0.001)</w:t>
      </w:r>
      <w:r w:rsidR="005853A9">
        <w:rPr>
          <w:kern w:val="0"/>
        </w:rPr>
        <w:t xml:space="preserve"> and </w:t>
      </w:r>
      <w:r>
        <w:rPr>
          <w:kern w:val="0"/>
        </w:rPr>
        <w:t>significant heterogeneity was present overall (X(16)(2) (heterogeneity) = 137.9, p &lt; 0.001). Serum PTH levels in hip fracture cases did not differ significantly from controls, based on ten case-control studies with 905 cases (X(9)(2) (heterogeneity) = 149.68, p &lt; 0.001). Conclusions: Neither higher nor lower dose vitamin D supplementation prevented hip fracture. Randomised</w:t>
      </w:r>
      <w:r w:rsidR="005853A9">
        <w:rPr>
          <w:kern w:val="0"/>
        </w:rPr>
        <w:t xml:space="preserve"> and </w:t>
      </w:r>
      <w:r>
        <w:rPr>
          <w:kern w:val="0"/>
        </w:rPr>
        <w:t>observational data on vitamin D</w:t>
      </w:r>
      <w:r w:rsidR="005853A9">
        <w:rPr>
          <w:kern w:val="0"/>
        </w:rPr>
        <w:t xml:space="preserve"> and </w:t>
      </w:r>
      <w:r>
        <w:rPr>
          <w:kern w:val="0"/>
        </w:rPr>
        <w:t>hip fracture appear to differ</w:t>
      </w:r>
      <w:r w:rsidR="00A37C1D">
        <w:rPr>
          <w:kern w:val="0"/>
        </w:rPr>
        <w:t>. The</w:t>
      </w:r>
      <w:r w:rsidR="003A1917">
        <w:rPr>
          <w:kern w:val="0"/>
        </w:rPr>
        <w:t xml:space="preserve"> </w:t>
      </w:r>
      <w:r>
        <w:rPr>
          <w:kern w:val="0"/>
        </w:rPr>
        <w:t>reason for this is unclear; one possible explanation is uncontrolled confounding in observational studies. Post-fracture PTH levels are unrelated to hip fracture risk.</w:t>
      </w:r>
    </w:p>
    <w:p w:rsidR="007E5EA9" w:rsidRDefault="007E5EA9" w:rsidP="007E5EA9">
      <w:pPr>
        <w:pStyle w:val="a3"/>
        <w:rPr>
          <w:kern w:val="0"/>
        </w:rPr>
      </w:pPr>
      <w:r>
        <w:rPr>
          <w:kern w:val="0"/>
        </w:rPr>
        <w:t xml:space="preserve">Keywords: Beta-Carotene, Breast-Cancer Risk, Case-Control Studies, Citations, Confounding, D-Binding Protein, Databases, Double-Blind, Elderly Control Subjects, Femoral-Neck, Fracture, Interpretation, Meta-Analysis, Methods, Multiple-Sclerosis, Observational Studies, Papers, Parathyroid-Hormone, Placebo-Controlled Trial, Prevention, </w:t>
      </w:r>
      <w:r w:rsidR="002C12F0">
        <w:rPr>
          <w:kern w:val="0"/>
        </w:rPr>
        <w:t>PUBMED</w:t>
      </w:r>
      <w:r>
        <w:rPr>
          <w:kern w:val="0"/>
        </w:rPr>
        <w:t xml:space="preserve">, Randomised Controlled Trial, Ratio, Review, Risk, Science, Secondary Hyperparathyroidism, Systematic, Systematic Review, Vitamin D, </w:t>
      </w:r>
      <w:r w:rsidR="00D5664A">
        <w:rPr>
          <w:kern w:val="0"/>
        </w:rPr>
        <w:t>Web</w:t>
      </w:r>
      <w:r w:rsidR="00427468">
        <w:rPr>
          <w:kern w:val="0"/>
        </w:rPr>
        <w:t xml:space="preserve"> of </w:t>
      </w:r>
      <w:r w:rsidR="00D5664A">
        <w:rPr>
          <w:kern w:val="0"/>
        </w:rPr>
        <w:t>Science</w:t>
      </w:r>
    </w:p>
    <w:p w:rsidR="007E5EA9" w:rsidRDefault="007E5EA9" w:rsidP="007E5EA9">
      <w:pPr>
        <w:pStyle w:val="a3"/>
        <w:rPr>
          <w:kern w:val="0"/>
        </w:rPr>
      </w:pPr>
      <w:r>
        <w:rPr>
          <w:rFonts w:hint="eastAsia"/>
          <w:kern w:val="0"/>
        </w:rPr>
        <w:t xml:space="preserve">? </w:t>
      </w:r>
      <w:r>
        <w:rPr>
          <w:kern w:val="0"/>
        </w:rPr>
        <w:t>Akl, E.A., Aleem, S., Gunukula, S.K., Honeine, R., bou Jaoude, P.</w:t>
      </w:r>
      <w:r w:rsidR="005853A9">
        <w:rPr>
          <w:kern w:val="0"/>
        </w:rPr>
        <w:t xml:space="preserve"> and </w:t>
      </w:r>
      <w:r>
        <w:rPr>
          <w:kern w:val="0"/>
        </w:rPr>
        <w:t>Irani, J. (2010), Survey instruments used in clinical</w:t>
      </w:r>
      <w:r w:rsidR="005853A9">
        <w:rPr>
          <w:kern w:val="0"/>
        </w:rPr>
        <w:t xml:space="preserve"> and </w:t>
      </w:r>
      <w:r>
        <w:rPr>
          <w:kern w:val="0"/>
        </w:rPr>
        <w:t xml:space="preserve">epidemiological research on waterpipe tobacco smoking: A systematic review. </w:t>
      </w:r>
      <w:r>
        <w:rPr>
          <w:i/>
          <w:iCs/>
          <w:kern w:val="0"/>
        </w:rPr>
        <w:t>BMC Public Health</w:t>
      </w:r>
      <w:r>
        <w:rPr>
          <w:kern w:val="0"/>
        </w:rPr>
        <w:t xml:space="preserve">, </w:t>
      </w:r>
      <w:r>
        <w:rPr>
          <w:b/>
          <w:bCs/>
          <w:kern w:val="0"/>
        </w:rPr>
        <w:t>10</w:t>
      </w:r>
      <w:r>
        <w:rPr>
          <w:rFonts w:hint="eastAsia"/>
          <w:kern w:val="0"/>
        </w:rPr>
        <w:t xml:space="preserve">, </w:t>
      </w:r>
      <w:r>
        <w:t>Article Number: 415</w:t>
      </w:r>
      <w:r>
        <w:rPr>
          <w:rFonts w:hint="eastAsia"/>
        </w:rPr>
        <w:t>.</w:t>
      </w:r>
    </w:p>
    <w:p w:rsidR="007E5EA9" w:rsidRPr="00FC7835" w:rsidRDefault="007E5EA9" w:rsidP="007E5EA9">
      <w:pPr>
        <w:pStyle w:val="a3"/>
      </w:pPr>
      <w:r>
        <w:t>Full Text:</w:t>
      </w:r>
      <w:r w:rsidRPr="00FC7835">
        <w:t xml:space="preserve"> </w:t>
      </w:r>
      <w:hyperlink r:id="rId1699" w:history="1">
        <w:r w:rsidRPr="004A5C8F">
          <w:rPr>
            <w:rStyle w:val="a5"/>
          </w:rPr>
          <w:t>2010\BMC Pub Hea10, 415.pdf</w:t>
        </w:r>
      </w:hyperlink>
    </w:p>
    <w:p w:rsidR="007E5EA9" w:rsidRDefault="007E5EA9" w:rsidP="007E5EA9">
      <w:pPr>
        <w:pStyle w:val="a3"/>
        <w:rPr>
          <w:kern w:val="0"/>
        </w:rPr>
      </w:pPr>
      <w:r>
        <w:rPr>
          <w:kern w:val="0"/>
        </w:rPr>
        <w:lastRenderedPageBreak/>
        <w:t>Abstract: Background:</w:t>
      </w:r>
      <w:r w:rsidR="003A1917">
        <w:rPr>
          <w:kern w:val="0"/>
        </w:rPr>
        <w:t xml:space="preserve"> the </w:t>
      </w:r>
      <w:r>
        <w:rPr>
          <w:kern w:val="0"/>
        </w:rPr>
        <w:t>primary objective was to systematically review</w:t>
      </w:r>
      <w:r w:rsidR="003A1917">
        <w:rPr>
          <w:kern w:val="0"/>
        </w:rPr>
        <w:t xml:space="preserve"> the </w:t>
      </w:r>
      <w:r>
        <w:rPr>
          <w:kern w:val="0"/>
        </w:rPr>
        <w:t>medical literature for instruments validated for use in epidemiological</w:t>
      </w:r>
      <w:r w:rsidR="005853A9">
        <w:rPr>
          <w:kern w:val="0"/>
        </w:rPr>
        <w:t xml:space="preserve"> and </w:t>
      </w:r>
      <w:r>
        <w:rPr>
          <w:kern w:val="0"/>
        </w:rPr>
        <w:t>clinical research on waterpipe smoking. Methods: We searched</w:t>
      </w:r>
      <w:r w:rsidR="003A1917">
        <w:rPr>
          <w:kern w:val="0"/>
        </w:rPr>
        <w:t xml:space="preserve"> the </w:t>
      </w:r>
      <w:r>
        <w:rPr>
          <w:kern w:val="0"/>
        </w:rPr>
        <w:t xml:space="preserve">following databases: </w:t>
      </w:r>
      <w:r w:rsidR="00D5664A">
        <w:rPr>
          <w:kern w:val="0"/>
        </w:rPr>
        <w:t>MEDLINE</w:t>
      </w:r>
      <w:r>
        <w:rPr>
          <w:kern w:val="0"/>
        </w:rPr>
        <w:t>, EMBASE,</w:t>
      </w:r>
      <w:r w:rsidR="005853A9">
        <w:rPr>
          <w:kern w:val="0"/>
        </w:rPr>
        <w:t xml:space="preserve"> and </w:t>
      </w:r>
      <w:r>
        <w:rPr>
          <w:kern w:val="0"/>
        </w:rPr>
        <w:t>ISI</w:t>
      </w:r>
      <w:r w:rsidR="003A1917">
        <w:rPr>
          <w:kern w:val="0"/>
        </w:rPr>
        <w:t xml:space="preserve"> the </w:t>
      </w:r>
      <w:r w:rsidR="00D5664A">
        <w:rPr>
          <w:kern w:val="0"/>
        </w:rPr>
        <w:t>Web</w:t>
      </w:r>
      <w:r w:rsidR="00427468">
        <w:rPr>
          <w:kern w:val="0"/>
        </w:rPr>
        <w:t xml:space="preserve"> of </w:t>
      </w:r>
      <w:r w:rsidR="00D5664A">
        <w:rPr>
          <w:kern w:val="0"/>
        </w:rPr>
        <w:t>Science</w:t>
      </w:r>
      <w:r>
        <w:rPr>
          <w:kern w:val="0"/>
        </w:rPr>
        <w:t>. We selected studies using a two-stage duplicate</w:t>
      </w:r>
      <w:r w:rsidR="005853A9">
        <w:rPr>
          <w:kern w:val="0"/>
        </w:rPr>
        <w:t xml:space="preserve"> and </w:t>
      </w:r>
      <w:r>
        <w:rPr>
          <w:kern w:val="0"/>
        </w:rPr>
        <w:t>independent screening process. We included papers reporting on</w:t>
      </w:r>
      <w:r w:rsidR="003A1917">
        <w:rPr>
          <w:kern w:val="0"/>
        </w:rPr>
        <w:t xml:space="preserve"> the </w:t>
      </w:r>
      <w:r>
        <w:rPr>
          <w:kern w:val="0"/>
        </w:rPr>
        <w:t>development and/or validation</w:t>
      </w:r>
      <w:r w:rsidR="00427468">
        <w:rPr>
          <w:kern w:val="0"/>
        </w:rPr>
        <w:t xml:space="preserve"> of </w:t>
      </w:r>
      <w:r>
        <w:rPr>
          <w:kern w:val="0"/>
        </w:rPr>
        <w:t>survey instruments to measure waterpipe tobacco consumption or related concepts. Two reviewers used a standardized</w:t>
      </w:r>
      <w:r w:rsidR="005853A9">
        <w:rPr>
          <w:kern w:val="0"/>
        </w:rPr>
        <w:t xml:space="preserve"> and </w:t>
      </w:r>
      <w:r>
        <w:rPr>
          <w:kern w:val="0"/>
        </w:rPr>
        <w:t>pilot tested data abstraction form to collect data from each eligible study using a duplicate</w:t>
      </w:r>
      <w:r w:rsidR="005853A9">
        <w:rPr>
          <w:kern w:val="0"/>
        </w:rPr>
        <w:t xml:space="preserve"> and </w:t>
      </w:r>
      <w:r>
        <w:rPr>
          <w:kern w:val="0"/>
        </w:rPr>
        <w:t>independent screening process. We also determined</w:t>
      </w:r>
      <w:r w:rsidR="003A1917">
        <w:rPr>
          <w:kern w:val="0"/>
        </w:rPr>
        <w:t xml:space="preserve"> the </w:t>
      </w:r>
      <w:r>
        <w:rPr>
          <w:kern w:val="0"/>
        </w:rPr>
        <w:t>percentage</w:t>
      </w:r>
      <w:r w:rsidR="00427468">
        <w:rPr>
          <w:kern w:val="0"/>
        </w:rPr>
        <w:t xml:space="preserve"> of </w:t>
      </w:r>
      <w:r>
        <w:rPr>
          <w:kern w:val="0"/>
        </w:rPr>
        <w:t>observational studies assessing</w:t>
      </w:r>
      <w:r w:rsidR="003A1917">
        <w:rPr>
          <w:kern w:val="0"/>
        </w:rPr>
        <w:t xml:space="preserve"> the </w:t>
      </w:r>
      <w:r>
        <w:rPr>
          <w:kern w:val="0"/>
        </w:rPr>
        <w:t>health effects</w:t>
      </w:r>
      <w:r w:rsidR="00427468">
        <w:rPr>
          <w:kern w:val="0"/>
        </w:rPr>
        <w:t xml:space="preserve"> of </w:t>
      </w:r>
      <w:r>
        <w:rPr>
          <w:kern w:val="0"/>
        </w:rPr>
        <w:t>waterpipe tobacco smoking</w:t>
      </w:r>
      <w:r w:rsidR="005853A9">
        <w:rPr>
          <w:kern w:val="0"/>
        </w:rPr>
        <w:t xml:space="preserve"> and </w:t>
      </w:r>
      <w:r w:rsidR="003A1917">
        <w:rPr>
          <w:kern w:val="0"/>
        </w:rPr>
        <w:t xml:space="preserve">the </w:t>
      </w:r>
      <w:r>
        <w:rPr>
          <w:kern w:val="0"/>
        </w:rPr>
        <w:t>percentage</w:t>
      </w:r>
      <w:r w:rsidR="00427468">
        <w:rPr>
          <w:kern w:val="0"/>
        </w:rPr>
        <w:t xml:space="preserve"> of </w:t>
      </w:r>
      <w:r>
        <w:rPr>
          <w:kern w:val="0"/>
        </w:rPr>
        <w:t>studies</w:t>
      </w:r>
      <w:r w:rsidR="00427468">
        <w:rPr>
          <w:kern w:val="0"/>
        </w:rPr>
        <w:t xml:space="preserve"> of </w:t>
      </w:r>
      <w:r>
        <w:rPr>
          <w:kern w:val="0"/>
        </w:rPr>
        <w:t>prevalence</w:t>
      </w:r>
      <w:r w:rsidR="00427468">
        <w:rPr>
          <w:kern w:val="0"/>
        </w:rPr>
        <w:t xml:space="preserve"> of </w:t>
      </w:r>
      <w:r>
        <w:rPr>
          <w:kern w:val="0"/>
        </w:rPr>
        <w:t>waterpipe tobacco smoking that have used validated survey instruments. Results: We identified a total</w:t>
      </w:r>
      <w:r w:rsidR="00427468">
        <w:rPr>
          <w:kern w:val="0"/>
        </w:rPr>
        <w:t xml:space="preserve"> of </w:t>
      </w:r>
      <w:r>
        <w:rPr>
          <w:kern w:val="0"/>
        </w:rPr>
        <w:t>five survey instruments. One instrument was designed to measure knowledge, attitudes,</w:t>
      </w:r>
      <w:r w:rsidR="005853A9">
        <w:rPr>
          <w:kern w:val="0"/>
        </w:rPr>
        <w:t xml:space="preserve"> and </w:t>
      </w:r>
      <w:r>
        <w:rPr>
          <w:kern w:val="0"/>
        </w:rPr>
        <w:t>waterpipe use among pregnant women</w:t>
      </w:r>
      <w:r w:rsidR="005853A9">
        <w:rPr>
          <w:kern w:val="0"/>
        </w:rPr>
        <w:t xml:space="preserve"> and </w:t>
      </w:r>
      <w:r>
        <w:rPr>
          <w:kern w:val="0"/>
        </w:rPr>
        <w:t>was shown to have internal consistency</w:t>
      </w:r>
      <w:r w:rsidR="005853A9">
        <w:rPr>
          <w:kern w:val="0"/>
        </w:rPr>
        <w:t xml:space="preserve"> and </w:t>
      </w:r>
      <w:r>
        <w:rPr>
          <w:kern w:val="0"/>
        </w:rPr>
        <w:t>content validity. Three instruments were designed to measure waterpipe tobacco consumption, two</w:t>
      </w:r>
      <w:r w:rsidR="00427468">
        <w:rPr>
          <w:kern w:val="0"/>
        </w:rPr>
        <w:t xml:space="preserve"> of </w:t>
      </w:r>
      <w:r>
        <w:rPr>
          <w:kern w:val="0"/>
        </w:rPr>
        <w:t>which were reported to have face validity</w:t>
      </w:r>
      <w:r w:rsidR="00A37C1D">
        <w:rPr>
          <w:kern w:val="0"/>
        </w:rPr>
        <w:t>. The</w:t>
      </w:r>
      <w:r w:rsidR="003A1917">
        <w:rPr>
          <w:kern w:val="0"/>
        </w:rPr>
        <w:t xml:space="preserve"> </w:t>
      </w:r>
      <w:r>
        <w:rPr>
          <w:kern w:val="0"/>
        </w:rPr>
        <w:t>fifth instrument was designed to measure waterpipe dependence</w:t>
      </w:r>
      <w:r w:rsidR="005853A9">
        <w:rPr>
          <w:kern w:val="0"/>
        </w:rPr>
        <w:t xml:space="preserve"> and </w:t>
      </w:r>
      <w:r>
        <w:rPr>
          <w:kern w:val="0"/>
        </w:rPr>
        <w:t>was rigorously developed</w:t>
      </w:r>
      <w:r w:rsidR="005853A9">
        <w:rPr>
          <w:kern w:val="0"/>
        </w:rPr>
        <w:t xml:space="preserve"> and </w:t>
      </w:r>
      <w:r>
        <w:rPr>
          <w:kern w:val="0"/>
        </w:rPr>
        <w:t>validated. One</w:t>
      </w:r>
      <w:r w:rsidR="00427468">
        <w:rPr>
          <w:kern w:val="0"/>
        </w:rPr>
        <w:t xml:space="preserve"> of </w:t>
      </w:r>
      <w:r w:rsidR="003A1917">
        <w:rPr>
          <w:kern w:val="0"/>
        </w:rPr>
        <w:t xml:space="preserve">the </w:t>
      </w:r>
      <w:r>
        <w:rPr>
          <w:kern w:val="0"/>
        </w:rPr>
        <w:t>studies</w:t>
      </w:r>
      <w:r w:rsidR="00427468">
        <w:rPr>
          <w:kern w:val="0"/>
        </w:rPr>
        <w:t xml:space="preserve"> of </w:t>
      </w:r>
      <w:r>
        <w:rPr>
          <w:kern w:val="0"/>
        </w:rPr>
        <w:t>prevalence</w:t>
      </w:r>
      <w:r w:rsidR="005853A9">
        <w:rPr>
          <w:kern w:val="0"/>
        </w:rPr>
        <w:t xml:space="preserve"> and </w:t>
      </w:r>
      <w:r>
        <w:rPr>
          <w:kern w:val="0"/>
        </w:rPr>
        <w:t>none</w:t>
      </w:r>
      <w:r w:rsidR="00427468">
        <w:rPr>
          <w:kern w:val="0"/>
        </w:rPr>
        <w:t xml:space="preserve"> of </w:t>
      </w:r>
      <w:r w:rsidR="003A1917">
        <w:rPr>
          <w:kern w:val="0"/>
        </w:rPr>
        <w:t xml:space="preserve">the </w:t>
      </w:r>
      <w:r>
        <w:rPr>
          <w:kern w:val="0"/>
        </w:rPr>
        <w:t>studies</w:t>
      </w:r>
      <w:r w:rsidR="00427468">
        <w:rPr>
          <w:kern w:val="0"/>
        </w:rPr>
        <w:t xml:space="preserve"> of </w:t>
      </w:r>
      <w:r>
        <w:rPr>
          <w:kern w:val="0"/>
        </w:rPr>
        <w:t>health effects</w:t>
      </w:r>
      <w:r w:rsidR="00427468">
        <w:rPr>
          <w:kern w:val="0"/>
        </w:rPr>
        <w:t xml:space="preserve"> of </w:t>
      </w:r>
      <w:r>
        <w:rPr>
          <w:kern w:val="0"/>
        </w:rPr>
        <w:t>waterpipe smoking used validated instruments. Conclusions: A number</w:t>
      </w:r>
      <w:r w:rsidR="00427468">
        <w:rPr>
          <w:kern w:val="0"/>
        </w:rPr>
        <w:t xml:space="preserve"> of </w:t>
      </w:r>
      <w:r>
        <w:rPr>
          <w:kern w:val="0"/>
        </w:rPr>
        <w:t>instruments for measuring</w:t>
      </w:r>
      <w:r w:rsidR="003A1917">
        <w:rPr>
          <w:kern w:val="0"/>
        </w:rPr>
        <w:t xml:space="preserve"> the </w:t>
      </w:r>
      <w:r>
        <w:rPr>
          <w:kern w:val="0"/>
        </w:rPr>
        <w:t>use</w:t>
      </w:r>
      <w:r w:rsidR="00427468">
        <w:rPr>
          <w:kern w:val="0"/>
        </w:rPr>
        <w:t xml:space="preserve"> of </w:t>
      </w:r>
      <w:r w:rsidR="005853A9">
        <w:rPr>
          <w:kern w:val="0"/>
        </w:rPr>
        <w:t xml:space="preserve">and </w:t>
      </w:r>
      <w:r>
        <w:rPr>
          <w:kern w:val="0"/>
        </w:rPr>
        <w:t>dependence on waterpipe smoking exist. Future research should study content validity</w:t>
      </w:r>
      <w:r w:rsidR="005853A9">
        <w:rPr>
          <w:kern w:val="0"/>
        </w:rPr>
        <w:t xml:space="preserve"> and </w:t>
      </w:r>
      <w:r>
        <w:rPr>
          <w:kern w:val="0"/>
        </w:rPr>
        <w:t>cross cultural adaptation</w:t>
      </w:r>
      <w:r w:rsidR="00427468">
        <w:rPr>
          <w:kern w:val="0"/>
        </w:rPr>
        <w:t xml:space="preserve"> of </w:t>
      </w:r>
      <w:r>
        <w:rPr>
          <w:kern w:val="0"/>
        </w:rPr>
        <w:t>these instruments.</w:t>
      </w:r>
    </w:p>
    <w:p w:rsidR="007E5EA9" w:rsidRDefault="007E5EA9" w:rsidP="007E5EA9">
      <w:pPr>
        <w:pStyle w:val="a3"/>
        <w:rPr>
          <w:kern w:val="0"/>
        </w:rPr>
      </w:pPr>
      <w:r>
        <w:rPr>
          <w:kern w:val="0"/>
        </w:rPr>
        <w:t>Keywords: Adaptation, Clinical Research, Cross-Cultural Adaptation, Databases, Development, EMBASE, Face</w:t>
      </w:r>
      <w:r w:rsidR="00D5664A">
        <w:rPr>
          <w:kern w:val="0"/>
        </w:rPr>
        <w:t>, ISI,</w:t>
      </w:r>
      <w:r>
        <w:rPr>
          <w:kern w:val="0"/>
        </w:rPr>
        <w:t xml:space="preserve"> Knowledge, Lebanon, Literature, Medical, </w:t>
      </w:r>
      <w:r w:rsidR="00D5664A">
        <w:rPr>
          <w:kern w:val="0"/>
        </w:rPr>
        <w:t>MEDLINE</w:t>
      </w:r>
      <w:r>
        <w:rPr>
          <w:kern w:val="0"/>
        </w:rPr>
        <w:t xml:space="preserve">, Methods, Observational Studies, Papers, Prevalence, Primary, Questionnaire, Research, Review, Science, Screening, Smoking, Survey, Systematic, Systematic Review, Tobacco, Validation, Validity, </w:t>
      </w:r>
      <w:r w:rsidR="00D5664A">
        <w:rPr>
          <w:kern w:val="0"/>
        </w:rPr>
        <w:t>Web</w:t>
      </w:r>
      <w:r w:rsidR="00427468">
        <w:rPr>
          <w:kern w:val="0"/>
        </w:rPr>
        <w:t xml:space="preserve"> of </w:t>
      </w:r>
      <w:r w:rsidR="00D5664A">
        <w:rPr>
          <w:kern w:val="0"/>
        </w:rPr>
        <w:t>Science</w:t>
      </w:r>
      <w:r>
        <w:rPr>
          <w:kern w:val="0"/>
        </w:rPr>
        <w:t>, Women</w:t>
      </w:r>
    </w:p>
    <w:p w:rsidR="007E5EA9" w:rsidRDefault="007E5EA9" w:rsidP="007E5EA9">
      <w:pPr>
        <w:pStyle w:val="a3"/>
        <w:rPr>
          <w:kern w:val="0"/>
        </w:rPr>
      </w:pPr>
      <w:r>
        <w:rPr>
          <w:rFonts w:hint="eastAsia"/>
          <w:kern w:val="0"/>
        </w:rPr>
        <w:t xml:space="preserve">? </w:t>
      </w:r>
      <w:r>
        <w:rPr>
          <w:kern w:val="0"/>
        </w:rPr>
        <w:t>Akl, E.A., Gunukula, S.K., Aleem, S., Obeid, R., bou Jaoude, P., Honeine, R.</w:t>
      </w:r>
      <w:r w:rsidR="005853A9">
        <w:rPr>
          <w:kern w:val="0"/>
        </w:rPr>
        <w:t xml:space="preserve"> and </w:t>
      </w:r>
      <w:r>
        <w:rPr>
          <w:kern w:val="0"/>
        </w:rPr>
        <w:t>Irani, J. (2011</w:t>
      </w:r>
      <w:r w:rsidR="00F42EAC">
        <w:rPr>
          <w:kern w:val="0"/>
        </w:rPr>
        <w:t>), The</w:t>
      </w:r>
      <w:r w:rsidR="003A1917">
        <w:rPr>
          <w:kern w:val="0"/>
        </w:rPr>
        <w:t xml:space="preserve"> </w:t>
      </w:r>
      <w:r>
        <w:rPr>
          <w:kern w:val="0"/>
        </w:rPr>
        <w:t>prevalence</w:t>
      </w:r>
      <w:r w:rsidR="00427468">
        <w:rPr>
          <w:kern w:val="0"/>
        </w:rPr>
        <w:t xml:space="preserve"> of </w:t>
      </w:r>
      <w:r>
        <w:rPr>
          <w:kern w:val="0"/>
        </w:rPr>
        <w:t>waterpipe tobacco smoking among</w:t>
      </w:r>
      <w:r w:rsidR="003A1917">
        <w:rPr>
          <w:kern w:val="0"/>
        </w:rPr>
        <w:t xml:space="preserve"> the </w:t>
      </w:r>
      <w:r>
        <w:rPr>
          <w:kern w:val="0"/>
        </w:rPr>
        <w:t>general</w:t>
      </w:r>
      <w:r w:rsidR="005853A9">
        <w:rPr>
          <w:kern w:val="0"/>
        </w:rPr>
        <w:t xml:space="preserve"> and </w:t>
      </w:r>
      <w:r>
        <w:rPr>
          <w:kern w:val="0"/>
        </w:rPr>
        <w:t xml:space="preserve">specific populations: A systematic review. </w:t>
      </w:r>
      <w:r>
        <w:rPr>
          <w:i/>
          <w:iCs/>
          <w:kern w:val="0"/>
        </w:rPr>
        <w:t>BMC Public Health</w:t>
      </w:r>
      <w:r>
        <w:rPr>
          <w:kern w:val="0"/>
        </w:rPr>
        <w:t xml:space="preserve">, </w:t>
      </w:r>
      <w:r>
        <w:rPr>
          <w:b/>
          <w:bCs/>
          <w:kern w:val="0"/>
        </w:rPr>
        <w:t>11</w:t>
      </w:r>
      <w:r>
        <w:rPr>
          <w:rFonts w:hint="eastAsia"/>
          <w:kern w:val="0"/>
        </w:rPr>
        <w:t xml:space="preserve">, </w:t>
      </w:r>
      <w:r>
        <w:t>Article Number: 244</w:t>
      </w:r>
      <w:r>
        <w:rPr>
          <w:rFonts w:hint="eastAsia"/>
        </w:rPr>
        <w:t>.</w:t>
      </w:r>
    </w:p>
    <w:p w:rsidR="007E5EA9" w:rsidRPr="00FC7835" w:rsidRDefault="007E5EA9" w:rsidP="007E5EA9">
      <w:pPr>
        <w:pStyle w:val="a3"/>
      </w:pPr>
      <w:r>
        <w:t>Full Text:</w:t>
      </w:r>
      <w:r w:rsidRPr="00FC7835">
        <w:t xml:space="preserve"> </w:t>
      </w:r>
      <w:hyperlink r:id="rId1700" w:history="1">
        <w:r w:rsidRPr="004A5C8F">
          <w:rPr>
            <w:rStyle w:val="a5"/>
          </w:rPr>
          <w:t>2011\BMC Pub Hea11, 244.pdf</w:t>
        </w:r>
      </w:hyperlink>
    </w:p>
    <w:p w:rsidR="007E5EA9" w:rsidRDefault="007E5EA9" w:rsidP="007E5EA9">
      <w:pPr>
        <w:pStyle w:val="a3"/>
        <w:rPr>
          <w:kern w:val="0"/>
        </w:rPr>
      </w:pPr>
      <w:r>
        <w:rPr>
          <w:kern w:val="0"/>
        </w:rPr>
        <w:t>Abstract: Background:</w:t>
      </w:r>
      <w:r w:rsidR="003A1917">
        <w:rPr>
          <w:kern w:val="0"/>
        </w:rPr>
        <w:t xml:space="preserve"> the </w:t>
      </w:r>
      <w:r>
        <w:rPr>
          <w:kern w:val="0"/>
        </w:rPr>
        <w:t>objective</w:t>
      </w:r>
      <w:r w:rsidR="00427468">
        <w:rPr>
          <w:kern w:val="0"/>
        </w:rPr>
        <w:t xml:space="preserve"> of </w:t>
      </w:r>
      <w:r>
        <w:rPr>
          <w:kern w:val="0"/>
        </w:rPr>
        <w:t>this study was to systematically review</w:t>
      </w:r>
      <w:r w:rsidR="003A1917">
        <w:rPr>
          <w:kern w:val="0"/>
        </w:rPr>
        <w:t xml:space="preserve"> the </w:t>
      </w:r>
      <w:r>
        <w:rPr>
          <w:kern w:val="0"/>
        </w:rPr>
        <w:t>medical literature for</w:t>
      </w:r>
      <w:r w:rsidR="003A1917">
        <w:rPr>
          <w:kern w:val="0"/>
        </w:rPr>
        <w:t xml:space="preserve"> the </w:t>
      </w:r>
      <w:r>
        <w:rPr>
          <w:kern w:val="0"/>
        </w:rPr>
        <w:t>prevalence</w:t>
      </w:r>
      <w:r w:rsidR="00427468">
        <w:rPr>
          <w:kern w:val="0"/>
        </w:rPr>
        <w:t xml:space="preserve"> of </w:t>
      </w:r>
      <w:r>
        <w:rPr>
          <w:kern w:val="0"/>
        </w:rPr>
        <w:t>waterpipe tobacco use among</w:t>
      </w:r>
      <w:r w:rsidR="003A1917">
        <w:rPr>
          <w:kern w:val="0"/>
        </w:rPr>
        <w:t xml:space="preserve"> the </w:t>
      </w:r>
      <w:r>
        <w:rPr>
          <w:kern w:val="0"/>
        </w:rPr>
        <w:t>general</w:t>
      </w:r>
      <w:r w:rsidR="005853A9">
        <w:rPr>
          <w:kern w:val="0"/>
        </w:rPr>
        <w:t xml:space="preserve"> and </w:t>
      </w:r>
      <w:r>
        <w:rPr>
          <w:kern w:val="0"/>
        </w:rPr>
        <w:t xml:space="preserve">specific populations. Methods: We electronically searched </w:t>
      </w:r>
      <w:r w:rsidR="00D5664A">
        <w:rPr>
          <w:kern w:val="0"/>
        </w:rPr>
        <w:t>MEDLINE</w:t>
      </w:r>
      <w:r>
        <w:rPr>
          <w:kern w:val="0"/>
        </w:rPr>
        <w:t>, EMBASE,</w:t>
      </w:r>
      <w:r w:rsidR="005853A9">
        <w:rPr>
          <w:kern w:val="0"/>
        </w:rPr>
        <w:t xml:space="preserve"> and </w:t>
      </w:r>
      <w:r w:rsidR="003A1917">
        <w:rPr>
          <w:kern w:val="0"/>
        </w:rPr>
        <w:t xml:space="preserve">the </w:t>
      </w:r>
      <w:r>
        <w:rPr>
          <w:kern w:val="0"/>
        </w:rPr>
        <w:t>ISI</w:t>
      </w:r>
      <w:r w:rsidR="003A1917">
        <w:rPr>
          <w:kern w:val="0"/>
        </w:rPr>
        <w:t xml:space="preserve"> the </w:t>
      </w:r>
      <w:r w:rsidR="00D5664A">
        <w:rPr>
          <w:kern w:val="0"/>
        </w:rPr>
        <w:t>Web</w:t>
      </w:r>
      <w:r w:rsidR="00427468">
        <w:rPr>
          <w:kern w:val="0"/>
        </w:rPr>
        <w:t xml:space="preserve"> of </w:t>
      </w:r>
      <w:r w:rsidR="00D5664A">
        <w:rPr>
          <w:kern w:val="0"/>
        </w:rPr>
        <w:t>Science</w:t>
      </w:r>
      <w:r>
        <w:rPr>
          <w:kern w:val="0"/>
        </w:rPr>
        <w:t>. We selected studies using a two-stage duplicate</w:t>
      </w:r>
      <w:r w:rsidR="005853A9">
        <w:rPr>
          <w:kern w:val="0"/>
        </w:rPr>
        <w:t xml:space="preserve"> and </w:t>
      </w:r>
      <w:r>
        <w:rPr>
          <w:kern w:val="0"/>
        </w:rPr>
        <w:t>independent screening process. We included cohort studies</w:t>
      </w:r>
      <w:r w:rsidR="005853A9">
        <w:rPr>
          <w:kern w:val="0"/>
        </w:rPr>
        <w:t xml:space="preserve"> and </w:t>
      </w:r>
      <w:r>
        <w:rPr>
          <w:kern w:val="0"/>
        </w:rPr>
        <w:t>cross sectional studies assessing</w:t>
      </w:r>
      <w:r w:rsidR="003A1917">
        <w:rPr>
          <w:kern w:val="0"/>
        </w:rPr>
        <w:t xml:space="preserve"> the </w:t>
      </w:r>
      <w:r>
        <w:rPr>
          <w:kern w:val="0"/>
        </w:rPr>
        <w:t>prevalence</w:t>
      </w:r>
      <w:r w:rsidR="00427468">
        <w:rPr>
          <w:kern w:val="0"/>
        </w:rPr>
        <w:t xml:space="preserve"> of </w:t>
      </w:r>
      <w:r>
        <w:rPr>
          <w:kern w:val="0"/>
        </w:rPr>
        <w:t>use</w:t>
      </w:r>
      <w:r w:rsidR="00427468">
        <w:rPr>
          <w:kern w:val="0"/>
        </w:rPr>
        <w:t xml:space="preserve"> of </w:t>
      </w:r>
      <w:r>
        <w:rPr>
          <w:kern w:val="0"/>
        </w:rPr>
        <w:t>waterpipe in either</w:t>
      </w:r>
      <w:r w:rsidR="003A1917">
        <w:rPr>
          <w:kern w:val="0"/>
        </w:rPr>
        <w:t xml:space="preserve"> the </w:t>
      </w:r>
      <w:r>
        <w:rPr>
          <w:kern w:val="0"/>
        </w:rPr>
        <w:t>general population or a specific population</w:t>
      </w:r>
      <w:r w:rsidR="00427468">
        <w:rPr>
          <w:kern w:val="0"/>
        </w:rPr>
        <w:t xml:space="preserve"> of </w:t>
      </w:r>
      <w:r>
        <w:rPr>
          <w:kern w:val="0"/>
        </w:rPr>
        <w:t>interest. Two reviewers used a standardized</w:t>
      </w:r>
      <w:r w:rsidR="005853A9">
        <w:rPr>
          <w:kern w:val="0"/>
        </w:rPr>
        <w:t xml:space="preserve"> and </w:t>
      </w:r>
      <w:r>
        <w:rPr>
          <w:kern w:val="0"/>
        </w:rPr>
        <w:t>pilot tested form to collect data from each eligible study using a duplicate</w:t>
      </w:r>
      <w:r w:rsidR="005853A9">
        <w:rPr>
          <w:kern w:val="0"/>
        </w:rPr>
        <w:t xml:space="preserve"> and </w:t>
      </w:r>
      <w:r>
        <w:rPr>
          <w:kern w:val="0"/>
        </w:rPr>
        <w:t xml:space="preserve">independent </w:t>
      </w:r>
      <w:r>
        <w:rPr>
          <w:kern w:val="0"/>
        </w:rPr>
        <w:lastRenderedPageBreak/>
        <w:t>screening process. We stratified</w:t>
      </w:r>
      <w:r w:rsidR="003A1917">
        <w:rPr>
          <w:kern w:val="0"/>
        </w:rPr>
        <w:t xml:space="preserve"> the </w:t>
      </w:r>
      <w:r>
        <w:rPr>
          <w:kern w:val="0"/>
        </w:rPr>
        <w:t>data analysis by country</w:t>
      </w:r>
      <w:r w:rsidR="005853A9">
        <w:rPr>
          <w:kern w:val="0"/>
        </w:rPr>
        <w:t xml:space="preserve"> and </w:t>
      </w:r>
      <w:r>
        <w:rPr>
          <w:kern w:val="0"/>
        </w:rPr>
        <w:t>by age group</w:t>
      </w:r>
      <w:r w:rsidR="00A37C1D">
        <w:rPr>
          <w:kern w:val="0"/>
        </w:rPr>
        <w:t>. The</w:t>
      </w:r>
      <w:r w:rsidR="003A1917">
        <w:rPr>
          <w:kern w:val="0"/>
        </w:rPr>
        <w:t xml:space="preserve"> </w:t>
      </w:r>
      <w:r>
        <w:rPr>
          <w:kern w:val="0"/>
        </w:rPr>
        <w:t>study was not restricted to a specific context. Results:</w:t>
      </w:r>
      <w:r w:rsidR="00427468">
        <w:rPr>
          <w:kern w:val="0"/>
        </w:rPr>
        <w:t xml:space="preserve"> of </w:t>
      </w:r>
      <w:r>
        <w:rPr>
          <w:kern w:val="0"/>
        </w:rPr>
        <w:t>a total</w:t>
      </w:r>
      <w:r w:rsidR="00427468">
        <w:rPr>
          <w:kern w:val="0"/>
        </w:rPr>
        <w:t xml:space="preserve"> of </w:t>
      </w:r>
      <w:r>
        <w:rPr>
          <w:kern w:val="0"/>
        </w:rPr>
        <w:t>38 studies, only 4 were national surveys;</w:t>
      </w:r>
      <w:r w:rsidR="003A1917">
        <w:rPr>
          <w:kern w:val="0"/>
        </w:rPr>
        <w:t xml:space="preserve"> the </w:t>
      </w:r>
      <w:r>
        <w:rPr>
          <w:kern w:val="0"/>
        </w:rPr>
        <w:t>rest assessed specific populations</w:t>
      </w:r>
      <w:r w:rsidR="00A37C1D">
        <w:rPr>
          <w:kern w:val="0"/>
        </w:rPr>
        <w:t>. The</w:t>
      </w:r>
      <w:r w:rsidR="003A1917">
        <w:rPr>
          <w:kern w:val="0"/>
        </w:rPr>
        <w:t xml:space="preserve"> </w:t>
      </w:r>
      <w:r>
        <w:rPr>
          <w:kern w:val="0"/>
        </w:rPr>
        <w:t>highest prevalence</w:t>
      </w:r>
      <w:r w:rsidR="00427468">
        <w:rPr>
          <w:kern w:val="0"/>
        </w:rPr>
        <w:t xml:space="preserve"> of </w:t>
      </w:r>
      <w:r>
        <w:rPr>
          <w:kern w:val="0"/>
        </w:rPr>
        <w:t>current waterpipe smoking was among school students across countries:</w:t>
      </w:r>
      <w:r w:rsidR="003A1917">
        <w:rPr>
          <w:kern w:val="0"/>
        </w:rPr>
        <w:t xml:space="preserve"> the </w:t>
      </w:r>
      <w:r>
        <w:rPr>
          <w:kern w:val="0"/>
        </w:rPr>
        <w:t>United States, especially among Arab Americans (12%-15%)</w:t>
      </w:r>
      <w:r w:rsidR="003A1917">
        <w:rPr>
          <w:kern w:val="0"/>
        </w:rPr>
        <w:t xml:space="preserve"> the </w:t>
      </w:r>
      <w:r>
        <w:rPr>
          <w:kern w:val="0"/>
        </w:rPr>
        <w:t>Arabic Gulf region (9%-16%), Estonia (21%),</w:t>
      </w:r>
      <w:r w:rsidR="005853A9">
        <w:rPr>
          <w:kern w:val="0"/>
        </w:rPr>
        <w:t xml:space="preserve"> and </w:t>
      </w:r>
      <w:r>
        <w:rPr>
          <w:kern w:val="0"/>
        </w:rPr>
        <w:t>Lebanon (25%). Similarly,</w:t>
      </w:r>
      <w:r w:rsidR="003A1917">
        <w:rPr>
          <w:kern w:val="0"/>
        </w:rPr>
        <w:t xml:space="preserve"> the </w:t>
      </w:r>
      <w:r>
        <w:rPr>
          <w:kern w:val="0"/>
        </w:rPr>
        <w:t>prevalence</w:t>
      </w:r>
      <w:r w:rsidR="00427468">
        <w:rPr>
          <w:kern w:val="0"/>
        </w:rPr>
        <w:t xml:space="preserve"> of </w:t>
      </w:r>
      <w:r>
        <w:rPr>
          <w:kern w:val="0"/>
        </w:rPr>
        <w:t>current waterpipe smoking among university students was high in</w:t>
      </w:r>
      <w:r w:rsidR="003A1917">
        <w:rPr>
          <w:kern w:val="0"/>
        </w:rPr>
        <w:t xml:space="preserve"> the </w:t>
      </w:r>
      <w:r>
        <w:rPr>
          <w:kern w:val="0"/>
        </w:rPr>
        <w:t>Arabic Gulf region (6%</w:t>
      </w:r>
      <w:r w:rsidR="00F42EAC">
        <w:rPr>
          <w:kern w:val="0"/>
        </w:rPr>
        <w:t>), The</w:t>
      </w:r>
      <w:r w:rsidR="003A1917">
        <w:rPr>
          <w:kern w:val="0"/>
        </w:rPr>
        <w:t xml:space="preserve"> </w:t>
      </w:r>
      <w:r>
        <w:rPr>
          <w:kern w:val="0"/>
        </w:rPr>
        <w:t>United Kingdom (8%</w:t>
      </w:r>
      <w:r w:rsidR="00F42EAC">
        <w:rPr>
          <w:kern w:val="0"/>
        </w:rPr>
        <w:t>), The</w:t>
      </w:r>
      <w:r w:rsidR="003A1917">
        <w:rPr>
          <w:kern w:val="0"/>
        </w:rPr>
        <w:t xml:space="preserve"> </w:t>
      </w:r>
      <w:r>
        <w:rPr>
          <w:kern w:val="0"/>
        </w:rPr>
        <w:t>United States (10%), Syria (15%), Lebanon (28%),</w:t>
      </w:r>
      <w:r w:rsidR="005853A9">
        <w:rPr>
          <w:kern w:val="0"/>
        </w:rPr>
        <w:t xml:space="preserve"> and </w:t>
      </w:r>
      <w:r>
        <w:rPr>
          <w:kern w:val="0"/>
        </w:rPr>
        <w:t>Pakistan (33%)</w:t>
      </w:r>
      <w:r w:rsidR="00A37C1D">
        <w:rPr>
          <w:kern w:val="0"/>
        </w:rPr>
        <w:t>. The</w:t>
      </w:r>
      <w:r w:rsidR="003A1917">
        <w:rPr>
          <w:kern w:val="0"/>
        </w:rPr>
        <w:t xml:space="preserve"> </w:t>
      </w:r>
      <w:r>
        <w:rPr>
          <w:kern w:val="0"/>
        </w:rPr>
        <w:t>prevalence</w:t>
      </w:r>
      <w:r w:rsidR="00427468">
        <w:rPr>
          <w:kern w:val="0"/>
        </w:rPr>
        <w:t xml:space="preserve"> of </w:t>
      </w:r>
      <w:r>
        <w:rPr>
          <w:kern w:val="0"/>
        </w:rPr>
        <w:t>current waterpipe smoking among adults was</w:t>
      </w:r>
      <w:r w:rsidR="003A1917">
        <w:rPr>
          <w:kern w:val="0"/>
        </w:rPr>
        <w:t xml:space="preserve"> the </w:t>
      </w:r>
      <w:r>
        <w:rPr>
          <w:kern w:val="0"/>
        </w:rPr>
        <w:t>following: Pakistan (6%), Arabic Gulf region (4%-12%), Australia (11% in Arab speaking adults), Syria (9%-12%),</w:t>
      </w:r>
      <w:r w:rsidR="005853A9">
        <w:rPr>
          <w:kern w:val="0"/>
        </w:rPr>
        <w:t xml:space="preserve"> and </w:t>
      </w:r>
      <w:r>
        <w:rPr>
          <w:kern w:val="0"/>
        </w:rPr>
        <w:t>Lebanon (15%). Group waterpipe smoking was high in Lebanon (5%),</w:t>
      </w:r>
      <w:r w:rsidR="005853A9">
        <w:rPr>
          <w:kern w:val="0"/>
        </w:rPr>
        <w:t xml:space="preserve"> and </w:t>
      </w:r>
      <w:r>
        <w:rPr>
          <w:kern w:val="0"/>
        </w:rPr>
        <w:t>Egypt (11%-15%). In Lebanon, 5%-6% pregnant women reported smoking waterpipe during pregnancy</w:t>
      </w:r>
      <w:r w:rsidR="00A37C1D">
        <w:rPr>
          <w:kern w:val="0"/>
        </w:rPr>
        <w:t>. The</w:t>
      </w:r>
      <w:r w:rsidR="003A1917">
        <w:rPr>
          <w:kern w:val="0"/>
        </w:rPr>
        <w:t xml:space="preserve"> </w:t>
      </w:r>
      <w:r>
        <w:rPr>
          <w:kern w:val="0"/>
        </w:rPr>
        <w:t>studies were all cross-sectional</w:t>
      </w:r>
      <w:r w:rsidR="005853A9">
        <w:rPr>
          <w:kern w:val="0"/>
        </w:rPr>
        <w:t xml:space="preserve"> and </w:t>
      </w:r>
      <w:r>
        <w:rPr>
          <w:kern w:val="0"/>
        </w:rPr>
        <w:t>varied by how they reported waterpipe smoking. Conclusion: While very few national surveys have been conducted,</w:t>
      </w:r>
      <w:r w:rsidR="003A1917">
        <w:rPr>
          <w:kern w:val="0"/>
        </w:rPr>
        <w:t xml:space="preserve"> the </w:t>
      </w:r>
      <w:r>
        <w:rPr>
          <w:kern w:val="0"/>
        </w:rPr>
        <w:t>prevalence</w:t>
      </w:r>
      <w:r w:rsidR="00427468">
        <w:rPr>
          <w:kern w:val="0"/>
        </w:rPr>
        <w:t xml:space="preserve"> of </w:t>
      </w:r>
      <w:r>
        <w:rPr>
          <w:kern w:val="0"/>
        </w:rPr>
        <w:t>waterpipe smoking appears to be alarmingly high among school students</w:t>
      </w:r>
      <w:r w:rsidR="005853A9">
        <w:rPr>
          <w:kern w:val="0"/>
        </w:rPr>
        <w:t xml:space="preserve"> and </w:t>
      </w:r>
      <w:r>
        <w:rPr>
          <w:kern w:val="0"/>
        </w:rPr>
        <w:t>university students in Middle Eastern countries</w:t>
      </w:r>
      <w:r w:rsidR="005853A9">
        <w:rPr>
          <w:kern w:val="0"/>
        </w:rPr>
        <w:t xml:space="preserve"> and </w:t>
      </w:r>
      <w:r>
        <w:rPr>
          <w:kern w:val="0"/>
        </w:rPr>
        <w:t>among groups</w:t>
      </w:r>
      <w:r w:rsidR="00427468">
        <w:rPr>
          <w:kern w:val="0"/>
        </w:rPr>
        <w:t xml:space="preserve"> of </w:t>
      </w:r>
      <w:r>
        <w:rPr>
          <w:kern w:val="0"/>
        </w:rPr>
        <w:t>Middle Eastern descent in Western countries.</w:t>
      </w:r>
    </w:p>
    <w:p w:rsidR="007E5EA9" w:rsidRDefault="007E5EA9" w:rsidP="007E5EA9">
      <w:pPr>
        <w:pStyle w:val="a3"/>
        <w:rPr>
          <w:kern w:val="0"/>
        </w:rPr>
      </w:pPr>
      <w:r>
        <w:rPr>
          <w:kern w:val="0"/>
        </w:rPr>
        <w:t>Keywords: Adults, Analysis, Arab, Attitudes, Beirut, Cigarette-Smoking, Cohort Studies, EMBASE, Hepatitis-C, Interest</w:t>
      </w:r>
      <w:r w:rsidR="00D5664A">
        <w:rPr>
          <w:kern w:val="0"/>
        </w:rPr>
        <w:t>, ISI,</w:t>
      </w:r>
      <w:r>
        <w:rPr>
          <w:kern w:val="0"/>
        </w:rPr>
        <w:t xml:space="preserve"> Lebanon, Literature, Medical, </w:t>
      </w:r>
      <w:r w:rsidR="00D5664A">
        <w:rPr>
          <w:kern w:val="0"/>
        </w:rPr>
        <w:t>MEDLINE</w:t>
      </w:r>
      <w:r>
        <w:rPr>
          <w:kern w:val="0"/>
        </w:rPr>
        <w:t xml:space="preserve">, Methods, Pakistan, Pregnancy, Prevalence, Review, Risk-Factors, School-Students, Science, Screening, Smoking, Students, Syria, Systematic, Systematic Review, Tobacco, United Kingdom, University, University-Students, </w:t>
      </w:r>
      <w:r w:rsidR="00D5664A">
        <w:rPr>
          <w:kern w:val="0"/>
        </w:rPr>
        <w:t>Web</w:t>
      </w:r>
      <w:r w:rsidR="00427468">
        <w:rPr>
          <w:kern w:val="0"/>
        </w:rPr>
        <w:t xml:space="preserve"> of </w:t>
      </w:r>
      <w:r w:rsidR="00D5664A">
        <w:rPr>
          <w:kern w:val="0"/>
        </w:rPr>
        <w:t>Science</w:t>
      </w:r>
      <w:r>
        <w:rPr>
          <w:kern w:val="0"/>
        </w:rPr>
        <w:t>, Women</w:t>
      </w:r>
    </w:p>
    <w:p w:rsidR="003F2167" w:rsidRDefault="003F2167" w:rsidP="003F2167">
      <w:pPr>
        <w:pStyle w:val="a3"/>
        <w:rPr>
          <w:kern w:val="0"/>
          <w:szCs w:val="24"/>
        </w:rPr>
      </w:pPr>
      <w:r>
        <w:rPr>
          <w:rFonts w:hint="eastAsia"/>
          <w:kern w:val="0"/>
          <w:szCs w:val="24"/>
        </w:rPr>
        <w:t xml:space="preserve">? </w:t>
      </w:r>
      <w:r>
        <w:rPr>
          <w:kern w:val="0"/>
          <w:szCs w:val="24"/>
        </w:rPr>
        <w:t>Bonell, C., Harden, A., Wells, H., Jamal, F., Fletcher, A., Petticrew, M., Thomas, J., Whitehead, M., Campbell, R., Murphy, S.</w:t>
      </w:r>
      <w:r w:rsidR="005853A9">
        <w:rPr>
          <w:kern w:val="0"/>
          <w:szCs w:val="24"/>
        </w:rPr>
        <w:t xml:space="preserve"> and </w:t>
      </w:r>
      <w:r>
        <w:rPr>
          <w:kern w:val="0"/>
          <w:szCs w:val="24"/>
        </w:rPr>
        <w:t>Moore, L. (2011), Protocol for a systematic review</w:t>
      </w:r>
      <w:r w:rsidR="00427468">
        <w:rPr>
          <w:kern w:val="0"/>
          <w:szCs w:val="24"/>
        </w:rPr>
        <w:t xml:space="preserve"> of </w:t>
      </w:r>
      <w:r w:rsidR="003A1917">
        <w:rPr>
          <w:kern w:val="0"/>
          <w:szCs w:val="24"/>
        </w:rPr>
        <w:t xml:space="preserve">the </w:t>
      </w:r>
      <w:r>
        <w:rPr>
          <w:kern w:val="0"/>
          <w:szCs w:val="24"/>
        </w:rPr>
        <w:t>effects</w:t>
      </w:r>
      <w:r w:rsidR="00427468">
        <w:rPr>
          <w:kern w:val="0"/>
          <w:szCs w:val="24"/>
        </w:rPr>
        <w:t xml:space="preserve"> of </w:t>
      </w:r>
      <w:r>
        <w:rPr>
          <w:kern w:val="0"/>
          <w:szCs w:val="24"/>
        </w:rPr>
        <w:t>schools</w:t>
      </w:r>
      <w:r w:rsidR="005853A9">
        <w:rPr>
          <w:kern w:val="0"/>
          <w:szCs w:val="24"/>
        </w:rPr>
        <w:t xml:space="preserve"> and </w:t>
      </w:r>
      <w:r>
        <w:rPr>
          <w:kern w:val="0"/>
          <w:szCs w:val="24"/>
        </w:rPr>
        <w:t>school-environment interventions on health: Evidence mapping</w:t>
      </w:r>
      <w:r w:rsidR="005853A9">
        <w:rPr>
          <w:kern w:val="0"/>
          <w:szCs w:val="24"/>
        </w:rPr>
        <w:t xml:space="preserve"> and </w:t>
      </w:r>
      <w:r>
        <w:rPr>
          <w:kern w:val="0"/>
          <w:szCs w:val="24"/>
        </w:rPr>
        <w:t xml:space="preserve">syntheses. </w:t>
      </w:r>
      <w:r>
        <w:rPr>
          <w:i/>
          <w:iCs/>
          <w:kern w:val="0"/>
          <w:szCs w:val="24"/>
        </w:rPr>
        <w:t>BMC Public Health</w:t>
      </w:r>
      <w:r>
        <w:rPr>
          <w:kern w:val="0"/>
          <w:szCs w:val="24"/>
        </w:rPr>
        <w:t xml:space="preserve">, </w:t>
      </w:r>
      <w:r>
        <w:rPr>
          <w:b/>
          <w:bCs/>
          <w:kern w:val="0"/>
          <w:szCs w:val="24"/>
        </w:rPr>
        <w:t>11</w:t>
      </w:r>
      <w:r>
        <w:rPr>
          <w:rFonts w:hint="eastAsia"/>
          <w:kern w:val="0"/>
          <w:szCs w:val="24"/>
        </w:rPr>
        <w:t xml:space="preserve">, </w:t>
      </w:r>
      <w:r w:rsidRPr="00B3472A">
        <w:rPr>
          <w:kern w:val="0"/>
          <w:szCs w:val="24"/>
        </w:rPr>
        <w:t>Article Number: 453</w:t>
      </w:r>
      <w:r>
        <w:rPr>
          <w:rFonts w:hint="eastAsia"/>
          <w:kern w:val="0"/>
          <w:szCs w:val="24"/>
        </w:rPr>
        <w:t>.</w:t>
      </w:r>
    </w:p>
    <w:p w:rsidR="003F2167" w:rsidRPr="00FC7835" w:rsidRDefault="003F2167" w:rsidP="003F2167">
      <w:pPr>
        <w:pStyle w:val="a3"/>
      </w:pPr>
      <w:r>
        <w:t>Full Text:</w:t>
      </w:r>
      <w:r w:rsidRPr="00FC7835">
        <w:t xml:space="preserve"> </w:t>
      </w:r>
      <w:hyperlink r:id="rId1701" w:history="1">
        <w:r w:rsidRPr="00021DD3">
          <w:rPr>
            <w:rStyle w:val="a5"/>
          </w:rPr>
          <w:t>2011\BMC Pub Hea11, 453.pdf</w:t>
        </w:r>
      </w:hyperlink>
    </w:p>
    <w:p w:rsidR="003F2167" w:rsidRDefault="003F2167" w:rsidP="003F2167">
      <w:pPr>
        <w:pStyle w:val="a3"/>
        <w:rPr>
          <w:kern w:val="0"/>
          <w:szCs w:val="24"/>
        </w:rPr>
      </w:pPr>
      <w:r>
        <w:rPr>
          <w:kern w:val="0"/>
          <w:szCs w:val="24"/>
        </w:rPr>
        <w:t>Abstract: Background: Schools may have important effects on students</w:t>
      </w:r>
      <w:r w:rsidR="00700038">
        <w:rPr>
          <w:kern w:val="0"/>
          <w:szCs w:val="24"/>
        </w:rPr>
        <w:t>’</w:t>
      </w:r>
      <w:r w:rsidR="005853A9">
        <w:rPr>
          <w:kern w:val="0"/>
          <w:szCs w:val="24"/>
        </w:rPr>
        <w:t xml:space="preserve"> and </w:t>
      </w:r>
      <w:r>
        <w:rPr>
          <w:kern w:val="0"/>
          <w:szCs w:val="24"/>
        </w:rPr>
        <w:t>staff</w:t>
      </w:r>
      <w:r w:rsidR="00700038">
        <w:rPr>
          <w:kern w:val="0"/>
          <w:szCs w:val="24"/>
        </w:rPr>
        <w:t>’</w:t>
      </w:r>
      <w:r w:rsidR="00C13DDC">
        <w:rPr>
          <w:kern w:val="0"/>
          <w:szCs w:val="24"/>
        </w:rPr>
        <w:t>s</w:t>
      </w:r>
      <w:r>
        <w:rPr>
          <w:kern w:val="0"/>
          <w:szCs w:val="24"/>
        </w:rPr>
        <w:t xml:space="preserve"> health. Rather than treating schools merely as sites for health education, </w:t>
      </w:r>
      <w:r w:rsidR="00700038">
        <w:rPr>
          <w:kern w:val="0"/>
          <w:szCs w:val="24"/>
        </w:rPr>
        <w:t>‘</w:t>
      </w:r>
      <w:r w:rsidR="00C13DDC">
        <w:rPr>
          <w:kern w:val="0"/>
          <w:szCs w:val="24"/>
        </w:rPr>
        <w:t>s</w:t>
      </w:r>
      <w:r>
        <w:rPr>
          <w:kern w:val="0"/>
          <w:szCs w:val="24"/>
        </w:rPr>
        <w:t>chool-environment</w:t>
      </w:r>
      <w:r w:rsidR="00700038">
        <w:rPr>
          <w:kern w:val="0"/>
          <w:szCs w:val="24"/>
        </w:rPr>
        <w:t>’</w:t>
      </w:r>
      <w:r>
        <w:rPr>
          <w:kern w:val="0"/>
          <w:szCs w:val="24"/>
        </w:rPr>
        <w:t xml:space="preserve"> interventions treat schools as settings which influence health. Evidence concerning</w:t>
      </w:r>
      <w:r w:rsidR="003A1917">
        <w:rPr>
          <w:kern w:val="0"/>
          <w:szCs w:val="24"/>
        </w:rPr>
        <w:t xml:space="preserve"> the </w:t>
      </w:r>
      <w:r>
        <w:rPr>
          <w:kern w:val="0"/>
          <w:szCs w:val="24"/>
        </w:rPr>
        <w:t>effects</w:t>
      </w:r>
      <w:r w:rsidR="00427468">
        <w:rPr>
          <w:kern w:val="0"/>
          <w:szCs w:val="24"/>
        </w:rPr>
        <w:t xml:space="preserve"> of </w:t>
      </w:r>
      <w:r>
        <w:rPr>
          <w:kern w:val="0"/>
          <w:szCs w:val="24"/>
        </w:rPr>
        <w:t>such interventions has not been recently synthesised. Methods/design: Systematic review aiming to map</w:t>
      </w:r>
      <w:r w:rsidR="005853A9">
        <w:rPr>
          <w:kern w:val="0"/>
          <w:szCs w:val="24"/>
        </w:rPr>
        <w:t xml:space="preserve"> and </w:t>
      </w:r>
      <w:r>
        <w:rPr>
          <w:kern w:val="0"/>
          <w:szCs w:val="24"/>
        </w:rPr>
        <w:t>synthesise evidence on what theories</w:t>
      </w:r>
      <w:r w:rsidR="005853A9">
        <w:rPr>
          <w:kern w:val="0"/>
          <w:szCs w:val="24"/>
        </w:rPr>
        <w:t xml:space="preserve"> and </w:t>
      </w:r>
      <w:r>
        <w:rPr>
          <w:kern w:val="0"/>
          <w:szCs w:val="24"/>
        </w:rPr>
        <w:t>conceptual frameworks are most commonly used to inform school-environment interventions or explain school-level influences on health; what effects school-environment interventions have on health/health inequalities; how feasible</w:t>
      </w:r>
      <w:r w:rsidR="005853A9">
        <w:rPr>
          <w:kern w:val="0"/>
          <w:szCs w:val="24"/>
        </w:rPr>
        <w:t xml:space="preserve"> and </w:t>
      </w:r>
      <w:r>
        <w:rPr>
          <w:kern w:val="0"/>
          <w:szCs w:val="24"/>
        </w:rPr>
        <w:t xml:space="preserve">acceptable are school-environment interventions; what effects other </w:t>
      </w:r>
      <w:r>
        <w:rPr>
          <w:kern w:val="0"/>
          <w:szCs w:val="24"/>
        </w:rPr>
        <w:lastRenderedPageBreak/>
        <w:t>school-level factors have on health;</w:t>
      </w:r>
      <w:r w:rsidR="005853A9">
        <w:rPr>
          <w:kern w:val="0"/>
          <w:szCs w:val="24"/>
        </w:rPr>
        <w:t xml:space="preserve"> and </w:t>
      </w:r>
      <w:r>
        <w:rPr>
          <w:kern w:val="0"/>
          <w:szCs w:val="24"/>
        </w:rPr>
        <w:t>through what processes school-level influences affect health. We will examine interventions aiming to promote health by modifying schools</w:t>
      </w:r>
      <w:r w:rsidR="00700038">
        <w:rPr>
          <w:kern w:val="0"/>
          <w:szCs w:val="24"/>
        </w:rPr>
        <w:t>’</w:t>
      </w:r>
      <w:r>
        <w:rPr>
          <w:kern w:val="0"/>
          <w:szCs w:val="24"/>
        </w:rPr>
        <w:t xml:space="preserve"> physical, social or cultural environment via actions focused on school policies</w:t>
      </w:r>
      <w:r w:rsidR="005853A9">
        <w:rPr>
          <w:kern w:val="0"/>
          <w:szCs w:val="24"/>
        </w:rPr>
        <w:t xml:space="preserve"> and </w:t>
      </w:r>
      <w:r>
        <w:rPr>
          <w:kern w:val="0"/>
          <w:szCs w:val="24"/>
        </w:rPr>
        <w:t>practices relating to education, pastoral care</w:t>
      </w:r>
      <w:r w:rsidR="005853A9">
        <w:rPr>
          <w:kern w:val="0"/>
          <w:szCs w:val="24"/>
        </w:rPr>
        <w:t xml:space="preserve"> and </w:t>
      </w:r>
      <w:r>
        <w:rPr>
          <w:kern w:val="0"/>
          <w:szCs w:val="24"/>
        </w:rPr>
        <w:t>other aspects</w:t>
      </w:r>
      <w:r w:rsidR="00427468">
        <w:rPr>
          <w:kern w:val="0"/>
          <w:szCs w:val="24"/>
        </w:rPr>
        <w:t xml:space="preserve"> of </w:t>
      </w:r>
      <w:r>
        <w:rPr>
          <w:kern w:val="0"/>
          <w:szCs w:val="24"/>
        </w:rPr>
        <w:t>schools beyond merely providing health education. Participants are staff</w:t>
      </w:r>
      <w:r w:rsidR="005853A9">
        <w:rPr>
          <w:kern w:val="0"/>
          <w:szCs w:val="24"/>
        </w:rPr>
        <w:t xml:space="preserve"> and </w:t>
      </w:r>
      <w:r>
        <w:rPr>
          <w:kern w:val="0"/>
          <w:szCs w:val="24"/>
        </w:rPr>
        <w:t xml:space="preserve">students age 4-18 years. We will review published research unrestricted by language, year or source. Searching will involve electronic databases including Embase, ERIC, </w:t>
      </w:r>
      <w:r w:rsidR="002C12F0">
        <w:rPr>
          <w:kern w:val="0"/>
          <w:szCs w:val="24"/>
        </w:rPr>
        <w:t>PUBMED</w:t>
      </w:r>
      <w:r>
        <w:rPr>
          <w:kern w:val="0"/>
          <w:szCs w:val="24"/>
        </w:rPr>
        <w:t>, PsycInfo</w:t>
      </w:r>
      <w:r w:rsidR="005853A9">
        <w:rPr>
          <w:kern w:val="0"/>
          <w:szCs w:val="24"/>
        </w:rPr>
        <w:t xml:space="preserve"> and </w:t>
      </w:r>
      <w:r>
        <w:rPr>
          <w:kern w:val="0"/>
          <w:szCs w:val="24"/>
        </w:rPr>
        <w:t>Social Science Citation Index using natural-language phrases plus reference/citation checking. Stage 1 will map studies descriptively by focus</w:t>
      </w:r>
      <w:r w:rsidR="005853A9">
        <w:rPr>
          <w:kern w:val="0"/>
          <w:szCs w:val="24"/>
        </w:rPr>
        <w:t xml:space="preserve"> and </w:t>
      </w:r>
      <w:r>
        <w:rPr>
          <w:kern w:val="0"/>
          <w:szCs w:val="24"/>
        </w:rPr>
        <w:t>methods. Stage 2 will involve additional inclusion criteria, quality assessment</w:t>
      </w:r>
      <w:r w:rsidR="005853A9">
        <w:rPr>
          <w:kern w:val="0"/>
          <w:szCs w:val="24"/>
        </w:rPr>
        <w:t xml:space="preserve"> and </w:t>
      </w:r>
      <w:r>
        <w:rPr>
          <w:kern w:val="0"/>
          <w:szCs w:val="24"/>
        </w:rPr>
        <w:t>data extraction undertaken by two reviewers in parallel. Evidence will be synthesised narratively</w:t>
      </w:r>
      <w:r w:rsidR="005853A9">
        <w:rPr>
          <w:kern w:val="0"/>
          <w:szCs w:val="24"/>
        </w:rPr>
        <w:t xml:space="preserve"> and </w:t>
      </w:r>
      <w:r>
        <w:rPr>
          <w:kern w:val="0"/>
          <w:szCs w:val="24"/>
        </w:rPr>
        <w:t>statistically where appropriate (undertaking subgroup analyses</w:t>
      </w:r>
      <w:r w:rsidR="005853A9">
        <w:rPr>
          <w:kern w:val="0"/>
          <w:szCs w:val="24"/>
        </w:rPr>
        <w:t xml:space="preserve"> and </w:t>
      </w:r>
      <w:r>
        <w:rPr>
          <w:kern w:val="0"/>
          <w:szCs w:val="24"/>
        </w:rPr>
        <w:t>meta-regression</w:t>
      </w:r>
      <w:r w:rsidR="005853A9">
        <w:rPr>
          <w:kern w:val="0"/>
          <w:szCs w:val="24"/>
        </w:rPr>
        <w:t xml:space="preserve"> and </w:t>
      </w:r>
      <w:r>
        <w:rPr>
          <w:kern w:val="0"/>
          <w:szCs w:val="24"/>
        </w:rPr>
        <w:t>where no significant heterogeneity</w:t>
      </w:r>
      <w:r w:rsidR="00427468">
        <w:rPr>
          <w:kern w:val="0"/>
          <w:szCs w:val="24"/>
        </w:rPr>
        <w:t xml:space="preserve"> of </w:t>
      </w:r>
      <w:r>
        <w:rPr>
          <w:kern w:val="0"/>
          <w:szCs w:val="24"/>
        </w:rPr>
        <w:t>effect sizes is found, pooling these to calculate a final effect size). Discussion: We anticipate: finding a large number</w:t>
      </w:r>
      <w:r w:rsidR="00427468">
        <w:rPr>
          <w:kern w:val="0"/>
          <w:szCs w:val="24"/>
        </w:rPr>
        <w:t xml:space="preserve"> of </w:t>
      </w:r>
      <w:r>
        <w:rPr>
          <w:kern w:val="0"/>
          <w:szCs w:val="24"/>
        </w:rPr>
        <w:t>studies missed by previous reviews; that non-intervention studies</w:t>
      </w:r>
      <w:r w:rsidR="00427468">
        <w:rPr>
          <w:kern w:val="0"/>
          <w:szCs w:val="24"/>
        </w:rPr>
        <w:t xml:space="preserve"> of </w:t>
      </w:r>
      <w:r>
        <w:rPr>
          <w:kern w:val="0"/>
          <w:szCs w:val="24"/>
        </w:rPr>
        <w:t>school effects examine a greater breadth</w:t>
      </w:r>
      <w:r w:rsidR="00427468">
        <w:rPr>
          <w:kern w:val="0"/>
          <w:szCs w:val="24"/>
        </w:rPr>
        <w:t xml:space="preserve"> of </w:t>
      </w:r>
      <w:r>
        <w:rPr>
          <w:kern w:val="0"/>
          <w:szCs w:val="24"/>
        </w:rPr>
        <w:t>determinants than are addressed by intervention studies;</w:t>
      </w:r>
      <w:r w:rsidR="005853A9">
        <w:rPr>
          <w:kern w:val="0"/>
          <w:szCs w:val="24"/>
        </w:rPr>
        <w:t xml:space="preserve"> and </w:t>
      </w:r>
      <w:r>
        <w:rPr>
          <w:kern w:val="0"/>
          <w:szCs w:val="24"/>
        </w:rPr>
        <w:t>that intervention effect estimates are greater than for school-based health curriculum interventions without school-environment components.</w:t>
      </w:r>
    </w:p>
    <w:p w:rsidR="003F2167" w:rsidRDefault="003F2167" w:rsidP="003F2167">
      <w:pPr>
        <w:pStyle w:val="a3"/>
        <w:rPr>
          <w:kern w:val="0"/>
          <w:szCs w:val="24"/>
        </w:rPr>
      </w:pPr>
      <w:r>
        <w:rPr>
          <w:kern w:val="0"/>
          <w:szCs w:val="24"/>
        </w:rPr>
        <w:t xml:space="preserve">Keywords: Assessment, Behavioral Interventions, Citation, Databases, Education, Environment, Health Education, Implementation, Interventions, Metaanalysis, Policies, Prevention, </w:t>
      </w:r>
      <w:r w:rsidR="002C12F0">
        <w:rPr>
          <w:kern w:val="0"/>
          <w:szCs w:val="24"/>
        </w:rPr>
        <w:t>PUBMED</w:t>
      </w:r>
      <w:r>
        <w:rPr>
          <w:kern w:val="0"/>
          <w:szCs w:val="24"/>
        </w:rPr>
        <w:t>, Randomized Controlled-Trials, Research, Review, Schools, Science Citation Index, Students, Systematic Review</w:t>
      </w:r>
    </w:p>
    <w:p w:rsidR="00E34926" w:rsidRDefault="00E34926" w:rsidP="00E34926">
      <w:pPr>
        <w:pStyle w:val="a3"/>
        <w:rPr>
          <w:kern w:val="0"/>
          <w:szCs w:val="24"/>
        </w:rPr>
      </w:pPr>
      <w:r>
        <w:rPr>
          <w:rFonts w:hint="eastAsia"/>
          <w:kern w:val="0"/>
        </w:rPr>
        <w:t xml:space="preserve">? </w:t>
      </w:r>
      <w:r>
        <w:rPr>
          <w:kern w:val="0"/>
        </w:rPr>
        <w:t>Stergiopoulos, E., Cimo, A., Cheng, C.C., Bonato, S.</w:t>
      </w:r>
      <w:r w:rsidR="005853A9">
        <w:rPr>
          <w:kern w:val="0"/>
        </w:rPr>
        <w:t xml:space="preserve"> and </w:t>
      </w:r>
      <w:r>
        <w:rPr>
          <w:kern w:val="0"/>
        </w:rPr>
        <w:t xml:space="preserve">Dewa, C.S. (2011), Interventions to improve work outcomes in work-related PTSD: A systematic review. </w:t>
      </w:r>
      <w:r>
        <w:rPr>
          <w:i/>
          <w:iCs/>
          <w:kern w:val="0"/>
        </w:rPr>
        <w:t>BMC Public Health</w:t>
      </w:r>
      <w:r>
        <w:rPr>
          <w:kern w:val="0"/>
        </w:rPr>
        <w:t xml:space="preserve">, </w:t>
      </w:r>
      <w:r>
        <w:rPr>
          <w:b/>
          <w:bCs/>
          <w:kern w:val="0"/>
        </w:rPr>
        <w:t>11</w:t>
      </w:r>
      <w:r>
        <w:rPr>
          <w:rFonts w:hint="eastAsia"/>
          <w:kern w:val="0"/>
          <w:szCs w:val="24"/>
        </w:rPr>
        <w:t xml:space="preserve">, </w:t>
      </w:r>
      <w:r w:rsidRPr="00B3472A">
        <w:rPr>
          <w:kern w:val="0"/>
          <w:szCs w:val="24"/>
        </w:rPr>
        <w:t xml:space="preserve">Article Number: </w:t>
      </w:r>
      <w:r>
        <w:rPr>
          <w:rFonts w:hint="eastAsia"/>
          <w:kern w:val="0"/>
          <w:szCs w:val="24"/>
        </w:rPr>
        <w:t>838.</w:t>
      </w:r>
    </w:p>
    <w:p w:rsidR="00E34926" w:rsidRPr="00FC7835" w:rsidRDefault="00E34926" w:rsidP="00E34926">
      <w:pPr>
        <w:pStyle w:val="a3"/>
      </w:pPr>
      <w:r>
        <w:t>Full Text:</w:t>
      </w:r>
      <w:r w:rsidRPr="00FC7835">
        <w:t xml:space="preserve"> </w:t>
      </w:r>
      <w:hyperlink r:id="rId1702" w:history="1">
        <w:r w:rsidRPr="00117EEB">
          <w:rPr>
            <w:rStyle w:val="a5"/>
          </w:rPr>
          <w:t>2011\BMC Pub Hea11, 838.pdf</w:t>
        </w:r>
      </w:hyperlink>
    </w:p>
    <w:p w:rsidR="00E34926" w:rsidRDefault="00E34926" w:rsidP="00E34926">
      <w:pPr>
        <w:pStyle w:val="a3"/>
        <w:rPr>
          <w:kern w:val="0"/>
        </w:rPr>
      </w:pPr>
      <w:r>
        <w:rPr>
          <w:kern w:val="0"/>
        </w:rPr>
        <w:t>Abstract: Background: Posttraumatic stress disorder acquired at work can be debilitating both for workers</w:t>
      </w:r>
      <w:r w:rsidR="005853A9">
        <w:rPr>
          <w:kern w:val="0"/>
        </w:rPr>
        <w:t xml:space="preserve"> and </w:t>
      </w:r>
      <w:r>
        <w:rPr>
          <w:kern w:val="0"/>
        </w:rPr>
        <w:t>their employers</w:t>
      </w:r>
      <w:r w:rsidR="00A37C1D">
        <w:rPr>
          <w:kern w:val="0"/>
        </w:rPr>
        <w:t>. The</w:t>
      </w:r>
      <w:r w:rsidR="003A1917">
        <w:rPr>
          <w:kern w:val="0"/>
        </w:rPr>
        <w:t xml:space="preserve"> </w:t>
      </w:r>
      <w:r>
        <w:rPr>
          <w:kern w:val="0"/>
        </w:rPr>
        <w:t>disorder can result in increased sick leave, reduced productivity,</w:t>
      </w:r>
      <w:r w:rsidR="005853A9">
        <w:rPr>
          <w:kern w:val="0"/>
        </w:rPr>
        <w:t xml:space="preserve"> and </w:t>
      </w:r>
      <w:r>
        <w:rPr>
          <w:kern w:val="0"/>
        </w:rPr>
        <w:t>even unemployment. Furthermore, workers are especially unlikely to return to their previous place</w:t>
      </w:r>
      <w:r w:rsidR="00427468">
        <w:rPr>
          <w:kern w:val="0"/>
        </w:rPr>
        <w:t xml:space="preserve"> of </w:t>
      </w:r>
      <w:r>
        <w:rPr>
          <w:kern w:val="0"/>
        </w:rPr>
        <w:t>employment after a traumatic incident at work because</w:t>
      </w:r>
      <w:r w:rsidR="00427468">
        <w:rPr>
          <w:kern w:val="0"/>
        </w:rPr>
        <w:t xml:space="preserve"> of </w:t>
      </w:r>
      <w:r w:rsidR="003A1917">
        <w:rPr>
          <w:kern w:val="0"/>
        </w:rPr>
        <w:t xml:space="preserve">the </w:t>
      </w:r>
      <w:r>
        <w:rPr>
          <w:kern w:val="0"/>
        </w:rPr>
        <w:t>traumatic memories</w:t>
      </w:r>
      <w:r w:rsidR="005853A9">
        <w:rPr>
          <w:kern w:val="0"/>
        </w:rPr>
        <w:t xml:space="preserve"> and </w:t>
      </w:r>
      <w:r>
        <w:rPr>
          <w:kern w:val="0"/>
        </w:rPr>
        <w:t>symptoms</w:t>
      </w:r>
      <w:r w:rsidR="00427468">
        <w:rPr>
          <w:kern w:val="0"/>
        </w:rPr>
        <w:t xml:space="preserve"> of </w:t>
      </w:r>
      <w:r>
        <w:rPr>
          <w:kern w:val="0"/>
        </w:rPr>
        <w:t>avoidance that typically accompany</w:t>
      </w:r>
      <w:r w:rsidR="003A1917">
        <w:rPr>
          <w:kern w:val="0"/>
        </w:rPr>
        <w:t xml:space="preserve"> the </w:t>
      </w:r>
      <w:r>
        <w:rPr>
          <w:kern w:val="0"/>
        </w:rPr>
        <w:t>disorder</w:t>
      </w:r>
      <w:r w:rsidR="00A37C1D">
        <w:rPr>
          <w:kern w:val="0"/>
        </w:rPr>
        <w:t>. The</w:t>
      </w:r>
      <w:r>
        <w:rPr>
          <w:kern w:val="0"/>
        </w:rPr>
        <w:t>refore, intervening in work-related PTSD becomes especially important in order to get workers back to</w:t>
      </w:r>
      <w:r w:rsidR="003A1917">
        <w:rPr>
          <w:kern w:val="0"/>
        </w:rPr>
        <w:t xml:space="preserve"> the </w:t>
      </w:r>
      <w:r>
        <w:rPr>
          <w:kern w:val="0"/>
        </w:rPr>
        <w:t xml:space="preserve">workplace. Methods: A systematic literature search was conducted using </w:t>
      </w:r>
      <w:r w:rsidR="00D5664A">
        <w:rPr>
          <w:kern w:val="0"/>
        </w:rPr>
        <w:t>MEDLINE</w:t>
      </w:r>
      <w:r>
        <w:rPr>
          <w:kern w:val="0"/>
        </w:rPr>
        <w:t>, PsycINFO, Embase,</w:t>
      </w:r>
      <w:r w:rsidR="005853A9">
        <w:rPr>
          <w:kern w:val="0"/>
        </w:rPr>
        <w:t xml:space="preserve"> and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articles were independently screened based on inclusion</w:t>
      </w:r>
      <w:r w:rsidR="005853A9">
        <w:rPr>
          <w:kern w:val="0"/>
        </w:rPr>
        <w:t xml:space="preserve"> and </w:t>
      </w:r>
      <w:r>
        <w:rPr>
          <w:kern w:val="0"/>
        </w:rPr>
        <w:t>exclusion criteria, followed by a quality assessment</w:t>
      </w:r>
      <w:r w:rsidR="00427468">
        <w:rPr>
          <w:kern w:val="0"/>
        </w:rPr>
        <w:t xml:space="preserve"> of </w:t>
      </w:r>
      <w:r>
        <w:rPr>
          <w:kern w:val="0"/>
        </w:rPr>
        <w:t>all included articles. Results:</w:t>
      </w:r>
      <w:r w:rsidR="003A1917">
        <w:rPr>
          <w:kern w:val="0"/>
        </w:rPr>
        <w:t xml:space="preserve"> the </w:t>
      </w:r>
      <w:r>
        <w:rPr>
          <w:kern w:val="0"/>
        </w:rPr>
        <w:t>systematic search identified seven articles for inclusion in</w:t>
      </w:r>
      <w:r w:rsidR="003A1917">
        <w:rPr>
          <w:kern w:val="0"/>
        </w:rPr>
        <w:t xml:space="preserve"> the </w:t>
      </w:r>
      <w:r>
        <w:rPr>
          <w:kern w:val="0"/>
        </w:rPr>
        <w:t>review</w:t>
      </w:r>
      <w:r w:rsidR="00A37C1D">
        <w:rPr>
          <w:kern w:val="0"/>
        </w:rPr>
        <w:t>. The</w:t>
      </w:r>
      <w:r>
        <w:rPr>
          <w:kern w:val="0"/>
        </w:rPr>
        <w:t>se consisted</w:t>
      </w:r>
      <w:r w:rsidR="00427468">
        <w:rPr>
          <w:kern w:val="0"/>
        </w:rPr>
        <w:t xml:space="preserve"> of </w:t>
      </w:r>
      <w:r>
        <w:rPr>
          <w:kern w:val="0"/>
        </w:rPr>
        <w:t>six research articles</w:t>
      </w:r>
      <w:r w:rsidR="005853A9">
        <w:rPr>
          <w:kern w:val="0"/>
        </w:rPr>
        <w:t xml:space="preserve"> and </w:t>
      </w:r>
      <w:r>
        <w:rPr>
          <w:kern w:val="0"/>
        </w:rPr>
        <w:t>one systematic review</w:t>
      </w:r>
      <w:r w:rsidR="00A37C1D">
        <w:rPr>
          <w:kern w:val="0"/>
        </w:rPr>
        <w:t>. The</w:t>
      </w:r>
      <w:r w:rsidR="003A1917">
        <w:rPr>
          <w:kern w:val="0"/>
        </w:rPr>
        <w:t xml:space="preserve"> </w:t>
      </w:r>
      <w:r>
        <w:rPr>
          <w:kern w:val="0"/>
        </w:rPr>
        <w:lastRenderedPageBreak/>
        <w:t>review focused specifically on interventions using real exposure techniques for anxiety disorders in</w:t>
      </w:r>
      <w:r w:rsidR="003A1917">
        <w:rPr>
          <w:kern w:val="0"/>
        </w:rPr>
        <w:t xml:space="preserve"> the </w:t>
      </w:r>
      <w:r>
        <w:rPr>
          <w:kern w:val="0"/>
        </w:rPr>
        <w:t>workplace. In</w:t>
      </w:r>
      <w:r w:rsidR="003A1917">
        <w:rPr>
          <w:kern w:val="0"/>
        </w:rPr>
        <w:t xml:space="preserve"> the </w:t>
      </w:r>
      <w:r>
        <w:rPr>
          <w:kern w:val="0"/>
        </w:rPr>
        <w:t>research articles addressed in</w:t>
      </w:r>
      <w:r w:rsidR="003A1917">
        <w:rPr>
          <w:kern w:val="0"/>
        </w:rPr>
        <w:t xml:space="preserve"> the </w:t>
      </w:r>
      <w:r>
        <w:rPr>
          <w:kern w:val="0"/>
        </w:rPr>
        <w:t>current review, study populations included police officers, public transportation workers,</w:t>
      </w:r>
      <w:r w:rsidR="005853A9">
        <w:rPr>
          <w:kern w:val="0"/>
        </w:rPr>
        <w:t xml:space="preserve"> and </w:t>
      </w:r>
      <w:r>
        <w:rPr>
          <w:kern w:val="0"/>
        </w:rPr>
        <w:t>employees injured at work</w:t>
      </w:r>
      <w:r w:rsidR="00A37C1D">
        <w:rPr>
          <w:kern w:val="0"/>
        </w:rPr>
        <w:t>. The</w:t>
      </w:r>
      <w:r w:rsidR="003A1917">
        <w:rPr>
          <w:kern w:val="0"/>
        </w:rPr>
        <w:t xml:space="preserve"> </w:t>
      </w:r>
      <w:r>
        <w:rPr>
          <w:kern w:val="0"/>
        </w:rPr>
        <w:t>studies examined</w:t>
      </w:r>
      <w:r w:rsidR="003A1917">
        <w:rPr>
          <w:kern w:val="0"/>
        </w:rPr>
        <w:t xml:space="preserve"> the </w:t>
      </w:r>
      <w:r>
        <w:rPr>
          <w:kern w:val="0"/>
        </w:rPr>
        <w:t>effectiveness</w:t>
      </w:r>
      <w:r w:rsidR="00427468">
        <w:rPr>
          <w:kern w:val="0"/>
        </w:rPr>
        <w:t xml:space="preserve"> of </w:t>
      </w:r>
      <w:r>
        <w:rPr>
          <w:kern w:val="0"/>
        </w:rPr>
        <w:t>EMDR, cognitive-behavioural techniques,</w:t>
      </w:r>
      <w:r w:rsidR="005853A9">
        <w:rPr>
          <w:kern w:val="0"/>
        </w:rPr>
        <w:t xml:space="preserve"> and </w:t>
      </w:r>
      <w:r>
        <w:rPr>
          <w:kern w:val="0"/>
        </w:rPr>
        <w:t>an integrative therapy approach called brief eclectic psychotherapy. Interestingly, 2</w:t>
      </w:r>
      <w:r w:rsidR="00427468">
        <w:rPr>
          <w:kern w:val="0"/>
        </w:rPr>
        <w:t xml:space="preserve"> of </w:t>
      </w:r>
      <w:r w:rsidR="003A1917">
        <w:rPr>
          <w:kern w:val="0"/>
        </w:rPr>
        <w:t xml:space="preserve">the </w:t>
      </w:r>
      <w:r>
        <w:rPr>
          <w:kern w:val="0"/>
        </w:rPr>
        <w:t>6 research articles addressed add-on treatments for workplace PTSD, which were designed to treat workers with PTSD who failed to respond to traditional evidence-based psychotherapy. Conclusions: Results</w:t>
      </w:r>
      <w:r w:rsidR="00427468">
        <w:rPr>
          <w:kern w:val="0"/>
        </w:rPr>
        <w:t xml:space="preserve"> of </w:t>
      </w:r>
      <w:r w:rsidR="003A1917">
        <w:rPr>
          <w:kern w:val="0"/>
        </w:rPr>
        <w:t xml:space="preserve">the </w:t>
      </w:r>
      <w:r>
        <w:rPr>
          <w:kern w:val="0"/>
        </w:rPr>
        <w:t>current review suggest that work-related interventions show promise as effective strategies for promoting return to work in employees who acquired PTSD in</w:t>
      </w:r>
      <w:r w:rsidR="003A1917">
        <w:rPr>
          <w:kern w:val="0"/>
        </w:rPr>
        <w:t xml:space="preserve"> the </w:t>
      </w:r>
      <w:r>
        <w:rPr>
          <w:kern w:val="0"/>
        </w:rPr>
        <w:t>workplace. Further research is needed in this area to determine how different occupational groups with specific types</w:t>
      </w:r>
      <w:r w:rsidR="00427468">
        <w:rPr>
          <w:kern w:val="0"/>
        </w:rPr>
        <w:t xml:space="preserve"> of </w:t>
      </w:r>
      <w:r>
        <w:rPr>
          <w:kern w:val="0"/>
        </w:rPr>
        <w:t>traumatic exposure might respond differently to work-tailored treatments.</w:t>
      </w:r>
    </w:p>
    <w:p w:rsidR="00E34926" w:rsidRDefault="00E34926" w:rsidP="00E34926">
      <w:pPr>
        <w:pStyle w:val="a3"/>
        <w:rPr>
          <w:kern w:val="0"/>
        </w:rPr>
      </w:pPr>
      <w:r>
        <w:rPr>
          <w:kern w:val="0"/>
        </w:rPr>
        <w:t xml:space="preserve">Keywords: Anxiety, Anxiety Disorders, Assessment, Debilitating, Disorder, Effectiveness, Employment, Exposure, Eye-Movement Desensitization, Follow-up, Injury, Interventions, Literature, </w:t>
      </w:r>
      <w:r w:rsidR="00D5664A">
        <w:rPr>
          <w:kern w:val="0"/>
        </w:rPr>
        <w:t>MEDLINE</w:t>
      </w:r>
      <w:r>
        <w:rPr>
          <w:kern w:val="0"/>
        </w:rPr>
        <w:t xml:space="preserve">, Metaanalysis, Methods, Occupational, Outcomes, Posttraumatic Stress Disorder, Posttraumatic-Stress-Disorder, Productivity, Psychotherapy, PTSD, Quality, Research, Return to Work, Review, Science, Stress, Symptoms, Systematic, Systematic Review, Therapy, Traditional, Transportation, Trauma, </w:t>
      </w:r>
      <w:r w:rsidR="00D5664A">
        <w:rPr>
          <w:kern w:val="0"/>
        </w:rPr>
        <w:t>Web</w:t>
      </w:r>
      <w:r w:rsidR="00427468">
        <w:rPr>
          <w:kern w:val="0"/>
        </w:rPr>
        <w:t xml:space="preserve"> of </w:t>
      </w:r>
      <w:r w:rsidR="00D5664A">
        <w:rPr>
          <w:kern w:val="0"/>
        </w:rPr>
        <w:t>Science</w:t>
      </w:r>
      <w:r>
        <w:rPr>
          <w:kern w:val="0"/>
        </w:rPr>
        <w:t>, Workplace</w:t>
      </w:r>
    </w:p>
    <w:p w:rsidR="00704FE8" w:rsidRDefault="00704FE8" w:rsidP="00704FE8">
      <w:pPr>
        <w:pStyle w:val="a3"/>
        <w:rPr>
          <w:kern w:val="0"/>
          <w:szCs w:val="24"/>
        </w:rPr>
      </w:pPr>
      <w:r>
        <w:rPr>
          <w:rFonts w:hint="eastAsia"/>
          <w:kern w:val="0"/>
        </w:rPr>
        <w:t xml:space="preserve">? </w:t>
      </w:r>
      <w:r>
        <w:rPr>
          <w:kern w:val="0"/>
        </w:rPr>
        <w:t>Milat, A.J., Bauman, A.E., Redman, S.</w:t>
      </w:r>
      <w:r w:rsidR="005853A9">
        <w:rPr>
          <w:kern w:val="0"/>
        </w:rPr>
        <w:t xml:space="preserve"> and </w:t>
      </w:r>
      <w:r>
        <w:rPr>
          <w:kern w:val="0"/>
        </w:rPr>
        <w:t xml:space="preserve">Curac, N. (2011), Public health research outputs from efficacy to dissemination: A bibliometric analysis. </w:t>
      </w:r>
      <w:r>
        <w:rPr>
          <w:i/>
          <w:iCs/>
          <w:kern w:val="0"/>
        </w:rPr>
        <w:t>BMC Public Health</w:t>
      </w:r>
      <w:r>
        <w:rPr>
          <w:kern w:val="0"/>
        </w:rPr>
        <w:t xml:space="preserve">, </w:t>
      </w:r>
      <w:r>
        <w:rPr>
          <w:b/>
          <w:bCs/>
          <w:kern w:val="0"/>
        </w:rPr>
        <w:t>11</w:t>
      </w:r>
      <w:r>
        <w:rPr>
          <w:rFonts w:hint="eastAsia"/>
          <w:kern w:val="0"/>
          <w:szCs w:val="24"/>
        </w:rPr>
        <w:t xml:space="preserve">, </w:t>
      </w:r>
      <w:r w:rsidRPr="00B3472A">
        <w:rPr>
          <w:kern w:val="0"/>
          <w:szCs w:val="24"/>
        </w:rPr>
        <w:t xml:space="preserve">Article Number: </w:t>
      </w:r>
      <w:r>
        <w:rPr>
          <w:rFonts w:hint="eastAsia"/>
          <w:kern w:val="0"/>
          <w:szCs w:val="24"/>
        </w:rPr>
        <w:t>934.</w:t>
      </w:r>
    </w:p>
    <w:p w:rsidR="00704FE8" w:rsidRPr="00FC7835" w:rsidRDefault="00704FE8" w:rsidP="00704FE8">
      <w:pPr>
        <w:pStyle w:val="a3"/>
      </w:pPr>
      <w:r>
        <w:t>Full Text:</w:t>
      </w:r>
      <w:r w:rsidRPr="00FC7835">
        <w:t xml:space="preserve"> </w:t>
      </w:r>
      <w:hyperlink r:id="rId1703" w:history="1">
        <w:r w:rsidRPr="00704FE8">
          <w:rPr>
            <w:rStyle w:val="a5"/>
          </w:rPr>
          <w:t>2011\BMC Pub Hea11, 934.pdf</w:t>
        </w:r>
      </w:hyperlink>
    </w:p>
    <w:p w:rsidR="00704FE8" w:rsidRDefault="00704FE8" w:rsidP="00704FE8">
      <w:pPr>
        <w:pStyle w:val="a3"/>
        <w:rPr>
          <w:kern w:val="0"/>
        </w:rPr>
      </w:pPr>
      <w:r>
        <w:rPr>
          <w:kern w:val="0"/>
        </w:rPr>
        <w:t xml:space="preserve">Abstract: Background: More intervention research is needed, particularly </w:t>
      </w:r>
      <w:r w:rsidR="00700038">
        <w:rPr>
          <w:kern w:val="0"/>
        </w:rPr>
        <w:t>‘</w:t>
      </w:r>
      <w:r>
        <w:rPr>
          <w:kern w:val="0"/>
        </w:rPr>
        <w:t>real world</w:t>
      </w:r>
      <w:r w:rsidR="00700038">
        <w:rPr>
          <w:kern w:val="0"/>
        </w:rPr>
        <w:t>’</w:t>
      </w:r>
      <w:r>
        <w:rPr>
          <w:kern w:val="0"/>
        </w:rPr>
        <w:t xml:space="preserve"> intervention replication</w:t>
      </w:r>
      <w:r w:rsidR="005853A9">
        <w:rPr>
          <w:kern w:val="0"/>
        </w:rPr>
        <w:t xml:space="preserve"> and </w:t>
      </w:r>
      <w:r>
        <w:rPr>
          <w:kern w:val="0"/>
        </w:rPr>
        <w:t>dissemination studies, to optimize improvements in health. This study assessed</w:t>
      </w:r>
      <w:r w:rsidR="003A1917">
        <w:rPr>
          <w:kern w:val="0"/>
        </w:rPr>
        <w:t xml:space="preserve"> the </w:t>
      </w:r>
      <w:r>
        <w:rPr>
          <w:kern w:val="0"/>
        </w:rPr>
        <w:t>proportion</w:t>
      </w:r>
      <w:r w:rsidR="005853A9">
        <w:rPr>
          <w:kern w:val="0"/>
        </w:rPr>
        <w:t xml:space="preserve"> and </w:t>
      </w:r>
      <w:r>
        <w:rPr>
          <w:kern w:val="0"/>
        </w:rPr>
        <w:t>type</w:t>
      </w:r>
      <w:r w:rsidR="00427468">
        <w:rPr>
          <w:kern w:val="0"/>
        </w:rPr>
        <w:t xml:space="preserve"> of </w:t>
      </w:r>
      <w:r>
        <w:rPr>
          <w:kern w:val="0"/>
        </w:rPr>
        <w:t>published public health intervention research papers over time in physical activity</w:t>
      </w:r>
      <w:r w:rsidR="005853A9">
        <w:rPr>
          <w:kern w:val="0"/>
        </w:rPr>
        <w:t xml:space="preserve"> and </w:t>
      </w:r>
      <w:r>
        <w:rPr>
          <w:kern w:val="0"/>
        </w:rPr>
        <w:t>falls prevention, both important contributors to preventable morbidity</w:t>
      </w:r>
      <w:r w:rsidR="005853A9">
        <w:rPr>
          <w:kern w:val="0"/>
        </w:rPr>
        <w:t xml:space="preserve"> and </w:t>
      </w:r>
      <w:r>
        <w:rPr>
          <w:kern w:val="0"/>
        </w:rPr>
        <w:t xml:space="preserve">mortality. Methods: A keyword search was conducted, using </w:t>
      </w:r>
      <w:r w:rsidR="00D5664A">
        <w:rPr>
          <w:kern w:val="0"/>
        </w:rPr>
        <w:t>MEDLINE</w:t>
      </w:r>
      <w:r w:rsidR="005853A9">
        <w:rPr>
          <w:kern w:val="0"/>
        </w:rPr>
        <w:t xml:space="preserve"> and </w:t>
      </w:r>
      <w:r>
        <w:rPr>
          <w:kern w:val="0"/>
        </w:rPr>
        <w:t>PsycINFO to locate publications in 1988-1989, 1998-1999,</w:t>
      </w:r>
      <w:r w:rsidR="005853A9">
        <w:rPr>
          <w:kern w:val="0"/>
        </w:rPr>
        <w:t xml:space="preserve"> and </w:t>
      </w:r>
      <w:r>
        <w:rPr>
          <w:kern w:val="0"/>
        </w:rPr>
        <w:t>2008-2009 for</w:t>
      </w:r>
      <w:r w:rsidR="003A1917">
        <w:rPr>
          <w:kern w:val="0"/>
        </w:rPr>
        <w:t xml:space="preserve"> the </w:t>
      </w:r>
      <w:r>
        <w:rPr>
          <w:kern w:val="0"/>
        </w:rPr>
        <w:t>two topic areas. In stage 1, a random sample</w:t>
      </w:r>
      <w:r w:rsidR="00427468">
        <w:rPr>
          <w:kern w:val="0"/>
        </w:rPr>
        <w:t xml:space="preserve"> of </w:t>
      </w:r>
      <w:r>
        <w:rPr>
          <w:kern w:val="0"/>
        </w:rPr>
        <w:t>1200 publications per time period for both topics were categorized as: non-public health, non-data-based public health, or data-based public health. In stage 2 data-based public health articles were further classified as measurement, descriptive, etiological or intervention research. Finally, intervention papers were categorized as: efficacy, intervention replication or dissemination studies. Inter-rater reliability</w:t>
      </w:r>
      <w:r w:rsidR="00427468">
        <w:rPr>
          <w:kern w:val="0"/>
        </w:rPr>
        <w:t xml:space="preserve"> of </w:t>
      </w:r>
      <w:r>
        <w:rPr>
          <w:kern w:val="0"/>
        </w:rPr>
        <w:t>paper classification was 88%. Results: Descriptive studies were</w:t>
      </w:r>
      <w:r w:rsidR="003A1917">
        <w:rPr>
          <w:kern w:val="0"/>
        </w:rPr>
        <w:t xml:space="preserve"> the </w:t>
      </w:r>
      <w:r>
        <w:rPr>
          <w:kern w:val="0"/>
        </w:rPr>
        <w:t>most common data-based papers across all time periods (1988-89; 19981999; 2008-2009) for both issues (physical activity: 47%; 54%; 65%</w:t>
      </w:r>
      <w:r w:rsidR="005853A9">
        <w:rPr>
          <w:kern w:val="0"/>
        </w:rPr>
        <w:t xml:space="preserve"> and </w:t>
      </w:r>
      <w:r>
        <w:rPr>
          <w:kern w:val="0"/>
        </w:rPr>
        <w:t xml:space="preserve">falls 75%; 64%; </w:t>
      </w:r>
      <w:r>
        <w:rPr>
          <w:kern w:val="0"/>
        </w:rPr>
        <w:lastRenderedPageBreak/>
        <w:t>63%), increasing significantly over time for physical activity</w:t>
      </w:r>
      <w:r w:rsidR="00A37C1D">
        <w:rPr>
          <w:kern w:val="0"/>
        </w:rPr>
        <w:t>. The</w:t>
      </w:r>
      <w:r w:rsidR="003A1917">
        <w:rPr>
          <w:kern w:val="0"/>
        </w:rPr>
        <w:t xml:space="preserve"> </w:t>
      </w:r>
      <w:r>
        <w:rPr>
          <w:kern w:val="0"/>
        </w:rPr>
        <w:t>proportion</w:t>
      </w:r>
      <w:r w:rsidR="00427468">
        <w:rPr>
          <w:kern w:val="0"/>
        </w:rPr>
        <w:t xml:space="preserve"> of </w:t>
      </w:r>
      <w:r>
        <w:rPr>
          <w:kern w:val="0"/>
        </w:rPr>
        <w:t>intervention publications did not increase over time for physical activity comprising 23% across all time periods</w:t>
      </w:r>
      <w:r w:rsidR="005853A9">
        <w:rPr>
          <w:kern w:val="0"/>
        </w:rPr>
        <w:t xml:space="preserve"> and </w:t>
      </w:r>
      <w:r>
        <w:rPr>
          <w:kern w:val="0"/>
        </w:rPr>
        <w:t>fluctuated for falls across</w:t>
      </w:r>
      <w:r w:rsidR="003A1917">
        <w:rPr>
          <w:kern w:val="0"/>
        </w:rPr>
        <w:t xml:space="preserve"> the </w:t>
      </w:r>
      <w:r>
        <w:rPr>
          <w:kern w:val="0"/>
        </w:rPr>
        <w:t>time periods (10%; 21%; 17%)</w:t>
      </w:r>
      <w:r w:rsidR="00A37C1D">
        <w:rPr>
          <w:kern w:val="0"/>
        </w:rPr>
        <w:t>. The</w:t>
      </w:r>
      <w:r w:rsidR="003A1917">
        <w:rPr>
          <w:kern w:val="0"/>
        </w:rPr>
        <w:t xml:space="preserve"> </w:t>
      </w:r>
      <w:r>
        <w:rPr>
          <w:kern w:val="0"/>
        </w:rPr>
        <w:t>proportion</w:t>
      </w:r>
      <w:r w:rsidR="00427468">
        <w:rPr>
          <w:kern w:val="0"/>
        </w:rPr>
        <w:t xml:space="preserve"> of </w:t>
      </w:r>
      <w:r>
        <w:rPr>
          <w:kern w:val="0"/>
        </w:rPr>
        <w:t>intervention articles that were replication studies increased over</w:t>
      </w:r>
      <w:r w:rsidR="003A1917">
        <w:rPr>
          <w:kern w:val="0"/>
        </w:rPr>
        <w:t xml:space="preserve"> the </w:t>
      </w:r>
      <w:r>
        <w:rPr>
          <w:kern w:val="0"/>
        </w:rPr>
        <w:t>three time periods for physical activity (0%; 2%; 11%)</w:t>
      </w:r>
      <w:r w:rsidR="005853A9">
        <w:rPr>
          <w:kern w:val="0"/>
        </w:rPr>
        <w:t xml:space="preserve"> and </w:t>
      </w:r>
      <w:r>
        <w:rPr>
          <w:kern w:val="0"/>
        </w:rPr>
        <w:t>for falls (0%; 22%; 35%). Dissemination studies first appeared in</w:t>
      </w:r>
      <w:r w:rsidR="003A1917">
        <w:rPr>
          <w:kern w:val="0"/>
        </w:rPr>
        <w:t xml:space="preserve"> the </w:t>
      </w:r>
      <w:r>
        <w:rPr>
          <w:kern w:val="0"/>
        </w:rPr>
        <w:t>literature in 2008-2009, making up only 3%</w:t>
      </w:r>
      <w:r w:rsidR="00427468">
        <w:rPr>
          <w:kern w:val="0"/>
        </w:rPr>
        <w:t xml:space="preserve"> of </w:t>
      </w:r>
      <w:r>
        <w:rPr>
          <w:kern w:val="0"/>
        </w:rPr>
        <w:t>physical activity</w:t>
      </w:r>
      <w:r w:rsidR="005853A9">
        <w:rPr>
          <w:kern w:val="0"/>
        </w:rPr>
        <w:t xml:space="preserve"> and </w:t>
      </w:r>
      <w:r>
        <w:rPr>
          <w:kern w:val="0"/>
        </w:rPr>
        <w:t>7%</w:t>
      </w:r>
      <w:r w:rsidR="00427468">
        <w:rPr>
          <w:kern w:val="0"/>
        </w:rPr>
        <w:t xml:space="preserve"> of </w:t>
      </w:r>
      <w:r>
        <w:rPr>
          <w:kern w:val="0"/>
        </w:rPr>
        <w:t>falls intervention studies. Conclusions: Intervention research studies remain only a modest proportion</w:t>
      </w:r>
      <w:r w:rsidR="00427468">
        <w:rPr>
          <w:kern w:val="0"/>
        </w:rPr>
        <w:t xml:space="preserve"> of </w:t>
      </w:r>
      <w:r>
        <w:rPr>
          <w:kern w:val="0"/>
        </w:rPr>
        <w:t>all published studies in physical activity</w:t>
      </w:r>
      <w:r w:rsidR="005853A9">
        <w:rPr>
          <w:kern w:val="0"/>
        </w:rPr>
        <w:t xml:space="preserve"> and </w:t>
      </w:r>
      <w:r>
        <w:rPr>
          <w:kern w:val="0"/>
        </w:rPr>
        <w:t>falls prevention;</w:t>
      </w:r>
      <w:r w:rsidR="003A1917">
        <w:rPr>
          <w:kern w:val="0"/>
        </w:rPr>
        <w:t xml:space="preserve"> the </w:t>
      </w:r>
      <w:r>
        <w:rPr>
          <w:kern w:val="0"/>
        </w:rPr>
        <w:t>majority</w:t>
      </w:r>
      <w:r w:rsidR="00427468">
        <w:rPr>
          <w:kern w:val="0"/>
        </w:rPr>
        <w:t xml:space="preserve"> of </w:t>
      </w:r>
      <w:r w:rsidR="003A1917">
        <w:rPr>
          <w:kern w:val="0"/>
        </w:rPr>
        <w:t xml:space="preserve">the </w:t>
      </w:r>
      <w:r>
        <w:rPr>
          <w:kern w:val="0"/>
        </w:rPr>
        <w:t>intervention studies, are efficacy studies although there is growing evidence</w:t>
      </w:r>
      <w:r w:rsidR="00427468">
        <w:rPr>
          <w:kern w:val="0"/>
        </w:rPr>
        <w:t xml:space="preserve"> of </w:t>
      </w:r>
      <w:r>
        <w:rPr>
          <w:kern w:val="0"/>
        </w:rPr>
        <w:t>a move towards replication</w:t>
      </w:r>
      <w:r w:rsidR="005853A9">
        <w:rPr>
          <w:kern w:val="0"/>
        </w:rPr>
        <w:t xml:space="preserve"> and </w:t>
      </w:r>
      <w:r>
        <w:rPr>
          <w:kern w:val="0"/>
        </w:rPr>
        <w:t>dissemination studies, which may have greater potential for improving population health.</w:t>
      </w:r>
    </w:p>
    <w:p w:rsidR="00704FE8" w:rsidRDefault="00704FE8" w:rsidP="00704FE8">
      <w:pPr>
        <w:pStyle w:val="a3"/>
        <w:rPr>
          <w:kern w:val="0"/>
        </w:rPr>
      </w:pPr>
      <w:r>
        <w:rPr>
          <w:kern w:val="0"/>
        </w:rPr>
        <w:t xml:space="preserve">Keywords: Analysis, Articles, Bibliometric, Bibliometric Analysis, Classification, Efficacy, Evidence, Falls, First, Health, Health Research, Implementation Research, Intervention, Intervention Research, Intervention Studies, Limitations, Literature, Measurement, </w:t>
      </w:r>
      <w:r w:rsidR="00D5664A">
        <w:rPr>
          <w:kern w:val="0"/>
        </w:rPr>
        <w:t>MEDLINE</w:t>
      </w:r>
      <w:r>
        <w:rPr>
          <w:kern w:val="0"/>
        </w:rPr>
        <w:t>, Morbidity, Mortality, Papers, Physical, Physical Activity, Population, Potential, Prevention, Psycinfo, Public, Public Health, Public Health Intervention, Publications, Random Sample, Recommendations, Reliability, Replication, Research, Trials, World</w:t>
      </w:r>
    </w:p>
    <w:p w:rsidR="003010E0" w:rsidRDefault="003010E0" w:rsidP="003010E0">
      <w:pPr>
        <w:pStyle w:val="a3"/>
        <w:rPr>
          <w:kern w:val="0"/>
        </w:rPr>
      </w:pPr>
      <w:r>
        <w:rPr>
          <w:rFonts w:hint="eastAsia"/>
          <w:kern w:val="0"/>
        </w:rPr>
        <w:t xml:space="preserve">? </w:t>
      </w:r>
      <w:r>
        <w:rPr>
          <w:kern w:val="0"/>
        </w:rPr>
        <w:t>Challen, K., Lee, A.C.K., Booth, A., Gardois, P., Woods, H.B.</w:t>
      </w:r>
      <w:r w:rsidR="005853A9">
        <w:rPr>
          <w:kern w:val="0"/>
        </w:rPr>
        <w:t xml:space="preserve"> and </w:t>
      </w:r>
      <w:r>
        <w:rPr>
          <w:kern w:val="0"/>
        </w:rPr>
        <w:t>Goodacre, S.W. (2012), Where is</w:t>
      </w:r>
      <w:r w:rsidR="003A1917">
        <w:rPr>
          <w:kern w:val="0"/>
        </w:rPr>
        <w:t xml:space="preserve"> the </w:t>
      </w:r>
      <w:r>
        <w:rPr>
          <w:kern w:val="0"/>
        </w:rPr>
        <w:t xml:space="preserve">evidence for emergency planning: A scoping review. </w:t>
      </w:r>
      <w:r>
        <w:rPr>
          <w:i/>
          <w:iCs/>
          <w:kern w:val="0"/>
        </w:rPr>
        <w:t>BMC Public Health</w:t>
      </w:r>
      <w:r>
        <w:rPr>
          <w:kern w:val="0"/>
        </w:rPr>
        <w:t xml:space="preserve">, </w:t>
      </w:r>
      <w:r>
        <w:rPr>
          <w:b/>
          <w:bCs/>
          <w:kern w:val="0"/>
        </w:rPr>
        <w:t>12</w:t>
      </w:r>
      <w:r>
        <w:rPr>
          <w:rFonts w:hint="eastAsia"/>
          <w:kern w:val="0"/>
        </w:rPr>
        <w:t xml:space="preserve">, </w:t>
      </w:r>
      <w:r w:rsidRPr="00B3472A">
        <w:rPr>
          <w:kern w:val="0"/>
        </w:rPr>
        <w:t xml:space="preserve">Article Number: </w:t>
      </w:r>
      <w:r>
        <w:rPr>
          <w:rFonts w:hint="eastAsia"/>
          <w:kern w:val="0"/>
        </w:rPr>
        <w:t>542.</w:t>
      </w:r>
    </w:p>
    <w:p w:rsidR="003010E0" w:rsidRPr="00FC7835" w:rsidRDefault="003010E0" w:rsidP="003010E0">
      <w:pPr>
        <w:pStyle w:val="a3"/>
      </w:pPr>
      <w:r>
        <w:t>Full Text:</w:t>
      </w:r>
      <w:r w:rsidRPr="00FC7835">
        <w:t xml:space="preserve"> </w:t>
      </w:r>
      <w:hyperlink r:id="rId1704" w:history="1">
        <w:r w:rsidRPr="003010E0">
          <w:rPr>
            <w:rStyle w:val="a5"/>
          </w:rPr>
          <w:t>2012\BMC Pub Hea12, 542.pdf</w:t>
        </w:r>
      </w:hyperlink>
    </w:p>
    <w:p w:rsidR="003010E0" w:rsidRDefault="003010E0" w:rsidP="003010E0">
      <w:pPr>
        <w:pStyle w:val="a3"/>
        <w:rPr>
          <w:kern w:val="0"/>
        </w:rPr>
      </w:pPr>
      <w:r>
        <w:rPr>
          <w:kern w:val="0"/>
        </w:rPr>
        <w:t>Abstract: Background: Recent terrorist attacks</w:t>
      </w:r>
      <w:r w:rsidR="005853A9">
        <w:rPr>
          <w:kern w:val="0"/>
        </w:rPr>
        <w:t xml:space="preserve"> and </w:t>
      </w:r>
      <w:r>
        <w:rPr>
          <w:kern w:val="0"/>
        </w:rPr>
        <w:t>natural disasters have led to an increased awareness</w:t>
      </w:r>
      <w:r w:rsidR="00427468">
        <w:rPr>
          <w:kern w:val="0"/>
        </w:rPr>
        <w:t xml:space="preserve"> of </w:t>
      </w:r>
      <w:r w:rsidR="003A1917">
        <w:rPr>
          <w:kern w:val="0"/>
        </w:rPr>
        <w:t xml:space="preserve">the </w:t>
      </w:r>
      <w:r>
        <w:rPr>
          <w:kern w:val="0"/>
        </w:rPr>
        <w:t>importance</w:t>
      </w:r>
      <w:r w:rsidR="00427468">
        <w:rPr>
          <w:kern w:val="0"/>
        </w:rPr>
        <w:t xml:space="preserve"> of </w:t>
      </w:r>
      <w:r>
        <w:rPr>
          <w:kern w:val="0"/>
        </w:rPr>
        <w:t>emergency planning. However,</w:t>
      </w:r>
      <w:r w:rsidR="003A1917">
        <w:rPr>
          <w:kern w:val="0"/>
        </w:rPr>
        <w:t xml:space="preserve"> the </w:t>
      </w:r>
      <w:r>
        <w:rPr>
          <w:kern w:val="0"/>
        </w:rPr>
        <w:t>extent to which emergency planners can access or use evidence remains unclear</w:t>
      </w:r>
      <w:r w:rsidR="00A37C1D">
        <w:rPr>
          <w:kern w:val="0"/>
        </w:rPr>
        <w:t>. The</w:t>
      </w:r>
      <w:r w:rsidR="003A1917">
        <w:rPr>
          <w:kern w:val="0"/>
        </w:rPr>
        <w:t xml:space="preserve"> </w:t>
      </w:r>
      <w:r>
        <w:rPr>
          <w:kern w:val="0"/>
        </w:rPr>
        <w:t>aim</w:t>
      </w:r>
      <w:r w:rsidR="00427468">
        <w:rPr>
          <w:kern w:val="0"/>
        </w:rPr>
        <w:t xml:space="preserve"> of </w:t>
      </w:r>
      <w:r>
        <w:rPr>
          <w:kern w:val="0"/>
        </w:rPr>
        <w:t>this study was to identify, analyse</w:t>
      </w:r>
      <w:r w:rsidR="005853A9">
        <w:rPr>
          <w:kern w:val="0"/>
        </w:rPr>
        <w:t xml:space="preserve"> and </w:t>
      </w:r>
      <w:r>
        <w:rPr>
          <w:kern w:val="0"/>
        </w:rPr>
        <w:t>assess</w:t>
      </w:r>
      <w:r w:rsidR="003A1917">
        <w:rPr>
          <w:kern w:val="0"/>
        </w:rPr>
        <w:t xml:space="preserve"> the </w:t>
      </w:r>
      <w:r>
        <w:rPr>
          <w:kern w:val="0"/>
        </w:rPr>
        <w:t>location, source</w:t>
      </w:r>
      <w:r w:rsidR="005853A9">
        <w:rPr>
          <w:kern w:val="0"/>
        </w:rPr>
        <w:t xml:space="preserve"> and </w:t>
      </w:r>
      <w:r>
        <w:rPr>
          <w:kern w:val="0"/>
        </w:rPr>
        <w:t>quality</w:t>
      </w:r>
      <w:r w:rsidR="00427468">
        <w:rPr>
          <w:kern w:val="0"/>
        </w:rPr>
        <w:t xml:space="preserve"> of </w:t>
      </w:r>
      <w:r>
        <w:rPr>
          <w:kern w:val="0"/>
        </w:rPr>
        <w:t>emergency planning publications in</w:t>
      </w:r>
      <w:r w:rsidR="003A1917">
        <w:rPr>
          <w:kern w:val="0"/>
        </w:rPr>
        <w:t xml:space="preserve"> the </w:t>
      </w:r>
      <w:r>
        <w:rPr>
          <w:kern w:val="0"/>
        </w:rPr>
        <w:t>academic</w:t>
      </w:r>
      <w:r w:rsidR="005853A9">
        <w:rPr>
          <w:kern w:val="0"/>
        </w:rPr>
        <w:t xml:space="preserve"> and </w:t>
      </w:r>
      <w:r>
        <w:rPr>
          <w:kern w:val="0"/>
        </w:rPr>
        <w:t xml:space="preserve">UK grey literature. Methods: We conducted a scoping review, using as data sources for academic literature Embase, </w:t>
      </w:r>
      <w:r w:rsidR="00D5664A">
        <w:rPr>
          <w:kern w:val="0"/>
        </w:rPr>
        <w:t>MEDLINE</w:t>
      </w:r>
      <w:r>
        <w:rPr>
          <w:kern w:val="0"/>
        </w:rPr>
        <w:t xml:space="preserve">, </w:t>
      </w:r>
      <w:r w:rsidR="00D5664A">
        <w:rPr>
          <w:kern w:val="0"/>
        </w:rPr>
        <w:t>MEDLINE</w:t>
      </w:r>
      <w:r>
        <w:rPr>
          <w:kern w:val="0"/>
        </w:rPr>
        <w:t xml:space="preserve"> in Process, Psychinfo, Biosis, Science Citation Index, Cinahl, Cochrane library</w:t>
      </w:r>
      <w:r w:rsidR="005853A9">
        <w:rPr>
          <w:kern w:val="0"/>
        </w:rPr>
        <w:t xml:space="preserve"> and </w:t>
      </w:r>
      <w:r>
        <w:rPr>
          <w:kern w:val="0"/>
        </w:rPr>
        <w:t>Clinicaltrials.gov. For grey literature identification we used databases at</w:t>
      </w:r>
      <w:r w:rsidR="003A1917">
        <w:rPr>
          <w:kern w:val="0"/>
        </w:rPr>
        <w:t xml:space="preserve"> the </w:t>
      </w:r>
      <w:r>
        <w:rPr>
          <w:kern w:val="0"/>
        </w:rPr>
        <w:t>Health Protection Agency, NHS Evidence, British Association</w:t>
      </w:r>
      <w:r w:rsidR="00427468">
        <w:rPr>
          <w:kern w:val="0"/>
        </w:rPr>
        <w:t xml:space="preserve"> of </w:t>
      </w:r>
      <w:r>
        <w:rPr>
          <w:kern w:val="0"/>
        </w:rPr>
        <w:t>Immediate Care Schemes, Emergency Planning College</w:t>
      </w:r>
      <w:r w:rsidR="005853A9">
        <w:rPr>
          <w:kern w:val="0"/>
        </w:rPr>
        <w:t xml:space="preserve"> and </w:t>
      </w:r>
      <w:r w:rsidR="003A1917">
        <w:rPr>
          <w:kern w:val="0"/>
        </w:rPr>
        <w:t xml:space="preserve">the </w:t>
      </w:r>
      <w:r>
        <w:rPr>
          <w:kern w:val="0"/>
        </w:rPr>
        <w:t>Health</w:t>
      </w:r>
      <w:r w:rsidR="005853A9">
        <w:rPr>
          <w:kern w:val="0"/>
        </w:rPr>
        <w:t xml:space="preserve"> and </w:t>
      </w:r>
      <w:r>
        <w:rPr>
          <w:kern w:val="0"/>
        </w:rPr>
        <w:t>Safety Executive,</w:t>
      </w:r>
      <w:r w:rsidR="005853A9">
        <w:rPr>
          <w:kern w:val="0"/>
        </w:rPr>
        <w:t xml:space="preserve"> and </w:t>
      </w:r>
      <w:r w:rsidR="003A1917">
        <w:rPr>
          <w:kern w:val="0"/>
        </w:rPr>
        <w:t xml:space="preserve">the </w:t>
      </w:r>
      <w:r>
        <w:rPr>
          <w:kern w:val="0"/>
        </w:rPr>
        <w:t>websites</w:t>
      </w:r>
      <w:r w:rsidR="00427468">
        <w:rPr>
          <w:kern w:val="0"/>
        </w:rPr>
        <w:t xml:space="preserve"> of </w:t>
      </w:r>
      <w:r>
        <w:rPr>
          <w:kern w:val="0"/>
        </w:rPr>
        <w:t>UK Department</w:t>
      </w:r>
      <w:r w:rsidR="00427468">
        <w:rPr>
          <w:kern w:val="0"/>
        </w:rPr>
        <w:t xml:space="preserve"> of </w:t>
      </w:r>
      <w:r>
        <w:rPr>
          <w:kern w:val="0"/>
        </w:rPr>
        <w:t>Health Emergency Planning Division</w:t>
      </w:r>
      <w:r w:rsidR="005853A9">
        <w:rPr>
          <w:kern w:val="0"/>
        </w:rPr>
        <w:t xml:space="preserve"> and </w:t>
      </w:r>
      <w:r>
        <w:rPr>
          <w:kern w:val="0"/>
        </w:rPr>
        <w:t>UK Resilience. Aggregative synthesis was used to analyse papers</w:t>
      </w:r>
      <w:r w:rsidR="005853A9">
        <w:rPr>
          <w:kern w:val="0"/>
        </w:rPr>
        <w:t xml:space="preserve"> and </w:t>
      </w:r>
      <w:r>
        <w:rPr>
          <w:kern w:val="0"/>
        </w:rPr>
        <w:t>documents against a framework based on a modified FEMA Emergency Planning cycle. Results:</w:t>
      </w:r>
      <w:r w:rsidR="00427468">
        <w:rPr>
          <w:kern w:val="0"/>
        </w:rPr>
        <w:t xml:space="preserve"> of </w:t>
      </w:r>
      <w:r>
        <w:rPr>
          <w:kern w:val="0"/>
        </w:rPr>
        <w:t>2736 titles identified from</w:t>
      </w:r>
      <w:r w:rsidR="003A1917">
        <w:rPr>
          <w:kern w:val="0"/>
        </w:rPr>
        <w:t xml:space="preserve"> the </w:t>
      </w:r>
      <w:r>
        <w:rPr>
          <w:kern w:val="0"/>
        </w:rPr>
        <w:t>academic literature, 1603 were relevant. 45% were from North America, 27% were commentaries or editorials</w:t>
      </w:r>
      <w:r w:rsidR="005853A9">
        <w:rPr>
          <w:kern w:val="0"/>
        </w:rPr>
        <w:t xml:space="preserve"> and </w:t>
      </w:r>
      <w:r>
        <w:rPr>
          <w:kern w:val="0"/>
        </w:rPr>
        <w:t>22% were event reports.</w:t>
      </w:r>
      <w:r w:rsidR="00427468">
        <w:rPr>
          <w:kern w:val="0"/>
        </w:rPr>
        <w:t xml:space="preserve"> of </w:t>
      </w:r>
      <w:r>
        <w:rPr>
          <w:kern w:val="0"/>
        </w:rPr>
        <w:t>192 documents from</w:t>
      </w:r>
      <w:r w:rsidR="003A1917">
        <w:rPr>
          <w:kern w:val="0"/>
        </w:rPr>
        <w:t xml:space="preserve"> the </w:t>
      </w:r>
      <w:r>
        <w:rPr>
          <w:kern w:val="0"/>
        </w:rPr>
        <w:lastRenderedPageBreak/>
        <w:t>grey literature, 97 were relevant. 76%</w:t>
      </w:r>
      <w:r w:rsidR="00427468">
        <w:rPr>
          <w:kern w:val="0"/>
        </w:rPr>
        <w:t xml:space="preserve"> of </w:t>
      </w:r>
      <w:r>
        <w:rPr>
          <w:kern w:val="0"/>
        </w:rPr>
        <w:t>these were event reports</w:t>
      </w:r>
      <w:r w:rsidR="00A37C1D">
        <w:rPr>
          <w:kern w:val="0"/>
        </w:rPr>
        <w:t>. The</w:t>
      </w:r>
      <w:r w:rsidR="003A1917">
        <w:rPr>
          <w:kern w:val="0"/>
        </w:rPr>
        <w:t xml:space="preserve"> </w:t>
      </w:r>
      <w:r>
        <w:rPr>
          <w:kern w:val="0"/>
        </w:rPr>
        <w:t>majority</w:t>
      </w:r>
      <w:r w:rsidR="00427468">
        <w:rPr>
          <w:kern w:val="0"/>
        </w:rPr>
        <w:t xml:space="preserve"> of </w:t>
      </w:r>
      <w:r>
        <w:rPr>
          <w:kern w:val="0"/>
        </w:rPr>
        <w:t>documents addressed emergency planning</w:t>
      </w:r>
      <w:r w:rsidR="005853A9">
        <w:rPr>
          <w:kern w:val="0"/>
        </w:rPr>
        <w:t xml:space="preserve"> and </w:t>
      </w:r>
      <w:r>
        <w:rPr>
          <w:kern w:val="0"/>
        </w:rPr>
        <w:t>response. Very few documents related to hazard analysis, mitigation or capability assessment. Conclusions: Although a large body</w:t>
      </w:r>
      <w:r w:rsidR="00427468">
        <w:rPr>
          <w:kern w:val="0"/>
        </w:rPr>
        <w:t xml:space="preserve"> of </w:t>
      </w:r>
      <w:r>
        <w:rPr>
          <w:kern w:val="0"/>
        </w:rPr>
        <w:t>literature exists, its validity</w:t>
      </w:r>
      <w:r w:rsidR="005853A9">
        <w:rPr>
          <w:kern w:val="0"/>
        </w:rPr>
        <w:t xml:space="preserve"> and </w:t>
      </w:r>
      <w:r>
        <w:rPr>
          <w:kern w:val="0"/>
        </w:rPr>
        <w:t>generalisability is unclear There is little evidence that this potential evidence base has been exploited through synthesis to inform policy</w:t>
      </w:r>
      <w:r w:rsidR="005853A9">
        <w:rPr>
          <w:kern w:val="0"/>
        </w:rPr>
        <w:t xml:space="preserve"> and </w:t>
      </w:r>
      <w:r>
        <w:rPr>
          <w:kern w:val="0"/>
        </w:rPr>
        <w:t>practice</w:t>
      </w:r>
      <w:r w:rsidR="00A37C1D">
        <w:rPr>
          <w:kern w:val="0"/>
        </w:rPr>
        <w:t>. The</w:t>
      </w:r>
      <w:r w:rsidR="003A1917">
        <w:rPr>
          <w:kern w:val="0"/>
        </w:rPr>
        <w:t xml:space="preserve"> </w:t>
      </w:r>
      <w:r>
        <w:rPr>
          <w:kern w:val="0"/>
        </w:rPr>
        <w:t>type</w:t>
      </w:r>
      <w:r w:rsidR="005853A9">
        <w:rPr>
          <w:kern w:val="0"/>
        </w:rPr>
        <w:t xml:space="preserve"> and </w:t>
      </w:r>
      <w:r>
        <w:rPr>
          <w:kern w:val="0"/>
        </w:rPr>
        <w:t>structure</w:t>
      </w:r>
      <w:r w:rsidR="00427468">
        <w:rPr>
          <w:kern w:val="0"/>
        </w:rPr>
        <w:t xml:space="preserve"> of </w:t>
      </w:r>
      <w:r>
        <w:rPr>
          <w:kern w:val="0"/>
        </w:rPr>
        <w:t>evidence that would be</w:t>
      </w:r>
      <w:r w:rsidR="00427468">
        <w:rPr>
          <w:kern w:val="0"/>
        </w:rPr>
        <w:t xml:space="preserve"> of </w:t>
      </w:r>
      <w:r>
        <w:rPr>
          <w:kern w:val="0"/>
        </w:rPr>
        <w:t>most value</w:t>
      </w:r>
      <w:r w:rsidR="00427468">
        <w:rPr>
          <w:kern w:val="0"/>
        </w:rPr>
        <w:t xml:space="preserve"> of </w:t>
      </w:r>
      <w:r>
        <w:rPr>
          <w:kern w:val="0"/>
        </w:rPr>
        <w:t>emergency planners</w:t>
      </w:r>
      <w:r w:rsidR="005853A9">
        <w:rPr>
          <w:kern w:val="0"/>
        </w:rPr>
        <w:t xml:space="preserve"> and </w:t>
      </w:r>
      <w:r>
        <w:rPr>
          <w:kern w:val="0"/>
        </w:rPr>
        <w:t>policymakers has yet to be identified.</w:t>
      </w:r>
    </w:p>
    <w:p w:rsidR="003010E0" w:rsidRDefault="003010E0" w:rsidP="003010E0">
      <w:pPr>
        <w:pStyle w:val="a3"/>
        <w:rPr>
          <w:kern w:val="0"/>
        </w:rPr>
      </w:pPr>
      <w:r>
        <w:rPr>
          <w:kern w:val="0"/>
        </w:rPr>
        <w:t>Keywords: Access, Analysis, Assessment, Citation, Data, Databases, Disaster, Disasters, Emergency, Emergency Planning, Evidence, Framework, Hazard, Identification, Literature, Location, Major Incident, Mitigation, Modified, Natural, North, North America, Papers, Planning, Policy, Potential, Practice, Publications, Quality, Quality Of, Recent, Review, Science, Science Citation Index, Source, Sources, Structure, Synthesis</w:t>
      </w:r>
      <w:r w:rsidR="00D5664A">
        <w:rPr>
          <w:kern w:val="0"/>
        </w:rPr>
        <w:t>, UK,</w:t>
      </w:r>
      <w:r>
        <w:rPr>
          <w:kern w:val="0"/>
        </w:rPr>
        <w:t xml:space="preserve"> Validity, Value</w:t>
      </w:r>
    </w:p>
    <w:p w:rsidR="0091783B" w:rsidRPr="00FC7835" w:rsidRDefault="0091783B" w:rsidP="0091783B">
      <w:pPr>
        <w:pStyle w:val="a3"/>
      </w:pPr>
      <w:r>
        <w:rPr>
          <w:rFonts w:hint="eastAsia"/>
          <w:kern w:val="0"/>
          <w:szCs w:val="24"/>
        </w:rPr>
        <w:t xml:space="preserve">? </w:t>
      </w:r>
      <w:r>
        <w:rPr>
          <w:kern w:val="0"/>
          <w:szCs w:val="24"/>
        </w:rPr>
        <w:t>Fernandez, M.A.L., Schomaker, M., Mason, P.R., Fesselet, J.F., Baudot, Y., Boulle, A.</w:t>
      </w:r>
      <w:r w:rsidR="005853A9">
        <w:rPr>
          <w:kern w:val="0"/>
          <w:szCs w:val="24"/>
        </w:rPr>
        <w:t xml:space="preserve"> and </w:t>
      </w:r>
      <w:r>
        <w:rPr>
          <w:kern w:val="0"/>
          <w:szCs w:val="24"/>
        </w:rPr>
        <w:t>Maes, P. (2012), Elevation</w:t>
      </w:r>
      <w:r w:rsidR="005853A9">
        <w:rPr>
          <w:kern w:val="0"/>
          <w:szCs w:val="24"/>
        </w:rPr>
        <w:t xml:space="preserve"> and </w:t>
      </w:r>
      <w:r>
        <w:rPr>
          <w:kern w:val="0"/>
          <w:szCs w:val="24"/>
        </w:rPr>
        <w:t>cholera: An epidemiological spatial analysis</w:t>
      </w:r>
      <w:r w:rsidR="00427468">
        <w:rPr>
          <w:kern w:val="0"/>
          <w:szCs w:val="24"/>
        </w:rPr>
        <w:t xml:space="preserve"> of </w:t>
      </w:r>
      <w:r>
        <w:rPr>
          <w:kern w:val="0"/>
          <w:szCs w:val="24"/>
        </w:rPr>
        <w:t xml:space="preserve">the cholera epidemic in Harare, Zimbabwe, 2008-2009. </w:t>
      </w:r>
      <w:r>
        <w:rPr>
          <w:i/>
          <w:iCs/>
          <w:kern w:val="0"/>
          <w:szCs w:val="24"/>
        </w:rPr>
        <w:t>BMC Public Health</w:t>
      </w:r>
      <w:r>
        <w:rPr>
          <w:kern w:val="0"/>
          <w:szCs w:val="24"/>
        </w:rPr>
        <w:t xml:space="preserve">, </w:t>
      </w:r>
      <w:r>
        <w:rPr>
          <w:b/>
          <w:bCs/>
          <w:kern w:val="0"/>
          <w:szCs w:val="24"/>
        </w:rPr>
        <w:t>12</w:t>
      </w:r>
      <w:r>
        <w:rPr>
          <w:rFonts w:hint="eastAsia"/>
          <w:kern w:val="0"/>
          <w:szCs w:val="24"/>
        </w:rPr>
        <w:t>,</w:t>
      </w:r>
      <w:r w:rsidRPr="00871A82">
        <w:t xml:space="preserve"> </w:t>
      </w:r>
      <w:r>
        <w:rPr>
          <w:kern w:val="0"/>
          <w:szCs w:val="24"/>
        </w:rPr>
        <w:t xml:space="preserve">Article Number: </w:t>
      </w:r>
      <w:r>
        <w:rPr>
          <w:rFonts w:hint="eastAsia"/>
          <w:kern w:val="0"/>
          <w:szCs w:val="24"/>
        </w:rPr>
        <w:t>442</w:t>
      </w:r>
      <w:r w:rsidRPr="00FC7835">
        <w:t>.</w:t>
      </w:r>
    </w:p>
    <w:p w:rsidR="0091783B" w:rsidRPr="00FC7835" w:rsidRDefault="0091783B" w:rsidP="0091783B">
      <w:pPr>
        <w:pStyle w:val="a3"/>
      </w:pPr>
      <w:r>
        <w:t>Full Text:</w:t>
      </w:r>
      <w:r w:rsidRPr="00FC7835">
        <w:t xml:space="preserve"> </w:t>
      </w:r>
      <w:hyperlink r:id="rId1705" w:history="1">
        <w:r w:rsidRPr="00E52FB0">
          <w:rPr>
            <w:rStyle w:val="a5"/>
          </w:rPr>
          <w:t>2012\BMC Pub Hea12, 442.pdf</w:t>
        </w:r>
      </w:hyperlink>
    </w:p>
    <w:p w:rsidR="0091783B" w:rsidRDefault="0091783B" w:rsidP="0091783B">
      <w:pPr>
        <w:pStyle w:val="a3"/>
        <w:rPr>
          <w:kern w:val="0"/>
          <w:szCs w:val="24"/>
        </w:rPr>
      </w:pPr>
      <w:r>
        <w:rPr>
          <w:kern w:val="0"/>
          <w:szCs w:val="24"/>
        </w:rPr>
        <w:t>Abstract: Background: In highly populated African urban areas where access to clean water is a challenge, water source contamination is one</w:t>
      </w:r>
      <w:r w:rsidR="00427468">
        <w:rPr>
          <w:kern w:val="0"/>
          <w:szCs w:val="24"/>
        </w:rPr>
        <w:t xml:space="preserve"> of </w:t>
      </w:r>
      <w:r>
        <w:rPr>
          <w:kern w:val="0"/>
          <w:szCs w:val="24"/>
        </w:rPr>
        <w:t>the most cited risk factors in a cholera epidemic. During the rainy season, where there is either no sewage disposal or working sewer system, runoff</w:t>
      </w:r>
      <w:r w:rsidR="00427468">
        <w:rPr>
          <w:kern w:val="0"/>
          <w:szCs w:val="24"/>
        </w:rPr>
        <w:t xml:space="preserve"> of </w:t>
      </w:r>
      <w:r>
        <w:rPr>
          <w:kern w:val="0"/>
          <w:szCs w:val="24"/>
        </w:rPr>
        <w:t>rains follows the slopes</w:t>
      </w:r>
      <w:r w:rsidR="005853A9">
        <w:rPr>
          <w:kern w:val="0"/>
          <w:szCs w:val="24"/>
        </w:rPr>
        <w:t xml:space="preserve"> and </w:t>
      </w:r>
      <w:r>
        <w:rPr>
          <w:kern w:val="0"/>
          <w:szCs w:val="24"/>
        </w:rPr>
        <w:t>gets into the lower parts</w:t>
      </w:r>
      <w:r w:rsidR="00427468">
        <w:rPr>
          <w:kern w:val="0"/>
          <w:szCs w:val="24"/>
        </w:rPr>
        <w:t xml:space="preserve"> of </w:t>
      </w:r>
      <w:r>
        <w:rPr>
          <w:kern w:val="0"/>
          <w:szCs w:val="24"/>
        </w:rPr>
        <w:t>towns where shallow wells could easily become contaminated by excretes. In cholera endemic areas, spatial information about topographical elevation could help to guide preventive interventions. This study aims to analyze the association between topographic elevation</w:t>
      </w:r>
      <w:r w:rsidR="005853A9">
        <w:rPr>
          <w:kern w:val="0"/>
          <w:szCs w:val="24"/>
        </w:rPr>
        <w:t xml:space="preserve"> and </w:t>
      </w:r>
      <w:r>
        <w:rPr>
          <w:kern w:val="0"/>
          <w:szCs w:val="24"/>
        </w:rPr>
        <w:t>the distribution</w:t>
      </w:r>
      <w:r w:rsidR="00427468">
        <w:rPr>
          <w:kern w:val="0"/>
          <w:szCs w:val="24"/>
        </w:rPr>
        <w:t xml:space="preserve"> of </w:t>
      </w:r>
      <w:r>
        <w:rPr>
          <w:kern w:val="0"/>
          <w:szCs w:val="24"/>
        </w:rPr>
        <w:t>cholera cases in Harare during the cholera epidemic in 2008</w:t>
      </w:r>
      <w:r w:rsidR="005853A9">
        <w:rPr>
          <w:kern w:val="0"/>
          <w:szCs w:val="24"/>
        </w:rPr>
        <w:t xml:space="preserve"> and </w:t>
      </w:r>
      <w:r>
        <w:rPr>
          <w:kern w:val="0"/>
          <w:szCs w:val="24"/>
        </w:rPr>
        <w:t>2009. Methods: We developed an ecological study using secondary data. First, we described attack rates by suburb</w:t>
      </w:r>
      <w:r w:rsidR="005853A9">
        <w:rPr>
          <w:kern w:val="0"/>
          <w:szCs w:val="24"/>
        </w:rPr>
        <w:t xml:space="preserve"> and </w:t>
      </w:r>
      <w:r>
        <w:rPr>
          <w:kern w:val="0"/>
          <w:szCs w:val="24"/>
        </w:rPr>
        <w:t>then calculated rate ratios using whole Harare as reference. We illustrated the average elevation</w:t>
      </w:r>
      <w:r w:rsidR="005853A9">
        <w:rPr>
          <w:kern w:val="0"/>
          <w:szCs w:val="24"/>
        </w:rPr>
        <w:t xml:space="preserve"> and </w:t>
      </w:r>
      <w:r>
        <w:rPr>
          <w:kern w:val="0"/>
          <w:szCs w:val="24"/>
        </w:rPr>
        <w:t>cholera cases by suburbs using geographical information. Finally, we estimated a generalized linear mixed model (under the assumption</w:t>
      </w:r>
      <w:r w:rsidR="00427468">
        <w:rPr>
          <w:kern w:val="0"/>
          <w:szCs w:val="24"/>
        </w:rPr>
        <w:t xml:space="preserve"> of </w:t>
      </w:r>
      <w:r>
        <w:rPr>
          <w:kern w:val="0"/>
          <w:szCs w:val="24"/>
        </w:rPr>
        <w:t>a Poisson distribution) with an Empirical Bayesian approach to model the relation between the risk</w:t>
      </w:r>
      <w:r w:rsidR="00427468">
        <w:rPr>
          <w:kern w:val="0"/>
          <w:szCs w:val="24"/>
        </w:rPr>
        <w:t xml:space="preserve"> of </w:t>
      </w:r>
      <w:r>
        <w:rPr>
          <w:kern w:val="0"/>
          <w:szCs w:val="24"/>
        </w:rPr>
        <w:t>cholera</w:t>
      </w:r>
      <w:r w:rsidR="005853A9">
        <w:rPr>
          <w:kern w:val="0"/>
          <w:szCs w:val="24"/>
        </w:rPr>
        <w:t xml:space="preserve"> and </w:t>
      </w:r>
      <w:r>
        <w:rPr>
          <w:kern w:val="0"/>
          <w:szCs w:val="24"/>
        </w:rPr>
        <w:t>the elevation in meters in Harare. We used a random intercept to allow for spatial correlation</w:t>
      </w:r>
      <w:r w:rsidR="00427468">
        <w:rPr>
          <w:kern w:val="0"/>
          <w:szCs w:val="24"/>
        </w:rPr>
        <w:t xml:space="preserve"> of </w:t>
      </w:r>
      <w:r>
        <w:rPr>
          <w:kern w:val="0"/>
          <w:szCs w:val="24"/>
        </w:rPr>
        <w:t>neighboring suburbs. Results: This study identifies a spatial pattern</w:t>
      </w:r>
      <w:r w:rsidR="00427468">
        <w:rPr>
          <w:kern w:val="0"/>
          <w:szCs w:val="24"/>
        </w:rPr>
        <w:t xml:space="preserve"> of </w:t>
      </w:r>
      <w:r>
        <w:rPr>
          <w:kern w:val="0"/>
          <w:szCs w:val="24"/>
        </w:rPr>
        <w:t>the distribution</w:t>
      </w:r>
      <w:r w:rsidR="00427468">
        <w:rPr>
          <w:kern w:val="0"/>
          <w:szCs w:val="24"/>
        </w:rPr>
        <w:t xml:space="preserve"> of </w:t>
      </w:r>
      <w:r>
        <w:rPr>
          <w:kern w:val="0"/>
          <w:szCs w:val="24"/>
        </w:rPr>
        <w:t>cholera cases in the Harare epidemic, characterized by a lower cholera risk in the highest elevation suburbs</w:t>
      </w:r>
      <w:r w:rsidR="00427468">
        <w:rPr>
          <w:kern w:val="0"/>
          <w:szCs w:val="24"/>
        </w:rPr>
        <w:t xml:space="preserve"> of </w:t>
      </w:r>
      <w:r>
        <w:rPr>
          <w:kern w:val="0"/>
          <w:szCs w:val="24"/>
        </w:rPr>
        <w:t>Harare</w:t>
      </w:r>
      <w:r w:rsidR="00A37C1D">
        <w:rPr>
          <w:kern w:val="0"/>
          <w:szCs w:val="24"/>
        </w:rPr>
        <w:t>. The</w:t>
      </w:r>
      <w:r>
        <w:rPr>
          <w:kern w:val="0"/>
          <w:szCs w:val="24"/>
        </w:rPr>
        <w:t xml:space="preserve"> generalized linear mixed model showed that for each 100 meters</w:t>
      </w:r>
      <w:r w:rsidR="00427468">
        <w:rPr>
          <w:kern w:val="0"/>
          <w:szCs w:val="24"/>
        </w:rPr>
        <w:t xml:space="preserve"> of </w:t>
      </w:r>
      <w:r>
        <w:rPr>
          <w:kern w:val="0"/>
          <w:szCs w:val="24"/>
        </w:rPr>
        <w:t>increase in the topographical elevation, the cholera risk was 30% lower with a rate ratio</w:t>
      </w:r>
      <w:r w:rsidR="00427468">
        <w:rPr>
          <w:kern w:val="0"/>
          <w:szCs w:val="24"/>
        </w:rPr>
        <w:t xml:space="preserve"> of </w:t>
      </w:r>
      <w:r>
        <w:rPr>
          <w:kern w:val="0"/>
          <w:szCs w:val="24"/>
        </w:rPr>
        <w:t xml:space="preserve">0.70 (95% confidence interval=0.66-0.76). Sensitivity analysis confirmed the risk </w:t>
      </w:r>
      <w:r>
        <w:rPr>
          <w:kern w:val="0"/>
          <w:szCs w:val="24"/>
        </w:rPr>
        <w:lastRenderedPageBreak/>
        <w:t>reduction with an overall estimate</w:t>
      </w:r>
      <w:r w:rsidR="00427468">
        <w:rPr>
          <w:kern w:val="0"/>
          <w:szCs w:val="24"/>
        </w:rPr>
        <w:t xml:space="preserve"> of </w:t>
      </w:r>
      <w:r>
        <w:rPr>
          <w:kern w:val="0"/>
          <w:szCs w:val="24"/>
        </w:rPr>
        <w:t>the rate ratio between 20%</w:t>
      </w:r>
      <w:r w:rsidR="005853A9">
        <w:rPr>
          <w:kern w:val="0"/>
          <w:szCs w:val="24"/>
        </w:rPr>
        <w:t xml:space="preserve"> and </w:t>
      </w:r>
      <w:r>
        <w:rPr>
          <w:kern w:val="0"/>
          <w:szCs w:val="24"/>
        </w:rPr>
        <w:t>40%. Conclusion: This study highlights the importance</w:t>
      </w:r>
      <w:r w:rsidR="00427468">
        <w:rPr>
          <w:kern w:val="0"/>
          <w:szCs w:val="24"/>
        </w:rPr>
        <w:t xml:space="preserve"> of </w:t>
      </w:r>
      <w:r>
        <w:rPr>
          <w:kern w:val="0"/>
          <w:szCs w:val="24"/>
        </w:rPr>
        <w:t>considering topographical elevation as a geographical</w:t>
      </w:r>
      <w:r w:rsidR="005853A9">
        <w:rPr>
          <w:kern w:val="0"/>
          <w:szCs w:val="24"/>
        </w:rPr>
        <w:t xml:space="preserve"> and </w:t>
      </w:r>
      <w:r>
        <w:rPr>
          <w:kern w:val="0"/>
          <w:szCs w:val="24"/>
        </w:rPr>
        <w:t>environmental risk factor in order to plan cholera preventive activities linked with water</w:t>
      </w:r>
      <w:r w:rsidR="005853A9">
        <w:rPr>
          <w:kern w:val="0"/>
          <w:szCs w:val="24"/>
        </w:rPr>
        <w:t xml:space="preserve"> and </w:t>
      </w:r>
      <w:r>
        <w:rPr>
          <w:kern w:val="0"/>
          <w:szCs w:val="24"/>
        </w:rPr>
        <w:t>sanitation in endemic areas. Furthermore, elevation information, among other risk factors, could help to spatially orientate cholera control interventions during an epidemic.</w:t>
      </w:r>
    </w:p>
    <w:p w:rsidR="0091783B" w:rsidRDefault="0091783B" w:rsidP="0091783B">
      <w:pPr>
        <w:pStyle w:val="a3"/>
        <w:rPr>
          <w:kern w:val="0"/>
          <w:szCs w:val="24"/>
        </w:rPr>
      </w:pPr>
      <w:r>
        <w:rPr>
          <w:kern w:val="0"/>
          <w:szCs w:val="24"/>
        </w:rPr>
        <w:t>Keywords: Access, Africa, Aid, Analysis, Approach, Association, Bangladesh, Challenge, Cholera, Climate, Confidence, Contamination, Control, Correlation, Data, Disposal, Distribution, Endemic Cholera, Environmental, Environmental Risk, Epidemic, Information, Interventions, Linear Mixed Model, Model, Pattern, Rates, Reduction, Reference, Risk, Risk Factor, Risk Factors, Runoff, Sanitation, Season, Sensitivity Analysis, Sewage, Source, Spatial Analysis, Temperature, Urban, Urban Areas, Vibrio-Cholerae, Water, Wells, Zimbabwe</w:t>
      </w:r>
    </w:p>
    <w:p w:rsidR="00B10B74" w:rsidRPr="00FC7835" w:rsidRDefault="00B10B74" w:rsidP="00B10B74">
      <w:pPr>
        <w:pStyle w:val="a3"/>
      </w:pPr>
      <w:r>
        <w:rPr>
          <w:rFonts w:hint="eastAsia"/>
          <w:kern w:val="0"/>
        </w:rPr>
        <w:t xml:space="preserve">? </w:t>
      </w:r>
      <w:r>
        <w:rPr>
          <w:kern w:val="0"/>
        </w:rPr>
        <w:t>Dryden, R., Williams, B., McCowan, C.</w:t>
      </w:r>
      <w:r w:rsidR="005853A9">
        <w:rPr>
          <w:kern w:val="0"/>
        </w:rPr>
        <w:t xml:space="preserve"> and </w:t>
      </w:r>
      <w:r>
        <w:rPr>
          <w:kern w:val="0"/>
        </w:rPr>
        <w:t>Themessl-Huber, M. (2012), What do we know about who does</w:t>
      </w:r>
      <w:r w:rsidR="005853A9">
        <w:rPr>
          <w:kern w:val="0"/>
        </w:rPr>
        <w:t xml:space="preserve"> and </w:t>
      </w:r>
      <w:r>
        <w:rPr>
          <w:kern w:val="0"/>
        </w:rPr>
        <w:t xml:space="preserve">does not attend general health checks? Findings from a narrative scoping review. </w:t>
      </w:r>
      <w:r>
        <w:rPr>
          <w:i/>
          <w:iCs/>
          <w:kern w:val="0"/>
        </w:rPr>
        <w:t>BMC Public Health</w:t>
      </w:r>
      <w:r>
        <w:rPr>
          <w:kern w:val="0"/>
        </w:rPr>
        <w:t xml:space="preserve">, </w:t>
      </w:r>
      <w:r>
        <w:rPr>
          <w:b/>
          <w:bCs/>
          <w:kern w:val="0"/>
        </w:rPr>
        <w:t>12</w:t>
      </w:r>
      <w:r w:rsidRPr="00197D1F">
        <w:rPr>
          <w:kern w:val="0"/>
          <w:szCs w:val="24"/>
        </w:rPr>
        <w:t xml:space="preserve"> </w:t>
      </w:r>
      <w:r>
        <w:rPr>
          <w:kern w:val="0"/>
          <w:szCs w:val="24"/>
        </w:rPr>
        <w:t xml:space="preserve">Article Number: </w:t>
      </w:r>
      <w:r>
        <w:rPr>
          <w:rFonts w:hint="eastAsia"/>
          <w:kern w:val="0"/>
          <w:szCs w:val="24"/>
        </w:rPr>
        <w:t>723</w:t>
      </w:r>
      <w:r w:rsidRPr="00FC7835">
        <w:t>.</w:t>
      </w:r>
    </w:p>
    <w:p w:rsidR="00B10B74" w:rsidRPr="00FC7835" w:rsidRDefault="00B10B74" w:rsidP="00B10B74">
      <w:pPr>
        <w:pStyle w:val="a3"/>
      </w:pPr>
      <w:r>
        <w:t>Full Text:</w:t>
      </w:r>
      <w:r w:rsidRPr="00FC7835">
        <w:t xml:space="preserve"> </w:t>
      </w:r>
      <w:hyperlink r:id="rId1706" w:history="1">
        <w:r w:rsidRPr="0016393E">
          <w:rPr>
            <w:rStyle w:val="a5"/>
          </w:rPr>
          <w:t>2012\BMC Pub Hea12, 723.pdf</w:t>
        </w:r>
      </w:hyperlink>
    </w:p>
    <w:p w:rsidR="00B10B74" w:rsidRDefault="00B10B74" w:rsidP="00B10B74">
      <w:pPr>
        <w:pStyle w:val="a3"/>
        <w:rPr>
          <w:kern w:val="0"/>
        </w:rPr>
      </w:pPr>
      <w:r>
        <w:rPr>
          <w:kern w:val="0"/>
        </w:rPr>
        <w:t>Abstract: Background: General</w:t>
      </w:r>
      <w:r w:rsidR="005853A9">
        <w:rPr>
          <w:kern w:val="0"/>
        </w:rPr>
        <w:t xml:space="preserve"> and </w:t>
      </w:r>
      <w:r>
        <w:rPr>
          <w:kern w:val="0"/>
        </w:rPr>
        <w:t>preventive health checks are a key feature</w:t>
      </w:r>
      <w:r w:rsidR="00427468">
        <w:rPr>
          <w:kern w:val="0"/>
        </w:rPr>
        <w:t xml:space="preserve"> of </w:t>
      </w:r>
      <w:r>
        <w:rPr>
          <w:kern w:val="0"/>
        </w:rPr>
        <w:t>contemporary policies</w:t>
      </w:r>
      <w:r w:rsidR="00427468">
        <w:rPr>
          <w:kern w:val="0"/>
        </w:rPr>
        <w:t xml:space="preserve"> of </w:t>
      </w:r>
      <w:r>
        <w:rPr>
          <w:kern w:val="0"/>
        </w:rPr>
        <w:t>anticipatory care. Ensuring high</w:t>
      </w:r>
      <w:r w:rsidR="005853A9">
        <w:rPr>
          <w:kern w:val="0"/>
        </w:rPr>
        <w:t xml:space="preserve"> and </w:t>
      </w:r>
      <w:r>
        <w:rPr>
          <w:kern w:val="0"/>
        </w:rPr>
        <w:t>equitable uptake</w:t>
      </w:r>
      <w:r w:rsidR="00427468">
        <w:rPr>
          <w:kern w:val="0"/>
        </w:rPr>
        <w:t xml:space="preserve"> of </w:t>
      </w:r>
      <w:r>
        <w:rPr>
          <w:kern w:val="0"/>
        </w:rPr>
        <w:t>such general health checks is essential to ensuring health gain</w:t>
      </w:r>
      <w:r w:rsidR="005853A9">
        <w:rPr>
          <w:kern w:val="0"/>
        </w:rPr>
        <w:t xml:space="preserve"> and </w:t>
      </w:r>
      <w:r>
        <w:rPr>
          <w:kern w:val="0"/>
        </w:rPr>
        <w:t>preventing health inequalities. This literature review explores the socio-demographic, clinical</w:t>
      </w:r>
      <w:r w:rsidR="005853A9">
        <w:rPr>
          <w:kern w:val="0"/>
        </w:rPr>
        <w:t xml:space="preserve"> and </w:t>
      </w:r>
      <w:r>
        <w:rPr>
          <w:kern w:val="0"/>
        </w:rPr>
        <w:t>social cognitive characteristics</w:t>
      </w:r>
      <w:r w:rsidR="00427468">
        <w:rPr>
          <w:kern w:val="0"/>
        </w:rPr>
        <w:t xml:space="preserve"> of </w:t>
      </w:r>
      <w:r>
        <w:rPr>
          <w:kern w:val="0"/>
        </w:rPr>
        <w:t>those who do</w:t>
      </w:r>
      <w:r w:rsidR="005853A9">
        <w:rPr>
          <w:kern w:val="0"/>
        </w:rPr>
        <w:t xml:space="preserve"> and </w:t>
      </w:r>
      <w:r>
        <w:rPr>
          <w:kern w:val="0"/>
        </w:rPr>
        <w:t>do not engage with general health checks or preventive health checks for cardiovascular disease. Methods: An exploratory scoping study approach was employed. Databases searched included the British Nursing Index</w:t>
      </w:r>
      <w:r w:rsidR="005853A9">
        <w:rPr>
          <w:kern w:val="0"/>
        </w:rPr>
        <w:t xml:space="preserve"> and </w:t>
      </w:r>
      <w:r>
        <w:rPr>
          <w:kern w:val="0"/>
        </w:rPr>
        <w:t>Archive, Cumulative Index to Nursing</w:t>
      </w:r>
      <w:r w:rsidR="005853A9">
        <w:rPr>
          <w:kern w:val="0"/>
        </w:rPr>
        <w:t xml:space="preserve"> and </w:t>
      </w:r>
      <w:r>
        <w:rPr>
          <w:kern w:val="0"/>
        </w:rPr>
        <w:t>Allied Health Literature (CINAHL), Cochrane Database</w:t>
      </w:r>
      <w:r w:rsidR="00427468">
        <w:rPr>
          <w:kern w:val="0"/>
        </w:rPr>
        <w:t xml:space="preserve"> of </w:t>
      </w:r>
      <w:r>
        <w:rPr>
          <w:kern w:val="0"/>
        </w:rPr>
        <w:t>Systematic Reviews (CDSR)</w:t>
      </w:r>
      <w:r w:rsidR="005853A9">
        <w:rPr>
          <w:kern w:val="0"/>
        </w:rPr>
        <w:t xml:space="preserve"> and </w:t>
      </w:r>
      <w:r>
        <w:rPr>
          <w:kern w:val="0"/>
        </w:rPr>
        <w:t>Database</w:t>
      </w:r>
      <w:r w:rsidR="00427468">
        <w:rPr>
          <w:kern w:val="0"/>
        </w:rPr>
        <w:t xml:space="preserve"> of </w:t>
      </w:r>
      <w:r>
        <w:rPr>
          <w:kern w:val="0"/>
        </w:rPr>
        <w:t>Abstracts</w:t>
      </w:r>
      <w:r w:rsidR="00427468">
        <w:rPr>
          <w:kern w:val="0"/>
        </w:rPr>
        <w:t xml:space="preserve"> of </w:t>
      </w:r>
      <w:r>
        <w:rPr>
          <w:kern w:val="0"/>
        </w:rPr>
        <w:t>Reviews</w:t>
      </w:r>
      <w:r w:rsidR="00427468">
        <w:rPr>
          <w:kern w:val="0"/>
        </w:rPr>
        <w:t xml:space="preserve"> of </w:t>
      </w:r>
      <w:r>
        <w:rPr>
          <w:kern w:val="0"/>
        </w:rPr>
        <w:t xml:space="preserve">Effects (DARE), EMBASE, </w:t>
      </w:r>
      <w:r w:rsidR="00D5664A">
        <w:rPr>
          <w:kern w:val="0"/>
        </w:rPr>
        <w:t>MEDLINE</w:t>
      </w:r>
      <w:r>
        <w:rPr>
          <w:kern w:val="0"/>
        </w:rPr>
        <w:t>, PsycINFO</w:t>
      </w:r>
      <w:r w:rsidR="005853A9">
        <w:rPr>
          <w:kern w:val="0"/>
        </w:rPr>
        <w:t xml:space="preserve"> and </w:t>
      </w:r>
      <w:r>
        <w:rPr>
          <w:kern w:val="0"/>
        </w:rPr>
        <w:t>the Social Sciences Citation Index (</w:t>
      </w:r>
      <w:r w:rsidR="00D5664A">
        <w:rPr>
          <w:kern w:val="0"/>
        </w:rPr>
        <w:t>SSCI</w:t>
      </w:r>
      <w:r>
        <w:rPr>
          <w:kern w:val="0"/>
        </w:rPr>
        <w:t>). Titles</w:t>
      </w:r>
      <w:r w:rsidR="005853A9">
        <w:rPr>
          <w:kern w:val="0"/>
        </w:rPr>
        <w:t xml:space="preserve"> and </w:t>
      </w:r>
      <w:r>
        <w:rPr>
          <w:kern w:val="0"/>
        </w:rPr>
        <w:t>abstracts</w:t>
      </w:r>
      <w:r w:rsidR="00427468">
        <w:rPr>
          <w:kern w:val="0"/>
        </w:rPr>
        <w:t xml:space="preserve"> of </w:t>
      </w:r>
      <w:r>
        <w:rPr>
          <w:kern w:val="0"/>
        </w:rPr>
        <w:t>17463 papers were screened; 1171 papers were then independently assessed by two researchers. A review</w:t>
      </w:r>
      <w:r w:rsidR="00427468">
        <w:rPr>
          <w:kern w:val="0"/>
        </w:rPr>
        <w:t xml:space="preserve"> of </w:t>
      </w:r>
      <w:r>
        <w:rPr>
          <w:kern w:val="0"/>
        </w:rPr>
        <w:t>full text was carried out by two</w:t>
      </w:r>
      <w:r w:rsidR="00427468">
        <w:rPr>
          <w:kern w:val="0"/>
        </w:rPr>
        <w:t xml:space="preserve"> of </w:t>
      </w:r>
      <w:r>
        <w:rPr>
          <w:kern w:val="0"/>
        </w:rPr>
        <w:t>the authors resulting in 39 being included in the final review. Results: Those least likely to attend health checks were men on low incomes, low socio-economic status, unemployed or less well educated. In general, attenders were older than non-attenders. An individual</w:t>
      </w:r>
      <w:r w:rsidR="00700038">
        <w:rPr>
          <w:kern w:val="0"/>
        </w:rPr>
        <w:t>’</w:t>
      </w:r>
      <w:r>
        <w:rPr>
          <w:kern w:val="0"/>
        </w:rPr>
        <w:t>s marital status was found to affect attendance rates with non-attenders more likely to be single. In general, white individuals were more likely to engage with services than individuals from other ethnic backgrounds. Non-attenders had a greater proportion</w:t>
      </w:r>
      <w:r w:rsidR="00427468">
        <w:rPr>
          <w:kern w:val="0"/>
        </w:rPr>
        <w:t xml:space="preserve"> of </w:t>
      </w:r>
      <w:r>
        <w:rPr>
          <w:kern w:val="0"/>
        </w:rPr>
        <w:t>cardiovascular risk factors than attenders,</w:t>
      </w:r>
      <w:r w:rsidR="005853A9">
        <w:rPr>
          <w:kern w:val="0"/>
        </w:rPr>
        <w:t xml:space="preserve"> and </w:t>
      </w:r>
      <w:r>
        <w:rPr>
          <w:kern w:val="0"/>
        </w:rPr>
        <w:t>smokers were less likely to attend than non-smokers</w:t>
      </w:r>
      <w:r w:rsidR="00A37C1D">
        <w:rPr>
          <w:kern w:val="0"/>
        </w:rPr>
        <w:t>. The</w:t>
      </w:r>
      <w:r>
        <w:rPr>
          <w:kern w:val="0"/>
        </w:rPr>
        <w:t xml:space="preserve"> relationship between health beliefs</w:t>
      </w:r>
      <w:r w:rsidR="005853A9">
        <w:rPr>
          <w:kern w:val="0"/>
        </w:rPr>
        <w:t xml:space="preserve"> and </w:t>
      </w:r>
      <w:r>
        <w:rPr>
          <w:kern w:val="0"/>
        </w:rPr>
        <w:t xml:space="preserve">health behaviours appeared complex. Non-attenders were shown to value health less strongly, have low </w:t>
      </w:r>
      <w:r>
        <w:rPr>
          <w:kern w:val="0"/>
        </w:rPr>
        <w:lastRenderedPageBreak/>
        <w:t>self-efficacy, feel less in control</w:t>
      </w:r>
      <w:r w:rsidR="00427468">
        <w:rPr>
          <w:kern w:val="0"/>
        </w:rPr>
        <w:t xml:space="preserve"> of </w:t>
      </w:r>
      <w:r>
        <w:rPr>
          <w:kern w:val="0"/>
        </w:rPr>
        <w:t>their health</w:t>
      </w:r>
      <w:r w:rsidR="005853A9">
        <w:rPr>
          <w:kern w:val="0"/>
        </w:rPr>
        <w:t xml:space="preserve"> and </w:t>
      </w:r>
      <w:r>
        <w:rPr>
          <w:kern w:val="0"/>
        </w:rPr>
        <w:t>be less likely to believe in the efficacy</w:t>
      </w:r>
      <w:r w:rsidR="00427468">
        <w:rPr>
          <w:kern w:val="0"/>
        </w:rPr>
        <w:t xml:space="preserve"> of </w:t>
      </w:r>
      <w:r>
        <w:rPr>
          <w:kern w:val="0"/>
        </w:rPr>
        <w:t>health checks. Conclusion: Routine health check-ups appear to be taken up inequitably, with gender, age, socio-demographic status</w:t>
      </w:r>
      <w:r w:rsidR="005853A9">
        <w:rPr>
          <w:kern w:val="0"/>
        </w:rPr>
        <w:t xml:space="preserve"> and </w:t>
      </w:r>
      <w:r>
        <w:rPr>
          <w:kern w:val="0"/>
        </w:rPr>
        <w:t>ethnicity all associated with differential service use. Furthermore, non-attenders appeared to have greater clinical need or risk factors suggesting that differential uptake may lead to sub-optimal health gain</w:t>
      </w:r>
      <w:r w:rsidR="005853A9">
        <w:rPr>
          <w:kern w:val="0"/>
        </w:rPr>
        <w:t xml:space="preserve"> and </w:t>
      </w:r>
      <w:r>
        <w:rPr>
          <w:kern w:val="0"/>
        </w:rPr>
        <w:t>contribute to inequalities via the inverse care law. Appropriate service redesign</w:t>
      </w:r>
      <w:r w:rsidR="005853A9">
        <w:rPr>
          <w:kern w:val="0"/>
        </w:rPr>
        <w:t xml:space="preserve"> and </w:t>
      </w:r>
      <w:r>
        <w:rPr>
          <w:kern w:val="0"/>
        </w:rPr>
        <w:t>interventions to encourage increased uptake among these groups is required.</w:t>
      </w:r>
    </w:p>
    <w:p w:rsidR="00B10B74" w:rsidRDefault="00B10B74" w:rsidP="00B10B74">
      <w:pPr>
        <w:pStyle w:val="a3"/>
        <w:rPr>
          <w:kern w:val="0"/>
        </w:rPr>
      </w:pPr>
      <w:r>
        <w:rPr>
          <w:kern w:val="0"/>
        </w:rPr>
        <w:t xml:space="preserve">Keywords: Age, Approach, Authors, Beliefs, Cardiovascular, Cardiovascular Disease, Cardiovascular Risk-Factors, Care, Characteristics, Citation, Clinical, Clinical Need, Community, Control, Coronary-Heart-Disease, Disease, Efficacy, Ethnicity, Feature, Gender, General, Health, Health Checks, Inequalities, Interventions, Inverse Care Law, Invitation, Law, Lead, Literature, Literature Review, Marital Status, </w:t>
      </w:r>
      <w:r w:rsidR="00D5664A">
        <w:rPr>
          <w:kern w:val="0"/>
        </w:rPr>
        <w:t>MEDLINE</w:t>
      </w:r>
      <w:r>
        <w:rPr>
          <w:kern w:val="0"/>
        </w:rPr>
        <w:t xml:space="preserve">, Men, Nonattenders, Nonparticipation, Papers, Participation, Policies, Preventive Health, Preventive Services, Primary Care, Psycinfo, Public Health, Rates, Review, Risk, Risk Factors, Screening, Service, Services, Social, Social Sciences, Social Sciences Citation Index, Socioeconomic Status, </w:t>
      </w:r>
      <w:r w:rsidR="00D5664A">
        <w:rPr>
          <w:kern w:val="0"/>
        </w:rPr>
        <w:t>SSCI</w:t>
      </w:r>
      <w:r>
        <w:rPr>
          <w:kern w:val="0"/>
        </w:rPr>
        <w:t>, Uptake, Value</w:t>
      </w:r>
    </w:p>
    <w:p w:rsidR="00534370" w:rsidRDefault="00534370" w:rsidP="00534370">
      <w:pPr>
        <w:pStyle w:val="a3"/>
        <w:rPr>
          <w:kern w:val="0"/>
          <w:szCs w:val="24"/>
        </w:rPr>
      </w:pPr>
      <w:r>
        <w:rPr>
          <w:rFonts w:hint="eastAsia"/>
          <w:kern w:val="0"/>
          <w:szCs w:val="24"/>
        </w:rPr>
        <w:t xml:space="preserve">? </w:t>
      </w:r>
      <w:r>
        <w:rPr>
          <w:kern w:val="0"/>
          <w:szCs w:val="24"/>
        </w:rPr>
        <w:t>Barter, D.M., Agboola, S.O., Murray, M.B.</w:t>
      </w:r>
      <w:r w:rsidR="005853A9">
        <w:rPr>
          <w:kern w:val="0"/>
          <w:szCs w:val="24"/>
        </w:rPr>
        <w:t xml:space="preserve"> and </w:t>
      </w:r>
      <w:r>
        <w:rPr>
          <w:kern w:val="0"/>
          <w:szCs w:val="24"/>
        </w:rPr>
        <w:t>Bärnighausen, T. (2012), Tuberculosis</w:t>
      </w:r>
      <w:r w:rsidR="005853A9">
        <w:rPr>
          <w:kern w:val="0"/>
          <w:szCs w:val="24"/>
        </w:rPr>
        <w:t xml:space="preserve"> and </w:t>
      </w:r>
      <w:r>
        <w:rPr>
          <w:kern w:val="0"/>
          <w:szCs w:val="24"/>
        </w:rPr>
        <w:t>poverty: The contribution</w:t>
      </w:r>
      <w:r w:rsidR="00427468">
        <w:rPr>
          <w:kern w:val="0"/>
          <w:szCs w:val="24"/>
        </w:rPr>
        <w:t xml:space="preserve"> of </w:t>
      </w:r>
      <w:r>
        <w:rPr>
          <w:kern w:val="0"/>
          <w:szCs w:val="24"/>
        </w:rPr>
        <w:t xml:space="preserve">patient costs in sub-Saharan Africa - a systematic review. </w:t>
      </w:r>
      <w:r>
        <w:rPr>
          <w:i/>
          <w:iCs/>
          <w:kern w:val="0"/>
          <w:szCs w:val="24"/>
        </w:rPr>
        <w:t>BMC Public Health</w:t>
      </w:r>
      <w:r>
        <w:rPr>
          <w:kern w:val="0"/>
          <w:szCs w:val="24"/>
        </w:rPr>
        <w:t xml:space="preserve">, </w:t>
      </w:r>
      <w:r>
        <w:rPr>
          <w:b/>
          <w:bCs/>
          <w:kern w:val="0"/>
          <w:szCs w:val="24"/>
        </w:rPr>
        <w:t>12</w:t>
      </w:r>
      <w:r>
        <w:rPr>
          <w:rFonts w:hint="eastAsia"/>
          <w:kern w:val="0"/>
          <w:szCs w:val="24"/>
        </w:rPr>
        <w:t xml:space="preserve">, </w:t>
      </w:r>
      <w:r w:rsidRPr="007F021D">
        <w:rPr>
          <w:kern w:val="0"/>
          <w:szCs w:val="24"/>
        </w:rPr>
        <w:t>Article Number: 980</w:t>
      </w:r>
      <w:r>
        <w:rPr>
          <w:rFonts w:hint="eastAsia"/>
          <w:kern w:val="0"/>
          <w:szCs w:val="24"/>
        </w:rPr>
        <w:t>.</w:t>
      </w:r>
    </w:p>
    <w:p w:rsidR="00534370" w:rsidRPr="00FC7835" w:rsidRDefault="00534370" w:rsidP="00534370">
      <w:pPr>
        <w:pStyle w:val="a3"/>
      </w:pPr>
      <w:r>
        <w:t>Full Text:</w:t>
      </w:r>
      <w:r w:rsidRPr="00FC7835">
        <w:t xml:space="preserve"> </w:t>
      </w:r>
      <w:hyperlink r:id="rId1707" w:history="1">
        <w:r w:rsidRPr="00EB1E71">
          <w:rPr>
            <w:rStyle w:val="a5"/>
          </w:rPr>
          <w:t>2012\BMC Pub Hea12, 980.pdf</w:t>
        </w:r>
      </w:hyperlink>
    </w:p>
    <w:p w:rsidR="00534370" w:rsidRDefault="00534370" w:rsidP="00534370">
      <w:pPr>
        <w:pStyle w:val="a3"/>
        <w:rPr>
          <w:kern w:val="0"/>
          <w:szCs w:val="24"/>
        </w:rPr>
      </w:pPr>
      <w:r>
        <w:rPr>
          <w:kern w:val="0"/>
          <w:szCs w:val="24"/>
        </w:rPr>
        <w:t>Abstract: Background: Tuberculosis (TB) is known to disproportionately affect the most economically disadvantaged strata</w:t>
      </w:r>
      <w:r w:rsidR="00427468">
        <w:rPr>
          <w:kern w:val="0"/>
          <w:szCs w:val="24"/>
        </w:rPr>
        <w:t xml:space="preserve"> of </w:t>
      </w:r>
      <w:r>
        <w:rPr>
          <w:kern w:val="0"/>
          <w:szCs w:val="24"/>
        </w:rPr>
        <w:t>society. Many studies have assessed the association between poverty</w:t>
      </w:r>
      <w:r w:rsidR="005853A9">
        <w:rPr>
          <w:kern w:val="0"/>
          <w:szCs w:val="24"/>
        </w:rPr>
        <w:t xml:space="preserve"> and </w:t>
      </w:r>
      <w:r>
        <w:rPr>
          <w:kern w:val="0"/>
          <w:szCs w:val="24"/>
        </w:rPr>
        <w:t>TB, but only a few have assessed the direct financial burden TB treatment</w:t>
      </w:r>
      <w:r w:rsidR="005853A9">
        <w:rPr>
          <w:kern w:val="0"/>
          <w:szCs w:val="24"/>
        </w:rPr>
        <w:t xml:space="preserve"> and </w:t>
      </w:r>
      <w:r>
        <w:rPr>
          <w:kern w:val="0"/>
          <w:szCs w:val="24"/>
        </w:rPr>
        <w:t>care can place on households. Patient costs can be particularly burdensome for TB-affected households in sub-Saharan Africa where poverty levels are high; these costs include the direct costs</w:t>
      </w:r>
      <w:r w:rsidR="00427468">
        <w:rPr>
          <w:kern w:val="0"/>
          <w:szCs w:val="24"/>
        </w:rPr>
        <w:t xml:space="preserve"> of </w:t>
      </w:r>
      <w:r>
        <w:rPr>
          <w:kern w:val="0"/>
          <w:szCs w:val="24"/>
        </w:rPr>
        <w:t>medical</w:t>
      </w:r>
      <w:r w:rsidR="005853A9">
        <w:rPr>
          <w:kern w:val="0"/>
          <w:szCs w:val="24"/>
        </w:rPr>
        <w:t xml:space="preserve"> and </w:t>
      </w:r>
      <w:r>
        <w:rPr>
          <w:kern w:val="0"/>
          <w:szCs w:val="24"/>
        </w:rPr>
        <w:t>non-medical expenditures</w:t>
      </w:r>
      <w:r w:rsidR="005853A9">
        <w:rPr>
          <w:kern w:val="0"/>
          <w:szCs w:val="24"/>
        </w:rPr>
        <w:t xml:space="preserve"> and </w:t>
      </w:r>
      <w:r>
        <w:rPr>
          <w:kern w:val="0"/>
          <w:szCs w:val="24"/>
        </w:rPr>
        <w:t>the indirect costs</w:t>
      </w:r>
      <w:r w:rsidR="00427468">
        <w:rPr>
          <w:kern w:val="0"/>
          <w:szCs w:val="24"/>
        </w:rPr>
        <w:t xml:space="preserve"> of </w:t>
      </w:r>
      <w:r>
        <w:rPr>
          <w:kern w:val="0"/>
          <w:szCs w:val="24"/>
        </w:rPr>
        <w:t>time utilizing healthcare or lost wages. In order to comprehensively assess the existing evidence on the costs that TB patients incur, we undertook a systematic review</w:t>
      </w:r>
      <w:r w:rsidR="00427468">
        <w:rPr>
          <w:kern w:val="0"/>
          <w:szCs w:val="24"/>
        </w:rPr>
        <w:t xml:space="preserve"> of </w:t>
      </w:r>
      <w:r>
        <w:rPr>
          <w:kern w:val="0"/>
          <w:szCs w:val="24"/>
        </w:rPr>
        <w:t>the literature. Methods: PubMed, EMBASE, Science Citation Index, Social Science Citation Index, EconLit, Dissertation Abstracts, CINAHL,</w:t>
      </w:r>
      <w:r w:rsidR="005853A9">
        <w:rPr>
          <w:kern w:val="0"/>
          <w:szCs w:val="24"/>
        </w:rPr>
        <w:t xml:space="preserve"> and </w:t>
      </w:r>
      <w:r>
        <w:rPr>
          <w:kern w:val="0"/>
          <w:szCs w:val="24"/>
        </w:rPr>
        <w:t>Sociological Abstracts databases were searched,</w:t>
      </w:r>
      <w:r w:rsidR="005853A9">
        <w:rPr>
          <w:kern w:val="0"/>
          <w:szCs w:val="24"/>
        </w:rPr>
        <w:t xml:space="preserve"> and </w:t>
      </w:r>
      <w:r>
        <w:rPr>
          <w:kern w:val="0"/>
          <w:szCs w:val="24"/>
        </w:rPr>
        <w:t>5,114 articles were identified. Articles were included in the final review if they contained a quantitative measure</w:t>
      </w:r>
      <w:r w:rsidR="00427468">
        <w:rPr>
          <w:kern w:val="0"/>
          <w:szCs w:val="24"/>
        </w:rPr>
        <w:t xml:space="preserve"> of </w:t>
      </w:r>
      <w:r>
        <w:rPr>
          <w:kern w:val="0"/>
          <w:szCs w:val="24"/>
        </w:rPr>
        <w:t>direct or indirect patient costs for treatment or care for pulmonary TB in sub-Saharan Africa</w:t>
      </w:r>
      <w:r w:rsidR="005853A9">
        <w:rPr>
          <w:kern w:val="0"/>
          <w:szCs w:val="24"/>
        </w:rPr>
        <w:t xml:space="preserve"> and </w:t>
      </w:r>
      <w:r>
        <w:rPr>
          <w:kern w:val="0"/>
          <w:szCs w:val="24"/>
        </w:rPr>
        <w:t>were published from January 1, 1994 to Dec 31, 2010. Cost data were extracted from each study</w:t>
      </w:r>
      <w:r w:rsidR="005853A9">
        <w:rPr>
          <w:kern w:val="0"/>
          <w:szCs w:val="24"/>
        </w:rPr>
        <w:t xml:space="preserve"> and </w:t>
      </w:r>
      <w:r>
        <w:rPr>
          <w:kern w:val="0"/>
          <w:szCs w:val="24"/>
        </w:rPr>
        <w:t>converted to 2010 international dollars (I$). Results: Thirty articles met all</w:t>
      </w:r>
      <w:r w:rsidR="00427468">
        <w:rPr>
          <w:kern w:val="0"/>
          <w:szCs w:val="24"/>
        </w:rPr>
        <w:t xml:space="preserve"> of </w:t>
      </w:r>
      <w:r>
        <w:rPr>
          <w:kern w:val="0"/>
          <w:szCs w:val="24"/>
        </w:rPr>
        <w:t>the inclusion criteria. Twenty-one studies reported both direct</w:t>
      </w:r>
      <w:r w:rsidR="005853A9">
        <w:rPr>
          <w:kern w:val="0"/>
          <w:szCs w:val="24"/>
        </w:rPr>
        <w:t xml:space="preserve"> and </w:t>
      </w:r>
      <w:r>
        <w:rPr>
          <w:kern w:val="0"/>
          <w:szCs w:val="24"/>
        </w:rPr>
        <w:t>indirect costs; eight studies reported only direct costs;</w:t>
      </w:r>
      <w:r w:rsidR="005853A9">
        <w:rPr>
          <w:kern w:val="0"/>
          <w:szCs w:val="24"/>
        </w:rPr>
        <w:t xml:space="preserve"> and </w:t>
      </w:r>
      <w:r>
        <w:rPr>
          <w:kern w:val="0"/>
          <w:szCs w:val="24"/>
        </w:rPr>
        <w:t xml:space="preserve">one study reported only indirect costs. </w:t>
      </w:r>
      <w:r>
        <w:rPr>
          <w:kern w:val="0"/>
          <w:szCs w:val="24"/>
        </w:rPr>
        <w:lastRenderedPageBreak/>
        <w:t>Depending on type</w:t>
      </w:r>
      <w:r w:rsidR="00427468">
        <w:rPr>
          <w:kern w:val="0"/>
          <w:szCs w:val="24"/>
        </w:rPr>
        <w:t xml:space="preserve"> of </w:t>
      </w:r>
      <w:r>
        <w:rPr>
          <w:kern w:val="0"/>
          <w:szCs w:val="24"/>
        </w:rPr>
        <w:t>costs, costs varied from less than I$1 to almost I$600 or from a small fraction</w:t>
      </w:r>
      <w:r w:rsidR="00427468">
        <w:rPr>
          <w:kern w:val="0"/>
          <w:szCs w:val="24"/>
        </w:rPr>
        <w:t xml:space="preserve"> of </w:t>
      </w:r>
      <w:r>
        <w:rPr>
          <w:kern w:val="0"/>
          <w:szCs w:val="24"/>
        </w:rPr>
        <w:t>mean monthly income for average annual income earners to over 10 times average annual income for income earners in the income-poorest 20%</w:t>
      </w:r>
      <w:r w:rsidR="00427468">
        <w:rPr>
          <w:kern w:val="0"/>
          <w:szCs w:val="24"/>
        </w:rPr>
        <w:t xml:space="preserve"> of </w:t>
      </w:r>
      <w:r>
        <w:rPr>
          <w:kern w:val="0"/>
          <w:szCs w:val="24"/>
        </w:rPr>
        <w:t>the population. Out</w:t>
      </w:r>
      <w:r w:rsidR="00427468">
        <w:rPr>
          <w:kern w:val="0"/>
          <w:szCs w:val="24"/>
        </w:rPr>
        <w:t xml:space="preserve"> of </w:t>
      </w:r>
      <w:r>
        <w:rPr>
          <w:kern w:val="0"/>
          <w:szCs w:val="24"/>
        </w:rPr>
        <w:t>the eleven types</w:t>
      </w:r>
      <w:r w:rsidR="00427468">
        <w:rPr>
          <w:kern w:val="0"/>
          <w:szCs w:val="24"/>
        </w:rPr>
        <w:t xml:space="preserve"> of </w:t>
      </w:r>
      <w:r>
        <w:rPr>
          <w:kern w:val="0"/>
          <w:szCs w:val="24"/>
        </w:rPr>
        <w:t>TB patient costs identified in this review, the costs for hospitalization, medication, transportation,</w:t>
      </w:r>
      <w:r w:rsidR="005853A9">
        <w:rPr>
          <w:kern w:val="0"/>
          <w:szCs w:val="24"/>
        </w:rPr>
        <w:t xml:space="preserve"> and </w:t>
      </w:r>
      <w:r>
        <w:rPr>
          <w:kern w:val="0"/>
          <w:szCs w:val="24"/>
        </w:rPr>
        <w:t>care in the private sector were largest. Conclusion: TB patients</w:t>
      </w:r>
      <w:r w:rsidR="005853A9">
        <w:rPr>
          <w:kern w:val="0"/>
          <w:szCs w:val="24"/>
        </w:rPr>
        <w:t xml:space="preserve"> and </w:t>
      </w:r>
      <w:r>
        <w:rPr>
          <w:kern w:val="0"/>
          <w:szCs w:val="24"/>
        </w:rPr>
        <w:t>households in sub-Saharan Africa often incurred high costs when utilizing TB treatment</w:t>
      </w:r>
      <w:r w:rsidR="005853A9">
        <w:rPr>
          <w:kern w:val="0"/>
          <w:szCs w:val="24"/>
        </w:rPr>
        <w:t xml:space="preserve"> and </w:t>
      </w:r>
      <w:r>
        <w:rPr>
          <w:kern w:val="0"/>
          <w:szCs w:val="24"/>
        </w:rPr>
        <w:t>care, both within</w:t>
      </w:r>
      <w:r w:rsidR="005853A9">
        <w:rPr>
          <w:kern w:val="0"/>
          <w:szCs w:val="24"/>
        </w:rPr>
        <w:t xml:space="preserve"> and </w:t>
      </w:r>
      <w:r>
        <w:rPr>
          <w:kern w:val="0"/>
          <w:szCs w:val="24"/>
        </w:rPr>
        <w:t>outside</w:t>
      </w:r>
      <w:r w:rsidR="00427468">
        <w:rPr>
          <w:kern w:val="0"/>
          <w:szCs w:val="24"/>
        </w:rPr>
        <w:t xml:space="preserve"> of </w:t>
      </w:r>
      <w:r>
        <w:rPr>
          <w:kern w:val="0"/>
          <w:szCs w:val="24"/>
        </w:rPr>
        <w:t>Directly Observed Therapy Short-course (DOTS) programs. For many households, TB treatment</w:t>
      </w:r>
      <w:r w:rsidR="005853A9">
        <w:rPr>
          <w:kern w:val="0"/>
          <w:szCs w:val="24"/>
        </w:rPr>
        <w:t xml:space="preserve"> and </w:t>
      </w:r>
      <w:r>
        <w:rPr>
          <w:kern w:val="0"/>
          <w:szCs w:val="24"/>
        </w:rPr>
        <w:t>care-related costs were considered to be catastrophic because the patient costs incurred commonly amounted to 10% or more</w:t>
      </w:r>
      <w:r w:rsidR="00427468">
        <w:rPr>
          <w:kern w:val="0"/>
          <w:szCs w:val="24"/>
        </w:rPr>
        <w:t xml:space="preserve"> of </w:t>
      </w:r>
      <w:r>
        <w:rPr>
          <w:kern w:val="0"/>
          <w:szCs w:val="24"/>
        </w:rPr>
        <w:t>per capita incomes in the countries where the primary studies included in this review were conducted. Our results suggest that policies to decrease direct</w:t>
      </w:r>
      <w:r w:rsidR="005853A9">
        <w:rPr>
          <w:kern w:val="0"/>
          <w:szCs w:val="24"/>
        </w:rPr>
        <w:t xml:space="preserve"> and </w:t>
      </w:r>
      <w:r>
        <w:rPr>
          <w:kern w:val="0"/>
          <w:szCs w:val="24"/>
        </w:rPr>
        <w:t>indirect TB patient costs are urgently needed to prevent poverty due to TB treatment</w:t>
      </w:r>
      <w:r w:rsidR="005853A9">
        <w:rPr>
          <w:kern w:val="0"/>
          <w:szCs w:val="24"/>
        </w:rPr>
        <w:t xml:space="preserve"> and </w:t>
      </w:r>
      <w:r>
        <w:rPr>
          <w:kern w:val="0"/>
          <w:szCs w:val="24"/>
        </w:rPr>
        <w:t>care for those affected by the disease.</w:t>
      </w:r>
    </w:p>
    <w:p w:rsidR="00534370" w:rsidRDefault="00534370" w:rsidP="00534370">
      <w:pPr>
        <w:pStyle w:val="a3"/>
        <w:rPr>
          <w:kern w:val="0"/>
          <w:szCs w:val="24"/>
        </w:rPr>
      </w:pPr>
      <w:r>
        <w:rPr>
          <w:kern w:val="0"/>
          <w:szCs w:val="24"/>
        </w:rPr>
        <w:t>Keywords: Africa, Articles, Association, Burden, Care, Care Facility Involvement, Citation, Community-Based Care, Costs, Criteria, Data, Databases, Disease, Economic Burden, Economic Impact, Embase, Evidence, Expenditures, Health-Care, Hospitalization, International, Literature, Measure, Medical, Nov, Out-Of-Pocket Costs, Patients, Policies, Population, Poverty, Primary, Private Sector, Pubmed, Pulmonary Tuberculosis, Quality-Of-Life, Results, Review, Risk-Factors, Rural Uganda, Science, Science Citation Index, Sector, Small, Social Determinants, Social Science Citation Index, Society, South-Africa, Sub-Saharan Africa, Systematic Review, Transportation, Treatment, Tuberculosis</w:t>
      </w:r>
    </w:p>
    <w:p w:rsidR="00A37C83" w:rsidRDefault="00A37C83" w:rsidP="00A37C83">
      <w:pPr>
        <w:pStyle w:val="a3"/>
        <w:rPr>
          <w:kern w:val="0"/>
        </w:rPr>
      </w:pPr>
      <w:r>
        <w:rPr>
          <w:kern w:val="0"/>
        </w:rPr>
        <w:t>? Daivadanam, M., Absetz, P., Sathish, T., Thankappan, K.R., Fisher, E.B., Philip, N.E., Mathews, E.</w:t>
      </w:r>
      <w:r w:rsidR="005853A9">
        <w:rPr>
          <w:kern w:val="0"/>
        </w:rPr>
        <w:t xml:space="preserve"> and </w:t>
      </w:r>
      <w:r>
        <w:rPr>
          <w:kern w:val="0"/>
        </w:rPr>
        <w:t>Oldenburg, B. (2013), Lifestyle change in Kerala, India: Needs assessment</w:t>
      </w:r>
      <w:r w:rsidR="005853A9">
        <w:rPr>
          <w:kern w:val="0"/>
        </w:rPr>
        <w:t xml:space="preserve"> and </w:t>
      </w:r>
      <w:r>
        <w:rPr>
          <w:kern w:val="0"/>
        </w:rPr>
        <w:t xml:space="preserve">planning for a community-based diabetes prevention trial. </w:t>
      </w:r>
      <w:r>
        <w:rPr>
          <w:i/>
          <w:iCs/>
          <w:kern w:val="0"/>
        </w:rPr>
        <w:t>BMC Public Health</w:t>
      </w:r>
      <w:r>
        <w:rPr>
          <w:kern w:val="0"/>
        </w:rPr>
        <w:t xml:space="preserve">, </w:t>
      </w:r>
      <w:r>
        <w:rPr>
          <w:b/>
          <w:bCs/>
          <w:kern w:val="0"/>
        </w:rPr>
        <w:t>13</w:t>
      </w:r>
      <w:r>
        <w:rPr>
          <w:kern w:val="0"/>
        </w:rPr>
        <w:t>, Article Number: 95.</w:t>
      </w:r>
    </w:p>
    <w:p w:rsidR="00A37C83" w:rsidRPr="00FC7835" w:rsidRDefault="00A37C83" w:rsidP="00A37C83">
      <w:pPr>
        <w:pStyle w:val="a3"/>
      </w:pPr>
      <w:r>
        <w:t>Full Text:</w:t>
      </w:r>
      <w:r w:rsidRPr="00FC7835">
        <w:t xml:space="preserve"> </w:t>
      </w:r>
      <w:hyperlink r:id="rId1708" w:history="1">
        <w:r w:rsidRPr="00A37C83">
          <w:rPr>
            <w:rStyle w:val="a5"/>
          </w:rPr>
          <w:t>2013\BMC Pub Hea13, 95.pdf</w:t>
        </w:r>
      </w:hyperlink>
    </w:p>
    <w:p w:rsidR="00A37C83" w:rsidRDefault="00A37C83" w:rsidP="00A37C83">
      <w:pPr>
        <w:pStyle w:val="a3"/>
        <w:rPr>
          <w:kern w:val="0"/>
        </w:rPr>
      </w:pPr>
      <w:r>
        <w:rPr>
          <w:kern w:val="0"/>
        </w:rPr>
        <w:t>Abstract: Background: Type 2 Diabetes Mellitus (T2DM) has become a major public health challenge in India. Factors relevant to the development</w:t>
      </w:r>
      <w:r w:rsidR="005853A9">
        <w:rPr>
          <w:kern w:val="0"/>
        </w:rPr>
        <w:t xml:space="preserve"> and </w:t>
      </w:r>
      <w:r>
        <w:rPr>
          <w:kern w:val="0"/>
        </w:rPr>
        <w:t>implementation</w:t>
      </w:r>
      <w:r w:rsidR="00427468">
        <w:rPr>
          <w:kern w:val="0"/>
        </w:rPr>
        <w:t xml:space="preserve"> of </w:t>
      </w:r>
      <w:r>
        <w:rPr>
          <w:kern w:val="0"/>
        </w:rPr>
        <w:t>diabetes prevention programmes in resource-constrained countries, such as India, have been under-studied</w:t>
      </w:r>
      <w:r w:rsidR="00A37C1D">
        <w:rPr>
          <w:kern w:val="0"/>
        </w:rPr>
        <w:t>. The</w:t>
      </w:r>
      <w:r>
        <w:rPr>
          <w:kern w:val="0"/>
        </w:rPr>
        <w:t xml:space="preserve"> purpose</w:t>
      </w:r>
      <w:r w:rsidR="00427468">
        <w:rPr>
          <w:kern w:val="0"/>
        </w:rPr>
        <w:t xml:space="preserve"> of </w:t>
      </w:r>
      <w:r>
        <w:rPr>
          <w:kern w:val="0"/>
        </w:rPr>
        <w:t>this study is to describe the findings from research aimed at informing the development</w:t>
      </w:r>
      <w:r w:rsidR="005853A9">
        <w:rPr>
          <w:kern w:val="0"/>
        </w:rPr>
        <w:t xml:space="preserve"> and </w:t>
      </w:r>
      <w:r>
        <w:rPr>
          <w:kern w:val="0"/>
        </w:rPr>
        <w:t>evaluation</w:t>
      </w:r>
      <w:r w:rsidR="00427468">
        <w:rPr>
          <w:kern w:val="0"/>
        </w:rPr>
        <w:t xml:space="preserve"> of </w:t>
      </w:r>
      <w:r>
        <w:rPr>
          <w:kern w:val="0"/>
        </w:rPr>
        <w:t>a Diabetes Prevention Programme in Kerala, India (K-DPP). Methods: Data were collected from three main sources: (1) a systematic review</w:t>
      </w:r>
      <w:r w:rsidR="00427468">
        <w:rPr>
          <w:kern w:val="0"/>
        </w:rPr>
        <w:t xml:space="preserve"> of </w:t>
      </w:r>
      <w:r>
        <w:rPr>
          <w:kern w:val="0"/>
        </w:rPr>
        <w:t>key research literature; (2) a review</w:t>
      </w:r>
      <w:r w:rsidR="00427468">
        <w:rPr>
          <w:kern w:val="0"/>
        </w:rPr>
        <w:t xml:space="preserve"> of </w:t>
      </w:r>
      <w:r>
        <w:rPr>
          <w:kern w:val="0"/>
        </w:rPr>
        <w:t>relevant policy documents;</w:t>
      </w:r>
      <w:r w:rsidR="005853A9">
        <w:rPr>
          <w:kern w:val="0"/>
        </w:rPr>
        <w:t xml:space="preserve"> and </w:t>
      </w:r>
      <w:r>
        <w:rPr>
          <w:kern w:val="0"/>
        </w:rPr>
        <w:t>(3) focus groups conducted among individuals with a high risk</w:t>
      </w:r>
      <w:r w:rsidR="00427468">
        <w:rPr>
          <w:kern w:val="0"/>
        </w:rPr>
        <w:t xml:space="preserve"> of </w:t>
      </w:r>
      <w:r>
        <w:rPr>
          <w:kern w:val="0"/>
        </w:rPr>
        <w:t>progressing to diabetes</w:t>
      </w:r>
      <w:r w:rsidR="00A37C1D">
        <w:rPr>
          <w:kern w:val="0"/>
        </w:rPr>
        <w:t>. The</w:t>
      </w:r>
      <w:r>
        <w:rPr>
          <w:kern w:val="0"/>
        </w:rPr>
        <w:t xml:space="preserve"> key findings were then triangulated</w:t>
      </w:r>
      <w:r w:rsidR="005853A9">
        <w:rPr>
          <w:kern w:val="0"/>
        </w:rPr>
        <w:t xml:space="preserve"> and </w:t>
      </w:r>
      <w:r>
        <w:rPr>
          <w:kern w:val="0"/>
        </w:rPr>
        <w:t>synthesised. Results: Prevalence</w:t>
      </w:r>
      <w:r w:rsidR="00427468">
        <w:rPr>
          <w:kern w:val="0"/>
        </w:rPr>
        <w:t xml:space="preserve"> of </w:t>
      </w:r>
      <w:r>
        <w:rPr>
          <w:kern w:val="0"/>
        </w:rPr>
        <w:t>risk factors for diabetes is very high</w:t>
      </w:r>
      <w:r w:rsidR="005853A9">
        <w:rPr>
          <w:kern w:val="0"/>
        </w:rPr>
        <w:t xml:space="preserve"> and </w:t>
      </w:r>
      <w:r>
        <w:rPr>
          <w:kern w:val="0"/>
        </w:rPr>
        <w:t xml:space="preserve">increasing in Kerala. This situation is largely attributable to rapid changes in the </w:t>
      </w:r>
      <w:r>
        <w:rPr>
          <w:kern w:val="0"/>
        </w:rPr>
        <w:lastRenderedPageBreak/>
        <w:t>lifestyle</w:t>
      </w:r>
      <w:r w:rsidR="00427468">
        <w:rPr>
          <w:kern w:val="0"/>
        </w:rPr>
        <w:t xml:space="preserve"> of </w:t>
      </w:r>
      <w:r>
        <w:rPr>
          <w:kern w:val="0"/>
        </w:rPr>
        <w:t>people living in this state</w:t>
      </w:r>
      <w:r w:rsidR="00427468">
        <w:rPr>
          <w:kern w:val="0"/>
        </w:rPr>
        <w:t xml:space="preserve"> of </w:t>
      </w:r>
      <w:r>
        <w:rPr>
          <w:kern w:val="0"/>
        </w:rPr>
        <w:t>India</w:t>
      </w:r>
      <w:r w:rsidR="00A37C1D">
        <w:rPr>
          <w:kern w:val="0"/>
        </w:rPr>
        <w:t>. The</w:t>
      </w:r>
      <w:r>
        <w:rPr>
          <w:kern w:val="0"/>
        </w:rPr>
        <w:t xml:space="preserve"> findings from the systematic review</w:t>
      </w:r>
      <w:r w:rsidR="005853A9">
        <w:rPr>
          <w:kern w:val="0"/>
        </w:rPr>
        <w:t xml:space="preserve"> and </w:t>
      </w:r>
      <w:r>
        <w:rPr>
          <w:kern w:val="0"/>
        </w:rPr>
        <w:t>focus groups identified many environmental</w:t>
      </w:r>
      <w:r w:rsidR="005853A9">
        <w:rPr>
          <w:kern w:val="0"/>
        </w:rPr>
        <w:t xml:space="preserve"> and </w:t>
      </w:r>
      <w:r>
        <w:rPr>
          <w:kern w:val="0"/>
        </w:rPr>
        <w:t>personal determinants</w:t>
      </w:r>
      <w:r w:rsidR="00427468">
        <w:rPr>
          <w:kern w:val="0"/>
        </w:rPr>
        <w:t xml:space="preserve"> of </w:t>
      </w:r>
      <w:r>
        <w:rPr>
          <w:kern w:val="0"/>
        </w:rPr>
        <w:t>these unhealthy lifestyle changes, including: less than ideal accessibility to</w:t>
      </w:r>
      <w:r w:rsidR="005853A9">
        <w:rPr>
          <w:kern w:val="0"/>
        </w:rPr>
        <w:t xml:space="preserve"> and </w:t>
      </w:r>
      <w:r>
        <w:rPr>
          <w:kern w:val="0"/>
        </w:rPr>
        <w:t>availability</w:t>
      </w:r>
      <w:r w:rsidR="00427468">
        <w:rPr>
          <w:kern w:val="0"/>
        </w:rPr>
        <w:t xml:space="preserve"> of </w:t>
      </w:r>
      <w:r>
        <w:rPr>
          <w:kern w:val="0"/>
        </w:rPr>
        <w:t>health services; cultural values</w:t>
      </w:r>
      <w:r w:rsidR="005853A9">
        <w:rPr>
          <w:kern w:val="0"/>
        </w:rPr>
        <w:t xml:space="preserve"> and </w:t>
      </w:r>
      <w:r>
        <w:rPr>
          <w:kern w:val="0"/>
        </w:rPr>
        <w:t>norms; optimistic bias</w:t>
      </w:r>
      <w:r w:rsidR="005853A9">
        <w:rPr>
          <w:kern w:val="0"/>
        </w:rPr>
        <w:t xml:space="preserve"> and </w:t>
      </w:r>
      <w:r>
        <w:rPr>
          <w:kern w:val="0"/>
        </w:rPr>
        <w:t>other misconceptions related to risk;</w:t>
      </w:r>
      <w:r w:rsidR="005853A9">
        <w:rPr>
          <w:kern w:val="0"/>
        </w:rPr>
        <w:t xml:space="preserve"> and </w:t>
      </w:r>
      <w:r>
        <w:rPr>
          <w:kern w:val="0"/>
        </w:rPr>
        <w:t>low expectations regarding one</w:t>
      </w:r>
      <w:r w:rsidR="00700038">
        <w:rPr>
          <w:kern w:val="0"/>
        </w:rPr>
        <w:t>’</w:t>
      </w:r>
      <w:r>
        <w:rPr>
          <w:kern w:val="0"/>
        </w:rPr>
        <w:t>s ability to make lifestyle changes in order to influence health</w:t>
      </w:r>
      <w:r w:rsidR="005853A9">
        <w:rPr>
          <w:kern w:val="0"/>
        </w:rPr>
        <w:t xml:space="preserve"> and </w:t>
      </w:r>
      <w:r>
        <w:rPr>
          <w:kern w:val="0"/>
        </w:rPr>
        <w:t>disease outcomes. On the other hand, there are existing intervention trials conducted in India which suggests that risk reduction is possible</w:t>
      </w:r>
      <w:r w:rsidR="00A37C1D">
        <w:rPr>
          <w:kern w:val="0"/>
        </w:rPr>
        <w:t>. The</w:t>
      </w:r>
      <w:r>
        <w:rPr>
          <w:kern w:val="0"/>
        </w:rPr>
        <w:t>se programmes utilize multi-level strategies including mass media, as well as strategies to enhance community</w:t>
      </w:r>
      <w:r w:rsidR="005853A9">
        <w:rPr>
          <w:kern w:val="0"/>
        </w:rPr>
        <w:t xml:space="preserve"> and </w:t>
      </w:r>
      <w:r>
        <w:rPr>
          <w:kern w:val="0"/>
        </w:rPr>
        <w:t>individual empowerment. India</w:t>
      </w:r>
      <w:r w:rsidR="00700038">
        <w:rPr>
          <w:kern w:val="0"/>
        </w:rPr>
        <w:t>’</w:t>
      </w:r>
      <w:r>
        <w:rPr>
          <w:kern w:val="0"/>
        </w:rPr>
        <w:t>s national programme for the prevention</w:t>
      </w:r>
      <w:r w:rsidR="005853A9">
        <w:rPr>
          <w:kern w:val="0"/>
        </w:rPr>
        <w:t xml:space="preserve"> and </w:t>
      </w:r>
      <w:r>
        <w:rPr>
          <w:kern w:val="0"/>
        </w:rPr>
        <w:t>control</w:t>
      </w:r>
      <w:r w:rsidR="00427468">
        <w:rPr>
          <w:kern w:val="0"/>
        </w:rPr>
        <w:t xml:space="preserve"> of </w:t>
      </w:r>
      <w:r>
        <w:rPr>
          <w:kern w:val="0"/>
        </w:rPr>
        <w:t>major non-communicable diseases (NCD) also provide a supportive environment for further community-based efforts to prevent diabetes. Conclusion: These findings provide strong support for undertaking more research into the conduct</w:t>
      </w:r>
      <w:r w:rsidR="00427468">
        <w:rPr>
          <w:kern w:val="0"/>
        </w:rPr>
        <w:t xml:space="preserve"> of </w:t>
      </w:r>
      <w:r>
        <w:rPr>
          <w:kern w:val="0"/>
        </w:rPr>
        <w:t>community-based diabetes prevention in the rural areas</w:t>
      </w:r>
      <w:r w:rsidR="00427468">
        <w:rPr>
          <w:kern w:val="0"/>
        </w:rPr>
        <w:t xml:space="preserve"> of </w:t>
      </w:r>
      <w:r>
        <w:rPr>
          <w:kern w:val="0"/>
        </w:rPr>
        <w:t>Kerala. We aim to develop, implement</w:t>
      </w:r>
      <w:r w:rsidR="005853A9">
        <w:rPr>
          <w:kern w:val="0"/>
        </w:rPr>
        <w:t xml:space="preserve"> and </w:t>
      </w:r>
      <w:r>
        <w:rPr>
          <w:kern w:val="0"/>
        </w:rPr>
        <w:t>evaluate a group-based peer support programme that will address cultural</w:t>
      </w:r>
      <w:r w:rsidR="005853A9">
        <w:rPr>
          <w:kern w:val="0"/>
        </w:rPr>
        <w:t xml:space="preserve"> and </w:t>
      </w:r>
      <w:r>
        <w:rPr>
          <w:kern w:val="0"/>
        </w:rPr>
        <w:t>family determinants</w:t>
      </w:r>
      <w:r w:rsidR="00427468">
        <w:rPr>
          <w:kern w:val="0"/>
        </w:rPr>
        <w:t xml:space="preserve"> of </w:t>
      </w:r>
      <w:r>
        <w:rPr>
          <w:kern w:val="0"/>
        </w:rPr>
        <w:t>lifestyle risks, including family decision-making regarding adoption</w:t>
      </w:r>
      <w:r w:rsidR="00427468">
        <w:rPr>
          <w:kern w:val="0"/>
        </w:rPr>
        <w:t xml:space="preserve"> of </w:t>
      </w:r>
      <w:r>
        <w:rPr>
          <w:kern w:val="0"/>
        </w:rPr>
        <w:t>healthy dietary</w:t>
      </w:r>
      <w:r w:rsidR="005853A9">
        <w:rPr>
          <w:kern w:val="0"/>
        </w:rPr>
        <w:t xml:space="preserve"> and </w:t>
      </w:r>
      <w:r>
        <w:rPr>
          <w:kern w:val="0"/>
        </w:rPr>
        <w:t>physical activity patterns. Furthermore, we believe that this approach will be feasible, acceptable</w:t>
      </w:r>
      <w:r w:rsidR="005853A9">
        <w:rPr>
          <w:kern w:val="0"/>
        </w:rPr>
        <w:t xml:space="preserve"> and </w:t>
      </w:r>
      <w:r>
        <w:rPr>
          <w:kern w:val="0"/>
        </w:rPr>
        <w:t>effective in these communities; with the potential for scale-up in other parts</w:t>
      </w:r>
      <w:r w:rsidR="00427468">
        <w:rPr>
          <w:kern w:val="0"/>
        </w:rPr>
        <w:t xml:space="preserve"> of </w:t>
      </w:r>
      <w:r>
        <w:rPr>
          <w:kern w:val="0"/>
        </w:rPr>
        <w:t>India.</w:t>
      </w:r>
    </w:p>
    <w:p w:rsidR="00A37C83" w:rsidRDefault="00A37C83" w:rsidP="00A37C83">
      <w:pPr>
        <w:pStyle w:val="a3"/>
        <w:rPr>
          <w:kern w:val="0"/>
        </w:rPr>
      </w:pPr>
      <w:r>
        <w:rPr>
          <w:kern w:val="0"/>
        </w:rPr>
        <w:t>Keywords: Adoption, Approach, Assessment, Availability, Bias, Bibliometric Analysis, Challenge, Changes, Cigarette-Smoking, Community, Community Based, Complex Interventions, Control, Cost-Effectiveness, Cultural, Decision Making, Decision-Making, Development, Diabetes, Diabetes Mellitus, Diabetes Prevention, Disease, Diseases, Empowerment, Environment, Environmental, Evaluation, Expectations, Family, Focus Groups, Groups, Health, Health Services, Impaired Glucose-Tolerance, Implementation, Improve Health, India, Intervention, Literature, Living, Mass Media, Media, Needs, Needs Assessment, Noncommunicable Disease Research, Norms, Outcomes, Peer Support, Physical, Physical Activity, Physical-Activity, Planning, Policy, Potential, Pre-Diabetes, Prevent, Prevention, Prevention</w:t>
      </w:r>
      <w:r w:rsidR="005853A9">
        <w:rPr>
          <w:kern w:val="0"/>
        </w:rPr>
        <w:t xml:space="preserve"> and </w:t>
      </w:r>
      <w:r>
        <w:rPr>
          <w:kern w:val="0"/>
        </w:rPr>
        <w:t>Control, Programmes, Public, Public Health, Purpose, Real World Intervention, Real-World, Reduction, Research, Results, Review, Risk, Risk Factors, Risks, Rural, Rural Areas, Secular Trends, Services, Sources, State, Support, Systematic Review, Trial</w:t>
      </w:r>
    </w:p>
    <w:p w:rsidR="004941B5" w:rsidRDefault="004941B5" w:rsidP="004941B5">
      <w:pPr>
        <w:pStyle w:val="a3"/>
        <w:rPr>
          <w:kern w:val="0"/>
        </w:rPr>
      </w:pPr>
      <w:r>
        <w:rPr>
          <w:rFonts w:hint="eastAsia"/>
          <w:kern w:val="0"/>
        </w:rPr>
        <w:t xml:space="preserve">? </w:t>
      </w:r>
      <w:r>
        <w:rPr>
          <w:kern w:val="0"/>
        </w:rPr>
        <w:t>Groneberg-Kloft, B., Klingelhoefer, D., Zitnik, S.E.</w:t>
      </w:r>
      <w:r w:rsidR="005853A9">
        <w:rPr>
          <w:kern w:val="0"/>
        </w:rPr>
        <w:t xml:space="preserve"> and </w:t>
      </w:r>
      <w:r>
        <w:rPr>
          <w:kern w:val="0"/>
        </w:rPr>
        <w:t xml:space="preserve">Scutaru, C. (2013), Traffic medicine-related research: A scientometric analysis. </w:t>
      </w:r>
      <w:r>
        <w:rPr>
          <w:i/>
          <w:iCs/>
          <w:kern w:val="0"/>
        </w:rPr>
        <w:t>BMC Public Health</w:t>
      </w:r>
      <w:r>
        <w:rPr>
          <w:kern w:val="0"/>
        </w:rPr>
        <w:t xml:space="preserve">, </w:t>
      </w:r>
      <w:r>
        <w:rPr>
          <w:b/>
          <w:bCs/>
          <w:kern w:val="0"/>
        </w:rPr>
        <w:t>13</w:t>
      </w:r>
      <w:r>
        <w:rPr>
          <w:rFonts w:hint="eastAsia"/>
          <w:kern w:val="0"/>
        </w:rPr>
        <w:t>,</w:t>
      </w:r>
      <w:r w:rsidRPr="00ED2F86">
        <w:rPr>
          <w:kern w:val="0"/>
        </w:rPr>
        <w:t xml:space="preserve"> Article Number: 541</w:t>
      </w:r>
      <w:r>
        <w:rPr>
          <w:rFonts w:hint="eastAsia"/>
          <w:kern w:val="0"/>
        </w:rPr>
        <w:t>.</w:t>
      </w:r>
    </w:p>
    <w:p w:rsidR="004941B5" w:rsidRPr="00FC7835" w:rsidRDefault="004941B5" w:rsidP="004941B5">
      <w:pPr>
        <w:pStyle w:val="a3"/>
      </w:pPr>
      <w:r>
        <w:t>Full Text:</w:t>
      </w:r>
      <w:r w:rsidRPr="00FC7835">
        <w:t xml:space="preserve"> </w:t>
      </w:r>
      <w:hyperlink r:id="rId1709" w:history="1">
        <w:r w:rsidRPr="004941B5">
          <w:rPr>
            <w:rStyle w:val="a5"/>
          </w:rPr>
          <w:t>2013\BMC Pub Hea13, 541.pdf</w:t>
        </w:r>
      </w:hyperlink>
    </w:p>
    <w:p w:rsidR="004941B5" w:rsidRDefault="004941B5" w:rsidP="004941B5">
      <w:pPr>
        <w:pStyle w:val="a3"/>
        <w:rPr>
          <w:kern w:val="0"/>
        </w:rPr>
      </w:pPr>
      <w:r>
        <w:rPr>
          <w:kern w:val="0"/>
        </w:rPr>
        <w:t>Abstract: Objective: Traffic crashes</w:t>
      </w:r>
      <w:r w:rsidR="005853A9">
        <w:rPr>
          <w:kern w:val="0"/>
        </w:rPr>
        <w:t xml:space="preserve"> and </w:t>
      </w:r>
      <w:r>
        <w:rPr>
          <w:kern w:val="0"/>
        </w:rPr>
        <w:t>related injuries are important causes</w:t>
      </w:r>
      <w:r w:rsidR="00427468">
        <w:rPr>
          <w:kern w:val="0"/>
        </w:rPr>
        <w:t xml:space="preserve"> of </w:t>
      </w:r>
      <w:r>
        <w:rPr>
          <w:kern w:val="0"/>
        </w:rPr>
        <w:t>morbidity</w:t>
      </w:r>
      <w:r w:rsidR="005853A9">
        <w:rPr>
          <w:kern w:val="0"/>
        </w:rPr>
        <w:t xml:space="preserve"> and </w:t>
      </w:r>
      <w:r>
        <w:rPr>
          <w:kern w:val="0"/>
        </w:rPr>
        <w:t>mortality</w:t>
      </w:r>
      <w:r w:rsidR="005853A9">
        <w:rPr>
          <w:kern w:val="0"/>
        </w:rPr>
        <w:t xml:space="preserve"> and </w:t>
      </w:r>
      <w:r>
        <w:rPr>
          <w:kern w:val="0"/>
        </w:rPr>
        <w:t xml:space="preserve">impose insofar an important burden on public health. </w:t>
      </w:r>
      <w:r>
        <w:rPr>
          <w:kern w:val="0"/>
        </w:rPr>
        <w:lastRenderedPageBreak/>
        <w:t>However, research in this area is often under-funded</w:t>
      </w:r>
      <w:r w:rsidR="00A37C1D">
        <w:rPr>
          <w:kern w:val="0"/>
        </w:rPr>
        <w:t>. The</w:t>
      </w:r>
      <w:r>
        <w:rPr>
          <w:kern w:val="0"/>
        </w:rPr>
        <w:t xml:space="preserve"> aim</w:t>
      </w:r>
      <w:r w:rsidR="00427468">
        <w:rPr>
          <w:kern w:val="0"/>
        </w:rPr>
        <w:t xml:space="preserve"> of </w:t>
      </w:r>
      <w:r>
        <w:rPr>
          <w:kern w:val="0"/>
        </w:rPr>
        <w:t>this study was to analyse quantity, evolution</w:t>
      </w:r>
      <w:r w:rsidR="005853A9">
        <w:rPr>
          <w:kern w:val="0"/>
        </w:rPr>
        <w:t xml:space="preserve"> and </w:t>
      </w:r>
      <w:r>
        <w:rPr>
          <w:kern w:val="0"/>
        </w:rPr>
        <w:t>geographic distribution</w:t>
      </w:r>
      <w:r w:rsidR="00427468">
        <w:rPr>
          <w:kern w:val="0"/>
        </w:rPr>
        <w:t xml:space="preserve"> of </w:t>
      </w:r>
      <w:r>
        <w:rPr>
          <w:kern w:val="0"/>
        </w:rPr>
        <w:t>traffic medicine-related research. This multi-sectorial field covers both transport</w:t>
      </w:r>
      <w:r w:rsidR="005853A9">
        <w:rPr>
          <w:kern w:val="0"/>
        </w:rPr>
        <w:t xml:space="preserve"> and </w:t>
      </w:r>
      <w:r>
        <w:rPr>
          <w:kern w:val="0"/>
        </w:rPr>
        <w:t>health care sectors. Design: A scientometric approach in combination with visualizing density equalizing mapping was used to analyse published data related to the field</w:t>
      </w:r>
      <w:r w:rsidR="00427468">
        <w:rPr>
          <w:kern w:val="0"/>
        </w:rPr>
        <w:t xml:space="preserve"> of </w:t>
      </w:r>
      <w:r>
        <w:rPr>
          <w:kern w:val="0"/>
        </w:rPr>
        <w:t>traffic medicine between 1900</w:t>
      </w:r>
      <w:r w:rsidR="005853A9">
        <w:rPr>
          <w:kern w:val="0"/>
        </w:rPr>
        <w:t xml:space="preserve"> and </w:t>
      </w:r>
      <w:r>
        <w:rPr>
          <w:kern w:val="0"/>
        </w:rPr>
        <w:t>2008 within the “</w:t>
      </w:r>
      <w:r w:rsidR="00D5664A">
        <w:rPr>
          <w:kern w:val="0"/>
        </w:rPr>
        <w:t>Web</w:t>
      </w:r>
      <w:r w:rsidR="00427468">
        <w:rPr>
          <w:kern w:val="0"/>
        </w:rPr>
        <w:t xml:space="preserve"> of </w:t>
      </w:r>
      <w:r w:rsidR="00D5664A">
        <w:rPr>
          <w:kern w:val="0"/>
        </w:rPr>
        <w:t>Science</w:t>
      </w:r>
      <w:r>
        <w:rPr>
          <w:kern w:val="0"/>
        </w:rPr>
        <w:t>” (WoS) database. Results: In total, 5,193 traffic medicine-associated items were produced between 1900</w:t>
      </w:r>
      <w:r w:rsidR="005853A9">
        <w:rPr>
          <w:kern w:val="0"/>
        </w:rPr>
        <w:t xml:space="preserve"> and </w:t>
      </w:r>
      <w:r>
        <w:rPr>
          <w:kern w:val="0"/>
        </w:rPr>
        <w:t>2008</w:t>
      </w:r>
      <w:r w:rsidR="00A37C1D">
        <w:rPr>
          <w:kern w:val="0"/>
        </w:rPr>
        <w:t>. The</w:t>
      </w:r>
      <w:r>
        <w:rPr>
          <w:kern w:val="0"/>
        </w:rPr>
        <w:t xml:space="preserve"> United States was found to have the highest research activity with a production</w:t>
      </w:r>
      <w:r w:rsidR="00427468">
        <w:rPr>
          <w:kern w:val="0"/>
        </w:rPr>
        <w:t xml:space="preserve"> of </w:t>
      </w:r>
      <w:r>
        <w:rPr>
          <w:kern w:val="0"/>
        </w:rPr>
        <w:t>n = 2,330 published items, followed by Germany (n = 298)</w:t>
      </w:r>
      <w:r w:rsidR="005853A9">
        <w:rPr>
          <w:kern w:val="0"/>
        </w:rPr>
        <w:t xml:space="preserve"> and </w:t>
      </w:r>
      <w:r>
        <w:rPr>
          <w:kern w:val="0"/>
        </w:rPr>
        <w:t>Canada (n = 219). Cooperation analyses resulted in a peak</w:t>
      </w:r>
      <w:r w:rsidR="00427468">
        <w:rPr>
          <w:kern w:val="0"/>
        </w:rPr>
        <w:t xml:space="preserve"> of </w:t>
      </w:r>
      <w:r>
        <w:rPr>
          <w:kern w:val="0"/>
        </w:rPr>
        <w:t>published multilateral cooperations in the year</w:t>
      </w:r>
      <w:r w:rsidR="00427468">
        <w:rPr>
          <w:kern w:val="0"/>
        </w:rPr>
        <w:t xml:space="preserve"> of </w:t>
      </w:r>
      <w:r>
        <w:rPr>
          <w:kern w:val="0"/>
        </w:rPr>
        <w:t>2003</w:t>
      </w:r>
      <w:r w:rsidR="00A37C1D">
        <w:rPr>
          <w:kern w:val="0"/>
        </w:rPr>
        <w:t>. The</w:t>
      </w:r>
      <w:r>
        <w:rPr>
          <w:kern w:val="0"/>
        </w:rPr>
        <w:t xml:space="preserve"> country with the highest multilateral activity was the </w:t>
      </w:r>
      <w:r w:rsidR="00D5664A">
        <w:rPr>
          <w:kern w:val="0"/>
        </w:rPr>
        <w:t>USA</w:t>
      </w:r>
      <w:r w:rsidR="00A37C1D">
        <w:rPr>
          <w:kern w:val="0"/>
        </w:rPr>
        <w:t>. The</w:t>
      </w:r>
      <w:r>
        <w:rPr>
          <w:kern w:val="0"/>
        </w:rPr>
        <w:t xml:space="preserve"> average number</w:t>
      </w:r>
      <w:r w:rsidR="00427468">
        <w:rPr>
          <w:kern w:val="0"/>
        </w:rPr>
        <w:t xml:space="preserve"> of </w:t>
      </w:r>
      <w:r>
        <w:rPr>
          <w:kern w:val="0"/>
        </w:rPr>
        <w:t>cited references per publication varied heavily over the last 20 years with a maximum</w:t>
      </w:r>
      <w:r w:rsidR="00427468">
        <w:rPr>
          <w:kern w:val="0"/>
        </w:rPr>
        <w:t xml:space="preserve"> of </w:t>
      </w:r>
      <w:r>
        <w:rPr>
          <w:kern w:val="0"/>
        </w:rPr>
        <w:t>27.67 in 1995</w:t>
      </w:r>
      <w:r w:rsidR="005853A9">
        <w:rPr>
          <w:kern w:val="0"/>
        </w:rPr>
        <w:t xml:space="preserve"> and </w:t>
      </w:r>
      <w:r>
        <w:rPr>
          <w:kern w:val="0"/>
        </w:rPr>
        <w:t>a minimum</w:t>
      </w:r>
      <w:r w:rsidR="00427468">
        <w:rPr>
          <w:kern w:val="0"/>
        </w:rPr>
        <w:t xml:space="preserve"> of </w:t>
      </w:r>
      <w:r>
        <w:rPr>
          <w:kern w:val="0"/>
        </w:rPr>
        <w:t>15.08 in 1998. Also, a further in-depth analysis was performed with a focus solely on public health aspects which revealed similar trends. Conclusions: Summarizing the present data it can be stated traffic medicine-related research productivity grows annually. Also, an active networking between countries is present</w:t>
      </w:r>
      <w:r w:rsidR="00A37C1D">
        <w:rPr>
          <w:kern w:val="0"/>
        </w:rPr>
        <w:t>. The</w:t>
      </w:r>
      <w:r>
        <w:rPr>
          <w:kern w:val="0"/>
        </w:rPr>
        <w:t xml:space="preserve"> data</w:t>
      </w:r>
      <w:r w:rsidR="00427468">
        <w:rPr>
          <w:kern w:val="0"/>
        </w:rPr>
        <w:t xml:space="preserve"> of </w:t>
      </w:r>
      <w:r>
        <w:rPr>
          <w:kern w:val="0"/>
        </w:rPr>
        <w:t>the present study may be used by scientific organisations in order to gain detailed information about research activities in this field which is extremely important for public health.</w:t>
      </w:r>
    </w:p>
    <w:p w:rsidR="004941B5" w:rsidRDefault="004941B5" w:rsidP="004941B5">
      <w:pPr>
        <w:pStyle w:val="a3"/>
        <w:rPr>
          <w:kern w:val="0"/>
        </w:rPr>
      </w:pPr>
      <w:r>
        <w:rPr>
          <w:kern w:val="0"/>
        </w:rPr>
        <w:t xml:space="preserve">Keywords: Activity, Analyses, Analysis, Approach, Benchmarking, Bibliometric Analysis, Burden, Canada, Care, Country, Data, Database, Distribution, Environmental-Health, Evolution, Field, Germany, Health, Health Care, Information, Injuries, Mapping, Medicine, Minimum, Morbidity, Mortality, Occupational-Health, Productivity, Public, Public Health, Public-Health, Publication, Quality, Quantity, References, Research, Research Productivity, Results, Scientometric, Scientometric Analysis, Traffic, Traffic Medicine, Transport, Trends, United States, </w:t>
      </w:r>
      <w:r w:rsidR="00D5664A">
        <w:rPr>
          <w:kern w:val="0"/>
        </w:rPr>
        <w:t>USA</w:t>
      </w:r>
      <w:r>
        <w:rPr>
          <w:kern w:val="0"/>
        </w:rPr>
        <w:t>, Visualization, WoS</w:t>
      </w:r>
    </w:p>
    <w:p w:rsidR="00A3352C" w:rsidRDefault="00A3352C" w:rsidP="00A3352C">
      <w:pPr>
        <w:pStyle w:val="a3"/>
        <w:rPr>
          <w:kern w:val="0"/>
        </w:rPr>
      </w:pPr>
      <w:r>
        <w:rPr>
          <w:rFonts w:hint="eastAsia"/>
          <w:kern w:val="0"/>
        </w:rPr>
        <w:t xml:space="preserve">? </w:t>
      </w:r>
      <w:r>
        <w:rPr>
          <w:kern w:val="0"/>
        </w:rPr>
        <w:t>Meads, C.</w:t>
      </w:r>
      <w:r w:rsidR="005853A9">
        <w:rPr>
          <w:kern w:val="0"/>
        </w:rPr>
        <w:t xml:space="preserve"> and </w:t>
      </w:r>
      <w:r>
        <w:rPr>
          <w:kern w:val="0"/>
        </w:rPr>
        <w:t>Moore, D. (2013), Breast cancer in lesbians</w:t>
      </w:r>
      <w:r w:rsidR="005853A9">
        <w:rPr>
          <w:kern w:val="0"/>
        </w:rPr>
        <w:t xml:space="preserve"> and </w:t>
      </w:r>
      <w:r>
        <w:rPr>
          <w:kern w:val="0"/>
        </w:rPr>
        <w:t>bisexual women: systematic review</w:t>
      </w:r>
      <w:r w:rsidR="00427468">
        <w:rPr>
          <w:kern w:val="0"/>
        </w:rPr>
        <w:t xml:space="preserve"> of </w:t>
      </w:r>
      <w:r>
        <w:rPr>
          <w:kern w:val="0"/>
        </w:rPr>
        <w:t>incidence, prevalence</w:t>
      </w:r>
      <w:r w:rsidR="005853A9">
        <w:rPr>
          <w:kern w:val="0"/>
        </w:rPr>
        <w:t xml:space="preserve"> and </w:t>
      </w:r>
      <w:r>
        <w:rPr>
          <w:kern w:val="0"/>
        </w:rPr>
        <w:t xml:space="preserve">risk studies. </w:t>
      </w:r>
      <w:r>
        <w:rPr>
          <w:i/>
          <w:iCs/>
          <w:kern w:val="0"/>
        </w:rPr>
        <w:t>BMC Public Health</w:t>
      </w:r>
      <w:r>
        <w:rPr>
          <w:kern w:val="0"/>
        </w:rPr>
        <w:t xml:space="preserve">, </w:t>
      </w:r>
      <w:r>
        <w:rPr>
          <w:b/>
          <w:bCs/>
          <w:kern w:val="0"/>
        </w:rPr>
        <w:t>13</w:t>
      </w:r>
      <w:r>
        <w:rPr>
          <w:rFonts w:hint="eastAsia"/>
          <w:kern w:val="0"/>
        </w:rPr>
        <w:t>,</w:t>
      </w:r>
      <w:r w:rsidRPr="00ED2F86">
        <w:rPr>
          <w:kern w:val="0"/>
        </w:rPr>
        <w:t xml:space="preserve"> Article Number: </w:t>
      </w:r>
      <w:r>
        <w:rPr>
          <w:rFonts w:hint="eastAsia"/>
          <w:kern w:val="0"/>
        </w:rPr>
        <w:t>1127.</w:t>
      </w:r>
    </w:p>
    <w:p w:rsidR="00A3352C" w:rsidRPr="00FC7835" w:rsidRDefault="00A3352C" w:rsidP="00A3352C">
      <w:pPr>
        <w:pStyle w:val="a3"/>
      </w:pPr>
      <w:r>
        <w:t>Full Text:</w:t>
      </w:r>
      <w:r w:rsidRPr="00FC7835">
        <w:t xml:space="preserve"> </w:t>
      </w:r>
      <w:hyperlink r:id="rId1710" w:history="1">
        <w:r w:rsidRPr="006F3F4B">
          <w:rPr>
            <w:rStyle w:val="a5"/>
          </w:rPr>
          <w:t>2013\BMC Pub Hea13, 1127.pdf</w:t>
        </w:r>
      </w:hyperlink>
    </w:p>
    <w:p w:rsidR="00A3352C" w:rsidRDefault="00A3352C" w:rsidP="00A3352C">
      <w:pPr>
        <w:pStyle w:val="a3"/>
        <w:rPr>
          <w:kern w:val="0"/>
        </w:rPr>
      </w:pPr>
      <w:r>
        <w:rPr>
          <w:kern w:val="0"/>
        </w:rPr>
        <w:t>Abstract: Background: The UK Parliamentary Enquiry</w:t>
      </w:r>
      <w:r w:rsidR="005853A9">
        <w:rPr>
          <w:kern w:val="0"/>
        </w:rPr>
        <w:t xml:space="preserve"> and </w:t>
      </w:r>
      <w:r>
        <w:rPr>
          <w:kern w:val="0"/>
        </w:rPr>
        <w:t>USA Institute</w:t>
      </w:r>
      <w:r w:rsidR="00427468">
        <w:rPr>
          <w:kern w:val="0"/>
        </w:rPr>
        <w:t xml:space="preserve"> of </w:t>
      </w:r>
      <w:r>
        <w:rPr>
          <w:kern w:val="0"/>
        </w:rPr>
        <w:t>Medicine state that lesbians may be at a higher risk</w:t>
      </w:r>
      <w:r w:rsidR="00427468">
        <w:rPr>
          <w:kern w:val="0"/>
        </w:rPr>
        <w:t xml:space="preserve"> of </w:t>
      </w:r>
      <w:r>
        <w:rPr>
          <w:kern w:val="0"/>
        </w:rPr>
        <w:t>breast cancer but there is insufficient information. Lesbians</w:t>
      </w:r>
      <w:r w:rsidR="005853A9">
        <w:rPr>
          <w:kern w:val="0"/>
        </w:rPr>
        <w:t xml:space="preserve"> and </w:t>
      </w:r>
      <w:r>
        <w:rPr>
          <w:kern w:val="0"/>
        </w:rPr>
        <w:t>bisexual (LB) women have behavioural risk-factors at higher rates compared to heterosexuals such as increased alcohol intake</w:t>
      </w:r>
      <w:r w:rsidR="005853A9">
        <w:rPr>
          <w:kern w:val="0"/>
        </w:rPr>
        <w:t xml:space="preserve"> and </w:t>
      </w:r>
      <w:r>
        <w:rPr>
          <w:kern w:val="0"/>
        </w:rPr>
        <w:t>higher stress levels. Conversely, breast cancer rates are higher in more affluent women yet income levels in LB women are relatively low. This systematic review investigated all evidence on whether there is, or likely to be, higher rates</w:t>
      </w:r>
      <w:r w:rsidR="00427468">
        <w:rPr>
          <w:kern w:val="0"/>
        </w:rPr>
        <w:t xml:space="preserve"> of </w:t>
      </w:r>
      <w:r>
        <w:rPr>
          <w:kern w:val="0"/>
        </w:rPr>
        <w:t xml:space="preserve">breast cancer in LB women. Methods: Cochrane library (CDSR, CENTRAL, HTA, DARE, NHSEED), </w:t>
      </w:r>
      <w:r>
        <w:rPr>
          <w:kern w:val="0"/>
        </w:rPr>
        <w:lastRenderedPageBreak/>
        <w:t>MEDLINE, EMBASE, PsychINFO, CAB abstracts, Web</w:t>
      </w:r>
      <w:r w:rsidR="00427468">
        <w:rPr>
          <w:kern w:val="0"/>
        </w:rPr>
        <w:t xml:space="preserve"> of </w:t>
      </w:r>
      <w:r>
        <w:rPr>
          <w:kern w:val="0"/>
        </w:rPr>
        <w:t>Science (SCI, SSCI), SIGLE</w:t>
      </w:r>
      <w:r w:rsidR="005853A9">
        <w:rPr>
          <w:kern w:val="0"/>
        </w:rPr>
        <w:t xml:space="preserve"> and </w:t>
      </w:r>
      <w:r>
        <w:rPr>
          <w:kern w:val="0"/>
        </w:rPr>
        <w:t>Social Care Online databases were searched to October 2013. Unpublished research</w:t>
      </w:r>
      <w:r w:rsidR="005853A9">
        <w:rPr>
          <w:kern w:val="0"/>
        </w:rPr>
        <w:t xml:space="preserve"> and </w:t>
      </w:r>
      <w:r>
        <w:rPr>
          <w:kern w:val="0"/>
        </w:rPr>
        <w:t>specific lesbian, gay</w:t>
      </w:r>
      <w:r w:rsidR="005853A9">
        <w:rPr>
          <w:kern w:val="0"/>
        </w:rPr>
        <w:t xml:space="preserve"> and </w:t>
      </w:r>
      <w:r>
        <w:rPr>
          <w:kern w:val="0"/>
        </w:rPr>
        <w:t>bisexual websites were checked, as were citation lists</w:t>
      </w:r>
      <w:r w:rsidR="00427468">
        <w:rPr>
          <w:kern w:val="0"/>
        </w:rPr>
        <w:t xml:space="preserve"> of </w:t>
      </w:r>
      <w:r>
        <w:rPr>
          <w:kern w:val="0"/>
        </w:rPr>
        <w:t>relevant papers. Included were studies in LB populations reporting breast cancer incidence or prevalence rates, risk model results or risk-factor estimates. Inclusions, data-extraction</w:t>
      </w:r>
      <w:r w:rsidR="005853A9">
        <w:rPr>
          <w:kern w:val="0"/>
        </w:rPr>
        <w:t xml:space="preserve"> and </w:t>
      </w:r>
      <w:r>
        <w:rPr>
          <w:kern w:val="0"/>
        </w:rPr>
        <w:t>quality assessment were by two reviewers with disagreements resolved by discussion. Results: Searches found 198 references. No incidence rates were found. Nine studies gave prevalence estimates - two showed higher, four showed no differences, one showed mixed results depending on definitions, one had no comparison group</w:t>
      </w:r>
      <w:r w:rsidR="005853A9">
        <w:rPr>
          <w:kern w:val="0"/>
        </w:rPr>
        <w:t xml:space="preserve"> and </w:t>
      </w:r>
      <w:r>
        <w:rPr>
          <w:kern w:val="0"/>
        </w:rPr>
        <w:t>one gave no sample size. All studies were small with poor methodological and/or reporting quality. One incidence modelling study suggested a higher rate. Four risk modelling studies were found, one Rosner-Colditz</w:t>
      </w:r>
      <w:r w:rsidR="005853A9">
        <w:rPr>
          <w:kern w:val="0"/>
        </w:rPr>
        <w:t xml:space="preserve"> and </w:t>
      </w:r>
      <w:r>
        <w:rPr>
          <w:kern w:val="0"/>
        </w:rPr>
        <w:t>three Gail models. Three suggested higher</w:t>
      </w:r>
      <w:r w:rsidR="005853A9">
        <w:rPr>
          <w:kern w:val="0"/>
        </w:rPr>
        <w:t xml:space="preserve"> and </w:t>
      </w:r>
      <w:r>
        <w:rPr>
          <w:kern w:val="0"/>
        </w:rPr>
        <w:t>one lower rate in LB compared to heterosexual women. Six risk-factor estimates suggested higher risk</w:t>
      </w:r>
      <w:r w:rsidR="005853A9">
        <w:rPr>
          <w:kern w:val="0"/>
        </w:rPr>
        <w:t xml:space="preserve"> and </w:t>
      </w:r>
      <w:r>
        <w:rPr>
          <w:kern w:val="0"/>
        </w:rPr>
        <w:t>one no difference between LB</w:t>
      </w:r>
      <w:r w:rsidR="005853A9">
        <w:rPr>
          <w:kern w:val="0"/>
        </w:rPr>
        <w:t xml:space="preserve"> and </w:t>
      </w:r>
      <w:r>
        <w:rPr>
          <w:kern w:val="0"/>
        </w:rPr>
        <w:t>heterosexual women. Conclusions: The only realistic way to establish rates in LB women would be to collect sexual orientation within routine statistics, including cancer registry data, or from large cohort studies.</w:t>
      </w:r>
    </w:p>
    <w:p w:rsidR="00A3352C" w:rsidRDefault="00A3352C" w:rsidP="00A3352C">
      <w:pPr>
        <w:pStyle w:val="a3"/>
        <w:rPr>
          <w:kern w:val="0"/>
        </w:rPr>
      </w:pPr>
      <w:r>
        <w:rPr>
          <w:kern w:val="0"/>
        </w:rPr>
        <w:t>Keywords: Alcohol, Alcohol Intake, Assessment, Breast Cancer, Cab, Cancer, Citation, Cohort, Comparison, Data, Databases, Embase, Estimates, Evidence, Health, Heterosexual Women, HTA, Incidence, Information, Institute</w:t>
      </w:r>
      <w:r w:rsidR="00427468">
        <w:rPr>
          <w:kern w:val="0"/>
        </w:rPr>
        <w:t xml:space="preserve"> of </w:t>
      </w:r>
      <w:r>
        <w:rPr>
          <w:kern w:val="0"/>
        </w:rPr>
        <w:t>Medicine, Lesbian, Medicine, Medline, Methods, Model, Modelling, Models, Online Databases, Papers, Populations, Prevalence, Quality, Rates, References, Registry, Reporting, Research, Results, Review, Risk, Risk Factor, Risk Factors, Risk Model, Sample Size, SCI, Science, Screening Behaviors, Sexual Orientation, Sexual Orientation, Size, Small, Ssci, State, Statistics, Stress, Systematic Review, UK, USA, Web</w:t>
      </w:r>
      <w:r w:rsidR="00427468">
        <w:rPr>
          <w:kern w:val="0"/>
        </w:rPr>
        <w:t xml:space="preserve"> of </w:t>
      </w:r>
      <w:r>
        <w:rPr>
          <w:kern w:val="0"/>
        </w:rPr>
        <w:t>Science, Websites, Women</w:t>
      </w:r>
    </w:p>
    <w:p w:rsidR="00A3352C" w:rsidRDefault="00A3352C" w:rsidP="00A3352C">
      <w:pPr>
        <w:pStyle w:val="a3"/>
        <w:rPr>
          <w:kern w:val="0"/>
        </w:rPr>
      </w:pPr>
      <w:r>
        <w:rPr>
          <w:rFonts w:hint="eastAsia"/>
          <w:kern w:val="0"/>
        </w:rPr>
        <w:t xml:space="preserve">? </w:t>
      </w:r>
      <w:r>
        <w:rPr>
          <w:kern w:val="0"/>
        </w:rPr>
        <w:t>Roberson, L.L., Aneni, E.C., Maziak, W., Agatston, A., Feldman, T., Rouseff, M., Tran, T., Blaha, M.J., Santos, R.D., Sposito, A., Al-Mallah, M.H., Blankstein, R., Budoff, M.J.</w:t>
      </w:r>
      <w:r w:rsidR="005853A9">
        <w:rPr>
          <w:kern w:val="0"/>
        </w:rPr>
        <w:t xml:space="preserve"> and </w:t>
      </w:r>
      <w:r>
        <w:rPr>
          <w:kern w:val="0"/>
        </w:rPr>
        <w:t>Nasir, K. (2014), Beyond BMI: The “Metabolically healthy obese” phenotype &amp; its association with clinical/subclinical cardiovascular disease</w:t>
      </w:r>
      <w:r w:rsidR="005853A9">
        <w:rPr>
          <w:kern w:val="0"/>
        </w:rPr>
        <w:t xml:space="preserve"> and </w:t>
      </w:r>
      <w:r>
        <w:rPr>
          <w:kern w:val="0"/>
        </w:rPr>
        <w:t>all-cause mortality</w:t>
      </w:r>
      <w:r>
        <w:rPr>
          <w:rFonts w:hint="eastAsia"/>
          <w:kern w:val="0"/>
        </w:rPr>
        <w:t>:</w:t>
      </w:r>
      <w:r>
        <w:rPr>
          <w:kern w:val="0"/>
        </w:rPr>
        <w:t xml:space="preserve"> A systematic review. </w:t>
      </w:r>
      <w:r>
        <w:rPr>
          <w:i/>
          <w:iCs/>
          <w:kern w:val="0"/>
        </w:rPr>
        <w:t>BMC Public Health</w:t>
      </w:r>
      <w:r>
        <w:rPr>
          <w:kern w:val="0"/>
        </w:rPr>
        <w:t xml:space="preserve">, </w:t>
      </w:r>
      <w:r>
        <w:rPr>
          <w:b/>
          <w:bCs/>
          <w:kern w:val="0"/>
        </w:rPr>
        <w:t>14</w:t>
      </w:r>
      <w:r>
        <w:rPr>
          <w:rFonts w:hint="eastAsia"/>
          <w:kern w:val="0"/>
        </w:rPr>
        <w:t>,</w:t>
      </w:r>
      <w:r w:rsidRPr="00ED2F86">
        <w:rPr>
          <w:kern w:val="0"/>
        </w:rPr>
        <w:t xml:space="preserve"> Article Number: </w:t>
      </w:r>
      <w:r>
        <w:rPr>
          <w:rFonts w:hint="eastAsia"/>
          <w:kern w:val="0"/>
        </w:rPr>
        <w:t>14.</w:t>
      </w:r>
    </w:p>
    <w:p w:rsidR="00A3352C" w:rsidRPr="00FC7835" w:rsidRDefault="00A3352C" w:rsidP="00A3352C">
      <w:pPr>
        <w:pStyle w:val="a3"/>
      </w:pPr>
      <w:r>
        <w:t>Full Text:</w:t>
      </w:r>
      <w:r w:rsidRPr="00FC7835">
        <w:t xml:space="preserve"> </w:t>
      </w:r>
      <w:hyperlink r:id="rId1711" w:history="1">
        <w:r w:rsidRPr="006F3F4B">
          <w:rPr>
            <w:rStyle w:val="a5"/>
          </w:rPr>
          <w:t>2014\BMC Pub Hea14, 14.pdf</w:t>
        </w:r>
      </w:hyperlink>
    </w:p>
    <w:p w:rsidR="00A3352C" w:rsidRDefault="00A3352C" w:rsidP="00A3352C">
      <w:pPr>
        <w:pStyle w:val="a3"/>
        <w:rPr>
          <w:kern w:val="0"/>
        </w:rPr>
      </w:pPr>
      <w:r>
        <w:rPr>
          <w:kern w:val="0"/>
        </w:rPr>
        <w:t>Abstract: Background: A subgroup has emerged within the obese that do not display the typical metabolic disorders associated with obesity</w:t>
      </w:r>
      <w:r w:rsidR="005853A9">
        <w:rPr>
          <w:kern w:val="0"/>
        </w:rPr>
        <w:t xml:space="preserve"> and </w:t>
      </w:r>
      <w:r>
        <w:rPr>
          <w:kern w:val="0"/>
        </w:rPr>
        <w:t>are hypothesized to have lower risk</w:t>
      </w:r>
      <w:r w:rsidR="00427468">
        <w:rPr>
          <w:kern w:val="0"/>
        </w:rPr>
        <w:t xml:space="preserve"> of </w:t>
      </w:r>
      <w:r>
        <w:rPr>
          <w:kern w:val="0"/>
        </w:rPr>
        <w:t>complications</w:t>
      </w:r>
      <w:r w:rsidR="00A37C1D">
        <w:rPr>
          <w:kern w:val="0"/>
        </w:rPr>
        <w:t>. The</w:t>
      </w:r>
      <w:r>
        <w:rPr>
          <w:kern w:val="0"/>
        </w:rPr>
        <w:t xml:space="preserve"> purpose</w:t>
      </w:r>
      <w:r w:rsidR="00427468">
        <w:rPr>
          <w:kern w:val="0"/>
        </w:rPr>
        <w:t xml:space="preserve"> of </w:t>
      </w:r>
      <w:r>
        <w:rPr>
          <w:kern w:val="0"/>
        </w:rPr>
        <w:t>this review was to analyze the literature which has examined the burden</w:t>
      </w:r>
      <w:r w:rsidR="00427468">
        <w:rPr>
          <w:kern w:val="0"/>
        </w:rPr>
        <w:t xml:space="preserve"> of </w:t>
      </w:r>
      <w:r>
        <w:rPr>
          <w:kern w:val="0"/>
        </w:rPr>
        <w:t>cardiovascular disease (CVD)</w:t>
      </w:r>
      <w:r w:rsidR="005853A9">
        <w:rPr>
          <w:kern w:val="0"/>
        </w:rPr>
        <w:t xml:space="preserve"> and </w:t>
      </w:r>
      <w:r>
        <w:rPr>
          <w:kern w:val="0"/>
        </w:rPr>
        <w:t>all-cause mortality in the metabolically healthy obese (MHO) population. Methods: Pubmed, Cochrane Library,</w:t>
      </w:r>
      <w:r w:rsidR="005853A9">
        <w:rPr>
          <w:kern w:val="0"/>
        </w:rPr>
        <w:t xml:space="preserve"> and </w:t>
      </w:r>
      <w:r>
        <w:rPr>
          <w:kern w:val="0"/>
        </w:rPr>
        <w:t>Web</w:t>
      </w:r>
      <w:r w:rsidR="00427468">
        <w:rPr>
          <w:kern w:val="0"/>
        </w:rPr>
        <w:t xml:space="preserve"> of </w:t>
      </w:r>
      <w:r>
        <w:rPr>
          <w:kern w:val="0"/>
        </w:rPr>
        <w:t xml:space="preserve">Science were searched from their inception until </w:t>
      </w:r>
      <w:r>
        <w:rPr>
          <w:kern w:val="0"/>
        </w:rPr>
        <w:lastRenderedPageBreak/>
        <w:t>December 2012. Studies were included which clearly defined the MHO group (using either insulin sensitivity and/or components</w:t>
      </w:r>
      <w:r w:rsidR="00427468">
        <w:rPr>
          <w:kern w:val="0"/>
        </w:rPr>
        <w:t xml:space="preserve"> of </w:t>
      </w:r>
      <w:r>
        <w:rPr>
          <w:kern w:val="0"/>
        </w:rPr>
        <w:t>metabolic syndrome</w:t>
      </w:r>
      <w:r w:rsidR="005853A9">
        <w:rPr>
          <w:kern w:val="0"/>
        </w:rPr>
        <w:t xml:space="preserve"> and </w:t>
      </w:r>
      <w:r>
        <w:rPr>
          <w:kern w:val="0"/>
        </w:rPr>
        <w:t>obesity)</w:t>
      </w:r>
      <w:r w:rsidR="005853A9">
        <w:rPr>
          <w:kern w:val="0"/>
        </w:rPr>
        <w:t xml:space="preserve"> and </w:t>
      </w:r>
      <w:r>
        <w:rPr>
          <w:kern w:val="0"/>
        </w:rPr>
        <w:t>its association with either all cause mortality, CVD mortality, incident CVD, and/or subclinical CVD. Results: A total</w:t>
      </w:r>
      <w:r w:rsidR="00427468">
        <w:rPr>
          <w:kern w:val="0"/>
        </w:rPr>
        <w:t xml:space="preserve"> of </w:t>
      </w:r>
      <w:r>
        <w:rPr>
          <w:kern w:val="0"/>
        </w:rPr>
        <w:t>20 studies were identified; 15 cohort</w:t>
      </w:r>
      <w:r w:rsidR="005853A9">
        <w:rPr>
          <w:kern w:val="0"/>
        </w:rPr>
        <w:t xml:space="preserve"> and </w:t>
      </w:r>
      <w:r>
        <w:rPr>
          <w:kern w:val="0"/>
        </w:rPr>
        <w:t>5 cross-sectional. Eight studies used the NCEP Adult Treatment Panel III definition</w:t>
      </w:r>
      <w:r w:rsidR="00427468">
        <w:rPr>
          <w:kern w:val="0"/>
        </w:rPr>
        <w:t xml:space="preserve"> of </w:t>
      </w:r>
      <w:r>
        <w:rPr>
          <w:kern w:val="0"/>
        </w:rPr>
        <w:t>metabolic syndrome to define “metabolically healthy”, while another nine used insulin resistance. Seven studies assessed all-cause mortality, seven assessed CVD mortality,</w:t>
      </w:r>
      <w:r w:rsidR="005853A9">
        <w:rPr>
          <w:kern w:val="0"/>
        </w:rPr>
        <w:t xml:space="preserve"> and </w:t>
      </w:r>
      <w:r>
        <w:rPr>
          <w:kern w:val="0"/>
        </w:rPr>
        <w:t>nine assessed incident CVD. MHO was found to be significantly associated with all-cause mortality in two studies (30%), CVD mortality in one study (14%),</w:t>
      </w:r>
      <w:r w:rsidR="005853A9">
        <w:rPr>
          <w:kern w:val="0"/>
        </w:rPr>
        <w:t xml:space="preserve"> and </w:t>
      </w:r>
      <w:r>
        <w:rPr>
          <w:kern w:val="0"/>
        </w:rPr>
        <w:t>incident CVD in three studies (33%).</w:t>
      </w:r>
      <w:r w:rsidR="00427468">
        <w:rPr>
          <w:kern w:val="0"/>
        </w:rPr>
        <w:t xml:space="preserve"> of </w:t>
      </w:r>
      <w:r>
        <w:rPr>
          <w:kern w:val="0"/>
        </w:rPr>
        <w:t>the six studies which examined subclinical disease, four (67%) showed significantly higher mean common carotid artery intima media thickness (CCA-IMT), coronary artery calcium (CAC), or other subclinical CVD markers in the MHO as compared to their MHNW counterparts. Conclusions: MHO is an important, emerging phenotype with a CVD risk between healthy, normal weight</w:t>
      </w:r>
      <w:r w:rsidR="005853A9">
        <w:rPr>
          <w:kern w:val="0"/>
        </w:rPr>
        <w:t xml:space="preserve"> and </w:t>
      </w:r>
      <w:r>
        <w:rPr>
          <w:kern w:val="0"/>
        </w:rPr>
        <w:t>unhealthy, obese individuals. Successful work towards a universally accepted definition</w:t>
      </w:r>
      <w:r w:rsidR="00427468">
        <w:rPr>
          <w:kern w:val="0"/>
        </w:rPr>
        <w:t xml:space="preserve"> of </w:t>
      </w:r>
      <w:r>
        <w:rPr>
          <w:kern w:val="0"/>
        </w:rPr>
        <w:t>MHO would improve (and simplify) future studies</w:t>
      </w:r>
      <w:r w:rsidR="005853A9">
        <w:rPr>
          <w:kern w:val="0"/>
        </w:rPr>
        <w:t xml:space="preserve"> and </w:t>
      </w:r>
      <w:r>
        <w:rPr>
          <w:kern w:val="0"/>
        </w:rPr>
        <w:t>aid inter-study comparisons. Usefulness</w:t>
      </w:r>
      <w:r w:rsidR="00427468">
        <w:rPr>
          <w:kern w:val="0"/>
        </w:rPr>
        <w:t xml:space="preserve"> of </w:t>
      </w:r>
      <w:r>
        <w:rPr>
          <w:kern w:val="0"/>
        </w:rPr>
        <w:t>a definition inclusive</w:t>
      </w:r>
      <w:r w:rsidR="00427468">
        <w:rPr>
          <w:kern w:val="0"/>
        </w:rPr>
        <w:t xml:space="preserve"> of </w:t>
      </w:r>
      <w:r>
        <w:rPr>
          <w:kern w:val="0"/>
        </w:rPr>
        <w:t>insulin sensitivity</w:t>
      </w:r>
      <w:r w:rsidR="005853A9">
        <w:rPr>
          <w:kern w:val="0"/>
        </w:rPr>
        <w:t xml:space="preserve"> and </w:t>
      </w:r>
      <w:r>
        <w:rPr>
          <w:kern w:val="0"/>
        </w:rPr>
        <w:t>stricter criteria for metabolic syndrome components as well as the potential addition</w:t>
      </w:r>
      <w:r w:rsidR="00427468">
        <w:rPr>
          <w:kern w:val="0"/>
        </w:rPr>
        <w:t xml:space="preserve"> of </w:t>
      </w:r>
      <w:r>
        <w:rPr>
          <w:kern w:val="0"/>
        </w:rPr>
        <w:t>markers</w:t>
      </w:r>
      <w:r w:rsidR="00427468">
        <w:rPr>
          <w:kern w:val="0"/>
        </w:rPr>
        <w:t xml:space="preserve"> of </w:t>
      </w:r>
      <w:r>
        <w:rPr>
          <w:kern w:val="0"/>
        </w:rPr>
        <w:t>fatty liver</w:t>
      </w:r>
      <w:r w:rsidR="005853A9">
        <w:rPr>
          <w:kern w:val="0"/>
        </w:rPr>
        <w:t xml:space="preserve"> and </w:t>
      </w:r>
      <w:r>
        <w:rPr>
          <w:kern w:val="0"/>
        </w:rPr>
        <w:t>inflammation should be explored. Clinicians should be hesitant to reassure patients that the metabolically benign phenotype is safe, as increased risk cardiovascular disease</w:t>
      </w:r>
      <w:r w:rsidR="005853A9">
        <w:rPr>
          <w:kern w:val="0"/>
        </w:rPr>
        <w:t xml:space="preserve"> and </w:t>
      </w:r>
      <w:r>
        <w:rPr>
          <w:kern w:val="0"/>
        </w:rPr>
        <w:t>death have been shown.</w:t>
      </w:r>
    </w:p>
    <w:p w:rsidR="00A3352C" w:rsidRDefault="00A3352C" w:rsidP="00A3352C">
      <w:pPr>
        <w:pStyle w:val="a3"/>
        <w:rPr>
          <w:kern w:val="0"/>
        </w:rPr>
      </w:pPr>
      <w:r>
        <w:rPr>
          <w:kern w:val="0"/>
        </w:rPr>
        <w:t>Keywords: Adult, Artery, Association, BMI, Body-Mass Index, Burden, Calcium, Cardiovascular, Cardiovascular Disease, Cohort, Complications, Coronary Artery, Criteria, Death, Disease, Events, Fatty Liver-Disease, Fitness, Individuals, Inflammation, Insulin, Insulin Resistance, Insulin Sensitivity, Insulin-Resistance, Literature, Liver, Media, Metaanalysis, Methods, Mortality, Normal, Normal-Weight, Obese, Obesity, Patients, Population, Potential, Prognosis, Purpose, Resistance, Results, Review, Risk, Risk-Factors, Science, Sensitivity, Syndrome, Systematic Review, Treatment, Web</w:t>
      </w:r>
      <w:r w:rsidR="00427468">
        <w:rPr>
          <w:kern w:val="0"/>
        </w:rPr>
        <w:t xml:space="preserve"> of </w:t>
      </w:r>
      <w:r>
        <w:rPr>
          <w:kern w:val="0"/>
        </w:rPr>
        <w:t>Science, Work</w:t>
      </w:r>
    </w:p>
    <w:p w:rsidR="0089723B" w:rsidRDefault="0089723B" w:rsidP="0089723B">
      <w:pPr>
        <w:pStyle w:val="a3"/>
        <w:rPr>
          <w:kern w:val="0"/>
        </w:rPr>
      </w:pPr>
      <w:r>
        <w:rPr>
          <w:kern w:val="0"/>
        </w:rPr>
        <w:t>? Bergqvist, K., Yngwe, M.Å. and Lundberg, O. (2013), Understanding the role</w:t>
      </w:r>
      <w:r w:rsidR="00427468">
        <w:rPr>
          <w:kern w:val="0"/>
        </w:rPr>
        <w:t xml:space="preserve"> of </w:t>
      </w:r>
      <w:r>
        <w:rPr>
          <w:kern w:val="0"/>
        </w:rPr>
        <w:t>welfare state characteristics for health and inequalities</w:t>
      </w:r>
      <w:r>
        <w:rPr>
          <w:rFonts w:hint="eastAsia"/>
          <w:kern w:val="0"/>
        </w:rPr>
        <w:t>:</w:t>
      </w:r>
      <w:r>
        <w:rPr>
          <w:kern w:val="0"/>
        </w:rPr>
        <w:t xml:space="preserve"> An analytical review. </w:t>
      </w:r>
      <w:r>
        <w:rPr>
          <w:i/>
          <w:iCs/>
          <w:kern w:val="0"/>
        </w:rPr>
        <w:t>BMC Public Health</w:t>
      </w:r>
      <w:r>
        <w:rPr>
          <w:kern w:val="0"/>
        </w:rPr>
        <w:t xml:space="preserve">, </w:t>
      </w:r>
      <w:r>
        <w:rPr>
          <w:b/>
          <w:bCs/>
          <w:kern w:val="0"/>
        </w:rPr>
        <w:t>13</w:t>
      </w:r>
      <w:r>
        <w:rPr>
          <w:rFonts w:hint="eastAsia"/>
          <w:kern w:val="0"/>
        </w:rPr>
        <w:t>,</w:t>
      </w:r>
      <w:r w:rsidRPr="00ED2F86">
        <w:rPr>
          <w:kern w:val="0"/>
        </w:rPr>
        <w:t xml:space="preserve"> Article Number: </w:t>
      </w:r>
      <w:r>
        <w:rPr>
          <w:rFonts w:hint="eastAsia"/>
          <w:kern w:val="0"/>
        </w:rPr>
        <w:t>1234.</w:t>
      </w:r>
    </w:p>
    <w:p w:rsidR="0089723B" w:rsidRPr="00FC7835" w:rsidRDefault="0089723B" w:rsidP="0089723B">
      <w:pPr>
        <w:pStyle w:val="a3"/>
      </w:pPr>
      <w:r>
        <w:t>Full Text:</w:t>
      </w:r>
      <w:r w:rsidRPr="00FC7835">
        <w:t xml:space="preserve"> </w:t>
      </w:r>
      <w:hyperlink r:id="rId1712" w:history="1">
        <w:r w:rsidRPr="004B25CD">
          <w:rPr>
            <w:rStyle w:val="a5"/>
          </w:rPr>
          <w:t>2014\BMC Pub Hea13, 1234.pdf</w:t>
        </w:r>
      </w:hyperlink>
    </w:p>
    <w:p w:rsidR="0089723B" w:rsidRDefault="0089723B" w:rsidP="0089723B">
      <w:pPr>
        <w:pStyle w:val="a3"/>
        <w:rPr>
          <w:kern w:val="0"/>
        </w:rPr>
      </w:pPr>
      <w:r>
        <w:rPr>
          <w:kern w:val="0"/>
        </w:rPr>
        <w:t>Abstract: Background: The past decade has witnessed a growing body</w:t>
      </w:r>
      <w:r w:rsidR="00427468">
        <w:rPr>
          <w:kern w:val="0"/>
        </w:rPr>
        <w:t xml:space="preserve"> of </w:t>
      </w:r>
      <w:r>
        <w:rPr>
          <w:kern w:val="0"/>
        </w:rPr>
        <w:t xml:space="preserve">research on welfare state characteristics and health inequalities but the picture is, despite this, inconsistent. We aim to review this research by focusing on theoretical and methodological differences between studies that at least in part may lead to these mixed findings. Methods: Three reviews and relevant bibliographies were manually </w:t>
      </w:r>
      <w:r>
        <w:rPr>
          <w:kern w:val="0"/>
        </w:rPr>
        <w:lastRenderedPageBreak/>
        <w:t>explored in order to find studies for the review. Related articles were searched for in PubMed, Web</w:t>
      </w:r>
      <w:r w:rsidR="00427468">
        <w:rPr>
          <w:kern w:val="0"/>
        </w:rPr>
        <w:t xml:space="preserve"> of </w:t>
      </w:r>
      <w:r>
        <w:rPr>
          <w:kern w:val="0"/>
        </w:rPr>
        <w:t>Science and Google Scholar. Database searches were done in PubMed and Web</w:t>
      </w:r>
      <w:r w:rsidR="00427468">
        <w:rPr>
          <w:kern w:val="0"/>
        </w:rPr>
        <w:t xml:space="preserve"> of </w:t>
      </w:r>
      <w:r>
        <w:rPr>
          <w:kern w:val="0"/>
        </w:rPr>
        <w:t>Science</w:t>
      </w:r>
      <w:r w:rsidR="00A37C1D">
        <w:rPr>
          <w:kern w:val="0"/>
        </w:rPr>
        <w:t>. The</w:t>
      </w:r>
      <w:r>
        <w:rPr>
          <w:kern w:val="0"/>
        </w:rPr>
        <w:t xml:space="preserve"> search period was restricted to 2005-01-01 to 2013-02-28. Fifty-four studies met the inclusion criteria. Results: Three main approaches to comparative welfare state research are identified; the Regime approach, the Institutional approach, and the Expenditure approach</w:t>
      </w:r>
      <w:r w:rsidR="00A37C1D">
        <w:rPr>
          <w:kern w:val="0"/>
        </w:rPr>
        <w:t>. The</w:t>
      </w:r>
      <w:r>
        <w:rPr>
          <w:kern w:val="0"/>
        </w:rPr>
        <w:t xml:space="preserve"> Regime approach is the most common and regardless</w:t>
      </w:r>
      <w:r w:rsidR="00427468">
        <w:rPr>
          <w:kern w:val="0"/>
        </w:rPr>
        <w:t xml:space="preserve"> of </w:t>
      </w:r>
      <w:r>
        <w:rPr>
          <w:kern w:val="0"/>
        </w:rPr>
        <w:t>the empirical regime theory employed and the amendments made to these, results are diverse and contradictory. When stratifying studies according to other features, not much added clarity is achieved</w:t>
      </w:r>
      <w:r w:rsidR="00A37C1D">
        <w:rPr>
          <w:kern w:val="0"/>
        </w:rPr>
        <w:t>. The</w:t>
      </w:r>
      <w:r>
        <w:rPr>
          <w:kern w:val="0"/>
        </w:rPr>
        <w:t xml:space="preserve"> Institutional approach shows more consistent results; generous policies and benefits seem to be associated with health in a positive way for all people in a population, not only those who are directly affected or targeted</w:t>
      </w:r>
      <w:r w:rsidR="00A37C1D">
        <w:rPr>
          <w:kern w:val="0"/>
        </w:rPr>
        <w:t>. The</w:t>
      </w:r>
      <w:r>
        <w:rPr>
          <w:kern w:val="0"/>
        </w:rPr>
        <w:t xml:space="preserve"> Expenditure approach finds that social and health spending is associated with increased levels</w:t>
      </w:r>
      <w:r w:rsidR="00427468">
        <w:rPr>
          <w:kern w:val="0"/>
        </w:rPr>
        <w:t xml:space="preserve"> of </w:t>
      </w:r>
      <w:r>
        <w:rPr>
          <w:kern w:val="0"/>
        </w:rPr>
        <w:t>health and smaller health inequalities in one way or another but the studies are few in numbers making it somewhat difficult to get coherent results. Conclusions: Based on earlier reviews and our results we suggest that future research should focus less on welfare regimes and health inequalities and more on a multitude</w:t>
      </w:r>
      <w:r w:rsidR="00427468">
        <w:rPr>
          <w:kern w:val="0"/>
        </w:rPr>
        <w:t xml:space="preserve"> of </w:t>
      </w:r>
      <w:r>
        <w:rPr>
          <w:kern w:val="0"/>
        </w:rPr>
        <w:t>different types</w:t>
      </w:r>
      <w:r w:rsidR="00427468">
        <w:rPr>
          <w:kern w:val="0"/>
        </w:rPr>
        <w:t xml:space="preserve"> of </w:t>
      </w:r>
      <w:r>
        <w:rPr>
          <w:kern w:val="0"/>
        </w:rPr>
        <w:t>studies, including larger analyses</w:t>
      </w:r>
      <w:r w:rsidR="00427468">
        <w:rPr>
          <w:kern w:val="0"/>
        </w:rPr>
        <w:t xml:space="preserve"> of </w:t>
      </w:r>
      <w:r>
        <w:rPr>
          <w:kern w:val="0"/>
        </w:rPr>
        <w:t>social spending and social rights in various policy areas and how these are linked to health in different social strata. But, we also need more detailed evaluation</w:t>
      </w:r>
      <w:r w:rsidR="00427468">
        <w:rPr>
          <w:kern w:val="0"/>
        </w:rPr>
        <w:t xml:space="preserve"> of </w:t>
      </w:r>
      <w:r>
        <w:rPr>
          <w:kern w:val="0"/>
        </w:rPr>
        <w:t>specific programmes or interventions, as well as more qualitative analyses</w:t>
      </w:r>
      <w:r w:rsidR="00427468">
        <w:rPr>
          <w:kern w:val="0"/>
        </w:rPr>
        <w:t xml:space="preserve"> of </w:t>
      </w:r>
      <w:r>
        <w:rPr>
          <w:kern w:val="0"/>
        </w:rPr>
        <w:t>the experiences</w:t>
      </w:r>
      <w:r w:rsidR="00427468">
        <w:rPr>
          <w:kern w:val="0"/>
        </w:rPr>
        <w:t xml:space="preserve"> of </w:t>
      </w:r>
      <w:r>
        <w:rPr>
          <w:kern w:val="0"/>
        </w:rPr>
        <w:t>different types</w:t>
      </w:r>
      <w:r w:rsidR="00427468">
        <w:rPr>
          <w:kern w:val="0"/>
        </w:rPr>
        <w:t xml:space="preserve"> of </w:t>
      </w:r>
      <w:r>
        <w:rPr>
          <w:kern w:val="0"/>
        </w:rPr>
        <w:t>policies among the people and families that need to draw on the collective resources.</w:t>
      </w:r>
    </w:p>
    <w:p w:rsidR="0089723B" w:rsidRDefault="0089723B" w:rsidP="0089723B">
      <w:pPr>
        <w:pStyle w:val="a3"/>
        <w:rPr>
          <w:kern w:val="0"/>
        </w:rPr>
      </w:pPr>
      <w:r>
        <w:rPr>
          <w:kern w:val="0"/>
        </w:rPr>
        <w:t>Keywords: Analyses, Approach, Benefits, Bibliographies, Characteristics, Criteria, Database, Evaluation, Families, Google, Google Scholar, Health, Inequalities, Interventions, Lead, Methods, Policies, Policy, Population, Programmes, Pubmed, Qualitative, Research, Resources, Results, Review, Reviews, Rights, Role, Science, Social, Social Rights, State, Theoretical, Theory, Web</w:t>
      </w:r>
      <w:r w:rsidR="00427468">
        <w:rPr>
          <w:kern w:val="0"/>
        </w:rPr>
        <w:t xml:space="preserve"> of </w:t>
      </w:r>
      <w:r>
        <w:rPr>
          <w:kern w:val="0"/>
        </w:rPr>
        <w:t>Science, Welfare, Welfare State</w:t>
      </w:r>
    </w:p>
    <w:p w:rsidR="0096099C" w:rsidRDefault="0096099C" w:rsidP="0096099C">
      <w:pPr>
        <w:pStyle w:val="a3"/>
        <w:rPr>
          <w:kern w:val="0"/>
        </w:rPr>
      </w:pPr>
      <w:r>
        <w:rPr>
          <w:rFonts w:hint="eastAsia"/>
          <w:kern w:val="0"/>
        </w:rPr>
        <w:t xml:space="preserve">? </w:t>
      </w:r>
      <w:r>
        <w:rPr>
          <w:kern w:val="0"/>
        </w:rPr>
        <w:t>Too, L.S., Milner, A., Bugeja, L. and McClure, R. (2014), The socio-environmental determinants</w:t>
      </w:r>
      <w:r w:rsidR="00427468">
        <w:rPr>
          <w:kern w:val="0"/>
        </w:rPr>
        <w:t xml:space="preserve"> of </w:t>
      </w:r>
      <w:r>
        <w:rPr>
          <w:kern w:val="0"/>
        </w:rPr>
        <w:t xml:space="preserve">railway suicide: A systematic review. </w:t>
      </w:r>
      <w:r>
        <w:rPr>
          <w:i/>
          <w:iCs/>
          <w:kern w:val="0"/>
        </w:rPr>
        <w:t>BMC Public Health</w:t>
      </w:r>
      <w:r>
        <w:rPr>
          <w:kern w:val="0"/>
        </w:rPr>
        <w:t xml:space="preserve">, </w:t>
      </w:r>
      <w:r>
        <w:rPr>
          <w:b/>
          <w:bCs/>
          <w:kern w:val="0"/>
        </w:rPr>
        <w:t>14</w:t>
      </w:r>
      <w:r>
        <w:rPr>
          <w:rFonts w:hint="eastAsia"/>
          <w:kern w:val="0"/>
        </w:rPr>
        <w:t xml:space="preserve">, </w:t>
      </w:r>
      <w:r w:rsidRPr="00ED2F86">
        <w:rPr>
          <w:kern w:val="0"/>
        </w:rPr>
        <w:t xml:space="preserve">Article Number: </w:t>
      </w:r>
      <w:r>
        <w:rPr>
          <w:rFonts w:hint="eastAsia"/>
          <w:kern w:val="0"/>
        </w:rPr>
        <w:t>20.</w:t>
      </w:r>
    </w:p>
    <w:p w:rsidR="0096099C" w:rsidRPr="00FC7835" w:rsidRDefault="0096099C" w:rsidP="0096099C">
      <w:pPr>
        <w:pStyle w:val="a3"/>
      </w:pPr>
      <w:r>
        <w:t>Full Text:</w:t>
      </w:r>
      <w:r w:rsidRPr="00FC7835">
        <w:t xml:space="preserve"> </w:t>
      </w:r>
      <w:hyperlink r:id="rId1713" w:history="1">
        <w:r w:rsidRPr="00430DDC">
          <w:rPr>
            <w:rStyle w:val="a5"/>
          </w:rPr>
          <w:t>2014\BMC Pub Hea14, 20.pdf</w:t>
        </w:r>
      </w:hyperlink>
    </w:p>
    <w:p w:rsidR="0096099C" w:rsidRDefault="0096099C" w:rsidP="0096099C">
      <w:pPr>
        <w:pStyle w:val="a3"/>
        <w:rPr>
          <w:kern w:val="0"/>
        </w:rPr>
      </w:pPr>
      <w:r>
        <w:rPr>
          <w:kern w:val="0"/>
        </w:rPr>
        <w:t>Abstract: Background: Railway suicide has significant adverse impacts for the victims, their family and friends, witnesses to the incident, general public and train network</w:t>
      </w:r>
      <w:r w:rsidR="00A37C1D">
        <w:rPr>
          <w:kern w:val="0"/>
        </w:rPr>
        <w:t>. The</w:t>
      </w:r>
      <w:r>
        <w:rPr>
          <w:kern w:val="0"/>
        </w:rPr>
        <w:t>re is no previous review on the socio-environmental factors and railway suicide</w:t>
      </w:r>
      <w:r w:rsidR="00A37C1D">
        <w:rPr>
          <w:kern w:val="0"/>
        </w:rPr>
        <w:t>. The</w:t>
      </w:r>
      <w:r>
        <w:rPr>
          <w:kern w:val="0"/>
        </w:rPr>
        <w:t xml:space="preserve"> research question asked in this review was: </w:t>
      </w:r>
      <w:r w:rsidR="00700038">
        <w:rPr>
          <w:kern w:val="0"/>
        </w:rPr>
        <w:t>‘</w:t>
      </w:r>
      <w:r>
        <w:rPr>
          <w:kern w:val="0"/>
        </w:rPr>
        <w:t>What socio-environmental risk and protective predictors are significantly associated with railway suicide?</w:t>
      </w:r>
      <w:r w:rsidR="00700038">
        <w:rPr>
          <w:kern w:val="0"/>
        </w:rPr>
        <w:t>’</w:t>
      </w:r>
      <w:r>
        <w:rPr>
          <w:kern w:val="0"/>
        </w:rPr>
        <w:t xml:space="preserve"> Methods: The review searched Medline, PsycINFO, Web</w:t>
      </w:r>
      <w:r w:rsidR="00427468">
        <w:rPr>
          <w:kern w:val="0"/>
        </w:rPr>
        <w:t xml:space="preserve"> of </w:t>
      </w:r>
      <w:r>
        <w:rPr>
          <w:kern w:val="0"/>
        </w:rPr>
        <w:t xml:space="preserve">Science and Scopus for English-language studies that assessed the associations between socio-environmental </w:t>
      </w:r>
      <w:r>
        <w:rPr>
          <w:kern w:val="0"/>
        </w:rPr>
        <w:lastRenderedPageBreak/>
        <w:t>(i.e. geographical, physical, economic and social) factors and railway suicide from their inception to June 2013. It was reported based on the PRISMA Statement. Results: Eleven studies met the inclusion criteria</w:t>
      </w:r>
      <w:r w:rsidR="00A37C1D">
        <w:rPr>
          <w:kern w:val="0"/>
        </w:rPr>
        <w:t>. The</w:t>
      </w:r>
      <w:r>
        <w:rPr>
          <w:kern w:val="0"/>
        </w:rPr>
        <w:t>y were categorised into railway environments (availability</w:t>
      </w:r>
      <w:r w:rsidR="00427468">
        <w:rPr>
          <w:kern w:val="0"/>
        </w:rPr>
        <w:t xml:space="preserve"> of </w:t>
      </w:r>
      <w:r>
        <w:rPr>
          <w:kern w:val="0"/>
        </w:rPr>
        <w:t>railways and trains, accessibility to railways and familiarity with trains), population characteristics and impact</w:t>
      </w:r>
      <w:r w:rsidR="00427468">
        <w:rPr>
          <w:kern w:val="0"/>
        </w:rPr>
        <w:t xml:space="preserve"> of </w:t>
      </w:r>
      <w:r>
        <w:rPr>
          <w:kern w:val="0"/>
        </w:rPr>
        <w:t>media reporting. Findings from ecological studies using population level railway suicide data suggested weak and inconsistent evidence for the first two categories</w:t>
      </w:r>
      <w:r w:rsidR="00A37C1D">
        <w:rPr>
          <w:kern w:val="0"/>
        </w:rPr>
        <w:t>. The</w:t>
      </w:r>
      <w:r>
        <w:rPr>
          <w:kern w:val="0"/>
        </w:rPr>
        <w:t xml:space="preserve"> evidence on the impact</w:t>
      </w:r>
      <w:r w:rsidR="00427468">
        <w:rPr>
          <w:kern w:val="0"/>
        </w:rPr>
        <w:t xml:space="preserve"> of </w:t>
      </w:r>
      <w:r>
        <w:rPr>
          <w:kern w:val="0"/>
        </w:rPr>
        <w:t>media reporting was moderately strong, with irresponsible media reporting being associated with an increased risk</w:t>
      </w:r>
      <w:r w:rsidR="00427468">
        <w:rPr>
          <w:kern w:val="0"/>
        </w:rPr>
        <w:t xml:space="preserve"> of </w:t>
      </w:r>
      <w:r>
        <w:rPr>
          <w:kern w:val="0"/>
        </w:rPr>
        <w:t>railway suicide. Conclusions: There is a need for further research activity to strengthen evidence about socio-environmental risk factors for railway suicide</w:t>
      </w:r>
      <w:r w:rsidR="00A37C1D">
        <w:rPr>
          <w:kern w:val="0"/>
        </w:rPr>
        <w:t>. The</w:t>
      </w:r>
      <w:r>
        <w:rPr>
          <w:kern w:val="0"/>
        </w:rPr>
        <w:t xml:space="preserve"> focus</w:t>
      </w:r>
      <w:r w:rsidR="00427468">
        <w:rPr>
          <w:kern w:val="0"/>
        </w:rPr>
        <w:t xml:space="preserve"> of </w:t>
      </w:r>
      <w:r>
        <w:rPr>
          <w:kern w:val="0"/>
        </w:rPr>
        <w:t>this research should be on the factors that determine individuals</w:t>
      </w:r>
      <w:r w:rsidR="00700038">
        <w:rPr>
          <w:kern w:val="0"/>
        </w:rPr>
        <w:t>’</w:t>
      </w:r>
      <w:r>
        <w:rPr>
          <w:kern w:val="0"/>
        </w:rPr>
        <w:t xml:space="preserve"> decisions</w:t>
      </w:r>
      <w:r w:rsidR="00427468">
        <w:rPr>
          <w:kern w:val="0"/>
        </w:rPr>
        <w:t xml:space="preserve"> of </w:t>
      </w:r>
      <w:r>
        <w:rPr>
          <w:kern w:val="0"/>
        </w:rPr>
        <w:t>using the railway as a method</w:t>
      </w:r>
      <w:r w:rsidR="00427468">
        <w:rPr>
          <w:kern w:val="0"/>
        </w:rPr>
        <w:t xml:space="preserve"> of </w:t>
      </w:r>
      <w:r>
        <w:rPr>
          <w:kern w:val="0"/>
        </w:rPr>
        <w:t>suicide, with the consideration</w:t>
      </w:r>
      <w:r w:rsidR="00427468">
        <w:rPr>
          <w:kern w:val="0"/>
        </w:rPr>
        <w:t xml:space="preserve"> of </w:t>
      </w:r>
      <w:r>
        <w:rPr>
          <w:kern w:val="0"/>
        </w:rPr>
        <w:t>a range</w:t>
      </w:r>
      <w:r w:rsidR="00427468">
        <w:rPr>
          <w:kern w:val="0"/>
        </w:rPr>
        <w:t xml:space="preserve"> of </w:t>
      </w:r>
      <w:r>
        <w:rPr>
          <w:kern w:val="0"/>
        </w:rPr>
        <w:t>geographical, physical, social, and economic factors.</w:t>
      </w:r>
    </w:p>
    <w:p w:rsidR="0096099C" w:rsidRDefault="0096099C" w:rsidP="0096099C">
      <w:pPr>
        <w:pStyle w:val="a3"/>
        <w:rPr>
          <w:kern w:val="0"/>
        </w:rPr>
      </w:pPr>
      <w:r>
        <w:rPr>
          <w:kern w:val="0"/>
        </w:rPr>
        <w:t>Keywords: Access, Activity, Acts, Availability, Behavior, Characteristics, Criteria, Data, Economic, Epidemiology, Evidence, Family, First, General, Germany, Impact, Impacts, Media, Medline, Methods, Network, Physical, Population, Predictors, Prevention, Psycinfo, Public, Railway, Railway Suicide, Reporting, Research, Restriction, Results, Review, Risk, Risk Factors, Science, Scopus, Social, Subway, Suicide, Systematic Review, Train Suicides, Web</w:t>
      </w:r>
      <w:r w:rsidR="00427468">
        <w:rPr>
          <w:kern w:val="0"/>
        </w:rPr>
        <w:t xml:space="preserve"> of </w:t>
      </w:r>
      <w:r>
        <w:rPr>
          <w:kern w:val="0"/>
        </w:rPr>
        <w:t>Science</w:t>
      </w:r>
    </w:p>
    <w:p w:rsidR="00912B4E" w:rsidRDefault="00912B4E" w:rsidP="00912B4E">
      <w:pPr>
        <w:pStyle w:val="a3"/>
        <w:rPr>
          <w:kern w:val="0"/>
        </w:rPr>
      </w:pPr>
      <w:r>
        <w:rPr>
          <w:rFonts w:hint="eastAsia"/>
          <w:kern w:val="0"/>
        </w:rPr>
        <w:t xml:space="preserve">? </w:t>
      </w:r>
      <w:r>
        <w:rPr>
          <w:kern w:val="0"/>
        </w:rPr>
        <w:t>Dewa, C.S., Loong, D., Bonato, S. and Hees, H. (2014), Incidence rates</w:t>
      </w:r>
      <w:r w:rsidR="00427468">
        <w:rPr>
          <w:kern w:val="0"/>
        </w:rPr>
        <w:t xml:space="preserve"> of </w:t>
      </w:r>
      <w:r>
        <w:rPr>
          <w:kern w:val="0"/>
        </w:rPr>
        <w:t xml:space="preserve">sickness absence related to mental disorders: A systematic literature review. </w:t>
      </w:r>
      <w:r>
        <w:rPr>
          <w:i/>
          <w:iCs/>
          <w:kern w:val="0"/>
        </w:rPr>
        <w:t>BMC Public Health</w:t>
      </w:r>
      <w:r>
        <w:rPr>
          <w:kern w:val="0"/>
        </w:rPr>
        <w:t xml:space="preserve">, </w:t>
      </w:r>
      <w:r>
        <w:rPr>
          <w:b/>
          <w:bCs/>
          <w:kern w:val="0"/>
        </w:rPr>
        <w:t>14</w:t>
      </w:r>
      <w:r>
        <w:rPr>
          <w:rFonts w:hint="eastAsia"/>
          <w:kern w:val="0"/>
        </w:rPr>
        <w:t>,</w:t>
      </w:r>
      <w:r w:rsidRPr="007F26DD">
        <w:t xml:space="preserve"> </w:t>
      </w:r>
      <w:r w:rsidRPr="007F26DD">
        <w:rPr>
          <w:kern w:val="0"/>
        </w:rPr>
        <w:t>Article Number: 205</w:t>
      </w:r>
      <w:r>
        <w:rPr>
          <w:kern w:val="0"/>
        </w:rPr>
        <w:t>.</w:t>
      </w:r>
    </w:p>
    <w:p w:rsidR="00912B4E" w:rsidRPr="00FC7835" w:rsidRDefault="00912B4E" w:rsidP="00912B4E">
      <w:pPr>
        <w:pStyle w:val="a3"/>
      </w:pPr>
      <w:r>
        <w:t>Full Text:</w:t>
      </w:r>
      <w:r w:rsidRPr="00FC7835">
        <w:t xml:space="preserve"> </w:t>
      </w:r>
      <w:hyperlink r:id="rId1714" w:history="1">
        <w:r w:rsidRPr="00912B4E">
          <w:rPr>
            <w:rStyle w:val="a5"/>
          </w:rPr>
          <w:t>2014\BMC Pub Hea14, 205.pdf</w:t>
        </w:r>
      </w:hyperlink>
    </w:p>
    <w:p w:rsidR="00912B4E" w:rsidRDefault="00912B4E" w:rsidP="00912B4E">
      <w:pPr>
        <w:pStyle w:val="a3"/>
        <w:rPr>
          <w:kern w:val="0"/>
        </w:rPr>
      </w:pPr>
      <w:r>
        <w:rPr>
          <w:kern w:val="0"/>
        </w:rPr>
        <w:t>Abstract: Background: Over the past decade, growing attention has been given to the mental health</w:t>
      </w:r>
      <w:r w:rsidR="00427468">
        <w:rPr>
          <w:kern w:val="0"/>
        </w:rPr>
        <w:t xml:space="preserve"> of </w:t>
      </w:r>
      <w:r>
        <w:rPr>
          <w:kern w:val="0"/>
        </w:rPr>
        <w:t>workers. One way to examine the mental health</w:t>
      </w:r>
      <w:r w:rsidR="00427468">
        <w:rPr>
          <w:kern w:val="0"/>
        </w:rPr>
        <w:t xml:space="preserve"> of </w:t>
      </w:r>
      <w:r>
        <w:rPr>
          <w:kern w:val="0"/>
        </w:rPr>
        <w:t>workers is to look at the incidence rates</w:t>
      </w:r>
      <w:r w:rsidR="00427468">
        <w:rPr>
          <w:kern w:val="0"/>
        </w:rPr>
        <w:t xml:space="preserve"> of </w:t>
      </w:r>
      <w:r>
        <w:rPr>
          <w:kern w:val="0"/>
        </w:rPr>
        <w:t>mental illness-related sickness absence</w:t>
      </w:r>
      <w:r w:rsidR="00A37C1D">
        <w:rPr>
          <w:kern w:val="0"/>
        </w:rPr>
        <w:t>. The</w:t>
      </w:r>
      <w:r>
        <w:rPr>
          <w:kern w:val="0"/>
        </w:rPr>
        <w:t>re is a scarcity</w:t>
      </w:r>
      <w:r w:rsidR="00427468">
        <w:rPr>
          <w:kern w:val="0"/>
        </w:rPr>
        <w:t xml:space="preserve"> of </w:t>
      </w:r>
      <w:r>
        <w:rPr>
          <w:kern w:val="0"/>
        </w:rPr>
        <w:t>literature in which the incidence rates</w:t>
      </w:r>
      <w:r w:rsidR="00427468">
        <w:rPr>
          <w:kern w:val="0"/>
        </w:rPr>
        <w:t xml:space="preserve"> of </w:t>
      </w:r>
      <w:r>
        <w:rPr>
          <w:kern w:val="0"/>
        </w:rPr>
        <w:t>mental illness-related sickness absence among different countries have been considered together</w:t>
      </w:r>
      <w:r w:rsidR="00A37C1D">
        <w:rPr>
          <w:kern w:val="0"/>
        </w:rPr>
        <w:t>. The</w:t>
      </w:r>
      <w:r>
        <w:rPr>
          <w:kern w:val="0"/>
        </w:rPr>
        <w:t xml:space="preserve"> purpose</w:t>
      </w:r>
      <w:r w:rsidR="00427468">
        <w:rPr>
          <w:kern w:val="0"/>
        </w:rPr>
        <w:t xml:space="preserve"> of </w:t>
      </w:r>
      <w:r>
        <w:rPr>
          <w:kern w:val="0"/>
        </w:rPr>
        <w:t>this systematic literature review is to address the question: Are there similarities and differences in the incidence rates</w:t>
      </w:r>
      <w:r w:rsidR="00427468">
        <w:rPr>
          <w:kern w:val="0"/>
        </w:rPr>
        <w:t xml:space="preserve"> of </w:t>
      </w:r>
      <w:r>
        <w:rPr>
          <w:kern w:val="0"/>
        </w:rPr>
        <w:t>mental disorder-related sickness absence among and within OECD identified Social Democratic, Liberal and Latin American country categories? In this paper, we seek to identify differences and similarities in the literature rather than to explain them. With this review, we lay the groundwork for and point to areas for future research as well as to raise questions regarding reasons for the differences and similarities. Methods: A systematic literature search</w:t>
      </w:r>
      <w:r w:rsidR="00427468">
        <w:rPr>
          <w:kern w:val="0"/>
        </w:rPr>
        <w:t xml:space="preserve"> of </w:t>
      </w:r>
      <w:r>
        <w:rPr>
          <w:kern w:val="0"/>
        </w:rPr>
        <w:t>the following databases were performed: Medline Current, Medline In-process, PsycINFO, Econlit and Web</w:t>
      </w:r>
      <w:r w:rsidR="00427468">
        <w:rPr>
          <w:kern w:val="0"/>
        </w:rPr>
        <w:t xml:space="preserve"> of </w:t>
      </w:r>
      <w:r>
        <w:rPr>
          <w:kern w:val="0"/>
        </w:rPr>
        <w:t>Science</w:t>
      </w:r>
      <w:r w:rsidR="00A37C1D">
        <w:rPr>
          <w:kern w:val="0"/>
        </w:rPr>
        <w:t>. The</w:t>
      </w:r>
      <w:r>
        <w:rPr>
          <w:kern w:val="0"/>
        </w:rPr>
        <w:t xml:space="preserve"> search period covered 2002-2013</w:t>
      </w:r>
      <w:r w:rsidR="00A37C1D">
        <w:rPr>
          <w:kern w:val="0"/>
        </w:rPr>
        <w:t>. The</w:t>
      </w:r>
      <w:r>
        <w:rPr>
          <w:kern w:val="0"/>
        </w:rPr>
        <w:t xml:space="preserve"> systematic literature search focused on working adults between 18-65 years old who </w:t>
      </w:r>
      <w:r>
        <w:rPr>
          <w:kern w:val="0"/>
        </w:rPr>
        <w:lastRenderedPageBreak/>
        <w:t>had not retired and who had mental and/or substance abuse disorders. Intervention studies were excluded</w:t>
      </w:r>
      <w:r w:rsidR="00A37C1D">
        <w:rPr>
          <w:kern w:val="0"/>
        </w:rPr>
        <w:t>. The</w:t>
      </w:r>
      <w:r>
        <w:rPr>
          <w:kern w:val="0"/>
        </w:rPr>
        <w:t xml:space="preserve"> search focused on medically certified sickness absences. Results: A total</w:t>
      </w:r>
      <w:r w:rsidR="00427468">
        <w:rPr>
          <w:kern w:val="0"/>
        </w:rPr>
        <w:t xml:space="preserve"> of </w:t>
      </w:r>
      <w:r>
        <w:rPr>
          <w:kern w:val="0"/>
        </w:rPr>
        <w:t>3,818 unique citations were identified.</w:t>
      </w:r>
      <w:r w:rsidR="00427468">
        <w:rPr>
          <w:kern w:val="0"/>
        </w:rPr>
        <w:t xml:space="preserve"> of </w:t>
      </w:r>
      <w:r>
        <w:rPr>
          <w:kern w:val="0"/>
        </w:rPr>
        <w:t>these, 10 studies met the inclusion/exclusion criteria; six were from Social Democratic countries</w:t>
      </w:r>
      <w:r w:rsidR="00A37C1D">
        <w:rPr>
          <w:kern w:val="0"/>
        </w:rPr>
        <w:t>. The</w:t>
      </w:r>
      <w:r>
        <w:rPr>
          <w:kern w:val="0"/>
        </w:rPr>
        <w:t>ir quality ranged from good to excellent</w:t>
      </w:r>
      <w:r w:rsidR="00A37C1D">
        <w:rPr>
          <w:kern w:val="0"/>
        </w:rPr>
        <w:t>. The</w:t>
      </w:r>
      <w:r>
        <w:rPr>
          <w:kern w:val="0"/>
        </w:rPr>
        <w:t>re was variation in the incidence rates reported by the studies from the Social Democratic, Liberal and Latin American countries in this review. Conclusions: The results</w:t>
      </w:r>
      <w:r w:rsidR="00427468">
        <w:rPr>
          <w:kern w:val="0"/>
        </w:rPr>
        <w:t xml:space="preserve"> of </w:t>
      </w:r>
      <w:r>
        <w:rPr>
          <w:kern w:val="0"/>
        </w:rPr>
        <w:t>this systematic review suggest that this is an emerging area</w:t>
      </w:r>
      <w:r w:rsidR="00427468">
        <w:rPr>
          <w:kern w:val="0"/>
        </w:rPr>
        <w:t xml:space="preserve"> of </w:t>
      </w:r>
      <w:r>
        <w:rPr>
          <w:kern w:val="0"/>
        </w:rPr>
        <w:t>inquiry that needs to continue to grow. Priority areas to support growth include cross jurisdictional collaboration and development</w:t>
      </w:r>
      <w:r w:rsidR="00427468">
        <w:rPr>
          <w:kern w:val="0"/>
        </w:rPr>
        <w:t xml:space="preserve"> of </w:t>
      </w:r>
      <w:r>
        <w:rPr>
          <w:kern w:val="0"/>
        </w:rPr>
        <w:t>a typology characterizing the benefit generosity and work integration policies</w:t>
      </w:r>
      <w:r w:rsidR="00427468">
        <w:rPr>
          <w:kern w:val="0"/>
        </w:rPr>
        <w:t xml:space="preserve"> of </w:t>
      </w:r>
      <w:r>
        <w:rPr>
          <w:kern w:val="0"/>
        </w:rPr>
        <w:t>sickness absence schemes. Finally, the literature should be updated to reflect changes in sickness absence benefit schemes over time.</w:t>
      </w:r>
    </w:p>
    <w:p w:rsidR="00912B4E" w:rsidRDefault="00912B4E" w:rsidP="00912B4E">
      <w:pPr>
        <w:pStyle w:val="a3"/>
        <w:rPr>
          <w:kern w:val="0"/>
        </w:rPr>
      </w:pPr>
      <w:r>
        <w:rPr>
          <w:kern w:val="0"/>
        </w:rPr>
        <w:t>Keywords: Abuse, Attention, Brazil, Changes, Citations, Claims, Collaboration, Country, Criteria, Databases, Depression, Development, Economic Burden, Growth, Health, Illness, Incidence, Integration, Intervention, Latin American Countries, Literature, Literature Review, Literature Search, Medline, Mental Disorders, Mental Health, Methods, Needs, Policies, Population, Priority, Psycinfo, Purpose, Quality, Rates, Recurrence, Research, Results, Review, Science, Sickness, Sickness Absence, Substance Abuse, Support, Systematic Literature Search, Systematic Review, Web</w:t>
      </w:r>
      <w:r w:rsidR="00427468">
        <w:rPr>
          <w:kern w:val="0"/>
        </w:rPr>
        <w:t xml:space="preserve"> of </w:t>
      </w:r>
      <w:r>
        <w:rPr>
          <w:kern w:val="0"/>
        </w:rPr>
        <w:t>Science, Work, Work Disability, Workplace</w:t>
      </w:r>
    </w:p>
    <w:p w:rsidR="000753DA" w:rsidRDefault="000753DA" w:rsidP="000753DA">
      <w:pPr>
        <w:pStyle w:val="a3"/>
        <w:rPr>
          <w:kern w:val="0"/>
        </w:rPr>
      </w:pPr>
      <w:r>
        <w:rPr>
          <w:rFonts w:hint="eastAsia"/>
          <w:kern w:val="0"/>
        </w:rPr>
        <w:t xml:space="preserve">? </w:t>
      </w:r>
      <w:r>
        <w:rPr>
          <w:kern w:val="0"/>
        </w:rPr>
        <w:t xml:space="preserve">Escoffery, C., Rodgers, K.C., Kegler, M.C., Haardorfer, R., Howard, D.H., Liang, S., Pinsker, E., Roland, K.B., Allen, J.D., Ory, M.G., Bastani, R., Fernandez, M.E., Risendal, B.C., Byrd, T.L. and Coronado, G.D. (2014), A systematic review of special events to promote breast, cervical and colorectal cancer screening in the United States. </w:t>
      </w:r>
      <w:r>
        <w:rPr>
          <w:i/>
          <w:iCs/>
          <w:kern w:val="0"/>
        </w:rPr>
        <w:t>BMC Public Health</w:t>
      </w:r>
      <w:r>
        <w:rPr>
          <w:kern w:val="0"/>
        </w:rPr>
        <w:t xml:space="preserve">, </w:t>
      </w:r>
      <w:r>
        <w:rPr>
          <w:b/>
          <w:bCs/>
          <w:kern w:val="0"/>
        </w:rPr>
        <w:t>14</w:t>
      </w:r>
      <w:r>
        <w:rPr>
          <w:rFonts w:hint="eastAsia"/>
          <w:kern w:val="0"/>
        </w:rPr>
        <w:t xml:space="preserve">, </w:t>
      </w:r>
      <w:r w:rsidRPr="00BA26FB">
        <w:rPr>
          <w:kern w:val="0"/>
        </w:rPr>
        <w:t xml:space="preserve">Article Number: </w:t>
      </w:r>
      <w:r>
        <w:rPr>
          <w:rFonts w:hint="eastAsia"/>
          <w:kern w:val="0"/>
        </w:rPr>
        <w:t>274.</w:t>
      </w:r>
    </w:p>
    <w:p w:rsidR="000753DA" w:rsidRDefault="000753DA" w:rsidP="000753DA">
      <w:pPr>
        <w:pStyle w:val="a3"/>
        <w:rPr>
          <w:kern w:val="0"/>
        </w:rPr>
      </w:pPr>
      <w:r>
        <w:rPr>
          <w:rFonts w:hint="eastAsia"/>
          <w:kern w:val="0"/>
        </w:rPr>
        <w:t xml:space="preserve">Full Text: </w:t>
      </w:r>
      <w:hyperlink r:id="rId1715" w:history="1">
        <w:r w:rsidRPr="00E34B86">
          <w:rPr>
            <w:rStyle w:val="a5"/>
            <w:kern w:val="0"/>
          </w:rPr>
          <w:t>2014\BMC Pub Hea14, 274.pdf</w:t>
        </w:r>
      </w:hyperlink>
    </w:p>
    <w:p w:rsidR="000753DA" w:rsidRDefault="000753DA" w:rsidP="000753DA">
      <w:pPr>
        <w:pStyle w:val="a3"/>
        <w:rPr>
          <w:kern w:val="0"/>
        </w:rPr>
      </w:pPr>
      <w:r>
        <w:rPr>
          <w:kern w:val="0"/>
        </w:rPr>
        <w:t xml:space="preserve">Abstract: Background: Special events are common community-based strategies for health promotion. This paper presents findings from a systematic literature review on the impact of special events to promote breast, cervical or colorectal cancer education and screening. Methods: Articles in English that focused on special events involving breast, cervical, and/or colorectal cancer conducted in the U. S. and published between January 1990 and December 2011 were identified from seven databases: Ovid, Web of Science, CINAHL, PsycINFO, Sociological Abstract, Cochrane Libraries, and EconLit. Study inclusion and data extraction were independently validated by two researchers. Results: Of the 20 articles selected for screening out of 1,409, ten articles on special events reported outcome data. Five types of special events were found: health fairs, parties, cultural events, special days, and plays. Many focused on breast cancer only, or in combination with other cancers. Reach ranged from 50-1732 participants. All special events used at least one </w:t>
      </w:r>
      <w:r>
        <w:rPr>
          <w:kern w:val="0"/>
        </w:rPr>
        <w:lastRenderedPageBreak/>
        <w:t>evidence-based strategy suggested by the Community Guide to Preventive Services, such as small media, one-on-one education, and reducing structural barriers. For cancer screening as an outcome of the events, mammography screening rates ranged from 4.8% to 88%, Pap testing was 3.9%, and clinical breast exams ranged from 9.1% to 100%. For colorectal screening, FOBT ranged from 29.4% to 76%, and sigmoidoscopy was 100% at one event. Outcome measures included intentions to get screened, scheduled appointments, uptake of clinical exams, and participation in cancer screening. Conclusions: Special events found in the review varied and used evidence-based strategies. Screening data suggest that some special events can lead to increases in cancer screening, especially if they provide onsite screening services. However, there is insufficient evidence to demonstrate that special events are effective in increasing cancer screening</w:t>
      </w:r>
      <w:r w:rsidR="00A37C1D">
        <w:rPr>
          <w:kern w:val="0"/>
        </w:rPr>
        <w:t>. The</w:t>
      </w:r>
      <w:r>
        <w:rPr>
          <w:kern w:val="0"/>
        </w:rPr>
        <w:t xml:space="preserve"> heterogeneity of populations served, event activities, outcome variables assessed, and the reliance on self- report to measure screening limit conclusions. This study highlights the need for further research to determine the effectiveness of special events to increase cancer screening.</w:t>
      </w:r>
    </w:p>
    <w:p w:rsidR="000753DA" w:rsidRDefault="000753DA" w:rsidP="000753DA">
      <w:pPr>
        <w:pStyle w:val="a3"/>
        <w:rPr>
          <w:kern w:val="0"/>
        </w:rPr>
      </w:pPr>
      <w:r>
        <w:rPr>
          <w:kern w:val="0"/>
        </w:rPr>
        <w:t>Keywords: Access, Articles, Barriers, Breast Cancer, Breast Neoplasms, Cancer, Cancer Screening, Cervical Neoplasms, Client-Directed Interventions, Clinical, Colorectal Cancer, Colorectal Neoplasms, Community Based, Community Health Education, Cultural, Data, Databases, Early Detection Of Cancer, Education, Effectiveness, English, Events, Evidence, Evidence Based, Evidence-Based, Extraction, Health, Health Fairs, Health Promotion, Heterogeneity, Impact, Lead, Libraries, Literature, Literature Review, Mammography, Mar, Measure, Measures, Media, Methods, Nation, Outcome, Pap, Participation, Populations, Preventive Services, Promotion, Psycinfo, Rates, Research, Results, Review, Risk-Factors, Science, Screening, Self, Services, Services Task-Force, Small, Strategy, Systematic, Systematic Review, Testing, U, United States, Uptake, Web Of Science</w:t>
      </w:r>
    </w:p>
    <w:p w:rsidR="000753DA" w:rsidRDefault="000753DA" w:rsidP="000753DA">
      <w:pPr>
        <w:pStyle w:val="a3"/>
        <w:rPr>
          <w:kern w:val="0"/>
        </w:rPr>
      </w:pPr>
      <w:r>
        <w:rPr>
          <w:rFonts w:hint="eastAsia"/>
          <w:kern w:val="0"/>
        </w:rPr>
        <w:t xml:space="preserve">? </w:t>
      </w:r>
      <w:r>
        <w:rPr>
          <w:kern w:val="0"/>
        </w:rPr>
        <w:t xml:space="preserve">de Rezende, L.F.M., Rey-Lopez, J.P., Matsudo, V.K.R. and Luiz, O.D. (2014), Sedentary behavior and health outcomes among older adults: A systematic review. </w:t>
      </w:r>
      <w:r>
        <w:rPr>
          <w:i/>
          <w:iCs/>
          <w:kern w:val="0"/>
        </w:rPr>
        <w:t>BMC Public Health</w:t>
      </w:r>
      <w:r>
        <w:rPr>
          <w:kern w:val="0"/>
        </w:rPr>
        <w:t xml:space="preserve">, </w:t>
      </w:r>
      <w:r>
        <w:rPr>
          <w:b/>
          <w:bCs/>
          <w:kern w:val="0"/>
        </w:rPr>
        <w:t>14</w:t>
      </w:r>
      <w:r>
        <w:rPr>
          <w:rFonts w:hint="eastAsia"/>
          <w:kern w:val="0"/>
        </w:rPr>
        <w:t xml:space="preserve">, </w:t>
      </w:r>
      <w:r w:rsidRPr="00BA26FB">
        <w:rPr>
          <w:kern w:val="0"/>
        </w:rPr>
        <w:t>Article Number: 333</w:t>
      </w:r>
      <w:r>
        <w:rPr>
          <w:rFonts w:hint="eastAsia"/>
          <w:kern w:val="0"/>
        </w:rPr>
        <w:t>.</w:t>
      </w:r>
    </w:p>
    <w:p w:rsidR="000753DA" w:rsidRDefault="000753DA" w:rsidP="000753DA">
      <w:pPr>
        <w:pStyle w:val="a3"/>
        <w:rPr>
          <w:kern w:val="0"/>
        </w:rPr>
      </w:pPr>
      <w:r>
        <w:rPr>
          <w:rFonts w:hint="eastAsia"/>
          <w:kern w:val="0"/>
        </w:rPr>
        <w:t xml:space="preserve">Full Text: </w:t>
      </w:r>
      <w:hyperlink r:id="rId1716" w:history="1">
        <w:r w:rsidRPr="00E34B86">
          <w:rPr>
            <w:rStyle w:val="a5"/>
            <w:kern w:val="0"/>
          </w:rPr>
          <w:t>2014\BMC Pub Hea14, 333.pdf</w:t>
        </w:r>
      </w:hyperlink>
    </w:p>
    <w:p w:rsidR="000753DA" w:rsidRDefault="000753DA" w:rsidP="000753DA">
      <w:pPr>
        <w:pStyle w:val="a3"/>
        <w:rPr>
          <w:kern w:val="0"/>
        </w:rPr>
      </w:pPr>
      <w:r>
        <w:rPr>
          <w:kern w:val="0"/>
        </w:rPr>
        <w:t>Abstract: Background: In the last decade, sedentary behavior has emerged as a new risk factor for health</w:t>
      </w:r>
      <w:r w:rsidR="00A37C1D">
        <w:rPr>
          <w:kern w:val="0"/>
        </w:rPr>
        <w:t>. The</w:t>
      </w:r>
      <w:r>
        <w:rPr>
          <w:kern w:val="0"/>
        </w:rPr>
        <w:t xml:space="preserve"> elderly spend most of their awake time in sedentary activities. Despite this high exposure, the impact of this sedentary behavior on the health of this population has not yet been reviewed. We systematically reviewed evidence for associations between sedentary behavior and multiple health outcomes in adults over 60 years of age. Methods: We searched the Medline, Embase, Web of Science, SPORTDiscus, PsycINFO, CINAHL, LILLACS, and Sedentary Research Database for observational studies published up to May 2013. Additionally, we contacted members of the Sedentary Behaviour Research Network to identify articles that were </w:t>
      </w:r>
      <w:r>
        <w:rPr>
          <w:kern w:val="0"/>
        </w:rPr>
        <w:lastRenderedPageBreak/>
        <w:t>potentially eligible. After inclusion, the methodological quality of the evidence was assessed in each study. Results: We included 24 eligible articles in our systematic review, of which only 2 (8%) provided high-quality evidence. Greater sedentary time was related to an increased risk of all-cause mortality in the older adults. Some studies with a moderate quality of evidence indicated a relationship between sedentary behavior and metabolic syndrome, waist circumference, and overweightness/obesity</w:t>
      </w:r>
      <w:r w:rsidR="00A37C1D">
        <w:rPr>
          <w:kern w:val="0"/>
        </w:rPr>
        <w:t>. The</w:t>
      </w:r>
      <w:r>
        <w:rPr>
          <w:kern w:val="0"/>
        </w:rPr>
        <w:t xml:space="preserve"> findings for other outcomes such as mental health, renal cancer cells, and falls remain insufficient to draw conclusions. Conclusion: This systematic review supports the relationship between sedentary behavior and mortality in older adults. Additional studies with high methodological quality are still needed to develop informed guidelines for addressing sedentary behavior in older adults.</w:t>
      </w:r>
    </w:p>
    <w:p w:rsidR="000753DA" w:rsidRDefault="000753DA" w:rsidP="000753DA">
      <w:pPr>
        <w:pStyle w:val="a3"/>
        <w:rPr>
          <w:kern w:val="0"/>
        </w:rPr>
      </w:pPr>
      <w:r>
        <w:rPr>
          <w:kern w:val="0"/>
        </w:rPr>
        <w:t>Keywords: Age, Aged, Articles, Assessed Physical-Activity, Associations, Behavior, Behaviour, Cancer, Cardiovascular-Disease, Database, Elderly, Evidence, Exposure, Guidelines, Health, Health Outcomes, Health Status, Impact, Indicators, Medline, Mental Health, Metaanalysis, Metabolic Syndrome, Methods, Mortality, Mortality, Network, Observational, Observational Studies, Outcomes, Population, Prolonged Sitting Time, Psycinfo, Quality, Quality Of, Renal, Research, Results, Review, Risk, Risk Factor, Risk Factors, Science, Sedentary Lifestyle, Sitting Time, Syndrome, Systematic, Systematic Review, Television, Television Viewing Time, Waist Circumference, Web Of Science</w:t>
      </w:r>
    </w:p>
    <w:p w:rsidR="008D3C09" w:rsidRDefault="008D3C09" w:rsidP="008D3C09">
      <w:pPr>
        <w:pStyle w:val="a3"/>
        <w:rPr>
          <w:kern w:val="0"/>
        </w:rPr>
      </w:pPr>
      <w:r>
        <w:rPr>
          <w:rFonts w:hint="eastAsia"/>
          <w:kern w:val="0"/>
        </w:rPr>
        <w:t xml:space="preserve">? </w:t>
      </w:r>
      <w:r>
        <w:rPr>
          <w:kern w:val="0"/>
        </w:rPr>
        <w:t xml:space="preserve">Lakhanpaul, M., Bird, D., Manikam, L., Culley, L., Perkins, G., Hudson, N., Wilson, J. and Johnson, M. (2014), A systematic review of explanatory factors of barriers and facilitators to improving asthma management in South Asian children. </w:t>
      </w:r>
      <w:r>
        <w:rPr>
          <w:i/>
          <w:iCs/>
          <w:kern w:val="0"/>
        </w:rPr>
        <w:t>BMC Public Health</w:t>
      </w:r>
      <w:r>
        <w:rPr>
          <w:kern w:val="0"/>
        </w:rPr>
        <w:t xml:space="preserve">, </w:t>
      </w:r>
      <w:r>
        <w:rPr>
          <w:b/>
          <w:bCs/>
          <w:kern w:val="0"/>
        </w:rPr>
        <w:t>14</w:t>
      </w:r>
      <w:r>
        <w:rPr>
          <w:rFonts w:hint="eastAsia"/>
          <w:kern w:val="0"/>
        </w:rPr>
        <w:t xml:space="preserve">, </w:t>
      </w:r>
      <w:r w:rsidRPr="00BA26FB">
        <w:rPr>
          <w:kern w:val="0"/>
        </w:rPr>
        <w:t xml:space="preserve">Article Number: </w:t>
      </w:r>
      <w:r>
        <w:rPr>
          <w:rFonts w:hint="eastAsia"/>
          <w:kern w:val="0"/>
        </w:rPr>
        <w:t>403.</w:t>
      </w:r>
    </w:p>
    <w:p w:rsidR="008D3C09" w:rsidRDefault="008D3C09" w:rsidP="008D3C09">
      <w:pPr>
        <w:pStyle w:val="a3"/>
        <w:rPr>
          <w:kern w:val="0"/>
        </w:rPr>
      </w:pPr>
      <w:r>
        <w:rPr>
          <w:rFonts w:hint="eastAsia"/>
          <w:kern w:val="0"/>
        </w:rPr>
        <w:t xml:space="preserve">Full Text: </w:t>
      </w:r>
      <w:hyperlink r:id="rId1717" w:history="1">
        <w:r w:rsidRPr="008D3C09">
          <w:rPr>
            <w:rStyle w:val="a5"/>
            <w:kern w:val="0"/>
          </w:rPr>
          <w:t>2014\BMC Pub Hea14, 403.pdf</w:t>
        </w:r>
      </w:hyperlink>
    </w:p>
    <w:p w:rsidR="008D3C09" w:rsidRDefault="008D3C09" w:rsidP="008D3C09">
      <w:pPr>
        <w:pStyle w:val="a3"/>
        <w:rPr>
          <w:kern w:val="0"/>
        </w:rPr>
      </w:pPr>
      <w:r>
        <w:rPr>
          <w:kern w:val="0"/>
        </w:rPr>
        <w:t xml:space="preserve">Abstract: Background: South Asian children with asthma are less likely to receive prescriptions and more likely to suffer uncontrolled symptoms and acute asthma admissions compared with White British children. Understanding barriers are therefore vital in addressing health inequalities. We undertook a systematic review identifying explanatory factors for barriers and facilitators to asthma management in South Asian children. South Asians were defined as individuals of Indian, Pakistani or Bangladeshi descent. Methods: Data Sources - Medline, HMIC, EMBASE, ASSIA, Web of Science, BNI, CINAHL, PsycINFO, OpenSIGLE, CRD, Scopus, NHS Evidence, Cochrane Library, Campbell Collaboration, RCPCH, ATS, ERS, Asthma UK, Google Scholar &amp; Asthma Guidelines (BTS, GINA, ATS, Monash, NAEPP, Singapore &amp; New Zealand) to August 2013. Inclusion Criteria - Qualitative, quantitative or mixed methods research with primary focus on identifying explanations for barriers and/or facilitators to asthma management in South Asian </w:t>
      </w:r>
      <w:r>
        <w:rPr>
          <w:kern w:val="0"/>
        </w:rPr>
        <w:lastRenderedPageBreak/>
        <w:t>children aged 0-18 years with diagnosed/suspected asthma and/or carers and/or healthcare professionals. Data Extraction - Three authors independently reviewed, selected &amp; extracted eligible articles with disagreements resolved by research team discussion. Results: 15 studies encompassing 25,755 children, 18,483 parents/carers and 239 healthcare professionals were included. Barriers and explanatory factors identified were: 1. Lack of asthma knowledge in families and healthcare professionals. 2. Under-use of preventer medications. 3. Non-acceptance/denial of asthma. 4. Over-reliance on Emergency Department management. 5. Communication problems. 6. Non-adherence to medication. 7. Use of complementary therapies. Little facilitators regarding asthma management were identified. Conclusions: Several key issues were identified as likely to be ethnic-specific to South Asian families, rather than a reflection of minority status: impact of parental and professional knowledge and beliefs, health service utilisation pattern explanations and the impact of prejudice and stigmatisation. Other explanations such as language barriers are not strictly ethnic specific but instead reflect a minority position. Further research is required to identify why barriers exist, the mechanisms by which they impact on asthma management and how they can be overcome. Furthermore, understanding the difference between barriers and explanations that are ethnic-specific and those that are related to being a minority will enable the application of generic system-wide interventions where ethnicity is not the issue and ethnically-tailored interventions where needed.</w:t>
      </w:r>
    </w:p>
    <w:p w:rsidR="008D3C09" w:rsidRDefault="008D3C09" w:rsidP="008D3C09">
      <w:pPr>
        <w:pStyle w:val="a3"/>
        <w:rPr>
          <w:kern w:val="0"/>
        </w:rPr>
      </w:pPr>
      <w:r>
        <w:rPr>
          <w:kern w:val="0"/>
        </w:rPr>
        <w:t>Keywords: Aged, Application, Articles, Asian, Asians, Asthma, At, Attitudes, Authors, Barriers, Campbell, Childhood Asthma, Children, Collaboration, Communication, Complementary, Data, Embase, Ethnicity, Evidence, Extraction, Facilitators, Families, Google, Google Scholar, Guidelines, Health, Health-Care, Impact, Inequalities, Interventions, Issues, Knowledge, Language, Management, Mechanisms, Medline, Methods, New Zealand, NHS, Parents, Pattern, Prejudice, Prescriptions, Prevalence, Primary, Psycinfo, Reflection, Research, Results, Review, Science, Scopus, Service, Singapore, Symptoms, Systematic, Systematic Review, UK, Understanding, Utilisation, Web Of Science, Wheeze, White</w:t>
      </w:r>
    </w:p>
    <w:p w:rsidR="008D3C09" w:rsidRDefault="008D3C09" w:rsidP="008D3C09">
      <w:pPr>
        <w:pStyle w:val="a3"/>
        <w:rPr>
          <w:kern w:val="0"/>
        </w:rPr>
      </w:pPr>
      <w:r>
        <w:rPr>
          <w:rFonts w:hint="eastAsia"/>
          <w:kern w:val="0"/>
        </w:rPr>
        <w:t xml:space="preserve">? </w:t>
      </w:r>
      <w:r>
        <w:rPr>
          <w:kern w:val="0"/>
        </w:rPr>
        <w:t>Engler-Stringer, R., Le, H., Gerrard, A. and Muhajarine, N. (2014), The community and consumer food environment and children</w:t>
      </w:r>
      <w:r w:rsidR="00700038">
        <w:rPr>
          <w:kern w:val="0"/>
        </w:rPr>
        <w:t>’</w:t>
      </w:r>
      <w:r>
        <w:rPr>
          <w:kern w:val="0"/>
        </w:rPr>
        <w:t xml:space="preserve">s diet: A systematic review. </w:t>
      </w:r>
      <w:r>
        <w:rPr>
          <w:i/>
          <w:iCs/>
          <w:kern w:val="0"/>
        </w:rPr>
        <w:t>BMC Public Health</w:t>
      </w:r>
      <w:r>
        <w:rPr>
          <w:kern w:val="0"/>
        </w:rPr>
        <w:t xml:space="preserve">, </w:t>
      </w:r>
      <w:r>
        <w:rPr>
          <w:b/>
          <w:bCs/>
          <w:kern w:val="0"/>
        </w:rPr>
        <w:t>14</w:t>
      </w:r>
      <w:r>
        <w:rPr>
          <w:rFonts w:hint="eastAsia"/>
          <w:kern w:val="0"/>
        </w:rPr>
        <w:t xml:space="preserve">, </w:t>
      </w:r>
      <w:r w:rsidRPr="00BA26FB">
        <w:rPr>
          <w:kern w:val="0"/>
        </w:rPr>
        <w:t xml:space="preserve">Article Number: </w:t>
      </w:r>
      <w:r>
        <w:rPr>
          <w:rFonts w:hint="eastAsia"/>
          <w:kern w:val="0"/>
        </w:rPr>
        <w:t>522.</w:t>
      </w:r>
    </w:p>
    <w:p w:rsidR="008D3C09" w:rsidRDefault="008D3C09" w:rsidP="008D3C09">
      <w:pPr>
        <w:pStyle w:val="a3"/>
        <w:rPr>
          <w:kern w:val="0"/>
        </w:rPr>
      </w:pPr>
      <w:r>
        <w:rPr>
          <w:rFonts w:hint="eastAsia"/>
          <w:kern w:val="0"/>
        </w:rPr>
        <w:t xml:space="preserve">Full Text: </w:t>
      </w:r>
      <w:hyperlink r:id="rId1718" w:history="1">
        <w:r w:rsidRPr="000A3DFF">
          <w:rPr>
            <w:rStyle w:val="a5"/>
            <w:kern w:val="0"/>
          </w:rPr>
          <w:t>2014\BMC Pub Hea14, 522.pdf</w:t>
        </w:r>
      </w:hyperlink>
    </w:p>
    <w:p w:rsidR="008D3C09" w:rsidRDefault="008D3C09" w:rsidP="008D3C09">
      <w:pPr>
        <w:pStyle w:val="a3"/>
        <w:rPr>
          <w:kern w:val="0"/>
        </w:rPr>
      </w:pPr>
      <w:r>
        <w:rPr>
          <w:kern w:val="0"/>
        </w:rPr>
        <w:t>Abstract: Background: While there is a growing body of research on food environments for children, there has not been a published comprehensive review to date evaluating food environments outside the home and school and their relationship with diet in children</w:t>
      </w:r>
      <w:r w:rsidR="00A37C1D">
        <w:rPr>
          <w:kern w:val="0"/>
        </w:rPr>
        <w:t>. The</w:t>
      </w:r>
      <w:r>
        <w:rPr>
          <w:kern w:val="0"/>
        </w:rPr>
        <w:t xml:space="preserve"> purpose of this paper is to review evidence on the influence of the community and consumer nutrition environments on the diet of children under the </w:t>
      </w:r>
      <w:r>
        <w:rPr>
          <w:kern w:val="0"/>
        </w:rPr>
        <w:lastRenderedPageBreak/>
        <w:t>age of 18 years. Methods: Our search strategy included a combination of both subject heading searching as well as natural language, free-text searching. We searched nine databases (MEDLINE, Web of Science, CINAHL, Embase, Scopus, ProQuest Public Health, PsycINFO, Sociological Abstracts, and GEOBASE) for papers published between 1995 and July 2013. Study designs were included if they were empirically-based, published scholarly research articles, were focused on children as the population of interest, fit within the previously mentioned date range, included at least one diet outcome, and exposures within the community nutrition environment (e. g., location and accessibility of food outlets), and consumer nutrition environment (e. g., price, promotion, and placement of food choices). Results: After applying exclusion and inclusion criteria, a total of 26 articles were included in our review</w:t>
      </w:r>
      <w:r w:rsidR="00A37C1D">
        <w:rPr>
          <w:kern w:val="0"/>
        </w:rPr>
        <w:t>. The</w:t>
      </w:r>
      <w:r>
        <w:rPr>
          <w:kern w:val="0"/>
        </w:rPr>
        <w:t xml:space="preserve"> vast majority of the studies were cross-sectional in design, except for two articles reporting on longitudinal studies</w:t>
      </w:r>
      <w:r w:rsidR="00A37C1D">
        <w:rPr>
          <w:kern w:val="0"/>
        </w:rPr>
        <w:t>. The</w:t>
      </w:r>
      <w:r>
        <w:rPr>
          <w:kern w:val="0"/>
        </w:rPr>
        <w:t xml:space="preserve"> food environment exposure(s) included aspects of the community nutrition environments, except for three that focused on the consumer nutrition environment</w:t>
      </w:r>
      <w:r w:rsidR="00A37C1D">
        <w:rPr>
          <w:kern w:val="0"/>
        </w:rPr>
        <w:t>. The</w:t>
      </w:r>
      <w:r>
        <w:rPr>
          <w:kern w:val="0"/>
        </w:rPr>
        <w:t xml:space="preserve"> community nutrition environment characterization most often used Geographic Information Systems to geolocate participants</w:t>
      </w:r>
      <w:r w:rsidR="00700038">
        <w:rPr>
          <w:kern w:val="0"/>
        </w:rPr>
        <w:t>’</w:t>
      </w:r>
      <w:r>
        <w:rPr>
          <w:kern w:val="0"/>
        </w:rPr>
        <w:t xml:space="preserve"> homes (and/or schools) and then one or more types of food outlets in relation to these</w:t>
      </w:r>
      <w:r w:rsidR="00A37C1D">
        <w:rPr>
          <w:kern w:val="0"/>
        </w:rPr>
        <w:t>. The</w:t>
      </w:r>
      <w:r>
        <w:rPr>
          <w:kern w:val="0"/>
        </w:rPr>
        <w:t xml:space="preserve"> children included were all of school age. Twenty-two out of 26 studies showed at least one positive association between the food environment exposure and diet outcome. Four studies reported only null associations. Conclusions: This review found moderate evidence of the relationship between the community and consumer nutrition environments and dietary intake in children up to 18 years of age</w:t>
      </w:r>
      <w:r w:rsidR="00A37C1D">
        <w:rPr>
          <w:kern w:val="0"/>
        </w:rPr>
        <w:t>. The</w:t>
      </w:r>
      <w:r>
        <w:rPr>
          <w:kern w:val="0"/>
        </w:rPr>
        <w:t>re is wide variation in measures used to characterize both the community and consumer nutrition environments and diet, and future research should work to decrease this heterogeneity.</w:t>
      </w:r>
    </w:p>
    <w:p w:rsidR="008D3C09" w:rsidRDefault="008D3C09" w:rsidP="008D3C09">
      <w:pPr>
        <w:pStyle w:val="a3"/>
        <w:rPr>
          <w:kern w:val="0"/>
        </w:rPr>
      </w:pPr>
      <w:r>
        <w:rPr>
          <w:kern w:val="0"/>
        </w:rPr>
        <w:t>Keywords: Adolescents, Age, Aged 9-10 Years, Articles, Association, Associations, Characterization, Children, Community, Criteria, Databases, Design, Diet, Environment, Evidence, Exposure, Exposures, Food, Geographic Information Systems, Health, Heterogeneity, Influence, Information, Language, Location, Longitudinal, Longitudinal Studies, Measures, Medline, Methods, Natural, Neighborhood, Nutrition, Obesogenic Environments, Outcome, Papers, Physical-Activity, Placement, Population, Promotion, Psycinfo, Public Health, Purpose, Reporting, Research, Results, Review, School-Age, Schools, Science, Scopus, Search Strategy, Strategy, Systematic, Systematic Review, Vegetable Consumption, Web Of Science, Weight Status, Work</w:t>
      </w:r>
    </w:p>
    <w:p w:rsidR="001D4E3C" w:rsidRDefault="001D4E3C" w:rsidP="001D4E3C">
      <w:pPr>
        <w:pStyle w:val="a3"/>
        <w:rPr>
          <w:kern w:val="0"/>
        </w:rPr>
      </w:pPr>
      <w:r>
        <w:rPr>
          <w:rFonts w:hint="eastAsia"/>
          <w:kern w:val="0"/>
          <w:szCs w:val="24"/>
        </w:rPr>
        <w:t xml:space="preserve">? </w:t>
      </w:r>
      <w:r>
        <w:rPr>
          <w:kern w:val="0"/>
          <w:szCs w:val="24"/>
        </w:rPr>
        <w:t xml:space="preserve">Teasdale, E., Santer, M., Geraghty, A.W.A., Little, P. and Yardley, L. (2014), Public perceptions of non-pharmaceutical interventions for reducing transmission of respiratory infection: Systematic review and synthesis of qualitative studies. </w:t>
      </w:r>
      <w:r>
        <w:rPr>
          <w:i/>
          <w:iCs/>
          <w:kern w:val="0"/>
          <w:szCs w:val="24"/>
        </w:rPr>
        <w:t>BMC Public Health</w:t>
      </w:r>
      <w:r>
        <w:rPr>
          <w:kern w:val="0"/>
          <w:szCs w:val="24"/>
        </w:rPr>
        <w:t xml:space="preserve">, </w:t>
      </w:r>
      <w:r>
        <w:rPr>
          <w:b/>
          <w:bCs/>
          <w:kern w:val="0"/>
          <w:szCs w:val="24"/>
        </w:rPr>
        <w:t>14</w:t>
      </w:r>
      <w:r>
        <w:rPr>
          <w:rFonts w:hint="eastAsia"/>
          <w:kern w:val="0"/>
        </w:rPr>
        <w:t xml:space="preserve">, </w:t>
      </w:r>
      <w:r>
        <w:rPr>
          <w:kern w:val="0"/>
        </w:rPr>
        <w:t xml:space="preserve">Article Number: </w:t>
      </w:r>
      <w:r>
        <w:rPr>
          <w:rFonts w:hint="eastAsia"/>
          <w:kern w:val="0"/>
        </w:rPr>
        <w:t>589.</w:t>
      </w:r>
    </w:p>
    <w:p w:rsidR="001D4E3C" w:rsidRDefault="001D4E3C" w:rsidP="001D4E3C">
      <w:pPr>
        <w:pStyle w:val="a3"/>
        <w:rPr>
          <w:kern w:val="0"/>
        </w:rPr>
      </w:pPr>
      <w:r>
        <w:rPr>
          <w:rFonts w:hint="eastAsia"/>
          <w:kern w:val="0"/>
        </w:rPr>
        <w:lastRenderedPageBreak/>
        <w:t xml:space="preserve">Full Text: </w:t>
      </w:r>
      <w:hyperlink r:id="rId1719" w:history="1">
        <w:r w:rsidRPr="001D4E3C">
          <w:rPr>
            <w:rStyle w:val="a5"/>
            <w:kern w:val="0"/>
          </w:rPr>
          <w:t>2014\BMC Pub Hea14, 589.pdf</w:t>
        </w:r>
      </w:hyperlink>
    </w:p>
    <w:p w:rsidR="001D4E3C" w:rsidRDefault="001D4E3C" w:rsidP="001D4E3C">
      <w:pPr>
        <w:pStyle w:val="a3"/>
        <w:rPr>
          <w:kern w:val="0"/>
          <w:szCs w:val="24"/>
        </w:rPr>
      </w:pPr>
      <w:r>
        <w:rPr>
          <w:kern w:val="0"/>
          <w:szCs w:val="24"/>
        </w:rPr>
        <w:t>Abstract: Background: Non-pharmaceutical public health interventions may provide simple, low-cost, effective ways of minimising the transmission and impact of acute respiratory infections in pandemic and non-pandemic contexts. Understanding what influences the uptake of non-pharmaceutical interventions such as hand and respiratory hygiene, mask wearing and social distancing could help to inform the development of effective public health advice messages. The aim of this synthesis was to explore public perceptions of non-pharmaceutical interventions that aim to reduce the transmission of acute respiratory infections. Methods: Five online databases (MEDLINE, PsycINFO, CINAHL, EMBASE and Web of Science) were systematically searched. Reference lists of articles were also examined. We selected papers that used a qualitative research design to explore perceptions and beliefs about non-pharmaceutical interventions to reduce transmission of acute respiratory infections. We excluded papers that only explored how health professionals or children viewed non-pharmaceutical respiratory infection control. Three authors performed data extraction and assessment of study quality. Thematic analysis and components of meta-ethnography were adopted to synthesise findings. Results: Seventeen articles from 16 studies in 9 countries were identified and reviewed. Seven key themes were identified: perceived benefits of non-pharmaceutical interventions, perceived disadvantages of non-pharmaceutical interventions, personal and cultural beliefs about infection transmission, diagnostic uncertainty in emerging respiratory infections, perceived vulnerability to infection, anxiety about emerging respiratory infections and communications about emerging respiratory infections. The synthesis showed that some aspects of non-pharmaceutical respiratory infection control ( particularly hand and respiratory hygiene) were viewed as familiar and socially responsible actions to take. There was ambivalence about adopting isolation and personal distancing behaviours in some contexts due to their perceived adverse impact and potential to attract social stigma. Common perceived barriers included beliefs about infection transmission, personal vulnerability to respiratory infection and concerns about self-diagnosis in emerging respiratory infections. Conclusions: People actively evaluate non-pharmaceutical interventions in terms of their perceived necessity, efficacy, acceptability, and feasibility. To enhance uptake, it will be necessary to address key barriers, such as beliefs about infection transmission, rejection of personal risk of infection and concern about the potential costs and stigma associated with some interventions.</w:t>
      </w:r>
    </w:p>
    <w:p w:rsidR="001D4E3C" w:rsidRDefault="001D4E3C" w:rsidP="001D4E3C">
      <w:pPr>
        <w:pStyle w:val="a3"/>
        <w:rPr>
          <w:kern w:val="0"/>
          <w:szCs w:val="24"/>
        </w:rPr>
      </w:pPr>
      <w:r>
        <w:rPr>
          <w:kern w:val="0"/>
          <w:szCs w:val="24"/>
        </w:rPr>
        <w:t xml:space="preserve">Keywords: Acceptability, Analysis, Anxiety, Articles, Assessment, Authors, Barriers, Benefits, Children, Communications, Control, Costs, Cultural, Data, Databases, Design, Development, Diagnostic, Efficacy, Embase, Extraction, Familiar, Feasibility, Health, Health Professionals, Hong-Kong, Hygiene, Impact, Infection, </w:t>
      </w:r>
      <w:r>
        <w:rPr>
          <w:kern w:val="0"/>
          <w:szCs w:val="24"/>
        </w:rPr>
        <w:lastRenderedPageBreak/>
        <w:t>Infection Control, Infections, Interventions, Low Cost, Medline, Methods, Non-Pharmaceutical Intervention, Online, Outbreak, Pandemic Influenza, Papers, Potential, Preventive Behaviors, Psychological Responses, Psycinfo, Public, Public Health, Qualitative, Qualitative Research, Quality, Reference, Reference Lists, Rejection, Research, Research Design, Respiratory Infection, Results, Review, Risk, Sars, Science, Social, Social Representation, Stigma, Swine Flu, Synthesis, Systematic, Systematic Review, Thematic Synthesis, Transmission, Uncertainty, Uptake, Vulnerability, Web Of Science</w:t>
      </w:r>
    </w:p>
    <w:p w:rsidR="001D4E3C" w:rsidRDefault="001D4E3C" w:rsidP="001D4E3C">
      <w:pPr>
        <w:pStyle w:val="a3"/>
        <w:rPr>
          <w:kern w:val="0"/>
        </w:rPr>
      </w:pPr>
      <w:r>
        <w:rPr>
          <w:rFonts w:hint="eastAsia"/>
          <w:kern w:val="0"/>
          <w:szCs w:val="24"/>
        </w:rPr>
        <w:t xml:space="preserve">? </w:t>
      </w:r>
      <w:r>
        <w:rPr>
          <w:kern w:val="0"/>
          <w:szCs w:val="24"/>
        </w:rPr>
        <w:t xml:space="preserve">French, R.S., Bonell, C., Wellings, K. and Weatherburn, P. (2014), An exploratory review of HIV prevention mass media campaigns targeting men who have sex with men. </w:t>
      </w:r>
      <w:r>
        <w:rPr>
          <w:i/>
          <w:iCs/>
          <w:kern w:val="0"/>
          <w:szCs w:val="24"/>
        </w:rPr>
        <w:t>BMC Public Health</w:t>
      </w:r>
      <w:r>
        <w:rPr>
          <w:kern w:val="0"/>
          <w:szCs w:val="24"/>
        </w:rPr>
        <w:t xml:space="preserve">, </w:t>
      </w:r>
      <w:r>
        <w:rPr>
          <w:b/>
          <w:bCs/>
          <w:kern w:val="0"/>
          <w:szCs w:val="24"/>
        </w:rPr>
        <w:t>14</w:t>
      </w:r>
      <w:r>
        <w:rPr>
          <w:kern w:val="0"/>
        </w:rPr>
        <w:t>, Article Number: 6</w:t>
      </w:r>
      <w:r>
        <w:rPr>
          <w:rFonts w:hint="eastAsia"/>
          <w:kern w:val="0"/>
        </w:rPr>
        <w:t>16</w:t>
      </w:r>
      <w:r>
        <w:rPr>
          <w:kern w:val="0"/>
        </w:rPr>
        <w:t>.</w:t>
      </w:r>
    </w:p>
    <w:p w:rsidR="001D4E3C" w:rsidRDefault="001D4E3C" w:rsidP="001D4E3C">
      <w:pPr>
        <w:pStyle w:val="a3"/>
        <w:rPr>
          <w:kern w:val="0"/>
        </w:rPr>
      </w:pPr>
      <w:r>
        <w:rPr>
          <w:kern w:val="0"/>
        </w:rPr>
        <w:t xml:space="preserve">Full Text: </w:t>
      </w:r>
      <w:hyperlink r:id="rId1720" w:history="1">
        <w:r w:rsidRPr="00F65DF7">
          <w:rPr>
            <w:rStyle w:val="a5"/>
            <w:kern w:val="0"/>
          </w:rPr>
          <w:t>2014\BMC Pub Hea14, 616.pdf</w:t>
        </w:r>
      </w:hyperlink>
    </w:p>
    <w:p w:rsidR="001D4E3C" w:rsidRDefault="001D4E3C" w:rsidP="001D4E3C">
      <w:pPr>
        <w:pStyle w:val="a3"/>
        <w:rPr>
          <w:kern w:val="0"/>
          <w:szCs w:val="24"/>
        </w:rPr>
      </w:pPr>
      <w:r>
        <w:rPr>
          <w:kern w:val="0"/>
          <w:szCs w:val="24"/>
        </w:rPr>
        <w:t xml:space="preserve">Abstract: Background: Men who have sex with men (MSM) are at increased risk of HIV infection in both high- and low-income settings. Mass media campaigns have been used as a means of communicating HIV health promotion messages to large audiences of MSM. There is no consensus on which designs are most appropriate to evaluate the process and outcomes of such interventions. Methods: An exploratory review was conducted to assess research examining awareness, acceptability, effects on HIV testing, disclosure and sexual risk, and cost-effectiveness of HIV mass media campaigns targeting MSM. We searched for quantitative and qualitative studies published between 1990 and May 2011 via the Cochrane Central Register of Controlled Trials, MEDLINE, EMBASE, Psych Info, ISI Web of Science, OpenGrey and COPAC, and contacting experts. No exclusions were made on the basis of study design or methods because our primary aim was to map evidence. We appraised study quality and present a narrative synthesis of findings. Results: Sixteen reports from 12 studies were included. All were from high-income countries and most examined multi-media interventions. Half of the studies were single cross-sectional surveys. Three repeat cross-sectional studies collected data pre and post the campaign launch. The remaining three studies monitored routine data. Three studies included a nested qualitative component. Campaign coverage was the most commonly reported outcome (9 studies). Imagery, tone of language, content and relevance were identified in the qualitative research as factors influencing campaign acceptability. HIV testing rates (or intention to test) were reported by five studies. Two studies reported that testing rates were higher among men who had seen the campaigns compared to men who had not, but this may reflect confounding. Findings were less consistent regarding reductions in sexual risk behaviours (4 studies). None of the studies examined cost effectiveness. Conclusions: Campaigns aim to provide MSM with information to help prevent transmission of HIV and to address increasing motivation and changing norms towards precautionary behaviours. </w:t>
      </w:r>
      <w:r>
        <w:rPr>
          <w:kern w:val="0"/>
          <w:szCs w:val="24"/>
        </w:rPr>
        <w:lastRenderedPageBreak/>
        <w:t>However, the limitations of mass media in imparting skills in effecting behaviour change should be recognised, and campaigns supplemented by additional components may be better-suited to achieving these goals.</w:t>
      </w:r>
    </w:p>
    <w:p w:rsidR="001D4E3C" w:rsidRDefault="001D4E3C" w:rsidP="001D4E3C">
      <w:pPr>
        <w:pStyle w:val="a3"/>
        <w:rPr>
          <w:kern w:val="0"/>
          <w:szCs w:val="24"/>
        </w:rPr>
      </w:pPr>
      <w:r>
        <w:rPr>
          <w:kern w:val="0"/>
          <w:szCs w:val="24"/>
        </w:rPr>
        <w:t>Keywords: Acceptability, Awareness, Behavior, Behaviour, Communication Campaigns, Confounding, Consensus, Cost, Cost Effectiveness, Cost-Effectiveness, Coverage, Cross-Sectional Studies, Data, Design, Disclosure, Effectiveness, Effects, Embase, Evidence, Experts, Gay, Health, Health Promotion, Hiv, Hiv Infection, Infection, Information, Interventions, Isi, Isi Web Of Science, Language, Mass Media, Media, Medline, Men, Men Who Have Sex With Men, Methods, Motivation, Nested, Norms, Outcome, Outcomes, Prevent, Prevention, Primary, Progress, Promotion, Public-Health Interventions, Qualitative, Qualitative Research, Quality, Rates, Relevance, Research, Results, Review, Risk, Science, Sex, Statement, Study Design, Surveys, Synthesis, Systematic Review, Targeting, Testing, Tone, Transmission, Web Of Science</w:t>
      </w:r>
    </w:p>
    <w:p w:rsidR="00080BC1" w:rsidRDefault="00080BC1" w:rsidP="00080BC1">
      <w:pPr>
        <w:pStyle w:val="a3"/>
        <w:rPr>
          <w:kern w:val="0"/>
        </w:rPr>
      </w:pPr>
      <w:r>
        <w:rPr>
          <w:kern w:val="0"/>
        </w:rPr>
        <w:t xml:space="preserve">? Tang, B.H., Liu, X., Liu, Y., Xue, C. and Zhang, L.L. (2014), A meta-analysis of risk factors for depression in adults and children after natural disasters. </w:t>
      </w:r>
      <w:r>
        <w:rPr>
          <w:i/>
          <w:iCs/>
          <w:kern w:val="0"/>
        </w:rPr>
        <w:t>BMC Public Health</w:t>
      </w:r>
      <w:r>
        <w:rPr>
          <w:kern w:val="0"/>
        </w:rPr>
        <w:t xml:space="preserve">, </w:t>
      </w:r>
      <w:r>
        <w:rPr>
          <w:b/>
          <w:bCs/>
          <w:kern w:val="0"/>
        </w:rPr>
        <w:t>14</w:t>
      </w:r>
      <w:r>
        <w:rPr>
          <w:kern w:val="0"/>
        </w:rPr>
        <w:t>, Article Number: 623.</w:t>
      </w:r>
    </w:p>
    <w:p w:rsidR="00080BC1" w:rsidRDefault="00080BC1" w:rsidP="00080BC1">
      <w:pPr>
        <w:pStyle w:val="a3"/>
        <w:rPr>
          <w:kern w:val="0"/>
        </w:rPr>
      </w:pPr>
      <w:r>
        <w:rPr>
          <w:kern w:val="0"/>
        </w:rPr>
        <w:t xml:space="preserve">Full Text: </w:t>
      </w:r>
      <w:hyperlink r:id="rId1721" w:history="1">
        <w:r>
          <w:rPr>
            <w:rStyle w:val="a5"/>
          </w:rPr>
          <w:t>2014\BMC Pub Hea14, 623.pdf</w:t>
        </w:r>
      </w:hyperlink>
    </w:p>
    <w:p w:rsidR="00080BC1" w:rsidRDefault="00080BC1" w:rsidP="00080BC1">
      <w:pPr>
        <w:pStyle w:val="a3"/>
        <w:rPr>
          <w:kern w:val="0"/>
        </w:rPr>
      </w:pPr>
      <w:r>
        <w:rPr>
          <w:kern w:val="0"/>
        </w:rPr>
        <w:t xml:space="preserve">Abstract: Background: A number of studies have shown a range of negative psychological symptoms (e.g. depression) after exposure to natural disasters. The aim of this study was to determine risk factors for depression in both children and adults who have survived natural disasters. Methods: Four electronic databases (PubMed, Embase, Web of Science, and PsychInfo) were used to search for observational studies (case-control, cross-sectional, and cohort studies) about depression following natural disasters. The literature search, study selection, and data extraction were conducted independently by two authors. Thirty-one articles were included in the study, of which twenty included adult participants and eleven included child participants. Summary estimates were obtained using random-effects models. Subgroup analysis, sensitivity analysis, and publication bias tests were performed on the data. Results: The prevalence of depression after natural disasters ranged from 5.8% to 54.0% in adults and from 7.5% to 44.8% in children. We found a number of risk factors for depression after exposure to natural disasters. For adults, the significant predictors were being female; not married; holding religious beliefs; having poor education; prior trauma; experiencing fear, injury, or bereavement during the disaster; or losing employment or property, suffering house damage as a result of the disaster. For children, the significant predictors were prior trauma; being trapped during the disaster; experiencing injury, fear, or bereavement during the disaster; witnessing injury/death during the disaster; or having poor social support. Conclusions: The current analysis provides evidence of risk factors for depression in </w:t>
      </w:r>
      <w:r>
        <w:rPr>
          <w:kern w:val="0"/>
        </w:rPr>
        <w:lastRenderedPageBreak/>
        <w:t>survivors of natural disasters. Further research is necessary to design interventions to improve the mental health of survivors of natural disasters.</w:t>
      </w:r>
    </w:p>
    <w:p w:rsidR="00080BC1" w:rsidRDefault="00080BC1" w:rsidP="00080BC1">
      <w:pPr>
        <w:pStyle w:val="a3"/>
        <w:rPr>
          <w:kern w:val="0"/>
        </w:rPr>
      </w:pPr>
      <w:r>
        <w:rPr>
          <w:kern w:val="0"/>
        </w:rPr>
        <w:t>Keywords: Adult, Adults, Analysis, Anxiety, Articles, Authors, Bias, Case-Control, Child, Children, Cohort, Comorbidity, Damage, Data, Databases, Depression, Design, Disasters, Earthquake Survivors, Education, Employment, Estimates, Evidence, Exposure, Extraction, Fear, Female, Hard-Hit Areas, Health, Injury, Interventions, Literature, Literature Search, Mental Health, Mental-Health Problems, Meta Analysis, Meta-Analysis, Metaanalysis, Methods, Models, Natural, Natural Disasters, Observational, Observational Studies, Population, Posttraumatic-Stress-Disorder, Predictors, Prevalence, Property, Psychological, Publication, Publication Bias, Pubmed, Research, Results, Risk, Risk Factors, Science, Selection, Sensitivity, Sensitivity Analysis, Social, Social Support, Southern Thailand, Suffering, Support, Symptoms, Trauma, Tsunami-Affected Areas, Web Of Science, Wenchuan Earthquake</w:t>
      </w:r>
    </w:p>
    <w:p w:rsidR="00643020" w:rsidRDefault="00643020" w:rsidP="00643020">
      <w:pPr>
        <w:pStyle w:val="a3"/>
        <w:rPr>
          <w:kern w:val="0"/>
        </w:rPr>
      </w:pPr>
      <w:r>
        <w:rPr>
          <w:kern w:val="0"/>
        </w:rPr>
        <w:t xml:space="preserve">? Zacca-González, G., Chinchilla-Rodríguez, Z., Vargas-Quesada, B. and de Moya-Anegón, F. (2014), Bibliometric analysis of regional Latin America’s scientific output in Public Health through SCImago Journal &amp; Country Rank. </w:t>
      </w:r>
      <w:r>
        <w:rPr>
          <w:i/>
          <w:iCs/>
          <w:kern w:val="0"/>
        </w:rPr>
        <w:t>BMC Public Health</w:t>
      </w:r>
      <w:r>
        <w:rPr>
          <w:kern w:val="0"/>
        </w:rPr>
        <w:t xml:space="preserve">, </w:t>
      </w:r>
      <w:r>
        <w:rPr>
          <w:b/>
          <w:bCs/>
          <w:kern w:val="0"/>
        </w:rPr>
        <w:t>14</w:t>
      </w:r>
      <w:r w:rsidR="00080BC1">
        <w:rPr>
          <w:rFonts w:hint="eastAsia"/>
          <w:kern w:val="0"/>
        </w:rPr>
        <w:t xml:space="preserve">, </w:t>
      </w:r>
      <w:r>
        <w:rPr>
          <w:kern w:val="0"/>
        </w:rPr>
        <w:t>Article Number: 632.</w:t>
      </w:r>
    </w:p>
    <w:p w:rsidR="00643020" w:rsidRDefault="00643020" w:rsidP="00643020">
      <w:pPr>
        <w:pStyle w:val="a3"/>
        <w:rPr>
          <w:kern w:val="0"/>
        </w:rPr>
      </w:pPr>
      <w:r>
        <w:rPr>
          <w:kern w:val="0"/>
        </w:rPr>
        <w:t xml:space="preserve">Full Text: </w:t>
      </w:r>
      <w:hyperlink r:id="rId1722" w:history="1">
        <w:r>
          <w:rPr>
            <w:rStyle w:val="a5"/>
          </w:rPr>
          <w:t>2014\BMC Pub Hea14, 632.pdf</w:t>
        </w:r>
      </w:hyperlink>
    </w:p>
    <w:p w:rsidR="00643020" w:rsidRDefault="00643020" w:rsidP="00643020">
      <w:pPr>
        <w:pStyle w:val="a3"/>
        <w:rPr>
          <w:kern w:val="0"/>
        </w:rPr>
      </w:pPr>
      <w:r>
        <w:rPr>
          <w:kern w:val="0"/>
        </w:rPr>
        <w:t xml:space="preserve">Abstract: Background: In the greater framework of the essential functions of Public Health, our focus is on a systematic, objective, external evaluation of Latin American scientific output, to compare its publications in the area of Public Health with those of other major geographic zones. We aim to describe the regional distribution of output in Public Health, and the level of visibility and specialization, for Latin America; it can then be characterized and compared in the international context. Methods: The primary source of information was the Scopus database, using the category “Public Health, Environmental and Occupational Health”, in the period 1996-2011. Data were obtained through the portal of SCImago Journal and Country Rank. Using a set of qualitative (citation-based), quantitative (document recount) and collaborative (authors from more than one country) indicators, we derived complementary data. The methodology serves as an analytical tool for researchers and scientific policy-makers. Results: The contribution of Latin America to the arsenal of world science lies more or less midway on the international scale in terms of its output and visibility. Revealed as its greatest strengths are the high level of specialization in Public Health and the sustained growth of output. The main limitations identified were a relative decrease in collaboration and low visibility. Conclusions: Collaboration is a key factor behind the development of scientific activity in Latin America. Although this finding can be useful for formulating research policy in Latin American countries, it also underlines the need for further </w:t>
      </w:r>
      <w:r>
        <w:rPr>
          <w:kern w:val="0"/>
        </w:rPr>
        <w:lastRenderedPageBreak/>
        <w:t>research into patterns of scientific communication in this region, to arrive at more specific recommendations.</w:t>
      </w:r>
    </w:p>
    <w:p w:rsidR="00643020" w:rsidRDefault="00643020" w:rsidP="00643020">
      <w:pPr>
        <w:pStyle w:val="a3"/>
        <w:rPr>
          <w:kern w:val="0"/>
        </w:rPr>
      </w:pPr>
      <w:r>
        <w:rPr>
          <w:kern w:val="0"/>
        </w:rPr>
        <w:t>Keywords: Activity, Analysis, Authors, Bibliometric, Bibliometric Analysis, Brazil, China, Collaboration, Communication, Complementary, Context, Contribution, Country, Data, Database, Development, Distribution, Environmental, Epidemiology, Evaluation, Fields, Framework, Functions, Growth, Health, Indicators, Information, International, Journal, Latin America, Latin American Countries, Methodology, Methods, Policy, Primary, Public Health, Publications, Qualitative, Rank, Recommendations, Region, Regional, Research, Research Policy, Researchers, Results, Scale, Science, Scientific Communication, Scientific Output, Scimago, Scimago Journal &amp; Country Rank, Scopus, Scopus Database, Source, Systematic, Visibility, World</w:t>
      </w:r>
    </w:p>
    <w:p w:rsidR="00643020" w:rsidRDefault="00643020" w:rsidP="00643020">
      <w:pPr>
        <w:pStyle w:val="a3"/>
        <w:rPr>
          <w:kern w:val="0"/>
        </w:rPr>
      </w:pPr>
      <w:r>
        <w:rPr>
          <w:kern w:val="0"/>
        </w:rPr>
        <w:t xml:space="preserve">? Zyoud, S.H., Al-Jabi, S.W. and Sweileh, W.M. (2014), Worldwide research productivity in the field of electronic cigarette: A bibliometric analysis. </w:t>
      </w:r>
      <w:r>
        <w:rPr>
          <w:i/>
          <w:iCs/>
          <w:kern w:val="0"/>
        </w:rPr>
        <w:t>BMC Public Health</w:t>
      </w:r>
      <w:r>
        <w:rPr>
          <w:kern w:val="0"/>
        </w:rPr>
        <w:t xml:space="preserve">, </w:t>
      </w:r>
      <w:r>
        <w:rPr>
          <w:b/>
          <w:bCs/>
          <w:kern w:val="0"/>
        </w:rPr>
        <w:t>14</w:t>
      </w:r>
      <w:r>
        <w:rPr>
          <w:kern w:val="0"/>
        </w:rPr>
        <w:t>, Article Number: 667.</w:t>
      </w:r>
    </w:p>
    <w:p w:rsidR="00643020" w:rsidRDefault="00643020" w:rsidP="00643020">
      <w:pPr>
        <w:pStyle w:val="a3"/>
        <w:rPr>
          <w:kern w:val="0"/>
        </w:rPr>
      </w:pPr>
      <w:r>
        <w:rPr>
          <w:kern w:val="0"/>
        </w:rPr>
        <w:t xml:space="preserve">Full Text: </w:t>
      </w:r>
      <w:hyperlink r:id="rId1723" w:history="1">
        <w:r>
          <w:rPr>
            <w:rStyle w:val="a5"/>
          </w:rPr>
          <w:t>2014\BMC Pub Hea14, 667.pdf</w:t>
        </w:r>
      </w:hyperlink>
    </w:p>
    <w:p w:rsidR="00643020" w:rsidRDefault="00643020" w:rsidP="00643020">
      <w:pPr>
        <w:pStyle w:val="a3"/>
        <w:rPr>
          <w:kern w:val="0"/>
        </w:rPr>
      </w:pPr>
      <w:r>
        <w:rPr>
          <w:kern w:val="0"/>
        </w:rPr>
        <w:t xml:space="preserve">Abstract: Background: Electronic cigarette (EC) is an emerging phenomenon that is becoming increasingly popular with smokers worldwide. There is a lack of data concerning the evaluation of research productivity in the field of EC originating from the world. The main objectives of this study were to analyse worldwide research output in EC field, and to examine the authorship pattern and the citations retrieved from the Scopus database. Methods: Data were searched for documents with specific words regarding EC as “keywords” in the title. Scientific output was evaluated based on the methodology developed and used in other bibliometric studies by investigation: (a) total and trends of contributions in EC research during all previous years up to the date of data analysis (June 13, 2014); (b) authorship patterns and research productivity; (c) countries contribution; and (d) citations received by the publications. Results: Three hundred and fifty-six documents were retrieved comprising 31.5% original journal articles, 16% letters to the editor, 7.9% review articles, and 44.6% documents that were classified as other types of publications, such as notes or editorials or opinions. The retrieved documents were published in 162 peer-reviewed journals. All retrieved documents were published from 27 countries. the largest number of publications in the field of EC was from the United States of America (USA); (33.7%), followed by the United Kingdom (UK); (11.5%), and Italy (8.1%). The total number of citations at the time of data analysis was 2.277, with an average of 6.4 citations per document and median (interquartile range) of 0.0 (0.0-5.0). The h-index of the retrieved documents was 27. The most productive institutions were Food and Drug Administration, USA (4.2% of total publications) followed by Universita degli Studi di Catania, Italy (3.9%), University of California, </w:t>
      </w:r>
      <w:r>
        <w:rPr>
          <w:kern w:val="0"/>
        </w:rPr>
        <w:lastRenderedPageBreak/>
        <w:t>San Francisco, USA (3.7%). Conclusions: This bibliometric study is a testament to the progress in EC research from the world over the last few years. More effort is needed to bridge the gap in EC-based research and to promote better evaluation of EC, risks, health effects, or control services worldwide.</w:t>
      </w:r>
    </w:p>
    <w:p w:rsidR="00643020" w:rsidRDefault="00643020" w:rsidP="00643020">
      <w:pPr>
        <w:pStyle w:val="a3"/>
        <w:rPr>
          <w:kern w:val="0"/>
        </w:rPr>
      </w:pPr>
      <w:r>
        <w:rPr>
          <w:kern w:val="0"/>
        </w:rPr>
        <w:t>Keywords: Analysis, Articles, Authorship, Authorship Pattern, Bibliometric, Bibliometric Analysis, Bibliometric Studies, Bibliometric Study, Bridge, California, Citations, Contribution, Control, Data, Data Analysis, Database, Device E-Cigarette, Documents, Drug, E-Cigarette, Eastern Arab Countries, Ec, Effects, Electronic Cigarette, Evaluation, Field, Food, Google-Scholar, H Index, H-Index, Health, Institutions, Investigation, Italy, Journal, Journal Articles, Journals, Methodology, Methods, Nicotine Delivery-Systems, Opinions, Pattern, Peer Reviewed Journals, Peer-Reviewed, Period 2003-2012, Productivity, Progress, Publications, Research, Research Output, Research Productivity, Results, Review, Risks, Scientific Output, Scientific Publications, Scopus, Scopus, Scopus Database, Services, Smoking, Tobacco Use, Trends, UK, United Kingdom, United States, University, USA, Web-Of-Science, World</w:t>
      </w:r>
    </w:p>
    <w:p w:rsidR="005433A3" w:rsidRDefault="005433A3" w:rsidP="005433A3">
      <w:pPr>
        <w:pStyle w:val="a3"/>
        <w:rPr>
          <w:kern w:val="0"/>
        </w:rPr>
      </w:pPr>
      <w:r>
        <w:rPr>
          <w:rFonts w:hint="eastAsia"/>
          <w:kern w:val="0"/>
        </w:rPr>
        <w:t xml:space="preserve">? </w:t>
      </w:r>
      <w:r>
        <w:rPr>
          <w:kern w:val="0"/>
        </w:rPr>
        <w:t xml:space="preserve">Galdas, P., Darwin, Z., Kidd, L., Blickem, C., McPherson, K., Hunt, K., Bower, P., Gilbody, S. and Richardson, G. (2014), The accessibility and acceptability of self-management support interventions for men with long term conditions: A systematic review and meta-synthesis of qualitative studies. </w:t>
      </w:r>
      <w:r>
        <w:rPr>
          <w:i/>
          <w:iCs/>
          <w:kern w:val="0"/>
        </w:rPr>
        <w:t>BMC Public Health</w:t>
      </w:r>
      <w:r>
        <w:rPr>
          <w:kern w:val="0"/>
        </w:rPr>
        <w:t xml:space="preserve">, </w:t>
      </w:r>
      <w:r>
        <w:rPr>
          <w:b/>
          <w:bCs/>
          <w:kern w:val="0"/>
        </w:rPr>
        <w:t>14</w:t>
      </w:r>
      <w:r>
        <w:rPr>
          <w:rFonts w:hint="eastAsia"/>
          <w:kern w:val="0"/>
        </w:rPr>
        <w:t>,</w:t>
      </w:r>
      <w:r w:rsidRPr="00207E0E">
        <w:rPr>
          <w:kern w:val="0"/>
        </w:rPr>
        <w:t xml:space="preserve"> </w:t>
      </w:r>
      <w:r>
        <w:rPr>
          <w:kern w:val="0"/>
        </w:rPr>
        <w:t xml:space="preserve">Article Number: </w:t>
      </w:r>
      <w:r>
        <w:rPr>
          <w:rFonts w:hint="eastAsia"/>
          <w:kern w:val="0"/>
        </w:rPr>
        <w:t>1230</w:t>
      </w:r>
      <w:r>
        <w:rPr>
          <w:kern w:val="0"/>
        </w:rPr>
        <w:t>.</w:t>
      </w:r>
    </w:p>
    <w:p w:rsidR="005433A3" w:rsidRDefault="005433A3" w:rsidP="005433A3">
      <w:pPr>
        <w:pStyle w:val="a3"/>
        <w:rPr>
          <w:kern w:val="0"/>
        </w:rPr>
      </w:pPr>
      <w:r>
        <w:rPr>
          <w:kern w:val="0"/>
        </w:rPr>
        <w:t xml:space="preserve">Full Text: </w:t>
      </w:r>
      <w:hyperlink r:id="rId1724" w:history="1">
        <w:r w:rsidRPr="00E02CF5">
          <w:rPr>
            <w:rStyle w:val="a5"/>
            <w:kern w:val="0"/>
          </w:rPr>
          <w:t>2014\BMC Pub Hea14, 1230.pdf</w:t>
        </w:r>
      </w:hyperlink>
    </w:p>
    <w:p w:rsidR="005433A3" w:rsidRDefault="005433A3" w:rsidP="005433A3">
      <w:pPr>
        <w:pStyle w:val="a3"/>
        <w:rPr>
          <w:kern w:val="0"/>
        </w:rPr>
      </w:pPr>
      <w:r>
        <w:rPr>
          <w:kern w:val="0"/>
        </w:rPr>
        <w:t xml:space="preserve">Abstract: Background: Self-management support interventions can improve health outcomes, but their impact is limited by the numbers of people able or willing to access them. Men’s attendance at existing self-management support services appears suboptimal despite their increased risk of developing many of the most serious long term conditions. The aim of this review was to determine whether current self-management support interventions are acceptable and accessible to men with long term conditions, and explore what may act as facilitators and barriers to access of interventions and support activities. Methods: A systematic search for qualitative research was undertaken on CINAHL, EMBASE, MEDLINE, PsycINFO and Social Science Citation Index, in July 2013. Reference lists of relevant articles were also examined. Studies that used a qualitative design to explore men’s experiences of, or perceptions towards, self-management support for one or more long term condition were included. Studies which focused on experiences of living with a long term condition without consideration of self-management support were excluded. Thirty-eight studies met the inclusion criteria. A meta-ethnography approach was employed to synthesise the findings. Results: Four constructs associated with men’s experience of, and perceptions towards, self-management support were identified: 1) </w:t>
      </w:r>
      <w:r>
        <w:rPr>
          <w:kern w:val="0"/>
        </w:rPr>
        <w:lastRenderedPageBreak/>
        <w:t>need for purpose; 2) trusted environments; 3) value of peers; and 4) becoming an expert. The synthesis showed that men may feel less comfortable participating in self-management support if it is viewed as incongruous with valued aspects of their identity, particularly when activities are perceived to challenge masculine ideals associated with independence, stoicism, and control. Men may find self-management support more attractive when it is perceived as action-oriented, having a clear purpose, and offering personally meaningful information and practical strategies that can be integrated into daily life. Conclusions: Self-management support is most likely to be successful in engaging men when it is congruent with key aspects of their masculine identity. In order to overcome barriers to access and fully engage with interventions, some men may need self-management support interventions to be delivered in an environment that offers a sense of shared understanding, connectedness, and normality, and involves and/or is facilitated by men with a shared illness experience.</w:t>
      </w:r>
    </w:p>
    <w:p w:rsidR="005433A3" w:rsidRDefault="005433A3" w:rsidP="005433A3">
      <w:pPr>
        <w:pStyle w:val="a3"/>
        <w:rPr>
          <w:kern w:val="0"/>
        </w:rPr>
      </w:pPr>
      <w:r>
        <w:rPr>
          <w:kern w:val="0"/>
        </w:rPr>
        <w:t>Keywords: Acceptability, Access, Approach, Articles, Barriers, Challenge, Chronic Illness, Citation, Control, Criteria, Design, Developing, Embase, Environment, Experience, Gay Men, Health, Health Outcomes, Health-Care Utilization, Help-Seeking, Impact, Information, Integrated, Interventions, Life, Living, Long Term, Long Term Conditions, Long-Term, Masculinity, Medline, Men, Men’S Health, Methods, Nov, Outcomes, Physical-Activity, Professional Football Clubs, Prostate-Cancer, Psycinfo, Purpose, Qualitative, Qualitative Research, Randomized Controlled-Trial, Reference, Reference Lists, Research, Results, Review, Risk, Science, Science Citation Index, Self Management, Self-Management, Services, Social Science Citation Index, Social Support, Support, Synthesis, Systematic, Systematic Review, Term, Thematic Analysis, Understanding, Value</w:t>
      </w:r>
    </w:p>
    <w:p w:rsidR="005433A3" w:rsidRDefault="005433A3" w:rsidP="005433A3">
      <w:pPr>
        <w:pStyle w:val="a3"/>
        <w:rPr>
          <w:kern w:val="0"/>
        </w:rPr>
      </w:pPr>
      <w:r>
        <w:rPr>
          <w:rFonts w:hint="eastAsia"/>
          <w:kern w:val="0"/>
        </w:rPr>
        <w:t xml:space="preserve">? </w:t>
      </w:r>
      <w:r>
        <w:rPr>
          <w:kern w:val="0"/>
        </w:rPr>
        <w:t xml:space="preserve">van der Deijl, M., Etman, A., Kamphuis, C.B.M. and van Lenthe, F.J. (2014), Participation levels of physical activity programs for community-dwelling older adults: A systematic review. </w:t>
      </w:r>
      <w:r>
        <w:rPr>
          <w:i/>
          <w:iCs/>
          <w:kern w:val="0"/>
        </w:rPr>
        <w:t>BMC Public Health</w:t>
      </w:r>
      <w:r>
        <w:rPr>
          <w:kern w:val="0"/>
        </w:rPr>
        <w:t xml:space="preserve">, </w:t>
      </w:r>
      <w:r>
        <w:rPr>
          <w:b/>
          <w:bCs/>
          <w:kern w:val="0"/>
        </w:rPr>
        <w:t>14</w:t>
      </w:r>
      <w:r>
        <w:rPr>
          <w:rFonts w:hint="eastAsia"/>
          <w:kern w:val="0"/>
        </w:rPr>
        <w:t>,</w:t>
      </w:r>
      <w:r w:rsidRPr="00207E0E">
        <w:rPr>
          <w:kern w:val="0"/>
        </w:rPr>
        <w:t xml:space="preserve"> </w:t>
      </w:r>
      <w:r>
        <w:rPr>
          <w:kern w:val="0"/>
        </w:rPr>
        <w:t xml:space="preserve">Article Number: </w:t>
      </w:r>
      <w:r>
        <w:rPr>
          <w:rFonts w:hint="eastAsia"/>
          <w:kern w:val="0"/>
        </w:rPr>
        <w:t>1301</w:t>
      </w:r>
      <w:r>
        <w:rPr>
          <w:kern w:val="0"/>
        </w:rPr>
        <w:t>.</w:t>
      </w:r>
    </w:p>
    <w:p w:rsidR="005433A3" w:rsidRDefault="005433A3" w:rsidP="005433A3">
      <w:pPr>
        <w:pStyle w:val="a3"/>
        <w:rPr>
          <w:kern w:val="0"/>
        </w:rPr>
      </w:pPr>
      <w:r>
        <w:rPr>
          <w:kern w:val="0"/>
        </w:rPr>
        <w:t xml:space="preserve">Full Text: </w:t>
      </w:r>
      <w:hyperlink r:id="rId1725" w:history="1">
        <w:r w:rsidRPr="00E02CF5">
          <w:rPr>
            <w:rStyle w:val="a5"/>
            <w:kern w:val="0"/>
          </w:rPr>
          <w:t>2014\BMC Pub Hea14, 1301.pdf</w:t>
        </w:r>
      </w:hyperlink>
    </w:p>
    <w:p w:rsidR="005433A3" w:rsidRDefault="005433A3" w:rsidP="005433A3">
      <w:pPr>
        <w:pStyle w:val="a3"/>
        <w:rPr>
          <w:kern w:val="0"/>
        </w:rPr>
      </w:pPr>
      <w:r>
        <w:rPr>
          <w:kern w:val="0"/>
        </w:rPr>
        <w:t xml:space="preserve">Abstract: Background: Although many physical activity (PA) programs have been implemented and tested for effectiveness, high participation levels are needed in order to achieve public health impact. This study aimed to determine participation levels of PA programs aimed to improve PA among community-dwelling older adults. Methods: We searched five databases up until March 2013 (PubMed, PubMed publisher, Cochrane Library, EMBASE, and Web of Science) to identify English-written studies investigating the effect of PA programs on at least one component of PA (e.g. frequency, duration) among community-dwelling populations (i.e. not in a primary care setting and/or assisted living or nursing home) of persons aged 55 years and older. Proportions of participants starting and completing the PA </w:t>
      </w:r>
      <w:r>
        <w:rPr>
          <w:kern w:val="0"/>
        </w:rPr>
        <w:lastRenderedPageBreak/>
        <w:t>programs (initial and sustained participation, respectively) were determined. Results: The search strategy yielded 11,994 records of which 16 studies were included reporting on 17 PA programs. The number of participants enrolled in the PA programs ranged between 24 and 582 persons. For 12 PA programs it was not possible to calculate initial participation because the number of older adults invited to participate was unknown due to convenience sampling. Of the five remaining programs, mean initial participation level was 9.2% (+/- 5.7%). Mean sustained participation level of all 17 programs was 79.8% (+/- 13.2%). Conclusions: Understanding how to optimize initial participation of older adults in PA programs deserves more attention in order to improve the population impact of PA programs for community-dwelling older adults.</w:t>
      </w:r>
    </w:p>
    <w:p w:rsidR="005433A3" w:rsidRDefault="005433A3" w:rsidP="005433A3">
      <w:pPr>
        <w:pStyle w:val="a3"/>
        <w:rPr>
          <w:kern w:val="0"/>
        </w:rPr>
      </w:pPr>
      <w:r>
        <w:rPr>
          <w:kern w:val="0"/>
        </w:rPr>
        <w:t>Keywords: Activity, Aged, Assisted Living, Attention, Care, Databases, Determinants, Duration, Effectiveness, Elderly, Embase, Exercise, Exercise Program, Health, Home, Impact, Intervention, Intervention Program, Living, Mean, Methods, Nursing, Nursing Home, Older, Older Adults, Participation, Participation Level, People, Physical, Physical Activity, Population, Populations, Primary, Primary Care, Public, Public Health, Publisher, Pubmed, Quality-Of-Life, Randomized Controlled-Trial, Records, Reporting, Results, Review, Sampling, Science, Search Strategy, Statement, Strategy, Systematic, Systematic Review, Walking, Web, Web Of Science</w:t>
      </w:r>
    </w:p>
    <w:p w:rsidR="002A32BD" w:rsidRDefault="002A32BD" w:rsidP="002A32BD">
      <w:pPr>
        <w:pStyle w:val="a3"/>
        <w:rPr>
          <w:kern w:val="0"/>
        </w:rPr>
      </w:pPr>
      <w:r>
        <w:rPr>
          <w:rFonts w:hint="eastAsia"/>
          <w:kern w:val="0"/>
        </w:rPr>
        <w:t xml:space="preserve">? </w:t>
      </w:r>
      <w:r>
        <w:rPr>
          <w:kern w:val="0"/>
        </w:rPr>
        <w:t xml:space="preserve">Norstrom, F., Virtanen, P., Hammarstrom, A., Gustafsson, P.E. and Janlert, U. (2014), How does unemployment affect self-assessed health? A systematic review focusing on subgroup effects. </w:t>
      </w:r>
      <w:r>
        <w:rPr>
          <w:i/>
          <w:iCs/>
          <w:kern w:val="0"/>
        </w:rPr>
        <w:t>BMC Public Health</w:t>
      </w:r>
      <w:r>
        <w:rPr>
          <w:kern w:val="0"/>
        </w:rPr>
        <w:t xml:space="preserve">, </w:t>
      </w:r>
      <w:r>
        <w:rPr>
          <w:b/>
          <w:bCs/>
          <w:kern w:val="0"/>
        </w:rPr>
        <w:t>14</w:t>
      </w:r>
      <w:r>
        <w:rPr>
          <w:rFonts w:hint="eastAsia"/>
          <w:kern w:val="0"/>
        </w:rPr>
        <w:t>,</w:t>
      </w:r>
      <w:r w:rsidRPr="00207E0E">
        <w:rPr>
          <w:kern w:val="0"/>
        </w:rPr>
        <w:t xml:space="preserve"> </w:t>
      </w:r>
      <w:r>
        <w:rPr>
          <w:kern w:val="0"/>
        </w:rPr>
        <w:t xml:space="preserve">Article Number: </w:t>
      </w:r>
      <w:r>
        <w:rPr>
          <w:rFonts w:hint="eastAsia"/>
          <w:kern w:val="0"/>
        </w:rPr>
        <w:t>1310</w:t>
      </w:r>
      <w:r>
        <w:rPr>
          <w:kern w:val="0"/>
        </w:rPr>
        <w:t>.</w:t>
      </w:r>
    </w:p>
    <w:p w:rsidR="002A32BD" w:rsidRDefault="002A32BD" w:rsidP="002A32BD">
      <w:pPr>
        <w:pStyle w:val="a3"/>
        <w:rPr>
          <w:kern w:val="0"/>
        </w:rPr>
      </w:pPr>
      <w:r>
        <w:rPr>
          <w:kern w:val="0"/>
        </w:rPr>
        <w:t xml:space="preserve">Full Text: </w:t>
      </w:r>
      <w:hyperlink r:id="rId1726" w:history="1">
        <w:r w:rsidRPr="00443DB0">
          <w:rPr>
            <w:rStyle w:val="a5"/>
            <w:kern w:val="0"/>
          </w:rPr>
          <w:t>2014\BMC Pub Hea14, 1310.pdf</w:t>
        </w:r>
      </w:hyperlink>
    </w:p>
    <w:p w:rsidR="002A32BD" w:rsidRDefault="002A32BD" w:rsidP="002A32BD">
      <w:pPr>
        <w:pStyle w:val="a3"/>
        <w:rPr>
          <w:kern w:val="0"/>
        </w:rPr>
      </w:pPr>
      <w:r>
        <w:rPr>
          <w:kern w:val="0"/>
        </w:rPr>
        <w:t xml:space="preserve">Abstract: Background: Almost all studies on the effect on health from unemployment have concluded that unemployment is bad for your health. However, only a few review articles have dealt with this relation in recent years, and none of them have focused on the analysis of subgroups such as age, gender, and marital status. The objective of our article is to review how unemployment relates to self-assessed health with a focus on its effect on subgroups. Methods: A search was performed in Web of Science to find articles that measured the effect on health from unemployment. The selection of articles was limited to those written in English, consisting of original data, and published in 2003 or later. Our definition of health was restricted to self-assessed health. Mortality-and morbidity-related measurements were therefore not included in our analysis. For the 41 articles included, information about health measurements, employment status definitions, other factors included in the statistical analysis, study design (including study population), and statistical method were collected with the aim of analysing the results on both the population and factor level. Results: Most of the studies in our review showed a negative effect on health from unemployment on a population basis. Results at the factor levels were most common </w:t>
      </w:r>
      <w:r>
        <w:rPr>
          <w:kern w:val="0"/>
        </w:rPr>
        <w:lastRenderedPageBreak/>
        <w:t>for gender (25 articles), age (11 articles), geographic location (8 articles), and education level (5 articles). The analysis showed that there was a health effect for gender, age, education level, household income, and geographic location. However, this effect differed between studies and no clear pattern on who benefits or suffers more among these groups could be determined. The result instead seemed to depend on the study context. The only clear patterns of association found were for socioeconomic status (manual workers suffer more), reason for unemployment (being unemployed due to health reasons is worse), and social network (a strong network is beneficial). Conclusions: Unemployment affects groups of individuals differently. We believe that a greater effort should be spent on specific groups of individuals, such as men or women, instead of the population as a whole when analysing the effect of unemployment on health.</w:t>
      </w:r>
    </w:p>
    <w:p w:rsidR="002A32BD" w:rsidRDefault="002A32BD" w:rsidP="002A32BD">
      <w:pPr>
        <w:pStyle w:val="a3"/>
        <w:rPr>
          <w:kern w:val="0"/>
        </w:rPr>
      </w:pPr>
      <w:r>
        <w:rPr>
          <w:kern w:val="0"/>
        </w:rPr>
        <w:t>Keywords: Affect, Age, Analysis, Article, Articles, Association, Benefits, Consequences, Context, Data, Definition, Design, Education, Effects, Employment, Employment Status, English, Factors, Family Status, From, Gender, Groups, Health, Impact, Income, Information, Job Loss, Labor-Market, Location, Marital Status, Men, Mental-Health, Methods, Negative, Network, Pattern, Population, Psychological Health, Rated Health, Recent, Results, Review, Science, Selection, Social, Social Network, Socioeconomic Status, Statistical Analysis, Study Design, Subgroups, Systematic, Systematic Review, Unemployed, Unemployment, Web, Web Of Science, Women</w:t>
      </w:r>
    </w:p>
    <w:p w:rsidR="00123556" w:rsidRDefault="00123556" w:rsidP="00123556">
      <w:pPr>
        <w:pStyle w:val="a3"/>
        <w:rPr>
          <w:kern w:val="0"/>
        </w:rPr>
      </w:pPr>
      <w:r>
        <w:rPr>
          <w:rFonts w:hint="eastAsia"/>
          <w:kern w:val="0"/>
        </w:rPr>
        <w:t xml:space="preserve">? </w:t>
      </w:r>
      <w:r>
        <w:rPr>
          <w:kern w:val="0"/>
        </w:rPr>
        <w:t xml:space="preserve">Owiti, J.A., Greenhalgh, T., Sweeney, L., Foster, G.R. and Bhui, K.S. (2015), Illness perceptions and explanatory models of viral hepatitis B &amp; C among immigrants and refugees: A narrative systematic review. </w:t>
      </w:r>
      <w:r>
        <w:rPr>
          <w:i/>
          <w:iCs/>
          <w:kern w:val="0"/>
        </w:rPr>
        <w:t>BMC Public Health</w:t>
      </w:r>
      <w:r>
        <w:rPr>
          <w:kern w:val="0"/>
        </w:rPr>
        <w:t xml:space="preserve">, </w:t>
      </w:r>
      <w:r>
        <w:rPr>
          <w:b/>
          <w:bCs/>
          <w:kern w:val="0"/>
        </w:rPr>
        <w:t>15</w:t>
      </w:r>
      <w:r>
        <w:rPr>
          <w:rFonts w:hint="eastAsia"/>
          <w:kern w:val="0"/>
        </w:rPr>
        <w:t>,</w:t>
      </w:r>
      <w:r w:rsidRPr="00207E0E">
        <w:rPr>
          <w:kern w:val="0"/>
        </w:rPr>
        <w:t xml:space="preserve"> </w:t>
      </w:r>
      <w:r>
        <w:rPr>
          <w:kern w:val="0"/>
        </w:rPr>
        <w:t xml:space="preserve">Article Number: </w:t>
      </w:r>
      <w:r>
        <w:rPr>
          <w:rFonts w:hint="eastAsia"/>
          <w:kern w:val="0"/>
        </w:rPr>
        <w:t>151</w:t>
      </w:r>
      <w:r>
        <w:rPr>
          <w:kern w:val="0"/>
        </w:rPr>
        <w:t>.</w:t>
      </w:r>
    </w:p>
    <w:p w:rsidR="00123556" w:rsidRDefault="00123556" w:rsidP="00123556">
      <w:pPr>
        <w:pStyle w:val="a3"/>
        <w:rPr>
          <w:kern w:val="0"/>
        </w:rPr>
      </w:pPr>
      <w:r>
        <w:rPr>
          <w:kern w:val="0"/>
        </w:rPr>
        <w:t xml:space="preserve">Full Text: </w:t>
      </w:r>
      <w:r w:rsidRPr="00406FEB">
        <w:rPr>
          <w:kern w:val="0"/>
        </w:rPr>
        <w:t>2015\BMC Pub Hea15, 151.pdf</w:t>
      </w:r>
    </w:p>
    <w:p w:rsidR="00123556" w:rsidRDefault="00123556" w:rsidP="00123556">
      <w:pPr>
        <w:pStyle w:val="a3"/>
        <w:rPr>
          <w:kern w:val="0"/>
        </w:rPr>
      </w:pPr>
      <w:r>
        <w:rPr>
          <w:kern w:val="0"/>
        </w:rPr>
        <w:t xml:space="preserve">Abstract: Background: Hepatitis B and C (HBV, HCV) infections are associated with high morbidity and mortality. Many countries with traditionally low prevalence (such as UK) are now planning interventions (screening, vaccination, and treatment) of high-risk immigrants from countries with high prevalence. This review aimed to synthesise the evidence on immigrants’ knowledge of HBV and HCV that might influence the uptake of clinical interventions. The review was also used to inform the design and successful delivery of a randomised controlled trial of targeted screening and treatment. Methods: Five databases (PubMed, CINHAL, SOCIOFILE, PsycINFO &amp; Web of Science) were systematically searched, supplemented by reference tracking, searches of selected journals, and of relevant websites. We aimed to identify qualitative and quantitative studies that investigated knowledge of HBV and HCV among immigrants from high endemic areas to low endemic areas. Evidence, extracted according to a conceptual framework of Kleinman’s explanatory </w:t>
      </w:r>
      <w:r>
        <w:rPr>
          <w:kern w:val="0"/>
        </w:rPr>
        <w:lastRenderedPageBreak/>
        <w:t>model, was subjected to narrative synthesis. We adapted the PEN-3 model to categorise and analyse themes, and recommend strategies for interventions to influence help-seeking behaviour. Results: We identified 51 publications including quantitative (n = 39), qualitative (n = 11), and mixed methods (n = 1) designs. Most of the quantitative studies included small samples and had heterogeneous methods and outcomes. The studies mainly concentrated on hepatitis B and ethnic groups of South East Asian immigrants residing in USA, Canada, and Australia. Many immigrants lacked adequate knowledge of aetiology, symptoms, transmission risk factors, prevention strategies, and treatment, of hepatitis HBV and HCV. Ethnicity, gender, better education, higher income, and English proficiency influenced variations in levels and forms of knowledge. Conclusion: Immigrants are vulnerable to HBV and HCV, and risk life-threatening complications from these infections because of poor knowledge and help-seeking behaviour. Primary studies in this area are extremely diverse and of variable quality precluding meta-analysis. Further research is needed outside North America and Australia.</w:t>
      </w:r>
    </w:p>
    <w:p w:rsidR="00123556" w:rsidRDefault="00123556" w:rsidP="00123556">
      <w:pPr>
        <w:pStyle w:val="a3"/>
        <w:rPr>
          <w:kern w:val="0"/>
        </w:rPr>
      </w:pPr>
      <w:r>
        <w:rPr>
          <w:kern w:val="0"/>
        </w:rPr>
        <w:t>Keywords: Aetiology, Asian, Attitudes, Australia, Behaviour, Cambodian Immigrants, Canada, Changing Epidemiology, Chinese-Canadians, Clinical, Complications, Controlled Trial, Databases, Delivery, Design, Education, English, Ethnic Groups, Ethnicity, Evidence, Factors, Forms, Framework, Francisco Bay Area, From, Gender, Global Epidemiology, Groups, Hbv, Hcv, Hepatitis, Hepatitis B, Hepatitis C, Hepatocellular-Carcinoma, Illness Perceptions, Immigrants, Income, Infections, Influence, Interventions, Journals, Knowledge, Korean Immigrants, Liver-Cancer, Local Knowledge, Low Prevalence, Meta Analysis, Meta-Analysis, Metaanalysis, Methods, Migrants, Mixed Methods, Model, Models, Morbidity, Mortality, North, North America, Outcomes, Perceptions, Planning, Prevalence, Prevention, Psycinfo, Publications, Pubmed, Qualitative, Quality, Quantitative Studies, Randomised, Randomised Controlled Trial, Reference, Research, Results, Review, Risk, Risk Factors, Science, Screening, Small, Symptoms, Synthesis, Systematic, Systematic Review, Transmission, Treatment, Trial, UK, Uptake, USA, Vaccination, Vietnamese-American Men, Viral, Viral Hepatitis, Virus-Infection, Web, Web Of Science, Websites</w:t>
      </w:r>
    </w:p>
    <w:p w:rsidR="00163034" w:rsidRDefault="00163034" w:rsidP="00163034">
      <w:pPr>
        <w:pStyle w:val="a3"/>
        <w:rPr>
          <w:kern w:val="0"/>
        </w:rPr>
      </w:pPr>
      <w:r>
        <w:rPr>
          <w:rFonts w:hint="eastAsia"/>
          <w:kern w:val="0"/>
        </w:rPr>
        <w:t xml:space="preserve">? </w:t>
      </w:r>
      <w:r>
        <w:rPr>
          <w:kern w:val="0"/>
        </w:rPr>
        <w:t xml:space="preserve">Marufu, T.C., Ahankari, A., Coleman, T. and Lewis, S. (2015), Maternal smoking and the risk of still birth: Systematic review and meta-analysis. </w:t>
      </w:r>
      <w:r>
        <w:rPr>
          <w:i/>
          <w:iCs/>
          <w:kern w:val="0"/>
        </w:rPr>
        <w:t>BMC Public Health</w:t>
      </w:r>
      <w:r>
        <w:rPr>
          <w:kern w:val="0"/>
        </w:rPr>
        <w:t xml:space="preserve">, </w:t>
      </w:r>
      <w:r>
        <w:rPr>
          <w:b/>
          <w:bCs/>
          <w:kern w:val="0"/>
        </w:rPr>
        <w:t>15</w:t>
      </w:r>
      <w:r>
        <w:rPr>
          <w:rFonts w:hint="eastAsia"/>
          <w:kern w:val="0"/>
        </w:rPr>
        <w:t xml:space="preserve">, </w:t>
      </w:r>
      <w:r w:rsidRPr="005C2292">
        <w:rPr>
          <w:kern w:val="0"/>
        </w:rPr>
        <w:t>Article Number: 239</w:t>
      </w:r>
      <w:r>
        <w:rPr>
          <w:rFonts w:hint="eastAsia"/>
          <w:kern w:val="0"/>
        </w:rPr>
        <w:t>.</w:t>
      </w:r>
    </w:p>
    <w:p w:rsidR="00163034" w:rsidRDefault="00163034" w:rsidP="00163034">
      <w:pPr>
        <w:pStyle w:val="a3"/>
        <w:rPr>
          <w:kern w:val="0"/>
        </w:rPr>
      </w:pPr>
      <w:r>
        <w:rPr>
          <w:kern w:val="0"/>
        </w:rPr>
        <w:t xml:space="preserve">Full Text: </w:t>
      </w:r>
      <w:hyperlink r:id="rId1727" w:history="1">
        <w:r w:rsidRPr="00043235">
          <w:rPr>
            <w:rStyle w:val="a5"/>
            <w:kern w:val="0"/>
          </w:rPr>
          <w:t>2015\BMC Pub Hea15, 239.pdf</w:t>
        </w:r>
      </w:hyperlink>
    </w:p>
    <w:p w:rsidR="00163034" w:rsidRDefault="00163034" w:rsidP="00163034">
      <w:pPr>
        <w:pStyle w:val="a3"/>
        <w:rPr>
          <w:kern w:val="0"/>
        </w:rPr>
      </w:pPr>
      <w:r>
        <w:rPr>
          <w:kern w:val="0"/>
        </w:rPr>
        <w:t xml:space="preserve">Abstract: Background: Smoking in pregnancy is known to be associated with a range of adverse pregnancy outcomes, yet there is a high prevalence of smoking among pregnant women in many countries, and it remains a major public health concern. We have conducted a systematic review and meta-analysis to provide contemporary </w:t>
      </w:r>
      <w:r>
        <w:rPr>
          <w:kern w:val="0"/>
        </w:rPr>
        <w:lastRenderedPageBreak/>
        <w:t>estimates of the association between maternal smoking in pregnancy and the risk of stillbirth. Methods: We searched four databases namely MEDLINE, EMBASE, Psych Info and Web of Science for all relevant original studies published until 31st December 2012. We included observational studies that measured the association between maternal smoking during pregnancy and the risk of stillbirth. Results: 1766 studies were screened for title analysis, of which 34 papers (21 cohorts, 8 case controls and 5 cross sectional studies) met the inclusion criteria. In meta-analysis smoking during pregnancy was significantly associated with a 47% increase in the odds of stillbirth (OR 1.47, 95% CI 1.37, 1.57, p &lt; 0.0001). In subgroup analysis, smoking 1-9 cig/day and &gt;= 10 cig/ day was associated with an 9% and 52% increase in the odds of stillbirth respectively. Subsequently, studies defining stillbirth at &gt;= 20 weeks demonstrated a 43% increase in odds for smoking mothers compared to mothers who do not smoke, (OR 1.43, 95% CI 1.32, 1.54, p &lt; 0.0001), whereas studies with stillbirth defined at &gt;= 24 weeks and &gt;= 28 weeks showed 58% and 33% increase in the odds of stillbirth respectively. Conclusion: Our review confirms a dose-response effect of maternal smoking in pregnancy on risk of stillbirth. To minimise the risk of stillbirth, reducing current smoking prevalence in pregnancy should continue to be a key public health high priority.</w:t>
      </w:r>
    </w:p>
    <w:p w:rsidR="00163034" w:rsidRDefault="00163034" w:rsidP="00163034">
      <w:pPr>
        <w:pStyle w:val="a3"/>
        <w:rPr>
          <w:kern w:val="0"/>
        </w:rPr>
      </w:pPr>
      <w:r>
        <w:rPr>
          <w:kern w:val="0"/>
        </w:rPr>
        <w:t>Keywords: Adverse Pregnancy Outcomes, Analysis, Antepartum Stillbirth, Association, Birth, Cigarette-Smoking, Criteria, Cross-Sectional, Databases, Dose-Response, Embase, Estimates, Health, In-Utero, Intrapartum Stillbirth, Late Fetal-Death, Mar, Maternal, Medline, Meta Analysis, Meta-Analysis, Metaanalysis, Methods, Mothers, Neonatal Death, New-South-Wales, Nicotine, Observational, Observational Studies, Outcomes, Papers, Pregnancy, Pregnancy Outcomes, Pregnant, Pregnant Women, Prevalence, Public, Public Health, Results, Review, Risk, Science, Smoking, Stillbirth, Systematic, Systematic Review, Tobacco-Smoke, Web, Web Of Science, Women</w:t>
      </w:r>
    </w:p>
    <w:p w:rsidR="009840F6" w:rsidRDefault="009840F6" w:rsidP="009840F6">
      <w:pPr>
        <w:pStyle w:val="a3"/>
        <w:rPr>
          <w:kern w:val="0"/>
        </w:rPr>
      </w:pPr>
      <w:r>
        <w:rPr>
          <w:kern w:val="0"/>
        </w:rPr>
        <w:t xml:space="preserve">? Tam, J., Day, H.R., Rostron, B.L. and Apelberg, B.J. (2015), A systematic review of transitions between cigarette and smokeless tobacco product use in the United States. </w:t>
      </w:r>
      <w:r>
        <w:rPr>
          <w:i/>
          <w:iCs/>
          <w:kern w:val="0"/>
        </w:rPr>
        <w:t>BMC Public Health</w:t>
      </w:r>
      <w:r>
        <w:rPr>
          <w:kern w:val="0"/>
        </w:rPr>
        <w:t xml:space="preserve">, </w:t>
      </w:r>
      <w:r>
        <w:rPr>
          <w:b/>
          <w:bCs/>
          <w:kern w:val="0"/>
        </w:rPr>
        <w:t>15</w:t>
      </w:r>
      <w:r>
        <w:rPr>
          <w:rFonts w:hint="eastAsia"/>
          <w:kern w:val="0"/>
        </w:rPr>
        <w:t>,</w:t>
      </w:r>
      <w:r w:rsidRPr="00BC7C8F">
        <w:rPr>
          <w:kern w:val="0"/>
        </w:rPr>
        <w:t xml:space="preserve"> </w:t>
      </w:r>
      <w:r w:rsidRPr="005C2292">
        <w:rPr>
          <w:kern w:val="0"/>
        </w:rPr>
        <w:t>Article Number: 2</w:t>
      </w:r>
      <w:r>
        <w:rPr>
          <w:rFonts w:hint="eastAsia"/>
          <w:kern w:val="0"/>
        </w:rPr>
        <w:t>58.</w:t>
      </w:r>
    </w:p>
    <w:p w:rsidR="009840F6" w:rsidRDefault="009840F6" w:rsidP="009840F6">
      <w:pPr>
        <w:pStyle w:val="a3"/>
        <w:rPr>
          <w:kern w:val="0"/>
        </w:rPr>
      </w:pPr>
      <w:r>
        <w:rPr>
          <w:kern w:val="0"/>
        </w:rPr>
        <w:t xml:space="preserve">Full Text: </w:t>
      </w:r>
      <w:hyperlink r:id="rId1728" w:history="1">
        <w:r w:rsidRPr="002949D0">
          <w:rPr>
            <w:rStyle w:val="a5"/>
            <w:kern w:val="0"/>
          </w:rPr>
          <w:t>2015\BMC Pub Hea15, 258.pdf</w:t>
        </w:r>
      </w:hyperlink>
    </w:p>
    <w:p w:rsidR="009840F6" w:rsidRDefault="009840F6" w:rsidP="009840F6">
      <w:pPr>
        <w:pStyle w:val="a3"/>
        <w:rPr>
          <w:kern w:val="0"/>
        </w:rPr>
      </w:pPr>
      <w:r>
        <w:rPr>
          <w:kern w:val="0"/>
        </w:rPr>
        <w:t xml:space="preserve">Abstract: Background: Smokeless tobacco use is becoming an increasingly important public health issue in the US and may influence cigarette smoking behavior. Systematic information on transitions between smokeless tobacco and cigarette use in the US is limited. Methods: We conducted a systematic review of published literature on transitions between smokeless tobacco and cigarette use in the US. We searched PubMed, Web of Science and EbscoHost databases for all published articles from January 2000 to March 2014 that presented estimates of transitions in US youth and adult study populations over time between at least one of the following </w:t>
      </w:r>
      <w:r>
        <w:rPr>
          <w:kern w:val="0"/>
        </w:rPr>
        <w:lastRenderedPageBreak/>
        <w:t>tobacco use states: exclusive cigarette smoking, exclusive smokeless tobacco use, dual use of both products, and use of neither product. We excluded non-English language studies, studies published before 2000, clinical trials, controlled cessation programs, and clinical studies or evaluations of smokeless tobacco cessation programs. Results: The review identified six studies on US populations published since 2000 with longitudinal data on some or all of the transitions that users can undergo between smokeless tobacco and cigarette use. There was considerable heterogeneity across studies in design and tobacco use definitions. Despite these differences, the existing data indicate that switching behaviors from exclusive smoking to exclusive smokeless tobacco use are limited (adults: 0%-1.4%, adolescents: 0.8%-3.8%) but may be more common from exclusive smokeless tobacco use to exclusive smoking (adults: 0.9%-26.6%, adolescents: 16.6%-25.5%). Among adults, exclusive cigarette smoking was generally stable and consistent (79.7% to 87.6%) over follow-up across studies but less stable in adolescents (46.8%-78.7%). Exclusive smokeless tobacco use was less stable than exclusive cigarette smoking over time (adults: 59.4%-76.6%, adolescents: 26.2%-44.8%). Conclusion: This review provides published estimates of the proportions of adults and adolescents transitioning between tobacco use categories from the most recently available studies on longitudinal transitions between smokeless tobacco and cigarettes in the US. These data can be used to track tobacco use behaviors and evaluate their effect on public health; however, the data for these studies were generally collected more than a decade ago. Additional research including nationally representative longitudinal estimates using consistent definitions and designs, would improve understanding of current tobacco transition behaviors.</w:t>
      </w:r>
    </w:p>
    <w:p w:rsidR="009840F6" w:rsidRDefault="009840F6" w:rsidP="009840F6">
      <w:pPr>
        <w:pStyle w:val="a3"/>
        <w:rPr>
          <w:kern w:val="0"/>
        </w:rPr>
      </w:pPr>
      <w:r>
        <w:rPr>
          <w:kern w:val="0"/>
        </w:rPr>
        <w:t>Keywords: Adolescents, Adult, Adults, Articles, Behavior, Cancer, Cigarette, Clinical, Clinical Studies, Clinical Trials, Data, Databases, Definitions, Design, Estimates, Follow-Up, From, Health, Heterogeneity, High-School-Students, Influence, Information, Language, Literature, Longitudinal, Mar, Methods, Populations, Public, Public Health, Published Articles, Pubmed, Research, Results, Review, Risk-Factor, Science, Smokeless Tobacco, Smoking, Smoking, Snus, Systematic, Systematic Review, Tobacco, Transitions, Understanding, United States, Us, Web, Web Of Science, Youth</w:t>
      </w:r>
    </w:p>
    <w:p w:rsidR="00A27C14" w:rsidRPr="001A3D2B" w:rsidRDefault="00A27C14" w:rsidP="00A27C14">
      <w:pPr>
        <w:pStyle w:val="1"/>
      </w:pPr>
      <w:r w:rsidRPr="001A3D2B">
        <w:br w:type="page"/>
      </w:r>
      <w:bookmarkStart w:id="859" w:name="_Toc420814776"/>
      <w:r w:rsidRPr="001A3D2B">
        <w:lastRenderedPageBreak/>
        <w:t xml:space="preserve">Title: </w:t>
      </w:r>
      <w:r w:rsidRPr="00A27C14">
        <w:rPr>
          <w:iCs w:val="0"/>
        </w:rPr>
        <w:t xml:space="preserve">BMC </w:t>
      </w:r>
      <w:r w:rsidRPr="00A27C14">
        <w:t>Surgery</w:t>
      </w:r>
      <w:bookmarkEnd w:id="859"/>
    </w:p>
    <w:p w:rsidR="00A27C14" w:rsidRPr="001A3D2B" w:rsidRDefault="00A27C14" w:rsidP="00A27C14">
      <w:pPr>
        <w:pStyle w:val="12"/>
      </w:pPr>
      <w:r w:rsidRPr="001A3D2B">
        <w:t xml:space="preserve">Full Journal Title: </w:t>
      </w:r>
      <w:r w:rsidRPr="00A27C14">
        <w:rPr>
          <w:iCs/>
          <w:kern w:val="0"/>
        </w:rPr>
        <w:t>BMC Surgery</w:t>
      </w:r>
    </w:p>
    <w:p w:rsidR="00A27C14" w:rsidRPr="001A3D2B" w:rsidRDefault="00A27C14" w:rsidP="00A27C14">
      <w:pPr>
        <w:pStyle w:val="12"/>
      </w:pPr>
      <w:r w:rsidRPr="001A3D2B">
        <w:t xml:space="preserve">ISO Abbreviated Title: </w:t>
      </w:r>
    </w:p>
    <w:p w:rsidR="00A27C14" w:rsidRPr="001A3D2B" w:rsidRDefault="00A27C14" w:rsidP="00A27C14">
      <w:pPr>
        <w:pStyle w:val="12"/>
      </w:pPr>
      <w:r w:rsidRPr="001A3D2B">
        <w:t xml:space="preserve">JCR Abbreviated Title: </w:t>
      </w:r>
    </w:p>
    <w:p w:rsidR="00A27C14" w:rsidRPr="001A3D2B" w:rsidRDefault="00A27C14" w:rsidP="00A27C14">
      <w:pPr>
        <w:pStyle w:val="12"/>
      </w:pPr>
      <w:r w:rsidRPr="001A3D2B">
        <w:t xml:space="preserve">ISSN: </w:t>
      </w:r>
    </w:p>
    <w:p w:rsidR="00A27C14" w:rsidRPr="001A3D2B" w:rsidRDefault="00A27C14" w:rsidP="00A27C14">
      <w:pPr>
        <w:pStyle w:val="12"/>
      </w:pPr>
      <w:r w:rsidRPr="001A3D2B">
        <w:t xml:space="preserve">Issues/Year: </w:t>
      </w:r>
    </w:p>
    <w:p w:rsidR="00A27C14" w:rsidRPr="001A3D2B" w:rsidRDefault="00A27C14" w:rsidP="00A27C14">
      <w:pPr>
        <w:pStyle w:val="12"/>
      </w:pPr>
      <w:r w:rsidRPr="001A3D2B">
        <w:t xml:space="preserve">Journal Country/Territory: </w:t>
      </w:r>
    </w:p>
    <w:p w:rsidR="00A27C14" w:rsidRPr="001A3D2B" w:rsidRDefault="00A27C14" w:rsidP="00A27C14">
      <w:pPr>
        <w:pStyle w:val="12"/>
      </w:pPr>
      <w:r w:rsidRPr="001A3D2B">
        <w:t xml:space="preserve">Language: </w:t>
      </w:r>
    </w:p>
    <w:p w:rsidR="00A27C14" w:rsidRPr="001A3D2B" w:rsidRDefault="00A27C14" w:rsidP="00A27C14">
      <w:pPr>
        <w:pStyle w:val="12"/>
      </w:pPr>
      <w:r w:rsidRPr="001A3D2B">
        <w:t xml:space="preserve">Publisher: </w:t>
      </w:r>
    </w:p>
    <w:p w:rsidR="00A27C14" w:rsidRPr="001A3D2B" w:rsidRDefault="00A27C14" w:rsidP="00A27C14">
      <w:pPr>
        <w:pStyle w:val="12"/>
      </w:pPr>
      <w:r w:rsidRPr="001A3D2B">
        <w:t xml:space="preserve">Publisher Address: </w:t>
      </w:r>
    </w:p>
    <w:p w:rsidR="00A27C14" w:rsidRPr="001A3D2B" w:rsidRDefault="00A27C14" w:rsidP="00A27C14">
      <w:pPr>
        <w:pStyle w:val="12"/>
      </w:pPr>
      <w:r w:rsidRPr="001A3D2B">
        <w:t xml:space="preserve">Subject Categories: </w:t>
      </w:r>
    </w:p>
    <w:p w:rsidR="00A27C14" w:rsidRPr="001A3D2B" w:rsidRDefault="00A27C14" w:rsidP="00A27C14">
      <w:pPr>
        <w:pStyle w:val="12"/>
      </w:pPr>
      <w:r w:rsidRPr="001A3D2B">
        <w:t xml:space="preserve">: Impact Factor </w:t>
      </w:r>
    </w:p>
    <w:p w:rsidR="00A27C14" w:rsidRDefault="00A27C14" w:rsidP="00A27C14">
      <w:pPr>
        <w:pStyle w:val="a3"/>
        <w:rPr>
          <w:kern w:val="0"/>
        </w:rPr>
      </w:pPr>
      <w:r>
        <w:rPr>
          <w:rFonts w:hint="eastAsia"/>
          <w:kern w:val="0"/>
        </w:rPr>
        <w:t xml:space="preserve">? </w:t>
      </w:r>
      <w:r>
        <w:rPr>
          <w:kern w:val="0"/>
        </w:rPr>
        <w:t>Cirocchi, R., Boselli, C., Santoro, A., Guarino, S., Covarelli, P., Renzi, C., Listorti, C., Trastulli, S., Desiderio, J., Coratti, A., Noya, G., Redler, A.</w:t>
      </w:r>
      <w:r w:rsidR="005853A9">
        <w:rPr>
          <w:kern w:val="0"/>
        </w:rPr>
        <w:t xml:space="preserve"> and </w:t>
      </w:r>
      <w:r>
        <w:rPr>
          <w:kern w:val="0"/>
        </w:rPr>
        <w:t>Parisi, A. (2013), Current status</w:t>
      </w:r>
      <w:r w:rsidR="00427468">
        <w:rPr>
          <w:kern w:val="0"/>
        </w:rPr>
        <w:t xml:space="preserve"> of </w:t>
      </w:r>
      <w:r>
        <w:rPr>
          <w:kern w:val="0"/>
        </w:rPr>
        <w:t xml:space="preserve">robotic bariatric surgery: A systematic review. </w:t>
      </w:r>
      <w:r w:rsidRPr="00A27C14">
        <w:rPr>
          <w:i/>
          <w:iCs/>
          <w:kern w:val="0"/>
        </w:rPr>
        <w:t>BMC Surgery</w:t>
      </w:r>
      <w:r>
        <w:rPr>
          <w:kern w:val="0"/>
        </w:rPr>
        <w:t xml:space="preserve">, </w:t>
      </w:r>
      <w:r>
        <w:rPr>
          <w:b/>
          <w:bCs/>
          <w:kern w:val="0"/>
        </w:rPr>
        <w:t>13</w:t>
      </w:r>
      <w:r>
        <w:rPr>
          <w:rFonts w:hint="eastAsia"/>
          <w:kern w:val="0"/>
        </w:rPr>
        <w:t xml:space="preserve">, </w:t>
      </w:r>
      <w:r>
        <w:rPr>
          <w:kern w:val="0"/>
        </w:rPr>
        <w:t>Article Number: 53</w:t>
      </w:r>
      <w:r>
        <w:rPr>
          <w:rFonts w:hint="eastAsia"/>
          <w:kern w:val="0"/>
        </w:rPr>
        <w:t>.</w:t>
      </w:r>
    </w:p>
    <w:p w:rsidR="00D9712E" w:rsidRDefault="00D9712E" w:rsidP="00D9712E">
      <w:pPr>
        <w:pStyle w:val="a3"/>
        <w:rPr>
          <w:kern w:val="0"/>
        </w:rPr>
      </w:pPr>
      <w:r>
        <w:rPr>
          <w:rFonts w:hint="eastAsia"/>
          <w:kern w:val="0"/>
        </w:rPr>
        <w:t xml:space="preserve">Full Text: </w:t>
      </w:r>
      <w:hyperlink r:id="rId1729" w:history="1">
        <w:r w:rsidRPr="002C1933">
          <w:rPr>
            <w:rStyle w:val="a5"/>
            <w:kern w:val="0"/>
          </w:rPr>
          <w:t>2013\BMC Sur13, 53.pdf</w:t>
        </w:r>
      </w:hyperlink>
    </w:p>
    <w:p w:rsidR="00D9712E" w:rsidRDefault="00D9712E" w:rsidP="00D9712E">
      <w:pPr>
        <w:pStyle w:val="a3"/>
        <w:rPr>
          <w:kern w:val="0"/>
        </w:rPr>
      </w:pPr>
      <w:r>
        <w:rPr>
          <w:kern w:val="0"/>
        </w:rPr>
        <w:t>Abstract: Background: Bariatric surgery is an effective treatment to obtain weight loss in severely obese patients. The feasibility and safety of bariatric robotic surgery is the topic of this review. Methods: A search was performed on PubMed, Cochrane Central Register of Controlled Trials, BioMed Central, and Web of Science. Results: Twenty-two studies were included. Anastomotic leak rate was 8.51% in biliopancreatic diversion. 30-day reoperation rate was 1.14% in Roux-en-Y gastric bypass and 1.16% in sleeve gastrectomy. Major complication rate in Roux-en-Y gastric bypass resulted higher than in sleeve gastrectomy (4,26% vs. 1,2%). The mean hospital stay was longer in Roux-en-Y gastric bypass (range 2.6-7.4 days). Conclusions: The major limitation of our analysis is due to the small number and the low quality of the studies, the small sample size, heterogeneity of the enrolled patients and the lack of data from metabolic and bariatric outcomes. Despite the use of the robot, the majority of these cases are completed with stapled anastomosis. The assumption that robotic surgery is superior in complex cases is not supported by the available present evidence. The major strength of the robotic surgery is strongly facilitating some of the surgical steps (gastro-jejunostomy and jejunojejunostomy anastomosis in the robotic Roux-en-Y gastric bypass or the vertical gastric resection in the robotic sleeve gastrectomy).</w:t>
      </w:r>
    </w:p>
    <w:p w:rsidR="00D9712E" w:rsidRDefault="00D9712E" w:rsidP="00D9712E">
      <w:pPr>
        <w:pStyle w:val="a3"/>
        <w:rPr>
          <w:kern w:val="0"/>
        </w:rPr>
      </w:pPr>
      <w:r>
        <w:rPr>
          <w:kern w:val="0"/>
        </w:rPr>
        <w:t xml:space="preserve">Keywords: Analysis, Anastomotic Leak, Bariatric Surgery, Complication, Complications, Complications, Data, Duodenal Switch, Evidence, Feasibility, </w:t>
      </w:r>
      <w:r>
        <w:rPr>
          <w:kern w:val="0"/>
        </w:rPr>
        <w:lastRenderedPageBreak/>
        <w:t>Gastric, Gastric Banding, Gastric Bypass, Heterogeneity, Hospital, Hospital Stay, Leak Rate, Learning-Curve, Limitation, Methods, Morbid Obesity, Morbidly Obese-Patients, Nov, Obese, Outcomes, Patients, Pubmed, Quality, Quality Of, Reoperation, Results, Review, Robot Assisted, Robotic, Robotic Surgery, Roux-En-Y, Roux-En-Y Gastric Bypass, Safety, Sample Size, Science, Size, Sleeve Gastrectomy, Sleeve Gastrectomy, Small, Strength, Surgery, Surgical Outcomes, Systematic Review, Topic, Treatment, Vertical, Web of Science, Weight Loss, Y Gastric Bypass</w:t>
      </w:r>
    </w:p>
    <w:p w:rsidR="00D9712E" w:rsidRDefault="00D9712E" w:rsidP="00D9712E">
      <w:pPr>
        <w:pStyle w:val="a3"/>
        <w:rPr>
          <w:kern w:val="0"/>
        </w:rPr>
      </w:pPr>
      <w:r>
        <w:rPr>
          <w:rFonts w:hint="eastAsia"/>
          <w:kern w:val="0"/>
        </w:rPr>
        <w:t xml:space="preserve">? </w:t>
      </w:r>
      <w:r>
        <w:rPr>
          <w:kern w:val="0"/>
        </w:rPr>
        <w:t xml:space="preserve">Wang, L., Wang, Y.P., Li, Z.Y., Yu, B. and Li, Y. (2014), Unilateral versus bilateral pedicle screw fixation of minimally invasive transforaminal lumbar interbody fusion (MIS-TLIF): A meta-analysis of randomized controlled trials. </w:t>
      </w:r>
      <w:r>
        <w:rPr>
          <w:i/>
          <w:iCs/>
          <w:kern w:val="0"/>
        </w:rPr>
        <w:t>BMC Surgery</w:t>
      </w:r>
      <w:r>
        <w:rPr>
          <w:kern w:val="0"/>
        </w:rPr>
        <w:t xml:space="preserve">, </w:t>
      </w:r>
      <w:r>
        <w:rPr>
          <w:b/>
          <w:bCs/>
          <w:kern w:val="0"/>
        </w:rPr>
        <w:t>14</w:t>
      </w:r>
      <w:r>
        <w:rPr>
          <w:rFonts w:hint="eastAsia"/>
          <w:kern w:val="0"/>
        </w:rPr>
        <w:t>,</w:t>
      </w:r>
      <w:r w:rsidRPr="00003DCF">
        <w:rPr>
          <w:kern w:val="0"/>
        </w:rPr>
        <w:t xml:space="preserve"> </w:t>
      </w:r>
      <w:r>
        <w:rPr>
          <w:kern w:val="0"/>
        </w:rPr>
        <w:t xml:space="preserve">Article Number: </w:t>
      </w:r>
      <w:r>
        <w:rPr>
          <w:rFonts w:hint="eastAsia"/>
          <w:kern w:val="0"/>
        </w:rPr>
        <w:t>87.</w:t>
      </w:r>
    </w:p>
    <w:p w:rsidR="00D9712E" w:rsidRDefault="00D9712E" w:rsidP="00D9712E">
      <w:pPr>
        <w:pStyle w:val="a3"/>
        <w:rPr>
          <w:kern w:val="0"/>
        </w:rPr>
      </w:pPr>
      <w:r>
        <w:rPr>
          <w:rFonts w:hint="eastAsia"/>
          <w:kern w:val="0"/>
        </w:rPr>
        <w:t xml:space="preserve">Full Text: </w:t>
      </w:r>
      <w:hyperlink r:id="rId1730" w:history="1">
        <w:r w:rsidRPr="000D535C">
          <w:rPr>
            <w:rStyle w:val="a5"/>
            <w:kern w:val="0"/>
          </w:rPr>
          <w:t>2014\BMC Sur14, 87.pdf</w:t>
        </w:r>
      </w:hyperlink>
    </w:p>
    <w:p w:rsidR="00D9712E" w:rsidRDefault="00D9712E" w:rsidP="00D9712E">
      <w:pPr>
        <w:pStyle w:val="a3"/>
        <w:rPr>
          <w:kern w:val="0"/>
        </w:rPr>
      </w:pPr>
      <w:r>
        <w:rPr>
          <w:kern w:val="0"/>
        </w:rPr>
        <w:t>Abstract: Background: A few studies focused on unilateral or bilateral pedicle screw (PS) fixation of minimally invasive transforaminal lumbar interbody fusion (MIS-TLIF) to treat lumbar degenerative diseases have been published. There is still debate over whether one method is superior to another. A systematic review and meta-analysis of randomized controlled trials (RCT) was performed to compare the efficacy of the two methods. Methods: We searched the established electronic literature databases of MEDLINE, EMBASE, Web of Science and the Cochrane Central Register of Controlled Trials databases for RCTs comparing the unilateral with bilateral pedicle screw fixation of MIS-TLIF. Pooled mean differences (MD) and odds ratios (OR) and with 95% CIs were calculated for the outcomes. Results: Three RCTs were identified and analyzed. The results showed that there is no significant difference between the two methods in terms of postoperative VAS-BP score (WMD = -0.09; 95% CI: -0.69 to 0.51; P = 0.78), ODI (WMD, -0.09; 95% CI -5.85 to 5.67; P = 0.98), fusion rate (OR = 2.99; 95% CI 0.55 to 16.38; P = 0.21) or complication rate (OR = 1.61, 95% CI: 0.49 to 5.37; P = 0.43). Unilateral pedicle screw fixation was associated with less blood loss (WMD = -87.83; 95% CI: -160.70 to -14.96; P = 0.02). Conclusions: The existing evidence indicate that no superiority exists between the two fixation methods of MIS-TLIF in terms of functional outcome, fusion rate and complication rate, in spite of that unilateral pedicle screw fixation can achieve less blood loss than bilateral fixation.</w:t>
      </w:r>
    </w:p>
    <w:p w:rsidR="00D9712E" w:rsidRDefault="00D9712E" w:rsidP="00D9712E">
      <w:pPr>
        <w:pStyle w:val="a3"/>
        <w:rPr>
          <w:kern w:val="0"/>
        </w:rPr>
      </w:pPr>
      <w:r>
        <w:rPr>
          <w:kern w:val="0"/>
        </w:rPr>
        <w:t xml:space="preserve">Keywords: Bilateral, Blood, Blood Loss, Complication, Databases, Disease, Diseases, Efficacy, Embase, Evidence, Fusion, Instrumentation, Invasive, Literature, Medline, Meta Analysis, Meta-Analysis, Metaanalysis, Methods, Minimally Invasive, Nov, Outcome, Outcomes, P, Pedicle Screw Fixation, Posterior, Postoperative, Randomized, Randomized Controlled Trials, Rct, Results, Review, Science, Spine, Stabilization, Systematic, Systematic Review, Systematic Reviews, Transforaminal </w:t>
      </w:r>
      <w:r>
        <w:rPr>
          <w:kern w:val="0"/>
        </w:rPr>
        <w:lastRenderedPageBreak/>
        <w:t>Lumbar Interbody Fusion (TLIF), Unilateral, Web, Web Of Science</w:t>
      </w:r>
    </w:p>
    <w:p w:rsidR="009840F6" w:rsidRPr="001A3D2B" w:rsidRDefault="009840F6" w:rsidP="009840F6">
      <w:pPr>
        <w:pStyle w:val="1"/>
      </w:pPr>
      <w:r w:rsidRPr="001A3D2B">
        <w:br w:type="page"/>
      </w:r>
      <w:bookmarkStart w:id="860" w:name="_Toc420814777"/>
      <w:r w:rsidRPr="001A3D2B">
        <w:lastRenderedPageBreak/>
        <w:t xml:space="preserve">Title: </w:t>
      </w:r>
      <w:r w:rsidRPr="002949D0">
        <w:rPr>
          <w:iCs w:val="0"/>
        </w:rPr>
        <w:t>BMC Womens Health</w:t>
      </w:r>
      <w:bookmarkEnd w:id="860"/>
    </w:p>
    <w:p w:rsidR="009840F6" w:rsidRPr="001A3D2B" w:rsidRDefault="009840F6" w:rsidP="009840F6">
      <w:pPr>
        <w:pStyle w:val="12"/>
      </w:pPr>
      <w:r w:rsidRPr="001A3D2B">
        <w:t xml:space="preserve">Full Journal Title: </w:t>
      </w:r>
      <w:r w:rsidRPr="002949D0">
        <w:rPr>
          <w:iCs/>
          <w:kern w:val="0"/>
        </w:rPr>
        <w:t>BMC Womens Health</w:t>
      </w:r>
    </w:p>
    <w:p w:rsidR="009840F6" w:rsidRPr="001A3D2B" w:rsidRDefault="009840F6" w:rsidP="009840F6">
      <w:pPr>
        <w:pStyle w:val="12"/>
      </w:pPr>
      <w:r w:rsidRPr="001A3D2B">
        <w:t xml:space="preserve">ISO Abbreviated Title: </w:t>
      </w:r>
    </w:p>
    <w:p w:rsidR="009840F6" w:rsidRPr="001A3D2B" w:rsidRDefault="009840F6" w:rsidP="009840F6">
      <w:pPr>
        <w:pStyle w:val="12"/>
      </w:pPr>
      <w:r w:rsidRPr="001A3D2B">
        <w:t xml:space="preserve">JCR Abbreviated Title: </w:t>
      </w:r>
    </w:p>
    <w:p w:rsidR="009840F6" w:rsidRPr="001A3D2B" w:rsidRDefault="009840F6" w:rsidP="009840F6">
      <w:pPr>
        <w:pStyle w:val="12"/>
      </w:pPr>
      <w:r w:rsidRPr="001A3D2B">
        <w:t xml:space="preserve">ISSN: </w:t>
      </w:r>
    </w:p>
    <w:p w:rsidR="009840F6" w:rsidRPr="001A3D2B" w:rsidRDefault="009840F6" w:rsidP="009840F6">
      <w:pPr>
        <w:pStyle w:val="12"/>
      </w:pPr>
      <w:r w:rsidRPr="001A3D2B">
        <w:t xml:space="preserve">Issues/Year: </w:t>
      </w:r>
    </w:p>
    <w:p w:rsidR="009840F6" w:rsidRPr="001A3D2B" w:rsidRDefault="009840F6" w:rsidP="009840F6">
      <w:pPr>
        <w:pStyle w:val="12"/>
      </w:pPr>
      <w:r w:rsidRPr="001A3D2B">
        <w:t xml:space="preserve">Journal Country/Territory: </w:t>
      </w:r>
    </w:p>
    <w:p w:rsidR="009840F6" w:rsidRPr="001A3D2B" w:rsidRDefault="009840F6" w:rsidP="009840F6">
      <w:pPr>
        <w:pStyle w:val="12"/>
      </w:pPr>
      <w:r w:rsidRPr="001A3D2B">
        <w:t xml:space="preserve">Language: </w:t>
      </w:r>
    </w:p>
    <w:p w:rsidR="009840F6" w:rsidRPr="001A3D2B" w:rsidRDefault="009840F6" w:rsidP="009840F6">
      <w:pPr>
        <w:pStyle w:val="12"/>
      </w:pPr>
      <w:r w:rsidRPr="001A3D2B">
        <w:t xml:space="preserve">Publisher: </w:t>
      </w:r>
    </w:p>
    <w:p w:rsidR="009840F6" w:rsidRPr="001A3D2B" w:rsidRDefault="009840F6" w:rsidP="009840F6">
      <w:pPr>
        <w:pStyle w:val="12"/>
      </w:pPr>
      <w:r w:rsidRPr="001A3D2B">
        <w:t xml:space="preserve">Publisher Address: </w:t>
      </w:r>
    </w:p>
    <w:p w:rsidR="009840F6" w:rsidRPr="001A3D2B" w:rsidRDefault="009840F6" w:rsidP="009840F6">
      <w:pPr>
        <w:pStyle w:val="12"/>
      </w:pPr>
      <w:r w:rsidRPr="001A3D2B">
        <w:t xml:space="preserve">Subject Categories: </w:t>
      </w:r>
    </w:p>
    <w:p w:rsidR="009840F6" w:rsidRPr="001A3D2B" w:rsidRDefault="009840F6" w:rsidP="009840F6">
      <w:pPr>
        <w:pStyle w:val="12"/>
      </w:pPr>
      <w:r w:rsidRPr="001A3D2B">
        <w:t xml:space="preserve">: Impact Factor </w:t>
      </w:r>
    </w:p>
    <w:p w:rsidR="009840F6" w:rsidRDefault="009840F6" w:rsidP="009840F6">
      <w:pPr>
        <w:pStyle w:val="a3"/>
        <w:rPr>
          <w:kern w:val="0"/>
        </w:rPr>
      </w:pPr>
      <w:r>
        <w:rPr>
          <w:kern w:val="0"/>
        </w:rPr>
        <w:t xml:space="preserve">? Sweileh, W.M., Zyoud, S.H., Al-Jabi, S.W. and Sawalha, A.F. (2015), Contribution of Arab countries to breast cancer research: Comparison with non-Arab Middle Eastern countries. </w:t>
      </w:r>
      <w:r w:rsidRPr="002949D0">
        <w:rPr>
          <w:i/>
          <w:iCs/>
          <w:kern w:val="0"/>
        </w:rPr>
        <w:t>BMC Womens Health</w:t>
      </w:r>
      <w:r>
        <w:rPr>
          <w:kern w:val="0"/>
        </w:rPr>
        <w:t xml:space="preserve">, </w:t>
      </w:r>
      <w:r>
        <w:rPr>
          <w:b/>
          <w:bCs/>
          <w:kern w:val="0"/>
        </w:rPr>
        <w:t>15</w:t>
      </w:r>
      <w:r>
        <w:rPr>
          <w:rFonts w:hint="eastAsia"/>
          <w:kern w:val="0"/>
        </w:rPr>
        <w:t xml:space="preserve">, </w:t>
      </w:r>
      <w:r w:rsidRPr="004A4D7C">
        <w:rPr>
          <w:kern w:val="0"/>
        </w:rPr>
        <w:t>Article Number: 25</w:t>
      </w:r>
      <w:r>
        <w:rPr>
          <w:rFonts w:hint="eastAsia"/>
          <w:kern w:val="0"/>
        </w:rPr>
        <w:t>.</w:t>
      </w:r>
    </w:p>
    <w:p w:rsidR="009840F6" w:rsidRDefault="009840F6" w:rsidP="009840F6">
      <w:pPr>
        <w:pStyle w:val="a3"/>
        <w:rPr>
          <w:kern w:val="0"/>
        </w:rPr>
      </w:pPr>
      <w:r>
        <w:rPr>
          <w:rFonts w:hint="eastAsia"/>
          <w:kern w:val="0"/>
        </w:rPr>
        <w:t xml:space="preserve">Full Text: </w:t>
      </w:r>
      <w:hyperlink r:id="rId1731" w:history="1">
        <w:r w:rsidRPr="002949D0">
          <w:rPr>
            <w:rStyle w:val="a5"/>
            <w:kern w:val="0"/>
          </w:rPr>
          <w:t>2015\BMC Wom Hea15, 25.pdf</w:t>
        </w:r>
      </w:hyperlink>
    </w:p>
    <w:p w:rsidR="009840F6" w:rsidRDefault="009840F6" w:rsidP="009840F6">
      <w:pPr>
        <w:pStyle w:val="a3"/>
        <w:rPr>
          <w:kern w:val="0"/>
        </w:rPr>
      </w:pPr>
      <w:r>
        <w:rPr>
          <w:kern w:val="0"/>
        </w:rPr>
        <w:t xml:space="preserve">Abstract: Background: Breast cancer is one of the most common types of cancers affecting women worldwide. The main objective of this study was to assess and compare research activity in breast cancer in Arab countries with non-Arab Middle Eastern countries. Methods: Publications about “breast cancer” as a research topic were retrieved using the ISI Web of Science database. Analysis was confined to original research and review articles. Research productivity was assessed by assessing number of publications and time trend of these publications, names of journals, citation analysis, top 10 active institutions as well as country contribution to breast cancer research. The quantity and quality of publications from Arab countries in addition to 3 other Middle East countries (Turkey, Iran and Israel) were assessed and compared using the h-index tool. Results: A total of 1658 original research and review articles about “breast cancer” were published from Arab countries. Annual research productivity from Arab countries in the field of “breast cancer” was negligible but showed a significant increase in the last decade. Retrieved documents had relatively high citation parameters as measured by h-index of 61 and average citations of 17.46 per document. The highest research productivity was from Egypt with a total publication of 582 (35.10%). Cairo University with a total of 149 (8.99%) publications had the highest research productivity among institutions in Arab world. Forty four documents (2.65%) of breast cancer documents were published in Saudi Medical Journal. Arab researchers collaborated mostly with researchers from the United States of America (305; 18.40%) in breast cancer research. Compared with </w:t>
      </w:r>
      <w:r>
        <w:rPr>
          <w:kern w:val="0"/>
        </w:rPr>
        <w:lastRenderedPageBreak/>
        <w:t>other non-Arab Middle Eastern countries, Arab countries had higher research productivity than some countries and lower than others, particularly Israel. Conclusions: The present data reveals a good contribution of some Arab countries to the field of “breast cancer” research. There is a gap between Arab countries and Israel in the quality of breast cancer research.</w:t>
      </w:r>
    </w:p>
    <w:p w:rsidR="009840F6" w:rsidRDefault="009840F6" w:rsidP="009840F6">
      <w:pPr>
        <w:pStyle w:val="a3"/>
        <w:rPr>
          <w:kern w:val="0"/>
        </w:rPr>
      </w:pPr>
      <w:r>
        <w:rPr>
          <w:kern w:val="0"/>
        </w:rPr>
        <w:t>Keywords: Active, Activity, Analysis, Arab Countries, Arab World, Articles, Assessing, Bibliometric, Bibliometric-Analysis, Biomedical-Research, Breast, Breast Cancer, Cancer, Citation, Citation Analysis, Citations, Comparison, Contribution, Country, Data, Database, Documents, Egypt, Field, From, H Index, H-Index, Highly Cited Papers, Institutions, International Collaboration, Iran, ISI, ISI Web Of Science, Israel, Journal, Journals, Mar, Medical, Methods, Middle East, Middle Eastern Region, Original Research, Productivity, Publication, Publications, Quality, Quality Of, Quality Of Publications, Research, Research Output, Research Productivity, Researchers, Results, Review, Science, Time Trend, Topic, Trend, Turkey, United States, University, Web, Web Of Science, Women, World</w:t>
      </w:r>
    </w:p>
    <w:p w:rsidR="00A25096" w:rsidRPr="001A3D2B" w:rsidRDefault="00A25096" w:rsidP="00A25096">
      <w:pPr>
        <w:pStyle w:val="1"/>
      </w:pPr>
      <w:r w:rsidRPr="001A3D2B">
        <w:br w:type="page"/>
      </w:r>
      <w:bookmarkStart w:id="861" w:name="_Toc420814778"/>
      <w:r w:rsidRPr="001A3D2B">
        <w:lastRenderedPageBreak/>
        <w:t xml:space="preserve">Title: </w:t>
      </w:r>
      <w:r w:rsidRPr="00A25096">
        <w:rPr>
          <w:iCs w:val="0"/>
        </w:rPr>
        <w:t>BMJ</w:t>
      </w:r>
      <w:r w:rsidRPr="00A25096">
        <w:t>-British Medical Journal</w:t>
      </w:r>
      <w:bookmarkEnd w:id="861"/>
    </w:p>
    <w:p w:rsidR="00A25096" w:rsidRPr="001A3D2B" w:rsidRDefault="00A25096" w:rsidP="00A25096">
      <w:pPr>
        <w:pStyle w:val="12"/>
      </w:pPr>
      <w:r w:rsidRPr="001A3D2B">
        <w:t xml:space="preserve">Full Journal Title: </w:t>
      </w:r>
      <w:r w:rsidRPr="00A25096">
        <w:rPr>
          <w:iCs/>
          <w:kern w:val="0"/>
        </w:rPr>
        <w:t>BMJ-British Medical Journal</w:t>
      </w:r>
    </w:p>
    <w:p w:rsidR="00A25096" w:rsidRPr="001A3D2B" w:rsidRDefault="00A25096" w:rsidP="00A25096">
      <w:pPr>
        <w:pStyle w:val="12"/>
      </w:pPr>
      <w:r w:rsidRPr="001A3D2B">
        <w:t xml:space="preserve">ISO Abbreviated Title: </w:t>
      </w:r>
    </w:p>
    <w:p w:rsidR="00A25096" w:rsidRPr="001A3D2B" w:rsidRDefault="00A25096" w:rsidP="00A25096">
      <w:pPr>
        <w:pStyle w:val="12"/>
      </w:pPr>
      <w:r w:rsidRPr="001A3D2B">
        <w:t xml:space="preserve">JCR Abbreviated Title: </w:t>
      </w:r>
    </w:p>
    <w:p w:rsidR="00A25096" w:rsidRPr="001A3D2B" w:rsidRDefault="00A25096" w:rsidP="00A25096">
      <w:pPr>
        <w:pStyle w:val="12"/>
      </w:pPr>
      <w:r w:rsidRPr="001A3D2B">
        <w:t xml:space="preserve">ISSN: </w:t>
      </w:r>
    </w:p>
    <w:p w:rsidR="00A25096" w:rsidRPr="001A3D2B" w:rsidRDefault="00A25096" w:rsidP="00A25096">
      <w:pPr>
        <w:pStyle w:val="12"/>
      </w:pPr>
      <w:r w:rsidRPr="001A3D2B">
        <w:t xml:space="preserve">Issues/Year: </w:t>
      </w:r>
    </w:p>
    <w:p w:rsidR="00A25096" w:rsidRPr="001A3D2B" w:rsidRDefault="00A25096" w:rsidP="00A25096">
      <w:pPr>
        <w:pStyle w:val="12"/>
      </w:pPr>
      <w:r w:rsidRPr="001A3D2B">
        <w:t xml:space="preserve">Journal Country/Territory: </w:t>
      </w:r>
    </w:p>
    <w:p w:rsidR="00A25096" w:rsidRPr="001A3D2B" w:rsidRDefault="00A25096" w:rsidP="00A25096">
      <w:pPr>
        <w:pStyle w:val="12"/>
      </w:pPr>
      <w:r w:rsidRPr="001A3D2B">
        <w:t xml:space="preserve">Language: </w:t>
      </w:r>
    </w:p>
    <w:p w:rsidR="00A25096" w:rsidRPr="001A3D2B" w:rsidRDefault="00A25096" w:rsidP="00A25096">
      <w:pPr>
        <w:pStyle w:val="12"/>
      </w:pPr>
      <w:r w:rsidRPr="001A3D2B">
        <w:t xml:space="preserve">Publisher: </w:t>
      </w:r>
    </w:p>
    <w:p w:rsidR="00A25096" w:rsidRPr="001A3D2B" w:rsidRDefault="00A25096" w:rsidP="00A25096">
      <w:pPr>
        <w:pStyle w:val="12"/>
      </w:pPr>
      <w:r w:rsidRPr="001A3D2B">
        <w:t xml:space="preserve">Publisher Address: </w:t>
      </w:r>
    </w:p>
    <w:p w:rsidR="00A25096" w:rsidRPr="001A3D2B" w:rsidRDefault="00A25096" w:rsidP="00A25096">
      <w:pPr>
        <w:pStyle w:val="12"/>
      </w:pPr>
      <w:r w:rsidRPr="001A3D2B">
        <w:t xml:space="preserve">Subject Categories: </w:t>
      </w:r>
    </w:p>
    <w:p w:rsidR="00A25096" w:rsidRPr="001A3D2B" w:rsidRDefault="00A25096" w:rsidP="00A25096">
      <w:pPr>
        <w:pStyle w:val="12"/>
      </w:pPr>
      <w:r w:rsidRPr="001A3D2B">
        <w:t xml:space="preserve">: Impact Factor </w:t>
      </w:r>
    </w:p>
    <w:p w:rsidR="00A04D4B" w:rsidRDefault="00A04D4B" w:rsidP="00A04D4B">
      <w:pPr>
        <w:pStyle w:val="a3"/>
        <w:rPr>
          <w:kern w:val="0"/>
        </w:rPr>
      </w:pPr>
      <w:r>
        <w:rPr>
          <w:rFonts w:hint="eastAsia"/>
          <w:kern w:val="0"/>
        </w:rPr>
        <w:t xml:space="preserve">? </w:t>
      </w:r>
      <w:r>
        <w:rPr>
          <w:kern w:val="0"/>
        </w:rPr>
        <w:t xml:space="preserve">Threapleton, D.E., Greenwood, D.C., Evans, C.E.L., Cleghorn, C.L., Nykjaer, C., Woodhead, C., Cade, J.E., Gale, C.P. and Burley, V.J. (2013), Dietary fibre intake and risk of cardiovascular disease: Systematic review and meta-analysis. </w:t>
      </w:r>
      <w:r>
        <w:rPr>
          <w:i/>
          <w:iCs/>
          <w:kern w:val="0"/>
        </w:rPr>
        <w:t>British Medical Journal</w:t>
      </w:r>
      <w:r>
        <w:rPr>
          <w:kern w:val="0"/>
        </w:rPr>
        <w:t xml:space="preserve">, </w:t>
      </w:r>
      <w:r>
        <w:rPr>
          <w:b/>
          <w:bCs/>
          <w:kern w:val="0"/>
        </w:rPr>
        <w:t>34</w:t>
      </w:r>
      <w:r>
        <w:rPr>
          <w:rFonts w:hint="eastAsia"/>
          <w:b/>
          <w:bCs/>
          <w:kern w:val="0"/>
        </w:rPr>
        <w:t>7</w:t>
      </w:r>
      <w:r>
        <w:rPr>
          <w:kern w:val="0"/>
        </w:rPr>
        <w:t>, Article Number: f6879.</w:t>
      </w:r>
    </w:p>
    <w:p w:rsidR="00A04D4B" w:rsidRDefault="00A04D4B" w:rsidP="00A04D4B">
      <w:pPr>
        <w:pStyle w:val="a3"/>
        <w:rPr>
          <w:kern w:val="0"/>
        </w:rPr>
      </w:pPr>
      <w:r>
        <w:rPr>
          <w:kern w:val="0"/>
        </w:rPr>
        <w:t xml:space="preserve">Full Text: </w:t>
      </w:r>
      <w:hyperlink r:id="rId1732" w:history="1">
        <w:r w:rsidRPr="00566ED8">
          <w:rPr>
            <w:rStyle w:val="a5"/>
            <w:kern w:val="0"/>
          </w:rPr>
          <w:t>2013\Bri Med J347, f6879.pdf</w:t>
        </w:r>
      </w:hyperlink>
    </w:p>
    <w:p w:rsidR="00A04D4B" w:rsidRDefault="00A04D4B" w:rsidP="00A04D4B">
      <w:pPr>
        <w:pStyle w:val="a3"/>
        <w:rPr>
          <w:kern w:val="0"/>
        </w:rPr>
      </w:pPr>
      <w:r>
        <w:rPr>
          <w:kern w:val="0"/>
        </w:rPr>
        <w:t xml:space="preserve">Abstract: Objective To investigate dietary fibre intake and any potential dose-response association with coronary heart disease and cardiovascular disease. Design Systematic review of available literature and dose-response meta-analysis of cohort studies using random effects models. Data sources The Cochrane Library, Medline, Medline in-process, Embase, CAB Abstracts, ISI Web of Science, BIOSIS, and hand searching. Eligibility criteria for studies Prospective studies reporting associations between fibre intake and coronary heart disease or cardiovascular disease, with a minimum follow-up of three years and published in English between 1 January 1990 and 6 August 2013. Results 22 cohort study publications met inclusion criteria and reported total dietary fibre intake, fibre subtypes, or fibre from food sources and primary events of cardiovascular disease or coronary heart disease. Total dietary fibre intake was inversely associated with risk of cardiovascular disease (risk ratio 0.91 per 7 g/day (95% confidence intervals 0.88 to 0.94)) and coronary heart disease (0.91 (0.87 to 0.94)). There was evidence of some heterogeneity between pooled studies for cardiovascular disease (I-2= 45% (0% to 74%)) and coronary heart disease (I-2= 33% (0% to 66%)). Insoluble fibre and fibre from cereal and vegetable sources were inversely associated with risk of coronary heart disease and cardiovascular disease. Fruit fibre intake was inversely associated with risk of cardiovascular disease. Conclusions Greater dietary fibre intake is associated with a lower risk of both cardiovascular disease and coronary heart disease. Findings are </w:t>
      </w:r>
      <w:r>
        <w:rPr>
          <w:kern w:val="0"/>
        </w:rPr>
        <w:lastRenderedPageBreak/>
        <w:t>aligned with general recommendations to increase fibre intake. The differing strengths of association by fibre type or source highlight the need for a better understanding of the mode of action of fibre components.</w:t>
      </w:r>
    </w:p>
    <w:p w:rsidR="00A04D4B" w:rsidRDefault="00A04D4B" w:rsidP="00A04D4B">
      <w:pPr>
        <w:pStyle w:val="a3"/>
        <w:rPr>
          <w:kern w:val="0"/>
        </w:rPr>
      </w:pPr>
      <w:r>
        <w:rPr>
          <w:kern w:val="0"/>
        </w:rPr>
        <w:t>Keywords: Association, Cab, Carbohydrate Intake, Cardiovascular, Cardiovascular Disease, Cereal Fiber, Cohort, Cohort Study, Confidence, Confidence Intervals, Coronary-Heart-Disease, Criteria, Disease, Effects, Events, Evidence, Follow-Up, Food, General, Health, Heart, Heterogeneity, Intervals, Isi, Isi Web of Science, Literature, Measurement Error, Medline, Meta Analysis, Meta-Analysis, Metaanalysis, Minimum, Mode, Models, Mortality, Nutrition, Potential, Primary, Publications, Recommendations, Reduced Risk, Reporting, Results, Review, Risk, Science, Source, Sources, Systematic Review, Understanding, Web of Science</w:t>
      </w:r>
    </w:p>
    <w:p w:rsidR="00A25096" w:rsidRDefault="00A25096" w:rsidP="00A25096">
      <w:pPr>
        <w:pStyle w:val="a3"/>
        <w:rPr>
          <w:kern w:val="0"/>
        </w:rPr>
      </w:pPr>
      <w:r>
        <w:rPr>
          <w:rFonts w:hint="eastAsia"/>
          <w:kern w:val="0"/>
        </w:rPr>
        <w:t xml:space="preserve">? </w:t>
      </w:r>
      <w:r>
        <w:rPr>
          <w:kern w:val="0"/>
        </w:rPr>
        <w:t xml:space="preserve">Gough, E.K., Moodie, E.E.M., Prendergast, A.J., Johnson, S.M.A., Humphrey, J.H., Stoltzfus, R.J., Walker, A.S., Trehan, I., Gibb, D.M., Goto, R., Tahan, S., de Morais, M.B. and Manges, A.R. (2014), The impact of antibiotics on growth in children in low and middle income countries: Systematic review and meta-analysis of randomised controlled trials. </w:t>
      </w:r>
      <w:r w:rsidRPr="00A25096">
        <w:rPr>
          <w:i/>
          <w:iCs/>
          <w:kern w:val="0"/>
        </w:rPr>
        <w:t>BMJ-British Medical Journal</w:t>
      </w:r>
      <w:r>
        <w:rPr>
          <w:kern w:val="0"/>
        </w:rPr>
        <w:t xml:space="preserve">, </w:t>
      </w:r>
      <w:r>
        <w:rPr>
          <w:b/>
          <w:bCs/>
          <w:kern w:val="0"/>
        </w:rPr>
        <w:t>348</w:t>
      </w:r>
      <w:r>
        <w:rPr>
          <w:rFonts w:hint="eastAsia"/>
          <w:kern w:val="0"/>
        </w:rPr>
        <w:t xml:space="preserve">, </w:t>
      </w:r>
      <w:r w:rsidRPr="00245CD8">
        <w:rPr>
          <w:kern w:val="0"/>
        </w:rPr>
        <w:t xml:space="preserve">Article Number: </w:t>
      </w:r>
      <w:r w:rsidRPr="00C554A3">
        <w:rPr>
          <w:kern w:val="0"/>
        </w:rPr>
        <w:t>g2267</w:t>
      </w:r>
      <w:r>
        <w:rPr>
          <w:rFonts w:hint="eastAsia"/>
          <w:kern w:val="0"/>
        </w:rPr>
        <w:t>.</w:t>
      </w:r>
    </w:p>
    <w:p w:rsidR="00A25096" w:rsidRDefault="00A25096" w:rsidP="00A25096">
      <w:pPr>
        <w:pStyle w:val="a3"/>
        <w:rPr>
          <w:kern w:val="0"/>
        </w:rPr>
      </w:pPr>
      <w:r>
        <w:rPr>
          <w:rFonts w:hint="eastAsia"/>
          <w:kern w:val="0"/>
        </w:rPr>
        <w:t xml:space="preserve">Full Text: </w:t>
      </w:r>
      <w:hyperlink r:id="rId1733" w:history="1">
        <w:r w:rsidRPr="00B735CE">
          <w:rPr>
            <w:rStyle w:val="a5"/>
            <w:kern w:val="0"/>
          </w:rPr>
          <w:t>2014\BMJ-Bri Med J348, g2267.pdf</w:t>
        </w:r>
      </w:hyperlink>
    </w:p>
    <w:p w:rsidR="00A25096" w:rsidRDefault="00A25096" w:rsidP="00A25096">
      <w:pPr>
        <w:pStyle w:val="a3"/>
        <w:rPr>
          <w:kern w:val="0"/>
        </w:rPr>
      </w:pPr>
      <w:r>
        <w:rPr>
          <w:kern w:val="0"/>
        </w:rPr>
        <w:t>Abstract: Objectives To determine whether antibiotic treatment leads to improvements in growth in prepubertal children in low and middle income countries, to determine the magnitude of improvements in growth, and to identify moderators of this treatment effect. Design Systematic review and meta-analysis. Data sources Medline, Embase, Scopus, the Cochrane central register of controlled trials, and Web of Science. Study selection Randomised controlled trials conducted in low or middle income countries in which an orally administered antibacterial agent was allocated by randomisation or minimisation and growth was measured as an outcome. Participants aged 1 month to 12 years were included. Control was placebo or non-antimicrobial intervention. Results Data were pooled from 10 randomised controlled trials representing 4316 children, across a variety of antibiotics, indications for treatment, treatment regimens, and countries. In random effects models, antibiotic use increased height by 0.04 cm/month (95% confidence interval 0.00 to 0.07) and weight by 23.8 g/month (95% confidence interval 4.3 to 43.3). After adjusting for age, effects on height were larger in younger populations and effects on weight were larger in African studies compared with other regions. Conclusion Antibiotics have a growth promoting effect in prepubertal children in low and middle income countries. This effect was more pronounced for ponderal than for linear growth</w:t>
      </w:r>
      <w:r w:rsidR="00A37C1D">
        <w:rPr>
          <w:kern w:val="0"/>
        </w:rPr>
        <w:t>. The</w:t>
      </w:r>
      <w:r>
        <w:rPr>
          <w:kern w:val="0"/>
        </w:rPr>
        <w:t xml:space="preserve"> antibiotic growth promoting effect may be mediated by treatment of clinical or subclinical infections or possibly by modulation of the intestinal microbiota. Better definition of the mechanisms underlying this effect will be </w:t>
      </w:r>
      <w:r>
        <w:rPr>
          <w:kern w:val="0"/>
        </w:rPr>
        <w:lastRenderedPageBreak/>
        <w:t>important to inform optimal and safe approaches to achieving healthy growth in vulnerable populations.</w:t>
      </w:r>
    </w:p>
    <w:p w:rsidR="00A25096" w:rsidRDefault="00A25096" w:rsidP="00A25096">
      <w:pPr>
        <w:pStyle w:val="a3"/>
        <w:rPr>
          <w:kern w:val="0"/>
        </w:rPr>
      </w:pPr>
      <w:r>
        <w:rPr>
          <w:kern w:val="0"/>
        </w:rPr>
        <w:t>Keywords: Age, Aged, Antibiotics, Children, Clinical, Clinical-Trial, Confidence, Control, Data, Design, Dose Titration, Double-Blind, Effects, Growth, Gut Microbiota, Impact, Indications, Infections, Interval, Intervention, Intestinal Microbiota, Magnitude, Mechanisms, Medline, Meta Analysis, Meta-Analysis, Metaanalysis, Microbiota, Models, Outcome, Persistent Diarrhea, Placebo, Populations, Preschool-Children, Randomisation, Randomised, Randomised Controlled Trials, Results, Review, Rural Bangladesh, Science, Scopus, Selection, Severe Acute Malnutrition, Sources, Systematic, Systematic Review, Treatment, Tropical Enteropathy, Vulnerable Populations, Web Of Science</w:t>
      </w:r>
    </w:p>
    <w:p w:rsidR="00A25096" w:rsidRDefault="00A25096" w:rsidP="00A25096">
      <w:pPr>
        <w:pStyle w:val="a3"/>
        <w:rPr>
          <w:kern w:val="0"/>
        </w:rPr>
      </w:pPr>
      <w:r>
        <w:rPr>
          <w:rFonts w:hint="eastAsia"/>
          <w:kern w:val="0"/>
        </w:rPr>
        <w:t xml:space="preserve">? </w:t>
      </w:r>
      <w:r>
        <w:rPr>
          <w:kern w:val="0"/>
        </w:rPr>
        <w:t xml:space="preserve">Bramham, K., Parnell, B., Nelson-Piercy, C., Seed, P.T., Poston, L. and Chappell, L.C. (2014), Chronic hypertension and pregnancy outcomes: Systematic review and meta-analysis. </w:t>
      </w:r>
      <w:r>
        <w:rPr>
          <w:i/>
          <w:iCs/>
          <w:kern w:val="0"/>
        </w:rPr>
        <w:t>BMJ-British Medical Journal</w:t>
      </w:r>
      <w:r>
        <w:rPr>
          <w:kern w:val="0"/>
        </w:rPr>
        <w:t xml:space="preserve">, </w:t>
      </w:r>
      <w:r>
        <w:rPr>
          <w:b/>
          <w:bCs/>
          <w:kern w:val="0"/>
        </w:rPr>
        <w:t>348</w:t>
      </w:r>
      <w:r>
        <w:rPr>
          <w:rFonts w:hint="eastAsia"/>
          <w:kern w:val="0"/>
        </w:rPr>
        <w:t xml:space="preserve">, </w:t>
      </w:r>
      <w:r w:rsidRPr="00245CD8">
        <w:rPr>
          <w:kern w:val="0"/>
        </w:rPr>
        <w:t>Article Number: g2301</w:t>
      </w:r>
      <w:r>
        <w:rPr>
          <w:rFonts w:hint="eastAsia"/>
          <w:kern w:val="0"/>
        </w:rPr>
        <w:t>.</w:t>
      </w:r>
    </w:p>
    <w:p w:rsidR="00A25096" w:rsidRDefault="00A25096" w:rsidP="00A25096">
      <w:pPr>
        <w:pStyle w:val="a3"/>
        <w:rPr>
          <w:kern w:val="0"/>
        </w:rPr>
      </w:pPr>
      <w:r>
        <w:rPr>
          <w:rFonts w:hint="eastAsia"/>
          <w:kern w:val="0"/>
        </w:rPr>
        <w:t xml:space="preserve">Full Text: </w:t>
      </w:r>
      <w:hyperlink r:id="rId1734" w:history="1">
        <w:r w:rsidRPr="00B735CE">
          <w:rPr>
            <w:rStyle w:val="a5"/>
            <w:kern w:val="0"/>
          </w:rPr>
          <w:t>2014\BMJ-Bri Med J348, g2301.pdf</w:t>
        </w:r>
      </w:hyperlink>
    </w:p>
    <w:p w:rsidR="00A25096" w:rsidRDefault="00A25096" w:rsidP="00A25096">
      <w:pPr>
        <w:pStyle w:val="a3"/>
        <w:rPr>
          <w:kern w:val="0"/>
        </w:rPr>
      </w:pPr>
      <w:r>
        <w:rPr>
          <w:kern w:val="0"/>
        </w:rPr>
        <w:t>Abstract: Objective To provide an accurate assessment of complications of pregnancy in women with chronic hypertension, including comparison with population pregnancy data (US) to inform pre-pregnancy and antenatal management strategies. Design Systematic review and meta-analysis. Data sources Embase, Medline, and Web of Science were searched without language restrictions, from first publication until June 2013; the bibliographies of relevant articles and reviews were hand searched for additional reports. Study selection Studies involving pregnant women with chronic hypertension, including retrospective and prospective cohorts, population studies, and appropriate arms of randomised controlled trials, were included. Data extraction Pooled incidence for each pregnancy outcome was reported and, for US studies, compared with US general population incidence from the National Vital Statistics Report (2006). Results 55 eligible studies were identified, encompassing 795 221 pregnancies. Women with chronic hypertension had high pooled incidences of superimposed pre-eclampsia (25.9%, 95% confidence interval 21.0% to 31.5 %), caesarean section (41.4%, 35.5% to 47.7%), preterm delivery &lt;37 weeks</w:t>
      </w:r>
      <w:r w:rsidR="00700038">
        <w:rPr>
          <w:kern w:val="0"/>
        </w:rPr>
        <w:t>’</w:t>
      </w:r>
      <w:r>
        <w:rPr>
          <w:kern w:val="0"/>
        </w:rPr>
        <w:t xml:space="preserve"> gestation (28.1% (22.6 to 34.4%), birth weight &lt;2500 g (16.9%, 13.1% to 21.5%), neonatal unit admission (20.5%, 15.7% to 26.4%), and perinatal death (4.0%, 2.9% to 5.4%). However, considerable heterogeneity existed in the reported incidence of all outcomes (tau(2)=0.286-0.766), with a substantial range of incidences in individual studies around these averages; additional meta-regression did not identify any influential demographic factors</w:t>
      </w:r>
      <w:r w:rsidR="00A37C1D">
        <w:rPr>
          <w:kern w:val="0"/>
        </w:rPr>
        <w:t>. The</w:t>
      </w:r>
      <w:r>
        <w:rPr>
          <w:kern w:val="0"/>
        </w:rPr>
        <w:t xml:space="preserve"> incidences (the meta-analysis average from US studies) of adverse outcomes in women with chronic hypertension were compared with women from the US national population dataset and showed higher risks in those with chronic hypertension: relative risks were 7.7 (95% confidence interval 5.7 </w:t>
      </w:r>
      <w:r>
        <w:rPr>
          <w:kern w:val="0"/>
        </w:rPr>
        <w:lastRenderedPageBreak/>
        <w:t>to 10.1) for superimposed pre-eclampsia compared with pre-eclampsia, 1.3 (1.1 to 1.5) for caesarean section, 2.7 (1.9 to 3.6) for preterm delivery 37 weeks</w:t>
      </w:r>
      <w:r w:rsidR="00700038">
        <w:rPr>
          <w:kern w:val="0"/>
        </w:rPr>
        <w:t>’</w:t>
      </w:r>
      <w:r>
        <w:rPr>
          <w:kern w:val="0"/>
        </w:rPr>
        <w:t xml:space="preserve"> gestation, 2.7 (1.9 to 3.8) for birth weight &lt;2500 g, 3.2 (2.2 to 4.4) for neonatal unit admission, and 4.2 (2.7 to 6.5) for perinatal death. Conclusions This systematic review, reporting meta-analysed data from studies of pregnant women with chronic hypertension, shows that adverse outcomes of pregnancy are common and emphasises a need for heightened antenatal surveillance. A consistent strategy to study women with chronic hypertension is needed, as previous study designs have been diverse</w:t>
      </w:r>
      <w:r w:rsidR="00A37C1D">
        <w:rPr>
          <w:kern w:val="0"/>
        </w:rPr>
        <w:t>. The</w:t>
      </w:r>
      <w:r>
        <w:rPr>
          <w:kern w:val="0"/>
        </w:rPr>
        <w:t>se findings should inform counselling and contribute to optimisation of maternal health, drug treatment, and pre-pregnancy management in women affected by chronic hypertension.</w:t>
      </w:r>
    </w:p>
    <w:p w:rsidR="00A25096" w:rsidRDefault="00A25096" w:rsidP="00A25096">
      <w:pPr>
        <w:pStyle w:val="a3"/>
        <w:rPr>
          <w:kern w:val="0"/>
        </w:rPr>
      </w:pPr>
      <w:r>
        <w:rPr>
          <w:kern w:val="0"/>
        </w:rPr>
        <w:t>Keywords: 1st Trimester, Adverse Outcomes, Adverse Perinatal Outcomes, Antiphospholipid Antibodies, Artery Doppler Velocimetry, Assessment, Bibliographies, Birth, Birth Weight, Birth-Weight, Blood-Pressure, Caesarean, Caesarean Section, Chronic, Chronic Hypertension, Comparison, Complications, Complications Of Pregnancy, Confidence, Counselling, Data, Death, Delivery, Design, Drug, Extraction, Fetal-Growth, First, General, Gestation, Health, Heterogeneity, Hypertension, Incidence, Interval, Language, Management, Maternal, Maternal Health, Medline, Meta Analysis, Meta-Analysis, Meta-Regression, Metaanalysis, Mild Chronic Hypertension, Neonatal, Neonatal Outcomes, Outcome, Outcomes, Perinatal, Perinatal Death, Population, Pre-Eclampsia, Preeclampsia, Pregnancy, Pregnancy Outcome, Pregnancy Outcomes, Pregnant, Pregnant Women, Preterm, Preterm Delivery, Prospective, Publication, Randomised, Randomised Controlled Trials, Reporting, Restrictions, Results, Review, Reviews, Risks, Science, Selection, Sources, Statistics, Strategy, Superimposed Preeclampsia, Surveillance, Systematic, Systematic Review, Treatment, Us, Web Of Science, Women</w:t>
      </w:r>
    </w:p>
    <w:p w:rsidR="00A25096" w:rsidRDefault="00A25096" w:rsidP="00A25096">
      <w:pPr>
        <w:pStyle w:val="a3"/>
        <w:rPr>
          <w:kern w:val="0"/>
        </w:rPr>
      </w:pPr>
      <w:r>
        <w:rPr>
          <w:rFonts w:hint="eastAsia"/>
          <w:kern w:val="0"/>
        </w:rPr>
        <w:t xml:space="preserve">? </w:t>
      </w:r>
      <w:r>
        <w:rPr>
          <w:kern w:val="0"/>
        </w:rPr>
        <w:t xml:space="preserve">Brenner, H., Stock, C. and Hoffmeister, M. (2014), Effect of screening sigmoidoscopy and screening colonoscopy on colorectal cancer incidence and mortality: Systematic review and meta-analysis of randomised controlled trials and observational studies. </w:t>
      </w:r>
      <w:r>
        <w:rPr>
          <w:i/>
          <w:iCs/>
          <w:kern w:val="0"/>
        </w:rPr>
        <w:t>BMJ-British Medical Journal</w:t>
      </w:r>
      <w:r>
        <w:rPr>
          <w:kern w:val="0"/>
        </w:rPr>
        <w:t xml:space="preserve">, </w:t>
      </w:r>
      <w:r>
        <w:rPr>
          <w:b/>
          <w:bCs/>
          <w:kern w:val="0"/>
        </w:rPr>
        <w:t>348</w:t>
      </w:r>
      <w:r>
        <w:rPr>
          <w:rFonts w:hint="eastAsia"/>
          <w:kern w:val="0"/>
        </w:rPr>
        <w:t xml:space="preserve">, </w:t>
      </w:r>
      <w:r w:rsidRPr="00245CD8">
        <w:rPr>
          <w:kern w:val="0"/>
        </w:rPr>
        <w:t xml:space="preserve">Article Number: </w:t>
      </w:r>
      <w:r w:rsidRPr="00C554A3">
        <w:rPr>
          <w:kern w:val="0"/>
        </w:rPr>
        <w:t>g2467</w:t>
      </w:r>
      <w:r>
        <w:rPr>
          <w:rFonts w:hint="eastAsia"/>
          <w:kern w:val="0"/>
        </w:rPr>
        <w:t>.</w:t>
      </w:r>
    </w:p>
    <w:p w:rsidR="00A25096" w:rsidRDefault="00A25096" w:rsidP="00A25096">
      <w:pPr>
        <w:pStyle w:val="a3"/>
        <w:rPr>
          <w:kern w:val="0"/>
        </w:rPr>
      </w:pPr>
      <w:r>
        <w:rPr>
          <w:rFonts w:hint="eastAsia"/>
          <w:kern w:val="0"/>
        </w:rPr>
        <w:t xml:space="preserve">Full Text: </w:t>
      </w:r>
      <w:hyperlink r:id="rId1735" w:history="1">
        <w:r w:rsidRPr="00B735CE">
          <w:rPr>
            <w:rStyle w:val="a5"/>
            <w:kern w:val="0"/>
          </w:rPr>
          <w:t>2014\BMJ-Bri Med J348, g2467.pdf</w:t>
        </w:r>
      </w:hyperlink>
    </w:p>
    <w:p w:rsidR="00A25096" w:rsidRDefault="00A25096" w:rsidP="00A25096">
      <w:pPr>
        <w:pStyle w:val="a3"/>
        <w:rPr>
          <w:kern w:val="0"/>
        </w:rPr>
      </w:pPr>
      <w:r>
        <w:rPr>
          <w:kern w:val="0"/>
        </w:rPr>
        <w:t xml:space="preserve">Abstract: Objectives To review, summarise, and compare the evidence for effectiveness of screening sigmoidoscopy and screening colonoscopy in the prevention of colorectal cancer occurrence and deaths. Design Systematic review and meta-analysis of randomised controlled trials and observational studies. Data sources PubMed, Embase, and Web of Science. Two investigators independently extracted characteristics and results of identified studies and performed standardised quality ratings. Eligibility criteria Randomised controlled trials and observational studies in English on the impact of screening sigmoidoscopy and screening colonoscopy on </w:t>
      </w:r>
      <w:r>
        <w:rPr>
          <w:kern w:val="0"/>
        </w:rPr>
        <w:lastRenderedPageBreak/>
        <w:t>colorectal cancer incidence and mortality in the general population at average risk. Results For screening sigmoidoscopy, four randomised controlled trials and 10 observational studies were identified that consistently found a major reduction in distal but not proximal colorectal cancer incidence and mortality. Summary estimates of reduction in distal colorectal cancer incidence and mortality were 31% (95% confidence intervals 26% to 37%) and 46% (33% to 57%) in intention to screen analysis, 42% (29% to 53%) and 61% (27% to 79%) in per protocol analysis of randomised controlled trials, and 64% (50% to 74%) and 66% (38% to 81%) in observational studies. For screening colonoscopy, evidence was restricted to six observational studies, the results of which suggest tentatively an even stronger reduction in distal colorectal cancer incidence and mortality, along with a significant reduction in mortality from cancer of the proximal colon. Indirect comparisons of results of observational studies on screening sigmoidoscopy and colonoscopy suggest a 40% to 60% lower risk of incident colorectal cancer and death from colorectal cancer after screening colonoscopy even though this incremental risk reduction was statistically significant for deaths from cancer of the proximal colon only. Conclusions Compelling and consistent evidence from randomised controlled trials and observational studies suggests that screening sigmoidoscopy and screening colonoscopy prevent most deaths from distal colorectal cancer. Observational studies suggest that colonoscopy compared with flexible sigmoidoscopy decreases mortality from cancer of the proximal colon. This added value should be examined in further research and weighed against the higher costs, discomfort, complication rates, capacities needed, and possible differences in compliance.</w:t>
      </w:r>
    </w:p>
    <w:p w:rsidR="00A25096" w:rsidRDefault="00A25096" w:rsidP="00A25096">
      <w:pPr>
        <w:pStyle w:val="a3"/>
        <w:rPr>
          <w:kern w:val="0"/>
        </w:rPr>
      </w:pPr>
      <w:r>
        <w:rPr>
          <w:kern w:val="0"/>
        </w:rPr>
        <w:t>Keywords: Analysis, Cancer, Characteristics, Colorectal Cancer, Compliance, Complication, Complication Rates, Confidence, Confidence Intervals, Costs, Criteria, Data, Death, Design, Effect, Effectiveness, English, Estimates, Evidence, Flexible Sigmoidoscopy, Follow-Up, General, Impact, Incidence, Intervals, Lower Endoscopy, Meta Analysis, Meta-Analysis, Metaanalysis, Mortality, Observational, Observational Studies, Occult Blood-Test, Population, Population-Based-Analysis, Prevent, Prevention, Protocol, Pubmed, Quality, Randomised, Randomised Controlled Trials, Rates, Reduction, Research, Results, Review, Risk, Science, Screening, Sided Colon-Cancer, Sources, Systematic, Systematic Review, Telemark Polyp, United-States, Value, Web Of Science</w:t>
      </w:r>
    </w:p>
    <w:p w:rsidR="001D4E3C" w:rsidRDefault="001D4E3C" w:rsidP="001D4E3C">
      <w:pPr>
        <w:pStyle w:val="a3"/>
        <w:rPr>
          <w:kern w:val="0"/>
        </w:rPr>
      </w:pPr>
      <w:r>
        <w:rPr>
          <w:rFonts w:hint="eastAsia"/>
          <w:kern w:val="0"/>
          <w:szCs w:val="24"/>
        </w:rPr>
        <w:t xml:space="preserve">? </w:t>
      </w:r>
      <w:r>
        <w:rPr>
          <w:kern w:val="0"/>
          <w:szCs w:val="24"/>
        </w:rPr>
        <w:t xml:space="preserve">Haycock, P.C., Heydon, E.E., Kaptoge, S., Butterworth, A.S., Thompson, A. and Willeit, P. (2014), Leucocyte telomere length and risk of cardiovascular disease: Systematic review and meta-analysis. </w:t>
      </w:r>
      <w:r>
        <w:rPr>
          <w:i/>
          <w:iCs/>
          <w:kern w:val="0"/>
          <w:szCs w:val="24"/>
        </w:rPr>
        <w:t>BMJ-British Medical Journal</w:t>
      </w:r>
      <w:r>
        <w:rPr>
          <w:kern w:val="0"/>
          <w:szCs w:val="24"/>
        </w:rPr>
        <w:t xml:space="preserve">, </w:t>
      </w:r>
      <w:r>
        <w:rPr>
          <w:b/>
          <w:bCs/>
          <w:kern w:val="0"/>
          <w:szCs w:val="24"/>
        </w:rPr>
        <w:t>349</w:t>
      </w:r>
      <w:r>
        <w:rPr>
          <w:rFonts w:hint="eastAsia"/>
          <w:kern w:val="0"/>
        </w:rPr>
        <w:t xml:space="preserve">, </w:t>
      </w:r>
      <w:r w:rsidRPr="00245CD8">
        <w:rPr>
          <w:kern w:val="0"/>
        </w:rPr>
        <w:t xml:space="preserve">Article Number: </w:t>
      </w:r>
      <w:r w:rsidRPr="00C554A3">
        <w:rPr>
          <w:kern w:val="0"/>
        </w:rPr>
        <w:t>g</w:t>
      </w:r>
      <w:r>
        <w:rPr>
          <w:rFonts w:hint="eastAsia"/>
          <w:kern w:val="0"/>
        </w:rPr>
        <w:t>4227.</w:t>
      </w:r>
    </w:p>
    <w:p w:rsidR="001D4E3C" w:rsidRDefault="001D4E3C" w:rsidP="001D4E3C">
      <w:pPr>
        <w:pStyle w:val="a3"/>
        <w:rPr>
          <w:kern w:val="0"/>
        </w:rPr>
      </w:pPr>
      <w:r>
        <w:rPr>
          <w:rFonts w:hint="eastAsia"/>
          <w:kern w:val="0"/>
        </w:rPr>
        <w:t xml:space="preserve">Full Text: </w:t>
      </w:r>
      <w:hyperlink r:id="rId1736" w:history="1">
        <w:r w:rsidRPr="00F65DF7">
          <w:rPr>
            <w:rStyle w:val="a5"/>
            <w:kern w:val="0"/>
          </w:rPr>
          <w:t>2014\BMJ-Bri Med J349, g4227.pdf</w:t>
        </w:r>
      </w:hyperlink>
    </w:p>
    <w:p w:rsidR="001D4E3C" w:rsidRDefault="001D4E3C" w:rsidP="001D4E3C">
      <w:pPr>
        <w:pStyle w:val="a3"/>
        <w:rPr>
          <w:kern w:val="0"/>
          <w:szCs w:val="24"/>
        </w:rPr>
      </w:pPr>
      <w:r>
        <w:rPr>
          <w:kern w:val="0"/>
          <w:szCs w:val="24"/>
        </w:rPr>
        <w:t xml:space="preserve">Abstract: Objective To assess the association between leucocyte telomere length and </w:t>
      </w:r>
      <w:r>
        <w:rPr>
          <w:kern w:val="0"/>
          <w:szCs w:val="24"/>
        </w:rPr>
        <w:lastRenderedPageBreak/>
        <w:t>risk of cardiovascular disease. Design Systematic review and meta-analysis. Data sources Studies published up to March 2014 identified through searches of Medline, Web of Science, and Embase. Eligibility criteria Prospective and retrospective studies that reported on associations between leucocyte telomere length and coronary heart disease (defined as non-fatal myocardial infarction, coronary heart disease death, or coronary revascularisation) or cerebrovascular disease (defined as non-fatal stroke or death from cerebrovascular disease) and were broadly representative of general populations-that is, they did not select cohort or control participants on the basis of pre-existing cardiovascular disease or diabetes. Results Twenty four studies involving 43 725 participants and 8400 patients with cardiovascular disease (5566 with coronary heart disease and 2834 with cerebrovascular disease) were found to be eligible. In a comparison of the shortest versus longest third of leucocyte telomere length, the pooled relative risk for coronary heart disease was 1.54 (95% confidence interval 1.30 to 1.83) in all studies, 1.40 (1.15 to 1.70) in prospective studies, and 1.80 (1.32 to 2.44) in retrospective studies. Heterogeneity between studies was moderate (I-2=64%, 41% to 77%, P-het&lt;0.001) and was not significantly explained by mean age of participants (P=0.23), the proportion of male participants (P=0.45), or distinction between retrospective versus prospective studies (P=0.32). Findings for coronary heart disease were similar in meta-analyses restricted to studies that adjusted for conventional vascular risk factors (relative risk 1.42, 95% confidence interval 1.17 to 1.73); studies with &gt;= 200 cases (1.44, 1.20 to 1.74); studies with a high quality score (1.53, 1.22 to 1.92); and in analyses that corrected for publication bias (1.34, 1.12 to 1.60). The pooled relative risk for cerebrovascular disease was 1.42 (1.11 to 1.81), with no significant heterogeneity between studies (I2= 41%, 0% to 72%, P-het=0.08). Shorter telomeres were not significantly associated with cerebrovascular disease risk in prospective studies (1.14, 0.85 to 1.54) or in studies with a high quality score (1.21, 0.83 to 1.76). Conclusion Available observational data show an inverse association between leucocyte telomere length and risk of coronary heart disease independent of conventional vascular risk factors. The association with cerebrovascular disease is less certain.</w:t>
      </w:r>
    </w:p>
    <w:p w:rsidR="001D4E3C" w:rsidRDefault="001D4E3C" w:rsidP="001D4E3C">
      <w:pPr>
        <w:pStyle w:val="a3"/>
        <w:rPr>
          <w:kern w:val="0"/>
          <w:szCs w:val="24"/>
        </w:rPr>
      </w:pPr>
      <w:r>
        <w:rPr>
          <w:kern w:val="0"/>
          <w:szCs w:val="24"/>
        </w:rPr>
        <w:t xml:space="preserve">Keywords: Age, Analyses, Association, Bias, Blood, Cardiovascular, Cardiovascular Disease, Cell Senescence, Cerebrovascular Disease, Cohort, Comparison, Confidence, Control, Conventional, Coronary Heart Disease, Coronary-Heart-Disease, Criteria, Data, Death, Design, Diabetes, Disease, Epidemiology, General, Health, Heart, Heterogeneity, Human Atherosclerosis, Infarction, Interval, Ischemic-Stroke, Length, Male, Medline, Meta Analysis, Meta-Analysis, Metaanalysis, Myocardial Infarction, Myocardial-Infarction, Observational, Patients, Prospective, Prospective Studies, Publication, Publication Bias, Quality, Relative Risk, Results, Retrospective Studies, Review, Risk, Risk </w:t>
      </w:r>
      <w:r>
        <w:rPr>
          <w:kern w:val="0"/>
          <w:szCs w:val="24"/>
        </w:rPr>
        <w:lastRenderedPageBreak/>
        <w:t>Factors, Science, Sources, Stroke, Systematic, Systematic Review, Web Of Science</w:t>
      </w:r>
    </w:p>
    <w:p w:rsidR="00F60F63" w:rsidRDefault="00F60F63" w:rsidP="00F60F63">
      <w:pPr>
        <w:pStyle w:val="a3"/>
        <w:rPr>
          <w:kern w:val="0"/>
        </w:rPr>
      </w:pPr>
      <w:r>
        <w:rPr>
          <w:kern w:val="0"/>
        </w:rPr>
        <w:t xml:space="preserve">? Patel, A., Laffan, M.A., Waheed, U. and Brett, S.J. (2014), Randomised trials of human albumin for adults with sepsis: Systematic review and meta-analysis with trial sequential analysis of all-cause mortality. </w:t>
      </w:r>
      <w:r>
        <w:rPr>
          <w:i/>
          <w:iCs/>
          <w:kern w:val="0"/>
        </w:rPr>
        <w:t>BMJ-British Medical Journal</w:t>
      </w:r>
      <w:r>
        <w:rPr>
          <w:kern w:val="0"/>
        </w:rPr>
        <w:t xml:space="preserve">, </w:t>
      </w:r>
      <w:r>
        <w:rPr>
          <w:b/>
          <w:bCs/>
          <w:kern w:val="0"/>
        </w:rPr>
        <w:t>349</w:t>
      </w:r>
      <w:r>
        <w:rPr>
          <w:rFonts w:hint="eastAsia"/>
          <w:kern w:val="0"/>
        </w:rPr>
        <w:t xml:space="preserve">, </w:t>
      </w:r>
      <w:r w:rsidRPr="00245CD8">
        <w:rPr>
          <w:kern w:val="0"/>
        </w:rPr>
        <w:t xml:space="preserve">Article Number: </w:t>
      </w:r>
      <w:r w:rsidRPr="00C554A3">
        <w:rPr>
          <w:kern w:val="0"/>
        </w:rPr>
        <w:t>g</w:t>
      </w:r>
      <w:r>
        <w:rPr>
          <w:rFonts w:hint="eastAsia"/>
          <w:kern w:val="0"/>
        </w:rPr>
        <w:t>4227.</w:t>
      </w:r>
    </w:p>
    <w:p w:rsidR="00F60F63" w:rsidRDefault="00F60F63" w:rsidP="00F60F63">
      <w:pPr>
        <w:pStyle w:val="a3"/>
        <w:rPr>
          <w:kern w:val="0"/>
        </w:rPr>
      </w:pPr>
      <w:r>
        <w:rPr>
          <w:rFonts w:hint="eastAsia"/>
          <w:kern w:val="0"/>
        </w:rPr>
        <w:t xml:space="preserve">Full Text: </w:t>
      </w:r>
      <w:hyperlink r:id="rId1737" w:history="1">
        <w:r w:rsidRPr="0084021E">
          <w:rPr>
            <w:rStyle w:val="a5"/>
            <w:kern w:val="0"/>
          </w:rPr>
          <w:t>2014\BMJ-Bri Med J349, g4561.pdf</w:t>
        </w:r>
      </w:hyperlink>
    </w:p>
    <w:p w:rsidR="00F60F63" w:rsidRDefault="00F60F63" w:rsidP="00F60F63">
      <w:pPr>
        <w:pStyle w:val="a3"/>
        <w:rPr>
          <w:kern w:val="0"/>
        </w:rPr>
      </w:pPr>
      <w:r>
        <w:rPr>
          <w:kern w:val="0"/>
        </w:rPr>
        <w:t xml:space="preserve">Abstract: Objective To assess the efficacy and safety of pooled human albumin solutions as part of fluid volume expansion and resuscitation (with or without improvement of baseline hypoalbuminaemia) in critically unwell adults with sepsis of any severity. Design Systematic review and meta-analysis of randomised clinical trials, with trial sequential analysis, subgroup, and meta-regression analyses. Data sources PubMed, PubMed Central, Web of Science (includes Medline, Conference Proceedings Citation Index, Data Citation Index, Chinese Science Citation Database, CAB abstracts, Derwent Innovations Index), OvidSP (includes Embase, Ovid Medline, HMIC, PsycINFO, Maternity and Infant Care, Transport Database), Cochrane Library, clinicaltrials.gov, controlled-trials.com, online material, relevant conference proceedings, hand searching of reference lists, and contact with authors as necessary. Eligibility criteria Prospective randomised clinical trials of adults with sepsis of any severity (with or without baseline hypoalbuminaemia) in critical or intensive care who received pooled human albumin solutions as part of fluid volume expansion and resuscitation (with or without improvement of hypoalbuminaemia) compared with those who received control fluids (crystalloid or colloid), were included if all-cause mortality outcome data were available. No restriction of language, date, publication status, or primary study endpoint was applied. Data extraction Two reviewers independently assessed articles for inclusion, extracted data to assess risk of bias, trial methods, patients, interventions, comparisons, and outcome. The relative risk of all-cause mortality was calculated using a random effects model accounting for clinical heterogeneity. Primary outcome measure All-cause mortality at final follow-up. Results Eighteen articles reporting on 16 primary clinical trials that included 4190 adults in critical or intensive care with sepsis, severe sepsis, or septic shock. A median of 70.0 g daily of pooled human albumin was received over a median of 3 days by adults with a median age of 60.8 years as part of fluid volume expansion and resuscitation, with or without correction of hypoalbuminaemia. The relative risk of death was similar between albumin groups (that received a median of 175 g in total) and control fluid groups (relative risk 0.94; 95% confidence interval 0.87 to 1.01; P=0.11; I-2=0%). Trial sequential analysis corrected the 95% confidence interval for random error (0.85 to 1.02; D-2=0%). Eighty eight per cent of the required information size (meta-analysis sample size) of 4894 patients was achieved, and the cumulative effect size measure (z score) entered </w:t>
      </w:r>
      <w:r>
        <w:rPr>
          <w:kern w:val="0"/>
        </w:rPr>
        <w:lastRenderedPageBreak/>
        <w:t>the futility area, supporting the notion of no relative benefit of albumin (GRADE quality of evidence was moderate). Evidence of no difference was also found when albumin was compared with crystalloid fluid (relative risk 0.93; 0.86 to 1.01; P=0.07; I-2=0%) in 3878 patents (GRADE quality of evidence was high; 79.9% of required information size) or colloid fluids in 299 patients (relative risk 1.04; 0.79 to 1.38; P=0.76; I-2=0%) (GRADE quality of evidence was very low; 5.8% of required information size). When studies at high risk of bias were excluded in a predefined subgroup analysis, the finding of no mortality benefit remained, and the cumulative z score was just outside the boundary of futility. Overall, the meta-analysis was robust to sensitivity, subgroup, meta-regression, and trial sequential analyses. Conclusions In this analysis, human albumin solutions as part of fluid volume expansion and resuscitation for critically unwell adults with sepsis of any severity (with or without baseline hypoalbuminaemia) were not robustly effective at reducing all-cause mortality. Albumin seems to be safe in this setting, as a signal towards harm was not detected, but this analysis does not support a recommendation for use.</w:t>
      </w:r>
    </w:p>
    <w:p w:rsidR="00F60F63" w:rsidRDefault="00F60F63" w:rsidP="00F60F63">
      <w:pPr>
        <w:pStyle w:val="a3"/>
        <w:rPr>
          <w:kern w:val="0"/>
        </w:rPr>
      </w:pPr>
      <w:r>
        <w:rPr>
          <w:kern w:val="0"/>
        </w:rPr>
        <w:t>Keywords: Acute Kidney Injury, Acute Lung Injury, Age, Albumin, Analyses, Analysis, Articles, Authors, Bias, Cab, Campaign International Guidelines, Care, Chinese, Citation, Clinical, Clinical Trials, Colloid, Conference, Conference Proceedings, Confidence, Control, Criteria, Critically-Ill Patients, Crystalloid, Cumulative, Data, Database, Death, Design, Different Volume Therapies, Effect Size, Effects, Efficacy, Error, Evidence, Extraction, Fluid Resuscitation, Follow-Up, Futility, Grade, Groups, Heterogeneity, Human, Hydroxyethyl Starch 130, 0.4, Improvement, Infant, Information, Intensive Care, Intensive-Care-Unit, Interval, Interventions, Language, Measure, Medline, Meta Analysis, Meta-Analysis, Meta-Regression, Metaanalysis, Methods, Model, Mortality, Notion, Online, Outcome, Outcome Measure, Patents, Patients, Primary, Proceedings, Psycinfo, Publication, Pubmed, Pubmed Central, Quality, Quality Of, Random Effects Model, Randomised, Reference, Reference Lists, Relative Risk, Reporting, Results, Resuscitation, Review, Reviewers, Risk, Safety, Sample Size, Science, Sensitivity, Sepsis, Septic Shock, Sequential, Serious Adverse Events, Shock, Size, Solutions, Sources, Support, Systematic, Systematic Review, Transport, Trial, Volume, Web Of Science, Z-Score</w:t>
      </w:r>
    </w:p>
    <w:p w:rsidR="00666900" w:rsidRDefault="00666900" w:rsidP="00666900">
      <w:pPr>
        <w:pStyle w:val="a3"/>
        <w:rPr>
          <w:kern w:val="0"/>
        </w:rPr>
      </w:pPr>
      <w:r>
        <w:rPr>
          <w:rFonts w:hint="eastAsia"/>
          <w:kern w:val="0"/>
        </w:rPr>
        <w:t xml:space="preserve">? </w:t>
      </w:r>
      <w:r>
        <w:rPr>
          <w:kern w:val="0"/>
        </w:rPr>
        <w:t xml:space="preserve">Nieuwenhuijse, M.J., Nelissen, R.G.H.H., Schoones, J.W. and Sedrakyan, A. (2014), Appraisal of evidence base for introduction of new implants in hip and knee replacement: A systematic review of five widely used device technologies. </w:t>
      </w:r>
      <w:r>
        <w:rPr>
          <w:i/>
          <w:iCs/>
          <w:kern w:val="0"/>
        </w:rPr>
        <w:t>BMJ-British Medical Journal</w:t>
      </w:r>
      <w:r>
        <w:rPr>
          <w:kern w:val="0"/>
        </w:rPr>
        <w:t xml:space="preserve">, </w:t>
      </w:r>
      <w:r>
        <w:rPr>
          <w:b/>
          <w:bCs/>
          <w:kern w:val="0"/>
        </w:rPr>
        <w:t>349</w:t>
      </w:r>
      <w:r>
        <w:rPr>
          <w:rFonts w:hint="eastAsia"/>
          <w:kern w:val="0"/>
        </w:rPr>
        <w:t xml:space="preserve">, </w:t>
      </w:r>
      <w:r w:rsidRPr="00245CD8">
        <w:rPr>
          <w:kern w:val="0"/>
        </w:rPr>
        <w:t xml:space="preserve">Article Number: </w:t>
      </w:r>
      <w:r w:rsidRPr="00FC308F">
        <w:rPr>
          <w:kern w:val="0"/>
        </w:rPr>
        <w:t>g5133</w:t>
      </w:r>
      <w:r>
        <w:rPr>
          <w:rFonts w:hint="eastAsia"/>
          <w:kern w:val="0"/>
        </w:rPr>
        <w:t>.</w:t>
      </w:r>
    </w:p>
    <w:p w:rsidR="00666900" w:rsidRDefault="00666900" w:rsidP="00666900">
      <w:pPr>
        <w:pStyle w:val="a3"/>
        <w:rPr>
          <w:kern w:val="0"/>
        </w:rPr>
      </w:pPr>
      <w:r>
        <w:rPr>
          <w:rFonts w:hint="eastAsia"/>
          <w:kern w:val="0"/>
        </w:rPr>
        <w:t xml:space="preserve">Full Text: </w:t>
      </w:r>
      <w:hyperlink r:id="rId1738" w:history="1">
        <w:r w:rsidRPr="002F495D">
          <w:rPr>
            <w:rStyle w:val="a5"/>
            <w:kern w:val="0"/>
          </w:rPr>
          <w:t>2014\BMJ-Bri Med J349, g5133.pdf</w:t>
        </w:r>
      </w:hyperlink>
    </w:p>
    <w:p w:rsidR="00666900" w:rsidRDefault="00666900" w:rsidP="00666900">
      <w:pPr>
        <w:pStyle w:val="a3"/>
        <w:rPr>
          <w:kern w:val="0"/>
        </w:rPr>
      </w:pPr>
      <w:r>
        <w:rPr>
          <w:kern w:val="0"/>
        </w:rPr>
        <w:t xml:space="preserve">Abstract: Objective To determine the evidence of effectiveness and safety for introduction of five recent and ostensibly high value implantable devices in major joint replacement to illustrate the need for change and inform guidance on evidence </w:t>
      </w:r>
      <w:r>
        <w:rPr>
          <w:kern w:val="0"/>
        </w:rPr>
        <w:lastRenderedPageBreak/>
        <w:t>based introduction of new implants into healthcare. Design Systematic review of clinical trials, comparative observational studies, and registries for comparative effectiveness and safety of five implantable device innovations. Data sources PubMed (Medline), Embase, Web of Science, Cochrane, CINAHL, reference lists of articles, annual reports of major registries, summaries of safety and effectiveness for pre-market application and mandated post-market studies at the US Food and Drug Administration. Study selection The five selected innovations comprised three in total hip replacement (ceramic-on-ceramic bearings, modular femoral necks, and uncemented monoblock cups) and two in total knee replacement (high flexion knee replacement and gender specific knee replacement). All clinical studies of primary total hip or knee replacement for symptomatic osteoarthritis in adults that compared at least one of the clinical outcomes of interest (patient centred outcomes or complications, or both) in the new implant group and control implant group were considered. Data searching, abstraction, and analysis were independently performed and confirmed by at least two authors. Quantitative data syntheses were performed when feasible. Results After assessment of 10 557 search hits, 118 studies (94 unique study cohorts) met the inclusion criteria and reported data related to 15 384 implants in 13 164 patients. Comparative evidence per device innovation varied from four low to moderate quality retrospective studies (modular femoral necks) to 56 studies of varying quality including seven high quality (randomised) studies (high flexion knee replacement). None of the five device innovations was found to improve functional or patient reported outcomes. National registries reported two to 12 year follow-up for revision occurrence related to more than 200 000 of these implants. Reported comparative data with well established alternative devices (over 1 200 000 implants) did not show improved device survival. Moreover, we found higher revision occurrence associated with modular femoral necks (hazard ratio 1.9) and ceramic-on-ceramic bearings (hazard ratio 1.0-1.6) in hip replacement and with high flexion knee implants (hazard ratio 1.0-1.8). Conclusion We did not find convincing high quality evidence supporting the use of five substantial, well known, and already implemented device innovations in orthopaedics. Moreover, existing devices may be safer to use in total hip or knee replacement. Improved regulation and professional society oversight are necessary to prevent patients from being further exposed to these and future innovations introduced without proper evidence of improved clinical efficacy and safety.</w:t>
      </w:r>
    </w:p>
    <w:p w:rsidR="00666900" w:rsidRDefault="00666900" w:rsidP="00666900">
      <w:pPr>
        <w:pStyle w:val="a3"/>
        <w:rPr>
          <w:kern w:val="0"/>
        </w:rPr>
      </w:pPr>
      <w:r>
        <w:rPr>
          <w:kern w:val="0"/>
        </w:rPr>
        <w:t xml:space="preserve">Keywords: Alternative, Analysis, Application, Arthroplasty, Articles, Assessment, Authors, Clinical, Clinical Outcomes, Clinical Studies, Clinical Trials, Comparative, Complications, Control, Criteria, Data, Design, Device Innovation, Different Bearing Surfaces, Drug, Effectiveness, Efficacy, Evidence, Evidence Based, Evidence-Based, Follow-Up, Food, Gender, Gender-Specific, Guidance, Guidelines, Hazard, Hazard </w:t>
      </w:r>
      <w:r>
        <w:rPr>
          <w:kern w:val="0"/>
        </w:rPr>
        <w:lastRenderedPageBreak/>
        <w:t>Ratio, Hip Replacement, Ideal Framework, Implant, Innovation, Medical Devices, Medline, Metaanalyses, Metal-On-Metal, National Joint Registry, Observational, Observational Studies, Orthopaedics, Outcomes, Patients, Prevent, Primary, Pubmed, Quality, Randomised, Randomized Controlled-Trials, Recent, Reference, Reference Lists, Registries, Regulation, Results, Retrospective Studies, Review, Safety, Science, Selection, Society, Sources, Statement, Survival, Systematic, Systematic Review, Technologies, US, Value, Web Of Science</w:t>
      </w:r>
    </w:p>
    <w:p w:rsidR="00F9536B" w:rsidRDefault="00F9536B" w:rsidP="00F9536B">
      <w:pPr>
        <w:pStyle w:val="a3"/>
        <w:rPr>
          <w:kern w:val="0"/>
        </w:rPr>
      </w:pPr>
      <w:r>
        <w:rPr>
          <w:rFonts w:hint="eastAsia"/>
          <w:kern w:val="0"/>
        </w:rPr>
        <w:t xml:space="preserve">? </w:t>
      </w:r>
      <w:r>
        <w:rPr>
          <w:kern w:val="0"/>
        </w:rPr>
        <w:t xml:space="preserve">Machado, G.C., Maher, C.G., Ferreira, P.H., Pinheiro, M.B., Lin, C.W.C., Day, R.O., McLachlan, A.J. and Ferreira, M.L. (2015), Efficacy and safety of paracetamol for spinal pain and osteoarthritis: Systematic review and meta-analysis of randomised placebo controlled trials. </w:t>
      </w:r>
      <w:r>
        <w:rPr>
          <w:i/>
          <w:iCs/>
          <w:kern w:val="0"/>
        </w:rPr>
        <w:t>BMJ-British Medical Journal</w:t>
      </w:r>
      <w:r>
        <w:rPr>
          <w:kern w:val="0"/>
        </w:rPr>
        <w:t xml:space="preserve">, </w:t>
      </w:r>
      <w:r>
        <w:rPr>
          <w:b/>
          <w:bCs/>
          <w:kern w:val="0"/>
        </w:rPr>
        <w:t>350</w:t>
      </w:r>
      <w:r>
        <w:rPr>
          <w:rFonts w:hint="eastAsia"/>
          <w:kern w:val="0"/>
        </w:rPr>
        <w:t xml:space="preserve">, </w:t>
      </w:r>
      <w:r w:rsidRPr="00245CD8">
        <w:rPr>
          <w:kern w:val="0"/>
        </w:rPr>
        <w:t xml:space="preserve">Article Number: </w:t>
      </w:r>
      <w:r w:rsidRPr="00146288">
        <w:rPr>
          <w:kern w:val="0"/>
        </w:rPr>
        <w:t>h1225</w:t>
      </w:r>
      <w:r>
        <w:rPr>
          <w:rFonts w:hint="eastAsia"/>
          <w:kern w:val="0"/>
        </w:rPr>
        <w:t>.</w:t>
      </w:r>
    </w:p>
    <w:p w:rsidR="00F9536B" w:rsidRDefault="00F9536B" w:rsidP="00F9536B">
      <w:pPr>
        <w:pStyle w:val="a3"/>
        <w:rPr>
          <w:kern w:val="0"/>
        </w:rPr>
      </w:pPr>
      <w:r>
        <w:rPr>
          <w:rFonts w:hint="eastAsia"/>
          <w:kern w:val="0"/>
        </w:rPr>
        <w:t xml:space="preserve">Full Text: </w:t>
      </w:r>
      <w:hyperlink r:id="rId1739" w:history="1">
        <w:r w:rsidRPr="00F9536B">
          <w:rPr>
            <w:rStyle w:val="a5"/>
            <w:kern w:val="0"/>
          </w:rPr>
          <w:t>2015\BMJ-Bri Med J350, h1225.pdf</w:t>
        </w:r>
      </w:hyperlink>
    </w:p>
    <w:p w:rsidR="00F9536B" w:rsidRDefault="00F9536B" w:rsidP="00F9536B">
      <w:pPr>
        <w:pStyle w:val="a3"/>
        <w:rPr>
          <w:kern w:val="0"/>
        </w:rPr>
      </w:pPr>
      <w:r>
        <w:rPr>
          <w:kern w:val="0"/>
        </w:rPr>
        <w:t xml:space="preserve">Abstract: OBJECTIVE To investigate the efficacy and safety of paracetamol (acetaminophen) in the management of spinal pain and osteoarthritis of the hip or knee. DESIGN Systematic review and meta-analysis. DATA SOURCES Medline, Embase, AMED, CINAHL, Web of Science, LILACS, International Pharmaceutical Abstracts, and Cochrane Central Register of Controlled Trials from inception to December 2014. ELIGIBILITY CRITERIA FOR SELECTING STUDIES Randomised controlled trials comparing the efficacy and safety of paracetamol with placebo for spinal pain (neck or low back pain) and osteoarthritis of the hip or knee. DATA EXTRACTION Two independent reviewers extracted data on pain, disability, and quality of life. Secondary outcomes were adverse effects, patient adherence, and use of rescue medication. Pain and disability scores were converted to a scale of 0 (no pain or disability) to 100 (worst possible pain or disability). We calculated weighted mean differences or risk ratios and 95% confidence intervals using a random effects model. The Cochrane Collaboration’s tool was used for assessing risk of bias, and the GRADE approach was used to evaluate the quality of evidence and summarise conclusions. RESULTS 12 reports (13 randomised trials) were included. There was “high quality” evidence that paracetamol is ineffective for reducing pain intensity (weighted mean difference -0.5, 95% confidence interval -2.9 to 1.9) and disability (0.4, -1.7 to 2.5) or improving quality of life (0.4, -0.9 to 1.7) in the short term in people with low back pain. For hip or knee osteoarthritis there was “high quality” evidence that paracetamol provides a significant, although not clinically important, effect on pain (-3.7, -5.5 to -1.9) and disability (-2.9, -4.9 to -0.9) in the short term. The number of patients reporting any adverse event (risk ratio 1.0, 95% confidence interval 0.9 to 1.1), any serious adverse event (1.2, 0.7 to 2.1), or withdrawn from the study because of adverse events (1.2, 0.9 to 1.5) was similar in the paracetamol and placebo groups. Patient adherence to treatment (1.0, 0.9 to 1.1) and use of rescue medication (0.7, 0.4 to 1.3) was also similar between groups. “High </w:t>
      </w:r>
      <w:r>
        <w:rPr>
          <w:kern w:val="0"/>
        </w:rPr>
        <w:lastRenderedPageBreak/>
        <w:t>quality” evidence showed that patients taking paracetamol are nearly four times more likely to have abnormal results on liver function tests (3.8, 1.9 to 7.4), but the clinical importance of this effect is uncertain. CONCLUSIONS Paracetamol is ineffective in the treatment of low back pain and provides minimal short term benefit for people with osteoarthritis. These results support the reconsideration of recommendations to use paracetamol for patients with low back pain and osteoarthritis of the hip or knee in clinical practice guidelines. SYSTEMATIC REVIEW REGISTRATION PROSPERO registration number CRD42013006367.</w:t>
      </w:r>
    </w:p>
    <w:p w:rsidR="00F9536B" w:rsidRDefault="00F9536B" w:rsidP="00F9536B">
      <w:pPr>
        <w:pStyle w:val="a3"/>
        <w:rPr>
          <w:kern w:val="0"/>
        </w:rPr>
      </w:pPr>
      <w:r>
        <w:rPr>
          <w:kern w:val="0"/>
        </w:rPr>
        <w:t>Keywords: Acetaminophen, Acetaminophen Extended-Release, Adherence, Adherence To Treatment, Adverse Effects, Adverse Events, American-College, Approach, Assessing, Back Pain, Bias, Clinical, Clinical Practice, Clinical Practice Guidelines, Conclusions, Confidence, Confidence Intervals, Criteria, Data, Design, Disability, Disease 2010, Double-Blind, Effects, Efficacy, Efficacy And Safety, Events, Evidence, Extraction, From, Function, Global Burden, Grade, Groups, Guidelines, Hip Osteoarthritis, Intensity, International, Interval, Intervals, Knee, Knee Osteoarthritis, Life, Liver, Low Back, Low Back Pain, Low-Back-Pain, Management, Mar, Medline, Meta Analysis, Meta-Analysis, Metaanalysis, Model, Neck, Osteoarthritis, Outcomes, Pain, Paracetamol, Patient, Patients, Pharmaceutical, Placebo, Practice, Practice Guidelines, Quality, Quality Of, Quality Of Life, Random Effects Model, Randomised, Randomised Controlled Trials, Recommendations, Registration, Reporting, Review, Reviewers, Risk, Safety, Scale, Science, Spinal, Standing-Committee, Support, Systematic, Systematic Review, Task-Force, Term, Treatment, Web, Web Of Science</w:t>
      </w:r>
    </w:p>
    <w:p w:rsidR="00F9536B" w:rsidRDefault="00F9536B" w:rsidP="00F9536B">
      <w:pPr>
        <w:pStyle w:val="a3"/>
        <w:rPr>
          <w:kern w:val="0"/>
        </w:rPr>
      </w:pPr>
      <w:r>
        <w:rPr>
          <w:rFonts w:hint="eastAsia"/>
          <w:kern w:val="0"/>
        </w:rPr>
        <w:t xml:space="preserve">? </w:t>
      </w:r>
      <w:r>
        <w:rPr>
          <w:kern w:val="0"/>
        </w:rPr>
        <w:t xml:space="preserve">Shah, A.S.V., Lee, K.K., McAllister, D.A., Hunter, A., Nair, H., Whiteley, W., Langrish, J.P., Newby, D.E. and Mills, N.L. (2015), Short term exposure to air pollution and stroke: Systematic review and meta-analysis. </w:t>
      </w:r>
      <w:r>
        <w:rPr>
          <w:i/>
          <w:iCs/>
          <w:kern w:val="0"/>
        </w:rPr>
        <w:t>BMJ-British Medical Journal</w:t>
      </w:r>
      <w:r>
        <w:rPr>
          <w:kern w:val="0"/>
        </w:rPr>
        <w:t xml:space="preserve">, </w:t>
      </w:r>
      <w:r>
        <w:rPr>
          <w:b/>
          <w:bCs/>
          <w:kern w:val="0"/>
        </w:rPr>
        <w:t>350</w:t>
      </w:r>
      <w:r>
        <w:rPr>
          <w:kern w:val="0"/>
        </w:rPr>
        <w:t xml:space="preserve">, </w:t>
      </w:r>
      <w:r w:rsidRPr="00245CD8">
        <w:rPr>
          <w:kern w:val="0"/>
        </w:rPr>
        <w:t xml:space="preserve">Article Number: </w:t>
      </w:r>
      <w:r w:rsidRPr="00146288">
        <w:rPr>
          <w:kern w:val="0"/>
        </w:rPr>
        <w:t>h1295</w:t>
      </w:r>
      <w:r>
        <w:rPr>
          <w:rFonts w:hint="eastAsia"/>
          <w:kern w:val="0"/>
        </w:rPr>
        <w:t>.</w:t>
      </w:r>
    </w:p>
    <w:p w:rsidR="00F9536B" w:rsidRDefault="00F9536B" w:rsidP="00F9536B">
      <w:pPr>
        <w:pStyle w:val="a3"/>
        <w:rPr>
          <w:kern w:val="0"/>
        </w:rPr>
      </w:pPr>
      <w:r>
        <w:rPr>
          <w:rFonts w:hint="eastAsia"/>
          <w:kern w:val="0"/>
        </w:rPr>
        <w:t xml:space="preserve">Full Text: </w:t>
      </w:r>
      <w:hyperlink r:id="rId1740" w:history="1">
        <w:r w:rsidRPr="00F9536B">
          <w:rPr>
            <w:rStyle w:val="a5"/>
            <w:kern w:val="0"/>
          </w:rPr>
          <w:t>2015\BMJ-Bri Med J350, h1295.pdf</w:t>
        </w:r>
      </w:hyperlink>
    </w:p>
    <w:p w:rsidR="00F9536B" w:rsidRDefault="00F9536B" w:rsidP="00F9536B">
      <w:pPr>
        <w:pStyle w:val="a3"/>
        <w:rPr>
          <w:kern w:val="0"/>
        </w:rPr>
      </w:pPr>
      <w:r>
        <w:rPr>
          <w:kern w:val="0"/>
        </w:rPr>
        <w:t xml:space="preserve">Abstract: OBJECTIVE To review the evidence for the short term association between air pollution and stroke. DESIGN Systematic review and meta-analysis of observational studies DATA SOURCES Medline, Embase, Global Health, Cumulative Index to Nursing and Allied Health Literature (CINAHL), and Web of Science searched to January 2014 with no language restrictions. ELIGIBILITY CRITERIA Studies investigating the short term associations (up to lag of seven days) between daily increases in gaseous pollutants (carbon monoxide, sulphur dioxide, nitrogen dioxide, ozone) and particulate matter (&lt; 2.5 mu m or &lt; 10 mu m diameter (PM2.5 and PM10)), and admission to hospital for stroke or mortality. MAIN OUTCOME MEASURES Admission to hospital and mortality from stroke. RESULTS From 2748 articles, 238 were reviewed in depth with 103 satisfying our </w:t>
      </w:r>
      <w:r>
        <w:rPr>
          <w:kern w:val="0"/>
        </w:rPr>
        <w:lastRenderedPageBreak/>
        <w:t>inclusion criteria and 94 contributing to our meta-estimates. This provided a total of 6.2 million events across 28 countries. Admission to hospital for stroke or mortality from stroke was associated with an increase in concentrations of carbon monoxide (relative risk 1.015 per 1 ppm, 95% confidence interval 1.004 to 1.026), sulphur dioxide (1.019 per 10 ppb, 1.011 to 1.027), and nitrogen dioxide (1.014 per 10 ppb, 1.009 to 1.019). Increases in PM2.5 and PM10 concentration were also associated with admission and mortality (1.011 per 10 (I) over cap1/4g/m(3) (1.011 to 1.012) and 1.003 per 10 mu g/m(3) (1.002 to 1.004), respectively). The weakest association was seen with ozone (1.001 per 10 ppb, 1.000 to 1.002). Strongest associations were observed on the day of exposure with more persistent effects observed for PM2-5. CONCLUSION Gaseous and particulate air pollutants have a marked and close temporal association with admissions to hospital for stroke or mortality from stroke. Public and environmental health policies to reduce air pollution could reduce the burden of stroke.</w:t>
      </w:r>
    </w:p>
    <w:p w:rsidR="00F9536B" w:rsidRDefault="00F9536B" w:rsidP="00F9536B">
      <w:pPr>
        <w:pStyle w:val="a3"/>
        <w:rPr>
          <w:kern w:val="0"/>
        </w:rPr>
      </w:pPr>
      <w:r>
        <w:rPr>
          <w:kern w:val="0"/>
        </w:rPr>
        <w:t>Keywords: 11 European Cohorts, Air, Air Pollution, Articles, Association, Burden, Carbon, Carbon Monoxide, Cardiovascular-Diseases, Case-Crossover Analysis, Cause-Specific Mortality, Concentration, Confidence, Criteria, Daily Hospital Admissions, Design, Diesel Exhaust Inhalation, Effects, Emergency-Department Visits, Environmental, Environmental Health, Events, Evidence, Exposure, From, Global, Health, Hospital, Interval, Language, Literature, Mar, Medline, Meta Analysis, Meta-Analysis, Metaanalysis, Mortality, Nitrogen, Nursing, Observational, Observational Studies, Outcome, Outcome Measures, Ozone, Particulate, Particulate Matter, Pm10, Pm2.5, Policies, Pollutants, Pollution, Relative Risk, Restrictions, Review, Risk, Science, Short-Term, Stroke, Sulphur Dioxide, Systematic, Systematic Review, Temporal, Term, Time-Series, Transient Ischemic Attack, Web, Web Of Science</w:t>
      </w:r>
    </w:p>
    <w:p w:rsidR="00F9536B" w:rsidRDefault="00F9536B" w:rsidP="00F9536B">
      <w:pPr>
        <w:pStyle w:val="a3"/>
        <w:rPr>
          <w:kern w:val="0"/>
        </w:rPr>
      </w:pPr>
      <w:r>
        <w:rPr>
          <w:rFonts w:hint="eastAsia"/>
          <w:kern w:val="0"/>
        </w:rPr>
        <w:t xml:space="preserve">? </w:t>
      </w:r>
      <w:r>
        <w:rPr>
          <w:kern w:val="0"/>
        </w:rPr>
        <w:t xml:space="preserve">Holst, L.B., Petersen, M.W., Haase, N., Perner, A. and Wetterslev, J. (2015), Restrictive versus liberal transfusion strategy for red blood cell transfusion: Systematic review of randomised trials with meta-analysis and trial sequential analysis. </w:t>
      </w:r>
      <w:r>
        <w:rPr>
          <w:i/>
          <w:iCs/>
          <w:kern w:val="0"/>
        </w:rPr>
        <w:t>BMJ-British Medical Journal</w:t>
      </w:r>
      <w:r>
        <w:rPr>
          <w:kern w:val="0"/>
        </w:rPr>
        <w:t xml:space="preserve">, </w:t>
      </w:r>
      <w:r>
        <w:rPr>
          <w:b/>
          <w:bCs/>
          <w:kern w:val="0"/>
        </w:rPr>
        <w:t>350</w:t>
      </w:r>
      <w:r>
        <w:rPr>
          <w:kern w:val="0"/>
        </w:rPr>
        <w:t xml:space="preserve">, </w:t>
      </w:r>
      <w:r w:rsidRPr="00245CD8">
        <w:rPr>
          <w:kern w:val="0"/>
        </w:rPr>
        <w:t xml:space="preserve">Article Number: </w:t>
      </w:r>
      <w:r w:rsidRPr="00146288">
        <w:rPr>
          <w:kern w:val="0"/>
        </w:rPr>
        <w:t>h1354</w:t>
      </w:r>
      <w:r>
        <w:rPr>
          <w:rFonts w:hint="eastAsia"/>
          <w:kern w:val="0"/>
        </w:rPr>
        <w:t>.</w:t>
      </w:r>
    </w:p>
    <w:p w:rsidR="00F9536B" w:rsidRDefault="00F9536B" w:rsidP="00F9536B">
      <w:pPr>
        <w:pStyle w:val="a3"/>
        <w:rPr>
          <w:kern w:val="0"/>
        </w:rPr>
      </w:pPr>
      <w:r>
        <w:rPr>
          <w:rFonts w:hint="eastAsia"/>
          <w:kern w:val="0"/>
        </w:rPr>
        <w:t xml:space="preserve">Full Text: </w:t>
      </w:r>
      <w:hyperlink r:id="rId1741" w:history="1">
        <w:r w:rsidRPr="00F9536B">
          <w:rPr>
            <w:rStyle w:val="a5"/>
            <w:kern w:val="0"/>
          </w:rPr>
          <w:t>2015\BMJ-Bri Med J350, h1354.pdf</w:t>
        </w:r>
      </w:hyperlink>
    </w:p>
    <w:p w:rsidR="00F9536B" w:rsidRDefault="00F9536B" w:rsidP="00F9536B">
      <w:pPr>
        <w:pStyle w:val="a3"/>
        <w:rPr>
          <w:kern w:val="0"/>
        </w:rPr>
      </w:pPr>
      <w:r>
        <w:rPr>
          <w:kern w:val="0"/>
        </w:rPr>
        <w:t xml:space="preserve">Abstract: OBJECTIVE To compare the benefit and harm of restrictive versus liberal transfusion strategies to guide red blood cell transfusions. DESIGN Systematic review with meta-analyses and trial sequential analyses of randomised clinical trials. DATA SOURCES Cochrane central register of controlled trials, SilverPlatter Medline (1950 to date), SilverPlatter Embase (1980 to date), and Science Citation Index Expanded (1900 to present). Reference lists of identified trials and other systematic reviews were assessed, and authors and experts in transfusion were contacted to identify additional trials. TRIAL SELECTION Published and </w:t>
      </w:r>
      <w:r>
        <w:rPr>
          <w:kern w:val="0"/>
        </w:rPr>
        <w:lastRenderedPageBreak/>
        <w:t>unpublished randomised clinical trials that evaluated a restrictive compared with a liberal transfusion strategy in adults or children, irrespective of language, blinding procedure, publication status, or sample size. DATA EXTRACTION Two authors independently screened titles and abstracts of trials identified, and relevant trials were evaluated in full text for eligibility. Two reviewers then independently extracted data on methods, interventions, outcomes, and risk of bias from included trials. random effects models were used to estimate risk ratios and mean differences with 95% confidence intervals. RESULTS 31 trials totalling 9813 randomised patients were included. The proportion of patients receiving red blood cells (relative risk 0.54, 95% confidence interval 0.47 to 0.63, 8923 patients, 24 trials) and the number of red blood cell units transfused (mean difference -1.43, 95% confidence interval -2.01 to -0.86) were lower with the restrictive compared with liberal transfusion strategies. Restrictive compared with liberal transfusion strategies were not associated with risk of death (0.86, 0.74 to 1.01, 5707 patients, nine lower risk of bias trials), overall morbidity (0.98, 0.85 to 1.12, 4517 patients, six lower risk of bias trials), or fatal or non-fatal myocardial infarction (1.28, 0.66 to 2.49, 4730 patients, seven lower risk of bias trials). Results were not affected by the inclusion of trials with unclear or high risk of bias. Using trial sequential analyses on mortality and myocardial infarction, the required information size was not reached, but a 15% relative risk reduction or increase in overall morbidity with restrictive transfusion strategies could be excluded. CONCLUSIONS Compared with liberal strategies, restrictive transfusion strategies were associated with a reduction in the number of red blood cell units transfused and number of patients being transfused, but mortality, overall morbidity, and myocardial infarction seemed to be unaltered. Restrictive transfusion strategies are safe in most clinical settings. Liberal transfusion strategies have not been shown to convey any benefit to patients.</w:t>
      </w:r>
    </w:p>
    <w:p w:rsidR="00F9536B" w:rsidRDefault="00F9536B" w:rsidP="00F9536B">
      <w:pPr>
        <w:pStyle w:val="a3"/>
        <w:rPr>
          <w:kern w:val="0"/>
        </w:rPr>
      </w:pPr>
      <w:r>
        <w:rPr>
          <w:kern w:val="0"/>
        </w:rPr>
        <w:t>Keywords: Abstracts, Adults, Analyses, Analysis, Authors, Bias, Birth-Weight Infants, Blood, Cardiac-Surgery, Cell, Children, Citation, Clinical, Clinical Trials, Clinical-Trial, Conclusions, Confidence, Confidence Intervals, Data, Death, Design, Effects, Experts, Extraction, From, Hemoglobin Threshold, Hip Fracture Surgery, Infarction, Information, Intensive-Care Units, Interval, Intervals, Interventions, Language, Mar, Medline, Meta Analysis, Meta-Analyses, Meta-Analysis, Metaanalysis, Methods, Models, Morbidity, Mortality, Myocardial Infarction, Myocardial-Infarction, Outcomes, Patients, Premature-Infants, Preterm Infants, Procedure, Publication, Publication Status, Randomised, Red Blood Cells, Reduction, Reference, Reference Lists, Relative Risk, Results, Review, Reviewers, Reviews, Risk, Sample Size, Science, Science Citation Index, Science Citation Index Expanded, Selection, Sequential, Size, Strategy, Systematic, Systematic Review, Systematic Reviews, Transfusion, Traumatic Brain-Injury, Trial</w:t>
      </w:r>
    </w:p>
    <w:p w:rsidR="00D30EBE" w:rsidRDefault="00D30EBE" w:rsidP="00D30EBE">
      <w:pPr>
        <w:pStyle w:val="a3"/>
        <w:rPr>
          <w:kern w:val="0"/>
        </w:rPr>
      </w:pPr>
      <w:r>
        <w:rPr>
          <w:rFonts w:hint="eastAsia"/>
        </w:rPr>
        <w:lastRenderedPageBreak/>
        <w:t xml:space="preserve">? </w:t>
      </w:r>
      <w:r w:rsidRPr="00185FC5">
        <w:t xml:space="preserve">Navarese, E.P., Andreotti, F., Schulze, V., Kolodziejczak, M., Buffon, A., Brouwer, M., Costa, F., Kowalewski, M., Parati, G., Lip, G.Y.H., Kelm, M. and Valgimigli, M. (2015), Optimal duration of dual antiplatelet therapy after percutaneous coronary intervention with drug eluting stents: Meta-analysis of randomised controlled trials. </w:t>
      </w:r>
      <w:r w:rsidRPr="00185FC5">
        <w:rPr>
          <w:i/>
          <w:iCs/>
        </w:rPr>
        <w:t>BMJ-British Medical Journal</w:t>
      </w:r>
      <w:r w:rsidRPr="00185FC5">
        <w:t xml:space="preserve">, </w:t>
      </w:r>
      <w:r w:rsidRPr="00185FC5">
        <w:rPr>
          <w:b/>
          <w:bCs/>
        </w:rPr>
        <w:t>350</w:t>
      </w:r>
      <w:r>
        <w:rPr>
          <w:rFonts w:hint="eastAsia"/>
          <w:kern w:val="0"/>
        </w:rPr>
        <w:t xml:space="preserve">, </w:t>
      </w:r>
      <w:r w:rsidRPr="00245CD8">
        <w:rPr>
          <w:kern w:val="0"/>
        </w:rPr>
        <w:t xml:space="preserve">Article Number: </w:t>
      </w:r>
      <w:r w:rsidRPr="00877AD6">
        <w:rPr>
          <w:kern w:val="0"/>
        </w:rPr>
        <w:t>h1</w:t>
      </w:r>
      <w:r>
        <w:rPr>
          <w:rFonts w:hint="eastAsia"/>
          <w:kern w:val="0"/>
        </w:rPr>
        <w:t>618.</w:t>
      </w:r>
    </w:p>
    <w:p w:rsidR="00D30EBE" w:rsidRDefault="00D30EBE" w:rsidP="00D30EBE">
      <w:pPr>
        <w:pStyle w:val="a3"/>
        <w:rPr>
          <w:kern w:val="0"/>
        </w:rPr>
      </w:pPr>
      <w:r>
        <w:rPr>
          <w:rFonts w:hint="eastAsia"/>
          <w:kern w:val="0"/>
        </w:rPr>
        <w:t xml:space="preserve">Full Text: </w:t>
      </w:r>
      <w:hyperlink r:id="rId1742" w:history="1">
        <w:r w:rsidRPr="00212653">
          <w:rPr>
            <w:rStyle w:val="a5"/>
            <w:kern w:val="0"/>
          </w:rPr>
          <w:t>2015\BMJ-Bri Med J350, h1618.pdf</w:t>
        </w:r>
      </w:hyperlink>
    </w:p>
    <w:p w:rsidR="00D30EBE" w:rsidRPr="00185FC5" w:rsidRDefault="00D30EBE" w:rsidP="00D30EBE">
      <w:pPr>
        <w:pStyle w:val="a3"/>
      </w:pPr>
      <w:r w:rsidRPr="00185FC5">
        <w:t>Abstract: OBJECTIVE To assess the benefits and risks of short term (&lt;12 months) or extended (&gt;12 months) dual antiplatelet therapy (DAPT) versus standard 12 month therapy, following percutaneous coronary intervention with drug eluting stents. DESIGN Meta-analysis of randomised controlled trials. DATA SOURCES PubMed, Embase, Cumulative Index to Nursing and Allied Health Literature, Scopus, Web of Science, Cochrane Library, and major congress proceedings, searched from 1 January 2002 to 16 February 2015. REVIEW METHODS Trials comparing short term (&lt;12 months) or extended (&gt;12 months) DAPT regimens with standard 12 month duration of therapy. Primary outcomes were cardiovascular mortality, myocardial infarction, stent thrombosis, major bleeding, and all cause mortality. RESULTS 10 randomised controlled trials (n=32 287) were included. Compared to 12 month DAPT, a short term course of therapy was associated with a significant reduction in major bleeding (odds ratio 0.58 (95% confidence interval 0.36 to 0.92); P=0.02) with no significant differences in ischaemic or thrombotic outcomes. Extended versus 12 month DAPT yielded a significant reduction in the odds of myocardial infarction (0.53 (0.42 to 0.66); P&lt;0.001) and stent thrombosis (0.33 (0.21 to 0.51); P&lt;0.001), but more major bleeding (1.62 (1.26 to 2.09); P&lt;0.001). All cause but not cardiovascular death was also significantly increased (1.30 (1.02 to 1.66); P=0.03). CONCLUSIONS Compared with a standard 12 month duration, short term DAPT (&lt;12 months) after drug eluting stent implementation yields reduced bleeding with no apparent increase in ischaemic complications, and could be considered for most patients. In selected patients with low bleeding risk and very high ischaemic risk, extended DAPT (&gt;12 months) could be considered. The increase in all cause but not cardiovascular death with extended DAPT requires further investigation.</w:t>
      </w:r>
    </w:p>
    <w:p w:rsidR="00D30EBE" w:rsidRPr="00185FC5" w:rsidRDefault="00D30EBE" w:rsidP="00D30EBE">
      <w:pPr>
        <w:pStyle w:val="a3"/>
      </w:pPr>
      <w:r w:rsidRPr="00185FC5">
        <w:t>Keywords: Bare Metal Stent</w:t>
      </w:r>
      <w:r>
        <w:t xml:space="preserve">, </w:t>
      </w:r>
      <w:r w:rsidRPr="00185FC5">
        <w:t>Bleeding</w:t>
      </w:r>
      <w:r>
        <w:t xml:space="preserve">, </w:t>
      </w:r>
      <w:r w:rsidRPr="00185FC5">
        <w:t>Cardiovascular</w:t>
      </w:r>
      <w:r>
        <w:t xml:space="preserve">, </w:t>
      </w:r>
      <w:r w:rsidRPr="00185FC5">
        <w:t>Clopidogrel Therapy</w:t>
      </w:r>
      <w:r>
        <w:t xml:space="preserve">, </w:t>
      </w:r>
      <w:r w:rsidRPr="00185FC5">
        <w:t>Complications</w:t>
      </w:r>
      <w:r>
        <w:t xml:space="preserve">, </w:t>
      </w:r>
      <w:r w:rsidRPr="00185FC5">
        <w:t>Confidence</w:t>
      </w:r>
      <w:r>
        <w:t xml:space="preserve">, </w:t>
      </w:r>
      <w:r w:rsidRPr="00185FC5">
        <w:t>Course</w:t>
      </w:r>
      <w:r>
        <w:t xml:space="preserve">, </w:t>
      </w:r>
      <w:r w:rsidRPr="00185FC5">
        <w:t>Death</w:t>
      </w:r>
      <w:r>
        <w:t xml:space="preserve">, </w:t>
      </w:r>
      <w:r w:rsidRPr="00185FC5">
        <w:t>Design</w:t>
      </w:r>
      <w:r>
        <w:t xml:space="preserve">, </w:t>
      </w:r>
      <w:r w:rsidRPr="00185FC5">
        <w:t>Drug</w:t>
      </w:r>
      <w:r>
        <w:t xml:space="preserve">, </w:t>
      </w:r>
      <w:r w:rsidRPr="00185FC5">
        <w:t>Duration</w:t>
      </w:r>
      <w:r>
        <w:t xml:space="preserve">, </w:t>
      </w:r>
      <w:r w:rsidRPr="00185FC5">
        <w:t>Efficacy</w:t>
      </w:r>
      <w:r>
        <w:t xml:space="preserve">, </w:t>
      </w:r>
      <w:r w:rsidRPr="00185FC5">
        <w:t>End-Points</w:t>
      </w:r>
      <w:r>
        <w:t xml:space="preserve">, </w:t>
      </w:r>
      <w:r w:rsidRPr="00185FC5">
        <w:t>Implantation</w:t>
      </w:r>
      <w:r>
        <w:t xml:space="preserve">, </w:t>
      </w:r>
      <w:r w:rsidRPr="00185FC5">
        <w:t>Implementation</w:t>
      </w:r>
      <w:r>
        <w:t xml:space="preserve">, </w:t>
      </w:r>
      <w:r w:rsidRPr="00185FC5">
        <w:t>Infarction</w:t>
      </w:r>
      <w:r>
        <w:t xml:space="preserve">, </w:t>
      </w:r>
      <w:r w:rsidRPr="00185FC5">
        <w:t>Interval</w:t>
      </w:r>
      <w:r>
        <w:t xml:space="preserve">, </w:t>
      </w:r>
      <w:r w:rsidRPr="00185FC5">
        <w:t>Intervention</w:t>
      </w:r>
      <w:r>
        <w:t xml:space="preserve">, </w:t>
      </w:r>
      <w:r w:rsidRPr="00185FC5">
        <w:t>Investigation</w:t>
      </w:r>
      <w:r>
        <w:t xml:space="preserve">, </w:t>
      </w:r>
      <w:r w:rsidRPr="00185FC5">
        <w:t>Literature</w:t>
      </w:r>
      <w:r>
        <w:t xml:space="preserve">, </w:t>
      </w:r>
      <w:r w:rsidRPr="00185FC5">
        <w:t>Meta-Analysis</w:t>
      </w:r>
      <w:r>
        <w:t xml:space="preserve">, </w:t>
      </w:r>
      <w:r w:rsidRPr="00185FC5">
        <w:t>Metaanalysis</w:t>
      </w:r>
      <w:r>
        <w:t xml:space="preserve">, </w:t>
      </w:r>
      <w:r w:rsidRPr="00185FC5">
        <w:t>Methods</w:t>
      </w:r>
      <w:r>
        <w:t xml:space="preserve">, </w:t>
      </w:r>
      <w:r w:rsidRPr="00185FC5">
        <w:t>Mortality</w:t>
      </w:r>
      <w:r>
        <w:t xml:space="preserve">, </w:t>
      </w:r>
      <w:r w:rsidRPr="00185FC5">
        <w:t>Multicenter</w:t>
      </w:r>
      <w:r>
        <w:t xml:space="preserve">, </w:t>
      </w:r>
      <w:r w:rsidRPr="00185FC5">
        <w:t>Myocardial Infarction</w:t>
      </w:r>
      <w:r>
        <w:t xml:space="preserve">, </w:t>
      </w:r>
      <w:r w:rsidRPr="00185FC5">
        <w:t>Odds Ratio</w:t>
      </w:r>
      <w:r>
        <w:t xml:space="preserve">, </w:t>
      </w:r>
      <w:r w:rsidRPr="00185FC5">
        <w:t>Outcomes</w:t>
      </w:r>
      <w:r>
        <w:t xml:space="preserve">, </w:t>
      </w:r>
      <w:r w:rsidRPr="00185FC5">
        <w:t>Patients</w:t>
      </w:r>
      <w:r>
        <w:t xml:space="preserve">, </w:t>
      </w:r>
      <w:r w:rsidRPr="00185FC5">
        <w:t>Percutaneous</w:t>
      </w:r>
      <w:r>
        <w:t xml:space="preserve">, </w:t>
      </w:r>
      <w:r w:rsidRPr="00185FC5">
        <w:t>Percutaneous Coronary Intervention</w:t>
      </w:r>
      <w:r>
        <w:t xml:space="preserve">, </w:t>
      </w:r>
      <w:r w:rsidRPr="00185FC5">
        <w:t>Pubmed</w:t>
      </w:r>
      <w:r>
        <w:t xml:space="preserve">, </w:t>
      </w:r>
      <w:r w:rsidRPr="00185FC5">
        <w:t>Randomised</w:t>
      </w:r>
      <w:r>
        <w:t xml:space="preserve">, </w:t>
      </w:r>
      <w:r w:rsidRPr="00185FC5">
        <w:t>Randomised Controlled Trials</w:t>
      </w:r>
      <w:r>
        <w:t xml:space="preserve">, </w:t>
      </w:r>
      <w:r w:rsidRPr="00185FC5">
        <w:t>Rationale</w:t>
      </w:r>
      <w:r>
        <w:t xml:space="preserve">, </w:t>
      </w:r>
      <w:r w:rsidRPr="00185FC5">
        <w:t>Reduction</w:t>
      </w:r>
      <w:r>
        <w:t xml:space="preserve">, </w:t>
      </w:r>
      <w:r w:rsidRPr="00185FC5">
        <w:t>Risk</w:t>
      </w:r>
      <w:r>
        <w:t xml:space="preserve">, </w:t>
      </w:r>
      <w:r w:rsidRPr="00185FC5">
        <w:t>Risks</w:t>
      </w:r>
      <w:r>
        <w:t xml:space="preserve">, </w:t>
      </w:r>
      <w:r w:rsidRPr="00185FC5">
        <w:t>Safety</w:t>
      </w:r>
      <w:r>
        <w:t xml:space="preserve">, </w:t>
      </w:r>
      <w:r w:rsidRPr="00185FC5">
        <w:t>Science</w:t>
      </w:r>
      <w:r>
        <w:t xml:space="preserve">, </w:t>
      </w:r>
      <w:r w:rsidRPr="00185FC5">
        <w:t>Scopus</w:t>
      </w:r>
      <w:r>
        <w:t xml:space="preserve">, </w:t>
      </w:r>
      <w:r w:rsidRPr="00185FC5">
        <w:t>Standard</w:t>
      </w:r>
      <w:r>
        <w:t xml:space="preserve">, </w:t>
      </w:r>
      <w:r w:rsidRPr="00185FC5">
        <w:t>Stents</w:t>
      </w:r>
      <w:r>
        <w:t xml:space="preserve">, </w:t>
      </w:r>
      <w:r w:rsidRPr="00185FC5">
        <w:t>Term</w:t>
      </w:r>
      <w:r>
        <w:t xml:space="preserve">, </w:t>
      </w:r>
      <w:r w:rsidRPr="00185FC5">
        <w:t>Therapy</w:t>
      </w:r>
      <w:r>
        <w:t xml:space="preserve">, </w:t>
      </w:r>
      <w:r w:rsidRPr="00185FC5">
        <w:t>Thrombosis</w:t>
      </w:r>
      <w:r>
        <w:t xml:space="preserve">, </w:t>
      </w:r>
      <w:r w:rsidRPr="00185FC5">
        <w:t>Web Of Science</w:t>
      </w:r>
    </w:p>
    <w:p w:rsidR="005716E6" w:rsidRPr="001A3D2B" w:rsidRDefault="005716E6" w:rsidP="005716E6">
      <w:pPr>
        <w:pStyle w:val="1"/>
      </w:pPr>
      <w:r w:rsidRPr="001A3D2B">
        <w:br w:type="page"/>
      </w:r>
      <w:bookmarkStart w:id="862" w:name="_Toc420814779"/>
      <w:r w:rsidRPr="001A3D2B">
        <w:lastRenderedPageBreak/>
        <w:t xml:space="preserve">Title: </w:t>
      </w:r>
      <w:r w:rsidRPr="005716E6">
        <w:rPr>
          <w:iCs w:val="0"/>
        </w:rPr>
        <w:t xml:space="preserve">BMJ </w:t>
      </w:r>
      <w:r w:rsidRPr="005716E6">
        <w:t>Open</w:t>
      </w:r>
      <w:bookmarkEnd w:id="862"/>
    </w:p>
    <w:p w:rsidR="005716E6" w:rsidRPr="001A3D2B" w:rsidRDefault="005716E6" w:rsidP="005716E6">
      <w:pPr>
        <w:pStyle w:val="12"/>
      </w:pPr>
      <w:r w:rsidRPr="001A3D2B">
        <w:t xml:space="preserve">Full Journal Title: </w:t>
      </w:r>
      <w:r w:rsidRPr="005716E6">
        <w:rPr>
          <w:iCs/>
          <w:kern w:val="0"/>
        </w:rPr>
        <w:t>BMJ Open</w:t>
      </w:r>
    </w:p>
    <w:p w:rsidR="005716E6" w:rsidRPr="001A3D2B" w:rsidRDefault="005716E6" w:rsidP="005716E6">
      <w:pPr>
        <w:pStyle w:val="12"/>
      </w:pPr>
      <w:r w:rsidRPr="001A3D2B">
        <w:t xml:space="preserve">ISO Abbreviated Title: </w:t>
      </w:r>
    </w:p>
    <w:p w:rsidR="005716E6" w:rsidRPr="001A3D2B" w:rsidRDefault="005716E6" w:rsidP="005716E6">
      <w:pPr>
        <w:pStyle w:val="12"/>
      </w:pPr>
      <w:r w:rsidRPr="001A3D2B">
        <w:t xml:space="preserve">JCR Abbreviated Title: </w:t>
      </w:r>
    </w:p>
    <w:p w:rsidR="005716E6" w:rsidRPr="001A3D2B" w:rsidRDefault="005716E6" w:rsidP="005716E6">
      <w:pPr>
        <w:pStyle w:val="12"/>
      </w:pPr>
      <w:r w:rsidRPr="001A3D2B">
        <w:t xml:space="preserve">ISSN: </w:t>
      </w:r>
    </w:p>
    <w:p w:rsidR="005716E6" w:rsidRPr="001A3D2B" w:rsidRDefault="005716E6" w:rsidP="005716E6">
      <w:pPr>
        <w:pStyle w:val="12"/>
      </w:pPr>
      <w:r w:rsidRPr="001A3D2B">
        <w:t xml:space="preserve">Issues/Year: </w:t>
      </w:r>
    </w:p>
    <w:p w:rsidR="005716E6" w:rsidRPr="001A3D2B" w:rsidRDefault="005716E6" w:rsidP="005716E6">
      <w:pPr>
        <w:pStyle w:val="12"/>
      </w:pPr>
      <w:r w:rsidRPr="001A3D2B">
        <w:t xml:space="preserve">Journal Country/Territory: </w:t>
      </w:r>
    </w:p>
    <w:p w:rsidR="005716E6" w:rsidRPr="001A3D2B" w:rsidRDefault="005716E6" w:rsidP="005716E6">
      <w:pPr>
        <w:pStyle w:val="12"/>
      </w:pPr>
      <w:r w:rsidRPr="001A3D2B">
        <w:t xml:space="preserve">Language: </w:t>
      </w:r>
    </w:p>
    <w:p w:rsidR="005716E6" w:rsidRPr="001A3D2B" w:rsidRDefault="005716E6" w:rsidP="005716E6">
      <w:pPr>
        <w:pStyle w:val="12"/>
      </w:pPr>
      <w:r w:rsidRPr="001A3D2B">
        <w:t xml:space="preserve">Publisher: </w:t>
      </w:r>
    </w:p>
    <w:p w:rsidR="005716E6" w:rsidRPr="001A3D2B" w:rsidRDefault="005716E6" w:rsidP="005716E6">
      <w:pPr>
        <w:pStyle w:val="12"/>
      </w:pPr>
      <w:r w:rsidRPr="001A3D2B">
        <w:t xml:space="preserve">Publisher Address: </w:t>
      </w:r>
    </w:p>
    <w:p w:rsidR="005716E6" w:rsidRPr="001A3D2B" w:rsidRDefault="005716E6" w:rsidP="005716E6">
      <w:pPr>
        <w:pStyle w:val="12"/>
      </w:pPr>
      <w:r w:rsidRPr="001A3D2B">
        <w:t xml:space="preserve">Subject Categories: </w:t>
      </w:r>
    </w:p>
    <w:p w:rsidR="005716E6" w:rsidRPr="001A3D2B" w:rsidRDefault="005716E6" w:rsidP="005716E6">
      <w:pPr>
        <w:pStyle w:val="12"/>
      </w:pPr>
      <w:r w:rsidRPr="001A3D2B">
        <w:t xml:space="preserve">: Impact Factor </w:t>
      </w:r>
    </w:p>
    <w:p w:rsidR="00FD5BC4" w:rsidRDefault="00FD5BC4" w:rsidP="00FD5BC4">
      <w:pPr>
        <w:pStyle w:val="a3"/>
      </w:pPr>
      <w:r>
        <w:rPr>
          <w:rFonts w:eastAsia="新細明體" w:hint="eastAsia"/>
        </w:rPr>
        <w:t xml:space="preserve">? </w:t>
      </w:r>
      <w:r w:rsidRPr="0051264D">
        <w:t xml:space="preserve">Kryl, D., Allen, L., Dolby, K., Sherbon, B. and Viney, I. (2012), </w:t>
      </w:r>
      <w:bookmarkStart w:id="863" w:name="OLE_LINK29"/>
      <w:bookmarkStart w:id="864" w:name="OLE_LINK30"/>
      <w:r w:rsidRPr="0051264D">
        <w:t>Tracking the impact</w:t>
      </w:r>
      <w:r w:rsidR="00427468">
        <w:t xml:space="preserve"> of </w:t>
      </w:r>
      <w:r w:rsidRPr="0051264D">
        <w:t>research on policy and practice: Investigating the feasibility</w:t>
      </w:r>
      <w:r w:rsidR="00427468">
        <w:t xml:space="preserve"> of </w:t>
      </w:r>
      <w:r w:rsidRPr="0051264D">
        <w:t>using citations</w:t>
      </w:r>
      <w:bookmarkEnd w:id="863"/>
      <w:bookmarkEnd w:id="864"/>
      <w:r w:rsidRPr="0051264D">
        <w:t xml:space="preserve"> in clinical guidelines for research evaluation. </w:t>
      </w:r>
      <w:r w:rsidRPr="0008535E">
        <w:rPr>
          <w:i/>
        </w:rPr>
        <w:t>BMJ Open</w:t>
      </w:r>
      <w:r w:rsidRPr="0051264D">
        <w:t xml:space="preserve">, </w:t>
      </w:r>
      <w:r w:rsidRPr="0008535E">
        <w:rPr>
          <w:b/>
        </w:rPr>
        <w:t>2</w:t>
      </w:r>
      <w:r>
        <w:t xml:space="preserve"> </w:t>
      </w:r>
      <w:r w:rsidRPr="0051264D">
        <w:t>(2)</w:t>
      </w:r>
      <w:r>
        <w:t xml:space="preserve">, </w:t>
      </w:r>
      <w:r w:rsidRPr="009A39B0">
        <w:t>Article Number:</w:t>
      </w:r>
      <w:r>
        <w:t xml:space="preserve"> </w:t>
      </w:r>
      <w:r w:rsidRPr="009A39B0">
        <w:t>e002360</w:t>
      </w:r>
      <w:r w:rsidRPr="0051264D">
        <w:t>.</w:t>
      </w:r>
    </w:p>
    <w:p w:rsidR="00FD5BC4" w:rsidRPr="009A39B0" w:rsidRDefault="00FD5BC4" w:rsidP="00FD5BC4">
      <w:pPr>
        <w:pStyle w:val="a3"/>
        <w:rPr>
          <w:kern w:val="0"/>
        </w:rPr>
      </w:pPr>
      <w:r>
        <w:rPr>
          <w:rFonts w:hint="eastAsia"/>
          <w:kern w:val="0"/>
        </w:rPr>
        <w:t xml:space="preserve">Full Text: </w:t>
      </w:r>
      <w:hyperlink r:id="rId1743" w:history="1">
        <w:r w:rsidRPr="00BB58EB">
          <w:rPr>
            <w:rStyle w:val="a5"/>
            <w:kern w:val="0"/>
          </w:rPr>
          <w:t>201</w:t>
        </w:r>
        <w:r>
          <w:rPr>
            <w:rStyle w:val="a5"/>
            <w:kern w:val="0"/>
          </w:rPr>
          <w:t>2</w:t>
        </w:r>
        <w:r w:rsidRPr="00BB58EB">
          <w:rPr>
            <w:rStyle w:val="a5"/>
            <w:kern w:val="0"/>
          </w:rPr>
          <w:t>\BMJ Ope3, e002360.pdf</w:t>
        </w:r>
      </w:hyperlink>
    </w:p>
    <w:p w:rsidR="00FD5BC4" w:rsidRPr="0051264D" w:rsidRDefault="00FD5BC4" w:rsidP="00FD5BC4">
      <w:pPr>
        <w:pStyle w:val="a3"/>
        <w:rPr>
          <w:rFonts w:eastAsia="新細明體"/>
        </w:rPr>
      </w:pPr>
      <w:r>
        <w:rPr>
          <w:kern w:val="0"/>
        </w:rPr>
        <w:t xml:space="preserve">Abstract: </w:t>
      </w:r>
      <w:r w:rsidRPr="0051264D">
        <w:t>Objectives: To investig</w:t>
      </w:r>
      <w:bookmarkStart w:id="865" w:name="OLE_LINK31"/>
      <w:r w:rsidRPr="0051264D">
        <w:t>ate the feasibility</w:t>
      </w:r>
      <w:r w:rsidR="00427468">
        <w:t xml:space="preserve"> of </w:t>
      </w:r>
      <w:r w:rsidRPr="0051264D">
        <w:t>using research papers cited in clinical guidelines as a way to track the impact</w:t>
      </w:r>
      <w:r w:rsidR="00427468">
        <w:t xml:space="preserve"> of </w:t>
      </w:r>
      <w:r w:rsidRPr="0051264D">
        <w:t>particular funding streams or sources. Setting: In recent years, medical researc</w:t>
      </w:r>
      <w:bookmarkEnd w:id="865"/>
      <w:r w:rsidRPr="0051264D">
        <w:t>h funders have made efforts to enhance the understanding</w:t>
      </w:r>
      <w:r w:rsidR="00427468">
        <w:t xml:space="preserve"> of </w:t>
      </w:r>
      <w:r w:rsidRPr="0051264D">
        <w:t>the impact</w:t>
      </w:r>
      <w:r w:rsidR="00427468">
        <w:t xml:space="preserve"> of </w:t>
      </w:r>
      <w:r w:rsidRPr="0051264D">
        <w:t>their funded research and to provide evidence</w:t>
      </w:r>
      <w:r w:rsidR="00427468">
        <w:t xml:space="preserve"> of </w:t>
      </w:r>
      <w:r w:rsidRPr="0051264D">
        <w:t xml:space="preserve">the </w:t>
      </w:r>
      <w:r w:rsidR="00700038">
        <w:t>‘</w:t>
      </w:r>
      <w:r w:rsidRPr="0051264D">
        <w:t>value</w:t>
      </w:r>
      <w:r w:rsidR="00700038">
        <w:t>’</w:t>
      </w:r>
      <w:r w:rsidR="00427468">
        <w:t xml:space="preserve"> of </w:t>
      </w:r>
      <w:r w:rsidRPr="0051264D">
        <w:t>investments in particular areas</w:t>
      </w:r>
      <w:r w:rsidR="00427468">
        <w:t xml:space="preserve"> of </w:t>
      </w:r>
      <w:r w:rsidRPr="0051264D">
        <w:t>research. One</w:t>
      </w:r>
      <w:r w:rsidR="00427468">
        <w:t xml:space="preserve"> of </w:t>
      </w:r>
      <w:r w:rsidRPr="0051264D">
        <w:t>the most challenging areas</w:t>
      </w:r>
      <w:r w:rsidR="00427468">
        <w:t xml:space="preserve"> of </w:t>
      </w:r>
      <w:r w:rsidRPr="0051264D">
        <w:t>research evaluation is around impact on policy and practice. In the UK, the National Institute</w:t>
      </w:r>
      <w:r w:rsidR="00427468">
        <w:t xml:space="preserve"> of </w:t>
      </w:r>
      <w:r w:rsidRPr="0051264D">
        <w:t>Health and Clinical Excellence (NICE) provide clinical guidelines, which bring together current high-quality evidence on the diagnosis and treatment</w:t>
      </w:r>
      <w:r w:rsidR="00427468">
        <w:t xml:space="preserve"> of </w:t>
      </w:r>
      <w:r w:rsidRPr="0051264D">
        <w:t>clinical problems. Research referenced in these guidelines is an indication</w:t>
      </w:r>
      <w:r w:rsidR="00427468">
        <w:t xml:space="preserve"> of </w:t>
      </w:r>
      <w:r w:rsidRPr="0051264D">
        <w:t>its potential to have real impact on health policy and practice. Design: This study is based on analysis</w:t>
      </w:r>
      <w:r w:rsidR="00427468">
        <w:t xml:space="preserve"> of </w:t>
      </w:r>
      <w:r w:rsidRPr="0051264D">
        <w:t>the authorship and funding attribution</w:t>
      </w:r>
      <w:r w:rsidR="00427468">
        <w:t xml:space="preserve"> of </w:t>
      </w:r>
      <w:r w:rsidRPr="0051264D">
        <w:t>research cited in two NICE clinical guidelines: dementia and chronic obstructive pulmonary disease. Results: Analysis identified that around a third</w:t>
      </w:r>
      <w:r w:rsidR="00427468">
        <w:t xml:space="preserve"> of </w:t>
      </w:r>
      <w:r w:rsidRPr="0051264D">
        <w:t>papers cited in the two NICE guidelines had at least one author based in the UK. In both cases, about half</w:t>
      </w:r>
      <w:r w:rsidR="00427468">
        <w:t xml:space="preserve"> of </w:t>
      </w:r>
      <w:r w:rsidRPr="0051264D">
        <w:t>these UK attributed papers contained acknowledgements which allowed the source</w:t>
      </w:r>
      <w:r w:rsidR="00427468">
        <w:t xml:space="preserve"> of </w:t>
      </w:r>
      <w:r w:rsidRPr="0051264D">
        <w:t>funding for the research to be identified</w:t>
      </w:r>
      <w:r w:rsidR="00A37C1D">
        <w:t>. The</w:t>
      </w:r>
      <w:r w:rsidRPr="0051264D">
        <w:t xml:space="preserve"> research cited in these guidelines was found to have been supported by a diverse set</w:t>
      </w:r>
      <w:r w:rsidR="00427468">
        <w:t xml:space="preserve"> of </w:t>
      </w:r>
      <w:r w:rsidRPr="0051264D">
        <w:t>funders from different sectors</w:t>
      </w:r>
      <w:r w:rsidR="00A37C1D">
        <w:t>. The</w:t>
      </w:r>
      <w:r w:rsidRPr="0051264D">
        <w:t xml:space="preserve"> study also investigated the contribution</w:t>
      </w:r>
      <w:r w:rsidR="00427468">
        <w:t xml:space="preserve"> of </w:t>
      </w:r>
      <w:r w:rsidRPr="0051264D">
        <w:t>research groups based in universities, industry and the public sector. Conclusions: The study found that there is great potential for guidelines to be used as sources</w:t>
      </w:r>
      <w:r w:rsidR="00427468">
        <w:t xml:space="preserve"> of </w:t>
      </w:r>
      <w:r w:rsidRPr="0051264D">
        <w:t xml:space="preserve">information on the </w:t>
      </w:r>
      <w:r w:rsidRPr="0051264D">
        <w:lastRenderedPageBreak/>
        <w:t>quality</w:t>
      </w:r>
      <w:r w:rsidR="00427468">
        <w:t xml:space="preserve"> of </w:t>
      </w:r>
      <w:r w:rsidRPr="0051264D">
        <w:t>the research used in their development and that it is possible to track the source</w:t>
      </w:r>
      <w:r w:rsidR="00427468">
        <w:t xml:space="preserve"> of </w:t>
      </w:r>
      <w:r w:rsidRPr="0051264D">
        <w:t>the funding</w:t>
      </w:r>
      <w:r w:rsidR="00427468">
        <w:t xml:space="preserve"> of </w:t>
      </w:r>
      <w:r w:rsidRPr="0051264D">
        <w:t>the research</w:t>
      </w:r>
      <w:r w:rsidR="00A37C1D">
        <w:t>. The</w:t>
      </w:r>
      <w:r w:rsidRPr="0051264D">
        <w:t xml:space="preserve"> challenge is in harnessing the relevant information to track this in an efficient way.</w:t>
      </w:r>
    </w:p>
    <w:p w:rsidR="00982BA5" w:rsidRDefault="00982BA5" w:rsidP="00982BA5">
      <w:pPr>
        <w:pStyle w:val="a3"/>
        <w:rPr>
          <w:kern w:val="0"/>
        </w:rPr>
      </w:pPr>
      <w:r>
        <w:rPr>
          <w:rFonts w:hint="eastAsia"/>
          <w:kern w:val="0"/>
        </w:rPr>
        <w:t xml:space="preserve">? </w:t>
      </w:r>
      <w:r>
        <w:rPr>
          <w:kern w:val="0"/>
        </w:rPr>
        <w:t>Clar, C., Gill, J.A., Court, R.</w:t>
      </w:r>
      <w:r w:rsidR="005853A9">
        <w:rPr>
          <w:kern w:val="0"/>
        </w:rPr>
        <w:t xml:space="preserve"> and </w:t>
      </w:r>
      <w:r>
        <w:rPr>
          <w:kern w:val="0"/>
        </w:rPr>
        <w:t>Waugh, N. (2012), Systematic review</w:t>
      </w:r>
      <w:r w:rsidR="00427468">
        <w:rPr>
          <w:kern w:val="0"/>
        </w:rPr>
        <w:t xml:space="preserve"> of </w:t>
      </w:r>
      <w:r>
        <w:rPr>
          <w:kern w:val="0"/>
        </w:rPr>
        <w:t xml:space="preserve">SGLT2 receptor inhibitors in dual or triple therapy in type 2 diabetes. </w:t>
      </w:r>
      <w:r>
        <w:rPr>
          <w:i/>
          <w:iCs/>
          <w:kern w:val="0"/>
        </w:rPr>
        <w:t>BMJ Open</w:t>
      </w:r>
      <w:r>
        <w:rPr>
          <w:kern w:val="0"/>
        </w:rPr>
        <w:t xml:space="preserve">, </w:t>
      </w:r>
      <w:r>
        <w:rPr>
          <w:b/>
          <w:bCs/>
          <w:kern w:val="0"/>
        </w:rPr>
        <w:t>2</w:t>
      </w:r>
      <w:r>
        <w:rPr>
          <w:kern w:val="0"/>
        </w:rPr>
        <w:t xml:space="preserve"> (5), Article Number: e001007.</w:t>
      </w:r>
    </w:p>
    <w:p w:rsidR="00982BA5" w:rsidRDefault="00982BA5" w:rsidP="00982BA5">
      <w:pPr>
        <w:pStyle w:val="a3"/>
        <w:rPr>
          <w:kern w:val="0"/>
        </w:rPr>
      </w:pPr>
      <w:r>
        <w:rPr>
          <w:rFonts w:hint="eastAsia"/>
          <w:kern w:val="0"/>
        </w:rPr>
        <w:t xml:space="preserve">Full Text: </w:t>
      </w:r>
      <w:hyperlink r:id="rId1744" w:history="1">
        <w:r w:rsidR="00F37971" w:rsidRPr="00F37971">
          <w:rPr>
            <w:rStyle w:val="a5"/>
            <w:kern w:val="0"/>
          </w:rPr>
          <w:t>2012\BMJ Ope2, e001007.pdf</w:t>
        </w:r>
      </w:hyperlink>
    </w:p>
    <w:p w:rsidR="00982BA5" w:rsidRDefault="00982BA5" w:rsidP="00982BA5">
      <w:pPr>
        <w:pStyle w:val="a3"/>
        <w:rPr>
          <w:kern w:val="0"/>
        </w:rPr>
      </w:pPr>
      <w:r>
        <w:rPr>
          <w:kern w:val="0"/>
        </w:rPr>
        <w:t>Abstract: Background: Despite the number</w:t>
      </w:r>
      <w:r w:rsidR="00427468">
        <w:rPr>
          <w:kern w:val="0"/>
        </w:rPr>
        <w:t xml:space="preserve"> of </w:t>
      </w:r>
      <w:r>
        <w:rPr>
          <w:kern w:val="0"/>
        </w:rPr>
        <w:t>medications for type 2 diabetes, many people with the condition do not achieve good glycaemic control. Some existing glucose-lowering agents have adverse effects such as weight gain or hypoglycaemia. Type 2 diabetes tends to be a progressive disease,</w:t>
      </w:r>
      <w:r w:rsidR="005853A9">
        <w:rPr>
          <w:kern w:val="0"/>
        </w:rPr>
        <w:t xml:space="preserve"> and </w:t>
      </w:r>
      <w:r>
        <w:rPr>
          <w:kern w:val="0"/>
        </w:rPr>
        <w:t>most patients require treatment with combinations</w:t>
      </w:r>
      <w:r w:rsidR="00427468">
        <w:rPr>
          <w:kern w:val="0"/>
        </w:rPr>
        <w:t xml:space="preserve"> of </w:t>
      </w:r>
      <w:r>
        <w:rPr>
          <w:kern w:val="0"/>
        </w:rPr>
        <w:t>glucose-lowering agents</w:t>
      </w:r>
      <w:r w:rsidR="00A37C1D">
        <w:rPr>
          <w:kern w:val="0"/>
        </w:rPr>
        <w:t>. The</w:t>
      </w:r>
      <w:r>
        <w:rPr>
          <w:kern w:val="0"/>
        </w:rPr>
        <w:t xml:space="preserve"> sodium glucose co-transporter 2 (SGLT2) receptor inhibitors are a new class</w:t>
      </w:r>
      <w:r w:rsidR="00427468">
        <w:rPr>
          <w:kern w:val="0"/>
        </w:rPr>
        <w:t xml:space="preserve"> of </w:t>
      </w:r>
      <w:r>
        <w:rPr>
          <w:kern w:val="0"/>
        </w:rPr>
        <w:t>glucose-lowering agents. Objective: To assess the clinical effectiveness</w:t>
      </w:r>
      <w:r w:rsidR="005853A9">
        <w:rPr>
          <w:kern w:val="0"/>
        </w:rPr>
        <w:t xml:space="preserve"> and </w:t>
      </w:r>
      <w:r>
        <w:rPr>
          <w:kern w:val="0"/>
        </w:rPr>
        <w:t>safety</w:t>
      </w:r>
      <w:r w:rsidR="00427468">
        <w:rPr>
          <w:kern w:val="0"/>
        </w:rPr>
        <w:t xml:space="preserve"> of </w:t>
      </w:r>
      <w:r>
        <w:rPr>
          <w:kern w:val="0"/>
        </w:rPr>
        <w:t xml:space="preserve">the SGLT2 receptor inhibitors in dual or triple therapy in type 2 diabetes. Data sources: </w:t>
      </w:r>
      <w:r w:rsidR="00D5664A">
        <w:rPr>
          <w:kern w:val="0"/>
        </w:rPr>
        <w:t>MEDLINE</w:t>
      </w:r>
      <w:r>
        <w:rPr>
          <w:kern w:val="0"/>
        </w:rPr>
        <w:t>, Embase, Cochrane Library (all sections); Science Citation Index; trial registries; conference abstracts; drug regulatory authorities; bibliographies</w:t>
      </w:r>
      <w:r w:rsidR="00427468">
        <w:rPr>
          <w:kern w:val="0"/>
        </w:rPr>
        <w:t xml:space="preserve"> of </w:t>
      </w:r>
      <w:r>
        <w:rPr>
          <w:kern w:val="0"/>
        </w:rPr>
        <w:t>retrieved papers. Inclusion criteria: Randomised controlled trials</w:t>
      </w:r>
      <w:r w:rsidR="00427468">
        <w:rPr>
          <w:kern w:val="0"/>
        </w:rPr>
        <w:t xml:space="preserve"> of </w:t>
      </w:r>
      <w:r>
        <w:rPr>
          <w:kern w:val="0"/>
        </w:rPr>
        <w:t>SGLT2 receptor inhibitors compared with placebo or active comparator in type 2 diabetes in dual or combination therapy. Methods: Systematic review. Quality assessment used the Cochrane risk</w:t>
      </w:r>
      <w:r w:rsidR="00427468">
        <w:rPr>
          <w:kern w:val="0"/>
        </w:rPr>
        <w:t xml:space="preserve"> of </w:t>
      </w:r>
      <w:r>
        <w:rPr>
          <w:kern w:val="0"/>
        </w:rPr>
        <w:t>bias score. Results: Seven trials, published in full, assessed dapagliflozin</w:t>
      </w:r>
      <w:r w:rsidR="005853A9">
        <w:rPr>
          <w:kern w:val="0"/>
        </w:rPr>
        <w:t xml:space="preserve"> and </w:t>
      </w:r>
      <w:r>
        <w:rPr>
          <w:kern w:val="0"/>
        </w:rPr>
        <w:t>one assessed canagliflozin. Trial quality appeared good. Dapagliflozin 10 mg reduced HbA1c by -0.54% (weighted mean differences (WMD), 95% CI -0.67 to -0.40) compared to placebo, but there was no difference compared to glipizide. Canagliflozin reduced HbA1c slightly more than sitagliptin (up to -0.21% vs sitagliptin). Both dapagliflozin</w:t>
      </w:r>
      <w:r w:rsidR="005853A9">
        <w:rPr>
          <w:kern w:val="0"/>
        </w:rPr>
        <w:t xml:space="preserve"> and </w:t>
      </w:r>
      <w:r>
        <w:rPr>
          <w:kern w:val="0"/>
        </w:rPr>
        <w:t>canagliflozin led to weight loss (dapagliflozin WMD -1.81 kg (95% CI -2.04 to -1.57), canagliflozin up to -2.3 kg compared to placebo). Limitations: Long-term trial extensions suggested that effects were maintained over time. Data on canagliflozin are currently available from only one paper. Costs</w:t>
      </w:r>
      <w:r w:rsidR="00427468">
        <w:rPr>
          <w:kern w:val="0"/>
        </w:rPr>
        <w:t xml:space="preserve"> of </w:t>
      </w:r>
      <w:r>
        <w:rPr>
          <w:kern w:val="0"/>
        </w:rPr>
        <w:t>the drugs are not known so cost-effectiveness cannot be assessed. More data on safety are needed, with the Food</w:t>
      </w:r>
      <w:r w:rsidR="005853A9">
        <w:rPr>
          <w:kern w:val="0"/>
        </w:rPr>
        <w:t xml:space="preserve"> and </w:t>
      </w:r>
      <w:r>
        <w:rPr>
          <w:kern w:val="0"/>
        </w:rPr>
        <w:t>Drug Administration having concerns about breast</w:t>
      </w:r>
      <w:r w:rsidR="005853A9">
        <w:rPr>
          <w:kern w:val="0"/>
        </w:rPr>
        <w:t xml:space="preserve"> and </w:t>
      </w:r>
      <w:r>
        <w:rPr>
          <w:kern w:val="0"/>
        </w:rPr>
        <w:t>bladder cancers. Conclusions: Dapagliflozin appears effective in reducing HbA1c</w:t>
      </w:r>
      <w:r w:rsidR="005853A9">
        <w:rPr>
          <w:kern w:val="0"/>
        </w:rPr>
        <w:t xml:space="preserve"> and </w:t>
      </w:r>
      <w:r>
        <w:rPr>
          <w:kern w:val="0"/>
        </w:rPr>
        <w:t>weight in type 2 diabetes, although more safety data are needed.</w:t>
      </w:r>
    </w:p>
    <w:p w:rsidR="00982BA5" w:rsidRDefault="00982BA5" w:rsidP="00982BA5">
      <w:pPr>
        <w:pStyle w:val="a3"/>
        <w:rPr>
          <w:kern w:val="0"/>
        </w:rPr>
      </w:pPr>
      <w:r>
        <w:rPr>
          <w:kern w:val="0"/>
        </w:rPr>
        <w:t xml:space="preserve">Keywords: Add-On, Adverse Effects, Assessment, Bias, Bibliographies, Bladder, Body-Weight, Citation, Clinical, Combination Therapy, Control, Cost Effectiveness, Cost-Effectiveness, Criteria, Dapagliflozin, Data, Diabetes, Disease, Double-Blind, Drug, Drugs, Effectiveness, Effects, Glucose, Glucosuria, Hypoglycaemia, Inadequate Glycemic Control, Insulin, </w:t>
      </w:r>
      <w:r w:rsidR="00D5664A">
        <w:rPr>
          <w:kern w:val="0"/>
        </w:rPr>
        <w:t>MEDLINE</w:t>
      </w:r>
      <w:r>
        <w:rPr>
          <w:kern w:val="0"/>
        </w:rPr>
        <w:t xml:space="preserve">, Mellitus, Metformin, Papers, </w:t>
      </w:r>
      <w:r>
        <w:rPr>
          <w:kern w:val="0"/>
        </w:rPr>
        <w:lastRenderedPageBreak/>
        <w:t>Patients, Placebo, Placebo-Controlled Trial, Quality, Quality Assessment, Randomised Controlled Trials, Registries, Results, Review, Risk, Safety, Science, Science Citation Index, Sodium, Sources, Systematic Review, Therapy, Treatment, Trial, Type 2 Diabetes, Weight Gain, Weight Loss</w:t>
      </w:r>
    </w:p>
    <w:p w:rsidR="005716E6" w:rsidRDefault="005716E6" w:rsidP="005716E6">
      <w:pPr>
        <w:pStyle w:val="a3"/>
        <w:rPr>
          <w:kern w:val="0"/>
        </w:rPr>
      </w:pPr>
      <w:r>
        <w:rPr>
          <w:rFonts w:hint="eastAsia"/>
          <w:kern w:val="0"/>
        </w:rPr>
        <w:t xml:space="preserve">? </w:t>
      </w:r>
      <w:r>
        <w:rPr>
          <w:kern w:val="0"/>
        </w:rPr>
        <w:t>Treweek, S., Lockhart, P., Pitkethly, M., Cook, J.A., Kjeldstrom, M., Johansen, M., Taskila, T.K., Sullivan, F.M., Wilson, S., Jackson, C., Jones, R.</w:t>
      </w:r>
      <w:r w:rsidR="005853A9">
        <w:rPr>
          <w:kern w:val="0"/>
        </w:rPr>
        <w:t xml:space="preserve"> and </w:t>
      </w:r>
      <w:r>
        <w:rPr>
          <w:kern w:val="0"/>
        </w:rPr>
        <w:t>Mitchell, E.D. (2013), Methods to improve recruitment to randomised controlled trials: Cochrane systematic review</w:t>
      </w:r>
      <w:r w:rsidR="005853A9">
        <w:rPr>
          <w:kern w:val="0"/>
        </w:rPr>
        <w:t xml:space="preserve"> and </w:t>
      </w:r>
      <w:r>
        <w:rPr>
          <w:kern w:val="0"/>
        </w:rPr>
        <w:t xml:space="preserve">meta-analysis. </w:t>
      </w:r>
      <w:r w:rsidRPr="005716E6">
        <w:rPr>
          <w:i/>
          <w:iCs/>
          <w:kern w:val="0"/>
        </w:rPr>
        <w:t>BMJ Open</w:t>
      </w:r>
      <w:r>
        <w:rPr>
          <w:kern w:val="0"/>
        </w:rPr>
        <w:t xml:space="preserve">, </w:t>
      </w:r>
      <w:r>
        <w:rPr>
          <w:b/>
          <w:bCs/>
          <w:kern w:val="0"/>
        </w:rPr>
        <w:t>3</w:t>
      </w:r>
      <w:r>
        <w:rPr>
          <w:kern w:val="0"/>
        </w:rPr>
        <w:t xml:space="preserve"> (2), Article Number: e002360.</w:t>
      </w:r>
    </w:p>
    <w:p w:rsidR="00F37971" w:rsidRDefault="00F37971" w:rsidP="00F37971">
      <w:pPr>
        <w:pStyle w:val="a3"/>
        <w:rPr>
          <w:kern w:val="0"/>
        </w:rPr>
      </w:pPr>
      <w:r>
        <w:rPr>
          <w:rFonts w:hint="eastAsia"/>
          <w:kern w:val="0"/>
        </w:rPr>
        <w:t xml:space="preserve">Full Text: </w:t>
      </w:r>
      <w:hyperlink r:id="rId1745" w:history="1">
        <w:r w:rsidRPr="00BB58EB">
          <w:rPr>
            <w:rStyle w:val="a5"/>
            <w:kern w:val="0"/>
          </w:rPr>
          <w:t>2013\BMJ Ope3, e002360.pdf</w:t>
        </w:r>
      </w:hyperlink>
    </w:p>
    <w:p w:rsidR="005716E6" w:rsidRDefault="005716E6" w:rsidP="005716E6">
      <w:pPr>
        <w:pStyle w:val="a3"/>
        <w:rPr>
          <w:kern w:val="0"/>
        </w:rPr>
      </w:pPr>
      <w:r>
        <w:rPr>
          <w:kern w:val="0"/>
        </w:rPr>
        <w:t>Abstract: Objective: To identify interventions designed to improve recruitment to randomised controlled trials,</w:t>
      </w:r>
      <w:r w:rsidR="005853A9">
        <w:rPr>
          <w:kern w:val="0"/>
        </w:rPr>
        <w:t xml:space="preserve"> and </w:t>
      </w:r>
      <w:r>
        <w:rPr>
          <w:kern w:val="0"/>
        </w:rPr>
        <w:t xml:space="preserve">to quantify their effect on trial participation. Design: Systematic review. Data sources: The Cochrane Methodology Review Group Specialised Register in the Cochrane Library, </w:t>
      </w:r>
      <w:r w:rsidR="00D5664A">
        <w:rPr>
          <w:kern w:val="0"/>
        </w:rPr>
        <w:t>MEDLINE</w:t>
      </w:r>
      <w:r>
        <w:rPr>
          <w:kern w:val="0"/>
        </w:rPr>
        <w:t>, EMBASE, ERIC, Science Citation Index, Social Sciences Citation Index, C2-SPECTR, the National Research Register</w:t>
      </w:r>
      <w:r w:rsidR="005853A9">
        <w:rPr>
          <w:kern w:val="0"/>
        </w:rPr>
        <w:t xml:space="preserve"> and </w:t>
      </w:r>
      <w:r>
        <w:rPr>
          <w:kern w:val="0"/>
        </w:rPr>
        <w:t>PubMed. Most searches were undertaken up to 2010; no language restrictions were applied. Study selection: Randomised</w:t>
      </w:r>
      <w:r w:rsidR="005853A9">
        <w:rPr>
          <w:kern w:val="0"/>
        </w:rPr>
        <w:t xml:space="preserve"> and </w:t>
      </w:r>
      <w:r>
        <w:rPr>
          <w:kern w:val="0"/>
        </w:rPr>
        <w:t>quasi-randomised controlled trials, including those recruiting to hypothetical studies. Studies on retention strategies, examining ways to increase questionnaire response or evaluating the use</w:t>
      </w:r>
      <w:r w:rsidR="00427468">
        <w:rPr>
          <w:kern w:val="0"/>
        </w:rPr>
        <w:t xml:space="preserve"> of </w:t>
      </w:r>
      <w:r>
        <w:rPr>
          <w:kern w:val="0"/>
        </w:rPr>
        <w:t>incentives for clinicians were excluded</w:t>
      </w:r>
      <w:r w:rsidR="00A37C1D">
        <w:rPr>
          <w:kern w:val="0"/>
        </w:rPr>
        <w:t>. The</w:t>
      </w:r>
      <w:r>
        <w:rPr>
          <w:kern w:val="0"/>
        </w:rPr>
        <w:t xml:space="preserve"> study population included any potential trial participant (eg, patient, clinician</w:t>
      </w:r>
      <w:r w:rsidR="005853A9">
        <w:rPr>
          <w:kern w:val="0"/>
        </w:rPr>
        <w:t xml:space="preserve"> and </w:t>
      </w:r>
      <w:r>
        <w:rPr>
          <w:kern w:val="0"/>
        </w:rPr>
        <w:t>member</w:t>
      </w:r>
      <w:r w:rsidR="00427468">
        <w:rPr>
          <w:kern w:val="0"/>
        </w:rPr>
        <w:t xml:space="preserve"> of </w:t>
      </w:r>
      <w:r>
        <w:rPr>
          <w:kern w:val="0"/>
        </w:rPr>
        <w:t>the public), or individual or group</w:t>
      </w:r>
      <w:r w:rsidR="00427468">
        <w:rPr>
          <w:kern w:val="0"/>
        </w:rPr>
        <w:t xml:space="preserve"> of </w:t>
      </w:r>
      <w:r>
        <w:rPr>
          <w:kern w:val="0"/>
        </w:rPr>
        <w:t>individuals responsible for trial recruitment (eg, clinicians, researchers</w:t>
      </w:r>
      <w:r w:rsidR="005853A9">
        <w:rPr>
          <w:kern w:val="0"/>
        </w:rPr>
        <w:t xml:space="preserve"> and </w:t>
      </w:r>
      <w:r>
        <w:rPr>
          <w:kern w:val="0"/>
        </w:rPr>
        <w:t>recruitment sites). Two authors independently screened identified studies for eligibility. Results: 45 trials with over 43 000 participants were included. Some interventions were effective in increasing recruitment: telephone reminders to non-respondents (risk ratio (RR) 1.66, 95% CI 1.03 to 2.46; two studies, 1058 participants), use</w:t>
      </w:r>
      <w:r w:rsidR="00427468">
        <w:rPr>
          <w:kern w:val="0"/>
        </w:rPr>
        <w:t xml:space="preserve"> of </w:t>
      </w:r>
      <w:r>
        <w:rPr>
          <w:kern w:val="0"/>
        </w:rPr>
        <w:t>opt-out rather than opt-in procedures for contacting potential participants (RR 1.39, 95% CI 1.06 to 1.84; one study, 152 participants)</w:t>
      </w:r>
      <w:r w:rsidR="005853A9">
        <w:rPr>
          <w:kern w:val="0"/>
        </w:rPr>
        <w:t xml:space="preserve"> and </w:t>
      </w:r>
      <w:r>
        <w:rPr>
          <w:kern w:val="0"/>
        </w:rPr>
        <w:t>open designs where participants know which treatment they are receiving in the trial (RR 1.22, 95% CI 1.09 to 1.36; two studies, 4833 participants). However, the effect</w:t>
      </w:r>
      <w:r w:rsidR="00427468">
        <w:rPr>
          <w:kern w:val="0"/>
        </w:rPr>
        <w:t xml:space="preserve"> of </w:t>
      </w:r>
      <w:r>
        <w:rPr>
          <w:kern w:val="0"/>
        </w:rPr>
        <w:t>many other strategies is less clear, including the use</w:t>
      </w:r>
      <w:r w:rsidR="00427468">
        <w:rPr>
          <w:kern w:val="0"/>
        </w:rPr>
        <w:t xml:space="preserve"> of </w:t>
      </w:r>
      <w:r>
        <w:rPr>
          <w:kern w:val="0"/>
        </w:rPr>
        <w:t>video to provide trial information</w:t>
      </w:r>
      <w:r w:rsidR="005853A9">
        <w:rPr>
          <w:kern w:val="0"/>
        </w:rPr>
        <w:t xml:space="preserve"> and </w:t>
      </w:r>
      <w:r>
        <w:rPr>
          <w:kern w:val="0"/>
        </w:rPr>
        <w:t>interventions aimed at recruiters. Conclusions: There are promising strategies for increasing recruitment to trials, but some methods, such as open-trial designs</w:t>
      </w:r>
      <w:r w:rsidR="005853A9">
        <w:rPr>
          <w:kern w:val="0"/>
        </w:rPr>
        <w:t xml:space="preserve"> and </w:t>
      </w:r>
      <w:r>
        <w:rPr>
          <w:kern w:val="0"/>
        </w:rPr>
        <w:t>opt-out strategies, must be considered carefully as their use may also present methodological or ethical challenges. Questions remain as to the applicability</w:t>
      </w:r>
      <w:r w:rsidR="00427468">
        <w:rPr>
          <w:kern w:val="0"/>
        </w:rPr>
        <w:t xml:space="preserve"> of </w:t>
      </w:r>
      <w:r>
        <w:rPr>
          <w:kern w:val="0"/>
        </w:rPr>
        <w:t>results originating from hypothetical trials, including those relating to the use</w:t>
      </w:r>
      <w:r w:rsidR="00427468">
        <w:rPr>
          <w:kern w:val="0"/>
        </w:rPr>
        <w:t xml:space="preserve"> of </w:t>
      </w:r>
      <w:r>
        <w:rPr>
          <w:kern w:val="0"/>
        </w:rPr>
        <w:t>monetary incentives,</w:t>
      </w:r>
      <w:r w:rsidR="005853A9">
        <w:rPr>
          <w:kern w:val="0"/>
        </w:rPr>
        <w:t xml:space="preserve"> and </w:t>
      </w:r>
      <w:r>
        <w:rPr>
          <w:kern w:val="0"/>
        </w:rPr>
        <w:t>there is a clear knowledge gap with regard to effective strategies aimed at recruiters.</w:t>
      </w:r>
    </w:p>
    <w:p w:rsidR="005716E6" w:rsidRDefault="005716E6" w:rsidP="005716E6">
      <w:pPr>
        <w:pStyle w:val="a3"/>
        <w:rPr>
          <w:kern w:val="0"/>
        </w:rPr>
      </w:pPr>
      <w:r>
        <w:rPr>
          <w:kern w:val="0"/>
        </w:rPr>
        <w:t xml:space="preserve">Keywords: Authors, Breast-Cancer, Cancer-Patients, Citation, Clinical-Trials, Clinician, Disclosing Financial Interests, Embase, Ethical, Hazardous Drinking, Incentives, </w:t>
      </w:r>
      <w:r>
        <w:rPr>
          <w:kern w:val="0"/>
        </w:rPr>
        <w:lastRenderedPageBreak/>
        <w:t xml:space="preserve">Increase Recruitment, Information, Informed-Consent, Interventions, Knowledge, Language, Medical-Research, </w:t>
      </w:r>
      <w:r w:rsidR="00D5664A">
        <w:rPr>
          <w:kern w:val="0"/>
        </w:rPr>
        <w:t>MEDLINE</w:t>
      </w:r>
      <w:r>
        <w:rPr>
          <w:kern w:val="0"/>
        </w:rPr>
        <w:t>, Meta Analysis, Meta-Analysis, Metaanalysis, Methodology, Methods, Open, Participation, Population, Potential, Prevention Trial, Primary-Care, Procedures, Public, Pubmed, Questionnaire, Randomised, Randomised Controlled Trials, Recruitment, Research, Restrictions, Results, Retention, Review, Risk, Science, Science Citation Index, Selection, Social Sciences, Social Sciences Citation Index, Sources, Systematic Review, Treatment, Trial, Video</w:t>
      </w:r>
    </w:p>
    <w:p w:rsidR="00F736BD" w:rsidRDefault="00F736BD" w:rsidP="00F736BD">
      <w:pPr>
        <w:pStyle w:val="a3"/>
        <w:rPr>
          <w:kern w:val="0"/>
          <w:szCs w:val="24"/>
        </w:rPr>
      </w:pPr>
      <w:r>
        <w:rPr>
          <w:kern w:val="0"/>
        </w:rPr>
        <w:t>? Nosrati, H., Clay-Williams, R., Cunningham, F., Hillman, K. and Braithwaite, J. (2013), The role</w:t>
      </w:r>
      <w:r w:rsidR="00427468">
        <w:rPr>
          <w:kern w:val="0"/>
        </w:rPr>
        <w:t xml:space="preserve"> of </w:t>
      </w:r>
      <w:r>
        <w:rPr>
          <w:kern w:val="0"/>
        </w:rPr>
        <w:t>organisational and cultural factors in the implementation</w:t>
      </w:r>
      <w:r w:rsidR="00427468">
        <w:rPr>
          <w:kern w:val="0"/>
        </w:rPr>
        <w:t xml:space="preserve"> of </w:t>
      </w:r>
      <w:r>
        <w:rPr>
          <w:kern w:val="0"/>
        </w:rPr>
        <w:t xml:space="preserve">system-wide interventions in acute hospitals to improve patient outcomes: Protocol for a systematic literature review. </w:t>
      </w:r>
      <w:r>
        <w:rPr>
          <w:i/>
          <w:iCs/>
          <w:kern w:val="0"/>
        </w:rPr>
        <w:t>BMJ Open</w:t>
      </w:r>
      <w:r>
        <w:rPr>
          <w:kern w:val="0"/>
        </w:rPr>
        <w:t xml:space="preserve">, </w:t>
      </w:r>
      <w:r>
        <w:rPr>
          <w:b/>
          <w:bCs/>
          <w:kern w:val="0"/>
        </w:rPr>
        <w:t>3</w:t>
      </w:r>
      <w:r>
        <w:rPr>
          <w:kern w:val="0"/>
        </w:rPr>
        <w:t xml:space="preserve"> (3</w:t>
      </w:r>
      <w:r>
        <w:rPr>
          <w:rFonts w:hint="eastAsia"/>
          <w:kern w:val="0"/>
        </w:rPr>
        <w:t>)</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4941D8">
        <w:rPr>
          <w:kern w:val="0"/>
          <w:szCs w:val="24"/>
        </w:rPr>
        <w:t>e002268</w:t>
      </w:r>
      <w:r>
        <w:rPr>
          <w:kern w:val="0"/>
          <w:szCs w:val="24"/>
        </w:rPr>
        <w:t>.</w:t>
      </w:r>
    </w:p>
    <w:p w:rsidR="00F736BD" w:rsidRDefault="00F736BD" w:rsidP="00F736BD">
      <w:pPr>
        <w:pStyle w:val="a3"/>
        <w:rPr>
          <w:kern w:val="0"/>
        </w:rPr>
      </w:pPr>
      <w:r>
        <w:rPr>
          <w:rFonts w:hint="eastAsia"/>
          <w:kern w:val="0"/>
        </w:rPr>
        <w:t xml:space="preserve">Full Text: </w:t>
      </w:r>
      <w:hyperlink r:id="rId1746" w:history="1">
        <w:r w:rsidRPr="00F5550A">
          <w:rPr>
            <w:rStyle w:val="a5"/>
            <w:kern w:val="0"/>
          </w:rPr>
          <w:t>2013\BMJ Ope3, e002268.pdf</w:t>
        </w:r>
      </w:hyperlink>
    </w:p>
    <w:p w:rsidR="00F736BD" w:rsidRDefault="00F736BD" w:rsidP="00F736BD">
      <w:pPr>
        <w:pStyle w:val="a3"/>
        <w:rPr>
          <w:kern w:val="0"/>
        </w:rPr>
      </w:pPr>
      <w:r>
        <w:rPr>
          <w:kern w:val="0"/>
        </w:rPr>
        <w:t>Abstract: Introduction: Little is known about the role</w:t>
      </w:r>
      <w:r w:rsidR="00427468">
        <w:rPr>
          <w:kern w:val="0"/>
        </w:rPr>
        <w:t xml:space="preserve"> of </w:t>
      </w:r>
      <w:r>
        <w:rPr>
          <w:kern w:val="0"/>
        </w:rPr>
        <w:t>the organisational culture in the success and sustainability</w:t>
      </w:r>
      <w:r w:rsidR="00427468">
        <w:rPr>
          <w:kern w:val="0"/>
        </w:rPr>
        <w:t xml:space="preserve"> of </w:t>
      </w:r>
      <w:r>
        <w:rPr>
          <w:kern w:val="0"/>
        </w:rPr>
        <w:t>the hospital-wide interventions, and how local culture affects patient outcomes in acute hospitals. Methods and analysis: A systematic literature review will be conducted to identify organisational factors influencing hospital-wide interventions and patient outcomes. A search</w:t>
      </w:r>
      <w:r w:rsidR="00427468">
        <w:rPr>
          <w:kern w:val="0"/>
        </w:rPr>
        <w:t xml:space="preserve"> of </w:t>
      </w:r>
      <w:r>
        <w:rPr>
          <w:kern w:val="0"/>
        </w:rPr>
        <w:t>English language articles will be performed in MEDLINE, CINAHL, EMBASE, Web</w:t>
      </w:r>
      <w:r w:rsidR="00427468">
        <w:rPr>
          <w:kern w:val="0"/>
        </w:rPr>
        <w:t xml:space="preserve"> of </w:t>
      </w:r>
      <w:r>
        <w:rPr>
          <w:kern w:val="0"/>
        </w:rPr>
        <w:t xml:space="preserve">Science, PsychInfo and Global Health databases using Medical Subject Headings and keywords. Randomised controlled trials, quasi-randomised trials, controlled before and after design studies and interrupted time-series analysis studies will be included. </w:t>
      </w:r>
      <w:r w:rsidR="00700038">
        <w:rPr>
          <w:kern w:val="0"/>
        </w:rPr>
        <w:t>‘</w:t>
      </w:r>
      <w:r>
        <w:rPr>
          <w:kern w:val="0"/>
        </w:rPr>
        <w:t>Grey literature</w:t>
      </w:r>
      <w:r w:rsidR="00700038">
        <w:rPr>
          <w:kern w:val="0"/>
        </w:rPr>
        <w:t>’</w:t>
      </w:r>
      <w:r>
        <w:rPr>
          <w:kern w:val="0"/>
        </w:rPr>
        <w:t xml:space="preserve"> will be excluded, however peer-reviewed journals that are likely to publish relevant studies (JAMA, BMJ, BMJ Quality and Safety, Lancet and New England Journal</w:t>
      </w:r>
      <w:r w:rsidR="00427468">
        <w:rPr>
          <w:kern w:val="0"/>
        </w:rPr>
        <w:t xml:space="preserve"> of </w:t>
      </w:r>
      <w:r>
        <w:rPr>
          <w:kern w:val="0"/>
        </w:rPr>
        <w:t>Medicine and Implementation Science) will be hand searched for the last 5 years. Two reviewers will independently undertake a title and abstract review using inclusion and exclusion criteria. Studies will be excluded only after discussion between at least two reviewers, who will assess and agree on the inclusion, risk</w:t>
      </w:r>
      <w:r w:rsidR="00427468">
        <w:rPr>
          <w:kern w:val="0"/>
        </w:rPr>
        <w:t xml:space="preserve"> of </w:t>
      </w:r>
      <w:r>
        <w:rPr>
          <w:kern w:val="0"/>
        </w:rPr>
        <w:t>bias and quality rating</w:t>
      </w:r>
      <w:r w:rsidR="00427468">
        <w:rPr>
          <w:kern w:val="0"/>
        </w:rPr>
        <w:t xml:space="preserve"> of </w:t>
      </w:r>
      <w:r>
        <w:rPr>
          <w:kern w:val="0"/>
        </w:rPr>
        <w:t>the studies. One author will extract summary descriptive data from these studies; the other author will review this documentation for accuracy and completeness. Results: It is likely that the studies will be heterogeneous in nature, therefore a narrative synthesis</w:t>
      </w:r>
      <w:r w:rsidR="00427468">
        <w:rPr>
          <w:kern w:val="0"/>
        </w:rPr>
        <w:t xml:space="preserve"> of </w:t>
      </w:r>
      <w:r>
        <w:rPr>
          <w:kern w:val="0"/>
        </w:rPr>
        <w:t>the findings will be conducted. Conclusions: We will discuss characteristics</w:t>
      </w:r>
      <w:r w:rsidR="00427468">
        <w:rPr>
          <w:kern w:val="0"/>
        </w:rPr>
        <w:t xml:space="preserve"> of </w:t>
      </w:r>
      <w:r>
        <w:rPr>
          <w:kern w:val="0"/>
        </w:rPr>
        <w:t>the studies and stratify the results according to the type</w:t>
      </w:r>
      <w:r w:rsidR="00427468">
        <w:rPr>
          <w:kern w:val="0"/>
        </w:rPr>
        <w:t xml:space="preserve"> of </w:t>
      </w:r>
      <w:r>
        <w:rPr>
          <w:kern w:val="0"/>
        </w:rPr>
        <w:t>hospital-wide interventions, organisational factors associated with them and outcomes measured.</w:t>
      </w:r>
    </w:p>
    <w:p w:rsidR="00F736BD" w:rsidRDefault="00F736BD" w:rsidP="00F736BD">
      <w:pPr>
        <w:pStyle w:val="a3"/>
        <w:rPr>
          <w:kern w:val="0"/>
        </w:rPr>
      </w:pPr>
      <w:r>
        <w:rPr>
          <w:kern w:val="0"/>
        </w:rPr>
        <w:t xml:space="preserve">Keywords: Accuracy, Analysis, Bias, Characteristics, Criteria, Cultural, Culture, Data, Databases, Design, Documentation, Embase, England, Health, Hospitals, Implementation, Interrupted Time Series, Interventions, Journal, Journals, Language, Literature, Literature Review, Local, Medical, Medicine, Medline, Methods, </w:t>
      </w:r>
      <w:r>
        <w:rPr>
          <w:kern w:val="0"/>
        </w:rPr>
        <w:lastRenderedPageBreak/>
        <w:t>Organisational Culture, Outcomes, Peer Reviewed Journals, Peer-Reviewed, Protocol, Quality, Randomised Controlled Trials, Results, Review, Risk, Role, Safety, Science, Sustainability, Synthesis, Time Series, Time Series Analysis, Time-Series Analysis, Web</w:t>
      </w:r>
      <w:r w:rsidR="00427468">
        <w:rPr>
          <w:kern w:val="0"/>
        </w:rPr>
        <w:t xml:space="preserve"> of </w:t>
      </w:r>
      <w:r>
        <w:rPr>
          <w:kern w:val="0"/>
        </w:rPr>
        <w:t>Science</w:t>
      </w:r>
    </w:p>
    <w:p w:rsidR="0089723B" w:rsidRDefault="0089723B" w:rsidP="0089723B">
      <w:pPr>
        <w:pStyle w:val="a3"/>
        <w:rPr>
          <w:kern w:val="0"/>
          <w:szCs w:val="24"/>
        </w:rPr>
      </w:pPr>
      <w:r>
        <w:rPr>
          <w:kern w:val="0"/>
        </w:rPr>
        <w:t xml:space="preserve">? Ford, J.A., Lois, N., Royle, P., Clar, C., Shyangdan, D. and Waugh, N. (2013), Current treatments in diabetic macular oedema: Systematic review and meta-analysis. </w:t>
      </w:r>
      <w:r>
        <w:rPr>
          <w:i/>
          <w:iCs/>
          <w:kern w:val="0"/>
        </w:rPr>
        <w:t>BMJ Open</w:t>
      </w:r>
      <w:r>
        <w:rPr>
          <w:kern w:val="0"/>
        </w:rPr>
        <w:t xml:space="preserve">, </w:t>
      </w:r>
      <w:r>
        <w:rPr>
          <w:b/>
          <w:bCs/>
          <w:kern w:val="0"/>
        </w:rPr>
        <w:t>3</w:t>
      </w:r>
      <w:r>
        <w:rPr>
          <w:kern w:val="0"/>
        </w:rPr>
        <w:t xml:space="preserve"> (3</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076C86">
        <w:rPr>
          <w:kern w:val="0"/>
          <w:szCs w:val="24"/>
        </w:rPr>
        <w:t>e002269</w:t>
      </w:r>
      <w:r>
        <w:rPr>
          <w:kern w:val="0"/>
          <w:szCs w:val="24"/>
        </w:rPr>
        <w:t>.</w:t>
      </w:r>
    </w:p>
    <w:p w:rsidR="0089723B" w:rsidRDefault="0089723B" w:rsidP="0089723B">
      <w:pPr>
        <w:pStyle w:val="a3"/>
        <w:rPr>
          <w:kern w:val="0"/>
        </w:rPr>
      </w:pPr>
      <w:r>
        <w:rPr>
          <w:rFonts w:hint="eastAsia"/>
          <w:kern w:val="0"/>
        </w:rPr>
        <w:t xml:space="preserve">Full Text: </w:t>
      </w:r>
      <w:hyperlink r:id="rId1747" w:history="1">
        <w:r w:rsidRPr="004B25CD">
          <w:rPr>
            <w:rStyle w:val="a5"/>
            <w:kern w:val="0"/>
          </w:rPr>
          <w:t>2013\BMJ Ope3, e002269.pdf</w:t>
        </w:r>
      </w:hyperlink>
    </w:p>
    <w:p w:rsidR="0089723B" w:rsidRDefault="0089723B" w:rsidP="0089723B">
      <w:pPr>
        <w:pStyle w:val="a3"/>
        <w:rPr>
          <w:kern w:val="0"/>
        </w:rPr>
      </w:pPr>
      <w:r>
        <w:rPr>
          <w:kern w:val="0"/>
        </w:rPr>
        <w:t>Abstract: Objectives: The aim</w:t>
      </w:r>
      <w:r w:rsidR="00427468">
        <w:rPr>
          <w:kern w:val="0"/>
        </w:rPr>
        <w:t xml:space="preserve"> of </w:t>
      </w:r>
      <w:r>
        <w:rPr>
          <w:kern w:val="0"/>
        </w:rPr>
        <w:t>this systematic review is to appraise the evidence for the use</w:t>
      </w:r>
      <w:r w:rsidR="00427468">
        <w:rPr>
          <w:kern w:val="0"/>
        </w:rPr>
        <w:t xml:space="preserve"> of </w:t>
      </w:r>
      <w:r>
        <w:rPr>
          <w:kern w:val="0"/>
        </w:rPr>
        <w:t>anti-VEGF drugs and steroids in diabetic macular oedema (DMO) as assessed by change in best corrected visual acuity (BCVA), central macular thickness and adverse events Data source: MEDLINE, EMBASE, Web</w:t>
      </w:r>
      <w:r w:rsidR="00427468">
        <w:rPr>
          <w:kern w:val="0"/>
        </w:rPr>
        <w:t xml:space="preserve"> of </w:t>
      </w:r>
      <w:r>
        <w:rPr>
          <w:kern w:val="0"/>
        </w:rPr>
        <w:t>Science with Conference Proceedings and the Cochrane Library (inception to July 2012). Certain conference abstracts and drug regulatory web sites were also searched. Study eligibility criteria, participants and interventions: Randomised controlled trials were used to assess clinical effectiveness and observational trials were used for safety. Trials which assessed triamcinolone, dexamethasone, fluocinolone, bevacizumab, ranibizumab, pegaptanib or aflibercept in patients with DMO were included. Study appraisal and synthesis methods: Risk</w:t>
      </w:r>
      <w:r w:rsidR="00427468">
        <w:rPr>
          <w:kern w:val="0"/>
        </w:rPr>
        <w:t xml:space="preserve"> of </w:t>
      </w:r>
      <w:r>
        <w:rPr>
          <w:kern w:val="0"/>
        </w:rPr>
        <w:t>bias was assessed using the Cochrane risk</w:t>
      </w:r>
      <w:r w:rsidR="00427468">
        <w:rPr>
          <w:kern w:val="0"/>
        </w:rPr>
        <w:t xml:space="preserve"> of </w:t>
      </w:r>
      <w:r>
        <w:rPr>
          <w:kern w:val="0"/>
        </w:rPr>
        <w:t>bias tool. Study results are narratively described and, where appropriate, data were pooled using random effects meta-analysis. Results: Anti-VEGF drugs are effective compared to both laser and placebo and seem to be more effective than steroids in improving BCVA</w:t>
      </w:r>
      <w:r w:rsidR="00A37C1D">
        <w:rPr>
          <w:kern w:val="0"/>
        </w:rPr>
        <w:t>. The</w:t>
      </w:r>
      <w:r>
        <w:rPr>
          <w:kern w:val="0"/>
        </w:rPr>
        <w:t>y have been shown to be safe in the short term but require frequent injections. Studies assessing steroids (triamcinolone, dexamethasone and fluocinolone) have reported mixed results when compared with laser or placebo. Steroids have been associated with increased incidence</w:t>
      </w:r>
      <w:r w:rsidR="00427468">
        <w:rPr>
          <w:kern w:val="0"/>
        </w:rPr>
        <w:t xml:space="preserve"> of </w:t>
      </w:r>
      <w:r>
        <w:rPr>
          <w:kern w:val="0"/>
        </w:rPr>
        <w:t>cataracts and intraocular pressure rise but require fewer injections, especially when steroid implants are used. Limitations: The quality</w:t>
      </w:r>
      <w:r w:rsidR="00427468">
        <w:rPr>
          <w:kern w:val="0"/>
        </w:rPr>
        <w:t xml:space="preserve"> of </w:t>
      </w:r>
      <w:r>
        <w:rPr>
          <w:kern w:val="0"/>
        </w:rPr>
        <w:t>included studies varied considerably. Five</w:t>
      </w:r>
      <w:r w:rsidR="00427468">
        <w:rPr>
          <w:kern w:val="0"/>
        </w:rPr>
        <w:t xml:space="preserve"> of </w:t>
      </w:r>
      <w:r>
        <w:rPr>
          <w:kern w:val="0"/>
        </w:rPr>
        <w:t>14 meta-analyses had moderate or high statistical heterogeneity. Conclusions and implications</w:t>
      </w:r>
      <w:r w:rsidR="00427468">
        <w:rPr>
          <w:kern w:val="0"/>
        </w:rPr>
        <w:t xml:space="preserve"> of </w:t>
      </w:r>
      <w:r>
        <w:rPr>
          <w:kern w:val="0"/>
        </w:rPr>
        <w:t>key findings: The anti-VEGFs ranibizumab and bevacizumab have consistently shown good clinical effectiveness without major unwanted side effects. Steroid results have been mixed and are usually associated with cataract formation and intraocular pressure increase. Despite the current wider spectrum</w:t>
      </w:r>
      <w:r w:rsidR="00427468">
        <w:rPr>
          <w:kern w:val="0"/>
        </w:rPr>
        <w:t xml:space="preserve"> of </w:t>
      </w:r>
      <w:r>
        <w:rPr>
          <w:kern w:val="0"/>
        </w:rPr>
        <w:t>treatments for DMO, only a small proportion</w:t>
      </w:r>
      <w:r w:rsidR="00427468">
        <w:rPr>
          <w:kern w:val="0"/>
        </w:rPr>
        <w:t xml:space="preserve"> of </w:t>
      </w:r>
      <w:r>
        <w:rPr>
          <w:kern w:val="0"/>
        </w:rPr>
        <w:t>patients recover good vision (&gt;= 20/40), and thus the search for new therapies needs to continue.</w:t>
      </w:r>
    </w:p>
    <w:p w:rsidR="0089723B" w:rsidRDefault="0089723B" w:rsidP="0089723B">
      <w:pPr>
        <w:pStyle w:val="a3"/>
        <w:rPr>
          <w:kern w:val="0"/>
        </w:rPr>
      </w:pPr>
      <w:r>
        <w:rPr>
          <w:kern w:val="0"/>
        </w:rPr>
        <w:t xml:space="preserve">Keywords: Assessing, Bias, Clinical, Conference, Criteria, Data, Dexamethasone, Drug, Drugs, Effectiveness, Effects, Embase, Events, Evidence, Heterogeneity, Incidence, Injections, Interventions, Laser, Medline, Meta Analysis, Meta-Analysis, Metaanalysis, Methods, Needs, Observational, Patients, Placebo, Pressure, Quality, </w:t>
      </w:r>
      <w:r>
        <w:rPr>
          <w:kern w:val="0"/>
        </w:rPr>
        <w:lastRenderedPageBreak/>
        <w:t>Quality Of, Randomised Controlled Trials, Results, Review, Risk, Risk</w:t>
      </w:r>
      <w:r w:rsidR="00427468">
        <w:rPr>
          <w:kern w:val="0"/>
        </w:rPr>
        <w:t xml:space="preserve"> of </w:t>
      </w:r>
      <w:r>
        <w:rPr>
          <w:kern w:val="0"/>
        </w:rPr>
        <w:t>Bias, Safety, Science, Side Effects, Small, Source, Steroids, Synthesis, Systematic Review, Term, Web, Web</w:t>
      </w:r>
      <w:r w:rsidR="00427468">
        <w:rPr>
          <w:kern w:val="0"/>
        </w:rPr>
        <w:t xml:space="preserve"> of </w:t>
      </w:r>
      <w:r>
        <w:rPr>
          <w:kern w:val="0"/>
        </w:rPr>
        <w:t>Science</w:t>
      </w:r>
    </w:p>
    <w:p w:rsidR="00A948E0" w:rsidRDefault="00A948E0" w:rsidP="00A948E0">
      <w:pPr>
        <w:pStyle w:val="a3"/>
        <w:rPr>
          <w:kern w:val="0"/>
          <w:szCs w:val="24"/>
        </w:rPr>
      </w:pPr>
      <w:r>
        <w:rPr>
          <w:kern w:val="0"/>
        </w:rPr>
        <w:t>? Punja, S., Zorzela, L., Hartling, L., Urichuk, L. and Vohra, S. (2013), Long-acting versus short-acting methylphenidate for paediatric ADHD: A systematic review and meta-analysis</w:t>
      </w:r>
      <w:r w:rsidR="00427468">
        <w:rPr>
          <w:kern w:val="0"/>
        </w:rPr>
        <w:t xml:space="preserve"> of </w:t>
      </w:r>
      <w:r>
        <w:rPr>
          <w:kern w:val="0"/>
        </w:rPr>
        <w:t xml:space="preserve">comparative efficacy. </w:t>
      </w:r>
      <w:r>
        <w:rPr>
          <w:i/>
          <w:iCs/>
          <w:kern w:val="0"/>
        </w:rPr>
        <w:t>BMJ Open</w:t>
      </w:r>
      <w:r>
        <w:rPr>
          <w:kern w:val="0"/>
        </w:rPr>
        <w:t xml:space="preserve">, </w:t>
      </w:r>
      <w:r>
        <w:rPr>
          <w:b/>
          <w:bCs/>
          <w:kern w:val="0"/>
        </w:rPr>
        <w:t>3</w:t>
      </w:r>
      <w:r>
        <w:rPr>
          <w:kern w:val="0"/>
        </w:rPr>
        <w:t xml:space="preserve"> (3</w:t>
      </w:r>
      <w:r>
        <w:rPr>
          <w:rFonts w:hint="eastAsia"/>
          <w:kern w:val="0"/>
        </w:rPr>
        <w:t>)</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4941D8">
        <w:rPr>
          <w:kern w:val="0"/>
          <w:szCs w:val="24"/>
        </w:rPr>
        <w:t>e002312</w:t>
      </w:r>
      <w:r>
        <w:rPr>
          <w:kern w:val="0"/>
          <w:szCs w:val="24"/>
        </w:rPr>
        <w:t>.</w:t>
      </w:r>
    </w:p>
    <w:p w:rsidR="00A948E0" w:rsidRDefault="00A948E0" w:rsidP="00A948E0">
      <w:pPr>
        <w:pStyle w:val="a3"/>
        <w:rPr>
          <w:kern w:val="0"/>
        </w:rPr>
      </w:pPr>
      <w:r>
        <w:rPr>
          <w:rFonts w:hint="eastAsia"/>
          <w:kern w:val="0"/>
        </w:rPr>
        <w:t xml:space="preserve">Full Text: </w:t>
      </w:r>
      <w:hyperlink r:id="rId1748" w:history="1">
        <w:r w:rsidRPr="006238BA">
          <w:rPr>
            <w:rStyle w:val="a5"/>
            <w:kern w:val="0"/>
          </w:rPr>
          <w:t>2013\BMJ Ope3, e002312.pdf</w:t>
        </w:r>
      </w:hyperlink>
    </w:p>
    <w:p w:rsidR="00A948E0" w:rsidRDefault="00A948E0" w:rsidP="00A948E0">
      <w:pPr>
        <w:pStyle w:val="a3"/>
        <w:rPr>
          <w:kern w:val="0"/>
        </w:rPr>
      </w:pPr>
      <w:r>
        <w:rPr>
          <w:kern w:val="0"/>
        </w:rPr>
        <w:t>Abstract: Objective: To synthesise existing knowledge</w:t>
      </w:r>
      <w:r w:rsidR="00427468">
        <w:rPr>
          <w:kern w:val="0"/>
        </w:rPr>
        <w:t xml:space="preserve"> of </w:t>
      </w:r>
      <w:r>
        <w:rPr>
          <w:kern w:val="0"/>
        </w:rPr>
        <w:t>the efficacy and safety</w:t>
      </w:r>
      <w:r w:rsidR="00427468">
        <w:rPr>
          <w:kern w:val="0"/>
        </w:rPr>
        <w:t xml:space="preserve"> of </w:t>
      </w:r>
      <w:r>
        <w:rPr>
          <w:kern w:val="0"/>
        </w:rPr>
        <w:t>long-acting versus short-acting methylphenidate for paediatric attention deficit hyperactivity disorder (ADHD). Design: Systematic review and meta-analysis. Data sources: Electronic literature search</w:t>
      </w:r>
      <w:r w:rsidR="00427468">
        <w:rPr>
          <w:kern w:val="0"/>
        </w:rPr>
        <w:t xml:space="preserve"> of </w:t>
      </w:r>
      <w:r>
        <w:rPr>
          <w:kern w:val="0"/>
        </w:rPr>
        <w:t>CENTRAL, MEDLINE, PreMEDLINE, CINAHL, EMBASE, PsychINFO, Scopus and Web</w:t>
      </w:r>
      <w:r w:rsidR="00427468">
        <w:rPr>
          <w:kern w:val="0"/>
        </w:rPr>
        <w:t xml:space="preserve"> of </w:t>
      </w:r>
      <w:r>
        <w:rPr>
          <w:kern w:val="0"/>
        </w:rPr>
        <w:t>Science for articles published in the English language between 1950 and 2012. Reference lists</w:t>
      </w:r>
      <w:r w:rsidR="00427468">
        <w:rPr>
          <w:kern w:val="0"/>
        </w:rPr>
        <w:t xml:space="preserve"> of </w:t>
      </w:r>
      <w:r>
        <w:rPr>
          <w:kern w:val="0"/>
        </w:rPr>
        <w:t>included studies were checked for additional studies. Study selection: Randomised controlled trials</w:t>
      </w:r>
      <w:r w:rsidR="00427468">
        <w:rPr>
          <w:kern w:val="0"/>
        </w:rPr>
        <w:t xml:space="preserve"> of </w:t>
      </w:r>
      <w:r>
        <w:rPr>
          <w:kern w:val="0"/>
        </w:rPr>
        <w:t>paediatric ADHD patients (&lt;18 years), comparing a long-acting methylphenidate form to a short-acting methylphenidate form. Data extraction: Two authors independently selected trials, extracted data and assessed risk</w:t>
      </w:r>
      <w:r w:rsidR="00427468">
        <w:rPr>
          <w:kern w:val="0"/>
        </w:rPr>
        <w:t xml:space="preserve"> of </w:t>
      </w:r>
      <w:r>
        <w:rPr>
          <w:kern w:val="0"/>
        </w:rPr>
        <w:t>bias. Continuous outcomes were compared using standardised mean differences (SMDs) between treatment groups. Adverse events were compared using risk differences between treatment groups. Heterogeneity was explored by subgroup analysis based on the type</w:t>
      </w:r>
      <w:r w:rsidR="00427468">
        <w:rPr>
          <w:kern w:val="0"/>
        </w:rPr>
        <w:t xml:space="preserve"> of </w:t>
      </w:r>
      <w:r>
        <w:rPr>
          <w:kern w:val="0"/>
        </w:rPr>
        <w:t>long-acting formulation used. Results: Thirteen RCTs were included; data from 882 participants contributed to the analysis. Meta-analysis</w:t>
      </w:r>
      <w:r w:rsidR="00427468">
        <w:rPr>
          <w:kern w:val="0"/>
        </w:rPr>
        <w:t xml:space="preserve"> of </w:t>
      </w:r>
      <w:r>
        <w:rPr>
          <w:kern w:val="0"/>
        </w:rPr>
        <w:t>three studies which used parent ratings to report on hyperactivity/impulsivity had an SMD</w:t>
      </w:r>
      <w:r w:rsidR="00427468">
        <w:rPr>
          <w:kern w:val="0"/>
        </w:rPr>
        <w:t xml:space="preserve"> of </w:t>
      </w:r>
      <w:r>
        <w:rPr>
          <w:kern w:val="0"/>
        </w:rPr>
        <w:t>-0.30 (95% CI -0.51 to -0.08) favouring the long-acting forms. In contrast, three studies used teacher ratings to report on hyperactivity and had an SMD</w:t>
      </w:r>
      <w:r w:rsidR="00427468">
        <w:rPr>
          <w:kern w:val="0"/>
        </w:rPr>
        <w:t xml:space="preserve"> of </w:t>
      </w:r>
      <w:r>
        <w:rPr>
          <w:kern w:val="0"/>
        </w:rPr>
        <w:t>0.29 (95% CI 0.05 to 0.52) favouring the short-acting methylphenidate. In addition, subgroup analysis</w:t>
      </w:r>
      <w:r w:rsidR="00427468">
        <w:rPr>
          <w:kern w:val="0"/>
        </w:rPr>
        <w:t xml:space="preserve"> of </w:t>
      </w:r>
      <w:r>
        <w:rPr>
          <w:kern w:val="0"/>
        </w:rPr>
        <w:t>three studies which used parent ratings to report on inattention/overactivity indicate that the osmotic release oral system generation long-acting formulation was favoured with an SMD</w:t>
      </w:r>
      <w:r w:rsidR="00427468">
        <w:rPr>
          <w:kern w:val="0"/>
        </w:rPr>
        <w:t xml:space="preserve"> of </w:t>
      </w:r>
      <w:r>
        <w:rPr>
          <w:kern w:val="0"/>
        </w:rPr>
        <w:t>-0.35 (95% CI -0.52 to -0.17), while the second generation showed less efficacy than the short-acting formulation with an SMD</w:t>
      </w:r>
      <w:r w:rsidR="00427468">
        <w:rPr>
          <w:kern w:val="0"/>
        </w:rPr>
        <w:t xml:space="preserve"> of </w:t>
      </w:r>
      <w:r>
        <w:rPr>
          <w:kern w:val="0"/>
        </w:rPr>
        <w:t>0.42 (95% CI 0.17 to 0.68)</w:t>
      </w:r>
      <w:r w:rsidR="00A37C1D">
        <w:rPr>
          <w:kern w:val="0"/>
        </w:rPr>
        <w:t>. The</w:t>
      </w:r>
      <w:r>
        <w:rPr>
          <w:kern w:val="0"/>
        </w:rPr>
        <w:t xml:space="preserve"> long-acting formulations presented with slightly more total reported adverse events (n=578) as compared with the short-acting formulation (n=566). Conclusions: The findings from this systematic review indicate that the long-acting forms have a modest effect on the severity</w:t>
      </w:r>
      <w:r w:rsidR="00427468">
        <w:rPr>
          <w:kern w:val="0"/>
        </w:rPr>
        <w:t xml:space="preserve"> of </w:t>
      </w:r>
      <w:r>
        <w:rPr>
          <w:kern w:val="0"/>
        </w:rPr>
        <w:t>inattention/overactivity and hyperactivity/impulsivity according to parent reports, whereas the short-acting methylphenidate was preferred according to teacher reports for hyperactivity.</w:t>
      </w:r>
    </w:p>
    <w:p w:rsidR="00A948E0" w:rsidRDefault="00A948E0" w:rsidP="00A948E0">
      <w:pPr>
        <w:pStyle w:val="a3"/>
        <w:rPr>
          <w:kern w:val="0"/>
        </w:rPr>
      </w:pPr>
      <w:r>
        <w:rPr>
          <w:kern w:val="0"/>
        </w:rPr>
        <w:t xml:space="preserve">Keywords: Adhd, Analysis, Attention, Authors, Bias, Data, Design, Efficacy, Embase, Events, Extraction, Forms, Formulation, Generation, Groups, Hyperactivity, Knowledge, Language, Literature, Literature Search, Medline, Meta Analysis, </w:t>
      </w:r>
      <w:r>
        <w:rPr>
          <w:kern w:val="0"/>
        </w:rPr>
        <w:lastRenderedPageBreak/>
        <w:t>Meta-Analysis, Metaanalysis, Methylphenidate, Oral, Outcomes, Patients, Randomised Controlled Trials, Reference, Reference Lists, Release, Results, Review, Risk, Safety, Science, Scopus, Selection, Sources, Systematic Review, Treatment, Web</w:t>
      </w:r>
      <w:r w:rsidR="00427468">
        <w:rPr>
          <w:kern w:val="0"/>
        </w:rPr>
        <w:t xml:space="preserve"> of </w:t>
      </w:r>
      <w:r>
        <w:rPr>
          <w:kern w:val="0"/>
        </w:rPr>
        <w:t>Science</w:t>
      </w:r>
    </w:p>
    <w:p w:rsidR="00F736BD" w:rsidRDefault="00F736BD" w:rsidP="00F736BD">
      <w:pPr>
        <w:pStyle w:val="a3"/>
        <w:rPr>
          <w:kern w:val="0"/>
          <w:szCs w:val="24"/>
        </w:rPr>
      </w:pPr>
      <w:r>
        <w:rPr>
          <w:kern w:val="0"/>
        </w:rPr>
        <w:t>? O</w:t>
      </w:r>
      <w:r w:rsidR="00700038">
        <w:rPr>
          <w:kern w:val="0"/>
        </w:rPr>
        <w:t>’</w:t>
      </w:r>
      <w:r>
        <w:rPr>
          <w:kern w:val="0"/>
        </w:rPr>
        <w:t xml:space="preserve">Cathain, A., Thomas, K.J., Drabble, S.J., Rudolph, A. and Hewison, J. (2013), What can qualitative research do for randomised controlled trials? A systematic mapping review. </w:t>
      </w:r>
      <w:r>
        <w:rPr>
          <w:i/>
          <w:iCs/>
          <w:kern w:val="0"/>
        </w:rPr>
        <w:t>BMJ Open</w:t>
      </w:r>
      <w:r>
        <w:rPr>
          <w:kern w:val="0"/>
        </w:rPr>
        <w:t xml:space="preserve">, </w:t>
      </w:r>
      <w:r>
        <w:rPr>
          <w:b/>
          <w:bCs/>
          <w:kern w:val="0"/>
        </w:rPr>
        <w:t>3</w:t>
      </w:r>
      <w:r>
        <w:rPr>
          <w:kern w:val="0"/>
        </w:rPr>
        <w:t xml:space="preserve"> (6</w:t>
      </w:r>
      <w:r>
        <w:rPr>
          <w:rFonts w:hint="eastAsia"/>
          <w:kern w:val="0"/>
        </w:rPr>
        <w:t>)</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4941D8">
        <w:rPr>
          <w:kern w:val="0"/>
          <w:szCs w:val="24"/>
        </w:rPr>
        <w:t>e002889</w:t>
      </w:r>
      <w:r>
        <w:rPr>
          <w:kern w:val="0"/>
          <w:szCs w:val="24"/>
        </w:rPr>
        <w:t>.</w:t>
      </w:r>
    </w:p>
    <w:p w:rsidR="00F736BD" w:rsidRDefault="00F736BD" w:rsidP="00F736BD">
      <w:pPr>
        <w:pStyle w:val="a3"/>
        <w:rPr>
          <w:kern w:val="0"/>
        </w:rPr>
      </w:pPr>
      <w:r>
        <w:rPr>
          <w:rFonts w:hint="eastAsia"/>
          <w:kern w:val="0"/>
        </w:rPr>
        <w:t xml:space="preserve">Full Text: </w:t>
      </w:r>
      <w:hyperlink r:id="rId1749" w:history="1">
        <w:r w:rsidRPr="00F5550A">
          <w:rPr>
            <w:rStyle w:val="a5"/>
            <w:kern w:val="0"/>
          </w:rPr>
          <w:t>2013\BMJ Ope3, e002889.pdf</w:t>
        </w:r>
      </w:hyperlink>
    </w:p>
    <w:p w:rsidR="00F736BD" w:rsidRDefault="00F736BD" w:rsidP="00F736BD">
      <w:pPr>
        <w:pStyle w:val="a3"/>
        <w:rPr>
          <w:kern w:val="0"/>
        </w:rPr>
      </w:pPr>
      <w:r>
        <w:rPr>
          <w:kern w:val="0"/>
        </w:rPr>
        <w:t>Abstract: Objective: To develop an empirically based framework</w:t>
      </w:r>
      <w:r w:rsidR="00427468">
        <w:rPr>
          <w:kern w:val="0"/>
        </w:rPr>
        <w:t xml:space="preserve"> of </w:t>
      </w:r>
      <w:r>
        <w:rPr>
          <w:kern w:val="0"/>
        </w:rPr>
        <w:t>the aspects</w:t>
      </w:r>
      <w:r w:rsidR="00427468">
        <w:rPr>
          <w:kern w:val="0"/>
        </w:rPr>
        <w:t xml:space="preserve"> of </w:t>
      </w:r>
      <w:r>
        <w:rPr>
          <w:kern w:val="0"/>
        </w:rPr>
        <w:t>randomised controlled trials addressed by qualitative research. Design: Systematic mapping review</w:t>
      </w:r>
      <w:r w:rsidR="00427468">
        <w:rPr>
          <w:kern w:val="0"/>
        </w:rPr>
        <w:t xml:space="preserve"> of </w:t>
      </w:r>
      <w:r>
        <w:rPr>
          <w:kern w:val="0"/>
        </w:rPr>
        <w:t>qualitative research undertaken with randomised controlled trials and published in peer-reviewed journals. Data sources: MEDLINE, PreMEDLINE, EMBASE, the Cochrane Library, Health Technology Assessment, PsycINFO, CINAHL, British Nursing Index, Social Sciences Citation Index and ASSIA. Eligibility criteria: Articles reporting qualitative research undertaken with trials published between 2008 and September 2010; health research, reported in English. Results: 296 articles met the inclusion criteria. Articles focused on 22 aspects</w:t>
      </w:r>
      <w:r w:rsidR="00427468">
        <w:rPr>
          <w:kern w:val="0"/>
        </w:rPr>
        <w:t xml:space="preserve"> of </w:t>
      </w:r>
      <w:r>
        <w:rPr>
          <w:kern w:val="0"/>
        </w:rPr>
        <w:t>the trial within five broad categories. Some articles focused on more than one aspect</w:t>
      </w:r>
      <w:r w:rsidR="00427468">
        <w:rPr>
          <w:kern w:val="0"/>
        </w:rPr>
        <w:t xml:space="preserve"> of </w:t>
      </w:r>
      <w:r>
        <w:rPr>
          <w:kern w:val="0"/>
        </w:rPr>
        <w:t>the trial, totalling 356 examples</w:t>
      </w:r>
      <w:r w:rsidR="00A37C1D">
        <w:rPr>
          <w:kern w:val="0"/>
        </w:rPr>
        <w:t>. The</w:t>
      </w:r>
      <w:r>
        <w:rPr>
          <w:kern w:val="0"/>
        </w:rPr>
        <w:t xml:space="preserve"> qualitative research focused on the intervention being trialled (71%, 254/356); the design, process and conduct</w:t>
      </w:r>
      <w:r w:rsidR="00427468">
        <w:rPr>
          <w:kern w:val="0"/>
        </w:rPr>
        <w:t xml:space="preserve"> of </w:t>
      </w:r>
      <w:r>
        <w:rPr>
          <w:kern w:val="0"/>
        </w:rPr>
        <w:t>the trial (15%, 54/356); the outcomes</w:t>
      </w:r>
      <w:r w:rsidR="00427468">
        <w:rPr>
          <w:kern w:val="0"/>
        </w:rPr>
        <w:t xml:space="preserve"> of </w:t>
      </w:r>
      <w:r>
        <w:rPr>
          <w:kern w:val="0"/>
        </w:rPr>
        <w:t>the trial (1%, 5/356); the measures used in the trial (3%, 10/356); and the target condition for the trial (9%, 33/356). A minority</w:t>
      </w:r>
      <w:r w:rsidR="00427468">
        <w:rPr>
          <w:kern w:val="0"/>
        </w:rPr>
        <w:t xml:space="preserve"> of </w:t>
      </w:r>
      <w:r>
        <w:rPr>
          <w:kern w:val="0"/>
        </w:rPr>
        <w:t>the qualitative research was undertaken at the pretrial stage (28%, 82/296)</w:t>
      </w:r>
      <w:r w:rsidR="00A37C1D">
        <w:rPr>
          <w:kern w:val="0"/>
        </w:rPr>
        <w:t>. The</w:t>
      </w:r>
      <w:r>
        <w:rPr>
          <w:kern w:val="0"/>
        </w:rPr>
        <w:t xml:space="preserve"> value</w:t>
      </w:r>
      <w:r w:rsidR="00427468">
        <w:rPr>
          <w:kern w:val="0"/>
        </w:rPr>
        <w:t xml:space="preserve"> of </w:t>
      </w:r>
      <w:r>
        <w:rPr>
          <w:kern w:val="0"/>
        </w:rPr>
        <w:t>the qualitative research to the trial itself was not always made explicit within the articles</w:t>
      </w:r>
      <w:r w:rsidR="00A37C1D">
        <w:rPr>
          <w:kern w:val="0"/>
        </w:rPr>
        <w:t>. The</w:t>
      </w:r>
      <w:r>
        <w:rPr>
          <w:kern w:val="0"/>
        </w:rPr>
        <w:t xml:space="preserve"> potential value included optimising the intervention and trial conduct, facilitating interpretation</w:t>
      </w:r>
      <w:r w:rsidR="00427468">
        <w:rPr>
          <w:kern w:val="0"/>
        </w:rPr>
        <w:t xml:space="preserve"> of </w:t>
      </w:r>
      <w:r>
        <w:rPr>
          <w:kern w:val="0"/>
        </w:rPr>
        <w:t>the trial findings, helping trialists to be sensitive to the human beings involved in trials, and saving money by steering researchers towards interventions more likely to be effective in future trials. Conclusions: A large amount</w:t>
      </w:r>
      <w:r w:rsidR="00427468">
        <w:rPr>
          <w:kern w:val="0"/>
        </w:rPr>
        <w:t xml:space="preserve"> of </w:t>
      </w:r>
      <w:r>
        <w:rPr>
          <w:kern w:val="0"/>
        </w:rPr>
        <w:t>qualitative research undertaken with specific trials has been published, addressing a wide range</w:t>
      </w:r>
      <w:r w:rsidR="00427468">
        <w:rPr>
          <w:kern w:val="0"/>
        </w:rPr>
        <w:t xml:space="preserve"> of </w:t>
      </w:r>
      <w:r>
        <w:rPr>
          <w:kern w:val="0"/>
        </w:rPr>
        <w:t>aspects</w:t>
      </w:r>
      <w:r w:rsidR="00427468">
        <w:rPr>
          <w:kern w:val="0"/>
        </w:rPr>
        <w:t xml:space="preserve"> of </w:t>
      </w:r>
      <w:r>
        <w:rPr>
          <w:kern w:val="0"/>
        </w:rPr>
        <w:t>trials, with the potential to improve the endeavour</w:t>
      </w:r>
      <w:r w:rsidR="00427468">
        <w:rPr>
          <w:kern w:val="0"/>
        </w:rPr>
        <w:t xml:space="preserve"> of </w:t>
      </w:r>
      <w:r>
        <w:rPr>
          <w:kern w:val="0"/>
        </w:rPr>
        <w:t>generating evidence</w:t>
      </w:r>
      <w:r w:rsidR="00427468">
        <w:rPr>
          <w:kern w:val="0"/>
        </w:rPr>
        <w:t xml:space="preserve"> of </w:t>
      </w:r>
      <w:r>
        <w:rPr>
          <w:kern w:val="0"/>
        </w:rPr>
        <w:t>effectiveness</w:t>
      </w:r>
      <w:r w:rsidR="00427468">
        <w:rPr>
          <w:kern w:val="0"/>
        </w:rPr>
        <w:t xml:space="preserve"> of </w:t>
      </w:r>
      <w:r>
        <w:rPr>
          <w:kern w:val="0"/>
        </w:rPr>
        <w:t>health interventions. Researchers can increase the impact</w:t>
      </w:r>
      <w:r w:rsidR="00427468">
        <w:rPr>
          <w:kern w:val="0"/>
        </w:rPr>
        <w:t xml:space="preserve"> of </w:t>
      </w:r>
      <w:r>
        <w:rPr>
          <w:kern w:val="0"/>
        </w:rPr>
        <w:t>this work on trials by undertaking more</w:t>
      </w:r>
      <w:r w:rsidR="00427468">
        <w:rPr>
          <w:kern w:val="0"/>
        </w:rPr>
        <w:t xml:space="preserve"> of </w:t>
      </w:r>
      <w:r>
        <w:rPr>
          <w:kern w:val="0"/>
        </w:rPr>
        <w:t>it at the pretrial stage and being explicit within their articles about the learning for trials and evidence-based practice.</w:t>
      </w:r>
    </w:p>
    <w:p w:rsidR="00F736BD" w:rsidRDefault="00F736BD" w:rsidP="00F736BD">
      <w:pPr>
        <w:pStyle w:val="a3"/>
        <w:rPr>
          <w:kern w:val="0"/>
        </w:rPr>
      </w:pPr>
      <w:r>
        <w:rPr>
          <w:kern w:val="0"/>
        </w:rPr>
        <w:t xml:space="preserve">Keywords: Articles, Assessment, Citation, Criteria, Design, Effectiveness, Embase, Evidence, Evidence Based, Evidence-Based, Evidence-Based Practice, Framework, Health, Health Research, Human, Impact, Intervention, Interventions, Journals, Learning, Mapping, Measures, Medline, Nursing, Outcomes, Peer Reviewed Journals, Peer-Reviewed, Potential, Practice, Psycinfo, Qualitative, Qualitative </w:t>
      </w:r>
      <w:r>
        <w:rPr>
          <w:kern w:val="0"/>
        </w:rPr>
        <w:lastRenderedPageBreak/>
        <w:t>Research, Randomised, Randomised Controlled Trials, Reporting, Research, Researchers, Results, Review, Sciences, Social Sciences, Social Sciences Citation Index, Sources, Systematic Mapping, Technology, Technology Assessment, Trial, Value, Work</w:t>
      </w:r>
    </w:p>
    <w:p w:rsidR="00F736BD" w:rsidRDefault="00F736BD" w:rsidP="00F736BD">
      <w:pPr>
        <w:pStyle w:val="a3"/>
        <w:rPr>
          <w:kern w:val="0"/>
          <w:szCs w:val="24"/>
        </w:rPr>
      </w:pPr>
      <w:r>
        <w:rPr>
          <w:kern w:val="0"/>
        </w:rPr>
        <w:t>? Hesselink, G., Kuis, E., Pijnenburg, M. and Wollersheim, H. (2013), Measuring a caring culture in hospitals: A systematic review</w:t>
      </w:r>
      <w:r w:rsidR="00427468">
        <w:rPr>
          <w:kern w:val="0"/>
        </w:rPr>
        <w:t xml:space="preserve"> of </w:t>
      </w:r>
      <w:r>
        <w:rPr>
          <w:kern w:val="0"/>
        </w:rPr>
        <w:t xml:space="preserve">instruments. </w:t>
      </w:r>
      <w:r>
        <w:rPr>
          <w:i/>
          <w:iCs/>
          <w:kern w:val="0"/>
        </w:rPr>
        <w:t>BMJ Open</w:t>
      </w:r>
      <w:r>
        <w:rPr>
          <w:kern w:val="0"/>
        </w:rPr>
        <w:t xml:space="preserve">, </w:t>
      </w:r>
      <w:r>
        <w:rPr>
          <w:b/>
          <w:bCs/>
          <w:kern w:val="0"/>
        </w:rPr>
        <w:t>3</w:t>
      </w:r>
      <w:r>
        <w:rPr>
          <w:kern w:val="0"/>
        </w:rPr>
        <w:t xml:space="preserve"> (9</w:t>
      </w:r>
      <w:r>
        <w:rPr>
          <w:rFonts w:hint="eastAsia"/>
          <w:kern w:val="0"/>
        </w:rPr>
        <w:t>)</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4941D8">
        <w:rPr>
          <w:kern w:val="0"/>
          <w:szCs w:val="24"/>
        </w:rPr>
        <w:t>e003416</w:t>
      </w:r>
      <w:r>
        <w:rPr>
          <w:kern w:val="0"/>
          <w:szCs w:val="24"/>
        </w:rPr>
        <w:t>.</w:t>
      </w:r>
    </w:p>
    <w:p w:rsidR="00F736BD" w:rsidRDefault="00F736BD" w:rsidP="00F736BD">
      <w:pPr>
        <w:pStyle w:val="a3"/>
        <w:rPr>
          <w:kern w:val="0"/>
        </w:rPr>
      </w:pPr>
      <w:r>
        <w:rPr>
          <w:rFonts w:hint="eastAsia"/>
          <w:kern w:val="0"/>
        </w:rPr>
        <w:t xml:space="preserve">Full Text: </w:t>
      </w:r>
      <w:hyperlink r:id="rId1750" w:history="1">
        <w:r w:rsidRPr="00C13AF6">
          <w:rPr>
            <w:rStyle w:val="a5"/>
            <w:kern w:val="0"/>
          </w:rPr>
          <w:t>2013\BMJ Ope3, e003416.pdf</w:t>
        </w:r>
      </w:hyperlink>
    </w:p>
    <w:p w:rsidR="00F736BD" w:rsidRDefault="00F736BD" w:rsidP="00F736BD">
      <w:pPr>
        <w:pStyle w:val="a3"/>
        <w:rPr>
          <w:kern w:val="0"/>
        </w:rPr>
      </w:pPr>
      <w:r>
        <w:rPr>
          <w:kern w:val="0"/>
        </w:rPr>
        <w:t>Abstract: Objective: To identify instruments or components</w:t>
      </w:r>
      <w:r w:rsidR="00427468">
        <w:rPr>
          <w:kern w:val="0"/>
        </w:rPr>
        <w:t xml:space="preserve"> of </w:t>
      </w:r>
      <w:r>
        <w:rPr>
          <w:kern w:val="0"/>
        </w:rPr>
        <w:t>instruments that aim to measure aspects</w:t>
      </w:r>
      <w:r w:rsidR="00427468">
        <w:rPr>
          <w:kern w:val="0"/>
        </w:rPr>
        <w:t xml:space="preserve"> of </w:t>
      </w:r>
      <w:r>
        <w:rPr>
          <w:kern w:val="0"/>
        </w:rPr>
        <w:t>a caring culture-shared beliefs, norms and values that direct professionals and managers to act caring in hospitals, and to evaluate their psychometric properties. Design: Systematic review. Data sources: PubMed, CINAHL, EMBASE, Psychlnfo, Web</w:t>
      </w:r>
      <w:r w:rsidR="00427468">
        <w:rPr>
          <w:kern w:val="0"/>
        </w:rPr>
        <w:t xml:space="preserve"> of </w:t>
      </w:r>
      <w:r>
        <w:rPr>
          <w:kern w:val="0"/>
        </w:rPr>
        <w:t>Science and the International bibliography</w:t>
      </w:r>
      <w:r w:rsidR="00427468">
        <w:rPr>
          <w:kern w:val="0"/>
        </w:rPr>
        <w:t xml:space="preserve"> of </w:t>
      </w:r>
      <w:r>
        <w:rPr>
          <w:kern w:val="0"/>
        </w:rPr>
        <w:t>the Social Sciences. Study selection: Peer-reviewed articles describing (components of) instruments measuring aspects</w:t>
      </w:r>
      <w:r w:rsidR="00427468">
        <w:rPr>
          <w:kern w:val="0"/>
        </w:rPr>
        <w:t xml:space="preserve"> of </w:t>
      </w:r>
      <w:r>
        <w:rPr>
          <w:kern w:val="0"/>
        </w:rPr>
        <w:t>a caring culture in a hospital setting. Studies had to report psychometric data regarding the reliability or validity</w:t>
      </w:r>
      <w:r w:rsidR="00427468">
        <w:rPr>
          <w:kern w:val="0"/>
        </w:rPr>
        <w:t xml:space="preserve"> of </w:t>
      </w:r>
      <w:r>
        <w:rPr>
          <w:kern w:val="0"/>
        </w:rPr>
        <w:t>the instrument. Potentially useful instruments that were identified after the title and abstract scan were assessed on relevance by an expert panel (n=12) using the RAND-modified Delphi procedure. Results:</w:t>
      </w:r>
      <w:r w:rsidR="00427468">
        <w:rPr>
          <w:kern w:val="0"/>
        </w:rPr>
        <w:t xml:space="preserve"> of </w:t>
      </w:r>
      <w:r>
        <w:rPr>
          <w:kern w:val="0"/>
        </w:rPr>
        <w:t>the 6399 references identified, 75 were examined in detail. 7 studies each covering a unique instrument met our inclusion criteria. On average, 24%</w:t>
      </w:r>
      <w:r w:rsidR="00427468">
        <w:rPr>
          <w:kern w:val="0"/>
        </w:rPr>
        <w:t xml:space="preserve"> of </w:t>
      </w:r>
      <w:r>
        <w:rPr>
          <w:kern w:val="0"/>
        </w:rPr>
        <w:t>the instrument</w:t>
      </w:r>
      <w:r w:rsidR="00700038">
        <w:rPr>
          <w:kern w:val="0"/>
        </w:rPr>
        <w:t>’</w:t>
      </w:r>
      <w:r>
        <w:rPr>
          <w:kern w:val="0"/>
        </w:rPr>
        <w:t>s items were considered relevant for measuring aspects</w:t>
      </w:r>
      <w:r w:rsidR="00427468">
        <w:rPr>
          <w:kern w:val="0"/>
        </w:rPr>
        <w:t xml:space="preserve"> of </w:t>
      </w:r>
      <w:r>
        <w:rPr>
          <w:kern w:val="0"/>
        </w:rPr>
        <w:t>the hospital</w:t>
      </w:r>
      <w:r w:rsidR="00700038">
        <w:rPr>
          <w:kern w:val="0"/>
        </w:rPr>
        <w:t>’</w:t>
      </w:r>
      <w:r>
        <w:rPr>
          <w:kern w:val="0"/>
        </w:rPr>
        <w:t>s caring culture. Studies showed moderate-to-high validity and reliability scores. Validity was addressed for 6</w:t>
      </w:r>
      <w:r w:rsidR="00427468">
        <w:rPr>
          <w:kern w:val="0"/>
        </w:rPr>
        <w:t xml:space="preserve"> of </w:t>
      </w:r>
      <w:r>
        <w:rPr>
          <w:kern w:val="0"/>
        </w:rPr>
        <w:t>the 7 instruments. Face, content (90%) and construct (60%) validity were the most frequently reported psychometric properties described. One study (14%) reported discriminant validity</w:t>
      </w:r>
      <w:r w:rsidR="00427468">
        <w:rPr>
          <w:kern w:val="0"/>
        </w:rPr>
        <w:t xml:space="preserve"> of </w:t>
      </w:r>
      <w:r>
        <w:rPr>
          <w:kern w:val="0"/>
        </w:rPr>
        <w:t>the instrument. Reliability data were available for all</w:t>
      </w:r>
      <w:r w:rsidR="00427468">
        <w:rPr>
          <w:kern w:val="0"/>
        </w:rPr>
        <w:t xml:space="preserve"> of </w:t>
      </w:r>
      <w:r>
        <w:rPr>
          <w:kern w:val="0"/>
        </w:rPr>
        <w:t>the instruments. Internal consistency was the most frequently reported psychometric property for the instruments and demonstrated by: a Cronbach</w:t>
      </w:r>
      <w:r w:rsidR="00700038">
        <w:rPr>
          <w:kern w:val="0"/>
        </w:rPr>
        <w:t>’</w:t>
      </w:r>
      <w:r>
        <w:rPr>
          <w:kern w:val="0"/>
        </w:rPr>
        <w:t>s a coefficient (80%), subscale intercorrelations (60%), and item-total correlations (40%). Conclusions: The ultimate standard for measuring a caring culture in hospitals does not exist. Existing instruments provide partial coverage and lack information on discriminant validity, responsiveness and feasibility. Characteristics</w:t>
      </w:r>
      <w:r w:rsidR="00427468">
        <w:rPr>
          <w:kern w:val="0"/>
        </w:rPr>
        <w:t xml:space="preserve"> of </w:t>
      </w:r>
      <w:r>
        <w:rPr>
          <w:kern w:val="0"/>
        </w:rPr>
        <w:t>the instruments included in this review could provide useful input for the design</w:t>
      </w:r>
      <w:r w:rsidR="00427468">
        <w:rPr>
          <w:kern w:val="0"/>
        </w:rPr>
        <w:t xml:space="preserve"> of </w:t>
      </w:r>
      <w:r>
        <w:rPr>
          <w:kern w:val="0"/>
        </w:rPr>
        <w:t>a reliable and valid instrument for measuring a caring culture in hospitals.</w:t>
      </w:r>
    </w:p>
    <w:p w:rsidR="00F736BD" w:rsidRDefault="00F736BD" w:rsidP="00F736BD">
      <w:pPr>
        <w:pStyle w:val="a3"/>
        <w:rPr>
          <w:kern w:val="0"/>
        </w:rPr>
      </w:pPr>
      <w:r>
        <w:rPr>
          <w:kern w:val="0"/>
        </w:rPr>
        <w:t xml:space="preserve">Keywords: Bibliography, Caring, Consistency, Correlations, Coverage, Criteria, Culture, Data, Delphi, Design, Discriminant, Embase, Expert Panel, Feasibility, Hospital, Hospitals, Information, Instrument, Instruments, Internal Consistency, Measure, Norms, Procedure, Properties, Property, Pubmed, References, Relevance, Reliability, Responsiveness, Results, Review, Science, Sciences, Selection, Social Sciences, </w:t>
      </w:r>
      <w:r>
        <w:rPr>
          <w:kern w:val="0"/>
        </w:rPr>
        <w:lastRenderedPageBreak/>
        <w:t>Sources, Standard, Systematic Review, Validity, Web</w:t>
      </w:r>
      <w:r w:rsidR="00427468">
        <w:rPr>
          <w:kern w:val="0"/>
        </w:rPr>
        <w:t xml:space="preserve"> of </w:t>
      </w:r>
      <w:r>
        <w:rPr>
          <w:kern w:val="0"/>
        </w:rPr>
        <w:t>Science</w:t>
      </w:r>
    </w:p>
    <w:p w:rsidR="00A948E0" w:rsidRDefault="00A948E0" w:rsidP="00A948E0">
      <w:pPr>
        <w:pStyle w:val="a3"/>
        <w:rPr>
          <w:kern w:val="0"/>
          <w:szCs w:val="24"/>
        </w:rPr>
      </w:pPr>
      <w:r>
        <w:rPr>
          <w:kern w:val="0"/>
        </w:rPr>
        <w:t>? Rohde, U., Hedback, N., Gluud, L.L., Vilsboll, T. and Knop, F.K. (2013), Effect</w:t>
      </w:r>
      <w:r w:rsidR="00427468">
        <w:rPr>
          <w:kern w:val="0"/>
        </w:rPr>
        <w:t xml:space="preserve"> of </w:t>
      </w:r>
      <w:r>
        <w:rPr>
          <w:kern w:val="0"/>
        </w:rPr>
        <w:t>the EndoBarrier Gastrointestinal Liner on obesity and type 2 diabetes: Protocol for systematic review and meta-analysis</w:t>
      </w:r>
      <w:r w:rsidR="00427468">
        <w:rPr>
          <w:kern w:val="0"/>
        </w:rPr>
        <w:t xml:space="preserve"> of </w:t>
      </w:r>
      <w:r>
        <w:rPr>
          <w:kern w:val="0"/>
        </w:rPr>
        <w:t xml:space="preserve">clinical studies. </w:t>
      </w:r>
      <w:r>
        <w:rPr>
          <w:i/>
          <w:iCs/>
          <w:kern w:val="0"/>
        </w:rPr>
        <w:t>BMJ Open</w:t>
      </w:r>
      <w:r>
        <w:rPr>
          <w:kern w:val="0"/>
        </w:rPr>
        <w:t xml:space="preserve">, </w:t>
      </w:r>
      <w:r>
        <w:rPr>
          <w:b/>
          <w:bCs/>
          <w:kern w:val="0"/>
        </w:rPr>
        <w:t>3</w:t>
      </w:r>
      <w:r>
        <w:rPr>
          <w:kern w:val="0"/>
        </w:rPr>
        <w:t xml:space="preserve"> (9</w:t>
      </w:r>
      <w:r>
        <w:rPr>
          <w:rFonts w:hint="eastAsia"/>
          <w:kern w:val="0"/>
        </w:rPr>
        <w:t>)</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4941D8">
        <w:rPr>
          <w:kern w:val="0"/>
          <w:szCs w:val="24"/>
        </w:rPr>
        <w:t>e003417</w:t>
      </w:r>
      <w:r>
        <w:rPr>
          <w:kern w:val="0"/>
          <w:szCs w:val="24"/>
        </w:rPr>
        <w:t>.</w:t>
      </w:r>
    </w:p>
    <w:p w:rsidR="00A948E0" w:rsidRDefault="00A948E0" w:rsidP="00A948E0">
      <w:pPr>
        <w:pStyle w:val="a3"/>
        <w:rPr>
          <w:kern w:val="0"/>
        </w:rPr>
      </w:pPr>
      <w:r>
        <w:rPr>
          <w:rFonts w:hint="eastAsia"/>
          <w:kern w:val="0"/>
        </w:rPr>
        <w:t xml:space="preserve">Full Text: </w:t>
      </w:r>
      <w:hyperlink r:id="rId1751" w:history="1">
        <w:r w:rsidRPr="000C6AF8">
          <w:rPr>
            <w:rStyle w:val="a5"/>
            <w:kern w:val="0"/>
          </w:rPr>
          <w:t>2013\BMJ Ope3, e003417.pdf</w:t>
        </w:r>
      </w:hyperlink>
    </w:p>
    <w:p w:rsidR="00A948E0" w:rsidRDefault="00A948E0" w:rsidP="00A948E0">
      <w:pPr>
        <w:pStyle w:val="a3"/>
        <w:rPr>
          <w:kern w:val="0"/>
        </w:rPr>
      </w:pPr>
      <w:r>
        <w:rPr>
          <w:kern w:val="0"/>
        </w:rPr>
        <w:t>Abstract: Introduction: Obese patients with type 2 diabetes undergoing bariatric surgery experience significant and lasting weight loss and improved glycaemic control. However, bariatric surgical procedures such as Roux-en-Y gastric bypass are irreversible and associated with considerable short-term and long-term risks</w:t>
      </w:r>
      <w:r w:rsidR="00A37C1D">
        <w:rPr>
          <w:kern w:val="0"/>
        </w:rPr>
        <w:t>. The</w:t>
      </w:r>
      <w:r>
        <w:rPr>
          <w:kern w:val="0"/>
        </w:rPr>
        <w:t xml:space="preserve"> EndoBarrier Gastrointestinal Liner or duodenal-jejunal bypass sleeve (DJBS) is a fully reversible procedure that has been developed to treat obesity and type 2 diabetes. We aim to perform a systematic review and meta-analysis</w:t>
      </w:r>
      <w:r w:rsidR="00427468">
        <w:rPr>
          <w:kern w:val="0"/>
        </w:rPr>
        <w:t xml:space="preserve"> of </w:t>
      </w:r>
      <w:r>
        <w:rPr>
          <w:kern w:val="0"/>
        </w:rPr>
        <w:t>safety and efficacy</w:t>
      </w:r>
      <w:r w:rsidR="00427468">
        <w:rPr>
          <w:kern w:val="0"/>
        </w:rPr>
        <w:t xml:space="preserve"> of </w:t>
      </w:r>
      <w:r>
        <w:rPr>
          <w:kern w:val="0"/>
        </w:rPr>
        <w:t>DJBS. Methods and analyses: A systematic review with meta-analysis (as per the preferred reporting items for systematic reviews and meta-analyses)</w:t>
      </w:r>
      <w:r w:rsidR="00427468">
        <w:rPr>
          <w:kern w:val="0"/>
        </w:rPr>
        <w:t xml:space="preserve"> of </w:t>
      </w:r>
      <w:r>
        <w:rPr>
          <w:kern w:val="0"/>
        </w:rPr>
        <w:t>randomised controlled trials</w:t>
      </w:r>
      <w:r w:rsidR="00427468">
        <w:rPr>
          <w:kern w:val="0"/>
        </w:rPr>
        <w:t xml:space="preserve"> of </w:t>
      </w:r>
      <w:r>
        <w:rPr>
          <w:kern w:val="0"/>
        </w:rPr>
        <w:t>the device (vs no intervention, sham and/or low-calorie diet) will be performed. Primary endpoints include change in body weight and glycated haemoglobin and safety. Secondary endpoints constitute changes in other glycaemic parameters and blood lipids and the proportion</w:t>
      </w:r>
      <w:r w:rsidR="00427468">
        <w:rPr>
          <w:kern w:val="0"/>
        </w:rPr>
        <w:t xml:space="preserve"> of </w:t>
      </w:r>
      <w:r>
        <w:rPr>
          <w:kern w:val="0"/>
        </w:rPr>
        <w:t>patients discontinuing antidiabetic medication. MEDLINE, EMBASE, The Cochrane Library and Science Citation Index will be sought electronically along with manual searches</w:t>
      </w:r>
      <w:r w:rsidR="00A37C1D">
        <w:rPr>
          <w:kern w:val="0"/>
        </w:rPr>
        <w:t>. The</w:t>
      </w:r>
      <w:r>
        <w:rPr>
          <w:kern w:val="0"/>
        </w:rPr>
        <w:t xml:space="preserve"> primary meta-analysis will use random effects models due to an expected intertrial heterogeneity. Fixed effect meta-analysis will be executed to assess the impact</w:t>
      </w:r>
      <w:r w:rsidR="00427468">
        <w:rPr>
          <w:kern w:val="0"/>
        </w:rPr>
        <w:t xml:space="preserve"> of </w:t>
      </w:r>
      <w:r>
        <w:rPr>
          <w:kern w:val="0"/>
        </w:rPr>
        <w:t>small trials. Dichotomous data will be analysed using risk difference and continuous data using weighted mean differences, both with 95% Cls. Ethics and dissemination: The study will describe the impact</w:t>
      </w:r>
      <w:r w:rsidR="00427468">
        <w:rPr>
          <w:kern w:val="0"/>
        </w:rPr>
        <w:t xml:space="preserve"> of </w:t>
      </w:r>
      <w:r>
        <w:rPr>
          <w:kern w:val="0"/>
        </w:rPr>
        <w:t>DJBS on obesity and type 2 diabetes and possibly contribute to clinical decision-making</w:t>
      </w:r>
      <w:r w:rsidR="00A37C1D">
        <w:rPr>
          <w:kern w:val="0"/>
        </w:rPr>
        <w:t>. The</w:t>
      </w:r>
      <w:r>
        <w:rPr>
          <w:kern w:val="0"/>
        </w:rPr>
        <w:t xml:space="preserve"> results</w:t>
      </w:r>
      <w:r w:rsidR="00427468">
        <w:rPr>
          <w:kern w:val="0"/>
        </w:rPr>
        <w:t xml:space="preserve"> of </w:t>
      </w:r>
      <w:r>
        <w:rPr>
          <w:kern w:val="0"/>
        </w:rPr>
        <w:t>this study will be disseminated by peer-reviewed publication and scientific presentations.</w:t>
      </w:r>
    </w:p>
    <w:p w:rsidR="00A948E0" w:rsidRDefault="00A948E0" w:rsidP="00A948E0">
      <w:pPr>
        <w:pStyle w:val="a3"/>
        <w:rPr>
          <w:kern w:val="0"/>
        </w:rPr>
      </w:pPr>
      <w:r>
        <w:rPr>
          <w:kern w:val="0"/>
        </w:rPr>
        <w:t>Keywords: Analyses, Bariatric Surgery, Blood, Body Weight, Changes, Citation, Clinical, Clinical Studies, Control, Data, Decision Making, Decision-Making, Diabetes, Diet, Effect, Effects, Efficacy, Embase, Ethics, Experience, Gastric, Gastric Bypass, Gastrointestinal, Heterogeneity, Impact, Intervention, Lipids, Long Term, Long-Term, Medline, Meta Analysis, Meta-Analysis, Metaanalysis, Methods, Models, Obesity, Patients, Peer-Reviewed, Primary, Procedure, Procedures, Protocol, Publication, Randomised, Randomised Controlled Trials, Reporting, Review, Reviews, Risk, Risks, Roux-En-Y, Roux-En-Y Gastric Bypass, Safety, Science, Science Citation Index, Small, Surgery, Surgical Procedures, Systematic Review, Systematic Reviews, Type 2 Diabetes, Weight Loss</w:t>
      </w:r>
    </w:p>
    <w:p w:rsidR="00056516" w:rsidRDefault="00056516" w:rsidP="00056516">
      <w:pPr>
        <w:pStyle w:val="a3"/>
        <w:rPr>
          <w:kern w:val="0"/>
          <w:szCs w:val="24"/>
        </w:rPr>
      </w:pPr>
      <w:r>
        <w:rPr>
          <w:rFonts w:hint="eastAsia"/>
          <w:kern w:val="0"/>
          <w:szCs w:val="24"/>
        </w:rPr>
        <w:lastRenderedPageBreak/>
        <w:t xml:space="preserve">? </w:t>
      </w:r>
      <w:r>
        <w:rPr>
          <w:kern w:val="0"/>
          <w:szCs w:val="24"/>
        </w:rPr>
        <w:t>Rashidian, A., Jahanmehr, N., Jabbour, S., Zaidi, S., Soleymani, F.</w:t>
      </w:r>
      <w:r w:rsidR="005853A9">
        <w:rPr>
          <w:kern w:val="0"/>
          <w:szCs w:val="24"/>
        </w:rPr>
        <w:t xml:space="preserve"> and </w:t>
      </w:r>
      <w:r>
        <w:rPr>
          <w:kern w:val="0"/>
          <w:szCs w:val="24"/>
        </w:rPr>
        <w:t>Bigdeli, M. (2013), Bibliographic review</w:t>
      </w:r>
      <w:r w:rsidR="00427468">
        <w:rPr>
          <w:kern w:val="0"/>
          <w:szCs w:val="24"/>
        </w:rPr>
        <w:t xml:space="preserve"> of </w:t>
      </w:r>
      <w:r>
        <w:rPr>
          <w:kern w:val="0"/>
          <w:szCs w:val="24"/>
        </w:rPr>
        <w:t>research publications on access to</w:t>
      </w:r>
      <w:r w:rsidR="005853A9">
        <w:rPr>
          <w:kern w:val="0"/>
          <w:szCs w:val="24"/>
        </w:rPr>
        <w:t xml:space="preserve"> and </w:t>
      </w:r>
      <w:r>
        <w:rPr>
          <w:kern w:val="0"/>
          <w:szCs w:val="24"/>
        </w:rPr>
        <w:t>use</w:t>
      </w:r>
      <w:r w:rsidR="00427468">
        <w:rPr>
          <w:kern w:val="0"/>
          <w:szCs w:val="24"/>
        </w:rPr>
        <w:t xml:space="preserve"> of </w:t>
      </w:r>
      <w:r>
        <w:rPr>
          <w:kern w:val="0"/>
          <w:szCs w:val="24"/>
        </w:rPr>
        <w:t>medicines in low-income</w:t>
      </w:r>
      <w:r w:rsidR="005853A9">
        <w:rPr>
          <w:kern w:val="0"/>
          <w:szCs w:val="24"/>
        </w:rPr>
        <w:t xml:space="preserve"> and </w:t>
      </w:r>
      <w:r>
        <w:rPr>
          <w:kern w:val="0"/>
          <w:szCs w:val="24"/>
        </w:rPr>
        <w:t xml:space="preserve">middle-income countries in the Eastern Mediterranean Region: Identifying the research gaps. </w:t>
      </w:r>
      <w:r>
        <w:rPr>
          <w:i/>
          <w:iCs/>
          <w:kern w:val="0"/>
          <w:szCs w:val="24"/>
        </w:rPr>
        <w:t>BMJ Open</w:t>
      </w:r>
      <w:r>
        <w:rPr>
          <w:kern w:val="0"/>
          <w:szCs w:val="24"/>
        </w:rPr>
        <w:t xml:space="preserve">, </w:t>
      </w:r>
      <w:r>
        <w:rPr>
          <w:b/>
          <w:bCs/>
          <w:kern w:val="0"/>
          <w:szCs w:val="24"/>
        </w:rPr>
        <w:t>3</w:t>
      </w:r>
      <w:r>
        <w:rPr>
          <w:kern w:val="0"/>
          <w:szCs w:val="24"/>
        </w:rPr>
        <w:t xml:space="preserve"> (10</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BD47B6">
        <w:rPr>
          <w:kern w:val="0"/>
          <w:szCs w:val="24"/>
        </w:rPr>
        <w:t>e003332</w:t>
      </w:r>
      <w:r>
        <w:rPr>
          <w:kern w:val="0"/>
          <w:szCs w:val="24"/>
        </w:rPr>
        <w:t>.</w:t>
      </w:r>
    </w:p>
    <w:p w:rsidR="00056516" w:rsidRDefault="00056516" w:rsidP="00056516">
      <w:pPr>
        <w:pStyle w:val="a3"/>
        <w:rPr>
          <w:kern w:val="0"/>
        </w:rPr>
      </w:pPr>
      <w:r>
        <w:rPr>
          <w:rFonts w:hint="eastAsia"/>
          <w:kern w:val="0"/>
        </w:rPr>
        <w:t xml:space="preserve">Full Text: </w:t>
      </w:r>
      <w:hyperlink r:id="rId1752" w:history="1">
        <w:r w:rsidRPr="00056516">
          <w:rPr>
            <w:rStyle w:val="a5"/>
            <w:kern w:val="0"/>
          </w:rPr>
          <w:t>2013\BMJ Ope3, e003332.pdf</w:t>
        </w:r>
      </w:hyperlink>
    </w:p>
    <w:p w:rsidR="00056516" w:rsidRDefault="00056516" w:rsidP="00056516">
      <w:pPr>
        <w:pStyle w:val="a3"/>
        <w:rPr>
          <w:kern w:val="0"/>
          <w:szCs w:val="24"/>
        </w:rPr>
      </w:pPr>
      <w:r>
        <w:rPr>
          <w:kern w:val="0"/>
          <w:szCs w:val="24"/>
        </w:rPr>
        <w:t>Abstract: Objectives We assessed the situation</w:t>
      </w:r>
      <w:r w:rsidR="00427468">
        <w:rPr>
          <w:kern w:val="0"/>
          <w:szCs w:val="24"/>
        </w:rPr>
        <w:t xml:space="preserve"> of </w:t>
      </w:r>
      <w:r>
        <w:rPr>
          <w:kern w:val="0"/>
          <w:szCs w:val="24"/>
        </w:rPr>
        <w:t>academic publications on access to</w:t>
      </w:r>
      <w:r w:rsidR="005853A9">
        <w:rPr>
          <w:kern w:val="0"/>
          <w:szCs w:val="24"/>
        </w:rPr>
        <w:t xml:space="preserve"> and </w:t>
      </w:r>
      <w:r>
        <w:rPr>
          <w:kern w:val="0"/>
          <w:szCs w:val="24"/>
        </w:rPr>
        <w:t>use</w:t>
      </w:r>
      <w:r w:rsidR="00427468">
        <w:rPr>
          <w:kern w:val="0"/>
          <w:szCs w:val="24"/>
        </w:rPr>
        <w:t xml:space="preserve"> of </w:t>
      </w:r>
      <w:r>
        <w:rPr>
          <w:kern w:val="0"/>
          <w:szCs w:val="24"/>
        </w:rPr>
        <w:t>medicines (ATM) in low-income</w:t>
      </w:r>
      <w:r w:rsidR="005853A9">
        <w:rPr>
          <w:kern w:val="0"/>
          <w:szCs w:val="24"/>
        </w:rPr>
        <w:t xml:space="preserve"> and </w:t>
      </w:r>
      <w:r>
        <w:rPr>
          <w:kern w:val="0"/>
          <w:szCs w:val="24"/>
        </w:rPr>
        <w:t>middle-income countries (LMICs)</w:t>
      </w:r>
      <w:r w:rsidR="00427468">
        <w:rPr>
          <w:kern w:val="0"/>
          <w:szCs w:val="24"/>
        </w:rPr>
        <w:t xml:space="preserve"> of </w:t>
      </w:r>
      <w:r>
        <w:rPr>
          <w:kern w:val="0"/>
          <w:szCs w:val="24"/>
        </w:rPr>
        <w:t>the Eastern Mediterranean Region (EMR). We aimed to inform priority setting for research on ATM in the region. Design Bibliographic review</w:t>
      </w:r>
      <w:r w:rsidR="00427468">
        <w:rPr>
          <w:kern w:val="0"/>
          <w:szCs w:val="24"/>
        </w:rPr>
        <w:t xml:space="preserve"> of </w:t>
      </w:r>
      <w:r>
        <w:rPr>
          <w:kern w:val="0"/>
          <w:szCs w:val="24"/>
        </w:rPr>
        <w:t>published studies. Setting LMICs in EMR. Inclusion criteria Publications on ATM issues originating from or focusing on EMR LMICs covering the period 2000-2011. Publications involving multinational studies were included if at least one eligible country had been included in the study. Information sources</w:t>
      </w:r>
      <w:r w:rsidR="005853A9">
        <w:rPr>
          <w:kern w:val="0"/>
          <w:szCs w:val="24"/>
        </w:rPr>
        <w:t xml:space="preserve"> and </w:t>
      </w:r>
      <w:r>
        <w:rPr>
          <w:kern w:val="0"/>
          <w:szCs w:val="24"/>
        </w:rPr>
        <w:t>data extraction We conducted comprehensive searches</w:t>
      </w:r>
      <w:r w:rsidR="00427468">
        <w:rPr>
          <w:kern w:val="0"/>
          <w:szCs w:val="24"/>
        </w:rPr>
        <w:t xml:space="preserve"> of </w:t>
      </w:r>
      <w:r>
        <w:rPr>
          <w:kern w:val="0"/>
          <w:szCs w:val="24"/>
        </w:rPr>
        <w:t>the PubMed, Social Science Citation Index</w:t>
      </w:r>
      <w:r w:rsidR="005853A9">
        <w:rPr>
          <w:kern w:val="0"/>
          <w:szCs w:val="24"/>
        </w:rPr>
        <w:t xml:space="preserve"> and </w:t>
      </w:r>
      <w:r>
        <w:rPr>
          <w:kern w:val="0"/>
          <w:szCs w:val="24"/>
        </w:rPr>
        <w:t>Science Citation Index. We used the WHO ATM framework for data extraction</w:t>
      </w:r>
      <w:r w:rsidR="005853A9">
        <w:rPr>
          <w:kern w:val="0"/>
          <w:szCs w:val="24"/>
        </w:rPr>
        <w:t xml:space="preserve"> and </w:t>
      </w:r>
      <w:r>
        <w:rPr>
          <w:kern w:val="0"/>
          <w:szCs w:val="24"/>
        </w:rPr>
        <w:t>synthesis. We analysed the data according to the ATM issues, health system levels, year</w:t>
      </w:r>
      <w:r w:rsidR="00427468">
        <w:rPr>
          <w:kern w:val="0"/>
          <w:szCs w:val="24"/>
        </w:rPr>
        <w:t xml:space="preserve"> of </w:t>
      </w:r>
      <w:r>
        <w:rPr>
          <w:kern w:val="0"/>
          <w:szCs w:val="24"/>
        </w:rPr>
        <w:t>publication</w:t>
      </w:r>
      <w:r w:rsidR="005853A9">
        <w:rPr>
          <w:kern w:val="0"/>
          <w:szCs w:val="24"/>
        </w:rPr>
        <w:t xml:space="preserve"> and </w:t>
      </w:r>
      <w:r>
        <w:rPr>
          <w:kern w:val="0"/>
          <w:szCs w:val="24"/>
        </w:rPr>
        <w:t>the countries</w:t>
      </w:r>
      <w:r w:rsidR="00427468">
        <w:rPr>
          <w:kern w:val="0"/>
          <w:szCs w:val="24"/>
        </w:rPr>
        <w:t xml:space="preserve"> of </w:t>
      </w:r>
      <w:r>
        <w:rPr>
          <w:kern w:val="0"/>
          <w:szCs w:val="24"/>
        </w:rPr>
        <w:t>origin or focus</w:t>
      </w:r>
      <w:r w:rsidR="00427468">
        <w:rPr>
          <w:kern w:val="0"/>
          <w:szCs w:val="24"/>
        </w:rPr>
        <w:t xml:space="preserve"> of </w:t>
      </w:r>
      <w:r>
        <w:rPr>
          <w:kern w:val="0"/>
          <w:szCs w:val="24"/>
        </w:rPr>
        <w:t>the studies. Results 151 articles met the inclusion criteria. Most articles (77%) originated from LMICs in EMR, suggesting that the majority</w:t>
      </w:r>
      <w:r w:rsidR="00427468">
        <w:rPr>
          <w:kern w:val="0"/>
          <w:szCs w:val="24"/>
        </w:rPr>
        <w:t xml:space="preserve"> of </w:t>
      </w:r>
      <w:r>
        <w:rPr>
          <w:kern w:val="0"/>
          <w:szCs w:val="24"/>
        </w:rPr>
        <w:t>evidence on ATM in the region is home-grown. Over 60%</w:t>
      </w:r>
      <w:r w:rsidR="00427468">
        <w:rPr>
          <w:kern w:val="0"/>
          <w:szCs w:val="24"/>
        </w:rPr>
        <w:t xml:space="preserve"> of </w:t>
      </w:r>
      <w:r>
        <w:rPr>
          <w:kern w:val="0"/>
          <w:szCs w:val="24"/>
        </w:rPr>
        <w:t>articles were from Iran, Pakistan, Jordan</w:t>
      </w:r>
      <w:r w:rsidR="005853A9">
        <w:rPr>
          <w:kern w:val="0"/>
          <w:szCs w:val="24"/>
        </w:rPr>
        <w:t xml:space="preserve"> and </w:t>
      </w:r>
      <w:r>
        <w:rPr>
          <w:kern w:val="0"/>
          <w:szCs w:val="24"/>
        </w:rPr>
        <w:t>Lebanon (in order</w:t>
      </w:r>
      <w:r w:rsidR="00427468">
        <w:rPr>
          <w:kern w:val="0"/>
          <w:szCs w:val="24"/>
        </w:rPr>
        <w:t xml:space="preserve"> of </w:t>
      </w:r>
      <w:r>
        <w:rPr>
          <w:kern w:val="0"/>
          <w:szCs w:val="24"/>
        </w:rPr>
        <w:t>volume), while we found no studies assessing ATM in Somalia, Djibouti</w:t>
      </w:r>
      <w:r w:rsidR="005853A9">
        <w:rPr>
          <w:kern w:val="0"/>
          <w:szCs w:val="24"/>
        </w:rPr>
        <w:t xml:space="preserve"> and </w:t>
      </w:r>
      <w:r>
        <w:rPr>
          <w:kern w:val="0"/>
          <w:szCs w:val="24"/>
        </w:rPr>
        <w:t>South Sudan, all low-income countries. Most studies focused on the rational use</w:t>
      </w:r>
      <w:r w:rsidR="00427468">
        <w:rPr>
          <w:kern w:val="0"/>
          <w:szCs w:val="24"/>
        </w:rPr>
        <w:t xml:space="preserve"> of </w:t>
      </w:r>
      <w:r>
        <w:rPr>
          <w:kern w:val="0"/>
          <w:szCs w:val="24"/>
        </w:rPr>
        <w:t>medicines, while affordability</w:t>
      </w:r>
      <w:r w:rsidR="005853A9">
        <w:rPr>
          <w:kern w:val="0"/>
          <w:szCs w:val="24"/>
        </w:rPr>
        <w:t xml:space="preserve"> and </w:t>
      </w:r>
      <w:r>
        <w:rPr>
          <w:kern w:val="0"/>
          <w:szCs w:val="24"/>
        </w:rPr>
        <w:t>financing received limited attention</w:t>
      </w:r>
      <w:r w:rsidR="00A37C1D">
        <w:rPr>
          <w:kern w:val="0"/>
          <w:szCs w:val="24"/>
        </w:rPr>
        <w:t>. The</w:t>
      </w:r>
      <w:r>
        <w:rPr>
          <w:kern w:val="0"/>
          <w:szCs w:val="24"/>
        </w:rPr>
        <w:t>re was a steady growth over time in the number</w:t>
      </w:r>
      <w:r w:rsidR="00427468">
        <w:rPr>
          <w:kern w:val="0"/>
          <w:szCs w:val="24"/>
        </w:rPr>
        <w:t xml:space="preserve"> of </w:t>
      </w:r>
      <w:r>
        <w:rPr>
          <w:kern w:val="0"/>
          <w:szCs w:val="24"/>
        </w:rPr>
        <w:t>ATM publications in the region (r=0.87). Conclusions There is a growing trend, over the years,</w:t>
      </w:r>
      <w:r w:rsidR="00427468">
        <w:rPr>
          <w:kern w:val="0"/>
          <w:szCs w:val="24"/>
        </w:rPr>
        <w:t xml:space="preserve"> of </w:t>
      </w:r>
      <w:r>
        <w:rPr>
          <w:kern w:val="0"/>
          <w:szCs w:val="24"/>
        </w:rPr>
        <w:t>more studies from the region appearing in international journals</w:t>
      </w:r>
      <w:r w:rsidR="00A37C1D">
        <w:rPr>
          <w:kern w:val="0"/>
          <w:szCs w:val="24"/>
        </w:rPr>
        <w:t>. The</w:t>
      </w:r>
      <w:r>
        <w:rPr>
          <w:kern w:val="0"/>
          <w:szCs w:val="24"/>
        </w:rPr>
        <w:t>re is a need for further research on the financing</w:t>
      </w:r>
      <w:r w:rsidR="005853A9">
        <w:rPr>
          <w:kern w:val="0"/>
          <w:szCs w:val="24"/>
        </w:rPr>
        <w:t xml:space="preserve"> and </w:t>
      </w:r>
      <w:r>
        <w:rPr>
          <w:kern w:val="0"/>
          <w:szCs w:val="24"/>
        </w:rPr>
        <w:t>affordability aspects</w:t>
      </w:r>
      <w:r w:rsidR="00427468">
        <w:rPr>
          <w:kern w:val="0"/>
          <w:szCs w:val="24"/>
        </w:rPr>
        <w:t xml:space="preserve"> of </w:t>
      </w:r>
      <w:r>
        <w:rPr>
          <w:kern w:val="0"/>
          <w:szCs w:val="24"/>
        </w:rPr>
        <w:t>ATM in the region. Cross-border issues</w:t>
      </w:r>
      <w:r w:rsidR="005853A9">
        <w:rPr>
          <w:kern w:val="0"/>
          <w:szCs w:val="24"/>
        </w:rPr>
        <w:t xml:space="preserve"> and </w:t>
      </w:r>
      <w:r>
        <w:rPr>
          <w:kern w:val="0"/>
          <w:szCs w:val="24"/>
        </w:rPr>
        <w:t>the roles</w:t>
      </w:r>
      <w:r w:rsidR="00427468">
        <w:rPr>
          <w:kern w:val="0"/>
          <w:szCs w:val="24"/>
        </w:rPr>
        <w:t xml:space="preserve"> of </w:t>
      </w:r>
      <w:r>
        <w:rPr>
          <w:kern w:val="0"/>
          <w:szCs w:val="24"/>
        </w:rPr>
        <w:t>non-health sectors in access to medicines in the region have not been explored widely.</w:t>
      </w:r>
    </w:p>
    <w:p w:rsidR="00056516" w:rsidRDefault="00056516" w:rsidP="00056516">
      <w:pPr>
        <w:pStyle w:val="a3"/>
        <w:rPr>
          <w:kern w:val="0"/>
          <w:szCs w:val="24"/>
        </w:rPr>
      </w:pPr>
      <w:r>
        <w:rPr>
          <w:kern w:val="0"/>
          <w:szCs w:val="24"/>
        </w:rPr>
        <w:t>Keywords: Access, Affordability, Assessing, Attention, Bibliographic, British, Citation, Country, Criteria, Data, Drug-Use, Eastern Mediterranean, Emr, England, Epidemiology, Evidence, Extraction, Financing, Framework, Growth, Health, Health Services Administration &amp; Management, Health System, Health-Care, House, Impact, Information, Information Sources, International, Iran, Issues, Jordan, Journals, Lebanon, London, Management, Medicine, Mediterranean, Origin, Pakistan, Physicians, Prescribing Indicators, Prescriptions, Prices, Program, Public Health, Publication, Publications, Pubmed, Region, Research, Results, Review, Science, Science Citation Index, Social Science Citation Index, Sources, Synthesis, System, Trend, Volume, WHO</w:t>
      </w:r>
    </w:p>
    <w:p w:rsidR="004B7C79" w:rsidRDefault="004B7C79" w:rsidP="004B7C79">
      <w:pPr>
        <w:pStyle w:val="a3"/>
        <w:rPr>
          <w:kern w:val="0"/>
          <w:szCs w:val="24"/>
        </w:rPr>
      </w:pPr>
      <w:r>
        <w:rPr>
          <w:kern w:val="0"/>
        </w:rPr>
        <w:lastRenderedPageBreak/>
        <w:t>? Hao, N.B., He, Y.F., Luo, G., Yong, X., Zhang, Y. and Yang, S.M. (2013), Macrophage migration inhibitory factor polymorphism and the risk</w:t>
      </w:r>
      <w:r w:rsidR="00427468">
        <w:rPr>
          <w:kern w:val="0"/>
        </w:rPr>
        <w:t xml:space="preserve"> of </w:t>
      </w:r>
      <w:r>
        <w:rPr>
          <w:kern w:val="0"/>
        </w:rPr>
        <w:t>ulcerative colitis and Crohn</w:t>
      </w:r>
      <w:r w:rsidR="00700038">
        <w:rPr>
          <w:kern w:val="0"/>
        </w:rPr>
        <w:t>’</w:t>
      </w:r>
      <w:r>
        <w:rPr>
          <w:kern w:val="0"/>
        </w:rPr>
        <w:t xml:space="preserve">s disease in Asian and European populations: A meta-analysis. </w:t>
      </w:r>
      <w:r>
        <w:rPr>
          <w:i/>
          <w:iCs/>
          <w:kern w:val="0"/>
        </w:rPr>
        <w:t>BMJ Open</w:t>
      </w:r>
      <w:r>
        <w:rPr>
          <w:kern w:val="0"/>
        </w:rPr>
        <w:t xml:space="preserve">, </w:t>
      </w:r>
      <w:r>
        <w:rPr>
          <w:b/>
          <w:bCs/>
          <w:kern w:val="0"/>
        </w:rPr>
        <w:t>3</w:t>
      </w:r>
      <w:r>
        <w:rPr>
          <w:kern w:val="0"/>
        </w:rPr>
        <w:t xml:space="preserve"> (12</w:t>
      </w:r>
      <w:r>
        <w:rPr>
          <w:rFonts w:hint="eastAsia"/>
          <w:kern w:val="0"/>
        </w:rPr>
        <w:t>)</w:t>
      </w:r>
      <w:r>
        <w:rPr>
          <w:rFonts w:hint="eastAsia"/>
          <w:kern w:val="0"/>
          <w:szCs w:val="24"/>
        </w:rPr>
        <w:t>,</w:t>
      </w:r>
      <w:r w:rsidRPr="00BD47B6">
        <w:t xml:space="preserve"> </w:t>
      </w:r>
      <w:r w:rsidRPr="00BD47B6">
        <w:rPr>
          <w:kern w:val="0"/>
          <w:szCs w:val="24"/>
        </w:rPr>
        <w:t>Article Number:</w:t>
      </w:r>
      <w:r>
        <w:rPr>
          <w:rFonts w:hint="eastAsia"/>
          <w:kern w:val="0"/>
          <w:szCs w:val="24"/>
        </w:rPr>
        <w:t xml:space="preserve"> </w:t>
      </w:r>
      <w:r w:rsidRPr="00797E4C">
        <w:rPr>
          <w:kern w:val="0"/>
          <w:szCs w:val="24"/>
        </w:rPr>
        <w:t>e003729</w:t>
      </w:r>
      <w:r>
        <w:rPr>
          <w:kern w:val="0"/>
          <w:szCs w:val="24"/>
        </w:rPr>
        <w:t>.</w:t>
      </w:r>
    </w:p>
    <w:p w:rsidR="004B7C79" w:rsidRDefault="004B7C79" w:rsidP="004B7C79">
      <w:pPr>
        <w:pStyle w:val="a3"/>
        <w:rPr>
          <w:kern w:val="0"/>
        </w:rPr>
      </w:pPr>
      <w:r>
        <w:rPr>
          <w:rFonts w:hint="eastAsia"/>
          <w:kern w:val="0"/>
        </w:rPr>
        <w:t xml:space="preserve">Full Text: </w:t>
      </w:r>
      <w:hyperlink r:id="rId1753" w:history="1">
        <w:r w:rsidRPr="00C13AF6">
          <w:rPr>
            <w:rStyle w:val="a5"/>
            <w:kern w:val="0"/>
          </w:rPr>
          <w:t>2013\BMJ Ope3, e003729.pdf</w:t>
        </w:r>
      </w:hyperlink>
    </w:p>
    <w:p w:rsidR="004B7C79" w:rsidRDefault="004B7C79" w:rsidP="004B7C79">
      <w:pPr>
        <w:pStyle w:val="a3"/>
        <w:rPr>
          <w:kern w:val="0"/>
        </w:rPr>
      </w:pPr>
      <w:r>
        <w:rPr>
          <w:kern w:val="0"/>
        </w:rPr>
        <w:t>Abstract: Objective: To determine whether macrophage migration inhibitory factor (MIF) gene polymorphism is associated with the risk</w:t>
      </w:r>
      <w:r w:rsidR="00427468">
        <w:rPr>
          <w:kern w:val="0"/>
        </w:rPr>
        <w:t xml:space="preserve"> of </w:t>
      </w:r>
      <w:r>
        <w:rPr>
          <w:kern w:val="0"/>
        </w:rPr>
        <w:t>inflammatory bowel disease (IBD). Design: System review and meta-analysis. Methods: MEDLINE, EMBASE, Web</w:t>
      </w:r>
      <w:r w:rsidR="00427468">
        <w:rPr>
          <w:kern w:val="0"/>
        </w:rPr>
        <w:t xml:space="preserve"> of </w:t>
      </w:r>
      <w:r>
        <w:rPr>
          <w:kern w:val="0"/>
        </w:rPr>
        <w:t>Science databases, Cochrane Library and the Chinese Biomedical Literature database (CBM) were searched for the case-control trails for MIF and IBD. All the studies included in this manuscript met the inclusion and exclusion criteria. An OR analysis using a 95% CI was employed to assess the association</w:t>
      </w:r>
      <w:r w:rsidR="00427468">
        <w:rPr>
          <w:kern w:val="0"/>
        </w:rPr>
        <w:t xml:space="preserve"> of </w:t>
      </w:r>
      <w:r>
        <w:rPr>
          <w:kern w:val="0"/>
        </w:rPr>
        <w:t>the MIF-173 G/C polymorphism with IBD susceptibility. Results: There was a significant association between the MIF-173 G/C gene polymorphism and IBD in the total population under the recessive model (CC vs GC +GG; OR=1.75, CI 1.04 to 2.95, p=0.04 for heterogeneity) and the codominant model (CC vs GG; OR=1.74, CI 1.02 to 2.97, p=0.04 for heterogeneity). In the stratified analysis by ethnicity, significantly increased risks were observed for Asians using the recessive (OR=1.75, CI 1.04 to 2.95, p=0.04 for heterogeneity) and codominant models (OR=1.74, CI 1.02 to 2.97, p=0.04 for heterogeneity). Within the subgroups</w:t>
      </w:r>
      <w:r w:rsidR="00427468">
        <w:rPr>
          <w:kern w:val="0"/>
        </w:rPr>
        <w:t xml:space="preserve"> of </w:t>
      </w:r>
      <w:r>
        <w:rPr>
          <w:kern w:val="0"/>
        </w:rPr>
        <w:t>UC and CD, significant differences were observed regarding UC using the recessive (OR=1.60, CI 1.09 to 2.35, p=0.02 for heterogeneity) and codominant models (OR=1.64, CI 1.12 to 2.41, p=0.01 for heterogeneity). In the stratified analysis by ethnicity for UC, significant differences were observed regarding CC in Asians vs GC+GG (OR=1.73, CI 1.02 to 2.94, p=0.04 for heterogeneity). Conclusions: The meta-analysis suggested that the MIF-173 G/C polymorphism contributed to the susceptibility</w:t>
      </w:r>
      <w:r w:rsidR="00427468">
        <w:rPr>
          <w:kern w:val="0"/>
        </w:rPr>
        <w:t xml:space="preserve"> of </w:t>
      </w:r>
      <w:r>
        <w:rPr>
          <w:kern w:val="0"/>
        </w:rPr>
        <w:t>IBD. When considering the subgroups</w:t>
      </w:r>
      <w:r w:rsidR="00427468">
        <w:rPr>
          <w:kern w:val="0"/>
        </w:rPr>
        <w:t xml:space="preserve"> of </w:t>
      </w:r>
      <w:r>
        <w:rPr>
          <w:kern w:val="0"/>
        </w:rPr>
        <w:t>ethnicity and UC and CD, the results suggested that the polymorphism is more significant for UC in Asians.</w:t>
      </w:r>
    </w:p>
    <w:p w:rsidR="004B7C79" w:rsidRDefault="004B7C79" w:rsidP="004B7C79">
      <w:pPr>
        <w:pStyle w:val="a3"/>
        <w:rPr>
          <w:kern w:val="0"/>
        </w:rPr>
      </w:pPr>
      <w:r>
        <w:rPr>
          <w:kern w:val="0"/>
        </w:rPr>
        <w:t>Keywords: Analysis, Asian, Association, Biomedical, Bowel, Case-Control, Cd, Chinese, Criteria, Crohn</w:t>
      </w:r>
      <w:r w:rsidR="00700038">
        <w:rPr>
          <w:kern w:val="0"/>
        </w:rPr>
        <w:t>’</w:t>
      </w:r>
      <w:r>
        <w:rPr>
          <w:rFonts w:hint="eastAsia"/>
          <w:kern w:val="0"/>
        </w:rPr>
        <w:t>s</w:t>
      </w:r>
      <w:r>
        <w:rPr>
          <w:kern w:val="0"/>
        </w:rPr>
        <w:t xml:space="preserve"> Disease, Database, Databases, Design, Disease, Embase, Ethnicity, Gene, Gene Polymorphism, Heterogeneity, Inflammatory Bowel Disease, Literature, Macrophage, Macrophage Migration Inhibitory Factor, Medline, Meta Analysis, Meta-Analysis, Metaanalysis, Methods, Migration, Model, Models, Polymorphism, Population, Populations, Results, Review, Risk, Risks, Science, Ulcerative Colitis, Web</w:t>
      </w:r>
      <w:r w:rsidR="00427468">
        <w:rPr>
          <w:kern w:val="0"/>
        </w:rPr>
        <w:t xml:space="preserve"> of </w:t>
      </w:r>
      <w:r>
        <w:rPr>
          <w:kern w:val="0"/>
        </w:rPr>
        <w:t>Science, Web</w:t>
      </w:r>
      <w:r w:rsidR="00427468">
        <w:rPr>
          <w:kern w:val="0"/>
        </w:rPr>
        <w:t xml:space="preserve"> of </w:t>
      </w:r>
      <w:r>
        <w:rPr>
          <w:kern w:val="0"/>
        </w:rPr>
        <w:t>Science Databases</w:t>
      </w:r>
    </w:p>
    <w:p w:rsidR="00431680" w:rsidRDefault="00431680" w:rsidP="00431680">
      <w:pPr>
        <w:pStyle w:val="a3"/>
        <w:rPr>
          <w:kern w:val="0"/>
          <w:szCs w:val="24"/>
        </w:rPr>
      </w:pPr>
      <w:r>
        <w:rPr>
          <w:kern w:val="0"/>
        </w:rPr>
        <w:t xml:space="preserve">? Ye, B., Du, T.T., Xie, T., Ji, J.T., Zheng, Z.H., Liao, Z., Hu, L.H. and Li, Z.S. (2014), Scientific publications in respiratory journals from Chinese authors in various parts of North Asia: A 10-year survey of literature. </w:t>
      </w:r>
      <w:r>
        <w:rPr>
          <w:i/>
          <w:iCs/>
          <w:kern w:val="0"/>
        </w:rPr>
        <w:t>BMJ Open</w:t>
      </w:r>
      <w:r>
        <w:rPr>
          <w:kern w:val="0"/>
        </w:rPr>
        <w:t xml:space="preserve">, </w:t>
      </w:r>
      <w:r>
        <w:rPr>
          <w:b/>
          <w:bCs/>
          <w:kern w:val="0"/>
        </w:rPr>
        <w:t>4</w:t>
      </w:r>
      <w:r>
        <w:rPr>
          <w:kern w:val="0"/>
        </w:rPr>
        <w:t xml:space="preserve"> (2)</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55473E">
        <w:rPr>
          <w:kern w:val="0"/>
          <w:szCs w:val="24"/>
        </w:rPr>
        <w:t>e004201</w:t>
      </w:r>
      <w:r>
        <w:rPr>
          <w:kern w:val="0"/>
          <w:szCs w:val="24"/>
        </w:rPr>
        <w:t>.</w:t>
      </w:r>
    </w:p>
    <w:p w:rsidR="00431680" w:rsidRDefault="00431680" w:rsidP="00431680">
      <w:pPr>
        <w:pStyle w:val="a3"/>
        <w:rPr>
          <w:kern w:val="0"/>
        </w:rPr>
      </w:pPr>
      <w:r>
        <w:rPr>
          <w:rFonts w:hint="eastAsia"/>
          <w:kern w:val="0"/>
        </w:rPr>
        <w:lastRenderedPageBreak/>
        <w:t xml:space="preserve">Full Text: </w:t>
      </w:r>
      <w:hyperlink r:id="rId1754" w:history="1">
        <w:r w:rsidRPr="00AA07EE">
          <w:rPr>
            <w:rStyle w:val="a5"/>
            <w:kern w:val="0"/>
          </w:rPr>
          <w:t>2014\BMJ Ope4, e004201.pdf</w:t>
        </w:r>
      </w:hyperlink>
    </w:p>
    <w:p w:rsidR="00431680" w:rsidRDefault="00431680" w:rsidP="00431680">
      <w:pPr>
        <w:pStyle w:val="a3"/>
        <w:rPr>
          <w:kern w:val="0"/>
        </w:rPr>
      </w:pPr>
      <w:r>
        <w:rPr>
          <w:kern w:val="0"/>
        </w:rPr>
        <w:t>Abstract: Objectives Respiratory disease remains one of the leading causes of morbidity and mortality in China. However, little is known about the research status of respirology in three major regions of ChinaMainland (ML), Hong Kong (HK) and Taiwan (TW). A 10-year survey of literature was conducted to compare the three regions</w:t>
      </w:r>
      <w:r w:rsidR="00700038">
        <w:rPr>
          <w:kern w:val="0"/>
        </w:rPr>
        <w:t>’</w:t>
      </w:r>
      <w:r>
        <w:rPr>
          <w:kern w:val="0"/>
        </w:rPr>
        <w:t xml:space="preserve"> outputs in the research of respirology. Design A bibliometric study. Setting China. Participants and outcome measures A literature search in PubMed database, updated as of September 2012, led to the identification of the related articles from 2000 to 2009</w:t>
      </w:r>
      <w:r w:rsidR="00A37C1D">
        <w:rPr>
          <w:kern w:val="0"/>
        </w:rPr>
        <w:t>. The</w:t>
      </w:r>
      <w:r>
        <w:rPr>
          <w:kern w:val="0"/>
        </w:rPr>
        <w:t xml:space="preserve"> number of total articles, randomised controlled trials, case reports, meta-analysis, impact factors (IF), citations and articles published in top general medicine journals was collected for quantity and quality comparisons. Results 2208 articles were collected, 814 from ML, 909 from TW and 485 from HK</w:t>
      </w:r>
      <w:r w:rsidR="00A37C1D">
        <w:rPr>
          <w:kern w:val="0"/>
        </w:rPr>
        <w:t>. The</w:t>
      </w:r>
      <w:r>
        <w:rPr>
          <w:kern w:val="0"/>
        </w:rPr>
        <w:t xml:space="preserve"> total number of articles from the three regions has increased significantly from 2000 to 2009</w:t>
      </w:r>
      <w:r w:rsidR="00A37C1D">
        <w:rPr>
          <w:kern w:val="0"/>
        </w:rPr>
        <w:t>. The</w:t>
      </w:r>
      <w:r>
        <w:rPr>
          <w:kern w:val="0"/>
        </w:rPr>
        <w:t xml:space="preserve"> number of articles published per year from ML has exceeded that from HK in 2005 and TW in 2008</w:t>
      </w:r>
      <w:r w:rsidR="00A37C1D">
        <w:rPr>
          <w:kern w:val="0"/>
        </w:rPr>
        <w:t>. The</w:t>
      </w:r>
      <w:r>
        <w:rPr>
          <w:kern w:val="0"/>
        </w:rPr>
        <w:t xml:space="preserve"> accumulated IF of articles from TW (3192.417) was much higher than that from ML (2409.956) and HK (1898.312). HK got the highest average IF of respirology articles and the majority of articles were published in top general medicine journals. Conclusions The total number of published articles from the three major regions of China has increased notably from 2000 to 2009</w:t>
      </w:r>
      <w:r w:rsidR="00A37C1D">
        <w:rPr>
          <w:kern w:val="0"/>
        </w:rPr>
        <w:t>. The</w:t>
      </w:r>
      <w:r>
        <w:rPr>
          <w:kern w:val="0"/>
        </w:rPr>
        <w:t xml:space="preserve"> annual number of publications by ML researchers exceeded those from TW and HK. However, the quality of articles from TW and HK is better than that from ML.</w:t>
      </w:r>
    </w:p>
    <w:p w:rsidR="00431680" w:rsidRDefault="00431680" w:rsidP="00431680">
      <w:pPr>
        <w:pStyle w:val="a3"/>
        <w:rPr>
          <w:kern w:val="0"/>
        </w:rPr>
      </w:pPr>
      <w:r>
        <w:rPr>
          <w:kern w:val="0"/>
        </w:rPr>
        <w:t>Keywords: Air-Pollution, Articles, Asia, Asthma, Authors, Bibliometric, Bibliometric Analysis, Bibliometric Study, Case Reports, China, Chinese, Citations, Database, Design, Disease, Epidemiology, General, Health, Hong Kong, Identification, Impact, Impact Factors, Internal Medicine, Journals, Literature, Literature Search, Measures, Medical History, Medicine, Meta Analysis, Meta-Analysis, Metaanalysis, Morbidity, Mortality, North, Outcome, Outcome Measures, Publications, Published Articles, Pubmed, Quality, Quality Of, Randomised, Randomised Controlled Trials, Research, Respiratory Medicine (See Thoracic Medicine), Results, Scientific Publications, Survey, Taiwan</w:t>
      </w:r>
    </w:p>
    <w:p w:rsidR="00431680" w:rsidRDefault="00431680" w:rsidP="00431680">
      <w:pPr>
        <w:pStyle w:val="a3"/>
        <w:rPr>
          <w:kern w:val="0"/>
          <w:szCs w:val="24"/>
        </w:rPr>
      </w:pPr>
      <w:r>
        <w:rPr>
          <w:kern w:val="0"/>
        </w:rPr>
        <w:t xml:space="preserve">? Meads, C., Nyssen, O.P., Wong, G., Steed, L., Bourke, L., Ross, C.A., Hayman, S., Field, V., Lord, J., Greenhalgh, T. and Taylor, S.J.C. (2014), Protocol for an HTA report: Does therapeutic writing help people with long-term conditions? Systematic review, realist synthesis and economic modelling. </w:t>
      </w:r>
      <w:r>
        <w:rPr>
          <w:i/>
          <w:iCs/>
          <w:kern w:val="0"/>
        </w:rPr>
        <w:t>BMJ Open</w:t>
      </w:r>
      <w:r>
        <w:rPr>
          <w:kern w:val="0"/>
        </w:rPr>
        <w:t xml:space="preserve">, </w:t>
      </w:r>
      <w:r>
        <w:rPr>
          <w:b/>
          <w:bCs/>
          <w:kern w:val="0"/>
        </w:rPr>
        <w:t>4</w:t>
      </w:r>
      <w:r>
        <w:rPr>
          <w:kern w:val="0"/>
        </w:rPr>
        <w:t xml:space="preserve"> (2)</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55473E">
        <w:rPr>
          <w:kern w:val="0"/>
          <w:szCs w:val="24"/>
        </w:rPr>
        <w:t>e004377</w:t>
      </w:r>
      <w:r>
        <w:rPr>
          <w:kern w:val="0"/>
          <w:szCs w:val="24"/>
        </w:rPr>
        <w:t>.</w:t>
      </w:r>
    </w:p>
    <w:p w:rsidR="00431680" w:rsidRDefault="00431680" w:rsidP="00431680">
      <w:pPr>
        <w:pStyle w:val="a3"/>
        <w:rPr>
          <w:kern w:val="0"/>
        </w:rPr>
      </w:pPr>
      <w:r>
        <w:rPr>
          <w:rFonts w:hint="eastAsia"/>
          <w:kern w:val="0"/>
        </w:rPr>
        <w:t xml:space="preserve">Full Text: </w:t>
      </w:r>
      <w:hyperlink r:id="rId1755" w:history="1">
        <w:r w:rsidRPr="00AA07EE">
          <w:rPr>
            <w:rStyle w:val="a5"/>
            <w:kern w:val="0"/>
          </w:rPr>
          <w:t>2014\BMJ Ope4, e004377.pdf</w:t>
        </w:r>
      </w:hyperlink>
    </w:p>
    <w:p w:rsidR="00431680" w:rsidRDefault="00431680" w:rsidP="00431680">
      <w:pPr>
        <w:pStyle w:val="a3"/>
        <w:rPr>
          <w:kern w:val="0"/>
        </w:rPr>
      </w:pPr>
      <w:r>
        <w:rPr>
          <w:kern w:val="0"/>
        </w:rPr>
        <w:t xml:space="preserve">Abstract: Introduction Long-term medical conditions (LTCs) cause reduced health-related quality of life and considerable health service expenditure. Writing therapy has potential to improve physical and mental health in people with LTCs, but </w:t>
      </w:r>
      <w:r>
        <w:rPr>
          <w:kern w:val="0"/>
        </w:rPr>
        <w:lastRenderedPageBreak/>
        <w:t>its effectiveness is not established. This project aims to establish the clinical and cost-effectiveness of therapeutic writing in LTCs by systematic review and economic evaluation, and to evaluate context and mechanisms by which it might work, through realist synthesis. Methods Included are any comparative study of therapeutic writing compared with no writing, waiting list, attention control or placebo writing in patients with any diagnosed LTCs that report at least one of the following: relevant clinical outcomes; quality of life; health service use; psychological, behavioural or social functioning; adherence or adverse events. Searches will be conducted in the main medical databases including MEDLINE, EMBASE, PsycINFO, The Cochrane Library and Science Citation Index. For the realist review, further purposive and iterative searches through snowballing techniques will be undertaken. Inclusions, data extraction and quality assessment will be in duplicate with disagreements resolved through discussion. Quality assessment will include using Grading of Recommendations Assessment, Development and Evaluation (GRADE) criteria. Data synthesis will be narrative and tabular with meta-analysis where appropriate. De novo economic modelling will be attempted in one clinical area if sufficient evidence is available and performed according to the National Institute for Health and Care Excellence (NICE) reference case.</w:t>
      </w:r>
    </w:p>
    <w:p w:rsidR="00431680" w:rsidRDefault="00431680" w:rsidP="00431680">
      <w:pPr>
        <w:pStyle w:val="a3"/>
        <w:rPr>
          <w:kern w:val="0"/>
        </w:rPr>
      </w:pPr>
      <w:r>
        <w:rPr>
          <w:kern w:val="0"/>
        </w:rPr>
        <w:t>Keywords: Adherence, Assessment, Attempted, Attention, Citation, Clinical, Clinical Outcomes, Comparative Study, Context, Control, Cost Effectiveness, Cost-Effectiveness, Criteria, Data, Databases, De Novo, Economic, Economic Evaluation, Economic Modelling, Effectiveness, Embase, Emotional Disclosure, Evaluation, Events, Evidence, Excellence, Extraction, Grade, Health, Health-Care, Health-Related Quality Of Life, HTA, Life, Long Term, Long-Term, Mechanisms, Medical, Medline, Mental Health, Meta Analysis, Meta-Analysis, Metaanalysis, Methods, Modelling, Outcomes, Patients, Physical, Placebo, Potential, Programs, Protocol, Psychological, Psycinfo, Public Health, Quality, Quality Assessment, Quality Of, Quality Of Life, Realist Review, Reference, Review, Science, Science Citation Index, Service, Social, Synthesis, Systematic, Systematic Review, Techniques, Therapeutic, Therapy, Work, Writing</w:t>
      </w:r>
    </w:p>
    <w:p w:rsidR="00431680" w:rsidRDefault="00431680" w:rsidP="00431680">
      <w:pPr>
        <w:pStyle w:val="a3"/>
        <w:rPr>
          <w:kern w:val="0"/>
          <w:szCs w:val="24"/>
        </w:rPr>
      </w:pPr>
      <w:r>
        <w:rPr>
          <w:kern w:val="0"/>
        </w:rPr>
        <w:t xml:space="preserve">? Kagina, B.M., Wiysonge, C.S., Machingaidze, S., Abdullahi, L.H., Adebayo, E., Uthman, O.A. and Hussey, G.D. (2014), The use of supplementary immunisation activities to improve uptake of current and future vaccines in low-income and middle-income countries: A systematic review protocol. </w:t>
      </w:r>
      <w:r>
        <w:rPr>
          <w:i/>
          <w:iCs/>
          <w:kern w:val="0"/>
        </w:rPr>
        <w:t>BMJ Open</w:t>
      </w:r>
      <w:r>
        <w:rPr>
          <w:kern w:val="0"/>
        </w:rPr>
        <w:t xml:space="preserve">, </w:t>
      </w:r>
      <w:r>
        <w:rPr>
          <w:b/>
          <w:bCs/>
          <w:kern w:val="0"/>
        </w:rPr>
        <w:t>4</w:t>
      </w:r>
      <w:r>
        <w:rPr>
          <w:kern w:val="0"/>
        </w:rPr>
        <w:t xml:space="preserve"> (2)</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97342A">
        <w:rPr>
          <w:kern w:val="0"/>
          <w:szCs w:val="24"/>
        </w:rPr>
        <w:t>e004429</w:t>
      </w:r>
      <w:r>
        <w:rPr>
          <w:kern w:val="0"/>
          <w:szCs w:val="24"/>
        </w:rPr>
        <w:t>.</w:t>
      </w:r>
    </w:p>
    <w:p w:rsidR="00431680" w:rsidRDefault="00431680" w:rsidP="00431680">
      <w:pPr>
        <w:pStyle w:val="a3"/>
        <w:rPr>
          <w:kern w:val="0"/>
        </w:rPr>
      </w:pPr>
      <w:r>
        <w:rPr>
          <w:rFonts w:hint="eastAsia"/>
          <w:kern w:val="0"/>
        </w:rPr>
        <w:t xml:space="preserve">Full Text: </w:t>
      </w:r>
      <w:hyperlink r:id="rId1756" w:history="1">
        <w:r w:rsidRPr="00AA07EE">
          <w:rPr>
            <w:rStyle w:val="a5"/>
            <w:kern w:val="0"/>
          </w:rPr>
          <w:t>2014\BMJ Ope4, e004429.pdf</w:t>
        </w:r>
      </w:hyperlink>
    </w:p>
    <w:p w:rsidR="00431680" w:rsidRDefault="00431680" w:rsidP="00431680">
      <w:pPr>
        <w:pStyle w:val="a3"/>
        <w:rPr>
          <w:kern w:val="0"/>
        </w:rPr>
      </w:pPr>
      <w:r>
        <w:rPr>
          <w:kern w:val="0"/>
        </w:rPr>
        <w:t xml:space="preserve">Abstract: Introduction Immunisation coverage data in low-income and middle-income countries (LMICs) suggest that more strategies need to be implemented to achieve and sustain optimal vaccine uptake. Among possible strategies to improve </w:t>
      </w:r>
      <w:r>
        <w:rPr>
          <w:kern w:val="0"/>
        </w:rPr>
        <w:lastRenderedPageBreak/>
        <w:t>immunisation coverage are supplementary immunisation activities (SIAs). We are therefore interested in conducting a systematic review to assess whether SIAs complement routine immunisation programmes to improve vaccination coverage and prevent disease outbreaks. Methods Our systematic review will focus on studies conducted in LMICs. With the help of an information specialist, we will search for eligible studies in PubMed, Web of Science, Scopus, Africa-Wide, Cochrane Library, WHOLIS, CINAHL, PDQ-Evidence as well as reference lists of relevant publications. Additionally, we will contact relevant organisations such as WHO and GAVI. Two authors will independently extract data from eligible studies and independently assess risk of bias by assessing the adequacy of study characteristics</w:t>
      </w:r>
      <w:r w:rsidR="00A37C1D">
        <w:rPr>
          <w:kern w:val="0"/>
        </w:rPr>
        <w:t>. The</w:t>
      </w:r>
      <w:r>
        <w:rPr>
          <w:kern w:val="0"/>
        </w:rPr>
        <w:t xml:space="preserve"> primary meta-analysis will use random effects models due to expected interstudies heterogeneity. Dichotomous data will be analysed using relative risk and continuous data using weighted mean differences (or standardised mean differences), both with 95% CIs. Discussion The findings from this systematic review will be discussed in the context of strengthening routine childhood immunisation services, routine adolescent immunisation services and introduction of future vaccines against tuberculosis and HIV/AIDS. Study strengths Unbiased selection of many studies conducted in different settings. This will strengthen the validity of the review results. Study limitations Heterogeneity of the study settings of the low-income, lower-middle-income and upper-middle-income countries as well as heterogeneity in study designs.</w:t>
      </w:r>
    </w:p>
    <w:p w:rsidR="00431680" w:rsidRDefault="00431680" w:rsidP="00431680">
      <w:pPr>
        <w:pStyle w:val="a3"/>
        <w:rPr>
          <w:kern w:val="0"/>
        </w:rPr>
      </w:pPr>
      <w:r>
        <w:rPr>
          <w:kern w:val="0"/>
        </w:rPr>
        <w:t>Keywords: Accelerated Measles Control, Adequacy, Adolescent, Assessing, Authors, Bias, Campaigns, Characteristics, Childhood, Context, Coverage, Data, Disease, Effects, Heterogeneity, HIV, AIDS, Impact, Information, Meta Analysis, Meta-Analysis, Metaanalyses, Metaanalysis, Methods, Migration, Models, Polio Eradication, Prevent, Preventive Medicine, Primary, Programmes, Protocol, Public Health, Publications, Pubmed, Reference, Reference Lists, Relative Risk, Review, Risk, Science, Scopus, Selection, Services, South-Africa, Sub-Saharan Africa, Systematic, Systematic Review, Tuberculosis, Uptake, Vaccination, Vaccine, Vaccines, Validity, Web Of Science, Who</w:t>
      </w:r>
    </w:p>
    <w:p w:rsidR="00431680" w:rsidRDefault="00431680" w:rsidP="00431680">
      <w:pPr>
        <w:pStyle w:val="a3"/>
        <w:rPr>
          <w:kern w:val="0"/>
          <w:szCs w:val="24"/>
        </w:rPr>
      </w:pPr>
      <w:r>
        <w:rPr>
          <w:rFonts w:hint="eastAsia"/>
          <w:kern w:val="0"/>
        </w:rPr>
        <w:t xml:space="preserve">? </w:t>
      </w:r>
      <w:r>
        <w:rPr>
          <w:kern w:val="0"/>
        </w:rPr>
        <w:t xml:space="preserve">Rodrigues, S.P., van Eck, N.J., Waltman, L. and Jansen, F.W. (2014), Mapping patient safety: A large-scale literature review using bibliometric visualisation techniques. </w:t>
      </w:r>
      <w:r>
        <w:rPr>
          <w:i/>
          <w:iCs/>
          <w:kern w:val="0"/>
        </w:rPr>
        <w:t>BMJ Open</w:t>
      </w:r>
      <w:r>
        <w:rPr>
          <w:kern w:val="0"/>
        </w:rPr>
        <w:t xml:space="preserve">, </w:t>
      </w:r>
      <w:r>
        <w:rPr>
          <w:b/>
          <w:bCs/>
          <w:kern w:val="0"/>
        </w:rPr>
        <w:t>4</w:t>
      </w:r>
      <w:r>
        <w:rPr>
          <w:kern w:val="0"/>
        </w:rPr>
        <w:t xml:space="preserve"> (3</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28109F">
        <w:t>e004468</w:t>
      </w:r>
      <w:r>
        <w:rPr>
          <w:kern w:val="0"/>
          <w:szCs w:val="24"/>
        </w:rPr>
        <w:t>.</w:t>
      </w:r>
    </w:p>
    <w:p w:rsidR="00431680" w:rsidRDefault="00431680" w:rsidP="00431680">
      <w:pPr>
        <w:pStyle w:val="a3"/>
        <w:rPr>
          <w:kern w:val="0"/>
        </w:rPr>
      </w:pPr>
      <w:r>
        <w:rPr>
          <w:rFonts w:hint="eastAsia"/>
          <w:kern w:val="0"/>
        </w:rPr>
        <w:t xml:space="preserve">Full Text: </w:t>
      </w:r>
      <w:hyperlink r:id="rId1757" w:history="1">
        <w:r w:rsidRPr="00756D9B">
          <w:rPr>
            <w:rStyle w:val="a5"/>
            <w:kern w:val="0"/>
          </w:rPr>
          <w:t>2014\BMJ Ope4, e004468.pdf</w:t>
        </w:r>
      </w:hyperlink>
    </w:p>
    <w:p w:rsidR="00431680" w:rsidRDefault="00431680" w:rsidP="00431680">
      <w:pPr>
        <w:pStyle w:val="a3"/>
        <w:rPr>
          <w:kern w:val="0"/>
        </w:rPr>
      </w:pPr>
      <w:r>
        <w:rPr>
          <w:kern w:val="0"/>
        </w:rPr>
        <w:t xml:space="preserve">Abstract: Background The amount of scientific literature available is often overwhelming, making it difficult for researchers to have a good overview of the literature and to see relations between different developments. Visualisation techniques based on bibliometric data are helpful in obtaining an overview of the literature on complex research topics, and have been applied here to the topic of </w:t>
      </w:r>
      <w:r>
        <w:rPr>
          <w:kern w:val="0"/>
        </w:rPr>
        <w:lastRenderedPageBreak/>
        <w:t>patient safety (PS). Methods On the basis of title words and citation relations, publications in the period 2000-2010 related to PS were identified in the Scopus bibliographic database. A visualisation of the most frequently cited PS publications was produced based on direct and indirect citation relations between publications. Terms were extracted from titles and abstracts of the publications, and a visualisation of the most important terms was created</w:t>
      </w:r>
      <w:r w:rsidR="00A37C1D">
        <w:rPr>
          <w:kern w:val="0"/>
        </w:rPr>
        <w:t>. The</w:t>
      </w:r>
      <w:r>
        <w:rPr>
          <w:kern w:val="0"/>
        </w:rPr>
        <w:t xml:space="preserve"> main PS-related topics studied in the literature were identified using a technique for clustering publications and terms. Results A total of 8480 publications were identified, of which the 1462 most frequently cited ones were included in the visualisation</w:t>
      </w:r>
      <w:r w:rsidR="00A37C1D">
        <w:rPr>
          <w:kern w:val="0"/>
        </w:rPr>
        <w:t>. The</w:t>
      </w:r>
      <w:r>
        <w:rPr>
          <w:kern w:val="0"/>
        </w:rPr>
        <w:t xml:space="preserve"> publications were clustered into 19 clusters, which were grouped into three categories: (1) magnitude of PS problems (42% of all included publications); (2) PS risk factors (31%) and (3) implementation of solutions (19%). In the visualisation of PS-related terms, five clusters were identified: (1) medication; (2) measuring harm; (3) PS culture; (4) physician; (5) training, education and communication. Both analysis at publication and term level indicate an increasing focus on risk factors. Conclusions A bibliometric visualisation approach makes it possible to analyse large amounts of literature. This approach is very useful for improving one</w:t>
      </w:r>
      <w:r w:rsidR="00700038">
        <w:rPr>
          <w:kern w:val="0"/>
        </w:rPr>
        <w:t>’</w:t>
      </w:r>
      <w:r>
        <w:rPr>
          <w:kern w:val="0"/>
        </w:rPr>
        <w:t>s understanding of a complex research topic such as PS and for suggesting new research directions or alternative research priorities. For PS research, the approach suggests that more research on implementing PS improvement initiatives might be needed.</w:t>
      </w:r>
    </w:p>
    <w:p w:rsidR="00431680" w:rsidRDefault="00431680" w:rsidP="00431680">
      <w:pPr>
        <w:pStyle w:val="a3"/>
        <w:rPr>
          <w:kern w:val="0"/>
        </w:rPr>
      </w:pPr>
      <w:r>
        <w:rPr>
          <w:kern w:val="0"/>
        </w:rPr>
        <w:t>Keywords: 2000-2010, Alternative, Analysis, Approach, Bibliographic, Bibliometric, Bibliometric Data, Citation, Clustering, Communication, Culture, Data, Database, Education, Implementation, Improvement, Literature, Literature Review, Magnitude, Mapping, Methods, Overview, Patient Safety, Physician, Publication, Publications, Relations, Research, Research Priorities, Results, Review, Risk, Risk Factors, Safety, Scientific Literature, Scopus, Solutions, Techniques, Term, Topic, Training, Understanding, Visualisation</w:t>
      </w:r>
    </w:p>
    <w:p w:rsidR="00383B08" w:rsidRDefault="00383B08" w:rsidP="00383B08">
      <w:pPr>
        <w:pStyle w:val="a3"/>
        <w:rPr>
          <w:kern w:val="0"/>
          <w:szCs w:val="24"/>
        </w:rPr>
      </w:pPr>
      <w:r>
        <w:rPr>
          <w:rFonts w:hint="eastAsia"/>
          <w:kern w:val="0"/>
        </w:rPr>
        <w:t xml:space="preserve">? </w:t>
      </w:r>
      <w:r>
        <w:rPr>
          <w:kern w:val="0"/>
        </w:rPr>
        <w:t xml:space="preserve">Dzudie, A., Kengne, A.P., Thienemann, F. and Sliwa, K. (2014), Predictors of hospitalisations for heart failure and mortality in patients with pulmonary hypertension associated with left heart disease: A systematic review. </w:t>
      </w:r>
      <w:r>
        <w:rPr>
          <w:i/>
          <w:iCs/>
          <w:kern w:val="0"/>
        </w:rPr>
        <w:t>BMJ Open</w:t>
      </w:r>
      <w:r>
        <w:rPr>
          <w:kern w:val="0"/>
        </w:rPr>
        <w:t xml:space="preserve">, </w:t>
      </w:r>
      <w:r>
        <w:rPr>
          <w:b/>
          <w:bCs/>
          <w:kern w:val="0"/>
        </w:rPr>
        <w:t>4</w:t>
      </w:r>
      <w:r>
        <w:rPr>
          <w:kern w:val="0"/>
        </w:rPr>
        <w:t xml:space="preserve"> (7</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DF1C6F">
        <w:t>e004843</w:t>
      </w:r>
      <w:r>
        <w:rPr>
          <w:kern w:val="0"/>
          <w:szCs w:val="24"/>
        </w:rPr>
        <w:t>.</w:t>
      </w:r>
    </w:p>
    <w:p w:rsidR="00383B08" w:rsidRDefault="00383B08" w:rsidP="00383B08">
      <w:pPr>
        <w:pStyle w:val="a3"/>
        <w:rPr>
          <w:kern w:val="0"/>
        </w:rPr>
      </w:pPr>
      <w:r>
        <w:rPr>
          <w:rFonts w:hint="eastAsia"/>
          <w:kern w:val="0"/>
        </w:rPr>
        <w:t xml:space="preserve">Full Text: </w:t>
      </w:r>
      <w:hyperlink r:id="rId1758" w:history="1">
        <w:r w:rsidR="006E0460" w:rsidRPr="006E0460">
          <w:rPr>
            <w:rStyle w:val="a5"/>
            <w:kern w:val="0"/>
          </w:rPr>
          <w:t>2014\BMJ Ope4, e004843.pdf</w:t>
        </w:r>
      </w:hyperlink>
    </w:p>
    <w:p w:rsidR="00383B08" w:rsidRDefault="00383B08" w:rsidP="00383B08">
      <w:pPr>
        <w:pStyle w:val="a3"/>
        <w:rPr>
          <w:kern w:val="0"/>
        </w:rPr>
      </w:pPr>
      <w:r>
        <w:rPr>
          <w:kern w:val="0"/>
        </w:rPr>
        <w:t xml:space="preserve">Abstract: Objectives: Left heart disease (LHD) is the main cause of pulmonary hypertension (PH), but little is known regarding the predictors of adverse outcome of PH associated with LHD (PH-LHD). We conducted a systematic review to investigate the predictors of hospitalisations for heart failure and mortality in patients with PH-LHD. Design: Systematic review. Data sources: PubMed MEDLINE and SCOPUS from inception to August 2013 were searched, and citations identified via the ISI Web of Science. Study selection: Studies that reported on hospitalisation </w:t>
      </w:r>
      <w:r>
        <w:rPr>
          <w:kern w:val="0"/>
        </w:rPr>
        <w:lastRenderedPageBreak/>
        <w:t>and/or mortality in patients with PH-LHD were included if the age of participants was greater than 18 years and PH was diagnosed using Doppler echocardiography and/or right heart catheterisation. Two reviewers independently selected studies, assessed their quality and extracted relevant data. Results: In all, 45 studies (38 from Europe and USA) were included among which 71.1% were of high quality. 39 studies were published between 2003 and 2013. The number of participants across studies ranged from 46 to 2385; the proportion of men from 21% to 91%; mean/median age from 63 to 82 years; and prevalence of PH from 7% to 83.3%. PH was consistently associated with increased mortality risk in all forms of LHD, except for aortic valve disease where findings were inconsistent. Six of the nine studies with data available on hospitalisations reported a significant adverse effect of PH on hospitalisation risk. Other predictors of adverse outcome were very broad and heterogeneous including right ventricular dysfunction, functional class, left ventricular function and presence of kidney disease. Conclusions: PH is almost invariably associated with increased mortality risk in patients with LHD. However, effects on hospitalisation risk are yet to be fully characterised; while available evidence on the adverse effects of PH have been derived essentially from Caucasians.</w:t>
      </w:r>
    </w:p>
    <w:p w:rsidR="00383B08" w:rsidRDefault="00383B08" w:rsidP="00383B08">
      <w:pPr>
        <w:pStyle w:val="a3"/>
        <w:rPr>
          <w:kern w:val="0"/>
        </w:rPr>
      </w:pPr>
      <w:r>
        <w:rPr>
          <w:kern w:val="0"/>
        </w:rPr>
        <w:t>Keywords: Adverse Effects, Adverse Outcome, Age, Citations, Data, Design, Disease, Doppler, Doppler Echocardiography, Echocardiography, Effects, Europe, Evidence, Failure, Forms, Function, Heart, Heart Failure, Hypertension, Isi, Isi Web Of Science, Kidney, Kidney Disease, Left Ventricular Function, Medline, Men, Mortality, Outcome, Patients, Ph, Predictors, Prevalence, Pubmed, Pulmonary Hypertension, Quality, Results, Review, Reviewers, Right, Risk, Science, Scopus, Selection, Sources, Systematic, Systematic Review, USA, Web Of Science</w:t>
      </w:r>
    </w:p>
    <w:p w:rsidR="00383B08" w:rsidRDefault="00383B08" w:rsidP="00383B08">
      <w:pPr>
        <w:pStyle w:val="a3"/>
        <w:rPr>
          <w:kern w:val="0"/>
          <w:szCs w:val="24"/>
        </w:rPr>
      </w:pPr>
      <w:r>
        <w:rPr>
          <w:rFonts w:hint="eastAsia"/>
          <w:kern w:val="0"/>
        </w:rPr>
        <w:t xml:space="preserve">? </w:t>
      </w:r>
      <w:r>
        <w:rPr>
          <w:kern w:val="0"/>
        </w:rPr>
        <w:t xml:space="preserve">Ni, G.Z., Qin, J.M., Fang, Z.Y., Chen, Y.S., Chen, Z.Y., Zhou, J.Q. and Zhou, L.M. (2014), Increased homocysteine levels in valproate-treated patients with epilepsy: A meta-analysis. </w:t>
      </w:r>
      <w:r>
        <w:rPr>
          <w:i/>
          <w:iCs/>
          <w:kern w:val="0"/>
        </w:rPr>
        <w:t>BMJ Open</w:t>
      </w:r>
      <w:r>
        <w:rPr>
          <w:kern w:val="0"/>
        </w:rPr>
        <w:t xml:space="preserve">, </w:t>
      </w:r>
      <w:r>
        <w:rPr>
          <w:b/>
          <w:bCs/>
          <w:kern w:val="0"/>
        </w:rPr>
        <w:t>4</w:t>
      </w:r>
      <w:r>
        <w:rPr>
          <w:kern w:val="0"/>
        </w:rPr>
        <w:t xml:space="preserve"> (7</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DF1C6F">
        <w:t>e004936</w:t>
      </w:r>
      <w:r>
        <w:rPr>
          <w:kern w:val="0"/>
          <w:szCs w:val="24"/>
        </w:rPr>
        <w:t>.</w:t>
      </w:r>
    </w:p>
    <w:p w:rsidR="00383B08" w:rsidRDefault="00383B08" w:rsidP="00383B08">
      <w:pPr>
        <w:pStyle w:val="a3"/>
        <w:rPr>
          <w:kern w:val="0"/>
        </w:rPr>
      </w:pPr>
      <w:r>
        <w:rPr>
          <w:rFonts w:hint="eastAsia"/>
          <w:kern w:val="0"/>
        </w:rPr>
        <w:t xml:space="preserve">Full Text: </w:t>
      </w:r>
      <w:hyperlink r:id="rId1759" w:history="1">
        <w:r w:rsidR="006E0460" w:rsidRPr="006E0460">
          <w:rPr>
            <w:rStyle w:val="a5"/>
            <w:kern w:val="0"/>
          </w:rPr>
          <w:t>2014\BMJ Ope4, e004936.pdf</w:t>
        </w:r>
      </w:hyperlink>
    </w:p>
    <w:p w:rsidR="00383B08" w:rsidRDefault="00383B08" w:rsidP="00383B08">
      <w:pPr>
        <w:pStyle w:val="a3"/>
        <w:rPr>
          <w:kern w:val="0"/>
        </w:rPr>
      </w:pPr>
      <w:r>
        <w:rPr>
          <w:kern w:val="0"/>
        </w:rPr>
        <w:t xml:space="preserve">Abstract: Objective: To determine whether valproate (VPA) monotherapy influences homocysteine metabolism in patients with epilepsy. Design: Systematic review and meta-analysis. Data sources: We searched all articles in English through PubMed, Web of Science and EMBASE published up to August 2013 concerning the homocysteine levels in VPA monotherapeutic patients with epilepsy. Participants: VPA-treated patients with epilepsy (n=266) and matched healthy controls (n=489). Outcome measures: Heterogeneity between studies was assessed using I-2 statistics. Pooled standardised mean difference (SMD) and 95% CIs were calculated using a random effect model. Results: A total of eight eligible studies were enrolled in our meta-analysis. We compared the plasma levels of homocysteine in VPA-treated </w:t>
      </w:r>
      <w:r>
        <w:rPr>
          <w:kern w:val="0"/>
        </w:rPr>
        <w:lastRenderedPageBreak/>
        <w:t>patients with epilepsy and healthy controls. There was significant heterogeneity in the estimates according to the I-2 test (I-2=65.6%, p=0.005). Plasma homocysteine levels in VPA-treated patients with epilepsy were significantly higher than in healthy controls under a random effect model. (SMD, 0.62; 95% CI 0.32 to 0.92). Further subgroup analyses suggested that no significant differences were present when grouped by ethnicity and age, but the risk of heterogeneity in the West Asian group (I-2=47.4%, p=0.107) was diminished when compared with that of the overall group (I-2=65.6%, p=0.005). Conclusions: Our meta-analysis indicates that VPA monotherapy is associated with the increase in plasma homocysteine levels in patients with epilepsy. Whether this association is influenced by ethnicity needs further research.</w:t>
      </w:r>
    </w:p>
    <w:p w:rsidR="00383B08" w:rsidRDefault="00383B08" w:rsidP="00383B08">
      <w:pPr>
        <w:pStyle w:val="a3"/>
        <w:rPr>
          <w:kern w:val="0"/>
        </w:rPr>
      </w:pPr>
      <w:r>
        <w:rPr>
          <w:kern w:val="0"/>
        </w:rPr>
        <w:t>Keywords: Age, Analyses, Articles, Asian, Association, Data, Design, Embase, English, Epilepsy, Estimates, Ethnicity, Heterogeneity, Homocysteine, Measures, Meta Analysis, Meta-Analysis, Metaanalysis, Metabolism, Model, Needs, Outcome, Patients, Plasma, Pubmed, Research, Results, Review, Risk, Science, Sources, Statistics, Systematic Review, Web Of Science</w:t>
      </w:r>
    </w:p>
    <w:p w:rsidR="00383B08" w:rsidRDefault="00383B08" w:rsidP="00383B08">
      <w:pPr>
        <w:pStyle w:val="a3"/>
        <w:rPr>
          <w:kern w:val="0"/>
          <w:szCs w:val="24"/>
        </w:rPr>
      </w:pPr>
      <w:r>
        <w:rPr>
          <w:rFonts w:hint="eastAsia"/>
          <w:kern w:val="0"/>
        </w:rPr>
        <w:t xml:space="preserve">? </w:t>
      </w:r>
      <w:r>
        <w:rPr>
          <w:kern w:val="0"/>
        </w:rPr>
        <w:t xml:space="preserve">Niu, Y.J., Wen, Y.T., Shen, W.W., Deng, L., Liu, L.L. and Zhang, H.L. (2014), Risk factors for bone metastasis in patients with primary lung cancer: study protocol for a systematic review. </w:t>
      </w:r>
      <w:r>
        <w:rPr>
          <w:i/>
          <w:iCs/>
          <w:kern w:val="0"/>
        </w:rPr>
        <w:t>BMJ Open</w:t>
      </w:r>
      <w:r>
        <w:rPr>
          <w:kern w:val="0"/>
        </w:rPr>
        <w:t xml:space="preserve">, </w:t>
      </w:r>
      <w:r>
        <w:rPr>
          <w:b/>
          <w:bCs/>
          <w:kern w:val="0"/>
        </w:rPr>
        <w:t>4</w:t>
      </w:r>
      <w:r>
        <w:rPr>
          <w:kern w:val="0"/>
        </w:rPr>
        <w:t xml:space="preserve"> (7</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DF1C6F">
        <w:t>e005202</w:t>
      </w:r>
      <w:r>
        <w:rPr>
          <w:kern w:val="0"/>
          <w:szCs w:val="24"/>
        </w:rPr>
        <w:t>.</w:t>
      </w:r>
    </w:p>
    <w:p w:rsidR="00383B08" w:rsidRDefault="00383B08" w:rsidP="00383B08">
      <w:pPr>
        <w:pStyle w:val="a3"/>
        <w:rPr>
          <w:kern w:val="0"/>
        </w:rPr>
      </w:pPr>
      <w:r>
        <w:rPr>
          <w:rFonts w:hint="eastAsia"/>
          <w:kern w:val="0"/>
        </w:rPr>
        <w:t xml:space="preserve">Full Text: </w:t>
      </w:r>
      <w:hyperlink r:id="rId1760" w:history="1">
        <w:r w:rsidR="006E0460" w:rsidRPr="006E0460">
          <w:rPr>
            <w:rStyle w:val="a5"/>
            <w:kern w:val="0"/>
          </w:rPr>
          <w:t>2014\BMJ Ope4, e005202.pdf</w:t>
        </w:r>
      </w:hyperlink>
    </w:p>
    <w:p w:rsidR="00383B08" w:rsidRDefault="00383B08" w:rsidP="00383B08">
      <w:pPr>
        <w:pStyle w:val="a3"/>
        <w:rPr>
          <w:kern w:val="0"/>
        </w:rPr>
      </w:pPr>
      <w:r>
        <w:rPr>
          <w:kern w:val="0"/>
        </w:rPr>
        <w:t>Abstract: Introduction: Bone metastasis (BM) in patients with primary lung cancer poses a serious health problem. Numerous risk factors have been hypothesised to predict BM in these patients, but research studies are of mutable quality, and may not be of value in clinical evaluation. Methods and analysis: We will search a number of electronic databases including PubMed, MEDLINE, Web of Science, EMBASE, the Cochrane Library (Cochrane Database of Systematic Reviews) and the Cochrane Central Register of Controlled Trials (CENTRAL). We will carry out a secondary search for articles from references of included articles (from January 1990 to June 2014). Primary and secondary outcomes will be BM and skeletal-related events information. We will summarise the effect estimates of risk factors and use random-effect models to pool the estimates, if the outcomes and characteristics in studies are comparable. The quality of the study will be assessed using the Newcastle-Ottawa Scale and the Cochrane Collaboration tool.</w:t>
      </w:r>
    </w:p>
    <w:p w:rsidR="00383B08" w:rsidRDefault="00383B08" w:rsidP="00383B08">
      <w:pPr>
        <w:pStyle w:val="a3"/>
        <w:rPr>
          <w:kern w:val="0"/>
        </w:rPr>
      </w:pPr>
      <w:r>
        <w:rPr>
          <w:kern w:val="0"/>
        </w:rPr>
        <w:t xml:space="preserve">Keywords: Analysis, Articles, Bone, Cancer, Characteristics, Clinical, Cochrane Collaboration, Collaboration, Database, Databases, Embase, Estimates, Evaluation, Events, Health, Health Problem, Information, Lung, Lung Cancer, Medline, Metastasis, Methods, Models, Outcomes, Patients, Primary, Protocol, Pubmed, Quality, Quality Of, References, Research, Review, Risk, Risk Factors, Scale, Science, Systematic, Systematic Review, Systematic Reviews, Value, Web Of </w:t>
      </w:r>
      <w:r>
        <w:rPr>
          <w:kern w:val="0"/>
        </w:rPr>
        <w:lastRenderedPageBreak/>
        <w:t>Science</w:t>
      </w:r>
    </w:p>
    <w:p w:rsidR="00383B08" w:rsidRDefault="00383B08" w:rsidP="00383B08">
      <w:pPr>
        <w:pStyle w:val="a3"/>
        <w:rPr>
          <w:kern w:val="0"/>
          <w:szCs w:val="24"/>
        </w:rPr>
      </w:pPr>
      <w:r>
        <w:rPr>
          <w:rFonts w:hint="eastAsia"/>
          <w:kern w:val="0"/>
        </w:rPr>
        <w:t xml:space="preserve">? </w:t>
      </w:r>
      <w:r>
        <w:rPr>
          <w:kern w:val="0"/>
        </w:rPr>
        <w:t xml:space="preserve">Lopes, L.C., Silva, M.C.O., Motta, C.B., Quiros, A.M., Biavatti, M.W., de Oliveira, J.C. and Guyatt, G. (2014), Brazilian medicinal plants to treat upper respiratory tract and bronchial illness: Systematic review and meta-analyses-study protocol. </w:t>
      </w:r>
      <w:r>
        <w:rPr>
          <w:i/>
          <w:iCs/>
          <w:kern w:val="0"/>
        </w:rPr>
        <w:t>BMJ Open</w:t>
      </w:r>
      <w:r>
        <w:rPr>
          <w:kern w:val="0"/>
        </w:rPr>
        <w:t xml:space="preserve">, </w:t>
      </w:r>
      <w:r>
        <w:rPr>
          <w:b/>
          <w:bCs/>
          <w:kern w:val="0"/>
        </w:rPr>
        <w:t>4</w:t>
      </w:r>
      <w:r>
        <w:rPr>
          <w:kern w:val="0"/>
        </w:rPr>
        <w:t xml:space="preserve"> (7</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DF1C6F">
        <w:t>e005267</w:t>
      </w:r>
      <w:r>
        <w:rPr>
          <w:kern w:val="0"/>
          <w:szCs w:val="24"/>
        </w:rPr>
        <w:t>.</w:t>
      </w:r>
    </w:p>
    <w:p w:rsidR="00383B08" w:rsidRDefault="00383B08" w:rsidP="00383B08">
      <w:pPr>
        <w:pStyle w:val="a3"/>
        <w:rPr>
          <w:kern w:val="0"/>
        </w:rPr>
      </w:pPr>
      <w:r>
        <w:rPr>
          <w:rFonts w:hint="eastAsia"/>
          <w:kern w:val="0"/>
        </w:rPr>
        <w:t xml:space="preserve">Full Text: </w:t>
      </w:r>
      <w:hyperlink r:id="rId1761" w:history="1">
        <w:r w:rsidR="006E0460" w:rsidRPr="006E0460">
          <w:rPr>
            <w:rStyle w:val="a5"/>
            <w:kern w:val="0"/>
          </w:rPr>
          <w:t>2014\BMJ Ope4, e005267.pdf</w:t>
        </w:r>
      </w:hyperlink>
    </w:p>
    <w:p w:rsidR="00383B08" w:rsidRDefault="00383B08" w:rsidP="00383B08">
      <w:pPr>
        <w:pStyle w:val="a3"/>
        <w:rPr>
          <w:kern w:val="0"/>
        </w:rPr>
      </w:pPr>
      <w:r>
        <w:rPr>
          <w:kern w:val="0"/>
        </w:rPr>
        <w:t>Abstract: Introduction: Respiratory illness, often associated with cough and sputum, is frequent. In Brazil, herbal medicines are often recommended as a first-line treatment for respiratory illness. There exists uncertainty regarding the effectiveness of these treatments. No systematic review has evaluated Brazilian medicinal plants (BMP) to treat upper respiratory tract and bronchial illness (URTI). Methods and analysis: We will conduct a systematic review and, if appropriate, a series of meta-analyses evaluating the safety and effectiveness of BMP for URTI. Eligible randomised controlled trials and observational studies will enrol adult or paediatric patients presenting with URTI treated by BMP approved by the Brazilian Health Surveillance Agency compared with placebo, no treatment or an alternative therapy. Our search will include the Cochrane Central Register of Controlled Trials (CENTRAL), which contains the Cochrane Acute Respiratory Illness Group’s Specialized Register; MEDLINE; EMBASE; CINAHL (Cumulative Index to Nursing and Allied Health Literature); Web of Science; AMED; LILACS; CAB abstracts; clinical trial. gov; the WHO Trial Register and the Brazilian thesis database (CAPES) without any language restrictions. Outcomes of interest are time to resolution of clinical symptoms and/or signs (cough, sputum production or activity limitations), severity of symptoms prior to resolution and major/minor adverse events. Teams of reviewers will, independently and in duplicate, screen titles and abstracts and the complete full text to determine eligibility. For eligible studies, reviewers will perform data abstraction and assess risk of bias of eligible trials. When appropriate, we will conduct meta-analyses. We will also assess the quality of body of evidence (confidence in estimates of effect) for each of the outcomes using the Grading of Recommendations Assessment, Development and Evaluation (GRADE) approach. Ethics and dissemination: The systematic review will be published in a peer-reviewed journal. Brief reports of review findings will be disseminated directly to appropriate audiences via email and other modes of communication. The review will guide healthcare practice and policy in Brazil.</w:t>
      </w:r>
    </w:p>
    <w:p w:rsidR="00383B08" w:rsidRDefault="00383B08" w:rsidP="00383B08">
      <w:pPr>
        <w:pStyle w:val="a3"/>
        <w:rPr>
          <w:kern w:val="0"/>
        </w:rPr>
      </w:pPr>
      <w:r>
        <w:rPr>
          <w:kern w:val="0"/>
        </w:rPr>
        <w:t xml:space="preserve">Keywords: Activity, Adult, Adverse Events, Agency, Alternative, Alternative Therapy, Analysis, Approach, Assessment, Bias, Bmp, Brazil, Brief Reports, Cab, Clinical, Clinical Trial, Communication, Complete, Confidence, Cough, Data, Database, Effectiveness, Embase, Estimates, Ethics, Evaluation, Events, Evidence, Grade, Health, Herbal Medicines, Journal, Language, Literature, Medicinal Plants, Medline, </w:t>
      </w:r>
      <w:r>
        <w:rPr>
          <w:kern w:val="0"/>
        </w:rPr>
        <w:lastRenderedPageBreak/>
        <w:t>Methods, Nursing, Observational, Observational Studies, Outcomes, Patients, Peer-Reviewed, Placebo, Plants, Policy, Practice, Protocol, Quality, Quality Of, Randomised, Randomised Controlled Trials, Restrictions, Review, Reviewers, Risk, Safety, Science, Sputum, Surveillance, Symptoms, Systematic, Systematic Review, Therapy, Thesis, Treatment, Trial, Uncertainty, Web Of Science, Who</w:t>
      </w:r>
    </w:p>
    <w:p w:rsidR="00383B08" w:rsidRDefault="00383B08" w:rsidP="00383B08">
      <w:pPr>
        <w:pStyle w:val="a3"/>
        <w:rPr>
          <w:kern w:val="0"/>
          <w:szCs w:val="24"/>
        </w:rPr>
      </w:pPr>
      <w:r>
        <w:rPr>
          <w:rFonts w:hint="eastAsia"/>
          <w:kern w:val="0"/>
        </w:rPr>
        <w:t xml:space="preserve">? </w:t>
      </w:r>
      <w:r>
        <w:rPr>
          <w:kern w:val="0"/>
        </w:rPr>
        <w:t xml:space="preserve">Ford, J.A., Shyangdan, D., Uthman, O.A., Lois, N. and Waugh, N. (2014), Drug treatment of macular oedema secondary to central retinal vein occlusion: A network meta-analysis. </w:t>
      </w:r>
      <w:r>
        <w:rPr>
          <w:i/>
          <w:iCs/>
          <w:kern w:val="0"/>
        </w:rPr>
        <w:t>BMJ Open</w:t>
      </w:r>
      <w:r>
        <w:rPr>
          <w:kern w:val="0"/>
        </w:rPr>
        <w:t xml:space="preserve">, </w:t>
      </w:r>
      <w:r>
        <w:rPr>
          <w:b/>
          <w:bCs/>
          <w:kern w:val="0"/>
        </w:rPr>
        <w:t>4</w:t>
      </w:r>
      <w:r>
        <w:rPr>
          <w:kern w:val="0"/>
        </w:rPr>
        <w:t xml:space="preserve"> (7</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DF1C6F">
        <w:t>e005292</w:t>
      </w:r>
      <w:r>
        <w:rPr>
          <w:kern w:val="0"/>
          <w:szCs w:val="24"/>
        </w:rPr>
        <w:t>.</w:t>
      </w:r>
    </w:p>
    <w:p w:rsidR="00383B08" w:rsidRDefault="00383B08" w:rsidP="00383B08">
      <w:pPr>
        <w:pStyle w:val="a3"/>
        <w:rPr>
          <w:kern w:val="0"/>
        </w:rPr>
      </w:pPr>
      <w:r>
        <w:rPr>
          <w:rFonts w:hint="eastAsia"/>
          <w:kern w:val="0"/>
        </w:rPr>
        <w:t xml:space="preserve">Full Text: </w:t>
      </w:r>
      <w:hyperlink r:id="rId1762" w:history="1">
        <w:r w:rsidR="006E0460" w:rsidRPr="006E0460">
          <w:rPr>
            <w:rStyle w:val="a5"/>
            <w:kern w:val="0"/>
          </w:rPr>
          <w:t>2014\BMJ Ope4, e005292.pdf</w:t>
        </w:r>
      </w:hyperlink>
    </w:p>
    <w:p w:rsidR="00383B08" w:rsidRDefault="00383B08" w:rsidP="00383B08">
      <w:pPr>
        <w:pStyle w:val="a3"/>
        <w:rPr>
          <w:kern w:val="0"/>
        </w:rPr>
      </w:pPr>
      <w:r>
        <w:rPr>
          <w:kern w:val="0"/>
        </w:rPr>
        <w:t>Abstract: Objective: To indirectly compare aflibercept, bevacizumab, dexamethasone, ranibizumab and triamcinolone for treatment of macular oedema secondary to central retinal vein occlusion using a network meta-analysis (NMA). Design: NMA. Data sources: The following databases were searched from January 2005 to March 2013: MEDLINE, MEDLINE In-process, EMBASE; CDSR, DARE, HTA, NHSEED, CENTRAL; Science Citation Index and Conference Proceedings Citation Index-Science. Eligibility criteria for selecting studies: Only randomised controlled trials assessing patients with macular oedema secondary to central retinal vein occlusion were included. Studies had to report either proportions of patients gaining &gt;= 3 lines, losing &gt;= 3 lines, or the mean change in best corrected visual acuity. Two authors screened titles and abstracts, extracted data and undertook risk of bias assessment. Bayesian NMA was used to compare the different interventions. Results: Seven studies, assessing five drugs, were judged to be sufficiently comparable for inclusion in the NMA. For the proportions of patients gaining &gt;= 3 lines, triamcinolone 4 mg, ranibizumab 0.5 mg, bevacizumab 1.25 mg and aflibercept 2 mg had a higher probability of being more effective than sham and dexamethasone. A smaller proportion of patients treated with triamcinolone 4 mg, ranibizumab 0.5 mg or aflibercept 2 mg lost &gt;= 3 lines of vision compared to those treated with sham. Patients treated with triamcinolone 4 mg, ranibizumab 0.5 mg, bevacizumab 1.25 mg and aflibercept 2 mg had a higher probability of improvement in the mean best corrected visual acuity compared to those treated with sham injections. Conclusions: We found no evidence of differences between ranibizumab, aflibercept, bevacizumab and triamcinolone for improving vision. The antivascular endothelial growth factors (VEGFs) are likely to be favoured because they are not associated with steroid-induced cataract formation. Aflibercept may be preferred by clinicians because it might require fewer injections. Systematic review registration: Not registered.</w:t>
      </w:r>
    </w:p>
    <w:p w:rsidR="00383B08" w:rsidRDefault="00383B08" w:rsidP="00383B08">
      <w:pPr>
        <w:pStyle w:val="a3"/>
        <w:rPr>
          <w:kern w:val="0"/>
        </w:rPr>
      </w:pPr>
      <w:r>
        <w:rPr>
          <w:kern w:val="0"/>
        </w:rPr>
        <w:t xml:space="preserve">Keywords: Aflibercept, Assessing, Assessment, Authors, Bias, Citation, Conference, Criteria, Data, Databases, Design, Dexamethasone, Drug, Drugs, Embase, Evidence, Growth, Growth Factors, HTA, Improvement, Injections, Interventions, Medline, </w:t>
      </w:r>
      <w:r>
        <w:rPr>
          <w:kern w:val="0"/>
        </w:rPr>
        <w:lastRenderedPageBreak/>
        <w:t>Meta Analysis, Meta-Analysis, Metaanalysis, Network, Occlusion, Patients, Proceedings, Randomised, Randomised Controlled Trials, Results, Review, Risk, Science, Science Citation Index, Sources, Systematic Review, Treatment</w:t>
      </w:r>
    </w:p>
    <w:p w:rsidR="00383B08" w:rsidRDefault="00383B08" w:rsidP="00383B08">
      <w:pPr>
        <w:pStyle w:val="a3"/>
        <w:rPr>
          <w:kern w:val="0"/>
          <w:szCs w:val="24"/>
        </w:rPr>
      </w:pPr>
      <w:r>
        <w:rPr>
          <w:rFonts w:hint="eastAsia"/>
          <w:kern w:val="0"/>
        </w:rPr>
        <w:t xml:space="preserve">? </w:t>
      </w:r>
      <w:r>
        <w:rPr>
          <w:kern w:val="0"/>
        </w:rPr>
        <w:t xml:space="preserve">Liu, H., Zhou, J., Feng, Q.L., Wan, G., Xie, Y.J. and Gu, H.T. (2014), Minimally invasive endoscopic staging for mediastinal lymphadenopathy in lung cancer: A systematic review protocol. </w:t>
      </w:r>
      <w:r>
        <w:rPr>
          <w:i/>
          <w:iCs/>
          <w:kern w:val="0"/>
        </w:rPr>
        <w:t>BMJ Open</w:t>
      </w:r>
      <w:r>
        <w:rPr>
          <w:kern w:val="0"/>
        </w:rPr>
        <w:t xml:space="preserve">, </w:t>
      </w:r>
      <w:r>
        <w:rPr>
          <w:b/>
          <w:bCs/>
          <w:kern w:val="0"/>
        </w:rPr>
        <w:t>4</w:t>
      </w:r>
      <w:r>
        <w:rPr>
          <w:kern w:val="0"/>
        </w:rPr>
        <w:t xml:space="preserve"> (7</w:t>
      </w:r>
      <w:r>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DF1C6F">
        <w:t>e005707</w:t>
      </w:r>
      <w:r>
        <w:rPr>
          <w:kern w:val="0"/>
          <w:szCs w:val="24"/>
        </w:rPr>
        <w:t>.</w:t>
      </w:r>
    </w:p>
    <w:p w:rsidR="00383B08" w:rsidRDefault="00383B08" w:rsidP="00383B08">
      <w:pPr>
        <w:pStyle w:val="a3"/>
        <w:rPr>
          <w:kern w:val="0"/>
        </w:rPr>
      </w:pPr>
      <w:r>
        <w:rPr>
          <w:rFonts w:hint="eastAsia"/>
          <w:kern w:val="0"/>
        </w:rPr>
        <w:t xml:space="preserve">Full Text: </w:t>
      </w:r>
      <w:hyperlink r:id="rId1763" w:history="1">
        <w:r w:rsidRPr="00383B08">
          <w:rPr>
            <w:rStyle w:val="a5"/>
            <w:kern w:val="0"/>
          </w:rPr>
          <w:t>2014\BMJ Ope4, e005707.pdf</w:t>
        </w:r>
      </w:hyperlink>
    </w:p>
    <w:p w:rsidR="00383B08" w:rsidRDefault="00383B08" w:rsidP="00383B08">
      <w:pPr>
        <w:pStyle w:val="a3"/>
        <w:rPr>
          <w:kern w:val="0"/>
        </w:rPr>
      </w:pPr>
      <w:r>
        <w:rPr>
          <w:kern w:val="0"/>
        </w:rPr>
        <w:t>Abstract: Introduction: Minimally invasive endoscopic biopsy techniques have been widely available as potential alternatives for mediastinal lesions staging in patients with known or suspected lung cancer. Previous efforts have been made to evaluate the diagnostic performance of specific endoscopic modality alone at the level of the mediastinum for staging lung cancer, however, few studies focus on the accuracy of comparisons between different endoscopic modalities, especially at the level of any individual lymph node station. The objective of our study is to determine the diagnostic yields of different endoscopic modalities for staging mediastinal lymphadenopathy in lung cancer, especially concerning the individual lymph node station. Methods/design: A systematic electronic search of MEDLINE, EMBASE, SinoMed and ISI Web of Science were performed to identify studies evaluating endoscopic modalities accuracy with restriction of English and Chinese languages from inception to an update until May 2014. Data were extracted with the patient as the unit of analysis with regards to the abilities of different endoscopic modalities at the level of mediastinum and particular lymph node station. The methodological quality was assessed independently according to the Quality Assessment of Diagnostic Accuracy Study (QADAS) criteria. An exact binomial rendition of bivariate mixed-effects regression model was used to estimate the pooled sensitivity and specificity. Also, pre-post probability analysis, publication bias analysis and sensitivity analysis were performed for a synthesis of knowledge of this context. Dissemination: The findings will advance our better available knowledge of optimal clinical decision-making when dealing with staging of mediastinal metastasis in lung cancer.</w:t>
      </w:r>
    </w:p>
    <w:p w:rsidR="00383B08" w:rsidRDefault="00383B08" w:rsidP="00383B08">
      <w:pPr>
        <w:pStyle w:val="a3"/>
        <w:rPr>
          <w:kern w:val="0"/>
        </w:rPr>
      </w:pPr>
      <w:r>
        <w:rPr>
          <w:kern w:val="0"/>
        </w:rPr>
        <w:t>Keywords: Accuracy, Advance, Alternatives, Analysis, Assessment, Bias, Biopsy, Cancer, Chinese, Clinical, Context, Criteria, Data, Decision Making, Decision-Making, Diagnostic, Dissemination, Embase, English, Invasive, Isi, Isi Web Of Science, Knowledge, Languages, Lung, Lung Cancer, Mediastinum, Medline, Metastasis, Modalities, Model, Patients, Performance, Potential, Protocol, Publication, Publication Bias, Quality, Regression, Regression Model, Review, Science, Sensitivity, Sensitivity Analysis, Specificity, Synthesis, Systematic, Systematic Review, Techniques, Web Of Science</w:t>
      </w:r>
    </w:p>
    <w:p w:rsidR="00F629DC" w:rsidRDefault="00F629DC" w:rsidP="00F629DC">
      <w:pPr>
        <w:pStyle w:val="a3"/>
        <w:rPr>
          <w:kern w:val="0"/>
          <w:szCs w:val="24"/>
        </w:rPr>
      </w:pPr>
      <w:r>
        <w:rPr>
          <w:rFonts w:hint="eastAsia"/>
          <w:kern w:val="0"/>
        </w:rPr>
        <w:t xml:space="preserve">? </w:t>
      </w:r>
      <w:r>
        <w:rPr>
          <w:kern w:val="0"/>
        </w:rPr>
        <w:t xml:space="preserve">Kahler, P., Grevstad, B., Almdal, T., Gluud, C., Wetterslev, J., Vaag, A. and </w:t>
      </w:r>
      <w:r>
        <w:rPr>
          <w:kern w:val="0"/>
        </w:rPr>
        <w:lastRenderedPageBreak/>
        <w:t xml:space="preserve">Hemmingsen, B. (2014), Targeting intensive versus conventional glycaemic control for type 1 diabetes mellitus: A systematic review with meta-analyses and trial sequential analyses of randomised clinical trials. </w:t>
      </w:r>
      <w:r>
        <w:rPr>
          <w:i/>
          <w:iCs/>
          <w:kern w:val="0"/>
        </w:rPr>
        <w:t>BMJ Open</w:t>
      </w:r>
      <w:r>
        <w:rPr>
          <w:kern w:val="0"/>
        </w:rPr>
        <w:t xml:space="preserve">, </w:t>
      </w:r>
      <w:r>
        <w:rPr>
          <w:b/>
          <w:bCs/>
          <w:kern w:val="0"/>
        </w:rPr>
        <w:t>4</w:t>
      </w:r>
      <w:r>
        <w:rPr>
          <w:kern w:val="0"/>
        </w:rPr>
        <w:t xml:space="preserve"> (8</w:t>
      </w:r>
      <w:r>
        <w:rPr>
          <w:rFonts w:hint="eastAsia"/>
          <w:kern w:val="0"/>
        </w:rPr>
        <w:t>)</w:t>
      </w:r>
      <w:r>
        <w:rPr>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F629DC">
        <w:t>e004806</w:t>
      </w:r>
      <w:r>
        <w:rPr>
          <w:kern w:val="0"/>
          <w:szCs w:val="24"/>
        </w:rPr>
        <w:t>.</w:t>
      </w:r>
    </w:p>
    <w:p w:rsidR="00F629DC" w:rsidRDefault="00F629DC" w:rsidP="00F629DC">
      <w:pPr>
        <w:pStyle w:val="a3"/>
        <w:rPr>
          <w:kern w:val="0"/>
        </w:rPr>
      </w:pPr>
      <w:r>
        <w:rPr>
          <w:rFonts w:hint="eastAsia"/>
          <w:kern w:val="0"/>
        </w:rPr>
        <w:t xml:space="preserve">Full Text: </w:t>
      </w:r>
      <w:hyperlink r:id="rId1764" w:history="1">
        <w:r w:rsidRPr="00F629DC">
          <w:rPr>
            <w:rStyle w:val="a5"/>
            <w:kern w:val="0"/>
          </w:rPr>
          <w:t>2014\BMJ Ope4, e004806.pdf</w:t>
        </w:r>
      </w:hyperlink>
    </w:p>
    <w:p w:rsidR="00F629DC" w:rsidRDefault="00F629DC" w:rsidP="00F629DC">
      <w:pPr>
        <w:pStyle w:val="a3"/>
        <w:rPr>
          <w:kern w:val="0"/>
        </w:rPr>
      </w:pPr>
      <w:r>
        <w:rPr>
          <w:kern w:val="0"/>
        </w:rPr>
        <w:t>Abstract: Objective: To assess the benefits and harms of targeting intensive versus conventional glycaemic control in patients with type 1 diabetes mellitus. Design: A systematic review with meta-analyses and trial sequential analyses of randomised clinical trials. Data sources: The Cochrane Library, MEDLINE, EMBASE, Science Citation Index Expanded and LILACS to January 2013. Study selection: Randomised clinical trials that prespecified different targets of glycaemic control in participants at any age with type 1 diabetes mellitus were included. Data extraction: Two authors independently assessed studies for inclusion and extracted data. Results: 18 randomised clinical trials included 2254 participants with type 1 diabetes mellitus. All trials had high risk of bias. There was no statistically significant effect of targeting intensive glycaemic control on all-cause mortality (risk ratio 1.16, 95% CI 0.65 to 2.08) or cardiovascular mortality (0.49, 0.19 to 1.24). Targeting intensive glycaemic control reduced the relative risks for the composite macrovascular outcome (0.63, 0.41 to 0.96; p=0.03), and nephropathy (0.37, 0.27 to 0.50; p&lt;0.00001. The effect estimates of retinopathy, ketoacidosis and retinal photocoagulation were not consistently statistically significant between random and fixed effects models. The risk of severe hypoglycaemia was significantly increased with intensive glycaemic targets (1.40, 1.01 to 1.94). Trial sequential analyses showed that the amount of data needed to demonstrate a relative risk reduction of 10% were, in general, inadequate. Conclusions: There was no significant effect towards improved all-cause mortality when targeting intensive glycaemic control compared with conventional glycaemic control. However, there may be beneficial effects of targeting intensive glycaemic control on the composite macrovascular outcome and on nephropathy, and detrimental effects on severe hypoglycaemia. Notably, the data for retinopathy and ketoacidosis were inconsistent. There was a severe lack of reporting on patient relevant outcomes, and all trials had poor bias control.</w:t>
      </w:r>
    </w:p>
    <w:p w:rsidR="00F629DC" w:rsidRDefault="00F629DC" w:rsidP="00F629DC">
      <w:pPr>
        <w:pStyle w:val="a3"/>
        <w:rPr>
          <w:kern w:val="0"/>
        </w:rPr>
      </w:pPr>
      <w:r>
        <w:rPr>
          <w:kern w:val="0"/>
        </w:rPr>
        <w:t xml:space="preserve">Keywords: Age, Analyses, Authors, Benefits, Bias, Blood-Glucose Control, Cardiovascular, Cardiovascular-Disease, Citation, Clinical, Clinical Trials, Complications-Trial, Epidemiology, Composite, Control, Conventional, Data, Design, Detrimental Effects, Diabetes, Diabetes Mellitus, Effects, Embase, Estimates, Extraction, Follow-Up, General, Glycaemic Control, Hypoglycaemia, Incipient Nephropathy, Kidney-Function, Medline, Microvascular Complications, Models, Mortality, Nephropathy, Outcome, Outcomes, Patients, Peripheral-Nerve Function, </w:t>
      </w:r>
      <w:r>
        <w:rPr>
          <w:kern w:val="0"/>
        </w:rPr>
        <w:lastRenderedPageBreak/>
        <w:t>Randomised, Reduction, Relative Risk, Reporting, Results, Review, Risk, Risks, Science, Science Citation Index, Science Citation Index Expanded, Selection, Sequential, Sources, Strict Metabolic-Control, Subcutaneous Insulin Infusion, Systematic, Systematic Review, Targeting, Trial, Type 1 Diabetes, Type 1 Diabetes Mellitus</w:t>
      </w:r>
    </w:p>
    <w:p w:rsidR="00417D28" w:rsidRDefault="00417D28" w:rsidP="00417D28">
      <w:pPr>
        <w:pStyle w:val="a3"/>
        <w:rPr>
          <w:kern w:val="0"/>
          <w:szCs w:val="24"/>
        </w:rPr>
      </w:pPr>
      <w:r>
        <w:rPr>
          <w:rFonts w:hint="eastAsia"/>
          <w:kern w:val="0"/>
        </w:rPr>
        <w:t xml:space="preserve">? </w:t>
      </w:r>
      <w:r>
        <w:rPr>
          <w:kern w:val="0"/>
        </w:rPr>
        <w:t xml:space="preserve">McFarland, L.V. (2014), Use of probiotics to correct dysbiosis of normal microbiota following disease or disruptive events: A systematic review. </w:t>
      </w:r>
      <w:r>
        <w:rPr>
          <w:i/>
          <w:iCs/>
          <w:kern w:val="0"/>
        </w:rPr>
        <w:t>BMJ Open</w:t>
      </w:r>
      <w:r>
        <w:rPr>
          <w:kern w:val="0"/>
        </w:rPr>
        <w:t xml:space="preserve">, </w:t>
      </w:r>
      <w:r>
        <w:rPr>
          <w:b/>
          <w:bCs/>
          <w:kern w:val="0"/>
        </w:rPr>
        <w:t>4</w:t>
      </w:r>
      <w:r>
        <w:rPr>
          <w:kern w:val="0"/>
        </w:rPr>
        <w:t xml:space="preserve"> (8</w:t>
      </w:r>
      <w:r>
        <w:rPr>
          <w:rFonts w:hint="eastAsia"/>
          <w:kern w:val="0"/>
        </w:rPr>
        <w:t>)</w:t>
      </w:r>
      <w:r>
        <w:rPr>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6C6428">
        <w:t>e005047</w:t>
      </w:r>
      <w:r>
        <w:rPr>
          <w:kern w:val="0"/>
          <w:szCs w:val="24"/>
        </w:rPr>
        <w:t>.</w:t>
      </w:r>
    </w:p>
    <w:p w:rsidR="00417D28" w:rsidRDefault="00417D28" w:rsidP="00417D28">
      <w:pPr>
        <w:pStyle w:val="a3"/>
        <w:rPr>
          <w:kern w:val="0"/>
        </w:rPr>
      </w:pPr>
      <w:r>
        <w:rPr>
          <w:rFonts w:hint="eastAsia"/>
          <w:kern w:val="0"/>
        </w:rPr>
        <w:t xml:space="preserve">Full Text: </w:t>
      </w:r>
      <w:hyperlink r:id="rId1765" w:history="1">
        <w:r w:rsidRPr="00417D28">
          <w:rPr>
            <w:rStyle w:val="a5"/>
            <w:kern w:val="0"/>
          </w:rPr>
          <w:t>2014\BMJ Ope4, e005047.pdf</w:t>
        </w:r>
      </w:hyperlink>
    </w:p>
    <w:p w:rsidR="00417D28" w:rsidRDefault="00417D28" w:rsidP="00417D28">
      <w:pPr>
        <w:pStyle w:val="a3"/>
        <w:rPr>
          <w:kern w:val="0"/>
        </w:rPr>
      </w:pPr>
      <w:r>
        <w:rPr>
          <w:kern w:val="0"/>
        </w:rPr>
        <w:t>Abstract: Objective: To assess the evidence for the claim probiotics can correct dysbiosis of the normal microbiota resulting from disease or disruptive events. Setting: Systematic review of published clinical trials of patients receiving a probiotic intervention for the prevention or treatment of various diseases. Data sources: Sources searched (1985-2013): PubMed, EMBASE, Cochrane Database of Systematic Reviews, CINAHL, AMED and ISI Web of Science. Three on-line clinical trial registries were searched: Cochrane Central Register of Controlled trials, MetaRegister of Controlled Trials and National Institutes of Health. Review methods: Included studies were randomised clinical trials of probiotic interventions having microbiological assays. Studies were evaluated following Preferred Reporting Items for Systematic Reviews and Meta-Analyses guidelines for specific probiotic strains. A standard data extraction form was used to collect the raw data. Outcome measures: The primary outcome is the degree of microbiota correction by specific probiotic strains. Secondary outcome was the association between the degree of dysbiosis correction and clinical efficacy. Results: The review of the literature found three distinct study designs: model A (restoration) assayed patients enrolled with a healthy, undisturbed microbiota and then assayed postdisruptive event and probiotic therapy; model B (alteration) assayed patients with pre-existing disrupted microbiota and then postprobiotic therapy; model C (no dysbiosis) assayed volunteers with no disruptive event prebiotic and postprobiotic. From a total of 63 trials, 83% of the probiotic products using model A restored the microbiota, 56% using model B improved the microbiota and only 21% using model C had any effect on microbiota. Clinical efficacy was more commonly associated with strains capable of restoration of the normal microbiota. Conclusions: The ability to assess the degree of dysbiosis improvement is dependent on the enrolled population and the timing of microbiological assays. The functional claim for correcting dysbiosis is poorly supported for most probiotic strains and requires further research.</w:t>
      </w:r>
    </w:p>
    <w:p w:rsidR="00417D28" w:rsidRDefault="00417D28" w:rsidP="00417D28">
      <w:pPr>
        <w:pStyle w:val="a3"/>
        <w:rPr>
          <w:kern w:val="0"/>
        </w:rPr>
      </w:pPr>
      <w:r>
        <w:rPr>
          <w:kern w:val="0"/>
        </w:rPr>
        <w:t xml:space="preserve">Keywords: Antibiotic-Associated Diarrhea, Association, Bacterial Vaginosis, Bifidobacterium-Longum, Clinical, Clinical Trial, Clinical Trials, Data, Database, Disease, Diseases, Efficacy, Embase, Events, Evidence, Extraction, Fecal Microbiota, </w:t>
      </w:r>
      <w:r>
        <w:rPr>
          <w:kern w:val="0"/>
        </w:rPr>
        <w:lastRenderedPageBreak/>
        <w:t>Guidelines, Health, Human Intestinal Microflora, Improvement, Intervention, Interventions, Irritable-Bowel-Syndrome, ISI, ISI Web Of Science, Japanese Cedar Pollinosis, Lactobacillus-Plantarum 299v, Literature, Measures, Methods, Microbiota, Model, National Institutes Of Health, Normal, Normal Vaginal Flora, Online, Outcome, Patients, Population, Prebiotic, Prevention, Primary, Probiotics, Pubmed, Randomised, Registries, Research, Restoration, Results, Review, Saccharomyces-Boulardii, Science, Sources, Standard, Systematic, Systematic Review, Systematic Reviews, Therapy, Timing, Treatment, Trial, Web Of Science</w:t>
      </w:r>
    </w:p>
    <w:p w:rsidR="00417D28" w:rsidRDefault="00417D28" w:rsidP="00417D28">
      <w:pPr>
        <w:pStyle w:val="a3"/>
        <w:rPr>
          <w:kern w:val="0"/>
          <w:szCs w:val="24"/>
        </w:rPr>
      </w:pPr>
      <w:r>
        <w:rPr>
          <w:rFonts w:hint="eastAsia"/>
          <w:kern w:val="0"/>
        </w:rPr>
        <w:t xml:space="preserve">? </w:t>
      </w:r>
      <w:r>
        <w:rPr>
          <w:kern w:val="0"/>
        </w:rPr>
        <w:t xml:space="preserve">Kalan, R., Wiysonge, C.S., Ramafuthole, T., Allie, K., Ebrahim, F. and Engel, M.E. (2014), Mobile phone text messaging for improving the uptake of vaccinations: A systematic review protocol. </w:t>
      </w:r>
      <w:r>
        <w:rPr>
          <w:i/>
          <w:iCs/>
          <w:kern w:val="0"/>
        </w:rPr>
        <w:t>BMJ Open</w:t>
      </w:r>
      <w:r>
        <w:rPr>
          <w:kern w:val="0"/>
        </w:rPr>
        <w:t xml:space="preserve">, </w:t>
      </w:r>
      <w:r>
        <w:rPr>
          <w:b/>
          <w:bCs/>
          <w:kern w:val="0"/>
        </w:rPr>
        <w:t>4</w:t>
      </w:r>
      <w:r>
        <w:rPr>
          <w:kern w:val="0"/>
        </w:rPr>
        <w:t xml:space="preserve"> (8</w:t>
      </w:r>
      <w:r>
        <w:rPr>
          <w:rFonts w:hint="eastAsia"/>
          <w:kern w:val="0"/>
        </w:rPr>
        <w:t>)</w:t>
      </w:r>
      <w:r>
        <w:rPr>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417D28">
        <w:t>e005130</w:t>
      </w:r>
      <w:r>
        <w:rPr>
          <w:kern w:val="0"/>
          <w:szCs w:val="24"/>
        </w:rPr>
        <w:t>.</w:t>
      </w:r>
    </w:p>
    <w:p w:rsidR="00417D28" w:rsidRDefault="00417D28" w:rsidP="00417D28">
      <w:pPr>
        <w:pStyle w:val="a3"/>
        <w:rPr>
          <w:kern w:val="0"/>
        </w:rPr>
      </w:pPr>
      <w:r>
        <w:rPr>
          <w:rFonts w:hint="eastAsia"/>
          <w:kern w:val="0"/>
        </w:rPr>
        <w:t xml:space="preserve">Full Text: </w:t>
      </w:r>
      <w:hyperlink r:id="rId1766" w:history="1">
        <w:r w:rsidRPr="00417D28">
          <w:rPr>
            <w:rStyle w:val="a5"/>
            <w:kern w:val="0"/>
          </w:rPr>
          <w:t>2014\BMJ Ope4, e005130.pdf</w:t>
        </w:r>
      </w:hyperlink>
    </w:p>
    <w:p w:rsidR="00417D28" w:rsidRDefault="00417D28" w:rsidP="00417D28">
      <w:pPr>
        <w:pStyle w:val="a3"/>
        <w:rPr>
          <w:kern w:val="0"/>
        </w:rPr>
      </w:pPr>
      <w:r>
        <w:rPr>
          <w:kern w:val="0"/>
        </w:rPr>
        <w:t>Abstract: Introduction: Low vaccine coverage is a major public health concern, the consequences of which contribute to around 1.5 million child deaths from vaccine-preventable diseases. Thus, innovative strategies to rapidly increase coverage and recall rates for vaccinations are urgently required. Mobile text messaging (or short messaging service, SMS) has the potential to help increase vaccination coverage and therefore we propose to conduct a review of the current best evidence for the use of SMS as an intervention to promote vaccination coverage. Methods and analysis: This article describes the protocol for a systematic review of the effectiveness of SMS in improving the uptake of vaccination. Primary and secondary outcomes of interest are prespecified. We will preferably include randomised controlled trials (RCTs). However, non-randomised studies (NRS) will be considered if there is an inadequate number of RCTs. We will search several bibliographic databases (eg, PubMed, EMBASE, CINAHL, CENTRAL, Science Citation Index, Africa-Wide Information and WHOLIS electronic databases and search sources for grey literature. Following data extraction and assessment of risk of bias, we will meta-analyse studies and conduct subgroup analyses, according to intervention subtypes. We will assess clinical heterogeneity and statistical heterogeneity. For outcomes without quantitative data, a descriptive analysis will be used. This review protocol is registered in the PROSPERO International Prospective Register of systematic reviews, registration number 2014:CRD42014007531 Ethics and dissemination: Ethics is not required for this study, given that this is a protocol for a systematic review, which uses published data. The findings of this study will be disseminated through peer-reviewed publications and conference presentations. We anticipate that the results could be used by researchers and policymakers to help inform them of the efficacy of mobile phone text messaging interventions to promote increased vaccination coverage.</w:t>
      </w:r>
    </w:p>
    <w:p w:rsidR="00417D28" w:rsidRDefault="00417D28" w:rsidP="00417D28">
      <w:pPr>
        <w:pStyle w:val="a3"/>
        <w:rPr>
          <w:kern w:val="0"/>
        </w:rPr>
      </w:pPr>
      <w:r>
        <w:rPr>
          <w:kern w:val="0"/>
        </w:rPr>
        <w:t xml:space="preserve">Keywords: Analyses, Analysis, Article, Assessment, Bias, Bibliographic, Bibliographic </w:t>
      </w:r>
      <w:r>
        <w:rPr>
          <w:kern w:val="0"/>
        </w:rPr>
        <w:lastRenderedPageBreak/>
        <w:t>Databases, Care, Child, Citation, Clinical, Coverage, Data, Databases, Diseases, Effectiveness, Efficacy, Embase, Ethics, Evidence, Extraction, Health, Heterogeneity, Information, International, Intervention, Interventions, Literature, Metaanalysis, Methods, Mobile, Mobile Phone, Outcomes, Peer-Reviewed, Peer-Reviewed Publications, Potential, Protocol, Public, Public Health, Publications, Pubmed, Randomised, Randomised Controlled Trials, Rates, Recall, Researchers, Review, Reviews, Risk, Science, Science Citation Index, Service, Sms, Sources, Systematic, Systematic Review, Systematic Reviews, Text Messaging, Uptake, Vaccination, Vaccine</w:t>
      </w:r>
    </w:p>
    <w:p w:rsidR="00417D28" w:rsidRDefault="00417D28" w:rsidP="00417D28">
      <w:pPr>
        <w:pStyle w:val="a3"/>
        <w:rPr>
          <w:kern w:val="0"/>
          <w:szCs w:val="24"/>
        </w:rPr>
      </w:pPr>
      <w:r>
        <w:rPr>
          <w:rFonts w:hint="eastAsia"/>
          <w:kern w:val="0"/>
        </w:rPr>
        <w:t xml:space="preserve">? </w:t>
      </w:r>
      <w:r>
        <w:rPr>
          <w:kern w:val="0"/>
        </w:rPr>
        <w:t xml:space="preserve">Mugunthan, K., Doust, J., Kurz, B. and Glasziou, P. (2014), Is there sufficient evidence for tuning fork tests in diagnosing fractures? A systematic review. </w:t>
      </w:r>
      <w:r>
        <w:rPr>
          <w:i/>
          <w:iCs/>
          <w:kern w:val="0"/>
        </w:rPr>
        <w:t>BMJ Open</w:t>
      </w:r>
      <w:r>
        <w:rPr>
          <w:kern w:val="0"/>
        </w:rPr>
        <w:t xml:space="preserve">, </w:t>
      </w:r>
      <w:r>
        <w:rPr>
          <w:b/>
          <w:bCs/>
          <w:kern w:val="0"/>
        </w:rPr>
        <w:t>4</w:t>
      </w:r>
      <w:r>
        <w:rPr>
          <w:kern w:val="0"/>
        </w:rPr>
        <w:t xml:space="preserve"> (8</w:t>
      </w:r>
      <w:r>
        <w:rPr>
          <w:rFonts w:hint="eastAsia"/>
          <w:kern w:val="0"/>
        </w:rPr>
        <w:t>)</w:t>
      </w:r>
      <w:r>
        <w:rPr>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6C6428">
        <w:t>e005238</w:t>
      </w:r>
      <w:r>
        <w:rPr>
          <w:kern w:val="0"/>
          <w:szCs w:val="24"/>
        </w:rPr>
        <w:t>.</w:t>
      </w:r>
    </w:p>
    <w:p w:rsidR="00417D28" w:rsidRDefault="00417D28" w:rsidP="00417D28">
      <w:pPr>
        <w:pStyle w:val="a3"/>
        <w:rPr>
          <w:kern w:val="0"/>
        </w:rPr>
      </w:pPr>
      <w:r>
        <w:rPr>
          <w:rFonts w:hint="eastAsia"/>
          <w:kern w:val="0"/>
        </w:rPr>
        <w:t xml:space="preserve">Full Text: </w:t>
      </w:r>
      <w:hyperlink r:id="rId1767" w:history="1">
        <w:r w:rsidRPr="001A588E">
          <w:rPr>
            <w:rStyle w:val="a5"/>
            <w:kern w:val="0"/>
          </w:rPr>
          <w:t>2014\BMJ Ope4, e005238.pdf</w:t>
        </w:r>
      </w:hyperlink>
    </w:p>
    <w:p w:rsidR="00417D28" w:rsidRDefault="00417D28" w:rsidP="00417D28">
      <w:pPr>
        <w:pStyle w:val="a3"/>
        <w:rPr>
          <w:kern w:val="0"/>
        </w:rPr>
      </w:pPr>
      <w:r>
        <w:rPr>
          <w:kern w:val="0"/>
        </w:rPr>
        <w:t>Abstract: Objective: To determine the diagnostic accuracy of tuning fork tests for detecting fractures. Design: Systematic review of primary studies evaluating the diagnostic accuracy of tuning fork tests for the presence of fracture. Data source: We searched MEDLINE, CINAHL, AMED, EMBASE, Sports Discus, CAB Abstracts and Web of Science from commencement to November 2012. We manually searched the reference lists of any review papers and any identified relevant studies. Study selection and data extraction: Two reviewers independently reviewed the list of potentially eligible studies and rated the studies for quality using the QUADAS-2 tool. Data were extracted to form 2x2 contingency tables. The primary outcome measure was the accuracy of the test as measured by its sensitivity and specificity with 95% CIs. Data synthesis: We included six studies (329 patients), with two types of tuning fork tests (pain induction and loss of sound transmission). The studies included patients with an age range 7-60 years. The prevalence of fracture ranged from 10% to 80%. The sensitivity of the tuning fork tests was high, ranging from 75% to 100%. The specificity of the tests was highly heterogeneous, ranging from 18% to 95%. Conclusions: Based on the studies in this review, tuning fork tests have some value in ruling out fractures, but are not sufficiently reliable or accurate for widespread clinical use. The small sample size of the studies and the observed heterogeneity make generalisable conclusion difficult.</w:t>
      </w:r>
    </w:p>
    <w:p w:rsidR="00417D28" w:rsidRDefault="00417D28" w:rsidP="00417D28">
      <w:pPr>
        <w:pStyle w:val="a3"/>
        <w:rPr>
          <w:kern w:val="0"/>
        </w:rPr>
      </w:pPr>
      <w:r>
        <w:rPr>
          <w:kern w:val="0"/>
        </w:rPr>
        <w:t>Keywords: Accuracy, Age, Cab, Clinical, Data, Design, Diagnostic, Diagnostic Accuracy, Embase, Evidence, Extraction, Fracture, Heterogeneity, Induction, Measure, Medline, Outcome, Outcome Measure, Pain, Papers, Patients, Prevalence, Primary, Quality, Reference, Reference Lists, Review, Reviewers, Sample Size, Science, Selection, Sensitivity, Size, Small, Sound, Source, Specificity, Stress-Fractures, Synthesis, Systematic, Systematic Review, Transmission, Value, Web Of Science</w:t>
      </w:r>
    </w:p>
    <w:p w:rsidR="00F629DC" w:rsidRDefault="00F629DC" w:rsidP="00F629DC">
      <w:pPr>
        <w:pStyle w:val="a3"/>
        <w:rPr>
          <w:kern w:val="0"/>
          <w:szCs w:val="24"/>
        </w:rPr>
      </w:pPr>
      <w:r>
        <w:rPr>
          <w:rFonts w:hint="eastAsia"/>
          <w:kern w:val="0"/>
        </w:rPr>
        <w:lastRenderedPageBreak/>
        <w:t xml:space="preserve">? </w:t>
      </w:r>
      <w:r>
        <w:rPr>
          <w:kern w:val="0"/>
        </w:rPr>
        <w:t xml:space="preserve">Storgaard, H., Gluud, L.L., Christensen, M., Knop, F.K. and Vilsboll, T. (2014), The effects of sodium-glucose co-transporter 2 inhibitors in patients with type 2 diabetes: Protocol for a systematic review with meta-analysis of randomised trials. </w:t>
      </w:r>
      <w:r>
        <w:rPr>
          <w:i/>
          <w:iCs/>
          <w:kern w:val="0"/>
        </w:rPr>
        <w:t>BMJ Open</w:t>
      </w:r>
      <w:r>
        <w:rPr>
          <w:kern w:val="0"/>
        </w:rPr>
        <w:t xml:space="preserve">, </w:t>
      </w:r>
      <w:r>
        <w:rPr>
          <w:b/>
          <w:bCs/>
          <w:kern w:val="0"/>
        </w:rPr>
        <w:t>4</w:t>
      </w:r>
      <w:r>
        <w:rPr>
          <w:kern w:val="0"/>
        </w:rPr>
        <w:t xml:space="preserve"> (8</w:t>
      </w:r>
      <w:r>
        <w:rPr>
          <w:rFonts w:hint="eastAsia"/>
          <w:kern w:val="0"/>
        </w:rPr>
        <w:t>)</w:t>
      </w:r>
      <w:r w:rsidR="006E03E7">
        <w:rPr>
          <w:rFonts w:hint="eastAsia"/>
          <w:kern w:val="0"/>
        </w:rPr>
        <w:t>,</w:t>
      </w:r>
      <w:r w:rsidRPr="00076C3E">
        <w:rPr>
          <w:kern w:val="0"/>
          <w:szCs w:val="24"/>
        </w:rPr>
        <w:t xml:space="preserve"> </w:t>
      </w:r>
      <w:r w:rsidRPr="00BD47B6">
        <w:rPr>
          <w:kern w:val="0"/>
          <w:szCs w:val="24"/>
        </w:rPr>
        <w:t>Article Number:</w:t>
      </w:r>
      <w:r>
        <w:rPr>
          <w:rFonts w:hint="eastAsia"/>
          <w:kern w:val="0"/>
          <w:szCs w:val="24"/>
        </w:rPr>
        <w:t xml:space="preserve"> </w:t>
      </w:r>
      <w:r w:rsidRPr="006C6428">
        <w:t>e005378</w:t>
      </w:r>
      <w:r>
        <w:rPr>
          <w:kern w:val="0"/>
          <w:szCs w:val="24"/>
        </w:rPr>
        <w:t>.</w:t>
      </w:r>
    </w:p>
    <w:p w:rsidR="00F629DC" w:rsidRDefault="00F629DC" w:rsidP="00F629DC">
      <w:pPr>
        <w:pStyle w:val="a3"/>
        <w:rPr>
          <w:kern w:val="0"/>
        </w:rPr>
      </w:pPr>
      <w:r>
        <w:rPr>
          <w:rFonts w:hint="eastAsia"/>
          <w:kern w:val="0"/>
        </w:rPr>
        <w:t xml:space="preserve">Full Text: </w:t>
      </w:r>
      <w:hyperlink r:id="rId1768" w:history="1">
        <w:r w:rsidRPr="00993A59">
          <w:rPr>
            <w:rStyle w:val="a5"/>
            <w:kern w:val="0"/>
          </w:rPr>
          <w:t>2014\BMJ Ope4, e005378.pdf</w:t>
        </w:r>
      </w:hyperlink>
    </w:p>
    <w:p w:rsidR="00F629DC" w:rsidRDefault="00F629DC" w:rsidP="00F629DC">
      <w:pPr>
        <w:pStyle w:val="a3"/>
        <w:rPr>
          <w:kern w:val="0"/>
        </w:rPr>
      </w:pPr>
      <w:r>
        <w:rPr>
          <w:kern w:val="0"/>
        </w:rPr>
        <w:t>Abstract: Introduction: Sodium-glucose co-transporter 2 inhibitors (SGLT-2i) increase urinary glucose excretion through a reduced renal glucose reabsorption. We plan to perform a systematic review of SGLT-2i for treatment of type 2 diabetes. Methods and analysis: A systematic review with meta-analyses of randomised clinical trials on SGLT-2i versus placebo, other oral glucose lowering drugs or insulin for patients with type 2 diabetes will be performed. The primary end point will be the glycated haemoglobin. Secondary end points will include changes in body weight, body mass index, fasting plasma glucose, plasma cholesterol, kidney and liver blood tests, blood pressure and adverse events. Electronic (the Cochrane Library, MEDLINE, EMBASE and the Science Citation Index) and manual searches will be performed. Meta-analyses will be performed and the results presented as mean differences for continuous outcomes and risk differences for dichotomous outcomes, both with 95% CIs. Subgroup, sensitivity, regression and sequential analyses will be performed to evaluate intertrial heterogeneity, bias and the robustness of results due to cumulative testing. Ethics and dissemination: The study will contribute to the knowledge regarding the beneficial and harmful effects of SGLT-2i in patients with type 2 diabetes. We plan to publish the study irrespective of the results. Results: The study will be disseminated by peer-review publication and conference presentation.</w:t>
      </w:r>
    </w:p>
    <w:p w:rsidR="00F629DC" w:rsidRDefault="00F629DC" w:rsidP="00F629DC">
      <w:pPr>
        <w:pStyle w:val="a3"/>
        <w:rPr>
          <w:kern w:val="0"/>
        </w:rPr>
      </w:pPr>
      <w:r>
        <w:rPr>
          <w:kern w:val="0"/>
        </w:rPr>
        <w:t>Keywords: Add-On, Adverse Events, Analyses, Analysis, Association, Bias, Blood, Blood Pressure, Body Mass Index, Body Weight, Changes, Cholesterol, Citation, Clinical, Clinical Trials, Complications, Cumulative, Dapagliflozin, Diabetes, Double-Blind, Drugs, Effects, Embase, Ethics, Events, Glucose, Glycemic Control, Heterogeneity, Index, Inhibitors, Insulin, Kidney, Knowledge, Liver, Medline, Mellitus, Meta Analysis, Meta-Analyses, Meta-Analysis, Metaanalysis, Methods, Oral, Outcomes, Patients, Peer Review, Peer-Review, Placebo, Plasma, Presentation, Pressure, Primary, Protocol, Publication, Randomised, Regression, Renal, Results, Review, Risk, Robustness, Science, Science Citation Index, Sensitivity, Sequential, Systematic, Systematic Review, Testing, Treatment, Type 2 Diabetes, Urinary</w:t>
      </w:r>
    </w:p>
    <w:p w:rsidR="006E03E7" w:rsidRDefault="006E03E7" w:rsidP="006E03E7">
      <w:pPr>
        <w:pStyle w:val="a3"/>
        <w:rPr>
          <w:kern w:val="0"/>
          <w:szCs w:val="24"/>
        </w:rPr>
      </w:pPr>
      <w:r>
        <w:rPr>
          <w:rFonts w:hint="eastAsia"/>
          <w:kern w:val="0"/>
        </w:rPr>
        <w:t xml:space="preserve">? </w:t>
      </w:r>
      <w:r>
        <w:rPr>
          <w:kern w:val="0"/>
        </w:rPr>
        <w:t xml:space="preserve">Shi, M., Zheng, H.L., Nie, B.A., Gong, W. and Cui, X.B. (2014), Statin use and risk of liver cancer: An update meta-analysis. </w:t>
      </w:r>
      <w:r>
        <w:rPr>
          <w:i/>
          <w:iCs/>
          <w:kern w:val="0"/>
        </w:rPr>
        <w:t>BMJ Open</w:t>
      </w:r>
      <w:r>
        <w:rPr>
          <w:kern w:val="0"/>
        </w:rPr>
        <w:t xml:space="preserve">, </w:t>
      </w:r>
      <w:r>
        <w:rPr>
          <w:b/>
          <w:bCs/>
          <w:kern w:val="0"/>
        </w:rPr>
        <w:t>4</w:t>
      </w:r>
      <w:r>
        <w:rPr>
          <w:kern w:val="0"/>
        </w:rPr>
        <w:t xml:space="preserve"> (9</w:t>
      </w:r>
      <w:r>
        <w:rPr>
          <w:rFonts w:hint="eastAsia"/>
          <w:kern w:val="0"/>
        </w:rPr>
        <w:t xml:space="preserve">), </w:t>
      </w:r>
      <w:r w:rsidRPr="00BD47B6">
        <w:rPr>
          <w:kern w:val="0"/>
          <w:szCs w:val="24"/>
        </w:rPr>
        <w:t>Article Number:</w:t>
      </w:r>
      <w:r>
        <w:rPr>
          <w:rFonts w:hint="eastAsia"/>
          <w:kern w:val="0"/>
          <w:szCs w:val="24"/>
        </w:rPr>
        <w:t xml:space="preserve"> </w:t>
      </w:r>
      <w:r w:rsidRPr="003066E1">
        <w:t>e005399</w:t>
      </w:r>
      <w:r>
        <w:rPr>
          <w:kern w:val="0"/>
          <w:szCs w:val="24"/>
        </w:rPr>
        <w:t>.</w:t>
      </w:r>
    </w:p>
    <w:p w:rsidR="006E03E7" w:rsidRDefault="006E03E7" w:rsidP="006E03E7">
      <w:pPr>
        <w:pStyle w:val="a3"/>
        <w:rPr>
          <w:kern w:val="0"/>
        </w:rPr>
      </w:pPr>
      <w:r>
        <w:rPr>
          <w:rFonts w:hint="eastAsia"/>
          <w:kern w:val="0"/>
        </w:rPr>
        <w:t xml:space="preserve">Full Text: </w:t>
      </w:r>
      <w:hyperlink r:id="rId1769" w:history="1">
        <w:r w:rsidRPr="00A5754D">
          <w:rPr>
            <w:rStyle w:val="a5"/>
            <w:kern w:val="0"/>
          </w:rPr>
          <w:t>2014\BMJ Ope4, e005399.pdf</w:t>
        </w:r>
      </w:hyperlink>
    </w:p>
    <w:p w:rsidR="006E03E7" w:rsidRDefault="006E03E7" w:rsidP="006E03E7">
      <w:pPr>
        <w:pStyle w:val="a3"/>
        <w:rPr>
          <w:kern w:val="0"/>
        </w:rPr>
      </w:pPr>
      <w:r>
        <w:rPr>
          <w:kern w:val="0"/>
        </w:rPr>
        <w:t xml:space="preserve">Abstract: Objective: Statins are commonly prescribed cholesterol-lowering drugs. Preclinical studies suggest that statins may possess cancer preventive properties. The </w:t>
      </w:r>
      <w:r>
        <w:rPr>
          <w:kern w:val="0"/>
        </w:rPr>
        <w:lastRenderedPageBreak/>
        <w:t>primary objective of this meta-analysis was to determine the association between statin use and risk of liver cancer. Design: Meta-analysis. Setting: International. Participants: A comprehensive literature search of PubMed, BIOSIS Previews, Web of Science, EMBASE, EBSCO and Cochrane Library was conducted through March 2014. The effect estimate was reported as pooled relative risk (RR) with 95% CIs, using the random-effects model. Results: A total of 12 studies (1 individual patient data analysis of 22 randomised controlled trials, 5 cohorts and 6 case-controls) were qualified for this meta-analysis, involving 5 640 313 participants including 35 756 liver cancer cases. Our results indicated a significant risk reduction of liver cancer among all statin users (RR=0.58, 95% CIs 0.51 to 0.67). The difference of the study designs can partly explain the significant heterogeneity found in the overall analysis (I-2=65%, p=0.0006). No evidence of publication bias was observed in this meta-analysis. Similar risk reductions were found in the subgroups analysis of Western and Asian countries, lipophilic and hydrophilia statins. There was a trend towards more risk reductions in subgroups with higher baseline risk, inadequate adjustment and higher cumulative dosage of statin use. Conclusions: This meta-analysis suggests that statin is associated with a significant risk reduction of liver cancer when taken daily for cardiovascular event prevention. However, this preventive effect might be overestimated due to the exposure period, the indication and contraindication of statins and other confounders. Statins might be considered as an adjuvant in the treatment of liver cancer.</w:t>
      </w:r>
    </w:p>
    <w:p w:rsidR="006E03E7" w:rsidRDefault="006E03E7" w:rsidP="006E03E7">
      <w:pPr>
        <w:pStyle w:val="a3"/>
        <w:rPr>
          <w:kern w:val="0"/>
        </w:rPr>
      </w:pPr>
      <w:r>
        <w:rPr>
          <w:kern w:val="0"/>
        </w:rPr>
        <w:t>Keywords: Analysis, Asian, Association, Bias, C Virus-Infection, Cancer, Cardiovascular, Cholesterol, Cumulative, Data, Data Analysis, Design, Drugs, Efficacy, Embase, Evidence, Exposure, Hepatocellular-Carcinoma, Heterogeneity, Indication, International, Literature, Literature Search, Liver, Liver Cancer, Meta Analysis, Meta-Analysis, Metaanalysis, Model, Participants, Pravastatin, Prevention, Primary, Properties, Publication, Publication Bias, Pubmed, Random Effects Model, Randomised, Randomised Controlled Trials, Randomized-Trials, Reduction, Relative Risk, Results, Risk, Safety, Science, Simvastatin, Statin, Statins, Treatment, Trend, Web Of Science</w:t>
      </w:r>
    </w:p>
    <w:p w:rsidR="007A52CA" w:rsidRDefault="007A52CA" w:rsidP="007A52CA">
      <w:pPr>
        <w:pStyle w:val="a3"/>
        <w:rPr>
          <w:kern w:val="0"/>
          <w:szCs w:val="24"/>
        </w:rPr>
      </w:pPr>
      <w:r>
        <w:rPr>
          <w:rFonts w:hint="eastAsia"/>
          <w:kern w:val="0"/>
        </w:rPr>
        <w:t xml:space="preserve">? </w:t>
      </w:r>
      <w:r>
        <w:rPr>
          <w:kern w:val="0"/>
        </w:rPr>
        <w:t xml:space="preserve">Durham, J. and Blondell, S.J. (2014), Research protocol: A realist synthesis of cross-border patient mobility from low-income and middle-income countries. </w:t>
      </w:r>
      <w:r>
        <w:rPr>
          <w:i/>
          <w:iCs/>
          <w:kern w:val="0"/>
        </w:rPr>
        <w:t>BMJ Open</w:t>
      </w:r>
      <w:r>
        <w:rPr>
          <w:kern w:val="0"/>
        </w:rPr>
        <w:t xml:space="preserve">, </w:t>
      </w:r>
      <w:r>
        <w:rPr>
          <w:b/>
          <w:bCs/>
          <w:kern w:val="0"/>
        </w:rPr>
        <w:t>4</w:t>
      </w:r>
      <w:r>
        <w:rPr>
          <w:kern w:val="0"/>
        </w:rPr>
        <w:t xml:space="preserve"> (11</w:t>
      </w:r>
      <w:r>
        <w:rPr>
          <w:rFonts w:hint="eastAsia"/>
          <w:kern w:val="0"/>
        </w:rPr>
        <w:t xml:space="preserve">), </w:t>
      </w:r>
      <w:r w:rsidRPr="00BD47B6">
        <w:rPr>
          <w:kern w:val="0"/>
          <w:szCs w:val="24"/>
        </w:rPr>
        <w:t>Article Number:</w:t>
      </w:r>
      <w:r>
        <w:rPr>
          <w:rFonts w:hint="eastAsia"/>
          <w:kern w:val="0"/>
          <w:szCs w:val="24"/>
        </w:rPr>
        <w:t xml:space="preserve"> </w:t>
      </w:r>
      <w:r w:rsidRPr="002D072E">
        <w:rPr>
          <w:kern w:val="0"/>
        </w:rPr>
        <w:t>e006514</w:t>
      </w:r>
      <w:r>
        <w:rPr>
          <w:kern w:val="0"/>
          <w:szCs w:val="24"/>
        </w:rPr>
        <w:t>.</w:t>
      </w:r>
    </w:p>
    <w:p w:rsidR="007A52CA" w:rsidRDefault="007A52CA" w:rsidP="007A52CA">
      <w:pPr>
        <w:pStyle w:val="a3"/>
        <w:rPr>
          <w:kern w:val="0"/>
        </w:rPr>
      </w:pPr>
      <w:r>
        <w:rPr>
          <w:rFonts w:hint="eastAsia"/>
          <w:kern w:val="0"/>
        </w:rPr>
        <w:t xml:space="preserve">Full Text: </w:t>
      </w:r>
      <w:hyperlink r:id="rId1770" w:history="1">
        <w:r w:rsidRPr="0067784F">
          <w:rPr>
            <w:rStyle w:val="a5"/>
            <w:kern w:val="0"/>
          </w:rPr>
          <w:t>2014\BMJ Ope4, e006514.pdf</w:t>
        </w:r>
      </w:hyperlink>
    </w:p>
    <w:p w:rsidR="007A52CA" w:rsidRDefault="007A52CA" w:rsidP="007A52CA">
      <w:pPr>
        <w:pStyle w:val="a3"/>
        <w:rPr>
          <w:kern w:val="0"/>
        </w:rPr>
      </w:pPr>
      <w:r>
        <w:rPr>
          <w:kern w:val="0"/>
        </w:rPr>
        <w:t xml:space="preserve">Abstract: Introduction: People are increasingly mobile for numerous reasons, including healthcare. Patient mobility has vast implications for individuals, communities and whole populations and yet, to date, research on patient mobility has been quite limited. Only a small body of evidence exists on patient mobility between low-income and middle-income countries, instead having focused primarily on </w:t>
      </w:r>
      <w:r>
        <w:rPr>
          <w:kern w:val="0"/>
        </w:rPr>
        <w:lastRenderedPageBreak/>
        <w:t>cross-border movement between high-income and low-income countries. In this paper, we present a protocol for examining this under-studied phenomenon. Methods and analysis: We propose to examine patient mobility between low-income and middle-income countries using a realist synthesis approach. Specifically, we aim to document why patients from low-income and middle-income countries cross international borders for healthcare, by identifying the mechanisms through which patients decide to cross-borders, and the contextual characteristics of domestic health markets that influence this choice. An underlying theory was established, based on the lead author’s experience and a brief literature review, which will provide the basis to analyse search results in a subsequent paper. Search results will be obtained from databases (Ovid Medline, EMBASE, Scopus, EconLit, Web of Science) and the grey literature. An expert committee will be enlisted, prior to screening results, to review search results to ensure comprehensiveness. Based on this preliminary theory, we propose that, in some low-income and middle-income country markets, the interaction between demand-side and supply-side determinants results in market imperfections that, in turn, lead to patient movement across borders. Ethics and dissemination: The study does not involve primary research and, therefore, does not require formal ethical approval; we do, however, follow the relevant standards of utility, usefulness, feasibility, propriety, accuracy and accountability. The standards of realist and meta-narrative evidence synthesis (RAMESES) will be adhered to in reporting the findings of the review. Once completed, the findings of the resulting manuscript will be published in a peer-reviewed journal.</w:t>
      </w:r>
    </w:p>
    <w:p w:rsidR="007A52CA" w:rsidRDefault="007A52CA" w:rsidP="007A52CA">
      <w:pPr>
        <w:pStyle w:val="a3"/>
        <w:rPr>
          <w:kern w:val="0"/>
        </w:rPr>
      </w:pPr>
      <w:r>
        <w:rPr>
          <w:kern w:val="0"/>
        </w:rPr>
        <w:t>Keywords: Access, Accountability, Accuracy, Analysis, Approach, Characteristics, Choice, Country, Databases, Embase, Ethical, Ethics, Evidence, Experience, Feasibility, From, Health, Health-Care, Influence, Interaction, International, Journal, Lead, Literature, Literature Review, Management, Market, Markets, Mechanisms, Medical-Care, Medline, Methods, Middle-Income Country, Mobile, Mobility, Movement, Patient, Patients, Peer-Reviewed, Populations, Primary, Protocol, Reporting, Research, Review, Science, Scopus, Screening, Search, Services, Small, Standards, Synthesis, Theory, Utility, Web, Web Of Science</w:t>
      </w:r>
    </w:p>
    <w:p w:rsidR="007A52CA" w:rsidRDefault="007A52CA" w:rsidP="007A52CA">
      <w:pPr>
        <w:pStyle w:val="a3"/>
        <w:rPr>
          <w:kern w:val="0"/>
          <w:szCs w:val="24"/>
        </w:rPr>
      </w:pPr>
      <w:r>
        <w:rPr>
          <w:rFonts w:hint="eastAsia"/>
          <w:kern w:val="0"/>
        </w:rPr>
        <w:t xml:space="preserve">? </w:t>
      </w:r>
      <w:r>
        <w:rPr>
          <w:kern w:val="0"/>
        </w:rPr>
        <w:t xml:space="preserve">Lee, S.W.W., Clement, N., Tang, N. and Atiomo, W. (2014), The current provision of community-based teaching in UK medical schools: An online survey and systematic review. </w:t>
      </w:r>
      <w:r>
        <w:rPr>
          <w:i/>
          <w:iCs/>
          <w:kern w:val="0"/>
        </w:rPr>
        <w:t>BMJ Open</w:t>
      </w:r>
      <w:r>
        <w:rPr>
          <w:kern w:val="0"/>
        </w:rPr>
        <w:t xml:space="preserve">, </w:t>
      </w:r>
      <w:r>
        <w:rPr>
          <w:b/>
          <w:bCs/>
          <w:kern w:val="0"/>
        </w:rPr>
        <w:t>4</w:t>
      </w:r>
      <w:r>
        <w:rPr>
          <w:kern w:val="0"/>
        </w:rPr>
        <w:t xml:space="preserve"> (12</w:t>
      </w:r>
      <w:r>
        <w:rPr>
          <w:rFonts w:hint="eastAsia"/>
          <w:kern w:val="0"/>
        </w:rPr>
        <w:t xml:space="preserve">), </w:t>
      </w:r>
      <w:r w:rsidRPr="00BD47B6">
        <w:rPr>
          <w:kern w:val="0"/>
          <w:szCs w:val="24"/>
        </w:rPr>
        <w:t>Article Number:</w:t>
      </w:r>
      <w:r>
        <w:rPr>
          <w:rFonts w:hint="eastAsia"/>
          <w:kern w:val="0"/>
          <w:szCs w:val="24"/>
        </w:rPr>
        <w:t xml:space="preserve"> </w:t>
      </w:r>
      <w:r w:rsidRPr="002D072E">
        <w:rPr>
          <w:kern w:val="0"/>
        </w:rPr>
        <w:t>e005696</w:t>
      </w:r>
      <w:r>
        <w:rPr>
          <w:kern w:val="0"/>
          <w:szCs w:val="24"/>
        </w:rPr>
        <w:t>.</w:t>
      </w:r>
    </w:p>
    <w:p w:rsidR="007A52CA" w:rsidRDefault="007A52CA" w:rsidP="007A52CA">
      <w:pPr>
        <w:pStyle w:val="a3"/>
        <w:rPr>
          <w:kern w:val="0"/>
        </w:rPr>
      </w:pPr>
      <w:r>
        <w:rPr>
          <w:rFonts w:hint="eastAsia"/>
          <w:kern w:val="0"/>
        </w:rPr>
        <w:t xml:space="preserve">Full Text: </w:t>
      </w:r>
      <w:hyperlink r:id="rId1771" w:history="1">
        <w:r w:rsidRPr="0067784F">
          <w:rPr>
            <w:rStyle w:val="a5"/>
            <w:kern w:val="0"/>
          </w:rPr>
          <w:t>2014\BMJ Ope4, e005696.pdf</w:t>
        </w:r>
      </w:hyperlink>
    </w:p>
    <w:p w:rsidR="007A52CA" w:rsidRDefault="007A52CA" w:rsidP="007A52CA">
      <w:pPr>
        <w:pStyle w:val="a3"/>
        <w:rPr>
          <w:kern w:val="0"/>
        </w:rPr>
      </w:pPr>
      <w:r>
        <w:rPr>
          <w:kern w:val="0"/>
        </w:rPr>
        <w:t xml:space="preserve">Abstract: Objective: To evaluate the current provision and outcome of community-based education (CBE) in UK medical schools. Design and data sources: An online survey of UK medical school websites and course prospectuses and a systematic review of articles from PubMed and Web of Science were conducted. Articles in the systematic review were assessed using Rossi, Lipsey and Freeman’s </w:t>
      </w:r>
      <w:r>
        <w:rPr>
          <w:kern w:val="0"/>
        </w:rPr>
        <w:lastRenderedPageBreak/>
        <w:t>approach to programme evaluation. Study selection: Publications from November 1998 to 2013 containing information related to community teaching in undergraduate medical courses were included. Results: Out of the 32 undergraduate UK medical schools, one was excluded due to the lack of course specifications available online. Analysis of the remaining 31 medical schools showed that a variety of CBE models are utilised in medical schools across the UK. Twenty-eight medical schools (90.3%) provide CBE in some form by the end of the first year of undergraduate training, and 29 medical schools (93.5%) by the end of the second year. From the 1378 references identified, 29 papers met the inclusion criteria for assessment. It was found that CBE mostly provided advantages to students as well as other participants, including GP tutors and patients. However, there were a few concerns regarding the lack of GP tutors’ knowledge in specialty areas, the negative impact that CBE may have on the delivery of health service in education settings and the cost of CBE. Conclusions: Despite the wide variations in implementation, community teaching was found to be mostly beneficial. To ensure the relevance of CBE for ‘Tomorrow’s Doctors’, a national framework should be established, and solutions sought to reduce the impact of the challenges within CBE. Strengths and limitations of this study: This is the first study to review how community-based education is currently provided throughout Medical Schools in the UK. The use of Rossi, Lipsey and Freeman’s method of programme evaluation means that the literature was analysed in a consistent and comprehensive way. However, a weakness is that data from the online survey was obtained from online medical school prospectuses. This means the data may be incomplete or out of date. Data in the literature review may also be skewed by publication bias.</w:t>
      </w:r>
    </w:p>
    <w:p w:rsidR="007A52CA" w:rsidRDefault="007A52CA" w:rsidP="007A52CA">
      <w:pPr>
        <w:pStyle w:val="a3"/>
        <w:rPr>
          <w:kern w:val="0"/>
        </w:rPr>
      </w:pPr>
      <w:r>
        <w:rPr>
          <w:kern w:val="0"/>
        </w:rPr>
        <w:t>Keywords: Analysis, Approach, Articles, Assessment, Bias, Clinical-Course, Community, Community Based, Community Based Teaching, Cost, Course, Criteria, Curriculum, Data, Delivery, Design, Education, Evaluation, Experience, First, Framework, From, Health, Impact, Implementation, Information, Knowledge, Literature, Literature Review, Medical, Medical Schools, Models, Negative, Online, Online Survey, Outcome, Papers, Patient, Patients, Patients Views, Perceptions, Primary-Care, Publication, Publication Bias, Publications, Pubmed, References, Relevance, Results, Review, Science, Selection, Service, Solutions, Sources, Specialty, Students, Survey, Systematic, Systematic Review, Teaching, Training, UK, Undergraduate, Web, Web Of Science, Websites</w:t>
      </w:r>
    </w:p>
    <w:p w:rsidR="00D9712E" w:rsidRDefault="00D9712E" w:rsidP="00D9712E">
      <w:pPr>
        <w:pStyle w:val="a3"/>
        <w:rPr>
          <w:kern w:val="0"/>
          <w:szCs w:val="24"/>
        </w:rPr>
      </w:pPr>
      <w:r>
        <w:rPr>
          <w:rFonts w:hint="eastAsia"/>
          <w:kern w:val="0"/>
        </w:rPr>
        <w:t xml:space="preserve">? </w:t>
      </w:r>
      <w:r>
        <w:rPr>
          <w:kern w:val="0"/>
        </w:rPr>
        <w:t xml:space="preserve">Mears, J., Abubakar, I., Cohen, T., Mchugh, T.D. and Sonnenberg, P. (2015), Effect of study design and setting on tuberculosis clustering estimates using Mycobacterial Interspersed Repetitive Units-Variable Number Tandem Repeats (MIRU-VNTR): A systematic review. </w:t>
      </w:r>
      <w:r>
        <w:rPr>
          <w:i/>
          <w:iCs/>
          <w:kern w:val="0"/>
        </w:rPr>
        <w:t>BMJ Open</w:t>
      </w:r>
      <w:r>
        <w:rPr>
          <w:kern w:val="0"/>
        </w:rPr>
        <w:t xml:space="preserve">, </w:t>
      </w:r>
      <w:r>
        <w:rPr>
          <w:b/>
          <w:bCs/>
          <w:kern w:val="0"/>
        </w:rPr>
        <w:t>5</w:t>
      </w:r>
      <w:r>
        <w:rPr>
          <w:kern w:val="0"/>
        </w:rPr>
        <w:t xml:space="preserve"> (1</w:t>
      </w:r>
      <w:r>
        <w:rPr>
          <w:rFonts w:hint="eastAsia"/>
          <w:kern w:val="0"/>
        </w:rPr>
        <w:t xml:space="preserve">), </w:t>
      </w:r>
      <w:r w:rsidRPr="00BD47B6">
        <w:rPr>
          <w:kern w:val="0"/>
          <w:szCs w:val="24"/>
        </w:rPr>
        <w:t>Article Number:</w:t>
      </w:r>
      <w:r>
        <w:rPr>
          <w:rFonts w:hint="eastAsia"/>
          <w:kern w:val="0"/>
          <w:szCs w:val="24"/>
        </w:rPr>
        <w:t xml:space="preserve"> </w:t>
      </w:r>
      <w:r w:rsidRPr="00003DCF">
        <w:rPr>
          <w:kern w:val="0"/>
        </w:rPr>
        <w:t>e005636</w:t>
      </w:r>
      <w:r>
        <w:rPr>
          <w:kern w:val="0"/>
          <w:szCs w:val="24"/>
        </w:rPr>
        <w:t>.</w:t>
      </w:r>
    </w:p>
    <w:p w:rsidR="00D9712E" w:rsidRDefault="00D9712E" w:rsidP="00D9712E">
      <w:pPr>
        <w:pStyle w:val="a3"/>
        <w:rPr>
          <w:kern w:val="0"/>
        </w:rPr>
      </w:pPr>
      <w:r>
        <w:rPr>
          <w:rFonts w:hint="eastAsia"/>
          <w:kern w:val="0"/>
        </w:rPr>
        <w:t xml:space="preserve">Full Text: </w:t>
      </w:r>
      <w:hyperlink r:id="rId1772" w:history="1">
        <w:r w:rsidRPr="002C1933">
          <w:rPr>
            <w:rStyle w:val="a5"/>
            <w:kern w:val="0"/>
          </w:rPr>
          <w:t>201</w:t>
        </w:r>
        <w:r w:rsidRPr="002C1933">
          <w:rPr>
            <w:rStyle w:val="a5"/>
            <w:rFonts w:hint="eastAsia"/>
            <w:kern w:val="0"/>
          </w:rPr>
          <w:t>5</w:t>
        </w:r>
        <w:r w:rsidRPr="002C1933">
          <w:rPr>
            <w:rStyle w:val="a5"/>
            <w:kern w:val="0"/>
          </w:rPr>
          <w:t>\BMJ Ope</w:t>
        </w:r>
        <w:r w:rsidRPr="002C1933">
          <w:rPr>
            <w:rStyle w:val="a5"/>
            <w:rFonts w:hint="eastAsia"/>
            <w:kern w:val="0"/>
          </w:rPr>
          <w:t>5</w:t>
        </w:r>
        <w:r w:rsidRPr="002C1933">
          <w:rPr>
            <w:rStyle w:val="a5"/>
            <w:kern w:val="0"/>
          </w:rPr>
          <w:t>, e005636.pdf</w:t>
        </w:r>
      </w:hyperlink>
    </w:p>
    <w:p w:rsidR="00D9712E" w:rsidRDefault="00D9712E" w:rsidP="00D9712E">
      <w:pPr>
        <w:pStyle w:val="a3"/>
        <w:rPr>
          <w:kern w:val="0"/>
        </w:rPr>
      </w:pPr>
      <w:r>
        <w:rPr>
          <w:kern w:val="0"/>
        </w:rPr>
        <w:lastRenderedPageBreak/>
        <w:t>Abstract: Objectives: To systematically review the evidence for the impact of study design and setting on the interpretation of tuberculosis (TB) transmission using clustering derived from Mycobacterial Interspersed Repetitive Units-Variable Number Tandem Repeats (MIRU-VNTR) strain typing. Data sources: MEDLINE, EMBASE, CINHAL, Web of Science and Scopus were searched for articles published before 21st October 2014. Review methods: Studies in humans that reported the proportion of clustering of TB isolates by MIRU-VNTR were included in the analysis. Univariable meta-regression analyses were conducted to assess the influence of study design and setting on the proportion of clustering. Results: The search identified 27 eligible articles reporting clustering between 0% and 63%. The number of MIRU-VNTR loci typed, requiring consent to type patient isolates (as a proxy for sampling fraction), the TB incidence and the maximum cluster size explained 14%, 14%, 27% and 48% of between-study variation, respectively, and had a significant association with the proportion of clustering. Conclusions: Although MIRU-VNTR typing is being adopted worldwide there is a paucity of data on how study design and setting may influence estimates of clustering. We have highlighted study design variables for consideration in the design and interpretation of future studies.</w:t>
      </w:r>
    </w:p>
    <w:p w:rsidR="00D9712E" w:rsidRDefault="00D9712E" w:rsidP="00D9712E">
      <w:pPr>
        <w:pStyle w:val="a3"/>
        <w:rPr>
          <w:kern w:val="0"/>
        </w:rPr>
      </w:pPr>
      <w:r>
        <w:rPr>
          <w:kern w:val="0"/>
        </w:rPr>
        <w:t>Keywords: Analyses, Analysis, Articles, Association, Cluster, Clustering, Consent, Data, Design, Effect, Embase, Estimates, Evidence, Fragment-Length-Polymorphism, From, Humans, Impact, Incidence, Influence, Medline, Meta-Regression, Methods, Molecular Epidemiology, Nationwide, Netherlands, Outbreaks, Patient, Prevalence, Reporting, Results, Review, Risk-Factors, Sampling, Science, Scopus, Size, Sources, Strains, Study Design, Systematic, Systematic Review, Tb, Tool, Transmission, Tuberculosis, Web, Web Of Science</w:t>
      </w:r>
    </w:p>
    <w:p w:rsidR="00D9712E" w:rsidRDefault="00D9712E" w:rsidP="00D9712E">
      <w:pPr>
        <w:pStyle w:val="a3"/>
        <w:rPr>
          <w:kern w:val="0"/>
          <w:szCs w:val="24"/>
        </w:rPr>
      </w:pPr>
      <w:r>
        <w:rPr>
          <w:rFonts w:hint="eastAsia"/>
          <w:kern w:val="0"/>
        </w:rPr>
        <w:t xml:space="preserve">? </w:t>
      </w:r>
      <w:r>
        <w:rPr>
          <w:kern w:val="0"/>
        </w:rPr>
        <w:t xml:space="preserve">Zhang, Z.H. (2015), The efficacy of activated protein C for the treatment of sepsis: Incorporating observational evidence with a Bayesian approach. </w:t>
      </w:r>
      <w:r>
        <w:rPr>
          <w:i/>
          <w:iCs/>
          <w:kern w:val="0"/>
        </w:rPr>
        <w:t>BMJ Open</w:t>
      </w:r>
      <w:r>
        <w:rPr>
          <w:kern w:val="0"/>
        </w:rPr>
        <w:t xml:space="preserve">, </w:t>
      </w:r>
      <w:r>
        <w:rPr>
          <w:b/>
          <w:bCs/>
          <w:kern w:val="0"/>
        </w:rPr>
        <w:t>5</w:t>
      </w:r>
      <w:r>
        <w:rPr>
          <w:kern w:val="0"/>
        </w:rPr>
        <w:t xml:space="preserve"> (1</w:t>
      </w:r>
      <w:r>
        <w:rPr>
          <w:rFonts w:hint="eastAsia"/>
          <w:kern w:val="0"/>
        </w:rPr>
        <w:t xml:space="preserve">), </w:t>
      </w:r>
      <w:r w:rsidRPr="00BD47B6">
        <w:rPr>
          <w:kern w:val="0"/>
          <w:szCs w:val="24"/>
        </w:rPr>
        <w:t>Article Number:</w:t>
      </w:r>
      <w:r>
        <w:rPr>
          <w:rFonts w:hint="eastAsia"/>
          <w:kern w:val="0"/>
          <w:szCs w:val="24"/>
        </w:rPr>
        <w:t xml:space="preserve"> </w:t>
      </w:r>
      <w:r w:rsidRPr="00003DCF">
        <w:rPr>
          <w:kern w:val="0"/>
        </w:rPr>
        <w:t>e006524</w:t>
      </w:r>
      <w:r>
        <w:rPr>
          <w:kern w:val="0"/>
          <w:szCs w:val="24"/>
        </w:rPr>
        <w:t>.</w:t>
      </w:r>
    </w:p>
    <w:p w:rsidR="00D9712E" w:rsidRDefault="00D9712E" w:rsidP="00D9712E">
      <w:pPr>
        <w:pStyle w:val="a3"/>
        <w:rPr>
          <w:kern w:val="0"/>
        </w:rPr>
      </w:pPr>
      <w:r>
        <w:rPr>
          <w:rFonts w:hint="eastAsia"/>
          <w:kern w:val="0"/>
        </w:rPr>
        <w:t xml:space="preserve">Full Text: </w:t>
      </w:r>
      <w:hyperlink r:id="rId1773" w:history="1">
        <w:r w:rsidRPr="002C1933">
          <w:rPr>
            <w:rStyle w:val="a5"/>
            <w:kern w:val="0"/>
          </w:rPr>
          <w:t>2015\BMJ Ope5, e006524.pdf</w:t>
        </w:r>
      </w:hyperlink>
    </w:p>
    <w:p w:rsidR="00D9712E" w:rsidRDefault="00D9712E" w:rsidP="00D9712E">
      <w:pPr>
        <w:pStyle w:val="a3"/>
        <w:rPr>
          <w:kern w:val="0"/>
        </w:rPr>
      </w:pPr>
      <w:r>
        <w:rPr>
          <w:kern w:val="0"/>
        </w:rPr>
        <w:t xml:space="preserve">Abstract: Objective: The present study aimed to combine observational evidence with randomised controlled trials (RCTs) by using the Bayesian approach. Data sources: Electronic databases, including PubMed, Cochrane Central Register of Controlled Trials (CENTRAL), ISI Web of Science, EMBASE and EBSCO were searched from inception to January 2014. Study eligibility: RCTs and observational studies (OS) investigating the effectiveness of activated protein C (aPC) on mortality reduction were included for analysis. Participants: Patients with sepsis. Intervention: aPC. Synthesis methods: Observational evidence was incorporated into the analysis by using power transformed priors in a Bayesian. Trial sequential analysis was performed to examine changes over time and whether further studies need to be </w:t>
      </w:r>
      <w:r>
        <w:rPr>
          <w:kern w:val="0"/>
        </w:rPr>
        <w:lastRenderedPageBreak/>
        <w:t>conducted. Main results: a total of 7 RCTs and 12 OS were included for the analysis. There was moderate heterogeneity among included RCTs (I-2=48.6%, p=0.07). The pooled OR for mortality from RCTs was 1.00 (95% CI 0.84 to 1.19). In OS, there was potential publication bias as indicated by the funnel plot and the pooled OR for mortality with the use of aPC was 0.67 (95% CI 0.62 to 0.72). The pooled effect sizes of RCTs were changed by using different power transform priors derived from observational evidence. When observational evidence was used at its ‘face value’, the treatment effect of aPC was statistically significant in reducing mortality. Conclusions: while RCT evidence showed no beneficial effect of aPC on sepsis, observational evidence showed a significant treatment effect of aPC. By using power transform priors in Bayesian model, we explicitly demonstrated how RCT evidence could be changed by observational evidence.</w:t>
      </w:r>
    </w:p>
    <w:p w:rsidR="00D9712E" w:rsidRDefault="00D9712E" w:rsidP="00D9712E">
      <w:pPr>
        <w:pStyle w:val="a3"/>
        <w:rPr>
          <w:kern w:val="0"/>
        </w:rPr>
      </w:pPr>
      <w:r>
        <w:rPr>
          <w:kern w:val="0"/>
        </w:rPr>
        <w:t>Keywords: Adults, Analysis, Approach, Bias, Care, Changes, Data, Databases, Effectiveness, Efficacy, Embase, Evidence, From, Heterogeneity, Intervention, Isi, Isi Web Of Science, Management, Metaanalysis, Methods, Model, Mortality, Observational, Observational Studies, Outcomes, Potential, Power, Propensity-Matched Analysis, Protein, Publication, Publication Bias, Pubmed, Randomised, Randomised Controlled Trials, Randomized Controlled-Trial, Rct, Reduction, Registry, Science, Sepsis, Septic Shock, Sequential, Sources, Synthesis, Therapy, Treatment, Value, Web, Web Of Science</w:t>
      </w:r>
    </w:p>
    <w:p w:rsidR="004F3E0E" w:rsidRDefault="004F3E0E" w:rsidP="004F3E0E">
      <w:pPr>
        <w:pStyle w:val="a3"/>
        <w:rPr>
          <w:kern w:val="0"/>
          <w:szCs w:val="24"/>
        </w:rPr>
      </w:pPr>
      <w:r>
        <w:rPr>
          <w:rFonts w:hint="eastAsia"/>
          <w:kern w:val="0"/>
        </w:rPr>
        <w:t xml:space="preserve">? </w:t>
      </w:r>
      <w:r>
        <w:rPr>
          <w:kern w:val="0"/>
        </w:rPr>
        <w:t xml:space="preserve">Uuskula, A., Toompere, K., Laisaar, K.T., Rosenthal, M., Purjer, M.L., Knellwolf, A., Laara, E. and Jarlais, D.C.D. (2015), HIV research productivity and structural factors associated with HIV research output in European Union countries: A bibliometric analysis. </w:t>
      </w:r>
      <w:r>
        <w:rPr>
          <w:i/>
          <w:iCs/>
          <w:kern w:val="0"/>
        </w:rPr>
        <w:t>BMJ Open</w:t>
      </w:r>
      <w:r>
        <w:rPr>
          <w:kern w:val="0"/>
        </w:rPr>
        <w:t xml:space="preserve">, </w:t>
      </w:r>
      <w:r>
        <w:rPr>
          <w:b/>
          <w:bCs/>
          <w:kern w:val="0"/>
        </w:rPr>
        <w:t>5</w:t>
      </w:r>
      <w:r>
        <w:rPr>
          <w:kern w:val="0"/>
        </w:rPr>
        <w:t xml:space="preserve"> (2</w:t>
      </w:r>
      <w:r>
        <w:rPr>
          <w:rFonts w:hint="eastAsia"/>
          <w:kern w:val="0"/>
        </w:rPr>
        <w:t>),</w:t>
      </w:r>
      <w:r w:rsidRPr="006914DA">
        <w:rPr>
          <w:kern w:val="0"/>
          <w:szCs w:val="24"/>
        </w:rPr>
        <w:t xml:space="preserve"> </w:t>
      </w:r>
      <w:r w:rsidRPr="00BD47B6">
        <w:rPr>
          <w:kern w:val="0"/>
          <w:szCs w:val="24"/>
        </w:rPr>
        <w:t>Article Number:</w:t>
      </w:r>
      <w:r>
        <w:rPr>
          <w:rFonts w:hint="eastAsia"/>
          <w:kern w:val="0"/>
          <w:szCs w:val="24"/>
        </w:rPr>
        <w:t xml:space="preserve"> </w:t>
      </w:r>
      <w:r w:rsidRPr="006914DA">
        <w:rPr>
          <w:kern w:val="0"/>
        </w:rPr>
        <w:t>e006591</w:t>
      </w:r>
      <w:r>
        <w:rPr>
          <w:kern w:val="0"/>
          <w:szCs w:val="24"/>
        </w:rPr>
        <w:t>.</w:t>
      </w:r>
    </w:p>
    <w:p w:rsidR="004F3E0E" w:rsidRDefault="004F3E0E" w:rsidP="004F3E0E">
      <w:pPr>
        <w:pStyle w:val="a3"/>
        <w:rPr>
          <w:kern w:val="0"/>
        </w:rPr>
      </w:pPr>
      <w:r>
        <w:rPr>
          <w:rFonts w:hint="eastAsia"/>
          <w:kern w:val="0"/>
        </w:rPr>
        <w:t xml:space="preserve">Full Text: </w:t>
      </w:r>
      <w:hyperlink r:id="rId1774" w:history="1">
        <w:r w:rsidRPr="004F3E0E">
          <w:rPr>
            <w:rStyle w:val="a5"/>
            <w:kern w:val="0"/>
          </w:rPr>
          <w:t>2015\BMJ Ope5, e006591.pdf</w:t>
        </w:r>
      </w:hyperlink>
    </w:p>
    <w:p w:rsidR="004F3E0E" w:rsidRDefault="004F3E0E" w:rsidP="004F3E0E">
      <w:pPr>
        <w:pStyle w:val="a3"/>
        <w:rPr>
          <w:kern w:val="0"/>
        </w:rPr>
      </w:pPr>
      <w:r>
        <w:rPr>
          <w:kern w:val="0"/>
        </w:rPr>
        <w:t xml:space="preserve">Abstract: Objectives: To assess HIV/AIDS research productivity in the 27 countries of the European Union (EU), and the structural level factors associated with levels of HIV/AIDS research productivity. Methods: A bibliometric analysis was conducted with systematic search methods used to locate HIV/AIDS research publications (period of 1 January 2002 to 31 December 2011; search databases: MEDLINE (Ovid, PubMed), EMBASE, ISI-Thomson Web of Science; no language restrictions). The publication rate (number of HIV/AIDS research publications per million population in 10 years) and the rate of articles published in HIV/AIDS journals and selected journals with moderate to very high (IF &gt;= 3) 5-year impact factors were used as markers for HIV research productivity. A negative binomial regression model was fitted to assess the impact of structural level factors (sociodemographic, health, HIV prevalence and research/development indicators) associated with the variation in HIV research productivity. Results: The total numbers of HIV/AIDS research publications in 2002-2011 by country ranged from 7 to 9128 (median 319). The </w:t>
      </w:r>
      <w:r>
        <w:rPr>
          <w:kern w:val="0"/>
        </w:rPr>
        <w:lastRenderedPageBreak/>
        <w:t>median publication rate (per million population in 10 years) was 45 (range 5-150) for all publications. Across all countries, 16% of the HIV/AIDS research was published in HIV/AIDS journals and 7% in selected journals with IF &gt;= 3. Indicators describing economic (gross domestic product), demographic (size of the population) and epidemiological (HIV prevalence) conditions as well as overall scientific activity (total research output) in a country were positively associated with HIV research productivity. Conclusions: HIV research productivity varies noticeably across EU countries, and this variation is associated with recognisable structural factors.</w:t>
      </w:r>
    </w:p>
    <w:p w:rsidR="004F3E0E" w:rsidRDefault="004F3E0E" w:rsidP="004F3E0E">
      <w:pPr>
        <w:pStyle w:val="a3"/>
        <w:rPr>
          <w:kern w:val="0"/>
        </w:rPr>
      </w:pPr>
      <w:r>
        <w:rPr>
          <w:kern w:val="0"/>
        </w:rPr>
        <w:t>Keywords: Activity, Africa, Aids Literature, Analysis, Articles, Bibliometric, Bibliometric Analysis, Country, Databases, Economic, Embase, Estonia, Eu, European Union, European Union Countries, Factors, From, Gross Domestic Product, Health, Hiv, Hiv, Aids, Hiv, Aids Research, If, Impact, Impact Factors, Indicators, Journals, Language, Medline, Methods, Model, Negative, Population, Prevalence, Productivity, Publication, Publication Rate, Publications, Pubmed, Regression, Regression Model, Research, Research Output, Research Productivity, Restrictions, Results, Science, Size, Systematic, Web, Web Of Science</w:t>
      </w:r>
    </w:p>
    <w:p w:rsidR="009840F6" w:rsidRDefault="009840F6" w:rsidP="009840F6">
      <w:pPr>
        <w:pStyle w:val="a3"/>
        <w:rPr>
          <w:kern w:val="0"/>
          <w:szCs w:val="24"/>
        </w:rPr>
      </w:pPr>
      <w:r>
        <w:rPr>
          <w:kern w:val="0"/>
        </w:rPr>
        <w:t xml:space="preserve">? Mitchell, E.D., Pickwell-Smith, B. and Macleod, U. (2015), Risk factors for emergency presentation with lung and colorectal cancers: A systematic review. </w:t>
      </w:r>
      <w:r>
        <w:rPr>
          <w:i/>
          <w:iCs/>
          <w:kern w:val="0"/>
        </w:rPr>
        <w:t>BMJ Open</w:t>
      </w:r>
      <w:r>
        <w:rPr>
          <w:kern w:val="0"/>
        </w:rPr>
        <w:t xml:space="preserve">, </w:t>
      </w:r>
      <w:r>
        <w:rPr>
          <w:b/>
          <w:bCs/>
          <w:kern w:val="0"/>
        </w:rPr>
        <w:t>5</w:t>
      </w:r>
      <w:r>
        <w:rPr>
          <w:kern w:val="0"/>
        </w:rPr>
        <w:t xml:space="preserve"> (4),</w:t>
      </w:r>
      <w:r w:rsidRPr="006914DA">
        <w:rPr>
          <w:kern w:val="0"/>
          <w:szCs w:val="24"/>
        </w:rPr>
        <w:t xml:space="preserve"> </w:t>
      </w:r>
      <w:r w:rsidRPr="00BD47B6">
        <w:rPr>
          <w:kern w:val="0"/>
          <w:szCs w:val="24"/>
        </w:rPr>
        <w:t>Article Number:</w:t>
      </w:r>
      <w:r>
        <w:rPr>
          <w:rFonts w:hint="eastAsia"/>
          <w:kern w:val="0"/>
          <w:szCs w:val="24"/>
        </w:rPr>
        <w:t xml:space="preserve"> </w:t>
      </w:r>
      <w:r w:rsidRPr="004A4D7C">
        <w:rPr>
          <w:kern w:val="0"/>
        </w:rPr>
        <w:t>e006965</w:t>
      </w:r>
      <w:r>
        <w:rPr>
          <w:kern w:val="0"/>
          <w:szCs w:val="24"/>
        </w:rPr>
        <w:t>.</w:t>
      </w:r>
    </w:p>
    <w:p w:rsidR="009840F6" w:rsidRDefault="009840F6" w:rsidP="009840F6">
      <w:pPr>
        <w:pStyle w:val="a3"/>
        <w:rPr>
          <w:kern w:val="0"/>
        </w:rPr>
      </w:pPr>
      <w:r>
        <w:rPr>
          <w:rFonts w:hint="eastAsia"/>
          <w:kern w:val="0"/>
        </w:rPr>
        <w:t xml:space="preserve">Full Text: </w:t>
      </w:r>
      <w:hyperlink r:id="rId1775" w:history="1">
        <w:r w:rsidRPr="002949D0">
          <w:rPr>
            <w:rStyle w:val="a5"/>
            <w:kern w:val="0"/>
          </w:rPr>
          <w:t>2015\BMJ Ope5, e006965.pdf</w:t>
        </w:r>
      </w:hyperlink>
    </w:p>
    <w:p w:rsidR="009840F6" w:rsidRDefault="009840F6" w:rsidP="009840F6">
      <w:pPr>
        <w:pStyle w:val="a3"/>
        <w:rPr>
          <w:kern w:val="0"/>
        </w:rPr>
      </w:pPr>
      <w:r>
        <w:rPr>
          <w:kern w:val="0"/>
        </w:rPr>
        <w:t xml:space="preserve">Abstract: Objective: To identify patient and practitioner factors that influence cancer diagnosis via emergency presentation (EP). Design: Systematic review. Data sources: MEDLINE, EMBASE, CINAHL, EBM Reviews, Science and Social Sciences Citation Indexes, Conference Proceedings Citation Index-Science and Conference Proceedings Citation Index-Social Science and Humanities. Searches were undertaken from 1996 to 2014. No language restrictions were applied. Study selection: Studies of any design assessing factors associated with diagnosis of colorectal or lung cancer via EP, or describing an intervention to impact on EP, were included. Studies involving previously diagnosed cancer patients, assessing only referral pathway effectiveness, outcomes related to diagnosis or post-EP management were excluded. The population was individual or groups of adult patients or primary care practitioners. Two authors independently screened studies for inclusion. Results: 22 studies with over 200 000 EPs were included, most providing strong evidence. Five were graded ‘insufficient’, primarily due to missing information rather than methodological weakness. Older patient age was associated with EP for lung and colorectal cancers (OR 1.11-11.03 and 1.19-5.85, respectively). Women were more at risk of EP for lung but not colorectal cancer. Higher deprivation increased the likelihood of lung cancer EP, but evidence for colorectal was less conclusive. Being unmarried (or divorced/widowed) increased the </w:t>
      </w:r>
      <w:r>
        <w:rPr>
          <w:kern w:val="0"/>
        </w:rPr>
        <w:lastRenderedPageBreak/>
        <w:t>likelihood of EP for colorectal cancer, which was also associated with pain, obstruction and weight loss. Lack of a regular source of primary care, and lower primary care use were positively associated with EP. Only three studies considered practitioner factors, two involving diagnostic tests. No conclusive evidence was found. Conclusions: Patient-related factors, such as age, gender and deprivation, increase the likelihood of cancer being diagnosed as the result of an EP, while cancer symptoms and patterns of healthcare utilisation are also relevant. Further work is needed to understand the context in which risk factors for EP exist and influence help-seeking.</w:t>
      </w:r>
    </w:p>
    <w:p w:rsidR="009840F6" w:rsidRDefault="009840F6" w:rsidP="009840F6">
      <w:pPr>
        <w:pStyle w:val="a3"/>
        <w:rPr>
          <w:kern w:val="0"/>
        </w:rPr>
      </w:pPr>
      <w:r>
        <w:rPr>
          <w:kern w:val="0"/>
        </w:rPr>
        <w:t>Keywords: Admission, Adult, Age, Assessing, Authors, Breast, Cancer, Care, Citation, Colon-Cancer, Colorectal Cancer, Conference, Context, Data, Deprivation, Design, Diagnosis, Diagnostic, Diagnostic Tests, Ebm, Effectiveness, Embase, Emergency, Evidence, Factors, From, Gender, Groups, Humanities, Impact, Influence, Information, Intervention, Language, Lung, Lung Cancer, Management, Medline, Mortality, Outcomes, Pain, Patient, Patients, Population, Presentation, Primary, Primary Care, Proceedings, Referral Patterns, Regular, Restrictions, Results, Review, Risk, Risk Factors, Science, Sciences, Selection, Social Sciences, Source, Sources, Surgery, Survival, Symptoms, Systematic, Systematic Review, Utilisation, Weight Loss, Women, Work</w:t>
      </w:r>
    </w:p>
    <w:p w:rsidR="00885BD0" w:rsidRPr="001A3D2B" w:rsidRDefault="00885BD0" w:rsidP="00885BD0">
      <w:pPr>
        <w:pStyle w:val="1"/>
      </w:pPr>
      <w:r w:rsidRPr="001A3D2B">
        <w:br w:type="page"/>
      </w:r>
      <w:bookmarkStart w:id="866" w:name="_Toc420814780"/>
      <w:r w:rsidRPr="001A3D2B">
        <w:lastRenderedPageBreak/>
        <w:t xml:space="preserve">Title: </w:t>
      </w:r>
      <w:r w:rsidR="009D3BF8" w:rsidRPr="009D3BF8">
        <w:rPr>
          <w:szCs w:val="24"/>
        </w:rPr>
        <w:t xml:space="preserve">BMJ </w:t>
      </w:r>
      <w:r w:rsidR="009D3BF8" w:rsidRPr="009D3BF8">
        <w:rPr>
          <w:iCs w:val="0"/>
          <w:szCs w:val="24"/>
        </w:rPr>
        <w:t>Quality &amp; Safety</w:t>
      </w:r>
      <w:bookmarkEnd w:id="866"/>
    </w:p>
    <w:p w:rsidR="00885BD0" w:rsidRPr="001A3D2B" w:rsidRDefault="00885BD0" w:rsidP="00885BD0">
      <w:pPr>
        <w:pStyle w:val="12"/>
      </w:pPr>
      <w:r w:rsidRPr="001A3D2B">
        <w:t xml:space="preserve">Full Journal Title: </w:t>
      </w:r>
      <w:r w:rsidR="009D3BF8" w:rsidRPr="009D3BF8">
        <w:rPr>
          <w:kern w:val="0"/>
        </w:rPr>
        <w:t>BMJ Quality &amp; Safety</w:t>
      </w:r>
    </w:p>
    <w:p w:rsidR="00885BD0" w:rsidRPr="001A3D2B" w:rsidRDefault="00885BD0" w:rsidP="00885BD0">
      <w:pPr>
        <w:pStyle w:val="12"/>
      </w:pPr>
      <w:r w:rsidRPr="001A3D2B">
        <w:t xml:space="preserve">ISO Abbreviated Title: </w:t>
      </w:r>
    </w:p>
    <w:p w:rsidR="00885BD0" w:rsidRPr="001A3D2B" w:rsidRDefault="00885BD0" w:rsidP="00885BD0">
      <w:pPr>
        <w:pStyle w:val="12"/>
      </w:pPr>
      <w:r w:rsidRPr="001A3D2B">
        <w:t xml:space="preserve">JCR Abbreviated Title: </w:t>
      </w:r>
    </w:p>
    <w:p w:rsidR="00885BD0" w:rsidRPr="001A3D2B" w:rsidRDefault="00885BD0" w:rsidP="00885BD0">
      <w:pPr>
        <w:pStyle w:val="12"/>
      </w:pPr>
      <w:r w:rsidRPr="001A3D2B">
        <w:t xml:space="preserve">ISSN: </w:t>
      </w:r>
    </w:p>
    <w:p w:rsidR="00885BD0" w:rsidRPr="001A3D2B" w:rsidRDefault="00885BD0" w:rsidP="00885BD0">
      <w:pPr>
        <w:pStyle w:val="12"/>
      </w:pPr>
      <w:r w:rsidRPr="001A3D2B">
        <w:t xml:space="preserve">Issues/Year: </w:t>
      </w:r>
    </w:p>
    <w:p w:rsidR="00885BD0" w:rsidRPr="001A3D2B" w:rsidRDefault="00885BD0" w:rsidP="00885BD0">
      <w:pPr>
        <w:pStyle w:val="12"/>
      </w:pPr>
      <w:r w:rsidRPr="001A3D2B">
        <w:t xml:space="preserve">Journal Country/Territory: </w:t>
      </w:r>
    </w:p>
    <w:p w:rsidR="00885BD0" w:rsidRPr="001A3D2B" w:rsidRDefault="00885BD0" w:rsidP="00885BD0">
      <w:pPr>
        <w:pStyle w:val="12"/>
      </w:pPr>
      <w:r w:rsidRPr="001A3D2B">
        <w:t xml:space="preserve">Language: </w:t>
      </w:r>
    </w:p>
    <w:p w:rsidR="00885BD0" w:rsidRPr="001A3D2B" w:rsidRDefault="00885BD0" w:rsidP="00885BD0">
      <w:pPr>
        <w:pStyle w:val="12"/>
      </w:pPr>
      <w:r w:rsidRPr="001A3D2B">
        <w:t xml:space="preserve">Publisher: </w:t>
      </w:r>
    </w:p>
    <w:p w:rsidR="00885BD0" w:rsidRPr="001A3D2B" w:rsidRDefault="00885BD0" w:rsidP="00885BD0">
      <w:pPr>
        <w:pStyle w:val="12"/>
      </w:pPr>
      <w:r w:rsidRPr="001A3D2B">
        <w:t xml:space="preserve">Publisher Address: </w:t>
      </w:r>
    </w:p>
    <w:p w:rsidR="00885BD0" w:rsidRPr="001A3D2B" w:rsidRDefault="00885BD0" w:rsidP="00885BD0">
      <w:pPr>
        <w:pStyle w:val="12"/>
      </w:pPr>
      <w:r w:rsidRPr="001A3D2B">
        <w:t xml:space="preserve">Subject Categories: </w:t>
      </w:r>
    </w:p>
    <w:p w:rsidR="00885BD0" w:rsidRPr="001A3D2B" w:rsidRDefault="00885BD0" w:rsidP="00885BD0">
      <w:pPr>
        <w:pStyle w:val="12"/>
      </w:pPr>
      <w:r w:rsidRPr="001A3D2B">
        <w:t xml:space="preserve">: Impact Factor </w:t>
      </w:r>
    </w:p>
    <w:p w:rsidR="009D3BF8" w:rsidRDefault="009D3BF8" w:rsidP="009D3BF8">
      <w:pPr>
        <w:pStyle w:val="a3"/>
        <w:rPr>
          <w:kern w:val="0"/>
          <w:szCs w:val="24"/>
        </w:rPr>
      </w:pPr>
      <w:r>
        <w:rPr>
          <w:rFonts w:hint="eastAsia"/>
          <w:kern w:val="0"/>
          <w:szCs w:val="24"/>
        </w:rPr>
        <w:t xml:space="preserve">? </w:t>
      </w:r>
      <w:r>
        <w:rPr>
          <w:kern w:val="0"/>
          <w:szCs w:val="24"/>
        </w:rPr>
        <w:t>Angelow, A.</w:t>
      </w:r>
      <w:r w:rsidR="005853A9">
        <w:rPr>
          <w:kern w:val="0"/>
          <w:szCs w:val="24"/>
        </w:rPr>
        <w:t xml:space="preserve"> and </w:t>
      </w:r>
      <w:r>
        <w:rPr>
          <w:kern w:val="0"/>
          <w:szCs w:val="24"/>
        </w:rPr>
        <w:t>Black, N. (2011</w:t>
      </w:r>
      <w:r w:rsidR="00F42EAC">
        <w:rPr>
          <w:kern w:val="0"/>
          <w:szCs w:val="24"/>
        </w:rPr>
        <w:t>), The</w:t>
      </w:r>
      <w:r w:rsidR="003A1917">
        <w:rPr>
          <w:kern w:val="0"/>
          <w:szCs w:val="24"/>
        </w:rPr>
        <w:t xml:space="preserve"> </w:t>
      </w:r>
      <w:r>
        <w:rPr>
          <w:kern w:val="0"/>
          <w:szCs w:val="24"/>
        </w:rPr>
        <w:t>use</w:t>
      </w:r>
      <w:r w:rsidR="005853A9">
        <w:rPr>
          <w:kern w:val="0"/>
          <w:szCs w:val="24"/>
        </w:rPr>
        <w:t xml:space="preserve"> and </w:t>
      </w:r>
      <w:r>
        <w:rPr>
          <w:kern w:val="0"/>
          <w:szCs w:val="24"/>
        </w:rPr>
        <w:t>impact</w:t>
      </w:r>
      <w:r w:rsidR="00427468">
        <w:rPr>
          <w:kern w:val="0"/>
          <w:szCs w:val="24"/>
        </w:rPr>
        <w:t xml:space="preserve"> of </w:t>
      </w:r>
      <w:r>
        <w:rPr>
          <w:kern w:val="0"/>
          <w:szCs w:val="24"/>
        </w:rPr>
        <w:t xml:space="preserve">national confidential enquiries in high-income countries. </w:t>
      </w:r>
      <w:r w:rsidRPr="009D3BF8">
        <w:rPr>
          <w:i/>
          <w:kern w:val="0"/>
          <w:szCs w:val="24"/>
        </w:rPr>
        <w:t>BMJ Quality &amp; Safety</w:t>
      </w:r>
      <w:r>
        <w:rPr>
          <w:kern w:val="0"/>
          <w:szCs w:val="24"/>
        </w:rPr>
        <w:t xml:space="preserve">, </w:t>
      </w:r>
      <w:r>
        <w:rPr>
          <w:b/>
          <w:bCs/>
          <w:kern w:val="0"/>
          <w:szCs w:val="24"/>
        </w:rPr>
        <w:t>20</w:t>
      </w:r>
      <w:r>
        <w:rPr>
          <w:kern w:val="0"/>
          <w:szCs w:val="24"/>
        </w:rPr>
        <w:t xml:space="preserve"> (1), 38-45.</w:t>
      </w:r>
    </w:p>
    <w:p w:rsidR="009D3BF8" w:rsidRDefault="009D3BF8" w:rsidP="009D3BF8">
      <w:pPr>
        <w:pStyle w:val="a3"/>
        <w:rPr>
          <w:kern w:val="0"/>
          <w:szCs w:val="24"/>
        </w:rPr>
      </w:pPr>
      <w:r>
        <w:rPr>
          <w:rFonts w:hint="eastAsia"/>
          <w:kern w:val="0"/>
          <w:szCs w:val="24"/>
        </w:rPr>
        <w:t xml:space="preserve">Full Text: </w:t>
      </w:r>
      <w:hyperlink r:id="rId1776" w:history="1">
        <w:r w:rsidR="00896FDC" w:rsidRPr="00896FDC">
          <w:rPr>
            <w:rStyle w:val="a5"/>
            <w:kern w:val="0"/>
            <w:szCs w:val="24"/>
          </w:rPr>
          <w:t>2011\BMJ Qua Saf20, 38.pdf</w:t>
        </w:r>
      </w:hyperlink>
    </w:p>
    <w:p w:rsidR="009D3BF8" w:rsidRDefault="009D3BF8" w:rsidP="009D3BF8">
      <w:pPr>
        <w:pStyle w:val="a3"/>
        <w:rPr>
          <w:kern w:val="0"/>
          <w:szCs w:val="24"/>
        </w:rPr>
      </w:pPr>
      <w:r>
        <w:rPr>
          <w:kern w:val="0"/>
          <w:szCs w:val="24"/>
        </w:rPr>
        <w:t>Abstract: Objective: To describe</w:t>
      </w:r>
      <w:r w:rsidR="003A1917">
        <w:rPr>
          <w:kern w:val="0"/>
          <w:szCs w:val="24"/>
        </w:rPr>
        <w:t xml:space="preserve"> the </w:t>
      </w:r>
      <w:r>
        <w:rPr>
          <w:kern w:val="0"/>
          <w:szCs w:val="24"/>
        </w:rPr>
        <w:t>use</w:t>
      </w:r>
      <w:r w:rsidR="005853A9">
        <w:rPr>
          <w:kern w:val="0"/>
          <w:szCs w:val="24"/>
        </w:rPr>
        <w:t xml:space="preserve"> and </w:t>
      </w:r>
      <w:r>
        <w:rPr>
          <w:kern w:val="0"/>
          <w:szCs w:val="24"/>
        </w:rPr>
        <w:t>characteristics</w:t>
      </w:r>
      <w:r w:rsidR="00427468">
        <w:rPr>
          <w:kern w:val="0"/>
          <w:szCs w:val="24"/>
        </w:rPr>
        <w:t xml:space="preserve"> of </w:t>
      </w:r>
      <w:r>
        <w:rPr>
          <w:kern w:val="0"/>
          <w:szCs w:val="24"/>
        </w:rPr>
        <w:t>national confidential enquiries (NCEs) into adverse outcomes</w:t>
      </w:r>
      <w:r w:rsidR="00427468">
        <w:rPr>
          <w:kern w:val="0"/>
          <w:szCs w:val="24"/>
        </w:rPr>
        <w:t xml:space="preserve"> of </w:t>
      </w:r>
      <w:r>
        <w:rPr>
          <w:kern w:val="0"/>
          <w:szCs w:val="24"/>
        </w:rPr>
        <w:t>healthcare in high-income countries</w:t>
      </w:r>
      <w:r w:rsidR="005853A9">
        <w:rPr>
          <w:kern w:val="0"/>
          <w:szCs w:val="24"/>
        </w:rPr>
        <w:t xml:space="preserve"> and </w:t>
      </w:r>
      <w:r>
        <w:rPr>
          <w:kern w:val="0"/>
          <w:szCs w:val="24"/>
        </w:rPr>
        <w:t>to review</w:t>
      </w:r>
      <w:r w:rsidR="003A1917">
        <w:rPr>
          <w:kern w:val="0"/>
          <w:szCs w:val="24"/>
        </w:rPr>
        <w:t xml:space="preserve"> the </w:t>
      </w:r>
      <w:r>
        <w:rPr>
          <w:kern w:val="0"/>
          <w:szCs w:val="24"/>
        </w:rPr>
        <w:t>evidence</w:t>
      </w:r>
      <w:r w:rsidR="00427468">
        <w:rPr>
          <w:kern w:val="0"/>
          <w:szCs w:val="24"/>
        </w:rPr>
        <w:t xml:space="preserve"> of </w:t>
      </w:r>
      <w:r>
        <w:rPr>
          <w:kern w:val="0"/>
          <w:szCs w:val="24"/>
        </w:rPr>
        <w:t>their impact. Method: Systematic search</w:t>
      </w:r>
      <w:r w:rsidR="00427468">
        <w:rPr>
          <w:kern w:val="0"/>
          <w:szCs w:val="24"/>
        </w:rPr>
        <w:t xml:space="preserve"> of </w:t>
      </w:r>
      <w:r>
        <w:rPr>
          <w:kern w:val="0"/>
          <w:szCs w:val="24"/>
        </w:rPr>
        <w:t>bibliometric databases plus review</w:t>
      </w:r>
      <w:r w:rsidR="00427468">
        <w:rPr>
          <w:kern w:val="0"/>
          <w:szCs w:val="24"/>
        </w:rPr>
        <w:t xml:space="preserve"> of </w:t>
      </w:r>
      <w:r>
        <w:rPr>
          <w:kern w:val="0"/>
          <w:szCs w:val="24"/>
        </w:rPr>
        <w:t>cited references</w:t>
      </w:r>
      <w:r w:rsidR="005853A9">
        <w:rPr>
          <w:kern w:val="0"/>
          <w:szCs w:val="24"/>
        </w:rPr>
        <w:t xml:space="preserve"> and </w:t>
      </w:r>
      <w:r>
        <w:rPr>
          <w:kern w:val="0"/>
          <w:szCs w:val="24"/>
        </w:rPr>
        <w:t>search</w:t>
      </w:r>
      <w:r w:rsidR="00427468">
        <w:rPr>
          <w:kern w:val="0"/>
          <w:szCs w:val="24"/>
        </w:rPr>
        <w:t xml:space="preserve"> of </w:t>
      </w:r>
      <w:r>
        <w:rPr>
          <w:kern w:val="0"/>
          <w:szCs w:val="24"/>
        </w:rPr>
        <w:t>websites. Eleven characteristics</w:t>
      </w:r>
      <w:r w:rsidR="00427468">
        <w:rPr>
          <w:kern w:val="0"/>
          <w:szCs w:val="24"/>
        </w:rPr>
        <w:t xml:space="preserve"> of </w:t>
      </w:r>
      <w:r>
        <w:rPr>
          <w:kern w:val="0"/>
          <w:szCs w:val="24"/>
        </w:rPr>
        <w:t>NCEs were extracted. Studies evaluating</w:t>
      </w:r>
      <w:r w:rsidR="003A1917">
        <w:rPr>
          <w:kern w:val="0"/>
          <w:szCs w:val="24"/>
        </w:rPr>
        <w:t xml:space="preserve"> the </w:t>
      </w:r>
      <w:r>
        <w:rPr>
          <w:kern w:val="0"/>
          <w:szCs w:val="24"/>
        </w:rPr>
        <w:t>impact</w:t>
      </w:r>
      <w:r w:rsidR="00427468">
        <w:rPr>
          <w:kern w:val="0"/>
          <w:szCs w:val="24"/>
        </w:rPr>
        <w:t xml:space="preserve"> of </w:t>
      </w:r>
      <w:r>
        <w:rPr>
          <w:kern w:val="0"/>
          <w:szCs w:val="24"/>
        </w:rPr>
        <w:t>three NCEs were searched for. Data were extracted</w:t>
      </w:r>
      <w:r w:rsidR="005853A9">
        <w:rPr>
          <w:kern w:val="0"/>
          <w:szCs w:val="24"/>
        </w:rPr>
        <w:t xml:space="preserve"> and </w:t>
      </w:r>
      <w:r>
        <w:rPr>
          <w:kern w:val="0"/>
          <w:szCs w:val="24"/>
        </w:rPr>
        <w:t>tabulated,</w:t>
      </w:r>
      <w:r w:rsidR="005853A9">
        <w:rPr>
          <w:kern w:val="0"/>
          <w:szCs w:val="24"/>
        </w:rPr>
        <w:t xml:space="preserve"> and </w:t>
      </w:r>
      <w:r>
        <w:rPr>
          <w:kern w:val="0"/>
          <w:szCs w:val="24"/>
        </w:rPr>
        <w:t>a narrative review conducted. Results: Establishment</w:t>
      </w:r>
      <w:r w:rsidR="00427468">
        <w:rPr>
          <w:kern w:val="0"/>
          <w:szCs w:val="24"/>
        </w:rPr>
        <w:t xml:space="preserve"> of </w:t>
      </w:r>
      <w:r>
        <w:rPr>
          <w:kern w:val="0"/>
          <w:szCs w:val="24"/>
        </w:rPr>
        <w:t>NCEs has been limited with only 27 examples identified in over 50 years</w:t>
      </w:r>
      <w:r w:rsidR="005853A9">
        <w:rPr>
          <w:kern w:val="0"/>
          <w:szCs w:val="24"/>
        </w:rPr>
        <w:t xml:space="preserve"> and </w:t>
      </w:r>
      <w:r>
        <w:rPr>
          <w:kern w:val="0"/>
          <w:szCs w:val="24"/>
        </w:rPr>
        <w:t>only nine currently functioning</w:t>
      </w:r>
      <w:r w:rsidR="00A37C1D">
        <w:rPr>
          <w:kern w:val="0"/>
          <w:szCs w:val="24"/>
        </w:rPr>
        <w:t>. The</w:t>
      </w:r>
      <w:r>
        <w:rPr>
          <w:kern w:val="0"/>
          <w:szCs w:val="24"/>
        </w:rPr>
        <w:t>y have been particularly popular in</w:t>
      </w:r>
      <w:r w:rsidR="003A1917">
        <w:rPr>
          <w:kern w:val="0"/>
          <w:szCs w:val="24"/>
        </w:rPr>
        <w:t xml:space="preserve"> the </w:t>
      </w:r>
      <w:r>
        <w:rPr>
          <w:kern w:val="0"/>
          <w:szCs w:val="24"/>
        </w:rPr>
        <w:t>nations</w:t>
      </w:r>
      <w:r w:rsidR="00427468">
        <w:rPr>
          <w:kern w:val="0"/>
          <w:szCs w:val="24"/>
        </w:rPr>
        <w:t xml:space="preserve"> of </w:t>
      </w:r>
      <w:r w:rsidR="003A1917">
        <w:rPr>
          <w:kern w:val="0"/>
          <w:szCs w:val="24"/>
        </w:rPr>
        <w:t xml:space="preserve">the </w:t>
      </w:r>
      <w:r>
        <w:rPr>
          <w:kern w:val="0"/>
          <w:szCs w:val="24"/>
        </w:rPr>
        <w:t>UK (17</w:t>
      </w:r>
      <w:r w:rsidR="00427468">
        <w:rPr>
          <w:kern w:val="0"/>
          <w:szCs w:val="24"/>
        </w:rPr>
        <w:t xml:space="preserve"> of </w:t>
      </w:r>
      <w:r w:rsidR="003A1917">
        <w:rPr>
          <w:kern w:val="0"/>
          <w:szCs w:val="24"/>
        </w:rPr>
        <w:t xml:space="preserve">the </w:t>
      </w:r>
      <w:r>
        <w:rPr>
          <w:kern w:val="0"/>
          <w:szCs w:val="24"/>
        </w:rPr>
        <w:t>27)</w:t>
      </w:r>
      <w:r w:rsidR="005853A9">
        <w:rPr>
          <w:kern w:val="0"/>
          <w:szCs w:val="24"/>
        </w:rPr>
        <w:t xml:space="preserve"> and </w:t>
      </w:r>
      <w:r>
        <w:rPr>
          <w:kern w:val="0"/>
          <w:szCs w:val="24"/>
        </w:rPr>
        <w:t>in services around childbirth (15/27). NCEs mostly include all cases (19/23)</w:t>
      </w:r>
      <w:r w:rsidR="005853A9">
        <w:rPr>
          <w:kern w:val="0"/>
          <w:szCs w:val="24"/>
        </w:rPr>
        <w:t xml:space="preserve"> and </w:t>
      </w:r>
      <w:r>
        <w:rPr>
          <w:kern w:val="0"/>
          <w:szCs w:val="24"/>
        </w:rPr>
        <w:t>include adverse outcomes both during</w:t>
      </w:r>
      <w:r w:rsidR="005853A9">
        <w:rPr>
          <w:kern w:val="0"/>
          <w:szCs w:val="24"/>
        </w:rPr>
        <w:t xml:space="preserve"> and </w:t>
      </w:r>
      <w:r>
        <w:rPr>
          <w:kern w:val="0"/>
          <w:szCs w:val="24"/>
        </w:rPr>
        <w:t>after</w:t>
      </w:r>
      <w:r w:rsidR="003A1917">
        <w:rPr>
          <w:kern w:val="0"/>
          <w:szCs w:val="24"/>
        </w:rPr>
        <w:t xml:space="preserve"> the </w:t>
      </w:r>
      <w:r>
        <w:rPr>
          <w:kern w:val="0"/>
          <w:szCs w:val="24"/>
        </w:rPr>
        <w:t>initial hospital episode (17/23)</w:t>
      </w:r>
      <w:r w:rsidR="00A37C1D">
        <w:rPr>
          <w:kern w:val="0"/>
          <w:szCs w:val="24"/>
        </w:rPr>
        <w:t>. The</w:t>
      </w:r>
      <w:r w:rsidR="003A1917">
        <w:rPr>
          <w:kern w:val="0"/>
          <w:szCs w:val="24"/>
        </w:rPr>
        <w:t xml:space="preserve"> </w:t>
      </w:r>
      <w:r>
        <w:rPr>
          <w:kern w:val="0"/>
          <w:szCs w:val="24"/>
        </w:rPr>
        <w:t>annual volume</w:t>
      </w:r>
      <w:r w:rsidR="00427468">
        <w:rPr>
          <w:kern w:val="0"/>
          <w:szCs w:val="24"/>
        </w:rPr>
        <w:t xml:space="preserve"> of </w:t>
      </w:r>
      <w:r>
        <w:rPr>
          <w:kern w:val="0"/>
          <w:szCs w:val="24"/>
        </w:rPr>
        <w:t xml:space="preserve">cases varies from four to over 6000. With one exception, NCEs make no attempt to use </w:t>
      </w:r>
      <w:r w:rsidR="00700038">
        <w:rPr>
          <w:kern w:val="0"/>
          <w:szCs w:val="24"/>
        </w:rPr>
        <w:t>‘</w:t>
      </w:r>
      <w:r>
        <w:rPr>
          <w:kern w:val="0"/>
          <w:szCs w:val="24"/>
        </w:rPr>
        <w:t>controls.</w:t>
      </w:r>
      <w:r w:rsidR="00700038">
        <w:rPr>
          <w:kern w:val="0"/>
          <w:szCs w:val="24"/>
        </w:rPr>
        <w:t>’</w:t>
      </w:r>
      <w:r>
        <w:rPr>
          <w:kern w:val="0"/>
          <w:szCs w:val="24"/>
        </w:rPr>
        <w:t xml:space="preserve"> Research evidence</w:t>
      </w:r>
      <w:r w:rsidR="00427468">
        <w:rPr>
          <w:kern w:val="0"/>
          <w:szCs w:val="24"/>
        </w:rPr>
        <w:t xml:space="preserve"> of </w:t>
      </w:r>
      <w:r w:rsidR="003A1917">
        <w:rPr>
          <w:kern w:val="0"/>
          <w:szCs w:val="24"/>
        </w:rPr>
        <w:t xml:space="preserve">the </w:t>
      </w:r>
      <w:r>
        <w:rPr>
          <w:kern w:val="0"/>
          <w:szCs w:val="24"/>
        </w:rPr>
        <w:t>impact</w:t>
      </w:r>
      <w:r w:rsidR="00427468">
        <w:rPr>
          <w:kern w:val="0"/>
          <w:szCs w:val="24"/>
        </w:rPr>
        <w:t xml:space="preserve"> of </w:t>
      </w:r>
      <w:r w:rsidR="003A1917">
        <w:rPr>
          <w:kern w:val="0"/>
          <w:szCs w:val="24"/>
        </w:rPr>
        <w:t xml:space="preserve">the </w:t>
      </w:r>
      <w:r>
        <w:rPr>
          <w:kern w:val="0"/>
          <w:szCs w:val="24"/>
        </w:rPr>
        <w:t>recommendations from three</w:t>
      </w:r>
      <w:r w:rsidR="00427468">
        <w:rPr>
          <w:kern w:val="0"/>
          <w:szCs w:val="24"/>
        </w:rPr>
        <w:t xml:space="preserve"> of </w:t>
      </w:r>
      <w:r w:rsidR="003A1917">
        <w:rPr>
          <w:kern w:val="0"/>
          <w:szCs w:val="24"/>
        </w:rPr>
        <w:t xml:space="preserve">the </w:t>
      </w:r>
      <w:r>
        <w:rPr>
          <w:kern w:val="0"/>
          <w:szCs w:val="24"/>
        </w:rPr>
        <w:t>largest</w:t>
      </w:r>
      <w:r w:rsidR="005853A9">
        <w:rPr>
          <w:kern w:val="0"/>
          <w:szCs w:val="24"/>
        </w:rPr>
        <w:t xml:space="preserve"> and </w:t>
      </w:r>
      <w:r>
        <w:rPr>
          <w:kern w:val="0"/>
          <w:szCs w:val="24"/>
        </w:rPr>
        <w:t>longest running NCEs is poor, with no time-series analyses or experimental studies,</w:t>
      </w:r>
      <w:r w:rsidR="005853A9">
        <w:rPr>
          <w:kern w:val="0"/>
          <w:szCs w:val="24"/>
        </w:rPr>
        <w:t xml:space="preserve"> and </w:t>
      </w:r>
      <w:r>
        <w:rPr>
          <w:kern w:val="0"/>
          <w:szCs w:val="24"/>
        </w:rPr>
        <w:t>is restricted to considering their impact on</w:t>
      </w:r>
      <w:r w:rsidR="003A1917">
        <w:rPr>
          <w:kern w:val="0"/>
          <w:szCs w:val="24"/>
        </w:rPr>
        <w:t xml:space="preserve"> the </w:t>
      </w:r>
      <w:r>
        <w:rPr>
          <w:kern w:val="0"/>
          <w:szCs w:val="24"/>
        </w:rPr>
        <w:t>structure</w:t>
      </w:r>
      <w:r w:rsidR="005853A9">
        <w:rPr>
          <w:kern w:val="0"/>
          <w:szCs w:val="24"/>
        </w:rPr>
        <w:t xml:space="preserve"> and </w:t>
      </w:r>
      <w:r>
        <w:rPr>
          <w:kern w:val="0"/>
          <w:szCs w:val="24"/>
        </w:rPr>
        <w:t>process rather than</w:t>
      </w:r>
      <w:r w:rsidR="003A1917">
        <w:rPr>
          <w:kern w:val="0"/>
          <w:szCs w:val="24"/>
        </w:rPr>
        <w:t xml:space="preserve"> the </w:t>
      </w:r>
      <w:r>
        <w:rPr>
          <w:kern w:val="0"/>
          <w:szCs w:val="24"/>
        </w:rPr>
        <w:t>outcome</w:t>
      </w:r>
      <w:r w:rsidR="00427468">
        <w:rPr>
          <w:kern w:val="0"/>
          <w:szCs w:val="24"/>
        </w:rPr>
        <w:t xml:space="preserve"> of </w:t>
      </w:r>
      <w:r>
        <w:rPr>
          <w:kern w:val="0"/>
          <w:szCs w:val="24"/>
        </w:rPr>
        <w:t>care. Conclusions:</w:t>
      </w:r>
      <w:r w:rsidR="003A1917">
        <w:rPr>
          <w:kern w:val="0"/>
          <w:szCs w:val="24"/>
        </w:rPr>
        <w:t xml:space="preserve"> the </w:t>
      </w:r>
      <w:r>
        <w:rPr>
          <w:kern w:val="0"/>
          <w:szCs w:val="24"/>
        </w:rPr>
        <w:t>lack</w:t>
      </w:r>
      <w:r w:rsidR="00427468">
        <w:rPr>
          <w:kern w:val="0"/>
          <w:szCs w:val="24"/>
        </w:rPr>
        <w:t xml:space="preserve"> of </w:t>
      </w:r>
      <w:r>
        <w:rPr>
          <w:kern w:val="0"/>
          <w:szCs w:val="24"/>
        </w:rPr>
        <w:t>scientific evidence on</w:t>
      </w:r>
      <w:r w:rsidR="003A1917">
        <w:rPr>
          <w:kern w:val="0"/>
          <w:szCs w:val="24"/>
        </w:rPr>
        <w:t xml:space="preserve"> the </w:t>
      </w:r>
      <w:r>
        <w:rPr>
          <w:kern w:val="0"/>
          <w:szCs w:val="24"/>
        </w:rPr>
        <w:t>impact</w:t>
      </w:r>
      <w:r w:rsidR="00427468">
        <w:rPr>
          <w:kern w:val="0"/>
          <w:szCs w:val="24"/>
        </w:rPr>
        <w:t xml:space="preserve"> of </w:t>
      </w:r>
      <w:r>
        <w:rPr>
          <w:kern w:val="0"/>
          <w:szCs w:val="24"/>
        </w:rPr>
        <w:t>NCEs on improving safety, combined with uncertainty as to</w:t>
      </w:r>
      <w:r w:rsidR="003A1917">
        <w:rPr>
          <w:kern w:val="0"/>
          <w:szCs w:val="24"/>
        </w:rPr>
        <w:t xml:space="preserve"> the </w:t>
      </w:r>
      <w:r>
        <w:rPr>
          <w:kern w:val="0"/>
          <w:szCs w:val="24"/>
        </w:rPr>
        <w:t>validity</w:t>
      </w:r>
      <w:r w:rsidR="00427468">
        <w:rPr>
          <w:kern w:val="0"/>
          <w:szCs w:val="24"/>
        </w:rPr>
        <w:t xml:space="preserve"> of </w:t>
      </w:r>
      <w:r>
        <w:rPr>
          <w:kern w:val="0"/>
          <w:szCs w:val="24"/>
        </w:rPr>
        <w:t>their recommendations</w:t>
      </w:r>
      <w:r w:rsidR="005853A9">
        <w:rPr>
          <w:kern w:val="0"/>
          <w:szCs w:val="24"/>
        </w:rPr>
        <w:t xml:space="preserve"> and </w:t>
      </w:r>
      <w:r>
        <w:rPr>
          <w:kern w:val="0"/>
          <w:szCs w:val="24"/>
        </w:rPr>
        <w:t>their high cost, suggests</w:t>
      </w:r>
      <w:r w:rsidR="003A1917">
        <w:rPr>
          <w:kern w:val="0"/>
          <w:szCs w:val="24"/>
        </w:rPr>
        <w:t xml:space="preserve"> the </w:t>
      </w:r>
      <w:r>
        <w:rPr>
          <w:kern w:val="0"/>
          <w:szCs w:val="24"/>
        </w:rPr>
        <w:t>need for rigorous evaluation</w:t>
      </w:r>
      <w:r w:rsidR="005853A9">
        <w:rPr>
          <w:kern w:val="0"/>
          <w:szCs w:val="24"/>
        </w:rPr>
        <w:t xml:space="preserve"> and </w:t>
      </w:r>
      <w:r>
        <w:rPr>
          <w:kern w:val="0"/>
          <w:szCs w:val="24"/>
        </w:rPr>
        <w:t>a reconsideration</w:t>
      </w:r>
      <w:r w:rsidR="00427468">
        <w:rPr>
          <w:kern w:val="0"/>
          <w:szCs w:val="24"/>
        </w:rPr>
        <w:t xml:space="preserve"> of </w:t>
      </w:r>
      <w:r>
        <w:rPr>
          <w:kern w:val="0"/>
          <w:szCs w:val="24"/>
        </w:rPr>
        <w:t>their contribution. One option is to nest NCEs within prospective national clinical audits.</w:t>
      </w:r>
    </w:p>
    <w:p w:rsidR="009D3BF8" w:rsidRDefault="009D3BF8" w:rsidP="009D3BF8">
      <w:pPr>
        <w:pStyle w:val="a3"/>
        <w:rPr>
          <w:kern w:val="0"/>
          <w:szCs w:val="24"/>
        </w:rPr>
      </w:pPr>
      <w:r>
        <w:rPr>
          <w:kern w:val="0"/>
          <w:szCs w:val="24"/>
        </w:rPr>
        <w:t xml:space="preserve">Keywords: Adverse Outcomes, Analyses, Asthma Deaths, Bibliometric, Care, Characteristics, Childbirth, Clinical, Confidential, Cost, Databases, Evaluation, </w:t>
      </w:r>
      <w:r>
        <w:rPr>
          <w:kern w:val="0"/>
          <w:szCs w:val="24"/>
        </w:rPr>
        <w:lastRenderedPageBreak/>
        <w:t>Evidence, Experimental, Hospital, Impact, Maternal Mortality, Nations, Outcome, Outcomes, Prospective, Recommendations, References, Research, Review, Safety, Scientific Evidence, Services, Structure, Time Series</w:t>
      </w:r>
      <w:r w:rsidR="00D5664A">
        <w:rPr>
          <w:kern w:val="0"/>
          <w:szCs w:val="24"/>
        </w:rPr>
        <w:t>, UK,</w:t>
      </w:r>
      <w:r>
        <w:rPr>
          <w:kern w:val="0"/>
          <w:szCs w:val="24"/>
        </w:rPr>
        <w:t xml:space="preserve"> Uncertainty, Validity, Volume, Wales</w:t>
      </w:r>
    </w:p>
    <w:p w:rsidR="00C94ACF" w:rsidRDefault="00C94ACF" w:rsidP="00C94ACF">
      <w:pPr>
        <w:pStyle w:val="a3"/>
        <w:rPr>
          <w:kern w:val="0"/>
        </w:rPr>
      </w:pPr>
      <w:r>
        <w:rPr>
          <w:rFonts w:hint="eastAsia"/>
          <w:kern w:val="0"/>
        </w:rPr>
        <w:t xml:space="preserve">? </w:t>
      </w:r>
      <w:r>
        <w:rPr>
          <w:kern w:val="0"/>
        </w:rPr>
        <w:t>Okuyama, A., Martowirono, K.</w:t>
      </w:r>
      <w:r w:rsidR="005853A9">
        <w:rPr>
          <w:kern w:val="0"/>
        </w:rPr>
        <w:t xml:space="preserve"> and </w:t>
      </w:r>
      <w:r>
        <w:rPr>
          <w:kern w:val="0"/>
        </w:rPr>
        <w:t>Bijnen, B. (2011), Assessing</w:t>
      </w:r>
      <w:r w:rsidR="003A1917">
        <w:rPr>
          <w:kern w:val="0"/>
        </w:rPr>
        <w:t xml:space="preserve"> the </w:t>
      </w:r>
      <w:r>
        <w:rPr>
          <w:kern w:val="0"/>
        </w:rPr>
        <w:t>patient safety competencies</w:t>
      </w:r>
      <w:r w:rsidR="00427468">
        <w:rPr>
          <w:kern w:val="0"/>
        </w:rPr>
        <w:t xml:space="preserve"> of </w:t>
      </w:r>
      <w:r>
        <w:rPr>
          <w:kern w:val="0"/>
        </w:rPr>
        <w:t xml:space="preserve">healthcare professionals: A systematic review. </w:t>
      </w:r>
      <w:r>
        <w:rPr>
          <w:i/>
          <w:iCs/>
          <w:kern w:val="0"/>
        </w:rPr>
        <w:t>BMJ Quality &amp; Safety</w:t>
      </w:r>
      <w:r>
        <w:rPr>
          <w:kern w:val="0"/>
        </w:rPr>
        <w:t xml:space="preserve">, </w:t>
      </w:r>
      <w:r>
        <w:rPr>
          <w:b/>
          <w:bCs/>
          <w:kern w:val="0"/>
        </w:rPr>
        <w:t>20</w:t>
      </w:r>
      <w:r>
        <w:rPr>
          <w:kern w:val="0"/>
        </w:rPr>
        <w:t xml:space="preserve"> (11), 991-1000.</w:t>
      </w:r>
    </w:p>
    <w:p w:rsidR="00C94ACF" w:rsidRDefault="00C94ACF" w:rsidP="00C94ACF">
      <w:pPr>
        <w:pStyle w:val="a3"/>
        <w:rPr>
          <w:kern w:val="0"/>
          <w:szCs w:val="24"/>
        </w:rPr>
      </w:pPr>
      <w:r>
        <w:rPr>
          <w:rFonts w:hint="eastAsia"/>
          <w:kern w:val="0"/>
          <w:szCs w:val="24"/>
        </w:rPr>
        <w:t xml:space="preserve">Full Text: </w:t>
      </w:r>
      <w:hyperlink r:id="rId1777" w:history="1">
        <w:r w:rsidR="00227871" w:rsidRPr="00227871">
          <w:rPr>
            <w:rStyle w:val="a5"/>
            <w:kern w:val="0"/>
            <w:szCs w:val="24"/>
          </w:rPr>
          <w:t>2011\BMJ Qua Saf20, 991.pdf</w:t>
        </w:r>
      </w:hyperlink>
    </w:p>
    <w:p w:rsidR="00C94ACF" w:rsidRDefault="00C94ACF" w:rsidP="00C94ACF">
      <w:pPr>
        <w:pStyle w:val="a3"/>
        <w:rPr>
          <w:kern w:val="0"/>
        </w:rPr>
      </w:pPr>
      <w:r>
        <w:rPr>
          <w:kern w:val="0"/>
        </w:rPr>
        <w:t>Abstract: Background: Patient safety training</w:t>
      </w:r>
      <w:r w:rsidR="00427468">
        <w:rPr>
          <w:kern w:val="0"/>
        </w:rPr>
        <w:t xml:space="preserve"> of </w:t>
      </w:r>
      <w:r>
        <w:rPr>
          <w:kern w:val="0"/>
        </w:rPr>
        <w:t>healthcare professionals is a new area</w:t>
      </w:r>
      <w:r w:rsidR="00427468">
        <w:rPr>
          <w:kern w:val="0"/>
        </w:rPr>
        <w:t xml:space="preserve"> of </w:t>
      </w:r>
      <w:r>
        <w:rPr>
          <w:kern w:val="0"/>
        </w:rPr>
        <w:t>education. Assessment</w:t>
      </w:r>
      <w:r w:rsidR="00427468">
        <w:rPr>
          <w:kern w:val="0"/>
        </w:rPr>
        <w:t xml:space="preserve"> of </w:t>
      </w:r>
      <w:r w:rsidR="003A1917">
        <w:rPr>
          <w:kern w:val="0"/>
        </w:rPr>
        <w:t xml:space="preserve">the </w:t>
      </w:r>
      <w:r>
        <w:rPr>
          <w:kern w:val="0"/>
        </w:rPr>
        <w:t>pertinent competencies should be a part</w:t>
      </w:r>
      <w:r w:rsidR="00427468">
        <w:rPr>
          <w:kern w:val="0"/>
        </w:rPr>
        <w:t xml:space="preserve"> of </w:t>
      </w:r>
      <w:r>
        <w:rPr>
          <w:kern w:val="0"/>
        </w:rPr>
        <w:t>this education. This review aims to identify</w:t>
      </w:r>
      <w:r w:rsidR="003A1917">
        <w:rPr>
          <w:kern w:val="0"/>
        </w:rPr>
        <w:t xml:space="preserve"> the </w:t>
      </w:r>
      <w:r>
        <w:rPr>
          <w:kern w:val="0"/>
        </w:rPr>
        <w:t>available assessment tools for different patient safety domains</w:t>
      </w:r>
      <w:r w:rsidR="005853A9">
        <w:rPr>
          <w:kern w:val="0"/>
        </w:rPr>
        <w:t xml:space="preserve"> and </w:t>
      </w:r>
      <w:r>
        <w:rPr>
          <w:kern w:val="0"/>
        </w:rPr>
        <w:t>evaluate them according to Miller</w:t>
      </w:r>
      <w:r w:rsidR="00700038">
        <w:rPr>
          <w:kern w:val="0"/>
        </w:rPr>
        <w:t>’</w:t>
      </w:r>
      <w:r>
        <w:rPr>
          <w:kern w:val="0"/>
        </w:rPr>
        <w:t>s four competency levels. Methods:</w:t>
      </w:r>
      <w:r w:rsidR="003A1917">
        <w:rPr>
          <w:kern w:val="0"/>
        </w:rPr>
        <w:t xml:space="preserve"> the </w:t>
      </w:r>
      <w:r>
        <w:rPr>
          <w:kern w:val="0"/>
        </w:rPr>
        <w:t xml:space="preserve">authors searched PubMed, </w:t>
      </w:r>
      <w:r w:rsidR="00D5664A">
        <w:rPr>
          <w:kern w:val="0"/>
        </w:rPr>
        <w:t>MEDLINE</w:t>
      </w:r>
      <w:r>
        <w:rPr>
          <w:kern w:val="0"/>
        </w:rPr>
        <w:t>,</w:t>
      </w:r>
      <w:r w:rsidR="003A1917">
        <w:rPr>
          <w:kern w:val="0"/>
        </w:rPr>
        <w:t xml:space="preserve"> the </w:t>
      </w:r>
      <w:r>
        <w:rPr>
          <w:kern w:val="0"/>
        </w:rPr>
        <w:t>Cumulative Index to Nursing</w:t>
      </w:r>
      <w:r w:rsidR="005853A9">
        <w:rPr>
          <w:kern w:val="0"/>
        </w:rPr>
        <w:t xml:space="preserve"> and </w:t>
      </w:r>
      <w:r>
        <w:rPr>
          <w:kern w:val="0"/>
        </w:rPr>
        <w:t xml:space="preserve">Allied Health Literature (CINAHL), </w:t>
      </w:r>
      <w:r w:rsidR="00D5664A">
        <w:rPr>
          <w:kern w:val="0"/>
        </w:rPr>
        <w:t>Web</w:t>
      </w:r>
      <w:r w:rsidR="00427468">
        <w:rPr>
          <w:kern w:val="0"/>
        </w:rPr>
        <w:t xml:space="preserve"> of </w:t>
      </w:r>
      <w:r w:rsidR="00D5664A">
        <w:rPr>
          <w:kern w:val="0"/>
        </w:rPr>
        <w:t>Science</w:t>
      </w:r>
      <w:r>
        <w:rPr>
          <w:kern w:val="0"/>
        </w:rPr>
        <w:t>, psycINFO</w:t>
      </w:r>
      <w:r w:rsidR="005853A9">
        <w:rPr>
          <w:kern w:val="0"/>
        </w:rPr>
        <w:t xml:space="preserve"> and </w:t>
      </w:r>
      <w:r w:rsidR="003A1917">
        <w:rPr>
          <w:kern w:val="0"/>
        </w:rPr>
        <w:t xml:space="preserve">the </w:t>
      </w:r>
      <w:r>
        <w:rPr>
          <w:kern w:val="0"/>
        </w:rPr>
        <w:t>Education Resource Information Center (ERIC) from</w:t>
      </w:r>
      <w:r w:rsidR="003A1917">
        <w:rPr>
          <w:kern w:val="0"/>
        </w:rPr>
        <w:t xml:space="preserve"> the </w:t>
      </w:r>
      <w:r>
        <w:rPr>
          <w:kern w:val="0"/>
        </w:rPr>
        <w:t>start</w:t>
      </w:r>
      <w:r w:rsidR="00427468">
        <w:rPr>
          <w:kern w:val="0"/>
        </w:rPr>
        <w:t xml:space="preserve"> of </w:t>
      </w:r>
      <w:r>
        <w:rPr>
          <w:kern w:val="0"/>
        </w:rPr>
        <w:t>each database to December 2010 for English-language articles that evaluated or described tools for</w:t>
      </w:r>
      <w:r w:rsidR="003A1917">
        <w:rPr>
          <w:kern w:val="0"/>
        </w:rPr>
        <w:t xml:space="preserve"> the </w:t>
      </w:r>
      <w:r>
        <w:rPr>
          <w:kern w:val="0"/>
        </w:rPr>
        <w:t>assessment</w:t>
      </w:r>
      <w:r w:rsidR="00427468">
        <w:rPr>
          <w:kern w:val="0"/>
        </w:rPr>
        <w:t xml:space="preserve"> of </w:t>
      </w:r>
      <w:r w:rsidR="003A1917">
        <w:rPr>
          <w:kern w:val="0"/>
        </w:rPr>
        <w:t xml:space="preserve">the </w:t>
      </w:r>
      <w:r>
        <w:rPr>
          <w:kern w:val="0"/>
        </w:rPr>
        <w:t>safety competencies</w:t>
      </w:r>
      <w:r w:rsidR="00427468">
        <w:rPr>
          <w:kern w:val="0"/>
        </w:rPr>
        <w:t xml:space="preserve"> of </w:t>
      </w:r>
      <w:r>
        <w:rPr>
          <w:kern w:val="0"/>
        </w:rPr>
        <w:t>individual medical and, or nursing professionals. Reports on</w:t>
      </w:r>
      <w:r w:rsidR="003A1917">
        <w:rPr>
          <w:kern w:val="0"/>
        </w:rPr>
        <w:t xml:space="preserve"> the </w:t>
      </w:r>
      <w:r>
        <w:rPr>
          <w:kern w:val="0"/>
        </w:rPr>
        <w:t>assessment</w:t>
      </w:r>
      <w:r w:rsidR="00427468">
        <w:rPr>
          <w:kern w:val="0"/>
        </w:rPr>
        <w:t xml:space="preserve"> of </w:t>
      </w:r>
      <w:r>
        <w:rPr>
          <w:kern w:val="0"/>
        </w:rPr>
        <w:t>technical, clinical, medication</w:t>
      </w:r>
      <w:r w:rsidR="005853A9">
        <w:rPr>
          <w:kern w:val="0"/>
        </w:rPr>
        <w:t xml:space="preserve"> and </w:t>
      </w:r>
      <w:r>
        <w:rPr>
          <w:kern w:val="0"/>
        </w:rPr>
        <w:t>disclosure skills were excluded. Results: Thirty-four assessment tools in 48 studies were identified: 20 tools for medical professionals, nine tools for nursing professionals,</w:t>
      </w:r>
      <w:r w:rsidR="005853A9">
        <w:rPr>
          <w:kern w:val="0"/>
        </w:rPr>
        <w:t xml:space="preserve"> and </w:t>
      </w:r>
      <w:r>
        <w:rPr>
          <w:kern w:val="0"/>
        </w:rPr>
        <w:t>five tools for both medical</w:t>
      </w:r>
      <w:r w:rsidR="005853A9">
        <w:rPr>
          <w:kern w:val="0"/>
        </w:rPr>
        <w:t xml:space="preserve"> and </w:t>
      </w:r>
      <w:r>
        <w:rPr>
          <w:kern w:val="0"/>
        </w:rPr>
        <w:t>nursing professionals. Twenty</w:t>
      </w:r>
      <w:r w:rsidR="00427468">
        <w:rPr>
          <w:kern w:val="0"/>
        </w:rPr>
        <w:t xml:space="preserve"> of </w:t>
      </w:r>
      <w:r>
        <w:rPr>
          <w:kern w:val="0"/>
        </w:rPr>
        <w:t>these tools assessed</w:t>
      </w:r>
      <w:r w:rsidR="003A1917">
        <w:rPr>
          <w:kern w:val="0"/>
        </w:rPr>
        <w:t xml:space="preserve"> the </w:t>
      </w:r>
      <w:r>
        <w:rPr>
          <w:kern w:val="0"/>
        </w:rPr>
        <w:t>two highest Miller levels (</w:t>
      </w:r>
      <w:r w:rsidR="00700038">
        <w:rPr>
          <w:kern w:val="0"/>
        </w:rPr>
        <w:t>‘</w:t>
      </w:r>
      <w:r>
        <w:rPr>
          <w:kern w:val="0"/>
        </w:rPr>
        <w:t>shows how</w:t>
      </w:r>
      <w:r w:rsidR="00700038">
        <w:rPr>
          <w:kern w:val="0"/>
        </w:rPr>
        <w:t>’</w:t>
      </w:r>
      <w:r w:rsidR="005853A9">
        <w:rPr>
          <w:kern w:val="0"/>
        </w:rPr>
        <w:t xml:space="preserve"> and </w:t>
      </w:r>
      <w:r w:rsidR="00700038">
        <w:rPr>
          <w:kern w:val="0"/>
        </w:rPr>
        <w:t>‘</w:t>
      </w:r>
      <w:r>
        <w:rPr>
          <w:kern w:val="0"/>
        </w:rPr>
        <w:t>does</w:t>
      </w:r>
      <w:r w:rsidR="00700038">
        <w:rPr>
          <w:kern w:val="0"/>
        </w:rPr>
        <w:t>’</w:t>
      </w:r>
      <w:r>
        <w:rPr>
          <w:kern w:val="0"/>
        </w:rPr>
        <w:t>)</w:t>
      </w:r>
      <w:r w:rsidR="005853A9">
        <w:rPr>
          <w:kern w:val="0"/>
        </w:rPr>
        <w:t xml:space="preserve"> and </w:t>
      </w:r>
      <w:r>
        <w:rPr>
          <w:kern w:val="0"/>
        </w:rPr>
        <w:t>four tools were directed at multiple levels. Most</w:t>
      </w:r>
      <w:r w:rsidR="00427468">
        <w:rPr>
          <w:kern w:val="0"/>
        </w:rPr>
        <w:t xml:space="preserve"> of </w:t>
      </w:r>
      <w:r w:rsidR="003A1917">
        <w:rPr>
          <w:kern w:val="0"/>
        </w:rPr>
        <w:t xml:space="preserve">the </w:t>
      </w:r>
      <w:r>
        <w:rPr>
          <w:kern w:val="0"/>
        </w:rPr>
        <w:t>tools that aimed at</w:t>
      </w:r>
      <w:r w:rsidR="003A1917">
        <w:rPr>
          <w:kern w:val="0"/>
        </w:rPr>
        <w:t xml:space="preserve"> the </w:t>
      </w:r>
      <w:r>
        <w:rPr>
          <w:kern w:val="0"/>
        </w:rPr>
        <w:t>higher levels assessed</w:t>
      </w:r>
      <w:r w:rsidR="003A1917">
        <w:rPr>
          <w:kern w:val="0"/>
        </w:rPr>
        <w:t xml:space="preserve"> the </w:t>
      </w:r>
      <w:r>
        <w:rPr>
          <w:kern w:val="0"/>
        </w:rPr>
        <w:t>skills</w:t>
      </w:r>
      <w:r w:rsidR="00427468">
        <w:rPr>
          <w:kern w:val="0"/>
        </w:rPr>
        <w:t xml:space="preserve"> of </w:t>
      </w:r>
      <w:r>
        <w:rPr>
          <w:kern w:val="0"/>
        </w:rPr>
        <w:t>working in teams (17 tools), risk management (15 tools),</w:t>
      </w:r>
      <w:r w:rsidR="005853A9">
        <w:rPr>
          <w:kern w:val="0"/>
        </w:rPr>
        <w:t xml:space="preserve"> and </w:t>
      </w:r>
      <w:r>
        <w:rPr>
          <w:kern w:val="0"/>
        </w:rPr>
        <w:t>communication (11 tools). Internal structure (reliability, 22 tools)</w:t>
      </w:r>
      <w:r w:rsidR="005853A9">
        <w:rPr>
          <w:kern w:val="0"/>
        </w:rPr>
        <w:t xml:space="preserve"> and </w:t>
      </w:r>
      <w:r>
        <w:rPr>
          <w:kern w:val="0"/>
        </w:rPr>
        <w:t>content validity (14 tools) when described were found to be moderate. Only a small number</w:t>
      </w:r>
      <w:r w:rsidR="00427468">
        <w:rPr>
          <w:kern w:val="0"/>
        </w:rPr>
        <w:t xml:space="preserve"> of </w:t>
      </w:r>
      <w:r>
        <w:rPr>
          <w:kern w:val="0"/>
        </w:rPr>
        <w:t>tools addressed</w:t>
      </w:r>
      <w:r w:rsidR="003A1917">
        <w:rPr>
          <w:kern w:val="0"/>
        </w:rPr>
        <w:t xml:space="preserve"> the </w:t>
      </w:r>
      <w:r>
        <w:rPr>
          <w:kern w:val="0"/>
        </w:rPr>
        <w:t>relationship between</w:t>
      </w:r>
      <w:r w:rsidR="003A1917">
        <w:rPr>
          <w:kern w:val="0"/>
        </w:rPr>
        <w:t xml:space="preserve"> the </w:t>
      </w:r>
      <w:r>
        <w:rPr>
          <w:kern w:val="0"/>
        </w:rPr>
        <w:t>tool itself</w:t>
      </w:r>
      <w:r w:rsidR="005853A9">
        <w:rPr>
          <w:kern w:val="0"/>
        </w:rPr>
        <w:t xml:space="preserve"> and </w:t>
      </w:r>
      <w:r>
        <w:rPr>
          <w:kern w:val="0"/>
        </w:rPr>
        <w:t>(1) other assessments (concurrent, predictive validity, eight tools),</w:t>
      </w:r>
      <w:r w:rsidR="005853A9">
        <w:rPr>
          <w:kern w:val="0"/>
        </w:rPr>
        <w:t xml:space="preserve"> and </w:t>
      </w:r>
      <w:r>
        <w:rPr>
          <w:kern w:val="0"/>
        </w:rPr>
        <w:t>(2) educational outcomes (seven tools). Conclusions: There are many tools designed to assess</w:t>
      </w:r>
      <w:r w:rsidR="003A1917">
        <w:rPr>
          <w:kern w:val="0"/>
        </w:rPr>
        <w:t xml:space="preserve"> the </w:t>
      </w:r>
      <w:r>
        <w:rPr>
          <w:kern w:val="0"/>
        </w:rPr>
        <w:t>safety competencies</w:t>
      </w:r>
      <w:r w:rsidR="00427468">
        <w:rPr>
          <w:kern w:val="0"/>
        </w:rPr>
        <w:t xml:space="preserve"> of </w:t>
      </w:r>
      <w:r>
        <w:rPr>
          <w:kern w:val="0"/>
        </w:rPr>
        <w:t>healthcare professionals. However, a reliable</w:t>
      </w:r>
      <w:r w:rsidR="005853A9">
        <w:rPr>
          <w:kern w:val="0"/>
        </w:rPr>
        <w:t xml:space="preserve"> and </w:t>
      </w:r>
      <w:r>
        <w:rPr>
          <w:kern w:val="0"/>
        </w:rPr>
        <w:t>valid toolbox for summative testing that covers all patient safety domains at Miller</w:t>
      </w:r>
      <w:r w:rsidR="00700038">
        <w:rPr>
          <w:kern w:val="0"/>
        </w:rPr>
        <w:t>’</w:t>
      </w:r>
      <w:r>
        <w:rPr>
          <w:kern w:val="0"/>
        </w:rPr>
        <w:t>s four competency levels cannot yet be constructed. Many tools, however, are useful for formative feedback.</w:t>
      </w:r>
    </w:p>
    <w:p w:rsidR="00C94ACF" w:rsidRDefault="00C94ACF" w:rsidP="00C94ACF">
      <w:pPr>
        <w:pStyle w:val="a3"/>
        <w:rPr>
          <w:kern w:val="0"/>
        </w:rPr>
      </w:pPr>
      <w:r>
        <w:rPr>
          <w:kern w:val="0"/>
        </w:rPr>
        <w:t xml:space="preserve">Keywords: Assessment, Authors, Behavioral Marker System, Clinical Skills, Communication, Crisis-Resource-Management, Critically-Ill Patients, Disclosure, Education, Feedback, Health, Healthcare Professionals, Literature, Management, Medical, Medical-Education, Medication, </w:t>
      </w:r>
      <w:r w:rsidR="00D5664A">
        <w:rPr>
          <w:kern w:val="0"/>
        </w:rPr>
        <w:t>MEDLINE</w:t>
      </w:r>
      <w:r>
        <w:rPr>
          <w:kern w:val="0"/>
        </w:rPr>
        <w:t xml:space="preserve">, Methods, Nontechnical Skills, Nursing, Outcomes, Patient Safety, Pubmed, Randomized-Trial, Reliability, Reports, Review, Risk, Safety, Science, Simulated Operating-Theater, Students Knowledge, Systematic, Systematic Review, Teaching Quality Improvement, Training, Validity, </w:t>
      </w:r>
      <w:r w:rsidR="00D5664A">
        <w:rPr>
          <w:kern w:val="0"/>
        </w:rPr>
        <w:lastRenderedPageBreak/>
        <w:t>Web</w:t>
      </w:r>
      <w:r w:rsidR="00427468">
        <w:rPr>
          <w:kern w:val="0"/>
        </w:rPr>
        <w:t xml:space="preserve"> of </w:t>
      </w:r>
      <w:r w:rsidR="00D5664A">
        <w:rPr>
          <w:kern w:val="0"/>
        </w:rPr>
        <w:t>Science</w:t>
      </w:r>
    </w:p>
    <w:p w:rsidR="00F42E0C" w:rsidRDefault="00F42E0C" w:rsidP="00F42E0C">
      <w:pPr>
        <w:pStyle w:val="a3"/>
        <w:rPr>
          <w:kern w:val="0"/>
        </w:rPr>
      </w:pPr>
      <w:r>
        <w:rPr>
          <w:rFonts w:hint="eastAsia"/>
          <w:kern w:val="0"/>
        </w:rPr>
        <w:t xml:space="preserve">? </w:t>
      </w:r>
      <w:r>
        <w:rPr>
          <w:kern w:val="0"/>
        </w:rPr>
        <w:t>Cunningham, F.C., Ranmuthugala, G., Plumb, J., Georgiou, A., Westbrook, J.I.</w:t>
      </w:r>
      <w:r w:rsidR="005853A9">
        <w:rPr>
          <w:kern w:val="0"/>
        </w:rPr>
        <w:t xml:space="preserve"> and </w:t>
      </w:r>
      <w:r>
        <w:rPr>
          <w:kern w:val="0"/>
        </w:rPr>
        <w:t>Braithwaite, J. (2012), Health professional networks as a vector for improving healthcare quality</w:t>
      </w:r>
      <w:r w:rsidR="005853A9">
        <w:rPr>
          <w:kern w:val="0"/>
        </w:rPr>
        <w:t xml:space="preserve"> and </w:t>
      </w:r>
      <w:r>
        <w:rPr>
          <w:kern w:val="0"/>
        </w:rPr>
        <w:t xml:space="preserve">safety: A systematic review. </w:t>
      </w:r>
      <w:r>
        <w:rPr>
          <w:i/>
          <w:iCs/>
          <w:kern w:val="0"/>
        </w:rPr>
        <w:t>BMJ Quality &amp; Safety</w:t>
      </w:r>
      <w:r>
        <w:rPr>
          <w:kern w:val="0"/>
        </w:rPr>
        <w:t xml:space="preserve">, </w:t>
      </w:r>
      <w:r>
        <w:rPr>
          <w:b/>
          <w:bCs/>
          <w:kern w:val="0"/>
        </w:rPr>
        <w:t>21</w:t>
      </w:r>
      <w:r>
        <w:rPr>
          <w:kern w:val="0"/>
        </w:rPr>
        <w:t xml:space="preserve"> (3), 239-249.</w:t>
      </w:r>
    </w:p>
    <w:p w:rsidR="00F42E0C" w:rsidRDefault="00F42E0C" w:rsidP="00F42E0C">
      <w:pPr>
        <w:pStyle w:val="a3"/>
        <w:rPr>
          <w:kern w:val="0"/>
          <w:szCs w:val="24"/>
        </w:rPr>
      </w:pPr>
      <w:r>
        <w:rPr>
          <w:rFonts w:hint="eastAsia"/>
          <w:kern w:val="0"/>
          <w:szCs w:val="24"/>
        </w:rPr>
        <w:t xml:space="preserve">Full Text: </w:t>
      </w:r>
      <w:hyperlink r:id="rId1778" w:history="1">
        <w:r w:rsidRPr="002A2FD4">
          <w:rPr>
            <w:rStyle w:val="a5"/>
            <w:kern w:val="0"/>
            <w:szCs w:val="24"/>
          </w:rPr>
          <w:t>2012\BMJ Qua Saf21, 239.pdf</w:t>
        </w:r>
      </w:hyperlink>
    </w:p>
    <w:p w:rsidR="00F42E0C" w:rsidRDefault="00F42E0C" w:rsidP="00F42E0C">
      <w:pPr>
        <w:pStyle w:val="a3"/>
        <w:rPr>
          <w:kern w:val="0"/>
        </w:rPr>
      </w:pPr>
      <w:r>
        <w:rPr>
          <w:kern w:val="0"/>
        </w:rPr>
        <w:t>Abstract: Background: While there is a considerable corpus</w:t>
      </w:r>
      <w:r w:rsidR="00427468">
        <w:rPr>
          <w:kern w:val="0"/>
        </w:rPr>
        <w:t xml:space="preserve"> of </w:t>
      </w:r>
      <w:r>
        <w:rPr>
          <w:kern w:val="0"/>
        </w:rPr>
        <w:t>theoretical</w:t>
      </w:r>
      <w:r w:rsidR="005853A9">
        <w:rPr>
          <w:kern w:val="0"/>
        </w:rPr>
        <w:t xml:space="preserve"> and </w:t>
      </w:r>
      <w:r>
        <w:rPr>
          <w:kern w:val="0"/>
        </w:rPr>
        <w:t>empirical literature on networks within</w:t>
      </w:r>
      <w:r w:rsidR="005853A9">
        <w:rPr>
          <w:kern w:val="0"/>
        </w:rPr>
        <w:t xml:space="preserve"> and </w:t>
      </w:r>
      <w:r>
        <w:rPr>
          <w:kern w:val="0"/>
        </w:rPr>
        <w:t>outside</w:t>
      </w:r>
      <w:r w:rsidR="00427468">
        <w:rPr>
          <w:kern w:val="0"/>
        </w:rPr>
        <w:t xml:space="preserve"> of </w:t>
      </w:r>
      <w:r w:rsidR="003A1917">
        <w:rPr>
          <w:kern w:val="0"/>
        </w:rPr>
        <w:t xml:space="preserve">the </w:t>
      </w:r>
      <w:r>
        <w:rPr>
          <w:kern w:val="0"/>
        </w:rPr>
        <w:t>health sector, multiple research questions are yet to be answered. Objective: To conduct a systematic review</w:t>
      </w:r>
      <w:r w:rsidR="00427468">
        <w:rPr>
          <w:kern w:val="0"/>
        </w:rPr>
        <w:t xml:space="preserve"> of </w:t>
      </w:r>
      <w:r>
        <w:rPr>
          <w:kern w:val="0"/>
        </w:rPr>
        <w:t>studies</w:t>
      </w:r>
      <w:r w:rsidR="00427468">
        <w:rPr>
          <w:kern w:val="0"/>
        </w:rPr>
        <w:t xml:space="preserve"> of </w:t>
      </w:r>
      <w:r>
        <w:rPr>
          <w:kern w:val="0"/>
        </w:rPr>
        <w:t>professionals</w:t>
      </w:r>
      <w:r w:rsidR="00700038">
        <w:rPr>
          <w:kern w:val="0"/>
        </w:rPr>
        <w:t>’</w:t>
      </w:r>
      <w:r>
        <w:rPr>
          <w:kern w:val="0"/>
        </w:rPr>
        <w:t xml:space="preserve"> network structures, identifying factors associated with network effectiveness</w:t>
      </w:r>
      <w:r w:rsidR="005853A9">
        <w:rPr>
          <w:kern w:val="0"/>
        </w:rPr>
        <w:t xml:space="preserve"> and </w:t>
      </w:r>
      <w:r>
        <w:rPr>
          <w:kern w:val="0"/>
        </w:rPr>
        <w:t>sustainability, particularly in relation to quality</w:t>
      </w:r>
      <w:r w:rsidR="00427468">
        <w:rPr>
          <w:kern w:val="0"/>
        </w:rPr>
        <w:t xml:space="preserve"> of </w:t>
      </w:r>
      <w:r>
        <w:rPr>
          <w:kern w:val="0"/>
        </w:rPr>
        <w:t>care</w:t>
      </w:r>
      <w:r w:rsidR="005853A9">
        <w:rPr>
          <w:kern w:val="0"/>
        </w:rPr>
        <w:t xml:space="preserve"> and </w:t>
      </w:r>
      <w:r>
        <w:rPr>
          <w:kern w:val="0"/>
        </w:rPr>
        <w:t>patient safety. Methods:</w:t>
      </w:r>
      <w:r w:rsidR="003A1917">
        <w:rPr>
          <w:kern w:val="0"/>
        </w:rPr>
        <w:t xml:space="preserve"> the </w:t>
      </w:r>
      <w:r>
        <w:rPr>
          <w:kern w:val="0"/>
        </w:rPr>
        <w:t xml:space="preserve">authors searched </w:t>
      </w:r>
      <w:r w:rsidR="00D5664A">
        <w:rPr>
          <w:kern w:val="0"/>
        </w:rPr>
        <w:t>MEDLINE</w:t>
      </w:r>
      <w:r>
        <w:rPr>
          <w:kern w:val="0"/>
        </w:rPr>
        <w:t xml:space="preserve">, CINAHL, EMBASE, </w:t>
      </w:r>
      <w:r w:rsidR="00D5664A">
        <w:rPr>
          <w:kern w:val="0"/>
        </w:rPr>
        <w:t>Web</w:t>
      </w:r>
      <w:r w:rsidR="00427468">
        <w:rPr>
          <w:kern w:val="0"/>
        </w:rPr>
        <w:t xml:space="preserve"> of </w:t>
      </w:r>
      <w:r w:rsidR="00D5664A">
        <w:rPr>
          <w:kern w:val="0"/>
        </w:rPr>
        <w:t>Science</w:t>
      </w:r>
      <w:r w:rsidR="005853A9">
        <w:rPr>
          <w:kern w:val="0"/>
        </w:rPr>
        <w:t xml:space="preserve"> and </w:t>
      </w:r>
      <w:r>
        <w:rPr>
          <w:kern w:val="0"/>
        </w:rPr>
        <w:t>Business Source Premier from January 1995 to December 2009. Results: A majority</w:t>
      </w:r>
      <w:r w:rsidR="00427468">
        <w:rPr>
          <w:kern w:val="0"/>
        </w:rPr>
        <w:t xml:space="preserve"> of </w:t>
      </w:r>
      <w:r w:rsidR="003A1917">
        <w:rPr>
          <w:kern w:val="0"/>
        </w:rPr>
        <w:t xml:space="preserve">the </w:t>
      </w:r>
      <w:r>
        <w:rPr>
          <w:kern w:val="0"/>
        </w:rPr>
        <w:t>26 unique studies identified used social network analysis to examine structural relationships in networks: structural relationships within</w:t>
      </w:r>
      <w:r w:rsidR="005853A9">
        <w:rPr>
          <w:kern w:val="0"/>
        </w:rPr>
        <w:t xml:space="preserve"> and </w:t>
      </w:r>
      <w:r>
        <w:rPr>
          <w:kern w:val="0"/>
        </w:rPr>
        <w:t>between networks, health professionals</w:t>
      </w:r>
      <w:r w:rsidR="005853A9">
        <w:rPr>
          <w:kern w:val="0"/>
        </w:rPr>
        <w:t xml:space="preserve"> and </w:t>
      </w:r>
      <w:r>
        <w:rPr>
          <w:kern w:val="0"/>
        </w:rPr>
        <w:t>their social context, health collaboratives</w:t>
      </w:r>
      <w:r w:rsidR="005853A9">
        <w:rPr>
          <w:kern w:val="0"/>
        </w:rPr>
        <w:t xml:space="preserve"> and </w:t>
      </w:r>
      <w:r>
        <w:rPr>
          <w:kern w:val="0"/>
        </w:rPr>
        <w:t>partnerships,</w:t>
      </w:r>
      <w:r w:rsidR="005853A9">
        <w:rPr>
          <w:kern w:val="0"/>
        </w:rPr>
        <w:t xml:space="preserve"> and </w:t>
      </w:r>
      <w:r>
        <w:rPr>
          <w:kern w:val="0"/>
        </w:rPr>
        <w:t>knowledge sharing networks. Key aspects</w:t>
      </w:r>
      <w:r w:rsidR="00427468">
        <w:rPr>
          <w:kern w:val="0"/>
        </w:rPr>
        <w:t xml:space="preserve"> of </w:t>
      </w:r>
      <w:r>
        <w:rPr>
          <w:kern w:val="0"/>
        </w:rPr>
        <w:t>networks explored were administrative</w:t>
      </w:r>
      <w:r w:rsidR="005853A9">
        <w:rPr>
          <w:kern w:val="0"/>
        </w:rPr>
        <w:t xml:space="preserve"> and </w:t>
      </w:r>
      <w:r>
        <w:rPr>
          <w:kern w:val="0"/>
        </w:rPr>
        <w:t>clinical exchanges, network performance, integration, stability</w:t>
      </w:r>
      <w:r w:rsidR="005853A9">
        <w:rPr>
          <w:kern w:val="0"/>
        </w:rPr>
        <w:t xml:space="preserve"> and </w:t>
      </w:r>
      <w:r>
        <w:rPr>
          <w:kern w:val="0"/>
        </w:rPr>
        <w:t>influences on</w:t>
      </w:r>
      <w:r w:rsidR="003A1917">
        <w:rPr>
          <w:kern w:val="0"/>
        </w:rPr>
        <w:t xml:space="preserve"> the </w:t>
      </w:r>
      <w:r>
        <w:rPr>
          <w:kern w:val="0"/>
        </w:rPr>
        <w:t>quality</w:t>
      </w:r>
      <w:r w:rsidR="00427468">
        <w:rPr>
          <w:kern w:val="0"/>
        </w:rPr>
        <w:t xml:space="preserve"> of </w:t>
      </w:r>
      <w:r>
        <w:rPr>
          <w:kern w:val="0"/>
        </w:rPr>
        <w:t>healthcare. More recent studies show that cohesive</w:t>
      </w:r>
      <w:r w:rsidR="005853A9">
        <w:rPr>
          <w:kern w:val="0"/>
        </w:rPr>
        <w:t xml:space="preserve"> and </w:t>
      </w:r>
      <w:r>
        <w:rPr>
          <w:kern w:val="0"/>
        </w:rPr>
        <w:t>collaborative health professional networks can facilitate</w:t>
      </w:r>
      <w:r w:rsidR="003A1917">
        <w:rPr>
          <w:kern w:val="0"/>
        </w:rPr>
        <w:t xml:space="preserve"> the </w:t>
      </w:r>
      <w:r>
        <w:rPr>
          <w:kern w:val="0"/>
        </w:rPr>
        <w:t>coordination</w:t>
      </w:r>
      <w:r w:rsidR="00427468">
        <w:rPr>
          <w:kern w:val="0"/>
        </w:rPr>
        <w:t xml:space="preserve"> of </w:t>
      </w:r>
      <w:r>
        <w:rPr>
          <w:kern w:val="0"/>
        </w:rPr>
        <w:t>care</w:t>
      </w:r>
      <w:r w:rsidR="005853A9">
        <w:rPr>
          <w:kern w:val="0"/>
        </w:rPr>
        <w:t xml:space="preserve"> and </w:t>
      </w:r>
      <w:r>
        <w:rPr>
          <w:kern w:val="0"/>
        </w:rPr>
        <w:t>contribute to improving quality</w:t>
      </w:r>
      <w:r w:rsidR="005853A9">
        <w:rPr>
          <w:kern w:val="0"/>
        </w:rPr>
        <w:t xml:space="preserve"> and </w:t>
      </w:r>
      <w:r>
        <w:rPr>
          <w:kern w:val="0"/>
        </w:rPr>
        <w:t>safety</w:t>
      </w:r>
      <w:r w:rsidR="00427468">
        <w:rPr>
          <w:kern w:val="0"/>
        </w:rPr>
        <w:t xml:space="preserve"> of </w:t>
      </w:r>
      <w:r>
        <w:rPr>
          <w:kern w:val="0"/>
        </w:rPr>
        <w:t>care. Structural network vulnerabilities include cliques, professional</w:t>
      </w:r>
      <w:r w:rsidR="005853A9">
        <w:rPr>
          <w:kern w:val="0"/>
        </w:rPr>
        <w:t xml:space="preserve"> and </w:t>
      </w:r>
      <w:r>
        <w:rPr>
          <w:kern w:val="0"/>
        </w:rPr>
        <w:t>gender homophily,</w:t>
      </w:r>
      <w:r w:rsidR="005853A9">
        <w:rPr>
          <w:kern w:val="0"/>
        </w:rPr>
        <w:t xml:space="preserve"> and </w:t>
      </w:r>
      <w:r>
        <w:rPr>
          <w:kern w:val="0"/>
        </w:rPr>
        <w:t>over-reliance on central agencies or individuals. Conclusions: Effective professional networks employ natural structural network features (eg, bridges, brokers, density, centrality, degrees</w:t>
      </w:r>
      <w:r w:rsidR="00427468">
        <w:rPr>
          <w:kern w:val="0"/>
        </w:rPr>
        <w:t xml:space="preserve"> of </w:t>
      </w:r>
      <w:r>
        <w:rPr>
          <w:kern w:val="0"/>
        </w:rPr>
        <w:t>separation, social capital, trust) in producing collaboratively oriented healthcare. This requires efficient transmission</w:t>
      </w:r>
      <w:r w:rsidR="00427468">
        <w:rPr>
          <w:kern w:val="0"/>
        </w:rPr>
        <w:t xml:space="preserve"> of </w:t>
      </w:r>
      <w:r>
        <w:rPr>
          <w:kern w:val="0"/>
        </w:rPr>
        <w:t>information</w:t>
      </w:r>
      <w:r w:rsidR="005853A9">
        <w:rPr>
          <w:kern w:val="0"/>
        </w:rPr>
        <w:t xml:space="preserve"> and </w:t>
      </w:r>
      <w:r>
        <w:rPr>
          <w:kern w:val="0"/>
        </w:rPr>
        <w:t>social</w:t>
      </w:r>
      <w:r w:rsidR="005853A9">
        <w:rPr>
          <w:kern w:val="0"/>
        </w:rPr>
        <w:t xml:space="preserve"> and </w:t>
      </w:r>
      <w:r>
        <w:rPr>
          <w:kern w:val="0"/>
        </w:rPr>
        <w:t>professional interaction within</w:t>
      </w:r>
      <w:r w:rsidR="005853A9">
        <w:rPr>
          <w:kern w:val="0"/>
        </w:rPr>
        <w:t xml:space="preserve"> and </w:t>
      </w:r>
      <w:r>
        <w:rPr>
          <w:kern w:val="0"/>
        </w:rPr>
        <w:t>across networks. For those using networks to improve care, recurring success factors are understanding your network</w:t>
      </w:r>
      <w:r w:rsidR="00700038">
        <w:rPr>
          <w:kern w:val="0"/>
        </w:rPr>
        <w:t>’</w:t>
      </w:r>
      <w:r>
        <w:rPr>
          <w:kern w:val="0"/>
        </w:rPr>
        <w:t>s characteristics, attending to its functioning</w:t>
      </w:r>
      <w:r w:rsidR="005853A9">
        <w:rPr>
          <w:kern w:val="0"/>
        </w:rPr>
        <w:t xml:space="preserve"> and </w:t>
      </w:r>
      <w:r>
        <w:rPr>
          <w:kern w:val="0"/>
        </w:rPr>
        <w:t>investing time in facilitating its improvement. Despite this, there is no guarantee that time spent on networks will necessarily improve patient care.</w:t>
      </w:r>
    </w:p>
    <w:p w:rsidR="00F42E0C" w:rsidRDefault="00F42E0C" w:rsidP="00F42E0C">
      <w:pPr>
        <w:pStyle w:val="a3"/>
        <w:rPr>
          <w:kern w:val="0"/>
        </w:rPr>
      </w:pPr>
      <w:r>
        <w:rPr>
          <w:kern w:val="0"/>
        </w:rPr>
        <w:t xml:space="preserve">Keywords: Analysis, Authors, Care, Characteristics, Clinical, Context, Coordination, Dementia, Design, Effectiveness, Framework, Gender, Health, Health Professionals, Improvement, Information, Integration, Interaction, Knowledge, Literature, Mar, </w:t>
      </w:r>
      <w:r w:rsidR="00D5664A">
        <w:rPr>
          <w:kern w:val="0"/>
        </w:rPr>
        <w:t>MEDLINE</w:t>
      </w:r>
      <w:r>
        <w:rPr>
          <w:kern w:val="0"/>
        </w:rPr>
        <w:t>, Natural, Network, Network Analysis, Networks, Nurses, Partnerships, Patient Care, Patient Safety, Performance, Perspective, Psychosocial Resources, Quality, Quality of, Quality</w:t>
      </w:r>
      <w:r w:rsidR="00427468">
        <w:rPr>
          <w:kern w:val="0"/>
        </w:rPr>
        <w:t xml:space="preserve"> of </w:t>
      </w:r>
      <w:r>
        <w:rPr>
          <w:kern w:val="0"/>
        </w:rPr>
        <w:t xml:space="preserve">Care, Recent, Research, Review, Safety, Science, Sector, Self-Rated Health, Separation, Social, Social Network Analysis, Social Networks, Stability, Sustainability, Systematic Review, Transmission, Trust, </w:t>
      </w:r>
      <w:r>
        <w:rPr>
          <w:kern w:val="0"/>
        </w:rPr>
        <w:lastRenderedPageBreak/>
        <w:t xml:space="preserve">Understanding, </w:t>
      </w:r>
      <w:r w:rsidR="00D5664A">
        <w:rPr>
          <w:kern w:val="0"/>
        </w:rPr>
        <w:t>Web</w:t>
      </w:r>
      <w:r w:rsidR="00427468">
        <w:rPr>
          <w:kern w:val="0"/>
        </w:rPr>
        <w:t xml:space="preserve"> of </w:t>
      </w:r>
      <w:r w:rsidR="00D5664A">
        <w:rPr>
          <w:kern w:val="0"/>
        </w:rPr>
        <w:t>Science</w:t>
      </w:r>
      <w:r>
        <w:rPr>
          <w:kern w:val="0"/>
        </w:rPr>
        <w:t>, Work</w:t>
      </w:r>
    </w:p>
    <w:p w:rsidR="007C4C5C" w:rsidRDefault="007C4C5C" w:rsidP="007C4C5C">
      <w:pPr>
        <w:pStyle w:val="a3"/>
        <w:rPr>
          <w:kern w:val="0"/>
        </w:rPr>
      </w:pPr>
      <w:r>
        <w:rPr>
          <w:rFonts w:hint="eastAsia"/>
          <w:kern w:val="0"/>
        </w:rPr>
        <w:t xml:space="preserve">? </w:t>
      </w:r>
      <w:r>
        <w:rPr>
          <w:kern w:val="0"/>
        </w:rPr>
        <w:t>Sifrim, Z.K., Barker, P.M.</w:t>
      </w:r>
      <w:r w:rsidR="005853A9">
        <w:rPr>
          <w:kern w:val="0"/>
        </w:rPr>
        <w:t xml:space="preserve"> and </w:t>
      </w:r>
      <w:r>
        <w:rPr>
          <w:kern w:val="0"/>
        </w:rPr>
        <w:t>Mate, K.S. (2012), What gets published:</w:t>
      </w:r>
      <w:r w:rsidR="003A1917">
        <w:rPr>
          <w:kern w:val="0"/>
        </w:rPr>
        <w:t xml:space="preserve"> the </w:t>
      </w:r>
      <w:r>
        <w:rPr>
          <w:kern w:val="0"/>
        </w:rPr>
        <w:t>characteristics</w:t>
      </w:r>
      <w:r w:rsidR="00427468">
        <w:rPr>
          <w:kern w:val="0"/>
        </w:rPr>
        <w:t xml:space="preserve"> of </w:t>
      </w:r>
      <w:r>
        <w:rPr>
          <w:kern w:val="0"/>
        </w:rPr>
        <w:t>quality improvement research articles from low-</w:t>
      </w:r>
      <w:r w:rsidR="005853A9">
        <w:rPr>
          <w:kern w:val="0"/>
        </w:rPr>
        <w:t xml:space="preserve"> and </w:t>
      </w:r>
      <w:r>
        <w:rPr>
          <w:kern w:val="0"/>
        </w:rPr>
        <w:t xml:space="preserve">middle-income countries. </w:t>
      </w:r>
      <w:r>
        <w:rPr>
          <w:i/>
          <w:iCs/>
          <w:kern w:val="0"/>
        </w:rPr>
        <w:t>BMJ Quality &amp; Safety</w:t>
      </w:r>
      <w:r>
        <w:rPr>
          <w:kern w:val="0"/>
        </w:rPr>
        <w:t xml:space="preserve">, </w:t>
      </w:r>
      <w:r>
        <w:rPr>
          <w:b/>
          <w:bCs/>
          <w:kern w:val="0"/>
        </w:rPr>
        <w:t>21</w:t>
      </w:r>
      <w:r>
        <w:rPr>
          <w:kern w:val="0"/>
        </w:rPr>
        <w:t xml:space="preserve"> (5), 423-431.</w:t>
      </w:r>
    </w:p>
    <w:p w:rsidR="007C4C5C" w:rsidRDefault="007C4C5C" w:rsidP="007C4C5C">
      <w:pPr>
        <w:pStyle w:val="a3"/>
        <w:rPr>
          <w:kern w:val="0"/>
          <w:szCs w:val="24"/>
        </w:rPr>
      </w:pPr>
      <w:r>
        <w:rPr>
          <w:rFonts w:hint="eastAsia"/>
          <w:kern w:val="0"/>
          <w:szCs w:val="24"/>
        </w:rPr>
        <w:t xml:space="preserve">Full Text: </w:t>
      </w:r>
      <w:hyperlink r:id="rId1779" w:history="1">
        <w:r w:rsidRPr="00B65F21">
          <w:rPr>
            <w:rStyle w:val="a5"/>
            <w:kern w:val="0"/>
            <w:szCs w:val="24"/>
          </w:rPr>
          <w:t>2012\BMJ Qua Saf21, 423.pdf</w:t>
        </w:r>
      </w:hyperlink>
    </w:p>
    <w:p w:rsidR="007C4C5C" w:rsidRDefault="007C4C5C" w:rsidP="007C4C5C">
      <w:pPr>
        <w:pStyle w:val="a3"/>
        <w:rPr>
          <w:kern w:val="0"/>
        </w:rPr>
      </w:pPr>
      <w:r>
        <w:rPr>
          <w:kern w:val="0"/>
        </w:rPr>
        <w:t>Abstract: Objectives: Reports</w:t>
      </w:r>
      <w:r w:rsidR="00427468">
        <w:rPr>
          <w:kern w:val="0"/>
        </w:rPr>
        <w:t xml:space="preserve"> of </w:t>
      </w:r>
      <w:r>
        <w:rPr>
          <w:kern w:val="0"/>
        </w:rPr>
        <w:t>quality improvement (QI) research from low-and middle-income countries (LMICs) remain sparse in</w:t>
      </w:r>
      <w:r w:rsidR="003A1917">
        <w:rPr>
          <w:kern w:val="0"/>
        </w:rPr>
        <w:t xml:space="preserve"> the </w:t>
      </w:r>
      <w:r>
        <w:rPr>
          <w:kern w:val="0"/>
        </w:rPr>
        <w:t>scientific literature</w:t>
      </w:r>
      <w:r w:rsidR="00A37C1D">
        <w:rPr>
          <w:kern w:val="0"/>
        </w:rPr>
        <w:t>. The</w:t>
      </w:r>
      <w:r w:rsidR="003A1917">
        <w:rPr>
          <w:kern w:val="0"/>
        </w:rPr>
        <w:t xml:space="preserve"> </w:t>
      </w:r>
      <w:r>
        <w:rPr>
          <w:kern w:val="0"/>
        </w:rPr>
        <w:t>authors reviewed</w:t>
      </w:r>
      <w:r w:rsidR="003A1917">
        <w:rPr>
          <w:kern w:val="0"/>
        </w:rPr>
        <w:t xml:space="preserve"> the </w:t>
      </w:r>
      <w:r>
        <w:rPr>
          <w:kern w:val="0"/>
        </w:rPr>
        <w:t>published literature to describe</w:t>
      </w:r>
      <w:r w:rsidR="003A1917">
        <w:rPr>
          <w:kern w:val="0"/>
        </w:rPr>
        <w:t xml:space="preserve"> the </w:t>
      </w:r>
      <w:r>
        <w:rPr>
          <w:kern w:val="0"/>
        </w:rPr>
        <w:t>characteristics</w:t>
      </w:r>
      <w:r w:rsidR="00427468">
        <w:rPr>
          <w:kern w:val="0"/>
        </w:rPr>
        <w:t xml:space="preserve"> of </w:t>
      </w:r>
      <w:r>
        <w:rPr>
          <w:kern w:val="0"/>
        </w:rPr>
        <w:t>such reports. Methods:</w:t>
      </w:r>
      <w:r w:rsidR="003A1917">
        <w:rPr>
          <w:kern w:val="0"/>
        </w:rPr>
        <w:t xml:space="preserve"> the </w:t>
      </w:r>
      <w:r>
        <w:rPr>
          <w:kern w:val="0"/>
        </w:rPr>
        <w:t>authors conducted a systematic search for QI research articles from LMICs catalogued in</w:t>
      </w:r>
      <w:r w:rsidR="003A1917">
        <w:rPr>
          <w:kern w:val="0"/>
        </w:rPr>
        <w:t xml:space="preserve"> the </w:t>
      </w:r>
      <w:r>
        <w:rPr>
          <w:kern w:val="0"/>
        </w:rPr>
        <w:t>PubMed databases prior to December 2011, complemented by recommendations from experts in</w:t>
      </w:r>
      <w:r w:rsidR="003A1917">
        <w:rPr>
          <w:kern w:val="0"/>
        </w:rPr>
        <w:t xml:space="preserve"> the </w:t>
      </w:r>
      <w:r>
        <w:rPr>
          <w:kern w:val="0"/>
        </w:rPr>
        <w:t>field. Articles were categorised based on bibliometric</w:t>
      </w:r>
      <w:r w:rsidR="005853A9">
        <w:rPr>
          <w:kern w:val="0"/>
        </w:rPr>
        <w:t xml:space="preserve"> and </w:t>
      </w:r>
      <w:r>
        <w:rPr>
          <w:kern w:val="0"/>
        </w:rPr>
        <w:t>research characteristics. Twenty papers were randomly selected for narrative analysis regarding strategies used to present</w:t>
      </w:r>
      <w:r w:rsidR="003A1917">
        <w:rPr>
          <w:kern w:val="0"/>
        </w:rPr>
        <w:t xml:space="preserve"> the </w:t>
      </w:r>
      <w:r>
        <w:rPr>
          <w:kern w:val="0"/>
        </w:rPr>
        <w:t>methods</w:t>
      </w:r>
      <w:r w:rsidR="005853A9">
        <w:rPr>
          <w:kern w:val="0"/>
        </w:rPr>
        <w:t xml:space="preserve"> and </w:t>
      </w:r>
      <w:r>
        <w:rPr>
          <w:kern w:val="0"/>
        </w:rPr>
        <w:t>results</w:t>
      </w:r>
      <w:r w:rsidR="00427468">
        <w:rPr>
          <w:kern w:val="0"/>
        </w:rPr>
        <w:t xml:space="preserve"> of </w:t>
      </w:r>
      <w:r>
        <w:rPr>
          <w:kern w:val="0"/>
        </w:rPr>
        <w:t>interventions. Results: Seventy-six articles met</w:t>
      </w:r>
      <w:r w:rsidR="003A1917">
        <w:rPr>
          <w:kern w:val="0"/>
        </w:rPr>
        <w:t xml:space="preserve"> the </w:t>
      </w:r>
      <w:r>
        <w:rPr>
          <w:kern w:val="0"/>
        </w:rPr>
        <w:t>inclusion criteria. Publication rate accelerated over time, particularly among observational studies. Most studies did not use a concurrent control group; pre-/post-study designs were most common overall. Four papers were published in top-tier journals, 17 in journals at</w:t>
      </w:r>
      <w:r w:rsidR="003A1917">
        <w:rPr>
          <w:kern w:val="0"/>
        </w:rPr>
        <w:t xml:space="preserve"> the </w:t>
      </w:r>
      <w:r>
        <w:rPr>
          <w:kern w:val="0"/>
        </w:rPr>
        <w:t>top</w:t>
      </w:r>
      <w:r w:rsidR="00427468">
        <w:rPr>
          <w:kern w:val="0"/>
        </w:rPr>
        <w:t xml:space="preserve"> of </w:t>
      </w:r>
      <w:r>
        <w:rPr>
          <w:kern w:val="0"/>
        </w:rPr>
        <w:t>their specialty</w:t>
      </w:r>
      <w:r w:rsidR="005853A9">
        <w:rPr>
          <w:kern w:val="0"/>
        </w:rPr>
        <w:t xml:space="preserve"> and </w:t>
      </w:r>
      <w:r>
        <w:rPr>
          <w:kern w:val="0"/>
        </w:rPr>
        <w:t>20 in quality-specific journals. Among</w:t>
      </w:r>
      <w:r w:rsidR="003A1917">
        <w:rPr>
          <w:kern w:val="0"/>
        </w:rPr>
        <w:t xml:space="preserve"> the </w:t>
      </w:r>
      <w:r>
        <w:rPr>
          <w:kern w:val="0"/>
        </w:rPr>
        <w:t>papers selected for narrative analysis, four distinct components were observed in most: a description</w:t>
      </w:r>
      <w:r w:rsidR="00427468">
        <w:rPr>
          <w:kern w:val="0"/>
        </w:rPr>
        <w:t xml:space="preserve"> of </w:t>
      </w:r>
      <w:r w:rsidR="003A1917">
        <w:rPr>
          <w:kern w:val="0"/>
        </w:rPr>
        <w:t xml:space="preserve">the </w:t>
      </w:r>
      <w:r>
        <w:rPr>
          <w:kern w:val="0"/>
        </w:rPr>
        <w:t>problem state, a description</w:t>
      </w:r>
      <w:r w:rsidR="00427468">
        <w:rPr>
          <w:kern w:val="0"/>
        </w:rPr>
        <w:t xml:space="preserve"> of </w:t>
      </w:r>
      <w:r w:rsidR="003A1917">
        <w:rPr>
          <w:kern w:val="0"/>
        </w:rPr>
        <w:t xml:space="preserve">the </w:t>
      </w:r>
      <w:r>
        <w:rPr>
          <w:kern w:val="0"/>
        </w:rPr>
        <w:t>improvement processes</w:t>
      </w:r>
      <w:r w:rsidR="005853A9">
        <w:rPr>
          <w:kern w:val="0"/>
        </w:rPr>
        <w:t xml:space="preserve"> and </w:t>
      </w:r>
      <w:r>
        <w:rPr>
          <w:kern w:val="0"/>
        </w:rPr>
        <w:t>tools, a separate description</w:t>
      </w:r>
      <w:r w:rsidR="00427468">
        <w:rPr>
          <w:kern w:val="0"/>
        </w:rPr>
        <w:t xml:space="preserve"> of </w:t>
      </w:r>
      <w:r w:rsidR="003A1917">
        <w:rPr>
          <w:kern w:val="0"/>
        </w:rPr>
        <w:t xml:space="preserve">the </w:t>
      </w:r>
      <w:r>
        <w:rPr>
          <w:kern w:val="0"/>
        </w:rPr>
        <w:t>interventions tested</w:t>
      </w:r>
      <w:r w:rsidR="005853A9">
        <w:rPr>
          <w:kern w:val="0"/>
        </w:rPr>
        <w:t xml:space="preserve"> and </w:t>
      </w:r>
      <w:r>
        <w:rPr>
          <w:kern w:val="0"/>
        </w:rPr>
        <w:t>a description</w:t>
      </w:r>
      <w:r w:rsidR="00427468">
        <w:rPr>
          <w:kern w:val="0"/>
        </w:rPr>
        <w:t xml:space="preserve"> of </w:t>
      </w:r>
      <w:r w:rsidR="003A1917">
        <w:rPr>
          <w:kern w:val="0"/>
        </w:rPr>
        <w:t xml:space="preserve">the </w:t>
      </w:r>
      <w:r>
        <w:rPr>
          <w:kern w:val="0"/>
        </w:rPr>
        <w:t>evaluation methods. Discussion:</w:t>
      </w:r>
      <w:r w:rsidR="003A1917">
        <w:rPr>
          <w:kern w:val="0"/>
        </w:rPr>
        <w:t xml:space="preserve"> the </w:t>
      </w:r>
      <w:r>
        <w:rPr>
          <w:kern w:val="0"/>
        </w:rPr>
        <w:t>small number</w:t>
      </w:r>
      <w:r w:rsidR="00427468">
        <w:rPr>
          <w:kern w:val="0"/>
        </w:rPr>
        <w:t xml:space="preserve"> of </w:t>
      </w:r>
      <w:r>
        <w:rPr>
          <w:kern w:val="0"/>
        </w:rPr>
        <w:t>articles identified by this review suggests that publication</w:t>
      </w:r>
      <w:r w:rsidR="00427468">
        <w:rPr>
          <w:kern w:val="0"/>
        </w:rPr>
        <w:t xml:space="preserve"> of </w:t>
      </w:r>
      <w:r>
        <w:rPr>
          <w:kern w:val="0"/>
        </w:rPr>
        <w:t>QI research from LMICs remains challenging. However, recent increases in publication rates, especially among observational studies, may attest to greater interest in</w:t>
      </w:r>
      <w:r w:rsidR="003A1917">
        <w:rPr>
          <w:kern w:val="0"/>
        </w:rPr>
        <w:t xml:space="preserve"> the </w:t>
      </w:r>
      <w:r>
        <w:rPr>
          <w:kern w:val="0"/>
        </w:rPr>
        <w:t>topic among scientific audiences. Though</w:t>
      </w:r>
      <w:r w:rsidR="003A1917">
        <w:rPr>
          <w:kern w:val="0"/>
        </w:rPr>
        <w:t xml:space="preserve"> the </w:t>
      </w:r>
      <w:r>
        <w:rPr>
          <w:kern w:val="0"/>
        </w:rPr>
        <w:t>authors are not able to compare this sample with unpublished papers,</w:t>
      </w:r>
      <w:r w:rsidR="003A1917">
        <w:rPr>
          <w:kern w:val="0"/>
        </w:rPr>
        <w:t xml:space="preserve"> the </w:t>
      </w:r>
      <w:r>
        <w:rPr>
          <w:kern w:val="0"/>
        </w:rPr>
        <w:t>four components observed by them in</w:t>
      </w:r>
      <w:r w:rsidR="003A1917">
        <w:rPr>
          <w:kern w:val="0"/>
        </w:rPr>
        <w:t xml:space="preserve"> the </w:t>
      </w:r>
      <w:r>
        <w:rPr>
          <w:kern w:val="0"/>
        </w:rPr>
        <w:t>narrative analysis seem to strengthen QI research reports.</w:t>
      </w:r>
    </w:p>
    <w:p w:rsidR="007C4C5C" w:rsidRDefault="007C4C5C" w:rsidP="007C4C5C">
      <w:pPr>
        <w:pStyle w:val="a3"/>
        <w:rPr>
          <w:kern w:val="0"/>
        </w:rPr>
      </w:pPr>
      <w:r>
        <w:rPr>
          <w:kern w:val="0"/>
        </w:rPr>
        <w:t>Keywords: Africa, Analysis,</w:t>
      </w:r>
      <w:r w:rsidR="005853A9">
        <w:rPr>
          <w:kern w:val="0"/>
        </w:rPr>
        <w:t xml:space="preserve"> and </w:t>
      </w:r>
      <w:r>
        <w:rPr>
          <w:kern w:val="0"/>
        </w:rPr>
        <w:t xml:space="preserve">Middle-Income Countries, Articles, Authors, Bibliometric, Characteristics, Control, Countries, Criteria, Databases, Evaluation, Evaluation Methods, Experience, Experts, Field, Health-Care, Improvement, Inclusion, Intervention, Interventions, Journals, Literature, Low, Methods, Mozambique, Observational, Observational Studies, Papers, Program, Project, Publication, Pubmed, </w:t>
      </w:r>
      <w:r w:rsidR="000519B7">
        <w:rPr>
          <w:kern w:val="0"/>
        </w:rPr>
        <w:t>QI</w:t>
      </w:r>
      <w:r>
        <w:rPr>
          <w:kern w:val="0"/>
        </w:rPr>
        <w:t>, Quality, Quality Improvement, Rates, Recent, Recommendations, Research, Review, Science, Scientific Literature, Small, Specialty, State, Tanzania, Zambia</w:t>
      </w:r>
    </w:p>
    <w:p w:rsidR="00B02584" w:rsidRDefault="00B02584" w:rsidP="00B02584">
      <w:pPr>
        <w:pStyle w:val="a3"/>
        <w:rPr>
          <w:kern w:val="0"/>
        </w:rPr>
      </w:pPr>
      <w:r>
        <w:rPr>
          <w:kern w:val="0"/>
        </w:rPr>
        <w:t xml:space="preserve">? Jones, A.C., Shipman, S.A. and Ogrinc, G. (2015), Key characteristics of successful quality improvement curricula in physician education: a realist review. </w:t>
      </w:r>
      <w:r>
        <w:rPr>
          <w:i/>
          <w:iCs/>
          <w:kern w:val="0"/>
        </w:rPr>
        <w:t>BMJ Quality &amp; Safety</w:t>
      </w:r>
      <w:r>
        <w:rPr>
          <w:kern w:val="0"/>
        </w:rPr>
        <w:t xml:space="preserve">, </w:t>
      </w:r>
      <w:r>
        <w:rPr>
          <w:b/>
          <w:bCs/>
          <w:kern w:val="0"/>
        </w:rPr>
        <w:t>24</w:t>
      </w:r>
      <w:r>
        <w:rPr>
          <w:kern w:val="0"/>
        </w:rPr>
        <w:t xml:space="preserve"> (1), 77-88.</w:t>
      </w:r>
    </w:p>
    <w:p w:rsidR="00B02584" w:rsidRDefault="00B02584" w:rsidP="00B02584">
      <w:pPr>
        <w:pStyle w:val="a3"/>
        <w:rPr>
          <w:kern w:val="0"/>
          <w:szCs w:val="24"/>
        </w:rPr>
      </w:pPr>
      <w:r>
        <w:rPr>
          <w:rFonts w:hint="eastAsia"/>
          <w:kern w:val="0"/>
          <w:szCs w:val="24"/>
        </w:rPr>
        <w:lastRenderedPageBreak/>
        <w:t xml:space="preserve">Full Text: </w:t>
      </w:r>
      <w:r w:rsidRPr="0086182E">
        <w:rPr>
          <w:kern w:val="0"/>
          <w:szCs w:val="24"/>
        </w:rPr>
        <w:t>201</w:t>
      </w:r>
      <w:r>
        <w:rPr>
          <w:rFonts w:hint="eastAsia"/>
          <w:kern w:val="0"/>
          <w:szCs w:val="24"/>
        </w:rPr>
        <w:t>5</w:t>
      </w:r>
      <w:r w:rsidRPr="0086182E">
        <w:rPr>
          <w:kern w:val="0"/>
          <w:szCs w:val="24"/>
        </w:rPr>
        <w:t>\BMJ Qua Saf2</w:t>
      </w:r>
      <w:r>
        <w:rPr>
          <w:rFonts w:hint="eastAsia"/>
          <w:kern w:val="0"/>
          <w:szCs w:val="24"/>
        </w:rPr>
        <w:t>4</w:t>
      </w:r>
      <w:r w:rsidRPr="0086182E">
        <w:rPr>
          <w:kern w:val="0"/>
          <w:szCs w:val="24"/>
        </w:rPr>
        <w:t xml:space="preserve">, </w:t>
      </w:r>
      <w:r>
        <w:rPr>
          <w:rFonts w:hint="eastAsia"/>
          <w:kern w:val="0"/>
          <w:szCs w:val="24"/>
        </w:rPr>
        <w:t>77</w:t>
      </w:r>
      <w:r w:rsidRPr="0086182E">
        <w:rPr>
          <w:kern w:val="0"/>
          <w:szCs w:val="24"/>
        </w:rPr>
        <w:t>.pdf</w:t>
      </w:r>
    </w:p>
    <w:p w:rsidR="00B02584" w:rsidRDefault="00B02584" w:rsidP="00B02584">
      <w:pPr>
        <w:pStyle w:val="a3"/>
        <w:rPr>
          <w:kern w:val="0"/>
        </w:rPr>
      </w:pPr>
      <w:r>
        <w:rPr>
          <w:kern w:val="0"/>
        </w:rPr>
        <w:t>Abstract: Purpose Quality improvement (QI) is a common competency that must be taught in all physician training programmes, yet, there is no clear best approach to teach this content in clinical settings. We conducted a realist systematic review of the existing literature in QI curricula within the clinical setting, highlighting examples of trainees learning QI by doing QI. Method Candidate theories describing successful QI curricula were articulated a priori. We searched MEDLINE (1 January 2000 to 12 March 2013), the Cochrane Library (2013) and Web of Science (15 March 2013) and reviewed references of prior systematic reviews. Inclusion criteria included study design, setting, population, interventions, clinical and educational outcomes. The data abstraction tool included categories for setting, population, intervention, outcomes and qualitative comments. Themes were iteratively developed and synthesised using realist review methodology. A methodological quality tool assessed the biases, confounders, secular trends, reporting and study quality. Results Among 39 studies, most were before-after design with resident physicians as the primary population. Twenty-one described clinical interventions and 18 described educational interventions with a mean intervention length of 6.58 (SD=9.16) months. Twenty-eight reported successful clinical improvements; no studies reported clinical outcomes that worsened. Characteristics of successful clinical QI curricula include attention to the interface of educational and clinical systems, careful choice of QI work for the trainees and appropriately trained local faculty. Conclusions This realist review identified success characteristics to guide training programmes, medical schools, faculty, trainees, accrediting organisations and funders to further develop educational and improvement resources in QI educational programmes.</w:t>
      </w:r>
    </w:p>
    <w:p w:rsidR="00B02584" w:rsidRDefault="00B02584" w:rsidP="00B02584">
      <w:pPr>
        <w:pStyle w:val="a3"/>
        <w:rPr>
          <w:kern w:val="0"/>
        </w:rPr>
      </w:pPr>
      <w:r>
        <w:rPr>
          <w:kern w:val="0"/>
        </w:rPr>
        <w:t>Keywords: Approach, Attention, Care, Characteristics, Chart Audits, Choice, Clinical, Clinical Outcomes, Comments, Competency, Content, Continuous Quality Improvement, Criteria, Curricula, Data, Design, Education, Faculty, Improvement, Improving Quality, Interface, Intervention, Interventions, Learning, Length, Literature, Local, Management, Medical, Medical Education, Medical Schools, Medical-Students, Medline, Methodology, Outcomes, Patient Safety, Performance, Physician, Physicians, Population, Primary, Programmes, Project, Psychiatry Residents, Qi, Qualitative, Quality, Quality Improvement, References, Reporting, Resident, Resources, Results, Review, Reviews, Science, Secular Trends, Study Design, Success, Systematic, Systematic Review, Systematic Reviews, Systems, Training, Training Programmes, Trends, Web, Web of Science, Work</w:t>
      </w:r>
    </w:p>
    <w:p w:rsidR="000519B7" w:rsidRDefault="000519B7" w:rsidP="000519B7">
      <w:pPr>
        <w:pStyle w:val="1"/>
      </w:pPr>
      <w:r>
        <w:rPr>
          <w:b w:val="0"/>
        </w:rPr>
        <w:br w:type="page"/>
      </w:r>
      <w:bookmarkStart w:id="867" w:name="_Toc420814781"/>
      <w:r>
        <w:rPr>
          <w:rFonts w:hint="eastAsia"/>
        </w:rPr>
        <w:lastRenderedPageBreak/>
        <w:t xml:space="preserve">Title: </w:t>
      </w:r>
      <w:r>
        <w:rPr>
          <w:rFonts w:hint="eastAsia"/>
          <w:iCs w:val="0"/>
          <w:szCs w:val="24"/>
        </w:rPr>
        <w:t>BMC Veterinary Research</w:t>
      </w:r>
      <w:bookmarkEnd w:id="867"/>
    </w:p>
    <w:p w:rsidR="000519B7" w:rsidRDefault="000519B7" w:rsidP="000519B7">
      <w:pPr>
        <w:pStyle w:val="12"/>
      </w:pPr>
      <w:r>
        <w:rPr>
          <w:rFonts w:hint="eastAsia"/>
        </w:rPr>
        <w:t xml:space="preserve">Full Journal Title: </w:t>
      </w:r>
      <w:r>
        <w:rPr>
          <w:rFonts w:hint="eastAsia"/>
          <w:iCs/>
          <w:kern w:val="0"/>
        </w:rPr>
        <w:t>BMC Veterinary Research</w:t>
      </w:r>
    </w:p>
    <w:p w:rsidR="000519B7" w:rsidRDefault="000519B7" w:rsidP="000519B7">
      <w:pPr>
        <w:pStyle w:val="12"/>
      </w:pPr>
      <w:r>
        <w:rPr>
          <w:rFonts w:hint="eastAsia"/>
        </w:rPr>
        <w:t xml:space="preserve">ISO Abbreviated Title: </w:t>
      </w:r>
    </w:p>
    <w:p w:rsidR="000519B7" w:rsidRDefault="000519B7" w:rsidP="000519B7">
      <w:pPr>
        <w:pStyle w:val="12"/>
      </w:pPr>
      <w:r>
        <w:rPr>
          <w:rFonts w:hint="eastAsia"/>
        </w:rPr>
        <w:t xml:space="preserve">JCR Abbreviated Title: </w:t>
      </w:r>
    </w:p>
    <w:p w:rsidR="000519B7" w:rsidRDefault="000519B7" w:rsidP="000519B7">
      <w:pPr>
        <w:pStyle w:val="12"/>
      </w:pPr>
      <w:r>
        <w:rPr>
          <w:rFonts w:hint="eastAsia"/>
        </w:rPr>
        <w:t xml:space="preserve">ISSN: </w:t>
      </w:r>
    </w:p>
    <w:p w:rsidR="000519B7" w:rsidRDefault="000519B7" w:rsidP="000519B7">
      <w:pPr>
        <w:pStyle w:val="12"/>
      </w:pPr>
      <w:r>
        <w:rPr>
          <w:rFonts w:hint="eastAsia"/>
        </w:rPr>
        <w:t xml:space="preserve">Issues/Year: </w:t>
      </w:r>
    </w:p>
    <w:p w:rsidR="000519B7" w:rsidRDefault="000519B7" w:rsidP="000519B7">
      <w:pPr>
        <w:pStyle w:val="12"/>
      </w:pPr>
      <w:r>
        <w:rPr>
          <w:rFonts w:hint="eastAsia"/>
        </w:rPr>
        <w:t xml:space="preserve">Journal Country/Territory: </w:t>
      </w:r>
    </w:p>
    <w:p w:rsidR="000519B7" w:rsidRDefault="000519B7" w:rsidP="000519B7">
      <w:pPr>
        <w:pStyle w:val="12"/>
      </w:pPr>
      <w:r>
        <w:rPr>
          <w:rFonts w:hint="eastAsia"/>
        </w:rPr>
        <w:t xml:space="preserve">Language: </w:t>
      </w:r>
    </w:p>
    <w:p w:rsidR="000519B7" w:rsidRDefault="000519B7" w:rsidP="000519B7">
      <w:pPr>
        <w:pStyle w:val="12"/>
      </w:pPr>
      <w:r>
        <w:rPr>
          <w:rFonts w:hint="eastAsia"/>
        </w:rPr>
        <w:t xml:space="preserve">Publisher: </w:t>
      </w:r>
    </w:p>
    <w:p w:rsidR="000519B7" w:rsidRDefault="000519B7" w:rsidP="000519B7">
      <w:pPr>
        <w:pStyle w:val="12"/>
      </w:pPr>
      <w:r>
        <w:rPr>
          <w:rFonts w:hint="eastAsia"/>
        </w:rPr>
        <w:t xml:space="preserve">Publisher Address: </w:t>
      </w:r>
    </w:p>
    <w:p w:rsidR="000519B7" w:rsidRDefault="000519B7" w:rsidP="000519B7">
      <w:pPr>
        <w:pStyle w:val="12"/>
      </w:pPr>
      <w:r>
        <w:rPr>
          <w:rFonts w:hint="eastAsia"/>
        </w:rPr>
        <w:t xml:space="preserve">Subject Categories: </w:t>
      </w:r>
    </w:p>
    <w:p w:rsidR="000519B7" w:rsidRDefault="000519B7" w:rsidP="000519B7">
      <w:pPr>
        <w:pStyle w:val="12"/>
      </w:pPr>
      <w:r>
        <w:rPr>
          <w:rFonts w:hint="eastAsia"/>
        </w:rPr>
        <w:t xml:space="preserve">: Impact Factor </w:t>
      </w:r>
    </w:p>
    <w:p w:rsidR="000519B7" w:rsidRDefault="000519B7" w:rsidP="000519B7">
      <w:pPr>
        <w:pStyle w:val="a3"/>
        <w:rPr>
          <w:kern w:val="0"/>
          <w:szCs w:val="24"/>
        </w:rPr>
      </w:pPr>
      <w:r>
        <w:rPr>
          <w:rFonts w:hint="eastAsia"/>
          <w:kern w:val="0"/>
          <w:szCs w:val="24"/>
        </w:rPr>
        <w:t>? Christopher, M.M.</w:t>
      </w:r>
      <w:r w:rsidR="005853A9">
        <w:rPr>
          <w:rFonts w:hint="eastAsia"/>
          <w:kern w:val="0"/>
          <w:szCs w:val="24"/>
        </w:rPr>
        <w:t xml:space="preserve"> and </w:t>
      </w:r>
      <w:r>
        <w:rPr>
          <w:rFonts w:hint="eastAsia"/>
          <w:kern w:val="0"/>
          <w:szCs w:val="24"/>
        </w:rPr>
        <w:t>Marusic, A. (2013), Geographic trends in research output</w:t>
      </w:r>
      <w:r w:rsidR="005853A9">
        <w:rPr>
          <w:rFonts w:hint="eastAsia"/>
          <w:kern w:val="0"/>
          <w:szCs w:val="24"/>
        </w:rPr>
        <w:t xml:space="preserve"> and </w:t>
      </w:r>
      <w:r>
        <w:rPr>
          <w:rFonts w:hint="eastAsia"/>
          <w:kern w:val="0"/>
          <w:szCs w:val="24"/>
        </w:rPr>
        <w:t>citations in veterinary medicine: Insight into global research capacity, species specialization,</w:t>
      </w:r>
      <w:r w:rsidR="005853A9">
        <w:rPr>
          <w:rFonts w:hint="eastAsia"/>
          <w:kern w:val="0"/>
          <w:szCs w:val="24"/>
        </w:rPr>
        <w:t xml:space="preserve"> and </w:t>
      </w:r>
      <w:r>
        <w:rPr>
          <w:rFonts w:hint="eastAsia"/>
          <w:kern w:val="0"/>
          <w:szCs w:val="24"/>
        </w:rPr>
        <w:t xml:space="preserve">interdisciplinary relationships. </w:t>
      </w:r>
      <w:r>
        <w:rPr>
          <w:rFonts w:hint="eastAsia"/>
          <w:i/>
          <w:iCs/>
          <w:kern w:val="0"/>
          <w:szCs w:val="24"/>
        </w:rPr>
        <w:t>BMC Veterinary Research</w:t>
      </w:r>
      <w:r>
        <w:rPr>
          <w:rFonts w:hint="eastAsia"/>
          <w:kern w:val="0"/>
          <w:szCs w:val="24"/>
        </w:rPr>
        <w:t xml:space="preserve">, </w:t>
      </w:r>
      <w:r>
        <w:rPr>
          <w:rFonts w:hint="eastAsia"/>
          <w:b/>
          <w:bCs/>
          <w:kern w:val="0"/>
          <w:szCs w:val="24"/>
        </w:rPr>
        <w:t>9</w:t>
      </w:r>
      <w:r>
        <w:rPr>
          <w:rFonts w:hint="eastAsia"/>
          <w:kern w:val="0"/>
          <w:szCs w:val="24"/>
        </w:rPr>
        <w:t>, Article Number: 115.</w:t>
      </w:r>
    </w:p>
    <w:p w:rsidR="000519B7" w:rsidRDefault="000519B7" w:rsidP="000519B7">
      <w:pPr>
        <w:pStyle w:val="a3"/>
        <w:rPr>
          <w:kern w:val="0"/>
          <w:szCs w:val="24"/>
        </w:rPr>
      </w:pPr>
      <w:r>
        <w:rPr>
          <w:rFonts w:hint="eastAsia"/>
          <w:kern w:val="0"/>
          <w:szCs w:val="24"/>
        </w:rPr>
        <w:t xml:space="preserve">Full Text: </w:t>
      </w:r>
      <w:hyperlink r:id="rId1780" w:history="1">
        <w:r>
          <w:rPr>
            <w:rStyle w:val="a5"/>
            <w:szCs w:val="24"/>
          </w:rPr>
          <w:t>2013\BMC Vet Res9, 115.pdf</w:t>
        </w:r>
      </w:hyperlink>
    </w:p>
    <w:p w:rsidR="000519B7" w:rsidRDefault="000519B7" w:rsidP="000519B7">
      <w:pPr>
        <w:pStyle w:val="a3"/>
        <w:rPr>
          <w:kern w:val="0"/>
          <w:szCs w:val="24"/>
        </w:rPr>
      </w:pPr>
      <w:r>
        <w:rPr>
          <w:rFonts w:hint="eastAsia"/>
          <w:kern w:val="0"/>
          <w:szCs w:val="24"/>
        </w:rPr>
        <w:t>Abstract: Background: Bibliographic data can be used to map the research quality</w:t>
      </w:r>
      <w:r w:rsidR="005853A9">
        <w:rPr>
          <w:rFonts w:hint="eastAsia"/>
          <w:kern w:val="0"/>
          <w:szCs w:val="24"/>
        </w:rPr>
        <w:t xml:space="preserve"> and </w:t>
      </w:r>
      <w:r>
        <w:rPr>
          <w:rFonts w:hint="eastAsia"/>
          <w:kern w:val="0"/>
          <w:szCs w:val="24"/>
        </w:rPr>
        <w:t>productivity</w:t>
      </w:r>
      <w:r w:rsidR="00427468">
        <w:rPr>
          <w:rFonts w:hint="eastAsia"/>
          <w:kern w:val="0"/>
          <w:szCs w:val="24"/>
        </w:rPr>
        <w:t xml:space="preserve"> of </w:t>
      </w:r>
      <w:r>
        <w:rPr>
          <w:rFonts w:hint="eastAsia"/>
          <w:kern w:val="0"/>
          <w:szCs w:val="24"/>
        </w:rPr>
        <w:t>a discipline. We hypothesized that bibliographic data would identify geographic differences in research capacity, species specialization,</w:t>
      </w:r>
      <w:r w:rsidR="005853A9">
        <w:rPr>
          <w:rFonts w:hint="eastAsia"/>
          <w:kern w:val="0"/>
          <w:szCs w:val="24"/>
        </w:rPr>
        <w:t xml:space="preserve"> and </w:t>
      </w:r>
      <w:r>
        <w:rPr>
          <w:rFonts w:hint="eastAsia"/>
          <w:kern w:val="0"/>
          <w:szCs w:val="24"/>
        </w:rPr>
        <w:t>interdisciplinary relationships within the veterinary profession that corresponded with demographic</w:t>
      </w:r>
      <w:r w:rsidR="005853A9">
        <w:rPr>
          <w:rFonts w:hint="eastAsia"/>
          <w:kern w:val="0"/>
          <w:szCs w:val="24"/>
        </w:rPr>
        <w:t xml:space="preserve"> and </w:t>
      </w:r>
      <w:r>
        <w:rPr>
          <w:rFonts w:hint="eastAsia"/>
          <w:kern w:val="0"/>
          <w:szCs w:val="24"/>
        </w:rPr>
        <w:t>economic indices. Results: Using the SCImago portal, we retrieved veterinary journal, article,</w:t>
      </w:r>
      <w:r w:rsidR="005853A9">
        <w:rPr>
          <w:rFonts w:hint="eastAsia"/>
          <w:kern w:val="0"/>
          <w:szCs w:val="24"/>
        </w:rPr>
        <w:t xml:space="preserve"> and </w:t>
      </w:r>
      <w:r>
        <w:rPr>
          <w:rFonts w:hint="eastAsia"/>
          <w:kern w:val="0"/>
          <w:szCs w:val="24"/>
        </w:rPr>
        <w:t>citation data in the Scopus database by year (1996-2011), region, country,</w:t>
      </w:r>
      <w:r w:rsidR="005853A9">
        <w:rPr>
          <w:rFonts w:hint="eastAsia"/>
          <w:kern w:val="0"/>
          <w:szCs w:val="24"/>
        </w:rPr>
        <w:t xml:space="preserve"> and </w:t>
      </w:r>
      <w:r>
        <w:rPr>
          <w:rFonts w:hint="eastAsia"/>
          <w:kern w:val="0"/>
          <w:szCs w:val="24"/>
        </w:rPr>
        <w:t>publication in species-specific journals (food animal, small animal, equine, miscellaneous), as designated by Scopus. In 2011, Scopus indexed 165 journals in the veterinary subject area, an increase from 111 in 1996. As a percentage</w:t>
      </w:r>
      <w:r w:rsidR="00427468">
        <w:rPr>
          <w:rFonts w:hint="eastAsia"/>
          <w:kern w:val="0"/>
          <w:szCs w:val="24"/>
        </w:rPr>
        <w:t xml:space="preserve"> of </w:t>
      </w:r>
      <w:r>
        <w:rPr>
          <w:rFonts w:hint="eastAsia"/>
          <w:kern w:val="0"/>
          <w:szCs w:val="24"/>
        </w:rPr>
        <w:t>veterinary research output between 1996</w:t>
      </w:r>
      <w:r w:rsidR="005853A9">
        <w:rPr>
          <w:rFonts w:hint="eastAsia"/>
          <w:kern w:val="0"/>
          <w:szCs w:val="24"/>
        </w:rPr>
        <w:t xml:space="preserve"> and </w:t>
      </w:r>
      <w:r>
        <w:rPr>
          <w:rFonts w:hint="eastAsia"/>
          <w:kern w:val="0"/>
          <w:szCs w:val="24"/>
        </w:rPr>
        <w:t>2010, Western Europe</w:t>
      </w:r>
      <w:r w:rsidR="005853A9">
        <w:rPr>
          <w:rFonts w:hint="eastAsia"/>
          <w:kern w:val="0"/>
          <w:szCs w:val="24"/>
        </w:rPr>
        <w:t xml:space="preserve"> and </w:t>
      </w:r>
      <w:r>
        <w:rPr>
          <w:rFonts w:hint="eastAsia"/>
          <w:kern w:val="0"/>
          <w:szCs w:val="24"/>
        </w:rPr>
        <w:t>North America (US</w:t>
      </w:r>
      <w:r w:rsidR="005853A9">
        <w:rPr>
          <w:rFonts w:hint="eastAsia"/>
          <w:kern w:val="0"/>
          <w:szCs w:val="24"/>
        </w:rPr>
        <w:t xml:space="preserve"> and </w:t>
      </w:r>
      <w:r>
        <w:rPr>
          <w:rFonts w:hint="eastAsia"/>
          <w:kern w:val="0"/>
          <w:szCs w:val="24"/>
        </w:rPr>
        <w:t>Canada) together accounted for 60.9%</w:t>
      </w:r>
      <w:r w:rsidR="00427468">
        <w:rPr>
          <w:rFonts w:hint="eastAsia"/>
          <w:kern w:val="0"/>
          <w:szCs w:val="24"/>
        </w:rPr>
        <w:t xml:space="preserve"> of </w:t>
      </w:r>
      <w:r>
        <w:rPr>
          <w:rFonts w:hint="eastAsia"/>
          <w:kern w:val="0"/>
          <w:szCs w:val="24"/>
        </w:rPr>
        <w:t>articles</w:t>
      </w:r>
      <w:r w:rsidR="005853A9">
        <w:rPr>
          <w:rFonts w:hint="eastAsia"/>
          <w:kern w:val="0"/>
          <w:szCs w:val="24"/>
        </w:rPr>
        <w:t xml:space="preserve"> and </w:t>
      </w:r>
      <w:r>
        <w:rPr>
          <w:rFonts w:hint="eastAsia"/>
          <w:kern w:val="0"/>
          <w:szCs w:val="24"/>
        </w:rPr>
        <w:t>73.0%</w:t>
      </w:r>
      <w:r w:rsidR="00427468">
        <w:rPr>
          <w:rFonts w:hint="eastAsia"/>
          <w:kern w:val="0"/>
          <w:szCs w:val="24"/>
        </w:rPr>
        <w:t xml:space="preserve"> of </w:t>
      </w:r>
      <w:r>
        <w:rPr>
          <w:rFonts w:hint="eastAsia"/>
          <w:kern w:val="0"/>
          <w:szCs w:val="24"/>
        </w:rPr>
        <w:t>citations</w:t>
      </w:r>
      <w:r w:rsidR="00A37C1D">
        <w:rPr>
          <w:rFonts w:hint="eastAsia"/>
          <w:kern w:val="0"/>
          <w:szCs w:val="24"/>
        </w:rPr>
        <w:t>. The</w:t>
      </w:r>
      <w:r>
        <w:rPr>
          <w:rFonts w:hint="eastAsia"/>
          <w:kern w:val="0"/>
          <w:szCs w:val="24"/>
        </w:rPr>
        <w:t xml:space="preserve"> number</w:t>
      </w:r>
      <w:r w:rsidR="00427468">
        <w:rPr>
          <w:rFonts w:hint="eastAsia"/>
          <w:kern w:val="0"/>
          <w:szCs w:val="24"/>
        </w:rPr>
        <w:t xml:space="preserve"> of </w:t>
      </w:r>
      <w:r>
        <w:rPr>
          <w:rFonts w:hint="eastAsia"/>
          <w:kern w:val="0"/>
          <w:szCs w:val="24"/>
        </w:rPr>
        <w:t>veterinary articles increased from 8815 in 1996 to 19,077 in 2010 (net increase 66.6%). During this time, publications increased by 21.0% in Asia, 17.2% in Western Europe,</w:t>
      </w:r>
      <w:r w:rsidR="005853A9">
        <w:rPr>
          <w:rFonts w:hint="eastAsia"/>
          <w:kern w:val="0"/>
          <w:szCs w:val="24"/>
        </w:rPr>
        <w:t xml:space="preserve"> and </w:t>
      </w:r>
      <w:r>
        <w:rPr>
          <w:rFonts w:hint="eastAsia"/>
          <w:kern w:val="0"/>
          <w:szCs w:val="24"/>
        </w:rPr>
        <w:t>17.0% in Latin America, led by Brazil, China, India,</w:t>
      </w:r>
      <w:r w:rsidR="005853A9">
        <w:rPr>
          <w:rFonts w:hint="eastAsia"/>
          <w:kern w:val="0"/>
          <w:szCs w:val="24"/>
        </w:rPr>
        <w:t xml:space="preserve"> and </w:t>
      </w:r>
      <w:r>
        <w:rPr>
          <w:rFonts w:hint="eastAsia"/>
          <w:kern w:val="0"/>
          <w:szCs w:val="24"/>
        </w:rPr>
        <w:t>Turkey</w:t>
      </w:r>
      <w:r w:rsidR="00A37C1D">
        <w:rPr>
          <w:rFonts w:hint="eastAsia"/>
          <w:kern w:val="0"/>
          <w:szCs w:val="24"/>
        </w:rPr>
        <w:t>. The</w:t>
      </w:r>
      <w:r>
        <w:rPr>
          <w:rFonts w:hint="eastAsia"/>
          <w:kern w:val="0"/>
          <w:szCs w:val="24"/>
        </w:rPr>
        <w:t xml:space="preserve"> United States had the highest number</w:t>
      </w:r>
      <w:r w:rsidR="00427468">
        <w:rPr>
          <w:rFonts w:hint="eastAsia"/>
          <w:kern w:val="0"/>
          <w:szCs w:val="24"/>
        </w:rPr>
        <w:t xml:space="preserve"> of </w:t>
      </w:r>
      <w:r>
        <w:rPr>
          <w:rFonts w:hint="eastAsia"/>
          <w:kern w:val="0"/>
          <w:szCs w:val="24"/>
        </w:rPr>
        <w:t>articles in species-specific journals. As a percentage</w:t>
      </w:r>
      <w:r w:rsidR="00427468">
        <w:rPr>
          <w:rFonts w:hint="eastAsia"/>
          <w:kern w:val="0"/>
          <w:szCs w:val="24"/>
        </w:rPr>
        <w:t xml:space="preserve"> of </w:t>
      </w:r>
      <w:r>
        <w:rPr>
          <w:rFonts w:hint="eastAsia"/>
          <w:kern w:val="0"/>
          <w:szCs w:val="24"/>
        </w:rPr>
        <w:t>regional output, the proportion</w:t>
      </w:r>
      <w:r w:rsidR="00427468">
        <w:rPr>
          <w:rFonts w:hint="eastAsia"/>
          <w:kern w:val="0"/>
          <w:szCs w:val="24"/>
        </w:rPr>
        <w:t xml:space="preserve"> of </w:t>
      </w:r>
      <w:r>
        <w:rPr>
          <w:rFonts w:hint="eastAsia"/>
          <w:kern w:val="0"/>
          <w:szCs w:val="24"/>
        </w:rPr>
        <w:t>articles in small animal</w:t>
      </w:r>
      <w:r w:rsidR="005853A9">
        <w:rPr>
          <w:rFonts w:hint="eastAsia"/>
          <w:kern w:val="0"/>
          <w:szCs w:val="24"/>
        </w:rPr>
        <w:t xml:space="preserve"> and </w:t>
      </w:r>
      <w:r>
        <w:rPr>
          <w:rFonts w:hint="eastAsia"/>
          <w:kern w:val="0"/>
          <w:szCs w:val="24"/>
        </w:rPr>
        <w:t>equine journals was highest in North America</w:t>
      </w:r>
      <w:r w:rsidR="005853A9">
        <w:rPr>
          <w:rFonts w:hint="eastAsia"/>
          <w:kern w:val="0"/>
          <w:szCs w:val="24"/>
        </w:rPr>
        <w:t xml:space="preserve"> and </w:t>
      </w:r>
      <w:r>
        <w:rPr>
          <w:rFonts w:hint="eastAsia"/>
          <w:kern w:val="0"/>
          <w:szCs w:val="24"/>
        </w:rPr>
        <w:t>the proportion</w:t>
      </w:r>
      <w:r w:rsidR="00427468">
        <w:rPr>
          <w:rFonts w:hint="eastAsia"/>
          <w:kern w:val="0"/>
          <w:szCs w:val="24"/>
        </w:rPr>
        <w:t xml:space="preserve"> of </w:t>
      </w:r>
      <w:r>
        <w:rPr>
          <w:rFonts w:hint="eastAsia"/>
          <w:kern w:val="0"/>
          <w:szCs w:val="24"/>
        </w:rPr>
        <w:t>articles in food animal journals was highest in Africa. Based on principal component analysis, total articles were highly correlated with gross domestic product (based on World Bank data)</w:t>
      </w:r>
      <w:r w:rsidR="00A37C1D">
        <w:rPr>
          <w:rFonts w:hint="eastAsia"/>
          <w:kern w:val="0"/>
          <w:szCs w:val="24"/>
        </w:rPr>
        <w:t>. The</w:t>
      </w:r>
      <w:r>
        <w:rPr>
          <w:rFonts w:hint="eastAsia"/>
          <w:kern w:val="0"/>
          <w:szCs w:val="24"/>
        </w:rPr>
        <w:t xml:space="preserve"> proportion</w:t>
      </w:r>
      <w:r w:rsidR="00427468">
        <w:rPr>
          <w:rFonts w:hint="eastAsia"/>
          <w:kern w:val="0"/>
          <w:szCs w:val="24"/>
        </w:rPr>
        <w:t xml:space="preserve"> of </w:t>
      </w:r>
      <w:r>
        <w:rPr>
          <w:rFonts w:hint="eastAsia"/>
          <w:kern w:val="0"/>
          <w:szCs w:val="24"/>
        </w:rPr>
        <w:t xml:space="preserve">articles in </w:t>
      </w:r>
      <w:r>
        <w:rPr>
          <w:rFonts w:hint="eastAsia"/>
          <w:kern w:val="0"/>
          <w:szCs w:val="24"/>
        </w:rPr>
        <w:lastRenderedPageBreak/>
        <w:t>small animal</w:t>
      </w:r>
      <w:r w:rsidR="005853A9">
        <w:rPr>
          <w:rFonts w:hint="eastAsia"/>
          <w:kern w:val="0"/>
          <w:szCs w:val="24"/>
        </w:rPr>
        <w:t xml:space="preserve"> and </w:t>
      </w:r>
      <w:r>
        <w:rPr>
          <w:rFonts w:hint="eastAsia"/>
          <w:kern w:val="0"/>
          <w:szCs w:val="24"/>
        </w:rPr>
        <w:t>equine journals was associated with gross national income, research</w:t>
      </w:r>
      <w:r w:rsidR="005853A9">
        <w:rPr>
          <w:rFonts w:hint="eastAsia"/>
          <w:kern w:val="0"/>
          <w:szCs w:val="24"/>
        </w:rPr>
        <w:t xml:space="preserve"> and </w:t>
      </w:r>
      <w:r>
        <w:rPr>
          <w:rFonts w:hint="eastAsia"/>
          <w:kern w:val="0"/>
          <w:szCs w:val="24"/>
        </w:rPr>
        <w:t>development,</w:t>
      </w:r>
      <w:r w:rsidR="005853A9">
        <w:rPr>
          <w:rFonts w:hint="eastAsia"/>
          <w:kern w:val="0"/>
          <w:szCs w:val="24"/>
        </w:rPr>
        <w:t xml:space="preserve"> and </w:t>
      </w:r>
      <w:r>
        <w:rPr>
          <w:rFonts w:hint="eastAsia"/>
          <w:kern w:val="0"/>
          <w:szCs w:val="24"/>
        </w:rPr>
        <w:t>% urban population, as opposed to the proportion</w:t>
      </w:r>
      <w:r w:rsidR="00427468">
        <w:rPr>
          <w:rFonts w:hint="eastAsia"/>
          <w:kern w:val="0"/>
          <w:szCs w:val="24"/>
        </w:rPr>
        <w:t xml:space="preserve"> of </w:t>
      </w:r>
      <w:r>
        <w:rPr>
          <w:rFonts w:hint="eastAsia"/>
          <w:kern w:val="0"/>
          <w:szCs w:val="24"/>
        </w:rPr>
        <w:t>food animal articles, agricultural output,</w:t>
      </w:r>
      <w:r w:rsidR="005853A9">
        <w:rPr>
          <w:rFonts w:hint="eastAsia"/>
          <w:kern w:val="0"/>
          <w:szCs w:val="24"/>
        </w:rPr>
        <w:t xml:space="preserve"> and </w:t>
      </w:r>
      <w:r>
        <w:rPr>
          <w:rFonts w:hint="eastAsia"/>
          <w:kern w:val="0"/>
          <w:szCs w:val="24"/>
        </w:rPr>
        <w:t>% rural population. Co-citations linked veterinary medicine with medicine in the United States, with basic sciences in Eastern Europe</w:t>
      </w:r>
      <w:r w:rsidR="005853A9">
        <w:rPr>
          <w:rFonts w:hint="eastAsia"/>
          <w:kern w:val="0"/>
          <w:szCs w:val="24"/>
        </w:rPr>
        <w:t xml:space="preserve"> and </w:t>
      </w:r>
      <w:r>
        <w:rPr>
          <w:rFonts w:hint="eastAsia"/>
          <w:kern w:val="0"/>
          <w:szCs w:val="24"/>
        </w:rPr>
        <w:t>the Far East,</w:t>
      </w:r>
      <w:r w:rsidR="005853A9">
        <w:rPr>
          <w:rFonts w:hint="eastAsia"/>
          <w:kern w:val="0"/>
          <w:szCs w:val="24"/>
        </w:rPr>
        <w:t xml:space="preserve"> and </w:t>
      </w:r>
      <w:r>
        <w:rPr>
          <w:rFonts w:hint="eastAsia"/>
          <w:kern w:val="0"/>
          <w:szCs w:val="24"/>
        </w:rPr>
        <w:t>with agriculture in most other regions</w:t>
      </w:r>
      <w:r w:rsidR="005853A9">
        <w:rPr>
          <w:rFonts w:hint="eastAsia"/>
          <w:kern w:val="0"/>
          <w:szCs w:val="24"/>
        </w:rPr>
        <w:t xml:space="preserve"> and </w:t>
      </w:r>
      <w:r>
        <w:rPr>
          <w:rFonts w:hint="eastAsia"/>
          <w:kern w:val="0"/>
          <w:szCs w:val="24"/>
        </w:rPr>
        <w:t>countries. Conclusions: Bibliographic data reflect the demographic changes affecting veterinary medicine worldwide</w:t>
      </w:r>
      <w:r w:rsidR="005853A9">
        <w:rPr>
          <w:rFonts w:hint="eastAsia"/>
          <w:kern w:val="0"/>
          <w:szCs w:val="24"/>
        </w:rPr>
        <w:t xml:space="preserve"> and </w:t>
      </w:r>
      <w:r>
        <w:rPr>
          <w:rFonts w:hint="eastAsia"/>
          <w:kern w:val="0"/>
          <w:szCs w:val="24"/>
        </w:rPr>
        <w:t>provide insight into current</w:t>
      </w:r>
      <w:r w:rsidR="005853A9">
        <w:rPr>
          <w:rFonts w:hint="eastAsia"/>
          <w:kern w:val="0"/>
          <w:szCs w:val="24"/>
        </w:rPr>
        <w:t xml:space="preserve"> and </w:t>
      </w:r>
      <w:r>
        <w:rPr>
          <w:rFonts w:hint="eastAsia"/>
          <w:kern w:val="0"/>
          <w:szCs w:val="24"/>
        </w:rPr>
        <w:t>changing global research capacity, specialization,</w:t>
      </w:r>
      <w:r w:rsidR="005853A9">
        <w:rPr>
          <w:rFonts w:hint="eastAsia"/>
          <w:kern w:val="0"/>
          <w:szCs w:val="24"/>
        </w:rPr>
        <w:t xml:space="preserve"> and </w:t>
      </w:r>
      <w:r>
        <w:rPr>
          <w:rFonts w:hint="eastAsia"/>
          <w:kern w:val="0"/>
          <w:szCs w:val="24"/>
        </w:rPr>
        <w:t>interdisciplinary affiliations. A more detailed analysis</w:t>
      </w:r>
      <w:r w:rsidR="00427468">
        <w:rPr>
          <w:rFonts w:hint="eastAsia"/>
          <w:kern w:val="0"/>
          <w:szCs w:val="24"/>
        </w:rPr>
        <w:t xml:space="preserve"> of </w:t>
      </w:r>
      <w:r>
        <w:rPr>
          <w:rFonts w:hint="eastAsia"/>
          <w:kern w:val="0"/>
          <w:szCs w:val="24"/>
        </w:rPr>
        <w:t>species-specific trends is warranted</w:t>
      </w:r>
      <w:r w:rsidR="005853A9">
        <w:rPr>
          <w:rFonts w:hint="eastAsia"/>
          <w:kern w:val="0"/>
          <w:szCs w:val="24"/>
        </w:rPr>
        <w:t xml:space="preserve"> and </w:t>
      </w:r>
      <w:r>
        <w:rPr>
          <w:rFonts w:hint="eastAsia"/>
          <w:kern w:val="0"/>
          <w:szCs w:val="24"/>
        </w:rPr>
        <w:t>could contribute to a better understanding</w:t>
      </w:r>
      <w:r w:rsidR="00427468">
        <w:rPr>
          <w:rFonts w:hint="eastAsia"/>
          <w:kern w:val="0"/>
          <w:szCs w:val="24"/>
        </w:rPr>
        <w:t xml:space="preserve"> of </w:t>
      </w:r>
      <w:r>
        <w:rPr>
          <w:rFonts w:hint="eastAsia"/>
          <w:kern w:val="0"/>
          <w:szCs w:val="24"/>
        </w:rPr>
        <w:t>educational</w:t>
      </w:r>
      <w:r w:rsidR="005853A9">
        <w:rPr>
          <w:rFonts w:hint="eastAsia"/>
          <w:kern w:val="0"/>
          <w:szCs w:val="24"/>
        </w:rPr>
        <w:t xml:space="preserve"> and </w:t>
      </w:r>
      <w:r>
        <w:rPr>
          <w:rFonts w:hint="eastAsia"/>
          <w:kern w:val="0"/>
          <w:szCs w:val="24"/>
        </w:rPr>
        <w:t>workforce needs in veterinary medicine.</w:t>
      </w:r>
    </w:p>
    <w:p w:rsidR="000519B7" w:rsidRDefault="000519B7" w:rsidP="000519B7">
      <w:pPr>
        <w:pStyle w:val="a3"/>
        <w:rPr>
          <w:kern w:val="0"/>
          <w:szCs w:val="24"/>
        </w:rPr>
      </w:pPr>
      <w:r>
        <w:rPr>
          <w:rFonts w:hint="eastAsia"/>
          <w:kern w:val="0"/>
          <w:szCs w:val="24"/>
        </w:rPr>
        <w:t>Keywords: Africa, Agricultural, Agriculture, Analysis, Articles, Asia, Bibliographic, Bibliometrics, Brazil, Canada, Capacity, Changes, China, Citation, Citations, Co-Citations, Country, Coverage, Data, Database, Development, Different World Regions, Eastern Europe, Economic, Economics, Education, Education, Equine, Europe, Food, Future, Gender, Global, Gross Domestic Product, Gross National Income, India, Indices, Interdisciplinary, Journal, Journals, Latin America, Medicine, Needs, North, North America, Population, Principal Component Analysis, Productivity, Profession, Publication, Publications, Quality, Region, Regional, Research, Research</w:t>
      </w:r>
      <w:r w:rsidR="005853A9">
        <w:rPr>
          <w:rFonts w:hint="eastAsia"/>
          <w:kern w:val="0"/>
          <w:szCs w:val="24"/>
        </w:rPr>
        <w:t xml:space="preserve"> and </w:t>
      </w:r>
      <w:r>
        <w:rPr>
          <w:rFonts w:hint="eastAsia"/>
          <w:kern w:val="0"/>
          <w:szCs w:val="24"/>
        </w:rPr>
        <w:t>Development, Research Output, Research Publication, Research Quality, Results, Rural, Rural Population, Schools, Sciences, Scimago, Scopus, Small, Species, Trends, Turkey, Understanding, United States, Urban, US, Veterinary, World Bank</w:t>
      </w:r>
    </w:p>
    <w:p w:rsidR="007A52CA" w:rsidRPr="001A3D2B" w:rsidRDefault="007A52CA" w:rsidP="007A52CA">
      <w:pPr>
        <w:pStyle w:val="1"/>
      </w:pPr>
      <w:r w:rsidRPr="001A3D2B">
        <w:br w:type="page"/>
      </w:r>
      <w:bookmarkStart w:id="868" w:name="_Toc420814782"/>
      <w:r w:rsidRPr="001A3D2B">
        <w:lastRenderedPageBreak/>
        <w:t xml:space="preserve">Title: </w:t>
      </w:r>
      <w:r w:rsidRPr="007A52CA">
        <w:t>Boletim de Ciencias Geodesicas</w:t>
      </w:r>
      <w:bookmarkEnd w:id="868"/>
    </w:p>
    <w:p w:rsidR="007A52CA" w:rsidRPr="001A3D2B" w:rsidRDefault="007A52CA" w:rsidP="007A52CA">
      <w:pPr>
        <w:pStyle w:val="12"/>
      </w:pPr>
      <w:r w:rsidRPr="001A3D2B">
        <w:t xml:space="preserve">Full Journal Title: </w:t>
      </w:r>
      <w:r w:rsidRPr="007A52CA">
        <w:rPr>
          <w:iCs/>
          <w:kern w:val="0"/>
        </w:rPr>
        <w:t>Boletim de Ciencias Geodesicas</w:t>
      </w:r>
    </w:p>
    <w:p w:rsidR="007A52CA" w:rsidRPr="001A3D2B" w:rsidRDefault="007A52CA" w:rsidP="007A52CA">
      <w:pPr>
        <w:pStyle w:val="12"/>
      </w:pPr>
      <w:r w:rsidRPr="001A3D2B">
        <w:t xml:space="preserve">ISO Abbreviated Title: </w:t>
      </w:r>
    </w:p>
    <w:p w:rsidR="007A52CA" w:rsidRPr="001A3D2B" w:rsidRDefault="007A52CA" w:rsidP="007A52CA">
      <w:pPr>
        <w:pStyle w:val="12"/>
      </w:pPr>
      <w:r w:rsidRPr="001A3D2B">
        <w:t xml:space="preserve">JCR Abbreviated Title: </w:t>
      </w:r>
    </w:p>
    <w:p w:rsidR="007A52CA" w:rsidRPr="001A3D2B" w:rsidRDefault="007A52CA" w:rsidP="007A52CA">
      <w:pPr>
        <w:pStyle w:val="12"/>
      </w:pPr>
      <w:r w:rsidRPr="001A3D2B">
        <w:t xml:space="preserve">ISSN: </w:t>
      </w:r>
    </w:p>
    <w:p w:rsidR="007A52CA" w:rsidRPr="001A3D2B" w:rsidRDefault="007A52CA" w:rsidP="007A52CA">
      <w:pPr>
        <w:pStyle w:val="12"/>
      </w:pPr>
      <w:r w:rsidRPr="001A3D2B">
        <w:t xml:space="preserve">Issues/Year: </w:t>
      </w:r>
    </w:p>
    <w:p w:rsidR="007A52CA" w:rsidRPr="001A3D2B" w:rsidRDefault="007A52CA" w:rsidP="007A52CA">
      <w:pPr>
        <w:pStyle w:val="12"/>
      </w:pPr>
      <w:r w:rsidRPr="001A3D2B">
        <w:t xml:space="preserve">Journal Country/Territory: </w:t>
      </w:r>
    </w:p>
    <w:p w:rsidR="007A52CA" w:rsidRPr="001A3D2B" w:rsidRDefault="007A52CA" w:rsidP="007A52CA">
      <w:pPr>
        <w:pStyle w:val="12"/>
      </w:pPr>
      <w:r w:rsidRPr="001A3D2B">
        <w:t xml:space="preserve">Language: </w:t>
      </w:r>
    </w:p>
    <w:p w:rsidR="007A52CA" w:rsidRPr="001A3D2B" w:rsidRDefault="007A52CA" w:rsidP="007A52CA">
      <w:pPr>
        <w:pStyle w:val="12"/>
      </w:pPr>
      <w:r w:rsidRPr="001A3D2B">
        <w:t xml:space="preserve">Publisher: </w:t>
      </w:r>
    </w:p>
    <w:p w:rsidR="007A52CA" w:rsidRPr="001A3D2B" w:rsidRDefault="007A52CA" w:rsidP="007A52CA">
      <w:pPr>
        <w:pStyle w:val="12"/>
      </w:pPr>
      <w:r w:rsidRPr="001A3D2B">
        <w:t xml:space="preserve">Publisher Address: </w:t>
      </w:r>
    </w:p>
    <w:p w:rsidR="007A52CA" w:rsidRPr="001A3D2B" w:rsidRDefault="007A52CA" w:rsidP="007A52CA">
      <w:pPr>
        <w:pStyle w:val="12"/>
      </w:pPr>
      <w:r w:rsidRPr="001A3D2B">
        <w:t xml:space="preserve">Subject Categories: </w:t>
      </w:r>
    </w:p>
    <w:p w:rsidR="007A52CA" w:rsidRPr="001A3D2B" w:rsidRDefault="007A52CA" w:rsidP="007A52CA">
      <w:pPr>
        <w:pStyle w:val="12"/>
      </w:pPr>
      <w:r w:rsidRPr="001A3D2B">
        <w:t xml:space="preserve">: Impact Factor </w:t>
      </w:r>
    </w:p>
    <w:p w:rsidR="007A52CA" w:rsidRDefault="007A52CA" w:rsidP="007A52CA">
      <w:pPr>
        <w:pStyle w:val="a3"/>
        <w:rPr>
          <w:kern w:val="0"/>
        </w:rPr>
      </w:pPr>
      <w:r>
        <w:rPr>
          <w:rFonts w:hint="eastAsia"/>
          <w:kern w:val="0"/>
        </w:rPr>
        <w:t xml:space="preserve">? </w:t>
      </w:r>
      <w:r>
        <w:rPr>
          <w:kern w:val="0"/>
        </w:rPr>
        <w:t xml:space="preserve">Rojas-Sola, J.I. and Aguilera-Garcia, A.I. (2014), Global bibliometric analysis of the ‘Remote Sensing’ subject category from the Web of Science (1997-2012). </w:t>
      </w:r>
      <w:r w:rsidRPr="007A52CA">
        <w:rPr>
          <w:i/>
          <w:iCs/>
          <w:kern w:val="0"/>
        </w:rPr>
        <w:t>Boletim de Ciencias Geodesicas</w:t>
      </w:r>
      <w:r>
        <w:rPr>
          <w:kern w:val="0"/>
        </w:rPr>
        <w:t xml:space="preserve">, </w:t>
      </w:r>
      <w:r>
        <w:rPr>
          <w:b/>
          <w:bCs/>
          <w:kern w:val="0"/>
        </w:rPr>
        <w:t>20</w:t>
      </w:r>
      <w:r>
        <w:rPr>
          <w:kern w:val="0"/>
        </w:rPr>
        <w:t xml:space="preserve"> (4), 855-878.</w:t>
      </w:r>
    </w:p>
    <w:p w:rsidR="007A52CA" w:rsidRDefault="007A52CA" w:rsidP="007A52CA">
      <w:pPr>
        <w:pStyle w:val="a3"/>
        <w:rPr>
          <w:kern w:val="0"/>
        </w:rPr>
      </w:pPr>
      <w:r>
        <w:rPr>
          <w:rFonts w:hint="eastAsia"/>
          <w:kern w:val="0"/>
        </w:rPr>
        <w:t xml:space="preserve">Full Text: </w:t>
      </w:r>
      <w:hyperlink r:id="rId1781" w:history="1">
        <w:r w:rsidR="006F3C2B" w:rsidRPr="006F3C2B">
          <w:rPr>
            <w:rStyle w:val="a5"/>
            <w:kern w:val="0"/>
          </w:rPr>
          <w:t>2014\Bol Cie Geo20, 855.pdf</w:t>
        </w:r>
      </w:hyperlink>
    </w:p>
    <w:p w:rsidR="007A52CA" w:rsidRDefault="007A52CA" w:rsidP="007A52CA">
      <w:pPr>
        <w:pStyle w:val="a3"/>
        <w:rPr>
          <w:kern w:val="0"/>
        </w:rPr>
      </w:pPr>
      <w:r>
        <w:rPr>
          <w:kern w:val="0"/>
        </w:rPr>
        <w:t>Abstract: This study aimed at analyzing the evolution of the research into ‘Remote Sensing’ subject category; as a first approximation, we have revised in the Web of Science, the journals that are in that category. Secondly, we used bibliometric indicators to analyze publications for journals between 1997 and 2012. To do so, we analyzed for different countries and research centers, various bibliometric indicators such as the number of documents, showing, the productivity, the average number of citations, authors, research centers, national and international collaboration per document including their networks, the weighted and relative impact factor, as well as the h-index. Furthermore, we analyzed the international dissemination of research of countries through journals and the relationship with the impact factor to detect the published journals of each country. We have shown that English is the most common language of publication, and the USA is the most productive country, although it has a relatively low impact factor. We can remark that the Chinese Academy of Sciences and the National Aeronautics and Space Administration (NASA) are the most productive institutions, and the great number of publications of some Chinese universities.</w:t>
      </w:r>
    </w:p>
    <w:p w:rsidR="007A52CA" w:rsidRDefault="007A52CA" w:rsidP="007A52CA">
      <w:pPr>
        <w:pStyle w:val="a3"/>
        <w:rPr>
          <w:kern w:val="0"/>
        </w:rPr>
      </w:pPr>
      <w:r>
        <w:rPr>
          <w:kern w:val="0"/>
        </w:rPr>
        <w:t xml:space="preserve">Keywords: ‘Remote Sensing’ Subject Category, Analysis, Authors, Bibliometric, Bibliometric Analysis, Bibliometric Indicators, Building Technology, Chinese, Chinese Universities, Citations, Collaboration, Construction, Country, Database, Documents, English, Evolution, First, From, Global, H Index, H-Index, Impact, Impact Factor, Impact Factors, Index, Indicators, Institutions, International, </w:t>
      </w:r>
      <w:r>
        <w:rPr>
          <w:kern w:val="0"/>
        </w:rPr>
        <w:lastRenderedPageBreak/>
        <w:t>International Collaboration, Journal Citation Reports, Journals, Language, Networks, Productivity, Publication, Publications, Research, Research Centers, SCI, Science, Science Citation Index-Expanded, Sciences, Scientific Production, Spanish Scientific Publications, Universities, USA, Web, Web Of Science</w:t>
      </w:r>
    </w:p>
    <w:p w:rsidR="00056516" w:rsidRPr="001A3D2B" w:rsidRDefault="00056516" w:rsidP="00056516">
      <w:pPr>
        <w:pStyle w:val="1"/>
      </w:pPr>
      <w:r w:rsidRPr="001A3D2B">
        <w:br w:type="page"/>
      </w:r>
      <w:bookmarkStart w:id="869" w:name="_Toc420814783"/>
      <w:r w:rsidRPr="001A3D2B">
        <w:lastRenderedPageBreak/>
        <w:t xml:space="preserve">Title: </w:t>
      </w:r>
      <w:r w:rsidRPr="00056516">
        <w:rPr>
          <w:szCs w:val="24"/>
        </w:rPr>
        <w:t>Boletin de la Asociacion de Geografos Espanoles</w:t>
      </w:r>
      <w:bookmarkEnd w:id="869"/>
    </w:p>
    <w:p w:rsidR="00056516" w:rsidRPr="001A3D2B" w:rsidRDefault="00056516" w:rsidP="00056516">
      <w:pPr>
        <w:pStyle w:val="12"/>
      </w:pPr>
      <w:r w:rsidRPr="001A3D2B">
        <w:t xml:space="preserve">Full Journal Title: </w:t>
      </w:r>
      <w:r w:rsidRPr="00056516">
        <w:rPr>
          <w:iCs/>
          <w:kern w:val="0"/>
        </w:rPr>
        <w:t>Boletin de la Asociacion de Geografos Espanoles</w:t>
      </w:r>
    </w:p>
    <w:p w:rsidR="00056516" w:rsidRPr="001A3D2B" w:rsidRDefault="00056516" w:rsidP="00056516">
      <w:pPr>
        <w:pStyle w:val="12"/>
      </w:pPr>
      <w:r w:rsidRPr="001A3D2B">
        <w:t xml:space="preserve">ISO Abbreviated Title: </w:t>
      </w:r>
    </w:p>
    <w:p w:rsidR="00056516" w:rsidRPr="001A3D2B" w:rsidRDefault="00056516" w:rsidP="00056516">
      <w:pPr>
        <w:pStyle w:val="12"/>
      </w:pPr>
      <w:r w:rsidRPr="001A3D2B">
        <w:t xml:space="preserve">JCR Abbreviated Title: </w:t>
      </w:r>
    </w:p>
    <w:p w:rsidR="00056516" w:rsidRPr="001A3D2B" w:rsidRDefault="00056516" w:rsidP="00056516">
      <w:pPr>
        <w:pStyle w:val="12"/>
      </w:pPr>
      <w:r w:rsidRPr="001A3D2B">
        <w:t xml:space="preserve">ISSN: </w:t>
      </w:r>
    </w:p>
    <w:p w:rsidR="00056516" w:rsidRPr="001A3D2B" w:rsidRDefault="00056516" w:rsidP="00056516">
      <w:pPr>
        <w:pStyle w:val="12"/>
      </w:pPr>
      <w:r w:rsidRPr="001A3D2B">
        <w:t xml:space="preserve">Issues/Year: </w:t>
      </w:r>
    </w:p>
    <w:p w:rsidR="00056516" w:rsidRPr="001A3D2B" w:rsidRDefault="00056516" w:rsidP="00056516">
      <w:pPr>
        <w:pStyle w:val="12"/>
      </w:pPr>
      <w:r w:rsidRPr="001A3D2B">
        <w:t xml:space="preserve">Journal Country/Territory: </w:t>
      </w:r>
    </w:p>
    <w:p w:rsidR="00056516" w:rsidRPr="001A3D2B" w:rsidRDefault="00056516" w:rsidP="00056516">
      <w:pPr>
        <w:pStyle w:val="12"/>
      </w:pPr>
      <w:r w:rsidRPr="001A3D2B">
        <w:t xml:space="preserve">Language: </w:t>
      </w:r>
    </w:p>
    <w:p w:rsidR="00056516" w:rsidRPr="001A3D2B" w:rsidRDefault="00056516" w:rsidP="00056516">
      <w:pPr>
        <w:pStyle w:val="12"/>
      </w:pPr>
      <w:r w:rsidRPr="001A3D2B">
        <w:t xml:space="preserve">Publisher: </w:t>
      </w:r>
    </w:p>
    <w:p w:rsidR="00056516" w:rsidRPr="001A3D2B" w:rsidRDefault="00056516" w:rsidP="00056516">
      <w:pPr>
        <w:pStyle w:val="12"/>
      </w:pPr>
      <w:r w:rsidRPr="001A3D2B">
        <w:t xml:space="preserve">Publisher Address: </w:t>
      </w:r>
    </w:p>
    <w:p w:rsidR="00056516" w:rsidRPr="001A3D2B" w:rsidRDefault="00056516" w:rsidP="00056516">
      <w:pPr>
        <w:pStyle w:val="12"/>
      </w:pPr>
      <w:r w:rsidRPr="001A3D2B">
        <w:t xml:space="preserve">Subject Categories: </w:t>
      </w:r>
    </w:p>
    <w:p w:rsidR="00056516" w:rsidRPr="001A3D2B" w:rsidRDefault="00056516" w:rsidP="00056516">
      <w:pPr>
        <w:pStyle w:val="12"/>
      </w:pPr>
      <w:r w:rsidRPr="001A3D2B">
        <w:t xml:space="preserve">: Impact Factor </w:t>
      </w:r>
    </w:p>
    <w:p w:rsidR="00C6271C" w:rsidRDefault="00C6271C" w:rsidP="00056516">
      <w:pPr>
        <w:pStyle w:val="a3"/>
        <w:rPr>
          <w:kern w:val="0"/>
          <w:szCs w:val="24"/>
        </w:rPr>
      </w:pPr>
      <w:r>
        <w:rPr>
          <w:rFonts w:hint="eastAsia"/>
          <w:kern w:val="0"/>
          <w:szCs w:val="24"/>
        </w:rPr>
        <w:t>Notes: CCountry</w:t>
      </w:r>
    </w:p>
    <w:p w:rsidR="00056516" w:rsidRDefault="00056516" w:rsidP="00056516">
      <w:pPr>
        <w:pStyle w:val="a3"/>
        <w:rPr>
          <w:kern w:val="0"/>
          <w:szCs w:val="24"/>
        </w:rPr>
      </w:pPr>
      <w:r>
        <w:rPr>
          <w:rFonts w:hint="eastAsia"/>
          <w:kern w:val="0"/>
          <w:szCs w:val="24"/>
        </w:rPr>
        <w:t xml:space="preserve">? </w:t>
      </w:r>
      <w:r>
        <w:rPr>
          <w:kern w:val="0"/>
          <w:szCs w:val="24"/>
        </w:rPr>
        <w:t>Marfil, J.A.C.</w:t>
      </w:r>
      <w:r w:rsidR="005853A9">
        <w:rPr>
          <w:kern w:val="0"/>
          <w:szCs w:val="24"/>
        </w:rPr>
        <w:t xml:space="preserve"> and </w:t>
      </w:r>
      <w:r>
        <w:rPr>
          <w:kern w:val="0"/>
          <w:szCs w:val="24"/>
        </w:rPr>
        <w:t>Vela, J.D. (2013), Research into the geography</w:t>
      </w:r>
      <w:r w:rsidR="00427468">
        <w:rPr>
          <w:kern w:val="0"/>
          <w:szCs w:val="24"/>
        </w:rPr>
        <w:t xml:space="preserve"> of </w:t>
      </w:r>
      <w:r>
        <w:rPr>
          <w:kern w:val="0"/>
          <w:szCs w:val="24"/>
        </w:rPr>
        <w:t>tourism in spain through bibliometric analysis</w:t>
      </w:r>
      <w:r w:rsidR="00427468">
        <w:rPr>
          <w:kern w:val="0"/>
          <w:szCs w:val="24"/>
        </w:rPr>
        <w:t xml:space="preserve"> of </w:t>
      </w:r>
      <w:r>
        <w:rPr>
          <w:kern w:val="0"/>
          <w:szCs w:val="24"/>
        </w:rPr>
        <w:t>the proceedings</w:t>
      </w:r>
      <w:r w:rsidR="00427468">
        <w:rPr>
          <w:kern w:val="0"/>
          <w:szCs w:val="24"/>
        </w:rPr>
        <w:t xml:space="preserve"> of </w:t>
      </w:r>
      <w:r>
        <w:rPr>
          <w:kern w:val="0"/>
          <w:szCs w:val="24"/>
        </w:rPr>
        <w:t>the geography</w:t>
      </w:r>
      <w:r w:rsidR="00427468">
        <w:rPr>
          <w:kern w:val="0"/>
          <w:szCs w:val="24"/>
        </w:rPr>
        <w:t xml:space="preserve"> of </w:t>
      </w:r>
      <w:r>
        <w:rPr>
          <w:kern w:val="0"/>
          <w:szCs w:val="24"/>
        </w:rPr>
        <w:t>tourism, leisure</w:t>
      </w:r>
      <w:r w:rsidR="005853A9">
        <w:rPr>
          <w:kern w:val="0"/>
          <w:szCs w:val="24"/>
        </w:rPr>
        <w:t xml:space="preserve"> and </w:t>
      </w:r>
      <w:r>
        <w:rPr>
          <w:kern w:val="0"/>
          <w:szCs w:val="24"/>
        </w:rPr>
        <w:t xml:space="preserve">recreation conference (1990-2012). </w:t>
      </w:r>
      <w:r w:rsidRPr="00056516">
        <w:rPr>
          <w:i/>
          <w:iCs/>
          <w:kern w:val="0"/>
          <w:szCs w:val="24"/>
        </w:rPr>
        <w:t>Boletin de la Asociacion de Geografos Espanoles</w:t>
      </w:r>
      <w:r>
        <w:rPr>
          <w:kern w:val="0"/>
          <w:szCs w:val="24"/>
        </w:rPr>
        <w:t xml:space="preserve">, </w:t>
      </w:r>
      <w:r w:rsidRPr="00BD47B6">
        <w:rPr>
          <w:b/>
          <w:kern w:val="0"/>
          <w:szCs w:val="24"/>
        </w:rPr>
        <w:t>63</w:t>
      </w:r>
      <w:r>
        <w:rPr>
          <w:kern w:val="0"/>
          <w:szCs w:val="24"/>
        </w:rPr>
        <w:t>, 535-549</w:t>
      </w:r>
      <w:r>
        <w:rPr>
          <w:rFonts w:hint="eastAsia"/>
          <w:kern w:val="0"/>
          <w:szCs w:val="24"/>
        </w:rPr>
        <w:t>.</w:t>
      </w:r>
    </w:p>
    <w:p w:rsidR="00056516" w:rsidRDefault="00056516" w:rsidP="00056516">
      <w:pPr>
        <w:pStyle w:val="a3"/>
        <w:rPr>
          <w:kern w:val="0"/>
          <w:szCs w:val="24"/>
        </w:rPr>
      </w:pPr>
      <w:r>
        <w:rPr>
          <w:rFonts w:hint="eastAsia"/>
          <w:kern w:val="0"/>
          <w:szCs w:val="24"/>
        </w:rPr>
        <w:t xml:space="preserve">Full Text: </w:t>
      </w:r>
      <w:hyperlink r:id="rId1782" w:history="1">
        <w:r w:rsidR="00C6271C" w:rsidRPr="00C6271C">
          <w:rPr>
            <w:rStyle w:val="a5"/>
            <w:kern w:val="0"/>
            <w:szCs w:val="24"/>
          </w:rPr>
          <w:t>2013\Bol Aso Geo Esp63, 535.pdf</w:t>
        </w:r>
      </w:hyperlink>
    </w:p>
    <w:p w:rsidR="00056516" w:rsidRDefault="00056516" w:rsidP="00056516">
      <w:pPr>
        <w:pStyle w:val="a3"/>
        <w:rPr>
          <w:kern w:val="0"/>
          <w:szCs w:val="24"/>
        </w:rPr>
      </w:pPr>
      <w:r>
        <w:rPr>
          <w:kern w:val="0"/>
          <w:szCs w:val="24"/>
        </w:rPr>
        <w:t>Keywords: Article, Bibliometric, Bibliometric Analysis, Conference, Hospitality, Research, Spain</w:t>
      </w:r>
    </w:p>
    <w:p w:rsidR="00BF0C42" w:rsidRPr="001A3D2B" w:rsidRDefault="00BF0C42" w:rsidP="00BF0C42">
      <w:pPr>
        <w:pStyle w:val="1"/>
      </w:pPr>
      <w:r w:rsidRPr="001A3D2B">
        <w:br w:type="page"/>
      </w:r>
      <w:bookmarkStart w:id="870" w:name="_Toc420814784"/>
      <w:r w:rsidRPr="001A3D2B">
        <w:lastRenderedPageBreak/>
        <w:t xml:space="preserve">Title: </w:t>
      </w:r>
      <w:r w:rsidRPr="00BF0C42">
        <w:t>Boletin de Malariologia y Salud Ambiental</w:t>
      </w:r>
      <w:bookmarkEnd w:id="870"/>
    </w:p>
    <w:p w:rsidR="00BF0C42" w:rsidRPr="001A3D2B" w:rsidRDefault="00BF0C42" w:rsidP="00BF0C42">
      <w:pPr>
        <w:pStyle w:val="12"/>
      </w:pPr>
      <w:r w:rsidRPr="001A3D2B">
        <w:t xml:space="preserve">Full Journal Title: </w:t>
      </w:r>
      <w:r w:rsidRPr="00BF0C42">
        <w:rPr>
          <w:iCs/>
          <w:kern w:val="0"/>
        </w:rPr>
        <w:t>Boletin de Malariologia y Salud Ambiental</w:t>
      </w:r>
    </w:p>
    <w:p w:rsidR="00BF0C42" w:rsidRPr="001A3D2B" w:rsidRDefault="00BF0C42" w:rsidP="00BF0C42">
      <w:pPr>
        <w:pStyle w:val="12"/>
      </w:pPr>
      <w:r w:rsidRPr="001A3D2B">
        <w:t xml:space="preserve">ISO Abbreviated Title: </w:t>
      </w:r>
    </w:p>
    <w:p w:rsidR="00BF0C42" w:rsidRPr="001A3D2B" w:rsidRDefault="00BF0C42" w:rsidP="00BF0C42">
      <w:pPr>
        <w:pStyle w:val="12"/>
      </w:pPr>
      <w:r w:rsidRPr="001A3D2B">
        <w:t xml:space="preserve">JCR Abbreviated Title: </w:t>
      </w:r>
    </w:p>
    <w:p w:rsidR="00BF0C42" w:rsidRPr="001A3D2B" w:rsidRDefault="00BF0C42" w:rsidP="00BF0C42">
      <w:pPr>
        <w:pStyle w:val="12"/>
      </w:pPr>
      <w:r w:rsidRPr="001A3D2B">
        <w:t xml:space="preserve">ISSN: </w:t>
      </w:r>
    </w:p>
    <w:p w:rsidR="00BF0C42" w:rsidRPr="001A3D2B" w:rsidRDefault="00BF0C42" w:rsidP="00BF0C42">
      <w:pPr>
        <w:pStyle w:val="12"/>
      </w:pPr>
      <w:r w:rsidRPr="001A3D2B">
        <w:t xml:space="preserve">Issues/Year: </w:t>
      </w:r>
    </w:p>
    <w:p w:rsidR="00BF0C42" w:rsidRPr="001A3D2B" w:rsidRDefault="00BF0C42" w:rsidP="00BF0C42">
      <w:pPr>
        <w:pStyle w:val="12"/>
      </w:pPr>
      <w:r w:rsidRPr="001A3D2B">
        <w:t xml:space="preserve">Journal Country/Territory: </w:t>
      </w:r>
    </w:p>
    <w:p w:rsidR="00BF0C42" w:rsidRPr="001A3D2B" w:rsidRDefault="00BF0C42" w:rsidP="00BF0C42">
      <w:pPr>
        <w:pStyle w:val="12"/>
      </w:pPr>
      <w:r w:rsidRPr="001A3D2B">
        <w:t xml:space="preserve">Language: </w:t>
      </w:r>
    </w:p>
    <w:p w:rsidR="00BF0C42" w:rsidRPr="001A3D2B" w:rsidRDefault="00BF0C42" w:rsidP="00BF0C42">
      <w:pPr>
        <w:pStyle w:val="12"/>
      </w:pPr>
      <w:r w:rsidRPr="001A3D2B">
        <w:t xml:space="preserve">Publisher: </w:t>
      </w:r>
    </w:p>
    <w:p w:rsidR="00BF0C42" w:rsidRPr="001A3D2B" w:rsidRDefault="00BF0C42" w:rsidP="00BF0C42">
      <w:pPr>
        <w:pStyle w:val="12"/>
      </w:pPr>
      <w:r w:rsidRPr="001A3D2B">
        <w:t xml:space="preserve">Publisher Address: </w:t>
      </w:r>
    </w:p>
    <w:p w:rsidR="00BF0C42" w:rsidRPr="001A3D2B" w:rsidRDefault="00BF0C42" w:rsidP="00BF0C42">
      <w:pPr>
        <w:pStyle w:val="12"/>
      </w:pPr>
      <w:r w:rsidRPr="001A3D2B">
        <w:t xml:space="preserve">Subject Categories: </w:t>
      </w:r>
    </w:p>
    <w:p w:rsidR="00BF0C42" w:rsidRPr="001A3D2B" w:rsidRDefault="00BF0C42" w:rsidP="00BF0C42">
      <w:pPr>
        <w:pStyle w:val="12"/>
      </w:pPr>
      <w:r w:rsidRPr="001A3D2B">
        <w:t xml:space="preserve">: Impact Factor </w:t>
      </w:r>
    </w:p>
    <w:p w:rsidR="00BF0C42" w:rsidRDefault="00BF0C42" w:rsidP="00BF0C42">
      <w:pPr>
        <w:pStyle w:val="a3"/>
        <w:rPr>
          <w:kern w:val="0"/>
        </w:rPr>
      </w:pPr>
      <w:r>
        <w:rPr>
          <w:rFonts w:hint="eastAsia"/>
          <w:kern w:val="0"/>
        </w:rPr>
        <w:t>Notes: JJournal</w:t>
      </w:r>
    </w:p>
    <w:p w:rsidR="00BF0C42" w:rsidRDefault="00BF0C42" w:rsidP="00BF0C42">
      <w:pPr>
        <w:pStyle w:val="a3"/>
        <w:rPr>
          <w:kern w:val="0"/>
        </w:rPr>
      </w:pPr>
      <w:r>
        <w:rPr>
          <w:rFonts w:hint="eastAsia"/>
          <w:kern w:val="0"/>
        </w:rPr>
        <w:t xml:space="preserve">? </w:t>
      </w:r>
      <w:r>
        <w:rPr>
          <w:kern w:val="0"/>
        </w:rPr>
        <w:t>Feliciangeli, M.D. (2010), Science, technology</w:t>
      </w:r>
      <w:r w:rsidR="005853A9">
        <w:rPr>
          <w:kern w:val="0"/>
        </w:rPr>
        <w:t xml:space="preserve"> and </w:t>
      </w:r>
      <w:r>
        <w:rPr>
          <w:kern w:val="0"/>
        </w:rPr>
        <w:t>health action trough</w:t>
      </w:r>
      <w:r w:rsidR="003A1917">
        <w:rPr>
          <w:kern w:val="0"/>
        </w:rPr>
        <w:t xml:space="preserve"> the </w:t>
      </w:r>
      <w:r>
        <w:rPr>
          <w:kern w:val="0"/>
        </w:rPr>
        <w:t>50 years</w:t>
      </w:r>
      <w:r w:rsidR="00427468">
        <w:rPr>
          <w:kern w:val="0"/>
        </w:rPr>
        <w:t xml:space="preserve"> of </w:t>
      </w:r>
      <w:r w:rsidR="003A1917">
        <w:rPr>
          <w:kern w:val="0"/>
        </w:rPr>
        <w:t xml:space="preserve">the </w:t>
      </w:r>
      <w:r w:rsidRPr="001D2BD1">
        <w:rPr>
          <w:i/>
          <w:kern w:val="0"/>
        </w:rPr>
        <w:t>Boletin de Malariologia y Salud Ambiental</w:t>
      </w:r>
      <w:r>
        <w:rPr>
          <w:kern w:val="0"/>
        </w:rPr>
        <w:t xml:space="preserve">. </w:t>
      </w:r>
      <w:r w:rsidRPr="00BF0C42">
        <w:rPr>
          <w:i/>
          <w:iCs/>
          <w:kern w:val="0"/>
        </w:rPr>
        <w:t>Boletin de Malariologia y Salud Ambiental</w:t>
      </w:r>
      <w:r>
        <w:rPr>
          <w:kern w:val="0"/>
        </w:rPr>
        <w:t xml:space="preserve">, </w:t>
      </w:r>
      <w:r>
        <w:rPr>
          <w:b/>
          <w:bCs/>
          <w:kern w:val="0"/>
        </w:rPr>
        <w:t>50</w:t>
      </w:r>
      <w:r>
        <w:rPr>
          <w:kern w:val="0"/>
        </w:rPr>
        <w:t xml:space="preserve"> (2), 161-173.</w:t>
      </w:r>
    </w:p>
    <w:p w:rsidR="002726B6" w:rsidRPr="00BC3B13" w:rsidRDefault="002726B6" w:rsidP="002726B6">
      <w:pPr>
        <w:pStyle w:val="a3"/>
      </w:pPr>
      <w:r w:rsidRPr="00BC3B13">
        <w:t xml:space="preserve">Full Text: </w:t>
      </w:r>
      <w:hyperlink r:id="rId1783" w:history="1">
        <w:r w:rsidRPr="00DC10B5">
          <w:rPr>
            <w:rStyle w:val="a5"/>
          </w:rPr>
          <w:t>2010\Bol Mal Sal Amb50, 161.pdf</w:t>
        </w:r>
      </w:hyperlink>
    </w:p>
    <w:p w:rsidR="00BF0C42" w:rsidRDefault="00BF0C42" w:rsidP="00BF0C42">
      <w:pPr>
        <w:pStyle w:val="a3"/>
        <w:rPr>
          <w:kern w:val="0"/>
        </w:rPr>
      </w:pPr>
      <w:r>
        <w:rPr>
          <w:kern w:val="0"/>
        </w:rPr>
        <w:t>Abstract:</w:t>
      </w:r>
      <w:r w:rsidR="003A1917">
        <w:rPr>
          <w:kern w:val="0"/>
        </w:rPr>
        <w:t xml:space="preserve"> the </w:t>
      </w:r>
      <w:r>
        <w:rPr>
          <w:kern w:val="0"/>
        </w:rPr>
        <w:t>Boletin de Malariologia y Salud Ambiental is one</w:t>
      </w:r>
      <w:r w:rsidR="00427468">
        <w:rPr>
          <w:kern w:val="0"/>
        </w:rPr>
        <w:t xml:space="preserve"> of </w:t>
      </w:r>
      <w:r>
        <w:rPr>
          <w:kern w:val="0"/>
        </w:rPr>
        <w:t>Venezuela</w:t>
      </w:r>
      <w:r w:rsidR="00700038">
        <w:rPr>
          <w:kern w:val="0"/>
        </w:rPr>
        <w:t>’</w:t>
      </w:r>
      <w:r w:rsidR="00C13DDC">
        <w:rPr>
          <w:kern w:val="0"/>
        </w:rPr>
        <w:t>s</w:t>
      </w:r>
      <w:r>
        <w:rPr>
          <w:kern w:val="0"/>
        </w:rPr>
        <w:t xml:space="preserve"> oldest journals in</w:t>
      </w:r>
      <w:r w:rsidR="003A1917">
        <w:rPr>
          <w:kern w:val="0"/>
        </w:rPr>
        <w:t xml:space="preserve"> the </w:t>
      </w:r>
      <w:r>
        <w:rPr>
          <w:kern w:val="0"/>
        </w:rPr>
        <w:t>area</w:t>
      </w:r>
      <w:r w:rsidR="00427468">
        <w:rPr>
          <w:kern w:val="0"/>
        </w:rPr>
        <w:t xml:space="preserve"> of </w:t>
      </w:r>
      <w:r>
        <w:rPr>
          <w:kern w:val="0"/>
        </w:rPr>
        <w:t>Public Health. During 50 years</w:t>
      </w:r>
      <w:r w:rsidR="00427468">
        <w:rPr>
          <w:kern w:val="0"/>
        </w:rPr>
        <w:t xml:space="preserve"> of </w:t>
      </w:r>
      <w:r>
        <w:rPr>
          <w:kern w:val="0"/>
        </w:rPr>
        <w:t>uninterrupted publication, its pages reflect</w:t>
      </w:r>
      <w:r w:rsidR="003A1917">
        <w:rPr>
          <w:kern w:val="0"/>
        </w:rPr>
        <w:t xml:space="preserve"> the </w:t>
      </w:r>
      <w:r>
        <w:rPr>
          <w:kern w:val="0"/>
        </w:rPr>
        <w:t>science, technology</w:t>
      </w:r>
      <w:r w:rsidR="005853A9">
        <w:rPr>
          <w:kern w:val="0"/>
        </w:rPr>
        <w:t xml:space="preserve"> and </w:t>
      </w:r>
      <w:r>
        <w:rPr>
          <w:kern w:val="0"/>
        </w:rPr>
        <w:t>environmental sanitation that have contributed to</w:t>
      </w:r>
      <w:r w:rsidR="003A1917">
        <w:rPr>
          <w:kern w:val="0"/>
        </w:rPr>
        <w:t xml:space="preserve"> the </w:t>
      </w:r>
      <w:r>
        <w:rPr>
          <w:kern w:val="0"/>
        </w:rPr>
        <w:t>prevention</w:t>
      </w:r>
      <w:r w:rsidR="005853A9">
        <w:rPr>
          <w:kern w:val="0"/>
        </w:rPr>
        <w:t xml:space="preserve"> and </w:t>
      </w:r>
      <w:r>
        <w:rPr>
          <w:kern w:val="0"/>
        </w:rPr>
        <w:t>control</w:t>
      </w:r>
      <w:r w:rsidR="00427468">
        <w:rPr>
          <w:kern w:val="0"/>
        </w:rPr>
        <w:t xml:space="preserve"> of </w:t>
      </w:r>
      <w:r>
        <w:rPr>
          <w:kern w:val="0"/>
        </w:rPr>
        <w:t>parasitic</w:t>
      </w:r>
      <w:r w:rsidR="005853A9">
        <w:rPr>
          <w:kern w:val="0"/>
        </w:rPr>
        <w:t xml:space="preserve"> and </w:t>
      </w:r>
      <w:r>
        <w:rPr>
          <w:kern w:val="0"/>
        </w:rPr>
        <w:t>arborviral diseases with a greatest impact on</w:t>
      </w:r>
      <w:r w:rsidR="003A1917">
        <w:rPr>
          <w:kern w:val="0"/>
        </w:rPr>
        <w:t xml:space="preserve"> the </w:t>
      </w:r>
      <w:r>
        <w:rPr>
          <w:kern w:val="0"/>
        </w:rPr>
        <w:t>Venezuelan population. Authors</w:t>
      </w:r>
      <w:r w:rsidR="005853A9">
        <w:rPr>
          <w:kern w:val="0"/>
        </w:rPr>
        <w:t xml:space="preserve"> and </w:t>
      </w:r>
      <w:r>
        <w:rPr>
          <w:kern w:val="0"/>
        </w:rPr>
        <w:t>events are outlined, which, over</w:t>
      </w:r>
      <w:r w:rsidR="003A1917">
        <w:rPr>
          <w:kern w:val="0"/>
        </w:rPr>
        <w:t xml:space="preserve"> the </w:t>
      </w:r>
      <w:r>
        <w:rPr>
          <w:kern w:val="0"/>
        </w:rPr>
        <w:t>decades, have influenced</w:t>
      </w:r>
      <w:r w:rsidR="003A1917">
        <w:rPr>
          <w:kern w:val="0"/>
        </w:rPr>
        <w:t xml:space="preserve"> the </w:t>
      </w:r>
      <w:r>
        <w:rPr>
          <w:kern w:val="0"/>
        </w:rPr>
        <w:t>evolution</w:t>
      </w:r>
      <w:r w:rsidR="00427468">
        <w:rPr>
          <w:kern w:val="0"/>
        </w:rPr>
        <w:t xml:space="preserve"> of </w:t>
      </w:r>
      <w:r>
        <w:rPr>
          <w:kern w:val="0"/>
        </w:rPr>
        <w:t>this journal. In recent years, high specificity, social relevance</w:t>
      </w:r>
      <w:r w:rsidR="005853A9">
        <w:rPr>
          <w:kern w:val="0"/>
        </w:rPr>
        <w:t xml:space="preserve"> and </w:t>
      </w:r>
      <w:r>
        <w:rPr>
          <w:kern w:val="0"/>
        </w:rPr>
        <w:t>scientific quality have earned its inclusion in major indexes such as Global Health, SciELO Venezuela</w:t>
      </w:r>
      <w:r w:rsidR="005853A9">
        <w:rPr>
          <w:kern w:val="0"/>
        </w:rPr>
        <w:t xml:space="preserve"> and </w:t>
      </w:r>
      <w:r w:rsidR="003A1917">
        <w:rPr>
          <w:kern w:val="0"/>
        </w:rPr>
        <w:t xml:space="preserve">the </w:t>
      </w:r>
      <w:r>
        <w:rPr>
          <w:kern w:val="0"/>
        </w:rPr>
        <w:t>WEB Science Citation Index Expanded (TM) 2010. Thus, thanks to</w:t>
      </w:r>
      <w:r w:rsidR="003A1917">
        <w:rPr>
          <w:kern w:val="0"/>
        </w:rPr>
        <w:t xml:space="preserve"> the </w:t>
      </w:r>
      <w:r>
        <w:rPr>
          <w:kern w:val="0"/>
        </w:rPr>
        <w:t>modern communication technology, this magazine has achieved a greater participation</w:t>
      </w:r>
      <w:r w:rsidR="00427468">
        <w:rPr>
          <w:kern w:val="0"/>
        </w:rPr>
        <w:t xml:space="preserve"> of </w:t>
      </w:r>
      <w:r w:rsidR="003A1917">
        <w:rPr>
          <w:kern w:val="0"/>
        </w:rPr>
        <w:t xml:space="preserve">the </w:t>
      </w:r>
      <w:r>
        <w:rPr>
          <w:kern w:val="0"/>
        </w:rPr>
        <w:t>Ibero-American scientists</w:t>
      </w:r>
      <w:r w:rsidR="005853A9">
        <w:rPr>
          <w:kern w:val="0"/>
        </w:rPr>
        <w:t xml:space="preserve"> and </w:t>
      </w:r>
      <w:r>
        <w:rPr>
          <w:kern w:val="0"/>
        </w:rPr>
        <w:t>wider visibility. Within this framework, we see a renewed support</w:t>
      </w:r>
      <w:r w:rsidR="00427468">
        <w:rPr>
          <w:kern w:val="0"/>
        </w:rPr>
        <w:t xml:space="preserve"> of </w:t>
      </w:r>
      <w:r w:rsidR="003A1917">
        <w:rPr>
          <w:kern w:val="0"/>
        </w:rPr>
        <w:t xml:space="preserve">the </w:t>
      </w:r>
      <w:r>
        <w:rPr>
          <w:kern w:val="0"/>
        </w:rPr>
        <w:t>Venezuelan scientific community</w:t>
      </w:r>
      <w:r w:rsidR="005853A9">
        <w:rPr>
          <w:kern w:val="0"/>
        </w:rPr>
        <w:t xml:space="preserve"> and </w:t>
      </w:r>
      <w:r>
        <w:rPr>
          <w:kern w:val="0"/>
        </w:rPr>
        <w:t>its sponsor,</w:t>
      </w:r>
      <w:r w:rsidR="003A1917">
        <w:rPr>
          <w:kern w:val="0"/>
        </w:rPr>
        <w:t xml:space="preserve"> the </w:t>
      </w:r>
      <w:r w:rsidR="00B5188C">
        <w:rPr>
          <w:kern w:val="0"/>
        </w:rPr>
        <w:t>“</w:t>
      </w:r>
      <w:r>
        <w:rPr>
          <w:kern w:val="0"/>
        </w:rPr>
        <w:t>Instituto de Altos Estudios Dr. Arnoldo Gabaldon</w:t>
      </w:r>
      <w:r w:rsidR="00B5188C">
        <w:rPr>
          <w:kern w:val="0"/>
        </w:rPr>
        <w:t>”</w:t>
      </w:r>
      <w:r>
        <w:rPr>
          <w:kern w:val="0"/>
        </w:rPr>
        <w:t xml:space="preserve"> with</w:t>
      </w:r>
      <w:r w:rsidR="003A1917">
        <w:rPr>
          <w:kern w:val="0"/>
        </w:rPr>
        <w:t xml:space="preserve"> the </w:t>
      </w:r>
      <w:r>
        <w:rPr>
          <w:kern w:val="0"/>
        </w:rPr>
        <w:t>Boletin de Malariologia y Salud Ambiental magazine, that has contributed to making available worldwide, a major Venezuelan scientific heritage, with high social commitment in</w:t>
      </w:r>
      <w:r w:rsidR="003A1917">
        <w:rPr>
          <w:kern w:val="0"/>
        </w:rPr>
        <w:t xml:space="preserve"> the </w:t>
      </w:r>
      <w:r>
        <w:rPr>
          <w:kern w:val="0"/>
        </w:rPr>
        <w:t>field</w:t>
      </w:r>
      <w:r w:rsidR="00427468">
        <w:rPr>
          <w:kern w:val="0"/>
        </w:rPr>
        <w:t xml:space="preserve"> of </w:t>
      </w:r>
      <w:r>
        <w:rPr>
          <w:kern w:val="0"/>
        </w:rPr>
        <w:t>Public Health!</w:t>
      </w:r>
    </w:p>
    <w:p w:rsidR="00BF0C42" w:rsidRDefault="00BF0C42" w:rsidP="00BF0C42">
      <w:pPr>
        <w:pStyle w:val="a3"/>
        <w:rPr>
          <w:kern w:val="0"/>
        </w:rPr>
      </w:pPr>
      <w:r>
        <w:rPr>
          <w:kern w:val="0"/>
        </w:rPr>
        <w:t>Keywords: Areas, Boletin De Malariologia Y Salud Ambiental, Citation, Commitment, Communication, Community, Control, Diseases, Environmental, Environmental Health, Epidemiology, Events, Evolution, Field, Framework, Health, Impact, Journal, Journals, Malaria, Medical Entomology, Parasitology, Participation, Population, Prevention, Prevention</w:t>
      </w:r>
      <w:r w:rsidR="005853A9">
        <w:rPr>
          <w:kern w:val="0"/>
        </w:rPr>
        <w:t xml:space="preserve"> and </w:t>
      </w:r>
      <w:r>
        <w:rPr>
          <w:kern w:val="0"/>
        </w:rPr>
        <w:t xml:space="preserve">Control, Public Health, Publication, Quality, Recent, </w:t>
      </w:r>
      <w:r>
        <w:rPr>
          <w:kern w:val="0"/>
        </w:rPr>
        <w:lastRenderedPageBreak/>
        <w:t>Relevance, Sanitation, Scielo, Science, Science Citation Index, Social, Specificity, State, Support, Technology, Tropical Medicine, Venezuela, Venezuela, Visibility, Web</w:t>
      </w:r>
    </w:p>
    <w:p w:rsidR="006F2F90" w:rsidRPr="00FC7835" w:rsidRDefault="006F2F90" w:rsidP="006F2F90">
      <w:pPr>
        <w:pStyle w:val="1"/>
      </w:pPr>
      <w:r w:rsidRPr="00FC7835">
        <w:rPr>
          <w:b w:val="0"/>
        </w:rPr>
        <w:br w:type="page"/>
      </w:r>
      <w:bookmarkStart w:id="871" w:name="_Toc420814785"/>
      <w:r w:rsidRPr="00FC7835">
        <w:lastRenderedPageBreak/>
        <w:t xml:space="preserve">Title: </w:t>
      </w:r>
      <w:r w:rsidRPr="00B91B71">
        <w:t>Boletin Latinoamericano y del Caribe de Plantas Medicinales y Aromaticas</w:t>
      </w:r>
      <w:bookmarkEnd w:id="871"/>
    </w:p>
    <w:p w:rsidR="006F2F90" w:rsidRPr="00FC7835" w:rsidRDefault="006F2F90" w:rsidP="006F2F90">
      <w:pPr>
        <w:pStyle w:val="12"/>
      </w:pPr>
      <w:r w:rsidRPr="00FC7835">
        <w:t xml:space="preserve">Full Journal Title: </w:t>
      </w:r>
      <w:r w:rsidRPr="00B91B71">
        <w:rPr>
          <w:iCs/>
          <w:kern w:val="0"/>
        </w:rPr>
        <w:t>Boletin Latinoamericano y del Caribe de Plantas Medicinales y Aromaticas</w:t>
      </w:r>
    </w:p>
    <w:p w:rsidR="006F2F90" w:rsidRPr="00FC7835" w:rsidRDefault="006F2F90" w:rsidP="006F2F90">
      <w:pPr>
        <w:pStyle w:val="12"/>
      </w:pPr>
      <w:r w:rsidRPr="00FC7835">
        <w:t xml:space="preserve">ISO Abbreviated Title: </w:t>
      </w:r>
    </w:p>
    <w:p w:rsidR="006F2F90" w:rsidRPr="00FC7835" w:rsidRDefault="006F2F90" w:rsidP="006F2F90">
      <w:pPr>
        <w:pStyle w:val="12"/>
      </w:pPr>
      <w:r w:rsidRPr="00FC7835">
        <w:t xml:space="preserve">JCR Abbreviated Title: </w:t>
      </w:r>
    </w:p>
    <w:p w:rsidR="006F2F90" w:rsidRPr="00FC7835" w:rsidRDefault="006F2F90" w:rsidP="006F2F90">
      <w:pPr>
        <w:pStyle w:val="12"/>
      </w:pPr>
      <w:r w:rsidRPr="00FC7835">
        <w:t xml:space="preserve">ISSN: </w:t>
      </w:r>
    </w:p>
    <w:p w:rsidR="006F2F90" w:rsidRPr="00FC7835" w:rsidRDefault="006F2F90" w:rsidP="006F2F90">
      <w:pPr>
        <w:pStyle w:val="12"/>
      </w:pPr>
      <w:r w:rsidRPr="00FC7835">
        <w:t xml:space="preserve">Issues/Year: </w:t>
      </w:r>
    </w:p>
    <w:p w:rsidR="006F2F90" w:rsidRPr="00FC7835" w:rsidRDefault="006F2F90" w:rsidP="006F2F90">
      <w:pPr>
        <w:pStyle w:val="12"/>
      </w:pPr>
      <w:r w:rsidRPr="00FC7835">
        <w:t xml:space="preserve">Journal Country/Territory: </w:t>
      </w:r>
    </w:p>
    <w:p w:rsidR="006F2F90" w:rsidRPr="00FC7835" w:rsidRDefault="006F2F90" w:rsidP="006F2F90">
      <w:pPr>
        <w:pStyle w:val="12"/>
      </w:pPr>
      <w:r w:rsidRPr="00FC7835">
        <w:t xml:space="preserve">Language: </w:t>
      </w:r>
    </w:p>
    <w:p w:rsidR="006F2F90" w:rsidRPr="00FC7835" w:rsidRDefault="006F2F90" w:rsidP="006F2F90">
      <w:pPr>
        <w:pStyle w:val="12"/>
      </w:pPr>
      <w:r w:rsidRPr="00FC7835">
        <w:t xml:space="preserve">Publisher: </w:t>
      </w:r>
    </w:p>
    <w:p w:rsidR="006F2F90" w:rsidRPr="00FC7835" w:rsidRDefault="006F2F90" w:rsidP="006F2F90">
      <w:pPr>
        <w:pStyle w:val="12"/>
      </w:pPr>
      <w:r w:rsidRPr="00FC7835">
        <w:t xml:space="preserve">Publisher Address: </w:t>
      </w:r>
    </w:p>
    <w:p w:rsidR="006F2F90" w:rsidRPr="00FC7835" w:rsidRDefault="006F2F90" w:rsidP="006F2F90">
      <w:pPr>
        <w:pStyle w:val="12"/>
      </w:pPr>
      <w:r w:rsidRPr="00FC7835">
        <w:t xml:space="preserve">Subject Categories: </w:t>
      </w:r>
    </w:p>
    <w:p w:rsidR="006F2F90" w:rsidRPr="00FC7835" w:rsidRDefault="006F2F90" w:rsidP="006F2F90">
      <w:pPr>
        <w:pStyle w:val="12"/>
      </w:pPr>
      <w:r w:rsidRPr="00FC7835">
        <w:t xml:space="preserve">: Impact Factor </w:t>
      </w:r>
    </w:p>
    <w:p w:rsidR="006F2F90" w:rsidRDefault="006F2F90" w:rsidP="006F2F90">
      <w:pPr>
        <w:pStyle w:val="a3"/>
        <w:rPr>
          <w:kern w:val="0"/>
        </w:rPr>
      </w:pPr>
      <w:r>
        <w:rPr>
          <w:rFonts w:hint="eastAsia"/>
          <w:kern w:val="0"/>
        </w:rPr>
        <w:t xml:space="preserve">? </w:t>
      </w:r>
      <w:r>
        <w:rPr>
          <w:kern w:val="0"/>
        </w:rPr>
        <w:t>La Torre-Cuadros, M.D. (2008), One hundred twelve years</w:t>
      </w:r>
      <w:r w:rsidR="00427468">
        <w:rPr>
          <w:kern w:val="0"/>
        </w:rPr>
        <w:t xml:space="preserve"> of </w:t>
      </w:r>
      <w:r>
        <w:rPr>
          <w:kern w:val="0"/>
        </w:rPr>
        <w:t>scientific research on ethnic groups in</w:t>
      </w:r>
      <w:r w:rsidR="003A1917">
        <w:rPr>
          <w:kern w:val="0"/>
        </w:rPr>
        <w:t xml:space="preserve"> the </w:t>
      </w:r>
      <w:r>
        <w:rPr>
          <w:kern w:val="0"/>
        </w:rPr>
        <w:t xml:space="preserve">Peruvian Amazon. </w:t>
      </w:r>
      <w:r w:rsidRPr="00B91B71">
        <w:rPr>
          <w:i/>
          <w:iCs/>
          <w:kern w:val="0"/>
        </w:rPr>
        <w:t>Boletin Latinoamericano y del Caribe de Plantas Medicinales y Aromaticas</w:t>
      </w:r>
      <w:r>
        <w:rPr>
          <w:kern w:val="0"/>
        </w:rPr>
        <w:t xml:space="preserve">, </w:t>
      </w:r>
      <w:r>
        <w:rPr>
          <w:b/>
          <w:bCs/>
          <w:kern w:val="0"/>
        </w:rPr>
        <w:t>7</w:t>
      </w:r>
      <w:r>
        <w:rPr>
          <w:kern w:val="0"/>
        </w:rPr>
        <w:t xml:space="preserve"> (3), 171-179.</w:t>
      </w:r>
    </w:p>
    <w:p w:rsidR="006F2F90" w:rsidRDefault="006F2F90" w:rsidP="006F2F90">
      <w:pPr>
        <w:pStyle w:val="a3"/>
        <w:rPr>
          <w:kern w:val="0"/>
        </w:rPr>
      </w:pPr>
      <w:r>
        <w:rPr>
          <w:kern w:val="0"/>
        </w:rPr>
        <w:t>Abstract: This bibliographic study aimed to evaluate</w:t>
      </w:r>
      <w:r w:rsidR="005853A9">
        <w:rPr>
          <w:kern w:val="0"/>
        </w:rPr>
        <w:t xml:space="preserve"> and </w:t>
      </w:r>
      <w:r>
        <w:rPr>
          <w:kern w:val="0"/>
        </w:rPr>
        <w:t>to quantify</w:t>
      </w:r>
      <w:r w:rsidR="003A1917">
        <w:rPr>
          <w:kern w:val="0"/>
        </w:rPr>
        <w:t xml:space="preserve"> the </w:t>
      </w:r>
      <w:r>
        <w:rPr>
          <w:kern w:val="0"/>
        </w:rPr>
        <w:t>contribution</w:t>
      </w:r>
      <w:r w:rsidR="00427468">
        <w:rPr>
          <w:kern w:val="0"/>
        </w:rPr>
        <w:t xml:space="preserve"> of </w:t>
      </w:r>
      <w:r>
        <w:rPr>
          <w:kern w:val="0"/>
        </w:rPr>
        <w:t>science to current knowledge on 41 ethnic groups (19 linguistic families) from</w:t>
      </w:r>
      <w:r w:rsidR="003A1917">
        <w:rPr>
          <w:kern w:val="0"/>
        </w:rPr>
        <w:t xml:space="preserve"> the </w:t>
      </w:r>
      <w:r>
        <w:rPr>
          <w:kern w:val="0"/>
        </w:rPr>
        <w:t>Peruvian Amazon. A total</w:t>
      </w:r>
      <w:r w:rsidR="00427468">
        <w:rPr>
          <w:kern w:val="0"/>
        </w:rPr>
        <w:t xml:space="preserve"> of </w:t>
      </w:r>
      <w:r>
        <w:rPr>
          <w:kern w:val="0"/>
        </w:rPr>
        <w:t>790 papers were selected through a literature review by key words in titles</w:t>
      </w:r>
      <w:r w:rsidR="005853A9">
        <w:rPr>
          <w:kern w:val="0"/>
        </w:rPr>
        <w:t xml:space="preserve"> and </w:t>
      </w:r>
      <w:r>
        <w:rPr>
          <w:kern w:val="0"/>
        </w:rPr>
        <w:t xml:space="preserve">abstracts compiled in two data bases: </w:t>
      </w:r>
      <w:r w:rsidR="00730B6D">
        <w:rPr>
          <w:kern w:val="0"/>
        </w:rPr>
        <w:t xml:space="preserve">ISI </w:t>
      </w:r>
      <w:r w:rsidR="00D5664A">
        <w:rPr>
          <w:kern w:val="0"/>
        </w:rPr>
        <w:t>Web</w:t>
      </w:r>
      <w:r w:rsidR="00427468">
        <w:rPr>
          <w:kern w:val="0"/>
        </w:rPr>
        <w:t xml:space="preserve"> of </w:t>
      </w:r>
      <w:r w:rsidR="00D5664A">
        <w:rPr>
          <w:kern w:val="0"/>
        </w:rPr>
        <w:t>Science</w:t>
      </w:r>
      <w:r w:rsidR="005853A9">
        <w:rPr>
          <w:kern w:val="0"/>
        </w:rPr>
        <w:t xml:space="preserve"> and </w:t>
      </w:r>
      <w:r>
        <w:rPr>
          <w:kern w:val="0"/>
        </w:rPr>
        <w:t>Anthropology Plus (1895-2007)</w:t>
      </w:r>
      <w:r w:rsidR="00A37C1D">
        <w:rPr>
          <w:kern w:val="0"/>
        </w:rPr>
        <w:t>. The</w:t>
      </w:r>
      <w:r w:rsidR="003A1917">
        <w:rPr>
          <w:kern w:val="0"/>
        </w:rPr>
        <w:t xml:space="preserve"> </w:t>
      </w:r>
      <w:r>
        <w:rPr>
          <w:kern w:val="0"/>
        </w:rPr>
        <w:t>most highly cited ethnic groups were Machiguenga (103), Ashaninka (60)</w:t>
      </w:r>
      <w:r w:rsidR="005853A9">
        <w:rPr>
          <w:kern w:val="0"/>
        </w:rPr>
        <w:t xml:space="preserve"> and </w:t>
      </w:r>
      <w:r>
        <w:rPr>
          <w:kern w:val="0"/>
        </w:rPr>
        <w:t>Yanesha (43) [arawaks], Shipibo-Conibo (78) [panos]</w:t>
      </w:r>
      <w:r w:rsidR="005853A9">
        <w:rPr>
          <w:kern w:val="0"/>
        </w:rPr>
        <w:t xml:space="preserve"> and </w:t>
      </w:r>
      <w:r>
        <w:rPr>
          <w:kern w:val="0"/>
        </w:rPr>
        <w:t>Aguaruna (64) [jibaros]. Over</w:t>
      </w:r>
      <w:r w:rsidR="003A1917">
        <w:rPr>
          <w:kern w:val="0"/>
        </w:rPr>
        <w:t xml:space="preserve"> the </w:t>
      </w:r>
      <w:r>
        <w:rPr>
          <w:kern w:val="0"/>
        </w:rPr>
        <w:t>period</w:t>
      </w:r>
      <w:r w:rsidR="00427468">
        <w:rPr>
          <w:kern w:val="0"/>
        </w:rPr>
        <w:t xml:space="preserve"> of </w:t>
      </w:r>
      <w:r>
        <w:rPr>
          <w:kern w:val="0"/>
        </w:rPr>
        <w:t>study, a transition from linguistic to ecological themes was observed, while</w:t>
      </w:r>
      <w:r w:rsidR="003A1917">
        <w:rPr>
          <w:kern w:val="0"/>
        </w:rPr>
        <w:t xml:space="preserve"> the </w:t>
      </w:r>
      <w:r>
        <w:rPr>
          <w:kern w:val="0"/>
        </w:rPr>
        <w:t>amount</w:t>
      </w:r>
      <w:r w:rsidR="00427468">
        <w:rPr>
          <w:kern w:val="0"/>
        </w:rPr>
        <w:t xml:space="preserve"> of </w:t>
      </w:r>
      <w:r>
        <w:rPr>
          <w:kern w:val="0"/>
        </w:rPr>
        <w:t>publications increased notably between 1970</w:t>
      </w:r>
      <w:r w:rsidR="005853A9">
        <w:rPr>
          <w:kern w:val="0"/>
        </w:rPr>
        <w:t xml:space="preserve"> and </w:t>
      </w:r>
      <w:r>
        <w:rPr>
          <w:kern w:val="0"/>
        </w:rPr>
        <w:t>1990</w:t>
      </w:r>
      <w:r w:rsidR="00A37C1D">
        <w:rPr>
          <w:kern w:val="0"/>
        </w:rPr>
        <w:t>. The</w:t>
      </w:r>
      <w:r>
        <w:rPr>
          <w:kern w:val="0"/>
        </w:rPr>
        <w:t>se trends can be accounted for by</w:t>
      </w:r>
      <w:r w:rsidR="003A1917">
        <w:rPr>
          <w:kern w:val="0"/>
        </w:rPr>
        <w:t xml:space="preserve"> the </w:t>
      </w:r>
      <w:r>
        <w:rPr>
          <w:kern w:val="0"/>
        </w:rPr>
        <w:t>gradual establishment</w:t>
      </w:r>
      <w:r w:rsidR="00427468">
        <w:rPr>
          <w:kern w:val="0"/>
        </w:rPr>
        <w:t xml:space="preserve"> of </w:t>
      </w:r>
      <w:r>
        <w:rPr>
          <w:kern w:val="0"/>
        </w:rPr>
        <w:t>global environmental agenda, as well as by patterns</w:t>
      </w:r>
      <w:r w:rsidR="00427468">
        <w:rPr>
          <w:kern w:val="0"/>
        </w:rPr>
        <w:t xml:space="preserve"> of </w:t>
      </w:r>
      <w:r>
        <w:rPr>
          <w:kern w:val="0"/>
        </w:rPr>
        <w:t>population density, geographical location</w:t>
      </w:r>
      <w:r w:rsidR="005853A9">
        <w:rPr>
          <w:kern w:val="0"/>
        </w:rPr>
        <w:t xml:space="preserve"> and </w:t>
      </w:r>
      <w:r>
        <w:rPr>
          <w:kern w:val="0"/>
        </w:rPr>
        <w:t>cultural preservation. Finally, a new field</w:t>
      </w:r>
      <w:r w:rsidR="00427468">
        <w:rPr>
          <w:kern w:val="0"/>
        </w:rPr>
        <w:t xml:space="preserve"> of </w:t>
      </w:r>
      <w:r>
        <w:rPr>
          <w:kern w:val="0"/>
        </w:rPr>
        <w:t>research is proposed which should integrate traditional knowledge</w:t>
      </w:r>
      <w:r w:rsidR="005853A9">
        <w:rPr>
          <w:kern w:val="0"/>
        </w:rPr>
        <w:t xml:space="preserve"> and </w:t>
      </w:r>
      <w:r>
        <w:rPr>
          <w:kern w:val="0"/>
        </w:rPr>
        <w:t>natural resource management.</w:t>
      </w:r>
    </w:p>
    <w:p w:rsidR="006F2F90" w:rsidRDefault="006F2F90" w:rsidP="006F2F90">
      <w:pPr>
        <w:pStyle w:val="a3"/>
        <w:rPr>
          <w:kern w:val="0"/>
        </w:rPr>
      </w:pPr>
      <w:r>
        <w:rPr>
          <w:kern w:val="0"/>
        </w:rPr>
        <w:t>Keywords: Amazonia, Bibliographic, Contribution, Environmental, Ethnicity, Ethnobiology, Families, Highly-Cited</w:t>
      </w:r>
      <w:r w:rsidR="00D5664A">
        <w:rPr>
          <w:kern w:val="0"/>
        </w:rPr>
        <w:t>, ISI,</w:t>
      </w:r>
      <w:r>
        <w:rPr>
          <w:kern w:val="0"/>
        </w:rPr>
        <w:t xml:space="preserve"> Knowledge, Linguistic Family, Literature, Literature Review, Management, Papers, Peru, Publications, Research, Review, Science, Scientific Research, Traditional, Traditional Knowledge, Trends,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872" w:name="_Toc420814786"/>
      <w:r w:rsidRPr="001A3D2B">
        <w:lastRenderedPageBreak/>
        <w:t xml:space="preserve">Title: Boletin de </w:t>
      </w:r>
      <w:smartTag w:uri="urn:schemas-microsoft-com:office:smarttags" w:element="PersonName">
        <w:smartTagPr>
          <w:attr w:name="ProductID" w:val="la Oficina Sanitaria Panamericana"/>
        </w:smartTagPr>
        <w:r w:rsidRPr="001A3D2B">
          <w:t>la Oficina Sanitaria Panamericana</w:t>
        </w:r>
      </w:smartTag>
      <w:bookmarkEnd w:id="872"/>
    </w:p>
    <w:p w:rsidR="003474F2" w:rsidRPr="001A3D2B" w:rsidRDefault="003474F2" w:rsidP="003474F2">
      <w:pPr>
        <w:pStyle w:val="12"/>
      </w:pPr>
      <w:r w:rsidRPr="001A3D2B">
        <w:t>Full Journal Title: Boletin de la Oficina Sanitaria Panamericana</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Spinak, E. (1996), Quantitative analysis</w:t>
      </w:r>
      <w:r w:rsidR="00427468">
        <w:t xml:space="preserve"> of </w:t>
      </w:r>
      <w:r w:rsidRPr="001A3D2B">
        <w:t>scientific literature</w:t>
      </w:r>
      <w:r w:rsidR="005853A9">
        <w:t xml:space="preserve"> and </w:t>
      </w:r>
      <w:r w:rsidRPr="001A3D2B">
        <w:t>its validity for</w:t>
      </w:r>
      <w:r w:rsidR="003A1917">
        <w:t xml:space="preserve"> the </w:t>
      </w:r>
      <w:r w:rsidRPr="001A3D2B">
        <w:t>assessment</w:t>
      </w:r>
      <w:r w:rsidR="00427468">
        <w:t xml:space="preserve"> of </w:t>
      </w:r>
      <w:r w:rsidRPr="001A3D2B">
        <w:t xml:space="preserve">Latin-American production. </w:t>
      </w:r>
      <w:r w:rsidRPr="001A3D2B">
        <w:rPr>
          <w:i/>
          <w:iCs/>
        </w:rPr>
        <w:t>Boletin de la Oficina Sanitaria Panamericana</w:t>
      </w:r>
      <w:r w:rsidRPr="001A3D2B">
        <w:t xml:space="preserve">, </w:t>
      </w:r>
      <w:r w:rsidRPr="001A3D2B">
        <w:rPr>
          <w:b/>
          <w:bCs/>
        </w:rPr>
        <w:t>120</w:t>
      </w:r>
      <w:r w:rsidRPr="001A3D2B">
        <w:t xml:space="preserve"> (2), 139-146</w:t>
      </w:r>
    </w:p>
    <w:p w:rsidR="00B00C26" w:rsidRPr="001A3D2B" w:rsidRDefault="00B00C26" w:rsidP="00B00C26">
      <w:pPr>
        <w:pStyle w:val="1"/>
      </w:pPr>
      <w:r w:rsidRPr="001A3D2B">
        <w:br w:type="page"/>
      </w:r>
      <w:bookmarkStart w:id="873" w:name="_Toc420814787"/>
      <w:r w:rsidRPr="001A3D2B">
        <w:lastRenderedPageBreak/>
        <w:t xml:space="preserve">Title: Boletin de </w:t>
      </w:r>
      <w:smartTag w:uri="urn:schemas-microsoft-com:office:smarttags" w:element="PersonName">
        <w:smartTagPr>
          <w:attr w:name="ProductID" w:val="la Oficina Sanitaria Panamericana"/>
        </w:smartTagPr>
        <w:r w:rsidRPr="001A3D2B">
          <w:t>la Oficina Sanitaria Panamericana</w:t>
        </w:r>
      </w:smartTag>
      <w:bookmarkEnd w:id="873"/>
    </w:p>
    <w:p w:rsidR="00B00C26" w:rsidRPr="001A3D2B" w:rsidRDefault="00B00C26" w:rsidP="00B00C26">
      <w:pPr>
        <w:pStyle w:val="12"/>
      </w:pPr>
      <w:r w:rsidRPr="001A3D2B">
        <w:t>Full Journal Title: Boletin de la Oficina Sanitaria Panamericana</w:t>
      </w:r>
    </w:p>
    <w:p w:rsidR="00B00C26" w:rsidRPr="001A3D2B" w:rsidRDefault="00B00C26" w:rsidP="00B00C26">
      <w:pPr>
        <w:pStyle w:val="12"/>
      </w:pPr>
      <w:r w:rsidRPr="001A3D2B">
        <w:t xml:space="preserve">ISO Abbreviated Title: </w:t>
      </w:r>
    </w:p>
    <w:p w:rsidR="00B00C26" w:rsidRPr="001A3D2B" w:rsidRDefault="00B00C26" w:rsidP="00B00C26">
      <w:pPr>
        <w:pStyle w:val="12"/>
      </w:pPr>
      <w:r w:rsidRPr="001A3D2B">
        <w:t xml:space="preserve">JCR Abbreviated Title: </w:t>
      </w:r>
    </w:p>
    <w:p w:rsidR="00B00C26" w:rsidRPr="001A3D2B" w:rsidRDefault="00B00C26" w:rsidP="00B00C26">
      <w:pPr>
        <w:pStyle w:val="12"/>
      </w:pPr>
      <w:r w:rsidRPr="001A3D2B">
        <w:t xml:space="preserve">ISSN: </w:t>
      </w:r>
    </w:p>
    <w:p w:rsidR="00B00C26" w:rsidRPr="001A3D2B" w:rsidRDefault="00B00C26" w:rsidP="00B00C26">
      <w:pPr>
        <w:pStyle w:val="12"/>
      </w:pPr>
      <w:r w:rsidRPr="001A3D2B">
        <w:t xml:space="preserve">Issues/Year: </w:t>
      </w:r>
    </w:p>
    <w:p w:rsidR="00B00C26" w:rsidRPr="001A3D2B" w:rsidRDefault="00B00C26" w:rsidP="00B00C26">
      <w:pPr>
        <w:pStyle w:val="12"/>
      </w:pPr>
      <w:r w:rsidRPr="001A3D2B">
        <w:t xml:space="preserve">Journal Country/Territory: </w:t>
      </w:r>
    </w:p>
    <w:p w:rsidR="00B00C26" w:rsidRPr="001A3D2B" w:rsidRDefault="00B00C26" w:rsidP="00B00C26">
      <w:pPr>
        <w:pStyle w:val="12"/>
      </w:pPr>
      <w:r w:rsidRPr="001A3D2B">
        <w:t xml:space="preserve">Language: </w:t>
      </w:r>
    </w:p>
    <w:p w:rsidR="00B00C26" w:rsidRPr="001A3D2B" w:rsidRDefault="00B00C26" w:rsidP="00B00C26">
      <w:pPr>
        <w:pStyle w:val="12"/>
      </w:pPr>
      <w:r w:rsidRPr="001A3D2B">
        <w:t xml:space="preserve">Publisher: </w:t>
      </w:r>
    </w:p>
    <w:p w:rsidR="00B00C26" w:rsidRPr="001A3D2B" w:rsidRDefault="00B00C26" w:rsidP="00B00C26">
      <w:pPr>
        <w:pStyle w:val="12"/>
      </w:pPr>
      <w:r w:rsidRPr="001A3D2B">
        <w:t xml:space="preserve">Publisher Address: </w:t>
      </w:r>
    </w:p>
    <w:p w:rsidR="00B00C26" w:rsidRPr="001A3D2B" w:rsidRDefault="00B00C26" w:rsidP="00B00C26">
      <w:pPr>
        <w:pStyle w:val="12"/>
      </w:pPr>
      <w:r w:rsidRPr="001A3D2B">
        <w:t xml:space="preserve">Subject Categories: </w:t>
      </w:r>
    </w:p>
    <w:p w:rsidR="00B00C26" w:rsidRPr="001A3D2B" w:rsidRDefault="00B00C26" w:rsidP="00B00C26">
      <w:pPr>
        <w:pStyle w:val="12"/>
      </w:pPr>
      <w:r w:rsidRPr="001A3D2B">
        <w:t xml:space="preserve">: Impact Factor </w:t>
      </w:r>
    </w:p>
    <w:p w:rsidR="00B00C26" w:rsidRDefault="00B00C26" w:rsidP="00B00C26">
      <w:pPr>
        <w:pStyle w:val="a3"/>
        <w:rPr>
          <w:kern w:val="0"/>
        </w:rPr>
      </w:pPr>
      <w:r>
        <w:rPr>
          <w:rFonts w:hint="eastAsia"/>
          <w:kern w:val="0"/>
        </w:rPr>
        <w:t xml:space="preserve">? </w:t>
      </w:r>
      <w:r>
        <w:rPr>
          <w:kern w:val="0"/>
        </w:rPr>
        <w:t>Zamora-Crescencio, P., Dominguez-Carrasco, M.D.R., Villegas, P., Gutierrez-Baez, C., Manzanero-Acevedo, L.A., Ortega-Haas, J.J., Hernandez-Mundo, S., Puc-Garrido, E.C.</w:t>
      </w:r>
      <w:r w:rsidR="005853A9">
        <w:rPr>
          <w:kern w:val="0"/>
        </w:rPr>
        <w:t xml:space="preserve"> and </w:t>
      </w:r>
      <w:r>
        <w:rPr>
          <w:kern w:val="0"/>
        </w:rPr>
        <w:t>Puch-Chavez, R. (2011), Floristic composition</w:t>
      </w:r>
      <w:r w:rsidR="005853A9">
        <w:rPr>
          <w:kern w:val="0"/>
        </w:rPr>
        <w:t xml:space="preserve"> and </w:t>
      </w:r>
      <w:r>
        <w:rPr>
          <w:kern w:val="0"/>
        </w:rPr>
        <w:t>structure</w:t>
      </w:r>
      <w:r w:rsidR="00427468">
        <w:rPr>
          <w:kern w:val="0"/>
        </w:rPr>
        <w:t xml:space="preserve"> of </w:t>
      </w:r>
      <w:r>
        <w:rPr>
          <w:kern w:val="0"/>
        </w:rPr>
        <w:t xml:space="preserve">the secondary vegetation in northern Campeche, Mexico. </w:t>
      </w:r>
      <w:r>
        <w:rPr>
          <w:i/>
          <w:iCs/>
          <w:kern w:val="0"/>
        </w:rPr>
        <w:t>Boletin de la Sociedad Botanica de Mexico</w:t>
      </w:r>
      <w:r>
        <w:rPr>
          <w:kern w:val="0"/>
        </w:rPr>
        <w:t xml:space="preserve">, </w:t>
      </w:r>
      <w:r>
        <w:rPr>
          <w:b/>
          <w:bCs/>
          <w:kern w:val="0"/>
        </w:rPr>
        <w:t>89</w:t>
      </w:r>
      <w:r>
        <w:rPr>
          <w:kern w:val="0"/>
        </w:rPr>
        <w:t>, 27-35.</w:t>
      </w:r>
    </w:p>
    <w:p w:rsidR="00B00C26" w:rsidRDefault="00B00C26" w:rsidP="00B00C26">
      <w:pPr>
        <w:pStyle w:val="a3"/>
        <w:rPr>
          <w:kern w:val="0"/>
        </w:rPr>
      </w:pPr>
      <w:r>
        <w:rPr>
          <w:rFonts w:hint="eastAsia"/>
          <w:kern w:val="0"/>
        </w:rPr>
        <w:t xml:space="preserve">Full Text: </w:t>
      </w:r>
      <w:r w:rsidRPr="004C5E83">
        <w:rPr>
          <w:kern w:val="0"/>
        </w:rPr>
        <w:t>2011\Bol Soc Bot Mex89, 27.pdf</w:t>
      </w:r>
    </w:p>
    <w:p w:rsidR="00B00C26" w:rsidRDefault="00B00C26" w:rsidP="00B00C26">
      <w:pPr>
        <w:pStyle w:val="a3"/>
        <w:rPr>
          <w:kern w:val="0"/>
        </w:rPr>
      </w:pPr>
      <w:r>
        <w:rPr>
          <w:kern w:val="0"/>
        </w:rPr>
        <w:t>Abstract: We studied species composition</w:t>
      </w:r>
      <w:r w:rsidR="005853A9">
        <w:rPr>
          <w:kern w:val="0"/>
        </w:rPr>
        <w:t xml:space="preserve"> and </w:t>
      </w:r>
      <w:r>
        <w:rPr>
          <w:kern w:val="0"/>
        </w:rPr>
        <w:t>structure</w:t>
      </w:r>
      <w:r w:rsidR="00427468">
        <w:rPr>
          <w:kern w:val="0"/>
        </w:rPr>
        <w:t xml:space="preserve"> of </w:t>
      </w:r>
      <w:r>
        <w:rPr>
          <w:kern w:val="0"/>
        </w:rPr>
        <w:t>a ten year-old secondary forest in Tepakan, Campeche, Mexico. We marked 20 plots</w:t>
      </w:r>
      <w:r w:rsidR="00427468">
        <w:rPr>
          <w:kern w:val="0"/>
        </w:rPr>
        <w:t xml:space="preserve"> of </w:t>
      </w:r>
      <w:r>
        <w:rPr>
          <w:kern w:val="0"/>
        </w:rPr>
        <w:t>5 x 10 m(2) (1,000 m(2) in total), where all individuals with a DBH &gt;= 2 cm were measured. Vegetation structure was characterized using the importance values</w:t>
      </w:r>
      <w:r w:rsidR="00427468">
        <w:rPr>
          <w:kern w:val="0"/>
        </w:rPr>
        <w:t xml:space="preserve"> of </w:t>
      </w:r>
      <w:r>
        <w:rPr>
          <w:kern w:val="0"/>
        </w:rPr>
        <w:t>the species,</w:t>
      </w:r>
      <w:r w:rsidR="005853A9">
        <w:rPr>
          <w:kern w:val="0"/>
        </w:rPr>
        <w:t xml:space="preserve"> and </w:t>
      </w:r>
      <w:r>
        <w:rPr>
          <w:kern w:val="0"/>
        </w:rPr>
        <w:t>species diversity was estimated with the Shannon-Wiener (H</w:t>
      </w:r>
      <w:r w:rsidR="00700038">
        <w:rPr>
          <w:kern w:val="0"/>
        </w:rPr>
        <w:t>’</w:t>
      </w:r>
      <w:r>
        <w:rPr>
          <w:kern w:val="0"/>
        </w:rPr>
        <w:t>) Index. We recorded 1,150 woody individuals in 43 species, 35 genera,</w:t>
      </w:r>
      <w:r w:rsidR="005853A9">
        <w:rPr>
          <w:kern w:val="0"/>
        </w:rPr>
        <w:t xml:space="preserve"> and </w:t>
      </w:r>
      <w:r>
        <w:rPr>
          <w:kern w:val="0"/>
        </w:rPr>
        <w:t>21 families. Diversity was H</w:t>
      </w:r>
      <w:r w:rsidR="00700038">
        <w:rPr>
          <w:kern w:val="0"/>
        </w:rPr>
        <w:t>’</w:t>
      </w:r>
      <w:r>
        <w:rPr>
          <w:kern w:val="0"/>
        </w:rPr>
        <w:t xml:space="preserve"> = 1.59</w:t>
      </w:r>
      <w:r w:rsidR="00A37C1D">
        <w:rPr>
          <w:kern w:val="0"/>
        </w:rPr>
        <w:t>. The</w:t>
      </w:r>
      <w:r>
        <w:rPr>
          <w:kern w:val="0"/>
        </w:rPr>
        <w:t xml:space="preserve"> Fabaceae was the family with the highest number</w:t>
      </w:r>
      <w:r w:rsidR="00427468">
        <w:rPr>
          <w:kern w:val="0"/>
        </w:rPr>
        <w:t xml:space="preserve"> of </w:t>
      </w:r>
      <w:r>
        <w:rPr>
          <w:kern w:val="0"/>
        </w:rPr>
        <w:t>species (14). Cordia alliodora was the most important species according to its large stem density, followed by Pisciclia piscipula</w:t>
      </w:r>
      <w:r w:rsidR="005853A9">
        <w:rPr>
          <w:kern w:val="0"/>
        </w:rPr>
        <w:t xml:space="preserve"> and </w:t>
      </w:r>
      <w:r>
        <w:rPr>
          <w:kern w:val="0"/>
        </w:rPr>
        <w:t>Acacia gaumeri. Together they account for 33.9%</w:t>
      </w:r>
      <w:r w:rsidR="00427468">
        <w:rPr>
          <w:kern w:val="0"/>
        </w:rPr>
        <w:t xml:space="preserve"> of </w:t>
      </w:r>
      <w:r>
        <w:rPr>
          <w:kern w:val="0"/>
        </w:rPr>
        <w:t>total importance value</w:t>
      </w:r>
      <w:r w:rsidR="00A37C1D">
        <w:rPr>
          <w:kern w:val="0"/>
        </w:rPr>
        <w:t>. The</w:t>
      </w:r>
      <w:r>
        <w:rPr>
          <w:kern w:val="0"/>
        </w:rPr>
        <w:t>se species are the most important in the structure</w:t>
      </w:r>
      <w:r w:rsidR="005853A9">
        <w:rPr>
          <w:kern w:val="0"/>
        </w:rPr>
        <w:t xml:space="preserve"> and </w:t>
      </w:r>
      <w:r>
        <w:rPr>
          <w:kern w:val="0"/>
        </w:rPr>
        <w:t>physiognomy</w:t>
      </w:r>
      <w:r w:rsidR="00427468">
        <w:rPr>
          <w:kern w:val="0"/>
        </w:rPr>
        <w:t xml:space="preserve"> of </w:t>
      </w:r>
      <w:r>
        <w:rPr>
          <w:kern w:val="0"/>
        </w:rPr>
        <w:t>the community.</w:t>
      </w:r>
    </w:p>
    <w:p w:rsidR="00B00C26" w:rsidRDefault="00B00C26" w:rsidP="00B00C26">
      <w:pPr>
        <w:pStyle w:val="a3"/>
        <w:rPr>
          <w:kern w:val="0"/>
        </w:rPr>
      </w:pPr>
      <w:r>
        <w:rPr>
          <w:kern w:val="0"/>
        </w:rPr>
        <w:t>Keywords: Amazon, Community, Composition, Deciduous Forest, Diversity, Families, Family, Floristic, Forest, Management, Mexico, Northeastern Costa-Rica, Old-Growth, Patterns, Secondary Vegetation, Species, Species Diversity, Structure, Succession, Tepakan, Tree Diversity, Tropical Dry Forest, Value, Vegetation, Yucatan</w:t>
      </w:r>
    </w:p>
    <w:p w:rsidR="003474F2" w:rsidRPr="001A3D2B" w:rsidRDefault="003474F2" w:rsidP="003474F2">
      <w:pPr>
        <w:pStyle w:val="1"/>
        <w:rPr>
          <w:lang w:val="fr-FR"/>
        </w:rPr>
      </w:pPr>
      <w:r w:rsidRPr="001A3D2B">
        <w:rPr>
          <w:lang w:val="fr-FR"/>
        </w:rPr>
        <w:br w:type="page"/>
      </w:r>
      <w:bookmarkStart w:id="874" w:name="_Toc420814788"/>
      <w:r w:rsidRPr="001A3D2B">
        <w:rPr>
          <w:lang w:val="fr-FR"/>
        </w:rPr>
        <w:lastRenderedPageBreak/>
        <w:t xml:space="preserve">Title: Boletin de </w:t>
      </w:r>
      <w:smartTag w:uri="urn:schemas-microsoft-com:office:smarttags" w:element="PersonName">
        <w:smartTagPr>
          <w:attr w:name="ProductID" w:val="la Sociedad Chilena"/>
        </w:smartTagPr>
        <w:r w:rsidRPr="001A3D2B">
          <w:rPr>
            <w:lang w:val="fr-FR"/>
          </w:rPr>
          <w:t>la Sociedad Chilena</w:t>
        </w:r>
      </w:smartTag>
      <w:r w:rsidRPr="001A3D2B">
        <w:rPr>
          <w:lang w:val="fr-FR"/>
        </w:rPr>
        <w:t xml:space="preserve"> de Quimi</w:t>
      </w:r>
      <w:bookmarkStart w:id="875" w:name="_Toc7177643"/>
      <w:bookmarkStart w:id="876" w:name="_Toc46121001"/>
      <w:bookmarkStart w:id="877" w:name="_Toc81215645"/>
      <w:r w:rsidRPr="001A3D2B">
        <w:rPr>
          <w:lang w:val="fr-FR"/>
        </w:rPr>
        <w:t>ca</w:t>
      </w:r>
      <w:bookmarkEnd w:id="874"/>
    </w:p>
    <w:p w:rsidR="003474F2" w:rsidRPr="001A3D2B" w:rsidRDefault="003474F2" w:rsidP="003474F2">
      <w:pPr>
        <w:pStyle w:val="12"/>
      </w:pPr>
      <w:r w:rsidRPr="001A3D2B">
        <w:t xml:space="preserve">Full Journal Title: Boletin de </w:t>
      </w:r>
      <w:smartTag w:uri="urn:schemas-microsoft-com:office:smarttags" w:element="PersonName">
        <w:smartTagPr>
          <w:attr w:name="ProductID" w:val="la Sociedad Chilena"/>
        </w:smartTagPr>
        <w:r w:rsidRPr="001A3D2B">
          <w:t>la Sociedad Ch</w:t>
        </w:r>
        <w:bookmarkEnd w:id="875"/>
        <w:bookmarkEnd w:id="876"/>
        <w:bookmarkEnd w:id="877"/>
        <w:r w:rsidRPr="001A3D2B">
          <w:t>ilena</w:t>
        </w:r>
      </w:smartTag>
      <w:r w:rsidRPr="001A3D2B">
        <w:t xml:space="preserve"> de Quimica</w:t>
      </w:r>
    </w:p>
    <w:p w:rsidR="003474F2" w:rsidRPr="001A3D2B" w:rsidRDefault="003474F2" w:rsidP="003474F2">
      <w:pPr>
        <w:pStyle w:val="12"/>
      </w:pPr>
      <w:r w:rsidRPr="001A3D2B">
        <w:t>ISO Abbreviated Title: Bol. Soc. Chilena Quim.</w:t>
      </w:r>
    </w:p>
    <w:p w:rsidR="003474F2" w:rsidRPr="001A3D2B" w:rsidRDefault="003474F2" w:rsidP="003474F2">
      <w:pPr>
        <w:pStyle w:val="12"/>
      </w:pPr>
      <w:r w:rsidRPr="001A3D2B">
        <w:t>JCR Abbreviated Title: Bol Soc Chil Quim</w:t>
      </w:r>
    </w:p>
    <w:p w:rsidR="003474F2" w:rsidRPr="001A3D2B" w:rsidRDefault="003474F2" w:rsidP="003474F2">
      <w:pPr>
        <w:pStyle w:val="12"/>
      </w:pPr>
      <w:r w:rsidRPr="001A3D2B">
        <w:t>ISSN: 0366-1644</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Chile</w:t>
      </w:r>
    </w:p>
    <w:p w:rsidR="003474F2" w:rsidRPr="001A3D2B" w:rsidRDefault="003474F2" w:rsidP="003474F2">
      <w:pPr>
        <w:pStyle w:val="12"/>
      </w:pPr>
      <w:r w:rsidRPr="001A3D2B">
        <w:t>Language: Multi-Language</w:t>
      </w:r>
    </w:p>
    <w:p w:rsidR="003474F2" w:rsidRPr="001A3D2B" w:rsidRDefault="003474F2" w:rsidP="003474F2">
      <w:pPr>
        <w:pStyle w:val="12"/>
      </w:pPr>
      <w:r w:rsidRPr="001A3D2B">
        <w:t>Publisher: Sociedad Chilena de Quimica</w:t>
      </w:r>
    </w:p>
    <w:p w:rsidR="003474F2" w:rsidRPr="001A3D2B" w:rsidRDefault="003474F2" w:rsidP="003474F2">
      <w:pPr>
        <w:pStyle w:val="12"/>
      </w:pPr>
      <w:r w:rsidRPr="001A3D2B">
        <w:t xml:space="preserve">Publisher Address: Casilla 2613, </w:t>
      </w:r>
      <w:smartTag w:uri="urn:schemas-microsoft-com:office:smarttags" w:element="place">
        <w:smartTag w:uri="urn:schemas-microsoft-com:office:smarttags" w:element="City">
          <w:r w:rsidRPr="001A3D2B">
            <w:t>Concepcion</w:t>
          </w:r>
        </w:smartTag>
        <w:r w:rsidRPr="001A3D2B">
          <w:t xml:space="preserve">, </w:t>
        </w:r>
        <w:smartTag w:uri="urn:schemas-microsoft-com:office:smarttags" w:element="country-region">
          <w:r w:rsidRPr="001A3D2B">
            <w:t>Chile</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Chemistry, Multidisciplinary: Impact Factor 0.308, 89/118 (2000)</w:t>
      </w:r>
    </w:p>
    <w:p w:rsidR="00896D6E" w:rsidRDefault="00896D6E" w:rsidP="00896D6E">
      <w:pPr>
        <w:pStyle w:val="a3"/>
        <w:rPr>
          <w:kern w:val="0"/>
          <w:szCs w:val="24"/>
        </w:rPr>
      </w:pPr>
      <w:r>
        <w:rPr>
          <w:rFonts w:hint="eastAsia"/>
          <w:kern w:val="0"/>
          <w:szCs w:val="24"/>
        </w:rPr>
        <w:t xml:space="preserve">? </w:t>
      </w:r>
      <w:r>
        <w:rPr>
          <w:kern w:val="0"/>
          <w:szCs w:val="24"/>
        </w:rPr>
        <w:t>Krauskopf, M. (1988), Development</w:t>
      </w:r>
      <w:r w:rsidR="00427468">
        <w:rPr>
          <w:kern w:val="0"/>
          <w:szCs w:val="24"/>
        </w:rPr>
        <w:t xml:space="preserve"> of </w:t>
      </w:r>
      <w:r>
        <w:rPr>
          <w:kern w:val="0"/>
          <w:szCs w:val="24"/>
        </w:rPr>
        <w:t>chemical-research in Chile</w:t>
      </w:r>
      <w:r>
        <w:rPr>
          <w:rFonts w:hint="eastAsia"/>
          <w:kern w:val="0"/>
          <w:szCs w:val="24"/>
        </w:rPr>
        <w:t>:</w:t>
      </w:r>
      <w:r>
        <w:rPr>
          <w:kern w:val="0"/>
          <w:szCs w:val="24"/>
        </w:rPr>
        <w:t xml:space="preserve"> Scientometric Indicators. </w:t>
      </w:r>
      <w:r>
        <w:rPr>
          <w:i/>
          <w:iCs/>
          <w:kern w:val="0"/>
          <w:szCs w:val="24"/>
        </w:rPr>
        <w:t>Boletin de la Sociedad Chilena de Quimica</w:t>
      </w:r>
      <w:r>
        <w:rPr>
          <w:kern w:val="0"/>
          <w:szCs w:val="24"/>
        </w:rPr>
        <w:t xml:space="preserve">, </w:t>
      </w:r>
      <w:r>
        <w:rPr>
          <w:b/>
          <w:bCs/>
          <w:kern w:val="0"/>
          <w:szCs w:val="24"/>
        </w:rPr>
        <w:t>33</w:t>
      </w:r>
      <w:r>
        <w:rPr>
          <w:kern w:val="0"/>
          <w:szCs w:val="24"/>
        </w:rPr>
        <w:t xml:space="preserve"> (4), 157-162</w:t>
      </w:r>
    </w:p>
    <w:p w:rsidR="00896D6E" w:rsidRDefault="00896D6E" w:rsidP="00896D6E">
      <w:pPr>
        <w:pStyle w:val="a3"/>
        <w:rPr>
          <w:kern w:val="0"/>
          <w:szCs w:val="24"/>
        </w:rPr>
      </w:pPr>
      <w:r>
        <w:rPr>
          <w:kern w:val="0"/>
          <w:szCs w:val="24"/>
        </w:rPr>
        <w:t>Keywords: Chile</w:t>
      </w:r>
    </w:p>
    <w:p w:rsidR="003474F2" w:rsidRPr="001A3D2B" w:rsidRDefault="003474F2" w:rsidP="003474F2">
      <w:pPr>
        <w:pStyle w:val="a3"/>
      </w:pPr>
      <w:r w:rsidRPr="001A3D2B">
        <w:t>Notes: JJournal</w:t>
      </w:r>
    </w:p>
    <w:p w:rsidR="003474F2" w:rsidRPr="001A3D2B" w:rsidRDefault="003474F2" w:rsidP="003474F2">
      <w:pPr>
        <w:pStyle w:val="a3"/>
      </w:pPr>
      <w:r w:rsidRPr="001A3D2B">
        <w:t>? Canessa, G.S.</w:t>
      </w:r>
      <w:r w:rsidR="005853A9">
        <w:t xml:space="preserve"> and </w:t>
      </w:r>
      <w:r w:rsidRPr="001A3D2B">
        <w:t xml:space="preserve">Rivas, B.L. (1994), </w:t>
      </w:r>
      <w:r w:rsidRPr="001A3D2B">
        <w:rPr>
          <w:i/>
          <w:iCs/>
        </w:rPr>
        <w:t xml:space="preserve">Boletin de </w:t>
      </w:r>
      <w:smartTag w:uri="urn:schemas-microsoft-com:office:smarttags" w:element="PersonName">
        <w:smartTagPr>
          <w:attr w:name="ProductID" w:val="la Sociedad Chilena"/>
        </w:smartTagPr>
        <w:r w:rsidRPr="001A3D2B">
          <w:rPr>
            <w:i/>
            <w:iCs/>
          </w:rPr>
          <w:t>la Sociedad Chilena</w:t>
        </w:r>
      </w:smartTag>
      <w:r w:rsidRPr="001A3D2B">
        <w:rPr>
          <w:i/>
          <w:iCs/>
        </w:rPr>
        <w:t xml:space="preserve"> de Quimica</w:t>
      </w:r>
      <w:r w:rsidRPr="001A3D2B">
        <w:t xml:space="preserve"> in its 45th anniversary. </w:t>
      </w:r>
      <w:r w:rsidRPr="001A3D2B">
        <w:rPr>
          <w:i/>
          <w:iCs/>
        </w:rPr>
        <w:t xml:space="preserve">Boletin de </w:t>
      </w:r>
      <w:smartTag w:uri="urn:schemas-microsoft-com:office:smarttags" w:element="PersonName">
        <w:smartTagPr>
          <w:attr w:name="ProductID" w:val="la Sociedad Chilena"/>
        </w:smartTagPr>
        <w:r w:rsidRPr="001A3D2B">
          <w:rPr>
            <w:i/>
            <w:iCs/>
          </w:rPr>
          <w:t>la Sociedad Chilena</w:t>
        </w:r>
      </w:smartTag>
      <w:r w:rsidRPr="001A3D2B">
        <w:rPr>
          <w:i/>
          <w:iCs/>
        </w:rPr>
        <w:t xml:space="preserve"> de Quimica</w:t>
      </w:r>
      <w:r w:rsidRPr="001A3D2B">
        <w:t xml:space="preserve">, </w:t>
      </w:r>
      <w:r w:rsidRPr="001A3D2B">
        <w:rPr>
          <w:b/>
          <w:bCs/>
        </w:rPr>
        <w:t>39</w:t>
      </w:r>
      <w:r w:rsidRPr="001A3D2B">
        <w:t xml:space="preserve"> (4), 255-262.</w:t>
      </w:r>
    </w:p>
    <w:p w:rsidR="003474F2" w:rsidRPr="001A3D2B" w:rsidRDefault="003474F2" w:rsidP="003474F2">
      <w:pPr>
        <w:pStyle w:val="a3"/>
      </w:pPr>
      <w:r w:rsidRPr="001A3D2B">
        <w:t xml:space="preserve">Keywords: Relative Citation Impact, Publication Output, </w:t>
      </w:r>
      <w:smartTag w:uri="urn:schemas-microsoft-com:office:smarttags" w:element="PersonName">
        <w:smartTagPr>
          <w:attr w:name="ProductID" w:val="Life Sciences"/>
        </w:smartTagPr>
        <w:r w:rsidRPr="001A3D2B">
          <w:t>Life Sciences</w:t>
        </w:r>
      </w:smartTag>
      <w:r w:rsidRPr="001A3D2B">
        <w:t>, Version, Figures, Facts</w:t>
      </w:r>
    </w:p>
    <w:p w:rsidR="003474F2" w:rsidRPr="001A3D2B" w:rsidRDefault="003474F2" w:rsidP="003474F2">
      <w:pPr>
        <w:pStyle w:val="1"/>
      </w:pPr>
      <w:r w:rsidRPr="001A3D2B">
        <w:br w:type="page"/>
      </w:r>
      <w:bookmarkStart w:id="878" w:name="_Toc420814789"/>
      <w:r w:rsidRPr="001A3D2B">
        <w:lastRenderedPageBreak/>
        <w:t xml:space="preserve">Title: </w:t>
      </w:r>
      <w:r w:rsidRPr="001A3D2B">
        <w:rPr>
          <w:iCs w:val="0"/>
          <w:szCs w:val="24"/>
        </w:rPr>
        <w:t>Boletin de la Sociedad Espanola de Ceramica y Vidrio</w:t>
      </w:r>
      <w:bookmarkEnd w:id="878"/>
    </w:p>
    <w:p w:rsidR="003474F2" w:rsidRPr="001A3D2B" w:rsidRDefault="003474F2" w:rsidP="003474F2">
      <w:pPr>
        <w:pStyle w:val="12"/>
      </w:pPr>
      <w:r w:rsidRPr="001A3D2B">
        <w:t xml:space="preserve">Full Journal Title: </w:t>
      </w:r>
      <w:hyperlink r:id="rId1784" w:history="1">
        <w:r w:rsidR="00930373" w:rsidRPr="00930373">
          <w:rPr>
            <w:rStyle w:val="a5"/>
          </w:rPr>
          <w:t>Boletín de la Sociedad Española de Cerámica y Vidrio</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r w:rsidR="00930373" w:rsidRPr="00930373">
        <w:t>0366-3175</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(1999</w:t>
      </w:r>
      <w:r w:rsidR="00F42EAC">
        <w:t>), The</w:t>
      </w:r>
      <w:r w:rsidR="003A1917">
        <w:t xml:space="preserve"> </w:t>
      </w:r>
      <w:r w:rsidR="00930373" w:rsidRPr="00930373">
        <w:rPr>
          <w:i/>
        </w:rPr>
        <w:t>Boletín de la Sociedad Española de Cerámica y Vidrio</w:t>
      </w:r>
      <w:r w:rsidRPr="001A3D2B">
        <w:t xml:space="preserve"> now in</w:t>
      </w:r>
      <w:r w:rsidR="003A1917">
        <w:t xml:space="preserve"> the </w:t>
      </w:r>
      <w:r w:rsidRPr="001A3D2B">
        <w:t xml:space="preserve">Science Citation Index. </w:t>
      </w:r>
      <w:r w:rsidR="00930373" w:rsidRPr="00930373">
        <w:rPr>
          <w:i/>
        </w:rPr>
        <w:t>Boletín de la Sociedad Española de Cerámica y Vidrio</w:t>
      </w:r>
      <w:r w:rsidRPr="001A3D2B">
        <w:t xml:space="preserve">, </w:t>
      </w:r>
      <w:r w:rsidRPr="001A3D2B">
        <w:rPr>
          <w:b/>
          <w:bCs/>
        </w:rPr>
        <w:t>38</w:t>
      </w:r>
      <w:r w:rsidRPr="001A3D2B">
        <w:t xml:space="preserve"> (1), 3.</w:t>
      </w:r>
    </w:p>
    <w:p w:rsidR="003474F2" w:rsidRPr="001A3D2B" w:rsidRDefault="003474F2" w:rsidP="003474F2">
      <w:pPr>
        <w:pStyle w:val="a3"/>
      </w:pPr>
      <w:r w:rsidRPr="001A3D2B">
        <w:t>Keywords: Citation, Science Citation Index, Y</w:t>
      </w:r>
    </w:p>
    <w:p w:rsidR="00066B28" w:rsidRDefault="00930373" w:rsidP="00066B28">
      <w:pPr>
        <w:pStyle w:val="a3"/>
        <w:rPr>
          <w:kern w:val="0"/>
        </w:rPr>
      </w:pPr>
      <w:r>
        <w:rPr>
          <w:kern w:val="0"/>
        </w:rPr>
        <w:t>? Palomar, T., Garcí</w:t>
      </w:r>
      <w:r w:rsidR="00066B28" w:rsidRPr="001A3D2B">
        <w:rPr>
          <w:kern w:val="0"/>
        </w:rPr>
        <w:t>a-Heras, M.</w:t>
      </w:r>
      <w:r w:rsidR="005853A9">
        <w:rPr>
          <w:kern w:val="0"/>
        </w:rPr>
        <w:t xml:space="preserve"> and </w:t>
      </w:r>
      <w:r w:rsidR="00066B28" w:rsidRPr="001A3D2B">
        <w:rPr>
          <w:kern w:val="0"/>
        </w:rPr>
        <w:t>Villegas, M.A. (2009), Archaeological</w:t>
      </w:r>
      <w:r w:rsidR="005853A9">
        <w:rPr>
          <w:kern w:val="0"/>
        </w:rPr>
        <w:t xml:space="preserve"> and </w:t>
      </w:r>
      <w:r w:rsidR="00066B28" w:rsidRPr="001A3D2B">
        <w:rPr>
          <w:kern w:val="0"/>
        </w:rPr>
        <w:t xml:space="preserve">historical glasses: A bibliometric study. </w:t>
      </w:r>
      <w:r w:rsidRPr="00930373">
        <w:rPr>
          <w:i/>
        </w:rPr>
        <w:t>Boletín de la Sociedad Española de Cerámica y Vidrio</w:t>
      </w:r>
      <w:r w:rsidR="00066B28" w:rsidRPr="001A3D2B">
        <w:rPr>
          <w:kern w:val="0"/>
        </w:rPr>
        <w:t xml:space="preserve">, </w:t>
      </w:r>
      <w:r w:rsidR="00066B28" w:rsidRPr="001A3D2B">
        <w:rPr>
          <w:b/>
          <w:bCs/>
          <w:kern w:val="0"/>
        </w:rPr>
        <w:t>48</w:t>
      </w:r>
      <w:r w:rsidR="00066B28" w:rsidRPr="001A3D2B">
        <w:rPr>
          <w:kern w:val="0"/>
        </w:rPr>
        <w:t xml:space="preserve"> (4), 187-194.</w:t>
      </w:r>
    </w:p>
    <w:p w:rsidR="00930373" w:rsidRPr="001A3D2B" w:rsidRDefault="00930373" w:rsidP="00066B28">
      <w:pPr>
        <w:pStyle w:val="a3"/>
        <w:rPr>
          <w:kern w:val="0"/>
        </w:rPr>
      </w:pPr>
      <w:r>
        <w:rPr>
          <w:rFonts w:hint="eastAsia"/>
          <w:kern w:val="0"/>
        </w:rPr>
        <w:t xml:space="preserve">Full Text: </w:t>
      </w:r>
      <w:hyperlink r:id="rId1785" w:history="1">
        <w:r w:rsidRPr="00930373">
          <w:rPr>
            <w:rStyle w:val="a5"/>
            <w:kern w:val="0"/>
          </w:rPr>
          <w:t>2009\Bol Soc Esp Cer Vid48, 187.pdf</w:t>
        </w:r>
      </w:hyperlink>
    </w:p>
    <w:p w:rsidR="00066B28" w:rsidRPr="001A3D2B" w:rsidRDefault="00066B28" w:rsidP="00066B28">
      <w:pPr>
        <w:pStyle w:val="a3"/>
        <w:rPr>
          <w:kern w:val="0"/>
        </w:rPr>
      </w:pPr>
      <w:r w:rsidRPr="001A3D2B">
        <w:rPr>
          <w:kern w:val="0"/>
        </w:rPr>
        <w:t>Abstract: Glass is one</w:t>
      </w:r>
      <w:r w:rsidR="00427468">
        <w:rPr>
          <w:kern w:val="0"/>
        </w:rPr>
        <w:t xml:space="preserve"> of </w:t>
      </w:r>
      <w:r w:rsidR="003A1917">
        <w:rPr>
          <w:kern w:val="0"/>
        </w:rPr>
        <w:t xml:space="preserve">the </w:t>
      </w:r>
      <w:r w:rsidRPr="001A3D2B">
        <w:rPr>
          <w:kern w:val="0"/>
        </w:rPr>
        <w:t>materials more widely developed throughout History. In</w:t>
      </w:r>
      <w:r w:rsidR="003A1917">
        <w:rPr>
          <w:kern w:val="0"/>
        </w:rPr>
        <w:t xml:space="preserve"> the </w:t>
      </w:r>
      <w:r w:rsidRPr="001A3D2B">
        <w:rPr>
          <w:kern w:val="0"/>
        </w:rPr>
        <w:t>last decades, it has been stated a growing demand in</w:t>
      </w:r>
      <w:r w:rsidR="003A1917">
        <w:rPr>
          <w:kern w:val="0"/>
        </w:rPr>
        <w:t xml:space="preserve"> the </w:t>
      </w:r>
      <w:r w:rsidRPr="001A3D2B">
        <w:rPr>
          <w:kern w:val="0"/>
        </w:rPr>
        <w:t>application</w:t>
      </w:r>
      <w:r w:rsidR="00427468">
        <w:rPr>
          <w:kern w:val="0"/>
        </w:rPr>
        <w:t xml:space="preserve"> of </w:t>
      </w:r>
      <w:r w:rsidRPr="001A3D2B">
        <w:rPr>
          <w:kern w:val="0"/>
        </w:rPr>
        <w:t>chemical-physical techniques to obtain more detailed information oil technology</w:t>
      </w:r>
      <w:r w:rsidR="005853A9">
        <w:rPr>
          <w:kern w:val="0"/>
        </w:rPr>
        <w:t xml:space="preserve"> and </w:t>
      </w:r>
      <w:r w:rsidRPr="001A3D2B">
        <w:rPr>
          <w:kern w:val="0"/>
        </w:rPr>
        <w:t>production</w:t>
      </w:r>
      <w:r w:rsidR="00427468">
        <w:rPr>
          <w:kern w:val="0"/>
        </w:rPr>
        <w:t xml:space="preserve"> of </w:t>
      </w:r>
      <w:r w:rsidRPr="001A3D2B">
        <w:rPr>
          <w:kern w:val="0"/>
        </w:rPr>
        <w:t>glasses in past societies. This research field lies within</w:t>
      </w:r>
      <w:r w:rsidR="003A1917">
        <w:rPr>
          <w:kern w:val="0"/>
        </w:rPr>
        <w:t xml:space="preserve"> the </w:t>
      </w:r>
      <w:r w:rsidRPr="001A3D2B">
        <w:rPr>
          <w:kern w:val="0"/>
        </w:rPr>
        <w:t>domain</w:t>
      </w:r>
      <w:r w:rsidR="00427468">
        <w:rPr>
          <w:kern w:val="0"/>
        </w:rPr>
        <w:t xml:space="preserve"> of </w:t>
      </w:r>
      <w:r w:rsidRPr="001A3D2B">
        <w:rPr>
          <w:kern w:val="0"/>
        </w:rPr>
        <w:t>archaeometry. Results</w:t>
      </w:r>
      <w:r w:rsidR="00427468">
        <w:rPr>
          <w:kern w:val="0"/>
        </w:rPr>
        <w:t xml:space="preserve"> of </w:t>
      </w:r>
      <w:r w:rsidRPr="001A3D2B">
        <w:rPr>
          <w:kern w:val="0"/>
        </w:rPr>
        <w:t>a bibliometric study undertaken oil 201 scientific articles published oil ancient</w:t>
      </w:r>
      <w:r w:rsidR="005853A9">
        <w:rPr>
          <w:kern w:val="0"/>
        </w:rPr>
        <w:t xml:space="preserve"> and </w:t>
      </w:r>
      <w:r w:rsidRPr="001A3D2B">
        <w:rPr>
          <w:kern w:val="0"/>
        </w:rPr>
        <w:t>historical glasses between 1 87</w:t>
      </w:r>
      <w:r w:rsidR="005853A9">
        <w:rPr>
          <w:kern w:val="0"/>
        </w:rPr>
        <w:t xml:space="preserve"> and </w:t>
      </w:r>
      <w:r w:rsidRPr="001A3D2B">
        <w:rPr>
          <w:kern w:val="0"/>
        </w:rPr>
        <w:t>2008 are presented in this paper</w:t>
      </w:r>
      <w:r w:rsidR="00A37C1D">
        <w:rPr>
          <w:kern w:val="0"/>
        </w:rPr>
        <w:t>. The</w:t>
      </w:r>
      <w:r w:rsidR="003A1917">
        <w:rPr>
          <w:kern w:val="0"/>
        </w:rPr>
        <w:t xml:space="preserve"> </w:t>
      </w:r>
      <w:r w:rsidRPr="001A3D2B">
        <w:rPr>
          <w:kern w:val="0"/>
        </w:rPr>
        <w:t>study was carried out with</w:t>
      </w:r>
      <w:r w:rsidR="003A1917">
        <w:rPr>
          <w:kern w:val="0"/>
        </w:rPr>
        <w:t xml:space="preserve"> the </w:t>
      </w:r>
      <w:r w:rsidRPr="001A3D2B">
        <w:rPr>
          <w:kern w:val="0"/>
        </w:rPr>
        <w:t>aim to address</w:t>
      </w:r>
      <w:r w:rsidR="003A1917">
        <w:rPr>
          <w:kern w:val="0"/>
        </w:rPr>
        <w:t xml:space="preserve"> the </w:t>
      </w:r>
      <w:r w:rsidRPr="001A3D2B">
        <w:rPr>
          <w:kern w:val="0"/>
        </w:rPr>
        <w:t>evolution</w:t>
      </w:r>
      <w:r w:rsidR="00427468">
        <w:rPr>
          <w:kern w:val="0"/>
        </w:rPr>
        <w:t xml:space="preserve"> of </w:t>
      </w:r>
      <w:r w:rsidRPr="001A3D2B">
        <w:rPr>
          <w:kern w:val="0"/>
        </w:rPr>
        <w:t>glass archaeometric investigations in</w:t>
      </w:r>
      <w:r w:rsidR="003A1917">
        <w:rPr>
          <w:kern w:val="0"/>
        </w:rPr>
        <w:t xml:space="preserve"> the </w:t>
      </w:r>
      <w:r w:rsidRPr="001A3D2B">
        <w:rPr>
          <w:kern w:val="0"/>
        </w:rPr>
        <w:t>last 20 years. Date</w:t>
      </w:r>
      <w:r w:rsidR="00427468">
        <w:rPr>
          <w:kern w:val="0"/>
        </w:rPr>
        <w:t xml:space="preserve"> of </w:t>
      </w:r>
      <w:r w:rsidRPr="001A3D2B">
        <w:rPr>
          <w:kern w:val="0"/>
        </w:rPr>
        <w:t>publication, journal</w:t>
      </w:r>
      <w:r w:rsidR="005853A9">
        <w:rPr>
          <w:kern w:val="0"/>
        </w:rPr>
        <w:t xml:space="preserve"> and </w:t>
      </w:r>
      <w:r w:rsidRPr="001A3D2B">
        <w:rPr>
          <w:kern w:val="0"/>
        </w:rPr>
        <w:t>article types, topic, glass typology, analytical techniques, origin country</w:t>
      </w:r>
      <w:r w:rsidR="00427468">
        <w:rPr>
          <w:kern w:val="0"/>
        </w:rPr>
        <w:t xml:space="preserve"> of </w:t>
      </w:r>
      <w:r w:rsidRPr="001A3D2B">
        <w:rPr>
          <w:kern w:val="0"/>
        </w:rPr>
        <w:t>authors,</w:t>
      </w:r>
      <w:r w:rsidR="005853A9">
        <w:rPr>
          <w:kern w:val="0"/>
        </w:rPr>
        <w:t xml:space="preserve"> and </w:t>
      </w:r>
      <w:r w:rsidRPr="001A3D2B">
        <w:rPr>
          <w:kern w:val="0"/>
        </w:rPr>
        <w:t>geographic location</w:t>
      </w:r>
      <w:r w:rsidR="00427468">
        <w:rPr>
          <w:kern w:val="0"/>
        </w:rPr>
        <w:t xml:space="preserve"> of </w:t>
      </w:r>
      <w:r w:rsidRPr="001A3D2B">
        <w:rPr>
          <w:kern w:val="0"/>
        </w:rPr>
        <w:t>samples were analyzed in this study, among other parameters. Resulting data indicate that archaeometric research on glasses has experienced all exponential growth in</w:t>
      </w:r>
      <w:r w:rsidR="003A1917">
        <w:rPr>
          <w:kern w:val="0"/>
        </w:rPr>
        <w:t xml:space="preserve"> the </w:t>
      </w:r>
      <w:r w:rsidRPr="001A3D2B">
        <w:rPr>
          <w:kern w:val="0"/>
        </w:rPr>
        <w:t>period 2000-2008. Roman</w:t>
      </w:r>
      <w:r w:rsidR="005853A9">
        <w:rPr>
          <w:kern w:val="0"/>
        </w:rPr>
        <w:t xml:space="preserve"> and </w:t>
      </w:r>
      <w:r w:rsidRPr="001A3D2B">
        <w:rPr>
          <w:kern w:val="0"/>
        </w:rPr>
        <w:t>Medieval glasses have been</w:t>
      </w:r>
      <w:r w:rsidR="003A1917">
        <w:rPr>
          <w:kern w:val="0"/>
        </w:rPr>
        <w:t xml:space="preserve"> the </w:t>
      </w:r>
      <w:r w:rsidRPr="001A3D2B">
        <w:rPr>
          <w:kern w:val="0"/>
        </w:rPr>
        <w:t>materials more frequently investigated.</w:t>
      </w:r>
    </w:p>
    <w:p w:rsidR="00066B28" w:rsidRPr="001A3D2B" w:rsidRDefault="00066B28" w:rsidP="00066B28">
      <w:pPr>
        <w:pStyle w:val="a3"/>
        <w:rPr>
          <w:kern w:val="0"/>
        </w:rPr>
      </w:pPr>
      <w:r w:rsidRPr="001A3D2B">
        <w:rPr>
          <w:kern w:val="0"/>
        </w:rPr>
        <w:t>Keywords: Ancient Glasses, Archaeometry, Bibliometric Study, Bronze-Age Glasses, Chemical Corrosion, Glass, Medieval Glass, Optically Stimulated Luminescence, Research, Roman Glass, Scientific Analysis, Stained Glasses, Valdelsa Florence, Vitreous Finds</w:t>
      </w:r>
    </w:p>
    <w:p w:rsidR="00930373" w:rsidRDefault="00930373" w:rsidP="00930373">
      <w:pPr>
        <w:pStyle w:val="a3"/>
        <w:rPr>
          <w:kern w:val="0"/>
        </w:rPr>
      </w:pPr>
      <w:r>
        <w:rPr>
          <w:rFonts w:hint="eastAsia"/>
          <w:kern w:val="0"/>
        </w:rPr>
        <w:lastRenderedPageBreak/>
        <w:t>Notes: CCountry, FField</w:t>
      </w:r>
    </w:p>
    <w:p w:rsidR="00930373" w:rsidRDefault="00930373" w:rsidP="00930373">
      <w:pPr>
        <w:pStyle w:val="a3"/>
        <w:rPr>
          <w:kern w:val="0"/>
        </w:rPr>
      </w:pPr>
      <w:r>
        <w:rPr>
          <w:rFonts w:hint="eastAsia"/>
          <w:kern w:val="0"/>
        </w:rPr>
        <w:t xml:space="preserve">? </w:t>
      </w:r>
      <w:r>
        <w:rPr>
          <w:kern w:val="0"/>
        </w:rPr>
        <w:t>Rojas-Sola, J.I.</w:t>
      </w:r>
      <w:r w:rsidR="005853A9">
        <w:rPr>
          <w:kern w:val="0"/>
        </w:rPr>
        <w:t xml:space="preserve"> and </w:t>
      </w:r>
      <w:r>
        <w:rPr>
          <w:kern w:val="0"/>
        </w:rPr>
        <w:t>Jordá-Albi</w:t>
      </w:r>
      <w:r w:rsidRPr="00930373">
        <w:rPr>
          <w:rFonts w:hint="eastAsia"/>
          <w:kern w:val="0"/>
        </w:rPr>
        <w:t>ñ</w:t>
      </w:r>
      <w:r>
        <w:rPr>
          <w:kern w:val="0"/>
        </w:rPr>
        <w:t>ana, B. (2009), Bibliometric analysis</w:t>
      </w:r>
      <w:r w:rsidR="00427468">
        <w:rPr>
          <w:kern w:val="0"/>
        </w:rPr>
        <w:t xml:space="preserve"> of </w:t>
      </w:r>
      <w:r>
        <w:rPr>
          <w:kern w:val="0"/>
        </w:rPr>
        <w:t>Spanish scientific publications in</w:t>
      </w:r>
      <w:r w:rsidR="003A1917">
        <w:rPr>
          <w:kern w:val="0"/>
        </w:rPr>
        <w:t xml:space="preserve"> the </w:t>
      </w:r>
      <w:r>
        <w:rPr>
          <w:kern w:val="0"/>
        </w:rPr>
        <w:t xml:space="preserve">subject materials science, ceramics in JCR (SCI) database (1997-2008). </w:t>
      </w:r>
      <w:r w:rsidRPr="00930373">
        <w:rPr>
          <w:i/>
        </w:rPr>
        <w:t>Boletín de la Sociedad Española de Cerámica y Vidrio</w:t>
      </w:r>
      <w:r>
        <w:rPr>
          <w:kern w:val="0"/>
        </w:rPr>
        <w:t xml:space="preserve">, </w:t>
      </w:r>
      <w:r>
        <w:rPr>
          <w:b/>
          <w:bCs/>
          <w:kern w:val="0"/>
        </w:rPr>
        <w:t>48</w:t>
      </w:r>
      <w:r>
        <w:rPr>
          <w:kern w:val="0"/>
        </w:rPr>
        <w:t xml:space="preserve"> (5), 255-260.</w:t>
      </w:r>
    </w:p>
    <w:p w:rsidR="00930373" w:rsidRPr="001A3D2B" w:rsidRDefault="00930373" w:rsidP="00930373">
      <w:pPr>
        <w:pStyle w:val="a3"/>
        <w:rPr>
          <w:kern w:val="0"/>
        </w:rPr>
      </w:pPr>
      <w:r>
        <w:rPr>
          <w:rFonts w:hint="eastAsia"/>
          <w:kern w:val="0"/>
        </w:rPr>
        <w:t xml:space="preserve">Full Text: </w:t>
      </w:r>
      <w:hyperlink r:id="rId1786" w:history="1">
        <w:r w:rsidR="00A92E00" w:rsidRPr="00A92E00">
          <w:rPr>
            <w:rStyle w:val="a5"/>
            <w:kern w:val="0"/>
          </w:rPr>
          <w:t>2009\Bol Soc Esp Cer Vid48, 255.pdf</w:t>
        </w:r>
      </w:hyperlink>
    </w:p>
    <w:p w:rsidR="00930373" w:rsidRDefault="00930373" w:rsidP="00930373">
      <w:pPr>
        <w:pStyle w:val="a3"/>
        <w:rPr>
          <w:kern w:val="0"/>
        </w:rPr>
      </w:pPr>
      <w:r>
        <w:rPr>
          <w:kern w:val="0"/>
        </w:rPr>
        <w:t>Abstract: In this paper we show for selected period (1997-2008</w:t>
      </w:r>
      <w:r w:rsidR="00F42EAC">
        <w:rPr>
          <w:kern w:val="0"/>
        </w:rPr>
        <w:t>), The</w:t>
      </w:r>
      <w:r w:rsidR="003A1917">
        <w:rPr>
          <w:kern w:val="0"/>
        </w:rPr>
        <w:t xml:space="preserve"> </w:t>
      </w:r>
      <w:r>
        <w:rPr>
          <w:kern w:val="0"/>
        </w:rPr>
        <w:t>journals in</w:t>
      </w:r>
      <w:r w:rsidR="003A1917">
        <w:rPr>
          <w:kern w:val="0"/>
        </w:rPr>
        <w:t xml:space="preserve"> the </w:t>
      </w:r>
      <w:r>
        <w:rPr>
          <w:kern w:val="0"/>
        </w:rPr>
        <w:t>subject Materials Science, Ceramics in which were for spanish authors published in Spain (24), analyzed from a bibliometric point</w:t>
      </w:r>
      <w:r w:rsidR="00427468">
        <w:rPr>
          <w:kern w:val="0"/>
        </w:rPr>
        <w:t xml:space="preserve"> of </w:t>
      </w:r>
      <w:r>
        <w:rPr>
          <w:kern w:val="0"/>
        </w:rPr>
        <w:t>view</w:t>
      </w:r>
      <w:r w:rsidR="003A1917">
        <w:rPr>
          <w:kern w:val="0"/>
        </w:rPr>
        <w:t xml:space="preserve"> the </w:t>
      </w:r>
      <w:r>
        <w:rPr>
          <w:kern w:val="0"/>
        </w:rPr>
        <w:t>publications found (1240)</w:t>
      </w:r>
      <w:r w:rsidR="003A1917">
        <w:rPr>
          <w:kern w:val="0"/>
        </w:rPr>
        <w:t xml:space="preserve"> the </w:t>
      </w:r>
      <w:r>
        <w:rPr>
          <w:kern w:val="0"/>
        </w:rPr>
        <w:t>document type (Journal Article or Review), detailing</w:t>
      </w:r>
      <w:r w:rsidR="003A1917">
        <w:rPr>
          <w:kern w:val="0"/>
        </w:rPr>
        <w:t xml:space="preserve"> the </w:t>
      </w:r>
      <w:r>
        <w:rPr>
          <w:kern w:val="0"/>
        </w:rPr>
        <w:t>bibliometric results (number</w:t>
      </w:r>
      <w:r w:rsidR="00427468">
        <w:rPr>
          <w:kern w:val="0"/>
        </w:rPr>
        <w:t xml:space="preserve"> of </w:t>
      </w:r>
      <w:r>
        <w:rPr>
          <w:kern w:val="0"/>
        </w:rPr>
        <w:t>documents weighted impact factor, relative impact factor</w:t>
      </w:r>
      <w:r w:rsidR="005853A9">
        <w:rPr>
          <w:kern w:val="0"/>
        </w:rPr>
        <w:t xml:space="preserve"> and </w:t>
      </w:r>
      <w:r w:rsidR="003A1917">
        <w:rPr>
          <w:kern w:val="0"/>
        </w:rPr>
        <w:t xml:space="preserve">the </w:t>
      </w:r>
      <w:r>
        <w:rPr>
          <w:kern w:val="0"/>
        </w:rPr>
        <w:t>ratio between</w:t>
      </w:r>
      <w:r w:rsidR="003A1917">
        <w:rPr>
          <w:kern w:val="0"/>
        </w:rPr>
        <w:t xml:space="preserve"> the </w:t>
      </w:r>
      <w:r>
        <w:rPr>
          <w:kern w:val="0"/>
        </w:rPr>
        <w:t>number</w:t>
      </w:r>
      <w:r w:rsidR="00427468">
        <w:rPr>
          <w:kern w:val="0"/>
        </w:rPr>
        <w:t xml:space="preserve"> of </w:t>
      </w:r>
      <w:r>
        <w:rPr>
          <w:kern w:val="0"/>
        </w:rPr>
        <w:t>citations</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documents) from an institutional standpoint. Among those with a scientific representative stands out prominently</w:t>
      </w:r>
      <w:r w:rsidR="003A1917">
        <w:rPr>
          <w:kern w:val="0"/>
        </w:rPr>
        <w:t xml:space="preserve"> the </w:t>
      </w:r>
      <w:r>
        <w:rPr>
          <w:kern w:val="0"/>
        </w:rPr>
        <w:t>Institute</w:t>
      </w:r>
      <w:r w:rsidR="00427468">
        <w:rPr>
          <w:kern w:val="0"/>
        </w:rPr>
        <w:t xml:space="preserve"> of </w:t>
      </w:r>
      <w:r>
        <w:rPr>
          <w:kern w:val="0"/>
        </w:rPr>
        <w:t>Ceramics</w:t>
      </w:r>
      <w:r w:rsidR="005853A9">
        <w:rPr>
          <w:kern w:val="0"/>
        </w:rPr>
        <w:t xml:space="preserve"> and </w:t>
      </w:r>
      <w:r>
        <w:rPr>
          <w:kern w:val="0"/>
        </w:rPr>
        <w:t>Glass. Impact Factor highlighted by</w:t>
      </w:r>
      <w:r w:rsidR="003A1917">
        <w:rPr>
          <w:kern w:val="0"/>
        </w:rPr>
        <w:t xml:space="preserve"> the </w:t>
      </w:r>
      <w:r>
        <w:rPr>
          <w:kern w:val="0"/>
        </w:rPr>
        <w:t>Institute</w:t>
      </w:r>
      <w:r w:rsidR="00427468">
        <w:rPr>
          <w:kern w:val="0"/>
        </w:rPr>
        <w:t xml:space="preserve"> of </w:t>
      </w:r>
      <w:r>
        <w:rPr>
          <w:kern w:val="0"/>
        </w:rPr>
        <w:t>Construction Science Eduardo Torroja. Furthermore,</w:t>
      </w:r>
      <w:r w:rsidR="003A1917">
        <w:rPr>
          <w:kern w:val="0"/>
        </w:rPr>
        <w:t xml:space="preserve"> the </w:t>
      </w:r>
      <w:r>
        <w:rPr>
          <w:kern w:val="0"/>
        </w:rPr>
        <w:t>journal Boletin de la Sociedad Espanola de Ceramica y Vidrio brings together</w:t>
      </w:r>
      <w:r w:rsidR="003A1917">
        <w:rPr>
          <w:kern w:val="0"/>
        </w:rPr>
        <w:t xml:space="preserve"> the </w:t>
      </w:r>
      <w:r>
        <w:rPr>
          <w:kern w:val="0"/>
        </w:rPr>
        <w:t>32.74%</w:t>
      </w:r>
      <w:r w:rsidR="00427468">
        <w:rPr>
          <w:kern w:val="0"/>
        </w:rPr>
        <w:t xml:space="preserve"> of </w:t>
      </w:r>
      <w:r w:rsidR="003A1917">
        <w:rPr>
          <w:kern w:val="0"/>
        </w:rPr>
        <w:t xml:space="preserve">the </w:t>
      </w:r>
      <w:r>
        <w:rPr>
          <w:kern w:val="0"/>
        </w:rPr>
        <w:t>Spanish scientific output, being also</w:t>
      </w:r>
      <w:r w:rsidR="003A1917">
        <w:rPr>
          <w:kern w:val="0"/>
        </w:rPr>
        <w:t xml:space="preserve"> the </w:t>
      </w:r>
      <w:r>
        <w:rPr>
          <w:kern w:val="0"/>
        </w:rPr>
        <w:t>first journal for number</w:t>
      </w:r>
      <w:r w:rsidR="00427468">
        <w:rPr>
          <w:kern w:val="0"/>
        </w:rPr>
        <w:t xml:space="preserve"> of </w:t>
      </w:r>
      <w:r>
        <w:rPr>
          <w:kern w:val="0"/>
        </w:rPr>
        <w:t>documents in that subject. It also confirmed a moderate international collaboration, with France</w:t>
      </w:r>
      <w:r w:rsidR="005853A9">
        <w:rPr>
          <w:kern w:val="0"/>
        </w:rPr>
        <w:t xml:space="preserve"> and </w:t>
      </w:r>
      <w:r w:rsidR="003A1917">
        <w:rPr>
          <w:kern w:val="0"/>
        </w:rPr>
        <w:t xml:space="preserve">the </w:t>
      </w:r>
      <w:r>
        <w:rPr>
          <w:kern w:val="0"/>
        </w:rPr>
        <w:t>United States as</w:t>
      </w:r>
      <w:r w:rsidR="003A1917">
        <w:rPr>
          <w:kern w:val="0"/>
        </w:rPr>
        <w:t xml:space="preserve"> the </w:t>
      </w:r>
      <w:r>
        <w:rPr>
          <w:kern w:val="0"/>
        </w:rPr>
        <w:t>main countries from that standpoint.</w:t>
      </w:r>
    </w:p>
    <w:p w:rsidR="00930373" w:rsidRDefault="00930373" w:rsidP="00930373">
      <w:pPr>
        <w:pStyle w:val="a3"/>
        <w:rPr>
          <w:kern w:val="0"/>
        </w:rPr>
      </w:pPr>
      <w:r>
        <w:rPr>
          <w:kern w:val="0"/>
        </w:rPr>
        <w:t>Keywords: Bibliometric, Bibliometric Analysis, Ceramic Materials, Citations, Collaboration, Database, France, Impact, Impact Factor, Impact Factors, Indicators, International Collaboration, Journals, Publications, Research Centres, Review</w:t>
      </w:r>
      <w:r w:rsidR="00D5664A">
        <w:rPr>
          <w:kern w:val="0"/>
        </w:rPr>
        <w:t>, SCI,</w:t>
      </w:r>
      <w:r>
        <w:rPr>
          <w:kern w:val="0"/>
        </w:rPr>
        <w:t xml:space="preserve"> Science, Scientific Publications, Spain, Spanish Universities, Universities</w:t>
      </w:r>
    </w:p>
    <w:p w:rsidR="00DB4176" w:rsidRDefault="00DB4176" w:rsidP="00DB4176">
      <w:pPr>
        <w:pStyle w:val="a3"/>
        <w:rPr>
          <w:kern w:val="0"/>
        </w:rPr>
      </w:pPr>
      <w:r>
        <w:rPr>
          <w:rFonts w:hint="eastAsia"/>
          <w:kern w:val="0"/>
        </w:rPr>
        <w:t xml:space="preserve">? </w:t>
      </w:r>
      <w:r>
        <w:rPr>
          <w:kern w:val="0"/>
        </w:rPr>
        <w:t>Rojas-Sola, J.I., Jordá-Albiñana, B.</w:t>
      </w:r>
      <w:r w:rsidR="005853A9">
        <w:rPr>
          <w:kern w:val="0"/>
        </w:rPr>
        <w:t xml:space="preserve"> and </w:t>
      </w:r>
      <w:r>
        <w:rPr>
          <w:kern w:val="0"/>
        </w:rPr>
        <w:t>Criado-Herrero, E. (2009), Bibliometric analysis</w:t>
      </w:r>
      <w:r w:rsidR="00427468">
        <w:rPr>
          <w:kern w:val="0"/>
        </w:rPr>
        <w:t xml:space="preserve"> of </w:t>
      </w:r>
      <w:r>
        <w:rPr>
          <w:kern w:val="0"/>
        </w:rPr>
        <w:t>Latin American, Spanish</w:t>
      </w:r>
      <w:r w:rsidR="005853A9">
        <w:rPr>
          <w:kern w:val="0"/>
        </w:rPr>
        <w:t xml:space="preserve"> and </w:t>
      </w:r>
      <w:r>
        <w:rPr>
          <w:kern w:val="0"/>
        </w:rPr>
        <w:t>Portuguese Scientific Publications in</w:t>
      </w:r>
      <w:r w:rsidR="003A1917">
        <w:rPr>
          <w:kern w:val="0"/>
        </w:rPr>
        <w:t xml:space="preserve"> the </w:t>
      </w:r>
      <w:r>
        <w:rPr>
          <w:kern w:val="0"/>
        </w:rPr>
        <w:t xml:space="preserve">subject materials science, ceramics in JCR (SCI) database (1997-2008). </w:t>
      </w:r>
      <w:r w:rsidRPr="00930373">
        <w:rPr>
          <w:i/>
        </w:rPr>
        <w:t>Boletín de la Sociedad Española de Cerámica y Vidrio</w:t>
      </w:r>
      <w:r>
        <w:rPr>
          <w:kern w:val="0"/>
        </w:rPr>
        <w:t xml:space="preserve">, </w:t>
      </w:r>
      <w:r>
        <w:rPr>
          <w:b/>
          <w:bCs/>
          <w:kern w:val="0"/>
        </w:rPr>
        <w:t>48</w:t>
      </w:r>
      <w:r>
        <w:rPr>
          <w:kern w:val="0"/>
        </w:rPr>
        <w:t xml:space="preserve"> (6), 297-310.</w:t>
      </w:r>
    </w:p>
    <w:p w:rsidR="00DB4176" w:rsidRPr="001A3D2B" w:rsidRDefault="00DB4176" w:rsidP="00DB4176">
      <w:pPr>
        <w:pStyle w:val="a3"/>
        <w:rPr>
          <w:kern w:val="0"/>
        </w:rPr>
      </w:pPr>
      <w:r>
        <w:rPr>
          <w:rFonts w:hint="eastAsia"/>
          <w:kern w:val="0"/>
        </w:rPr>
        <w:t xml:space="preserve">Full Text: </w:t>
      </w:r>
      <w:hyperlink r:id="rId1787" w:history="1">
        <w:r w:rsidRPr="00BC4053">
          <w:rPr>
            <w:rStyle w:val="a5"/>
            <w:kern w:val="0"/>
          </w:rPr>
          <w:t>2009\Bol Soc Esp Cer Vid48, 297.pdf</w:t>
        </w:r>
      </w:hyperlink>
    </w:p>
    <w:p w:rsidR="00DB4176" w:rsidRDefault="00DB4176" w:rsidP="00DB4176">
      <w:pPr>
        <w:pStyle w:val="a3"/>
        <w:rPr>
          <w:kern w:val="0"/>
        </w:rPr>
      </w:pPr>
      <w:r>
        <w:rPr>
          <w:kern w:val="0"/>
        </w:rPr>
        <w:t>Abstract:</w:t>
      </w:r>
      <w:r w:rsidR="003A1917">
        <w:rPr>
          <w:kern w:val="0"/>
        </w:rPr>
        <w:t xml:space="preserve"> the </w:t>
      </w:r>
      <w:r>
        <w:rPr>
          <w:kern w:val="0"/>
        </w:rPr>
        <w:t>Latin American scientific community is becoming increasingly significant in many areas, particularly, in</w:t>
      </w:r>
      <w:r w:rsidR="003A1917">
        <w:rPr>
          <w:kern w:val="0"/>
        </w:rPr>
        <w:t xml:space="preserve"> the </w:t>
      </w:r>
      <w:r>
        <w:rPr>
          <w:kern w:val="0"/>
        </w:rPr>
        <w:t>ceramic field because</w:t>
      </w:r>
      <w:r w:rsidR="00427468">
        <w:rPr>
          <w:kern w:val="0"/>
        </w:rPr>
        <w:t xml:space="preserve"> of </w:t>
      </w:r>
      <w:r>
        <w:rPr>
          <w:kern w:val="0"/>
        </w:rPr>
        <w:t>its proximity to</w:t>
      </w:r>
      <w:r w:rsidR="003A1917">
        <w:rPr>
          <w:kern w:val="0"/>
        </w:rPr>
        <w:t xml:space="preserve"> the </w:t>
      </w:r>
      <w:r>
        <w:rPr>
          <w:kern w:val="0"/>
        </w:rPr>
        <w:t>processes</w:t>
      </w:r>
      <w:r w:rsidR="00427468">
        <w:rPr>
          <w:kern w:val="0"/>
        </w:rPr>
        <w:t xml:space="preserve"> of </w:t>
      </w:r>
      <w:r>
        <w:rPr>
          <w:kern w:val="0"/>
        </w:rPr>
        <w:t>generation</w:t>
      </w:r>
      <w:r w:rsidR="00427468">
        <w:rPr>
          <w:kern w:val="0"/>
        </w:rPr>
        <w:t xml:space="preserve"> of </w:t>
      </w:r>
      <w:r>
        <w:rPr>
          <w:kern w:val="0"/>
        </w:rPr>
        <w:t>infrastructure</w:t>
      </w:r>
      <w:r w:rsidR="005853A9">
        <w:rPr>
          <w:kern w:val="0"/>
        </w:rPr>
        <w:t xml:space="preserve"> and </w:t>
      </w:r>
      <w:r>
        <w:rPr>
          <w:kern w:val="0"/>
        </w:rPr>
        <w:t>housing demand in developing societies</w:t>
      </w:r>
      <w:r w:rsidR="00A37C1D">
        <w:rPr>
          <w:kern w:val="0"/>
        </w:rPr>
        <w:t>. The</w:t>
      </w:r>
      <w:r w:rsidR="003A1917">
        <w:rPr>
          <w:kern w:val="0"/>
        </w:rPr>
        <w:t xml:space="preserve"> </w:t>
      </w:r>
      <w:r>
        <w:rPr>
          <w:kern w:val="0"/>
        </w:rPr>
        <w:t>present study is devoted to determine</w:t>
      </w:r>
      <w:r w:rsidR="003A1917">
        <w:rPr>
          <w:kern w:val="0"/>
        </w:rPr>
        <w:t xml:space="preserve"> the </w:t>
      </w:r>
      <w:r>
        <w:rPr>
          <w:kern w:val="0"/>
        </w:rPr>
        <w:t>specific weight that each country, research institution</w:t>
      </w:r>
      <w:r w:rsidR="005853A9">
        <w:rPr>
          <w:kern w:val="0"/>
        </w:rPr>
        <w:t xml:space="preserve"> and </w:t>
      </w:r>
      <w:r>
        <w:rPr>
          <w:kern w:val="0"/>
        </w:rPr>
        <w:t>author have adquired</w:t>
      </w:r>
      <w:r w:rsidR="00A37C1D">
        <w:rPr>
          <w:kern w:val="0"/>
        </w:rPr>
        <w:t>. The</w:t>
      </w:r>
      <w:r w:rsidR="003A1917">
        <w:rPr>
          <w:kern w:val="0"/>
        </w:rPr>
        <w:t xml:space="preserve"> </w:t>
      </w:r>
      <w:r>
        <w:rPr>
          <w:kern w:val="0"/>
        </w:rPr>
        <w:t>thirty journals included in journal Citation Reports, under</w:t>
      </w:r>
      <w:r w:rsidR="003A1917">
        <w:rPr>
          <w:kern w:val="0"/>
        </w:rPr>
        <w:t xml:space="preserve"> the </w:t>
      </w:r>
      <w:r>
        <w:rPr>
          <w:kern w:val="0"/>
        </w:rPr>
        <w:t xml:space="preserve">category </w:t>
      </w:r>
      <w:r w:rsidR="00B5188C">
        <w:rPr>
          <w:kern w:val="0"/>
        </w:rPr>
        <w:t>“</w:t>
      </w:r>
      <w:r>
        <w:rPr>
          <w:kern w:val="0"/>
        </w:rPr>
        <w:t>Materials Science, Ceramics</w:t>
      </w:r>
      <w:r w:rsidR="00B5188C">
        <w:rPr>
          <w:kern w:val="0"/>
        </w:rPr>
        <w:t>”</w:t>
      </w:r>
      <w:r>
        <w:rPr>
          <w:kern w:val="0"/>
        </w:rPr>
        <w:t xml:space="preserve"> along 1997-2008 period, have been selected</w:t>
      </w:r>
      <w:r w:rsidR="005853A9">
        <w:rPr>
          <w:kern w:val="0"/>
        </w:rPr>
        <w:t xml:space="preserve"> and </w:t>
      </w:r>
      <w:r>
        <w:rPr>
          <w:kern w:val="0"/>
        </w:rPr>
        <w:t>articles from Latin America</w:t>
      </w:r>
      <w:r w:rsidR="005853A9">
        <w:rPr>
          <w:kern w:val="0"/>
        </w:rPr>
        <w:t xml:space="preserve"> and </w:t>
      </w:r>
      <w:r>
        <w:rPr>
          <w:kern w:val="0"/>
        </w:rPr>
        <w:t>Portugal, have been analyzed Under a bibliometric approach. Thus, Within</w:t>
      </w:r>
      <w:r w:rsidR="003A1917">
        <w:rPr>
          <w:kern w:val="0"/>
        </w:rPr>
        <w:t xml:space="preserve"> the </w:t>
      </w:r>
      <w:r>
        <w:rPr>
          <w:kern w:val="0"/>
        </w:rPr>
        <w:t xml:space="preserve">document type </w:t>
      </w:r>
      <w:r w:rsidR="00B5188C">
        <w:rPr>
          <w:kern w:val="0"/>
        </w:rPr>
        <w:t>“</w:t>
      </w:r>
      <w:r>
        <w:rPr>
          <w:kern w:val="0"/>
        </w:rPr>
        <w:t>Journal Article or Review</w:t>
      </w:r>
      <w:r w:rsidR="00B5188C">
        <w:rPr>
          <w:kern w:val="0"/>
        </w:rPr>
        <w:t>”</w:t>
      </w:r>
      <w:r>
        <w:rPr>
          <w:kern w:val="0"/>
        </w:rPr>
        <w:t xml:space="preserve"> 1423 papers have been collected</w:t>
      </w:r>
      <w:r w:rsidR="005853A9">
        <w:rPr>
          <w:kern w:val="0"/>
        </w:rPr>
        <w:t xml:space="preserve"> and </w:t>
      </w:r>
      <w:r>
        <w:rPr>
          <w:kern w:val="0"/>
        </w:rPr>
        <w:t>Studied from all institutional perspective; different bibliometric indicators (number</w:t>
      </w:r>
      <w:r w:rsidR="00427468">
        <w:rPr>
          <w:kern w:val="0"/>
        </w:rPr>
        <w:t xml:space="preserve"> of </w:t>
      </w:r>
      <w:r>
        <w:rPr>
          <w:kern w:val="0"/>
        </w:rPr>
        <w:t>documents weighted impact factor, relative impact factor</w:t>
      </w:r>
      <w:r w:rsidR="005853A9">
        <w:rPr>
          <w:kern w:val="0"/>
        </w:rPr>
        <w:t xml:space="preserve"> and </w:t>
      </w:r>
      <w:r w:rsidR="003A1917">
        <w:rPr>
          <w:kern w:val="0"/>
        </w:rPr>
        <w:t xml:space="preserve">the </w:t>
      </w:r>
      <w:r>
        <w:rPr>
          <w:kern w:val="0"/>
        </w:rPr>
        <w:t>ratio between</w:t>
      </w:r>
      <w:r w:rsidR="003A1917">
        <w:rPr>
          <w:kern w:val="0"/>
        </w:rPr>
        <w:t xml:space="preserve"> the </w:t>
      </w:r>
      <w:r>
        <w:rPr>
          <w:kern w:val="0"/>
        </w:rPr>
        <w:t>number</w:t>
      </w:r>
      <w:r w:rsidR="00427468">
        <w:rPr>
          <w:kern w:val="0"/>
        </w:rPr>
        <w:t xml:space="preserve"> of </w:t>
      </w:r>
      <w:r>
        <w:rPr>
          <w:kern w:val="0"/>
        </w:rPr>
        <w:lastRenderedPageBreak/>
        <w:t>citations</w:t>
      </w:r>
      <w:r w:rsidR="005853A9">
        <w:rPr>
          <w:kern w:val="0"/>
        </w:rPr>
        <w:t xml:space="preserve"> and </w:t>
      </w:r>
      <w:r w:rsidR="003A1917">
        <w:rPr>
          <w:kern w:val="0"/>
        </w:rPr>
        <w:t xml:space="preserve">the </w:t>
      </w:r>
      <w:r>
        <w:rPr>
          <w:kern w:val="0"/>
        </w:rPr>
        <w:t>number</w:t>
      </w:r>
      <w:r w:rsidR="00427468">
        <w:rPr>
          <w:kern w:val="0"/>
        </w:rPr>
        <w:t xml:space="preserve"> of </w:t>
      </w:r>
      <w:r>
        <w:rPr>
          <w:kern w:val="0"/>
        </w:rPr>
        <w:t>documents) have been elaborated. Among</w:t>
      </w:r>
      <w:r w:rsidR="003A1917">
        <w:rPr>
          <w:kern w:val="0"/>
        </w:rPr>
        <w:t xml:space="preserve"> the </w:t>
      </w:r>
      <w:r>
        <w:rPr>
          <w:kern w:val="0"/>
        </w:rPr>
        <w:t>research centers showing a scientific highlight</w:t>
      </w:r>
      <w:r w:rsidR="003A1917">
        <w:rPr>
          <w:kern w:val="0"/>
        </w:rPr>
        <w:t xml:space="preserve"> the </w:t>
      </w:r>
      <w:r>
        <w:rPr>
          <w:kern w:val="0"/>
        </w:rPr>
        <w:t>most relevant is</w:t>
      </w:r>
      <w:r w:rsidR="003A1917">
        <w:rPr>
          <w:kern w:val="0"/>
        </w:rPr>
        <w:t xml:space="preserve"> the </w:t>
      </w:r>
      <w:r>
        <w:rPr>
          <w:kern w:val="0"/>
        </w:rPr>
        <w:t>University</w:t>
      </w:r>
      <w:r w:rsidR="00427468">
        <w:rPr>
          <w:kern w:val="0"/>
        </w:rPr>
        <w:t xml:space="preserve"> of </w:t>
      </w:r>
      <w:r>
        <w:rPr>
          <w:kern w:val="0"/>
        </w:rPr>
        <w:t>Aveiro (Portugal)</w:t>
      </w:r>
      <w:r w:rsidR="005853A9">
        <w:rPr>
          <w:kern w:val="0"/>
        </w:rPr>
        <w:t xml:space="preserve"> and </w:t>
      </w:r>
      <w:r w:rsidR="003A1917">
        <w:rPr>
          <w:kern w:val="0"/>
        </w:rPr>
        <w:t xml:space="preserve">the </w:t>
      </w:r>
      <w:r>
        <w:rPr>
          <w:kern w:val="0"/>
        </w:rPr>
        <w:t>Universidade Federal de Sao Carlos (Brazil), followed by</w:t>
      </w:r>
      <w:r w:rsidR="003A1917">
        <w:rPr>
          <w:kern w:val="0"/>
        </w:rPr>
        <w:t xml:space="preserve"> the </w:t>
      </w:r>
      <w:r>
        <w:rPr>
          <w:kern w:val="0"/>
        </w:rPr>
        <w:t>Universidade Estadual Paulista</w:t>
      </w:r>
      <w:r w:rsidR="005853A9">
        <w:rPr>
          <w:kern w:val="0"/>
        </w:rPr>
        <w:t xml:space="preserve"> and </w:t>
      </w:r>
      <w:r>
        <w:rPr>
          <w:kern w:val="0"/>
        </w:rPr>
        <w:t>Universidade de Sao Paulo, both belonging to Brazil</w:t>
      </w:r>
      <w:r w:rsidR="00A37C1D">
        <w:rPr>
          <w:kern w:val="0"/>
        </w:rPr>
        <w:t>. The</w:t>
      </w:r>
      <w:r w:rsidR="003A1917">
        <w:rPr>
          <w:kern w:val="0"/>
        </w:rPr>
        <w:t xml:space="preserve"> </w:t>
      </w:r>
      <w:r>
        <w:rPr>
          <w:kern w:val="0"/>
        </w:rPr>
        <w:t>latter is also notable for its high weighted impact factor. Regarding publications,</w:t>
      </w:r>
      <w:r w:rsidR="003A1917">
        <w:rPr>
          <w:kern w:val="0"/>
        </w:rPr>
        <w:t xml:space="preserve"> the </w:t>
      </w:r>
      <w:r>
        <w:rPr>
          <w:kern w:val="0"/>
        </w:rPr>
        <w:t>Journal</w:t>
      </w:r>
      <w:r w:rsidR="00427468">
        <w:rPr>
          <w:kern w:val="0"/>
        </w:rPr>
        <w:t xml:space="preserve"> of </w:t>
      </w:r>
      <w:r>
        <w:rPr>
          <w:kern w:val="0"/>
        </w:rPr>
        <w:t>Non-Crystalline Solids ranked first, by bringing together</w:t>
      </w:r>
      <w:r w:rsidR="003A1917">
        <w:rPr>
          <w:kern w:val="0"/>
        </w:rPr>
        <w:t xml:space="preserve"> the </w:t>
      </w:r>
      <w:r>
        <w:rPr>
          <w:kern w:val="0"/>
        </w:rPr>
        <w:t>20.45%</w:t>
      </w:r>
      <w:r w:rsidR="00427468">
        <w:rPr>
          <w:kern w:val="0"/>
        </w:rPr>
        <w:t xml:space="preserve"> of </w:t>
      </w:r>
      <w:r>
        <w:rPr>
          <w:kern w:val="0"/>
        </w:rPr>
        <w:t>scientific production in Latin America</w:t>
      </w:r>
      <w:r w:rsidR="005853A9">
        <w:rPr>
          <w:kern w:val="0"/>
        </w:rPr>
        <w:t xml:space="preserve"> and </w:t>
      </w:r>
      <w:r>
        <w:rPr>
          <w:kern w:val="0"/>
        </w:rPr>
        <w:t>Portugal published in</w:t>
      </w:r>
      <w:r w:rsidR="003A1917">
        <w:rPr>
          <w:kern w:val="0"/>
        </w:rPr>
        <w:t xml:space="preserve"> the </w:t>
      </w:r>
      <w:r>
        <w:rPr>
          <w:kern w:val="0"/>
        </w:rPr>
        <w:t>JCR (1423 items). However, if data from Spain were collected,</w:t>
      </w:r>
      <w:r w:rsidR="003A1917">
        <w:rPr>
          <w:kern w:val="0"/>
        </w:rPr>
        <w:t xml:space="preserve"> the </w:t>
      </w:r>
      <w:r>
        <w:rPr>
          <w:kern w:val="0"/>
        </w:rPr>
        <w:t>magazine Bulletin</w:t>
      </w:r>
      <w:r w:rsidR="00427468">
        <w:rPr>
          <w:kern w:val="0"/>
        </w:rPr>
        <w:t xml:space="preserve"> of </w:t>
      </w:r>
      <w:r w:rsidR="003A1917">
        <w:rPr>
          <w:kern w:val="0"/>
        </w:rPr>
        <w:t xml:space="preserve">the </w:t>
      </w:r>
      <w:r>
        <w:rPr>
          <w:kern w:val="0"/>
        </w:rPr>
        <w:t>Spanish Society</w:t>
      </w:r>
      <w:r w:rsidR="00427468">
        <w:rPr>
          <w:kern w:val="0"/>
        </w:rPr>
        <w:t xml:space="preserve"> of </w:t>
      </w:r>
      <w:r>
        <w:rPr>
          <w:kern w:val="0"/>
        </w:rPr>
        <w:t>Ceramics</w:t>
      </w:r>
      <w:r w:rsidR="005853A9">
        <w:rPr>
          <w:kern w:val="0"/>
        </w:rPr>
        <w:t xml:space="preserve"> and </w:t>
      </w:r>
      <w:r>
        <w:rPr>
          <w:kern w:val="0"/>
        </w:rPr>
        <w:t>Glass, it is</w:t>
      </w:r>
      <w:r w:rsidR="003A1917">
        <w:rPr>
          <w:kern w:val="0"/>
        </w:rPr>
        <w:t xml:space="preserve"> the </w:t>
      </w:r>
      <w:r>
        <w:rPr>
          <w:kern w:val="0"/>
        </w:rPr>
        <w:t>most relevant, taking into account</w:t>
      </w:r>
      <w:r w:rsidR="003A1917">
        <w:rPr>
          <w:kern w:val="0"/>
        </w:rPr>
        <w:t xml:space="preserve"> the </w:t>
      </w:r>
      <w:r>
        <w:rPr>
          <w:kern w:val="0"/>
        </w:rPr>
        <w:t>higher number</w:t>
      </w:r>
      <w:r w:rsidR="00427468">
        <w:rPr>
          <w:kern w:val="0"/>
        </w:rPr>
        <w:t xml:space="preserve"> of </w:t>
      </w:r>
      <w:r>
        <w:rPr>
          <w:kern w:val="0"/>
        </w:rPr>
        <w:t>articles (524), that represents for 19.68%</w:t>
      </w:r>
      <w:r w:rsidR="00427468">
        <w:rPr>
          <w:kern w:val="0"/>
        </w:rPr>
        <w:t xml:space="preserve"> of </w:t>
      </w:r>
      <w:r>
        <w:rPr>
          <w:kern w:val="0"/>
        </w:rPr>
        <w:t xml:space="preserve">total records founded (2663). It has also confirmed a remarkable international collaboration, mainly with Spain, France, Brazil, </w:t>
      </w:r>
      <w:r w:rsidR="00D5664A">
        <w:rPr>
          <w:kern w:val="0"/>
        </w:rPr>
        <w:t>USA</w:t>
      </w:r>
      <w:r>
        <w:rPr>
          <w:kern w:val="0"/>
        </w:rPr>
        <w:t>, England</w:t>
      </w:r>
      <w:r w:rsidR="005853A9">
        <w:rPr>
          <w:kern w:val="0"/>
        </w:rPr>
        <w:t xml:space="preserve"> and </w:t>
      </w:r>
      <w:r>
        <w:rPr>
          <w:kern w:val="0"/>
        </w:rPr>
        <w:t>Portugal,</w:t>
      </w:r>
      <w:r w:rsidR="005853A9">
        <w:rPr>
          <w:kern w:val="0"/>
        </w:rPr>
        <w:t xml:space="preserve"> and </w:t>
      </w:r>
      <w:r>
        <w:rPr>
          <w:kern w:val="0"/>
        </w:rPr>
        <w:t>highlighting</w:t>
      </w:r>
      <w:r w:rsidR="003A1917">
        <w:rPr>
          <w:kern w:val="0"/>
        </w:rPr>
        <w:t xml:space="preserve"> the </w:t>
      </w:r>
      <w:r>
        <w:rPr>
          <w:kern w:val="0"/>
        </w:rPr>
        <w:t>situation</w:t>
      </w:r>
      <w:r w:rsidR="00427468">
        <w:rPr>
          <w:kern w:val="0"/>
        </w:rPr>
        <w:t xml:space="preserve"> of </w:t>
      </w:r>
      <w:r w:rsidR="003A1917">
        <w:rPr>
          <w:kern w:val="0"/>
        </w:rPr>
        <w:t xml:space="preserve">the </w:t>
      </w:r>
      <w:r>
        <w:rPr>
          <w:kern w:val="0"/>
        </w:rPr>
        <w:t>latter country, carrying out 49.11%</w:t>
      </w:r>
      <w:r w:rsidR="00427468">
        <w:rPr>
          <w:kern w:val="0"/>
        </w:rPr>
        <w:t xml:space="preserve"> of </w:t>
      </w:r>
      <w:r>
        <w:rPr>
          <w:kern w:val="0"/>
        </w:rPr>
        <w:t>scientific production analyzed in international collaboration. Finally, it was found that</w:t>
      </w:r>
      <w:r w:rsidR="003A1917">
        <w:rPr>
          <w:kern w:val="0"/>
        </w:rPr>
        <w:t xml:space="preserve"> the </w:t>
      </w:r>
      <w:r>
        <w:rPr>
          <w:kern w:val="0"/>
        </w:rPr>
        <w:t>annual impact factor</w:t>
      </w:r>
      <w:r w:rsidR="00427468">
        <w:rPr>
          <w:kern w:val="0"/>
        </w:rPr>
        <w:t xml:space="preserve"> of </w:t>
      </w:r>
      <w:r>
        <w:rPr>
          <w:kern w:val="0"/>
        </w:rPr>
        <w:t>scientific publications has been a growing trend in all Countries</w:t>
      </w:r>
      <w:r w:rsidR="005853A9">
        <w:rPr>
          <w:kern w:val="0"/>
        </w:rPr>
        <w:t xml:space="preserve"> and </w:t>
      </w:r>
      <w:r>
        <w:rPr>
          <w:kern w:val="0"/>
        </w:rPr>
        <w:t>particularly, in Brazil.</w:t>
      </w:r>
    </w:p>
    <w:p w:rsidR="00DB4176" w:rsidRDefault="00DB4176" w:rsidP="00DB4176">
      <w:pPr>
        <w:pStyle w:val="a3"/>
        <w:rPr>
          <w:kern w:val="0"/>
        </w:rPr>
      </w:pPr>
      <w:r>
        <w:rPr>
          <w:kern w:val="0"/>
        </w:rPr>
        <w:t>Keywords: Articles, Bibliometric, Bibliometric Analysis, Bibliometric Indicators, Ceramic Materials, Ceramic Research Institutions, Citation, Citations, Collaboration, Cooperation, Database, France, Impact, Impact Factor, Indicators, International Collaboration, Journals, Latin America, Latinoamerican, Publications, Research, Research Centres</w:t>
      </w:r>
      <w:r w:rsidR="00D5664A">
        <w:rPr>
          <w:kern w:val="0"/>
        </w:rPr>
        <w:t>, SCI,</w:t>
      </w:r>
      <w:r>
        <w:rPr>
          <w:kern w:val="0"/>
        </w:rPr>
        <w:t xml:space="preserve"> Science, Scientific Production, Scientific Publications, Spain, Universities, </w:t>
      </w:r>
      <w:r w:rsidR="00D5664A">
        <w:rPr>
          <w:kern w:val="0"/>
        </w:rPr>
        <w:t>USA</w:t>
      </w:r>
    </w:p>
    <w:p w:rsidR="00DB4176" w:rsidRDefault="00DB4176" w:rsidP="00DB4176">
      <w:pPr>
        <w:pStyle w:val="a3"/>
        <w:rPr>
          <w:kern w:val="0"/>
        </w:rPr>
      </w:pPr>
      <w:r>
        <w:rPr>
          <w:rFonts w:hint="eastAsia"/>
          <w:kern w:val="0"/>
        </w:rPr>
        <w:t xml:space="preserve">? </w:t>
      </w:r>
      <w:r>
        <w:rPr>
          <w:kern w:val="0"/>
        </w:rPr>
        <w:t>Navarro, J.M.F. (2010</w:t>
      </w:r>
      <w:r w:rsidR="00F42EAC">
        <w:rPr>
          <w:kern w:val="0"/>
        </w:rPr>
        <w:t>), The</w:t>
      </w:r>
      <w:r w:rsidR="003A1917">
        <w:rPr>
          <w:kern w:val="0"/>
        </w:rPr>
        <w:t xml:space="preserve"> </w:t>
      </w:r>
      <w:r>
        <w:rPr>
          <w:kern w:val="0"/>
        </w:rPr>
        <w:t>Spanish Society</w:t>
      </w:r>
      <w:r w:rsidR="00427468">
        <w:rPr>
          <w:kern w:val="0"/>
        </w:rPr>
        <w:t xml:space="preserve"> of </w:t>
      </w:r>
      <w:r>
        <w:rPr>
          <w:kern w:val="0"/>
        </w:rPr>
        <w:t>Ceramics</w:t>
      </w:r>
      <w:r w:rsidR="005853A9">
        <w:rPr>
          <w:kern w:val="0"/>
        </w:rPr>
        <w:t xml:space="preserve"> and </w:t>
      </w:r>
      <w:r>
        <w:rPr>
          <w:kern w:val="0"/>
        </w:rPr>
        <w:t xml:space="preserve">Glass along half a century. </w:t>
      </w:r>
      <w:r w:rsidRPr="00930373">
        <w:rPr>
          <w:i/>
        </w:rPr>
        <w:t>Boletín de la Sociedad Española de Cerámica y Vidrio</w:t>
      </w:r>
      <w:r>
        <w:rPr>
          <w:kern w:val="0"/>
        </w:rPr>
        <w:t xml:space="preserve">, </w:t>
      </w:r>
      <w:r>
        <w:rPr>
          <w:b/>
          <w:bCs/>
          <w:kern w:val="0"/>
        </w:rPr>
        <w:t>49</w:t>
      </w:r>
      <w:r>
        <w:rPr>
          <w:kern w:val="0"/>
        </w:rPr>
        <w:t xml:space="preserve"> (6), 377-392.</w:t>
      </w:r>
    </w:p>
    <w:p w:rsidR="00DB4176" w:rsidRPr="001A3D2B" w:rsidRDefault="00DB4176" w:rsidP="00DB4176">
      <w:pPr>
        <w:pStyle w:val="a3"/>
        <w:rPr>
          <w:kern w:val="0"/>
        </w:rPr>
      </w:pPr>
      <w:r>
        <w:rPr>
          <w:rFonts w:hint="eastAsia"/>
          <w:kern w:val="0"/>
        </w:rPr>
        <w:t xml:space="preserve">Full Text: </w:t>
      </w:r>
      <w:hyperlink r:id="rId1788" w:history="1">
        <w:r w:rsidRPr="00AD2B7A">
          <w:rPr>
            <w:rStyle w:val="a5"/>
            <w:kern w:val="0"/>
          </w:rPr>
          <w:t>2010\Bol Soc Esp Cer Vid49, 377.pdf</w:t>
        </w:r>
      </w:hyperlink>
    </w:p>
    <w:p w:rsidR="00DB4176" w:rsidRDefault="00DB4176" w:rsidP="00DB4176">
      <w:pPr>
        <w:pStyle w:val="a3"/>
        <w:rPr>
          <w:kern w:val="0"/>
        </w:rPr>
      </w:pPr>
      <w:r>
        <w:rPr>
          <w:kern w:val="0"/>
        </w:rPr>
        <w:t>Abstract:</w:t>
      </w:r>
      <w:r w:rsidR="003A1917">
        <w:rPr>
          <w:kern w:val="0"/>
        </w:rPr>
        <w:t xml:space="preserve"> the </w:t>
      </w:r>
      <w:r>
        <w:rPr>
          <w:kern w:val="0"/>
        </w:rPr>
        <w:t>double objective</w:t>
      </w:r>
      <w:r w:rsidR="00427468">
        <w:rPr>
          <w:kern w:val="0"/>
        </w:rPr>
        <w:t xml:space="preserve"> of </w:t>
      </w:r>
      <w:r>
        <w:rPr>
          <w:kern w:val="0"/>
        </w:rPr>
        <w:t>this lecture is to commemorate, on</w:t>
      </w:r>
      <w:r w:rsidR="003A1917">
        <w:rPr>
          <w:kern w:val="0"/>
        </w:rPr>
        <w:t xml:space="preserve"> the </w:t>
      </w:r>
      <w:r>
        <w:rPr>
          <w:kern w:val="0"/>
        </w:rPr>
        <w:t>occasion</w:t>
      </w:r>
      <w:r w:rsidR="00427468">
        <w:rPr>
          <w:kern w:val="0"/>
        </w:rPr>
        <w:t xml:space="preserve"> of </w:t>
      </w:r>
      <w:r>
        <w:rPr>
          <w:kern w:val="0"/>
        </w:rPr>
        <w:t>its golden jubilee,</w:t>
      </w:r>
      <w:r w:rsidR="003A1917">
        <w:rPr>
          <w:kern w:val="0"/>
        </w:rPr>
        <w:t xml:space="preserve"> the </w:t>
      </w:r>
      <w:r>
        <w:rPr>
          <w:kern w:val="0"/>
        </w:rPr>
        <w:t>work performed by</w:t>
      </w:r>
      <w:r w:rsidR="003A1917">
        <w:rPr>
          <w:kern w:val="0"/>
        </w:rPr>
        <w:t xml:space="preserve"> the </w:t>
      </w:r>
      <w:r>
        <w:rPr>
          <w:kern w:val="0"/>
        </w:rPr>
        <w:t>Spanish Society</w:t>
      </w:r>
      <w:r w:rsidR="00427468">
        <w:rPr>
          <w:kern w:val="0"/>
        </w:rPr>
        <w:t xml:space="preserve"> of </w:t>
      </w:r>
      <w:r>
        <w:rPr>
          <w:kern w:val="0"/>
        </w:rPr>
        <w:t>Ceramics</w:t>
      </w:r>
      <w:r w:rsidR="005853A9">
        <w:rPr>
          <w:kern w:val="0"/>
        </w:rPr>
        <w:t xml:space="preserve"> and </w:t>
      </w:r>
      <w:r>
        <w:rPr>
          <w:kern w:val="0"/>
        </w:rPr>
        <w:t>Glass</w:t>
      </w:r>
      <w:r w:rsidR="005853A9">
        <w:rPr>
          <w:kern w:val="0"/>
        </w:rPr>
        <w:t xml:space="preserve"> and </w:t>
      </w:r>
      <w:r>
        <w:rPr>
          <w:kern w:val="0"/>
        </w:rPr>
        <w:t>to pay a special homage to</w:t>
      </w:r>
      <w:r w:rsidR="003A1917">
        <w:rPr>
          <w:kern w:val="0"/>
        </w:rPr>
        <w:t xml:space="preserve"> the </w:t>
      </w:r>
      <w:r>
        <w:rPr>
          <w:kern w:val="0"/>
        </w:rPr>
        <w:t>memory</w:t>
      </w:r>
      <w:r w:rsidR="00427468">
        <w:rPr>
          <w:kern w:val="0"/>
        </w:rPr>
        <w:t xml:space="preserve"> of </w:t>
      </w:r>
      <w:r>
        <w:rPr>
          <w:kern w:val="0"/>
        </w:rPr>
        <w:t>its main promoter</w:t>
      </w:r>
      <w:r w:rsidR="005853A9">
        <w:rPr>
          <w:kern w:val="0"/>
        </w:rPr>
        <w:t xml:space="preserve"> and </w:t>
      </w:r>
      <w:r>
        <w:rPr>
          <w:kern w:val="0"/>
        </w:rPr>
        <w:t>supporter, Professor Antonio Garcia Verduch. Since its foundation in 1960</w:t>
      </w:r>
      <w:r w:rsidR="003A1917">
        <w:rPr>
          <w:kern w:val="0"/>
        </w:rPr>
        <w:t xml:space="preserve"> the </w:t>
      </w:r>
      <w:r>
        <w:rPr>
          <w:kern w:val="0"/>
        </w:rPr>
        <w:t>Society has contributed to join all</w:t>
      </w:r>
      <w:r w:rsidR="003A1917">
        <w:rPr>
          <w:kern w:val="0"/>
        </w:rPr>
        <w:t xml:space="preserve"> the </w:t>
      </w:r>
      <w:r>
        <w:rPr>
          <w:kern w:val="0"/>
        </w:rPr>
        <w:t>experts in ceramics</w:t>
      </w:r>
      <w:r w:rsidR="005853A9">
        <w:rPr>
          <w:kern w:val="0"/>
        </w:rPr>
        <w:t xml:space="preserve"> and </w:t>
      </w:r>
      <w:r>
        <w:rPr>
          <w:kern w:val="0"/>
        </w:rPr>
        <w:t>glass, as well as to promote</w:t>
      </w:r>
      <w:r w:rsidR="005853A9">
        <w:rPr>
          <w:kern w:val="0"/>
        </w:rPr>
        <w:t xml:space="preserve"> and </w:t>
      </w:r>
      <w:r>
        <w:rPr>
          <w:kern w:val="0"/>
        </w:rPr>
        <w:t>spread among them scientific</w:t>
      </w:r>
      <w:r w:rsidR="005853A9">
        <w:rPr>
          <w:kern w:val="0"/>
        </w:rPr>
        <w:t xml:space="preserve"> and </w:t>
      </w:r>
      <w:r>
        <w:rPr>
          <w:kern w:val="0"/>
        </w:rPr>
        <w:t>technical knowledge related to both areas, while adapting itself to</w:t>
      </w:r>
      <w:r w:rsidR="003A1917">
        <w:rPr>
          <w:kern w:val="0"/>
        </w:rPr>
        <w:t xml:space="preserve"> the </w:t>
      </w:r>
      <w:r>
        <w:rPr>
          <w:kern w:val="0"/>
        </w:rPr>
        <w:t>investigation trends</w:t>
      </w:r>
      <w:r w:rsidR="00427468">
        <w:rPr>
          <w:kern w:val="0"/>
        </w:rPr>
        <w:t xml:space="preserve"> of </w:t>
      </w:r>
      <w:r>
        <w:rPr>
          <w:kern w:val="0"/>
        </w:rPr>
        <w:t>each moment in time</w:t>
      </w:r>
      <w:r w:rsidR="005853A9">
        <w:rPr>
          <w:kern w:val="0"/>
        </w:rPr>
        <w:t xml:space="preserve"> and </w:t>
      </w:r>
      <w:r>
        <w:rPr>
          <w:kern w:val="0"/>
        </w:rPr>
        <w:t>to</w:t>
      </w:r>
      <w:r w:rsidR="003A1917">
        <w:rPr>
          <w:kern w:val="0"/>
        </w:rPr>
        <w:t xml:space="preserve"> the </w:t>
      </w:r>
      <w:r>
        <w:rPr>
          <w:kern w:val="0"/>
        </w:rPr>
        <w:t>interests</w:t>
      </w:r>
      <w:r w:rsidR="00427468">
        <w:rPr>
          <w:kern w:val="0"/>
        </w:rPr>
        <w:t xml:space="preserve"> of </w:t>
      </w:r>
      <w:r w:rsidR="003A1917">
        <w:rPr>
          <w:kern w:val="0"/>
        </w:rPr>
        <w:t xml:space="preserve">the </w:t>
      </w:r>
      <w:r>
        <w:rPr>
          <w:kern w:val="0"/>
        </w:rPr>
        <w:t>different industrial sectors. Along its half century</w:t>
      </w:r>
      <w:r w:rsidR="00427468">
        <w:rPr>
          <w:kern w:val="0"/>
        </w:rPr>
        <w:t xml:space="preserve"> of </w:t>
      </w:r>
      <w:r>
        <w:rPr>
          <w:kern w:val="0"/>
        </w:rPr>
        <w:t>history it has organized some hundred</w:t>
      </w:r>
      <w:r w:rsidR="005853A9">
        <w:rPr>
          <w:kern w:val="0"/>
        </w:rPr>
        <w:t xml:space="preserve"> and </w:t>
      </w:r>
      <w:r>
        <w:rPr>
          <w:kern w:val="0"/>
        </w:rPr>
        <w:t>twenty-five national congresses</w:t>
      </w:r>
      <w:r w:rsidR="005853A9">
        <w:rPr>
          <w:kern w:val="0"/>
        </w:rPr>
        <w:t xml:space="preserve"> and </w:t>
      </w:r>
      <w:r>
        <w:rPr>
          <w:kern w:val="0"/>
        </w:rPr>
        <w:t>specialized technical meetings</w:t>
      </w:r>
      <w:r w:rsidR="005853A9">
        <w:rPr>
          <w:kern w:val="0"/>
        </w:rPr>
        <w:t xml:space="preserve"> and </w:t>
      </w:r>
      <w:r>
        <w:rPr>
          <w:kern w:val="0"/>
        </w:rPr>
        <w:t>nine national congresses. It represents Spain in five international associations</w:t>
      </w:r>
      <w:r w:rsidR="00A37C1D">
        <w:rPr>
          <w:kern w:val="0"/>
        </w:rPr>
        <w:t>. The</w:t>
      </w:r>
      <w:r w:rsidR="003A1917">
        <w:rPr>
          <w:kern w:val="0"/>
        </w:rPr>
        <w:t xml:space="preserve"> </w:t>
      </w:r>
      <w:r>
        <w:rPr>
          <w:kern w:val="0"/>
        </w:rPr>
        <w:t>Society</w:t>
      </w:r>
      <w:r w:rsidR="00700038">
        <w:rPr>
          <w:kern w:val="0"/>
        </w:rPr>
        <w:t>’</w:t>
      </w:r>
      <w:r w:rsidR="00C13DDC">
        <w:rPr>
          <w:kern w:val="0"/>
        </w:rPr>
        <w:t>s</w:t>
      </w:r>
      <w:r>
        <w:rPr>
          <w:kern w:val="0"/>
        </w:rPr>
        <w:t xml:space="preserve"> main contribution, together with its international activities, has been</w:t>
      </w:r>
      <w:r w:rsidR="003A1917">
        <w:rPr>
          <w:kern w:val="0"/>
        </w:rPr>
        <w:t xml:space="preserve"> the </w:t>
      </w:r>
      <w:r>
        <w:rPr>
          <w:kern w:val="0"/>
        </w:rPr>
        <w:t>uninterrupted publication</w:t>
      </w:r>
      <w:r w:rsidR="00427468">
        <w:rPr>
          <w:kern w:val="0"/>
        </w:rPr>
        <w:t xml:space="preserve"> of </w:t>
      </w:r>
      <w:r>
        <w:rPr>
          <w:kern w:val="0"/>
        </w:rPr>
        <w:t>its bimonthly magazine,</w:t>
      </w:r>
      <w:r w:rsidR="003A1917">
        <w:rPr>
          <w:kern w:val="0"/>
        </w:rPr>
        <w:t xml:space="preserve"> the </w:t>
      </w:r>
      <w:r>
        <w:rPr>
          <w:kern w:val="0"/>
        </w:rPr>
        <w:t>Society</w:t>
      </w:r>
      <w:r w:rsidR="00700038">
        <w:rPr>
          <w:kern w:val="0"/>
        </w:rPr>
        <w:t>’</w:t>
      </w:r>
      <w:r w:rsidR="00C13DDC">
        <w:rPr>
          <w:kern w:val="0"/>
        </w:rPr>
        <w:t>s</w:t>
      </w:r>
      <w:r>
        <w:rPr>
          <w:kern w:val="0"/>
        </w:rPr>
        <w:t xml:space="preserve"> Bulletin, which since 1999 is included in</w:t>
      </w:r>
      <w:r w:rsidR="003A1917">
        <w:rPr>
          <w:kern w:val="0"/>
        </w:rPr>
        <w:t xml:space="preserve"> the </w:t>
      </w:r>
      <w:r>
        <w:rPr>
          <w:kern w:val="0"/>
        </w:rPr>
        <w:t>database</w:t>
      </w:r>
      <w:r w:rsidR="00427468">
        <w:rPr>
          <w:kern w:val="0"/>
        </w:rPr>
        <w:t xml:space="preserve"> of </w:t>
      </w:r>
      <w:r w:rsidR="003A1917">
        <w:rPr>
          <w:kern w:val="0"/>
        </w:rPr>
        <w:t xml:space="preserve">the </w:t>
      </w:r>
      <w:r>
        <w:rPr>
          <w:kern w:val="0"/>
        </w:rPr>
        <w:t>Science Citation index. Furthermore,</w:t>
      </w:r>
      <w:r w:rsidR="003A1917">
        <w:rPr>
          <w:kern w:val="0"/>
        </w:rPr>
        <w:t xml:space="preserve"> the </w:t>
      </w:r>
      <w:r>
        <w:rPr>
          <w:kern w:val="0"/>
        </w:rPr>
        <w:t xml:space="preserve">Society keeps a permanent relationship with </w:t>
      </w:r>
      <w:r>
        <w:rPr>
          <w:kern w:val="0"/>
        </w:rPr>
        <w:lastRenderedPageBreak/>
        <w:t>investigation centres, universities, museums, technicians</w:t>
      </w:r>
      <w:r w:rsidR="00700038">
        <w:rPr>
          <w:kern w:val="0"/>
        </w:rPr>
        <w:t>’</w:t>
      </w:r>
      <w:r w:rsidR="005853A9">
        <w:rPr>
          <w:kern w:val="0"/>
        </w:rPr>
        <w:t xml:space="preserve"> and </w:t>
      </w:r>
      <w:r>
        <w:rPr>
          <w:kern w:val="0"/>
        </w:rPr>
        <w:t>manufacturers</w:t>
      </w:r>
      <w:r w:rsidR="00700038">
        <w:rPr>
          <w:kern w:val="0"/>
        </w:rPr>
        <w:t>’</w:t>
      </w:r>
      <w:r>
        <w:rPr>
          <w:kern w:val="0"/>
        </w:rPr>
        <w:t xml:space="preserve"> associations</w:t>
      </w:r>
      <w:r w:rsidR="005853A9">
        <w:rPr>
          <w:kern w:val="0"/>
        </w:rPr>
        <w:t xml:space="preserve"> and </w:t>
      </w:r>
      <w:r>
        <w:rPr>
          <w:kern w:val="0"/>
        </w:rPr>
        <w:t>fairground institutions. As a sign</w:t>
      </w:r>
      <w:r w:rsidR="00427468">
        <w:rPr>
          <w:kern w:val="0"/>
        </w:rPr>
        <w:t xml:space="preserve"> of </w:t>
      </w:r>
      <w:r>
        <w:rPr>
          <w:kern w:val="0"/>
        </w:rPr>
        <w:t>its promotion</w:t>
      </w:r>
      <w:r w:rsidR="00427468">
        <w:rPr>
          <w:kern w:val="0"/>
        </w:rPr>
        <w:t xml:space="preserve"> of </w:t>
      </w:r>
      <w:r>
        <w:rPr>
          <w:kern w:val="0"/>
        </w:rPr>
        <w:t>technical development,</w:t>
      </w:r>
      <w:r w:rsidR="003A1917">
        <w:rPr>
          <w:kern w:val="0"/>
        </w:rPr>
        <w:t xml:space="preserve"> the </w:t>
      </w:r>
      <w:r>
        <w:rPr>
          <w:kern w:val="0"/>
        </w:rPr>
        <w:t>Society grants every year since 1977 its Alfa de Oro Awards to</w:t>
      </w:r>
      <w:r w:rsidR="003A1917">
        <w:rPr>
          <w:kern w:val="0"/>
        </w:rPr>
        <w:t xml:space="preserve"> the </w:t>
      </w:r>
      <w:r>
        <w:rPr>
          <w:kern w:val="0"/>
        </w:rPr>
        <w:t>most outstanding industrial products shown in</w:t>
      </w:r>
      <w:r w:rsidR="003A1917">
        <w:rPr>
          <w:kern w:val="0"/>
        </w:rPr>
        <w:t xml:space="preserve"> the </w:t>
      </w:r>
      <w:r>
        <w:rPr>
          <w:kern w:val="0"/>
        </w:rPr>
        <w:t>Valencia Fair, in order to highlight quality, technological innovation</w:t>
      </w:r>
      <w:r w:rsidR="005853A9">
        <w:rPr>
          <w:kern w:val="0"/>
        </w:rPr>
        <w:t xml:space="preserve"> and </w:t>
      </w:r>
      <w:r>
        <w:rPr>
          <w:kern w:val="0"/>
        </w:rPr>
        <w:t>design. In 1999</w:t>
      </w:r>
      <w:r w:rsidR="003A1917">
        <w:rPr>
          <w:kern w:val="0"/>
        </w:rPr>
        <w:t xml:space="preserve"> the </w:t>
      </w:r>
      <w:r>
        <w:rPr>
          <w:kern w:val="0"/>
        </w:rPr>
        <w:t>Society</w:t>
      </w:r>
      <w:r w:rsidR="00700038">
        <w:rPr>
          <w:kern w:val="0"/>
        </w:rPr>
        <w:t>’</w:t>
      </w:r>
      <w:r w:rsidR="00C13DDC">
        <w:rPr>
          <w:kern w:val="0"/>
        </w:rPr>
        <w:t>s</w:t>
      </w:r>
      <w:r>
        <w:rPr>
          <w:kern w:val="0"/>
        </w:rPr>
        <w:t xml:space="preserve"> Electroceramics group created</w:t>
      </w:r>
      <w:r w:rsidR="003A1917">
        <w:rPr>
          <w:kern w:val="0"/>
        </w:rPr>
        <w:t xml:space="preserve"> the </w:t>
      </w:r>
      <w:r>
        <w:rPr>
          <w:kern w:val="0"/>
        </w:rPr>
        <w:t>Epsilon de Oro Awards which are granted every two years to</w:t>
      </w:r>
      <w:r w:rsidR="003A1917">
        <w:rPr>
          <w:kern w:val="0"/>
        </w:rPr>
        <w:t xml:space="preserve"> the </w:t>
      </w:r>
      <w:r>
        <w:rPr>
          <w:kern w:val="0"/>
        </w:rPr>
        <w:t>people or institutions that have produced</w:t>
      </w:r>
      <w:r w:rsidR="003A1917">
        <w:rPr>
          <w:kern w:val="0"/>
        </w:rPr>
        <w:t xml:space="preserve"> the </w:t>
      </w:r>
      <w:r>
        <w:rPr>
          <w:kern w:val="0"/>
        </w:rPr>
        <w:t>main scientific contribution in a given field.</w:t>
      </w:r>
    </w:p>
    <w:p w:rsidR="00DB4176" w:rsidRDefault="00DB4176" w:rsidP="00DB4176">
      <w:pPr>
        <w:pStyle w:val="a3"/>
        <w:rPr>
          <w:kern w:val="0"/>
        </w:rPr>
      </w:pPr>
      <w:r>
        <w:rPr>
          <w:kern w:val="0"/>
        </w:rPr>
        <w:t>Keywords: Ceramic, Ceramic Society, Database, Design, Development, Experts, Field, Glass, History, Index, Innovation, Institutions, International, Investigation, Knowledge, Memory, Permanent, Promotion, Publication, Quality, Spain, Technological Innovation, Trends, Universities, Work</w:t>
      </w:r>
    </w:p>
    <w:p w:rsidR="004E4ABE" w:rsidRDefault="004E4ABE" w:rsidP="004E4ABE">
      <w:pPr>
        <w:pStyle w:val="a3"/>
        <w:rPr>
          <w:kern w:val="0"/>
        </w:rPr>
      </w:pPr>
      <w:r>
        <w:rPr>
          <w:rFonts w:hint="eastAsia"/>
          <w:kern w:val="0"/>
        </w:rPr>
        <w:t xml:space="preserve">? </w:t>
      </w:r>
      <w:r>
        <w:rPr>
          <w:kern w:val="0"/>
        </w:rPr>
        <w:t>Peña-Poza, J., García-Heras, M.</w:t>
      </w:r>
      <w:r w:rsidR="005853A9">
        <w:rPr>
          <w:kern w:val="0"/>
        </w:rPr>
        <w:t xml:space="preserve"> and </w:t>
      </w:r>
      <w:r>
        <w:rPr>
          <w:kern w:val="0"/>
        </w:rPr>
        <w:t>Villegas, M.A. (2011</w:t>
      </w:r>
      <w:r w:rsidR="00F42EAC">
        <w:rPr>
          <w:kern w:val="0"/>
        </w:rPr>
        <w:t>), The</w:t>
      </w:r>
      <w:r w:rsidR="003A1917">
        <w:rPr>
          <w:kern w:val="0"/>
        </w:rPr>
        <w:t xml:space="preserve"> </w:t>
      </w:r>
      <w:r>
        <w:rPr>
          <w:kern w:val="0"/>
        </w:rPr>
        <w:t>archaeometric study</w:t>
      </w:r>
      <w:r w:rsidR="00427468">
        <w:rPr>
          <w:kern w:val="0"/>
        </w:rPr>
        <w:t xml:space="preserve"> of </w:t>
      </w:r>
      <w:r>
        <w:rPr>
          <w:kern w:val="0"/>
        </w:rPr>
        <w:t>ceramic materials in JCR journals</w:t>
      </w:r>
      <w:r w:rsidR="005853A9">
        <w:rPr>
          <w:kern w:val="0"/>
        </w:rPr>
        <w:t xml:space="preserve"> and </w:t>
      </w:r>
      <w:r>
        <w:rPr>
          <w:kern w:val="0"/>
        </w:rPr>
        <w:t>conference proceedings during</w:t>
      </w:r>
      <w:r w:rsidR="003A1917">
        <w:rPr>
          <w:kern w:val="0"/>
        </w:rPr>
        <w:t xml:space="preserve"> the </w:t>
      </w:r>
      <w:r>
        <w:rPr>
          <w:kern w:val="0"/>
        </w:rPr>
        <w:t xml:space="preserve">last decade (2000-2010). </w:t>
      </w:r>
      <w:r w:rsidR="000B506C" w:rsidRPr="00930373">
        <w:rPr>
          <w:i/>
        </w:rPr>
        <w:t>Boletín de la Sociedad Española de Cerámica y Vidrio</w:t>
      </w:r>
      <w:r>
        <w:rPr>
          <w:kern w:val="0"/>
        </w:rPr>
        <w:t xml:space="preserve">, </w:t>
      </w:r>
      <w:r>
        <w:rPr>
          <w:b/>
          <w:bCs/>
          <w:kern w:val="0"/>
        </w:rPr>
        <w:t>50</w:t>
      </w:r>
      <w:r>
        <w:rPr>
          <w:kern w:val="0"/>
        </w:rPr>
        <w:t xml:space="preserve"> (4), 185-192.</w:t>
      </w:r>
    </w:p>
    <w:p w:rsidR="004E4ABE" w:rsidRPr="001A3D2B" w:rsidRDefault="004E4ABE" w:rsidP="004E4ABE">
      <w:pPr>
        <w:pStyle w:val="a3"/>
        <w:rPr>
          <w:kern w:val="0"/>
        </w:rPr>
      </w:pPr>
      <w:r>
        <w:rPr>
          <w:rFonts w:hint="eastAsia"/>
          <w:kern w:val="0"/>
        </w:rPr>
        <w:t xml:space="preserve">Full Text: </w:t>
      </w:r>
      <w:hyperlink r:id="rId1789" w:history="1">
        <w:r w:rsidRPr="00117BBE">
          <w:rPr>
            <w:rStyle w:val="a5"/>
            <w:kern w:val="0"/>
          </w:rPr>
          <w:t>2011\Bol Soc Esp Cer Vid50, 185.pdf</w:t>
        </w:r>
      </w:hyperlink>
    </w:p>
    <w:p w:rsidR="004E4ABE" w:rsidRDefault="004E4ABE" w:rsidP="004E4ABE">
      <w:pPr>
        <w:pStyle w:val="a3"/>
        <w:rPr>
          <w:kern w:val="0"/>
        </w:rPr>
      </w:pPr>
      <w:r>
        <w:rPr>
          <w:kern w:val="0"/>
        </w:rPr>
        <w:t>Abstract: Ceramic is</w:t>
      </w:r>
      <w:r w:rsidR="003A1917">
        <w:rPr>
          <w:kern w:val="0"/>
        </w:rPr>
        <w:t xml:space="preserve"> the </w:t>
      </w:r>
      <w:r>
        <w:rPr>
          <w:kern w:val="0"/>
        </w:rPr>
        <w:t>oldest synthetic material created by</w:t>
      </w:r>
      <w:r w:rsidR="003A1917">
        <w:rPr>
          <w:kern w:val="0"/>
        </w:rPr>
        <w:t xml:space="preserve"> the </w:t>
      </w:r>
      <w:r>
        <w:rPr>
          <w:kern w:val="0"/>
        </w:rPr>
        <w:t>mankind</w:t>
      </w:r>
      <w:r w:rsidR="005853A9">
        <w:rPr>
          <w:kern w:val="0"/>
        </w:rPr>
        <w:t xml:space="preserve"> and </w:t>
      </w:r>
      <w:r>
        <w:rPr>
          <w:kern w:val="0"/>
        </w:rPr>
        <w:t>has been present in human societies from around ten tho</w:t>
      </w:r>
      <w:r w:rsidR="00D5664A">
        <w:rPr>
          <w:kern w:val="0"/>
        </w:rPr>
        <w:t>USA</w:t>
      </w:r>
      <w:r>
        <w:rPr>
          <w:kern w:val="0"/>
        </w:rPr>
        <w:t>nd years ago. During</w:t>
      </w:r>
      <w:r w:rsidR="003A1917">
        <w:rPr>
          <w:kern w:val="0"/>
        </w:rPr>
        <w:t xml:space="preserve"> the </w:t>
      </w:r>
      <w:r>
        <w:rPr>
          <w:kern w:val="0"/>
        </w:rPr>
        <w:t>last few decades, within</w:t>
      </w:r>
      <w:r w:rsidR="003A1917">
        <w:rPr>
          <w:kern w:val="0"/>
        </w:rPr>
        <w:t xml:space="preserve"> the </w:t>
      </w:r>
      <w:r>
        <w:rPr>
          <w:kern w:val="0"/>
        </w:rPr>
        <w:t>research field</w:t>
      </w:r>
      <w:r w:rsidR="00427468">
        <w:rPr>
          <w:kern w:val="0"/>
        </w:rPr>
        <w:t xml:space="preserve"> of </w:t>
      </w:r>
      <w:r>
        <w:rPr>
          <w:kern w:val="0"/>
        </w:rPr>
        <w:t>Archaeometry,</w:t>
      </w:r>
      <w:r w:rsidR="003A1917">
        <w:rPr>
          <w:kern w:val="0"/>
        </w:rPr>
        <w:t xml:space="preserve"> the </w:t>
      </w:r>
      <w:r>
        <w:rPr>
          <w:kern w:val="0"/>
        </w:rPr>
        <w:t>study</w:t>
      </w:r>
      <w:r w:rsidR="00427468">
        <w:rPr>
          <w:kern w:val="0"/>
        </w:rPr>
        <w:t xml:space="preserve"> of </w:t>
      </w:r>
      <w:r>
        <w:rPr>
          <w:kern w:val="0"/>
        </w:rPr>
        <w:t>archaeological</w:t>
      </w:r>
      <w:r w:rsidR="005853A9">
        <w:rPr>
          <w:kern w:val="0"/>
        </w:rPr>
        <w:t xml:space="preserve"> and </w:t>
      </w:r>
      <w:r>
        <w:rPr>
          <w:kern w:val="0"/>
        </w:rPr>
        <w:t>historical ceramic materials has experienced a significant increase in</w:t>
      </w:r>
      <w:r w:rsidR="003A1917">
        <w:rPr>
          <w:kern w:val="0"/>
        </w:rPr>
        <w:t xml:space="preserve"> the </w:t>
      </w:r>
      <w:r>
        <w:rPr>
          <w:kern w:val="0"/>
        </w:rPr>
        <w:t>application</w:t>
      </w:r>
      <w:r w:rsidR="00427468">
        <w:rPr>
          <w:kern w:val="0"/>
        </w:rPr>
        <w:t xml:space="preserve"> of </w:t>
      </w:r>
      <w:r>
        <w:rPr>
          <w:kern w:val="0"/>
        </w:rPr>
        <w:t>chemical-physical techniques to obtain information on technology</w:t>
      </w:r>
      <w:r w:rsidR="005853A9">
        <w:rPr>
          <w:kern w:val="0"/>
        </w:rPr>
        <w:t xml:space="preserve"> and </w:t>
      </w:r>
      <w:r>
        <w:rPr>
          <w:kern w:val="0"/>
        </w:rPr>
        <w:t>production</w:t>
      </w:r>
      <w:r w:rsidR="00427468">
        <w:rPr>
          <w:kern w:val="0"/>
        </w:rPr>
        <w:t xml:space="preserve"> of </w:t>
      </w:r>
      <w:r>
        <w:rPr>
          <w:kern w:val="0"/>
        </w:rPr>
        <w:t>these materials in</w:t>
      </w:r>
      <w:r w:rsidR="003A1917">
        <w:rPr>
          <w:kern w:val="0"/>
        </w:rPr>
        <w:t xml:space="preserve"> the </w:t>
      </w:r>
      <w:r>
        <w:rPr>
          <w:kern w:val="0"/>
        </w:rPr>
        <w:t>past. This paper presents</w:t>
      </w:r>
      <w:r w:rsidR="003A1917">
        <w:rPr>
          <w:kern w:val="0"/>
        </w:rPr>
        <w:t xml:space="preserve"> the </w:t>
      </w:r>
      <w:r>
        <w:rPr>
          <w:kern w:val="0"/>
        </w:rPr>
        <w:t>results obtained in a bibliometric study undertaken on 589 articles published on this subject in JCR journals</w:t>
      </w:r>
      <w:r w:rsidR="005853A9">
        <w:rPr>
          <w:kern w:val="0"/>
        </w:rPr>
        <w:t xml:space="preserve"> and </w:t>
      </w:r>
      <w:r>
        <w:rPr>
          <w:kern w:val="0"/>
        </w:rPr>
        <w:t>conference proceedings during</w:t>
      </w:r>
      <w:r w:rsidR="003A1917">
        <w:rPr>
          <w:kern w:val="0"/>
        </w:rPr>
        <w:t xml:space="preserve"> the </w:t>
      </w:r>
      <w:r>
        <w:rPr>
          <w:kern w:val="0"/>
        </w:rPr>
        <w:t>last decade (2000-2010)</w:t>
      </w:r>
      <w:r w:rsidR="00A37C1D">
        <w:rPr>
          <w:kern w:val="0"/>
        </w:rPr>
        <w:t>. The</w:t>
      </w:r>
      <w:r w:rsidR="003A1917">
        <w:rPr>
          <w:kern w:val="0"/>
        </w:rPr>
        <w:t xml:space="preserve"> </w:t>
      </w:r>
      <w:r>
        <w:rPr>
          <w:kern w:val="0"/>
        </w:rPr>
        <w:t>main purpose</w:t>
      </w:r>
      <w:r w:rsidR="00427468">
        <w:rPr>
          <w:kern w:val="0"/>
        </w:rPr>
        <w:t xml:space="preserve"> of </w:t>
      </w:r>
      <w:r>
        <w:rPr>
          <w:kern w:val="0"/>
        </w:rPr>
        <w:t>this research was to address</w:t>
      </w:r>
      <w:r w:rsidR="003A1917">
        <w:rPr>
          <w:kern w:val="0"/>
        </w:rPr>
        <w:t xml:space="preserve"> the </w:t>
      </w:r>
      <w:r>
        <w:rPr>
          <w:kern w:val="0"/>
        </w:rPr>
        <w:t>recent evolution</w:t>
      </w:r>
      <w:r w:rsidR="005853A9">
        <w:rPr>
          <w:kern w:val="0"/>
        </w:rPr>
        <w:t xml:space="preserve"> and </w:t>
      </w:r>
      <w:r>
        <w:rPr>
          <w:kern w:val="0"/>
        </w:rPr>
        <w:t>trends</w:t>
      </w:r>
      <w:r w:rsidR="00427468">
        <w:rPr>
          <w:kern w:val="0"/>
        </w:rPr>
        <w:t xml:space="preserve"> of </w:t>
      </w:r>
      <w:r>
        <w:rPr>
          <w:kern w:val="0"/>
        </w:rPr>
        <w:t>this kind</w:t>
      </w:r>
      <w:r w:rsidR="00427468">
        <w:rPr>
          <w:kern w:val="0"/>
        </w:rPr>
        <w:t xml:space="preserve"> of </w:t>
      </w:r>
      <w:r>
        <w:rPr>
          <w:kern w:val="0"/>
        </w:rPr>
        <w:t>investigations</w:t>
      </w:r>
      <w:r w:rsidR="00A37C1D">
        <w:rPr>
          <w:kern w:val="0"/>
        </w:rPr>
        <w:t>. The</w:t>
      </w:r>
      <w:r w:rsidR="003A1917">
        <w:rPr>
          <w:kern w:val="0"/>
        </w:rPr>
        <w:t xml:space="preserve"> </w:t>
      </w:r>
      <w:r>
        <w:rPr>
          <w:kern w:val="0"/>
        </w:rPr>
        <w:t>parameters analyzed were: date</w:t>
      </w:r>
      <w:r w:rsidR="00427468">
        <w:rPr>
          <w:kern w:val="0"/>
        </w:rPr>
        <w:t xml:space="preserve"> of </w:t>
      </w:r>
      <w:r>
        <w:rPr>
          <w:kern w:val="0"/>
        </w:rPr>
        <w:t>publication, type</w:t>
      </w:r>
      <w:r w:rsidR="00427468">
        <w:rPr>
          <w:kern w:val="0"/>
        </w:rPr>
        <w:t xml:space="preserve"> of </w:t>
      </w:r>
      <w:r>
        <w:rPr>
          <w:kern w:val="0"/>
        </w:rPr>
        <w:t>journal, topic, cultural-chronological classification</w:t>
      </w:r>
      <w:r w:rsidR="00427468">
        <w:rPr>
          <w:kern w:val="0"/>
        </w:rPr>
        <w:t xml:space="preserve"> of </w:t>
      </w:r>
      <w:r>
        <w:rPr>
          <w:kern w:val="0"/>
        </w:rPr>
        <w:t>materials studied, origin country</w:t>
      </w:r>
      <w:r w:rsidR="00427468">
        <w:rPr>
          <w:kern w:val="0"/>
        </w:rPr>
        <w:t xml:space="preserve"> of </w:t>
      </w:r>
      <w:r>
        <w:rPr>
          <w:kern w:val="0"/>
        </w:rPr>
        <w:t>authors,</w:t>
      </w:r>
      <w:r w:rsidR="005853A9">
        <w:rPr>
          <w:kern w:val="0"/>
        </w:rPr>
        <w:t xml:space="preserve"> and </w:t>
      </w:r>
      <w:r>
        <w:rPr>
          <w:kern w:val="0"/>
        </w:rPr>
        <w:t>analytical techniques used. Resulting data indicated a continual, stable,</w:t>
      </w:r>
      <w:r w:rsidR="005853A9">
        <w:rPr>
          <w:kern w:val="0"/>
        </w:rPr>
        <w:t xml:space="preserve"> and </w:t>
      </w:r>
      <w:r>
        <w:rPr>
          <w:kern w:val="0"/>
        </w:rPr>
        <w:t>growing publication rate on</w:t>
      </w:r>
      <w:r w:rsidR="003A1917">
        <w:rPr>
          <w:kern w:val="0"/>
        </w:rPr>
        <w:t xml:space="preserve"> the </w:t>
      </w:r>
      <w:r>
        <w:rPr>
          <w:kern w:val="0"/>
        </w:rPr>
        <w:t>subject in journals</w:t>
      </w:r>
      <w:r w:rsidR="005853A9">
        <w:rPr>
          <w:kern w:val="0"/>
        </w:rPr>
        <w:t xml:space="preserve"> and </w:t>
      </w:r>
      <w:r>
        <w:rPr>
          <w:kern w:val="0"/>
        </w:rPr>
        <w:t>conference proceedings</w:t>
      </w:r>
      <w:r w:rsidR="00427468">
        <w:rPr>
          <w:kern w:val="0"/>
        </w:rPr>
        <w:t xml:space="preserve"> of </w:t>
      </w:r>
      <w:r w:rsidR="003A1917">
        <w:rPr>
          <w:kern w:val="0"/>
        </w:rPr>
        <w:t xml:space="preserve">the </w:t>
      </w:r>
      <w:r>
        <w:rPr>
          <w:kern w:val="0"/>
        </w:rPr>
        <w:t>three JCR indexes, namely</w:t>
      </w:r>
      <w:r w:rsidR="008E3069">
        <w:rPr>
          <w:kern w:val="0"/>
        </w:rPr>
        <w:t xml:space="preserve"> SCI,</w:t>
      </w:r>
      <w:r>
        <w:rPr>
          <w:kern w:val="0"/>
        </w:rPr>
        <w:t xml:space="preserve"> AHCI,</w:t>
      </w:r>
      <w:r w:rsidR="005853A9">
        <w:rPr>
          <w:kern w:val="0"/>
        </w:rPr>
        <w:t xml:space="preserve"> and </w:t>
      </w:r>
      <w:r w:rsidR="00D5664A">
        <w:rPr>
          <w:kern w:val="0"/>
        </w:rPr>
        <w:t>SSCI</w:t>
      </w:r>
      <w:r w:rsidR="008E3069">
        <w:rPr>
          <w:kern w:val="0"/>
        </w:rPr>
        <w:t>,</w:t>
      </w:r>
      <w:r>
        <w:rPr>
          <w:kern w:val="0"/>
        </w:rPr>
        <w:t xml:space="preserve"> which evidences a high level</w:t>
      </w:r>
      <w:r w:rsidR="00427468">
        <w:rPr>
          <w:kern w:val="0"/>
        </w:rPr>
        <w:t xml:space="preserve"> of </w:t>
      </w:r>
      <w:r>
        <w:rPr>
          <w:kern w:val="0"/>
        </w:rPr>
        <w:t>interdisciplinarity. Authors from Europe</w:t>
      </w:r>
      <w:r w:rsidR="005853A9">
        <w:rPr>
          <w:kern w:val="0"/>
        </w:rPr>
        <w:t xml:space="preserve"> and </w:t>
      </w:r>
      <w:r w:rsidR="003A1917">
        <w:rPr>
          <w:kern w:val="0"/>
        </w:rPr>
        <w:t xml:space="preserve">the </w:t>
      </w:r>
      <w:r>
        <w:rPr>
          <w:kern w:val="0"/>
        </w:rPr>
        <w:t>United States carried out</w:t>
      </w:r>
      <w:r w:rsidR="003A1917">
        <w:rPr>
          <w:kern w:val="0"/>
        </w:rPr>
        <w:t xml:space="preserve"> the </w:t>
      </w:r>
      <w:r>
        <w:rPr>
          <w:kern w:val="0"/>
        </w:rPr>
        <w:t>majority</w:t>
      </w:r>
      <w:r w:rsidR="00427468">
        <w:rPr>
          <w:kern w:val="0"/>
        </w:rPr>
        <w:t xml:space="preserve"> of </w:t>
      </w:r>
      <w:r>
        <w:rPr>
          <w:kern w:val="0"/>
        </w:rPr>
        <w:t>contributions.</w:t>
      </w:r>
    </w:p>
    <w:p w:rsidR="004E4ABE" w:rsidRDefault="004E4ABE" w:rsidP="004E4ABE">
      <w:pPr>
        <w:pStyle w:val="a3"/>
        <w:rPr>
          <w:kern w:val="0"/>
        </w:rPr>
      </w:pPr>
      <w:r>
        <w:rPr>
          <w:kern w:val="0"/>
        </w:rPr>
        <w:t>Keywords: Ancient Ceramics, Archaeometry, Authors, Bibliometric, Bibliometric Study, Ceramics, Europe, Evolution, Human, Indexes, Induced Plasma Spectroscopy, Information, Interdisciplinarity, JCR, JCR Conference Proceedings, JCR Journals, Journal, Journals, Pottery, Pottery, Publication, Research</w:t>
      </w:r>
      <w:r w:rsidR="00D5664A">
        <w:rPr>
          <w:kern w:val="0"/>
        </w:rPr>
        <w:t>, SCI,</w:t>
      </w:r>
      <w:r w:rsidR="008E3069">
        <w:rPr>
          <w:kern w:val="0"/>
        </w:rPr>
        <w:t xml:space="preserve"> </w:t>
      </w:r>
      <w:r w:rsidR="00D5664A">
        <w:rPr>
          <w:kern w:val="0"/>
        </w:rPr>
        <w:t>SSCI</w:t>
      </w:r>
      <w:r w:rsidR="008E3069">
        <w:rPr>
          <w:kern w:val="0"/>
        </w:rPr>
        <w:t>,</w:t>
      </w:r>
      <w:r>
        <w:rPr>
          <w:kern w:val="0"/>
        </w:rPr>
        <w:t xml:space="preserve"> Terra-Sigillata, Trends</w:t>
      </w:r>
    </w:p>
    <w:p w:rsidR="000B506C" w:rsidRDefault="000B506C" w:rsidP="000B506C">
      <w:pPr>
        <w:pStyle w:val="a3"/>
        <w:rPr>
          <w:kern w:val="0"/>
        </w:rPr>
      </w:pPr>
      <w:r>
        <w:rPr>
          <w:rFonts w:hint="eastAsia"/>
          <w:kern w:val="0"/>
        </w:rPr>
        <w:t xml:space="preserve">? </w:t>
      </w:r>
      <w:r>
        <w:rPr>
          <w:kern w:val="0"/>
        </w:rPr>
        <w:t xml:space="preserve">Rojas-Sola, J.I. and Aguilera-Garcia, A.I. (2014), Global bibliometric analysis of the </w:t>
      </w:r>
      <w:r w:rsidR="0047509F">
        <w:rPr>
          <w:kern w:val="0"/>
        </w:rPr>
        <w:lastRenderedPageBreak/>
        <w:t>materials, c</w:t>
      </w:r>
      <w:r>
        <w:rPr>
          <w:kern w:val="0"/>
        </w:rPr>
        <w:t xml:space="preserve">eramics subject category from the Web of Science (1997-2012). </w:t>
      </w:r>
      <w:r w:rsidRPr="00930373">
        <w:rPr>
          <w:i/>
        </w:rPr>
        <w:t>Boletín de la Sociedad Española de Cerámica y Vidrio</w:t>
      </w:r>
      <w:r>
        <w:rPr>
          <w:kern w:val="0"/>
        </w:rPr>
        <w:t xml:space="preserve">, </w:t>
      </w:r>
      <w:r>
        <w:rPr>
          <w:b/>
          <w:bCs/>
          <w:kern w:val="0"/>
        </w:rPr>
        <w:t>53</w:t>
      </w:r>
      <w:r>
        <w:rPr>
          <w:kern w:val="0"/>
        </w:rPr>
        <w:t xml:space="preserve"> (6), II-XII</w:t>
      </w:r>
      <w:r>
        <w:rPr>
          <w:rFonts w:hint="eastAsia"/>
          <w:kern w:val="0"/>
        </w:rPr>
        <w:t>.</w:t>
      </w:r>
    </w:p>
    <w:p w:rsidR="000B506C" w:rsidRPr="001A3D2B" w:rsidRDefault="000B506C" w:rsidP="000B506C">
      <w:pPr>
        <w:pStyle w:val="a3"/>
        <w:rPr>
          <w:kern w:val="0"/>
        </w:rPr>
      </w:pPr>
      <w:r>
        <w:rPr>
          <w:rFonts w:hint="eastAsia"/>
          <w:kern w:val="0"/>
        </w:rPr>
        <w:t xml:space="preserve">Full Text: </w:t>
      </w:r>
      <w:hyperlink r:id="rId1790" w:history="1">
        <w:r w:rsidRPr="007B2172">
          <w:rPr>
            <w:rStyle w:val="a5"/>
            <w:kern w:val="0"/>
          </w:rPr>
          <w:t>2014\Bol Soc Esp Cer Vid53, II.pdf</w:t>
        </w:r>
      </w:hyperlink>
    </w:p>
    <w:p w:rsidR="000B506C" w:rsidRDefault="000B506C" w:rsidP="000B506C">
      <w:pPr>
        <w:pStyle w:val="a3"/>
        <w:rPr>
          <w:kern w:val="0"/>
        </w:rPr>
      </w:pPr>
      <w:r>
        <w:rPr>
          <w:kern w:val="0"/>
        </w:rPr>
        <w:t>Keywords: Analysis, Bibliometric, Bibliometric Analysis, Building Technology, Construction, Database, From, Global, Impact Factors, Index, Journals, Materials, SCI, Science, Sector, Spanish Scientific Publications, Universities, Web, Web Of Science</w:t>
      </w:r>
    </w:p>
    <w:p w:rsidR="000753DA" w:rsidRPr="001A3D2B" w:rsidRDefault="000753DA" w:rsidP="000753DA">
      <w:pPr>
        <w:pStyle w:val="1"/>
      </w:pPr>
      <w:r>
        <w:br w:type="page"/>
      </w:r>
      <w:bookmarkStart w:id="879" w:name="_Toc420814790"/>
      <w:r>
        <w:lastRenderedPageBreak/>
        <w:t xml:space="preserve">Title: </w:t>
      </w:r>
      <w:r w:rsidRPr="000753DA">
        <w:t>Bone</w:t>
      </w:r>
      <w:bookmarkEnd w:id="879"/>
    </w:p>
    <w:p w:rsidR="000753DA" w:rsidRPr="001A3D2B" w:rsidRDefault="000753DA" w:rsidP="000753DA">
      <w:pPr>
        <w:pStyle w:val="12"/>
      </w:pPr>
      <w:r>
        <w:t xml:space="preserve">Full Journal Title: </w:t>
      </w:r>
      <w:r w:rsidRPr="000753DA">
        <w:rPr>
          <w:iCs/>
          <w:kern w:val="0"/>
        </w:rPr>
        <w:t>Bone</w:t>
      </w:r>
    </w:p>
    <w:p w:rsidR="000753DA" w:rsidRPr="001A3D2B" w:rsidRDefault="000753DA" w:rsidP="000753DA">
      <w:pPr>
        <w:pStyle w:val="12"/>
      </w:pPr>
      <w:r w:rsidRPr="001A3D2B">
        <w:t xml:space="preserve">ISO Abbreviated Title: </w:t>
      </w:r>
      <w:r w:rsidRPr="000753DA">
        <w:rPr>
          <w:iCs/>
          <w:kern w:val="0"/>
        </w:rPr>
        <w:t>Bone</w:t>
      </w:r>
    </w:p>
    <w:p w:rsidR="000753DA" w:rsidRPr="001A3D2B" w:rsidRDefault="000753DA" w:rsidP="000753DA">
      <w:pPr>
        <w:pStyle w:val="12"/>
      </w:pPr>
      <w:r w:rsidRPr="001A3D2B">
        <w:t xml:space="preserve">JCR Abbreviated Title: </w:t>
      </w:r>
      <w:r w:rsidRPr="000753DA">
        <w:rPr>
          <w:iCs/>
          <w:kern w:val="0"/>
        </w:rPr>
        <w:t>Bone</w:t>
      </w:r>
    </w:p>
    <w:p w:rsidR="000753DA" w:rsidRPr="001A3D2B" w:rsidRDefault="000753DA" w:rsidP="000753DA">
      <w:pPr>
        <w:pStyle w:val="12"/>
      </w:pPr>
      <w:r>
        <w:t xml:space="preserve">ISSN: </w:t>
      </w:r>
    </w:p>
    <w:p w:rsidR="000753DA" w:rsidRPr="001A3D2B" w:rsidRDefault="000753DA" w:rsidP="000753DA">
      <w:pPr>
        <w:pStyle w:val="12"/>
      </w:pPr>
      <w:r w:rsidRPr="001A3D2B">
        <w:t xml:space="preserve">Issues/Year: </w:t>
      </w:r>
    </w:p>
    <w:p w:rsidR="000753DA" w:rsidRPr="001A3D2B" w:rsidRDefault="000753DA" w:rsidP="000753DA">
      <w:pPr>
        <w:pStyle w:val="12"/>
      </w:pPr>
      <w:r w:rsidRPr="001A3D2B">
        <w:t xml:space="preserve">Journal Country/Territory: </w:t>
      </w:r>
    </w:p>
    <w:p w:rsidR="000753DA" w:rsidRPr="001A3D2B" w:rsidRDefault="000753DA" w:rsidP="000753DA">
      <w:pPr>
        <w:pStyle w:val="12"/>
      </w:pPr>
      <w:r w:rsidRPr="001A3D2B">
        <w:t xml:space="preserve">Language: </w:t>
      </w:r>
    </w:p>
    <w:p w:rsidR="000753DA" w:rsidRPr="001A3D2B" w:rsidRDefault="000753DA" w:rsidP="000753DA">
      <w:pPr>
        <w:pStyle w:val="12"/>
      </w:pPr>
      <w:r w:rsidRPr="001A3D2B">
        <w:t xml:space="preserve">Publisher: </w:t>
      </w:r>
    </w:p>
    <w:p w:rsidR="000753DA" w:rsidRPr="001A3D2B" w:rsidRDefault="000753DA" w:rsidP="000753DA">
      <w:pPr>
        <w:pStyle w:val="12"/>
      </w:pPr>
      <w:r w:rsidRPr="001A3D2B">
        <w:t xml:space="preserve">Publisher Address: </w:t>
      </w:r>
    </w:p>
    <w:p w:rsidR="000753DA" w:rsidRPr="001A3D2B" w:rsidRDefault="000753DA" w:rsidP="000753DA">
      <w:pPr>
        <w:pStyle w:val="12"/>
      </w:pPr>
      <w:r w:rsidRPr="001A3D2B">
        <w:t>Subject Categories:</w:t>
      </w:r>
    </w:p>
    <w:p w:rsidR="000753DA" w:rsidRPr="001A3D2B" w:rsidRDefault="000753DA" w:rsidP="000753DA">
      <w:pPr>
        <w:pStyle w:val="12"/>
      </w:pPr>
      <w:r w:rsidRPr="001A3D2B">
        <w:t xml:space="preserve">: Impact Factor </w:t>
      </w:r>
    </w:p>
    <w:p w:rsidR="000753DA" w:rsidRDefault="000753DA" w:rsidP="000753DA">
      <w:pPr>
        <w:pStyle w:val="a3"/>
        <w:rPr>
          <w:kern w:val="0"/>
        </w:rPr>
      </w:pPr>
      <w:r>
        <w:rPr>
          <w:rFonts w:hint="eastAsia"/>
          <w:kern w:val="0"/>
        </w:rPr>
        <w:t xml:space="preserve">? </w:t>
      </w:r>
      <w:r>
        <w:rPr>
          <w:kern w:val="0"/>
        </w:rPr>
        <w:t xml:space="preserve">Lee, D.R., Lee, J., Rota, M., Lee, J., Ahn, H.S., Park, S.M. and Shin, D. (2014), Coffee consumption and risk of fractures: A systematic review and dose-response meta-analysis. </w:t>
      </w:r>
      <w:r w:rsidRPr="000753DA">
        <w:rPr>
          <w:i/>
          <w:iCs/>
          <w:kern w:val="0"/>
        </w:rPr>
        <w:t>Bone</w:t>
      </w:r>
      <w:r>
        <w:rPr>
          <w:kern w:val="0"/>
        </w:rPr>
        <w:t xml:space="preserve">, </w:t>
      </w:r>
      <w:r>
        <w:rPr>
          <w:b/>
          <w:bCs/>
          <w:kern w:val="0"/>
        </w:rPr>
        <w:t>63</w:t>
      </w:r>
      <w:r>
        <w:rPr>
          <w:kern w:val="0"/>
        </w:rPr>
        <w:t>, 20-28.</w:t>
      </w:r>
    </w:p>
    <w:p w:rsidR="000753DA" w:rsidRDefault="000753DA" w:rsidP="000753DA">
      <w:pPr>
        <w:pStyle w:val="a3"/>
        <w:rPr>
          <w:kern w:val="0"/>
        </w:rPr>
      </w:pPr>
      <w:r>
        <w:rPr>
          <w:rFonts w:hint="eastAsia"/>
          <w:kern w:val="0"/>
        </w:rPr>
        <w:t xml:space="preserve">Full Text: </w:t>
      </w:r>
      <w:hyperlink r:id="rId1791" w:history="1">
        <w:r w:rsidRPr="000753DA">
          <w:rPr>
            <w:rStyle w:val="a5"/>
            <w:kern w:val="0"/>
          </w:rPr>
          <w:t>2014\Bone63, 20.pdf</w:t>
        </w:r>
      </w:hyperlink>
    </w:p>
    <w:p w:rsidR="000753DA" w:rsidRDefault="000753DA" w:rsidP="000753DA">
      <w:pPr>
        <w:pStyle w:val="a3"/>
        <w:rPr>
          <w:kern w:val="0"/>
        </w:rPr>
      </w:pPr>
      <w:r>
        <w:rPr>
          <w:kern w:val="0"/>
        </w:rPr>
        <w:t>Abstract: Purpose: The data on the association between coffee consumption and the risk of fractures are inconclusive. We performed a comprehensive literature review and meta-analysis to better quantify this association. Methods: We identified all potentially relevant articles by searching MEDLINE, EMBASE, Cochrane Library, Web of Science, SCOPUS, and CINAHL (until February 2013)</w:t>
      </w:r>
      <w:r w:rsidR="00A37C1D">
        <w:rPr>
          <w:kern w:val="0"/>
        </w:rPr>
        <w:t>. The</w:t>
      </w:r>
      <w:r>
        <w:rPr>
          <w:kern w:val="0"/>
        </w:rPr>
        <w:t xml:space="preserve"> keywords “coffee,” “caffeine,” “drink,” and “beverage” were used as the exposure factors, and the keyword “fracture” was used as the outcome factor. We determined the overall relative risk (RR) and confidence interval (CI) for the highest and lowest levels of coffee consumption. A dose-response analysis was performed to assess the risk of fractures based on the level of coffee consumption. Results: We included 253,514 participants with 12,939 fracture cases from 9 cohort and 6 case-control studies</w:t>
      </w:r>
      <w:r w:rsidR="00A37C1D">
        <w:rPr>
          <w:kern w:val="0"/>
        </w:rPr>
        <w:t>. The</w:t>
      </w:r>
      <w:r>
        <w:rPr>
          <w:kern w:val="0"/>
        </w:rPr>
        <w:t xml:space="preserve"> estimated RR of fractures at the highest level of coffee consumption was 1.14 (95% CI: 1.05-1.24; I-2 = 0.0%) in women and 0.76 (95% CI: 0.62-0.94; I-2 = 73%) in men. In the dose-response analysis, the pooled RRs of fractures in women who consumed 2 and 8 cups of coffee per day were 1.02 (95% CI: 1.01-1.04) and 1.54(95% CI: 1.19-1.99), respectively. Conclusions: Our meta-analysis suggests that daily consumption of coffee is associated with an increased risk of fractures in women and a contrasting decreased risk in men. However, future well-designed studies should be performed to confirm these findings. (C) 2014 Elsevier Inc. All rights reserved.</w:t>
      </w:r>
    </w:p>
    <w:p w:rsidR="000753DA" w:rsidRDefault="000753DA" w:rsidP="000753DA">
      <w:pPr>
        <w:pStyle w:val="a3"/>
        <w:rPr>
          <w:kern w:val="0"/>
        </w:rPr>
      </w:pPr>
      <w:r>
        <w:rPr>
          <w:kern w:val="0"/>
        </w:rPr>
        <w:t xml:space="preserve">Keywords: Analysis, Articles, Association, Bone Loss, Caffeine, Caffeine, </w:t>
      </w:r>
      <w:r>
        <w:rPr>
          <w:kern w:val="0"/>
        </w:rPr>
        <w:lastRenderedPageBreak/>
        <w:t>Case-Control, Case-Control Studies, Coffee, Cohort, Confidence, Consumption, Data, Dietary Factors, Dose-Response Relationship, Embase, Exposure, Follow-Up, Fracture, Hip Fracture, Interval, Literature, Literature Review, Medline, Men, Meta Analysis, Meta-Analysis, Metaanalysis, Methods, Osteoporosis, Outcome, Ovariectomized Rats, Postmenopausal Women, Relative Risk, Results, Review, Rights, Risk, Science, Scopus, Skeletal Sites, Systematic, Systematic Review, Vertebral Fracture, Web Of Science, Women</w:t>
      </w:r>
    </w:p>
    <w:p w:rsidR="00E056A9" w:rsidRDefault="00E056A9" w:rsidP="00E056A9">
      <w:pPr>
        <w:pStyle w:val="a3"/>
        <w:rPr>
          <w:kern w:val="0"/>
          <w:szCs w:val="24"/>
        </w:rPr>
      </w:pPr>
      <w:r>
        <w:rPr>
          <w:rFonts w:hint="eastAsia"/>
          <w:kern w:val="0"/>
          <w:szCs w:val="24"/>
        </w:rPr>
        <w:t xml:space="preserve">? </w:t>
      </w:r>
      <w:r>
        <w:rPr>
          <w:kern w:val="0"/>
          <w:szCs w:val="24"/>
        </w:rPr>
        <w:t xml:space="preserve">Shen, C.H., Chen, F., Zhang, Y.X., Guo, Y. and Ding, M.P. (2014), Association between use of antiepileptic drugs and fracture risk: A systematic review and meta-analysis. </w:t>
      </w:r>
      <w:r>
        <w:rPr>
          <w:i/>
          <w:iCs/>
          <w:kern w:val="0"/>
          <w:szCs w:val="24"/>
        </w:rPr>
        <w:t>Bone</w:t>
      </w:r>
      <w:r>
        <w:rPr>
          <w:kern w:val="0"/>
          <w:szCs w:val="24"/>
        </w:rPr>
        <w:t xml:space="preserve">, </w:t>
      </w:r>
      <w:r>
        <w:rPr>
          <w:b/>
          <w:bCs/>
          <w:kern w:val="0"/>
          <w:szCs w:val="24"/>
        </w:rPr>
        <w:t>64</w:t>
      </w:r>
      <w:r>
        <w:rPr>
          <w:kern w:val="0"/>
          <w:szCs w:val="24"/>
        </w:rPr>
        <w:t>, 246-253.</w:t>
      </w:r>
    </w:p>
    <w:p w:rsidR="00E056A9" w:rsidRDefault="00E056A9" w:rsidP="00E056A9">
      <w:pPr>
        <w:pStyle w:val="a3"/>
        <w:rPr>
          <w:kern w:val="0"/>
        </w:rPr>
      </w:pPr>
      <w:r>
        <w:rPr>
          <w:rFonts w:hint="eastAsia"/>
          <w:kern w:val="0"/>
        </w:rPr>
        <w:t xml:space="preserve">Full Text: </w:t>
      </w:r>
      <w:hyperlink r:id="rId1792" w:history="1">
        <w:r w:rsidRPr="00E056A9">
          <w:rPr>
            <w:rStyle w:val="a5"/>
            <w:kern w:val="0"/>
          </w:rPr>
          <w:t>2014\Bone64, 246.pdf</w:t>
        </w:r>
      </w:hyperlink>
    </w:p>
    <w:p w:rsidR="00E056A9" w:rsidRDefault="00E056A9" w:rsidP="00E056A9">
      <w:pPr>
        <w:pStyle w:val="a3"/>
        <w:rPr>
          <w:kern w:val="0"/>
          <w:szCs w:val="24"/>
        </w:rPr>
      </w:pPr>
      <w:r>
        <w:rPr>
          <w:kern w:val="0"/>
          <w:szCs w:val="24"/>
        </w:rPr>
        <w:t>Abstract: Background: It has been shown that antiepileptic drugs (AEDs) may have a detrimental effect on bone health and translate into an increased risk of bone fracture. We aimed to comprehensively evaluate the association between use of AEDs and fracture risk. Methods: We searched NCBI (PubMed), ISI Web of Science, the Cochrane Library and EMBASE databases for studies reporting fracture risk among users of AEDs. Random-effects meta-analysis was used to pool results across studies. Results: Twenty-two studies met the inclusion criteria. Overall, there was a significant increase in fracture risk among users of AEDs involving 1,292,910 participants, with a mean/median age of 36-82 years (relative risk (RR) = 1.86; 95% confidence interval (CI) 1.62-2.12). When we limited the studies to those on osteoporosis-related fractures, the RR was still significant. Both liver enzyme-inducing antiepileptic drugs (LEI AEDs) and non-LEI AEDs were associated with an increase in fracture risk, although the estimate for LEI AEDs was higher than that of non-LEI AEDs (RR = 1.18; 95% CI 1.11-1.25). For some specific AEDs, use of phenobarbiturate (PB), topiramate (TPM) and phenytoin (PHT) suggested an increase in fracture risk of 78%, 39% and 70%, respectively. Conclusions: The study suggests a robust association between use of AEDs and fracture risk (particularly for LEI AEDs). It also suggests that several specific AEDs such as PB, TPM and PHT may be associated with an increased risk of fracture. (C) 2014 Elsevier Inc. All rights reserved.</w:t>
      </w:r>
    </w:p>
    <w:p w:rsidR="00E056A9" w:rsidRDefault="00E056A9" w:rsidP="00E056A9">
      <w:pPr>
        <w:pStyle w:val="a3"/>
        <w:rPr>
          <w:kern w:val="0"/>
          <w:szCs w:val="24"/>
        </w:rPr>
      </w:pPr>
      <w:r>
        <w:rPr>
          <w:kern w:val="0"/>
          <w:szCs w:val="24"/>
        </w:rPr>
        <w:t>Keywords: Age, Anticonvulsant Therapy, Antiepileptic Drugs, Association, Bone, Bone Fracture, Bone-Mineral Density, Confidence, Criteria, Databases, Drugs, Embase, Epilepsy, Fracture, Fracture Risk, Health, Hip Fracture, Interval, ISI, ISI Web Of Science, Liver, Medications, Meta Analysis, Meta-Analysis, Metaanalysis, Methods, Monotherapy, Osteoporotic Fracture, Pb, Population, Pubmed, Relative Risk, Reporting, Results, Review, Rights, Risk, Science, Systematic, Systematic Review, Valproate, Web Of Science, Women</w:t>
      </w:r>
    </w:p>
    <w:p w:rsidR="00E056A9" w:rsidRDefault="00E056A9" w:rsidP="00E056A9">
      <w:pPr>
        <w:pStyle w:val="a3"/>
        <w:rPr>
          <w:kern w:val="0"/>
          <w:szCs w:val="24"/>
        </w:rPr>
      </w:pPr>
      <w:r>
        <w:rPr>
          <w:rFonts w:hint="eastAsia"/>
          <w:kern w:val="0"/>
          <w:szCs w:val="24"/>
        </w:rPr>
        <w:t xml:space="preserve">? </w:t>
      </w:r>
      <w:r>
        <w:rPr>
          <w:kern w:val="0"/>
          <w:szCs w:val="24"/>
        </w:rPr>
        <w:t xml:space="preserve">Gorter, E.A., Hamdy, N.A.T., Appelman-Dijkstra, N.M. and Schipper, I.B. (2014), </w:t>
      </w:r>
      <w:r>
        <w:rPr>
          <w:kern w:val="0"/>
          <w:szCs w:val="24"/>
        </w:rPr>
        <w:lastRenderedPageBreak/>
        <w:t xml:space="preserve">The role of vitamin D in human fracture healing: A systematic review of the literature. </w:t>
      </w:r>
      <w:r>
        <w:rPr>
          <w:i/>
          <w:iCs/>
          <w:kern w:val="0"/>
          <w:szCs w:val="24"/>
        </w:rPr>
        <w:t>Bone</w:t>
      </w:r>
      <w:r>
        <w:rPr>
          <w:kern w:val="0"/>
          <w:szCs w:val="24"/>
        </w:rPr>
        <w:t xml:space="preserve">, </w:t>
      </w:r>
      <w:r>
        <w:rPr>
          <w:b/>
          <w:bCs/>
          <w:kern w:val="0"/>
          <w:szCs w:val="24"/>
        </w:rPr>
        <w:t>64</w:t>
      </w:r>
      <w:r>
        <w:rPr>
          <w:kern w:val="0"/>
          <w:szCs w:val="24"/>
        </w:rPr>
        <w:t>, 288-297.</w:t>
      </w:r>
    </w:p>
    <w:p w:rsidR="00E056A9" w:rsidRDefault="00E056A9" w:rsidP="00E056A9">
      <w:pPr>
        <w:pStyle w:val="a3"/>
        <w:rPr>
          <w:kern w:val="0"/>
        </w:rPr>
      </w:pPr>
      <w:r>
        <w:rPr>
          <w:rFonts w:hint="eastAsia"/>
          <w:kern w:val="0"/>
        </w:rPr>
        <w:t xml:space="preserve">Full Text: </w:t>
      </w:r>
      <w:hyperlink r:id="rId1793" w:history="1">
        <w:r w:rsidRPr="00E056A9">
          <w:rPr>
            <w:rStyle w:val="a5"/>
            <w:kern w:val="0"/>
          </w:rPr>
          <w:t>2014\Bone64, 288.pdf</w:t>
        </w:r>
      </w:hyperlink>
    </w:p>
    <w:p w:rsidR="00E056A9" w:rsidRDefault="00E056A9" w:rsidP="00E056A9">
      <w:pPr>
        <w:pStyle w:val="a3"/>
        <w:rPr>
          <w:kern w:val="0"/>
          <w:szCs w:val="24"/>
        </w:rPr>
      </w:pPr>
      <w:r>
        <w:rPr>
          <w:kern w:val="0"/>
          <w:szCs w:val="24"/>
        </w:rPr>
        <w:t>Abstract: Introduction: Vitamin D is essential for bone mineralization and for the subsequent maintenance of bone quality. Mineralization is part of hard callus formation and bone remodelling, processes, which are part of fracture healing. We provide a comprehensive review of the literature to summarize and clarify if possible, the cellular effects of vitamin D and its clinical involvement in the process of fracture healing in human. Material and methods: We conducted a literature search in PubMed, Embase (OVID version), and Web of Science. Results: A total of 75 in vitro and 30 in vivo studies were found with inconsistent results about the cellular effect of vitamin D on fracture involved inflammatory cells, cytokines, growth factors, osteoblasts, osteoclasts and on the process of mineralization. With only five in vitro studies performed on material derived from a fracture site and one in vivo study in fracture patients, the exact cellular role remains unclear. Seven studies investigated the circulating vitamin D metabolites in fracture healing. Although it appears that 25 (OH)D and 24,25 (OH)(2)D-3 are not affected by the occurrence of a fracture, this might not be the case with serum concentrations of 1,25 (OH)(2)D-3</w:t>
      </w:r>
      <w:r w:rsidR="00A37C1D">
        <w:rPr>
          <w:kern w:val="0"/>
          <w:szCs w:val="24"/>
        </w:rPr>
        <w:t>. The</w:t>
      </w:r>
      <w:r>
        <w:rPr>
          <w:kern w:val="0"/>
          <w:szCs w:val="24"/>
        </w:rPr>
        <w:t xml:space="preserve"> potential clinical effect of vitamin D deficiency is only described in one case series and three case controlled studies, where the results tend to show no effect of a vitamin D deficiency. No clinical studies were found investigating solely vitamin D supplementation. Two clinical studies found a positive effect of vitamin D supplementation and calcium, of increased bone mineral density or respectively increased fracture callus area at the fracture site. One study found indirect evidence that vitamin D and calcium promoted fracture healing. Conclusion: Despite these results, and the presumed beneficial effect of vitamin D supplementation in deficient patients, clinical studies that address the effects of vitamin D deficiency or supplementation on fracture healing are scarce and remain inconclusive. We conclude that vitamin D has a role in fracture healing, but the available data are too inconsistent to elucidate how and in what manner. (C) 2014 Elsevier Inc. All rights reserved.</w:t>
      </w:r>
    </w:p>
    <w:p w:rsidR="00E056A9" w:rsidRDefault="00E056A9" w:rsidP="00E056A9">
      <w:pPr>
        <w:pStyle w:val="a3"/>
        <w:rPr>
          <w:kern w:val="0"/>
          <w:szCs w:val="24"/>
        </w:rPr>
      </w:pPr>
      <w:r>
        <w:rPr>
          <w:kern w:val="0"/>
          <w:szCs w:val="24"/>
        </w:rPr>
        <w:t xml:space="preserve">Keywords: 1,25-Dihydroxyvitamin D-3, Blood Mononuclear-Cells, Bone, Bone-Mineral Density, Calcidiol, Calcium, Clinical, Clinical Studies, Cytokines, Data, Effects, Evidence, Fracture, Fracture Healing, Growth, Growth Factors, Healing, Human, In Vitro, In Vivo, In-Vitro, Intravenous Calcitriol Treatment, Literature, Literature Search, Marrow Stromal Cells, Messenger-Rna Expression, Metabolites, Methods, Mineralization, Necrosis-Factor-Alpha, Osteoblast-Like Cells, Osteoblasts, Patients, Potential, Pubmed, Quality, Results, Review, Rights, Role, Science, Serum, Serum Concentrations, Site, Systematic, Systematic Review, </w:t>
      </w:r>
      <w:r>
        <w:rPr>
          <w:kern w:val="0"/>
          <w:szCs w:val="24"/>
        </w:rPr>
        <w:lastRenderedPageBreak/>
        <w:t>Transforming-Growth-Factor, Version, Vitamin, Vitamin D, Vitamin D Deficiency, Vitamin D Supplementation, Web Of Science</w:t>
      </w:r>
    </w:p>
    <w:p w:rsidR="0066552F" w:rsidRPr="001A3D2B" w:rsidRDefault="0066552F" w:rsidP="0066552F">
      <w:pPr>
        <w:pStyle w:val="1"/>
      </w:pPr>
      <w:r>
        <w:br w:type="page"/>
      </w:r>
      <w:bookmarkStart w:id="880" w:name="_Toc420814791"/>
      <w:r>
        <w:lastRenderedPageBreak/>
        <w:t xml:space="preserve">Title: </w:t>
      </w:r>
      <w:r w:rsidRPr="0066552F">
        <w:rPr>
          <w:iCs w:val="0"/>
          <w:szCs w:val="24"/>
        </w:rPr>
        <w:t>Book Collector</w:t>
      </w:r>
      <w:bookmarkEnd w:id="880"/>
    </w:p>
    <w:p w:rsidR="0066552F" w:rsidRPr="001A3D2B" w:rsidRDefault="0066552F" w:rsidP="0066552F">
      <w:pPr>
        <w:pStyle w:val="12"/>
      </w:pPr>
      <w:r>
        <w:t xml:space="preserve">Full Journal Title: </w:t>
      </w:r>
      <w:r w:rsidRPr="0066552F">
        <w:rPr>
          <w:iCs/>
          <w:kern w:val="0"/>
        </w:rPr>
        <w:t>Book Collector</w:t>
      </w:r>
    </w:p>
    <w:p w:rsidR="0066552F" w:rsidRPr="001A3D2B" w:rsidRDefault="0066552F" w:rsidP="0066552F">
      <w:pPr>
        <w:pStyle w:val="12"/>
      </w:pPr>
      <w:r w:rsidRPr="001A3D2B">
        <w:t xml:space="preserve">ISO Abbreviated Title: </w:t>
      </w:r>
    </w:p>
    <w:p w:rsidR="0066552F" w:rsidRPr="001A3D2B" w:rsidRDefault="0066552F" w:rsidP="0066552F">
      <w:pPr>
        <w:pStyle w:val="12"/>
      </w:pPr>
      <w:r w:rsidRPr="001A3D2B">
        <w:t xml:space="preserve">JCR Abbreviated Title: </w:t>
      </w:r>
    </w:p>
    <w:p w:rsidR="0066552F" w:rsidRPr="001A3D2B" w:rsidRDefault="0066552F" w:rsidP="0066552F">
      <w:pPr>
        <w:pStyle w:val="12"/>
      </w:pPr>
      <w:r>
        <w:t xml:space="preserve">ISSN: </w:t>
      </w:r>
    </w:p>
    <w:p w:rsidR="0066552F" w:rsidRPr="001A3D2B" w:rsidRDefault="0066552F" w:rsidP="0066552F">
      <w:pPr>
        <w:pStyle w:val="12"/>
      </w:pPr>
      <w:r w:rsidRPr="001A3D2B">
        <w:t xml:space="preserve">Issues/Year: </w:t>
      </w:r>
    </w:p>
    <w:p w:rsidR="0066552F" w:rsidRPr="001A3D2B" w:rsidRDefault="0066552F" w:rsidP="0066552F">
      <w:pPr>
        <w:pStyle w:val="12"/>
      </w:pPr>
      <w:r w:rsidRPr="001A3D2B">
        <w:t xml:space="preserve">Journal Country/Territory: </w:t>
      </w:r>
    </w:p>
    <w:p w:rsidR="0066552F" w:rsidRPr="001A3D2B" w:rsidRDefault="0066552F" w:rsidP="0066552F">
      <w:pPr>
        <w:pStyle w:val="12"/>
      </w:pPr>
      <w:r w:rsidRPr="001A3D2B">
        <w:t xml:space="preserve">Language: </w:t>
      </w:r>
    </w:p>
    <w:p w:rsidR="0066552F" w:rsidRPr="001A3D2B" w:rsidRDefault="0066552F" w:rsidP="0066552F">
      <w:pPr>
        <w:pStyle w:val="12"/>
      </w:pPr>
      <w:r w:rsidRPr="001A3D2B">
        <w:t xml:space="preserve">Publisher: </w:t>
      </w:r>
    </w:p>
    <w:p w:rsidR="0066552F" w:rsidRPr="001A3D2B" w:rsidRDefault="0066552F" w:rsidP="0066552F">
      <w:pPr>
        <w:pStyle w:val="12"/>
      </w:pPr>
      <w:r w:rsidRPr="001A3D2B">
        <w:t xml:space="preserve">Publisher Address: </w:t>
      </w:r>
    </w:p>
    <w:p w:rsidR="0066552F" w:rsidRPr="001A3D2B" w:rsidRDefault="0066552F" w:rsidP="0066552F">
      <w:pPr>
        <w:pStyle w:val="12"/>
      </w:pPr>
      <w:r w:rsidRPr="001A3D2B">
        <w:t>Subject Categories:</w:t>
      </w:r>
    </w:p>
    <w:p w:rsidR="0066552F" w:rsidRPr="001A3D2B" w:rsidRDefault="0066552F" w:rsidP="0066552F">
      <w:pPr>
        <w:pStyle w:val="12"/>
      </w:pPr>
      <w:r w:rsidRPr="001A3D2B">
        <w:t xml:space="preserve">: Impact Factor </w:t>
      </w:r>
    </w:p>
    <w:p w:rsidR="0066552F" w:rsidRDefault="0066552F" w:rsidP="0066552F">
      <w:pPr>
        <w:pStyle w:val="a3"/>
        <w:rPr>
          <w:kern w:val="0"/>
          <w:szCs w:val="24"/>
        </w:rPr>
      </w:pPr>
      <w:r>
        <w:rPr>
          <w:kern w:val="0"/>
          <w:szCs w:val="24"/>
        </w:rPr>
        <w:t>? Baer, A. (2011</w:t>
      </w:r>
      <w:r w:rsidR="00F42EAC">
        <w:rPr>
          <w:kern w:val="0"/>
          <w:szCs w:val="24"/>
        </w:rPr>
        <w:t>), The</w:t>
      </w:r>
      <w:r w:rsidR="003A1917">
        <w:rPr>
          <w:kern w:val="0"/>
          <w:szCs w:val="24"/>
        </w:rPr>
        <w:t xml:space="preserve"> </w:t>
      </w:r>
      <w:r w:rsidR="00700038">
        <w:rPr>
          <w:kern w:val="0"/>
          <w:szCs w:val="24"/>
        </w:rPr>
        <w:t>‘</w:t>
      </w:r>
      <w:r>
        <w:rPr>
          <w:kern w:val="0"/>
          <w:szCs w:val="24"/>
        </w:rPr>
        <w:t>gravy soup</w:t>
      </w:r>
      <w:r w:rsidR="00700038">
        <w:rPr>
          <w:kern w:val="0"/>
          <w:szCs w:val="24"/>
        </w:rPr>
        <w:t>’</w:t>
      </w:r>
      <w:r>
        <w:rPr>
          <w:kern w:val="0"/>
          <w:szCs w:val="24"/>
        </w:rPr>
        <w:t xml:space="preserve"> plagiarism biblio-Vignettes I. </w:t>
      </w:r>
      <w:r w:rsidRPr="0066552F">
        <w:rPr>
          <w:i/>
          <w:iCs/>
          <w:kern w:val="0"/>
          <w:szCs w:val="24"/>
        </w:rPr>
        <w:t>Book Collector</w:t>
      </w:r>
      <w:r>
        <w:rPr>
          <w:kern w:val="0"/>
          <w:szCs w:val="24"/>
        </w:rPr>
        <w:t xml:space="preserve">, </w:t>
      </w:r>
      <w:r>
        <w:rPr>
          <w:b/>
          <w:bCs/>
          <w:kern w:val="0"/>
          <w:szCs w:val="24"/>
        </w:rPr>
        <w:t>60</w:t>
      </w:r>
      <w:r>
        <w:rPr>
          <w:kern w:val="0"/>
          <w:szCs w:val="24"/>
        </w:rPr>
        <w:t xml:space="preserve"> (1), 99-100</w:t>
      </w:r>
      <w:r>
        <w:rPr>
          <w:rFonts w:hint="eastAsia"/>
          <w:kern w:val="0"/>
          <w:szCs w:val="24"/>
        </w:rPr>
        <w:t>.</w:t>
      </w:r>
    </w:p>
    <w:p w:rsidR="0066552F" w:rsidRDefault="0066552F" w:rsidP="0066552F">
      <w:pPr>
        <w:pStyle w:val="a3"/>
        <w:rPr>
          <w:kern w:val="0"/>
          <w:szCs w:val="24"/>
        </w:rPr>
      </w:pPr>
      <w:r>
        <w:rPr>
          <w:rFonts w:hint="eastAsia"/>
          <w:kern w:val="0"/>
          <w:szCs w:val="24"/>
        </w:rPr>
        <w:t>Full Text: 2011\</w:t>
      </w:r>
      <w:r>
        <w:rPr>
          <w:iCs/>
          <w:kern w:val="0"/>
          <w:szCs w:val="24"/>
        </w:rPr>
        <w:t>Boo Col</w:t>
      </w:r>
      <w:r w:rsidRPr="0066552F">
        <w:rPr>
          <w:bCs/>
          <w:kern w:val="0"/>
          <w:szCs w:val="24"/>
        </w:rPr>
        <w:t>60</w:t>
      </w:r>
      <w:r>
        <w:rPr>
          <w:kern w:val="0"/>
          <w:szCs w:val="24"/>
        </w:rPr>
        <w:t>, 99</w:t>
      </w:r>
      <w:r>
        <w:rPr>
          <w:rFonts w:hint="eastAsia"/>
          <w:kern w:val="0"/>
          <w:szCs w:val="24"/>
        </w:rPr>
        <w:t>.pdf</w:t>
      </w:r>
    </w:p>
    <w:p w:rsidR="0066552F" w:rsidRDefault="0066552F" w:rsidP="0066552F">
      <w:pPr>
        <w:pStyle w:val="a3"/>
        <w:rPr>
          <w:kern w:val="0"/>
          <w:szCs w:val="24"/>
        </w:rPr>
      </w:pPr>
      <w:r>
        <w:rPr>
          <w:kern w:val="0"/>
          <w:szCs w:val="24"/>
        </w:rPr>
        <w:t>Keywords: Plagiarism</w:t>
      </w:r>
    </w:p>
    <w:p w:rsidR="00C37AD8" w:rsidRPr="001A3D2B" w:rsidRDefault="00C37AD8" w:rsidP="00C37AD8">
      <w:pPr>
        <w:pStyle w:val="1"/>
      </w:pPr>
      <w:r>
        <w:br w:type="page"/>
      </w:r>
      <w:bookmarkStart w:id="881" w:name="_Toc420814792"/>
      <w:r>
        <w:lastRenderedPageBreak/>
        <w:t xml:space="preserve">Title: </w:t>
      </w:r>
      <w:r w:rsidRPr="008C17D4">
        <w:t>Bosque</w:t>
      </w:r>
      <w:bookmarkEnd w:id="881"/>
    </w:p>
    <w:p w:rsidR="00C37AD8" w:rsidRPr="001A3D2B" w:rsidRDefault="00C37AD8" w:rsidP="00C37AD8">
      <w:pPr>
        <w:pStyle w:val="12"/>
      </w:pPr>
      <w:r>
        <w:t xml:space="preserve">Full Journal Title: </w:t>
      </w:r>
      <w:r w:rsidRPr="008C17D4">
        <w:rPr>
          <w:iCs/>
          <w:kern w:val="0"/>
        </w:rPr>
        <w:t>Bosque</w:t>
      </w:r>
    </w:p>
    <w:p w:rsidR="00C37AD8" w:rsidRPr="001A3D2B" w:rsidRDefault="00C37AD8" w:rsidP="00C37AD8">
      <w:pPr>
        <w:pStyle w:val="12"/>
      </w:pPr>
      <w:r w:rsidRPr="001A3D2B">
        <w:t xml:space="preserve">ISO Abbreviated Title: </w:t>
      </w:r>
    </w:p>
    <w:p w:rsidR="00C37AD8" w:rsidRPr="001A3D2B" w:rsidRDefault="00C37AD8" w:rsidP="00C37AD8">
      <w:pPr>
        <w:pStyle w:val="12"/>
      </w:pPr>
      <w:r w:rsidRPr="001A3D2B">
        <w:t xml:space="preserve">JCR Abbreviated Title: </w:t>
      </w:r>
    </w:p>
    <w:p w:rsidR="00C37AD8" w:rsidRPr="001A3D2B" w:rsidRDefault="00C37AD8" w:rsidP="00C37AD8">
      <w:pPr>
        <w:pStyle w:val="12"/>
      </w:pPr>
      <w:r>
        <w:t xml:space="preserve">ISSN: </w:t>
      </w:r>
    </w:p>
    <w:p w:rsidR="00C37AD8" w:rsidRPr="001A3D2B" w:rsidRDefault="00C37AD8" w:rsidP="00C37AD8">
      <w:pPr>
        <w:pStyle w:val="12"/>
      </w:pPr>
      <w:r w:rsidRPr="001A3D2B">
        <w:t xml:space="preserve">Issues/Year: </w:t>
      </w:r>
    </w:p>
    <w:p w:rsidR="00C37AD8" w:rsidRPr="001A3D2B" w:rsidRDefault="00C37AD8" w:rsidP="00C37AD8">
      <w:pPr>
        <w:pStyle w:val="12"/>
      </w:pPr>
      <w:r w:rsidRPr="001A3D2B">
        <w:t xml:space="preserve">Journal Country/Territory: </w:t>
      </w:r>
    </w:p>
    <w:p w:rsidR="00C37AD8" w:rsidRPr="001A3D2B" w:rsidRDefault="00C37AD8" w:rsidP="00C37AD8">
      <w:pPr>
        <w:pStyle w:val="12"/>
      </w:pPr>
      <w:r w:rsidRPr="001A3D2B">
        <w:t xml:space="preserve">Language: </w:t>
      </w:r>
    </w:p>
    <w:p w:rsidR="00C37AD8" w:rsidRPr="001A3D2B" w:rsidRDefault="00C37AD8" w:rsidP="00C37AD8">
      <w:pPr>
        <w:pStyle w:val="12"/>
      </w:pPr>
      <w:r w:rsidRPr="001A3D2B">
        <w:t xml:space="preserve">Publisher: </w:t>
      </w:r>
    </w:p>
    <w:p w:rsidR="00C37AD8" w:rsidRPr="001A3D2B" w:rsidRDefault="00C37AD8" w:rsidP="00C37AD8">
      <w:pPr>
        <w:pStyle w:val="12"/>
      </w:pPr>
      <w:r w:rsidRPr="001A3D2B">
        <w:t xml:space="preserve">Publisher Address: </w:t>
      </w:r>
    </w:p>
    <w:p w:rsidR="00C37AD8" w:rsidRPr="001A3D2B" w:rsidRDefault="00C37AD8" w:rsidP="00C37AD8">
      <w:pPr>
        <w:pStyle w:val="12"/>
      </w:pPr>
      <w:r w:rsidRPr="001A3D2B">
        <w:t>Subject Categories:</w:t>
      </w:r>
    </w:p>
    <w:p w:rsidR="00C37AD8" w:rsidRPr="001A3D2B" w:rsidRDefault="00C37AD8" w:rsidP="00C37AD8">
      <w:pPr>
        <w:pStyle w:val="12"/>
      </w:pPr>
      <w:r w:rsidRPr="001A3D2B">
        <w:t xml:space="preserve">: Impact Factor </w:t>
      </w:r>
    </w:p>
    <w:p w:rsidR="00C37AD8" w:rsidRDefault="00C37AD8" w:rsidP="00C37AD8">
      <w:pPr>
        <w:pStyle w:val="a3"/>
        <w:rPr>
          <w:kern w:val="0"/>
        </w:rPr>
      </w:pPr>
      <w:r>
        <w:rPr>
          <w:rFonts w:hint="eastAsia"/>
          <w:kern w:val="0"/>
        </w:rPr>
        <w:t xml:space="preserve">? </w:t>
      </w:r>
      <w:r>
        <w:rPr>
          <w:kern w:val="0"/>
        </w:rPr>
        <w:t>Acuña, E., Espinosa, M.</w:t>
      </w:r>
      <w:r w:rsidR="005853A9">
        <w:rPr>
          <w:kern w:val="0"/>
        </w:rPr>
        <w:t xml:space="preserve"> and </w:t>
      </w:r>
      <w:r>
        <w:rPr>
          <w:kern w:val="0"/>
        </w:rPr>
        <w:t>Cancino, J. (2013), Paper-based productivity ranking</w:t>
      </w:r>
      <w:r w:rsidR="00427468">
        <w:rPr>
          <w:kern w:val="0"/>
        </w:rPr>
        <w:t xml:space="preserve"> of </w:t>
      </w:r>
      <w:r>
        <w:rPr>
          <w:kern w:val="0"/>
        </w:rPr>
        <w:t xml:space="preserve">Chilean forestry institutions. </w:t>
      </w:r>
      <w:r w:rsidRPr="008C17D4">
        <w:rPr>
          <w:i/>
          <w:iCs/>
          <w:kern w:val="0"/>
        </w:rPr>
        <w:t>Bosque</w:t>
      </w:r>
      <w:r>
        <w:rPr>
          <w:kern w:val="0"/>
        </w:rPr>
        <w:t xml:space="preserve">, </w:t>
      </w:r>
      <w:r>
        <w:rPr>
          <w:b/>
          <w:bCs/>
          <w:kern w:val="0"/>
        </w:rPr>
        <w:t>34</w:t>
      </w:r>
      <w:r>
        <w:rPr>
          <w:kern w:val="0"/>
        </w:rPr>
        <w:t xml:space="preserve"> (2), 211-219.</w:t>
      </w:r>
    </w:p>
    <w:p w:rsidR="00C37AD8" w:rsidRDefault="00C37AD8" w:rsidP="00C37AD8">
      <w:pPr>
        <w:pStyle w:val="a3"/>
        <w:rPr>
          <w:kern w:val="0"/>
        </w:rPr>
      </w:pPr>
      <w:r>
        <w:rPr>
          <w:rFonts w:hint="eastAsia"/>
          <w:kern w:val="0"/>
        </w:rPr>
        <w:t xml:space="preserve">Full Text: </w:t>
      </w:r>
      <w:hyperlink r:id="rId1794" w:history="1">
        <w:r w:rsidRPr="008C17D4">
          <w:rPr>
            <w:rStyle w:val="a5"/>
            <w:kern w:val="0"/>
          </w:rPr>
          <w:t>2013\Bosque34, 211.pdf</w:t>
        </w:r>
      </w:hyperlink>
    </w:p>
    <w:p w:rsidR="00C37AD8" w:rsidRDefault="00C37AD8" w:rsidP="00C37AD8">
      <w:pPr>
        <w:pStyle w:val="a3"/>
        <w:rPr>
          <w:kern w:val="0"/>
        </w:rPr>
      </w:pPr>
      <w:r>
        <w:rPr>
          <w:kern w:val="0"/>
        </w:rPr>
        <w:t>Abstract: Using the information from the two main online scientific databases,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(WoS), the scientific productivity</w:t>
      </w:r>
      <w:r w:rsidR="00427468">
        <w:rPr>
          <w:kern w:val="0"/>
        </w:rPr>
        <w:t xml:space="preserve"> of </w:t>
      </w:r>
      <w:r>
        <w:rPr>
          <w:kern w:val="0"/>
        </w:rPr>
        <w:t>Chilean research institutions associated with the forestry sector was analyzed for the period 2000-2011</w:t>
      </w:r>
      <w:r w:rsidR="00A37C1D">
        <w:rPr>
          <w:kern w:val="0"/>
        </w:rPr>
        <w:t>. The</w:t>
      </w:r>
      <w:r>
        <w:rPr>
          <w:kern w:val="0"/>
        </w:rPr>
        <w:t xml:space="preserve"> following factors were analyzed: number</w:t>
      </w:r>
      <w:r w:rsidR="00427468">
        <w:rPr>
          <w:kern w:val="0"/>
        </w:rPr>
        <w:t xml:space="preserve"> of </w:t>
      </w:r>
      <w:r>
        <w:rPr>
          <w:kern w:val="0"/>
        </w:rPr>
        <w:t>publications indexed in WoS</w:t>
      </w:r>
      <w:r w:rsidR="005853A9">
        <w:rPr>
          <w:kern w:val="0"/>
        </w:rPr>
        <w:t xml:space="preserve"> and </w:t>
      </w:r>
      <w:r>
        <w:rPr>
          <w:kern w:val="0"/>
        </w:rPr>
        <w:t xml:space="preserve">Scopus, citation frequency, impact indexes, </w:t>
      </w:r>
      <w:r w:rsidR="00D5664A">
        <w:rPr>
          <w:kern w:val="0"/>
        </w:rPr>
        <w:t>h-Index</w:t>
      </w:r>
      <w:r>
        <w:rPr>
          <w:kern w:val="0"/>
        </w:rPr>
        <w:t>, international contribution, self-citing</w:t>
      </w:r>
      <w:r w:rsidR="005853A9">
        <w:rPr>
          <w:kern w:val="0"/>
        </w:rPr>
        <w:t xml:space="preserve"> and </w:t>
      </w:r>
      <w:r>
        <w:rPr>
          <w:kern w:val="0"/>
        </w:rPr>
        <w:t>subject area</w:t>
      </w:r>
      <w:r w:rsidR="00427468">
        <w:rPr>
          <w:kern w:val="0"/>
        </w:rPr>
        <w:t xml:space="preserve"> of </w:t>
      </w:r>
      <w:r>
        <w:rPr>
          <w:kern w:val="0"/>
        </w:rPr>
        <w:t>publications</w:t>
      </w:r>
      <w:r w:rsidR="00A37C1D">
        <w:rPr>
          <w:kern w:val="0"/>
        </w:rPr>
        <w:t>. The</w:t>
      </w:r>
      <w:r>
        <w:rPr>
          <w:kern w:val="0"/>
        </w:rPr>
        <w:t xml:space="preserve"> articles selected indicated affiliation either to faculties that offered undergraduate Forestry Programs in March 2012 or to public</w:t>
      </w:r>
      <w:r w:rsidR="005853A9">
        <w:rPr>
          <w:kern w:val="0"/>
        </w:rPr>
        <w:t xml:space="preserve"> and </w:t>
      </w:r>
      <w:r>
        <w:rPr>
          <w:kern w:val="0"/>
        </w:rPr>
        <w:t>private institutions associated with the forestry sector. Using this information, a ranking</w:t>
      </w:r>
      <w:r w:rsidR="00427468">
        <w:rPr>
          <w:kern w:val="0"/>
        </w:rPr>
        <w:t xml:space="preserve"> of </w:t>
      </w:r>
      <w:r>
        <w:rPr>
          <w:kern w:val="0"/>
        </w:rPr>
        <w:t>scientific productivity for each institution was established according to the number</w:t>
      </w:r>
      <w:r w:rsidR="00427468">
        <w:rPr>
          <w:kern w:val="0"/>
        </w:rPr>
        <w:t xml:space="preserve"> of </w:t>
      </w:r>
      <w:r>
        <w:rPr>
          <w:kern w:val="0"/>
        </w:rPr>
        <w:t>publications registered in WoS. Results show that the universities which offered Forestry Programs published 515 articles in WoS indexed journals</w:t>
      </w:r>
      <w:r w:rsidR="005853A9">
        <w:rPr>
          <w:kern w:val="0"/>
        </w:rPr>
        <w:t xml:space="preserve"> and </w:t>
      </w:r>
      <w:r>
        <w:rPr>
          <w:kern w:val="0"/>
        </w:rPr>
        <w:t>625 in Scopus, corresponding to 88.5</w:t>
      </w:r>
      <w:r w:rsidR="005853A9">
        <w:rPr>
          <w:kern w:val="0"/>
        </w:rPr>
        <w:t xml:space="preserve"> and </w:t>
      </w:r>
      <w:r>
        <w:rPr>
          <w:kern w:val="0"/>
        </w:rPr>
        <w:t>85.0 %</w:t>
      </w:r>
      <w:r w:rsidR="00427468">
        <w:rPr>
          <w:kern w:val="0"/>
        </w:rPr>
        <w:t xml:space="preserve"> of </w:t>
      </w:r>
      <w:r>
        <w:rPr>
          <w:kern w:val="0"/>
        </w:rPr>
        <w:t>the publications in the period, respectively. Universidad de Concepcion, Universidad Austral de Chile</w:t>
      </w:r>
      <w:r w:rsidR="005853A9">
        <w:rPr>
          <w:kern w:val="0"/>
        </w:rPr>
        <w:t xml:space="preserve"> and </w:t>
      </w:r>
      <w:r>
        <w:rPr>
          <w:kern w:val="0"/>
        </w:rPr>
        <w:t>Universidad de Chile concentrate more than two-thirds</w:t>
      </w:r>
      <w:r w:rsidR="00427468">
        <w:rPr>
          <w:kern w:val="0"/>
        </w:rPr>
        <w:t xml:space="preserve"> of </w:t>
      </w:r>
      <w:r>
        <w:rPr>
          <w:kern w:val="0"/>
        </w:rPr>
        <w:t>WoS</w:t>
      </w:r>
      <w:r w:rsidR="005853A9">
        <w:rPr>
          <w:kern w:val="0"/>
        </w:rPr>
        <w:t xml:space="preserve"> and </w:t>
      </w:r>
      <w:r>
        <w:rPr>
          <w:kern w:val="0"/>
        </w:rPr>
        <w:t>Scopus-indexed articles; the number</w:t>
      </w:r>
      <w:r w:rsidR="00427468">
        <w:rPr>
          <w:kern w:val="0"/>
        </w:rPr>
        <w:t xml:space="preserve"> of </w:t>
      </w:r>
      <w:r>
        <w:rPr>
          <w:kern w:val="0"/>
        </w:rPr>
        <w:t>publications per researcher indicates that Pontificia Universidad Catolica de Chile</w:t>
      </w:r>
      <w:r w:rsidR="005853A9">
        <w:rPr>
          <w:kern w:val="0"/>
        </w:rPr>
        <w:t xml:space="preserve"> and </w:t>
      </w:r>
      <w:r>
        <w:rPr>
          <w:kern w:val="0"/>
        </w:rPr>
        <w:t>Universidad de Concepcion are in first</w:t>
      </w:r>
      <w:r w:rsidR="005853A9">
        <w:rPr>
          <w:kern w:val="0"/>
        </w:rPr>
        <w:t xml:space="preserve"> and </w:t>
      </w:r>
      <w:r>
        <w:rPr>
          <w:kern w:val="0"/>
        </w:rPr>
        <w:t>second place followed by Universidad Austral de Chile</w:t>
      </w:r>
      <w:r w:rsidR="005853A9">
        <w:rPr>
          <w:kern w:val="0"/>
        </w:rPr>
        <w:t xml:space="preserve"> and </w:t>
      </w:r>
      <w:r>
        <w:rPr>
          <w:kern w:val="0"/>
        </w:rPr>
        <w:t>Universidad de Chile. Most publications (more than 80 %) are concentrated between the years 2006</w:t>
      </w:r>
      <w:r w:rsidR="005853A9">
        <w:rPr>
          <w:kern w:val="0"/>
        </w:rPr>
        <w:t xml:space="preserve"> and </w:t>
      </w:r>
      <w:r>
        <w:rPr>
          <w:kern w:val="0"/>
        </w:rPr>
        <w:t>2011</w:t>
      </w:r>
      <w:r w:rsidR="00A37C1D">
        <w:rPr>
          <w:kern w:val="0"/>
        </w:rPr>
        <w:t>. The</w:t>
      </w:r>
      <w:r>
        <w:rPr>
          <w:kern w:val="0"/>
        </w:rPr>
        <w:t xml:space="preserve"> main research subjects in Universidad de Concepcion, Universidad Austral de Chile</w:t>
      </w:r>
      <w:r w:rsidR="005853A9">
        <w:rPr>
          <w:kern w:val="0"/>
        </w:rPr>
        <w:t xml:space="preserve"> and </w:t>
      </w:r>
      <w:r>
        <w:rPr>
          <w:kern w:val="0"/>
        </w:rPr>
        <w:t>Universidad de Chile are Forestry</w:t>
      </w:r>
      <w:r w:rsidR="005853A9">
        <w:rPr>
          <w:kern w:val="0"/>
        </w:rPr>
        <w:t xml:space="preserve"> and </w:t>
      </w:r>
      <w:r>
        <w:rPr>
          <w:kern w:val="0"/>
        </w:rPr>
        <w:t>Biodiversity,</w:t>
      </w:r>
      <w:r w:rsidR="005853A9">
        <w:rPr>
          <w:kern w:val="0"/>
        </w:rPr>
        <w:t xml:space="preserve"> and </w:t>
      </w:r>
      <w:r>
        <w:rPr>
          <w:kern w:val="0"/>
        </w:rPr>
        <w:t>Conservation</w:t>
      </w:r>
      <w:r w:rsidR="005853A9">
        <w:rPr>
          <w:kern w:val="0"/>
        </w:rPr>
        <w:t xml:space="preserve"> and </w:t>
      </w:r>
      <w:r>
        <w:rPr>
          <w:kern w:val="0"/>
        </w:rPr>
        <w:t>Ecology. In Pontificia Universidad Catolica de Chile, it is Agriculture.</w:t>
      </w:r>
    </w:p>
    <w:p w:rsidR="00C37AD8" w:rsidRDefault="00C37AD8" w:rsidP="00C37AD8">
      <w:pPr>
        <w:pStyle w:val="a3"/>
        <w:rPr>
          <w:kern w:val="0"/>
        </w:rPr>
      </w:pPr>
      <w:r>
        <w:rPr>
          <w:kern w:val="0"/>
        </w:rPr>
        <w:lastRenderedPageBreak/>
        <w:t xml:space="preserve">Keywords: Affiliation, Agriculture, Biodiversity, Chile, Citation, Citation Frequency, Concentrate, Conservation, Databases, Ecology, Efficiency, First, Forestry, Forestry Publications, </w:t>
      </w:r>
      <w:r w:rsidR="00D5664A">
        <w:rPr>
          <w:rFonts w:hint="eastAsia"/>
          <w:kern w:val="0"/>
        </w:rPr>
        <w:t>h Index</w:t>
      </w:r>
      <w:r>
        <w:rPr>
          <w:kern w:val="0"/>
        </w:rPr>
        <w:t xml:space="preserve">, </w:t>
      </w:r>
      <w:r w:rsidR="00D5664A">
        <w:rPr>
          <w:rFonts w:hint="eastAsia"/>
          <w:kern w:val="0"/>
        </w:rPr>
        <w:t>h-Index</w:t>
      </w:r>
      <w:r>
        <w:rPr>
          <w:kern w:val="0"/>
        </w:rPr>
        <w:t xml:space="preserve">, Impact, Index, Information, Institutions, International, Journals, Management, Online, Productivity, Productivity Ranking, Programs, Public, Publication, Publications, Ranking, Research, Research Impact, Research Impact, Research Institutions, Research Performance, Results, Science, Scientific Productivity, Scopus, Sector, Self-Citation, Undergraduate, Universities, </w:t>
      </w:r>
      <w:r w:rsidR="00D5664A">
        <w:rPr>
          <w:kern w:val="0"/>
        </w:rPr>
        <w:t>Web</w:t>
      </w:r>
      <w:r w:rsidR="00427468">
        <w:rPr>
          <w:kern w:val="0"/>
        </w:rPr>
        <w:t xml:space="preserve"> of </w:t>
      </w:r>
      <w:r w:rsidR="00D5664A">
        <w:rPr>
          <w:kern w:val="0"/>
        </w:rPr>
        <w:t>Science</w:t>
      </w:r>
      <w:r>
        <w:rPr>
          <w:kern w:val="0"/>
        </w:rPr>
        <w:t>, WoS</w:t>
      </w:r>
    </w:p>
    <w:p w:rsidR="00E537CD" w:rsidRPr="00FC7835" w:rsidRDefault="00E537CD" w:rsidP="00E537CD">
      <w:pPr>
        <w:pStyle w:val="1"/>
      </w:pPr>
      <w:r w:rsidRPr="00FC7835">
        <w:rPr>
          <w:b w:val="0"/>
        </w:rPr>
        <w:br w:type="page"/>
      </w:r>
      <w:bookmarkStart w:id="882" w:name="_Toc420814793"/>
      <w:r w:rsidRPr="00FC7835">
        <w:lastRenderedPageBreak/>
        <w:t xml:space="preserve">Title: </w:t>
      </w:r>
      <w:r>
        <w:t>Botany-Botanique</w:t>
      </w:r>
      <w:bookmarkEnd w:id="882"/>
    </w:p>
    <w:p w:rsidR="00E537CD" w:rsidRPr="007309E8" w:rsidRDefault="00E537CD" w:rsidP="00E537CD">
      <w:pPr>
        <w:pStyle w:val="12"/>
      </w:pPr>
      <w:r w:rsidRPr="007309E8">
        <w:t xml:space="preserve">Full Journal Title: </w:t>
      </w:r>
      <w:r>
        <w:t>Botany-Botanique</w:t>
      </w:r>
    </w:p>
    <w:p w:rsidR="00E537CD" w:rsidRPr="007309E8" w:rsidRDefault="00E537CD" w:rsidP="00E537CD">
      <w:pPr>
        <w:pStyle w:val="12"/>
      </w:pPr>
      <w:r w:rsidRPr="007309E8">
        <w:t xml:space="preserve">ISO Abbreviated Title: </w:t>
      </w:r>
    </w:p>
    <w:p w:rsidR="00E537CD" w:rsidRPr="007309E8" w:rsidRDefault="00E537CD" w:rsidP="00E537CD">
      <w:pPr>
        <w:pStyle w:val="12"/>
      </w:pPr>
      <w:r w:rsidRPr="007309E8">
        <w:t xml:space="preserve">JCR Abbreviated Title: </w:t>
      </w:r>
    </w:p>
    <w:p w:rsidR="00E537CD" w:rsidRPr="007309E8" w:rsidRDefault="00E537CD" w:rsidP="00E537CD">
      <w:pPr>
        <w:pStyle w:val="12"/>
      </w:pPr>
      <w:r>
        <w:t xml:space="preserve">ISSN: </w:t>
      </w:r>
    </w:p>
    <w:p w:rsidR="00E537CD" w:rsidRPr="007309E8" w:rsidRDefault="00E537CD" w:rsidP="00E537CD">
      <w:pPr>
        <w:pStyle w:val="12"/>
      </w:pPr>
      <w:r w:rsidRPr="007309E8">
        <w:t xml:space="preserve">Issues/Year: </w:t>
      </w:r>
    </w:p>
    <w:p w:rsidR="00E537CD" w:rsidRPr="007309E8" w:rsidRDefault="00E537CD" w:rsidP="00E537CD">
      <w:pPr>
        <w:pStyle w:val="12"/>
      </w:pPr>
      <w:r w:rsidRPr="007309E8">
        <w:t xml:space="preserve">Journal Country/Territory: </w:t>
      </w:r>
    </w:p>
    <w:p w:rsidR="00E537CD" w:rsidRPr="007309E8" w:rsidRDefault="00E537CD" w:rsidP="00E537CD">
      <w:pPr>
        <w:pStyle w:val="12"/>
      </w:pPr>
      <w:r w:rsidRPr="007309E8">
        <w:t xml:space="preserve">Language: </w:t>
      </w:r>
    </w:p>
    <w:p w:rsidR="00E537CD" w:rsidRPr="007309E8" w:rsidRDefault="00E537CD" w:rsidP="00E537CD">
      <w:pPr>
        <w:pStyle w:val="12"/>
      </w:pPr>
      <w:r w:rsidRPr="007309E8">
        <w:t xml:space="preserve">Publisher: </w:t>
      </w:r>
    </w:p>
    <w:p w:rsidR="00E537CD" w:rsidRPr="007309E8" w:rsidRDefault="00E537CD" w:rsidP="00E537CD">
      <w:pPr>
        <w:pStyle w:val="12"/>
      </w:pPr>
      <w:r w:rsidRPr="007309E8">
        <w:t xml:space="preserve">Publisher Address: </w:t>
      </w:r>
    </w:p>
    <w:p w:rsidR="00E537CD" w:rsidRPr="007309E8" w:rsidRDefault="00E537CD" w:rsidP="00E537CD">
      <w:pPr>
        <w:pStyle w:val="12"/>
      </w:pPr>
      <w:r w:rsidRPr="007309E8">
        <w:t xml:space="preserve">Subject Categories: </w:t>
      </w:r>
    </w:p>
    <w:p w:rsidR="00E537CD" w:rsidRPr="007309E8" w:rsidRDefault="00E537CD" w:rsidP="00E537CD">
      <w:pPr>
        <w:pStyle w:val="12"/>
      </w:pPr>
      <w:r w:rsidRPr="007309E8">
        <w:t xml:space="preserve">: Impact Factor </w:t>
      </w:r>
    </w:p>
    <w:p w:rsidR="00E537CD" w:rsidRDefault="00E537CD" w:rsidP="00E537CD">
      <w:pPr>
        <w:pStyle w:val="a3"/>
      </w:pPr>
      <w:r w:rsidRPr="00FC7835">
        <w:t xml:space="preserve">? </w:t>
      </w:r>
      <w:r>
        <w:t>Lacroix, C</w:t>
      </w:r>
      <w:r>
        <w:rPr>
          <w:rFonts w:hint="eastAsia"/>
        </w:rPr>
        <w:t>.</w:t>
      </w:r>
      <w:r>
        <w:t>R</w:t>
      </w:r>
      <w:r>
        <w:rPr>
          <w:rFonts w:hint="eastAsia"/>
        </w:rPr>
        <w:t>.</w:t>
      </w:r>
      <w:r>
        <w:t xml:space="preserve"> </w:t>
      </w:r>
      <w:r w:rsidRPr="00FC7835">
        <w:t>(</w:t>
      </w:r>
      <w:r>
        <w:rPr>
          <w:rFonts w:hint="eastAsia"/>
        </w:rPr>
        <w:t>2013</w:t>
      </w:r>
      <w:r w:rsidRPr="00FC7835">
        <w:t>)</w:t>
      </w:r>
      <w:r>
        <w:t>, Most highly cited journal article 2011</w:t>
      </w:r>
      <w:r w:rsidRPr="00FC7835">
        <w:t xml:space="preserve">. </w:t>
      </w:r>
      <w:r w:rsidRPr="00304B1A">
        <w:rPr>
          <w:i/>
        </w:rPr>
        <w:t>Botany-Botanique</w:t>
      </w:r>
      <w:r>
        <w:t xml:space="preserve">, </w:t>
      </w:r>
      <w:r>
        <w:rPr>
          <w:rFonts w:hint="eastAsia"/>
          <w:b/>
          <w:bCs/>
        </w:rPr>
        <w:t>91</w:t>
      </w:r>
      <w:r w:rsidRPr="00FC7835">
        <w:t xml:space="preserve"> (</w:t>
      </w:r>
      <w:r>
        <w:rPr>
          <w:rFonts w:hint="eastAsia"/>
        </w:rPr>
        <w:t>8</w:t>
      </w:r>
      <w:r w:rsidRPr="00FC7835">
        <w:t>)</w:t>
      </w:r>
      <w:r>
        <w:t>, III</w:t>
      </w:r>
      <w:r w:rsidRPr="00FC7835">
        <w:t>.</w:t>
      </w:r>
    </w:p>
    <w:p w:rsidR="00E537CD" w:rsidRDefault="00E537CD" w:rsidP="00E537CD">
      <w:pPr>
        <w:pStyle w:val="a3"/>
      </w:pPr>
      <w:r>
        <w:rPr>
          <w:rFonts w:hint="eastAsia"/>
        </w:rPr>
        <w:t xml:space="preserve">Full Text: </w:t>
      </w:r>
      <w:hyperlink r:id="rId1795" w:history="1">
        <w:r w:rsidRPr="00304B1A">
          <w:rPr>
            <w:rStyle w:val="a5"/>
          </w:rPr>
          <w:t>2013\Bot-Bot91, III.pdf</w:t>
        </w:r>
      </w:hyperlink>
    </w:p>
    <w:p w:rsidR="003474F2" w:rsidRPr="001A3D2B" w:rsidRDefault="003474F2" w:rsidP="003474F2">
      <w:pPr>
        <w:pStyle w:val="1"/>
      </w:pPr>
      <w:r w:rsidRPr="001A3D2B">
        <w:br w:type="page"/>
      </w:r>
      <w:bookmarkStart w:id="883" w:name="_Toc420814794"/>
      <w:r w:rsidRPr="001A3D2B">
        <w:lastRenderedPageBreak/>
        <w:t>Title: Bothalia</w:t>
      </w:r>
      <w:bookmarkEnd w:id="883"/>
    </w:p>
    <w:p w:rsidR="003474F2" w:rsidRPr="001A3D2B" w:rsidRDefault="003474F2" w:rsidP="003474F2">
      <w:pPr>
        <w:pStyle w:val="12"/>
      </w:pPr>
      <w:r w:rsidRPr="001A3D2B">
        <w:t>Full Journal Title: Bothalia</w:t>
      </w:r>
    </w:p>
    <w:p w:rsidR="003474F2" w:rsidRPr="001A3D2B" w:rsidRDefault="003474F2" w:rsidP="003474F2">
      <w:pPr>
        <w:pStyle w:val="12"/>
      </w:pPr>
      <w:r w:rsidRPr="001A3D2B">
        <w:t>I</w:t>
      </w:r>
      <w:bookmarkStart w:id="884" w:name="_Toc81215646"/>
      <w:r w:rsidRPr="001A3D2B">
        <w:t xml:space="preserve">SO Abbreviated </w:t>
      </w:r>
      <w:bookmarkEnd w:id="884"/>
      <w:r w:rsidRPr="001A3D2B">
        <w:t xml:space="preserve">Title: </w:t>
      </w:r>
      <w:r w:rsidR="0066552F" w:rsidRPr="001A3D2B">
        <w:t>Bothalia</w:t>
      </w:r>
    </w:p>
    <w:p w:rsidR="003474F2" w:rsidRPr="001A3D2B" w:rsidRDefault="003474F2" w:rsidP="003474F2">
      <w:pPr>
        <w:pStyle w:val="12"/>
      </w:pPr>
      <w:r w:rsidRPr="001A3D2B">
        <w:t xml:space="preserve">JCR Abbreviated Title: </w:t>
      </w:r>
      <w:r w:rsidR="0066552F" w:rsidRPr="001A3D2B">
        <w:t>Bothalia</w:t>
      </w:r>
    </w:p>
    <w:p w:rsidR="003474F2" w:rsidRPr="001A3D2B" w:rsidRDefault="003474F2" w:rsidP="003474F2">
      <w:pPr>
        <w:pStyle w:val="12"/>
      </w:pPr>
      <w:r w:rsidRPr="001A3D2B">
        <w:t>ISSN: 0006-8241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Archer, R.H.</w:t>
      </w:r>
      <w:r w:rsidR="005853A9">
        <w:t xml:space="preserve"> and </w:t>
      </w:r>
      <w:r w:rsidRPr="001A3D2B">
        <w:t>VanWyk, A.E. (1996), Celastraceae - Correct orthography</w:t>
      </w:r>
      <w:r w:rsidR="005853A9">
        <w:t xml:space="preserve"> and </w:t>
      </w:r>
      <w:r w:rsidRPr="001A3D2B">
        <w:t xml:space="preserve">author citation for Elaeodendron. </w:t>
      </w:r>
      <w:r w:rsidRPr="001A3D2B">
        <w:rPr>
          <w:i/>
          <w:iCs/>
        </w:rPr>
        <w:t>Bothalia</w:t>
      </w:r>
      <w:r w:rsidRPr="001A3D2B">
        <w:t xml:space="preserve">, </w:t>
      </w:r>
      <w:r w:rsidRPr="001A3D2B">
        <w:rPr>
          <w:b/>
          <w:bCs/>
        </w:rPr>
        <w:t>26</w:t>
      </w:r>
      <w:r w:rsidRPr="001A3D2B">
        <w:t xml:space="preserve"> (1), 41-42.</w:t>
      </w:r>
    </w:p>
    <w:p w:rsidR="003474F2" w:rsidRPr="001A3D2B" w:rsidRDefault="003474F2" w:rsidP="003474F2">
      <w:pPr>
        <w:pStyle w:val="1"/>
      </w:pPr>
      <w:r w:rsidRPr="001A3D2B">
        <w:br w:type="page"/>
      </w:r>
      <w:bookmarkStart w:id="885" w:name="_Toc420814795"/>
      <w:r w:rsidRPr="001A3D2B">
        <w:lastRenderedPageBreak/>
        <w:t xml:space="preserve">Title: </w:t>
      </w:r>
      <w:r w:rsidRPr="001A3D2B">
        <w:rPr>
          <w:iCs w:val="0"/>
        </w:rPr>
        <w:t>Brain</w:t>
      </w:r>
      <w:bookmarkEnd w:id="885"/>
    </w:p>
    <w:p w:rsidR="003474F2" w:rsidRPr="001A3D2B" w:rsidRDefault="003474F2" w:rsidP="003474F2">
      <w:pPr>
        <w:pStyle w:val="12"/>
      </w:pPr>
      <w:r w:rsidRPr="001A3D2B">
        <w:t xml:space="preserve">Full Journal Title: </w:t>
      </w:r>
      <w:hyperlink r:id="rId1796" w:history="1">
        <w:r w:rsidRPr="001A3D2B">
          <w:rPr>
            <w:rStyle w:val="a5"/>
            <w:iCs/>
          </w:rPr>
          <w:t>Brain</w:t>
        </w:r>
      </w:hyperlink>
    </w:p>
    <w:p w:rsidR="003474F2" w:rsidRPr="001A3D2B" w:rsidRDefault="003474F2" w:rsidP="003474F2">
      <w:pPr>
        <w:pStyle w:val="12"/>
      </w:pPr>
      <w:r w:rsidRPr="001A3D2B">
        <w:t>ISO Abbreviated Title: Brain</w:t>
      </w:r>
    </w:p>
    <w:p w:rsidR="003474F2" w:rsidRPr="001A3D2B" w:rsidRDefault="003474F2" w:rsidP="003474F2">
      <w:pPr>
        <w:pStyle w:val="12"/>
      </w:pPr>
      <w:r w:rsidRPr="001A3D2B">
        <w:t>JCR Abbreviated Title: Brain</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Hodges, J.R. (2006), Alzheimer</w:t>
      </w:r>
      <w:r w:rsidR="00700038">
        <w:t>’</w:t>
      </w:r>
      <w:r w:rsidR="00C13DDC">
        <w:t>s</w:t>
      </w:r>
      <w:r w:rsidRPr="001A3D2B">
        <w:t xml:space="preserve"> centennial legacy: Origins, landmarks</w:t>
      </w:r>
      <w:r w:rsidR="005853A9">
        <w:t xml:space="preserve"> and </w:t>
      </w:r>
      <w:r w:rsidR="003A1917">
        <w:t xml:space="preserve">the </w:t>
      </w:r>
      <w:r w:rsidRPr="001A3D2B">
        <w:t>current status</w:t>
      </w:r>
      <w:r w:rsidR="00427468">
        <w:t xml:space="preserve"> of </w:t>
      </w:r>
      <w:r w:rsidRPr="001A3D2B">
        <w:t xml:space="preserve">knowledge concerning cognitive aspects. </w:t>
      </w:r>
      <w:r w:rsidRPr="001A3D2B">
        <w:rPr>
          <w:i/>
          <w:iCs/>
        </w:rPr>
        <w:t>Brain</w:t>
      </w:r>
      <w:r w:rsidRPr="001A3D2B">
        <w:t xml:space="preserve">, </w:t>
      </w:r>
      <w:r w:rsidRPr="001A3D2B">
        <w:rPr>
          <w:b/>
          <w:bCs/>
        </w:rPr>
        <w:t>129</w:t>
      </w:r>
      <w:r w:rsidRPr="001A3D2B">
        <w:t>, 2811-2822.</w:t>
      </w:r>
    </w:p>
    <w:p w:rsidR="003474F2" w:rsidRPr="001A3D2B" w:rsidRDefault="003474F2" w:rsidP="003474F2">
      <w:pPr>
        <w:pStyle w:val="a3"/>
      </w:pPr>
      <w:r w:rsidRPr="001A3D2B">
        <w:t xml:space="preserve">Full Text: </w:t>
      </w:r>
      <w:hyperlink r:id="rId1797" w:history="1">
        <w:r w:rsidRPr="001A3D2B">
          <w:rPr>
            <w:rStyle w:val="a5"/>
          </w:rPr>
          <w:t>2006\Brain129, 2811.pdf</w:t>
        </w:r>
      </w:hyperlink>
    </w:p>
    <w:p w:rsidR="003474F2" w:rsidRPr="001A3D2B" w:rsidRDefault="003474F2" w:rsidP="003474F2">
      <w:pPr>
        <w:pStyle w:val="a3"/>
      </w:pPr>
      <w:r w:rsidRPr="001A3D2B">
        <w:t>Abstract: This review commemorates 100 years</w:t>
      </w:r>
      <w:r w:rsidR="00427468">
        <w:t xml:space="preserve"> of </w:t>
      </w:r>
      <w:r w:rsidRPr="001A3D2B">
        <w:t>research into Alzheimer</w:t>
      </w:r>
      <w:r w:rsidR="00700038">
        <w:t>’</w:t>
      </w:r>
      <w:r w:rsidR="00C13DDC">
        <w:t>s</w:t>
      </w:r>
      <w:r w:rsidRPr="001A3D2B">
        <w:t xml:space="preserve"> disease and, by happy coincidence,</w:t>
      </w:r>
      <w:r w:rsidR="003A1917">
        <w:t xml:space="preserve"> the </w:t>
      </w:r>
      <w:r w:rsidRPr="001A3D2B">
        <w:t>publication</w:t>
      </w:r>
      <w:r w:rsidR="00427468">
        <w:t xml:space="preserve"> of </w:t>
      </w:r>
      <w:r w:rsidRPr="001A3D2B">
        <w:t>100 papers in Brain on</w:t>
      </w:r>
      <w:r w:rsidR="003A1917">
        <w:t xml:space="preserve"> the </w:t>
      </w:r>
      <w:r w:rsidRPr="001A3D2B">
        <w:t>topic</w:t>
      </w:r>
      <w:r w:rsidR="00A37C1D">
        <w:t>. The</w:t>
      </w:r>
      <w:r w:rsidR="003A1917">
        <w:t xml:space="preserve"> </w:t>
      </w:r>
      <w:r w:rsidRPr="001A3D2B">
        <w:t>first part</w:t>
      </w:r>
      <w:r w:rsidR="00427468">
        <w:t xml:space="preserve"> of </w:t>
      </w:r>
      <w:r w:rsidR="003A1917">
        <w:t xml:space="preserve">the </w:t>
      </w:r>
      <w:r w:rsidRPr="001A3D2B">
        <w:t>review traces</w:t>
      </w:r>
      <w:r w:rsidR="003A1917">
        <w:t xml:space="preserve"> the </w:t>
      </w:r>
      <w:r w:rsidRPr="001A3D2B">
        <w:t>evolution</w:t>
      </w:r>
      <w:r w:rsidR="00427468">
        <w:t xml:space="preserve"> of </w:t>
      </w:r>
      <w:r w:rsidRPr="001A3D2B">
        <w:t>concepts</w:t>
      </w:r>
      <w:r w:rsidR="005853A9">
        <w:t xml:space="preserve"> and </w:t>
      </w:r>
      <w:r w:rsidRPr="001A3D2B">
        <w:t>landmarks in</w:t>
      </w:r>
      <w:r w:rsidR="003A1917">
        <w:t xml:space="preserve"> the </w:t>
      </w:r>
      <w:r w:rsidRPr="001A3D2B">
        <w:t>modern history</w:t>
      </w:r>
      <w:r w:rsidR="00427468">
        <w:t xml:space="preserve"> of </w:t>
      </w:r>
      <w:r w:rsidRPr="001A3D2B">
        <w:t>Alzheimer</w:t>
      </w:r>
      <w:r w:rsidR="00700038">
        <w:t>’</w:t>
      </w:r>
      <w:r w:rsidR="00C13DDC">
        <w:t>s</w:t>
      </w:r>
      <w:r w:rsidRPr="001A3D2B">
        <w:t xml:space="preserve"> disease. It highlights</w:t>
      </w:r>
      <w:r w:rsidR="003A1917">
        <w:t xml:space="preserve"> the </w:t>
      </w:r>
      <w:r w:rsidRPr="001A3D2B">
        <w:t>continuing role</w:t>
      </w:r>
      <w:r w:rsidR="00427468">
        <w:t xml:space="preserve"> of </w:t>
      </w:r>
      <w:r w:rsidRPr="001A3D2B">
        <w:t>careful clinico-pathological studies which have set</w:t>
      </w:r>
      <w:r w:rsidR="003A1917">
        <w:t xml:space="preserve"> the </w:t>
      </w:r>
      <w:r w:rsidRPr="001A3D2B">
        <w:t>stage for each major leap forwards, such as</w:t>
      </w:r>
      <w:r w:rsidR="003A1917">
        <w:t xml:space="preserve"> the </w:t>
      </w:r>
      <w:r w:rsidRPr="001A3D2B">
        <w:t>emergence</w:t>
      </w:r>
      <w:r w:rsidR="00427468">
        <w:t xml:space="preserve"> of </w:t>
      </w:r>
      <w:r w:rsidR="003A1917">
        <w:t xml:space="preserve">the </w:t>
      </w:r>
      <w:r w:rsidRPr="001A3D2B">
        <w:t>cholinergic hypothesis,</w:t>
      </w:r>
      <w:r w:rsidR="005853A9">
        <w:t xml:space="preserve"> and </w:t>
      </w:r>
      <w:r w:rsidR="003A1917">
        <w:t xml:space="preserve">the </w:t>
      </w:r>
      <w:r w:rsidRPr="001A3D2B">
        <w:t>realistation that subjects pass through an amnestic prodrome which is thought to reflect dysfunction</w:t>
      </w:r>
      <w:r w:rsidR="00427468">
        <w:t xml:space="preserve"> of </w:t>
      </w:r>
      <w:r w:rsidR="003A1917">
        <w:t xml:space="preserve">the </w:t>
      </w:r>
      <w:r w:rsidRPr="001A3D2B">
        <w:t>hippocampal formation before</w:t>
      </w:r>
      <w:r w:rsidR="003A1917">
        <w:t xml:space="preserve"> the </w:t>
      </w:r>
      <w:r w:rsidRPr="001A3D2B">
        <w:t>onset</w:t>
      </w:r>
      <w:r w:rsidR="00427468">
        <w:t xml:space="preserve"> of </w:t>
      </w:r>
      <w:r w:rsidRPr="001A3D2B">
        <w:t>full blown dementia</w:t>
      </w:r>
      <w:r w:rsidR="00A37C1D">
        <w:t>. The</w:t>
      </w:r>
      <w:r w:rsidR="003A1917">
        <w:t xml:space="preserve"> </w:t>
      </w:r>
      <w:r w:rsidRPr="001A3D2B">
        <w:t>contribution</w:t>
      </w:r>
      <w:r w:rsidR="00427468">
        <w:t xml:space="preserve"> of </w:t>
      </w:r>
      <w:r w:rsidRPr="001A3D2B">
        <w:t>structural</w:t>
      </w:r>
      <w:r w:rsidR="005853A9">
        <w:t xml:space="preserve"> and </w:t>
      </w:r>
      <w:r w:rsidRPr="001A3D2B">
        <w:t>functional imaging is briefly described</w:t>
      </w:r>
      <w:r w:rsidR="00A37C1D">
        <w:t>. The</w:t>
      </w:r>
      <w:r w:rsidR="003A1917">
        <w:t xml:space="preserve"> </w:t>
      </w:r>
      <w:r w:rsidRPr="001A3D2B">
        <w:t>important contribution</w:t>
      </w:r>
      <w:r w:rsidR="00427468">
        <w:t xml:space="preserve"> of </w:t>
      </w:r>
      <w:r w:rsidRPr="001A3D2B">
        <w:t>publications in Brain is illustrated throughout</w:t>
      </w:r>
      <w:r w:rsidR="003A1917">
        <w:t xml:space="preserve"> the </w:t>
      </w:r>
      <w:r w:rsidRPr="001A3D2B">
        <w:t>first section</w:t>
      </w:r>
      <w:r w:rsidR="00A37C1D">
        <w:t>. The</w:t>
      </w:r>
      <w:r w:rsidR="003A1917">
        <w:t xml:space="preserve"> </w:t>
      </w:r>
      <w:r w:rsidRPr="001A3D2B">
        <w:t>second part attempts to review</w:t>
      </w:r>
      <w:r w:rsidR="003A1917">
        <w:t xml:space="preserve"> the </w:t>
      </w:r>
      <w:r w:rsidRPr="001A3D2B">
        <w:t>current status</w:t>
      </w:r>
      <w:r w:rsidR="00427468">
        <w:t xml:space="preserve"> of </w:t>
      </w:r>
      <w:r w:rsidRPr="001A3D2B">
        <w:t>our knowledge concerning behavioural, neuropsychological</w:t>
      </w:r>
      <w:r w:rsidR="005853A9">
        <w:t xml:space="preserve"> and </w:t>
      </w:r>
      <w:r w:rsidRPr="001A3D2B">
        <w:t>neuropsychiatric aspects</w:t>
      </w:r>
      <w:r w:rsidR="00427468">
        <w:t xml:space="preserve"> of </w:t>
      </w:r>
      <w:r w:rsidR="003A1917">
        <w:t xml:space="preserve">the </w:t>
      </w:r>
      <w:r w:rsidRPr="001A3D2B">
        <w:t>disease, emphasizing areas</w:t>
      </w:r>
      <w:r w:rsidR="00427468">
        <w:t xml:space="preserve"> of </w:t>
      </w:r>
      <w:r w:rsidRPr="001A3D2B">
        <w:t>continuing controversy.</w:t>
      </w:r>
    </w:p>
    <w:p w:rsidR="001B6798" w:rsidRDefault="001B6798" w:rsidP="001B6798">
      <w:pPr>
        <w:pStyle w:val="a3"/>
        <w:rPr>
          <w:kern w:val="0"/>
        </w:rPr>
      </w:pPr>
      <w:r>
        <w:rPr>
          <w:rFonts w:hint="eastAsia"/>
          <w:kern w:val="0"/>
        </w:rPr>
        <w:t xml:space="preserve">? </w:t>
      </w:r>
      <w:r>
        <w:rPr>
          <w:kern w:val="0"/>
        </w:rPr>
        <w:t>Gibson, C.L., Gray, L.J., Bath, P.M.W.</w:t>
      </w:r>
      <w:r w:rsidR="005853A9">
        <w:rPr>
          <w:kern w:val="0"/>
        </w:rPr>
        <w:t xml:space="preserve"> and </w:t>
      </w:r>
      <w:r>
        <w:rPr>
          <w:kern w:val="0"/>
        </w:rPr>
        <w:t>Murphy, S.P. (2008), Progesterone for</w:t>
      </w:r>
      <w:r w:rsidR="003A1917">
        <w:rPr>
          <w:kern w:val="0"/>
        </w:rPr>
        <w:t xml:space="preserve"> the </w:t>
      </w:r>
      <w:r>
        <w:rPr>
          <w:kern w:val="0"/>
        </w:rPr>
        <w:t>treatment</w:t>
      </w:r>
      <w:r w:rsidR="00427468">
        <w:rPr>
          <w:kern w:val="0"/>
        </w:rPr>
        <w:t xml:space="preserve"> of </w:t>
      </w:r>
      <w:r>
        <w:rPr>
          <w:kern w:val="0"/>
        </w:rPr>
        <w:t>experimental brain injury</w:t>
      </w:r>
      <w:r>
        <w:rPr>
          <w:rFonts w:hint="eastAsia"/>
          <w:kern w:val="0"/>
        </w:rPr>
        <w:t>:</w:t>
      </w:r>
      <w:r>
        <w:rPr>
          <w:kern w:val="0"/>
        </w:rPr>
        <w:t xml:space="preserve"> A systematic review. </w:t>
      </w:r>
      <w:r>
        <w:rPr>
          <w:i/>
          <w:iCs/>
          <w:kern w:val="0"/>
        </w:rPr>
        <w:t>Brain</w:t>
      </w:r>
      <w:r>
        <w:rPr>
          <w:kern w:val="0"/>
        </w:rPr>
        <w:t xml:space="preserve">, </w:t>
      </w:r>
      <w:r>
        <w:rPr>
          <w:b/>
          <w:bCs/>
          <w:kern w:val="0"/>
        </w:rPr>
        <w:t>131</w:t>
      </w:r>
      <w:r>
        <w:rPr>
          <w:rFonts w:hint="eastAsia"/>
          <w:kern w:val="0"/>
        </w:rPr>
        <w:t xml:space="preserve"> (2),</w:t>
      </w:r>
      <w:r>
        <w:rPr>
          <w:kern w:val="0"/>
        </w:rPr>
        <w:t xml:space="preserve"> 318-328.</w:t>
      </w:r>
    </w:p>
    <w:p w:rsidR="001B6798" w:rsidRPr="001A3D2B" w:rsidRDefault="001B6798" w:rsidP="001B6798">
      <w:pPr>
        <w:pStyle w:val="a3"/>
      </w:pPr>
      <w:r w:rsidRPr="001A3D2B">
        <w:t xml:space="preserve">Full Text: </w:t>
      </w:r>
      <w:hyperlink r:id="rId1798" w:history="1">
        <w:r w:rsidRPr="001315A0">
          <w:rPr>
            <w:rStyle w:val="a5"/>
          </w:rPr>
          <w:t>2008\Brain131, 318.pdf</w:t>
        </w:r>
      </w:hyperlink>
    </w:p>
    <w:p w:rsidR="001B6798" w:rsidRDefault="001B6798" w:rsidP="001B6798">
      <w:pPr>
        <w:pStyle w:val="a3"/>
        <w:rPr>
          <w:kern w:val="0"/>
        </w:rPr>
      </w:pPr>
      <w:r>
        <w:rPr>
          <w:kern w:val="0"/>
        </w:rPr>
        <w:t>Abstract: Steroid sex hormones are potential neuroprotective candidates following CNS injury. All clinical trials to date have examined</w:t>
      </w:r>
      <w:r w:rsidR="003A1917">
        <w:rPr>
          <w:kern w:val="0"/>
        </w:rPr>
        <w:t xml:space="preserve"> the </w:t>
      </w:r>
      <w:r>
        <w:rPr>
          <w:kern w:val="0"/>
        </w:rPr>
        <w:t>effects</w:t>
      </w:r>
      <w:r w:rsidR="00427468">
        <w:rPr>
          <w:kern w:val="0"/>
        </w:rPr>
        <w:t xml:space="preserve"> of </w:t>
      </w:r>
      <w:r>
        <w:rPr>
          <w:kern w:val="0"/>
        </w:rPr>
        <w:t>oestrogen alone or oestrogen-progestin combination therapy. Experimental studies have suggested that progesterone, in its own right, is a potential neuroprotective agent following acute cerebral injury. We performed a systematic review</w:t>
      </w:r>
      <w:r w:rsidR="00427468">
        <w:rPr>
          <w:kern w:val="0"/>
        </w:rPr>
        <w:t xml:space="preserve"> of </w:t>
      </w:r>
      <w:r>
        <w:rPr>
          <w:kern w:val="0"/>
        </w:rPr>
        <w:t>controlled animal studies that administered progesterone before, or after, acute cerebral injury</w:t>
      </w:r>
      <w:r w:rsidR="005853A9">
        <w:rPr>
          <w:kern w:val="0"/>
        </w:rPr>
        <w:t xml:space="preserve"> and </w:t>
      </w:r>
      <w:r>
        <w:rPr>
          <w:kern w:val="0"/>
        </w:rPr>
        <w:t xml:space="preserve">measured lesion </w:t>
      </w:r>
      <w:r>
        <w:rPr>
          <w:kern w:val="0"/>
        </w:rPr>
        <w:lastRenderedPageBreak/>
        <w:t>volume. Relevant studies were found from searching PUBMED,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From 119 identified publications, data from 18 studies using 480 experimental subjects met specific criteria</w:t>
      </w:r>
      <w:r w:rsidR="005853A9">
        <w:rPr>
          <w:kern w:val="0"/>
        </w:rPr>
        <w:t xml:space="preserve"> and </w:t>
      </w:r>
      <w:r>
        <w:rPr>
          <w:kern w:val="0"/>
        </w:rPr>
        <w:t>were analysed using</w:t>
      </w:r>
      <w:r w:rsidR="003A1917">
        <w:rPr>
          <w:kern w:val="0"/>
        </w:rPr>
        <w:t xml:space="preserve"> the </w:t>
      </w:r>
      <w:r>
        <w:rPr>
          <w:kern w:val="0"/>
        </w:rPr>
        <w:t>Cochrane Review Manager software. Following cerebral ischaemia, a significant benefit</w:t>
      </w:r>
      <w:r w:rsidR="00427468">
        <w:rPr>
          <w:kern w:val="0"/>
        </w:rPr>
        <w:t xml:space="preserve"> of </w:t>
      </w:r>
      <w:r>
        <w:rPr>
          <w:kern w:val="0"/>
        </w:rPr>
        <w:t>progesterone was observed regardless</w:t>
      </w:r>
      <w:r w:rsidR="00427468">
        <w:rPr>
          <w:kern w:val="0"/>
        </w:rPr>
        <w:t xml:space="preserve"> of </w:t>
      </w:r>
      <w:r w:rsidR="003A1917">
        <w:rPr>
          <w:kern w:val="0"/>
        </w:rPr>
        <w:t xml:space="preserve">the </w:t>
      </w:r>
      <w:r>
        <w:rPr>
          <w:kern w:val="0"/>
        </w:rPr>
        <w:t>assigned study quality score (P=0.0002) whereas, following traumatic brain injury (TBI) a significant benefit</w:t>
      </w:r>
      <w:r w:rsidR="00427468">
        <w:rPr>
          <w:kern w:val="0"/>
        </w:rPr>
        <w:t xml:space="preserve"> of </w:t>
      </w:r>
      <w:r>
        <w:rPr>
          <w:kern w:val="0"/>
        </w:rPr>
        <w:t>progesterone was only observed in studies that obtained</w:t>
      </w:r>
      <w:r w:rsidR="003A1917">
        <w:rPr>
          <w:kern w:val="0"/>
        </w:rPr>
        <w:t xml:space="preserve"> the </w:t>
      </w:r>
      <w:r>
        <w:rPr>
          <w:kern w:val="0"/>
        </w:rPr>
        <w:t>highest quality score</w:t>
      </w:r>
      <w:r w:rsidR="00427468">
        <w:rPr>
          <w:kern w:val="0"/>
        </w:rPr>
        <w:t xml:space="preserve"> of </w:t>
      </w:r>
      <w:r>
        <w:rPr>
          <w:kern w:val="0"/>
        </w:rPr>
        <w:t>5 (P= 0.02). Progesterone reduced lesion volume in a dose-dependent manner following either cerebral ischaemia (P&lt; 0.001) or TBI (P= 0.03) with</w:t>
      </w:r>
      <w:r w:rsidR="003A1917">
        <w:rPr>
          <w:kern w:val="0"/>
        </w:rPr>
        <w:t xml:space="preserve"> the </w:t>
      </w:r>
      <w:r>
        <w:rPr>
          <w:kern w:val="0"/>
        </w:rPr>
        <w:t>most effective progesterone dose varying according to experimental injury model used. Progesterone treatment was only effective at reducing lesion volume when administered immediately following (i.e. 0-2 h) cerebral ischaemia (P= 0.0008). No studies using models</w:t>
      </w:r>
      <w:r w:rsidR="00427468">
        <w:rPr>
          <w:kern w:val="0"/>
        </w:rPr>
        <w:t xml:space="preserve"> of </w:t>
      </w:r>
      <w:r>
        <w:rPr>
          <w:kern w:val="0"/>
        </w:rPr>
        <w:t>cerebral ischaemia or TBI assessed efficacy when progesterone was administered at later than 6 h following</w:t>
      </w:r>
      <w:r w:rsidR="003A1917">
        <w:rPr>
          <w:kern w:val="0"/>
        </w:rPr>
        <w:t xml:space="preserve"> the </w:t>
      </w:r>
      <w:r>
        <w:rPr>
          <w:kern w:val="0"/>
        </w:rPr>
        <w:t>onset</w:t>
      </w:r>
      <w:r w:rsidR="00427468">
        <w:rPr>
          <w:kern w:val="0"/>
        </w:rPr>
        <w:t xml:space="preserve"> of </w:t>
      </w:r>
      <w:r>
        <w:rPr>
          <w:kern w:val="0"/>
        </w:rPr>
        <w:t>cerebral injury. Limited data were available for different groups</w:t>
      </w:r>
      <w:r w:rsidR="00427468">
        <w:rPr>
          <w:kern w:val="0"/>
        </w:rPr>
        <w:t xml:space="preserve"> of </w:t>
      </w:r>
      <w:r>
        <w:rPr>
          <w:kern w:val="0"/>
        </w:rPr>
        <w:t>animals according to age/hormonal status</w:t>
      </w:r>
      <w:r w:rsidR="005853A9">
        <w:rPr>
          <w:kern w:val="0"/>
        </w:rPr>
        <w:t xml:space="preserve"> and </w:t>
      </w:r>
      <w:r w:rsidR="003A1917">
        <w:rPr>
          <w:kern w:val="0"/>
        </w:rPr>
        <w:t xml:space="preserve">the </w:t>
      </w:r>
      <w:r>
        <w:rPr>
          <w:kern w:val="0"/>
        </w:rPr>
        <w:t>full dose-response relationship was not available in all experimental groups. Although this systematic review provides some supporting evidence for a neuroprotective role</w:t>
      </w:r>
      <w:r w:rsidR="00427468">
        <w:rPr>
          <w:kern w:val="0"/>
        </w:rPr>
        <w:t xml:space="preserve"> of </w:t>
      </w:r>
      <w:r>
        <w:rPr>
          <w:kern w:val="0"/>
        </w:rPr>
        <w:t>progesterone following either cerebral ischaemia or TBI importantly it highlights areas which need further pre-clinical investigation.</w:t>
      </w:r>
    </w:p>
    <w:p w:rsidR="001B6798" w:rsidRDefault="001B6798" w:rsidP="001B6798">
      <w:pPr>
        <w:pStyle w:val="a3"/>
        <w:rPr>
          <w:kern w:val="0"/>
        </w:rPr>
      </w:pPr>
      <w:r>
        <w:rPr>
          <w:kern w:val="0"/>
        </w:rPr>
        <w:t xml:space="preserve">Keywords: Brain, Cerebral-Artery Occlusion, Clinical Trials, Cochrane, Cognitive Deficits, Combination Therapy, Dose-Response, Efficacy, Experimental Ischemic-Stroke, Factor Expression, Gender-Differences, Induced Neuroprotection, Infarct Volume, Inflammatory Response, Injury, Ischaemia, Model, Neuronal Loss, Neuroprotection, Oestrogen, Progesterone, Publications, PUBMED, Review, Science, Senescent Female Rats, Sex Hormones, Software, Stroke, Systematic, Systematic Review, TBI, Therapy, Traumatic Brain Injury, Treatment, </w:t>
      </w:r>
      <w:r w:rsidR="00D5664A">
        <w:rPr>
          <w:kern w:val="0"/>
        </w:rPr>
        <w:t>Web</w:t>
      </w:r>
      <w:r w:rsidR="00427468">
        <w:rPr>
          <w:kern w:val="0"/>
        </w:rPr>
        <w:t xml:space="preserve"> of </w:t>
      </w:r>
      <w:r w:rsidR="00D5664A">
        <w:rPr>
          <w:kern w:val="0"/>
        </w:rPr>
        <w:t>Science</w:t>
      </w:r>
    </w:p>
    <w:p w:rsidR="001B6798" w:rsidRDefault="001B6798" w:rsidP="001B6798">
      <w:pPr>
        <w:pStyle w:val="a3"/>
        <w:rPr>
          <w:kern w:val="0"/>
        </w:rPr>
      </w:pPr>
      <w:r>
        <w:rPr>
          <w:rFonts w:hint="eastAsia"/>
          <w:kern w:val="0"/>
        </w:rPr>
        <w:t xml:space="preserve">? </w:t>
      </w:r>
      <w:r>
        <w:rPr>
          <w:kern w:val="0"/>
        </w:rPr>
        <w:t>Lemon, R.N., Landau, W., Tutssel, D.</w:t>
      </w:r>
      <w:r w:rsidR="005853A9">
        <w:rPr>
          <w:kern w:val="0"/>
        </w:rPr>
        <w:t xml:space="preserve"> and </w:t>
      </w:r>
      <w:r>
        <w:rPr>
          <w:kern w:val="0"/>
        </w:rPr>
        <w:t>Lawrence, D.G. (2012), Lawrence</w:t>
      </w:r>
      <w:r w:rsidR="005853A9">
        <w:rPr>
          <w:kern w:val="0"/>
        </w:rPr>
        <w:t xml:space="preserve"> and </w:t>
      </w:r>
      <w:r>
        <w:rPr>
          <w:kern w:val="0"/>
        </w:rPr>
        <w:t>Kuypers (1968a, b) revisited: Copies</w:t>
      </w:r>
      <w:r w:rsidR="00427468">
        <w:rPr>
          <w:kern w:val="0"/>
        </w:rPr>
        <w:t xml:space="preserve"> of </w:t>
      </w:r>
      <w:r w:rsidR="003A1917">
        <w:rPr>
          <w:kern w:val="0"/>
        </w:rPr>
        <w:t xml:space="preserve">the </w:t>
      </w:r>
      <w:r>
        <w:rPr>
          <w:kern w:val="0"/>
        </w:rPr>
        <w:t xml:space="preserve">original filmed material from their classic papers in </w:t>
      </w:r>
      <w:r>
        <w:rPr>
          <w:i/>
          <w:iCs/>
          <w:kern w:val="0"/>
        </w:rPr>
        <w:t>Brain</w:t>
      </w:r>
      <w:r>
        <w:rPr>
          <w:kern w:val="0"/>
        </w:rPr>
        <w:t xml:space="preserve">. </w:t>
      </w:r>
      <w:r>
        <w:rPr>
          <w:i/>
          <w:iCs/>
          <w:kern w:val="0"/>
        </w:rPr>
        <w:t>Brain</w:t>
      </w:r>
      <w:r>
        <w:rPr>
          <w:kern w:val="0"/>
        </w:rPr>
        <w:t xml:space="preserve">, </w:t>
      </w:r>
      <w:r>
        <w:rPr>
          <w:b/>
          <w:bCs/>
          <w:kern w:val="0"/>
        </w:rPr>
        <w:t>135</w:t>
      </w:r>
      <w:r>
        <w:rPr>
          <w:kern w:val="0"/>
        </w:rPr>
        <w:t>, 2290-2295.</w:t>
      </w:r>
    </w:p>
    <w:p w:rsidR="001B6798" w:rsidRPr="001A3D2B" w:rsidRDefault="001B6798" w:rsidP="001B6798">
      <w:pPr>
        <w:pStyle w:val="a3"/>
      </w:pPr>
      <w:r w:rsidRPr="001A3D2B">
        <w:t xml:space="preserve">Full Text: </w:t>
      </w:r>
      <w:hyperlink r:id="rId1799" w:history="1">
        <w:r w:rsidRPr="001315A0">
          <w:rPr>
            <w:rStyle w:val="a5"/>
          </w:rPr>
          <w:t>2012\Brain135, 2290.pdf</w:t>
        </w:r>
      </w:hyperlink>
    </w:p>
    <w:p w:rsidR="001B6798" w:rsidRDefault="001B6798" w:rsidP="001B6798">
      <w:pPr>
        <w:pStyle w:val="a3"/>
        <w:rPr>
          <w:kern w:val="0"/>
        </w:rPr>
      </w:pPr>
      <w:r>
        <w:rPr>
          <w:kern w:val="0"/>
        </w:rPr>
        <w:t>Abstract: This article aims to reintroduce two classic papers on motor control published in Brain in 1968, in which Lawrence</w:t>
      </w:r>
      <w:r w:rsidR="005853A9">
        <w:rPr>
          <w:kern w:val="0"/>
        </w:rPr>
        <w:t xml:space="preserve"> and </w:t>
      </w:r>
      <w:r>
        <w:rPr>
          <w:kern w:val="0"/>
        </w:rPr>
        <w:t>Kuypers reported their systematic studies</w:t>
      </w:r>
      <w:r w:rsidR="00427468">
        <w:rPr>
          <w:kern w:val="0"/>
        </w:rPr>
        <w:t xml:space="preserve"> of </w:t>
      </w:r>
      <w:r w:rsidR="003A1917">
        <w:rPr>
          <w:kern w:val="0"/>
        </w:rPr>
        <w:t xml:space="preserve">the </w:t>
      </w:r>
      <w:r>
        <w:rPr>
          <w:kern w:val="0"/>
        </w:rPr>
        <w:t>effects</w:t>
      </w:r>
      <w:r w:rsidR="00427468">
        <w:rPr>
          <w:kern w:val="0"/>
        </w:rPr>
        <w:t xml:space="preserve"> of </w:t>
      </w:r>
      <w:r>
        <w:rPr>
          <w:kern w:val="0"/>
        </w:rPr>
        <w:t>lesions to</w:t>
      </w:r>
      <w:r w:rsidR="003A1917">
        <w:rPr>
          <w:kern w:val="0"/>
        </w:rPr>
        <w:t xml:space="preserve"> the </w:t>
      </w:r>
      <w:r>
        <w:rPr>
          <w:kern w:val="0"/>
        </w:rPr>
        <w:t>corticospinal system (Lawrence</w:t>
      </w:r>
      <w:r w:rsidR="005853A9">
        <w:rPr>
          <w:kern w:val="0"/>
        </w:rPr>
        <w:t xml:space="preserve"> and </w:t>
      </w:r>
      <w:r>
        <w:rPr>
          <w:kern w:val="0"/>
        </w:rPr>
        <w:t>Kuypers, 1968a),</w:t>
      </w:r>
      <w:r w:rsidR="005853A9">
        <w:rPr>
          <w:kern w:val="0"/>
        </w:rPr>
        <w:t xml:space="preserve"> and </w:t>
      </w:r>
      <w:r>
        <w:rPr>
          <w:kern w:val="0"/>
        </w:rPr>
        <w:t>subsequently to</w:t>
      </w:r>
      <w:r w:rsidR="003A1917">
        <w:rPr>
          <w:kern w:val="0"/>
        </w:rPr>
        <w:t xml:space="preserve"> the </w:t>
      </w:r>
      <w:r>
        <w:rPr>
          <w:kern w:val="0"/>
        </w:rPr>
        <w:t>descending brainstem pathways (Lawrence</w:t>
      </w:r>
      <w:r w:rsidR="005853A9">
        <w:rPr>
          <w:kern w:val="0"/>
        </w:rPr>
        <w:t xml:space="preserve"> and </w:t>
      </w:r>
      <w:r>
        <w:rPr>
          <w:kern w:val="0"/>
        </w:rPr>
        <w:t>Kuypers, 1968b) in</w:t>
      </w:r>
      <w:r w:rsidR="003A1917">
        <w:rPr>
          <w:kern w:val="0"/>
        </w:rPr>
        <w:t xml:space="preserve"> the </w:t>
      </w:r>
      <w:r>
        <w:rPr>
          <w:kern w:val="0"/>
        </w:rPr>
        <w:t>Old World macaque monkey</w:t>
      </w:r>
      <w:r w:rsidR="00A37C1D">
        <w:rPr>
          <w:kern w:val="0"/>
        </w:rPr>
        <w:t>. The</w:t>
      </w:r>
      <w:r>
        <w:rPr>
          <w:kern w:val="0"/>
        </w:rPr>
        <w:t>y showed that</w:t>
      </w:r>
      <w:r w:rsidR="003A1917">
        <w:rPr>
          <w:kern w:val="0"/>
        </w:rPr>
        <w:t xml:space="preserve"> the </w:t>
      </w:r>
      <w:r>
        <w:rPr>
          <w:kern w:val="0"/>
        </w:rPr>
        <w:t>capacity for independent movements</w:t>
      </w:r>
      <w:r w:rsidR="00427468">
        <w:rPr>
          <w:kern w:val="0"/>
        </w:rPr>
        <w:t xml:space="preserve"> of </w:t>
      </w:r>
      <w:r w:rsidR="003A1917">
        <w:rPr>
          <w:kern w:val="0"/>
        </w:rPr>
        <w:t xml:space="preserve">the </w:t>
      </w:r>
      <w:r>
        <w:rPr>
          <w:kern w:val="0"/>
        </w:rPr>
        <w:t>digits was permanently lost after a complete, bilateral lesion</w:t>
      </w:r>
      <w:r w:rsidR="00427468">
        <w:rPr>
          <w:kern w:val="0"/>
        </w:rPr>
        <w:t xml:space="preserve"> of </w:t>
      </w:r>
      <w:r w:rsidR="003A1917">
        <w:rPr>
          <w:kern w:val="0"/>
        </w:rPr>
        <w:t xml:space="preserve">the </w:t>
      </w:r>
      <w:r>
        <w:rPr>
          <w:kern w:val="0"/>
        </w:rPr>
        <w:t>corticospinal system</w:t>
      </w:r>
      <w:r w:rsidR="00A37C1D">
        <w:rPr>
          <w:kern w:val="0"/>
        </w:rPr>
        <w:t>. The</w:t>
      </w:r>
      <w:r>
        <w:rPr>
          <w:kern w:val="0"/>
        </w:rPr>
        <w:t>se studies also revealed that</w:t>
      </w:r>
      <w:r w:rsidR="003A1917">
        <w:rPr>
          <w:kern w:val="0"/>
        </w:rPr>
        <w:t xml:space="preserve"> the </w:t>
      </w:r>
      <w:r>
        <w:rPr>
          <w:kern w:val="0"/>
        </w:rPr>
        <w:t>brainstem pathways contribute to fundamentally different aspects</w:t>
      </w:r>
      <w:r w:rsidR="00427468">
        <w:rPr>
          <w:kern w:val="0"/>
        </w:rPr>
        <w:t xml:space="preserve"> of </w:t>
      </w:r>
      <w:r>
        <w:rPr>
          <w:kern w:val="0"/>
        </w:rPr>
        <w:t>motor control, with one set</w:t>
      </w:r>
      <w:r w:rsidR="00427468">
        <w:rPr>
          <w:kern w:val="0"/>
        </w:rPr>
        <w:t xml:space="preserve"> of </w:t>
      </w:r>
      <w:r>
        <w:rPr>
          <w:kern w:val="0"/>
        </w:rPr>
        <w:t>pathways (the ventromedial system) involved in</w:t>
      </w:r>
      <w:r w:rsidR="003A1917">
        <w:rPr>
          <w:kern w:val="0"/>
        </w:rPr>
        <w:t xml:space="preserve"> the </w:t>
      </w:r>
      <w:r>
        <w:rPr>
          <w:kern w:val="0"/>
        </w:rPr>
        <w:t>control</w:t>
      </w:r>
      <w:r w:rsidR="00427468">
        <w:rPr>
          <w:kern w:val="0"/>
        </w:rPr>
        <w:t xml:space="preserve"> of </w:t>
      </w:r>
      <w:r>
        <w:rPr>
          <w:kern w:val="0"/>
        </w:rPr>
        <w:t>head, trunk</w:t>
      </w:r>
      <w:r w:rsidR="005853A9">
        <w:rPr>
          <w:kern w:val="0"/>
        </w:rPr>
        <w:t xml:space="preserve"> and </w:t>
      </w:r>
      <w:r>
        <w:rPr>
          <w:kern w:val="0"/>
        </w:rPr>
        <w:lastRenderedPageBreak/>
        <w:t>girdle movements, while</w:t>
      </w:r>
      <w:r w:rsidR="003A1917">
        <w:rPr>
          <w:kern w:val="0"/>
        </w:rPr>
        <w:t xml:space="preserve"> the </w:t>
      </w:r>
      <w:r>
        <w:rPr>
          <w:kern w:val="0"/>
        </w:rPr>
        <w:t>other, lateral set</w:t>
      </w:r>
      <w:r w:rsidR="00427468">
        <w:rPr>
          <w:kern w:val="0"/>
        </w:rPr>
        <w:t xml:space="preserve"> of </w:t>
      </w:r>
      <w:r>
        <w:rPr>
          <w:kern w:val="0"/>
        </w:rPr>
        <w:t>fibres control movements</w:t>
      </w:r>
      <w:r w:rsidR="00427468">
        <w:rPr>
          <w:kern w:val="0"/>
        </w:rPr>
        <w:t xml:space="preserve"> of </w:t>
      </w:r>
      <w:r w:rsidR="003A1917">
        <w:rPr>
          <w:kern w:val="0"/>
        </w:rPr>
        <w:t xml:space="preserve">the </w:t>
      </w:r>
      <w:r>
        <w:rPr>
          <w:kern w:val="0"/>
        </w:rPr>
        <w:t>extremity such as reach</w:t>
      </w:r>
      <w:r w:rsidR="005853A9">
        <w:rPr>
          <w:kern w:val="0"/>
        </w:rPr>
        <w:t xml:space="preserve"> and </w:t>
      </w:r>
      <w:r>
        <w:rPr>
          <w:kern w:val="0"/>
        </w:rPr>
        <w:t>grasp</w:t>
      </w:r>
      <w:r w:rsidR="00A37C1D">
        <w:rPr>
          <w:kern w:val="0"/>
        </w:rPr>
        <w:t>. The</w:t>
      </w:r>
      <w:r>
        <w:rPr>
          <w:kern w:val="0"/>
        </w:rPr>
        <w:t>re is still much to learn today from these papers. However, an important part</w:t>
      </w:r>
      <w:r w:rsidR="00427468">
        <w:rPr>
          <w:kern w:val="0"/>
        </w:rPr>
        <w:t xml:space="preserve"> of </w:t>
      </w:r>
      <w:r>
        <w:rPr>
          <w:kern w:val="0"/>
        </w:rPr>
        <w:t>their scientific legacy,</w:t>
      </w:r>
      <w:r w:rsidR="003A1917">
        <w:rPr>
          <w:kern w:val="0"/>
        </w:rPr>
        <w:t xml:space="preserve"> the </w:t>
      </w:r>
      <w:r>
        <w:rPr>
          <w:kern w:val="0"/>
        </w:rPr>
        <w:t>films illustrating</w:t>
      </w:r>
      <w:r w:rsidR="003A1917">
        <w:rPr>
          <w:kern w:val="0"/>
        </w:rPr>
        <w:t xml:space="preserve"> the </w:t>
      </w:r>
      <w:r>
        <w:rPr>
          <w:kern w:val="0"/>
        </w:rPr>
        <w:t>different cases, has long been unavailable. Much</w:t>
      </w:r>
      <w:r w:rsidR="00427468">
        <w:rPr>
          <w:kern w:val="0"/>
        </w:rPr>
        <w:t xml:space="preserve"> of </w:t>
      </w:r>
      <w:r>
        <w:rPr>
          <w:kern w:val="0"/>
        </w:rPr>
        <w:t>this filmed material is now made available again in video format accessible on</w:t>
      </w:r>
      <w:r w:rsidR="003A1917">
        <w:rPr>
          <w:kern w:val="0"/>
        </w:rPr>
        <w:t xml:space="preserve"> the </w:t>
      </w:r>
      <w:r>
        <w:rPr>
          <w:kern w:val="0"/>
        </w:rPr>
        <w:t>Brain web site, complete with supplementary notes</w:t>
      </w:r>
      <w:r w:rsidR="005853A9">
        <w:rPr>
          <w:kern w:val="0"/>
        </w:rPr>
        <w:t xml:space="preserve"> and </w:t>
      </w:r>
      <w:r>
        <w:rPr>
          <w:kern w:val="0"/>
        </w:rPr>
        <w:t>histological detail. This article summarizes this newly available material for these classic papers in Brain.</w:t>
      </w:r>
    </w:p>
    <w:p w:rsidR="001B6798" w:rsidRDefault="001B6798" w:rsidP="001B6798">
      <w:pPr>
        <w:pStyle w:val="a3"/>
        <w:rPr>
          <w:kern w:val="0"/>
        </w:rPr>
      </w:pPr>
      <w:r>
        <w:rPr>
          <w:kern w:val="0"/>
        </w:rPr>
        <w:t>Keywords: Brainstem, Capacity, Classic Papers, Control, Corticospinal, Effects, England, Functional Organization, Lemon, Lesion, Monkey, Monkey, Motor System, Motor System, Papers, Pathways, Projections, Pyramidal Tract, Site, Video, Web</w:t>
      </w:r>
    </w:p>
    <w:p w:rsidR="003474F2" w:rsidRPr="001A3D2B" w:rsidRDefault="003474F2" w:rsidP="003474F2">
      <w:pPr>
        <w:pStyle w:val="1"/>
      </w:pPr>
      <w:r w:rsidRPr="001A3D2B">
        <w:br w:type="page"/>
      </w:r>
      <w:bookmarkStart w:id="886" w:name="_Toc420814796"/>
      <w:r w:rsidRPr="001A3D2B">
        <w:lastRenderedPageBreak/>
        <w:t>Title: Brain, Behavior,</w:t>
      </w:r>
      <w:r w:rsidR="005853A9">
        <w:t xml:space="preserve"> and </w:t>
      </w:r>
      <w:r w:rsidRPr="001A3D2B">
        <w:t>Immunity</w:t>
      </w:r>
      <w:bookmarkEnd w:id="886"/>
    </w:p>
    <w:p w:rsidR="003474F2" w:rsidRPr="001A3D2B" w:rsidRDefault="003474F2" w:rsidP="003474F2">
      <w:pPr>
        <w:pStyle w:val="12"/>
      </w:pPr>
      <w:r w:rsidRPr="001A3D2B">
        <w:t xml:space="preserve">Full Journal Title: </w:t>
      </w:r>
      <w:hyperlink r:id="rId1800" w:history="1">
        <w:r w:rsidRPr="001A3D2B">
          <w:rPr>
            <w:rStyle w:val="a5"/>
            <w:iCs/>
          </w:rPr>
          <w:t>Brain, Behavior,</w:t>
        </w:r>
        <w:r w:rsidR="005853A9">
          <w:rPr>
            <w:rStyle w:val="a5"/>
            <w:iCs/>
          </w:rPr>
          <w:t xml:space="preserve"> and </w:t>
        </w:r>
        <w:r w:rsidRPr="001A3D2B">
          <w:rPr>
            <w:rStyle w:val="a5"/>
            <w:iCs/>
          </w:rPr>
          <w:t>Immunity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Bonneau, R.H., Padgett, D.A.</w:t>
      </w:r>
      <w:r w:rsidR="005853A9">
        <w:t xml:space="preserve"> and </w:t>
      </w:r>
      <w:r w:rsidRPr="001A3D2B">
        <w:t>Sheridan, J.F. (2007), Twenty years</w:t>
      </w:r>
      <w:r w:rsidR="00427468">
        <w:t xml:space="preserve"> of </w:t>
      </w:r>
      <w:r w:rsidRPr="001A3D2B">
        <w:t>psychoneuroimmunology</w:t>
      </w:r>
      <w:r w:rsidR="005853A9">
        <w:t xml:space="preserve"> and </w:t>
      </w:r>
      <w:r w:rsidRPr="001A3D2B">
        <w:t xml:space="preserve">viral infections in </w:t>
      </w:r>
      <w:r w:rsidRPr="001A3D2B">
        <w:rPr>
          <w:i/>
          <w:iCs/>
        </w:rPr>
        <w:t>Brain, Behavior,</w:t>
      </w:r>
      <w:r w:rsidR="005853A9">
        <w:rPr>
          <w:i/>
          <w:iCs/>
        </w:rPr>
        <w:t xml:space="preserve"> and </w:t>
      </w:r>
      <w:r w:rsidRPr="001A3D2B">
        <w:rPr>
          <w:i/>
          <w:iCs/>
        </w:rPr>
        <w:t>Immunity</w:t>
      </w:r>
      <w:r w:rsidRPr="001A3D2B">
        <w:t xml:space="preserve">. </w:t>
      </w:r>
      <w:r w:rsidRPr="001A3D2B">
        <w:rPr>
          <w:i/>
          <w:iCs/>
        </w:rPr>
        <w:t>Brain, Behavior,</w:t>
      </w:r>
      <w:r w:rsidR="005853A9">
        <w:rPr>
          <w:i/>
          <w:iCs/>
        </w:rPr>
        <w:t xml:space="preserve"> and </w:t>
      </w:r>
      <w:r w:rsidRPr="001A3D2B">
        <w:rPr>
          <w:i/>
          <w:iCs/>
        </w:rPr>
        <w:t>Immunity</w:t>
      </w:r>
      <w:r w:rsidRPr="001A3D2B">
        <w:t xml:space="preserve">, </w:t>
      </w:r>
      <w:r w:rsidRPr="001A3D2B">
        <w:rPr>
          <w:b/>
          <w:bCs/>
        </w:rPr>
        <w:t>21</w:t>
      </w:r>
      <w:r w:rsidRPr="001A3D2B">
        <w:t xml:space="preserve"> (3), 273-280.</w:t>
      </w:r>
    </w:p>
    <w:p w:rsidR="003474F2" w:rsidRPr="001A3D2B" w:rsidRDefault="003474F2" w:rsidP="003474F2">
      <w:pPr>
        <w:pStyle w:val="a3"/>
      </w:pPr>
      <w:r w:rsidRPr="001A3D2B">
        <w:t xml:space="preserve">Full Text: </w:t>
      </w:r>
      <w:hyperlink r:id="rId1801" w:history="1">
        <w:r w:rsidRPr="001A3D2B">
          <w:rPr>
            <w:rStyle w:val="a5"/>
            <w:iCs/>
          </w:rPr>
          <w:t>2007\Bra Beh Imm21, 273.pdf</w:t>
        </w:r>
      </w:hyperlink>
    </w:p>
    <w:p w:rsidR="003474F2" w:rsidRPr="001A3D2B" w:rsidRDefault="003474F2" w:rsidP="003474F2">
      <w:pPr>
        <w:pStyle w:val="a3"/>
      </w:pPr>
      <w:r w:rsidRPr="001A3D2B">
        <w:t>Abstract: For 20 years, Brain, Behavior,</w:t>
      </w:r>
      <w:r w:rsidR="005853A9">
        <w:t xml:space="preserve"> and </w:t>
      </w:r>
      <w:r w:rsidRPr="001A3D2B">
        <w:t>Immunity has provided an important venue for</w:t>
      </w:r>
      <w:r w:rsidR="003A1917">
        <w:t xml:space="preserve"> the </w:t>
      </w:r>
      <w:r w:rsidRPr="001A3D2B">
        <w:t>publication</w:t>
      </w:r>
      <w:r w:rsidR="00427468">
        <w:t xml:space="preserve"> of </w:t>
      </w:r>
      <w:r w:rsidRPr="001A3D2B">
        <w:t>studies in psychoneuroimmunology. During this time period, psychoneuroinummology has matured into an important multidisciplinary science that has contributed significantly to our knowledge</w:t>
      </w:r>
      <w:r w:rsidR="00427468">
        <w:t xml:space="preserve"> of </w:t>
      </w:r>
      <w:r w:rsidRPr="001A3D2B">
        <w:t>mind, brain,</w:t>
      </w:r>
      <w:r w:rsidR="005853A9">
        <w:t xml:space="preserve"> and </w:t>
      </w:r>
      <w:r w:rsidRPr="001A3D2B">
        <w:t>body interactions. This review will not only focus on</w:t>
      </w:r>
      <w:r w:rsidR="003A1917">
        <w:t xml:space="preserve"> the </w:t>
      </w:r>
      <w:r w:rsidRPr="001A3D2B">
        <w:t>primary research papers dealing with psychoneuroimmunology, viral infections,</w:t>
      </w:r>
      <w:r w:rsidR="005853A9">
        <w:t xml:space="preserve"> and </w:t>
      </w:r>
      <w:r w:rsidRPr="001A3D2B">
        <w:t>anti-viral vaccine responses in humans</w:t>
      </w:r>
      <w:r w:rsidR="005853A9">
        <w:t xml:space="preserve"> and </w:t>
      </w:r>
      <w:r w:rsidRPr="001A3D2B">
        <w:t>animal models that have appeared on</w:t>
      </w:r>
      <w:r w:rsidR="003A1917">
        <w:t xml:space="preserve"> the </w:t>
      </w:r>
      <w:r w:rsidRPr="001A3D2B">
        <w:t>pages</w:t>
      </w:r>
      <w:r w:rsidR="00427468">
        <w:t xml:space="preserve"> of </w:t>
      </w:r>
      <w:r w:rsidRPr="001A3D2B">
        <w:t>Brain, Behavior,</w:t>
      </w:r>
      <w:r w:rsidR="005853A9">
        <w:t xml:space="preserve"> and </w:t>
      </w:r>
      <w:r w:rsidRPr="001A3D2B">
        <w:t>Immunity during</w:t>
      </w:r>
      <w:r w:rsidR="003A1917">
        <w:t xml:space="preserve"> the </w:t>
      </w:r>
      <w:r w:rsidRPr="001A3D2B">
        <w:t>past 20 years, but will also outline a variety</w:t>
      </w:r>
      <w:r w:rsidR="00427468">
        <w:t xml:space="preserve"> of </w:t>
      </w:r>
      <w:r w:rsidRPr="001A3D2B">
        <w:t>strategies that could be used for expanding our understanding</w:t>
      </w:r>
      <w:r w:rsidR="00427468">
        <w:t xml:space="preserve"> of </w:t>
      </w:r>
      <w:r w:rsidR="003A1917">
        <w:t xml:space="preserve">the </w:t>
      </w:r>
      <w:r w:rsidRPr="001A3D2B">
        <w:t>neuroimmune-viral pathogen relationship. (c) 2006 Elsevier Inc. All rights reserved.</w:t>
      </w:r>
    </w:p>
    <w:p w:rsidR="003474F2" w:rsidRPr="001A3D2B" w:rsidRDefault="003474F2" w:rsidP="003474F2">
      <w:pPr>
        <w:pStyle w:val="a3"/>
      </w:pPr>
      <w:r w:rsidRPr="001A3D2B">
        <w:t>Keywords: Antiviral, Brain, Humans, Infections, Knowledge, Models, Multidisciplinary, Papers, Pathogen, Primary, Publication, Research, Review, Rights, Science, Understanding, Vaccine, Viral</w:t>
      </w:r>
    </w:p>
    <w:p w:rsidR="006F2F90" w:rsidRDefault="006F2F90" w:rsidP="006F2F90">
      <w:pPr>
        <w:pStyle w:val="a3"/>
        <w:rPr>
          <w:kern w:val="0"/>
        </w:rPr>
      </w:pPr>
      <w:r>
        <w:rPr>
          <w:rFonts w:hint="eastAsia"/>
          <w:kern w:val="0"/>
        </w:rPr>
        <w:t xml:space="preserve">? </w:t>
      </w:r>
      <w:r>
        <w:rPr>
          <w:kern w:val="0"/>
        </w:rPr>
        <w:t>Chida, Y.</w:t>
      </w:r>
      <w:r w:rsidR="005853A9">
        <w:rPr>
          <w:kern w:val="0"/>
        </w:rPr>
        <w:t xml:space="preserve"> and </w:t>
      </w:r>
      <w:r>
        <w:rPr>
          <w:kern w:val="0"/>
        </w:rPr>
        <w:t>Vedhara, K. (2009), Adverse psychosocial factors predict poorer prognosis in HIV disease: A meta-analytic review</w:t>
      </w:r>
      <w:r w:rsidR="00427468">
        <w:rPr>
          <w:kern w:val="0"/>
        </w:rPr>
        <w:t xml:space="preserve"> of </w:t>
      </w:r>
      <w:r>
        <w:rPr>
          <w:kern w:val="0"/>
        </w:rPr>
        <w:t xml:space="preserve">prospective investigations. </w:t>
      </w:r>
      <w:r>
        <w:rPr>
          <w:i/>
          <w:iCs/>
          <w:kern w:val="0"/>
        </w:rPr>
        <w:t>Brain</w:t>
      </w:r>
      <w:r>
        <w:rPr>
          <w:rFonts w:hint="eastAsia"/>
          <w:i/>
          <w:iCs/>
          <w:kern w:val="0"/>
        </w:rPr>
        <w:t>,</w:t>
      </w:r>
      <w:r>
        <w:rPr>
          <w:i/>
          <w:iCs/>
          <w:kern w:val="0"/>
        </w:rPr>
        <w:t xml:space="preserve"> Behavior</w:t>
      </w:r>
      <w:r>
        <w:rPr>
          <w:rFonts w:hint="eastAsia"/>
          <w:i/>
          <w:iCs/>
          <w:kern w:val="0"/>
        </w:rPr>
        <w:t>,</w:t>
      </w:r>
      <w:r w:rsidR="005853A9">
        <w:rPr>
          <w:i/>
          <w:iCs/>
          <w:kern w:val="0"/>
        </w:rPr>
        <w:t xml:space="preserve"> and </w:t>
      </w:r>
      <w:r>
        <w:rPr>
          <w:i/>
          <w:iCs/>
          <w:kern w:val="0"/>
        </w:rPr>
        <w:t>Immunity</w:t>
      </w:r>
      <w:r>
        <w:rPr>
          <w:kern w:val="0"/>
        </w:rPr>
        <w:t xml:space="preserve">, </w:t>
      </w:r>
      <w:r>
        <w:rPr>
          <w:b/>
          <w:bCs/>
          <w:kern w:val="0"/>
        </w:rPr>
        <w:t>23</w:t>
      </w:r>
      <w:r>
        <w:rPr>
          <w:kern w:val="0"/>
        </w:rPr>
        <w:t xml:space="preserve"> (4), 434-445.</w:t>
      </w:r>
    </w:p>
    <w:p w:rsidR="000132F9" w:rsidRDefault="000132F9" w:rsidP="000132F9">
      <w:pPr>
        <w:pStyle w:val="a3"/>
      </w:pPr>
      <w:r>
        <w:rPr>
          <w:rFonts w:hint="eastAsia"/>
        </w:rPr>
        <w:t xml:space="preserve">Full Text: </w:t>
      </w:r>
      <w:hyperlink r:id="rId1802" w:history="1">
        <w:r w:rsidRPr="00831A4C">
          <w:rPr>
            <w:rStyle w:val="a5"/>
          </w:rPr>
          <w:t>2009\Bra Beh Imm23, 434.pdf</w:t>
        </w:r>
      </w:hyperlink>
    </w:p>
    <w:p w:rsidR="006F2F90" w:rsidRDefault="006F2F90" w:rsidP="006F2F90">
      <w:pPr>
        <w:pStyle w:val="a3"/>
        <w:rPr>
          <w:kern w:val="0"/>
        </w:rPr>
      </w:pPr>
      <w:r>
        <w:rPr>
          <w:kern w:val="0"/>
        </w:rPr>
        <w:t>Abstract: There is a growing epidemiological literature focusing on</w:t>
      </w:r>
      <w:r w:rsidR="003A1917">
        <w:rPr>
          <w:kern w:val="0"/>
        </w:rPr>
        <w:t xml:space="preserve"> the </w:t>
      </w:r>
      <w:r>
        <w:rPr>
          <w:kern w:val="0"/>
        </w:rPr>
        <w:t>association between psychosocial stress</w:t>
      </w:r>
      <w:r w:rsidR="005853A9">
        <w:rPr>
          <w:kern w:val="0"/>
        </w:rPr>
        <w:t xml:space="preserve"> and </w:t>
      </w:r>
      <w:r>
        <w:rPr>
          <w:kern w:val="0"/>
        </w:rPr>
        <w:t>human immunodeficiency virus (HIV) disease progression or acquired immunodeficiency syndrome (AIDS), but inconsistent findings have been published. We aimed to quantify</w:t>
      </w:r>
      <w:r w:rsidR="003A1917">
        <w:rPr>
          <w:kern w:val="0"/>
        </w:rPr>
        <w:t xml:space="preserve"> the </w:t>
      </w:r>
      <w:r>
        <w:rPr>
          <w:kern w:val="0"/>
        </w:rPr>
        <w:t xml:space="preserve">association between adverse </w:t>
      </w:r>
      <w:r>
        <w:rPr>
          <w:kern w:val="0"/>
        </w:rPr>
        <w:lastRenderedPageBreak/>
        <w:t>psychosocial factors</w:t>
      </w:r>
      <w:r w:rsidR="005853A9">
        <w:rPr>
          <w:kern w:val="0"/>
        </w:rPr>
        <w:t xml:space="preserve"> and </w:t>
      </w:r>
      <w:r>
        <w:rPr>
          <w:kern w:val="0"/>
        </w:rPr>
        <w:t xml:space="preserve">HIV disease progression. We searched </w:t>
      </w:r>
      <w:r w:rsidR="00D5664A">
        <w:rPr>
          <w:kern w:val="0"/>
        </w:rPr>
        <w:t>MEDLINE</w:t>
      </w:r>
      <w:r>
        <w:rPr>
          <w:kern w:val="0"/>
        </w:rPr>
        <w:t xml:space="preserve">; PsycINFO; </w:t>
      </w:r>
      <w:r w:rsidR="00D5664A">
        <w:rPr>
          <w:kern w:val="0"/>
        </w:rPr>
        <w:t>Web</w:t>
      </w:r>
      <w:r w:rsidR="00427468">
        <w:rPr>
          <w:kern w:val="0"/>
        </w:rPr>
        <w:t xml:space="preserve"> of </w:t>
      </w:r>
      <w:r w:rsidR="00D5664A">
        <w:rPr>
          <w:kern w:val="0"/>
        </w:rPr>
        <w:t>Science</w:t>
      </w:r>
      <w:r>
        <w:rPr>
          <w:kern w:val="0"/>
        </w:rPr>
        <w:t xml:space="preserve">; </w:t>
      </w:r>
      <w:r w:rsidR="002C12F0">
        <w:rPr>
          <w:kern w:val="0"/>
        </w:rPr>
        <w:t>PUBMED</w:t>
      </w:r>
      <w:r>
        <w:rPr>
          <w:kern w:val="0"/>
        </w:rPr>
        <w:t xml:space="preserve"> up to 19 January 2009,</w:t>
      </w:r>
      <w:r w:rsidR="005853A9">
        <w:rPr>
          <w:kern w:val="0"/>
        </w:rPr>
        <w:t xml:space="preserve"> and </w:t>
      </w:r>
      <w:r>
        <w:rPr>
          <w:kern w:val="0"/>
        </w:rPr>
        <w:t>included population studies with a prospective design that investigated associations between adverse psychosocial factors</w:t>
      </w:r>
      <w:r w:rsidR="005853A9">
        <w:rPr>
          <w:kern w:val="0"/>
        </w:rPr>
        <w:t xml:space="preserve"> and </w:t>
      </w:r>
      <w:r>
        <w:rPr>
          <w:kern w:val="0"/>
        </w:rPr>
        <w:t>HIV disease progression or AIDS. Two reviewers independently extracted data on study characteristics, quality,</w:t>
      </w:r>
      <w:r w:rsidR="005853A9">
        <w:rPr>
          <w:kern w:val="0"/>
        </w:rPr>
        <w:t xml:space="preserve"> and </w:t>
      </w:r>
      <w:r>
        <w:rPr>
          <w:kern w:val="0"/>
        </w:rPr>
        <w:t>estimates</w:t>
      </w:r>
      <w:r w:rsidR="00427468">
        <w:rPr>
          <w:kern w:val="0"/>
        </w:rPr>
        <w:t xml:space="preserve"> of </w:t>
      </w:r>
      <w:r>
        <w:rPr>
          <w:kern w:val="0"/>
        </w:rPr>
        <w:t>associations</w:t>
      </w:r>
      <w:r w:rsidR="00A37C1D">
        <w:rPr>
          <w:kern w:val="0"/>
        </w:rPr>
        <w:t>. The</w:t>
      </w:r>
      <w:r w:rsidR="003A1917">
        <w:rPr>
          <w:kern w:val="0"/>
        </w:rPr>
        <w:t xml:space="preserve"> </w:t>
      </w:r>
      <w:r>
        <w:rPr>
          <w:kern w:val="0"/>
        </w:rPr>
        <w:t>overall meta-analysis examined 36 articles including 100 psychosocial</w:t>
      </w:r>
      <w:r w:rsidR="005853A9">
        <w:rPr>
          <w:kern w:val="0"/>
        </w:rPr>
        <w:t xml:space="preserve"> and </w:t>
      </w:r>
      <w:r>
        <w:rPr>
          <w:kern w:val="0"/>
        </w:rPr>
        <w:t>disease related relationships. It exhibited a small, but robust positive association between adverse psychosocial factors</w:t>
      </w:r>
      <w:r w:rsidR="005853A9">
        <w:rPr>
          <w:kern w:val="0"/>
        </w:rPr>
        <w:t xml:space="preserve"> and </w:t>
      </w:r>
      <w:r>
        <w:rPr>
          <w:kern w:val="0"/>
        </w:rPr>
        <w:t>HIV progression (correlation coefficient as combined size effect 0.059, 95% confidence interval 0.043-0.074, p &lt; 0.001). Notably, sensitivity analyses showed that personality types or coping styles</w:t>
      </w:r>
      <w:r w:rsidR="005853A9">
        <w:rPr>
          <w:kern w:val="0"/>
        </w:rPr>
        <w:t xml:space="preserve"> and </w:t>
      </w:r>
      <w:r>
        <w:rPr>
          <w:kern w:val="0"/>
        </w:rPr>
        <w:t>psychological distress were more strongly associated with greater HIV disease progression than stress stimuli per se,</w:t>
      </w:r>
      <w:r w:rsidR="005853A9">
        <w:rPr>
          <w:kern w:val="0"/>
        </w:rPr>
        <w:t xml:space="preserve"> and </w:t>
      </w:r>
      <w:r>
        <w:rPr>
          <w:kern w:val="0"/>
        </w:rPr>
        <w:t>that all</w:t>
      </w:r>
      <w:r w:rsidR="00427468">
        <w:rPr>
          <w:kern w:val="0"/>
        </w:rPr>
        <w:t xml:space="preserve"> of </w:t>
      </w:r>
      <w:r w:rsidR="003A1917">
        <w:rPr>
          <w:kern w:val="0"/>
        </w:rPr>
        <w:t xml:space="preserve">the </w:t>
      </w:r>
      <w:r>
        <w:rPr>
          <w:kern w:val="0"/>
        </w:rPr>
        <w:t>immunological</w:t>
      </w:r>
      <w:r w:rsidR="005853A9">
        <w:rPr>
          <w:kern w:val="0"/>
        </w:rPr>
        <w:t xml:space="preserve"> and </w:t>
      </w:r>
      <w:r>
        <w:rPr>
          <w:kern w:val="0"/>
        </w:rPr>
        <w:t>clinical outcome indicators (acquired immunodeficiency syndrome stage, CD4+ T-cell decline, acquired immunodeficiency syndrome diagnosis, acquired immunodeficiency syndrome mortality,</w:t>
      </w:r>
      <w:r w:rsidR="005853A9">
        <w:rPr>
          <w:kern w:val="0"/>
        </w:rPr>
        <w:t xml:space="preserve"> and </w:t>
      </w:r>
      <w:r>
        <w:rPr>
          <w:kern w:val="0"/>
        </w:rPr>
        <w:t>human immunodeficiency virus disease or acquired immunodeficiency syndrome symptoms) except for viral load exhibited detrimental effects by adverse psychosocial factors. In conclusion,</w:t>
      </w:r>
      <w:r w:rsidR="003A1917">
        <w:rPr>
          <w:kern w:val="0"/>
        </w:rPr>
        <w:t xml:space="preserve"> the </w:t>
      </w:r>
      <w:r>
        <w:rPr>
          <w:kern w:val="0"/>
        </w:rPr>
        <w:t>current review reveals a robust relationship between adverse psychosocial factors</w:t>
      </w:r>
      <w:r w:rsidR="005853A9">
        <w:rPr>
          <w:kern w:val="0"/>
        </w:rPr>
        <w:t xml:space="preserve"> and </w:t>
      </w:r>
      <w:r>
        <w:rPr>
          <w:kern w:val="0"/>
        </w:rPr>
        <w:t>HIV disease progression. Furthermore, there would appear to be some evidence for particular psychosocial factors to be most strongly associated with HIV disease progression. (C) 2009 Elsevier Inc. All rights reserved.</w:t>
      </w:r>
    </w:p>
    <w:p w:rsidR="006F2F90" w:rsidRDefault="006F2F90" w:rsidP="006F2F90">
      <w:pPr>
        <w:pStyle w:val="a3"/>
        <w:rPr>
          <w:kern w:val="0"/>
        </w:rPr>
      </w:pPr>
      <w:r>
        <w:rPr>
          <w:kern w:val="0"/>
        </w:rPr>
        <w:t>Keywords: Acquired Immunodeficiency Syndrome, Active Antiretroviral Therapy, AID, AIDS, CD4 Cell Count, Clinical Progression, Coping Style, Depression</w:t>
      </w:r>
      <w:r w:rsidR="005853A9">
        <w:rPr>
          <w:kern w:val="0"/>
        </w:rPr>
        <w:t xml:space="preserve"> and </w:t>
      </w:r>
      <w:r>
        <w:rPr>
          <w:kern w:val="0"/>
        </w:rPr>
        <w:t xml:space="preserve">Anxiety, Depressive Symptoms, Diagnosis, Disease, Distress, Gay Men, HIV, Human, Human-Immunodeficiency-Virus, Immune Function, Literature, Meta-Analysis, Mortality, Outcome, Personality, Positive Homosexual Men, Prognosis, Psychoneuroimmunology, Psychosocial, Psychosocial Stress, </w:t>
      </w:r>
      <w:r w:rsidR="002C12F0">
        <w:rPr>
          <w:kern w:val="0"/>
        </w:rPr>
        <w:t>PUBMED</w:t>
      </w:r>
      <w:r>
        <w:rPr>
          <w:kern w:val="0"/>
        </w:rPr>
        <w:t xml:space="preserve">, Review, Science, Social Support, Social Support, Stress, Stressful Life Events, Symptoms, </w:t>
      </w:r>
      <w:r w:rsidR="00D5664A">
        <w:rPr>
          <w:kern w:val="0"/>
        </w:rPr>
        <w:t>Web</w:t>
      </w:r>
      <w:r w:rsidR="00427468">
        <w:rPr>
          <w:kern w:val="0"/>
        </w:rPr>
        <w:t xml:space="preserve"> of </w:t>
      </w:r>
      <w:r w:rsidR="00D5664A">
        <w:rPr>
          <w:kern w:val="0"/>
        </w:rPr>
        <w:t>Science</w:t>
      </w:r>
    </w:p>
    <w:p w:rsidR="006F2F90" w:rsidRDefault="006F2F90" w:rsidP="006F2F90">
      <w:pPr>
        <w:pStyle w:val="a3"/>
        <w:rPr>
          <w:kern w:val="0"/>
        </w:rPr>
      </w:pPr>
      <w:r>
        <w:rPr>
          <w:rFonts w:hint="eastAsia"/>
          <w:kern w:val="0"/>
        </w:rPr>
        <w:t xml:space="preserve">? </w:t>
      </w:r>
      <w:r>
        <w:rPr>
          <w:kern w:val="0"/>
        </w:rPr>
        <w:t>Chida, Y.</w:t>
      </w:r>
      <w:r w:rsidR="005853A9">
        <w:rPr>
          <w:kern w:val="0"/>
        </w:rPr>
        <w:t xml:space="preserve"> and </w:t>
      </w:r>
      <w:r>
        <w:rPr>
          <w:kern w:val="0"/>
        </w:rPr>
        <w:t xml:space="preserve">Mao, X. (2009), Does psychosocial stress predict symptomatic herpes simplex virus recurrence? A meta-analytic investigation on prospective studies. </w:t>
      </w:r>
      <w:r>
        <w:rPr>
          <w:i/>
          <w:iCs/>
          <w:kern w:val="0"/>
        </w:rPr>
        <w:t>Brain</w:t>
      </w:r>
      <w:r>
        <w:rPr>
          <w:rFonts w:hint="eastAsia"/>
          <w:i/>
          <w:iCs/>
          <w:kern w:val="0"/>
        </w:rPr>
        <w:t>,</w:t>
      </w:r>
      <w:r>
        <w:rPr>
          <w:i/>
          <w:iCs/>
          <w:kern w:val="0"/>
        </w:rPr>
        <w:t xml:space="preserve"> Behavior</w:t>
      </w:r>
      <w:r>
        <w:rPr>
          <w:rFonts w:hint="eastAsia"/>
          <w:i/>
          <w:iCs/>
          <w:kern w:val="0"/>
        </w:rPr>
        <w:t>,</w:t>
      </w:r>
      <w:r w:rsidR="005853A9">
        <w:rPr>
          <w:i/>
          <w:iCs/>
          <w:kern w:val="0"/>
        </w:rPr>
        <w:t xml:space="preserve"> and </w:t>
      </w:r>
      <w:r>
        <w:rPr>
          <w:i/>
          <w:iCs/>
          <w:kern w:val="0"/>
        </w:rPr>
        <w:t>Immunity</w:t>
      </w:r>
      <w:r>
        <w:rPr>
          <w:kern w:val="0"/>
        </w:rPr>
        <w:t xml:space="preserve">, </w:t>
      </w:r>
      <w:r>
        <w:rPr>
          <w:b/>
          <w:bCs/>
          <w:kern w:val="0"/>
        </w:rPr>
        <w:t>23</w:t>
      </w:r>
      <w:r>
        <w:rPr>
          <w:kern w:val="0"/>
        </w:rPr>
        <w:t xml:space="preserve"> (7), 917-925.</w:t>
      </w:r>
    </w:p>
    <w:p w:rsidR="000132F9" w:rsidRDefault="000132F9" w:rsidP="000132F9">
      <w:pPr>
        <w:pStyle w:val="a3"/>
      </w:pPr>
      <w:r>
        <w:rPr>
          <w:rFonts w:hint="eastAsia"/>
        </w:rPr>
        <w:t xml:space="preserve">Full Text: </w:t>
      </w:r>
      <w:hyperlink r:id="rId1803" w:history="1">
        <w:r w:rsidRPr="00831A4C">
          <w:rPr>
            <w:rStyle w:val="a5"/>
          </w:rPr>
          <w:t>2009\Bra Beh Imm23, 917.pdf</w:t>
        </w:r>
      </w:hyperlink>
    </w:p>
    <w:p w:rsidR="006F2F90" w:rsidRDefault="006F2F90" w:rsidP="006F2F90">
      <w:pPr>
        <w:pStyle w:val="a3"/>
        <w:rPr>
          <w:kern w:val="0"/>
        </w:rPr>
      </w:pPr>
      <w:r>
        <w:rPr>
          <w:kern w:val="0"/>
        </w:rPr>
        <w:t>Abstract: Previous psychological studies have paid extensive attention to</w:t>
      </w:r>
      <w:r w:rsidR="003A1917">
        <w:rPr>
          <w:kern w:val="0"/>
        </w:rPr>
        <w:t xml:space="preserve"> the </w:t>
      </w:r>
      <w:r>
        <w:rPr>
          <w:kern w:val="0"/>
        </w:rPr>
        <w:t>association between psychosocial stress</w:t>
      </w:r>
      <w:r w:rsidR="005853A9">
        <w:rPr>
          <w:kern w:val="0"/>
        </w:rPr>
        <w:t xml:space="preserve"> and </w:t>
      </w:r>
      <w:r>
        <w:rPr>
          <w:kern w:val="0"/>
        </w:rPr>
        <w:t>symptomatic herpes simplex virus (HSV) recurrence, but subsequent research has been conducted</w:t>
      </w:r>
      <w:r w:rsidR="005853A9">
        <w:rPr>
          <w:kern w:val="0"/>
        </w:rPr>
        <w:t xml:space="preserve"> and </w:t>
      </w:r>
      <w:r>
        <w:rPr>
          <w:kern w:val="0"/>
        </w:rPr>
        <w:t>conflicting findings have been published. We aimed to quantify</w:t>
      </w:r>
      <w:r w:rsidR="003A1917">
        <w:rPr>
          <w:kern w:val="0"/>
        </w:rPr>
        <w:t xml:space="preserve"> the </w:t>
      </w:r>
      <w:r>
        <w:rPr>
          <w:kern w:val="0"/>
        </w:rPr>
        <w:t>longitudinal association between psychosocial stress</w:t>
      </w:r>
      <w:r w:rsidR="005853A9">
        <w:rPr>
          <w:kern w:val="0"/>
        </w:rPr>
        <w:t xml:space="preserve"> and </w:t>
      </w:r>
      <w:r>
        <w:rPr>
          <w:kern w:val="0"/>
        </w:rPr>
        <w:t>recurrent HSV in</w:t>
      </w:r>
      <w:r w:rsidR="003A1917">
        <w:rPr>
          <w:kern w:val="0"/>
        </w:rPr>
        <w:t xml:space="preserve"> the </w:t>
      </w:r>
      <w:r>
        <w:rPr>
          <w:kern w:val="0"/>
        </w:rPr>
        <w:t xml:space="preserve">contemporary literature. We searched </w:t>
      </w:r>
      <w:r w:rsidR="00D5664A">
        <w:rPr>
          <w:kern w:val="0"/>
        </w:rPr>
        <w:t>MEDLINE</w:t>
      </w:r>
      <w:r>
        <w:rPr>
          <w:kern w:val="0"/>
        </w:rPr>
        <w:t xml:space="preserve">; PsycINFO; </w:t>
      </w:r>
      <w:r w:rsidR="00D5664A">
        <w:rPr>
          <w:kern w:val="0"/>
        </w:rPr>
        <w:t>Web</w:t>
      </w:r>
      <w:r w:rsidR="00427468">
        <w:rPr>
          <w:kern w:val="0"/>
        </w:rPr>
        <w:t xml:space="preserve"> of </w:t>
      </w:r>
      <w:r w:rsidR="00D5664A">
        <w:rPr>
          <w:kern w:val="0"/>
        </w:rPr>
        <w:t>Science</w:t>
      </w:r>
      <w:r>
        <w:rPr>
          <w:kern w:val="0"/>
        </w:rPr>
        <w:t xml:space="preserve">; </w:t>
      </w:r>
      <w:r w:rsidR="002C12F0">
        <w:rPr>
          <w:kern w:val="0"/>
        </w:rPr>
        <w:t>PUBMED</w:t>
      </w:r>
      <w:r>
        <w:rPr>
          <w:kern w:val="0"/>
        </w:rPr>
        <w:t xml:space="preserve"> up to March 2009,</w:t>
      </w:r>
      <w:r w:rsidR="005853A9">
        <w:rPr>
          <w:kern w:val="0"/>
        </w:rPr>
        <w:t xml:space="preserve"> and </w:t>
      </w:r>
      <w:r>
        <w:rPr>
          <w:kern w:val="0"/>
        </w:rPr>
        <w:t xml:space="preserve">included prospective </w:t>
      </w:r>
      <w:r>
        <w:rPr>
          <w:kern w:val="0"/>
        </w:rPr>
        <w:lastRenderedPageBreak/>
        <w:t>studies that investigated associations between psychosocial stress</w:t>
      </w:r>
      <w:r w:rsidR="005853A9">
        <w:rPr>
          <w:kern w:val="0"/>
        </w:rPr>
        <w:t xml:space="preserve"> and </w:t>
      </w:r>
      <w:r>
        <w:rPr>
          <w:kern w:val="0"/>
        </w:rPr>
        <w:t>symptomatic HSV recurrence. Two reviewers independently extracted data on study characteristics, quality,</w:t>
      </w:r>
      <w:r w:rsidR="005853A9">
        <w:rPr>
          <w:kern w:val="0"/>
        </w:rPr>
        <w:t xml:space="preserve"> and </w:t>
      </w:r>
      <w:r>
        <w:rPr>
          <w:kern w:val="0"/>
        </w:rPr>
        <w:t>estimates</w:t>
      </w:r>
      <w:r w:rsidR="00427468">
        <w:rPr>
          <w:kern w:val="0"/>
        </w:rPr>
        <w:t xml:space="preserve"> of </w:t>
      </w:r>
      <w:r>
        <w:rPr>
          <w:kern w:val="0"/>
        </w:rPr>
        <w:t>associations</w:t>
      </w:r>
      <w:r w:rsidR="00A37C1D">
        <w:rPr>
          <w:kern w:val="0"/>
        </w:rPr>
        <w:t>. The</w:t>
      </w:r>
      <w:r w:rsidR="003A1917">
        <w:rPr>
          <w:kern w:val="0"/>
        </w:rPr>
        <w:t xml:space="preserve"> </w:t>
      </w:r>
      <w:r>
        <w:rPr>
          <w:kern w:val="0"/>
        </w:rPr>
        <w:t>overall meta-analysis examining 11 articles (17 psychosocial</w:t>
      </w:r>
      <w:r w:rsidR="005853A9">
        <w:rPr>
          <w:kern w:val="0"/>
        </w:rPr>
        <w:t xml:space="preserve"> and </w:t>
      </w:r>
      <w:r>
        <w:rPr>
          <w:kern w:val="0"/>
        </w:rPr>
        <w:t>disease related relationships) exhibited a robust positive association between psychosocial stress</w:t>
      </w:r>
      <w:r w:rsidR="005853A9">
        <w:rPr>
          <w:kern w:val="0"/>
        </w:rPr>
        <w:t xml:space="preserve"> and </w:t>
      </w:r>
      <w:r>
        <w:rPr>
          <w:kern w:val="0"/>
        </w:rPr>
        <w:t>symptomatic HSV recurrence (correlation coefficient as combined effect size 0.083, 95% confidence interval 0.025-0.141, p = 0.005). This finding was supported by more conservative analysis</w:t>
      </w:r>
      <w:r w:rsidR="00427468">
        <w:rPr>
          <w:kern w:val="0"/>
        </w:rPr>
        <w:t xml:space="preserve"> of </w:t>
      </w:r>
      <w:r>
        <w:rPr>
          <w:kern w:val="0"/>
        </w:rPr>
        <w:t>aggregate effects</w:t>
      </w:r>
      <w:r w:rsidR="005853A9">
        <w:rPr>
          <w:kern w:val="0"/>
        </w:rPr>
        <w:t xml:space="preserve"> and </w:t>
      </w:r>
      <w:r>
        <w:rPr>
          <w:kern w:val="0"/>
        </w:rPr>
        <w:t>by sensitivity analysis</w:t>
      </w:r>
      <w:r w:rsidR="00427468">
        <w:rPr>
          <w:kern w:val="0"/>
        </w:rPr>
        <w:t xml:space="preserve"> of </w:t>
      </w:r>
      <w:r w:rsidR="003A1917">
        <w:rPr>
          <w:kern w:val="0"/>
        </w:rPr>
        <w:t xml:space="preserve">the </w:t>
      </w:r>
      <w:r>
        <w:rPr>
          <w:kern w:val="0"/>
        </w:rPr>
        <w:t>methodologically strong studies</w:t>
      </w:r>
      <w:r w:rsidR="00A37C1D">
        <w:rPr>
          <w:kern w:val="0"/>
        </w:rPr>
        <w:t>. The</w:t>
      </w:r>
      <w:r>
        <w:rPr>
          <w:kern w:val="0"/>
        </w:rPr>
        <w:t>re were indications</w:t>
      </w:r>
      <w:r w:rsidR="00427468">
        <w:rPr>
          <w:kern w:val="0"/>
        </w:rPr>
        <w:t xml:space="preserve"> of </w:t>
      </w:r>
      <w:r>
        <w:rPr>
          <w:kern w:val="0"/>
        </w:rPr>
        <w:t>publication bias in some analyses. Intriguingly, sensitivity analyses demonstrated that psychological distress was more strongly associated with symptomatic HSV recurrence than stress stimuli per se,</w:t>
      </w:r>
      <w:r w:rsidR="005853A9">
        <w:rPr>
          <w:kern w:val="0"/>
        </w:rPr>
        <w:t xml:space="preserve"> and </w:t>
      </w:r>
      <w:r>
        <w:rPr>
          <w:kern w:val="0"/>
        </w:rPr>
        <w:t>that psychosocial stress tended to be more strongly associated with oral than genital herpes recurrence. In conclusion,</w:t>
      </w:r>
      <w:r w:rsidR="003A1917">
        <w:rPr>
          <w:kern w:val="0"/>
        </w:rPr>
        <w:t xml:space="preserve"> the </w:t>
      </w:r>
      <w:r>
        <w:rPr>
          <w:kern w:val="0"/>
        </w:rPr>
        <w:t>current review reveals a robust relationship between psychosocial stress</w:t>
      </w:r>
      <w:r w:rsidR="005853A9">
        <w:rPr>
          <w:kern w:val="0"/>
        </w:rPr>
        <w:t xml:space="preserve"> and </w:t>
      </w:r>
      <w:r>
        <w:rPr>
          <w:kern w:val="0"/>
        </w:rPr>
        <w:t>symptomatic HSV recurrence, justifying further research in this field, especially clinical trials evaluating</w:t>
      </w:r>
      <w:r w:rsidR="003A1917">
        <w:rPr>
          <w:kern w:val="0"/>
        </w:rPr>
        <w:t xml:space="preserve"> the </w:t>
      </w:r>
      <w:r>
        <w:rPr>
          <w:kern w:val="0"/>
        </w:rPr>
        <w:t>efficacy</w:t>
      </w:r>
      <w:r w:rsidR="00427468">
        <w:rPr>
          <w:kern w:val="0"/>
        </w:rPr>
        <w:t xml:space="preserve"> of </w:t>
      </w:r>
      <w:r>
        <w:rPr>
          <w:kern w:val="0"/>
        </w:rPr>
        <w:t>stress reduction interventions on HSV recurrence. (C) 2009 Elsevier Inc. All rights reserved.</w:t>
      </w:r>
    </w:p>
    <w:p w:rsidR="006F2F90" w:rsidRDefault="006F2F90" w:rsidP="006F2F90">
      <w:pPr>
        <w:pStyle w:val="a3"/>
        <w:rPr>
          <w:kern w:val="0"/>
        </w:rPr>
      </w:pPr>
      <w:r>
        <w:rPr>
          <w:kern w:val="0"/>
        </w:rPr>
        <w:t xml:space="preserve">Keywords: Analysis, Attention, Bias, Clinical Trials, Controlled-Trials, Disease, Distress, Efficacy, Epidemiology, Genital Herpes, Herpes Simplex Virus, Infections, Interventions, Literature, Management, Meta-Analysis, Pathogenesis, Prospective Evidence, Prospective Studies, Psychological Stress, Psychoneuroimmunology, Psychosocial, Psychosocial Stress, Publication, Publication Bias, </w:t>
      </w:r>
      <w:r w:rsidR="002C12F0">
        <w:rPr>
          <w:kern w:val="0"/>
        </w:rPr>
        <w:t>PUBMED</w:t>
      </w:r>
      <w:r>
        <w:rPr>
          <w:kern w:val="0"/>
        </w:rPr>
        <w:t xml:space="preserve">, Reactivation, Recurrence, Research, Review, Science, Stress, Type-1, </w:t>
      </w:r>
      <w:r w:rsidR="00D5664A">
        <w:rPr>
          <w:kern w:val="0"/>
        </w:rPr>
        <w:t>Web</w:t>
      </w:r>
      <w:r w:rsidR="00427468">
        <w:rPr>
          <w:kern w:val="0"/>
        </w:rPr>
        <w:t xml:space="preserve"> of </w:t>
      </w:r>
      <w:r w:rsidR="00D5664A">
        <w:rPr>
          <w:kern w:val="0"/>
        </w:rPr>
        <w:t>Science</w:t>
      </w:r>
    </w:p>
    <w:p w:rsidR="000132F9" w:rsidRDefault="000132F9" w:rsidP="000132F9">
      <w:pPr>
        <w:pStyle w:val="a3"/>
      </w:pPr>
      <w:r>
        <w:rPr>
          <w:rFonts w:hint="eastAsia"/>
        </w:rPr>
        <w:t xml:space="preserve">? </w:t>
      </w:r>
      <w:r>
        <w:t xml:space="preserve">Ducasse, D., Olie, E., Guillaume, S., Aftéro, S. and Courtet, P. (2015), A meta-analysis of cytokines in suicidal behavior. </w:t>
      </w:r>
      <w:r>
        <w:rPr>
          <w:i/>
          <w:iCs/>
          <w:kern w:val="0"/>
        </w:rPr>
        <w:t>Brain</w:t>
      </w:r>
      <w:r>
        <w:rPr>
          <w:rFonts w:hint="eastAsia"/>
          <w:i/>
          <w:iCs/>
          <w:kern w:val="0"/>
        </w:rPr>
        <w:t>,</w:t>
      </w:r>
      <w:r>
        <w:rPr>
          <w:i/>
          <w:iCs/>
          <w:kern w:val="0"/>
        </w:rPr>
        <w:t xml:space="preserve"> Behavior</w:t>
      </w:r>
      <w:r>
        <w:rPr>
          <w:rFonts w:hint="eastAsia"/>
          <w:i/>
          <w:iCs/>
          <w:kern w:val="0"/>
        </w:rPr>
        <w:t>,</w:t>
      </w:r>
      <w:r>
        <w:rPr>
          <w:i/>
          <w:iCs/>
          <w:kern w:val="0"/>
        </w:rPr>
        <w:t xml:space="preserve"> and Immunity</w:t>
      </w:r>
      <w:r>
        <w:t xml:space="preserve">, </w:t>
      </w:r>
      <w:r>
        <w:rPr>
          <w:b/>
          <w:bCs/>
        </w:rPr>
        <w:t>46</w:t>
      </w:r>
      <w:r>
        <w:t>, 203-211.</w:t>
      </w:r>
    </w:p>
    <w:p w:rsidR="000132F9" w:rsidRDefault="000132F9" w:rsidP="000132F9">
      <w:pPr>
        <w:pStyle w:val="a3"/>
      </w:pPr>
      <w:r>
        <w:rPr>
          <w:rFonts w:hint="eastAsia"/>
        </w:rPr>
        <w:t xml:space="preserve">Full Text: </w:t>
      </w:r>
      <w:hyperlink r:id="rId1804" w:history="1">
        <w:r w:rsidRPr="00831A4C">
          <w:rPr>
            <w:rStyle w:val="a5"/>
          </w:rPr>
          <w:t>2015\Bra Beh Imm46, 203.pdf</w:t>
        </w:r>
      </w:hyperlink>
    </w:p>
    <w:p w:rsidR="000132F9" w:rsidRDefault="000132F9" w:rsidP="000132F9">
      <w:pPr>
        <w:pStyle w:val="a3"/>
      </w:pPr>
      <w:r>
        <w:t xml:space="preserve">Abstract: Background: We conducted the first meta-analysis of studies comparing the plasma and CSF concentrations of cytokines in suicidal patients vs. non-suicidal patients or healthy controls. Methods: We searched Medline, Web of Science, and PsycINFO from 1965 to November 2014 for relevant studies. Manual searches of references and unpublished data were also included. Suicidal patients included severe suicide ideators and suicide attempters. Results: Eleven articles were available for the meta-analysis, for a total sample size of 494 suicidal patients, 497 non-suicidal patients and 398 healthy controls. Levels of 6 independent plasma cytokines (IL2, IL6, TNFalpha, IFNgamma, IL4, TGFbeta) were meta-analyzed for plasma studies comparing suicidal vs. both controls. IL8 level was meta-analyzed for cerebrospinal fluid studies comparing suicidal patients with healthy controls. We reported with </w:t>
      </w:r>
      <w:r>
        <w:lastRenderedPageBreak/>
        <w:t>medium effect size, that suicidal patients had: (1) lower IL2 plasma levels than both non-suicidal patients and healthy controls (medium effect size); (2) lower IL4 and higher TGFbeta plasma levels than healthy controls. Conclusion: Our results promote the hypothesis of altered inflammatory markers in suicidal patients, for both pro-inflammatory (IL2) and anti-inflammatory (IL4 and TGFbeta) cytokines. (C) 2015 Elsevier Inc. All rights reserved.</w:t>
      </w:r>
    </w:p>
    <w:p w:rsidR="000132F9" w:rsidRDefault="000132F9" w:rsidP="000132F9">
      <w:pPr>
        <w:pStyle w:val="a3"/>
      </w:pPr>
      <w:r>
        <w:t>Keywords: Attempters, Behavior, Bipolar Disorder, Cerebrospinal Fluid, Cerebrospinal-Fluid, Chemokine Levels, Csf, Cytokine, Cytokines, Data, Effect Size, Endothelial Growth-Factor, First, Inflammation, Inflammatory Marker, Major Depressive Disorder, Meta-Analysis, Metaanalysis, Orbitofrontal Cortex, Patients, Plasma, Psychosocial Stress, Psycinfo, References, Rights, Sample Size, Science, Size, Suicidal Attempt, Suicidal Behavior, Suicidal Ideation, Suicide, Transforming Growth-Factor-Beta-1, Web Of Science</w:t>
      </w:r>
    </w:p>
    <w:p w:rsidR="004F3E0E" w:rsidRPr="001A3D2B" w:rsidRDefault="004F3E0E" w:rsidP="004F3E0E">
      <w:pPr>
        <w:pStyle w:val="1"/>
      </w:pPr>
      <w:r w:rsidRPr="001A3D2B">
        <w:br w:type="page"/>
      </w:r>
      <w:bookmarkStart w:id="887" w:name="_Toc420814797"/>
      <w:r w:rsidRPr="001A3D2B">
        <w:lastRenderedPageBreak/>
        <w:t xml:space="preserve">Title: </w:t>
      </w:r>
      <w:r w:rsidRPr="004F3E0E">
        <w:t>Brain &amp; Development</w:t>
      </w:r>
      <w:bookmarkEnd w:id="887"/>
    </w:p>
    <w:p w:rsidR="004F3E0E" w:rsidRPr="001A3D2B" w:rsidRDefault="004F3E0E" w:rsidP="004F3E0E">
      <w:pPr>
        <w:pStyle w:val="12"/>
      </w:pPr>
      <w:r w:rsidRPr="001A3D2B">
        <w:t xml:space="preserve">Full Journal Title: </w:t>
      </w:r>
      <w:r w:rsidRPr="004F3E0E">
        <w:rPr>
          <w:iCs/>
          <w:kern w:val="0"/>
        </w:rPr>
        <w:t>Brain &amp; Development</w:t>
      </w:r>
    </w:p>
    <w:p w:rsidR="004F3E0E" w:rsidRPr="001A3D2B" w:rsidRDefault="004F3E0E" w:rsidP="004F3E0E">
      <w:pPr>
        <w:pStyle w:val="12"/>
      </w:pPr>
      <w:r w:rsidRPr="001A3D2B">
        <w:t xml:space="preserve">ISO Abbreviated Title: </w:t>
      </w:r>
    </w:p>
    <w:p w:rsidR="004F3E0E" w:rsidRPr="001A3D2B" w:rsidRDefault="004F3E0E" w:rsidP="004F3E0E">
      <w:pPr>
        <w:pStyle w:val="12"/>
      </w:pPr>
      <w:r w:rsidRPr="001A3D2B">
        <w:t xml:space="preserve">JCR Abbreviated Title: </w:t>
      </w:r>
    </w:p>
    <w:p w:rsidR="004F3E0E" w:rsidRPr="001A3D2B" w:rsidRDefault="004F3E0E" w:rsidP="004F3E0E">
      <w:pPr>
        <w:pStyle w:val="12"/>
      </w:pPr>
      <w:r w:rsidRPr="001A3D2B">
        <w:t xml:space="preserve">ISSN: </w:t>
      </w:r>
    </w:p>
    <w:p w:rsidR="004F3E0E" w:rsidRPr="001A3D2B" w:rsidRDefault="004F3E0E" w:rsidP="004F3E0E">
      <w:pPr>
        <w:pStyle w:val="12"/>
      </w:pPr>
      <w:r w:rsidRPr="001A3D2B">
        <w:t xml:space="preserve">Issues/Year: </w:t>
      </w:r>
    </w:p>
    <w:p w:rsidR="004F3E0E" w:rsidRPr="001A3D2B" w:rsidRDefault="004F3E0E" w:rsidP="004F3E0E">
      <w:pPr>
        <w:pStyle w:val="12"/>
      </w:pPr>
      <w:r w:rsidRPr="001A3D2B">
        <w:t xml:space="preserve">Journal Country/Territory: </w:t>
      </w:r>
    </w:p>
    <w:p w:rsidR="004F3E0E" w:rsidRPr="001A3D2B" w:rsidRDefault="004F3E0E" w:rsidP="004F3E0E">
      <w:pPr>
        <w:pStyle w:val="12"/>
      </w:pPr>
      <w:r w:rsidRPr="001A3D2B">
        <w:t xml:space="preserve">Language: </w:t>
      </w:r>
    </w:p>
    <w:p w:rsidR="004F3E0E" w:rsidRPr="001A3D2B" w:rsidRDefault="004F3E0E" w:rsidP="004F3E0E">
      <w:pPr>
        <w:pStyle w:val="12"/>
      </w:pPr>
      <w:r w:rsidRPr="001A3D2B">
        <w:t xml:space="preserve">Publisher: </w:t>
      </w:r>
    </w:p>
    <w:p w:rsidR="004F3E0E" w:rsidRPr="001A3D2B" w:rsidRDefault="004F3E0E" w:rsidP="004F3E0E">
      <w:pPr>
        <w:pStyle w:val="12"/>
      </w:pPr>
      <w:r w:rsidRPr="001A3D2B">
        <w:t xml:space="preserve">Publisher Address: </w:t>
      </w:r>
    </w:p>
    <w:p w:rsidR="004F3E0E" w:rsidRPr="001A3D2B" w:rsidRDefault="004F3E0E" w:rsidP="004F3E0E">
      <w:pPr>
        <w:pStyle w:val="12"/>
      </w:pPr>
      <w:r w:rsidRPr="001A3D2B">
        <w:t>Subject Categories:</w:t>
      </w:r>
    </w:p>
    <w:p w:rsidR="004F3E0E" w:rsidRPr="001A3D2B" w:rsidRDefault="004F3E0E" w:rsidP="004F3E0E">
      <w:pPr>
        <w:pStyle w:val="12"/>
      </w:pPr>
      <w:r w:rsidRPr="001A3D2B">
        <w:t xml:space="preserve">: Impact Factor </w:t>
      </w:r>
    </w:p>
    <w:p w:rsidR="004F3E0E" w:rsidRDefault="004F3E0E" w:rsidP="004F3E0E">
      <w:pPr>
        <w:pStyle w:val="a3"/>
        <w:rPr>
          <w:kern w:val="0"/>
        </w:rPr>
      </w:pPr>
      <w:r>
        <w:rPr>
          <w:rFonts w:hint="eastAsia"/>
          <w:kern w:val="0"/>
        </w:rPr>
        <w:t xml:space="preserve">? </w:t>
      </w:r>
      <w:r>
        <w:rPr>
          <w:kern w:val="0"/>
        </w:rPr>
        <w:t xml:space="preserve">Inokuchi, R., Nakamura, K., Mizuno, N., Sato, H., Shinohara, K., Matsubara, T., Doi, K., Ishii, T., Gunshin, M., Nakajima, S. and Yahagi, N. (2014), Adult-onset seizures in a patient with Down syndrome and portosystemic shunt. </w:t>
      </w:r>
      <w:r w:rsidRPr="004F3E0E">
        <w:rPr>
          <w:i/>
          <w:iCs/>
          <w:kern w:val="0"/>
        </w:rPr>
        <w:t>Brain &amp; Development</w:t>
      </w:r>
      <w:r>
        <w:rPr>
          <w:kern w:val="0"/>
        </w:rPr>
        <w:t xml:space="preserve">, </w:t>
      </w:r>
      <w:r>
        <w:rPr>
          <w:b/>
          <w:bCs/>
          <w:kern w:val="0"/>
        </w:rPr>
        <w:t>36</w:t>
      </w:r>
      <w:r>
        <w:rPr>
          <w:kern w:val="0"/>
        </w:rPr>
        <w:t xml:space="preserve"> (7), 626-629.</w:t>
      </w:r>
    </w:p>
    <w:p w:rsidR="004F3E0E" w:rsidRDefault="004F3E0E" w:rsidP="004F3E0E">
      <w:pPr>
        <w:pStyle w:val="a3"/>
        <w:rPr>
          <w:kern w:val="0"/>
        </w:rPr>
      </w:pPr>
      <w:r>
        <w:rPr>
          <w:rFonts w:hint="eastAsia"/>
          <w:kern w:val="0"/>
        </w:rPr>
        <w:t xml:space="preserve">Full Text: </w:t>
      </w:r>
      <w:hyperlink r:id="rId1805" w:history="1">
        <w:r w:rsidRPr="004F3E0E">
          <w:rPr>
            <w:rStyle w:val="a5"/>
            <w:kern w:val="0"/>
          </w:rPr>
          <w:t>2014\Bra Dev36, 626.pdf</w:t>
        </w:r>
      </w:hyperlink>
    </w:p>
    <w:p w:rsidR="004F3E0E" w:rsidRDefault="004F3E0E" w:rsidP="004F3E0E">
      <w:pPr>
        <w:pStyle w:val="a3"/>
        <w:rPr>
          <w:kern w:val="0"/>
        </w:rPr>
      </w:pPr>
      <w:r>
        <w:rPr>
          <w:kern w:val="0"/>
        </w:rPr>
        <w:t xml:space="preserve">Abstract: Objective: The prevalence of epilepsy in patients with Down syndrome (DS) is 5-13%, which is higher than the prevalence in the general population. Transient hyperammonemia is often observed following seizure, but it typically resolves within a day. Here, we describe the case a 37-year-old woman who had DS and a history of adult-onset epilepsy and was admitted to our hospital with recurrent seizures. After admission, her ammonia levels fluctuated without any apparent cause, and dynamic computed tomography revealed a portosystemic shunt. The findings suggest that her seizures possibly precipitated from hyperammonemia secondary to a portosystemic shunt, and we reviewed the relevant literature. Methods: We conducted PubMed, Web of Science, and EMBASE searches without language restrictions for articles published between 1970 and February 2013. Results: In addition to the present case, 7 cases were ultimately included in this review. Four patients were newborns, 2 patients were 1 month old, and 1 patient was 3 years old. No adult cases were described until now. Conclusion: Adult patients with DS diagnosed with epilepsy are not routinely assessed for portosystemic venous shunts. Measuring ammonia levels in patients with DS the day after admission would help detect portosystemic shunts, even if the patients have been previously diagnosed with epilepsy. Practice Implications: If ammonia levels fluctuate without any apparent cause after seizure, dynamic computed tomography should be performed, especially for patients with DS, whether or not they have been previously diagnosed with epilepsy. (C) 2013 The </w:t>
      </w:r>
      <w:r>
        <w:rPr>
          <w:kern w:val="0"/>
        </w:rPr>
        <w:lastRenderedPageBreak/>
        <w:t>Japanese Society of Child Neurology. Published by Elsevier B.V. All rights reserved.</w:t>
      </w:r>
    </w:p>
    <w:p w:rsidR="004F3E0E" w:rsidRDefault="004F3E0E" w:rsidP="004F3E0E">
      <w:pPr>
        <w:pStyle w:val="a3"/>
        <w:rPr>
          <w:kern w:val="0"/>
        </w:rPr>
      </w:pPr>
      <w:r>
        <w:rPr>
          <w:kern w:val="0"/>
        </w:rPr>
        <w:t>Keywords: Adult, Ammonia, Articles, Child, Computed Tomography, Diagnosis, Down Syndrome, Dynamic, Embase, Epilepsy, Epilepsy, From, General, General Population, History, Hospital, Hyperammonemia, Hyperammonemia, Japan, Language, Literature, Methods, Newborns, Patient, Patients, Population, Portohepatic Shunt, Portosystemic Shunt, Practice, Prevalence, Pubmed, R, Recurrent, Restrictions, Results, Review, Rights, Science, Seizure, Seizures, Syndrome, Web, Web Of Science</w:t>
      </w:r>
    </w:p>
    <w:p w:rsidR="003474F2" w:rsidRPr="001A3D2B" w:rsidRDefault="003474F2" w:rsidP="003474F2">
      <w:pPr>
        <w:pStyle w:val="1"/>
      </w:pPr>
      <w:r w:rsidRPr="001A3D2B">
        <w:br w:type="page"/>
      </w:r>
      <w:bookmarkStart w:id="888" w:name="_Toc420814798"/>
      <w:r w:rsidRPr="001A3D2B">
        <w:lastRenderedPageBreak/>
        <w:t>Title: Brain</w:t>
      </w:r>
      <w:r w:rsidR="005853A9">
        <w:t xml:space="preserve"> and </w:t>
      </w:r>
      <w:r w:rsidRPr="001A3D2B">
        <w:t>Language</w:t>
      </w:r>
      <w:bookmarkEnd w:id="888"/>
    </w:p>
    <w:p w:rsidR="003474F2" w:rsidRPr="001A3D2B" w:rsidRDefault="003474F2" w:rsidP="003474F2">
      <w:pPr>
        <w:pStyle w:val="12"/>
      </w:pPr>
      <w:r w:rsidRPr="001A3D2B">
        <w:t>Full Journal Title: Brain</w:t>
      </w:r>
      <w:r w:rsidR="005853A9">
        <w:t xml:space="preserve"> and </w:t>
      </w:r>
      <w:r w:rsidRPr="001A3D2B">
        <w:t>Language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Friederici, A.D., Meyer, M.</w:t>
      </w:r>
      <w:r w:rsidR="005853A9">
        <w:t xml:space="preserve"> and </w:t>
      </w:r>
      <w:r w:rsidRPr="001A3D2B">
        <w:t>von Cramon, D.Y. (1996), Auditory language comprehension: An event-related fMRI study on</w:t>
      </w:r>
      <w:r w:rsidR="003A1917">
        <w:t xml:space="preserve"> the </w:t>
      </w:r>
      <w:r w:rsidRPr="001A3D2B">
        <w:t>processing</w:t>
      </w:r>
      <w:r w:rsidR="00427468">
        <w:t xml:space="preserve"> of </w:t>
      </w:r>
      <w:r w:rsidRPr="001A3D2B">
        <w:t>syntactic</w:t>
      </w:r>
      <w:r w:rsidR="005853A9">
        <w:t xml:space="preserve"> and </w:t>
      </w:r>
      <w:r w:rsidRPr="001A3D2B">
        <w:t xml:space="preserve">lexical information. </w:t>
      </w:r>
      <w:r w:rsidRPr="001A3D2B">
        <w:rPr>
          <w:i/>
          <w:iCs/>
        </w:rPr>
        <w:t>Brain</w:t>
      </w:r>
      <w:r w:rsidR="005853A9">
        <w:rPr>
          <w:i/>
          <w:iCs/>
        </w:rPr>
        <w:t xml:space="preserve"> and </w:t>
      </w:r>
      <w:r w:rsidRPr="001A3D2B">
        <w:rPr>
          <w:i/>
          <w:iCs/>
        </w:rPr>
        <w:t>Language</w:t>
      </w:r>
      <w:r w:rsidRPr="001A3D2B">
        <w:t xml:space="preserve">, </w:t>
      </w:r>
      <w:r w:rsidRPr="001A3D2B">
        <w:rPr>
          <w:b/>
          <w:bCs/>
        </w:rPr>
        <w:t>74</w:t>
      </w:r>
      <w:r w:rsidRPr="001A3D2B">
        <w:t xml:space="preserve"> (2), 289-300.</w:t>
      </w:r>
    </w:p>
    <w:p w:rsidR="003474F2" w:rsidRPr="001A3D2B" w:rsidRDefault="003474F2" w:rsidP="003474F2">
      <w:pPr>
        <w:pStyle w:val="a3"/>
      </w:pPr>
      <w:r w:rsidRPr="001A3D2B">
        <w:t xml:space="preserve">Full Text: </w:t>
      </w:r>
      <w:hyperlink r:id="rId1806" w:history="1">
        <w:r w:rsidRPr="001A3D2B">
          <w:rPr>
            <w:rStyle w:val="a5"/>
          </w:rPr>
          <w:t>1996\Bra Lan74, 289.pdf</w:t>
        </w:r>
      </w:hyperlink>
    </w:p>
    <w:p w:rsidR="003474F2" w:rsidRPr="001A3D2B" w:rsidRDefault="003474F2" w:rsidP="003474F2">
      <w:pPr>
        <w:pStyle w:val="a3"/>
      </w:pPr>
      <w:r w:rsidRPr="001A3D2B">
        <w:t>Abstract:</w:t>
      </w:r>
      <w:r w:rsidR="003A1917">
        <w:t xml:space="preserve"> the </w:t>
      </w:r>
      <w:r w:rsidRPr="001A3D2B">
        <w:t>functional specificity</w:t>
      </w:r>
      <w:r w:rsidR="00427468">
        <w:t xml:space="preserve"> of </w:t>
      </w:r>
      <w:r w:rsidRPr="001A3D2B">
        <w:t>different brain areas recruited in auditory language processing was investigated by means</w:t>
      </w:r>
      <w:r w:rsidR="00427468">
        <w:t xml:space="preserve"> of </w:t>
      </w:r>
      <w:r w:rsidRPr="001A3D2B">
        <w:t>event-related functional magnetic resonance imaging (fMRI) while subjects listened to speech input varying in</w:t>
      </w:r>
      <w:r w:rsidR="003A1917">
        <w:t xml:space="preserve"> the </w:t>
      </w:r>
      <w:r w:rsidRPr="001A3D2B">
        <w:t>presence or absence</w:t>
      </w:r>
      <w:r w:rsidR="00427468">
        <w:t xml:space="preserve"> of </w:t>
      </w:r>
      <w:r w:rsidRPr="001A3D2B">
        <w:t>semantic</w:t>
      </w:r>
      <w:r w:rsidR="005853A9">
        <w:t xml:space="preserve"> and </w:t>
      </w:r>
      <w:r w:rsidRPr="001A3D2B">
        <w:t>syntactic information</w:t>
      </w:r>
      <w:r w:rsidR="00A37C1D">
        <w:t>. The</w:t>
      </w:r>
      <w:r w:rsidRPr="001A3D2B">
        <w:t>re were two sentence conditions containing syntactic structure, i.e., normal speech (consisting</w:t>
      </w:r>
      <w:r w:rsidR="00427468">
        <w:t xml:space="preserve"> of </w:t>
      </w:r>
      <w:r w:rsidRPr="001A3D2B">
        <w:t>function</w:t>
      </w:r>
      <w:r w:rsidR="005853A9">
        <w:t xml:space="preserve"> and </w:t>
      </w:r>
      <w:r w:rsidRPr="001A3D2B">
        <w:t>content words), syntactic speech (consisting</w:t>
      </w:r>
      <w:r w:rsidR="00427468">
        <w:t xml:space="preserve"> of </w:t>
      </w:r>
      <w:r w:rsidRPr="001A3D2B">
        <w:t>function words</w:t>
      </w:r>
      <w:r w:rsidR="005853A9">
        <w:t xml:space="preserve"> and </w:t>
      </w:r>
      <w:r w:rsidRPr="001A3D2B">
        <w:t>pseudowords),</w:t>
      </w:r>
      <w:r w:rsidR="005853A9">
        <w:t xml:space="preserve"> and </w:t>
      </w:r>
      <w:r w:rsidRPr="001A3D2B">
        <w:t>two word-list conditions, i.e., real words</w:t>
      </w:r>
      <w:r w:rsidR="005853A9">
        <w:t xml:space="preserve"> and </w:t>
      </w:r>
      <w:r w:rsidRPr="001A3D2B">
        <w:t>pseudowords</w:t>
      </w:r>
      <w:r w:rsidR="00A37C1D">
        <w:t>. The</w:t>
      </w:r>
      <w:r w:rsidR="003A1917">
        <w:t xml:space="preserve"> </w:t>
      </w:r>
      <w:r w:rsidRPr="001A3D2B">
        <w:t>processing</w:t>
      </w:r>
      <w:r w:rsidR="00427468">
        <w:t xml:space="preserve"> of </w:t>
      </w:r>
      <w:r w:rsidRPr="001A3D2B">
        <w:t>auditory language, in general, correlates with significant activation in</w:t>
      </w:r>
      <w:r w:rsidR="003A1917">
        <w:t xml:space="preserve"> the </w:t>
      </w:r>
      <w:r w:rsidRPr="001A3D2B">
        <w:t>primary auditory cortices</w:t>
      </w:r>
      <w:r w:rsidR="005853A9">
        <w:t xml:space="preserve"> and </w:t>
      </w:r>
      <w:r w:rsidRPr="001A3D2B">
        <w:t>in adjacent compartments</w:t>
      </w:r>
      <w:r w:rsidR="00427468">
        <w:t xml:space="preserve"> of </w:t>
      </w:r>
      <w:r w:rsidR="003A1917">
        <w:t xml:space="preserve">the </w:t>
      </w:r>
      <w:r w:rsidRPr="001A3D2B">
        <w:t>superior temporal gyrus bilaterally. Processing</w:t>
      </w:r>
      <w:r w:rsidR="00427468">
        <w:t xml:space="preserve"> of </w:t>
      </w:r>
      <w:r w:rsidRPr="001A3D2B">
        <w:t>normal speech appeared to have a special status, as no frontal activation was observed in this case but was seen in</w:t>
      </w:r>
      <w:r w:rsidR="003A1917">
        <w:t xml:space="preserve"> the </w:t>
      </w:r>
      <w:r w:rsidRPr="001A3D2B">
        <w:t>three other conditions. This difference may point toward a certain automaticity</w:t>
      </w:r>
      <w:r w:rsidR="00427468">
        <w:t xml:space="preserve"> of </w:t>
      </w:r>
      <w:r w:rsidR="003A1917">
        <w:t xml:space="preserve">the </w:t>
      </w:r>
      <w:r w:rsidRPr="001A3D2B">
        <w:t>linguistic processes used during normal speech comprehension. When considering</w:t>
      </w:r>
      <w:r w:rsidR="003A1917">
        <w:t xml:space="preserve"> the </w:t>
      </w:r>
      <w:r w:rsidRPr="001A3D2B">
        <w:t>three other conditions, we found that these were correlated with activation in both left</w:t>
      </w:r>
      <w:r w:rsidR="005853A9">
        <w:t xml:space="preserve"> and </w:t>
      </w:r>
      <w:r w:rsidRPr="001A3D2B">
        <w:t>right frontal cortices. An increase</w:t>
      </w:r>
      <w:r w:rsidR="00427468">
        <w:t xml:space="preserve"> of </w:t>
      </w:r>
      <w:r w:rsidRPr="001A3D2B">
        <w:t>activation in</w:t>
      </w:r>
      <w:r w:rsidR="003A1917">
        <w:t xml:space="preserve"> the </w:t>
      </w:r>
      <w:r w:rsidRPr="001A3D2B">
        <w:t>planum polare bilaterally</w:t>
      </w:r>
      <w:r w:rsidR="005853A9">
        <w:t xml:space="preserve"> and </w:t>
      </w:r>
      <w:r w:rsidRPr="001A3D2B">
        <w:t>in</w:t>
      </w:r>
      <w:r w:rsidR="003A1917">
        <w:t xml:space="preserve"> the </w:t>
      </w:r>
      <w:r w:rsidRPr="001A3D2B">
        <w:t>deep portion</w:t>
      </w:r>
      <w:r w:rsidR="00427468">
        <w:t xml:space="preserve"> of </w:t>
      </w:r>
      <w:r w:rsidR="003A1917">
        <w:t xml:space="preserve">the </w:t>
      </w:r>
      <w:r w:rsidRPr="001A3D2B">
        <w:t>left frontal operculum was found exclusively when syntactic processes were in focus. Thus,</w:t>
      </w:r>
      <w:r w:rsidR="003A1917">
        <w:t xml:space="preserve"> the </w:t>
      </w:r>
      <w:r w:rsidRPr="001A3D2B">
        <w:t>present data may be taken to suggest an involvement</w:t>
      </w:r>
      <w:r w:rsidR="00427468">
        <w:t xml:space="preserve"> of </w:t>
      </w:r>
      <w:r w:rsidR="003A1917">
        <w:t xml:space="preserve">the </w:t>
      </w:r>
      <w:r w:rsidRPr="001A3D2B">
        <w:t>left frontal</w:t>
      </w:r>
      <w:r w:rsidR="005853A9">
        <w:t xml:space="preserve"> and </w:t>
      </w:r>
      <w:r w:rsidRPr="001A3D2B">
        <w:t>bilateral temporal cortex when processing syntactic information during comprehension.</w:t>
      </w:r>
    </w:p>
    <w:p w:rsidR="003474F2" w:rsidRPr="001A3D2B" w:rsidRDefault="003474F2" w:rsidP="003474F2">
      <w:pPr>
        <w:pStyle w:val="a3"/>
      </w:pPr>
      <w:r w:rsidRPr="001A3D2B">
        <w:t>Keywords: Functional Magnetic Resonance Imaging (fMRI), Syntax, Language, Speech</w:t>
      </w:r>
    </w:p>
    <w:p w:rsidR="003474F2" w:rsidRPr="001A3D2B" w:rsidRDefault="003474F2" w:rsidP="003474F2">
      <w:pPr>
        <w:pStyle w:val="a3"/>
      </w:pPr>
      <w:r w:rsidRPr="001A3D2B">
        <w:t>Friederici, A.D., Meyer, M.</w:t>
      </w:r>
      <w:r w:rsidR="005853A9">
        <w:t xml:space="preserve"> and </w:t>
      </w:r>
      <w:r w:rsidRPr="001A3D2B">
        <w:t xml:space="preserve">von Cramon, D.Y. (1996), Auditory language </w:t>
      </w:r>
      <w:r w:rsidRPr="001A3D2B">
        <w:lastRenderedPageBreak/>
        <w:t>comprehension: An event-related fMRI study on</w:t>
      </w:r>
      <w:r w:rsidR="003A1917">
        <w:t xml:space="preserve"> the </w:t>
      </w:r>
      <w:r w:rsidRPr="001A3D2B">
        <w:t>processing</w:t>
      </w:r>
      <w:r w:rsidR="00427468">
        <w:t xml:space="preserve"> of </w:t>
      </w:r>
      <w:r w:rsidRPr="001A3D2B">
        <w:t>syntactic</w:t>
      </w:r>
      <w:r w:rsidR="005853A9">
        <w:t xml:space="preserve"> and </w:t>
      </w:r>
      <w:r w:rsidRPr="001A3D2B">
        <w:t xml:space="preserve">lexical information: Volume 74, Number 2 (2000), pages 289-300. </w:t>
      </w:r>
      <w:r w:rsidRPr="001A3D2B">
        <w:rPr>
          <w:i/>
          <w:iCs/>
        </w:rPr>
        <w:t>Brain</w:t>
      </w:r>
      <w:r w:rsidR="005853A9">
        <w:rPr>
          <w:i/>
          <w:iCs/>
        </w:rPr>
        <w:t xml:space="preserve"> and </w:t>
      </w:r>
      <w:r w:rsidRPr="001A3D2B">
        <w:rPr>
          <w:i/>
          <w:iCs/>
        </w:rPr>
        <w:t>Language</w:t>
      </w:r>
      <w:r w:rsidRPr="001A3D2B">
        <w:t xml:space="preserve">, </w:t>
      </w:r>
      <w:r w:rsidRPr="001A3D2B">
        <w:rPr>
          <w:b/>
          <w:bCs/>
        </w:rPr>
        <w:t>75</w:t>
      </w:r>
      <w:r w:rsidRPr="001A3D2B">
        <w:t xml:space="preserve"> (3), 465-477.</w:t>
      </w:r>
    </w:p>
    <w:p w:rsidR="003474F2" w:rsidRPr="001A3D2B" w:rsidRDefault="003474F2" w:rsidP="003474F2">
      <w:pPr>
        <w:pStyle w:val="a3"/>
      </w:pPr>
      <w:r w:rsidRPr="001A3D2B">
        <w:t xml:space="preserve">Full Text: </w:t>
      </w:r>
      <w:hyperlink r:id="rId1807" w:history="1">
        <w:r w:rsidRPr="001A3D2B">
          <w:rPr>
            <w:rStyle w:val="a5"/>
          </w:rPr>
          <w:t>1996\Bra Lan75, 465.pdf</w:t>
        </w:r>
      </w:hyperlink>
    </w:p>
    <w:p w:rsidR="003474F2" w:rsidRPr="001A3D2B" w:rsidRDefault="003474F2" w:rsidP="003474F2">
      <w:pPr>
        <w:pStyle w:val="a3"/>
      </w:pPr>
      <w:r w:rsidRPr="001A3D2B">
        <w:t>Abstract: Due to conversion errors, mathematical symbols have been replaced by numbers or incorrect symbols</w:t>
      </w:r>
      <w:r w:rsidR="00A37C1D">
        <w:t>. The</w:t>
      </w:r>
      <w:r w:rsidR="003A1917">
        <w:t xml:space="preserve"> </w:t>
      </w:r>
      <w:r w:rsidRPr="001A3D2B">
        <w:t>following errors occur in</w:t>
      </w:r>
      <w:r w:rsidR="003A1917">
        <w:t xml:space="preserve"> the </w:t>
      </w:r>
      <w:r w:rsidRPr="001A3D2B">
        <w:t>legend to Fig. 1</w:t>
      </w:r>
      <w:r w:rsidR="005853A9">
        <w:t xml:space="preserve"> and </w:t>
      </w:r>
      <w:r w:rsidRPr="001A3D2B">
        <w:t>in footnote 2 on page 294</w:t>
      </w:r>
      <w:r w:rsidR="005853A9">
        <w:t xml:space="preserve"> and </w:t>
      </w:r>
      <w:r w:rsidRPr="001A3D2B">
        <w:t>in</w:t>
      </w:r>
      <w:r w:rsidR="003A1917">
        <w:t xml:space="preserve"> the </w:t>
      </w:r>
      <w:r w:rsidRPr="001A3D2B">
        <w:t>first</w:t>
      </w:r>
      <w:r w:rsidR="005853A9">
        <w:t xml:space="preserve"> and </w:t>
      </w:r>
      <w:r w:rsidRPr="001A3D2B">
        <w:t>third paragraphs</w:t>
      </w:r>
      <w:r w:rsidR="00427468">
        <w:t xml:space="preserve"> of </w:t>
      </w:r>
      <w:r w:rsidRPr="001A3D2B">
        <w:t>page 296:</w:t>
      </w:r>
      <w:r w:rsidR="003A1917">
        <w:t xml:space="preserve"> the </w:t>
      </w:r>
      <w:r w:rsidRPr="001A3D2B">
        <w:t>numeral 2 appears instead</w:t>
      </w:r>
      <w:r w:rsidR="00427468">
        <w:t xml:space="preserve"> of </w:t>
      </w:r>
      <w:r w:rsidR="003A1917">
        <w:t xml:space="preserve">the </w:t>
      </w:r>
      <w:r w:rsidRPr="001A3D2B">
        <w:t>multiplication sign,</w:t>
      </w:r>
      <w:r w:rsidR="003A1917">
        <w:t xml:space="preserve"> the </w:t>
      </w:r>
      <w:r w:rsidRPr="001A3D2B">
        <w:t>numeral 4 instead</w:t>
      </w:r>
      <w:r w:rsidR="00427468">
        <w:t xml:space="preserve"> of </w:t>
      </w:r>
      <w:r w:rsidR="003A1917">
        <w:t xml:space="preserve">the </w:t>
      </w:r>
      <w:r w:rsidRPr="001A3D2B">
        <w:t>equals sign,</w:t>
      </w:r>
      <w:r w:rsidR="003A1917">
        <w:t xml:space="preserve"> the </w:t>
      </w:r>
      <w:r w:rsidRPr="001A3D2B">
        <w:t>quotation mark instead</w:t>
      </w:r>
      <w:r w:rsidR="00427468">
        <w:t xml:space="preserve"> of </w:t>
      </w:r>
      <w:r w:rsidR="003A1917">
        <w:t xml:space="preserve">the </w:t>
      </w:r>
      <w:r w:rsidRPr="001A3D2B">
        <w:t>greater than or equal to sign,</w:t>
      </w:r>
      <w:r w:rsidR="005853A9">
        <w:t xml:space="preserve"> and </w:t>
      </w:r>
      <w:r w:rsidR="003A1917">
        <w:t xml:space="preserve">the </w:t>
      </w:r>
      <w:r w:rsidRPr="001A3D2B">
        <w:t>plus sign instead</w:t>
      </w:r>
      <w:r w:rsidR="00427468">
        <w:t xml:space="preserve"> of </w:t>
      </w:r>
      <w:r w:rsidR="003A1917">
        <w:t xml:space="preserve">the </w:t>
      </w:r>
      <w:r w:rsidRPr="001A3D2B">
        <w:t>less than sign. For</w:t>
      </w:r>
      <w:r w:rsidR="003A1917">
        <w:t xml:space="preserve"> the </w:t>
      </w:r>
      <w:r w:rsidRPr="001A3D2B">
        <w:t>reader</w:t>
      </w:r>
      <w:r w:rsidR="00700038">
        <w:t>’</w:t>
      </w:r>
      <w:r w:rsidR="00C13DDC">
        <w:t>s</w:t>
      </w:r>
      <w:r w:rsidRPr="001A3D2B">
        <w:t xml:space="preserve"> convenience,</w:t>
      </w:r>
      <w:r w:rsidR="003A1917">
        <w:t xml:space="preserve"> the </w:t>
      </w:r>
      <w:r w:rsidRPr="001A3D2B">
        <w:t>entire rapid communication is reprinted on</w:t>
      </w:r>
      <w:r w:rsidR="003A1917">
        <w:t xml:space="preserve"> the </w:t>
      </w:r>
      <w:r w:rsidRPr="001A3D2B">
        <w:t>following pages.</w:t>
      </w:r>
    </w:p>
    <w:p w:rsidR="003474F2" w:rsidRPr="001A3D2B" w:rsidRDefault="003474F2" w:rsidP="003474F2">
      <w:pPr>
        <w:pStyle w:val="1"/>
      </w:pPr>
      <w:r w:rsidRPr="001A3D2B">
        <w:br w:type="page"/>
      </w:r>
      <w:bookmarkStart w:id="889" w:name="_Toc420814799"/>
      <w:r w:rsidRPr="001A3D2B">
        <w:lastRenderedPageBreak/>
        <w:t xml:space="preserve">Title: </w:t>
      </w:r>
      <w:r w:rsidRPr="001A3D2B">
        <w:rPr>
          <w:iCs w:val="0"/>
        </w:rPr>
        <w:t>Brain Research Bulletin</w:t>
      </w:r>
      <w:bookmarkEnd w:id="889"/>
    </w:p>
    <w:p w:rsidR="003474F2" w:rsidRPr="001A3D2B" w:rsidRDefault="003474F2" w:rsidP="003474F2">
      <w:pPr>
        <w:pStyle w:val="12"/>
      </w:pPr>
      <w:r w:rsidRPr="001A3D2B">
        <w:t>Full Journal Title: Brain Research Bulletin</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Dunnett, S.B. (2004), Impact factor rises again. </w:t>
      </w:r>
      <w:r w:rsidRPr="001A3D2B">
        <w:rPr>
          <w:i/>
          <w:iCs/>
        </w:rPr>
        <w:t>Brain Research Bulletin</w:t>
      </w:r>
      <w:r w:rsidRPr="001A3D2B">
        <w:t xml:space="preserve">, </w:t>
      </w:r>
      <w:r w:rsidRPr="001A3D2B">
        <w:rPr>
          <w:b/>
          <w:bCs/>
        </w:rPr>
        <w:t>64</w:t>
      </w:r>
      <w:r w:rsidRPr="001A3D2B">
        <w:t xml:space="preserve"> (4), 285-287.</w:t>
      </w:r>
    </w:p>
    <w:p w:rsidR="00A3352C" w:rsidRDefault="00A3352C" w:rsidP="00A3352C">
      <w:pPr>
        <w:pStyle w:val="a3"/>
        <w:rPr>
          <w:kern w:val="0"/>
        </w:rPr>
      </w:pPr>
      <w:r>
        <w:rPr>
          <w:rFonts w:hint="eastAsia"/>
          <w:kern w:val="0"/>
        </w:rPr>
        <w:t xml:space="preserve">Full Text: </w:t>
      </w:r>
      <w:hyperlink r:id="rId1808" w:history="1">
        <w:r w:rsidRPr="006F3F4B">
          <w:rPr>
            <w:rStyle w:val="a5"/>
            <w:kern w:val="0"/>
          </w:rPr>
          <w:t>2004\Bra Res Bul64, 285.pdf</w:t>
        </w:r>
      </w:hyperlink>
    </w:p>
    <w:p w:rsidR="00A3352C" w:rsidRDefault="00A3352C" w:rsidP="00A3352C">
      <w:pPr>
        <w:pStyle w:val="a3"/>
        <w:rPr>
          <w:kern w:val="0"/>
        </w:rPr>
      </w:pPr>
      <w:r>
        <w:rPr>
          <w:rFonts w:hint="eastAsia"/>
          <w:kern w:val="0"/>
        </w:rPr>
        <w:t xml:space="preserve">? </w:t>
      </w:r>
      <w:r>
        <w:rPr>
          <w:kern w:val="0"/>
        </w:rPr>
        <w:t>Xu, G.Z., Wang, M.D., Liu, K.G., Bai, Y.A., Wu, W.</w:t>
      </w:r>
      <w:r w:rsidR="005853A9">
        <w:rPr>
          <w:kern w:val="0"/>
        </w:rPr>
        <w:t xml:space="preserve"> and </w:t>
      </w:r>
      <w:r>
        <w:rPr>
          <w:kern w:val="0"/>
        </w:rPr>
        <w:t>Li, W. (2013), A meta-analysis</w:t>
      </w:r>
      <w:r w:rsidR="00427468">
        <w:rPr>
          <w:kern w:val="0"/>
        </w:rPr>
        <w:t xml:space="preserve"> of </w:t>
      </w:r>
      <w:r>
        <w:rPr>
          <w:kern w:val="0"/>
        </w:rPr>
        <w:t xml:space="preserve">treating acute traumatic brain injury with calcium channel blockers. </w:t>
      </w:r>
      <w:r>
        <w:rPr>
          <w:i/>
          <w:iCs/>
          <w:kern w:val="0"/>
        </w:rPr>
        <w:t>Brain Research Bulletin</w:t>
      </w:r>
      <w:r>
        <w:rPr>
          <w:kern w:val="0"/>
        </w:rPr>
        <w:t xml:space="preserve">, </w:t>
      </w:r>
      <w:r>
        <w:rPr>
          <w:b/>
          <w:bCs/>
          <w:kern w:val="0"/>
        </w:rPr>
        <w:t>99</w:t>
      </w:r>
      <w:r>
        <w:rPr>
          <w:kern w:val="0"/>
        </w:rPr>
        <w:t>, 41-47.</w:t>
      </w:r>
    </w:p>
    <w:p w:rsidR="00A3352C" w:rsidRDefault="00A3352C" w:rsidP="00A3352C">
      <w:pPr>
        <w:pStyle w:val="a3"/>
        <w:rPr>
          <w:kern w:val="0"/>
        </w:rPr>
      </w:pPr>
      <w:r>
        <w:rPr>
          <w:rFonts w:hint="eastAsia"/>
          <w:kern w:val="0"/>
        </w:rPr>
        <w:t xml:space="preserve">Full Text: </w:t>
      </w:r>
      <w:hyperlink r:id="rId1809" w:history="1">
        <w:r w:rsidRPr="006F3F4B">
          <w:rPr>
            <w:rStyle w:val="a5"/>
            <w:kern w:val="0"/>
          </w:rPr>
          <w:t>2013\Bra Res Bul99, 41.pdf</w:t>
        </w:r>
      </w:hyperlink>
    </w:p>
    <w:p w:rsidR="00A3352C" w:rsidRDefault="00A3352C" w:rsidP="00A3352C">
      <w:pPr>
        <w:pStyle w:val="a3"/>
        <w:rPr>
          <w:kern w:val="0"/>
        </w:rPr>
      </w:pPr>
      <w:r>
        <w:rPr>
          <w:kern w:val="0"/>
        </w:rPr>
        <w:t>Abstract: The purpose</w:t>
      </w:r>
      <w:r w:rsidR="00427468">
        <w:rPr>
          <w:kern w:val="0"/>
        </w:rPr>
        <w:t xml:space="preserve"> of </w:t>
      </w:r>
      <w:r>
        <w:rPr>
          <w:kern w:val="0"/>
        </w:rPr>
        <w:t>this systematic review was to evaluate</w:t>
      </w:r>
      <w:r w:rsidR="005853A9">
        <w:rPr>
          <w:kern w:val="0"/>
        </w:rPr>
        <w:t xml:space="preserve"> and </w:t>
      </w:r>
      <w:r>
        <w:rPr>
          <w:kern w:val="0"/>
        </w:rPr>
        <w:t>meta-analyse the current evidence for the use</w:t>
      </w:r>
      <w:r w:rsidR="00427468">
        <w:rPr>
          <w:kern w:val="0"/>
        </w:rPr>
        <w:t xml:space="preserve"> of </w:t>
      </w:r>
      <w:r>
        <w:rPr>
          <w:kern w:val="0"/>
        </w:rPr>
        <w:t>calcium channel blockers (CCBs) in the treatment</w:t>
      </w:r>
      <w:r w:rsidR="00427468">
        <w:rPr>
          <w:kern w:val="0"/>
        </w:rPr>
        <w:t xml:space="preserve"> of </w:t>
      </w:r>
      <w:r>
        <w:rPr>
          <w:kern w:val="0"/>
        </w:rPr>
        <w:t>acute traumatic brain injury (TBI)</w:t>
      </w:r>
      <w:r w:rsidR="005853A9">
        <w:rPr>
          <w:kern w:val="0"/>
        </w:rPr>
        <w:t xml:space="preserve"> and </w:t>
      </w:r>
      <w:r>
        <w:rPr>
          <w:kern w:val="0"/>
        </w:rPr>
        <w:t>traumatic subarachnoid haemorrhage (tSAH). A systematic search</w:t>
      </w:r>
      <w:r w:rsidR="00427468">
        <w:rPr>
          <w:kern w:val="0"/>
        </w:rPr>
        <w:t xml:space="preserve"> of </w:t>
      </w:r>
      <w:r>
        <w:rPr>
          <w:kern w:val="0"/>
        </w:rPr>
        <w:t>clinical trials.gov, Cochrane library databases, EMBASE, MEDLINE, Web</w:t>
      </w:r>
      <w:r w:rsidR="00427468">
        <w:rPr>
          <w:kern w:val="0"/>
        </w:rPr>
        <w:t xml:space="preserve"> of </w:t>
      </w:r>
      <w:r>
        <w:rPr>
          <w:kern w:val="0"/>
        </w:rPr>
        <w:t>science search</w:t>
      </w:r>
      <w:r w:rsidR="005853A9">
        <w:rPr>
          <w:kern w:val="0"/>
        </w:rPr>
        <w:t xml:space="preserve"> and </w:t>
      </w:r>
      <w:r>
        <w:rPr>
          <w:kern w:val="0"/>
        </w:rPr>
        <w:t>WHO trial registry, plus hand-searching</w:t>
      </w:r>
      <w:r w:rsidR="00427468">
        <w:rPr>
          <w:kern w:val="0"/>
        </w:rPr>
        <w:t xml:space="preserve"> of </w:t>
      </w:r>
      <w:r>
        <w:rPr>
          <w:kern w:val="0"/>
        </w:rPr>
        <w:t>grey literature, was undertaken in March 2013. Two reviewers independently extracted the data using a pre-defined data extraction form. RevMan 5 software was used to synthesise data</w:t>
      </w:r>
      <w:r w:rsidR="005853A9">
        <w:rPr>
          <w:kern w:val="0"/>
        </w:rPr>
        <w:t xml:space="preserve"> and </w:t>
      </w:r>
      <w:r>
        <w:rPr>
          <w:kern w:val="0"/>
        </w:rPr>
        <w:t>calculate the risk ratio (RR) based on event rates as well as the 95% confidence interval (Cl). Finally, nine RCTs with a total</w:t>
      </w:r>
      <w:r w:rsidR="00427468">
        <w:rPr>
          <w:kern w:val="0"/>
        </w:rPr>
        <w:t xml:space="preserve"> of </w:t>
      </w:r>
      <w:r>
        <w:rPr>
          <w:kern w:val="0"/>
        </w:rPr>
        <w:t>2182 patients were included. Meta-analysis showed that there was no difference between CCBs</w:t>
      </w:r>
      <w:r w:rsidR="005853A9">
        <w:rPr>
          <w:kern w:val="0"/>
        </w:rPr>
        <w:t xml:space="preserve"> and </w:t>
      </w:r>
      <w:r>
        <w:rPr>
          <w:kern w:val="0"/>
        </w:rPr>
        <w:t>control groups for rates</w:t>
      </w:r>
      <w:r w:rsidR="00427468">
        <w:rPr>
          <w:kern w:val="0"/>
        </w:rPr>
        <w:t xml:space="preserve"> of </w:t>
      </w:r>
      <w:r>
        <w:rPr>
          <w:kern w:val="0"/>
        </w:rPr>
        <w:t>mortality (n = 1337, 5 RCTs, RR 0.93 CI 0.77-1.12). in a subgroup tSAH analysis, the difference was not significant (n = 389, 2 RCTs, RR 0.73 CI 0.53-1.02)</w:t>
      </w:r>
      <w:r w:rsidR="00A37C1D">
        <w:rPr>
          <w:kern w:val="0"/>
        </w:rPr>
        <w:t>. The</w:t>
      </w:r>
      <w:r>
        <w:rPr>
          <w:kern w:val="0"/>
        </w:rPr>
        <w:t>re were slightly fewer unfavourable outcomes in the treatment group, but the difference was not statistically significant (n = 2101, 8 RCTs, RR 0.90 CI 0.76-1.08). in the subgroup tSAH analysis, again, the difference did not reach statistical significance (n = 1074, 5 RCTs, RR 0.95 CI 0.73-1.24). It seems that larger, well-designed RCTs are necessary in order to ascertain any clinical benefit CCBs may or may not have for the treatment</w:t>
      </w:r>
      <w:r w:rsidR="00427468">
        <w:rPr>
          <w:kern w:val="0"/>
        </w:rPr>
        <w:t xml:space="preserve"> of </w:t>
      </w:r>
      <w:r>
        <w:rPr>
          <w:kern w:val="0"/>
        </w:rPr>
        <w:t xml:space="preserve">acute TBI. Crown Copyright </w:t>
      </w:r>
      <w:r>
        <w:rPr>
          <w:kern w:val="0"/>
        </w:rPr>
        <w:lastRenderedPageBreak/>
        <w:t>(C) 2013 Published by Elsevier Inc. All rights reserved.</w:t>
      </w:r>
    </w:p>
    <w:p w:rsidR="00A3352C" w:rsidRDefault="00A3352C" w:rsidP="00A3352C">
      <w:pPr>
        <w:pStyle w:val="a3"/>
        <w:rPr>
          <w:kern w:val="0"/>
        </w:rPr>
      </w:pPr>
      <w:r>
        <w:rPr>
          <w:kern w:val="0"/>
        </w:rPr>
        <w:t>Keywords: Acute Traumatic Brain Injury, Analysis, Brain, Brain Injury, Calcium, Calcium Channel Blockers, Clinical, Confidence, Control, Control Groups, Data, Databases, Double-Blind, Embase, Evidence, Extraction, Flow Velocities, Groups, Haemorrhage, HIT-I, Increases, Injury, Interval, Literature, Medline, Meta Analysis, Meta-Analysis, Metaanalysis, Mortality, Neuroprotection, Nimodipine, Outcomes, Oxygen-Consumption, Patients, Purpose, Rates, Registry, Review, Rights, Risk, Science, Severe Head-Injury, Significance, Software, Subarachnoid, Subarachnoid Hemorrhage, Systematic Review, Traumatic, Traumatic Brain Injury, Traumatic Subarachnoid Haemorrhage, Treatment, Trial, Web</w:t>
      </w:r>
      <w:r w:rsidR="00427468">
        <w:rPr>
          <w:kern w:val="0"/>
        </w:rPr>
        <w:t xml:space="preserve"> of </w:t>
      </w:r>
      <w:r>
        <w:rPr>
          <w:kern w:val="0"/>
        </w:rPr>
        <w:t>Science, WHO</w:t>
      </w:r>
    </w:p>
    <w:p w:rsidR="0069476F" w:rsidRPr="001A3D2B" w:rsidRDefault="0069476F" w:rsidP="0069476F">
      <w:pPr>
        <w:pStyle w:val="1"/>
      </w:pPr>
      <w:r w:rsidRPr="001A3D2B">
        <w:br w:type="page"/>
      </w:r>
      <w:bookmarkStart w:id="890" w:name="_Toc420814800"/>
      <w:r w:rsidRPr="001A3D2B">
        <w:lastRenderedPageBreak/>
        <w:t xml:space="preserve">Title: </w:t>
      </w:r>
      <w:r w:rsidRPr="0069476F">
        <w:t>Brain Stimulation</w:t>
      </w:r>
      <w:bookmarkEnd w:id="890"/>
    </w:p>
    <w:p w:rsidR="0069476F" w:rsidRPr="001A3D2B" w:rsidRDefault="0069476F" w:rsidP="0069476F">
      <w:pPr>
        <w:pStyle w:val="12"/>
      </w:pPr>
      <w:r w:rsidRPr="001A3D2B">
        <w:t xml:space="preserve">Full Journal Title: </w:t>
      </w:r>
      <w:r w:rsidRPr="0069476F">
        <w:rPr>
          <w:iCs/>
          <w:kern w:val="0"/>
        </w:rPr>
        <w:t>Brain Stimulation</w:t>
      </w:r>
    </w:p>
    <w:p w:rsidR="0069476F" w:rsidRPr="001A3D2B" w:rsidRDefault="0069476F" w:rsidP="0069476F">
      <w:pPr>
        <w:pStyle w:val="12"/>
      </w:pPr>
      <w:r w:rsidRPr="001A3D2B">
        <w:t xml:space="preserve">ISO Abbreviated Title: </w:t>
      </w:r>
    </w:p>
    <w:p w:rsidR="0069476F" w:rsidRPr="001A3D2B" w:rsidRDefault="0069476F" w:rsidP="0069476F">
      <w:pPr>
        <w:pStyle w:val="12"/>
      </w:pPr>
      <w:r w:rsidRPr="001A3D2B">
        <w:t xml:space="preserve">JCR Abbreviated Title: </w:t>
      </w:r>
    </w:p>
    <w:p w:rsidR="0069476F" w:rsidRPr="001A3D2B" w:rsidRDefault="0069476F" w:rsidP="0069476F">
      <w:pPr>
        <w:pStyle w:val="12"/>
      </w:pPr>
      <w:r w:rsidRPr="001A3D2B">
        <w:t xml:space="preserve">ISSN: </w:t>
      </w:r>
    </w:p>
    <w:p w:rsidR="0069476F" w:rsidRPr="001A3D2B" w:rsidRDefault="0069476F" w:rsidP="0069476F">
      <w:pPr>
        <w:pStyle w:val="12"/>
      </w:pPr>
      <w:r w:rsidRPr="001A3D2B">
        <w:t xml:space="preserve">Issues/Year: </w:t>
      </w:r>
    </w:p>
    <w:p w:rsidR="0069476F" w:rsidRPr="001A3D2B" w:rsidRDefault="0069476F" w:rsidP="0069476F">
      <w:pPr>
        <w:pStyle w:val="12"/>
      </w:pPr>
      <w:r w:rsidRPr="001A3D2B">
        <w:t xml:space="preserve">Journal Country/Territory: </w:t>
      </w:r>
    </w:p>
    <w:p w:rsidR="0069476F" w:rsidRPr="001A3D2B" w:rsidRDefault="0069476F" w:rsidP="0069476F">
      <w:pPr>
        <w:pStyle w:val="12"/>
      </w:pPr>
      <w:r w:rsidRPr="001A3D2B">
        <w:t xml:space="preserve">Language: </w:t>
      </w:r>
    </w:p>
    <w:p w:rsidR="0069476F" w:rsidRPr="001A3D2B" w:rsidRDefault="0069476F" w:rsidP="0069476F">
      <w:pPr>
        <w:pStyle w:val="12"/>
      </w:pPr>
      <w:r w:rsidRPr="001A3D2B">
        <w:t xml:space="preserve">Publisher: </w:t>
      </w:r>
    </w:p>
    <w:p w:rsidR="0069476F" w:rsidRPr="001A3D2B" w:rsidRDefault="0069476F" w:rsidP="0069476F">
      <w:pPr>
        <w:pStyle w:val="12"/>
      </w:pPr>
      <w:r w:rsidRPr="001A3D2B">
        <w:t xml:space="preserve">Publisher Address: </w:t>
      </w:r>
    </w:p>
    <w:p w:rsidR="0069476F" w:rsidRPr="001A3D2B" w:rsidRDefault="0069476F" w:rsidP="0069476F">
      <w:pPr>
        <w:pStyle w:val="12"/>
      </w:pPr>
      <w:r w:rsidRPr="001A3D2B">
        <w:t>Subject Categories:</w:t>
      </w:r>
    </w:p>
    <w:p w:rsidR="0069476F" w:rsidRPr="001A3D2B" w:rsidRDefault="0069476F" w:rsidP="0069476F">
      <w:pPr>
        <w:pStyle w:val="12"/>
      </w:pPr>
      <w:r w:rsidRPr="001A3D2B">
        <w:t xml:space="preserve">: Impact Factor </w:t>
      </w:r>
    </w:p>
    <w:p w:rsidR="0069476F" w:rsidRDefault="0069476F" w:rsidP="0069476F">
      <w:pPr>
        <w:pStyle w:val="a3"/>
        <w:rPr>
          <w:kern w:val="0"/>
        </w:rPr>
      </w:pPr>
      <w:r>
        <w:rPr>
          <w:rFonts w:hint="eastAsia"/>
          <w:kern w:val="0"/>
        </w:rPr>
        <w:t xml:space="preserve">? </w:t>
      </w:r>
      <w:r>
        <w:rPr>
          <w:kern w:val="0"/>
        </w:rPr>
        <w:t>Donaldson, A.E., Gordon, M.S., Melvin, G.A., Barton, D.A.</w:t>
      </w:r>
      <w:r w:rsidR="005853A9">
        <w:rPr>
          <w:kern w:val="0"/>
        </w:rPr>
        <w:t xml:space="preserve"> and </w:t>
      </w:r>
      <w:r>
        <w:rPr>
          <w:kern w:val="0"/>
        </w:rPr>
        <w:t>Fitzgerald, P.B. (2014), Addressing the needs</w:t>
      </w:r>
      <w:r w:rsidR="00427468">
        <w:rPr>
          <w:kern w:val="0"/>
        </w:rPr>
        <w:t xml:space="preserve"> of </w:t>
      </w:r>
      <w:r>
        <w:rPr>
          <w:kern w:val="0"/>
        </w:rPr>
        <w:t>adolescents with treatment resistant depressive disorders: A systematic review</w:t>
      </w:r>
      <w:r w:rsidR="00427468">
        <w:rPr>
          <w:kern w:val="0"/>
        </w:rPr>
        <w:t xml:space="preserve"> of </w:t>
      </w:r>
      <w:r>
        <w:rPr>
          <w:kern w:val="0"/>
        </w:rPr>
        <w:t xml:space="preserve">rTMS. </w:t>
      </w:r>
      <w:r w:rsidRPr="0069476F">
        <w:rPr>
          <w:i/>
          <w:iCs/>
          <w:kern w:val="0"/>
        </w:rPr>
        <w:t>Brain Stimulation</w:t>
      </w:r>
      <w:r>
        <w:rPr>
          <w:kern w:val="0"/>
        </w:rPr>
        <w:t xml:space="preserve">, </w:t>
      </w:r>
      <w:r>
        <w:rPr>
          <w:b/>
          <w:bCs/>
          <w:kern w:val="0"/>
        </w:rPr>
        <w:t>7</w:t>
      </w:r>
      <w:r>
        <w:rPr>
          <w:kern w:val="0"/>
        </w:rPr>
        <w:t xml:space="preserve"> (1), 7-12.</w:t>
      </w:r>
    </w:p>
    <w:p w:rsidR="0069476F" w:rsidRDefault="0069476F" w:rsidP="0069476F">
      <w:pPr>
        <w:pStyle w:val="a3"/>
        <w:rPr>
          <w:kern w:val="0"/>
        </w:rPr>
      </w:pPr>
      <w:r>
        <w:rPr>
          <w:rFonts w:hint="eastAsia"/>
          <w:kern w:val="0"/>
        </w:rPr>
        <w:t xml:space="preserve">Full Text: </w:t>
      </w:r>
      <w:hyperlink r:id="rId1810" w:history="1">
        <w:r w:rsidRPr="0069476F">
          <w:rPr>
            <w:rStyle w:val="a5"/>
            <w:kern w:val="0"/>
          </w:rPr>
          <w:t>2014\Bra Sti7, 7.pdf</w:t>
        </w:r>
      </w:hyperlink>
    </w:p>
    <w:p w:rsidR="0069476F" w:rsidRDefault="0069476F" w:rsidP="0069476F">
      <w:pPr>
        <w:pStyle w:val="a3"/>
        <w:rPr>
          <w:kern w:val="0"/>
        </w:rPr>
      </w:pPr>
      <w:r>
        <w:rPr>
          <w:kern w:val="0"/>
        </w:rPr>
        <w:t>Abstract: Background: Depressive disorders are among the most commonly experienced mental health concerns</w:t>
      </w:r>
      <w:r w:rsidR="005853A9">
        <w:rPr>
          <w:kern w:val="0"/>
        </w:rPr>
        <w:t xml:space="preserve"> and </w:t>
      </w:r>
      <w:r>
        <w:rPr>
          <w:kern w:val="0"/>
        </w:rPr>
        <w:t>a leading cause</w:t>
      </w:r>
      <w:r w:rsidR="00427468">
        <w:rPr>
          <w:kern w:val="0"/>
        </w:rPr>
        <w:t xml:space="preserve"> of </w:t>
      </w:r>
      <w:r>
        <w:rPr>
          <w:kern w:val="0"/>
        </w:rPr>
        <w:t>mortality in adolescence. Current treatment guidelines recommend the use</w:t>
      </w:r>
      <w:r w:rsidR="00427468">
        <w:rPr>
          <w:kern w:val="0"/>
        </w:rPr>
        <w:t xml:space="preserve"> of </w:t>
      </w:r>
      <w:r>
        <w:rPr>
          <w:kern w:val="0"/>
        </w:rPr>
        <w:t>antidepressant medication, cognitive behavioral therapy or both treatments. Unfortunately 40-60%</w:t>
      </w:r>
      <w:r w:rsidR="00427468">
        <w:rPr>
          <w:kern w:val="0"/>
        </w:rPr>
        <w:t xml:space="preserve"> of </w:t>
      </w:r>
      <w:r>
        <w:rPr>
          <w:kern w:val="0"/>
        </w:rPr>
        <w:t>adolescents fail to respond to these treatments, therefore a new effective alternative treatment modality would be</w:t>
      </w:r>
      <w:r w:rsidR="00427468">
        <w:rPr>
          <w:kern w:val="0"/>
        </w:rPr>
        <w:t xml:space="preserve"> of </w:t>
      </w:r>
      <w:r>
        <w:rPr>
          <w:kern w:val="0"/>
        </w:rPr>
        <w:t>particular benefit. rTMS is effective in addressing treatment resistant depression in adults</w:t>
      </w:r>
      <w:r w:rsidR="005853A9">
        <w:rPr>
          <w:kern w:val="0"/>
        </w:rPr>
        <w:t xml:space="preserve"> and </w:t>
      </w:r>
      <w:r>
        <w:rPr>
          <w:kern w:val="0"/>
        </w:rPr>
        <w:t>investigation into its effectiveness with adolescent populations has begun. Objective: To examine the existing literature regarding the efficacy</w:t>
      </w:r>
      <w:r w:rsidR="005853A9">
        <w:rPr>
          <w:kern w:val="0"/>
        </w:rPr>
        <w:t xml:space="preserve"> and </w:t>
      </w:r>
      <w:r>
        <w:rPr>
          <w:kern w:val="0"/>
        </w:rPr>
        <w:t>safety</w:t>
      </w:r>
      <w:r w:rsidR="00427468">
        <w:rPr>
          <w:kern w:val="0"/>
        </w:rPr>
        <w:t xml:space="preserve"> of </w:t>
      </w:r>
      <w:r>
        <w:rPr>
          <w:kern w:val="0"/>
        </w:rPr>
        <w:t>rTMS treatment with adolescents experiencing depressive symptoms, especially research conducted since the last published review. Methods: A systematic review was conducted in accordance with PRISMA guidelines</w:t>
      </w:r>
      <w:r w:rsidR="00A37C1D">
        <w:rPr>
          <w:kern w:val="0"/>
        </w:rPr>
        <w:t>. The</w:t>
      </w:r>
      <w:r>
        <w:rPr>
          <w:kern w:val="0"/>
        </w:rPr>
        <w:t xml:space="preserve"> databases</w:t>
      </w:r>
      <w:r w:rsidR="00427468">
        <w:rPr>
          <w:kern w:val="0"/>
        </w:rPr>
        <w:t xml:space="preserve"> of </w:t>
      </w:r>
      <w:r>
        <w:rPr>
          <w:kern w:val="0"/>
        </w:rPr>
        <w:t>OVID PsycINFO, PubMed, Ovid Medline</w:t>
      </w:r>
      <w:r w:rsidR="005853A9">
        <w:rPr>
          <w:kern w:val="0"/>
        </w:rPr>
        <w:t xml:space="preserve"> and </w:t>
      </w:r>
      <w:r>
        <w:rPr>
          <w:kern w:val="0"/>
        </w:rPr>
        <w:t>Web</w:t>
      </w:r>
      <w:r w:rsidR="00427468">
        <w:rPr>
          <w:kern w:val="0"/>
        </w:rPr>
        <w:t xml:space="preserve"> of </w:t>
      </w:r>
      <w:r>
        <w:rPr>
          <w:kern w:val="0"/>
        </w:rPr>
        <w:t>Science were searched for research utilizing rTMS treatment with adolescents experiencing depressive symptomology. Results: The review identified seven studies that examined rTMS as a treatment for depressive symptomology in adolescence. Findings indicate rTMS is likely to be an effective treatment for young people with preliminary longitudinal results suggesting maintenance</w:t>
      </w:r>
      <w:r w:rsidR="00427468">
        <w:rPr>
          <w:kern w:val="0"/>
        </w:rPr>
        <w:t xml:space="preserve"> of </w:t>
      </w:r>
      <w:r>
        <w:rPr>
          <w:kern w:val="0"/>
        </w:rPr>
        <w:t>effects 3 years post-treatment. Reported side effects have included headaches, scalp discomfort</w:t>
      </w:r>
      <w:r w:rsidR="005853A9">
        <w:rPr>
          <w:kern w:val="0"/>
        </w:rPr>
        <w:t xml:space="preserve"> and </w:t>
      </w:r>
      <w:r>
        <w:rPr>
          <w:kern w:val="0"/>
        </w:rPr>
        <w:t>single incidences</w:t>
      </w:r>
      <w:r w:rsidR="00427468">
        <w:rPr>
          <w:kern w:val="0"/>
        </w:rPr>
        <w:t xml:space="preserve"> of </w:t>
      </w:r>
      <w:r>
        <w:rPr>
          <w:kern w:val="0"/>
        </w:rPr>
        <w:t>hypomania</w:t>
      </w:r>
      <w:r w:rsidR="005853A9">
        <w:rPr>
          <w:kern w:val="0"/>
        </w:rPr>
        <w:t xml:space="preserve"> and </w:t>
      </w:r>
      <w:r>
        <w:rPr>
          <w:kern w:val="0"/>
        </w:rPr>
        <w:t>seizure. All side effects were transitory</w:t>
      </w:r>
      <w:r w:rsidR="005853A9">
        <w:rPr>
          <w:kern w:val="0"/>
        </w:rPr>
        <w:t xml:space="preserve"> and </w:t>
      </w:r>
      <w:r>
        <w:rPr>
          <w:kern w:val="0"/>
        </w:rPr>
        <w:t>did not recur. Conclusion: Preliminary results suggest rTMS is an effective</w:t>
      </w:r>
      <w:r w:rsidR="005853A9">
        <w:rPr>
          <w:kern w:val="0"/>
        </w:rPr>
        <w:t xml:space="preserve"> and </w:t>
      </w:r>
      <w:r>
        <w:rPr>
          <w:kern w:val="0"/>
        </w:rPr>
        <w:t xml:space="preserve">well tolerated antidepressant treatment for adolescents with treatment resistant depressive </w:t>
      </w:r>
      <w:r>
        <w:rPr>
          <w:kern w:val="0"/>
        </w:rPr>
        <w:lastRenderedPageBreak/>
        <w:t>symptomology. Further research allowing for comparison across studies is necessary to establish the efficacy</w:t>
      </w:r>
      <w:r w:rsidR="00427468">
        <w:rPr>
          <w:kern w:val="0"/>
        </w:rPr>
        <w:t xml:space="preserve"> of </w:t>
      </w:r>
      <w:r>
        <w:rPr>
          <w:kern w:val="0"/>
        </w:rPr>
        <w:t>rTMS in adolescent depression. (C) 2014 Elsevier Inc. All rights reserved.</w:t>
      </w:r>
    </w:p>
    <w:p w:rsidR="0069476F" w:rsidRDefault="0069476F" w:rsidP="0069476F">
      <w:pPr>
        <w:pStyle w:val="a3"/>
        <w:rPr>
          <w:kern w:val="0"/>
        </w:rPr>
      </w:pPr>
      <w:r>
        <w:rPr>
          <w:kern w:val="0"/>
        </w:rPr>
        <w:t>Keywords: Adolescence, Adolescent, Adolescents, Alternative, Antidepressant, Comparison, Databases, Depression, Depressive Symptoms, Effectiveness, Effects, Efficacy, Guidelines, Health, Investigation, Literature, Longitudinal, Medline, Mental Health, Methods, Mortality, Populations, Psycinfo, Pubmed, Research, Resistant, Results, Review, Rights, Safety, Scalp, Science, Seizure, Side Effects, Symptoms, Systematic Review, Therapy, Treatment, Treatment Guidelines, Web</w:t>
      </w:r>
      <w:r w:rsidR="00427468">
        <w:rPr>
          <w:kern w:val="0"/>
        </w:rPr>
        <w:t xml:space="preserve"> of </w:t>
      </w:r>
      <w:r>
        <w:rPr>
          <w:kern w:val="0"/>
        </w:rPr>
        <w:t>Science</w:t>
      </w:r>
    </w:p>
    <w:p w:rsidR="001F53D3" w:rsidRPr="001A3D2B" w:rsidRDefault="001F53D3" w:rsidP="001F53D3">
      <w:pPr>
        <w:pStyle w:val="1"/>
      </w:pPr>
      <w:r w:rsidRPr="001A3D2B">
        <w:br w:type="page"/>
      </w:r>
      <w:bookmarkStart w:id="891" w:name="_Toc420814801"/>
      <w:r w:rsidRPr="001A3D2B">
        <w:lastRenderedPageBreak/>
        <w:t xml:space="preserve">Title: </w:t>
      </w:r>
      <w:r w:rsidRPr="001A3D2B">
        <w:rPr>
          <w:szCs w:val="24"/>
        </w:rPr>
        <w:t>Brazilian Journal</w:t>
      </w:r>
      <w:r w:rsidR="00427468">
        <w:rPr>
          <w:szCs w:val="24"/>
        </w:rPr>
        <w:t xml:space="preserve"> of </w:t>
      </w:r>
      <w:r w:rsidRPr="001A3D2B">
        <w:rPr>
          <w:szCs w:val="24"/>
        </w:rPr>
        <w:t>Biology</w:t>
      </w:r>
      <w:bookmarkEnd w:id="891"/>
    </w:p>
    <w:p w:rsidR="001F53D3" w:rsidRPr="001A3D2B" w:rsidRDefault="001F53D3" w:rsidP="001F53D3">
      <w:pPr>
        <w:pStyle w:val="12"/>
      </w:pPr>
      <w:r w:rsidRPr="001A3D2B">
        <w:t xml:space="preserve">Full Journal Title: </w:t>
      </w:r>
      <w:r w:rsidRPr="001A3D2B">
        <w:rPr>
          <w:kern w:val="0"/>
        </w:rPr>
        <w:t>Brazilian Journal</w:t>
      </w:r>
      <w:r w:rsidR="00427468">
        <w:rPr>
          <w:kern w:val="0"/>
        </w:rPr>
        <w:t xml:space="preserve"> of </w:t>
      </w:r>
      <w:r w:rsidRPr="001A3D2B">
        <w:rPr>
          <w:kern w:val="0"/>
        </w:rPr>
        <w:t>Biology</w:t>
      </w:r>
    </w:p>
    <w:p w:rsidR="001F53D3" w:rsidRPr="001A3D2B" w:rsidRDefault="001F53D3" w:rsidP="001F53D3">
      <w:pPr>
        <w:pStyle w:val="12"/>
      </w:pPr>
      <w:r w:rsidRPr="001A3D2B">
        <w:t xml:space="preserve">ISO Abbreviated Title: </w:t>
      </w:r>
    </w:p>
    <w:p w:rsidR="001F53D3" w:rsidRPr="001A3D2B" w:rsidRDefault="001F53D3" w:rsidP="001F53D3">
      <w:pPr>
        <w:pStyle w:val="12"/>
      </w:pPr>
      <w:r w:rsidRPr="001A3D2B">
        <w:t xml:space="preserve">JCR Abbreviated Title: </w:t>
      </w:r>
    </w:p>
    <w:p w:rsidR="001F53D3" w:rsidRPr="001A3D2B" w:rsidRDefault="001F53D3" w:rsidP="001F53D3">
      <w:pPr>
        <w:pStyle w:val="12"/>
      </w:pPr>
      <w:r w:rsidRPr="001A3D2B">
        <w:t xml:space="preserve">ISSN: </w:t>
      </w:r>
    </w:p>
    <w:p w:rsidR="001F53D3" w:rsidRPr="001A3D2B" w:rsidRDefault="001F53D3" w:rsidP="001F53D3">
      <w:pPr>
        <w:pStyle w:val="12"/>
      </w:pPr>
      <w:r w:rsidRPr="001A3D2B">
        <w:t xml:space="preserve">Issues/Year: </w:t>
      </w:r>
    </w:p>
    <w:p w:rsidR="001F53D3" w:rsidRPr="001A3D2B" w:rsidRDefault="00AA25A4" w:rsidP="001F53D3">
      <w:pPr>
        <w:pStyle w:val="12"/>
      </w:pPr>
      <w:r w:rsidRPr="001A3D2B">
        <w:t>Journal Country/Territory:</w:t>
      </w:r>
      <w:r w:rsidR="008F46E9" w:rsidRPr="001A3D2B">
        <w:t xml:space="preserve"> </w:t>
      </w:r>
    </w:p>
    <w:p w:rsidR="001F53D3" w:rsidRPr="001A3D2B" w:rsidRDefault="001F53D3" w:rsidP="001F53D3">
      <w:pPr>
        <w:pStyle w:val="12"/>
      </w:pPr>
      <w:r w:rsidRPr="001A3D2B">
        <w:t xml:space="preserve">Language: </w:t>
      </w:r>
    </w:p>
    <w:p w:rsidR="001F53D3" w:rsidRPr="001A3D2B" w:rsidRDefault="001F53D3" w:rsidP="001F53D3">
      <w:pPr>
        <w:pStyle w:val="12"/>
      </w:pPr>
      <w:r w:rsidRPr="001A3D2B">
        <w:t xml:space="preserve">Publisher: </w:t>
      </w:r>
    </w:p>
    <w:p w:rsidR="001F53D3" w:rsidRPr="001A3D2B" w:rsidRDefault="001F53D3" w:rsidP="001F53D3">
      <w:pPr>
        <w:pStyle w:val="12"/>
      </w:pPr>
      <w:r w:rsidRPr="001A3D2B">
        <w:t xml:space="preserve">Publisher Address: </w:t>
      </w:r>
    </w:p>
    <w:p w:rsidR="001F53D3" w:rsidRPr="001A3D2B" w:rsidRDefault="001F53D3" w:rsidP="001F53D3">
      <w:pPr>
        <w:pStyle w:val="12"/>
      </w:pPr>
      <w:r w:rsidRPr="001A3D2B">
        <w:t>Subject Categories:</w:t>
      </w:r>
    </w:p>
    <w:p w:rsidR="001F53D3" w:rsidRPr="001A3D2B" w:rsidRDefault="001F53D3" w:rsidP="001F53D3">
      <w:pPr>
        <w:pStyle w:val="12"/>
      </w:pPr>
      <w:r w:rsidRPr="001A3D2B">
        <w:t xml:space="preserve">: Impact Factor </w:t>
      </w:r>
    </w:p>
    <w:p w:rsidR="001F53D3" w:rsidRDefault="001F53D3" w:rsidP="001F53D3">
      <w:pPr>
        <w:pStyle w:val="a3"/>
        <w:rPr>
          <w:kern w:val="0"/>
          <w:szCs w:val="24"/>
        </w:rPr>
      </w:pPr>
      <w:r w:rsidRPr="001A3D2B">
        <w:rPr>
          <w:kern w:val="0"/>
          <w:szCs w:val="24"/>
        </w:rPr>
        <w:t>? Padial, A.A., Bini, L.M.</w:t>
      </w:r>
      <w:r w:rsidR="005853A9">
        <w:rPr>
          <w:kern w:val="0"/>
          <w:szCs w:val="24"/>
        </w:rPr>
        <w:t xml:space="preserve"> and </w:t>
      </w:r>
      <w:r w:rsidRPr="001A3D2B">
        <w:rPr>
          <w:kern w:val="0"/>
          <w:szCs w:val="24"/>
        </w:rPr>
        <w:t>Thomaz, S.M. (2008</w:t>
      </w:r>
      <w:r w:rsidR="00F42EAC">
        <w:rPr>
          <w:kern w:val="0"/>
          <w:szCs w:val="24"/>
        </w:rPr>
        <w:t>), The</w:t>
      </w:r>
      <w:r w:rsidR="003A1917">
        <w:rPr>
          <w:kern w:val="0"/>
          <w:szCs w:val="24"/>
        </w:rPr>
        <w:t xml:space="preserve"> </w:t>
      </w:r>
      <w:r w:rsidRPr="001A3D2B">
        <w:rPr>
          <w:kern w:val="0"/>
          <w:szCs w:val="24"/>
        </w:rPr>
        <w:t>study</w:t>
      </w:r>
      <w:r w:rsidR="00427468">
        <w:rPr>
          <w:kern w:val="0"/>
          <w:szCs w:val="24"/>
        </w:rPr>
        <w:t xml:space="preserve"> of </w:t>
      </w:r>
      <w:r w:rsidRPr="001A3D2B">
        <w:rPr>
          <w:kern w:val="0"/>
          <w:szCs w:val="24"/>
        </w:rPr>
        <w:t>aquatic macrophytes in Neotropics: A scientometrical view</w:t>
      </w:r>
      <w:r w:rsidR="00427468">
        <w:rPr>
          <w:kern w:val="0"/>
          <w:szCs w:val="24"/>
        </w:rPr>
        <w:t xml:space="preserve"> of </w:t>
      </w:r>
      <w:r w:rsidR="003A1917">
        <w:rPr>
          <w:kern w:val="0"/>
          <w:szCs w:val="24"/>
        </w:rPr>
        <w:t xml:space="preserve">the </w:t>
      </w:r>
      <w:r w:rsidRPr="001A3D2B">
        <w:rPr>
          <w:kern w:val="0"/>
          <w:szCs w:val="24"/>
        </w:rPr>
        <w:t>main trends</w:t>
      </w:r>
      <w:r w:rsidR="005853A9">
        <w:rPr>
          <w:kern w:val="0"/>
          <w:szCs w:val="24"/>
        </w:rPr>
        <w:t xml:space="preserve"> and </w:t>
      </w:r>
      <w:r w:rsidRPr="001A3D2B">
        <w:rPr>
          <w:kern w:val="0"/>
          <w:szCs w:val="24"/>
        </w:rPr>
        <w:t xml:space="preserve">gaps. </w:t>
      </w:r>
      <w:r w:rsidRPr="001A3D2B">
        <w:rPr>
          <w:i/>
          <w:iCs/>
          <w:kern w:val="0"/>
          <w:szCs w:val="24"/>
        </w:rPr>
        <w:t>Brazilian Journal</w:t>
      </w:r>
      <w:r w:rsidR="00427468">
        <w:rPr>
          <w:i/>
          <w:iCs/>
          <w:kern w:val="0"/>
          <w:szCs w:val="24"/>
        </w:rPr>
        <w:t xml:space="preserve"> of </w:t>
      </w:r>
      <w:r w:rsidRPr="001A3D2B">
        <w:rPr>
          <w:i/>
          <w:iCs/>
          <w:kern w:val="0"/>
          <w:szCs w:val="24"/>
        </w:rPr>
        <w:t>Biology</w:t>
      </w:r>
      <w:r w:rsidRPr="001A3D2B">
        <w:rPr>
          <w:kern w:val="0"/>
          <w:szCs w:val="24"/>
        </w:rPr>
        <w:t xml:space="preserve">, </w:t>
      </w:r>
      <w:r w:rsidRPr="001A3D2B">
        <w:rPr>
          <w:b/>
          <w:bCs/>
          <w:kern w:val="0"/>
          <w:szCs w:val="24"/>
        </w:rPr>
        <w:t>68</w:t>
      </w:r>
      <w:r w:rsidRPr="001A3D2B">
        <w:rPr>
          <w:kern w:val="0"/>
          <w:szCs w:val="24"/>
        </w:rPr>
        <w:t xml:space="preserve"> (4), 1051-1059.</w:t>
      </w:r>
    </w:p>
    <w:p w:rsidR="00C874EA" w:rsidRPr="001A3D2B" w:rsidRDefault="00C874EA" w:rsidP="001F53D3">
      <w:pPr>
        <w:pStyle w:val="a3"/>
        <w:rPr>
          <w:kern w:val="0"/>
          <w:szCs w:val="24"/>
        </w:rPr>
      </w:pPr>
      <w:r>
        <w:rPr>
          <w:rFonts w:hint="eastAsia"/>
          <w:kern w:val="0"/>
          <w:szCs w:val="24"/>
        </w:rPr>
        <w:t xml:space="preserve">Full Text: </w:t>
      </w:r>
      <w:hyperlink r:id="rId1811" w:history="1">
        <w:r w:rsidRPr="00C874EA">
          <w:rPr>
            <w:rStyle w:val="a5"/>
            <w:kern w:val="0"/>
            <w:szCs w:val="24"/>
          </w:rPr>
          <w:t>2008\Bra J Bio68, 1051.pdf</w:t>
        </w:r>
      </w:hyperlink>
    </w:p>
    <w:p w:rsidR="001F53D3" w:rsidRPr="001A3D2B" w:rsidRDefault="001F53D3" w:rsidP="001F53D3">
      <w:pPr>
        <w:pStyle w:val="a3"/>
        <w:rPr>
          <w:kern w:val="0"/>
          <w:szCs w:val="24"/>
        </w:rPr>
      </w:pPr>
      <w:r w:rsidRPr="001A3D2B">
        <w:rPr>
          <w:kern w:val="0"/>
          <w:szCs w:val="24"/>
        </w:rPr>
        <w:t>Abstract: Aquatic macrophytes comprises a diverse group</w:t>
      </w:r>
      <w:r w:rsidR="00427468">
        <w:rPr>
          <w:kern w:val="0"/>
          <w:szCs w:val="24"/>
        </w:rPr>
        <w:t xml:space="preserve"> of </w:t>
      </w:r>
      <w:r w:rsidRPr="001A3D2B">
        <w:rPr>
          <w:kern w:val="0"/>
          <w:szCs w:val="24"/>
        </w:rPr>
        <w:t>organisms including angiosperms, ferns, mosses, liverworts</w:t>
      </w:r>
      <w:r w:rsidR="005853A9">
        <w:rPr>
          <w:kern w:val="0"/>
          <w:szCs w:val="24"/>
        </w:rPr>
        <w:t xml:space="preserve"> and </w:t>
      </w:r>
      <w:r w:rsidRPr="001A3D2B">
        <w:rPr>
          <w:kern w:val="0"/>
          <w:szCs w:val="24"/>
        </w:rPr>
        <w:t>some macroalgae that occur in seasonally or permanently wet environments. Among other implications, aquatic macrophytes are highly productive</w:t>
      </w:r>
      <w:r w:rsidR="005853A9">
        <w:rPr>
          <w:kern w:val="0"/>
          <w:szCs w:val="24"/>
        </w:rPr>
        <w:t xml:space="preserve"> and </w:t>
      </w:r>
      <w:r w:rsidRPr="001A3D2B">
        <w:rPr>
          <w:kern w:val="0"/>
          <w:szCs w:val="24"/>
        </w:rPr>
        <w:t>with an important structuring role on aquatic environments. Ecological studies involving aquatic plants substantially increased in</w:t>
      </w:r>
      <w:r w:rsidR="003A1917">
        <w:rPr>
          <w:kern w:val="0"/>
          <w:szCs w:val="24"/>
        </w:rPr>
        <w:t xml:space="preserve"> the </w:t>
      </w:r>
      <w:r w:rsidRPr="001A3D2B">
        <w:rPr>
          <w:kern w:val="0"/>
          <w:szCs w:val="24"/>
        </w:rPr>
        <w:t>last years. However, a precise view</w:t>
      </w:r>
      <w:r w:rsidR="00427468">
        <w:rPr>
          <w:kern w:val="0"/>
          <w:szCs w:val="24"/>
        </w:rPr>
        <w:t xml:space="preserve"> of </w:t>
      </w:r>
      <w:r w:rsidRPr="001A3D2B">
        <w:rPr>
          <w:kern w:val="0"/>
          <w:szCs w:val="24"/>
        </w:rPr>
        <w:t>researches devoted to aquatic macrophytes in Neotropics is necessary to reach a reliable evaluation</w:t>
      </w:r>
      <w:r w:rsidR="00427468">
        <w:rPr>
          <w:kern w:val="0"/>
          <w:szCs w:val="24"/>
        </w:rPr>
        <w:t xml:space="preserve"> of </w:t>
      </w:r>
      <w:r w:rsidR="003A1917">
        <w:rPr>
          <w:kern w:val="0"/>
          <w:szCs w:val="24"/>
        </w:rPr>
        <w:t xml:space="preserve">the </w:t>
      </w:r>
      <w:r w:rsidRPr="001A3D2B">
        <w:rPr>
          <w:kern w:val="0"/>
          <w:szCs w:val="24"/>
        </w:rPr>
        <w:t>scientific production. In</w:t>
      </w:r>
      <w:r w:rsidR="003A1917">
        <w:rPr>
          <w:kern w:val="0"/>
          <w:szCs w:val="24"/>
        </w:rPr>
        <w:t xml:space="preserve"> the </w:t>
      </w:r>
      <w:r w:rsidRPr="001A3D2B">
        <w:rPr>
          <w:kern w:val="0"/>
          <w:szCs w:val="24"/>
        </w:rPr>
        <w:t>current study, we performed a scientometrics analysis</w:t>
      </w:r>
      <w:r w:rsidR="00427468">
        <w:rPr>
          <w:kern w:val="0"/>
          <w:szCs w:val="24"/>
        </w:rPr>
        <w:t xml:space="preserve"> of </w:t>
      </w:r>
      <w:r w:rsidR="003A1917">
        <w:rPr>
          <w:kern w:val="0"/>
          <w:szCs w:val="24"/>
        </w:rPr>
        <w:t xml:space="preserve">the </w:t>
      </w:r>
      <w:r w:rsidRPr="001A3D2B">
        <w:rPr>
          <w:kern w:val="0"/>
          <w:szCs w:val="24"/>
        </w:rPr>
        <w:t>scientific production devoted to Neotropical macrophytes in an attempt to find</w:t>
      </w:r>
      <w:r w:rsidR="003A1917">
        <w:rPr>
          <w:kern w:val="0"/>
          <w:szCs w:val="24"/>
        </w:rPr>
        <w:t xml:space="preserve"> the </w:t>
      </w:r>
      <w:r w:rsidRPr="001A3D2B">
        <w:rPr>
          <w:kern w:val="0"/>
          <w:szCs w:val="24"/>
        </w:rPr>
        <w:t>main trends</w:t>
      </w:r>
      <w:r w:rsidR="005853A9">
        <w:rPr>
          <w:kern w:val="0"/>
          <w:szCs w:val="24"/>
        </w:rPr>
        <w:t xml:space="preserve"> and </w:t>
      </w:r>
      <w:r w:rsidRPr="001A3D2B">
        <w:rPr>
          <w:kern w:val="0"/>
          <w:szCs w:val="24"/>
        </w:rPr>
        <w:t>gaps</w:t>
      </w:r>
      <w:r w:rsidR="00427468">
        <w:rPr>
          <w:kern w:val="0"/>
          <w:szCs w:val="24"/>
        </w:rPr>
        <w:t xml:space="preserve"> of </w:t>
      </w:r>
      <w:r w:rsidRPr="001A3D2B">
        <w:rPr>
          <w:kern w:val="0"/>
          <w:szCs w:val="24"/>
        </w:rPr>
        <w:t>researches concerning this group</w:t>
      </w:r>
      <w:r w:rsidR="00A37C1D">
        <w:rPr>
          <w:kern w:val="0"/>
          <w:szCs w:val="24"/>
        </w:rPr>
        <w:t>. The</w:t>
      </w:r>
      <w:r w:rsidR="003A1917">
        <w:rPr>
          <w:kern w:val="0"/>
          <w:szCs w:val="24"/>
        </w:rPr>
        <w:t xml:space="preserve"> </w:t>
      </w:r>
      <w:r w:rsidRPr="001A3D2B">
        <w:rPr>
          <w:kern w:val="0"/>
          <w:szCs w:val="24"/>
        </w:rPr>
        <w:t>publication devoted to macrophytes in Neotropics increased conspicuously in</w:t>
      </w:r>
      <w:r w:rsidR="003A1917">
        <w:rPr>
          <w:kern w:val="0"/>
          <w:szCs w:val="24"/>
        </w:rPr>
        <w:t xml:space="preserve"> the </w:t>
      </w:r>
      <w:r w:rsidRPr="001A3D2B">
        <w:rPr>
          <w:kern w:val="0"/>
          <w:szCs w:val="24"/>
        </w:rPr>
        <w:t>last two decades. Brazil, Argentina, Mexico</w:t>
      </w:r>
      <w:r w:rsidR="005853A9">
        <w:rPr>
          <w:kern w:val="0"/>
          <w:szCs w:val="24"/>
        </w:rPr>
        <w:t xml:space="preserve"> and </w:t>
      </w:r>
      <w:r w:rsidRPr="001A3D2B">
        <w:rPr>
          <w:kern w:val="0"/>
          <w:szCs w:val="24"/>
        </w:rPr>
        <w:t>Chile were</w:t>
      </w:r>
      <w:r w:rsidR="003A1917">
        <w:rPr>
          <w:kern w:val="0"/>
          <w:szCs w:val="24"/>
        </w:rPr>
        <w:t xml:space="preserve"> the </w:t>
      </w:r>
      <w:r w:rsidRPr="001A3D2B">
        <w:rPr>
          <w:kern w:val="0"/>
          <w:szCs w:val="24"/>
        </w:rPr>
        <w:t>most productive among Neotropical countries. Our analyses showed that</w:t>
      </w:r>
      <w:r w:rsidR="003A1917">
        <w:rPr>
          <w:kern w:val="0"/>
          <w:szCs w:val="24"/>
        </w:rPr>
        <w:t xml:space="preserve"> the </w:t>
      </w:r>
      <w:r w:rsidRPr="001A3D2B">
        <w:rPr>
          <w:kern w:val="0"/>
          <w:szCs w:val="24"/>
        </w:rPr>
        <w:t>Studies dealt mostly with</w:t>
      </w:r>
      <w:r w:rsidR="003A1917">
        <w:rPr>
          <w:kern w:val="0"/>
          <w:szCs w:val="24"/>
        </w:rPr>
        <w:t xml:space="preserve"> the </w:t>
      </w:r>
      <w:r w:rsidRPr="001A3D2B">
        <w:rPr>
          <w:kern w:val="0"/>
          <w:szCs w:val="24"/>
        </w:rPr>
        <w:t>influences</w:t>
      </w:r>
      <w:r w:rsidR="00427468">
        <w:rPr>
          <w:kern w:val="0"/>
          <w:szCs w:val="24"/>
        </w:rPr>
        <w:t xml:space="preserve"> of </w:t>
      </w:r>
      <w:r w:rsidRPr="001A3D2B">
        <w:rPr>
          <w:kern w:val="0"/>
          <w:szCs w:val="24"/>
        </w:rPr>
        <w:t>aquatic macrophytes on organisms</w:t>
      </w:r>
      <w:r w:rsidR="005853A9">
        <w:rPr>
          <w:kern w:val="0"/>
          <w:szCs w:val="24"/>
        </w:rPr>
        <w:t xml:space="preserve"> and </w:t>
      </w:r>
      <w:r w:rsidRPr="001A3D2B">
        <w:rPr>
          <w:kern w:val="0"/>
          <w:szCs w:val="24"/>
        </w:rPr>
        <w:t>abiotic features. Studies with a predictive approach or aiming to test ecological hypothesis are scarce. In addition, researches aiming to describe unknown species are still necessary. This is essential to support conservation efforts</w:t>
      </w:r>
      <w:r w:rsidR="005853A9">
        <w:rPr>
          <w:kern w:val="0"/>
          <w:szCs w:val="24"/>
        </w:rPr>
        <w:t xml:space="preserve"> and </w:t>
      </w:r>
      <w:r w:rsidRPr="001A3D2B">
        <w:rPr>
          <w:kern w:val="0"/>
          <w:szCs w:val="24"/>
        </w:rPr>
        <w:t>to Subsidize further investigations testing ecological hypotheses.</w:t>
      </w:r>
    </w:p>
    <w:p w:rsidR="001F53D3" w:rsidRPr="001A3D2B" w:rsidRDefault="001F53D3" w:rsidP="001F53D3">
      <w:pPr>
        <w:pStyle w:val="a3"/>
        <w:rPr>
          <w:kern w:val="0"/>
          <w:szCs w:val="24"/>
        </w:rPr>
      </w:pPr>
      <w:r w:rsidRPr="001A3D2B">
        <w:rPr>
          <w:kern w:val="0"/>
          <w:szCs w:val="24"/>
        </w:rPr>
        <w:t xml:space="preserve">Keywords: Analyses, Analysis, Approach, Aquatic Macrophytes, Aquatic Plants, Argentina, Brazil, Chile, Conservation, Ecological, Evaluation, Fish Assemblages, Floodplain, Fresh-Water, Group, Influences, Investigations, Lacks, Macroalgae, Macrophytes, Mexico, Nations, Neotropics, NOV, Parana, Plants, Predictive, </w:t>
      </w:r>
      <w:r w:rsidRPr="001A3D2B">
        <w:rPr>
          <w:kern w:val="0"/>
          <w:szCs w:val="24"/>
        </w:rPr>
        <w:lastRenderedPageBreak/>
        <w:t>Production, Publication, Role, Science, Scientific Production, Scientometrics, Species, Structuring, Support, Testing, Trends, Water-Hyacinth</w:t>
      </w:r>
    </w:p>
    <w:p w:rsidR="00E41718" w:rsidRDefault="00E41718" w:rsidP="00E41718">
      <w:pPr>
        <w:pStyle w:val="a3"/>
        <w:rPr>
          <w:kern w:val="0"/>
        </w:rPr>
      </w:pPr>
      <w:r>
        <w:rPr>
          <w:rFonts w:hint="eastAsia"/>
          <w:kern w:val="0"/>
        </w:rPr>
        <w:t xml:space="preserve">? </w:t>
      </w:r>
      <w:r>
        <w:rPr>
          <w:kern w:val="0"/>
        </w:rPr>
        <w:t>Barbosa, F.G., Schneck, F.</w:t>
      </w:r>
      <w:r w:rsidR="005853A9">
        <w:rPr>
          <w:kern w:val="0"/>
        </w:rPr>
        <w:t xml:space="preserve"> and </w:t>
      </w:r>
      <w:r>
        <w:rPr>
          <w:kern w:val="0"/>
        </w:rPr>
        <w:t>Melo, A.S. (2012), Use</w:t>
      </w:r>
      <w:r w:rsidR="00427468">
        <w:rPr>
          <w:kern w:val="0"/>
        </w:rPr>
        <w:t xml:space="preserve"> of </w:t>
      </w:r>
      <w:r>
        <w:rPr>
          <w:kern w:val="0"/>
        </w:rPr>
        <w:t>ecological niche models to predict the distribution</w:t>
      </w:r>
      <w:r w:rsidR="00427468">
        <w:rPr>
          <w:kern w:val="0"/>
        </w:rPr>
        <w:t xml:space="preserve"> of </w:t>
      </w:r>
      <w:r>
        <w:rPr>
          <w:kern w:val="0"/>
        </w:rPr>
        <w:t xml:space="preserve">invasive species: A scientometric analysis. </w:t>
      </w:r>
      <w:r>
        <w:rPr>
          <w:i/>
          <w:iCs/>
          <w:kern w:val="0"/>
        </w:rPr>
        <w:t>Brazilian Journal</w:t>
      </w:r>
      <w:r w:rsidR="00427468">
        <w:rPr>
          <w:i/>
          <w:iCs/>
          <w:kern w:val="0"/>
        </w:rPr>
        <w:t xml:space="preserve"> of </w:t>
      </w:r>
      <w:r>
        <w:rPr>
          <w:i/>
          <w:iCs/>
          <w:kern w:val="0"/>
        </w:rPr>
        <w:t>Biology</w:t>
      </w:r>
      <w:r>
        <w:rPr>
          <w:kern w:val="0"/>
        </w:rPr>
        <w:t xml:space="preserve">, </w:t>
      </w:r>
      <w:r>
        <w:rPr>
          <w:b/>
          <w:bCs/>
          <w:kern w:val="0"/>
        </w:rPr>
        <w:t>72</w:t>
      </w:r>
      <w:r>
        <w:rPr>
          <w:kern w:val="0"/>
        </w:rPr>
        <w:t xml:space="preserve"> (4), 821-829.</w:t>
      </w:r>
    </w:p>
    <w:p w:rsidR="00E41718" w:rsidRPr="001A3D2B" w:rsidRDefault="00E41718" w:rsidP="00E41718">
      <w:pPr>
        <w:pStyle w:val="a3"/>
        <w:rPr>
          <w:kern w:val="0"/>
        </w:rPr>
      </w:pPr>
      <w:r>
        <w:rPr>
          <w:rFonts w:hint="eastAsia"/>
          <w:kern w:val="0"/>
        </w:rPr>
        <w:t xml:space="preserve">Full Text: </w:t>
      </w:r>
      <w:hyperlink r:id="rId1812" w:history="1">
        <w:r w:rsidRPr="002B2876">
          <w:rPr>
            <w:rStyle w:val="a5"/>
            <w:kern w:val="0"/>
          </w:rPr>
          <w:t>2012\Bra J Bio72, 821.pdf</w:t>
        </w:r>
      </w:hyperlink>
    </w:p>
    <w:p w:rsidR="00E41718" w:rsidRDefault="00E41718" w:rsidP="00E41718">
      <w:pPr>
        <w:pStyle w:val="a3"/>
        <w:rPr>
          <w:kern w:val="0"/>
        </w:rPr>
      </w:pPr>
      <w:r>
        <w:rPr>
          <w:kern w:val="0"/>
        </w:rPr>
        <w:t>Abstract: We conducted a scientometric analysis to determine the main trends</w:t>
      </w:r>
      <w:r w:rsidR="005853A9">
        <w:rPr>
          <w:kern w:val="0"/>
        </w:rPr>
        <w:t xml:space="preserve"> and </w:t>
      </w:r>
      <w:r>
        <w:rPr>
          <w:kern w:val="0"/>
        </w:rPr>
        <w:t>gaps</w:t>
      </w:r>
      <w:r w:rsidR="00427468">
        <w:rPr>
          <w:kern w:val="0"/>
        </w:rPr>
        <w:t xml:space="preserve"> of </w:t>
      </w:r>
      <w:r>
        <w:rPr>
          <w:kern w:val="0"/>
        </w:rPr>
        <w:t>studies on the use</w:t>
      </w:r>
      <w:r w:rsidR="00427468">
        <w:rPr>
          <w:kern w:val="0"/>
        </w:rPr>
        <w:t xml:space="preserve"> of </w:t>
      </w:r>
      <w:r>
        <w:rPr>
          <w:kern w:val="0"/>
        </w:rPr>
        <w:t>ecological niche models (ENMs) to predict the distribution</w:t>
      </w:r>
      <w:r w:rsidR="00427468">
        <w:rPr>
          <w:kern w:val="0"/>
        </w:rPr>
        <w:t xml:space="preserve"> of </w:t>
      </w:r>
      <w:r>
        <w:rPr>
          <w:kern w:val="0"/>
        </w:rPr>
        <w:t>invasive species. We used the database</w:t>
      </w:r>
      <w:r w:rsidR="00427468">
        <w:rPr>
          <w:kern w:val="0"/>
        </w:rPr>
        <w:t xml:space="preserve"> of </w:t>
      </w:r>
      <w:r>
        <w:rPr>
          <w:kern w:val="0"/>
        </w:rPr>
        <w:t>the Thomson Institute for Scientific Information (ISI). We found 190 papers published between 1991</w:t>
      </w:r>
      <w:r w:rsidR="005853A9">
        <w:rPr>
          <w:kern w:val="0"/>
        </w:rPr>
        <w:t xml:space="preserve"> and </w:t>
      </w:r>
      <w:r>
        <w:rPr>
          <w:kern w:val="0"/>
        </w:rPr>
        <w:t>2010 in 82 journals</w:t>
      </w:r>
      <w:r w:rsidR="00A37C1D">
        <w:rPr>
          <w:kern w:val="0"/>
        </w:rPr>
        <w:t>. The</w:t>
      </w:r>
      <w:r>
        <w:rPr>
          <w:kern w:val="0"/>
        </w:rPr>
        <w:t xml:space="preserve"> number</w:t>
      </w:r>
      <w:r w:rsidR="00427468">
        <w:rPr>
          <w:kern w:val="0"/>
        </w:rPr>
        <w:t xml:space="preserve"> of </w:t>
      </w:r>
      <w:r>
        <w:rPr>
          <w:kern w:val="0"/>
        </w:rPr>
        <w:t>papers was low in the 1990s, but began to increase after 2003. One-third</w:t>
      </w:r>
      <w:r w:rsidR="00427468">
        <w:rPr>
          <w:kern w:val="0"/>
        </w:rPr>
        <w:t xml:space="preserve"> of </w:t>
      </w:r>
      <w:r>
        <w:rPr>
          <w:kern w:val="0"/>
        </w:rPr>
        <w:t>the papers were published by researchers from the United States</w:t>
      </w:r>
      <w:r w:rsidR="00427468">
        <w:rPr>
          <w:kern w:val="0"/>
        </w:rPr>
        <w:t xml:space="preserve"> of </w:t>
      </w:r>
      <w:r>
        <w:rPr>
          <w:kern w:val="0"/>
        </w:rPr>
        <w:t>America,</w:t>
      </w:r>
      <w:r w:rsidR="005853A9">
        <w:rPr>
          <w:kern w:val="0"/>
        </w:rPr>
        <w:t xml:space="preserve"> and </w:t>
      </w:r>
      <w:r>
        <w:rPr>
          <w:kern w:val="0"/>
        </w:rPr>
        <w:t xml:space="preserve">consequently, the </w:t>
      </w:r>
      <w:r w:rsidR="00D5664A">
        <w:rPr>
          <w:kern w:val="0"/>
        </w:rPr>
        <w:t>USA</w:t>
      </w:r>
      <w:r>
        <w:rPr>
          <w:kern w:val="0"/>
        </w:rPr>
        <w:t xml:space="preserve"> was also the most studied region</w:t>
      </w:r>
      <w:r w:rsidR="00A37C1D">
        <w:rPr>
          <w:kern w:val="0"/>
        </w:rPr>
        <w:t>. The</w:t>
      </w:r>
      <w:r>
        <w:rPr>
          <w:kern w:val="0"/>
        </w:rPr>
        <w:t xml:space="preserve"> majority</w:t>
      </w:r>
      <w:r w:rsidR="00427468">
        <w:rPr>
          <w:kern w:val="0"/>
        </w:rPr>
        <w:t xml:space="preserve"> of </w:t>
      </w:r>
      <w:r>
        <w:rPr>
          <w:kern w:val="0"/>
        </w:rPr>
        <w:t>studies were carried out in terrestrial environments, while only a few investigated aquatic systems, probably because important aquatic predictor variables are scarce or unavailable for most regions in the world. Species-occurrence records were mainly composed</w:t>
      </w:r>
      <w:r w:rsidR="00427468">
        <w:rPr>
          <w:kern w:val="0"/>
        </w:rPr>
        <w:t xml:space="preserve"> of </w:t>
      </w:r>
      <w:r>
        <w:rPr>
          <w:kern w:val="0"/>
        </w:rPr>
        <w:t>presence-only records,</w:t>
      </w:r>
      <w:r w:rsidR="005853A9">
        <w:rPr>
          <w:kern w:val="0"/>
        </w:rPr>
        <w:t xml:space="preserve"> and </w:t>
      </w:r>
      <w:r>
        <w:rPr>
          <w:kern w:val="0"/>
        </w:rPr>
        <w:t>almost 70%</w:t>
      </w:r>
      <w:r w:rsidR="00427468">
        <w:rPr>
          <w:kern w:val="0"/>
        </w:rPr>
        <w:t xml:space="preserve"> of </w:t>
      </w:r>
      <w:r>
        <w:rPr>
          <w:kern w:val="0"/>
        </w:rPr>
        <w:t>the studies were carried out with plants</w:t>
      </w:r>
      <w:r w:rsidR="005853A9">
        <w:rPr>
          <w:kern w:val="0"/>
        </w:rPr>
        <w:t xml:space="preserve"> and </w:t>
      </w:r>
      <w:r>
        <w:rPr>
          <w:kern w:val="0"/>
        </w:rPr>
        <w:t>insects. Twenty-three different distribution modelling methods were used</w:t>
      </w:r>
      <w:r w:rsidR="00A37C1D">
        <w:rPr>
          <w:kern w:val="0"/>
        </w:rPr>
        <w:t>. The</w:t>
      </w:r>
      <w:r>
        <w:rPr>
          <w:kern w:val="0"/>
        </w:rPr>
        <w:t xml:space="preserve"> Genetic Algorithm for Rule-set Production (GARP) was used most often. Our scientometric analysis showed a growing interest in the use</w:t>
      </w:r>
      <w:r w:rsidR="00427468">
        <w:rPr>
          <w:kern w:val="0"/>
        </w:rPr>
        <w:t xml:space="preserve"> of </w:t>
      </w:r>
      <w:r>
        <w:rPr>
          <w:kern w:val="0"/>
        </w:rPr>
        <w:t>ENMs to predict the distribution</w:t>
      </w:r>
      <w:r w:rsidR="00427468">
        <w:rPr>
          <w:kern w:val="0"/>
        </w:rPr>
        <w:t xml:space="preserve"> of </w:t>
      </w:r>
      <w:r>
        <w:rPr>
          <w:kern w:val="0"/>
        </w:rPr>
        <w:t>invasive species, especially in the last decade, which is probably related to the increase in species introductions worldwide. Among some important gaps that need to be filled, the relatively small number</w:t>
      </w:r>
      <w:r w:rsidR="00427468">
        <w:rPr>
          <w:kern w:val="0"/>
        </w:rPr>
        <w:t xml:space="preserve"> of </w:t>
      </w:r>
      <w:r>
        <w:rPr>
          <w:kern w:val="0"/>
        </w:rPr>
        <w:t>studies conducted in developing countries</w:t>
      </w:r>
      <w:r w:rsidR="005853A9">
        <w:rPr>
          <w:kern w:val="0"/>
        </w:rPr>
        <w:t xml:space="preserve"> and </w:t>
      </w:r>
      <w:r>
        <w:rPr>
          <w:kern w:val="0"/>
        </w:rPr>
        <w:t>in aquatic environments deserves careful attention.</w:t>
      </w:r>
    </w:p>
    <w:p w:rsidR="00E41718" w:rsidRDefault="00E41718" w:rsidP="00E41718">
      <w:pPr>
        <w:pStyle w:val="a3"/>
        <w:rPr>
          <w:kern w:val="0"/>
        </w:rPr>
      </w:pPr>
      <w:r>
        <w:rPr>
          <w:kern w:val="0"/>
        </w:rPr>
        <w:t>Keywords: Alien Plant, Analysis, Aquatic, Biodiversity, Biodiversity, Biological Invasions, Biological Invasions, Climate-Change, Conservation, Database, Developing, Developing Countries, Distribution, Global-Scale, Impact, Insects, Institute For Scientific Information, Invasive</w:t>
      </w:r>
      <w:r w:rsidR="00D5664A">
        <w:rPr>
          <w:kern w:val="0"/>
        </w:rPr>
        <w:t>, ISI,</w:t>
      </w:r>
      <w:r>
        <w:rPr>
          <w:kern w:val="0"/>
        </w:rPr>
        <w:t xml:space="preserve"> Journals, Methods, Modelling, Models, Mussel, Niche, Nov, Papers, Plants, Potential Distribution, Records, Region, Scientific Production, Scientometric, Scientometric Analysis, Small, Space, Species, Systems, Trends, United States, </w:t>
      </w:r>
      <w:r w:rsidR="00D5664A">
        <w:rPr>
          <w:kern w:val="0"/>
        </w:rPr>
        <w:t>USA</w:t>
      </w:r>
      <w:r>
        <w:rPr>
          <w:kern w:val="0"/>
        </w:rPr>
        <w:t>, World</w:t>
      </w:r>
    </w:p>
    <w:p w:rsidR="00B836C7" w:rsidRPr="00F219CA" w:rsidRDefault="00B836C7" w:rsidP="00B836C7">
      <w:pPr>
        <w:pStyle w:val="1"/>
      </w:pPr>
      <w:r w:rsidRPr="00F219CA">
        <w:rPr>
          <w:lang w:val="en-GB"/>
        </w:rPr>
        <w:br w:type="page"/>
      </w:r>
      <w:bookmarkStart w:id="892" w:name="_Toc420814802"/>
      <w:r w:rsidRPr="00F219CA">
        <w:lastRenderedPageBreak/>
        <w:t xml:space="preserve">Title: </w:t>
      </w:r>
      <w:r w:rsidR="002827FA" w:rsidRPr="00B836C7">
        <w:t>Brazilian Journal</w:t>
      </w:r>
      <w:r w:rsidR="00427468">
        <w:t xml:space="preserve"> of </w:t>
      </w:r>
      <w:r w:rsidR="002827FA" w:rsidRPr="00B836C7">
        <w:t>Infectious Diseases</w:t>
      </w:r>
      <w:bookmarkEnd w:id="892"/>
    </w:p>
    <w:p w:rsidR="00B836C7" w:rsidRPr="00F219CA" w:rsidRDefault="00B836C7" w:rsidP="00B836C7">
      <w:pPr>
        <w:pStyle w:val="12"/>
      </w:pPr>
      <w:r w:rsidRPr="00F219CA">
        <w:t xml:space="preserve">Full Journal Title: </w:t>
      </w:r>
      <w:r w:rsidR="002827FA" w:rsidRPr="00B836C7">
        <w:rPr>
          <w:iCs/>
          <w:kern w:val="0"/>
        </w:rPr>
        <w:t>Brazilian Journal</w:t>
      </w:r>
      <w:r w:rsidR="00427468">
        <w:rPr>
          <w:iCs/>
          <w:kern w:val="0"/>
        </w:rPr>
        <w:t xml:space="preserve"> of </w:t>
      </w:r>
      <w:r w:rsidR="002827FA" w:rsidRPr="00B836C7">
        <w:rPr>
          <w:iCs/>
          <w:kern w:val="0"/>
        </w:rPr>
        <w:t>Infectious Diseases</w:t>
      </w:r>
    </w:p>
    <w:p w:rsidR="00B836C7" w:rsidRPr="00F219CA" w:rsidRDefault="00B836C7" w:rsidP="00B836C7">
      <w:pPr>
        <w:pStyle w:val="12"/>
      </w:pPr>
      <w:r w:rsidRPr="00F219CA">
        <w:t xml:space="preserve">ISO Abbreviated Title: </w:t>
      </w:r>
    </w:p>
    <w:p w:rsidR="00B836C7" w:rsidRPr="00F219CA" w:rsidRDefault="00B836C7" w:rsidP="00B836C7">
      <w:pPr>
        <w:pStyle w:val="12"/>
      </w:pPr>
      <w:r>
        <w:t xml:space="preserve">JCR Abbreviated Title: </w:t>
      </w:r>
    </w:p>
    <w:p w:rsidR="00B836C7" w:rsidRPr="00F219CA" w:rsidRDefault="00B836C7" w:rsidP="00B836C7">
      <w:pPr>
        <w:pStyle w:val="12"/>
      </w:pPr>
      <w:r w:rsidRPr="00F219CA">
        <w:t xml:space="preserve">ISSN: </w:t>
      </w:r>
    </w:p>
    <w:p w:rsidR="00B836C7" w:rsidRPr="00F219CA" w:rsidRDefault="00B836C7" w:rsidP="00B836C7">
      <w:pPr>
        <w:pStyle w:val="12"/>
      </w:pPr>
      <w:r w:rsidRPr="00F219CA">
        <w:t xml:space="preserve">Issues/Year: </w:t>
      </w:r>
    </w:p>
    <w:p w:rsidR="00B836C7" w:rsidRPr="00F219CA" w:rsidRDefault="00B836C7" w:rsidP="00B836C7">
      <w:pPr>
        <w:pStyle w:val="12"/>
      </w:pPr>
      <w:r w:rsidRPr="00F219CA">
        <w:t xml:space="preserve">Journal Country/Territory: </w:t>
      </w:r>
    </w:p>
    <w:p w:rsidR="00B836C7" w:rsidRPr="00F219CA" w:rsidRDefault="00B836C7" w:rsidP="00B836C7">
      <w:pPr>
        <w:pStyle w:val="12"/>
      </w:pPr>
      <w:r w:rsidRPr="00F219CA">
        <w:t xml:space="preserve">Language: </w:t>
      </w:r>
    </w:p>
    <w:p w:rsidR="00B836C7" w:rsidRPr="00F219CA" w:rsidRDefault="00B836C7" w:rsidP="00B836C7">
      <w:pPr>
        <w:pStyle w:val="12"/>
      </w:pPr>
      <w:r w:rsidRPr="00F219CA">
        <w:t xml:space="preserve">Publisher: </w:t>
      </w:r>
    </w:p>
    <w:p w:rsidR="00B836C7" w:rsidRPr="00F219CA" w:rsidRDefault="00B836C7" w:rsidP="00B836C7">
      <w:pPr>
        <w:pStyle w:val="12"/>
      </w:pPr>
      <w:r w:rsidRPr="00F219CA">
        <w:t xml:space="preserve">Publisher Address: </w:t>
      </w:r>
    </w:p>
    <w:p w:rsidR="00B836C7" w:rsidRPr="00F219CA" w:rsidRDefault="00B836C7" w:rsidP="00B836C7">
      <w:pPr>
        <w:pStyle w:val="12"/>
      </w:pPr>
      <w:r w:rsidRPr="00F219CA">
        <w:t>Subject Categories:</w:t>
      </w:r>
    </w:p>
    <w:p w:rsidR="00B836C7" w:rsidRPr="00F219CA" w:rsidRDefault="00B836C7" w:rsidP="00B836C7">
      <w:pPr>
        <w:pStyle w:val="12"/>
      </w:pPr>
      <w:r w:rsidRPr="00F219CA">
        <w:t xml:space="preserve">: Impact Factor </w:t>
      </w:r>
    </w:p>
    <w:p w:rsidR="00B836C7" w:rsidRDefault="00B836C7" w:rsidP="00B836C7">
      <w:pPr>
        <w:pStyle w:val="a3"/>
        <w:rPr>
          <w:kern w:val="0"/>
        </w:rPr>
      </w:pPr>
      <w:r>
        <w:rPr>
          <w:rFonts w:hint="eastAsia"/>
          <w:kern w:val="0"/>
        </w:rPr>
        <w:t xml:space="preserve">? </w:t>
      </w:r>
      <w:r>
        <w:rPr>
          <w:kern w:val="0"/>
        </w:rPr>
        <w:t>Zhao, S.H., Liu, E.Q., Cheng, D.X., Li, Y.F., Wang, Y.L., Chen, Y.L., Sun, W.T., Yan, X.C.</w:t>
      </w:r>
      <w:r w:rsidR="005853A9">
        <w:rPr>
          <w:kern w:val="0"/>
        </w:rPr>
        <w:t xml:space="preserve"> and </w:t>
      </w:r>
      <w:r>
        <w:rPr>
          <w:kern w:val="0"/>
        </w:rPr>
        <w:t>Dang, S.S. (2012), Comparison</w:t>
      </w:r>
      <w:r w:rsidR="00427468">
        <w:rPr>
          <w:kern w:val="0"/>
        </w:rPr>
        <w:t xml:space="preserve"> of </w:t>
      </w:r>
      <w:r>
        <w:rPr>
          <w:kern w:val="0"/>
        </w:rPr>
        <w:t>entecavir</w:t>
      </w:r>
      <w:r w:rsidR="005853A9">
        <w:rPr>
          <w:kern w:val="0"/>
        </w:rPr>
        <w:t xml:space="preserve"> and </w:t>
      </w:r>
      <w:r>
        <w:rPr>
          <w:kern w:val="0"/>
        </w:rPr>
        <w:t>adefovir for</w:t>
      </w:r>
      <w:r w:rsidR="003A1917">
        <w:rPr>
          <w:kern w:val="0"/>
        </w:rPr>
        <w:t xml:space="preserve"> the </w:t>
      </w:r>
      <w:r>
        <w:rPr>
          <w:kern w:val="0"/>
        </w:rPr>
        <w:t>treatment</w:t>
      </w:r>
      <w:r w:rsidR="00427468">
        <w:rPr>
          <w:kern w:val="0"/>
        </w:rPr>
        <w:t xml:space="preserve"> of </w:t>
      </w:r>
      <w:r>
        <w:rPr>
          <w:kern w:val="0"/>
        </w:rPr>
        <w:t xml:space="preserve">chronic hepatitis B. </w:t>
      </w:r>
      <w:r w:rsidRPr="00B836C7">
        <w:rPr>
          <w:i/>
          <w:iCs/>
          <w:kern w:val="0"/>
        </w:rPr>
        <w:t>Brazilian Journal</w:t>
      </w:r>
      <w:r w:rsidR="00427468">
        <w:rPr>
          <w:i/>
          <w:iCs/>
          <w:kern w:val="0"/>
        </w:rPr>
        <w:t xml:space="preserve"> of </w:t>
      </w:r>
      <w:r w:rsidRPr="00B836C7">
        <w:rPr>
          <w:i/>
          <w:iCs/>
          <w:kern w:val="0"/>
        </w:rPr>
        <w:t>Infectious Diseases</w:t>
      </w:r>
      <w:r>
        <w:rPr>
          <w:kern w:val="0"/>
        </w:rPr>
        <w:t xml:space="preserve">, </w:t>
      </w:r>
      <w:r>
        <w:rPr>
          <w:b/>
          <w:bCs/>
          <w:kern w:val="0"/>
        </w:rPr>
        <w:t>16</w:t>
      </w:r>
      <w:r>
        <w:rPr>
          <w:kern w:val="0"/>
        </w:rPr>
        <w:t xml:space="preserve"> (4), 366-372.</w:t>
      </w:r>
    </w:p>
    <w:p w:rsidR="002827FA" w:rsidRDefault="002827FA" w:rsidP="00B836C7">
      <w:pPr>
        <w:pStyle w:val="a3"/>
        <w:rPr>
          <w:kern w:val="0"/>
        </w:rPr>
      </w:pPr>
      <w:r>
        <w:rPr>
          <w:rFonts w:hint="eastAsia"/>
          <w:kern w:val="0"/>
        </w:rPr>
        <w:t xml:space="preserve">Full Text: </w:t>
      </w:r>
      <w:hyperlink r:id="rId1813" w:history="1">
        <w:r w:rsidRPr="002827FA">
          <w:rPr>
            <w:rStyle w:val="a5"/>
            <w:kern w:val="0"/>
          </w:rPr>
          <w:t>2012\Bra J Inf Dis16, 366.pdf</w:t>
        </w:r>
      </w:hyperlink>
    </w:p>
    <w:p w:rsidR="00B836C7" w:rsidRDefault="00B836C7" w:rsidP="00B836C7">
      <w:pPr>
        <w:pStyle w:val="a3"/>
        <w:rPr>
          <w:kern w:val="0"/>
        </w:rPr>
      </w:pPr>
      <w:r>
        <w:rPr>
          <w:kern w:val="0"/>
        </w:rPr>
        <w:t>Abstract:</w:t>
      </w:r>
      <w:r w:rsidR="003A1917">
        <w:rPr>
          <w:kern w:val="0"/>
        </w:rPr>
        <w:t xml:space="preserve"> the </w:t>
      </w:r>
      <w:r>
        <w:rPr>
          <w:kern w:val="0"/>
        </w:rPr>
        <w:t>results</w:t>
      </w:r>
      <w:r w:rsidR="00427468">
        <w:rPr>
          <w:kern w:val="0"/>
        </w:rPr>
        <w:t xml:space="preserve"> of </w:t>
      </w:r>
      <w:r>
        <w:rPr>
          <w:kern w:val="0"/>
        </w:rPr>
        <w:t>several new clinical trials that compared</w:t>
      </w:r>
      <w:r w:rsidR="003A1917">
        <w:rPr>
          <w:kern w:val="0"/>
        </w:rPr>
        <w:t xml:space="preserve"> the </w:t>
      </w:r>
      <w:r>
        <w:rPr>
          <w:kern w:val="0"/>
        </w:rPr>
        <w:t>effectiveness</w:t>
      </w:r>
      <w:r w:rsidR="00427468">
        <w:rPr>
          <w:kern w:val="0"/>
        </w:rPr>
        <w:t xml:space="preserve"> of </w:t>
      </w:r>
      <w:r>
        <w:rPr>
          <w:kern w:val="0"/>
        </w:rPr>
        <w:t>entecavir (ETV) treatment with that</w:t>
      </w:r>
      <w:r w:rsidR="00427468">
        <w:rPr>
          <w:kern w:val="0"/>
        </w:rPr>
        <w:t xml:space="preserve"> of </w:t>
      </w:r>
      <w:r>
        <w:rPr>
          <w:kern w:val="0"/>
        </w:rPr>
        <w:t>adefovir (ADV) treatment in patients with chronic hepatitis B (CHB) were published in recent years. However,</w:t>
      </w:r>
      <w:r w:rsidR="003A1917">
        <w:rPr>
          <w:kern w:val="0"/>
        </w:rPr>
        <w:t xml:space="preserve"> the </w:t>
      </w:r>
      <w:r>
        <w:rPr>
          <w:kern w:val="0"/>
        </w:rPr>
        <w:t>numbers</w:t>
      </w:r>
      <w:r w:rsidR="00427468">
        <w:rPr>
          <w:kern w:val="0"/>
        </w:rPr>
        <w:t xml:space="preserve"> of </w:t>
      </w:r>
      <w:r>
        <w:rPr>
          <w:kern w:val="0"/>
        </w:rPr>
        <w:t>patients included in these clinical trials were too small to draw a clear conclusion as to whether ETV is more effective than ADV</w:t>
      </w:r>
      <w:r w:rsidR="00A37C1D">
        <w:rPr>
          <w:kern w:val="0"/>
        </w:rPr>
        <w:t>. The</w:t>
      </w:r>
      <w:r>
        <w:rPr>
          <w:kern w:val="0"/>
        </w:rPr>
        <w:t>refore, a new meta-analysis was needed to compare ETV with ADV for</w:t>
      </w:r>
      <w:r w:rsidR="003A1917">
        <w:rPr>
          <w:kern w:val="0"/>
        </w:rPr>
        <w:t xml:space="preserve"> the </w:t>
      </w:r>
      <w:r>
        <w:rPr>
          <w:kern w:val="0"/>
        </w:rPr>
        <w:t>treatment</w:t>
      </w:r>
      <w:r w:rsidR="00427468">
        <w:rPr>
          <w:kern w:val="0"/>
        </w:rPr>
        <w:t xml:space="preserve"> of </w:t>
      </w:r>
      <w:r>
        <w:rPr>
          <w:kern w:val="0"/>
        </w:rPr>
        <w:t>CHB. A search</w:t>
      </w:r>
      <w:r w:rsidR="00427468">
        <w:rPr>
          <w:kern w:val="0"/>
        </w:rPr>
        <w:t xml:space="preserve"> of </w:t>
      </w:r>
      <w:r w:rsidR="003A1917">
        <w:rPr>
          <w:kern w:val="0"/>
        </w:rPr>
        <w:t xml:space="preserve">the </w:t>
      </w:r>
      <w:r>
        <w:rPr>
          <w:kern w:val="0"/>
        </w:rPr>
        <w:t>Cochrane Central Register</w:t>
      </w:r>
      <w:r w:rsidR="00427468">
        <w:rPr>
          <w:kern w:val="0"/>
        </w:rPr>
        <w:t xml:space="preserve"> of </w:t>
      </w:r>
      <w:r>
        <w:rPr>
          <w:kern w:val="0"/>
        </w:rPr>
        <w:t xml:space="preserve">Controlled Trials (CCTR), </w:t>
      </w:r>
      <w:r w:rsidR="00D5664A">
        <w:rPr>
          <w:kern w:val="0"/>
        </w:rPr>
        <w:t>MEDLINE</w:t>
      </w:r>
      <w:r>
        <w:rPr>
          <w:kern w:val="0"/>
        </w:rPr>
        <w:t>,</w:t>
      </w:r>
      <w:r w:rsidR="003A1917">
        <w:rPr>
          <w:kern w:val="0"/>
        </w:rPr>
        <w:t xml:space="preserve"> the </w:t>
      </w:r>
      <w:r>
        <w:rPr>
          <w:kern w:val="0"/>
        </w:rPr>
        <w:t>Science Citation Index, Embase,</w:t>
      </w:r>
      <w:r w:rsidR="003A1917">
        <w:rPr>
          <w:kern w:val="0"/>
        </w:rPr>
        <w:t xml:space="preserve"> the </w:t>
      </w:r>
      <w:r>
        <w:rPr>
          <w:kern w:val="0"/>
        </w:rPr>
        <w:t>China National Knowledge Infrastructure (CNKI),</w:t>
      </w:r>
      <w:r w:rsidR="005853A9">
        <w:rPr>
          <w:kern w:val="0"/>
        </w:rPr>
        <w:t xml:space="preserve"> and </w:t>
      </w:r>
      <w:r w:rsidR="003A1917">
        <w:rPr>
          <w:kern w:val="0"/>
        </w:rPr>
        <w:t xml:space="preserve">the </w:t>
      </w:r>
      <w:r>
        <w:rPr>
          <w:kern w:val="0"/>
        </w:rPr>
        <w:t>Wanfang Database for relevant studies published between 1966</w:t>
      </w:r>
      <w:r w:rsidR="005853A9">
        <w:rPr>
          <w:kern w:val="0"/>
        </w:rPr>
        <w:t xml:space="preserve"> and </w:t>
      </w:r>
      <w:r>
        <w:rPr>
          <w:kern w:val="0"/>
        </w:rPr>
        <w:t>2010 was performed. Trials comparing</w:t>
      </w:r>
      <w:r w:rsidR="003A1917">
        <w:rPr>
          <w:kern w:val="0"/>
        </w:rPr>
        <w:t xml:space="preserve"> the </w:t>
      </w:r>
      <w:r>
        <w:rPr>
          <w:kern w:val="0"/>
        </w:rPr>
        <w:t>use</w:t>
      </w:r>
      <w:r w:rsidR="00427468">
        <w:rPr>
          <w:kern w:val="0"/>
        </w:rPr>
        <w:t xml:space="preserve"> of </w:t>
      </w:r>
      <w:r>
        <w:rPr>
          <w:kern w:val="0"/>
        </w:rPr>
        <w:t>ETV</w:t>
      </w:r>
      <w:r w:rsidR="005853A9">
        <w:rPr>
          <w:kern w:val="0"/>
        </w:rPr>
        <w:t xml:space="preserve"> and </w:t>
      </w:r>
      <w:r>
        <w:rPr>
          <w:kern w:val="0"/>
        </w:rPr>
        <w:t>ADV for</w:t>
      </w:r>
      <w:r w:rsidR="003A1917">
        <w:rPr>
          <w:kern w:val="0"/>
        </w:rPr>
        <w:t xml:space="preserve"> the </w:t>
      </w:r>
      <w:r>
        <w:rPr>
          <w:kern w:val="0"/>
        </w:rPr>
        <w:t>treatment</w:t>
      </w:r>
      <w:r w:rsidR="00427468">
        <w:rPr>
          <w:kern w:val="0"/>
        </w:rPr>
        <w:t xml:space="preserve"> of </w:t>
      </w:r>
      <w:r>
        <w:rPr>
          <w:kern w:val="0"/>
        </w:rPr>
        <w:t>CHB were assessed.</w:t>
      </w:r>
      <w:r w:rsidR="00427468">
        <w:rPr>
          <w:kern w:val="0"/>
        </w:rPr>
        <w:t xml:space="preserve"> of </w:t>
      </w:r>
      <w:r w:rsidR="003A1917">
        <w:rPr>
          <w:kern w:val="0"/>
        </w:rPr>
        <w:t xml:space="preserve">the </w:t>
      </w:r>
      <w:r>
        <w:rPr>
          <w:kern w:val="0"/>
        </w:rPr>
        <w:t>2,358 studies screened, 13 randomized controlled clinical trials comprising 1,230 patients (ETV therapy, 621; ADV therapy, 609) were analyzed</w:t>
      </w:r>
      <w:r w:rsidR="00A37C1D">
        <w:rPr>
          <w:kern w:val="0"/>
        </w:rPr>
        <w:t>. The</w:t>
      </w:r>
      <w:r w:rsidR="003A1917">
        <w:rPr>
          <w:kern w:val="0"/>
        </w:rPr>
        <w:t xml:space="preserve"> </w:t>
      </w:r>
      <w:r>
        <w:rPr>
          <w:kern w:val="0"/>
        </w:rPr>
        <w:t>serum hepatitis B virus (HBV) DNA clearance rate obtained in patients treated with ETV was significantly higher than that in patients treated with ADV at</w:t>
      </w:r>
      <w:r w:rsidR="003A1917">
        <w:rPr>
          <w:kern w:val="0"/>
        </w:rPr>
        <w:t xml:space="preserve"> the </w:t>
      </w:r>
      <w:r>
        <w:rPr>
          <w:kern w:val="0"/>
        </w:rPr>
        <w:t>24th</w:t>
      </w:r>
      <w:r w:rsidR="005853A9">
        <w:rPr>
          <w:kern w:val="0"/>
        </w:rPr>
        <w:t xml:space="preserve"> and </w:t>
      </w:r>
      <w:r>
        <w:rPr>
          <w:kern w:val="0"/>
        </w:rPr>
        <w:t>48th weeks</w:t>
      </w:r>
      <w:r w:rsidR="00427468">
        <w:rPr>
          <w:kern w:val="0"/>
        </w:rPr>
        <w:t xml:space="preserve"> of </w:t>
      </w:r>
      <w:r>
        <w:rPr>
          <w:kern w:val="0"/>
        </w:rPr>
        <w:t>treatment (24 weeks: 59.6% vs. 31.8%, relative risk [RR], 1.82, 95% CI: 1.49-2.23; 48 weeks: 78.3% vs. 50.4%, RR, 1.61, 95% CI: 1.32-1.96)</w:t>
      </w:r>
      <w:r w:rsidR="00A37C1D">
        <w:rPr>
          <w:kern w:val="0"/>
        </w:rPr>
        <w:t>. The</w:t>
      </w:r>
      <w:r w:rsidR="003A1917">
        <w:rPr>
          <w:kern w:val="0"/>
        </w:rPr>
        <w:t xml:space="preserve"> </w:t>
      </w:r>
      <w:r>
        <w:rPr>
          <w:kern w:val="0"/>
        </w:rPr>
        <w:t>serum HBeAg clearance rate,</w:t>
      </w:r>
      <w:r w:rsidR="003A1917">
        <w:rPr>
          <w:kern w:val="0"/>
        </w:rPr>
        <w:t xml:space="preserve"> the </w:t>
      </w:r>
      <w:r>
        <w:rPr>
          <w:kern w:val="0"/>
        </w:rPr>
        <w:t>HBeAg seroconversion rate,</w:t>
      </w:r>
      <w:r w:rsidR="005853A9">
        <w:rPr>
          <w:kern w:val="0"/>
        </w:rPr>
        <w:t xml:space="preserve"> and </w:t>
      </w:r>
      <w:r w:rsidR="003A1917">
        <w:rPr>
          <w:kern w:val="0"/>
        </w:rPr>
        <w:t xml:space="preserve">the </w:t>
      </w:r>
      <w:r>
        <w:rPr>
          <w:kern w:val="0"/>
        </w:rPr>
        <w:t>ALT normalization rate obtained for patients treated with ETV were also higher than</w:t>
      </w:r>
      <w:r w:rsidR="003A1917">
        <w:rPr>
          <w:kern w:val="0"/>
        </w:rPr>
        <w:t xml:space="preserve"> the </w:t>
      </w:r>
      <w:r>
        <w:rPr>
          <w:kern w:val="0"/>
        </w:rPr>
        <w:t>corresponding values for patients treated with ADV at</w:t>
      </w:r>
      <w:r w:rsidR="003A1917">
        <w:rPr>
          <w:kern w:val="0"/>
        </w:rPr>
        <w:t xml:space="preserve"> the </w:t>
      </w:r>
      <w:r>
        <w:rPr>
          <w:kern w:val="0"/>
        </w:rPr>
        <w:t>48th week</w:t>
      </w:r>
      <w:r w:rsidR="00427468">
        <w:rPr>
          <w:kern w:val="0"/>
        </w:rPr>
        <w:t xml:space="preserve"> of </w:t>
      </w:r>
      <w:r>
        <w:rPr>
          <w:kern w:val="0"/>
        </w:rPr>
        <w:t>treatment</w:t>
      </w:r>
      <w:r w:rsidR="00A37C1D">
        <w:rPr>
          <w:kern w:val="0"/>
        </w:rPr>
        <w:t>. The</w:t>
      </w:r>
      <w:r w:rsidR="003A1917">
        <w:rPr>
          <w:kern w:val="0"/>
        </w:rPr>
        <w:t xml:space="preserve"> </w:t>
      </w:r>
      <w:r>
        <w:rPr>
          <w:kern w:val="0"/>
        </w:rPr>
        <w:t>safety profiles were similar between patients treated with ETV</w:t>
      </w:r>
      <w:r w:rsidR="005853A9">
        <w:rPr>
          <w:kern w:val="0"/>
        </w:rPr>
        <w:t xml:space="preserve"> and </w:t>
      </w:r>
      <w:r>
        <w:rPr>
          <w:kern w:val="0"/>
        </w:rPr>
        <w:t>those treated with ADV</w:t>
      </w:r>
      <w:r w:rsidR="00A37C1D">
        <w:rPr>
          <w:kern w:val="0"/>
        </w:rPr>
        <w:t>. The</w:t>
      </w:r>
      <w:r w:rsidR="003A1917">
        <w:rPr>
          <w:kern w:val="0"/>
        </w:rPr>
        <w:t xml:space="preserve"> </w:t>
      </w:r>
      <w:r>
        <w:rPr>
          <w:kern w:val="0"/>
        </w:rPr>
        <w:t xml:space="preserve">evidence reviewed in this meta-analysis suggests that patients with </w:t>
      </w:r>
      <w:r>
        <w:rPr>
          <w:kern w:val="0"/>
        </w:rPr>
        <w:lastRenderedPageBreak/>
        <w:t>hepatitis B have a greater likelihood</w:t>
      </w:r>
      <w:r w:rsidR="00427468">
        <w:rPr>
          <w:kern w:val="0"/>
        </w:rPr>
        <w:t xml:space="preserve"> of </w:t>
      </w:r>
      <w:r>
        <w:rPr>
          <w:kern w:val="0"/>
        </w:rPr>
        <w:t>achieving a viral response</w:t>
      </w:r>
      <w:r w:rsidR="005853A9">
        <w:rPr>
          <w:kern w:val="0"/>
        </w:rPr>
        <w:t xml:space="preserve"> and </w:t>
      </w:r>
      <w:r>
        <w:rPr>
          <w:kern w:val="0"/>
        </w:rPr>
        <w:t>a biomedical response when treated with ETV than when treated with ADV. (C) 2012 Elsevier Editora Ltda. All rights reserved.</w:t>
      </w:r>
    </w:p>
    <w:p w:rsidR="00B836C7" w:rsidRDefault="00B836C7" w:rsidP="00B836C7">
      <w:pPr>
        <w:pStyle w:val="a3"/>
        <w:rPr>
          <w:kern w:val="0"/>
        </w:rPr>
      </w:pPr>
      <w:r>
        <w:rPr>
          <w:kern w:val="0"/>
        </w:rPr>
        <w:t xml:space="preserve">Keywords: Adefovir, Biomedical, China, Chronic, Chronic Hepatitis, Citation, Clinical, Clinical Trials, DNA, Effectiveness, Entecavir, Evidence, HBV, Hepatitis, Hepatitis B, Hepatitis B Virus, Lamivudine, </w:t>
      </w:r>
      <w:r w:rsidR="00D5664A">
        <w:rPr>
          <w:kern w:val="0"/>
        </w:rPr>
        <w:t>MEDLINE</w:t>
      </w:r>
      <w:r>
        <w:rPr>
          <w:kern w:val="0"/>
        </w:rPr>
        <w:t>, Meta-Analysis, Metaanalysis, Normalization, Patients, Profiles, Randomized, Recent, Relative Risk, Rights, Risk, Safety, Science, Science Citation Index, Serum, Small, Therapy, Treatment, Viral</w:t>
      </w:r>
    </w:p>
    <w:p w:rsidR="00431680" w:rsidRDefault="00431680" w:rsidP="00431680">
      <w:pPr>
        <w:pStyle w:val="a3"/>
        <w:rPr>
          <w:kern w:val="0"/>
        </w:rPr>
      </w:pPr>
      <w:r>
        <w:rPr>
          <w:kern w:val="0"/>
        </w:rPr>
        <w:t xml:space="preserve">? Coelho, L., Veloso, V.G., Grinsztejn, B. and Luz, P.M. (2014), Trends in overall opportunistic illnesses, </w:t>
      </w:r>
      <w:r w:rsidRPr="00AA07EE">
        <w:rPr>
          <w:i/>
          <w:kern w:val="0"/>
        </w:rPr>
        <w:t>Pneumocystis carinii</w:t>
      </w:r>
      <w:r>
        <w:rPr>
          <w:kern w:val="0"/>
        </w:rPr>
        <w:t xml:space="preserve"> pneumonia, cerebral toxoplasmosis and </w:t>
      </w:r>
      <w:r w:rsidRPr="00AA07EE">
        <w:rPr>
          <w:i/>
          <w:kern w:val="0"/>
        </w:rPr>
        <w:t>Mycobacterium avium</w:t>
      </w:r>
      <w:r>
        <w:rPr>
          <w:kern w:val="0"/>
        </w:rPr>
        <w:t xml:space="preserve"> complex incidence rates over the 30 years of the HIV epidemic: A systematic review. </w:t>
      </w:r>
      <w:r>
        <w:rPr>
          <w:i/>
          <w:iCs/>
          <w:kern w:val="0"/>
        </w:rPr>
        <w:t>Brazilian Journal of Infectious Diseases</w:t>
      </w:r>
      <w:r>
        <w:rPr>
          <w:kern w:val="0"/>
        </w:rPr>
        <w:t xml:space="preserve">, </w:t>
      </w:r>
      <w:r>
        <w:rPr>
          <w:b/>
          <w:bCs/>
          <w:kern w:val="0"/>
        </w:rPr>
        <w:t>18</w:t>
      </w:r>
      <w:r>
        <w:rPr>
          <w:kern w:val="0"/>
        </w:rPr>
        <w:t xml:space="preserve"> (2), 196-210.</w:t>
      </w:r>
    </w:p>
    <w:p w:rsidR="00431680" w:rsidRDefault="00431680" w:rsidP="00431680">
      <w:pPr>
        <w:pStyle w:val="a3"/>
        <w:rPr>
          <w:kern w:val="0"/>
        </w:rPr>
      </w:pPr>
      <w:r>
        <w:rPr>
          <w:rFonts w:hint="eastAsia"/>
          <w:kern w:val="0"/>
        </w:rPr>
        <w:t xml:space="preserve">Full Text: </w:t>
      </w:r>
      <w:hyperlink r:id="rId1814" w:history="1">
        <w:r w:rsidRPr="00AA07EE">
          <w:rPr>
            <w:rStyle w:val="a5"/>
            <w:kern w:val="0"/>
          </w:rPr>
          <w:t>2014\Bra J Inf Dis18, 196.pdf</w:t>
        </w:r>
      </w:hyperlink>
    </w:p>
    <w:p w:rsidR="00431680" w:rsidRDefault="00431680" w:rsidP="00431680">
      <w:pPr>
        <w:pStyle w:val="a3"/>
        <w:rPr>
          <w:kern w:val="0"/>
        </w:rPr>
      </w:pPr>
      <w:r>
        <w:rPr>
          <w:kern w:val="0"/>
        </w:rPr>
        <w:t>Abstract: Background: The natural history of HIV infection has changed dramatically after the introduction of highly active antiretroviral therapy. Currently, opportunistic illnesses still represent major cause of death and hospitalization in this population. In this study, we review the trends in opportunistic illnesses incidence rates and compare the results observed in high-income settings with that for low/middle-income settings, with special attention given to studies from Brazil. Methods: We systematically searched Pubmed, Web of Science, Lilacs and Google scholar for publications on HIV associated opportunistic illness. Studies reporting rates based on person-time for all opportunistic illnesses and/or the three opportunistic infections of interest, namely, Pneumocystis carinii pneumonia, cerebral toxoplasmosis, and Mycobacterium avium complex were included. Results: Significant reductions in the incidence rates were demonstrated for opportunistic illnesses overall and also for the specific opportunistic infections included in the present study, both in high and low/middle-income settings. Out of the 37 studies included in the present review, almost 70% were from high-income settings. All the studies conducted in low/middle-income settings were single center studies and four were from Brazil. We found no study from Brazil reporting annual incidence rates of opportunistic illnesses. Conclusions: Opportunistic illnesses remain an important public health problem. To better guide health policies in low/middle-income settings, multicenter cohort studies should be encouraged. Studies from Brazil are urgently needed to assess the current burden of opportunistic illnesses in our population and to support the planning of HIV/AIDS health care services organization. (C) 2013 Elsevier Editora Ltda. All rights reserved.</w:t>
      </w:r>
    </w:p>
    <w:p w:rsidR="00431680" w:rsidRDefault="00431680" w:rsidP="00431680">
      <w:pPr>
        <w:pStyle w:val="a3"/>
        <w:rPr>
          <w:kern w:val="0"/>
        </w:rPr>
      </w:pPr>
      <w:r>
        <w:rPr>
          <w:kern w:val="0"/>
        </w:rPr>
        <w:t xml:space="preserve">Keywords: Acquired Immunodeficiency Syndrome, Active Antiretroviral Therapy, Aids-Defining Illnesses, Aids-Related Opportunistic Infections, Antiretroviral </w:t>
      </w:r>
      <w:r>
        <w:rPr>
          <w:kern w:val="0"/>
        </w:rPr>
        <w:lastRenderedPageBreak/>
        <w:t>Therapy, Attention, Brazil, Burden, Care, Cause Of Death, Cerebral, Cohort, Death, Declining Incidence, Disease Incidence, Epidemic, Google, Google Scholar, Health, Health Care, Health Care Services, Health Problem, Highly Active, Highly Active Antiretroviral Therapy, History, Hiv, Hiv Infection, Hiv, Aids, Hospital-Based Cohort, Hospitalization, Human-Immunodeficiency-Virus, Incidence, Infected Patients, Infection, Infections, Methods, Natural, Natural History, Natural-History, Opportunistic Infection, Organization, Planning, Pneumonia, Policies, Population, Public, Public Health, Public Health Problem, Publications, Rates, Reporting, Results, Review, Rights, Rio-De-Janeiro, Science, Services, Support, Systematic, Systematic Review, Therapy, Toxoplasmosis, Trends, United-States, Web Of Science</w:t>
      </w:r>
    </w:p>
    <w:p w:rsidR="003474F2" w:rsidRPr="001A3D2B" w:rsidRDefault="003474F2" w:rsidP="003474F2">
      <w:pPr>
        <w:pStyle w:val="1"/>
      </w:pPr>
      <w:r w:rsidRPr="001A3D2B">
        <w:br w:type="page"/>
      </w:r>
      <w:bookmarkStart w:id="893" w:name="_Toc420814803"/>
      <w:r w:rsidRPr="001A3D2B">
        <w:lastRenderedPageBreak/>
        <w:t>Title: Brazilian Journal</w:t>
      </w:r>
      <w:r w:rsidR="00427468">
        <w:t xml:space="preserve"> of </w:t>
      </w:r>
      <w:r w:rsidRPr="001A3D2B">
        <w:t>Medical</w:t>
      </w:r>
      <w:r w:rsidR="005853A9">
        <w:t xml:space="preserve"> and </w:t>
      </w:r>
      <w:r w:rsidRPr="001A3D2B">
        <w:t>Biolog</w:t>
      </w:r>
      <w:bookmarkStart w:id="894" w:name="_Toc43634546"/>
      <w:bookmarkStart w:id="895" w:name="_Toc81215647"/>
      <w:r w:rsidRPr="001A3D2B">
        <w:t>ical Research</w:t>
      </w:r>
      <w:bookmarkEnd w:id="893"/>
    </w:p>
    <w:p w:rsidR="00663D2C" w:rsidRDefault="00663D2C" w:rsidP="003474F2">
      <w:pPr>
        <w:pStyle w:val="12"/>
      </w:pPr>
      <w:r w:rsidRPr="00212218">
        <w:t xml:space="preserve">Full Journal Title: </w:t>
      </w:r>
      <w:r w:rsidR="00206C8A">
        <w:fldChar w:fldCharType="begin"/>
      </w:r>
      <w:r w:rsidR="00FD158B">
        <w:instrText>HYPERLINK "http://www.sc</w:instrText>
      </w:r>
      <w:bookmarkEnd w:id="894"/>
      <w:bookmarkEnd w:id="895"/>
      <w:r w:rsidR="00FD158B">
        <w:instrText>ielo.br/scielo.php?script=sci_serial&amp;pid=0100-879X&amp;lng=en&amp;nrm=iso"</w:instrText>
      </w:r>
      <w:r w:rsidR="00206C8A">
        <w:fldChar w:fldCharType="separate"/>
      </w:r>
      <w:r w:rsidRPr="00212218">
        <w:rPr>
          <w:rStyle w:val="a5"/>
        </w:rPr>
        <w:t>Brazilian Journal</w:t>
      </w:r>
      <w:r w:rsidR="00427468">
        <w:rPr>
          <w:rStyle w:val="a5"/>
        </w:rPr>
        <w:t xml:space="preserve"> of </w:t>
      </w:r>
      <w:r w:rsidRPr="00212218">
        <w:rPr>
          <w:rStyle w:val="a5"/>
        </w:rPr>
        <w:t>Medical</w:t>
      </w:r>
      <w:r w:rsidR="005853A9">
        <w:rPr>
          <w:rStyle w:val="a5"/>
        </w:rPr>
        <w:t xml:space="preserve"> and </w:t>
      </w:r>
      <w:r w:rsidRPr="00212218">
        <w:rPr>
          <w:rStyle w:val="a5"/>
        </w:rPr>
        <w:t>Biological Research</w:t>
      </w:r>
      <w:r w:rsidR="00206C8A">
        <w:fldChar w:fldCharType="end"/>
      </w:r>
      <w:r>
        <w:rPr>
          <w:rFonts w:hint="eastAsia"/>
        </w:rPr>
        <w:t>;</w:t>
      </w:r>
      <w:r w:rsidRPr="00684124">
        <w:t xml:space="preserve"> </w:t>
      </w:r>
      <w:hyperlink r:id="rId1815" w:history="1">
        <w:r w:rsidRPr="00684124">
          <w:rPr>
            <w:rStyle w:val="a5"/>
          </w:rPr>
          <w:t>Brazilian Journal</w:t>
        </w:r>
        <w:r w:rsidR="00427468">
          <w:rPr>
            <w:rStyle w:val="a5"/>
          </w:rPr>
          <w:t xml:space="preserve"> of </w:t>
        </w:r>
        <w:r w:rsidRPr="00684124">
          <w:rPr>
            <w:rStyle w:val="a5"/>
          </w:rPr>
          <w:t>Medical</w:t>
        </w:r>
        <w:r w:rsidR="005853A9">
          <w:rPr>
            <w:rStyle w:val="a5"/>
          </w:rPr>
          <w:t xml:space="preserve"> and </w:t>
        </w:r>
        <w:r w:rsidRPr="00684124">
          <w:rPr>
            <w:rStyle w:val="a5"/>
          </w:rPr>
          <w:t>Biological Research</w:t>
        </w:r>
      </w:hyperlink>
    </w:p>
    <w:p w:rsidR="003474F2" w:rsidRPr="001A3D2B" w:rsidRDefault="003474F2" w:rsidP="003474F2">
      <w:pPr>
        <w:pStyle w:val="12"/>
      </w:pPr>
      <w:r w:rsidRPr="001A3D2B">
        <w:t>ISO Abbreviated Title: Brazilian J. Med. Biol. Res.</w:t>
      </w:r>
    </w:p>
    <w:p w:rsidR="003474F2" w:rsidRPr="001A3D2B" w:rsidRDefault="003474F2" w:rsidP="003474F2">
      <w:pPr>
        <w:pStyle w:val="12"/>
      </w:pPr>
      <w:r w:rsidRPr="001A3D2B">
        <w:t>JCR Abbreviated Title: Braz J Med Biol Res</w:t>
      </w:r>
    </w:p>
    <w:p w:rsidR="003474F2" w:rsidRPr="001A3D2B" w:rsidRDefault="003474F2" w:rsidP="003474F2">
      <w:pPr>
        <w:pStyle w:val="12"/>
      </w:pPr>
      <w:r w:rsidRPr="001A3D2B">
        <w:t>ISSN: 0100-879X</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Brazil</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Assoc Bras Divulg Cientifica</w:t>
      </w:r>
    </w:p>
    <w:p w:rsidR="003474F2" w:rsidRPr="001A3D2B" w:rsidRDefault="003474F2" w:rsidP="003474F2">
      <w:pPr>
        <w:pStyle w:val="12"/>
      </w:pPr>
      <w:r w:rsidRPr="001A3D2B">
        <w:t>Publisher Address: Faculdade Medicina, Sala 21, 14049 Ribeirao Preto, Sao Paulo, Brazil</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Biology: Impact Factor 0.824, 43/64 (2004)</w:t>
      </w:r>
    </w:p>
    <w:p w:rsidR="003474F2" w:rsidRPr="001A3D2B" w:rsidRDefault="003474F2" w:rsidP="003474F2">
      <w:pPr>
        <w:pStyle w:val="12"/>
      </w:pPr>
      <w:r w:rsidRPr="001A3D2B">
        <w:t>Medicine, Research &amp; Experimental: Impact Factor 0.824, 56/71 (2004)</w:t>
      </w:r>
    </w:p>
    <w:p w:rsidR="003474F2" w:rsidRPr="001A3D2B" w:rsidRDefault="003474F2" w:rsidP="003474F2">
      <w:pPr>
        <w:pStyle w:val="a3"/>
      </w:pPr>
      <w:r w:rsidRPr="001A3D2B">
        <w:t>? Linardi, P.M., Coelho, P.M.Z.</w:t>
      </w:r>
      <w:r w:rsidR="005853A9">
        <w:t xml:space="preserve"> and </w:t>
      </w:r>
      <w:r w:rsidRPr="001A3D2B">
        <w:t>Costa, H.M.A. (1996</w:t>
      </w:r>
      <w:r w:rsidR="00F42EAC">
        <w:t>), The</w:t>
      </w:r>
      <w:r w:rsidR="003A1917">
        <w:t xml:space="preserve"> </w:t>
      </w:r>
      <w:r w:rsidR="00700038">
        <w:t>‘</w:t>
      </w:r>
      <w:r w:rsidRPr="001A3D2B">
        <w:t>impact factor</w:t>
      </w:r>
      <w:r w:rsidR="00700038">
        <w:t>’</w:t>
      </w:r>
      <w:r w:rsidRPr="001A3D2B">
        <w:t xml:space="preserve"> as a criterion for</w:t>
      </w:r>
      <w:r w:rsidR="003A1917">
        <w:t xml:space="preserve"> the </w:t>
      </w:r>
      <w:r w:rsidRPr="001A3D2B">
        <w:t>quality</w:t>
      </w:r>
      <w:r w:rsidR="00427468">
        <w:t xml:space="preserve"> of </w:t>
      </w:r>
      <w:r w:rsidRPr="001A3D2B">
        <w:t xml:space="preserve">scientific production is a relative, not absolute, measure.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rPr>
        <w:t>29</w:t>
      </w:r>
      <w:r w:rsidRPr="001A3D2B">
        <w:t xml:space="preserve"> (5), 555-561.</w:t>
      </w:r>
    </w:p>
    <w:p w:rsidR="00663D2C" w:rsidRPr="00FC7835" w:rsidRDefault="00663D2C" w:rsidP="00663D2C">
      <w:pPr>
        <w:pStyle w:val="a3"/>
        <w:rPr>
          <w:kern w:val="0"/>
        </w:rPr>
      </w:pPr>
      <w:r>
        <w:rPr>
          <w:rFonts w:hint="eastAsia"/>
          <w:kern w:val="0"/>
        </w:rPr>
        <w:t xml:space="preserve">Full Text: </w:t>
      </w:r>
      <w:r>
        <w:rPr>
          <w:iCs/>
          <w:kern w:val="0"/>
        </w:rPr>
        <w:t>Bra J Med Bio Res</w:t>
      </w:r>
      <w:r w:rsidRPr="00684124">
        <w:rPr>
          <w:bCs/>
          <w:kern w:val="0"/>
        </w:rPr>
        <w:t>2</w:t>
      </w:r>
      <w:r>
        <w:rPr>
          <w:rFonts w:hint="eastAsia"/>
          <w:bCs/>
          <w:kern w:val="0"/>
        </w:rPr>
        <w:t>9</w:t>
      </w:r>
      <w:r>
        <w:rPr>
          <w:kern w:val="0"/>
        </w:rPr>
        <w:t xml:space="preserve">, </w:t>
      </w:r>
      <w:r>
        <w:rPr>
          <w:rFonts w:hint="eastAsia"/>
          <w:kern w:val="0"/>
        </w:rPr>
        <w:t>555.pdf</w:t>
      </w:r>
    </w:p>
    <w:p w:rsidR="003474F2" w:rsidRPr="001A3D2B" w:rsidRDefault="003474F2" w:rsidP="003474F2">
      <w:pPr>
        <w:pStyle w:val="a3"/>
      </w:pPr>
      <w:r w:rsidRPr="001A3D2B">
        <w:t>Keywords: Impact Factor, Citation Index, Bibliometric Evaluation, Scientific Quality, Cited Half-Life, Immediacy Index, Science, Journals</w:t>
      </w:r>
    </w:p>
    <w:p w:rsidR="003474F2" w:rsidRPr="001A3D2B" w:rsidRDefault="003474F2" w:rsidP="003474F2">
      <w:pPr>
        <w:pStyle w:val="a3"/>
      </w:pPr>
      <w:r w:rsidRPr="001A3D2B">
        <w:t>? Rumjanek, V.M.</w:t>
      </w:r>
      <w:r w:rsidR="005853A9">
        <w:t xml:space="preserve"> and </w:t>
      </w:r>
      <w:r w:rsidRPr="001A3D2B">
        <w:t>Leta, J. (1996), An evaluation</w:t>
      </w:r>
      <w:r w:rsidR="00427468">
        <w:t xml:space="preserve"> of </w:t>
      </w:r>
      <w:r w:rsidRPr="001A3D2B">
        <w:t xml:space="preserve">immunology in </w:t>
      </w:r>
      <w:smartTag w:uri="urn:schemas-microsoft-com:office:smarttags" w:element="place">
        <w:smartTag w:uri="urn:schemas-microsoft-com:office:smarttags" w:element="country-region">
          <w:r w:rsidRPr="001A3D2B">
            <w:t>Brazil</w:t>
          </w:r>
        </w:smartTag>
      </w:smartTag>
      <w:r w:rsidRPr="001A3D2B">
        <w:t xml:space="preserve"> (1981-1993).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29</w:t>
      </w:r>
      <w:r w:rsidRPr="001A3D2B">
        <w:t xml:space="preserve"> (8), 923-931</w:t>
      </w:r>
    </w:p>
    <w:p w:rsidR="00663D2C" w:rsidRPr="00FC7835" w:rsidRDefault="00663D2C" w:rsidP="00663D2C">
      <w:pPr>
        <w:pStyle w:val="a3"/>
        <w:rPr>
          <w:kern w:val="0"/>
        </w:rPr>
      </w:pPr>
      <w:r>
        <w:rPr>
          <w:rFonts w:hint="eastAsia"/>
          <w:kern w:val="0"/>
        </w:rPr>
        <w:t xml:space="preserve">Full Text: </w:t>
      </w:r>
      <w:r>
        <w:rPr>
          <w:iCs/>
          <w:kern w:val="0"/>
        </w:rPr>
        <w:t>Bra J Med Bio Res</w:t>
      </w:r>
      <w:r w:rsidRPr="00684124">
        <w:rPr>
          <w:bCs/>
          <w:kern w:val="0"/>
        </w:rPr>
        <w:t>2</w:t>
      </w:r>
      <w:r>
        <w:rPr>
          <w:rFonts w:hint="eastAsia"/>
          <w:bCs/>
          <w:kern w:val="0"/>
        </w:rPr>
        <w:t>9</w:t>
      </w:r>
      <w:r>
        <w:rPr>
          <w:kern w:val="0"/>
        </w:rPr>
        <w:t xml:space="preserve">, </w:t>
      </w:r>
      <w:r>
        <w:rPr>
          <w:rFonts w:hint="eastAsia"/>
          <w:kern w:val="0"/>
        </w:rPr>
        <w:t>923.pdf</w:t>
      </w:r>
    </w:p>
    <w:p w:rsidR="003474F2" w:rsidRPr="001A3D2B" w:rsidRDefault="003474F2" w:rsidP="003474F2">
      <w:pPr>
        <w:pStyle w:val="a3"/>
      </w:pPr>
      <w:r w:rsidRPr="001A3D2B">
        <w:t>Keywords: Evaluation, Immunology, Scientific Production, Scientometrics</w:t>
      </w:r>
    </w:p>
    <w:p w:rsidR="003474F2" w:rsidRPr="001A3D2B" w:rsidRDefault="003474F2" w:rsidP="003474F2">
      <w:pPr>
        <w:pStyle w:val="a3"/>
      </w:pPr>
      <w:r w:rsidRPr="001A3D2B">
        <w:t>Notes: TTopic, CCountry</w:t>
      </w:r>
    </w:p>
    <w:p w:rsidR="003474F2" w:rsidRPr="001A3D2B" w:rsidRDefault="003474F2" w:rsidP="003474F2">
      <w:pPr>
        <w:pStyle w:val="a3"/>
      </w:pPr>
      <w:r w:rsidRPr="001A3D2B">
        <w:t>Rodrigues, P.S., Fonseca, L.</w:t>
      </w:r>
      <w:r w:rsidR="005853A9">
        <w:t xml:space="preserve"> and </w:t>
      </w:r>
      <w:r w:rsidRPr="001A3D2B">
        <w:t>Chaimovich, H. (2000), Mapping cancer, cardiovascular</w:t>
      </w:r>
      <w:r w:rsidR="005853A9">
        <w:t xml:space="preserve"> and </w:t>
      </w:r>
      <w:r w:rsidRPr="001A3D2B">
        <w:t xml:space="preserve">malaria research in </w:t>
      </w:r>
      <w:smartTag w:uri="urn:schemas-microsoft-com:office:smarttags" w:element="place">
        <w:smartTag w:uri="urn:schemas-microsoft-com:office:smarttags" w:element="country-region">
          <w:r w:rsidRPr="001A3D2B">
            <w:t>Brazil</w:t>
          </w:r>
        </w:smartTag>
      </w:smartTag>
      <w:r w:rsidRPr="001A3D2B">
        <w:t xml:space="preserve">.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rPr>
        <w:t>33</w:t>
      </w:r>
      <w:r w:rsidRPr="001A3D2B">
        <w:t xml:space="preserve"> (8), 853-867.</w:t>
      </w:r>
    </w:p>
    <w:p w:rsidR="003474F2" w:rsidRPr="001A3D2B" w:rsidRDefault="003474F2" w:rsidP="003474F2">
      <w:pPr>
        <w:pStyle w:val="a3"/>
      </w:pPr>
      <w:r w:rsidRPr="001A3D2B">
        <w:t xml:space="preserve">Full Text: </w:t>
      </w:r>
      <w:hyperlink r:id="rId1816" w:history="1">
        <w:r w:rsidRPr="001A3D2B">
          <w:rPr>
            <w:rStyle w:val="a5"/>
          </w:rPr>
          <w:t>2000\Bra J Med Bio Res33, 853.pdf</w:t>
        </w:r>
      </w:hyperlink>
    </w:p>
    <w:p w:rsidR="003474F2" w:rsidRPr="001A3D2B" w:rsidRDefault="003474F2" w:rsidP="003474F2">
      <w:pPr>
        <w:pStyle w:val="a3"/>
      </w:pPr>
      <w:r w:rsidRPr="001A3D2B">
        <w:t>Abstract: This paper presents performance indicators for</w:t>
      </w:r>
      <w:r w:rsidR="003A1917">
        <w:t xml:space="preserve"> the </w:t>
      </w:r>
      <w:r w:rsidRPr="001A3D2B">
        <w:t>Brazilian cancer, cardiovascular</w:t>
      </w:r>
      <w:r w:rsidR="005853A9">
        <w:t xml:space="preserve"> and </w:t>
      </w:r>
      <w:r w:rsidRPr="001A3D2B">
        <w:t>malaria research areas from 1981 to 1995</w:t>
      </w:r>
      <w:r w:rsidR="00A37C1D">
        <w:t>. The</w:t>
      </w:r>
      <w:r w:rsidR="003A1917">
        <w:t xml:space="preserve"> </w:t>
      </w:r>
      <w:r w:rsidRPr="001A3D2B">
        <w:t>data show an increasing number</w:t>
      </w:r>
      <w:r w:rsidR="00427468">
        <w:t xml:space="preserve"> of </w:t>
      </w:r>
      <w:r w:rsidRPr="001A3D2B">
        <w:t>papers since 1981</w:t>
      </w:r>
      <w:r w:rsidR="005853A9">
        <w:t xml:space="preserve"> and </w:t>
      </w:r>
      <w:r w:rsidRPr="001A3D2B">
        <w:t>author numbers indicate a continuous growth</w:t>
      </w:r>
      <w:r w:rsidR="00427468">
        <w:t xml:space="preserve"> of </w:t>
      </w:r>
      <w:r w:rsidR="003A1917">
        <w:t xml:space="preserve">the </w:t>
      </w:r>
      <w:r w:rsidRPr="001A3D2B">
        <w:t>scientific community</w:t>
      </w:r>
      <w:r w:rsidR="005853A9">
        <w:t xml:space="preserve"> and </w:t>
      </w:r>
      <w:r w:rsidRPr="001A3D2B">
        <w:t>suggest an expected impact</w:t>
      </w:r>
      <w:r w:rsidR="00427468">
        <w:t xml:space="preserve"> of </w:t>
      </w:r>
      <w:r w:rsidRPr="001A3D2B">
        <w:t>scientific activity on biomedical education</w:t>
      </w:r>
      <w:r w:rsidR="00A37C1D">
        <w:t>. The</w:t>
      </w:r>
      <w:r w:rsidR="003A1917">
        <w:t xml:space="preserve"> </w:t>
      </w:r>
      <w:r w:rsidRPr="001A3D2B">
        <w:t>data also characterize cardiovascular research as a well-established area</w:t>
      </w:r>
      <w:r w:rsidR="005853A9">
        <w:t xml:space="preserve"> and </w:t>
      </w:r>
      <w:r w:rsidRPr="001A3D2B">
        <w:t>cancer research as a faster growing consolidating field</w:t>
      </w:r>
      <w:r w:rsidR="00A37C1D">
        <w:t>. The</w:t>
      </w:r>
      <w:r w:rsidR="003A1917">
        <w:t xml:space="preserve"> </w:t>
      </w:r>
      <w:r w:rsidRPr="001A3D2B">
        <w:t>1989-1994 share</w:t>
      </w:r>
      <w:r w:rsidR="00427468">
        <w:t xml:space="preserve"> of </w:t>
      </w:r>
      <w:r w:rsidRPr="001A3D2B">
        <w:t xml:space="preserve">Brazilian articles among world publications shows a </w:t>
      </w:r>
      <w:r w:rsidRPr="001A3D2B">
        <w:lastRenderedPageBreak/>
        <w:t>growing trend for</w:t>
      </w:r>
      <w:r w:rsidR="003A1917">
        <w:t xml:space="preserve"> the </w:t>
      </w:r>
      <w:r w:rsidRPr="001A3D2B">
        <w:t>cancer (1.61)</w:t>
      </w:r>
      <w:r w:rsidR="005853A9">
        <w:t xml:space="preserve"> and </w:t>
      </w:r>
      <w:r w:rsidRPr="001A3D2B">
        <w:t>cardiovascular (1.59) areas,</w:t>
      </w:r>
      <w:r w:rsidR="005853A9">
        <w:t xml:space="preserve"> and </w:t>
      </w:r>
      <w:r w:rsidRPr="001A3D2B">
        <w:t>a decrease for</w:t>
      </w:r>
      <w:r w:rsidR="003A1917">
        <w:t xml:space="preserve"> the </w:t>
      </w:r>
      <w:r w:rsidRPr="001A3D2B">
        <w:t>malaria area (0.89)</w:t>
      </w:r>
      <w:r w:rsidR="00A37C1D">
        <w:t>. The</w:t>
      </w:r>
      <w:r w:rsidR="003A1917">
        <w:t xml:space="preserve"> </w:t>
      </w:r>
      <w:r w:rsidRPr="001A3D2B">
        <w:t>burden</w:t>
      </w:r>
      <w:r w:rsidR="00427468">
        <w:t xml:space="preserve"> of </w:t>
      </w:r>
      <w:r w:rsidR="003A1917">
        <w:t xml:space="preserve">the </w:t>
      </w:r>
      <w:r w:rsidRPr="001A3D2B">
        <w:t>three diseases on society is contrasted by</w:t>
      </w:r>
      <w:r w:rsidR="003A1917">
        <w:t xml:space="preserve"> the </w:t>
      </w:r>
      <w:r w:rsidRPr="001A3D2B">
        <w:t>small number</w:t>
      </w:r>
      <w:r w:rsidR="00427468">
        <w:t xml:space="preserve"> of </w:t>
      </w:r>
      <w:r w:rsidRPr="001A3D2B">
        <w:t>consolidated Brazilian research groups,</w:t>
      </w:r>
      <w:r w:rsidR="005853A9">
        <w:t xml:space="preserve"> and </w:t>
      </w:r>
      <w:r w:rsidRPr="001A3D2B">
        <w:t>a questionable balance</w:t>
      </w:r>
      <w:r w:rsidR="00427468">
        <w:t xml:space="preserve"> of </w:t>
      </w:r>
      <w:r w:rsidRPr="001A3D2B">
        <w:t>thematic activity, especially with regard to malaria. Brazilian periodicals play an important role in increasing</w:t>
      </w:r>
      <w:r w:rsidR="003A1917">
        <w:t xml:space="preserve"> the </w:t>
      </w:r>
      <w:r w:rsidRPr="001A3D2B">
        <w:t>international visibility</w:t>
      </w:r>
      <w:r w:rsidR="00427468">
        <w:t xml:space="preserve"> of </w:t>
      </w:r>
      <w:r w:rsidRPr="001A3D2B">
        <w:t>science produced in</w:t>
      </w:r>
      <w:r w:rsidR="003A1917">
        <w:t xml:space="preserve"> the </w:t>
      </w:r>
      <w:r w:rsidRPr="001A3D2B">
        <w:t>country. Cancer</w:t>
      </w:r>
      <w:r w:rsidR="005853A9">
        <w:t xml:space="preserve"> and </w:t>
      </w:r>
      <w:r w:rsidRPr="001A3D2B">
        <w:t>cardiovascular research is strongly concentrated in</w:t>
      </w:r>
      <w:r w:rsidR="003A1917">
        <w:t xml:space="preserve"> the </w:t>
      </w:r>
      <w:r w:rsidRPr="001A3D2B">
        <w:t>Southeastern</w:t>
      </w:r>
      <w:r w:rsidR="005853A9">
        <w:t xml:space="preserve"> and </w:t>
      </w:r>
      <w:r w:rsidRPr="001A3D2B">
        <w:t>in Southern regions</w:t>
      </w:r>
      <w:r w:rsidR="00427468">
        <w:t xml:space="preserve"> of </w:t>
      </w:r>
      <w:r w:rsidRPr="001A3D2B">
        <w:t>Brazil, especially in Sao Paulo (at least one address from Sao Paulo in 64.5%</w:t>
      </w:r>
      <w:r w:rsidR="00427468">
        <w:t xml:space="preserve"> of </w:t>
      </w:r>
      <w:r w:rsidR="003A1917">
        <w:t xml:space="preserve">the </w:t>
      </w:r>
      <w:r w:rsidRPr="001A3D2B">
        <w:t>962 cancer articles</w:t>
      </w:r>
      <w:r w:rsidR="005853A9">
        <w:t xml:space="preserve"> and </w:t>
      </w:r>
      <w:r w:rsidRPr="001A3D2B">
        <w:t>in 66.9%</w:t>
      </w:r>
      <w:r w:rsidR="00427468">
        <w:t xml:space="preserve"> of </w:t>
      </w:r>
      <w:r w:rsidR="003A1917">
        <w:t xml:space="preserve">the </w:t>
      </w:r>
      <w:r w:rsidRPr="001A3D2B">
        <w:t>2250 cardiovascular articles,</w:t>
      </w:r>
      <w:r w:rsidR="003A1917">
        <w:t xml:space="preserve"> the </w:t>
      </w:r>
      <w:r w:rsidRPr="001A3D2B">
        <w:t>second state being Rio de Janeiro with at least one address in 14.1</w:t>
      </w:r>
      <w:r w:rsidR="005853A9">
        <w:t xml:space="preserve"> and </w:t>
      </w:r>
      <w:r w:rsidRPr="001A3D2B">
        <w:t>11%</w:t>
      </w:r>
      <w:r w:rsidR="00427468">
        <w:t xml:space="preserve"> of </w:t>
      </w:r>
      <w:r w:rsidRPr="001A3D2B">
        <w:t>those articles, respectively). Malaria research (468 articles) is more evenly distributed across</w:t>
      </w:r>
      <w:r w:rsidR="003A1917">
        <w:t xml:space="preserve"> the </w:t>
      </w:r>
      <w:r w:rsidRPr="001A3D2B">
        <w:t>country, following</w:t>
      </w:r>
      <w:r w:rsidR="003A1917">
        <w:t xml:space="preserve"> the </w:t>
      </w:r>
      <w:r w:rsidRPr="001A3D2B">
        <w:t>pattern</w:t>
      </w:r>
      <w:r w:rsidR="00427468">
        <w:t xml:space="preserve"> of </w:t>
      </w:r>
      <w:r w:rsidR="003A1917">
        <w:t xml:space="preserve">the </w:t>
      </w:r>
      <w:r w:rsidRPr="001A3D2B">
        <w:t>endemic distribution</w:t>
      </w:r>
      <w:r w:rsidR="00427468">
        <w:t xml:space="preserve"> of </w:t>
      </w:r>
      <w:r w:rsidR="003A1917">
        <w:t xml:space="preserve">the </w:t>
      </w:r>
      <w:r w:rsidRPr="001A3D2B">
        <w:t>disease. Surveying these national indicator trends can be useful to establish policies in</w:t>
      </w:r>
      <w:r w:rsidR="003A1917">
        <w:t xml:space="preserve"> the </w:t>
      </w:r>
      <w:r w:rsidRPr="001A3D2B">
        <w:t>decision process about health sciences, medical education</w:t>
      </w:r>
      <w:r w:rsidR="005853A9">
        <w:t xml:space="preserve"> and </w:t>
      </w:r>
      <w:r w:rsidRPr="001A3D2B">
        <w:t>public health.</w:t>
      </w:r>
    </w:p>
    <w:p w:rsidR="003474F2" w:rsidRPr="001A3D2B" w:rsidRDefault="003474F2" w:rsidP="003474F2">
      <w:pPr>
        <w:pStyle w:val="a3"/>
      </w:pPr>
      <w:r w:rsidRPr="001A3D2B">
        <w:t>Keywords: Biomedical, Brazil, Burden, Cancer, Cardiovascular, Community, Country, Data, Decision, Diseases, Distributed, Distribution, Education, Field, Growth, Health, Health Sciences, Impact, Indicator, Indicators, International, Malaria, Medical, Medical Education, Papers, Pattern, Performance, Periodicals, Policies, Public, Public Health, Publications, Research, Rio De Janeiro, Role, Science, Sciences, Small, Society, State, Trend, Trends, Visibility, World</w:t>
      </w:r>
    </w:p>
    <w:p w:rsidR="00663D2C" w:rsidRDefault="00663D2C" w:rsidP="00663D2C">
      <w:pPr>
        <w:pStyle w:val="a3"/>
      </w:pPr>
      <w:r>
        <w:rPr>
          <w:rFonts w:hint="eastAsia"/>
        </w:rPr>
        <w:t>Notes: JJournal</w:t>
      </w:r>
    </w:p>
    <w:p w:rsidR="00663D2C" w:rsidRPr="001A3D2B" w:rsidRDefault="00663D2C" w:rsidP="00663D2C">
      <w:pPr>
        <w:pStyle w:val="a3"/>
      </w:pPr>
      <w:r w:rsidRPr="001A3D2B">
        <w:t>? Krieger, E.M.</w:t>
      </w:r>
      <w:r w:rsidR="005853A9">
        <w:t xml:space="preserve"> and </w:t>
      </w:r>
      <w:r w:rsidRPr="001A3D2B">
        <w:t xml:space="preserve">Ferreira, S.H. (2003), </w:t>
      </w:r>
      <w:r w:rsidRPr="00684124">
        <w:rPr>
          <w:i/>
        </w:rPr>
        <w:t>Brazilian Journal</w:t>
      </w:r>
      <w:r w:rsidR="00427468">
        <w:rPr>
          <w:i/>
        </w:rPr>
        <w:t xml:space="preserve"> of </w:t>
      </w:r>
      <w:r w:rsidRPr="00684124">
        <w:rPr>
          <w:i/>
        </w:rPr>
        <w:t>Medical</w:t>
      </w:r>
      <w:r w:rsidR="005853A9">
        <w:rPr>
          <w:i/>
        </w:rPr>
        <w:t xml:space="preserve"> and </w:t>
      </w:r>
      <w:r w:rsidRPr="00684124">
        <w:rPr>
          <w:i/>
        </w:rPr>
        <w:t>Biological Research</w:t>
      </w:r>
      <w:r w:rsidRPr="001A3D2B">
        <w:t xml:space="preserve"> 1981-2002.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36</w:t>
      </w:r>
      <w:r w:rsidRPr="001A3D2B">
        <w:t xml:space="preserve"> (1), 1-2.</w:t>
      </w:r>
    </w:p>
    <w:p w:rsidR="003474F2" w:rsidRPr="001A3D2B" w:rsidRDefault="003474F2" w:rsidP="003474F2">
      <w:pPr>
        <w:pStyle w:val="a3"/>
      </w:pPr>
      <w:r w:rsidRPr="001A3D2B">
        <w:t xml:space="preserve">Full Text: </w:t>
      </w:r>
      <w:hyperlink r:id="rId1817" w:history="1">
        <w:r w:rsidRPr="001A3D2B">
          <w:rPr>
            <w:rStyle w:val="a5"/>
          </w:rPr>
          <w:t>2003\Bra J Med Bio Res36, 1.pdf</w:t>
        </w:r>
      </w:hyperlink>
    </w:p>
    <w:p w:rsidR="003474F2" w:rsidRPr="001A3D2B" w:rsidRDefault="003474F2" w:rsidP="003474F2">
      <w:pPr>
        <w:pStyle w:val="a3"/>
      </w:pPr>
      <w:r w:rsidRPr="001A3D2B">
        <w:t>Coelho, P.M.Z., Antunes, C.M.F., Costa, H.M.A., Kroon, E.G., Lima, M.C.S.</w:t>
      </w:r>
      <w:r w:rsidR="005853A9">
        <w:t xml:space="preserve"> and </w:t>
      </w:r>
      <w:r w:rsidRPr="001A3D2B">
        <w:t>Linardi, P.M. (2003</w:t>
      </w:r>
      <w:r w:rsidR="00F42EAC">
        <w:t>), The</w:t>
      </w:r>
      <w:r w:rsidR="003A1917">
        <w:t xml:space="preserve"> </w:t>
      </w:r>
      <w:r w:rsidRPr="001A3D2B">
        <w:t>use</w:t>
      </w:r>
      <w:r w:rsidR="005853A9">
        <w:t xml:space="preserve"> and </w:t>
      </w:r>
      <w:r w:rsidRPr="001A3D2B">
        <w:t>misuse if</w:t>
      </w:r>
      <w:r w:rsidR="003A1917">
        <w:t xml:space="preserve"> the </w:t>
      </w:r>
      <w:r w:rsidR="00B5188C">
        <w:t>“</w:t>
      </w:r>
      <w:r w:rsidRPr="001A3D2B">
        <w:t>impact factor</w:t>
      </w:r>
      <w:r w:rsidR="00B5188C">
        <w:t>”</w:t>
      </w:r>
      <w:r w:rsidRPr="001A3D2B">
        <w:t xml:space="preserve"> as a parameter for evaluation</w:t>
      </w:r>
      <w:r w:rsidR="00427468">
        <w:t xml:space="preserve"> of </w:t>
      </w:r>
      <w:r w:rsidRPr="001A3D2B">
        <w:t xml:space="preserve">scientific publication quality: A proposal to rationalize its application.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rPr>
        <w:t>36</w:t>
      </w:r>
      <w:r w:rsidRPr="001A3D2B">
        <w:t xml:space="preserve"> (12), 1605-1612.</w:t>
      </w:r>
    </w:p>
    <w:p w:rsidR="003474F2" w:rsidRPr="001A3D2B" w:rsidRDefault="003474F2" w:rsidP="003474F2">
      <w:pPr>
        <w:pStyle w:val="a3"/>
      </w:pPr>
      <w:r w:rsidRPr="001A3D2B">
        <w:t xml:space="preserve">Full Text: </w:t>
      </w:r>
      <w:hyperlink r:id="rId1818" w:history="1">
        <w:r w:rsidRPr="001A3D2B">
          <w:rPr>
            <w:rStyle w:val="a5"/>
          </w:rPr>
          <w:t>2003\Bra J Med Bio Res36, 1605.pdf</w:t>
        </w:r>
      </w:hyperlink>
    </w:p>
    <w:p w:rsidR="003474F2" w:rsidRPr="001A3D2B" w:rsidRDefault="003474F2" w:rsidP="003474F2">
      <w:pPr>
        <w:pStyle w:val="a3"/>
      </w:pPr>
      <w:r w:rsidRPr="001A3D2B">
        <w:t>Abstract: We present a critical analysis</w:t>
      </w:r>
      <w:r w:rsidR="00427468">
        <w:t xml:space="preserve"> of </w:t>
      </w:r>
      <w:r w:rsidR="003A1917">
        <w:t xml:space="preserve">the </w:t>
      </w:r>
      <w:r w:rsidRPr="001A3D2B">
        <w:t>generalized use</w:t>
      </w:r>
      <w:r w:rsidR="00427468">
        <w:t xml:space="preserve"> of </w:t>
      </w:r>
      <w:r w:rsidR="003A1917">
        <w:t xml:space="preserve">the </w:t>
      </w:r>
      <w:r w:rsidR="00700038">
        <w:t>‘</w:t>
      </w:r>
      <w:r w:rsidRPr="001A3D2B">
        <w:t>impact factor</w:t>
      </w:r>
      <w:r w:rsidR="00700038">
        <w:t>’</w:t>
      </w:r>
      <w:r w:rsidRPr="001A3D2B">
        <w:t>. By means</w:t>
      </w:r>
      <w:r w:rsidR="00427468">
        <w:t xml:space="preserve"> of </w:t>
      </w:r>
      <w:r w:rsidR="003A1917">
        <w:t xml:space="preserve">the </w:t>
      </w:r>
      <w:r w:rsidRPr="001A3D2B">
        <w:t>Kruskal-Wallis test, it was shown that it is not possible to compare distinct disciplines using</w:t>
      </w:r>
      <w:r w:rsidR="003A1917">
        <w:t xml:space="preserve"> the </w:t>
      </w:r>
      <w:r w:rsidR="00700038">
        <w:t>‘</w:t>
      </w:r>
      <w:r w:rsidRPr="001A3D2B">
        <w:t>impact factor</w:t>
      </w:r>
      <w:r w:rsidR="00700038">
        <w:t>’</w:t>
      </w:r>
      <w:r w:rsidRPr="001A3D2B">
        <w:t xml:space="preserve"> without adjustments. After assigning</w:t>
      </w:r>
      <w:r w:rsidR="003A1917">
        <w:t xml:space="preserve"> the </w:t>
      </w:r>
      <w:r w:rsidRPr="001A3D2B">
        <w:t>median journal</w:t>
      </w:r>
      <w:r w:rsidR="003A1917">
        <w:t xml:space="preserve"> the </w:t>
      </w:r>
      <w:r w:rsidRPr="001A3D2B">
        <w:t>value</w:t>
      </w:r>
      <w:r w:rsidR="00427468">
        <w:t xml:space="preserve"> of </w:t>
      </w:r>
      <w:r w:rsidRPr="001A3D2B">
        <w:t>one (1.000</w:t>
      </w:r>
      <w:r w:rsidR="00F42EAC">
        <w:t>), The</w:t>
      </w:r>
      <w:r w:rsidR="003A1917">
        <w:t xml:space="preserve"> </w:t>
      </w:r>
      <w:r w:rsidR="00700038">
        <w:t>‘</w:t>
      </w:r>
      <w:r w:rsidRPr="001A3D2B">
        <w:t>impact factor</w:t>
      </w:r>
      <w:r w:rsidR="00700038">
        <w:t>’</w:t>
      </w:r>
      <w:r w:rsidRPr="001A3D2B">
        <w:t xml:space="preserve"> value for each journal was calculated by</w:t>
      </w:r>
      <w:r w:rsidR="003A1917">
        <w:t xml:space="preserve"> the </w:t>
      </w:r>
      <w:r w:rsidRPr="001A3D2B">
        <w:t>rule</w:t>
      </w:r>
      <w:r w:rsidR="00427468">
        <w:t xml:space="preserve"> of </w:t>
      </w:r>
      <w:r w:rsidRPr="001A3D2B">
        <w:t>three</w:t>
      </w:r>
      <w:r w:rsidR="00A37C1D">
        <w:t>. The</w:t>
      </w:r>
      <w:r w:rsidR="003A1917">
        <w:t xml:space="preserve"> </w:t>
      </w:r>
      <w:r w:rsidRPr="001A3D2B">
        <w:t>adjusted values were homogeneous, thus permitting comparison among distinct disciplines.</w:t>
      </w:r>
    </w:p>
    <w:p w:rsidR="003474F2" w:rsidRPr="001A3D2B" w:rsidRDefault="003474F2" w:rsidP="003474F2">
      <w:pPr>
        <w:pStyle w:val="a3"/>
      </w:pPr>
      <w:r w:rsidRPr="001A3D2B">
        <w:t>Keywords: Impact Factor, Multidisciplinary Adjustment, Citation Index, Bibliometric Evaluation</w:t>
      </w:r>
    </w:p>
    <w:p w:rsidR="003474F2" w:rsidRPr="001A3D2B" w:rsidRDefault="003474F2" w:rsidP="003474F2">
      <w:pPr>
        <w:pStyle w:val="a3"/>
      </w:pPr>
      <w:r w:rsidRPr="001A3D2B">
        <w:rPr>
          <w:szCs w:val="24"/>
        </w:rPr>
        <w:t>Bressan, R.A., Gerolin, J.</w:t>
      </w:r>
      <w:r w:rsidR="005853A9">
        <w:rPr>
          <w:szCs w:val="24"/>
        </w:rPr>
        <w:t xml:space="preserve"> and </w:t>
      </w:r>
      <w:r w:rsidRPr="001A3D2B">
        <w:rPr>
          <w:szCs w:val="24"/>
        </w:rPr>
        <w:t>Mari, J.J.</w:t>
      </w:r>
      <w:r w:rsidRPr="001A3D2B">
        <w:t xml:space="preserve"> (2005</w:t>
      </w:r>
      <w:r w:rsidR="00F42EAC">
        <w:t>), The</w:t>
      </w:r>
      <w:r w:rsidR="003A1917">
        <w:t xml:space="preserve"> </w:t>
      </w:r>
      <w:r w:rsidRPr="001A3D2B">
        <w:t xml:space="preserve">modest but growing Brazilian </w:t>
      </w:r>
      <w:r w:rsidRPr="001A3D2B">
        <w:lastRenderedPageBreak/>
        <w:t>presence in psychiatric, psychobiological</w:t>
      </w:r>
      <w:r w:rsidR="005853A9">
        <w:t xml:space="preserve"> and </w:t>
      </w:r>
      <w:r w:rsidRPr="001A3D2B">
        <w:t xml:space="preserve">mental health research: </w:t>
      </w:r>
      <w:r w:rsidR="002F613F" w:rsidRPr="001A3D2B">
        <w:t>Assessment</w:t>
      </w:r>
      <w:r w:rsidR="00427468">
        <w:t xml:space="preserve"> of </w:t>
      </w:r>
      <w:r w:rsidR="003A1917">
        <w:t xml:space="preserve">the </w:t>
      </w:r>
      <w:r w:rsidRPr="001A3D2B">
        <w:t xml:space="preserve">1998-2002 period.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rPr>
        <w:t>38</w:t>
      </w:r>
      <w:r w:rsidRPr="001A3D2B">
        <w:t xml:space="preserve"> (5), 649-659.</w:t>
      </w:r>
    </w:p>
    <w:p w:rsidR="003474F2" w:rsidRPr="001A3D2B" w:rsidRDefault="003474F2" w:rsidP="003474F2">
      <w:pPr>
        <w:pStyle w:val="a3"/>
      </w:pPr>
      <w:r w:rsidRPr="001A3D2B">
        <w:t xml:space="preserve">Full Text: </w:t>
      </w:r>
      <w:hyperlink r:id="rId1819" w:history="1">
        <w:r w:rsidRPr="001A3D2B">
          <w:rPr>
            <w:rStyle w:val="a5"/>
          </w:rPr>
          <w:t>2005\Bra J Med Bio Res38, 649.pdf</w:t>
        </w:r>
      </w:hyperlink>
    </w:p>
    <w:p w:rsidR="003474F2" w:rsidRPr="001A3D2B" w:rsidRDefault="003474F2" w:rsidP="003474F2">
      <w:pPr>
        <w:pStyle w:val="a3"/>
      </w:pPr>
      <w:r w:rsidRPr="001A3D2B">
        <w:t>Abstract:</w:t>
      </w:r>
      <w:r w:rsidR="003A1917">
        <w:t xml:space="preserve"> the </w:t>
      </w:r>
      <w:r w:rsidRPr="001A3D2B">
        <w:t>objective</w:t>
      </w:r>
      <w:r w:rsidR="00427468">
        <w:t xml:space="preserve"> of </w:t>
      </w:r>
      <w:r w:rsidR="003A1917">
        <w:t xml:space="preserve">the </w:t>
      </w:r>
      <w:r w:rsidRPr="001A3D2B">
        <w:t>present survey was to assess</w:t>
      </w:r>
      <w:r w:rsidR="003A1917">
        <w:t xml:space="preserve"> the </w:t>
      </w:r>
      <w:r w:rsidRPr="001A3D2B">
        <w:t>Brazilian scientific production in psychiatry, psychobiology,</w:t>
      </w:r>
      <w:r w:rsidR="005853A9">
        <w:t xml:space="preserve"> and </w:t>
      </w:r>
      <w:r w:rsidRPr="001A3D2B">
        <w:t>mental health during</w:t>
      </w:r>
      <w:r w:rsidR="003A1917">
        <w:t xml:space="preserve"> the </w:t>
      </w:r>
      <w:r w:rsidRPr="001A3D2B">
        <w:t>1998-2002 period</w:t>
      </w:r>
      <w:r w:rsidR="00A37C1D">
        <w:t>. The</w:t>
      </w:r>
      <w:r w:rsidR="003A1917">
        <w:t xml:space="preserve"> </w:t>
      </w:r>
      <w:r w:rsidRPr="001A3D2B">
        <w:t>universities</w:t>
      </w:r>
      <w:r w:rsidR="00700038">
        <w:t>’</w:t>
      </w:r>
      <w:r w:rsidRPr="001A3D2B">
        <w:t xml:space="preserve"> graduate programs concentrate</w:t>
      </w:r>
      <w:r w:rsidR="003A1917">
        <w:t xml:space="preserve"> the </w:t>
      </w:r>
      <w:r w:rsidRPr="001A3D2B">
        <w:t>vast majority</w:t>
      </w:r>
      <w:r w:rsidR="00427468">
        <w:t xml:space="preserve"> of </w:t>
      </w:r>
      <w:r w:rsidR="003A1917">
        <w:t xml:space="preserve">the </w:t>
      </w:r>
      <w:r w:rsidRPr="001A3D2B">
        <w:t xml:space="preserve">scientific production in </w:t>
      </w:r>
      <w:smartTag w:uri="urn:schemas-microsoft-com:office:smarttags" w:element="place">
        <w:smartTag w:uri="urn:schemas-microsoft-com:office:smarttags" w:element="country-region">
          <w:r w:rsidRPr="001A3D2B">
            <w:t>Brazil</w:t>
          </w:r>
        </w:smartTag>
      </w:smartTag>
      <w:r w:rsidRPr="001A3D2B">
        <w:t>. We assessed</w:t>
      </w:r>
      <w:r w:rsidR="003A1917">
        <w:t xml:space="preserve"> the </w:t>
      </w:r>
      <w:r w:rsidRPr="001A3D2B">
        <w:t>annual reports from</w:t>
      </w:r>
      <w:r w:rsidR="003A1917">
        <w:t xml:space="preserve"> the </w:t>
      </w:r>
      <w:r w:rsidRPr="001A3D2B">
        <w:t>graduate programs to</w:t>
      </w:r>
      <w:r w:rsidR="003A1917">
        <w:t xml:space="preserve"> the </w:t>
      </w:r>
      <w:r w:rsidRPr="001A3D2B">
        <w:t>Brazilian Ministry</w:t>
      </w:r>
      <w:r w:rsidR="00427468">
        <w:t xml:space="preserve"> of </w:t>
      </w:r>
      <w:r w:rsidRPr="001A3D2B">
        <w:t>Education concerning master</w:t>
      </w:r>
      <w:r w:rsidR="00700038">
        <w:t>’</w:t>
      </w:r>
      <w:r w:rsidR="00C13DDC">
        <w:t>s</w:t>
      </w:r>
      <w:r w:rsidR="005853A9">
        <w:t xml:space="preserve"> and </w:t>
      </w:r>
      <w:r w:rsidRPr="001A3D2B">
        <w:t>doctoral theses</w:t>
      </w:r>
      <w:r w:rsidR="005853A9">
        <w:t xml:space="preserve"> and </w:t>
      </w:r>
      <w:r w:rsidR="003A1917">
        <w:t xml:space="preserve">the </w:t>
      </w:r>
      <w:r w:rsidRPr="001A3D2B">
        <w:t>articles published in journals indexed by</w:t>
      </w:r>
      <w:r w:rsidR="003A1917">
        <w:t xml:space="preserve"> the </w:t>
      </w:r>
      <w:r w:rsidRPr="001A3D2B">
        <w:t>Institute</w:t>
      </w:r>
      <w:r w:rsidR="00427468">
        <w:t xml:space="preserve"> of </w:t>
      </w:r>
      <w:r w:rsidRPr="001A3D2B">
        <w:t>Scientific Information (IST)</w:t>
      </w:r>
      <w:r w:rsidR="00A37C1D">
        <w:t>. The</w:t>
      </w:r>
      <w:r w:rsidRPr="001A3D2B">
        <w:t>re are nine Master</w:t>
      </w:r>
      <w:r w:rsidR="00700038">
        <w:t>’</w:t>
      </w:r>
      <w:r w:rsidR="00C13DDC">
        <w:t>s</w:t>
      </w:r>
      <w:r w:rsidR="005853A9">
        <w:t xml:space="preserve"> and </w:t>
      </w:r>
      <w:r w:rsidRPr="001A3D2B">
        <w:t>Doctoral graduate programs dedicated to research in psychiatry, neuropsychiatry, psychobiology,</w:t>
      </w:r>
      <w:r w:rsidR="005853A9">
        <w:t xml:space="preserve"> and </w:t>
      </w:r>
      <w:r w:rsidRPr="001A3D2B">
        <w:t>mental health in</w:t>
      </w:r>
      <w:r w:rsidR="003A1917">
        <w:t xml:space="preserve"> the </w:t>
      </w:r>
      <w:r w:rsidRPr="001A3D2B">
        <w:t>country, seven being located in southern states. During</w:t>
      </w:r>
      <w:r w:rsidR="003A1917">
        <w:t xml:space="preserve"> the </w:t>
      </w:r>
      <w:r w:rsidRPr="001A3D2B">
        <w:t>5-year period, from 1998 to 2002, 186 students received their doctorate degree (37/year)</w:t>
      </w:r>
      <w:r w:rsidR="00A37C1D">
        <w:t>. The</w:t>
      </w:r>
      <w:r w:rsidR="003A1917">
        <w:t xml:space="preserve"> </w:t>
      </w:r>
      <w:r w:rsidRPr="001A3D2B">
        <w:t>programs published 637 articles in journals indexed by</w:t>
      </w:r>
      <w:r w:rsidR="00730B6D">
        <w:t xml:space="preserve"> ISI,</w:t>
      </w:r>
      <w:r w:rsidR="003A1917">
        <w:t xml:space="preserve"> the </w:t>
      </w:r>
      <w:r w:rsidRPr="001A3D2B">
        <w:t>majority</w:t>
      </w:r>
      <w:r w:rsidR="00427468">
        <w:t xml:space="preserve"> of </w:t>
      </w:r>
      <w:r w:rsidRPr="001A3D2B">
        <w:t>them in journals with an impact factor higher than 2</w:t>
      </w:r>
      <w:r w:rsidR="00A37C1D">
        <w:t>. The</w:t>
      </w:r>
      <w:r w:rsidR="003A1917">
        <w:t xml:space="preserve"> </w:t>
      </w:r>
      <w:r w:rsidRPr="001A3D2B">
        <w:t>research advisors</w:t>
      </w:r>
      <w:r w:rsidR="00700038">
        <w:t>’</w:t>
      </w:r>
      <w:r w:rsidRPr="001A3D2B">
        <w:t xml:space="preserve"> productivity varied among graduate programs, ranging from 0.6 to 2.0 articles per year in ISI-indexed journals. Despite</w:t>
      </w:r>
      <w:r w:rsidR="003A1917">
        <w:t xml:space="preserve"> the </w:t>
      </w:r>
      <w:r w:rsidRPr="001A3D2B">
        <w:t>substantial barriers faced by</w:t>
      </w:r>
      <w:r w:rsidR="003A1917">
        <w:t xml:space="preserve"> the </w:t>
      </w:r>
      <w:r w:rsidRPr="001A3D2B">
        <w:t>Brazilian scientific community (mainly financial</w:t>
      </w:r>
      <w:r w:rsidR="005853A9">
        <w:t xml:space="preserve"> and </w:t>
      </w:r>
      <w:r w:rsidRPr="001A3D2B">
        <w:t>writing difficulties), Brazil</w:t>
      </w:r>
      <w:r w:rsidR="00700038">
        <w:t>’</w:t>
      </w:r>
      <w:r w:rsidR="00C13DDC">
        <w:t>s</w:t>
      </w:r>
      <w:r w:rsidRPr="001A3D2B">
        <w:t xml:space="preserve"> scientific mental health production is on</w:t>
      </w:r>
      <w:r w:rsidR="003A1917">
        <w:t xml:space="preserve"> the </w:t>
      </w:r>
      <w:r w:rsidRPr="001A3D2B">
        <w:t>rise</w:t>
      </w:r>
      <w:r w:rsidR="00A37C1D">
        <w:t>. The</w:t>
      </w:r>
      <w:r w:rsidR="003A1917">
        <w:t xml:space="preserve"> </w:t>
      </w:r>
      <w:r w:rsidRPr="001A3D2B">
        <w:t>number</w:t>
      </w:r>
      <w:r w:rsidR="00427468">
        <w:t xml:space="preserve"> of </w:t>
      </w:r>
      <w:r w:rsidRPr="001A3D2B">
        <w:t>articles published in ISI-indexed journals has doubled without a significant increase in</w:t>
      </w:r>
      <w:r w:rsidR="003A1917">
        <w:t xml:space="preserve"> the </w:t>
      </w:r>
      <w:r w:rsidRPr="001A3D2B">
        <w:t>number</w:t>
      </w:r>
      <w:r w:rsidR="00427468">
        <w:t xml:space="preserve"> of </w:t>
      </w:r>
      <w:r w:rsidRPr="001A3D2B">
        <w:t>graduate theses, suggesting that there was an improvement in both</w:t>
      </w:r>
      <w:r w:rsidR="003A1917">
        <w:t xml:space="preserve"> the </w:t>
      </w:r>
      <w:r w:rsidRPr="001A3D2B">
        <w:t>quality</w:t>
      </w:r>
      <w:r w:rsidR="00427468">
        <w:t xml:space="preserve"> of </w:t>
      </w:r>
      <w:r w:rsidR="003A1917">
        <w:t xml:space="preserve">the </w:t>
      </w:r>
      <w:r w:rsidRPr="001A3D2B">
        <w:t>scientific production</w:t>
      </w:r>
      <w:r w:rsidR="005853A9">
        <w:t xml:space="preserve"> and </w:t>
      </w:r>
      <w:r w:rsidR="003A1917">
        <w:t xml:space="preserve">the </w:t>
      </w:r>
      <w:r w:rsidRPr="001A3D2B">
        <w:t>productivity</w:t>
      </w:r>
      <w:r w:rsidR="00427468">
        <w:t xml:space="preserve"> of </w:t>
      </w:r>
      <w:r w:rsidR="003A1917">
        <w:t xml:space="preserve">the </w:t>
      </w:r>
      <w:r w:rsidRPr="001A3D2B">
        <w:t>graduate programs. Based on these data, it is reasonable to predict a tendency to an increase in production over</w:t>
      </w:r>
      <w:r w:rsidR="003A1917">
        <w:t xml:space="preserve"> the </w:t>
      </w:r>
      <w:r w:rsidRPr="001A3D2B">
        <w:t>next few years.</w:t>
      </w:r>
    </w:p>
    <w:p w:rsidR="003474F2" w:rsidRPr="001A3D2B" w:rsidRDefault="003474F2" w:rsidP="003474F2">
      <w:pPr>
        <w:pStyle w:val="a3"/>
      </w:pPr>
      <w:r w:rsidRPr="001A3D2B">
        <w:t>Keywords: Bibliometric Analysis, Brazil, Impact Factor</w:t>
      </w:r>
      <w:r w:rsidR="00D5664A">
        <w:t>, ISI,</w:t>
      </w:r>
      <w:r w:rsidRPr="001A3D2B">
        <w:t xml:space="preserve"> Journals, Mental Health, MSc</w:t>
      </w:r>
      <w:r w:rsidR="005853A9">
        <w:t xml:space="preserve"> and </w:t>
      </w:r>
      <w:r w:rsidRPr="001A3D2B">
        <w:t>PhD Students, Psychiatry, Public</w:t>
      </w:r>
      <w:r w:rsidR="005853A9">
        <w:t xml:space="preserve"> and </w:t>
      </w:r>
      <w:r w:rsidRPr="001A3D2B">
        <w:t>Private Universities, Publish or Perish, Research, Scientific Production, Scientometrics, Universities</w:t>
      </w:r>
    </w:p>
    <w:p w:rsidR="002F613F" w:rsidRDefault="002F613F" w:rsidP="003474F2">
      <w:pPr>
        <w:pStyle w:val="a3"/>
      </w:pPr>
      <w:r>
        <w:rPr>
          <w:rFonts w:hint="eastAsia"/>
        </w:rPr>
        <w:t>Notes: UUniversity</w:t>
      </w:r>
    </w:p>
    <w:p w:rsidR="003474F2" w:rsidRPr="001A3D2B" w:rsidRDefault="003474F2" w:rsidP="003474F2">
      <w:pPr>
        <w:pStyle w:val="a3"/>
      </w:pPr>
      <w:r w:rsidRPr="001A3D2B">
        <w:t>de Araujo, K.M., Mourao, P.A.S.</w:t>
      </w:r>
      <w:r w:rsidR="005853A9">
        <w:t xml:space="preserve"> and </w:t>
      </w:r>
      <w:r w:rsidRPr="001A3D2B">
        <w:t>Leta, J. (2005), Balance between education-</w:t>
      </w:r>
      <w:r w:rsidR="005853A9">
        <w:t xml:space="preserve"> and </w:t>
      </w:r>
      <w:r w:rsidRPr="001A3D2B">
        <w:t xml:space="preserve">research-oriented publications from a </w:t>
      </w:r>
      <w:smartTag w:uri="urn:schemas-microsoft-com:office:smarttags" w:element="place">
        <w:smartTag w:uri="urn:schemas-microsoft-com:office:smarttags" w:element="PlaceName">
          <w:r w:rsidRPr="001A3D2B">
            <w:t>Brazilian</w:t>
          </w:r>
        </w:smartTag>
        <w:r w:rsidRPr="001A3D2B">
          <w:t xml:space="preserve"> </w:t>
        </w:r>
        <w:smartTag w:uri="urn:schemas-microsoft-com:office:smarttags" w:element="PlaceType">
          <w:r w:rsidRPr="001A3D2B">
            <w:t>University</w:t>
          </w:r>
        </w:smartTag>
        <w:r w:rsidRPr="001A3D2B">
          <w:t xml:space="preserve"> </w:t>
        </w:r>
        <w:smartTag w:uri="urn:schemas-microsoft-com:office:smarttags" w:element="PlaceType">
          <w:r w:rsidRPr="001A3D2B">
            <w:t>Hospital</w:t>
          </w:r>
        </w:smartTag>
      </w:smartTag>
      <w:r w:rsidRPr="001A3D2B">
        <w:t xml:space="preserve">.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38</w:t>
      </w:r>
      <w:r w:rsidRPr="001A3D2B">
        <w:t xml:space="preserve"> (9), 1285-1291.</w:t>
      </w:r>
    </w:p>
    <w:p w:rsidR="003474F2" w:rsidRPr="001A3D2B" w:rsidRDefault="003474F2" w:rsidP="003474F2">
      <w:pPr>
        <w:pStyle w:val="a3"/>
      </w:pPr>
      <w:r w:rsidRPr="001A3D2B">
        <w:t xml:space="preserve">Full Text: </w:t>
      </w:r>
      <w:hyperlink r:id="rId1820" w:history="1">
        <w:r w:rsidRPr="001A3D2B">
          <w:rPr>
            <w:rStyle w:val="a5"/>
          </w:rPr>
          <w:t>2005\Bra J Med Bio Res38, 1285.pdf</w:t>
        </w:r>
      </w:hyperlink>
    </w:p>
    <w:p w:rsidR="003474F2" w:rsidRPr="001A3D2B" w:rsidRDefault="003474F2" w:rsidP="003474F2">
      <w:pPr>
        <w:pStyle w:val="a3"/>
      </w:pPr>
      <w:r w:rsidRPr="001A3D2B">
        <w:t>Abstract: We analyzed</w:t>
      </w:r>
      <w:r w:rsidR="003A1917">
        <w:t xml:space="preserve"> the </w:t>
      </w:r>
      <w:r w:rsidRPr="001A3D2B">
        <w:t>trends</w:t>
      </w:r>
      <w:r w:rsidR="00427468">
        <w:t xml:space="preserve"> of </w:t>
      </w:r>
      <w:r w:rsidRPr="001A3D2B">
        <w:t>scientific output</w:t>
      </w:r>
      <w:r w:rsidR="00427468">
        <w:t xml:space="preserve"> of </w:t>
      </w:r>
      <w:r w:rsidR="003A1917">
        <w:t xml:space="preserve">the </w:t>
      </w:r>
      <w:r w:rsidRPr="001A3D2B">
        <w:t xml:space="preserve">University </w:t>
      </w:r>
      <w:smartTag w:uri="urn:schemas-microsoft-com:office:smarttags" w:element="PlaceType">
        <w:r w:rsidRPr="001A3D2B">
          <w:t>Hospital</w:t>
        </w:r>
      </w:smartTag>
      <w:r w:rsidRPr="001A3D2B">
        <w:t>, Federal University</w:t>
      </w:r>
      <w:r w:rsidR="00427468">
        <w:t xml:space="preserve"> of </w:t>
      </w:r>
      <w:r w:rsidRPr="001A3D2B">
        <w:t>Rio de Janeiro. A total</w:t>
      </w:r>
      <w:r w:rsidR="00427468">
        <w:t xml:space="preserve"> of </w:t>
      </w:r>
      <w:r w:rsidRPr="001A3D2B">
        <w:t>1420 publications were classified according to pattern</w:t>
      </w:r>
      <w:r w:rsidR="005853A9">
        <w:t xml:space="preserve"> and </w:t>
      </w:r>
      <w:r w:rsidRPr="001A3D2B">
        <w:t>visibility. Most were non-research publications with domestic visibility. With time, there was a tendency to shift from non-research (or education-oriented) publications with domestic visibility to research publications with international visibility. This change may reflect new academic attitudes within</w:t>
      </w:r>
      <w:r w:rsidR="003A1917">
        <w:t xml:space="preserve"> the </w:t>
      </w:r>
      <w:r w:rsidRPr="001A3D2B">
        <w:t>institution concerning</w:t>
      </w:r>
      <w:r w:rsidR="003A1917">
        <w:t xml:space="preserve"> the </w:t>
      </w:r>
      <w:r w:rsidRPr="001A3D2B">
        <w:t>objectives</w:t>
      </w:r>
      <w:r w:rsidR="00427468">
        <w:t xml:space="preserve"> of </w:t>
      </w:r>
      <w:r w:rsidR="003A1917">
        <w:t xml:space="preserve">the </w:t>
      </w:r>
      <w:r w:rsidRPr="001A3D2B">
        <w:t>hospital</w:t>
      </w:r>
      <w:r w:rsidR="005853A9">
        <w:t xml:space="preserve"> and </w:t>
      </w:r>
      <w:r w:rsidR="003A1917">
        <w:t xml:space="preserve">the </w:t>
      </w:r>
      <w:r w:rsidRPr="001A3D2B">
        <w:t>establishment</w:t>
      </w:r>
      <w:r w:rsidR="00427468">
        <w:t xml:space="preserve"> of </w:t>
      </w:r>
      <w:r w:rsidRPr="001A3D2B">
        <w:lastRenderedPageBreak/>
        <w:t>scientific research activities</w:t>
      </w:r>
      <w:r w:rsidR="00A37C1D">
        <w:t>. The</w:t>
      </w:r>
      <w:r w:rsidR="003A1917">
        <w:t xml:space="preserve"> </w:t>
      </w:r>
      <w:r w:rsidRPr="001A3D2B">
        <w:t>emphasis</w:t>
      </w:r>
      <w:r w:rsidR="00427468">
        <w:t xml:space="preserve"> of </w:t>
      </w:r>
      <w:r w:rsidRPr="001A3D2B">
        <w:t xml:space="preserve">this </w:t>
      </w:r>
      <w:smartTag w:uri="urn:schemas-microsoft-com:office:smarttags" w:element="place">
        <w:smartTag w:uri="urn:schemas-microsoft-com:office:smarttags" w:element="PlaceType">
          <w:r w:rsidRPr="001A3D2B">
            <w:t>University</w:t>
          </w:r>
        </w:smartTag>
        <w:r w:rsidRPr="001A3D2B">
          <w:t xml:space="preserve"> </w:t>
        </w:r>
        <w:smartTag w:uri="urn:schemas-microsoft-com:office:smarttags" w:element="PlaceType">
          <w:r w:rsidRPr="001A3D2B">
            <w:t>Hospital</w:t>
          </w:r>
        </w:smartTag>
      </w:smartTag>
      <w:r w:rsidRPr="001A3D2B">
        <w:t xml:space="preserve"> had been on</w:t>
      </w:r>
      <w:r w:rsidR="003A1917">
        <w:t xml:space="preserve"> the </w:t>
      </w:r>
      <w:r w:rsidRPr="001A3D2B">
        <w:t>training</w:t>
      </w:r>
      <w:r w:rsidR="00427468">
        <w:t xml:space="preserve"> of </w:t>
      </w:r>
      <w:r w:rsidRPr="001A3D2B">
        <w:t>new physicians. However, more recently,</w:t>
      </w:r>
      <w:r w:rsidR="003A1917">
        <w:t xml:space="preserve"> the </w:t>
      </w:r>
      <w:r w:rsidRPr="001A3D2B">
        <w:t>production</w:t>
      </w:r>
      <w:r w:rsidR="00427468">
        <w:t xml:space="preserve"> of </w:t>
      </w:r>
      <w:r w:rsidRPr="001A3D2B">
        <w:t>new knowledge has been incorporated as a new objective</w:t>
      </w:r>
      <w:r w:rsidR="00A37C1D">
        <w:t>. The</w:t>
      </w:r>
      <w:r w:rsidR="003A1917">
        <w:t xml:space="preserve"> </w:t>
      </w:r>
      <w:r w:rsidRPr="001A3D2B">
        <w:t>analysis</w:t>
      </w:r>
      <w:r w:rsidR="00427468">
        <w:t xml:space="preserve"> of </w:t>
      </w:r>
      <w:r w:rsidR="003A1917">
        <w:t xml:space="preserve">the </w:t>
      </w:r>
      <w:r w:rsidRPr="001A3D2B">
        <w:t>scientific production</w:t>
      </w:r>
      <w:r w:rsidR="00427468">
        <w:t xml:space="preserve"> of </w:t>
      </w:r>
      <w:r w:rsidR="003A1917">
        <w:t xml:space="preserve">the </w:t>
      </w:r>
      <w:r w:rsidRPr="001A3D2B">
        <w:t>most productive sectors</w:t>
      </w:r>
      <w:r w:rsidR="00427468">
        <w:t xml:space="preserve"> of </w:t>
      </w:r>
      <w:r w:rsidR="003A1917">
        <w:t xml:space="preserve">the </w:t>
      </w:r>
      <w:r w:rsidRPr="001A3D2B">
        <w:t>hospital also showed that most are developing non-research studies devoted to</w:t>
      </w:r>
      <w:r w:rsidR="003A1917">
        <w:t xml:space="preserve"> the </w:t>
      </w:r>
      <w:r w:rsidRPr="001A3D2B">
        <w:t>local public while a few</w:t>
      </w:r>
      <w:r w:rsidR="00427468">
        <w:t xml:space="preserve"> of </w:t>
      </w:r>
      <w:r w:rsidR="003A1917">
        <w:t xml:space="preserve">the </w:t>
      </w:r>
      <w:r w:rsidRPr="001A3D2B">
        <w:t>sectors are carrying out research studies published in journals with international status</w:t>
      </w:r>
      <w:r w:rsidR="00A37C1D">
        <w:t>. The</w:t>
      </w:r>
      <w:r w:rsidR="003A1917">
        <w:t xml:space="preserve"> </w:t>
      </w:r>
      <w:r w:rsidRPr="001A3D2B">
        <w:t>dilemma</w:t>
      </w:r>
      <w:r w:rsidR="00427468">
        <w:t xml:space="preserve"> of </w:t>
      </w:r>
      <w:r w:rsidRPr="001A3D2B">
        <w:t>quality versus quantity</w:t>
      </w:r>
      <w:r w:rsidR="005853A9">
        <w:t xml:space="preserve"> and</w:t>
      </w:r>
      <w:r w:rsidR="00427468">
        <w:t xml:space="preserve"> of </w:t>
      </w:r>
      <w:r w:rsidRPr="001A3D2B">
        <w:t>education versus research-oriented publication seems, however, to continue to exist within</w:t>
      </w:r>
      <w:r w:rsidR="003A1917">
        <w:t xml:space="preserve"> the </w:t>
      </w:r>
      <w:r w:rsidRPr="001A3D2B">
        <w:t>specialized sectors</w:t>
      </w:r>
      <w:r w:rsidR="00A37C1D">
        <w:t>. The</w:t>
      </w:r>
      <w:r w:rsidR="003A1917">
        <w:t xml:space="preserve"> </w:t>
      </w:r>
      <w:r w:rsidRPr="001A3D2B">
        <w:t>methodology described here to analyze</w:t>
      </w:r>
      <w:r w:rsidR="003A1917">
        <w:t xml:space="preserve"> the </w:t>
      </w:r>
      <w:r w:rsidRPr="001A3D2B">
        <w:t>scientific production</w:t>
      </w:r>
      <w:r w:rsidR="00427468">
        <w:t xml:space="preserve"> of </w:t>
      </w:r>
      <w:r w:rsidRPr="001A3D2B">
        <w:t>a university hospital can be used as a tool to better understand</w:t>
      </w:r>
      <w:r w:rsidR="003A1917">
        <w:t xml:space="preserve"> the </w:t>
      </w:r>
      <w:r w:rsidRPr="001A3D2B">
        <w:t>evolution</w:t>
      </w:r>
      <w:r w:rsidR="00427468">
        <w:t xml:space="preserve"> of </w:t>
      </w:r>
      <w:r w:rsidRPr="001A3D2B">
        <w:t>medical research in Brazil</w:t>
      </w:r>
      <w:r w:rsidR="005853A9">
        <w:t xml:space="preserve"> and </w:t>
      </w:r>
      <w:r w:rsidRPr="001A3D2B">
        <w:t>also to help formulate public policies</w:t>
      </w:r>
      <w:r w:rsidR="005853A9">
        <w:t xml:space="preserve"> and </w:t>
      </w:r>
      <w:r w:rsidRPr="001A3D2B">
        <w:t>new strategies to include research among</w:t>
      </w:r>
      <w:r w:rsidR="003A1917">
        <w:t xml:space="preserve"> the </w:t>
      </w:r>
      <w:r w:rsidRPr="001A3D2B">
        <w:t>major objectives</w:t>
      </w:r>
      <w:r w:rsidR="00427468">
        <w:t xml:space="preserve"> of </w:t>
      </w:r>
      <w:r w:rsidRPr="001A3D2B">
        <w:t>University Hospitals.</w:t>
      </w:r>
    </w:p>
    <w:p w:rsidR="003474F2" w:rsidRPr="001A3D2B" w:rsidRDefault="003474F2" w:rsidP="003474F2">
      <w:pPr>
        <w:pStyle w:val="a3"/>
      </w:pPr>
      <w:r w:rsidRPr="001A3D2B">
        <w:t>Keywords: Analysis, Attitudes, Brazil, Developing, Education, Evolution, Hospital, International, Journals, Knowledge, Local, Medical, Medical Research, Methodology, Pattern, Physicians, Policies, Public, Publication, Publications, Quality, Research, Rio De Janeiro, Scientific Output, Scientific Production, Scientific Research, Training, Trends, University, University Hospital, Visibility</w:t>
      </w:r>
    </w:p>
    <w:p w:rsidR="002F613F" w:rsidRDefault="002F613F" w:rsidP="003474F2">
      <w:pPr>
        <w:pStyle w:val="a3"/>
      </w:pPr>
      <w:r>
        <w:rPr>
          <w:rFonts w:hint="eastAsia"/>
        </w:rPr>
        <w:t>Notes: CCountry</w:t>
      </w:r>
    </w:p>
    <w:p w:rsidR="003474F2" w:rsidRPr="001A3D2B" w:rsidRDefault="003474F2" w:rsidP="003474F2">
      <w:pPr>
        <w:pStyle w:val="a3"/>
      </w:pPr>
      <w:r w:rsidRPr="001A3D2B">
        <w:t>? Helene, A.F.</w:t>
      </w:r>
      <w:r w:rsidR="005853A9">
        <w:t xml:space="preserve"> and </w:t>
      </w:r>
      <w:r w:rsidRPr="001A3D2B">
        <w:t>Xavier, G.F. (2006), Financial support</w:t>
      </w:r>
      <w:r w:rsidR="00427468">
        <w:t xml:space="preserve"> of </w:t>
      </w:r>
      <w:r w:rsidRPr="001A3D2B">
        <w:t xml:space="preserve">graduate programs in Brazil: </w:t>
      </w:r>
      <w:r w:rsidRPr="001A3D2B">
        <w:rPr>
          <w:i/>
          <w:iCs/>
        </w:rPr>
        <w:t>Quo vadis</w:t>
      </w:r>
      <w:r w:rsidRPr="001A3D2B">
        <w:t xml:space="preserve">?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39</w:t>
      </w:r>
      <w:r w:rsidRPr="001A3D2B">
        <w:t xml:space="preserve"> (7), 839-849.</w:t>
      </w:r>
    </w:p>
    <w:p w:rsidR="003474F2" w:rsidRPr="001A3D2B" w:rsidRDefault="003474F2" w:rsidP="003474F2">
      <w:pPr>
        <w:pStyle w:val="a3"/>
      </w:pPr>
      <w:r w:rsidRPr="001A3D2B">
        <w:t xml:space="preserve">Full Text: </w:t>
      </w:r>
      <w:hyperlink r:id="rId1821" w:history="1">
        <w:r w:rsidRPr="001A3D2B">
          <w:rPr>
            <w:rStyle w:val="a5"/>
          </w:rPr>
          <w:t>2006\Bra J Med Bio Res39, 839.pdf</w:t>
        </w:r>
      </w:hyperlink>
    </w:p>
    <w:p w:rsidR="003474F2" w:rsidRPr="001A3D2B" w:rsidRDefault="003474F2" w:rsidP="003474F2">
      <w:pPr>
        <w:pStyle w:val="a3"/>
      </w:pPr>
      <w:r w:rsidRPr="001A3D2B">
        <w:t>Abstract: Graduate programs provide</w:t>
      </w:r>
      <w:r w:rsidR="003A1917">
        <w:t xml:space="preserve"> the </w:t>
      </w:r>
      <w:r w:rsidRPr="001A3D2B">
        <w:t>highest level</w:t>
      </w:r>
      <w:r w:rsidR="00427468">
        <w:t xml:space="preserve"> of </w:t>
      </w:r>
      <w:r w:rsidRPr="001A3D2B">
        <w:t>formal education</w:t>
      </w:r>
      <w:r w:rsidR="005853A9">
        <w:t xml:space="preserve"> and </w:t>
      </w:r>
      <w:r w:rsidRPr="001A3D2B">
        <w:t>thus are crucial for</w:t>
      </w:r>
      <w:r w:rsidR="003A1917">
        <w:t xml:space="preserve"> the </w:t>
      </w:r>
      <w:r w:rsidRPr="001A3D2B">
        <w:t>development</w:t>
      </w:r>
      <w:r w:rsidR="00427468">
        <w:t xml:space="preserve"> of </w:t>
      </w:r>
      <w:r w:rsidRPr="001A3D2B">
        <w:t>any country. However, official Brazilian data clearly show a dramatic decrease in</w:t>
      </w:r>
      <w:r w:rsidR="003A1917">
        <w:t xml:space="preserve"> the </w:t>
      </w:r>
      <w:r w:rsidRPr="001A3D2B">
        <w:t>number</w:t>
      </w:r>
      <w:r w:rsidR="005853A9">
        <w:t xml:space="preserve"> and </w:t>
      </w:r>
      <w:r w:rsidRPr="001A3D2B">
        <w:t>values</w:t>
      </w:r>
      <w:r w:rsidR="00427468">
        <w:t xml:space="preserve"> of </w:t>
      </w:r>
      <w:r w:rsidRPr="001A3D2B">
        <w:t>scholarships available to graduate programs in Brazil over</w:t>
      </w:r>
      <w:r w:rsidR="003A1917">
        <w:t xml:space="preserve"> the </w:t>
      </w:r>
      <w:r w:rsidRPr="001A3D2B">
        <w:t>last few years, despite</w:t>
      </w:r>
      <w:r w:rsidR="003A1917">
        <w:t xml:space="preserve"> the </w:t>
      </w:r>
      <w:r w:rsidRPr="001A3D2B">
        <w:t>importance</w:t>
      </w:r>
      <w:r w:rsidR="005853A9">
        <w:t xml:space="preserve"> and </w:t>
      </w:r>
      <w:r w:rsidRPr="001A3D2B">
        <w:t>growth</w:t>
      </w:r>
      <w:r w:rsidR="00427468">
        <w:t xml:space="preserve"> of </w:t>
      </w:r>
      <w:r w:rsidRPr="001A3D2B">
        <w:t>such programs. Between 1995</w:t>
      </w:r>
      <w:r w:rsidR="005853A9">
        <w:t xml:space="preserve"> and </w:t>
      </w:r>
      <w:r w:rsidRPr="001A3D2B">
        <w:t>2004, investment by</w:t>
      </w:r>
      <w:r w:rsidR="003A1917">
        <w:t xml:space="preserve"> the </w:t>
      </w:r>
      <w:r w:rsidRPr="001A3D2B">
        <w:t>Coordenadoria de Aperfeicoamento de Pessoal do Ensino Superior (CAPES, subordinate to</w:t>
      </w:r>
      <w:r w:rsidR="003A1917">
        <w:t xml:space="preserve"> the </w:t>
      </w:r>
      <w:r w:rsidRPr="001A3D2B">
        <w:t>Ministry</w:t>
      </w:r>
      <w:r w:rsidR="00427468">
        <w:t xml:space="preserve"> of </w:t>
      </w:r>
      <w:r w:rsidRPr="001A3D2B">
        <w:t>Education</w:t>
      </w:r>
      <w:r w:rsidR="005853A9">
        <w:t xml:space="preserve"> and </w:t>
      </w:r>
      <w:r w:rsidRPr="001A3D2B">
        <w:t>Culture) in funding scholarships, corrected for inflation in</w:t>
      </w:r>
      <w:r w:rsidR="003A1917">
        <w:t xml:space="preserve"> the </w:t>
      </w:r>
      <w:r w:rsidRPr="001A3D2B">
        <w:t>period, actually decreased by 51%. In addition, during</w:t>
      </w:r>
      <w:r w:rsidR="003A1917">
        <w:t xml:space="preserve"> the </w:t>
      </w:r>
      <w:r w:rsidRPr="001A3D2B">
        <w:t>period between 1994</w:t>
      </w:r>
      <w:r w:rsidR="005853A9">
        <w:t xml:space="preserve"> and </w:t>
      </w:r>
      <w:r w:rsidRPr="001A3D2B">
        <w:t>2004, there was a loss</w:t>
      </w:r>
      <w:r w:rsidR="00427468">
        <w:t xml:space="preserve"> of </w:t>
      </w:r>
      <w:r w:rsidRPr="001A3D2B">
        <w:t>about 60% in</w:t>
      </w:r>
      <w:r w:rsidR="003A1917">
        <w:t xml:space="preserve"> the </w:t>
      </w:r>
      <w:r w:rsidRPr="001A3D2B">
        <w:t>purchasing power</w:t>
      </w:r>
      <w:r w:rsidR="00427468">
        <w:t xml:space="preserve"> of </w:t>
      </w:r>
      <w:r w:rsidR="003A1917">
        <w:t xml:space="preserve">the </w:t>
      </w:r>
      <w:r w:rsidRPr="001A3D2B">
        <w:t>graduate scholarships provided by CAPES</w:t>
      </w:r>
      <w:r w:rsidR="005853A9">
        <w:t xml:space="preserve"> and </w:t>
      </w:r>
      <w:r w:rsidR="003A1917">
        <w:t xml:space="preserve">the </w:t>
      </w:r>
      <w:r w:rsidRPr="001A3D2B">
        <w:t>National Council for Science</w:t>
      </w:r>
      <w:r w:rsidR="005853A9">
        <w:t xml:space="preserve"> and </w:t>
      </w:r>
      <w:r w:rsidRPr="001A3D2B">
        <w:t>Technology (CNPq). To reverse this trend, we propose</w:t>
      </w:r>
      <w:r w:rsidR="003A1917">
        <w:t xml:space="preserve"> the </w:t>
      </w:r>
      <w:r w:rsidRPr="001A3D2B">
        <w:t>development</w:t>
      </w:r>
      <w:r w:rsidR="00427468">
        <w:t xml:space="preserve"> of </w:t>
      </w:r>
      <w:r w:rsidRPr="001A3D2B">
        <w:t>sectorial funding for Brazilian graduate programs to guarantee</w:t>
      </w:r>
      <w:r w:rsidR="003A1917">
        <w:t xml:space="preserve"> the </w:t>
      </w:r>
      <w:r w:rsidRPr="001A3D2B">
        <w:t>availability</w:t>
      </w:r>
      <w:r w:rsidR="005853A9">
        <w:t xml:space="preserve"> and </w:t>
      </w:r>
      <w:r w:rsidRPr="001A3D2B">
        <w:t>continuity</w:t>
      </w:r>
      <w:r w:rsidR="00427468">
        <w:t xml:space="preserve"> of </w:t>
      </w:r>
      <w:r w:rsidRPr="001A3D2B">
        <w:t>financial support for this strategic activity.</w:t>
      </w:r>
    </w:p>
    <w:p w:rsidR="003474F2" w:rsidRPr="001A3D2B" w:rsidRDefault="003474F2" w:rsidP="003474F2">
      <w:pPr>
        <w:pStyle w:val="a3"/>
      </w:pPr>
      <w:r w:rsidRPr="001A3D2B">
        <w:t>Keywords: Availability, Brazil, Country, Data, Development, Education, Financial Support, Funding, Graduate, Growth, Power, Strategic, Support, Trend</w:t>
      </w:r>
    </w:p>
    <w:p w:rsidR="003474F2" w:rsidRPr="001A3D2B" w:rsidRDefault="003474F2" w:rsidP="003474F2">
      <w:pPr>
        <w:pStyle w:val="a3"/>
      </w:pPr>
      <w:r w:rsidRPr="001A3D2B">
        <w:t>? Cunha-Melo, J.R., Santos, G.C.</w:t>
      </w:r>
      <w:r w:rsidR="005853A9">
        <w:t xml:space="preserve"> and </w:t>
      </w:r>
      <w:r w:rsidRPr="001A3D2B">
        <w:t>Andrade, M.V. (2006), Brazilian medical publications: Citation patterns for Brazilian-edited</w:t>
      </w:r>
      <w:r w:rsidR="005853A9">
        <w:t xml:space="preserve"> and </w:t>
      </w:r>
      <w:r w:rsidRPr="001A3D2B">
        <w:t xml:space="preserve">non-Brazilian literature. </w:t>
      </w:r>
      <w:r w:rsidRPr="001A3D2B">
        <w:rPr>
          <w:i/>
          <w:iCs/>
        </w:rPr>
        <w:lastRenderedPageBreak/>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39</w:t>
      </w:r>
      <w:r w:rsidRPr="001A3D2B">
        <w:t xml:space="preserve"> (8), 997-1002.</w:t>
      </w:r>
    </w:p>
    <w:p w:rsidR="003474F2" w:rsidRPr="001A3D2B" w:rsidRDefault="003474F2" w:rsidP="003474F2">
      <w:pPr>
        <w:pStyle w:val="a3"/>
      </w:pPr>
      <w:r w:rsidRPr="001A3D2B">
        <w:t xml:space="preserve">Full Text: </w:t>
      </w:r>
      <w:hyperlink r:id="rId1822" w:history="1">
        <w:r w:rsidRPr="001A3D2B">
          <w:rPr>
            <w:rStyle w:val="a5"/>
          </w:rPr>
          <w:t>2006\Bra J Med Bio Res39, 997.pdf</w:t>
        </w:r>
      </w:hyperlink>
    </w:p>
    <w:p w:rsidR="003474F2" w:rsidRPr="001A3D2B" w:rsidRDefault="003474F2" w:rsidP="003474F2">
      <w:pPr>
        <w:pStyle w:val="a3"/>
      </w:pPr>
      <w:r w:rsidRPr="001A3D2B">
        <w:t>Abstract: Today,</w:t>
      </w:r>
      <w:r w:rsidR="003A1917">
        <w:t xml:space="preserve"> the </w:t>
      </w:r>
      <w:r w:rsidRPr="001A3D2B">
        <w:t>quality</w:t>
      </w:r>
      <w:r w:rsidR="00427468">
        <w:t xml:space="preserve"> of </w:t>
      </w:r>
      <w:r w:rsidRPr="001A3D2B">
        <w:t>a scientific article depends on</w:t>
      </w:r>
      <w:r w:rsidR="003A1917">
        <w:t xml:space="preserve"> the </w:t>
      </w:r>
      <w:r w:rsidRPr="001A3D2B">
        <w:t>periodical in which it is published</w:t>
      </w:r>
      <w:r w:rsidR="005853A9">
        <w:t xml:space="preserve"> and </w:t>
      </w:r>
      <w:r w:rsidRPr="001A3D2B">
        <w:t>on</w:t>
      </w:r>
      <w:r w:rsidR="003A1917">
        <w:t xml:space="preserve"> the </w:t>
      </w:r>
      <w:r w:rsidRPr="001A3D2B">
        <w:t>number</w:t>
      </w:r>
      <w:r w:rsidR="00427468">
        <w:t xml:space="preserve"> of </w:t>
      </w:r>
      <w:r w:rsidRPr="001A3D2B">
        <w:t>times</w:t>
      </w:r>
      <w:r w:rsidR="003A1917">
        <w:t xml:space="preserve"> the </w:t>
      </w:r>
      <w:r w:rsidRPr="001A3D2B">
        <w:t>article is cited in</w:t>
      </w:r>
      <w:r w:rsidR="003A1917">
        <w:t xml:space="preserve"> the </w:t>
      </w:r>
      <w:r w:rsidRPr="001A3D2B">
        <w:t>literature. In Brazil,</w:t>
      </w:r>
      <w:r w:rsidR="003A1917">
        <w:t xml:space="preserve"> the </w:t>
      </w:r>
      <w:r w:rsidRPr="001A3D2B">
        <w:t>criteria for</w:t>
      </w:r>
      <w:r w:rsidR="003A1917">
        <w:t xml:space="preserve"> the </w:t>
      </w:r>
      <w:r w:rsidRPr="001A3D2B">
        <w:t>evaluation</w:t>
      </w:r>
      <w:r w:rsidR="00427468">
        <w:t xml:space="preserve"> of </w:t>
      </w:r>
      <w:r w:rsidRPr="001A3D2B">
        <w:t>this scientific production are improving. However, there is still some resistance, with authors arguing that Brazilian publications must be preferentially addressed to</w:t>
      </w:r>
      <w:r w:rsidR="003A1917">
        <w:t xml:space="preserve"> the </w:t>
      </w:r>
      <w:r w:rsidRPr="001A3D2B">
        <w:t>national readers and, therefore, they should ideally be written in Portuguese. In order to determine</w:t>
      </w:r>
      <w:r w:rsidR="003A1917">
        <w:t xml:space="preserve"> the </w:t>
      </w:r>
      <w:r w:rsidRPr="001A3D2B">
        <w:t>kind</w:t>
      </w:r>
      <w:r w:rsidR="00427468">
        <w:t xml:space="preserve"> of </w:t>
      </w:r>
      <w:r w:rsidRPr="001A3D2B">
        <w:t>scientific journals cited in</w:t>
      </w:r>
      <w:r w:rsidR="003A1917">
        <w:t xml:space="preserve"> the </w:t>
      </w:r>
      <w:r w:rsidRPr="001A3D2B">
        <w:t>reference lists</w:t>
      </w:r>
      <w:r w:rsidR="00427468">
        <w:t xml:space="preserve"> of </w:t>
      </w:r>
      <w:r w:rsidRPr="001A3D2B">
        <w:t>articles published in medical periodicals edited in Brazil, in</w:t>
      </w:r>
      <w:r w:rsidR="003A1917">
        <w:t xml:space="preserve"> the </w:t>
      </w:r>
      <w:r w:rsidRPr="001A3D2B">
        <w:t>present study we determine</w:t>
      </w:r>
      <w:r w:rsidR="003A1917">
        <w:t xml:space="preserve"> the </w:t>
      </w:r>
      <w:r w:rsidRPr="001A3D2B">
        <w:t>rate</w:t>
      </w:r>
      <w:r w:rsidR="00427468">
        <w:t xml:space="preserve"> of </w:t>
      </w:r>
      <w:r w:rsidRPr="001A3D2B">
        <w:t>Portuguese/English citations. Three issues</w:t>
      </w:r>
      <w:r w:rsidR="00427468">
        <w:t xml:space="preserve"> of </w:t>
      </w:r>
      <w:r w:rsidRPr="001A3D2B">
        <w:t xml:space="preserve">43 periodicals (19 indexed in SciELO, 10 in </w:t>
      </w:r>
      <w:r w:rsidR="002C12F0">
        <w:t>PUBMED</w:t>
      </w:r>
      <w:r w:rsidRPr="001A3D2B">
        <w:t>, 10 in LILACS,</w:t>
      </w:r>
      <w:r w:rsidR="005853A9">
        <w:t xml:space="preserve"> and </w:t>
      </w:r>
      <w:r w:rsidRPr="001A3D2B">
        <w:t>4 in</w:t>
      </w:r>
      <w:r w:rsidR="003A1917">
        <w:t xml:space="preserve"> the </w:t>
      </w:r>
      <w:r w:rsidRPr="001A3D2B">
        <w:t>ISI-Thompson base)</w:t>
      </w:r>
      <w:r w:rsidR="00427468">
        <w:t xml:space="preserve"> of </w:t>
      </w:r>
      <w:r w:rsidRPr="001A3D2B">
        <w:t>different medical specialties were analyzed,</w:t>
      </w:r>
      <w:r w:rsidR="005853A9">
        <w:t xml:space="preserve"> and </w:t>
      </w:r>
      <w:r w:rsidR="003A1917">
        <w:t xml:space="preserve">the </w:t>
      </w:r>
      <w:r w:rsidRPr="001A3D2B">
        <w:t>number</w:t>
      </w:r>
      <w:r w:rsidR="00427468">
        <w:t xml:space="preserve"> of </w:t>
      </w:r>
      <w:r w:rsidRPr="001A3D2B">
        <w:t>both Portuguese</w:t>
      </w:r>
      <w:r w:rsidR="005853A9">
        <w:t xml:space="preserve"> and </w:t>
      </w:r>
      <w:r w:rsidRPr="001A3D2B">
        <w:t>English citations in</w:t>
      </w:r>
      <w:r w:rsidR="003A1917">
        <w:t xml:space="preserve"> the </w:t>
      </w:r>
      <w:r w:rsidRPr="001A3D2B">
        <w:t>reference list</w:t>
      </w:r>
      <w:r w:rsidR="00427468">
        <w:t xml:space="preserve"> of </w:t>
      </w:r>
      <w:r w:rsidRPr="001A3D2B">
        <w:t>each article was recorded</w:t>
      </w:r>
      <w:r w:rsidR="00A37C1D">
        <w:t>. The</w:t>
      </w:r>
      <w:r w:rsidR="003A1917">
        <w:t xml:space="preserve"> </w:t>
      </w:r>
      <w:r w:rsidRPr="001A3D2B">
        <w:t>results showed that in Brazilian-edited journals</w:t>
      </w:r>
      <w:r w:rsidR="003A1917">
        <w:t xml:space="preserve"> the </w:t>
      </w:r>
      <w:r w:rsidRPr="001A3D2B">
        <w:t>mean number</w:t>
      </w:r>
      <w:r w:rsidR="00427468">
        <w:t xml:space="preserve"> of </w:t>
      </w:r>
      <w:r w:rsidRPr="001A3D2B">
        <w:t>citations/article was 20.9±6.9</w:t>
      </w:r>
      <w:r w:rsidR="005853A9">
        <w:t xml:space="preserve"> and </w:t>
      </w:r>
      <w:r w:rsidR="003A1917">
        <w:t xml:space="preserve">the </w:t>
      </w:r>
      <w:r w:rsidRPr="001A3D2B">
        <w:t>percentage</w:t>
      </w:r>
      <w:r w:rsidR="00427468">
        <w:t xml:space="preserve"> of </w:t>
      </w:r>
      <w:r w:rsidRPr="001A3D2B">
        <w:t>citations</w:t>
      </w:r>
      <w:r w:rsidR="00427468">
        <w:t xml:space="preserve"> of </w:t>
      </w:r>
      <w:r w:rsidRPr="001A3D2B">
        <w:t>international non-Brazilian periodicals was 86.0±11.2%.</w:t>
      </w:r>
      <w:r w:rsidR="00427468">
        <w:t xml:space="preserve"> of </w:t>
      </w:r>
      <w:r w:rsidR="003A1917">
        <w:t xml:space="preserve">the </w:t>
      </w:r>
      <w:r w:rsidRPr="001A3D2B">
        <w:t>latter, 94.4±7.0 are indexed by ISI-Thompson</w:t>
      </w:r>
      <w:r w:rsidR="00A37C1D">
        <w:t>. The</w:t>
      </w:r>
      <w:r w:rsidRPr="001A3D2B">
        <w:t>refore, we conclude that Brazilian medical scientists cite</w:t>
      </w:r>
      <w:r w:rsidR="003A1917">
        <w:t xml:space="preserve"> the </w:t>
      </w:r>
      <w:r w:rsidRPr="001A3D2B">
        <w:t>international non-Brazilian periodicals more than</w:t>
      </w:r>
      <w:r w:rsidR="003A1917">
        <w:t xml:space="preserve"> the </w:t>
      </w:r>
      <w:r w:rsidRPr="001A3D2B">
        <w:t>national journals,</w:t>
      </w:r>
      <w:r w:rsidR="005853A9">
        <w:t xml:space="preserve"> and </w:t>
      </w:r>
      <w:r w:rsidRPr="001A3D2B">
        <w:t>most</w:t>
      </w:r>
      <w:r w:rsidR="00427468">
        <w:t xml:space="preserve"> of </w:t>
      </w:r>
      <w:r w:rsidR="003A1917">
        <w:t xml:space="preserve">the </w:t>
      </w:r>
      <w:r w:rsidRPr="001A3D2B">
        <w:t>cited papers are indexed by ISI-Thompson.</w:t>
      </w:r>
    </w:p>
    <w:p w:rsidR="003474F2" w:rsidRPr="001A3D2B" w:rsidRDefault="003474F2" w:rsidP="003474F2">
      <w:pPr>
        <w:pStyle w:val="a3"/>
      </w:pPr>
      <w:r w:rsidRPr="001A3D2B">
        <w:t>Keywords: Bibliometrics, Brazil, Brazilian Medical Journals, Brazilian Scientific Journals, Citation Patterns, English, Journals, Language, Publications, Publish, Quality, Scientific Production</w:t>
      </w:r>
    </w:p>
    <w:p w:rsidR="002F613F" w:rsidRDefault="002F613F" w:rsidP="003474F2">
      <w:pPr>
        <w:pStyle w:val="a3"/>
      </w:pPr>
      <w:r>
        <w:rPr>
          <w:rFonts w:hint="eastAsia"/>
        </w:rPr>
        <w:t>Notes: CCountry</w:t>
      </w:r>
    </w:p>
    <w:p w:rsidR="003474F2" w:rsidRPr="001A3D2B" w:rsidRDefault="003474F2" w:rsidP="003474F2">
      <w:pPr>
        <w:pStyle w:val="a3"/>
      </w:pPr>
      <w:r w:rsidRPr="001A3D2B">
        <w:t>Araujo, C.R., Moreira, M.A.</w:t>
      </w:r>
      <w:r w:rsidR="005853A9">
        <w:t xml:space="preserve"> and </w:t>
      </w:r>
      <w:r w:rsidRPr="001A3D2B">
        <w:t>Lana-Peixoto, M.A. (2006), Profile</w:t>
      </w:r>
      <w:r w:rsidR="00427468">
        <w:t xml:space="preserve"> of </w:t>
      </w:r>
      <w:r w:rsidR="003A1917">
        <w:t xml:space="preserve">the </w:t>
      </w:r>
      <w:r w:rsidRPr="001A3D2B">
        <w:t xml:space="preserve">Brazilian scientific production in multiple sclerosis.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39</w:t>
      </w:r>
      <w:r w:rsidRPr="001A3D2B">
        <w:t xml:space="preserve"> (9), 1143-1148.</w:t>
      </w:r>
    </w:p>
    <w:p w:rsidR="003474F2" w:rsidRPr="001A3D2B" w:rsidRDefault="003474F2" w:rsidP="003474F2">
      <w:pPr>
        <w:pStyle w:val="a3"/>
      </w:pPr>
      <w:r w:rsidRPr="001A3D2B">
        <w:t xml:space="preserve">Full Text: </w:t>
      </w:r>
      <w:hyperlink r:id="rId1823" w:history="1">
        <w:r w:rsidRPr="001A3D2B">
          <w:rPr>
            <w:rStyle w:val="a5"/>
          </w:rPr>
          <w:t>2006\Bra J Med Bio Res39, 1143.pdf</w:t>
        </w:r>
      </w:hyperlink>
    </w:p>
    <w:p w:rsidR="003474F2" w:rsidRPr="001A3D2B" w:rsidRDefault="003474F2" w:rsidP="003474F2">
      <w:pPr>
        <w:pStyle w:val="a3"/>
      </w:pPr>
      <w:r w:rsidRPr="001A3D2B">
        <w:t>Abstract: This paper analyzes</w:t>
      </w:r>
      <w:r w:rsidR="003A1917">
        <w:t xml:space="preserve"> the </w:t>
      </w:r>
      <w:r w:rsidRPr="001A3D2B">
        <w:t>profile</w:t>
      </w:r>
      <w:r w:rsidR="00427468">
        <w:t xml:space="preserve"> of </w:t>
      </w:r>
      <w:r w:rsidR="003A1917">
        <w:t xml:space="preserve">the </w:t>
      </w:r>
      <w:r w:rsidRPr="001A3D2B">
        <w:t>Brazilian output in</w:t>
      </w:r>
      <w:r w:rsidR="003A1917">
        <w:t xml:space="preserve"> the </w:t>
      </w:r>
      <w:r w:rsidRPr="001A3D2B">
        <w:t>field</w:t>
      </w:r>
      <w:r w:rsidR="00427468">
        <w:t xml:space="preserve"> of </w:t>
      </w:r>
      <w:r w:rsidRPr="001A3D2B">
        <w:t>multiple sclerosis from 1981 to 2004</w:t>
      </w:r>
      <w:r w:rsidR="00A37C1D">
        <w:t>. The</w:t>
      </w:r>
      <w:r w:rsidR="003A1917">
        <w:t xml:space="preserve"> </w:t>
      </w:r>
      <w:r w:rsidRPr="001A3D2B">
        <w:t>search was conducted through</w:t>
      </w:r>
      <w:r w:rsidR="003A1917">
        <w:t xml:space="preserve"> the </w:t>
      </w:r>
      <w:r w:rsidR="00D5664A">
        <w:t>MEDLINE</w:t>
      </w:r>
      <w:r w:rsidR="005853A9">
        <w:t xml:space="preserve"> and </w:t>
      </w:r>
      <w:r w:rsidRPr="001A3D2B">
        <w:t>LILACS databases, selecting papers in which</w:t>
      </w:r>
      <w:r w:rsidR="003A1917">
        <w:t xml:space="preserve"> the </w:t>
      </w:r>
      <w:r w:rsidRPr="001A3D2B">
        <w:t xml:space="preserve">term </w:t>
      </w:r>
      <w:r w:rsidR="00B5188C">
        <w:t>“</w:t>
      </w:r>
      <w:r w:rsidRPr="001A3D2B">
        <w:t>multiple sclerosis</w:t>
      </w:r>
      <w:r w:rsidR="00B5188C">
        <w:t>”</w:t>
      </w:r>
      <w:r w:rsidRPr="001A3D2B">
        <w:t xml:space="preserve"> was defined as</w:t>
      </w:r>
      <w:r w:rsidR="003A1917">
        <w:t xml:space="preserve"> the </w:t>
      </w:r>
      <w:r w:rsidRPr="001A3D2B">
        <w:t>main topic</w:t>
      </w:r>
      <w:r w:rsidR="005853A9">
        <w:t xml:space="preserve"> and </w:t>
      </w:r>
      <w:r w:rsidR="00B5188C">
        <w:t>“</w:t>
      </w:r>
      <w:r w:rsidRPr="001A3D2B">
        <w:t>Brazil</w:t>
      </w:r>
      <w:r w:rsidR="00B5188C">
        <w:t>”</w:t>
      </w:r>
      <w:r w:rsidRPr="001A3D2B">
        <w:t xml:space="preserve"> or </w:t>
      </w:r>
      <w:r w:rsidR="00B5188C">
        <w:t>“</w:t>
      </w:r>
      <w:r w:rsidRPr="001A3D2B">
        <w:t>Brasil</w:t>
      </w:r>
      <w:r w:rsidR="00B5188C">
        <w:t>”</w:t>
      </w:r>
      <w:r w:rsidRPr="001A3D2B">
        <w:t xml:space="preserve"> as others</w:t>
      </w:r>
      <w:r w:rsidR="00A37C1D">
        <w:t>. The</w:t>
      </w:r>
      <w:r w:rsidR="003A1917">
        <w:t xml:space="preserve"> </w:t>
      </w:r>
      <w:r w:rsidRPr="001A3D2B">
        <w:t>data were analyzed regarding</w:t>
      </w:r>
      <w:r w:rsidR="003A1917">
        <w:t xml:space="preserve"> the </w:t>
      </w:r>
      <w:r w:rsidRPr="001A3D2B">
        <w:t>themes,</w:t>
      </w:r>
      <w:r w:rsidR="003A1917">
        <w:t xml:space="preserve"> the </w:t>
      </w:r>
      <w:r w:rsidRPr="001A3D2B">
        <w:t>state in Brazil</w:t>
      </w:r>
      <w:r w:rsidR="005853A9">
        <w:t xml:space="preserve"> and </w:t>
      </w:r>
      <w:r w:rsidRPr="001A3D2B">
        <w:t>institution where</w:t>
      </w:r>
      <w:r w:rsidR="003A1917">
        <w:t xml:space="preserve"> the </w:t>
      </w:r>
      <w:r w:rsidRPr="001A3D2B">
        <w:t>papers were produced,</w:t>
      </w:r>
      <w:r w:rsidR="003A1917">
        <w:t xml:space="preserve"> the </w:t>
      </w:r>
      <w:r w:rsidRPr="001A3D2B">
        <w:t>journals where</w:t>
      </w:r>
      <w:r w:rsidR="003A1917">
        <w:t xml:space="preserve"> the </w:t>
      </w:r>
      <w:r w:rsidRPr="001A3D2B">
        <w:t>papers were published, journal</w:t>
      </w:r>
      <w:r w:rsidR="00700038">
        <w:t>’</w:t>
      </w:r>
      <w:r w:rsidR="00C13DDC">
        <w:t>s</w:t>
      </w:r>
      <w:r w:rsidRPr="001A3D2B">
        <w:t xml:space="preserve"> impact factor,</w:t>
      </w:r>
      <w:r w:rsidR="005853A9">
        <w:t xml:space="preserve"> and </w:t>
      </w:r>
      <w:r w:rsidRPr="001A3D2B">
        <w:t>language</w:t>
      </w:r>
      <w:r w:rsidR="00A37C1D">
        <w:t>. The</w:t>
      </w:r>
      <w:r w:rsidR="003A1917">
        <w:t xml:space="preserve"> </w:t>
      </w:r>
      <w:r w:rsidRPr="001A3D2B">
        <w:t xml:space="preserve">search disclosed 141 documents (91 from </w:t>
      </w:r>
      <w:r w:rsidR="00D5664A">
        <w:t>MEDLINE</w:t>
      </w:r>
      <w:r w:rsidR="005853A9">
        <w:t xml:space="preserve"> and </w:t>
      </w:r>
      <w:r w:rsidRPr="001A3D2B">
        <w:t>LILACS,</w:t>
      </w:r>
      <w:r w:rsidR="005853A9">
        <w:t xml:space="preserve"> and </w:t>
      </w:r>
      <w:r w:rsidRPr="001A3D2B">
        <w:t>50 from LILACS only) published in 44 different journals (23</w:t>
      </w:r>
      <w:r w:rsidR="00427468">
        <w:t xml:space="preserve"> of </w:t>
      </w:r>
      <w:r w:rsidRPr="001A3D2B">
        <w:t xml:space="preserve">them </w:t>
      </w:r>
      <w:r w:rsidR="00D5664A">
        <w:t>MEDLINE</w:t>
      </w:r>
      <w:r w:rsidRPr="001A3D2B">
        <w:t>-indexed). A total</w:t>
      </w:r>
      <w:r w:rsidR="00427468">
        <w:t xml:space="preserve"> of </w:t>
      </w:r>
      <w:r w:rsidRPr="001A3D2B">
        <w:t>111 documents were produced by 17 public universities, 29 by 3 private medical schools</w:t>
      </w:r>
      <w:r w:rsidR="005853A9">
        <w:t xml:space="preserve"> and </w:t>
      </w:r>
      <w:r w:rsidRPr="001A3D2B">
        <w:t>1 by a non-governmental organization</w:t>
      </w:r>
      <w:r w:rsidR="00A37C1D">
        <w:t>. The</w:t>
      </w:r>
      <w:r w:rsidRPr="001A3D2B">
        <w:t xml:space="preserve">re were 65 original contributions, 37 case reports, 20 reviews, 6 PhD dissertations, 5 guidelines, 2 validation studies, 2 clinical trials, 2 chapters in </w:t>
      </w:r>
      <w:r w:rsidRPr="001A3D2B">
        <w:lastRenderedPageBreak/>
        <w:t>textbooks, 1 Master</w:t>
      </w:r>
      <w:r w:rsidR="00427468">
        <w:t xml:space="preserve"> of </w:t>
      </w:r>
      <w:r w:rsidRPr="001A3D2B">
        <w:t>Science thesis,</w:t>
      </w:r>
      <w:r w:rsidR="005853A9">
        <w:t xml:space="preserve"> and </w:t>
      </w:r>
      <w:r w:rsidRPr="001A3D2B">
        <w:t>1 patient education handout</w:t>
      </w:r>
      <w:r w:rsidR="00A37C1D">
        <w:t>. The</w:t>
      </w:r>
      <w:r w:rsidR="003A1917">
        <w:t xml:space="preserve"> </w:t>
      </w:r>
      <w:r w:rsidRPr="001A3D2B">
        <w:t>journal impact factor ranged from 0.0217 to 6.039 (median 3.03).</w:t>
      </w:r>
      <w:r w:rsidR="00427468">
        <w:t xml:space="preserve"> of </w:t>
      </w:r>
      <w:r w:rsidRPr="001A3D2B">
        <w:t xml:space="preserve">91 papers from </w:t>
      </w:r>
      <w:r w:rsidR="00D5664A">
        <w:t>MEDLINE</w:t>
      </w:r>
      <w:r w:rsidRPr="001A3D2B">
        <w:t>, 65 were published by Arquivos de Neuro-Psiquiatria. More than 90%</w:t>
      </w:r>
      <w:r w:rsidR="00427468">
        <w:t xml:space="preserve"> of </w:t>
      </w:r>
      <w:r w:rsidR="003A1917">
        <w:t xml:space="preserve">the </w:t>
      </w:r>
      <w:r w:rsidRPr="001A3D2B">
        <w:t>papers were written in Portuguese. Sao Paulo was</w:t>
      </w:r>
      <w:r w:rsidR="003A1917">
        <w:t xml:space="preserve"> the </w:t>
      </w:r>
      <w:r w:rsidRPr="001A3D2B">
        <w:t>most productive state in</w:t>
      </w:r>
      <w:r w:rsidR="003A1917">
        <w:t xml:space="preserve"> the </w:t>
      </w:r>
      <w:r w:rsidRPr="001A3D2B">
        <w:t>country, followed by Rio de Janeiro, Minas Gerais</w:t>
      </w:r>
      <w:r w:rsidR="005853A9">
        <w:t xml:space="preserve"> and </w:t>
      </w:r>
      <w:r w:rsidRPr="001A3D2B">
        <w:t>Parana. Eighty-two percent</w:t>
      </w:r>
      <w:r w:rsidR="00427468">
        <w:t xml:space="preserve"> of </w:t>
      </w:r>
      <w:r w:rsidR="003A1917">
        <w:t xml:space="preserve">the </w:t>
      </w:r>
      <w:r w:rsidRPr="001A3D2B">
        <w:t>Brazilian output came from</w:t>
      </w:r>
      <w:r w:rsidR="003A1917">
        <w:t xml:space="preserve"> the </w:t>
      </w:r>
      <w:r w:rsidRPr="001A3D2B">
        <w:t>Southeastern region.</w:t>
      </w:r>
    </w:p>
    <w:p w:rsidR="003474F2" w:rsidRPr="001A3D2B" w:rsidRDefault="003474F2" w:rsidP="003474F2">
      <w:pPr>
        <w:pStyle w:val="a3"/>
      </w:pPr>
      <w:r w:rsidRPr="001A3D2B">
        <w:t>Notes: UUniversity</w:t>
      </w:r>
    </w:p>
    <w:p w:rsidR="003474F2" w:rsidRPr="001A3D2B" w:rsidRDefault="003474F2" w:rsidP="003474F2">
      <w:pPr>
        <w:pStyle w:val="a3"/>
      </w:pPr>
      <w:r w:rsidRPr="001A3D2B">
        <w:t>? Zorzetto, R., Razzouk, D., Dubugras, M.T.B., Gerolin, J., Schor, N., Guimaraes, J.A.</w:t>
      </w:r>
      <w:r w:rsidR="005853A9">
        <w:t xml:space="preserve"> and </w:t>
      </w:r>
      <w:r w:rsidRPr="001A3D2B">
        <w:t>Mari, J.J. (2006</w:t>
      </w:r>
      <w:r w:rsidR="00F42EAC">
        <w:t>), The</w:t>
      </w:r>
      <w:r w:rsidR="003A1917">
        <w:t xml:space="preserve"> </w:t>
      </w:r>
      <w:r w:rsidRPr="001A3D2B">
        <w:t>scientific production in health</w:t>
      </w:r>
      <w:r w:rsidR="005853A9">
        <w:t xml:space="preserve"> and </w:t>
      </w:r>
      <w:r w:rsidRPr="001A3D2B">
        <w:t>biological sciences</w:t>
      </w:r>
      <w:r w:rsidR="00427468">
        <w:t xml:space="preserve"> of </w:t>
      </w:r>
      <w:r w:rsidR="003A1917">
        <w:t xml:space="preserve">the </w:t>
      </w:r>
      <w:r w:rsidRPr="001A3D2B">
        <w:t xml:space="preserve">top 20 Brazilian universities.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39</w:t>
      </w:r>
      <w:r w:rsidRPr="001A3D2B">
        <w:t xml:space="preserve"> (12), 1513-1520.</w:t>
      </w:r>
    </w:p>
    <w:p w:rsidR="003474F2" w:rsidRPr="001A3D2B" w:rsidRDefault="003474F2" w:rsidP="003474F2">
      <w:pPr>
        <w:pStyle w:val="a3"/>
      </w:pPr>
      <w:r w:rsidRPr="001A3D2B">
        <w:t xml:space="preserve">Full Text: </w:t>
      </w:r>
      <w:hyperlink r:id="rId1824" w:history="1">
        <w:r w:rsidRPr="001A3D2B">
          <w:rPr>
            <w:rStyle w:val="a5"/>
          </w:rPr>
          <w:t>2006\Bra J Med Bio Res39, 1513.pdf</w:t>
        </w:r>
      </w:hyperlink>
    </w:p>
    <w:p w:rsidR="003474F2" w:rsidRPr="001A3D2B" w:rsidRDefault="003474F2" w:rsidP="003474F2">
      <w:pPr>
        <w:pStyle w:val="a3"/>
      </w:pPr>
      <w:r w:rsidRPr="001A3D2B">
        <w:t>Abstract: Brazilian scientific output exhibited a 4-fold increase in</w:t>
      </w:r>
      <w:r w:rsidR="003A1917">
        <w:t xml:space="preserve"> the </w:t>
      </w:r>
      <w:r w:rsidRPr="001A3D2B">
        <w:t>last two decades because</w:t>
      </w:r>
      <w:r w:rsidR="00427468">
        <w:t xml:space="preserve"> of </w:t>
      </w:r>
      <w:r w:rsidR="003A1917">
        <w:t xml:space="preserve">the </w:t>
      </w:r>
      <w:r w:rsidRPr="001A3D2B">
        <w:t>stability</w:t>
      </w:r>
      <w:r w:rsidR="00427468">
        <w:t xml:space="preserve"> of </w:t>
      </w:r>
      <w:r w:rsidR="003A1917">
        <w:t xml:space="preserve">the </w:t>
      </w:r>
      <w:r w:rsidRPr="001A3D2B">
        <w:t>investment in research</w:t>
      </w:r>
      <w:r w:rsidR="005853A9">
        <w:t xml:space="preserve"> and </w:t>
      </w:r>
      <w:r w:rsidRPr="001A3D2B">
        <w:t>development activities</w:t>
      </w:r>
      <w:r w:rsidR="005853A9">
        <w:t xml:space="preserve"> and</w:t>
      </w:r>
      <w:r w:rsidR="00427468">
        <w:t xml:space="preserve"> of </w:t>
      </w:r>
      <w:r w:rsidRPr="001A3D2B">
        <w:t>changes in</w:t>
      </w:r>
      <w:r w:rsidR="003A1917">
        <w:t xml:space="preserve"> the </w:t>
      </w:r>
      <w:r w:rsidRPr="001A3D2B">
        <w:t>policies</w:t>
      </w:r>
      <w:r w:rsidR="00427468">
        <w:t xml:space="preserve"> of </w:t>
      </w:r>
      <w:r w:rsidR="003A1917">
        <w:t xml:space="preserve">the </w:t>
      </w:r>
      <w:r w:rsidRPr="001A3D2B">
        <w:t>main funding agencies. Most</w:t>
      </w:r>
      <w:r w:rsidR="00427468">
        <w:t xml:space="preserve"> of </w:t>
      </w:r>
      <w:r w:rsidRPr="001A3D2B">
        <w:t>this production is concentrated in public universities</w:t>
      </w:r>
      <w:r w:rsidR="005853A9">
        <w:t xml:space="preserve"> and </w:t>
      </w:r>
      <w:r w:rsidRPr="001A3D2B">
        <w:t>research institutes located in</w:t>
      </w:r>
      <w:r w:rsidR="003A1917">
        <w:t xml:space="preserve"> the </w:t>
      </w:r>
      <w:r w:rsidRPr="001A3D2B">
        <w:t>richest part</w:t>
      </w:r>
      <w:r w:rsidR="00427468">
        <w:t xml:space="preserve"> of </w:t>
      </w:r>
      <w:r w:rsidR="003A1917">
        <w:t xml:space="preserve">the </w:t>
      </w:r>
      <w:r w:rsidRPr="001A3D2B">
        <w:t>country. Among all areas</w:t>
      </w:r>
      <w:r w:rsidR="00427468">
        <w:t xml:space="preserve"> of </w:t>
      </w:r>
      <w:r w:rsidRPr="001A3D2B">
        <w:t>knowledge,</w:t>
      </w:r>
      <w:r w:rsidR="003A1917">
        <w:t xml:space="preserve"> the </w:t>
      </w:r>
      <w:r w:rsidRPr="001A3D2B">
        <w:t>most productive are Health</w:t>
      </w:r>
      <w:r w:rsidR="005853A9">
        <w:t xml:space="preserve"> and </w:t>
      </w:r>
      <w:r w:rsidRPr="001A3D2B">
        <w:t>Biological Sciences. During</w:t>
      </w:r>
      <w:r w:rsidR="003A1917">
        <w:t xml:space="preserve"> the </w:t>
      </w:r>
      <w:r w:rsidRPr="001A3D2B">
        <w:t>1998-2002 period these areas presented heterogeneous growth ranging from 4.5% (Pharmacology) to 191% (Psychiatry), with a median growth rate</w:t>
      </w:r>
      <w:r w:rsidR="00427468">
        <w:t xml:space="preserve"> of </w:t>
      </w:r>
      <w:r w:rsidRPr="001A3D2B">
        <w:t>47.2%. In order to identify</w:t>
      </w:r>
      <w:r w:rsidR="005853A9">
        <w:t xml:space="preserve"> and </w:t>
      </w:r>
      <w:r w:rsidRPr="001A3D2B">
        <w:t>rank</w:t>
      </w:r>
      <w:r w:rsidR="003A1917">
        <w:t xml:space="preserve"> the </w:t>
      </w:r>
      <w:r w:rsidRPr="001A3D2B">
        <w:t>20 most prolific institutions in these areas, searches were made in three databases (DataCAPES, ISI</w:t>
      </w:r>
      <w:r w:rsidR="005853A9">
        <w:t xml:space="preserve"> and </w:t>
      </w:r>
      <w:r w:rsidR="00D5664A">
        <w:t>MEDLINE</w:t>
      </w:r>
      <w:r w:rsidRPr="001A3D2B">
        <w:t>) which permitted</w:t>
      </w:r>
      <w:r w:rsidR="003A1917">
        <w:t xml:space="preserve"> the </w:t>
      </w:r>
      <w:r w:rsidRPr="001A3D2B">
        <w:t>identification</w:t>
      </w:r>
      <w:r w:rsidR="00427468">
        <w:t xml:space="preserve"> of </w:t>
      </w:r>
      <w:r w:rsidRPr="001A3D2B">
        <w:t>109,507 original articles produced by</w:t>
      </w:r>
      <w:r w:rsidR="003A1917">
        <w:t xml:space="preserve"> the </w:t>
      </w:r>
      <w:r w:rsidRPr="001A3D2B">
        <w:t>592 Graduate Programs in Health</w:t>
      </w:r>
      <w:r w:rsidR="005853A9">
        <w:t xml:space="preserve"> and </w:t>
      </w:r>
      <w:r w:rsidRPr="001A3D2B">
        <w:t>Biological Sciences offered by 118 public universities</w:t>
      </w:r>
      <w:r w:rsidR="005853A9">
        <w:t xml:space="preserve"> and </w:t>
      </w:r>
      <w:r w:rsidRPr="001A3D2B">
        <w:t>research institutes</w:t>
      </w:r>
      <w:r w:rsidR="00A37C1D">
        <w:t>. The</w:t>
      </w:r>
      <w:r w:rsidR="003A1917">
        <w:t xml:space="preserve"> </w:t>
      </w:r>
      <w:r w:rsidRPr="001A3D2B">
        <w:t>20 most productive centers, ranked according to</w:t>
      </w:r>
      <w:r w:rsidR="003A1917">
        <w:t xml:space="preserve"> the </w:t>
      </w:r>
      <w:r w:rsidRPr="001A3D2B">
        <w:t>total number</w:t>
      </w:r>
      <w:r w:rsidR="00427468">
        <w:t xml:space="preserve"> of </w:t>
      </w:r>
      <w:r w:rsidRPr="001A3D2B">
        <w:t>ISI-indexed articles published during</w:t>
      </w:r>
      <w:r w:rsidR="003A1917">
        <w:t xml:space="preserve"> the </w:t>
      </w:r>
      <w:r w:rsidRPr="001A3D2B">
        <w:t>1998-2003 period, produced 78.7%</w:t>
      </w:r>
      <w:r w:rsidR="00427468">
        <w:t xml:space="preserve"> of </w:t>
      </w:r>
      <w:r w:rsidR="003A1917">
        <w:t xml:space="preserve">the </w:t>
      </w:r>
      <w:r w:rsidRPr="001A3D2B">
        <w:t>papers in these areas</w:t>
      </w:r>
      <w:r w:rsidR="005853A9">
        <w:t xml:space="preserve"> and </w:t>
      </w:r>
      <w:r w:rsidRPr="001A3D2B">
        <w:t>are strongly concentrated in</w:t>
      </w:r>
      <w:r w:rsidR="003A1917">
        <w:t xml:space="preserve"> the </w:t>
      </w:r>
      <w:r w:rsidRPr="001A3D2B">
        <w:t>Southern part</w:t>
      </w:r>
      <w:r w:rsidR="00427468">
        <w:t xml:space="preserve"> of </w:t>
      </w:r>
      <w:r w:rsidR="003A1917">
        <w:t xml:space="preserve">the </w:t>
      </w:r>
      <w:r w:rsidRPr="001A3D2B">
        <w:t>country, mainly in Sao Paulo State.</w:t>
      </w:r>
    </w:p>
    <w:p w:rsidR="003474F2" w:rsidRPr="001A3D2B" w:rsidRDefault="003474F2" w:rsidP="003474F2">
      <w:pPr>
        <w:pStyle w:val="a3"/>
      </w:pPr>
      <w:r w:rsidRPr="001A3D2B">
        <w:t>Keywords: Bibliometric Analysis, Databases, DEC, Development, Funding, Growth, Growth Rate, Health, Health Sciences, Heterogeneous, Human-Resources, Identification, Impact, Information Science, Institutions</w:t>
      </w:r>
      <w:r w:rsidR="00D5664A">
        <w:t>, ISI,</w:t>
      </w:r>
      <w:r w:rsidRPr="001A3D2B">
        <w:t xml:space="preserve"> Knowledge, Made, </w:t>
      </w:r>
      <w:r w:rsidR="00D5664A">
        <w:t>MEDLINE</w:t>
      </w:r>
      <w:r w:rsidRPr="001A3D2B">
        <w:t>, Order, Output, Production, Rank, Rate, Research, Research</w:t>
      </w:r>
      <w:r w:rsidR="005853A9">
        <w:t xml:space="preserve"> and </w:t>
      </w:r>
      <w:r w:rsidRPr="001A3D2B">
        <w:t>Development, Sciences, Scientific Output, Scientific Production, Scientific Publications, Scientometrics, Stability, Universities</w:t>
      </w:r>
    </w:p>
    <w:p w:rsidR="002F613F" w:rsidRDefault="002F613F" w:rsidP="003474F2">
      <w:pPr>
        <w:pStyle w:val="a3"/>
      </w:pPr>
      <w:r>
        <w:rPr>
          <w:rFonts w:hint="eastAsia"/>
        </w:rPr>
        <w:t>Notes: UUniversity</w:t>
      </w:r>
    </w:p>
    <w:p w:rsidR="003474F2" w:rsidRPr="001A3D2B" w:rsidRDefault="003474F2" w:rsidP="003474F2">
      <w:pPr>
        <w:pStyle w:val="a3"/>
      </w:pPr>
      <w:r w:rsidRPr="001A3D2B">
        <w:t>? Torro-Alves, N., Herculano, R.D., Tercariol, C.A.S., Filho, O.K.</w:t>
      </w:r>
      <w:r w:rsidR="005853A9">
        <w:t xml:space="preserve"> and </w:t>
      </w:r>
      <w:r w:rsidRPr="001A3D2B">
        <w:t>Graeff, C.F.O. (2007), Hirsch</w:t>
      </w:r>
      <w:r w:rsidR="00700038">
        <w:t>’</w:t>
      </w:r>
      <w:r w:rsidR="00C13DDC">
        <w:t>s</w:t>
      </w:r>
      <w:r w:rsidRPr="001A3D2B">
        <w:t xml:space="preserve"> index: A case study conducted at</w:t>
      </w:r>
      <w:r w:rsidR="003A1917">
        <w:t xml:space="preserve"> the </w:t>
      </w:r>
      <w:r w:rsidRPr="001A3D2B">
        <w:t xml:space="preserve">Faculdade de Filosofia, Ciencias e letras de Ribeirao Preto, Universidade de Sao Paulo.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40</w:t>
      </w:r>
      <w:r w:rsidRPr="001A3D2B">
        <w:t xml:space="preserve"> (11), 1529-1536.</w:t>
      </w:r>
    </w:p>
    <w:p w:rsidR="003474F2" w:rsidRPr="001A3D2B" w:rsidRDefault="003474F2" w:rsidP="003474F2">
      <w:pPr>
        <w:pStyle w:val="a3"/>
      </w:pPr>
      <w:r w:rsidRPr="001A3D2B">
        <w:lastRenderedPageBreak/>
        <w:t xml:space="preserve">Full Text: </w:t>
      </w:r>
      <w:hyperlink r:id="rId1825" w:history="1">
        <w:r w:rsidRPr="001A3D2B">
          <w:rPr>
            <w:rStyle w:val="a5"/>
          </w:rPr>
          <w:t>2007\Bra J Med Bio Res40, 1529.pdf</w:t>
        </w:r>
      </w:hyperlink>
    </w:p>
    <w:p w:rsidR="003474F2" w:rsidRPr="001A3D2B" w:rsidRDefault="003474F2" w:rsidP="003474F2">
      <w:pPr>
        <w:pStyle w:val="a3"/>
      </w:pPr>
      <w:r w:rsidRPr="001A3D2B">
        <w:t>Abstract: An analysis</w:t>
      </w:r>
      <w:r w:rsidR="00427468">
        <w:t xml:space="preserve"> of </w:t>
      </w:r>
      <w:r w:rsidRPr="001A3D2B">
        <w:t>scientific bibliographic productivity using</w:t>
      </w:r>
      <w:r w:rsidR="003A1917">
        <w:t xml:space="preserve"> the </w:t>
      </w:r>
      <w:r w:rsidRPr="001A3D2B">
        <w:t xml:space="preserve">Hirsch </w:t>
      </w:r>
      <w:r w:rsidR="00D5664A">
        <w:t>h-Index</w:t>
      </w:r>
      <w:r w:rsidRPr="001A3D2B">
        <w:t>, information from</w:t>
      </w:r>
      <w:r w:rsidR="003A1917">
        <w:t xml:space="preserve"> the </w:t>
      </w:r>
      <w:r w:rsidRPr="001A3D2B">
        <w:t>Institute</w:t>
      </w:r>
      <w:r w:rsidR="00427468">
        <w:t xml:space="preserve"> of </w:t>
      </w:r>
      <w:r w:rsidRPr="001A3D2B">
        <w:t>Scientific Information database</w:t>
      </w:r>
      <w:r w:rsidR="005853A9">
        <w:t xml:space="preserve"> and </w:t>
      </w:r>
      <w:r w:rsidR="003A1917">
        <w:t xml:space="preserve">the </w:t>
      </w:r>
      <w:r w:rsidRPr="001A3D2B">
        <w:t>Curriculum Lattes (CNPq, Brazil) was performed at</w:t>
      </w:r>
      <w:r w:rsidR="003A1917">
        <w:t xml:space="preserve"> the </w:t>
      </w:r>
      <w:r w:rsidRPr="001A3D2B">
        <w:t>Faculdade de Filosofia, Ciencias e Letras de Ribeirao Preto, Universidade de Sao Paulo (FFCLRP-USP) that has four departments in natural, biological</w:t>
      </w:r>
      <w:r w:rsidR="005853A9">
        <w:t xml:space="preserve"> and </w:t>
      </w:r>
      <w:r w:rsidRPr="001A3D2B">
        <w:t>social sciences. Bibliometric evaluations</w:t>
      </w:r>
      <w:r w:rsidR="00427468">
        <w:t xml:space="preserve"> of </w:t>
      </w:r>
      <w:r w:rsidRPr="001A3D2B">
        <w:t>undergraduate programs showed a better performance</w:t>
      </w:r>
      <w:r w:rsidR="00427468">
        <w:t xml:space="preserve"> of </w:t>
      </w:r>
      <w:r w:rsidR="003A1917">
        <w:t xml:space="preserve">the </w:t>
      </w:r>
      <w:r w:rsidRPr="001A3D2B">
        <w:t>departments</w:t>
      </w:r>
      <w:r w:rsidR="00427468">
        <w:t xml:space="preserve"> of </w:t>
      </w:r>
      <w:r w:rsidRPr="001A3D2B">
        <w:t>Chemistry (P &lt; 0.001)</w:t>
      </w:r>
      <w:r w:rsidR="005853A9">
        <w:t xml:space="preserve"> and </w:t>
      </w:r>
      <w:r w:rsidRPr="001A3D2B">
        <w:t>Biology (P &lt; 0.001) when compared to</w:t>
      </w:r>
      <w:r w:rsidR="003A1917">
        <w:t xml:space="preserve"> the </w:t>
      </w:r>
      <w:r w:rsidRPr="001A3D2B">
        <w:t>departments</w:t>
      </w:r>
      <w:r w:rsidR="00427468">
        <w:t xml:space="preserve"> of </w:t>
      </w:r>
      <w:r w:rsidRPr="001A3D2B">
        <w:t>Physics</w:t>
      </w:r>
      <w:r w:rsidR="005853A9">
        <w:t xml:space="preserve"> and </w:t>
      </w:r>
      <w:r w:rsidRPr="001A3D2B">
        <w:t>Mathematics</w:t>
      </w:r>
      <w:r w:rsidR="005853A9">
        <w:t xml:space="preserve"> and </w:t>
      </w:r>
      <w:r w:rsidRPr="001A3D2B">
        <w:t>Psychology</w:t>
      </w:r>
      <w:r w:rsidR="005853A9">
        <w:t xml:space="preserve"> and </w:t>
      </w:r>
      <w:r w:rsidRPr="001A3D2B">
        <w:t>Education. We also analyzed</w:t>
      </w:r>
      <w:r w:rsidR="003A1917">
        <w:t xml:space="preserve"> the </w:t>
      </w:r>
      <w:r w:rsidRPr="001A3D2B">
        <w:t>scientific output</w:t>
      </w:r>
      <w:r w:rsidR="00427468">
        <w:t xml:space="preserve"> of </w:t>
      </w:r>
      <w:r w:rsidR="003A1917">
        <w:t xml:space="preserve">the </w:t>
      </w:r>
      <w:r w:rsidRPr="001A3D2B">
        <w:t>six graduate programs</w:t>
      </w:r>
      <w:r w:rsidR="00427468">
        <w:t xml:space="preserve"> of </w:t>
      </w:r>
      <w:r w:rsidRPr="001A3D2B">
        <w:t>FFCLRP: Psychology, Psychobiology, Chemistry, Physics Applied to Medicine</w:t>
      </w:r>
      <w:r w:rsidR="005853A9">
        <w:t xml:space="preserve"> and </w:t>
      </w:r>
      <w:r w:rsidRPr="001A3D2B">
        <w:t>Biology, Comparative Biology,</w:t>
      </w:r>
      <w:r w:rsidR="005853A9">
        <w:t xml:space="preserve"> and </w:t>
      </w:r>
      <w:r w:rsidRPr="001A3D2B">
        <w:t>Entomology</w:t>
      </w:r>
      <w:r w:rsidR="00A37C1D">
        <w:t>. The</w:t>
      </w:r>
      <w:r w:rsidR="003A1917">
        <w:t xml:space="preserve"> </w:t>
      </w:r>
      <w:r w:rsidRPr="001A3D2B">
        <w:t xml:space="preserve">graduate program in Psychology presented a lower </w:t>
      </w:r>
      <w:r w:rsidR="00D5664A">
        <w:t>h-Index</w:t>
      </w:r>
      <w:r w:rsidRPr="001A3D2B">
        <w:t xml:space="preserve"> (P &lt; 0.001)</w:t>
      </w:r>
      <w:r w:rsidR="005853A9">
        <w:t xml:space="preserve"> and </w:t>
      </w:r>
      <w:r w:rsidRPr="001A3D2B">
        <w:t>had fewer papers indexed by</w:t>
      </w:r>
      <w:r w:rsidR="003A1917">
        <w:t xml:space="preserve"> the </w:t>
      </w:r>
      <w:r w:rsidR="00730B6D">
        <w:t xml:space="preserve">ISI </w:t>
      </w:r>
      <w:r w:rsidR="00D5664A">
        <w:t>Web</w:t>
      </w:r>
      <w:r w:rsidR="00427468">
        <w:t xml:space="preserve"> of </w:t>
      </w:r>
      <w:r w:rsidR="00D5664A">
        <w:t>Science</w:t>
      </w:r>
      <w:r w:rsidRPr="001A3D2B">
        <w:t xml:space="preserve"> (P &lt; 0.001) when compared to</w:t>
      </w:r>
      <w:r w:rsidR="003A1917">
        <w:t xml:space="preserve"> the </w:t>
      </w:r>
      <w:r w:rsidRPr="001A3D2B">
        <w:t>other graduate programs</w:t>
      </w:r>
      <w:r w:rsidR="00A37C1D">
        <w:t>. The</w:t>
      </w:r>
      <w:r w:rsidR="003A1917">
        <w:t xml:space="preserve"> </w:t>
      </w:r>
      <w:r w:rsidRPr="001A3D2B">
        <w:t>poorer performance</w:t>
      </w:r>
      <w:r w:rsidR="00427468">
        <w:t xml:space="preserve"> of </w:t>
      </w:r>
      <w:r w:rsidR="003A1917">
        <w:t xml:space="preserve">the </w:t>
      </w:r>
      <w:r w:rsidRPr="001A3D2B">
        <w:t>Psychology program may be associated with</w:t>
      </w:r>
      <w:r w:rsidR="003A1917">
        <w:t xml:space="preserve"> the </w:t>
      </w:r>
      <w:r w:rsidRPr="001A3D2B">
        <w:t>limited coverage by</w:t>
      </w:r>
      <w:r w:rsidR="003A1917">
        <w:t xml:space="preserve"> the </w:t>
      </w:r>
      <w:r w:rsidRPr="001A3D2B">
        <w:t>Thompson Institute</w:t>
      </w:r>
      <w:r w:rsidR="00427468">
        <w:t xml:space="preserve"> of </w:t>
      </w:r>
      <w:r w:rsidRPr="001A3D2B">
        <w:t>Scientific Information database.</w:t>
      </w:r>
    </w:p>
    <w:p w:rsidR="003474F2" w:rsidRPr="001A3D2B" w:rsidRDefault="003474F2" w:rsidP="003474F2">
      <w:pPr>
        <w:pStyle w:val="a3"/>
      </w:pPr>
      <w:r w:rsidRPr="001A3D2B">
        <w:t xml:space="preserve">Keywords: Analysis, Bibliometric, Biological, Brazil, Case Study, Chemistry, Coverage, Database, Graduate, </w:t>
      </w:r>
      <w:r w:rsidR="00D5664A">
        <w:t>h Index</w:t>
      </w:r>
      <w:r w:rsidRPr="001A3D2B">
        <w:t xml:space="preserve">, </w:t>
      </w:r>
      <w:r w:rsidR="00D5664A">
        <w:t>h-Index</w:t>
      </w:r>
      <w:r w:rsidRPr="001A3D2B">
        <w:t xml:space="preserve">, </w:t>
      </w:r>
      <w:r w:rsidR="00D5664A">
        <w:t>h-Index</w:t>
      </w:r>
      <w:r w:rsidRPr="001A3D2B">
        <w:t xml:space="preserve">, Hirsch, Hirsch </w:t>
      </w:r>
      <w:r w:rsidR="00D5664A">
        <w:t>h-Index</w:t>
      </w:r>
      <w:r w:rsidRPr="001A3D2B">
        <w:t>, Index, Information</w:t>
      </w:r>
      <w:r w:rsidR="00D5664A">
        <w:t>, ISI,</w:t>
      </w:r>
      <w:r w:rsidRPr="001A3D2B">
        <w:t xml:space="preserve"> Natural, NOV, P, Papers, Performance, Productivity, Ranking, Science, Science in Brazil, Sciences, Scientific Output, Scientists, Scientometrics, Social, Social Sciences, Undergraduate, Web</w:t>
      </w:r>
    </w:p>
    <w:p w:rsidR="002F613F" w:rsidRDefault="002F613F" w:rsidP="003474F2">
      <w:pPr>
        <w:pStyle w:val="a3"/>
      </w:pPr>
      <w:r>
        <w:rPr>
          <w:rFonts w:hint="eastAsia"/>
        </w:rPr>
        <w:t>Notes: IInstitute</w:t>
      </w:r>
    </w:p>
    <w:p w:rsidR="003474F2" w:rsidRPr="001A3D2B" w:rsidRDefault="003474F2" w:rsidP="003474F2">
      <w:pPr>
        <w:pStyle w:val="a3"/>
      </w:pPr>
      <w:r w:rsidRPr="001A3D2B">
        <w:t>? Mugnaini, R., Packer, A.L.</w:t>
      </w:r>
      <w:r w:rsidR="005853A9">
        <w:t xml:space="preserve"> and </w:t>
      </w:r>
      <w:r w:rsidRPr="001A3D2B">
        <w:t>Meneghini, R. (2008), Comparison</w:t>
      </w:r>
      <w:r w:rsidR="00427468">
        <w:t xml:space="preserve"> of </w:t>
      </w:r>
      <w:r w:rsidRPr="001A3D2B">
        <w:t>scientists</w:t>
      </w:r>
      <w:r w:rsidR="00427468">
        <w:t xml:space="preserve"> of </w:t>
      </w:r>
      <w:r w:rsidR="003A1917">
        <w:t xml:space="preserve">the </w:t>
      </w:r>
      <w:r w:rsidRPr="001A3D2B">
        <w:t>Brazilian Academy</w:t>
      </w:r>
      <w:r w:rsidR="00427468">
        <w:t xml:space="preserve"> of </w:t>
      </w:r>
      <w:r w:rsidRPr="001A3D2B">
        <w:t>Sciences</w:t>
      </w:r>
      <w:r w:rsidR="005853A9">
        <w:t xml:space="preserve"> and</w:t>
      </w:r>
      <w:r w:rsidR="00427468">
        <w:t xml:space="preserve"> of </w:t>
      </w:r>
      <w:r w:rsidR="003A1917">
        <w:t xml:space="preserve">the </w:t>
      </w:r>
      <w:r w:rsidRPr="001A3D2B">
        <w:t>National Academy</w:t>
      </w:r>
      <w:r w:rsidR="00427468">
        <w:t xml:space="preserve"> of </w:t>
      </w:r>
      <w:r w:rsidRPr="001A3D2B">
        <w:t>Sciences</w:t>
      </w:r>
      <w:r w:rsidR="00427468">
        <w:t xml:space="preserve"> of </w:t>
      </w:r>
      <w:r w:rsidR="003A1917">
        <w:t xml:space="preserve">the </w:t>
      </w:r>
      <w:r w:rsidR="00D5664A">
        <w:t>USA</w:t>
      </w:r>
      <w:r w:rsidRPr="001A3D2B">
        <w:t xml:space="preserve"> on</w:t>
      </w:r>
      <w:r w:rsidR="003A1917">
        <w:t xml:space="preserve"> the </w:t>
      </w:r>
      <w:r w:rsidRPr="001A3D2B">
        <w:t>basis</w:t>
      </w:r>
      <w:r w:rsidR="00427468">
        <w:t xml:space="preserve"> of </w:t>
      </w:r>
      <w:r w:rsidR="003A1917">
        <w:t xml:space="preserve">the </w:t>
      </w:r>
      <w:r w:rsidR="00D5664A">
        <w:rPr>
          <w:i/>
        </w:rPr>
        <w:t>h-Index</w:t>
      </w:r>
      <w:r w:rsidRPr="001A3D2B">
        <w:t xml:space="preserve">. </w:t>
      </w:r>
      <w:r w:rsidRPr="001A3D2B">
        <w:rPr>
          <w:i/>
          <w:iCs/>
        </w:rPr>
        <w:t>Brazilian Journal</w:t>
      </w:r>
      <w:r w:rsidR="00427468">
        <w:rPr>
          <w:i/>
          <w:iCs/>
        </w:rPr>
        <w:t xml:space="preserve"> of </w:t>
      </w:r>
      <w:r w:rsidRPr="001A3D2B">
        <w:rPr>
          <w:i/>
          <w:iCs/>
        </w:rPr>
        <w:t>Medical</w:t>
      </w:r>
      <w:r w:rsidR="005853A9">
        <w:rPr>
          <w:i/>
          <w:iCs/>
        </w:rPr>
        <w:t xml:space="preserve"> and </w:t>
      </w:r>
      <w:r w:rsidRPr="001A3D2B">
        <w:rPr>
          <w:i/>
          <w:iCs/>
        </w:rPr>
        <w:t>Biological Research</w:t>
      </w:r>
      <w:r w:rsidRPr="001A3D2B">
        <w:t xml:space="preserve">, </w:t>
      </w:r>
      <w:r w:rsidRPr="001A3D2B">
        <w:rPr>
          <w:b/>
          <w:bCs/>
        </w:rPr>
        <w:t>41</w:t>
      </w:r>
      <w:r w:rsidRPr="001A3D2B">
        <w:t xml:space="preserve"> (4), 258-262.</w:t>
      </w:r>
    </w:p>
    <w:p w:rsidR="003474F2" w:rsidRPr="001A3D2B" w:rsidRDefault="003474F2" w:rsidP="003474F2">
      <w:pPr>
        <w:pStyle w:val="a3"/>
      </w:pPr>
      <w:r w:rsidRPr="001A3D2B">
        <w:t xml:space="preserve">Full Text: </w:t>
      </w:r>
      <w:hyperlink r:id="rId1826" w:history="1">
        <w:r w:rsidRPr="001A3D2B">
          <w:rPr>
            <w:rStyle w:val="a5"/>
          </w:rPr>
          <w:t>2008\Bra J Med Bio Res41, 258.pdf</w:t>
        </w:r>
      </w:hyperlink>
    </w:p>
    <w:p w:rsidR="003474F2" w:rsidRPr="001A3D2B" w:rsidRDefault="003474F2" w:rsidP="003474F2">
      <w:pPr>
        <w:pStyle w:val="a3"/>
      </w:pPr>
      <w:r w:rsidRPr="001A3D2B">
        <w:t>Abstract: A new scientometric indicator,</w:t>
      </w:r>
      <w:r w:rsidR="003A1917">
        <w:t xml:space="preserve"> the </w:t>
      </w:r>
      <w:r w:rsidR="00D5664A">
        <w:t>h-Index</w:t>
      </w:r>
      <w:r w:rsidRPr="001A3D2B">
        <w:t>, has been recently proposed (Hirsch JE. Proc Natl Acad Sci 2005; 102: 16569-16572)</w:t>
      </w:r>
      <w:r w:rsidR="00A37C1D">
        <w:t>. The</w:t>
      </w:r>
      <w:r w:rsidR="003A1917">
        <w:t xml:space="preserve"> </w:t>
      </w:r>
      <w:r w:rsidRPr="001A3D2B">
        <w:t>index avoids some shortcomings</w:t>
      </w:r>
      <w:r w:rsidR="00427468">
        <w:t xml:space="preserve"> of </w:t>
      </w:r>
      <w:r w:rsidR="003A1917">
        <w:t xml:space="preserve">the </w:t>
      </w:r>
      <w:r w:rsidRPr="001A3D2B">
        <w:t>calculation</w:t>
      </w:r>
      <w:r w:rsidR="00427468">
        <w:t xml:space="preserve"> of </w:t>
      </w:r>
      <w:r w:rsidR="003A1917">
        <w:t xml:space="preserve">the </w:t>
      </w:r>
      <w:r w:rsidRPr="001A3D2B">
        <w:t>total number</w:t>
      </w:r>
      <w:r w:rsidR="00427468">
        <w:t xml:space="preserve"> of </w:t>
      </w:r>
      <w:r w:rsidRPr="001A3D2B">
        <w:t>citations as a parameter to evaluate scientific performance. Although it has become known only recently, it has had widespread acceptance. A comparison</w:t>
      </w:r>
      <w:r w:rsidR="00427468">
        <w:t xml:space="preserve"> of </w:t>
      </w:r>
      <w:r w:rsidR="003A1917">
        <w:t xml:space="preserve">the </w:t>
      </w:r>
      <w:r w:rsidRPr="001A3D2B">
        <w:t xml:space="preserve">average </w:t>
      </w:r>
      <w:r w:rsidR="00D5664A">
        <w:t>h-Index</w:t>
      </w:r>
      <w:r w:rsidR="00427468">
        <w:t xml:space="preserve"> of </w:t>
      </w:r>
      <w:r w:rsidRPr="001A3D2B">
        <w:t>members</w:t>
      </w:r>
      <w:r w:rsidR="00427468">
        <w:t xml:space="preserve"> of </w:t>
      </w:r>
      <w:r w:rsidR="003A1917">
        <w:t xml:space="preserve">the </w:t>
      </w:r>
      <w:r w:rsidRPr="001A3D2B">
        <w:t>Brazilian Academy</w:t>
      </w:r>
      <w:r w:rsidR="00427468">
        <w:t xml:space="preserve"> of </w:t>
      </w:r>
      <w:r w:rsidRPr="001A3D2B">
        <w:t>Sciences (BAS)</w:t>
      </w:r>
      <w:r w:rsidR="005853A9">
        <w:t xml:space="preserve"> and</w:t>
      </w:r>
      <w:r w:rsidR="00427468">
        <w:t xml:space="preserve"> of </w:t>
      </w:r>
      <w:r w:rsidR="003A1917">
        <w:t xml:space="preserve">the </w:t>
      </w:r>
      <w:r w:rsidRPr="001A3D2B">
        <w:t>National Academy</w:t>
      </w:r>
      <w:r w:rsidR="00427468">
        <w:t xml:space="preserve"> of </w:t>
      </w:r>
      <w:r w:rsidRPr="001A3D2B">
        <w:t>Sciences</w:t>
      </w:r>
      <w:r w:rsidR="00427468">
        <w:t xml:space="preserve"> of </w:t>
      </w:r>
      <w:r w:rsidR="003A1917">
        <w:t xml:space="preserve">the </w:t>
      </w:r>
      <w:r w:rsidR="00D5664A">
        <w:t>USA</w:t>
      </w:r>
      <w:r w:rsidRPr="001A3D2B">
        <w:t xml:space="preserve"> (NAS-</w:t>
      </w:r>
      <w:r w:rsidR="00D5664A">
        <w:t>USA</w:t>
      </w:r>
      <w:r w:rsidRPr="001A3D2B">
        <w:t>) was carried out for 10 different areas</w:t>
      </w:r>
      <w:r w:rsidR="00427468">
        <w:t xml:space="preserve"> of </w:t>
      </w:r>
      <w:r w:rsidRPr="001A3D2B">
        <w:t>science. Although, as expected,</w:t>
      </w:r>
      <w:r w:rsidR="003A1917">
        <w:t xml:space="preserve"> the </w:t>
      </w:r>
      <w:r w:rsidRPr="001A3D2B">
        <w:t>comparison was unfavorable to</w:t>
      </w:r>
      <w:r w:rsidR="003A1917">
        <w:t xml:space="preserve"> the </w:t>
      </w:r>
      <w:r w:rsidRPr="001A3D2B">
        <w:t>members</w:t>
      </w:r>
      <w:r w:rsidR="00427468">
        <w:t xml:space="preserve"> of </w:t>
      </w:r>
      <w:r w:rsidR="003A1917">
        <w:t xml:space="preserve">the </w:t>
      </w:r>
      <w:r w:rsidRPr="001A3D2B">
        <w:t>BAS,</w:t>
      </w:r>
      <w:r w:rsidR="003A1917">
        <w:t xml:space="preserve"> the </w:t>
      </w:r>
      <w:r w:rsidRPr="001A3D2B">
        <w:t>imbalance was distinct in different areas. Since these two academies represent, to a significant extent,</w:t>
      </w:r>
      <w:r w:rsidR="003A1917">
        <w:t xml:space="preserve"> the </w:t>
      </w:r>
      <w:r w:rsidRPr="001A3D2B">
        <w:t>science</w:t>
      </w:r>
      <w:r w:rsidR="00427468">
        <w:t xml:space="preserve"> of </w:t>
      </w:r>
      <w:r w:rsidRPr="001A3D2B">
        <w:t>top quality produced in each country,</w:t>
      </w:r>
      <w:r w:rsidR="003A1917">
        <w:t xml:space="preserve"> the </w:t>
      </w:r>
      <w:r w:rsidRPr="001A3D2B">
        <w:t>comparison allows</w:t>
      </w:r>
      <w:r w:rsidR="003A1917">
        <w:t xml:space="preserve"> the </w:t>
      </w:r>
      <w:r w:rsidRPr="001A3D2B">
        <w:t>identification</w:t>
      </w:r>
      <w:r w:rsidR="00427468">
        <w:t xml:space="preserve"> of </w:t>
      </w:r>
      <w:r w:rsidR="003A1917">
        <w:t xml:space="preserve">the </w:t>
      </w:r>
      <w:r w:rsidRPr="001A3D2B">
        <w:t>areas in Brazil that are closer to</w:t>
      </w:r>
      <w:r w:rsidR="003A1917">
        <w:t xml:space="preserve"> the </w:t>
      </w:r>
      <w:r w:rsidRPr="001A3D2B">
        <w:t>international stakeholders</w:t>
      </w:r>
      <w:r w:rsidR="00427468">
        <w:t xml:space="preserve"> of </w:t>
      </w:r>
      <w:r w:rsidRPr="001A3D2B">
        <w:t>scientific excellence</w:t>
      </w:r>
      <w:r w:rsidR="00A37C1D">
        <w:t>. The</w:t>
      </w:r>
      <w:r w:rsidR="003A1917">
        <w:t xml:space="preserve"> </w:t>
      </w:r>
      <w:r w:rsidRPr="001A3D2B">
        <w:t>areas</w:t>
      </w:r>
      <w:r w:rsidR="00427468">
        <w:t xml:space="preserve"> of </w:t>
      </w:r>
      <w:r w:rsidRPr="001A3D2B">
        <w:t>Physics</w:t>
      </w:r>
      <w:r w:rsidR="005853A9">
        <w:t xml:space="preserve"> and </w:t>
      </w:r>
      <w:r w:rsidRPr="001A3D2B">
        <w:lastRenderedPageBreak/>
        <w:t>Mathematics stand out in this context</w:t>
      </w:r>
      <w:r w:rsidR="00A37C1D">
        <w:t>. The</w:t>
      </w:r>
      <w:r w:rsidR="003A1917">
        <w:t xml:space="preserve"> </w:t>
      </w:r>
      <w:r w:rsidRPr="001A3D2B">
        <w:t>heterogeneity</w:t>
      </w:r>
      <w:r w:rsidR="00427468">
        <w:t xml:space="preserve"> of </w:t>
      </w:r>
      <w:r w:rsidR="003A1917">
        <w:t xml:space="preserve">the </w:t>
      </w:r>
      <w:r w:rsidR="00D5664A">
        <w:t>h-Index</w:t>
      </w:r>
      <w:r w:rsidRPr="001A3D2B">
        <w:t xml:space="preserve"> in</w:t>
      </w:r>
      <w:r w:rsidR="003A1917">
        <w:t xml:space="preserve"> the </w:t>
      </w:r>
      <w:r w:rsidRPr="001A3D2B">
        <w:t>different areas, estimated by</w:t>
      </w:r>
      <w:r w:rsidR="003A1917">
        <w:t xml:space="preserve"> the </w:t>
      </w:r>
      <w:r w:rsidRPr="001A3D2B">
        <w:t>median dispersion</w:t>
      </w:r>
      <w:r w:rsidR="00427468">
        <w:t xml:space="preserve"> of </w:t>
      </w:r>
      <w:r w:rsidR="003A1917">
        <w:t xml:space="preserve">the </w:t>
      </w:r>
      <w:r w:rsidRPr="001A3D2B">
        <w:t>index, is significantly higher in</w:t>
      </w:r>
      <w:r w:rsidR="003A1917">
        <w:t xml:space="preserve"> the </w:t>
      </w:r>
      <w:r w:rsidRPr="001A3D2B">
        <w:t>BAS than in</w:t>
      </w:r>
      <w:r w:rsidR="003A1917">
        <w:t xml:space="preserve"> the </w:t>
      </w:r>
      <w:r w:rsidRPr="001A3D2B">
        <w:t>NAS-</w:t>
      </w:r>
      <w:r w:rsidR="00D5664A">
        <w:t>USA</w:t>
      </w:r>
      <w:r w:rsidRPr="001A3D2B">
        <w:t>. No elements have been collected in</w:t>
      </w:r>
      <w:r w:rsidR="003A1917">
        <w:t xml:space="preserve"> the </w:t>
      </w:r>
      <w:r w:rsidRPr="001A3D2B">
        <w:t>present study to provide an explanation for this fact.</w:t>
      </w:r>
    </w:p>
    <w:p w:rsidR="003474F2" w:rsidRPr="001A3D2B" w:rsidRDefault="003474F2" w:rsidP="003474F2">
      <w:pPr>
        <w:pStyle w:val="a3"/>
      </w:pPr>
      <w:r w:rsidRPr="001A3D2B">
        <w:t>Keywords: Acceptance, Articles, Bibliometrics, Brazil, Brazilian, Brazilian Academy</w:t>
      </w:r>
      <w:r w:rsidR="00427468">
        <w:t xml:space="preserve"> of </w:t>
      </w:r>
      <w:r w:rsidRPr="001A3D2B">
        <w:t xml:space="preserve">Sciences, Calculation, Citations, Comparison, Context, Country, Dispersion, Explanation, </w:t>
      </w:r>
      <w:r w:rsidR="00D5664A">
        <w:t>h Index</w:t>
      </w:r>
      <w:r w:rsidRPr="001A3D2B">
        <w:t xml:space="preserve">, </w:t>
      </w:r>
      <w:r w:rsidR="00D5664A">
        <w:t>h-Index</w:t>
      </w:r>
      <w:r w:rsidRPr="001A3D2B">
        <w:t xml:space="preserve">, Heterogeneity, Hirsch, Identification, Index, Index h, Indicator, International, Performance, Quality, Science, Science Evaluation, Scientific Academy, Scientific Performance, Scientometric, Scientometrics, Stakeholders, </w:t>
      </w:r>
      <w:r w:rsidR="00D5664A">
        <w:t>USA</w:t>
      </w:r>
    </w:p>
    <w:p w:rsidR="005756A9" w:rsidRPr="001A3D2B" w:rsidRDefault="005756A9" w:rsidP="005756A9">
      <w:pPr>
        <w:pStyle w:val="a3"/>
        <w:rPr>
          <w:kern w:val="0"/>
        </w:rPr>
      </w:pPr>
      <w:r w:rsidRPr="001A3D2B">
        <w:rPr>
          <w:kern w:val="0"/>
        </w:rPr>
        <w:t>? Chaves, C., Marque, C.R., Trzesniak, C., de So</w:t>
      </w:r>
      <w:r w:rsidR="00D5664A">
        <w:rPr>
          <w:kern w:val="0"/>
        </w:rPr>
        <w:t>USA</w:t>
      </w:r>
      <w:r w:rsidRPr="001A3D2B">
        <w:rPr>
          <w:kern w:val="0"/>
        </w:rPr>
        <w:t>, J.P.M., Zuardi, A.W., Crippa, J.A.S., Dursun, S.M.</w:t>
      </w:r>
      <w:r w:rsidR="005853A9">
        <w:rPr>
          <w:kern w:val="0"/>
        </w:rPr>
        <w:t xml:space="preserve"> and </w:t>
      </w:r>
      <w:r w:rsidRPr="001A3D2B">
        <w:rPr>
          <w:kern w:val="0"/>
        </w:rPr>
        <w:t>Hallak, J.E. (2009), Glutamate-N-methyl-D-aspartate receptor modulation</w:t>
      </w:r>
      <w:r w:rsidR="005853A9">
        <w:rPr>
          <w:kern w:val="0"/>
        </w:rPr>
        <w:t xml:space="preserve"> and </w:t>
      </w:r>
      <w:r w:rsidRPr="001A3D2B">
        <w:rPr>
          <w:kern w:val="0"/>
        </w:rPr>
        <w:t>minocycline for</w:t>
      </w:r>
      <w:r w:rsidR="003A1917">
        <w:rPr>
          <w:kern w:val="0"/>
        </w:rPr>
        <w:t xml:space="preserve"> the </w:t>
      </w:r>
      <w:r w:rsidRPr="001A3D2B">
        <w:rPr>
          <w:kern w:val="0"/>
        </w:rPr>
        <w:t>treatment</w:t>
      </w:r>
      <w:r w:rsidR="00427468">
        <w:rPr>
          <w:kern w:val="0"/>
        </w:rPr>
        <w:t xml:space="preserve"> of </w:t>
      </w:r>
      <w:r w:rsidRPr="001A3D2B">
        <w:rPr>
          <w:kern w:val="0"/>
        </w:rPr>
        <w:t xml:space="preserve">patients with schizophrenia: </w:t>
      </w:r>
      <w:r w:rsidR="002F613F" w:rsidRPr="001A3D2B">
        <w:rPr>
          <w:kern w:val="0"/>
        </w:rPr>
        <w:t xml:space="preserve">An </w:t>
      </w:r>
      <w:r w:rsidRPr="001A3D2B">
        <w:rPr>
          <w:kern w:val="0"/>
        </w:rPr>
        <w:t xml:space="preserve">update. </w:t>
      </w:r>
      <w:r w:rsidRPr="001A3D2B">
        <w:rPr>
          <w:i/>
          <w:iCs/>
          <w:kern w:val="0"/>
        </w:rPr>
        <w:t>Brazilian Journal</w:t>
      </w:r>
      <w:r w:rsidR="00427468">
        <w:rPr>
          <w:i/>
          <w:iCs/>
          <w:kern w:val="0"/>
        </w:rPr>
        <w:t xml:space="preserve"> of </w:t>
      </w:r>
      <w:r w:rsidRPr="001A3D2B">
        <w:rPr>
          <w:i/>
          <w:iCs/>
          <w:kern w:val="0"/>
        </w:rPr>
        <w:t>Medical</w:t>
      </w:r>
      <w:r w:rsidR="005853A9">
        <w:rPr>
          <w:i/>
          <w:iCs/>
          <w:kern w:val="0"/>
        </w:rPr>
        <w:t xml:space="preserve"> and </w:t>
      </w:r>
      <w:r w:rsidRPr="001A3D2B">
        <w:rPr>
          <w:i/>
          <w:iCs/>
          <w:kern w:val="0"/>
        </w:rPr>
        <w:t>Biological Research</w:t>
      </w:r>
      <w:r w:rsidRPr="001A3D2B">
        <w:rPr>
          <w:kern w:val="0"/>
        </w:rPr>
        <w:t xml:space="preserve">, </w:t>
      </w:r>
      <w:r w:rsidRPr="001A3D2B">
        <w:rPr>
          <w:b/>
          <w:bCs/>
          <w:kern w:val="0"/>
        </w:rPr>
        <w:t>42</w:t>
      </w:r>
      <w:r w:rsidRPr="001A3D2B">
        <w:rPr>
          <w:kern w:val="0"/>
        </w:rPr>
        <w:t xml:space="preserve"> (11), 1002-1014.</w:t>
      </w:r>
    </w:p>
    <w:p w:rsidR="005756A9" w:rsidRPr="001A3D2B" w:rsidRDefault="005756A9" w:rsidP="005756A9">
      <w:pPr>
        <w:pStyle w:val="a3"/>
      </w:pPr>
      <w:r w:rsidRPr="001A3D2B">
        <w:t xml:space="preserve">Full Text: </w:t>
      </w:r>
      <w:hyperlink r:id="rId1827" w:history="1">
        <w:r w:rsidRPr="001A3D2B">
          <w:rPr>
            <w:rStyle w:val="a5"/>
          </w:rPr>
          <w:t>2009\Bra J Med Bio Res42, 1002.pdf</w:t>
        </w:r>
      </w:hyperlink>
    </w:p>
    <w:p w:rsidR="005756A9" w:rsidRPr="001A3D2B" w:rsidRDefault="005756A9" w:rsidP="005756A9">
      <w:pPr>
        <w:pStyle w:val="a3"/>
        <w:rPr>
          <w:kern w:val="0"/>
        </w:rPr>
      </w:pPr>
      <w:r w:rsidRPr="001A3D2B">
        <w:rPr>
          <w:kern w:val="0"/>
        </w:rPr>
        <w:t>Abstract: Growing consistent evidence indicates that hypofunction</w:t>
      </w:r>
      <w:r w:rsidR="00427468">
        <w:rPr>
          <w:kern w:val="0"/>
        </w:rPr>
        <w:t xml:space="preserve"> of </w:t>
      </w:r>
      <w:r w:rsidRPr="001A3D2B">
        <w:rPr>
          <w:kern w:val="0"/>
        </w:rPr>
        <w:t>N-methyl-D-aspartate (NMDA) transmission plays a pivotal role in</w:t>
      </w:r>
      <w:r w:rsidR="003A1917">
        <w:rPr>
          <w:kern w:val="0"/>
        </w:rPr>
        <w:t xml:space="preserve"> the </w:t>
      </w:r>
      <w:r w:rsidRPr="001A3D2B">
        <w:rPr>
          <w:kern w:val="0"/>
        </w:rPr>
        <w:t>neuropathophysiology</w:t>
      </w:r>
      <w:r w:rsidR="00427468">
        <w:rPr>
          <w:kern w:val="0"/>
        </w:rPr>
        <w:t xml:space="preserve"> of </w:t>
      </w:r>
      <w:r w:rsidRPr="001A3D2B">
        <w:rPr>
          <w:kern w:val="0"/>
        </w:rPr>
        <w:t>schizophrenia. Hence, drugs which modulate NMDA neurotransmission are promising approaches to</w:t>
      </w:r>
      <w:r w:rsidR="003A1917">
        <w:rPr>
          <w:kern w:val="0"/>
        </w:rPr>
        <w:t xml:space="preserve"> the </w:t>
      </w:r>
      <w:r w:rsidRPr="001A3D2B">
        <w:rPr>
          <w:kern w:val="0"/>
        </w:rPr>
        <w:t>treatment</w:t>
      </w:r>
      <w:r w:rsidR="00427468">
        <w:rPr>
          <w:kern w:val="0"/>
        </w:rPr>
        <w:t xml:space="preserve"> of </w:t>
      </w:r>
      <w:r w:rsidRPr="001A3D2B">
        <w:rPr>
          <w:kern w:val="0"/>
        </w:rPr>
        <w:t>schizophrenia</w:t>
      </w:r>
      <w:r w:rsidR="00A37C1D">
        <w:rPr>
          <w:kern w:val="0"/>
        </w:rPr>
        <w:t>. The</w:t>
      </w:r>
      <w:r w:rsidR="003A1917">
        <w:rPr>
          <w:kern w:val="0"/>
        </w:rPr>
        <w:t xml:space="preserve"> </w:t>
      </w:r>
      <w:r w:rsidRPr="001A3D2B">
        <w:rPr>
          <w:kern w:val="0"/>
        </w:rPr>
        <w:t>aim</w:t>
      </w:r>
      <w:r w:rsidR="00427468">
        <w:rPr>
          <w:kern w:val="0"/>
        </w:rPr>
        <w:t xml:space="preserve"> of </w:t>
      </w:r>
      <w:r w:rsidRPr="001A3D2B">
        <w:rPr>
          <w:kern w:val="0"/>
        </w:rPr>
        <w:t>this article is to review clinical trials with novel compounds acting on</w:t>
      </w:r>
      <w:r w:rsidR="003A1917">
        <w:rPr>
          <w:kern w:val="0"/>
        </w:rPr>
        <w:t xml:space="preserve"> the </w:t>
      </w:r>
      <w:r w:rsidRPr="001A3D2B">
        <w:rPr>
          <w:kern w:val="0"/>
        </w:rPr>
        <w:t>NMDA receptor (NMDA-R). This review also includes a discussion</w:t>
      </w:r>
      <w:r w:rsidR="005853A9">
        <w:rPr>
          <w:kern w:val="0"/>
        </w:rPr>
        <w:t xml:space="preserve"> and </w:t>
      </w:r>
      <w:r w:rsidRPr="001A3D2B">
        <w:rPr>
          <w:kern w:val="0"/>
        </w:rPr>
        <w:t>translation</w:t>
      </w:r>
      <w:r w:rsidR="00427468">
        <w:rPr>
          <w:kern w:val="0"/>
        </w:rPr>
        <w:t xml:space="preserve"> of </w:t>
      </w:r>
      <w:r w:rsidRPr="001A3D2B">
        <w:rPr>
          <w:kern w:val="0"/>
        </w:rPr>
        <w:t>neuroscience into schizophrenia therapeutics. Although</w:t>
      </w:r>
      <w:r w:rsidR="003A1917">
        <w:rPr>
          <w:kern w:val="0"/>
        </w:rPr>
        <w:t xml:space="preserve"> the </w:t>
      </w:r>
      <w:r w:rsidRPr="001A3D2B">
        <w:rPr>
          <w:kern w:val="0"/>
        </w:rPr>
        <w:t>precise mechanism</w:t>
      </w:r>
      <w:r w:rsidR="00427468">
        <w:rPr>
          <w:kern w:val="0"/>
        </w:rPr>
        <w:t xml:space="preserve"> of </w:t>
      </w:r>
      <w:r w:rsidRPr="001A3D2B">
        <w:rPr>
          <w:kern w:val="0"/>
        </w:rPr>
        <w:t>action</w:t>
      </w:r>
      <w:r w:rsidR="00427468">
        <w:rPr>
          <w:kern w:val="0"/>
        </w:rPr>
        <w:t xml:space="preserve"> of </w:t>
      </w:r>
      <w:r w:rsidRPr="001A3D2B">
        <w:rPr>
          <w:kern w:val="0"/>
        </w:rPr>
        <w:t>minocycline in</w:t>
      </w:r>
      <w:r w:rsidR="003A1917">
        <w:rPr>
          <w:kern w:val="0"/>
        </w:rPr>
        <w:t xml:space="preserve"> the </w:t>
      </w:r>
      <w:r w:rsidRPr="001A3D2B">
        <w:rPr>
          <w:kern w:val="0"/>
        </w:rPr>
        <w:t>brain remains unclear, there is evidence that it blocks</w:t>
      </w:r>
      <w:r w:rsidR="003A1917">
        <w:rPr>
          <w:kern w:val="0"/>
        </w:rPr>
        <w:t xml:space="preserve"> the </w:t>
      </w:r>
      <w:r w:rsidRPr="001A3D2B">
        <w:rPr>
          <w:kern w:val="0"/>
        </w:rPr>
        <w:t>neurotoxicity</w:t>
      </w:r>
      <w:r w:rsidR="00427468">
        <w:rPr>
          <w:kern w:val="0"/>
        </w:rPr>
        <w:t xml:space="preserve"> of </w:t>
      </w:r>
      <w:r w:rsidRPr="001A3D2B">
        <w:rPr>
          <w:kern w:val="0"/>
        </w:rPr>
        <w:t>NMDA antagonists</w:t>
      </w:r>
      <w:r w:rsidR="005853A9">
        <w:rPr>
          <w:kern w:val="0"/>
        </w:rPr>
        <w:t xml:space="preserve"> and </w:t>
      </w:r>
      <w:r w:rsidRPr="001A3D2B">
        <w:rPr>
          <w:kern w:val="0"/>
        </w:rPr>
        <w:t>may exert a differential effect on NMDA signaling pathways. We, therefore, hypothesize that</w:t>
      </w:r>
      <w:r w:rsidR="003A1917">
        <w:rPr>
          <w:kern w:val="0"/>
        </w:rPr>
        <w:t xml:space="preserve"> the </w:t>
      </w:r>
      <w:r w:rsidRPr="001A3D2B">
        <w:rPr>
          <w:kern w:val="0"/>
        </w:rPr>
        <w:t>effects</w:t>
      </w:r>
      <w:r w:rsidR="00427468">
        <w:rPr>
          <w:kern w:val="0"/>
        </w:rPr>
        <w:t xml:space="preserve"> of </w:t>
      </w:r>
      <w:r w:rsidRPr="001A3D2B">
        <w:rPr>
          <w:kern w:val="0"/>
        </w:rPr>
        <w:t>minocycline on</w:t>
      </w:r>
      <w:r w:rsidR="003A1917">
        <w:rPr>
          <w:kern w:val="0"/>
        </w:rPr>
        <w:t xml:space="preserve"> the </w:t>
      </w:r>
      <w:r w:rsidRPr="001A3D2B">
        <w:rPr>
          <w:kern w:val="0"/>
        </w:rPr>
        <w:t>brain may be partially modulated by</w:t>
      </w:r>
      <w:r w:rsidR="003A1917">
        <w:rPr>
          <w:kern w:val="0"/>
        </w:rPr>
        <w:t xml:space="preserve"> the </w:t>
      </w:r>
      <w:r w:rsidRPr="001A3D2B">
        <w:rPr>
          <w:kern w:val="0"/>
        </w:rPr>
        <w:t>NMDA-R or related mechanisms. Thus, we have included a review</w:t>
      </w:r>
      <w:r w:rsidR="00427468">
        <w:rPr>
          <w:kern w:val="0"/>
        </w:rPr>
        <w:t xml:space="preserve"> of </w:t>
      </w:r>
      <w:r w:rsidRPr="001A3D2B">
        <w:rPr>
          <w:kern w:val="0"/>
        </w:rPr>
        <w:t>minocycline neuroscience</w:t>
      </w:r>
      <w:r w:rsidR="00A37C1D">
        <w:rPr>
          <w:kern w:val="0"/>
        </w:rPr>
        <w:t>. The</w:t>
      </w:r>
      <w:r w:rsidR="003A1917">
        <w:rPr>
          <w:kern w:val="0"/>
        </w:rPr>
        <w:t xml:space="preserve"> </w:t>
      </w:r>
      <w:r w:rsidRPr="001A3D2B">
        <w:rPr>
          <w:kern w:val="0"/>
        </w:rPr>
        <w:t>search was performed in</w:t>
      </w:r>
      <w:r w:rsidR="003A1917">
        <w:rPr>
          <w:kern w:val="0"/>
        </w:rPr>
        <w:t xml:space="preserve"> the </w:t>
      </w:r>
      <w:r w:rsidR="002C12F0">
        <w:rPr>
          <w:kern w:val="0"/>
        </w:rPr>
        <w:t>PUBMED</w:t>
      </w:r>
      <w:r w:rsidRPr="001A3D2B">
        <w:rPr>
          <w:kern w:val="0"/>
        </w:rPr>
        <w:t xml:space="preserve">, </w:t>
      </w:r>
      <w:r w:rsidR="00D5664A">
        <w:rPr>
          <w:kern w:val="0"/>
        </w:rPr>
        <w:t>Web</w:t>
      </w:r>
      <w:r w:rsidR="00427468">
        <w:rPr>
          <w:kern w:val="0"/>
        </w:rPr>
        <w:t xml:space="preserve"> of </w:t>
      </w:r>
      <w:r w:rsidR="00D5664A">
        <w:rPr>
          <w:kern w:val="0"/>
        </w:rPr>
        <w:t>Science</w:t>
      </w:r>
      <w:r w:rsidRPr="001A3D2B">
        <w:rPr>
          <w:kern w:val="0"/>
        </w:rPr>
        <w:t>, SciELO,</w:t>
      </w:r>
      <w:r w:rsidR="005853A9">
        <w:rPr>
          <w:kern w:val="0"/>
        </w:rPr>
        <w:t xml:space="preserve"> and </w:t>
      </w:r>
      <w:r w:rsidRPr="001A3D2B">
        <w:rPr>
          <w:kern w:val="0"/>
        </w:rPr>
        <w:t>Lilacs databases</w:t>
      </w:r>
      <w:r w:rsidR="00A37C1D">
        <w:rPr>
          <w:kern w:val="0"/>
        </w:rPr>
        <w:t>. The</w:t>
      </w:r>
      <w:r w:rsidR="003A1917">
        <w:rPr>
          <w:kern w:val="0"/>
        </w:rPr>
        <w:t xml:space="preserve"> </w:t>
      </w:r>
      <w:r w:rsidRPr="001A3D2B">
        <w:rPr>
          <w:kern w:val="0"/>
        </w:rPr>
        <w:t>results</w:t>
      </w:r>
      <w:r w:rsidR="00427468">
        <w:rPr>
          <w:kern w:val="0"/>
        </w:rPr>
        <w:t xml:space="preserve"> of </w:t>
      </w:r>
      <w:r w:rsidRPr="001A3D2B">
        <w:rPr>
          <w:kern w:val="0"/>
        </w:rPr>
        <w:t>glycine</w:t>
      </w:r>
      <w:r w:rsidR="005853A9">
        <w:rPr>
          <w:kern w:val="0"/>
        </w:rPr>
        <w:t xml:space="preserve"> and </w:t>
      </w:r>
      <w:r w:rsidRPr="001A3D2B">
        <w:rPr>
          <w:kern w:val="0"/>
        </w:rPr>
        <w:t>D-cycloserine trials were conflicting regarding effectiveness on</w:t>
      </w:r>
      <w:r w:rsidR="003A1917">
        <w:rPr>
          <w:kern w:val="0"/>
        </w:rPr>
        <w:t xml:space="preserve"> the </w:t>
      </w:r>
      <w:r w:rsidRPr="001A3D2B">
        <w:rPr>
          <w:kern w:val="0"/>
        </w:rPr>
        <w:t>negative</w:t>
      </w:r>
      <w:r w:rsidR="005853A9">
        <w:rPr>
          <w:kern w:val="0"/>
        </w:rPr>
        <w:t xml:space="preserve"> and </w:t>
      </w:r>
      <w:r w:rsidRPr="001A3D2B">
        <w:rPr>
          <w:kern w:val="0"/>
        </w:rPr>
        <w:t>cognitive symptoms</w:t>
      </w:r>
      <w:r w:rsidR="00427468">
        <w:rPr>
          <w:kern w:val="0"/>
        </w:rPr>
        <w:t xml:space="preserve"> of </w:t>
      </w:r>
      <w:r w:rsidRPr="001A3D2B">
        <w:rPr>
          <w:kern w:val="0"/>
        </w:rPr>
        <w:t>schizophrenia. D-serine</w:t>
      </w:r>
      <w:r w:rsidR="005853A9">
        <w:rPr>
          <w:kern w:val="0"/>
        </w:rPr>
        <w:t xml:space="preserve"> and </w:t>
      </w:r>
      <w:r w:rsidRPr="001A3D2B">
        <w:rPr>
          <w:kern w:val="0"/>
        </w:rPr>
        <w:t>D-alanine showed a potential effect on negative symptoms</w:t>
      </w:r>
      <w:r w:rsidR="005853A9">
        <w:rPr>
          <w:kern w:val="0"/>
        </w:rPr>
        <w:t xml:space="preserve"> and </w:t>
      </w:r>
      <w:r w:rsidRPr="001A3D2B">
        <w:rPr>
          <w:kern w:val="0"/>
        </w:rPr>
        <w:t>on cognitive deficits. Sarcosine data indicated a considerable improvement as adjunctive therapy. Finally, minocycline add-on treatment appears to be effective on a broad range</w:t>
      </w:r>
      <w:r w:rsidR="00427468">
        <w:rPr>
          <w:kern w:val="0"/>
        </w:rPr>
        <w:t xml:space="preserve"> of </w:t>
      </w:r>
      <w:r w:rsidRPr="001A3D2B">
        <w:rPr>
          <w:kern w:val="0"/>
        </w:rPr>
        <w:t>psychopathology in patients with schizophrenia</w:t>
      </w:r>
      <w:r w:rsidR="00A37C1D">
        <w:rPr>
          <w:kern w:val="0"/>
        </w:rPr>
        <w:t>. The</w:t>
      </w:r>
      <w:r w:rsidR="003A1917">
        <w:rPr>
          <w:kern w:val="0"/>
        </w:rPr>
        <w:t xml:space="preserve"> </w:t>
      </w:r>
      <w:r w:rsidRPr="001A3D2B">
        <w:rPr>
          <w:kern w:val="0"/>
        </w:rPr>
        <w:t>differential modulation</w:t>
      </w:r>
      <w:r w:rsidR="00427468">
        <w:rPr>
          <w:kern w:val="0"/>
        </w:rPr>
        <w:t xml:space="preserve"> of </w:t>
      </w:r>
      <w:r w:rsidRPr="001A3D2B">
        <w:rPr>
          <w:kern w:val="0"/>
        </w:rPr>
        <w:t>NMDA-R neurosystems, in particular synaptic versus extrasynaptic NMDA-R activation</w:t>
      </w:r>
      <w:r w:rsidR="005853A9">
        <w:rPr>
          <w:kern w:val="0"/>
        </w:rPr>
        <w:t xml:space="preserve"> and </w:t>
      </w:r>
      <w:r w:rsidRPr="001A3D2B">
        <w:rPr>
          <w:kern w:val="0"/>
        </w:rPr>
        <w:t>specific subtypes</w:t>
      </w:r>
      <w:r w:rsidR="00427468">
        <w:rPr>
          <w:kern w:val="0"/>
        </w:rPr>
        <w:t xml:space="preserve"> of </w:t>
      </w:r>
      <w:r w:rsidRPr="001A3D2B">
        <w:rPr>
          <w:kern w:val="0"/>
        </w:rPr>
        <w:t>NMDA-R, may be</w:t>
      </w:r>
      <w:r w:rsidR="003A1917">
        <w:rPr>
          <w:kern w:val="0"/>
        </w:rPr>
        <w:t xml:space="preserve"> the </w:t>
      </w:r>
      <w:r w:rsidRPr="001A3D2B">
        <w:rPr>
          <w:kern w:val="0"/>
        </w:rPr>
        <w:t>key mediators</w:t>
      </w:r>
      <w:r w:rsidR="00427468">
        <w:rPr>
          <w:kern w:val="0"/>
        </w:rPr>
        <w:t xml:space="preserve"> of </w:t>
      </w:r>
      <w:r w:rsidRPr="001A3D2B">
        <w:rPr>
          <w:kern w:val="0"/>
        </w:rPr>
        <w:t>neurogenesis</w:t>
      </w:r>
      <w:r w:rsidR="005853A9">
        <w:rPr>
          <w:kern w:val="0"/>
        </w:rPr>
        <w:t xml:space="preserve"> and </w:t>
      </w:r>
      <w:r w:rsidRPr="001A3D2B">
        <w:rPr>
          <w:kern w:val="0"/>
        </w:rPr>
        <w:t>neuroprotection. Thus, psychotropics modulating NMDA-R neurotransmission may represent future monotherapy or add-on treatment strategies in</w:t>
      </w:r>
      <w:r w:rsidR="003A1917">
        <w:rPr>
          <w:kern w:val="0"/>
        </w:rPr>
        <w:t xml:space="preserve"> the </w:t>
      </w:r>
      <w:r w:rsidRPr="001A3D2B">
        <w:rPr>
          <w:kern w:val="0"/>
        </w:rPr>
        <w:t>treatment</w:t>
      </w:r>
      <w:r w:rsidR="00427468">
        <w:rPr>
          <w:kern w:val="0"/>
        </w:rPr>
        <w:t xml:space="preserve"> of </w:t>
      </w:r>
      <w:r w:rsidRPr="001A3D2B">
        <w:rPr>
          <w:kern w:val="0"/>
        </w:rPr>
        <w:t>schizophrenia.</w:t>
      </w:r>
    </w:p>
    <w:p w:rsidR="005756A9" w:rsidRPr="001A3D2B" w:rsidRDefault="005756A9" w:rsidP="005756A9">
      <w:pPr>
        <w:pStyle w:val="a3"/>
        <w:rPr>
          <w:kern w:val="0"/>
        </w:rPr>
      </w:pPr>
      <w:r w:rsidRPr="001A3D2B">
        <w:rPr>
          <w:kern w:val="0"/>
        </w:rPr>
        <w:lastRenderedPageBreak/>
        <w:t>Keywords: Activated Protein-Kinase, Clinical Trial, Conventional Neuroleptic Treatment, Cycloserine Adjuvant Therapy, D-Serine, Double-Blind, Glutamate, Glycine, High-Dose Glycine, Minocycline, Negative Symptoms, NMDA Agonist, Placebo-Controlled Trial, Schizophrenia, Transporter-I Inhibitor, Treatment-Resistant Schizophrenia</w:t>
      </w:r>
    </w:p>
    <w:p w:rsidR="003310AD" w:rsidRDefault="003310AD" w:rsidP="003310AD">
      <w:pPr>
        <w:pStyle w:val="a3"/>
        <w:rPr>
          <w:kern w:val="0"/>
        </w:rPr>
      </w:pPr>
      <w:r>
        <w:rPr>
          <w:rFonts w:hint="eastAsia"/>
          <w:kern w:val="0"/>
        </w:rPr>
        <w:t xml:space="preserve">? </w:t>
      </w:r>
      <w:r>
        <w:rPr>
          <w:kern w:val="0"/>
        </w:rPr>
        <w:t>Meneghini, R. (2011), Citations to papers from Brazilian institutions: A more effective indicator to assess productivity</w:t>
      </w:r>
      <w:r w:rsidR="005853A9">
        <w:rPr>
          <w:kern w:val="0"/>
        </w:rPr>
        <w:t xml:space="preserve"> and </w:t>
      </w:r>
      <w:r w:rsidR="003A1917">
        <w:rPr>
          <w:kern w:val="0"/>
        </w:rPr>
        <w:t xml:space="preserve">the </w:t>
      </w:r>
      <w:r>
        <w:rPr>
          <w:kern w:val="0"/>
        </w:rPr>
        <w:t>impact</w:t>
      </w:r>
      <w:r w:rsidR="00427468">
        <w:rPr>
          <w:kern w:val="0"/>
        </w:rPr>
        <w:t xml:space="preserve"> of </w:t>
      </w:r>
      <w:r>
        <w:rPr>
          <w:kern w:val="0"/>
        </w:rPr>
        <w:t xml:space="preserve">research in graduate programs. </w:t>
      </w:r>
      <w:r>
        <w:rPr>
          <w:i/>
          <w:iCs/>
          <w:kern w:val="0"/>
        </w:rPr>
        <w:t>Brazilian Journal</w:t>
      </w:r>
      <w:r w:rsidR="00427468">
        <w:rPr>
          <w:i/>
          <w:iCs/>
          <w:kern w:val="0"/>
        </w:rPr>
        <w:t xml:space="preserve"> of </w:t>
      </w:r>
      <w:r>
        <w:rPr>
          <w:i/>
          <w:iCs/>
          <w:kern w:val="0"/>
        </w:rPr>
        <w:t>Medical</w:t>
      </w:r>
      <w:r w:rsidR="005853A9">
        <w:rPr>
          <w:i/>
          <w:iCs/>
          <w:kern w:val="0"/>
        </w:rPr>
        <w:t xml:space="preserve"> and </w:t>
      </w:r>
      <w:r>
        <w:rPr>
          <w:i/>
          <w:iCs/>
          <w:kern w:val="0"/>
        </w:rPr>
        <w:t>Biological Research</w:t>
      </w:r>
      <w:r>
        <w:rPr>
          <w:kern w:val="0"/>
        </w:rPr>
        <w:t xml:space="preserve">, </w:t>
      </w:r>
      <w:r>
        <w:rPr>
          <w:b/>
          <w:bCs/>
          <w:kern w:val="0"/>
        </w:rPr>
        <w:t>44</w:t>
      </w:r>
      <w:r>
        <w:rPr>
          <w:kern w:val="0"/>
        </w:rPr>
        <w:t xml:space="preserve"> (8), 738-747.</w:t>
      </w:r>
    </w:p>
    <w:p w:rsidR="003310AD" w:rsidRPr="001A3D2B" w:rsidRDefault="003310AD" w:rsidP="003310AD">
      <w:pPr>
        <w:pStyle w:val="a3"/>
      </w:pPr>
      <w:r w:rsidRPr="001A3D2B">
        <w:t xml:space="preserve">Full Text: </w:t>
      </w:r>
      <w:hyperlink r:id="rId1828" w:history="1">
        <w:r w:rsidRPr="003310AD">
          <w:rPr>
            <w:rStyle w:val="a5"/>
          </w:rPr>
          <w:t>2011\Bra J Med Bio Res44, 738.pdf</w:t>
        </w:r>
      </w:hyperlink>
    </w:p>
    <w:p w:rsidR="003310AD" w:rsidRDefault="003310AD" w:rsidP="003310AD">
      <w:pPr>
        <w:pStyle w:val="a3"/>
        <w:rPr>
          <w:kern w:val="0"/>
        </w:rPr>
      </w:pPr>
      <w:r>
        <w:rPr>
          <w:kern w:val="0"/>
        </w:rPr>
        <w:t>Abstract: A recent assessment</w:t>
      </w:r>
      <w:r w:rsidR="00427468">
        <w:rPr>
          <w:kern w:val="0"/>
        </w:rPr>
        <w:t xml:space="preserve"> of </w:t>
      </w:r>
      <w:r>
        <w:rPr>
          <w:kern w:val="0"/>
        </w:rPr>
        <w:t>4400 postgraduate courses in Brazil by CAPES (a federal government agency dedicated to</w:t>
      </w:r>
      <w:r w:rsidR="003A1917">
        <w:rPr>
          <w:kern w:val="0"/>
        </w:rPr>
        <w:t xml:space="preserve"> the </w:t>
      </w:r>
      <w:r>
        <w:rPr>
          <w:kern w:val="0"/>
        </w:rPr>
        <w:t>improvement</w:t>
      </w:r>
      <w:r w:rsidR="00427468">
        <w:rPr>
          <w:kern w:val="0"/>
        </w:rPr>
        <w:t xml:space="preserve"> of </w:t>
      </w:r>
      <w:r w:rsidR="003A1917">
        <w:rPr>
          <w:kern w:val="0"/>
        </w:rPr>
        <w:t xml:space="preserve">the </w:t>
      </w:r>
      <w:r>
        <w:rPr>
          <w:kern w:val="0"/>
        </w:rPr>
        <w:t>quality</w:t>
      </w:r>
      <w:r w:rsidR="00427468">
        <w:rPr>
          <w:kern w:val="0"/>
        </w:rPr>
        <w:t xml:space="preserve"> of </w:t>
      </w:r>
      <w:r w:rsidR="005853A9">
        <w:rPr>
          <w:kern w:val="0"/>
        </w:rPr>
        <w:t xml:space="preserve">and </w:t>
      </w:r>
      <w:r>
        <w:rPr>
          <w:kern w:val="0"/>
        </w:rPr>
        <w:t>research at</w:t>
      </w:r>
      <w:r w:rsidR="003A1917">
        <w:rPr>
          <w:kern w:val="0"/>
        </w:rPr>
        <w:t xml:space="preserve"> the </w:t>
      </w:r>
      <w:r>
        <w:rPr>
          <w:kern w:val="0"/>
        </w:rPr>
        <w:t>postgraduate level) stimulated a large amount</w:t>
      </w:r>
      <w:r w:rsidR="00427468">
        <w:rPr>
          <w:kern w:val="0"/>
        </w:rPr>
        <w:t xml:space="preserve"> of </w:t>
      </w:r>
      <w:r>
        <w:rPr>
          <w:kern w:val="0"/>
        </w:rPr>
        <w:t>manifestations in</w:t>
      </w:r>
      <w:r w:rsidR="003A1917">
        <w:rPr>
          <w:kern w:val="0"/>
        </w:rPr>
        <w:t xml:space="preserve"> the </w:t>
      </w:r>
      <w:r>
        <w:rPr>
          <w:kern w:val="0"/>
        </w:rPr>
        <w:t>press, scientific journals</w:t>
      </w:r>
      <w:r w:rsidR="005853A9">
        <w:rPr>
          <w:kern w:val="0"/>
        </w:rPr>
        <w:t xml:space="preserve"> and </w:t>
      </w:r>
      <w:r>
        <w:rPr>
          <w:kern w:val="0"/>
        </w:rPr>
        <w:t>scientific congresses. This gigantic effort to classify 16,400 scientific journals in order to provide indicators for assessment proved to be puzzling</w:t>
      </w:r>
      <w:r w:rsidR="005853A9">
        <w:rPr>
          <w:kern w:val="0"/>
        </w:rPr>
        <w:t xml:space="preserve"> and </w:t>
      </w:r>
      <w:r>
        <w:rPr>
          <w:kern w:val="0"/>
        </w:rPr>
        <w:t>methodologically erroneous in terms</w:t>
      </w:r>
      <w:r w:rsidR="00427468">
        <w:rPr>
          <w:kern w:val="0"/>
        </w:rPr>
        <w:t xml:space="preserve"> of </w:t>
      </w:r>
      <w:r>
        <w:rPr>
          <w:kern w:val="0"/>
        </w:rPr>
        <w:t>gauging</w:t>
      </w:r>
      <w:r w:rsidR="003A1917">
        <w:rPr>
          <w:kern w:val="0"/>
        </w:rPr>
        <w:t xml:space="preserve"> the </w:t>
      </w:r>
      <w:r>
        <w:rPr>
          <w:kern w:val="0"/>
        </w:rPr>
        <w:t>institutions from a metric point</w:t>
      </w:r>
      <w:r w:rsidR="00427468">
        <w:rPr>
          <w:kern w:val="0"/>
        </w:rPr>
        <w:t xml:space="preserve"> of </w:t>
      </w:r>
      <w:r>
        <w:rPr>
          <w:kern w:val="0"/>
        </w:rPr>
        <w:t>view. A simple algorithm is proposed here to weigh</w:t>
      </w:r>
      <w:r w:rsidR="003A1917">
        <w:rPr>
          <w:kern w:val="0"/>
        </w:rPr>
        <w:t xml:space="preserve"> the </w:t>
      </w:r>
      <w:r>
        <w:rPr>
          <w:kern w:val="0"/>
        </w:rPr>
        <w:t>scientometric indicators that should be considered in</w:t>
      </w:r>
      <w:r w:rsidR="003A1917">
        <w:rPr>
          <w:kern w:val="0"/>
        </w:rPr>
        <w:t xml:space="preserve"> the </w:t>
      </w:r>
      <w:r>
        <w:rPr>
          <w:kern w:val="0"/>
        </w:rPr>
        <w:t>assessment</w:t>
      </w:r>
      <w:r w:rsidR="00427468">
        <w:rPr>
          <w:kern w:val="0"/>
        </w:rPr>
        <w:t xml:space="preserve"> of </w:t>
      </w:r>
      <w:r>
        <w:rPr>
          <w:kern w:val="0"/>
        </w:rPr>
        <w:t>a scientific institution. I conclude here that</w:t>
      </w:r>
      <w:r w:rsidR="003A1917">
        <w:rPr>
          <w:kern w:val="0"/>
        </w:rPr>
        <w:t xml:space="preserve"> the </w:t>
      </w:r>
      <w:r>
        <w:rPr>
          <w:kern w:val="0"/>
        </w:rPr>
        <w:t>simple gauge</w:t>
      </w:r>
      <w:r w:rsidR="00427468">
        <w:rPr>
          <w:kern w:val="0"/>
        </w:rPr>
        <w:t xml:space="preserve"> of </w:t>
      </w:r>
      <w:r w:rsidR="003A1917">
        <w:rPr>
          <w:kern w:val="0"/>
        </w:rPr>
        <w:t xml:space="preserve">the </w:t>
      </w:r>
      <w:r>
        <w:rPr>
          <w:kern w:val="0"/>
        </w:rPr>
        <w:t>total number</w:t>
      </w:r>
      <w:r w:rsidR="00427468">
        <w:rPr>
          <w:kern w:val="0"/>
        </w:rPr>
        <w:t xml:space="preserve"> of </w:t>
      </w:r>
      <w:r>
        <w:rPr>
          <w:kern w:val="0"/>
        </w:rPr>
        <w:t>citations accounts for both</w:t>
      </w:r>
      <w:r w:rsidR="003A1917">
        <w:rPr>
          <w:kern w:val="0"/>
        </w:rPr>
        <w:t xml:space="preserve"> the </w:t>
      </w:r>
      <w:r>
        <w:rPr>
          <w:kern w:val="0"/>
        </w:rPr>
        <w:t>productivity</w:t>
      </w:r>
      <w:r w:rsidR="00427468">
        <w:rPr>
          <w:kern w:val="0"/>
        </w:rPr>
        <w:t xml:space="preserve"> of </w:t>
      </w:r>
      <w:r>
        <w:rPr>
          <w:kern w:val="0"/>
        </w:rPr>
        <w:t>scientists</w:t>
      </w:r>
      <w:r w:rsidR="005853A9">
        <w:rPr>
          <w:kern w:val="0"/>
        </w:rPr>
        <w:t xml:space="preserve"> and </w:t>
      </w:r>
      <w:r w:rsidR="003A1917">
        <w:rPr>
          <w:kern w:val="0"/>
        </w:rPr>
        <w:t xml:space="preserve">the </w:t>
      </w:r>
      <w:r>
        <w:rPr>
          <w:kern w:val="0"/>
        </w:rPr>
        <w:t>impact</w:t>
      </w:r>
      <w:r w:rsidR="00427468">
        <w:rPr>
          <w:kern w:val="0"/>
        </w:rPr>
        <w:t xml:space="preserve"> of </w:t>
      </w:r>
      <w:r>
        <w:rPr>
          <w:kern w:val="0"/>
        </w:rPr>
        <w:t>articles</w:t>
      </w:r>
      <w:r w:rsidR="00A37C1D">
        <w:rPr>
          <w:kern w:val="0"/>
        </w:rPr>
        <w:t>. The</w:t>
      </w:r>
      <w:r w:rsidR="003A1917">
        <w:rPr>
          <w:kern w:val="0"/>
        </w:rPr>
        <w:t xml:space="preserve"> </w:t>
      </w:r>
      <w:r>
        <w:rPr>
          <w:kern w:val="0"/>
        </w:rPr>
        <w:t>effort spent in this exercise is relatively small,</w:t>
      </w:r>
      <w:r w:rsidR="005853A9">
        <w:rPr>
          <w:kern w:val="0"/>
        </w:rPr>
        <w:t xml:space="preserve"> and </w:t>
      </w:r>
      <w:r w:rsidR="003A1917">
        <w:rPr>
          <w:kern w:val="0"/>
        </w:rPr>
        <w:t xml:space="preserve">the </w:t>
      </w:r>
      <w:r>
        <w:rPr>
          <w:kern w:val="0"/>
        </w:rPr>
        <w:t>sources</w:t>
      </w:r>
      <w:r w:rsidR="00427468">
        <w:rPr>
          <w:kern w:val="0"/>
        </w:rPr>
        <w:t xml:space="preserve"> of </w:t>
      </w:r>
      <w:r>
        <w:rPr>
          <w:kern w:val="0"/>
        </w:rPr>
        <w:t>information are fully accessible. As an exercise to estimate</w:t>
      </w:r>
      <w:r w:rsidR="003A1917">
        <w:rPr>
          <w:kern w:val="0"/>
        </w:rPr>
        <w:t xml:space="preserve"> the </w:t>
      </w:r>
      <w:r>
        <w:rPr>
          <w:kern w:val="0"/>
        </w:rPr>
        <w:t>value</w:t>
      </w:r>
      <w:r w:rsidR="00427468">
        <w:rPr>
          <w:kern w:val="0"/>
        </w:rPr>
        <w:t xml:space="preserve"> of </w:t>
      </w:r>
      <w:r w:rsidR="003A1917">
        <w:rPr>
          <w:kern w:val="0"/>
        </w:rPr>
        <w:t xml:space="preserve">the </w:t>
      </w:r>
      <w:r>
        <w:rPr>
          <w:kern w:val="0"/>
        </w:rPr>
        <w:t>methodology, 12 institutions</w:t>
      </w:r>
      <w:r w:rsidR="00427468">
        <w:rPr>
          <w:kern w:val="0"/>
        </w:rPr>
        <w:t xml:space="preserve"> of </w:t>
      </w:r>
      <w:r>
        <w:rPr>
          <w:kern w:val="0"/>
        </w:rPr>
        <w:t>physics (10 from Brazil, one from</w:t>
      </w:r>
      <w:r w:rsidR="003A1917">
        <w:rPr>
          <w:kern w:val="0"/>
        </w:rPr>
        <w:t xml:space="preserve"> the </w:t>
      </w:r>
      <w:r w:rsidR="00D5664A">
        <w:rPr>
          <w:kern w:val="0"/>
        </w:rPr>
        <w:t>USA</w:t>
      </w:r>
      <w:r w:rsidR="005853A9">
        <w:rPr>
          <w:kern w:val="0"/>
        </w:rPr>
        <w:t xml:space="preserve"> and </w:t>
      </w:r>
      <w:r>
        <w:rPr>
          <w:kern w:val="0"/>
        </w:rPr>
        <w:t>one from Italy) have been evaluated.</w:t>
      </w:r>
    </w:p>
    <w:p w:rsidR="003310AD" w:rsidRDefault="003310AD" w:rsidP="003310AD">
      <w:pPr>
        <w:pStyle w:val="a3"/>
        <w:rPr>
          <w:kern w:val="0"/>
        </w:rPr>
      </w:pPr>
      <w:r>
        <w:rPr>
          <w:kern w:val="0"/>
        </w:rPr>
        <w:t>Keywords: Assessment, Brazil, Capes, Citations, Exercise, Impact, Index, Information, Institutional Assessment, Italy, Journals, Methodology, Papers, Productivity, Qualis, Research, Scientific Journals, Scientific-Research Output, Scientometrics</w:t>
      </w:r>
    </w:p>
    <w:p w:rsidR="009840F6" w:rsidRDefault="009840F6" w:rsidP="009840F6">
      <w:pPr>
        <w:pStyle w:val="a3"/>
        <w:rPr>
          <w:kern w:val="0"/>
        </w:rPr>
      </w:pPr>
      <w:r>
        <w:rPr>
          <w:kern w:val="0"/>
        </w:rPr>
        <w:t xml:space="preserve">? Zhang, Y.Q., Zhu, D., Zhou, X.Y., Liu, Y.Y., Qin, B., Ren, G.P. and Xie, P. (2015), Bilateral repetitive transcranial magnetic stimulation for treatment-resistant depression: A systematic review and meta-analysis of randomized controlled trials. </w:t>
      </w:r>
      <w:r>
        <w:rPr>
          <w:i/>
          <w:iCs/>
          <w:kern w:val="0"/>
        </w:rPr>
        <w:t>Brazilian Journal of Medical and Biological Research</w:t>
      </w:r>
      <w:r>
        <w:rPr>
          <w:kern w:val="0"/>
        </w:rPr>
        <w:t xml:space="preserve">, </w:t>
      </w:r>
      <w:r>
        <w:rPr>
          <w:b/>
          <w:bCs/>
          <w:kern w:val="0"/>
        </w:rPr>
        <w:t>48</w:t>
      </w:r>
      <w:r>
        <w:rPr>
          <w:kern w:val="0"/>
        </w:rPr>
        <w:t xml:space="preserve"> (3), 198-206.</w:t>
      </w:r>
    </w:p>
    <w:p w:rsidR="009840F6" w:rsidRPr="001A3D2B" w:rsidRDefault="009840F6" w:rsidP="009840F6">
      <w:pPr>
        <w:pStyle w:val="a3"/>
      </w:pPr>
      <w:r w:rsidRPr="001A3D2B">
        <w:t xml:space="preserve">Full Text: </w:t>
      </w:r>
      <w:hyperlink r:id="rId1829" w:history="1">
        <w:r w:rsidRPr="002949D0">
          <w:rPr>
            <w:rStyle w:val="a5"/>
          </w:rPr>
          <w:t>2015\Bra J Med Bio Res48, 198.pdf</w:t>
        </w:r>
      </w:hyperlink>
    </w:p>
    <w:p w:rsidR="009840F6" w:rsidRDefault="009840F6" w:rsidP="009840F6">
      <w:pPr>
        <w:pStyle w:val="a3"/>
        <w:rPr>
          <w:kern w:val="0"/>
        </w:rPr>
      </w:pPr>
      <w:r>
        <w:rPr>
          <w:kern w:val="0"/>
        </w:rPr>
        <w:t xml:space="preserve">Abstract: There has been concern regarding the use of controversial paradigms for repetitive transcranial magnetic stimulation (rTMS) to manage treatment-resistant depression (TRD). This meta-analysis assessed the efficacy of bilateral rTMS compared with unilateral and sham rTMS in patients with TRD. PubMed, Embase, CENTRAL, PsycINFO, Web of Science, EAGLE and NTIS databases were searched to identify relevant studies, and randomized controlled trials (RCTs) on bilateral rTMS for TRD patients were included. The response was defined as the primary outcome, and remission was the secondary outcome. Ten RCTs that included 634 patients met the eligibility criteria. The risk ratio (RRs) of both the primary and </w:t>
      </w:r>
      <w:r>
        <w:rPr>
          <w:kern w:val="0"/>
        </w:rPr>
        <w:lastRenderedPageBreak/>
        <w:t>secondary outcomes of bilateral rTMS showed non-significant increases compared to unilateral rTMS (RR=1.01, P=0.93; odds ratio [OR]=0.77, P=0.22). Notably, the RR of the primary bilateral rTMS outcome was significantly increased compared to that for sham rTMS (RR=3.43, P=0.0004). The results of our analysis demonstrated that bilateral rTMS was significantly more effective than sham rTMS but not unilateral rTMS in patients with TRD. Thus, bilateral rTMS may not be a useful paradigm for patients with TRD.</w:t>
      </w:r>
    </w:p>
    <w:p w:rsidR="009840F6" w:rsidRDefault="009840F6" w:rsidP="009840F6">
      <w:pPr>
        <w:pStyle w:val="a3"/>
        <w:rPr>
          <w:kern w:val="0"/>
        </w:rPr>
      </w:pPr>
      <w:r>
        <w:rPr>
          <w:kern w:val="0"/>
        </w:rPr>
        <w:t>Keywords: Acceptability, Analysis, Bilateral, Criteria, Databases, Depression, Disorder, Dorsolateral Prefrontal Cortex, Double-Blind, Efficacy, Low-Frequency, Magnetic, Magnetic Stimulation, Mar, Meta Analysis, Meta-Analysis, Meta-Analysis,Randomized Controlled Trials, Metaanalysis, Odds Ratio, Outcome, Outcomes, Paradigm, Paradigms, Patients, Primary, Psycinfo, Pubmed, Randomized, Randomized Controlled Trials, Repetitive Transcranial Magnetic Stimulation, Response, Review, Risk, Rtms, Science, Sham-Controlled Trials, Systematic, Systematic Review, Transcranial Magnetic Stimulation, Treating Major Depression, Treatment-Resistant Depression, Unilateral, Unilateral Left, Web, Web Of Science</w:t>
      </w:r>
    </w:p>
    <w:p w:rsidR="00EC2E13" w:rsidRPr="00FC7835" w:rsidRDefault="00EC2E13" w:rsidP="00EC2E13">
      <w:pPr>
        <w:pStyle w:val="1"/>
      </w:pPr>
      <w:r w:rsidRPr="00FC7835">
        <w:rPr>
          <w:b w:val="0"/>
        </w:rPr>
        <w:br w:type="page"/>
      </w:r>
      <w:bookmarkStart w:id="896" w:name="_Toc420814804"/>
      <w:r w:rsidRPr="00FC7835">
        <w:lastRenderedPageBreak/>
        <w:t xml:space="preserve">Title: </w:t>
      </w:r>
      <w:r w:rsidRPr="00EC2E13">
        <w:rPr>
          <w:iCs w:val="0"/>
          <w:szCs w:val="24"/>
        </w:rPr>
        <w:t>Brazilian Journal of Otorhinolaryngology</w:t>
      </w:r>
      <w:bookmarkEnd w:id="896"/>
    </w:p>
    <w:p w:rsidR="00EC2E13" w:rsidRPr="00FC7835" w:rsidRDefault="00EC2E13" w:rsidP="00EC2E13">
      <w:pPr>
        <w:pStyle w:val="12"/>
      </w:pPr>
      <w:r w:rsidRPr="00FC7835">
        <w:t xml:space="preserve">Full Journal Title: </w:t>
      </w:r>
      <w:r w:rsidRPr="00EC2E13">
        <w:rPr>
          <w:iCs/>
          <w:kern w:val="0"/>
        </w:rPr>
        <w:t>Brazilian Journal of Otorhinolaryngology</w:t>
      </w:r>
    </w:p>
    <w:p w:rsidR="00EC2E13" w:rsidRPr="00FC7835" w:rsidRDefault="00EC2E13" w:rsidP="00EC2E13">
      <w:pPr>
        <w:pStyle w:val="12"/>
      </w:pPr>
      <w:r w:rsidRPr="00FC7835">
        <w:t xml:space="preserve">ISO Abbreviated Title: </w:t>
      </w:r>
    </w:p>
    <w:p w:rsidR="00EC2E13" w:rsidRPr="00FC7835" w:rsidRDefault="00EC2E13" w:rsidP="00EC2E13">
      <w:pPr>
        <w:pStyle w:val="12"/>
      </w:pPr>
      <w:r w:rsidRPr="00FC7835">
        <w:t xml:space="preserve">JCR Abbreviated Title: </w:t>
      </w:r>
    </w:p>
    <w:p w:rsidR="00EC2E13" w:rsidRPr="00FC7835" w:rsidRDefault="00EC2E13" w:rsidP="00EC2E13">
      <w:pPr>
        <w:pStyle w:val="12"/>
      </w:pPr>
      <w:r w:rsidRPr="00FC7835">
        <w:t xml:space="preserve">ISSN: </w:t>
      </w:r>
    </w:p>
    <w:p w:rsidR="00EC2E13" w:rsidRPr="00FC7835" w:rsidRDefault="00EC2E13" w:rsidP="00EC2E13">
      <w:pPr>
        <w:pStyle w:val="12"/>
      </w:pPr>
      <w:r w:rsidRPr="00FC7835">
        <w:t xml:space="preserve">Issues/Year: </w:t>
      </w:r>
    </w:p>
    <w:p w:rsidR="00EC2E13" w:rsidRPr="00FC7835" w:rsidRDefault="00EC2E13" w:rsidP="00EC2E13">
      <w:pPr>
        <w:pStyle w:val="12"/>
      </w:pPr>
      <w:r w:rsidRPr="00FC7835">
        <w:t xml:space="preserve">Journal Country/Territory: </w:t>
      </w:r>
    </w:p>
    <w:p w:rsidR="00EC2E13" w:rsidRPr="00FC7835" w:rsidRDefault="00EC2E13" w:rsidP="00EC2E13">
      <w:pPr>
        <w:pStyle w:val="12"/>
      </w:pPr>
      <w:r w:rsidRPr="00FC7835">
        <w:t xml:space="preserve">Language: </w:t>
      </w:r>
    </w:p>
    <w:p w:rsidR="00EC2E13" w:rsidRPr="00FC7835" w:rsidRDefault="00EC2E13" w:rsidP="00EC2E13">
      <w:pPr>
        <w:pStyle w:val="12"/>
      </w:pPr>
      <w:r w:rsidRPr="00FC7835">
        <w:t xml:space="preserve">Publisher: </w:t>
      </w:r>
    </w:p>
    <w:p w:rsidR="00EC2E13" w:rsidRPr="00FC7835" w:rsidRDefault="00EC2E13" w:rsidP="00EC2E13">
      <w:pPr>
        <w:pStyle w:val="12"/>
      </w:pPr>
      <w:r w:rsidRPr="00FC7835">
        <w:t xml:space="preserve">Publisher Address: </w:t>
      </w:r>
    </w:p>
    <w:p w:rsidR="00EC2E13" w:rsidRPr="00FC7835" w:rsidRDefault="00EC2E13" w:rsidP="00EC2E13">
      <w:pPr>
        <w:pStyle w:val="12"/>
      </w:pPr>
      <w:r w:rsidRPr="00FC7835">
        <w:t xml:space="preserve">Subject Categories: </w:t>
      </w:r>
    </w:p>
    <w:p w:rsidR="00EC2E13" w:rsidRPr="00FC7835" w:rsidRDefault="00EC2E13" w:rsidP="00EC2E13">
      <w:pPr>
        <w:pStyle w:val="12"/>
      </w:pPr>
      <w:r w:rsidRPr="00FC7835">
        <w:t>: Impact Factor</w:t>
      </w:r>
    </w:p>
    <w:p w:rsidR="00EC2E13" w:rsidRDefault="00EC2E13" w:rsidP="00EC2E13">
      <w:pPr>
        <w:pStyle w:val="a3"/>
        <w:rPr>
          <w:kern w:val="0"/>
          <w:szCs w:val="24"/>
        </w:rPr>
      </w:pPr>
      <w:r>
        <w:rPr>
          <w:kern w:val="0"/>
          <w:szCs w:val="24"/>
        </w:rPr>
        <w:t xml:space="preserve">? Moura, R.G.F., Cunha, D.A., Caldas, A.S.C. and da Silva, H.J. (2015), Quantitative evaluation of taste in childhood populations: A systematic review. </w:t>
      </w:r>
      <w:r w:rsidRPr="00EC2E13">
        <w:rPr>
          <w:i/>
          <w:iCs/>
          <w:kern w:val="0"/>
          <w:szCs w:val="24"/>
        </w:rPr>
        <w:t>Brazilian Journal of Otorhinolaryngology</w:t>
      </w:r>
      <w:r>
        <w:rPr>
          <w:kern w:val="0"/>
          <w:szCs w:val="24"/>
        </w:rPr>
        <w:t xml:space="preserve">, </w:t>
      </w:r>
      <w:r>
        <w:rPr>
          <w:b/>
          <w:bCs/>
          <w:kern w:val="0"/>
          <w:szCs w:val="24"/>
        </w:rPr>
        <w:t>81</w:t>
      </w:r>
      <w:r>
        <w:rPr>
          <w:kern w:val="0"/>
          <w:szCs w:val="24"/>
        </w:rPr>
        <w:t xml:space="preserve"> (1), 97-106.</w:t>
      </w:r>
    </w:p>
    <w:p w:rsidR="00EC2E13" w:rsidRDefault="00EC2E13" w:rsidP="00EC2E13">
      <w:pPr>
        <w:pStyle w:val="a3"/>
        <w:rPr>
          <w:kern w:val="0"/>
          <w:szCs w:val="24"/>
        </w:rPr>
      </w:pPr>
      <w:r>
        <w:rPr>
          <w:rFonts w:hint="eastAsia"/>
          <w:kern w:val="0"/>
          <w:szCs w:val="24"/>
        </w:rPr>
        <w:t xml:space="preserve">Full Text: </w:t>
      </w:r>
      <w:hyperlink r:id="rId1830" w:history="1">
        <w:r w:rsidRPr="00EC2E13">
          <w:rPr>
            <w:rStyle w:val="a5"/>
            <w:kern w:val="0"/>
            <w:szCs w:val="24"/>
          </w:rPr>
          <w:t>2015\Bra J Oto81, 97.pdf</w:t>
        </w:r>
      </w:hyperlink>
    </w:p>
    <w:p w:rsidR="00EC2E13" w:rsidRDefault="00EC2E13" w:rsidP="00EC2E13">
      <w:pPr>
        <w:pStyle w:val="a3"/>
        <w:rPr>
          <w:kern w:val="0"/>
          <w:szCs w:val="24"/>
        </w:rPr>
      </w:pPr>
      <w:r>
        <w:rPr>
          <w:kern w:val="0"/>
          <w:szCs w:val="24"/>
        </w:rPr>
        <w:t xml:space="preserve">Abstract: Introduction: Taste is of great importance for the feeding process. Seen in this light, it is essential to investigate this sense in children as developing human beings. However, despite little variation in the use of tests that measure the gustatory capacity, there are still questions about the applicability and effective use of tools for quantitative assessment in children. Objective: To search the literature on quantitative instruments used for the evaluation of taste used in studies with children. Methods: A search was conducted in the PUBMED and Web of Science platforms, and subsequently, the identified articles were selected and reviewed. The descriptors and terms used were “taste,” “child,” “assessment,” “diagnosis,” and “dysgeusia”. Original articles related to the theme in English, restricted to children and with no year limitation, were selected. Studies conducted in other stages of human development, exclusively or concurrently with the pediatric population; animal studies; literature review articles; dissertations and book chapters; and case studies and editorials were excluded. The data analysis was performed through a cataloging protocol created for this study, including the following points: author, research department, year, location, population/sample, age, purpose of the study, methods, and primary results. Results: 5613 items were found. 5307 were excluded based on title, 248 by abstract analysis, and 43 by full text evaluation. Fifteen articles were selected for analysis; of these, six were repeated articles, and thus nine articles were selected for review. Conclusion: The tests aiming at evaluation of taste were judiciously used, ensuring reliability for future research, which may employ methods </w:t>
      </w:r>
      <w:r>
        <w:rPr>
          <w:kern w:val="0"/>
          <w:szCs w:val="24"/>
        </w:rPr>
        <w:lastRenderedPageBreak/>
        <w:t>similar to previous studies. (C) 2014 Associacao Brasileira de Otorrinolaringologia e Cirurgia Cervico-Facial. Published by Elsevier Editora Ltda. All rights reserved.</w:t>
      </w:r>
    </w:p>
    <w:p w:rsidR="00EC2E13" w:rsidRDefault="00EC2E13" w:rsidP="00EC2E13">
      <w:pPr>
        <w:pStyle w:val="a3"/>
        <w:rPr>
          <w:kern w:val="0"/>
          <w:szCs w:val="24"/>
        </w:rPr>
      </w:pPr>
      <w:r>
        <w:rPr>
          <w:kern w:val="0"/>
          <w:szCs w:val="24"/>
        </w:rPr>
        <w:t>Keywords: Acuity, Age, Analysis, Animal Studies, Articles, Assessment, Capacity, Case Studies, Child, Childhood, Children, Data, Data Analysis, Department, Developing, Development, Dysgeusia, English, Evaluation, Feeding, Human, Human Development, Instruments, Introduction, Limitation, Literature, Literature Review, Location, Measure, Methods, Original Articles, Pediatric, Population, Populations, Primary, Protocol, Purpose, Quantitative, Reliability, Research, Results, Review, Rights, Science, Sensitivity, Systematic, Systematic Review, Taste, Web, Web Of Science</w:t>
      </w:r>
    </w:p>
    <w:p w:rsidR="009840F6" w:rsidRDefault="009840F6" w:rsidP="009840F6">
      <w:pPr>
        <w:pStyle w:val="a3"/>
        <w:rPr>
          <w:kern w:val="0"/>
        </w:rPr>
      </w:pPr>
      <w:r>
        <w:rPr>
          <w:kern w:val="0"/>
        </w:rPr>
        <w:t xml:space="preserve">? de Melo, A.C.C., Gomes, A.D.D., Cavalcanti, A.S. and da Silva, H.J. (2015), Acoustic rhinometry in mouth breathing patients: A systematic review. </w:t>
      </w:r>
      <w:r>
        <w:rPr>
          <w:i/>
          <w:iCs/>
          <w:kern w:val="0"/>
        </w:rPr>
        <w:t>Brazilian Journal of Otorhinolaryngology</w:t>
      </w:r>
      <w:r>
        <w:rPr>
          <w:kern w:val="0"/>
        </w:rPr>
        <w:t xml:space="preserve">, </w:t>
      </w:r>
      <w:r>
        <w:rPr>
          <w:b/>
          <w:bCs/>
          <w:kern w:val="0"/>
        </w:rPr>
        <w:t>81</w:t>
      </w:r>
      <w:r>
        <w:rPr>
          <w:kern w:val="0"/>
        </w:rPr>
        <w:t xml:space="preserve"> (2), 212-218.</w:t>
      </w:r>
    </w:p>
    <w:p w:rsidR="009840F6" w:rsidRDefault="009840F6" w:rsidP="009840F6">
      <w:pPr>
        <w:pStyle w:val="a3"/>
        <w:rPr>
          <w:kern w:val="0"/>
          <w:szCs w:val="24"/>
        </w:rPr>
      </w:pPr>
      <w:r>
        <w:rPr>
          <w:rFonts w:hint="eastAsia"/>
          <w:kern w:val="0"/>
          <w:szCs w:val="24"/>
        </w:rPr>
        <w:t xml:space="preserve">Full Text: </w:t>
      </w:r>
      <w:hyperlink r:id="rId1831" w:history="1">
        <w:r w:rsidRPr="002949D0">
          <w:rPr>
            <w:rStyle w:val="a5"/>
            <w:kern w:val="0"/>
            <w:szCs w:val="24"/>
          </w:rPr>
          <w:t>2015\Bra J Oto81, 212.pdf</w:t>
        </w:r>
      </w:hyperlink>
    </w:p>
    <w:p w:rsidR="009840F6" w:rsidRDefault="009840F6" w:rsidP="009840F6">
      <w:pPr>
        <w:pStyle w:val="a3"/>
        <w:rPr>
          <w:kern w:val="0"/>
        </w:rPr>
      </w:pPr>
      <w:r>
        <w:rPr>
          <w:kern w:val="0"/>
        </w:rPr>
        <w:t>Abstract: Introduction: When there is a change in the physiological pattern of nasal breathing, mouth breathing may already be present. The diagnosis of mouth breathing is related to nasal patency. One way to access nasal patency is by acoustic rhinometry. Objective: To systematically review the effectiveness of acoustic rhinometry for the diagnosis of patients with mouth breathing. Methods: Electronic databases LILACS, MEDLINE via PubMed and Bireme, SciELO, Web of Science, Scopus, PsycInfo, CINAHL, and Science Direct, from August to December 2013, were consulted. 11,439 articles were found: 30 from LILACS, 54 from MEDLINE via Bireme, 5558 from MEDLINE via PubMed, 11 from SciELO, 2056 from Web of Science, 1734 from Scopus, 13 from PsycInfo, 1108 from CINAHL, and 875 from Science Direct. Of these, two articles were selected. Results: The heterogeneity in the use of equipment and materials for the assessment of respiratory mode in these studies reveals that there is not yet consensus in the assessment and diagnosis of patients with mouth breathing. Conclusion: According to the articles, acoustic rhinometry has been used for almost twenty years, but controlled studies attesting to the efficacy of measuring the geometry of nasal cavities for complementary diagnosis of respiratory mode are warranted. (C) 2015 Associacao Brasileira de Otorrinolaringologia e Cirurgia Cervico-Facial. Published by Elsevier Editora Ltda. All rights reserved.</w:t>
      </w:r>
    </w:p>
    <w:p w:rsidR="009840F6" w:rsidRDefault="009840F6" w:rsidP="009840F6">
      <w:pPr>
        <w:pStyle w:val="a3"/>
        <w:rPr>
          <w:kern w:val="0"/>
        </w:rPr>
      </w:pPr>
      <w:r>
        <w:rPr>
          <w:kern w:val="0"/>
        </w:rPr>
        <w:t xml:space="preserve">Keywords: Access, Acoustic Rhinometry, Adolescents, Adults, Allergic Rhinitis, Articles, Assessment, Cavity, Children, Complementary, Computed-Tomography, Congestion, Consensus, Databases, Diagnosis, Effectiveness, Efficacy, Equipment, From, Heterogeneity, Internal Nasal Dimensions, Introduction, Medline, Methods, Mode, Mouth Breathing, Nasal Cavity, Nasal Patency, Obstruction, Patients, Pattern, Pubmed, Rapid Maxillary Expansion, Results, Review, Rights, Scielo, Science, </w:t>
      </w:r>
      <w:r>
        <w:rPr>
          <w:kern w:val="0"/>
        </w:rPr>
        <w:lastRenderedPageBreak/>
        <w:t>Scopus, Systematic, Systematic Review, Web, Web Of Science</w:t>
      </w:r>
    </w:p>
    <w:p w:rsidR="00941562" w:rsidRPr="00FC7835" w:rsidRDefault="00941562" w:rsidP="00941562">
      <w:pPr>
        <w:pStyle w:val="1"/>
      </w:pPr>
      <w:r w:rsidRPr="00FC7835">
        <w:rPr>
          <w:b w:val="0"/>
        </w:rPr>
        <w:br w:type="page"/>
      </w:r>
      <w:bookmarkStart w:id="897" w:name="_Toc420814805"/>
      <w:r w:rsidRPr="00FC7835">
        <w:lastRenderedPageBreak/>
        <w:t xml:space="preserve">Title: </w:t>
      </w:r>
      <w:r w:rsidRPr="00941562">
        <w:t>Brazilian Journal</w:t>
      </w:r>
      <w:r w:rsidR="00427468">
        <w:t xml:space="preserve"> of </w:t>
      </w:r>
      <w:r w:rsidRPr="00941562">
        <w:t>Pharmaceutical Sci</w:t>
      </w:r>
      <w:bookmarkStart w:id="898" w:name="_Toc304464132"/>
      <w:r w:rsidRPr="00941562">
        <w:t>ences</w:t>
      </w:r>
      <w:bookmarkEnd w:id="897"/>
    </w:p>
    <w:p w:rsidR="00941562" w:rsidRPr="00FC7835" w:rsidRDefault="00941562" w:rsidP="00941562">
      <w:pPr>
        <w:pStyle w:val="12"/>
      </w:pPr>
      <w:r w:rsidRPr="00FC7835">
        <w:t>F</w:t>
      </w:r>
      <w:bookmarkEnd w:id="898"/>
      <w:r w:rsidRPr="00FC7835">
        <w:t xml:space="preserve">ull Journal Title: </w:t>
      </w:r>
      <w:r w:rsidRPr="00941562">
        <w:rPr>
          <w:iCs/>
          <w:kern w:val="0"/>
        </w:rPr>
        <w:t>Brazilian Journal</w:t>
      </w:r>
      <w:r w:rsidR="00427468">
        <w:rPr>
          <w:iCs/>
          <w:kern w:val="0"/>
        </w:rPr>
        <w:t xml:space="preserve"> of </w:t>
      </w:r>
      <w:r w:rsidRPr="00941562">
        <w:rPr>
          <w:iCs/>
          <w:kern w:val="0"/>
        </w:rPr>
        <w:t>Pharmaceutical Sciences</w:t>
      </w:r>
    </w:p>
    <w:p w:rsidR="00941562" w:rsidRPr="00FC7835" w:rsidRDefault="00941562" w:rsidP="00941562">
      <w:pPr>
        <w:pStyle w:val="12"/>
      </w:pPr>
      <w:r w:rsidRPr="00FC7835">
        <w:t xml:space="preserve">ISO Abbreviated Title: </w:t>
      </w:r>
    </w:p>
    <w:p w:rsidR="00941562" w:rsidRPr="00FC7835" w:rsidRDefault="00941562" w:rsidP="00941562">
      <w:pPr>
        <w:pStyle w:val="12"/>
      </w:pPr>
      <w:r w:rsidRPr="00FC7835">
        <w:t xml:space="preserve">JCR Abbreviated Title: </w:t>
      </w:r>
    </w:p>
    <w:p w:rsidR="00941562" w:rsidRPr="00FC7835" w:rsidRDefault="00941562" w:rsidP="00941562">
      <w:pPr>
        <w:pStyle w:val="12"/>
      </w:pPr>
      <w:r w:rsidRPr="00FC7835">
        <w:t xml:space="preserve">ISSN: </w:t>
      </w:r>
    </w:p>
    <w:p w:rsidR="00941562" w:rsidRPr="00FC7835" w:rsidRDefault="00941562" w:rsidP="00941562">
      <w:pPr>
        <w:pStyle w:val="12"/>
      </w:pPr>
      <w:r w:rsidRPr="00FC7835">
        <w:t xml:space="preserve">Issues/Year: </w:t>
      </w:r>
    </w:p>
    <w:p w:rsidR="00941562" w:rsidRPr="00FC7835" w:rsidRDefault="00941562" w:rsidP="00941562">
      <w:pPr>
        <w:pStyle w:val="12"/>
      </w:pPr>
      <w:r w:rsidRPr="00FC7835">
        <w:t xml:space="preserve">Journal Country/Territory: </w:t>
      </w:r>
    </w:p>
    <w:p w:rsidR="00941562" w:rsidRPr="00FC7835" w:rsidRDefault="00941562" w:rsidP="00941562">
      <w:pPr>
        <w:pStyle w:val="12"/>
      </w:pPr>
      <w:r w:rsidRPr="00FC7835">
        <w:t xml:space="preserve">Language: </w:t>
      </w:r>
    </w:p>
    <w:p w:rsidR="00941562" w:rsidRPr="00FC7835" w:rsidRDefault="00941562" w:rsidP="00941562">
      <w:pPr>
        <w:pStyle w:val="12"/>
      </w:pPr>
      <w:r w:rsidRPr="00FC7835">
        <w:t xml:space="preserve">Publisher: </w:t>
      </w:r>
    </w:p>
    <w:p w:rsidR="00941562" w:rsidRPr="00FC7835" w:rsidRDefault="00941562" w:rsidP="00941562">
      <w:pPr>
        <w:pStyle w:val="12"/>
      </w:pPr>
      <w:r w:rsidRPr="00FC7835">
        <w:t xml:space="preserve">Publisher Address: </w:t>
      </w:r>
    </w:p>
    <w:p w:rsidR="00941562" w:rsidRPr="00FC7835" w:rsidRDefault="00941562" w:rsidP="00941562">
      <w:pPr>
        <w:pStyle w:val="12"/>
      </w:pPr>
      <w:r w:rsidRPr="00FC7835">
        <w:t xml:space="preserve">Subject Categories: </w:t>
      </w:r>
    </w:p>
    <w:p w:rsidR="00941562" w:rsidRPr="00FC7835" w:rsidRDefault="00941562" w:rsidP="00941562">
      <w:pPr>
        <w:pStyle w:val="12"/>
      </w:pPr>
      <w:r w:rsidRPr="00FC7835">
        <w:t>: Impact Factor</w:t>
      </w:r>
    </w:p>
    <w:p w:rsidR="00941562" w:rsidRDefault="00941562" w:rsidP="00941562">
      <w:pPr>
        <w:pStyle w:val="a3"/>
        <w:rPr>
          <w:kern w:val="0"/>
        </w:rPr>
      </w:pPr>
      <w:r>
        <w:rPr>
          <w:rFonts w:hint="eastAsia"/>
          <w:kern w:val="0"/>
        </w:rPr>
        <w:t xml:space="preserve">? </w:t>
      </w:r>
      <w:r>
        <w:rPr>
          <w:kern w:val="0"/>
        </w:rPr>
        <w:t>Funchal-Witzel, M.D.R., de Castro, L.L.C., Romano-Lieber, N.S.</w:t>
      </w:r>
      <w:r w:rsidR="005853A9">
        <w:rPr>
          <w:kern w:val="0"/>
        </w:rPr>
        <w:t xml:space="preserve"> and </w:t>
      </w:r>
      <w:r>
        <w:rPr>
          <w:kern w:val="0"/>
        </w:rPr>
        <w:t xml:space="preserve">Narvai, P.C. (2011), Brazilian scientific production on pharmaceutical care from 1990 to 2009. </w:t>
      </w:r>
      <w:r w:rsidRPr="00941562">
        <w:rPr>
          <w:i/>
          <w:iCs/>
          <w:kern w:val="0"/>
        </w:rPr>
        <w:t>Brazilian Journal</w:t>
      </w:r>
      <w:r w:rsidR="00427468">
        <w:rPr>
          <w:i/>
          <w:iCs/>
          <w:kern w:val="0"/>
        </w:rPr>
        <w:t xml:space="preserve"> of </w:t>
      </w:r>
      <w:r w:rsidRPr="00941562">
        <w:rPr>
          <w:i/>
          <w:iCs/>
          <w:kern w:val="0"/>
        </w:rPr>
        <w:t>Pharmaceutical Sciences</w:t>
      </w:r>
      <w:r>
        <w:rPr>
          <w:kern w:val="0"/>
        </w:rPr>
        <w:t xml:space="preserve">, </w:t>
      </w:r>
      <w:r>
        <w:rPr>
          <w:b/>
          <w:bCs/>
          <w:kern w:val="0"/>
        </w:rPr>
        <w:t>47</w:t>
      </w:r>
      <w:r>
        <w:rPr>
          <w:kern w:val="0"/>
        </w:rPr>
        <w:t xml:space="preserve"> (2), 409-420.</w:t>
      </w:r>
    </w:p>
    <w:p w:rsidR="00941562" w:rsidRDefault="00941562" w:rsidP="00941562">
      <w:pPr>
        <w:pStyle w:val="a3"/>
        <w:rPr>
          <w:kern w:val="0"/>
        </w:rPr>
      </w:pPr>
      <w:r>
        <w:rPr>
          <w:rFonts w:hint="eastAsia"/>
          <w:kern w:val="0"/>
        </w:rPr>
        <w:t xml:space="preserve">Full Text: </w:t>
      </w:r>
      <w:hyperlink r:id="rId1832" w:history="1">
        <w:r w:rsidRPr="00941562">
          <w:rPr>
            <w:rStyle w:val="a5"/>
            <w:kern w:val="0"/>
          </w:rPr>
          <w:t>2011\Bra J Pha Sci47, 409.pdf</w:t>
        </w:r>
      </w:hyperlink>
    </w:p>
    <w:p w:rsidR="00941562" w:rsidRDefault="00941562" w:rsidP="00941562">
      <w:pPr>
        <w:pStyle w:val="a3"/>
        <w:rPr>
          <w:kern w:val="0"/>
        </w:rPr>
      </w:pPr>
      <w:r>
        <w:rPr>
          <w:kern w:val="0"/>
        </w:rPr>
        <w:t>Abstract: Brazilian scientific production on pharmaceutical care was identified based on articles indexed on</w:t>
      </w:r>
      <w:r w:rsidR="003A1917">
        <w:rPr>
          <w:kern w:val="0"/>
        </w:rPr>
        <w:t xml:space="preserve"> the </w:t>
      </w:r>
      <w:r w:rsidR="00D5664A">
        <w:rPr>
          <w:kern w:val="0"/>
        </w:rPr>
        <w:t>MEDLINE</w:t>
      </w:r>
      <w:r>
        <w:rPr>
          <w:kern w:val="0"/>
        </w:rPr>
        <w:t xml:space="preserve">, Embase, Lilacs, </w:t>
      </w:r>
      <w:r w:rsidR="00D5664A">
        <w:rPr>
          <w:kern w:val="0"/>
        </w:rPr>
        <w:t>Web</w:t>
      </w:r>
      <w:r w:rsidR="00427468">
        <w:rPr>
          <w:kern w:val="0"/>
        </w:rPr>
        <w:t xml:space="preserve"> of </w:t>
      </w:r>
      <w:r w:rsidR="00D5664A">
        <w:rPr>
          <w:kern w:val="0"/>
        </w:rPr>
        <w:t>Science</w:t>
      </w:r>
      <w:r w:rsidR="005853A9">
        <w:rPr>
          <w:kern w:val="0"/>
        </w:rPr>
        <w:t xml:space="preserve"> and </w:t>
      </w:r>
      <w:r>
        <w:rPr>
          <w:kern w:val="0"/>
        </w:rPr>
        <w:t>International Pharmaceutical Abstracts databases. Sixty-three articles published in both national</w:t>
      </w:r>
      <w:r w:rsidR="005853A9">
        <w:rPr>
          <w:kern w:val="0"/>
        </w:rPr>
        <w:t xml:space="preserve"> and </w:t>
      </w:r>
      <w:r>
        <w:rPr>
          <w:kern w:val="0"/>
        </w:rPr>
        <w:t>international journals were retrieved. With regard to authors, 72.3% were from</w:t>
      </w:r>
      <w:r w:rsidR="003A1917">
        <w:rPr>
          <w:kern w:val="0"/>
        </w:rPr>
        <w:t xml:space="preserve"> the </w:t>
      </w:r>
      <w:r>
        <w:rPr>
          <w:kern w:val="0"/>
        </w:rPr>
        <w:t>Southeast</w:t>
      </w:r>
      <w:r w:rsidR="005853A9">
        <w:rPr>
          <w:kern w:val="0"/>
        </w:rPr>
        <w:t xml:space="preserve"> and </w:t>
      </w:r>
      <w:r>
        <w:rPr>
          <w:kern w:val="0"/>
        </w:rPr>
        <w:t>South Regions,</w:t>
      </w:r>
      <w:r w:rsidR="005853A9">
        <w:rPr>
          <w:kern w:val="0"/>
        </w:rPr>
        <w:t xml:space="preserve"> and </w:t>
      </w:r>
      <w:r>
        <w:rPr>
          <w:kern w:val="0"/>
        </w:rPr>
        <w:t>60.8% were affiliated to public universities. In relation to</w:t>
      </w:r>
      <w:r w:rsidR="003A1917">
        <w:rPr>
          <w:kern w:val="0"/>
        </w:rPr>
        <w:t xml:space="preserve"> the </w:t>
      </w:r>
      <w:r>
        <w:rPr>
          <w:kern w:val="0"/>
        </w:rPr>
        <w:t>type</w:t>
      </w:r>
      <w:r w:rsidR="00427468">
        <w:rPr>
          <w:kern w:val="0"/>
        </w:rPr>
        <w:t xml:space="preserve"> of </w:t>
      </w:r>
      <w:r>
        <w:rPr>
          <w:kern w:val="0"/>
        </w:rPr>
        <w:t>studies, 85.7% were descriptive,</w:t>
      </w:r>
      <w:r w:rsidR="005853A9">
        <w:rPr>
          <w:kern w:val="0"/>
        </w:rPr>
        <w:t xml:space="preserve"> and </w:t>
      </w:r>
      <w:r w:rsidR="003A1917">
        <w:rPr>
          <w:kern w:val="0"/>
        </w:rPr>
        <w:t xml:space="preserve">the </w:t>
      </w:r>
      <w:r>
        <w:rPr>
          <w:kern w:val="0"/>
        </w:rPr>
        <w:t>most frequently researched fields were community pharmacies, hospitals</w:t>
      </w:r>
      <w:r w:rsidR="005853A9">
        <w:rPr>
          <w:kern w:val="0"/>
        </w:rPr>
        <w:t xml:space="preserve"> and </w:t>
      </w:r>
      <w:r>
        <w:rPr>
          <w:kern w:val="0"/>
        </w:rPr>
        <w:t>primary health care units. Articles were original in 65.1%</w:t>
      </w:r>
      <w:r w:rsidR="00427468">
        <w:rPr>
          <w:kern w:val="0"/>
        </w:rPr>
        <w:t xml:space="preserve"> of </w:t>
      </w:r>
      <w:r>
        <w:rPr>
          <w:kern w:val="0"/>
        </w:rPr>
        <w:t>cases, updates in 20.6%,</w:t>
      </w:r>
      <w:r w:rsidR="005853A9">
        <w:rPr>
          <w:kern w:val="0"/>
        </w:rPr>
        <w:t xml:space="preserve"> and </w:t>
      </w:r>
      <w:r>
        <w:rPr>
          <w:kern w:val="0"/>
        </w:rPr>
        <w:t>reviews in 7.9%. An increase in publications commenced in 2006. In 31.7%</w:t>
      </w:r>
      <w:r w:rsidR="00427468">
        <w:rPr>
          <w:kern w:val="0"/>
        </w:rPr>
        <w:t xml:space="preserve"> of </w:t>
      </w:r>
      <w:r>
        <w:rPr>
          <w:kern w:val="0"/>
        </w:rPr>
        <w:t>cases, authors had adopted a bibliographical study design, 28.6% qualitative study, 23.8% intervention,</w:t>
      </w:r>
      <w:r w:rsidR="005853A9">
        <w:rPr>
          <w:kern w:val="0"/>
        </w:rPr>
        <w:t xml:space="preserve"> and </w:t>
      </w:r>
      <w:r>
        <w:rPr>
          <w:kern w:val="0"/>
        </w:rPr>
        <w:t>15.9% observational study design</w:t>
      </w:r>
      <w:r w:rsidR="00A37C1D">
        <w:rPr>
          <w:kern w:val="0"/>
        </w:rPr>
        <w:t>. The</w:t>
      </w:r>
      <w:r w:rsidR="003A1917">
        <w:rPr>
          <w:kern w:val="0"/>
        </w:rPr>
        <w:t xml:space="preserve"> </w:t>
      </w:r>
      <w:r>
        <w:rPr>
          <w:kern w:val="0"/>
        </w:rPr>
        <w:t>most researched subjects were elderly with chronic diseases</w:t>
      </w:r>
      <w:r w:rsidR="00A37C1D">
        <w:rPr>
          <w:kern w:val="0"/>
        </w:rPr>
        <w:t>. The</w:t>
      </w:r>
      <w:r w:rsidR="003A1917">
        <w:rPr>
          <w:kern w:val="0"/>
        </w:rPr>
        <w:t xml:space="preserve"> </w:t>
      </w:r>
      <w:r>
        <w:rPr>
          <w:kern w:val="0"/>
        </w:rPr>
        <w:t>importance</w:t>
      </w:r>
      <w:r w:rsidR="00427468">
        <w:rPr>
          <w:kern w:val="0"/>
        </w:rPr>
        <w:t xml:space="preserve"> of </w:t>
      </w:r>
      <w:r>
        <w:rPr>
          <w:kern w:val="0"/>
        </w:rPr>
        <w:t>stimulating</w:t>
      </w:r>
      <w:r w:rsidR="003A1917">
        <w:rPr>
          <w:kern w:val="0"/>
        </w:rPr>
        <w:t xml:space="preserve"> the </w:t>
      </w:r>
      <w:r>
        <w:rPr>
          <w:kern w:val="0"/>
        </w:rPr>
        <w:t>conducting</w:t>
      </w:r>
      <w:r w:rsidR="00427468">
        <w:rPr>
          <w:kern w:val="0"/>
        </w:rPr>
        <w:t xml:space="preserve"> of </w:t>
      </w:r>
      <w:r>
        <w:rPr>
          <w:kern w:val="0"/>
        </w:rPr>
        <w:t>experimental</w:t>
      </w:r>
      <w:r w:rsidR="005853A9">
        <w:rPr>
          <w:kern w:val="0"/>
        </w:rPr>
        <w:t xml:space="preserve"> and </w:t>
      </w:r>
      <w:r>
        <w:rPr>
          <w:kern w:val="0"/>
        </w:rPr>
        <w:t>qualitative studies, as well as amplifying authorship affiliated with</w:t>
      </w:r>
      <w:r w:rsidR="003A1917">
        <w:rPr>
          <w:kern w:val="0"/>
        </w:rPr>
        <w:t xml:space="preserve"> the </w:t>
      </w:r>
      <w:r>
        <w:rPr>
          <w:kern w:val="0"/>
        </w:rPr>
        <w:t>service area, foreign authors</w:t>
      </w:r>
      <w:r w:rsidR="005853A9">
        <w:rPr>
          <w:kern w:val="0"/>
        </w:rPr>
        <w:t xml:space="preserve"> and </w:t>
      </w:r>
      <w:r>
        <w:rPr>
          <w:kern w:val="0"/>
        </w:rPr>
        <w:t>with research in a wide variety</w:t>
      </w:r>
      <w:r w:rsidR="00427468">
        <w:rPr>
          <w:kern w:val="0"/>
        </w:rPr>
        <w:t xml:space="preserve"> of </w:t>
      </w:r>
      <w:r>
        <w:rPr>
          <w:kern w:val="0"/>
        </w:rPr>
        <w:t>practice settings were highlighted. Despite</w:t>
      </w:r>
      <w:r w:rsidR="003A1917">
        <w:rPr>
          <w:kern w:val="0"/>
        </w:rPr>
        <w:t xml:space="preserve"> the </w:t>
      </w:r>
      <w:r>
        <w:rPr>
          <w:kern w:val="0"/>
        </w:rPr>
        <w:t>limited quantity</w:t>
      </w:r>
      <w:r w:rsidR="00427468">
        <w:rPr>
          <w:kern w:val="0"/>
        </w:rPr>
        <w:t xml:space="preserve"> of </w:t>
      </w:r>
      <w:r>
        <w:rPr>
          <w:kern w:val="0"/>
        </w:rPr>
        <w:t>articles, an increase in their number as well as in their scope</w:t>
      </w:r>
      <w:r w:rsidR="005853A9">
        <w:rPr>
          <w:kern w:val="0"/>
        </w:rPr>
        <w:t xml:space="preserve"> and </w:t>
      </w:r>
      <w:r>
        <w:rPr>
          <w:kern w:val="0"/>
        </w:rPr>
        <w:t>quality is expected, so as to create further knowledge that contributes to</w:t>
      </w:r>
      <w:r w:rsidR="003A1917">
        <w:rPr>
          <w:kern w:val="0"/>
        </w:rPr>
        <w:t xml:space="preserve"> the </w:t>
      </w:r>
      <w:r>
        <w:rPr>
          <w:kern w:val="0"/>
        </w:rPr>
        <w:t>recognition</w:t>
      </w:r>
      <w:r w:rsidR="00427468">
        <w:rPr>
          <w:kern w:val="0"/>
        </w:rPr>
        <w:t xml:space="preserve"> of </w:t>
      </w:r>
      <w:r>
        <w:rPr>
          <w:kern w:val="0"/>
        </w:rPr>
        <w:t>pharmacists</w:t>
      </w:r>
      <w:r w:rsidR="00700038">
        <w:rPr>
          <w:kern w:val="0"/>
        </w:rPr>
        <w:t>’</w:t>
      </w:r>
      <w:r>
        <w:rPr>
          <w:kern w:val="0"/>
        </w:rPr>
        <w:t xml:space="preserve"> actions by patient healthcare teams.</w:t>
      </w:r>
    </w:p>
    <w:p w:rsidR="00941562" w:rsidRDefault="00941562" w:rsidP="00941562">
      <w:pPr>
        <w:pStyle w:val="a3"/>
        <w:rPr>
          <w:kern w:val="0"/>
        </w:rPr>
      </w:pPr>
      <w:r>
        <w:rPr>
          <w:kern w:val="0"/>
        </w:rPr>
        <w:t xml:space="preserve">Keywords: Articles, Authors, Authorship, Chronic Diseases, Databases, Design, Elderly, Experimental, Health Care, Hospitals, Intervention, Journals, Knowledge, Observational, Pharmaceutical Assistance, Pharmaceutical Care, Pharmaceutical </w:t>
      </w:r>
      <w:r>
        <w:rPr>
          <w:kern w:val="0"/>
        </w:rPr>
        <w:lastRenderedPageBreak/>
        <w:t xml:space="preserve">Services, Pharmacies, Pharmacists, Practice, Primary, Primary Health Care, Public Health, Publications, Research, Science, Scientific Production, </w:t>
      </w:r>
      <w:r w:rsidR="00D5664A">
        <w:rPr>
          <w:kern w:val="0"/>
        </w:rPr>
        <w:t>Web</w:t>
      </w:r>
      <w:r w:rsidR="00427468">
        <w:rPr>
          <w:kern w:val="0"/>
        </w:rPr>
        <w:t xml:space="preserve"> of </w:t>
      </w:r>
      <w:r w:rsidR="00D5664A">
        <w:rPr>
          <w:kern w:val="0"/>
        </w:rPr>
        <w:t>Science</w:t>
      </w:r>
    </w:p>
    <w:p w:rsidR="009F3D8A" w:rsidRPr="00FC7835" w:rsidRDefault="009F3D8A" w:rsidP="009F3D8A">
      <w:pPr>
        <w:pStyle w:val="1"/>
      </w:pPr>
      <w:r w:rsidRPr="00FC7835">
        <w:rPr>
          <w:b w:val="0"/>
        </w:rPr>
        <w:br w:type="page"/>
      </w:r>
      <w:bookmarkStart w:id="899" w:name="_Toc420814806"/>
      <w:r w:rsidRPr="00FC7835">
        <w:lastRenderedPageBreak/>
        <w:t xml:space="preserve">Title: </w:t>
      </w:r>
      <w:r w:rsidRPr="002007A3">
        <w:t>Brazilian Journal</w:t>
      </w:r>
      <w:r w:rsidR="00427468">
        <w:t xml:space="preserve"> of </w:t>
      </w:r>
      <w:r w:rsidRPr="002007A3">
        <w:t>Physical Therapy</w:t>
      </w:r>
      <w:bookmarkEnd w:id="899"/>
    </w:p>
    <w:p w:rsidR="009F3D8A" w:rsidRPr="00FC7835" w:rsidRDefault="009F3D8A" w:rsidP="009F3D8A">
      <w:pPr>
        <w:pStyle w:val="12"/>
      </w:pPr>
      <w:r w:rsidRPr="00FC7835">
        <w:t xml:space="preserve">Full Journal Title: </w:t>
      </w:r>
      <w:r w:rsidRPr="002007A3">
        <w:rPr>
          <w:iCs/>
          <w:kern w:val="0"/>
        </w:rPr>
        <w:t>Brazilian Journal</w:t>
      </w:r>
      <w:r w:rsidR="00427468">
        <w:rPr>
          <w:iCs/>
          <w:kern w:val="0"/>
        </w:rPr>
        <w:t xml:space="preserve"> of </w:t>
      </w:r>
      <w:r w:rsidRPr="002007A3">
        <w:rPr>
          <w:iCs/>
          <w:kern w:val="0"/>
        </w:rPr>
        <w:t>Physical Therapy</w:t>
      </w:r>
    </w:p>
    <w:p w:rsidR="009F3D8A" w:rsidRPr="00FC7835" w:rsidRDefault="009F3D8A" w:rsidP="009F3D8A">
      <w:pPr>
        <w:pStyle w:val="12"/>
      </w:pPr>
      <w:r w:rsidRPr="00FC7835">
        <w:t xml:space="preserve">ISO Abbreviated Title: </w:t>
      </w:r>
    </w:p>
    <w:p w:rsidR="009F3D8A" w:rsidRPr="00FC7835" w:rsidRDefault="009F3D8A" w:rsidP="009F3D8A">
      <w:pPr>
        <w:pStyle w:val="12"/>
      </w:pPr>
      <w:r w:rsidRPr="00FC7835">
        <w:t xml:space="preserve">JCR Abbreviated Title: </w:t>
      </w:r>
    </w:p>
    <w:p w:rsidR="009F3D8A" w:rsidRPr="00FC7835" w:rsidRDefault="009F3D8A" w:rsidP="009F3D8A">
      <w:pPr>
        <w:pStyle w:val="12"/>
      </w:pPr>
      <w:r w:rsidRPr="00FC7835">
        <w:t xml:space="preserve">ISSN: </w:t>
      </w:r>
    </w:p>
    <w:p w:rsidR="009F3D8A" w:rsidRPr="00FC7835" w:rsidRDefault="009F3D8A" w:rsidP="009F3D8A">
      <w:pPr>
        <w:pStyle w:val="12"/>
      </w:pPr>
      <w:r w:rsidRPr="00FC7835">
        <w:t xml:space="preserve">Issues/Year: </w:t>
      </w:r>
    </w:p>
    <w:p w:rsidR="009F3D8A" w:rsidRPr="00FC7835" w:rsidRDefault="009F3D8A" w:rsidP="009F3D8A">
      <w:pPr>
        <w:pStyle w:val="12"/>
      </w:pPr>
      <w:r w:rsidRPr="00FC7835">
        <w:t xml:space="preserve">Journal Country/Territory: </w:t>
      </w:r>
    </w:p>
    <w:p w:rsidR="009F3D8A" w:rsidRPr="00FC7835" w:rsidRDefault="009F3D8A" w:rsidP="009F3D8A">
      <w:pPr>
        <w:pStyle w:val="12"/>
      </w:pPr>
      <w:r w:rsidRPr="00FC7835">
        <w:t xml:space="preserve">Language: </w:t>
      </w:r>
    </w:p>
    <w:p w:rsidR="009F3D8A" w:rsidRPr="00FC7835" w:rsidRDefault="009F3D8A" w:rsidP="009F3D8A">
      <w:pPr>
        <w:pStyle w:val="12"/>
      </w:pPr>
      <w:r w:rsidRPr="00FC7835">
        <w:t xml:space="preserve">Publisher: </w:t>
      </w:r>
    </w:p>
    <w:p w:rsidR="009F3D8A" w:rsidRPr="00FC7835" w:rsidRDefault="009F3D8A" w:rsidP="009F3D8A">
      <w:pPr>
        <w:pStyle w:val="12"/>
      </w:pPr>
      <w:r w:rsidRPr="00FC7835">
        <w:t xml:space="preserve">Publisher Address: </w:t>
      </w:r>
    </w:p>
    <w:p w:rsidR="009F3D8A" w:rsidRPr="00FC7835" w:rsidRDefault="009F3D8A" w:rsidP="009F3D8A">
      <w:pPr>
        <w:pStyle w:val="12"/>
      </w:pPr>
      <w:r w:rsidRPr="00FC7835">
        <w:t xml:space="preserve">Subject Categories: </w:t>
      </w:r>
    </w:p>
    <w:p w:rsidR="009F3D8A" w:rsidRPr="00FC7835" w:rsidRDefault="009F3D8A" w:rsidP="009F3D8A">
      <w:pPr>
        <w:pStyle w:val="12"/>
      </w:pPr>
      <w:r w:rsidRPr="00FC7835">
        <w:t>: Impact Factor</w:t>
      </w:r>
    </w:p>
    <w:p w:rsidR="00D62F75" w:rsidRDefault="00D62F75" w:rsidP="00D62F75">
      <w:pPr>
        <w:pStyle w:val="a3"/>
        <w:rPr>
          <w:kern w:val="0"/>
        </w:rPr>
      </w:pPr>
      <w:r>
        <w:rPr>
          <w:kern w:val="0"/>
        </w:rPr>
        <w:t xml:space="preserve">? Saragiotto, B.T., Costa, L.C.M., Oliveira, R.F., Lopes, A.D., Moseley, A.M. and Costa, L.O.P. (2014), Description of research design of articles published in four Brazilian physical therapy journals. </w:t>
      </w:r>
      <w:r w:rsidRPr="002007A3">
        <w:rPr>
          <w:i/>
          <w:iCs/>
          <w:kern w:val="0"/>
        </w:rPr>
        <w:t>Brazilian Journal</w:t>
      </w:r>
      <w:r>
        <w:rPr>
          <w:i/>
          <w:iCs/>
          <w:kern w:val="0"/>
        </w:rPr>
        <w:t xml:space="preserve"> of </w:t>
      </w:r>
      <w:r w:rsidRPr="002007A3">
        <w:rPr>
          <w:i/>
          <w:iCs/>
          <w:kern w:val="0"/>
        </w:rPr>
        <w:t>Physical Therapy</w:t>
      </w:r>
      <w:r>
        <w:rPr>
          <w:kern w:val="0"/>
        </w:rPr>
        <w:t xml:space="preserve">, </w:t>
      </w:r>
      <w:r>
        <w:rPr>
          <w:b/>
          <w:bCs/>
          <w:kern w:val="0"/>
        </w:rPr>
        <w:t>18</w:t>
      </w:r>
      <w:r>
        <w:rPr>
          <w:kern w:val="0"/>
        </w:rPr>
        <w:t xml:space="preserve"> (1), 56-62.</w:t>
      </w:r>
    </w:p>
    <w:p w:rsidR="00D62F75" w:rsidRDefault="00D62F75" w:rsidP="00D62F75">
      <w:pPr>
        <w:pStyle w:val="a3"/>
        <w:rPr>
          <w:kern w:val="0"/>
        </w:rPr>
      </w:pPr>
      <w:r>
        <w:rPr>
          <w:kern w:val="0"/>
        </w:rPr>
        <w:t xml:space="preserve">Full Text: </w:t>
      </w:r>
      <w:hyperlink r:id="rId1833" w:history="1">
        <w:r w:rsidRPr="006D37EB">
          <w:rPr>
            <w:rStyle w:val="a5"/>
            <w:kern w:val="0"/>
          </w:rPr>
          <w:t>2014\Bra J Phy The18, 56.pdf</w:t>
        </w:r>
      </w:hyperlink>
    </w:p>
    <w:p w:rsidR="00D62F75" w:rsidRDefault="00D62F75" w:rsidP="00D62F75">
      <w:pPr>
        <w:pStyle w:val="a3"/>
        <w:rPr>
          <w:kern w:val="0"/>
        </w:rPr>
      </w:pPr>
      <w:r>
        <w:rPr>
          <w:kern w:val="0"/>
        </w:rPr>
        <w:t>Abstract: Background: While the research design of articles published in medical journals and in some physical therapy journals has already been evaluated, this has not been investigated in Brazilian physical therapy journals. Objective: To describe the research design used in all articles published in Brazilian scientific journals that are freely available, have high Qualis rankings, and are relevant to physical therapy over a 7-year period. Method: We extracted the bibliometric data, research design, research type (human or animal), and clinical area for all articles published</w:t>
      </w:r>
      <w:r w:rsidR="00A37C1D">
        <w:rPr>
          <w:kern w:val="0"/>
        </w:rPr>
        <w:t>. The</w:t>
      </w:r>
      <w:r>
        <w:rPr>
          <w:kern w:val="0"/>
        </w:rPr>
        <w:t xml:space="preserve"> articles were grouped into their level of evidence, and descriptive analyses were performed. We calculated the frequency, proportions of articles, and 95% confidence interval of these proportions with each research design in each journal. We cross-tabulated the clinical areas with research designs (expressed as number and percentages). Results: A total of 1,458 articles from four Brazilian journals were found: Revista Brasileira de Fisioterapia, Revista Fisioterapia em Movimento, Revista Fisioterapia e Pesquisa, and Revista Acta Fisiatrica</w:t>
      </w:r>
      <w:r w:rsidR="00A37C1D">
        <w:rPr>
          <w:kern w:val="0"/>
        </w:rPr>
        <w:t>. The</w:t>
      </w:r>
      <w:r>
        <w:rPr>
          <w:kern w:val="0"/>
        </w:rPr>
        <w:t xml:space="preserve"> majority of articles were classified as level II of evidence (60%), followed by level III (29%) and level I (10%)</w:t>
      </w:r>
      <w:r w:rsidR="00A37C1D">
        <w:rPr>
          <w:kern w:val="0"/>
        </w:rPr>
        <w:t>. The</w:t>
      </w:r>
      <w:r>
        <w:rPr>
          <w:kern w:val="0"/>
        </w:rPr>
        <w:t xml:space="preserve"> most prevalent research designs were cross-sectional studies (38%), single-case or case-series studies, and narrative reviews. Most articles reported human research and were in the musculoskeletal, neurologic, and cardiothoracic areas. Conclusions: Most of the research published in Brazilian physical therapy journals used levels II and III of evidence. Increasing the publication rate of </w:t>
      </w:r>
      <w:r>
        <w:rPr>
          <w:kern w:val="0"/>
        </w:rPr>
        <w:lastRenderedPageBreak/>
        <w:t>systematic reviews and randomized controlled trials would provide more high-quality evidence to guide evidence-based physical therapy practice.</w:t>
      </w:r>
    </w:p>
    <w:p w:rsidR="00D62F75" w:rsidRDefault="00D62F75" w:rsidP="00D62F75">
      <w:pPr>
        <w:pStyle w:val="a3"/>
        <w:rPr>
          <w:kern w:val="0"/>
        </w:rPr>
      </w:pPr>
      <w:r>
        <w:rPr>
          <w:kern w:val="0"/>
        </w:rPr>
        <w:t>Keywords: Analyses, Bibliometric, Bibliometric Data, Brazilian Scientific Journals, Clinical, Confidence, Cross-Sectional Studies, Data, Design, Evidence, Evidence Based, Evidence-Based, Evidence-Based Practice, Human, Interval, Journal, Journals, Level, Medical, Medical Journals, Musculoskeletal, Neurologic, Physical, Physical Therapy, Practice, Publication, Publication Rate, Quality, Randomized, Randomized Controlled Trials, Rankings, Rehabilitation, Research, Research Design, Results, Reviews, Scientific Journals, Statement, Systematic Reviews, Therapy</w:t>
      </w:r>
    </w:p>
    <w:p w:rsidR="00116069" w:rsidRDefault="00116069" w:rsidP="00116069">
      <w:pPr>
        <w:pStyle w:val="a3"/>
        <w:rPr>
          <w:kern w:val="0"/>
        </w:rPr>
      </w:pPr>
      <w:r>
        <w:rPr>
          <w:rFonts w:hint="eastAsia"/>
          <w:kern w:val="0"/>
        </w:rPr>
        <w:t xml:space="preserve">? </w:t>
      </w:r>
      <w:r>
        <w:rPr>
          <w:kern w:val="0"/>
        </w:rPr>
        <w:t xml:space="preserve">Ishigaki, E.Y., Ramos, L.G., Carvalho, E.S. and Lunardi, A.C. (2014), Effectiveness of muscle strengthening and description of protocols for preventing falls in the elderly: A systematic review. </w:t>
      </w:r>
      <w:r>
        <w:rPr>
          <w:i/>
          <w:iCs/>
          <w:kern w:val="0"/>
        </w:rPr>
        <w:t>Brazilian Journal of Physical Therapy</w:t>
      </w:r>
      <w:r>
        <w:rPr>
          <w:kern w:val="0"/>
        </w:rPr>
        <w:t xml:space="preserve">, </w:t>
      </w:r>
      <w:r>
        <w:rPr>
          <w:b/>
          <w:bCs/>
          <w:kern w:val="0"/>
        </w:rPr>
        <w:t>18</w:t>
      </w:r>
      <w:r>
        <w:rPr>
          <w:kern w:val="0"/>
        </w:rPr>
        <w:t xml:space="preserve"> (2), 111-118.</w:t>
      </w:r>
    </w:p>
    <w:p w:rsidR="00116069" w:rsidRDefault="00116069" w:rsidP="00116069">
      <w:pPr>
        <w:pStyle w:val="a3"/>
        <w:rPr>
          <w:kern w:val="0"/>
        </w:rPr>
      </w:pPr>
      <w:r>
        <w:rPr>
          <w:kern w:val="0"/>
        </w:rPr>
        <w:t xml:space="preserve">Full Text: </w:t>
      </w:r>
      <w:hyperlink r:id="rId1834" w:history="1">
        <w:r w:rsidRPr="00B126EF">
          <w:rPr>
            <w:rStyle w:val="a5"/>
            <w:kern w:val="0"/>
          </w:rPr>
          <w:t>2014\Bra J Phy The18, 111.pdf</w:t>
        </w:r>
      </w:hyperlink>
    </w:p>
    <w:p w:rsidR="00116069" w:rsidRDefault="00116069" w:rsidP="00116069">
      <w:pPr>
        <w:pStyle w:val="a3"/>
        <w:rPr>
          <w:kern w:val="0"/>
        </w:rPr>
      </w:pPr>
      <w:r>
        <w:rPr>
          <w:kern w:val="0"/>
        </w:rPr>
        <w:t>Abstract: Background: Falls are a geriatric syndrome that is considered a significant public health problem in terms of morbidity and mortality because they lead to a decline in functional capacity and an impaired quality of life in the elderly. Lower limb muscle strengthening seems to be an effective intervention for preventing falls; however, there is no consensus regarding the best method for increasing lower limb muscle strength. Objectives: To analyze the effectiveness of lower limb muscle strengthening and to investigate and describe the protocols used for preventing falls in elderly subjects. Method: We performed a systematic review of randomized and controlled clinical trials published between 2002 and 2012 in the databases PubMed, EMBASE, Scopus, Web of Science, and PEDro that cited some type of lower limb muscle strengthening protocol and that evaluated the incidence of falls as the primary outcome exclusively in elderly subjects. Twelve studies met the inclusion criteria. Qualitative analysis was performed by independent reviewers applying the PEDro scale. Results: The data obtained from the selected studies showed lower fall rates in the intervention groups compared to controls. Six studies described the lower limb muscle strengthening protocol in detail. High methodological quality was found in 6 studies (PEDro score &gt;= 7/10 points). Conclusions: The methodological quality of the studies in this area appears to leave little doubt regarding the effectiveness of lower limb strengthening exercises for preventing falls in elderly subjects, however the interventions in these studies were poorly reported.</w:t>
      </w:r>
    </w:p>
    <w:p w:rsidR="00116069" w:rsidRDefault="00116069" w:rsidP="00116069">
      <w:pPr>
        <w:pStyle w:val="a3"/>
        <w:rPr>
          <w:kern w:val="0"/>
        </w:rPr>
      </w:pPr>
      <w:r>
        <w:rPr>
          <w:kern w:val="0"/>
        </w:rPr>
        <w:t xml:space="preserve">Keywords: Analysis, Balance, Capacity, Clinical, Clinical Trials, Consensus, Criteria, Data, Databases, Effectiveness, Elderly, Embase, Exercise, Exercises, Falls, Groups, Health, Health Problem, Incidence, Intervention, Interventions, Lead, Life, Morbidity, Mortality, Multifactorial Intervention, Muscle, Older-Adults, Outcome, People, Physical Therapy, Primary, Program, Protocol, Protocols, Public, Public Health, </w:t>
      </w:r>
      <w:r>
        <w:rPr>
          <w:kern w:val="0"/>
        </w:rPr>
        <w:lastRenderedPageBreak/>
        <w:t>Public Health Problem, Pubmed, Quality, Quality Of, Quality Of Life, Randomized, Randomized Controlled-Trial, Rates, Rehabilitation, Results, Review, Reviewers, Risk-Factors, Scale, Science, Scopus, Strength, Strength Training, Syndrome, Systematic, Systematic Review, The Elderly, Web Of Science, Women</w:t>
      </w:r>
    </w:p>
    <w:p w:rsidR="00A813E2" w:rsidRPr="00FC7835" w:rsidRDefault="00A813E2" w:rsidP="00A813E2">
      <w:pPr>
        <w:pStyle w:val="1"/>
      </w:pPr>
      <w:r w:rsidRPr="00FC7835">
        <w:rPr>
          <w:b w:val="0"/>
        </w:rPr>
        <w:br w:type="page"/>
      </w:r>
      <w:bookmarkStart w:id="900" w:name="_Toc420814807"/>
      <w:r w:rsidRPr="00FC7835">
        <w:lastRenderedPageBreak/>
        <w:t xml:space="preserve">Title: </w:t>
      </w:r>
      <w:r w:rsidRPr="00A813E2">
        <w:rPr>
          <w:iCs w:val="0"/>
        </w:rPr>
        <w:t>Brazilian Oral Research</w:t>
      </w:r>
      <w:bookmarkEnd w:id="900"/>
    </w:p>
    <w:p w:rsidR="00A813E2" w:rsidRPr="00FC7835" w:rsidRDefault="00A813E2" w:rsidP="00A813E2">
      <w:pPr>
        <w:pStyle w:val="12"/>
      </w:pPr>
      <w:r w:rsidRPr="00FC7835">
        <w:t xml:space="preserve">Full Journal Title: </w:t>
      </w:r>
      <w:r w:rsidRPr="00A813E2">
        <w:rPr>
          <w:iCs/>
          <w:kern w:val="0"/>
        </w:rPr>
        <w:t>Brazilian Oral Research</w:t>
      </w:r>
    </w:p>
    <w:p w:rsidR="00A813E2" w:rsidRPr="00FC7835" w:rsidRDefault="00A813E2" w:rsidP="00A813E2">
      <w:pPr>
        <w:pStyle w:val="12"/>
      </w:pPr>
      <w:r w:rsidRPr="00FC7835">
        <w:t xml:space="preserve">ISO Abbreviated Title: </w:t>
      </w:r>
    </w:p>
    <w:p w:rsidR="00A813E2" w:rsidRPr="00FC7835" w:rsidRDefault="00A813E2" w:rsidP="00A813E2">
      <w:pPr>
        <w:pStyle w:val="12"/>
      </w:pPr>
      <w:r w:rsidRPr="00FC7835">
        <w:t xml:space="preserve">JCR Abbreviated Title: </w:t>
      </w:r>
    </w:p>
    <w:p w:rsidR="00A813E2" w:rsidRPr="00FC7835" w:rsidRDefault="00A813E2" w:rsidP="00A813E2">
      <w:pPr>
        <w:pStyle w:val="12"/>
      </w:pPr>
      <w:r w:rsidRPr="00FC7835">
        <w:t xml:space="preserve">ISSN: </w:t>
      </w:r>
    </w:p>
    <w:p w:rsidR="00A813E2" w:rsidRPr="00FC7835" w:rsidRDefault="00A813E2" w:rsidP="00A813E2">
      <w:pPr>
        <w:pStyle w:val="12"/>
      </w:pPr>
      <w:r w:rsidRPr="00FC7835">
        <w:t xml:space="preserve">Issues/Year: </w:t>
      </w:r>
    </w:p>
    <w:p w:rsidR="00A813E2" w:rsidRPr="00FC7835" w:rsidRDefault="00A813E2" w:rsidP="00A813E2">
      <w:pPr>
        <w:pStyle w:val="12"/>
      </w:pPr>
      <w:r w:rsidRPr="00FC7835">
        <w:t xml:space="preserve">Journal Country/Territory: </w:t>
      </w:r>
    </w:p>
    <w:p w:rsidR="00A813E2" w:rsidRPr="00FC7835" w:rsidRDefault="00A813E2" w:rsidP="00A813E2">
      <w:pPr>
        <w:pStyle w:val="12"/>
      </w:pPr>
      <w:r w:rsidRPr="00FC7835">
        <w:t xml:space="preserve">Language: </w:t>
      </w:r>
    </w:p>
    <w:p w:rsidR="00A813E2" w:rsidRPr="00FC7835" w:rsidRDefault="00A813E2" w:rsidP="00A813E2">
      <w:pPr>
        <w:pStyle w:val="12"/>
      </w:pPr>
      <w:r w:rsidRPr="00FC7835">
        <w:t xml:space="preserve">Publisher: </w:t>
      </w:r>
    </w:p>
    <w:p w:rsidR="00A813E2" w:rsidRPr="00FC7835" w:rsidRDefault="00A813E2" w:rsidP="00A813E2">
      <w:pPr>
        <w:pStyle w:val="12"/>
      </w:pPr>
      <w:r w:rsidRPr="00FC7835">
        <w:t xml:space="preserve">Publisher Address: </w:t>
      </w:r>
    </w:p>
    <w:p w:rsidR="00A813E2" w:rsidRPr="00FC7835" w:rsidRDefault="00A813E2" w:rsidP="00A813E2">
      <w:pPr>
        <w:pStyle w:val="12"/>
      </w:pPr>
      <w:r w:rsidRPr="00FC7835">
        <w:t xml:space="preserve">Subject Categories: </w:t>
      </w:r>
    </w:p>
    <w:p w:rsidR="00A813E2" w:rsidRPr="00FC7835" w:rsidRDefault="00A813E2" w:rsidP="00A813E2">
      <w:pPr>
        <w:pStyle w:val="12"/>
      </w:pPr>
      <w:r w:rsidRPr="00FC7835">
        <w:t>: Impact Factor</w:t>
      </w:r>
    </w:p>
    <w:p w:rsidR="00A813E2" w:rsidRDefault="00A813E2" w:rsidP="00A813E2">
      <w:pPr>
        <w:pStyle w:val="a3"/>
        <w:rPr>
          <w:kern w:val="0"/>
        </w:rPr>
      </w:pPr>
      <w:r>
        <w:rPr>
          <w:kern w:val="0"/>
        </w:rPr>
        <w:t xml:space="preserve">? Daltoé, F.P., Mendonça, P.P., Mantesso, A. and Deboni, M.C.Z. (2014), Can SHED or DPSCs be used to repair/regenerate non-dental tissues? A systematic review of </w:t>
      </w:r>
      <w:r w:rsidRPr="00A813E2">
        <w:rPr>
          <w:i/>
          <w:kern w:val="0"/>
        </w:rPr>
        <w:t>in vivo</w:t>
      </w:r>
      <w:r>
        <w:rPr>
          <w:kern w:val="0"/>
        </w:rPr>
        <w:t xml:space="preserve"> studies. </w:t>
      </w:r>
      <w:r w:rsidRPr="00A813E2">
        <w:rPr>
          <w:i/>
          <w:iCs/>
          <w:kern w:val="0"/>
        </w:rPr>
        <w:t>Brazilian Oral Research</w:t>
      </w:r>
      <w:r>
        <w:rPr>
          <w:kern w:val="0"/>
        </w:rPr>
        <w:t xml:space="preserve">, </w:t>
      </w:r>
      <w:r>
        <w:rPr>
          <w:b/>
          <w:bCs/>
          <w:kern w:val="0"/>
        </w:rPr>
        <w:t>28</w:t>
      </w:r>
      <w:r>
        <w:rPr>
          <w:kern w:val="0"/>
        </w:rPr>
        <w:t xml:space="preserve"> (5), 413-419.</w:t>
      </w:r>
    </w:p>
    <w:p w:rsidR="00A813E2" w:rsidRDefault="00A813E2" w:rsidP="00A813E2">
      <w:pPr>
        <w:pStyle w:val="a3"/>
        <w:rPr>
          <w:kern w:val="0"/>
        </w:rPr>
      </w:pPr>
      <w:r>
        <w:rPr>
          <w:rFonts w:hint="eastAsia"/>
          <w:kern w:val="0"/>
        </w:rPr>
        <w:t xml:space="preserve">Full Text: </w:t>
      </w:r>
      <w:hyperlink r:id="rId1835" w:history="1">
        <w:r w:rsidRPr="00A813E2">
          <w:rPr>
            <w:rStyle w:val="a5"/>
            <w:kern w:val="0"/>
          </w:rPr>
          <w:t>2014\Bra Ora Res28, 413.pdf</w:t>
        </w:r>
      </w:hyperlink>
    </w:p>
    <w:p w:rsidR="00A813E2" w:rsidRDefault="00A813E2" w:rsidP="00A813E2">
      <w:pPr>
        <w:pStyle w:val="a3"/>
        <w:rPr>
          <w:kern w:val="0"/>
        </w:rPr>
      </w:pPr>
      <w:r>
        <w:rPr>
          <w:kern w:val="0"/>
        </w:rPr>
        <w:t>Abstract: Dental pulp has been identified as a novel and promising stem cell source. The following systematic review presents and summarises in vivo studies that have used stem cells from the dental pulp of permanent and deciduous teeth to repair or regenerate non-dental tissues. An electronic customised search was performed using 4 different databases (Entrez PubMed, Cab Abstracts, Scopus and Web of Science). Only full-text research manuscripts published in English between the years of 2000 and 2012 were included. The manuscripts were retrieved based on the following keywords and/or abbreviations: [Stem Cells from Human Exfoliated Deciduous teeth (SHED)] AND/OR [Dental Pulp Stem Cells (DPSC)] AND [tissue regeneration] AND [tissue repair]. Only manuscripts involving in vivo applications of SHED or DPSC for the repair and/or regeneration of non-dental tissues were included. The search strategy produced 2309 papers, from which 14 were eligible according to the predetermined inclusion and exclusion criteria. Although human tissue was the source of cells in half of the studies included in our review, all of the studies involved transplantation into animals of other species, such as pigs, rats and mice. Most of the manuscripts reported the successful use of DPSCs or SHED for non-dental tissue repair or regeneration. While these cell populations represent promising alternative sources of stem cells for tissue engineering and cell-based regenerative medicine therapies, it is not yet possible to guarantee the appropriate clinical management of this technique.</w:t>
      </w:r>
    </w:p>
    <w:p w:rsidR="00A813E2" w:rsidRDefault="00A813E2" w:rsidP="00A813E2">
      <w:pPr>
        <w:pStyle w:val="a3"/>
        <w:rPr>
          <w:kern w:val="0"/>
        </w:rPr>
      </w:pPr>
      <w:r>
        <w:rPr>
          <w:kern w:val="0"/>
        </w:rPr>
        <w:t xml:space="preserve">Keywords: Alternative, Animals, Bone-Marrow, Cell, Clinical, Clinical Management, </w:t>
      </w:r>
      <w:r>
        <w:rPr>
          <w:kern w:val="0"/>
        </w:rPr>
        <w:lastRenderedPageBreak/>
        <w:t>Criteria, Databases, Deciduous, Deciduous Teeth, Defects, Dental Pulp, Dental-Pulp, Engineering, English, From, Human, Human Tissue, In Vivo, Management, Medicine, Mice, Myocardial-Infarction, Papers, Permanent, Pigs, Population, Populations, Pubmed, Pulp, Pulp Stem-Cells, Rats, Regeneration, Regenerative Medicine, Repair, Research, Review, Science, Scopus, Search Strategy, Size, Skin, Source, Sources, Species, Stem Cell, Stem Cells, Strategy, Systematic, Systematic Review, Tissue Engineering, Tooth, Transplantation, Web, Web Of Science</w:t>
      </w:r>
    </w:p>
    <w:p w:rsidR="00F07F84" w:rsidRPr="001A3D2B" w:rsidRDefault="00F07F84" w:rsidP="00F07F84">
      <w:pPr>
        <w:pStyle w:val="1"/>
      </w:pPr>
      <w:r w:rsidRPr="001A3D2B">
        <w:br w:type="page"/>
      </w:r>
      <w:bookmarkStart w:id="901" w:name="_Toc420814808"/>
      <w:r w:rsidRPr="001A3D2B">
        <w:lastRenderedPageBreak/>
        <w:t>Title: Breast Cancer Research</w:t>
      </w:r>
      <w:bookmarkEnd w:id="901"/>
    </w:p>
    <w:p w:rsidR="00F07F84" w:rsidRPr="001A3D2B" w:rsidRDefault="00F07F84" w:rsidP="00F07F84">
      <w:pPr>
        <w:pStyle w:val="12"/>
      </w:pPr>
      <w:r w:rsidRPr="001A3D2B">
        <w:t>Full Journal Tit</w:t>
      </w:r>
      <w:bookmarkStart w:id="902" w:name="_Toc217786307"/>
      <w:r w:rsidRPr="001A3D2B">
        <w:t xml:space="preserve">le: </w:t>
      </w:r>
      <w:r w:rsidR="00206C8A">
        <w:fldChar w:fldCharType="begin"/>
      </w:r>
      <w:r w:rsidR="00FD158B">
        <w:instrText>HYPERLINK "http://breast</w:instrText>
      </w:r>
      <w:bookmarkEnd w:id="902"/>
      <w:r w:rsidR="00FD158B">
        <w:instrText>-cancer-research.com/home"</w:instrText>
      </w:r>
      <w:r w:rsidR="00206C8A">
        <w:fldChar w:fldCharType="separate"/>
      </w:r>
      <w:r w:rsidRPr="001A3D2B">
        <w:rPr>
          <w:rStyle w:val="a5"/>
        </w:rPr>
        <w:t>Breast Cancer Research</w:t>
      </w:r>
      <w:r w:rsidR="00206C8A">
        <w:fldChar w:fldCharType="end"/>
      </w:r>
    </w:p>
    <w:p w:rsidR="00F07F84" w:rsidRPr="001A3D2B" w:rsidRDefault="00F07F84" w:rsidP="00F07F84">
      <w:pPr>
        <w:pStyle w:val="12"/>
      </w:pPr>
      <w:r w:rsidRPr="001A3D2B">
        <w:t>ISO Abbreviated Title: Breast Cancer Res.</w:t>
      </w:r>
    </w:p>
    <w:p w:rsidR="00F07F84" w:rsidRPr="001A3D2B" w:rsidRDefault="00F07F84" w:rsidP="00F07F84">
      <w:pPr>
        <w:pStyle w:val="12"/>
      </w:pPr>
      <w:r w:rsidRPr="001A3D2B">
        <w:t>JCR Abbreviated Title: Breast Cancer Res</w:t>
      </w:r>
    </w:p>
    <w:p w:rsidR="00F07F84" w:rsidRPr="001A3D2B" w:rsidRDefault="00F07F84" w:rsidP="00F07F84">
      <w:pPr>
        <w:pStyle w:val="12"/>
      </w:pPr>
      <w:r w:rsidRPr="001A3D2B">
        <w:t>ISSN: 1465-542X</w:t>
      </w:r>
    </w:p>
    <w:p w:rsidR="00F07F84" w:rsidRPr="001A3D2B" w:rsidRDefault="00F07F84" w:rsidP="00F07F84">
      <w:pPr>
        <w:pStyle w:val="12"/>
      </w:pPr>
      <w:r w:rsidRPr="001A3D2B">
        <w:t>Issues/Year: 6</w:t>
      </w:r>
    </w:p>
    <w:p w:rsidR="00F07F84" w:rsidRPr="001A3D2B" w:rsidRDefault="00F07F84" w:rsidP="00F07F84">
      <w:pPr>
        <w:pStyle w:val="12"/>
      </w:pPr>
      <w:r w:rsidRPr="001A3D2B">
        <w:t>Journal Country/Territory: England</w:t>
      </w:r>
    </w:p>
    <w:p w:rsidR="00F07F84" w:rsidRPr="001A3D2B" w:rsidRDefault="00F07F84" w:rsidP="00F07F84">
      <w:pPr>
        <w:pStyle w:val="12"/>
      </w:pPr>
      <w:r w:rsidRPr="001A3D2B">
        <w:t>Language: English</w:t>
      </w:r>
    </w:p>
    <w:p w:rsidR="00F07F84" w:rsidRPr="001A3D2B" w:rsidRDefault="00F07F84" w:rsidP="00F07F84">
      <w:pPr>
        <w:pStyle w:val="12"/>
      </w:pPr>
      <w:r w:rsidRPr="001A3D2B">
        <w:t>Publisher: Biomed Central Ltd</w:t>
      </w:r>
    </w:p>
    <w:p w:rsidR="00F07F84" w:rsidRPr="001A3D2B" w:rsidRDefault="00F07F84" w:rsidP="00F07F84">
      <w:pPr>
        <w:pStyle w:val="12"/>
      </w:pPr>
      <w:r w:rsidRPr="001A3D2B">
        <w:t xml:space="preserve">Publisher Address: Middlesex House, 34-42 Cleveland St, London W1T </w:t>
      </w:r>
      <w:smartTag w:uri="urn:schemas-microsoft-com:office:smarttags" w:element="chmetcnv">
        <w:smartTagPr>
          <w:attr w:name="TCSC" w:val="0"/>
          <w:attr w:name="NumberType" w:val="1"/>
          <w:attr w:name="Negative" w:val="False"/>
          <w:attr w:name="HasSpace" w:val="False"/>
          <w:attr w:name="SourceValue" w:val="4"/>
          <w:attr w:name="UnitName" w:val="lb"/>
        </w:smartTagPr>
        <w:r w:rsidRPr="001A3D2B">
          <w:t>4LB</w:t>
        </w:r>
      </w:smartTag>
      <w:r w:rsidRPr="001A3D2B">
        <w:t>, England</w:t>
      </w:r>
    </w:p>
    <w:p w:rsidR="00F07F84" w:rsidRPr="001A3D2B" w:rsidRDefault="00F07F84" w:rsidP="00F07F84">
      <w:pPr>
        <w:pStyle w:val="12"/>
      </w:pPr>
      <w:r w:rsidRPr="001A3D2B">
        <w:t xml:space="preserve">Subject Categories: </w:t>
      </w:r>
    </w:p>
    <w:p w:rsidR="00F07F84" w:rsidRPr="001A3D2B" w:rsidRDefault="00F07F84" w:rsidP="00F07F84">
      <w:pPr>
        <w:pStyle w:val="12"/>
      </w:pPr>
      <w:r w:rsidRPr="001A3D2B">
        <w:t>Oncology: Impact Factor 2.817/(2002)</w:t>
      </w:r>
    </w:p>
    <w:p w:rsidR="00F07F84" w:rsidRPr="001A3D2B" w:rsidRDefault="00F07F84" w:rsidP="00F07F84">
      <w:pPr>
        <w:pStyle w:val="a3"/>
      </w:pPr>
      <w:r w:rsidRPr="001A3D2B">
        <w:t>? Mulvany, F.</w:t>
      </w:r>
      <w:r w:rsidR="005853A9">
        <w:t xml:space="preserve"> and </w:t>
      </w:r>
      <w:r w:rsidRPr="001A3D2B">
        <w:t xml:space="preserve">Ponder, B.A.J. (2008), </w:t>
      </w:r>
      <w:r w:rsidRPr="001A3D2B">
        <w:rPr>
          <w:i/>
          <w:iCs/>
        </w:rPr>
        <w:t>Breast Cancer Research</w:t>
      </w:r>
      <w:r w:rsidRPr="001A3D2B">
        <w:t xml:space="preserve"> -</w:t>
      </w:r>
      <w:r w:rsidR="003A1917">
        <w:t xml:space="preserve"> the </w:t>
      </w:r>
      <w:r w:rsidRPr="001A3D2B">
        <w:t xml:space="preserve">first ten years. </w:t>
      </w:r>
      <w:r w:rsidRPr="001A3D2B">
        <w:rPr>
          <w:i/>
          <w:iCs/>
        </w:rPr>
        <w:t>Breast Cancer Research</w:t>
      </w:r>
      <w:r w:rsidRPr="001A3D2B">
        <w:t xml:space="preserve">, </w:t>
      </w:r>
      <w:r w:rsidRPr="001A3D2B">
        <w:rPr>
          <w:b/>
          <w:bCs/>
        </w:rPr>
        <w:t>10</w:t>
      </w:r>
      <w:r w:rsidRPr="001A3D2B">
        <w:t xml:space="preserve"> (2), Article Number: 103.</w:t>
      </w:r>
    </w:p>
    <w:p w:rsidR="00F07F84" w:rsidRPr="001A3D2B" w:rsidRDefault="00F07F84" w:rsidP="00F07F84">
      <w:pPr>
        <w:pStyle w:val="a3"/>
      </w:pPr>
      <w:r w:rsidRPr="001A3D2B">
        <w:t xml:space="preserve">Full Text: </w:t>
      </w:r>
      <w:hyperlink r:id="rId1836" w:history="1">
        <w:r w:rsidRPr="001A3D2B">
          <w:rPr>
            <w:rStyle w:val="a5"/>
          </w:rPr>
          <w:t>2008\Bre Can Res10, 103.pdf</w:t>
        </w:r>
      </w:hyperlink>
    </w:p>
    <w:p w:rsidR="00E21F7D" w:rsidRDefault="00E21F7D" w:rsidP="00E21F7D">
      <w:pPr>
        <w:pStyle w:val="a3"/>
        <w:rPr>
          <w:kern w:val="0"/>
        </w:rPr>
      </w:pPr>
      <w:r>
        <w:rPr>
          <w:rFonts w:hint="eastAsia"/>
          <w:kern w:val="0"/>
        </w:rPr>
        <w:t xml:space="preserve">? </w:t>
      </w:r>
      <w:r>
        <w:rPr>
          <w:kern w:val="0"/>
        </w:rPr>
        <w:t>Glynn, R.W., Scutaru, C., Kerin, M.J.</w:t>
      </w:r>
      <w:r w:rsidR="005853A9">
        <w:rPr>
          <w:kern w:val="0"/>
        </w:rPr>
        <w:t xml:space="preserve"> and </w:t>
      </w:r>
      <w:r>
        <w:rPr>
          <w:kern w:val="0"/>
        </w:rPr>
        <w:t>Sweeney, K.J. (2010), Breast cancer research output, 1945-2008: A bibliometric</w:t>
      </w:r>
      <w:r w:rsidR="005853A9">
        <w:rPr>
          <w:kern w:val="0"/>
        </w:rPr>
        <w:t xml:space="preserve"> and </w:t>
      </w:r>
      <w:r>
        <w:rPr>
          <w:kern w:val="0"/>
        </w:rPr>
        <w:t xml:space="preserve">density-equalizing analysis. </w:t>
      </w:r>
      <w:r>
        <w:rPr>
          <w:i/>
          <w:iCs/>
          <w:kern w:val="0"/>
        </w:rPr>
        <w:t>Breast Cancer Research</w:t>
      </w:r>
      <w:r>
        <w:rPr>
          <w:kern w:val="0"/>
        </w:rPr>
        <w:t xml:space="preserve">, </w:t>
      </w:r>
      <w:r>
        <w:rPr>
          <w:b/>
          <w:bCs/>
          <w:kern w:val="0"/>
        </w:rPr>
        <w:t>12</w:t>
      </w:r>
      <w:r>
        <w:rPr>
          <w:kern w:val="0"/>
        </w:rPr>
        <w:t xml:space="preserve"> (6</w:t>
      </w:r>
      <w:r>
        <w:rPr>
          <w:rFonts w:hint="eastAsia"/>
          <w:kern w:val="0"/>
        </w:rPr>
        <w:t xml:space="preserve">), </w:t>
      </w:r>
      <w:r w:rsidRPr="008C2A50">
        <w:rPr>
          <w:kern w:val="0"/>
        </w:rPr>
        <w:t>Article Number: R108</w:t>
      </w:r>
      <w:r>
        <w:rPr>
          <w:kern w:val="0"/>
        </w:rPr>
        <w:t>.</w:t>
      </w:r>
    </w:p>
    <w:p w:rsidR="00E21F7D" w:rsidRPr="001A3D2B" w:rsidRDefault="00E21F7D" w:rsidP="00E21F7D">
      <w:pPr>
        <w:pStyle w:val="a3"/>
      </w:pPr>
      <w:r w:rsidRPr="001A3D2B">
        <w:t xml:space="preserve">Full Text: </w:t>
      </w:r>
      <w:hyperlink r:id="rId1837" w:history="1">
        <w:r w:rsidRPr="007D3D2D">
          <w:rPr>
            <w:rStyle w:val="a5"/>
          </w:rPr>
          <w:t>2010\Bre Can Res12, R108.pdf</w:t>
        </w:r>
      </w:hyperlink>
    </w:p>
    <w:p w:rsidR="00E21F7D" w:rsidRDefault="00E21F7D" w:rsidP="00E21F7D">
      <w:pPr>
        <w:pStyle w:val="a3"/>
        <w:rPr>
          <w:kern w:val="0"/>
        </w:rPr>
      </w:pPr>
      <w:r>
        <w:rPr>
          <w:kern w:val="0"/>
        </w:rPr>
        <w:t>Abstract: Introduction: Breast cancer is</w:t>
      </w:r>
      <w:r w:rsidR="003A1917">
        <w:rPr>
          <w:kern w:val="0"/>
        </w:rPr>
        <w:t xml:space="preserve"> the </w:t>
      </w:r>
      <w:r>
        <w:rPr>
          <w:kern w:val="0"/>
        </w:rPr>
        <w:t>most common form</w:t>
      </w:r>
      <w:r w:rsidR="00427468">
        <w:rPr>
          <w:kern w:val="0"/>
        </w:rPr>
        <w:t xml:space="preserve"> of </w:t>
      </w:r>
      <w:r>
        <w:rPr>
          <w:kern w:val="0"/>
        </w:rPr>
        <w:t>cancer among women, with an estimated 194,280 new cases diagnosed in</w:t>
      </w:r>
      <w:r w:rsidR="003A1917">
        <w:rPr>
          <w:kern w:val="0"/>
        </w:rPr>
        <w:t xml:space="preserve"> the </w:t>
      </w:r>
      <w:r>
        <w:rPr>
          <w:kern w:val="0"/>
        </w:rPr>
        <w:t>United States in 2009 alone</w:t>
      </w:r>
      <w:r w:rsidR="00A37C1D">
        <w:rPr>
          <w:kern w:val="0"/>
        </w:rPr>
        <w:t>. The</w:t>
      </w:r>
      <w:r w:rsidR="003A1917">
        <w:rPr>
          <w:kern w:val="0"/>
        </w:rPr>
        <w:t xml:space="preserve"> </w:t>
      </w:r>
      <w:r>
        <w:rPr>
          <w:kern w:val="0"/>
        </w:rPr>
        <w:t>primary aim</w:t>
      </w:r>
      <w:r w:rsidR="00427468">
        <w:rPr>
          <w:kern w:val="0"/>
        </w:rPr>
        <w:t xml:space="preserve"> of </w:t>
      </w:r>
      <w:r>
        <w:rPr>
          <w:kern w:val="0"/>
        </w:rPr>
        <w:t>this work was to provide an in-depth evaluation</w:t>
      </w:r>
      <w:r w:rsidR="00427468">
        <w:rPr>
          <w:kern w:val="0"/>
        </w:rPr>
        <w:t xml:space="preserve"> of </w:t>
      </w:r>
      <w:r>
        <w:rPr>
          <w:kern w:val="0"/>
        </w:rPr>
        <w:t>research yield in breast cancer from 1945 to 2008, using large-scale data analysis,</w:t>
      </w:r>
      <w:r w:rsidR="003A1917">
        <w:rPr>
          <w:kern w:val="0"/>
        </w:rPr>
        <w:t xml:space="preserve"> the </w:t>
      </w:r>
      <w:r>
        <w:rPr>
          <w:kern w:val="0"/>
        </w:rPr>
        <w:t>employment</w:t>
      </w:r>
      <w:r w:rsidR="00427468">
        <w:rPr>
          <w:kern w:val="0"/>
        </w:rPr>
        <w:t xml:space="preserve"> of </w:t>
      </w:r>
      <w:r>
        <w:rPr>
          <w:kern w:val="0"/>
        </w:rPr>
        <w:t>bibliometric indicators</w:t>
      </w:r>
      <w:r w:rsidR="00427468">
        <w:rPr>
          <w:kern w:val="0"/>
        </w:rPr>
        <w:t xml:space="preserve"> of </w:t>
      </w:r>
      <w:r>
        <w:rPr>
          <w:kern w:val="0"/>
        </w:rPr>
        <w:t>production</w:t>
      </w:r>
      <w:r w:rsidR="005853A9">
        <w:rPr>
          <w:kern w:val="0"/>
        </w:rPr>
        <w:t xml:space="preserve"> and </w:t>
      </w:r>
      <w:r>
        <w:rPr>
          <w:kern w:val="0"/>
        </w:rPr>
        <w:t>quality,</w:t>
      </w:r>
      <w:r w:rsidR="005853A9">
        <w:rPr>
          <w:kern w:val="0"/>
        </w:rPr>
        <w:t xml:space="preserve"> and </w:t>
      </w:r>
      <w:r>
        <w:rPr>
          <w:kern w:val="0"/>
        </w:rPr>
        <w:t>density-equalizing mapping. Methods: Data were retrieved from</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(WOS) Science Citation Expanded database; this was searched using</w:t>
      </w:r>
      <w:r w:rsidR="003A1917">
        <w:rPr>
          <w:kern w:val="0"/>
        </w:rPr>
        <w:t xml:space="preserve"> the </w:t>
      </w:r>
      <w:r>
        <w:rPr>
          <w:kern w:val="0"/>
        </w:rPr>
        <w:t xml:space="preserve">Boolean operator, </w:t>
      </w:r>
      <w:r w:rsidR="00700038">
        <w:rPr>
          <w:kern w:val="0"/>
        </w:rPr>
        <w:t>‘</w:t>
      </w:r>
      <w:r>
        <w:rPr>
          <w:kern w:val="0"/>
        </w:rPr>
        <w:t>OR</w:t>
      </w:r>
      <w:r w:rsidR="00700038">
        <w:rPr>
          <w:kern w:val="0"/>
        </w:rPr>
        <w:t>’</w:t>
      </w:r>
      <w:r>
        <w:rPr>
          <w:kern w:val="0"/>
        </w:rPr>
        <w:t xml:space="preserve">, with different terms related to breast cancer, including </w:t>
      </w:r>
      <w:r w:rsidR="00B5188C">
        <w:rPr>
          <w:kern w:val="0"/>
        </w:rPr>
        <w:t>“</w:t>
      </w:r>
      <w:r>
        <w:rPr>
          <w:kern w:val="0"/>
        </w:rPr>
        <w:t>breast cancer</w:t>
      </w:r>
      <w:r w:rsidR="00B5188C">
        <w:rPr>
          <w:kern w:val="0"/>
        </w:rPr>
        <w:t>”</w:t>
      </w:r>
      <w:r>
        <w:rPr>
          <w:kern w:val="0"/>
        </w:rPr>
        <w:t xml:space="preserve">, </w:t>
      </w:r>
      <w:r w:rsidR="00B5188C">
        <w:rPr>
          <w:kern w:val="0"/>
        </w:rPr>
        <w:t>“</w:t>
      </w:r>
      <w:r>
        <w:rPr>
          <w:kern w:val="0"/>
        </w:rPr>
        <w:t>mammary ductal carcinoma</w:t>
      </w:r>
      <w:r w:rsidR="00B5188C">
        <w:rPr>
          <w:kern w:val="0"/>
        </w:rPr>
        <w:t>”</w:t>
      </w:r>
      <w:r w:rsidR="005853A9">
        <w:rPr>
          <w:kern w:val="0"/>
        </w:rPr>
        <w:t xml:space="preserve"> and </w:t>
      </w:r>
      <w:r w:rsidR="00B5188C">
        <w:rPr>
          <w:kern w:val="0"/>
        </w:rPr>
        <w:t>“</w:t>
      </w:r>
      <w:r>
        <w:rPr>
          <w:kern w:val="0"/>
        </w:rPr>
        <w:t>breast tumour</w:t>
      </w:r>
      <w:r w:rsidR="00B5188C">
        <w:rPr>
          <w:kern w:val="0"/>
        </w:rPr>
        <w:t>”</w:t>
      </w:r>
      <w:r>
        <w:rPr>
          <w:kern w:val="0"/>
        </w:rPr>
        <w:t>. Data were then extracted from each file, transferred to Excel charts</w:t>
      </w:r>
      <w:r w:rsidR="005853A9">
        <w:rPr>
          <w:kern w:val="0"/>
        </w:rPr>
        <w:t xml:space="preserve"> and </w:t>
      </w:r>
      <w:r>
        <w:rPr>
          <w:kern w:val="0"/>
        </w:rPr>
        <w:t>visualised as diagrams. Mapping was performed as described by Groneberg-Kloft et al. in 2008. Results: A total</w:t>
      </w:r>
      <w:r w:rsidR="00427468">
        <w:rPr>
          <w:kern w:val="0"/>
        </w:rPr>
        <w:t xml:space="preserve"> of </w:t>
      </w:r>
      <w:r>
        <w:rPr>
          <w:kern w:val="0"/>
        </w:rPr>
        <w:t>180,126 breast cancer-associated items were produced over</w:t>
      </w:r>
      <w:r w:rsidR="003A1917">
        <w:rPr>
          <w:kern w:val="0"/>
        </w:rPr>
        <w:t xml:space="preserve"> the </w:t>
      </w:r>
      <w:r>
        <w:rPr>
          <w:kern w:val="0"/>
        </w:rPr>
        <w:t>study period; these had been cited 4,136,224 times</w:t>
      </w:r>
      <w:r w:rsidR="00A37C1D">
        <w:rPr>
          <w:kern w:val="0"/>
        </w:rPr>
        <w:t>. The</w:t>
      </w:r>
      <w:r w:rsidR="003A1917">
        <w:rPr>
          <w:kern w:val="0"/>
        </w:rPr>
        <w:t xml:space="preserve"> </w:t>
      </w:r>
      <w:r>
        <w:rPr>
          <w:kern w:val="0"/>
        </w:rPr>
        <w:t>United States returned</w:t>
      </w:r>
      <w:r w:rsidR="003A1917">
        <w:rPr>
          <w:kern w:val="0"/>
        </w:rPr>
        <w:t xml:space="preserve"> the </w:t>
      </w:r>
      <w:r>
        <w:rPr>
          <w:kern w:val="0"/>
        </w:rPr>
        <w:t>greatest level</w:t>
      </w:r>
      <w:r w:rsidR="00427468">
        <w:rPr>
          <w:kern w:val="0"/>
        </w:rPr>
        <w:t xml:space="preserve"> of </w:t>
      </w:r>
      <w:r>
        <w:rPr>
          <w:kern w:val="0"/>
        </w:rPr>
        <w:t>output (n = 77,101), followed by</w:t>
      </w:r>
      <w:r w:rsidR="003A1917">
        <w:rPr>
          <w:kern w:val="0"/>
        </w:rPr>
        <w:t xml:space="preserve"> the </w:t>
      </w:r>
      <w:r>
        <w:rPr>
          <w:kern w:val="0"/>
        </w:rPr>
        <w:t>UK (n = 18,357)</w:t>
      </w:r>
      <w:r w:rsidR="005853A9">
        <w:rPr>
          <w:kern w:val="0"/>
        </w:rPr>
        <w:t xml:space="preserve"> and </w:t>
      </w:r>
      <w:r>
        <w:rPr>
          <w:kern w:val="0"/>
        </w:rPr>
        <w:t>Germany (n = 12,529). International cooperation peaked in 2008, with 3,127 entries produced as a result; relationships between</w:t>
      </w:r>
      <w:r w:rsidR="003A1917">
        <w:rPr>
          <w:kern w:val="0"/>
        </w:rPr>
        <w:t xml:space="preserve"> the </w:t>
      </w:r>
      <w:r>
        <w:rPr>
          <w:kern w:val="0"/>
        </w:rPr>
        <w:t>United States</w:t>
      </w:r>
      <w:r w:rsidR="005853A9">
        <w:rPr>
          <w:kern w:val="0"/>
        </w:rPr>
        <w:t xml:space="preserve"> and </w:t>
      </w:r>
      <w:r>
        <w:rPr>
          <w:kern w:val="0"/>
        </w:rPr>
        <w:t>other countries formed</w:t>
      </w:r>
      <w:r w:rsidR="003A1917">
        <w:rPr>
          <w:kern w:val="0"/>
        </w:rPr>
        <w:t xml:space="preserve"> the </w:t>
      </w:r>
      <w:r>
        <w:rPr>
          <w:kern w:val="0"/>
        </w:rPr>
        <w:t>basis for</w:t>
      </w:r>
      <w:r w:rsidR="003A1917">
        <w:rPr>
          <w:kern w:val="0"/>
        </w:rPr>
        <w:t xml:space="preserve"> the </w:t>
      </w:r>
      <w:r>
        <w:rPr>
          <w:kern w:val="0"/>
        </w:rPr>
        <w:t>10 most common forms</w:t>
      </w:r>
      <w:r w:rsidR="00427468">
        <w:rPr>
          <w:kern w:val="0"/>
        </w:rPr>
        <w:t xml:space="preserve"> of </w:t>
      </w:r>
      <w:r>
        <w:rPr>
          <w:kern w:val="0"/>
        </w:rPr>
        <w:t>bilateral cooperation. Publications from nations with high levels</w:t>
      </w:r>
      <w:r w:rsidR="00427468">
        <w:rPr>
          <w:kern w:val="0"/>
        </w:rPr>
        <w:t xml:space="preserve"> of </w:t>
      </w:r>
      <w:r>
        <w:rPr>
          <w:kern w:val="0"/>
        </w:rPr>
        <w:t xml:space="preserve">international cooperation were associated with greater average citation rates. </w:t>
      </w:r>
      <w:r>
        <w:rPr>
          <w:kern w:val="0"/>
        </w:rPr>
        <w:lastRenderedPageBreak/>
        <w:t>A total</w:t>
      </w:r>
      <w:r w:rsidR="00427468">
        <w:rPr>
          <w:kern w:val="0"/>
        </w:rPr>
        <w:t xml:space="preserve"> of </w:t>
      </w:r>
      <w:r>
        <w:rPr>
          <w:kern w:val="0"/>
        </w:rPr>
        <w:t>4,096 journals published at least one item on breast cancer, although</w:t>
      </w:r>
      <w:r w:rsidR="003A1917">
        <w:rPr>
          <w:kern w:val="0"/>
        </w:rPr>
        <w:t xml:space="preserve"> the </w:t>
      </w:r>
      <w:r>
        <w:rPr>
          <w:kern w:val="0"/>
        </w:rPr>
        <w:t>top 50 most prolific titles together accounted for over 43% (77,517/180,126)</w:t>
      </w:r>
      <w:r w:rsidR="00427468">
        <w:rPr>
          <w:kern w:val="0"/>
        </w:rPr>
        <w:t xml:space="preserve"> of </w:t>
      </w:r>
      <w:r w:rsidR="003A1917">
        <w:rPr>
          <w:kern w:val="0"/>
        </w:rPr>
        <w:t xml:space="preserve">the </w:t>
      </w:r>
      <w:r>
        <w:rPr>
          <w:kern w:val="0"/>
        </w:rPr>
        <w:t>total output. Conclusions: Breast cancer-associated research output continues to increase annually. In an era when bibliometric indicators are increasingly being employed in performance assessment, these findings should provide useful information for those tasked with improving that performance.</w:t>
      </w:r>
    </w:p>
    <w:p w:rsidR="00E21F7D" w:rsidRDefault="00E21F7D" w:rsidP="00E21F7D">
      <w:pPr>
        <w:pStyle w:val="a3"/>
        <w:rPr>
          <w:kern w:val="0"/>
        </w:rPr>
      </w:pPr>
      <w:r>
        <w:rPr>
          <w:kern w:val="0"/>
        </w:rPr>
        <w:t>Keywords: Analysis, Assessment, Bibliometric, Bibliometric Indicators, Breast Cancer, Cancer, Citation, Cooperation, Data, Data Analysis, Database, Employment, Evaluation, Forms, Germany, Indicators, Information, International, International Cooperation, Journals, Mapping, Nations, Performance, Primary, Publications, Quality, Rates, Research, Science</w:t>
      </w:r>
      <w:r w:rsidR="00D5664A">
        <w:rPr>
          <w:kern w:val="0"/>
        </w:rPr>
        <w:t>, UK,</w:t>
      </w:r>
      <w:r>
        <w:rPr>
          <w:kern w:val="0"/>
        </w:rPr>
        <w:t xml:space="preserve"> United States, </w:t>
      </w:r>
      <w:r w:rsidR="00D5664A">
        <w:rPr>
          <w:kern w:val="0"/>
        </w:rPr>
        <w:t>Web</w:t>
      </w:r>
      <w:r w:rsidR="00427468">
        <w:rPr>
          <w:kern w:val="0"/>
        </w:rPr>
        <w:t xml:space="preserve"> of </w:t>
      </w:r>
      <w:r w:rsidR="00D5664A">
        <w:rPr>
          <w:kern w:val="0"/>
        </w:rPr>
        <w:t>Science</w:t>
      </w:r>
      <w:r>
        <w:rPr>
          <w:kern w:val="0"/>
        </w:rPr>
        <w:t>, Women, Work, WoS</w:t>
      </w:r>
    </w:p>
    <w:p w:rsidR="00F87C3E" w:rsidRPr="00FC7835" w:rsidRDefault="00F87C3E" w:rsidP="00F87C3E">
      <w:pPr>
        <w:pStyle w:val="1"/>
      </w:pPr>
      <w:r w:rsidRPr="00FC7835">
        <w:rPr>
          <w:b w:val="0"/>
        </w:rPr>
        <w:br w:type="page"/>
      </w:r>
      <w:bookmarkStart w:id="903" w:name="_Toc420814809"/>
      <w:r w:rsidRPr="00FC7835">
        <w:lastRenderedPageBreak/>
        <w:t>Title: Breast Cancer Research</w:t>
      </w:r>
      <w:r w:rsidR="005853A9">
        <w:t xml:space="preserve"> and </w:t>
      </w:r>
      <w:r w:rsidRPr="00FC7835">
        <w:t>Treatment</w:t>
      </w:r>
      <w:bookmarkEnd w:id="903"/>
    </w:p>
    <w:p w:rsidR="00F87C3E" w:rsidRPr="00FC7835" w:rsidRDefault="00F87C3E" w:rsidP="00F87C3E">
      <w:pPr>
        <w:pStyle w:val="12"/>
      </w:pPr>
      <w:r w:rsidRPr="00FC7835">
        <w:t>Fu</w:t>
      </w:r>
      <w:bookmarkStart w:id="904" w:name="_Toc294278454"/>
      <w:r w:rsidRPr="00FC7835">
        <w:t xml:space="preserve">ll Journal Title: </w:t>
      </w:r>
      <w:r w:rsidR="00206C8A">
        <w:fldChar w:fldCharType="begin"/>
      </w:r>
      <w:r w:rsidR="00FD158B">
        <w:instrText>HYPERLINK "http://www.kl</w:instrText>
      </w:r>
      <w:bookmarkEnd w:id="904"/>
      <w:r w:rsidR="00FD158B">
        <w:instrText>uweronline.com/issn/0167-6806/"</w:instrText>
      </w:r>
      <w:r w:rsidR="00206C8A">
        <w:fldChar w:fldCharType="separate"/>
      </w:r>
      <w:r w:rsidRPr="00FC7835">
        <w:rPr>
          <w:rStyle w:val="a5"/>
        </w:rPr>
        <w:t>Breast Cancer Research</w:t>
      </w:r>
      <w:r w:rsidR="005853A9">
        <w:rPr>
          <w:rStyle w:val="a5"/>
        </w:rPr>
        <w:t xml:space="preserve"> and </w:t>
      </w:r>
      <w:r w:rsidRPr="00FC7835">
        <w:rPr>
          <w:rStyle w:val="a5"/>
        </w:rPr>
        <w:t>Treatment</w:t>
      </w:r>
      <w:r w:rsidR="00206C8A">
        <w:fldChar w:fldCharType="end"/>
      </w:r>
    </w:p>
    <w:p w:rsidR="00F87C3E" w:rsidRPr="00FC7835" w:rsidRDefault="00F87C3E" w:rsidP="00F87C3E">
      <w:pPr>
        <w:pStyle w:val="12"/>
      </w:pPr>
      <w:r w:rsidRPr="00FC7835">
        <w:t>ISO Abbreviated Title: Breast Cancer Res. Treat.</w:t>
      </w:r>
    </w:p>
    <w:p w:rsidR="00F87C3E" w:rsidRPr="00FC7835" w:rsidRDefault="00F87C3E" w:rsidP="00F87C3E">
      <w:pPr>
        <w:pStyle w:val="12"/>
      </w:pPr>
      <w:r w:rsidRPr="00FC7835">
        <w:t xml:space="preserve">JCR Abbreviated Title: Breast Cancer Res </w:t>
      </w:r>
      <w:r w:rsidR="006F2F90" w:rsidRPr="00FC7835">
        <w:t>Treat</w:t>
      </w:r>
    </w:p>
    <w:p w:rsidR="00F87C3E" w:rsidRPr="00FC7835" w:rsidRDefault="00F87C3E" w:rsidP="00F87C3E">
      <w:pPr>
        <w:pStyle w:val="12"/>
      </w:pPr>
      <w:r w:rsidRPr="00FC7835">
        <w:t>ISSN: 0167-6806</w:t>
      </w:r>
    </w:p>
    <w:p w:rsidR="00F87C3E" w:rsidRPr="00FC7835" w:rsidRDefault="00F87C3E" w:rsidP="00F87C3E">
      <w:pPr>
        <w:pStyle w:val="12"/>
      </w:pPr>
      <w:r w:rsidRPr="00FC7835">
        <w:t>Issues/Year: 18</w:t>
      </w:r>
    </w:p>
    <w:p w:rsidR="00F87C3E" w:rsidRPr="00FC7835" w:rsidRDefault="00F87C3E" w:rsidP="00F87C3E">
      <w:pPr>
        <w:pStyle w:val="12"/>
      </w:pPr>
      <w:r w:rsidRPr="00FC7835">
        <w:t>Journal Country/Territory: United States</w:t>
      </w:r>
    </w:p>
    <w:p w:rsidR="00F87C3E" w:rsidRPr="00FC7835" w:rsidRDefault="00F87C3E" w:rsidP="00F87C3E">
      <w:pPr>
        <w:pStyle w:val="12"/>
      </w:pPr>
      <w:r w:rsidRPr="00FC7835">
        <w:t>Language: English</w:t>
      </w:r>
    </w:p>
    <w:p w:rsidR="00F87C3E" w:rsidRPr="00FC7835" w:rsidRDefault="00F87C3E" w:rsidP="00F87C3E">
      <w:pPr>
        <w:pStyle w:val="12"/>
      </w:pPr>
      <w:r w:rsidRPr="00FC7835">
        <w:t>Publisher: Kluwer Academic Publ</w:t>
      </w:r>
    </w:p>
    <w:p w:rsidR="00F87C3E" w:rsidRPr="00FC7835" w:rsidRDefault="00F87C3E" w:rsidP="00F87C3E">
      <w:pPr>
        <w:pStyle w:val="12"/>
      </w:pPr>
      <w:r w:rsidRPr="00FC7835">
        <w:t>Publisher Address: Spuiboulevard 50</w:t>
      </w:r>
      <w:r>
        <w:t xml:space="preserve">, </w:t>
      </w:r>
      <w:r w:rsidRPr="00FC7835">
        <w:t>PO Box 17</w:t>
      </w:r>
      <w:r>
        <w:t xml:space="preserve">, </w:t>
      </w:r>
      <w:r w:rsidRPr="00FC7835">
        <w:t>3300 AA Dordrecht</w:t>
      </w:r>
      <w:r>
        <w:t xml:space="preserve">, </w:t>
      </w:r>
      <w:r w:rsidRPr="00FC7835">
        <w:t>Netherlands</w:t>
      </w:r>
    </w:p>
    <w:p w:rsidR="00F87C3E" w:rsidRPr="00FC7835" w:rsidRDefault="00F87C3E" w:rsidP="00F87C3E">
      <w:pPr>
        <w:pStyle w:val="12"/>
      </w:pPr>
      <w:r w:rsidRPr="00FC7835">
        <w:t xml:space="preserve">Subject Categories: </w:t>
      </w:r>
    </w:p>
    <w:p w:rsidR="00F87C3E" w:rsidRPr="00FC7835" w:rsidRDefault="00F87C3E" w:rsidP="00F87C3E">
      <w:pPr>
        <w:pStyle w:val="12"/>
      </w:pPr>
      <w:r w:rsidRPr="00FC7835">
        <w:t>Oncology: Impact Factor 2.817</w:t>
      </w:r>
      <w:r>
        <w:t xml:space="preserve">, </w:t>
      </w:r>
      <w:r w:rsidRPr="00FC7835">
        <w:t>38/114 (2002)</w:t>
      </w:r>
    </w:p>
    <w:p w:rsidR="006F2F90" w:rsidRDefault="006F2F90" w:rsidP="006F2F90">
      <w:pPr>
        <w:pStyle w:val="a3"/>
        <w:rPr>
          <w:kern w:val="0"/>
        </w:rPr>
      </w:pPr>
      <w:r>
        <w:rPr>
          <w:rFonts w:hint="eastAsia"/>
          <w:kern w:val="0"/>
        </w:rPr>
        <w:t xml:space="preserve">? </w:t>
      </w:r>
      <w:r>
        <w:rPr>
          <w:kern w:val="0"/>
        </w:rPr>
        <w:t>Ma, X.Y., Chen, C.H., Xiong, H.Y., Fan, J., Li, Y.F., Lin, H., Xu, R.F., Huang, G.R.</w:t>
      </w:r>
      <w:r w:rsidR="005853A9">
        <w:rPr>
          <w:kern w:val="0"/>
        </w:rPr>
        <w:t xml:space="preserve"> and </w:t>
      </w:r>
      <w:r>
        <w:rPr>
          <w:kern w:val="0"/>
        </w:rPr>
        <w:t>Xu, B. (2010), No association between SOD2 Val16Ala polymorphism</w:t>
      </w:r>
      <w:r w:rsidR="005853A9">
        <w:rPr>
          <w:kern w:val="0"/>
        </w:rPr>
        <w:t xml:space="preserve"> and </w:t>
      </w:r>
      <w:r>
        <w:rPr>
          <w:kern w:val="0"/>
        </w:rPr>
        <w:t>breast cancer susceptibility: A meta-analysis based on 9,710 cases</w:t>
      </w:r>
      <w:r w:rsidR="005853A9">
        <w:rPr>
          <w:kern w:val="0"/>
        </w:rPr>
        <w:t xml:space="preserve"> and </w:t>
      </w:r>
      <w:r>
        <w:rPr>
          <w:kern w:val="0"/>
        </w:rPr>
        <w:t xml:space="preserve">11,041 controls.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122</w:t>
      </w:r>
      <w:r>
        <w:rPr>
          <w:kern w:val="0"/>
        </w:rPr>
        <w:t xml:space="preserve"> (2), 509-514.</w:t>
      </w:r>
    </w:p>
    <w:p w:rsidR="006F2F90" w:rsidRDefault="006F2F90" w:rsidP="006F2F90">
      <w:pPr>
        <w:pStyle w:val="a3"/>
      </w:pPr>
      <w:r>
        <w:t>Full Text:</w:t>
      </w:r>
      <w:r w:rsidRPr="00FC7835">
        <w:t xml:space="preserve"> </w:t>
      </w:r>
      <w:r>
        <w:t>201</w:t>
      </w:r>
      <w:r>
        <w:rPr>
          <w:rFonts w:hint="eastAsia"/>
        </w:rPr>
        <w:t>0</w:t>
      </w:r>
      <w:r>
        <w:t>\Bre Can Res Tre12</w:t>
      </w:r>
      <w:r>
        <w:rPr>
          <w:rFonts w:hint="eastAsia"/>
        </w:rPr>
        <w:t>2</w:t>
      </w:r>
      <w:r>
        <w:t xml:space="preserve">, </w:t>
      </w:r>
      <w:r>
        <w:rPr>
          <w:rFonts w:hint="eastAsia"/>
        </w:rPr>
        <w:t>509</w:t>
      </w:r>
      <w:r w:rsidRPr="00F34360">
        <w:t>.pdf</w:t>
      </w:r>
    </w:p>
    <w:p w:rsidR="006F2F90" w:rsidRDefault="006F2F90" w:rsidP="006F2F90">
      <w:pPr>
        <w:pStyle w:val="a3"/>
        <w:rPr>
          <w:kern w:val="0"/>
        </w:rPr>
      </w:pPr>
      <w:r>
        <w:rPr>
          <w:kern w:val="0"/>
        </w:rPr>
        <w:t>Abstract: Breast cancer is</w:t>
      </w:r>
      <w:r w:rsidR="003A1917">
        <w:rPr>
          <w:kern w:val="0"/>
        </w:rPr>
        <w:t xml:space="preserve"> the </w:t>
      </w:r>
      <w:r>
        <w:rPr>
          <w:kern w:val="0"/>
        </w:rPr>
        <w:t>most common cancer in women worldwide, but its etiology is still unclear. It is believed that oxidative stress plays an essential role in</w:t>
      </w:r>
      <w:r w:rsidR="003A1917">
        <w:rPr>
          <w:kern w:val="0"/>
        </w:rPr>
        <w:t xml:space="preserve"> the </w:t>
      </w:r>
      <w:r>
        <w:rPr>
          <w:kern w:val="0"/>
        </w:rPr>
        <w:t>development</w:t>
      </w:r>
      <w:r w:rsidR="00427468">
        <w:rPr>
          <w:kern w:val="0"/>
        </w:rPr>
        <w:t xml:space="preserve"> of </w:t>
      </w:r>
      <w:r>
        <w:rPr>
          <w:kern w:val="0"/>
        </w:rPr>
        <w:t>breast cancer, while SOD2 is one</w:t>
      </w:r>
      <w:r w:rsidR="00427468">
        <w:rPr>
          <w:kern w:val="0"/>
        </w:rPr>
        <w:t xml:space="preserve"> of </w:t>
      </w:r>
      <w:r w:rsidR="003A1917">
        <w:rPr>
          <w:kern w:val="0"/>
        </w:rPr>
        <w:t xml:space="preserve">the </w:t>
      </w:r>
      <w:r>
        <w:rPr>
          <w:kern w:val="0"/>
        </w:rPr>
        <w:t>primary enzymes that directly convert potential harmful oxidizing species to harmless metabolites</w:t>
      </w:r>
      <w:r w:rsidR="00A37C1D">
        <w:rPr>
          <w:kern w:val="0"/>
        </w:rPr>
        <w:t>. The</w:t>
      </w:r>
      <w:r w:rsidR="003A1917">
        <w:rPr>
          <w:kern w:val="0"/>
        </w:rPr>
        <w:t xml:space="preserve"> </w:t>
      </w:r>
      <w:r>
        <w:rPr>
          <w:kern w:val="0"/>
        </w:rPr>
        <w:t>association</w:t>
      </w:r>
      <w:r w:rsidR="00427468">
        <w:rPr>
          <w:kern w:val="0"/>
        </w:rPr>
        <w:t xml:space="preserve"> of </w:t>
      </w:r>
      <w:r>
        <w:rPr>
          <w:kern w:val="0"/>
        </w:rPr>
        <w:t>SOD2 Val16Ala polymorphism</w:t>
      </w:r>
      <w:r w:rsidR="005853A9">
        <w:rPr>
          <w:kern w:val="0"/>
        </w:rPr>
        <w:t xml:space="preserve"> and </w:t>
      </w:r>
      <w:r>
        <w:rPr>
          <w:kern w:val="0"/>
        </w:rPr>
        <w:t>breast cancer risk has been widely reported, but results</w:t>
      </w:r>
      <w:r w:rsidR="00427468">
        <w:rPr>
          <w:kern w:val="0"/>
        </w:rPr>
        <w:t xml:space="preserve"> of </w:t>
      </w:r>
      <w:r>
        <w:rPr>
          <w:kern w:val="0"/>
        </w:rPr>
        <w:t>previous studies were somewhat contradictory</w:t>
      </w:r>
      <w:r w:rsidR="005853A9">
        <w:rPr>
          <w:kern w:val="0"/>
        </w:rPr>
        <w:t xml:space="preserve"> and </w:t>
      </w:r>
      <w:r>
        <w:rPr>
          <w:kern w:val="0"/>
        </w:rPr>
        <w:t>underpowered. To overcome</w:t>
      </w:r>
      <w:r w:rsidR="003A1917">
        <w:rPr>
          <w:kern w:val="0"/>
        </w:rPr>
        <w:t xml:space="preserve"> the </w:t>
      </w:r>
      <w:r>
        <w:rPr>
          <w:kern w:val="0"/>
        </w:rPr>
        <w:t>limitations</w:t>
      </w:r>
      <w:r w:rsidR="00427468">
        <w:rPr>
          <w:kern w:val="0"/>
        </w:rPr>
        <w:t xml:space="preserve"> of </w:t>
      </w:r>
      <w:r>
        <w:rPr>
          <w:kern w:val="0"/>
        </w:rPr>
        <w:t>individual study</w:t>
      </w:r>
      <w:r w:rsidR="005853A9">
        <w:rPr>
          <w:kern w:val="0"/>
        </w:rPr>
        <w:t xml:space="preserve"> and </w:t>
      </w:r>
      <w:r>
        <w:rPr>
          <w:kern w:val="0"/>
        </w:rPr>
        <w:t>to understand</w:t>
      </w:r>
      <w:r w:rsidR="003A1917">
        <w:rPr>
          <w:kern w:val="0"/>
        </w:rPr>
        <w:t xml:space="preserve"> the </w:t>
      </w:r>
      <w:r>
        <w:rPr>
          <w:kern w:val="0"/>
        </w:rPr>
        <w:t>real situation, we conducted a systematic review</w:t>
      </w:r>
      <w:r w:rsidR="005853A9">
        <w:rPr>
          <w:kern w:val="0"/>
        </w:rPr>
        <w:t xml:space="preserve"> and </w:t>
      </w:r>
      <w:r>
        <w:rPr>
          <w:kern w:val="0"/>
        </w:rPr>
        <w:t>meta-analysis toward</w:t>
      </w:r>
      <w:r w:rsidR="003A1917">
        <w:rPr>
          <w:kern w:val="0"/>
        </w:rPr>
        <w:t xml:space="preserve"> the </w:t>
      </w:r>
      <w:r>
        <w:rPr>
          <w:kern w:val="0"/>
        </w:rPr>
        <w:t>association between SOD2 Val16Ala polymorphism</w:t>
      </w:r>
      <w:r w:rsidR="005853A9">
        <w:rPr>
          <w:kern w:val="0"/>
        </w:rPr>
        <w:t xml:space="preserve"> and </w:t>
      </w:r>
      <w:r>
        <w:rPr>
          <w:kern w:val="0"/>
        </w:rPr>
        <w:t xml:space="preserve">breast cancer. Through retrieving </w:t>
      </w:r>
      <w:r w:rsidR="00D5664A">
        <w:rPr>
          <w:kern w:val="0"/>
        </w:rPr>
        <w:t>MEDLINE</w:t>
      </w:r>
      <w:r>
        <w:rPr>
          <w:kern w:val="0"/>
        </w:rPr>
        <w:t xml:space="preserve">, </w:t>
      </w:r>
      <w:r w:rsidR="002C12F0">
        <w:rPr>
          <w:kern w:val="0"/>
        </w:rPr>
        <w:t>PUBMED</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a total</w:t>
      </w:r>
      <w:r w:rsidR="00427468">
        <w:rPr>
          <w:kern w:val="0"/>
        </w:rPr>
        <w:t xml:space="preserve"> of </w:t>
      </w:r>
      <w:r>
        <w:rPr>
          <w:kern w:val="0"/>
        </w:rPr>
        <w:t>17 studies with 9,710 cases</w:t>
      </w:r>
      <w:r w:rsidR="005853A9">
        <w:rPr>
          <w:kern w:val="0"/>
        </w:rPr>
        <w:t xml:space="preserve"> and </w:t>
      </w:r>
      <w:r>
        <w:rPr>
          <w:kern w:val="0"/>
        </w:rPr>
        <w:t>11,041 controls were identified</w:t>
      </w:r>
      <w:r w:rsidR="00A37C1D">
        <w:rPr>
          <w:kern w:val="0"/>
        </w:rPr>
        <w:t>. The</w:t>
      </w:r>
      <w:r w:rsidR="003A1917">
        <w:rPr>
          <w:kern w:val="0"/>
        </w:rPr>
        <w:t xml:space="preserve"> </w:t>
      </w:r>
      <w:r>
        <w:rPr>
          <w:kern w:val="0"/>
        </w:rPr>
        <w:t>results showed that no significant associations were found for</w:t>
      </w:r>
      <w:r w:rsidR="003A1917">
        <w:rPr>
          <w:kern w:val="0"/>
        </w:rPr>
        <w:t xml:space="preserve"> the </w:t>
      </w:r>
      <w:r>
        <w:rPr>
          <w:kern w:val="0"/>
        </w:rPr>
        <w:t>allele contrast (allele Ala vs. allele Val: OR = 1.020, 95% CI = 0.979-1.062), additive genetic model (Ala/Ala vs. Val/Val: OR = 1.091, 95% CI = 0.969-1.229), dominant genetic model (Ala/Ala +Ala/Val vs. Val/Val: OR = 1.045, 95% CI = 0.961-1.136),</w:t>
      </w:r>
      <w:r w:rsidR="005853A9">
        <w:rPr>
          <w:kern w:val="0"/>
        </w:rPr>
        <w:t xml:space="preserve"> and </w:t>
      </w:r>
      <w:r>
        <w:rPr>
          <w:kern w:val="0"/>
        </w:rPr>
        <w:t>recessive genetic model (Ala/Ala vs. Val/Val +Ala/Val: OR = 1.027, 95% CI = 0.956-1.102). In</w:t>
      </w:r>
      <w:r w:rsidR="003A1917">
        <w:rPr>
          <w:kern w:val="0"/>
        </w:rPr>
        <w:t xml:space="preserve"> the </w:t>
      </w:r>
      <w:r>
        <w:rPr>
          <w:kern w:val="0"/>
        </w:rPr>
        <w:t>stratified analysis by ethnicity</w:t>
      </w:r>
      <w:r w:rsidR="005853A9">
        <w:rPr>
          <w:kern w:val="0"/>
        </w:rPr>
        <w:t xml:space="preserve"> and </w:t>
      </w:r>
      <w:r>
        <w:rPr>
          <w:kern w:val="0"/>
        </w:rPr>
        <w:t>menopa</w:t>
      </w:r>
      <w:r w:rsidR="00D5664A">
        <w:rPr>
          <w:kern w:val="0"/>
        </w:rPr>
        <w:t>USA</w:t>
      </w:r>
      <w:r>
        <w:rPr>
          <w:kern w:val="0"/>
        </w:rPr>
        <w:t>l status, significant associations were also not detected in all genetic models. Conclusively, this meta-analysis strongly suggests that SOD2 Val16Ala polymorphism is not associated with breast cancer susceptibility.</w:t>
      </w:r>
    </w:p>
    <w:p w:rsidR="006F2F90" w:rsidRDefault="006F2F90" w:rsidP="006F2F90">
      <w:pPr>
        <w:pStyle w:val="a3"/>
        <w:rPr>
          <w:kern w:val="0"/>
        </w:rPr>
      </w:pPr>
      <w:r>
        <w:rPr>
          <w:kern w:val="0"/>
        </w:rPr>
        <w:t xml:space="preserve">Keywords: Ala-9val Polymorphism, Analysis, Antioxidants, Breast Cancer, Cancer, </w:t>
      </w:r>
      <w:r>
        <w:rPr>
          <w:kern w:val="0"/>
        </w:rPr>
        <w:lastRenderedPageBreak/>
        <w:t xml:space="preserve">Clinical-Trials, Development, Environmental Modifiers, Ethnicity, Etiology, Genetic, Genotype, Manganese Superoxide-Dismutase, </w:t>
      </w:r>
      <w:r w:rsidR="00D5664A">
        <w:rPr>
          <w:kern w:val="0"/>
        </w:rPr>
        <w:t>MEDLINE</w:t>
      </w:r>
      <w:r>
        <w:rPr>
          <w:kern w:val="0"/>
        </w:rPr>
        <w:t xml:space="preserve">, Meta-Analysis, Metabolites, Mnsod Gene Polymorphism, Model, Oxidative Stress, Polymorphism, Population, Primary, </w:t>
      </w:r>
      <w:r w:rsidR="002C12F0">
        <w:rPr>
          <w:kern w:val="0"/>
        </w:rPr>
        <w:t>PUBMED</w:t>
      </w:r>
      <w:r>
        <w:rPr>
          <w:kern w:val="0"/>
        </w:rPr>
        <w:t xml:space="preserve">, Review, Risk, Science, SOD2, Stress, Susceptibility, Systematic, Systematic Review, </w:t>
      </w:r>
      <w:r w:rsidR="00D5664A">
        <w:rPr>
          <w:kern w:val="0"/>
        </w:rPr>
        <w:t>Web</w:t>
      </w:r>
      <w:r w:rsidR="00427468">
        <w:rPr>
          <w:kern w:val="0"/>
        </w:rPr>
        <w:t xml:space="preserve"> of </w:t>
      </w:r>
      <w:r w:rsidR="00D5664A">
        <w:rPr>
          <w:kern w:val="0"/>
        </w:rPr>
        <w:t>Science</w:t>
      </w:r>
      <w:r>
        <w:rPr>
          <w:kern w:val="0"/>
        </w:rPr>
        <w:t>, Women</w:t>
      </w:r>
    </w:p>
    <w:p w:rsidR="006F2F90" w:rsidRDefault="006F2F90" w:rsidP="006F2F90">
      <w:pPr>
        <w:pStyle w:val="a3"/>
        <w:rPr>
          <w:kern w:val="0"/>
        </w:rPr>
      </w:pPr>
      <w:r>
        <w:rPr>
          <w:rFonts w:hint="eastAsia"/>
          <w:kern w:val="0"/>
        </w:rPr>
        <w:t xml:space="preserve">? </w:t>
      </w:r>
      <w:r>
        <w:rPr>
          <w:kern w:val="0"/>
        </w:rPr>
        <w:t>Ma, X.Y., Chen, C.H., Xiong, H.Y.</w:t>
      </w:r>
      <w:r w:rsidR="005853A9">
        <w:rPr>
          <w:kern w:val="0"/>
        </w:rPr>
        <w:t xml:space="preserve"> and </w:t>
      </w:r>
      <w:r>
        <w:rPr>
          <w:kern w:val="0"/>
        </w:rPr>
        <w:t>Li, Y.F. (2010), Transforming growth factor beta 1 L10P variant plays an active role on</w:t>
      </w:r>
      <w:r w:rsidR="003A1917">
        <w:rPr>
          <w:kern w:val="0"/>
        </w:rPr>
        <w:t xml:space="preserve"> the </w:t>
      </w:r>
      <w:r>
        <w:rPr>
          <w:kern w:val="0"/>
        </w:rPr>
        <w:t>breast cancer susceptibility in Caucasian: Evidence from 10,392 cases</w:t>
      </w:r>
      <w:r w:rsidR="005853A9">
        <w:rPr>
          <w:kern w:val="0"/>
        </w:rPr>
        <w:t xml:space="preserve"> and </w:t>
      </w:r>
      <w:r>
        <w:rPr>
          <w:kern w:val="0"/>
        </w:rPr>
        <w:t xml:space="preserve">11,697 controls.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124</w:t>
      </w:r>
      <w:r>
        <w:rPr>
          <w:kern w:val="0"/>
        </w:rPr>
        <w:t xml:space="preserve"> (2), 453-457.</w:t>
      </w:r>
    </w:p>
    <w:p w:rsidR="006C23F5" w:rsidRDefault="006C23F5" w:rsidP="006C23F5">
      <w:pPr>
        <w:pStyle w:val="a3"/>
      </w:pPr>
      <w:r>
        <w:t>Full Text:</w:t>
      </w:r>
      <w:r w:rsidRPr="00FC7835">
        <w:t xml:space="preserve"> </w:t>
      </w:r>
      <w:hyperlink r:id="rId1838" w:history="1">
        <w:r w:rsidRPr="00DB2F3F">
          <w:rPr>
            <w:rStyle w:val="a5"/>
          </w:rPr>
          <w:t>2010\Bre Can Res Tre124, 453.pdf</w:t>
        </w:r>
      </w:hyperlink>
    </w:p>
    <w:p w:rsidR="006F2F90" w:rsidRDefault="006F2F90" w:rsidP="006F2F90">
      <w:pPr>
        <w:pStyle w:val="a3"/>
        <w:rPr>
          <w:kern w:val="0"/>
        </w:rPr>
      </w:pPr>
      <w:r>
        <w:rPr>
          <w:kern w:val="0"/>
        </w:rPr>
        <w:t>Abstract: In view</w:t>
      </w:r>
      <w:r w:rsidR="00427468">
        <w:rPr>
          <w:kern w:val="0"/>
        </w:rPr>
        <w:t xml:space="preserve"> of </w:t>
      </w:r>
      <w:r w:rsidR="003A1917">
        <w:rPr>
          <w:kern w:val="0"/>
        </w:rPr>
        <w:t xml:space="preserve">the </w:t>
      </w:r>
      <w:r>
        <w:rPr>
          <w:kern w:val="0"/>
        </w:rPr>
        <w:t>essential role</w:t>
      </w:r>
      <w:r w:rsidR="00427468">
        <w:rPr>
          <w:kern w:val="0"/>
        </w:rPr>
        <w:t xml:space="preserve"> of </w:t>
      </w:r>
      <w:r>
        <w:rPr>
          <w:kern w:val="0"/>
        </w:rPr>
        <w:t>Transforming Growth Factor beta 1 (TGFB1) on both inhibiting</w:t>
      </w:r>
      <w:r w:rsidR="003A1917">
        <w:rPr>
          <w:kern w:val="0"/>
        </w:rPr>
        <w:t xml:space="preserve"> the </w:t>
      </w:r>
      <w:r>
        <w:rPr>
          <w:kern w:val="0"/>
        </w:rPr>
        <w:t>development</w:t>
      </w:r>
      <w:r w:rsidR="00427468">
        <w:rPr>
          <w:kern w:val="0"/>
        </w:rPr>
        <w:t xml:space="preserve"> of </w:t>
      </w:r>
      <w:r>
        <w:rPr>
          <w:kern w:val="0"/>
        </w:rPr>
        <w:t>early benign breast tumors as well as promoting tumor invasion,</w:t>
      </w:r>
      <w:r w:rsidR="003A1917">
        <w:rPr>
          <w:kern w:val="0"/>
        </w:rPr>
        <w:t xml:space="preserve"> the </w:t>
      </w:r>
      <w:r>
        <w:rPr>
          <w:kern w:val="0"/>
        </w:rPr>
        <w:t>association</w:t>
      </w:r>
      <w:r w:rsidR="00427468">
        <w:rPr>
          <w:kern w:val="0"/>
        </w:rPr>
        <w:t xml:space="preserve"> of </w:t>
      </w:r>
      <w:r>
        <w:rPr>
          <w:kern w:val="0"/>
        </w:rPr>
        <w:t>TGFB1 L10P polymorphism</w:t>
      </w:r>
      <w:r w:rsidR="005853A9">
        <w:rPr>
          <w:kern w:val="0"/>
        </w:rPr>
        <w:t xml:space="preserve"> and </w:t>
      </w:r>
      <w:r>
        <w:rPr>
          <w:kern w:val="0"/>
        </w:rPr>
        <w:t>breast cancer risk has been widely reported, but results</w:t>
      </w:r>
      <w:r w:rsidR="00427468">
        <w:rPr>
          <w:kern w:val="0"/>
        </w:rPr>
        <w:t xml:space="preserve"> of </w:t>
      </w:r>
      <w:r>
        <w:rPr>
          <w:kern w:val="0"/>
        </w:rPr>
        <w:t>previous studies were somewhat contradictory</w:t>
      </w:r>
      <w:r w:rsidR="005853A9">
        <w:rPr>
          <w:kern w:val="0"/>
        </w:rPr>
        <w:t xml:space="preserve"> and </w:t>
      </w:r>
      <w:r>
        <w:rPr>
          <w:kern w:val="0"/>
        </w:rPr>
        <w:t>underpowered. To overcome</w:t>
      </w:r>
      <w:r w:rsidR="003A1917">
        <w:rPr>
          <w:kern w:val="0"/>
        </w:rPr>
        <w:t xml:space="preserve"> the </w:t>
      </w:r>
      <w:r>
        <w:rPr>
          <w:kern w:val="0"/>
        </w:rPr>
        <w:t>limitations</w:t>
      </w:r>
      <w:r w:rsidR="00427468">
        <w:rPr>
          <w:kern w:val="0"/>
        </w:rPr>
        <w:t xml:space="preserve"> of </w:t>
      </w:r>
      <w:r>
        <w:rPr>
          <w:kern w:val="0"/>
        </w:rPr>
        <w:t>individual study</w:t>
      </w:r>
      <w:r w:rsidR="005853A9">
        <w:rPr>
          <w:kern w:val="0"/>
        </w:rPr>
        <w:t xml:space="preserve"> and </w:t>
      </w:r>
      <w:r>
        <w:rPr>
          <w:kern w:val="0"/>
        </w:rPr>
        <w:t>to understand</w:t>
      </w:r>
      <w:r w:rsidR="003A1917">
        <w:rPr>
          <w:kern w:val="0"/>
        </w:rPr>
        <w:t xml:space="preserve"> the </w:t>
      </w:r>
      <w:r>
        <w:rPr>
          <w:kern w:val="0"/>
        </w:rPr>
        <w:t>real situation, we conducted a systematic review</w:t>
      </w:r>
      <w:r w:rsidR="005853A9">
        <w:rPr>
          <w:kern w:val="0"/>
        </w:rPr>
        <w:t xml:space="preserve"> and </w:t>
      </w:r>
      <w:r>
        <w:rPr>
          <w:kern w:val="0"/>
        </w:rPr>
        <w:t>meta-analysis towards</w:t>
      </w:r>
      <w:r w:rsidR="003A1917">
        <w:rPr>
          <w:kern w:val="0"/>
        </w:rPr>
        <w:t xml:space="preserve"> the </w:t>
      </w:r>
      <w:r>
        <w:rPr>
          <w:kern w:val="0"/>
        </w:rPr>
        <w:t>association between TGFB1 L10P polymorphism</w:t>
      </w:r>
      <w:r w:rsidR="005853A9">
        <w:rPr>
          <w:kern w:val="0"/>
        </w:rPr>
        <w:t xml:space="preserve"> and </w:t>
      </w:r>
      <w:r>
        <w:rPr>
          <w:kern w:val="0"/>
        </w:rPr>
        <w:t xml:space="preserve">breast cancer. Through retrieving </w:t>
      </w:r>
      <w:r w:rsidR="00D5664A">
        <w:rPr>
          <w:kern w:val="0"/>
        </w:rPr>
        <w:t>MEDLINE</w:t>
      </w:r>
      <w:r>
        <w:rPr>
          <w:kern w:val="0"/>
        </w:rPr>
        <w:t xml:space="preserve">, </w:t>
      </w:r>
      <w:r w:rsidR="002C12F0">
        <w:rPr>
          <w:kern w:val="0"/>
        </w:rPr>
        <w:t>PUBMED</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a total</w:t>
      </w:r>
      <w:r w:rsidR="00427468">
        <w:rPr>
          <w:kern w:val="0"/>
        </w:rPr>
        <w:t xml:space="preserve"> of </w:t>
      </w:r>
      <w:r>
        <w:rPr>
          <w:kern w:val="0"/>
        </w:rPr>
        <w:t>16 studies with 10,392 cases</w:t>
      </w:r>
      <w:r w:rsidR="005853A9">
        <w:rPr>
          <w:kern w:val="0"/>
        </w:rPr>
        <w:t xml:space="preserve"> and </w:t>
      </w:r>
      <w:r>
        <w:rPr>
          <w:kern w:val="0"/>
        </w:rPr>
        <w:t>11,697 controls were identified</w:t>
      </w:r>
      <w:r w:rsidR="00A37C1D">
        <w:rPr>
          <w:kern w:val="0"/>
        </w:rPr>
        <w:t>. The</w:t>
      </w:r>
      <w:r w:rsidR="003A1917">
        <w:rPr>
          <w:kern w:val="0"/>
        </w:rPr>
        <w:t xml:space="preserve"> </w:t>
      </w:r>
      <w:r>
        <w:rPr>
          <w:kern w:val="0"/>
        </w:rPr>
        <w:t>results showed that significant association was found in</w:t>
      </w:r>
      <w:r w:rsidR="003A1917">
        <w:rPr>
          <w:kern w:val="0"/>
        </w:rPr>
        <w:t xml:space="preserve"> the </w:t>
      </w:r>
      <w:r>
        <w:rPr>
          <w:kern w:val="0"/>
        </w:rPr>
        <w:t>recessive genetic model for Caucasian (OR = 1.152, 95% CI = 1.020-1.301). However, we did not find any associations in additive genetic model (PP vs. LL for total: OR = 1.026, 95% CI = 0.940-1.121), allele contrast (L vs. P for total: OR = 1.004, 95% CI = 0.966-1.044),</w:t>
      </w:r>
      <w:r w:rsidR="005853A9">
        <w:rPr>
          <w:kern w:val="0"/>
        </w:rPr>
        <w:t xml:space="preserve"> and </w:t>
      </w:r>
      <w:r>
        <w:rPr>
          <w:kern w:val="0"/>
        </w:rPr>
        <w:t>dominant genetic model (PP + LP vs. LL for total: OR = 1.001, 95% CI = 0.946-1.061). Conclusively, this meta-analysis strongly suggests that TGFB1 L10P polymorphism may play a low penetrance role in breast cancer susceptibility in Caucasian. Large well-designed epidemiological studies will be necessary to validate</w:t>
      </w:r>
      <w:r w:rsidR="003A1917">
        <w:rPr>
          <w:kern w:val="0"/>
        </w:rPr>
        <w:t xml:space="preserve"> the </w:t>
      </w:r>
      <w:r>
        <w:rPr>
          <w:kern w:val="0"/>
        </w:rPr>
        <w:t>risk identified in</w:t>
      </w:r>
      <w:r w:rsidR="003A1917">
        <w:rPr>
          <w:kern w:val="0"/>
        </w:rPr>
        <w:t xml:space="preserve"> the </w:t>
      </w:r>
      <w:r>
        <w:rPr>
          <w:kern w:val="0"/>
        </w:rPr>
        <w:t>current meta-analysis.</w:t>
      </w:r>
    </w:p>
    <w:p w:rsidR="006F2F90" w:rsidRDefault="006F2F90" w:rsidP="006F2F90">
      <w:pPr>
        <w:pStyle w:val="a3"/>
        <w:rPr>
          <w:kern w:val="0"/>
        </w:rPr>
      </w:pPr>
      <w:r>
        <w:rPr>
          <w:kern w:val="0"/>
        </w:rPr>
        <w:t xml:space="preserve">Keywords: Association, Breast Cancer, Cancer, Clinical-Trials, Development, Genetic, Genotype, Growth-Factor-Beta, </w:t>
      </w:r>
      <w:r w:rsidR="00D5664A">
        <w:rPr>
          <w:kern w:val="0"/>
        </w:rPr>
        <w:t>MEDLINE</w:t>
      </w:r>
      <w:r>
        <w:rPr>
          <w:kern w:val="0"/>
        </w:rPr>
        <w:t xml:space="preserve">, Meta-Analysis, Metaanalysis, Model, Polymorphism, Polymorphisms, Predict, </w:t>
      </w:r>
      <w:r w:rsidR="002C12F0">
        <w:rPr>
          <w:kern w:val="0"/>
        </w:rPr>
        <w:t>PUBMED</w:t>
      </w:r>
      <w:r>
        <w:rPr>
          <w:kern w:val="0"/>
        </w:rPr>
        <w:t xml:space="preserve">, Review, Risk, Science, Susceptibility, Systematic, Systematic Review, Tgf-Beta-1, Tgfb1, Transforming-Growth-Factor-Beta-1 Gene, </w:t>
      </w:r>
      <w:r w:rsidR="00D5664A">
        <w:rPr>
          <w:kern w:val="0"/>
        </w:rPr>
        <w:t>Web</w:t>
      </w:r>
      <w:r w:rsidR="00427468">
        <w:rPr>
          <w:kern w:val="0"/>
        </w:rPr>
        <w:t xml:space="preserve"> of </w:t>
      </w:r>
      <w:r w:rsidR="00D5664A">
        <w:rPr>
          <w:kern w:val="0"/>
        </w:rPr>
        <w:t>Science</w:t>
      </w:r>
    </w:p>
    <w:p w:rsidR="006F2F90" w:rsidRDefault="006F2F90" w:rsidP="006F2F90">
      <w:pPr>
        <w:pStyle w:val="a3"/>
        <w:rPr>
          <w:kern w:val="0"/>
        </w:rPr>
      </w:pPr>
      <w:r>
        <w:rPr>
          <w:kern w:val="0"/>
        </w:rPr>
        <w:t>?</w:t>
      </w:r>
      <w:r>
        <w:rPr>
          <w:rFonts w:hint="eastAsia"/>
          <w:kern w:val="0"/>
        </w:rPr>
        <w:t xml:space="preserve"> </w:t>
      </w:r>
      <w:r>
        <w:rPr>
          <w:kern w:val="0"/>
        </w:rPr>
        <w:t>Yu, K.D., Rao, N.Y., Chen, A.X., Fan, L., Yang, C.</w:t>
      </w:r>
      <w:r w:rsidR="005853A9">
        <w:rPr>
          <w:kern w:val="0"/>
        </w:rPr>
        <w:t xml:space="preserve"> and </w:t>
      </w:r>
      <w:r>
        <w:rPr>
          <w:kern w:val="0"/>
        </w:rPr>
        <w:t>Shao, Z.M. (2011), A systematic review</w:t>
      </w:r>
      <w:r w:rsidR="00427468">
        <w:rPr>
          <w:kern w:val="0"/>
        </w:rPr>
        <w:t xml:space="preserve"> of </w:t>
      </w:r>
      <w:r w:rsidR="003A1917">
        <w:rPr>
          <w:kern w:val="0"/>
        </w:rPr>
        <w:t xml:space="preserve">the </w:t>
      </w:r>
      <w:r>
        <w:rPr>
          <w:kern w:val="0"/>
        </w:rPr>
        <w:t>relationship between polymorphic sites in</w:t>
      </w:r>
      <w:r w:rsidR="003A1917">
        <w:rPr>
          <w:kern w:val="0"/>
        </w:rPr>
        <w:t xml:space="preserve"> the </w:t>
      </w:r>
      <w:r>
        <w:rPr>
          <w:kern w:val="0"/>
        </w:rPr>
        <w:t>estrogen receptor-beta (ESR2) gene</w:t>
      </w:r>
      <w:r w:rsidR="005853A9">
        <w:rPr>
          <w:kern w:val="0"/>
        </w:rPr>
        <w:t xml:space="preserve"> and </w:t>
      </w:r>
      <w:r>
        <w:rPr>
          <w:kern w:val="0"/>
        </w:rPr>
        <w:t xml:space="preserve">breast cancer risk.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126</w:t>
      </w:r>
      <w:r>
        <w:rPr>
          <w:kern w:val="0"/>
        </w:rPr>
        <w:t xml:space="preserve"> (1), 37-45.</w:t>
      </w:r>
    </w:p>
    <w:p w:rsidR="006C23F5" w:rsidRDefault="006C23F5" w:rsidP="006C23F5">
      <w:pPr>
        <w:pStyle w:val="a3"/>
      </w:pPr>
      <w:r>
        <w:t>Full Text:</w:t>
      </w:r>
      <w:r w:rsidRPr="00FC7835">
        <w:t xml:space="preserve"> </w:t>
      </w:r>
      <w:hyperlink r:id="rId1839" w:history="1">
        <w:r w:rsidRPr="00DB2F3F">
          <w:rPr>
            <w:rStyle w:val="a5"/>
          </w:rPr>
          <w:t>2011\Bre Can Res Tre126, 37.pdf</w:t>
        </w:r>
      </w:hyperlink>
    </w:p>
    <w:p w:rsidR="006F2F90" w:rsidRDefault="006F2F90" w:rsidP="006F2F90">
      <w:pPr>
        <w:pStyle w:val="a3"/>
        <w:rPr>
          <w:kern w:val="0"/>
        </w:rPr>
      </w:pPr>
      <w:r>
        <w:rPr>
          <w:kern w:val="0"/>
        </w:rPr>
        <w:t>Abstract:</w:t>
      </w:r>
      <w:r w:rsidR="003A1917">
        <w:rPr>
          <w:kern w:val="0"/>
        </w:rPr>
        <w:t xml:space="preserve"> the </w:t>
      </w:r>
      <w:r>
        <w:rPr>
          <w:kern w:val="0"/>
        </w:rPr>
        <w:t>estrogen signal is mediated by</w:t>
      </w:r>
      <w:r w:rsidR="003A1917">
        <w:rPr>
          <w:kern w:val="0"/>
        </w:rPr>
        <w:t xml:space="preserve"> the </w:t>
      </w:r>
      <w:r>
        <w:rPr>
          <w:kern w:val="0"/>
        </w:rPr>
        <w:t>estrogen receptor (ER)</w:t>
      </w:r>
      <w:r w:rsidR="00A37C1D">
        <w:rPr>
          <w:kern w:val="0"/>
        </w:rPr>
        <w:t>. The</w:t>
      </w:r>
      <w:r w:rsidR="003A1917">
        <w:rPr>
          <w:kern w:val="0"/>
        </w:rPr>
        <w:t xml:space="preserve"> </w:t>
      </w:r>
      <w:r>
        <w:rPr>
          <w:kern w:val="0"/>
        </w:rPr>
        <w:t xml:space="preserve">specific </w:t>
      </w:r>
      <w:r>
        <w:rPr>
          <w:kern w:val="0"/>
        </w:rPr>
        <w:lastRenderedPageBreak/>
        <w:t>role</w:t>
      </w:r>
      <w:r w:rsidR="00427468">
        <w:rPr>
          <w:kern w:val="0"/>
        </w:rPr>
        <w:t xml:space="preserve"> of </w:t>
      </w:r>
      <w:r>
        <w:rPr>
          <w:kern w:val="0"/>
        </w:rPr>
        <w:t>ER-beta, a second ER, in breast carcinogenesis is not known. A number</w:t>
      </w:r>
      <w:r w:rsidR="00427468">
        <w:rPr>
          <w:kern w:val="0"/>
        </w:rPr>
        <w:t xml:space="preserve"> of </w:t>
      </w:r>
      <w:r>
        <w:rPr>
          <w:kern w:val="0"/>
        </w:rPr>
        <w:t>association studies have been carried out to investigate</w:t>
      </w:r>
      <w:r w:rsidR="003A1917">
        <w:rPr>
          <w:kern w:val="0"/>
        </w:rPr>
        <w:t xml:space="preserve"> the </w:t>
      </w:r>
      <w:r>
        <w:rPr>
          <w:kern w:val="0"/>
        </w:rPr>
        <w:t>relationship between polymorphic sites in</w:t>
      </w:r>
      <w:r w:rsidR="003A1917">
        <w:rPr>
          <w:kern w:val="0"/>
        </w:rPr>
        <w:t xml:space="preserve"> the </w:t>
      </w:r>
      <w:r>
        <w:rPr>
          <w:kern w:val="0"/>
        </w:rPr>
        <w:t>ESR2 gene</w:t>
      </w:r>
      <w:r w:rsidR="005853A9">
        <w:rPr>
          <w:kern w:val="0"/>
        </w:rPr>
        <w:t xml:space="preserve"> and </w:t>
      </w:r>
      <w:r>
        <w:rPr>
          <w:kern w:val="0"/>
        </w:rPr>
        <w:t>breast cancer risk, however,</w:t>
      </w:r>
      <w:r w:rsidR="003A1917">
        <w:rPr>
          <w:kern w:val="0"/>
        </w:rPr>
        <w:t xml:space="preserve"> the </w:t>
      </w:r>
      <w:r>
        <w:rPr>
          <w:kern w:val="0"/>
        </w:rPr>
        <w:t xml:space="preserve">results are inconsistent. We searched </w:t>
      </w:r>
      <w:r w:rsidR="002C12F0">
        <w:rPr>
          <w:kern w:val="0"/>
        </w:rPr>
        <w:t>PUBMED</w:t>
      </w:r>
      <w:r>
        <w:rPr>
          <w:kern w:val="0"/>
        </w:rPr>
        <w:t xml:space="preserve">, </w:t>
      </w:r>
      <w:r w:rsidR="00D5664A">
        <w:rPr>
          <w:kern w:val="0"/>
        </w:rPr>
        <w:t>MEDLINE</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 (updated to 10 January 2010)</w:t>
      </w:r>
      <w:r w:rsidR="005853A9">
        <w:rPr>
          <w:kern w:val="0"/>
        </w:rPr>
        <w:t xml:space="preserve"> and </w:t>
      </w:r>
      <w:r>
        <w:rPr>
          <w:kern w:val="0"/>
        </w:rPr>
        <w:t>identified 13 relevant case-control studies,</w:t>
      </w:r>
      <w:r w:rsidR="005853A9">
        <w:rPr>
          <w:kern w:val="0"/>
        </w:rPr>
        <w:t xml:space="preserve"> and </w:t>
      </w:r>
      <w:r>
        <w:rPr>
          <w:kern w:val="0"/>
        </w:rPr>
        <w:t>approximately 28 single-nucleotide polymorphisms (SNPs)</w:t>
      </w:r>
      <w:r w:rsidR="005853A9">
        <w:rPr>
          <w:kern w:val="0"/>
        </w:rPr>
        <w:t xml:space="preserve"> and </w:t>
      </w:r>
      <w:r>
        <w:rPr>
          <w:kern w:val="0"/>
        </w:rPr>
        <w:t>one micro-satellite marker were reported in</w:t>
      </w:r>
      <w:r w:rsidR="003A1917">
        <w:rPr>
          <w:kern w:val="0"/>
        </w:rPr>
        <w:t xml:space="preserve"> the </w:t>
      </w:r>
      <w:r>
        <w:rPr>
          <w:kern w:val="0"/>
        </w:rPr>
        <w:t>literature</w:t>
      </w:r>
      <w:r w:rsidR="00A37C1D">
        <w:rPr>
          <w:kern w:val="0"/>
        </w:rPr>
        <w:t>. The</w:t>
      </w:r>
      <w:r w:rsidR="003A1917">
        <w:rPr>
          <w:kern w:val="0"/>
        </w:rPr>
        <w:t xml:space="preserve"> </w:t>
      </w:r>
      <w:r>
        <w:rPr>
          <w:kern w:val="0"/>
        </w:rPr>
        <w:t>median number</w:t>
      </w:r>
      <w:r w:rsidR="00427468">
        <w:rPr>
          <w:kern w:val="0"/>
        </w:rPr>
        <w:t xml:space="preserve"> of </w:t>
      </w:r>
      <w:r>
        <w:rPr>
          <w:kern w:val="0"/>
        </w:rPr>
        <w:t>study subjects was 776 (range 158-13,550). Three genetic variants [(CA)n, rs2987983,</w:t>
      </w:r>
      <w:r w:rsidR="005853A9">
        <w:rPr>
          <w:kern w:val="0"/>
        </w:rPr>
        <w:t xml:space="preserve"> and </w:t>
      </w:r>
      <w:r>
        <w:rPr>
          <w:kern w:val="0"/>
        </w:rPr>
        <w:t>rs4986938] showed significant overall associations with breast cancer,</w:t>
      </w:r>
      <w:r w:rsidR="005853A9">
        <w:rPr>
          <w:kern w:val="0"/>
        </w:rPr>
        <w:t xml:space="preserve"> and </w:t>
      </w:r>
      <w:r>
        <w:rPr>
          <w:kern w:val="0"/>
        </w:rPr>
        <w:t>rs4986938 was reported twice. Because rs4986938</w:t>
      </w:r>
      <w:r w:rsidR="005853A9">
        <w:rPr>
          <w:kern w:val="0"/>
        </w:rPr>
        <w:t xml:space="preserve"> and </w:t>
      </w:r>
      <w:r>
        <w:rPr>
          <w:kern w:val="0"/>
        </w:rPr>
        <w:t>rs1256049 were</w:t>
      </w:r>
      <w:r w:rsidR="003A1917">
        <w:rPr>
          <w:kern w:val="0"/>
        </w:rPr>
        <w:t xml:space="preserve"> the </w:t>
      </w:r>
      <w:r>
        <w:rPr>
          <w:kern w:val="0"/>
        </w:rPr>
        <w:t>most extensively studied polymorphisms, we subsequently conducted a meta-analysis to evaluate their relationship with breast cancer risk (9 studies</w:t>
      </w:r>
      <w:r w:rsidR="00427468">
        <w:rPr>
          <w:kern w:val="0"/>
        </w:rPr>
        <w:t xml:space="preserve"> of </w:t>
      </w:r>
      <w:r>
        <w:rPr>
          <w:kern w:val="0"/>
        </w:rPr>
        <w:t>10,837 cases</w:t>
      </w:r>
      <w:r w:rsidR="005853A9">
        <w:rPr>
          <w:kern w:val="0"/>
        </w:rPr>
        <w:t xml:space="preserve"> and </w:t>
      </w:r>
      <w:r>
        <w:rPr>
          <w:kern w:val="0"/>
        </w:rPr>
        <w:t>16,021 controls for rs4986938; 8 studies</w:t>
      </w:r>
      <w:r w:rsidR="00427468">
        <w:rPr>
          <w:kern w:val="0"/>
        </w:rPr>
        <w:t xml:space="preserve"> of </w:t>
      </w:r>
      <w:r>
        <w:rPr>
          <w:kern w:val="0"/>
        </w:rPr>
        <w:t>11,652 cases</w:t>
      </w:r>
      <w:r w:rsidR="005853A9">
        <w:rPr>
          <w:kern w:val="0"/>
        </w:rPr>
        <w:t xml:space="preserve"> and </w:t>
      </w:r>
      <w:r>
        <w:rPr>
          <w:kern w:val="0"/>
        </w:rPr>
        <w:t>15,726 controls for rs1256049). For rs4986938,</w:t>
      </w:r>
      <w:r w:rsidR="003A1917">
        <w:rPr>
          <w:kern w:val="0"/>
        </w:rPr>
        <w:t xml:space="preserve"> the </w:t>
      </w:r>
      <w:r>
        <w:rPr>
          <w:kern w:val="0"/>
        </w:rPr>
        <w:t>women harboring variant allele seemed to be associated with a decreased risk either in</w:t>
      </w:r>
      <w:r w:rsidR="003A1917">
        <w:rPr>
          <w:kern w:val="0"/>
        </w:rPr>
        <w:t xml:space="preserve"> the </w:t>
      </w:r>
      <w:r>
        <w:rPr>
          <w:kern w:val="0"/>
        </w:rPr>
        <w:t>dominant model [pooled OR = 0.944, 95% confidence interval (95% CI) 0.897-0.993, fixed-effects] or in</w:t>
      </w:r>
      <w:r w:rsidR="003A1917">
        <w:rPr>
          <w:kern w:val="0"/>
        </w:rPr>
        <w:t xml:space="preserve"> the </w:t>
      </w:r>
      <w:r>
        <w:rPr>
          <w:kern w:val="0"/>
        </w:rPr>
        <w:t>co-dominant model (AG vs. GG) (OR = 0.944, 95% CI 0.895-0.997, fixed-effects). rs1256049 was not associated with breast cancer risk in any model. Five studies had investigated</w:t>
      </w:r>
      <w:r w:rsidR="003A1917">
        <w:rPr>
          <w:kern w:val="0"/>
        </w:rPr>
        <w:t xml:space="preserve"> the </w:t>
      </w:r>
      <w:r>
        <w:rPr>
          <w:kern w:val="0"/>
        </w:rPr>
        <w:t>effect</w:t>
      </w:r>
      <w:r w:rsidR="00427468">
        <w:rPr>
          <w:kern w:val="0"/>
        </w:rPr>
        <w:t xml:space="preserve"> of </w:t>
      </w:r>
      <w:r>
        <w:rPr>
          <w:kern w:val="0"/>
        </w:rPr>
        <w:t>haplotypes in</w:t>
      </w:r>
      <w:r w:rsidR="003A1917">
        <w:rPr>
          <w:kern w:val="0"/>
        </w:rPr>
        <w:t xml:space="preserve"> the </w:t>
      </w:r>
      <w:r>
        <w:rPr>
          <w:kern w:val="0"/>
        </w:rPr>
        <w:t>ESR2 gene on breast cancer risk,</w:t>
      </w:r>
      <w:r w:rsidR="005853A9">
        <w:rPr>
          <w:kern w:val="0"/>
        </w:rPr>
        <w:t xml:space="preserve"> and </w:t>
      </w:r>
      <w:r>
        <w:rPr>
          <w:kern w:val="0"/>
        </w:rPr>
        <w:t>four</w:t>
      </w:r>
      <w:r w:rsidR="00427468">
        <w:rPr>
          <w:kern w:val="0"/>
        </w:rPr>
        <w:t xml:space="preserve"> of </w:t>
      </w:r>
      <w:r>
        <w:rPr>
          <w:kern w:val="0"/>
        </w:rPr>
        <w:t>them had positive outcomes. In summary,</w:t>
      </w:r>
      <w:r w:rsidR="003A1917">
        <w:rPr>
          <w:kern w:val="0"/>
        </w:rPr>
        <w:t xml:space="preserve"> the </w:t>
      </w:r>
      <w:r>
        <w:rPr>
          <w:kern w:val="0"/>
        </w:rPr>
        <w:t>present systematic review suggests that SNP rs4986938 as well as haplotypes in</w:t>
      </w:r>
      <w:r w:rsidR="003A1917">
        <w:rPr>
          <w:kern w:val="0"/>
        </w:rPr>
        <w:t xml:space="preserve"> the </w:t>
      </w:r>
      <w:r>
        <w:rPr>
          <w:kern w:val="0"/>
        </w:rPr>
        <w:t>ESR2 gene might be associated with breast cancer</w:t>
      </w:r>
      <w:r w:rsidR="00A37C1D">
        <w:rPr>
          <w:kern w:val="0"/>
        </w:rPr>
        <w:t>. The</w:t>
      </w:r>
      <w:r w:rsidR="003A1917">
        <w:rPr>
          <w:kern w:val="0"/>
        </w:rPr>
        <w:t xml:space="preserve"> </w:t>
      </w:r>
      <w:r>
        <w:rPr>
          <w:kern w:val="0"/>
        </w:rPr>
        <w:t>need for additional studies examining these issues seems</w:t>
      </w:r>
      <w:r w:rsidR="00427468">
        <w:rPr>
          <w:kern w:val="0"/>
        </w:rPr>
        <w:t xml:space="preserve"> of </w:t>
      </w:r>
      <w:r>
        <w:rPr>
          <w:kern w:val="0"/>
        </w:rPr>
        <w:t>vital importance.</w:t>
      </w:r>
    </w:p>
    <w:p w:rsidR="006F2F90" w:rsidRDefault="006F2F90" w:rsidP="006F2F90">
      <w:pPr>
        <w:pStyle w:val="a3"/>
        <w:rPr>
          <w:kern w:val="0"/>
        </w:rPr>
      </w:pPr>
      <w:r>
        <w:rPr>
          <w:kern w:val="0"/>
        </w:rPr>
        <w:t xml:space="preserve">Keywords: Alpha, Association, Breast Cancer, Cancer, Carcinogenesis, Case-Control Studies, Disease, ER-Beta, ESR2, Estrogen, Genetic, Haplotypes, Literature, Meta-Analysis, Model, Outcomes, Polymorphism, Polymorphisms, Promoter Region, </w:t>
      </w:r>
      <w:r w:rsidR="002C12F0">
        <w:rPr>
          <w:kern w:val="0"/>
        </w:rPr>
        <w:t>PUBMED</w:t>
      </w:r>
      <w:r>
        <w:rPr>
          <w:kern w:val="0"/>
        </w:rPr>
        <w:t xml:space="preserve">, Review, Risk, Science, Sequence Variants, Single Nucleotide, Susceptibility, Systematic, Systematic Review, </w:t>
      </w:r>
      <w:r w:rsidR="00D5664A">
        <w:rPr>
          <w:kern w:val="0"/>
        </w:rPr>
        <w:t>Web</w:t>
      </w:r>
      <w:r w:rsidR="00427468">
        <w:rPr>
          <w:kern w:val="0"/>
        </w:rPr>
        <w:t xml:space="preserve"> of </w:t>
      </w:r>
      <w:r w:rsidR="00D5664A">
        <w:rPr>
          <w:kern w:val="0"/>
        </w:rPr>
        <w:t>Science</w:t>
      </w:r>
      <w:r>
        <w:rPr>
          <w:kern w:val="0"/>
        </w:rPr>
        <w:t>, Women</w:t>
      </w:r>
    </w:p>
    <w:p w:rsidR="00F87C3E" w:rsidRDefault="00F87C3E" w:rsidP="00F87C3E">
      <w:pPr>
        <w:pStyle w:val="a3"/>
        <w:rPr>
          <w:kern w:val="0"/>
        </w:rPr>
      </w:pPr>
      <w:r>
        <w:rPr>
          <w:rFonts w:hint="eastAsia"/>
          <w:kern w:val="0"/>
        </w:rPr>
        <w:t xml:space="preserve">? </w:t>
      </w:r>
      <w:r>
        <w:t>Healy</w:t>
      </w:r>
      <w:r>
        <w:rPr>
          <w:rFonts w:hint="eastAsia"/>
        </w:rPr>
        <w:t>,</w:t>
      </w:r>
      <w:r>
        <w:t xml:space="preserve"> N</w:t>
      </w:r>
      <w:r>
        <w:rPr>
          <w:rFonts w:hint="eastAsia"/>
        </w:rPr>
        <w:t>.</w:t>
      </w:r>
      <w:r>
        <w:t>A</w:t>
      </w:r>
      <w:r>
        <w:rPr>
          <w:rFonts w:hint="eastAsia"/>
        </w:rPr>
        <w:t>.,</w:t>
      </w:r>
      <w:r>
        <w:t xml:space="preserve"> Glynn</w:t>
      </w:r>
      <w:r>
        <w:rPr>
          <w:rFonts w:hint="eastAsia"/>
        </w:rPr>
        <w:t>,</w:t>
      </w:r>
      <w:r>
        <w:t xml:space="preserve"> R</w:t>
      </w:r>
      <w:r>
        <w:rPr>
          <w:rFonts w:hint="eastAsia"/>
        </w:rPr>
        <w:t>.</w:t>
      </w:r>
      <w:r>
        <w:t>W</w:t>
      </w:r>
      <w:r>
        <w:rPr>
          <w:rFonts w:hint="eastAsia"/>
        </w:rPr>
        <w:t>.,</w:t>
      </w:r>
      <w:r>
        <w:t xml:space="preserve"> Scutaru</w:t>
      </w:r>
      <w:r>
        <w:rPr>
          <w:rFonts w:hint="eastAsia"/>
        </w:rPr>
        <w:t>,</w:t>
      </w:r>
      <w:r>
        <w:t xml:space="preserve"> C</w:t>
      </w:r>
      <w:r>
        <w:rPr>
          <w:rFonts w:hint="eastAsia"/>
        </w:rPr>
        <w:t>.,</w:t>
      </w:r>
      <w:r>
        <w:t xml:space="preserve"> Groneberg</w:t>
      </w:r>
      <w:r>
        <w:rPr>
          <w:rFonts w:hint="eastAsia"/>
        </w:rPr>
        <w:t>,</w:t>
      </w:r>
      <w:r>
        <w:t xml:space="preserve"> D</w:t>
      </w:r>
      <w:r>
        <w:rPr>
          <w:rFonts w:hint="eastAsia"/>
        </w:rPr>
        <w:t>.,</w:t>
      </w:r>
      <w:r>
        <w:t xml:space="preserve"> Kerin</w:t>
      </w:r>
      <w:r>
        <w:rPr>
          <w:rFonts w:hint="eastAsia"/>
        </w:rPr>
        <w:t>,</w:t>
      </w:r>
      <w:r>
        <w:t xml:space="preserve"> M</w:t>
      </w:r>
      <w:r>
        <w:rPr>
          <w:rFonts w:hint="eastAsia"/>
        </w:rPr>
        <w:t>.</w:t>
      </w:r>
      <w:r>
        <w:t>J</w:t>
      </w:r>
      <w:r>
        <w:rPr>
          <w:rFonts w:hint="eastAsia"/>
        </w:rPr>
        <w:t>.</w:t>
      </w:r>
      <w:r w:rsidR="005853A9">
        <w:rPr>
          <w:rFonts w:hint="eastAsia"/>
        </w:rPr>
        <w:t xml:space="preserve"> and </w:t>
      </w:r>
      <w:r>
        <w:t>Sweeney</w:t>
      </w:r>
      <w:r>
        <w:rPr>
          <w:rFonts w:hint="eastAsia"/>
        </w:rPr>
        <w:t>,</w:t>
      </w:r>
      <w:r>
        <w:t xml:space="preserve"> K</w:t>
      </w:r>
      <w:r>
        <w:rPr>
          <w:rFonts w:hint="eastAsia"/>
        </w:rPr>
        <w:t>.</w:t>
      </w:r>
      <w:r>
        <w:t>J</w:t>
      </w:r>
      <w:r>
        <w:rPr>
          <w:rFonts w:hint="eastAsia"/>
        </w:rPr>
        <w:t>.</w:t>
      </w:r>
      <w:r>
        <w:rPr>
          <w:kern w:val="0"/>
        </w:rPr>
        <w:t xml:space="preserve"> (20</w:t>
      </w:r>
      <w:r>
        <w:rPr>
          <w:rFonts w:hint="eastAsia"/>
          <w:kern w:val="0"/>
        </w:rPr>
        <w:t>11</w:t>
      </w:r>
      <w:r w:rsidR="00F42EAC">
        <w:rPr>
          <w:kern w:val="0"/>
        </w:rPr>
        <w:t>), The</w:t>
      </w:r>
      <w:r w:rsidR="003A1917">
        <w:rPr>
          <w:kern w:val="0"/>
        </w:rPr>
        <w:t xml:space="preserve"> </w:t>
      </w:r>
      <w:r w:rsidR="00D5664A">
        <w:rPr>
          <w:i/>
        </w:rPr>
        <w:t>h Index</w:t>
      </w:r>
      <w:r w:rsidR="005853A9">
        <w:t xml:space="preserve"> and </w:t>
      </w:r>
      <w:r w:rsidR="003A1917">
        <w:t xml:space="preserve">the </w:t>
      </w:r>
      <w:r>
        <w:t>identification</w:t>
      </w:r>
      <w:r w:rsidR="00427468">
        <w:t xml:space="preserve"> of </w:t>
      </w:r>
      <w:r>
        <w:t>global benchmarks for breast cancer research output</w:t>
      </w:r>
      <w:r>
        <w:rPr>
          <w:kern w:val="0"/>
        </w:rPr>
        <w:t xml:space="preserve">.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w:t>
      </w:r>
      <w:r>
        <w:rPr>
          <w:rFonts w:hint="eastAsia"/>
          <w:b/>
          <w:bCs/>
          <w:kern w:val="0"/>
        </w:rPr>
        <w:t>27</w:t>
      </w:r>
      <w:r>
        <w:rPr>
          <w:kern w:val="0"/>
        </w:rPr>
        <w:t xml:space="preserve"> (</w:t>
      </w:r>
      <w:r>
        <w:rPr>
          <w:rFonts w:hint="eastAsia"/>
          <w:kern w:val="0"/>
        </w:rPr>
        <w:t>3</w:t>
      </w:r>
      <w:r>
        <w:rPr>
          <w:kern w:val="0"/>
        </w:rPr>
        <w:t xml:space="preserve">), </w:t>
      </w:r>
      <w:r>
        <w:t>845-851</w:t>
      </w:r>
      <w:r>
        <w:rPr>
          <w:kern w:val="0"/>
        </w:rPr>
        <w:t>.</w:t>
      </w:r>
    </w:p>
    <w:p w:rsidR="00F87C3E" w:rsidRDefault="00F87C3E" w:rsidP="00F87C3E">
      <w:pPr>
        <w:pStyle w:val="a3"/>
      </w:pPr>
      <w:r>
        <w:t>Full Text:</w:t>
      </w:r>
      <w:r w:rsidRPr="00FC7835">
        <w:t xml:space="preserve"> </w:t>
      </w:r>
      <w:hyperlink r:id="rId1840" w:history="1">
        <w:r w:rsidRPr="00995D90">
          <w:rPr>
            <w:rStyle w:val="a5"/>
          </w:rPr>
          <w:t>2011\Bre Can Res Tre127, 845.pdf</w:t>
        </w:r>
      </w:hyperlink>
    </w:p>
    <w:p w:rsidR="00F87C3E" w:rsidRDefault="00F87C3E" w:rsidP="00F87C3E">
      <w:pPr>
        <w:pStyle w:val="a3"/>
      </w:pPr>
      <w:r>
        <w:t>Abstract:</w:t>
      </w:r>
      <w:r w:rsidR="003A1917">
        <w:t xml:space="preserve"> the </w:t>
      </w:r>
      <w:r w:rsidR="00D5664A">
        <w:t>h Index</w:t>
      </w:r>
      <w:r>
        <w:t xml:space="preserve"> is used to assess an individual</w:t>
      </w:r>
      <w:r w:rsidR="00700038">
        <w:t>’</w:t>
      </w:r>
      <w:r w:rsidR="00C13DDC">
        <w:t>s</w:t>
      </w:r>
      <w:r>
        <w:t xml:space="preserve"> contribution to</w:t>
      </w:r>
      <w:r w:rsidR="003A1917">
        <w:t xml:space="preserve"> the </w:t>
      </w:r>
      <w:r>
        <w:t>literature. This metric should not be employed to compare individuals across research areas; rather each subject should have its own baseline</w:t>
      </w:r>
      <w:r w:rsidR="005853A9">
        <w:t xml:space="preserve"> and </w:t>
      </w:r>
      <w:r>
        <w:t>standard. This work aimed to identify global bibliometric benchmarks for those involved in breast cancer research,</w:t>
      </w:r>
      <w:r w:rsidR="005853A9">
        <w:t xml:space="preserve"> and </w:t>
      </w:r>
      <w:r>
        <w:t>specifically, to describe</w:t>
      </w:r>
      <w:r w:rsidR="003A1917">
        <w:t xml:space="preserve"> the </w:t>
      </w:r>
      <w:r>
        <w:t>bibliographic characteristics</w:t>
      </w:r>
      <w:r w:rsidR="00427468">
        <w:t xml:space="preserve"> of </w:t>
      </w:r>
      <w:r>
        <w:t>breast surgeons in</w:t>
      </w:r>
      <w:r w:rsidR="003A1917">
        <w:t xml:space="preserve"> the </w:t>
      </w:r>
      <w:r>
        <w:t>UK</w:t>
      </w:r>
      <w:r w:rsidR="005853A9">
        <w:t xml:space="preserve"> and </w:t>
      </w:r>
      <w:r>
        <w:t>Ireland. Authorship data was extracted from breast cancer related output from 1945 to 2008, as indexed in</w:t>
      </w:r>
      <w:r w:rsidR="003A1917">
        <w:t xml:space="preserve"> the </w:t>
      </w:r>
      <w:r w:rsidR="00D5664A">
        <w:t>Web</w:t>
      </w:r>
      <w:r w:rsidR="00427468">
        <w:t xml:space="preserve"> of </w:t>
      </w:r>
      <w:r w:rsidR="00D5664A">
        <w:t>Science</w:t>
      </w:r>
      <w:r>
        <w:t>. Authors</w:t>
      </w:r>
      <w:r w:rsidR="00700038">
        <w:t>’</w:t>
      </w:r>
      <w:r>
        <w:t xml:space="preserve"> publications, citations</w:t>
      </w:r>
      <w:r w:rsidR="005853A9">
        <w:t xml:space="preserve"> and </w:t>
      </w:r>
      <w:r w:rsidR="00D5664A">
        <w:t>h Index</w:t>
      </w:r>
      <w:r>
        <w:t>es were identified</w:t>
      </w:r>
      <w:r w:rsidR="00A37C1D">
        <w:t>. The</w:t>
      </w:r>
      <w:r w:rsidR="003A1917">
        <w:t xml:space="preserve"> </w:t>
      </w:r>
      <w:r>
        <w:t>breast-related output</w:t>
      </w:r>
      <w:r w:rsidR="00427468">
        <w:t xml:space="preserve"> of </w:t>
      </w:r>
      <w:r>
        <w:t>277 UK</w:t>
      </w:r>
      <w:r w:rsidR="005853A9">
        <w:t xml:space="preserve"> and </w:t>
      </w:r>
      <w:r>
        <w:t xml:space="preserve">Irish breast </w:t>
      </w:r>
      <w:r>
        <w:lastRenderedPageBreak/>
        <w:t>surgeons was evaluated,</w:t>
      </w:r>
      <w:r w:rsidR="005853A9">
        <w:t xml:space="preserve"> and </w:t>
      </w:r>
      <w:r>
        <w:t>a citation report generated for each. Strong correlation was noted between</w:t>
      </w:r>
      <w:r w:rsidR="003A1917">
        <w:t xml:space="preserve"> the </w:t>
      </w:r>
      <w:r w:rsidR="00D5664A">
        <w:t>h Index</w:t>
      </w:r>
      <w:r w:rsidR="005853A9">
        <w:t xml:space="preserve"> and </w:t>
      </w:r>
      <w:r>
        <w:t>number</w:t>
      </w:r>
      <w:r w:rsidR="00427468">
        <w:t xml:space="preserve"> of </w:t>
      </w:r>
      <w:r>
        <w:t>publications (r = 0.642, P &lt; 0.001)</w:t>
      </w:r>
      <w:r w:rsidR="005853A9">
        <w:t xml:space="preserve"> and </w:t>
      </w:r>
      <w:r>
        <w:t>number</w:t>
      </w:r>
      <w:r w:rsidR="00427468">
        <w:t xml:space="preserve"> of </w:t>
      </w:r>
      <w:r>
        <w:t>total citations (r = -0.922, P &lt; 0.001)</w:t>
      </w:r>
      <w:r w:rsidR="00A37C1D">
        <w:t>. The</w:t>
      </w:r>
      <w:r w:rsidR="003A1917">
        <w:t xml:space="preserve"> </w:t>
      </w:r>
      <w:r>
        <w:t>author with</w:t>
      </w:r>
      <w:r w:rsidR="003A1917">
        <w:t xml:space="preserve"> the </w:t>
      </w:r>
      <w:r>
        <w:t xml:space="preserve">highest </w:t>
      </w:r>
      <w:r w:rsidR="00D5664A">
        <w:t>h Index</w:t>
      </w:r>
      <w:r>
        <w:t xml:space="preserve"> is B Fisher (</w:t>
      </w:r>
      <w:r w:rsidR="00D5664A">
        <w:t>h Index</w:t>
      </w:r>
      <w:r>
        <w:t xml:space="preserve"> = 80). 23.0%</w:t>
      </w:r>
      <w:r w:rsidR="00427468">
        <w:t xml:space="preserve"> of </w:t>
      </w:r>
      <w:r>
        <w:t>surgeons had not published original research pertaining to</w:t>
      </w:r>
      <w:r w:rsidR="003A1917">
        <w:t xml:space="preserve"> the </w:t>
      </w:r>
      <w:r>
        <w:t>breast;</w:t>
      </w:r>
      <w:r w:rsidR="003A1917">
        <w:t xml:space="preserve"> the </w:t>
      </w:r>
      <w:r>
        <w:t>remainder had together produced 2,060 articles, accounting for 59,002 citations</w:t>
      </w:r>
      <w:r w:rsidR="00A37C1D">
        <w:t>. The</w:t>
      </w:r>
      <w:r w:rsidR="003A1917">
        <w:t xml:space="preserve"> </w:t>
      </w:r>
      <w:r>
        <w:t>top quartile was responsible for 83%</w:t>
      </w:r>
      <w:r w:rsidR="00427468">
        <w:t xml:space="preserve"> of </w:t>
      </w:r>
      <w:r>
        <w:t>output;</w:t>
      </w:r>
      <w:r w:rsidR="003A1917">
        <w:t xml:space="preserve"> the </w:t>
      </w:r>
      <w:r>
        <w:t>90th percentile was 20 publications</w:t>
      </w:r>
      <w:r w:rsidR="00A37C1D">
        <w:t>. The</w:t>
      </w:r>
      <w:r w:rsidR="003A1917">
        <w:t xml:space="preserve"> </w:t>
      </w:r>
      <w:r>
        <w:t>range</w:t>
      </w:r>
      <w:r w:rsidR="00427468">
        <w:t xml:space="preserve"> of </w:t>
      </w:r>
      <w:r w:rsidR="00D5664A">
        <w:t>h Index</w:t>
      </w:r>
      <w:r>
        <w:t xml:space="preserve"> values for</w:t>
      </w:r>
      <w:r w:rsidR="003A1917">
        <w:t xml:space="preserve"> the </w:t>
      </w:r>
      <w:r>
        <w:t xml:space="preserve">surgeons was 0-50, with a median </w:t>
      </w:r>
      <w:r w:rsidR="00D5664A">
        <w:t>h Index</w:t>
      </w:r>
      <w:r>
        <w:t xml:space="preserve"> returned</w:t>
      </w:r>
      <w:r w:rsidR="00427468">
        <w:t xml:space="preserve"> of </w:t>
      </w:r>
      <w:r>
        <w:t>3 (IQR 1-6);</w:t>
      </w:r>
      <w:r w:rsidR="003A1917">
        <w:t xml:space="preserve"> the </w:t>
      </w:r>
      <w:r>
        <w:t>90th percentile was 13.5. This work has identified bibliometric benchmarks to which those involved in breast cancer research might aspire. Our findings suggest that there is need for wider involvement</w:t>
      </w:r>
      <w:r w:rsidR="00427468">
        <w:t xml:space="preserve"> of </w:t>
      </w:r>
      <w:r>
        <w:t>surgeons in</w:t>
      </w:r>
      <w:r w:rsidR="003A1917">
        <w:t xml:space="preserve"> the </w:t>
      </w:r>
      <w:r>
        <w:t>research process</w:t>
      </w:r>
      <w:r w:rsidR="005853A9">
        <w:t xml:space="preserve"> and </w:t>
      </w:r>
      <w:r>
        <w:t>raises questions regarding</w:t>
      </w:r>
      <w:r w:rsidR="003A1917">
        <w:t xml:space="preserve"> the </w:t>
      </w:r>
      <w:r>
        <w:t>future</w:t>
      </w:r>
      <w:r w:rsidR="00427468">
        <w:t xml:space="preserve"> of </w:t>
      </w:r>
      <w:r>
        <w:t>scientific breast surgery.</w:t>
      </w:r>
    </w:p>
    <w:p w:rsidR="00F87C3E" w:rsidRPr="00FC7835" w:rsidRDefault="00F87C3E" w:rsidP="00F87C3E">
      <w:pPr>
        <w:pStyle w:val="a3"/>
      </w:pPr>
      <w:r>
        <w:t xml:space="preserve">Keywords: </w:t>
      </w:r>
      <w:r w:rsidR="00D5664A">
        <w:t>h Index</w:t>
      </w:r>
      <w:r>
        <w:t>, Breast Surgeon, Research Output, Breast Cancer, Scientists</w:t>
      </w:r>
    </w:p>
    <w:p w:rsidR="00892993" w:rsidRDefault="00892993" w:rsidP="00892993">
      <w:pPr>
        <w:pStyle w:val="a3"/>
        <w:rPr>
          <w:kern w:val="0"/>
        </w:rPr>
      </w:pPr>
      <w:r>
        <w:rPr>
          <w:rFonts w:hint="eastAsia"/>
          <w:kern w:val="0"/>
        </w:rPr>
        <w:t xml:space="preserve">? </w:t>
      </w:r>
      <w:r>
        <w:rPr>
          <w:kern w:val="0"/>
        </w:rPr>
        <w:t>Peng, S.H., Lu, B.J., Ruan, W.J., Zhu, Y.M., Sheng, H.Q.</w:t>
      </w:r>
      <w:r w:rsidR="005853A9">
        <w:rPr>
          <w:kern w:val="0"/>
        </w:rPr>
        <w:t xml:space="preserve"> and </w:t>
      </w:r>
      <w:r>
        <w:rPr>
          <w:kern w:val="0"/>
        </w:rPr>
        <w:t>Lai, M.D. (2011), Genetic polymorphisms</w:t>
      </w:r>
      <w:r w:rsidR="005853A9">
        <w:rPr>
          <w:kern w:val="0"/>
        </w:rPr>
        <w:t xml:space="preserve"> and </w:t>
      </w:r>
      <w:r>
        <w:rPr>
          <w:kern w:val="0"/>
        </w:rPr>
        <w:t>breast cancer risk: Evidence from meta-analyses, pooled analyses,</w:t>
      </w:r>
      <w:r w:rsidR="005853A9">
        <w:rPr>
          <w:kern w:val="0"/>
        </w:rPr>
        <w:t xml:space="preserve"> and </w:t>
      </w:r>
      <w:r>
        <w:rPr>
          <w:kern w:val="0"/>
        </w:rPr>
        <w:t xml:space="preserve">genome-wide association studies.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127</w:t>
      </w:r>
      <w:r>
        <w:rPr>
          <w:kern w:val="0"/>
        </w:rPr>
        <w:t xml:space="preserve"> (2), 309-324.</w:t>
      </w:r>
    </w:p>
    <w:p w:rsidR="006C23F5" w:rsidRDefault="006C23F5" w:rsidP="006C23F5">
      <w:pPr>
        <w:pStyle w:val="a3"/>
      </w:pPr>
      <w:r>
        <w:t>Full Text:</w:t>
      </w:r>
      <w:r w:rsidRPr="00FC7835">
        <w:t xml:space="preserve"> </w:t>
      </w:r>
      <w:hyperlink r:id="rId1841" w:history="1">
        <w:r w:rsidRPr="00DB2F3F">
          <w:rPr>
            <w:rStyle w:val="a5"/>
          </w:rPr>
          <w:t>2011\Bre Can Res Tre127, 309.pdf</w:t>
        </w:r>
      </w:hyperlink>
    </w:p>
    <w:p w:rsidR="00892993" w:rsidRDefault="00892993" w:rsidP="00892993">
      <w:pPr>
        <w:pStyle w:val="a3"/>
        <w:rPr>
          <w:kern w:val="0"/>
        </w:rPr>
      </w:pPr>
      <w:r>
        <w:rPr>
          <w:kern w:val="0"/>
        </w:rPr>
        <w:t>Abstract: To address</w:t>
      </w:r>
      <w:r w:rsidR="003A1917">
        <w:rPr>
          <w:kern w:val="0"/>
        </w:rPr>
        <w:t xml:space="preserve"> the </w:t>
      </w:r>
      <w:r>
        <w:rPr>
          <w:kern w:val="0"/>
        </w:rPr>
        <w:t>association between variants</w:t>
      </w:r>
      <w:r w:rsidR="005853A9">
        <w:rPr>
          <w:kern w:val="0"/>
        </w:rPr>
        <w:t xml:space="preserve"> and </w:t>
      </w:r>
      <w:r>
        <w:rPr>
          <w:kern w:val="0"/>
        </w:rPr>
        <w:t>breast cancer, an increasing number</w:t>
      </w:r>
      <w:r w:rsidR="00427468">
        <w:rPr>
          <w:kern w:val="0"/>
        </w:rPr>
        <w:t xml:space="preserve"> of </w:t>
      </w:r>
      <w:r>
        <w:rPr>
          <w:kern w:val="0"/>
        </w:rPr>
        <w:t>articles on genetic association studies, genome-wide association studies (GWASs),</w:t>
      </w:r>
      <w:r w:rsidR="005853A9">
        <w:rPr>
          <w:kern w:val="0"/>
        </w:rPr>
        <w:t xml:space="preserve"> and </w:t>
      </w:r>
      <w:r>
        <w:rPr>
          <w:kern w:val="0"/>
        </w:rPr>
        <w:t>related meta-</w:t>
      </w:r>
      <w:r w:rsidR="005853A9">
        <w:rPr>
          <w:kern w:val="0"/>
        </w:rPr>
        <w:t xml:space="preserve"> and </w:t>
      </w:r>
      <w:r>
        <w:rPr>
          <w:kern w:val="0"/>
        </w:rPr>
        <w:t>pooled analyses have been published. Such studies have prompted an updated assessment</w:t>
      </w:r>
      <w:r w:rsidR="00427468">
        <w:rPr>
          <w:kern w:val="0"/>
        </w:rPr>
        <w:t xml:space="preserve"> of </w:t>
      </w:r>
      <w:r w:rsidR="003A1917">
        <w:rPr>
          <w:kern w:val="0"/>
        </w:rPr>
        <w:t xml:space="preserve">the </w:t>
      </w:r>
      <w:r>
        <w:rPr>
          <w:kern w:val="0"/>
        </w:rPr>
        <w:t>associations between gene variants</w:t>
      </w:r>
      <w:r w:rsidR="005853A9">
        <w:rPr>
          <w:kern w:val="0"/>
        </w:rPr>
        <w:t xml:space="preserve"> and </w:t>
      </w:r>
      <w:r>
        <w:rPr>
          <w:kern w:val="0"/>
        </w:rPr>
        <w:t xml:space="preserve">breast cancer risk. We searched </w:t>
      </w:r>
      <w:r w:rsidR="002C12F0">
        <w:rPr>
          <w:kern w:val="0"/>
        </w:rPr>
        <w:t>PUBMED</w:t>
      </w:r>
      <w:r>
        <w:rPr>
          <w:kern w:val="0"/>
        </w:rPr>
        <w:t xml:space="preserve">, </w:t>
      </w:r>
      <w:r w:rsidR="00D5664A">
        <w:rPr>
          <w:kern w:val="0"/>
        </w:rPr>
        <w:t>MEDLINE</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retrieved a total</w:t>
      </w:r>
      <w:r w:rsidR="00427468">
        <w:rPr>
          <w:kern w:val="0"/>
        </w:rPr>
        <w:t xml:space="preserve"> of </w:t>
      </w:r>
      <w:r>
        <w:rPr>
          <w:kern w:val="0"/>
        </w:rPr>
        <w:t>87 meta-</w:t>
      </w:r>
      <w:r w:rsidR="005853A9">
        <w:rPr>
          <w:kern w:val="0"/>
        </w:rPr>
        <w:t xml:space="preserve"> and </w:t>
      </w:r>
      <w:r>
        <w:rPr>
          <w:kern w:val="0"/>
        </w:rPr>
        <w:t>pooled analyses, which addressed</w:t>
      </w:r>
      <w:r w:rsidR="003A1917">
        <w:rPr>
          <w:kern w:val="0"/>
        </w:rPr>
        <w:t xml:space="preserve"> the </w:t>
      </w:r>
      <w:r>
        <w:rPr>
          <w:kern w:val="0"/>
        </w:rPr>
        <w:t>associations between 145 gene variants</w:t>
      </w:r>
      <w:r w:rsidR="005853A9">
        <w:rPr>
          <w:kern w:val="0"/>
        </w:rPr>
        <w:t xml:space="preserve"> and </w:t>
      </w:r>
      <w:r>
        <w:rPr>
          <w:kern w:val="0"/>
        </w:rPr>
        <w:t>breast cancer. Analyses met</w:t>
      </w:r>
      <w:r w:rsidR="003A1917">
        <w:rPr>
          <w:kern w:val="0"/>
        </w:rPr>
        <w:t xml:space="preserve"> the </w:t>
      </w:r>
      <w:r>
        <w:rPr>
          <w:kern w:val="0"/>
        </w:rPr>
        <w:t>following criteria: (1) breast cancer was</w:t>
      </w:r>
      <w:r w:rsidR="003A1917">
        <w:rPr>
          <w:kern w:val="0"/>
        </w:rPr>
        <w:t xml:space="preserve"> the </w:t>
      </w:r>
      <w:r>
        <w:rPr>
          <w:kern w:val="0"/>
        </w:rPr>
        <w:t>outcome, (2)</w:t>
      </w:r>
      <w:r w:rsidR="003A1917">
        <w:rPr>
          <w:kern w:val="0"/>
        </w:rPr>
        <w:t xml:space="preserve"> the </w:t>
      </w:r>
      <w:r>
        <w:rPr>
          <w:kern w:val="0"/>
        </w:rPr>
        <w:t>articles were all published in English,</w:t>
      </w:r>
      <w:r w:rsidR="005853A9">
        <w:rPr>
          <w:kern w:val="0"/>
        </w:rPr>
        <w:t xml:space="preserve"> and </w:t>
      </w:r>
      <w:r>
        <w:rPr>
          <w:kern w:val="0"/>
        </w:rPr>
        <w:t>(3) in</w:t>
      </w:r>
      <w:r w:rsidR="003A1917">
        <w:rPr>
          <w:kern w:val="0"/>
        </w:rPr>
        <w:t xml:space="preserve"> the </w:t>
      </w:r>
      <w:r>
        <w:rPr>
          <w:kern w:val="0"/>
        </w:rPr>
        <w:t>recent published meta-</w:t>
      </w:r>
      <w:r w:rsidR="005853A9">
        <w:rPr>
          <w:kern w:val="0"/>
        </w:rPr>
        <w:t xml:space="preserve"> and </w:t>
      </w:r>
      <w:r>
        <w:rPr>
          <w:kern w:val="0"/>
        </w:rPr>
        <w:t>pooled analyses,</w:t>
      </w:r>
      <w:r w:rsidR="003A1917">
        <w:rPr>
          <w:kern w:val="0"/>
        </w:rPr>
        <w:t xml:space="preserve"> the </w:t>
      </w:r>
      <w:r>
        <w:rPr>
          <w:kern w:val="0"/>
        </w:rPr>
        <w:t>analyses with more subjects were selected. Among</w:t>
      </w:r>
      <w:r w:rsidR="003A1917">
        <w:rPr>
          <w:kern w:val="0"/>
        </w:rPr>
        <w:t xml:space="preserve"> the </w:t>
      </w:r>
      <w:r>
        <w:rPr>
          <w:kern w:val="0"/>
        </w:rPr>
        <w:t>145 variants, 46 were significantly associated with breast cancer</w:t>
      </w:r>
      <w:r w:rsidR="005853A9">
        <w:rPr>
          <w:kern w:val="0"/>
        </w:rPr>
        <w:t xml:space="preserve"> and </w:t>
      </w:r>
      <w:r w:rsidR="003A1917">
        <w:rPr>
          <w:kern w:val="0"/>
        </w:rPr>
        <w:t xml:space="preserve">the </w:t>
      </w:r>
      <w:r>
        <w:rPr>
          <w:kern w:val="0"/>
        </w:rPr>
        <w:t>other 99 (in 62 genes) were not significantly associated with breast cancer</w:t>
      </w:r>
      <w:r w:rsidR="00A37C1D">
        <w:rPr>
          <w:kern w:val="0"/>
        </w:rPr>
        <w:t>. The</w:t>
      </w:r>
      <w:r w:rsidR="003A1917">
        <w:rPr>
          <w:kern w:val="0"/>
        </w:rPr>
        <w:t xml:space="preserve"> </w:t>
      </w:r>
      <w:r>
        <w:rPr>
          <w:kern w:val="0"/>
        </w:rPr>
        <w:t>summary ORs for</w:t>
      </w:r>
      <w:r w:rsidR="003A1917">
        <w:rPr>
          <w:kern w:val="0"/>
        </w:rPr>
        <w:t xml:space="preserve"> the </w:t>
      </w:r>
      <w:r>
        <w:rPr>
          <w:kern w:val="0"/>
        </w:rPr>
        <w:t>46 significant associations (P &lt; 0.05) were further assessed by</w:t>
      </w:r>
      <w:r w:rsidR="003A1917">
        <w:rPr>
          <w:kern w:val="0"/>
        </w:rPr>
        <w:t xml:space="preserve"> the </w:t>
      </w:r>
      <w:r>
        <w:rPr>
          <w:kern w:val="0"/>
        </w:rPr>
        <w:t>method</w:t>
      </w:r>
      <w:r w:rsidR="00427468">
        <w:rPr>
          <w:kern w:val="0"/>
        </w:rPr>
        <w:t xml:space="preserve"> of </w:t>
      </w:r>
      <w:r>
        <w:rPr>
          <w:kern w:val="0"/>
        </w:rPr>
        <w:t>false-positive report probability (FPRP). Our results demonstrated that 10 associations were noteworthy: CASP8 (D302H), CHEK2 (*1100delC), CTLA4 (+49G &gt; A), FGFR2 (rs2981582, rs1219648,</w:t>
      </w:r>
      <w:r w:rsidR="005853A9">
        <w:rPr>
          <w:kern w:val="0"/>
        </w:rPr>
        <w:t xml:space="preserve"> and </w:t>
      </w:r>
      <w:r>
        <w:rPr>
          <w:kern w:val="0"/>
        </w:rPr>
        <w:t>rs2420946), HRAS (rare alleles), IL1B (rs1143627), LSP1 (rs3817198),</w:t>
      </w:r>
      <w:r w:rsidR="005853A9">
        <w:rPr>
          <w:kern w:val="0"/>
        </w:rPr>
        <w:t xml:space="preserve"> and </w:t>
      </w:r>
      <w:r>
        <w:rPr>
          <w:kern w:val="0"/>
        </w:rPr>
        <w:t>MAP3K1 (rs889312). In addition, eight GWASs were identified, in which 25 loci were obtained (14 in nine genes, six near a gene or genes,</w:t>
      </w:r>
      <w:r w:rsidR="005853A9">
        <w:rPr>
          <w:kern w:val="0"/>
        </w:rPr>
        <w:t xml:space="preserve"> and </w:t>
      </w:r>
      <w:r>
        <w:rPr>
          <w:kern w:val="0"/>
        </w:rPr>
        <w:t>five intergenic loci).</w:t>
      </w:r>
      <w:r w:rsidR="00427468">
        <w:rPr>
          <w:kern w:val="0"/>
        </w:rPr>
        <w:t xml:space="preserve"> of </w:t>
      </w:r>
      <w:r w:rsidR="003A1917">
        <w:rPr>
          <w:kern w:val="0"/>
        </w:rPr>
        <w:t xml:space="preserve">the </w:t>
      </w:r>
      <w:r>
        <w:rPr>
          <w:kern w:val="0"/>
        </w:rPr>
        <w:t>25 SNPs, 20 were noteworthy: C6orf97 (rs2046210</w:t>
      </w:r>
      <w:r w:rsidR="005853A9">
        <w:rPr>
          <w:kern w:val="0"/>
        </w:rPr>
        <w:t xml:space="preserve"> and </w:t>
      </w:r>
      <w:r>
        <w:rPr>
          <w:kern w:val="0"/>
        </w:rPr>
        <w:t>rs3757318), FGFR2 (rs2981579, rs1219648,</w:t>
      </w:r>
      <w:r w:rsidR="005853A9">
        <w:rPr>
          <w:kern w:val="0"/>
        </w:rPr>
        <w:t xml:space="preserve"> and </w:t>
      </w:r>
      <w:r>
        <w:rPr>
          <w:kern w:val="0"/>
        </w:rPr>
        <w:t>rs2981582), LSP1 (rs909116), RNF146 (rs2180341), SLC4A7 (rs4973768), MRPS30 (rs7716600), TOX3 (rs3803662</w:t>
      </w:r>
      <w:r w:rsidR="005853A9">
        <w:rPr>
          <w:kern w:val="0"/>
        </w:rPr>
        <w:t xml:space="preserve"> and </w:t>
      </w:r>
      <w:r>
        <w:rPr>
          <w:kern w:val="0"/>
        </w:rPr>
        <w:t xml:space="preserve">rs4784227), </w:t>
      </w:r>
      <w:r>
        <w:rPr>
          <w:kern w:val="0"/>
        </w:rPr>
        <w:lastRenderedPageBreak/>
        <w:t>ZNF365 (rs10995190), rs889312, rs614367, rs13281615, rs13387042, rs11249433, rs1011970, rs614367,</w:t>
      </w:r>
      <w:r w:rsidR="005853A9">
        <w:rPr>
          <w:kern w:val="0"/>
        </w:rPr>
        <w:t xml:space="preserve"> and </w:t>
      </w:r>
      <w:r>
        <w:rPr>
          <w:kern w:val="0"/>
        </w:rPr>
        <w:t>rs1562430. In summary, in this review</w:t>
      </w:r>
      <w:r w:rsidR="00427468">
        <w:rPr>
          <w:kern w:val="0"/>
        </w:rPr>
        <w:t xml:space="preserve"> of </w:t>
      </w:r>
      <w:r>
        <w:rPr>
          <w:kern w:val="0"/>
        </w:rPr>
        <w:t>genetic association studies, 31.7%</w:t>
      </w:r>
      <w:r w:rsidR="00427468">
        <w:rPr>
          <w:kern w:val="0"/>
        </w:rPr>
        <w:t xml:space="preserve"> of </w:t>
      </w:r>
      <w:r w:rsidR="003A1917">
        <w:rPr>
          <w:kern w:val="0"/>
        </w:rPr>
        <w:t xml:space="preserve">the </w:t>
      </w:r>
      <w:r>
        <w:rPr>
          <w:kern w:val="0"/>
        </w:rPr>
        <w:t>gene-variant breast cancer associations were significant,</w:t>
      </w:r>
      <w:r w:rsidR="005853A9">
        <w:rPr>
          <w:kern w:val="0"/>
        </w:rPr>
        <w:t xml:space="preserve"> and </w:t>
      </w:r>
      <w:r>
        <w:rPr>
          <w:kern w:val="0"/>
        </w:rPr>
        <w:t>21.7%</w:t>
      </w:r>
      <w:r w:rsidR="00427468">
        <w:rPr>
          <w:kern w:val="0"/>
        </w:rPr>
        <w:t xml:space="preserve"> of </w:t>
      </w:r>
      <w:r>
        <w:rPr>
          <w:kern w:val="0"/>
        </w:rPr>
        <w:t>these significant associations were noteworthy. However, in GWASs, 80%</w:t>
      </w:r>
      <w:r w:rsidR="00427468">
        <w:rPr>
          <w:kern w:val="0"/>
        </w:rPr>
        <w:t xml:space="preserve"> of </w:t>
      </w:r>
      <w:r w:rsidR="003A1917">
        <w:rPr>
          <w:kern w:val="0"/>
        </w:rPr>
        <w:t xml:space="preserve">the </w:t>
      </w:r>
      <w:r>
        <w:rPr>
          <w:kern w:val="0"/>
        </w:rPr>
        <w:t>significant associations were noteworthy.</w:t>
      </w:r>
    </w:p>
    <w:p w:rsidR="00892993" w:rsidRDefault="00892993" w:rsidP="00892993">
      <w:pPr>
        <w:pStyle w:val="a3"/>
        <w:rPr>
          <w:kern w:val="0"/>
        </w:rPr>
      </w:pPr>
      <w:r>
        <w:rPr>
          <w:kern w:val="0"/>
        </w:rPr>
        <w:t xml:space="preserve">Keywords: Assessment, Breast Cancer, Cancer, Complex Traits, Contributes, Diseases, Epidemiology, Family, FGFR2, Genetic, Genome-Wide Association Study, Greater-Than, Meta-Analysis, Outcome, Polymorphism, Polymorphisms, Pooled Analysis, </w:t>
      </w:r>
      <w:r w:rsidR="002C12F0">
        <w:rPr>
          <w:kern w:val="0"/>
        </w:rPr>
        <w:t>PUBMED</w:t>
      </w:r>
      <w:r>
        <w:rPr>
          <w:kern w:val="0"/>
        </w:rPr>
        <w:t xml:space="preserve">, Review, Risk, Science, Sequence, Susceptibility Loci, Variants, </w:t>
      </w:r>
      <w:r w:rsidR="00D5664A">
        <w:rPr>
          <w:kern w:val="0"/>
        </w:rPr>
        <w:t>Web</w:t>
      </w:r>
      <w:r w:rsidR="00427468">
        <w:rPr>
          <w:kern w:val="0"/>
        </w:rPr>
        <w:t xml:space="preserve"> of </w:t>
      </w:r>
      <w:r w:rsidR="00D5664A">
        <w:rPr>
          <w:kern w:val="0"/>
        </w:rPr>
        <w:t>Science</w:t>
      </w:r>
    </w:p>
    <w:p w:rsidR="00C80D7A" w:rsidRDefault="00C80D7A" w:rsidP="00C80D7A">
      <w:pPr>
        <w:pStyle w:val="a3"/>
        <w:rPr>
          <w:kern w:val="0"/>
        </w:rPr>
      </w:pPr>
      <w:r>
        <w:rPr>
          <w:rFonts w:hint="eastAsia"/>
          <w:kern w:val="0"/>
        </w:rPr>
        <w:t xml:space="preserve">? </w:t>
      </w:r>
      <w:r>
        <w:rPr>
          <w:kern w:val="0"/>
        </w:rPr>
        <w:t>van den Broek, A.J., Broeks, A., Horlings, H.M., Canisius, S.V.M., Braaf, L.M., Langerod, A., Van</w:t>
      </w:r>
      <w:r w:rsidR="00700038">
        <w:rPr>
          <w:kern w:val="0"/>
        </w:rPr>
        <w:t>’</w:t>
      </w:r>
      <w:r>
        <w:rPr>
          <w:kern w:val="0"/>
        </w:rPr>
        <w:t>t Veer, L.J.</w:t>
      </w:r>
      <w:r w:rsidR="005853A9">
        <w:rPr>
          <w:kern w:val="0"/>
        </w:rPr>
        <w:t xml:space="preserve"> and </w:t>
      </w:r>
      <w:r>
        <w:rPr>
          <w:kern w:val="0"/>
        </w:rPr>
        <w:t>Schmidt, M.K. (2011), Association between polymorphisms</w:t>
      </w:r>
      <w:r w:rsidR="00427468">
        <w:rPr>
          <w:kern w:val="0"/>
        </w:rPr>
        <w:t xml:space="preserve"> of </w:t>
      </w:r>
      <w:r w:rsidR="003A1917">
        <w:rPr>
          <w:kern w:val="0"/>
        </w:rPr>
        <w:t xml:space="preserve">the </w:t>
      </w:r>
      <w:r>
        <w:rPr>
          <w:kern w:val="0"/>
        </w:rPr>
        <w:t>renin-angiotensin system genes</w:t>
      </w:r>
      <w:r w:rsidR="005853A9">
        <w:rPr>
          <w:kern w:val="0"/>
        </w:rPr>
        <w:t xml:space="preserve"> and </w:t>
      </w:r>
      <w:r>
        <w:rPr>
          <w:kern w:val="0"/>
        </w:rPr>
        <w:t xml:space="preserve">breast cancer risk: A meta-analysis.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130</w:t>
      </w:r>
      <w:r>
        <w:rPr>
          <w:kern w:val="0"/>
        </w:rPr>
        <w:t xml:space="preserve"> (2), 599-608.</w:t>
      </w:r>
    </w:p>
    <w:p w:rsidR="00C80D7A" w:rsidRDefault="00C80D7A" w:rsidP="00C80D7A">
      <w:pPr>
        <w:pStyle w:val="a3"/>
      </w:pPr>
      <w:r>
        <w:t>Full Text:</w:t>
      </w:r>
      <w:r w:rsidRPr="00FC7835">
        <w:t xml:space="preserve"> </w:t>
      </w:r>
      <w:hyperlink r:id="rId1842" w:history="1">
        <w:r w:rsidRPr="00C80D7A">
          <w:rPr>
            <w:rStyle w:val="a5"/>
          </w:rPr>
          <w:t>2011\Bre Can Res Tre130, 599.pdf</w:t>
        </w:r>
      </w:hyperlink>
    </w:p>
    <w:p w:rsidR="00C80D7A" w:rsidRDefault="00C80D7A" w:rsidP="00C80D7A">
      <w:pPr>
        <w:pStyle w:val="a3"/>
        <w:rPr>
          <w:kern w:val="0"/>
        </w:rPr>
      </w:pPr>
      <w:r>
        <w:rPr>
          <w:kern w:val="0"/>
        </w:rPr>
        <w:t>Abstract:</w:t>
      </w:r>
      <w:r w:rsidR="003A1917">
        <w:rPr>
          <w:kern w:val="0"/>
        </w:rPr>
        <w:t xml:space="preserve"> the </w:t>
      </w:r>
      <w:r>
        <w:rPr>
          <w:kern w:val="0"/>
        </w:rPr>
        <w:t>renin-angiotensin system (RAS) has been considered to be implicated in</w:t>
      </w:r>
      <w:r w:rsidR="003A1917">
        <w:rPr>
          <w:kern w:val="0"/>
        </w:rPr>
        <w:t xml:space="preserve"> the </w:t>
      </w:r>
      <w:r>
        <w:rPr>
          <w:kern w:val="0"/>
        </w:rPr>
        <w:t>development</w:t>
      </w:r>
      <w:r w:rsidR="00427468">
        <w:rPr>
          <w:kern w:val="0"/>
        </w:rPr>
        <w:t xml:space="preserve"> of </w:t>
      </w:r>
      <w:r>
        <w:rPr>
          <w:kern w:val="0"/>
        </w:rPr>
        <w:t>breast cancer. However,</w:t>
      </w:r>
      <w:r w:rsidR="003A1917">
        <w:rPr>
          <w:kern w:val="0"/>
        </w:rPr>
        <w:t xml:space="preserve"> the </w:t>
      </w:r>
      <w:r>
        <w:rPr>
          <w:kern w:val="0"/>
        </w:rPr>
        <w:t>results are inconsistent. In this study, we conducted a meta-analysis to assess</w:t>
      </w:r>
      <w:r w:rsidR="003A1917">
        <w:rPr>
          <w:kern w:val="0"/>
        </w:rPr>
        <w:t xml:space="preserve"> the </w:t>
      </w:r>
      <w:r>
        <w:rPr>
          <w:kern w:val="0"/>
        </w:rPr>
        <w:t>association between four polymorphisms, including angiotensin I-converting enzyme (ACE) I/D</w:t>
      </w:r>
      <w:r w:rsidR="005853A9">
        <w:rPr>
          <w:kern w:val="0"/>
        </w:rPr>
        <w:t xml:space="preserve"> and </w:t>
      </w:r>
      <w:r>
        <w:rPr>
          <w:kern w:val="0"/>
        </w:rPr>
        <w:t>A240T, angiotensin II type 1 receptor (AGTR1) A1166C</w:t>
      </w:r>
      <w:r w:rsidR="005853A9">
        <w:rPr>
          <w:kern w:val="0"/>
        </w:rPr>
        <w:t xml:space="preserve"> and </w:t>
      </w:r>
      <w:r>
        <w:rPr>
          <w:kern w:val="0"/>
        </w:rPr>
        <w:t>angiotensinogen (AGT) M235T polymorphisms,</w:t>
      </w:r>
      <w:r w:rsidR="005853A9">
        <w:rPr>
          <w:kern w:val="0"/>
        </w:rPr>
        <w:t xml:space="preserve"> and </w:t>
      </w:r>
      <w:r>
        <w:rPr>
          <w:kern w:val="0"/>
        </w:rPr>
        <w:t xml:space="preserve">breast cancer risk. Published literature from PubMed,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Embase databases were retrieved. All studies evaluating</w:t>
      </w:r>
      <w:r w:rsidR="003A1917">
        <w:rPr>
          <w:kern w:val="0"/>
        </w:rPr>
        <w:t xml:space="preserve"> the </w:t>
      </w:r>
      <w:r>
        <w:rPr>
          <w:kern w:val="0"/>
        </w:rPr>
        <w:t>association between ACE I/D, ACE A240T, AGTR1 A1166C, or AGT M235T polymorphism</w:t>
      </w:r>
      <w:r w:rsidR="005853A9">
        <w:rPr>
          <w:kern w:val="0"/>
        </w:rPr>
        <w:t xml:space="preserve"> and </w:t>
      </w:r>
      <w:r>
        <w:rPr>
          <w:kern w:val="0"/>
        </w:rPr>
        <w:t>breast cancer risk were included. Pooled odds ratio (OR) with 95% confidence interval (CI) was calculated using fixed- or random-effects model. Ten studies (1,650 cases</w:t>
      </w:r>
      <w:r w:rsidR="005853A9">
        <w:rPr>
          <w:kern w:val="0"/>
        </w:rPr>
        <w:t xml:space="preserve"> and </w:t>
      </w:r>
      <w:r>
        <w:rPr>
          <w:kern w:val="0"/>
        </w:rPr>
        <w:t>9,283 controls) on ACE I/D polymorphism, six studies (1,316 cases</w:t>
      </w:r>
      <w:r w:rsidR="005853A9">
        <w:rPr>
          <w:kern w:val="0"/>
        </w:rPr>
        <w:t xml:space="preserve"> and </w:t>
      </w:r>
      <w:r>
        <w:rPr>
          <w:kern w:val="0"/>
        </w:rPr>
        <w:t>2,632 controls) on ACE A240T polymorphism, three studies (235 cases</w:t>
      </w:r>
      <w:r w:rsidR="005853A9">
        <w:rPr>
          <w:kern w:val="0"/>
        </w:rPr>
        <w:t xml:space="preserve"> and </w:t>
      </w:r>
      <w:r>
        <w:rPr>
          <w:kern w:val="0"/>
        </w:rPr>
        <w:t>601 controls) on AGTR1 A1166C polymorphism,</w:t>
      </w:r>
      <w:r w:rsidR="005853A9">
        <w:rPr>
          <w:kern w:val="0"/>
        </w:rPr>
        <w:t xml:space="preserve"> and </w:t>
      </w:r>
      <w:r>
        <w:rPr>
          <w:kern w:val="0"/>
        </w:rPr>
        <w:t>two studies (273 cases</w:t>
      </w:r>
      <w:r w:rsidR="005853A9">
        <w:rPr>
          <w:kern w:val="0"/>
        </w:rPr>
        <w:t xml:space="preserve"> and </w:t>
      </w:r>
      <w:r>
        <w:rPr>
          <w:kern w:val="0"/>
        </w:rPr>
        <w:t>3,547 controls) on AGT M235T polymorphism were included. Overall,</w:t>
      </w:r>
      <w:r w:rsidR="003A1917">
        <w:rPr>
          <w:kern w:val="0"/>
        </w:rPr>
        <w:t xml:space="preserve"> the </w:t>
      </w:r>
      <w:r>
        <w:rPr>
          <w:kern w:val="0"/>
        </w:rPr>
        <w:t>meta-analysis showed no significant association between I/D or A240T polymorphism</w:t>
      </w:r>
      <w:r w:rsidR="005853A9">
        <w:rPr>
          <w:kern w:val="0"/>
        </w:rPr>
        <w:t xml:space="preserve"> and </w:t>
      </w:r>
      <w:r>
        <w:rPr>
          <w:kern w:val="0"/>
        </w:rPr>
        <w:t>breast cancer risk in either genetic model. Further subgroup analysis by ethnicity also revealed non-significant association in Caucasian or Asian populations except for Africans (the statistically significant association for ACE I/D or A240T polymorphism in Africans derived from only one study). A marginally significant association was observed for AGTR1 A1166C polymorphism in Caucasians (CC vs. AA: OR = 0.31, 95% CI 0.10-0.99). In addition, there was a significant association between AGT M235T polymorphism</w:t>
      </w:r>
      <w:r w:rsidR="005853A9">
        <w:rPr>
          <w:kern w:val="0"/>
        </w:rPr>
        <w:t xml:space="preserve"> and </w:t>
      </w:r>
      <w:r>
        <w:rPr>
          <w:kern w:val="0"/>
        </w:rPr>
        <w:t>breast cancer risk in Caucasians (OR = 1.45, 95% CI 1.12-1.88)</w:t>
      </w:r>
      <w:r w:rsidR="00A37C1D">
        <w:rPr>
          <w:kern w:val="0"/>
        </w:rPr>
        <w:t>. The</w:t>
      </w:r>
      <w:r w:rsidR="003A1917">
        <w:rPr>
          <w:kern w:val="0"/>
        </w:rPr>
        <w:t xml:space="preserve"> </w:t>
      </w:r>
      <w:r>
        <w:rPr>
          <w:kern w:val="0"/>
        </w:rPr>
        <w:t>present meta-analysis suggested that ACE I/D</w:t>
      </w:r>
      <w:r w:rsidR="005853A9">
        <w:rPr>
          <w:kern w:val="0"/>
        </w:rPr>
        <w:t xml:space="preserve"> and </w:t>
      </w:r>
      <w:r>
        <w:rPr>
          <w:kern w:val="0"/>
        </w:rPr>
        <w:t>A240T polymorphisms might not be a good predictor</w:t>
      </w:r>
      <w:r w:rsidR="00427468">
        <w:rPr>
          <w:kern w:val="0"/>
        </w:rPr>
        <w:t xml:space="preserve"> of </w:t>
      </w:r>
      <w:r>
        <w:rPr>
          <w:kern w:val="0"/>
        </w:rPr>
        <w:t xml:space="preserve">breast cancer </w:t>
      </w:r>
      <w:r>
        <w:rPr>
          <w:kern w:val="0"/>
        </w:rPr>
        <w:lastRenderedPageBreak/>
        <w:t>risk, while AGTR1 A1166C</w:t>
      </w:r>
      <w:r w:rsidR="005853A9">
        <w:rPr>
          <w:kern w:val="0"/>
        </w:rPr>
        <w:t xml:space="preserve"> and </w:t>
      </w:r>
      <w:r>
        <w:rPr>
          <w:kern w:val="0"/>
        </w:rPr>
        <w:t>AGT M235T polymorphisms might be implicated in</w:t>
      </w:r>
      <w:r w:rsidR="003A1917">
        <w:rPr>
          <w:kern w:val="0"/>
        </w:rPr>
        <w:t xml:space="preserve"> the </w:t>
      </w:r>
      <w:r>
        <w:rPr>
          <w:kern w:val="0"/>
        </w:rPr>
        <w:t>pathogenesis</w:t>
      </w:r>
      <w:r w:rsidR="00427468">
        <w:rPr>
          <w:kern w:val="0"/>
        </w:rPr>
        <w:t xml:space="preserve"> of </w:t>
      </w:r>
      <w:r>
        <w:rPr>
          <w:kern w:val="0"/>
        </w:rPr>
        <w:t>breast cancer. Given</w:t>
      </w:r>
      <w:r w:rsidR="003A1917">
        <w:rPr>
          <w:kern w:val="0"/>
        </w:rPr>
        <w:t xml:space="preserve"> the </w:t>
      </w:r>
      <w:r>
        <w:rPr>
          <w:kern w:val="0"/>
        </w:rPr>
        <w:t>limited sample size,</w:t>
      </w:r>
      <w:r w:rsidR="003A1917">
        <w:rPr>
          <w:kern w:val="0"/>
        </w:rPr>
        <w:t xml:space="preserve"> the </w:t>
      </w:r>
      <w:r>
        <w:rPr>
          <w:kern w:val="0"/>
        </w:rPr>
        <w:t>findings warrant further investigation.</w:t>
      </w:r>
    </w:p>
    <w:p w:rsidR="00C80D7A" w:rsidRDefault="00C80D7A" w:rsidP="00C80D7A">
      <w:pPr>
        <w:pStyle w:val="a3"/>
        <w:rPr>
          <w:kern w:val="0"/>
        </w:rPr>
      </w:pPr>
      <w:r>
        <w:rPr>
          <w:kern w:val="0"/>
        </w:rPr>
        <w:t>Keywords: Analysis, Author, Breast Cancer, Breast Cancer Survival, Cancer, Databases, Development, Ethnicity, Expression Signature, Gene Expression Profiling, Genetic</w:t>
      </w:r>
      <w:r w:rsidR="00D5664A">
        <w:rPr>
          <w:kern w:val="0"/>
        </w:rPr>
        <w:t>, ISI,</w:t>
      </w:r>
      <w:r>
        <w:rPr>
          <w:kern w:val="0"/>
        </w:rPr>
        <w:t xml:space="preserve"> Li-Fraumeni-Syndrome, Literature, MDM2, MDM2 SNP309, Meta Analysis, Meta-Analysis, Model, Mutations, P53 Gene, Pathogenesis, Polymorphism, Polymorphisms, Prognosis, Psychosocial, Pubmed, Ratio, Risk, Science, Single Nucleotide Polymorphism, Survival, TP53, TP53 Codon-72 Polymorphism, Tumor Subgroups, Tumor-Suppressor Pathway, Type 1, </w:t>
      </w:r>
      <w:r w:rsidR="00D5664A">
        <w:rPr>
          <w:kern w:val="0"/>
        </w:rPr>
        <w:t>Web</w:t>
      </w:r>
      <w:r w:rsidR="00427468">
        <w:rPr>
          <w:kern w:val="0"/>
        </w:rPr>
        <w:t xml:space="preserve"> of </w:t>
      </w:r>
      <w:r w:rsidR="00D5664A">
        <w:rPr>
          <w:kern w:val="0"/>
        </w:rPr>
        <w:t>Science</w:t>
      </w:r>
    </w:p>
    <w:p w:rsidR="00782578" w:rsidRDefault="00782578" w:rsidP="00782578">
      <w:pPr>
        <w:pStyle w:val="a3"/>
        <w:rPr>
          <w:kern w:val="0"/>
        </w:rPr>
      </w:pPr>
      <w:r>
        <w:rPr>
          <w:rFonts w:hint="eastAsia"/>
          <w:kern w:val="0"/>
        </w:rPr>
        <w:t xml:space="preserve">? </w:t>
      </w:r>
      <w:r>
        <w:rPr>
          <w:kern w:val="0"/>
        </w:rPr>
        <w:t>Zhao, S., Liu, Y.P., Zhang, Q.Y., Li, H.B., Zhang, M.H., Ma, W.J., Zhao, W.H., Wang, J.X.</w:t>
      </w:r>
      <w:r w:rsidR="005853A9">
        <w:rPr>
          <w:kern w:val="0"/>
        </w:rPr>
        <w:t xml:space="preserve"> and </w:t>
      </w:r>
      <w:r>
        <w:rPr>
          <w:kern w:val="0"/>
        </w:rPr>
        <w:t>Yang, M.P. (2011</w:t>
      </w:r>
      <w:r w:rsidR="00F42EAC">
        <w:rPr>
          <w:kern w:val="0"/>
        </w:rPr>
        <w:t>), The</w:t>
      </w:r>
      <w:r w:rsidR="003A1917">
        <w:rPr>
          <w:kern w:val="0"/>
        </w:rPr>
        <w:t xml:space="preserve"> </w:t>
      </w:r>
      <w:r>
        <w:rPr>
          <w:kern w:val="0"/>
        </w:rPr>
        <w:t>prognostic role</w:t>
      </w:r>
      <w:r w:rsidR="00427468">
        <w:rPr>
          <w:kern w:val="0"/>
        </w:rPr>
        <w:t xml:space="preserve"> of </w:t>
      </w:r>
      <w:r>
        <w:rPr>
          <w:kern w:val="0"/>
        </w:rPr>
        <w:t>circulating tumor cells (CTCs) detected by RT-PCR in breast cancer: A meta-analysis</w:t>
      </w:r>
      <w:r w:rsidR="00427468">
        <w:rPr>
          <w:kern w:val="0"/>
        </w:rPr>
        <w:t xml:space="preserve"> of </w:t>
      </w:r>
      <w:r>
        <w:rPr>
          <w:kern w:val="0"/>
        </w:rPr>
        <w:t xml:space="preserve">published literature.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130</w:t>
      </w:r>
      <w:r>
        <w:rPr>
          <w:kern w:val="0"/>
        </w:rPr>
        <w:t xml:space="preserve"> (3), 809-816.</w:t>
      </w:r>
    </w:p>
    <w:p w:rsidR="00782578" w:rsidRDefault="00782578" w:rsidP="00782578">
      <w:pPr>
        <w:pStyle w:val="a3"/>
      </w:pPr>
      <w:r>
        <w:t>Full Text:</w:t>
      </w:r>
      <w:r w:rsidRPr="00FC7835">
        <w:t xml:space="preserve"> </w:t>
      </w:r>
      <w:hyperlink r:id="rId1843" w:history="1">
        <w:r w:rsidRPr="00054158">
          <w:rPr>
            <w:rStyle w:val="a5"/>
          </w:rPr>
          <w:t>2011\Bre Can Res Tre130, 809.pdf</w:t>
        </w:r>
      </w:hyperlink>
    </w:p>
    <w:p w:rsidR="00782578" w:rsidRDefault="00782578" w:rsidP="00782578">
      <w:pPr>
        <w:pStyle w:val="a3"/>
        <w:rPr>
          <w:kern w:val="0"/>
        </w:rPr>
      </w:pPr>
      <w:r>
        <w:rPr>
          <w:kern w:val="0"/>
        </w:rPr>
        <w:t>Abstract:</w:t>
      </w:r>
      <w:r w:rsidR="003A1917">
        <w:rPr>
          <w:kern w:val="0"/>
        </w:rPr>
        <w:t xml:space="preserve"> the </w:t>
      </w:r>
      <w:r>
        <w:rPr>
          <w:kern w:val="0"/>
        </w:rPr>
        <w:t>prognostic significance</w:t>
      </w:r>
      <w:r w:rsidR="00427468">
        <w:rPr>
          <w:kern w:val="0"/>
        </w:rPr>
        <w:t xml:space="preserve"> of </w:t>
      </w:r>
      <w:r>
        <w:rPr>
          <w:kern w:val="0"/>
        </w:rPr>
        <w:t>circulating tumor cells (CTCs) in patients with breast cancer is controversial. We performed a meta-analysis</w:t>
      </w:r>
      <w:r w:rsidR="00427468">
        <w:rPr>
          <w:kern w:val="0"/>
        </w:rPr>
        <w:t xml:space="preserve"> of </w:t>
      </w:r>
      <w:r>
        <w:rPr>
          <w:kern w:val="0"/>
        </w:rPr>
        <w:t>published literature to assess whether</w:t>
      </w:r>
      <w:r w:rsidR="003A1917">
        <w:rPr>
          <w:kern w:val="0"/>
        </w:rPr>
        <w:t xml:space="preserve"> the </w:t>
      </w:r>
      <w:r>
        <w:rPr>
          <w:kern w:val="0"/>
        </w:rPr>
        <w:t>detection</w:t>
      </w:r>
      <w:r w:rsidR="00427468">
        <w:rPr>
          <w:kern w:val="0"/>
        </w:rPr>
        <w:t xml:space="preserve"> of </w:t>
      </w:r>
      <w:r>
        <w:rPr>
          <w:kern w:val="0"/>
        </w:rPr>
        <w:t xml:space="preserve">CTCs in patients diagnosed with primary breast cancer can be used as a prognostic factor. We searched </w:t>
      </w:r>
      <w:r w:rsidR="00D5664A">
        <w:rPr>
          <w:kern w:val="0"/>
        </w:rPr>
        <w:t>MEDLINE</w:t>
      </w:r>
      <w:r>
        <w:rPr>
          <w:kern w:val="0"/>
        </w:rPr>
        <w:t>, Science Citation Index,</w:t>
      </w:r>
      <w:r w:rsidR="005853A9">
        <w:rPr>
          <w:kern w:val="0"/>
        </w:rPr>
        <w:t xml:space="preserve"> and </w:t>
      </w:r>
      <w:r>
        <w:rPr>
          <w:kern w:val="0"/>
        </w:rPr>
        <w:t>Embase databases as well as reference lists</w:t>
      </w:r>
      <w:r w:rsidR="00427468">
        <w:rPr>
          <w:kern w:val="0"/>
        </w:rPr>
        <w:t xml:space="preserve"> of </w:t>
      </w:r>
      <w:r>
        <w:rPr>
          <w:kern w:val="0"/>
        </w:rPr>
        <w:t>relevant articles (including review articles) for studies that assessed</w:t>
      </w:r>
      <w:r w:rsidR="003A1917">
        <w:rPr>
          <w:kern w:val="0"/>
        </w:rPr>
        <w:t xml:space="preserve"> the </w:t>
      </w:r>
      <w:r>
        <w:rPr>
          <w:kern w:val="0"/>
        </w:rPr>
        <w:t>prognostic relevance</w:t>
      </w:r>
      <w:r w:rsidR="00427468">
        <w:rPr>
          <w:kern w:val="0"/>
        </w:rPr>
        <w:t xml:space="preserve"> of </w:t>
      </w:r>
      <w:r>
        <w:rPr>
          <w:kern w:val="0"/>
        </w:rPr>
        <w:t>tumor cell detection in</w:t>
      </w:r>
      <w:r w:rsidR="003A1917">
        <w:rPr>
          <w:kern w:val="0"/>
        </w:rPr>
        <w:t xml:space="preserve"> the </w:t>
      </w:r>
      <w:r>
        <w:rPr>
          <w:kern w:val="0"/>
        </w:rPr>
        <w:t>peripheral blood (PB). A total</w:t>
      </w:r>
      <w:r w:rsidR="00427468">
        <w:rPr>
          <w:kern w:val="0"/>
        </w:rPr>
        <w:t xml:space="preserve"> of </w:t>
      </w:r>
      <w:r>
        <w:rPr>
          <w:kern w:val="0"/>
        </w:rPr>
        <w:t>24 eligible studies with 4,013 cases</w:t>
      </w:r>
      <w:r w:rsidR="005853A9">
        <w:rPr>
          <w:kern w:val="0"/>
        </w:rPr>
        <w:t xml:space="preserve"> and </w:t>
      </w:r>
      <w:r>
        <w:rPr>
          <w:kern w:val="0"/>
        </w:rPr>
        <w:t>1,333 controls were included. Meta-analyses were performed using a random-effects model, using</w:t>
      </w:r>
      <w:r w:rsidR="003A1917">
        <w:rPr>
          <w:kern w:val="0"/>
        </w:rPr>
        <w:t xml:space="preserve"> the </w:t>
      </w:r>
      <w:r>
        <w:rPr>
          <w:kern w:val="0"/>
        </w:rPr>
        <w:t>hazard ratio (HR)</w:t>
      </w:r>
      <w:r w:rsidR="005853A9">
        <w:rPr>
          <w:kern w:val="0"/>
        </w:rPr>
        <w:t xml:space="preserve"> and </w:t>
      </w:r>
      <w:r>
        <w:rPr>
          <w:kern w:val="0"/>
        </w:rPr>
        <w:t>95% confidence intervals (95% CIs) as effect measures</w:t>
      </w:r>
      <w:r w:rsidR="00A37C1D">
        <w:rPr>
          <w:kern w:val="0"/>
        </w:rPr>
        <w:t>. The</w:t>
      </w:r>
      <w:r w:rsidR="003A1917">
        <w:rPr>
          <w:kern w:val="0"/>
        </w:rPr>
        <w:t xml:space="preserve"> </w:t>
      </w:r>
      <w:r>
        <w:rPr>
          <w:kern w:val="0"/>
        </w:rPr>
        <w:t>positive detection</w:t>
      </w:r>
      <w:r w:rsidR="00427468">
        <w:rPr>
          <w:kern w:val="0"/>
        </w:rPr>
        <w:t xml:space="preserve"> of </w:t>
      </w:r>
      <w:r>
        <w:rPr>
          <w:kern w:val="0"/>
        </w:rPr>
        <w:t>CTCs in patients was significantly associated with poor overall survival (OS) (HR = 3.00 [95% CI 2.29-3.94], n = 17, P &lt; 0.0001)</w:t>
      </w:r>
      <w:r w:rsidR="005853A9">
        <w:rPr>
          <w:kern w:val="0"/>
        </w:rPr>
        <w:t xml:space="preserve"> and </w:t>
      </w:r>
      <w:r>
        <w:rPr>
          <w:kern w:val="0"/>
        </w:rPr>
        <w:t>recurrence-free survival (RFS) (HR = 2.67 [95% CI 2.09-3.42], n = 22, P &lt; 0.0001). CTC-positive breast cancers were significantly associated with high histological grade (HR = 1.21 [95% CI 1.09-1.35], n = 34, P &lt; 0.0001), tumor size (&gt; 2 cm) (HR = 1.12 [95% CI 1.02-1.22], n = 31, P = 0.01).</w:t>
      </w:r>
      <w:r w:rsidR="005853A9">
        <w:rPr>
          <w:kern w:val="0"/>
        </w:rPr>
        <w:t xml:space="preserve"> and </w:t>
      </w:r>
      <w:r>
        <w:rPr>
          <w:kern w:val="0"/>
        </w:rPr>
        <w:t>nodal status (a parts per tho</w:t>
      </w:r>
      <w:r w:rsidR="00D5664A">
        <w:rPr>
          <w:kern w:val="0"/>
        </w:rPr>
        <w:t>USA</w:t>
      </w:r>
      <w:r>
        <w:rPr>
          <w:kern w:val="0"/>
        </w:rPr>
        <w:t>nd yen1) (HR = 1.10 [95% CI 1.00-1.21], n = 32, P = 0.037), but cytokeratin-19 (CK-19) mRNA-positive CTCs were not associated with these clinicopathological parameters</w:t>
      </w:r>
      <w:r w:rsidR="00427468">
        <w:rPr>
          <w:kern w:val="0"/>
        </w:rPr>
        <w:t xml:space="preserve"> of </w:t>
      </w:r>
      <w:r>
        <w:rPr>
          <w:kern w:val="0"/>
        </w:rPr>
        <w:t>breast cancer. Furthermore,</w:t>
      </w:r>
      <w:r w:rsidR="003A1917">
        <w:rPr>
          <w:kern w:val="0"/>
        </w:rPr>
        <w:t xml:space="preserve"> the </w:t>
      </w:r>
      <w:r>
        <w:rPr>
          <w:kern w:val="0"/>
        </w:rPr>
        <w:t>presence</w:t>
      </w:r>
      <w:r w:rsidR="00427468">
        <w:rPr>
          <w:kern w:val="0"/>
        </w:rPr>
        <w:t xml:space="preserve"> of </w:t>
      </w:r>
      <w:r>
        <w:rPr>
          <w:kern w:val="0"/>
        </w:rPr>
        <w:t>CTCs was not associated with estrogen receptor (ER) negativity, progesterone receptor (PR) negativity, or human epidermal growth factor receptor type 2 (HER2) positivity. Detection</w:t>
      </w:r>
      <w:r w:rsidR="00427468">
        <w:rPr>
          <w:kern w:val="0"/>
        </w:rPr>
        <w:t xml:space="preserve"> of </w:t>
      </w:r>
      <w:r>
        <w:rPr>
          <w:kern w:val="0"/>
        </w:rPr>
        <w:t>CTCs in</w:t>
      </w:r>
      <w:r w:rsidR="003A1917">
        <w:rPr>
          <w:kern w:val="0"/>
        </w:rPr>
        <w:t xml:space="preserve"> the </w:t>
      </w:r>
      <w:r>
        <w:rPr>
          <w:kern w:val="0"/>
        </w:rPr>
        <w:t>PB indicates poor prognosis in patients with primary breast cancer. Larger clinical studies are required to further evaluate</w:t>
      </w:r>
      <w:r w:rsidR="003A1917">
        <w:rPr>
          <w:kern w:val="0"/>
        </w:rPr>
        <w:t xml:space="preserve"> the </w:t>
      </w:r>
      <w:r>
        <w:rPr>
          <w:kern w:val="0"/>
        </w:rPr>
        <w:t>role</w:t>
      </w:r>
      <w:r w:rsidR="00427468">
        <w:rPr>
          <w:kern w:val="0"/>
        </w:rPr>
        <w:t xml:space="preserve"> of </w:t>
      </w:r>
      <w:r>
        <w:rPr>
          <w:kern w:val="0"/>
        </w:rPr>
        <w:t>these markers in clinical practice.</w:t>
      </w:r>
    </w:p>
    <w:p w:rsidR="00782578" w:rsidRDefault="00782578" w:rsidP="00782578">
      <w:pPr>
        <w:pStyle w:val="a3"/>
        <w:rPr>
          <w:kern w:val="0"/>
        </w:rPr>
      </w:pPr>
      <w:r>
        <w:rPr>
          <w:kern w:val="0"/>
        </w:rPr>
        <w:t xml:space="preserve">Keywords: Adjuvant Chemotherapy, Blood, Bone-Marrow, Breast Cancer, Cancer, </w:t>
      </w:r>
      <w:r>
        <w:rPr>
          <w:kern w:val="0"/>
        </w:rPr>
        <w:lastRenderedPageBreak/>
        <w:t xml:space="preserve">Circulating Tumor Cells, Citation, Confidence Intervals, Cytokeratin-19, Databases, Estrogen, Expression, Growth, HER2, Human, Literature, Mammaglobin Messenger-RNA, </w:t>
      </w:r>
      <w:r w:rsidR="00D5664A">
        <w:rPr>
          <w:kern w:val="0"/>
        </w:rPr>
        <w:t>MEDLINE</w:t>
      </w:r>
      <w:r>
        <w:rPr>
          <w:kern w:val="0"/>
        </w:rPr>
        <w:t>, Meta Analysis, Meta-Analysis, Model, Molecular-Detection, Patients, Pb, Peripheral-Blood, Practice, Primary, Progesterone, Prognosis, Ratio, Review, RNA-Positive Cells, RT-PCR, Science, Science Citation Index, Survival, Survivin, Type 2</w:t>
      </w:r>
    </w:p>
    <w:p w:rsidR="000A4FB1" w:rsidRDefault="000A4FB1" w:rsidP="000A4FB1">
      <w:pPr>
        <w:pStyle w:val="a3"/>
        <w:rPr>
          <w:kern w:val="0"/>
          <w:szCs w:val="24"/>
        </w:rPr>
      </w:pPr>
      <w:r>
        <w:rPr>
          <w:rFonts w:hint="eastAsia"/>
          <w:kern w:val="0"/>
          <w:szCs w:val="24"/>
        </w:rPr>
        <w:t xml:space="preserve">? </w:t>
      </w:r>
      <w:r>
        <w:rPr>
          <w:kern w:val="0"/>
          <w:szCs w:val="24"/>
        </w:rPr>
        <w:t>Petrelli, F.</w:t>
      </w:r>
      <w:r w:rsidR="005853A9">
        <w:rPr>
          <w:kern w:val="0"/>
          <w:szCs w:val="24"/>
        </w:rPr>
        <w:t xml:space="preserve"> and </w:t>
      </w:r>
      <w:r>
        <w:rPr>
          <w:kern w:val="0"/>
          <w:szCs w:val="24"/>
        </w:rPr>
        <w:t>Barni, S. (2013), Response to neoadjuvant chemotherapy in ductal compared to lobular carcinoma</w:t>
      </w:r>
      <w:r w:rsidR="00427468">
        <w:rPr>
          <w:kern w:val="0"/>
          <w:szCs w:val="24"/>
        </w:rPr>
        <w:t xml:space="preserve"> of </w:t>
      </w:r>
      <w:r>
        <w:rPr>
          <w:kern w:val="0"/>
          <w:szCs w:val="24"/>
        </w:rPr>
        <w:t>the breast: A meta-analysis</w:t>
      </w:r>
      <w:r w:rsidR="00427468">
        <w:rPr>
          <w:kern w:val="0"/>
          <w:szCs w:val="24"/>
        </w:rPr>
        <w:t xml:space="preserve"> of </w:t>
      </w:r>
      <w:r>
        <w:rPr>
          <w:kern w:val="0"/>
          <w:szCs w:val="24"/>
        </w:rPr>
        <w:t xml:space="preserve">published trials including 1,764 lobular breast cancer. </w:t>
      </w:r>
      <w:r>
        <w:rPr>
          <w:i/>
          <w:iCs/>
          <w:kern w:val="0"/>
          <w:szCs w:val="24"/>
        </w:rPr>
        <w:t>Breast Cancer Research</w:t>
      </w:r>
      <w:r w:rsidR="005853A9">
        <w:rPr>
          <w:i/>
          <w:iCs/>
          <w:kern w:val="0"/>
          <w:szCs w:val="24"/>
        </w:rPr>
        <w:t xml:space="preserve"> and </w:t>
      </w:r>
      <w:r>
        <w:rPr>
          <w:i/>
          <w:iCs/>
          <w:kern w:val="0"/>
          <w:szCs w:val="24"/>
        </w:rPr>
        <w:t>Treatment</w:t>
      </w:r>
      <w:r>
        <w:rPr>
          <w:kern w:val="0"/>
          <w:szCs w:val="24"/>
        </w:rPr>
        <w:t xml:space="preserve">, </w:t>
      </w:r>
      <w:r>
        <w:rPr>
          <w:b/>
          <w:bCs/>
          <w:kern w:val="0"/>
          <w:szCs w:val="24"/>
        </w:rPr>
        <w:t>142</w:t>
      </w:r>
      <w:r>
        <w:rPr>
          <w:kern w:val="0"/>
          <w:szCs w:val="24"/>
        </w:rPr>
        <w:t xml:space="preserve"> (2), 227-235.</w:t>
      </w:r>
    </w:p>
    <w:p w:rsidR="000A4FB1" w:rsidRDefault="000A4FB1" w:rsidP="000A4FB1">
      <w:pPr>
        <w:pStyle w:val="a3"/>
      </w:pPr>
      <w:r>
        <w:t>Full Text:</w:t>
      </w:r>
      <w:r w:rsidRPr="00FC7835">
        <w:t xml:space="preserve"> </w:t>
      </w:r>
      <w:hyperlink r:id="rId1844" w:history="1">
        <w:r w:rsidRPr="00490788">
          <w:rPr>
            <w:rStyle w:val="a5"/>
          </w:rPr>
          <w:t>2013\Bre Can Res Tre142, 227.pdf</w:t>
        </w:r>
      </w:hyperlink>
    </w:p>
    <w:p w:rsidR="000A4FB1" w:rsidRDefault="000A4FB1" w:rsidP="000A4FB1">
      <w:pPr>
        <w:pStyle w:val="a3"/>
        <w:rPr>
          <w:kern w:val="0"/>
          <w:szCs w:val="24"/>
        </w:rPr>
      </w:pPr>
      <w:r>
        <w:rPr>
          <w:kern w:val="0"/>
          <w:szCs w:val="24"/>
        </w:rPr>
        <w:t>Abstract: Infiltrating lobular carcinoma (ILC)</w:t>
      </w:r>
      <w:r w:rsidR="00427468">
        <w:rPr>
          <w:kern w:val="0"/>
          <w:szCs w:val="24"/>
        </w:rPr>
        <w:t xml:space="preserve"> of </w:t>
      </w:r>
      <w:r>
        <w:rPr>
          <w:kern w:val="0"/>
          <w:szCs w:val="24"/>
        </w:rPr>
        <w:t>the breast is associated with greater oestrogen receptor expression</w:t>
      </w:r>
      <w:r w:rsidR="005853A9">
        <w:rPr>
          <w:kern w:val="0"/>
          <w:szCs w:val="24"/>
        </w:rPr>
        <w:t xml:space="preserve"> and </w:t>
      </w:r>
      <w:r>
        <w:rPr>
          <w:kern w:val="0"/>
          <w:szCs w:val="24"/>
        </w:rPr>
        <w:t>poorer response to neoadjuvant chemotherapy, when compared to infiltrating ductal carcinoma (IDC). In order to compare the pathological complete response rate (pCR)</w:t>
      </w:r>
      <w:r w:rsidR="005853A9">
        <w:rPr>
          <w:kern w:val="0"/>
          <w:szCs w:val="24"/>
        </w:rPr>
        <w:t xml:space="preserve"> and </w:t>
      </w:r>
      <w:r>
        <w:rPr>
          <w:kern w:val="0"/>
          <w:szCs w:val="24"/>
        </w:rPr>
        <w:t>breast conserving surgery (BCS) in patients with ILC versus IDC treated with neoadjuvant chemotherapy, we performed a systematic review</w:t>
      </w:r>
      <w:r w:rsidR="005853A9">
        <w:rPr>
          <w:kern w:val="0"/>
          <w:szCs w:val="24"/>
        </w:rPr>
        <w:t xml:space="preserve"> and </w:t>
      </w:r>
      <w:r>
        <w:rPr>
          <w:kern w:val="0"/>
          <w:szCs w:val="24"/>
        </w:rPr>
        <w:t>meta-analysis</w:t>
      </w:r>
      <w:r w:rsidR="00427468">
        <w:rPr>
          <w:kern w:val="0"/>
          <w:szCs w:val="24"/>
        </w:rPr>
        <w:t xml:space="preserve"> of </w:t>
      </w:r>
      <w:r>
        <w:rPr>
          <w:kern w:val="0"/>
          <w:szCs w:val="24"/>
        </w:rPr>
        <w:t>all published studies. A search</w:t>
      </w:r>
      <w:r w:rsidR="00427468">
        <w:rPr>
          <w:kern w:val="0"/>
          <w:szCs w:val="24"/>
        </w:rPr>
        <w:t xml:space="preserve"> of </w:t>
      </w:r>
      <w:r>
        <w:rPr>
          <w:kern w:val="0"/>
          <w:szCs w:val="24"/>
        </w:rPr>
        <w:t xml:space="preserve">PubMed, EMBASE, the </w:t>
      </w:r>
      <w:r w:rsidR="00D5664A">
        <w:rPr>
          <w:kern w:val="0"/>
          <w:szCs w:val="24"/>
        </w:rPr>
        <w:t>Web</w:t>
      </w:r>
      <w:r w:rsidR="00427468">
        <w:rPr>
          <w:kern w:val="0"/>
          <w:szCs w:val="24"/>
        </w:rPr>
        <w:t xml:space="preserve"> of </w:t>
      </w:r>
      <w:r w:rsidR="00D5664A">
        <w:rPr>
          <w:kern w:val="0"/>
          <w:szCs w:val="24"/>
        </w:rPr>
        <w:t>Science</w:t>
      </w:r>
      <w:r>
        <w:rPr>
          <w:kern w:val="0"/>
          <w:szCs w:val="24"/>
        </w:rPr>
        <w:t>, SCOPUS</w:t>
      </w:r>
      <w:r w:rsidR="005853A9">
        <w:rPr>
          <w:kern w:val="0"/>
          <w:szCs w:val="24"/>
        </w:rPr>
        <w:t xml:space="preserve"> and </w:t>
      </w:r>
      <w:r>
        <w:rPr>
          <w:kern w:val="0"/>
          <w:szCs w:val="24"/>
        </w:rPr>
        <w:t>the Cochrane Central Register</w:t>
      </w:r>
      <w:r w:rsidR="00427468">
        <w:rPr>
          <w:kern w:val="0"/>
          <w:szCs w:val="24"/>
        </w:rPr>
        <w:t xml:space="preserve"> of </w:t>
      </w:r>
      <w:r>
        <w:rPr>
          <w:kern w:val="0"/>
          <w:szCs w:val="24"/>
        </w:rPr>
        <w:t>Controlled Trials was performed to identify studies that investigated pCR, clinical response</w:t>
      </w:r>
      <w:r w:rsidR="005853A9">
        <w:rPr>
          <w:kern w:val="0"/>
          <w:szCs w:val="24"/>
        </w:rPr>
        <w:t xml:space="preserve"> and </w:t>
      </w:r>
      <w:r>
        <w:rPr>
          <w:kern w:val="0"/>
          <w:szCs w:val="24"/>
        </w:rPr>
        <w:t>BCS in patients with ILC that were treated with neoadjuvant chemotherapy. Random-effect models were adopted to estimate the summary odds ratio (OR),</w:t>
      </w:r>
      <w:r w:rsidR="005853A9">
        <w:rPr>
          <w:kern w:val="0"/>
          <w:szCs w:val="24"/>
        </w:rPr>
        <w:t xml:space="preserve"> and </w:t>
      </w:r>
      <w:r>
        <w:rPr>
          <w:kern w:val="0"/>
          <w:szCs w:val="24"/>
        </w:rPr>
        <w:t>the publication bias was evaluated using a funnel plot</w:t>
      </w:r>
      <w:r w:rsidR="005853A9">
        <w:rPr>
          <w:kern w:val="0"/>
          <w:szCs w:val="24"/>
        </w:rPr>
        <w:t xml:space="preserve"> and </w:t>
      </w:r>
      <w:r>
        <w:rPr>
          <w:kern w:val="0"/>
          <w:szCs w:val="24"/>
        </w:rPr>
        <w:t>Egger</w:t>
      </w:r>
      <w:r w:rsidR="00700038">
        <w:rPr>
          <w:kern w:val="0"/>
          <w:szCs w:val="24"/>
        </w:rPr>
        <w:t>’</w:t>
      </w:r>
      <w:r>
        <w:rPr>
          <w:kern w:val="0"/>
          <w:szCs w:val="24"/>
        </w:rPr>
        <w:t>s regression asymmetry test. Seventeen studies were included (one randomized controlled trial, three prospective series</w:t>
      </w:r>
      <w:r w:rsidR="005853A9">
        <w:rPr>
          <w:kern w:val="0"/>
          <w:szCs w:val="24"/>
        </w:rPr>
        <w:t xml:space="preserve"> and </w:t>
      </w:r>
      <w:r>
        <w:rPr>
          <w:kern w:val="0"/>
          <w:szCs w:val="24"/>
        </w:rPr>
        <w:t>13 retrospective trials), for a total</w:t>
      </w:r>
      <w:r w:rsidR="00427468">
        <w:rPr>
          <w:kern w:val="0"/>
          <w:szCs w:val="24"/>
        </w:rPr>
        <w:t xml:space="preserve"> of </w:t>
      </w:r>
      <w:r>
        <w:rPr>
          <w:kern w:val="0"/>
          <w:szCs w:val="24"/>
        </w:rPr>
        <w:t>12,645 IDCs</w:t>
      </w:r>
      <w:r w:rsidR="005853A9">
        <w:rPr>
          <w:kern w:val="0"/>
          <w:szCs w:val="24"/>
        </w:rPr>
        <w:t xml:space="preserve"> and </w:t>
      </w:r>
      <w:r>
        <w:rPr>
          <w:kern w:val="0"/>
          <w:szCs w:val="24"/>
        </w:rPr>
        <w:t>1,764 ILCs to be compared. Ductal carcinoma</w:t>
      </w:r>
      <w:r w:rsidR="00427468">
        <w:rPr>
          <w:kern w:val="0"/>
          <w:szCs w:val="24"/>
        </w:rPr>
        <w:t xml:space="preserve"> of </w:t>
      </w:r>
      <w:r>
        <w:rPr>
          <w:kern w:val="0"/>
          <w:szCs w:val="24"/>
        </w:rPr>
        <w:t>the breast was associated with a better pCR (from 5.9 to 16.7 %; OR = 3.1, 95 % CI 2.48-3.87, P &lt; 0.00001)</w:t>
      </w:r>
      <w:r w:rsidR="005853A9">
        <w:rPr>
          <w:kern w:val="0"/>
          <w:szCs w:val="24"/>
        </w:rPr>
        <w:t xml:space="preserve"> and </w:t>
      </w:r>
      <w:r>
        <w:rPr>
          <w:kern w:val="0"/>
          <w:szCs w:val="24"/>
        </w:rPr>
        <w:t>rate</w:t>
      </w:r>
      <w:r w:rsidR="00427468">
        <w:rPr>
          <w:kern w:val="0"/>
          <w:szCs w:val="24"/>
        </w:rPr>
        <w:t xml:space="preserve"> of </w:t>
      </w:r>
      <w:r>
        <w:rPr>
          <w:kern w:val="0"/>
          <w:szCs w:val="24"/>
        </w:rPr>
        <w:t>BCS (from 35.4 to 54.8 %; OR = 2.1, 95 % CI 1.8-2.45, P &lt; 0.00001) compared to ILC</w:t>
      </w:r>
      <w:r w:rsidR="00A37C1D">
        <w:rPr>
          <w:kern w:val="0"/>
          <w:szCs w:val="24"/>
        </w:rPr>
        <w:t>. The</w:t>
      </w:r>
      <w:r>
        <w:rPr>
          <w:kern w:val="0"/>
          <w:szCs w:val="24"/>
        </w:rPr>
        <w:t xml:space="preserve"> overall pCR rates</w:t>
      </w:r>
      <w:r w:rsidR="005853A9">
        <w:rPr>
          <w:kern w:val="0"/>
          <w:szCs w:val="24"/>
        </w:rPr>
        <w:t xml:space="preserve"> and </w:t>
      </w:r>
      <w:r>
        <w:rPr>
          <w:kern w:val="0"/>
          <w:szCs w:val="24"/>
        </w:rPr>
        <w:t>BCS decreased in the ILCs compared with IDC when treated with neoadjuvant chemotherapy.</w:t>
      </w:r>
    </w:p>
    <w:p w:rsidR="000A4FB1" w:rsidRDefault="000A4FB1" w:rsidP="000A4FB1">
      <w:pPr>
        <w:pStyle w:val="a3"/>
        <w:rPr>
          <w:kern w:val="0"/>
          <w:szCs w:val="24"/>
        </w:rPr>
      </w:pPr>
      <w:r>
        <w:rPr>
          <w:kern w:val="0"/>
          <w:szCs w:val="24"/>
        </w:rPr>
        <w:t xml:space="preserve">Keywords: Asymmetry, BC, Bias, Breast, Breast Cancer, Breast Conservation, Breast-Cancer, Cancer, Chemotherapy, Clinical, Clinicopathological Characteristics, Complete, Controlled Trial, Embase, Expression, Histologic Type, Institution, Italy, Lobular Histology, Meta Analysis, Meta-Analysis, Metaanalysis, Models, Neoadjuvant Chemotherapy, New-York, Nov, Odds Ratio, Oestrogen, P, Pathological Complete Response, Patients, PCR, Preoperative Chemotherapy, Prognosis, Prospective, Publication, Publication Bias, Pubmed, Randomized, Randomized Controlled Trial, Rates, Re, Regression, Review, Science, Scopus, Steroid-Hormone Receptors, Subtypes, Surgery, Systematic Review, Therapy, Trial, </w:t>
      </w:r>
      <w:r w:rsidR="00D5664A">
        <w:rPr>
          <w:kern w:val="0"/>
          <w:szCs w:val="24"/>
        </w:rPr>
        <w:t>USA</w:t>
      </w:r>
      <w:r>
        <w:rPr>
          <w:kern w:val="0"/>
          <w:szCs w:val="24"/>
        </w:rPr>
        <w:t xml:space="preserve">, </w:t>
      </w:r>
      <w:r w:rsidR="00D5664A">
        <w:rPr>
          <w:kern w:val="0"/>
          <w:szCs w:val="24"/>
        </w:rPr>
        <w:t>Web</w:t>
      </w:r>
      <w:r w:rsidR="00427468">
        <w:rPr>
          <w:kern w:val="0"/>
          <w:szCs w:val="24"/>
        </w:rPr>
        <w:t xml:space="preserve"> of </w:t>
      </w:r>
      <w:r w:rsidR="00D5664A">
        <w:rPr>
          <w:kern w:val="0"/>
          <w:szCs w:val="24"/>
        </w:rPr>
        <w:t>Science</w:t>
      </w:r>
    </w:p>
    <w:p w:rsidR="003C483A" w:rsidRDefault="003C483A" w:rsidP="003C483A">
      <w:pPr>
        <w:pStyle w:val="a3"/>
        <w:rPr>
          <w:kern w:val="0"/>
        </w:rPr>
      </w:pPr>
      <w:r>
        <w:rPr>
          <w:rFonts w:hint="eastAsia"/>
          <w:kern w:val="0"/>
        </w:rPr>
        <w:lastRenderedPageBreak/>
        <w:t xml:space="preserve">? </w:t>
      </w:r>
      <w:r>
        <w:rPr>
          <w:kern w:val="0"/>
        </w:rPr>
        <w:t>Wu, L., Wang, F.L., Xu, R.B., Zhang, S.M., Peng, X.Z., Feng, Y., Wang, J.M.</w:t>
      </w:r>
      <w:r w:rsidR="005853A9">
        <w:rPr>
          <w:kern w:val="0"/>
        </w:rPr>
        <w:t xml:space="preserve"> and </w:t>
      </w:r>
      <w:r>
        <w:rPr>
          <w:kern w:val="0"/>
        </w:rPr>
        <w:t>Lu, C. (2013), Promoter methylation</w:t>
      </w:r>
      <w:r w:rsidR="00427468">
        <w:rPr>
          <w:kern w:val="0"/>
        </w:rPr>
        <w:t xml:space="preserve"> of </w:t>
      </w:r>
      <w:r w:rsidRPr="008C558A">
        <w:rPr>
          <w:i/>
          <w:kern w:val="0"/>
        </w:rPr>
        <w:t>BRCA1</w:t>
      </w:r>
      <w:r>
        <w:rPr>
          <w:kern w:val="0"/>
        </w:rPr>
        <w:t xml:space="preserve"> in the prognosis</w:t>
      </w:r>
      <w:r w:rsidR="00427468">
        <w:rPr>
          <w:kern w:val="0"/>
        </w:rPr>
        <w:t xml:space="preserve"> of </w:t>
      </w:r>
      <w:r>
        <w:rPr>
          <w:kern w:val="0"/>
        </w:rPr>
        <w:t xml:space="preserve">breast cancer: A meta-analysis. </w:t>
      </w:r>
      <w:r>
        <w:rPr>
          <w:i/>
          <w:iCs/>
          <w:kern w:val="0"/>
        </w:rPr>
        <w:t>Breast Cancer Research</w:t>
      </w:r>
      <w:r w:rsidR="005853A9">
        <w:rPr>
          <w:i/>
          <w:iCs/>
          <w:kern w:val="0"/>
        </w:rPr>
        <w:t xml:space="preserve"> and </w:t>
      </w:r>
      <w:r>
        <w:rPr>
          <w:i/>
          <w:iCs/>
          <w:kern w:val="0"/>
        </w:rPr>
        <w:t>Treatment</w:t>
      </w:r>
      <w:r>
        <w:rPr>
          <w:kern w:val="0"/>
        </w:rPr>
        <w:t xml:space="preserve">, </w:t>
      </w:r>
      <w:r>
        <w:rPr>
          <w:b/>
          <w:bCs/>
          <w:kern w:val="0"/>
        </w:rPr>
        <w:t>142</w:t>
      </w:r>
      <w:r>
        <w:rPr>
          <w:kern w:val="0"/>
        </w:rPr>
        <w:t xml:space="preserve"> (3), 619-627.</w:t>
      </w:r>
    </w:p>
    <w:p w:rsidR="003C483A" w:rsidRDefault="003C483A" w:rsidP="003C483A">
      <w:pPr>
        <w:pStyle w:val="a3"/>
      </w:pPr>
      <w:r>
        <w:t>Full Text:</w:t>
      </w:r>
      <w:r w:rsidRPr="00FC7835">
        <w:t xml:space="preserve"> </w:t>
      </w:r>
      <w:hyperlink r:id="rId1845" w:history="1">
        <w:r w:rsidRPr="008C558A">
          <w:rPr>
            <w:rStyle w:val="a5"/>
          </w:rPr>
          <w:t>2013\Bre Can Res Tre142, 619.pdf</w:t>
        </w:r>
      </w:hyperlink>
    </w:p>
    <w:p w:rsidR="003C483A" w:rsidRDefault="003C483A" w:rsidP="003C483A">
      <w:pPr>
        <w:pStyle w:val="a3"/>
        <w:rPr>
          <w:kern w:val="0"/>
        </w:rPr>
      </w:pPr>
      <w:r>
        <w:rPr>
          <w:kern w:val="0"/>
        </w:rPr>
        <w:t>Abstract: The inactivation</w:t>
      </w:r>
      <w:r w:rsidR="00427468">
        <w:rPr>
          <w:kern w:val="0"/>
        </w:rPr>
        <w:t xml:space="preserve"> of </w:t>
      </w:r>
      <w:r>
        <w:rPr>
          <w:kern w:val="0"/>
        </w:rPr>
        <w:t>BRCA1 by epigenetic alterations is a critical event in breast tumorigenesis, which may potentially be used as a prognostic marker for patients with breast cancer</w:t>
      </w:r>
      <w:r w:rsidR="00A37C1D">
        <w:rPr>
          <w:kern w:val="0"/>
        </w:rPr>
        <w:t>. The</w:t>
      </w:r>
      <w:r>
        <w:rPr>
          <w:kern w:val="0"/>
        </w:rPr>
        <w:t xml:space="preserve"> present study systematically reviewed the promoter methylation</w:t>
      </w:r>
      <w:r w:rsidR="00427468">
        <w:rPr>
          <w:kern w:val="0"/>
        </w:rPr>
        <w:t xml:space="preserve"> of </w:t>
      </w:r>
      <w:r>
        <w:rPr>
          <w:kern w:val="0"/>
        </w:rPr>
        <w:t>BRCA1</w:t>
      </w:r>
      <w:r w:rsidR="005853A9">
        <w:rPr>
          <w:kern w:val="0"/>
        </w:rPr>
        <w:t xml:space="preserve"> and </w:t>
      </w:r>
      <w:r>
        <w:rPr>
          <w:kern w:val="0"/>
        </w:rPr>
        <w:t>its relationship to the clinical outcomes</w:t>
      </w:r>
      <w:r w:rsidR="00427468">
        <w:rPr>
          <w:kern w:val="0"/>
        </w:rPr>
        <w:t xml:space="preserve"> of </w:t>
      </w:r>
      <w:r>
        <w:rPr>
          <w:kern w:val="0"/>
        </w:rPr>
        <w:t>breast cancer patients. We performed a meta-analysis following the PRISMA guideline. Relevant articles were identified by searching PubMed, Web</w:t>
      </w:r>
      <w:r w:rsidR="00427468">
        <w:rPr>
          <w:kern w:val="0"/>
        </w:rPr>
        <w:t xml:space="preserve"> of </w:t>
      </w:r>
      <w:r>
        <w:rPr>
          <w:kern w:val="0"/>
        </w:rPr>
        <w:t>Science</w:t>
      </w:r>
      <w:r w:rsidR="005853A9">
        <w:rPr>
          <w:kern w:val="0"/>
        </w:rPr>
        <w:t xml:space="preserve"> and </w:t>
      </w:r>
      <w:r>
        <w:rPr>
          <w:kern w:val="0"/>
        </w:rPr>
        <w:t>Embase database until August 2013</w:t>
      </w:r>
      <w:r w:rsidR="00A37C1D">
        <w:rPr>
          <w:kern w:val="0"/>
        </w:rPr>
        <w:t>. The</w:t>
      </w:r>
      <w:r>
        <w:rPr>
          <w:kern w:val="0"/>
        </w:rPr>
        <w:t xml:space="preserve"> pooled hazard ratio (HR)</w:t>
      </w:r>
      <w:r w:rsidR="005853A9">
        <w:rPr>
          <w:kern w:val="0"/>
        </w:rPr>
        <w:t xml:space="preserve"> and </w:t>
      </w:r>
      <w:r>
        <w:rPr>
          <w:kern w:val="0"/>
        </w:rPr>
        <w:t>95 % confidence interval (CI) were applied to estimate the effect</w:t>
      </w:r>
      <w:r w:rsidR="00427468">
        <w:rPr>
          <w:kern w:val="0"/>
        </w:rPr>
        <w:t xml:space="preserve"> of </w:t>
      </w:r>
      <w:r>
        <w:rPr>
          <w:kern w:val="0"/>
        </w:rPr>
        <w:t>BRCA1 methylation. Random or fixed effect model was chosen based on the heterogeneity analysis. A total</w:t>
      </w:r>
      <w:r w:rsidR="00427468">
        <w:rPr>
          <w:kern w:val="0"/>
        </w:rPr>
        <w:t xml:space="preserve"> of </w:t>
      </w:r>
      <w:r>
        <w:rPr>
          <w:kern w:val="0"/>
        </w:rPr>
        <w:t>3,205 patients from nine eligible studies were included in the meta-analysis. BRCA1 methylation was found to be significantly correlated with a poor overall survival</w:t>
      </w:r>
      <w:r w:rsidR="00427468">
        <w:rPr>
          <w:kern w:val="0"/>
        </w:rPr>
        <w:t xml:space="preserve"> of </w:t>
      </w:r>
      <w:r>
        <w:rPr>
          <w:kern w:val="0"/>
        </w:rPr>
        <w:t>breast cancer, with the combined HR (95 % CI)</w:t>
      </w:r>
      <w:r w:rsidR="00427468">
        <w:rPr>
          <w:kern w:val="0"/>
        </w:rPr>
        <w:t xml:space="preserve"> of </w:t>
      </w:r>
      <w:r>
        <w:rPr>
          <w:kern w:val="0"/>
        </w:rPr>
        <w:t>2.02 (1.35-3.03). After adjusting for potential confounders using the Cox regression model, the pooled HR (95 % CI)</w:t>
      </w:r>
      <w:r w:rsidR="00427468">
        <w:rPr>
          <w:kern w:val="0"/>
        </w:rPr>
        <w:t xml:space="preserve"> of </w:t>
      </w:r>
      <w:r>
        <w:rPr>
          <w:kern w:val="0"/>
        </w:rPr>
        <w:t>BRCA1 methylation on patients</w:t>
      </w:r>
      <w:r w:rsidR="00700038">
        <w:rPr>
          <w:kern w:val="0"/>
        </w:rPr>
        <w:t>’</w:t>
      </w:r>
      <w:r>
        <w:rPr>
          <w:kern w:val="0"/>
        </w:rPr>
        <w:t xml:space="preserve"> overall survival was 1.38 (1.04-1.84). If we used the disease-free survival as the outcome, the combined HR (95 % CI) was 2.89 (1.73-4.83) for univariate analysis</w:t>
      </w:r>
      <w:r w:rsidR="005853A9">
        <w:rPr>
          <w:kern w:val="0"/>
        </w:rPr>
        <w:t xml:space="preserve"> and </w:t>
      </w:r>
      <w:r>
        <w:rPr>
          <w:kern w:val="0"/>
        </w:rPr>
        <w:t>3.92 (95 % CI 1.49-10.32) for multivariate analysis, respectively. Subgroup analysis</w:t>
      </w:r>
      <w:r w:rsidR="00427468">
        <w:rPr>
          <w:kern w:val="0"/>
        </w:rPr>
        <w:t xml:space="preserve"> of </w:t>
      </w:r>
      <w:r>
        <w:rPr>
          <w:kern w:val="0"/>
        </w:rPr>
        <w:t>specimen types revealed that the pooled HR (95 % CI) for overall survival was 1.48 (1.22-1.81) when using formalin-fixed paraffin-embedded (FFPE) specimen</w:t>
      </w:r>
      <w:r w:rsidR="005853A9">
        <w:rPr>
          <w:kern w:val="0"/>
        </w:rPr>
        <w:t xml:space="preserve"> and </w:t>
      </w:r>
      <w:r>
        <w:rPr>
          <w:kern w:val="0"/>
        </w:rPr>
        <w:t>1.38 (0.16-11.84) when using fresh frozen tissues. As for the disease-free survival, the pooled HR (95 % CI) was 2.47 (1.33-4.58) when using FFPE specimen</w:t>
      </w:r>
      <w:r w:rsidR="005853A9">
        <w:rPr>
          <w:kern w:val="0"/>
        </w:rPr>
        <w:t xml:space="preserve"> and </w:t>
      </w:r>
      <w:r>
        <w:rPr>
          <w:kern w:val="0"/>
        </w:rPr>
        <w:t>2.78 (1.47-5.28) when using fresh frozen tissues. As a conclusion, the present meta-analysis provides evidence that BRCA1 methylation is associated with a poor survival</w:t>
      </w:r>
      <w:r w:rsidR="00427468">
        <w:rPr>
          <w:kern w:val="0"/>
        </w:rPr>
        <w:t xml:space="preserve"> of </w:t>
      </w:r>
      <w:r>
        <w:rPr>
          <w:kern w:val="0"/>
        </w:rPr>
        <w:t>breast cancer patients. Our findings underscore the clinical relevance</w:t>
      </w:r>
      <w:r w:rsidR="00427468">
        <w:rPr>
          <w:kern w:val="0"/>
        </w:rPr>
        <w:t xml:space="preserve"> of </w:t>
      </w:r>
      <w:r>
        <w:rPr>
          <w:kern w:val="0"/>
        </w:rPr>
        <w:t>aberrant epigenetic alteration as a promising biomarker for the prognosis</w:t>
      </w:r>
      <w:r w:rsidR="00427468">
        <w:rPr>
          <w:kern w:val="0"/>
        </w:rPr>
        <w:t xml:space="preserve"> of </w:t>
      </w:r>
      <w:r>
        <w:rPr>
          <w:kern w:val="0"/>
        </w:rPr>
        <w:t>human cancers.</w:t>
      </w:r>
    </w:p>
    <w:p w:rsidR="003C483A" w:rsidRDefault="003C483A" w:rsidP="003C483A">
      <w:pPr>
        <w:pStyle w:val="a3"/>
        <w:rPr>
          <w:kern w:val="0"/>
        </w:rPr>
      </w:pPr>
      <w:r>
        <w:rPr>
          <w:kern w:val="0"/>
        </w:rPr>
        <w:t>Keywords: Analysis, Biomarker, Brca1, Breast Cancer, Cancer, Clinical, Clinical Outcomes, Confidence, Database, Evidence, Guideline, Hazard, Heterogeneity, Human, Interval, Meta Analysis, Meta-Analysis, Metaanalysis, Methylation, Model, Multivariate, Multivariate Analysis, Outcome, Outcomes, Patients, Potential, Prognosis, Prognostic, Pubmed, Regression, Regression Model, Relevance, Science, Survival, Web</w:t>
      </w:r>
      <w:r w:rsidR="00427468">
        <w:rPr>
          <w:kern w:val="0"/>
        </w:rPr>
        <w:t xml:space="preserve"> of </w:t>
      </w:r>
      <w:r>
        <w:rPr>
          <w:kern w:val="0"/>
        </w:rPr>
        <w:t>Science</w:t>
      </w:r>
    </w:p>
    <w:p w:rsidR="0005697A" w:rsidRDefault="0005697A" w:rsidP="0005697A">
      <w:pPr>
        <w:pStyle w:val="a3"/>
        <w:rPr>
          <w:kern w:val="0"/>
          <w:szCs w:val="24"/>
        </w:rPr>
      </w:pPr>
      <w:r>
        <w:rPr>
          <w:rFonts w:hint="eastAsia"/>
          <w:kern w:val="0"/>
          <w:szCs w:val="24"/>
        </w:rPr>
        <w:t xml:space="preserve">? </w:t>
      </w:r>
      <w:r>
        <w:rPr>
          <w:kern w:val="0"/>
          <w:szCs w:val="24"/>
        </w:rPr>
        <w:t>Petrelli, F., Coinu, A., Borgonovo, K., Cabiddu, M., Ghilardi, M., Lonati, V. and Barni, S. (2014), The value</w:t>
      </w:r>
      <w:r w:rsidR="00427468">
        <w:rPr>
          <w:kern w:val="0"/>
          <w:szCs w:val="24"/>
        </w:rPr>
        <w:t xml:space="preserve"> of </w:t>
      </w:r>
      <w:r>
        <w:rPr>
          <w:kern w:val="0"/>
          <w:szCs w:val="24"/>
        </w:rPr>
        <w:t xml:space="preserve">platinum agents as neoadjuvant chemotherapy in triple-negative breast cancers: A systematic review and meta-analysis. </w:t>
      </w:r>
      <w:r>
        <w:rPr>
          <w:i/>
          <w:iCs/>
          <w:kern w:val="0"/>
          <w:szCs w:val="24"/>
        </w:rPr>
        <w:t>Breast Cancer Research and Treatment</w:t>
      </w:r>
      <w:r>
        <w:rPr>
          <w:kern w:val="0"/>
          <w:szCs w:val="24"/>
        </w:rPr>
        <w:t xml:space="preserve">, </w:t>
      </w:r>
      <w:r>
        <w:rPr>
          <w:b/>
          <w:bCs/>
          <w:kern w:val="0"/>
          <w:szCs w:val="24"/>
        </w:rPr>
        <w:t>144</w:t>
      </w:r>
      <w:r>
        <w:rPr>
          <w:kern w:val="0"/>
          <w:szCs w:val="24"/>
        </w:rPr>
        <w:t xml:space="preserve"> (2), 223-232.</w:t>
      </w:r>
    </w:p>
    <w:p w:rsidR="0005697A" w:rsidRDefault="0005697A" w:rsidP="0005697A">
      <w:pPr>
        <w:pStyle w:val="a3"/>
      </w:pPr>
      <w:r>
        <w:lastRenderedPageBreak/>
        <w:t>Full Text:</w:t>
      </w:r>
      <w:r w:rsidRPr="00FC7835">
        <w:t xml:space="preserve"> </w:t>
      </w:r>
      <w:hyperlink r:id="rId1846" w:history="1">
        <w:r w:rsidRPr="00126933">
          <w:rPr>
            <w:rStyle w:val="a5"/>
          </w:rPr>
          <w:t>2014\Bre Can Res Tre144, 223.pdf</w:t>
        </w:r>
      </w:hyperlink>
    </w:p>
    <w:p w:rsidR="0005697A" w:rsidRDefault="0005697A" w:rsidP="0005697A">
      <w:pPr>
        <w:pStyle w:val="a3"/>
        <w:rPr>
          <w:kern w:val="0"/>
          <w:szCs w:val="24"/>
        </w:rPr>
      </w:pPr>
      <w:r>
        <w:rPr>
          <w:kern w:val="0"/>
          <w:szCs w:val="24"/>
        </w:rPr>
        <w:t>Abstract: Platinum agents such as cisplatin and carboplatin are DNA-damaging agents with activity in breast cancer (BC), particularly in the triple negative (TN) subgroup</w:t>
      </w:r>
      <w:r w:rsidR="00A37C1D">
        <w:rPr>
          <w:kern w:val="0"/>
          <w:szCs w:val="24"/>
        </w:rPr>
        <w:t>. The</w:t>
      </w:r>
      <w:r>
        <w:rPr>
          <w:kern w:val="0"/>
          <w:szCs w:val="24"/>
        </w:rPr>
        <w:t xml:space="preserve"> utility</w:t>
      </w:r>
      <w:r w:rsidR="00427468">
        <w:rPr>
          <w:kern w:val="0"/>
          <w:szCs w:val="24"/>
        </w:rPr>
        <w:t xml:space="preserve"> of </w:t>
      </w:r>
      <w:r>
        <w:rPr>
          <w:kern w:val="0"/>
          <w:szCs w:val="24"/>
        </w:rPr>
        <w:t>platinum agents, in addition to standard neoadjuvant chemotherapy (NAC), is controversial. To assess the activity</w:t>
      </w:r>
      <w:r w:rsidR="00427468">
        <w:rPr>
          <w:kern w:val="0"/>
          <w:szCs w:val="24"/>
        </w:rPr>
        <w:t xml:space="preserve"> of </w:t>
      </w:r>
      <w:r>
        <w:rPr>
          <w:kern w:val="0"/>
          <w:szCs w:val="24"/>
        </w:rPr>
        <w:t>platinum agents in patients with TNBC treated with NAC, we performed a systematic review and meta-analysis</w:t>
      </w:r>
      <w:r w:rsidR="00427468">
        <w:rPr>
          <w:kern w:val="0"/>
          <w:szCs w:val="24"/>
        </w:rPr>
        <w:t xml:space="preserve"> of </w:t>
      </w:r>
      <w:r>
        <w:rPr>
          <w:kern w:val="0"/>
          <w:szCs w:val="24"/>
        </w:rPr>
        <w:t>all published studies. A search</w:t>
      </w:r>
      <w:r w:rsidR="00427468">
        <w:rPr>
          <w:kern w:val="0"/>
          <w:szCs w:val="24"/>
        </w:rPr>
        <w:t xml:space="preserve"> of </w:t>
      </w:r>
      <w:r>
        <w:rPr>
          <w:kern w:val="0"/>
          <w:szCs w:val="24"/>
        </w:rPr>
        <w:t>PubMed, EMBASE, the Web</w:t>
      </w:r>
      <w:r w:rsidR="00427468">
        <w:rPr>
          <w:kern w:val="0"/>
          <w:szCs w:val="24"/>
        </w:rPr>
        <w:t xml:space="preserve"> of </w:t>
      </w:r>
      <w:r>
        <w:rPr>
          <w:kern w:val="0"/>
          <w:szCs w:val="24"/>
        </w:rPr>
        <w:t>Science, SCOPUS, and the Cochrane Central Register</w:t>
      </w:r>
      <w:r w:rsidR="00427468">
        <w:rPr>
          <w:kern w:val="0"/>
          <w:szCs w:val="24"/>
        </w:rPr>
        <w:t xml:space="preserve"> of </w:t>
      </w:r>
      <w:r>
        <w:rPr>
          <w:kern w:val="0"/>
          <w:szCs w:val="24"/>
        </w:rPr>
        <w:t>Controlled Trials was performed to identify studies that investigated platinum-based NAC in patients with TNBC. Random effect models were adopted to estimate the summary risk ratio (RR), and the publication bias was evaluated using a funnel plot and Egger</w:t>
      </w:r>
      <w:r w:rsidR="00700038">
        <w:rPr>
          <w:kern w:val="0"/>
          <w:szCs w:val="24"/>
        </w:rPr>
        <w:t>’</w:t>
      </w:r>
      <w:r>
        <w:rPr>
          <w:kern w:val="0"/>
          <w:szCs w:val="24"/>
        </w:rPr>
        <w:t>s regression asymmetry test</w:t>
      </w:r>
      <w:r w:rsidR="00A37C1D">
        <w:rPr>
          <w:kern w:val="0"/>
          <w:szCs w:val="24"/>
        </w:rPr>
        <w:t>. The</w:t>
      </w:r>
      <w:r>
        <w:rPr>
          <w:kern w:val="0"/>
          <w:szCs w:val="24"/>
        </w:rPr>
        <w:t xml:space="preserve"> primary endpoints were the pooled rate</w:t>
      </w:r>
      <w:r w:rsidR="00427468">
        <w:rPr>
          <w:kern w:val="0"/>
          <w:szCs w:val="24"/>
        </w:rPr>
        <w:t xml:space="preserve"> of </w:t>
      </w:r>
      <w:r>
        <w:rPr>
          <w:kern w:val="0"/>
          <w:szCs w:val="24"/>
        </w:rPr>
        <w:t>the pathologic complete response (pCR) and the RR to obtain a pCR in patients treated versus not treated with NAC containing platinum agents. 28 studies were included (six randomized controlled trials and 22 retrospective or prospective studies) for a total</w:t>
      </w:r>
      <w:r w:rsidR="00427468">
        <w:rPr>
          <w:kern w:val="0"/>
          <w:szCs w:val="24"/>
        </w:rPr>
        <w:t xml:space="preserve"> of </w:t>
      </w:r>
      <w:r>
        <w:rPr>
          <w:kern w:val="0"/>
          <w:szCs w:val="24"/>
        </w:rPr>
        <w:t>1,598 TNBC patients. Overall, the pooled rate</w:t>
      </w:r>
      <w:r w:rsidR="00427468">
        <w:rPr>
          <w:kern w:val="0"/>
          <w:szCs w:val="24"/>
        </w:rPr>
        <w:t xml:space="preserve"> of </w:t>
      </w:r>
      <w:r>
        <w:rPr>
          <w:kern w:val="0"/>
          <w:szCs w:val="24"/>
        </w:rPr>
        <w:t>pCR in patients treated with platinum-based NAC was 45 %. In randomized trials, NAC containing cisplatin or carboplatin significantly increased the rate</w:t>
      </w:r>
      <w:r w:rsidR="00427468">
        <w:rPr>
          <w:kern w:val="0"/>
          <w:szCs w:val="24"/>
        </w:rPr>
        <w:t xml:space="preserve"> of </w:t>
      </w:r>
      <w:r>
        <w:rPr>
          <w:kern w:val="0"/>
          <w:szCs w:val="24"/>
        </w:rPr>
        <w:t>pCR compared with nonplatinum agents (RR = 1.45, 95 % CI 1.25-1.68; P &lt; 0.0001). Compared with non-TN, TNBCs were associated with a threefold increase in the pCR rate when treated with platinum-based NAC (RR 3.32, 95 % CI 2.39-4.61; P &lt; 0.0001). In conclusion, pCR rates increase significantly with the addition</w:t>
      </w:r>
      <w:r w:rsidR="00427468">
        <w:rPr>
          <w:kern w:val="0"/>
          <w:szCs w:val="24"/>
        </w:rPr>
        <w:t xml:space="preserve"> of </w:t>
      </w:r>
      <w:r>
        <w:rPr>
          <w:kern w:val="0"/>
          <w:szCs w:val="24"/>
        </w:rPr>
        <w:t>cisplatin or carboplatin in TNBC compared with NAC containing no platinum drugs. TN status is a predictor</w:t>
      </w:r>
      <w:r w:rsidR="00427468">
        <w:rPr>
          <w:kern w:val="0"/>
          <w:szCs w:val="24"/>
        </w:rPr>
        <w:t xml:space="preserve"> of </w:t>
      </w:r>
      <w:r>
        <w:rPr>
          <w:kern w:val="0"/>
          <w:szCs w:val="24"/>
        </w:rPr>
        <w:t>benefit from platinum-based NAC.</w:t>
      </w:r>
    </w:p>
    <w:p w:rsidR="0005697A" w:rsidRDefault="0005697A" w:rsidP="0005697A">
      <w:pPr>
        <w:pStyle w:val="a3"/>
        <w:rPr>
          <w:kern w:val="0"/>
          <w:szCs w:val="24"/>
        </w:rPr>
      </w:pPr>
      <w:r>
        <w:rPr>
          <w:kern w:val="0"/>
          <w:szCs w:val="24"/>
        </w:rPr>
        <w:t>Keywords: Activity, Anthracycline, Asymmetry, Bc, Bias, Breast Cancer, Cancer, Carboplatin, Carboplatin, Chemotherapy, Cisplatin, Cisplatin, Complete, Containing Regimen, Differential Response, Docetaxel, Drugs, Embase, F-18-Fdg Pet, Ct, Meta Analysis, Meta-Analysis, Metaanalysis, Models, Neoadjuvant Chemotherapy, P, Pathologic Complete Response, Pathological Complete Response, Patients, Pcr, Phase-Ii Trial, Platinum, Primary, Prospective, Prospective Studies, Publication, Publication Bias, Pubmed, Randomized, Randomized Controlled Trials, Rates, Regression, Response, Review, Risk, Science, Scopus, Standard, Systematic Review, Triple Negative, Utility, Value, Web</w:t>
      </w:r>
      <w:r w:rsidR="00427468">
        <w:rPr>
          <w:kern w:val="0"/>
          <w:szCs w:val="24"/>
        </w:rPr>
        <w:t xml:space="preserve"> of </w:t>
      </w:r>
      <w:r>
        <w:rPr>
          <w:kern w:val="0"/>
          <w:szCs w:val="24"/>
        </w:rPr>
        <w:t>Science, Weekly Paclitaxel</w:t>
      </w:r>
    </w:p>
    <w:p w:rsidR="00EF6BA2" w:rsidRDefault="00EF6BA2" w:rsidP="00EF6BA2">
      <w:pPr>
        <w:pStyle w:val="a3"/>
        <w:rPr>
          <w:kern w:val="0"/>
        </w:rPr>
      </w:pPr>
      <w:r>
        <w:rPr>
          <w:rFonts w:hint="eastAsia"/>
          <w:kern w:val="0"/>
        </w:rPr>
        <w:t xml:space="preserve">? </w:t>
      </w:r>
      <w:r>
        <w:rPr>
          <w:kern w:val="0"/>
        </w:rPr>
        <w:t xml:space="preserve">Verbelen, H., Gebruers, N., Beyers, T., De Monie, A.C. and Tjalma, W. (2014), Breast edema in breast cancer patients following breast-conserving surgery and radiotherapy: A systematic review. </w:t>
      </w:r>
      <w:r>
        <w:rPr>
          <w:i/>
          <w:iCs/>
          <w:kern w:val="0"/>
        </w:rPr>
        <w:t>Breast Cancer Research and Treatment</w:t>
      </w:r>
      <w:r>
        <w:rPr>
          <w:kern w:val="0"/>
        </w:rPr>
        <w:t xml:space="preserve">, </w:t>
      </w:r>
      <w:r>
        <w:rPr>
          <w:b/>
          <w:bCs/>
          <w:kern w:val="0"/>
        </w:rPr>
        <w:t>147</w:t>
      </w:r>
      <w:r>
        <w:rPr>
          <w:kern w:val="0"/>
        </w:rPr>
        <w:t xml:space="preserve"> (3), 463-471.</w:t>
      </w:r>
    </w:p>
    <w:p w:rsidR="00EF6BA2" w:rsidRDefault="00EF6BA2" w:rsidP="00EF6BA2">
      <w:pPr>
        <w:pStyle w:val="a3"/>
      </w:pPr>
      <w:r>
        <w:t>Full Text:</w:t>
      </w:r>
      <w:r w:rsidRPr="00FC7835">
        <w:t xml:space="preserve"> </w:t>
      </w:r>
      <w:hyperlink r:id="rId1847" w:history="1">
        <w:r w:rsidRPr="00146EA7">
          <w:rPr>
            <w:rStyle w:val="a5"/>
          </w:rPr>
          <w:t>2014\Bre Can Res Tre147, 463.pdf</w:t>
        </w:r>
      </w:hyperlink>
    </w:p>
    <w:p w:rsidR="00EF6BA2" w:rsidRDefault="00EF6BA2" w:rsidP="00EF6BA2">
      <w:pPr>
        <w:pStyle w:val="a3"/>
        <w:rPr>
          <w:kern w:val="0"/>
        </w:rPr>
      </w:pPr>
      <w:r>
        <w:rPr>
          <w:kern w:val="0"/>
        </w:rPr>
        <w:t xml:space="preserve">Abstract: Breast-conserving surgery (BCS) is commonly used in breast cancer treatment. Despite its benefits, some women will be troubled by breast edema. Breast edema </w:t>
      </w:r>
      <w:r>
        <w:rPr>
          <w:kern w:val="0"/>
        </w:rPr>
        <w:lastRenderedPageBreak/>
        <w:t>may cause an unsatisfactory cosmetic result, influencing the quality of life. The purpose of this systematic review is to investigate the incidence of breast edema and to identify risk factors of breast edema in breast cancer patients following BCS and radiotherapy. A systematic literature search was performed using different electronic databases (PubMed, Web of Science, Cochrane, Embase) until June 2014. Inclusion criteria were as follows: (1) research studies that included female breast cancer patients who were treated with BCS and radiotherapy and (2) studies that investigated the incidence of breast edema and/or risk factors of breast edema. Exclusion criteria were (1) reviews or case studies and (2) studies published before 1995. We identified in total 28 papers which represented 4,011 patients. There was a great variation in the incidence of breast edema (0-90.4 %). We identified several possible risk factors for breast edema namely increasing irradiated breast volume, increasing boost volume, the use of a photon boost, increasing breast separation, a higher density of the breast tissue, a large tumor, a higher specimen weight, postoperative infection, acute postoperative toxicity, and diabetes mellitus. However, their prognostic value remains uncertain. Breast edema is a common complaint after BCS and radiotherapy. A number of possible risk factors associated with breast edema were identified, but further research is warranted.</w:t>
      </w:r>
    </w:p>
    <w:p w:rsidR="00EF6BA2" w:rsidRDefault="00EF6BA2" w:rsidP="00EF6BA2">
      <w:pPr>
        <w:pStyle w:val="a3"/>
        <w:rPr>
          <w:kern w:val="0"/>
        </w:rPr>
      </w:pPr>
      <w:r>
        <w:rPr>
          <w:kern w:val="0"/>
        </w:rPr>
        <w:t>Keywords: Acute Toxicity, Bc, Benefits, Breast, Breast Cancer, Breast Edema, Breast Neoplasms, Breast-Conserving Surgery, Cancer, Cancer Treatment, Carcinoma, Case Studies, Conservative Surgery, Criteria, Databases, Diabetes, Diabetes Mellitus, External-Beam Radiotherapy, Feasibility, Female, Frequency, Incidence, Infection, Intraoperative Radiotherapy, Irradiation, Life, Literature, Literature Search, Lymphedema, Papers, Patients, Postoperative, Prognostic, Pubmed, Purpose, Quality, Quality Of, Quality Of Life, Radiation-Therapy, Radiotherapy, Research, Review, Reviews, Risk, Risk Factors, Science, Separation, Surgery, Systematic, Systematic Literature Search, Systematic Review, Toxicity, Treatment, Tumor, Value, Volume, Web Of Science, Women</w:t>
      </w:r>
    </w:p>
    <w:p w:rsidR="0056312E" w:rsidRDefault="0056312E" w:rsidP="0056312E">
      <w:pPr>
        <w:pStyle w:val="a3"/>
        <w:rPr>
          <w:kern w:val="0"/>
        </w:rPr>
      </w:pPr>
      <w:r>
        <w:rPr>
          <w:kern w:val="0"/>
        </w:rPr>
        <w:t xml:space="preserve">? Andrew, P., Valiani, S., MacIsaac, J., Mithoowani, H. and Verma, S. (2014), Tamoxifen-associated skin reactions in breast cancer patients: From case report to literature review. </w:t>
      </w:r>
      <w:r>
        <w:rPr>
          <w:i/>
          <w:iCs/>
          <w:kern w:val="0"/>
        </w:rPr>
        <w:t>Breast Cancer Research and Treatment</w:t>
      </w:r>
      <w:r>
        <w:rPr>
          <w:kern w:val="0"/>
        </w:rPr>
        <w:t xml:space="preserve">, </w:t>
      </w:r>
      <w:r>
        <w:rPr>
          <w:b/>
          <w:bCs/>
          <w:kern w:val="0"/>
        </w:rPr>
        <w:t>148</w:t>
      </w:r>
      <w:r>
        <w:rPr>
          <w:kern w:val="0"/>
        </w:rPr>
        <w:t xml:space="preserve"> (1), 1-5.</w:t>
      </w:r>
    </w:p>
    <w:p w:rsidR="0056312E" w:rsidRDefault="0056312E" w:rsidP="0056312E">
      <w:pPr>
        <w:pStyle w:val="a3"/>
      </w:pPr>
      <w:r>
        <w:t>Full Text:</w:t>
      </w:r>
      <w:r w:rsidRPr="00FC7835">
        <w:t xml:space="preserve"> </w:t>
      </w:r>
      <w:hyperlink r:id="rId1848" w:history="1">
        <w:r w:rsidRPr="002E030E">
          <w:rPr>
            <w:rStyle w:val="a5"/>
          </w:rPr>
          <w:t>2014\Bre Can Res Tre148, 1.pdf</w:t>
        </w:r>
      </w:hyperlink>
    </w:p>
    <w:p w:rsidR="0056312E" w:rsidRDefault="0056312E" w:rsidP="0056312E">
      <w:pPr>
        <w:pStyle w:val="a3"/>
        <w:rPr>
          <w:kern w:val="0"/>
        </w:rPr>
      </w:pPr>
      <w:r>
        <w:rPr>
          <w:kern w:val="0"/>
        </w:rPr>
        <w:t xml:space="preserve">Abstract: The purpose of this study was to firstly present the maiden case of tamoxifen-induced acute cutaneous lupus erythematosus (ACLE), and secondly, to broaden the discussion into a systematic review of the various tamoxifen-related skin changes documented in patients with breast cancer. We searched PubMed, Cochrane, Embase, CancerLit, Scopus, Web of Science, and Google Scholar databases using keywords to identify reported cases of tamoxifen-related cutaneous adverse events. Outcomes captured included type of cutaneous reaction, time to adverse event, </w:t>
      </w:r>
      <w:r>
        <w:rPr>
          <w:kern w:val="0"/>
        </w:rPr>
        <w:lastRenderedPageBreak/>
        <w:t>pathologic mechanism, and possible treatment. From 17 clinical studies identified, over ten distinct types of adverse reactions of the skin were itemized. The character of these cutaneous events ranged from the relatively common hot flashes to the rare, but potentially life-threatening, Steven Johnson syndrome. Overall, tamoxifen is generally a well-tolerated hormone therapy with decades of supporting safety data. Based on current medical literature, we present the first case of tamoxifen-induced ACLE. Our clinical experience of managing this case revealed that despite its broad use and the frequency of associated skin reactions, there is a lack of concise information detailing the cutaneous adverse events associated with tamoxifen. The absence of summarized information concerning tamoxifen-related skin changes prompted us to perform a review herein.</w:t>
      </w:r>
    </w:p>
    <w:p w:rsidR="0056312E" w:rsidRDefault="0056312E" w:rsidP="0056312E">
      <w:pPr>
        <w:pStyle w:val="a3"/>
        <w:rPr>
          <w:kern w:val="0"/>
        </w:rPr>
      </w:pPr>
      <w:r>
        <w:rPr>
          <w:kern w:val="0"/>
        </w:rPr>
        <w:t>Keywords: Adverse Events, American Society, Breast Cancer, Cancer, Case Report, Changes, Clinical, Clinical Experience, Clinical Studies, Clinical-Practice Guideline, Data, Databases, Drug-Induced Lupus, Events, Experience, First, From, Google, Google Scholar, Hormone Therapy, Hot Flashes, Hypersensitivity, Information, Literature, Literature Review, Lupus Erythematosus, Mechanism, Medical, Medical Literature, Nov, Outcomes, Patients, Pubmed, Purpose, Purpuric Vasculitis, Radiation Recall, Rash, Review, Safety, Science, Scopus, Skin, Syndrome, Systematic, Systematic Review, Tamoxifen, Therapy, Treatment, Trial, Web Of Science, Women</w:t>
      </w:r>
    </w:p>
    <w:p w:rsidR="003474F2" w:rsidRPr="001A3D2B" w:rsidRDefault="003474F2" w:rsidP="003474F2">
      <w:pPr>
        <w:pStyle w:val="1"/>
      </w:pPr>
      <w:r w:rsidRPr="001A3D2B">
        <w:br w:type="page"/>
      </w:r>
      <w:bookmarkStart w:id="905" w:name="_Toc420814810"/>
      <w:r w:rsidRPr="001A3D2B">
        <w:lastRenderedPageBreak/>
        <w:t>Title:</w:t>
      </w:r>
      <w:r w:rsidR="003A1917">
        <w:t xml:space="preserve"> the </w:t>
      </w:r>
      <w:r w:rsidRPr="001A3D2B">
        <w:t>British Accounting Review</w:t>
      </w:r>
      <w:bookmarkEnd w:id="905"/>
    </w:p>
    <w:p w:rsidR="003474F2" w:rsidRPr="001A3D2B" w:rsidRDefault="003474F2" w:rsidP="003474F2">
      <w:pPr>
        <w:pStyle w:val="12"/>
      </w:pPr>
      <w:r w:rsidRPr="001A3D2B">
        <w:t>Full Journal Title:</w:t>
      </w:r>
      <w:r w:rsidR="003A1917">
        <w:t xml:space="preserve"> the </w:t>
      </w:r>
      <w:r w:rsidRPr="001A3D2B">
        <w:t>British Accounting Review</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Beattie, V.</w:t>
      </w:r>
      <w:r w:rsidR="005853A9">
        <w:t xml:space="preserve"> and </w:t>
      </w:r>
      <w:r w:rsidRPr="001A3D2B">
        <w:t>Goodacre, A. (2004), Publishing patterns within</w:t>
      </w:r>
      <w:r w:rsidR="003A1917">
        <w:t xml:space="preserve"> the </w:t>
      </w:r>
      <w:r w:rsidRPr="001A3D2B">
        <w:t>UK accounting</w:t>
      </w:r>
      <w:r w:rsidR="005853A9">
        <w:t xml:space="preserve"> and </w:t>
      </w:r>
      <w:r w:rsidRPr="001A3D2B">
        <w:t>finance academic community</w:t>
      </w:r>
      <w:r w:rsidR="00A37C1D">
        <w:t>. The</w:t>
      </w:r>
      <w:r w:rsidR="003A1917">
        <w:t xml:space="preserve"> </w:t>
      </w:r>
      <w:r w:rsidRPr="001A3D2B">
        <w:rPr>
          <w:i/>
          <w:iCs/>
        </w:rPr>
        <w:t>British Accounting Review</w:t>
      </w:r>
      <w:r w:rsidRPr="001A3D2B">
        <w:t xml:space="preserve">, </w:t>
      </w:r>
      <w:r w:rsidRPr="001A3D2B">
        <w:rPr>
          <w:b/>
        </w:rPr>
        <w:t>36</w:t>
      </w:r>
      <w:r w:rsidRPr="001A3D2B">
        <w:t xml:space="preserve"> (1), 7-44.</w:t>
      </w:r>
    </w:p>
    <w:p w:rsidR="003474F2" w:rsidRPr="001A3D2B" w:rsidRDefault="003474F2" w:rsidP="003474F2">
      <w:pPr>
        <w:pStyle w:val="a3"/>
      </w:pPr>
      <w:r w:rsidRPr="001A3D2B">
        <w:t xml:space="preserve">Full Text: </w:t>
      </w:r>
      <w:hyperlink r:id="rId1849" w:history="1">
        <w:r w:rsidRPr="001A3D2B">
          <w:rPr>
            <w:rStyle w:val="a5"/>
          </w:rPr>
          <w:t>2004\Bri Acc Rev36, 7.pdf</w:t>
        </w:r>
      </w:hyperlink>
    </w:p>
    <w:p w:rsidR="003474F2" w:rsidRPr="001A3D2B" w:rsidRDefault="003474F2" w:rsidP="003474F2">
      <w:pPr>
        <w:pStyle w:val="a3"/>
      </w:pPr>
      <w:r w:rsidRPr="001A3D2B">
        <w:t>Abstract: This study reports on publishing patterns in</w:t>
      </w:r>
      <w:r w:rsidR="003A1917">
        <w:t xml:space="preserve"> the </w:t>
      </w:r>
      <w:r w:rsidRPr="001A3D2B">
        <w:t>UK</w:t>
      </w:r>
      <w:r w:rsidR="005853A9">
        <w:t xml:space="preserve"> and </w:t>
      </w:r>
      <w:r w:rsidRPr="001A3D2B">
        <w:t>Irish accounting</w:t>
      </w:r>
      <w:r w:rsidR="005853A9">
        <w:t xml:space="preserve"> and </w:t>
      </w:r>
      <w:r w:rsidRPr="001A3D2B">
        <w:t>finance academic community for</w:t>
      </w:r>
      <w:r w:rsidR="003A1917">
        <w:t xml:space="preserve"> the </w:t>
      </w:r>
      <w:r w:rsidRPr="001A3D2B">
        <w:t>2-year period 1998–1999 using</w:t>
      </w:r>
      <w:r w:rsidR="003A1917">
        <w:t xml:space="preserve"> the </w:t>
      </w:r>
      <w:r w:rsidRPr="001A3D2B">
        <w:t>data contained in</w:t>
      </w:r>
      <w:r w:rsidR="003A1917">
        <w:t xml:space="preserve"> the </w:t>
      </w:r>
      <w:r w:rsidRPr="001A3D2B">
        <w:rPr>
          <w:i/>
          <w:iCs/>
        </w:rPr>
        <w:t>BAR Research Register</w:t>
      </w:r>
      <w:r w:rsidRPr="001A3D2B">
        <w:t>. It is found that</w:t>
      </w:r>
      <w:r w:rsidR="003A1917">
        <w:t xml:space="preserve"> the </w:t>
      </w:r>
      <w:r w:rsidRPr="001A3D2B">
        <w:t>community has been growing modestly since 1991, with a doubling in</w:t>
      </w:r>
      <w:r w:rsidR="003A1917">
        <w:t xml:space="preserve"> the </w:t>
      </w:r>
      <w:r w:rsidRPr="001A3D2B">
        <w:t>number</w:t>
      </w:r>
      <w:r w:rsidR="00427468">
        <w:t xml:space="preserve"> of </w:t>
      </w:r>
      <w:r w:rsidRPr="001A3D2B">
        <w:t>PhD-qualified staff (to 30%)</w:t>
      </w:r>
      <w:r w:rsidR="005853A9">
        <w:t xml:space="preserve"> and </w:t>
      </w:r>
      <w:r w:rsidRPr="001A3D2B">
        <w:t>a reduction in</w:t>
      </w:r>
      <w:r w:rsidR="003A1917">
        <w:t xml:space="preserve"> the </w:t>
      </w:r>
      <w:r w:rsidRPr="001A3D2B">
        <w:t>number with a professional qualification (from 81 to 58%). Nearly half</w:t>
      </w:r>
      <w:r w:rsidR="00427468">
        <w:t xml:space="preserve"> of </w:t>
      </w:r>
      <w:r w:rsidRPr="001A3D2B">
        <w:t>all outputs appear in other than academic journals</w:t>
      </w:r>
      <w:r w:rsidR="00A37C1D">
        <w:t>. The</w:t>
      </w:r>
      <w:r w:rsidR="003A1917">
        <w:t xml:space="preserve"> </w:t>
      </w:r>
      <w:r w:rsidRPr="001A3D2B">
        <w:t>mean number</w:t>
      </w:r>
      <w:r w:rsidR="00427468">
        <w:t xml:space="preserve"> of </w:t>
      </w:r>
      <w:r w:rsidRPr="001A3D2B">
        <w:t>publications is 1.76 per capita, with significantly more staff active in publishing than in 1991 (44% compared to 35%). However, only 17% publish in a subset</w:t>
      </w:r>
      <w:r w:rsidR="00427468">
        <w:t xml:space="preserve"> of </w:t>
      </w:r>
      <w:r w:rsidRPr="001A3D2B">
        <w:t xml:space="preserve">60 </w:t>
      </w:r>
      <w:r w:rsidR="00700038">
        <w:t>‘</w:t>
      </w:r>
      <w:r w:rsidRPr="001A3D2B">
        <w:t>top</w:t>
      </w:r>
      <w:r w:rsidR="00700038">
        <w:t>’</w:t>
      </w:r>
      <w:r w:rsidRPr="001A3D2B">
        <w:t xml:space="preserve"> journals. Just over half</w:t>
      </w:r>
      <w:r w:rsidR="00427468">
        <w:t xml:space="preserve"> of </w:t>
      </w:r>
      <w:r w:rsidRPr="001A3D2B">
        <w:t>all articles are published in</w:t>
      </w:r>
      <w:r w:rsidR="003A1917">
        <w:t xml:space="preserve"> the </w:t>
      </w:r>
      <w:r w:rsidRPr="001A3D2B">
        <w:t>core discipline journals,</w:t>
      </w:r>
      <w:r w:rsidR="003A1917">
        <w:t xml:space="preserve"> the </w:t>
      </w:r>
      <w:r w:rsidRPr="001A3D2B">
        <w:t>rest appearing mainly in management, economics, sociology, education</w:t>
      </w:r>
      <w:r w:rsidR="005853A9">
        <w:t xml:space="preserve"> and </w:t>
      </w:r>
      <w:r w:rsidRPr="001A3D2B">
        <w:t>IT journals. This may indicate a growing maturity in</w:t>
      </w:r>
      <w:r w:rsidR="003A1917">
        <w:t xml:space="preserve"> the </w:t>
      </w:r>
      <w:r w:rsidRPr="001A3D2B">
        <w:t>disciplines, whereby applied research findings are flowing back into related foundation</w:t>
      </w:r>
      <w:r w:rsidR="005853A9">
        <w:t xml:space="preserve"> and </w:t>
      </w:r>
      <w:r w:rsidRPr="001A3D2B">
        <w:t>business disciplines. Nearly two-thirds</w:t>
      </w:r>
      <w:r w:rsidR="00427468">
        <w:t xml:space="preserve"> of </w:t>
      </w:r>
      <w:r w:rsidRPr="001A3D2B">
        <w:t>academic articles are co-authored, with 25%</w:t>
      </w:r>
      <w:r w:rsidR="00427468">
        <w:t xml:space="preserve"> of </w:t>
      </w:r>
      <w:r w:rsidRPr="001A3D2B">
        <w:t>contributions coming from outside</w:t>
      </w:r>
      <w:r w:rsidR="003A1917">
        <w:t xml:space="preserve"> the </w:t>
      </w:r>
      <w:r w:rsidRPr="001A3D2B">
        <w:t>community, indicating an openness to interdisciplinary collaboration, collaboration with overseas academics</w:t>
      </w:r>
      <w:r w:rsidR="005853A9">
        <w:t xml:space="preserve"> and </w:t>
      </w:r>
      <w:r w:rsidRPr="001A3D2B">
        <w:t>collaboration with individuals in practice</w:t>
      </w:r>
      <w:r w:rsidR="00A37C1D">
        <w:t>. The</w:t>
      </w:r>
      <w:r w:rsidR="003A1917">
        <w:t xml:space="preserve"> </w:t>
      </w:r>
      <w:r w:rsidRPr="001A3D2B">
        <w:t>findings</w:t>
      </w:r>
      <w:r w:rsidR="00427468">
        <w:t xml:space="preserve"> of </w:t>
      </w:r>
      <w:r w:rsidRPr="001A3D2B">
        <w:t>this study will be</w:t>
      </w:r>
      <w:r w:rsidR="00427468">
        <w:t xml:space="preserve"> of </w:t>
      </w:r>
      <w:r w:rsidRPr="001A3D2B">
        <w:t>assistance to those making career decisions (either their own career or decisions involving other people</w:t>
      </w:r>
      <w:r w:rsidR="00700038">
        <w:t>’</w:t>
      </w:r>
      <w:r w:rsidR="00C13DDC">
        <w:t>s</w:t>
      </w:r>
      <w:r w:rsidRPr="001A3D2B">
        <w:t xml:space="preserve"> careers)</w:t>
      </w:r>
      <w:r w:rsidR="00A37C1D">
        <w:t>. The</w:t>
      </w:r>
      <w:r w:rsidRPr="001A3D2B">
        <w:t>y also raise awareness</w:t>
      </w:r>
      <w:r w:rsidR="00427468">
        <w:t xml:space="preserve"> of </w:t>
      </w:r>
      <w:r w:rsidR="003A1917">
        <w:t xml:space="preserve">the </w:t>
      </w:r>
      <w:r w:rsidRPr="001A3D2B">
        <w:t>way in which</w:t>
      </w:r>
      <w:r w:rsidR="003A1917">
        <w:t xml:space="preserve"> the </w:t>
      </w:r>
      <w:r w:rsidRPr="001A3D2B">
        <w:t>accounting</w:t>
      </w:r>
      <w:r w:rsidR="005853A9">
        <w:t xml:space="preserve"> and </w:t>
      </w:r>
      <w:r w:rsidRPr="001A3D2B">
        <w:t>finance disciplines are developing.</w:t>
      </w:r>
    </w:p>
    <w:p w:rsidR="003474F2" w:rsidRPr="001A3D2B" w:rsidRDefault="003474F2" w:rsidP="003474F2">
      <w:pPr>
        <w:pStyle w:val="a3"/>
      </w:pPr>
      <w:r w:rsidRPr="001A3D2B">
        <w:t>Keywords: Co-Authorship, Journals, Non-Serial Publications, Publication Media, Scholarly Knowledge Development</w:t>
      </w:r>
    </w:p>
    <w:p w:rsidR="003474F2" w:rsidRPr="001A3D2B" w:rsidRDefault="003474F2" w:rsidP="003474F2">
      <w:pPr>
        <w:pStyle w:val="1"/>
      </w:pPr>
      <w:r w:rsidRPr="001A3D2B">
        <w:br w:type="page"/>
      </w:r>
      <w:bookmarkStart w:id="906" w:name="_Toc420814811"/>
      <w:r w:rsidRPr="001A3D2B">
        <w:lastRenderedPageBreak/>
        <w:t>Title: British Dental Journal</w:t>
      </w:r>
      <w:bookmarkEnd w:id="906"/>
    </w:p>
    <w:p w:rsidR="003474F2" w:rsidRPr="001A3D2B" w:rsidRDefault="003474F2" w:rsidP="003474F2">
      <w:pPr>
        <w:pStyle w:val="12"/>
      </w:pPr>
      <w:r w:rsidRPr="001A3D2B">
        <w:t>Full Journal Tit</w:t>
      </w:r>
      <w:bookmarkStart w:id="907" w:name="_Toc217786311"/>
      <w:r w:rsidRPr="001A3D2B">
        <w:t xml:space="preserve">le: </w:t>
      </w:r>
      <w:r w:rsidR="00206C8A">
        <w:fldChar w:fldCharType="begin"/>
      </w:r>
      <w:r w:rsidR="00FD158B">
        <w:instrText>HYPERLINK "http://www.na</w:instrText>
      </w:r>
      <w:bookmarkEnd w:id="907"/>
      <w:r w:rsidR="00FD158B">
        <w:instrText>ture.com/bdj/archive/index.html"</w:instrText>
      </w:r>
      <w:r w:rsidR="00206C8A">
        <w:fldChar w:fldCharType="separate"/>
      </w:r>
      <w:r w:rsidRPr="001A3D2B">
        <w:rPr>
          <w:rStyle w:val="a5"/>
        </w:rPr>
        <w:t>British Dental Journal</w:t>
      </w:r>
      <w:r w:rsidR="00206C8A">
        <w:fldChar w:fldCharType="end"/>
      </w:r>
    </w:p>
    <w:p w:rsidR="003474F2" w:rsidRPr="001A3D2B" w:rsidRDefault="003474F2" w:rsidP="003474F2">
      <w:pPr>
        <w:pStyle w:val="12"/>
      </w:pPr>
      <w:r w:rsidRPr="001A3D2B">
        <w:t>ISO Abbreviated Title: Br. Dent. J.</w:t>
      </w:r>
    </w:p>
    <w:p w:rsidR="003474F2" w:rsidRPr="001A3D2B" w:rsidRDefault="003474F2" w:rsidP="003474F2">
      <w:pPr>
        <w:pStyle w:val="12"/>
      </w:pPr>
      <w:r w:rsidRPr="001A3D2B">
        <w:t>JCR Abbreviated Title: Brit Dent J</w:t>
      </w:r>
    </w:p>
    <w:p w:rsidR="003474F2" w:rsidRPr="001A3D2B" w:rsidRDefault="003474F2" w:rsidP="003474F2">
      <w:pPr>
        <w:pStyle w:val="12"/>
      </w:pPr>
      <w:r w:rsidRPr="001A3D2B">
        <w:t>ISSN: 0007-0610</w:t>
      </w:r>
    </w:p>
    <w:p w:rsidR="003474F2" w:rsidRPr="001A3D2B" w:rsidRDefault="003474F2" w:rsidP="003474F2">
      <w:pPr>
        <w:pStyle w:val="12"/>
      </w:pPr>
      <w:r w:rsidRPr="001A3D2B">
        <w:t>Issues/Year: 24</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Prof Sci Publ</w:t>
      </w:r>
    </w:p>
    <w:p w:rsidR="003474F2" w:rsidRPr="001A3D2B" w:rsidRDefault="003474F2" w:rsidP="003474F2">
      <w:pPr>
        <w:pStyle w:val="12"/>
      </w:pPr>
      <w:r w:rsidRPr="001A3D2B">
        <w:t xml:space="preserve">Publisher Address: Tavistock House East, Tavistock Square, London, England </w:t>
      </w:r>
      <w:smartTag w:uri="urn:schemas-microsoft-com:office:smarttags" w:element="PostalCode">
        <w:r w:rsidRPr="001A3D2B">
          <w:t>WC1H 9JR</w:t>
        </w:r>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Dentistry, Oral Surgery &amp; Medicine: Impact Factor </w:t>
      </w:r>
    </w:p>
    <w:p w:rsidR="003474F2" w:rsidRPr="001A3D2B" w:rsidRDefault="003474F2" w:rsidP="003474F2">
      <w:pPr>
        <w:pStyle w:val="a3"/>
      </w:pPr>
      <w:r w:rsidRPr="001A3D2B">
        <w:t>? Sloan, P.</w:t>
      </w:r>
      <w:r w:rsidR="005853A9">
        <w:t xml:space="preserve"> and </w:t>
      </w:r>
      <w:r w:rsidRPr="001A3D2B">
        <w:t xml:space="preserve">Needleman, I. (2000), Impact factor. </w:t>
      </w:r>
      <w:r w:rsidRPr="001A3D2B">
        <w:rPr>
          <w:i/>
          <w:iCs/>
        </w:rPr>
        <w:t>British Dental Journal</w:t>
      </w:r>
      <w:r w:rsidRPr="001A3D2B">
        <w:t xml:space="preserve">, </w:t>
      </w:r>
      <w:r w:rsidRPr="001A3D2B">
        <w:rPr>
          <w:b/>
          <w:bCs/>
        </w:rPr>
        <w:t>189</w:t>
      </w:r>
      <w:r w:rsidRPr="001A3D2B">
        <w:t xml:space="preserve"> (1), 1</w:t>
      </w:r>
    </w:p>
    <w:p w:rsidR="003474F2" w:rsidRPr="001A3D2B" w:rsidRDefault="003474F2" w:rsidP="003474F2">
      <w:pPr>
        <w:pStyle w:val="a3"/>
      </w:pPr>
      <w:r w:rsidRPr="001A3D2B">
        <w:t xml:space="preserve">Full Text: </w:t>
      </w:r>
      <w:hyperlink r:id="rId1850" w:history="1">
        <w:r w:rsidRPr="001A3D2B">
          <w:rPr>
            <w:rStyle w:val="a5"/>
          </w:rPr>
          <w:t>2000\Bri Den J189, 1.pdf</w:t>
        </w:r>
      </w:hyperlink>
    </w:p>
    <w:p w:rsidR="003474F2" w:rsidRPr="001A3D2B" w:rsidRDefault="003474F2" w:rsidP="003474F2">
      <w:pPr>
        <w:pStyle w:val="a3"/>
      </w:pPr>
      <w:r w:rsidRPr="001A3D2B">
        <w:t>? Scully, C.</w:t>
      </w:r>
      <w:r w:rsidR="005853A9">
        <w:t xml:space="preserve"> and </w:t>
      </w:r>
      <w:r w:rsidRPr="001A3D2B">
        <w:t>Lodge, H. (2005), Impact factors</w:t>
      </w:r>
      <w:r w:rsidR="005853A9">
        <w:t xml:space="preserve"> and </w:t>
      </w:r>
      <w:r w:rsidRPr="001A3D2B">
        <w:t xml:space="preserve">their significance; overrated or misused? </w:t>
      </w:r>
      <w:r w:rsidRPr="001A3D2B">
        <w:rPr>
          <w:i/>
          <w:iCs/>
        </w:rPr>
        <w:t>British Dental Journal</w:t>
      </w:r>
      <w:r w:rsidRPr="001A3D2B">
        <w:t xml:space="preserve">, </w:t>
      </w:r>
      <w:r w:rsidRPr="001A3D2B">
        <w:rPr>
          <w:b/>
          <w:bCs/>
        </w:rPr>
        <w:t>198</w:t>
      </w:r>
      <w:r w:rsidRPr="001A3D2B">
        <w:t xml:space="preserve"> (7), 391-393.</w:t>
      </w:r>
    </w:p>
    <w:p w:rsidR="003474F2" w:rsidRPr="001A3D2B" w:rsidRDefault="003474F2" w:rsidP="003474F2">
      <w:pPr>
        <w:pStyle w:val="a3"/>
      </w:pPr>
      <w:r w:rsidRPr="001A3D2B">
        <w:t xml:space="preserve">Full Text: </w:t>
      </w:r>
      <w:hyperlink r:id="rId1851" w:history="1">
        <w:r w:rsidRPr="001A3D2B">
          <w:rPr>
            <w:rStyle w:val="a5"/>
          </w:rPr>
          <w:t>2005\Bri Den J198, 391.pdf</w:t>
        </w:r>
      </w:hyperlink>
    </w:p>
    <w:p w:rsidR="003474F2" w:rsidRPr="001A3D2B" w:rsidRDefault="003474F2" w:rsidP="003474F2">
      <w:pPr>
        <w:pStyle w:val="a3"/>
      </w:pPr>
      <w:r w:rsidRPr="001A3D2B">
        <w:t>Abstract:</w:t>
      </w:r>
      <w:r w:rsidR="003A1917">
        <w:t xml:space="preserve"> the </w:t>
      </w:r>
      <w:r w:rsidRPr="001A3D2B">
        <w:t>journal impact factor (IF) is in widespread use for</w:t>
      </w:r>
      <w:r w:rsidR="003A1917">
        <w:t xml:space="preserve"> the </w:t>
      </w:r>
      <w:r w:rsidRPr="001A3D2B">
        <w:t>evaluation</w:t>
      </w:r>
      <w:r w:rsidR="00427468">
        <w:t xml:space="preserve"> of </w:t>
      </w:r>
      <w:r w:rsidRPr="001A3D2B">
        <w:t>research</w:t>
      </w:r>
      <w:r w:rsidR="005853A9">
        <w:t xml:space="preserve"> and </w:t>
      </w:r>
      <w:r w:rsidRPr="001A3D2B">
        <w:t>researchers,</w:t>
      </w:r>
      <w:r w:rsidR="005853A9">
        <w:t xml:space="preserve"> and </w:t>
      </w:r>
      <w:r w:rsidRPr="001A3D2B">
        <w:t>considerable controversy surrounds it</w:t>
      </w:r>
      <w:r w:rsidR="00A37C1D">
        <w:t>. The</w:t>
      </w:r>
      <w:r w:rsidR="003A1917">
        <w:t xml:space="preserve"> </w:t>
      </w:r>
      <w:r w:rsidRPr="001A3D2B">
        <w:t>concept behind</w:t>
      </w:r>
      <w:r w:rsidR="003A1917">
        <w:t xml:space="preserve"> the </w:t>
      </w:r>
      <w:r w:rsidRPr="001A3D2B">
        <w:t>IF is citations,</w:t>
      </w:r>
      <w:r w:rsidR="005853A9">
        <w:t xml:space="preserve"> and </w:t>
      </w:r>
      <w:r w:rsidR="003A1917">
        <w:t xml:space="preserve">the </w:t>
      </w:r>
      <w:r w:rsidRPr="001A3D2B">
        <w:t>number</w:t>
      </w:r>
      <w:r w:rsidR="00427468">
        <w:t xml:space="preserve"> of </w:t>
      </w:r>
      <w:r w:rsidRPr="001A3D2B">
        <w:t>them</w:t>
      </w:r>
      <w:r w:rsidR="00A37C1D">
        <w:t>. The</w:t>
      </w:r>
      <w:r w:rsidR="003A1917">
        <w:t xml:space="preserve"> </w:t>
      </w:r>
      <w:r w:rsidRPr="001A3D2B">
        <w:t>IF is a useful tool for</w:t>
      </w:r>
      <w:r w:rsidR="003A1917">
        <w:t xml:space="preserve"> the </w:t>
      </w:r>
      <w:r w:rsidRPr="001A3D2B">
        <w:t>evaluation</w:t>
      </w:r>
      <w:r w:rsidR="00427468">
        <w:t xml:space="preserve"> of </w:t>
      </w:r>
      <w:r w:rsidRPr="001A3D2B">
        <w:t>journals, but it must be used carefully. Considerations include</w:t>
      </w:r>
      <w:r w:rsidR="003A1917">
        <w:t xml:space="preserve"> the </w:t>
      </w:r>
      <w:r w:rsidRPr="001A3D2B">
        <w:t>number</w:t>
      </w:r>
      <w:r w:rsidR="00427468">
        <w:t xml:space="preserve"> of </w:t>
      </w:r>
      <w:r w:rsidRPr="001A3D2B">
        <w:t>review papers, letters or other types</w:t>
      </w:r>
      <w:r w:rsidR="00427468">
        <w:t xml:space="preserve"> of </w:t>
      </w:r>
      <w:r w:rsidRPr="001A3D2B">
        <w:t>material published in a journal, variations between disciplines,</w:t>
      </w:r>
      <w:r w:rsidR="005853A9">
        <w:t xml:space="preserve"> and </w:t>
      </w:r>
      <w:r w:rsidRPr="001A3D2B">
        <w:t>item-by-item impact. Perhaps</w:t>
      </w:r>
      <w:r w:rsidR="003A1917">
        <w:t xml:space="preserve"> the </w:t>
      </w:r>
      <w:r w:rsidRPr="001A3D2B">
        <w:t>most important use</w:t>
      </w:r>
      <w:r w:rsidR="00427468">
        <w:t xml:space="preserve"> of </w:t>
      </w:r>
      <w:r w:rsidR="003A1917">
        <w:t xml:space="preserve">the </w:t>
      </w:r>
      <w:r w:rsidRPr="001A3D2B">
        <w:t>IF is in</w:t>
      </w:r>
      <w:r w:rsidR="003A1917">
        <w:t xml:space="preserve"> the </w:t>
      </w:r>
      <w:r w:rsidRPr="001A3D2B">
        <w:t>process</w:t>
      </w:r>
      <w:r w:rsidR="00427468">
        <w:t xml:space="preserve"> of </w:t>
      </w:r>
      <w:r w:rsidRPr="001A3D2B">
        <w:t>academic evaluation</w:t>
      </w:r>
      <w:r w:rsidR="00A37C1D">
        <w:t>. The</w:t>
      </w:r>
      <w:r w:rsidR="003A1917">
        <w:t xml:space="preserve"> </w:t>
      </w:r>
      <w:r w:rsidRPr="001A3D2B">
        <w:t>extent to which</w:t>
      </w:r>
      <w:r w:rsidR="003A1917">
        <w:t xml:space="preserve"> the </w:t>
      </w:r>
      <w:r w:rsidRPr="001A3D2B">
        <w:t>IF is appropriate for</w:t>
      </w:r>
      <w:r w:rsidR="003A1917">
        <w:t xml:space="preserve"> the </w:t>
      </w:r>
      <w:r w:rsidRPr="001A3D2B">
        <w:t>evaluation</w:t>
      </w:r>
      <w:r w:rsidR="00427468">
        <w:t xml:space="preserve"> of </w:t>
      </w:r>
      <w:r w:rsidR="003A1917">
        <w:t xml:space="preserve">the </w:t>
      </w:r>
      <w:r w:rsidRPr="001A3D2B">
        <w:t>quality</w:t>
      </w:r>
      <w:r w:rsidR="00427468">
        <w:t xml:space="preserve"> of </w:t>
      </w:r>
      <w:r w:rsidRPr="001A3D2B">
        <w:t>a specific article or journal</w:t>
      </w:r>
      <w:r w:rsidR="005853A9">
        <w:t xml:space="preserve"> and </w:t>
      </w:r>
      <w:r w:rsidRPr="001A3D2B">
        <w:t>particularly for</w:t>
      </w:r>
      <w:r w:rsidR="003A1917">
        <w:t xml:space="preserve"> the </w:t>
      </w:r>
      <w:r w:rsidRPr="001A3D2B">
        <w:t>evaluation</w:t>
      </w:r>
      <w:r w:rsidR="00427468">
        <w:t xml:space="preserve"> of </w:t>
      </w:r>
      <w:r w:rsidRPr="001A3D2B">
        <w:t>individual</w:t>
      </w:r>
      <w:r w:rsidR="005853A9">
        <w:t xml:space="preserve"> and </w:t>
      </w:r>
      <w:r w:rsidRPr="001A3D2B">
        <w:t>collective research achievements is highly debatable.</w:t>
      </w:r>
    </w:p>
    <w:p w:rsidR="00892993" w:rsidRDefault="00892993" w:rsidP="00892993">
      <w:pPr>
        <w:pStyle w:val="a3"/>
        <w:rPr>
          <w:kern w:val="0"/>
        </w:rPr>
      </w:pPr>
      <w:r>
        <w:rPr>
          <w:rFonts w:hint="eastAsia"/>
          <w:kern w:val="0"/>
        </w:rPr>
        <w:t xml:space="preserve">? </w:t>
      </w:r>
      <w:r>
        <w:rPr>
          <w:kern w:val="0"/>
        </w:rPr>
        <w:t>Luther, F. (2007), TMD</w:t>
      </w:r>
      <w:r w:rsidR="005853A9">
        <w:rPr>
          <w:kern w:val="0"/>
        </w:rPr>
        <w:t xml:space="preserve"> and </w:t>
      </w:r>
      <w:r>
        <w:rPr>
          <w:kern w:val="0"/>
        </w:rPr>
        <w:t>occlusion part I. Damned if we do? Occlusion:</w:t>
      </w:r>
      <w:r w:rsidR="003A1917">
        <w:rPr>
          <w:kern w:val="0"/>
        </w:rPr>
        <w:t xml:space="preserve"> the </w:t>
      </w:r>
      <w:r>
        <w:rPr>
          <w:kern w:val="0"/>
        </w:rPr>
        <w:t>interface</w:t>
      </w:r>
      <w:r w:rsidR="00427468">
        <w:rPr>
          <w:kern w:val="0"/>
        </w:rPr>
        <w:t xml:space="preserve"> of </w:t>
      </w:r>
      <w:r>
        <w:rPr>
          <w:kern w:val="0"/>
        </w:rPr>
        <w:t>dentistry</w:t>
      </w:r>
      <w:r w:rsidR="005853A9">
        <w:rPr>
          <w:kern w:val="0"/>
        </w:rPr>
        <w:t xml:space="preserve"> and </w:t>
      </w:r>
      <w:r>
        <w:rPr>
          <w:kern w:val="0"/>
        </w:rPr>
        <w:t xml:space="preserve">orthodontics. </w:t>
      </w:r>
      <w:r>
        <w:rPr>
          <w:i/>
          <w:iCs/>
          <w:kern w:val="0"/>
        </w:rPr>
        <w:t>British Dental Journal</w:t>
      </w:r>
      <w:r>
        <w:rPr>
          <w:kern w:val="0"/>
        </w:rPr>
        <w:t xml:space="preserve">, </w:t>
      </w:r>
      <w:r>
        <w:rPr>
          <w:b/>
          <w:bCs/>
          <w:kern w:val="0"/>
        </w:rPr>
        <w:t>202</w:t>
      </w:r>
      <w:r>
        <w:rPr>
          <w:kern w:val="0"/>
        </w:rPr>
        <w:t xml:space="preserve"> (1</w:t>
      </w:r>
      <w:r>
        <w:rPr>
          <w:rFonts w:hint="eastAsia"/>
          <w:kern w:val="0"/>
        </w:rPr>
        <w:t>), ??-??</w:t>
      </w:r>
      <w:r>
        <w:rPr>
          <w:kern w:val="0"/>
        </w:rPr>
        <w:t>.</w:t>
      </w:r>
    </w:p>
    <w:p w:rsidR="00892993" w:rsidRDefault="00892993" w:rsidP="00892993">
      <w:pPr>
        <w:pStyle w:val="a3"/>
        <w:rPr>
          <w:kern w:val="0"/>
        </w:rPr>
      </w:pPr>
      <w:r>
        <w:rPr>
          <w:kern w:val="0"/>
        </w:rPr>
        <w:t>Abstract: Objectives To review how occlusion, facial growth, TM disc position</w:t>
      </w:r>
      <w:r w:rsidR="005853A9">
        <w:rPr>
          <w:kern w:val="0"/>
        </w:rPr>
        <w:t xml:space="preserve"> and </w:t>
      </w:r>
      <w:r>
        <w:rPr>
          <w:kern w:val="0"/>
        </w:rPr>
        <w:t>malocclusion may relate to TMD; to review clinical studies investigating TMD pre-</w:t>
      </w:r>
      <w:r w:rsidR="005853A9">
        <w:rPr>
          <w:kern w:val="0"/>
        </w:rPr>
        <w:t xml:space="preserve"> and </w:t>
      </w:r>
      <w:r>
        <w:rPr>
          <w:kern w:val="0"/>
        </w:rPr>
        <w:t>post-orthodontic treatment as well as other studies linking occl</w:t>
      </w:r>
      <w:r w:rsidR="00D5664A">
        <w:rPr>
          <w:kern w:val="0"/>
        </w:rPr>
        <w:t>USA</w:t>
      </w:r>
      <w:r>
        <w:rPr>
          <w:kern w:val="0"/>
        </w:rPr>
        <w:t>l features with TMD highlighting their limitations;</w:t>
      </w:r>
      <w:r w:rsidR="005853A9">
        <w:rPr>
          <w:kern w:val="0"/>
        </w:rPr>
        <w:t xml:space="preserve"> and </w:t>
      </w:r>
      <w:r>
        <w:rPr>
          <w:kern w:val="0"/>
        </w:rPr>
        <w:t>to make suggestions for improved study designs in</w:t>
      </w:r>
      <w:r w:rsidR="003A1917">
        <w:rPr>
          <w:kern w:val="0"/>
        </w:rPr>
        <w:t xml:space="preserve"> the </w:t>
      </w:r>
      <w:r>
        <w:rPr>
          <w:kern w:val="0"/>
        </w:rPr>
        <w:t>future in order to provide an evidence-base for clinical practice. Design Review article. Methods Electronic databases (</w:t>
      </w:r>
      <w:r w:rsidR="00D5664A">
        <w:rPr>
          <w:kern w:val="0"/>
        </w:rPr>
        <w:t>MEDLINE</w:t>
      </w:r>
      <w:r w:rsidR="005853A9">
        <w:rPr>
          <w:kern w:val="0"/>
        </w:rPr>
        <w:t xml:space="preserve"> and </w:t>
      </w:r>
      <w:r w:rsidR="003A1917">
        <w:rPr>
          <w:kern w:val="0"/>
        </w:rPr>
        <w:t xml:space="preserve">the </w:t>
      </w:r>
      <w:r>
        <w:rPr>
          <w:kern w:val="0"/>
        </w:rPr>
        <w:t>Cochrane Database</w:t>
      </w:r>
      <w:r w:rsidR="00427468">
        <w:rPr>
          <w:kern w:val="0"/>
        </w:rPr>
        <w:t xml:space="preserve"> of </w:t>
      </w:r>
      <w:r>
        <w:rPr>
          <w:kern w:val="0"/>
        </w:rPr>
        <w:t>Systematic Reviews) were used to select relevant</w:t>
      </w:r>
      <w:r w:rsidR="005853A9">
        <w:rPr>
          <w:kern w:val="0"/>
        </w:rPr>
        <w:t xml:space="preserve"> and </w:t>
      </w:r>
      <w:r>
        <w:rPr>
          <w:kern w:val="0"/>
        </w:rPr>
        <w:t xml:space="preserve">frequently cited </w:t>
      </w:r>
      <w:r>
        <w:rPr>
          <w:kern w:val="0"/>
        </w:rPr>
        <w:lastRenderedPageBreak/>
        <w:t>studies (mean: 28 citations). Citation rate was confirmed using</w:t>
      </w:r>
      <w:r w:rsidR="003A1917">
        <w:rPr>
          <w:kern w:val="0"/>
        </w:rPr>
        <w:t xml:space="preserve"> the </w:t>
      </w:r>
      <w:r w:rsidR="00D5664A">
        <w:rPr>
          <w:kern w:val="0"/>
        </w:rPr>
        <w:t>Web</w:t>
      </w:r>
      <w:r w:rsidR="00427468">
        <w:rPr>
          <w:kern w:val="0"/>
        </w:rPr>
        <w:t xml:space="preserve"> of </w:t>
      </w:r>
      <w:r w:rsidR="00D5664A">
        <w:rPr>
          <w:kern w:val="0"/>
        </w:rPr>
        <w:t>Science</w:t>
      </w:r>
      <w:r>
        <w:rPr>
          <w:kern w:val="0"/>
        </w:rPr>
        <w:t>. Study designs are reviewed</w:t>
      </w:r>
      <w:r w:rsidR="005853A9">
        <w:rPr>
          <w:kern w:val="0"/>
        </w:rPr>
        <w:t xml:space="preserve"> and </w:t>
      </w:r>
      <w:r>
        <w:rPr>
          <w:kern w:val="0"/>
        </w:rPr>
        <w:t>weaknesses discussed. Results Evidence is lacking to suggest static occl</w:t>
      </w:r>
      <w:r w:rsidR="00D5664A">
        <w:rPr>
          <w:kern w:val="0"/>
        </w:rPr>
        <w:t>USA</w:t>
      </w:r>
      <w:r>
        <w:rPr>
          <w:kern w:val="0"/>
        </w:rPr>
        <w:t>l factors cause TMD. Conclusions Poor study designs have led to much</w:t>
      </w:r>
      <w:r w:rsidR="00427468">
        <w:rPr>
          <w:kern w:val="0"/>
        </w:rPr>
        <w:t xml:space="preserve"> of </w:t>
      </w:r>
      <w:r w:rsidR="003A1917">
        <w:rPr>
          <w:kern w:val="0"/>
        </w:rPr>
        <w:t xml:space="preserve">the </w:t>
      </w:r>
      <w:r>
        <w:rPr>
          <w:kern w:val="0"/>
        </w:rPr>
        <w:t>controversy over whether occl</w:t>
      </w:r>
      <w:r w:rsidR="00D5664A">
        <w:rPr>
          <w:kern w:val="0"/>
        </w:rPr>
        <w:t>USA</w:t>
      </w:r>
      <w:r>
        <w:rPr>
          <w:kern w:val="0"/>
        </w:rPr>
        <w:t xml:space="preserve">l factors (including orthodontics) </w:t>
      </w:r>
      <w:r w:rsidR="00700038">
        <w:rPr>
          <w:kern w:val="0"/>
        </w:rPr>
        <w:t>‘</w:t>
      </w:r>
      <w:r>
        <w:rPr>
          <w:kern w:val="0"/>
        </w:rPr>
        <w:t>cause</w:t>
      </w:r>
      <w:r w:rsidR="00700038">
        <w:rPr>
          <w:kern w:val="0"/>
        </w:rPr>
        <w:t>’</w:t>
      </w:r>
      <w:r>
        <w:rPr>
          <w:kern w:val="0"/>
        </w:rPr>
        <w:t xml:space="preserve"> TMD. In order to provide an evidence-base for future clinical practice, suggestions to improve study designs are made.</w:t>
      </w:r>
    </w:p>
    <w:p w:rsidR="00892993" w:rsidRDefault="00892993" w:rsidP="00892993">
      <w:pPr>
        <w:pStyle w:val="a3"/>
        <w:rPr>
          <w:kern w:val="0"/>
        </w:rPr>
      </w:pPr>
      <w:r>
        <w:rPr>
          <w:kern w:val="0"/>
        </w:rPr>
        <w:t xml:space="preserve">Keywords: Asymptomatic Volunteers, Citation, Citations, Cochrane, Craniomandibular Disorders, Databases, Disk Displacement, Functional Occlusion, Lateral Cephalometric Analysis, Long-Term, Mandibular Dysfunction, </w:t>
      </w:r>
      <w:r w:rsidR="00D5664A">
        <w:rPr>
          <w:kern w:val="0"/>
        </w:rPr>
        <w:t>MEDLINE</w:t>
      </w:r>
      <w:r>
        <w:rPr>
          <w:kern w:val="0"/>
        </w:rPr>
        <w:t xml:space="preserve">, Methods, Pediatric Internal Derangements, Practice, Review, Science, Symptomatic Patients, Systematic, Temporomandibular-Joint Disorders, Treatment, </w:t>
      </w:r>
      <w:r w:rsidR="00D5664A">
        <w:rPr>
          <w:kern w:val="0"/>
        </w:rPr>
        <w:t>Web</w:t>
      </w:r>
      <w:r w:rsidR="00427468">
        <w:rPr>
          <w:kern w:val="0"/>
        </w:rPr>
        <w:t xml:space="preserve"> of </w:t>
      </w:r>
      <w:r w:rsidR="00D5664A">
        <w:rPr>
          <w:kern w:val="0"/>
        </w:rPr>
        <w:t>Science</w:t>
      </w:r>
    </w:p>
    <w:p w:rsidR="00892993" w:rsidRDefault="00892993" w:rsidP="00892993">
      <w:pPr>
        <w:pStyle w:val="a3"/>
        <w:rPr>
          <w:kern w:val="0"/>
        </w:rPr>
      </w:pPr>
      <w:r>
        <w:rPr>
          <w:rFonts w:hint="eastAsia"/>
          <w:kern w:val="0"/>
        </w:rPr>
        <w:t xml:space="preserve">? </w:t>
      </w:r>
      <w:r>
        <w:rPr>
          <w:kern w:val="0"/>
        </w:rPr>
        <w:t>Luther, F. (2007), TMD</w:t>
      </w:r>
      <w:r w:rsidR="005853A9">
        <w:rPr>
          <w:kern w:val="0"/>
        </w:rPr>
        <w:t xml:space="preserve"> and </w:t>
      </w:r>
      <w:r>
        <w:rPr>
          <w:kern w:val="0"/>
        </w:rPr>
        <w:t>occlusion part II. Damned if we don</w:t>
      </w:r>
      <w:r w:rsidR="00700038">
        <w:rPr>
          <w:kern w:val="0"/>
        </w:rPr>
        <w:t>’</w:t>
      </w:r>
      <w:r>
        <w:rPr>
          <w:kern w:val="0"/>
        </w:rPr>
        <w:t>t? Functional occl</w:t>
      </w:r>
      <w:r w:rsidR="00D5664A">
        <w:rPr>
          <w:kern w:val="0"/>
        </w:rPr>
        <w:t>USA</w:t>
      </w:r>
      <w:r>
        <w:rPr>
          <w:kern w:val="0"/>
        </w:rPr>
        <w:t xml:space="preserve">l problems: TMD epidemiology in a wider context. </w:t>
      </w:r>
      <w:r>
        <w:rPr>
          <w:i/>
          <w:iCs/>
          <w:kern w:val="0"/>
        </w:rPr>
        <w:t>British Dental Journal</w:t>
      </w:r>
      <w:r>
        <w:rPr>
          <w:kern w:val="0"/>
        </w:rPr>
        <w:t xml:space="preserve">, </w:t>
      </w:r>
      <w:r>
        <w:rPr>
          <w:b/>
          <w:bCs/>
          <w:kern w:val="0"/>
        </w:rPr>
        <w:t>202</w:t>
      </w:r>
      <w:r>
        <w:rPr>
          <w:kern w:val="0"/>
        </w:rPr>
        <w:t xml:space="preserve"> (1</w:t>
      </w:r>
      <w:r>
        <w:rPr>
          <w:rFonts w:hint="eastAsia"/>
          <w:kern w:val="0"/>
        </w:rPr>
        <w:t>), ??-??</w:t>
      </w:r>
      <w:r>
        <w:rPr>
          <w:kern w:val="0"/>
        </w:rPr>
        <w:t>.</w:t>
      </w:r>
    </w:p>
    <w:p w:rsidR="00892993" w:rsidRDefault="00892993" w:rsidP="00892993">
      <w:pPr>
        <w:pStyle w:val="a3"/>
        <w:rPr>
          <w:kern w:val="0"/>
        </w:rPr>
      </w:pPr>
      <w:r>
        <w:rPr>
          <w:kern w:val="0"/>
        </w:rPr>
        <w:t>Abstract: Objectives To review studies investigating how functional occlusion may relate to TMD</w:t>
      </w:r>
      <w:r w:rsidR="005853A9">
        <w:rPr>
          <w:kern w:val="0"/>
        </w:rPr>
        <w:t xml:space="preserve"> and </w:t>
      </w:r>
      <w:r>
        <w:rPr>
          <w:kern w:val="0"/>
        </w:rPr>
        <w:t>how bruxism may relate to TMD; to review</w:t>
      </w:r>
      <w:r w:rsidR="003A1917">
        <w:rPr>
          <w:kern w:val="0"/>
        </w:rPr>
        <w:t xml:space="preserve"> the </w:t>
      </w:r>
      <w:r>
        <w:rPr>
          <w:kern w:val="0"/>
        </w:rPr>
        <w:t>epidemiology</w:t>
      </w:r>
      <w:r w:rsidR="00427468">
        <w:rPr>
          <w:kern w:val="0"/>
        </w:rPr>
        <w:t xml:space="preserve"> of </w:t>
      </w:r>
      <w:r>
        <w:rPr>
          <w:kern w:val="0"/>
        </w:rPr>
        <w:t>TMD</w:t>
      </w:r>
      <w:r w:rsidR="005853A9">
        <w:rPr>
          <w:kern w:val="0"/>
        </w:rPr>
        <w:t xml:space="preserve"> and </w:t>
      </w:r>
      <w:r>
        <w:rPr>
          <w:kern w:val="0"/>
        </w:rPr>
        <w:t>relate this to</w:t>
      </w:r>
      <w:r w:rsidR="003A1917">
        <w:rPr>
          <w:kern w:val="0"/>
        </w:rPr>
        <w:t xml:space="preserve"> the </w:t>
      </w:r>
      <w:r>
        <w:rPr>
          <w:kern w:val="0"/>
        </w:rPr>
        <w:t>context</w:t>
      </w:r>
      <w:r w:rsidR="00427468">
        <w:rPr>
          <w:kern w:val="0"/>
        </w:rPr>
        <w:t xml:space="preserve"> of </w:t>
      </w:r>
      <w:r>
        <w:rPr>
          <w:kern w:val="0"/>
        </w:rPr>
        <w:t>clinical occl</w:t>
      </w:r>
      <w:r w:rsidR="00D5664A">
        <w:rPr>
          <w:kern w:val="0"/>
        </w:rPr>
        <w:t>USA</w:t>
      </w:r>
      <w:r>
        <w:rPr>
          <w:kern w:val="0"/>
        </w:rPr>
        <w:t>l studies</w:t>
      </w:r>
      <w:r w:rsidR="005853A9">
        <w:rPr>
          <w:kern w:val="0"/>
        </w:rPr>
        <w:t xml:space="preserve"> and </w:t>
      </w:r>
      <w:r>
        <w:rPr>
          <w:kern w:val="0"/>
        </w:rPr>
        <w:t>other aetiological factors. Deficiencies in study design are highlighted</w:t>
      </w:r>
      <w:r w:rsidR="005853A9">
        <w:rPr>
          <w:kern w:val="0"/>
        </w:rPr>
        <w:t xml:space="preserve"> and </w:t>
      </w:r>
      <w:r>
        <w:rPr>
          <w:kern w:val="0"/>
        </w:rPr>
        <w:t>suggestions made to improve future study designs in order to provide an evidence-base for clinical practice. Design Review article. Methods Electronic databases (</w:t>
      </w:r>
      <w:r w:rsidR="00D5664A">
        <w:rPr>
          <w:kern w:val="0"/>
        </w:rPr>
        <w:t>MEDLINE</w:t>
      </w:r>
      <w:r w:rsidR="005853A9">
        <w:rPr>
          <w:kern w:val="0"/>
        </w:rPr>
        <w:t xml:space="preserve"> and </w:t>
      </w:r>
      <w:r w:rsidR="003A1917">
        <w:rPr>
          <w:kern w:val="0"/>
        </w:rPr>
        <w:t xml:space="preserve">the </w:t>
      </w:r>
      <w:r>
        <w:rPr>
          <w:kern w:val="0"/>
        </w:rPr>
        <w:t>Cochrane Database</w:t>
      </w:r>
      <w:r w:rsidR="00427468">
        <w:rPr>
          <w:kern w:val="0"/>
        </w:rPr>
        <w:t xml:space="preserve"> of </w:t>
      </w:r>
      <w:r>
        <w:rPr>
          <w:kern w:val="0"/>
        </w:rPr>
        <w:t>Systematic Reviews) were used to select relevant</w:t>
      </w:r>
      <w:r w:rsidR="005853A9">
        <w:rPr>
          <w:kern w:val="0"/>
        </w:rPr>
        <w:t xml:space="preserve"> and </w:t>
      </w:r>
      <w:r>
        <w:rPr>
          <w:kern w:val="0"/>
        </w:rPr>
        <w:t>frequently cited studies (mean: 40 citations). Citation rate was confirmed using</w:t>
      </w:r>
      <w:r w:rsidR="003A1917">
        <w:rPr>
          <w:kern w:val="0"/>
        </w:rPr>
        <w:t xml:space="preserve"> the </w:t>
      </w:r>
      <w:r w:rsidR="00D5664A">
        <w:rPr>
          <w:kern w:val="0"/>
        </w:rPr>
        <w:t>Web</w:t>
      </w:r>
      <w:r w:rsidR="00427468">
        <w:rPr>
          <w:kern w:val="0"/>
        </w:rPr>
        <w:t xml:space="preserve"> of </w:t>
      </w:r>
      <w:r w:rsidR="00D5664A">
        <w:rPr>
          <w:kern w:val="0"/>
        </w:rPr>
        <w:t>Science</w:t>
      </w:r>
      <w:r>
        <w:rPr>
          <w:kern w:val="0"/>
        </w:rPr>
        <w:t>. Study designs are reviewed</w:t>
      </w:r>
      <w:r w:rsidR="005853A9">
        <w:rPr>
          <w:kern w:val="0"/>
        </w:rPr>
        <w:t xml:space="preserve"> and </w:t>
      </w:r>
      <w:r>
        <w:rPr>
          <w:kern w:val="0"/>
        </w:rPr>
        <w:t>weaknesses</w:t>
      </w:r>
      <w:r w:rsidR="005853A9">
        <w:rPr>
          <w:kern w:val="0"/>
        </w:rPr>
        <w:t xml:space="preserve"> and </w:t>
      </w:r>
      <w:r>
        <w:rPr>
          <w:kern w:val="0"/>
        </w:rPr>
        <w:t>implications discussed. Results Evidence is lacking to suggest functional occl</w:t>
      </w:r>
      <w:r w:rsidR="00D5664A">
        <w:rPr>
          <w:kern w:val="0"/>
        </w:rPr>
        <w:t>USA</w:t>
      </w:r>
      <w:r>
        <w:rPr>
          <w:kern w:val="0"/>
        </w:rPr>
        <w:t>l factors cause TMD. Investigation</w:t>
      </w:r>
      <w:r w:rsidR="00427468">
        <w:rPr>
          <w:kern w:val="0"/>
        </w:rPr>
        <w:t xml:space="preserve"> of </w:t>
      </w:r>
      <w:r>
        <w:rPr>
          <w:kern w:val="0"/>
        </w:rPr>
        <w:t>other aetiological factors has been relatively neglected. Conclusions Neither static nor dynamic occl</w:t>
      </w:r>
      <w:r w:rsidR="00D5664A">
        <w:rPr>
          <w:kern w:val="0"/>
        </w:rPr>
        <w:t>USA</w:t>
      </w:r>
      <w:r>
        <w:rPr>
          <w:kern w:val="0"/>
        </w:rPr>
        <w:t xml:space="preserve">l factors (including orthodontics) can be said to </w:t>
      </w:r>
      <w:r w:rsidR="00700038">
        <w:rPr>
          <w:kern w:val="0"/>
        </w:rPr>
        <w:t>‘</w:t>
      </w:r>
      <w:r>
        <w:rPr>
          <w:kern w:val="0"/>
        </w:rPr>
        <w:t>cause</w:t>
      </w:r>
      <w:r w:rsidR="00700038">
        <w:rPr>
          <w:kern w:val="0"/>
        </w:rPr>
        <w:t>’</w:t>
      </w:r>
      <w:r>
        <w:rPr>
          <w:kern w:val="0"/>
        </w:rPr>
        <w:t xml:space="preserve"> TMD. However, other potential aetiological factors exist which would benefit from more investigation. This, together with improved study designs, would help provide a stronger evidence-base for clinical practice in</w:t>
      </w:r>
      <w:r w:rsidR="003A1917">
        <w:rPr>
          <w:kern w:val="0"/>
        </w:rPr>
        <w:t xml:space="preserve"> the </w:t>
      </w:r>
      <w:r>
        <w:rPr>
          <w:kern w:val="0"/>
        </w:rPr>
        <w:t>future.</w:t>
      </w:r>
    </w:p>
    <w:p w:rsidR="00892993" w:rsidRDefault="00892993" w:rsidP="00892993">
      <w:pPr>
        <w:pStyle w:val="a3"/>
        <w:rPr>
          <w:kern w:val="0"/>
        </w:rPr>
      </w:pPr>
      <w:r>
        <w:rPr>
          <w:kern w:val="0"/>
        </w:rPr>
        <w:t xml:space="preserve">Keywords: Adjustment, Association, Bruxism, Citation, Citations, Cochrane, Craniomandibular Disorders, Databases, Epidemiology, Functional, Interferences, Joint, </w:t>
      </w:r>
      <w:r w:rsidR="00D5664A">
        <w:rPr>
          <w:kern w:val="0"/>
        </w:rPr>
        <w:t>MEDLINE</w:t>
      </w:r>
      <w:r>
        <w:rPr>
          <w:kern w:val="0"/>
        </w:rPr>
        <w:t xml:space="preserve">, Methods, Practice, Review, Science, Signs, Skeletal, Symptoms, Systematic, Temporomandibular Disorders,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t>? Miguel, J.C., Kay, E.J.</w:t>
      </w:r>
      <w:r w:rsidR="005853A9">
        <w:t xml:space="preserve"> and </w:t>
      </w:r>
      <w:r w:rsidRPr="001A3D2B">
        <w:t>Lowe, J.C. (2007), Shirley Glasstone Hughes memorial prize for dental research: An evaluation</w:t>
      </w:r>
      <w:r w:rsidR="00427468">
        <w:t xml:space="preserve"> of </w:t>
      </w:r>
      <w:r w:rsidR="003A1917">
        <w:t xml:space="preserve">the </w:t>
      </w:r>
      <w:r w:rsidRPr="001A3D2B">
        <w:t>output 15 years after</w:t>
      </w:r>
      <w:r w:rsidR="003A1917">
        <w:t xml:space="preserve"> the </w:t>
      </w:r>
      <w:r w:rsidRPr="001A3D2B">
        <w:t>Trust</w:t>
      </w:r>
      <w:r w:rsidR="00700038">
        <w:t>’</w:t>
      </w:r>
      <w:r w:rsidR="00C13DDC">
        <w:t>s</w:t>
      </w:r>
      <w:r w:rsidRPr="001A3D2B">
        <w:t xml:space="preserve"> inception. </w:t>
      </w:r>
      <w:r w:rsidRPr="001A3D2B">
        <w:rPr>
          <w:i/>
          <w:iCs/>
        </w:rPr>
        <w:t>British Dental Journal</w:t>
      </w:r>
      <w:r w:rsidRPr="001A3D2B">
        <w:t xml:space="preserve">, </w:t>
      </w:r>
      <w:r w:rsidRPr="001A3D2B">
        <w:rPr>
          <w:b/>
          <w:bCs/>
        </w:rPr>
        <w:t>203</w:t>
      </w:r>
      <w:r w:rsidRPr="001A3D2B">
        <w:t>, 535-541.</w:t>
      </w:r>
    </w:p>
    <w:p w:rsidR="003474F2" w:rsidRPr="001A3D2B" w:rsidRDefault="003474F2" w:rsidP="003474F2">
      <w:pPr>
        <w:pStyle w:val="a3"/>
      </w:pPr>
      <w:r w:rsidRPr="001A3D2B">
        <w:t xml:space="preserve">Full Text: </w:t>
      </w:r>
      <w:hyperlink r:id="rId1852" w:history="1">
        <w:r w:rsidRPr="001A3D2B">
          <w:rPr>
            <w:rStyle w:val="a5"/>
          </w:rPr>
          <w:t>2007\Bri Den J203, 535.pdf</w:t>
        </w:r>
      </w:hyperlink>
    </w:p>
    <w:p w:rsidR="003474F2" w:rsidRPr="001A3D2B" w:rsidRDefault="003474F2" w:rsidP="003474F2">
      <w:pPr>
        <w:pStyle w:val="a3"/>
      </w:pPr>
      <w:r w:rsidRPr="001A3D2B">
        <w:t>Abstract: In May 2005, a decision was taken by</w:t>
      </w:r>
      <w:r w:rsidR="003A1917">
        <w:t xml:space="preserve"> the </w:t>
      </w:r>
      <w:r w:rsidRPr="001A3D2B">
        <w:t xml:space="preserve">Shirley Glasstone Hughes (SGH) </w:t>
      </w:r>
      <w:r w:rsidRPr="001A3D2B">
        <w:lastRenderedPageBreak/>
        <w:t>Foundation trustees to suspend investments in research for one year, to allow a review</w:t>
      </w:r>
      <w:r w:rsidR="00427468">
        <w:t xml:space="preserve"> of </w:t>
      </w:r>
      <w:r w:rsidR="003A1917">
        <w:t xml:space="preserve">the </w:t>
      </w:r>
      <w:r w:rsidRPr="001A3D2B">
        <w:t>outcomes</w:t>
      </w:r>
      <w:r w:rsidR="00427468">
        <w:t xml:space="preserve"> of </w:t>
      </w:r>
      <w:r w:rsidRPr="001A3D2B">
        <w:t>SGH research funding over</w:t>
      </w:r>
      <w:r w:rsidR="003A1917">
        <w:t xml:space="preserve"> the </w:t>
      </w:r>
      <w:r w:rsidRPr="001A3D2B">
        <w:t>past 15 years. Money was instead directed to</w:t>
      </w:r>
      <w:r w:rsidR="003A1917">
        <w:t xml:space="preserve"> the </w:t>
      </w:r>
      <w:r w:rsidRPr="001A3D2B">
        <w:t>BDA Research Unit, to employ a staff member who would conduct</w:t>
      </w:r>
      <w:r w:rsidR="003A1917">
        <w:t xml:space="preserve"> the </w:t>
      </w:r>
      <w:r w:rsidRPr="001A3D2B">
        <w:t>evaluation under</w:t>
      </w:r>
      <w:r w:rsidR="003A1917">
        <w:t xml:space="preserve"> the </w:t>
      </w:r>
      <w:r w:rsidRPr="001A3D2B">
        <w:t>supervision</w:t>
      </w:r>
      <w:r w:rsidR="00427468">
        <w:t xml:space="preserve"> of </w:t>
      </w:r>
      <w:r w:rsidR="003A1917">
        <w:t xml:space="preserve">the </w:t>
      </w:r>
      <w:r w:rsidRPr="001A3D2B">
        <w:t>BDA Scientific Adviser</w:t>
      </w:r>
      <w:r w:rsidR="00A37C1D">
        <w:t>. The</w:t>
      </w:r>
      <w:r w:rsidR="003A1917">
        <w:t xml:space="preserve"> </w:t>
      </w:r>
      <w:r w:rsidRPr="001A3D2B">
        <w:t>evaluation focused on three aspects</w:t>
      </w:r>
      <w:r w:rsidR="00427468">
        <w:t xml:space="preserve"> of </w:t>
      </w:r>
      <w:r w:rsidR="003A1917">
        <w:t xml:space="preserve">the </w:t>
      </w:r>
      <w:r w:rsidRPr="001A3D2B">
        <w:t>research produced: 1) relevance to primary dental care, 2) scientific quality</w:t>
      </w:r>
      <w:r w:rsidR="005853A9">
        <w:t xml:space="preserve"> and </w:t>
      </w:r>
      <w:r w:rsidRPr="001A3D2B">
        <w:t>impact on</w:t>
      </w:r>
      <w:r w:rsidR="003A1917">
        <w:t xml:space="preserve"> the </w:t>
      </w:r>
      <w:r w:rsidRPr="001A3D2B">
        <w:t>research community,</w:t>
      </w:r>
      <w:r w:rsidR="005853A9">
        <w:t xml:space="preserve"> and </w:t>
      </w:r>
      <w:r w:rsidRPr="001A3D2B">
        <w:t>3) grant recipients</w:t>
      </w:r>
      <w:r w:rsidR="00700038">
        <w:t>’</w:t>
      </w:r>
      <w:r w:rsidRPr="001A3D2B">
        <w:t xml:space="preserve"> feelings about SGH funding</w:t>
      </w:r>
      <w:r w:rsidR="005853A9">
        <w:t xml:space="preserve"> and </w:t>
      </w:r>
      <w:r w:rsidRPr="001A3D2B">
        <w:t>whether</w:t>
      </w:r>
      <w:r w:rsidR="003A1917">
        <w:t xml:space="preserve"> the </w:t>
      </w:r>
      <w:r w:rsidRPr="001A3D2B">
        <w:t>mechanisms</w:t>
      </w:r>
      <w:r w:rsidR="00427468">
        <w:t xml:space="preserve"> of </w:t>
      </w:r>
      <w:r w:rsidRPr="001A3D2B">
        <w:t>supporting research could be improved</w:t>
      </w:r>
      <w:r w:rsidR="00A37C1D">
        <w:t>. The</w:t>
      </w:r>
      <w:r w:rsidR="003A1917">
        <w:t xml:space="preserve"> </w:t>
      </w:r>
      <w:r w:rsidRPr="001A3D2B">
        <w:t>methods used included questioning BDA members about</w:t>
      </w:r>
      <w:r w:rsidR="003A1917">
        <w:t xml:space="preserve"> the </w:t>
      </w:r>
      <w:r w:rsidRPr="001A3D2B">
        <w:t>research they found</w:t>
      </w:r>
      <w:r w:rsidR="00427468">
        <w:t xml:space="preserve"> of </w:t>
      </w:r>
      <w:r w:rsidRPr="001A3D2B">
        <w:t>interest</w:t>
      </w:r>
      <w:r w:rsidR="005853A9">
        <w:t xml:space="preserve"> and </w:t>
      </w:r>
      <w:r w:rsidRPr="001A3D2B">
        <w:t>relevance, checking research outputs against standardised quality criteria, examining impact factors</w:t>
      </w:r>
      <w:r w:rsidR="005853A9">
        <w:t xml:space="preserve"> and </w:t>
      </w:r>
      <w:r w:rsidRPr="001A3D2B">
        <w:t>citation rates (relative to</w:t>
      </w:r>
      <w:r w:rsidR="003A1917">
        <w:t xml:space="preserve"> the </w:t>
      </w:r>
      <w:r w:rsidRPr="001A3D2B">
        <w:t>funding received)</w:t>
      </w:r>
      <w:r w:rsidR="005853A9">
        <w:t xml:space="preserve"> and </w:t>
      </w:r>
      <w:r w:rsidRPr="001A3D2B">
        <w:t>questioning grant recipients about their experience with SGH funding</w:t>
      </w:r>
      <w:r w:rsidR="00A37C1D">
        <w:t>. The</w:t>
      </w:r>
      <w:r w:rsidR="003A1917">
        <w:t xml:space="preserve"> </w:t>
      </w:r>
      <w:r w:rsidRPr="001A3D2B">
        <w:t>results implied that</w:t>
      </w:r>
      <w:r w:rsidR="003A1917">
        <w:t xml:space="preserve"> the </w:t>
      </w:r>
      <w:r w:rsidRPr="001A3D2B">
        <w:t>fund had largely been spent on research themes felt to be relevant to practice by BDA members. In addition,</w:t>
      </w:r>
      <w:r w:rsidR="003A1917">
        <w:t xml:space="preserve"> the </w:t>
      </w:r>
      <w:r w:rsidRPr="001A3D2B">
        <w:t>publication rate, publication quality, impact</w:t>
      </w:r>
      <w:r w:rsidR="005853A9">
        <w:t xml:space="preserve"> and </w:t>
      </w:r>
      <w:r w:rsidRPr="001A3D2B">
        <w:t>citation indices demonstrated</w:t>
      </w:r>
      <w:r w:rsidR="003A1917">
        <w:t xml:space="preserve"> the </w:t>
      </w:r>
      <w:r w:rsidRPr="001A3D2B">
        <w:t>SGH research work to be largely</w:t>
      </w:r>
      <w:r w:rsidR="00427468">
        <w:t xml:space="preserve"> of </w:t>
      </w:r>
      <w:r w:rsidRPr="001A3D2B">
        <w:t>high quality. Recipients</w:t>
      </w:r>
      <w:r w:rsidR="00427468">
        <w:t xml:space="preserve"> of </w:t>
      </w:r>
      <w:r w:rsidR="003A1917">
        <w:t xml:space="preserve">the </w:t>
      </w:r>
      <w:r w:rsidRPr="001A3D2B">
        <w:t>fund indicated several factors which might improve</w:t>
      </w:r>
      <w:r w:rsidR="003A1917">
        <w:t xml:space="preserve"> the </w:t>
      </w:r>
      <w:r w:rsidRPr="001A3D2B">
        <w:t>experience</w:t>
      </w:r>
      <w:r w:rsidR="00427468">
        <w:t xml:space="preserve"> of </w:t>
      </w:r>
      <w:r w:rsidRPr="001A3D2B">
        <w:t>receiving funding</w:t>
      </w:r>
      <w:r w:rsidR="005853A9">
        <w:t xml:space="preserve"> and </w:t>
      </w:r>
      <w:r w:rsidRPr="001A3D2B">
        <w:t>possibly also improve</w:t>
      </w:r>
      <w:r w:rsidR="003A1917">
        <w:t xml:space="preserve"> the </w:t>
      </w:r>
      <w:r w:rsidRPr="001A3D2B">
        <w:t>research output. It can be concluded that</w:t>
      </w:r>
      <w:r w:rsidR="003A1917">
        <w:t xml:space="preserve"> the </w:t>
      </w:r>
      <w:r w:rsidRPr="001A3D2B">
        <w:t>SGH funds have largely been well spent but that it is worth considering implementing changes which would make</w:t>
      </w:r>
      <w:r w:rsidR="003A1917">
        <w:t xml:space="preserve"> the </w:t>
      </w:r>
      <w:r w:rsidRPr="001A3D2B">
        <w:t>research findings</w:t>
      </w:r>
      <w:r w:rsidR="00427468">
        <w:t xml:space="preserve"> of </w:t>
      </w:r>
      <w:r w:rsidRPr="001A3D2B">
        <w:t>greater relevance to clinical practice.</w:t>
      </w:r>
    </w:p>
    <w:p w:rsidR="00892993" w:rsidRPr="00FC7835" w:rsidRDefault="00892993" w:rsidP="00892993">
      <w:pPr>
        <w:pStyle w:val="1"/>
      </w:pPr>
      <w:r w:rsidRPr="00FC7835">
        <w:rPr>
          <w:b w:val="0"/>
        </w:rPr>
        <w:br w:type="page"/>
      </w:r>
      <w:bookmarkStart w:id="908" w:name="_Toc420814812"/>
      <w:r w:rsidRPr="00FC7835">
        <w:lastRenderedPageBreak/>
        <w:t xml:space="preserve">Title: </w:t>
      </w:r>
      <w:r w:rsidRPr="00FE1BD2">
        <w:rPr>
          <w:iCs w:val="0"/>
        </w:rPr>
        <w:t>British Food Journal</w:t>
      </w:r>
      <w:bookmarkEnd w:id="908"/>
    </w:p>
    <w:p w:rsidR="00892993" w:rsidRPr="00217FB1" w:rsidRDefault="00892993" w:rsidP="00892993">
      <w:pPr>
        <w:pStyle w:val="12"/>
      </w:pPr>
      <w:r w:rsidRPr="00217FB1">
        <w:t xml:space="preserve">Full Journal Title: </w:t>
      </w:r>
      <w:r w:rsidRPr="00FE1BD2">
        <w:rPr>
          <w:iCs/>
          <w:kern w:val="0"/>
        </w:rPr>
        <w:t>British Food Journal</w:t>
      </w:r>
    </w:p>
    <w:p w:rsidR="00892993" w:rsidRPr="00217FB1" w:rsidRDefault="00892993" w:rsidP="00892993">
      <w:pPr>
        <w:pStyle w:val="12"/>
      </w:pPr>
      <w:r w:rsidRPr="00217FB1">
        <w:t xml:space="preserve">ISO Abbreviated Title: </w:t>
      </w:r>
    </w:p>
    <w:p w:rsidR="00892993" w:rsidRPr="00217FB1" w:rsidRDefault="00892993" w:rsidP="00892993">
      <w:pPr>
        <w:pStyle w:val="12"/>
      </w:pPr>
      <w:r w:rsidRPr="00217FB1">
        <w:t>JCR Abbreviated Title</w:t>
      </w:r>
      <w:r>
        <w:t>:</w:t>
      </w:r>
      <w:r w:rsidRPr="00217FB1">
        <w:t xml:space="preserve"> </w:t>
      </w:r>
    </w:p>
    <w:p w:rsidR="00892993" w:rsidRPr="00217FB1" w:rsidRDefault="00892993" w:rsidP="00892993">
      <w:pPr>
        <w:pStyle w:val="12"/>
      </w:pPr>
      <w:r w:rsidRPr="00217FB1">
        <w:t xml:space="preserve">ISSN: </w:t>
      </w:r>
    </w:p>
    <w:p w:rsidR="00892993" w:rsidRPr="00217FB1" w:rsidRDefault="00892993" w:rsidP="00892993">
      <w:pPr>
        <w:pStyle w:val="12"/>
      </w:pPr>
      <w:r w:rsidRPr="00217FB1">
        <w:t xml:space="preserve">Issues/Year: </w:t>
      </w:r>
    </w:p>
    <w:p w:rsidR="00892993" w:rsidRPr="00217FB1" w:rsidRDefault="00892993" w:rsidP="00892993">
      <w:pPr>
        <w:pStyle w:val="12"/>
      </w:pPr>
      <w:r>
        <w:t xml:space="preserve">Journal Country/Territory: </w:t>
      </w:r>
    </w:p>
    <w:p w:rsidR="00892993" w:rsidRPr="00217FB1" w:rsidRDefault="00892993" w:rsidP="00892993">
      <w:pPr>
        <w:pStyle w:val="12"/>
      </w:pPr>
      <w:r w:rsidRPr="00217FB1">
        <w:t xml:space="preserve">Language: </w:t>
      </w:r>
    </w:p>
    <w:p w:rsidR="00892993" w:rsidRPr="00217FB1" w:rsidRDefault="00892993" w:rsidP="00892993">
      <w:pPr>
        <w:pStyle w:val="12"/>
      </w:pPr>
      <w:r w:rsidRPr="00217FB1">
        <w:t xml:space="preserve">Publisher: </w:t>
      </w:r>
    </w:p>
    <w:p w:rsidR="00892993" w:rsidRPr="00217FB1" w:rsidRDefault="00892993" w:rsidP="00892993">
      <w:pPr>
        <w:pStyle w:val="12"/>
      </w:pPr>
      <w:r w:rsidRPr="00217FB1">
        <w:t xml:space="preserve">Publisher Address: </w:t>
      </w:r>
    </w:p>
    <w:p w:rsidR="00892993" w:rsidRPr="00217FB1" w:rsidRDefault="00892993" w:rsidP="00892993">
      <w:pPr>
        <w:pStyle w:val="12"/>
      </w:pPr>
      <w:r w:rsidRPr="00217FB1">
        <w:t>Subject Categories:</w:t>
      </w:r>
    </w:p>
    <w:p w:rsidR="00892993" w:rsidRPr="00217FB1" w:rsidRDefault="00892993" w:rsidP="00892993">
      <w:pPr>
        <w:pStyle w:val="12"/>
      </w:pPr>
      <w:r w:rsidRPr="00217FB1">
        <w:t xml:space="preserve">: Impact Factor </w:t>
      </w:r>
    </w:p>
    <w:p w:rsidR="00892993" w:rsidRDefault="00892993" w:rsidP="00892993">
      <w:pPr>
        <w:pStyle w:val="a3"/>
        <w:rPr>
          <w:kern w:val="0"/>
        </w:rPr>
      </w:pPr>
      <w:r>
        <w:rPr>
          <w:rFonts w:hint="eastAsia"/>
          <w:kern w:val="0"/>
        </w:rPr>
        <w:t xml:space="preserve">? </w:t>
      </w:r>
      <w:r>
        <w:rPr>
          <w:kern w:val="0"/>
        </w:rPr>
        <w:t>Batista, S.M.M., Teixeira, E., de Francisco, A.</w:t>
      </w:r>
      <w:r w:rsidR="005853A9">
        <w:rPr>
          <w:kern w:val="0"/>
        </w:rPr>
        <w:t xml:space="preserve"> and </w:t>
      </w:r>
      <w:r>
        <w:rPr>
          <w:kern w:val="0"/>
        </w:rPr>
        <w:t>Assis, M.A.A. (2008), Food glycaemic index, satiety</w:t>
      </w:r>
      <w:r w:rsidR="005853A9">
        <w:rPr>
          <w:kern w:val="0"/>
        </w:rPr>
        <w:t xml:space="preserve"> and </w:t>
      </w:r>
      <w:r>
        <w:rPr>
          <w:kern w:val="0"/>
        </w:rPr>
        <w:t xml:space="preserve">chronic diseases. </w:t>
      </w:r>
      <w:r w:rsidRPr="00FE1BD2">
        <w:rPr>
          <w:i/>
          <w:iCs/>
          <w:kern w:val="0"/>
        </w:rPr>
        <w:t>British Food Journal</w:t>
      </w:r>
      <w:r>
        <w:rPr>
          <w:kern w:val="0"/>
        </w:rPr>
        <w:t xml:space="preserve">, </w:t>
      </w:r>
      <w:r>
        <w:rPr>
          <w:b/>
          <w:bCs/>
          <w:kern w:val="0"/>
        </w:rPr>
        <w:t>110</w:t>
      </w:r>
      <w:r>
        <w:rPr>
          <w:kern w:val="0"/>
        </w:rPr>
        <w:t xml:space="preserve"> (10-11), 965-976.</w:t>
      </w:r>
    </w:p>
    <w:p w:rsidR="00892993" w:rsidRDefault="00892993" w:rsidP="00892993">
      <w:pPr>
        <w:pStyle w:val="a3"/>
        <w:rPr>
          <w:kern w:val="0"/>
        </w:rPr>
      </w:pPr>
      <w:r>
        <w:rPr>
          <w:kern w:val="0"/>
        </w:rPr>
        <w:t>Abstract: Purpose - This review aims to document</w:t>
      </w:r>
      <w:r w:rsidR="003A1917">
        <w:rPr>
          <w:kern w:val="0"/>
        </w:rPr>
        <w:t xml:space="preserve"> the </w:t>
      </w:r>
      <w:r>
        <w:rPr>
          <w:kern w:val="0"/>
        </w:rPr>
        <w:t>influence</w:t>
      </w:r>
      <w:r w:rsidR="00427468">
        <w:rPr>
          <w:kern w:val="0"/>
        </w:rPr>
        <w:t xml:space="preserve"> of </w:t>
      </w:r>
      <w:r>
        <w:rPr>
          <w:kern w:val="0"/>
        </w:rPr>
        <w:t>low glycaemic index (LGI)</w:t>
      </w:r>
      <w:r w:rsidR="005853A9">
        <w:rPr>
          <w:kern w:val="0"/>
        </w:rPr>
        <w:t xml:space="preserve"> and </w:t>
      </w:r>
      <w:r>
        <w:rPr>
          <w:kern w:val="0"/>
        </w:rPr>
        <w:t>low glycaemic load (LGL) foods over food satiety, their utilisation in clinical practice,</w:t>
      </w:r>
      <w:r w:rsidR="005853A9">
        <w:rPr>
          <w:kern w:val="0"/>
        </w:rPr>
        <w:t xml:space="preserve"> and </w:t>
      </w:r>
      <w:r>
        <w:rPr>
          <w:kern w:val="0"/>
        </w:rPr>
        <w:t>their importance in</w:t>
      </w:r>
      <w:r w:rsidR="003A1917">
        <w:rPr>
          <w:kern w:val="0"/>
        </w:rPr>
        <w:t xml:space="preserve"> the </w:t>
      </w:r>
      <w:r>
        <w:rPr>
          <w:kern w:val="0"/>
        </w:rPr>
        <w:t>prevention</w:t>
      </w:r>
      <w:r w:rsidR="005853A9">
        <w:rPr>
          <w:kern w:val="0"/>
        </w:rPr>
        <w:t xml:space="preserve"> and </w:t>
      </w:r>
      <w:r>
        <w:rPr>
          <w:kern w:val="0"/>
        </w:rPr>
        <w:t>control</w:t>
      </w:r>
      <w:r w:rsidR="00427468">
        <w:rPr>
          <w:kern w:val="0"/>
        </w:rPr>
        <w:t xml:space="preserve"> of </w:t>
      </w:r>
      <w:r>
        <w:rPr>
          <w:kern w:val="0"/>
        </w:rPr>
        <w:t>diseases such as obesity, diabetes</w:t>
      </w:r>
      <w:r w:rsidR="005853A9">
        <w:rPr>
          <w:kern w:val="0"/>
        </w:rPr>
        <w:t xml:space="preserve"> and </w:t>
      </w:r>
      <w:r>
        <w:rPr>
          <w:kern w:val="0"/>
        </w:rPr>
        <w:t>cardiopathies. It also aims to discuss</w:t>
      </w:r>
      <w:r w:rsidR="003A1917">
        <w:rPr>
          <w:kern w:val="0"/>
        </w:rPr>
        <w:t xml:space="preserve"> the </w:t>
      </w:r>
      <w:r>
        <w:rPr>
          <w:kern w:val="0"/>
        </w:rPr>
        <w:t>inclusion</w:t>
      </w:r>
      <w:r w:rsidR="00427468">
        <w:rPr>
          <w:kern w:val="0"/>
        </w:rPr>
        <w:t xml:space="preserve"> of </w:t>
      </w:r>
      <w:r>
        <w:rPr>
          <w:kern w:val="0"/>
        </w:rPr>
        <w:t>glycaemic index (GI) information in food labels as an important tool for</w:t>
      </w:r>
      <w:r w:rsidR="003A1917">
        <w:rPr>
          <w:kern w:val="0"/>
        </w:rPr>
        <w:t xml:space="preserve"> the </w:t>
      </w:r>
      <w:r>
        <w:rPr>
          <w:kern w:val="0"/>
        </w:rPr>
        <w:t>consumer who wishes to make healthier choices. Design/methodology/approach - An extensive literature search was conducted in</w:t>
      </w:r>
      <w:r w:rsidR="003A1917">
        <w:rPr>
          <w:kern w:val="0"/>
        </w:rPr>
        <w:t xml:space="preserve"> the </w:t>
      </w:r>
      <w:r w:rsidR="00D5664A">
        <w:rPr>
          <w:kern w:val="0"/>
        </w:rPr>
        <w:t>Web</w:t>
      </w:r>
      <w:r w:rsidR="00427468">
        <w:rPr>
          <w:kern w:val="0"/>
        </w:rPr>
        <w:t xml:space="preserve"> of </w:t>
      </w:r>
      <w:r w:rsidR="00D5664A">
        <w:rPr>
          <w:kern w:val="0"/>
        </w:rPr>
        <w:t>Science</w:t>
      </w:r>
      <w:r>
        <w:rPr>
          <w:kern w:val="0"/>
        </w:rPr>
        <w:t>, Pub Med</w:t>
      </w:r>
      <w:r w:rsidR="005853A9">
        <w:rPr>
          <w:kern w:val="0"/>
        </w:rPr>
        <w:t xml:space="preserve"> and </w:t>
      </w:r>
      <w:r w:rsidR="00D5664A">
        <w:rPr>
          <w:kern w:val="0"/>
        </w:rPr>
        <w:t>MEDLINE</w:t>
      </w:r>
      <w:r>
        <w:rPr>
          <w:kern w:val="0"/>
        </w:rPr>
        <w:t xml:space="preserve"> databases, as well as in reference lists from</w:t>
      </w:r>
      <w:r w:rsidR="003A1917">
        <w:rPr>
          <w:kern w:val="0"/>
        </w:rPr>
        <w:t xml:space="preserve"> the </w:t>
      </w:r>
      <w:r>
        <w:rPr>
          <w:kern w:val="0"/>
        </w:rPr>
        <w:t>scientific articles retrieved in</w:t>
      </w:r>
      <w:r w:rsidR="003A1917">
        <w:rPr>
          <w:kern w:val="0"/>
        </w:rPr>
        <w:t xml:space="preserve"> the </w:t>
      </w:r>
      <w:r>
        <w:rPr>
          <w:kern w:val="0"/>
        </w:rPr>
        <w:t>search. Findings - Most</w:t>
      </w:r>
      <w:r w:rsidR="00427468">
        <w:rPr>
          <w:kern w:val="0"/>
        </w:rPr>
        <w:t xml:space="preserve"> of </w:t>
      </w:r>
      <w:r w:rsidR="003A1917">
        <w:rPr>
          <w:kern w:val="0"/>
        </w:rPr>
        <w:t xml:space="preserve">the </w:t>
      </w:r>
      <w:r>
        <w:rPr>
          <w:kern w:val="0"/>
        </w:rPr>
        <w:t>articles presented similar results regarding</w:t>
      </w:r>
      <w:r w:rsidR="003A1917">
        <w:rPr>
          <w:kern w:val="0"/>
        </w:rPr>
        <w:t xml:space="preserve"> the </w:t>
      </w:r>
      <w:r>
        <w:rPr>
          <w:kern w:val="0"/>
        </w:rPr>
        <w:t>substitution</w:t>
      </w:r>
      <w:r w:rsidR="00427468">
        <w:rPr>
          <w:kern w:val="0"/>
        </w:rPr>
        <w:t xml:space="preserve"> of </w:t>
      </w:r>
      <w:r>
        <w:rPr>
          <w:kern w:val="0"/>
        </w:rPr>
        <w:t>high glycaemic index (HGI) foods for low GI ones. In diabetics there was an improvement in</w:t>
      </w:r>
      <w:r w:rsidR="003A1917">
        <w:rPr>
          <w:kern w:val="0"/>
        </w:rPr>
        <w:t xml:space="preserve"> the </w:t>
      </w:r>
      <w:r>
        <w:rPr>
          <w:kern w:val="0"/>
        </w:rPr>
        <w:t>glycaemic</w:t>
      </w:r>
      <w:r w:rsidR="005853A9">
        <w:rPr>
          <w:kern w:val="0"/>
        </w:rPr>
        <w:t xml:space="preserve"> and </w:t>
      </w:r>
      <w:r>
        <w:rPr>
          <w:kern w:val="0"/>
        </w:rPr>
        <w:t>lipid profiles control,</w:t>
      </w:r>
      <w:r w:rsidR="005853A9">
        <w:rPr>
          <w:kern w:val="0"/>
        </w:rPr>
        <w:t xml:space="preserve"> and </w:t>
      </w:r>
      <w:r>
        <w:rPr>
          <w:kern w:val="0"/>
        </w:rPr>
        <w:t>in</w:t>
      </w:r>
      <w:r w:rsidR="003A1917">
        <w:rPr>
          <w:kern w:val="0"/>
        </w:rPr>
        <w:t xml:space="preserve"> the </w:t>
      </w:r>
      <w:r>
        <w:rPr>
          <w:kern w:val="0"/>
        </w:rPr>
        <w:t>obese, weight reduction</w:t>
      </w:r>
      <w:r w:rsidR="005853A9">
        <w:rPr>
          <w:kern w:val="0"/>
        </w:rPr>
        <w:t xml:space="preserve"> and </w:t>
      </w:r>
      <w:r>
        <w:rPr>
          <w:kern w:val="0"/>
        </w:rPr>
        <w:t>reduced cardiovascular complications risk were observed. Foods with higher satiety potential were identified as those with lower GIs, which reduce appetite, cause less glycaemic oscillations in diabetics,</w:t>
      </w:r>
      <w:r w:rsidR="005853A9">
        <w:rPr>
          <w:kern w:val="0"/>
        </w:rPr>
        <w:t xml:space="preserve"> and </w:t>
      </w:r>
      <w:r>
        <w:rPr>
          <w:kern w:val="0"/>
        </w:rPr>
        <w:t>lower caloric intake in</w:t>
      </w:r>
      <w:r w:rsidR="003A1917">
        <w:rPr>
          <w:kern w:val="0"/>
        </w:rPr>
        <w:t xml:space="preserve"> the </w:t>
      </w:r>
      <w:r>
        <w:rPr>
          <w:kern w:val="0"/>
        </w:rPr>
        <w:t>obese. Originality/value - This revision evidenced</w:t>
      </w:r>
      <w:r w:rsidR="003A1917">
        <w:rPr>
          <w:kern w:val="0"/>
        </w:rPr>
        <w:t xml:space="preserve"> the </w:t>
      </w:r>
      <w:r>
        <w:rPr>
          <w:kern w:val="0"/>
        </w:rPr>
        <w:t>benefits</w:t>
      </w:r>
      <w:r w:rsidR="00427468">
        <w:rPr>
          <w:kern w:val="0"/>
        </w:rPr>
        <w:t xml:space="preserve"> of </w:t>
      </w:r>
      <w:r>
        <w:rPr>
          <w:kern w:val="0"/>
        </w:rPr>
        <w:t>LGI foods over satiety</w:t>
      </w:r>
      <w:r w:rsidR="005853A9">
        <w:rPr>
          <w:kern w:val="0"/>
        </w:rPr>
        <w:t xml:space="preserve"> and </w:t>
      </w:r>
      <w:r>
        <w:rPr>
          <w:kern w:val="0"/>
        </w:rPr>
        <w:t>palatability,</w:t>
      </w:r>
      <w:r w:rsidR="005853A9">
        <w:rPr>
          <w:kern w:val="0"/>
        </w:rPr>
        <w:t xml:space="preserve"> and </w:t>
      </w:r>
      <w:r>
        <w:rPr>
          <w:kern w:val="0"/>
        </w:rPr>
        <w:t>discussed their effect in</w:t>
      </w:r>
      <w:r w:rsidR="003A1917">
        <w:rPr>
          <w:kern w:val="0"/>
        </w:rPr>
        <w:t xml:space="preserve"> the </w:t>
      </w:r>
      <w:r>
        <w:rPr>
          <w:kern w:val="0"/>
        </w:rPr>
        <w:t>treatment</w:t>
      </w:r>
      <w:r w:rsidR="00427468">
        <w:rPr>
          <w:kern w:val="0"/>
        </w:rPr>
        <w:t xml:space="preserve"> of </w:t>
      </w:r>
      <w:r>
        <w:rPr>
          <w:kern w:val="0"/>
        </w:rPr>
        <w:t>chronic non-transmissible diseases such as obesity</w:t>
      </w:r>
      <w:r w:rsidR="005853A9">
        <w:rPr>
          <w:kern w:val="0"/>
        </w:rPr>
        <w:t xml:space="preserve"> and </w:t>
      </w:r>
      <w:r>
        <w:rPr>
          <w:kern w:val="0"/>
        </w:rPr>
        <w:t>diabetes.</w:t>
      </w:r>
    </w:p>
    <w:p w:rsidR="00892993" w:rsidRDefault="00892993" w:rsidP="00892993">
      <w:pPr>
        <w:pStyle w:val="a3"/>
        <w:rPr>
          <w:kern w:val="0"/>
        </w:rPr>
      </w:pPr>
      <w:r>
        <w:rPr>
          <w:kern w:val="0"/>
        </w:rPr>
        <w:t>Keywords: Blood-Glucose, Carbohydrate Intake, Carbohydrates, Cardiovascular, Consumer, Control, Databases, Density, Diabetes, Dietary Fiber, Energy-Intake, Food Products, Information, Lipid, Literature, Load, Men, Metabolic Diseases, Obesity, Obesity, Postmenopa</w:t>
      </w:r>
      <w:r w:rsidR="00D5664A">
        <w:rPr>
          <w:kern w:val="0"/>
        </w:rPr>
        <w:t>USA</w:t>
      </w:r>
      <w:r>
        <w:rPr>
          <w:kern w:val="0"/>
        </w:rPr>
        <w:t>l Women, Practice, Prevention, Prevention</w:t>
      </w:r>
      <w:r w:rsidR="005853A9">
        <w:rPr>
          <w:kern w:val="0"/>
        </w:rPr>
        <w:t xml:space="preserve"> and </w:t>
      </w:r>
      <w:r>
        <w:rPr>
          <w:kern w:val="0"/>
        </w:rPr>
        <w:t xml:space="preserve">Control, Pub Med, Review, Risk, Science, Treatment, Utilisation, </w:t>
      </w:r>
      <w:r w:rsidR="00D5664A">
        <w:rPr>
          <w:kern w:val="0"/>
        </w:rPr>
        <w:t>Web</w:t>
      </w:r>
      <w:r w:rsidR="00427468">
        <w:rPr>
          <w:kern w:val="0"/>
        </w:rPr>
        <w:t xml:space="preserve"> of </w:t>
      </w:r>
      <w:r w:rsidR="00D5664A">
        <w:rPr>
          <w:kern w:val="0"/>
        </w:rPr>
        <w:t>Science</w:t>
      </w:r>
    </w:p>
    <w:p w:rsidR="00E34B0F" w:rsidRDefault="00E34B0F" w:rsidP="00E34B0F">
      <w:pPr>
        <w:pStyle w:val="a3"/>
        <w:rPr>
          <w:kern w:val="0"/>
          <w:szCs w:val="24"/>
        </w:rPr>
      </w:pPr>
      <w:r>
        <w:rPr>
          <w:kern w:val="0"/>
          <w:szCs w:val="24"/>
        </w:rPr>
        <w:lastRenderedPageBreak/>
        <w:t xml:space="preserve">? Rudawska, E.D. (2014), Customer loyalty towards traditional products: Polish market experience. </w:t>
      </w:r>
      <w:r>
        <w:rPr>
          <w:i/>
          <w:iCs/>
          <w:kern w:val="0"/>
          <w:szCs w:val="24"/>
        </w:rPr>
        <w:t>British Food Journal</w:t>
      </w:r>
      <w:r>
        <w:rPr>
          <w:kern w:val="0"/>
          <w:szCs w:val="24"/>
        </w:rPr>
        <w:t xml:space="preserve">, </w:t>
      </w:r>
      <w:r>
        <w:rPr>
          <w:b/>
          <w:bCs/>
          <w:kern w:val="0"/>
          <w:szCs w:val="24"/>
        </w:rPr>
        <w:t>116</w:t>
      </w:r>
      <w:r>
        <w:rPr>
          <w:kern w:val="0"/>
          <w:szCs w:val="24"/>
        </w:rPr>
        <w:t xml:space="preserve"> (11), 1710-1725.</w:t>
      </w:r>
    </w:p>
    <w:p w:rsidR="00E34B0F" w:rsidRDefault="00E34B0F" w:rsidP="00E34B0F">
      <w:pPr>
        <w:pStyle w:val="a3"/>
        <w:rPr>
          <w:kern w:val="0"/>
          <w:szCs w:val="24"/>
        </w:rPr>
      </w:pPr>
      <w:r>
        <w:rPr>
          <w:kern w:val="0"/>
          <w:szCs w:val="24"/>
        </w:rPr>
        <w:t xml:space="preserve">Full Text: </w:t>
      </w:r>
      <w:hyperlink r:id="rId1853" w:history="1">
        <w:r w:rsidRPr="00F33C03">
          <w:rPr>
            <w:rStyle w:val="a5"/>
            <w:kern w:val="0"/>
            <w:szCs w:val="24"/>
          </w:rPr>
          <w:t>2014\Bri Foo J116, 1710.pdf</w:t>
        </w:r>
      </w:hyperlink>
    </w:p>
    <w:p w:rsidR="00E34B0F" w:rsidRDefault="00E34B0F" w:rsidP="00E34B0F">
      <w:pPr>
        <w:pStyle w:val="a3"/>
        <w:rPr>
          <w:kern w:val="0"/>
          <w:szCs w:val="24"/>
        </w:rPr>
      </w:pPr>
      <w:r>
        <w:rPr>
          <w:kern w:val="0"/>
          <w:szCs w:val="24"/>
        </w:rPr>
        <w:t xml:space="preserve">Abstract: Purpose - The purpose of this paper is to analyse key determinants of Polish consumers’ loyalty, identified through the analysis of relationship marketing literature, with reference to traditional foodstuffs. Design/methodology/approach - The paper’s approach is a systematic review of the Web of Science, Ebsco and Pro-Quest electronic databases, from 1990 to 2014 as well as research results run by Polish and international research centres, groups and institutes. The paper focuses on two main aspects. One is connected with the development of traditional foodstuffs being a consequence of growing prosperity of the Polish society, and the emergence of consumers who rate quality, national/regional identity and own cultural values higher than the price. The other one is connected with key determinants of consumer loyalty towards traditional products. The paper uses secondary data, and presents research results run between Polish consumers of traditional food products. Attitudes and behaviour of Polish consumers of traditional products in relation to key determinants of loyalty, such as attitude towards the product, the level of satisfaction, trust, price sensitivity and frequency of purchase and willingness to do repeat purchase are identified in the paper. Findings - According to the analysed research, almost 90 percent of the respondents positively perceive traditional products. The results of the research confirm positive and emotional attitudes of consumers towards traditional products. This emotional attachment, which is very important in creating loyalty among consumers, makes them buy traditional food. Polish consumers are satisfied with the taste of traditional products, which are also perceived as fresh and natural. Consumers rate the quality of traditional products highly and underline their positive influence on their and their families’ health. According to the research, Polish consumers pay little attention to geographical and quality indications, which are designed to build a trustworthy image of the products. Traditional products are perceived as expensive, which makes it difficult to build loyalty and affects the frequency of purchase. Almost 40 percent of the respondents buy traditional products once a month. Practical implications - The research results presented in the paper have significant implications for management, that is producers and retailers of local food, in particular with regard to their future marketing effort. Producers and entrepreneurs should monitor behaviour of consumers of traditional food to adapt their offer to changing trends in order to create their loyalty. Consumers expect the products to be made of appropriate ingredients and production methods in order to keep their original taste and character. They also expect some product innovations and proper communication to become loyal. Social implications - The paper has significant implications for society. The process of building customer loyalty towards </w:t>
      </w:r>
      <w:r>
        <w:rPr>
          <w:kern w:val="0"/>
          <w:szCs w:val="24"/>
        </w:rPr>
        <w:lastRenderedPageBreak/>
        <w:t>traditional products is important in the context of their quality of life and public attitude. Traditional foods are a part of culture and the identity of the population where they are produced. Therefore they carry a strong symbolic value for the customers. They are also perceived as healthy and nutritious products, containing a lot of vitamins and minerals. Creating loyal attitude towards them may improve the quality of customers’ life. Originality/value - The paper provides interesting insights about loyalty for traditional products. Based on the determinants of loyalty identified by the author in relationship marketing literature the analysis of these variables was conducted in relation to traditional products. Due to the best author knowledge this is one of the first attempts, if not the first, where loyalty determinants were described in relation to traditional products. The literature lacks comprehensive research on particular aspects of loyal behaviour in the market of traditional products.</w:t>
      </w:r>
    </w:p>
    <w:p w:rsidR="00E34B0F" w:rsidRDefault="00E34B0F" w:rsidP="00E34B0F">
      <w:pPr>
        <w:pStyle w:val="a3"/>
        <w:rPr>
          <w:kern w:val="0"/>
          <w:szCs w:val="24"/>
        </w:rPr>
      </w:pPr>
      <w:r>
        <w:rPr>
          <w:kern w:val="0"/>
          <w:szCs w:val="24"/>
        </w:rPr>
        <w:t>Keywords: Acceptance, Analysis, Approach, Attention, Attitude, Attitudes, Behaviour, Building, Communication, Consumers, Context, Cultural, Culture, Customer Loyalty, Data, Databases, Development, Experience, Families, First, Food, Food Producers, From, Groups, Health, Impact, Indications, Influence, Innovation, International, Knowledge, Life, Literature, Local, Loyalty, Management, Market, Marketing, Methods, Minerals, Natural, Orientation, Poland, Population, Producers, Proquest, Public, Purchase, Purpose, Quality, Quality Of, Quality Of Life, Reference, Research, Research Centres, Research Results, Review, Satisfaction, Science, Sensitivity, Si, Society, Systematic, Systematic Review, Traditional, Traditional Food Products, Traditional Foods, Trends, Trust, Value, Web, Web Of Science</w:t>
      </w:r>
    </w:p>
    <w:p w:rsidR="003474F2" w:rsidRPr="001A3D2B" w:rsidRDefault="003474F2" w:rsidP="003474F2">
      <w:pPr>
        <w:pStyle w:val="1"/>
      </w:pPr>
      <w:r w:rsidRPr="001A3D2B">
        <w:br w:type="page"/>
      </w:r>
      <w:bookmarkStart w:id="909" w:name="_Toc420814813"/>
      <w:r w:rsidRPr="001A3D2B">
        <w:lastRenderedPageBreak/>
        <w:t>Title: British Journal</w:t>
      </w:r>
      <w:r w:rsidR="00427468">
        <w:t xml:space="preserve"> of </w:t>
      </w:r>
      <w:r w:rsidRPr="001A3D2B">
        <w:t>Anaesthesia</w:t>
      </w:r>
      <w:bookmarkEnd w:id="909"/>
    </w:p>
    <w:p w:rsidR="003474F2" w:rsidRPr="001A3D2B" w:rsidRDefault="003474F2" w:rsidP="003474F2">
      <w:pPr>
        <w:pStyle w:val="12"/>
      </w:pPr>
      <w:r w:rsidRPr="001A3D2B">
        <w:t>Full Jou</w:t>
      </w:r>
      <w:bookmarkStart w:id="910" w:name="_Toc81215648"/>
      <w:r w:rsidRPr="001A3D2B">
        <w:t>rnal Title: British Journal</w:t>
      </w:r>
      <w:r w:rsidR="00427468">
        <w:t xml:space="preserve"> of </w:t>
      </w:r>
      <w:r w:rsidRPr="001A3D2B">
        <w:t>Anaest</w:t>
      </w:r>
      <w:bookmarkEnd w:id="910"/>
      <w:r w:rsidRPr="001A3D2B">
        <w:t>hesia</w:t>
      </w:r>
    </w:p>
    <w:p w:rsidR="003474F2" w:rsidRPr="001A3D2B" w:rsidRDefault="003474F2" w:rsidP="003474F2">
      <w:pPr>
        <w:pStyle w:val="12"/>
      </w:pPr>
      <w:r w:rsidRPr="001A3D2B">
        <w:t>ISO Abbreviated Title: Br. J. Anaesth.</w:t>
      </w:r>
    </w:p>
    <w:p w:rsidR="003474F2" w:rsidRPr="001A3D2B" w:rsidRDefault="003474F2" w:rsidP="003474F2">
      <w:pPr>
        <w:pStyle w:val="12"/>
      </w:pPr>
      <w:r w:rsidRPr="001A3D2B">
        <w:t>JCR Abbreviated Title: Brit J Anaesth</w:t>
      </w:r>
    </w:p>
    <w:p w:rsidR="003474F2" w:rsidRPr="001A3D2B" w:rsidRDefault="003474F2" w:rsidP="003474F2">
      <w:pPr>
        <w:pStyle w:val="12"/>
      </w:pPr>
      <w:r w:rsidRPr="001A3D2B">
        <w:t>ISSN: 0007-0912</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
        <w:smartTag w:uri="urn:schemas-microsoft-com:office:smarttags" w:element="City">
          <w:r w:rsidRPr="001A3D2B">
            <w:t>Oxford</w:t>
          </w:r>
        </w:smartTag>
      </w:smartTag>
      <w:r w:rsidRPr="001A3D2B">
        <w:t xml:space="preserve"> Univ Press</w:t>
      </w:r>
    </w:p>
    <w:p w:rsidR="003474F2" w:rsidRPr="001A3D2B" w:rsidRDefault="003474F2" w:rsidP="003474F2">
      <w:pPr>
        <w:pStyle w:val="12"/>
      </w:pPr>
      <w:r w:rsidRPr="001A3D2B">
        <w:t xml:space="preserve">Publisher Address: </w:t>
      </w:r>
      <w:smartTag w:uri="urn:schemas-microsoft-com:office:smarttags" w:element="place">
        <w:r w:rsidRPr="001A3D2B">
          <w:t xml:space="preserve">Great Clarendon St, </w:t>
        </w:r>
        <w:smartTag w:uri="urn:schemas-microsoft-com:office:smarttags" w:element="City">
          <w:r w:rsidRPr="001A3D2B">
            <w:t>Oxford</w:t>
          </w:r>
        </w:smartTag>
        <w:r w:rsidRPr="001A3D2B">
          <w:t xml:space="preserve"> </w:t>
        </w:r>
        <w:smartTag w:uri="urn:schemas-microsoft-com:office:smarttags" w:element="PostalCode">
          <w:r w:rsidRPr="001A3D2B">
            <w:t>OX2 6DP</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Anesthesiology: Impact Factor 2.098/(2002)</w:t>
      </w:r>
    </w:p>
    <w:p w:rsidR="00A025A6" w:rsidRPr="001A3D2B" w:rsidRDefault="00A025A6" w:rsidP="00A025A6">
      <w:pPr>
        <w:pStyle w:val="a3"/>
      </w:pPr>
      <w:r w:rsidRPr="001A3D2B">
        <w:t>? Cawkell, A.E. (1971), Science Citation Index</w:t>
      </w:r>
      <w:r>
        <w:rPr>
          <w:rFonts w:hint="eastAsia"/>
        </w:rPr>
        <w:t>,</w:t>
      </w:r>
      <w:r w:rsidRPr="001A3D2B">
        <w:t xml:space="preserve"> Effectiveness in locating articles in anaessthetics field</w:t>
      </w:r>
      <w:r>
        <w:rPr>
          <w:rFonts w:hint="eastAsia"/>
        </w:rPr>
        <w:t>:</w:t>
      </w:r>
      <w:r w:rsidRPr="001A3D2B">
        <w:t xml:space="preserve"> </w:t>
      </w:r>
      <w:r w:rsidR="00B5188C">
        <w:t>“</w:t>
      </w:r>
      <w:r w:rsidRPr="001A3D2B">
        <w:t>Perturbation</w:t>
      </w:r>
      <w:r w:rsidR="00427468">
        <w:t xml:space="preserve"> of </w:t>
      </w:r>
      <w:r w:rsidRPr="001A3D2B">
        <w:t>ion transport</w:t>
      </w:r>
      <w:r w:rsidR="00B5188C">
        <w:t>”</w:t>
      </w:r>
      <w:r w:rsidRPr="001A3D2B">
        <w:t xml:space="preserve">. </w:t>
      </w:r>
      <w:r w:rsidRPr="001A3D2B">
        <w:rPr>
          <w:i/>
          <w:iCs/>
        </w:rPr>
        <w:t>British Journal</w:t>
      </w:r>
      <w:r w:rsidR="00427468">
        <w:rPr>
          <w:i/>
          <w:iCs/>
        </w:rPr>
        <w:t xml:space="preserve"> of </w:t>
      </w:r>
      <w:r w:rsidRPr="001A3D2B">
        <w:rPr>
          <w:i/>
          <w:iCs/>
        </w:rPr>
        <w:t>Anaesthesia</w:t>
      </w:r>
      <w:r w:rsidRPr="001A3D2B">
        <w:t xml:space="preserve">, </w:t>
      </w:r>
      <w:r w:rsidRPr="001A3D2B">
        <w:rPr>
          <w:b/>
          <w:bCs/>
        </w:rPr>
        <w:t>43</w:t>
      </w:r>
      <w:r w:rsidRPr="001A3D2B">
        <w:t xml:space="preserve"> (8), 814-</w:t>
      </w:r>
      <w:r>
        <w:rPr>
          <w:rFonts w:hint="eastAsia"/>
        </w:rPr>
        <w:t>815</w:t>
      </w:r>
      <w:r w:rsidRPr="001A3D2B">
        <w:t>.</w:t>
      </w:r>
    </w:p>
    <w:p w:rsidR="00A025A6" w:rsidRPr="00FC7835" w:rsidRDefault="00A025A6" w:rsidP="00A025A6">
      <w:pPr>
        <w:pStyle w:val="a3"/>
      </w:pPr>
      <w:r>
        <w:t>Full Text:</w:t>
      </w:r>
      <w:r w:rsidRPr="00FC7835">
        <w:t xml:space="preserve"> </w:t>
      </w:r>
      <w:hyperlink r:id="rId1854" w:history="1">
        <w:r w:rsidRPr="003E5BBC">
          <w:rPr>
            <w:rStyle w:val="a5"/>
          </w:rPr>
          <w:t>1960-80\Bri J Ana43, 814.pdf</w:t>
        </w:r>
      </w:hyperlink>
    </w:p>
    <w:p w:rsidR="003474F2" w:rsidRPr="001A3D2B" w:rsidRDefault="003474F2" w:rsidP="003474F2">
      <w:pPr>
        <w:pStyle w:val="a3"/>
      </w:pPr>
      <w:r w:rsidRPr="001A3D2B">
        <w:t>Keywords: Citation, Science Citation Index</w:t>
      </w:r>
    </w:p>
    <w:p w:rsidR="00913CBD" w:rsidRDefault="00913CBD" w:rsidP="00913CBD">
      <w:pPr>
        <w:pStyle w:val="a3"/>
        <w:rPr>
          <w:kern w:val="0"/>
        </w:rPr>
      </w:pPr>
      <w:r>
        <w:rPr>
          <w:rFonts w:hint="eastAsia"/>
          <w:kern w:val="0"/>
        </w:rPr>
        <w:t xml:space="preserve">? </w:t>
      </w:r>
      <w:r>
        <w:rPr>
          <w:kern w:val="0"/>
        </w:rPr>
        <w:t>Fassoulaki, A., Paraskeva, A., Papilas, K.</w:t>
      </w:r>
      <w:r w:rsidR="005853A9">
        <w:rPr>
          <w:kern w:val="0"/>
        </w:rPr>
        <w:t xml:space="preserve"> and </w:t>
      </w:r>
      <w:r>
        <w:rPr>
          <w:kern w:val="0"/>
        </w:rPr>
        <w:t>Karabinis, G. (2000), Self-citations in six anaesthesia journals</w:t>
      </w:r>
      <w:r w:rsidR="005853A9">
        <w:rPr>
          <w:kern w:val="0"/>
        </w:rPr>
        <w:t xml:space="preserve"> and </w:t>
      </w:r>
      <w:r>
        <w:rPr>
          <w:kern w:val="0"/>
        </w:rPr>
        <w:t>their significance in determining</w:t>
      </w:r>
      <w:r w:rsidR="003A1917">
        <w:rPr>
          <w:kern w:val="0"/>
        </w:rPr>
        <w:t xml:space="preserve"> the </w:t>
      </w:r>
      <w:r>
        <w:rPr>
          <w:kern w:val="0"/>
        </w:rPr>
        <w:t xml:space="preserve">impact factor. </w:t>
      </w:r>
      <w:r>
        <w:rPr>
          <w:i/>
          <w:iCs/>
          <w:kern w:val="0"/>
        </w:rPr>
        <w:t>British Journal</w:t>
      </w:r>
      <w:r w:rsidR="00427468">
        <w:rPr>
          <w:i/>
          <w:iCs/>
          <w:kern w:val="0"/>
        </w:rPr>
        <w:t xml:space="preserve"> of </w:t>
      </w:r>
      <w:r>
        <w:rPr>
          <w:i/>
          <w:iCs/>
          <w:kern w:val="0"/>
        </w:rPr>
        <w:t>Anaesthesia</w:t>
      </w:r>
      <w:r>
        <w:rPr>
          <w:kern w:val="0"/>
        </w:rPr>
        <w:t xml:space="preserve">, </w:t>
      </w:r>
      <w:r>
        <w:rPr>
          <w:b/>
          <w:bCs/>
          <w:kern w:val="0"/>
        </w:rPr>
        <w:t>84</w:t>
      </w:r>
      <w:r>
        <w:rPr>
          <w:kern w:val="0"/>
        </w:rPr>
        <w:t xml:space="preserve"> (2), 266-269.</w:t>
      </w:r>
    </w:p>
    <w:p w:rsidR="00913CBD" w:rsidRPr="001A3D2B" w:rsidRDefault="00913CBD" w:rsidP="00913CBD">
      <w:pPr>
        <w:pStyle w:val="a3"/>
      </w:pPr>
      <w:r w:rsidRPr="001A3D2B">
        <w:t xml:space="preserve">Full Text: </w:t>
      </w:r>
      <w:hyperlink r:id="rId1855" w:history="1">
        <w:r w:rsidRPr="00913CBD">
          <w:rPr>
            <w:rStyle w:val="a5"/>
          </w:rPr>
          <w:t>2000\Bri J Ana84, 266.pdf</w:t>
        </w:r>
      </w:hyperlink>
    </w:p>
    <w:p w:rsidR="00913CBD" w:rsidRDefault="00913CBD" w:rsidP="00913CBD">
      <w:pPr>
        <w:pStyle w:val="a3"/>
        <w:rPr>
          <w:kern w:val="0"/>
        </w:rPr>
      </w:pPr>
      <w:r>
        <w:rPr>
          <w:kern w:val="0"/>
        </w:rPr>
        <w:t>Abstract: Self-citation</w:t>
      </w:r>
      <w:r w:rsidR="00427468">
        <w:rPr>
          <w:kern w:val="0"/>
        </w:rPr>
        <w:t xml:space="preserve"> of </w:t>
      </w:r>
      <w:r>
        <w:rPr>
          <w:kern w:val="0"/>
        </w:rPr>
        <w:t>a journal may affect its impact factor. We investigated self-citations in</w:t>
      </w:r>
      <w:r w:rsidR="003A1917">
        <w:rPr>
          <w:kern w:val="0"/>
        </w:rPr>
        <w:t xml:space="preserve"> the </w:t>
      </w:r>
      <w:r>
        <w:rPr>
          <w:kern w:val="0"/>
        </w:rPr>
        <w:t>1995</w:t>
      </w:r>
      <w:r w:rsidR="005853A9">
        <w:rPr>
          <w:kern w:val="0"/>
        </w:rPr>
        <w:t xml:space="preserve"> and </w:t>
      </w:r>
      <w:r>
        <w:rPr>
          <w:kern w:val="0"/>
        </w:rPr>
        <w:t>1996 issues</w:t>
      </w:r>
      <w:r w:rsidR="00427468">
        <w:rPr>
          <w:kern w:val="0"/>
        </w:rPr>
        <w:t xml:space="preserve"> of </w:t>
      </w:r>
      <w:r>
        <w:rPr>
          <w:kern w:val="0"/>
        </w:rPr>
        <w:t>six anaesthesia journals by calculating</w:t>
      </w:r>
      <w:r w:rsidR="003A1917">
        <w:rPr>
          <w:kern w:val="0"/>
        </w:rPr>
        <w:t xml:space="preserve"> the </w:t>
      </w:r>
      <w:r>
        <w:rPr>
          <w:kern w:val="0"/>
        </w:rPr>
        <w:t>self-citing</w:t>
      </w:r>
      <w:r w:rsidR="005853A9">
        <w:rPr>
          <w:kern w:val="0"/>
        </w:rPr>
        <w:t xml:space="preserve"> and </w:t>
      </w:r>
      <w:r>
        <w:rPr>
          <w:kern w:val="0"/>
        </w:rPr>
        <w:t>self-cited rates for each journal. Self-citing rate relates a journal</w:t>
      </w:r>
      <w:r w:rsidR="00700038">
        <w:rPr>
          <w:kern w:val="0"/>
        </w:rPr>
        <w:t>’</w:t>
      </w:r>
      <w:r w:rsidR="00C13DDC">
        <w:rPr>
          <w:kern w:val="0"/>
        </w:rPr>
        <w:t>s</w:t>
      </w:r>
      <w:r>
        <w:rPr>
          <w:kern w:val="0"/>
        </w:rPr>
        <w:t xml:space="preserve"> self-citations to its total number</w:t>
      </w:r>
      <w:r w:rsidR="00427468">
        <w:rPr>
          <w:kern w:val="0"/>
        </w:rPr>
        <w:t xml:space="preserve"> of </w:t>
      </w:r>
      <w:r>
        <w:rPr>
          <w:kern w:val="0"/>
        </w:rPr>
        <w:t>references. We defined self-cited rate as</w:t>
      </w:r>
      <w:r w:rsidR="003A1917">
        <w:rPr>
          <w:kern w:val="0"/>
        </w:rPr>
        <w:t xml:space="preserve"> the </w:t>
      </w:r>
      <w:r>
        <w:rPr>
          <w:kern w:val="0"/>
        </w:rPr>
        <w:t>ratio</w:t>
      </w:r>
      <w:r w:rsidR="00427468">
        <w:rPr>
          <w:kern w:val="0"/>
        </w:rPr>
        <w:t xml:space="preserve"> of </w:t>
      </w:r>
      <w:r>
        <w:rPr>
          <w:kern w:val="0"/>
        </w:rPr>
        <w:t>a journal</w:t>
      </w:r>
      <w:r w:rsidR="00700038">
        <w:rPr>
          <w:kern w:val="0"/>
        </w:rPr>
        <w:t>’</w:t>
      </w:r>
      <w:r w:rsidR="00C13DDC">
        <w:rPr>
          <w:kern w:val="0"/>
        </w:rPr>
        <w:t>s</w:t>
      </w:r>
      <w:r>
        <w:rPr>
          <w:kern w:val="0"/>
        </w:rPr>
        <w:t xml:space="preserve"> self-citations to</w:t>
      </w:r>
      <w:r w:rsidR="003A1917">
        <w:rPr>
          <w:kern w:val="0"/>
        </w:rPr>
        <w:t xml:space="preserve"> the </w:t>
      </w:r>
      <w:r>
        <w:rPr>
          <w:kern w:val="0"/>
        </w:rPr>
        <w:t>number</w:t>
      </w:r>
      <w:r w:rsidR="00427468">
        <w:rPr>
          <w:kern w:val="0"/>
        </w:rPr>
        <w:t xml:space="preserve"> of </w:t>
      </w:r>
      <w:r>
        <w:rPr>
          <w:kern w:val="0"/>
        </w:rPr>
        <w:t>times it is cited by</w:t>
      </w:r>
      <w:r w:rsidR="003A1917">
        <w:rPr>
          <w:kern w:val="0"/>
        </w:rPr>
        <w:t xml:space="preserve"> the </w:t>
      </w:r>
      <w:r>
        <w:rPr>
          <w:kern w:val="0"/>
        </w:rPr>
        <w:t>six anaesthesia journals. We also correlated self-citing rates with</w:t>
      </w:r>
      <w:r w:rsidR="003A1917">
        <w:rPr>
          <w:kern w:val="0"/>
        </w:rPr>
        <w:t xml:space="preserve"> the </w:t>
      </w:r>
      <w:r>
        <w:rPr>
          <w:kern w:val="0"/>
        </w:rPr>
        <w:t>impact factor</w:t>
      </w:r>
      <w:r w:rsidR="00427468">
        <w:rPr>
          <w:kern w:val="0"/>
        </w:rPr>
        <w:t xml:space="preserve"> of </w:t>
      </w:r>
      <w:r w:rsidR="003A1917">
        <w:rPr>
          <w:kern w:val="0"/>
        </w:rPr>
        <w:t xml:space="preserve">the </w:t>
      </w:r>
      <w:r>
        <w:rPr>
          <w:kern w:val="0"/>
        </w:rPr>
        <w:t>six journals for 1997. Citations among</w:t>
      </w:r>
      <w:r w:rsidR="003A1917">
        <w:rPr>
          <w:kern w:val="0"/>
        </w:rPr>
        <w:t xml:space="preserve"> the </w:t>
      </w:r>
      <w:r>
        <w:rPr>
          <w:kern w:val="0"/>
        </w:rPr>
        <w:t>six journals differed significantly (P &lt; 0.0001). Anesthesiology had</w:t>
      </w:r>
      <w:r w:rsidR="003A1917">
        <w:rPr>
          <w:kern w:val="0"/>
        </w:rPr>
        <w:t xml:space="preserve"> the </w:t>
      </w:r>
      <w:r>
        <w:rPr>
          <w:kern w:val="0"/>
        </w:rPr>
        <w:t>highest self-citing rate (57%). Anaesthesia, Anesthesia</w:t>
      </w:r>
      <w:r w:rsidR="005853A9">
        <w:rPr>
          <w:kern w:val="0"/>
        </w:rPr>
        <w:t xml:space="preserve"> and </w:t>
      </w:r>
      <w:r>
        <w:rPr>
          <w:kern w:val="0"/>
        </w:rPr>
        <w:t>Analgesia, British Journal</w:t>
      </w:r>
      <w:r w:rsidR="00427468">
        <w:rPr>
          <w:kern w:val="0"/>
        </w:rPr>
        <w:t xml:space="preserve"> of </w:t>
      </w:r>
      <w:r>
        <w:rPr>
          <w:kern w:val="0"/>
        </w:rPr>
        <w:t>Anaesthesia, Canadian Journal</w:t>
      </w:r>
      <w:r w:rsidR="00427468">
        <w:rPr>
          <w:kern w:val="0"/>
        </w:rPr>
        <w:t xml:space="preserve"> of </w:t>
      </w:r>
      <w:r>
        <w:rPr>
          <w:kern w:val="0"/>
        </w:rPr>
        <w:t>Anaesthesia</w:t>
      </w:r>
      <w:r w:rsidR="005853A9">
        <w:rPr>
          <w:kern w:val="0"/>
        </w:rPr>
        <w:t xml:space="preserve"> and </w:t>
      </w:r>
      <w:r w:rsidR="003A1917">
        <w:rPr>
          <w:kern w:val="0"/>
        </w:rPr>
        <w:t xml:space="preserve">the </w:t>
      </w:r>
      <w:r>
        <w:rPr>
          <w:kern w:val="0"/>
        </w:rPr>
        <w:t>European Journal</w:t>
      </w:r>
      <w:r w:rsidR="00427468">
        <w:rPr>
          <w:kern w:val="0"/>
        </w:rPr>
        <w:t xml:space="preserve"> of </w:t>
      </w:r>
      <w:r>
        <w:rPr>
          <w:kern w:val="0"/>
        </w:rPr>
        <w:t>Anaesthesiology had self-citing rates</w:t>
      </w:r>
      <w:r w:rsidR="00427468">
        <w:rPr>
          <w:kern w:val="0"/>
        </w:rPr>
        <w:t xml:space="preserve"> of </w:t>
      </w:r>
      <w:r>
        <w:rPr>
          <w:kern w:val="0"/>
        </w:rPr>
        <w:t>28%, 28%, 30%, 11%</w:t>
      </w:r>
      <w:r w:rsidR="005853A9">
        <w:rPr>
          <w:kern w:val="0"/>
        </w:rPr>
        <w:t xml:space="preserve"> and </w:t>
      </w:r>
      <w:r>
        <w:rPr>
          <w:kern w:val="0"/>
        </w:rPr>
        <w:t>4% respectively</w:t>
      </w:r>
      <w:r w:rsidR="00A37C1D">
        <w:rPr>
          <w:kern w:val="0"/>
        </w:rPr>
        <w:t>. The</w:t>
      </w:r>
      <w:r w:rsidR="003A1917">
        <w:rPr>
          <w:kern w:val="0"/>
        </w:rPr>
        <w:t xml:space="preserve"> </w:t>
      </w:r>
      <w:r>
        <w:rPr>
          <w:kern w:val="0"/>
        </w:rPr>
        <w:t>self-cited rates were 31%, 35%, 34%, 27%, 31%</w:t>
      </w:r>
      <w:r w:rsidR="005853A9">
        <w:rPr>
          <w:kern w:val="0"/>
        </w:rPr>
        <w:t xml:space="preserve"> and </w:t>
      </w:r>
      <w:r>
        <w:rPr>
          <w:kern w:val="0"/>
        </w:rPr>
        <w:t>17% for Anaesthesia, Anesthesiology, Anesthesia</w:t>
      </w:r>
      <w:r w:rsidR="005853A9">
        <w:rPr>
          <w:kern w:val="0"/>
        </w:rPr>
        <w:t xml:space="preserve"> and </w:t>
      </w:r>
      <w:r>
        <w:rPr>
          <w:kern w:val="0"/>
        </w:rPr>
        <w:t>Analgesia, British Journal</w:t>
      </w:r>
      <w:r w:rsidR="00427468">
        <w:rPr>
          <w:kern w:val="0"/>
        </w:rPr>
        <w:t xml:space="preserve"> of </w:t>
      </w:r>
      <w:r>
        <w:rPr>
          <w:kern w:val="0"/>
        </w:rPr>
        <w:t>Anaesthesia, Canadian Journal</w:t>
      </w:r>
      <w:r w:rsidR="00427468">
        <w:rPr>
          <w:kern w:val="0"/>
        </w:rPr>
        <w:t xml:space="preserve"> of </w:t>
      </w:r>
      <w:r>
        <w:rPr>
          <w:kern w:val="0"/>
        </w:rPr>
        <w:t>Anaesthesia</w:t>
      </w:r>
      <w:r w:rsidR="005853A9">
        <w:rPr>
          <w:kern w:val="0"/>
        </w:rPr>
        <w:t xml:space="preserve"> and </w:t>
      </w:r>
      <w:r w:rsidR="003A1917">
        <w:rPr>
          <w:kern w:val="0"/>
        </w:rPr>
        <w:t xml:space="preserve">the </w:t>
      </w:r>
      <w:r>
        <w:rPr>
          <w:kern w:val="0"/>
        </w:rPr>
        <w:t>European Journal</w:t>
      </w:r>
      <w:r w:rsidR="00427468">
        <w:rPr>
          <w:kern w:val="0"/>
        </w:rPr>
        <w:t xml:space="preserve"> of </w:t>
      </w:r>
      <w:r>
        <w:rPr>
          <w:kern w:val="0"/>
        </w:rPr>
        <w:t>Anaesthesiology, respectively. North America journals cited</w:t>
      </w:r>
      <w:r w:rsidR="003A1917">
        <w:rPr>
          <w:kern w:val="0"/>
        </w:rPr>
        <w:t xml:space="preserve"> the </w:t>
      </w:r>
      <w:r>
        <w:rPr>
          <w:kern w:val="0"/>
        </w:rPr>
        <w:t>North America literature. This also occurred, to a lesser extent, in</w:t>
      </w:r>
      <w:r w:rsidR="003A1917">
        <w:rPr>
          <w:kern w:val="0"/>
        </w:rPr>
        <w:t xml:space="preserve"> the </w:t>
      </w:r>
      <w:r>
        <w:rPr>
          <w:kern w:val="0"/>
        </w:rPr>
        <w:t>European anaesthesia journals. A significant correlation between self-citing rates</w:t>
      </w:r>
      <w:r w:rsidR="005853A9">
        <w:rPr>
          <w:kern w:val="0"/>
        </w:rPr>
        <w:t xml:space="preserve"> and </w:t>
      </w:r>
      <w:r>
        <w:rPr>
          <w:kern w:val="0"/>
        </w:rPr>
        <w:t xml:space="preserve">impact factors was found (r = </w:t>
      </w:r>
      <w:r>
        <w:rPr>
          <w:kern w:val="0"/>
        </w:rPr>
        <w:lastRenderedPageBreak/>
        <w:t>0.899, P = 0.015). A high self-citing rate</w:t>
      </w:r>
      <w:r w:rsidR="00427468">
        <w:rPr>
          <w:kern w:val="0"/>
        </w:rPr>
        <w:t xml:space="preserve"> of </w:t>
      </w:r>
      <w:r>
        <w:rPr>
          <w:kern w:val="0"/>
        </w:rPr>
        <w:t>a journal may positively affect its impact factor.</w:t>
      </w:r>
    </w:p>
    <w:p w:rsidR="00913CBD" w:rsidRDefault="00913CBD" w:rsidP="00913CBD">
      <w:pPr>
        <w:pStyle w:val="a3"/>
        <w:rPr>
          <w:kern w:val="0"/>
        </w:rPr>
      </w:pPr>
      <w:r>
        <w:rPr>
          <w:kern w:val="0"/>
        </w:rPr>
        <w:t>Keywords: Anaesthesia,</w:t>
      </w:r>
      <w:r>
        <w:rPr>
          <w:rFonts w:hint="eastAsia"/>
          <w:kern w:val="0"/>
        </w:rPr>
        <w:t xml:space="preserve"> </w:t>
      </w:r>
      <w:r>
        <w:rPr>
          <w:kern w:val="0"/>
        </w:rPr>
        <w:t>Journals, Anesthesia-Journals, Citations, Impact Factor, Journals, Publications,</w:t>
      </w:r>
      <w:r>
        <w:rPr>
          <w:rFonts w:hint="eastAsia"/>
          <w:kern w:val="0"/>
        </w:rPr>
        <w:t xml:space="preserve"> </w:t>
      </w:r>
      <w:r>
        <w:rPr>
          <w:kern w:val="0"/>
        </w:rPr>
        <w:t>Anaesthesia, Publications,</w:t>
      </w:r>
      <w:r>
        <w:rPr>
          <w:rFonts w:hint="eastAsia"/>
          <w:kern w:val="0"/>
        </w:rPr>
        <w:t xml:space="preserve"> </w:t>
      </w:r>
      <w:r>
        <w:rPr>
          <w:kern w:val="0"/>
        </w:rPr>
        <w:t>Impact Factor, References, Self-Citation, Self-Citations</w:t>
      </w:r>
    </w:p>
    <w:p w:rsidR="003474F2" w:rsidRPr="001A3D2B" w:rsidRDefault="003474F2" w:rsidP="003474F2">
      <w:pPr>
        <w:pStyle w:val="a3"/>
      </w:pPr>
      <w:r w:rsidRPr="001A3D2B">
        <w:t>Notes: TTopic</w:t>
      </w:r>
    </w:p>
    <w:p w:rsidR="003474F2" w:rsidRPr="001A3D2B" w:rsidRDefault="003474F2" w:rsidP="003474F2">
      <w:pPr>
        <w:pStyle w:val="a3"/>
      </w:pPr>
      <w:r w:rsidRPr="001A3D2B">
        <w:t>Brambrink, A.M., Ehrler, D.</w:t>
      </w:r>
      <w:r w:rsidR="005853A9">
        <w:t xml:space="preserve"> and </w:t>
      </w:r>
      <w:r w:rsidRPr="001A3D2B">
        <w:t>Dick, W.F. (2000), Publications on paediatric anaesthesia: A quantitative analysis</w:t>
      </w:r>
      <w:r w:rsidR="00427468">
        <w:t xml:space="preserve"> of </w:t>
      </w:r>
      <w:r w:rsidRPr="001A3D2B">
        <w:t>publication activity</w:t>
      </w:r>
      <w:r w:rsidR="005853A9">
        <w:t xml:space="preserve"> and </w:t>
      </w:r>
      <w:r w:rsidRPr="001A3D2B">
        <w:t xml:space="preserve">international recognition. </w:t>
      </w:r>
      <w:r w:rsidRPr="001A3D2B">
        <w:rPr>
          <w:i/>
          <w:iCs/>
        </w:rPr>
        <w:t>British Journal</w:t>
      </w:r>
      <w:r w:rsidR="00427468">
        <w:rPr>
          <w:i/>
          <w:iCs/>
        </w:rPr>
        <w:t xml:space="preserve"> of </w:t>
      </w:r>
      <w:r w:rsidRPr="001A3D2B">
        <w:rPr>
          <w:i/>
          <w:iCs/>
        </w:rPr>
        <w:t>Anaesthesia</w:t>
      </w:r>
      <w:r w:rsidRPr="001A3D2B">
        <w:t xml:space="preserve">, </w:t>
      </w:r>
      <w:r w:rsidRPr="001A3D2B">
        <w:rPr>
          <w:b/>
        </w:rPr>
        <w:t>85</w:t>
      </w:r>
      <w:r w:rsidRPr="001A3D2B">
        <w:rPr>
          <w:bCs/>
        </w:rPr>
        <w:t xml:space="preserve"> (4)</w:t>
      </w:r>
      <w:r w:rsidRPr="001A3D2B">
        <w:t>, 556-562.</w:t>
      </w:r>
    </w:p>
    <w:p w:rsidR="003474F2" w:rsidRPr="001A3D2B" w:rsidRDefault="003474F2" w:rsidP="003474F2">
      <w:pPr>
        <w:pStyle w:val="a3"/>
      </w:pPr>
      <w:r w:rsidRPr="001A3D2B">
        <w:t xml:space="preserve">Full Text: </w:t>
      </w:r>
      <w:hyperlink r:id="rId1856" w:history="1">
        <w:r w:rsidRPr="001A3D2B">
          <w:rPr>
            <w:rStyle w:val="a5"/>
          </w:rPr>
          <w:t>2000\Bri J Ana85, 556.pdf</w:t>
        </w:r>
      </w:hyperlink>
    </w:p>
    <w:p w:rsidR="003474F2" w:rsidRPr="001A3D2B" w:rsidRDefault="003474F2" w:rsidP="003474F2">
      <w:pPr>
        <w:pStyle w:val="a3"/>
      </w:pPr>
      <w:r w:rsidRPr="001A3D2B">
        <w:t>Abstract: A comprehensive compilation</w:t>
      </w:r>
      <w:r w:rsidR="00427468">
        <w:t xml:space="preserve"> of </w:t>
      </w:r>
      <w:r w:rsidR="003A1917">
        <w:t xml:space="preserve">the </w:t>
      </w:r>
      <w:r w:rsidRPr="001A3D2B">
        <w:t>current international literature</w:t>
      </w:r>
      <w:r w:rsidRPr="001A3D2B">
        <w:rPr>
          <w:vertAlign w:val="superscript"/>
        </w:rPr>
        <w:t xml:space="preserve"> </w:t>
      </w:r>
      <w:r w:rsidRPr="001A3D2B">
        <w:t>on paediatric anaesthesia is lacking</w:t>
      </w:r>
      <w:r w:rsidR="00A37C1D">
        <w:t>. The</w:t>
      </w:r>
      <w:r w:rsidR="003A1917">
        <w:t xml:space="preserve"> </w:t>
      </w:r>
      <w:r w:rsidRPr="001A3D2B">
        <w:t>aim</w:t>
      </w:r>
      <w:r w:rsidR="00427468">
        <w:t xml:space="preserve"> of </w:t>
      </w:r>
      <w:r w:rsidRPr="001A3D2B">
        <w:t>this study</w:t>
      </w:r>
      <w:r w:rsidRPr="001A3D2B">
        <w:rPr>
          <w:vertAlign w:val="superscript"/>
        </w:rPr>
        <w:t xml:space="preserve"> </w:t>
      </w:r>
      <w:r w:rsidRPr="001A3D2B">
        <w:t>was to identify all articles on clinical practice in paediatric</w:t>
      </w:r>
      <w:r w:rsidRPr="001A3D2B">
        <w:rPr>
          <w:vertAlign w:val="superscript"/>
        </w:rPr>
        <w:t xml:space="preserve"> </w:t>
      </w:r>
      <w:r w:rsidRPr="001A3D2B">
        <w:t>anaesthesia, to name</w:t>
      </w:r>
      <w:r w:rsidR="003A1917">
        <w:t xml:space="preserve"> the </w:t>
      </w:r>
      <w:r w:rsidRPr="001A3D2B">
        <w:t>respective journals,</w:t>
      </w:r>
      <w:r w:rsidR="005853A9">
        <w:t xml:space="preserve"> and </w:t>
      </w:r>
      <w:r w:rsidRPr="001A3D2B">
        <w:t>to assess</w:t>
      </w:r>
      <w:r w:rsidR="003A1917">
        <w:rPr>
          <w:vertAlign w:val="superscript"/>
        </w:rPr>
        <w:t xml:space="preserve"> the </w:t>
      </w:r>
      <w:r w:rsidRPr="001A3D2B">
        <w:t>publication activity</w:t>
      </w:r>
      <w:r w:rsidR="005853A9">
        <w:t xml:space="preserve"> and </w:t>
      </w:r>
      <w:r w:rsidRPr="001A3D2B">
        <w:t>international recognition</w:t>
      </w:r>
      <w:r w:rsidR="00427468">
        <w:t xml:space="preserve"> of </w:t>
      </w:r>
      <w:r w:rsidRPr="001A3D2B">
        <w:t>selected</w:t>
      </w:r>
      <w:r w:rsidRPr="001A3D2B">
        <w:rPr>
          <w:vertAlign w:val="superscript"/>
        </w:rPr>
        <w:t xml:space="preserve"> </w:t>
      </w:r>
      <w:r w:rsidRPr="001A3D2B">
        <w:t>countries for a 6-yr period (1993–1998)</w:t>
      </w:r>
      <w:r w:rsidR="00A37C1D">
        <w:t>. The</w:t>
      </w:r>
      <w:r w:rsidR="003A1917">
        <w:t xml:space="preserve"> </w:t>
      </w:r>
      <w:r w:rsidRPr="001A3D2B">
        <w:t>search comprised</w:t>
      </w:r>
      <w:r w:rsidRPr="001A3D2B">
        <w:rPr>
          <w:vertAlign w:val="superscript"/>
        </w:rPr>
        <w:t xml:space="preserve"> </w:t>
      </w:r>
      <w:r w:rsidRPr="001A3D2B">
        <w:t>an article-to-article evaluation (</w:t>
      </w:r>
      <w:r w:rsidR="00700038">
        <w:t>‘</w:t>
      </w:r>
      <w:r w:rsidRPr="001A3D2B">
        <w:t>hand search</w:t>
      </w:r>
      <w:r w:rsidR="00700038">
        <w:t>’</w:t>
      </w:r>
      <w:r w:rsidRPr="001A3D2B">
        <w:t>)</w:t>
      </w:r>
      <w:r w:rsidR="00427468">
        <w:rPr>
          <w:vertAlign w:val="superscript"/>
        </w:rPr>
        <w:t xml:space="preserve"> of </w:t>
      </w:r>
      <w:r w:rsidRPr="001A3D2B">
        <w:t>12 peer-reviewed anaesthesia journals, as well as an Internet-based</w:t>
      </w:r>
      <w:r w:rsidRPr="001A3D2B">
        <w:rPr>
          <w:vertAlign w:val="superscript"/>
        </w:rPr>
        <w:t xml:space="preserve"> </w:t>
      </w:r>
      <w:r w:rsidRPr="001A3D2B">
        <w:t>(</w:t>
      </w:r>
      <w:r w:rsidR="00700038">
        <w:t>‘</w:t>
      </w:r>
      <w:r w:rsidR="00C13DDC">
        <w:t>s</w:t>
      </w:r>
      <w:r w:rsidRPr="001A3D2B">
        <w:t>ilverPlatter</w:t>
      </w:r>
      <w:r w:rsidR="00700038">
        <w:t>’</w:t>
      </w:r>
      <w:r w:rsidRPr="001A3D2B">
        <w:t xml:space="preserve">) </w:t>
      </w:r>
      <w:r w:rsidR="00D5664A">
        <w:t>MEDLINE</w:t>
      </w:r>
      <w:r w:rsidRPr="001A3D2B">
        <w:rPr>
          <w:vertAlign w:val="superscript"/>
        </w:rPr>
        <w:t>TM</w:t>
      </w:r>
      <w:r w:rsidRPr="001A3D2B">
        <w:t>-search (3.900 medical</w:t>
      </w:r>
      <w:r w:rsidRPr="001A3D2B">
        <w:rPr>
          <w:vertAlign w:val="superscript"/>
        </w:rPr>
        <w:t xml:space="preserve"> </w:t>
      </w:r>
      <w:r w:rsidRPr="001A3D2B">
        <w:t>journals, US National Library</w:t>
      </w:r>
      <w:r w:rsidR="00427468">
        <w:t xml:space="preserve"> of </w:t>
      </w:r>
      <w:r w:rsidRPr="001A3D2B">
        <w:t>Medicine), both limited to</w:t>
      </w:r>
      <w:r w:rsidRPr="001A3D2B">
        <w:rPr>
          <w:vertAlign w:val="superscript"/>
        </w:rPr>
        <w:t xml:space="preserve"> </w:t>
      </w:r>
      <w:r w:rsidRPr="001A3D2B">
        <w:t>original articles, case reports, reviews</w:t>
      </w:r>
      <w:r w:rsidR="005853A9">
        <w:t xml:space="preserve"> and </w:t>
      </w:r>
      <w:r w:rsidRPr="001A3D2B">
        <w:t>editorials. Selected</w:t>
      </w:r>
      <w:r w:rsidRPr="001A3D2B">
        <w:rPr>
          <w:vertAlign w:val="superscript"/>
        </w:rPr>
        <w:t xml:space="preserve"> </w:t>
      </w:r>
      <w:r w:rsidRPr="001A3D2B">
        <w:t>physical characteristics, for example</w:t>
      </w:r>
      <w:r w:rsidR="003A1917">
        <w:t xml:space="preserve"> the </w:t>
      </w:r>
      <w:r w:rsidRPr="001A3D2B">
        <w:t>number</w:t>
      </w:r>
      <w:r w:rsidR="00427468">
        <w:t xml:space="preserve"> of </w:t>
      </w:r>
      <w:r w:rsidRPr="001A3D2B">
        <w:t>infants</w:t>
      </w:r>
      <w:r w:rsidR="005853A9">
        <w:rPr>
          <w:vertAlign w:val="superscript"/>
        </w:rPr>
        <w:t xml:space="preserve"> and </w:t>
      </w:r>
      <w:r w:rsidRPr="001A3D2B">
        <w:t>children aged 0–14 yr old,</w:t>
      </w:r>
      <w:r w:rsidR="003A1917">
        <w:t xml:space="preserve"> the </w:t>
      </w:r>
      <w:r w:rsidRPr="001A3D2B">
        <w:t>number</w:t>
      </w:r>
      <w:r w:rsidR="00427468">
        <w:t xml:space="preserve"> of </w:t>
      </w:r>
      <w:r w:rsidRPr="001A3D2B">
        <w:t>anaesthetists</w:t>
      </w:r>
      <w:r w:rsidRPr="001A3D2B">
        <w:rPr>
          <w:vertAlign w:val="superscript"/>
        </w:rPr>
        <w:t xml:space="preserve"> </w:t>
      </w:r>
      <w:r w:rsidRPr="001A3D2B">
        <w:t>(specialists)</w:t>
      </w:r>
      <w:r w:rsidR="005853A9">
        <w:t xml:space="preserve"> and </w:t>
      </w:r>
      <w:r w:rsidRPr="001A3D2B">
        <w:t>current impact factors (Science Citation Index)</w:t>
      </w:r>
      <w:r w:rsidRPr="001A3D2B">
        <w:rPr>
          <w:vertAlign w:val="superscript"/>
        </w:rPr>
        <w:t xml:space="preserve"> </w:t>
      </w:r>
      <w:r w:rsidRPr="001A3D2B">
        <w:t>served to assess publication activity</w:t>
      </w:r>
      <w:r w:rsidR="005853A9">
        <w:t xml:space="preserve"> and </w:t>
      </w:r>
      <w:r w:rsidRPr="001A3D2B">
        <w:t>international recognition.</w:t>
      </w:r>
      <w:r w:rsidRPr="001A3D2B">
        <w:rPr>
          <w:vertAlign w:val="superscript"/>
        </w:rPr>
        <w:t xml:space="preserve"> </w:t>
      </w:r>
      <w:r w:rsidRPr="001A3D2B">
        <w:t>During</w:t>
      </w:r>
      <w:r w:rsidR="003A1917">
        <w:t xml:space="preserve"> the </w:t>
      </w:r>
      <w:r w:rsidRPr="001A3D2B">
        <w:t>time period studied, 2259 articles (377/yr) were</w:t>
      </w:r>
      <w:r w:rsidRPr="001A3D2B">
        <w:rPr>
          <w:vertAlign w:val="superscript"/>
        </w:rPr>
        <w:t xml:space="preserve"> </w:t>
      </w:r>
      <w:r w:rsidRPr="001A3D2B">
        <w:t>published on paediatric anaesthesia in 295 medical journals</w:t>
      </w:r>
      <w:r w:rsidR="00A37C1D">
        <w:t>. The</w:t>
      </w:r>
      <w:r w:rsidR="003A1917">
        <w:rPr>
          <w:vertAlign w:val="superscript"/>
        </w:rPr>
        <w:t xml:space="preserve"> </w:t>
      </w:r>
      <w:r w:rsidRPr="001A3D2B">
        <w:t>articles were primarily written in English</w:t>
      </w:r>
      <w:bookmarkStart w:id="911" w:name="OLE_LINK8"/>
      <w:r w:rsidRPr="001A3D2B">
        <w:t xml:space="preserve"> (85.1%)</w:t>
      </w:r>
      <w:r w:rsidR="005853A9">
        <w:t xml:space="preserve"> and </w:t>
      </w:r>
      <w:r w:rsidR="003A1917">
        <w:t xml:space="preserve">the </w:t>
      </w:r>
      <w:r w:rsidRPr="001A3D2B">
        <w:t>majority originated from</w:t>
      </w:r>
      <w:r w:rsidR="003A1917">
        <w:t xml:space="preserve"> the </w:t>
      </w:r>
      <w:r w:rsidR="00D5664A">
        <w:t>USA</w:t>
      </w:r>
      <w:r w:rsidRPr="001A3D2B">
        <w:t xml:space="preserve"> (35.4%)</w:t>
      </w:r>
      <w:r w:rsidR="005853A9">
        <w:t xml:space="preserve"> and </w:t>
      </w:r>
      <w:r w:rsidR="003A1917">
        <w:t xml:space="preserve">the </w:t>
      </w:r>
      <w:r w:rsidRPr="001A3D2B">
        <w:t>UK (12.6%)</w:t>
      </w:r>
      <w:r w:rsidR="00A37C1D">
        <w:t>. The</w:t>
      </w:r>
      <w:r w:rsidR="003A1917">
        <w:rPr>
          <w:vertAlign w:val="superscript"/>
        </w:rPr>
        <w:t xml:space="preserve"> </w:t>
      </w:r>
      <w:r w:rsidRPr="001A3D2B">
        <w:t>largest number</w:t>
      </w:r>
      <w:r w:rsidR="00427468">
        <w:t xml:space="preserve"> of </w:t>
      </w:r>
      <w:r w:rsidRPr="001A3D2B">
        <w:t>publications (77.7%) appeared in 29 anaesthesia</w:t>
      </w:r>
      <w:r w:rsidRPr="001A3D2B">
        <w:rPr>
          <w:vertAlign w:val="superscript"/>
        </w:rPr>
        <w:t xml:space="preserve"> </w:t>
      </w:r>
      <w:r w:rsidRPr="001A3D2B">
        <w:t xml:space="preserve">journals, all referenced in </w:t>
      </w:r>
      <w:r w:rsidR="00D5664A">
        <w:t>MEDLINE</w:t>
      </w:r>
      <w:r w:rsidRPr="001A3D2B">
        <w:rPr>
          <w:vertAlign w:val="superscript"/>
        </w:rPr>
        <w:t>TM</w:t>
      </w:r>
      <w:r w:rsidRPr="001A3D2B">
        <w:t>, with 46% being published</w:t>
      </w:r>
      <w:r w:rsidRPr="001A3D2B">
        <w:rPr>
          <w:vertAlign w:val="superscript"/>
        </w:rPr>
        <w:t xml:space="preserve"> </w:t>
      </w:r>
      <w:r w:rsidRPr="001A3D2B">
        <w:t>by only five journals. Most authors published in journals</w:t>
      </w:r>
      <w:r w:rsidR="00427468">
        <w:t xml:space="preserve"> of </w:t>
      </w:r>
      <w:r w:rsidRPr="001A3D2B">
        <w:t>their home country/region. Authors from</w:t>
      </w:r>
      <w:r w:rsidR="003A1917">
        <w:t xml:space="preserve"> the </w:t>
      </w:r>
      <w:r w:rsidRPr="001A3D2B">
        <w:t>UK ranked highest</w:t>
      </w:r>
      <w:r w:rsidRPr="001A3D2B">
        <w:rPr>
          <w:vertAlign w:val="superscript"/>
        </w:rPr>
        <w:t xml:space="preserve"> </w:t>
      </w:r>
      <w:r w:rsidRPr="001A3D2B">
        <w:t xml:space="preserve">in publication activity, followed by those from </w:t>
      </w:r>
      <w:smartTag w:uri="urn:schemas-microsoft-com:office:smarttags" w:element="country-region">
        <w:r w:rsidRPr="001A3D2B">
          <w:t>Canada</w:t>
        </w:r>
      </w:smartTag>
      <w:r w:rsidRPr="001A3D2B">
        <w:t xml:space="preserve">, </w:t>
      </w:r>
      <w:smartTag w:uri="urn:schemas-microsoft-com:office:smarttags" w:element="country-region">
        <w:r w:rsidRPr="001A3D2B">
          <w:t>Switzerland</w:t>
        </w:r>
      </w:smartTag>
      <w:r w:rsidRPr="001A3D2B">
        <w:t>, Sweden</w:t>
      </w:r>
      <w:r w:rsidR="005853A9">
        <w:t xml:space="preserve"> and </w:t>
      </w:r>
      <w:r w:rsidRPr="001A3D2B">
        <w:t>Denmark</w:t>
      </w:r>
      <w:r w:rsidR="00A37C1D">
        <w:t>. The</w:t>
      </w:r>
      <w:r w:rsidR="003A1917">
        <w:t xml:space="preserve"> </w:t>
      </w:r>
      <w:r w:rsidRPr="001A3D2B">
        <w:t>highest impact factor was achieved by</w:t>
      </w:r>
      <w:r w:rsidRPr="001A3D2B">
        <w:rPr>
          <w:vertAlign w:val="superscript"/>
        </w:rPr>
        <w:t xml:space="preserve"> </w:t>
      </w:r>
      <w:r w:rsidRPr="001A3D2B">
        <w:t>US</w:t>
      </w:r>
      <w:r w:rsidR="005853A9">
        <w:t xml:space="preserve"> and </w:t>
      </w:r>
      <w:r w:rsidRPr="001A3D2B">
        <w:t>UK authors. We conclude that publications on paediatric</w:t>
      </w:r>
      <w:r w:rsidRPr="001A3D2B">
        <w:rPr>
          <w:vertAlign w:val="superscript"/>
        </w:rPr>
        <w:t xml:space="preserve"> </w:t>
      </w:r>
      <w:r w:rsidRPr="001A3D2B">
        <w:t>an</w:t>
      </w:r>
      <w:bookmarkEnd w:id="911"/>
      <w:r w:rsidRPr="001A3D2B">
        <w:t>aesthesia are clustered in a small number</w:t>
      </w:r>
      <w:r w:rsidR="00427468">
        <w:t xml:space="preserve"> of </w:t>
      </w:r>
      <w:r w:rsidRPr="001A3D2B">
        <w:t>journals</w:t>
      </w:r>
      <w:r w:rsidR="005853A9">
        <w:t xml:space="preserve"> and </w:t>
      </w:r>
      <w:r w:rsidRPr="001A3D2B">
        <w:t>are written predominantly by authors from English-speaking countries, who achieved</w:t>
      </w:r>
      <w:r w:rsidR="003A1917">
        <w:t xml:space="preserve"> the </w:t>
      </w:r>
      <w:r w:rsidRPr="001A3D2B">
        <w:t>highest international recognition.</w:t>
      </w:r>
    </w:p>
    <w:p w:rsidR="003474F2" w:rsidRPr="001A3D2B" w:rsidRDefault="003474F2" w:rsidP="003474F2">
      <w:pPr>
        <w:pStyle w:val="a3"/>
      </w:pPr>
      <w:r w:rsidRPr="001A3D2B">
        <w:t>Keywords: Aged, Anaesthesia, Anaesthesia,Paediatric, Analysis, Authors, Bias, Canada, Case Reports, Characteristics, Children, Clinical, Clinical Practice, Denmark, Evaluation, Impact, Impact Factor, Impact Factors, Infants, Intensive-Care Journals, International, Journals, Literature, Medical, Medical Journals, Medical-Research, Participation, Peer-Reviewed, Physical, Practice, Publication, Publication Activity, Publications, Publish, Quantitative Analysis, Reviews, Science Citation Index, Small, Sweden, Switzerland</w:t>
      </w:r>
      <w:r w:rsidR="00D5664A">
        <w:t>, UK,</w:t>
      </w:r>
      <w:r w:rsidR="008C1C37">
        <w:t xml:space="preserve"> US,</w:t>
      </w:r>
      <w:r w:rsidRPr="001A3D2B">
        <w:t xml:space="preserve"> </w:t>
      </w:r>
      <w:r w:rsidR="00D5664A">
        <w:t>USA</w:t>
      </w:r>
    </w:p>
    <w:p w:rsidR="003474F2" w:rsidRPr="001A3D2B" w:rsidRDefault="003474F2" w:rsidP="003474F2">
      <w:pPr>
        <w:pStyle w:val="a3"/>
      </w:pPr>
      <w:r w:rsidRPr="001A3D2B">
        <w:lastRenderedPageBreak/>
        <w:t>? Mahajan, R.P.</w:t>
      </w:r>
      <w:r w:rsidR="005853A9">
        <w:t xml:space="preserve"> and </w:t>
      </w:r>
      <w:r w:rsidRPr="001A3D2B">
        <w:t>Hunter, J.M. (2008), Volume 100: Case reports: should they be confined to</w:t>
      </w:r>
      <w:r w:rsidR="003A1917">
        <w:t xml:space="preserve"> the </w:t>
      </w:r>
      <w:r w:rsidRPr="001A3D2B">
        <w:t xml:space="preserve">dustbin? </w:t>
      </w:r>
      <w:r w:rsidRPr="001A3D2B">
        <w:rPr>
          <w:i/>
          <w:iCs/>
        </w:rPr>
        <w:t>British Journal</w:t>
      </w:r>
      <w:r w:rsidR="00427468">
        <w:rPr>
          <w:i/>
          <w:iCs/>
        </w:rPr>
        <w:t xml:space="preserve"> of </w:t>
      </w:r>
      <w:r w:rsidRPr="001A3D2B">
        <w:rPr>
          <w:i/>
          <w:iCs/>
        </w:rPr>
        <w:t>Anaesthesia</w:t>
      </w:r>
      <w:r w:rsidRPr="001A3D2B">
        <w:t xml:space="preserve">, </w:t>
      </w:r>
      <w:r w:rsidRPr="001A3D2B">
        <w:rPr>
          <w:b/>
          <w:bCs/>
        </w:rPr>
        <w:t>100</w:t>
      </w:r>
      <w:r w:rsidRPr="001A3D2B">
        <w:t xml:space="preserve"> (6), 744-746.</w:t>
      </w:r>
    </w:p>
    <w:p w:rsidR="003474F2" w:rsidRPr="001A3D2B" w:rsidRDefault="003474F2" w:rsidP="003474F2">
      <w:pPr>
        <w:pStyle w:val="a3"/>
      </w:pPr>
      <w:r w:rsidRPr="001A3D2B">
        <w:t xml:space="preserve">Full Text: </w:t>
      </w:r>
      <w:hyperlink r:id="rId1857" w:history="1">
        <w:r w:rsidRPr="001A3D2B">
          <w:rPr>
            <w:rStyle w:val="a5"/>
          </w:rPr>
          <w:t>2008\Bri J Ana100, 744.pdf</w:t>
        </w:r>
      </w:hyperlink>
    </w:p>
    <w:p w:rsidR="003856CB" w:rsidRDefault="003856CB" w:rsidP="003856CB">
      <w:pPr>
        <w:pStyle w:val="a3"/>
        <w:rPr>
          <w:kern w:val="0"/>
        </w:rPr>
      </w:pPr>
      <w:r>
        <w:rPr>
          <w:rFonts w:hint="eastAsia"/>
          <w:kern w:val="0"/>
        </w:rPr>
        <w:t xml:space="preserve">? </w:t>
      </w:r>
      <w:r>
        <w:rPr>
          <w:kern w:val="0"/>
        </w:rPr>
        <w:t>Landoni, G., Pieri, M., Nicolotti, D., Silvetti, S., Landoni, P., Silvani, P., John, M., Bignami, E.</w:t>
      </w:r>
      <w:r w:rsidR="005853A9">
        <w:rPr>
          <w:kern w:val="0"/>
        </w:rPr>
        <w:t xml:space="preserve"> and </w:t>
      </w:r>
      <w:r>
        <w:rPr>
          <w:kern w:val="0"/>
        </w:rPr>
        <w:t>Zangrillo, A. (2010), Self-citation in anaesthesia</w:t>
      </w:r>
      <w:r w:rsidR="005853A9">
        <w:rPr>
          <w:kern w:val="0"/>
        </w:rPr>
        <w:t xml:space="preserve"> and </w:t>
      </w:r>
      <w:r>
        <w:rPr>
          <w:kern w:val="0"/>
        </w:rPr>
        <w:t xml:space="preserve">critical care journals: Introducing a flat tax. </w:t>
      </w:r>
      <w:r>
        <w:rPr>
          <w:i/>
          <w:iCs/>
          <w:kern w:val="0"/>
        </w:rPr>
        <w:t>British Journal</w:t>
      </w:r>
      <w:r w:rsidR="00427468">
        <w:rPr>
          <w:i/>
          <w:iCs/>
          <w:kern w:val="0"/>
        </w:rPr>
        <w:t xml:space="preserve"> of </w:t>
      </w:r>
      <w:r>
        <w:rPr>
          <w:i/>
          <w:iCs/>
          <w:kern w:val="0"/>
        </w:rPr>
        <w:t>Anaesthesia</w:t>
      </w:r>
      <w:r>
        <w:rPr>
          <w:kern w:val="0"/>
        </w:rPr>
        <w:t xml:space="preserve">, </w:t>
      </w:r>
      <w:r>
        <w:rPr>
          <w:b/>
          <w:bCs/>
          <w:kern w:val="0"/>
        </w:rPr>
        <w:t>105</w:t>
      </w:r>
      <w:r>
        <w:rPr>
          <w:kern w:val="0"/>
        </w:rPr>
        <w:t xml:space="preserve"> (3), 386-387</w:t>
      </w:r>
    </w:p>
    <w:p w:rsidR="003856CB" w:rsidRPr="001A3D2B" w:rsidRDefault="003856CB" w:rsidP="003856CB">
      <w:pPr>
        <w:pStyle w:val="a3"/>
      </w:pPr>
      <w:r w:rsidRPr="001A3D2B">
        <w:t xml:space="preserve">Full Text: </w:t>
      </w:r>
      <w:hyperlink r:id="rId1858" w:history="1">
        <w:r w:rsidRPr="003856CB">
          <w:rPr>
            <w:rStyle w:val="a5"/>
          </w:rPr>
          <w:t>2010\Bri J Ana105, 386.pdf</w:t>
        </w:r>
      </w:hyperlink>
    </w:p>
    <w:p w:rsidR="003856CB" w:rsidRDefault="003856CB" w:rsidP="003856CB">
      <w:pPr>
        <w:pStyle w:val="a3"/>
        <w:rPr>
          <w:kern w:val="0"/>
        </w:rPr>
      </w:pPr>
      <w:r>
        <w:rPr>
          <w:kern w:val="0"/>
        </w:rPr>
        <w:t>Keywords: Classics, Journals, Self-Citation</w:t>
      </w:r>
    </w:p>
    <w:p w:rsidR="000E5770" w:rsidRDefault="000E5770" w:rsidP="00A025A6">
      <w:pPr>
        <w:pStyle w:val="a3"/>
        <w:rPr>
          <w:kern w:val="0"/>
        </w:rPr>
      </w:pPr>
      <w:r>
        <w:rPr>
          <w:rFonts w:hint="eastAsia"/>
          <w:kern w:val="0"/>
        </w:rPr>
        <w:t>Notes: CCountry</w:t>
      </w:r>
    </w:p>
    <w:p w:rsidR="00A025A6" w:rsidRDefault="00A025A6" w:rsidP="00A025A6">
      <w:pPr>
        <w:pStyle w:val="a3"/>
        <w:rPr>
          <w:kern w:val="0"/>
        </w:rPr>
      </w:pPr>
      <w:r>
        <w:rPr>
          <w:rFonts w:hint="eastAsia"/>
          <w:kern w:val="0"/>
        </w:rPr>
        <w:t xml:space="preserve">? </w:t>
      </w:r>
      <w:r>
        <w:rPr>
          <w:kern w:val="0"/>
        </w:rPr>
        <w:t xml:space="preserve">Moppett, I.K. (2010), Individual bibliometrics in UK anaesthesia. </w:t>
      </w:r>
      <w:r>
        <w:rPr>
          <w:i/>
          <w:iCs/>
          <w:kern w:val="0"/>
        </w:rPr>
        <w:t>British Journal</w:t>
      </w:r>
      <w:r w:rsidR="00427468">
        <w:rPr>
          <w:i/>
          <w:iCs/>
          <w:kern w:val="0"/>
        </w:rPr>
        <w:t xml:space="preserve"> of </w:t>
      </w:r>
      <w:r>
        <w:rPr>
          <w:i/>
          <w:iCs/>
          <w:kern w:val="0"/>
        </w:rPr>
        <w:t>Anaesthesia</w:t>
      </w:r>
      <w:r>
        <w:rPr>
          <w:kern w:val="0"/>
        </w:rPr>
        <w:t xml:space="preserve">, </w:t>
      </w:r>
      <w:r>
        <w:rPr>
          <w:b/>
          <w:bCs/>
          <w:kern w:val="0"/>
        </w:rPr>
        <w:t>105</w:t>
      </w:r>
      <w:r>
        <w:rPr>
          <w:kern w:val="0"/>
        </w:rPr>
        <w:t xml:space="preserve"> (5), 721-722</w:t>
      </w:r>
      <w:r>
        <w:rPr>
          <w:rFonts w:hint="eastAsia"/>
          <w:kern w:val="0"/>
        </w:rPr>
        <w:t>.</w:t>
      </w:r>
    </w:p>
    <w:p w:rsidR="00A025A6" w:rsidRPr="001A3D2B" w:rsidRDefault="00A025A6" w:rsidP="00A025A6">
      <w:pPr>
        <w:pStyle w:val="a3"/>
      </w:pPr>
      <w:r w:rsidRPr="001A3D2B">
        <w:t xml:space="preserve">Full Text: </w:t>
      </w:r>
      <w:hyperlink r:id="rId1859" w:history="1">
        <w:r w:rsidRPr="00A025A6">
          <w:rPr>
            <w:rStyle w:val="a5"/>
          </w:rPr>
          <w:t>2010\Bri J Ana105, 721.pdf</w:t>
        </w:r>
      </w:hyperlink>
    </w:p>
    <w:p w:rsidR="00A025A6" w:rsidRDefault="00A025A6" w:rsidP="00A025A6">
      <w:pPr>
        <w:pStyle w:val="a3"/>
        <w:rPr>
          <w:kern w:val="0"/>
        </w:rPr>
      </w:pPr>
      <w:r>
        <w:rPr>
          <w:kern w:val="0"/>
        </w:rPr>
        <w:t>Keywords: Anesthesia, Bibliometrics, Critical Care</w:t>
      </w:r>
    </w:p>
    <w:p w:rsidR="000A02ED" w:rsidRDefault="000A02ED" w:rsidP="000A02ED">
      <w:pPr>
        <w:pStyle w:val="a3"/>
        <w:rPr>
          <w:kern w:val="0"/>
        </w:rPr>
      </w:pPr>
      <w:r>
        <w:rPr>
          <w:rFonts w:hint="eastAsia"/>
          <w:kern w:val="0"/>
        </w:rPr>
        <w:t xml:space="preserve">? </w:t>
      </w:r>
      <w:r>
        <w:rPr>
          <w:kern w:val="0"/>
        </w:rPr>
        <w:t>Bould, M.D., Boet, S., Sharma, B., Shin, E., Barrowman, N.J.</w:t>
      </w:r>
      <w:r w:rsidR="005853A9">
        <w:rPr>
          <w:kern w:val="0"/>
        </w:rPr>
        <w:t xml:space="preserve"> and </w:t>
      </w:r>
      <w:r>
        <w:rPr>
          <w:kern w:val="0"/>
        </w:rPr>
        <w:t>Grantcharov, T. (2011), h-indices in a university department</w:t>
      </w:r>
      <w:r w:rsidR="00427468">
        <w:rPr>
          <w:kern w:val="0"/>
        </w:rPr>
        <w:t xml:space="preserve"> of </w:t>
      </w:r>
      <w:r>
        <w:rPr>
          <w:kern w:val="0"/>
        </w:rPr>
        <w:t>anaesthesia: An evaluation</w:t>
      </w:r>
      <w:r w:rsidR="00427468">
        <w:rPr>
          <w:kern w:val="0"/>
        </w:rPr>
        <w:t xml:space="preserve"> of </w:t>
      </w:r>
      <w:r>
        <w:rPr>
          <w:kern w:val="0"/>
        </w:rPr>
        <w:t>their feasibility, reliability,</w:t>
      </w:r>
      <w:r w:rsidR="005853A9">
        <w:rPr>
          <w:kern w:val="0"/>
        </w:rPr>
        <w:t xml:space="preserve"> and </w:t>
      </w:r>
      <w:r>
        <w:rPr>
          <w:kern w:val="0"/>
        </w:rPr>
        <w:t>validity as an assessment</w:t>
      </w:r>
      <w:r w:rsidR="00427468">
        <w:rPr>
          <w:kern w:val="0"/>
        </w:rPr>
        <w:t xml:space="preserve"> of </w:t>
      </w:r>
      <w:r>
        <w:rPr>
          <w:kern w:val="0"/>
        </w:rPr>
        <w:t xml:space="preserve">academic performance. </w:t>
      </w:r>
      <w:r>
        <w:rPr>
          <w:i/>
          <w:iCs/>
          <w:kern w:val="0"/>
        </w:rPr>
        <w:t>British Journal</w:t>
      </w:r>
      <w:r w:rsidR="00427468">
        <w:rPr>
          <w:i/>
          <w:iCs/>
          <w:kern w:val="0"/>
        </w:rPr>
        <w:t xml:space="preserve"> of </w:t>
      </w:r>
      <w:r>
        <w:rPr>
          <w:i/>
          <w:iCs/>
          <w:kern w:val="0"/>
        </w:rPr>
        <w:t>Anaesthesia</w:t>
      </w:r>
      <w:r>
        <w:rPr>
          <w:kern w:val="0"/>
        </w:rPr>
        <w:t xml:space="preserve">, </w:t>
      </w:r>
      <w:r>
        <w:rPr>
          <w:b/>
          <w:bCs/>
          <w:kern w:val="0"/>
        </w:rPr>
        <w:t>106</w:t>
      </w:r>
      <w:r>
        <w:rPr>
          <w:kern w:val="0"/>
        </w:rPr>
        <w:t xml:space="preserve"> (3), 325-330.</w:t>
      </w:r>
    </w:p>
    <w:p w:rsidR="000A02ED" w:rsidRPr="001A3D2B" w:rsidRDefault="000A02ED" w:rsidP="000A02ED">
      <w:pPr>
        <w:pStyle w:val="a3"/>
      </w:pPr>
      <w:r w:rsidRPr="001A3D2B">
        <w:t xml:space="preserve">Full Text: </w:t>
      </w:r>
      <w:hyperlink r:id="rId1860" w:history="1">
        <w:r w:rsidRPr="000A02ED">
          <w:rPr>
            <w:rStyle w:val="a5"/>
          </w:rPr>
          <w:t>2011\Bri J Ana106, 325.pdf</w:t>
        </w:r>
      </w:hyperlink>
    </w:p>
    <w:p w:rsidR="000A02ED" w:rsidRDefault="000A02ED" w:rsidP="000A02ED">
      <w:pPr>
        <w:pStyle w:val="a3"/>
        <w:rPr>
          <w:kern w:val="0"/>
        </w:rPr>
      </w:pPr>
      <w:r>
        <w:rPr>
          <w:kern w:val="0"/>
        </w:rPr>
        <w:t>Abstract: Background</w:t>
      </w:r>
      <w:r w:rsidR="00A37C1D">
        <w:rPr>
          <w:kern w:val="0"/>
        </w:rPr>
        <w:t>. The</w:t>
      </w:r>
      <w:r w:rsidR="003A1917">
        <w:rPr>
          <w:kern w:val="0"/>
        </w:rPr>
        <w:t xml:space="preserve"> </w:t>
      </w:r>
      <w:r w:rsidR="00D5664A">
        <w:rPr>
          <w:kern w:val="0"/>
        </w:rPr>
        <w:t>h-Index</w:t>
      </w:r>
      <w:r>
        <w:rPr>
          <w:kern w:val="0"/>
        </w:rPr>
        <w:t xml:space="preserve"> is a tool that is increasingly used to measure individual research productivity. It is unknown whether its use as an evaluation</w:t>
      </w:r>
      <w:r w:rsidR="00427468">
        <w:rPr>
          <w:kern w:val="0"/>
        </w:rPr>
        <w:t xml:space="preserve"> of </w:t>
      </w:r>
      <w:r>
        <w:rPr>
          <w:kern w:val="0"/>
        </w:rPr>
        <w:t>individual research impact is reliable</w:t>
      </w:r>
      <w:r w:rsidR="005853A9">
        <w:rPr>
          <w:kern w:val="0"/>
        </w:rPr>
        <w:t xml:space="preserve"> and </w:t>
      </w:r>
      <w:r>
        <w:rPr>
          <w:kern w:val="0"/>
        </w:rPr>
        <w:t>valid within</w:t>
      </w:r>
      <w:r w:rsidR="003A1917">
        <w:rPr>
          <w:kern w:val="0"/>
        </w:rPr>
        <w:t xml:space="preserve"> the </w:t>
      </w:r>
      <w:r>
        <w:rPr>
          <w:kern w:val="0"/>
        </w:rPr>
        <w:t>context</w:t>
      </w:r>
      <w:r w:rsidR="00427468">
        <w:rPr>
          <w:kern w:val="0"/>
        </w:rPr>
        <w:t xml:space="preserve"> of </w:t>
      </w:r>
      <w:r>
        <w:rPr>
          <w:kern w:val="0"/>
        </w:rPr>
        <w:t>anaesthesia. Methods. We calculated</w:t>
      </w:r>
      <w:r w:rsidR="003A1917">
        <w:rPr>
          <w:kern w:val="0"/>
        </w:rPr>
        <w:t xml:space="preserve"> the </w:t>
      </w:r>
      <w:r>
        <w:rPr>
          <w:kern w:val="0"/>
        </w:rPr>
        <w:t>h-indices</w:t>
      </w:r>
      <w:r w:rsidR="00427468">
        <w:rPr>
          <w:kern w:val="0"/>
        </w:rPr>
        <w:t xml:space="preserve"> of </w:t>
      </w:r>
      <w:r>
        <w:rPr>
          <w:kern w:val="0"/>
        </w:rPr>
        <w:t>268 faculty members</w:t>
      </w:r>
      <w:r w:rsidR="00427468">
        <w:rPr>
          <w:kern w:val="0"/>
        </w:rPr>
        <w:t xml:space="preserve"> of </w:t>
      </w:r>
      <w:r>
        <w:rPr>
          <w:kern w:val="0"/>
        </w:rPr>
        <w:t>a university department</w:t>
      </w:r>
      <w:r w:rsidR="00427468">
        <w:rPr>
          <w:kern w:val="0"/>
        </w:rPr>
        <w:t xml:space="preserve"> of </w:t>
      </w:r>
      <w:r>
        <w:rPr>
          <w:kern w:val="0"/>
        </w:rPr>
        <w:t>anaesthesia using Scopus(TM)</w:t>
      </w:r>
      <w:r w:rsidR="005853A9">
        <w:rPr>
          <w:kern w:val="0"/>
        </w:rPr>
        <w:t xml:space="preserve"> and </w:t>
      </w:r>
      <w:r w:rsidR="00D5664A">
        <w:rPr>
          <w:kern w:val="0"/>
        </w:rPr>
        <w:t>Web</w:t>
      </w:r>
      <w:r w:rsidR="00427468">
        <w:rPr>
          <w:kern w:val="0"/>
        </w:rPr>
        <w:t xml:space="preserve"> of </w:t>
      </w:r>
      <w:r w:rsidR="00D5664A">
        <w:rPr>
          <w:kern w:val="0"/>
        </w:rPr>
        <w:t>Science</w:t>
      </w:r>
      <w:r>
        <w:rPr>
          <w:kern w:val="0"/>
        </w:rPr>
        <w:t>(R). Agreement between</w:t>
      </w:r>
      <w:r w:rsidR="003A1917">
        <w:rPr>
          <w:kern w:val="0"/>
        </w:rPr>
        <w:t xml:space="preserve"> the </w:t>
      </w:r>
      <w:r>
        <w:rPr>
          <w:kern w:val="0"/>
        </w:rPr>
        <w:t>databases was investigated with a Bland-Altman plot</w:t>
      </w:r>
      <w:r w:rsidR="00A37C1D">
        <w:rPr>
          <w:kern w:val="0"/>
        </w:rPr>
        <w:t>. The</w:t>
      </w:r>
      <w:r w:rsidR="003A1917">
        <w:rPr>
          <w:kern w:val="0"/>
        </w:rPr>
        <w:t xml:space="preserve"> </w:t>
      </w:r>
      <w:r>
        <w:rPr>
          <w:kern w:val="0"/>
        </w:rPr>
        <w:t>construct validity was examined by comparing</w:t>
      </w:r>
      <w:r w:rsidR="003A1917">
        <w:rPr>
          <w:kern w:val="0"/>
        </w:rPr>
        <w:t xml:space="preserve"> the </w:t>
      </w:r>
      <w:r>
        <w:rPr>
          <w:kern w:val="0"/>
        </w:rPr>
        <w:t>h-indices for faculty grouped by academic rank. Results</w:t>
      </w:r>
      <w:r w:rsidR="00A37C1D">
        <w:rPr>
          <w:kern w:val="0"/>
        </w:rPr>
        <w:t>. The</w:t>
      </w:r>
      <w:r w:rsidR="003A1917">
        <w:rPr>
          <w:kern w:val="0"/>
        </w:rPr>
        <w:t xml:space="preserve"> </w:t>
      </w:r>
      <w:r>
        <w:rPr>
          <w:kern w:val="0"/>
        </w:rPr>
        <w:t>mean bias between</w:t>
      </w:r>
      <w:r w:rsidR="003A1917">
        <w:rPr>
          <w:kern w:val="0"/>
        </w:rPr>
        <w:t xml:space="preserve"> the </w:t>
      </w:r>
      <w:r>
        <w:rPr>
          <w:kern w:val="0"/>
        </w:rPr>
        <w:t>Scopus(TM)</w:t>
      </w:r>
      <w:r w:rsidR="005853A9">
        <w:rPr>
          <w:kern w:val="0"/>
        </w:rPr>
        <w:t xml:space="preserve"> and </w:t>
      </w:r>
      <w:r w:rsidR="00D5664A">
        <w:rPr>
          <w:kern w:val="0"/>
        </w:rPr>
        <w:t>Web</w:t>
      </w:r>
      <w:r w:rsidR="00427468">
        <w:rPr>
          <w:kern w:val="0"/>
        </w:rPr>
        <w:t xml:space="preserve"> of </w:t>
      </w:r>
      <w:r w:rsidR="00D5664A">
        <w:rPr>
          <w:kern w:val="0"/>
        </w:rPr>
        <w:t>Science</w:t>
      </w:r>
      <w:r>
        <w:rPr>
          <w:kern w:val="0"/>
        </w:rPr>
        <w:t>(R) h-indices was 0.09 but 1.96 SD limits</w:t>
      </w:r>
      <w:r w:rsidR="00427468">
        <w:rPr>
          <w:kern w:val="0"/>
        </w:rPr>
        <w:t xml:space="preserve"> of </w:t>
      </w:r>
      <w:r>
        <w:rPr>
          <w:kern w:val="0"/>
        </w:rPr>
        <w:t>agreement were -5.7 to 5.9</w:t>
      </w:r>
      <w:r w:rsidR="00A37C1D">
        <w:rPr>
          <w:kern w:val="0"/>
        </w:rPr>
        <w:t>. The</w:t>
      </w:r>
      <w:r w:rsidR="003A1917">
        <w:rPr>
          <w:kern w:val="0"/>
        </w:rPr>
        <w:t xml:space="preserve"> </w:t>
      </w:r>
      <w:r w:rsidR="00D5664A">
        <w:rPr>
          <w:kern w:val="0"/>
        </w:rPr>
        <w:t>Web</w:t>
      </w:r>
      <w:r w:rsidR="00427468">
        <w:rPr>
          <w:kern w:val="0"/>
        </w:rPr>
        <w:t xml:space="preserve"> of </w:t>
      </w:r>
      <w:r w:rsidR="00D5664A">
        <w:rPr>
          <w:kern w:val="0"/>
        </w:rPr>
        <w:t>Science</w:t>
      </w:r>
      <w:r>
        <w:rPr>
          <w:kern w:val="0"/>
        </w:rPr>
        <w:t>(R)-derived h-indices showed a statistically significant difference between</w:t>
      </w:r>
      <w:r w:rsidR="003A1917">
        <w:rPr>
          <w:kern w:val="0"/>
        </w:rPr>
        <w:t xml:space="preserve"> the </w:t>
      </w:r>
      <w:r>
        <w:rPr>
          <w:kern w:val="0"/>
        </w:rPr>
        <w:t>different academic ranks (P &lt; 0.001): median h-indices were 0 for lecturers, 2 for assistant professors, 9 for associate professors,</w:t>
      </w:r>
      <w:r w:rsidR="005853A9">
        <w:rPr>
          <w:kern w:val="0"/>
        </w:rPr>
        <w:t xml:space="preserve"> and </w:t>
      </w:r>
      <w:r>
        <w:rPr>
          <w:kern w:val="0"/>
        </w:rPr>
        <w:t>16 for full professors</w:t>
      </w:r>
      <w:r w:rsidR="00A37C1D">
        <w:rPr>
          <w:kern w:val="0"/>
        </w:rPr>
        <w:t>. The</w:t>
      </w:r>
      <w:r w:rsidR="003A1917">
        <w:rPr>
          <w:kern w:val="0"/>
        </w:rPr>
        <w:t xml:space="preserve"> </w:t>
      </w:r>
      <w:r>
        <w:rPr>
          <w:kern w:val="0"/>
        </w:rPr>
        <w:t>Scopus(TM)-derived h-indices also showed a statistically significant difference between</w:t>
      </w:r>
      <w:r w:rsidR="003A1917">
        <w:rPr>
          <w:kern w:val="0"/>
        </w:rPr>
        <w:t xml:space="preserve"> the </w:t>
      </w:r>
      <w:r>
        <w:rPr>
          <w:kern w:val="0"/>
        </w:rPr>
        <w:t>different academic ranks (P &lt; 0.001): median h-indices were 0 for lecturers, 1 for assistant professors, 9 for associate professors,</w:t>
      </w:r>
      <w:r w:rsidR="005853A9">
        <w:rPr>
          <w:kern w:val="0"/>
        </w:rPr>
        <w:t xml:space="preserve"> and </w:t>
      </w:r>
      <w:r>
        <w:rPr>
          <w:kern w:val="0"/>
        </w:rPr>
        <w:t>17 for full professors. Post hoc testing found statistically significant differences in all comparisons between academic ranks (all P &lt; 0.01). Ignoring self-citations did not affect construct validity</w:t>
      </w:r>
      <w:r w:rsidR="00427468">
        <w:rPr>
          <w:kern w:val="0"/>
        </w:rPr>
        <w:t xml:space="preserve"> of </w:t>
      </w:r>
      <w:r w:rsidR="003A1917">
        <w:rPr>
          <w:kern w:val="0"/>
        </w:rPr>
        <w:t xml:space="preserve">the </w:t>
      </w:r>
      <w:r w:rsidR="00D5664A">
        <w:rPr>
          <w:kern w:val="0"/>
        </w:rPr>
        <w:t>h-Index</w:t>
      </w:r>
      <w:r>
        <w:rPr>
          <w:kern w:val="0"/>
        </w:rPr>
        <w:t>. We found no evidence that</w:t>
      </w:r>
      <w:r w:rsidR="003A1917">
        <w:rPr>
          <w:kern w:val="0"/>
        </w:rPr>
        <w:t xml:space="preserve"> the </w:t>
      </w:r>
      <w:r w:rsidR="00D5664A">
        <w:rPr>
          <w:kern w:val="0"/>
        </w:rPr>
        <w:t>h-Index</w:t>
      </w:r>
      <w:r>
        <w:rPr>
          <w:kern w:val="0"/>
        </w:rPr>
        <w:t xml:space="preserve"> is superior to counting</w:t>
      </w:r>
      <w:r w:rsidR="003A1917">
        <w:rPr>
          <w:kern w:val="0"/>
        </w:rPr>
        <w:t xml:space="preserve"> the </w:t>
      </w:r>
      <w:r>
        <w:rPr>
          <w:kern w:val="0"/>
        </w:rPr>
        <w:t>total number</w:t>
      </w:r>
      <w:r w:rsidR="00427468">
        <w:rPr>
          <w:kern w:val="0"/>
        </w:rPr>
        <w:t xml:space="preserve"> of </w:t>
      </w:r>
      <w:r>
        <w:rPr>
          <w:kern w:val="0"/>
        </w:rPr>
        <w:t>publications. Conclusions. Agreement between</w:t>
      </w:r>
      <w:r w:rsidR="003A1917">
        <w:rPr>
          <w:kern w:val="0"/>
        </w:rPr>
        <w:t xml:space="preserve"> the </w:t>
      </w:r>
      <w:r>
        <w:rPr>
          <w:kern w:val="0"/>
        </w:rPr>
        <w:t>two databases was problematic</w:t>
      </w:r>
      <w:r w:rsidR="00A37C1D">
        <w:rPr>
          <w:kern w:val="0"/>
        </w:rPr>
        <w:t>. The</w:t>
      </w:r>
      <w:r>
        <w:rPr>
          <w:kern w:val="0"/>
        </w:rPr>
        <w:t>re was evidence</w:t>
      </w:r>
      <w:r w:rsidR="00427468">
        <w:rPr>
          <w:kern w:val="0"/>
        </w:rPr>
        <w:t xml:space="preserve"> of </w:t>
      </w:r>
      <w:r>
        <w:rPr>
          <w:kern w:val="0"/>
        </w:rPr>
        <w:t>construct validity; however,</w:t>
      </w:r>
      <w:r w:rsidR="003A1917">
        <w:rPr>
          <w:kern w:val="0"/>
        </w:rPr>
        <w:t xml:space="preserve"> the </w:t>
      </w:r>
      <w:r>
        <w:rPr>
          <w:kern w:val="0"/>
        </w:rPr>
        <w:t>overlap between academic ranks limits</w:t>
      </w:r>
      <w:r w:rsidR="003A1917">
        <w:rPr>
          <w:kern w:val="0"/>
        </w:rPr>
        <w:t xml:space="preserve"> the </w:t>
      </w:r>
      <w:r>
        <w:rPr>
          <w:kern w:val="0"/>
        </w:rPr>
        <w:t>discriminative power</w:t>
      </w:r>
      <w:r w:rsidR="00427468">
        <w:rPr>
          <w:kern w:val="0"/>
        </w:rPr>
        <w:t xml:space="preserve"> of </w:t>
      </w:r>
      <w:r>
        <w:rPr>
          <w:kern w:val="0"/>
        </w:rPr>
        <w:t xml:space="preserve">a </w:t>
      </w:r>
      <w:r>
        <w:rPr>
          <w:kern w:val="0"/>
        </w:rPr>
        <w:lastRenderedPageBreak/>
        <w:t xml:space="preserve">low </w:t>
      </w:r>
      <w:r w:rsidR="00D5664A">
        <w:rPr>
          <w:kern w:val="0"/>
        </w:rPr>
        <w:t>h-Index</w:t>
      </w:r>
      <w:r>
        <w:rPr>
          <w:kern w:val="0"/>
        </w:rPr>
        <w:t>.</w:t>
      </w:r>
    </w:p>
    <w:p w:rsidR="000A02ED" w:rsidRDefault="000A02ED" w:rsidP="000A02ED">
      <w:pPr>
        <w:pStyle w:val="a3"/>
        <w:rPr>
          <w:kern w:val="0"/>
        </w:rPr>
      </w:pPr>
      <w:r>
        <w:rPr>
          <w:kern w:val="0"/>
        </w:rPr>
        <w:t xml:space="preserve">Keywords: Anaesthesia, Assessment, Bias, Bibliometric Analysis, Citation, Context, Databases, Education, Evaluation, Evidence, Faculty, Feasibility, Google-Scholar, </w:t>
      </w:r>
      <w:r w:rsidR="00D5664A">
        <w:rPr>
          <w:rFonts w:hint="eastAsia"/>
          <w:kern w:val="0"/>
        </w:rPr>
        <w:t>h Index</w:t>
      </w:r>
      <w:r>
        <w:rPr>
          <w:kern w:val="0"/>
        </w:rPr>
        <w:t xml:space="preserve">, </w:t>
      </w:r>
      <w:r w:rsidR="00D5664A">
        <w:rPr>
          <w:rFonts w:hint="eastAsia"/>
          <w:kern w:val="0"/>
        </w:rPr>
        <w:t>h-Index</w:t>
      </w:r>
      <w:r>
        <w:rPr>
          <w:kern w:val="0"/>
        </w:rPr>
        <w:t>, Impact, Journals, Mar, Measure, P, Performance, Power, Productivity, Publications, Rank, Reliability, Research, Research Productivity, Science, Scopus, Self-Citations, Testing, University, Validity, Web</w:t>
      </w:r>
    </w:p>
    <w:p w:rsidR="009E4029" w:rsidRDefault="009E4029" w:rsidP="009E4029">
      <w:pPr>
        <w:pStyle w:val="a3"/>
        <w:rPr>
          <w:kern w:val="0"/>
        </w:rPr>
      </w:pPr>
      <w:r>
        <w:rPr>
          <w:rFonts w:hint="eastAsia"/>
          <w:kern w:val="0"/>
        </w:rPr>
        <w:t xml:space="preserve">? </w:t>
      </w:r>
      <w:r>
        <w:rPr>
          <w:kern w:val="0"/>
        </w:rPr>
        <w:t>Webster, N.R. (2011), Bibliometrics</w:t>
      </w:r>
      <w:r w:rsidR="005853A9">
        <w:rPr>
          <w:kern w:val="0"/>
        </w:rPr>
        <w:t xml:space="preserve"> and </w:t>
      </w:r>
      <w:r>
        <w:rPr>
          <w:kern w:val="0"/>
        </w:rPr>
        <w:t>assessing performance</w:t>
      </w:r>
      <w:r w:rsidR="005853A9">
        <w:rPr>
          <w:kern w:val="0"/>
        </w:rPr>
        <w:t xml:space="preserve"> and </w:t>
      </w:r>
      <w:r>
        <w:rPr>
          <w:kern w:val="0"/>
        </w:rPr>
        <w:t xml:space="preserve">worth. </w:t>
      </w:r>
      <w:r>
        <w:rPr>
          <w:i/>
          <w:iCs/>
          <w:kern w:val="0"/>
        </w:rPr>
        <w:t>British Journal</w:t>
      </w:r>
      <w:r w:rsidR="00427468">
        <w:rPr>
          <w:i/>
          <w:iCs/>
          <w:kern w:val="0"/>
        </w:rPr>
        <w:t xml:space="preserve"> of </w:t>
      </w:r>
      <w:r>
        <w:rPr>
          <w:i/>
          <w:iCs/>
          <w:kern w:val="0"/>
        </w:rPr>
        <w:t>Anaesthesia</w:t>
      </w:r>
      <w:r>
        <w:rPr>
          <w:kern w:val="0"/>
        </w:rPr>
        <w:t xml:space="preserve">, </w:t>
      </w:r>
      <w:r>
        <w:rPr>
          <w:b/>
          <w:bCs/>
          <w:kern w:val="0"/>
        </w:rPr>
        <w:t>107</w:t>
      </w:r>
      <w:r>
        <w:rPr>
          <w:kern w:val="0"/>
        </w:rPr>
        <w:t xml:space="preserve"> (3), 306-307</w:t>
      </w:r>
    </w:p>
    <w:p w:rsidR="009E4029" w:rsidRPr="001A3D2B" w:rsidRDefault="009E4029" w:rsidP="009E4029">
      <w:pPr>
        <w:pStyle w:val="a3"/>
      </w:pPr>
      <w:r w:rsidRPr="001A3D2B">
        <w:t xml:space="preserve">Full Text: </w:t>
      </w:r>
      <w:hyperlink r:id="rId1861" w:history="1">
        <w:r w:rsidRPr="00AA1E51">
          <w:rPr>
            <w:rStyle w:val="a5"/>
          </w:rPr>
          <w:t>2011\Bri J Ana107, 306.pdf</w:t>
        </w:r>
      </w:hyperlink>
    </w:p>
    <w:p w:rsidR="009E4029" w:rsidRDefault="009E4029" w:rsidP="009E4029">
      <w:pPr>
        <w:pStyle w:val="a3"/>
        <w:rPr>
          <w:kern w:val="0"/>
        </w:rPr>
      </w:pPr>
      <w:r>
        <w:rPr>
          <w:kern w:val="0"/>
        </w:rPr>
        <w:t>Keywords: Bibliometrics, Citation Counts, Index</w:t>
      </w:r>
    </w:p>
    <w:p w:rsidR="000E5770" w:rsidRDefault="00C6271C" w:rsidP="009E4029">
      <w:pPr>
        <w:pStyle w:val="a3"/>
        <w:rPr>
          <w:kern w:val="0"/>
        </w:rPr>
      </w:pPr>
      <w:r>
        <w:rPr>
          <w:rFonts w:hint="eastAsia"/>
          <w:kern w:val="0"/>
        </w:rPr>
        <w:t xml:space="preserve">Notes: </w:t>
      </w:r>
      <w:r w:rsidR="000E5770">
        <w:rPr>
          <w:rFonts w:hint="eastAsia"/>
          <w:kern w:val="0"/>
        </w:rPr>
        <w:t>CCountry</w:t>
      </w:r>
    </w:p>
    <w:p w:rsidR="009E4029" w:rsidRDefault="009E4029" w:rsidP="009E4029">
      <w:pPr>
        <w:pStyle w:val="a3"/>
        <w:rPr>
          <w:kern w:val="0"/>
        </w:rPr>
      </w:pPr>
      <w:r>
        <w:rPr>
          <w:rFonts w:hint="eastAsia"/>
          <w:kern w:val="0"/>
        </w:rPr>
        <w:t xml:space="preserve">? </w:t>
      </w:r>
      <w:r>
        <w:rPr>
          <w:kern w:val="0"/>
        </w:rPr>
        <w:t>Moppett, I.K.</w:t>
      </w:r>
      <w:r w:rsidR="005853A9">
        <w:rPr>
          <w:kern w:val="0"/>
        </w:rPr>
        <w:t xml:space="preserve"> and </w:t>
      </w:r>
      <w:r>
        <w:rPr>
          <w:kern w:val="0"/>
        </w:rPr>
        <w:t>Hardman, J.G. (2011), Bibliometrics</w:t>
      </w:r>
      <w:r w:rsidR="00427468">
        <w:rPr>
          <w:kern w:val="0"/>
        </w:rPr>
        <w:t xml:space="preserve"> of </w:t>
      </w:r>
      <w:r>
        <w:rPr>
          <w:kern w:val="0"/>
        </w:rPr>
        <w:t>anaesthesia researchers in</w:t>
      </w:r>
      <w:r w:rsidR="003A1917">
        <w:rPr>
          <w:kern w:val="0"/>
        </w:rPr>
        <w:t xml:space="preserve"> the </w:t>
      </w:r>
      <w:r>
        <w:rPr>
          <w:kern w:val="0"/>
        </w:rPr>
        <w:t xml:space="preserve">UK. </w:t>
      </w:r>
      <w:r>
        <w:rPr>
          <w:i/>
          <w:iCs/>
          <w:kern w:val="0"/>
        </w:rPr>
        <w:t>British Journal</w:t>
      </w:r>
      <w:r w:rsidR="00427468">
        <w:rPr>
          <w:i/>
          <w:iCs/>
          <w:kern w:val="0"/>
        </w:rPr>
        <w:t xml:space="preserve"> of </w:t>
      </w:r>
      <w:r>
        <w:rPr>
          <w:i/>
          <w:iCs/>
          <w:kern w:val="0"/>
        </w:rPr>
        <w:t>Anaesthesia</w:t>
      </w:r>
      <w:r>
        <w:rPr>
          <w:kern w:val="0"/>
        </w:rPr>
        <w:t xml:space="preserve">, </w:t>
      </w:r>
      <w:r>
        <w:rPr>
          <w:b/>
          <w:bCs/>
          <w:kern w:val="0"/>
        </w:rPr>
        <w:t>107</w:t>
      </w:r>
      <w:r>
        <w:rPr>
          <w:kern w:val="0"/>
        </w:rPr>
        <w:t xml:space="preserve"> (3), 351-356.</w:t>
      </w:r>
    </w:p>
    <w:p w:rsidR="009E4029" w:rsidRPr="001A3D2B" w:rsidRDefault="009E4029" w:rsidP="009E4029">
      <w:pPr>
        <w:pStyle w:val="a3"/>
      </w:pPr>
      <w:r w:rsidRPr="001A3D2B">
        <w:t xml:space="preserve">Full Text: </w:t>
      </w:r>
      <w:hyperlink r:id="rId1862" w:history="1">
        <w:r w:rsidRPr="009E4029">
          <w:rPr>
            <w:rStyle w:val="a5"/>
          </w:rPr>
          <w:t>2011\Bri J Ana107, 351.pdf</w:t>
        </w:r>
      </w:hyperlink>
    </w:p>
    <w:p w:rsidR="009E4029" w:rsidRDefault="009E4029" w:rsidP="009E4029">
      <w:pPr>
        <w:pStyle w:val="a3"/>
        <w:rPr>
          <w:kern w:val="0"/>
        </w:rPr>
      </w:pPr>
      <w:r>
        <w:rPr>
          <w:kern w:val="0"/>
        </w:rPr>
        <w:t>Abstract: Background. Bibliometrics provide surrogate measures</w:t>
      </w:r>
      <w:r w:rsidR="00427468">
        <w:rPr>
          <w:kern w:val="0"/>
        </w:rPr>
        <w:t xml:space="preserve"> of </w:t>
      </w:r>
      <w:r w:rsidR="003A1917">
        <w:rPr>
          <w:kern w:val="0"/>
        </w:rPr>
        <w:t xml:space="preserve">the </w:t>
      </w:r>
      <w:r>
        <w:rPr>
          <w:kern w:val="0"/>
        </w:rPr>
        <w:t>quality</w:t>
      </w:r>
      <w:r w:rsidR="005853A9">
        <w:rPr>
          <w:kern w:val="0"/>
        </w:rPr>
        <w:t xml:space="preserve"> and </w:t>
      </w:r>
      <w:r>
        <w:rPr>
          <w:kern w:val="0"/>
        </w:rPr>
        <w:t>quantity</w:t>
      </w:r>
      <w:r w:rsidR="00427468">
        <w:rPr>
          <w:kern w:val="0"/>
        </w:rPr>
        <w:t xml:space="preserve"> of </w:t>
      </w:r>
      <w:r>
        <w:rPr>
          <w:kern w:val="0"/>
        </w:rPr>
        <w:t>research undertaken by departments</w:t>
      </w:r>
      <w:r w:rsidR="005853A9">
        <w:rPr>
          <w:kern w:val="0"/>
        </w:rPr>
        <w:t xml:space="preserve"> and </w:t>
      </w:r>
      <w:r>
        <w:rPr>
          <w:kern w:val="0"/>
        </w:rPr>
        <w:t>individuals. Previous reports have suggested that academic anaesthesia research in</w:t>
      </w:r>
      <w:r w:rsidR="003A1917">
        <w:rPr>
          <w:kern w:val="0"/>
        </w:rPr>
        <w:t xml:space="preserve"> the </w:t>
      </w:r>
      <w:r>
        <w:rPr>
          <w:kern w:val="0"/>
        </w:rPr>
        <w:t>UK is in decline. We wished to provide a comprehensive description</w:t>
      </w:r>
      <w:r w:rsidR="00427468">
        <w:rPr>
          <w:kern w:val="0"/>
        </w:rPr>
        <w:t xml:space="preserve"> of </w:t>
      </w:r>
      <w:r>
        <w:rPr>
          <w:kern w:val="0"/>
        </w:rPr>
        <w:t>current</w:t>
      </w:r>
      <w:r w:rsidR="005853A9">
        <w:rPr>
          <w:kern w:val="0"/>
        </w:rPr>
        <w:t xml:space="preserve"> and </w:t>
      </w:r>
      <w:r>
        <w:rPr>
          <w:kern w:val="0"/>
        </w:rPr>
        <w:t>historical published output</w:t>
      </w:r>
      <w:r w:rsidR="00427468">
        <w:rPr>
          <w:kern w:val="0"/>
        </w:rPr>
        <w:t xml:space="preserve"> of </w:t>
      </w:r>
      <w:r>
        <w:rPr>
          <w:kern w:val="0"/>
        </w:rPr>
        <w:t>UK anaesthesia researchers. Methods. Bibliometric indices (</w:t>
      </w:r>
      <w:r w:rsidR="00D5664A">
        <w:rPr>
          <w:kern w:val="0"/>
        </w:rPr>
        <w:t>Web</w:t>
      </w:r>
      <w:r w:rsidR="00427468">
        <w:rPr>
          <w:kern w:val="0"/>
        </w:rPr>
        <w:t xml:space="preserve"> of </w:t>
      </w:r>
      <w:r w:rsidR="00D5664A">
        <w:rPr>
          <w:kern w:val="0"/>
        </w:rPr>
        <w:t>Science</w:t>
      </w:r>
      <w:r>
        <w:rPr>
          <w:kern w:val="0"/>
        </w:rPr>
        <w:t xml:space="preserve"> (R)) were calculated for anaesthesia researchers in</w:t>
      </w:r>
      <w:r w:rsidR="003A1917">
        <w:rPr>
          <w:kern w:val="0"/>
        </w:rPr>
        <w:t xml:space="preserve"> the </w:t>
      </w:r>
      <w:r>
        <w:rPr>
          <w:kern w:val="0"/>
        </w:rPr>
        <w:t>UK for</w:t>
      </w:r>
      <w:r w:rsidR="003A1917">
        <w:rPr>
          <w:kern w:val="0"/>
        </w:rPr>
        <w:t xml:space="preserve"> the </w:t>
      </w:r>
      <w:r>
        <w:rPr>
          <w:kern w:val="0"/>
        </w:rPr>
        <w:t>whole period covered by</w:t>
      </w:r>
      <w:r w:rsidR="003A1917">
        <w:rPr>
          <w:kern w:val="0"/>
        </w:rPr>
        <w:t xml:space="preserve"> the </w:t>
      </w:r>
      <w:r>
        <w:rPr>
          <w:kern w:val="0"/>
        </w:rPr>
        <w:t>database,</w:t>
      </w:r>
      <w:r w:rsidR="005853A9">
        <w:rPr>
          <w:kern w:val="0"/>
        </w:rPr>
        <w:t xml:space="preserve"> and </w:t>
      </w:r>
      <w:r>
        <w:rPr>
          <w:kern w:val="0"/>
        </w:rPr>
        <w:t>for 2004-8. A parallel search was made using</w:t>
      </w:r>
      <w:r w:rsidR="003A1917">
        <w:rPr>
          <w:kern w:val="0"/>
        </w:rPr>
        <w:t xml:space="preserve"> the </w:t>
      </w:r>
      <w:r>
        <w:rPr>
          <w:kern w:val="0"/>
        </w:rPr>
        <w:t>Scholarometer (TM) tool, which parses output from Google Scholar (TM). Calculated indices included total number</w:t>
      </w:r>
      <w:r w:rsidR="00427468">
        <w:rPr>
          <w:kern w:val="0"/>
        </w:rPr>
        <w:t xml:space="preserve"> of </w:t>
      </w:r>
      <w:r>
        <w:rPr>
          <w:kern w:val="0"/>
        </w:rPr>
        <w:t>publications; total number</w:t>
      </w:r>
      <w:r w:rsidR="00427468">
        <w:rPr>
          <w:kern w:val="0"/>
        </w:rPr>
        <w:t xml:space="preserve"> of </w:t>
      </w:r>
      <w:r>
        <w:rPr>
          <w:kern w:val="0"/>
        </w:rPr>
        <w:t xml:space="preserve">citations; citations per paper; </w:t>
      </w:r>
      <w:r w:rsidR="00D5664A">
        <w:rPr>
          <w:kern w:val="0"/>
        </w:rPr>
        <w:t>h-Index</w:t>
      </w:r>
      <w:r>
        <w:rPr>
          <w:kern w:val="0"/>
        </w:rPr>
        <w:t>; g-index;</w:t>
      </w:r>
      <w:r w:rsidR="005853A9">
        <w:rPr>
          <w:kern w:val="0"/>
        </w:rPr>
        <w:t xml:space="preserve"> and </w:t>
      </w:r>
      <w:r>
        <w:rPr>
          <w:kern w:val="0"/>
        </w:rPr>
        <w:t>modified impact index. Results. One hundred</w:t>
      </w:r>
      <w:r w:rsidR="005853A9">
        <w:rPr>
          <w:kern w:val="0"/>
        </w:rPr>
        <w:t xml:space="preserve"> and </w:t>
      </w:r>
      <w:r>
        <w:rPr>
          <w:kern w:val="0"/>
        </w:rPr>
        <w:t>four individuals</w:t>
      </w:r>
      <w:r w:rsidR="005853A9">
        <w:rPr>
          <w:kern w:val="0"/>
        </w:rPr>
        <w:t xml:space="preserve"> and </w:t>
      </w:r>
      <w:r>
        <w:rPr>
          <w:kern w:val="0"/>
        </w:rPr>
        <w:t>23 academic departments were identified. Median values (inter-quartile range) for</w:t>
      </w:r>
      <w:r w:rsidR="003A1917">
        <w:rPr>
          <w:kern w:val="0"/>
        </w:rPr>
        <w:t xml:space="preserve"> the </w:t>
      </w:r>
      <w:r>
        <w:rPr>
          <w:kern w:val="0"/>
        </w:rPr>
        <w:t>indices were: total papers 57 (24-95) (individuals for</w:t>
      </w:r>
      <w:r w:rsidR="003A1917">
        <w:rPr>
          <w:kern w:val="0"/>
        </w:rPr>
        <w:t xml:space="preserve"> the </w:t>
      </w:r>
      <w:r>
        <w:rPr>
          <w:kern w:val="0"/>
        </w:rPr>
        <w:t>whole period), 11 (6-20) (individuals 2004-8), 50 (30-70) (departments 2004-8); total number</w:t>
      </w:r>
      <w:r w:rsidR="00427468">
        <w:rPr>
          <w:kern w:val="0"/>
        </w:rPr>
        <w:t xml:space="preserve"> of </w:t>
      </w:r>
      <w:r>
        <w:rPr>
          <w:kern w:val="0"/>
        </w:rPr>
        <w:t xml:space="preserve">citations 571 (175-1328), 93 (38-207), 383 (239-845); </w:t>
      </w:r>
      <w:r w:rsidR="00D5664A">
        <w:rPr>
          <w:kern w:val="0"/>
        </w:rPr>
        <w:t>h-Index</w:t>
      </w:r>
      <w:r>
        <w:rPr>
          <w:kern w:val="0"/>
        </w:rPr>
        <w:t xml:space="preserve"> 13 (8-20), 6 (3-8), 11 (9-14). Four departments were ranked in</w:t>
      </w:r>
      <w:r w:rsidR="003A1917">
        <w:rPr>
          <w:kern w:val="0"/>
        </w:rPr>
        <w:t xml:space="preserve"> the </w:t>
      </w:r>
      <w:r>
        <w:rPr>
          <w:kern w:val="0"/>
        </w:rPr>
        <w:t>top 5 for all indices. Conclusions</w:t>
      </w:r>
      <w:r w:rsidR="00A37C1D">
        <w:rPr>
          <w:kern w:val="0"/>
        </w:rPr>
        <w:t>. The</w:t>
      </w:r>
      <w:r w:rsidR="003A1917">
        <w:rPr>
          <w:kern w:val="0"/>
        </w:rPr>
        <w:t xml:space="preserve"> </w:t>
      </w:r>
      <w:r>
        <w:rPr>
          <w:kern w:val="0"/>
        </w:rPr>
        <w:t>general distribution</w:t>
      </w:r>
      <w:r w:rsidR="00427468">
        <w:rPr>
          <w:kern w:val="0"/>
        </w:rPr>
        <w:t xml:space="preserve"> of </w:t>
      </w:r>
      <w:r>
        <w:rPr>
          <w:kern w:val="0"/>
        </w:rPr>
        <w:t>bibliometric data is similar to that seen in other specialities in Europe</w:t>
      </w:r>
      <w:r w:rsidR="005853A9">
        <w:rPr>
          <w:kern w:val="0"/>
        </w:rPr>
        <w:t xml:space="preserve"> and </w:t>
      </w:r>
      <w:r>
        <w:rPr>
          <w:kern w:val="0"/>
        </w:rPr>
        <w:t>North America. Four departments contribute to more than 50%</w:t>
      </w:r>
      <w:r w:rsidR="00427468">
        <w:rPr>
          <w:kern w:val="0"/>
        </w:rPr>
        <w:t xml:space="preserve"> of </w:t>
      </w:r>
      <w:r>
        <w:rPr>
          <w:kern w:val="0"/>
        </w:rPr>
        <w:t>published anaesthesia research output in this data set</w:t>
      </w:r>
      <w:r w:rsidR="00A37C1D">
        <w:rPr>
          <w:kern w:val="0"/>
        </w:rPr>
        <w:t>. The</w:t>
      </w:r>
      <w:r>
        <w:rPr>
          <w:kern w:val="0"/>
        </w:rPr>
        <w:t>se data provide useful comparative tools for individuals, departments,</w:t>
      </w:r>
      <w:r w:rsidR="005853A9">
        <w:rPr>
          <w:kern w:val="0"/>
        </w:rPr>
        <w:t xml:space="preserve"> and </w:t>
      </w:r>
      <w:r>
        <w:rPr>
          <w:kern w:val="0"/>
        </w:rPr>
        <w:t>national bodies.</w:t>
      </w:r>
    </w:p>
    <w:p w:rsidR="009E4029" w:rsidRDefault="009E4029" w:rsidP="009E4029">
      <w:pPr>
        <w:pStyle w:val="a3"/>
        <w:rPr>
          <w:kern w:val="0"/>
        </w:rPr>
      </w:pPr>
      <w:r>
        <w:rPr>
          <w:kern w:val="0"/>
        </w:rPr>
        <w:t xml:space="preserve">Keywords: Achievement, Anaesthesia, Bibliometric, Bibliometric Indices, Bibliometrics, Citations, Europe, G Index, G-Index, Google Scholar, Google-Scholar, </w:t>
      </w:r>
      <w:r w:rsidR="00D5664A">
        <w:rPr>
          <w:kern w:val="0"/>
        </w:rPr>
        <w:t>h Index</w:t>
      </w:r>
      <w:r>
        <w:rPr>
          <w:kern w:val="0"/>
        </w:rPr>
        <w:t xml:space="preserve">, </w:t>
      </w:r>
      <w:r w:rsidR="00D5664A">
        <w:rPr>
          <w:rFonts w:hint="eastAsia"/>
          <w:kern w:val="0"/>
        </w:rPr>
        <w:t>h-Index</w:t>
      </w:r>
      <w:r>
        <w:rPr>
          <w:kern w:val="0"/>
        </w:rPr>
        <w:t>, Impact, Institutions, Journals, Methods, Papers, Publications, Research, Research Output, Researchers, Science, Scopus</w:t>
      </w:r>
      <w:r w:rsidR="00D5664A">
        <w:rPr>
          <w:kern w:val="0"/>
        </w:rPr>
        <w:t>, UK,</w:t>
      </w:r>
      <w:r>
        <w:rPr>
          <w:kern w:val="0"/>
        </w:rPr>
        <w:t xml:space="preserve"> United-Kingdom, Web, </w:t>
      </w:r>
      <w:r w:rsidR="00D5664A">
        <w:rPr>
          <w:kern w:val="0"/>
        </w:rPr>
        <w:t>Web</w:t>
      </w:r>
      <w:r w:rsidR="00427468">
        <w:rPr>
          <w:kern w:val="0"/>
        </w:rPr>
        <w:t xml:space="preserve"> of </w:t>
      </w:r>
      <w:r w:rsidR="00D5664A">
        <w:rPr>
          <w:kern w:val="0"/>
        </w:rPr>
        <w:t>Science</w:t>
      </w:r>
    </w:p>
    <w:p w:rsidR="009E4029" w:rsidRDefault="009E4029" w:rsidP="009E4029">
      <w:pPr>
        <w:pStyle w:val="a3"/>
        <w:rPr>
          <w:kern w:val="0"/>
        </w:rPr>
      </w:pPr>
      <w:r>
        <w:rPr>
          <w:rFonts w:hint="eastAsia"/>
          <w:kern w:val="0"/>
        </w:rPr>
        <w:lastRenderedPageBreak/>
        <w:t xml:space="preserve">? </w:t>
      </w:r>
      <w:r>
        <w:rPr>
          <w:kern w:val="0"/>
        </w:rPr>
        <w:t>Pagel, P.S.</w:t>
      </w:r>
      <w:r w:rsidR="005853A9">
        <w:rPr>
          <w:kern w:val="0"/>
        </w:rPr>
        <w:t xml:space="preserve"> and </w:t>
      </w:r>
      <w:r>
        <w:rPr>
          <w:kern w:val="0"/>
        </w:rPr>
        <w:t>Hudetz, J.A. (2011), Bibliometric analysis</w:t>
      </w:r>
      <w:r w:rsidR="00427468">
        <w:rPr>
          <w:kern w:val="0"/>
        </w:rPr>
        <w:t xml:space="preserve"> of </w:t>
      </w:r>
      <w:r>
        <w:rPr>
          <w:kern w:val="0"/>
        </w:rPr>
        <w:t>anaesthesia journal editorial board members: Correlation between journal impact factor</w:t>
      </w:r>
      <w:r w:rsidR="005853A9">
        <w:rPr>
          <w:kern w:val="0"/>
        </w:rPr>
        <w:t xml:space="preserve"> and </w:t>
      </w:r>
      <w:r w:rsidR="003A1917">
        <w:rPr>
          <w:kern w:val="0"/>
        </w:rPr>
        <w:t xml:space="preserve">the </w:t>
      </w:r>
      <w:r>
        <w:rPr>
          <w:kern w:val="0"/>
        </w:rPr>
        <w:t xml:space="preserve">median </w:t>
      </w:r>
      <w:r w:rsidR="00D5664A">
        <w:rPr>
          <w:kern w:val="0"/>
        </w:rPr>
        <w:t>h-Index</w:t>
      </w:r>
      <w:r w:rsidR="00427468">
        <w:rPr>
          <w:kern w:val="0"/>
        </w:rPr>
        <w:t xml:space="preserve"> of </w:t>
      </w:r>
      <w:r>
        <w:rPr>
          <w:kern w:val="0"/>
        </w:rPr>
        <w:t xml:space="preserve">its board members. </w:t>
      </w:r>
      <w:r>
        <w:rPr>
          <w:i/>
          <w:iCs/>
          <w:kern w:val="0"/>
        </w:rPr>
        <w:t>British Journal</w:t>
      </w:r>
      <w:r w:rsidR="00427468">
        <w:rPr>
          <w:i/>
          <w:iCs/>
          <w:kern w:val="0"/>
        </w:rPr>
        <w:t xml:space="preserve"> of </w:t>
      </w:r>
      <w:r>
        <w:rPr>
          <w:i/>
          <w:iCs/>
          <w:kern w:val="0"/>
        </w:rPr>
        <w:t>Anaesthesia</w:t>
      </w:r>
      <w:r>
        <w:rPr>
          <w:kern w:val="0"/>
        </w:rPr>
        <w:t xml:space="preserve">, </w:t>
      </w:r>
      <w:r>
        <w:rPr>
          <w:b/>
          <w:bCs/>
          <w:kern w:val="0"/>
        </w:rPr>
        <w:t>107</w:t>
      </w:r>
      <w:r>
        <w:rPr>
          <w:kern w:val="0"/>
        </w:rPr>
        <w:t xml:space="preserve"> (3), 357-361.</w:t>
      </w:r>
    </w:p>
    <w:p w:rsidR="009E4029" w:rsidRPr="001A3D2B" w:rsidRDefault="009E4029" w:rsidP="009E4029">
      <w:pPr>
        <w:pStyle w:val="a3"/>
      </w:pPr>
      <w:r w:rsidRPr="001A3D2B">
        <w:t xml:space="preserve">Full Text: </w:t>
      </w:r>
      <w:hyperlink r:id="rId1863" w:history="1">
        <w:r w:rsidRPr="00AA1E51">
          <w:rPr>
            <w:rStyle w:val="a5"/>
          </w:rPr>
          <w:t>2011\Bri J Ana107, 357.pdf</w:t>
        </w:r>
      </w:hyperlink>
    </w:p>
    <w:p w:rsidR="009E4029" w:rsidRDefault="009E4029" w:rsidP="009E4029">
      <w:pPr>
        <w:pStyle w:val="a3"/>
        <w:rPr>
          <w:kern w:val="0"/>
        </w:rPr>
      </w:pPr>
      <w:r>
        <w:rPr>
          <w:kern w:val="0"/>
        </w:rPr>
        <w:t xml:space="preserve">Abstract: Background. </w:t>
      </w:r>
      <w:r w:rsidR="00D5664A">
        <w:rPr>
          <w:kern w:val="0"/>
        </w:rPr>
        <w:t>h-Index</w:t>
      </w:r>
      <w:r>
        <w:rPr>
          <w:kern w:val="0"/>
        </w:rPr>
        <w:t xml:space="preserve"> is useful for quantifying scholarly activity in medicine, but this statistic has not been extensively applied as a measure</w:t>
      </w:r>
      <w:r w:rsidR="00427468">
        <w:rPr>
          <w:kern w:val="0"/>
        </w:rPr>
        <w:t xml:space="preserve"> of </w:t>
      </w:r>
      <w:r>
        <w:rPr>
          <w:kern w:val="0"/>
        </w:rPr>
        <w:t>productivity in anaesthesia. We conducted a bibliometric analysis</w:t>
      </w:r>
      <w:r w:rsidR="00427468">
        <w:rPr>
          <w:kern w:val="0"/>
        </w:rPr>
        <w:t xml:space="preserve"> of </w:t>
      </w:r>
      <w:r w:rsidR="00D5664A">
        <w:rPr>
          <w:kern w:val="0"/>
        </w:rPr>
        <w:t>h-Index</w:t>
      </w:r>
      <w:r>
        <w:rPr>
          <w:kern w:val="0"/>
        </w:rPr>
        <w:t xml:space="preserve"> in editorial board members</w:t>
      </w:r>
      <w:r w:rsidR="005853A9">
        <w:rPr>
          <w:kern w:val="0"/>
        </w:rPr>
        <w:t xml:space="preserve"> and </w:t>
      </w:r>
      <w:r>
        <w:rPr>
          <w:kern w:val="0"/>
        </w:rPr>
        <w:t>tested</w:t>
      </w:r>
      <w:r w:rsidR="003A1917">
        <w:rPr>
          <w:kern w:val="0"/>
        </w:rPr>
        <w:t xml:space="preserve"> the </w:t>
      </w:r>
      <w:r>
        <w:rPr>
          <w:kern w:val="0"/>
        </w:rPr>
        <w:t>hypothesis that editorial board members</w:t>
      </w:r>
      <w:r w:rsidR="00427468">
        <w:rPr>
          <w:kern w:val="0"/>
        </w:rPr>
        <w:t xml:space="preserve"> of </w:t>
      </w:r>
      <w:r>
        <w:rPr>
          <w:kern w:val="0"/>
        </w:rPr>
        <w:t>anaesthesia journals with higher impact factors (IFs) have higher h-indices. Methods. Ten</w:t>
      </w:r>
      <w:r w:rsidR="00427468">
        <w:rPr>
          <w:kern w:val="0"/>
        </w:rPr>
        <w:t xml:space="preserve"> of </w:t>
      </w:r>
      <w:r>
        <w:rPr>
          <w:kern w:val="0"/>
        </w:rPr>
        <w:t>19 journals with 2009 IF&gt;1 were randomly chosen from Journal Citation Reports (R). Board members were identified using each journal</w:t>
      </w:r>
      <w:r w:rsidR="00700038">
        <w:rPr>
          <w:kern w:val="0"/>
        </w:rPr>
        <w:t>’</w:t>
      </w:r>
      <w:r w:rsidR="00C13DDC">
        <w:rPr>
          <w:kern w:val="0"/>
        </w:rPr>
        <w:t>s</w:t>
      </w:r>
      <w:r>
        <w:rPr>
          <w:kern w:val="0"/>
        </w:rPr>
        <w:t xml:space="preserve"> website. Publications, citations, citations per publication,</w:t>
      </w:r>
      <w:r w:rsidR="005853A9">
        <w:rPr>
          <w:kern w:val="0"/>
        </w:rPr>
        <w:t xml:space="preserve"> and </w:t>
      </w:r>
      <w:r w:rsidR="00D5664A">
        <w:rPr>
          <w:kern w:val="0"/>
        </w:rPr>
        <w:t>h-Index</w:t>
      </w:r>
      <w:r>
        <w:rPr>
          <w:kern w:val="0"/>
        </w:rPr>
        <w:t xml:space="preserve"> for each member were obtained using Scopus (R). Results. Four hundred</w:t>
      </w:r>
      <w:r w:rsidR="005853A9">
        <w:rPr>
          <w:kern w:val="0"/>
        </w:rPr>
        <w:t xml:space="preserve"> and </w:t>
      </w:r>
      <w:r>
        <w:rPr>
          <w:kern w:val="0"/>
        </w:rPr>
        <w:t>twenty-three individuals filled 481 anaesthesia editorial board positions</w:t>
      </w:r>
      <w:r w:rsidR="00A37C1D">
        <w:rPr>
          <w:kern w:val="0"/>
        </w:rPr>
        <w:t>. The</w:t>
      </w:r>
      <w:r w:rsidR="003A1917">
        <w:rPr>
          <w:kern w:val="0"/>
        </w:rPr>
        <w:t xml:space="preserve"> </w:t>
      </w:r>
      <w:r>
        <w:rPr>
          <w:kern w:val="0"/>
        </w:rPr>
        <w:t xml:space="preserve">median </w:t>
      </w:r>
      <w:r w:rsidR="00D5664A">
        <w:rPr>
          <w:kern w:val="0"/>
        </w:rPr>
        <w:t>h-Index</w:t>
      </w:r>
      <w:r w:rsidR="00427468">
        <w:rPr>
          <w:kern w:val="0"/>
        </w:rPr>
        <w:t xml:space="preserve"> of </w:t>
      </w:r>
      <w:r>
        <w:rPr>
          <w:kern w:val="0"/>
        </w:rPr>
        <w:t>all editorial board members was 14. Board members published 75 papers (median) with 1006 citations</w:t>
      </w:r>
      <w:r w:rsidR="005853A9">
        <w:rPr>
          <w:kern w:val="0"/>
        </w:rPr>
        <w:t xml:space="preserve"> and </w:t>
      </w:r>
      <w:r>
        <w:rPr>
          <w:kern w:val="0"/>
        </w:rPr>
        <w:t>13 citations per publication. Members serving on journals with IF greater than median had significantly (P&lt;0.05; Wilcoxon</w:t>
      </w:r>
      <w:r w:rsidR="00700038">
        <w:rPr>
          <w:kern w:val="0"/>
        </w:rPr>
        <w:t>’</w:t>
      </w:r>
      <w:r w:rsidR="00C13DDC">
        <w:rPr>
          <w:kern w:val="0"/>
        </w:rPr>
        <w:t>s</w:t>
      </w:r>
      <w:r>
        <w:rPr>
          <w:kern w:val="0"/>
        </w:rPr>
        <w:t xml:space="preserve"> rank-sum test) greater median </w:t>
      </w:r>
      <w:r w:rsidR="00D5664A">
        <w:rPr>
          <w:kern w:val="0"/>
        </w:rPr>
        <w:t>h-Index</w:t>
      </w:r>
      <w:r>
        <w:rPr>
          <w:kern w:val="0"/>
        </w:rPr>
        <w:t>, citations,</w:t>
      </w:r>
      <w:r w:rsidR="005853A9">
        <w:rPr>
          <w:kern w:val="0"/>
        </w:rPr>
        <w:t xml:space="preserve"> and </w:t>
      </w:r>
      <w:r>
        <w:rPr>
          <w:kern w:val="0"/>
        </w:rPr>
        <w:t>citations per publication than those at journals with IF less than median. A significant correlation between</w:t>
      </w:r>
      <w:r w:rsidR="003A1917">
        <w:rPr>
          <w:kern w:val="0"/>
        </w:rPr>
        <w:t xml:space="preserve"> the </w:t>
      </w:r>
      <w:r>
        <w:rPr>
          <w:kern w:val="0"/>
        </w:rPr>
        <w:t xml:space="preserve">median </w:t>
      </w:r>
      <w:r w:rsidR="00D5664A">
        <w:rPr>
          <w:kern w:val="0"/>
        </w:rPr>
        <w:t>h-Index</w:t>
      </w:r>
      <w:r w:rsidR="00427468">
        <w:rPr>
          <w:kern w:val="0"/>
        </w:rPr>
        <w:t xml:space="preserve"> of </w:t>
      </w:r>
      <w:r>
        <w:rPr>
          <w:kern w:val="0"/>
        </w:rPr>
        <w:t>a journal</w:t>
      </w:r>
      <w:r w:rsidR="00700038">
        <w:rPr>
          <w:kern w:val="0"/>
        </w:rPr>
        <w:t>’</w:t>
      </w:r>
      <w:r w:rsidR="00C13DDC">
        <w:rPr>
          <w:kern w:val="0"/>
        </w:rPr>
        <w:t>s</w:t>
      </w:r>
      <w:r>
        <w:rPr>
          <w:kern w:val="0"/>
        </w:rPr>
        <w:t xml:space="preserve"> editorial board members</w:t>
      </w:r>
      <w:r w:rsidR="005853A9">
        <w:rPr>
          <w:kern w:val="0"/>
        </w:rPr>
        <w:t xml:space="preserve"> and </w:t>
      </w:r>
      <w:r>
        <w:rPr>
          <w:kern w:val="0"/>
        </w:rPr>
        <w:t>its IF (</w:t>
      </w:r>
      <w:r w:rsidR="00D5664A">
        <w:rPr>
          <w:kern w:val="0"/>
        </w:rPr>
        <w:t>h-Index</w:t>
      </w:r>
      <w:r>
        <w:rPr>
          <w:kern w:val="0"/>
        </w:rPr>
        <w:t xml:space="preserve"> 3.01xIF+6.85; r(2)=0.452; P=0.033) was observed for</w:t>
      </w:r>
      <w:r w:rsidR="003A1917">
        <w:rPr>
          <w:kern w:val="0"/>
        </w:rPr>
        <w:t xml:space="preserve"> the </w:t>
      </w:r>
      <w:r>
        <w:rPr>
          <w:kern w:val="0"/>
        </w:rPr>
        <w:t>10 journals examined. Board members</w:t>
      </w:r>
      <w:r w:rsidR="00427468">
        <w:rPr>
          <w:kern w:val="0"/>
        </w:rPr>
        <w:t xml:space="preserve"> of </w:t>
      </w:r>
      <w:r>
        <w:rPr>
          <w:kern w:val="0"/>
        </w:rPr>
        <w:t>subspeciality-specific journals had bibliometric indices that were less than those at general journals</w:t>
      </w:r>
      <w:r w:rsidR="00A37C1D">
        <w:rPr>
          <w:kern w:val="0"/>
        </w:rPr>
        <w:t>. The</w:t>
      </w:r>
      <w:r w:rsidR="003A1917">
        <w:rPr>
          <w:kern w:val="0"/>
        </w:rPr>
        <w:t xml:space="preserve"> </w:t>
      </w:r>
      <w:r w:rsidR="00D5664A">
        <w:rPr>
          <w:kern w:val="0"/>
        </w:rPr>
        <w:t>h-Index</w:t>
      </w:r>
      <w:r>
        <w:rPr>
          <w:kern w:val="0"/>
        </w:rPr>
        <w:t xml:space="preserve"> was greater in individuals serving more than one journal. European editorial board members had higher </w:t>
      </w:r>
      <w:r w:rsidR="00D5664A">
        <w:rPr>
          <w:kern w:val="0"/>
        </w:rPr>
        <w:t>h-Index</w:t>
      </w:r>
      <w:r>
        <w:rPr>
          <w:kern w:val="0"/>
        </w:rPr>
        <w:t xml:space="preserve"> values than their American colleagues. Conclusions</w:t>
      </w:r>
      <w:r w:rsidR="00A37C1D">
        <w:rPr>
          <w:kern w:val="0"/>
        </w:rPr>
        <w:t>. The</w:t>
      </w:r>
      <w:r w:rsidR="003A1917">
        <w:rPr>
          <w:kern w:val="0"/>
        </w:rPr>
        <w:t xml:space="preserve"> </w:t>
      </w:r>
      <w:r>
        <w:rPr>
          <w:kern w:val="0"/>
        </w:rPr>
        <w:t>results suggest that editorial board members</w:t>
      </w:r>
      <w:r w:rsidR="00427468">
        <w:rPr>
          <w:kern w:val="0"/>
        </w:rPr>
        <w:t xml:space="preserve"> of </w:t>
      </w:r>
      <w:r>
        <w:rPr>
          <w:kern w:val="0"/>
        </w:rPr>
        <w:t>anaesthesia journals with higher IFs have higher h-indices.</w:t>
      </w:r>
    </w:p>
    <w:p w:rsidR="009E4029" w:rsidRDefault="009E4029" w:rsidP="009E4029">
      <w:pPr>
        <w:pStyle w:val="a3"/>
        <w:rPr>
          <w:kern w:val="0"/>
        </w:rPr>
      </w:pPr>
      <w:r>
        <w:rPr>
          <w:kern w:val="0"/>
        </w:rPr>
        <w:t xml:space="preserve">Keywords: Academic Anaesthesia, Anaesthesia, Analysis, Bibliometric, Bibliometric Analysis, Bibliometric Indices, Bibliometrics, Citation, Citations, </w:t>
      </w:r>
      <w:r w:rsidR="00D5664A">
        <w:rPr>
          <w:kern w:val="0"/>
        </w:rPr>
        <w:t>h Index</w:t>
      </w:r>
      <w:r>
        <w:rPr>
          <w:kern w:val="0"/>
        </w:rPr>
        <w:t xml:space="preserve">, </w:t>
      </w:r>
      <w:r w:rsidR="00D5664A">
        <w:rPr>
          <w:rFonts w:hint="eastAsia"/>
          <w:kern w:val="0"/>
        </w:rPr>
        <w:t>h-Index</w:t>
      </w:r>
      <w:r>
        <w:rPr>
          <w:kern w:val="0"/>
        </w:rPr>
        <w:t xml:space="preserve">, </w:t>
      </w:r>
      <w:r>
        <w:rPr>
          <w:rFonts w:hint="eastAsia"/>
          <w:kern w:val="0"/>
        </w:rPr>
        <w:t>h</w:t>
      </w:r>
      <w:r>
        <w:rPr>
          <w:kern w:val="0"/>
        </w:rPr>
        <w:t>-Indices, Impact, Impact Factor, Impact Factors, Journal, Journal Citation Reports, Journal Impact Factor, Journals, Medicine, Methods, Papers, Performance Measures, Power, Productivity, Publication, Publications, Scopus, Self-Citations</w:t>
      </w:r>
    </w:p>
    <w:p w:rsidR="00C6271C" w:rsidRDefault="00C6271C" w:rsidP="00FE0B89">
      <w:pPr>
        <w:pStyle w:val="a3"/>
        <w:rPr>
          <w:kern w:val="0"/>
          <w:szCs w:val="24"/>
        </w:rPr>
      </w:pPr>
      <w:r>
        <w:rPr>
          <w:rFonts w:hint="eastAsia"/>
          <w:kern w:val="0"/>
          <w:szCs w:val="24"/>
        </w:rPr>
        <w:t>Notes: CCountry</w:t>
      </w:r>
    </w:p>
    <w:p w:rsidR="00FE0B89" w:rsidRDefault="00FE0B89" w:rsidP="00FE0B89">
      <w:pPr>
        <w:pStyle w:val="a3"/>
        <w:rPr>
          <w:kern w:val="0"/>
          <w:szCs w:val="24"/>
        </w:rPr>
      </w:pPr>
      <w:r>
        <w:rPr>
          <w:rFonts w:hint="eastAsia"/>
          <w:kern w:val="0"/>
          <w:szCs w:val="24"/>
        </w:rPr>
        <w:t xml:space="preserve">? </w:t>
      </w:r>
      <w:r>
        <w:rPr>
          <w:kern w:val="0"/>
          <w:szCs w:val="24"/>
        </w:rPr>
        <w:t>O</w:t>
      </w:r>
      <w:r w:rsidR="00700038">
        <w:rPr>
          <w:kern w:val="0"/>
          <w:szCs w:val="24"/>
        </w:rPr>
        <w:t>’</w:t>
      </w:r>
      <w:r>
        <w:rPr>
          <w:kern w:val="0"/>
          <w:szCs w:val="24"/>
        </w:rPr>
        <w:t>Leary, J.D. (2012), Bibliometrics</w:t>
      </w:r>
      <w:r w:rsidR="00427468">
        <w:rPr>
          <w:kern w:val="0"/>
          <w:szCs w:val="24"/>
        </w:rPr>
        <w:t xml:space="preserve"> of </w:t>
      </w:r>
      <w:r>
        <w:rPr>
          <w:kern w:val="0"/>
          <w:szCs w:val="24"/>
        </w:rPr>
        <w:t>anaesthesia researchers in</w:t>
      </w:r>
      <w:r w:rsidR="003A1917">
        <w:rPr>
          <w:kern w:val="0"/>
          <w:szCs w:val="24"/>
        </w:rPr>
        <w:t xml:space="preserve"> the </w:t>
      </w:r>
      <w:r>
        <w:rPr>
          <w:kern w:val="0"/>
          <w:szCs w:val="24"/>
        </w:rPr>
        <w:t xml:space="preserve">UK. </w:t>
      </w:r>
      <w:r>
        <w:rPr>
          <w:i/>
          <w:iCs/>
          <w:kern w:val="0"/>
          <w:szCs w:val="24"/>
        </w:rPr>
        <w:t>British Journal</w:t>
      </w:r>
      <w:r w:rsidR="00427468">
        <w:rPr>
          <w:i/>
          <w:iCs/>
          <w:kern w:val="0"/>
          <w:szCs w:val="24"/>
        </w:rPr>
        <w:t xml:space="preserve"> of </w:t>
      </w:r>
      <w:r>
        <w:rPr>
          <w:i/>
          <w:iCs/>
          <w:kern w:val="0"/>
          <w:szCs w:val="24"/>
        </w:rPr>
        <w:t>Anaesthesia</w:t>
      </w:r>
      <w:r>
        <w:rPr>
          <w:kern w:val="0"/>
          <w:szCs w:val="24"/>
        </w:rPr>
        <w:t xml:space="preserve">, </w:t>
      </w:r>
      <w:r>
        <w:rPr>
          <w:b/>
          <w:bCs/>
          <w:kern w:val="0"/>
          <w:szCs w:val="24"/>
        </w:rPr>
        <w:t>108</w:t>
      </w:r>
      <w:r>
        <w:rPr>
          <w:kern w:val="0"/>
          <w:szCs w:val="24"/>
        </w:rPr>
        <w:t xml:space="preserve"> (1), 164-165</w:t>
      </w:r>
      <w:r>
        <w:rPr>
          <w:rFonts w:hint="eastAsia"/>
          <w:kern w:val="0"/>
          <w:szCs w:val="24"/>
        </w:rPr>
        <w:t>.</w:t>
      </w:r>
    </w:p>
    <w:p w:rsidR="00FE0B89" w:rsidRPr="001A3D2B" w:rsidRDefault="00FE0B89" w:rsidP="00FE0B89">
      <w:pPr>
        <w:pStyle w:val="a3"/>
      </w:pPr>
      <w:r w:rsidRPr="001A3D2B">
        <w:t xml:space="preserve">Full Text: </w:t>
      </w:r>
      <w:hyperlink r:id="rId1864" w:history="1">
        <w:r w:rsidRPr="00FE0B89">
          <w:rPr>
            <w:rStyle w:val="a5"/>
          </w:rPr>
          <w:t>2012\Bri J Ana108, 164.pdf</w:t>
        </w:r>
      </w:hyperlink>
    </w:p>
    <w:p w:rsidR="00FE0B89" w:rsidRDefault="00FE0B89" w:rsidP="00FE0B89">
      <w:pPr>
        <w:pStyle w:val="a3"/>
        <w:rPr>
          <w:kern w:val="0"/>
          <w:szCs w:val="24"/>
        </w:rPr>
      </w:pPr>
      <w:r>
        <w:rPr>
          <w:kern w:val="0"/>
          <w:szCs w:val="24"/>
        </w:rPr>
        <w:t>Keywords: Anaesthesia, Bibliometrics, Researchers, UK</w:t>
      </w:r>
    </w:p>
    <w:p w:rsidR="00FE0B89" w:rsidRDefault="00FE0B89" w:rsidP="00FE0B89">
      <w:pPr>
        <w:pStyle w:val="a3"/>
        <w:rPr>
          <w:kern w:val="0"/>
          <w:szCs w:val="24"/>
        </w:rPr>
      </w:pPr>
      <w:r>
        <w:rPr>
          <w:rFonts w:hint="eastAsia"/>
          <w:kern w:val="0"/>
          <w:szCs w:val="24"/>
        </w:rPr>
        <w:t xml:space="preserve">? </w:t>
      </w:r>
      <w:r>
        <w:rPr>
          <w:kern w:val="0"/>
          <w:szCs w:val="24"/>
        </w:rPr>
        <w:t>Moppett, I.K.</w:t>
      </w:r>
      <w:r w:rsidR="005853A9">
        <w:rPr>
          <w:kern w:val="0"/>
          <w:szCs w:val="24"/>
        </w:rPr>
        <w:t xml:space="preserve"> and </w:t>
      </w:r>
      <w:r>
        <w:rPr>
          <w:kern w:val="0"/>
          <w:szCs w:val="24"/>
        </w:rPr>
        <w:t>Hardman, J.G. (2012), Bibliometrics</w:t>
      </w:r>
      <w:r w:rsidR="00427468">
        <w:rPr>
          <w:kern w:val="0"/>
          <w:szCs w:val="24"/>
        </w:rPr>
        <w:t xml:space="preserve"> of </w:t>
      </w:r>
      <w:r>
        <w:rPr>
          <w:kern w:val="0"/>
          <w:szCs w:val="24"/>
        </w:rPr>
        <w:t>anaesthesia researchers in</w:t>
      </w:r>
      <w:r w:rsidR="003A1917">
        <w:rPr>
          <w:kern w:val="0"/>
          <w:szCs w:val="24"/>
        </w:rPr>
        <w:t xml:space="preserve"> the </w:t>
      </w:r>
      <w:r>
        <w:rPr>
          <w:kern w:val="0"/>
          <w:szCs w:val="24"/>
        </w:rPr>
        <w:t xml:space="preserve">UK Reply. </w:t>
      </w:r>
      <w:r>
        <w:rPr>
          <w:i/>
          <w:iCs/>
          <w:kern w:val="0"/>
          <w:szCs w:val="24"/>
        </w:rPr>
        <w:t>British Journal</w:t>
      </w:r>
      <w:r w:rsidR="00427468">
        <w:rPr>
          <w:i/>
          <w:iCs/>
          <w:kern w:val="0"/>
          <w:szCs w:val="24"/>
        </w:rPr>
        <w:t xml:space="preserve"> of </w:t>
      </w:r>
      <w:r>
        <w:rPr>
          <w:i/>
          <w:iCs/>
          <w:kern w:val="0"/>
          <w:szCs w:val="24"/>
        </w:rPr>
        <w:t>Anaesthesia</w:t>
      </w:r>
      <w:r>
        <w:rPr>
          <w:kern w:val="0"/>
          <w:szCs w:val="24"/>
        </w:rPr>
        <w:t xml:space="preserve">, </w:t>
      </w:r>
      <w:r>
        <w:rPr>
          <w:b/>
          <w:bCs/>
          <w:kern w:val="0"/>
          <w:szCs w:val="24"/>
        </w:rPr>
        <w:t>108</w:t>
      </w:r>
      <w:r>
        <w:rPr>
          <w:kern w:val="0"/>
          <w:szCs w:val="24"/>
        </w:rPr>
        <w:t xml:space="preserve"> (1), 165</w:t>
      </w:r>
      <w:r>
        <w:rPr>
          <w:rFonts w:hint="eastAsia"/>
          <w:kern w:val="0"/>
          <w:szCs w:val="24"/>
        </w:rPr>
        <w:t>.</w:t>
      </w:r>
    </w:p>
    <w:p w:rsidR="00FE0B89" w:rsidRPr="001A3D2B" w:rsidRDefault="00FE0B89" w:rsidP="00FE0B89">
      <w:pPr>
        <w:pStyle w:val="a3"/>
      </w:pPr>
      <w:r w:rsidRPr="001A3D2B">
        <w:t xml:space="preserve">Full Text: </w:t>
      </w:r>
      <w:hyperlink r:id="rId1865" w:history="1">
        <w:r w:rsidRPr="00FE0B89">
          <w:rPr>
            <w:rStyle w:val="a5"/>
          </w:rPr>
          <w:t>2012\Bri J Ana108, 165.pdf</w:t>
        </w:r>
      </w:hyperlink>
    </w:p>
    <w:p w:rsidR="00FE0B89" w:rsidRDefault="00FE0B89" w:rsidP="00FE0B89">
      <w:pPr>
        <w:pStyle w:val="a3"/>
        <w:rPr>
          <w:kern w:val="0"/>
          <w:szCs w:val="24"/>
        </w:rPr>
      </w:pPr>
      <w:r>
        <w:rPr>
          <w:kern w:val="0"/>
          <w:szCs w:val="24"/>
        </w:rPr>
        <w:lastRenderedPageBreak/>
        <w:t>Keywords: Anaesthesia, Bibliometrics, Index, Researchers, UK</w:t>
      </w:r>
    </w:p>
    <w:p w:rsidR="00614273" w:rsidRDefault="00614273" w:rsidP="00614273">
      <w:pPr>
        <w:pStyle w:val="a3"/>
        <w:rPr>
          <w:kern w:val="0"/>
        </w:rPr>
      </w:pPr>
      <w:r>
        <w:rPr>
          <w:rFonts w:hint="eastAsia"/>
          <w:kern w:val="0"/>
        </w:rPr>
        <w:t>Notes: JJournal</w:t>
      </w:r>
    </w:p>
    <w:p w:rsidR="00614273" w:rsidRDefault="00614273" w:rsidP="00614273">
      <w:pPr>
        <w:pStyle w:val="a3"/>
        <w:rPr>
          <w:kern w:val="0"/>
        </w:rPr>
      </w:pPr>
      <w:r>
        <w:rPr>
          <w:rFonts w:hint="eastAsia"/>
          <w:kern w:val="0"/>
        </w:rPr>
        <w:t xml:space="preserve">? </w:t>
      </w:r>
      <w:r>
        <w:rPr>
          <w:kern w:val="0"/>
        </w:rPr>
        <w:t>Ross, A.J., Kodate, N., Anderson, J.E., Thomas, L.</w:t>
      </w:r>
      <w:r w:rsidR="005853A9">
        <w:rPr>
          <w:kern w:val="0"/>
        </w:rPr>
        <w:t xml:space="preserve"> and </w:t>
      </w:r>
      <w:r>
        <w:rPr>
          <w:kern w:val="0"/>
        </w:rPr>
        <w:t>Jaye, P. (2012), Review</w:t>
      </w:r>
      <w:r w:rsidR="00427468">
        <w:rPr>
          <w:kern w:val="0"/>
        </w:rPr>
        <w:t xml:space="preserve"> of </w:t>
      </w:r>
      <w:r>
        <w:rPr>
          <w:kern w:val="0"/>
        </w:rPr>
        <w:t>simulation studies in anaesthesia journals, 2001-2010: Mapping</w:t>
      </w:r>
      <w:r w:rsidR="005853A9">
        <w:rPr>
          <w:kern w:val="0"/>
        </w:rPr>
        <w:t xml:space="preserve"> and </w:t>
      </w:r>
      <w:r>
        <w:rPr>
          <w:kern w:val="0"/>
        </w:rPr>
        <w:t xml:space="preserve">content analysis. </w:t>
      </w:r>
      <w:r>
        <w:rPr>
          <w:i/>
          <w:iCs/>
          <w:kern w:val="0"/>
        </w:rPr>
        <w:t>British Journal</w:t>
      </w:r>
      <w:r w:rsidR="00427468">
        <w:rPr>
          <w:i/>
          <w:iCs/>
          <w:kern w:val="0"/>
        </w:rPr>
        <w:t xml:space="preserve"> of </w:t>
      </w:r>
      <w:r>
        <w:rPr>
          <w:i/>
          <w:iCs/>
          <w:kern w:val="0"/>
        </w:rPr>
        <w:t>Anaesthesia</w:t>
      </w:r>
      <w:r>
        <w:rPr>
          <w:kern w:val="0"/>
        </w:rPr>
        <w:t xml:space="preserve">, </w:t>
      </w:r>
      <w:r>
        <w:rPr>
          <w:b/>
          <w:bCs/>
          <w:kern w:val="0"/>
        </w:rPr>
        <w:t>109</w:t>
      </w:r>
      <w:r>
        <w:rPr>
          <w:kern w:val="0"/>
        </w:rPr>
        <w:t xml:space="preserve"> (1), 99-109.</w:t>
      </w:r>
    </w:p>
    <w:p w:rsidR="00614273" w:rsidRPr="001A3D2B" w:rsidRDefault="00614273" w:rsidP="00614273">
      <w:pPr>
        <w:pStyle w:val="a3"/>
      </w:pPr>
      <w:r w:rsidRPr="001A3D2B">
        <w:t xml:space="preserve">Full Text: </w:t>
      </w:r>
      <w:hyperlink r:id="rId1866" w:history="1">
        <w:r w:rsidRPr="00021D31">
          <w:rPr>
            <w:rStyle w:val="a5"/>
          </w:rPr>
          <w:t>2012\Bri J Ana109, 99.pdf</w:t>
        </w:r>
      </w:hyperlink>
    </w:p>
    <w:p w:rsidR="00614273" w:rsidRDefault="00614273" w:rsidP="00614273">
      <w:pPr>
        <w:pStyle w:val="a3"/>
        <w:rPr>
          <w:kern w:val="0"/>
        </w:rPr>
      </w:pPr>
      <w:r>
        <w:rPr>
          <w:kern w:val="0"/>
        </w:rPr>
        <w:t>Abstract: Despite widespread adoption</w:t>
      </w:r>
      <w:r w:rsidR="00427468">
        <w:rPr>
          <w:kern w:val="0"/>
        </w:rPr>
        <w:t xml:space="preserve"> of </w:t>
      </w:r>
      <w:r>
        <w:rPr>
          <w:kern w:val="0"/>
        </w:rPr>
        <w:t>simulation-based training in medical education, there remains scepticism about its cost-effectiveness</w:t>
      </w:r>
      <w:r w:rsidR="005853A9">
        <w:rPr>
          <w:kern w:val="0"/>
        </w:rPr>
        <w:t xml:space="preserve"> and </w:t>
      </w:r>
      <w:r>
        <w:rPr>
          <w:kern w:val="0"/>
        </w:rPr>
        <w:t>long-term impact on patient outcomes. Medical simulation is well established in anaesthesia where it is considered an important educational tool. This review</w:t>
      </w:r>
      <w:r w:rsidR="00427468">
        <w:rPr>
          <w:kern w:val="0"/>
        </w:rPr>
        <w:t xml:space="preserve"> of </w:t>
      </w:r>
      <w:r>
        <w:rPr>
          <w:kern w:val="0"/>
        </w:rPr>
        <w:t>key clinical anaesthesia literature is used as a case study</w:t>
      </w:r>
      <w:r w:rsidR="00427468">
        <w:rPr>
          <w:kern w:val="0"/>
        </w:rPr>
        <w:t xml:space="preserve"> of </w:t>
      </w:r>
      <w:r>
        <w:rPr>
          <w:kern w:val="0"/>
        </w:rPr>
        <w:t>clinician uptake within a specialty</w:t>
      </w:r>
      <w:r w:rsidR="005853A9">
        <w:rPr>
          <w:kern w:val="0"/>
        </w:rPr>
        <w:t xml:space="preserve"> and </w:t>
      </w:r>
      <w:r>
        <w:rPr>
          <w:kern w:val="0"/>
        </w:rPr>
        <w:t>to investigate evidence for translational impact using both qualitative</w:t>
      </w:r>
      <w:r w:rsidR="005853A9">
        <w:rPr>
          <w:kern w:val="0"/>
        </w:rPr>
        <w:t xml:space="preserve"> and </w:t>
      </w:r>
      <w:r>
        <w:rPr>
          <w:kern w:val="0"/>
        </w:rPr>
        <w:t>quantitative data. We examined high-impact journal publications from 2001 to 2010</w:t>
      </w:r>
      <w:r w:rsidR="005853A9">
        <w:rPr>
          <w:kern w:val="0"/>
        </w:rPr>
        <w:t xml:space="preserve"> and </w:t>
      </w:r>
      <w:r>
        <w:rPr>
          <w:kern w:val="0"/>
        </w:rPr>
        <w:t>extracted data covering authors, institutions, simulation modality, purposes</w:t>
      </w:r>
      <w:r w:rsidR="00427468">
        <w:rPr>
          <w:kern w:val="0"/>
        </w:rPr>
        <w:t xml:space="preserve"> of </w:t>
      </w:r>
      <w:r>
        <w:rPr>
          <w:kern w:val="0"/>
        </w:rPr>
        <w:t>simulation,</w:t>
      </w:r>
      <w:r w:rsidR="005853A9">
        <w:rPr>
          <w:kern w:val="0"/>
        </w:rPr>
        <w:t xml:space="preserve"> and </w:t>
      </w:r>
      <w:r>
        <w:rPr>
          <w:kern w:val="0"/>
        </w:rPr>
        <w:t>various aspects</w:t>
      </w:r>
      <w:r w:rsidR="00427468">
        <w:rPr>
          <w:kern w:val="0"/>
        </w:rPr>
        <w:t xml:space="preserve"> of </w:t>
      </w:r>
      <w:r>
        <w:rPr>
          <w:kern w:val="0"/>
        </w:rPr>
        <w:t>study design/methodology used. A total</w:t>
      </w:r>
      <w:r w:rsidR="00427468">
        <w:rPr>
          <w:kern w:val="0"/>
        </w:rPr>
        <w:t xml:space="preserve"> of </w:t>
      </w:r>
      <w:r>
        <w:rPr>
          <w:kern w:val="0"/>
        </w:rPr>
        <w:t>320 papers containing primary data were included. We found broad acceptance</w:t>
      </w:r>
      <w:r w:rsidR="005853A9">
        <w:rPr>
          <w:kern w:val="0"/>
        </w:rPr>
        <w:t xml:space="preserve"> and </w:t>
      </w:r>
      <w:r>
        <w:rPr>
          <w:kern w:val="0"/>
        </w:rPr>
        <w:t>uptake in anaesthesia with an increase in publications over</w:t>
      </w:r>
      <w:r w:rsidR="003A1917">
        <w:rPr>
          <w:kern w:val="0"/>
        </w:rPr>
        <w:t xml:space="preserve"> the </w:t>
      </w:r>
      <w:r>
        <w:rPr>
          <w:kern w:val="0"/>
        </w:rPr>
        <w:t>time period, mainly attributable to a steady increase in manikin studies. Studies using manikin technology (130/320; 41) are distinguished as skills/performance studies (76; 58)</w:t>
      </w:r>
      <w:r w:rsidR="005853A9">
        <w:rPr>
          <w:kern w:val="0"/>
        </w:rPr>
        <w:t xml:space="preserve"> and </w:t>
      </w:r>
      <w:r>
        <w:rPr>
          <w:kern w:val="0"/>
        </w:rPr>
        <w:t>studies focused on</w:t>
      </w:r>
      <w:r w:rsidR="003A1917">
        <w:rPr>
          <w:kern w:val="0"/>
        </w:rPr>
        <w:t xml:space="preserve"> the </w:t>
      </w:r>
      <w:r>
        <w:rPr>
          <w:kern w:val="0"/>
        </w:rPr>
        <w:t>use, testing,</w:t>
      </w:r>
      <w:r w:rsidR="005853A9">
        <w:rPr>
          <w:kern w:val="0"/>
        </w:rPr>
        <w:t xml:space="preserve"> and </w:t>
      </w:r>
      <w:r>
        <w:rPr>
          <w:kern w:val="0"/>
        </w:rPr>
        <w:t>validation</w:t>
      </w:r>
      <w:r w:rsidR="00427468">
        <w:rPr>
          <w:kern w:val="0"/>
        </w:rPr>
        <w:t xml:space="preserve"> of </w:t>
      </w:r>
      <w:r>
        <w:rPr>
          <w:kern w:val="0"/>
        </w:rPr>
        <w:t>equipment (52; 40). A total</w:t>
      </w:r>
      <w:r w:rsidR="00427468">
        <w:rPr>
          <w:kern w:val="0"/>
        </w:rPr>
        <w:t xml:space="preserve"> of </w:t>
      </w:r>
      <w:r>
        <w:rPr>
          <w:kern w:val="0"/>
        </w:rPr>
        <w:t>110 papers (34) assessed</w:t>
      </w:r>
      <w:r w:rsidR="003A1917">
        <w:rPr>
          <w:kern w:val="0"/>
        </w:rPr>
        <w:t xml:space="preserve"> the </w:t>
      </w:r>
      <w:r>
        <w:rPr>
          <w:kern w:val="0"/>
        </w:rPr>
        <w:t>performance</w:t>
      </w:r>
      <w:r w:rsidR="00427468">
        <w:rPr>
          <w:kern w:val="0"/>
        </w:rPr>
        <w:t xml:space="preserve"> of </w:t>
      </w:r>
      <w:r>
        <w:rPr>
          <w:kern w:val="0"/>
        </w:rPr>
        <w:t>technical</w:t>
      </w:r>
      <w:r w:rsidR="005853A9">
        <w:rPr>
          <w:kern w:val="0"/>
        </w:rPr>
        <w:t xml:space="preserve"> and </w:t>
      </w:r>
      <w:r>
        <w:rPr>
          <w:kern w:val="0"/>
        </w:rPr>
        <w:t>non-technical skills (68</w:t>
      </w:r>
      <w:r w:rsidR="005853A9">
        <w:rPr>
          <w:kern w:val="0"/>
        </w:rPr>
        <w:t xml:space="preserve"> and </w:t>
      </w:r>
      <w:r>
        <w:rPr>
          <w:kern w:val="0"/>
        </w:rPr>
        <w:t>32, respectively). Growth in</w:t>
      </w:r>
      <w:r w:rsidR="003A1917">
        <w:rPr>
          <w:kern w:val="0"/>
        </w:rPr>
        <w:t xml:space="preserve"> the </w:t>
      </w:r>
      <w:r>
        <w:rPr>
          <w:kern w:val="0"/>
        </w:rPr>
        <w:t>use</w:t>
      </w:r>
      <w:r w:rsidR="00427468">
        <w:rPr>
          <w:kern w:val="0"/>
        </w:rPr>
        <w:t xml:space="preserve"> of </w:t>
      </w:r>
      <w:r>
        <w:rPr>
          <w:kern w:val="0"/>
        </w:rPr>
        <w:t>structured checklists/validated tools to assess performance is mainly observed in</w:t>
      </w:r>
      <w:r w:rsidR="003A1917">
        <w:rPr>
          <w:kern w:val="0"/>
        </w:rPr>
        <w:t xml:space="preserve"> the </w:t>
      </w:r>
      <w:r>
        <w:rPr>
          <w:kern w:val="0"/>
        </w:rPr>
        <w:t>non-technical domain. Only 10</w:t>
      </w:r>
      <w:r w:rsidR="00427468">
        <w:rPr>
          <w:kern w:val="0"/>
        </w:rPr>
        <w:t xml:space="preserve"> of </w:t>
      </w:r>
      <w:r>
        <w:rPr>
          <w:kern w:val="0"/>
        </w:rPr>
        <w:t>these papers include follow-up data from</w:t>
      </w:r>
      <w:r w:rsidR="003A1917">
        <w:rPr>
          <w:kern w:val="0"/>
        </w:rPr>
        <w:t xml:space="preserve"> the </w:t>
      </w:r>
      <w:r>
        <w:rPr>
          <w:kern w:val="0"/>
        </w:rPr>
        <w:t>clinical environment</w:t>
      </w:r>
      <w:r w:rsidR="00A37C1D">
        <w:rPr>
          <w:kern w:val="0"/>
        </w:rPr>
        <w:t>. The</w:t>
      </w:r>
      <w:r>
        <w:rPr>
          <w:kern w:val="0"/>
        </w:rPr>
        <w:t>re is a lack</w:t>
      </w:r>
      <w:r w:rsidR="00427468">
        <w:rPr>
          <w:kern w:val="0"/>
        </w:rPr>
        <w:t xml:space="preserve"> of </w:t>
      </w:r>
      <w:r>
        <w:rPr>
          <w:kern w:val="0"/>
        </w:rPr>
        <w:t>research examining performance transfer, sustainability,</w:t>
      </w:r>
      <w:r w:rsidR="005853A9">
        <w:rPr>
          <w:kern w:val="0"/>
        </w:rPr>
        <w:t xml:space="preserve"> and </w:t>
      </w:r>
      <w:r>
        <w:rPr>
          <w:kern w:val="0"/>
        </w:rPr>
        <w:t>direct patient outcomes</w:t>
      </w:r>
      <w:r w:rsidR="005853A9">
        <w:rPr>
          <w:kern w:val="0"/>
        </w:rPr>
        <w:t xml:space="preserve"> and </w:t>
      </w:r>
      <w:r>
        <w:rPr>
          <w:kern w:val="0"/>
        </w:rPr>
        <w:t>experiences</w:t>
      </w:r>
      <w:r w:rsidR="00A37C1D">
        <w:rPr>
          <w:kern w:val="0"/>
        </w:rPr>
        <w:t>. The</w:t>
      </w:r>
      <w:r>
        <w:rPr>
          <w:kern w:val="0"/>
        </w:rPr>
        <w:t>se publication patterns are instructive for those involved in medical educational</w:t>
      </w:r>
      <w:r w:rsidR="005853A9">
        <w:rPr>
          <w:kern w:val="0"/>
        </w:rPr>
        <w:t xml:space="preserve"> and </w:t>
      </w:r>
      <w:r>
        <w:rPr>
          <w:kern w:val="0"/>
        </w:rPr>
        <w:t>for other clinical specialties developing simulation.</w:t>
      </w:r>
    </w:p>
    <w:p w:rsidR="00614273" w:rsidRDefault="00614273" w:rsidP="00614273">
      <w:pPr>
        <w:pStyle w:val="a3"/>
        <w:rPr>
          <w:kern w:val="0"/>
        </w:rPr>
      </w:pPr>
      <w:r>
        <w:rPr>
          <w:kern w:val="0"/>
        </w:rPr>
        <w:t>Keywords: Acceptance, Adoption, Anaesthesia, Analysis, Authors, Bibliometric Analysis, Care, Case Study, Clinical, Clinician, Content Analysis, Cost Effectiveness, Cost-Effectiveness, Data, Developing, Education, Environment, Equipment, Evidence, Follow-Up, Growth, Impact, Institutions, Journal, Journals, Literature, Long Term, Long-Term, Manipulation, Mapping, Medical, Medical Education, Medical-Education, Nontechnical Skills, Operating-Room, Outcomes, Papers, Patient Simulation, Performance, Primary, Publication, Publications, Qualitative, Research, Review, Reviews, Simulation, Specialty, Students, Surgical Skills, Sustainability, Task Performance</w:t>
      </w:r>
      <w:r w:rsidR="005853A9">
        <w:rPr>
          <w:kern w:val="0"/>
        </w:rPr>
        <w:t xml:space="preserve"> and </w:t>
      </w:r>
      <w:r>
        <w:rPr>
          <w:kern w:val="0"/>
        </w:rPr>
        <w:t>Analysis, Technology, Testing, Tracheal Intubation, Training, Translational, Uptake, Validation</w:t>
      </w:r>
    </w:p>
    <w:p w:rsidR="003474F2" w:rsidRPr="001A3D2B" w:rsidRDefault="003474F2" w:rsidP="003474F2">
      <w:pPr>
        <w:pStyle w:val="1"/>
      </w:pPr>
      <w:r w:rsidRPr="001A3D2B">
        <w:br w:type="page"/>
      </w:r>
      <w:bookmarkStart w:id="912" w:name="_Toc420814814"/>
      <w:r w:rsidRPr="001A3D2B">
        <w:lastRenderedPageBreak/>
        <w:t>Title: British Journal</w:t>
      </w:r>
      <w:r w:rsidR="00427468">
        <w:t xml:space="preserve"> of </w:t>
      </w:r>
      <w:r w:rsidRPr="001A3D2B">
        <w:t>Audiology</w:t>
      </w:r>
      <w:bookmarkEnd w:id="912"/>
    </w:p>
    <w:p w:rsidR="003474F2" w:rsidRPr="001A3D2B" w:rsidRDefault="003474F2" w:rsidP="003474F2">
      <w:pPr>
        <w:pStyle w:val="12"/>
      </w:pPr>
      <w:r w:rsidRPr="001A3D2B">
        <w:t>Full Journ</w:t>
      </w:r>
      <w:bookmarkStart w:id="913" w:name="_Toc81215649"/>
      <w:r w:rsidRPr="001A3D2B">
        <w:t>al Title: British Journal</w:t>
      </w:r>
      <w:r w:rsidR="00427468">
        <w:t xml:space="preserve"> of </w:t>
      </w:r>
      <w:r w:rsidRPr="001A3D2B">
        <w:t>Audiol</w:t>
      </w:r>
      <w:bookmarkEnd w:id="913"/>
      <w:r w:rsidRPr="001A3D2B">
        <w:t>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Lutman, M. (1992), Bibliometric analysis as a measure</w:t>
      </w:r>
      <w:r w:rsidR="00427468">
        <w:t xml:space="preserve"> of </w:t>
      </w:r>
      <w:r w:rsidRPr="001A3D2B">
        <w:t xml:space="preserve">scientific output. </w:t>
      </w:r>
      <w:r w:rsidRPr="001A3D2B">
        <w:rPr>
          <w:i/>
          <w:iCs/>
        </w:rPr>
        <w:t>British Journal</w:t>
      </w:r>
      <w:r w:rsidR="00427468">
        <w:rPr>
          <w:i/>
          <w:iCs/>
        </w:rPr>
        <w:t xml:space="preserve"> of </w:t>
      </w:r>
      <w:r w:rsidRPr="001A3D2B">
        <w:rPr>
          <w:i/>
          <w:iCs/>
        </w:rPr>
        <w:t>Audiology</w:t>
      </w:r>
      <w:r w:rsidRPr="001A3D2B">
        <w:t xml:space="preserve">, </w:t>
      </w:r>
      <w:r w:rsidRPr="001A3D2B">
        <w:rPr>
          <w:b/>
          <w:bCs/>
        </w:rPr>
        <w:t>26</w:t>
      </w:r>
      <w:r w:rsidRPr="001A3D2B">
        <w:t xml:space="preserve"> (6), 323-324.</w:t>
      </w:r>
    </w:p>
    <w:p w:rsidR="005756A9" w:rsidRPr="001A3D2B" w:rsidRDefault="005756A9" w:rsidP="005756A9">
      <w:pPr>
        <w:pStyle w:val="1"/>
      </w:pPr>
      <w:r w:rsidRPr="001A3D2B">
        <w:rPr>
          <w:b w:val="0"/>
        </w:rPr>
        <w:br w:type="page"/>
      </w:r>
      <w:bookmarkStart w:id="914" w:name="_Toc420814815"/>
      <w:r w:rsidRPr="001A3D2B">
        <w:lastRenderedPageBreak/>
        <w:t>Title: British Journal</w:t>
      </w:r>
      <w:r w:rsidR="00427468">
        <w:t xml:space="preserve"> of </w:t>
      </w:r>
      <w:r w:rsidRPr="001A3D2B">
        <w:t>Cancer</w:t>
      </w:r>
      <w:bookmarkEnd w:id="914"/>
    </w:p>
    <w:p w:rsidR="005756A9" w:rsidRPr="001A3D2B" w:rsidRDefault="005756A9" w:rsidP="005756A9">
      <w:pPr>
        <w:pStyle w:val="12"/>
      </w:pPr>
      <w:r w:rsidRPr="001A3D2B">
        <w:t xml:space="preserve">Full Journal </w:t>
      </w:r>
      <w:bookmarkStart w:id="915" w:name="_Toc243765292"/>
      <w:r w:rsidRPr="001A3D2B">
        <w:t xml:space="preserve">Title: </w:t>
      </w:r>
      <w:r w:rsidR="00206C8A">
        <w:fldChar w:fldCharType="begin"/>
      </w:r>
      <w:r w:rsidR="00FD158B">
        <w:instrText>HYPERLINK "http://www.na</w:instrText>
      </w:r>
      <w:bookmarkEnd w:id="915"/>
      <w:r w:rsidR="00FD158B">
        <w:instrText>ture.com/bjc/index.html"</w:instrText>
      </w:r>
      <w:r w:rsidR="00206C8A">
        <w:fldChar w:fldCharType="separate"/>
      </w:r>
      <w:r w:rsidRPr="001A3D2B">
        <w:rPr>
          <w:rStyle w:val="a5"/>
        </w:rPr>
        <w:t>British Journal</w:t>
      </w:r>
      <w:r w:rsidR="00427468">
        <w:rPr>
          <w:rStyle w:val="a5"/>
        </w:rPr>
        <w:t xml:space="preserve"> of </w:t>
      </w:r>
      <w:r w:rsidRPr="001A3D2B">
        <w:rPr>
          <w:rStyle w:val="a5"/>
        </w:rPr>
        <w:t>Cancer</w:t>
      </w:r>
      <w:r w:rsidR="00206C8A">
        <w:fldChar w:fldCharType="end"/>
      </w:r>
    </w:p>
    <w:p w:rsidR="005756A9" w:rsidRPr="001A3D2B" w:rsidRDefault="005756A9" w:rsidP="005756A9">
      <w:pPr>
        <w:pStyle w:val="12"/>
      </w:pPr>
      <w:r w:rsidRPr="001A3D2B">
        <w:t>ISO Abbreviated Title: Br. J. Cancer</w:t>
      </w:r>
    </w:p>
    <w:p w:rsidR="005756A9" w:rsidRPr="001A3D2B" w:rsidRDefault="005756A9" w:rsidP="005756A9">
      <w:pPr>
        <w:pStyle w:val="12"/>
      </w:pPr>
      <w:r w:rsidRPr="001A3D2B">
        <w:t>JCR Abbreviated Title: Brit J Cancer</w:t>
      </w:r>
    </w:p>
    <w:p w:rsidR="005756A9" w:rsidRPr="001A3D2B" w:rsidRDefault="005756A9" w:rsidP="005756A9">
      <w:pPr>
        <w:pStyle w:val="12"/>
      </w:pPr>
      <w:r w:rsidRPr="001A3D2B">
        <w:t>ISSN: 0007-0920</w:t>
      </w:r>
    </w:p>
    <w:p w:rsidR="005756A9" w:rsidRPr="001A3D2B" w:rsidRDefault="005756A9" w:rsidP="005756A9">
      <w:pPr>
        <w:pStyle w:val="12"/>
      </w:pPr>
      <w:r w:rsidRPr="001A3D2B">
        <w:t>Issues/Year: 24</w:t>
      </w:r>
    </w:p>
    <w:p w:rsidR="005756A9" w:rsidRPr="001A3D2B" w:rsidRDefault="005756A9" w:rsidP="005756A9">
      <w:pPr>
        <w:pStyle w:val="12"/>
      </w:pPr>
      <w:r w:rsidRPr="001A3D2B">
        <w:t xml:space="preserve">Journal Country/Territory: </w:t>
      </w:r>
      <w:smartTag w:uri="urn:schemas-microsoft-com:office:smarttags" w:element="place">
        <w:smartTag w:uri="urn:schemas-microsoft-com:office:smarttags" w:element="country-region">
          <w:r w:rsidRPr="001A3D2B">
            <w:t>England</w:t>
          </w:r>
        </w:smartTag>
      </w:smartTag>
    </w:p>
    <w:p w:rsidR="005756A9" w:rsidRPr="001A3D2B" w:rsidRDefault="005756A9" w:rsidP="005756A9">
      <w:pPr>
        <w:pStyle w:val="12"/>
      </w:pPr>
      <w:r w:rsidRPr="001A3D2B">
        <w:t>Language: English</w:t>
      </w:r>
    </w:p>
    <w:p w:rsidR="005756A9" w:rsidRPr="001A3D2B" w:rsidRDefault="005756A9" w:rsidP="005756A9">
      <w:pPr>
        <w:pStyle w:val="12"/>
      </w:pPr>
      <w:r w:rsidRPr="001A3D2B">
        <w:t>Publisher: Churchill Livingstone</w:t>
      </w:r>
    </w:p>
    <w:p w:rsidR="005756A9" w:rsidRPr="001A3D2B" w:rsidRDefault="005756A9" w:rsidP="005756A9">
      <w:pPr>
        <w:pStyle w:val="12"/>
      </w:pPr>
      <w:r w:rsidRPr="001A3D2B">
        <w:t>Publisher Address: Journal Production Dept, Robert Stevenson House, 1-3 Baxters Place, Leith W</w:t>
      </w:r>
    </w:p>
    <w:p w:rsidR="005756A9" w:rsidRPr="001A3D2B" w:rsidRDefault="005756A9" w:rsidP="005756A9">
      <w:pPr>
        <w:pStyle w:val="12"/>
      </w:pPr>
      <w:r w:rsidRPr="001A3D2B">
        <w:t xml:space="preserve">Subject Categories: </w:t>
      </w:r>
    </w:p>
    <w:p w:rsidR="005756A9" w:rsidRPr="001A3D2B" w:rsidRDefault="005756A9" w:rsidP="005756A9">
      <w:pPr>
        <w:pStyle w:val="12"/>
      </w:pPr>
      <w:r w:rsidRPr="001A3D2B">
        <w:t>Oncology: Impact Factor 3.639, 25/114 (2002)</w:t>
      </w:r>
    </w:p>
    <w:p w:rsidR="005756A9" w:rsidRPr="001A3D2B" w:rsidRDefault="005756A9" w:rsidP="005756A9">
      <w:pPr>
        <w:pStyle w:val="a3"/>
        <w:rPr>
          <w:kern w:val="0"/>
        </w:rPr>
      </w:pPr>
      <w:r w:rsidRPr="001A3D2B">
        <w:rPr>
          <w:kern w:val="0"/>
        </w:rPr>
        <w:t>? Islami, F., Ren, J.S., Taylor, P.R.</w:t>
      </w:r>
      <w:r w:rsidR="005853A9">
        <w:rPr>
          <w:kern w:val="0"/>
        </w:rPr>
        <w:t xml:space="preserve"> and </w:t>
      </w:r>
      <w:r w:rsidRPr="001A3D2B">
        <w:rPr>
          <w:kern w:val="0"/>
        </w:rPr>
        <w:t>Kamangar, F. (2009), Pickled vegetables</w:t>
      </w:r>
      <w:r w:rsidR="005853A9">
        <w:rPr>
          <w:kern w:val="0"/>
        </w:rPr>
        <w:t xml:space="preserve"> and </w:t>
      </w:r>
      <w:r w:rsidR="003A1917">
        <w:rPr>
          <w:kern w:val="0"/>
        </w:rPr>
        <w:t xml:space="preserve">the </w:t>
      </w:r>
      <w:r w:rsidRPr="001A3D2B">
        <w:rPr>
          <w:kern w:val="0"/>
        </w:rPr>
        <w:t>risk</w:t>
      </w:r>
      <w:r w:rsidR="00427468">
        <w:rPr>
          <w:kern w:val="0"/>
        </w:rPr>
        <w:t xml:space="preserve"> of </w:t>
      </w:r>
      <w:r w:rsidRPr="001A3D2B">
        <w:rPr>
          <w:kern w:val="0"/>
        </w:rPr>
        <w:t xml:space="preserve">oesophageal cancer: A meta-analysis. </w:t>
      </w:r>
      <w:r w:rsidRPr="001A3D2B">
        <w:rPr>
          <w:i/>
          <w:iCs/>
          <w:kern w:val="0"/>
        </w:rPr>
        <w:t>British Journal</w:t>
      </w:r>
      <w:r w:rsidR="00427468">
        <w:rPr>
          <w:i/>
          <w:iCs/>
          <w:kern w:val="0"/>
        </w:rPr>
        <w:t xml:space="preserve"> of </w:t>
      </w:r>
      <w:r w:rsidRPr="001A3D2B">
        <w:rPr>
          <w:i/>
          <w:iCs/>
          <w:kern w:val="0"/>
        </w:rPr>
        <w:t>Cancer</w:t>
      </w:r>
      <w:r w:rsidRPr="001A3D2B">
        <w:rPr>
          <w:kern w:val="0"/>
        </w:rPr>
        <w:t xml:space="preserve">, </w:t>
      </w:r>
      <w:r w:rsidRPr="001A3D2B">
        <w:rPr>
          <w:b/>
          <w:bCs/>
          <w:kern w:val="0"/>
        </w:rPr>
        <w:t>101</w:t>
      </w:r>
      <w:r w:rsidRPr="001A3D2B">
        <w:rPr>
          <w:kern w:val="0"/>
        </w:rPr>
        <w:t xml:space="preserve"> (9), 1641-1647.</w:t>
      </w:r>
    </w:p>
    <w:p w:rsidR="005756A9" w:rsidRPr="001A3D2B" w:rsidRDefault="005756A9" w:rsidP="005756A9">
      <w:pPr>
        <w:pStyle w:val="a3"/>
      </w:pPr>
      <w:r w:rsidRPr="001A3D2B">
        <w:t xml:space="preserve">Full Text: </w:t>
      </w:r>
      <w:hyperlink r:id="rId1867" w:history="1">
        <w:r w:rsidRPr="001A3D2B">
          <w:rPr>
            <w:rStyle w:val="a5"/>
          </w:rPr>
          <w:t>2009\Bri J Can101, 1641.pdf</w:t>
        </w:r>
      </w:hyperlink>
    </w:p>
    <w:p w:rsidR="005756A9" w:rsidRPr="001A3D2B" w:rsidRDefault="005756A9" w:rsidP="005756A9">
      <w:pPr>
        <w:pStyle w:val="a3"/>
        <w:rPr>
          <w:kern w:val="0"/>
        </w:rPr>
      </w:pPr>
      <w:r w:rsidRPr="001A3D2B">
        <w:rPr>
          <w:kern w:val="0"/>
        </w:rPr>
        <w:t>Abstract: BACKGROUND: Ecological</w:t>
      </w:r>
      <w:r w:rsidR="005853A9">
        <w:rPr>
          <w:kern w:val="0"/>
        </w:rPr>
        <w:t xml:space="preserve"> and </w:t>
      </w:r>
      <w:r w:rsidRPr="001A3D2B">
        <w:rPr>
          <w:kern w:val="0"/>
        </w:rPr>
        <w:t>experimental studies have suggested a relationship between Asian pickled vegetable consumption</w:t>
      </w:r>
      <w:r w:rsidR="005853A9">
        <w:rPr>
          <w:kern w:val="0"/>
        </w:rPr>
        <w:t xml:space="preserve"> and </w:t>
      </w:r>
      <w:r w:rsidRPr="001A3D2B">
        <w:rPr>
          <w:kern w:val="0"/>
        </w:rPr>
        <w:t>oesophageal squamous cell carcinoma (OSCC), but</w:t>
      </w:r>
      <w:r w:rsidR="003A1917">
        <w:rPr>
          <w:kern w:val="0"/>
        </w:rPr>
        <w:t xml:space="preserve"> the </w:t>
      </w:r>
      <w:r w:rsidRPr="001A3D2B">
        <w:rPr>
          <w:kern w:val="0"/>
        </w:rPr>
        <w:t>results</w:t>
      </w:r>
      <w:r w:rsidR="00427468">
        <w:rPr>
          <w:kern w:val="0"/>
        </w:rPr>
        <w:t xml:space="preserve"> of </w:t>
      </w:r>
      <w:r w:rsidRPr="001A3D2B">
        <w:rPr>
          <w:kern w:val="0"/>
        </w:rPr>
        <w:t>epidemiological studies investigating</w:t>
      </w:r>
      <w:r w:rsidR="003A1917">
        <w:rPr>
          <w:kern w:val="0"/>
        </w:rPr>
        <w:t xml:space="preserve"> the </w:t>
      </w:r>
      <w:r w:rsidRPr="001A3D2B">
        <w:rPr>
          <w:kern w:val="0"/>
        </w:rPr>
        <w:t>association have been inconsistent. We conducted a meta-analysis</w:t>
      </w:r>
      <w:r w:rsidR="00427468">
        <w:rPr>
          <w:kern w:val="0"/>
        </w:rPr>
        <w:t xml:space="preserve"> of </w:t>
      </w:r>
      <w:r w:rsidRPr="001A3D2B">
        <w:rPr>
          <w:kern w:val="0"/>
        </w:rPr>
        <w:t>observational studies</w:t>
      </w:r>
      <w:r w:rsidR="00427468">
        <w:rPr>
          <w:kern w:val="0"/>
        </w:rPr>
        <w:t xml:space="preserve"> of </w:t>
      </w:r>
      <w:r w:rsidRPr="001A3D2B">
        <w:rPr>
          <w:kern w:val="0"/>
        </w:rPr>
        <w:t>this association to evaluate</w:t>
      </w:r>
      <w:r w:rsidR="003A1917">
        <w:rPr>
          <w:kern w:val="0"/>
        </w:rPr>
        <w:t xml:space="preserve"> the </w:t>
      </w:r>
      <w:r w:rsidRPr="001A3D2B">
        <w:rPr>
          <w:kern w:val="0"/>
        </w:rPr>
        <w:t>existing evidence. METHODS: We searched</w:t>
      </w:r>
      <w:r w:rsidR="003A1917">
        <w:rPr>
          <w:kern w:val="0"/>
        </w:rPr>
        <w:t xml:space="preserve"> the </w:t>
      </w:r>
      <w:r w:rsidR="002C12F0">
        <w:rPr>
          <w:kern w:val="0"/>
        </w:rPr>
        <w:t>PUBMED</w:t>
      </w:r>
      <w:r w:rsidRPr="001A3D2B">
        <w:rPr>
          <w:kern w:val="0"/>
        </w:rPr>
        <w:t>, ISI-</w:t>
      </w:r>
      <w:r w:rsidR="00D5664A">
        <w:rPr>
          <w:kern w:val="0"/>
        </w:rPr>
        <w:t>Web</w:t>
      </w:r>
      <w:r w:rsidR="00427468">
        <w:rPr>
          <w:kern w:val="0"/>
        </w:rPr>
        <w:t xml:space="preserve"> of </w:t>
      </w:r>
      <w:r w:rsidR="00D5664A">
        <w:rPr>
          <w:kern w:val="0"/>
        </w:rPr>
        <w:t>Science</w:t>
      </w:r>
      <w:r w:rsidRPr="001A3D2B">
        <w:rPr>
          <w:kern w:val="0"/>
        </w:rPr>
        <w:t>, J-EAST, IndMed, Vip Chinese Periodical,</w:t>
      </w:r>
      <w:r w:rsidR="005853A9">
        <w:rPr>
          <w:kern w:val="0"/>
        </w:rPr>
        <w:t xml:space="preserve"> and </w:t>
      </w:r>
      <w:r w:rsidRPr="001A3D2B">
        <w:rPr>
          <w:kern w:val="0"/>
        </w:rPr>
        <w:t>China National Knowledge Infrastructure databases for all studies published in English or Chinese languages. Pooled results for all studies combined</w:t>
      </w:r>
      <w:r w:rsidR="005853A9">
        <w:rPr>
          <w:kern w:val="0"/>
        </w:rPr>
        <w:t xml:space="preserve"> and </w:t>
      </w:r>
      <w:r w:rsidRPr="001A3D2B">
        <w:rPr>
          <w:kern w:val="0"/>
        </w:rPr>
        <w:t>for several study subgroups were computed. RESULTS: A total</w:t>
      </w:r>
      <w:r w:rsidR="00427468">
        <w:rPr>
          <w:kern w:val="0"/>
        </w:rPr>
        <w:t xml:space="preserve"> of </w:t>
      </w:r>
      <w:r w:rsidRPr="001A3D2B">
        <w:rPr>
          <w:kern w:val="0"/>
        </w:rPr>
        <w:t>34 studies were included in this analysis</w:t>
      </w:r>
      <w:r w:rsidR="00A37C1D">
        <w:rPr>
          <w:kern w:val="0"/>
        </w:rPr>
        <w:t>. The</w:t>
      </w:r>
      <w:r w:rsidR="003A1917">
        <w:rPr>
          <w:kern w:val="0"/>
        </w:rPr>
        <w:t xml:space="preserve"> </w:t>
      </w:r>
      <w:r w:rsidRPr="001A3D2B">
        <w:rPr>
          <w:kern w:val="0"/>
        </w:rPr>
        <w:t>overall random effects odds ratio (OR)</w:t>
      </w:r>
      <w:r w:rsidR="005853A9">
        <w:rPr>
          <w:kern w:val="0"/>
        </w:rPr>
        <w:t xml:space="preserve"> and </w:t>
      </w:r>
      <w:r w:rsidRPr="001A3D2B">
        <w:rPr>
          <w:kern w:val="0"/>
        </w:rPr>
        <w:t>95% confidence interval (CI) for pickled vegetable consumption was 2.08 (1.66-2.60), but</w:t>
      </w:r>
      <w:r w:rsidR="003A1917">
        <w:rPr>
          <w:kern w:val="0"/>
        </w:rPr>
        <w:t xml:space="preserve"> the </w:t>
      </w:r>
      <w:r w:rsidRPr="001A3D2B">
        <w:rPr>
          <w:kern w:val="0"/>
        </w:rPr>
        <w:t>results were heterogeneous across studies. After excluding</w:t>
      </w:r>
      <w:r w:rsidR="003A1917">
        <w:rPr>
          <w:kern w:val="0"/>
        </w:rPr>
        <w:t xml:space="preserve"> the </w:t>
      </w:r>
      <w:r w:rsidRPr="001A3D2B">
        <w:rPr>
          <w:kern w:val="0"/>
        </w:rPr>
        <w:t>three most influential studies,</w:t>
      </w:r>
      <w:r w:rsidR="003A1917">
        <w:rPr>
          <w:kern w:val="0"/>
        </w:rPr>
        <w:t xml:space="preserve"> the </w:t>
      </w:r>
      <w:r w:rsidRPr="001A3D2B">
        <w:rPr>
          <w:kern w:val="0"/>
        </w:rPr>
        <w:t>respective numbers were 2.32 (1.92-2.81). Similar to</w:t>
      </w:r>
      <w:r w:rsidR="003A1917">
        <w:rPr>
          <w:kern w:val="0"/>
        </w:rPr>
        <w:t xml:space="preserve"> the </w:t>
      </w:r>
      <w:r w:rsidRPr="001A3D2B">
        <w:rPr>
          <w:kern w:val="0"/>
        </w:rPr>
        <w:t>overall association,</w:t>
      </w:r>
      <w:r w:rsidR="003A1917">
        <w:rPr>
          <w:kern w:val="0"/>
        </w:rPr>
        <w:t xml:space="preserve"> the </w:t>
      </w:r>
      <w:r w:rsidRPr="001A3D2B">
        <w:rPr>
          <w:kern w:val="0"/>
        </w:rPr>
        <w:t>majority</w:t>
      </w:r>
      <w:r w:rsidR="00427468">
        <w:rPr>
          <w:kern w:val="0"/>
        </w:rPr>
        <w:t xml:space="preserve"> of </w:t>
      </w:r>
      <w:r w:rsidRPr="001A3D2B">
        <w:rPr>
          <w:kern w:val="0"/>
        </w:rPr>
        <w:t>subgroup analyses showed a statistically significant association between consuming pickled vegetables</w:t>
      </w:r>
      <w:r w:rsidR="005853A9">
        <w:rPr>
          <w:kern w:val="0"/>
        </w:rPr>
        <w:t xml:space="preserve"> and </w:t>
      </w:r>
      <w:r w:rsidRPr="001A3D2B">
        <w:rPr>
          <w:kern w:val="0"/>
        </w:rPr>
        <w:t>OSCC risk</w:t>
      </w:r>
      <w:r w:rsidR="00A37C1D">
        <w:rPr>
          <w:kern w:val="0"/>
        </w:rPr>
        <w:t>. The</w:t>
      </w:r>
      <w:r w:rsidRPr="001A3D2B">
        <w:rPr>
          <w:kern w:val="0"/>
        </w:rPr>
        <w:t>re were only three prospective studies. CONCLUSIONS: Our results suggest a potential two-fold increased risk</w:t>
      </w:r>
      <w:r w:rsidR="00427468">
        <w:rPr>
          <w:kern w:val="0"/>
        </w:rPr>
        <w:t xml:space="preserve"> of </w:t>
      </w:r>
      <w:r w:rsidRPr="001A3D2B">
        <w:rPr>
          <w:kern w:val="0"/>
        </w:rPr>
        <w:t>oesophageal cancer associated with</w:t>
      </w:r>
      <w:r w:rsidR="003A1917">
        <w:rPr>
          <w:kern w:val="0"/>
        </w:rPr>
        <w:t xml:space="preserve"> the </w:t>
      </w:r>
      <w:r w:rsidRPr="001A3D2B">
        <w:rPr>
          <w:kern w:val="0"/>
        </w:rPr>
        <w:t>intake</w:t>
      </w:r>
      <w:r w:rsidR="00427468">
        <w:rPr>
          <w:kern w:val="0"/>
        </w:rPr>
        <w:t xml:space="preserve"> of </w:t>
      </w:r>
      <w:r w:rsidRPr="001A3D2B">
        <w:rPr>
          <w:kern w:val="0"/>
        </w:rPr>
        <w:t>pickled vegetables. However, because</w:t>
      </w:r>
      <w:r w:rsidR="003A1917">
        <w:rPr>
          <w:kern w:val="0"/>
        </w:rPr>
        <w:t xml:space="preserve"> the </w:t>
      </w:r>
      <w:r w:rsidRPr="001A3D2B">
        <w:rPr>
          <w:kern w:val="0"/>
        </w:rPr>
        <w:t>majority</w:t>
      </w:r>
      <w:r w:rsidR="00427468">
        <w:rPr>
          <w:kern w:val="0"/>
        </w:rPr>
        <w:t xml:space="preserve"> of </w:t>
      </w:r>
      <w:r w:rsidRPr="001A3D2B">
        <w:rPr>
          <w:kern w:val="0"/>
        </w:rPr>
        <w:t>data was from retrospective studies</w:t>
      </w:r>
      <w:r w:rsidR="005853A9">
        <w:rPr>
          <w:kern w:val="0"/>
        </w:rPr>
        <w:t xml:space="preserve"> and </w:t>
      </w:r>
      <w:r w:rsidRPr="001A3D2B">
        <w:rPr>
          <w:kern w:val="0"/>
        </w:rPr>
        <w:t>there was a high heterogeneity in</w:t>
      </w:r>
      <w:r w:rsidR="003A1917">
        <w:rPr>
          <w:kern w:val="0"/>
        </w:rPr>
        <w:t xml:space="preserve"> the </w:t>
      </w:r>
      <w:r w:rsidRPr="001A3D2B">
        <w:rPr>
          <w:kern w:val="0"/>
        </w:rPr>
        <w:t>results, further well-designed prospective studies are warranted. British Journal</w:t>
      </w:r>
      <w:r w:rsidR="00427468">
        <w:rPr>
          <w:kern w:val="0"/>
        </w:rPr>
        <w:t xml:space="preserve"> of </w:t>
      </w:r>
      <w:r w:rsidRPr="001A3D2B">
        <w:rPr>
          <w:kern w:val="0"/>
        </w:rPr>
        <w:t xml:space="preserve">Cancer (2009) 101, 1641-1647. doi: </w:t>
      </w:r>
      <w:r w:rsidRPr="001A3D2B">
        <w:rPr>
          <w:kern w:val="0"/>
        </w:rPr>
        <w:lastRenderedPageBreak/>
        <w:t>10.1038/sj.bjc.6605372 www.bjcancer.com (C) 2009 Cancer Research UK.</w:t>
      </w:r>
    </w:p>
    <w:p w:rsidR="005756A9" w:rsidRPr="001A3D2B" w:rsidRDefault="005756A9" w:rsidP="005756A9">
      <w:pPr>
        <w:pStyle w:val="a3"/>
        <w:rPr>
          <w:kern w:val="0"/>
        </w:rPr>
      </w:pPr>
      <w:r w:rsidRPr="001A3D2B">
        <w:rPr>
          <w:kern w:val="0"/>
        </w:rPr>
        <w:t>Keywords: Case-Control, Cohort, Cohort, County, High-Epidemic Area, Jiangsu Province, Linxian, Meta-Analysis, Oesophageal Cancer, Pickled Vegetable, Publication, Region, Republic</w:t>
      </w:r>
      <w:r w:rsidR="00434900">
        <w:rPr>
          <w:kern w:val="0"/>
        </w:rPr>
        <w:t>-of-</w:t>
      </w:r>
      <w:r w:rsidRPr="001A3D2B">
        <w:rPr>
          <w:kern w:val="0"/>
        </w:rPr>
        <w:t>China, Squamous-Cell Carcinoma, Stomach Cancers</w:t>
      </w:r>
    </w:p>
    <w:p w:rsidR="00C24F7E" w:rsidRDefault="00C24F7E" w:rsidP="00C24F7E">
      <w:pPr>
        <w:pStyle w:val="a3"/>
        <w:rPr>
          <w:kern w:val="0"/>
        </w:rPr>
      </w:pPr>
      <w:r>
        <w:rPr>
          <w:rFonts w:hint="eastAsia"/>
          <w:kern w:val="0"/>
        </w:rPr>
        <w:t xml:space="preserve">? </w:t>
      </w:r>
      <w:r>
        <w:rPr>
          <w:kern w:val="0"/>
        </w:rPr>
        <w:t>Lerro, C.C., McGlynn, K.A.</w:t>
      </w:r>
      <w:r w:rsidR="005853A9">
        <w:rPr>
          <w:kern w:val="0"/>
        </w:rPr>
        <w:t xml:space="preserve"> and </w:t>
      </w:r>
      <w:r>
        <w:rPr>
          <w:kern w:val="0"/>
        </w:rPr>
        <w:t>Cook, M.B. (2010), A systematic review</w:t>
      </w:r>
      <w:r w:rsidR="005853A9">
        <w:rPr>
          <w:kern w:val="0"/>
        </w:rPr>
        <w:t xml:space="preserve"> and </w:t>
      </w:r>
      <w:r>
        <w:rPr>
          <w:kern w:val="0"/>
        </w:rPr>
        <w:t>meta-analysis</w:t>
      </w:r>
      <w:r w:rsidR="00427468">
        <w:rPr>
          <w:kern w:val="0"/>
        </w:rPr>
        <w:t xml:space="preserve"> of </w:t>
      </w:r>
      <w:r w:rsidR="003A1917">
        <w:rPr>
          <w:kern w:val="0"/>
        </w:rPr>
        <w:t xml:space="preserve">the </w:t>
      </w:r>
      <w:r>
        <w:rPr>
          <w:kern w:val="0"/>
        </w:rPr>
        <w:t>relationship between body size</w:t>
      </w:r>
      <w:r w:rsidR="005853A9">
        <w:rPr>
          <w:kern w:val="0"/>
        </w:rPr>
        <w:t xml:space="preserve"> and </w:t>
      </w:r>
      <w:r>
        <w:rPr>
          <w:kern w:val="0"/>
        </w:rPr>
        <w:t xml:space="preserve">testicular cancer. </w:t>
      </w:r>
      <w:r>
        <w:rPr>
          <w:i/>
          <w:iCs/>
          <w:kern w:val="0"/>
        </w:rPr>
        <w:t>British Journal</w:t>
      </w:r>
      <w:r w:rsidR="00427468">
        <w:rPr>
          <w:i/>
          <w:iCs/>
          <w:kern w:val="0"/>
        </w:rPr>
        <w:t xml:space="preserve"> of </w:t>
      </w:r>
      <w:r>
        <w:rPr>
          <w:i/>
          <w:iCs/>
          <w:kern w:val="0"/>
        </w:rPr>
        <w:t>Cancer</w:t>
      </w:r>
      <w:r>
        <w:rPr>
          <w:kern w:val="0"/>
        </w:rPr>
        <w:t xml:space="preserve">, </w:t>
      </w:r>
      <w:r>
        <w:rPr>
          <w:b/>
          <w:bCs/>
          <w:kern w:val="0"/>
        </w:rPr>
        <w:t>103</w:t>
      </w:r>
      <w:r>
        <w:rPr>
          <w:kern w:val="0"/>
        </w:rPr>
        <w:t xml:space="preserve"> (9), 1467-1474.</w:t>
      </w:r>
    </w:p>
    <w:p w:rsidR="00BE3DA8" w:rsidRPr="00FC7835" w:rsidRDefault="00BE3DA8" w:rsidP="00BE3DA8">
      <w:pPr>
        <w:pStyle w:val="a3"/>
      </w:pPr>
      <w:r>
        <w:t>Full Text:</w:t>
      </w:r>
      <w:r w:rsidRPr="00FC7835">
        <w:t xml:space="preserve"> </w:t>
      </w:r>
      <w:hyperlink r:id="rId1868" w:history="1">
        <w:r w:rsidRPr="00213C2B">
          <w:rPr>
            <w:rStyle w:val="a5"/>
          </w:rPr>
          <w:t>2010\Bri J Can103, 1467.pdf</w:t>
        </w:r>
      </w:hyperlink>
    </w:p>
    <w:p w:rsidR="00C24F7E" w:rsidRDefault="00C24F7E" w:rsidP="00C24F7E">
      <w:pPr>
        <w:pStyle w:val="a3"/>
        <w:rPr>
          <w:kern w:val="0"/>
        </w:rPr>
      </w:pPr>
      <w:r>
        <w:rPr>
          <w:kern w:val="0"/>
        </w:rPr>
        <w:t>Abstract: BACKGROUND: Studies assessing</w:t>
      </w:r>
      <w:r w:rsidR="003A1917">
        <w:rPr>
          <w:kern w:val="0"/>
        </w:rPr>
        <w:t xml:space="preserve"> the </w:t>
      </w:r>
      <w:r>
        <w:rPr>
          <w:kern w:val="0"/>
        </w:rPr>
        <w:t>relationships</w:t>
      </w:r>
      <w:r w:rsidR="00427468">
        <w:rPr>
          <w:kern w:val="0"/>
        </w:rPr>
        <w:t xml:space="preserve"> of </w:t>
      </w:r>
      <w:r>
        <w:rPr>
          <w:kern w:val="0"/>
        </w:rPr>
        <w:t>anthropometry</w:t>
      </w:r>
      <w:r w:rsidR="005853A9">
        <w:rPr>
          <w:kern w:val="0"/>
        </w:rPr>
        <w:t xml:space="preserve"> and </w:t>
      </w:r>
      <w:r>
        <w:rPr>
          <w:kern w:val="0"/>
        </w:rPr>
        <w:t>testicular germ-cell tumour (TGCT) have reported heterogeneous findings. METHODS: We undertook a systematic review</w:t>
      </w:r>
      <w:r w:rsidR="005853A9">
        <w:rPr>
          <w:kern w:val="0"/>
        </w:rPr>
        <w:t xml:space="preserve"> and </w:t>
      </w:r>
      <w:r>
        <w:rPr>
          <w:kern w:val="0"/>
        </w:rPr>
        <w:t>meta-analysis</w:t>
      </w:r>
      <w:r w:rsidR="00427468">
        <w:rPr>
          <w:kern w:val="0"/>
        </w:rPr>
        <w:t xml:space="preserve"> of </w:t>
      </w:r>
      <w:r w:rsidR="003A1917">
        <w:rPr>
          <w:kern w:val="0"/>
        </w:rPr>
        <w:t xml:space="preserve">the </w:t>
      </w:r>
      <w:r>
        <w:rPr>
          <w:kern w:val="0"/>
        </w:rPr>
        <w:t>associations between adult height, weight, body mass index (BMI),</w:t>
      </w:r>
      <w:r w:rsidR="005853A9">
        <w:rPr>
          <w:kern w:val="0"/>
        </w:rPr>
        <w:t xml:space="preserve"> and </w:t>
      </w:r>
      <w:r>
        <w:rPr>
          <w:kern w:val="0"/>
        </w:rPr>
        <w:t xml:space="preserve">testicular cancer. Search strategies were conducted in </w:t>
      </w:r>
      <w:r w:rsidR="002C12F0">
        <w:rPr>
          <w:kern w:val="0"/>
        </w:rPr>
        <w:t>PUBMED</w:t>
      </w:r>
      <w:r>
        <w:rPr>
          <w:kern w:val="0"/>
        </w:rPr>
        <w:t>, EMBASE, Scopus,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on 26 May 2009. Studies that met our inclusion criteria were included in meta-analytic models using STATA 11. RESULTS: A total</w:t>
      </w:r>
      <w:r w:rsidR="00427468">
        <w:rPr>
          <w:kern w:val="0"/>
        </w:rPr>
        <w:t xml:space="preserve"> of </w:t>
      </w:r>
      <w:r>
        <w:rPr>
          <w:kern w:val="0"/>
        </w:rPr>
        <w:t>3255 references were retrieved,</w:t>
      </w:r>
      <w:r w:rsidR="00427468">
        <w:rPr>
          <w:kern w:val="0"/>
        </w:rPr>
        <w:t xml:space="preserve"> of </w:t>
      </w:r>
      <w:r>
        <w:rPr>
          <w:kern w:val="0"/>
        </w:rPr>
        <w:t>which 14 met</w:t>
      </w:r>
      <w:r w:rsidR="003A1917">
        <w:rPr>
          <w:kern w:val="0"/>
        </w:rPr>
        <w:t xml:space="preserve"> the </w:t>
      </w:r>
      <w:r>
        <w:rPr>
          <w:kern w:val="0"/>
        </w:rPr>
        <w:t>inclusion criteria. Random effects meta-analysis found adult height (odds ratio (OR) per 5-cm increase 1.13, 95% confidence interval (CI) 1.07-1.19, P&lt;0.001)</w:t>
      </w:r>
      <w:r w:rsidR="005853A9">
        <w:rPr>
          <w:kern w:val="0"/>
        </w:rPr>
        <w:t xml:space="preserve"> and </w:t>
      </w:r>
      <w:r>
        <w:rPr>
          <w:kern w:val="0"/>
        </w:rPr>
        <w:t>weight (OR overweight vs normal 0.92, 95% CI 0.86-0.98, P = 0.011) to be associated with TGCT</w:t>
      </w:r>
      <w:r w:rsidR="00A37C1D">
        <w:rPr>
          <w:kern w:val="0"/>
        </w:rPr>
        <w:t>. The</w:t>
      </w:r>
      <w:r w:rsidR="003A1917">
        <w:rPr>
          <w:kern w:val="0"/>
        </w:rPr>
        <w:t xml:space="preserve"> </w:t>
      </w:r>
      <w:r>
        <w:rPr>
          <w:kern w:val="0"/>
        </w:rPr>
        <w:t>meta-analysis</w:t>
      </w:r>
      <w:r w:rsidR="00427468">
        <w:rPr>
          <w:kern w:val="0"/>
        </w:rPr>
        <w:t xml:space="preserve"> of </w:t>
      </w:r>
      <w:r>
        <w:rPr>
          <w:kern w:val="0"/>
        </w:rPr>
        <w:t>weight</w:t>
      </w:r>
      <w:r w:rsidR="005853A9">
        <w:rPr>
          <w:kern w:val="0"/>
        </w:rPr>
        <w:t xml:space="preserve"> and </w:t>
      </w:r>
      <w:r>
        <w:rPr>
          <w:kern w:val="0"/>
        </w:rPr>
        <w:t>TGCT produced a summary estimate, which indicated no association, although an analysis restricted studies to North American was suggestive</w:t>
      </w:r>
      <w:r w:rsidR="00427468">
        <w:rPr>
          <w:kern w:val="0"/>
        </w:rPr>
        <w:t xml:space="preserve"> of </w:t>
      </w:r>
      <w:r>
        <w:rPr>
          <w:kern w:val="0"/>
        </w:rPr>
        <w:t>association (OR per 1-kg increase 1.01, 95% CI 1.00-1.01, P&lt;0.001). CONCLUSIONS: This systematic review</w:t>
      </w:r>
      <w:r w:rsidR="005853A9">
        <w:rPr>
          <w:kern w:val="0"/>
        </w:rPr>
        <w:t xml:space="preserve"> and </w:t>
      </w:r>
      <w:r>
        <w:rPr>
          <w:kern w:val="0"/>
        </w:rPr>
        <w:t>meta-analysis has found evidence for a positive association</w:t>
      </w:r>
      <w:r w:rsidR="00427468">
        <w:rPr>
          <w:kern w:val="0"/>
        </w:rPr>
        <w:t xml:space="preserve"> of </w:t>
      </w:r>
      <w:r>
        <w:rPr>
          <w:kern w:val="0"/>
        </w:rPr>
        <w:t>adult height</w:t>
      </w:r>
      <w:r w:rsidR="005853A9">
        <w:rPr>
          <w:kern w:val="0"/>
        </w:rPr>
        <w:t xml:space="preserve"> and </w:t>
      </w:r>
      <w:r>
        <w:rPr>
          <w:kern w:val="0"/>
        </w:rPr>
        <w:t>TGCT,</w:t>
      </w:r>
      <w:r w:rsidR="005853A9">
        <w:rPr>
          <w:kern w:val="0"/>
        </w:rPr>
        <w:t xml:space="preserve"> and </w:t>
      </w:r>
      <w:r>
        <w:rPr>
          <w:kern w:val="0"/>
        </w:rPr>
        <w:t>tentative evidence for an inverse association</w:t>
      </w:r>
      <w:r w:rsidR="00427468">
        <w:rPr>
          <w:kern w:val="0"/>
        </w:rPr>
        <w:t xml:space="preserve"> of </w:t>
      </w:r>
      <w:r>
        <w:rPr>
          <w:kern w:val="0"/>
        </w:rPr>
        <w:t>BMI</w:t>
      </w:r>
      <w:r w:rsidR="005853A9">
        <w:rPr>
          <w:kern w:val="0"/>
        </w:rPr>
        <w:t xml:space="preserve"> and </w:t>
      </w:r>
      <w:r>
        <w:rPr>
          <w:kern w:val="0"/>
        </w:rPr>
        <w:t>TGCT. British Journal</w:t>
      </w:r>
      <w:r w:rsidR="00427468">
        <w:rPr>
          <w:kern w:val="0"/>
        </w:rPr>
        <w:t xml:space="preserve"> of </w:t>
      </w:r>
      <w:r>
        <w:rPr>
          <w:kern w:val="0"/>
        </w:rPr>
        <w:t>Cancer (2010) 103, 1467-1474. doi: 10.1038/sj.bjc.6605934 www.bjcancer.com (C) 2010 Cancer Research UK.</w:t>
      </w:r>
    </w:p>
    <w:p w:rsidR="00C24F7E" w:rsidRDefault="00C24F7E" w:rsidP="00C24F7E">
      <w:pPr>
        <w:pStyle w:val="a3"/>
        <w:rPr>
          <w:kern w:val="0"/>
        </w:rPr>
      </w:pPr>
      <w:r>
        <w:rPr>
          <w:kern w:val="0"/>
        </w:rPr>
        <w:t xml:space="preserve">Keywords: Adolescent Milk, Adult, Analysis, Bmi, Body Height, Body Mass Index, Body Weight, Cancer, Dietary Practices, EMBASE, European Countries, Germ-Cell Tumors, Journal, Mass Index, Meta-Analysis, Normal, Overweight, Physical-Activity, </w:t>
      </w:r>
      <w:r w:rsidR="002C12F0">
        <w:rPr>
          <w:kern w:val="0"/>
        </w:rPr>
        <w:t>PUBMED</w:t>
      </w:r>
      <w:r>
        <w:rPr>
          <w:kern w:val="0"/>
        </w:rPr>
        <w:t>, Ratio, Research, Review, Science, Scopus, Secular Trends, Systematic, Systematic Review, Testicular Cancer, Testicular Neoplasms</w:t>
      </w:r>
      <w:r w:rsidR="00D5664A">
        <w:rPr>
          <w:kern w:val="0"/>
        </w:rPr>
        <w:t>, UK,</w:t>
      </w:r>
      <w:r>
        <w:rPr>
          <w:kern w:val="0"/>
        </w:rPr>
        <w:t xml:space="preserve"> Undescended Testes, United-States, </w:t>
      </w:r>
      <w:r w:rsidR="00D5664A">
        <w:rPr>
          <w:kern w:val="0"/>
        </w:rPr>
        <w:t>Web</w:t>
      </w:r>
      <w:r w:rsidR="00427468">
        <w:rPr>
          <w:kern w:val="0"/>
        </w:rPr>
        <w:t xml:space="preserve"> of </w:t>
      </w:r>
      <w:r w:rsidR="00D5664A">
        <w:rPr>
          <w:kern w:val="0"/>
        </w:rPr>
        <w:t>Science</w:t>
      </w:r>
      <w:r>
        <w:rPr>
          <w:kern w:val="0"/>
        </w:rPr>
        <w:t>, Young Men</w:t>
      </w:r>
    </w:p>
    <w:p w:rsidR="00C24F7E" w:rsidRDefault="00C24F7E" w:rsidP="00C24F7E">
      <w:pPr>
        <w:pStyle w:val="a3"/>
        <w:rPr>
          <w:kern w:val="0"/>
        </w:rPr>
      </w:pPr>
      <w:r>
        <w:rPr>
          <w:rFonts w:hint="eastAsia"/>
          <w:kern w:val="0"/>
        </w:rPr>
        <w:t xml:space="preserve">? </w:t>
      </w:r>
      <w:r>
        <w:rPr>
          <w:kern w:val="0"/>
        </w:rPr>
        <w:t>Smith, R.A., Tang, J., Tudur-Smith, C., Neoptolemos, J.P.</w:t>
      </w:r>
      <w:r w:rsidR="005853A9">
        <w:rPr>
          <w:kern w:val="0"/>
        </w:rPr>
        <w:t xml:space="preserve"> and </w:t>
      </w:r>
      <w:r>
        <w:rPr>
          <w:kern w:val="0"/>
        </w:rPr>
        <w:t>Ghaneh, P. (2011), Meta-analysis</w:t>
      </w:r>
      <w:r w:rsidR="00427468">
        <w:rPr>
          <w:kern w:val="0"/>
        </w:rPr>
        <w:t xml:space="preserve"> of </w:t>
      </w:r>
      <w:r>
        <w:rPr>
          <w:kern w:val="0"/>
        </w:rPr>
        <w:t xml:space="preserve">immunohistochemical prognostic markers in resected pancreatic cancer. </w:t>
      </w:r>
      <w:r>
        <w:rPr>
          <w:i/>
          <w:iCs/>
          <w:kern w:val="0"/>
        </w:rPr>
        <w:t>British Journal</w:t>
      </w:r>
      <w:r w:rsidR="00427468">
        <w:rPr>
          <w:i/>
          <w:iCs/>
          <w:kern w:val="0"/>
        </w:rPr>
        <w:t xml:space="preserve"> of </w:t>
      </w:r>
      <w:r>
        <w:rPr>
          <w:i/>
          <w:iCs/>
          <w:kern w:val="0"/>
        </w:rPr>
        <w:t>Cancer</w:t>
      </w:r>
      <w:r>
        <w:rPr>
          <w:kern w:val="0"/>
        </w:rPr>
        <w:t xml:space="preserve">, </w:t>
      </w:r>
      <w:r>
        <w:rPr>
          <w:b/>
          <w:bCs/>
          <w:kern w:val="0"/>
        </w:rPr>
        <w:t>104</w:t>
      </w:r>
      <w:r>
        <w:rPr>
          <w:kern w:val="0"/>
        </w:rPr>
        <w:t xml:space="preserve"> (9), 1440-1451.</w:t>
      </w:r>
    </w:p>
    <w:p w:rsidR="00BE3DA8" w:rsidRPr="00FC7835" w:rsidRDefault="00BE3DA8" w:rsidP="00BE3DA8">
      <w:pPr>
        <w:pStyle w:val="a3"/>
      </w:pPr>
      <w:r>
        <w:t>Full Text:</w:t>
      </w:r>
      <w:r w:rsidRPr="00FC7835">
        <w:t xml:space="preserve"> </w:t>
      </w:r>
      <w:hyperlink r:id="rId1869" w:history="1">
        <w:r w:rsidRPr="00213C2B">
          <w:rPr>
            <w:rStyle w:val="a5"/>
          </w:rPr>
          <w:t>2011\Bri J Can104, 1440.pdf</w:t>
        </w:r>
      </w:hyperlink>
    </w:p>
    <w:p w:rsidR="00C24F7E" w:rsidRDefault="00C24F7E" w:rsidP="00C24F7E">
      <w:pPr>
        <w:pStyle w:val="a3"/>
        <w:rPr>
          <w:kern w:val="0"/>
        </w:rPr>
      </w:pPr>
      <w:r>
        <w:rPr>
          <w:kern w:val="0"/>
        </w:rPr>
        <w:t>Abstract: BACKGROUND:</w:t>
      </w:r>
      <w:r w:rsidR="003A1917">
        <w:rPr>
          <w:kern w:val="0"/>
        </w:rPr>
        <w:t xml:space="preserve"> the </w:t>
      </w:r>
      <w:r>
        <w:rPr>
          <w:kern w:val="0"/>
        </w:rPr>
        <w:t>potential prognostic value</w:t>
      </w:r>
      <w:r w:rsidR="00427468">
        <w:rPr>
          <w:kern w:val="0"/>
        </w:rPr>
        <w:t xml:space="preserve"> of </w:t>
      </w:r>
      <w:r>
        <w:rPr>
          <w:kern w:val="0"/>
        </w:rPr>
        <w:t xml:space="preserve">several commonly investigated immunohistochemical markers in resected pancreatic cancer is variably </w:t>
      </w:r>
      <w:r>
        <w:rPr>
          <w:kern w:val="0"/>
        </w:rPr>
        <w:lastRenderedPageBreak/>
        <w:t>reported</w:t>
      </w:r>
      <w:r w:rsidR="00A37C1D">
        <w:rPr>
          <w:kern w:val="0"/>
        </w:rPr>
        <w:t>. The</w:t>
      </w:r>
      <w:r w:rsidR="003A1917">
        <w:rPr>
          <w:kern w:val="0"/>
        </w:rPr>
        <w:t xml:space="preserve"> </w:t>
      </w:r>
      <w:r>
        <w:rPr>
          <w:kern w:val="0"/>
        </w:rPr>
        <w:t>objective</w:t>
      </w:r>
      <w:r w:rsidR="00427468">
        <w:rPr>
          <w:kern w:val="0"/>
        </w:rPr>
        <w:t xml:space="preserve"> of </w:t>
      </w:r>
      <w:r>
        <w:rPr>
          <w:kern w:val="0"/>
        </w:rPr>
        <w:t>this study was to conduct a systematic review</w:t>
      </w:r>
      <w:r w:rsidR="00427468">
        <w:rPr>
          <w:kern w:val="0"/>
        </w:rPr>
        <w:t xml:space="preserve"> of </w:t>
      </w:r>
      <w:r>
        <w:rPr>
          <w:kern w:val="0"/>
        </w:rPr>
        <w:t>literature evaluating p53, p16, smad4, bcl-2, bax, vascular endothelial growth factor (VEGF)</w:t>
      </w:r>
      <w:r w:rsidR="005853A9">
        <w:rPr>
          <w:kern w:val="0"/>
        </w:rPr>
        <w:t xml:space="preserve"> and </w:t>
      </w:r>
      <w:r>
        <w:rPr>
          <w:kern w:val="0"/>
        </w:rPr>
        <w:t>epidermal growth factor receptor (EGFR) expression as prognostic factors in resected pancreatic adenocarcinoma</w:t>
      </w:r>
      <w:r w:rsidR="005853A9">
        <w:rPr>
          <w:kern w:val="0"/>
        </w:rPr>
        <w:t xml:space="preserve"> and </w:t>
      </w:r>
      <w:r>
        <w:rPr>
          <w:kern w:val="0"/>
        </w:rPr>
        <w:t>to conduct a subsequent meta-analysis to quantify</w:t>
      </w:r>
      <w:r w:rsidR="003A1917">
        <w:rPr>
          <w:kern w:val="0"/>
        </w:rPr>
        <w:t xml:space="preserve"> the </w:t>
      </w:r>
      <w:r>
        <w:rPr>
          <w:kern w:val="0"/>
        </w:rPr>
        <w:t xml:space="preserve">overall prognostic effect. METHODS: Relevant literature was identified using </w:t>
      </w:r>
      <w:r w:rsidR="00D5664A">
        <w:rPr>
          <w:kern w:val="0"/>
        </w:rPr>
        <w:t>MEDLINE</w:t>
      </w:r>
      <w:r>
        <w:rPr>
          <w:kern w:val="0"/>
        </w:rPr>
        <w:t>, EMBASE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sidR="00A37C1D">
        <w:rPr>
          <w:kern w:val="0"/>
        </w:rPr>
        <w:t>. The</w:t>
      </w:r>
      <w:r w:rsidR="003A1917">
        <w:rPr>
          <w:kern w:val="0"/>
        </w:rPr>
        <w:t xml:space="preserve"> </w:t>
      </w:r>
      <w:r>
        <w:rPr>
          <w:kern w:val="0"/>
        </w:rPr>
        <w:t>primary end point was overall survival assessed on univariate analysis. Only studies analysing resected pancreatic adenocarcinoma were eligible for inclusion</w:t>
      </w:r>
      <w:r w:rsidR="005853A9">
        <w:rPr>
          <w:kern w:val="0"/>
        </w:rPr>
        <w:t xml:space="preserve"> and </w:t>
      </w:r>
      <w:r w:rsidR="003A1917">
        <w:rPr>
          <w:kern w:val="0"/>
        </w:rPr>
        <w:t xml:space="preserve">the </w:t>
      </w:r>
      <w:r>
        <w:rPr>
          <w:kern w:val="0"/>
        </w:rPr>
        <w:t>summary log(e) hazard ratio (logHR)</w:t>
      </w:r>
      <w:r w:rsidR="005853A9">
        <w:rPr>
          <w:kern w:val="0"/>
        </w:rPr>
        <w:t xml:space="preserve"> and </w:t>
      </w:r>
      <w:r>
        <w:rPr>
          <w:kern w:val="0"/>
        </w:rPr>
        <w:t>variance were pooled using an inverse variance approach. Evidence</w:t>
      </w:r>
      <w:r w:rsidR="00427468">
        <w:rPr>
          <w:kern w:val="0"/>
        </w:rPr>
        <w:t xml:space="preserve"> of </w:t>
      </w:r>
      <w:r>
        <w:rPr>
          <w:kern w:val="0"/>
        </w:rPr>
        <w:t>heterogeneity was evaluated using</w:t>
      </w:r>
      <w:r w:rsidR="003A1917">
        <w:rPr>
          <w:kern w:val="0"/>
        </w:rPr>
        <w:t xml:space="preserve"> the </w:t>
      </w:r>
      <w:r>
        <w:rPr>
          <w:kern w:val="0"/>
        </w:rPr>
        <w:t>chi(2) test for heterogeneity</w:t>
      </w:r>
      <w:r w:rsidR="005853A9">
        <w:rPr>
          <w:kern w:val="0"/>
        </w:rPr>
        <w:t xml:space="preserve"> and </w:t>
      </w:r>
      <w:r>
        <w:rPr>
          <w:kern w:val="0"/>
        </w:rPr>
        <w:t>its impact on</w:t>
      </w:r>
      <w:r w:rsidR="003A1917">
        <w:rPr>
          <w:kern w:val="0"/>
        </w:rPr>
        <w:t xml:space="preserve"> the </w:t>
      </w:r>
      <w:r>
        <w:rPr>
          <w:kern w:val="0"/>
        </w:rPr>
        <w:t>meta-analysis was assessed by</w:t>
      </w:r>
      <w:r w:rsidR="003A1917">
        <w:rPr>
          <w:kern w:val="0"/>
        </w:rPr>
        <w:t xml:space="preserve"> the </w:t>
      </w:r>
      <w:r>
        <w:rPr>
          <w:kern w:val="0"/>
        </w:rPr>
        <w:t>I(2) statisic. Hazard ratios greater than one reflect adverse survival associated with positive immunostaining. RESULTS: Vascular endothelial growth factor emerged as</w:t>
      </w:r>
      <w:r w:rsidR="003A1917">
        <w:rPr>
          <w:kern w:val="0"/>
        </w:rPr>
        <w:t xml:space="preserve"> the </w:t>
      </w:r>
      <w:r>
        <w:rPr>
          <w:kern w:val="0"/>
        </w:rPr>
        <w:t>most potentially informative prognostic marker (11 eligible studies, n = 767, HR = 1.51 (95% confidence interval, CI = 1.18-1.92)) with no evidence</w:t>
      </w:r>
      <w:r w:rsidR="00427468">
        <w:rPr>
          <w:kern w:val="0"/>
        </w:rPr>
        <w:t xml:space="preserve"> of </w:t>
      </w:r>
      <w:r>
        <w:rPr>
          <w:kern w:val="0"/>
        </w:rPr>
        <w:t>any significant publication bias (Egger</w:t>
      </w:r>
      <w:r w:rsidR="00700038">
        <w:rPr>
          <w:kern w:val="0"/>
        </w:rPr>
        <w:t>’</w:t>
      </w:r>
      <w:r w:rsidR="00C13DDC">
        <w:rPr>
          <w:kern w:val="0"/>
        </w:rPr>
        <w:t>s</w:t>
      </w:r>
      <w:r>
        <w:rPr>
          <w:kern w:val="0"/>
        </w:rPr>
        <w:t xml:space="preserve"> test, P = 0.269). Bcl-2 (5 eligible studies, n = 314, HR = 0.51 (95% CI = 0.38-0.68)), bax (5 studies, n = 274, HR = 0.63 (95% CI = 0.48-0.83))</w:t>
      </w:r>
      <w:r w:rsidR="005853A9">
        <w:rPr>
          <w:kern w:val="0"/>
        </w:rPr>
        <w:t xml:space="preserve"> and </w:t>
      </w:r>
      <w:r>
        <w:rPr>
          <w:kern w:val="0"/>
        </w:rPr>
        <w:t>p16 (3 studies, n = 229, HR = 0.63 (95% CI = 0.43-0.92)) also returned significant overall survival differences, but in smaller patient series due to a lack</w:t>
      </w:r>
      <w:r w:rsidR="00427468">
        <w:rPr>
          <w:kern w:val="0"/>
        </w:rPr>
        <w:t xml:space="preserve"> of </w:t>
      </w:r>
      <w:r>
        <w:rPr>
          <w:kern w:val="0"/>
        </w:rPr>
        <w:t>evaluable literature. Neither p53 (17 studies, n = 925, HR = 1.22 (95% CI = 0.96-1.56)), smad4 (5 studies, n = 540, HR = 0.88 (95% CI = 0.61-1.27)) nor EGFR (4 studies, n = 250, HR = 1.35 (95% CI = 0.80-2.27)) was found to represent significant prognostic factors when analysing</w:t>
      </w:r>
      <w:r w:rsidR="003A1917">
        <w:rPr>
          <w:kern w:val="0"/>
        </w:rPr>
        <w:t xml:space="preserve"> the </w:t>
      </w:r>
      <w:r>
        <w:rPr>
          <w:kern w:val="0"/>
        </w:rPr>
        <w:t>pooled patient data</w:t>
      </w:r>
      <w:r w:rsidR="00A37C1D">
        <w:rPr>
          <w:kern w:val="0"/>
        </w:rPr>
        <w:t>. The</w:t>
      </w:r>
      <w:r>
        <w:rPr>
          <w:kern w:val="0"/>
        </w:rPr>
        <w:t>re was evidence</w:t>
      </w:r>
      <w:r w:rsidR="00427468">
        <w:rPr>
          <w:kern w:val="0"/>
        </w:rPr>
        <w:t xml:space="preserve"> of </w:t>
      </w:r>
      <w:r>
        <w:rPr>
          <w:kern w:val="0"/>
        </w:rPr>
        <w:t>significant heterogeneity in four</w:t>
      </w:r>
      <w:r w:rsidR="00427468">
        <w:rPr>
          <w:kern w:val="0"/>
        </w:rPr>
        <w:t xml:space="preserve"> of </w:t>
      </w:r>
      <w:r w:rsidR="003A1917">
        <w:rPr>
          <w:kern w:val="0"/>
        </w:rPr>
        <w:t xml:space="preserve">the </w:t>
      </w:r>
      <w:r>
        <w:rPr>
          <w:kern w:val="0"/>
        </w:rPr>
        <w:t>seven study groups. CONCLUSION: These results support</w:t>
      </w:r>
      <w:r w:rsidR="003A1917">
        <w:rPr>
          <w:kern w:val="0"/>
        </w:rPr>
        <w:t xml:space="preserve"> the </w:t>
      </w:r>
      <w:r>
        <w:rPr>
          <w:kern w:val="0"/>
        </w:rPr>
        <w:t>case for immunohistochemical expression</w:t>
      </w:r>
      <w:r w:rsidR="00427468">
        <w:rPr>
          <w:kern w:val="0"/>
        </w:rPr>
        <w:t xml:space="preserve"> of </w:t>
      </w:r>
      <w:r>
        <w:rPr>
          <w:kern w:val="0"/>
        </w:rPr>
        <w:t>VEGF representing a significant</w:t>
      </w:r>
      <w:r w:rsidR="005853A9">
        <w:rPr>
          <w:kern w:val="0"/>
        </w:rPr>
        <w:t xml:space="preserve"> and </w:t>
      </w:r>
      <w:r>
        <w:rPr>
          <w:kern w:val="0"/>
        </w:rPr>
        <w:t>reproducible marker</w:t>
      </w:r>
      <w:r w:rsidR="00427468">
        <w:rPr>
          <w:kern w:val="0"/>
        </w:rPr>
        <w:t xml:space="preserve"> of </w:t>
      </w:r>
      <w:r>
        <w:rPr>
          <w:kern w:val="0"/>
        </w:rPr>
        <w:t>adverse prognosis in resected pancreatic cancer. British Journal</w:t>
      </w:r>
      <w:r w:rsidR="00427468">
        <w:rPr>
          <w:kern w:val="0"/>
        </w:rPr>
        <w:t xml:space="preserve"> of </w:t>
      </w:r>
      <w:r>
        <w:rPr>
          <w:kern w:val="0"/>
        </w:rPr>
        <w:t>Cancer (2011) 104, 1440-1451. doi:10.1038/bjc.2011.110 www.bjcancer.com Published online 29 March 2011 (C) 2011 Cancer Research UK.</w:t>
      </w:r>
    </w:p>
    <w:p w:rsidR="00C24F7E" w:rsidRDefault="00C24F7E" w:rsidP="00C24F7E">
      <w:pPr>
        <w:pStyle w:val="a3"/>
        <w:rPr>
          <w:kern w:val="0"/>
        </w:rPr>
      </w:pPr>
      <w:r>
        <w:rPr>
          <w:kern w:val="0"/>
        </w:rPr>
        <w:t>Keywords: Adjuvant Chemotherapy, Analysis, Bcl-2, Bias, Cancer, Clinical-Significance, Clinicopathological Parameters, EMBASE, Endothelial-Growth-Factor, Factor Receptor, Immunohistochemistry, Impact, Invasive Ductal Carcinoma</w:t>
      </w:r>
      <w:r w:rsidR="00D5664A">
        <w:rPr>
          <w:kern w:val="0"/>
        </w:rPr>
        <w:t>, ISI,</w:t>
      </w:r>
      <w:r>
        <w:rPr>
          <w:kern w:val="0"/>
        </w:rPr>
        <w:t xml:space="preserve"> Journal, Ki-Ras, Literature, Meta Analysis, Meta-Analysis, Molecular, P53, P53 Protein Expression, Pancreatic Cancer, Poor-Prognosis, Primary, Prognosis, Publication, Publication Bias, Ratio, Research, Review, Science, Survival, Systematic, Systematic Review, Tissue Microarray</w:t>
      </w:r>
      <w:r w:rsidR="00D5664A">
        <w:rPr>
          <w:kern w:val="0"/>
        </w:rPr>
        <w:t>, UK,</w:t>
      </w:r>
      <w:r>
        <w:rPr>
          <w:kern w:val="0"/>
        </w:rPr>
        <w:t xml:space="preserve"> Vascular Endothelial Growth Factor, </w:t>
      </w:r>
      <w:r w:rsidR="00D5664A">
        <w:rPr>
          <w:kern w:val="0"/>
        </w:rPr>
        <w:t>Web</w:t>
      </w:r>
      <w:r w:rsidR="00427468">
        <w:rPr>
          <w:kern w:val="0"/>
        </w:rPr>
        <w:t xml:space="preserve"> of </w:t>
      </w:r>
      <w:r w:rsidR="00D5664A">
        <w:rPr>
          <w:kern w:val="0"/>
        </w:rPr>
        <w:t>Science</w:t>
      </w:r>
    </w:p>
    <w:p w:rsidR="00C24F7E" w:rsidRDefault="00C24F7E" w:rsidP="00C24F7E">
      <w:pPr>
        <w:pStyle w:val="a3"/>
        <w:rPr>
          <w:kern w:val="0"/>
        </w:rPr>
      </w:pPr>
      <w:r>
        <w:rPr>
          <w:rFonts w:hint="eastAsia"/>
          <w:kern w:val="0"/>
        </w:rPr>
        <w:t xml:space="preserve">? </w:t>
      </w:r>
      <w:r>
        <w:rPr>
          <w:kern w:val="0"/>
        </w:rPr>
        <w:t>Glover, J.A., Hughes, C.M., Cantwell, M.M.</w:t>
      </w:r>
      <w:r w:rsidR="005853A9">
        <w:rPr>
          <w:kern w:val="0"/>
        </w:rPr>
        <w:t xml:space="preserve"> and </w:t>
      </w:r>
      <w:r>
        <w:rPr>
          <w:kern w:val="0"/>
        </w:rPr>
        <w:t>Murray, L.J. (2011), A systematic review to establish</w:t>
      </w:r>
      <w:r w:rsidR="003A1917">
        <w:rPr>
          <w:kern w:val="0"/>
        </w:rPr>
        <w:t xml:space="preserve"> the </w:t>
      </w:r>
      <w:r>
        <w:rPr>
          <w:kern w:val="0"/>
        </w:rPr>
        <w:t>frequency</w:t>
      </w:r>
      <w:r w:rsidR="00427468">
        <w:rPr>
          <w:kern w:val="0"/>
        </w:rPr>
        <w:t xml:space="preserve"> of </w:t>
      </w:r>
      <w:r>
        <w:rPr>
          <w:kern w:val="0"/>
        </w:rPr>
        <w:t>cyclooxygenase-2 expression in normal breast epithelium, ductal carcinoma in situ, microinvasive carcinoma</w:t>
      </w:r>
      <w:r w:rsidR="00427468">
        <w:rPr>
          <w:kern w:val="0"/>
        </w:rPr>
        <w:t xml:space="preserve"> of </w:t>
      </w:r>
      <w:r w:rsidR="003A1917">
        <w:rPr>
          <w:kern w:val="0"/>
        </w:rPr>
        <w:t xml:space="preserve">the </w:t>
      </w:r>
      <w:r>
        <w:rPr>
          <w:kern w:val="0"/>
        </w:rPr>
        <w:t>breast</w:t>
      </w:r>
      <w:r w:rsidR="005853A9">
        <w:rPr>
          <w:kern w:val="0"/>
        </w:rPr>
        <w:t xml:space="preserve"> and </w:t>
      </w:r>
      <w:r>
        <w:rPr>
          <w:kern w:val="0"/>
        </w:rPr>
        <w:lastRenderedPageBreak/>
        <w:t xml:space="preserve">invasive breast cancer. </w:t>
      </w:r>
      <w:r>
        <w:rPr>
          <w:i/>
          <w:iCs/>
          <w:kern w:val="0"/>
        </w:rPr>
        <w:t>British Journal</w:t>
      </w:r>
      <w:r w:rsidR="00427468">
        <w:rPr>
          <w:i/>
          <w:iCs/>
          <w:kern w:val="0"/>
        </w:rPr>
        <w:t xml:space="preserve"> of </w:t>
      </w:r>
      <w:r>
        <w:rPr>
          <w:i/>
          <w:iCs/>
          <w:kern w:val="0"/>
        </w:rPr>
        <w:t>Cancer</w:t>
      </w:r>
      <w:r>
        <w:rPr>
          <w:kern w:val="0"/>
        </w:rPr>
        <w:t xml:space="preserve">, </w:t>
      </w:r>
      <w:r>
        <w:rPr>
          <w:b/>
          <w:bCs/>
          <w:kern w:val="0"/>
        </w:rPr>
        <w:t>105</w:t>
      </w:r>
      <w:r>
        <w:rPr>
          <w:kern w:val="0"/>
        </w:rPr>
        <w:t xml:space="preserve"> (1), 13-17.</w:t>
      </w:r>
    </w:p>
    <w:p w:rsidR="00BE3DA8" w:rsidRPr="00FC7835" w:rsidRDefault="00BE3DA8" w:rsidP="00BE3DA8">
      <w:pPr>
        <w:pStyle w:val="a3"/>
      </w:pPr>
      <w:r>
        <w:t>Full Text:</w:t>
      </w:r>
      <w:r w:rsidRPr="00FC7835">
        <w:t xml:space="preserve"> </w:t>
      </w:r>
      <w:hyperlink r:id="rId1870" w:history="1">
        <w:r w:rsidRPr="00BE3DA8">
          <w:rPr>
            <w:rStyle w:val="a5"/>
          </w:rPr>
          <w:t>2011\Bri J Can105, 13.pdf</w:t>
        </w:r>
      </w:hyperlink>
    </w:p>
    <w:p w:rsidR="00C24F7E" w:rsidRDefault="00C24F7E" w:rsidP="00C24F7E">
      <w:pPr>
        <w:pStyle w:val="a3"/>
        <w:rPr>
          <w:kern w:val="0"/>
        </w:rPr>
      </w:pPr>
      <w:r>
        <w:rPr>
          <w:kern w:val="0"/>
        </w:rPr>
        <w:t>Abstract: BACKGROUND: Epidemiological studies have suggested a protective effect</w:t>
      </w:r>
      <w:r w:rsidR="00427468">
        <w:rPr>
          <w:kern w:val="0"/>
        </w:rPr>
        <w:t xml:space="preserve"> of </w:t>
      </w:r>
      <w:r>
        <w:rPr>
          <w:kern w:val="0"/>
        </w:rPr>
        <w:t>cyclooxygenase (COX)-inhibiting non-steroidal anti-inflammatory drugs in breast cancer risk</w:t>
      </w:r>
      <w:r w:rsidR="005853A9">
        <w:rPr>
          <w:kern w:val="0"/>
        </w:rPr>
        <w:t xml:space="preserve"> and </w:t>
      </w:r>
      <w:r>
        <w:rPr>
          <w:kern w:val="0"/>
        </w:rPr>
        <w:t>disease progression. We performed a systematic review to evaluate</w:t>
      </w:r>
      <w:r w:rsidR="003A1917">
        <w:rPr>
          <w:kern w:val="0"/>
        </w:rPr>
        <w:t xml:space="preserve"> the </w:t>
      </w:r>
      <w:r>
        <w:rPr>
          <w:kern w:val="0"/>
        </w:rPr>
        <w:t>frequency</w:t>
      </w:r>
      <w:r w:rsidR="00427468">
        <w:rPr>
          <w:kern w:val="0"/>
        </w:rPr>
        <w:t xml:space="preserve"> of </w:t>
      </w:r>
      <w:r>
        <w:rPr>
          <w:kern w:val="0"/>
        </w:rPr>
        <w:t>COX-2 expression in normal breast epithelium, ductal carcinoma in situ</w:t>
      </w:r>
      <w:r w:rsidR="00427468">
        <w:rPr>
          <w:kern w:val="0"/>
        </w:rPr>
        <w:t xml:space="preserve"> of </w:t>
      </w:r>
      <w:r>
        <w:rPr>
          <w:kern w:val="0"/>
        </w:rPr>
        <w:t>breast (DCIS), DCIS-adjoining invasive breast cancer, microinvasive carcinoma</w:t>
      </w:r>
      <w:r w:rsidR="00427468">
        <w:rPr>
          <w:kern w:val="0"/>
        </w:rPr>
        <w:t xml:space="preserve"> of </w:t>
      </w:r>
      <w:r w:rsidR="003A1917">
        <w:rPr>
          <w:kern w:val="0"/>
        </w:rPr>
        <w:t xml:space="preserve">the </w:t>
      </w:r>
      <w:r>
        <w:rPr>
          <w:kern w:val="0"/>
        </w:rPr>
        <w:t>breast (MICB)</w:t>
      </w:r>
      <w:r w:rsidR="005853A9">
        <w:rPr>
          <w:kern w:val="0"/>
        </w:rPr>
        <w:t xml:space="preserve"> and </w:t>
      </w:r>
      <w:r>
        <w:rPr>
          <w:kern w:val="0"/>
        </w:rPr>
        <w:t xml:space="preserve">invasive breast cancer. METHODS: Literature searches were carried out on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from their commencement until September 2010. Primary studies examining COX-2 expression by immunohistochemistry methodology were included. Meta-analyses were carried out using random effects models for individual study estimates</w:t>
      </w:r>
      <w:r w:rsidR="00427468">
        <w:rPr>
          <w:kern w:val="0"/>
        </w:rPr>
        <w:t xml:space="preserve"> of </w:t>
      </w:r>
      <w:r>
        <w:rPr>
          <w:kern w:val="0"/>
        </w:rPr>
        <w:t>COX-2 expression</w:t>
      </w:r>
      <w:r w:rsidR="005853A9">
        <w:rPr>
          <w:kern w:val="0"/>
        </w:rPr>
        <w:t xml:space="preserve"> and </w:t>
      </w:r>
      <w:r>
        <w:rPr>
          <w:kern w:val="0"/>
        </w:rPr>
        <w:t>pooled to give an overall estimate. RESULTS:</w:t>
      </w:r>
      <w:r w:rsidR="003A1917">
        <w:rPr>
          <w:kern w:val="0"/>
        </w:rPr>
        <w:t xml:space="preserve"> the </w:t>
      </w:r>
      <w:r>
        <w:rPr>
          <w:kern w:val="0"/>
        </w:rPr>
        <w:t>pooled prevalences (95% confidence intervals)</w:t>
      </w:r>
      <w:r w:rsidR="00427468">
        <w:rPr>
          <w:kern w:val="0"/>
        </w:rPr>
        <w:t xml:space="preserve"> of </w:t>
      </w:r>
      <w:r>
        <w:rPr>
          <w:kern w:val="0"/>
        </w:rPr>
        <w:t>COX-2 expressions were 53% (44-61) in DCIS studies</w:t>
      </w:r>
      <w:r w:rsidR="005853A9">
        <w:rPr>
          <w:kern w:val="0"/>
        </w:rPr>
        <w:t xml:space="preserve"> and </w:t>
      </w:r>
      <w:r>
        <w:rPr>
          <w:kern w:val="0"/>
        </w:rPr>
        <w:t>42% (36-49) in</w:t>
      </w:r>
      <w:r w:rsidR="003A1917">
        <w:rPr>
          <w:kern w:val="0"/>
        </w:rPr>
        <w:t xml:space="preserve"> the </w:t>
      </w:r>
      <w:r>
        <w:rPr>
          <w:kern w:val="0"/>
        </w:rPr>
        <w:t>invasive breast cancer studies</w:t>
      </w:r>
      <w:r w:rsidR="00A37C1D">
        <w:rPr>
          <w:kern w:val="0"/>
        </w:rPr>
        <w:t>. The</w:t>
      </w:r>
      <w:r>
        <w:rPr>
          <w:kern w:val="0"/>
        </w:rPr>
        <w:t>re were too few studies involving normal breast epithelium, DCIS-adjoining invasive breast cancer</w:t>
      </w:r>
      <w:r w:rsidR="005853A9">
        <w:rPr>
          <w:kern w:val="0"/>
        </w:rPr>
        <w:t xml:space="preserve"> and </w:t>
      </w:r>
      <w:r>
        <w:rPr>
          <w:kern w:val="0"/>
        </w:rPr>
        <w:t>MICB to conduct meta-analyses. CONCLUSION:</w:t>
      </w:r>
      <w:r w:rsidR="003A1917">
        <w:rPr>
          <w:kern w:val="0"/>
        </w:rPr>
        <w:t xml:space="preserve"> the </w:t>
      </w:r>
      <w:r>
        <w:rPr>
          <w:kern w:val="0"/>
        </w:rPr>
        <w:t>findings from our meta-analyses have shown similar COX-2 expression in DCIS</w:t>
      </w:r>
      <w:r w:rsidR="005853A9">
        <w:rPr>
          <w:kern w:val="0"/>
        </w:rPr>
        <w:t xml:space="preserve"> and </w:t>
      </w:r>
      <w:r>
        <w:rPr>
          <w:kern w:val="0"/>
        </w:rPr>
        <w:t>invasive breast cancer. This may suggest</w:t>
      </w:r>
      <w:r w:rsidR="003A1917">
        <w:rPr>
          <w:kern w:val="0"/>
        </w:rPr>
        <w:t xml:space="preserve"> the </w:t>
      </w:r>
      <w:r>
        <w:rPr>
          <w:kern w:val="0"/>
        </w:rPr>
        <w:t>involvement</w:t>
      </w:r>
      <w:r w:rsidR="00427468">
        <w:rPr>
          <w:kern w:val="0"/>
        </w:rPr>
        <w:t xml:space="preserve"> of </w:t>
      </w:r>
      <w:r>
        <w:rPr>
          <w:kern w:val="0"/>
        </w:rPr>
        <w:t>COX-2 in early carcinogenesis. Further studies</w:t>
      </w:r>
      <w:r w:rsidR="00427468">
        <w:rPr>
          <w:kern w:val="0"/>
        </w:rPr>
        <w:t xml:space="preserve"> of </w:t>
      </w:r>
      <w:r>
        <w:rPr>
          <w:kern w:val="0"/>
        </w:rPr>
        <w:t>COX-2 expression in DCIS are required to investigate</w:t>
      </w:r>
      <w:r w:rsidR="003A1917">
        <w:rPr>
          <w:kern w:val="0"/>
        </w:rPr>
        <w:t xml:space="preserve"> the </w:t>
      </w:r>
      <w:r>
        <w:rPr>
          <w:kern w:val="0"/>
        </w:rPr>
        <w:t>use</w:t>
      </w:r>
      <w:r w:rsidR="00427468">
        <w:rPr>
          <w:kern w:val="0"/>
        </w:rPr>
        <w:t xml:space="preserve"> of </w:t>
      </w:r>
      <w:r>
        <w:rPr>
          <w:kern w:val="0"/>
        </w:rPr>
        <w:t>COX-2 as a potential drug target for prevention</w:t>
      </w:r>
      <w:r w:rsidR="00427468">
        <w:rPr>
          <w:kern w:val="0"/>
        </w:rPr>
        <w:t xml:space="preserve"> of </w:t>
      </w:r>
      <w:r>
        <w:rPr>
          <w:kern w:val="0"/>
        </w:rPr>
        <w:t>disease progression in DCIS. British Journal</w:t>
      </w:r>
      <w:r w:rsidR="00427468">
        <w:rPr>
          <w:kern w:val="0"/>
        </w:rPr>
        <w:t xml:space="preserve"> of </w:t>
      </w:r>
      <w:r>
        <w:rPr>
          <w:kern w:val="0"/>
        </w:rPr>
        <w:t>Cancer (2011) 105, 13-17. doi:10.1038/bjc.2011.204 www.bjcancer.com Published online 7 June 2011 (C) 2011 Cancer Research UK.</w:t>
      </w:r>
    </w:p>
    <w:p w:rsidR="00C24F7E" w:rsidRDefault="00C24F7E" w:rsidP="00C24F7E">
      <w:pPr>
        <w:pStyle w:val="a3"/>
        <w:rPr>
          <w:kern w:val="0"/>
        </w:rPr>
      </w:pPr>
      <w:r>
        <w:rPr>
          <w:kern w:val="0"/>
        </w:rPr>
        <w:t xml:space="preserve">Keywords: Aggressive Phenotype, Breast Cancer, Cancer, Carcinogenesis, Carcinoma, Confidence Intervals, Cox-2, Cox-2 Expression, Cyclooxygenase-2, DCIS, Diagnosis, Disease, Drug, EMBASE, Features, Frequency, HER-2, NEU, Immunohistochemistry, Involvement, Journal, </w:t>
      </w:r>
      <w:r w:rsidR="00D5664A">
        <w:rPr>
          <w:kern w:val="0"/>
        </w:rPr>
        <w:t>MEDLINE</w:t>
      </w:r>
      <w:r>
        <w:rPr>
          <w:kern w:val="0"/>
        </w:rPr>
        <w:t>, Methodology, MICB, Normal, Overexpression, Prevention, Primary, Prognostic-Significance, Progression, Recurrence, Research, Review, Risk, Science, Survival, Systematic, Systematic Review</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AF28BD" w:rsidRDefault="00AF28BD" w:rsidP="00AF28BD">
      <w:pPr>
        <w:pStyle w:val="a3"/>
        <w:rPr>
          <w:kern w:val="0"/>
        </w:rPr>
      </w:pPr>
      <w:r>
        <w:rPr>
          <w:rFonts w:hint="eastAsia"/>
          <w:kern w:val="0"/>
        </w:rPr>
        <w:t xml:space="preserve">? </w:t>
      </w:r>
      <w:r>
        <w:rPr>
          <w:kern w:val="0"/>
        </w:rPr>
        <w:t>Li, X., Wu, X.B. and Chen, Q. (2014), Statin use is not associated with reduced risk</w:t>
      </w:r>
      <w:r w:rsidR="00427468">
        <w:rPr>
          <w:kern w:val="0"/>
        </w:rPr>
        <w:t xml:space="preserve"> of </w:t>
      </w:r>
      <w:r>
        <w:rPr>
          <w:kern w:val="0"/>
        </w:rPr>
        <w:t xml:space="preserve">skin cancer: A meta-analysis. </w:t>
      </w:r>
      <w:r>
        <w:rPr>
          <w:i/>
          <w:iCs/>
          <w:kern w:val="0"/>
        </w:rPr>
        <w:t>British Journal</w:t>
      </w:r>
      <w:r w:rsidR="00427468">
        <w:rPr>
          <w:i/>
          <w:iCs/>
          <w:kern w:val="0"/>
        </w:rPr>
        <w:t xml:space="preserve"> of </w:t>
      </w:r>
      <w:r>
        <w:rPr>
          <w:i/>
          <w:iCs/>
          <w:kern w:val="0"/>
        </w:rPr>
        <w:t>Cancer</w:t>
      </w:r>
      <w:r>
        <w:rPr>
          <w:kern w:val="0"/>
        </w:rPr>
        <w:t xml:space="preserve">, </w:t>
      </w:r>
      <w:r>
        <w:rPr>
          <w:b/>
          <w:bCs/>
          <w:kern w:val="0"/>
        </w:rPr>
        <w:t>110</w:t>
      </w:r>
      <w:r>
        <w:rPr>
          <w:kern w:val="0"/>
        </w:rPr>
        <w:t xml:space="preserve"> (3), 802-807.</w:t>
      </w:r>
    </w:p>
    <w:p w:rsidR="00AF28BD" w:rsidRPr="00FC7835" w:rsidRDefault="00AF28BD" w:rsidP="00AF28BD">
      <w:pPr>
        <w:pStyle w:val="a3"/>
      </w:pPr>
      <w:r>
        <w:t>Full Text:</w:t>
      </w:r>
      <w:r w:rsidRPr="00FC7835">
        <w:t xml:space="preserve"> </w:t>
      </w:r>
      <w:hyperlink r:id="rId1871" w:history="1">
        <w:r w:rsidRPr="009E6E63">
          <w:rPr>
            <w:rStyle w:val="a5"/>
          </w:rPr>
          <w:t>2014\Bri J Can110, 802.pdf</w:t>
        </w:r>
      </w:hyperlink>
    </w:p>
    <w:p w:rsidR="00AF28BD" w:rsidRDefault="00AF28BD" w:rsidP="00AF28BD">
      <w:pPr>
        <w:pStyle w:val="a3"/>
        <w:rPr>
          <w:kern w:val="0"/>
        </w:rPr>
      </w:pPr>
      <w:r>
        <w:rPr>
          <w:kern w:val="0"/>
        </w:rPr>
        <w:t>Abstract: Background: There is contradictory evidence about the association between statin and skin cancer. Methods: Literature search in PubMed and Web</w:t>
      </w:r>
      <w:r w:rsidR="00427468">
        <w:rPr>
          <w:kern w:val="0"/>
        </w:rPr>
        <w:t xml:space="preserve"> of </w:t>
      </w:r>
      <w:r>
        <w:rPr>
          <w:kern w:val="0"/>
        </w:rPr>
        <w:t>Science was undertaken up to June 2013. Pooled relative risk (RR) estimates and 95% confidence intervals (CIs) were calculated. Result: A total</w:t>
      </w:r>
      <w:r w:rsidR="00427468">
        <w:rPr>
          <w:kern w:val="0"/>
        </w:rPr>
        <w:t xml:space="preserve"> of </w:t>
      </w:r>
      <w:r>
        <w:rPr>
          <w:kern w:val="0"/>
        </w:rPr>
        <w:t xml:space="preserve">21 articles with 29 studies were identified. No association was found between statin and skin cancer among neither melanoma (RR, 0.94; 95% CI, 0.85-1.04) nor non-melanoma skin </w:t>
      </w:r>
      <w:r>
        <w:rPr>
          <w:kern w:val="0"/>
        </w:rPr>
        <w:lastRenderedPageBreak/>
        <w:t>cancer (RR, 1.03; 95% CI, 0.90-1.19). Conclusion: Our meta-analysis does not support a potential role</w:t>
      </w:r>
      <w:r w:rsidR="00427468">
        <w:rPr>
          <w:kern w:val="0"/>
        </w:rPr>
        <w:t xml:space="preserve"> of </w:t>
      </w:r>
      <w:r>
        <w:rPr>
          <w:kern w:val="0"/>
        </w:rPr>
        <w:t>statin use in the prevention</w:t>
      </w:r>
      <w:r w:rsidR="00427468">
        <w:rPr>
          <w:kern w:val="0"/>
        </w:rPr>
        <w:t xml:space="preserve"> of </w:t>
      </w:r>
      <w:r>
        <w:rPr>
          <w:kern w:val="0"/>
        </w:rPr>
        <w:t>skin cancer.</w:t>
      </w:r>
    </w:p>
    <w:p w:rsidR="00AF28BD" w:rsidRDefault="00AF28BD" w:rsidP="00AF28BD">
      <w:pPr>
        <w:pStyle w:val="a3"/>
        <w:rPr>
          <w:kern w:val="0"/>
        </w:rPr>
      </w:pPr>
      <w:r>
        <w:rPr>
          <w:kern w:val="0"/>
        </w:rPr>
        <w:t>Keywords: 3-Hydroxy-3-Methylglutaryl Coenzyme, Apoptosis, Association, Average Cholesterol Levels, Cancer, Confidence, Confidence Intervals, Coronary Events, Disease, Estimates, Evidence, Intervals, Literature, Melanoma, Melanoma-Cells, Merkel Cell-Carcinoma, Meta Analysis, Meta-Analysis, Metaanalysis, Methods, Mortality, Non-Melanoma, Population, Potential, Pravastatin, Prevention, Pubmed, Relative Risk, Risk, Role, Science, Skin, Skin Cancer, Statin, Support, Web</w:t>
      </w:r>
      <w:r w:rsidR="00427468">
        <w:rPr>
          <w:kern w:val="0"/>
        </w:rPr>
        <w:t xml:space="preserve"> of </w:t>
      </w:r>
      <w:r>
        <w:rPr>
          <w:kern w:val="0"/>
        </w:rPr>
        <w:t>Science</w:t>
      </w:r>
    </w:p>
    <w:p w:rsidR="003474F2" w:rsidRPr="001A3D2B" w:rsidRDefault="003474F2" w:rsidP="003474F2">
      <w:pPr>
        <w:pStyle w:val="1"/>
      </w:pPr>
      <w:r w:rsidRPr="001A3D2B">
        <w:br w:type="page"/>
      </w:r>
      <w:bookmarkStart w:id="916" w:name="_Toc420814816"/>
      <w:r w:rsidRPr="001A3D2B">
        <w:lastRenderedPageBreak/>
        <w:t>Title: British Journal</w:t>
      </w:r>
      <w:r w:rsidR="00427468">
        <w:t xml:space="preserve"> of </w:t>
      </w:r>
      <w:r w:rsidRPr="001A3D2B">
        <w:t>Clinical Pharmacolog</w:t>
      </w:r>
      <w:bookmarkStart w:id="917" w:name="_Toc141464122"/>
      <w:r w:rsidRPr="001A3D2B">
        <w:t>y</w:t>
      </w:r>
      <w:bookmarkEnd w:id="916"/>
    </w:p>
    <w:p w:rsidR="003474F2" w:rsidRPr="001A3D2B" w:rsidRDefault="003474F2" w:rsidP="003474F2">
      <w:pPr>
        <w:pStyle w:val="12"/>
      </w:pPr>
      <w:r w:rsidRPr="001A3D2B">
        <w:t xml:space="preserve">Full Journal Title: </w:t>
      </w:r>
      <w:r w:rsidR="00206C8A">
        <w:fldChar w:fldCharType="begin"/>
      </w:r>
      <w:r w:rsidR="00FD158B">
        <w:instrText>HYPERLINK "http://www.bl</w:instrText>
      </w:r>
      <w:bookmarkEnd w:id="917"/>
      <w:r w:rsidR="00FD158B">
        <w:instrText>ackwell-synergy.com/servlet/useragent?func=showIssues&amp;code=bcp"</w:instrText>
      </w:r>
      <w:r w:rsidR="00206C8A">
        <w:fldChar w:fldCharType="separate"/>
      </w:r>
      <w:r w:rsidRPr="001A3D2B">
        <w:rPr>
          <w:rStyle w:val="a5"/>
        </w:rPr>
        <w:t>British Journal</w:t>
      </w:r>
      <w:r w:rsidR="00427468">
        <w:rPr>
          <w:rStyle w:val="a5"/>
        </w:rPr>
        <w:t xml:space="preserve"> of </w:t>
      </w:r>
      <w:r w:rsidRPr="001A3D2B">
        <w:rPr>
          <w:rStyle w:val="a5"/>
        </w:rPr>
        <w:t>Clinical Pharmacology</w:t>
      </w:r>
      <w:r w:rsidR="00206C8A">
        <w:fldChar w:fldCharType="end"/>
      </w:r>
    </w:p>
    <w:p w:rsidR="003474F2" w:rsidRPr="001A3D2B" w:rsidRDefault="003474F2" w:rsidP="003474F2">
      <w:pPr>
        <w:pStyle w:val="12"/>
      </w:pPr>
      <w:r w:rsidRPr="001A3D2B">
        <w:t>ISO Abbreviated Title: Br. J. Clin. Pharmacol.</w:t>
      </w:r>
    </w:p>
    <w:p w:rsidR="003474F2" w:rsidRPr="001A3D2B" w:rsidRDefault="003474F2" w:rsidP="003474F2">
      <w:pPr>
        <w:pStyle w:val="12"/>
      </w:pPr>
      <w:r w:rsidRPr="001A3D2B">
        <w:t xml:space="preserve">JCR Abbreviated Title: Brit </w:t>
      </w:r>
      <w:smartTag w:uri="urn:schemas-microsoft-com:office:smarttags" w:element="PersonName">
        <w:smartTagPr>
          <w:attr w:name="ProductID" w:val="J Clin"/>
        </w:smartTagPr>
        <w:r w:rsidRPr="001A3D2B">
          <w:t>J Clin</w:t>
        </w:r>
      </w:smartTag>
      <w:r w:rsidRPr="001A3D2B">
        <w:t xml:space="preserve"> Pharmaco</w:t>
      </w:r>
    </w:p>
    <w:p w:rsidR="003474F2" w:rsidRPr="001A3D2B" w:rsidRDefault="003474F2" w:rsidP="003474F2">
      <w:pPr>
        <w:pStyle w:val="12"/>
      </w:pPr>
      <w:r w:rsidRPr="001A3D2B">
        <w:t>ISSN: 0306-5251</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Science Ltd</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88</w:t>
        </w:r>
      </w:smartTag>
      <w:r w:rsidRPr="001A3D2B">
        <w:t xml:space="preserve">, Osney Mead, </w:t>
      </w:r>
      <w:smartTag w:uri="urn:schemas-microsoft-com:office:smarttags" w:element="City">
        <w:r w:rsidRPr="001A3D2B">
          <w:t>Oxford</w:t>
        </w:r>
      </w:smartTag>
      <w:r w:rsidRPr="001A3D2B">
        <w:t xml:space="preserve"> OX2 0NE, </w:t>
      </w:r>
      <w:smartTag w:uri="urn:schemas-microsoft-com:office:smarttags" w:element="place">
        <w:smartTag w:uri="urn:schemas-microsoft-com:office:smarttags" w:element="City">
          <w:r w:rsidRPr="001A3D2B">
            <w:t>Oxon</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Pharmacology &amp; Pharmacy: Impact Factor 2.15, 45/181 (2000)</w:t>
      </w:r>
    </w:p>
    <w:p w:rsidR="003474F2" w:rsidRPr="001A3D2B" w:rsidRDefault="003474F2" w:rsidP="003474F2">
      <w:pPr>
        <w:pStyle w:val="a3"/>
      </w:pPr>
      <w:r w:rsidRPr="001A3D2B">
        <w:t>? Ferner, R.E.</w:t>
      </w:r>
      <w:r w:rsidR="005853A9">
        <w:t xml:space="preserve"> and </w:t>
      </w:r>
      <w:r w:rsidRPr="001A3D2B">
        <w:t xml:space="preserve">Aronson, J.K. (2005), National differences in publishing papers on adverse drug reactions. </w:t>
      </w:r>
      <w:r w:rsidRPr="001A3D2B">
        <w:rPr>
          <w:i/>
          <w:iCs/>
        </w:rPr>
        <w:t>British Journal</w:t>
      </w:r>
      <w:r w:rsidR="00427468">
        <w:rPr>
          <w:i/>
          <w:iCs/>
        </w:rPr>
        <w:t xml:space="preserve"> of </w:t>
      </w:r>
      <w:r w:rsidRPr="001A3D2B">
        <w:rPr>
          <w:i/>
          <w:iCs/>
        </w:rPr>
        <w:t>Clinical Pharmacology</w:t>
      </w:r>
      <w:r w:rsidRPr="001A3D2B">
        <w:t xml:space="preserve">, </w:t>
      </w:r>
      <w:r w:rsidRPr="001A3D2B">
        <w:rPr>
          <w:b/>
          <w:bCs/>
        </w:rPr>
        <w:t>59</w:t>
      </w:r>
      <w:r w:rsidRPr="001A3D2B">
        <w:t xml:space="preserve"> (1), 108-111.</w:t>
      </w:r>
    </w:p>
    <w:p w:rsidR="00B77AEB" w:rsidRDefault="00B77AEB" w:rsidP="00B77AEB">
      <w:pPr>
        <w:pStyle w:val="a3"/>
      </w:pPr>
      <w:r>
        <w:t xml:space="preserve">Full Text: </w:t>
      </w:r>
      <w:hyperlink r:id="rId1872" w:history="1">
        <w:r w:rsidRPr="00854515">
          <w:rPr>
            <w:rStyle w:val="a5"/>
          </w:rPr>
          <w:t>2005\Bri J Cli Pha59, 108.pdf</w:t>
        </w:r>
      </w:hyperlink>
    </w:p>
    <w:p w:rsidR="003474F2" w:rsidRPr="001A3D2B" w:rsidRDefault="003474F2" w:rsidP="003474F2">
      <w:pPr>
        <w:pStyle w:val="a3"/>
      </w:pPr>
      <w:r w:rsidRPr="001A3D2B">
        <w:t>Abstract: Aims To examine how countries differ in attitudes to adverse drug reactions by examining published scientific papers. Methods We searched Ovid EMBASE for publications indexed by</w:t>
      </w:r>
      <w:r w:rsidR="003A1917">
        <w:t xml:space="preserve"> the </w:t>
      </w:r>
      <w:r w:rsidRPr="001A3D2B">
        <w:t xml:space="preserve">category </w:t>
      </w:r>
      <w:r w:rsidR="00700038">
        <w:t>‘</w:t>
      </w:r>
      <w:r w:rsidRPr="001A3D2B">
        <w:t>therapeutic agents</w:t>
      </w:r>
      <w:r w:rsidR="00700038">
        <w:t>’</w:t>
      </w:r>
      <w:r w:rsidRPr="001A3D2B">
        <w:t>,</w:t>
      </w:r>
      <w:r w:rsidR="005853A9">
        <w:t xml:space="preserve"> and </w:t>
      </w:r>
      <w:r w:rsidR="003A1917">
        <w:t xml:space="preserve">the </w:t>
      </w:r>
      <w:r w:rsidRPr="001A3D2B">
        <w:t xml:space="preserve">subcategory </w:t>
      </w:r>
      <w:r w:rsidR="00700038">
        <w:t>‘</w:t>
      </w:r>
      <w:r w:rsidRPr="001A3D2B">
        <w:t>adverse effects</w:t>
      </w:r>
      <w:r w:rsidR="00700038">
        <w:t>’</w:t>
      </w:r>
      <w:r w:rsidRPr="001A3D2B">
        <w:t>, by country for 43 countries. Results We counted 1 810 202 papers world-wide regarding therapeutic agents during 14 years,</w:t>
      </w:r>
      <w:r w:rsidR="00427468">
        <w:t xml:space="preserve"> of </w:t>
      </w:r>
      <w:r w:rsidRPr="001A3D2B">
        <w:t>which 195 154 (10.8%) were included in</w:t>
      </w:r>
      <w:r w:rsidR="003A1917">
        <w:t xml:space="preserve"> the </w:t>
      </w:r>
      <w:r w:rsidRPr="001A3D2B">
        <w:t>adverse effects subcategory</w:t>
      </w:r>
      <w:r w:rsidR="00A37C1D">
        <w:t>. The</w:t>
      </w:r>
      <w:r w:rsidRPr="001A3D2B">
        <w:t>re were substantial differences between countries, not explained by population, economic variation, overall publication rate on therapeutic agents, or</w:t>
      </w:r>
      <w:r w:rsidR="003A1917">
        <w:t xml:space="preserve"> the </w:t>
      </w:r>
      <w:r w:rsidRPr="001A3D2B">
        <w:t>presence</w:t>
      </w:r>
      <w:r w:rsidR="00427468">
        <w:t xml:space="preserve"> of </w:t>
      </w:r>
      <w:r w:rsidRPr="001A3D2B">
        <w:t>large indigenous pharmaceutical companies. Conclusions Many local cultural factors influence</w:t>
      </w:r>
      <w:r w:rsidR="003A1917">
        <w:t xml:space="preserve"> the </w:t>
      </w:r>
      <w:r w:rsidRPr="001A3D2B">
        <w:t>ratio</w:t>
      </w:r>
      <w:r w:rsidR="00427468">
        <w:t xml:space="preserve"> of </w:t>
      </w:r>
      <w:r w:rsidRPr="001A3D2B">
        <w:t>papers on adverse reactions to all drug effects, so it may be difficult to improve their recognition</w:t>
      </w:r>
      <w:r w:rsidR="005853A9">
        <w:t xml:space="preserve"> and </w:t>
      </w:r>
      <w:r w:rsidRPr="001A3D2B">
        <w:t>reporting by international efforts.</w:t>
      </w:r>
    </w:p>
    <w:p w:rsidR="003474F2" w:rsidRPr="001A3D2B" w:rsidRDefault="003474F2" w:rsidP="003474F2">
      <w:pPr>
        <w:pStyle w:val="a3"/>
      </w:pPr>
      <w:r w:rsidRPr="001A3D2B">
        <w:t>Keywords: Adverse Drug Reactions, Epidemiology, International Comparisons, Pharmacoeconomics, Population, Publication, Publications, Scientometrics</w:t>
      </w:r>
    </w:p>
    <w:p w:rsidR="00B77AEB" w:rsidRDefault="00B77AEB" w:rsidP="00B77AEB">
      <w:pPr>
        <w:pStyle w:val="a3"/>
        <w:rPr>
          <w:kern w:val="0"/>
          <w:szCs w:val="24"/>
        </w:rPr>
      </w:pPr>
      <w:r>
        <w:rPr>
          <w:rFonts w:hint="eastAsia"/>
          <w:kern w:val="0"/>
          <w:szCs w:val="24"/>
        </w:rPr>
        <w:t xml:space="preserve">? </w:t>
      </w:r>
      <w:r>
        <w:rPr>
          <w:kern w:val="0"/>
          <w:szCs w:val="24"/>
        </w:rPr>
        <w:t>Heerspink, H.J.L., Knol, M.J., Tijssen, R.J.W., van Leeuwen, T.N., Grobbee, D.E.</w:t>
      </w:r>
      <w:r w:rsidR="005853A9">
        <w:rPr>
          <w:kern w:val="0"/>
          <w:szCs w:val="24"/>
        </w:rPr>
        <w:t xml:space="preserve"> and </w:t>
      </w:r>
      <w:r>
        <w:rPr>
          <w:kern w:val="0"/>
          <w:szCs w:val="24"/>
        </w:rPr>
        <w:t>de Zeeuw, D. (2008), Is</w:t>
      </w:r>
      <w:r w:rsidR="003A1917">
        <w:rPr>
          <w:kern w:val="0"/>
          <w:szCs w:val="24"/>
        </w:rPr>
        <w:t xml:space="preserve"> the </w:t>
      </w:r>
      <w:r>
        <w:rPr>
          <w:kern w:val="0"/>
          <w:szCs w:val="24"/>
        </w:rPr>
        <w:t>randomized controlled drug trial in Europe lagging behind</w:t>
      </w:r>
      <w:r w:rsidR="003A1917">
        <w:rPr>
          <w:kern w:val="0"/>
          <w:szCs w:val="24"/>
        </w:rPr>
        <w:t xml:space="preserve"> the </w:t>
      </w:r>
      <w:r w:rsidR="00D5664A">
        <w:rPr>
          <w:kern w:val="0"/>
          <w:szCs w:val="24"/>
        </w:rPr>
        <w:t>USA</w:t>
      </w:r>
      <w:r>
        <w:rPr>
          <w:kern w:val="0"/>
          <w:szCs w:val="24"/>
        </w:rPr>
        <w:t xml:space="preserve">? </w:t>
      </w:r>
      <w:r>
        <w:rPr>
          <w:i/>
          <w:iCs/>
          <w:kern w:val="0"/>
          <w:szCs w:val="24"/>
        </w:rPr>
        <w:t>British Journal</w:t>
      </w:r>
      <w:r w:rsidR="00427468">
        <w:rPr>
          <w:i/>
          <w:iCs/>
          <w:kern w:val="0"/>
          <w:szCs w:val="24"/>
        </w:rPr>
        <w:t xml:space="preserve"> of </w:t>
      </w:r>
      <w:r>
        <w:rPr>
          <w:i/>
          <w:iCs/>
          <w:kern w:val="0"/>
          <w:szCs w:val="24"/>
        </w:rPr>
        <w:t>Clinical Pharmacology</w:t>
      </w:r>
      <w:r>
        <w:rPr>
          <w:kern w:val="0"/>
          <w:szCs w:val="24"/>
        </w:rPr>
        <w:t xml:space="preserve">, </w:t>
      </w:r>
      <w:r>
        <w:rPr>
          <w:b/>
          <w:bCs/>
          <w:kern w:val="0"/>
          <w:szCs w:val="24"/>
        </w:rPr>
        <w:t>66</w:t>
      </w:r>
      <w:r>
        <w:rPr>
          <w:kern w:val="0"/>
          <w:szCs w:val="24"/>
        </w:rPr>
        <w:t xml:space="preserve"> (6), 774-780.</w:t>
      </w:r>
    </w:p>
    <w:p w:rsidR="00B77AEB" w:rsidRDefault="00B77AEB" w:rsidP="00B77AEB">
      <w:pPr>
        <w:pStyle w:val="a3"/>
      </w:pPr>
      <w:r>
        <w:t xml:space="preserve">Full Text: </w:t>
      </w:r>
      <w:hyperlink r:id="rId1873" w:history="1">
        <w:r w:rsidRPr="00854515">
          <w:rPr>
            <w:rStyle w:val="a5"/>
          </w:rPr>
          <w:t>2008\Bri J Cli Pha66, 774.pdf</w:t>
        </w:r>
      </w:hyperlink>
    </w:p>
    <w:p w:rsidR="00B77AEB" w:rsidRDefault="00B77AEB" w:rsidP="00B77AEB">
      <w:pPr>
        <w:pStyle w:val="a3"/>
        <w:rPr>
          <w:kern w:val="0"/>
          <w:szCs w:val="24"/>
        </w:rPr>
      </w:pPr>
      <w:r>
        <w:rPr>
          <w:kern w:val="0"/>
          <w:szCs w:val="24"/>
        </w:rPr>
        <w:t>Abstract: What is already known about this subject? Center dot</w:t>
      </w:r>
      <w:r w:rsidR="003A1917">
        <w:rPr>
          <w:kern w:val="0"/>
          <w:szCs w:val="24"/>
        </w:rPr>
        <w:t xml:space="preserve"> the </w:t>
      </w:r>
      <w:r w:rsidR="00D5664A">
        <w:rPr>
          <w:kern w:val="0"/>
          <w:szCs w:val="24"/>
        </w:rPr>
        <w:t>USA</w:t>
      </w:r>
      <w:r>
        <w:rPr>
          <w:kern w:val="0"/>
          <w:szCs w:val="24"/>
        </w:rPr>
        <w:t>, UK</w:t>
      </w:r>
      <w:r w:rsidR="005853A9">
        <w:rPr>
          <w:kern w:val="0"/>
          <w:szCs w:val="24"/>
        </w:rPr>
        <w:t xml:space="preserve"> and </w:t>
      </w:r>
      <w:r>
        <w:rPr>
          <w:kern w:val="0"/>
          <w:szCs w:val="24"/>
        </w:rPr>
        <w:t>germany have a strong position in performance</w:t>
      </w:r>
      <w:r w:rsidR="00427468">
        <w:rPr>
          <w:kern w:val="0"/>
          <w:szCs w:val="24"/>
        </w:rPr>
        <w:t xml:space="preserve"> of </w:t>
      </w:r>
      <w:r>
        <w:rPr>
          <w:kern w:val="0"/>
          <w:szCs w:val="24"/>
        </w:rPr>
        <w:t>drug</w:t>
      </w:r>
      <w:r w:rsidR="005853A9">
        <w:rPr>
          <w:kern w:val="0"/>
          <w:szCs w:val="24"/>
        </w:rPr>
        <w:t xml:space="preserve"> and </w:t>
      </w:r>
      <w:r>
        <w:rPr>
          <w:kern w:val="0"/>
          <w:szCs w:val="24"/>
        </w:rPr>
        <w:t>nondrug randomized controlled trials. Center dot europe</w:t>
      </w:r>
      <w:r w:rsidR="00700038">
        <w:rPr>
          <w:kern w:val="0"/>
          <w:szCs w:val="24"/>
        </w:rPr>
        <w:t>’</w:t>
      </w:r>
      <w:r w:rsidR="00C13DDC">
        <w:rPr>
          <w:kern w:val="0"/>
          <w:szCs w:val="24"/>
        </w:rPr>
        <w:t>s</w:t>
      </w:r>
      <w:r>
        <w:rPr>
          <w:kern w:val="0"/>
          <w:szCs w:val="24"/>
        </w:rPr>
        <w:t xml:space="preserve"> position in</w:t>
      </w:r>
      <w:r w:rsidR="003A1917">
        <w:rPr>
          <w:kern w:val="0"/>
          <w:szCs w:val="24"/>
        </w:rPr>
        <w:t xml:space="preserve"> the </w:t>
      </w:r>
      <w:r>
        <w:rPr>
          <w:kern w:val="0"/>
          <w:szCs w:val="24"/>
        </w:rPr>
        <w:t>quantitative</w:t>
      </w:r>
      <w:r w:rsidR="005853A9">
        <w:rPr>
          <w:kern w:val="0"/>
          <w:szCs w:val="24"/>
        </w:rPr>
        <w:t xml:space="preserve"> and </w:t>
      </w:r>
      <w:r>
        <w:rPr>
          <w:kern w:val="0"/>
          <w:szCs w:val="24"/>
        </w:rPr>
        <w:t>qualitative performance in drug randomized controlled trials in particular,</w:t>
      </w:r>
      <w:r w:rsidR="005853A9">
        <w:rPr>
          <w:kern w:val="0"/>
          <w:szCs w:val="24"/>
        </w:rPr>
        <w:t xml:space="preserve"> and </w:t>
      </w:r>
      <w:r>
        <w:rPr>
          <w:kern w:val="0"/>
          <w:szCs w:val="24"/>
        </w:rPr>
        <w:t>factors that drive</w:t>
      </w:r>
      <w:r w:rsidR="003A1917">
        <w:rPr>
          <w:kern w:val="0"/>
          <w:szCs w:val="24"/>
        </w:rPr>
        <w:t xml:space="preserve"> the </w:t>
      </w:r>
      <w:r>
        <w:rPr>
          <w:kern w:val="0"/>
          <w:szCs w:val="24"/>
        </w:rPr>
        <w:t>quantitative</w:t>
      </w:r>
      <w:r w:rsidR="005853A9">
        <w:rPr>
          <w:kern w:val="0"/>
          <w:szCs w:val="24"/>
        </w:rPr>
        <w:t xml:space="preserve"> and </w:t>
      </w:r>
      <w:r>
        <w:rPr>
          <w:kern w:val="0"/>
          <w:szCs w:val="24"/>
        </w:rPr>
        <w:t>qualitative performance</w:t>
      </w:r>
      <w:r w:rsidR="00427468">
        <w:rPr>
          <w:kern w:val="0"/>
          <w:szCs w:val="24"/>
        </w:rPr>
        <w:t xml:space="preserve"> of </w:t>
      </w:r>
      <w:r>
        <w:rPr>
          <w:kern w:val="0"/>
          <w:szCs w:val="24"/>
        </w:rPr>
        <w:t xml:space="preserve">drug randomized controlled trials in </w:t>
      </w:r>
      <w:r>
        <w:rPr>
          <w:kern w:val="0"/>
          <w:szCs w:val="24"/>
        </w:rPr>
        <w:lastRenderedPageBreak/>
        <w:t>europe, are unknown. What this study adds center dot europe</w:t>
      </w:r>
      <w:r w:rsidR="00700038">
        <w:rPr>
          <w:kern w:val="0"/>
          <w:szCs w:val="24"/>
        </w:rPr>
        <w:t>’</w:t>
      </w:r>
      <w:r w:rsidR="00C13DDC">
        <w:rPr>
          <w:kern w:val="0"/>
          <w:szCs w:val="24"/>
        </w:rPr>
        <w:t>s</w:t>
      </w:r>
      <w:r>
        <w:rPr>
          <w:kern w:val="0"/>
          <w:szCs w:val="24"/>
        </w:rPr>
        <w:t xml:space="preserve"> position in</w:t>
      </w:r>
      <w:r w:rsidR="003A1917">
        <w:rPr>
          <w:kern w:val="0"/>
          <w:szCs w:val="24"/>
        </w:rPr>
        <w:t xml:space="preserve"> the </w:t>
      </w:r>
      <w:r>
        <w:rPr>
          <w:kern w:val="0"/>
          <w:szCs w:val="24"/>
        </w:rPr>
        <w:t>quantitative</w:t>
      </w:r>
      <w:r w:rsidR="005853A9">
        <w:rPr>
          <w:kern w:val="0"/>
          <w:szCs w:val="24"/>
        </w:rPr>
        <w:t xml:space="preserve"> and </w:t>
      </w:r>
      <w:r>
        <w:rPr>
          <w:kern w:val="0"/>
          <w:szCs w:val="24"/>
        </w:rPr>
        <w:t>qualitative performance</w:t>
      </w:r>
      <w:r w:rsidR="00427468">
        <w:rPr>
          <w:kern w:val="0"/>
          <w:szCs w:val="24"/>
        </w:rPr>
        <w:t xml:space="preserve"> of </w:t>
      </w:r>
      <w:r>
        <w:rPr>
          <w:kern w:val="0"/>
          <w:szCs w:val="24"/>
        </w:rPr>
        <w:t xml:space="preserve">randomized controlled drug trials lags behind </w:t>
      </w:r>
      <w:r w:rsidR="00D5664A">
        <w:rPr>
          <w:kern w:val="0"/>
          <w:szCs w:val="24"/>
        </w:rPr>
        <w:t>USA</w:t>
      </w:r>
      <w:r>
        <w:rPr>
          <w:kern w:val="0"/>
          <w:szCs w:val="24"/>
        </w:rPr>
        <w:t>. Center dot factors are identified that are associated with</w:t>
      </w:r>
      <w:r w:rsidR="003A1917">
        <w:rPr>
          <w:kern w:val="0"/>
          <w:szCs w:val="24"/>
        </w:rPr>
        <w:t xml:space="preserve"> the </w:t>
      </w:r>
      <w:r>
        <w:rPr>
          <w:kern w:val="0"/>
          <w:szCs w:val="24"/>
        </w:rPr>
        <w:t>difference in publication output between countries. Center dot</w:t>
      </w:r>
      <w:r w:rsidR="003A1917">
        <w:rPr>
          <w:kern w:val="0"/>
          <w:szCs w:val="24"/>
        </w:rPr>
        <w:t xml:space="preserve"> the </w:t>
      </w:r>
      <w:r>
        <w:rPr>
          <w:kern w:val="0"/>
          <w:szCs w:val="24"/>
        </w:rPr>
        <w:t>number</w:t>
      </w:r>
      <w:r w:rsidR="00427468">
        <w:rPr>
          <w:kern w:val="0"/>
          <w:szCs w:val="24"/>
        </w:rPr>
        <w:t xml:space="preserve"> of </w:t>
      </w:r>
      <w:r>
        <w:rPr>
          <w:kern w:val="0"/>
          <w:szCs w:val="24"/>
        </w:rPr>
        <w:t>headquarters</w:t>
      </w:r>
      <w:r w:rsidR="00427468">
        <w:rPr>
          <w:kern w:val="0"/>
          <w:szCs w:val="24"/>
        </w:rPr>
        <w:t xml:space="preserve"> of </w:t>
      </w:r>
      <w:r>
        <w:rPr>
          <w:kern w:val="0"/>
          <w:szCs w:val="24"/>
        </w:rPr>
        <w:t>pharmaceutical companies in a country,</w:t>
      </w:r>
      <w:r w:rsidR="003A1917">
        <w:rPr>
          <w:kern w:val="0"/>
          <w:szCs w:val="24"/>
        </w:rPr>
        <w:t xml:space="preserve"> the </w:t>
      </w:r>
      <w:r>
        <w:rPr>
          <w:kern w:val="0"/>
          <w:szCs w:val="24"/>
        </w:rPr>
        <w:t>research expenditures by pharmaceutical companies, as well as health-related R&amp;D expenditures</w:t>
      </w:r>
      <w:r w:rsidR="00427468">
        <w:rPr>
          <w:kern w:val="0"/>
          <w:szCs w:val="24"/>
        </w:rPr>
        <w:t xml:space="preserve"> of </w:t>
      </w:r>
      <w:r>
        <w:rPr>
          <w:kern w:val="0"/>
          <w:szCs w:val="24"/>
        </w:rPr>
        <w:t>a country appear to contribute to a relatively high scientific performance in randomized controlled drug trials. Performance</w:t>
      </w:r>
      <w:r w:rsidR="00427468">
        <w:rPr>
          <w:kern w:val="0"/>
          <w:szCs w:val="24"/>
        </w:rPr>
        <w:t xml:space="preserve"> of </w:t>
      </w:r>
      <w:r>
        <w:rPr>
          <w:kern w:val="0"/>
          <w:szCs w:val="24"/>
        </w:rPr>
        <w:t>randomized controlled drug trials (Drugrcts) Adds to</w:t>
      </w:r>
      <w:r w:rsidR="003A1917">
        <w:rPr>
          <w:kern w:val="0"/>
          <w:szCs w:val="24"/>
        </w:rPr>
        <w:t xml:space="preserve"> the </w:t>
      </w:r>
      <w:r>
        <w:rPr>
          <w:kern w:val="0"/>
          <w:szCs w:val="24"/>
        </w:rPr>
        <w:t>scientific output, scientific knowledge, scientific training</w:t>
      </w:r>
      <w:r w:rsidR="005853A9">
        <w:rPr>
          <w:kern w:val="0"/>
          <w:szCs w:val="24"/>
        </w:rPr>
        <w:t xml:space="preserve"> and </w:t>
      </w:r>
      <w:r>
        <w:rPr>
          <w:kern w:val="0"/>
          <w:szCs w:val="24"/>
        </w:rPr>
        <w:t>up-to-date status</w:t>
      </w:r>
      <w:r w:rsidR="00427468">
        <w:rPr>
          <w:kern w:val="0"/>
          <w:szCs w:val="24"/>
        </w:rPr>
        <w:t xml:space="preserve"> of </w:t>
      </w:r>
      <w:r>
        <w:rPr>
          <w:kern w:val="0"/>
          <w:szCs w:val="24"/>
        </w:rPr>
        <w:t>healthcare</w:t>
      </w:r>
      <w:r w:rsidR="005853A9">
        <w:rPr>
          <w:kern w:val="0"/>
          <w:szCs w:val="24"/>
        </w:rPr>
        <w:t xml:space="preserve"> and </w:t>
      </w:r>
      <w:r>
        <w:rPr>
          <w:kern w:val="0"/>
          <w:szCs w:val="24"/>
        </w:rPr>
        <w:t>may drive economy</w:t>
      </w:r>
      <w:r w:rsidR="00A37C1D">
        <w:rPr>
          <w:kern w:val="0"/>
          <w:szCs w:val="24"/>
        </w:rPr>
        <w:t>. The</w:t>
      </w:r>
      <w:r w:rsidR="003A1917">
        <w:rPr>
          <w:kern w:val="0"/>
          <w:szCs w:val="24"/>
        </w:rPr>
        <w:t xml:space="preserve"> </w:t>
      </w:r>
      <w:r>
        <w:rPr>
          <w:kern w:val="0"/>
          <w:szCs w:val="24"/>
        </w:rPr>
        <w:t>purpose</w:t>
      </w:r>
      <w:r w:rsidR="00427468">
        <w:rPr>
          <w:kern w:val="0"/>
          <w:szCs w:val="24"/>
        </w:rPr>
        <w:t xml:space="preserve"> of </w:t>
      </w:r>
      <w:r>
        <w:rPr>
          <w:kern w:val="0"/>
          <w:szCs w:val="24"/>
        </w:rPr>
        <w:t>this study was to benchmark europe</w:t>
      </w:r>
      <w:r w:rsidR="00700038">
        <w:rPr>
          <w:kern w:val="0"/>
          <w:szCs w:val="24"/>
        </w:rPr>
        <w:t>’</w:t>
      </w:r>
      <w:r w:rsidR="00C13DDC">
        <w:rPr>
          <w:kern w:val="0"/>
          <w:szCs w:val="24"/>
        </w:rPr>
        <w:t>s</w:t>
      </w:r>
      <w:r>
        <w:rPr>
          <w:kern w:val="0"/>
          <w:szCs w:val="24"/>
        </w:rPr>
        <w:t xml:space="preserve"> position on drugrcts relative to</w:t>
      </w:r>
      <w:r w:rsidR="003A1917">
        <w:rPr>
          <w:kern w:val="0"/>
          <w:szCs w:val="24"/>
        </w:rPr>
        <w:t xml:space="preserve"> the </w:t>
      </w:r>
      <w:r>
        <w:rPr>
          <w:kern w:val="0"/>
          <w:szCs w:val="24"/>
        </w:rPr>
        <w:t>rest</w:t>
      </w:r>
      <w:r w:rsidR="00427468">
        <w:rPr>
          <w:kern w:val="0"/>
          <w:szCs w:val="24"/>
        </w:rPr>
        <w:t xml:space="preserve"> of </w:t>
      </w:r>
      <w:r w:rsidR="003A1917">
        <w:rPr>
          <w:kern w:val="0"/>
          <w:szCs w:val="24"/>
        </w:rPr>
        <w:t xml:space="preserve">the </w:t>
      </w:r>
      <w:r>
        <w:rPr>
          <w:kern w:val="0"/>
          <w:szCs w:val="24"/>
        </w:rPr>
        <w:t>world,</w:t>
      </w:r>
      <w:r w:rsidR="005853A9">
        <w:rPr>
          <w:kern w:val="0"/>
          <w:szCs w:val="24"/>
        </w:rPr>
        <w:t xml:space="preserve"> and </w:t>
      </w:r>
      <w:r>
        <w:rPr>
          <w:kern w:val="0"/>
          <w:szCs w:val="24"/>
        </w:rPr>
        <w:t>to identify factors that may drive this performance</w:t>
      </w:r>
      <w:r w:rsidR="00A37C1D">
        <w:rPr>
          <w:kern w:val="0"/>
          <w:szCs w:val="24"/>
        </w:rPr>
        <w:t>. The</w:t>
      </w:r>
      <w:r w:rsidR="003A1917">
        <w:rPr>
          <w:kern w:val="0"/>
          <w:szCs w:val="24"/>
        </w:rPr>
        <w:t xml:space="preserve"> </w:t>
      </w:r>
      <w:r>
        <w:rPr>
          <w:kern w:val="0"/>
          <w:szCs w:val="24"/>
        </w:rPr>
        <w:t>number</w:t>
      </w:r>
      <w:r w:rsidR="00427468">
        <w:rPr>
          <w:kern w:val="0"/>
          <w:szCs w:val="24"/>
        </w:rPr>
        <w:t xml:space="preserve"> of </w:t>
      </w:r>
      <w:r>
        <w:rPr>
          <w:kern w:val="0"/>
          <w:szCs w:val="24"/>
        </w:rPr>
        <w:t xml:space="preserve">scientific publications on drugrcts, indexed in </w:t>
      </w:r>
      <w:r w:rsidR="002C12F0">
        <w:rPr>
          <w:kern w:val="0"/>
          <w:szCs w:val="24"/>
        </w:rPr>
        <w:t>PUBMED</w:t>
      </w:r>
      <w:r w:rsidR="005853A9">
        <w:rPr>
          <w:kern w:val="0"/>
          <w:szCs w:val="24"/>
        </w:rPr>
        <w:t xml:space="preserve"> and </w:t>
      </w:r>
      <w:r>
        <w:rPr>
          <w:kern w:val="0"/>
          <w:szCs w:val="24"/>
        </w:rPr>
        <w:t>thomson scientific/</w:t>
      </w:r>
      <w:r w:rsidR="00D5664A">
        <w:rPr>
          <w:kern w:val="0"/>
          <w:szCs w:val="24"/>
        </w:rPr>
        <w:t>Web</w:t>
      </w:r>
      <w:r w:rsidR="00427468">
        <w:rPr>
          <w:kern w:val="0"/>
          <w:szCs w:val="24"/>
        </w:rPr>
        <w:t xml:space="preserve"> of </w:t>
      </w:r>
      <w:r w:rsidR="00D5664A">
        <w:rPr>
          <w:kern w:val="0"/>
          <w:szCs w:val="24"/>
        </w:rPr>
        <w:t>Science</w:t>
      </w:r>
      <w:r>
        <w:rPr>
          <w:kern w:val="0"/>
          <w:szCs w:val="24"/>
        </w:rPr>
        <w:t xml:space="preserve"> database over</w:t>
      </w:r>
      <w:r w:rsidR="003A1917">
        <w:rPr>
          <w:kern w:val="0"/>
          <w:szCs w:val="24"/>
        </w:rPr>
        <w:t xml:space="preserve"> the </w:t>
      </w:r>
      <w:r>
        <w:rPr>
          <w:kern w:val="0"/>
          <w:szCs w:val="24"/>
        </w:rPr>
        <w:t>period 1995-2004, was used as a proxy measure for</w:t>
      </w:r>
      <w:r w:rsidR="003A1917">
        <w:rPr>
          <w:kern w:val="0"/>
          <w:szCs w:val="24"/>
        </w:rPr>
        <w:t xml:space="preserve"> the </w:t>
      </w:r>
      <w:r>
        <w:rPr>
          <w:kern w:val="0"/>
          <w:szCs w:val="24"/>
        </w:rPr>
        <w:t>quantitative drugrct output</w:t>
      </w:r>
      <w:r w:rsidR="00A37C1D">
        <w:rPr>
          <w:kern w:val="0"/>
          <w:szCs w:val="24"/>
        </w:rPr>
        <w:t>. The</w:t>
      </w:r>
      <w:r w:rsidR="003A1917">
        <w:rPr>
          <w:kern w:val="0"/>
          <w:szCs w:val="24"/>
        </w:rPr>
        <w:t xml:space="preserve"> </w:t>
      </w:r>
      <w:r>
        <w:rPr>
          <w:kern w:val="0"/>
          <w:szCs w:val="24"/>
        </w:rPr>
        <w:t>international citation impact</w:t>
      </w:r>
      <w:r w:rsidR="00427468">
        <w:rPr>
          <w:kern w:val="0"/>
          <w:szCs w:val="24"/>
        </w:rPr>
        <w:t xml:space="preserve"> of </w:t>
      </w:r>
      <w:r>
        <w:rPr>
          <w:kern w:val="0"/>
          <w:szCs w:val="24"/>
        </w:rPr>
        <w:t>these publications was used as a proxy measure for</w:t>
      </w:r>
      <w:r w:rsidR="003A1917">
        <w:rPr>
          <w:kern w:val="0"/>
          <w:szCs w:val="24"/>
        </w:rPr>
        <w:t xml:space="preserve"> the </w:t>
      </w:r>
      <w:r>
        <w:rPr>
          <w:kern w:val="0"/>
          <w:szCs w:val="24"/>
        </w:rPr>
        <w:t>qualitative drugrct output. Country</w:t>
      </w:r>
      <w:r w:rsidR="00700038">
        <w:rPr>
          <w:kern w:val="0"/>
          <w:szCs w:val="24"/>
        </w:rPr>
        <w:t>’</w:t>
      </w:r>
      <w:r w:rsidR="00C13DDC">
        <w:rPr>
          <w:kern w:val="0"/>
          <w:szCs w:val="24"/>
        </w:rPr>
        <w:t>s</w:t>
      </w:r>
      <w:r>
        <w:rPr>
          <w:kern w:val="0"/>
          <w:szCs w:val="24"/>
        </w:rPr>
        <w:t xml:space="preserve"> origin</w:t>
      </w:r>
      <w:r w:rsidR="00427468">
        <w:rPr>
          <w:kern w:val="0"/>
          <w:szCs w:val="24"/>
        </w:rPr>
        <w:t xml:space="preserve"> of </w:t>
      </w:r>
      <w:r>
        <w:rPr>
          <w:kern w:val="0"/>
          <w:szCs w:val="24"/>
        </w:rPr>
        <w:t>103 211 publications was determined. After adjustment for population size,</w:t>
      </w:r>
      <w:r w:rsidR="003A1917">
        <w:rPr>
          <w:kern w:val="0"/>
          <w:szCs w:val="24"/>
        </w:rPr>
        <w:t xml:space="preserve"> the </w:t>
      </w:r>
      <w:r>
        <w:rPr>
          <w:kern w:val="0"/>
          <w:szCs w:val="24"/>
        </w:rPr>
        <w:t>number</w:t>
      </w:r>
      <w:r w:rsidR="00427468">
        <w:rPr>
          <w:kern w:val="0"/>
          <w:szCs w:val="24"/>
        </w:rPr>
        <w:t xml:space="preserve"> of </w:t>
      </w:r>
      <w:r>
        <w:rPr>
          <w:kern w:val="0"/>
          <w:szCs w:val="24"/>
        </w:rPr>
        <w:t xml:space="preserve">drugrct publications from europe, </w:t>
      </w:r>
      <w:r w:rsidR="00D5664A">
        <w:rPr>
          <w:kern w:val="0"/>
          <w:szCs w:val="24"/>
        </w:rPr>
        <w:t>USA</w:t>
      </w:r>
      <w:r w:rsidR="005853A9">
        <w:rPr>
          <w:kern w:val="0"/>
          <w:szCs w:val="24"/>
        </w:rPr>
        <w:t xml:space="preserve"> and </w:t>
      </w:r>
      <w:r>
        <w:rPr>
          <w:kern w:val="0"/>
          <w:szCs w:val="24"/>
        </w:rPr>
        <w:t>australia/japan was 102, 124</w:t>
      </w:r>
      <w:r w:rsidR="005853A9">
        <w:rPr>
          <w:kern w:val="0"/>
          <w:szCs w:val="24"/>
        </w:rPr>
        <w:t xml:space="preserve"> and </w:t>
      </w:r>
      <w:r>
        <w:rPr>
          <w:kern w:val="0"/>
          <w:szCs w:val="24"/>
        </w:rPr>
        <w:t>44 publications per million inhabitants, respectively</w:t>
      </w:r>
      <w:r w:rsidR="00A37C1D">
        <w:rPr>
          <w:kern w:val="0"/>
          <w:szCs w:val="24"/>
        </w:rPr>
        <w:t>. The</w:t>
      </w:r>
      <w:r w:rsidR="003A1917">
        <w:rPr>
          <w:kern w:val="0"/>
          <w:szCs w:val="24"/>
        </w:rPr>
        <w:t xml:space="preserve"> </w:t>
      </w:r>
      <w:r>
        <w:rPr>
          <w:kern w:val="0"/>
          <w:szCs w:val="24"/>
        </w:rPr>
        <w:t>proportional increase in publication output from 1995 until 2004 was lower in europe compared with</w:t>
      </w:r>
      <w:r w:rsidR="003A1917">
        <w:rPr>
          <w:kern w:val="0"/>
          <w:szCs w:val="24"/>
        </w:rPr>
        <w:t xml:space="preserve"> the </w:t>
      </w:r>
      <w:r w:rsidR="00D5664A">
        <w:rPr>
          <w:kern w:val="0"/>
          <w:szCs w:val="24"/>
        </w:rPr>
        <w:t>USA</w:t>
      </w:r>
      <w:r w:rsidR="005853A9">
        <w:rPr>
          <w:kern w:val="0"/>
          <w:szCs w:val="24"/>
        </w:rPr>
        <w:t xml:space="preserve"> and </w:t>
      </w:r>
      <w:r>
        <w:rPr>
          <w:kern w:val="0"/>
          <w:szCs w:val="24"/>
        </w:rPr>
        <w:t>australia/japan (29.1, 40.1</w:t>
      </w:r>
      <w:r w:rsidR="005853A9">
        <w:rPr>
          <w:kern w:val="0"/>
          <w:szCs w:val="24"/>
        </w:rPr>
        <w:t xml:space="preserve"> and </w:t>
      </w:r>
      <w:r>
        <w:rPr>
          <w:kern w:val="0"/>
          <w:szCs w:val="24"/>
        </w:rPr>
        <w:t>63.4%, Respectively)</w:t>
      </w:r>
      <w:r w:rsidR="00A37C1D">
        <w:rPr>
          <w:kern w:val="0"/>
          <w:szCs w:val="24"/>
        </w:rPr>
        <w:t>. The</w:t>
      </w:r>
      <w:r w:rsidR="003A1917">
        <w:rPr>
          <w:kern w:val="0"/>
          <w:szCs w:val="24"/>
        </w:rPr>
        <w:t xml:space="preserve"> </w:t>
      </w:r>
      <w:r>
        <w:rPr>
          <w:kern w:val="0"/>
          <w:szCs w:val="24"/>
        </w:rPr>
        <w:t>number</w:t>
      </w:r>
      <w:r w:rsidR="00427468">
        <w:rPr>
          <w:kern w:val="0"/>
          <w:szCs w:val="24"/>
        </w:rPr>
        <w:t xml:space="preserve"> of </w:t>
      </w:r>
      <w:r>
        <w:rPr>
          <w:kern w:val="0"/>
          <w:szCs w:val="24"/>
        </w:rPr>
        <w:t>citations per publication was 4.9 In europe, 7.0 In</w:t>
      </w:r>
      <w:r w:rsidR="003A1917">
        <w:rPr>
          <w:kern w:val="0"/>
          <w:szCs w:val="24"/>
        </w:rPr>
        <w:t xml:space="preserve"> the </w:t>
      </w:r>
      <w:r w:rsidR="00D5664A">
        <w:rPr>
          <w:kern w:val="0"/>
          <w:szCs w:val="24"/>
        </w:rPr>
        <w:t>USA</w:t>
      </w:r>
      <w:r w:rsidR="005853A9">
        <w:rPr>
          <w:kern w:val="0"/>
          <w:szCs w:val="24"/>
        </w:rPr>
        <w:t xml:space="preserve"> and </w:t>
      </w:r>
      <w:r>
        <w:rPr>
          <w:kern w:val="0"/>
          <w:szCs w:val="24"/>
        </w:rPr>
        <w:t>3.4 In australia/japan. Within europe,</w:t>
      </w:r>
      <w:r w:rsidR="003A1917">
        <w:rPr>
          <w:kern w:val="0"/>
          <w:szCs w:val="24"/>
        </w:rPr>
        <w:t xml:space="preserve"> the </w:t>
      </w:r>
      <w:r w:rsidR="008E3069">
        <w:rPr>
          <w:kern w:val="0"/>
          <w:szCs w:val="24"/>
        </w:rPr>
        <w:t>UK,</w:t>
      </w:r>
      <w:r>
        <w:rPr>
          <w:kern w:val="0"/>
          <w:szCs w:val="24"/>
        </w:rPr>
        <w:t xml:space="preserve"> germany</w:t>
      </w:r>
      <w:r w:rsidR="005853A9">
        <w:rPr>
          <w:kern w:val="0"/>
          <w:szCs w:val="24"/>
        </w:rPr>
        <w:t xml:space="preserve"> and </w:t>
      </w:r>
      <w:r>
        <w:rPr>
          <w:kern w:val="0"/>
          <w:szCs w:val="24"/>
        </w:rPr>
        <w:t>italy produced most publications. Country-specific factors associated with publication output in europe were</w:t>
      </w:r>
      <w:r w:rsidR="003A1917">
        <w:rPr>
          <w:kern w:val="0"/>
          <w:szCs w:val="24"/>
        </w:rPr>
        <w:t xml:space="preserve"> the </w:t>
      </w:r>
      <w:r>
        <w:rPr>
          <w:kern w:val="0"/>
          <w:szCs w:val="24"/>
        </w:rPr>
        <w:t>number</w:t>
      </w:r>
      <w:r w:rsidR="00427468">
        <w:rPr>
          <w:kern w:val="0"/>
          <w:szCs w:val="24"/>
        </w:rPr>
        <w:t xml:space="preserve"> of </w:t>
      </w:r>
      <w:r>
        <w:rPr>
          <w:kern w:val="0"/>
          <w:szCs w:val="24"/>
        </w:rPr>
        <w:t>pharmaceutical companies with headquarters in a country (R-2 = 0.71, P &lt; 0.001), National r&amp;d expenditures by pharmaceutical companies (R-2 = 0.63, P &lt; 0.001)</w:t>
      </w:r>
      <w:r w:rsidR="005853A9">
        <w:rPr>
          <w:kern w:val="0"/>
          <w:szCs w:val="24"/>
        </w:rPr>
        <w:t xml:space="preserve"> and </w:t>
      </w:r>
      <w:r>
        <w:rPr>
          <w:kern w:val="0"/>
          <w:szCs w:val="24"/>
        </w:rPr>
        <w:t>health-related r&amp;d expenditures by national governments (R-2 = 0.22, P = 0.052). When adjusted for population size, quantitative</w:t>
      </w:r>
      <w:r w:rsidR="005853A9">
        <w:rPr>
          <w:kern w:val="0"/>
          <w:szCs w:val="24"/>
        </w:rPr>
        <w:t xml:space="preserve"> and </w:t>
      </w:r>
      <w:r>
        <w:rPr>
          <w:kern w:val="0"/>
          <w:szCs w:val="24"/>
        </w:rPr>
        <w:t>qualitative performance</w:t>
      </w:r>
      <w:r w:rsidR="00427468">
        <w:rPr>
          <w:kern w:val="0"/>
          <w:szCs w:val="24"/>
        </w:rPr>
        <w:t xml:space="preserve"> of </w:t>
      </w:r>
      <w:r>
        <w:rPr>
          <w:kern w:val="0"/>
          <w:szCs w:val="24"/>
        </w:rPr>
        <w:t>drugrcts in europe lags behind</w:t>
      </w:r>
      <w:r w:rsidR="003A1917">
        <w:rPr>
          <w:kern w:val="0"/>
          <w:szCs w:val="24"/>
        </w:rPr>
        <w:t xml:space="preserve"> the </w:t>
      </w:r>
      <w:r w:rsidR="00D5664A">
        <w:rPr>
          <w:kern w:val="0"/>
          <w:szCs w:val="24"/>
        </w:rPr>
        <w:t>USA</w:t>
      </w:r>
      <w:r>
        <w:rPr>
          <w:kern w:val="0"/>
          <w:szCs w:val="24"/>
        </w:rPr>
        <w:t xml:space="preserve"> but is ahead</w:t>
      </w:r>
      <w:r w:rsidR="00427468">
        <w:rPr>
          <w:kern w:val="0"/>
          <w:szCs w:val="24"/>
        </w:rPr>
        <w:t xml:space="preserve"> of </w:t>
      </w:r>
      <w:r>
        <w:rPr>
          <w:kern w:val="0"/>
          <w:szCs w:val="24"/>
        </w:rPr>
        <w:t>australia/japan. Several factors appear to explain</w:t>
      </w:r>
      <w:r w:rsidR="003A1917">
        <w:rPr>
          <w:kern w:val="0"/>
          <w:szCs w:val="24"/>
        </w:rPr>
        <w:t xml:space="preserve"> the </w:t>
      </w:r>
      <w:r>
        <w:rPr>
          <w:kern w:val="0"/>
          <w:szCs w:val="24"/>
        </w:rPr>
        <w:t>differences, among which are</w:t>
      </w:r>
      <w:r w:rsidR="003A1917">
        <w:rPr>
          <w:kern w:val="0"/>
          <w:szCs w:val="24"/>
        </w:rPr>
        <w:t xml:space="preserve"> the </w:t>
      </w:r>
      <w:r>
        <w:rPr>
          <w:kern w:val="0"/>
          <w:szCs w:val="24"/>
        </w:rPr>
        <w:t>number</w:t>
      </w:r>
      <w:r w:rsidR="00427468">
        <w:rPr>
          <w:kern w:val="0"/>
          <w:szCs w:val="24"/>
        </w:rPr>
        <w:t xml:space="preserve"> of </w:t>
      </w:r>
      <w:r>
        <w:rPr>
          <w:kern w:val="0"/>
          <w:szCs w:val="24"/>
        </w:rPr>
        <w:t>headquarters</w:t>
      </w:r>
      <w:r w:rsidR="00427468">
        <w:rPr>
          <w:kern w:val="0"/>
          <w:szCs w:val="24"/>
        </w:rPr>
        <w:t xml:space="preserve"> of </w:t>
      </w:r>
      <w:r>
        <w:rPr>
          <w:kern w:val="0"/>
          <w:szCs w:val="24"/>
        </w:rPr>
        <w:t>pharmaceutical companies in a country,</w:t>
      </w:r>
      <w:r w:rsidR="003A1917">
        <w:rPr>
          <w:kern w:val="0"/>
          <w:szCs w:val="24"/>
        </w:rPr>
        <w:t xml:space="preserve"> the </w:t>
      </w:r>
      <w:r>
        <w:rPr>
          <w:kern w:val="0"/>
          <w:szCs w:val="24"/>
        </w:rPr>
        <w:t>research expenditures by pharmaceutical companies, as well as health-related r&amp;d expenditures</w:t>
      </w:r>
      <w:r w:rsidR="00427468">
        <w:rPr>
          <w:kern w:val="0"/>
          <w:szCs w:val="24"/>
        </w:rPr>
        <w:t xml:space="preserve"> of </w:t>
      </w:r>
      <w:r>
        <w:rPr>
          <w:kern w:val="0"/>
          <w:szCs w:val="24"/>
        </w:rPr>
        <w:t>a country. To enhance</w:t>
      </w:r>
      <w:r w:rsidR="005853A9">
        <w:rPr>
          <w:kern w:val="0"/>
          <w:szCs w:val="24"/>
        </w:rPr>
        <w:t xml:space="preserve"> and </w:t>
      </w:r>
      <w:r>
        <w:rPr>
          <w:kern w:val="0"/>
          <w:szCs w:val="24"/>
        </w:rPr>
        <w:t>strengthen europe</w:t>
      </w:r>
      <w:r w:rsidR="00700038">
        <w:rPr>
          <w:kern w:val="0"/>
          <w:szCs w:val="24"/>
        </w:rPr>
        <w:t>’</w:t>
      </w:r>
      <w:r w:rsidR="00C13DDC">
        <w:rPr>
          <w:kern w:val="0"/>
          <w:szCs w:val="24"/>
        </w:rPr>
        <w:t>s</w:t>
      </w:r>
      <w:r>
        <w:rPr>
          <w:kern w:val="0"/>
          <w:szCs w:val="24"/>
        </w:rPr>
        <w:t xml:space="preserve"> position, researchers may strengthen their collaborations with local pharmaceutical companies,</w:t>
      </w:r>
      <w:r w:rsidR="005853A9">
        <w:rPr>
          <w:kern w:val="0"/>
          <w:szCs w:val="24"/>
        </w:rPr>
        <w:t xml:space="preserve"> and </w:t>
      </w:r>
      <w:r>
        <w:rPr>
          <w:kern w:val="0"/>
          <w:szCs w:val="24"/>
        </w:rPr>
        <w:t>national governments could increase their budgets for medical research funding.</w:t>
      </w:r>
    </w:p>
    <w:p w:rsidR="00B77AEB" w:rsidRDefault="00B77AEB" w:rsidP="00B77AEB">
      <w:pPr>
        <w:pStyle w:val="a3"/>
        <w:rPr>
          <w:kern w:val="0"/>
          <w:szCs w:val="24"/>
        </w:rPr>
      </w:pPr>
      <w:r>
        <w:rPr>
          <w:kern w:val="0"/>
          <w:szCs w:val="24"/>
        </w:rPr>
        <w:t>Keywords: Bias, Bibliometric Analysis, Citation, Citation Impact, Citations, Clinical-Trials, Countries, Database, Europe, Impact, Knowledge, Medical, Origin, Publications, Randomized Controlled Trial, Randomized Controlled Trials, Research, Science, Scientific Publications</w:t>
      </w:r>
    </w:p>
    <w:p w:rsidR="00C809CD" w:rsidRDefault="00C809CD" w:rsidP="00C809CD">
      <w:pPr>
        <w:pStyle w:val="a3"/>
        <w:rPr>
          <w:kern w:val="0"/>
        </w:rPr>
      </w:pPr>
      <w:r>
        <w:rPr>
          <w:rFonts w:hint="eastAsia"/>
          <w:kern w:val="0"/>
        </w:rPr>
        <w:lastRenderedPageBreak/>
        <w:t xml:space="preserve">? </w:t>
      </w:r>
      <w:r>
        <w:rPr>
          <w:kern w:val="0"/>
        </w:rPr>
        <w:t>Bolea-Alamanac, B.M., Green, A., Verma, G., Maxwell, P.</w:t>
      </w:r>
      <w:r w:rsidR="005853A9">
        <w:rPr>
          <w:kern w:val="0"/>
        </w:rPr>
        <w:t xml:space="preserve"> and </w:t>
      </w:r>
      <w:r>
        <w:rPr>
          <w:kern w:val="0"/>
        </w:rPr>
        <w:t>Davies, S.J.C. (2014), Methylphenidate use in pregnancy</w:t>
      </w:r>
      <w:r w:rsidR="005853A9">
        <w:rPr>
          <w:kern w:val="0"/>
        </w:rPr>
        <w:t xml:space="preserve"> and </w:t>
      </w:r>
      <w:r>
        <w:rPr>
          <w:kern w:val="0"/>
        </w:rPr>
        <w:t>lactation: A systematic review</w:t>
      </w:r>
      <w:r w:rsidR="00427468">
        <w:rPr>
          <w:kern w:val="0"/>
        </w:rPr>
        <w:t xml:space="preserve"> of </w:t>
      </w:r>
      <w:r>
        <w:rPr>
          <w:kern w:val="0"/>
        </w:rPr>
        <w:t xml:space="preserve">evidence. </w:t>
      </w:r>
      <w:r>
        <w:rPr>
          <w:i/>
          <w:iCs/>
          <w:kern w:val="0"/>
        </w:rPr>
        <w:t>British Journal</w:t>
      </w:r>
      <w:r w:rsidR="00427468">
        <w:rPr>
          <w:i/>
          <w:iCs/>
          <w:kern w:val="0"/>
        </w:rPr>
        <w:t xml:space="preserve"> of </w:t>
      </w:r>
      <w:r>
        <w:rPr>
          <w:i/>
          <w:iCs/>
          <w:kern w:val="0"/>
        </w:rPr>
        <w:t>Clinical Pharmacology</w:t>
      </w:r>
      <w:r>
        <w:rPr>
          <w:kern w:val="0"/>
        </w:rPr>
        <w:t xml:space="preserve">, </w:t>
      </w:r>
      <w:r>
        <w:rPr>
          <w:b/>
          <w:bCs/>
          <w:kern w:val="0"/>
        </w:rPr>
        <w:t>77</w:t>
      </w:r>
      <w:r>
        <w:rPr>
          <w:kern w:val="0"/>
        </w:rPr>
        <w:t xml:space="preserve"> (1), 96-101.</w:t>
      </w:r>
    </w:p>
    <w:p w:rsidR="00C809CD" w:rsidRDefault="00C809CD" w:rsidP="00C809CD">
      <w:pPr>
        <w:pStyle w:val="a3"/>
      </w:pPr>
      <w:r>
        <w:t xml:space="preserve">Full Text: </w:t>
      </w:r>
      <w:hyperlink r:id="rId1874" w:history="1">
        <w:r w:rsidRPr="00C8751C">
          <w:rPr>
            <w:rStyle w:val="a5"/>
          </w:rPr>
          <w:t>2014\Bri J Cli Pha77, 96.pdf</w:t>
        </w:r>
      </w:hyperlink>
    </w:p>
    <w:p w:rsidR="00C809CD" w:rsidRDefault="00C809CD" w:rsidP="00C809CD">
      <w:pPr>
        <w:pStyle w:val="a3"/>
        <w:rPr>
          <w:kern w:val="0"/>
        </w:rPr>
      </w:pPr>
      <w:r>
        <w:rPr>
          <w:kern w:val="0"/>
        </w:rPr>
        <w:t>Abstract: AimsThe aims</w:t>
      </w:r>
      <w:r w:rsidR="00427468">
        <w:rPr>
          <w:kern w:val="0"/>
        </w:rPr>
        <w:t xml:space="preserve"> of </w:t>
      </w:r>
      <w:r>
        <w:rPr>
          <w:kern w:val="0"/>
        </w:rPr>
        <w:t>this review were to summarize the scientific evidence about the risks</w:t>
      </w:r>
      <w:r w:rsidR="00427468">
        <w:rPr>
          <w:kern w:val="0"/>
        </w:rPr>
        <w:t xml:space="preserve"> of </w:t>
      </w:r>
      <w:r>
        <w:rPr>
          <w:kern w:val="0"/>
        </w:rPr>
        <w:t>using methylphenidate for ADHD in pregnancy</w:t>
      </w:r>
      <w:r w:rsidR="005853A9">
        <w:rPr>
          <w:kern w:val="0"/>
        </w:rPr>
        <w:t xml:space="preserve"> and </w:t>
      </w:r>
      <w:r>
        <w:rPr>
          <w:kern w:val="0"/>
        </w:rPr>
        <w:t>lactation, to present a case in which interruption</w:t>
      </w:r>
      <w:r w:rsidR="00427468">
        <w:rPr>
          <w:kern w:val="0"/>
        </w:rPr>
        <w:t xml:space="preserve"> of </w:t>
      </w:r>
      <w:r>
        <w:rPr>
          <w:kern w:val="0"/>
        </w:rPr>
        <w:t>treatment after delivery</w:t>
      </w:r>
      <w:r w:rsidR="005853A9">
        <w:rPr>
          <w:kern w:val="0"/>
        </w:rPr>
        <w:t xml:space="preserve"> and </w:t>
      </w:r>
      <w:r>
        <w:rPr>
          <w:kern w:val="0"/>
        </w:rPr>
        <w:t>during breastfeeding was harmful</w:t>
      </w:r>
      <w:r w:rsidR="005853A9">
        <w:rPr>
          <w:kern w:val="0"/>
        </w:rPr>
        <w:t xml:space="preserve"> and </w:t>
      </w:r>
      <w:r>
        <w:rPr>
          <w:kern w:val="0"/>
        </w:rPr>
        <w:t>to discuss the implications</w:t>
      </w:r>
      <w:r w:rsidR="00427468">
        <w:rPr>
          <w:kern w:val="0"/>
        </w:rPr>
        <w:t xml:space="preserve"> of </w:t>
      </w:r>
      <w:r>
        <w:rPr>
          <w:kern w:val="0"/>
        </w:rPr>
        <w:t>treating or not treating ADHD in pregnancy</w:t>
      </w:r>
      <w:r w:rsidR="005853A9">
        <w:rPr>
          <w:kern w:val="0"/>
        </w:rPr>
        <w:t xml:space="preserve"> and </w:t>
      </w:r>
      <w:r>
        <w:rPr>
          <w:kern w:val="0"/>
        </w:rPr>
        <w:t>lactation. MethodsFor the systematic review, databases searched included Pubmed, Psychinfo, Web</w:t>
      </w:r>
      <w:r w:rsidR="00427468">
        <w:rPr>
          <w:kern w:val="0"/>
        </w:rPr>
        <w:t xml:space="preserve"> of </w:t>
      </w:r>
      <w:r>
        <w:rPr>
          <w:kern w:val="0"/>
        </w:rPr>
        <w:t>Science, Embase, Biosis</w:t>
      </w:r>
      <w:r w:rsidR="005853A9">
        <w:rPr>
          <w:kern w:val="0"/>
        </w:rPr>
        <w:t xml:space="preserve"> and </w:t>
      </w:r>
      <w:r>
        <w:rPr>
          <w:kern w:val="0"/>
        </w:rPr>
        <w:t>Medline. ResultsThree articles were found with a total sample</w:t>
      </w:r>
      <w:r w:rsidR="00427468">
        <w:rPr>
          <w:kern w:val="0"/>
        </w:rPr>
        <w:t xml:space="preserve"> of </w:t>
      </w:r>
      <w:r>
        <w:rPr>
          <w:kern w:val="0"/>
        </w:rPr>
        <w:t>41 children exposed to methylphenidate in pregnancy. Malformations reported included congenital heart defects (n=2), finger abnormalities (syndactyly, adactyly</w:t>
      </w:r>
      <w:r w:rsidR="005853A9">
        <w:rPr>
          <w:kern w:val="0"/>
        </w:rPr>
        <w:t xml:space="preserve"> and </w:t>
      </w:r>
      <w:r>
        <w:rPr>
          <w:kern w:val="0"/>
        </w:rPr>
        <w:t>polydactyly n=2)</w:t>
      </w:r>
      <w:r w:rsidR="005853A9">
        <w:rPr>
          <w:kern w:val="0"/>
        </w:rPr>
        <w:t xml:space="preserve"> and </w:t>
      </w:r>
      <w:r>
        <w:rPr>
          <w:kern w:val="0"/>
        </w:rPr>
        <w:t>limb malformations (n=1). Other problems included premature birth, asphyxia</w:t>
      </w:r>
      <w:r w:rsidR="005853A9">
        <w:rPr>
          <w:kern w:val="0"/>
        </w:rPr>
        <w:t xml:space="preserve"> and </w:t>
      </w:r>
      <w:r>
        <w:rPr>
          <w:kern w:val="0"/>
        </w:rPr>
        <w:t>growth retardation. One case report (n=1)</w:t>
      </w:r>
      <w:r w:rsidR="005853A9">
        <w:rPr>
          <w:kern w:val="0"/>
        </w:rPr>
        <w:t xml:space="preserve"> and </w:t>
      </w:r>
      <w:r>
        <w:rPr>
          <w:kern w:val="0"/>
        </w:rPr>
        <w:t>one case series (n=3) were identified regarding exposure to methylphenidate through breast feeding. In all cases, children developed normally</w:t>
      </w:r>
      <w:r w:rsidR="005853A9">
        <w:rPr>
          <w:kern w:val="0"/>
        </w:rPr>
        <w:t xml:space="preserve"> and </w:t>
      </w:r>
      <w:r>
        <w:rPr>
          <w:kern w:val="0"/>
        </w:rPr>
        <w:t>no adverse effects were reported. In our case report we describe an infant exposed to methylphenidate during pregnancy</w:t>
      </w:r>
      <w:r w:rsidR="005853A9">
        <w:rPr>
          <w:kern w:val="0"/>
        </w:rPr>
        <w:t xml:space="preserve"> and </w:t>
      </w:r>
      <w:r>
        <w:rPr>
          <w:kern w:val="0"/>
        </w:rPr>
        <w:t>breast feeding, who developed normally having no detectable congenital abnormalities. ConclusionsThe number</w:t>
      </w:r>
      <w:r w:rsidR="005853A9">
        <w:rPr>
          <w:kern w:val="0"/>
        </w:rPr>
        <w:t xml:space="preserve"> and </w:t>
      </w:r>
      <w:r>
        <w:rPr>
          <w:kern w:val="0"/>
        </w:rPr>
        <w:t>size</w:t>
      </w:r>
      <w:r w:rsidR="00427468">
        <w:rPr>
          <w:kern w:val="0"/>
        </w:rPr>
        <w:t xml:space="preserve"> of </w:t>
      </w:r>
      <w:r>
        <w:rPr>
          <w:kern w:val="0"/>
        </w:rPr>
        <w:t>the studies found were small. Identified cases were not representative</w:t>
      </w:r>
      <w:r w:rsidR="00427468">
        <w:rPr>
          <w:kern w:val="0"/>
        </w:rPr>
        <w:t xml:space="preserve"> of </w:t>
      </w:r>
      <w:r>
        <w:rPr>
          <w:kern w:val="0"/>
        </w:rPr>
        <w:t>the general adult ADHD population having methylphenidate as monotherapy during pregnancy as all the articles reported combinations</w:t>
      </w:r>
      <w:r w:rsidR="00427468">
        <w:rPr>
          <w:kern w:val="0"/>
        </w:rPr>
        <w:t xml:space="preserve"> of </w:t>
      </w:r>
      <w:r>
        <w:rPr>
          <w:kern w:val="0"/>
        </w:rPr>
        <w:t>methylphenidate with either known teratogenic drugs or drugs</w:t>
      </w:r>
      <w:r w:rsidR="00427468">
        <w:rPr>
          <w:kern w:val="0"/>
        </w:rPr>
        <w:t xml:space="preserve"> of </w:t>
      </w:r>
      <w:r>
        <w:rPr>
          <w:kern w:val="0"/>
        </w:rPr>
        <w:t>abuse</w:t>
      </w:r>
      <w:r w:rsidR="00A37C1D">
        <w:rPr>
          <w:kern w:val="0"/>
        </w:rPr>
        <w:t>. The</w:t>
      </w:r>
      <w:r>
        <w:rPr>
          <w:kern w:val="0"/>
        </w:rPr>
        <w:t>re is a paucity</w:t>
      </w:r>
      <w:r w:rsidR="00427468">
        <w:rPr>
          <w:kern w:val="0"/>
        </w:rPr>
        <w:t xml:space="preserve"> of </w:t>
      </w:r>
      <w:r>
        <w:rPr>
          <w:kern w:val="0"/>
        </w:rPr>
        <w:t>data regarding the use</w:t>
      </w:r>
      <w:r w:rsidR="00427468">
        <w:rPr>
          <w:kern w:val="0"/>
        </w:rPr>
        <w:t xml:space="preserve"> of </w:t>
      </w:r>
      <w:r>
        <w:rPr>
          <w:kern w:val="0"/>
        </w:rPr>
        <w:t>methylphenidate in pregnancy</w:t>
      </w:r>
      <w:r w:rsidR="005853A9">
        <w:rPr>
          <w:kern w:val="0"/>
        </w:rPr>
        <w:t xml:space="preserve"> and </w:t>
      </w:r>
      <w:r>
        <w:rPr>
          <w:kern w:val="0"/>
        </w:rPr>
        <w:t>further studies are required. Although the default medical position is to interrupt any non-essential pharmacological treatment during pregnancy</w:t>
      </w:r>
      <w:r w:rsidR="005853A9">
        <w:rPr>
          <w:kern w:val="0"/>
        </w:rPr>
        <w:t xml:space="preserve"> and </w:t>
      </w:r>
      <w:r>
        <w:rPr>
          <w:kern w:val="0"/>
        </w:rPr>
        <w:t>lactation, in ADHD this may present a significant risk. Doctors need to evaluate each case carefully before interrupting treatment.</w:t>
      </w:r>
    </w:p>
    <w:p w:rsidR="00C809CD" w:rsidRDefault="00C809CD" w:rsidP="00C809CD">
      <w:pPr>
        <w:pStyle w:val="a3"/>
        <w:rPr>
          <w:kern w:val="0"/>
        </w:rPr>
      </w:pPr>
      <w:r>
        <w:rPr>
          <w:kern w:val="0"/>
        </w:rPr>
        <w:t>Keywords: Abuse, Add, Adhd, Adult, Adults, Adverse Effects, Asphyxia, Attention-Deficit, Hyperactivity Disorder, Biosis, Birth, Breast Feeding, Breast-Feeding, Breastfeeding, Canada, Case Report, Children, Clin, Congenital, Data, Databases, Deficit-Hyperactivity Disorder, Delivery, Disposition, Drugs, Drugs</w:t>
      </w:r>
      <w:r w:rsidR="00427468">
        <w:rPr>
          <w:kern w:val="0"/>
        </w:rPr>
        <w:t xml:space="preserve"> of </w:t>
      </w:r>
      <w:r>
        <w:rPr>
          <w:kern w:val="0"/>
        </w:rPr>
        <w:t>Abuse, Effects, Evidence, Exposure, Feeding, General, Growth, Heart, Hyperactivity, Infant, Lactation, Malformations, Medical, Medline, Methylphenidate, Pentazocine, Pharmacy, Population, Pregnancy, Premature, Premature Birth, Review, Risk, Risks, River, Science, Scientific Evidence, Size, Small, Systematic Review, Treatment, Trial, USA, Web</w:t>
      </w:r>
      <w:r w:rsidR="00427468">
        <w:rPr>
          <w:kern w:val="0"/>
        </w:rPr>
        <w:t xml:space="preserve"> of </w:t>
      </w:r>
      <w:r>
        <w:rPr>
          <w:kern w:val="0"/>
        </w:rPr>
        <w:t>Science</w:t>
      </w:r>
    </w:p>
    <w:p w:rsidR="006B382D" w:rsidRDefault="006B382D" w:rsidP="006B382D">
      <w:pPr>
        <w:pStyle w:val="a3"/>
        <w:rPr>
          <w:kern w:val="0"/>
        </w:rPr>
      </w:pPr>
      <w:r>
        <w:rPr>
          <w:rFonts w:hint="eastAsia"/>
          <w:kern w:val="0"/>
        </w:rPr>
        <w:t xml:space="preserve">? </w:t>
      </w:r>
      <w:r>
        <w:rPr>
          <w:kern w:val="0"/>
        </w:rPr>
        <w:t xml:space="preserve">Qi, W.X., Shen, Z., Tang, L.N. and Yao, Y. (2014), Congestive heart failure risk in cancer patients treated with vascular endothelial growth factor tyrosine kinase </w:t>
      </w:r>
      <w:r>
        <w:rPr>
          <w:kern w:val="0"/>
        </w:rPr>
        <w:lastRenderedPageBreak/>
        <w:t xml:space="preserve">inhibitors: A systematic review and meta-analysis of 36 clinical trials. </w:t>
      </w:r>
      <w:r>
        <w:rPr>
          <w:i/>
          <w:iCs/>
          <w:kern w:val="0"/>
        </w:rPr>
        <w:t>British Journal of Clinical Pharmacology</w:t>
      </w:r>
      <w:r>
        <w:rPr>
          <w:kern w:val="0"/>
        </w:rPr>
        <w:t xml:space="preserve">, </w:t>
      </w:r>
      <w:r>
        <w:rPr>
          <w:b/>
          <w:bCs/>
          <w:kern w:val="0"/>
        </w:rPr>
        <w:t>78</w:t>
      </w:r>
      <w:r>
        <w:rPr>
          <w:kern w:val="0"/>
        </w:rPr>
        <w:t xml:space="preserve"> (4), 748-762.</w:t>
      </w:r>
    </w:p>
    <w:p w:rsidR="006B382D" w:rsidRDefault="006B382D" w:rsidP="006B382D">
      <w:pPr>
        <w:pStyle w:val="a3"/>
      </w:pPr>
      <w:r>
        <w:t xml:space="preserve">Full Text: </w:t>
      </w:r>
      <w:hyperlink r:id="rId1875" w:history="1">
        <w:r w:rsidRPr="008850DD">
          <w:rPr>
            <w:rStyle w:val="a5"/>
          </w:rPr>
          <w:t>2014\Bri J Cli Pha78, 748.pdf</w:t>
        </w:r>
      </w:hyperlink>
    </w:p>
    <w:p w:rsidR="006B382D" w:rsidRDefault="006B382D" w:rsidP="006B382D">
      <w:pPr>
        <w:pStyle w:val="a3"/>
        <w:rPr>
          <w:kern w:val="0"/>
        </w:rPr>
      </w:pPr>
      <w:r>
        <w:rPr>
          <w:kern w:val="0"/>
        </w:rPr>
        <w:t>Abstract: AIMS Congestive heart failure (CHF) associated with vascular endothelial growth factor tyrosine-kinase inhibitors (VEGFR-TKIs) has emerged as a relevant problem in clinical and scientific communities. We performed an up-to-date, comprehensive meta-analysis to determine the overall incidence and risk of CHF in cancer patients receiving VEGFR-TKIs. METHODS The databases of PubMed, Web of Science and abstracts presented at the American Society of Clinical Oncology up to August 31 2013 were searched for relevant articles. Statistical analyses were conducted to calculate the summary incidence, odds ratio (OR) and 95% confidence intervals (CIs) by using either random effects or fixed effect models according to the heterogeneity of included studies. RESULTS A total of 10 553 patients from 36 clinical trials were included. The overall incidence of all grade and high grade CHF associated with VEGFR-TKIs was 3.2% (95% CI 1.8%, 5.8%) and 1.4% (95% CI 0.9%, 2.3%), respectively. The use of VEGFR-TKIs significantly increased the risk of developing all grade (OR 2.37, 95% CI 1.76, 3.20, P &lt; 0.001) and high grade (OR 3.51, 95% CI 1.74, 7.05, P &lt; 0.001) CHF. In subgroup analyses, the risk of CHF did not significantly vary with tumour types (P = 0.071 for all grade; P = 0.72 for high grade) and VEGFR-TKIs (P = 0.55 for all grade; P = 0.99 for high grade). Meta-regression indicated that CHF might possibly occur early in the treatment of VEGFR-TKIs. No evidence of publication bias was observed. CONCLUSION The use of VEGFR-TKIs is associated with a significantly increased risk of developing congestive heart failure in cancer patients. Clinicians should be aware of this risk and provide close monitoring in patients receiving these therapies.</w:t>
      </w:r>
    </w:p>
    <w:p w:rsidR="006B382D" w:rsidRDefault="006B382D" w:rsidP="006B382D">
      <w:pPr>
        <w:pStyle w:val="a3"/>
        <w:rPr>
          <w:kern w:val="0"/>
        </w:rPr>
      </w:pPr>
      <w:r>
        <w:rPr>
          <w:kern w:val="0"/>
        </w:rPr>
        <w:t>Keywords: Advanced Breast-Cancer, Advanced Hepatocellular-Carcinoma, Analyses, Articles, Bias, Cancer, Clinical, Clinical Trials, Confidence, Confidence Intervals, Congestive Heart Failure, Databases, Developing, Effects, Evidence, Factor Receptor, Failure, From, Gastrointestinal Perforation, Growth, Growth Factor, Heart, Heart Failure, Heterogeneity, Incidence, Inhibitors, Intervals, Meta Analysis, Meta-Analysis, Meta-Regression, Metaanalysis, Metastatic Colorectal-Cancer, Methods, Models, Monitoring, Odds Ratio, Oncology, P, Patients, Phase-Ii Trial, Publication, Publication Bias, Pubmed, Randomized Controlled-Trials, Renal-Cell Carcinoma, Review, Risk, Science, Systematic, Systematic Review, Thyroid-Cancer, Treatment, Treatment-Related Mortality, Vascular Endothelial Growth Factor, Vegfr-Tkis, Web Of Science</w:t>
      </w:r>
    </w:p>
    <w:p w:rsidR="002B715B" w:rsidRDefault="002B715B" w:rsidP="002B715B">
      <w:pPr>
        <w:pStyle w:val="a3"/>
        <w:rPr>
          <w:kern w:val="0"/>
        </w:rPr>
      </w:pPr>
      <w:r>
        <w:rPr>
          <w:rFonts w:hint="eastAsia"/>
          <w:kern w:val="0"/>
        </w:rPr>
        <w:t xml:space="preserve">? </w:t>
      </w:r>
      <w:r>
        <w:rPr>
          <w:kern w:val="0"/>
        </w:rPr>
        <w:t xml:space="preserve">Cheema, E., Sutcliffe, P. and Singer, D.R.J. (2014), The impact of interventions by pharmacists in community pharmacies on control of hypertension: A systematic review and meta-analysis of randomized controlled trials. </w:t>
      </w:r>
      <w:r>
        <w:rPr>
          <w:i/>
          <w:iCs/>
          <w:kern w:val="0"/>
        </w:rPr>
        <w:t xml:space="preserve">British Journal of Clinical </w:t>
      </w:r>
      <w:r>
        <w:rPr>
          <w:i/>
          <w:iCs/>
          <w:kern w:val="0"/>
        </w:rPr>
        <w:lastRenderedPageBreak/>
        <w:t>Pharmacology</w:t>
      </w:r>
      <w:r>
        <w:rPr>
          <w:kern w:val="0"/>
        </w:rPr>
        <w:t xml:space="preserve">, </w:t>
      </w:r>
      <w:r>
        <w:rPr>
          <w:b/>
          <w:bCs/>
          <w:kern w:val="0"/>
        </w:rPr>
        <w:t>78</w:t>
      </w:r>
      <w:r>
        <w:rPr>
          <w:kern w:val="0"/>
        </w:rPr>
        <w:t xml:space="preserve"> (6), 1238-1247.</w:t>
      </w:r>
    </w:p>
    <w:p w:rsidR="002B715B" w:rsidRDefault="002B715B" w:rsidP="002B715B">
      <w:pPr>
        <w:pStyle w:val="a3"/>
      </w:pPr>
      <w:r>
        <w:t xml:space="preserve">Full Text: </w:t>
      </w:r>
      <w:hyperlink r:id="rId1876" w:history="1">
        <w:r w:rsidRPr="000066E9">
          <w:rPr>
            <w:rStyle w:val="a5"/>
          </w:rPr>
          <w:t>2014\Bri J Cli Pha78, 1238.pdf</w:t>
        </w:r>
      </w:hyperlink>
    </w:p>
    <w:p w:rsidR="002B715B" w:rsidRDefault="002B715B" w:rsidP="002B715B">
      <w:pPr>
        <w:pStyle w:val="a3"/>
        <w:rPr>
          <w:kern w:val="0"/>
        </w:rPr>
      </w:pPr>
      <w:r>
        <w:rPr>
          <w:kern w:val="0"/>
        </w:rPr>
        <w:t>Abstract: AimsTo undertake a systematic review and meta-analysis of randomized controlled trials concerned with the impact of community pharmacist-led interventions on blood pressure control in patients with hypertension. MethodsEight electronic databases were searched up to 30 November 2013, with no start date (Web of Science, Embase, The Cochrane Library, Medline Ovid, Biomed Central, Biosis Citation Index, CINAHL, PsycINFO). All studies included were randomized controlled trials involving patients with hypertension, with or without cardiovascular-related co-morbidities, with difference in blood pressure as an outcome. Data collected included the study design, baseline characteristics of study populations, types of interventions and outcomes. The Cochrane tool was used to assess risk of bias. ResultsFrom 340 articles identified on initial searching, 16 randomized controlled trials (3032 patients) were included. Pharmacist-led interventions were patient education on hypertension, management of prescribing and safety problems associated with medication, and advice on lifestyle. These interventions were associated with significant reductions in systolic [11 studies (2240 patients); -6.1mmHg (95% confidence interval, -3.8 to -8.4mmHg); P &lt; 0.00001] and diastolic blood pressure [11 studies (2246 patients); -2.5mmHg (95% confidence interval, -1.5 to -3.4mmHg); P &lt; 0.00001]. ConclusionsCommunity pharmacist-led interventions can significantly reduce systolic and diastolic blood pressure. These interventions could be useful for improving clinical management of hypertension.</w:t>
      </w:r>
    </w:p>
    <w:p w:rsidR="002B715B" w:rsidRDefault="002B715B" w:rsidP="002B715B">
      <w:pPr>
        <w:pStyle w:val="a3"/>
        <w:rPr>
          <w:kern w:val="0"/>
        </w:rPr>
      </w:pPr>
      <w:r>
        <w:rPr>
          <w:kern w:val="0"/>
        </w:rPr>
        <w:t>Keywords: Adherence, Articles, Bias, Biosis, Blood, Blood Pressure, Blood-Pressure Control, Cardiovascular-Disease, Characteristics, Citation, Clinical, Clinical Management, Clinical-Trial, Community, Confidence, Control, Data, Databases, Design, Diabetes Care, Education, Home, Hypertension, Impact, Interval, Interventions, Management, Medline, Meta Analysis, Meta-Analysis, Metaanalysis, Outcome, Outcomes, P, Patient Education, Patients, Pharmaceutical Care, Pharmacists, Populations, Prescribing, Pressure, Program, Psycinfo, Randomized, Randomized Controlled Trial, Randomized Controlled Trials, Review, Risk, Safety, Science, Study Design, Systematic, Systematic Review, Web, Web Of Science</w:t>
      </w:r>
    </w:p>
    <w:p w:rsidR="009840F6" w:rsidRDefault="009840F6" w:rsidP="009840F6">
      <w:pPr>
        <w:pStyle w:val="a3"/>
        <w:rPr>
          <w:kern w:val="0"/>
        </w:rPr>
      </w:pPr>
      <w:r>
        <w:rPr>
          <w:kern w:val="0"/>
        </w:rPr>
        <w:t xml:space="preserve">? Barber, J., McKeever, T.M., McDowell, S.E., Clayton, J.A., Ferner, R.E., Gordon, R.D., Stowasser, M., O’Shaughnessy, K.M., Hall, I.P. and Glover, M. (2015), A systematic review and meta-analysis of thiazide-induced hyponatraemia: Time to reconsider electrolyte monitoring regimens after thiazide initiation? </w:t>
      </w:r>
      <w:r>
        <w:rPr>
          <w:i/>
          <w:iCs/>
          <w:kern w:val="0"/>
        </w:rPr>
        <w:t>British Journal of Clinical Pharmacology</w:t>
      </w:r>
      <w:r>
        <w:rPr>
          <w:kern w:val="0"/>
        </w:rPr>
        <w:t xml:space="preserve">, </w:t>
      </w:r>
      <w:r>
        <w:rPr>
          <w:b/>
          <w:bCs/>
          <w:kern w:val="0"/>
        </w:rPr>
        <w:t>79</w:t>
      </w:r>
      <w:r>
        <w:rPr>
          <w:kern w:val="0"/>
        </w:rPr>
        <w:t xml:space="preserve"> (4), 566-577.</w:t>
      </w:r>
    </w:p>
    <w:p w:rsidR="009840F6" w:rsidRDefault="009840F6" w:rsidP="009840F6">
      <w:pPr>
        <w:pStyle w:val="a3"/>
      </w:pPr>
      <w:r>
        <w:t xml:space="preserve">Full Text: </w:t>
      </w:r>
      <w:hyperlink r:id="rId1877" w:history="1">
        <w:r w:rsidRPr="002949D0">
          <w:rPr>
            <w:rStyle w:val="a5"/>
          </w:rPr>
          <w:t>2015\Bri J Cli Pha79, 566.pdf</w:t>
        </w:r>
      </w:hyperlink>
    </w:p>
    <w:p w:rsidR="009840F6" w:rsidRDefault="009840F6" w:rsidP="009840F6">
      <w:pPr>
        <w:pStyle w:val="a3"/>
        <w:rPr>
          <w:kern w:val="0"/>
        </w:rPr>
      </w:pPr>
      <w:r>
        <w:rPr>
          <w:kern w:val="0"/>
        </w:rPr>
        <w:t xml:space="preserve">Abstract: AimsHyponatraemia is one of the major adverse effects of thiazide and thiazide-like diuretics and the leading cause of drug-induced hyponatraemia </w:t>
      </w:r>
      <w:r>
        <w:rPr>
          <w:kern w:val="0"/>
        </w:rPr>
        <w:lastRenderedPageBreak/>
        <w:t>requiring hospital admission. We sought to review and analyze all published cases of this important condition. MethodsOvid Medline, Embase, Web of Science and PubMed electronic databases were searched to identify all relevant articles published before October 2013. A proportions meta-analysis was undertaken. ResultsOne hundred and two articles were identified of which 49 were single patient case reports. Meta-analysis showed that mean age was 75 (95% CI 73, 77) years, 79% were women (95% CI 74, 82) and mean body mass index was 25 (95% CI 20, 30) kgm(-2). Presentation with thiazide-induced hyponatraemia occurred a mean of 19 (95% CI 8, 30) days after starting treatment, with mean trough serum sodium concentration of 116 (95% CI 113, 120) mm and serum potassium of 3.3 (95% CI 3.0, 3.5) mm. Mean urinary sodium concentration was 64mm (95% CI 47, 81). The most frequently reported drugs were hydrochlorothiazide, indapamide and bendroflumethiazide. ConclusionsPatients with thiazide-induced hyponatraemia were characterized by advanced age, female gender, inappropriate saliuresis and mild hypokalaemia. Low BMI was not found to be a significant risk factor, despite previous suggestions. The time from thiazide initiation to presentation with hyponatraemia suggests that the recommended practice of performing a single investigation of serum biochemistry 7-14 days after thiazide initiation may be insufficient or suboptimal. Further larger and more systematic studies of thiazide-induced hyponatraemia are required.</w:t>
      </w:r>
    </w:p>
    <w:p w:rsidR="009840F6" w:rsidRDefault="009840F6" w:rsidP="009840F6">
      <w:pPr>
        <w:pStyle w:val="a3"/>
        <w:rPr>
          <w:kern w:val="0"/>
        </w:rPr>
      </w:pPr>
      <w:r>
        <w:rPr>
          <w:kern w:val="0"/>
        </w:rPr>
        <w:t>Keywords: Adverse Drug-Reactions, Adverse Effects, Age, Antihypertensive Therapy, Articles, Biochemistry, Blood-Pressure, Bmi, Body Mass Index, Case Reports, Concentration, Databases, Distal Convoluted Tubule, Diuretic-Induced Hyponatremia, Drugs, Effects, Elderly Hypertensive Women, Female, From, Gender, Hospital, Hypokalaemia, Hypokalemia, Hyponatraemia, Hyponatremia, Inappropriate Secretion, Indapamide, Index, Initiation, Investigation, Mean, Medline, Meta Analysis, Meta-Analysis, Metaanalysis, Mild, Monitoring, Patient, Potassium, Practice, Presentation, Primary-Care, Pubmed, Review, Risk, Risk Factor, Risk-Factors, Science, Serum, Sodium, Symptomatic Hyponatremia, Systematic, Systematic Review, Thiazide, Thiazide-Like, Treatment, Urinary, Web, Web Of Science, Women</w:t>
      </w:r>
    </w:p>
    <w:p w:rsidR="00475305" w:rsidRPr="00C73C58" w:rsidRDefault="00475305" w:rsidP="00475305">
      <w:pPr>
        <w:pStyle w:val="1"/>
      </w:pPr>
      <w:r w:rsidRPr="00C73C58">
        <w:br w:type="page"/>
      </w:r>
      <w:bookmarkStart w:id="918" w:name="_Toc420814817"/>
      <w:r w:rsidRPr="00C73C58">
        <w:lastRenderedPageBreak/>
        <w:t xml:space="preserve">Title: </w:t>
      </w:r>
      <w:r w:rsidRPr="00C978C0">
        <w:rPr>
          <w:iCs w:val="0"/>
        </w:rPr>
        <w:t>British Journal</w:t>
      </w:r>
      <w:r w:rsidR="00427468">
        <w:rPr>
          <w:iCs w:val="0"/>
        </w:rPr>
        <w:t xml:space="preserve"> of </w:t>
      </w:r>
      <w:r w:rsidRPr="00C978C0">
        <w:rPr>
          <w:iCs w:val="0"/>
        </w:rPr>
        <w:t>Criminology</w:t>
      </w:r>
      <w:bookmarkEnd w:id="918"/>
    </w:p>
    <w:p w:rsidR="00475305" w:rsidRPr="00C73C58" w:rsidRDefault="00475305" w:rsidP="00475305">
      <w:pPr>
        <w:pStyle w:val="12"/>
      </w:pPr>
      <w:r w:rsidRPr="00C73C58">
        <w:t>Full Jou</w:t>
      </w:r>
      <w:bookmarkStart w:id="919" w:name="_Toc314727109"/>
      <w:r w:rsidRPr="00C73C58">
        <w:t>rnal Ti</w:t>
      </w:r>
      <w:bookmarkEnd w:id="919"/>
      <w:r w:rsidRPr="00C73C58">
        <w:t xml:space="preserve">tle: </w:t>
      </w:r>
      <w:r w:rsidRPr="00C978C0">
        <w:rPr>
          <w:iCs/>
          <w:kern w:val="0"/>
        </w:rPr>
        <w:t>British Journal</w:t>
      </w:r>
      <w:r w:rsidR="00427468">
        <w:rPr>
          <w:iCs/>
          <w:kern w:val="0"/>
        </w:rPr>
        <w:t xml:space="preserve"> of </w:t>
      </w:r>
      <w:r w:rsidRPr="00C978C0">
        <w:rPr>
          <w:iCs/>
          <w:kern w:val="0"/>
        </w:rPr>
        <w:t>Criminology</w:t>
      </w:r>
    </w:p>
    <w:p w:rsidR="00475305" w:rsidRPr="00C73C58" w:rsidRDefault="00475305" w:rsidP="00475305">
      <w:pPr>
        <w:pStyle w:val="12"/>
      </w:pPr>
      <w:r w:rsidRPr="00C73C58">
        <w:t xml:space="preserve">ISO Abbreviated Title: </w:t>
      </w:r>
    </w:p>
    <w:p w:rsidR="00475305" w:rsidRPr="00C73C58" w:rsidRDefault="00475305" w:rsidP="00475305">
      <w:pPr>
        <w:pStyle w:val="12"/>
      </w:pPr>
      <w:r w:rsidRPr="00C73C58">
        <w:t xml:space="preserve">JCR Abbreviated Title: </w:t>
      </w:r>
    </w:p>
    <w:p w:rsidR="00475305" w:rsidRPr="00C73C58" w:rsidRDefault="00475305" w:rsidP="00475305">
      <w:pPr>
        <w:pStyle w:val="12"/>
      </w:pPr>
      <w:r w:rsidRPr="00C73C58">
        <w:t xml:space="preserve">ISSN: </w:t>
      </w:r>
    </w:p>
    <w:p w:rsidR="00475305" w:rsidRPr="00C73C58" w:rsidRDefault="00475305" w:rsidP="00475305">
      <w:pPr>
        <w:pStyle w:val="12"/>
      </w:pPr>
      <w:r w:rsidRPr="00C73C58">
        <w:t xml:space="preserve">Issues/Year: </w:t>
      </w:r>
    </w:p>
    <w:p w:rsidR="00475305" w:rsidRPr="00C73C58" w:rsidRDefault="00475305" w:rsidP="00475305">
      <w:pPr>
        <w:pStyle w:val="12"/>
      </w:pPr>
      <w:r w:rsidRPr="00C73C58">
        <w:t xml:space="preserve">Journal Country/Territory: </w:t>
      </w:r>
    </w:p>
    <w:p w:rsidR="00475305" w:rsidRPr="00C73C58" w:rsidRDefault="00475305" w:rsidP="00475305">
      <w:pPr>
        <w:pStyle w:val="12"/>
      </w:pPr>
      <w:r w:rsidRPr="00C73C58">
        <w:t xml:space="preserve">Language: </w:t>
      </w:r>
    </w:p>
    <w:p w:rsidR="00475305" w:rsidRPr="00C73C58" w:rsidRDefault="00475305" w:rsidP="00475305">
      <w:pPr>
        <w:pStyle w:val="12"/>
      </w:pPr>
      <w:r w:rsidRPr="00C73C58">
        <w:t xml:space="preserve">Publisher: </w:t>
      </w:r>
    </w:p>
    <w:p w:rsidR="00475305" w:rsidRPr="00C73C58" w:rsidRDefault="00475305" w:rsidP="00475305">
      <w:pPr>
        <w:pStyle w:val="12"/>
      </w:pPr>
      <w:r w:rsidRPr="00C73C58">
        <w:t xml:space="preserve">Publisher Address: </w:t>
      </w:r>
    </w:p>
    <w:p w:rsidR="00475305" w:rsidRPr="00C73C58" w:rsidRDefault="00475305" w:rsidP="00475305">
      <w:pPr>
        <w:pStyle w:val="12"/>
      </w:pPr>
      <w:r w:rsidRPr="00C73C58">
        <w:t>Subject Categories:</w:t>
      </w:r>
    </w:p>
    <w:p w:rsidR="00475305" w:rsidRPr="00C73C58" w:rsidRDefault="00475305" w:rsidP="00475305">
      <w:pPr>
        <w:pStyle w:val="12"/>
      </w:pPr>
      <w:r w:rsidRPr="00C73C58">
        <w:t>: Impact Factor</w:t>
      </w:r>
    </w:p>
    <w:p w:rsidR="00475305" w:rsidRDefault="00475305" w:rsidP="00475305">
      <w:pPr>
        <w:pStyle w:val="a3"/>
        <w:rPr>
          <w:kern w:val="0"/>
        </w:rPr>
      </w:pPr>
      <w:r>
        <w:rPr>
          <w:rFonts w:hint="eastAsia"/>
          <w:kern w:val="0"/>
        </w:rPr>
        <w:t xml:space="preserve">? </w:t>
      </w:r>
      <w:r>
        <w:rPr>
          <w:kern w:val="0"/>
        </w:rPr>
        <w:t>Cohn, E.G.</w:t>
      </w:r>
      <w:r w:rsidR="005853A9">
        <w:rPr>
          <w:kern w:val="0"/>
        </w:rPr>
        <w:t xml:space="preserve"> and </w:t>
      </w:r>
      <w:r>
        <w:rPr>
          <w:kern w:val="0"/>
        </w:rPr>
        <w:t>Farrington, D.P. (1998), Changes in</w:t>
      </w:r>
      <w:r w:rsidR="003A1917">
        <w:rPr>
          <w:kern w:val="0"/>
        </w:rPr>
        <w:t xml:space="preserve"> the </w:t>
      </w:r>
      <w:r>
        <w:rPr>
          <w:kern w:val="0"/>
        </w:rPr>
        <w:t>most-cited scholars in major international journals between 1986-90</w:t>
      </w:r>
      <w:r w:rsidR="005853A9">
        <w:rPr>
          <w:kern w:val="0"/>
        </w:rPr>
        <w:t xml:space="preserve"> and </w:t>
      </w:r>
      <w:r>
        <w:rPr>
          <w:kern w:val="0"/>
        </w:rPr>
        <w:t xml:space="preserve">1991-95. </w:t>
      </w:r>
      <w:r w:rsidRPr="00C978C0">
        <w:rPr>
          <w:i/>
          <w:iCs/>
          <w:kern w:val="0"/>
        </w:rPr>
        <w:t>British Journal</w:t>
      </w:r>
      <w:r w:rsidR="00427468">
        <w:rPr>
          <w:i/>
          <w:iCs/>
          <w:kern w:val="0"/>
        </w:rPr>
        <w:t xml:space="preserve"> of </w:t>
      </w:r>
      <w:r w:rsidRPr="00C978C0">
        <w:rPr>
          <w:i/>
          <w:iCs/>
          <w:kern w:val="0"/>
        </w:rPr>
        <w:t>Criminology</w:t>
      </w:r>
      <w:r>
        <w:rPr>
          <w:kern w:val="0"/>
        </w:rPr>
        <w:t xml:space="preserve">, </w:t>
      </w:r>
      <w:r>
        <w:rPr>
          <w:b/>
          <w:bCs/>
          <w:kern w:val="0"/>
        </w:rPr>
        <w:t>38</w:t>
      </w:r>
      <w:r>
        <w:rPr>
          <w:kern w:val="0"/>
        </w:rPr>
        <w:t xml:space="preserve"> (1), 156-170.</w:t>
      </w:r>
    </w:p>
    <w:p w:rsidR="00475305" w:rsidRDefault="00475305" w:rsidP="00475305">
      <w:pPr>
        <w:pStyle w:val="a3"/>
        <w:rPr>
          <w:kern w:val="0"/>
        </w:rPr>
      </w:pPr>
      <w:r>
        <w:rPr>
          <w:rFonts w:hint="eastAsia"/>
          <w:kern w:val="0"/>
        </w:rPr>
        <w:t xml:space="preserve">Full Text: </w:t>
      </w:r>
      <w:hyperlink r:id="rId1878" w:history="1">
        <w:r w:rsidRPr="00475305">
          <w:rPr>
            <w:rStyle w:val="a5"/>
            <w:kern w:val="0"/>
          </w:rPr>
          <w:t>1998\Bri J Cri38, 156.pdf</w:t>
        </w:r>
      </w:hyperlink>
    </w:p>
    <w:p w:rsidR="00475305" w:rsidRDefault="00475305" w:rsidP="00475305">
      <w:pPr>
        <w:pStyle w:val="a3"/>
        <w:rPr>
          <w:kern w:val="0"/>
        </w:rPr>
      </w:pPr>
      <w:r>
        <w:rPr>
          <w:kern w:val="0"/>
        </w:rPr>
        <w:t>Abstract: We determined</w:t>
      </w:r>
      <w:r w:rsidR="003A1917">
        <w:rPr>
          <w:kern w:val="0"/>
        </w:rPr>
        <w:t xml:space="preserve"> the </w:t>
      </w:r>
      <w:r>
        <w:rPr>
          <w:kern w:val="0"/>
        </w:rPr>
        <w:t>most-cited scholars in 1991-95 in</w:t>
      </w:r>
      <w:r w:rsidR="003A1917">
        <w:rPr>
          <w:kern w:val="0"/>
        </w:rPr>
        <w:t xml:space="preserve"> the </w:t>
      </w:r>
      <w:r>
        <w:rPr>
          <w:kern w:val="0"/>
        </w:rPr>
        <w:t>major criminology journals</w:t>
      </w:r>
      <w:r w:rsidR="00427468">
        <w:rPr>
          <w:kern w:val="0"/>
        </w:rPr>
        <w:t xml:space="preserve"> of </w:t>
      </w:r>
      <w:r w:rsidR="003A1917">
        <w:rPr>
          <w:kern w:val="0"/>
        </w:rPr>
        <w:t xml:space="preserve">the </w:t>
      </w:r>
      <w:r>
        <w:rPr>
          <w:kern w:val="0"/>
        </w:rPr>
        <w:t>major countries</w:t>
      </w:r>
      <w:r w:rsidR="00427468">
        <w:rPr>
          <w:kern w:val="0"/>
        </w:rPr>
        <w:t xml:space="preserve"> of </w:t>
      </w:r>
      <w:r w:rsidR="003A1917">
        <w:rPr>
          <w:kern w:val="0"/>
        </w:rPr>
        <w:t xml:space="preserve">the </w:t>
      </w:r>
      <w:r>
        <w:rPr>
          <w:kern w:val="0"/>
        </w:rPr>
        <w:t>English-speaking world: British Journal</w:t>
      </w:r>
      <w:r w:rsidR="00427468">
        <w:rPr>
          <w:kern w:val="0"/>
        </w:rPr>
        <w:t xml:space="preserve"> of </w:t>
      </w:r>
      <w:r>
        <w:rPr>
          <w:kern w:val="0"/>
        </w:rPr>
        <w:t>Criminology (BJC), Criminology (GRIM), Canadian Journal</w:t>
      </w:r>
      <w:r w:rsidR="00427468">
        <w:rPr>
          <w:kern w:val="0"/>
        </w:rPr>
        <w:t xml:space="preserve"> of </w:t>
      </w:r>
      <w:r>
        <w:rPr>
          <w:kern w:val="0"/>
        </w:rPr>
        <w:t>Criminology (CJC)</w:t>
      </w:r>
      <w:r w:rsidR="005853A9">
        <w:rPr>
          <w:kern w:val="0"/>
        </w:rPr>
        <w:t xml:space="preserve"> and </w:t>
      </w:r>
      <w:r>
        <w:rPr>
          <w:kern w:val="0"/>
        </w:rPr>
        <w:t>Australian</w:t>
      </w:r>
      <w:r w:rsidR="005853A9">
        <w:rPr>
          <w:kern w:val="0"/>
        </w:rPr>
        <w:t xml:space="preserve"> and </w:t>
      </w:r>
      <w:r>
        <w:rPr>
          <w:kern w:val="0"/>
        </w:rPr>
        <w:t>New Zealand Journal</w:t>
      </w:r>
      <w:r w:rsidR="00427468">
        <w:rPr>
          <w:kern w:val="0"/>
        </w:rPr>
        <w:t xml:space="preserve"> of </w:t>
      </w:r>
      <w:r>
        <w:rPr>
          <w:kern w:val="0"/>
        </w:rPr>
        <w:t>Criminology (ANZ). We also compared</w:t>
      </w:r>
      <w:r w:rsidR="003A1917">
        <w:rPr>
          <w:kern w:val="0"/>
        </w:rPr>
        <w:t xml:space="preserve"> the </w:t>
      </w:r>
      <w:r>
        <w:rPr>
          <w:kern w:val="0"/>
        </w:rPr>
        <w:t>results with those obtained in a similar analysis for 1986-90</w:t>
      </w:r>
      <w:r w:rsidR="00A37C1D">
        <w:rPr>
          <w:kern w:val="0"/>
        </w:rPr>
        <w:t>. The</w:t>
      </w:r>
      <w:r w:rsidR="003A1917">
        <w:rPr>
          <w:kern w:val="0"/>
        </w:rPr>
        <w:t xml:space="preserve"> </w:t>
      </w:r>
      <w:r>
        <w:rPr>
          <w:kern w:val="0"/>
        </w:rPr>
        <w:t>scholars with</w:t>
      </w:r>
      <w:r w:rsidR="003A1917">
        <w:rPr>
          <w:kern w:val="0"/>
        </w:rPr>
        <w:t xml:space="preserve"> the </w:t>
      </w:r>
      <w:r>
        <w:rPr>
          <w:kern w:val="0"/>
        </w:rPr>
        <w:t>most citations in 1991-95 were Patricia M. Mayhew (BJC) Travis Hirschi (CRIM), Murray A. Straus (CJC)</w:t>
      </w:r>
      <w:r w:rsidR="005853A9">
        <w:rPr>
          <w:kern w:val="0"/>
        </w:rPr>
        <w:t xml:space="preserve"> and </w:t>
      </w:r>
      <w:r>
        <w:rPr>
          <w:kern w:val="0"/>
        </w:rPr>
        <w:t>John Braithwaite (ANZ). However, Anthony N. Doob was cited in a larger number</w:t>
      </w:r>
      <w:r w:rsidR="00427468">
        <w:rPr>
          <w:kern w:val="0"/>
        </w:rPr>
        <w:t xml:space="preserve"> of </w:t>
      </w:r>
      <w:r>
        <w:rPr>
          <w:kern w:val="0"/>
        </w:rPr>
        <w:t>different CJC articles than Murray A. Straus,</w:t>
      </w:r>
      <w:r w:rsidR="005853A9">
        <w:rPr>
          <w:kern w:val="0"/>
        </w:rPr>
        <w:t xml:space="preserve"> and </w:t>
      </w:r>
      <w:r>
        <w:rPr>
          <w:kern w:val="0"/>
        </w:rPr>
        <w:t>we concluded that this measure (termed</w:t>
      </w:r>
      <w:r w:rsidR="003A1917">
        <w:rPr>
          <w:kern w:val="0"/>
        </w:rPr>
        <w:t xml:space="preserve"> the </w:t>
      </w:r>
      <w:r>
        <w:rPr>
          <w:kern w:val="0"/>
        </w:rPr>
        <w:t>prevalence</w:t>
      </w:r>
      <w:r w:rsidR="00427468">
        <w:rPr>
          <w:kern w:val="0"/>
        </w:rPr>
        <w:t xml:space="preserve"> of </w:t>
      </w:r>
      <w:r>
        <w:rPr>
          <w:kern w:val="0"/>
        </w:rPr>
        <w:t>citations) was a better measure</w:t>
      </w:r>
      <w:r w:rsidR="00427468">
        <w:rPr>
          <w:kern w:val="0"/>
        </w:rPr>
        <w:t xml:space="preserve"> of </w:t>
      </w:r>
      <w:r>
        <w:rPr>
          <w:kern w:val="0"/>
        </w:rPr>
        <w:t>wide-ranging influence than</w:t>
      </w:r>
      <w:r w:rsidR="003A1917">
        <w:rPr>
          <w:kern w:val="0"/>
        </w:rPr>
        <w:t xml:space="preserve"> the </w:t>
      </w:r>
      <w:r>
        <w:rPr>
          <w:kern w:val="0"/>
        </w:rPr>
        <w:t>total number</w:t>
      </w:r>
      <w:r w:rsidR="00427468">
        <w:rPr>
          <w:kern w:val="0"/>
        </w:rPr>
        <w:t xml:space="preserve"> of </w:t>
      </w:r>
      <w:r>
        <w:rPr>
          <w:kern w:val="0"/>
        </w:rPr>
        <w:t>citations. On a combined score,</w:t>
      </w:r>
      <w:r w:rsidR="003A1917">
        <w:rPr>
          <w:kern w:val="0"/>
        </w:rPr>
        <w:t xml:space="preserve"> the </w:t>
      </w:r>
      <w:r>
        <w:rPr>
          <w:kern w:val="0"/>
        </w:rPr>
        <w:t>five most-cited scholars in al four journals in 1991-95 were Travis Hirschi, David P. Farrington, Michael R. Gottfredson, Alfred Blumstein</w:t>
      </w:r>
      <w:r w:rsidR="005853A9">
        <w:rPr>
          <w:kern w:val="0"/>
        </w:rPr>
        <w:t xml:space="preserve"> and </w:t>
      </w:r>
      <w:r>
        <w:rPr>
          <w:kern w:val="0"/>
        </w:rPr>
        <w:t>John Braithwaite. Whereas</w:t>
      </w:r>
      <w:r w:rsidR="003A1917">
        <w:rPr>
          <w:kern w:val="0"/>
        </w:rPr>
        <w:t xml:space="preserve"> the </w:t>
      </w:r>
      <w:r>
        <w:rPr>
          <w:kern w:val="0"/>
        </w:rPr>
        <w:t>most-cited works</w:t>
      </w:r>
      <w:r w:rsidR="00427468">
        <w:rPr>
          <w:kern w:val="0"/>
        </w:rPr>
        <w:t xml:space="preserve"> of </w:t>
      </w:r>
      <w:r w:rsidR="003A1917">
        <w:rPr>
          <w:kern w:val="0"/>
        </w:rPr>
        <w:t xml:space="preserve">the </w:t>
      </w:r>
      <w:r>
        <w:rPr>
          <w:kern w:val="0"/>
        </w:rPr>
        <w:t>most-cited scholars in</w:t>
      </w:r>
      <w:r w:rsidR="003A1917">
        <w:rPr>
          <w:kern w:val="0"/>
        </w:rPr>
        <w:t xml:space="preserve"> the </w:t>
      </w:r>
      <w:r>
        <w:rPr>
          <w:kern w:val="0"/>
        </w:rPr>
        <w:t>earlier period tended to be concerned with criminal career research</w:t>
      </w:r>
      <w:r w:rsidR="005853A9">
        <w:rPr>
          <w:kern w:val="0"/>
        </w:rPr>
        <w:t xml:space="preserve"> and </w:t>
      </w:r>
      <w:r>
        <w:rPr>
          <w:kern w:val="0"/>
        </w:rPr>
        <w:t>measuring crime,</w:t>
      </w:r>
      <w:r w:rsidR="003A1917">
        <w:rPr>
          <w:kern w:val="0"/>
        </w:rPr>
        <w:t xml:space="preserve"> the </w:t>
      </w:r>
      <w:r>
        <w:rPr>
          <w:kern w:val="0"/>
        </w:rPr>
        <w:t>most-cited works</w:t>
      </w:r>
      <w:r w:rsidR="00427468">
        <w:rPr>
          <w:kern w:val="0"/>
        </w:rPr>
        <w:t xml:space="preserve"> of </w:t>
      </w:r>
      <w:r w:rsidR="003A1917">
        <w:rPr>
          <w:kern w:val="0"/>
        </w:rPr>
        <w:t xml:space="preserve">the </w:t>
      </w:r>
      <w:r>
        <w:rPr>
          <w:kern w:val="0"/>
        </w:rPr>
        <w:t>most-cited scholars in</w:t>
      </w:r>
      <w:r w:rsidR="003A1917">
        <w:rPr>
          <w:kern w:val="0"/>
        </w:rPr>
        <w:t xml:space="preserve"> the </w:t>
      </w:r>
      <w:r>
        <w:rPr>
          <w:kern w:val="0"/>
        </w:rPr>
        <w:t>later period were more concerned with criminological theories.</w:t>
      </w:r>
    </w:p>
    <w:p w:rsidR="00475305" w:rsidRDefault="00475305" w:rsidP="00475305">
      <w:pPr>
        <w:pStyle w:val="a3"/>
        <w:rPr>
          <w:kern w:val="0"/>
        </w:rPr>
      </w:pPr>
      <w:r>
        <w:rPr>
          <w:kern w:val="0"/>
        </w:rPr>
        <w:t>Keywords: American Criminology, Analysis, Citations, Crime, Criminal-Justice, Journal, Journals, New Zealand, Prevalence, Research, Theories</w:t>
      </w:r>
    </w:p>
    <w:p w:rsidR="003474F2" w:rsidRPr="001A3D2B" w:rsidRDefault="003474F2" w:rsidP="003474F2">
      <w:pPr>
        <w:pStyle w:val="1"/>
      </w:pPr>
      <w:r w:rsidRPr="001A3D2B">
        <w:br w:type="page"/>
      </w:r>
      <w:bookmarkStart w:id="920" w:name="_Toc420814818"/>
      <w:r w:rsidRPr="001A3D2B">
        <w:lastRenderedPageBreak/>
        <w:t>Title: British Journal</w:t>
      </w:r>
      <w:r w:rsidR="00427468">
        <w:t xml:space="preserve"> of </w:t>
      </w:r>
      <w:r w:rsidRPr="001A3D2B">
        <w:t>Dermatology</w:t>
      </w:r>
      <w:bookmarkEnd w:id="920"/>
    </w:p>
    <w:p w:rsidR="003474F2" w:rsidRPr="001A3D2B" w:rsidRDefault="003474F2" w:rsidP="003474F2">
      <w:pPr>
        <w:pStyle w:val="12"/>
      </w:pPr>
      <w:r w:rsidRPr="001A3D2B">
        <w:t xml:space="preserve">Full Journal Title: </w:t>
      </w:r>
      <w:hyperlink r:id="rId1879" w:history="1">
        <w:r w:rsidRPr="001A3D2B">
          <w:rPr>
            <w:rStyle w:val="a5"/>
          </w:rPr>
          <w:t>British Journal</w:t>
        </w:r>
        <w:r w:rsidR="00427468">
          <w:rPr>
            <w:rStyle w:val="a5"/>
          </w:rPr>
          <w:t xml:space="preserve"> of </w:t>
        </w:r>
        <w:r w:rsidRPr="001A3D2B">
          <w:rPr>
            <w:rStyle w:val="a5"/>
          </w:rPr>
          <w:t>Dermatology</w:t>
        </w:r>
      </w:hyperlink>
    </w:p>
    <w:p w:rsidR="003474F2" w:rsidRPr="001A3D2B" w:rsidRDefault="003474F2" w:rsidP="003474F2">
      <w:pPr>
        <w:pStyle w:val="12"/>
      </w:pPr>
      <w:r w:rsidRPr="001A3D2B">
        <w:t>ISO Abbreviated Title: Br. J. Dermatol.</w:t>
      </w:r>
    </w:p>
    <w:p w:rsidR="003474F2" w:rsidRPr="001A3D2B" w:rsidRDefault="003474F2" w:rsidP="003474F2">
      <w:pPr>
        <w:pStyle w:val="12"/>
      </w:pPr>
      <w:r w:rsidRPr="001A3D2B">
        <w:t>JCR Abbreviated Title: Brit J Dermatol</w:t>
      </w:r>
    </w:p>
    <w:p w:rsidR="003474F2" w:rsidRPr="001A3D2B" w:rsidRDefault="003474F2" w:rsidP="003474F2">
      <w:pPr>
        <w:pStyle w:val="12"/>
      </w:pPr>
      <w:r w:rsidRPr="001A3D2B">
        <w:t>ISSN: 0007-0963</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Science Ltd</w:t>
      </w:r>
    </w:p>
    <w:p w:rsidR="003474F2" w:rsidRPr="001A3D2B" w:rsidRDefault="003474F2" w:rsidP="003474F2">
      <w:pPr>
        <w:pStyle w:val="12"/>
      </w:pPr>
      <w:r w:rsidRPr="001A3D2B">
        <w:t xml:space="preserve">Publisher Address: </w:t>
      </w:r>
      <w:smartTag w:uri="urn:schemas-microsoft-com:office:smarttags" w:element="Street">
        <w:r w:rsidRPr="001A3D2B">
          <w:t>PO Box</w:t>
        </w:r>
      </w:smartTag>
      <w:r w:rsidRPr="001A3D2B">
        <w:t xml:space="preserve"> 88, Osney Mead, Oxford OX2 0NE, Oxon, England</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Dermatology &amp; Venereal Diseases: Impact Factor </w:t>
      </w:r>
    </w:p>
    <w:p w:rsidR="00155DEF" w:rsidRDefault="00155DEF" w:rsidP="00155DEF">
      <w:pPr>
        <w:pStyle w:val="a3"/>
        <w:rPr>
          <w:kern w:val="0"/>
        </w:rPr>
      </w:pPr>
      <w:r>
        <w:rPr>
          <w:rFonts w:hint="eastAsia"/>
          <w:kern w:val="0"/>
        </w:rPr>
        <w:t xml:space="preserve">? </w:t>
      </w:r>
      <w:r>
        <w:rPr>
          <w:kern w:val="0"/>
        </w:rPr>
        <w:t>Jordan, R., Cummins, C.</w:t>
      </w:r>
      <w:r w:rsidR="005853A9">
        <w:rPr>
          <w:kern w:val="0"/>
        </w:rPr>
        <w:t xml:space="preserve"> and </w:t>
      </w:r>
      <w:r>
        <w:rPr>
          <w:kern w:val="0"/>
        </w:rPr>
        <w:t>Burls, A. (2000), Laser resurfacing</w:t>
      </w:r>
      <w:r w:rsidR="00427468">
        <w:rPr>
          <w:kern w:val="0"/>
        </w:rPr>
        <w:t xml:space="preserve"> of </w:t>
      </w:r>
      <w:r w:rsidR="003A1917">
        <w:rPr>
          <w:kern w:val="0"/>
        </w:rPr>
        <w:t xml:space="preserve">the </w:t>
      </w:r>
      <w:r>
        <w:rPr>
          <w:kern w:val="0"/>
        </w:rPr>
        <w:t>skin for</w:t>
      </w:r>
      <w:r w:rsidR="003A1917">
        <w:rPr>
          <w:kern w:val="0"/>
        </w:rPr>
        <w:t xml:space="preserve"> the </w:t>
      </w:r>
      <w:r>
        <w:rPr>
          <w:kern w:val="0"/>
        </w:rPr>
        <w:t>improvement</w:t>
      </w:r>
      <w:r w:rsidR="00427468">
        <w:rPr>
          <w:kern w:val="0"/>
        </w:rPr>
        <w:t xml:space="preserve"> of </w:t>
      </w:r>
      <w:r>
        <w:rPr>
          <w:kern w:val="0"/>
        </w:rPr>
        <w:t>facial acne scarring: A systematic review</w:t>
      </w:r>
      <w:r w:rsidR="00427468">
        <w:rPr>
          <w:kern w:val="0"/>
        </w:rPr>
        <w:t xml:space="preserve"> of </w:t>
      </w:r>
      <w:r w:rsidR="003A1917">
        <w:rPr>
          <w:kern w:val="0"/>
        </w:rPr>
        <w:t xml:space="preserve">the </w:t>
      </w:r>
      <w:r>
        <w:rPr>
          <w:kern w:val="0"/>
        </w:rPr>
        <w:t xml:space="preserve">evidence. </w:t>
      </w:r>
      <w:r>
        <w:rPr>
          <w:i/>
          <w:iCs/>
          <w:kern w:val="0"/>
        </w:rPr>
        <w:t>British Journal</w:t>
      </w:r>
      <w:r w:rsidR="00427468">
        <w:rPr>
          <w:i/>
          <w:iCs/>
          <w:kern w:val="0"/>
        </w:rPr>
        <w:t xml:space="preserve"> of </w:t>
      </w:r>
      <w:r>
        <w:rPr>
          <w:i/>
          <w:iCs/>
          <w:kern w:val="0"/>
        </w:rPr>
        <w:t>Dermatology</w:t>
      </w:r>
      <w:r>
        <w:rPr>
          <w:kern w:val="0"/>
        </w:rPr>
        <w:t xml:space="preserve">, </w:t>
      </w:r>
      <w:r>
        <w:rPr>
          <w:b/>
          <w:bCs/>
          <w:kern w:val="0"/>
        </w:rPr>
        <w:t>142</w:t>
      </w:r>
      <w:r>
        <w:rPr>
          <w:kern w:val="0"/>
        </w:rPr>
        <w:t xml:space="preserve"> (3), 413-423.</w:t>
      </w:r>
    </w:p>
    <w:p w:rsidR="00155DEF" w:rsidRPr="001A3D2B" w:rsidRDefault="00155DEF" w:rsidP="00155DEF">
      <w:pPr>
        <w:pStyle w:val="a3"/>
      </w:pPr>
      <w:r w:rsidRPr="001A3D2B">
        <w:t xml:space="preserve">Full Text: </w:t>
      </w:r>
      <w:hyperlink r:id="rId1880" w:history="1">
        <w:r w:rsidRPr="00155DEF">
          <w:rPr>
            <w:rStyle w:val="a5"/>
          </w:rPr>
          <w:t>2000\Bri J Der142, 413.pdf</w:t>
        </w:r>
      </w:hyperlink>
    </w:p>
    <w:p w:rsidR="00155DEF" w:rsidRDefault="00155DEF" w:rsidP="00155DEF">
      <w:pPr>
        <w:pStyle w:val="a3"/>
        <w:rPr>
          <w:kern w:val="0"/>
        </w:rPr>
      </w:pPr>
      <w:r>
        <w:rPr>
          <w:kern w:val="0"/>
        </w:rPr>
        <w:t>Abstract: This review presents</w:t>
      </w:r>
      <w:r w:rsidR="005853A9">
        <w:rPr>
          <w:kern w:val="0"/>
        </w:rPr>
        <w:t xml:space="preserve"> and </w:t>
      </w:r>
      <w:r>
        <w:rPr>
          <w:kern w:val="0"/>
        </w:rPr>
        <w:t>evaluates</w:t>
      </w:r>
      <w:r w:rsidR="003A1917">
        <w:rPr>
          <w:kern w:val="0"/>
        </w:rPr>
        <w:t xml:space="preserve"> the </w:t>
      </w:r>
      <w:r>
        <w:rPr>
          <w:kern w:val="0"/>
        </w:rPr>
        <w:t>evidence</w:t>
      </w:r>
      <w:r w:rsidR="00427468">
        <w:rPr>
          <w:kern w:val="0"/>
        </w:rPr>
        <w:t xml:space="preserve"> of </w:t>
      </w:r>
      <w:r w:rsidR="003A1917">
        <w:rPr>
          <w:kern w:val="0"/>
        </w:rPr>
        <w:t xml:space="preserve">the </w:t>
      </w:r>
      <w:r>
        <w:rPr>
          <w:kern w:val="0"/>
        </w:rPr>
        <w:t>effectiveness</w:t>
      </w:r>
      <w:r w:rsidR="00427468">
        <w:rPr>
          <w:kern w:val="0"/>
        </w:rPr>
        <w:t xml:space="preserve"> of </w:t>
      </w:r>
      <w:r>
        <w:rPr>
          <w:kern w:val="0"/>
        </w:rPr>
        <w:t>laser resurfacing for facial acne scars. Primary studies</w:t>
      </w:r>
      <w:r w:rsidR="00427468">
        <w:rPr>
          <w:kern w:val="0"/>
        </w:rPr>
        <w:t xml:space="preserve"> of </w:t>
      </w:r>
      <w:r>
        <w:rPr>
          <w:kern w:val="0"/>
        </w:rPr>
        <w:t>all types</w:t>
      </w:r>
      <w:r w:rsidR="00427468">
        <w:rPr>
          <w:kern w:val="0"/>
        </w:rPr>
        <w:t xml:space="preserve"> of </w:t>
      </w:r>
      <w:r>
        <w:rPr>
          <w:kern w:val="0"/>
        </w:rPr>
        <w:t xml:space="preserve">design in any language were identified from </w:t>
      </w:r>
      <w:r w:rsidR="00D5664A">
        <w:rPr>
          <w:kern w:val="0"/>
        </w:rPr>
        <w:t>MEDLINE</w:t>
      </w:r>
      <w:r>
        <w:rPr>
          <w:kern w:val="0"/>
        </w:rPr>
        <w:t>, EMBASE,</w:t>
      </w:r>
      <w:r w:rsidR="003A1917">
        <w:rPr>
          <w:kern w:val="0"/>
        </w:rPr>
        <w:t xml:space="preserve"> the </w:t>
      </w:r>
      <w:r>
        <w:rPr>
          <w:kern w:val="0"/>
        </w:rPr>
        <w:t>Cochrane database, Science Citation Index</w:t>
      </w:r>
      <w:r w:rsidR="005853A9">
        <w:rPr>
          <w:kern w:val="0"/>
        </w:rPr>
        <w:t xml:space="preserve"> and </w:t>
      </w:r>
      <w:r>
        <w:rPr>
          <w:kern w:val="0"/>
        </w:rPr>
        <w:t>various internet sites. Studies were accepted if they included patients treated by any laser for atrophic or ice-pick acne scars</w:t>
      </w:r>
      <w:r w:rsidR="00A37C1D">
        <w:rPr>
          <w:kern w:val="0"/>
        </w:rPr>
        <w:t>. The</w:t>
      </w:r>
      <w:r w:rsidR="003A1917">
        <w:rPr>
          <w:kern w:val="0"/>
        </w:rPr>
        <w:t xml:space="preserve"> </w:t>
      </w:r>
      <w:r>
        <w:rPr>
          <w:kern w:val="0"/>
        </w:rPr>
        <w:t>quality</w:t>
      </w:r>
      <w:r w:rsidR="00427468">
        <w:rPr>
          <w:kern w:val="0"/>
        </w:rPr>
        <w:t xml:space="preserve"> of </w:t>
      </w:r>
      <w:r w:rsidR="003A1917">
        <w:rPr>
          <w:kern w:val="0"/>
        </w:rPr>
        <w:t xml:space="preserve">the </w:t>
      </w:r>
      <w:r>
        <w:rPr>
          <w:kern w:val="0"/>
        </w:rPr>
        <w:t>studies was assessed</w:t>
      </w:r>
      <w:r w:rsidR="005853A9">
        <w:rPr>
          <w:kern w:val="0"/>
        </w:rPr>
        <w:t xml:space="preserve"> and </w:t>
      </w:r>
      <w:r>
        <w:rPr>
          <w:kern w:val="0"/>
        </w:rPr>
        <w:t>data extracted by two independent researchers</w:t>
      </w:r>
      <w:r w:rsidR="00A37C1D">
        <w:rPr>
          <w:kern w:val="0"/>
        </w:rPr>
        <w:t>. The</w:t>
      </w:r>
      <w:r>
        <w:rPr>
          <w:kern w:val="0"/>
        </w:rPr>
        <w:t>re were no controlled trials but 14 case series were found which reported</w:t>
      </w:r>
      <w:r w:rsidR="003A1917">
        <w:rPr>
          <w:kern w:val="0"/>
        </w:rPr>
        <w:t xml:space="preserve"> the </w:t>
      </w:r>
      <w:r>
        <w:rPr>
          <w:kern w:val="0"/>
        </w:rPr>
        <w:t>effects</w:t>
      </w:r>
      <w:r w:rsidR="00427468">
        <w:rPr>
          <w:kern w:val="0"/>
        </w:rPr>
        <w:t xml:space="preserve"> of </w:t>
      </w:r>
      <w:r>
        <w:rPr>
          <w:kern w:val="0"/>
        </w:rPr>
        <w:t>either</w:t>
      </w:r>
      <w:r w:rsidR="003A1917">
        <w:rPr>
          <w:kern w:val="0"/>
        </w:rPr>
        <w:t xml:space="preserve"> the </w:t>
      </w:r>
      <w:r>
        <w:rPr>
          <w:kern w:val="0"/>
        </w:rPr>
        <w:t>carbon dioxide or erbium:YAG laser. All</w:t>
      </w:r>
      <w:r w:rsidR="00427468">
        <w:rPr>
          <w:kern w:val="0"/>
        </w:rPr>
        <w:t xml:space="preserve"> of </w:t>
      </w:r>
      <w:r w:rsidR="003A1917">
        <w:rPr>
          <w:kern w:val="0"/>
        </w:rPr>
        <w:t xml:space="preserve">the </w:t>
      </w:r>
      <w:r>
        <w:rPr>
          <w:kern w:val="0"/>
        </w:rPr>
        <w:t>studies were</w:t>
      </w:r>
      <w:r w:rsidR="00427468">
        <w:rPr>
          <w:kern w:val="0"/>
        </w:rPr>
        <w:t xml:space="preserve"> of </w:t>
      </w:r>
      <w:r>
        <w:rPr>
          <w:kern w:val="0"/>
        </w:rPr>
        <w:t>poor quality,</w:t>
      </w:r>
      <w:r w:rsidR="003A1917">
        <w:rPr>
          <w:kern w:val="0"/>
        </w:rPr>
        <w:t xml:space="preserve"> the </w:t>
      </w:r>
      <w:r>
        <w:rPr>
          <w:kern w:val="0"/>
        </w:rPr>
        <w:t>types</w:t>
      </w:r>
      <w:r w:rsidR="005853A9">
        <w:rPr>
          <w:kern w:val="0"/>
        </w:rPr>
        <w:t xml:space="preserve"> and </w:t>
      </w:r>
      <w:r>
        <w:rPr>
          <w:kern w:val="0"/>
        </w:rPr>
        <w:t>severity</w:t>
      </w:r>
      <w:r w:rsidR="00427468">
        <w:rPr>
          <w:kern w:val="0"/>
        </w:rPr>
        <w:t xml:space="preserve"> of </w:t>
      </w:r>
      <w:r>
        <w:rPr>
          <w:kern w:val="0"/>
        </w:rPr>
        <w:t>scarring were poorly described</w:t>
      </w:r>
      <w:r w:rsidR="005853A9">
        <w:rPr>
          <w:kern w:val="0"/>
        </w:rPr>
        <w:t xml:space="preserve"> and </w:t>
      </w:r>
      <w:r>
        <w:rPr>
          <w:kern w:val="0"/>
        </w:rPr>
        <w:t>there was no standard scale used to measure scar improvement, There was no reliable or validated measure</w:t>
      </w:r>
      <w:r w:rsidR="00427468">
        <w:rPr>
          <w:kern w:val="0"/>
        </w:rPr>
        <w:t xml:space="preserve"> of </w:t>
      </w:r>
      <w:r>
        <w:rPr>
          <w:kern w:val="0"/>
        </w:rPr>
        <w:t>patient satisfaction; most improvement was based on visual clinical judgement, in many cases without blinded assessment,</w:t>
      </w:r>
      <w:r w:rsidR="003A1917">
        <w:rPr>
          <w:kern w:val="0"/>
        </w:rPr>
        <w:t xml:space="preserve"> the </w:t>
      </w:r>
      <w:r>
        <w:rPr>
          <w:kern w:val="0"/>
        </w:rPr>
        <w:t>inaccurate use</w:t>
      </w:r>
      <w:r w:rsidR="00427468">
        <w:rPr>
          <w:kern w:val="0"/>
        </w:rPr>
        <w:t xml:space="preserve"> of </w:t>
      </w:r>
      <w:r>
        <w:rPr>
          <w:kern w:val="0"/>
        </w:rPr>
        <w:t>ordinal scales meant that any improvement was impossible to quantify with any validity, although</w:t>
      </w:r>
      <w:r w:rsidR="003A1917">
        <w:rPr>
          <w:kern w:val="0"/>
        </w:rPr>
        <w:t xml:space="preserve"> the </w:t>
      </w:r>
      <w:r>
        <w:rPr>
          <w:kern w:val="0"/>
        </w:rPr>
        <w:t>evidence suggested that laser treatment had some efficacy (a range in individual patients</w:t>
      </w:r>
      <w:r w:rsidR="00427468">
        <w:rPr>
          <w:kern w:val="0"/>
        </w:rPr>
        <w:t xml:space="preserve"> of </w:t>
      </w:r>
      <w:r>
        <w:rPr>
          <w:kern w:val="0"/>
        </w:rPr>
        <w:t>25-90% for both</w:t>
      </w:r>
      <w:r w:rsidR="003A1917">
        <w:rPr>
          <w:kern w:val="0"/>
        </w:rPr>
        <w:t xml:space="preserve"> the </w:t>
      </w:r>
      <w:r>
        <w:rPr>
          <w:kern w:val="0"/>
        </w:rPr>
        <w:t>carbon dioxide laser</w:t>
      </w:r>
      <w:r w:rsidR="005853A9">
        <w:rPr>
          <w:kern w:val="0"/>
        </w:rPr>
        <w:t xml:space="preserve"> and </w:t>
      </w:r>
      <w:r w:rsidR="003A1917">
        <w:rPr>
          <w:kern w:val="0"/>
        </w:rPr>
        <w:t xml:space="preserve">the </w:t>
      </w:r>
      <w:r>
        <w:rPr>
          <w:kern w:val="0"/>
        </w:rPr>
        <w:t>erbium:YAG laser). Changes in pigmentation as a side-effect were common (in up to 44%</w:t>
      </w:r>
      <w:r w:rsidR="00427468">
        <w:rPr>
          <w:kern w:val="0"/>
        </w:rPr>
        <w:t xml:space="preserve"> of </w:t>
      </w:r>
      <w:r>
        <w:rPr>
          <w:kern w:val="0"/>
        </w:rPr>
        <w:t>patients), although lasting only a few weeks. Laser resurfacing technology is increasingly used in clinical practice to treat acne scars, Despite</w:t>
      </w:r>
      <w:r w:rsidR="003A1917">
        <w:rPr>
          <w:kern w:val="0"/>
        </w:rPr>
        <w:t xml:space="preserve"> the </w:t>
      </w:r>
      <w:r>
        <w:rPr>
          <w:kern w:val="0"/>
        </w:rPr>
        <w:t>poor quality evidence, it is plausible that there is some improvement</w:t>
      </w:r>
      <w:r w:rsidR="00427468">
        <w:rPr>
          <w:kern w:val="0"/>
        </w:rPr>
        <w:t xml:space="preserve"> of </w:t>
      </w:r>
      <w:r>
        <w:rPr>
          <w:kern w:val="0"/>
        </w:rPr>
        <w:t>acne scarring: there is insufficient information, however, for patients to make informed decisions on whether to opt for treatment</w:t>
      </w:r>
      <w:r w:rsidR="005853A9">
        <w:rPr>
          <w:kern w:val="0"/>
        </w:rPr>
        <w:t xml:space="preserve"> and </w:t>
      </w:r>
      <w:r>
        <w:rPr>
          <w:kern w:val="0"/>
        </w:rPr>
        <w:t>there is not enough evidence to compare</w:t>
      </w:r>
      <w:r w:rsidR="003A1917">
        <w:rPr>
          <w:kern w:val="0"/>
        </w:rPr>
        <w:t xml:space="preserve"> the </w:t>
      </w:r>
      <w:r>
        <w:rPr>
          <w:kern w:val="0"/>
        </w:rPr>
        <w:t xml:space="preserve">two </w:t>
      </w:r>
      <w:r>
        <w:rPr>
          <w:kern w:val="0"/>
        </w:rPr>
        <w:lastRenderedPageBreak/>
        <w:t>types</w:t>
      </w:r>
      <w:r w:rsidR="00427468">
        <w:rPr>
          <w:kern w:val="0"/>
        </w:rPr>
        <w:t xml:space="preserve"> of </w:t>
      </w:r>
      <w:r>
        <w:rPr>
          <w:kern w:val="0"/>
        </w:rPr>
        <w:t>laser</w:t>
      </w:r>
      <w:r w:rsidR="00A37C1D">
        <w:rPr>
          <w:kern w:val="0"/>
        </w:rPr>
        <w:t>. The</w:t>
      </w:r>
      <w:r>
        <w:rPr>
          <w:kern w:val="0"/>
        </w:rPr>
        <w:t>re is a particular lack</w:t>
      </w:r>
      <w:r w:rsidR="00427468">
        <w:rPr>
          <w:kern w:val="0"/>
        </w:rPr>
        <w:t xml:space="preserve"> of </w:t>
      </w:r>
      <w:r>
        <w:rPr>
          <w:kern w:val="0"/>
        </w:rPr>
        <w:t>information about</w:t>
      </w:r>
      <w:r w:rsidR="003A1917">
        <w:rPr>
          <w:kern w:val="0"/>
        </w:rPr>
        <w:t xml:space="preserve"> the </w:t>
      </w:r>
      <w:r>
        <w:rPr>
          <w:kern w:val="0"/>
        </w:rPr>
        <w:t>psychological effects</w:t>
      </w:r>
      <w:r w:rsidR="00427468">
        <w:rPr>
          <w:kern w:val="0"/>
        </w:rPr>
        <w:t xml:space="preserve"> of </w:t>
      </w:r>
      <w:r>
        <w:rPr>
          <w:kern w:val="0"/>
        </w:rPr>
        <w:t>acne scar improvement. Good quality randomized controlled trials are needed with standardized scarring scales</w:t>
      </w:r>
      <w:r w:rsidR="005853A9">
        <w:rPr>
          <w:kern w:val="0"/>
        </w:rPr>
        <w:t xml:space="preserve"> and </w:t>
      </w:r>
      <w:r>
        <w:rPr>
          <w:kern w:val="0"/>
        </w:rPr>
        <w:t>validated patient outcome measures in order to assess</w:t>
      </w:r>
      <w:r w:rsidR="003A1917">
        <w:rPr>
          <w:kern w:val="0"/>
        </w:rPr>
        <w:t xml:space="preserve"> the </w:t>
      </w:r>
      <w:r>
        <w:rPr>
          <w:kern w:val="0"/>
        </w:rPr>
        <w:t>effectiveness</w:t>
      </w:r>
      <w:r w:rsidR="00427468">
        <w:rPr>
          <w:kern w:val="0"/>
        </w:rPr>
        <w:t xml:space="preserve"> of </w:t>
      </w:r>
      <w:r>
        <w:rPr>
          <w:kern w:val="0"/>
        </w:rPr>
        <w:t>laser resurfacing in this group</w:t>
      </w:r>
      <w:r w:rsidR="00427468">
        <w:rPr>
          <w:kern w:val="0"/>
        </w:rPr>
        <w:t xml:space="preserve"> of </w:t>
      </w:r>
      <w:r>
        <w:rPr>
          <w:kern w:val="0"/>
        </w:rPr>
        <w:t>patients.</w:t>
      </w:r>
    </w:p>
    <w:p w:rsidR="00155DEF" w:rsidRDefault="00155DEF" w:rsidP="00155DEF">
      <w:pPr>
        <w:pStyle w:val="a3"/>
        <w:rPr>
          <w:kern w:val="0"/>
        </w:rPr>
      </w:pPr>
      <w:r>
        <w:rPr>
          <w:kern w:val="0"/>
        </w:rPr>
        <w:t xml:space="preserve">Keywords: Acne, Adolescents, Assessment, Carbon, Carbon Dioxide, Carbon Dioxide Laser, Carbon-Dioxide Laser, Case Series, Citation, Clinical-Evaluation, Computer-Pattern Generator, Database, Effectiveness, ER-Yag Laser, Erbium : Yag Laser, High-Energy, Language, Laser Treatment, </w:t>
      </w:r>
      <w:r w:rsidR="00D5664A">
        <w:rPr>
          <w:kern w:val="0"/>
        </w:rPr>
        <w:t>MEDLINE</w:t>
      </w:r>
      <w:r>
        <w:rPr>
          <w:kern w:val="0"/>
        </w:rPr>
        <w:t>, Prevalence, Researchers, Review, Scale, Scarring, Scars, Science, Science Citation Index, Surgery, Systematic Review, Technology, Treatment, Validity, Vulgaris</w:t>
      </w:r>
    </w:p>
    <w:p w:rsidR="003474F2" w:rsidRPr="001A3D2B" w:rsidRDefault="003474F2" w:rsidP="003474F2">
      <w:pPr>
        <w:pStyle w:val="a3"/>
      </w:pPr>
      <w:r w:rsidRPr="001A3D2B">
        <w:t>? Rahman, M., Sakamoto, J.</w:t>
      </w:r>
      <w:r w:rsidR="005853A9">
        <w:t xml:space="preserve"> and </w:t>
      </w:r>
      <w:r w:rsidRPr="001A3D2B">
        <w:t>Fukui, T. (2003), Share</w:t>
      </w:r>
      <w:r w:rsidR="00427468">
        <w:t xml:space="preserve"> of </w:t>
      </w:r>
      <w:r w:rsidRPr="001A3D2B">
        <w:t xml:space="preserve">research output in dermatology: A quantitative ranking. </w:t>
      </w:r>
      <w:r w:rsidRPr="001A3D2B">
        <w:rPr>
          <w:i/>
          <w:iCs/>
        </w:rPr>
        <w:t>British Journal</w:t>
      </w:r>
      <w:r w:rsidR="00427468">
        <w:rPr>
          <w:i/>
          <w:iCs/>
        </w:rPr>
        <w:t xml:space="preserve"> of </w:t>
      </w:r>
      <w:r w:rsidRPr="001A3D2B">
        <w:rPr>
          <w:i/>
          <w:iCs/>
        </w:rPr>
        <w:t>Dermatology</w:t>
      </w:r>
      <w:r w:rsidRPr="001A3D2B">
        <w:t xml:space="preserve">, </w:t>
      </w:r>
      <w:r w:rsidRPr="001A3D2B">
        <w:rPr>
          <w:b/>
          <w:bCs/>
        </w:rPr>
        <w:t>149</w:t>
      </w:r>
      <w:r w:rsidRPr="001A3D2B">
        <w:t xml:space="preserve"> (1), 218-220.</w:t>
      </w:r>
    </w:p>
    <w:p w:rsidR="003474F2" w:rsidRPr="001A3D2B" w:rsidRDefault="003474F2" w:rsidP="003474F2">
      <w:pPr>
        <w:pStyle w:val="a3"/>
      </w:pPr>
      <w:r w:rsidRPr="001A3D2B">
        <w:t xml:space="preserve">Full Text: </w:t>
      </w:r>
      <w:hyperlink r:id="rId1881" w:history="1">
        <w:r w:rsidRPr="001A3D2B">
          <w:rPr>
            <w:rStyle w:val="a5"/>
          </w:rPr>
          <w:t>2003\Bri J Der149, 218.pdf</w:t>
        </w:r>
      </w:hyperlink>
    </w:p>
    <w:p w:rsidR="003474F2" w:rsidRPr="001A3D2B" w:rsidRDefault="003474F2" w:rsidP="003474F2">
      <w:pPr>
        <w:pStyle w:val="a3"/>
      </w:pPr>
      <w:r w:rsidRPr="001A3D2B">
        <w:t>? Morgan, C.J., Cooper, A.J., Dyer, J.P.</w:t>
      </w:r>
      <w:r w:rsidR="005853A9">
        <w:t xml:space="preserve"> and </w:t>
      </w:r>
      <w:r w:rsidRPr="001A3D2B">
        <w:t>Friedmann, P.S. (2005</w:t>
      </w:r>
      <w:r w:rsidR="00F42EAC">
        <w:t>), The</w:t>
      </w:r>
      <w:r w:rsidR="003A1917">
        <w:t xml:space="preserve"> </w:t>
      </w:r>
      <w:r w:rsidRPr="001A3D2B">
        <w:t>publication rate</w:t>
      </w:r>
      <w:r w:rsidR="00427468">
        <w:t xml:space="preserve"> of </w:t>
      </w:r>
      <w:r w:rsidRPr="001A3D2B">
        <w:t>abstracts presented at</w:t>
      </w:r>
      <w:r w:rsidR="003A1917">
        <w:t xml:space="preserve"> the </w:t>
      </w:r>
      <w:r w:rsidRPr="001A3D2B">
        <w:t>British Association</w:t>
      </w:r>
      <w:r w:rsidR="00427468">
        <w:t xml:space="preserve"> of </w:t>
      </w:r>
      <w:r w:rsidRPr="001A3D2B">
        <w:t xml:space="preserve">Dermatologists Annual Meeting. </w:t>
      </w:r>
      <w:r w:rsidRPr="001A3D2B">
        <w:rPr>
          <w:i/>
          <w:iCs/>
        </w:rPr>
        <w:t>British Journal</w:t>
      </w:r>
      <w:r w:rsidR="00427468">
        <w:rPr>
          <w:i/>
          <w:iCs/>
        </w:rPr>
        <w:t xml:space="preserve"> of </w:t>
      </w:r>
      <w:r w:rsidRPr="001A3D2B">
        <w:rPr>
          <w:i/>
          <w:iCs/>
        </w:rPr>
        <w:t>Dermatology</w:t>
      </w:r>
      <w:r w:rsidRPr="001A3D2B">
        <w:t xml:space="preserve">, </w:t>
      </w:r>
      <w:r w:rsidRPr="001A3D2B">
        <w:rPr>
          <w:b/>
          <w:bCs/>
        </w:rPr>
        <w:t>153</w:t>
      </w:r>
      <w:r w:rsidRPr="001A3D2B">
        <w:t xml:space="preserve"> (4), 855-857.</w:t>
      </w:r>
    </w:p>
    <w:p w:rsidR="003474F2" w:rsidRPr="001A3D2B" w:rsidRDefault="003474F2" w:rsidP="003474F2">
      <w:pPr>
        <w:pStyle w:val="a3"/>
      </w:pPr>
      <w:r w:rsidRPr="001A3D2B">
        <w:t xml:space="preserve">Full Text: </w:t>
      </w:r>
      <w:hyperlink r:id="rId1882" w:history="1">
        <w:r w:rsidRPr="001A3D2B">
          <w:rPr>
            <w:rStyle w:val="a5"/>
          </w:rPr>
          <w:t>2005\Bri J Der153, 855.pdf</w:t>
        </w:r>
      </w:hyperlink>
    </w:p>
    <w:p w:rsidR="003474F2" w:rsidRPr="001A3D2B" w:rsidRDefault="003474F2" w:rsidP="003474F2">
      <w:pPr>
        <w:pStyle w:val="a3"/>
      </w:pPr>
      <w:r w:rsidRPr="001A3D2B">
        <w:t>? Rees, J.L.</w:t>
      </w:r>
      <w:r w:rsidR="005853A9">
        <w:t xml:space="preserve"> and </w:t>
      </w:r>
      <w:r w:rsidRPr="001A3D2B">
        <w:t>Bisset, Y. (2006), Recent record</w:t>
      </w:r>
      <w:r w:rsidR="00427468">
        <w:t xml:space="preserve"> of </w:t>
      </w:r>
      <w:r w:rsidR="003A1917">
        <w:t xml:space="preserve">the </w:t>
      </w:r>
      <w:r w:rsidRPr="001A3D2B">
        <w:t xml:space="preserve">UK to publication in top dermatology journals. </w:t>
      </w:r>
      <w:r w:rsidRPr="001A3D2B">
        <w:rPr>
          <w:i/>
          <w:iCs/>
        </w:rPr>
        <w:t>British Journal</w:t>
      </w:r>
      <w:r w:rsidR="00427468">
        <w:rPr>
          <w:i/>
          <w:iCs/>
        </w:rPr>
        <w:t xml:space="preserve"> of </w:t>
      </w:r>
      <w:r w:rsidRPr="001A3D2B">
        <w:rPr>
          <w:i/>
          <w:iCs/>
        </w:rPr>
        <w:t>Dermatology</w:t>
      </w:r>
      <w:r w:rsidRPr="001A3D2B">
        <w:t xml:space="preserve">, </w:t>
      </w:r>
      <w:r w:rsidRPr="001A3D2B">
        <w:rPr>
          <w:b/>
          <w:bCs/>
        </w:rPr>
        <w:t>154</w:t>
      </w:r>
      <w:r w:rsidRPr="001A3D2B">
        <w:t xml:space="preserve"> (5), 1016.</w:t>
      </w:r>
    </w:p>
    <w:p w:rsidR="003474F2" w:rsidRPr="001A3D2B" w:rsidRDefault="003474F2" w:rsidP="003474F2">
      <w:pPr>
        <w:pStyle w:val="a3"/>
      </w:pPr>
      <w:r w:rsidRPr="001A3D2B">
        <w:t xml:space="preserve">Full Text: </w:t>
      </w:r>
      <w:hyperlink r:id="rId1883" w:history="1">
        <w:r w:rsidRPr="001A3D2B">
          <w:rPr>
            <w:rStyle w:val="a5"/>
          </w:rPr>
          <w:t>2006\Bri J Der154, 1016.pdf</w:t>
        </w:r>
      </w:hyperlink>
    </w:p>
    <w:p w:rsidR="00066B28" w:rsidRPr="001A3D2B" w:rsidRDefault="00066B28" w:rsidP="00066B28">
      <w:pPr>
        <w:pStyle w:val="a3"/>
        <w:rPr>
          <w:kern w:val="0"/>
        </w:rPr>
      </w:pPr>
      <w:r w:rsidRPr="001A3D2B">
        <w:rPr>
          <w:kern w:val="0"/>
        </w:rPr>
        <w:t>? Hamilton, F.L., Car, J., Lyons, C., Car, M., Layton, A.</w:t>
      </w:r>
      <w:r w:rsidR="005853A9">
        <w:rPr>
          <w:kern w:val="0"/>
        </w:rPr>
        <w:t xml:space="preserve"> and </w:t>
      </w:r>
      <w:r w:rsidRPr="001A3D2B">
        <w:rPr>
          <w:kern w:val="0"/>
        </w:rPr>
        <w:t>Majeed, A. (2009), Laser</w:t>
      </w:r>
      <w:r w:rsidR="005853A9">
        <w:rPr>
          <w:kern w:val="0"/>
        </w:rPr>
        <w:t xml:space="preserve"> and </w:t>
      </w:r>
      <w:r w:rsidRPr="001A3D2B">
        <w:rPr>
          <w:kern w:val="0"/>
        </w:rPr>
        <w:t>other light therapies for</w:t>
      </w:r>
      <w:r w:rsidR="003A1917">
        <w:rPr>
          <w:kern w:val="0"/>
        </w:rPr>
        <w:t xml:space="preserve"> the </w:t>
      </w:r>
      <w:r w:rsidRPr="001A3D2B">
        <w:rPr>
          <w:kern w:val="0"/>
        </w:rPr>
        <w:t>treatment</w:t>
      </w:r>
      <w:r w:rsidR="00427468">
        <w:rPr>
          <w:kern w:val="0"/>
        </w:rPr>
        <w:t xml:space="preserve"> of </w:t>
      </w:r>
      <w:r w:rsidRPr="001A3D2B">
        <w:rPr>
          <w:kern w:val="0"/>
        </w:rPr>
        <w:t xml:space="preserve">acne vulgaris: Systematic review. </w:t>
      </w:r>
      <w:r w:rsidRPr="001A3D2B">
        <w:rPr>
          <w:i/>
          <w:iCs/>
          <w:kern w:val="0"/>
        </w:rPr>
        <w:t>British Journal</w:t>
      </w:r>
      <w:r w:rsidR="00427468">
        <w:rPr>
          <w:i/>
          <w:iCs/>
          <w:kern w:val="0"/>
        </w:rPr>
        <w:t xml:space="preserve"> of </w:t>
      </w:r>
      <w:r w:rsidRPr="001A3D2B">
        <w:rPr>
          <w:i/>
          <w:iCs/>
          <w:kern w:val="0"/>
        </w:rPr>
        <w:t>Dermatology</w:t>
      </w:r>
      <w:r w:rsidRPr="001A3D2B">
        <w:rPr>
          <w:kern w:val="0"/>
        </w:rPr>
        <w:t xml:space="preserve">, </w:t>
      </w:r>
      <w:r w:rsidRPr="001A3D2B">
        <w:rPr>
          <w:b/>
          <w:bCs/>
          <w:kern w:val="0"/>
        </w:rPr>
        <w:t>160</w:t>
      </w:r>
      <w:r w:rsidRPr="001A3D2B">
        <w:rPr>
          <w:kern w:val="0"/>
        </w:rPr>
        <w:t xml:space="preserve"> (6), 1273-1285.</w:t>
      </w:r>
    </w:p>
    <w:p w:rsidR="00BD5C25" w:rsidRDefault="00BD5C25" w:rsidP="00BD5C25">
      <w:pPr>
        <w:pStyle w:val="a3"/>
        <w:rPr>
          <w:kern w:val="2"/>
        </w:rPr>
      </w:pPr>
      <w:r>
        <w:t xml:space="preserve">Full Text: </w:t>
      </w:r>
      <w:hyperlink r:id="rId1884" w:history="1">
        <w:r w:rsidRPr="006E1E25">
          <w:rPr>
            <w:rStyle w:val="a5"/>
          </w:rPr>
          <w:t>2009\Bri J Der160, 1273.pdf</w:t>
        </w:r>
      </w:hyperlink>
    </w:p>
    <w:p w:rsidR="00066B28" w:rsidRPr="001A3D2B" w:rsidRDefault="00066B28" w:rsidP="00066B28">
      <w:pPr>
        <w:pStyle w:val="a3"/>
        <w:rPr>
          <w:kern w:val="0"/>
        </w:rPr>
      </w:pPr>
      <w:r w:rsidRPr="001A3D2B">
        <w:rPr>
          <w:kern w:val="0"/>
        </w:rPr>
        <w:t>Abstract: Background Acne is common</w:t>
      </w:r>
      <w:r w:rsidR="005853A9">
        <w:rPr>
          <w:kern w:val="0"/>
        </w:rPr>
        <w:t xml:space="preserve"> and </w:t>
      </w:r>
      <w:r w:rsidRPr="001A3D2B">
        <w:rPr>
          <w:kern w:val="0"/>
        </w:rPr>
        <w:t>can lead to scarring</w:t>
      </w:r>
      <w:r w:rsidR="00427468">
        <w:rPr>
          <w:kern w:val="0"/>
        </w:rPr>
        <w:t xml:space="preserve"> of </w:t>
      </w:r>
      <w:r w:rsidR="003A1917">
        <w:rPr>
          <w:kern w:val="0"/>
        </w:rPr>
        <w:t xml:space="preserve">the </w:t>
      </w:r>
      <w:r w:rsidRPr="001A3D2B">
        <w:rPr>
          <w:kern w:val="0"/>
        </w:rPr>
        <w:t>skin, as well as to psychological distress</w:t>
      </w:r>
      <w:r w:rsidR="005853A9">
        <w:rPr>
          <w:kern w:val="0"/>
        </w:rPr>
        <w:t xml:space="preserve"> and </w:t>
      </w:r>
      <w:r w:rsidRPr="001A3D2B">
        <w:rPr>
          <w:kern w:val="0"/>
        </w:rPr>
        <w:t>reduced self-esteem. Most topical or oral treatments for acne are inconvenient</w:t>
      </w:r>
      <w:r w:rsidR="005853A9">
        <w:rPr>
          <w:kern w:val="0"/>
        </w:rPr>
        <w:t xml:space="preserve"> and </w:t>
      </w:r>
      <w:r w:rsidRPr="001A3D2B">
        <w:rPr>
          <w:kern w:val="0"/>
        </w:rPr>
        <w:t>have side-effects. Laser</w:t>
      </w:r>
      <w:r w:rsidR="005853A9">
        <w:rPr>
          <w:kern w:val="0"/>
        </w:rPr>
        <w:t xml:space="preserve"> and </w:t>
      </w:r>
      <w:r w:rsidRPr="001A3D2B">
        <w:rPr>
          <w:kern w:val="0"/>
        </w:rPr>
        <w:t>other light therapies have been reported to be convenient, safe</w:t>
      </w:r>
      <w:r w:rsidR="005853A9">
        <w:rPr>
          <w:kern w:val="0"/>
        </w:rPr>
        <w:t xml:space="preserve"> and </w:t>
      </w:r>
      <w:r w:rsidRPr="001A3D2B">
        <w:rPr>
          <w:kern w:val="0"/>
        </w:rPr>
        <w:t>effective in treating acne. Objectives To carry out a systematic review</w:t>
      </w:r>
      <w:r w:rsidR="00427468">
        <w:rPr>
          <w:kern w:val="0"/>
        </w:rPr>
        <w:t xml:space="preserve"> of </w:t>
      </w:r>
      <w:r w:rsidRPr="001A3D2B">
        <w:rPr>
          <w:kern w:val="0"/>
        </w:rPr>
        <w:t>randomized controlled trials</w:t>
      </w:r>
      <w:r w:rsidR="00427468">
        <w:rPr>
          <w:kern w:val="0"/>
        </w:rPr>
        <w:t xml:space="preserve"> of </w:t>
      </w:r>
      <w:r w:rsidRPr="001A3D2B">
        <w:rPr>
          <w:kern w:val="0"/>
        </w:rPr>
        <w:t>light</w:t>
      </w:r>
      <w:r w:rsidR="005853A9">
        <w:rPr>
          <w:kern w:val="0"/>
        </w:rPr>
        <w:t xml:space="preserve"> and </w:t>
      </w:r>
      <w:r w:rsidRPr="001A3D2B">
        <w:rPr>
          <w:kern w:val="0"/>
        </w:rPr>
        <w:t>laser therapies for acne vulgaris. Methods We searched</w:t>
      </w:r>
      <w:r w:rsidR="003A1917">
        <w:rPr>
          <w:kern w:val="0"/>
        </w:rPr>
        <w:t xml:space="preserve"> the </w:t>
      </w:r>
      <w:r w:rsidRPr="001A3D2B">
        <w:rPr>
          <w:kern w:val="0"/>
        </w:rPr>
        <w:t>Cochrane Central Register</w:t>
      </w:r>
      <w:r w:rsidR="00427468">
        <w:rPr>
          <w:kern w:val="0"/>
        </w:rPr>
        <w:t xml:space="preserve"> of </w:t>
      </w:r>
      <w:r w:rsidRPr="001A3D2B">
        <w:rPr>
          <w:kern w:val="0"/>
        </w:rPr>
        <w:t xml:space="preserve">Controlled Trials, </w:t>
      </w:r>
      <w:r w:rsidR="00D5664A">
        <w:rPr>
          <w:kern w:val="0"/>
        </w:rPr>
        <w:t>MEDLINE</w:t>
      </w:r>
      <w:r w:rsidRPr="001A3D2B">
        <w:rPr>
          <w:kern w:val="0"/>
        </w:rPr>
        <w:t>, EMBASE, CINAHL, PsycInfo, LILACS, ISI Science Citation Index</w:t>
      </w:r>
      <w:r w:rsidR="005853A9">
        <w:rPr>
          <w:kern w:val="0"/>
        </w:rPr>
        <w:t xml:space="preserve"> and </w:t>
      </w:r>
      <w:r w:rsidRPr="001A3D2B">
        <w:rPr>
          <w:kern w:val="0"/>
        </w:rPr>
        <w:t>Dissertation Abstracts International for relevant published trials. Results We identified 25 trials (694 patients), 13</w:t>
      </w:r>
      <w:r w:rsidR="00427468">
        <w:rPr>
          <w:kern w:val="0"/>
        </w:rPr>
        <w:t xml:space="preserve"> of </w:t>
      </w:r>
      <w:r w:rsidRPr="001A3D2B">
        <w:rPr>
          <w:kern w:val="0"/>
        </w:rPr>
        <w:t>light therapy</w:t>
      </w:r>
      <w:r w:rsidR="005853A9">
        <w:rPr>
          <w:kern w:val="0"/>
        </w:rPr>
        <w:t xml:space="preserve"> and </w:t>
      </w:r>
      <w:r w:rsidRPr="001A3D2B">
        <w:rPr>
          <w:kern w:val="0"/>
        </w:rPr>
        <w:t>12</w:t>
      </w:r>
      <w:r w:rsidR="00427468">
        <w:rPr>
          <w:kern w:val="0"/>
        </w:rPr>
        <w:t xml:space="preserve"> of </w:t>
      </w:r>
      <w:r w:rsidRPr="001A3D2B">
        <w:rPr>
          <w:kern w:val="0"/>
        </w:rPr>
        <w:t>light therapy plus light-activated topical cream (photodynamic therapy, PDT). Overall,</w:t>
      </w:r>
      <w:r w:rsidR="003A1917">
        <w:rPr>
          <w:kern w:val="0"/>
        </w:rPr>
        <w:t xml:space="preserve"> the </w:t>
      </w:r>
      <w:r w:rsidRPr="001A3D2B">
        <w:rPr>
          <w:kern w:val="0"/>
        </w:rPr>
        <w:t>results from trials</w:t>
      </w:r>
      <w:r w:rsidR="00427468">
        <w:rPr>
          <w:kern w:val="0"/>
        </w:rPr>
        <w:t xml:space="preserve"> of </w:t>
      </w:r>
      <w:r w:rsidRPr="001A3D2B">
        <w:rPr>
          <w:kern w:val="0"/>
        </w:rPr>
        <w:t>light alone were disappointing, but</w:t>
      </w:r>
      <w:r w:rsidR="003A1917">
        <w:rPr>
          <w:kern w:val="0"/>
        </w:rPr>
        <w:t xml:space="preserve"> the </w:t>
      </w:r>
      <w:r w:rsidRPr="001A3D2B">
        <w:rPr>
          <w:kern w:val="0"/>
        </w:rPr>
        <w:t>trials</w:t>
      </w:r>
      <w:r w:rsidR="00427468">
        <w:rPr>
          <w:kern w:val="0"/>
        </w:rPr>
        <w:t xml:space="preserve"> of </w:t>
      </w:r>
      <w:r w:rsidRPr="001A3D2B">
        <w:rPr>
          <w:kern w:val="0"/>
        </w:rPr>
        <w:t>blue light, blue-red light</w:t>
      </w:r>
      <w:r w:rsidR="005853A9">
        <w:rPr>
          <w:kern w:val="0"/>
        </w:rPr>
        <w:t xml:space="preserve"> and </w:t>
      </w:r>
      <w:r w:rsidRPr="001A3D2B">
        <w:rPr>
          <w:kern w:val="0"/>
        </w:rPr>
        <w:t>infrared radiation were more successful, particularly those using multiple treatments. Red-blue light was more effective than topical 5% benzoyl peroxide cream in</w:t>
      </w:r>
      <w:r w:rsidR="003A1917">
        <w:rPr>
          <w:kern w:val="0"/>
        </w:rPr>
        <w:t xml:space="preserve"> the </w:t>
      </w:r>
      <w:r w:rsidRPr="001A3D2B">
        <w:rPr>
          <w:kern w:val="0"/>
        </w:rPr>
        <w:t>short term. Most trials</w:t>
      </w:r>
      <w:r w:rsidR="00427468">
        <w:rPr>
          <w:kern w:val="0"/>
        </w:rPr>
        <w:t xml:space="preserve"> of </w:t>
      </w:r>
      <w:r w:rsidRPr="001A3D2B">
        <w:rPr>
          <w:kern w:val="0"/>
        </w:rPr>
        <w:t xml:space="preserve">PDT showed some benefit, which </w:t>
      </w:r>
      <w:r w:rsidRPr="001A3D2B">
        <w:rPr>
          <w:kern w:val="0"/>
        </w:rPr>
        <w:lastRenderedPageBreak/>
        <w:t>was greater with multiple treatments,</w:t>
      </w:r>
      <w:r w:rsidR="005853A9">
        <w:rPr>
          <w:kern w:val="0"/>
        </w:rPr>
        <w:t xml:space="preserve"> and </w:t>
      </w:r>
      <w:r w:rsidRPr="001A3D2B">
        <w:rPr>
          <w:kern w:val="0"/>
        </w:rPr>
        <w:t>better for noninflammatory acne lesions. However,</w:t>
      </w:r>
      <w:r w:rsidR="003A1917">
        <w:rPr>
          <w:kern w:val="0"/>
        </w:rPr>
        <w:t xml:space="preserve"> the </w:t>
      </w:r>
      <w:r w:rsidRPr="001A3D2B">
        <w:rPr>
          <w:kern w:val="0"/>
        </w:rPr>
        <w:t>improvements in inflammatory acne lesions were not better than with topical 1% adapalene gel,</w:t>
      </w:r>
      <w:r w:rsidR="005853A9">
        <w:rPr>
          <w:kern w:val="0"/>
        </w:rPr>
        <w:t xml:space="preserve"> and </w:t>
      </w:r>
      <w:r w:rsidR="003A1917">
        <w:rPr>
          <w:kern w:val="0"/>
        </w:rPr>
        <w:t xml:space="preserve">the </w:t>
      </w:r>
      <w:r w:rsidRPr="001A3D2B">
        <w:rPr>
          <w:kern w:val="0"/>
        </w:rPr>
        <w:t>side-effects</w:t>
      </w:r>
      <w:r w:rsidR="00427468">
        <w:rPr>
          <w:kern w:val="0"/>
        </w:rPr>
        <w:t xml:space="preserve"> of </w:t>
      </w:r>
      <w:r w:rsidRPr="001A3D2B">
        <w:rPr>
          <w:kern w:val="0"/>
        </w:rPr>
        <w:t>therapy were unacceptable to many participants. Conclusions Some forms</w:t>
      </w:r>
      <w:r w:rsidR="00427468">
        <w:rPr>
          <w:kern w:val="0"/>
        </w:rPr>
        <w:t xml:space="preserve"> of </w:t>
      </w:r>
      <w:r w:rsidRPr="001A3D2B">
        <w:rPr>
          <w:kern w:val="0"/>
        </w:rPr>
        <w:t>light therapy were</w:t>
      </w:r>
      <w:r w:rsidR="00427468">
        <w:rPr>
          <w:kern w:val="0"/>
        </w:rPr>
        <w:t xml:space="preserve"> of </w:t>
      </w:r>
      <w:r w:rsidRPr="001A3D2B">
        <w:rPr>
          <w:kern w:val="0"/>
        </w:rPr>
        <w:t>short-term benefit. Patients may find it easier to comply with these treatments, despite</w:t>
      </w:r>
      <w:r w:rsidR="003A1917">
        <w:rPr>
          <w:kern w:val="0"/>
        </w:rPr>
        <w:t xml:space="preserve"> the </w:t>
      </w:r>
      <w:r w:rsidRPr="001A3D2B">
        <w:rPr>
          <w:kern w:val="0"/>
        </w:rPr>
        <w:t>initial discomfort, because</w:t>
      </w:r>
      <w:r w:rsidR="00427468">
        <w:rPr>
          <w:kern w:val="0"/>
        </w:rPr>
        <w:t xml:space="preserve"> of </w:t>
      </w:r>
      <w:r w:rsidRPr="001A3D2B">
        <w:rPr>
          <w:kern w:val="0"/>
        </w:rPr>
        <w:t>their short duration. However, very few trials compared light therapy with conventional acne treatments, were conducted in patients with severe acne or examined long-term benefits</w:t>
      </w:r>
      <w:r w:rsidR="00427468">
        <w:rPr>
          <w:kern w:val="0"/>
        </w:rPr>
        <w:t xml:space="preserve"> of </w:t>
      </w:r>
      <w:r w:rsidRPr="001A3D2B">
        <w:rPr>
          <w:kern w:val="0"/>
        </w:rPr>
        <w:t>treatment.</w:t>
      </w:r>
    </w:p>
    <w:p w:rsidR="00066B28" w:rsidRPr="001A3D2B" w:rsidRDefault="00066B28" w:rsidP="00066B28">
      <w:pPr>
        <w:pStyle w:val="a3"/>
        <w:rPr>
          <w:kern w:val="0"/>
        </w:rPr>
      </w:pPr>
      <w:r w:rsidRPr="001A3D2B">
        <w:rPr>
          <w:kern w:val="0"/>
        </w:rPr>
        <w:t xml:space="preserve">Keywords: 5-Aminolevulinic Acid, Acid-Photodynamic Therapy, Acne Vulgaris, Citation, Clinical-Trial, Diode-Laser, Dye-Laser, Inflammatory Facial Acne, Intense Pulsed-Light, Laser Therapy, Light, </w:t>
      </w:r>
      <w:r w:rsidR="00D5664A">
        <w:rPr>
          <w:kern w:val="0"/>
        </w:rPr>
        <w:t>MEDLINE</w:t>
      </w:r>
      <w:r w:rsidRPr="001A3D2B">
        <w:rPr>
          <w:kern w:val="0"/>
        </w:rPr>
        <w:t>, Methyl Aminolevulinate, NM Laser, Randomized Controlled-Trial, Systematic Review</w:t>
      </w:r>
    </w:p>
    <w:p w:rsidR="00BD5C25" w:rsidRDefault="00BD5C25" w:rsidP="00BD5C25">
      <w:pPr>
        <w:pStyle w:val="a3"/>
        <w:rPr>
          <w:kern w:val="0"/>
        </w:rPr>
      </w:pPr>
      <w:r>
        <w:rPr>
          <w:rFonts w:hint="eastAsia"/>
          <w:kern w:val="0"/>
        </w:rPr>
        <w:t xml:space="preserve">? </w:t>
      </w:r>
      <w:r>
        <w:rPr>
          <w:kern w:val="0"/>
        </w:rPr>
        <w:t>van Zuuren, E.J., Kramer, S.F., Carter, B.R., Graber, M.A.</w:t>
      </w:r>
      <w:r w:rsidR="005853A9">
        <w:rPr>
          <w:kern w:val="0"/>
        </w:rPr>
        <w:t xml:space="preserve"> and </w:t>
      </w:r>
      <w:r>
        <w:rPr>
          <w:kern w:val="0"/>
        </w:rPr>
        <w:t>Fedorowicz, Z. (2011), Effective</w:t>
      </w:r>
      <w:r w:rsidR="005853A9">
        <w:rPr>
          <w:kern w:val="0"/>
        </w:rPr>
        <w:t xml:space="preserve"> and </w:t>
      </w:r>
      <w:r>
        <w:rPr>
          <w:kern w:val="0"/>
        </w:rPr>
        <w:t>evidence-based management strategies for rosacea: Summary</w:t>
      </w:r>
      <w:r w:rsidR="00427468">
        <w:rPr>
          <w:kern w:val="0"/>
        </w:rPr>
        <w:t xml:space="preserve"> of </w:t>
      </w:r>
      <w:r>
        <w:rPr>
          <w:kern w:val="0"/>
        </w:rPr>
        <w:t xml:space="preserve">a Cochrane systematic review. </w:t>
      </w:r>
      <w:r>
        <w:rPr>
          <w:i/>
          <w:iCs/>
          <w:kern w:val="0"/>
        </w:rPr>
        <w:t>British Journal</w:t>
      </w:r>
      <w:r w:rsidR="00427468">
        <w:rPr>
          <w:i/>
          <w:iCs/>
          <w:kern w:val="0"/>
        </w:rPr>
        <w:t xml:space="preserve"> of </w:t>
      </w:r>
      <w:r>
        <w:rPr>
          <w:i/>
          <w:iCs/>
          <w:kern w:val="0"/>
        </w:rPr>
        <w:t>Dermatology</w:t>
      </w:r>
      <w:r>
        <w:rPr>
          <w:kern w:val="0"/>
        </w:rPr>
        <w:t xml:space="preserve">, </w:t>
      </w:r>
      <w:r>
        <w:rPr>
          <w:b/>
          <w:bCs/>
          <w:kern w:val="0"/>
        </w:rPr>
        <w:t>165</w:t>
      </w:r>
      <w:r>
        <w:rPr>
          <w:kern w:val="0"/>
        </w:rPr>
        <w:t xml:space="preserve"> (4), 760-781.</w:t>
      </w:r>
    </w:p>
    <w:p w:rsidR="00BD5C25" w:rsidRDefault="00BD5C25" w:rsidP="00BD5C25">
      <w:pPr>
        <w:pStyle w:val="a3"/>
        <w:rPr>
          <w:kern w:val="2"/>
        </w:rPr>
      </w:pPr>
      <w:r>
        <w:t xml:space="preserve">Full Text: </w:t>
      </w:r>
      <w:hyperlink r:id="rId1885" w:history="1">
        <w:r w:rsidRPr="00BD5C25">
          <w:rPr>
            <w:rStyle w:val="a5"/>
          </w:rPr>
          <w:t>2011\Bri J Der165, 760.pdf</w:t>
        </w:r>
      </w:hyperlink>
    </w:p>
    <w:p w:rsidR="00BD5C25" w:rsidRDefault="00BD5C25" w:rsidP="00BD5C25">
      <w:pPr>
        <w:pStyle w:val="a3"/>
        <w:rPr>
          <w:kern w:val="0"/>
        </w:rPr>
      </w:pPr>
      <w:r>
        <w:rPr>
          <w:kern w:val="0"/>
        </w:rPr>
        <w:t>Abstract: Rosacea is a common chronic skin disease affecting</w:t>
      </w:r>
      <w:r w:rsidR="003A1917">
        <w:rPr>
          <w:kern w:val="0"/>
        </w:rPr>
        <w:t xml:space="preserve"> the </w:t>
      </w:r>
      <w:r>
        <w:rPr>
          <w:kern w:val="0"/>
        </w:rPr>
        <w:t>face</w:t>
      </w:r>
      <w:r w:rsidR="00A37C1D">
        <w:rPr>
          <w:kern w:val="0"/>
        </w:rPr>
        <w:t>. The</w:t>
      </w:r>
      <w:r>
        <w:rPr>
          <w:kern w:val="0"/>
        </w:rPr>
        <w:t>re are numerous treatment options, but it is unclear which are</w:t>
      </w:r>
      <w:r w:rsidR="003A1917">
        <w:rPr>
          <w:kern w:val="0"/>
        </w:rPr>
        <w:t xml:space="preserve"> the </w:t>
      </w:r>
      <w:r>
        <w:rPr>
          <w:kern w:val="0"/>
        </w:rPr>
        <w:t>most effective</w:t>
      </w:r>
      <w:r w:rsidR="00A37C1D">
        <w:rPr>
          <w:kern w:val="0"/>
        </w:rPr>
        <w:t>. The</w:t>
      </w:r>
      <w:r w:rsidR="003A1917">
        <w:rPr>
          <w:kern w:val="0"/>
        </w:rPr>
        <w:t xml:space="preserve"> </w:t>
      </w:r>
      <w:r>
        <w:rPr>
          <w:kern w:val="0"/>
        </w:rPr>
        <w:t>aim</w:t>
      </w:r>
      <w:r w:rsidR="00427468">
        <w:rPr>
          <w:kern w:val="0"/>
        </w:rPr>
        <w:t xml:space="preserve"> of </w:t>
      </w:r>
      <w:r>
        <w:rPr>
          <w:kern w:val="0"/>
        </w:rPr>
        <w:t>this review was to assess</w:t>
      </w:r>
      <w:r w:rsidR="003A1917">
        <w:rPr>
          <w:kern w:val="0"/>
        </w:rPr>
        <w:t xml:space="preserve"> the </w:t>
      </w:r>
      <w:r>
        <w:rPr>
          <w:kern w:val="0"/>
        </w:rPr>
        <w:t>evidence for</w:t>
      </w:r>
      <w:r w:rsidR="003A1917">
        <w:rPr>
          <w:kern w:val="0"/>
        </w:rPr>
        <w:t xml:space="preserve"> the </w:t>
      </w:r>
      <w:r>
        <w:rPr>
          <w:kern w:val="0"/>
        </w:rPr>
        <w:t>efficacy</w:t>
      </w:r>
      <w:r w:rsidR="005853A9">
        <w:rPr>
          <w:kern w:val="0"/>
        </w:rPr>
        <w:t xml:space="preserve"> and </w:t>
      </w:r>
      <w:r>
        <w:rPr>
          <w:kern w:val="0"/>
        </w:rPr>
        <w:t>safety</w:t>
      </w:r>
      <w:r w:rsidR="00427468">
        <w:rPr>
          <w:kern w:val="0"/>
        </w:rPr>
        <w:t xml:space="preserve"> of </w:t>
      </w:r>
      <w:r>
        <w:rPr>
          <w:kern w:val="0"/>
        </w:rPr>
        <w:t>treatments for rosacea. Searches included</w:t>
      </w:r>
      <w:r w:rsidR="003A1917">
        <w:rPr>
          <w:kern w:val="0"/>
        </w:rPr>
        <w:t xml:space="preserve"> the </w:t>
      </w:r>
      <w:r>
        <w:rPr>
          <w:kern w:val="0"/>
        </w:rPr>
        <w:t>Cochrane Skin Group Specialised Register,</w:t>
      </w:r>
      <w:r w:rsidR="003A1917">
        <w:rPr>
          <w:kern w:val="0"/>
        </w:rPr>
        <w:t xml:space="preserve"> the </w:t>
      </w:r>
      <w:r>
        <w:rPr>
          <w:kern w:val="0"/>
        </w:rPr>
        <w:t>Cochrane Central Register</w:t>
      </w:r>
      <w:r w:rsidR="00427468">
        <w:rPr>
          <w:kern w:val="0"/>
        </w:rPr>
        <w:t xml:space="preserve"> of </w:t>
      </w:r>
      <w:r>
        <w:rPr>
          <w:kern w:val="0"/>
        </w:rPr>
        <w:t>Controlled Trials in</w:t>
      </w:r>
      <w:r w:rsidR="003A1917">
        <w:rPr>
          <w:kern w:val="0"/>
        </w:rPr>
        <w:t xml:space="preserve"> the </w:t>
      </w:r>
      <w:r>
        <w:rPr>
          <w:kern w:val="0"/>
        </w:rPr>
        <w:t xml:space="preserve">Cochrane Library, </w:t>
      </w:r>
      <w:r w:rsidR="00D5664A">
        <w:rPr>
          <w:kern w:val="0"/>
        </w:rPr>
        <w:t>MEDLINE</w:t>
      </w:r>
      <w:r>
        <w:rPr>
          <w:kern w:val="0"/>
        </w:rPr>
        <w:t>, EMBASE, Science Citation Index,</w:t>
      </w:r>
      <w:r w:rsidR="005853A9">
        <w:rPr>
          <w:kern w:val="0"/>
        </w:rPr>
        <w:t xml:space="preserve"> and </w:t>
      </w:r>
      <w:r>
        <w:rPr>
          <w:kern w:val="0"/>
        </w:rPr>
        <w:t>Ongoing Trials Registers (updated February 2011). Randomized controlled trials in people with moderate to severe rosacea were included. Fifty-eight trials, including 27 from</w:t>
      </w:r>
      <w:r w:rsidR="003A1917">
        <w:rPr>
          <w:kern w:val="0"/>
        </w:rPr>
        <w:t xml:space="preserve"> the </w:t>
      </w:r>
      <w:r>
        <w:rPr>
          <w:kern w:val="0"/>
        </w:rPr>
        <w:t>original review, comprising 6633 participants were included in this updated review. Interventions included topical metronidazole, oral antibiotics, topical azelaic cream or gel, topical benzoyl peroxide and/or combined with topical antibiotics, sulphacetamide/sulphur,</w:t>
      </w:r>
      <w:r w:rsidR="005853A9">
        <w:rPr>
          <w:kern w:val="0"/>
        </w:rPr>
        <w:t xml:space="preserve"> and </w:t>
      </w:r>
      <w:r>
        <w:rPr>
          <w:kern w:val="0"/>
        </w:rPr>
        <w:t>others</w:t>
      </w:r>
      <w:r w:rsidR="00A37C1D">
        <w:rPr>
          <w:kern w:val="0"/>
        </w:rPr>
        <w:t>. The</w:t>
      </w:r>
      <w:r>
        <w:rPr>
          <w:kern w:val="0"/>
        </w:rPr>
        <w:t>re was some evidence that topical metronidazole</w:t>
      </w:r>
      <w:r w:rsidR="005853A9">
        <w:rPr>
          <w:kern w:val="0"/>
        </w:rPr>
        <w:t xml:space="preserve"> and </w:t>
      </w:r>
      <w:r>
        <w:rPr>
          <w:kern w:val="0"/>
        </w:rPr>
        <w:t>azelaic acid were more effective than placebo. Two trials indicated that doxycycline 40 mg was more effective than placebo</w:t>
      </w:r>
      <w:r w:rsidR="00A37C1D">
        <w:rPr>
          <w:kern w:val="0"/>
        </w:rPr>
        <w:t>. The</w:t>
      </w:r>
      <w:r>
        <w:rPr>
          <w:kern w:val="0"/>
        </w:rPr>
        <w:t>re was no statistically significant difference in effectiveness between doxycycline 40 mg</w:t>
      </w:r>
      <w:r w:rsidR="005853A9">
        <w:rPr>
          <w:kern w:val="0"/>
        </w:rPr>
        <w:t xml:space="preserve"> and </w:t>
      </w:r>
      <w:r>
        <w:rPr>
          <w:kern w:val="0"/>
        </w:rPr>
        <w:t>100 mg but there were fewer adverse effects. One study reported that ciclosporin ophthalmic emulsion was significantly more effective than artificial tears for treating ocular rosacea. Although</w:t>
      </w:r>
      <w:r w:rsidR="003A1917">
        <w:rPr>
          <w:kern w:val="0"/>
        </w:rPr>
        <w:t xml:space="preserve"> the </w:t>
      </w:r>
      <w:r>
        <w:rPr>
          <w:kern w:val="0"/>
        </w:rPr>
        <w:t>majority</w:t>
      </w:r>
      <w:r w:rsidR="00427468">
        <w:rPr>
          <w:kern w:val="0"/>
        </w:rPr>
        <w:t xml:space="preserve"> of </w:t>
      </w:r>
      <w:r>
        <w:rPr>
          <w:kern w:val="0"/>
        </w:rPr>
        <w:t>included studies were assessed as being at high or unclear risk</w:t>
      </w:r>
      <w:r w:rsidR="00427468">
        <w:rPr>
          <w:kern w:val="0"/>
        </w:rPr>
        <w:t xml:space="preserve"> of </w:t>
      </w:r>
      <w:r>
        <w:rPr>
          <w:kern w:val="0"/>
        </w:rPr>
        <w:t>bias, there was some evidence to support</w:t>
      </w:r>
      <w:r w:rsidR="003A1917">
        <w:rPr>
          <w:kern w:val="0"/>
        </w:rPr>
        <w:t xml:space="preserve"> the </w:t>
      </w:r>
      <w:r>
        <w:rPr>
          <w:kern w:val="0"/>
        </w:rPr>
        <w:t>effectiveness</w:t>
      </w:r>
      <w:r w:rsidR="00427468">
        <w:rPr>
          <w:kern w:val="0"/>
        </w:rPr>
        <w:t xml:space="preserve"> of </w:t>
      </w:r>
      <w:r>
        <w:rPr>
          <w:kern w:val="0"/>
        </w:rPr>
        <w:t>topical metronidazole, azelaic acid</w:t>
      </w:r>
      <w:r w:rsidR="005853A9">
        <w:rPr>
          <w:kern w:val="0"/>
        </w:rPr>
        <w:t xml:space="preserve"> and </w:t>
      </w:r>
      <w:r>
        <w:rPr>
          <w:kern w:val="0"/>
        </w:rPr>
        <w:t>doxycycline (40 mg) in</w:t>
      </w:r>
      <w:r w:rsidR="003A1917">
        <w:rPr>
          <w:kern w:val="0"/>
        </w:rPr>
        <w:t xml:space="preserve"> the </w:t>
      </w:r>
      <w:r>
        <w:rPr>
          <w:kern w:val="0"/>
        </w:rPr>
        <w:t>treatment</w:t>
      </w:r>
      <w:r w:rsidR="00427468">
        <w:rPr>
          <w:kern w:val="0"/>
        </w:rPr>
        <w:t xml:space="preserve"> of </w:t>
      </w:r>
      <w:r>
        <w:rPr>
          <w:kern w:val="0"/>
        </w:rPr>
        <w:t>moderate to severe rosacea,</w:t>
      </w:r>
      <w:r w:rsidR="005853A9">
        <w:rPr>
          <w:kern w:val="0"/>
        </w:rPr>
        <w:t xml:space="preserve"> and </w:t>
      </w:r>
      <w:r>
        <w:rPr>
          <w:kern w:val="0"/>
        </w:rPr>
        <w:t>ciclosporin 0.05% ophthalmic emulsion for ocular rosacea. Further well-designed, adequately powered randomized controlled trials are required.</w:t>
      </w:r>
    </w:p>
    <w:p w:rsidR="00BD5C25" w:rsidRDefault="00BD5C25" w:rsidP="00BD5C25">
      <w:pPr>
        <w:pStyle w:val="a3"/>
        <w:rPr>
          <w:kern w:val="0"/>
        </w:rPr>
      </w:pPr>
      <w:r>
        <w:rPr>
          <w:kern w:val="0"/>
        </w:rPr>
        <w:t xml:space="preserve">Keywords: 0.75-Percent Cream, Acid, Acid 15-Percent Gel, Adverse Effects, </w:t>
      </w:r>
      <w:r>
        <w:rPr>
          <w:kern w:val="0"/>
        </w:rPr>
        <w:lastRenderedPageBreak/>
        <w:t xml:space="preserve">Antibiotics, Antiinflammatory Dose Doxycycline, Bias, Blind Clinical-Trial, Citation, Cochrane, Disease, Effectiveness, Efficacy, Embase, Face, Gel, Management, </w:t>
      </w:r>
      <w:r w:rsidR="00D5664A">
        <w:rPr>
          <w:kern w:val="0"/>
        </w:rPr>
        <w:t>MEDLINE</w:t>
      </w:r>
      <w:r>
        <w:rPr>
          <w:kern w:val="0"/>
        </w:rPr>
        <w:t>, Metronidazole 1-Percent Cream, Oral, Papulopustular Rosacea, Peroxide, Placebo-Controlled Trial, Randomized Controlled Trials, Randomized Phase-III, Review, Risk, Safety, Science, Science Citation Index, Sodium Sulfacetamide 10-Percent, Systematic, Systematic Review, Topical Metronidazole, Treatment</w:t>
      </w:r>
    </w:p>
    <w:p w:rsidR="00A25096" w:rsidRPr="00FC7835" w:rsidRDefault="00A25096" w:rsidP="00A25096">
      <w:pPr>
        <w:pStyle w:val="1"/>
      </w:pPr>
      <w:r w:rsidRPr="00FC7835">
        <w:rPr>
          <w:b w:val="0"/>
        </w:rPr>
        <w:br w:type="page"/>
      </w:r>
      <w:bookmarkStart w:id="921" w:name="_Toc420814819"/>
      <w:r w:rsidRPr="00FC7835">
        <w:lastRenderedPageBreak/>
        <w:t xml:space="preserve">Title: </w:t>
      </w:r>
      <w:r w:rsidRPr="00B735CE">
        <w:t>British Journal of Educational Technology</w:t>
      </w:r>
      <w:bookmarkEnd w:id="921"/>
    </w:p>
    <w:p w:rsidR="00A25096" w:rsidRPr="00FC7835" w:rsidRDefault="00A25096" w:rsidP="00A25096">
      <w:pPr>
        <w:pStyle w:val="12"/>
      </w:pPr>
      <w:r w:rsidRPr="00FC7835">
        <w:t xml:space="preserve">Full Journal Title: </w:t>
      </w:r>
      <w:r w:rsidRPr="00B735CE">
        <w:rPr>
          <w:iCs/>
          <w:kern w:val="0"/>
        </w:rPr>
        <w:t>British Journal of Educational Technology</w:t>
      </w:r>
    </w:p>
    <w:p w:rsidR="00A25096" w:rsidRPr="00FC7835" w:rsidRDefault="00A25096" w:rsidP="00A25096">
      <w:pPr>
        <w:pStyle w:val="12"/>
      </w:pPr>
      <w:r w:rsidRPr="00FC7835">
        <w:t xml:space="preserve">ISO Abbreviated Title: </w:t>
      </w:r>
    </w:p>
    <w:p w:rsidR="00A25096" w:rsidRPr="00FC7835" w:rsidRDefault="00A25096" w:rsidP="00A25096">
      <w:pPr>
        <w:pStyle w:val="12"/>
      </w:pPr>
      <w:r w:rsidRPr="00FC7835">
        <w:t xml:space="preserve">JCR Abbreviated Title: </w:t>
      </w:r>
    </w:p>
    <w:p w:rsidR="00A25096" w:rsidRPr="00FC7835" w:rsidRDefault="00A25096" w:rsidP="00A25096">
      <w:pPr>
        <w:pStyle w:val="12"/>
      </w:pPr>
      <w:r w:rsidRPr="00FC7835">
        <w:t xml:space="preserve">ISSN: </w:t>
      </w:r>
    </w:p>
    <w:p w:rsidR="00A25096" w:rsidRPr="00FC7835" w:rsidRDefault="00A25096" w:rsidP="00A25096">
      <w:pPr>
        <w:pStyle w:val="12"/>
      </w:pPr>
      <w:r w:rsidRPr="00FC7835">
        <w:t xml:space="preserve">Issues/Year: </w:t>
      </w:r>
    </w:p>
    <w:p w:rsidR="00A25096" w:rsidRPr="00FC7835" w:rsidRDefault="00A25096" w:rsidP="00A25096">
      <w:pPr>
        <w:pStyle w:val="12"/>
      </w:pPr>
      <w:r w:rsidRPr="00FC7835">
        <w:t xml:space="preserve">Journal Country/Territory: </w:t>
      </w:r>
    </w:p>
    <w:p w:rsidR="00A25096" w:rsidRPr="00FC7835" w:rsidRDefault="00A25096" w:rsidP="00A25096">
      <w:pPr>
        <w:pStyle w:val="12"/>
      </w:pPr>
      <w:r w:rsidRPr="00FC7835">
        <w:t xml:space="preserve">Language: </w:t>
      </w:r>
    </w:p>
    <w:p w:rsidR="00A25096" w:rsidRPr="00FC7835" w:rsidRDefault="00A25096" w:rsidP="00A25096">
      <w:pPr>
        <w:pStyle w:val="12"/>
      </w:pPr>
      <w:r w:rsidRPr="00FC7835">
        <w:t xml:space="preserve">Publisher: </w:t>
      </w:r>
    </w:p>
    <w:p w:rsidR="00A25096" w:rsidRPr="00FC7835" w:rsidRDefault="00A25096" w:rsidP="00A25096">
      <w:pPr>
        <w:pStyle w:val="12"/>
      </w:pPr>
      <w:r w:rsidRPr="00FC7835">
        <w:t xml:space="preserve">Publisher Address: </w:t>
      </w:r>
    </w:p>
    <w:p w:rsidR="00A25096" w:rsidRPr="00FC7835" w:rsidRDefault="00A25096" w:rsidP="00A25096">
      <w:pPr>
        <w:pStyle w:val="12"/>
      </w:pPr>
      <w:r w:rsidRPr="00FC7835">
        <w:t xml:space="preserve">Subject Categories: </w:t>
      </w:r>
    </w:p>
    <w:p w:rsidR="00A25096" w:rsidRPr="00FC7835" w:rsidRDefault="00A25096" w:rsidP="00A25096">
      <w:pPr>
        <w:pStyle w:val="12"/>
      </w:pPr>
      <w:r w:rsidRPr="00FC7835">
        <w:t xml:space="preserve">: Impact Factor </w:t>
      </w:r>
    </w:p>
    <w:p w:rsidR="004D3E98" w:rsidRDefault="004D3E98" w:rsidP="004D3E98">
      <w:pPr>
        <w:pStyle w:val="a3"/>
        <w:rPr>
          <w:kern w:val="0"/>
        </w:rPr>
      </w:pPr>
      <w:r>
        <w:rPr>
          <w:kern w:val="0"/>
        </w:rPr>
        <w:t xml:space="preserve">? </w:t>
      </w:r>
      <w:r w:rsidRPr="004D3E98">
        <w:rPr>
          <w:kern w:val="0"/>
        </w:rPr>
        <w:t>Hung, J</w:t>
      </w:r>
      <w:r>
        <w:rPr>
          <w:rFonts w:hint="eastAsia"/>
          <w:kern w:val="0"/>
        </w:rPr>
        <w:t>.</w:t>
      </w:r>
      <w:r w:rsidRPr="004D3E98">
        <w:rPr>
          <w:kern w:val="0"/>
        </w:rPr>
        <w:t>L</w:t>
      </w:r>
      <w:r>
        <w:rPr>
          <w:rFonts w:hint="eastAsia"/>
          <w:kern w:val="0"/>
        </w:rPr>
        <w:t>.</w:t>
      </w:r>
      <w:r>
        <w:rPr>
          <w:kern w:val="0"/>
        </w:rPr>
        <w:t xml:space="preserve"> (201</w:t>
      </w:r>
      <w:r>
        <w:rPr>
          <w:rFonts w:hint="eastAsia"/>
          <w:kern w:val="0"/>
        </w:rPr>
        <w:t>2</w:t>
      </w:r>
      <w:r>
        <w:rPr>
          <w:kern w:val="0"/>
        </w:rPr>
        <w:t xml:space="preserve">), </w:t>
      </w:r>
      <w:r w:rsidRPr="004D3E98">
        <w:rPr>
          <w:kern w:val="0"/>
        </w:rPr>
        <w:t>Trends of e-learning research from 2000 to 2008: Use of text mining and bibliometrics</w:t>
      </w:r>
      <w:r>
        <w:rPr>
          <w:kern w:val="0"/>
        </w:rPr>
        <w:t xml:space="preserve">. </w:t>
      </w:r>
      <w:r>
        <w:rPr>
          <w:i/>
          <w:iCs/>
          <w:kern w:val="0"/>
        </w:rPr>
        <w:t>British Journal of Educational Technology</w:t>
      </w:r>
      <w:r>
        <w:rPr>
          <w:kern w:val="0"/>
        </w:rPr>
        <w:t xml:space="preserve">, </w:t>
      </w:r>
      <w:r>
        <w:rPr>
          <w:b/>
          <w:bCs/>
          <w:kern w:val="0"/>
        </w:rPr>
        <w:t>4</w:t>
      </w:r>
      <w:r>
        <w:rPr>
          <w:rFonts w:hint="eastAsia"/>
          <w:b/>
          <w:bCs/>
          <w:kern w:val="0"/>
        </w:rPr>
        <w:t>3</w:t>
      </w:r>
      <w:r>
        <w:rPr>
          <w:kern w:val="0"/>
        </w:rPr>
        <w:t xml:space="preserve"> (</w:t>
      </w:r>
      <w:r>
        <w:rPr>
          <w:rFonts w:hint="eastAsia"/>
          <w:kern w:val="0"/>
        </w:rPr>
        <w:t>1</w:t>
      </w:r>
      <w:r>
        <w:rPr>
          <w:kern w:val="0"/>
        </w:rPr>
        <w:t xml:space="preserve">), </w:t>
      </w:r>
      <w:r w:rsidRPr="004D3E98">
        <w:rPr>
          <w:kern w:val="0"/>
        </w:rPr>
        <w:t>5-16</w:t>
      </w:r>
      <w:r>
        <w:rPr>
          <w:kern w:val="0"/>
        </w:rPr>
        <w:t>.</w:t>
      </w:r>
    </w:p>
    <w:p w:rsidR="004D3E98" w:rsidRDefault="004D3E98" w:rsidP="004D3E98">
      <w:pPr>
        <w:pStyle w:val="a3"/>
        <w:rPr>
          <w:kern w:val="0"/>
        </w:rPr>
      </w:pPr>
      <w:r>
        <w:rPr>
          <w:rFonts w:hint="eastAsia"/>
          <w:kern w:val="0"/>
        </w:rPr>
        <w:t xml:space="preserve">Full Text: </w:t>
      </w:r>
      <w:hyperlink r:id="rId1886" w:history="1">
        <w:r w:rsidRPr="004D3E98">
          <w:rPr>
            <w:rStyle w:val="a5"/>
            <w:kern w:val="0"/>
          </w:rPr>
          <w:t>2012\Bri J Edu Tec43, 5.pdf</w:t>
        </w:r>
      </w:hyperlink>
    </w:p>
    <w:p w:rsidR="004D3E98" w:rsidRDefault="004D3E98" w:rsidP="004D3E98">
      <w:pPr>
        <w:pStyle w:val="a3"/>
        <w:rPr>
          <w:kern w:val="0"/>
        </w:rPr>
      </w:pPr>
      <w:r w:rsidRPr="004D3E98">
        <w:rPr>
          <w:kern w:val="0"/>
        </w:rPr>
        <w:t>Abstract</w:t>
      </w:r>
      <w:r>
        <w:rPr>
          <w:rFonts w:hint="eastAsia"/>
          <w:kern w:val="0"/>
        </w:rPr>
        <w:t xml:space="preserve">: </w:t>
      </w:r>
      <w:r w:rsidRPr="004D3E98">
        <w:rPr>
          <w:kern w:val="0"/>
        </w:rPr>
        <w:t>This study investigated the longitudinal trends of e-learning research using text mining techniques. Six hundred and eighty-nine (689) refereed journal articles and proceedings were retrieved from the Science Citation Index/Social Science Citation Index database in the period from 2000 to 2008. All e-learning publications were grouped into two domains with four groups/15 clusters based on abstract analysis. Three additional variables: subject areas, prolific countries and prolific journals were applied to data analysis and data interpretation. Conclusions include that e-learning research is at the early majority stage and foci have shifted from issues of the effectiveness of e-learning to teaching and learning practices. Educational studies and projects and e-learning application in medical education and training are growing fields with the highest potential for future research. Approaches to e-learning differ between leading countries and early adopter countries, and government policies play an important role in shaping the results</w:t>
      </w:r>
      <w:r>
        <w:rPr>
          <w:rFonts w:hint="eastAsia"/>
          <w:kern w:val="0"/>
        </w:rPr>
        <w:t>.</w:t>
      </w:r>
    </w:p>
    <w:p w:rsidR="004D3E98" w:rsidRDefault="004D3E98" w:rsidP="004D3E98">
      <w:pPr>
        <w:pStyle w:val="a3"/>
        <w:rPr>
          <w:kern w:val="0"/>
        </w:rPr>
      </w:pPr>
      <w:r>
        <w:rPr>
          <w:kern w:val="0"/>
        </w:rPr>
        <w:t xml:space="preserve">? Starcic, A.I. and Bagon, S. (2014), ICT-supported learning for inclusion of people with special needs: Review of seven educational technology journals, 1970-2011. </w:t>
      </w:r>
      <w:r>
        <w:rPr>
          <w:i/>
          <w:iCs/>
          <w:kern w:val="0"/>
        </w:rPr>
        <w:t>British Journal of Educational Technology</w:t>
      </w:r>
      <w:r>
        <w:rPr>
          <w:kern w:val="0"/>
        </w:rPr>
        <w:t xml:space="preserve">, </w:t>
      </w:r>
      <w:r>
        <w:rPr>
          <w:b/>
          <w:bCs/>
          <w:kern w:val="0"/>
        </w:rPr>
        <w:t>45</w:t>
      </w:r>
      <w:r>
        <w:rPr>
          <w:kern w:val="0"/>
        </w:rPr>
        <w:t xml:space="preserve"> (2), 202-230.</w:t>
      </w:r>
    </w:p>
    <w:p w:rsidR="004D3E98" w:rsidRDefault="004D3E98" w:rsidP="004D3E98">
      <w:pPr>
        <w:pStyle w:val="a3"/>
        <w:rPr>
          <w:kern w:val="0"/>
        </w:rPr>
      </w:pPr>
      <w:r>
        <w:rPr>
          <w:rFonts w:hint="eastAsia"/>
          <w:kern w:val="0"/>
        </w:rPr>
        <w:t xml:space="preserve">Full Text: </w:t>
      </w:r>
      <w:hyperlink r:id="rId1887" w:history="1">
        <w:r w:rsidRPr="00AA07EE">
          <w:rPr>
            <w:rStyle w:val="a5"/>
            <w:kern w:val="0"/>
          </w:rPr>
          <w:t>2014\Bri J Edu Tec45, 202.pdf</w:t>
        </w:r>
      </w:hyperlink>
    </w:p>
    <w:p w:rsidR="00431680" w:rsidRDefault="00431680" w:rsidP="00431680">
      <w:pPr>
        <w:pStyle w:val="a3"/>
        <w:rPr>
          <w:kern w:val="0"/>
        </w:rPr>
      </w:pPr>
      <w:r>
        <w:rPr>
          <w:kern w:val="0"/>
        </w:rPr>
        <w:t xml:space="preserve">Abstract: Research and development of information and communication technology (ICT)-supported learning for people with disabilities has not received adequate attention. It is also difficult to access research findings and developments in this field. Under the ENABLE Network of ICT Supported Learning for Disabled People (2011-2014) project, an emerging European Union reference point portal for </w:t>
      </w:r>
      <w:r>
        <w:rPr>
          <w:kern w:val="0"/>
        </w:rPr>
        <w:lastRenderedPageBreak/>
        <w:t>end-users will provide this information for a broad audience. In the design phase of the project idea, the authors of this paper conducted a review of papers indexed in Web of Science to provide a needs assessment and a design template for the project objectives</w:t>
      </w:r>
      <w:r w:rsidR="00A37C1D">
        <w:rPr>
          <w:kern w:val="0"/>
        </w:rPr>
        <w:t>. The</w:t>
      </w:r>
      <w:r>
        <w:rPr>
          <w:kern w:val="0"/>
        </w:rPr>
        <w:t xml:space="preserve"> results of the search clearly showed that ICT-supported learning for people with special educational needs is in the domain of the educational technology journals, with more papers published in the British Journal of Educational Technology than in any other journal. This paper presents the results of a content analysis of all papers published from 1970 to 2011 in seven educational technology journals indexed in Web of Science. More papers were published from 2006 to 2011 (44.7%) than during any other of five periods examined. Findings in terms of ICT intervention, disability groups, groups of study participants by relationship with ICT, and research design, together with trends in published studies in terms of mainstreaming and inclusion, are presented</w:t>
      </w:r>
      <w:r w:rsidR="00A37C1D">
        <w:rPr>
          <w:kern w:val="0"/>
        </w:rPr>
        <w:t>. The</w:t>
      </w:r>
      <w:r>
        <w:rPr>
          <w:kern w:val="0"/>
        </w:rPr>
        <w:t xml:space="preserve"> main objective of the study was to identify the level of inclusion through analysis of educational context (special schools [30.51%], mainstream schools [28.81%] and general support for life [40.68%]). Based on content analysis, ICT interventions were classified into the two categories of technical intervention in the pedagogical context (62.71% of all papers published) and technical intervention in the wider context (37.29% of all papers published), with nine paper types identified: papers on ICT access, papers on teaching and learning methods, papers on development and testing of ICT solutions, reviews, assessments, papers on inclusion, papers on behavioural and social development, papers on use of information technology and papers on interaction. Papers were also categorised according to types of disability and according to groups of study participants by relationship with ICT. Published papers were divided into four categories by research design: descriptive (49.15%), developmental (26.27%), experimental (17.8%), and developmental and experimental (6.78%). During the period from 1970 to 2000, papers examined design of learning materials with regard to particular categories of disability and particular accessibility needs, while papers published after 2000 also discussed universal design. Based on the review, the authors of this paper have identified a need for application of universal design principles in research and development of learning environments to provide equal accessibility and inclusive education.</w:t>
      </w:r>
    </w:p>
    <w:p w:rsidR="00431680" w:rsidRDefault="00431680" w:rsidP="00431680">
      <w:pPr>
        <w:pStyle w:val="a3"/>
        <w:rPr>
          <w:kern w:val="0"/>
        </w:rPr>
      </w:pPr>
      <w:r>
        <w:rPr>
          <w:kern w:val="0"/>
        </w:rPr>
        <w:t xml:space="preserve">Keywords: Access, Analysis, Application, Aspergers-Syndrome, Assessment, Assessments, Attention, Authors, Autistic Spectrum Disorders, Cognitive Disabilities, Communication, Computer-Assisted-Instruction, Content Analysis, Context, Design, Development, Disability, Disabled Students, Education, European Union, Experimental, Field, General, Groups, Handicapped Students, Hearing-Impaired Students, ICT, Information, Information And Communication, Information And Communication Technology, Information Technology, Information-Technology, </w:t>
      </w:r>
      <w:r>
        <w:rPr>
          <w:kern w:val="0"/>
        </w:rPr>
        <w:lastRenderedPageBreak/>
        <w:t>Interaction, Intervention, Interventions, Journal, Journals, Learning, Life, Mar, Mental-Retardation, Methods, Needs, Needs Assessment, Network, Papers, People With Disabilities, Principles, Reference, Research, Research And Development, Research Design, Review, Reviews, Science, Social, Solutions, Support, Teaching, Teaching-Children, Technology, Template, Testing, Trends, Web Of Science</w:t>
      </w:r>
    </w:p>
    <w:p w:rsidR="00A25096" w:rsidRDefault="00A25096" w:rsidP="00A25096">
      <w:pPr>
        <w:pStyle w:val="a3"/>
        <w:rPr>
          <w:kern w:val="0"/>
        </w:rPr>
      </w:pPr>
      <w:r>
        <w:rPr>
          <w:rFonts w:hint="eastAsia"/>
          <w:kern w:val="0"/>
        </w:rPr>
        <w:t xml:space="preserve">? </w:t>
      </w:r>
      <w:r>
        <w:rPr>
          <w:kern w:val="0"/>
        </w:rPr>
        <w:t xml:space="preserve">Kalz, M. and Specht, M. (2014), Assessing the crossdisciplinarity of technology-enhanced learning with science overlay maps and diversity measures. </w:t>
      </w:r>
      <w:r w:rsidRPr="00B735CE">
        <w:rPr>
          <w:i/>
          <w:iCs/>
          <w:kern w:val="0"/>
        </w:rPr>
        <w:t>British Journal of Educational Technology</w:t>
      </w:r>
      <w:r>
        <w:rPr>
          <w:kern w:val="0"/>
        </w:rPr>
        <w:t xml:space="preserve">, </w:t>
      </w:r>
      <w:r>
        <w:rPr>
          <w:b/>
          <w:bCs/>
          <w:kern w:val="0"/>
        </w:rPr>
        <w:t>45</w:t>
      </w:r>
      <w:r>
        <w:rPr>
          <w:kern w:val="0"/>
        </w:rPr>
        <w:t xml:space="preserve"> (3), 415-427.</w:t>
      </w:r>
    </w:p>
    <w:p w:rsidR="00A25096" w:rsidRDefault="00A25096" w:rsidP="00A25096">
      <w:pPr>
        <w:pStyle w:val="a3"/>
        <w:rPr>
          <w:kern w:val="0"/>
        </w:rPr>
      </w:pPr>
      <w:r>
        <w:rPr>
          <w:rFonts w:hint="eastAsia"/>
          <w:kern w:val="0"/>
        </w:rPr>
        <w:t xml:space="preserve">Full Text: </w:t>
      </w:r>
      <w:hyperlink r:id="rId1888" w:history="1">
        <w:r w:rsidRPr="00B735CE">
          <w:rPr>
            <w:rStyle w:val="a5"/>
            <w:kern w:val="0"/>
          </w:rPr>
          <w:t>2014\Bri J Edu Tec45, 415.pdf</w:t>
        </w:r>
      </w:hyperlink>
    </w:p>
    <w:p w:rsidR="00A25096" w:rsidRDefault="00A25096" w:rsidP="00A25096">
      <w:pPr>
        <w:pStyle w:val="a3"/>
        <w:rPr>
          <w:kern w:val="0"/>
        </w:rPr>
      </w:pPr>
      <w:r>
        <w:rPr>
          <w:kern w:val="0"/>
        </w:rPr>
        <w:t>Abstract: This paper deals with the assessment of the crossdisciplinarity of technology-enhanced learning (TEL). Based on a general discussion of the concept interdisciplinarity and a summary of the discussion in the field, two empirical methods from scientometrics are introduced and applied. Science overlay maps and the Rao-Stirling diversity index are used to analyze the TEL field with a scientometric analysis</w:t>
      </w:r>
      <w:r w:rsidR="00A37C1D">
        <w:rPr>
          <w:kern w:val="0"/>
        </w:rPr>
        <w:t>. The</w:t>
      </w:r>
      <w:r>
        <w:rPr>
          <w:kern w:val="0"/>
        </w:rPr>
        <w:t xml:space="preserve"> science overlay maps show that a wide variety of disciplines contributes to research in the field</w:t>
      </w:r>
      <w:r w:rsidR="00A37C1D">
        <w:rPr>
          <w:kern w:val="0"/>
        </w:rPr>
        <w:t>. The</w:t>
      </w:r>
      <w:r>
        <w:rPr>
          <w:kern w:val="0"/>
        </w:rPr>
        <w:t xml:space="preserve"> analysis reveals that the field has been operating on a relatively high level of crossdisciplinarity in the last 10 years compared with six other fields of reference. Only in 2004 a decrease in the level of crossdisciplinarity could be identified.</w:t>
      </w:r>
    </w:p>
    <w:p w:rsidR="00A25096" w:rsidRDefault="00A25096" w:rsidP="00A25096">
      <w:pPr>
        <w:pStyle w:val="a3"/>
        <w:rPr>
          <w:kern w:val="0"/>
        </w:rPr>
      </w:pPr>
      <w:r>
        <w:rPr>
          <w:kern w:val="0"/>
        </w:rPr>
        <w:t>Keywords: Analysis, Assessment, Categories, Concept, Disciplines, Diversity, Diversity Measures, Field, General, Index, Interdisciplinarity, Interdisciplinary Research, Knowledge, Learning, Measures, Methods, Reference, Research, Science, Science Overlay Maps, Scientometric, Scientometric Analysis, Scientometrics</w:t>
      </w:r>
    </w:p>
    <w:p w:rsidR="003474F2" w:rsidRPr="001A3D2B" w:rsidRDefault="003474F2" w:rsidP="003474F2">
      <w:pPr>
        <w:pStyle w:val="1"/>
      </w:pPr>
      <w:r w:rsidRPr="001A3D2B">
        <w:br w:type="page"/>
      </w:r>
      <w:bookmarkStart w:id="922" w:name="_Toc420814820"/>
      <w:r w:rsidRPr="001A3D2B">
        <w:lastRenderedPageBreak/>
        <w:t>Title: British Journal</w:t>
      </w:r>
      <w:r w:rsidR="00427468">
        <w:t xml:space="preserve"> of </w:t>
      </w:r>
      <w:r w:rsidRPr="001A3D2B">
        <w:t>Engineering</w:t>
      </w:r>
      <w:bookmarkEnd w:id="922"/>
    </w:p>
    <w:p w:rsidR="003474F2" w:rsidRPr="001A3D2B" w:rsidRDefault="003474F2" w:rsidP="003474F2">
      <w:pPr>
        <w:pStyle w:val="12"/>
      </w:pPr>
      <w:r w:rsidRPr="001A3D2B">
        <w:t>Full Jou</w:t>
      </w:r>
      <w:bookmarkStart w:id="923" w:name="_Toc81215716"/>
      <w:r w:rsidRPr="001A3D2B">
        <w:t>rnal Ti</w:t>
      </w:r>
      <w:bookmarkEnd w:id="923"/>
      <w:r w:rsidRPr="001A3D2B">
        <w:t>tle: British Journal</w:t>
      </w:r>
      <w:r w:rsidR="00427468">
        <w:t xml:space="preserve"> of </w:t>
      </w:r>
      <w:r w:rsidRPr="001A3D2B">
        <w:t>Engineering</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rPr>
          <w:szCs w:val="24"/>
        </w:rPr>
      </w:pPr>
      <w:r w:rsidRPr="001A3D2B">
        <w:rPr>
          <w:szCs w:val="24"/>
        </w:rPr>
        <w:t>Notes: MModel</w:t>
      </w:r>
    </w:p>
    <w:p w:rsidR="003474F2" w:rsidRDefault="003474F2" w:rsidP="003474F2">
      <w:pPr>
        <w:pStyle w:val="a3"/>
      </w:pPr>
      <w:r w:rsidRPr="001A3D2B">
        <w:t xml:space="preserve">? </w:t>
      </w:r>
      <w:smartTag w:uri="urn:schemas-microsoft-com:office:smarttags" w:element="place">
        <w:smartTag w:uri="urn:schemas-microsoft-com:office:smarttags" w:element="City">
          <w:r w:rsidRPr="001A3D2B">
            <w:t>Bradford</w:t>
          </w:r>
        </w:smartTag>
        <w:r w:rsidRPr="001A3D2B">
          <w:t xml:space="preserve">, </w:t>
        </w:r>
        <w:smartTag w:uri="urn:schemas-microsoft-com:office:smarttags" w:element="State">
          <w:r w:rsidRPr="001A3D2B">
            <w:t>S.C.</w:t>
          </w:r>
        </w:smartTag>
      </w:smartTag>
      <w:r w:rsidRPr="001A3D2B">
        <w:t xml:space="preserve"> (1934), Sources</w:t>
      </w:r>
      <w:r w:rsidR="00427468">
        <w:t xml:space="preserve"> of </w:t>
      </w:r>
      <w:r w:rsidRPr="001A3D2B">
        <w:t xml:space="preserve">information on specific subjects. </w:t>
      </w:r>
      <w:r w:rsidRPr="001A3D2B">
        <w:rPr>
          <w:i/>
          <w:iCs/>
        </w:rPr>
        <w:t>British Journal</w:t>
      </w:r>
      <w:r w:rsidR="00427468">
        <w:rPr>
          <w:i/>
          <w:iCs/>
        </w:rPr>
        <w:t xml:space="preserve"> of </w:t>
      </w:r>
      <w:r w:rsidRPr="001A3D2B">
        <w:rPr>
          <w:i/>
          <w:iCs/>
        </w:rPr>
        <w:t>Engineering</w:t>
      </w:r>
      <w:r w:rsidRPr="001A3D2B">
        <w:t xml:space="preserve">, </w:t>
      </w:r>
      <w:r w:rsidRPr="001A3D2B">
        <w:rPr>
          <w:b/>
          <w:bCs/>
        </w:rPr>
        <w:t>137</w:t>
      </w:r>
      <w:r w:rsidRPr="001A3D2B">
        <w:t xml:space="preserve"> (3550), 85-86.</w:t>
      </w:r>
    </w:p>
    <w:p w:rsidR="00EE6A73" w:rsidRPr="001A3D2B" w:rsidRDefault="00EE6A73" w:rsidP="003474F2">
      <w:pPr>
        <w:pStyle w:val="a3"/>
      </w:pPr>
      <w:r>
        <w:rPr>
          <w:rFonts w:hint="eastAsia"/>
        </w:rPr>
        <w:t xml:space="preserve">Full Text: </w:t>
      </w:r>
      <w:hyperlink r:id="rId1889" w:history="1">
        <w:r w:rsidRPr="00EE6A73">
          <w:rPr>
            <w:rStyle w:val="a5"/>
          </w:rPr>
          <w:t>-1959\Bri J Eng137, 85.pdf</w:t>
        </w:r>
      </w:hyperlink>
    </w:p>
    <w:p w:rsidR="003474F2" w:rsidRPr="001A3D2B" w:rsidRDefault="003474F2" w:rsidP="003474F2">
      <w:pPr>
        <w:pStyle w:val="1"/>
      </w:pPr>
      <w:r w:rsidRPr="001A3D2B">
        <w:br w:type="page"/>
      </w:r>
      <w:bookmarkStart w:id="924" w:name="_Toc420814821"/>
      <w:r w:rsidRPr="001A3D2B">
        <w:lastRenderedPageBreak/>
        <w:t xml:space="preserve">Title: </w:t>
      </w:r>
      <w:r w:rsidRPr="001A3D2B">
        <w:rPr>
          <w:iCs w:val="0"/>
        </w:rPr>
        <w:t>British Journal</w:t>
      </w:r>
      <w:r w:rsidR="00427468">
        <w:rPr>
          <w:iCs w:val="0"/>
        </w:rPr>
        <w:t xml:space="preserve"> of </w:t>
      </w:r>
      <w:r w:rsidRPr="001A3D2B">
        <w:rPr>
          <w:iCs w:val="0"/>
        </w:rPr>
        <w:t>General Practice</w:t>
      </w:r>
      <w:bookmarkEnd w:id="924"/>
    </w:p>
    <w:p w:rsidR="003474F2" w:rsidRPr="001A3D2B" w:rsidRDefault="003474F2" w:rsidP="003474F2">
      <w:pPr>
        <w:pStyle w:val="12"/>
      </w:pPr>
      <w:r w:rsidRPr="001A3D2B">
        <w:t>Full Journal Title: British Journal</w:t>
      </w:r>
      <w:r w:rsidR="00427468">
        <w:t xml:space="preserve"> of </w:t>
      </w:r>
      <w:r w:rsidRPr="001A3D2B">
        <w:t>General Practice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0960-1643</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RReview</w:t>
      </w:r>
    </w:p>
    <w:p w:rsidR="003474F2" w:rsidRPr="001A3D2B" w:rsidRDefault="003474F2" w:rsidP="003474F2">
      <w:pPr>
        <w:pStyle w:val="a3"/>
      </w:pPr>
      <w:r w:rsidRPr="001A3D2B">
        <w:t>? Lloyd-Williams, F., Mair, F.S.</w:t>
      </w:r>
      <w:r w:rsidR="005853A9">
        <w:t xml:space="preserve"> and </w:t>
      </w:r>
      <w:r w:rsidRPr="001A3D2B">
        <w:t>Leitner, M. (2002), Exercise training</w:t>
      </w:r>
      <w:r w:rsidR="005853A9">
        <w:t xml:space="preserve"> and </w:t>
      </w:r>
      <w:r w:rsidRPr="001A3D2B">
        <w:t>heart failure: A systematic review</w:t>
      </w:r>
      <w:r w:rsidR="00427468">
        <w:t xml:space="preserve"> of </w:t>
      </w:r>
      <w:r w:rsidRPr="001A3D2B">
        <w:t xml:space="preserve">current evidence. </w:t>
      </w:r>
      <w:r w:rsidRPr="001A3D2B">
        <w:rPr>
          <w:i/>
          <w:iCs/>
        </w:rPr>
        <w:t>British Journal</w:t>
      </w:r>
      <w:r w:rsidR="00427468">
        <w:rPr>
          <w:i/>
          <w:iCs/>
        </w:rPr>
        <w:t xml:space="preserve"> of </w:t>
      </w:r>
      <w:r w:rsidRPr="001A3D2B">
        <w:rPr>
          <w:i/>
          <w:iCs/>
        </w:rPr>
        <w:t>General Practice</w:t>
      </w:r>
      <w:r w:rsidRPr="001A3D2B">
        <w:t xml:space="preserve">, </w:t>
      </w:r>
      <w:r w:rsidRPr="001A3D2B">
        <w:rPr>
          <w:b/>
          <w:bCs/>
        </w:rPr>
        <w:t>52</w:t>
      </w:r>
      <w:r w:rsidRPr="001A3D2B">
        <w:t xml:space="preserve"> (474), 47-55.</w:t>
      </w:r>
    </w:p>
    <w:p w:rsidR="00EB0A9B" w:rsidRDefault="00EB0A9B" w:rsidP="00EB0A9B">
      <w:pPr>
        <w:pStyle w:val="a3"/>
        <w:rPr>
          <w:kern w:val="0"/>
        </w:rPr>
      </w:pPr>
      <w:r>
        <w:rPr>
          <w:rFonts w:hint="eastAsia"/>
          <w:kern w:val="0"/>
        </w:rPr>
        <w:t xml:space="preserve">Full Text: </w:t>
      </w:r>
      <w:hyperlink r:id="rId1890" w:history="1">
        <w:r w:rsidRPr="00125437">
          <w:rPr>
            <w:rStyle w:val="a5"/>
            <w:kern w:val="0"/>
          </w:rPr>
          <w:t>2002\Bri J Gen Pra52, 47.pdf</w:t>
        </w:r>
      </w:hyperlink>
    </w:p>
    <w:p w:rsidR="003474F2" w:rsidRPr="001A3D2B" w:rsidRDefault="003474F2" w:rsidP="003474F2">
      <w:pPr>
        <w:pStyle w:val="a3"/>
      </w:pPr>
      <w:r w:rsidRPr="001A3D2B">
        <w:t>Abstract: Chronic heart failure (CHF) is a growing public health problem. Current guidelines provide detailed information regarding pharmacotherapy but little guidance about</w:t>
      </w:r>
      <w:r w:rsidR="003A1917">
        <w:t xml:space="preserve"> the </w:t>
      </w:r>
      <w:r w:rsidRPr="001A3D2B">
        <w:t>value</w:t>
      </w:r>
      <w:r w:rsidR="00427468">
        <w:t xml:space="preserve"> of </w:t>
      </w:r>
      <w:r w:rsidRPr="001A3D2B">
        <w:t>exercise/cardiac rehabilitation programmes for individuals with this condition. To investigate</w:t>
      </w:r>
      <w:r w:rsidR="003A1917">
        <w:t xml:space="preserve"> the </w:t>
      </w:r>
      <w:r w:rsidRPr="001A3D2B">
        <w:t>effects</w:t>
      </w:r>
      <w:r w:rsidR="00427468">
        <w:t xml:space="preserve"> of </w:t>
      </w:r>
      <w:r w:rsidRPr="001A3D2B">
        <w:t>exercise training upon CHF patients, a systematic literature review was carried out</w:t>
      </w:r>
      <w:r w:rsidR="00427468">
        <w:t xml:space="preserve"> of </w:t>
      </w:r>
      <w:r w:rsidRPr="001A3D2B">
        <w:t>trials (from 1966 to December 2000) which used as their main outcome measures</w:t>
      </w:r>
      <w:r w:rsidR="003A1917">
        <w:t xml:space="preserve"> the </w:t>
      </w:r>
      <w:r w:rsidRPr="001A3D2B">
        <w:t>effects</w:t>
      </w:r>
      <w:r w:rsidR="00427468">
        <w:t xml:space="preserve"> of </w:t>
      </w:r>
      <w:r w:rsidRPr="001A3D2B">
        <w:t>exercise training upon: (a) physical performance; or (b) quality</w:t>
      </w:r>
      <w:r w:rsidR="00427468">
        <w:t xml:space="preserve"> of </w:t>
      </w:r>
      <w:r w:rsidRPr="001A3D2B">
        <w:t xml:space="preserve">life; or (c) morbidity/mortality. Databases searched include. </w:t>
      </w:r>
      <w:r w:rsidR="00D5664A">
        <w:t>MEDLINE</w:t>
      </w:r>
      <w:r w:rsidRPr="001A3D2B">
        <w:t>; Science Citation Index; Social Sciences citation index; BIDS, Bandolier; Cochrane Database</w:t>
      </w:r>
      <w:r w:rsidR="00427468">
        <w:t xml:space="preserve"> of </w:t>
      </w:r>
      <w:r w:rsidRPr="001A3D2B">
        <w:t>Systematic Reviews (CDSR); NHS National Research Register (NRR);</w:t>
      </w:r>
      <w:r w:rsidR="005853A9">
        <w:t xml:space="preserve"> and </w:t>
      </w:r>
      <w:r w:rsidRPr="001A3D2B">
        <w:t>Current Research in Britain (CRIB), Relevant bibliographic references from identified articles were also reviewed. Thirty-one trials were identified, comprising randomised controlled trials (RCT</w:t>
      </w:r>
      <w:r w:rsidR="00700038">
        <w:t>’</w:t>
      </w:r>
      <w:r w:rsidR="00C13DDC">
        <w:t>s</w:t>
      </w:r>
      <w:r w:rsidRPr="001A3D2B">
        <w:t>) (14131), randomised crossover trials (8/31), non-RCT</w:t>
      </w:r>
      <w:r w:rsidR="00700038">
        <w:t>’</w:t>
      </w:r>
      <w:r w:rsidR="00C13DDC">
        <w:t>s</w:t>
      </w:r>
      <w:r w:rsidRPr="001A3D2B">
        <w:t xml:space="preserve"> (2/31),</w:t>
      </w:r>
      <w:r w:rsidR="005853A9">
        <w:t xml:space="preserve"> and </w:t>
      </w:r>
      <w:r w:rsidRPr="001A3D2B">
        <w:t>pre-test/post-test (7/31). Sample sizes were: 25 participants or fewer (20/31); 26 to 50 participants (7/31); 51 to 150 participants (4/31). Participants were predominantly yourger with a mean age in 23/31 studies</w:t>
      </w:r>
      <w:r w:rsidR="00427468">
        <w:t xml:space="preserve"> of </w:t>
      </w:r>
      <w:r w:rsidRPr="001A3D2B">
        <w:t>65 years or less,</w:t>
      </w:r>
      <w:r w:rsidR="005853A9">
        <w:t xml:space="preserve"> and </w:t>
      </w:r>
      <w:r w:rsidRPr="001A3D2B">
        <w:t>male. Patients with co-morbidities were often excluded. Positive effects were reported on physical performance (27/31) quality</w:t>
      </w:r>
      <w:r w:rsidR="00427468">
        <w:t xml:space="preserve"> of </w:t>
      </w:r>
      <w:r w:rsidRPr="001A3D2B">
        <w:t>life (11/16), mortality (1/31),</w:t>
      </w:r>
      <w:r w:rsidR="005853A9">
        <w:t xml:space="preserve"> and </w:t>
      </w:r>
      <w:r w:rsidRPr="001A3D2B">
        <w:t>readmission rates (1/31). No cost-effectiveness analyses were identified. We conclude that short-term physical exercise training in selected subgroups</w:t>
      </w:r>
      <w:r w:rsidR="00427468">
        <w:t xml:space="preserve"> of </w:t>
      </w:r>
      <w:r w:rsidRPr="001A3D2B">
        <w:t xml:space="preserve">patients with CHF has </w:t>
      </w:r>
      <w:r w:rsidRPr="001A3D2B">
        <w:lastRenderedPageBreak/>
        <w:t>physiological bene,fits</w:t>
      </w:r>
      <w:r w:rsidR="005853A9">
        <w:t xml:space="preserve"> and </w:t>
      </w:r>
      <w:r w:rsidRPr="001A3D2B">
        <w:t>positive effects on quality</w:t>
      </w:r>
      <w:r w:rsidR="00427468">
        <w:t xml:space="preserve"> of </w:t>
      </w:r>
      <w:r w:rsidRPr="001A3D2B">
        <w:t>life. This review highlights</w:t>
      </w:r>
      <w:r w:rsidR="003A1917">
        <w:t xml:space="preserve"> the </w:t>
      </w:r>
      <w:r w:rsidRPr="001A3D2B">
        <w:t>continuing problem</w:t>
      </w:r>
      <w:r w:rsidR="00427468">
        <w:t xml:space="preserve"> of </w:t>
      </w:r>
      <w:r w:rsidRPr="001A3D2B">
        <w:t>clinical trials that include participants who are not representative</w:t>
      </w:r>
      <w:r w:rsidR="00427468">
        <w:t xml:space="preserve"> of </w:t>
      </w:r>
      <w:r w:rsidR="003A1917">
        <w:t xml:space="preserve">the </w:t>
      </w:r>
      <w:r w:rsidRPr="001A3D2B">
        <w:t>general population</w:t>
      </w:r>
      <w:r w:rsidR="00427468">
        <w:t xml:space="preserve"> of </w:t>
      </w:r>
      <w:r w:rsidRPr="001A3D2B">
        <w:t>CHF patients seen in primary care. Further investigation</w:t>
      </w:r>
      <w:r w:rsidR="00427468">
        <w:t xml:space="preserve"> of </w:t>
      </w:r>
      <w:r w:rsidR="003A1917">
        <w:t xml:space="preserve">the </w:t>
      </w:r>
      <w:r w:rsidRPr="001A3D2B">
        <w:t>utility</w:t>
      </w:r>
      <w:r w:rsidR="005853A9">
        <w:t xml:space="preserve"> and </w:t>
      </w:r>
      <w:r w:rsidRPr="001A3D2B">
        <w:t>applicability</w:t>
      </w:r>
      <w:r w:rsidR="00427468">
        <w:t xml:space="preserve"> of </w:t>
      </w:r>
      <w:r w:rsidRPr="001A3D2B">
        <w:t>exercise training is essential.</w:t>
      </w:r>
    </w:p>
    <w:p w:rsidR="003474F2" w:rsidRPr="001A3D2B" w:rsidRDefault="003474F2" w:rsidP="003474F2">
      <w:pPr>
        <w:pStyle w:val="a3"/>
      </w:pPr>
      <w:r w:rsidRPr="001A3D2B">
        <w:t>Keywords: Age, Analyses, Britain, Care, Citation, Clinical, Clinical Trials, Cost Effectiveness, Cost-Effectiveness, Evidence, Exercise, Failure, General, Guidance, Guidelines, Health, Heart, Heart Failure, Index, Information, Investigation, Life, Literature, Literature Review, Male, Mortality, Outcome, Outcome Measures, Patients, Performance, Pharmacotherapy, Physical, Population, Primary, Primary Care, Programmes, Public, Public Health, Public Health Problem, Quality, Quality of, Quality</w:t>
      </w:r>
      <w:r w:rsidR="00427468">
        <w:t xml:space="preserve"> of </w:t>
      </w:r>
      <w:r w:rsidRPr="001A3D2B">
        <w:t>Life, Randomised, Randomised Controlled Trials, Rates, Readmission, Rehabilitation, Review, Science Citation Index, Systematic Review, Training, Utility, Value</w:t>
      </w:r>
    </w:p>
    <w:p w:rsidR="00B27C5D" w:rsidRDefault="00B27C5D" w:rsidP="00B27C5D">
      <w:pPr>
        <w:pStyle w:val="a3"/>
        <w:rPr>
          <w:kern w:val="0"/>
        </w:rPr>
      </w:pPr>
      <w:r>
        <w:rPr>
          <w:rFonts w:hint="eastAsia"/>
          <w:kern w:val="0"/>
        </w:rPr>
        <w:t xml:space="preserve">? </w:t>
      </w:r>
      <w:r>
        <w:rPr>
          <w:kern w:val="0"/>
        </w:rPr>
        <w:t>Wright, N.M.J.</w:t>
      </w:r>
      <w:r w:rsidR="005853A9">
        <w:rPr>
          <w:kern w:val="0"/>
        </w:rPr>
        <w:t xml:space="preserve"> and </w:t>
      </w:r>
      <w:r>
        <w:rPr>
          <w:kern w:val="0"/>
        </w:rPr>
        <w:t>Tompkins, C.N.E. (2006), How can health services effectively meet</w:t>
      </w:r>
      <w:r w:rsidR="003A1917">
        <w:rPr>
          <w:kern w:val="0"/>
        </w:rPr>
        <w:t xml:space="preserve"> the </w:t>
      </w:r>
      <w:r>
        <w:rPr>
          <w:kern w:val="0"/>
        </w:rPr>
        <w:t>health needs</w:t>
      </w:r>
      <w:r w:rsidR="00427468">
        <w:rPr>
          <w:kern w:val="0"/>
        </w:rPr>
        <w:t xml:space="preserve"> of </w:t>
      </w:r>
      <w:r>
        <w:rPr>
          <w:kern w:val="0"/>
        </w:rPr>
        <w:t xml:space="preserve">homeless people? </w:t>
      </w:r>
      <w:r>
        <w:rPr>
          <w:i/>
          <w:iCs/>
          <w:kern w:val="0"/>
        </w:rPr>
        <w:t>British Journal</w:t>
      </w:r>
      <w:r w:rsidR="00427468">
        <w:rPr>
          <w:i/>
          <w:iCs/>
          <w:kern w:val="0"/>
        </w:rPr>
        <w:t xml:space="preserve"> of </w:t>
      </w:r>
      <w:r>
        <w:rPr>
          <w:i/>
          <w:iCs/>
          <w:kern w:val="0"/>
        </w:rPr>
        <w:t>General Practice</w:t>
      </w:r>
      <w:r>
        <w:rPr>
          <w:kern w:val="0"/>
        </w:rPr>
        <w:t xml:space="preserve">, </w:t>
      </w:r>
      <w:r>
        <w:rPr>
          <w:b/>
          <w:bCs/>
          <w:kern w:val="0"/>
        </w:rPr>
        <w:t>56</w:t>
      </w:r>
      <w:r>
        <w:rPr>
          <w:kern w:val="0"/>
        </w:rPr>
        <w:t xml:space="preserve"> (525), 286-293.</w:t>
      </w:r>
    </w:p>
    <w:p w:rsidR="00EB0A9B" w:rsidRDefault="00EB0A9B" w:rsidP="00EB0A9B">
      <w:pPr>
        <w:pStyle w:val="a3"/>
        <w:rPr>
          <w:kern w:val="0"/>
        </w:rPr>
      </w:pPr>
      <w:r>
        <w:rPr>
          <w:rFonts w:hint="eastAsia"/>
          <w:kern w:val="0"/>
        </w:rPr>
        <w:t xml:space="preserve">Full Text: </w:t>
      </w:r>
      <w:hyperlink r:id="rId1891" w:history="1">
        <w:r w:rsidRPr="00125437">
          <w:rPr>
            <w:rStyle w:val="a5"/>
            <w:kern w:val="0"/>
          </w:rPr>
          <w:t>2006\Bri J Gen Pra56, 286.pdf</w:t>
        </w:r>
      </w:hyperlink>
    </w:p>
    <w:p w:rsidR="00B27C5D" w:rsidRDefault="00B27C5D" w:rsidP="00B27C5D">
      <w:pPr>
        <w:pStyle w:val="a3"/>
        <w:rPr>
          <w:kern w:val="0"/>
        </w:rPr>
      </w:pPr>
      <w:r>
        <w:rPr>
          <w:kern w:val="0"/>
        </w:rPr>
        <w:t>Abstract: Background Homelessness affects many people in contemporary society with consequences for individuals</w:t>
      </w:r>
      <w:r w:rsidR="005853A9">
        <w:rPr>
          <w:kern w:val="0"/>
        </w:rPr>
        <w:t xml:space="preserve"> and </w:t>
      </w:r>
      <w:r w:rsidR="003A1917">
        <w:rPr>
          <w:kern w:val="0"/>
        </w:rPr>
        <w:t xml:space="preserve">the </w:t>
      </w:r>
      <w:r>
        <w:rPr>
          <w:kern w:val="0"/>
        </w:rPr>
        <w:t>wider community. Homeless people experience poorer levels</w:t>
      </w:r>
      <w:r w:rsidR="00427468">
        <w:rPr>
          <w:kern w:val="0"/>
        </w:rPr>
        <w:t xml:space="preserve"> of </w:t>
      </w:r>
      <w:r>
        <w:rPr>
          <w:kern w:val="0"/>
        </w:rPr>
        <w:t>general physical</w:t>
      </w:r>
      <w:r w:rsidR="005853A9">
        <w:rPr>
          <w:kern w:val="0"/>
        </w:rPr>
        <w:t xml:space="preserve"> and </w:t>
      </w:r>
      <w:r>
        <w:rPr>
          <w:kern w:val="0"/>
        </w:rPr>
        <w:t>mental health than</w:t>
      </w:r>
      <w:r w:rsidR="003A1917">
        <w:rPr>
          <w:kern w:val="0"/>
        </w:rPr>
        <w:t xml:space="preserve"> the </w:t>
      </w:r>
      <w:r>
        <w:rPr>
          <w:kern w:val="0"/>
        </w:rPr>
        <w:t>general population</w:t>
      </w:r>
      <w:r w:rsidR="005853A9">
        <w:rPr>
          <w:kern w:val="0"/>
        </w:rPr>
        <w:t xml:space="preserve"> and </w:t>
      </w:r>
      <w:r>
        <w:rPr>
          <w:kern w:val="0"/>
        </w:rPr>
        <w:t>there is a substantial international evidence base which documents multiple morbidity. Despite this, they often have problems in obtaining suitable health care. Aim To critically examine</w:t>
      </w:r>
      <w:r w:rsidR="003A1917">
        <w:rPr>
          <w:kern w:val="0"/>
        </w:rPr>
        <w:t xml:space="preserve"> the </w:t>
      </w:r>
      <w:r>
        <w:rPr>
          <w:kern w:val="0"/>
        </w:rPr>
        <w:t>international literature pertaining to</w:t>
      </w:r>
      <w:r w:rsidR="003A1917">
        <w:rPr>
          <w:kern w:val="0"/>
        </w:rPr>
        <w:t xml:space="preserve"> the </w:t>
      </w:r>
      <w:r>
        <w:rPr>
          <w:kern w:val="0"/>
        </w:rPr>
        <w:t>health care</w:t>
      </w:r>
      <w:r w:rsidR="00427468">
        <w:rPr>
          <w:kern w:val="0"/>
        </w:rPr>
        <w:t xml:space="preserve"> of </w:t>
      </w:r>
      <w:r>
        <w:rPr>
          <w:kern w:val="0"/>
        </w:rPr>
        <w:t>homeless people</w:t>
      </w:r>
      <w:r w:rsidR="005853A9">
        <w:rPr>
          <w:kern w:val="0"/>
        </w:rPr>
        <w:t xml:space="preserve"> and </w:t>
      </w:r>
      <w:r>
        <w:rPr>
          <w:kern w:val="0"/>
        </w:rPr>
        <w:t>discuss</w:t>
      </w:r>
      <w:r w:rsidR="003A1917">
        <w:rPr>
          <w:kern w:val="0"/>
        </w:rPr>
        <w:t xml:space="preserve"> the </w:t>
      </w:r>
      <w:r>
        <w:rPr>
          <w:kern w:val="0"/>
        </w:rPr>
        <w:t>effectiveness</w:t>
      </w:r>
      <w:r w:rsidR="00427468">
        <w:rPr>
          <w:kern w:val="0"/>
        </w:rPr>
        <w:t xml:space="preserve"> of </w:t>
      </w:r>
      <w:r>
        <w:rPr>
          <w:kern w:val="0"/>
        </w:rPr>
        <w:t>treatment interventions. Design</w:t>
      </w:r>
      <w:r w:rsidR="00427468">
        <w:rPr>
          <w:kern w:val="0"/>
        </w:rPr>
        <w:t xml:space="preserve"> of </w:t>
      </w:r>
      <w:r>
        <w:rPr>
          <w:kern w:val="0"/>
        </w:rPr>
        <w:t>study Review</w:t>
      </w:r>
      <w:r w:rsidR="005853A9">
        <w:rPr>
          <w:kern w:val="0"/>
        </w:rPr>
        <w:t xml:space="preserve"> and </w:t>
      </w:r>
      <w:r>
        <w:rPr>
          <w:kern w:val="0"/>
        </w:rPr>
        <w:t>synthesis</w:t>
      </w:r>
      <w:r w:rsidR="00427468">
        <w:rPr>
          <w:kern w:val="0"/>
        </w:rPr>
        <w:t xml:space="preserve"> of </w:t>
      </w:r>
      <w:r>
        <w:rPr>
          <w:kern w:val="0"/>
        </w:rPr>
        <w:t xml:space="preserve">current evidence. Method </w:t>
      </w:r>
      <w:r w:rsidR="00D5664A">
        <w:rPr>
          <w:kern w:val="0"/>
        </w:rPr>
        <w:t>MEDLINE</w:t>
      </w:r>
      <w:r>
        <w:rPr>
          <w:kern w:val="0"/>
        </w:rPr>
        <w:t xml:space="preserve"> (1966-2003), EMBASE (1980-2003), PsycINFO (1985-2003), CINAHL (1982-2003), </w:t>
      </w:r>
      <w:r w:rsidR="00D5664A">
        <w:rPr>
          <w:kern w:val="0"/>
        </w:rPr>
        <w:t>Web</w:t>
      </w:r>
      <w:r w:rsidR="00427468">
        <w:rPr>
          <w:kern w:val="0"/>
        </w:rPr>
        <w:t xml:space="preserve"> of </w:t>
      </w:r>
      <w:r w:rsidR="00D5664A">
        <w:rPr>
          <w:kern w:val="0"/>
        </w:rPr>
        <w:t>Science</w:t>
      </w:r>
      <w:r>
        <w:rPr>
          <w:kern w:val="0"/>
        </w:rPr>
        <w:t xml:space="preserve"> (1981-2003)</w:t>
      </w:r>
      <w:r w:rsidR="005853A9">
        <w:rPr>
          <w:kern w:val="0"/>
        </w:rPr>
        <w:t xml:space="preserve"> and </w:t>
      </w:r>
      <w:r w:rsidR="003A1917">
        <w:rPr>
          <w:kern w:val="0"/>
        </w:rPr>
        <w:t xml:space="preserve">the </w:t>
      </w:r>
      <w:r>
        <w:rPr>
          <w:kern w:val="0"/>
        </w:rPr>
        <w:t>Cochrane Library (Evidence Based Health) databases were reviewed using key terms relating to homelessness, intervention studies, drug misuse, alcohol misuse</w:t>
      </w:r>
      <w:r w:rsidR="005853A9">
        <w:rPr>
          <w:kern w:val="0"/>
        </w:rPr>
        <w:t xml:space="preserve"> and </w:t>
      </w:r>
      <w:r>
        <w:rPr>
          <w:kern w:val="0"/>
        </w:rPr>
        <w:t>mental health</w:t>
      </w:r>
      <w:r w:rsidR="00A37C1D">
        <w:rPr>
          <w:kern w:val="0"/>
        </w:rPr>
        <w:t>. The</w:t>
      </w:r>
      <w:r w:rsidR="003A1917">
        <w:rPr>
          <w:kern w:val="0"/>
        </w:rPr>
        <w:t xml:space="preserve"> </w:t>
      </w:r>
      <w:r>
        <w:rPr>
          <w:kern w:val="0"/>
        </w:rPr>
        <w:t>review was not limited to publications in English. It included searching</w:t>
      </w:r>
      <w:r w:rsidR="003A1917">
        <w:rPr>
          <w:kern w:val="0"/>
        </w:rPr>
        <w:t xml:space="preserve"> the </w:t>
      </w:r>
      <w:r>
        <w:rPr>
          <w:kern w:val="0"/>
        </w:rPr>
        <w:t>internet using key terms,</w:t>
      </w:r>
      <w:r w:rsidR="005853A9">
        <w:rPr>
          <w:kern w:val="0"/>
        </w:rPr>
        <w:t xml:space="preserve"> and </w:t>
      </w:r>
      <w:r>
        <w:rPr>
          <w:kern w:val="0"/>
        </w:rPr>
        <w:t>grey literature was also accessed through discussion with experts. Results Internationally, there are differing models</w:t>
      </w:r>
      <w:r w:rsidR="005853A9">
        <w:rPr>
          <w:kern w:val="0"/>
        </w:rPr>
        <w:t xml:space="preserve"> and </w:t>
      </w:r>
      <w:r>
        <w:rPr>
          <w:kern w:val="0"/>
        </w:rPr>
        <w:t>services aimed at providing health care for homeless people. Effective interventions for drug dependence include adequate oral opiate maintenance therapy, hepatitis A, B</w:t>
      </w:r>
      <w:r w:rsidR="005853A9">
        <w:rPr>
          <w:kern w:val="0"/>
        </w:rPr>
        <w:t xml:space="preserve"> and </w:t>
      </w:r>
      <w:r>
        <w:rPr>
          <w:kern w:val="0"/>
        </w:rPr>
        <w:t>tetanus immunisation, safer injecting advice</w:t>
      </w:r>
      <w:r w:rsidR="005853A9">
        <w:rPr>
          <w:kern w:val="0"/>
        </w:rPr>
        <w:t xml:space="preserve"> and </w:t>
      </w:r>
      <w:r>
        <w:rPr>
          <w:kern w:val="0"/>
        </w:rPr>
        <w:t>access to needle exchange programmes</w:t>
      </w:r>
      <w:r w:rsidR="00A37C1D">
        <w:rPr>
          <w:kern w:val="0"/>
        </w:rPr>
        <w:t>. The</w:t>
      </w:r>
      <w:r>
        <w:rPr>
          <w:kern w:val="0"/>
        </w:rPr>
        <w:t>re is emerging evidence for</w:t>
      </w:r>
      <w:r w:rsidR="003A1917">
        <w:rPr>
          <w:kern w:val="0"/>
        </w:rPr>
        <w:t xml:space="preserve"> the </w:t>
      </w:r>
      <w:r>
        <w:rPr>
          <w:kern w:val="0"/>
        </w:rPr>
        <w:t>effectiveness</w:t>
      </w:r>
      <w:r w:rsidR="00427468">
        <w:rPr>
          <w:kern w:val="0"/>
        </w:rPr>
        <w:t xml:space="preserve"> of </w:t>
      </w:r>
      <w:r>
        <w:rPr>
          <w:kern w:val="0"/>
        </w:rPr>
        <w:t>supervised injecting rooms for homeless injecting drug users</w:t>
      </w:r>
      <w:r w:rsidR="005853A9">
        <w:rPr>
          <w:kern w:val="0"/>
        </w:rPr>
        <w:t xml:space="preserve"> and </w:t>
      </w:r>
      <w:r>
        <w:rPr>
          <w:kern w:val="0"/>
        </w:rPr>
        <w:t>for</w:t>
      </w:r>
      <w:r w:rsidR="003A1917">
        <w:rPr>
          <w:kern w:val="0"/>
        </w:rPr>
        <w:t xml:space="preserve"> the </w:t>
      </w:r>
      <w:r>
        <w:rPr>
          <w:kern w:val="0"/>
        </w:rPr>
        <w:t>peer distribution</w:t>
      </w:r>
      <w:r w:rsidR="00427468">
        <w:rPr>
          <w:kern w:val="0"/>
        </w:rPr>
        <w:t xml:space="preserve"> of </w:t>
      </w:r>
      <w:r>
        <w:rPr>
          <w:kern w:val="0"/>
        </w:rPr>
        <w:t>take home naloxone in reducing drug-related deaths</w:t>
      </w:r>
      <w:r w:rsidR="00A37C1D">
        <w:rPr>
          <w:kern w:val="0"/>
        </w:rPr>
        <w:t>. The</w:t>
      </w:r>
      <w:r>
        <w:rPr>
          <w:kern w:val="0"/>
        </w:rPr>
        <w:t>re is some evidence that assertive outreach programmes for those with mental ill health, supportive programmes to aid those with motivation to address alcohol dependence</w:t>
      </w:r>
      <w:r w:rsidR="005853A9">
        <w:rPr>
          <w:kern w:val="0"/>
        </w:rPr>
        <w:t xml:space="preserve"> </w:t>
      </w:r>
      <w:r w:rsidR="005853A9">
        <w:rPr>
          <w:kern w:val="0"/>
        </w:rPr>
        <w:lastRenderedPageBreak/>
        <w:t xml:space="preserve">and </w:t>
      </w:r>
      <w:r>
        <w:rPr>
          <w:kern w:val="0"/>
        </w:rPr>
        <w:t>informal programmes to promote sexual health can lead to lasting health gain. Conclusions As multiple morbidity is common among homeless people, accessible</w:t>
      </w:r>
      <w:r w:rsidR="005853A9">
        <w:rPr>
          <w:kern w:val="0"/>
        </w:rPr>
        <w:t xml:space="preserve"> and </w:t>
      </w:r>
      <w:r>
        <w:rPr>
          <w:kern w:val="0"/>
        </w:rPr>
        <w:t>available primary health care is a pre-requisite for effective health interventions. This requires addressing barriers to provision</w:t>
      </w:r>
      <w:r w:rsidR="005853A9">
        <w:rPr>
          <w:kern w:val="0"/>
        </w:rPr>
        <w:t xml:space="preserve"> and </w:t>
      </w:r>
      <w:r>
        <w:rPr>
          <w:kern w:val="0"/>
        </w:rPr>
        <w:t>multi-agency working so that homeless people can access</w:t>
      </w:r>
      <w:r w:rsidR="003A1917">
        <w:rPr>
          <w:kern w:val="0"/>
        </w:rPr>
        <w:t xml:space="preserve"> the </w:t>
      </w:r>
      <w:r>
        <w:rPr>
          <w:kern w:val="0"/>
        </w:rPr>
        <w:t>full range</w:t>
      </w:r>
      <w:r w:rsidR="00427468">
        <w:rPr>
          <w:kern w:val="0"/>
        </w:rPr>
        <w:t xml:space="preserve"> of </w:t>
      </w:r>
      <w:r>
        <w:rPr>
          <w:kern w:val="0"/>
        </w:rPr>
        <w:t>health</w:t>
      </w:r>
      <w:r w:rsidR="005853A9">
        <w:rPr>
          <w:kern w:val="0"/>
        </w:rPr>
        <w:t xml:space="preserve"> and </w:t>
      </w:r>
      <w:r>
        <w:rPr>
          <w:kern w:val="0"/>
        </w:rPr>
        <w:t>social care services</w:t>
      </w:r>
      <w:r w:rsidR="00A37C1D">
        <w:rPr>
          <w:kern w:val="0"/>
        </w:rPr>
        <w:t>. The</w:t>
      </w:r>
      <w:r>
        <w:rPr>
          <w:kern w:val="0"/>
        </w:rPr>
        <w:t>re are examples</w:t>
      </w:r>
      <w:r w:rsidR="00427468">
        <w:rPr>
          <w:kern w:val="0"/>
        </w:rPr>
        <w:t xml:space="preserve"> of </w:t>
      </w:r>
      <w:r>
        <w:rPr>
          <w:kern w:val="0"/>
        </w:rPr>
        <w:t>best practice in</w:t>
      </w:r>
      <w:r w:rsidR="003A1917">
        <w:rPr>
          <w:kern w:val="0"/>
        </w:rPr>
        <w:t xml:space="preserve"> the </w:t>
      </w:r>
      <w:r>
        <w:rPr>
          <w:kern w:val="0"/>
        </w:rPr>
        <w:t>treatment</w:t>
      </w:r>
      <w:r w:rsidR="005853A9">
        <w:rPr>
          <w:kern w:val="0"/>
        </w:rPr>
        <w:t xml:space="preserve"> and </w:t>
      </w:r>
      <w:r>
        <w:rPr>
          <w:kern w:val="0"/>
        </w:rPr>
        <w:t>retention</w:t>
      </w:r>
      <w:r w:rsidR="00427468">
        <w:rPr>
          <w:kern w:val="0"/>
        </w:rPr>
        <w:t xml:space="preserve"> of </w:t>
      </w:r>
      <w:r>
        <w:rPr>
          <w:kern w:val="0"/>
        </w:rPr>
        <w:t>homeless people in health</w:t>
      </w:r>
      <w:r w:rsidR="005853A9">
        <w:rPr>
          <w:kern w:val="0"/>
        </w:rPr>
        <w:t xml:space="preserve"> and </w:t>
      </w:r>
      <w:r>
        <w:rPr>
          <w:kern w:val="0"/>
        </w:rPr>
        <w:t>social care</w:t>
      </w:r>
      <w:r w:rsidR="005853A9">
        <w:rPr>
          <w:kern w:val="0"/>
        </w:rPr>
        <w:t xml:space="preserve"> and </w:t>
      </w:r>
      <w:r>
        <w:rPr>
          <w:kern w:val="0"/>
        </w:rPr>
        <w:t>such models can inform future provision.</w:t>
      </w:r>
    </w:p>
    <w:p w:rsidR="00B27C5D" w:rsidRDefault="00B27C5D" w:rsidP="00B27C5D">
      <w:pPr>
        <w:pStyle w:val="a3"/>
        <w:rPr>
          <w:kern w:val="0"/>
        </w:rPr>
      </w:pPr>
      <w:r>
        <w:rPr>
          <w:kern w:val="0"/>
        </w:rPr>
        <w:t>Keywords: Alcohol, Alcoholism, Assertive Community Treatment, Barriers, Care, Cochrane, Databases, Drug, Effectiveness, EMBASE, Health, Health</w:t>
      </w:r>
      <w:r w:rsidR="005853A9">
        <w:rPr>
          <w:kern w:val="0"/>
        </w:rPr>
        <w:t xml:space="preserve"> and </w:t>
      </w:r>
      <w:r>
        <w:rPr>
          <w:kern w:val="0"/>
        </w:rPr>
        <w:t xml:space="preserve">Social Care, Health Care, Health Care Delivery, Health Services, Homeless Persons, Ill Chemical Abusers, Injection-Drug Users, Intervention, Intervention Studies, Interventions, Lead, Literature, Mental Health, Mental-Illness, Morbidity, Practice, Primary, Primary Care, Primary Health Care, Publications, Review, Risk Reduction, Science, Social, Street Youth, Substance Related Disorders, Substance Use Disorders, Therapeutic-Community, Therapy, Treatment, </w:t>
      </w:r>
      <w:r w:rsidR="00D5664A">
        <w:rPr>
          <w:kern w:val="0"/>
        </w:rPr>
        <w:t>Web</w:t>
      </w:r>
      <w:r w:rsidR="00427468">
        <w:rPr>
          <w:kern w:val="0"/>
        </w:rPr>
        <w:t xml:space="preserve"> of </w:t>
      </w:r>
      <w:r w:rsidR="00D5664A">
        <w:rPr>
          <w:kern w:val="0"/>
        </w:rPr>
        <w:t>Science</w:t>
      </w:r>
      <w:r>
        <w:rPr>
          <w:kern w:val="0"/>
        </w:rPr>
        <w:t>, Women</w:t>
      </w:r>
    </w:p>
    <w:p w:rsidR="00B27C5D" w:rsidRDefault="00B27C5D" w:rsidP="00B27C5D">
      <w:pPr>
        <w:pStyle w:val="a3"/>
        <w:rPr>
          <w:kern w:val="0"/>
        </w:rPr>
      </w:pPr>
      <w:r>
        <w:rPr>
          <w:rFonts w:hint="eastAsia"/>
          <w:kern w:val="0"/>
        </w:rPr>
        <w:t xml:space="preserve">? </w:t>
      </w:r>
      <w:r>
        <w:rPr>
          <w:kern w:val="0"/>
        </w:rPr>
        <w:t>Cahill, P.</w:t>
      </w:r>
      <w:r w:rsidR="005853A9">
        <w:rPr>
          <w:kern w:val="0"/>
        </w:rPr>
        <w:t xml:space="preserve"> and </w:t>
      </w:r>
      <w:r>
        <w:rPr>
          <w:kern w:val="0"/>
        </w:rPr>
        <w:t>Papageorgiou, A. (2007), Triadic communication in</w:t>
      </w:r>
      <w:r w:rsidR="003A1917">
        <w:rPr>
          <w:kern w:val="0"/>
        </w:rPr>
        <w:t xml:space="preserve"> the </w:t>
      </w:r>
      <w:r>
        <w:rPr>
          <w:kern w:val="0"/>
        </w:rPr>
        <w:t>primary care paediatric consultation: A review</w:t>
      </w:r>
      <w:r w:rsidR="00427468">
        <w:rPr>
          <w:kern w:val="0"/>
        </w:rPr>
        <w:t xml:space="preserve"> of </w:t>
      </w:r>
      <w:r w:rsidR="003A1917">
        <w:rPr>
          <w:kern w:val="0"/>
        </w:rPr>
        <w:t xml:space="preserve">the </w:t>
      </w:r>
      <w:r>
        <w:rPr>
          <w:kern w:val="0"/>
        </w:rPr>
        <w:t xml:space="preserve">literature. </w:t>
      </w:r>
      <w:r>
        <w:rPr>
          <w:i/>
          <w:iCs/>
          <w:kern w:val="0"/>
        </w:rPr>
        <w:t>British Journal</w:t>
      </w:r>
      <w:r w:rsidR="00427468">
        <w:rPr>
          <w:i/>
          <w:iCs/>
          <w:kern w:val="0"/>
        </w:rPr>
        <w:t xml:space="preserve"> of </w:t>
      </w:r>
      <w:r>
        <w:rPr>
          <w:i/>
          <w:iCs/>
          <w:kern w:val="0"/>
        </w:rPr>
        <w:t>General Practice</w:t>
      </w:r>
      <w:r>
        <w:rPr>
          <w:kern w:val="0"/>
        </w:rPr>
        <w:t xml:space="preserve">, </w:t>
      </w:r>
      <w:r>
        <w:rPr>
          <w:b/>
          <w:bCs/>
          <w:kern w:val="0"/>
        </w:rPr>
        <w:t>57</w:t>
      </w:r>
      <w:r>
        <w:rPr>
          <w:kern w:val="0"/>
        </w:rPr>
        <w:t xml:space="preserve"> (544), 904-911.</w:t>
      </w:r>
    </w:p>
    <w:p w:rsidR="00EB0A9B" w:rsidRDefault="00EB0A9B" w:rsidP="00EB0A9B">
      <w:pPr>
        <w:pStyle w:val="a3"/>
        <w:rPr>
          <w:kern w:val="0"/>
        </w:rPr>
      </w:pPr>
      <w:r>
        <w:rPr>
          <w:rFonts w:hint="eastAsia"/>
          <w:kern w:val="0"/>
        </w:rPr>
        <w:t xml:space="preserve">Full Text: </w:t>
      </w:r>
      <w:hyperlink r:id="rId1892" w:history="1">
        <w:r w:rsidRPr="00125437">
          <w:rPr>
            <w:rStyle w:val="a5"/>
            <w:kern w:val="0"/>
          </w:rPr>
          <w:t>2007\Bri J Gen Pra57, 904.pdf</w:t>
        </w:r>
      </w:hyperlink>
    </w:p>
    <w:p w:rsidR="00B27C5D" w:rsidRDefault="00B27C5D" w:rsidP="00B27C5D">
      <w:pPr>
        <w:pStyle w:val="a3"/>
        <w:rPr>
          <w:kern w:val="0"/>
        </w:rPr>
      </w:pPr>
      <w:r>
        <w:rPr>
          <w:kern w:val="0"/>
        </w:rPr>
        <w:t>Abstract: Background Children aged 6-12 years are usually seen in primary care with an adult carer. It is a government</w:t>
      </w:r>
      <w:r w:rsidR="005853A9">
        <w:rPr>
          <w:kern w:val="0"/>
        </w:rPr>
        <w:t xml:space="preserve"> and </w:t>
      </w:r>
      <w:r>
        <w:rPr>
          <w:kern w:val="0"/>
        </w:rPr>
        <w:t>professional priority for doctors to try</w:t>
      </w:r>
      <w:r w:rsidR="005853A9">
        <w:rPr>
          <w:kern w:val="0"/>
        </w:rPr>
        <w:t xml:space="preserve"> and </w:t>
      </w:r>
      <w:r>
        <w:rPr>
          <w:kern w:val="0"/>
        </w:rPr>
        <w:t>involve these children in their medical consultations. Aim To ascertain</w:t>
      </w:r>
      <w:r w:rsidR="003A1917">
        <w:rPr>
          <w:kern w:val="0"/>
        </w:rPr>
        <w:t xml:space="preserve"> the </w:t>
      </w:r>
      <w:r>
        <w:rPr>
          <w:kern w:val="0"/>
        </w:rPr>
        <w:t>evidence available on</w:t>
      </w:r>
      <w:r w:rsidR="003A1917">
        <w:rPr>
          <w:kern w:val="0"/>
        </w:rPr>
        <w:t xml:space="preserve"> the </w:t>
      </w:r>
      <w:r>
        <w:rPr>
          <w:kern w:val="0"/>
        </w:rPr>
        <w:t>amount</w:t>
      </w:r>
      <w:r w:rsidR="005853A9">
        <w:rPr>
          <w:kern w:val="0"/>
        </w:rPr>
        <w:t xml:space="preserve"> and </w:t>
      </w:r>
      <w:r>
        <w:rPr>
          <w:kern w:val="0"/>
        </w:rPr>
        <w:t>type</w:t>
      </w:r>
      <w:r w:rsidR="00427468">
        <w:rPr>
          <w:kern w:val="0"/>
        </w:rPr>
        <w:t xml:space="preserve"> of </w:t>
      </w:r>
      <w:r>
        <w:rPr>
          <w:kern w:val="0"/>
        </w:rPr>
        <w:t>involvement that children in</w:t>
      </w:r>
      <w:r w:rsidR="003A1917">
        <w:rPr>
          <w:kern w:val="0"/>
        </w:rPr>
        <w:t xml:space="preserve"> the </w:t>
      </w:r>
      <w:r>
        <w:rPr>
          <w:kern w:val="0"/>
        </w:rPr>
        <w:t>6-12 year age group have in their primary care consultations when</w:t>
      </w:r>
      <w:r w:rsidR="003A1917">
        <w:rPr>
          <w:kern w:val="0"/>
        </w:rPr>
        <w:t xml:space="preserve"> the </w:t>
      </w:r>
      <w:r>
        <w:rPr>
          <w:kern w:val="0"/>
        </w:rPr>
        <w:t>consultation was held with a child, a GP,</w:t>
      </w:r>
      <w:r w:rsidR="005853A9">
        <w:rPr>
          <w:kern w:val="0"/>
        </w:rPr>
        <w:t xml:space="preserve"> and </w:t>
      </w:r>
      <w:r>
        <w:rPr>
          <w:kern w:val="0"/>
        </w:rPr>
        <w:t>an adult. Design</w:t>
      </w:r>
      <w:r w:rsidR="00427468">
        <w:rPr>
          <w:kern w:val="0"/>
        </w:rPr>
        <w:t xml:space="preserve"> of </w:t>
      </w:r>
      <w:r w:rsidR="003A1917">
        <w:rPr>
          <w:kern w:val="0"/>
        </w:rPr>
        <w:t xml:space="preserve">the </w:t>
      </w:r>
      <w:r>
        <w:rPr>
          <w:kern w:val="0"/>
        </w:rPr>
        <w:t xml:space="preserve">study Literature review. Method Data sources included </w:t>
      </w:r>
      <w:r w:rsidR="00D5664A">
        <w:rPr>
          <w:kern w:val="0"/>
        </w:rPr>
        <w:t>MEDLINE</w:t>
      </w:r>
      <w:r>
        <w:rPr>
          <w:kern w:val="0"/>
        </w:rPr>
        <w:t>, CINAHL, EMBASE,</w:t>
      </w:r>
      <w:r w:rsidR="005853A9">
        <w:rPr>
          <w:kern w:val="0"/>
        </w:rPr>
        <w:t xml:space="preserve"> and </w:t>
      </w:r>
      <w:r>
        <w:rPr>
          <w:kern w:val="0"/>
        </w:rPr>
        <w:t>ERIC,</w:t>
      </w:r>
      <w:r w:rsidR="003A1917">
        <w:rPr>
          <w:kern w:val="0"/>
        </w:rPr>
        <w:t xml:space="preserve"> the </w:t>
      </w:r>
      <w:r>
        <w:rPr>
          <w:kern w:val="0"/>
        </w:rPr>
        <w:t xml:space="preserve">Cochrane library, PsychINFO, </w:t>
      </w:r>
      <w:r w:rsidR="00D5664A">
        <w:rPr>
          <w:kern w:val="0"/>
        </w:rPr>
        <w:t>Web</w:t>
      </w:r>
      <w:r w:rsidR="00427468">
        <w:rPr>
          <w:kern w:val="0"/>
        </w:rPr>
        <w:t xml:space="preserve"> of </w:t>
      </w:r>
      <w:r w:rsidR="00D5664A">
        <w:rPr>
          <w:kern w:val="0"/>
        </w:rPr>
        <w:t>Science</w:t>
      </w:r>
      <w:r w:rsidR="005853A9">
        <w:rPr>
          <w:kern w:val="0"/>
        </w:rPr>
        <w:t xml:space="preserve"> and </w:t>
      </w:r>
      <w:r>
        <w:rPr>
          <w:kern w:val="0"/>
        </w:rPr>
        <w:t>Wilson</w:t>
      </w:r>
      <w:r w:rsidR="00700038">
        <w:rPr>
          <w:kern w:val="0"/>
        </w:rPr>
        <w:t>’</w:t>
      </w:r>
      <w:r w:rsidR="00C13DDC">
        <w:rPr>
          <w:kern w:val="0"/>
        </w:rPr>
        <w:t>s</w:t>
      </w:r>
      <w:r>
        <w:rPr>
          <w:kern w:val="0"/>
        </w:rPr>
        <w:t xml:space="preserve"> Social Science abstracts, hand searching for references,</w:t>
      </w:r>
      <w:r w:rsidR="005853A9">
        <w:rPr>
          <w:kern w:val="0"/>
        </w:rPr>
        <w:t xml:space="preserve"> and </w:t>
      </w:r>
      <w:r>
        <w:rPr>
          <w:kern w:val="0"/>
        </w:rPr>
        <w:t>contact with authors. Results Twenty-one studies were selected for inclusion in</w:t>
      </w:r>
      <w:r w:rsidR="003A1917">
        <w:rPr>
          <w:kern w:val="0"/>
        </w:rPr>
        <w:t xml:space="preserve"> the </w:t>
      </w:r>
      <w:r>
        <w:rPr>
          <w:kern w:val="0"/>
        </w:rPr>
        <w:t>study. Children were found to have little quantitative involvement in their own consultations</w:t>
      </w:r>
      <w:r w:rsidR="00A37C1D">
        <w:rPr>
          <w:kern w:val="0"/>
        </w:rPr>
        <w:t>. The</w:t>
      </w:r>
      <w:r>
        <w:rPr>
          <w:kern w:val="0"/>
        </w:rPr>
        <w:t>y may take part during information gathering but are unlikely to participate in</w:t>
      </w:r>
      <w:r w:rsidR="003A1917">
        <w:rPr>
          <w:kern w:val="0"/>
        </w:rPr>
        <w:t xml:space="preserve"> the </w:t>
      </w:r>
      <w:r>
        <w:rPr>
          <w:kern w:val="0"/>
        </w:rPr>
        <w:t>treatment planning</w:t>
      </w:r>
      <w:r w:rsidR="005853A9">
        <w:rPr>
          <w:kern w:val="0"/>
        </w:rPr>
        <w:t xml:space="preserve"> and </w:t>
      </w:r>
      <w:r>
        <w:rPr>
          <w:kern w:val="0"/>
        </w:rPr>
        <w:t>discussion parts</w:t>
      </w:r>
      <w:r w:rsidR="00427468">
        <w:rPr>
          <w:kern w:val="0"/>
        </w:rPr>
        <w:t xml:space="preserve"> of </w:t>
      </w:r>
      <w:r w:rsidR="003A1917">
        <w:rPr>
          <w:kern w:val="0"/>
        </w:rPr>
        <w:t xml:space="preserve">the </w:t>
      </w:r>
      <w:r>
        <w:rPr>
          <w:kern w:val="0"/>
        </w:rPr>
        <w:t>consultation. Conclusion Children in</w:t>
      </w:r>
      <w:r w:rsidR="003A1917">
        <w:rPr>
          <w:kern w:val="0"/>
        </w:rPr>
        <w:t xml:space="preserve"> the </w:t>
      </w:r>
      <w:r>
        <w:rPr>
          <w:kern w:val="0"/>
        </w:rPr>
        <w:t>6-12 year age group have little meaningful involvement in their consultations.</w:t>
      </w:r>
    </w:p>
    <w:p w:rsidR="00B27C5D" w:rsidRDefault="00B27C5D" w:rsidP="00B27C5D">
      <w:pPr>
        <w:pStyle w:val="a3"/>
        <w:rPr>
          <w:kern w:val="0"/>
        </w:rPr>
      </w:pPr>
      <w:r>
        <w:rPr>
          <w:kern w:val="0"/>
        </w:rPr>
        <w:t xml:space="preserve">Keywords: Adult, Aged, Authors, Child, Children, Cochrane, Communication, Consultation, Decision-Making, Doctor-Patient Interaction, EMBASE, Encounters, Gaps, General Practice, Information, Involvement, Literature, Literature Review, Medical, </w:t>
      </w:r>
      <w:r w:rsidR="00D5664A">
        <w:rPr>
          <w:kern w:val="0"/>
        </w:rPr>
        <w:t>MEDLINE</w:t>
      </w:r>
      <w:r>
        <w:rPr>
          <w:kern w:val="0"/>
        </w:rPr>
        <w:t xml:space="preserve">, Paediatric, Parent-Child Communication, Primary, Primary Care, Professional, Quantitative, Review, Science, Skills, Tradic, Treatment, </w:t>
      </w:r>
      <w:r w:rsidR="00D5664A">
        <w:rPr>
          <w:kern w:val="0"/>
        </w:rPr>
        <w:t>Web</w:t>
      </w:r>
      <w:r w:rsidR="00427468">
        <w:rPr>
          <w:kern w:val="0"/>
        </w:rPr>
        <w:t xml:space="preserve"> of </w:t>
      </w:r>
      <w:r w:rsidR="00D5664A">
        <w:rPr>
          <w:kern w:val="0"/>
        </w:rPr>
        <w:t>Science</w:t>
      </w:r>
    </w:p>
    <w:p w:rsidR="00B27C5D" w:rsidRDefault="00B27C5D" w:rsidP="00B27C5D">
      <w:pPr>
        <w:pStyle w:val="a3"/>
        <w:rPr>
          <w:kern w:val="0"/>
        </w:rPr>
      </w:pPr>
      <w:r>
        <w:rPr>
          <w:rFonts w:hint="eastAsia"/>
          <w:kern w:val="0"/>
        </w:rPr>
        <w:lastRenderedPageBreak/>
        <w:t xml:space="preserve">? </w:t>
      </w:r>
      <w:r>
        <w:rPr>
          <w:kern w:val="0"/>
        </w:rPr>
        <w:t>Ridd, M., Shaw, A., Lewis, G.</w:t>
      </w:r>
      <w:r w:rsidR="005853A9">
        <w:rPr>
          <w:kern w:val="0"/>
        </w:rPr>
        <w:t xml:space="preserve"> and </w:t>
      </w:r>
      <w:r>
        <w:rPr>
          <w:kern w:val="0"/>
        </w:rPr>
        <w:t>Salisbury, C. (2009</w:t>
      </w:r>
      <w:r w:rsidR="00F42EAC">
        <w:rPr>
          <w:kern w:val="0"/>
        </w:rPr>
        <w:t>), The</w:t>
      </w:r>
      <w:r w:rsidR="003A1917">
        <w:rPr>
          <w:kern w:val="0"/>
        </w:rPr>
        <w:t xml:space="preserve"> </w:t>
      </w:r>
      <w:r>
        <w:rPr>
          <w:kern w:val="0"/>
        </w:rPr>
        <w:t>patient-doctor relationship: A synthesis</w:t>
      </w:r>
      <w:r w:rsidR="00427468">
        <w:rPr>
          <w:kern w:val="0"/>
        </w:rPr>
        <w:t xml:space="preserve"> of </w:t>
      </w:r>
      <w:r w:rsidR="003A1917">
        <w:rPr>
          <w:kern w:val="0"/>
        </w:rPr>
        <w:t xml:space="preserve">the </w:t>
      </w:r>
      <w:r>
        <w:rPr>
          <w:kern w:val="0"/>
        </w:rPr>
        <w:t>qualitative literature on patients</w:t>
      </w:r>
      <w:r w:rsidR="00700038">
        <w:rPr>
          <w:kern w:val="0"/>
        </w:rPr>
        <w:t>’</w:t>
      </w:r>
      <w:r>
        <w:rPr>
          <w:kern w:val="0"/>
        </w:rPr>
        <w:t xml:space="preserve"> perspectives. </w:t>
      </w:r>
      <w:r>
        <w:rPr>
          <w:i/>
          <w:iCs/>
          <w:kern w:val="0"/>
        </w:rPr>
        <w:t>British Journal</w:t>
      </w:r>
      <w:r w:rsidR="00427468">
        <w:rPr>
          <w:i/>
          <w:iCs/>
          <w:kern w:val="0"/>
        </w:rPr>
        <w:t xml:space="preserve"> of </w:t>
      </w:r>
      <w:r>
        <w:rPr>
          <w:i/>
          <w:iCs/>
          <w:kern w:val="0"/>
        </w:rPr>
        <w:t>General Practice</w:t>
      </w:r>
      <w:r>
        <w:rPr>
          <w:kern w:val="0"/>
        </w:rPr>
        <w:t xml:space="preserve">, </w:t>
      </w:r>
      <w:r>
        <w:rPr>
          <w:b/>
          <w:bCs/>
          <w:kern w:val="0"/>
        </w:rPr>
        <w:t>59</w:t>
      </w:r>
      <w:r>
        <w:rPr>
          <w:kern w:val="0"/>
        </w:rPr>
        <w:t xml:space="preserve"> (561), 268-275.</w:t>
      </w:r>
    </w:p>
    <w:p w:rsidR="00EB0A9B" w:rsidRDefault="00EB0A9B" w:rsidP="00EB0A9B">
      <w:pPr>
        <w:pStyle w:val="a3"/>
        <w:rPr>
          <w:kern w:val="0"/>
        </w:rPr>
      </w:pPr>
      <w:r>
        <w:rPr>
          <w:rFonts w:hint="eastAsia"/>
          <w:kern w:val="0"/>
        </w:rPr>
        <w:t xml:space="preserve">Full Text: </w:t>
      </w:r>
      <w:r w:rsidRPr="00125437">
        <w:rPr>
          <w:kern w:val="0"/>
        </w:rPr>
        <w:t>2009\Bri J Gen Pra59, 268.pdf</w:t>
      </w:r>
    </w:p>
    <w:p w:rsidR="00B27C5D" w:rsidRDefault="00B27C5D" w:rsidP="00B27C5D">
      <w:pPr>
        <w:pStyle w:val="a3"/>
        <w:rPr>
          <w:kern w:val="0"/>
        </w:rPr>
      </w:pPr>
      <w:r>
        <w:rPr>
          <w:kern w:val="0"/>
        </w:rPr>
        <w:t>Abstract: Background</w:t>
      </w:r>
      <w:r w:rsidR="003A1917">
        <w:rPr>
          <w:kern w:val="0"/>
        </w:rPr>
        <w:t xml:space="preserve"> the </w:t>
      </w:r>
      <w:r>
        <w:rPr>
          <w:kern w:val="0"/>
        </w:rPr>
        <w:t>patient-doctor relationship is an important but poorly defined topic. In order to comprehensively assess its significance for patient care, a clearer understanding</w:t>
      </w:r>
      <w:r w:rsidR="00427468">
        <w:rPr>
          <w:kern w:val="0"/>
        </w:rPr>
        <w:t xml:space="preserve"> of </w:t>
      </w:r>
      <w:r w:rsidR="003A1917">
        <w:rPr>
          <w:kern w:val="0"/>
        </w:rPr>
        <w:t xml:space="preserve">the </w:t>
      </w:r>
      <w:r>
        <w:rPr>
          <w:kern w:val="0"/>
        </w:rPr>
        <w:t>concept is required. Aim To derive a conceptual framework</w:t>
      </w:r>
      <w:r w:rsidR="00427468">
        <w:rPr>
          <w:kern w:val="0"/>
        </w:rPr>
        <w:t xml:space="preserve"> of </w:t>
      </w:r>
      <w:r w:rsidR="003A1917">
        <w:rPr>
          <w:kern w:val="0"/>
        </w:rPr>
        <w:t xml:space="preserve">the </w:t>
      </w:r>
      <w:r>
        <w:rPr>
          <w:kern w:val="0"/>
        </w:rPr>
        <w:t>factors that define patient-doctor relationships from</w:t>
      </w:r>
      <w:r w:rsidR="003A1917">
        <w:rPr>
          <w:kern w:val="0"/>
        </w:rPr>
        <w:t xml:space="preserve"> the </w:t>
      </w:r>
      <w:r>
        <w:rPr>
          <w:kern w:val="0"/>
        </w:rPr>
        <w:t>perspective</w:t>
      </w:r>
      <w:r w:rsidR="00427468">
        <w:rPr>
          <w:kern w:val="0"/>
        </w:rPr>
        <w:t xml:space="preserve"> of </w:t>
      </w:r>
      <w:r>
        <w:rPr>
          <w:kern w:val="0"/>
        </w:rPr>
        <w:t>patients. Design</w:t>
      </w:r>
      <w:r w:rsidR="00427468">
        <w:rPr>
          <w:kern w:val="0"/>
        </w:rPr>
        <w:t xml:space="preserve"> of </w:t>
      </w:r>
      <w:r>
        <w:rPr>
          <w:kern w:val="0"/>
        </w:rPr>
        <w:t>study Systematic review</w:t>
      </w:r>
      <w:r w:rsidR="005853A9">
        <w:rPr>
          <w:kern w:val="0"/>
        </w:rPr>
        <w:t xml:space="preserve"> and </w:t>
      </w:r>
      <w:r>
        <w:rPr>
          <w:kern w:val="0"/>
        </w:rPr>
        <w:t>thematic synthesis</w:t>
      </w:r>
      <w:r w:rsidR="00427468">
        <w:rPr>
          <w:kern w:val="0"/>
        </w:rPr>
        <w:t xml:space="preserve"> of </w:t>
      </w:r>
      <w:r>
        <w:rPr>
          <w:kern w:val="0"/>
        </w:rPr>
        <w:t xml:space="preserve">qualitative studies. Method </w:t>
      </w:r>
      <w:r w:rsidR="00D5664A">
        <w:rPr>
          <w:kern w:val="0"/>
        </w:rPr>
        <w:t>MEDLINE</w:t>
      </w:r>
      <w:r>
        <w:rPr>
          <w:kern w:val="0"/>
        </w:rPr>
        <w:t>, EMBASE, PsychINFO</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were searched. Studies were screened for relevance</w:t>
      </w:r>
      <w:r w:rsidR="005853A9">
        <w:rPr>
          <w:kern w:val="0"/>
        </w:rPr>
        <w:t xml:space="preserve"> and </w:t>
      </w:r>
      <w:r>
        <w:rPr>
          <w:kern w:val="0"/>
        </w:rPr>
        <w:t>appraised for quality</w:t>
      </w:r>
      <w:r w:rsidR="00A37C1D">
        <w:rPr>
          <w:kern w:val="0"/>
        </w:rPr>
        <w:t>. The</w:t>
      </w:r>
      <w:r w:rsidR="003A1917">
        <w:rPr>
          <w:kern w:val="0"/>
        </w:rPr>
        <w:t xml:space="preserve"> </w:t>
      </w:r>
      <w:r>
        <w:rPr>
          <w:kern w:val="0"/>
        </w:rPr>
        <w:t>findings were synthesised using a thematic approach. Results From 1985 abstracts, 11 studies from four countries were included in</w:t>
      </w:r>
      <w:r w:rsidR="003A1917">
        <w:rPr>
          <w:kern w:val="0"/>
        </w:rPr>
        <w:t xml:space="preserve"> the </w:t>
      </w:r>
      <w:r>
        <w:rPr>
          <w:kern w:val="0"/>
        </w:rPr>
        <w:t>final synthesis</w:t>
      </w:r>
      <w:r w:rsidR="00A37C1D">
        <w:rPr>
          <w:kern w:val="0"/>
        </w:rPr>
        <w:t>. The</w:t>
      </w:r>
      <w:r>
        <w:rPr>
          <w:kern w:val="0"/>
        </w:rPr>
        <w:t>y examined</w:t>
      </w:r>
      <w:r w:rsidR="003A1917">
        <w:rPr>
          <w:kern w:val="0"/>
        </w:rPr>
        <w:t xml:space="preserve"> the </w:t>
      </w:r>
      <w:r>
        <w:rPr>
          <w:kern w:val="0"/>
        </w:rPr>
        <w:t>patient-doctor relationship generally (n = 3), or in terms</w:t>
      </w:r>
      <w:r w:rsidR="00427468">
        <w:rPr>
          <w:kern w:val="0"/>
        </w:rPr>
        <w:t xml:space="preserve"> of </w:t>
      </w:r>
      <w:r>
        <w:rPr>
          <w:kern w:val="0"/>
        </w:rPr>
        <w:t>loyalty (n = 3), personal care (n = 2), trust (n = 2),</w:t>
      </w:r>
      <w:r w:rsidR="005853A9">
        <w:rPr>
          <w:kern w:val="0"/>
        </w:rPr>
        <w:t xml:space="preserve"> and </w:t>
      </w:r>
      <w:r>
        <w:rPr>
          <w:kern w:val="0"/>
        </w:rPr>
        <w:t>continuity (n = 1). Longitudinal care (seeing</w:t>
      </w:r>
      <w:r w:rsidR="003A1917">
        <w:rPr>
          <w:kern w:val="0"/>
        </w:rPr>
        <w:t xml:space="preserve"> the </w:t>
      </w:r>
      <w:r>
        <w:rPr>
          <w:kern w:val="0"/>
        </w:rPr>
        <w:t>same doctor)</w:t>
      </w:r>
      <w:r w:rsidR="005853A9">
        <w:rPr>
          <w:kern w:val="0"/>
        </w:rPr>
        <w:t xml:space="preserve"> and </w:t>
      </w:r>
      <w:r>
        <w:rPr>
          <w:kern w:val="0"/>
        </w:rPr>
        <w:t>consultation experiences (patients</w:t>
      </w:r>
      <w:r w:rsidR="00700038">
        <w:rPr>
          <w:kern w:val="0"/>
        </w:rPr>
        <w:t>’</w:t>
      </w:r>
      <w:r>
        <w:rPr>
          <w:kern w:val="0"/>
        </w:rPr>
        <w:t xml:space="preserve"> encounters with</w:t>
      </w:r>
      <w:r w:rsidR="003A1917">
        <w:rPr>
          <w:kern w:val="0"/>
        </w:rPr>
        <w:t xml:space="preserve"> the </w:t>
      </w:r>
      <w:r>
        <w:rPr>
          <w:kern w:val="0"/>
        </w:rPr>
        <w:t>doctor) were found to be</w:t>
      </w:r>
      <w:r w:rsidR="003A1917">
        <w:rPr>
          <w:kern w:val="0"/>
        </w:rPr>
        <w:t xml:space="preserve"> the </w:t>
      </w:r>
      <w:r>
        <w:rPr>
          <w:kern w:val="0"/>
        </w:rPr>
        <w:t>main processes by which patient-doctor relationships are promoted</w:t>
      </w:r>
      <w:r w:rsidR="00A37C1D">
        <w:rPr>
          <w:kern w:val="0"/>
        </w:rPr>
        <w:t>. The</w:t>
      </w:r>
      <w:r w:rsidR="003A1917">
        <w:rPr>
          <w:kern w:val="0"/>
        </w:rPr>
        <w:t xml:space="preserve"> </w:t>
      </w:r>
      <w:r>
        <w:rPr>
          <w:kern w:val="0"/>
        </w:rPr>
        <w:t>resulting depth</w:t>
      </w:r>
      <w:r w:rsidR="00427468">
        <w:rPr>
          <w:kern w:val="0"/>
        </w:rPr>
        <w:t xml:space="preserve"> of </w:t>
      </w:r>
      <w:r>
        <w:rPr>
          <w:kern w:val="0"/>
        </w:rPr>
        <w:t>patient-doctor relationship comprises four main elements: knowledge, trust, loyalty,</w:t>
      </w:r>
      <w:r w:rsidR="005853A9">
        <w:rPr>
          <w:kern w:val="0"/>
        </w:rPr>
        <w:t xml:space="preserve"> and </w:t>
      </w:r>
      <w:r>
        <w:rPr>
          <w:kern w:val="0"/>
        </w:rPr>
        <w:t>regard</w:t>
      </w:r>
      <w:r w:rsidR="00A37C1D">
        <w:rPr>
          <w:kern w:val="0"/>
        </w:rPr>
        <w:t>. The</w:t>
      </w:r>
      <w:r>
        <w:rPr>
          <w:kern w:val="0"/>
        </w:rPr>
        <w:t>se elements have doctor</w:t>
      </w:r>
      <w:r w:rsidR="005853A9">
        <w:rPr>
          <w:kern w:val="0"/>
        </w:rPr>
        <w:t xml:space="preserve"> and </w:t>
      </w:r>
      <w:r>
        <w:rPr>
          <w:kern w:val="0"/>
        </w:rPr>
        <w:t>patient aspects to them, which may be reciprocally related. Conclusion A framework is proposed that distinguishes between dynamic factors that develop or maintain</w:t>
      </w:r>
      <w:r w:rsidR="003A1917">
        <w:rPr>
          <w:kern w:val="0"/>
        </w:rPr>
        <w:t xml:space="preserve"> the </w:t>
      </w:r>
      <w:r>
        <w:rPr>
          <w:kern w:val="0"/>
        </w:rPr>
        <w:t>relationship,</w:t>
      </w:r>
      <w:r w:rsidR="005853A9">
        <w:rPr>
          <w:kern w:val="0"/>
        </w:rPr>
        <w:t xml:space="preserve"> and </w:t>
      </w:r>
      <w:r>
        <w:rPr>
          <w:kern w:val="0"/>
        </w:rPr>
        <w:t>characteristics that constitute an ongoing depth</w:t>
      </w:r>
      <w:r w:rsidR="00427468">
        <w:rPr>
          <w:kern w:val="0"/>
        </w:rPr>
        <w:t xml:space="preserve"> of </w:t>
      </w:r>
      <w:r>
        <w:rPr>
          <w:kern w:val="0"/>
        </w:rPr>
        <w:t>relationship. Having identified</w:t>
      </w:r>
      <w:r w:rsidR="003A1917">
        <w:rPr>
          <w:kern w:val="0"/>
        </w:rPr>
        <w:t xml:space="preserve"> the </w:t>
      </w:r>
      <w:r>
        <w:rPr>
          <w:kern w:val="0"/>
        </w:rPr>
        <w:t>different elements involved, future research should examine for associations between longitudinal care, consultation experiences,</w:t>
      </w:r>
      <w:r w:rsidR="005853A9">
        <w:rPr>
          <w:kern w:val="0"/>
        </w:rPr>
        <w:t xml:space="preserve"> and </w:t>
      </w:r>
      <w:r>
        <w:rPr>
          <w:kern w:val="0"/>
        </w:rPr>
        <w:t>depth</w:t>
      </w:r>
      <w:r w:rsidR="00427468">
        <w:rPr>
          <w:kern w:val="0"/>
        </w:rPr>
        <w:t xml:space="preserve"> of </w:t>
      </w:r>
      <w:r>
        <w:rPr>
          <w:kern w:val="0"/>
        </w:rPr>
        <w:t>patient-doctor relationship, and, in turn, their significance for patient care.</w:t>
      </w:r>
    </w:p>
    <w:p w:rsidR="00B27C5D" w:rsidRDefault="00B27C5D" w:rsidP="00B27C5D">
      <w:pPr>
        <w:pStyle w:val="a3"/>
        <w:rPr>
          <w:kern w:val="0"/>
        </w:rPr>
      </w:pPr>
      <w:r>
        <w:rPr>
          <w:kern w:val="0"/>
        </w:rPr>
        <w:t>Keywords: Communication, Communication, Consultation, Continuity, Continuity</w:t>
      </w:r>
      <w:r w:rsidR="00427468">
        <w:rPr>
          <w:kern w:val="0"/>
        </w:rPr>
        <w:t xml:space="preserve"> of </w:t>
      </w:r>
      <w:r>
        <w:rPr>
          <w:kern w:val="0"/>
        </w:rPr>
        <w:t xml:space="preserve">Patient Care, Databases, EMBASE, General-Practice, Knowledge, Literature, Patients Views, Physician-Patient Relations, Physicians, Primary-Care, Qualitative Research, Research, Review, Science, Systematic, Systematic Review, Trust, Unit, </w:t>
      </w:r>
      <w:r w:rsidR="00D5664A">
        <w:rPr>
          <w:kern w:val="0"/>
        </w:rPr>
        <w:t>Web</w:t>
      </w:r>
      <w:r w:rsidR="00427468">
        <w:rPr>
          <w:kern w:val="0"/>
        </w:rPr>
        <w:t xml:space="preserve"> of </w:t>
      </w:r>
      <w:r w:rsidR="00D5664A">
        <w:rPr>
          <w:kern w:val="0"/>
        </w:rPr>
        <w:t>Science</w:t>
      </w:r>
    </w:p>
    <w:p w:rsidR="005C795D" w:rsidRDefault="005C795D" w:rsidP="005C795D">
      <w:pPr>
        <w:pStyle w:val="a3"/>
        <w:rPr>
          <w:kern w:val="0"/>
        </w:rPr>
      </w:pPr>
      <w:r>
        <w:rPr>
          <w:rFonts w:hint="eastAsia"/>
          <w:kern w:val="0"/>
        </w:rPr>
        <w:t xml:space="preserve">? </w:t>
      </w:r>
      <w:r>
        <w:rPr>
          <w:kern w:val="0"/>
        </w:rPr>
        <w:t>Jones, R., Green, E., Hull, C., Niesner, E.</w:t>
      </w:r>
      <w:r w:rsidR="005853A9">
        <w:rPr>
          <w:kern w:val="0"/>
        </w:rPr>
        <w:t xml:space="preserve"> and </w:t>
      </w:r>
      <w:r>
        <w:rPr>
          <w:kern w:val="0"/>
        </w:rPr>
        <w:t>Schofield, P. (2012), Making an impact: Research, publications,</w:t>
      </w:r>
      <w:r w:rsidR="005853A9">
        <w:rPr>
          <w:kern w:val="0"/>
        </w:rPr>
        <w:t xml:space="preserve"> and </w:t>
      </w:r>
      <w:r>
        <w:rPr>
          <w:kern w:val="0"/>
        </w:rPr>
        <w:t>bibliometrics in</w:t>
      </w:r>
      <w:r w:rsidR="003A1917">
        <w:rPr>
          <w:kern w:val="0"/>
        </w:rPr>
        <w:t xml:space="preserve"> the </w:t>
      </w:r>
      <w:r>
        <w:rPr>
          <w:kern w:val="0"/>
        </w:rPr>
        <w:t xml:space="preserve">BJGP. </w:t>
      </w:r>
      <w:r>
        <w:rPr>
          <w:i/>
          <w:iCs/>
          <w:kern w:val="0"/>
        </w:rPr>
        <w:t>British Journal</w:t>
      </w:r>
      <w:r w:rsidR="00427468">
        <w:rPr>
          <w:i/>
          <w:iCs/>
          <w:kern w:val="0"/>
        </w:rPr>
        <w:t xml:space="preserve"> of </w:t>
      </w:r>
      <w:r>
        <w:rPr>
          <w:i/>
          <w:iCs/>
          <w:kern w:val="0"/>
        </w:rPr>
        <w:t>General Practice</w:t>
      </w:r>
      <w:r>
        <w:rPr>
          <w:kern w:val="0"/>
        </w:rPr>
        <w:t xml:space="preserve">, </w:t>
      </w:r>
      <w:r>
        <w:rPr>
          <w:b/>
          <w:bCs/>
          <w:kern w:val="0"/>
        </w:rPr>
        <w:t>62</w:t>
      </w:r>
      <w:r>
        <w:rPr>
          <w:kern w:val="0"/>
        </w:rPr>
        <w:t xml:space="preserve"> (596), 157-159</w:t>
      </w:r>
      <w:r>
        <w:rPr>
          <w:rFonts w:hint="eastAsia"/>
          <w:kern w:val="0"/>
        </w:rPr>
        <w:t>.</w:t>
      </w:r>
    </w:p>
    <w:p w:rsidR="005C795D" w:rsidRDefault="005C795D" w:rsidP="005C795D">
      <w:pPr>
        <w:pStyle w:val="a3"/>
        <w:rPr>
          <w:kern w:val="0"/>
        </w:rPr>
      </w:pPr>
      <w:r>
        <w:rPr>
          <w:rFonts w:hint="eastAsia"/>
          <w:kern w:val="0"/>
        </w:rPr>
        <w:t xml:space="preserve">Full Text: </w:t>
      </w:r>
      <w:hyperlink r:id="rId1893" w:history="1">
        <w:r w:rsidRPr="00125437">
          <w:rPr>
            <w:rStyle w:val="a5"/>
            <w:kern w:val="0"/>
          </w:rPr>
          <w:t>2012\Bri J Gen Pra62, 157.pdf</w:t>
        </w:r>
      </w:hyperlink>
    </w:p>
    <w:p w:rsidR="005C795D" w:rsidRDefault="005C795D" w:rsidP="005C795D">
      <w:pPr>
        <w:pStyle w:val="a3"/>
        <w:rPr>
          <w:kern w:val="0"/>
        </w:rPr>
      </w:pPr>
      <w:r>
        <w:rPr>
          <w:kern w:val="0"/>
        </w:rPr>
        <w:t>Keywords: Bibliometrics, Impact, MAR, Publications, Research</w:t>
      </w:r>
    </w:p>
    <w:p w:rsidR="00455485" w:rsidRDefault="00455485" w:rsidP="00455485">
      <w:pPr>
        <w:pStyle w:val="a3"/>
        <w:rPr>
          <w:kern w:val="0"/>
        </w:rPr>
      </w:pPr>
      <w:r>
        <w:rPr>
          <w:rFonts w:hint="eastAsia"/>
          <w:kern w:val="0"/>
        </w:rPr>
        <w:t xml:space="preserve">? </w:t>
      </w:r>
      <w:r>
        <w:rPr>
          <w:kern w:val="0"/>
        </w:rPr>
        <w:t>Brew, I.F., Butt, C.</w:t>
      </w:r>
      <w:r w:rsidR="005853A9">
        <w:rPr>
          <w:kern w:val="0"/>
        </w:rPr>
        <w:t xml:space="preserve"> and </w:t>
      </w:r>
      <w:r>
        <w:rPr>
          <w:kern w:val="0"/>
        </w:rPr>
        <w:t>Wright, N. (2013), Can antiviral treatment for hepatitis C be safely</w:t>
      </w:r>
      <w:r w:rsidR="005853A9">
        <w:rPr>
          <w:kern w:val="0"/>
        </w:rPr>
        <w:t xml:space="preserve"> and </w:t>
      </w:r>
      <w:r>
        <w:rPr>
          <w:kern w:val="0"/>
        </w:rPr>
        <w:t>effectively delivered in primary care? A narrative systematic review</w:t>
      </w:r>
      <w:r w:rsidR="00427468">
        <w:rPr>
          <w:kern w:val="0"/>
        </w:rPr>
        <w:t xml:space="preserve"> of </w:t>
      </w:r>
      <w:r>
        <w:rPr>
          <w:kern w:val="0"/>
        </w:rPr>
        <w:t xml:space="preserve">the evidence base. </w:t>
      </w:r>
      <w:r>
        <w:rPr>
          <w:i/>
          <w:iCs/>
          <w:kern w:val="0"/>
        </w:rPr>
        <w:t>British Journal</w:t>
      </w:r>
      <w:r w:rsidR="00427468">
        <w:rPr>
          <w:i/>
          <w:iCs/>
          <w:kern w:val="0"/>
        </w:rPr>
        <w:t xml:space="preserve"> of </w:t>
      </w:r>
      <w:r>
        <w:rPr>
          <w:i/>
          <w:iCs/>
          <w:kern w:val="0"/>
        </w:rPr>
        <w:t>General Practice</w:t>
      </w:r>
      <w:r>
        <w:rPr>
          <w:kern w:val="0"/>
        </w:rPr>
        <w:t xml:space="preserve">, </w:t>
      </w:r>
      <w:r>
        <w:rPr>
          <w:b/>
          <w:bCs/>
          <w:kern w:val="0"/>
        </w:rPr>
        <w:t>63</w:t>
      </w:r>
      <w:r>
        <w:rPr>
          <w:kern w:val="0"/>
        </w:rPr>
        <w:t xml:space="preserve"> (617), E842-E851.</w:t>
      </w:r>
    </w:p>
    <w:p w:rsidR="00455485" w:rsidRDefault="00455485" w:rsidP="00455485">
      <w:pPr>
        <w:pStyle w:val="a3"/>
        <w:rPr>
          <w:kern w:val="0"/>
        </w:rPr>
      </w:pPr>
      <w:r>
        <w:rPr>
          <w:rFonts w:hint="eastAsia"/>
          <w:kern w:val="0"/>
        </w:rPr>
        <w:t xml:space="preserve">Full Text: </w:t>
      </w:r>
      <w:r w:rsidRPr="0047751F">
        <w:rPr>
          <w:kern w:val="0"/>
        </w:rPr>
        <w:t>201</w:t>
      </w:r>
      <w:r>
        <w:rPr>
          <w:rFonts w:hint="eastAsia"/>
          <w:kern w:val="0"/>
        </w:rPr>
        <w:t>3</w:t>
      </w:r>
      <w:r w:rsidRPr="0047751F">
        <w:rPr>
          <w:kern w:val="0"/>
        </w:rPr>
        <w:t>\Bri J Gen Pra6</w:t>
      </w:r>
      <w:r>
        <w:rPr>
          <w:rFonts w:hint="eastAsia"/>
          <w:kern w:val="0"/>
        </w:rPr>
        <w:t>3</w:t>
      </w:r>
      <w:r w:rsidRPr="0047751F">
        <w:rPr>
          <w:kern w:val="0"/>
        </w:rPr>
        <w:t xml:space="preserve">, </w:t>
      </w:r>
      <w:r>
        <w:rPr>
          <w:kern w:val="0"/>
        </w:rPr>
        <w:t>E842</w:t>
      </w:r>
      <w:r w:rsidRPr="0047751F">
        <w:rPr>
          <w:kern w:val="0"/>
        </w:rPr>
        <w:t>.pdf</w:t>
      </w:r>
    </w:p>
    <w:p w:rsidR="00455485" w:rsidRDefault="00455485" w:rsidP="00455485">
      <w:pPr>
        <w:pStyle w:val="a3"/>
        <w:rPr>
          <w:kern w:val="0"/>
        </w:rPr>
      </w:pPr>
      <w:r>
        <w:rPr>
          <w:kern w:val="0"/>
        </w:rPr>
        <w:lastRenderedPageBreak/>
        <w:t>Abstract: Background The burden</w:t>
      </w:r>
      <w:r w:rsidR="00427468">
        <w:rPr>
          <w:kern w:val="0"/>
        </w:rPr>
        <w:t xml:space="preserve"> of </w:t>
      </w:r>
      <w:r>
        <w:rPr>
          <w:kern w:val="0"/>
        </w:rPr>
        <w:t>hepatitis C (HCV) treatment is growing, as is the political resolve to tackle the epidemic. Primary care will need to work more closely with secondary care to succeed in reducing the prevalence</w:t>
      </w:r>
      <w:r w:rsidR="00427468">
        <w:rPr>
          <w:kern w:val="0"/>
        </w:rPr>
        <w:t xml:space="preserve"> of </w:t>
      </w:r>
      <w:r>
        <w:rPr>
          <w:kern w:val="0"/>
        </w:rPr>
        <w:t>chronic HCV. Aim To identify research relating to the provision</w:t>
      </w:r>
      <w:r w:rsidR="00427468">
        <w:rPr>
          <w:kern w:val="0"/>
        </w:rPr>
        <w:t xml:space="preserve"> of </w:t>
      </w:r>
      <w:r>
        <w:rPr>
          <w:kern w:val="0"/>
        </w:rPr>
        <w:t>antiviral treatment for HCV in primary care. Design</w:t>
      </w:r>
      <w:r w:rsidR="005853A9">
        <w:rPr>
          <w:kern w:val="0"/>
        </w:rPr>
        <w:t xml:space="preserve"> and </w:t>
      </w:r>
      <w:r>
        <w:rPr>
          <w:kern w:val="0"/>
        </w:rPr>
        <w:t>setting A narrative systematic review</w:t>
      </w:r>
      <w:r w:rsidR="00427468">
        <w:rPr>
          <w:kern w:val="0"/>
        </w:rPr>
        <w:t xml:space="preserve"> of </w:t>
      </w:r>
      <w:r>
        <w:rPr>
          <w:kern w:val="0"/>
        </w:rPr>
        <w:t>six databases. Method Medline, Embase, Cinahl, PsycINFO, Web</w:t>
      </w:r>
      <w:r w:rsidR="00427468">
        <w:rPr>
          <w:kern w:val="0"/>
        </w:rPr>
        <w:t xml:space="preserve"> of </w:t>
      </w:r>
      <w:r>
        <w:rPr>
          <w:kern w:val="0"/>
        </w:rPr>
        <w:t>Science,</w:t>
      </w:r>
      <w:r w:rsidR="005853A9">
        <w:rPr>
          <w:kern w:val="0"/>
        </w:rPr>
        <w:t xml:space="preserve"> and </w:t>
      </w:r>
      <w:r>
        <w:rPr>
          <w:kern w:val="0"/>
        </w:rPr>
        <w:t>Cochrane were searched. Relevant journals were searched by hand for articles to be included in the review. Reference lists</w:t>
      </w:r>
      <w:r w:rsidR="00427468">
        <w:rPr>
          <w:kern w:val="0"/>
        </w:rPr>
        <w:t xml:space="preserve"> of </w:t>
      </w:r>
      <w:r>
        <w:rPr>
          <w:kern w:val="0"/>
        </w:rPr>
        <w:t>relevant papers were reviewed</w:t>
      </w:r>
      <w:r w:rsidR="005853A9">
        <w:rPr>
          <w:kern w:val="0"/>
        </w:rPr>
        <w:t xml:space="preserve"> and </w:t>
      </w:r>
      <w:r>
        <w:rPr>
          <w:kern w:val="0"/>
        </w:rPr>
        <w:t>full-text papers were retrieved for those deemed to potentially fulfil the inclusion criteria</w:t>
      </w:r>
      <w:r w:rsidR="00427468">
        <w:rPr>
          <w:kern w:val="0"/>
        </w:rPr>
        <w:t xml:space="preserve"> of </w:t>
      </w:r>
      <w:r>
        <w:rPr>
          <w:kern w:val="0"/>
        </w:rPr>
        <w:t>the review. Results A total</w:t>
      </w:r>
      <w:r w:rsidR="00427468">
        <w:rPr>
          <w:kern w:val="0"/>
        </w:rPr>
        <w:t xml:space="preserve"> of </w:t>
      </w:r>
      <w:r>
        <w:rPr>
          <w:kern w:val="0"/>
        </w:rPr>
        <w:t>683 abstracts led to 77 full-text articles being retrieved,</w:t>
      </w:r>
      <w:r w:rsidR="00427468">
        <w:rPr>
          <w:kern w:val="0"/>
        </w:rPr>
        <w:t xml:space="preserve"> of </w:t>
      </w:r>
      <w:r>
        <w:rPr>
          <w:kern w:val="0"/>
        </w:rPr>
        <w:t>which 16 were finally included in the review. An evidence base emerged, highlighting that community-based antiviral treatment provision is feasible</w:t>
      </w:r>
      <w:r w:rsidR="005853A9">
        <w:rPr>
          <w:kern w:val="0"/>
        </w:rPr>
        <w:t xml:space="preserve"> and </w:t>
      </w:r>
      <w:r>
        <w:rPr>
          <w:kern w:val="0"/>
        </w:rPr>
        <w:t>can result in clinical outcomes comparable to those achieved in hospital outpatient settings. Such provision can be in mainstream general practice, at community addiction centres, or in prisons. GPs must be trained before offering such a service</w:t>
      </w:r>
      <w:r w:rsidR="005853A9">
        <w:rPr>
          <w:kern w:val="0"/>
        </w:rPr>
        <w:t xml:space="preserve"> and </w:t>
      </w:r>
      <w:r>
        <w:rPr>
          <w:kern w:val="0"/>
        </w:rPr>
        <w:t>there is also a need for ongoing specialist supervision</w:t>
      </w:r>
      <w:r w:rsidR="00427468">
        <w:rPr>
          <w:kern w:val="0"/>
        </w:rPr>
        <w:t xml:space="preserve"> of </w:t>
      </w:r>
      <w:r>
        <w:rPr>
          <w:kern w:val="0"/>
        </w:rPr>
        <w:t>primary care practice. Such training</w:t>
      </w:r>
      <w:r w:rsidR="005853A9">
        <w:rPr>
          <w:kern w:val="0"/>
        </w:rPr>
        <w:t xml:space="preserve"> and </w:t>
      </w:r>
      <w:r>
        <w:rPr>
          <w:kern w:val="0"/>
        </w:rPr>
        <w:t>supervision can be delivered by teleconference, although, even with such ready availability</w:t>
      </w:r>
      <w:r w:rsidR="00427468">
        <w:rPr>
          <w:kern w:val="0"/>
        </w:rPr>
        <w:t xml:space="preserve"> of </w:t>
      </w:r>
      <w:r>
        <w:rPr>
          <w:kern w:val="0"/>
        </w:rPr>
        <w:t>training</w:t>
      </w:r>
      <w:r w:rsidR="005853A9">
        <w:rPr>
          <w:kern w:val="0"/>
        </w:rPr>
        <w:t xml:space="preserve"> and </w:t>
      </w:r>
      <w:r>
        <w:rPr>
          <w:kern w:val="0"/>
        </w:rPr>
        <w:t>supervision, only a minority</w:t>
      </w:r>
      <w:r w:rsidR="00427468">
        <w:rPr>
          <w:kern w:val="0"/>
        </w:rPr>
        <w:t xml:space="preserve"> of </w:t>
      </w:r>
      <w:r>
        <w:rPr>
          <w:kern w:val="0"/>
        </w:rPr>
        <w:t>GPs are likely to want to provide antiviral treatment. Conclusion There is emerging evidence supporting the effectiveness</w:t>
      </w:r>
      <w:r w:rsidR="00427468">
        <w:rPr>
          <w:kern w:val="0"/>
        </w:rPr>
        <w:t xml:space="preserve"> of </w:t>
      </w:r>
      <w:r>
        <w:rPr>
          <w:kern w:val="0"/>
        </w:rPr>
        <w:t>antiviral treatment provision for patients with chronic hepatitis C in a wide variety</w:t>
      </w:r>
      <w:r w:rsidR="00427468">
        <w:rPr>
          <w:kern w:val="0"/>
        </w:rPr>
        <w:t xml:space="preserve"> of </w:t>
      </w:r>
      <w:r>
        <w:rPr>
          <w:kern w:val="0"/>
        </w:rPr>
        <w:t>primary care</w:t>
      </w:r>
      <w:r w:rsidR="005853A9">
        <w:rPr>
          <w:kern w:val="0"/>
        </w:rPr>
        <w:t xml:space="preserve"> and </w:t>
      </w:r>
      <w:r>
        <w:rPr>
          <w:kern w:val="0"/>
        </w:rPr>
        <w:t>wider community settings. Training</w:t>
      </w:r>
      <w:r w:rsidR="005853A9">
        <w:rPr>
          <w:kern w:val="0"/>
        </w:rPr>
        <w:t xml:space="preserve"> and </w:t>
      </w:r>
      <w:r>
        <w:rPr>
          <w:kern w:val="0"/>
        </w:rPr>
        <w:t>ongoing supervision</w:t>
      </w:r>
      <w:r w:rsidR="00427468">
        <w:rPr>
          <w:kern w:val="0"/>
        </w:rPr>
        <w:t xml:space="preserve"> of </w:t>
      </w:r>
      <w:r>
        <w:rPr>
          <w:kern w:val="0"/>
        </w:rPr>
        <w:t>primary care practitioners by specialists is a prerequisite</w:t>
      </w:r>
      <w:r w:rsidR="00A37C1D">
        <w:rPr>
          <w:kern w:val="0"/>
        </w:rPr>
        <w:t>. The</w:t>
      </w:r>
      <w:r>
        <w:rPr>
          <w:kern w:val="0"/>
        </w:rPr>
        <w:t>re is an opportunity through future research activity to evaluate typologies</w:t>
      </w:r>
      <w:r w:rsidR="00427468">
        <w:rPr>
          <w:kern w:val="0"/>
        </w:rPr>
        <w:t xml:space="preserve"> of </w:t>
      </w:r>
      <w:r>
        <w:rPr>
          <w:kern w:val="0"/>
        </w:rPr>
        <w:t>patients who would be best served by primary care-based treatment</w:t>
      </w:r>
      <w:r w:rsidR="005853A9">
        <w:rPr>
          <w:kern w:val="0"/>
        </w:rPr>
        <w:t xml:space="preserve"> and </w:t>
      </w:r>
      <w:r>
        <w:rPr>
          <w:kern w:val="0"/>
        </w:rPr>
        <w:t>those for whom hospital-based outpatient treatment would be most appropriate.</w:t>
      </w:r>
    </w:p>
    <w:p w:rsidR="00455485" w:rsidRDefault="00455485" w:rsidP="00455485">
      <w:pPr>
        <w:pStyle w:val="a3"/>
        <w:rPr>
          <w:kern w:val="0"/>
        </w:rPr>
      </w:pPr>
      <w:r>
        <w:rPr>
          <w:kern w:val="0"/>
        </w:rPr>
        <w:t>Keywords: Access, Activity, Addiction, Antiviral, Availability, Burden, Care, Chronic, Chronic Hepatitis, Clinical, Clinical Outcomes, Community, Community Based, Criteria, Databases, Drug-Users, Effectiveness, Epidemic, Evidence, General, General Practice, HCV, Hepatitis, Hepatitis C, Hospital, Journals, Medline, Model, National-Survey, Outcomes, Outpatient, Papers, Patients, Pegylated Interferon, Practice, Prevalence, Prevention, Primary, Primary Care, Prisons, Providers, Psycinfo, Reference, Reference Lists, Research, Results, Review, Ribavirin, Science, Service, Settings, Systematic Review, Therapy, Training, Treatment, Virus-Infection, Web</w:t>
      </w:r>
      <w:r w:rsidR="00427468">
        <w:rPr>
          <w:kern w:val="0"/>
        </w:rPr>
        <w:t xml:space="preserve"> of </w:t>
      </w:r>
      <w:r>
        <w:rPr>
          <w:kern w:val="0"/>
        </w:rPr>
        <w:t>Science, Work</w:t>
      </w:r>
    </w:p>
    <w:p w:rsidR="00B27C5D" w:rsidRDefault="00B27C5D" w:rsidP="00B27C5D">
      <w:pPr>
        <w:pStyle w:val="1"/>
      </w:pPr>
      <w:r w:rsidRPr="000B7456">
        <w:br w:type="page"/>
      </w:r>
      <w:bookmarkStart w:id="925" w:name="_Toc420814822"/>
      <w:r>
        <w:lastRenderedPageBreak/>
        <w:t xml:space="preserve">Title: </w:t>
      </w:r>
      <w:r w:rsidRPr="00F82B23">
        <w:t>British Journal</w:t>
      </w:r>
      <w:r w:rsidR="00427468">
        <w:t xml:space="preserve"> of </w:t>
      </w:r>
      <w:r w:rsidRPr="00F82B23">
        <w:t>Health Psychology</w:t>
      </w:r>
      <w:bookmarkEnd w:id="925"/>
    </w:p>
    <w:p w:rsidR="00B27C5D" w:rsidRDefault="00B27C5D" w:rsidP="00B27C5D">
      <w:pPr>
        <w:pStyle w:val="12"/>
      </w:pPr>
      <w:r>
        <w:t xml:space="preserve">Full Journal Title: </w:t>
      </w:r>
      <w:r w:rsidRPr="00F82B23">
        <w:rPr>
          <w:iCs/>
          <w:kern w:val="0"/>
        </w:rPr>
        <w:t>British Journal</w:t>
      </w:r>
      <w:r w:rsidR="00427468">
        <w:rPr>
          <w:iCs/>
          <w:kern w:val="0"/>
        </w:rPr>
        <w:t xml:space="preserve"> of </w:t>
      </w:r>
      <w:r w:rsidRPr="00F82B23">
        <w:rPr>
          <w:iCs/>
          <w:kern w:val="0"/>
        </w:rPr>
        <w:t>Health Psychology</w:t>
      </w:r>
    </w:p>
    <w:p w:rsidR="00B27C5D" w:rsidRDefault="00B27C5D" w:rsidP="00B27C5D">
      <w:pPr>
        <w:pStyle w:val="12"/>
      </w:pPr>
      <w:r>
        <w:t xml:space="preserve">ISO Abbreviated Title: </w:t>
      </w:r>
    </w:p>
    <w:p w:rsidR="00B27C5D" w:rsidRDefault="00B27C5D" w:rsidP="00B27C5D">
      <w:pPr>
        <w:pStyle w:val="12"/>
      </w:pPr>
      <w:r>
        <w:t xml:space="preserve">JCR Abbreviated Title: </w:t>
      </w:r>
    </w:p>
    <w:p w:rsidR="00B27C5D" w:rsidRDefault="00B27C5D" w:rsidP="00B27C5D">
      <w:pPr>
        <w:pStyle w:val="12"/>
      </w:pPr>
      <w:r>
        <w:t xml:space="preserve">ISSN: </w:t>
      </w:r>
    </w:p>
    <w:p w:rsidR="00B27C5D" w:rsidRDefault="00B27C5D" w:rsidP="00B27C5D">
      <w:pPr>
        <w:pStyle w:val="12"/>
      </w:pPr>
      <w:r>
        <w:t xml:space="preserve">Issues/Year: </w:t>
      </w:r>
    </w:p>
    <w:p w:rsidR="00B27C5D" w:rsidRDefault="00B27C5D" w:rsidP="00B27C5D">
      <w:pPr>
        <w:pStyle w:val="12"/>
      </w:pPr>
      <w:r>
        <w:t xml:space="preserve">Journal Country/Territory: </w:t>
      </w:r>
    </w:p>
    <w:p w:rsidR="00B27C5D" w:rsidRDefault="00B27C5D" w:rsidP="00B27C5D">
      <w:pPr>
        <w:pStyle w:val="12"/>
      </w:pPr>
      <w:r>
        <w:t xml:space="preserve">Language: </w:t>
      </w:r>
    </w:p>
    <w:p w:rsidR="00B27C5D" w:rsidRDefault="00B27C5D" w:rsidP="00B27C5D">
      <w:pPr>
        <w:pStyle w:val="12"/>
      </w:pPr>
      <w:r>
        <w:t xml:space="preserve">Publisher: </w:t>
      </w:r>
    </w:p>
    <w:p w:rsidR="00B27C5D" w:rsidRDefault="00B27C5D" w:rsidP="00B27C5D">
      <w:pPr>
        <w:pStyle w:val="12"/>
      </w:pPr>
      <w:r>
        <w:t xml:space="preserve">Publisher Address: </w:t>
      </w:r>
    </w:p>
    <w:p w:rsidR="00B27C5D" w:rsidRDefault="00B27C5D" w:rsidP="00B27C5D">
      <w:pPr>
        <w:pStyle w:val="12"/>
      </w:pPr>
      <w:r>
        <w:t>Subject Categories:</w:t>
      </w:r>
    </w:p>
    <w:p w:rsidR="00B27C5D" w:rsidRDefault="00B27C5D" w:rsidP="00B27C5D">
      <w:pPr>
        <w:pStyle w:val="12"/>
      </w:pPr>
      <w:r>
        <w:t xml:space="preserve">: Impact Factor </w:t>
      </w:r>
    </w:p>
    <w:p w:rsidR="00B27C5D" w:rsidRDefault="00B27C5D" w:rsidP="00B27C5D">
      <w:pPr>
        <w:pStyle w:val="a3"/>
        <w:rPr>
          <w:kern w:val="0"/>
        </w:rPr>
      </w:pPr>
      <w:r>
        <w:rPr>
          <w:rFonts w:hint="eastAsia"/>
          <w:kern w:val="0"/>
        </w:rPr>
        <w:t xml:space="preserve">? </w:t>
      </w:r>
      <w:r>
        <w:rPr>
          <w:kern w:val="0"/>
        </w:rPr>
        <w:t>Bish, A.</w:t>
      </w:r>
      <w:r w:rsidR="005853A9">
        <w:rPr>
          <w:kern w:val="0"/>
        </w:rPr>
        <w:t xml:space="preserve"> and </w:t>
      </w:r>
      <w:r>
        <w:rPr>
          <w:kern w:val="0"/>
        </w:rPr>
        <w:t>Michie, S. (2010), Demographic</w:t>
      </w:r>
      <w:r w:rsidR="005853A9">
        <w:rPr>
          <w:kern w:val="0"/>
        </w:rPr>
        <w:t xml:space="preserve"> and </w:t>
      </w:r>
      <w:r>
        <w:rPr>
          <w:kern w:val="0"/>
        </w:rPr>
        <w:t>attitudinal determinants</w:t>
      </w:r>
      <w:r w:rsidR="00427468">
        <w:rPr>
          <w:kern w:val="0"/>
        </w:rPr>
        <w:t xml:space="preserve"> of </w:t>
      </w:r>
      <w:r>
        <w:rPr>
          <w:kern w:val="0"/>
        </w:rPr>
        <w:t xml:space="preserve">protective behaviours during a pandemic: A review. </w:t>
      </w:r>
      <w:r w:rsidRPr="00F82B23">
        <w:rPr>
          <w:i/>
          <w:iCs/>
          <w:kern w:val="0"/>
        </w:rPr>
        <w:t>British Journal</w:t>
      </w:r>
      <w:r w:rsidR="00427468">
        <w:rPr>
          <w:i/>
          <w:iCs/>
          <w:kern w:val="0"/>
        </w:rPr>
        <w:t xml:space="preserve"> of </w:t>
      </w:r>
      <w:r w:rsidRPr="00F82B23">
        <w:rPr>
          <w:i/>
          <w:iCs/>
          <w:kern w:val="0"/>
        </w:rPr>
        <w:t>Health Psychology</w:t>
      </w:r>
      <w:r>
        <w:rPr>
          <w:kern w:val="0"/>
        </w:rPr>
        <w:t xml:space="preserve">, </w:t>
      </w:r>
      <w:r>
        <w:rPr>
          <w:b/>
          <w:bCs/>
          <w:kern w:val="0"/>
        </w:rPr>
        <w:t>15</w:t>
      </w:r>
      <w:r>
        <w:rPr>
          <w:kern w:val="0"/>
        </w:rPr>
        <w:t>, 797-824.</w:t>
      </w:r>
    </w:p>
    <w:p w:rsidR="00B27C5D" w:rsidRDefault="00B27C5D" w:rsidP="00B27C5D">
      <w:pPr>
        <w:pStyle w:val="a3"/>
        <w:rPr>
          <w:kern w:val="0"/>
        </w:rPr>
      </w:pPr>
      <w:r>
        <w:rPr>
          <w:kern w:val="0"/>
        </w:rPr>
        <w:t>Abstract: Purpose. A new strain</w:t>
      </w:r>
      <w:r w:rsidR="00427468">
        <w:rPr>
          <w:kern w:val="0"/>
        </w:rPr>
        <w:t xml:space="preserve"> of </w:t>
      </w:r>
      <w:r>
        <w:rPr>
          <w:kern w:val="0"/>
        </w:rPr>
        <w:t>H1N1 influenza, also known as swine flu was confirmed in</w:t>
      </w:r>
      <w:r w:rsidR="003A1917">
        <w:rPr>
          <w:kern w:val="0"/>
        </w:rPr>
        <w:t xml:space="preserve"> the </w:t>
      </w:r>
      <w:r>
        <w:rPr>
          <w:kern w:val="0"/>
        </w:rPr>
        <w:t>UK in May 2009</w:t>
      </w:r>
      <w:r w:rsidR="005853A9">
        <w:rPr>
          <w:kern w:val="0"/>
        </w:rPr>
        <w:t xml:space="preserve"> and </w:t>
      </w:r>
      <w:r>
        <w:rPr>
          <w:kern w:val="0"/>
        </w:rPr>
        <w:t>has spread to over 100 countries around</w:t>
      </w:r>
      <w:r w:rsidR="003A1917">
        <w:rPr>
          <w:kern w:val="0"/>
        </w:rPr>
        <w:t xml:space="preserve"> the </w:t>
      </w:r>
      <w:r>
        <w:rPr>
          <w:kern w:val="0"/>
        </w:rPr>
        <w:t>world causing</w:t>
      </w:r>
      <w:r w:rsidR="003A1917">
        <w:rPr>
          <w:kern w:val="0"/>
        </w:rPr>
        <w:t xml:space="preserve"> the </w:t>
      </w:r>
      <w:r>
        <w:rPr>
          <w:kern w:val="0"/>
        </w:rPr>
        <w:t>World Health Organization to declare a global flu pandemic</w:t>
      </w:r>
      <w:r w:rsidR="00A37C1D">
        <w:rPr>
          <w:kern w:val="0"/>
        </w:rPr>
        <w:t>. The</w:t>
      </w:r>
      <w:r w:rsidR="003A1917">
        <w:rPr>
          <w:kern w:val="0"/>
        </w:rPr>
        <w:t xml:space="preserve"> </w:t>
      </w:r>
      <w:r>
        <w:rPr>
          <w:kern w:val="0"/>
        </w:rPr>
        <w:t>primary objectives</w:t>
      </w:r>
      <w:r w:rsidR="00427468">
        <w:rPr>
          <w:kern w:val="0"/>
        </w:rPr>
        <w:t xml:space="preserve"> of </w:t>
      </w:r>
      <w:r>
        <w:rPr>
          <w:kern w:val="0"/>
        </w:rPr>
        <w:t>this review are to identify</w:t>
      </w:r>
      <w:r w:rsidR="003A1917">
        <w:rPr>
          <w:kern w:val="0"/>
        </w:rPr>
        <w:t xml:space="preserve"> the </w:t>
      </w:r>
      <w:r>
        <w:rPr>
          <w:kern w:val="0"/>
        </w:rPr>
        <w:t>key demographic</w:t>
      </w:r>
      <w:r w:rsidR="005853A9">
        <w:rPr>
          <w:kern w:val="0"/>
        </w:rPr>
        <w:t xml:space="preserve"> and </w:t>
      </w:r>
      <w:r>
        <w:rPr>
          <w:kern w:val="0"/>
        </w:rPr>
        <w:t>attitudinal determinants</w:t>
      </w:r>
      <w:r w:rsidR="00427468">
        <w:rPr>
          <w:kern w:val="0"/>
        </w:rPr>
        <w:t xml:space="preserve"> of </w:t>
      </w:r>
      <w:r>
        <w:rPr>
          <w:kern w:val="0"/>
        </w:rPr>
        <w:t>three types</w:t>
      </w:r>
      <w:r w:rsidR="00427468">
        <w:rPr>
          <w:kern w:val="0"/>
        </w:rPr>
        <w:t xml:space="preserve"> of </w:t>
      </w:r>
      <w:r>
        <w:rPr>
          <w:kern w:val="0"/>
        </w:rPr>
        <w:t>protective behaviour during a pandemic: preventive, avoidant,</w:t>
      </w:r>
      <w:r w:rsidR="005853A9">
        <w:rPr>
          <w:kern w:val="0"/>
        </w:rPr>
        <w:t xml:space="preserve"> and </w:t>
      </w:r>
      <w:r>
        <w:rPr>
          <w:kern w:val="0"/>
        </w:rPr>
        <w:t>management</w:t>
      </w:r>
      <w:r w:rsidR="00427468">
        <w:rPr>
          <w:kern w:val="0"/>
        </w:rPr>
        <w:t xml:space="preserve"> of </w:t>
      </w:r>
      <w:r>
        <w:rPr>
          <w:kern w:val="0"/>
        </w:rPr>
        <w:t>illness behaviours, in order to describe conceptual frameworks in which to better understand these behaviours</w:t>
      </w:r>
      <w:r w:rsidR="005853A9">
        <w:rPr>
          <w:kern w:val="0"/>
        </w:rPr>
        <w:t xml:space="preserve"> and </w:t>
      </w:r>
      <w:r>
        <w:rPr>
          <w:kern w:val="0"/>
        </w:rPr>
        <w:t>to inform future communications</w:t>
      </w:r>
      <w:r w:rsidR="005853A9">
        <w:rPr>
          <w:kern w:val="0"/>
        </w:rPr>
        <w:t xml:space="preserve"> and </w:t>
      </w:r>
      <w:r>
        <w:rPr>
          <w:kern w:val="0"/>
        </w:rPr>
        <w:t>interventions in</w:t>
      </w:r>
      <w:r w:rsidR="003A1917">
        <w:rPr>
          <w:kern w:val="0"/>
        </w:rPr>
        <w:t xml:space="preserve"> the </w:t>
      </w:r>
      <w:r>
        <w:rPr>
          <w:kern w:val="0"/>
        </w:rPr>
        <w:t>current outbreak</w:t>
      </w:r>
      <w:r w:rsidR="00427468">
        <w:rPr>
          <w:kern w:val="0"/>
        </w:rPr>
        <w:t xml:space="preserve"> of </w:t>
      </w:r>
      <w:r>
        <w:rPr>
          <w:kern w:val="0"/>
        </w:rPr>
        <w:t>swine flu</w:t>
      </w:r>
      <w:r w:rsidR="005853A9">
        <w:rPr>
          <w:kern w:val="0"/>
        </w:rPr>
        <w:t xml:space="preserve"> and </w:t>
      </w:r>
      <w:r>
        <w:rPr>
          <w:kern w:val="0"/>
        </w:rPr>
        <w:t xml:space="preserve">subsequent influenza pandemics. Methods. </w:t>
      </w:r>
      <w:r w:rsidR="00D5664A">
        <w:rPr>
          <w:kern w:val="0"/>
        </w:rPr>
        <w:t>Web</w:t>
      </w:r>
      <w:r w:rsidR="00427468">
        <w:rPr>
          <w:kern w:val="0"/>
        </w:rPr>
        <w:t xml:space="preserve"> of </w:t>
      </w:r>
      <w:r w:rsidR="00D5664A">
        <w:rPr>
          <w:kern w:val="0"/>
        </w:rPr>
        <w:t>Science</w:t>
      </w:r>
      <w:r w:rsidR="005853A9">
        <w:rPr>
          <w:kern w:val="0"/>
        </w:rPr>
        <w:t xml:space="preserve"> and </w:t>
      </w:r>
      <w:r w:rsidR="002C12F0">
        <w:rPr>
          <w:kern w:val="0"/>
        </w:rPr>
        <w:t>PUBMED</w:t>
      </w:r>
      <w:r>
        <w:rPr>
          <w:kern w:val="0"/>
        </w:rPr>
        <w:t xml:space="preserve"> databases were searched for references to papers on severe acute respiratory syndrome, avian influenza/flu, H5N1, swine influenza/flu, H1N1,</w:t>
      </w:r>
      <w:r w:rsidR="005853A9">
        <w:rPr>
          <w:kern w:val="0"/>
        </w:rPr>
        <w:t xml:space="preserve"> and </w:t>
      </w:r>
      <w:r>
        <w:rPr>
          <w:kern w:val="0"/>
        </w:rPr>
        <w:t>pandemics. Forward searching</w:t>
      </w:r>
      <w:r w:rsidR="00427468">
        <w:rPr>
          <w:kern w:val="0"/>
        </w:rPr>
        <w:t xml:space="preserve"> of </w:t>
      </w:r>
      <w:r w:rsidR="003A1917">
        <w:rPr>
          <w:kern w:val="0"/>
        </w:rPr>
        <w:t xml:space="preserve">the </w:t>
      </w:r>
      <w:r>
        <w:rPr>
          <w:kern w:val="0"/>
        </w:rPr>
        <w:t>identified references was also carried out. In addition, references were gleaned from an expert panel</w:t>
      </w:r>
      <w:r w:rsidR="00427468">
        <w:rPr>
          <w:kern w:val="0"/>
        </w:rPr>
        <w:t xml:space="preserve"> of </w:t>
      </w:r>
      <w:r w:rsidR="003A1917">
        <w:rPr>
          <w:kern w:val="0"/>
        </w:rPr>
        <w:t xml:space="preserve">the </w:t>
      </w:r>
      <w:r>
        <w:rPr>
          <w:kern w:val="0"/>
        </w:rPr>
        <w:t>Behaviour</w:t>
      </w:r>
      <w:r w:rsidR="005853A9">
        <w:rPr>
          <w:kern w:val="0"/>
        </w:rPr>
        <w:t xml:space="preserve"> and </w:t>
      </w:r>
      <w:r>
        <w:rPr>
          <w:kern w:val="0"/>
        </w:rPr>
        <w:t>Communications sub-group</w:t>
      </w:r>
      <w:r w:rsidR="00427468">
        <w:rPr>
          <w:kern w:val="0"/>
        </w:rPr>
        <w:t xml:space="preserve"> of </w:t>
      </w:r>
      <w:r w:rsidR="003A1917">
        <w:rPr>
          <w:kern w:val="0"/>
        </w:rPr>
        <w:t xml:space="preserve">the </w:t>
      </w:r>
      <w:r>
        <w:rPr>
          <w:kern w:val="0"/>
        </w:rPr>
        <w:t>UK Scientific Pandemic Influenza Advisory Group. Papers were included if they reported associations between demographic factors, attitudes,</w:t>
      </w:r>
      <w:r w:rsidR="005853A9">
        <w:rPr>
          <w:kern w:val="0"/>
        </w:rPr>
        <w:t xml:space="preserve"> and </w:t>
      </w:r>
      <w:r>
        <w:rPr>
          <w:kern w:val="0"/>
        </w:rPr>
        <w:t>a behavioural measure (reported, intended, or actual behaviour). Results. Twenty-six papers were identified that met</w:t>
      </w:r>
      <w:r w:rsidR="003A1917">
        <w:rPr>
          <w:kern w:val="0"/>
        </w:rPr>
        <w:t xml:space="preserve"> the </w:t>
      </w:r>
      <w:r>
        <w:rPr>
          <w:kern w:val="0"/>
        </w:rPr>
        <w:t>study inclusion criteria</w:t>
      </w:r>
      <w:r w:rsidR="00A37C1D">
        <w:rPr>
          <w:kern w:val="0"/>
        </w:rPr>
        <w:t>. The</w:t>
      </w:r>
      <w:r w:rsidR="003A1917">
        <w:rPr>
          <w:kern w:val="0"/>
        </w:rPr>
        <w:t xml:space="preserve"> </w:t>
      </w:r>
      <w:r>
        <w:rPr>
          <w:kern w:val="0"/>
        </w:rPr>
        <w:t>studies were</w:t>
      </w:r>
      <w:r w:rsidR="00427468">
        <w:rPr>
          <w:kern w:val="0"/>
        </w:rPr>
        <w:t xml:space="preserve"> of </w:t>
      </w:r>
      <w:r>
        <w:rPr>
          <w:kern w:val="0"/>
        </w:rPr>
        <w:t>variable quality</w:t>
      </w:r>
      <w:r w:rsidR="005853A9">
        <w:rPr>
          <w:kern w:val="0"/>
        </w:rPr>
        <w:t xml:space="preserve"> and </w:t>
      </w:r>
      <w:r>
        <w:rPr>
          <w:kern w:val="0"/>
        </w:rPr>
        <w:t>most lacked an explicit theoretical framework. Most were cross-sectional in design</w:t>
      </w:r>
      <w:r w:rsidR="005853A9">
        <w:rPr>
          <w:kern w:val="0"/>
        </w:rPr>
        <w:t xml:space="preserve"> and </w:t>
      </w:r>
      <w:r>
        <w:rPr>
          <w:kern w:val="0"/>
        </w:rPr>
        <w:t>therefore not predictive over time</w:t>
      </w:r>
      <w:r w:rsidR="00A37C1D">
        <w:rPr>
          <w:kern w:val="0"/>
        </w:rPr>
        <w:t>. The</w:t>
      </w:r>
      <w:r w:rsidR="003A1917">
        <w:rPr>
          <w:kern w:val="0"/>
        </w:rPr>
        <w:t xml:space="preserve"> </w:t>
      </w:r>
      <w:r>
        <w:rPr>
          <w:kern w:val="0"/>
        </w:rPr>
        <w:t>research shows that there are demographic differences in behaviour: being older, female</w:t>
      </w:r>
      <w:r w:rsidR="005853A9">
        <w:rPr>
          <w:kern w:val="0"/>
        </w:rPr>
        <w:t xml:space="preserve"> and </w:t>
      </w:r>
      <w:r>
        <w:rPr>
          <w:kern w:val="0"/>
        </w:rPr>
        <w:t>more educated, or non-White, is associated with a higher chance</w:t>
      </w:r>
      <w:r w:rsidR="00427468">
        <w:rPr>
          <w:kern w:val="0"/>
        </w:rPr>
        <w:t xml:space="preserve"> of </w:t>
      </w:r>
      <w:r>
        <w:rPr>
          <w:kern w:val="0"/>
        </w:rPr>
        <w:t>adopting</w:t>
      </w:r>
      <w:r w:rsidR="003A1917">
        <w:rPr>
          <w:kern w:val="0"/>
        </w:rPr>
        <w:t xml:space="preserve"> the </w:t>
      </w:r>
      <w:r>
        <w:rPr>
          <w:kern w:val="0"/>
        </w:rPr>
        <w:t>behaviours</w:t>
      </w:r>
      <w:r w:rsidR="00A37C1D">
        <w:rPr>
          <w:kern w:val="0"/>
        </w:rPr>
        <w:t>. The</w:t>
      </w:r>
      <w:r>
        <w:rPr>
          <w:kern w:val="0"/>
        </w:rPr>
        <w:t>re is evidence that greater levels</w:t>
      </w:r>
      <w:r w:rsidR="00427468">
        <w:rPr>
          <w:kern w:val="0"/>
        </w:rPr>
        <w:t xml:space="preserve"> of </w:t>
      </w:r>
      <w:r>
        <w:rPr>
          <w:kern w:val="0"/>
        </w:rPr>
        <w:t>perceived susceptibility to</w:t>
      </w:r>
      <w:r w:rsidR="005853A9">
        <w:rPr>
          <w:kern w:val="0"/>
        </w:rPr>
        <w:t xml:space="preserve"> and </w:t>
      </w:r>
      <w:r>
        <w:rPr>
          <w:kern w:val="0"/>
        </w:rPr>
        <w:t>perceived severity</w:t>
      </w:r>
      <w:r w:rsidR="00427468">
        <w:rPr>
          <w:kern w:val="0"/>
        </w:rPr>
        <w:t xml:space="preserve"> of </w:t>
      </w:r>
      <w:r w:rsidR="003A1917">
        <w:rPr>
          <w:kern w:val="0"/>
        </w:rPr>
        <w:lastRenderedPageBreak/>
        <w:t xml:space="preserve">the </w:t>
      </w:r>
      <w:r>
        <w:rPr>
          <w:kern w:val="0"/>
        </w:rPr>
        <w:t>diseases</w:t>
      </w:r>
      <w:r w:rsidR="005853A9">
        <w:rPr>
          <w:kern w:val="0"/>
        </w:rPr>
        <w:t xml:space="preserve"> and </w:t>
      </w:r>
      <w:r>
        <w:rPr>
          <w:kern w:val="0"/>
        </w:rPr>
        <w:t>greater belief in</w:t>
      </w:r>
      <w:r w:rsidR="003A1917">
        <w:rPr>
          <w:kern w:val="0"/>
        </w:rPr>
        <w:t xml:space="preserve"> the </w:t>
      </w:r>
      <w:r>
        <w:rPr>
          <w:kern w:val="0"/>
        </w:rPr>
        <w:t>effectiveness</w:t>
      </w:r>
      <w:r w:rsidR="00427468">
        <w:rPr>
          <w:kern w:val="0"/>
        </w:rPr>
        <w:t xml:space="preserve"> of </w:t>
      </w:r>
      <w:r>
        <w:rPr>
          <w:kern w:val="0"/>
        </w:rPr>
        <w:t>recommended behaviours to protect against</w:t>
      </w:r>
      <w:r w:rsidR="003A1917">
        <w:rPr>
          <w:kern w:val="0"/>
        </w:rPr>
        <w:t xml:space="preserve"> the </w:t>
      </w:r>
      <w:r>
        <w:rPr>
          <w:kern w:val="0"/>
        </w:rPr>
        <w:t>disease are important predictors</w:t>
      </w:r>
      <w:r w:rsidR="00427468">
        <w:rPr>
          <w:kern w:val="0"/>
        </w:rPr>
        <w:t xml:space="preserve"> of </w:t>
      </w:r>
      <w:r>
        <w:rPr>
          <w:kern w:val="0"/>
        </w:rPr>
        <w:t>behaviour</w:t>
      </w:r>
      <w:r w:rsidR="00A37C1D">
        <w:rPr>
          <w:kern w:val="0"/>
        </w:rPr>
        <w:t>. The</w:t>
      </w:r>
      <w:r>
        <w:rPr>
          <w:kern w:val="0"/>
        </w:rPr>
        <w:t>re is also evidence that greater levels</w:t>
      </w:r>
      <w:r w:rsidR="00427468">
        <w:rPr>
          <w:kern w:val="0"/>
        </w:rPr>
        <w:t xml:space="preserve"> of </w:t>
      </w:r>
      <w:r>
        <w:rPr>
          <w:kern w:val="0"/>
        </w:rPr>
        <w:t>state anxiety</w:t>
      </w:r>
      <w:r w:rsidR="005853A9">
        <w:rPr>
          <w:kern w:val="0"/>
        </w:rPr>
        <w:t xml:space="preserve"> and </w:t>
      </w:r>
      <w:r>
        <w:rPr>
          <w:kern w:val="0"/>
        </w:rPr>
        <w:t>greater trust in authorities are associated with behaviour. Conclusions</w:t>
      </w:r>
      <w:r w:rsidR="00A37C1D">
        <w:rPr>
          <w:kern w:val="0"/>
        </w:rPr>
        <w:t>. The</w:t>
      </w:r>
      <w:r w:rsidR="003A1917">
        <w:rPr>
          <w:kern w:val="0"/>
        </w:rPr>
        <w:t xml:space="preserve"> </w:t>
      </w:r>
      <w:r>
        <w:rPr>
          <w:kern w:val="0"/>
        </w:rPr>
        <w:t>findings from this review can be broadly explained by theories</w:t>
      </w:r>
      <w:r w:rsidR="00427468">
        <w:rPr>
          <w:kern w:val="0"/>
        </w:rPr>
        <w:t xml:space="preserve"> of </w:t>
      </w:r>
      <w:r>
        <w:rPr>
          <w:kern w:val="0"/>
        </w:rPr>
        <w:t>health behaviour. However, theoretically driven prospective studies are required to further clarify</w:t>
      </w:r>
      <w:r w:rsidR="003A1917">
        <w:rPr>
          <w:kern w:val="0"/>
        </w:rPr>
        <w:t xml:space="preserve"> the </w:t>
      </w:r>
      <w:r>
        <w:rPr>
          <w:kern w:val="0"/>
        </w:rPr>
        <w:t>relationship between demographic factors, attitudes,</w:t>
      </w:r>
      <w:r w:rsidR="005853A9">
        <w:rPr>
          <w:kern w:val="0"/>
        </w:rPr>
        <w:t xml:space="preserve"> and </w:t>
      </w:r>
      <w:r>
        <w:rPr>
          <w:kern w:val="0"/>
        </w:rPr>
        <w:t>behaviour</w:t>
      </w:r>
      <w:r w:rsidR="00A37C1D">
        <w:rPr>
          <w:kern w:val="0"/>
        </w:rPr>
        <w:t>. The</w:t>
      </w:r>
      <w:r w:rsidR="003A1917">
        <w:rPr>
          <w:kern w:val="0"/>
        </w:rPr>
        <w:t xml:space="preserve"> </w:t>
      </w:r>
      <w:r>
        <w:rPr>
          <w:kern w:val="0"/>
        </w:rPr>
        <w:t>findings suggest that intervention studies</w:t>
      </w:r>
      <w:r w:rsidR="005853A9">
        <w:rPr>
          <w:kern w:val="0"/>
        </w:rPr>
        <w:t xml:space="preserve"> and </w:t>
      </w:r>
      <w:r>
        <w:rPr>
          <w:kern w:val="0"/>
        </w:rPr>
        <w:t>communication strategies should focus on particular demographic groups</w:t>
      </w:r>
      <w:r w:rsidR="005853A9">
        <w:rPr>
          <w:kern w:val="0"/>
        </w:rPr>
        <w:t xml:space="preserve"> and </w:t>
      </w:r>
      <w:r>
        <w:rPr>
          <w:kern w:val="0"/>
        </w:rPr>
        <w:t>on raising levels</w:t>
      </w:r>
      <w:r w:rsidR="00427468">
        <w:rPr>
          <w:kern w:val="0"/>
        </w:rPr>
        <w:t xml:space="preserve"> of </w:t>
      </w:r>
      <w:r>
        <w:rPr>
          <w:kern w:val="0"/>
        </w:rPr>
        <w:t>perceived threat</w:t>
      </w:r>
      <w:r w:rsidR="00427468">
        <w:rPr>
          <w:kern w:val="0"/>
        </w:rPr>
        <w:t xml:space="preserve"> of </w:t>
      </w:r>
      <w:r w:rsidR="003A1917">
        <w:rPr>
          <w:kern w:val="0"/>
        </w:rPr>
        <w:t xml:space="preserve">the </w:t>
      </w:r>
      <w:r>
        <w:rPr>
          <w:kern w:val="0"/>
        </w:rPr>
        <w:t>pandemic disease</w:t>
      </w:r>
      <w:r w:rsidR="005853A9">
        <w:rPr>
          <w:kern w:val="0"/>
        </w:rPr>
        <w:t xml:space="preserve"> and </w:t>
      </w:r>
      <w:r>
        <w:rPr>
          <w:kern w:val="0"/>
        </w:rPr>
        <w:t>belief in</w:t>
      </w:r>
      <w:r w:rsidR="003A1917">
        <w:rPr>
          <w:kern w:val="0"/>
        </w:rPr>
        <w:t xml:space="preserve"> the </w:t>
      </w:r>
      <w:r>
        <w:rPr>
          <w:kern w:val="0"/>
        </w:rPr>
        <w:t>effectiveness</w:t>
      </w:r>
      <w:r w:rsidR="00427468">
        <w:rPr>
          <w:kern w:val="0"/>
        </w:rPr>
        <w:t xml:space="preserve"> of </w:t>
      </w:r>
      <w:r>
        <w:rPr>
          <w:kern w:val="0"/>
        </w:rPr>
        <w:t>measures designed to protect against it.</w:t>
      </w:r>
    </w:p>
    <w:p w:rsidR="00B27C5D" w:rsidRDefault="00B27C5D" w:rsidP="00B27C5D">
      <w:pPr>
        <w:pStyle w:val="a3"/>
        <w:rPr>
          <w:kern w:val="0"/>
        </w:rPr>
      </w:pPr>
      <w:r>
        <w:rPr>
          <w:kern w:val="0"/>
        </w:rPr>
        <w:t xml:space="preserve">Keywords: Acute Respiratory Syndrome, Anxiety, Behaviour, Chinese, Communication, Databases, Determinants, Disease, Effectiveness, General-Population, H1N1, H1N1 Influenza, Health, Health Behaviors, Health Behaviour, Hong-Kong, Human Avian Influenza, Influenza, Intervention, Intervention Studies, Interventions, Management, Methods, Outbreak Control, Papers, Primary, Prospective Studies, </w:t>
      </w:r>
      <w:r w:rsidR="002C12F0">
        <w:rPr>
          <w:kern w:val="0"/>
        </w:rPr>
        <w:t>PUBMED</w:t>
      </w:r>
      <w:r>
        <w:rPr>
          <w:kern w:val="0"/>
        </w:rPr>
        <w:t>, Research, Responses, Review, Risk Perceptions, SARS Outbreak, Science, State Anxiety, Susceptibility, Theories</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3474F2" w:rsidRPr="001A3D2B" w:rsidRDefault="003474F2" w:rsidP="003474F2">
      <w:pPr>
        <w:pStyle w:val="1"/>
      </w:pPr>
      <w:r w:rsidRPr="001A3D2B">
        <w:br w:type="page"/>
      </w:r>
      <w:bookmarkStart w:id="926" w:name="_Toc420814823"/>
      <w:r w:rsidRPr="001A3D2B">
        <w:lastRenderedPageBreak/>
        <w:t xml:space="preserve">Title: </w:t>
      </w:r>
      <w:r w:rsidRPr="001A3D2B">
        <w:rPr>
          <w:iCs w:val="0"/>
        </w:rPr>
        <w:t>British Journal</w:t>
      </w:r>
      <w:r w:rsidR="00427468">
        <w:rPr>
          <w:iCs w:val="0"/>
        </w:rPr>
        <w:t xml:space="preserve"> of </w:t>
      </w:r>
      <w:r w:rsidRPr="001A3D2B">
        <w:rPr>
          <w:iCs w:val="0"/>
        </w:rPr>
        <w:t>Hospital Medicine</w:t>
      </w:r>
      <w:bookmarkEnd w:id="926"/>
    </w:p>
    <w:p w:rsidR="003474F2" w:rsidRPr="001A3D2B" w:rsidRDefault="003474F2" w:rsidP="003474F2">
      <w:pPr>
        <w:pStyle w:val="12"/>
      </w:pPr>
      <w:r w:rsidRPr="001A3D2B">
        <w:t>Full Journal Title: British Journal</w:t>
      </w:r>
      <w:r w:rsidR="00427468">
        <w:t xml:space="preserve"> of </w:t>
      </w:r>
      <w:r w:rsidRPr="001A3D2B">
        <w:t>Hospital Medicine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3474F2"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Leon, R.</w:t>
      </w:r>
      <w:r w:rsidR="005853A9">
        <w:t xml:space="preserve"> and </w:t>
      </w:r>
      <w:r w:rsidRPr="001A3D2B">
        <w:t>Bayat, A. (2007), Part 3: Medical literature</w:t>
      </w:r>
      <w:r w:rsidR="005853A9">
        <w:t xml:space="preserve"> and </w:t>
      </w:r>
      <w:r w:rsidRPr="001A3D2B">
        <w:t xml:space="preserve">impact factors. </w:t>
      </w:r>
      <w:r w:rsidRPr="001A3D2B">
        <w:rPr>
          <w:i/>
          <w:iCs/>
        </w:rPr>
        <w:t>British Journal</w:t>
      </w:r>
      <w:r w:rsidR="00427468">
        <w:rPr>
          <w:i/>
          <w:iCs/>
        </w:rPr>
        <w:t xml:space="preserve"> of </w:t>
      </w:r>
      <w:r w:rsidRPr="001A3D2B">
        <w:rPr>
          <w:i/>
          <w:iCs/>
        </w:rPr>
        <w:t>Hospital Medicine</w:t>
      </w:r>
      <w:r w:rsidRPr="001A3D2B">
        <w:t xml:space="preserve">, </w:t>
      </w:r>
      <w:r w:rsidRPr="001A3D2B">
        <w:rPr>
          <w:b/>
          <w:bCs/>
        </w:rPr>
        <w:t>68</w:t>
      </w:r>
      <w:r w:rsidRPr="001A3D2B">
        <w:t xml:space="preserve"> (2), M24-M25.</w:t>
      </w:r>
    </w:p>
    <w:p w:rsidR="003474F2" w:rsidRPr="001A3D2B" w:rsidRDefault="003474F2" w:rsidP="003474F2">
      <w:pPr>
        <w:pStyle w:val="1"/>
      </w:pPr>
      <w:r w:rsidRPr="001A3D2B">
        <w:br w:type="page"/>
      </w:r>
      <w:bookmarkStart w:id="927" w:name="_Toc420814824"/>
      <w:r w:rsidRPr="001A3D2B">
        <w:lastRenderedPageBreak/>
        <w:t>Title: British Journal</w:t>
      </w:r>
      <w:r w:rsidR="00427468">
        <w:t xml:space="preserve"> of </w:t>
      </w:r>
      <w:r w:rsidRPr="001A3D2B">
        <w:t>Industrial Relations</w:t>
      </w:r>
      <w:bookmarkEnd w:id="927"/>
    </w:p>
    <w:p w:rsidR="003474F2" w:rsidRPr="001A3D2B" w:rsidRDefault="003474F2" w:rsidP="003474F2">
      <w:pPr>
        <w:pStyle w:val="12"/>
      </w:pPr>
      <w:r w:rsidRPr="001A3D2B">
        <w:t xml:space="preserve">Full Journal Title: </w:t>
      </w:r>
      <w:hyperlink r:id="rId1894" w:history="1">
        <w:r w:rsidRPr="001A3D2B">
          <w:rPr>
            <w:rStyle w:val="a5"/>
          </w:rPr>
          <w:t>British Journal</w:t>
        </w:r>
        <w:r w:rsidR="00427468">
          <w:rPr>
            <w:rStyle w:val="a5"/>
          </w:rPr>
          <w:t xml:space="preserve"> of </w:t>
        </w:r>
        <w:r w:rsidRPr="001A3D2B">
          <w:rPr>
            <w:rStyle w:val="a5"/>
          </w:rPr>
          <w:t>Industrial Relations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Notes: JJournal</w:t>
      </w:r>
    </w:p>
    <w:p w:rsidR="003474F2" w:rsidRPr="001A3D2B" w:rsidRDefault="003474F2" w:rsidP="003474F2">
      <w:pPr>
        <w:pStyle w:val="a3"/>
      </w:pPr>
      <w:r w:rsidRPr="001A3D2B">
        <w:t>? McMillan, G.S.</w:t>
      </w:r>
      <w:r w:rsidR="005853A9">
        <w:t xml:space="preserve"> and </w:t>
      </w:r>
      <w:r w:rsidRPr="001A3D2B">
        <w:t>Casey, D.L. (2007), Research note: Identifying</w:t>
      </w:r>
      <w:r w:rsidR="003A1917">
        <w:t xml:space="preserve"> the </w:t>
      </w:r>
      <w:r w:rsidRPr="001A3D2B">
        <w:t>invisible colleges</w:t>
      </w:r>
      <w:r w:rsidR="00427468">
        <w:t xml:space="preserve"> of </w:t>
      </w:r>
      <w:r w:rsidR="003A1917">
        <w:t xml:space="preserve">the </w:t>
      </w:r>
      <w:r w:rsidRPr="001A3D2B">
        <w:rPr>
          <w:i/>
        </w:rPr>
        <w:t>British Journal</w:t>
      </w:r>
      <w:r w:rsidR="00427468">
        <w:rPr>
          <w:i/>
        </w:rPr>
        <w:t xml:space="preserve"> of </w:t>
      </w:r>
      <w:r w:rsidRPr="001A3D2B">
        <w:rPr>
          <w:i/>
        </w:rPr>
        <w:t>Industrial Relations</w:t>
      </w:r>
      <w:r w:rsidRPr="001A3D2B">
        <w:t>: A bibliometric</w:t>
      </w:r>
      <w:r w:rsidR="005853A9">
        <w:t xml:space="preserve"> and </w:t>
      </w:r>
      <w:r w:rsidRPr="001A3D2B">
        <w:t xml:space="preserve">social network approach. </w:t>
      </w:r>
      <w:r w:rsidRPr="001A3D2B">
        <w:rPr>
          <w:i/>
          <w:iCs/>
        </w:rPr>
        <w:t>British Journal</w:t>
      </w:r>
      <w:r w:rsidR="00427468">
        <w:rPr>
          <w:i/>
          <w:iCs/>
        </w:rPr>
        <w:t xml:space="preserve"> of </w:t>
      </w:r>
      <w:r w:rsidRPr="001A3D2B">
        <w:rPr>
          <w:i/>
          <w:iCs/>
        </w:rPr>
        <w:t>Industrial Relations</w:t>
      </w:r>
      <w:r w:rsidRPr="001A3D2B">
        <w:t xml:space="preserve">, </w:t>
      </w:r>
      <w:r w:rsidRPr="001A3D2B">
        <w:rPr>
          <w:b/>
          <w:bCs/>
        </w:rPr>
        <w:t>45</w:t>
      </w:r>
      <w:r w:rsidRPr="001A3D2B">
        <w:t xml:space="preserve"> (4), 815-828.</w:t>
      </w:r>
    </w:p>
    <w:p w:rsidR="003474F2" w:rsidRPr="001A3D2B" w:rsidRDefault="003474F2" w:rsidP="003474F2">
      <w:pPr>
        <w:pStyle w:val="a3"/>
      </w:pPr>
      <w:r w:rsidRPr="001A3D2B">
        <w:t>Abstract:</w:t>
      </w:r>
      <w:r w:rsidR="003A1917">
        <w:t xml:space="preserve"> the </w:t>
      </w:r>
      <w:r w:rsidRPr="001A3D2B">
        <w:t>academic field</w:t>
      </w:r>
      <w:r w:rsidR="00427468">
        <w:t xml:space="preserve"> of </w:t>
      </w:r>
      <w:r w:rsidRPr="001A3D2B">
        <w:t>industrial relations has gone through much change in</w:t>
      </w:r>
      <w:r w:rsidR="003A1917">
        <w:t xml:space="preserve"> the </w:t>
      </w:r>
      <w:r w:rsidRPr="001A3D2B">
        <w:t>last 20 years. On account</w:t>
      </w:r>
      <w:r w:rsidR="00427468">
        <w:t xml:space="preserve"> of </w:t>
      </w:r>
      <w:r w:rsidR="003A1917">
        <w:t xml:space="preserve">the </w:t>
      </w:r>
      <w:r w:rsidRPr="001A3D2B">
        <w:t>rapid decline in union membership in</w:t>
      </w:r>
      <w:r w:rsidR="003A1917">
        <w:t xml:space="preserve"> the </w:t>
      </w:r>
      <w:r w:rsidR="00D5664A">
        <w:t>USA</w:t>
      </w:r>
      <w:r w:rsidR="005853A9">
        <w:t xml:space="preserve"> and </w:t>
      </w:r>
      <w:r w:rsidR="003A1917">
        <w:t xml:space="preserve">the </w:t>
      </w:r>
      <w:r w:rsidR="008E3069">
        <w:t>UK,</w:t>
      </w:r>
      <w:r w:rsidRPr="001A3D2B">
        <w:t xml:space="preserve"> industrial relations, which historically has focused on</w:t>
      </w:r>
      <w:r w:rsidR="003A1917">
        <w:t xml:space="preserve"> the </w:t>
      </w:r>
      <w:r w:rsidRPr="001A3D2B">
        <w:t>employment relationship, has been searching for a new intellectual base. By conducting a bibliometric analysis</w:t>
      </w:r>
      <w:r w:rsidR="00427468">
        <w:t xml:space="preserve"> of </w:t>
      </w:r>
      <w:r w:rsidR="003A1917">
        <w:t xml:space="preserve">the </w:t>
      </w:r>
      <w:r w:rsidRPr="001A3D2B">
        <w:t>journal British Journal</w:t>
      </w:r>
      <w:r w:rsidR="00427468">
        <w:t xml:space="preserve"> of </w:t>
      </w:r>
      <w:r w:rsidRPr="001A3D2B">
        <w:t>Industrial Relations (BJIR), we uncover</w:t>
      </w:r>
      <w:r w:rsidR="003A1917">
        <w:t xml:space="preserve"> the </w:t>
      </w:r>
      <w:r w:rsidRPr="001A3D2B">
        <w:t>intellectual bases for that publication outlet for two time periods, 1986-1995</w:t>
      </w:r>
      <w:r w:rsidR="005853A9">
        <w:t xml:space="preserve"> and </w:t>
      </w:r>
      <w:r w:rsidRPr="001A3D2B">
        <w:t>1996-2005. From</w:t>
      </w:r>
      <w:r w:rsidR="003A1917">
        <w:t xml:space="preserve"> the </w:t>
      </w:r>
      <w:r w:rsidRPr="001A3D2B">
        <w:t>late 1980s to</w:t>
      </w:r>
      <w:r w:rsidR="003A1917">
        <w:t xml:space="preserve"> the </w:t>
      </w:r>
      <w:r w:rsidRPr="001A3D2B">
        <w:t>mid-1990s, BJIR</w:t>
      </w:r>
      <w:r w:rsidR="00700038">
        <w:t>’</w:t>
      </w:r>
      <w:r w:rsidR="00C13DDC">
        <w:t>s</w:t>
      </w:r>
      <w:r w:rsidRPr="001A3D2B">
        <w:t xml:space="preserve"> articles relied on</w:t>
      </w:r>
      <w:r w:rsidR="003A1917">
        <w:t xml:space="preserve"> the </w:t>
      </w:r>
      <w:r w:rsidRPr="001A3D2B">
        <w:t>economics literature, while in</w:t>
      </w:r>
      <w:r w:rsidR="003A1917">
        <w:t xml:space="preserve"> the </w:t>
      </w:r>
      <w:r w:rsidRPr="001A3D2B">
        <w:t>later period, it moved to</w:t>
      </w:r>
      <w:r w:rsidR="003A1917">
        <w:t xml:space="preserve"> the </w:t>
      </w:r>
      <w:r w:rsidRPr="001A3D2B">
        <w:t>human resource</w:t>
      </w:r>
      <w:r w:rsidR="005853A9">
        <w:t xml:space="preserve"> and </w:t>
      </w:r>
      <w:r w:rsidRPr="001A3D2B">
        <w:t>management journals, authors</w:t>
      </w:r>
      <w:r w:rsidR="005853A9">
        <w:t xml:space="preserve"> and </w:t>
      </w:r>
      <w:r w:rsidRPr="001A3D2B">
        <w:t>articles</w:t>
      </w:r>
      <w:r w:rsidR="00A37C1D">
        <w:t>. The</w:t>
      </w:r>
      <w:r w:rsidR="003A1917">
        <w:t xml:space="preserve"> </w:t>
      </w:r>
      <w:r w:rsidRPr="001A3D2B">
        <w:t>possible explanations</w:t>
      </w:r>
      <w:r w:rsidR="005853A9">
        <w:t xml:space="preserve"> and </w:t>
      </w:r>
      <w:r w:rsidRPr="001A3D2B">
        <w:t>implications</w:t>
      </w:r>
      <w:r w:rsidR="00427468">
        <w:t xml:space="preserve"> of </w:t>
      </w:r>
      <w:r w:rsidRPr="001A3D2B">
        <w:t>these findings are discussed.</w:t>
      </w:r>
    </w:p>
    <w:p w:rsidR="003474F2" w:rsidRPr="001A3D2B" w:rsidRDefault="003474F2" w:rsidP="003474F2">
      <w:pPr>
        <w:pStyle w:val="a3"/>
      </w:pPr>
      <w:r w:rsidRPr="001A3D2B">
        <w:t>Keywords: Bibliometric Analysis</w:t>
      </w:r>
    </w:p>
    <w:p w:rsidR="00AE2713" w:rsidRPr="00FC7835" w:rsidRDefault="00AE2713" w:rsidP="00AE2713">
      <w:pPr>
        <w:pStyle w:val="1"/>
      </w:pPr>
      <w:r w:rsidRPr="00FC7835">
        <w:br w:type="page"/>
      </w:r>
      <w:bookmarkStart w:id="928" w:name="_Toc420814825"/>
      <w:r w:rsidRPr="00FC7835">
        <w:lastRenderedPageBreak/>
        <w:t xml:space="preserve">Title: </w:t>
      </w:r>
      <w:r w:rsidRPr="00B00A28">
        <w:t>British Journal</w:t>
      </w:r>
      <w:r w:rsidR="00427468">
        <w:t xml:space="preserve"> of </w:t>
      </w:r>
      <w:r w:rsidRPr="00B00A28">
        <w:t>Management</w:t>
      </w:r>
      <w:bookmarkEnd w:id="928"/>
    </w:p>
    <w:p w:rsidR="00AE2713" w:rsidRDefault="00AE2713" w:rsidP="00AE2713">
      <w:pPr>
        <w:pStyle w:val="12"/>
      </w:pPr>
      <w:r>
        <w:t xml:space="preserve">Full Journal Title: </w:t>
      </w:r>
      <w:r w:rsidRPr="00B00A28">
        <w:rPr>
          <w:iCs/>
          <w:kern w:val="0"/>
        </w:rPr>
        <w:t>British Journal</w:t>
      </w:r>
      <w:r w:rsidR="00427468">
        <w:rPr>
          <w:iCs/>
          <w:kern w:val="0"/>
        </w:rPr>
        <w:t xml:space="preserve"> of </w:t>
      </w:r>
      <w:r w:rsidRPr="00B00A28">
        <w:rPr>
          <w:iCs/>
          <w:kern w:val="0"/>
        </w:rPr>
        <w:t>Management</w:t>
      </w:r>
    </w:p>
    <w:p w:rsidR="00AE2713" w:rsidRPr="00FC7835" w:rsidRDefault="00AE2713" w:rsidP="00AE2713">
      <w:pPr>
        <w:pStyle w:val="12"/>
      </w:pPr>
      <w:r w:rsidRPr="00FC7835">
        <w:t xml:space="preserve">ISO Abbreviated Title: </w:t>
      </w:r>
    </w:p>
    <w:p w:rsidR="00AE2713" w:rsidRPr="00FC7835" w:rsidRDefault="00AE2713" w:rsidP="00AE2713">
      <w:pPr>
        <w:pStyle w:val="12"/>
      </w:pPr>
      <w:r w:rsidRPr="00FC7835">
        <w:t>JCR Abbreviated Title</w:t>
      </w:r>
      <w:r>
        <w:t>:</w:t>
      </w:r>
      <w:r w:rsidRPr="00FC7835">
        <w:t xml:space="preserve"> </w:t>
      </w:r>
    </w:p>
    <w:p w:rsidR="00AE2713" w:rsidRPr="00FC7835" w:rsidRDefault="00AE2713" w:rsidP="00AE2713">
      <w:pPr>
        <w:pStyle w:val="12"/>
      </w:pPr>
      <w:r w:rsidRPr="00FC7835">
        <w:t xml:space="preserve">ISSN: </w:t>
      </w:r>
    </w:p>
    <w:p w:rsidR="00AE2713" w:rsidRPr="00FC7835" w:rsidRDefault="00AE2713" w:rsidP="00AE2713">
      <w:pPr>
        <w:pStyle w:val="12"/>
      </w:pPr>
      <w:r w:rsidRPr="00FC7835">
        <w:t xml:space="preserve">Issues/Year: </w:t>
      </w:r>
    </w:p>
    <w:p w:rsidR="00AE2713" w:rsidRPr="00FC7835" w:rsidRDefault="00AE2713" w:rsidP="00AE2713">
      <w:pPr>
        <w:pStyle w:val="12"/>
      </w:pPr>
      <w:r>
        <w:t>Journal Country/Territory:</w:t>
      </w:r>
      <w:r w:rsidRPr="00FC7835">
        <w:t xml:space="preserve"> </w:t>
      </w:r>
    </w:p>
    <w:p w:rsidR="00AE2713" w:rsidRPr="00FC7835" w:rsidRDefault="00AE2713" w:rsidP="00AE2713">
      <w:pPr>
        <w:pStyle w:val="12"/>
      </w:pPr>
      <w:r w:rsidRPr="00FC7835">
        <w:t xml:space="preserve">Language: </w:t>
      </w:r>
    </w:p>
    <w:p w:rsidR="00AE2713" w:rsidRPr="00FC7835" w:rsidRDefault="00AE2713" w:rsidP="00AE2713">
      <w:pPr>
        <w:pStyle w:val="12"/>
      </w:pPr>
      <w:r w:rsidRPr="00FC7835">
        <w:t xml:space="preserve">Publisher: </w:t>
      </w:r>
    </w:p>
    <w:p w:rsidR="00AE2713" w:rsidRPr="00FC7835" w:rsidRDefault="00AE2713" w:rsidP="00AE2713">
      <w:pPr>
        <w:pStyle w:val="12"/>
      </w:pPr>
      <w:r w:rsidRPr="00FC7835">
        <w:t xml:space="preserve">Publisher Address: </w:t>
      </w:r>
    </w:p>
    <w:p w:rsidR="00AE2713" w:rsidRPr="00FC7835" w:rsidRDefault="00AE2713" w:rsidP="00AE2713">
      <w:pPr>
        <w:pStyle w:val="12"/>
      </w:pPr>
      <w:r w:rsidRPr="00FC7835">
        <w:t>Subject Categories:</w:t>
      </w:r>
    </w:p>
    <w:p w:rsidR="00AE2713" w:rsidRPr="00FC7835" w:rsidRDefault="00AE2713" w:rsidP="00AE2713">
      <w:pPr>
        <w:pStyle w:val="12"/>
      </w:pPr>
      <w:r w:rsidRPr="00FC7835">
        <w:t xml:space="preserve">: Impact Factor </w:t>
      </w:r>
    </w:p>
    <w:p w:rsidR="00AE2713" w:rsidRDefault="00AE2713" w:rsidP="00AE2713">
      <w:pPr>
        <w:pStyle w:val="a3"/>
        <w:rPr>
          <w:kern w:val="0"/>
        </w:rPr>
      </w:pPr>
      <w:r>
        <w:rPr>
          <w:rFonts w:hint="eastAsia"/>
          <w:kern w:val="0"/>
        </w:rPr>
        <w:t xml:space="preserve">? </w:t>
      </w:r>
      <w:r>
        <w:rPr>
          <w:kern w:val="0"/>
        </w:rPr>
        <w:t>Taylor, J. (2011</w:t>
      </w:r>
      <w:r w:rsidR="00F42EAC">
        <w:rPr>
          <w:kern w:val="0"/>
        </w:rPr>
        <w:t>), The</w:t>
      </w:r>
      <w:r w:rsidR="003A1917">
        <w:rPr>
          <w:kern w:val="0"/>
        </w:rPr>
        <w:t xml:space="preserve"> </w:t>
      </w:r>
      <w:r>
        <w:rPr>
          <w:kern w:val="0"/>
        </w:rPr>
        <w:t>assessment</w:t>
      </w:r>
      <w:r w:rsidR="00427468">
        <w:rPr>
          <w:kern w:val="0"/>
        </w:rPr>
        <w:t xml:space="preserve"> of </w:t>
      </w:r>
      <w:r>
        <w:rPr>
          <w:kern w:val="0"/>
        </w:rPr>
        <w:t xml:space="preserve">research quality in UK universities: Peer review or metrics? </w:t>
      </w:r>
      <w:r w:rsidRPr="00B00A28">
        <w:rPr>
          <w:i/>
          <w:iCs/>
          <w:kern w:val="0"/>
        </w:rPr>
        <w:t>British Journal</w:t>
      </w:r>
      <w:r w:rsidR="00427468">
        <w:rPr>
          <w:i/>
          <w:iCs/>
          <w:kern w:val="0"/>
        </w:rPr>
        <w:t xml:space="preserve"> of </w:t>
      </w:r>
      <w:r w:rsidRPr="00B00A28">
        <w:rPr>
          <w:i/>
          <w:iCs/>
          <w:kern w:val="0"/>
        </w:rPr>
        <w:t>Management</w:t>
      </w:r>
      <w:r>
        <w:rPr>
          <w:kern w:val="0"/>
        </w:rPr>
        <w:t xml:space="preserve">, </w:t>
      </w:r>
      <w:r>
        <w:rPr>
          <w:b/>
          <w:bCs/>
          <w:kern w:val="0"/>
        </w:rPr>
        <w:t>22</w:t>
      </w:r>
      <w:r>
        <w:rPr>
          <w:kern w:val="0"/>
        </w:rPr>
        <w:t xml:space="preserve"> (2), 202-217.</w:t>
      </w:r>
    </w:p>
    <w:p w:rsidR="00AE2713" w:rsidRDefault="00AE2713" w:rsidP="00AE2713">
      <w:pPr>
        <w:pStyle w:val="a3"/>
        <w:rPr>
          <w:kern w:val="0"/>
        </w:rPr>
      </w:pPr>
      <w:r>
        <w:rPr>
          <w:rFonts w:hint="eastAsia"/>
          <w:kern w:val="0"/>
        </w:rPr>
        <w:t xml:space="preserve">Full Text: </w:t>
      </w:r>
      <w:hyperlink r:id="rId1895" w:history="1">
        <w:r w:rsidRPr="00AE2713">
          <w:rPr>
            <w:rStyle w:val="a5"/>
            <w:kern w:val="0"/>
          </w:rPr>
          <w:t>2011\Bri J Man22, 202.pdf</w:t>
        </w:r>
      </w:hyperlink>
    </w:p>
    <w:p w:rsidR="00AE2713" w:rsidRDefault="00AE2713" w:rsidP="00AE2713">
      <w:pPr>
        <w:pStyle w:val="a3"/>
        <w:rPr>
          <w:kern w:val="0"/>
        </w:rPr>
      </w:pPr>
      <w:r>
        <w:rPr>
          <w:kern w:val="0"/>
        </w:rPr>
        <w:t>Abstract: This paper investigates</w:t>
      </w:r>
      <w:r w:rsidR="003A1917">
        <w:rPr>
          <w:kern w:val="0"/>
        </w:rPr>
        <w:t xml:space="preserve"> the </w:t>
      </w:r>
      <w:r>
        <w:rPr>
          <w:kern w:val="0"/>
        </w:rPr>
        <w:t>extent to which</w:t>
      </w:r>
      <w:r w:rsidR="003A1917">
        <w:rPr>
          <w:kern w:val="0"/>
        </w:rPr>
        <w:t xml:space="preserve"> the </w:t>
      </w:r>
      <w:r>
        <w:rPr>
          <w:kern w:val="0"/>
        </w:rPr>
        <w:t>outcomes</w:t>
      </w:r>
      <w:r w:rsidR="00427468">
        <w:rPr>
          <w:kern w:val="0"/>
        </w:rPr>
        <w:t xml:space="preserve"> of </w:t>
      </w:r>
      <w:r w:rsidR="003A1917">
        <w:rPr>
          <w:kern w:val="0"/>
        </w:rPr>
        <w:t xml:space="preserve">the </w:t>
      </w:r>
      <w:r>
        <w:rPr>
          <w:kern w:val="0"/>
        </w:rPr>
        <w:t>2008 Research Assessment Exercise in</w:t>
      </w:r>
      <w:r w:rsidR="003A1917">
        <w:rPr>
          <w:kern w:val="0"/>
        </w:rPr>
        <w:t xml:space="preserve"> the </w:t>
      </w:r>
      <w:r w:rsidR="008E3069">
        <w:rPr>
          <w:kern w:val="0"/>
        </w:rPr>
        <w:t>UK,</w:t>
      </w:r>
      <w:r>
        <w:rPr>
          <w:kern w:val="0"/>
        </w:rPr>
        <w:t xml:space="preserve"> determined by peer review, can be explained by a set</w:t>
      </w:r>
      <w:r w:rsidR="00427468">
        <w:rPr>
          <w:kern w:val="0"/>
        </w:rPr>
        <w:t xml:space="preserve"> of </w:t>
      </w:r>
      <w:r>
        <w:rPr>
          <w:kern w:val="0"/>
        </w:rPr>
        <w:t>quantitative indicators. Three cognate units</w:t>
      </w:r>
      <w:r w:rsidR="00427468">
        <w:rPr>
          <w:kern w:val="0"/>
        </w:rPr>
        <w:t xml:space="preserve"> of </w:t>
      </w:r>
      <w:r>
        <w:rPr>
          <w:kern w:val="0"/>
        </w:rPr>
        <w:t>assessment are examined in detail: business</w:t>
      </w:r>
      <w:r w:rsidR="005853A9">
        <w:rPr>
          <w:kern w:val="0"/>
        </w:rPr>
        <w:t xml:space="preserve"> and </w:t>
      </w:r>
      <w:r>
        <w:rPr>
          <w:kern w:val="0"/>
        </w:rPr>
        <w:t>management, economics</w:t>
      </w:r>
      <w:r w:rsidR="005853A9">
        <w:rPr>
          <w:kern w:val="0"/>
        </w:rPr>
        <w:t xml:space="preserve"> and </w:t>
      </w:r>
      <w:r>
        <w:rPr>
          <w:kern w:val="0"/>
        </w:rPr>
        <w:t>econometrics,</w:t>
      </w:r>
      <w:r w:rsidR="005853A9">
        <w:rPr>
          <w:kern w:val="0"/>
        </w:rPr>
        <w:t xml:space="preserve"> and </w:t>
      </w:r>
      <w:r>
        <w:rPr>
          <w:kern w:val="0"/>
        </w:rPr>
        <w:t>accounting</w:t>
      </w:r>
      <w:r w:rsidR="005853A9">
        <w:rPr>
          <w:kern w:val="0"/>
        </w:rPr>
        <w:t xml:space="preserve"> and </w:t>
      </w:r>
      <w:r>
        <w:rPr>
          <w:kern w:val="0"/>
        </w:rPr>
        <w:t>finance</w:t>
      </w:r>
      <w:r w:rsidR="00A37C1D">
        <w:rPr>
          <w:kern w:val="0"/>
        </w:rPr>
        <w:t>. The</w:t>
      </w:r>
      <w:r w:rsidR="003A1917">
        <w:rPr>
          <w:kern w:val="0"/>
        </w:rPr>
        <w:t xml:space="preserve"> </w:t>
      </w:r>
      <w:r>
        <w:rPr>
          <w:kern w:val="0"/>
        </w:rPr>
        <w:t>main finding is that each</w:t>
      </w:r>
      <w:r w:rsidR="00427468">
        <w:rPr>
          <w:kern w:val="0"/>
        </w:rPr>
        <w:t xml:space="preserve"> of </w:t>
      </w:r>
      <w:r w:rsidR="003A1917">
        <w:rPr>
          <w:kern w:val="0"/>
        </w:rPr>
        <w:t xml:space="preserve">the </w:t>
      </w:r>
      <w:r>
        <w:rPr>
          <w:kern w:val="0"/>
        </w:rPr>
        <w:t>three components</w:t>
      </w:r>
      <w:r w:rsidR="00427468">
        <w:rPr>
          <w:kern w:val="0"/>
        </w:rPr>
        <w:t xml:space="preserve"> of </w:t>
      </w:r>
      <w:r>
        <w:rPr>
          <w:kern w:val="0"/>
        </w:rPr>
        <w:t>research activity (namely, research output, esteem</w:t>
      </w:r>
      <w:r w:rsidR="005853A9">
        <w:rPr>
          <w:kern w:val="0"/>
        </w:rPr>
        <w:t xml:space="preserve"> and </w:t>
      </w:r>
      <w:r>
        <w:rPr>
          <w:kern w:val="0"/>
        </w:rPr>
        <w:t>research environment) is highly correlated with various quantitative indicators. A further finding is that</w:t>
      </w:r>
      <w:r w:rsidR="003A1917">
        <w:rPr>
          <w:kern w:val="0"/>
        </w:rPr>
        <w:t xml:space="preserve"> the </w:t>
      </w:r>
      <w:r>
        <w:rPr>
          <w:kern w:val="0"/>
        </w:rPr>
        <w:t>judgement</w:t>
      </w:r>
      <w:r w:rsidR="00427468">
        <w:rPr>
          <w:kern w:val="0"/>
        </w:rPr>
        <w:t xml:space="preserve"> of </w:t>
      </w:r>
      <w:r w:rsidR="003A1917">
        <w:rPr>
          <w:kern w:val="0"/>
        </w:rPr>
        <w:t xml:space="preserve">the </w:t>
      </w:r>
      <w:r>
        <w:rPr>
          <w:kern w:val="0"/>
        </w:rPr>
        <w:t>Research Assessment Exercise panels was biased in favour</w:t>
      </w:r>
      <w:r w:rsidR="00427468">
        <w:rPr>
          <w:kern w:val="0"/>
        </w:rPr>
        <w:t xml:space="preserve"> of </w:t>
      </w:r>
      <w:r>
        <w:rPr>
          <w:kern w:val="0"/>
        </w:rPr>
        <w:t>Russell Group universities</w:t>
      </w:r>
      <w:r w:rsidR="00A37C1D">
        <w:rPr>
          <w:kern w:val="0"/>
        </w:rPr>
        <w:t>. The</w:t>
      </w:r>
      <w:r>
        <w:rPr>
          <w:kern w:val="0"/>
        </w:rPr>
        <w:t>re is also evidence</w:t>
      </w:r>
      <w:r w:rsidR="00427468">
        <w:rPr>
          <w:kern w:val="0"/>
        </w:rPr>
        <w:t xml:space="preserve"> of </w:t>
      </w:r>
      <w:r>
        <w:rPr>
          <w:kern w:val="0"/>
        </w:rPr>
        <w:t>bias by</w:t>
      </w:r>
      <w:r w:rsidR="003A1917">
        <w:rPr>
          <w:kern w:val="0"/>
        </w:rPr>
        <w:t xml:space="preserve"> the </w:t>
      </w:r>
      <w:r>
        <w:rPr>
          <w:kern w:val="0"/>
        </w:rPr>
        <w:t>economics</w:t>
      </w:r>
      <w:r w:rsidR="005853A9">
        <w:rPr>
          <w:kern w:val="0"/>
        </w:rPr>
        <w:t xml:space="preserve"> and </w:t>
      </w:r>
      <w:r>
        <w:rPr>
          <w:kern w:val="0"/>
        </w:rPr>
        <w:t>econometrics panel</w:t>
      </w:r>
      <w:r w:rsidR="00A37C1D">
        <w:rPr>
          <w:kern w:val="0"/>
        </w:rPr>
        <w:t>. The</w:t>
      </w:r>
      <w:r w:rsidR="003A1917">
        <w:rPr>
          <w:kern w:val="0"/>
        </w:rPr>
        <w:t xml:space="preserve"> </w:t>
      </w:r>
      <w:r>
        <w:rPr>
          <w:kern w:val="0"/>
        </w:rPr>
        <w:t>results support</w:t>
      </w:r>
      <w:r w:rsidR="003A1917">
        <w:rPr>
          <w:kern w:val="0"/>
        </w:rPr>
        <w:t xml:space="preserve"> the </w:t>
      </w:r>
      <w:r>
        <w:rPr>
          <w:kern w:val="0"/>
        </w:rPr>
        <w:t>use</w:t>
      </w:r>
      <w:r w:rsidR="00427468">
        <w:rPr>
          <w:kern w:val="0"/>
        </w:rPr>
        <w:t xml:space="preserve"> of </w:t>
      </w:r>
      <w:r>
        <w:rPr>
          <w:kern w:val="0"/>
        </w:rPr>
        <w:t>quantitative indicators in</w:t>
      </w:r>
      <w:r w:rsidR="003A1917">
        <w:rPr>
          <w:kern w:val="0"/>
        </w:rPr>
        <w:t xml:space="preserve"> the </w:t>
      </w:r>
      <w:r>
        <w:rPr>
          <w:kern w:val="0"/>
        </w:rPr>
        <w:t>research assessment process, particularly a journal quality index. Requiring</w:t>
      </w:r>
      <w:r w:rsidR="003A1917">
        <w:rPr>
          <w:kern w:val="0"/>
        </w:rPr>
        <w:t xml:space="preserve"> the </w:t>
      </w:r>
      <w:r>
        <w:rPr>
          <w:kern w:val="0"/>
        </w:rPr>
        <w:t>panels to take bibliometric indicators into account should help not only to reduce</w:t>
      </w:r>
      <w:r w:rsidR="003A1917">
        <w:rPr>
          <w:kern w:val="0"/>
        </w:rPr>
        <w:t xml:space="preserve"> the </w:t>
      </w:r>
      <w:r>
        <w:rPr>
          <w:kern w:val="0"/>
        </w:rPr>
        <w:t>workload</w:t>
      </w:r>
      <w:r w:rsidR="00427468">
        <w:rPr>
          <w:kern w:val="0"/>
        </w:rPr>
        <w:t xml:space="preserve"> of </w:t>
      </w:r>
      <w:r>
        <w:rPr>
          <w:kern w:val="0"/>
        </w:rPr>
        <w:t>panels but also to mitigate</w:t>
      </w:r>
      <w:r w:rsidR="003A1917">
        <w:rPr>
          <w:kern w:val="0"/>
        </w:rPr>
        <w:t xml:space="preserve"> the </w:t>
      </w:r>
      <w:r>
        <w:rPr>
          <w:kern w:val="0"/>
        </w:rPr>
        <w:t>problem</w:t>
      </w:r>
      <w:r w:rsidR="00427468">
        <w:rPr>
          <w:kern w:val="0"/>
        </w:rPr>
        <w:t xml:space="preserve"> of </w:t>
      </w:r>
      <w:r>
        <w:rPr>
          <w:kern w:val="0"/>
        </w:rPr>
        <w:t>implicit bias.</w:t>
      </w:r>
    </w:p>
    <w:p w:rsidR="00AE2713" w:rsidRDefault="00AE2713" w:rsidP="00AE2713">
      <w:pPr>
        <w:pStyle w:val="a3"/>
        <w:rPr>
          <w:kern w:val="0"/>
        </w:rPr>
      </w:pPr>
      <w:r>
        <w:rPr>
          <w:kern w:val="0"/>
        </w:rPr>
        <w:t>Keywords: Assessment, Bias, Bibliometric, Bibliometric Indicators, Business, Citations, Economics, Economics Journals, Efficiency, Environment, Exercise, Journal, Management, Outcomes, Rankings, Relative Impacts, Research, Research Assessment Exercise, Research Output, Review, Statistical-Analysis, System, Universities</w:t>
      </w:r>
    </w:p>
    <w:p w:rsidR="00A27C14" w:rsidRDefault="00A27C14" w:rsidP="00A27C14">
      <w:pPr>
        <w:pStyle w:val="a3"/>
        <w:rPr>
          <w:kern w:val="0"/>
        </w:rPr>
      </w:pPr>
      <w:r>
        <w:rPr>
          <w:rFonts w:hint="eastAsia"/>
          <w:kern w:val="0"/>
        </w:rPr>
        <w:t xml:space="preserve">? </w:t>
      </w:r>
      <w:r>
        <w:rPr>
          <w:kern w:val="0"/>
        </w:rPr>
        <w:t>Oswick, C.</w:t>
      </w:r>
      <w:r w:rsidR="005853A9">
        <w:rPr>
          <w:kern w:val="0"/>
        </w:rPr>
        <w:t xml:space="preserve"> and </w:t>
      </w:r>
      <w:r>
        <w:rPr>
          <w:kern w:val="0"/>
        </w:rPr>
        <w:t>Noon, M. (2014), Discourses</w:t>
      </w:r>
      <w:r w:rsidR="00427468">
        <w:rPr>
          <w:kern w:val="0"/>
        </w:rPr>
        <w:t xml:space="preserve"> of </w:t>
      </w:r>
      <w:r>
        <w:rPr>
          <w:kern w:val="0"/>
        </w:rPr>
        <w:t>diversity, equality</w:t>
      </w:r>
      <w:r w:rsidR="005853A9">
        <w:rPr>
          <w:kern w:val="0"/>
        </w:rPr>
        <w:t xml:space="preserve"> and </w:t>
      </w:r>
      <w:r>
        <w:rPr>
          <w:kern w:val="0"/>
        </w:rPr>
        <w:t xml:space="preserve">inclusion: Trenchant formulations or transient fashions? </w:t>
      </w:r>
      <w:r>
        <w:rPr>
          <w:i/>
          <w:iCs/>
          <w:kern w:val="0"/>
        </w:rPr>
        <w:t>British Journal</w:t>
      </w:r>
      <w:r w:rsidR="00427468">
        <w:rPr>
          <w:i/>
          <w:iCs/>
          <w:kern w:val="0"/>
        </w:rPr>
        <w:t xml:space="preserve"> of </w:t>
      </w:r>
      <w:r>
        <w:rPr>
          <w:i/>
          <w:iCs/>
          <w:kern w:val="0"/>
        </w:rPr>
        <w:t>Management</w:t>
      </w:r>
      <w:r>
        <w:rPr>
          <w:kern w:val="0"/>
        </w:rPr>
        <w:t xml:space="preserve">, </w:t>
      </w:r>
      <w:r>
        <w:rPr>
          <w:b/>
          <w:bCs/>
          <w:kern w:val="0"/>
        </w:rPr>
        <w:t>25</w:t>
      </w:r>
      <w:r>
        <w:rPr>
          <w:kern w:val="0"/>
        </w:rPr>
        <w:t xml:space="preserve"> (1), 23-39.</w:t>
      </w:r>
    </w:p>
    <w:p w:rsidR="00A27C14" w:rsidRDefault="00A27C14" w:rsidP="00A27C14">
      <w:pPr>
        <w:pStyle w:val="a3"/>
        <w:rPr>
          <w:kern w:val="0"/>
        </w:rPr>
      </w:pPr>
      <w:r>
        <w:rPr>
          <w:rFonts w:hint="eastAsia"/>
          <w:kern w:val="0"/>
        </w:rPr>
        <w:t xml:space="preserve">Full Text: </w:t>
      </w:r>
      <w:hyperlink r:id="rId1896" w:history="1">
        <w:r w:rsidRPr="00CF0343">
          <w:rPr>
            <w:rStyle w:val="a5"/>
            <w:kern w:val="0"/>
          </w:rPr>
          <w:t>2014\Bri J Man25, 23.pdf</w:t>
        </w:r>
      </w:hyperlink>
    </w:p>
    <w:p w:rsidR="00A27C14" w:rsidRDefault="00A27C14" w:rsidP="00A27C14">
      <w:pPr>
        <w:pStyle w:val="a3"/>
        <w:rPr>
          <w:kern w:val="0"/>
        </w:rPr>
      </w:pPr>
      <w:r>
        <w:rPr>
          <w:kern w:val="0"/>
        </w:rPr>
        <w:lastRenderedPageBreak/>
        <w:t>Abstract: Using bibliometric analysis</w:t>
      </w:r>
      <w:r w:rsidR="00427468">
        <w:rPr>
          <w:kern w:val="0"/>
        </w:rPr>
        <w:t xml:space="preserve"> of </w:t>
      </w:r>
      <w:r>
        <w:rPr>
          <w:kern w:val="0"/>
        </w:rPr>
        <w:t>published work, we examine the discursive trends, patterns</w:t>
      </w:r>
      <w:r w:rsidR="005853A9">
        <w:rPr>
          <w:kern w:val="0"/>
        </w:rPr>
        <w:t xml:space="preserve"> and </w:t>
      </w:r>
      <w:r>
        <w:rPr>
          <w:kern w:val="0"/>
        </w:rPr>
        <w:t>implications</w:t>
      </w:r>
      <w:r w:rsidR="00427468">
        <w:rPr>
          <w:kern w:val="0"/>
        </w:rPr>
        <w:t xml:space="preserve"> of </w:t>
      </w:r>
      <w:r>
        <w:rPr>
          <w:kern w:val="0"/>
        </w:rPr>
        <w:t>three different anti-discrimination solutions (equality, diversity</w:t>
      </w:r>
      <w:r w:rsidR="005853A9">
        <w:rPr>
          <w:kern w:val="0"/>
        </w:rPr>
        <w:t xml:space="preserve"> and </w:t>
      </w:r>
      <w:r>
        <w:rPr>
          <w:kern w:val="0"/>
        </w:rPr>
        <w:t>inclusion) over a 40-year period from 1970 to 2010</w:t>
      </w:r>
      <w:r w:rsidR="00A37C1D">
        <w:rPr>
          <w:kern w:val="0"/>
        </w:rPr>
        <w:t>. The</w:t>
      </w:r>
      <w:r>
        <w:rPr>
          <w:kern w:val="0"/>
        </w:rPr>
        <w:t xml:space="preserve"> findings reveal that the anti-discrimination discourses are consistent with management fashions, in terms</w:t>
      </w:r>
      <w:r w:rsidR="00427468">
        <w:rPr>
          <w:kern w:val="0"/>
        </w:rPr>
        <w:t xml:space="preserve"> of </w:t>
      </w:r>
      <w:r>
        <w:rPr>
          <w:kern w:val="0"/>
        </w:rPr>
        <w:t>both their trends</w:t>
      </w:r>
      <w:r w:rsidR="005853A9">
        <w:rPr>
          <w:kern w:val="0"/>
        </w:rPr>
        <w:t xml:space="preserve"> and </w:t>
      </w:r>
      <w:r>
        <w:rPr>
          <w:kern w:val="0"/>
        </w:rPr>
        <w:t>the rhetorical strategies used by proponents to establish the dominance</w:t>
      </w:r>
      <w:r w:rsidR="00427468">
        <w:rPr>
          <w:kern w:val="0"/>
        </w:rPr>
        <w:t xml:space="preserve"> of </w:t>
      </w:r>
      <w:r>
        <w:rPr>
          <w:kern w:val="0"/>
        </w:rPr>
        <w:t>their favoured approach, particularly by denigrating previous approaches. Practitioner-facing academics play a key role in the process by giving shape, exposure</w:t>
      </w:r>
      <w:r w:rsidR="005853A9">
        <w:rPr>
          <w:kern w:val="0"/>
        </w:rPr>
        <w:t xml:space="preserve"> and </w:t>
      </w:r>
      <w:r>
        <w:rPr>
          <w:kern w:val="0"/>
        </w:rPr>
        <w:t>credibility to the anti-discrimination solutions, but not in creating them. Only by breaking free</w:t>
      </w:r>
      <w:r w:rsidR="00427468">
        <w:rPr>
          <w:kern w:val="0"/>
        </w:rPr>
        <w:t xml:space="preserve"> of </w:t>
      </w:r>
      <w:r>
        <w:rPr>
          <w:kern w:val="0"/>
        </w:rPr>
        <w:t>the oppositional discursive patterns can the debate move on to anti-discrimination solutions that attempt to blend together equality, diversity</w:t>
      </w:r>
      <w:r w:rsidR="005853A9">
        <w:rPr>
          <w:kern w:val="0"/>
        </w:rPr>
        <w:t xml:space="preserve"> and </w:t>
      </w:r>
      <w:r>
        <w:rPr>
          <w:kern w:val="0"/>
        </w:rPr>
        <w:t>inclusion.</w:t>
      </w:r>
    </w:p>
    <w:p w:rsidR="00A27C14" w:rsidRDefault="00A27C14" w:rsidP="00A27C14">
      <w:pPr>
        <w:pStyle w:val="a3"/>
        <w:rPr>
          <w:kern w:val="0"/>
        </w:rPr>
      </w:pPr>
      <w:r>
        <w:rPr>
          <w:kern w:val="0"/>
        </w:rPr>
        <w:t>Keywords: Academics, Affirmative-Action, Analysis, Approach, Attitudes, Bibliometric, Bibliometric Analysis, Credibility, Cultural-Diversity, Difference, Diversity, Employment, Equality, Exposure, Firm Performance, Management, Management Fashions, Management-Team Diversity, Opportunity, Organizational Groups, Role, Solutions, Trends, Work</w:t>
      </w:r>
    </w:p>
    <w:p w:rsidR="00AE5279" w:rsidRPr="001A3D2B" w:rsidRDefault="00AE5279" w:rsidP="00AE5279">
      <w:pPr>
        <w:pStyle w:val="1"/>
      </w:pPr>
      <w:r w:rsidRPr="001A3D2B">
        <w:br w:type="page"/>
      </w:r>
      <w:bookmarkStart w:id="929" w:name="_Toc420814826"/>
      <w:r w:rsidRPr="001A3D2B">
        <w:lastRenderedPageBreak/>
        <w:t xml:space="preserve">Title: </w:t>
      </w:r>
      <w:r w:rsidRPr="00AE5279">
        <w:t>British Journal</w:t>
      </w:r>
      <w:r w:rsidR="00427468">
        <w:t xml:space="preserve"> of </w:t>
      </w:r>
      <w:r w:rsidRPr="00AE5279">
        <w:t>Neurosurgery</w:t>
      </w:r>
      <w:bookmarkEnd w:id="929"/>
    </w:p>
    <w:p w:rsidR="00AE5279" w:rsidRPr="001A3D2B" w:rsidRDefault="00AE5279" w:rsidP="00AE5279">
      <w:pPr>
        <w:pStyle w:val="12"/>
      </w:pPr>
      <w:r w:rsidRPr="001A3D2B">
        <w:t xml:space="preserve">Full Journal Title: </w:t>
      </w:r>
      <w:r w:rsidRPr="00AE5279">
        <w:rPr>
          <w:iCs/>
          <w:kern w:val="0"/>
        </w:rPr>
        <w:t>British Journal</w:t>
      </w:r>
      <w:r w:rsidR="00427468">
        <w:rPr>
          <w:iCs/>
          <w:kern w:val="0"/>
        </w:rPr>
        <w:t xml:space="preserve"> of </w:t>
      </w:r>
      <w:r w:rsidRPr="00AE5279">
        <w:rPr>
          <w:iCs/>
          <w:kern w:val="0"/>
        </w:rPr>
        <w:t>Neurosurgery</w:t>
      </w:r>
    </w:p>
    <w:p w:rsidR="00AE5279" w:rsidRPr="001A3D2B" w:rsidRDefault="00AE5279" w:rsidP="00AE5279">
      <w:pPr>
        <w:pStyle w:val="12"/>
      </w:pPr>
      <w:r w:rsidRPr="001A3D2B">
        <w:t xml:space="preserve">ISO Abbreviated Title: </w:t>
      </w:r>
    </w:p>
    <w:p w:rsidR="00AE5279" w:rsidRPr="001A3D2B" w:rsidRDefault="00AE5279" w:rsidP="00AE5279">
      <w:pPr>
        <w:pStyle w:val="12"/>
      </w:pPr>
      <w:r w:rsidRPr="001A3D2B">
        <w:t xml:space="preserve">JCR Abbreviated Title: </w:t>
      </w:r>
    </w:p>
    <w:p w:rsidR="00AE5279" w:rsidRPr="001A3D2B" w:rsidRDefault="00AE5279" w:rsidP="00AE5279">
      <w:pPr>
        <w:pStyle w:val="12"/>
      </w:pPr>
      <w:r w:rsidRPr="001A3D2B">
        <w:t xml:space="preserve">ISSN: </w:t>
      </w:r>
    </w:p>
    <w:p w:rsidR="00AE5279" w:rsidRPr="001A3D2B" w:rsidRDefault="00AE5279" w:rsidP="00AE5279">
      <w:pPr>
        <w:pStyle w:val="12"/>
      </w:pPr>
      <w:r w:rsidRPr="001A3D2B">
        <w:t xml:space="preserve">Issues/Year: </w:t>
      </w:r>
    </w:p>
    <w:p w:rsidR="00AE5279" w:rsidRPr="001A3D2B" w:rsidRDefault="00AE5279" w:rsidP="00AE5279">
      <w:pPr>
        <w:pStyle w:val="12"/>
      </w:pPr>
      <w:r w:rsidRPr="001A3D2B">
        <w:t xml:space="preserve">Journal Country/Territory: </w:t>
      </w:r>
    </w:p>
    <w:p w:rsidR="00AE5279" w:rsidRPr="001A3D2B" w:rsidRDefault="00AE5279" w:rsidP="00AE5279">
      <w:pPr>
        <w:pStyle w:val="12"/>
      </w:pPr>
      <w:r w:rsidRPr="001A3D2B">
        <w:t xml:space="preserve">Language: </w:t>
      </w:r>
    </w:p>
    <w:p w:rsidR="00AE5279" w:rsidRPr="001A3D2B" w:rsidRDefault="00AE5279" w:rsidP="00AE5279">
      <w:pPr>
        <w:pStyle w:val="12"/>
      </w:pPr>
      <w:r w:rsidRPr="001A3D2B">
        <w:t xml:space="preserve">Publisher: </w:t>
      </w:r>
    </w:p>
    <w:p w:rsidR="00AE5279" w:rsidRPr="001A3D2B" w:rsidRDefault="00AE5279" w:rsidP="00AE5279">
      <w:pPr>
        <w:pStyle w:val="12"/>
      </w:pPr>
      <w:r w:rsidRPr="001A3D2B">
        <w:t xml:space="preserve">Publisher Address: </w:t>
      </w:r>
    </w:p>
    <w:p w:rsidR="00AE5279" w:rsidRPr="001A3D2B" w:rsidRDefault="00AE5279" w:rsidP="00AE5279">
      <w:pPr>
        <w:pStyle w:val="12"/>
      </w:pPr>
      <w:r w:rsidRPr="001A3D2B">
        <w:t>Subject Categories:</w:t>
      </w:r>
    </w:p>
    <w:p w:rsidR="00AE5279" w:rsidRPr="001A3D2B" w:rsidRDefault="00AE5279" w:rsidP="00AE5279">
      <w:pPr>
        <w:pStyle w:val="12"/>
      </w:pPr>
      <w:r w:rsidRPr="001A3D2B">
        <w:t xml:space="preserve">: Impact Factor </w:t>
      </w:r>
    </w:p>
    <w:p w:rsidR="006C1619" w:rsidRDefault="006C1619" w:rsidP="006C1619">
      <w:pPr>
        <w:pStyle w:val="a3"/>
        <w:rPr>
          <w:kern w:val="0"/>
        </w:rPr>
      </w:pPr>
      <w:r>
        <w:rPr>
          <w:rFonts w:hint="eastAsia"/>
          <w:kern w:val="0"/>
        </w:rPr>
        <w:t xml:space="preserve">? </w:t>
      </w:r>
      <w:r>
        <w:rPr>
          <w:kern w:val="0"/>
        </w:rPr>
        <w:t>Jamjoom, A.A.B.</w:t>
      </w:r>
      <w:r w:rsidR="005853A9">
        <w:rPr>
          <w:kern w:val="0"/>
        </w:rPr>
        <w:t xml:space="preserve"> and </w:t>
      </w:r>
      <w:r>
        <w:rPr>
          <w:kern w:val="0"/>
        </w:rPr>
        <w:t>Jamjoom, A.B. (2010</w:t>
      </w:r>
      <w:r w:rsidR="00F42EAC">
        <w:rPr>
          <w:kern w:val="0"/>
        </w:rPr>
        <w:t>), The</w:t>
      </w:r>
      <w:r w:rsidR="003A1917">
        <w:rPr>
          <w:kern w:val="0"/>
        </w:rPr>
        <w:t xml:space="preserve"> </w:t>
      </w:r>
      <w:r>
        <w:rPr>
          <w:kern w:val="0"/>
        </w:rPr>
        <w:t>most cited neurosurgical publications in</w:t>
      </w:r>
      <w:r w:rsidR="003A1917">
        <w:rPr>
          <w:kern w:val="0"/>
        </w:rPr>
        <w:t xml:space="preserve"> the </w:t>
      </w:r>
      <w:r>
        <w:rPr>
          <w:kern w:val="0"/>
        </w:rPr>
        <w:t xml:space="preserve">Literature. </w:t>
      </w:r>
      <w:r w:rsidRPr="00AE5279">
        <w:rPr>
          <w:i/>
          <w:iCs/>
          <w:kern w:val="0"/>
        </w:rPr>
        <w:t>British Journal</w:t>
      </w:r>
      <w:r w:rsidR="00427468">
        <w:rPr>
          <w:i/>
          <w:iCs/>
          <w:kern w:val="0"/>
        </w:rPr>
        <w:t xml:space="preserve"> of </w:t>
      </w:r>
      <w:r w:rsidRPr="00AE5279">
        <w:rPr>
          <w:i/>
          <w:iCs/>
          <w:kern w:val="0"/>
        </w:rPr>
        <w:t>Neurosurgery</w:t>
      </w:r>
      <w:r>
        <w:rPr>
          <w:kern w:val="0"/>
        </w:rPr>
        <w:t xml:space="preserve">, </w:t>
      </w:r>
      <w:r>
        <w:rPr>
          <w:b/>
          <w:bCs/>
          <w:kern w:val="0"/>
        </w:rPr>
        <w:t>24</w:t>
      </w:r>
      <w:r>
        <w:rPr>
          <w:kern w:val="0"/>
        </w:rPr>
        <w:t xml:space="preserve"> (3), 334-335</w:t>
      </w:r>
      <w:r>
        <w:rPr>
          <w:rFonts w:hint="eastAsia"/>
          <w:kern w:val="0"/>
        </w:rPr>
        <w:t>.</w:t>
      </w:r>
    </w:p>
    <w:p w:rsidR="006C1619" w:rsidRPr="001A3D2B" w:rsidRDefault="006C1619" w:rsidP="006C1619">
      <w:pPr>
        <w:pStyle w:val="a3"/>
      </w:pPr>
      <w:r w:rsidRPr="001A3D2B">
        <w:t xml:space="preserve">Full Text: </w:t>
      </w:r>
      <w:hyperlink r:id="rId1897" w:history="1">
        <w:r w:rsidRPr="00481077">
          <w:rPr>
            <w:rStyle w:val="a5"/>
          </w:rPr>
          <w:t>2010\Bri J Neu24, 334.pdf</w:t>
        </w:r>
      </w:hyperlink>
    </w:p>
    <w:p w:rsidR="006C1619" w:rsidRDefault="006C1619" w:rsidP="006C1619">
      <w:pPr>
        <w:pStyle w:val="a3"/>
        <w:rPr>
          <w:kern w:val="0"/>
        </w:rPr>
      </w:pPr>
      <w:r>
        <w:rPr>
          <w:kern w:val="0"/>
        </w:rPr>
        <w:t>Keywords: Publications</w:t>
      </w:r>
    </w:p>
    <w:p w:rsidR="00E02BDB" w:rsidRDefault="00E02BDB" w:rsidP="00E02BDB">
      <w:pPr>
        <w:pStyle w:val="a3"/>
        <w:rPr>
          <w:kern w:val="0"/>
        </w:rPr>
      </w:pPr>
      <w:r>
        <w:rPr>
          <w:rFonts w:hint="eastAsia"/>
          <w:kern w:val="0"/>
        </w:rPr>
        <w:t xml:space="preserve">? </w:t>
      </w:r>
      <w:r>
        <w:rPr>
          <w:kern w:val="0"/>
        </w:rPr>
        <w:t>Hung, K.C., Lan, S.J.</w:t>
      </w:r>
      <w:r w:rsidR="005853A9">
        <w:rPr>
          <w:kern w:val="0"/>
        </w:rPr>
        <w:t xml:space="preserve"> and </w:t>
      </w:r>
      <w:r>
        <w:rPr>
          <w:kern w:val="0"/>
        </w:rPr>
        <w:t xml:space="preserve">Liu, J.T. (2012), Global trend in articles related to stereotactic published in </w:t>
      </w:r>
      <w:r w:rsidR="00E31AF1">
        <w:rPr>
          <w:kern w:val="0"/>
        </w:rPr>
        <w:t>Science Citation Index-Ex</w:t>
      </w:r>
      <w:r>
        <w:rPr>
          <w:kern w:val="0"/>
        </w:rPr>
        <w:t xml:space="preserve">panded. </w:t>
      </w:r>
      <w:r>
        <w:rPr>
          <w:i/>
          <w:iCs/>
          <w:kern w:val="0"/>
        </w:rPr>
        <w:t>British Journal</w:t>
      </w:r>
      <w:r w:rsidR="00427468">
        <w:rPr>
          <w:i/>
          <w:iCs/>
          <w:kern w:val="0"/>
        </w:rPr>
        <w:t xml:space="preserve"> of </w:t>
      </w:r>
      <w:r>
        <w:rPr>
          <w:i/>
          <w:iCs/>
          <w:kern w:val="0"/>
        </w:rPr>
        <w:t>Neurosurgery</w:t>
      </w:r>
      <w:r>
        <w:rPr>
          <w:kern w:val="0"/>
        </w:rPr>
        <w:t xml:space="preserve">, </w:t>
      </w:r>
      <w:r>
        <w:rPr>
          <w:b/>
          <w:bCs/>
          <w:kern w:val="0"/>
        </w:rPr>
        <w:t>26</w:t>
      </w:r>
      <w:r>
        <w:rPr>
          <w:kern w:val="0"/>
        </w:rPr>
        <w:t xml:space="preserve"> (2), 258-264.</w:t>
      </w:r>
    </w:p>
    <w:p w:rsidR="00E02BDB" w:rsidRDefault="00E02BDB" w:rsidP="00E02BDB">
      <w:pPr>
        <w:pStyle w:val="a3"/>
      </w:pPr>
      <w:r w:rsidRPr="001A3D2B">
        <w:t>Full Text:</w:t>
      </w:r>
      <w:r w:rsidR="00957D81">
        <w:rPr>
          <w:rFonts w:hint="eastAsia"/>
        </w:rPr>
        <w:t xml:space="preserve"> </w:t>
      </w:r>
      <w:hyperlink r:id="rId1898" w:history="1">
        <w:r w:rsidR="00957D81" w:rsidRPr="00957D81">
          <w:rPr>
            <w:rStyle w:val="a5"/>
          </w:rPr>
          <w:t>2012\Bri J Neu26, 258.pdf</w:t>
        </w:r>
      </w:hyperlink>
      <w:r>
        <w:rPr>
          <w:rFonts w:hint="eastAsia"/>
        </w:rPr>
        <w:t>;</w:t>
      </w:r>
      <w:r w:rsidRPr="001A3D2B">
        <w:t xml:space="preserve"> </w:t>
      </w:r>
      <w:hyperlink r:id="rId1899" w:history="1">
        <w:r w:rsidRPr="00481077">
          <w:rPr>
            <w:rStyle w:val="a5"/>
          </w:rPr>
          <w:t>2011\Bri J Neu-Hung.pdf</w:t>
        </w:r>
      </w:hyperlink>
    </w:p>
    <w:p w:rsidR="00E02BDB" w:rsidRDefault="00E02BDB" w:rsidP="00E02BDB">
      <w:pPr>
        <w:pStyle w:val="a3"/>
        <w:rPr>
          <w:kern w:val="0"/>
        </w:rPr>
      </w:pPr>
      <w:r>
        <w:rPr>
          <w:kern w:val="0"/>
        </w:rPr>
        <w:t>Abstract: Background. This is</w:t>
      </w:r>
      <w:r w:rsidR="003A1917">
        <w:rPr>
          <w:kern w:val="0"/>
        </w:rPr>
        <w:t xml:space="preserve"> the </w:t>
      </w:r>
      <w:r>
        <w:rPr>
          <w:kern w:val="0"/>
        </w:rPr>
        <w:t>first article using bibliometrics to study</w:t>
      </w:r>
      <w:r w:rsidR="003A1917">
        <w:rPr>
          <w:kern w:val="0"/>
        </w:rPr>
        <w:t xml:space="preserve"> the </w:t>
      </w:r>
      <w:r>
        <w:rPr>
          <w:kern w:val="0"/>
        </w:rPr>
        <w:t>field</w:t>
      </w:r>
      <w:r w:rsidR="00427468">
        <w:rPr>
          <w:kern w:val="0"/>
        </w:rPr>
        <w:t xml:space="preserve"> of </w:t>
      </w:r>
      <w:r>
        <w:rPr>
          <w:kern w:val="0"/>
        </w:rPr>
        <w:t>stereotactic related research. This study aims to evaluate</w:t>
      </w:r>
      <w:r w:rsidR="003A1917">
        <w:rPr>
          <w:kern w:val="0"/>
        </w:rPr>
        <w:t xml:space="preserve"> the </w:t>
      </w:r>
      <w:r>
        <w:rPr>
          <w:kern w:val="0"/>
        </w:rPr>
        <w:t>global scientific production</w:t>
      </w:r>
      <w:r w:rsidR="00427468">
        <w:rPr>
          <w:kern w:val="0"/>
        </w:rPr>
        <w:t xml:space="preserve"> of </w:t>
      </w:r>
      <w:r>
        <w:rPr>
          <w:kern w:val="0"/>
        </w:rPr>
        <w:t>simulation research in</w:t>
      </w:r>
      <w:r w:rsidR="003A1917">
        <w:rPr>
          <w:kern w:val="0"/>
        </w:rPr>
        <w:t xml:space="preserve"> the </w:t>
      </w:r>
      <w:r>
        <w:rPr>
          <w:kern w:val="0"/>
        </w:rPr>
        <w:t>category</w:t>
      </w:r>
      <w:r w:rsidR="00427468">
        <w:rPr>
          <w:kern w:val="0"/>
        </w:rPr>
        <w:t xml:space="preserve"> of </w:t>
      </w:r>
      <w:r w:rsidR="00B5188C">
        <w:rPr>
          <w:kern w:val="0"/>
        </w:rPr>
        <w:t>“</w:t>
      </w:r>
      <w:r>
        <w:rPr>
          <w:kern w:val="0"/>
        </w:rPr>
        <w:t>stereotactic</w:t>
      </w:r>
      <w:r w:rsidR="00B5188C">
        <w:rPr>
          <w:kern w:val="0"/>
        </w:rPr>
        <w:t>”</w:t>
      </w:r>
      <w:r>
        <w:rPr>
          <w:kern w:val="0"/>
        </w:rPr>
        <w:t xml:space="preserve"> during 1993-2008</w:t>
      </w:r>
      <w:r w:rsidR="005853A9">
        <w:rPr>
          <w:kern w:val="0"/>
        </w:rPr>
        <w:t xml:space="preserve"> and </w:t>
      </w:r>
      <w:r>
        <w:rPr>
          <w:kern w:val="0"/>
        </w:rPr>
        <w:t>to provide insights on</w:t>
      </w:r>
      <w:r w:rsidR="003A1917">
        <w:rPr>
          <w:kern w:val="0"/>
        </w:rPr>
        <w:t xml:space="preserve"> the </w:t>
      </w:r>
      <w:r>
        <w:rPr>
          <w:kern w:val="0"/>
        </w:rPr>
        <w:t>characteristics</w:t>
      </w:r>
      <w:r w:rsidR="00427468">
        <w:rPr>
          <w:kern w:val="0"/>
        </w:rPr>
        <w:t xml:space="preserve"> of </w:t>
      </w:r>
      <w:r w:rsidR="003A1917">
        <w:rPr>
          <w:kern w:val="0"/>
        </w:rPr>
        <w:t xml:space="preserve">the </w:t>
      </w:r>
      <w:r>
        <w:rPr>
          <w:kern w:val="0"/>
        </w:rPr>
        <w:t>stereotactic related research patterns, tendencies,</w:t>
      </w:r>
      <w:r w:rsidR="005853A9">
        <w:rPr>
          <w:kern w:val="0"/>
        </w:rPr>
        <w:t xml:space="preserve"> and </w:t>
      </w:r>
      <w:r>
        <w:rPr>
          <w:kern w:val="0"/>
        </w:rPr>
        <w:t>methods that might exist in</w:t>
      </w:r>
      <w:r w:rsidR="003A1917">
        <w:rPr>
          <w:kern w:val="0"/>
        </w:rPr>
        <w:t xml:space="preserve"> the </w:t>
      </w:r>
      <w:r>
        <w:rPr>
          <w:kern w:val="0"/>
        </w:rPr>
        <w:t>papers, as well as in leading countries</w:t>
      </w:r>
      <w:r w:rsidR="005853A9">
        <w:rPr>
          <w:kern w:val="0"/>
        </w:rPr>
        <w:t xml:space="preserve"> and </w:t>
      </w:r>
      <w:r>
        <w:rPr>
          <w:kern w:val="0"/>
        </w:rPr>
        <w:t xml:space="preserve">institutes. Methods. In this study, </w:t>
      </w:r>
      <w:r w:rsidR="00B5188C">
        <w:rPr>
          <w:kern w:val="0"/>
        </w:rPr>
        <w:t>“</w:t>
      </w:r>
      <w:r>
        <w:rPr>
          <w:kern w:val="0"/>
        </w:rPr>
        <w:t>stereotactic*</w:t>
      </w:r>
      <w:r w:rsidR="00B5188C">
        <w:rPr>
          <w:kern w:val="0"/>
        </w:rPr>
        <w:t>”</w:t>
      </w:r>
      <w:r>
        <w:rPr>
          <w:kern w:val="0"/>
        </w:rPr>
        <w:t xml:space="preserve"> was used as</w:t>
      </w:r>
      <w:r w:rsidR="003A1917">
        <w:rPr>
          <w:kern w:val="0"/>
        </w:rPr>
        <w:t xml:space="preserve"> the </w:t>
      </w:r>
      <w:r>
        <w:rPr>
          <w:kern w:val="0"/>
        </w:rPr>
        <w:t>keyword to search titles, abstracts,</w:t>
      </w:r>
      <w:r w:rsidR="005853A9">
        <w:rPr>
          <w:kern w:val="0"/>
        </w:rPr>
        <w:t xml:space="preserve"> and </w:t>
      </w:r>
      <w:r>
        <w:rPr>
          <w:kern w:val="0"/>
        </w:rPr>
        <w:t>keywords in</w:t>
      </w:r>
      <w:r w:rsidR="003A1917">
        <w:rPr>
          <w:kern w:val="0"/>
        </w:rPr>
        <w:t xml:space="preserve"> the </w:t>
      </w:r>
      <w:r>
        <w:rPr>
          <w:kern w:val="0"/>
        </w:rPr>
        <w:t>database</w:t>
      </w:r>
      <w:r w:rsidR="00427468">
        <w:rPr>
          <w:kern w:val="0"/>
        </w:rPr>
        <w:t xml:space="preserve"> of </w:t>
      </w:r>
      <w:r w:rsidR="003A1917">
        <w:rPr>
          <w:kern w:val="0"/>
        </w:rPr>
        <w:t xml:space="preserve">the </w:t>
      </w:r>
      <w:r>
        <w:rPr>
          <w:kern w:val="0"/>
        </w:rPr>
        <w:t>Science Citation Index Expanded. All</w:t>
      </w:r>
      <w:r w:rsidR="003A1917">
        <w:rPr>
          <w:kern w:val="0"/>
        </w:rPr>
        <w:t xml:space="preserve"> the </w:t>
      </w:r>
      <w:r>
        <w:rPr>
          <w:kern w:val="0"/>
        </w:rPr>
        <w:t>articles referring to stereotactic during</w:t>
      </w:r>
      <w:r w:rsidR="003A1917">
        <w:rPr>
          <w:kern w:val="0"/>
        </w:rPr>
        <w:t xml:space="preserve"> the </w:t>
      </w:r>
      <w:r>
        <w:rPr>
          <w:kern w:val="0"/>
        </w:rPr>
        <w:t>studied years, were assessed by</w:t>
      </w:r>
      <w:r w:rsidR="003A1917">
        <w:rPr>
          <w:kern w:val="0"/>
        </w:rPr>
        <w:t xml:space="preserve"> the </w:t>
      </w:r>
      <w:r>
        <w:rPr>
          <w:kern w:val="0"/>
        </w:rPr>
        <w:t>following aspects: document type</w:t>
      </w:r>
      <w:r w:rsidR="00427468">
        <w:rPr>
          <w:kern w:val="0"/>
        </w:rPr>
        <w:t xml:space="preserve"> of </w:t>
      </w:r>
      <w:r>
        <w:rPr>
          <w:kern w:val="0"/>
        </w:rPr>
        <w:t>publication, characteristics</w:t>
      </w:r>
      <w:r w:rsidR="00427468">
        <w:rPr>
          <w:kern w:val="0"/>
        </w:rPr>
        <w:t xml:space="preserve"> of </w:t>
      </w:r>
      <w:r>
        <w:rPr>
          <w:kern w:val="0"/>
        </w:rPr>
        <w:t>publication outputs, distribution</w:t>
      </w:r>
      <w:r w:rsidR="00427468">
        <w:rPr>
          <w:kern w:val="0"/>
        </w:rPr>
        <w:t xml:space="preserve"> of </w:t>
      </w:r>
      <w:r>
        <w:rPr>
          <w:kern w:val="0"/>
        </w:rPr>
        <w:t>outputs in journals, publication outputs</w:t>
      </w:r>
      <w:r w:rsidR="00427468">
        <w:rPr>
          <w:kern w:val="0"/>
        </w:rPr>
        <w:t xml:space="preserve"> of </w:t>
      </w:r>
      <w:r>
        <w:rPr>
          <w:kern w:val="0"/>
        </w:rPr>
        <w:t>source country, source institute,</w:t>
      </w:r>
      <w:r w:rsidR="005853A9">
        <w:rPr>
          <w:kern w:val="0"/>
        </w:rPr>
        <w:t xml:space="preserve"> and </w:t>
      </w:r>
      <w:r>
        <w:rPr>
          <w:kern w:val="0"/>
        </w:rPr>
        <w:t>analysis</w:t>
      </w:r>
      <w:r w:rsidR="00427468">
        <w:rPr>
          <w:kern w:val="0"/>
        </w:rPr>
        <w:t xml:space="preserve"> of </w:t>
      </w:r>
      <w:r>
        <w:rPr>
          <w:kern w:val="0"/>
        </w:rPr>
        <w:t>words cluster in title, author keywords,</w:t>
      </w:r>
      <w:r w:rsidR="005853A9">
        <w:rPr>
          <w:kern w:val="0"/>
        </w:rPr>
        <w:t xml:space="preserve"> and </w:t>
      </w:r>
      <w:r>
        <w:rPr>
          <w:kern w:val="0"/>
        </w:rPr>
        <w:t>KeyWords Plus. Results. Eleven document types were found in</w:t>
      </w:r>
      <w:r w:rsidR="003A1917">
        <w:rPr>
          <w:kern w:val="0"/>
        </w:rPr>
        <w:t xml:space="preserve"> the </w:t>
      </w:r>
      <w:r>
        <w:rPr>
          <w:kern w:val="0"/>
        </w:rPr>
        <w:t>total 10 015 publications during 1993-2008. Clinical neurology was</w:t>
      </w:r>
      <w:r w:rsidR="003A1917">
        <w:rPr>
          <w:kern w:val="0"/>
        </w:rPr>
        <w:t xml:space="preserve"> the </w:t>
      </w:r>
      <w:r>
        <w:rPr>
          <w:kern w:val="0"/>
        </w:rPr>
        <w:t>most common category in stereotactic-related research. Neurosurgery listed in categories</w:t>
      </w:r>
      <w:r w:rsidR="00427468">
        <w:rPr>
          <w:kern w:val="0"/>
        </w:rPr>
        <w:t xml:space="preserve"> of </w:t>
      </w:r>
      <w:r>
        <w:rPr>
          <w:kern w:val="0"/>
        </w:rPr>
        <w:t>clinical neurology</w:t>
      </w:r>
      <w:r w:rsidR="005853A9">
        <w:rPr>
          <w:kern w:val="0"/>
        </w:rPr>
        <w:t xml:space="preserve"> and </w:t>
      </w:r>
      <w:r>
        <w:rPr>
          <w:kern w:val="0"/>
        </w:rPr>
        <w:t>surgery, ranked first</w:t>
      </w:r>
      <w:r w:rsidR="00A37C1D">
        <w:rPr>
          <w:kern w:val="0"/>
        </w:rPr>
        <w:t>. The</w:t>
      </w:r>
      <w:r w:rsidR="003A1917">
        <w:rPr>
          <w:kern w:val="0"/>
        </w:rPr>
        <w:t xml:space="preserve"> </w:t>
      </w:r>
      <w:r>
        <w:rPr>
          <w:kern w:val="0"/>
        </w:rPr>
        <w:t>most productive country</w:t>
      </w:r>
      <w:r w:rsidR="005853A9">
        <w:rPr>
          <w:kern w:val="0"/>
        </w:rPr>
        <w:t xml:space="preserve"> and </w:t>
      </w:r>
      <w:r>
        <w:rPr>
          <w:kern w:val="0"/>
        </w:rPr>
        <w:t xml:space="preserve">institute were </w:t>
      </w:r>
      <w:r w:rsidR="00D5664A">
        <w:rPr>
          <w:kern w:val="0"/>
        </w:rPr>
        <w:t>USA</w:t>
      </w:r>
      <w:r w:rsidR="005853A9">
        <w:rPr>
          <w:kern w:val="0"/>
        </w:rPr>
        <w:t xml:space="preserve"> and </w:t>
      </w:r>
      <w:r>
        <w:rPr>
          <w:kern w:val="0"/>
        </w:rPr>
        <w:t>University</w:t>
      </w:r>
      <w:r w:rsidR="00427468">
        <w:rPr>
          <w:kern w:val="0"/>
        </w:rPr>
        <w:t xml:space="preserve"> of </w:t>
      </w:r>
      <w:r>
        <w:rPr>
          <w:kern w:val="0"/>
        </w:rPr>
        <w:t>Pittsburgh respectively. Words cluster analysis was elaborated regarding</w:t>
      </w:r>
      <w:r w:rsidR="003A1917">
        <w:rPr>
          <w:kern w:val="0"/>
        </w:rPr>
        <w:t xml:space="preserve"> the </w:t>
      </w:r>
      <w:r>
        <w:rPr>
          <w:kern w:val="0"/>
        </w:rPr>
        <w:t>issues</w:t>
      </w:r>
      <w:r w:rsidR="00427468">
        <w:rPr>
          <w:kern w:val="0"/>
        </w:rPr>
        <w:t xml:space="preserve"> of </w:t>
      </w:r>
      <w:r>
        <w:rPr>
          <w:kern w:val="0"/>
        </w:rPr>
        <w:t>movement disorders, radiosurgery, tumor,</w:t>
      </w:r>
      <w:r w:rsidR="005853A9">
        <w:rPr>
          <w:kern w:val="0"/>
        </w:rPr>
        <w:t xml:space="preserve"> and </w:t>
      </w:r>
      <w:r>
        <w:rPr>
          <w:kern w:val="0"/>
        </w:rPr>
        <w:lastRenderedPageBreak/>
        <w:t>vascular/stroke, it revealed</w:t>
      </w:r>
      <w:r w:rsidR="003A1917">
        <w:rPr>
          <w:kern w:val="0"/>
        </w:rPr>
        <w:t xml:space="preserve"> the </w:t>
      </w:r>
      <w:r>
        <w:rPr>
          <w:kern w:val="0"/>
        </w:rPr>
        <w:t>sharp rise</w:t>
      </w:r>
      <w:r w:rsidR="00427468">
        <w:rPr>
          <w:kern w:val="0"/>
        </w:rPr>
        <w:t xml:space="preserve"> of </w:t>
      </w:r>
      <w:r>
        <w:rPr>
          <w:kern w:val="0"/>
        </w:rPr>
        <w:t>articles from 1995 until</w:t>
      </w:r>
      <w:r w:rsidR="003A1917">
        <w:rPr>
          <w:kern w:val="0"/>
        </w:rPr>
        <w:t xml:space="preserve"> the </w:t>
      </w:r>
      <w:r>
        <w:rPr>
          <w:kern w:val="0"/>
        </w:rPr>
        <w:t>end</w:t>
      </w:r>
      <w:r w:rsidR="00427468">
        <w:rPr>
          <w:kern w:val="0"/>
        </w:rPr>
        <w:t xml:space="preserve"> of </w:t>
      </w:r>
      <w:r w:rsidR="003A1917">
        <w:rPr>
          <w:kern w:val="0"/>
        </w:rPr>
        <w:t xml:space="preserve">the </w:t>
      </w:r>
      <w:r>
        <w:rPr>
          <w:kern w:val="0"/>
        </w:rPr>
        <w:t xml:space="preserve">period covered in </w:t>
      </w:r>
      <w:r w:rsidR="00B5188C">
        <w:rPr>
          <w:kern w:val="0"/>
        </w:rPr>
        <w:t>“</w:t>
      </w:r>
      <w:r>
        <w:rPr>
          <w:kern w:val="0"/>
        </w:rPr>
        <w:t>movement disorders</w:t>
      </w:r>
      <w:r w:rsidR="00B5188C">
        <w:rPr>
          <w:kern w:val="0"/>
        </w:rPr>
        <w:t>”</w:t>
      </w:r>
      <w:r>
        <w:rPr>
          <w:kern w:val="0"/>
        </w:rPr>
        <w:t xml:space="preserve"> category. Conclusions</w:t>
      </w:r>
      <w:r w:rsidR="00A37C1D">
        <w:rPr>
          <w:kern w:val="0"/>
        </w:rPr>
        <w:t>. The</w:t>
      </w:r>
      <w:r w:rsidR="003A1917">
        <w:rPr>
          <w:kern w:val="0"/>
        </w:rPr>
        <w:t xml:space="preserve"> </w:t>
      </w:r>
      <w:r>
        <w:rPr>
          <w:kern w:val="0"/>
        </w:rPr>
        <w:t>results analyzed by this bibliometric method can show</w:t>
      </w:r>
      <w:r w:rsidR="003A1917">
        <w:rPr>
          <w:kern w:val="0"/>
        </w:rPr>
        <w:t xml:space="preserve"> the </w:t>
      </w:r>
      <w:r>
        <w:rPr>
          <w:kern w:val="0"/>
        </w:rPr>
        <w:t>research performance, significant events</w:t>
      </w:r>
      <w:r w:rsidR="005853A9">
        <w:rPr>
          <w:kern w:val="0"/>
        </w:rPr>
        <w:t xml:space="preserve"> and </w:t>
      </w:r>
      <w:r>
        <w:rPr>
          <w:kern w:val="0"/>
        </w:rPr>
        <w:t>major inventors, those attributed to stereotactic neurosurgery,</w:t>
      </w:r>
      <w:r w:rsidR="005853A9">
        <w:rPr>
          <w:kern w:val="0"/>
        </w:rPr>
        <w:t xml:space="preserve"> and </w:t>
      </w:r>
      <w:r>
        <w:rPr>
          <w:kern w:val="0"/>
        </w:rPr>
        <w:t>trend</w:t>
      </w:r>
      <w:r w:rsidR="00427468">
        <w:rPr>
          <w:kern w:val="0"/>
        </w:rPr>
        <w:t xml:space="preserve"> of </w:t>
      </w:r>
      <w:r>
        <w:rPr>
          <w:kern w:val="0"/>
        </w:rPr>
        <w:t>stereotactic related research.</w:t>
      </w:r>
    </w:p>
    <w:p w:rsidR="00E02BDB" w:rsidRDefault="00E02BDB" w:rsidP="00E02BDB">
      <w:pPr>
        <w:pStyle w:val="a3"/>
        <w:rPr>
          <w:kern w:val="0"/>
        </w:rPr>
      </w:pPr>
      <w:r>
        <w:rPr>
          <w:kern w:val="0"/>
        </w:rPr>
        <w:t>Keywords: Analysis, Articles, Bibliometric, Bibliometric Analysis, Bibliometric Method, Bibliometrics, Characteristics, Citation, Clinical, Cluster, Cluster Analysis, Countries, Country, Database, Distribution, Events, Field, First, Global</w:t>
      </w:r>
      <w:r w:rsidR="00D5664A">
        <w:rPr>
          <w:kern w:val="0"/>
        </w:rPr>
        <w:t>, ISI,</w:t>
      </w:r>
      <w:r>
        <w:rPr>
          <w:kern w:val="0"/>
        </w:rPr>
        <w:t xml:space="preserve"> Journals, Methods, Movement, Neurology, Papers, Parkinsons-Disease, Performance, Publication, Publications, Radiosurgery, Registration, Research, Research Performance, Research Trend, Science, Science Citation Index, Science Citation Index Expanded, Scientific Production, Simulation, Source, Stereotactic, Surgery, Trend, Tumor, University, </w:t>
      </w:r>
      <w:r w:rsidR="00D5664A">
        <w:rPr>
          <w:kern w:val="0"/>
        </w:rPr>
        <w:t>USA</w:t>
      </w:r>
      <w:r>
        <w:rPr>
          <w:kern w:val="0"/>
        </w:rPr>
        <w:t xml:space="preserve">, </w:t>
      </w:r>
      <w:r w:rsidR="00D5664A">
        <w:rPr>
          <w:kern w:val="0"/>
        </w:rPr>
        <w:t>Web</w:t>
      </w:r>
      <w:r w:rsidR="00427468">
        <w:rPr>
          <w:kern w:val="0"/>
        </w:rPr>
        <w:t xml:space="preserve"> of </w:t>
      </w:r>
      <w:r w:rsidR="00D5664A">
        <w:rPr>
          <w:kern w:val="0"/>
        </w:rPr>
        <w:t>Science</w:t>
      </w:r>
    </w:p>
    <w:p w:rsidR="00FC59E1" w:rsidRDefault="00FC59E1" w:rsidP="00FC59E1">
      <w:pPr>
        <w:pStyle w:val="a3"/>
        <w:rPr>
          <w:kern w:val="0"/>
        </w:rPr>
      </w:pPr>
      <w:r>
        <w:rPr>
          <w:rFonts w:hint="eastAsia"/>
          <w:kern w:val="0"/>
        </w:rPr>
        <w:t xml:space="preserve">? </w:t>
      </w:r>
      <w:r>
        <w:rPr>
          <w:kern w:val="0"/>
        </w:rPr>
        <w:t>Nieder, C., Pawinski, A.</w:t>
      </w:r>
      <w:r w:rsidR="005853A9">
        <w:rPr>
          <w:kern w:val="0"/>
        </w:rPr>
        <w:t xml:space="preserve"> and </w:t>
      </w:r>
      <w:r>
        <w:rPr>
          <w:kern w:val="0"/>
        </w:rPr>
        <w:t>Dalhaug, A. (2012), Contribution</w:t>
      </w:r>
      <w:r w:rsidR="00427468">
        <w:rPr>
          <w:kern w:val="0"/>
        </w:rPr>
        <w:t xml:space="preserve"> of </w:t>
      </w:r>
      <w:r>
        <w:rPr>
          <w:kern w:val="0"/>
        </w:rPr>
        <w:t>case reports to glioblastoma research: Systematic review</w:t>
      </w:r>
      <w:r w:rsidR="005853A9">
        <w:rPr>
          <w:kern w:val="0"/>
        </w:rPr>
        <w:t xml:space="preserve"> and </w:t>
      </w:r>
      <w:r>
        <w:rPr>
          <w:kern w:val="0"/>
        </w:rPr>
        <w:t>analysis</w:t>
      </w:r>
      <w:r w:rsidR="00427468">
        <w:rPr>
          <w:kern w:val="0"/>
        </w:rPr>
        <w:t xml:space="preserve"> of </w:t>
      </w:r>
      <w:r>
        <w:rPr>
          <w:kern w:val="0"/>
        </w:rPr>
        <w:t>pattern</w:t>
      </w:r>
      <w:r w:rsidR="00427468">
        <w:rPr>
          <w:kern w:val="0"/>
        </w:rPr>
        <w:t xml:space="preserve"> of </w:t>
      </w:r>
      <w:r>
        <w:rPr>
          <w:kern w:val="0"/>
        </w:rPr>
        <w:t xml:space="preserve">citation. </w:t>
      </w:r>
      <w:r>
        <w:rPr>
          <w:i/>
          <w:iCs/>
          <w:kern w:val="0"/>
        </w:rPr>
        <w:t>British Journal</w:t>
      </w:r>
      <w:r w:rsidR="00427468">
        <w:rPr>
          <w:i/>
          <w:iCs/>
          <w:kern w:val="0"/>
        </w:rPr>
        <w:t xml:space="preserve"> of </w:t>
      </w:r>
      <w:r>
        <w:rPr>
          <w:i/>
          <w:iCs/>
          <w:kern w:val="0"/>
        </w:rPr>
        <w:t>Neurosurgery</w:t>
      </w:r>
      <w:r>
        <w:rPr>
          <w:kern w:val="0"/>
        </w:rPr>
        <w:t xml:space="preserve">, </w:t>
      </w:r>
      <w:r>
        <w:rPr>
          <w:b/>
          <w:bCs/>
          <w:kern w:val="0"/>
        </w:rPr>
        <w:t>26</w:t>
      </w:r>
      <w:r>
        <w:rPr>
          <w:kern w:val="0"/>
        </w:rPr>
        <w:t xml:space="preserve"> (6), 809-812.</w:t>
      </w:r>
    </w:p>
    <w:p w:rsidR="00BE1997" w:rsidRDefault="00BE1997" w:rsidP="00BE1997">
      <w:pPr>
        <w:pStyle w:val="a3"/>
      </w:pPr>
      <w:r w:rsidRPr="001A3D2B">
        <w:t>Full Text:</w:t>
      </w:r>
      <w:r w:rsidRPr="00CA2B82">
        <w:t xml:space="preserve"> 201</w:t>
      </w:r>
      <w:r>
        <w:rPr>
          <w:rFonts w:hint="eastAsia"/>
        </w:rPr>
        <w:t>2</w:t>
      </w:r>
      <w:r w:rsidRPr="00CA2B82">
        <w:t>\Bri J Neu2</w:t>
      </w:r>
      <w:r>
        <w:rPr>
          <w:rFonts w:hint="eastAsia"/>
        </w:rPr>
        <w:t>6</w:t>
      </w:r>
      <w:r w:rsidRPr="00CA2B82">
        <w:t xml:space="preserve">, </w:t>
      </w:r>
      <w:r>
        <w:rPr>
          <w:rFonts w:hint="eastAsia"/>
        </w:rPr>
        <w:t>809</w:t>
      </w:r>
      <w:r w:rsidRPr="00CA2B82">
        <w:t>.pdf</w:t>
      </w:r>
      <w:r>
        <w:rPr>
          <w:rFonts w:hint="eastAsia"/>
        </w:rPr>
        <w:t xml:space="preserve">; </w:t>
      </w:r>
      <w:hyperlink r:id="rId1900" w:history="1">
        <w:r w:rsidRPr="002870B7">
          <w:rPr>
            <w:rStyle w:val="a5"/>
          </w:rPr>
          <w:t>2012\Bri J Neu26, 809-1.pdf</w:t>
        </w:r>
      </w:hyperlink>
    </w:p>
    <w:p w:rsidR="00FC59E1" w:rsidRDefault="00FC59E1" w:rsidP="00FC59E1">
      <w:pPr>
        <w:pStyle w:val="a3"/>
        <w:rPr>
          <w:kern w:val="0"/>
        </w:rPr>
      </w:pPr>
      <w:r>
        <w:rPr>
          <w:kern w:val="0"/>
        </w:rPr>
        <w:t>Abstract: Introduction. Research activity related to different aspects</w:t>
      </w:r>
      <w:r w:rsidR="00427468">
        <w:rPr>
          <w:kern w:val="0"/>
        </w:rPr>
        <w:t xml:space="preserve"> of </w:t>
      </w:r>
      <w:r>
        <w:rPr>
          <w:kern w:val="0"/>
        </w:rPr>
        <w:t>diagnosis, epidemiology</w:t>
      </w:r>
      <w:r w:rsidR="005853A9">
        <w:rPr>
          <w:kern w:val="0"/>
        </w:rPr>
        <w:t xml:space="preserve"> and </w:t>
      </w:r>
      <w:r>
        <w:rPr>
          <w:kern w:val="0"/>
        </w:rPr>
        <w:t>treatment</w:t>
      </w:r>
      <w:r w:rsidR="00427468">
        <w:rPr>
          <w:kern w:val="0"/>
        </w:rPr>
        <w:t xml:space="preserve"> of </w:t>
      </w:r>
      <w:r>
        <w:rPr>
          <w:kern w:val="0"/>
        </w:rPr>
        <w:t>glioblastoma has increased during recent years. Authors</w:t>
      </w:r>
      <w:r w:rsidR="00427468">
        <w:rPr>
          <w:kern w:val="0"/>
        </w:rPr>
        <w:t xml:space="preserve"> of </w:t>
      </w:r>
      <w:r>
        <w:rPr>
          <w:kern w:val="0"/>
        </w:rPr>
        <w:t>scientific publications are able to choose between different formats including case reports. Little is known about their influence on advancement</w:t>
      </w:r>
      <w:r w:rsidR="00427468">
        <w:rPr>
          <w:kern w:val="0"/>
        </w:rPr>
        <w:t xml:space="preserve"> of </w:t>
      </w:r>
      <w:r>
        <w:rPr>
          <w:kern w:val="0"/>
        </w:rPr>
        <w:t>the field or scientific merits. Do glioblastoma case reports attract attention or do they go largely unrecognized? Methods. Different measures</w:t>
      </w:r>
      <w:r w:rsidR="00427468">
        <w:rPr>
          <w:kern w:val="0"/>
        </w:rPr>
        <w:t xml:space="preserve"> of </w:t>
      </w:r>
      <w:r>
        <w:rPr>
          <w:kern w:val="0"/>
        </w:rPr>
        <w:t>impact, visibility</w:t>
      </w:r>
      <w:r w:rsidR="005853A9">
        <w:rPr>
          <w:kern w:val="0"/>
        </w:rPr>
        <w:t xml:space="preserve"> and </w:t>
      </w:r>
      <w:r>
        <w:rPr>
          <w:kern w:val="0"/>
        </w:rPr>
        <w:t>quality</w:t>
      </w:r>
      <w:r w:rsidR="00427468">
        <w:rPr>
          <w:kern w:val="0"/>
        </w:rPr>
        <w:t xml:space="preserve"> of </w:t>
      </w:r>
      <w:r>
        <w:rPr>
          <w:kern w:val="0"/>
        </w:rPr>
        <w:t>published research are available, each with its own pros</w:t>
      </w:r>
      <w:r w:rsidR="005853A9">
        <w:rPr>
          <w:kern w:val="0"/>
        </w:rPr>
        <w:t xml:space="preserve"> and </w:t>
      </w:r>
      <w:r>
        <w:rPr>
          <w:kern w:val="0"/>
        </w:rPr>
        <w:t>cons. For the present evaluation (to the best</w:t>
      </w:r>
      <w:r w:rsidR="00427468">
        <w:rPr>
          <w:kern w:val="0"/>
        </w:rPr>
        <w:t xml:space="preserve"> of </w:t>
      </w:r>
      <w:r>
        <w:rPr>
          <w:kern w:val="0"/>
        </w:rPr>
        <w:t>our knowledge the first one on this subject), article citation rate was chosen</w:t>
      </w:r>
      <w:r w:rsidR="00A37C1D">
        <w:rPr>
          <w:kern w:val="0"/>
        </w:rPr>
        <w:t>. The</w:t>
      </w:r>
      <w:r>
        <w:rPr>
          <w:kern w:val="0"/>
        </w:rPr>
        <w:t xml:space="preserve"> databases PubMed</w:t>
      </w:r>
      <w:r w:rsidR="005853A9">
        <w:rPr>
          <w:kern w:val="0"/>
        </w:rPr>
        <w:t xml:space="preserve"> and </w:t>
      </w:r>
      <w:r>
        <w:rPr>
          <w:kern w:val="0"/>
        </w:rPr>
        <w:t>Scopus were searched for articles that were published during the 5-year time period between 2006</w:t>
      </w:r>
      <w:r w:rsidR="005853A9">
        <w:rPr>
          <w:kern w:val="0"/>
        </w:rPr>
        <w:t xml:space="preserve"> and </w:t>
      </w:r>
      <w:r>
        <w:rPr>
          <w:kern w:val="0"/>
        </w:rPr>
        <w:t>2010. Results. We identified 5831 articles dealing with glioblastoma.</w:t>
      </w:r>
      <w:r w:rsidR="00427468">
        <w:rPr>
          <w:kern w:val="0"/>
        </w:rPr>
        <w:t xml:space="preserve"> of </w:t>
      </w:r>
      <w:r>
        <w:rPr>
          <w:kern w:val="0"/>
        </w:rPr>
        <w:t>these, 286 (4.9%) reported on single patient cases</w:t>
      </w:r>
      <w:r w:rsidR="005853A9">
        <w:rPr>
          <w:kern w:val="0"/>
        </w:rPr>
        <w:t xml:space="preserve"> and </w:t>
      </w:r>
      <w:r>
        <w:rPr>
          <w:kern w:val="0"/>
        </w:rPr>
        <w:t>15 (0.26%) were reports</w:t>
      </w:r>
      <w:r w:rsidR="00427468">
        <w:rPr>
          <w:kern w:val="0"/>
        </w:rPr>
        <w:t xml:space="preserve"> of </w:t>
      </w:r>
      <w:r>
        <w:rPr>
          <w:kern w:val="0"/>
        </w:rPr>
        <w:t>two cases</w:t>
      </w:r>
      <w:r w:rsidR="00A37C1D">
        <w:rPr>
          <w:kern w:val="0"/>
        </w:rPr>
        <w:t>. The</w:t>
      </w:r>
      <w:r>
        <w:rPr>
          <w:kern w:val="0"/>
        </w:rPr>
        <w:t xml:space="preserve"> median number</w:t>
      </w:r>
      <w:r w:rsidR="00427468">
        <w:rPr>
          <w:kern w:val="0"/>
        </w:rPr>
        <w:t xml:space="preserve"> of </w:t>
      </w:r>
      <w:r>
        <w:rPr>
          <w:kern w:val="0"/>
        </w:rPr>
        <w:t>citations was 1 (range 0-37). Stratified by year</w:t>
      </w:r>
      <w:r w:rsidR="00427468">
        <w:rPr>
          <w:kern w:val="0"/>
        </w:rPr>
        <w:t xml:space="preserve"> of </w:t>
      </w:r>
      <w:r>
        <w:rPr>
          <w:kern w:val="0"/>
        </w:rPr>
        <w:t>publication, the median number ranged from 0 for those published in 2010 to 3 for those published in 2006. Citations appeared to gradually increase during the first 2-3 years after publication. As compared to other articles, case reports were significantly less likely to receive a large number</w:t>
      </w:r>
      <w:r w:rsidR="00427468">
        <w:rPr>
          <w:kern w:val="0"/>
        </w:rPr>
        <w:t xml:space="preserve"> of </w:t>
      </w:r>
      <w:r>
        <w:rPr>
          <w:kern w:val="0"/>
        </w:rPr>
        <w:t>citations. Conclusion. Compared to other formats, the proportion</w:t>
      </w:r>
      <w:r w:rsidR="00427468">
        <w:rPr>
          <w:kern w:val="0"/>
        </w:rPr>
        <w:t xml:space="preserve"> of </w:t>
      </w:r>
      <w:r>
        <w:rPr>
          <w:kern w:val="0"/>
        </w:rPr>
        <w:t>case reports was limited</w:t>
      </w:r>
      <w:r w:rsidR="005853A9">
        <w:rPr>
          <w:kern w:val="0"/>
        </w:rPr>
        <w:t xml:space="preserve"> and </w:t>
      </w:r>
      <w:r>
        <w:rPr>
          <w:kern w:val="0"/>
        </w:rPr>
        <w:t>few</w:t>
      </w:r>
      <w:r w:rsidR="00427468">
        <w:rPr>
          <w:kern w:val="0"/>
        </w:rPr>
        <w:t xml:space="preserve"> of </w:t>
      </w:r>
      <w:r>
        <w:rPr>
          <w:kern w:val="0"/>
        </w:rPr>
        <w:t>them were highly cited. It cannot be excluded that case reports without citation provide interesting information to some readers. However, their educational value is difficult to quantify.</w:t>
      </w:r>
    </w:p>
    <w:p w:rsidR="00FC59E1" w:rsidRDefault="00FC59E1" w:rsidP="00FC59E1">
      <w:pPr>
        <w:pStyle w:val="a3"/>
        <w:rPr>
          <w:kern w:val="0"/>
        </w:rPr>
      </w:pPr>
      <w:r>
        <w:rPr>
          <w:kern w:val="0"/>
        </w:rPr>
        <w:t xml:space="preserve">Keywords: Analysis, Bevacizumab, Case Report, Case Reports, Citation, Citations, Databases, Diagnosis, Epidemiology, Evaluation, Field, First, Glioblastoma, Glioma, </w:t>
      </w:r>
      <w:r>
        <w:rPr>
          <w:kern w:val="0"/>
        </w:rPr>
        <w:lastRenderedPageBreak/>
        <w:t>Highly Cited, Highly-Cited, Impact, Impact Factor, Information, Knowledge, Malignant Glioma, Multiforme, Patient, Pattern, Publication, Publications, Pubmed, Quality, Quality Of, Recent, Recurrent Glioblastoma, Research, Research Evaluation, Review, Scientific Publications, Scientific Publishing, Scientometric Indicators, Scopus, Systematic Review, Temozolomide, Therapy, Treatment, Value, Visibility</w:t>
      </w:r>
    </w:p>
    <w:p w:rsidR="003474F2" w:rsidRPr="001A3D2B" w:rsidRDefault="003474F2" w:rsidP="003474F2">
      <w:pPr>
        <w:pStyle w:val="1"/>
      </w:pPr>
      <w:r w:rsidRPr="001A3D2B">
        <w:br w:type="page"/>
      </w:r>
      <w:bookmarkStart w:id="930" w:name="_Toc420814827"/>
      <w:r w:rsidRPr="001A3D2B">
        <w:lastRenderedPageBreak/>
        <w:t>Title: British Journal</w:t>
      </w:r>
      <w:r w:rsidR="00427468">
        <w:t xml:space="preserve"> of </w:t>
      </w:r>
      <w:r w:rsidRPr="001A3D2B">
        <w:t>Nutrition</w:t>
      </w:r>
      <w:bookmarkEnd w:id="930"/>
    </w:p>
    <w:p w:rsidR="003474F2" w:rsidRPr="001A3D2B" w:rsidRDefault="003474F2" w:rsidP="003474F2">
      <w:pPr>
        <w:pStyle w:val="12"/>
      </w:pPr>
      <w:r w:rsidRPr="001A3D2B">
        <w:t xml:space="preserve">Full Journal Title: </w:t>
      </w:r>
      <w:hyperlink r:id="rId1901" w:history="1">
        <w:r w:rsidRPr="001A3D2B">
          <w:rPr>
            <w:rStyle w:val="a5"/>
          </w:rPr>
          <w:t>British Journal</w:t>
        </w:r>
        <w:r w:rsidR="00427468">
          <w:rPr>
            <w:rStyle w:val="a5"/>
          </w:rPr>
          <w:t xml:space="preserve"> of </w:t>
        </w:r>
        <w:r w:rsidRPr="001A3D2B">
          <w:rPr>
            <w:rStyle w:val="a5"/>
          </w:rPr>
          <w:t>Nutrition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3474F2"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Trayhurn, P. (2003), Recent </w:t>
      </w:r>
      <w:r w:rsidR="00257F72">
        <w:t xml:space="preserve">highly </w:t>
      </w:r>
      <w:r w:rsidR="00F66BDB">
        <w:t>cited articles</w:t>
      </w:r>
      <w:r w:rsidRPr="001A3D2B">
        <w:t xml:space="preserve"> in</w:t>
      </w:r>
      <w:r w:rsidR="003A1917">
        <w:t xml:space="preserve"> the </w:t>
      </w:r>
      <w:r w:rsidRPr="001A3D2B">
        <w:rPr>
          <w:i/>
          <w:iCs/>
        </w:rPr>
        <w:t>British Journal</w:t>
      </w:r>
      <w:r w:rsidR="00427468">
        <w:rPr>
          <w:i/>
          <w:iCs/>
        </w:rPr>
        <w:t xml:space="preserve"> of </w:t>
      </w:r>
      <w:r w:rsidRPr="001A3D2B">
        <w:rPr>
          <w:i/>
          <w:iCs/>
        </w:rPr>
        <w:t>Nutrition</w:t>
      </w:r>
      <w:r w:rsidRPr="001A3D2B">
        <w:t xml:space="preserve">. </w:t>
      </w:r>
      <w:r w:rsidRPr="001A3D2B">
        <w:rPr>
          <w:i/>
          <w:iCs/>
        </w:rPr>
        <w:t>British Journal</w:t>
      </w:r>
      <w:r w:rsidR="00427468">
        <w:rPr>
          <w:i/>
          <w:iCs/>
        </w:rPr>
        <w:t xml:space="preserve"> of </w:t>
      </w:r>
      <w:r w:rsidRPr="001A3D2B">
        <w:rPr>
          <w:i/>
          <w:iCs/>
        </w:rPr>
        <w:t>Nutrition</w:t>
      </w:r>
      <w:r w:rsidRPr="001A3D2B">
        <w:t xml:space="preserve">, </w:t>
      </w:r>
      <w:r w:rsidRPr="001A3D2B">
        <w:rPr>
          <w:b/>
          <w:bCs/>
        </w:rPr>
        <w:t>90</w:t>
      </w:r>
      <w:r w:rsidRPr="001A3D2B">
        <w:t xml:space="preserve"> (1), 1-2.</w:t>
      </w:r>
    </w:p>
    <w:p w:rsidR="003474F2" w:rsidRPr="001A3D2B" w:rsidRDefault="003474F2" w:rsidP="003474F2">
      <w:pPr>
        <w:pStyle w:val="a3"/>
      </w:pPr>
      <w:r w:rsidRPr="001A3D2B">
        <w:t xml:space="preserve">Full Text: </w:t>
      </w:r>
      <w:hyperlink r:id="rId1902" w:history="1">
        <w:r w:rsidRPr="001A3D2B">
          <w:rPr>
            <w:rStyle w:val="a5"/>
          </w:rPr>
          <w:t>2003\Bri J Nut90, 1.pdf</w:t>
        </w:r>
      </w:hyperlink>
    </w:p>
    <w:p w:rsidR="003474F2" w:rsidRPr="001A3D2B" w:rsidRDefault="003474F2" w:rsidP="003474F2">
      <w:pPr>
        <w:pStyle w:val="a3"/>
      </w:pPr>
      <w:r w:rsidRPr="001A3D2B">
        <w:t xml:space="preserve">? Trayhurn, P. (2004), Recent </w:t>
      </w:r>
      <w:r w:rsidR="00257F72">
        <w:t xml:space="preserve">highly </w:t>
      </w:r>
      <w:r w:rsidR="00F66BDB">
        <w:t>cited articles</w:t>
      </w:r>
      <w:r w:rsidRPr="001A3D2B">
        <w:t xml:space="preserve"> in</w:t>
      </w:r>
      <w:r w:rsidR="003A1917">
        <w:t xml:space="preserve"> the </w:t>
      </w:r>
      <w:r w:rsidRPr="001A3D2B">
        <w:rPr>
          <w:i/>
          <w:iCs/>
        </w:rPr>
        <w:t>British Journal</w:t>
      </w:r>
      <w:r w:rsidR="00427468">
        <w:rPr>
          <w:i/>
          <w:iCs/>
        </w:rPr>
        <w:t xml:space="preserve"> of </w:t>
      </w:r>
      <w:r w:rsidRPr="001A3D2B">
        <w:rPr>
          <w:i/>
          <w:iCs/>
        </w:rPr>
        <w:t>Nutrition</w:t>
      </w:r>
      <w:r w:rsidRPr="001A3D2B">
        <w:t xml:space="preserve"> (including </w:t>
      </w:r>
      <w:r w:rsidRPr="001A3D2B">
        <w:rPr>
          <w:i/>
          <w:iCs/>
        </w:rPr>
        <w:t>Supplements</w:t>
      </w:r>
      <w:r w:rsidRPr="001A3D2B">
        <w:t xml:space="preserve">): An update. </w:t>
      </w:r>
      <w:r w:rsidRPr="001A3D2B">
        <w:rPr>
          <w:i/>
          <w:iCs/>
        </w:rPr>
        <w:t>British Journal</w:t>
      </w:r>
      <w:r w:rsidR="00427468">
        <w:rPr>
          <w:i/>
          <w:iCs/>
        </w:rPr>
        <w:t xml:space="preserve"> of </w:t>
      </w:r>
      <w:r w:rsidRPr="001A3D2B">
        <w:rPr>
          <w:i/>
          <w:iCs/>
        </w:rPr>
        <w:t>Nutrition</w:t>
      </w:r>
      <w:r w:rsidRPr="001A3D2B">
        <w:t xml:space="preserve">, </w:t>
      </w:r>
      <w:r w:rsidRPr="001A3D2B">
        <w:rPr>
          <w:b/>
          <w:bCs/>
        </w:rPr>
        <w:t>92</w:t>
      </w:r>
      <w:r w:rsidRPr="001A3D2B">
        <w:t xml:space="preserve"> (1), 1-3.</w:t>
      </w:r>
    </w:p>
    <w:p w:rsidR="003474F2" w:rsidRPr="001A3D2B" w:rsidRDefault="003474F2" w:rsidP="003474F2">
      <w:pPr>
        <w:pStyle w:val="a3"/>
      </w:pPr>
      <w:r w:rsidRPr="001A3D2B">
        <w:t xml:space="preserve">Full Text: </w:t>
      </w:r>
      <w:hyperlink r:id="rId1903" w:history="1">
        <w:r w:rsidRPr="001A3D2B">
          <w:rPr>
            <w:rStyle w:val="a5"/>
          </w:rPr>
          <w:t>2004\Bri J Nut92, 1.pdf</w:t>
        </w:r>
      </w:hyperlink>
    </w:p>
    <w:p w:rsidR="003474F2" w:rsidRPr="001A3D2B" w:rsidRDefault="003474F2" w:rsidP="003474F2">
      <w:pPr>
        <w:pStyle w:val="a3"/>
      </w:pPr>
      <w:r w:rsidRPr="001A3D2B">
        <w:t>? Trayhurn, P. (2005), Tempus fugit - evolution</w:t>
      </w:r>
      <w:r w:rsidR="005853A9">
        <w:t xml:space="preserve"> and </w:t>
      </w:r>
      <w:r w:rsidRPr="001A3D2B">
        <w:t>current impact</w:t>
      </w:r>
      <w:r w:rsidR="00427468">
        <w:t xml:space="preserve"> of </w:t>
      </w:r>
      <w:r w:rsidR="003A1917">
        <w:t xml:space="preserve">the </w:t>
      </w:r>
      <w:r w:rsidRPr="001A3D2B">
        <w:rPr>
          <w:i/>
        </w:rPr>
        <w:t>British Journal</w:t>
      </w:r>
      <w:r w:rsidR="00427468">
        <w:rPr>
          <w:i/>
        </w:rPr>
        <w:t xml:space="preserve"> of </w:t>
      </w:r>
      <w:r w:rsidRPr="001A3D2B">
        <w:rPr>
          <w:i/>
        </w:rPr>
        <w:t>Nutrition</w:t>
      </w:r>
      <w:r w:rsidRPr="001A3D2B">
        <w:t xml:space="preserve">. </w:t>
      </w:r>
      <w:r w:rsidRPr="001A3D2B">
        <w:rPr>
          <w:i/>
          <w:iCs/>
        </w:rPr>
        <w:t>British Journal</w:t>
      </w:r>
      <w:r w:rsidR="00427468">
        <w:rPr>
          <w:i/>
          <w:iCs/>
        </w:rPr>
        <w:t xml:space="preserve"> of </w:t>
      </w:r>
      <w:r w:rsidRPr="001A3D2B">
        <w:rPr>
          <w:i/>
          <w:iCs/>
        </w:rPr>
        <w:t>Nutrition</w:t>
      </w:r>
      <w:r w:rsidRPr="001A3D2B">
        <w:t xml:space="preserve">, </w:t>
      </w:r>
      <w:r w:rsidRPr="001A3D2B">
        <w:rPr>
          <w:b/>
          <w:bCs/>
        </w:rPr>
        <w:t>94</w:t>
      </w:r>
      <w:r w:rsidRPr="001A3D2B">
        <w:t xml:space="preserve"> (3), 299-301.</w:t>
      </w:r>
    </w:p>
    <w:p w:rsidR="003474F2" w:rsidRPr="001A3D2B" w:rsidRDefault="003474F2" w:rsidP="003474F2">
      <w:pPr>
        <w:pStyle w:val="a3"/>
      </w:pPr>
      <w:r w:rsidRPr="001A3D2B">
        <w:t xml:space="preserve">Full Text: </w:t>
      </w:r>
      <w:hyperlink r:id="rId1904" w:history="1">
        <w:r w:rsidRPr="001A3D2B">
          <w:rPr>
            <w:rStyle w:val="a5"/>
          </w:rPr>
          <w:t>2005\Bri J Nut94, 299.pdf</w:t>
        </w:r>
      </w:hyperlink>
    </w:p>
    <w:p w:rsidR="00066B28" w:rsidRPr="001A3D2B" w:rsidRDefault="00066B28" w:rsidP="00066B28">
      <w:pPr>
        <w:pStyle w:val="a3"/>
        <w:rPr>
          <w:kern w:val="0"/>
        </w:rPr>
      </w:pPr>
      <w:r w:rsidRPr="001A3D2B">
        <w:rPr>
          <w:kern w:val="0"/>
        </w:rPr>
        <w:t>? Petrov, M.S., Pylypchuk, R.D.</w:t>
      </w:r>
      <w:r w:rsidR="005853A9">
        <w:rPr>
          <w:kern w:val="0"/>
        </w:rPr>
        <w:t xml:space="preserve"> and </w:t>
      </w:r>
      <w:r w:rsidRPr="001A3D2B">
        <w:rPr>
          <w:kern w:val="0"/>
        </w:rPr>
        <w:t>Uchugina, A.F. (2009), A systematic review on</w:t>
      </w:r>
      <w:r w:rsidR="003A1917">
        <w:rPr>
          <w:kern w:val="0"/>
        </w:rPr>
        <w:t xml:space="preserve"> the </w:t>
      </w:r>
      <w:r w:rsidRPr="001A3D2B">
        <w:rPr>
          <w:kern w:val="0"/>
        </w:rPr>
        <w:t>timing</w:t>
      </w:r>
      <w:r w:rsidR="00427468">
        <w:rPr>
          <w:kern w:val="0"/>
        </w:rPr>
        <w:t xml:space="preserve"> of </w:t>
      </w:r>
      <w:r w:rsidRPr="001A3D2B">
        <w:rPr>
          <w:kern w:val="0"/>
        </w:rPr>
        <w:t xml:space="preserve">artificial nutrition in acute pancreatitis. </w:t>
      </w:r>
      <w:r w:rsidRPr="001A3D2B">
        <w:rPr>
          <w:i/>
          <w:iCs/>
          <w:kern w:val="0"/>
        </w:rPr>
        <w:t>British Journal</w:t>
      </w:r>
      <w:r w:rsidR="00427468">
        <w:rPr>
          <w:i/>
          <w:iCs/>
          <w:kern w:val="0"/>
        </w:rPr>
        <w:t xml:space="preserve"> of </w:t>
      </w:r>
      <w:r w:rsidRPr="001A3D2B">
        <w:rPr>
          <w:i/>
          <w:iCs/>
          <w:kern w:val="0"/>
        </w:rPr>
        <w:t>Nutrition</w:t>
      </w:r>
      <w:r w:rsidRPr="001A3D2B">
        <w:rPr>
          <w:kern w:val="0"/>
        </w:rPr>
        <w:t xml:space="preserve">, </w:t>
      </w:r>
      <w:r w:rsidRPr="001A3D2B">
        <w:rPr>
          <w:b/>
          <w:bCs/>
          <w:kern w:val="0"/>
        </w:rPr>
        <w:t>101</w:t>
      </w:r>
      <w:r w:rsidRPr="001A3D2B">
        <w:rPr>
          <w:kern w:val="0"/>
        </w:rPr>
        <w:t xml:space="preserve"> (6), 787-793.</w:t>
      </w:r>
    </w:p>
    <w:p w:rsidR="008F2F9C" w:rsidRDefault="008F2F9C" w:rsidP="008F2F9C">
      <w:pPr>
        <w:pStyle w:val="a3"/>
        <w:rPr>
          <w:kern w:val="2"/>
        </w:rPr>
      </w:pPr>
      <w:r>
        <w:t xml:space="preserve">Full Text: </w:t>
      </w:r>
      <w:hyperlink r:id="rId1905" w:history="1">
        <w:r w:rsidRPr="00B029EE">
          <w:rPr>
            <w:rStyle w:val="a5"/>
          </w:rPr>
          <w:t>2009\Bri J Nut101, 787.pdf</w:t>
        </w:r>
      </w:hyperlink>
    </w:p>
    <w:p w:rsidR="00066B28" w:rsidRPr="001A3D2B" w:rsidRDefault="00066B28" w:rsidP="00066B28">
      <w:pPr>
        <w:pStyle w:val="a3"/>
        <w:rPr>
          <w:kern w:val="2"/>
        </w:rPr>
      </w:pPr>
      <w:r w:rsidRPr="001A3D2B">
        <w:rPr>
          <w:kern w:val="0"/>
        </w:rPr>
        <w:t>Abstract: Artificial nutrition is an inherent part</w:t>
      </w:r>
      <w:r w:rsidR="00427468">
        <w:rPr>
          <w:kern w:val="0"/>
        </w:rPr>
        <w:t xml:space="preserve"> of </w:t>
      </w:r>
      <w:r w:rsidRPr="001A3D2B">
        <w:rPr>
          <w:kern w:val="0"/>
        </w:rPr>
        <w:t>management in acute pancreatitis. However, there is no consensus regarding</w:t>
      </w:r>
      <w:r w:rsidR="003A1917">
        <w:rPr>
          <w:kern w:val="0"/>
        </w:rPr>
        <w:t xml:space="preserve"> the </w:t>
      </w:r>
      <w:r w:rsidRPr="001A3D2B">
        <w:rPr>
          <w:kern w:val="0"/>
        </w:rPr>
        <w:t>optimal time</w:t>
      </w:r>
      <w:r w:rsidR="00427468">
        <w:rPr>
          <w:kern w:val="0"/>
        </w:rPr>
        <w:t xml:space="preserve"> of </w:t>
      </w:r>
      <w:r w:rsidR="003A1917">
        <w:rPr>
          <w:kern w:val="0"/>
        </w:rPr>
        <w:t xml:space="preserve">the </w:t>
      </w:r>
      <w:r w:rsidRPr="001A3D2B">
        <w:rPr>
          <w:kern w:val="0"/>
        </w:rPr>
        <w:t>commencement</w:t>
      </w:r>
      <w:r w:rsidR="00427468">
        <w:rPr>
          <w:kern w:val="0"/>
        </w:rPr>
        <w:t xml:space="preserve"> of </w:t>
      </w:r>
      <w:r w:rsidRPr="001A3D2B">
        <w:rPr>
          <w:kern w:val="0"/>
        </w:rPr>
        <w:t>feeding in these patients. Our aim was to compare</w:t>
      </w:r>
      <w:r w:rsidR="003A1917">
        <w:rPr>
          <w:kern w:val="0"/>
        </w:rPr>
        <w:t xml:space="preserve"> the </w:t>
      </w:r>
      <w:r w:rsidRPr="001A3D2B">
        <w:rPr>
          <w:kern w:val="0"/>
        </w:rPr>
        <w:t>effect</w:t>
      </w:r>
      <w:r w:rsidR="00427468">
        <w:rPr>
          <w:kern w:val="0"/>
        </w:rPr>
        <w:t xml:space="preserve"> of </w:t>
      </w:r>
      <w:r w:rsidRPr="001A3D2B">
        <w:rPr>
          <w:kern w:val="0"/>
        </w:rPr>
        <w:t>enteral v. parenteral nutrition with regard to</w:t>
      </w:r>
      <w:r w:rsidR="003A1917">
        <w:rPr>
          <w:kern w:val="0"/>
        </w:rPr>
        <w:t xml:space="preserve"> the </w:t>
      </w:r>
      <w:r w:rsidRPr="001A3D2B">
        <w:rPr>
          <w:kern w:val="0"/>
        </w:rPr>
        <w:t>time point,, when they were administered in</w:t>
      </w:r>
      <w:r w:rsidR="003A1917">
        <w:rPr>
          <w:kern w:val="0"/>
        </w:rPr>
        <w:t xml:space="preserve"> the </w:t>
      </w:r>
      <w:r w:rsidRPr="001A3D2B">
        <w:rPr>
          <w:kern w:val="0"/>
        </w:rPr>
        <w:t>randomised controlled trials</w:t>
      </w:r>
      <w:r w:rsidR="00A37C1D">
        <w:rPr>
          <w:kern w:val="0"/>
        </w:rPr>
        <w:t>. The</w:t>
      </w:r>
      <w:r w:rsidR="003A1917">
        <w:rPr>
          <w:kern w:val="0"/>
        </w:rPr>
        <w:t xml:space="preserve"> </w:t>
      </w:r>
      <w:r w:rsidRPr="001A3D2B">
        <w:rPr>
          <w:kern w:val="0"/>
        </w:rPr>
        <w:t>search was undertaken in</w:t>
      </w:r>
      <w:r w:rsidR="003A1917">
        <w:rPr>
          <w:kern w:val="0"/>
        </w:rPr>
        <w:t xml:space="preserve"> the </w:t>
      </w:r>
      <w:r w:rsidRPr="001A3D2B">
        <w:rPr>
          <w:kern w:val="0"/>
        </w:rPr>
        <w:t>Cochrane Central Register</w:t>
      </w:r>
      <w:r w:rsidR="00427468">
        <w:rPr>
          <w:kern w:val="0"/>
        </w:rPr>
        <w:t xml:space="preserve"> of </w:t>
      </w:r>
      <w:r w:rsidRPr="001A3D2B">
        <w:rPr>
          <w:kern w:val="0"/>
        </w:rPr>
        <w:t xml:space="preserve">Controlled Trials, </w:t>
      </w:r>
      <w:r w:rsidR="00D5664A">
        <w:rPr>
          <w:kern w:val="0"/>
        </w:rPr>
        <w:t>MEDLINE</w:t>
      </w:r>
      <w:r w:rsidR="005853A9">
        <w:rPr>
          <w:kern w:val="0"/>
        </w:rPr>
        <w:t xml:space="preserve"> and </w:t>
      </w:r>
      <w:r w:rsidRPr="001A3D2B">
        <w:rPr>
          <w:kern w:val="0"/>
        </w:rPr>
        <w:t>Science Citation Index as well as in</w:t>
      </w:r>
      <w:r w:rsidR="003A1917">
        <w:rPr>
          <w:kern w:val="0"/>
        </w:rPr>
        <w:t xml:space="preserve"> the </w:t>
      </w:r>
      <w:r w:rsidRPr="001A3D2B">
        <w:rPr>
          <w:kern w:val="0"/>
        </w:rPr>
        <w:t>proceedings</w:t>
      </w:r>
      <w:r w:rsidR="00427468">
        <w:rPr>
          <w:kern w:val="0"/>
        </w:rPr>
        <w:t xml:space="preserve"> of </w:t>
      </w:r>
      <w:r w:rsidRPr="001A3D2B">
        <w:rPr>
          <w:kern w:val="0"/>
        </w:rPr>
        <w:t>major gastroenterology meetings</w:t>
      </w:r>
      <w:r w:rsidR="00A37C1D">
        <w:rPr>
          <w:kern w:val="0"/>
        </w:rPr>
        <w:t>. The</w:t>
      </w:r>
      <w:r w:rsidR="003A1917">
        <w:rPr>
          <w:kern w:val="0"/>
        </w:rPr>
        <w:t xml:space="preserve"> </w:t>
      </w:r>
      <w:r w:rsidRPr="001A3D2B">
        <w:rPr>
          <w:kern w:val="0"/>
        </w:rPr>
        <w:t>summary estimate</w:t>
      </w:r>
      <w:r w:rsidR="00427468">
        <w:rPr>
          <w:kern w:val="0"/>
        </w:rPr>
        <w:t xml:space="preserve"> of </w:t>
      </w:r>
      <w:r w:rsidR="003A1917">
        <w:rPr>
          <w:kern w:val="0"/>
        </w:rPr>
        <w:t xml:space="preserve">the </w:t>
      </w:r>
      <w:r w:rsidRPr="001A3D2B">
        <w:rPr>
          <w:kern w:val="0"/>
        </w:rPr>
        <w:t>effect associated with artificial nutrition was calculated using a random-effects model</w:t>
      </w:r>
      <w:r w:rsidR="005853A9">
        <w:rPr>
          <w:kern w:val="0"/>
        </w:rPr>
        <w:t xml:space="preserve"> and </w:t>
      </w:r>
      <w:r w:rsidRPr="001A3D2B">
        <w:rPr>
          <w:kern w:val="0"/>
        </w:rPr>
        <w:t>presented as a risk ratio (RR)</w:t>
      </w:r>
      <w:r w:rsidR="005853A9">
        <w:rPr>
          <w:kern w:val="0"/>
        </w:rPr>
        <w:t xml:space="preserve"> and </w:t>
      </w:r>
      <w:r w:rsidRPr="001A3D2B">
        <w:rPr>
          <w:kern w:val="0"/>
        </w:rPr>
        <w:t>95 % Cl. A total</w:t>
      </w:r>
      <w:r w:rsidR="00427468">
        <w:rPr>
          <w:kern w:val="0"/>
        </w:rPr>
        <w:t xml:space="preserve"> of </w:t>
      </w:r>
      <w:r w:rsidRPr="001A3D2B">
        <w:rPr>
          <w:kern w:val="0"/>
        </w:rPr>
        <w:t>eleven randomised controlled trials were included. When started within 48 h</w:t>
      </w:r>
      <w:r w:rsidR="00427468">
        <w:rPr>
          <w:kern w:val="0"/>
        </w:rPr>
        <w:t xml:space="preserve"> of </w:t>
      </w:r>
      <w:r w:rsidRPr="001A3D2B">
        <w:rPr>
          <w:kern w:val="0"/>
        </w:rPr>
        <w:t>admission, enteral nutrition, in comparison with parenteral nutrition, resulted in a statistically significant reduction in</w:t>
      </w:r>
      <w:r w:rsidR="003A1917">
        <w:rPr>
          <w:kern w:val="0"/>
        </w:rPr>
        <w:t xml:space="preserve"> the </w:t>
      </w:r>
      <w:r w:rsidRPr="001A3D2B">
        <w:rPr>
          <w:kern w:val="0"/>
        </w:rPr>
        <w:t>risks</w:t>
      </w:r>
      <w:r w:rsidR="00427468">
        <w:rPr>
          <w:kern w:val="0"/>
        </w:rPr>
        <w:t xml:space="preserve"> of </w:t>
      </w:r>
      <w:r w:rsidRPr="001A3D2B">
        <w:rPr>
          <w:kern w:val="0"/>
        </w:rPr>
        <w:t xml:space="preserve">multiple organ failure (RR 0.44; 95 % Cl 0.23, 0.84), pancreatic </w:t>
      </w:r>
      <w:r w:rsidRPr="001A3D2B">
        <w:rPr>
          <w:kern w:val="0"/>
        </w:rPr>
        <w:lastRenderedPageBreak/>
        <w:t>infectious complications (RR 0-46; 95 % Cl 0.27, 0.77)</w:t>
      </w:r>
      <w:r w:rsidR="005853A9">
        <w:rPr>
          <w:kern w:val="0"/>
        </w:rPr>
        <w:t xml:space="preserve"> and </w:t>
      </w:r>
      <w:r w:rsidRPr="001A3D2B">
        <w:rPr>
          <w:kern w:val="0"/>
        </w:rPr>
        <w:t>mortality (RR 0.46; 95 % Cl 0.20, 0.99). After 48 h</w:t>
      </w:r>
      <w:r w:rsidR="00427468">
        <w:rPr>
          <w:kern w:val="0"/>
        </w:rPr>
        <w:t xml:space="preserve"> of </w:t>
      </w:r>
      <w:r w:rsidRPr="001A3D2B">
        <w:rPr>
          <w:kern w:val="0"/>
        </w:rPr>
        <w:t>admission, enteral nutrition, ill Comparison with parenteral nutrition, did not result in a statistically significant reduction in</w:t>
      </w:r>
      <w:r w:rsidR="003A1917">
        <w:rPr>
          <w:kern w:val="0"/>
        </w:rPr>
        <w:t xml:space="preserve"> the </w:t>
      </w:r>
      <w:r w:rsidRPr="001A3D2B">
        <w:rPr>
          <w:kern w:val="0"/>
        </w:rPr>
        <w:t>risks</w:t>
      </w:r>
      <w:r w:rsidR="00427468">
        <w:rPr>
          <w:kern w:val="0"/>
        </w:rPr>
        <w:t xml:space="preserve"> of </w:t>
      </w:r>
      <w:r w:rsidRPr="001A3D2B">
        <w:rPr>
          <w:kern w:val="0"/>
        </w:rPr>
        <w:t>multiple organ failure (RR 0.73; 95 % Cl 0.33, 1.63), pancreatic infectious complications (RR 0.31; 95 % Cl 0.07, 1.34)</w:t>
      </w:r>
      <w:r w:rsidR="005853A9">
        <w:rPr>
          <w:kern w:val="0"/>
        </w:rPr>
        <w:t xml:space="preserve"> and </w:t>
      </w:r>
      <w:r w:rsidRPr="001A3D2B">
        <w:rPr>
          <w:kern w:val="0"/>
        </w:rPr>
        <w:t>mortality (RR 0.67: 95 % Cl 0.22, 2.10). Enteral nutrition is more effective than parenteral nutrition in reducing</w:t>
      </w:r>
      <w:r w:rsidR="003A1917">
        <w:rPr>
          <w:kern w:val="0"/>
        </w:rPr>
        <w:t xml:space="preserve"> the </w:t>
      </w:r>
      <w:r w:rsidRPr="001A3D2B">
        <w:rPr>
          <w:kern w:val="0"/>
        </w:rPr>
        <w:t>risk</w:t>
      </w:r>
      <w:r w:rsidR="00427468">
        <w:rPr>
          <w:kern w:val="0"/>
        </w:rPr>
        <w:t xml:space="preserve"> of </w:t>
      </w:r>
      <w:r w:rsidRPr="001A3D2B">
        <w:rPr>
          <w:kern w:val="0"/>
        </w:rPr>
        <w:t>multiple organ failure, pancreatic infectious complications</w:t>
      </w:r>
      <w:r w:rsidR="005853A9">
        <w:rPr>
          <w:kern w:val="0"/>
        </w:rPr>
        <w:t xml:space="preserve"> and </w:t>
      </w:r>
      <w:r w:rsidRPr="001A3D2B">
        <w:rPr>
          <w:kern w:val="0"/>
        </w:rPr>
        <w:t>mortality in patients with acute pancreatitis</w:t>
      </w:r>
      <w:r w:rsidR="00A37C1D">
        <w:rPr>
          <w:kern w:val="0"/>
        </w:rPr>
        <w:t>. The</w:t>
      </w:r>
      <w:r w:rsidR="003A1917">
        <w:rPr>
          <w:kern w:val="0"/>
        </w:rPr>
        <w:t xml:space="preserve"> </w:t>
      </w:r>
      <w:r w:rsidRPr="001A3D2B">
        <w:rPr>
          <w:kern w:val="0"/>
        </w:rPr>
        <w:t>magnitude</w:t>
      </w:r>
      <w:r w:rsidR="00427468">
        <w:rPr>
          <w:kern w:val="0"/>
        </w:rPr>
        <w:t xml:space="preserve"> of </w:t>
      </w:r>
      <w:r w:rsidRPr="001A3D2B">
        <w:rPr>
          <w:kern w:val="0"/>
        </w:rPr>
        <w:t>these benefits may depend on</w:t>
      </w:r>
      <w:r w:rsidR="003A1917">
        <w:rPr>
          <w:kern w:val="0"/>
        </w:rPr>
        <w:t xml:space="preserve"> the </w:t>
      </w:r>
      <w:r w:rsidRPr="001A3D2B">
        <w:rPr>
          <w:kern w:val="0"/>
        </w:rPr>
        <w:t>timing</w:t>
      </w:r>
      <w:r w:rsidR="00427468">
        <w:rPr>
          <w:kern w:val="0"/>
        </w:rPr>
        <w:t xml:space="preserve"> of </w:t>
      </w:r>
      <w:r w:rsidR="003A1917">
        <w:rPr>
          <w:kern w:val="0"/>
        </w:rPr>
        <w:t xml:space="preserve">the </w:t>
      </w:r>
      <w:r w:rsidRPr="001A3D2B">
        <w:rPr>
          <w:kern w:val="0"/>
        </w:rPr>
        <w:t>commencement</w:t>
      </w:r>
      <w:r w:rsidR="00427468">
        <w:rPr>
          <w:kern w:val="0"/>
        </w:rPr>
        <w:t xml:space="preserve"> of </w:t>
      </w:r>
      <w:r w:rsidRPr="001A3D2B">
        <w:rPr>
          <w:kern w:val="0"/>
        </w:rPr>
        <w:t>nutrition.</w:t>
      </w:r>
    </w:p>
    <w:p w:rsidR="00066B28" w:rsidRPr="001A3D2B" w:rsidRDefault="00066B28" w:rsidP="00066B28">
      <w:pPr>
        <w:pStyle w:val="a3"/>
        <w:rPr>
          <w:kern w:val="0"/>
        </w:rPr>
      </w:pPr>
      <w:r w:rsidRPr="001A3D2B">
        <w:rPr>
          <w:kern w:val="0"/>
        </w:rPr>
        <w:t xml:space="preserve">Keywords: Acute Pancreatitis, Citation, Complications, Early Enteral Nutrition, Enteral Nutrition, Infection, Management, </w:t>
      </w:r>
      <w:r w:rsidR="00D5664A">
        <w:rPr>
          <w:kern w:val="0"/>
        </w:rPr>
        <w:t>MEDLINE</w:t>
      </w:r>
      <w:r w:rsidRPr="001A3D2B">
        <w:rPr>
          <w:kern w:val="0"/>
        </w:rPr>
        <w:t>, Meta-Analysis, Metaanalysis, Mortality, Parenteral Nutrition, Quality, Randomized Controlled-Trial, Support, Systematic Review, Timing, Total Parenteral-Nutrition</w:t>
      </w:r>
    </w:p>
    <w:p w:rsidR="00255950" w:rsidRDefault="00255950" w:rsidP="00255950">
      <w:pPr>
        <w:pStyle w:val="a3"/>
        <w:rPr>
          <w:kern w:val="0"/>
        </w:rPr>
      </w:pPr>
      <w:r>
        <w:rPr>
          <w:rFonts w:hint="eastAsia"/>
          <w:kern w:val="0"/>
        </w:rPr>
        <w:t xml:space="preserve">? </w:t>
      </w:r>
      <w:r>
        <w:rPr>
          <w:kern w:val="0"/>
        </w:rPr>
        <w:t>Wanden-Berghe, C., Sanz-Valero, J., Escriba-Aguir, V., Castello-Botia, I.</w:t>
      </w:r>
      <w:r w:rsidR="005853A9">
        <w:rPr>
          <w:kern w:val="0"/>
        </w:rPr>
        <w:t xml:space="preserve"> and </w:t>
      </w:r>
      <w:r>
        <w:rPr>
          <w:kern w:val="0"/>
        </w:rPr>
        <w:t>Guardiola-Wanden-Berghe, R. (2009), Evaluation</w:t>
      </w:r>
      <w:r w:rsidR="00427468">
        <w:rPr>
          <w:kern w:val="0"/>
        </w:rPr>
        <w:t xml:space="preserve"> of </w:t>
      </w:r>
      <w:r>
        <w:rPr>
          <w:kern w:val="0"/>
        </w:rPr>
        <w:t>quality</w:t>
      </w:r>
      <w:r w:rsidR="00427468">
        <w:rPr>
          <w:kern w:val="0"/>
        </w:rPr>
        <w:t xml:space="preserve"> of </w:t>
      </w:r>
      <w:r>
        <w:rPr>
          <w:kern w:val="0"/>
        </w:rPr>
        <w:t xml:space="preserve">life related to nutritional status. </w:t>
      </w:r>
      <w:r>
        <w:rPr>
          <w:i/>
          <w:iCs/>
          <w:kern w:val="0"/>
        </w:rPr>
        <w:t>British Journal</w:t>
      </w:r>
      <w:r w:rsidR="00427468">
        <w:rPr>
          <w:i/>
          <w:iCs/>
          <w:kern w:val="0"/>
        </w:rPr>
        <w:t xml:space="preserve"> of </w:t>
      </w:r>
      <w:r>
        <w:rPr>
          <w:i/>
          <w:iCs/>
          <w:kern w:val="0"/>
        </w:rPr>
        <w:t>Nutrition</w:t>
      </w:r>
      <w:r>
        <w:rPr>
          <w:kern w:val="0"/>
        </w:rPr>
        <w:t xml:space="preserve">, </w:t>
      </w:r>
      <w:r>
        <w:rPr>
          <w:b/>
          <w:bCs/>
          <w:kern w:val="0"/>
        </w:rPr>
        <w:t>101</w:t>
      </w:r>
      <w:r>
        <w:rPr>
          <w:kern w:val="0"/>
        </w:rPr>
        <w:t xml:space="preserve"> (7), 950-960.</w:t>
      </w:r>
    </w:p>
    <w:p w:rsidR="00255950" w:rsidRPr="000B7456" w:rsidRDefault="00255950" w:rsidP="00255950">
      <w:pPr>
        <w:pStyle w:val="a3"/>
      </w:pPr>
      <w:r>
        <w:t>Full Text:</w:t>
      </w:r>
      <w:r w:rsidRPr="000B7456">
        <w:t xml:space="preserve"> </w:t>
      </w:r>
      <w:r>
        <w:t>200</w:t>
      </w:r>
      <w:r>
        <w:rPr>
          <w:rFonts w:hint="eastAsia"/>
        </w:rPr>
        <w:t>9</w:t>
      </w:r>
      <w:r>
        <w:t>\Bri J Nut</w:t>
      </w:r>
      <w:r>
        <w:rPr>
          <w:rFonts w:hint="eastAsia"/>
        </w:rPr>
        <w:t>101</w:t>
      </w:r>
      <w:r>
        <w:t xml:space="preserve">, </w:t>
      </w:r>
      <w:r>
        <w:rPr>
          <w:rFonts w:hint="eastAsia"/>
        </w:rPr>
        <w:t>950</w:t>
      </w:r>
      <w:r w:rsidRPr="00A736AC">
        <w:t>.pdf</w:t>
      </w:r>
    </w:p>
    <w:p w:rsidR="00255950" w:rsidRDefault="00255950" w:rsidP="00255950">
      <w:pPr>
        <w:pStyle w:val="a3"/>
        <w:rPr>
          <w:kern w:val="0"/>
        </w:rPr>
      </w:pPr>
      <w:r>
        <w:rPr>
          <w:kern w:val="0"/>
        </w:rPr>
        <w:t>Abstract:</w:t>
      </w:r>
      <w:r w:rsidR="003A1917">
        <w:rPr>
          <w:kern w:val="0"/>
        </w:rPr>
        <w:t xml:space="preserve"> the </w:t>
      </w:r>
      <w:r>
        <w:rPr>
          <w:kern w:val="0"/>
        </w:rPr>
        <w:t>way in which</w:t>
      </w:r>
      <w:r w:rsidR="003A1917">
        <w:rPr>
          <w:kern w:val="0"/>
        </w:rPr>
        <w:t xml:space="preserve"> the </w:t>
      </w:r>
      <w:r>
        <w:rPr>
          <w:kern w:val="0"/>
        </w:rPr>
        <w:t>quality</w:t>
      </w:r>
      <w:r w:rsidR="00427468">
        <w:rPr>
          <w:kern w:val="0"/>
        </w:rPr>
        <w:t xml:space="preserve"> of </w:t>
      </w:r>
      <w:r>
        <w:rPr>
          <w:kern w:val="0"/>
        </w:rPr>
        <w:t>life related to health (HRQoL) is affected by</w:t>
      </w:r>
      <w:r w:rsidR="003A1917">
        <w:rPr>
          <w:kern w:val="0"/>
        </w:rPr>
        <w:t xml:space="preserve"> the </w:t>
      </w:r>
      <w:r>
        <w:rPr>
          <w:kern w:val="0"/>
        </w:rPr>
        <w:t>nutritional status</w:t>
      </w:r>
      <w:r w:rsidR="00427468">
        <w:rPr>
          <w:kern w:val="0"/>
        </w:rPr>
        <w:t xml:space="preserve"> of </w:t>
      </w:r>
      <w:r w:rsidR="003A1917">
        <w:rPr>
          <w:kern w:val="0"/>
        </w:rPr>
        <w:t xml:space="preserve">the </w:t>
      </w:r>
      <w:r>
        <w:rPr>
          <w:kern w:val="0"/>
        </w:rPr>
        <w:t>patient is a subject</w:t>
      </w:r>
      <w:r w:rsidR="00427468">
        <w:rPr>
          <w:kern w:val="0"/>
        </w:rPr>
        <w:t xml:space="preserve"> of </w:t>
      </w:r>
      <w:r>
        <w:rPr>
          <w:kern w:val="0"/>
        </w:rPr>
        <w:t>constant interest</w:t>
      </w:r>
      <w:r w:rsidR="005853A9">
        <w:rPr>
          <w:kern w:val="0"/>
        </w:rPr>
        <w:t xml:space="preserve"> and </w:t>
      </w:r>
      <w:r>
        <w:rPr>
          <w:kern w:val="0"/>
        </w:rPr>
        <w:t>permanent debate</w:t>
      </w:r>
      <w:r w:rsidR="00A37C1D">
        <w:rPr>
          <w:kern w:val="0"/>
        </w:rPr>
        <w:t>. The</w:t>
      </w:r>
      <w:r w:rsidR="003A1917">
        <w:rPr>
          <w:kern w:val="0"/>
        </w:rPr>
        <w:t xml:space="preserve"> </w:t>
      </w:r>
      <w:r>
        <w:rPr>
          <w:kern w:val="0"/>
        </w:rPr>
        <w:t>purpose</w:t>
      </w:r>
      <w:r w:rsidR="00427468">
        <w:rPr>
          <w:kern w:val="0"/>
        </w:rPr>
        <w:t xml:space="preserve"> of </w:t>
      </w:r>
      <w:r w:rsidR="003A1917">
        <w:rPr>
          <w:kern w:val="0"/>
        </w:rPr>
        <w:t xml:space="preserve">the </w:t>
      </w:r>
      <w:r>
        <w:rPr>
          <w:kern w:val="0"/>
        </w:rPr>
        <w:t>present paper is to review those studies that relate HRQoL to nutritional status</w:t>
      </w:r>
      <w:r w:rsidR="005853A9">
        <w:rPr>
          <w:kern w:val="0"/>
        </w:rPr>
        <w:t xml:space="preserve"> and </w:t>
      </w:r>
      <w:r>
        <w:rPr>
          <w:kern w:val="0"/>
        </w:rPr>
        <w:t>examine</w:t>
      </w:r>
      <w:r w:rsidR="003A1917">
        <w:rPr>
          <w:kern w:val="0"/>
        </w:rPr>
        <w:t xml:space="preserve"> the </w:t>
      </w:r>
      <w:r>
        <w:rPr>
          <w:kern w:val="0"/>
        </w:rPr>
        <w:t>tools (questionnaires) that they use to investigate this relationship. A critical review</w:t>
      </w:r>
      <w:r w:rsidR="00427468">
        <w:rPr>
          <w:kern w:val="0"/>
        </w:rPr>
        <w:t xml:space="preserve"> of </w:t>
      </w:r>
      <w:r>
        <w:rPr>
          <w:kern w:val="0"/>
        </w:rPr>
        <w:t>published studies was carried out via an investigation</w:t>
      </w:r>
      <w:r w:rsidR="00427468">
        <w:rPr>
          <w:kern w:val="0"/>
        </w:rPr>
        <w:t xml:space="preserve"> of </w:t>
      </w:r>
      <w:r w:rsidR="003A1917">
        <w:rPr>
          <w:kern w:val="0"/>
        </w:rPr>
        <w:t xml:space="preserve">the </w:t>
      </w:r>
      <w:r>
        <w:rPr>
          <w:kern w:val="0"/>
        </w:rPr>
        <w:t xml:space="preserve">following databases: </w:t>
      </w:r>
      <w:r w:rsidR="00D5664A">
        <w:rPr>
          <w:kern w:val="0"/>
        </w:rPr>
        <w:t>MEDLINE</w:t>
      </w:r>
      <w:r>
        <w:rPr>
          <w:kern w:val="0"/>
        </w:rPr>
        <w:t xml:space="preserve"> (via </w:t>
      </w:r>
      <w:r w:rsidR="002C12F0">
        <w:rPr>
          <w:kern w:val="0"/>
        </w:rPr>
        <w:t>PUBMED</w:t>
      </w:r>
      <w:r>
        <w:rPr>
          <w:kern w:val="0"/>
        </w:rPr>
        <w:t>); EMBASE;</w:t>
      </w:r>
      <w:r w:rsidR="003A1917">
        <w:rPr>
          <w:kern w:val="0"/>
        </w:rPr>
        <w:t xml:space="preserve"> the </w:t>
      </w:r>
      <w:r>
        <w:rPr>
          <w:kern w:val="0"/>
        </w:rPr>
        <w:t>Cochrane Library; Cumulative Index to Nursing</w:t>
      </w:r>
      <w:r w:rsidR="005853A9">
        <w:rPr>
          <w:kern w:val="0"/>
        </w:rPr>
        <w:t xml:space="preserve"> and </w:t>
      </w:r>
      <w:r>
        <w:rPr>
          <w:kern w:val="0"/>
        </w:rPr>
        <w:t xml:space="preserve">Allied Health Literature (CINAHL); Institute for Scientific Information (ISI) </w:t>
      </w:r>
      <w:r w:rsidR="00D5664A">
        <w:rPr>
          <w:kern w:val="0"/>
        </w:rPr>
        <w:t>Web</w:t>
      </w:r>
      <w:r w:rsidR="00427468">
        <w:rPr>
          <w:kern w:val="0"/>
        </w:rPr>
        <w:t xml:space="preserve"> of </w:t>
      </w:r>
      <w:r w:rsidR="00D5664A">
        <w:rPr>
          <w:kern w:val="0"/>
        </w:rPr>
        <w:t>Science</w:t>
      </w:r>
      <w:r>
        <w:rPr>
          <w:kern w:val="0"/>
        </w:rPr>
        <w:t>; Latin American</w:t>
      </w:r>
      <w:r w:rsidR="005853A9">
        <w:rPr>
          <w:kern w:val="0"/>
        </w:rPr>
        <w:t xml:space="preserve"> and </w:t>
      </w:r>
      <w:r>
        <w:rPr>
          <w:kern w:val="0"/>
        </w:rPr>
        <w:t>Caribbean Health Sciences Literature (LILACS); Spanish Health Sciences Bibliographic Index (IBECS)</w:t>
      </w:r>
      <w:r w:rsidR="00A37C1D">
        <w:rPr>
          <w:kern w:val="0"/>
        </w:rPr>
        <w:t>. The</w:t>
      </w:r>
      <w:r w:rsidR="003A1917">
        <w:rPr>
          <w:kern w:val="0"/>
        </w:rPr>
        <w:t xml:space="preserve"> </w:t>
      </w:r>
      <w:r>
        <w:rPr>
          <w:kern w:val="0"/>
        </w:rPr>
        <w:t>search was carried out from</w:t>
      </w:r>
      <w:r w:rsidR="003A1917">
        <w:rPr>
          <w:kern w:val="0"/>
        </w:rPr>
        <w:t xml:space="preserve"> the </w:t>
      </w:r>
      <w:r>
        <w:rPr>
          <w:kern w:val="0"/>
        </w:rPr>
        <w:t>earliest date possible until July 2007</w:t>
      </w:r>
      <w:r w:rsidR="00A37C1D">
        <w:rPr>
          <w:kern w:val="0"/>
        </w:rPr>
        <w:t>. The</w:t>
      </w:r>
      <w:r w:rsidR="003A1917">
        <w:rPr>
          <w:kern w:val="0"/>
        </w:rPr>
        <w:t xml:space="preserve"> </w:t>
      </w:r>
      <w:r>
        <w:rPr>
          <w:kern w:val="0"/>
        </w:rPr>
        <w:t xml:space="preserve">medical subject heading terms used were </w:t>
      </w:r>
      <w:r w:rsidR="00700038">
        <w:rPr>
          <w:kern w:val="0"/>
        </w:rPr>
        <w:t>‘</w:t>
      </w:r>
      <w:r>
        <w:rPr>
          <w:kern w:val="0"/>
        </w:rPr>
        <w:t>quality</w:t>
      </w:r>
      <w:r w:rsidR="00427468">
        <w:rPr>
          <w:kern w:val="0"/>
        </w:rPr>
        <w:t xml:space="preserve"> of </w:t>
      </w:r>
      <w:r>
        <w:rPr>
          <w:kern w:val="0"/>
        </w:rPr>
        <w:t>life</w:t>
      </w:r>
      <w:r w:rsidR="00700038">
        <w:rPr>
          <w:kern w:val="0"/>
        </w:rPr>
        <w:t>’</w:t>
      </w:r>
      <w:r>
        <w:rPr>
          <w:kern w:val="0"/>
        </w:rPr>
        <w:t xml:space="preserve">, </w:t>
      </w:r>
      <w:r w:rsidR="00700038">
        <w:rPr>
          <w:kern w:val="0"/>
        </w:rPr>
        <w:t>‘</w:t>
      </w:r>
      <w:r>
        <w:rPr>
          <w:kern w:val="0"/>
        </w:rPr>
        <w:t>nutritional status</w:t>
      </w:r>
      <w:r w:rsidR="00700038">
        <w:rPr>
          <w:kern w:val="0"/>
        </w:rPr>
        <w:t>’</w:t>
      </w:r>
      <w:r w:rsidR="005853A9">
        <w:rPr>
          <w:kern w:val="0"/>
        </w:rPr>
        <w:t xml:space="preserve"> and </w:t>
      </w:r>
      <w:r w:rsidR="00700038">
        <w:rPr>
          <w:kern w:val="0"/>
        </w:rPr>
        <w:t>‘</w:t>
      </w:r>
      <w:r>
        <w:rPr>
          <w:kern w:val="0"/>
        </w:rPr>
        <w:t>questionnaires</w:t>
      </w:r>
      <w:r w:rsidR="00700038">
        <w:rPr>
          <w:kern w:val="0"/>
        </w:rPr>
        <w:t>’</w:t>
      </w:r>
      <w:r w:rsidR="00A37C1D">
        <w:rPr>
          <w:kern w:val="0"/>
        </w:rPr>
        <w:t>. The</w:t>
      </w:r>
      <w:r w:rsidR="003A1917">
        <w:rPr>
          <w:kern w:val="0"/>
        </w:rPr>
        <w:t xml:space="preserve"> </w:t>
      </w:r>
      <w:r>
        <w:rPr>
          <w:kern w:val="0"/>
        </w:rPr>
        <w:t>articles had to contain at least one questionnaire that evaluated quality</w:t>
      </w:r>
      <w:r w:rsidR="00427468">
        <w:rPr>
          <w:kern w:val="0"/>
        </w:rPr>
        <w:t xml:space="preserve"> of </w:t>
      </w:r>
      <w:r>
        <w:rPr>
          <w:kern w:val="0"/>
        </w:rPr>
        <w:t>life. Twenty-eight documents fulfilling</w:t>
      </w:r>
      <w:r w:rsidR="003A1917">
        <w:rPr>
          <w:kern w:val="0"/>
        </w:rPr>
        <w:t xml:space="preserve"> the </w:t>
      </w:r>
      <w:r>
        <w:rPr>
          <w:kern w:val="0"/>
        </w:rPr>
        <w:t>inclusion criteria were accepted, although none</w:t>
      </w:r>
      <w:r w:rsidR="00427468">
        <w:rPr>
          <w:kern w:val="0"/>
        </w:rPr>
        <w:t xml:space="preserve"> of </w:t>
      </w:r>
      <w:r>
        <w:rPr>
          <w:kern w:val="0"/>
        </w:rPr>
        <w:t>them used a specific questionnaire to evaluate HRQoL related to nutritional status. However, some</w:t>
      </w:r>
      <w:r w:rsidR="00427468">
        <w:rPr>
          <w:kern w:val="0"/>
        </w:rPr>
        <w:t xml:space="preserve"> of </w:t>
      </w:r>
      <w:r>
        <w:rPr>
          <w:kern w:val="0"/>
        </w:rPr>
        <w:t>them used a combination</w:t>
      </w:r>
      <w:r w:rsidR="00427468">
        <w:rPr>
          <w:kern w:val="0"/>
        </w:rPr>
        <w:t xml:space="preserve"> of </w:t>
      </w:r>
      <w:r>
        <w:rPr>
          <w:kern w:val="0"/>
        </w:rPr>
        <w:t>generic questionnaires with</w:t>
      </w:r>
      <w:r w:rsidR="003A1917">
        <w:rPr>
          <w:kern w:val="0"/>
        </w:rPr>
        <w:t xml:space="preserve"> the </w:t>
      </w:r>
      <w:r>
        <w:rPr>
          <w:kern w:val="0"/>
        </w:rPr>
        <w:t>intention</w:t>
      </w:r>
      <w:r w:rsidR="00427468">
        <w:rPr>
          <w:kern w:val="0"/>
        </w:rPr>
        <w:t xml:space="preserve"> of </w:t>
      </w:r>
      <w:r>
        <w:rPr>
          <w:kern w:val="0"/>
        </w:rPr>
        <w:t>evaluating</w:t>
      </w:r>
      <w:r w:rsidR="003A1917">
        <w:rPr>
          <w:kern w:val="0"/>
        </w:rPr>
        <w:t xml:space="preserve"> the </w:t>
      </w:r>
      <w:r>
        <w:rPr>
          <w:kern w:val="0"/>
        </w:rPr>
        <w:t>same. Only three studies selectively addressed</w:t>
      </w:r>
      <w:r w:rsidR="003A1917">
        <w:rPr>
          <w:kern w:val="0"/>
        </w:rPr>
        <w:t xml:space="preserve"> the </w:t>
      </w:r>
      <w:r>
        <w:rPr>
          <w:kern w:val="0"/>
        </w:rPr>
        <w:t>relationship between nutritional status</w:t>
      </w:r>
      <w:r w:rsidR="005853A9">
        <w:rPr>
          <w:kern w:val="0"/>
        </w:rPr>
        <w:t xml:space="preserve"> and </w:t>
      </w:r>
      <w:r>
        <w:rPr>
          <w:kern w:val="0"/>
        </w:rPr>
        <w:t>quality</w:t>
      </w:r>
      <w:r w:rsidR="00427468">
        <w:rPr>
          <w:kern w:val="0"/>
        </w:rPr>
        <w:t xml:space="preserve"> of </w:t>
      </w:r>
      <w:r>
        <w:rPr>
          <w:kern w:val="0"/>
        </w:rPr>
        <w:t>life, this evaluation being performed not by means</w:t>
      </w:r>
      <w:r w:rsidR="00427468">
        <w:rPr>
          <w:kern w:val="0"/>
        </w:rPr>
        <w:t xml:space="preserve"> of </w:t>
      </w:r>
      <w:r>
        <w:rPr>
          <w:kern w:val="0"/>
        </w:rPr>
        <w:t>specific questionnaires but by statistical analysis</w:t>
      </w:r>
      <w:r w:rsidR="00427468">
        <w:rPr>
          <w:kern w:val="0"/>
        </w:rPr>
        <w:t xml:space="preserve"> of </w:t>
      </w:r>
      <w:r>
        <w:rPr>
          <w:kern w:val="0"/>
        </w:rPr>
        <w:t>data obtained via validated questionnaires.</w:t>
      </w:r>
    </w:p>
    <w:p w:rsidR="00255950" w:rsidRDefault="00255950" w:rsidP="00255950">
      <w:pPr>
        <w:pStyle w:val="a3"/>
        <w:rPr>
          <w:kern w:val="0"/>
        </w:rPr>
      </w:pPr>
      <w:r>
        <w:rPr>
          <w:kern w:val="0"/>
        </w:rPr>
        <w:t xml:space="preserve">Keywords: Adult Patients, Analysis, Bibliographic, Cancer-Patients, Cochrane, Databases, EMBASE, Enteral-Nutrition, Evaluation, Functional Status, Health, </w:t>
      </w:r>
      <w:r>
        <w:rPr>
          <w:kern w:val="0"/>
        </w:rPr>
        <w:lastRenderedPageBreak/>
        <w:t>Healthcare Evaluation Mechanisms, Home Parenteral-Nutrition, Interest</w:t>
      </w:r>
      <w:r w:rsidR="00D5664A">
        <w:rPr>
          <w:kern w:val="0"/>
        </w:rPr>
        <w:t>, ISI,</w:t>
      </w:r>
      <w:r>
        <w:rPr>
          <w:kern w:val="0"/>
        </w:rPr>
        <w:t xml:space="preserve"> Latin American, Medical, </w:t>
      </w:r>
      <w:r w:rsidR="00D5664A">
        <w:rPr>
          <w:kern w:val="0"/>
        </w:rPr>
        <w:t>MEDLINE</w:t>
      </w:r>
      <w:r>
        <w:rPr>
          <w:kern w:val="0"/>
        </w:rPr>
        <w:t xml:space="preserve">, Megestrol-Acetate, Nursing, Nutritional Sciences, Nutritional Status, Percutaneous Endoscopic Gastrostomy, </w:t>
      </w:r>
      <w:r w:rsidR="002C12F0">
        <w:rPr>
          <w:kern w:val="0"/>
        </w:rPr>
        <w:t>PUBMED</w:t>
      </w:r>
      <w:r>
        <w:rPr>
          <w:kern w:val="0"/>
        </w:rPr>
        <w:t>, Quality</w:t>
      </w:r>
      <w:r w:rsidR="00427468">
        <w:rPr>
          <w:kern w:val="0"/>
        </w:rPr>
        <w:t xml:space="preserve"> of </w:t>
      </w:r>
      <w:r>
        <w:rPr>
          <w:kern w:val="0"/>
        </w:rPr>
        <w:t xml:space="preserve">Life, Questionnaire, Questionnaires, Randomized Controlled-Trial, Review, Science, Scientific Information, Self-Rated Health, Statistical, Surgical-Patients, </w:t>
      </w:r>
      <w:r w:rsidR="00D5664A">
        <w:rPr>
          <w:kern w:val="0"/>
        </w:rPr>
        <w:t>Web</w:t>
      </w:r>
      <w:r w:rsidR="00427468">
        <w:rPr>
          <w:kern w:val="0"/>
        </w:rPr>
        <w:t xml:space="preserve"> of </w:t>
      </w:r>
      <w:r w:rsidR="00D5664A">
        <w:rPr>
          <w:kern w:val="0"/>
        </w:rPr>
        <w:t>Science</w:t>
      </w:r>
    </w:p>
    <w:p w:rsidR="00116069" w:rsidRDefault="00116069" w:rsidP="00116069">
      <w:pPr>
        <w:pStyle w:val="a3"/>
        <w:rPr>
          <w:kern w:val="0"/>
        </w:rPr>
      </w:pPr>
      <w:r>
        <w:rPr>
          <w:rFonts w:hint="eastAsia"/>
          <w:kern w:val="0"/>
        </w:rPr>
        <w:t xml:space="preserve">? </w:t>
      </w:r>
      <w:r>
        <w:rPr>
          <w:kern w:val="0"/>
        </w:rPr>
        <w:t xml:space="preserve">King, S., Glanville, J., Sanders, M.E., Fitzgerald, A. and Varley, D. (2014), Effectiveness of probiotics on the duration of illness in healthy children and adults who develop common acute respiratory infectious conditions: A systematic review and meta-analysis. </w:t>
      </w:r>
      <w:r>
        <w:rPr>
          <w:i/>
          <w:iCs/>
          <w:kern w:val="0"/>
        </w:rPr>
        <w:t>British Journal of Nutrition</w:t>
      </w:r>
      <w:r>
        <w:rPr>
          <w:kern w:val="0"/>
        </w:rPr>
        <w:t xml:space="preserve">, </w:t>
      </w:r>
      <w:r>
        <w:rPr>
          <w:b/>
          <w:bCs/>
          <w:kern w:val="0"/>
        </w:rPr>
        <w:t>112</w:t>
      </w:r>
      <w:r>
        <w:rPr>
          <w:kern w:val="0"/>
        </w:rPr>
        <w:t xml:space="preserve"> (1), 41-54.</w:t>
      </w:r>
    </w:p>
    <w:p w:rsidR="00116069" w:rsidRPr="000B7456" w:rsidRDefault="00116069" w:rsidP="00116069">
      <w:pPr>
        <w:pStyle w:val="a3"/>
      </w:pPr>
      <w:r>
        <w:t>Full Text:</w:t>
      </w:r>
      <w:r w:rsidRPr="000B7456">
        <w:t xml:space="preserve"> </w:t>
      </w:r>
      <w:hyperlink r:id="rId1906" w:history="1">
        <w:r w:rsidRPr="00D8587C">
          <w:rPr>
            <w:rStyle w:val="a5"/>
          </w:rPr>
          <w:t>2014\Bri J Nut112, 41.pdf</w:t>
        </w:r>
      </w:hyperlink>
    </w:p>
    <w:p w:rsidR="00116069" w:rsidRDefault="00116069" w:rsidP="00116069">
      <w:pPr>
        <w:pStyle w:val="a3"/>
        <w:rPr>
          <w:kern w:val="0"/>
        </w:rPr>
      </w:pPr>
      <w:r>
        <w:rPr>
          <w:kern w:val="0"/>
        </w:rPr>
        <w:t>Abstract: Recent systematic reviews have reported a positive, although modest, effect of probiotics in terms of preventing common cold symptoms. In this systematic review, the effect of probiotics, specifically Lactobacillus and Bifidobacterium strains, on the duration of acute respiratory infections in otherwise healthy children and adults was evaluated. To identify relevant trials, eight databases, including MEDLINE, Embase, the Cochrane Database of Systematic Reviews (CDSR), the Cochrane Central Register of Controlled Trials (CENTRAL), the Database of Abstracts of Reviews of Effects (DARE), Health Technology Assessment (HTA), Science Citation Index (SCI) and OAISTER, were searched from inception to 20 July 2012. Details regarding unpublished studies/databases were also obtained from probiotic manufacturers. Study selection, data extraction and quality assessment were carried out by two reviewers. Risk of bias was assessed using criteria adapted from those published by the Centre for Reviews and Dissemination. In this review, twenty randomised controlled trials (RCT) were included, of which twelve were considered to have a low risk of bias. Meta-analysis revealed significantly fewer numbers of days of illness per person (standardised mean difference (SMD) -0.31 (95% CI - 0.41, -0.11), I-2=3 %), shorter illness episodes by almost a day (weighted mean difference -0.77 (95% CI-1.50, -0.04), I-2 80 %) (without an increase in the number of illness episodes), and fewer numbers of days absent from day care/school/work (SMD -0.17 (95% CI -0.31, -0.03), I-2 67 %) in participants who received a probiotic intervention than in those who had taken a placebo. Reasons for heterogeneity between the studies were explored in subgroup analysis, but could not be explained, suggesting that the effect sizes found may differ between the population groups. This systematic review provides evidence from a number of good-quality RCT that probiotics reduce the duration of illness in otherwise healthy children and adults.</w:t>
      </w:r>
    </w:p>
    <w:p w:rsidR="00116069" w:rsidRDefault="00116069" w:rsidP="00116069">
      <w:pPr>
        <w:pStyle w:val="a3"/>
        <w:rPr>
          <w:kern w:val="0"/>
        </w:rPr>
      </w:pPr>
      <w:r>
        <w:rPr>
          <w:kern w:val="0"/>
        </w:rPr>
        <w:t xml:space="preserve">Keywords: Analysis, Assessment, Attending Day-Care, Bias, Bifidobacterium, Casei Dn-114 001, Children, Citation, Cold, Consumption, Criteria, Data, Database, Databases, Dissemination, Double-Blind, Duration, Evidence, Extraction, Fermented </w:t>
      </w:r>
      <w:r>
        <w:rPr>
          <w:kern w:val="0"/>
        </w:rPr>
        <w:lastRenderedPageBreak/>
        <w:t>Dairy Product, GG, Groups, Health, Heterogeneity, HTA, Infections, Intervention, Lactobacillus, Low Risk, Medline, Meta Analysis, Meta-Analysis, Metaanalysis, Milk, Person, Placebo, Population, Probiotics, Quality, Randomised, Randomised Controlled Trials, Randomized Controlled-Trial, Rct, Recent, Respiratory Infections, Review, Reviewers, Reviews, Risk, Risk Of Bias, SCI, Science, Science Citation Index, Selection, Symptoms, Systematic, Systematic Review, Systematic Reviews, Technology, Technology Assessment</w:t>
      </w:r>
    </w:p>
    <w:p w:rsidR="003474F2" w:rsidRPr="001A3D2B" w:rsidRDefault="003474F2" w:rsidP="003474F2">
      <w:pPr>
        <w:pStyle w:val="1"/>
      </w:pPr>
      <w:r w:rsidRPr="001A3D2B">
        <w:br w:type="page"/>
      </w:r>
      <w:bookmarkStart w:id="931" w:name="_Toc420814828"/>
      <w:r w:rsidRPr="001A3D2B">
        <w:lastRenderedPageBreak/>
        <w:t>Title: British Journal</w:t>
      </w:r>
      <w:r w:rsidR="00427468">
        <w:t xml:space="preserve"> of </w:t>
      </w:r>
      <w:r w:rsidRPr="001A3D2B">
        <w:t>Ophthalmology</w:t>
      </w:r>
      <w:bookmarkEnd w:id="931"/>
    </w:p>
    <w:p w:rsidR="003474F2" w:rsidRPr="001A3D2B" w:rsidRDefault="003474F2" w:rsidP="003474F2">
      <w:pPr>
        <w:pStyle w:val="12"/>
      </w:pPr>
      <w:r w:rsidRPr="001A3D2B">
        <w:t xml:space="preserve">Full Journal Title: </w:t>
      </w:r>
      <w:hyperlink r:id="rId1907" w:history="1">
        <w:r w:rsidRPr="001A3D2B">
          <w:rPr>
            <w:rStyle w:val="a5"/>
            <w:iCs/>
          </w:rPr>
          <w:t>British Journal</w:t>
        </w:r>
        <w:r w:rsidR="00427468">
          <w:rPr>
            <w:rStyle w:val="a5"/>
            <w:iCs/>
          </w:rPr>
          <w:t xml:space="preserve"> of </w:t>
        </w:r>
        <w:r w:rsidRPr="001A3D2B">
          <w:rPr>
            <w:rStyle w:val="a5"/>
            <w:iCs/>
          </w:rPr>
          <w:t>Ophthalmology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Ang, A., Tong, L.</w:t>
      </w:r>
      <w:r w:rsidR="005853A9">
        <w:t xml:space="preserve"> and </w:t>
      </w:r>
      <w:r w:rsidRPr="001A3D2B">
        <w:t>Bhan, A. (2001), Analysis</w:t>
      </w:r>
      <w:r w:rsidR="00427468">
        <w:t xml:space="preserve"> of </w:t>
      </w:r>
      <w:r w:rsidRPr="001A3D2B">
        <w:t xml:space="preserve">publication trends in two internationally renowned ophthalmology journals. </w:t>
      </w:r>
      <w:r w:rsidRPr="001A3D2B">
        <w:rPr>
          <w:i/>
          <w:iCs/>
        </w:rPr>
        <w:t>British Journal</w:t>
      </w:r>
      <w:r w:rsidR="00427468">
        <w:rPr>
          <w:i/>
          <w:iCs/>
        </w:rPr>
        <w:t xml:space="preserve"> of </w:t>
      </w:r>
      <w:r w:rsidRPr="001A3D2B">
        <w:rPr>
          <w:i/>
          <w:iCs/>
        </w:rPr>
        <w:t>Ophthalmology</w:t>
      </w:r>
      <w:r w:rsidRPr="001A3D2B">
        <w:t xml:space="preserve">, </w:t>
      </w:r>
      <w:r w:rsidRPr="001A3D2B">
        <w:rPr>
          <w:b/>
          <w:bCs/>
        </w:rPr>
        <w:t>85</w:t>
      </w:r>
      <w:r w:rsidRPr="001A3D2B">
        <w:t xml:space="preserve"> (12), 1497-1498.</w:t>
      </w:r>
    </w:p>
    <w:p w:rsidR="003474F2" w:rsidRPr="001A3D2B" w:rsidRDefault="003474F2" w:rsidP="003474F2">
      <w:pPr>
        <w:pStyle w:val="a3"/>
      </w:pPr>
      <w:r w:rsidRPr="001A3D2B">
        <w:t xml:space="preserve">Full Text: </w:t>
      </w:r>
      <w:hyperlink r:id="rId1908" w:history="1">
        <w:r w:rsidRPr="001A3D2B">
          <w:rPr>
            <w:rStyle w:val="a5"/>
          </w:rPr>
          <w:t>2001\Bri J Oph85, 1497.pdf</w:t>
        </w:r>
      </w:hyperlink>
    </w:p>
    <w:p w:rsidR="003474F2" w:rsidRPr="001A3D2B" w:rsidRDefault="003474F2" w:rsidP="003474F2">
      <w:pPr>
        <w:pStyle w:val="a3"/>
      </w:pPr>
      <w:r w:rsidRPr="001A3D2B">
        <w:t>Keywords: Journals, Publication, Trends</w:t>
      </w:r>
    </w:p>
    <w:p w:rsidR="003474F2" w:rsidRPr="001A3D2B" w:rsidRDefault="003474F2" w:rsidP="003474F2">
      <w:pPr>
        <w:pStyle w:val="a3"/>
      </w:pPr>
      <w:r w:rsidRPr="001A3D2B">
        <w:t>? Ohba, N.</w:t>
      </w:r>
      <w:r w:rsidR="005853A9">
        <w:t xml:space="preserve"> and </w:t>
      </w:r>
      <w:r w:rsidRPr="001A3D2B">
        <w:t>Ohba, A. (2006), Nyctalopia</w:t>
      </w:r>
      <w:r w:rsidR="005853A9">
        <w:t xml:space="preserve"> and </w:t>
      </w:r>
      <w:r w:rsidRPr="001A3D2B">
        <w:t>hemeralopia:</w:t>
      </w:r>
      <w:r w:rsidR="003A1917">
        <w:t xml:space="preserve"> the </w:t>
      </w:r>
      <w:r w:rsidRPr="001A3D2B">
        <w:t xml:space="preserve">current </w:t>
      </w:r>
      <w:r w:rsidR="00D5664A">
        <w:t>USA</w:t>
      </w:r>
      <w:r w:rsidRPr="001A3D2B">
        <w:t>ge trend in</w:t>
      </w:r>
      <w:r w:rsidR="003A1917">
        <w:t xml:space="preserve"> the </w:t>
      </w:r>
      <w:r w:rsidRPr="001A3D2B">
        <w:t xml:space="preserve">literature. </w:t>
      </w:r>
      <w:r w:rsidRPr="001A3D2B">
        <w:rPr>
          <w:i/>
          <w:iCs/>
        </w:rPr>
        <w:t>British Journal</w:t>
      </w:r>
      <w:r w:rsidR="00427468">
        <w:rPr>
          <w:i/>
          <w:iCs/>
        </w:rPr>
        <w:t xml:space="preserve"> of </w:t>
      </w:r>
      <w:r w:rsidRPr="001A3D2B">
        <w:rPr>
          <w:i/>
          <w:iCs/>
        </w:rPr>
        <w:t>Ophthalmology</w:t>
      </w:r>
      <w:r w:rsidRPr="001A3D2B">
        <w:t xml:space="preserve">, </w:t>
      </w:r>
      <w:r w:rsidRPr="001A3D2B">
        <w:rPr>
          <w:b/>
          <w:bCs/>
        </w:rPr>
        <w:t>90</w:t>
      </w:r>
      <w:r w:rsidRPr="001A3D2B">
        <w:t xml:space="preserve"> (12), 1548-1549.</w:t>
      </w:r>
    </w:p>
    <w:p w:rsidR="003474F2" w:rsidRPr="001A3D2B" w:rsidRDefault="003474F2" w:rsidP="003474F2">
      <w:pPr>
        <w:pStyle w:val="a3"/>
      </w:pPr>
      <w:r w:rsidRPr="001A3D2B">
        <w:t xml:space="preserve">Full Text: </w:t>
      </w:r>
      <w:hyperlink r:id="rId1909" w:history="1">
        <w:r w:rsidRPr="001A3D2B">
          <w:rPr>
            <w:rStyle w:val="a5"/>
          </w:rPr>
          <w:t>2006\Bri J Oph90, 1548.pdf</w:t>
        </w:r>
      </w:hyperlink>
    </w:p>
    <w:p w:rsidR="003474F2" w:rsidRPr="001A3D2B" w:rsidRDefault="003474F2" w:rsidP="003474F2">
      <w:pPr>
        <w:pStyle w:val="a3"/>
      </w:pPr>
      <w:r w:rsidRPr="001A3D2B">
        <w:t>Keywords: Literature, Trend</w:t>
      </w:r>
    </w:p>
    <w:p w:rsidR="00A835C9" w:rsidRDefault="00A835C9" w:rsidP="00A835C9">
      <w:pPr>
        <w:pStyle w:val="a3"/>
        <w:rPr>
          <w:kern w:val="0"/>
        </w:rPr>
      </w:pPr>
      <w:r>
        <w:rPr>
          <w:rFonts w:hint="eastAsia"/>
          <w:kern w:val="0"/>
        </w:rPr>
        <w:t xml:space="preserve">? </w:t>
      </w:r>
      <w:r>
        <w:rPr>
          <w:kern w:val="0"/>
        </w:rPr>
        <w:t>Smith, S.J.</w:t>
      </w:r>
      <w:r w:rsidR="005853A9">
        <w:rPr>
          <w:kern w:val="0"/>
        </w:rPr>
        <w:t xml:space="preserve"> and </w:t>
      </w:r>
      <w:r>
        <w:rPr>
          <w:kern w:val="0"/>
        </w:rPr>
        <w:t>Smith, B.D. (2013), Evaluating the risk</w:t>
      </w:r>
      <w:r w:rsidR="00427468">
        <w:rPr>
          <w:kern w:val="0"/>
        </w:rPr>
        <w:t xml:space="preserve"> of </w:t>
      </w:r>
      <w:r>
        <w:rPr>
          <w:kern w:val="0"/>
        </w:rPr>
        <w:t xml:space="preserve">extraocular tumour spread following intravitreal injection therapy for retinoblastoma: A systematic review. </w:t>
      </w:r>
      <w:r>
        <w:rPr>
          <w:i/>
          <w:iCs/>
          <w:kern w:val="0"/>
        </w:rPr>
        <w:t>British Journal</w:t>
      </w:r>
      <w:r w:rsidR="00427468">
        <w:rPr>
          <w:i/>
          <w:iCs/>
          <w:kern w:val="0"/>
        </w:rPr>
        <w:t xml:space="preserve"> of </w:t>
      </w:r>
      <w:r>
        <w:rPr>
          <w:i/>
          <w:iCs/>
          <w:kern w:val="0"/>
        </w:rPr>
        <w:t>Ophthalmology</w:t>
      </w:r>
      <w:r>
        <w:rPr>
          <w:kern w:val="0"/>
        </w:rPr>
        <w:t xml:space="preserve">, </w:t>
      </w:r>
      <w:r>
        <w:rPr>
          <w:b/>
          <w:bCs/>
          <w:kern w:val="0"/>
        </w:rPr>
        <w:t>97</w:t>
      </w:r>
      <w:r>
        <w:rPr>
          <w:kern w:val="0"/>
        </w:rPr>
        <w:t xml:space="preserve"> (10), 1231-1236.</w:t>
      </w:r>
    </w:p>
    <w:p w:rsidR="00A835C9" w:rsidRPr="001A3D2B" w:rsidRDefault="00A835C9" w:rsidP="00A835C9">
      <w:pPr>
        <w:pStyle w:val="a3"/>
      </w:pPr>
      <w:r w:rsidRPr="001A3D2B">
        <w:t xml:space="preserve">Full Text: </w:t>
      </w:r>
      <w:r w:rsidRPr="00251A6F">
        <w:t>20</w:t>
      </w:r>
      <w:r>
        <w:rPr>
          <w:rFonts w:hint="eastAsia"/>
        </w:rPr>
        <w:t>13</w:t>
      </w:r>
      <w:r w:rsidRPr="00251A6F">
        <w:t>\Bri J Oph9</w:t>
      </w:r>
      <w:r>
        <w:rPr>
          <w:rFonts w:hint="eastAsia"/>
        </w:rPr>
        <w:t>7</w:t>
      </w:r>
      <w:r w:rsidRPr="00251A6F">
        <w:t xml:space="preserve">, </w:t>
      </w:r>
      <w:r>
        <w:rPr>
          <w:rFonts w:hint="eastAsia"/>
        </w:rPr>
        <w:t>1231</w:t>
      </w:r>
      <w:r w:rsidRPr="00251A6F">
        <w:t>.pdf</w:t>
      </w:r>
    </w:p>
    <w:p w:rsidR="00A835C9" w:rsidRDefault="00A835C9" w:rsidP="00A835C9">
      <w:pPr>
        <w:pStyle w:val="a3"/>
        <w:rPr>
          <w:kern w:val="0"/>
        </w:rPr>
      </w:pPr>
      <w:r>
        <w:rPr>
          <w:kern w:val="0"/>
        </w:rPr>
        <w:t>Abstract: Background Intravitreal injection therapy (IViT) for retinoblastoma has shown promise in the treatment</w:t>
      </w:r>
      <w:r w:rsidR="00427468">
        <w:rPr>
          <w:kern w:val="0"/>
        </w:rPr>
        <w:t xml:space="preserve"> of </w:t>
      </w:r>
      <w:r>
        <w:rPr>
          <w:kern w:val="0"/>
        </w:rPr>
        <w:t>vitreous seeds; however, the potential for tumour dissemination following intravitreal penetration has limited its use. This review evaluates the risk</w:t>
      </w:r>
      <w:r w:rsidR="00427468">
        <w:rPr>
          <w:kern w:val="0"/>
        </w:rPr>
        <w:t xml:space="preserve"> of </w:t>
      </w:r>
      <w:r>
        <w:rPr>
          <w:kern w:val="0"/>
        </w:rPr>
        <w:t>extraocular tumour spread in patients receiving therapeutic intravitreal injections for retinoblastoma. Methods PUBMED (1946-present), SCOPUS (all years), Science Citation Index (1900-present)</w:t>
      </w:r>
      <w:r w:rsidR="005853A9">
        <w:rPr>
          <w:kern w:val="0"/>
        </w:rPr>
        <w:t xml:space="preserve"> and </w:t>
      </w:r>
      <w:r>
        <w:rPr>
          <w:kern w:val="0"/>
        </w:rPr>
        <w:t>Conference Proceedings Citation IndexScience (1990-present) electronic databases were searched to identify all published reports</w:t>
      </w:r>
      <w:r w:rsidR="00427468">
        <w:rPr>
          <w:kern w:val="0"/>
        </w:rPr>
        <w:t xml:space="preserve"> of </w:t>
      </w:r>
      <w:r>
        <w:rPr>
          <w:kern w:val="0"/>
        </w:rPr>
        <w:t>IViT for retinoblastoma in humans. Results 14 studies with original IViT data were included in this review. A total</w:t>
      </w:r>
      <w:r w:rsidR="00427468">
        <w:rPr>
          <w:kern w:val="0"/>
        </w:rPr>
        <w:t xml:space="preserve"> of </w:t>
      </w:r>
      <w:r>
        <w:rPr>
          <w:kern w:val="0"/>
        </w:rPr>
        <w:t>1304 intravitreal injections were given in 315 eyes</w:t>
      </w:r>
      <w:r w:rsidR="00427468">
        <w:rPr>
          <w:kern w:val="0"/>
        </w:rPr>
        <w:t xml:space="preserve"> of </w:t>
      </w:r>
      <w:r>
        <w:rPr>
          <w:kern w:val="0"/>
        </w:rPr>
        <w:t>304 patients, with one report</w:t>
      </w:r>
      <w:r w:rsidR="00427468">
        <w:rPr>
          <w:kern w:val="0"/>
        </w:rPr>
        <w:t xml:space="preserve"> of </w:t>
      </w:r>
      <w:r>
        <w:rPr>
          <w:kern w:val="0"/>
        </w:rPr>
        <w:t>extraocular tumour spread</w:t>
      </w:r>
      <w:r w:rsidR="005853A9">
        <w:rPr>
          <w:kern w:val="0"/>
        </w:rPr>
        <w:t xml:space="preserve"> and </w:t>
      </w:r>
      <w:r>
        <w:rPr>
          <w:kern w:val="0"/>
        </w:rPr>
        <w:t>one patient in whom intravitreal treatment could not be excluded as a contributor to metastatic disease</w:t>
      </w:r>
      <w:r w:rsidR="00A37C1D">
        <w:rPr>
          <w:kern w:val="0"/>
        </w:rPr>
        <w:t>. The</w:t>
      </w:r>
      <w:r>
        <w:rPr>
          <w:kern w:val="0"/>
        </w:rPr>
        <w:t xml:space="preserve"> proportion</w:t>
      </w:r>
      <w:r w:rsidR="00427468">
        <w:rPr>
          <w:kern w:val="0"/>
        </w:rPr>
        <w:t xml:space="preserve"> of </w:t>
      </w:r>
      <w:r>
        <w:rPr>
          <w:kern w:val="0"/>
        </w:rPr>
        <w:t xml:space="preserve">subjects with </w:t>
      </w:r>
      <w:r>
        <w:rPr>
          <w:kern w:val="0"/>
        </w:rPr>
        <w:lastRenderedPageBreak/>
        <w:t>extraocular tumour spread potentially due to IViT in these combined reports was 0.007 (95% CI 0.0008 to 0.0236), with a mean follow-up</w:t>
      </w:r>
      <w:r w:rsidR="00427468">
        <w:rPr>
          <w:kern w:val="0"/>
        </w:rPr>
        <w:t xml:space="preserve"> of </w:t>
      </w:r>
      <w:r>
        <w:rPr>
          <w:kern w:val="0"/>
        </w:rPr>
        <w:t>72.1months. In a subset</w:t>
      </w:r>
      <w:r w:rsidR="00427468">
        <w:rPr>
          <w:kern w:val="0"/>
        </w:rPr>
        <w:t xml:space="preserve"> of </w:t>
      </w:r>
      <w:r>
        <w:rPr>
          <w:kern w:val="0"/>
        </w:rPr>
        <w:t>61 patients receiving IViT via safety enhancing injection techniques (347 injections, 19.6months mean follow-up), there were no reports</w:t>
      </w:r>
      <w:r w:rsidR="00427468">
        <w:rPr>
          <w:kern w:val="0"/>
        </w:rPr>
        <w:t xml:space="preserve"> of </w:t>
      </w:r>
      <w:r>
        <w:rPr>
          <w:kern w:val="0"/>
        </w:rPr>
        <w:t>tumour spread. Conclusions Local</w:t>
      </w:r>
      <w:r w:rsidR="005853A9">
        <w:rPr>
          <w:kern w:val="0"/>
        </w:rPr>
        <w:t xml:space="preserve"> and </w:t>
      </w:r>
      <w:r>
        <w:rPr>
          <w:kern w:val="0"/>
        </w:rPr>
        <w:t>systemic tumour spread following IViT in cases</w:t>
      </w:r>
      <w:r w:rsidR="00427468">
        <w:rPr>
          <w:kern w:val="0"/>
        </w:rPr>
        <w:t xml:space="preserve"> of </w:t>
      </w:r>
      <w:r>
        <w:rPr>
          <w:kern w:val="0"/>
        </w:rPr>
        <w:t>retinoblastoma is rare,</w:t>
      </w:r>
      <w:r w:rsidR="005853A9">
        <w:rPr>
          <w:kern w:val="0"/>
        </w:rPr>
        <w:t xml:space="preserve"> and </w:t>
      </w:r>
      <w:r>
        <w:rPr>
          <w:kern w:val="0"/>
        </w:rPr>
        <w:t>this risk is potentially reduced by the use</w:t>
      </w:r>
      <w:r w:rsidR="00427468">
        <w:rPr>
          <w:kern w:val="0"/>
        </w:rPr>
        <w:t xml:space="preserve"> of </w:t>
      </w:r>
      <w:r>
        <w:rPr>
          <w:kern w:val="0"/>
        </w:rPr>
        <w:t>safety enhancing injection techniques</w:t>
      </w:r>
      <w:r w:rsidR="00A37C1D">
        <w:rPr>
          <w:kern w:val="0"/>
        </w:rPr>
        <w:t>. The</w:t>
      </w:r>
      <w:r>
        <w:rPr>
          <w:kern w:val="0"/>
        </w:rPr>
        <w:t>se results suggest that the risk</w:t>
      </w:r>
      <w:r w:rsidR="00427468">
        <w:rPr>
          <w:kern w:val="0"/>
        </w:rPr>
        <w:t xml:space="preserve"> of </w:t>
      </w:r>
      <w:r>
        <w:rPr>
          <w:kern w:val="0"/>
        </w:rPr>
        <w:t>tumour spread should not preclude IViT use for carefully selected patients as part</w:t>
      </w:r>
      <w:r w:rsidR="00427468">
        <w:rPr>
          <w:kern w:val="0"/>
        </w:rPr>
        <w:t xml:space="preserve"> of </w:t>
      </w:r>
      <w:r>
        <w:rPr>
          <w:kern w:val="0"/>
        </w:rPr>
        <w:t>multi-modal globe salvaging therapy.</w:t>
      </w:r>
    </w:p>
    <w:p w:rsidR="00A835C9" w:rsidRDefault="00A835C9" w:rsidP="00A835C9">
      <w:pPr>
        <w:pStyle w:val="a3"/>
        <w:rPr>
          <w:kern w:val="0"/>
        </w:rPr>
      </w:pPr>
      <w:r>
        <w:rPr>
          <w:kern w:val="0"/>
        </w:rPr>
        <w:t>Keywords: Chemotherapy, Citation, Conference, Data, Databases, Delivery, Disease, Eye, Follow-Up, Humans, Injections, Intraocular Retinoblastoma, Melphalan, Metastatic Disease, Methods, Neoplasia, Patients, Potential, Recurrence, Results, Retina, Review, Risk, Safety, Science, Science Citation Index, Scopus, Systematic Review, Techniques, Therapeutic, Therapy, Treatment, Vitreous, Vitreous Cavity</w:t>
      </w:r>
    </w:p>
    <w:p w:rsidR="00D62F75" w:rsidRDefault="00D62F75" w:rsidP="00D62F75">
      <w:pPr>
        <w:pStyle w:val="a3"/>
        <w:rPr>
          <w:kern w:val="0"/>
        </w:rPr>
      </w:pPr>
      <w:r>
        <w:rPr>
          <w:kern w:val="0"/>
        </w:rPr>
        <w:t xml:space="preserve">? Smith, S.J., Smith, B.D. and Mohney, B.G. (2014), Ocular side effects following intravitreal injection therapy for retinoblastoma: A systematic review. </w:t>
      </w:r>
      <w:r>
        <w:rPr>
          <w:i/>
          <w:iCs/>
          <w:kern w:val="0"/>
        </w:rPr>
        <w:t>British Journal of Ophthalmology</w:t>
      </w:r>
      <w:r>
        <w:rPr>
          <w:kern w:val="0"/>
        </w:rPr>
        <w:t xml:space="preserve">, </w:t>
      </w:r>
      <w:r>
        <w:rPr>
          <w:b/>
          <w:bCs/>
          <w:kern w:val="0"/>
        </w:rPr>
        <w:t>98</w:t>
      </w:r>
      <w:r>
        <w:rPr>
          <w:kern w:val="0"/>
        </w:rPr>
        <w:t xml:space="preserve"> (3), 292-297.</w:t>
      </w:r>
    </w:p>
    <w:p w:rsidR="00D62F75" w:rsidRPr="001A3D2B" w:rsidRDefault="00D62F75" w:rsidP="00D62F75">
      <w:pPr>
        <w:pStyle w:val="a3"/>
      </w:pPr>
      <w:r w:rsidRPr="001A3D2B">
        <w:t xml:space="preserve">Full Text: </w:t>
      </w:r>
      <w:hyperlink r:id="rId1910" w:history="1">
        <w:r w:rsidRPr="006D37EB">
          <w:rPr>
            <w:rStyle w:val="a5"/>
          </w:rPr>
          <w:t>2014\Bri J Oph98, 292.pdf</w:t>
        </w:r>
      </w:hyperlink>
    </w:p>
    <w:p w:rsidR="00D62F75" w:rsidRDefault="00D62F75" w:rsidP="00D62F75">
      <w:pPr>
        <w:pStyle w:val="a3"/>
        <w:rPr>
          <w:kern w:val="0"/>
        </w:rPr>
      </w:pPr>
      <w:r>
        <w:rPr>
          <w:kern w:val="0"/>
        </w:rPr>
        <w:t>Abstract: Purpose To describe the ocular side effects in patients receiving intravitreal injection therapy (IViT) for retinoblastoma. Methods PubMed (1946-present), Scopus (all years), Science Citation Index (1900-present) and Conference Proceedings Citation Index-Science (1990-present) electronic databases were searched to identify all published reports of therapeutic intravitreal injections for retinoblastoma in humans. Results Ten studies with original IViT ocular side effect data were included in this systematic review. In these combined reports, a total of 1287 intravitreal injections were given to 306 eyes of 295 patients, with a mean follow-up of 74.1 months. Two hundred sixty-one (88.5%) patients received comparatively standard melphalan IViT doses (8-30 mcg). Ocular side effects occurred in 38 patients (17 significant, 21 minor)</w:t>
      </w:r>
      <w:r w:rsidR="00A37C1D">
        <w:rPr>
          <w:kern w:val="0"/>
        </w:rPr>
        <w:t>. The</w:t>
      </w:r>
      <w:r>
        <w:rPr>
          <w:kern w:val="0"/>
        </w:rPr>
        <w:t xml:space="preserve"> proportion of patients experiencing potentially significant ocular side effects following standard melphalan IViT regimens was 0.031 (8, 261; 95% CI 0.013 to 0.06)</w:t>
      </w:r>
      <w:r w:rsidR="00A37C1D">
        <w:rPr>
          <w:kern w:val="0"/>
        </w:rPr>
        <w:t>. The</w:t>
      </w:r>
      <w:r>
        <w:rPr>
          <w:kern w:val="0"/>
        </w:rPr>
        <w:t xml:space="preserve"> side effects of these eight included iris atrophy in three, two each with chorioretinal atrophy and vitreous haemorrhage and one with retinal detachment. of the other nine patients with significant complications, five experienced sight-threatening complications following dramatic dose escalations (four with melphalan, one with thiotepa), three experienced complications that are commonly associated with concurrent therapies given to these patients and one had a retinal detachment. of the 61 patients receiving IViT via safety-enhancing injection techniques, all six significant side effects were either attributed to the therapeutic dose or confounded by concurrent treatments. </w:t>
      </w:r>
      <w:r>
        <w:rPr>
          <w:kern w:val="0"/>
        </w:rPr>
        <w:lastRenderedPageBreak/>
        <w:t>Conclusions Significant ocular complications following IViT for retinoblastoma are uncommon, and this risk may be reduced further by the use of careful injection technique and standard dosing regimens. Care must be taken in the dosing of intravitreal treatments to avoid potentially irreversible vision loss.</w:t>
      </w:r>
    </w:p>
    <w:p w:rsidR="00D62F75" w:rsidRDefault="00D62F75" w:rsidP="00D62F75">
      <w:pPr>
        <w:pStyle w:val="a3"/>
        <w:rPr>
          <w:kern w:val="0"/>
        </w:rPr>
      </w:pPr>
      <w:r>
        <w:rPr>
          <w:kern w:val="0"/>
        </w:rPr>
        <w:t>Keywords: Atrophy, Chemotherapy, Citation, Complications, Conference, Data, Databases, Effects, Eye, Follow-Up, Haemorrhage, Humans, Injections, Intraocular Retinoblastoma, Mar, Melphalan, Methods, Minor, Patients, Pubmed, Rabbits, Results, Review, Risk, Science, Science Citation Index, Scopus, Side Effect, Side Effects, Side-Effect, Standard, Systematic Review, Techniques, Therapeutic, Therapy</w:t>
      </w:r>
    </w:p>
    <w:p w:rsidR="00A813E2" w:rsidRDefault="00A813E2" w:rsidP="00A813E2">
      <w:pPr>
        <w:pStyle w:val="a3"/>
        <w:rPr>
          <w:kern w:val="0"/>
        </w:rPr>
      </w:pPr>
      <w:r>
        <w:rPr>
          <w:kern w:val="0"/>
        </w:rPr>
        <w:t xml:space="preserve">? Schmid, M.K., Bachmann, L.M., Fas, L., Kessels, A.G., Job, O.M. and Thiel, M.A. (2015), Efficacy and adverse events of aflibercept, ranibizumab and bevacizumab in age-related macular degeneration: A trade-off analysis. </w:t>
      </w:r>
      <w:r>
        <w:rPr>
          <w:i/>
          <w:iCs/>
          <w:kern w:val="0"/>
        </w:rPr>
        <w:t>British Journal of Ophthalmology</w:t>
      </w:r>
      <w:r>
        <w:rPr>
          <w:kern w:val="0"/>
        </w:rPr>
        <w:t xml:space="preserve">, </w:t>
      </w:r>
      <w:r>
        <w:rPr>
          <w:b/>
          <w:bCs/>
          <w:kern w:val="0"/>
        </w:rPr>
        <w:t>99</w:t>
      </w:r>
      <w:r>
        <w:rPr>
          <w:kern w:val="0"/>
        </w:rPr>
        <w:t xml:space="preserve"> (2), 141-146.</w:t>
      </w:r>
    </w:p>
    <w:p w:rsidR="00A813E2" w:rsidRPr="001A3D2B" w:rsidRDefault="00A813E2" w:rsidP="00A813E2">
      <w:pPr>
        <w:pStyle w:val="a3"/>
      </w:pPr>
      <w:r w:rsidRPr="001A3D2B">
        <w:t xml:space="preserve">Full Text: </w:t>
      </w:r>
      <w:hyperlink r:id="rId1911" w:history="1">
        <w:r w:rsidRPr="00A813E2">
          <w:rPr>
            <w:rStyle w:val="a5"/>
          </w:rPr>
          <w:t>2015\Bri J Oph99, 141.pdf</w:t>
        </w:r>
      </w:hyperlink>
    </w:p>
    <w:p w:rsidR="00A813E2" w:rsidRDefault="00A813E2" w:rsidP="00A813E2">
      <w:pPr>
        <w:pStyle w:val="a3"/>
        <w:rPr>
          <w:kern w:val="0"/>
        </w:rPr>
      </w:pPr>
      <w:r>
        <w:rPr>
          <w:kern w:val="0"/>
        </w:rPr>
        <w:t xml:space="preserve">Abstract: Topic To quantify the gain in visual acuity and serious side effects of ranibizumab, bevacizumab and aflibercept in age-related macular degeneration (AMD). Clinical relevance There is an ongoing debate about the optimal treatment of AMD with these three antivascular endothelial growth factor (anti-VEGF) treatments. Methods Network meta-analyses. (Pre)Medline, EMBASE, SCOPUS, Cochrane Library (until April 2013), Science Citation Index and reference lists were searched for placebo-controlled randomised trials or head-to-head comparisons. Outcomes were 1-year follow-up data of visual acuity (letters gained) and serious (vascular death, any death, stroke, myocardial infarction, transient ischaemic attack) and thrombotic events. Two investigators independently assessed eligibility and quality of included studies and extracted data. Results 11 trials (enrolling 8341 patients) assessing five active treatments were included. Compared with placebo, all anti-VEGF treatments had a significantly higher percentage of letters gained: ranibizumab 0.3 mg 2.39% (95% CI 1.59 to 3.19; p&lt;0.001), ranibizumab 0.5 mg 3.56% (95% CI 2.58 to 4.13; p&lt;0.001), bevacizumab 1.25 mg 2.14% (95% CI 0.47 to 3.82; p=0.012), aflibercept 0.5 mg 2.91% (95% CI 0.99 to 4.82; p=0.003) and aflibercept 2 mg 3.44% (95% CI 1.73 to 5.14; p&lt;0.001). Compared with placebo, serious side effects were higher in all other treatments: ranibizumab 0.3 mg 4.41% (95% CI 3.42 to 5.40; p&lt;0.001), ranibizumab 0.5 mg 5.33% (95% CI 4.37 to 6.30; p&lt;0.001), bevacizumab 1.25 mg 5.58% (95% CI 3.567 to 7.60; p&lt;0.001), aflibercept 0.5 mg 5.65% (95% CI (3.28 to 8.02; p&lt;0.001) and aflibercept 2 mg 5.29% (95% CI 3.18 to 7.39; p&lt;0.001). Compared with placebo, systemic thrombotic events also occurred more often in all other treatments. Conclusions The study revealed only a modest superiority of aflibercept 2 mg and ranibizumab 0.5 mg over other </w:t>
      </w:r>
      <w:r>
        <w:rPr>
          <w:kern w:val="0"/>
        </w:rPr>
        <w:lastRenderedPageBreak/>
        <w:t>formulations and dosages.</w:t>
      </w:r>
    </w:p>
    <w:p w:rsidR="00A813E2" w:rsidRDefault="00A813E2" w:rsidP="00A813E2">
      <w:pPr>
        <w:pStyle w:val="a3"/>
        <w:rPr>
          <w:kern w:val="0"/>
        </w:rPr>
      </w:pPr>
      <w:r>
        <w:rPr>
          <w:kern w:val="0"/>
        </w:rPr>
        <w:t>Keywords: Active, Adverse Events, Age-Related, Age-Related Macular Degeneration, Amd, Analysis, Assessing, Avastin, Choroidal Neovascularization, Citation, Data, Death, Effects, Efficacy, Embase, Endothelial Growth-Factor, Events, Follow-Up, Growth, Growth Factor, Infarction, Lucentis, Macular Degeneration, Meta-Analyses, Metaanalyses, Methods, Myocardial Infarction, Network, Outcomes, Patients, Placebo, Quality, Quality Of, Randomised, Reference, Reference Lists, Relevance, Results, Science, Science Citation Index, Scopus, Side Effects, Stroke, Therapy, Trade Off, Transient, Treatment, Verteporfin Plus Ranibizumab</w:t>
      </w:r>
    </w:p>
    <w:p w:rsidR="00C4693A" w:rsidRPr="00185FC5" w:rsidRDefault="00C4693A" w:rsidP="00C4693A">
      <w:pPr>
        <w:pStyle w:val="a3"/>
      </w:pPr>
      <w:r>
        <w:rPr>
          <w:rFonts w:hint="eastAsia"/>
        </w:rPr>
        <w:t xml:space="preserve">? </w:t>
      </w:r>
      <w:r w:rsidRPr="00185FC5">
        <w:t xml:space="preserve">Hu, Z.Z., Xie, P., Ding, Y.Z., Yuan, D.Q. and Liu, Q.H. (2015), Association between variants A69S in ARMS2 gene and response to treatment of exudative AMD: A meta-analysis. </w:t>
      </w:r>
      <w:r w:rsidRPr="00185FC5">
        <w:rPr>
          <w:i/>
          <w:iCs/>
        </w:rPr>
        <w:t>British Journal of Ophthalmology</w:t>
      </w:r>
      <w:r w:rsidRPr="00185FC5">
        <w:t xml:space="preserve">, </w:t>
      </w:r>
      <w:r w:rsidRPr="00185FC5">
        <w:rPr>
          <w:b/>
          <w:bCs/>
        </w:rPr>
        <w:t>99</w:t>
      </w:r>
      <w:r w:rsidRPr="00185FC5">
        <w:t xml:space="preserve"> (5), 593-598.</w:t>
      </w:r>
    </w:p>
    <w:p w:rsidR="00C4693A" w:rsidRPr="001A3D2B" w:rsidRDefault="00C4693A" w:rsidP="00C4693A">
      <w:pPr>
        <w:pStyle w:val="a3"/>
      </w:pPr>
      <w:r w:rsidRPr="001A3D2B">
        <w:t xml:space="preserve">Full Text: </w:t>
      </w:r>
      <w:hyperlink r:id="rId1912" w:history="1">
        <w:r w:rsidRPr="00212653">
          <w:rPr>
            <w:rStyle w:val="a5"/>
          </w:rPr>
          <w:t>2015\Bri J Oph99, 593.pdf</w:t>
        </w:r>
      </w:hyperlink>
    </w:p>
    <w:p w:rsidR="00C4693A" w:rsidRPr="00185FC5" w:rsidRDefault="00C4693A" w:rsidP="00C4693A">
      <w:pPr>
        <w:pStyle w:val="a3"/>
      </w:pPr>
      <w:r w:rsidRPr="00185FC5">
        <w:t>Abstract: A study was undertaken to investigate the association between A69S in age-related maculopathy susceptibility 2 (ARMS2) and the response to anti-angiogenesis treatment in exudative age-related macular degeneration (AMD). A literature-based meta-analysis was performed of studies relevant to A69S and the response to anti-angiogenesis treatment. PubMed, Web of Science, China National Knowledge Infrastructure (CNKI) and Sinomed databases were used to retrieve articles up to July 2014. Pooled ORs and 95% CIs were estimated using fixed and random effects models in Stata V.9.0. Q-statistic testing was used to assess heterogeneity. Twelve articles comprising 2389 cases were included in the final meta-analysis. The analysis of the overall population indicated a statistically significant association between A69S and the response to anti-angiogenesis treatment in exudative AMD (GG vs TT: OR 1.34 (95% CI 1.01 to 1.77), p=0.039; GT vs TT: OR 1.58 (95% CI 1.08 to 2.31), p=0.018; GG+GT vs TT: OR 1.74 (95% CI 1.19 to 2.52), p=0.004). In subgroup analysis, A69S appeared more likely to be a predictor for anti-angiogenic response in the East Asian population (GG vs TT: OR 1.65 (95% CI 1.02 to 2.68), p=0.042; GT vs TT: OR 1.66 (95% CI 1.17 to 2.37), p=0.005; GG+GT vs TT: OR 1.82 (95% CI 1.07 to 3.10), p=0.027; G vs T: OR 1.56 (95% CI 1.01 to 2.41)). However, no statistical significance was found in the Caucasian subgroup analysis. This study shows an association between A69S polymorphism in the ARMS2 gene and the anti-angiogenesis treatment response. A69S could be considered predictive of the anti-angiogenic effects, especially in Asian populations.</w:t>
      </w:r>
    </w:p>
    <w:p w:rsidR="00C4693A" w:rsidRPr="00185FC5" w:rsidRDefault="00C4693A" w:rsidP="00C4693A">
      <w:pPr>
        <w:pStyle w:val="a3"/>
      </w:pPr>
      <w:r w:rsidRPr="00185FC5">
        <w:t>Keywords: Age-Related Maculopathy</w:t>
      </w:r>
      <w:r>
        <w:t xml:space="preserve">, </w:t>
      </w:r>
      <w:r w:rsidRPr="00185FC5">
        <w:t>Analysis</w:t>
      </w:r>
      <w:r>
        <w:t xml:space="preserve">, </w:t>
      </w:r>
      <w:r w:rsidRPr="00185FC5">
        <w:t>Asian</w:t>
      </w:r>
      <w:r>
        <w:t xml:space="preserve">, </w:t>
      </w:r>
      <w:r w:rsidRPr="00185FC5">
        <w:t>Association</w:t>
      </w:r>
      <w:r>
        <w:t xml:space="preserve">, </w:t>
      </w:r>
      <w:r w:rsidRPr="00185FC5">
        <w:t>Bevacizumab</w:t>
      </w:r>
      <w:r>
        <w:t xml:space="preserve">, </w:t>
      </w:r>
      <w:r w:rsidRPr="00185FC5">
        <w:t>Caucasian</w:t>
      </w:r>
      <w:r>
        <w:t xml:space="preserve">, </w:t>
      </w:r>
      <w:r w:rsidRPr="00185FC5">
        <w:t>China</w:t>
      </w:r>
      <w:r>
        <w:t xml:space="preserve">, </w:t>
      </w:r>
      <w:r w:rsidRPr="00185FC5">
        <w:t>Complement Factor-H</w:t>
      </w:r>
      <w:r>
        <w:t xml:space="preserve">, </w:t>
      </w:r>
      <w:r w:rsidRPr="00185FC5">
        <w:t>Databases</w:t>
      </w:r>
      <w:r>
        <w:t xml:space="preserve">, </w:t>
      </w:r>
      <w:r w:rsidRPr="00185FC5">
        <w:t>Effects</w:t>
      </w:r>
      <w:r>
        <w:t xml:space="preserve">, </w:t>
      </w:r>
      <w:r w:rsidRPr="00185FC5">
        <w:t>Gene</w:t>
      </w:r>
      <w:r>
        <w:t xml:space="preserve">, </w:t>
      </w:r>
      <w:r w:rsidRPr="00185FC5">
        <w:t>Growth-Factor Treatment</w:t>
      </w:r>
      <w:r>
        <w:t xml:space="preserve">, </w:t>
      </w:r>
      <w:r w:rsidRPr="00185FC5">
        <w:t>Heterogeneity</w:t>
      </w:r>
      <w:r>
        <w:t xml:space="preserve">, </w:t>
      </w:r>
      <w:r w:rsidRPr="00185FC5">
        <w:t>Intravitreal Ranibizumab</w:t>
      </w:r>
      <w:r>
        <w:t xml:space="preserve">, </w:t>
      </w:r>
      <w:r w:rsidRPr="00185FC5">
        <w:t>Loc387715</w:t>
      </w:r>
      <w:r>
        <w:t xml:space="preserve">, </w:t>
      </w:r>
      <w:r w:rsidRPr="00185FC5">
        <w:t>Htra1 Variants</w:t>
      </w:r>
      <w:r>
        <w:t xml:space="preserve">, </w:t>
      </w:r>
      <w:r w:rsidRPr="00185FC5">
        <w:t>Macular Degeneration</w:t>
      </w:r>
      <w:r>
        <w:t xml:space="preserve">, </w:t>
      </w:r>
      <w:r w:rsidRPr="00185FC5">
        <w:t>Meta-Analysis</w:t>
      </w:r>
      <w:r>
        <w:t xml:space="preserve">, </w:t>
      </w:r>
      <w:r w:rsidRPr="00185FC5">
        <w:t>Metaanalysis</w:t>
      </w:r>
      <w:r>
        <w:t xml:space="preserve">, </w:t>
      </w:r>
      <w:r w:rsidRPr="00185FC5">
        <w:t>Models</w:t>
      </w:r>
      <w:r>
        <w:t xml:space="preserve">, </w:t>
      </w:r>
      <w:r w:rsidRPr="00185FC5">
        <w:t>Photodynamic Therapy</w:t>
      </w:r>
      <w:r>
        <w:t xml:space="preserve">, </w:t>
      </w:r>
      <w:r w:rsidRPr="00185FC5">
        <w:t>Polymorphism</w:t>
      </w:r>
      <w:r>
        <w:t xml:space="preserve">, </w:t>
      </w:r>
      <w:r w:rsidRPr="00185FC5">
        <w:t>Polypoidal Choroidal Vasculopathy</w:t>
      </w:r>
      <w:r>
        <w:t xml:space="preserve">, </w:t>
      </w:r>
      <w:r w:rsidRPr="00185FC5">
        <w:t>Population</w:t>
      </w:r>
      <w:r>
        <w:t xml:space="preserve">, </w:t>
      </w:r>
      <w:r w:rsidRPr="00185FC5">
        <w:lastRenderedPageBreak/>
        <w:t>Populations</w:t>
      </w:r>
      <w:r>
        <w:t xml:space="preserve">, </w:t>
      </w:r>
      <w:r w:rsidRPr="00185FC5">
        <w:t>Predictive</w:t>
      </w:r>
      <w:r>
        <w:t xml:space="preserve">, </w:t>
      </w:r>
      <w:r w:rsidRPr="00185FC5">
        <w:t>Pubmed</w:t>
      </w:r>
      <w:r>
        <w:t xml:space="preserve">, </w:t>
      </w:r>
      <w:r w:rsidRPr="00185FC5">
        <w:t>Science</w:t>
      </w:r>
      <w:r>
        <w:t xml:space="preserve">, </w:t>
      </w:r>
      <w:r w:rsidRPr="00185FC5">
        <w:t>Significance</w:t>
      </w:r>
      <w:r>
        <w:t xml:space="preserve">, </w:t>
      </w:r>
      <w:r w:rsidRPr="00185FC5">
        <w:t>Susceptibility</w:t>
      </w:r>
      <w:r>
        <w:t xml:space="preserve">, </w:t>
      </w:r>
      <w:r w:rsidRPr="00185FC5">
        <w:t>Testing</w:t>
      </w:r>
      <w:r>
        <w:t xml:space="preserve">, </w:t>
      </w:r>
      <w:r w:rsidRPr="00185FC5">
        <w:t>Treatment</w:t>
      </w:r>
      <w:r>
        <w:t xml:space="preserve">, </w:t>
      </w:r>
      <w:r w:rsidRPr="00185FC5">
        <w:t>Web Of Science</w:t>
      </w:r>
    </w:p>
    <w:p w:rsidR="003474F2" w:rsidRPr="001A3D2B" w:rsidRDefault="003474F2" w:rsidP="003474F2">
      <w:pPr>
        <w:pStyle w:val="1"/>
      </w:pPr>
      <w:r w:rsidRPr="001A3D2B">
        <w:br w:type="page"/>
      </w:r>
      <w:bookmarkStart w:id="932" w:name="_Toc420814829"/>
      <w:r w:rsidRPr="001A3D2B">
        <w:lastRenderedPageBreak/>
        <w:t xml:space="preserve">Title: </w:t>
      </w:r>
      <w:r w:rsidRPr="001A3D2B">
        <w:rPr>
          <w:iCs w:val="0"/>
        </w:rPr>
        <w:t>British Journal for</w:t>
      </w:r>
      <w:r w:rsidR="003A1917">
        <w:rPr>
          <w:iCs w:val="0"/>
        </w:rPr>
        <w:t xml:space="preserve"> the </w:t>
      </w:r>
      <w:r w:rsidRPr="001A3D2B">
        <w:rPr>
          <w:iCs w:val="0"/>
        </w:rPr>
        <w:t>Philosophy</w:t>
      </w:r>
      <w:r w:rsidR="00427468">
        <w:rPr>
          <w:iCs w:val="0"/>
        </w:rPr>
        <w:t xml:space="preserve"> of </w:t>
      </w:r>
      <w:r w:rsidRPr="001A3D2B">
        <w:rPr>
          <w:iCs w:val="0"/>
        </w:rPr>
        <w:t>Science</w:t>
      </w:r>
      <w:bookmarkEnd w:id="932"/>
    </w:p>
    <w:p w:rsidR="003474F2" w:rsidRPr="001A3D2B" w:rsidRDefault="003474F2" w:rsidP="003474F2">
      <w:pPr>
        <w:pStyle w:val="12"/>
      </w:pPr>
      <w:r w:rsidRPr="001A3D2B">
        <w:t xml:space="preserve">Full Journal Title: </w:t>
      </w:r>
      <w:hyperlink r:id="rId1913" w:history="1">
        <w:r w:rsidRPr="001A3D2B">
          <w:rPr>
            <w:rStyle w:val="a5"/>
            <w:iCs/>
          </w:rPr>
          <w:t>British Journal for</w:t>
        </w:r>
        <w:r w:rsidR="003A1917">
          <w:rPr>
            <w:rStyle w:val="a5"/>
            <w:iCs/>
          </w:rPr>
          <w:t xml:space="preserve"> the </w:t>
        </w:r>
        <w:r w:rsidRPr="001A3D2B">
          <w:rPr>
            <w:rStyle w:val="a5"/>
            <w:iCs/>
          </w:rPr>
          <w:t>Philosophy</w:t>
        </w:r>
        <w:r w:rsidR="00427468">
          <w:rPr>
            <w:rStyle w:val="a5"/>
            <w:iCs/>
          </w:rPr>
          <w:t xml:space="preserve"> of </w:t>
        </w:r>
        <w:r w:rsidRPr="001A3D2B">
          <w:rPr>
            <w:rStyle w:val="a5"/>
            <w:iCs/>
          </w:rPr>
          <w:t>Science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Byron, J.M. (2007), Whence philosophy</w:t>
      </w:r>
      <w:r w:rsidR="00427468">
        <w:t xml:space="preserve"> of </w:t>
      </w:r>
      <w:r w:rsidRPr="001A3D2B">
        <w:t xml:space="preserve">biology? </w:t>
      </w:r>
      <w:r w:rsidRPr="001A3D2B">
        <w:rPr>
          <w:i/>
          <w:iCs/>
        </w:rPr>
        <w:t>British Journal for</w:t>
      </w:r>
      <w:r w:rsidR="003A1917">
        <w:rPr>
          <w:i/>
          <w:iCs/>
        </w:rPr>
        <w:t xml:space="preserve"> the </w:t>
      </w:r>
      <w:r w:rsidRPr="001A3D2B">
        <w:rPr>
          <w:i/>
          <w:iCs/>
        </w:rPr>
        <w:t>Philosophy</w:t>
      </w:r>
      <w:r w:rsidR="00427468">
        <w:rPr>
          <w:i/>
          <w:iCs/>
        </w:rPr>
        <w:t xml:space="preserve"> of </w:t>
      </w:r>
      <w:r w:rsidRPr="001A3D2B">
        <w:rPr>
          <w:i/>
          <w:iCs/>
        </w:rPr>
        <w:t>Science</w:t>
      </w:r>
      <w:r w:rsidRPr="001A3D2B">
        <w:t xml:space="preserve">, </w:t>
      </w:r>
      <w:r w:rsidRPr="001A3D2B">
        <w:rPr>
          <w:b/>
          <w:bCs/>
        </w:rPr>
        <w:t>58</w:t>
      </w:r>
      <w:r w:rsidRPr="001A3D2B">
        <w:t xml:space="preserve"> (3), 409-422.</w:t>
      </w:r>
    </w:p>
    <w:p w:rsidR="003474F2" w:rsidRPr="001A3D2B" w:rsidRDefault="003474F2" w:rsidP="003474F2">
      <w:pPr>
        <w:pStyle w:val="a3"/>
      </w:pPr>
      <w:r w:rsidRPr="001A3D2B">
        <w:t xml:space="preserve">Full Text: </w:t>
      </w:r>
      <w:hyperlink r:id="rId1914" w:history="1">
        <w:r w:rsidRPr="001A3D2B">
          <w:rPr>
            <w:rStyle w:val="a5"/>
          </w:rPr>
          <w:t>2007\Bri J Phi Sci58, 409.pdf</w:t>
        </w:r>
      </w:hyperlink>
    </w:p>
    <w:p w:rsidR="003474F2" w:rsidRPr="001A3D2B" w:rsidRDefault="003474F2" w:rsidP="003474F2">
      <w:pPr>
        <w:pStyle w:val="a3"/>
      </w:pPr>
      <w:r w:rsidRPr="001A3D2B">
        <w:t>Abstract: A consensus exists among contemporary philosophers</w:t>
      </w:r>
      <w:r w:rsidR="00427468">
        <w:t xml:space="preserve"> of </w:t>
      </w:r>
      <w:r w:rsidRPr="001A3D2B">
        <w:t>biology about</w:t>
      </w:r>
      <w:r w:rsidR="003A1917">
        <w:t xml:space="preserve"> the </w:t>
      </w:r>
      <w:r w:rsidRPr="001A3D2B">
        <w:t>history</w:t>
      </w:r>
      <w:r w:rsidR="00427468">
        <w:t xml:space="preserve"> of </w:t>
      </w:r>
      <w:r w:rsidRPr="001A3D2B">
        <w:t>their field. According to</w:t>
      </w:r>
      <w:r w:rsidR="003A1917">
        <w:t xml:space="preserve"> the </w:t>
      </w:r>
      <w:r w:rsidRPr="001A3D2B">
        <w:t>received view, mainstream philosophy</w:t>
      </w:r>
      <w:r w:rsidR="00427468">
        <w:t xml:space="preserve"> of </w:t>
      </w:r>
      <w:r w:rsidRPr="001A3D2B">
        <w:t>science in</w:t>
      </w:r>
      <w:r w:rsidR="003A1917">
        <w:t xml:space="preserve"> the </w:t>
      </w:r>
      <w:r w:rsidRPr="001A3D2B">
        <w:t>1930s, 40s,</w:t>
      </w:r>
      <w:r w:rsidR="005853A9">
        <w:t xml:space="preserve"> and </w:t>
      </w:r>
      <w:r w:rsidRPr="001A3D2B">
        <w:t>50s focused on physics</w:t>
      </w:r>
      <w:r w:rsidR="005853A9">
        <w:t xml:space="preserve"> and </w:t>
      </w:r>
      <w:r w:rsidRPr="001A3D2B">
        <w:t>general epistemology, neglecting analyses</w:t>
      </w:r>
      <w:r w:rsidR="00427468">
        <w:t xml:space="preserve"> of </w:t>
      </w:r>
      <w:r w:rsidR="003A1917">
        <w:t xml:space="preserve">the </w:t>
      </w:r>
      <w:r w:rsidR="00700038">
        <w:t>‘</w:t>
      </w:r>
      <w:r w:rsidR="00C13DDC">
        <w:t>s</w:t>
      </w:r>
      <w:r w:rsidRPr="001A3D2B">
        <w:t>pecial sciences</w:t>
      </w:r>
      <w:r w:rsidR="00700038">
        <w:t>’</w:t>
      </w:r>
      <w:r w:rsidRPr="001A3D2B">
        <w:t>, including biology</w:t>
      </w:r>
      <w:r w:rsidR="00A37C1D">
        <w:t>. The</w:t>
      </w:r>
      <w:r w:rsidR="003A1917">
        <w:t xml:space="preserve"> </w:t>
      </w:r>
      <w:r w:rsidRPr="001A3D2B">
        <w:t>subdiscipline</w:t>
      </w:r>
      <w:r w:rsidR="00427468">
        <w:t xml:space="preserve"> of </w:t>
      </w:r>
      <w:r w:rsidRPr="001A3D2B">
        <w:t>philosophy</w:t>
      </w:r>
      <w:r w:rsidR="00427468">
        <w:t xml:space="preserve"> of </w:t>
      </w:r>
      <w:r w:rsidRPr="001A3D2B">
        <w:t>biology emerged (and could only have emerged) after</w:t>
      </w:r>
      <w:r w:rsidR="003A1917">
        <w:t xml:space="preserve"> the </w:t>
      </w:r>
      <w:r w:rsidRPr="001A3D2B">
        <w:t>decline</w:t>
      </w:r>
      <w:r w:rsidR="00427468">
        <w:t xml:space="preserve"> of </w:t>
      </w:r>
      <w:r w:rsidRPr="001A3D2B">
        <w:t>logical positivism in</w:t>
      </w:r>
      <w:r w:rsidR="003A1917">
        <w:t xml:space="preserve"> the </w:t>
      </w:r>
      <w:r w:rsidRPr="001A3D2B">
        <w:t>1960s</w:t>
      </w:r>
      <w:r w:rsidR="005853A9">
        <w:t xml:space="preserve"> and </w:t>
      </w:r>
      <w:r w:rsidRPr="001A3D2B">
        <w:t>70s. In this article, I present bibliometric data from four major philosophy</w:t>
      </w:r>
      <w:r w:rsidR="00427468">
        <w:t xml:space="preserve"> of </w:t>
      </w:r>
      <w:r w:rsidRPr="001A3D2B">
        <w:t>science journals (Erkenntnis, Philosophy</w:t>
      </w:r>
      <w:r w:rsidR="00427468">
        <w:t xml:space="preserve"> of </w:t>
      </w:r>
      <w:r w:rsidRPr="001A3D2B">
        <w:t>Science, Synthese,</w:t>
      </w:r>
      <w:r w:rsidR="005853A9">
        <w:t xml:space="preserve"> and </w:t>
      </w:r>
      <w:r w:rsidR="003A1917">
        <w:t xml:space="preserve">the </w:t>
      </w:r>
      <w:r w:rsidRPr="001A3D2B">
        <w:t>British Journal for</w:t>
      </w:r>
      <w:r w:rsidR="003A1917">
        <w:t xml:space="preserve"> the </w:t>
      </w:r>
      <w:r w:rsidRPr="001A3D2B">
        <w:t>Philosophy</w:t>
      </w:r>
      <w:r w:rsidR="00427468">
        <w:t xml:space="preserve"> of </w:t>
      </w:r>
      <w:r w:rsidRPr="001A3D2B">
        <w:t>Science), covering 1930-59, which challenge this view.</w:t>
      </w:r>
    </w:p>
    <w:p w:rsidR="003474F2" w:rsidRPr="001A3D2B" w:rsidRDefault="003474F2" w:rsidP="003474F2">
      <w:pPr>
        <w:pStyle w:val="a3"/>
        <w:rPr>
          <w:kern w:val="0"/>
        </w:rPr>
      </w:pPr>
      <w:r w:rsidRPr="001A3D2B">
        <w:rPr>
          <w:kern w:val="0"/>
        </w:rPr>
        <w:t>Keywords: Analyses, Bibliometric, Biology, British, Challenge, Consensus, Data, Epistemology, Field, General, History, Journals, Philosophy, Philosophy</w:t>
      </w:r>
      <w:r w:rsidR="00427468">
        <w:rPr>
          <w:kern w:val="0"/>
        </w:rPr>
        <w:t xml:space="preserve"> of </w:t>
      </w:r>
      <w:r w:rsidRPr="001A3D2B">
        <w:rPr>
          <w:kern w:val="0"/>
        </w:rPr>
        <w:t>Science, Science, Science Journals, Sciences</w:t>
      </w:r>
    </w:p>
    <w:p w:rsidR="00FC59E1" w:rsidRDefault="00FC59E1" w:rsidP="00FC59E1">
      <w:pPr>
        <w:pStyle w:val="a3"/>
        <w:rPr>
          <w:kern w:val="0"/>
        </w:rPr>
      </w:pPr>
      <w:r>
        <w:rPr>
          <w:rFonts w:hint="eastAsia"/>
          <w:kern w:val="0"/>
        </w:rPr>
        <w:t xml:space="preserve">? </w:t>
      </w:r>
      <w:r>
        <w:rPr>
          <w:kern w:val="0"/>
        </w:rPr>
        <w:t>Bird, A. (2012</w:t>
      </w:r>
      <w:r w:rsidR="00F42EAC">
        <w:rPr>
          <w:kern w:val="0"/>
        </w:rPr>
        <w:t>), The</w:t>
      </w:r>
      <w:r w:rsidRPr="00351E35">
        <w:rPr>
          <w:i/>
          <w:kern w:val="0"/>
        </w:rPr>
        <w:t xml:space="preserve"> Structure</w:t>
      </w:r>
      <w:r w:rsidR="00427468">
        <w:rPr>
          <w:i/>
          <w:kern w:val="0"/>
        </w:rPr>
        <w:t xml:space="preserve"> of </w:t>
      </w:r>
      <w:r w:rsidRPr="00351E35">
        <w:rPr>
          <w:i/>
          <w:kern w:val="0"/>
        </w:rPr>
        <w:t>Scientific Revolutions</w:t>
      </w:r>
      <w:r w:rsidR="005853A9">
        <w:rPr>
          <w:kern w:val="0"/>
        </w:rPr>
        <w:t xml:space="preserve"> and </w:t>
      </w:r>
      <w:r>
        <w:rPr>
          <w:kern w:val="0"/>
        </w:rPr>
        <w:t>its significance: An essay review</w:t>
      </w:r>
      <w:r w:rsidR="00427468">
        <w:rPr>
          <w:kern w:val="0"/>
        </w:rPr>
        <w:t xml:space="preserve"> of </w:t>
      </w:r>
      <w:r>
        <w:rPr>
          <w:kern w:val="0"/>
        </w:rPr>
        <w:t xml:space="preserve">the fiftieth anniversary edition. </w:t>
      </w:r>
      <w:r>
        <w:rPr>
          <w:i/>
          <w:iCs/>
          <w:kern w:val="0"/>
        </w:rPr>
        <w:t>British Journal for the Philosophy</w:t>
      </w:r>
      <w:r w:rsidR="00427468">
        <w:rPr>
          <w:i/>
          <w:iCs/>
          <w:kern w:val="0"/>
        </w:rPr>
        <w:t xml:space="preserve"> of </w:t>
      </w:r>
      <w:r>
        <w:rPr>
          <w:i/>
          <w:iCs/>
          <w:kern w:val="0"/>
        </w:rPr>
        <w:t>Science</w:t>
      </w:r>
      <w:r>
        <w:rPr>
          <w:kern w:val="0"/>
        </w:rPr>
        <w:t xml:space="preserve">, </w:t>
      </w:r>
      <w:r>
        <w:rPr>
          <w:b/>
          <w:bCs/>
          <w:kern w:val="0"/>
        </w:rPr>
        <w:t>63</w:t>
      </w:r>
      <w:r>
        <w:rPr>
          <w:kern w:val="0"/>
        </w:rPr>
        <w:t xml:space="preserve"> (4), 859-883.</w:t>
      </w:r>
    </w:p>
    <w:p w:rsidR="00FC59E1" w:rsidRPr="000B7456" w:rsidRDefault="00FC59E1" w:rsidP="00FC59E1">
      <w:pPr>
        <w:pStyle w:val="a3"/>
      </w:pPr>
      <w:r>
        <w:t>Full Text:</w:t>
      </w:r>
      <w:r w:rsidRPr="000B7456">
        <w:t xml:space="preserve"> </w:t>
      </w:r>
      <w:hyperlink r:id="rId1915" w:history="1">
        <w:r w:rsidRPr="00351E35">
          <w:rPr>
            <w:rStyle w:val="a5"/>
          </w:rPr>
          <w:t>2012\Bri J Phi Sci63, 859.pdf</w:t>
        </w:r>
      </w:hyperlink>
    </w:p>
    <w:p w:rsidR="00FC59E1" w:rsidRDefault="00FC59E1" w:rsidP="00FC59E1">
      <w:pPr>
        <w:pStyle w:val="a3"/>
        <w:rPr>
          <w:kern w:val="0"/>
        </w:rPr>
      </w:pPr>
      <w:r>
        <w:rPr>
          <w:kern w:val="0"/>
        </w:rPr>
        <w:t>Abstract: Kuhn</w:t>
      </w:r>
      <w:r w:rsidR="00700038">
        <w:rPr>
          <w:kern w:val="0"/>
        </w:rPr>
        <w:t>’</w:t>
      </w:r>
      <w:r>
        <w:rPr>
          <w:kern w:val="0"/>
        </w:rPr>
        <w:t>s Structure</w:t>
      </w:r>
      <w:r w:rsidR="00427468">
        <w:rPr>
          <w:kern w:val="0"/>
        </w:rPr>
        <w:t xml:space="preserve"> of </w:t>
      </w:r>
      <w:r>
        <w:rPr>
          <w:kern w:val="0"/>
        </w:rPr>
        <w:t>Scientific Revolutions is one</w:t>
      </w:r>
      <w:r w:rsidR="00427468">
        <w:rPr>
          <w:kern w:val="0"/>
        </w:rPr>
        <w:t xml:space="preserve"> of </w:t>
      </w:r>
      <w:r>
        <w:rPr>
          <w:kern w:val="0"/>
        </w:rPr>
        <w:t>the most cited books</w:t>
      </w:r>
      <w:r w:rsidR="00427468">
        <w:rPr>
          <w:kern w:val="0"/>
        </w:rPr>
        <w:t xml:space="preserve"> of </w:t>
      </w:r>
      <w:r>
        <w:rPr>
          <w:kern w:val="0"/>
        </w:rPr>
        <w:t>the twentieth century. Its iconic</w:t>
      </w:r>
      <w:r w:rsidR="005853A9">
        <w:rPr>
          <w:kern w:val="0"/>
        </w:rPr>
        <w:t xml:space="preserve"> and </w:t>
      </w:r>
      <w:r>
        <w:rPr>
          <w:kern w:val="0"/>
        </w:rPr>
        <w:t>controversial nature has obscured its message. What did Kuhn really intend with Structure</w:t>
      </w:r>
      <w:r w:rsidR="005853A9">
        <w:rPr>
          <w:kern w:val="0"/>
        </w:rPr>
        <w:t xml:space="preserve"> and </w:t>
      </w:r>
      <w:r>
        <w:rPr>
          <w:kern w:val="0"/>
        </w:rPr>
        <w:t>what is its real significance?</w:t>
      </w:r>
    </w:p>
    <w:p w:rsidR="00FC59E1" w:rsidRDefault="00FC59E1" w:rsidP="00FC59E1">
      <w:pPr>
        <w:pStyle w:val="a3"/>
        <w:rPr>
          <w:kern w:val="0"/>
        </w:rPr>
      </w:pPr>
      <w:r>
        <w:rPr>
          <w:kern w:val="0"/>
        </w:rPr>
        <w:t>Keywords: Review</w:t>
      </w:r>
      <w:r>
        <w:rPr>
          <w:rFonts w:hint="eastAsia"/>
          <w:kern w:val="0"/>
        </w:rPr>
        <w:t xml:space="preserve">, </w:t>
      </w:r>
      <w:r>
        <w:rPr>
          <w:kern w:val="0"/>
        </w:rPr>
        <w:t>Significance</w:t>
      </w:r>
    </w:p>
    <w:p w:rsidR="003474F2" w:rsidRPr="001A3D2B" w:rsidRDefault="003474F2" w:rsidP="003474F2">
      <w:pPr>
        <w:pStyle w:val="1"/>
      </w:pPr>
      <w:r w:rsidRPr="001A3D2B">
        <w:rPr>
          <w:bCs w:val="0"/>
          <w:iCs w:val="0"/>
        </w:rPr>
        <w:br w:type="page"/>
      </w:r>
      <w:bookmarkStart w:id="933" w:name="_Toc420814830"/>
      <w:r w:rsidRPr="001A3D2B">
        <w:lastRenderedPageBreak/>
        <w:t xml:space="preserve">Title: </w:t>
      </w:r>
      <w:r w:rsidRPr="001A3D2B">
        <w:rPr>
          <w:iCs w:val="0"/>
        </w:rPr>
        <w:t>British Journal</w:t>
      </w:r>
      <w:r w:rsidR="00427468">
        <w:rPr>
          <w:iCs w:val="0"/>
        </w:rPr>
        <w:t xml:space="preserve"> of </w:t>
      </w:r>
      <w:r w:rsidRPr="001A3D2B">
        <w:rPr>
          <w:iCs w:val="0"/>
        </w:rPr>
        <w:t>Plastic Surgery</w:t>
      </w:r>
      <w:bookmarkEnd w:id="933"/>
    </w:p>
    <w:p w:rsidR="003474F2" w:rsidRPr="001A3D2B" w:rsidRDefault="003474F2" w:rsidP="003474F2">
      <w:pPr>
        <w:pStyle w:val="12"/>
      </w:pPr>
      <w:r w:rsidRPr="001A3D2B">
        <w:t xml:space="preserve">Full Journal Title: </w:t>
      </w:r>
      <w:hyperlink r:id="rId1916" w:history="1">
        <w:r w:rsidRPr="001A3D2B">
          <w:rPr>
            <w:rStyle w:val="a5"/>
            <w:iCs/>
          </w:rPr>
          <w:t>British Journal</w:t>
        </w:r>
        <w:r w:rsidR="00427468">
          <w:rPr>
            <w:rStyle w:val="a5"/>
            <w:iCs/>
          </w:rPr>
          <w:t xml:space="preserve"> of </w:t>
        </w:r>
        <w:r w:rsidRPr="001A3D2B">
          <w:rPr>
            <w:rStyle w:val="a5"/>
            <w:iCs/>
          </w:rPr>
          <w:t>Plastic Surgery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Ismail, Y., McLean, N.R.</w:t>
      </w:r>
      <w:r w:rsidR="005853A9">
        <w:t xml:space="preserve"> and </w:t>
      </w:r>
      <w:r w:rsidRPr="001A3D2B">
        <w:t>Kelly, C.G. (2002), Head</w:t>
      </w:r>
      <w:r w:rsidR="005853A9">
        <w:t xml:space="preserve"> and </w:t>
      </w:r>
      <w:r w:rsidRPr="001A3D2B">
        <w:t>neck oncology:</w:t>
      </w:r>
      <w:r w:rsidR="003A1917">
        <w:t xml:space="preserve"> the </w:t>
      </w:r>
      <w:r w:rsidRPr="001A3D2B">
        <w:t xml:space="preserve">UK experience. Who is publishing what? </w:t>
      </w:r>
      <w:r w:rsidRPr="001A3D2B">
        <w:rPr>
          <w:i/>
          <w:iCs/>
        </w:rPr>
        <w:t>British Journal</w:t>
      </w:r>
      <w:r w:rsidR="00427468">
        <w:rPr>
          <w:i/>
          <w:iCs/>
        </w:rPr>
        <w:t xml:space="preserve"> of </w:t>
      </w:r>
      <w:r w:rsidRPr="001A3D2B">
        <w:rPr>
          <w:i/>
          <w:iCs/>
        </w:rPr>
        <w:t>Plastic Surgery</w:t>
      </w:r>
      <w:r w:rsidRPr="001A3D2B">
        <w:t xml:space="preserve">, </w:t>
      </w:r>
      <w:r w:rsidRPr="001A3D2B">
        <w:rPr>
          <w:b/>
          <w:bCs/>
        </w:rPr>
        <w:t>55</w:t>
      </w:r>
      <w:r w:rsidRPr="001A3D2B">
        <w:t xml:space="preserve"> (7), 570-573.</w:t>
      </w:r>
    </w:p>
    <w:p w:rsidR="003474F2" w:rsidRPr="001A3D2B" w:rsidRDefault="003474F2" w:rsidP="003474F2">
      <w:pPr>
        <w:pStyle w:val="a3"/>
      </w:pPr>
      <w:r w:rsidRPr="001A3D2B">
        <w:t xml:space="preserve">Full Text: </w:t>
      </w:r>
      <w:hyperlink r:id="rId1917" w:history="1">
        <w:r w:rsidRPr="001A3D2B">
          <w:rPr>
            <w:rStyle w:val="a5"/>
          </w:rPr>
          <w:t>2002\Bri J Pla Sur55, 570.pdf</w:t>
        </w:r>
      </w:hyperlink>
    </w:p>
    <w:p w:rsidR="003474F2" w:rsidRPr="001A3D2B" w:rsidRDefault="003474F2" w:rsidP="003474F2">
      <w:pPr>
        <w:pStyle w:val="a3"/>
      </w:pPr>
      <w:r w:rsidRPr="001A3D2B">
        <w:t>Abstract: Using</w:t>
      </w:r>
      <w:r w:rsidR="003A1917">
        <w:t xml:space="preserve"> the </w:t>
      </w:r>
      <w:r w:rsidR="00D5664A">
        <w:t>MEDLINE</w:t>
      </w:r>
      <w:r w:rsidRPr="001A3D2B">
        <w:t xml:space="preserve"> database (OVID), a retrospective review</w:t>
      </w:r>
      <w:r w:rsidR="00427468">
        <w:t xml:space="preserve"> of </w:t>
      </w:r>
      <w:r w:rsidR="003A1917">
        <w:t xml:space="preserve">the </w:t>
      </w:r>
      <w:r w:rsidRPr="001A3D2B">
        <w:t>UK literature on head</w:t>
      </w:r>
      <w:r w:rsidR="005853A9">
        <w:t xml:space="preserve"> and </w:t>
      </w:r>
      <w:r w:rsidRPr="001A3D2B">
        <w:t>neck oncology was performed for</w:t>
      </w:r>
      <w:r w:rsidR="003A1917">
        <w:t xml:space="preserve"> the </w:t>
      </w:r>
      <w:r w:rsidRPr="001A3D2B">
        <w:t>period 1994-2000, each publication being categorised by department</w:t>
      </w:r>
      <w:r w:rsidR="005853A9">
        <w:t xml:space="preserve"> and </w:t>
      </w:r>
      <w:r w:rsidRPr="001A3D2B">
        <w:t>first author. Tumours almost exclusively managed by general surgeons, cardiothoracic surgeons</w:t>
      </w:r>
      <w:r w:rsidR="005853A9">
        <w:t xml:space="preserve"> and </w:t>
      </w:r>
      <w:r w:rsidRPr="001A3D2B">
        <w:t>neurosurgeons were excluded. In</w:t>
      </w:r>
      <w:r w:rsidR="003A1917">
        <w:t xml:space="preserve"> the </w:t>
      </w:r>
      <w:r w:rsidRPr="001A3D2B">
        <w:t>years 1994 to 2000, there were a total</w:t>
      </w:r>
      <w:r w:rsidR="00427468">
        <w:t xml:space="preserve"> of </w:t>
      </w:r>
      <w:r w:rsidRPr="001A3D2B">
        <w:t>120 UK publications, 72%</w:t>
      </w:r>
      <w:r w:rsidR="00427468">
        <w:t xml:space="preserve"> of </w:t>
      </w:r>
      <w:r w:rsidRPr="001A3D2B">
        <w:t>which came from non-academic NHS units; 23%</w:t>
      </w:r>
      <w:r w:rsidR="00427468">
        <w:t xml:space="preserve"> of </w:t>
      </w:r>
      <w:r w:rsidR="003A1917">
        <w:t xml:space="preserve">the </w:t>
      </w:r>
      <w:r w:rsidRPr="001A3D2B">
        <w:t>publications were from ENT units, 23% from oral</w:t>
      </w:r>
      <w:r w:rsidR="005853A9">
        <w:t xml:space="preserve"> and </w:t>
      </w:r>
      <w:r w:rsidRPr="001A3D2B">
        <w:t>maxillofacial (OMF) surgery units</w:t>
      </w:r>
      <w:r w:rsidR="005853A9">
        <w:t xml:space="preserve"> and </w:t>
      </w:r>
      <w:r w:rsidRPr="001A3D2B">
        <w:t>18% from plastic surgery units</w:t>
      </w:r>
      <w:r w:rsidR="00A37C1D">
        <w:t>. The</w:t>
      </w:r>
      <w:r w:rsidR="003A1917">
        <w:t xml:space="preserve"> </w:t>
      </w:r>
      <w:r w:rsidRPr="001A3D2B">
        <w:t>majority</w:t>
      </w:r>
      <w:r w:rsidR="00427468">
        <w:t xml:space="preserve"> of </w:t>
      </w:r>
      <w:r w:rsidRPr="001A3D2B">
        <w:t>plastic surgery publications described reconstructive techniques, whereas a wider range</w:t>
      </w:r>
      <w:r w:rsidR="00427468">
        <w:t xml:space="preserve"> of </w:t>
      </w:r>
      <w:r w:rsidRPr="001A3D2B">
        <w:t>topics was observed in</w:t>
      </w:r>
      <w:r w:rsidR="003A1917">
        <w:t xml:space="preserve"> the </w:t>
      </w:r>
      <w:r w:rsidRPr="001A3D2B">
        <w:t>publications by ENT</w:t>
      </w:r>
      <w:r w:rsidR="005853A9">
        <w:t xml:space="preserve"> and </w:t>
      </w:r>
      <w:r w:rsidRPr="001A3D2B">
        <w:t>OMF surgeons. Several irregularities in</w:t>
      </w:r>
      <w:r w:rsidR="003A1917">
        <w:t xml:space="preserve"> the </w:t>
      </w:r>
      <w:r w:rsidR="00D5664A">
        <w:t>MEDLINE</w:t>
      </w:r>
      <w:r w:rsidRPr="001A3D2B">
        <w:t xml:space="preserve"> database were discovered</w:t>
      </w:r>
      <w:r w:rsidR="005853A9">
        <w:t xml:space="preserve"> and </w:t>
      </w:r>
      <w:r w:rsidRPr="001A3D2B">
        <w:t>are discussed</w:t>
      </w:r>
      <w:r w:rsidR="00A37C1D">
        <w:t>. The</w:t>
      </w:r>
      <w:r w:rsidR="003A1917">
        <w:t xml:space="preserve"> </w:t>
      </w:r>
      <w:r w:rsidRPr="001A3D2B">
        <w:t>findings</w:t>
      </w:r>
      <w:r w:rsidR="00427468">
        <w:t xml:space="preserve"> of </w:t>
      </w:r>
      <w:r w:rsidRPr="001A3D2B">
        <w:t>this study may be relevant to</w:t>
      </w:r>
      <w:r w:rsidR="003A1917">
        <w:t xml:space="preserve"> the </w:t>
      </w:r>
      <w:r w:rsidRPr="001A3D2B">
        <w:t>future planning</w:t>
      </w:r>
      <w:r w:rsidR="00427468">
        <w:t xml:space="preserve"> of </w:t>
      </w:r>
      <w:r w:rsidRPr="001A3D2B">
        <w:t>head</w:t>
      </w:r>
      <w:r w:rsidR="005853A9">
        <w:t xml:space="preserve"> and </w:t>
      </w:r>
      <w:r w:rsidRPr="001A3D2B">
        <w:t>neck oncology services. (C) 2002</w:t>
      </w:r>
      <w:r w:rsidR="003A1917">
        <w:t xml:space="preserve"> the </w:t>
      </w:r>
      <w:r w:rsidRPr="001A3D2B">
        <w:t>British Association</w:t>
      </w:r>
      <w:r w:rsidR="00427468">
        <w:t xml:space="preserve"> of </w:t>
      </w:r>
      <w:r w:rsidRPr="001A3D2B">
        <w:t>Plastic Surgeons.</w:t>
      </w:r>
    </w:p>
    <w:p w:rsidR="003474F2" w:rsidRPr="001A3D2B" w:rsidRDefault="003474F2" w:rsidP="003474F2">
      <w:pPr>
        <w:pStyle w:val="a3"/>
      </w:pPr>
      <w:r w:rsidRPr="001A3D2B">
        <w:t>? Oliver, D.W., Whitaker, I.S.</w:t>
      </w:r>
      <w:r w:rsidR="005853A9">
        <w:t xml:space="preserve"> and </w:t>
      </w:r>
      <w:r w:rsidRPr="001A3D2B">
        <w:t>Chohan, D.P.K. (2003), Publication rates for abstracts presented at</w:t>
      </w:r>
      <w:r w:rsidR="003A1917">
        <w:t xml:space="preserve"> the </w:t>
      </w:r>
      <w:r w:rsidRPr="001A3D2B">
        <w:t>British Association</w:t>
      </w:r>
      <w:r w:rsidR="00427468">
        <w:t xml:space="preserve"> of </w:t>
      </w:r>
      <w:r w:rsidRPr="001A3D2B">
        <w:t xml:space="preserve">Plastic Surgeons meetings: How do we compare with other specialties? </w:t>
      </w:r>
      <w:r w:rsidRPr="001A3D2B">
        <w:rPr>
          <w:i/>
          <w:iCs/>
        </w:rPr>
        <w:t>British Journal</w:t>
      </w:r>
      <w:r w:rsidR="00427468">
        <w:rPr>
          <w:i/>
          <w:iCs/>
        </w:rPr>
        <w:t xml:space="preserve"> of </w:t>
      </w:r>
      <w:r w:rsidRPr="001A3D2B">
        <w:rPr>
          <w:i/>
          <w:iCs/>
        </w:rPr>
        <w:t>Plastic Surgery</w:t>
      </w:r>
      <w:r w:rsidRPr="001A3D2B">
        <w:t xml:space="preserve">, </w:t>
      </w:r>
      <w:r w:rsidRPr="001A3D2B">
        <w:rPr>
          <w:b/>
          <w:bCs/>
        </w:rPr>
        <w:t>56</w:t>
      </w:r>
      <w:r w:rsidRPr="001A3D2B">
        <w:t xml:space="preserve"> (2), 158-160.</w:t>
      </w:r>
    </w:p>
    <w:p w:rsidR="003474F2" w:rsidRPr="001A3D2B" w:rsidRDefault="003474F2" w:rsidP="003474F2">
      <w:pPr>
        <w:pStyle w:val="a3"/>
      </w:pPr>
      <w:r w:rsidRPr="001A3D2B">
        <w:t xml:space="preserve">Full Text: </w:t>
      </w:r>
      <w:hyperlink r:id="rId1918" w:history="1">
        <w:r w:rsidRPr="001A3D2B">
          <w:rPr>
            <w:rStyle w:val="a5"/>
          </w:rPr>
          <w:t>2003\Bri J Pla Sur56, 158.pdf</w:t>
        </w:r>
      </w:hyperlink>
    </w:p>
    <w:p w:rsidR="003474F2" w:rsidRPr="001A3D2B" w:rsidRDefault="003474F2" w:rsidP="003474F2">
      <w:pPr>
        <w:pStyle w:val="a3"/>
      </w:pPr>
      <w:r w:rsidRPr="001A3D2B">
        <w:t>Abstract: We present a retrospective study</w:t>
      </w:r>
      <w:r w:rsidR="00427468">
        <w:t xml:space="preserve"> of </w:t>
      </w:r>
      <w:r w:rsidR="003A1917">
        <w:t xml:space="preserve">the </w:t>
      </w:r>
      <w:r w:rsidRPr="001A3D2B">
        <w:t>publication rates</w:t>
      </w:r>
      <w:r w:rsidR="00427468">
        <w:t xml:space="preserve"> of </w:t>
      </w:r>
      <w:r w:rsidRPr="001A3D2B">
        <w:t>articles presented to five meetings</w:t>
      </w:r>
      <w:r w:rsidR="00427468">
        <w:t xml:space="preserve"> of </w:t>
      </w:r>
      <w:r w:rsidR="003A1917">
        <w:t xml:space="preserve">the </w:t>
      </w:r>
      <w:r w:rsidRPr="001A3D2B">
        <w:t>British Association</w:t>
      </w:r>
      <w:r w:rsidR="00427468">
        <w:t xml:space="preserve"> of </w:t>
      </w:r>
      <w:r w:rsidRPr="001A3D2B">
        <w:t>Plastic Surgeons between 1995</w:t>
      </w:r>
      <w:r w:rsidR="005853A9">
        <w:t xml:space="preserve"> and </w:t>
      </w:r>
      <w:r w:rsidRPr="001A3D2B">
        <w:t>1999</w:t>
      </w:r>
      <w:r w:rsidR="00A37C1D">
        <w:t>. The</w:t>
      </w:r>
      <w:r w:rsidR="003A1917">
        <w:t xml:space="preserve"> </w:t>
      </w:r>
      <w:r w:rsidR="002C12F0">
        <w:t>PUBMED</w:t>
      </w:r>
      <w:r w:rsidRPr="001A3D2B">
        <w:t xml:space="preserve"> database (http://www.ncbi.nlm.nih. gov/</w:t>
      </w:r>
      <w:r w:rsidR="002C12F0">
        <w:t>PUBMED</w:t>
      </w:r>
      <w:r w:rsidRPr="001A3D2B">
        <w:t xml:space="preserve">/) was </w:t>
      </w:r>
      <w:r w:rsidRPr="001A3D2B">
        <w:lastRenderedPageBreak/>
        <w:t>searched using</w:t>
      </w:r>
      <w:r w:rsidR="003A1917">
        <w:t xml:space="preserve"> the </w:t>
      </w:r>
      <w:r w:rsidRPr="001A3D2B">
        <w:t>presenter</w:t>
      </w:r>
      <w:r w:rsidR="00700038">
        <w:t>’</w:t>
      </w:r>
      <w:r w:rsidR="00C13DDC">
        <w:t>s</w:t>
      </w:r>
      <w:r w:rsidRPr="001A3D2B">
        <w:t xml:space="preserve"> name</w:t>
      </w:r>
      <w:r w:rsidR="005853A9">
        <w:t xml:space="preserve"> and </w:t>
      </w:r>
      <w:r w:rsidRPr="001A3D2B">
        <w:t>key words from</w:t>
      </w:r>
      <w:r w:rsidR="003A1917">
        <w:t xml:space="preserve"> the </w:t>
      </w:r>
      <w:r w:rsidRPr="001A3D2B">
        <w:t>abstract. Publication rates varied from 23% for</w:t>
      </w:r>
      <w:r w:rsidR="003A1917">
        <w:t xml:space="preserve"> the </w:t>
      </w:r>
      <w:r w:rsidRPr="001A3D2B">
        <w:t>Winter Meeting</w:t>
      </w:r>
      <w:r w:rsidR="00427468">
        <w:t xml:space="preserve"> of </w:t>
      </w:r>
      <w:r w:rsidRPr="001A3D2B">
        <w:t>1999 to 54% for</w:t>
      </w:r>
      <w:r w:rsidR="003A1917">
        <w:t xml:space="preserve"> the </w:t>
      </w:r>
      <w:r w:rsidRPr="001A3D2B">
        <w:t>Winter Meeting</w:t>
      </w:r>
      <w:r w:rsidR="00427468">
        <w:t xml:space="preserve"> of </w:t>
      </w:r>
      <w:r w:rsidRPr="001A3D2B">
        <w:t>1997</w:t>
      </w:r>
      <w:r w:rsidR="00A37C1D">
        <w:t>. The</w:t>
      </w:r>
      <w:r w:rsidR="003A1917">
        <w:t xml:space="preserve"> </w:t>
      </w:r>
      <w:r w:rsidRPr="001A3D2B">
        <w:t>mean time lag from presentation to publication varied between 13</w:t>
      </w:r>
      <w:r w:rsidR="005853A9">
        <w:t xml:space="preserve"> and </w:t>
      </w:r>
      <w:r w:rsidRPr="001A3D2B">
        <w:t>25 months (range: 1-46 months)</w:t>
      </w:r>
      <w:r w:rsidR="00A37C1D">
        <w:t>. The</w:t>
      </w:r>
      <w:r w:rsidRPr="001A3D2B">
        <w:t>se results are comparable to those found in some other medical specialties. (C) 2003</w:t>
      </w:r>
      <w:r w:rsidR="003A1917">
        <w:t xml:space="preserve"> the </w:t>
      </w:r>
      <w:r w:rsidRPr="001A3D2B">
        <w:t>British Association</w:t>
      </w:r>
      <w:r w:rsidR="00427468">
        <w:t xml:space="preserve"> of </w:t>
      </w:r>
      <w:r w:rsidRPr="001A3D2B">
        <w:t>Plastic Surgeons. Published by Elsevier Science Ltd. All rights reserved.</w:t>
      </w:r>
    </w:p>
    <w:p w:rsidR="003474F2" w:rsidRPr="001A3D2B" w:rsidRDefault="003474F2" w:rsidP="003474F2">
      <w:pPr>
        <w:pStyle w:val="1"/>
      </w:pPr>
      <w:r w:rsidRPr="001A3D2B">
        <w:br w:type="page"/>
      </w:r>
      <w:bookmarkStart w:id="934" w:name="_Toc420814831"/>
      <w:r w:rsidRPr="001A3D2B">
        <w:lastRenderedPageBreak/>
        <w:t>Title: British Journal</w:t>
      </w:r>
      <w:r w:rsidR="00427468">
        <w:t xml:space="preserve"> of </w:t>
      </w:r>
      <w:r w:rsidRPr="001A3D2B">
        <w:t>Psychiatry</w:t>
      </w:r>
      <w:bookmarkEnd w:id="934"/>
    </w:p>
    <w:p w:rsidR="003474F2" w:rsidRPr="001A3D2B" w:rsidRDefault="003474F2" w:rsidP="003474F2">
      <w:pPr>
        <w:pStyle w:val="12"/>
      </w:pPr>
      <w:r w:rsidRPr="001A3D2B">
        <w:t>Full Jour</w:t>
      </w:r>
      <w:bookmarkStart w:id="935" w:name="_Toc487190536"/>
      <w:bookmarkStart w:id="936" w:name="_Toc487882034"/>
      <w:bookmarkStart w:id="937" w:name="_Toc490687723"/>
      <w:bookmarkStart w:id="938" w:name="_Toc43440389"/>
      <w:bookmarkStart w:id="939" w:name="_Toc43634547"/>
      <w:bookmarkStart w:id="940" w:name="_Toc81215650"/>
      <w:r w:rsidRPr="001A3D2B">
        <w:t xml:space="preserve">nal Title: </w:t>
      </w:r>
      <w:r w:rsidR="00206C8A">
        <w:fldChar w:fldCharType="begin"/>
      </w:r>
      <w:r w:rsidR="00FD158B">
        <w:instrText>HYPERLINK "http://bjp.rc</w:instrText>
      </w:r>
      <w:bookmarkEnd w:id="935"/>
      <w:bookmarkEnd w:id="936"/>
      <w:bookmarkEnd w:id="937"/>
      <w:bookmarkEnd w:id="938"/>
      <w:bookmarkEnd w:id="939"/>
      <w:bookmarkEnd w:id="940"/>
      <w:r w:rsidR="00FD158B">
        <w:instrText>psych.org/"</w:instrText>
      </w:r>
      <w:r w:rsidR="00206C8A">
        <w:fldChar w:fldCharType="separate"/>
      </w:r>
      <w:r w:rsidRPr="001A3D2B">
        <w:rPr>
          <w:rStyle w:val="a5"/>
        </w:rPr>
        <w:t>British Journal</w:t>
      </w:r>
      <w:r w:rsidR="00427468">
        <w:rPr>
          <w:rStyle w:val="a5"/>
        </w:rPr>
        <w:t xml:space="preserve"> of </w:t>
      </w:r>
      <w:r w:rsidRPr="001A3D2B">
        <w:rPr>
          <w:rStyle w:val="a5"/>
        </w:rPr>
        <w:t>Psychiatry</w:t>
      </w:r>
      <w:r w:rsidR="00206C8A">
        <w:fldChar w:fldCharType="end"/>
      </w:r>
    </w:p>
    <w:p w:rsidR="003474F2" w:rsidRPr="001A3D2B" w:rsidRDefault="003474F2" w:rsidP="003474F2">
      <w:pPr>
        <w:pStyle w:val="12"/>
      </w:pPr>
      <w:r w:rsidRPr="001A3D2B">
        <w:t>ISO Abbreviated Title: Br. J. Psychiatry</w:t>
      </w:r>
    </w:p>
    <w:p w:rsidR="003474F2" w:rsidRPr="001A3D2B" w:rsidRDefault="003474F2" w:rsidP="003474F2">
      <w:pPr>
        <w:pStyle w:val="12"/>
      </w:pPr>
      <w:r w:rsidRPr="001A3D2B">
        <w:t>JCR Abbreviated Title: Brit J Psychiat</w:t>
      </w:r>
    </w:p>
    <w:p w:rsidR="003474F2" w:rsidRPr="001A3D2B" w:rsidRDefault="003474F2" w:rsidP="003474F2">
      <w:pPr>
        <w:pStyle w:val="12"/>
      </w:pPr>
      <w:r w:rsidRPr="001A3D2B">
        <w:t>ISSN: 0007-1250</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 xml:space="preserve">Publisher: </w:t>
      </w:r>
      <w:smartTag w:uri="urn:schemas-microsoft-com:office:smarttags" w:element="PlaceName">
        <w:r w:rsidRPr="001A3D2B">
          <w:t>Royal</w:t>
        </w:r>
      </w:smartTag>
      <w:r w:rsidRPr="001A3D2B">
        <w:t xml:space="preserve"> College</w:t>
      </w:r>
      <w:r w:rsidR="00427468">
        <w:t xml:space="preserve"> of </w:t>
      </w:r>
      <w:r w:rsidRPr="001A3D2B">
        <w:t>Psychiatrists</w:t>
      </w:r>
    </w:p>
    <w:p w:rsidR="003474F2" w:rsidRPr="001A3D2B" w:rsidRDefault="003474F2" w:rsidP="003474F2">
      <w:pPr>
        <w:pStyle w:val="12"/>
      </w:pPr>
      <w:r w:rsidRPr="001A3D2B">
        <w:t>Publisher Address: British Journal</w:t>
      </w:r>
      <w:r w:rsidR="00427468">
        <w:t xml:space="preserve"> of </w:t>
      </w:r>
      <w:r w:rsidRPr="001A3D2B">
        <w:t xml:space="preserve">Psychiatry </w:t>
      </w:r>
      <w:smartTag w:uri="urn:schemas-microsoft-com:office:smarttags" w:element="place">
        <w:r w:rsidRPr="001A3D2B">
          <w:t xml:space="preserve">17 Belgrave Square, </w:t>
        </w:r>
        <w:smartTag w:uri="urn:schemas-microsoft-com:office:smarttags" w:element="City">
          <w:r w:rsidRPr="001A3D2B">
            <w:t>London</w:t>
          </w:r>
        </w:smartTag>
        <w:r w:rsidRPr="001A3D2B">
          <w:t xml:space="preserve"> </w:t>
        </w:r>
        <w:smartTag w:uri="urn:schemas-microsoft-com:office:smarttags" w:element="PostalCode">
          <w:r w:rsidRPr="001A3D2B">
            <w:t>SW1X 8PG</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Psychiatry: Impact Factor</w:t>
      </w:r>
    </w:p>
    <w:p w:rsidR="003474F2" w:rsidRPr="001A3D2B" w:rsidRDefault="003474F2" w:rsidP="003474F2">
      <w:pPr>
        <w:pStyle w:val="a3"/>
      </w:pPr>
      <w:r w:rsidRPr="001A3D2B">
        <w:t>? Done, D.J. (1993), Activity measurement in psychology</w:t>
      </w:r>
      <w:r w:rsidR="005853A9">
        <w:t xml:space="preserve"> and </w:t>
      </w:r>
      <w:r w:rsidRPr="001A3D2B">
        <w:t xml:space="preserve">medicine: Tryon, WW. </w:t>
      </w:r>
      <w:r w:rsidRPr="001A3D2B">
        <w:rPr>
          <w:i/>
        </w:rPr>
        <w:t>British Journal</w:t>
      </w:r>
      <w:r w:rsidR="00427468">
        <w:rPr>
          <w:i/>
        </w:rPr>
        <w:t xml:space="preserve"> of </w:t>
      </w:r>
      <w:r w:rsidRPr="001A3D2B">
        <w:rPr>
          <w:i/>
        </w:rPr>
        <w:t>Psychiatry</w:t>
      </w:r>
      <w:r w:rsidRPr="001A3D2B">
        <w:t xml:space="preserve">, </w:t>
      </w:r>
      <w:r w:rsidRPr="001A3D2B">
        <w:rPr>
          <w:b/>
        </w:rPr>
        <w:t>162</w:t>
      </w:r>
      <w:r w:rsidRPr="001A3D2B">
        <w:t>, 141.</w:t>
      </w:r>
    </w:p>
    <w:p w:rsidR="003474F2" w:rsidRPr="001A3D2B" w:rsidRDefault="003474F2" w:rsidP="003474F2">
      <w:pPr>
        <w:pStyle w:val="a3"/>
      </w:pPr>
      <w:r w:rsidRPr="001A3D2B">
        <w:t xml:space="preserve">Full Text: </w:t>
      </w:r>
      <w:r w:rsidR="00C75EB9">
        <w:rPr>
          <w:rFonts w:hint="eastAsia"/>
        </w:rPr>
        <w:t>1993\</w:t>
      </w:r>
      <w:r w:rsidR="00C75EB9" w:rsidRPr="00FC7835">
        <w:rPr>
          <w:iCs/>
        </w:rPr>
        <w:t>Bri J Psy162</w:t>
      </w:r>
      <w:r w:rsidR="00C75EB9">
        <w:t>, 141</w:t>
      </w:r>
      <w:r w:rsidR="00C75EB9">
        <w:rPr>
          <w:rFonts w:hint="eastAsia"/>
        </w:rPr>
        <w:t>.pdf</w:t>
      </w:r>
    </w:p>
    <w:p w:rsidR="00C75EB9" w:rsidRDefault="00C75EB9" w:rsidP="00C75EB9">
      <w:pPr>
        <w:pStyle w:val="a3"/>
        <w:rPr>
          <w:kern w:val="0"/>
        </w:rPr>
      </w:pPr>
      <w:r>
        <w:rPr>
          <w:rFonts w:hint="eastAsia"/>
          <w:kern w:val="0"/>
        </w:rPr>
        <w:t xml:space="preserve">? </w:t>
      </w:r>
      <w:r>
        <w:rPr>
          <w:kern w:val="0"/>
        </w:rPr>
        <w:t>Howard, L.</w:t>
      </w:r>
      <w:r w:rsidR="005853A9">
        <w:rPr>
          <w:kern w:val="0"/>
        </w:rPr>
        <w:t xml:space="preserve"> and </w:t>
      </w:r>
      <w:r>
        <w:rPr>
          <w:kern w:val="0"/>
        </w:rPr>
        <w:t>Wilkinson, G. (1997), Impact factors</w:t>
      </w:r>
      <w:r w:rsidR="00427468">
        <w:rPr>
          <w:kern w:val="0"/>
        </w:rPr>
        <w:t xml:space="preserve"> of </w:t>
      </w:r>
      <w:r>
        <w:rPr>
          <w:kern w:val="0"/>
        </w:rPr>
        <w:t xml:space="preserve">psychiatric journals. </w:t>
      </w:r>
      <w:r>
        <w:rPr>
          <w:i/>
          <w:iCs/>
          <w:kern w:val="0"/>
        </w:rPr>
        <w:t>British Journal</w:t>
      </w:r>
      <w:r w:rsidR="00427468">
        <w:rPr>
          <w:i/>
          <w:iCs/>
          <w:kern w:val="0"/>
        </w:rPr>
        <w:t xml:space="preserve"> of </w:t>
      </w:r>
      <w:r>
        <w:rPr>
          <w:i/>
          <w:iCs/>
          <w:kern w:val="0"/>
        </w:rPr>
        <w:t>Psychiatry</w:t>
      </w:r>
      <w:r>
        <w:rPr>
          <w:kern w:val="0"/>
        </w:rPr>
        <w:t xml:space="preserve">, </w:t>
      </w:r>
      <w:r>
        <w:rPr>
          <w:b/>
          <w:bCs/>
          <w:kern w:val="0"/>
        </w:rPr>
        <w:t>170</w:t>
      </w:r>
      <w:r>
        <w:rPr>
          <w:rFonts w:hint="eastAsia"/>
          <w:bCs/>
          <w:kern w:val="0"/>
        </w:rPr>
        <w:t xml:space="preserve"> (2)</w:t>
      </w:r>
      <w:r>
        <w:rPr>
          <w:kern w:val="0"/>
        </w:rPr>
        <w:t>, 109-112.</w:t>
      </w:r>
    </w:p>
    <w:p w:rsidR="00C75EB9" w:rsidRDefault="00C75EB9" w:rsidP="00C75EB9">
      <w:pPr>
        <w:pStyle w:val="a3"/>
        <w:rPr>
          <w:kern w:val="0"/>
        </w:rPr>
      </w:pPr>
      <w:r>
        <w:rPr>
          <w:rFonts w:hint="eastAsia"/>
          <w:kern w:val="0"/>
        </w:rPr>
        <w:t xml:space="preserve">Full Text: </w:t>
      </w:r>
      <w:hyperlink r:id="rId1919" w:history="1">
        <w:r w:rsidRPr="00E7762C">
          <w:rPr>
            <w:rStyle w:val="a5"/>
            <w:kern w:val="0"/>
          </w:rPr>
          <w:t>1997\Bri J Psy170, 109.pdf</w:t>
        </w:r>
      </w:hyperlink>
    </w:p>
    <w:p w:rsidR="00EA755C" w:rsidRPr="001A3D2B" w:rsidRDefault="00EA755C" w:rsidP="00EA755C">
      <w:pPr>
        <w:pStyle w:val="a3"/>
        <w:rPr>
          <w:kern w:val="0"/>
        </w:rPr>
      </w:pPr>
      <w:r w:rsidRPr="001A3D2B">
        <w:rPr>
          <w:kern w:val="0"/>
        </w:rPr>
        <w:t>Abstract: Background We examined citation data for</w:t>
      </w:r>
      <w:r w:rsidR="003A1917">
        <w:rPr>
          <w:kern w:val="0"/>
        </w:rPr>
        <w:t xml:space="preserve"> the </w:t>
      </w:r>
      <w:r w:rsidRPr="001A3D2B">
        <w:rPr>
          <w:kern w:val="0"/>
        </w:rPr>
        <w:t>British Journal</w:t>
      </w:r>
      <w:r w:rsidR="00427468">
        <w:rPr>
          <w:kern w:val="0"/>
        </w:rPr>
        <w:t xml:space="preserve"> of </w:t>
      </w:r>
      <w:r w:rsidRPr="001A3D2B">
        <w:rPr>
          <w:kern w:val="0"/>
        </w:rPr>
        <w:t>Psychiatry (BJP)</w:t>
      </w:r>
      <w:r w:rsidR="005853A9">
        <w:rPr>
          <w:kern w:val="0"/>
        </w:rPr>
        <w:t xml:space="preserve"> and </w:t>
      </w:r>
      <w:r w:rsidRPr="001A3D2B">
        <w:rPr>
          <w:kern w:val="0"/>
        </w:rPr>
        <w:t>four other general psychiatry journals to assess their impact on</w:t>
      </w:r>
      <w:r w:rsidR="003A1917">
        <w:rPr>
          <w:kern w:val="0"/>
        </w:rPr>
        <w:t xml:space="preserve"> the </w:t>
      </w:r>
      <w:r w:rsidRPr="001A3D2B">
        <w:rPr>
          <w:kern w:val="0"/>
        </w:rPr>
        <w:t>scientific community. Method Data on three measures</w:t>
      </w:r>
      <w:r w:rsidR="00427468">
        <w:rPr>
          <w:kern w:val="0"/>
        </w:rPr>
        <w:t xml:space="preserve"> of </w:t>
      </w:r>
      <w:r w:rsidRPr="001A3D2B">
        <w:rPr>
          <w:kern w:val="0"/>
        </w:rPr>
        <w:t>citations (total number</w:t>
      </w:r>
      <w:r w:rsidR="00427468">
        <w:rPr>
          <w:kern w:val="0"/>
        </w:rPr>
        <w:t xml:space="preserve"> of </w:t>
      </w:r>
      <w:r w:rsidRPr="001A3D2B">
        <w:rPr>
          <w:kern w:val="0"/>
        </w:rPr>
        <w:t>citations, impact factor</w:t>
      </w:r>
      <w:r w:rsidR="005853A9">
        <w:rPr>
          <w:kern w:val="0"/>
        </w:rPr>
        <w:t xml:space="preserve"> and </w:t>
      </w:r>
      <w:r w:rsidRPr="001A3D2B">
        <w:rPr>
          <w:kern w:val="0"/>
        </w:rPr>
        <w:t>ranking by impact factor) were obtained from Journal Citation Reports for 1985-1994. Rank correlations from year to year were calculated. Results</w:t>
      </w:r>
      <w:r w:rsidR="003A1917">
        <w:rPr>
          <w:kern w:val="0"/>
        </w:rPr>
        <w:t xml:space="preserve"> the </w:t>
      </w:r>
      <w:r w:rsidRPr="001A3D2B">
        <w:rPr>
          <w:kern w:val="0"/>
        </w:rPr>
        <w:t>BJP currently ranks sixth</w:t>
      </w:r>
      <w:r w:rsidR="00427468">
        <w:rPr>
          <w:kern w:val="0"/>
        </w:rPr>
        <w:t xml:space="preserve"> of </w:t>
      </w:r>
      <w:r w:rsidRPr="001A3D2B">
        <w:rPr>
          <w:kern w:val="0"/>
        </w:rPr>
        <w:t>all psychiatry journals when journals are ranked by impact factor</w:t>
      </w:r>
      <w:r w:rsidR="00A37C1D">
        <w:rPr>
          <w:kern w:val="0"/>
        </w:rPr>
        <w:t>. The</w:t>
      </w:r>
      <w:r w:rsidR="003A1917">
        <w:rPr>
          <w:kern w:val="0"/>
        </w:rPr>
        <w:t xml:space="preserve"> </w:t>
      </w:r>
      <w:r w:rsidRPr="001A3D2B">
        <w:rPr>
          <w:kern w:val="0"/>
        </w:rPr>
        <w:t>journal</w:t>
      </w:r>
      <w:r w:rsidR="00700038">
        <w:rPr>
          <w:kern w:val="0"/>
        </w:rPr>
        <w:t>’</w:t>
      </w:r>
      <w:r w:rsidR="00C13DDC">
        <w:rPr>
          <w:kern w:val="0"/>
        </w:rPr>
        <w:t>s</w:t>
      </w:r>
      <w:r w:rsidRPr="001A3D2B">
        <w:rPr>
          <w:kern w:val="0"/>
        </w:rPr>
        <w:t xml:space="preserve"> impact factor fell between 1985</w:t>
      </w:r>
      <w:r w:rsidR="005853A9">
        <w:rPr>
          <w:kern w:val="0"/>
        </w:rPr>
        <w:t xml:space="preserve"> and </w:t>
      </w:r>
      <w:r w:rsidRPr="001A3D2B">
        <w:rPr>
          <w:kern w:val="0"/>
        </w:rPr>
        <w:t>1990</w:t>
      </w:r>
      <w:r w:rsidR="005853A9">
        <w:rPr>
          <w:kern w:val="0"/>
        </w:rPr>
        <w:t xml:space="preserve"> and </w:t>
      </w:r>
      <w:r w:rsidRPr="001A3D2B">
        <w:rPr>
          <w:kern w:val="0"/>
        </w:rPr>
        <w:t>this was followed by a rise in impact factor after 1991</w:t>
      </w:r>
      <w:r w:rsidR="00A37C1D">
        <w:rPr>
          <w:kern w:val="0"/>
        </w:rPr>
        <w:t>. The</w:t>
      </w:r>
      <w:r w:rsidR="003A1917">
        <w:rPr>
          <w:kern w:val="0"/>
        </w:rPr>
        <w:t xml:space="preserve"> </w:t>
      </w:r>
      <w:r w:rsidRPr="001A3D2B">
        <w:rPr>
          <w:kern w:val="0"/>
        </w:rPr>
        <w:t>BJP did not rank int he top 10 psychiatry journals between 1991</w:t>
      </w:r>
      <w:r w:rsidR="005853A9">
        <w:rPr>
          <w:kern w:val="0"/>
        </w:rPr>
        <w:t xml:space="preserve"> and </w:t>
      </w:r>
      <w:r w:rsidRPr="001A3D2B">
        <w:rPr>
          <w:kern w:val="0"/>
        </w:rPr>
        <w:t>1993. Archives</w:t>
      </w:r>
      <w:r w:rsidR="00427468">
        <w:rPr>
          <w:kern w:val="0"/>
        </w:rPr>
        <w:t xml:space="preserve"> of </w:t>
      </w:r>
      <w:r w:rsidRPr="001A3D2B">
        <w:rPr>
          <w:kern w:val="0"/>
        </w:rPr>
        <w:t>General Psychiatry is cited more frequently than any other psychiatry Psychiatry usually ranking second. Psychopharmacology journals are replacing more general journals in</w:t>
      </w:r>
      <w:r w:rsidR="003A1917">
        <w:rPr>
          <w:kern w:val="0"/>
        </w:rPr>
        <w:t xml:space="preserve"> the </w:t>
      </w:r>
      <w:r w:rsidRPr="001A3D2B">
        <w:rPr>
          <w:kern w:val="0"/>
        </w:rPr>
        <w:t>top rankings. Rankings</w:t>
      </w:r>
      <w:r w:rsidR="00427468">
        <w:rPr>
          <w:kern w:val="0"/>
        </w:rPr>
        <w:t xml:space="preserve"> of </w:t>
      </w:r>
      <w:r w:rsidRPr="001A3D2B">
        <w:rPr>
          <w:kern w:val="0"/>
        </w:rPr>
        <w:t>most journals have become less stable in recent years. Conclusions</w:t>
      </w:r>
      <w:r w:rsidR="003A1917">
        <w:rPr>
          <w:kern w:val="0"/>
        </w:rPr>
        <w:t xml:space="preserve"> the </w:t>
      </w:r>
      <w:r w:rsidRPr="001A3D2B">
        <w:rPr>
          <w:kern w:val="0"/>
        </w:rPr>
        <w:t>BJP would have to change</w:t>
      </w:r>
      <w:r w:rsidR="003A1917">
        <w:rPr>
          <w:kern w:val="0"/>
        </w:rPr>
        <w:t xml:space="preserve"> the </w:t>
      </w:r>
      <w:r w:rsidRPr="001A3D2B">
        <w:rPr>
          <w:kern w:val="0"/>
        </w:rPr>
        <w:t>nature</w:t>
      </w:r>
      <w:r w:rsidR="005853A9">
        <w:rPr>
          <w:kern w:val="0"/>
        </w:rPr>
        <w:t xml:space="preserve"> and </w:t>
      </w:r>
      <w:r w:rsidRPr="001A3D2B">
        <w:rPr>
          <w:kern w:val="0"/>
        </w:rPr>
        <w:t>number</w:t>
      </w:r>
      <w:r w:rsidR="00427468">
        <w:rPr>
          <w:kern w:val="0"/>
        </w:rPr>
        <w:t xml:space="preserve"> of </w:t>
      </w:r>
      <w:r w:rsidRPr="001A3D2B">
        <w:rPr>
          <w:kern w:val="0"/>
        </w:rPr>
        <w:t>papers published to improve its impact factor</w:t>
      </w:r>
      <w:r w:rsidR="00A37C1D">
        <w:rPr>
          <w:kern w:val="0"/>
        </w:rPr>
        <w:t>. The</w:t>
      </w:r>
      <w:r w:rsidRPr="001A3D2B">
        <w:rPr>
          <w:kern w:val="0"/>
        </w:rPr>
        <w:t>re are a number</w:t>
      </w:r>
      <w:r w:rsidR="00427468">
        <w:rPr>
          <w:kern w:val="0"/>
        </w:rPr>
        <w:t xml:space="preserve"> of </w:t>
      </w:r>
      <w:r w:rsidRPr="001A3D2B">
        <w:rPr>
          <w:kern w:val="0"/>
        </w:rPr>
        <w:t>limitations to citation data</w:t>
      </w:r>
      <w:r w:rsidR="005853A9">
        <w:rPr>
          <w:kern w:val="0"/>
        </w:rPr>
        <w:t xml:space="preserve"> and </w:t>
      </w:r>
      <w:r w:rsidRPr="001A3D2B">
        <w:rPr>
          <w:kern w:val="0"/>
        </w:rPr>
        <w:t>such data are only one</w:t>
      </w:r>
      <w:r w:rsidR="00427468">
        <w:rPr>
          <w:kern w:val="0"/>
        </w:rPr>
        <w:t xml:space="preserve"> of </w:t>
      </w:r>
      <w:r w:rsidRPr="001A3D2B">
        <w:rPr>
          <w:kern w:val="0"/>
        </w:rPr>
        <w:t>several factors useful in evaluating</w:t>
      </w:r>
      <w:r w:rsidR="003A1917">
        <w:rPr>
          <w:kern w:val="0"/>
        </w:rPr>
        <w:t xml:space="preserve"> the </w:t>
      </w:r>
      <w:r w:rsidRPr="001A3D2B">
        <w:rPr>
          <w:kern w:val="0"/>
        </w:rPr>
        <w:t>importance</w:t>
      </w:r>
      <w:r w:rsidR="00427468">
        <w:rPr>
          <w:kern w:val="0"/>
        </w:rPr>
        <w:t xml:space="preserve"> of </w:t>
      </w:r>
      <w:r w:rsidRPr="001A3D2B">
        <w:rPr>
          <w:kern w:val="0"/>
        </w:rPr>
        <w:t>a journal</w:t>
      </w:r>
      <w:r w:rsidR="00700038">
        <w:rPr>
          <w:kern w:val="0"/>
        </w:rPr>
        <w:t>’</w:t>
      </w:r>
      <w:r w:rsidR="00C13DDC">
        <w:rPr>
          <w:kern w:val="0"/>
        </w:rPr>
        <w:t>s</w:t>
      </w:r>
      <w:r w:rsidRPr="001A3D2B">
        <w:rPr>
          <w:kern w:val="0"/>
        </w:rPr>
        <w:t xml:space="preserve"> contribution scientific</w:t>
      </w:r>
      <w:r w:rsidR="005853A9">
        <w:rPr>
          <w:kern w:val="0"/>
        </w:rPr>
        <w:t xml:space="preserve"> and </w:t>
      </w:r>
      <w:r w:rsidRPr="001A3D2B">
        <w:rPr>
          <w:kern w:val="0"/>
        </w:rPr>
        <w:t>clinical communities. Conflict</w:t>
      </w:r>
      <w:r w:rsidR="00427468">
        <w:rPr>
          <w:kern w:val="0"/>
        </w:rPr>
        <w:t xml:space="preserve"> of </w:t>
      </w:r>
      <w:r w:rsidRPr="001A3D2B">
        <w:rPr>
          <w:kern w:val="0"/>
        </w:rPr>
        <w:t>interest</w:t>
      </w:r>
      <w:r w:rsidR="003A1917">
        <w:rPr>
          <w:kern w:val="0"/>
        </w:rPr>
        <w:t xml:space="preserve"> the </w:t>
      </w:r>
      <w:r w:rsidRPr="001A3D2B">
        <w:rPr>
          <w:kern w:val="0"/>
        </w:rPr>
        <w:t>second author is Editor</w:t>
      </w:r>
      <w:r w:rsidR="00427468">
        <w:rPr>
          <w:kern w:val="0"/>
        </w:rPr>
        <w:t xml:space="preserve"> of </w:t>
      </w:r>
      <w:r w:rsidR="003A1917">
        <w:rPr>
          <w:kern w:val="0"/>
        </w:rPr>
        <w:t xml:space="preserve">the </w:t>
      </w:r>
      <w:r w:rsidRPr="001A3D2B">
        <w:rPr>
          <w:kern w:val="0"/>
        </w:rPr>
        <w:t>British Journal</w:t>
      </w:r>
      <w:r w:rsidR="00427468">
        <w:rPr>
          <w:kern w:val="0"/>
        </w:rPr>
        <w:t xml:space="preserve"> of </w:t>
      </w:r>
      <w:r w:rsidRPr="001A3D2B">
        <w:rPr>
          <w:kern w:val="0"/>
        </w:rPr>
        <w:t>Psychiatry.</w:t>
      </w:r>
    </w:p>
    <w:p w:rsidR="00C75EB9" w:rsidRDefault="00C75EB9" w:rsidP="00C75EB9">
      <w:pPr>
        <w:pStyle w:val="a3"/>
        <w:rPr>
          <w:kern w:val="0"/>
        </w:rPr>
      </w:pPr>
      <w:r>
        <w:rPr>
          <w:rFonts w:hint="eastAsia"/>
          <w:kern w:val="0"/>
        </w:rPr>
        <w:t xml:space="preserve">? </w:t>
      </w:r>
      <w:r>
        <w:rPr>
          <w:kern w:val="0"/>
        </w:rPr>
        <w:t>Howard, L.</w:t>
      </w:r>
      <w:r w:rsidR="005853A9">
        <w:rPr>
          <w:kern w:val="0"/>
        </w:rPr>
        <w:t xml:space="preserve"> and </w:t>
      </w:r>
      <w:r>
        <w:rPr>
          <w:kern w:val="0"/>
        </w:rPr>
        <w:t>Wilkinson, G. (1998), Impact factors</w:t>
      </w:r>
      <w:r w:rsidR="00427468">
        <w:rPr>
          <w:kern w:val="0"/>
        </w:rPr>
        <w:t xml:space="preserve"> of </w:t>
      </w:r>
      <w:r>
        <w:rPr>
          <w:kern w:val="0"/>
        </w:rPr>
        <w:t>psychiatric journals -</w:t>
      </w:r>
      <w:r w:rsidR="003A1917">
        <w:rPr>
          <w:kern w:val="0"/>
        </w:rPr>
        <w:t xml:space="preserve"> the </w:t>
      </w:r>
      <w:r w:rsidRPr="00E7762C">
        <w:rPr>
          <w:i/>
          <w:kern w:val="0"/>
        </w:rPr>
        <w:lastRenderedPageBreak/>
        <w:t>British Journal</w:t>
      </w:r>
      <w:r w:rsidR="00427468">
        <w:rPr>
          <w:i/>
          <w:kern w:val="0"/>
        </w:rPr>
        <w:t xml:space="preserve"> of </w:t>
      </w:r>
      <w:r w:rsidRPr="00E7762C">
        <w:rPr>
          <w:i/>
          <w:kern w:val="0"/>
        </w:rPr>
        <w:t>Psychiatry</w:t>
      </w:r>
      <w:r>
        <w:rPr>
          <w:kern w:val="0"/>
        </w:rPr>
        <w:t xml:space="preserve"> now has</w:t>
      </w:r>
      <w:r w:rsidR="003A1917">
        <w:rPr>
          <w:kern w:val="0"/>
        </w:rPr>
        <w:t xml:space="preserve"> the </w:t>
      </w:r>
      <w:r>
        <w:rPr>
          <w:kern w:val="0"/>
        </w:rPr>
        <w:t>highest impact factor</w:t>
      </w:r>
      <w:r w:rsidR="00427468">
        <w:rPr>
          <w:kern w:val="0"/>
        </w:rPr>
        <w:t xml:space="preserve"> of </w:t>
      </w:r>
      <w:r>
        <w:rPr>
          <w:kern w:val="0"/>
        </w:rPr>
        <w:t>all psychiatric journals outside</w:t>
      </w:r>
      <w:r w:rsidR="003A1917">
        <w:rPr>
          <w:kern w:val="0"/>
        </w:rPr>
        <w:t xml:space="preserve"> the </w:t>
      </w:r>
      <w:r w:rsidR="00D5664A">
        <w:rPr>
          <w:kern w:val="0"/>
        </w:rPr>
        <w:t>USA</w:t>
      </w:r>
      <w:r>
        <w:rPr>
          <w:kern w:val="0"/>
        </w:rPr>
        <w:t xml:space="preserve">. </w:t>
      </w:r>
      <w:r>
        <w:rPr>
          <w:i/>
          <w:iCs/>
          <w:kern w:val="0"/>
        </w:rPr>
        <w:t>British Journal</w:t>
      </w:r>
      <w:r w:rsidR="00427468">
        <w:rPr>
          <w:i/>
          <w:iCs/>
          <w:kern w:val="0"/>
        </w:rPr>
        <w:t xml:space="preserve"> of </w:t>
      </w:r>
      <w:r>
        <w:rPr>
          <w:i/>
          <w:iCs/>
          <w:kern w:val="0"/>
        </w:rPr>
        <w:t>Psychiatry</w:t>
      </w:r>
      <w:r>
        <w:rPr>
          <w:kern w:val="0"/>
        </w:rPr>
        <w:t xml:space="preserve">, </w:t>
      </w:r>
      <w:r>
        <w:rPr>
          <w:b/>
          <w:bCs/>
          <w:kern w:val="0"/>
        </w:rPr>
        <w:t>172</w:t>
      </w:r>
      <w:r>
        <w:rPr>
          <w:rFonts w:hint="eastAsia"/>
          <w:kern w:val="0"/>
        </w:rPr>
        <w:t xml:space="preserve"> (6),</w:t>
      </w:r>
      <w:r>
        <w:rPr>
          <w:kern w:val="0"/>
        </w:rPr>
        <w:t xml:space="preserve"> 457.</w:t>
      </w:r>
    </w:p>
    <w:p w:rsidR="00C75EB9" w:rsidRDefault="00C75EB9" w:rsidP="00C75EB9">
      <w:pPr>
        <w:pStyle w:val="a3"/>
        <w:rPr>
          <w:kern w:val="0"/>
        </w:rPr>
      </w:pPr>
      <w:r>
        <w:rPr>
          <w:rFonts w:hint="eastAsia"/>
          <w:kern w:val="0"/>
        </w:rPr>
        <w:t xml:space="preserve">Full Text: </w:t>
      </w:r>
      <w:hyperlink r:id="rId1920" w:history="1">
        <w:r w:rsidRPr="00E7762C">
          <w:rPr>
            <w:rStyle w:val="a5"/>
            <w:kern w:val="0"/>
          </w:rPr>
          <w:t>1998\Bri J Psy172, 457.pdf</w:t>
        </w:r>
      </w:hyperlink>
    </w:p>
    <w:p w:rsidR="00D76E10" w:rsidRDefault="00D76E10" w:rsidP="00D76E10">
      <w:pPr>
        <w:pStyle w:val="a3"/>
        <w:rPr>
          <w:kern w:val="0"/>
        </w:rPr>
      </w:pPr>
      <w:r>
        <w:rPr>
          <w:rFonts w:hint="eastAsia"/>
          <w:kern w:val="0"/>
        </w:rPr>
        <w:t xml:space="preserve">? </w:t>
      </w:r>
      <w:r w:rsidRPr="002F7098">
        <w:rPr>
          <w:kern w:val="0"/>
        </w:rPr>
        <w:t>Howard, L</w:t>
      </w:r>
      <w:r>
        <w:rPr>
          <w:rFonts w:hint="eastAsia"/>
          <w:kern w:val="0"/>
        </w:rPr>
        <w:t>.</w:t>
      </w:r>
      <w:r w:rsidR="005853A9">
        <w:rPr>
          <w:rFonts w:hint="eastAsia"/>
          <w:kern w:val="0"/>
        </w:rPr>
        <w:t xml:space="preserve"> and </w:t>
      </w:r>
      <w:r w:rsidRPr="002F7098">
        <w:rPr>
          <w:kern w:val="0"/>
        </w:rPr>
        <w:t>Wilkinson, G</w:t>
      </w:r>
      <w:r>
        <w:rPr>
          <w:rFonts w:hint="eastAsia"/>
          <w:kern w:val="0"/>
        </w:rPr>
        <w:t>.</w:t>
      </w:r>
      <w:r>
        <w:rPr>
          <w:kern w:val="0"/>
        </w:rPr>
        <w:t xml:space="preserve"> (1998), </w:t>
      </w:r>
      <w:r w:rsidRPr="002F7098">
        <w:rPr>
          <w:kern w:val="0"/>
        </w:rPr>
        <w:t>Peer review</w:t>
      </w:r>
      <w:r w:rsidR="005853A9">
        <w:rPr>
          <w:kern w:val="0"/>
        </w:rPr>
        <w:t xml:space="preserve"> and </w:t>
      </w:r>
      <w:r w:rsidRPr="002F7098">
        <w:rPr>
          <w:kern w:val="0"/>
        </w:rPr>
        <w:t>editorial decision-making</w:t>
      </w:r>
      <w:r>
        <w:rPr>
          <w:kern w:val="0"/>
        </w:rPr>
        <w:t xml:space="preserve">. </w:t>
      </w:r>
      <w:r>
        <w:rPr>
          <w:i/>
          <w:iCs/>
          <w:kern w:val="0"/>
        </w:rPr>
        <w:t>British Journal</w:t>
      </w:r>
      <w:r w:rsidR="00427468">
        <w:rPr>
          <w:i/>
          <w:iCs/>
          <w:kern w:val="0"/>
        </w:rPr>
        <w:t xml:space="preserve"> of </w:t>
      </w:r>
      <w:r>
        <w:rPr>
          <w:i/>
          <w:iCs/>
          <w:kern w:val="0"/>
        </w:rPr>
        <w:t>Psychiatry</w:t>
      </w:r>
      <w:r>
        <w:rPr>
          <w:kern w:val="0"/>
        </w:rPr>
        <w:t xml:space="preserve">, </w:t>
      </w:r>
      <w:r>
        <w:rPr>
          <w:b/>
          <w:bCs/>
          <w:kern w:val="0"/>
        </w:rPr>
        <w:t>172</w:t>
      </w:r>
      <w:r>
        <w:rPr>
          <w:rFonts w:hint="eastAsia"/>
          <w:kern w:val="0"/>
        </w:rPr>
        <w:t xml:space="preserve"> (??),</w:t>
      </w:r>
      <w:r>
        <w:rPr>
          <w:kern w:val="0"/>
        </w:rPr>
        <w:t xml:space="preserve"> </w:t>
      </w:r>
      <w:r w:rsidRPr="002F7098">
        <w:rPr>
          <w:kern w:val="0"/>
        </w:rPr>
        <w:t>110-113</w:t>
      </w:r>
      <w:r>
        <w:rPr>
          <w:kern w:val="0"/>
        </w:rPr>
        <w:t>.</w:t>
      </w:r>
    </w:p>
    <w:p w:rsidR="00D76E10" w:rsidRDefault="00D76E10" w:rsidP="00D76E10">
      <w:pPr>
        <w:pStyle w:val="a3"/>
        <w:rPr>
          <w:kern w:val="0"/>
        </w:rPr>
      </w:pPr>
      <w:r>
        <w:rPr>
          <w:rFonts w:hint="eastAsia"/>
          <w:kern w:val="0"/>
        </w:rPr>
        <w:t xml:space="preserve">Full Text: </w:t>
      </w:r>
      <w:hyperlink r:id="rId1921" w:history="1">
        <w:r w:rsidR="008E4CDC" w:rsidRPr="008E4CDC">
          <w:rPr>
            <w:rStyle w:val="a5"/>
            <w:kern w:val="0"/>
          </w:rPr>
          <w:t>1998\Bri J Psy172, 110.pdf</w:t>
        </w:r>
      </w:hyperlink>
    </w:p>
    <w:p w:rsidR="00D76E10" w:rsidRPr="002F7098" w:rsidRDefault="00D76E10" w:rsidP="00D76E10">
      <w:pPr>
        <w:pStyle w:val="a3"/>
        <w:rPr>
          <w:kern w:val="0"/>
        </w:rPr>
      </w:pPr>
      <w:r w:rsidRPr="002F7098">
        <w:rPr>
          <w:kern w:val="0"/>
        </w:rPr>
        <w:t>Abstract: Introduction This paper describes</w:t>
      </w:r>
      <w:r w:rsidR="005853A9">
        <w:rPr>
          <w:kern w:val="0"/>
        </w:rPr>
        <w:t xml:space="preserve"> and </w:t>
      </w:r>
      <w:r w:rsidRPr="002F7098">
        <w:rPr>
          <w:kern w:val="0"/>
        </w:rPr>
        <w:t>analyses</w:t>
      </w:r>
      <w:r w:rsidR="003A1917">
        <w:rPr>
          <w:kern w:val="0"/>
        </w:rPr>
        <w:t xml:space="preserve"> the </w:t>
      </w:r>
      <w:r w:rsidRPr="002F7098">
        <w:rPr>
          <w:kern w:val="0"/>
        </w:rPr>
        <w:t>editor</w:t>
      </w:r>
      <w:r w:rsidR="00700038">
        <w:rPr>
          <w:kern w:val="0"/>
        </w:rPr>
        <w:t>’</w:t>
      </w:r>
      <w:r w:rsidRPr="002F7098">
        <w:rPr>
          <w:kern w:val="0"/>
        </w:rPr>
        <w:t>s decision-making process at</w:t>
      </w:r>
      <w:r w:rsidR="003A1917">
        <w:rPr>
          <w:kern w:val="0"/>
        </w:rPr>
        <w:t xml:space="preserve"> the </w:t>
      </w:r>
      <w:r w:rsidRPr="002F7098">
        <w:rPr>
          <w:kern w:val="0"/>
        </w:rPr>
        <w:t>British journal</w:t>
      </w:r>
      <w:r w:rsidR="00427468">
        <w:rPr>
          <w:kern w:val="0"/>
        </w:rPr>
        <w:t xml:space="preserve"> of </w:t>
      </w:r>
      <w:r w:rsidRPr="002F7098">
        <w:rPr>
          <w:kern w:val="0"/>
        </w:rPr>
        <w:t>Psychiatry (BJP),</w:t>
      </w:r>
      <w:r w:rsidR="005853A9">
        <w:rPr>
          <w:kern w:val="0"/>
        </w:rPr>
        <w:t xml:space="preserve"> and </w:t>
      </w:r>
      <w:r w:rsidRPr="002F7098">
        <w:rPr>
          <w:kern w:val="0"/>
        </w:rPr>
        <w:t>investigates</w:t>
      </w:r>
      <w:r w:rsidR="003A1917">
        <w:rPr>
          <w:kern w:val="0"/>
        </w:rPr>
        <w:t xml:space="preserve"> the </w:t>
      </w:r>
      <w:r w:rsidRPr="002F7098">
        <w:rPr>
          <w:kern w:val="0"/>
        </w:rPr>
        <w:t>association between reviewers</w:t>
      </w:r>
      <w:r w:rsidR="00700038">
        <w:rPr>
          <w:kern w:val="0"/>
        </w:rPr>
        <w:t>’</w:t>
      </w:r>
      <w:r w:rsidRPr="002F7098">
        <w:rPr>
          <w:kern w:val="0"/>
        </w:rPr>
        <w:t xml:space="preserve"> asses</w:t>
      </w:r>
      <w:r>
        <w:rPr>
          <w:kern w:val="0"/>
        </w:rPr>
        <w:t>sments</w:t>
      </w:r>
      <w:r w:rsidR="005853A9">
        <w:rPr>
          <w:kern w:val="0"/>
        </w:rPr>
        <w:t xml:space="preserve"> and </w:t>
      </w:r>
      <w:r>
        <w:rPr>
          <w:kern w:val="0"/>
        </w:rPr>
        <w:t>editorial decisions.</w:t>
      </w:r>
    </w:p>
    <w:p w:rsidR="00D76E10" w:rsidRPr="002F7098" w:rsidRDefault="00D76E10" w:rsidP="00D76E10">
      <w:pPr>
        <w:pStyle w:val="a3"/>
        <w:rPr>
          <w:kern w:val="0"/>
        </w:rPr>
      </w:pPr>
      <w:r w:rsidRPr="002F7098">
        <w:rPr>
          <w:kern w:val="0"/>
        </w:rPr>
        <w:t>Method Four hundred consecutive manuscripts submitted over a six-month period to</w:t>
      </w:r>
      <w:r w:rsidR="003A1917">
        <w:rPr>
          <w:kern w:val="0"/>
        </w:rPr>
        <w:t xml:space="preserve"> the </w:t>
      </w:r>
      <w:r w:rsidRPr="002F7098">
        <w:rPr>
          <w:kern w:val="0"/>
        </w:rPr>
        <w:t>BJP were examined prospectively for assessors</w:t>
      </w:r>
      <w:r w:rsidR="00700038">
        <w:rPr>
          <w:kern w:val="0"/>
        </w:rPr>
        <w:t>’</w:t>
      </w:r>
      <w:r w:rsidRPr="002F7098">
        <w:rPr>
          <w:kern w:val="0"/>
        </w:rPr>
        <w:t xml:space="preserve"> comments</w:t>
      </w:r>
      <w:r w:rsidR="005853A9">
        <w:rPr>
          <w:kern w:val="0"/>
        </w:rPr>
        <w:t xml:space="preserve"> and </w:t>
      </w:r>
      <w:r w:rsidRPr="002F7098">
        <w:rPr>
          <w:kern w:val="0"/>
        </w:rPr>
        <w:t>editorial decisions on acceptance or rejection. Interrater reliability</w:t>
      </w:r>
      <w:r w:rsidR="00427468">
        <w:rPr>
          <w:kern w:val="0"/>
        </w:rPr>
        <w:t xml:space="preserve"> of </w:t>
      </w:r>
      <w:r w:rsidRPr="002F7098">
        <w:rPr>
          <w:kern w:val="0"/>
        </w:rPr>
        <w:t>assessments was calculated</w:t>
      </w:r>
      <w:r w:rsidR="005853A9">
        <w:rPr>
          <w:kern w:val="0"/>
        </w:rPr>
        <w:t xml:space="preserve"> and </w:t>
      </w:r>
      <w:r w:rsidRPr="002F7098">
        <w:rPr>
          <w:kern w:val="0"/>
        </w:rPr>
        <w:t>a logistic regression analysis investigated</w:t>
      </w:r>
      <w:r w:rsidR="003A1917">
        <w:rPr>
          <w:kern w:val="0"/>
        </w:rPr>
        <w:t xml:space="preserve"> the </w:t>
      </w:r>
      <w:r w:rsidRPr="002F7098">
        <w:rPr>
          <w:kern w:val="0"/>
        </w:rPr>
        <w:t>effect</w:t>
      </w:r>
      <w:r w:rsidR="00427468">
        <w:rPr>
          <w:kern w:val="0"/>
        </w:rPr>
        <w:t xml:space="preserve"> of </w:t>
      </w:r>
      <w:r w:rsidR="003A1917">
        <w:rPr>
          <w:kern w:val="0"/>
        </w:rPr>
        <w:t xml:space="preserve">the </w:t>
      </w:r>
      <w:r w:rsidRPr="002F7098">
        <w:rPr>
          <w:kern w:val="0"/>
        </w:rPr>
        <w:t>rank allocated by assessors</w:t>
      </w:r>
      <w:r w:rsidR="005853A9">
        <w:rPr>
          <w:kern w:val="0"/>
        </w:rPr>
        <w:t xml:space="preserve"> and </w:t>
      </w:r>
      <w:r w:rsidR="003A1917">
        <w:rPr>
          <w:kern w:val="0"/>
        </w:rPr>
        <w:t xml:space="preserve">the </w:t>
      </w:r>
      <w:r w:rsidRPr="002F7098">
        <w:rPr>
          <w:kern w:val="0"/>
        </w:rPr>
        <w:t>comprehensiveness</w:t>
      </w:r>
      <w:r w:rsidR="00427468">
        <w:rPr>
          <w:kern w:val="0"/>
        </w:rPr>
        <w:t xml:space="preserve"> of </w:t>
      </w:r>
      <w:r w:rsidR="003A1917">
        <w:rPr>
          <w:kern w:val="0"/>
        </w:rPr>
        <w:t xml:space="preserve">the </w:t>
      </w:r>
      <w:r w:rsidRPr="002F7098">
        <w:rPr>
          <w:kern w:val="0"/>
        </w:rPr>
        <w:t>assessments on</w:t>
      </w:r>
      <w:r w:rsidR="003A1917">
        <w:rPr>
          <w:kern w:val="0"/>
        </w:rPr>
        <w:t xml:space="preserve"> the </w:t>
      </w:r>
      <w:r w:rsidRPr="002F7098">
        <w:rPr>
          <w:kern w:val="0"/>
        </w:rPr>
        <w:t>editor</w:t>
      </w:r>
      <w:r w:rsidR="00700038">
        <w:rPr>
          <w:kern w:val="0"/>
        </w:rPr>
        <w:t>’</w:t>
      </w:r>
      <w:r>
        <w:rPr>
          <w:kern w:val="0"/>
        </w:rPr>
        <w:t>s decision.</w:t>
      </w:r>
    </w:p>
    <w:p w:rsidR="00D76E10" w:rsidRPr="002F7098" w:rsidRDefault="00D76E10" w:rsidP="00D76E10">
      <w:pPr>
        <w:pStyle w:val="a3"/>
        <w:rPr>
          <w:kern w:val="0"/>
        </w:rPr>
      </w:pPr>
      <w:r w:rsidRPr="002F7098">
        <w:rPr>
          <w:kern w:val="0"/>
        </w:rPr>
        <w:t>Results</w:t>
      </w:r>
      <w:r w:rsidR="003A1917">
        <w:rPr>
          <w:kern w:val="0"/>
        </w:rPr>
        <w:t xml:space="preserve"> the </w:t>
      </w:r>
      <w:r w:rsidRPr="002F7098">
        <w:rPr>
          <w:kern w:val="0"/>
        </w:rPr>
        <w:t>editor sent 248/400 (62%) manuscripts to assessors for peer review. Kappa for reliability</w:t>
      </w:r>
      <w:r w:rsidR="00427468">
        <w:rPr>
          <w:kern w:val="0"/>
        </w:rPr>
        <w:t xml:space="preserve"> of </w:t>
      </w:r>
      <w:r w:rsidRPr="002F7098">
        <w:rPr>
          <w:kern w:val="0"/>
        </w:rPr>
        <w:t>assessors</w:t>
      </w:r>
      <w:r w:rsidR="00700038">
        <w:rPr>
          <w:kern w:val="0"/>
        </w:rPr>
        <w:t>’</w:t>
      </w:r>
      <w:r w:rsidRPr="002F7098">
        <w:rPr>
          <w:kern w:val="0"/>
        </w:rPr>
        <w:t xml:space="preserve"> rankings was 0.1 indicating poor interrater reliability. Assessors agreed best on whether to reject a paper. A ranking</w:t>
      </w:r>
      <w:r w:rsidR="00427468">
        <w:rPr>
          <w:kern w:val="0"/>
        </w:rPr>
        <w:t xml:space="preserve"> of </w:t>
      </w:r>
      <w:r w:rsidRPr="002F7098">
        <w:rPr>
          <w:kern w:val="0"/>
        </w:rPr>
        <w:t>five (indicating rejection) had</w:t>
      </w:r>
      <w:r w:rsidR="003A1917">
        <w:rPr>
          <w:kern w:val="0"/>
        </w:rPr>
        <w:t xml:space="preserve"> the </w:t>
      </w:r>
      <w:r w:rsidRPr="002F7098">
        <w:rPr>
          <w:kern w:val="0"/>
        </w:rPr>
        <w:t>greatest association with editor</w:t>
      </w:r>
      <w:r w:rsidR="00700038">
        <w:rPr>
          <w:kern w:val="0"/>
        </w:rPr>
        <w:t>’</w:t>
      </w:r>
      <w:r w:rsidRPr="002F7098">
        <w:rPr>
          <w:kern w:val="0"/>
        </w:rPr>
        <w:t>s rejection (P &lt; 0.001, odds ratio 0.079),</w:t>
      </w:r>
      <w:r w:rsidR="005853A9">
        <w:rPr>
          <w:kern w:val="0"/>
        </w:rPr>
        <w:t xml:space="preserve"> and </w:t>
      </w:r>
      <w:r w:rsidR="003A1917">
        <w:rPr>
          <w:kern w:val="0"/>
        </w:rPr>
        <w:t xml:space="preserve">the </w:t>
      </w:r>
      <w:r w:rsidRPr="002F7098">
        <w:rPr>
          <w:kern w:val="0"/>
        </w:rPr>
        <w:t>mean ranking</w:t>
      </w:r>
      <w:r w:rsidR="00427468">
        <w:rPr>
          <w:kern w:val="0"/>
        </w:rPr>
        <w:t xml:space="preserve"> of </w:t>
      </w:r>
      <w:r w:rsidRPr="002F7098">
        <w:rPr>
          <w:kern w:val="0"/>
        </w:rPr>
        <w:t>assessments was also significantly associated with editorial acceptance or rejection (P=0.004, odds</w:t>
      </w:r>
      <w:r>
        <w:rPr>
          <w:kern w:val="0"/>
        </w:rPr>
        <w:t xml:space="preserve"> ratio 0.24).</w:t>
      </w:r>
    </w:p>
    <w:p w:rsidR="00D76E10" w:rsidRPr="002F7098" w:rsidRDefault="00D76E10" w:rsidP="00D76E10">
      <w:pPr>
        <w:pStyle w:val="a3"/>
        <w:rPr>
          <w:kern w:val="0"/>
        </w:rPr>
      </w:pPr>
      <w:r w:rsidRPr="002F7098">
        <w:rPr>
          <w:kern w:val="0"/>
        </w:rPr>
        <w:t>Conclusion Assessors</w:t>
      </w:r>
      <w:r w:rsidR="005853A9">
        <w:rPr>
          <w:kern w:val="0"/>
        </w:rPr>
        <w:t xml:space="preserve"> and </w:t>
      </w:r>
      <w:r w:rsidRPr="002F7098">
        <w:rPr>
          <w:kern w:val="0"/>
        </w:rPr>
        <w:t>editors tend to agree on what is clearly not acceptable for publication but there is less</w:t>
      </w:r>
      <w:r>
        <w:rPr>
          <w:kern w:val="0"/>
        </w:rPr>
        <w:t xml:space="preserve"> agreement on what is suitable.</w:t>
      </w:r>
    </w:p>
    <w:p w:rsidR="00D76E10" w:rsidRPr="002F7098" w:rsidRDefault="00D76E10" w:rsidP="00D76E10">
      <w:pPr>
        <w:pStyle w:val="a3"/>
        <w:rPr>
          <w:kern w:val="0"/>
        </w:rPr>
      </w:pPr>
      <w:r w:rsidRPr="002F7098">
        <w:rPr>
          <w:kern w:val="0"/>
        </w:rPr>
        <w:t>Declaration</w:t>
      </w:r>
      <w:r w:rsidR="00427468">
        <w:rPr>
          <w:kern w:val="0"/>
        </w:rPr>
        <w:t xml:space="preserve"> of </w:t>
      </w:r>
      <w:r w:rsidRPr="002F7098">
        <w:rPr>
          <w:kern w:val="0"/>
        </w:rPr>
        <w:t>interest</w:t>
      </w:r>
      <w:r w:rsidR="003A1917">
        <w:rPr>
          <w:kern w:val="0"/>
        </w:rPr>
        <w:t xml:space="preserve"> the </w:t>
      </w:r>
      <w:r w:rsidRPr="002F7098">
        <w:rPr>
          <w:kern w:val="0"/>
        </w:rPr>
        <w:t>secon</w:t>
      </w:r>
      <w:r>
        <w:rPr>
          <w:kern w:val="0"/>
        </w:rPr>
        <w:t>d author is Editor</w:t>
      </w:r>
      <w:r w:rsidR="00427468">
        <w:rPr>
          <w:kern w:val="0"/>
        </w:rPr>
        <w:t xml:space="preserve"> of </w:t>
      </w:r>
      <w:r w:rsidR="003A1917">
        <w:rPr>
          <w:kern w:val="0"/>
        </w:rPr>
        <w:t xml:space="preserve">the </w:t>
      </w:r>
      <w:r>
        <w:rPr>
          <w:kern w:val="0"/>
        </w:rPr>
        <w:t>BJP.</w:t>
      </w:r>
    </w:p>
    <w:p w:rsidR="00D76E10" w:rsidRDefault="00D76E10" w:rsidP="00D76E10">
      <w:pPr>
        <w:pStyle w:val="a3"/>
        <w:rPr>
          <w:kern w:val="0"/>
        </w:rPr>
      </w:pPr>
      <w:r w:rsidRPr="002F7098">
        <w:rPr>
          <w:kern w:val="0"/>
        </w:rPr>
        <w:t xml:space="preserve">Keywords: </w:t>
      </w:r>
      <w:r>
        <w:rPr>
          <w:kern w:val="0"/>
        </w:rPr>
        <w:t>Journals, Reliability, Quality</w:t>
      </w:r>
    </w:p>
    <w:p w:rsidR="00966A37" w:rsidRPr="001A3D2B" w:rsidRDefault="00966A37" w:rsidP="00966A37">
      <w:pPr>
        <w:pStyle w:val="a3"/>
        <w:rPr>
          <w:kern w:val="0"/>
        </w:rPr>
      </w:pPr>
      <w:r w:rsidRPr="001A3D2B">
        <w:rPr>
          <w:kern w:val="0"/>
        </w:rPr>
        <w:t>? Patel, V.</w:t>
      </w:r>
      <w:r w:rsidR="005853A9">
        <w:rPr>
          <w:kern w:val="0"/>
        </w:rPr>
        <w:t xml:space="preserve"> and </w:t>
      </w:r>
      <w:r w:rsidRPr="001A3D2B">
        <w:rPr>
          <w:kern w:val="0"/>
        </w:rPr>
        <w:t>Sumathipala, A. (2001), International representation in psychiatric literature</w:t>
      </w:r>
      <w:r w:rsidR="00C75EB9">
        <w:rPr>
          <w:rFonts w:hint="eastAsia"/>
          <w:kern w:val="0"/>
        </w:rPr>
        <w:t>:</w:t>
      </w:r>
      <w:r w:rsidRPr="001A3D2B">
        <w:rPr>
          <w:kern w:val="0"/>
        </w:rPr>
        <w:t xml:space="preserve"> Survey</w:t>
      </w:r>
      <w:r w:rsidR="00427468">
        <w:rPr>
          <w:kern w:val="0"/>
        </w:rPr>
        <w:t xml:space="preserve"> of </w:t>
      </w:r>
      <w:r w:rsidRPr="001A3D2B">
        <w:rPr>
          <w:kern w:val="0"/>
        </w:rPr>
        <w:t xml:space="preserve">six leading journals. </w:t>
      </w:r>
      <w:r w:rsidRPr="001A3D2B">
        <w:rPr>
          <w:i/>
          <w:iCs/>
          <w:kern w:val="0"/>
        </w:rPr>
        <w:t>British Journal</w:t>
      </w:r>
      <w:r w:rsidR="00427468">
        <w:rPr>
          <w:i/>
          <w:iCs/>
          <w:kern w:val="0"/>
        </w:rPr>
        <w:t xml:space="preserve"> of </w:t>
      </w:r>
      <w:r w:rsidRPr="001A3D2B">
        <w:rPr>
          <w:i/>
          <w:iCs/>
          <w:kern w:val="0"/>
        </w:rPr>
        <w:t>Psychiatry</w:t>
      </w:r>
      <w:r w:rsidRPr="001A3D2B">
        <w:rPr>
          <w:kern w:val="0"/>
        </w:rPr>
        <w:t xml:space="preserve">, </w:t>
      </w:r>
      <w:r w:rsidRPr="001A3D2B">
        <w:rPr>
          <w:b/>
          <w:bCs/>
          <w:kern w:val="0"/>
        </w:rPr>
        <w:t>178</w:t>
      </w:r>
      <w:r w:rsidR="00C75EB9">
        <w:rPr>
          <w:rFonts w:hint="eastAsia"/>
          <w:kern w:val="0"/>
        </w:rPr>
        <w:t xml:space="preserve"> (5),</w:t>
      </w:r>
      <w:r w:rsidRPr="001A3D2B">
        <w:rPr>
          <w:kern w:val="0"/>
        </w:rPr>
        <w:t xml:space="preserve"> 406-409.</w:t>
      </w:r>
    </w:p>
    <w:p w:rsidR="00C75EB9" w:rsidRDefault="00C75EB9" w:rsidP="00C75EB9">
      <w:pPr>
        <w:pStyle w:val="a3"/>
        <w:rPr>
          <w:kern w:val="0"/>
        </w:rPr>
      </w:pPr>
      <w:r>
        <w:rPr>
          <w:rFonts w:hint="eastAsia"/>
          <w:kern w:val="0"/>
        </w:rPr>
        <w:t xml:space="preserve">Full Text: </w:t>
      </w:r>
      <w:hyperlink r:id="rId1922" w:history="1">
        <w:r w:rsidRPr="00C75EB9">
          <w:rPr>
            <w:rStyle w:val="a5"/>
            <w:kern w:val="0"/>
          </w:rPr>
          <w:t>2001\Bri J Psy178, 406.pdf</w:t>
        </w:r>
      </w:hyperlink>
    </w:p>
    <w:p w:rsidR="00966A37" w:rsidRPr="001A3D2B" w:rsidRDefault="00966A37" w:rsidP="00966A37">
      <w:pPr>
        <w:pStyle w:val="a3"/>
        <w:rPr>
          <w:kern w:val="0"/>
        </w:rPr>
      </w:pPr>
      <w:r w:rsidRPr="001A3D2B">
        <w:rPr>
          <w:kern w:val="0"/>
        </w:rPr>
        <w:t>Abstract: Background Despite</w:t>
      </w:r>
      <w:r w:rsidR="003A1917">
        <w:rPr>
          <w:kern w:val="0"/>
        </w:rPr>
        <w:t xml:space="preserve"> the </w:t>
      </w:r>
      <w:r w:rsidRPr="001A3D2B">
        <w:rPr>
          <w:kern w:val="0"/>
        </w:rPr>
        <w:t>growing recognition</w:t>
      </w:r>
      <w:r w:rsidR="00427468">
        <w:rPr>
          <w:kern w:val="0"/>
        </w:rPr>
        <w:t xml:space="preserve"> of </w:t>
      </w:r>
      <w:r w:rsidR="003A1917">
        <w:rPr>
          <w:kern w:val="0"/>
        </w:rPr>
        <w:t xml:space="preserve">the </w:t>
      </w:r>
      <w:r w:rsidRPr="001A3D2B">
        <w:rPr>
          <w:kern w:val="0"/>
        </w:rPr>
        <w:t>global burden</w:t>
      </w:r>
      <w:r w:rsidR="00427468">
        <w:rPr>
          <w:kern w:val="0"/>
        </w:rPr>
        <w:t xml:space="preserve"> of </w:t>
      </w:r>
      <w:r w:rsidRPr="001A3D2B">
        <w:rPr>
          <w:kern w:val="0"/>
        </w:rPr>
        <w:t>psychiatric disease, there are questions about</w:t>
      </w:r>
      <w:r w:rsidR="003A1917">
        <w:rPr>
          <w:kern w:val="0"/>
        </w:rPr>
        <w:t xml:space="preserve"> the </w:t>
      </w:r>
      <w:r w:rsidRPr="001A3D2B">
        <w:rPr>
          <w:kern w:val="0"/>
        </w:rPr>
        <w:t>strength</w:t>
      </w:r>
      <w:r w:rsidR="00427468">
        <w:rPr>
          <w:kern w:val="0"/>
        </w:rPr>
        <w:t xml:space="preserve"> of </w:t>
      </w:r>
      <w:r w:rsidR="003A1917">
        <w:rPr>
          <w:kern w:val="0"/>
        </w:rPr>
        <w:t xml:space="preserve">the </w:t>
      </w:r>
      <w:r w:rsidRPr="001A3D2B">
        <w:rPr>
          <w:kern w:val="0"/>
        </w:rPr>
        <w:t>evidence base from non-Western societies. Aims To compare</w:t>
      </w:r>
      <w:r w:rsidR="003A1917">
        <w:rPr>
          <w:kern w:val="0"/>
        </w:rPr>
        <w:t xml:space="preserve"> the </w:t>
      </w:r>
      <w:r w:rsidRPr="001A3D2B">
        <w:rPr>
          <w:kern w:val="0"/>
        </w:rPr>
        <w:t>contribution</w:t>
      </w:r>
      <w:r w:rsidR="00427468">
        <w:rPr>
          <w:kern w:val="0"/>
        </w:rPr>
        <w:t xml:space="preserve"> of </w:t>
      </w:r>
      <w:r w:rsidRPr="001A3D2B">
        <w:rPr>
          <w:kern w:val="0"/>
        </w:rPr>
        <w:t>Euro-American countries</w:t>
      </w:r>
      <w:r w:rsidR="005853A9">
        <w:rPr>
          <w:kern w:val="0"/>
        </w:rPr>
        <w:t xml:space="preserve"> and </w:t>
      </w:r>
      <w:r w:rsidR="003A1917">
        <w:rPr>
          <w:kern w:val="0"/>
        </w:rPr>
        <w:t xml:space="preserve">the </w:t>
      </w:r>
      <w:r w:rsidRPr="001A3D2B">
        <w:rPr>
          <w:kern w:val="0"/>
        </w:rPr>
        <w:t>rest</w:t>
      </w:r>
      <w:r w:rsidR="00427468">
        <w:rPr>
          <w:kern w:val="0"/>
        </w:rPr>
        <w:t xml:space="preserve"> of </w:t>
      </w:r>
      <w:r w:rsidR="003A1917">
        <w:rPr>
          <w:kern w:val="0"/>
        </w:rPr>
        <w:t xml:space="preserve">the </w:t>
      </w:r>
      <w:r w:rsidRPr="001A3D2B">
        <w:rPr>
          <w:kern w:val="0"/>
        </w:rPr>
        <w:t>world (RoW) to psychiatric literature. Method Survey</w:t>
      </w:r>
      <w:r w:rsidR="00427468">
        <w:rPr>
          <w:kern w:val="0"/>
        </w:rPr>
        <w:t xml:space="preserve"> of </w:t>
      </w:r>
      <w:r w:rsidR="003A1917">
        <w:rPr>
          <w:kern w:val="0"/>
        </w:rPr>
        <w:t xml:space="preserve">the </w:t>
      </w:r>
      <w:r w:rsidRPr="001A3D2B">
        <w:rPr>
          <w:kern w:val="0"/>
        </w:rPr>
        <w:t>country</w:t>
      </w:r>
      <w:r w:rsidR="00427468">
        <w:rPr>
          <w:kern w:val="0"/>
        </w:rPr>
        <w:t xml:space="preserve"> of </w:t>
      </w:r>
      <w:r w:rsidRPr="001A3D2B">
        <w:rPr>
          <w:kern w:val="0"/>
        </w:rPr>
        <w:t>origin</w:t>
      </w:r>
      <w:r w:rsidR="00427468">
        <w:rPr>
          <w:kern w:val="0"/>
        </w:rPr>
        <w:t xml:space="preserve"> of </w:t>
      </w:r>
      <w:r w:rsidRPr="001A3D2B">
        <w:rPr>
          <w:kern w:val="0"/>
        </w:rPr>
        <w:t>papers submitted to</w:t>
      </w:r>
      <w:r w:rsidR="005853A9">
        <w:rPr>
          <w:kern w:val="0"/>
        </w:rPr>
        <w:t xml:space="preserve"> and </w:t>
      </w:r>
      <w:r w:rsidRPr="001A3D2B">
        <w:rPr>
          <w:kern w:val="0"/>
        </w:rPr>
        <w:t>published in six leading psychiatric journals over a 3-year period (1996-1998) Results Only 6%</w:t>
      </w:r>
      <w:r w:rsidR="00427468">
        <w:rPr>
          <w:kern w:val="0"/>
        </w:rPr>
        <w:t xml:space="preserve"> of </w:t>
      </w:r>
      <w:r w:rsidR="003A1917">
        <w:rPr>
          <w:kern w:val="0"/>
        </w:rPr>
        <w:t xml:space="preserve">the </w:t>
      </w:r>
      <w:r w:rsidRPr="001A3D2B">
        <w:rPr>
          <w:kern w:val="0"/>
        </w:rPr>
        <w:t>literature is published from regions</w:t>
      </w:r>
      <w:r w:rsidR="00427468">
        <w:rPr>
          <w:kern w:val="0"/>
        </w:rPr>
        <w:t xml:space="preserve"> of </w:t>
      </w:r>
      <w:r w:rsidR="003A1917">
        <w:rPr>
          <w:kern w:val="0"/>
        </w:rPr>
        <w:t xml:space="preserve">the </w:t>
      </w:r>
      <w:r w:rsidRPr="001A3D2B">
        <w:rPr>
          <w:kern w:val="0"/>
        </w:rPr>
        <w:t>world that account for over 90%</w:t>
      </w:r>
      <w:r w:rsidR="00427468">
        <w:rPr>
          <w:kern w:val="0"/>
        </w:rPr>
        <w:t xml:space="preserve"> of </w:t>
      </w:r>
      <w:r w:rsidRPr="001A3D2B">
        <w:rPr>
          <w:kern w:val="0"/>
        </w:rPr>
        <w:t>global population</w:t>
      </w:r>
      <w:r w:rsidR="00A37C1D">
        <w:rPr>
          <w:kern w:val="0"/>
        </w:rPr>
        <w:t>. The</w:t>
      </w:r>
      <w:r w:rsidR="003A1917">
        <w:rPr>
          <w:kern w:val="0"/>
        </w:rPr>
        <w:t xml:space="preserve"> </w:t>
      </w:r>
      <w:r w:rsidRPr="001A3D2B">
        <w:rPr>
          <w:kern w:val="0"/>
        </w:rPr>
        <w:t>three journals published in Europe had a significantly higher proportion</w:t>
      </w:r>
      <w:r w:rsidR="00427468">
        <w:rPr>
          <w:kern w:val="0"/>
        </w:rPr>
        <w:t xml:space="preserve"> of </w:t>
      </w:r>
      <w:r w:rsidRPr="001A3D2B">
        <w:rPr>
          <w:kern w:val="0"/>
        </w:rPr>
        <w:t>international articles when compared to</w:t>
      </w:r>
      <w:r w:rsidR="003A1917">
        <w:rPr>
          <w:kern w:val="0"/>
        </w:rPr>
        <w:t xml:space="preserve"> the </w:t>
      </w:r>
      <w:r w:rsidRPr="001A3D2B">
        <w:rPr>
          <w:kern w:val="0"/>
        </w:rPr>
        <w:t>three American journals. Less than 1%</w:t>
      </w:r>
      <w:r w:rsidR="00427468">
        <w:rPr>
          <w:kern w:val="0"/>
        </w:rPr>
        <w:t xml:space="preserve"> of </w:t>
      </w:r>
      <w:r w:rsidRPr="001A3D2B">
        <w:rPr>
          <w:kern w:val="0"/>
        </w:rPr>
        <w:t>all published articles described mental health interventions in</w:t>
      </w:r>
      <w:r w:rsidR="003A1917">
        <w:rPr>
          <w:kern w:val="0"/>
        </w:rPr>
        <w:t xml:space="preserve"> the </w:t>
      </w:r>
      <w:r w:rsidRPr="001A3D2B">
        <w:rPr>
          <w:kern w:val="0"/>
        </w:rPr>
        <w:t>RoW. Acceptance rates were significantly lower Rr papers submitted from</w:t>
      </w:r>
      <w:r w:rsidR="003A1917">
        <w:rPr>
          <w:kern w:val="0"/>
        </w:rPr>
        <w:t xml:space="preserve"> the </w:t>
      </w:r>
      <w:r w:rsidRPr="001A3D2B">
        <w:rPr>
          <w:kern w:val="0"/>
        </w:rPr>
        <w:t xml:space="preserve">RoW. Conclusions There </w:t>
      </w:r>
      <w:r w:rsidRPr="001A3D2B">
        <w:rPr>
          <w:kern w:val="0"/>
        </w:rPr>
        <w:lastRenderedPageBreak/>
        <w:t>is a gross underrepresentation</w:t>
      </w:r>
      <w:r w:rsidR="00427468">
        <w:rPr>
          <w:kern w:val="0"/>
        </w:rPr>
        <w:t xml:space="preserve"> of </w:t>
      </w:r>
      <w:r w:rsidRPr="001A3D2B">
        <w:rPr>
          <w:kern w:val="0"/>
        </w:rPr>
        <w:t>research from</w:t>
      </w:r>
      <w:r w:rsidR="003A1917">
        <w:rPr>
          <w:kern w:val="0"/>
        </w:rPr>
        <w:t xml:space="preserve"> the </w:t>
      </w:r>
      <w:r w:rsidRPr="001A3D2B">
        <w:rPr>
          <w:kern w:val="0"/>
        </w:rPr>
        <w:t>RoW This has implications for</w:t>
      </w:r>
      <w:r w:rsidR="003A1917">
        <w:rPr>
          <w:kern w:val="0"/>
        </w:rPr>
        <w:t xml:space="preserve"> the </w:t>
      </w:r>
      <w:r w:rsidRPr="001A3D2B">
        <w:rPr>
          <w:kern w:val="0"/>
        </w:rPr>
        <w:t>development</w:t>
      </w:r>
      <w:r w:rsidR="00427468">
        <w:rPr>
          <w:kern w:val="0"/>
        </w:rPr>
        <w:t xml:space="preserve"> of </w:t>
      </w:r>
      <w:r w:rsidRPr="001A3D2B">
        <w:rPr>
          <w:kern w:val="0"/>
        </w:rPr>
        <w:t>a truly international psychiatry. Declaration</w:t>
      </w:r>
      <w:r w:rsidR="00427468">
        <w:rPr>
          <w:kern w:val="0"/>
        </w:rPr>
        <w:t xml:space="preserve"> of </w:t>
      </w:r>
      <w:r w:rsidRPr="001A3D2B">
        <w:rPr>
          <w:kern w:val="0"/>
        </w:rPr>
        <w:t>Interest None.</w:t>
      </w:r>
    </w:p>
    <w:p w:rsidR="003474F2" w:rsidRPr="001A3D2B" w:rsidRDefault="003474F2" w:rsidP="003474F2">
      <w:pPr>
        <w:pStyle w:val="a3"/>
      </w:pPr>
      <w:r w:rsidRPr="001A3D2B">
        <w:t>? Leff, J. (2001), Invited commentaries on: International representation in psychiatric literature. Survey</w:t>
      </w:r>
      <w:r w:rsidR="00427468">
        <w:t xml:space="preserve"> of </w:t>
      </w:r>
      <w:r w:rsidRPr="001A3D2B">
        <w:t>six leading journals. An inequity</w:t>
      </w:r>
      <w:r w:rsidR="005853A9">
        <w:t xml:space="preserve"> and </w:t>
      </w:r>
      <w:r w:rsidRPr="001A3D2B">
        <w:t xml:space="preserve">its possible remedies. </w:t>
      </w:r>
      <w:r w:rsidRPr="001A3D2B">
        <w:rPr>
          <w:i/>
        </w:rPr>
        <w:t>British Journal</w:t>
      </w:r>
      <w:r w:rsidR="00427468">
        <w:rPr>
          <w:i/>
        </w:rPr>
        <w:t xml:space="preserve"> of </w:t>
      </w:r>
      <w:r w:rsidRPr="001A3D2B">
        <w:rPr>
          <w:i/>
        </w:rPr>
        <w:t>Psychiatry</w:t>
      </w:r>
      <w:r w:rsidRPr="001A3D2B">
        <w:t xml:space="preserve">, </w:t>
      </w:r>
      <w:r w:rsidRPr="001A3D2B">
        <w:rPr>
          <w:b/>
          <w:bCs/>
        </w:rPr>
        <w:t>178</w:t>
      </w:r>
      <w:r w:rsidRPr="001A3D2B">
        <w:t xml:space="preserve"> (5), 410.</w:t>
      </w:r>
    </w:p>
    <w:p w:rsidR="00C75EB9" w:rsidRPr="00FC7835" w:rsidRDefault="00C75EB9" w:rsidP="00C75EB9">
      <w:pPr>
        <w:pStyle w:val="a3"/>
      </w:pPr>
      <w:r>
        <w:t>Full Text:</w:t>
      </w:r>
      <w:r w:rsidRPr="00FC7835">
        <w:t xml:space="preserve"> </w:t>
      </w:r>
      <w:hyperlink r:id="rId1923" w:history="1">
        <w:r w:rsidRPr="00C71051">
          <w:rPr>
            <w:rStyle w:val="a5"/>
          </w:rPr>
          <w:t>2001\Bri J Psy178, 410.pdf</w:t>
        </w:r>
      </w:hyperlink>
    </w:p>
    <w:p w:rsidR="003474F2" w:rsidRPr="001A3D2B" w:rsidRDefault="003474F2" w:rsidP="003474F2">
      <w:pPr>
        <w:pStyle w:val="a3"/>
      </w:pPr>
      <w:r w:rsidRPr="001A3D2B">
        <w:t>? Cheng, A.T. (2001), Invited commentaries on: International representation in psychiatric literature. Survey</w:t>
      </w:r>
      <w:r w:rsidR="00427468">
        <w:t xml:space="preserve"> of </w:t>
      </w:r>
      <w:r w:rsidRPr="001A3D2B">
        <w:t xml:space="preserve">six leading journals. Can we learn from each other? </w:t>
      </w:r>
      <w:r w:rsidRPr="001A3D2B">
        <w:rPr>
          <w:i/>
        </w:rPr>
        <w:t>British Journal</w:t>
      </w:r>
      <w:r w:rsidR="00427468">
        <w:rPr>
          <w:i/>
        </w:rPr>
        <w:t xml:space="preserve"> of </w:t>
      </w:r>
      <w:r w:rsidRPr="001A3D2B">
        <w:rPr>
          <w:i/>
        </w:rPr>
        <w:t>Psychiatry</w:t>
      </w:r>
      <w:r w:rsidRPr="001A3D2B">
        <w:t xml:space="preserve">, </w:t>
      </w:r>
      <w:r w:rsidRPr="001A3D2B">
        <w:rPr>
          <w:b/>
          <w:bCs/>
        </w:rPr>
        <w:t>178</w:t>
      </w:r>
      <w:r w:rsidRPr="001A3D2B">
        <w:t xml:space="preserve"> (5), 410-411.</w:t>
      </w:r>
    </w:p>
    <w:p w:rsidR="00C75EB9" w:rsidRDefault="00C75EB9" w:rsidP="00C75EB9">
      <w:pPr>
        <w:pStyle w:val="a3"/>
      </w:pPr>
      <w:r>
        <w:t xml:space="preserve">Full Text: </w:t>
      </w:r>
      <w:r>
        <w:rPr>
          <w:rFonts w:hint="eastAsia"/>
        </w:rPr>
        <w:t>2001\</w:t>
      </w:r>
      <w:r>
        <w:rPr>
          <w:iCs/>
        </w:rPr>
        <w:t>Bri J Psy178</w:t>
      </w:r>
      <w:r>
        <w:t>, 410-1.pdf</w:t>
      </w:r>
    </w:p>
    <w:p w:rsidR="00966A37" w:rsidRPr="001A3D2B" w:rsidRDefault="00966A37" w:rsidP="00966A37">
      <w:pPr>
        <w:pStyle w:val="a3"/>
        <w:rPr>
          <w:kern w:val="0"/>
        </w:rPr>
      </w:pPr>
      <w:r w:rsidRPr="001A3D2B">
        <w:rPr>
          <w:kern w:val="0"/>
        </w:rPr>
        <w:t xml:space="preserve">? Faunce, G.J. (2001), Advice for authors is premature. </w:t>
      </w:r>
      <w:r w:rsidRPr="001A3D2B">
        <w:rPr>
          <w:i/>
          <w:iCs/>
          <w:kern w:val="0"/>
        </w:rPr>
        <w:t>British Journal</w:t>
      </w:r>
      <w:r w:rsidR="00427468">
        <w:rPr>
          <w:i/>
          <w:iCs/>
          <w:kern w:val="0"/>
        </w:rPr>
        <w:t xml:space="preserve"> of </w:t>
      </w:r>
      <w:r w:rsidRPr="001A3D2B">
        <w:rPr>
          <w:i/>
          <w:iCs/>
          <w:kern w:val="0"/>
        </w:rPr>
        <w:t>Psychiatry</w:t>
      </w:r>
      <w:r w:rsidRPr="001A3D2B">
        <w:rPr>
          <w:kern w:val="0"/>
        </w:rPr>
        <w:t xml:space="preserve">, </w:t>
      </w:r>
      <w:r w:rsidRPr="001A3D2B">
        <w:rPr>
          <w:b/>
          <w:bCs/>
          <w:kern w:val="0"/>
        </w:rPr>
        <w:t>179</w:t>
      </w:r>
      <w:r w:rsidR="00C75EB9">
        <w:rPr>
          <w:rFonts w:hint="eastAsia"/>
          <w:kern w:val="0"/>
        </w:rPr>
        <w:t xml:space="preserve"> (5),</w:t>
      </w:r>
      <w:r w:rsidRPr="001A3D2B">
        <w:rPr>
          <w:kern w:val="0"/>
        </w:rPr>
        <w:t xml:space="preserve"> 466.</w:t>
      </w:r>
    </w:p>
    <w:p w:rsidR="00C75EB9" w:rsidRDefault="00C75EB9" w:rsidP="00C75EB9">
      <w:pPr>
        <w:pStyle w:val="a3"/>
      </w:pPr>
      <w:r>
        <w:t xml:space="preserve">Full Text: </w:t>
      </w:r>
      <w:r>
        <w:rPr>
          <w:rFonts w:hint="eastAsia"/>
        </w:rPr>
        <w:t>2001\</w:t>
      </w:r>
      <w:r>
        <w:rPr>
          <w:iCs/>
        </w:rPr>
        <w:t>Bri J Psy17</w:t>
      </w:r>
      <w:r>
        <w:rPr>
          <w:rFonts w:hint="eastAsia"/>
          <w:iCs/>
        </w:rPr>
        <w:t>9</w:t>
      </w:r>
      <w:r>
        <w:t>, 4</w:t>
      </w:r>
      <w:r>
        <w:rPr>
          <w:rFonts w:hint="eastAsia"/>
        </w:rPr>
        <w:t>66</w:t>
      </w:r>
      <w:r>
        <w:t>.pdf</w:t>
      </w:r>
    </w:p>
    <w:p w:rsidR="00C75EB9" w:rsidRDefault="00C75EB9" w:rsidP="00C75EB9">
      <w:pPr>
        <w:pStyle w:val="a3"/>
        <w:rPr>
          <w:kern w:val="0"/>
        </w:rPr>
      </w:pPr>
      <w:r>
        <w:rPr>
          <w:rFonts w:hint="eastAsia"/>
          <w:kern w:val="0"/>
        </w:rPr>
        <w:t xml:space="preserve">? </w:t>
      </w:r>
      <w:r>
        <w:rPr>
          <w:kern w:val="0"/>
        </w:rPr>
        <w:t>Fava, G.A., Ottolini, F.</w:t>
      </w:r>
      <w:r w:rsidR="005853A9">
        <w:rPr>
          <w:kern w:val="0"/>
        </w:rPr>
        <w:t xml:space="preserve"> and </w:t>
      </w:r>
      <w:r>
        <w:rPr>
          <w:kern w:val="0"/>
        </w:rPr>
        <w:t xml:space="preserve">Tossani, E. (2001), World psychiatric literature. </w:t>
      </w:r>
      <w:r>
        <w:rPr>
          <w:i/>
          <w:iCs/>
          <w:kern w:val="0"/>
        </w:rPr>
        <w:t>British Journal</w:t>
      </w:r>
      <w:r w:rsidR="00427468">
        <w:rPr>
          <w:i/>
          <w:iCs/>
          <w:kern w:val="0"/>
        </w:rPr>
        <w:t xml:space="preserve"> of </w:t>
      </w:r>
      <w:r>
        <w:rPr>
          <w:i/>
          <w:iCs/>
          <w:kern w:val="0"/>
        </w:rPr>
        <w:t>Psychiatry</w:t>
      </w:r>
      <w:r>
        <w:rPr>
          <w:kern w:val="0"/>
        </w:rPr>
        <w:t xml:space="preserve">, </w:t>
      </w:r>
      <w:r>
        <w:rPr>
          <w:b/>
          <w:bCs/>
          <w:kern w:val="0"/>
        </w:rPr>
        <w:t>179</w:t>
      </w:r>
      <w:r>
        <w:rPr>
          <w:rFonts w:hint="eastAsia"/>
          <w:kern w:val="0"/>
        </w:rPr>
        <w:t xml:space="preserve"> (6),</w:t>
      </w:r>
      <w:r>
        <w:rPr>
          <w:kern w:val="0"/>
        </w:rPr>
        <w:t xml:space="preserve"> 561</w:t>
      </w:r>
      <w:r>
        <w:rPr>
          <w:rFonts w:hint="eastAsia"/>
          <w:kern w:val="0"/>
        </w:rPr>
        <w:t>.</w:t>
      </w:r>
    </w:p>
    <w:p w:rsidR="00C75EB9" w:rsidRDefault="00C75EB9" w:rsidP="00C75EB9">
      <w:pPr>
        <w:pStyle w:val="a3"/>
      </w:pPr>
      <w:r>
        <w:t xml:space="preserve">Full Text: </w:t>
      </w:r>
      <w:r>
        <w:rPr>
          <w:rFonts w:hint="eastAsia"/>
        </w:rPr>
        <w:t>2001\</w:t>
      </w:r>
      <w:r>
        <w:rPr>
          <w:iCs/>
        </w:rPr>
        <w:t>Bri J Psy17</w:t>
      </w:r>
      <w:r>
        <w:rPr>
          <w:rFonts w:hint="eastAsia"/>
          <w:iCs/>
        </w:rPr>
        <w:t>9</w:t>
      </w:r>
      <w:r>
        <w:t xml:space="preserve">, </w:t>
      </w:r>
      <w:r>
        <w:rPr>
          <w:rFonts w:hint="eastAsia"/>
        </w:rPr>
        <w:t>561</w:t>
      </w:r>
      <w:r>
        <w:t>.pdf</w:t>
      </w:r>
    </w:p>
    <w:p w:rsidR="003474F2" w:rsidRPr="001A3D2B" w:rsidRDefault="003474F2" w:rsidP="003474F2">
      <w:pPr>
        <w:pStyle w:val="a3"/>
      </w:pPr>
      <w:r w:rsidRPr="001A3D2B">
        <w:t>Piccinelli, M., Politi, P.</w:t>
      </w:r>
      <w:r w:rsidR="005853A9">
        <w:t xml:space="preserve"> and </w:t>
      </w:r>
      <w:r w:rsidRPr="001A3D2B">
        <w:t xml:space="preserve">Barale, F. (2002), Focus on psychiatry in </w:t>
      </w:r>
      <w:smartTag w:uri="urn:schemas-microsoft-com:office:smarttags" w:element="place">
        <w:smartTag w:uri="urn:schemas-microsoft-com:office:smarttags" w:element="country-region">
          <w:r w:rsidRPr="001A3D2B">
            <w:t>Italy</w:t>
          </w:r>
        </w:smartTag>
      </w:smartTag>
      <w:r w:rsidRPr="001A3D2B">
        <w:t xml:space="preserve">. </w:t>
      </w:r>
      <w:r w:rsidRPr="001A3D2B">
        <w:rPr>
          <w:i/>
        </w:rPr>
        <w:t>British Journal</w:t>
      </w:r>
      <w:r w:rsidR="00427468">
        <w:rPr>
          <w:i/>
        </w:rPr>
        <w:t xml:space="preserve"> of </w:t>
      </w:r>
      <w:r w:rsidRPr="001A3D2B">
        <w:rPr>
          <w:i/>
        </w:rPr>
        <w:t>Psychiatry</w:t>
      </w:r>
      <w:r w:rsidRPr="001A3D2B">
        <w:t xml:space="preserve">, </w:t>
      </w:r>
      <w:r w:rsidRPr="001A3D2B">
        <w:rPr>
          <w:b/>
        </w:rPr>
        <w:t>181</w:t>
      </w:r>
      <w:r w:rsidRPr="001A3D2B">
        <w:t xml:space="preserve"> (6), 538-544.</w:t>
      </w:r>
    </w:p>
    <w:p w:rsidR="003474F2" w:rsidRPr="001A3D2B" w:rsidRDefault="003474F2" w:rsidP="003474F2">
      <w:pPr>
        <w:pStyle w:val="a3"/>
      </w:pPr>
      <w:r w:rsidRPr="001A3D2B">
        <w:t xml:space="preserve">Full Text: </w:t>
      </w:r>
      <w:hyperlink r:id="rId1924" w:history="1">
        <w:r w:rsidRPr="001A3D2B">
          <w:rPr>
            <w:rStyle w:val="a5"/>
          </w:rPr>
          <w:t>2002\Bri J Psy181, 538.pdf</w:t>
        </w:r>
      </w:hyperlink>
    </w:p>
    <w:p w:rsidR="003474F2" w:rsidRPr="001A3D2B" w:rsidRDefault="003474F2" w:rsidP="003474F2">
      <w:pPr>
        <w:pStyle w:val="a3"/>
      </w:pPr>
      <w:r w:rsidRPr="001A3D2B">
        <w:t>TTopic</w:t>
      </w:r>
    </w:p>
    <w:p w:rsidR="003474F2" w:rsidRPr="001A3D2B" w:rsidRDefault="003474F2" w:rsidP="003474F2">
      <w:pPr>
        <w:pStyle w:val="a3"/>
      </w:pPr>
      <w:r w:rsidRPr="001A3D2B">
        <w:t>Clement, S., Singh, S.P.</w:t>
      </w:r>
      <w:r w:rsidR="005853A9">
        <w:t xml:space="preserve"> and </w:t>
      </w:r>
      <w:r w:rsidRPr="001A3D2B">
        <w:t>Burns, T. (2003), Status</w:t>
      </w:r>
      <w:r w:rsidR="00427468">
        <w:t xml:space="preserve"> of </w:t>
      </w:r>
      <w:r w:rsidRPr="001A3D2B">
        <w:t xml:space="preserve">bipolar disorder research - Bibliometric study. </w:t>
      </w:r>
      <w:r w:rsidRPr="001A3D2B">
        <w:rPr>
          <w:i/>
        </w:rPr>
        <w:t>British Journal</w:t>
      </w:r>
      <w:r w:rsidR="00427468">
        <w:rPr>
          <w:i/>
        </w:rPr>
        <w:t xml:space="preserve"> of </w:t>
      </w:r>
      <w:r w:rsidRPr="001A3D2B">
        <w:rPr>
          <w:i/>
        </w:rPr>
        <w:t>Psychiatry</w:t>
      </w:r>
      <w:r w:rsidRPr="001A3D2B">
        <w:t xml:space="preserve">, </w:t>
      </w:r>
      <w:r w:rsidRPr="001A3D2B">
        <w:rPr>
          <w:b/>
        </w:rPr>
        <w:t>182</w:t>
      </w:r>
      <w:r w:rsidRPr="001A3D2B">
        <w:t xml:space="preserve"> (2), 148-152.</w:t>
      </w:r>
    </w:p>
    <w:p w:rsidR="003474F2" w:rsidRPr="001A3D2B" w:rsidRDefault="003474F2" w:rsidP="003474F2">
      <w:pPr>
        <w:pStyle w:val="a3"/>
      </w:pPr>
      <w:r w:rsidRPr="001A3D2B">
        <w:t xml:space="preserve">Full Text: </w:t>
      </w:r>
      <w:hyperlink r:id="rId1925" w:history="1">
        <w:r w:rsidRPr="001A3D2B">
          <w:rPr>
            <w:rStyle w:val="a5"/>
          </w:rPr>
          <w:t>2003\Bri J Psy182, 148.pdf</w:t>
        </w:r>
      </w:hyperlink>
    </w:p>
    <w:p w:rsidR="003474F2" w:rsidRPr="001A3D2B" w:rsidRDefault="003474F2" w:rsidP="003474F2">
      <w:pPr>
        <w:pStyle w:val="a3"/>
      </w:pPr>
      <w:r w:rsidRPr="001A3D2B">
        <w:t>Abstract: Background Bibliometric research has used publication or funding databases to compare</w:t>
      </w:r>
      <w:r w:rsidR="003A1917">
        <w:t xml:space="preserve"> the </w:t>
      </w:r>
      <w:r w:rsidRPr="001A3D2B">
        <w:t>amount</w:t>
      </w:r>
      <w:r w:rsidR="00427468">
        <w:t xml:space="preserve"> of </w:t>
      </w:r>
      <w:r w:rsidRPr="001A3D2B">
        <w:t>research activity on different illnesses. Only one study has examined bipolar disorder</w:t>
      </w:r>
      <w:r w:rsidR="005853A9">
        <w:t xml:space="preserve"> and </w:t>
      </w:r>
      <w:r w:rsidRPr="001A3D2B">
        <w:t>schizophrenia in this way,</w:t>
      </w:r>
      <w:r w:rsidR="005853A9">
        <w:t xml:space="preserve"> and </w:t>
      </w:r>
      <w:r w:rsidRPr="001A3D2B">
        <w:t>it was restricted to one database. Aims</w:t>
      </w:r>
      <w:r w:rsidR="003A1917">
        <w:t xml:space="preserve"> the </w:t>
      </w:r>
      <w:r w:rsidRPr="001A3D2B">
        <w:t>primary aim is to compare levels</w:t>
      </w:r>
      <w:r w:rsidR="00427468">
        <w:t xml:space="preserve"> of </w:t>
      </w:r>
      <w:r w:rsidRPr="001A3D2B">
        <w:t>research activity in bipolar disorder</w:t>
      </w:r>
      <w:r w:rsidR="005853A9">
        <w:t xml:space="preserve"> and </w:t>
      </w:r>
      <w:r w:rsidRPr="001A3D2B">
        <w:t>schizophrenia. Secondary aims are to examine how research activity on</w:t>
      </w:r>
      <w:r w:rsidR="003A1917">
        <w:t xml:space="preserve"> the </w:t>
      </w:r>
      <w:r w:rsidRPr="001A3D2B">
        <w:t>disorders varies over time</w:t>
      </w:r>
      <w:r w:rsidR="005853A9">
        <w:t xml:space="preserve"> and </w:t>
      </w:r>
      <w:r w:rsidRPr="001A3D2B">
        <w:t>across scientific fields. Method</w:t>
      </w:r>
      <w:r w:rsidR="003A1917">
        <w:t xml:space="preserve"> the </w:t>
      </w:r>
      <w:r w:rsidRPr="001A3D2B">
        <w:t>numbers</w:t>
      </w:r>
      <w:r w:rsidR="00427468">
        <w:t xml:space="preserve"> of </w:t>
      </w:r>
      <w:r w:rsidRPr="001A3D2B">
        <w:t>publications, projects, journals</w:t>
      </w:r>
      <w:r w:rsidR="005853A9">
        <w:t xml:space="preserve"> and </w:t>
      </w:r>
      <w:r w:rsidRPr="001A3D2B">
        <w:t>funding awards on bipolar disorder</w:t>
      </w:r>
      <w:r w:rsidR="005853A9">
        <w:t xml:space="preserve"> and </w:t>
      </w:r>
      <w:r w:rsidRPr="001A3D2B">
        <w:t>schizophrenia were extracted from nine computer databases to compare research activity on</w:t>
      </w:r>
      <w:r w:rsidR="003A1917">
        <w:t xml:space="preserve"> the </w:t>
      </w:r>
      <w:r w:rsidRPr="001A3D2B">
        <w:t>two conditions. Results Ratios (bipolar disorder: schizophrenia) ranged from 1: 1.3 for</w:t>
      </w:r>
      <w:r w:rsidR="003A1917">
        <w:t xml:space="preserve"> the </w:t>
      </w:r>
      <w:r w:rsidRPr="001A3D2B">
        <w:t>number</w:t>
      </w:r>
      <w:r w:rsidR="00427468">
        <w:t xml:space="preserve"> of </w:t>
      </w:r>
      <w:r w:rsidRPr="001A3D2B">
        <w:t>research funding awards to 1:7.6 for</w:t>
      </w:r>
      <w:r w:rsidR="003A1917">
        <w:t xml:space="preserve"> the </w:t>
      </w:r>
      <w:r w:rsidRPr="001A3D2B">
        <w:t>number</w:t>
      </w:r>
      <w:r w:rsidR="00427468">
        <w:t xml:space="preserve"> of </w:t>
      </w:r>
      <w:r w:rsidRPr="001A3D2B">
        <w:t>clinical trials. Conclusions There is a relative dearth</w:t>
      </w:r>
      <w:r w:rsidR="00427468">
        <w:t xml:space="preserve"> of </w:t>
      </w:r>
      <w:r w:rsidRPr="001A3D2B">
        <w:t>research activity on bipolar disorder compared with schizophrenia.</w:t>
      </w:r>
    </w:p>
    <w:p w:rsidR="003474F2" w:rsidRPr="001A3D2B" w:rsidRDefault="003474F2" w:rsidP="003474F2">
      <w:pPr>
        <w:pStyle w:val="a3"/>
      </w:pPr>
      <w:r w:rsidRPr="001A3D2B">
        <w:t>Keywords: Bipolar, Bipolar Disorder, Clinical, Clinical Trials, Database, Databases, Funding, Journals, Primary, Publication, Publications, Research, Research Funding, Schizophrenia</w:t>
      </w:r>
    </w:p>
    <w:p w:rsidR="003474F2" w:rsidRPr="001A3D2B" w:rsidRDefault="003474F2" w:rsidP="003474F2">
      <w:pPr>
        <w:pStyle w:val="a3"/>
      </w:pPr>
      <w:r w:rsidRPr="001A3D2B">
        <w:t>Notes: TTopic</w:t>
      </w:r>
    </w:p>
    <w:p w:rsidR="003474F2" w:rsidRPr="001A3D2B" w:rsidRDefault="003474F2" w:rsidP="003474F2">
      <w:pPr>
        <w:pStyle w:val="a3"/>
      </w:pPr>
      <w:r w:rsidRPr="001A3D2B">
        <w:lastRenderedPageBreak/>
        <w:t>Lagnado, M. (2003), Increasing</w:t>
      </w:r>
      <w:r w:rsidR="003A1917">
        <w:t xml:space="preserve"> the </w:t>
      </w:r>
      <w:r w:rsidRPr="001A3D2B">
        <w:t xml:space="preserve">trust in scientific authorship. </w:t>
      </w:r>
      <w:r w:rsidRPr="001A3D2B">
        <w:rPr>
          <w:i/>
        </w:rPr>
        <w:t>British Journal</w:t>
      </w:r>
      <w:r w:rsidR="00427468">
        <w:rPr>
          <w:i/>
        </w:rPr>
        <w:t xml:space="preserve"> of </w:t>
      </w:r>
      <w:r w:rsidRPr="001A3D2B">
        <w:rPr>
          <w:i/>
        </w:rPr>
        <w:t>Psychiatry</w:t>
      </w:r>
      <w:r w:rsidRPr="001A3D2B">
        <w:t xml:space="preserve">, </w:t>
      </w:r>
      <w:r w:rsidRPr="001A3D2B">
        <w:rPr>
          <w:b/>
        </w:rPr>
        <w:t>183</w:t>
      </w:r>
      <w:r w:rsidRPr="001A3D2B">
        <w:t xml:space="preserve"> (1), 3-4.</w:t>
      </w:r>
    </w:p>
    <w:p w:rsidR="003474F2" w:rsidRPr="001A3D2B" w:rsidRDefault="003474F2" w:rsidP="003474F2">
      <w:pPr>
        <w:pStyle w:val="a3"/>
      </w:pPr>
      <w:r w:rsidRPr="001A3D2B">
        <w:t xml:space="preserve">Full Text: </w:t>
      </w:r>
      <w:hyperlink r:id="rId1926" w:history="1">
        <w:r w:rsidRPr="001A3D2B">
          <w:rPr>
            <w:rStyle w:val="a5"/>
          </w:rPr>
          <w:t>2003\Bri J Psy183, 3.pdf</w:t>
        </w:r>
      </w:hyperlink>
    </w:p>
    <w:p w:rsidR="003474F2" w:rsidRPr="001A3D2B" w:rsidRDefault="003474F2" w:rsidP="003474F2">
      <w:pPr>
        <w:pStyle w:val="a3"/>
      </w:pPr>
      <w:r w:rsidRPr="001A3D2B">
        <w:t>Keywords: Journals, British</w:t>
      </w:r>
    </w:p>
    <w:p w:rsidR="00C75EB9" w:rsidRDefault="00C75EB9" w:rsidP="00C75EB9">
      <w:pPr>
        <w:pStyle w:val="a3"/>
        <w:rPr>
          <w:kern w:val="0"/>
        </w:rPr>
      </w:pPr>
      <w:r>
        <w:rPr>
          <w:rFonts w:hint="eastAsia"/>
          <w:kern w:val="0"/>
        </w:rPr>
        <w:t xml:space="preserve">? </w:t>
      </w:r>
      <w:r>
        <w:rPr>
          <w:kern w:val="0"/>
        </w:rPr>
        <w:t>Henderson, C., Howard, L.</w:t>
      </w:r>
      <w:r w:rsidR="005853A9">
        <w:rPr>
          <w:kern w:val="0"/>
        </w:rPr>
        <w:t xml:space="preserve"> and </w:t>
      </w:r>
      <w:r>
        <w:rPr>
          <w:kern w:val="0"/>
        </w:rPr>
        <w:t>Wilkinson, G. (2003), Acknowledgement</w:t>
      </w:r>
      <w:r w:rsidR="00427468">
        <w:rPr>
          <w:kern w:val="0"/>
        </w:rPr>
        <w:t xml:space="preserve"> of </w:t>
      </w:r>
      <w:r>
        <w:rPr>
          <w:kern w:val="0"/>
        </w:rPr>
        <w:t xml:space="preserve">psychiatric research funding. </w:t>
      </w:r>
      <w:r>
        <w:rPr>
          <w:i/>
          <w:iCs/>
          <w:kern w:val="0"/>
        </w:rPr>
        <w:t>British Journal</w:t>
      </w:r>
      <w:r w:rsidR="00427468">
        <w:rPr>
          <w:i/>
          <w:iCs/>
          <w:kern w:val="0"/>
        </w:rPr>
        <w:t xml:space="preserve"> of </w:t>
      </w:r>
      <w:r>
        <w:rPr>
          <w:i/>
          <w:iCs/>
          <w:kern w:val="0"/>
        </w:rPr>
        <w:t>Psychiatry</w:t>
      </w:r>
      <w:r>
        <w:rPr>
          <w:kern w:val="0"/>
        </w:rPr>
        <w:t xml:space="preserve">, </w:t>
      </w:r>
      <w:r>
        <w:rPr>
          <w:b/>
          <w:bCs/>
          <w:kern w:val="0"/>
        </w:rPr>
        <w:t>183</w:t>
      </w:r>
      <w:r>
        <w:rPr>
          <w:rFonts w:hint="eastAsia"/>
          <w:kern w:val="0"/>
        </w:rPr>
        <w:t xml:space="preserve"> (4),</w:t>
      </w:r>
      <w:r>
        <w:rPr>
          <w:kern w:val="0"/>
        </w:rPr>
        <w:t xml:space="preserve"> 273-275</w:t>
      </w:r>
      <w:r>
        <w:rPr>
          <w:rFonts w:hint="eastAsia"/>
          <w:kern w:val="0"/>
        </w:rPr>
        <w:t>.</w:t>
      </w:r>
    </w:p>
    <w:p w:rsidR="00C75EB9" w:rsidRPr="001A3D2B" w:rsidRDefault="00C75EB9" w:rsidP="00C75EB9">
      <w:pPr>
        <w:pStyle w:val="a3"/>
      </w:pPr>
      <w:r w:rsidRPr="001A3D2B">
        <w:t xml:space="preserve">Full Text: </w:t>
      </w:r>
      <w:hyperlink r:id="rId1927" w:history="1">
        <w:r w:rsidRPr="00C71051">
          <w:rPr>
            <w:rStyle w:val="a5"/>
          </w:rPr>
          <w:t>2003\Bri J Psy183, 273.pdf</w:t>
        </w:r>
      </w:hyperlink>
    </w:p>
    <w:p w:rsidR="003474F2" w:rsidRPr="001A3D2B" w:rsidRDefault="003474F2" w:rsidP="003474F2">
      <w:pPr>
        <w:pStyle w:val="a3"/>
      </w:pPr>
      <w:r w:rsidRPr="001A3D2B">
        <w:t>? Mari, J.J., Bressan, R.A.</w:t>
      </w:r>
      <w:r w:rsidR="005853A9">
        <w:t xml:space="preserve"> and </w:t>
      </w:r>
      <w:r w:rsidRPr="001A3D2B">
        <w:t>Miguel, E.C. (2004), Mental health</w:t>
      </w:r>
      <w:r w:rsidR="005853A9">
        <w:t xml:space="preserve"> and </w:t>
      </w:r>
      <w:r w:rsidRPr="001A3D2B">
        <w:t xml:space="preserve">psychiatric research in Brazil. </w:t>
      </w:r>
      <w:r w:rsidRPr="001A3D2B">
        <w:rPr>
          <w:i/>
          <w:iCs/>
        </w:rPr>
        <w:t>British Journal</w:t>
      </w:r>
      <w:r w:rsidR="00427468">
        <w:rPr>
          <w:i/>
          <w:iCs/>
        </w:rPr>
        <w:t xml:space="preserve"> of </w:t>
      </w:r>
      <w:r w:rsidRPr="001A3D2B">
        <w:rPr>
          <w:i/>
          <w:iCs/>
        </w:rPr>
        <w:t>Psychiatry</w:t>
      </w:r>
      <w:r w:rsidRPr="001A3D2B">
        <w:t xml:space="preserve">, </w:t>
      </w:r>
      <w:r w:rsidRPr="001A3D2B">
        <w:rPr>
          <w:b/>
          <w:bCs/>
        </w:rPr>
        <w:t>184</w:t>
      </w:r>
      <w:r w:rsidRPr="001A3D2B">
        <w:t>, 273.</w:t>
      </w:r>
    </w:p>
    <w:p w:rsidR="003474F2" w:rsidRPr="001A3D2B" w:rsidRDefault="003474F2" w:rsidP="003474F2">
      <w:pPr>
        <w:pStyle w:val="a3"/>
      </w:pPr>
      <w:r w:rsidRPr="001A3D2B">
        <w:t xml:space="preserve">Full Text: </w:t>
      </w:r>
      <w:hyperlink r:id="rId1928" w:history="1">
        <w:r w:rsidRPr="001A3D2B">
          <w:rPr>
            <w:rStyle w:val="a5"/>
          </w:rPr>
          <w:t>2004\Bri J Psy184, 273.pdf</w:t>
        </w:r>
      </w:hyperlink>
    </w:p>
    <w:p w:rsidR="00C75EB9" w:rsidRDefault="00C75EB9" w:rsidP="00C75EB9">
      <w:pPr>
        <w:pStyle w:val="a3"/>
        <w:rPr>
          <w:kern w:val="0"/>
        </w:rPr>
      </w:pPr>
      <w:r>
        <w:rPr>
          <w:rFonts w:hint="eastAsia"/>
          <w:kern w:val="0"/>
        </w:rPr>
        <w:t xml:space="preserve">? </w:t>
      </w:r>
      <w:r>
        <w:rPr>
          <w:kern w:val="0"/>
        </w:rPr>
        <w:t>Chaturvedi, S.K. (2005), Reading habits</w:t>
      </w:r>
      <w:r w:rsidR="00427468">
        <w:rPr>
          <w:kern w:val="0"/>
        </w:rPr>
        <w:t xml:space="preserve"> of </w:t>
      </w:r>
      <w:r>
        <w:rPr>
          <w:kern w:val="0"/>
        </w:rPr>
        <w:t xml:space="preserve">British psychiatrists. </w:t>
      </w:r>
      <w:r>
        <w:rPr>
          <w:i/>
          <w:iCs/>
          <w:kern w:val="0"/>
        </w:rPr>
        <w:t>British Journal</w:t>
      </w:r>
      <w:r w:rsidR="00427468">
        <w:rPr>
          <w:i/>
          <w:iCs/>
          <w:kern w:val="0"/>
        </w:rPr>
        <w:t xml:space="preserve"> of </w:t>
      </w:r>
      <w:r>
        <w:rPr>
          <w:i/>
          <w:iCs/>
          <w:kern w:val="0"/>
        </w:rPr>
        <w:t>Psychiatry</w:t>
      </w:r>
      <w:r>
        <w:rPr>
          <w:kern w:val="0"/>
        </w:rPr>
        <w:t xml:space="preserve">, </w:t>
      </w:r>
      <w:r>
        <w:rPr>
          <w:b/>
          <w:bCs/>
          <w:kern w:val="0"/>
        </w:rPr>
        <w:t>186</w:t>
      </w:r>
      <w:r>
        <w:rPr>
          <w:rFonts w:hint="eastAsia"/>
          <w:kern w:val="0"/>
        </w:rPr>
        <w:t xml:space="preserve"> (5),</w:t>
      </w:r>
      <w:r>
        <w:rPr>
          <w:kern w:val="0"/>
        </w:rPr>
        <w:t xml:space="preserve"> 448</w:t>
      </w:r>
      <w:r>
        <w:rPr>
          <w:rFonts w:hint="eastAsia"/>
          <w:kern w:val="0"/>
        </w:rPr>
        <w:t>.</w:t>
      </w:r>
    </w:p>
    <w:p w:rsidR="00C75EB9" w:rsidRPr="00BD191D" w:rsidRDefault="00C75EB9" w:rsidP="00C75EB9">
      <w:pPr>
        <w:pStyle w:val="a3"/>
      </w:pPr>
      <w:r>
        <w:t xml:space="preserve">Full Text: </w:t>
      </w:r>
      <w:hyperlink r:id="rId1929" w:history="1">
        <w:r w:rsidRPr="00C71051">
          <w:rPr>
            <w:rStyle w:val="a5"/>
          </w:rPr>
          <w:t>2005\Bri J Psy186, 448.pdf</w:t>
        </w:r>
      </w:hyperlink>
    </w:p>
    <w:p w:rsidR="003474F2" w:rsidRPr="001A3D2B" w:rsidRDefault="003474F2" w:rsidP="003474F2">
      <w:pPr>
        <w:pStyle w:val="a3"/>
      </w:pPr>
      <w:r w:rsidRPr="001A3D2B">
        <w:t>? Saxena, S., Paraje, G., Sharan, P., Karam, G.</w:t>
      </w:r>
      <w:r w:rsidR="005853A9">
        <w:t xml:space="preserve"> and </w:t>
      </w:r>
      <w:r w:rsidRPr="001A3D2B">
        <w:t>Sadana, R. (2006</w:t>
      </w:r>
      <w:r w:rsidR="00F42EAC">
        <w:t>), The</w:t>
      </w:r>
      <w:r w:rsidR="003A1917">
        <w:t xml:space="preserve"> </w:t>
      </w:r>
      <w:r w:rsidRPr="001A3D2B">
        <w:t xml:space="preserve">10/90 divide in mental health research: Trends over a 10-year period. </w:t>
      </w:r>
      <w:r w:rsidRPr="001A3D2B">
        <w:rPr>
          <w:i/>
          <w:iCs/>
        </w:rPr>
        <w:t>British Journal</w:t>
      </w:r>
      <w:r w:rsidR="00427468">
        <w:rPr>
          <w:i/>
          <w:iCs/>
        </w:rPr>
        <w:t xml:space="preserve"> of </w:t>
      </w:r>
      <w:r w:rsidRPr="001A3D2B">
        <w:rPr>
          <w:i/>
          <w:iCs/>
        </w:rPr>
        <w:t>Psychiatry</w:t>
      </w:r>
      <w:r w:rsidRPr="001A3D2B">
        <w:t xml:space="preserve">, </w:t>
      </w:r>
      <w:r w:rsidRPr="001A3D2B">
        <w:rPr>
          <w:b/>
          <w:bCs/>
        </w:rPr>
        <w:t>188</w:t>
      </w:r>
      <w:r w:rsidRPr="001A3D2B">
        <w:t xml:space="preserve"> (1), 81-82.</w:t>
      </w:r>
    </w:p>
    <w:p w:rsidR="003474F2" w:rsidRPr="001A3D2B" w:rsidRDefault="003474F2" w:rsidP="003474F2">
      <w:pPr>
        <w:pStyle w:val="a3"/>
      </w:pPr>
      <w:r w:rsidRPr="001A3D2B">
        <w:t xml:space="preserve">Full Text: </w:t>
      </w:r>
      <w:hyperlink r:id="rId1930" w:history="1">
        <w:r w:rsidRPr="001A3D2B">
          <w:rPr>
            <w:rStyle w:val="a5"/>
          </w:rPr>
          <w:t>2006\Bri J Psy188, 81.pdf</w:t>
        </w:r>
      </w:hyperlink>
    </w:p>
    <w:p w:rsidR="003474F2" w:rsidRPr="001A3D2B" w:rsidRDefault="003474F2" w:rsidP="003474F2">
      <w:pPr>
        <w:pStyle w:val="a3"/>
      </w:pPr>
      <w:r w:rsidRPr="001A3D2B">
        <w:t>Abstract: A search (precision value 94%, recall value 93%)</w:t>
      </w:r>
      <w:r w:rsidR="00427468">
        <w:t xml:space="preserve"> of </w:t>
      </w:r>
      <w:r w:rsidR="003A1917">
        <w:t xml:space="preserve">the </w:t>
      </w:r>
      <w:r w:rsidR="00730B6D">
        <w:t xml:space="preserve">ISI </w:t>
      </w:r>
      <w:r w:rsidR="00D5664A">
        <w:t>Web</w:t>
      </w:r>
      <w:r w:rsidR="00427468">
        <w:t xml:space="preserve"> of </w:t>
      </w:r>
      <w:r w:rsidR="00D5664A">
        <w:t>Science</w:t>
      </w:r>
      <w:r w:rsidRPr="001A3D2B">
        <w:t xml:space="preserve"> database (1992-2001) revealed that mental health publications accounted for 3-4%</w:t>
      </w:r>
      <w:r w:rsidR="00427468">
        <w:t xml:space="preserve"> of </w:t>
      </w:r>
      <w:r w:rsidR="003A1917">
        <w:t xml:space="preserve">the </w:t>
      </w:r>
      <w:r w:rsidRPr="001A3D2B">
        <w:t>health literature. A 10/90 divide in internationally accessible mental health literature was evident</w:t>
      </w:r>
      <w:r w:rsidR="005853A9">
        <w:t xml:space="preserve"> and </w:t>
      </w:r>
      <w:r w:rsidRPr="001A3D2B">
        <w:t>remained undiminished through 10 years as low-</w:t>
      </w:r>
      <w:r w:rsidR="005853A9">
        <w:t xml:space="preserve"> and </w:t>
      </w:r>
      <w:r w:rsidRPr="001A3D2B">
        <w:t>middle-income countries (n=152) contributed only 6%, high-income countries (n=54) 94%,</w:t>
      </w:r>
      <w:r w:rsidR="005853A9">
        <w:t xml:space="preserve"> and </w:t>
      </w:r>
      <w:r w:rsidRPr="001A3D2B">
        <w:t>14 leading high-income countries (with more than 1% contribution for majority</w:t>
      </w:r>
      <w:r w:rsidR="00427468">
        <w:t xml:space="preserve"> of </w:t>
      </w:r>
      <w:r w:rsidRPr="001A3D2B">
        <w:t>years under consideration) contributed 90%</w:t>
      </w:r>
      <w:r w:rsidR="00427468">
        <w:t xml:space="preserve"> of </w:t>
      </w:r>
      <w:r w:rsidRPr="001A3D2B">
        <w:t>internationally accessible mental health research. Steps should be taken to improve</w:t>
      </w:r>
      <w:r w:rsidR="003A1917">
        <w:t xml:space="preserve"> the </w:t>
      </w:r>
      <w:r w:rsidRPr="001A3D2B">
        <w:t>research infrastructure</w:t>
      </w:r>
      <w:r w:rsidR="005853A9">
        <w:t xml:space="preserve"> and </w:t>
      </w:r>
      <w:r w:rsidRPr="001A3D2B">
        <w:t>capacity to conduct</w:t>
      </w:r>
      <w:r w:rsidR="005853A9">
        <w:t xml:space="preserve"> and </w:t>
      </w:r>
      <w:r w:rsidRPr="001A3D2B">
        <w:t>disseminate mental health research in general,</w:t>
      </w:r>
      <w:r w:rsidR="005853A9">
        <w:t xml:space="preserve"> and </w:t>
      </w:r>
      <w:r w:rsidRPr="001A3D2B">
        <w:t>on a priority basis in low-</w:t>
      </w:r>
      <w:r w:rsidR="005853A9">
        <w:t xml:space="preserve"> and </w:t>
      </w:r>
      <w:r w:rsidRPr="001A3D2B">
        <w:t>middle-income countries. Declaration</w:t>
      </w:r>
      <w:r w:rsidR="00427468">
        <w:t xml:space="preserve"> of </w:t>
      </w:r>
      <w:r w:rsidRPr="001A3D2B">
        <w:t>interest None.</w:t>
      </w:r>
    </w:p>
    <w:p w:rsidR="003474F2" w:rsidRPr="001A3D2B" w:rsidRDefault="003474F2" w:rsidP="003474F2">
      <w:pPr>
        <w:pStyle w:val="a3"/>
      </w:pPr>
      <w:r w:rsidRPr="001A3D2B">
        <w:t>Keywords: Capacity, Database, General, Health, Health Research, Infrastructure</w:t>
      </w:r>
      <w:r w:rsidR="00D5664A">
        <w:t>, ISI,</w:t>
      </w:r>
      <w:r w:rsidRPr="001A3D2B">
        <w:t xml:space="preserve"> </w:t>
      </w:r>
      <w:r w:rsidR="00730B6D">
        <w:t xml:space="preserve">ISI </w:t>
      </w:r>
      <w:r w:rsidR="00D5664A">
        <w:t>Web</w:t>
      </w:r>
      <w:r w:rsidR="00427468">
        <w:t xml:space="preserve"> of </w:t>
      </w:r>
      <w:r w:rsidR="00D5664A">
        <w:t>Science</w:t>
      </w:r>
      <w:r w:rsidRPr="001A3D2B">
        <w:t xml:space="preserve">, Literature, Mental Health, Precision, Publications, Recall, Research, Trends, Value, </w:t>
      </w:r>
      <w:r w:rsidR="00D5664A">
        <w:t>Web</w:t>
      </w:r>
      <w:r w:rsidR="00427468">
        <w:t xml:space="preserve"> of </w:t>
      </w:r>
      <w:r w:rsidR="00D5664A">
        <w:t>Science</w:t>
      </w:r>
    </w:p>
    <w:p w:rsidR="00C75EB9" w:rsidRDefault="00C75EB9" w:rsidP="00C75EB9">
      <w:pPr>
        <w:pStyle w:val="a3"/>
        <w:rPr>
          <w:kern w:val="0"/>
        </w:rPr>
      </w:pPr>
      <w:r>
        <w:rPr>
          <w:rFonts w:hint="eastAsia"/>
          <w:kern w:val="0"/>
        </w:rPr>
        <w:t xml:space="preserve">? </w:t>
      </w:r>
      <w:r>
        <w:rPr>
          <w:kern w:val="0"/>
        </w:rPr>
        <w:t>Patel, V.</w:t>
      </w:r>
      <w:r w:rsidR="005853A9">
        <w:rPr>
          <w:kern w:val="0"/>
        </w:rPr>
        <w:t xml:space="preserve"> and </w:t>
      </w:r>
      <w:r>
        <w:rPr>
          <w:kern w:val="0"/>
        </w:rPr>
        <w:t>Kim, Y.R. (2007), Contribution</w:t>
      </w:r>
      <w:r w:rsidR="00427468">
        <w:rPr>
          <w:kern w:val="0"/>
        </w:rPr>
        <w:t xml:space="preserve"> of </w:t>
      </w:r>
      <w:r>
        <w:rPr>
          <w:kern w:val="0"/>
        </w:rPr>
        <w:t>low-</w:t>
      </w:r>
      <w:r w:rsidR="005853A9">
        <w:rPr>
          <w:kern w:val="0"/>
        </w:rPr>
        <w:t xml:space="preserve"> and </w:t>
      </w:r>
      <w:r>
        <w:rPr>
          <w:kern w:val="0"/>
        </w:rPr>
        <w:t xml:space="preserve">middle-income countries to research published in leading general psychiatry journals, 2002-2004. </w:t>
      </w:r>
      <w:r>
        <w:rPr>
          <w:i/>
          <w:iCs/>
          <w:kern w:val="0"/>
        </w:rPr>
        <w:t>British Journal</w:t>
      </w:r>
      <w:r w:rsidR="00427468">
        <w:rPr>
          <w:i/>
          <w:iCs/>
          <w:kern w:val="0"/>
        </w:rPr>
        <w:t xml:space="preserve"> of </w:t>
      </w:r>
      <w:r>
        <w:rPr>
          <w:i/>
          <w:iCs/>
          <w:kern w:val="0"/>
        </w:rPr>
        <w:t>Psychiatry</w:t>
      </w:r>
      <w:r>
        <w:rPr>
          <w:kern w:val="0"/>
        </w:rPr>
        <w:t xml:space="preserve">, </w:t>
      </w:r>
      <w:r>
        <w:rPr>
          <w:b/>
          <w:bCs/>
          <w:kern w:val="0"/>
        </w:rPr>
        <w:t>190</w:t>
      </w:r>
      <w:r>
        <w:rPr>
          <w:rFonts w:hint="eastAsia"/>
          <w:kern w:val="0"/>
        </w:rPr>
        <w:t xml:space="preserve"> (1),</w:t>
      </w:r>
      <w:r>
        <w:rPr>
          <w:kern w:val="0"/>
        </w:rPr>
        <w:t xml:space="preserve"> 77-78.</w:t>
      </w:r>
    </w:p>
    <w:p w:rsidR="00C75EB9" w:rsidRPr="001A3D2B" w:rsidRDefault="00C75EB9" w:rsidP="00C75EB9">
      <w:pPr>
        <w:pStyle w:val="a3"/>
      </w:pPr>
      <w:r w:rsidRPr="001A3D2B">
        <w:t xml:space="preserve">Full Text: </w:t>
      </w:r>
      <w:hyperlink r:id="rId1931" w:history="1">
        <w:r w:rsidRPr="00514476">
          <w:rPr>
            <w:rStyle w:val="a5"/>
          </w:rPr>
          <w:t>2007\Bri J Psy190, 77.pdf</w:t>
        </w:r>
      </w:hyperlink>
    </w:p>
    <w:p w:rsidR="00EA755C" w:rsidRPr="001A3D2B" w:rsidRDefault="00EA755C" w:rsidP="00EA755C">
      <w:pPr>
        <w:pStyle w:val="a3"/>
        <w:rPr>
          <w:kern w:val="0"/>
        </w:rPr>
      </w:pPr>
      <w:r w:rsidRPr="001A3D2B">
        <w:rPr>
          <w:kern w:val="0"/>
        </w:rPr>
        <w:t>Abstract: We aimed to describe</w:t>
      </w:r>
      <w:r w:rsidR="003A1917">
        <w:rPr>
          <w:kern w:val="0"/>
        </w:rPr>
        <w:t xml:space="preserve"> the </w:t>
      </w:r>
      <w:r w:rsidRPr="001A3D2B">
        <w:rPr>
          <w:kern w:val="0"/>
        </w:rPr>
        <w:t>contribution</w:t>
      </w:r>
      <w:r w:rsidR="00427468">
        <w:rPr>
          <w:kern w:val="0"/>
        </w:rPr>
        <w:t xml:space="preserve"> of </w:t>
      </w:r>
      <w:r w:rsidRPr="001A3D2B">
        <w:rPr>
          <w:kern w:val="0"/>
        </w:rPr>
        <w:t>low-</w:t>
      </w:r>
      <w:r w:rsidR="005853A9">
        <w:rPr>
          <w:kern w:val="0"/>
        </w:rPr>
        <w:t xml:space="preserve"> and </w:t>
      </w:r>
      <w:r w:rsidRPr="001A3D2B">
        <w:rPr>
          <w:kern w:val="0"/>
        </w:rPr>
        <w:t>middle-income (LAMI) countries to leading general psychiatric journals. We reviewed original research published over a 3-year period (2002-2004) in</w:t>
      </w:r>
      <w:r w:rsidR="003A1917">
        <w:rPr>
          <w:kern w:val="0"/>
        </w:rPr>
        <w:t xml:space="preserve"> the </w:t>
      </w:r>
      <w:r w:rsidRPr="001A3D2B">
        <w:rPr>
          <w:kern w:val="0"/>
        </w:rPr>
        <w:t>six highest-impact general psychiatry journals</w:t>
      </w:r>
      <w:r w:rsidR="005853A9">
        <w:rPr>
          <w:kern w:val="0"/>
        </w:rPr>
        <w:t xml:space="preserve"> and </w:t>
      </w:r>
      <w:r w:rsidRPr="001A3D2B">
        <w:rPr>
          <w:kern w:val="0"/>
        </w:rPr>
        <w:t>contacted editorial offices to gather data on country</w:t>
      </w:r>
      <w:r w:rsidR="00427468">
        <w:rPr>
          <w:kern w:val="0"/>
        </w:rPr>
        <w:t xml:space="preserve"> of </w:t>
      </w:r>
      <w:r w:rsidRPr="001A3D2B">
        <w:rPr>
          <w:kern w:val="0"/>
        </w:rPr>
        <w:t>origin</w:t>
      </w:r>
      <w:r w:rsidR="00427468">
        <w:rPr>
          <w:kern w:val="0"/>
        </w:rPr>
        <w:t xml:space="preserve"> of </w:t>
      </w:r>
      <w:r w:rsidRPr="001A3D2B">
        <w:rPr>
          <w:kern w:val="0"/>
        </w:rPr>
        <w:t>submitted</w:t>
      </w:r>
      <w:r w:rsidR="005853A9">
        <w:rPr>
          <w:kern w:val="0"/>
        </w:rPr>
        <w:t xml:space="preserve"> and </w:t>
      </w:r>
      <w:r w:rsidRPr="001A3D2B">
        <w:rPr>
          <w:kern w:val="0"/>
        </w:rPr>
        <w:t>accepted articles. Only 3.7%</w:t>
      </w:r>
      <w:r w:rsidR="00427468">
        <w:rPr>
          <w:kern w:val="0"/>
        </w:rPr>
        <w:t xml:space="preserve"> of </w:t>
      </w:r>
      <w:r w:rsidRPr="001A3D2B">
        <w:rPr>
          <w:kern w:val="0"/>
        </w:rPr>
        <w:t xml:space="preserve">published research emerges from </w:t>
      </w:r>
      <w:r w:rsidRPr="001A3D2B">
        <w:rPr>
          <w:kern w:val="0"/>
        </w:rPr>
        <w:lastRenderedPageBreak/>
        <w:t>these less affluent countries, which account for over 80%</w:t>
      </w:r>
      <w:r w:rsidR="00427468">
        <w:rPr>
          <w:kern w:val="0"/>
        </w:rPr>
        <w:t xml:space="preserve"> of </w:t>
      </w:r>
      <w:r w:rsidR="003A1917">
        <w:rPr>
          <w:kern w:val="0"/>
        </w:rPr>
        <w:t xml:space="preserve">the </w:t>
      </w:r>
      <w:r w:rsidRPr="001A3D2B">
        <w:rPr>
          <w:kern w:val="0"/>
        </w:rPr>
        <w:t>global population. Compared with</w:t>
      </w:r>
      <w:r w:rsidR="003A1917">
        <w:rPr>
          <w:kern w:val="0"/>
        </w:rPr>
        <w:t xml:space="preserve"> the </w:t>
      </w:r>
      <w:r w:rsidRPr="001A3D2B">
        <w:rPr>
          <w:kern w:val="0"/>
        </w:rPr>
        <w:t>findings</w:t>
      </w:r>
      <w:r w:rsidR="00427468">
        <w:rPr>
          <w:kern w:val="0"/>
        </w:rPr>
        <w:t xml:space="preserve"> of </w:t>
      </w:r>
      <w:r w:rsidRPr="001A3D2B">
        <w:rPr>
          <w:kern w:val="0"/>
        </w:rPr>
        <w:t>a similar review</w:t>
      </w:r>
      <w:r w:rsidR="00427468">
        <w:rPr>
          <w:kern w:val="0"/>
        </w:rPr>
        <w:t xml:space="preserve"> of </w:t>
      </w:r>
      <w:r w:rsidR="003A1917">
        <w:rPr>
          <w:kern w:val="0"/>
        </w:rPr>
        <w:t xml:space="preserve">the </w:t>
      </w:r>
      <w:r w:rsidRPr="001A3D2B">
        <w:rPr>
          <w:kern w:val="0"/>
        </w:rPr>
        <w:t>period 1996-1998, there has been little change</w:t>
      </w:r>
      <w:r w:rsidR="00A37C1D">
        <w:rPr>
          <w:kern w:val="0"/>
        </w:rPr>
        <w:t>. The</w:t>
      </w:r>
      <w:r w:rsidR="003A1917">
        <w:rPr>
          <w:kern w:val="0"/>
        </w:rPr>
        <w:t xml:space="preserve"> </w:t>
      </w:r>
      <w:r w:rsidRPr="001A3D2B">
        <w:rPr>
          <w:kern w:val="0"/>
        </w:rPr>
        <w:t>three European journals had a higher representation than</w:t>
      </w:r>
      <w:r w:rsidR="003A1917">
        <w:rPr>
          <w:kern w:val="0"/>
        </w:rPr>
        <w:t xml:space="preserve"> the </w:t>
      </w:r>
      <w:r w:rsidRPr="001A3D2B">
        <w:rPr>
          <w:kern w:val="0"/>
        </w:rPr>
        <w:t>three American journals.The proportion</w:t>
      </w:r>
      <w:r w:rsidR="00427468">
        <w:rPr>
          <w:kern w:val="0"/>
        </w:rPr>
        <w:t xml:space="preserve"> of </w:t>
      </w:r>
      <w:r w:rsidRPr="001A3D2B">
        <w:rPr>
          <w:kern w:val="0"/>
        </w:rPr>
        <w:t>psychiatrists in a country was associated with that country</w:t>
      </w:r>
      <w:r w:rsidR="00700038">
        <w:rPr>
          <w:kern w:val="0"/>
        </w:rPr>
        <w:t>’</w:t>
      </w:r>
      <w:r w:rsidR="00C13DDC">
        <w:rPr>
          <w:kern w:val="0"/>
        </w:rPr>
        <w:t>s</w:t>
      </w:r>
      <w:r w:rsidRPr="001A3D2B">
        <w:rPr>
          <w:kern w:val="0"/>
        </w:rPr>
        <w:t xml:space="preserve"> research output. As much as 50%</w:t>
      </w:r>
      <w:r w:rsidR="00427468">
        <w:rPr>
          <w:kern w:val="0"/>
        </w:rPr>
        <w:t xml:space="preserve"> of </w:t>
      </w:r>
      <w:r w:rsidR="003A1917">
        <w:rPr>
          <w:kern w:val="0"/>
        </w:rPr>
        <w:t xml:space="preserve">the </w:t>
      </w:r>
      <w:r w:rsidRPr="001A3D2B">
        <w:rPr>
          <w:kern w:val="0"/>
        </w:rPr>
        <w:t>research from LAMI countries is led by authors from high-income countries</w:t>
      </w:r>
      <w:r w:rsidR="00A37C1D">
        <w:rPr>
          <w:kern w:val="0"/>
        </w:rPr>
        <w:t>. The</w:t>
      </w:r>
      <w:r w:rsidR="003A1917">
        <w:rPr>
          <w:kern w:val="0"/>
        </w:rPr>
        <w:t xml:space="preserve"> </w:t>
      </w:r>
      <w:r w:rsidRPr="001A3D2B">
        <w:rPr>
          <w:kern w:val="0"/>
        </w:rPr>
        <w:t>proportion</w:t>
      </w:r>
      <w:r w:rsidR="00427468">
        <w:rPr>
          <w:kern w:val="0"/>
        </w:rPr>
        <w:t xml:space="preserve"> of </w:t>
      </w:r>
      <w:r w:rsidRPr="001A3D2B">
        <w:rPr>
          <w:kern w:val="0"/>
        </w:rPr>
        <w:t>submissions from LAMI countries was very low,</w:t>
      </w:r>
      <w:r w:rsidR="005853A9">
        <w:rPr>
          <w:kern w:val="0"/>
        </w:rPr>
        <w:t xml:space="preserve"> and </w:t>
      </w:r>
      <w:r w:rsidRPr="001A3D2B">
        <w:rPr>
          <w:kern w:val="0"/>
        </w:rPr>
        <w:t>articles from them were more frequently rejected. Strengthening</w:t>
      </w:r>
      <w:r w:rsidR="003A1917">
        <w:rPr>
          <w:kern w:val="0"/>
        </w:rPr>
        <w:t xml:space="preserve"> the </w:t>
      </w:r>
      <w:r w:rsidRPr="001A3D2B">
        <w:rPr>
          <w:kern w:val="0"/>
        </w:rPr>
        <w:t>research capacity</w:t>
      </w:r>
      <w:r w:rsidR="00427468">
        <w:rPr>
          <w:kern w:val="0"/>
        </w:rPr>
        <w:t xml:space="preserve"> of </w:t>
      </w:r>
      <w:r w:rsidRPr="001A3D2B">
        <w:rPr>
          <w:kern w:val="0"/>
        </w:rPr>
        <w:t>these countries</w:t>
      </w:r>
      <w:r w:rsidR="005853A9">
        <w:rPr>
          <w:kern w:val="0"/>
        </w:rPr>
        <w:t xml:space="preserve"> and </w:t>
      </w:r>
      <w:r w:rsidRPr="001A3D2B">
        <w:rPr>
          <w:kern w:val="0"/>
        </w:rPr>
        <w:t>reviewing</w:t>
      </w:r>
      <w:r w:rsidR="003A1917">
        <w:rPr>
          <w:kern w:val="0"/>
        </w:rPr>
        <w:t xml:space="preserve"> the </w:t>
      </w:r>
      <w:r w:rsidRPr="001A3D2B">
        <w:rPr>
          <w:kern w:val="0"/>
        </w:rPr>
        <w:t>editorial policies</w:t>
      </w:r>
      <w:r w:rsidR="00427468">
        <w:rPr>
          <w:kern w:val="0"/>
        </w:rPr>
        <w:t xml:space="preserve"> of </w:t>
      </w:r>
      <w:r w:rsidRPr="001A3D2B">
        <w:rPr>
          <w:kern w:val="0"/>
        </w:rPr>
        <w:t>leading journals can help increase</w:t>
      </w:r>
      <w:r w:rsidR="003A1917">
        <w:rPr>
          <w:kern w:val="0"/>
        </w:rPr>
        <w:t xml:space="preserve"> the </w:t>
      </w:r>
      <w:r w:rsidRPr="001A3D2B">
        <w:rPr>
          <w:kern w:val="0"/>
        </w:rPr>
        <w:t>international representation</w:t>
      </w:r>
      <w:r w:rsidR="00427468">
        <w:rPr>
          <w:kern w:val="0"/>
        </w:rPr>
        <w:t xml:space="preserve"> of </w:t>
      </w:r>
      <w:r w:rsidRPr="001A3D2B">
        <w:rPr>
          <w:kern w:val="0"/>
        </w:rPr>
        <w:t>LAMI countries in psychiatric research.</w:t>
      </w:r>
    </w:p>
    <w:p w:rsidR="003474F2" w:rsidRPr="001A3D2B" w:rsidRDefault="003474F2" w:rsidP="003474F2">
      <w:pPr>
        <w:pStyle w:val="a3"/>
      </w:pPr>
      <w:r w:rsidRPr="001A3D2B">
        <w:t>? Lewison, G., Thornicroft, G., Szmukler, G.</w:t>
      </w:r>
      <w:r w:rsidR="005853A9">
        <w:t xml:space="preserve"> and </w:t>
      </w:r>
      <w:r w:rsidRPr="001A3D2B">
        <w:t>Tansella, M. (2007), Fair assessment</w:t>
      </w:r>
      <w:r w:rsidR="00427468">
        <w:t xml:space="preserve"> of </w:t>
      </w:r>
      <w:r w:rsidR="003A1917">
        <w:t xml:space="preserve">the </w:t>
      </w:r>
      <w:r w:rsidRPr="001A3D2B">
        <w:t>merits</w:t>
      </w:r>
      <w:r w:rsidR="00427468">
        <w:t xml:space="preserve"> of </w:t>
      </w:r>
      <w:r w:rsidRPr="001A3D2B">
        <w:t xml:space="preserve">psychiatric research. </w:t>
      </w:r>
      <w:r w:rsidRPr="001A3D2B">
        <w:rPr>
          <w:i/>
          <w:iCs/>
        </w:rPr>
        <w:t>British Journal</w:t>
      </w:r>
      <w:r w:rsidR="00427468">
        <w:rPr>
          <w:i/>
          <w:iCs/>
        </w:rPr>
        <w:t xml:space="preserve"> of </w:t>
      </w:r>
      <w:r w:rsidRPr="001A3D2B">
        <w:rPr>
          <w:i/>
          <w:iCs/>
        </w:rPr>
        <w:t>Psychiatry</w:t>
      </w:r>
      <w:r w:rsidRPr="001A3D2B">
        <w:t xml:space="preserve">, </w:t>
      </w:r>
      <w:r w:rsidRPr="001A3D2B">
        <w:rPr>
          <w:b/>
          <w:bCs/>
        </w:rPr>
        <w:t>190</w:t>
      </w:r>
      <w:r w:rsidRPr="001A3D2B">
        <w:t xml:space="preserve"> (4), 314-318.</w:t>
      </w:r>
    </w:p>
    <w:p w:rsidR="003474F2" w:rsidRPr="001A3D2B" w:rsidRDefault="003474F2" w:rsidP="003474F2">
      <w:pPr>
        <w:pStyle w:val="a3"/>
      </w:pPr>
      <w:r w:rsidRPr="001A3D2B">
        <w:t xml:space="preserve">Full Text: </w:t>
      </w:r>
      <w:hyperlink r:id="rId1932" w:history="1">
        <w:r w:rsidRPr="001A3D2B">
          <w:rPr>
            <w:rStyle w:val="a5"/>
          </w:rPr>
          <w:t>2007\Bri J Psy190, 314.pdf</w:t>
        </w:r>
      </w:hyperlink>
    </w:p>
    <w:p w:rsidR="003474F2" w:rsidRPr="001A3D2B" w:rsidRDefault="003474F2" w:rsidP="003474F2">
      <w:pPr>
        <w:pStyle w:val="a3"/>
      </w:pPr>
      <w:r w:rsidRPr="001A3D2B">
        <w:t>Abstract: Background Use</w:t>
      </w:r>
      <w:r w:rsidR="00427468">
        <w:t xml:space="preserve"> of </w:t>
      </w:r>
      <w:r w:rsidRPr="001A3D2B">
        <w:t>bibliometric assessments</w:t>
      </w:r>
      <w:r w:rsidR="00427468">
        <w:t xml:space="preserve"> of </w:t>
      </w:r>
      <w:r w:rsidRPr="001A3D2B">
        <w:t>research quality is growing worldwide. So far, a narrow range</w:t>
      </w:r>
      <w:r w:rsidR="00427468">
        <w:t xml:space="preserve"> of </w:t>
      </w:r>
      <w:r w:rsidRPr="001A3D2B">
        <w:t>metrics have been applied across</w:t>
      </w:r>
      <w:r w:rsidR="003A1917">
        <w:t xml:space="preserve"> the </w:t>
      </w:r>
      <w:r w:rsidRPr="001A3D2B">
        <w:t>whole</w:t>
      </w:r>
      <w:r w:rsidR="00427468">
        <w:t xml:space="preserve"> of </w:t>
      </w:r>
      <w:r w:rsidRPr="001A3D2B">
        <w:t>biomedical research. Without specific sets</w:t>
      </w:r>
      <w:r w:rsidR="00427468">
        <w:t xml:space="preserve"> of </w:t>
      </w:r>
      <w:r w:rsidRPr="001A3D2B">
        <w:t>metrics, appropriate to each sub-field</w:t>
      </w:r>
      <w:r w:rsidR="00427468">
        <w:t xml:space="preserve"> of </w:t>
      </w:r>
      <w:r w:rsidRPr="001A3D2B">
        <w:t>research, biased assessments</w:t>
      </w:r>
      <w:r w:rsidR="00427468">
        <w:t xml:space="preserve"> of </w:t>
      </w:r>
      <w:r w:rsidRPr="001A3D2B">
        <w:t>research excellence are possible. Aims To discuss</w:t>
      </w:r>
      <w:r w:rsidR="003A1917">
        <w:t xml:space="preserve"> the </w:t>
      </w:r>
      <w:r w:rsidRPr="001A3D2B">
        <w:t>measures used to evaluate</w:t>
      </w:r>
      <w:r w:rsidR="003A1917">
        <w:t xml:space="preserve"> the </w:t>
      </w:r>
      <w:r w:rsidRPr="001A3D2B">
        <w:t>merits</w:t>
      </w:r>
      <w:r w:rsidR="00427468">
        <w:t xml:space="preserve"> of </w:t>
      </w:r>
      <w:r w:rsidRPr="001A3D2B">
        <w:t>psychiatric biomedical research,</w:t>
      </w:r>
      <w:r w:rsidR="005853A9">
        <w:t xml:space="preserve"> and </w:t>
      </w:r>
      <w:r w:rsidRPr="001A3D2B">
        <w:t>to propose a new approach using a multidimensional selection</w:t>
      </w:r>
      <w:r w:rsidR="00427468">
        <w:t xml:space="preserve"> of </w:t>
      </w:r>
      <w:r w:rsidRPr="001A3D2B">
        <w:t>metrics appropriate to each particular field</w:t>
      </w:r>
      <w:r w:rsidR="00427468">
        <w:t xml:space="preserve"> of </w:t>
      </w:r>
      <w:r w:rsidRPr="001A3D2B">
        <w:t>medical research. Method Three steps: (a) a definition</w:t>
      </w:r>
      <w:r w:rsidR="00427468">
        <w:t xml:space="preserve"> of </w:t>
      </w:r>
      <w:r w:rsidRPr="001A3D2B">
        <w:t xml:space="preserve">scientific </w:t>
      </w:r>
      <w:r w:rsidR="00700038">
        <w:t>‘</w:t>
      </w:r>
      <w:r w:rsidRPr="001A3D2B">
        <w:t>domains</w:t>
      </w:r>
      <w:r w:rsidR="00700038">
        <w:t>’</w:t>
      </w:r>
      <w:r w:rsidRPr="001A3D2B">
        <w:t xml:space="preserve">, (b) translating these into </w:t>
      </w:r>
      <w:r w:rsidR="00700038">
        <w:t>‘</w:t>
      </w:r>
      <w:r w:rsidRPr="001A3D2B">
        <w:t>filters</w:t>
      </w:r>
      <w:r w:rsidR="00700038">
        <w:t>’</w:t>
      </w:r>
      <w:r w:rsidRPr="001A3D2B">
        <w:t xml:space="preserve"> to identify publications from bibliometric databases, leading to (c)</w:t>
      </w:r>
      <w:r w:rsidR="003A1917">
        <w:t xml:space="preserve"> the </w:t>
      </w:r>
      <w:r w:rsidRPr="001A3D2B">
        <w:t>creation</w:t>
      </w:r>
      <w:r w:rsidR="00427468">
        <w:t xml:space="preserve"> of </w:t>
      </w:r>
      <w:r w:rsidRPr="001A3D2B">
        <w:t>standardised measures</w:t>
      </w:r>
      <w:r w:rsidR="00427468">
        <w:t xml:space="preserve"> of </w:t>
      </w:r>
      <w:r w:rsidRPr="001A3D2B">
        <w:t>merit. Results We propose using: (a) established metrics such as impact factors</w:t>
      </w:r>
      <w:r w:rsidR="005853A9">
        <w:t xml:space="preserve"> and </w:t>
      </w:r>
      <w:r w:rsidRPr="001A3D2B">
        <w:t>citation indices, (b) new derived measures such as</w:t>
      </w:r>
      <w:r w:rsidR="003A1917">
        <w:t xml:space="preserve"> the </w:t>
      </w:r>
      <w:r w:rsidR="00700038">
        <w:t>‘</w:t>
      </w:r>
      <w:r w:rsidRPr="001A3D2B">
        <w:t>worldscale</w:t>
      </w:r>
      <w:r w:rsidR="00700038">
        <w:t>’</w:t>
      </w:r>
      <w:r w:rsidRPr="001A3D2B">
        <w:t xml:space="preserve"> score,</w:t>
      </w:r>
      <w:r w:rsidR="005853A9">
        <w:t xml:space="preserve"> and </w:t>
      </w:r>
      <w:r w:rsidRPr="001A3D2B">
        <w:t>(c) new indicators based on journal peer esteem, impact on clinical practice, medical education</w:t>
      </w:r>
      <w:r w:rsidR="005853A9">
        <w:t xml:space="preserve"> and </w:t>
      </w:r>
      <w:r w:rsidRPr="001A3D2B">
        <w:t>health policy. Conclusions No single index or metric can be used as a fair rating to compare nations, universities, research groups, or individual investigators across biomedical science. Rather, we propose using a multidimensional profile composed</w:t>
      </w:r>
      <w:r w:rsidR="00427468">
        <w:t xml:space="preserve"> of </w:t>
      </w:r>
      <w:r w:rsidRPr="001A3D2B">
        <w:t>a carefully selected array</w:t>
      </w:r>
      <w:r w:rsidR="00427468">
        <w:t xml:space="preserve"> of </w:t>
      </w:r>
      <w:r w:rsidRPr="001A3D2B">
        <w:t>such metrics.</w:t>
      </w:r>
    </w:p>
    <w:p w:rsidR="003474F2" w:rsidRPr="001A3D2B" w:rsidRDefault="003474F2" w:rsidP="003474F2">
      <w:pPr>
        <w:pStyle w:val="a3"/>
      </w:pPr>
      <w:r w:rsidRPr="001A3D2B">
        <w:t xml:space="preserve">Keywords: Assessment, Assessments, Bibliometric, Biomedical Research, Citation, Clinical, Creation, Databases, Education, Groups, Health, Health Policy, Health-Services Research, Impact, Impact Factors, Index, Indicators, Journal, Journals, Medical, Medical Education, </w:t>
      </w:r>
      <w:r w:rsidR="00D5664A">
        <w:t>MEDLINE</w:t>
      </w:r>
      <w:r w:rsidRPr="001A3D2B">
        <w:t>, Metrics, Optimal Search Strategies, Policy, Practice, Profile, Psychiatric Research, Publications, Quality, Range, Research, Research Quality, Science, Selection, Universities</w:t>
      </w:r>
    </w:p>
    <w:p w:rsidR="00966A37" w:rsidRPr="001A3D2B" w:rsidRDefault="00966A37" w:rsidP="00966A37">
      <w:pPr>
        <w:pStyle w:val="1"/>
      </w:pPr>
      <w:r w:rsidRPr="001A3D2B">
        <w:rPr>
          <w:b w:val="0"/>
        </w:rPr>
        <w:br w:type="page"/>
      </w:r>
      <w:bookmarkStart w:id="941" w:name="_Toc420814832"/>
      <w:r w:rsidRPr="001A3D2B">
        <w:lastRenderedPageBreak/>
        <w:t>Title: British Journal</w:t>
      </w:r>
      <w:r w:rsidR="00427468">
        <w:t xml:space="preserve"> of </w:t>
      </w:r>
      <w:r w:rsidRPr="001A3D2B">
        <w:t>Psychology</w:t>
      </w:r>
      <w:bookmarkEnd w:id="941"/>
    </w:p>
    <w:p w:rsidR="00966A37" w:rsidRPr="001A3D2B" w:rsidRDefault="00966A37" w:rsidP="00966A37">
      <w:pPr>
        <w:pStyle w:val="12"/>
      </w:pPr>
      <w:r w:rsidRPr="001A3D2B">
        <w:t xml:space="preserve">Full Journal Title: </w:t>
      </w:r>
      <w:r w:rsidRPr="001A3D2B">
        <w:rPr>
          <w:kern w:val="0"/>
        </w:rPr>
        <w:t>British Journal</w:t>
      </w:r>
      <w:r w:rsidR="00427468">
        <w:rPr>
          <w:kern w:val="0"/>
        </w:rPr>
        <w:t xml:space="preserve"> of </w:t>
      </w:r>
      <w:r w:rsidRPr="001A3D2B">
        <w:rPr>
          <w:kern w:val="0"/>
        </w:rPr>
        <w:t>Psychology</w:t>
      </w:r>
    </w:p>
    <w:p w:rsidR="00966A37" w:rsidRPr="001A3D2B" w:rsidRDefault="00966A37" w:rsidP="00966A37">
      <w:pPr>
        <w:pStyle w:val="12"/>
      </w:pPr>
      <w:r w:rsidRPr="001A3D2B">
        <w:t xml:space="preserve">ISO Abbreviated Title: </w:t>
      </w:r>
    </w:p>
    <w:p w:rsidR="00966A37" w:rsidRPr="001A3D2B" w:rsidRDefault="00966A37" w:rsidP="00966A37">
      <w:pPr>
        <w:pStyle w:val="12"/>
      </w:pPr>
      <w:r w:rsidRPr="001A3D2B">
        <w:t xml:space="preserve">JCR Abbreviated Title: </w:t>
      </w:r>
    </w:p>
    <w:p w:rsidR="00966A37" w:rsidRPr="001A3D2B" w:rsidRDefault="00966A37" w:rsidP="00966A37">
      <w:pPr>
        <w:pStyle w:val="12"/>
      </w:pPr>
      <w:r w:rsidRPr="001A3D2B">
        <w:t xml:space="preserve">ISSN: </w:t>
      </w:r>
    </w:p>
    <w:p w:rsidR="00966A37" w:rsidRPr="001A3D2B" w:rsidRDefault="00966A37" w:rsidP="00966A37">
      <w:pPr>
        <w:pStyle w:val="12"/>
      </w:pPr>
      <w:r w:rsidRPr="001A3D2B">
        <w:t xml:space="preserve">Issues/Year: </w:t>
      </w:r>
    </w:p>
    <w:p w:rsidR="00966A37" w:rsidRPr="001A3D2B" w:rsidRDefault="00966A37" w:rsidP="00966A37">
      <w:pPr>
        <w:pStyle w:val="12"/>
      </w:pPr>
      <w:r w:rsidRPr="001A3D2B">
        <w:t xml:space="preserve">Journal Country/Territory: </w:t>
      </w:r>
    </w:p>
    <w:p w:rsidR="00966A37" w:rsidRPr="001A3D2B" w:rsidRDefault="00966A37" w:rsidP="00966A37">
      <w:pPr>
        <w:pStyle w:val="12"/>
      </w:pPr>
      <w:r w:rsidRPr="001A3D2B">
        <w:t xml:space="preserve">Language: </w:t>
      </w:r>
    </w:p>
    <w:p w:rsidR="00966A37" w:rsidRPr="001A3D2B" w:rsidRDefault="00966A37" w:rsidP="00966A37">
      <w:pPr>
        <w:pStyle w:val="12"/>
      </w:pPr>
      <w:r w:rsidRPr="001A3D2B">
        <w:t xml:space="preserve">Publisher: </w:t>
      </w:r>
    </w:p>
    <w:p w:rsidR="00966A37" w:rsidRPr="001A3D2B" w:rsidRDefault="00966A37" w:rsidP="00966A37">
      <w:pPr>
        <w:pStyle w:val="12"/>
      </w:pPr>
      <w:r w:rsidRPr="001A3D2B">
        <w:t xml:space="preserve">Publisher Address: </w:t>
      </w:r>
    </w:p>
    <w:p w:rsidR="00966A37" w:rsidRPr="001A3D2B" w:rsidRDefault="00966A37" w:rsidP="00966A37">
      <w:pPr>
        <w:pStyle w:val="12"/>
      </w:pPr>
      <w:r w:rsidRPr="001A3D2B">
        <w:t>Subject Categories:</w:t>
      </w:r>
    </w:p>
    <w:p w:rsidR="00966A37" w:rsidRPr="001A3D2B" w:rsidRDefault="00966A37" w:rsidP="00966A37">
      <w:pPr>
        <w:pStyle w:val="12"/>
      </w:pPr>
      <w:r w:rsidRPr="001A3D2B">
        <w:t xml:space="preserve">: Impact Factor </w:t>
      </w:r>
    </w:p>
    <w:p w:rsidR="0004609D" w:rsidRDefault="0004609D" w:rsidP="00966A37">
      <w:pPr>
        <w:pStyle w:val="a3"/>
        <w:rPr>
          <w:kern w:val="0"/>
        </w:rPr>
      </w:pPr>
      <w:r>
        <w:rPr>
          <w:rFonts w:hint="eastAsia"/>
          <w:kern w:val="0"/>
        </w:rPr>
        <w:t>Notes: JJournal</w:t>
      </w:r>
    </w:p>
    <w:p w:rsidR="0004609D" w:rsidRDefault="0004609D" w:rsidP="0004609D">
      <w:pPr>
        <w:pStyle w:val="a3"/>
        <w:rPr>
          <w:kern w:val="0"/>
        </w:rPr>
      </w:pPr>
      <w:r>
        <w:rPr>
          <w:rFonts w:hint="eastAsia"/>
          <w:kern w:val="0"/>
        </w:rPr>
        <w:t xml:space="preserve">? </w:t>
      </w:r>
      <w:r>
        <w:rPr>
          <w:kern w:val="0"/>
        </w:rPr>
        <w:t>Richards, G. (2004</w:t>
      </w:r>
      <w:r w:rsidR="00F42EAC">
        <w:rPr>
          <w:kern w:val="0"/>
        </w:rPr>
        <w:t>), The</w:t>
      </w:r>
      <w:r w:rsidR="003A1917">
        <w:rPr>
          <w:kern w:val="0"/>
        </w:rPr>
        <w:t xml:space="preserve"> </w:t>
      </w:r>
      <w:r w:rsidRPr="00B14801">
        <w:rPr>
          <w:i/>
          <w:kern w:val="0"/>
        </w:rPr>
        <w:t>British Journal</w:t>
      </w:r>
      <w:r w:rsidR="00427468">
        <w:rPr>
          <w:i/>
          <w:kern w:val="0"/>
        </w:rPr>
        <w:t xml:space="preserve"> of </w:t>
      </w:r>
      <w:r w:rsidRPr="00B14801">
        <w:rPr>
          <w:i/>
          <w:kern w:val="0"/>
        </w:rPr>
        <w:t>Psychology</w:t>
      </w:r>
      <w:r>
        <w:rPr>
          <w:kern w:val="0"/>
        </w:rPr>
        <w:t xml:space="preserve"> centenary: A preliminary content survey</w:t>
      </w:r>
      <w:r w:rsidR="005853A9">
        <w:rPr>
          <w:kern w:val="0"/>
        </w:rPr>
        <w:t xml:space="preserve"> and </w:t>
      </w:r>
      <w:r>
        <w:rPr>
          <w:kern w:val="0"/>
        </w:rPr>
        <w:t xml:space="preserve">its problems. </w:t>
      </w:r>
      <w:r w:rsidRPr="0054153B">
        <w:rPr>
          <w:i/>
          <w:iCs/>
          <w:kern w:val="0"/>
        </w:rPr>
        <w:t>British Journal</w:t>
      </w:r>
      <w:r w:rsidR="00427468">
        <w:rPr>
          <w:i/>
          <w:iCs/>
          <w:kern w:val="0"/>
        </w:rPr>
        <w:t xml:space="preserve"> of </w:t>
      </w:r>
      <w:r w:rsidRPr="0054153B">
        <w:rPr>
          <w:i/>
          <w:iCs/>
          <w:kern w:val="0"/>
        </w:rPr>
        <w:t>Psychology</w:t>
      </w:r>
      <w:r>
        <w:rPr>
          <w:kern w:val="0"/>
        </w:rPr>
        <w:t xml:space="preserve">, </w:t>
      </w:r>
      <w:r>
        <w:rPr>
          <w:b/>
          <w:bCs/>
          <w:kern w:val="0"/>
        </w:rPr>
        <w:t>95</w:t>
      </w:r>
      <w:r>
        <w:rPr>
          <w:rFonts w:hint="eastAsia"/>
          <w:kern w:val="0"/>
        </w:rPr>
        <w:t xml:space="preserve"> (4),</w:t>
      </w:r>
      <w:r>
        <w:rPr>
          <w:kern w:val="0"/>
        </w:rPr>
        <w:t xml:space="preserve"> 523-543.</w:t>
      </w:r>
    </w:p>
    <w:p w:rsidR="00480F7F" w:rsidRDefault="00480F7F" w:rsidP="00480F7F">
      <w:pPr>
        <w:pStyle w:val="a3"/>
        <w:rPr>
          <w:kern w:val="0"/>
          <w:szCs w:val="24"/>
        </w:rPr>
      </w:pPr>
      <w:r>
        <w:rPr>
          <w:rFonts w:hint="eastAsia"/>
          <w:kern w:val="0"/>
          <w:szCs w:val="24"/>
        </w:rPr>
        <w:t xml:space="preserve">Full Text: </w:t>
      </w:r>
      <w:hyperlink r:id="rId1933" w:history="1">
        <w:r w:rsidR="0004609D" w:rsidRPr="0004609D">
          <w:rPr>
            <w:rStyle w:val="a5"/>
            <w:kern w:val="0"/>
            <w:szCs w:val="24"/>
          </w:rPr>
          <w:t>2004\Bri J Psy95, 523.pdf</w:t>
        </w:r>
      </w:hyperlink>
    </w:p>
    <w:p w:rsidR="00966A37" w:rsidRPr="001A3D2B" w:rsidRDefault="00966A37" w:rsidP="00966A37">
      <w:pPr>
        <w:pStyle w:val="a3"/>
        <w:rPr>
          <w:kern w:val="0"/>
        </w:rPr>
      </w:pPr>
      <w:r w:rsidRPr="001A3D2B">
        <w:rPr>
          <w:kern w:val="0"/>
        </w:rPr>
        <w:t>Abstract:</w:t>
      </w:r>
      <w:r w:rsidR="003A1917">
        <w:rPr>
          <w:kern w:val="0"/>
        </w:rPr>
        <w:t xml:space="preserve"> the </w:t>
      </w:r>
      <w:r w:rsidRPr="001A3D2B">
        <w:rPr>
          <w:kern w:val="0"/>
        </w:rPr>
        <w:t>preliminary findings are reported</w:t>
      </w:r>
      <w:r w:rsidR="00427468">
        <w:rPr>
          <w:kern w:val="0"/>
        </w:rPr>
        <w:t xml:space="preserve"> of </w:t>
      </w:r>
      <w:r w:rsidRPr="001A3D2B">
        <w:rPr>
          <w:kern w:val="0"/>
        </w:rPr>
        <w:t>a review</w:t>
      </w:r>
      <w:r w:rsidR="00427468">
        <w:rPr>
          <w:kern w:val="0"/>
        </w:rPr>
        <w:t xml:space="preserve"> of </w:t>
      </w:r>
      <w:r w:rsidR="003A1917">
        <w:rPr>
          <w:kern w:val="0"/>
        </w:rPr>
        <w:t xml:space="preserve">the </w:t>
      </w:r>
      <w:r w:rsidRPr="001A3D2B">
        <w:rPr>
          <w:kern w:val="0"/>
        </w:rPr>
        <w:t>contents</w:t>
      </w:r>
      <w:r w:rsidR="00427468">
        <w:rPr>
          <w:kern w:val="0"/>
        </w:rPr>
        <w:t xml:space="preserve"> of </w:t>
      </w:r>
      <w:r w:rsidR="003A1917">
        <w:rPr>
          <w:kern w:val="0"/>
        </w:rPr>
        <w:t xml:space="preserve">the </w:t>
      </w:r>
      <w:r w:rsidRPr="001A3D2B">
        <w:rPr>
          <w:kern w:val="0"/>
        </w:rPr>
        <w:t>British journal</w:t>
      </w:r>
      <w:r w:rsidR="00427468">
        <w:rPr>
          <w:kern w:val="0"/>
        </w:rPr>
        <w:t xml:space="preserve"> of </w:t>
      </w:r>
      <w:r w:rsidRPr="001A3D2B">
        <w:rPr>
          <w:kern w:val="0"/>
        </w:rPr>
        <w:t>Psychology 1904-2003 undertaken to mark</w:t>
      </w:r>
      <w:r w:rsidR="003A1917">
        <w:rPr>
          <w:kern w:val="0"/>
        </w:rPr>
        <w:t xml:space="preserve"> the </w:t>
      </w:r>
      <w:r w:rsidRPr="001A3D2B">
        <w:rPr>
          <w:kern w:val="0"/>
        </w:rPr>
        <w:t>journal</w:t>
      </w:r>
      <w:r w:rsidR="00700038">
        <w:rPr>
          <w:kern w:val="0"/>
        </w:rPr>
        <w:t>’</w:t>
      </w:r>
      <w:r w:rsidR="00C13DDC">
        <w:rPr>
          <w:kern w:val="0"/>
        </w:rPr>
        <w:t>s</w:t>
      </w:r>
      <w:r w:rsidRPr="001A3D2B">
        <w:rPr>
          <w:kern w:val="0"/>
        </w:rPr>
        <w:t xml:space="preserve"> centenary. This identifies (a)</w:t>
      </w:r>
      <w:r w:rsidR="003A1917">
        <w:rPr>
          <w:kern w:val="0"/>
        </w:rPr>
        <w:t xml:space="preserve"> the </w:t>
      </w:r>
      <w:r w:rsidRPr="001A3D2B">
        <w:rPr>
          <w:kern w:val="0"/>
        </w:rPr>
        <w:t>top 11 categories</w:t>
      </w:r>
      <w:r w:rsidR="00427468">
        <w:rPr>
          <w:kern w:val="0"/>
        </w:rPr>
        <w:t xml:space="preserve"> of </w:t>
      </w:r>
      <w:r w:rsidRPr="001A3D2B">
        <w:rPr>
          <w:kern w:val="0"/>
        </w:rPr>
        <w:t>paper published</w:t>
      </w:r>
      <w:r w:rsidR="005853A9">
        <w:rPr>
          <w:kern w:val="0"/>
        </w:rPr>
        <w:t xml:space="preserve"> and </w:t>
      </w:r>
      <w:r w:rsidRPr="001A3D2B">
        <w:rPr>
          <w:kern w:val="0"/>
        </w:rPr>
        <w:t>their patterns</w:t>
      </w:r>
      <w:r w:rsidR="00427468">
        <w:rPr>
          <w:kern w:val="0"/>
        </w:rPr>
        <w:t xml:space="preserve"> of </w:t>
      </w:r>
      <w:r w:rsidRPr="001A3D2B">
        <w:rPr>
          <w:kern w:val="0"/>
        </w:rPr>
        <w:t>distribution, (b) an apparent change in</w:t>
      </w:r>
      <w:r w:rsidR="003A1917">
        <w:rPr>
          <w:kern w:val="0"/>
        </w:rPr>
        <w:t xml:space="preserve"> the </w:t>
      </w:r>
      <w:r w:rsidRPr="001A3D2B">
        <w:rPr>
          <w:kern w:val="0"/>
        </w:rPr>
        <w:t>nature</w:t>
      </w:r>
      <w:r w:rsidR="00427468">
        <w:rPr>
          <w:kern w:val="0"/>
        </w:rPr>
        <w:t xml:space="preserve"> of </w:t>
      </w:r>
      <w:r w:rsidRPr="001A3D2B">
        <w:rPr>
          <w:kern w:val="0"/>
        </w:rPr>
        <w:t>papers published after 1983, (c)</w:t>
      </w:r>
      <w:r w:rsidR="003A1917">
        <w:rPr>
          <w:kern w:val="0"/>
        </w:rPr>
        <w:t xml:space="preserve"> the </w:t>
      </w:r>
      <w:r w:rsidRPr="001A3D2B">
        <w:rPr>
          <w:kern w:val="0"/>
        </w:rPr>
        <w:t>overall pattern</w:t>
      </w:r>
      <w:r w:rsidR="00427468">
        <w:rPr>
          <w:kern w:val="0"/>
        </w:rPr>
        <w:t xml:space="preserve"> of </w:t>
      </w:r>
      <w:r w:rsidRPr="001A3D2B">
        <w:rPr>
          <w:kern w:val="0"/>
        </w:rPr>
        <w:t>category-introduction, showing a dramatic change in 1965</w:t>
      </w:r>
      <w:r w:rsidR="005853A9">
        <w:rPr>
          <w:kern w:val="0"/>
        </w:rPr>
        <w:t xml:space="preserve"> and </w:t>
      </w:r>
      <w:r w:rsidRPr="001A3D2B">
        <w:rPr>
          <w:kern w:val="0"/>
        </w:rPr>
        <w:t>(d) a provisional typology</w:t>
      </w:r>
      <w:r w:rsidR="00427468">
        <w:rPr>
          <w:kern w:val="0"/>
        </w:rPr>
        <w:t xml:space="preserve"> of </w:t>
      </w:r>
      <w:r w:rsidR="003A1917">
        <w:rPr>
          <w:kern w:val="0"/>
        </w:rPr>
        <w:t xml:space="preserve">the </w:t>
      </w:r>
      <w:r w:rsidRPr="001A3D2B">
        <w:rPr>
          <w:kern w:val="0"/>
        </w:rPr>
        <w:t>principal patterns</w:t>
      </w:r>
      <w:r w:rsidR="00427468">
        <w:rPr>
          <w:kern w:val="0"/>
        </w:rPr>
        <w:t xml:space="preserve"> of </w:t>
      </w:r>
      <w:r w:rsidRPr="001A3D2B">
        <w:rPr>
          <w:kern w:val="0"/>
        </w:rPr>
        <w:t>distribution over time. Major conceptual</w:t>
      </w:r>
      <w:r w:rsidR="005853A9">
        <w:rPr>
          <w:kern w:val="0"/>
        </w:rPr>
        <w:t xml:space="preserve"> and </w:t>
      </w:r>
      <w:r w:rsidRPr="001A3D2B">
        <w:rPr>
          <w:kern w:val="0"/>
        </w:rPr>
        <w:t>practical problems arising in</w:t>
      </w:r>
      <w:r w:rsidR="003A1917">
        <w:rPr>
          <w:kern w:val="0"/>
        </w:rPr>
        <w:t xml:space="preserve"> the </w:t>
      </w:r>
      <w:r w:rsidRPr="001A3D2B">
        <w:rPr>
          <w:kern w:val="0"/>
        </w:rPr>
        <w:t>categorization</w:t>
      </w:r>
      <w:r w:rsidR="00427468">
        <w:rPr>
          <w:kern w:val="0"/>
        </w:rPr>
        <w:t xml:space="preserve"> of </w:t>
      </w:r>
      <w:r w:rsidRPr="001A3D2B">
        <w:rPr>
          <w:kern w:val="0"/>
        </w:rPr>
        <w:t>papers,</w:t>
      </w:r>
      <w:r w:rsidR="005853A9">
        <w:rPr>
          <w:kern w:val="0"/>
        </w:rPr>
        <w:t xml:space="preserve"> and </w:t>
      </w:r>
      <w:r w:rsidRPr="001A3D2B">
        <w:rPr>
          <w:kern w:val="0"/>
        </w:rPr>
        <w:t>their implications, are discussed. Some reflections are offered on</w:t>
      </w:r>
      <w:r w:rsidR="003A1917">
        <w:rPr>
          <w:kern w:val="0"/>
        </w:rPr>
        <w:t xml:space="preserve"> the </w:t>
      </w:r>
      <w:r w:rsidRPr="001A3D2B">
        <w:rPr>
          <w:kern w:val="0"/>
        </w:rPr>
        <w:t>possible value</w:t>
      </w:r>
      <w:r w:rsidR="00427468">
        <w:rPr>
          <w:kern w:val="0"/>
        </w:rPr>
        <w:t xml:space="preserve"> of </w:t>
      </w:r>
      <w:r w:rsidRPr="001A3D2B">
        <w:rPr>
          <w:kern w:val="0"/>
        </w:rPr>
        <w:t>research</w:t>
      </w:r>
      <w:r w:rsidR="00427468">
        <w:rPr>
          <w:kern w:val="0"/>
        </w:rPr>
        <w:t xml:space="preserve"> of </w:t>
      </w:r>
      <w:r w:rsidRPr="001A3D2B">
        <w:rPr>
          <w:kern w:val="0"/>
        </w:rPr>
        <w:t>this kind</w:t>
      </w:r>
      <w:r w:rsidR="005853A9">
        <w:rPr>
          <w:kern w:val="0"/>
        </w:rPr>
        <w:t xml:space="preserve"> and </w:t>
      </w:r>
      <w:r w:rsidRPr="001A3D2B">
        <w:rPr>
          <w:kern w:val="0"/>
        </w:rPr>
        <w:t>on</w:t>
      </w:r>
      <w:r w:rsidR="003A1917">
        <w:rPr>
          <w:kern w:val="0"/>
        </w:rPr>
        <w:t xml:space="preserve"> the </w:t>
      </w:r>
      <w:r w:rsidRPr="001A3D2B">
        <w:rPr>
          <w:kern w:val="0"/>
        </w:rPr>
        <w:t>nature</w:t>
      </w:r>
      <w:r w:rsidR="00427468">
        <w:rPr>
          <w:kern w:val="0"/>
        </w:rPr>
        <w:t xml:space="preserve"> of </w:t>
      </w:r>
      <w:r w:rsidR="003A1917">
        <w:rPr>
          <w:kern w:val="0"/>
        </w:rPr>
        <w:t xml:space="preserve">the </w:t>
      </w:r>
      <w:r w:rsidRPr="001A3D2B">
        <w:rPr>
          <w:kern w:val="0"/>
        </w:rPr>
        <w:t>journal itself.</w:t>
      </w:r>
    </w:p>
    <w:p w:rsidR="00480F7F" w:rsidRDefault="00480F7F" w:rsidP="00480F7F">
      <w:pPr>
        <w:pStyle w:val="a3"/>
        <w:rPr>
          <w:kern w:val="0"/>
          <w:szCs w:val="24"/>
        </w:rPr>
      </w:pPr>
      <w:r>
        <w:rPr>
          <w:kern w:val="0"/>
          <w:szCs w:val="24"/>
        </w:rPr>
        <w:t>? Sugimori, E.</w:t>
      </w:r>
      <w:r w:rsidR="005853A9">
        <w:rPr>
          <w:kern w:val="0"/>
          <w:szCs w:val="24"/>
        </w:rPr>
        <w:t xml:space="preserve"> and </w:t>
      </w:r>
      <w:r>
        <w:rPr>
          <w:kern w:val="0"/>
          <w:szCs w:val="24"/>
        </w:rPr>
        <w:t>Tanno, Y. (2010</w:t>
      </w:r>
      <w:r w:rsidR="00F42EAC">
        <w:rPr>
          <w:kern w:val="0"/>
          <w:szCs w:val="24"/>
        </w:rPr>
        <w:t>), The</w:t>
      </w:r>
      <w:r w:rsidR="003A1917">
        <w:rPr>
          <w:kern w:val="0"/>
          <w:szCs w:val="24"/>
        </w:rPr>
        <w:t xml:space="preserve"> </w:t>
      </w:r>
      <w:r>
        <w:rPr>
          <w:kern w:val="0"/>
          <w:szCs w:val="24"/>
        </w:rPr>
        <w:t>effects</w:t>
      </w:r>
      <w:r w:rsidR="00427468">
        <w:rPr>
          <w:kern w:val="0"/>
          <w:szCs w:val="24"/>
        </w:rPr>
        <w:t xml:space="preserve"> of </w:t>
      </w:r>
      <w:r>
        <w:rPr>
          <w:kern w:val="0"/>
          <w:szCs w:val="24"/>
        </w:rPr>
        <w:t>cognitive activity</w:t>
      </w:r>
      <w:r w:rsidR="005853A9">
        <w:rPr>
          <w:kern w:val="0"/>
          <w:szCs w:val="24"/>
        </w:rPr>
        <w:t xml:space="preserve"> and </w:t>
      </w:r>
      <w:r>
        <w:rPr>
          <w:kern w:val="0"/>
          <w:szCs w:val="24"/>
        </w:rPr>
        <w:t xml:space="preserve">perceptual details on speech source monitoring. </w:t>
      </w:r>
      <w:r>
        <w:rPr>
          <w:i/>
          <w:iCs/>
          <w:kern w:val="0"/>
          <w:szCs w:val="24"/>
        </w:rPr>
        <w:t>British Journal</w:t>
      </w:r>
      <w:r w:rsidR="00427468">
        <w:rPr>
          <w:i/>
          <w:iCs/>
          <w:kern w:val="0"/>
          <w:szCs w:val="24"/>
        </w:rPr>
        <w:t xml:space="preserve"> of </w:t>
      </w:r>
      <w:r>
        <w:rPr>
          <w:i/>
          <w:iCs/>
          <w:kern w:val="0"/>
          <w:szCs w:val="24"/>
        </w:rPr>
        <w:t>Psychology</w:t>
      </w:r>
      <w:r>
        <w:rPr>
          <w:kern w:val="0"/>
          <w:szCs w:val="24"/>
        </w:rPr>
        <w:t xml:space="preserve">, </w:t>
      </w:r>
      <w:r>
        <w:rPr>
          <w:b/>
          <w:bCs/>
          <w:kern w:val="0"/>
          <w:szCs w:val="24"/>
        </w:rPr>
        <w:t>101</w:t>
      </w:r>
      <w:r>
        <w:rPr>
          <w:kern w:val="0"/>
          <w:szCs w:val="24"/>
        </w:rPr>
        <w:t>, 777-790.</w:t>
      </w:r>
    </w:p>
    <w:p w:rsidR="00480F7F" w:rsidRDefault="00480F7F" w:rsidP="00480F7F">
      <w:pPr>
        <w:pStyle w:val="a3"/>
        <w:rPr>
          <w:kern w:val="0"/>
          <w:szCs w:val="24"/>
        </w:rPr>
      </w:pPr>
      <w:r>
        <w:rPr>
          <w:rFonts w:hint="eastAsia"/>
          <w:kern w:val="0"/>
          <w:szCs w:val="24"/>
        </w:rPr>
        <w:t xml:space="preserve">Full Text: </w:t>
      </w:r>
      <w:hyperlink r:id="rId1934" w:history="1">
        <w:r w:rsidRPr="00A13F4E">
          <w:rPr>
            <w:rStyle w:val="a5"/>
            <w:kern w:val="0"/>
            <w:szCs w:val="24"/>
          </w:rPr>
          <w:t>2010\Bri J Psy101, 777.pdf</w:t>
        </w:r>
      </w:hyperlink>
    </w:p>
    <w:p w:rsidR="00480F7F" w:rsidRDefault="00480F7F" w:rsidP="00480F7F">
      <w:pPr>
        <w:pStyle w:val="a3"/>
        <w:rPr>
          <w:kern w:val="0"/>
          <w:szCs w:val="24"/>
        </w:rPr>
      </w:pPr>
      <w:r>
        <w:rPr>
          <w:kern w:val="0"/>
          <w:szCs w:val="24"/>
        </w:rPr>
        <w:t>Abstract: Our purpose in this study was to investigate</w:t>
      </w:r>
      <w:r w:rsidR="003A1917">
        <w:rPr>
          <w:kern w:val="0"/>
          <w:szCs w:val="24"/>
        </w:rPr>
        <w:t xml:space="preserve"> the </w:t>
      </w:r>
      <w:r>
        <w:rPr>
          <w:kern w:val="0"/>
          <w:szCs w:val="24"/>
        </w:rPr>
        <w:t>effects</w:t>
      </w:r>
      <w:r w:rsidR="00427468">
        <w:rPr>
          <w:kern w:val="0"/>
          <w:szCs w:val="24"/>
        </w:rPr>
        <w:t xml:space="preserve"> of </w:t>
      </w:r>
      <w:r>
        <w:rPr>
          <w:kern w:val="0"/>
          <w:szCs w:val="24"/>
        </w:rPr>
        <w:t>cognitive operations</w:t>
      </w:r>
      <w:r w:rsidR="005853A9">
        <w:rPr>
          <w:kern w:val="0"/>
          <w:szCs w:val="24"/>
        </w:rPr>
        <w:t xml:space="preserve"> and </w:t>
      </w:r>
      <w:r>
        <w:rPr>
          <w:kern w:val="0"/>
          <w:szCs w:val="24"/>
        </w:rPr>
        <w:t>perceptual details on speech source monitoring. In Phase I, correctly spelled words</w:t>
      </w:r>
      <w:r w:rsidR="005853A9">
        <w:rPr>
          <w:kern w:val="0"/>
          <w:szCs w:val="24"/>
        </w:rPr>
        <w:t xml:space="preserve"> and </w:t>
      </w:r>
      <w:r>
        <w:rPr>
          <w:kern w:val="0"/>
          <w:szCs w:val="24"/>
        </w:rPr>
        <w:t>anagrams were presented in Expt 1. Words were read aloud by participants, by a same-sex voice, or by an opposite-sex voice. Immediately after Phase 1, in Phase 2, participants were asked whether each word had been read aloud by</w:t>
      </w:r>
      <w:r w:rsidR="003A1917">
        <w:rPr>
          <w:kern w:val="0"/>
          <w:szCs w:val="24"/>
        </w:rPr>
        <w:t xml:space="preserve"> the </w:t>
      </w:r>
      <w:r>
        <w:rPr>
          <w:kern w:val="0"/>
          <w:szCs w:val="24"/>
        </w:rPr>
        <w:t>participants themselves, by a same-sex voice, or by an opposite-sex voice. Source discrimination between own speech</w:t>
      </w:r>
      <w:r w:rsidR="005853A9">
        <w:rPr>
          <w:kern w:val="0"/>
          <w:szCs w:val="24"/>
        </w:rPr>
        <w:t xml:space="preserve"> and </w:t>
      </w:r>
      <w:r>
        <w:rPr>
          <w:kern w:val="0"/>
          <w:szCs w:val="24"/>
        </w:rPr>
        <w:t>that produced by a same-sex voice was poorer than between own speech</w:t>
      </w:r>
      <w:r w:rsidR="005853A9">
        <w:rPr>
          <w:kern w:val="0"/>
          <w:szCs w:val="24"/>
        </w:rPr>
        <w:t xml:space="preserve"> and </w:t>
      </w:r>
      <w:r>
        <w:rPr>
          <w:kern w:val="0"/>
          <w:szCs w:val="24"/>
        </w:rPr>
        <w:t>an opposite-sex voice. In addition, misattribution</w:t>
      </w:r>
      <w:r w:rsidR="00427468">
        <w:rPr>
          <w:kern w:val="0"/>
          <w:szCs w:val="24"/>
        </w:rPr>
        <w:t xml:space="preserve"> of </w:t>
      </w:r>
      <w:r w:rsidR="003A1917">
        <w:rPr>
          <w:kern w:val="0"/>
          <w:szCs w:val="24"/>
        </w:rPr>
        <w:t xml:space="preserve">the </w:t>
      </w:r>
      <w:r>
        <w:rPr>
          <w:kern w:val="0"/>
          <w:szCs w:val="24"/>
        </w:rPr>
        <w:t>speech</w:t>
      </w:r>
      <w:r w:rsidR="00427468">
        <w:rPr>
          <w:kern w:val="0"/>
          <w:szCs w:val="24"/>
        </w:rPr>
        <w:t xml:space="preserve"> of </w:t>
      </w:r>
      <w:r>
        <w:rPr>
          <w:kern w:val="0"/>
          <w:szCs w:val="24"/>
        </w:rPr>
        <w:t>another to one</w:t>
      </w:r>
      <w:r w:rsidR="00700038">
        <w:rPr>
          <w:kern w:val="0"/>
          <w:szCs w:val="24"/>
        </w:rPr>
        <w:t>’</w:t>
      </w:r>
      <w:r w:rsidR="00C13DDC">
        <w:rPr>
          <w:kern w:val="0"/>
          <w:szCs w:val="24"/>
        </w:rPr>
        <w:t>s</w:t>
      </w:r>
      <w:r>
        <w:rPr>
          <w:kern w:val="0"/>
          <w:szCs w:val="24"/>
        </w:rPr>
        <w:t xml:space="preserve"> self increased as</w:t>
      </w:r>
      <w:r w:rsidR="003A1917">
        <w:rPr>
          <w:kern w:val="0"/>
          <w:szCs w:val="24"/>
        </w:rPr>
        <w:t xml:space="preserve"> the </w:t>
      </w:r>
      <w:r>
        <w:rPr>
          <w:kern w:val="0"/>
          <w:szCs w:val="24"/>
        </w:rPr>
        <w:t>level</w:t>
      </w:r>
      <w:r w:rsidR="00427468">
        <w:rPr>
          <w:kern w:val="0"/>
          <w:szCs w:val="24"/>
        </w:rPr>
        <w:t xml:space="preserve"> of </w:t>
      </w:r>
      <w:r>
        <w:rPr>
          <w:kern w:val="0"/>
          <w:szCs w:val="24"/>
        </w:rPr>
        <w:lastRenderedPageBreak/>
        <w:t>cognitive effort required for</w:t>
      </w:r>
      <w:r w:rsidR="003A1917">
        <w:rPr>
          <w:kern w:val="0"/>
          <w:szCs w:val="24"/>
        </w:rPr>
        <w:t xml:space="preserve"> the </w:t>
      </w:r>
      <w:r>
        <w:rPr>
          <w:kern w:val="0"/>
          <w:szCs w:val="24"/>
        </w:rPr>
        <w:t xml:space="preserve">task increased. In Expt 2, misattributions to same-sex voice were assigned </w:t>
      </w:r>
      <w:r w:rsidR="00700038">
        <w:rPr>
          <w:kern w:val="0"/>
          <w:szCs w:val="24"/>
        </w:rPr>
        <w:t>‘</w:t>
      </w:r>
      <w:r>
        <w:rPr>
          <w:kern w:val="0"/>
          <w:szCs w:val="24"/>
        </w:rPr>
        <w:t>know</w:t>
      </w:r>
      <w:r w:rsidR="00700038">
        <w:rPr>
          <w:kern w:val="0"/>
          <w:szCs w:val="24"/>
        </w:rPr>
        <w:t>’</w:t>
      </w:r>
      <w:r>
        <w:rPr>
          <w:kern w:val="0"/>
          <w:szCs w:val="24"/>
        </w:rPr>
        <w:t xml:space="preserve"> responses more frequently</w:t>
      </w:r>
      <w:r w:rsidR="005853A9">
        <w:rPr>
          <w:kern w:val="0"/>
          <w:szCs w:val="24"/>
        </w:rPr>
        <w:t xml:space="preserve"> and </w:t>
      </w:r>
      <w:r>
        <w:rPr>
          <w:kern w:val="0"/>
          <w:szCs w:val="24"/>
        </w:rPr>
        <w:t>misattributions to one</w:t>
      </w:r>
      <w:r w:rsidR="00700038">
        <w:rPr>
          <w:kern w:val="0"/>
          <w:szCs w:val="24"/>
        </w:rPr>
        <w:t>’</w:t>
      </w:r>
      <w:r w:rsidR="00C13DDC">
        <w:rPr>
          <w:kern w:val="0"/>
          <w:szCs w:val="24"/>
        </w:rPr>
        <w:t>s</w:t>
      </w:r>
      <w:r>
        <w:rPr>
          <w:kern w:val="0"/>
          <w:szCs w:val="24"/>
        </w:rPr>
        <w:t xml:space="preserve"> self were assigned </w:t>
      </w:r>
      <w:r w:rsidR="00700038">
        <w:rPr>
          <w:kern w:val="0"/>
          <w:szCs w:val="24"/>
        </w:rPr>
        <w:t>‘</w:t>
      </w:r>
      <w:r>
        <w:rPr>
          <w:kern w:val="0"/>
          <w:szCs w:val="24"/>
        </w:rPr>
        <w:t>remember</w:t>
      </w:r>
      <w:r w:rsidR="00700038">
        <w:rPr>
          <w:kern w:val="0"/>
          <w:szCs w:val="24"/>
        </w:rPr>
        <w:t>’</w:t>
      </w:r>
      <w:r>
        <w:rPr>
          <w:kern w:val="0"/>
          <w:szCs w:val="24"/>
        </w:rPr>
        <w:t xml:space="preserve"> responses more frequently</w:t>
      </w:r>
      <w:r w:rsidR="00A37C1D">
        <w:rPr>
          <w:kern w:val="0"/>
          <w:szCs w:val="24"/>
        </w:rPr>
        <w:t>. The</w:t>
      </w:r>
      <w:r>
        <w:rPr>
          <w:kern w:val="0"/>
          <w:szCs w:val="24"/>
        </w:rPr>
        <w:t>se results suggest that qualitative characteristics such as perceptual detail</w:t>
      </w:r>
      <w:r w:rsidR="005853A9">
        <w:rPr>
          <w:kern w:val="0"/>
          <w:szCs w:val="24"/>
        </w:rPr>
        <w:t xml:space="preserve"> and </w:t>
      </w:r>
      <w:r>
        <w:rPr>
          <w:kern w:val="0"/>
          <w:szCs w:val="24"/>
        </w:rPr>
        <w:t>cognitive operations are differentially influencing misattributions to</w:t>
      </w:r>
      <w:r w:rsidR="003A1917">
        <w:rPr>
          <w:kern w:val="0"/>
          <w:szCs w:val="24"/>
        </w:rPr>
        <w:t xml:space="preserve"> the </w:t>
      </w:r>
      <w:r>
        <w:rPr>
          <w:kern w:val="0"/>
          <w:szCs w:val="24"/>
        </w:rPr>
        <w:t>self</w:t>
      </w:r>
      <w:r w:rsidR="005853A9">
        <w:rPr>
          <w:kern w:val="0"/>
          <w:szCs w:val="24"/>
        </w:rPr>
        <w:t xml:space="preserve"> and </w:t>
      </w:r>
      <w:r>
        <w:rPr>
          <w:kern w:val="0"/>
          <w:szCs w:val="24"/>
        </w:rPr>
        <w:t>those to same-sex voices.</w:t>
      </w:r>
    </w:p>
    <w:p w:rsidR="00480F7F" w:rsidRDefault="00480F7F" w:rsidP="00480F7F">
      <w:pPr>
        <w:pStyle w:val="a3"/>
        <w:rPr>
          <w:kern w:val="0"/>
          <w:szCs w:val="24"/>
        </w:rPr>
      </w:pPr>
      <w:r>
        <w:rPr>
          <w:kern w:val="0"/>
          <w:szCs w:val="24"/>
        </w:rPr>
        <w:t>Keywords: Consequences, Cryptomnesia, Discrimination, Generation, Inadvertent Plagiarism, Inflation, Information, Memory Strength, Operations, Recognition, Voice</w:t>
      </w:r>
    </w:p>
    <w:p w:rsidR="00F07F84" w:rsidRPr="001A3D2B" w:rsidRDefault="00F07F84" w:rsidP="00F07F84">
      <w:pPr>
        <w:pStyle w:val="1"/>
      </w:pPr>
      <w:r w:rsidRPr="001A3D2B">
        <w:br w:type="page"/>
      </w:r>
      <w:bookmarkStart w:id="942" w:name="_Toc420814833"/>
      <w:r w:rsidRPr="001A3D2B">
        <w:lastRenderedPageBreak/>
        <w:t xml:space="preserve">Title: </w:t>
      </w:r>
      <w:r w:rsidRPr="00F07F84">
        <w:t>British Journal</w:t>
      </w:r>
      <w:r w:rsidR="00427468">
        <w:t xml:space="preserve"> of </w:t>
      </w:r>
      <w:r w:rsidRPr="00F07F84">
        <w:t>Radiology</w:t>
      </w:r>
      <w:bookmarkEnd w:id="942"/>
    </w:p>
    <w:p w:rsidR="00F07F84" w:rsidRPr="001A3D2B" w:rsidRDefault="00F07F84" w:rsidP="00F07F84">
      <w:pPr>
        <w:pStyle w:val="12"/>
      </w:pPr>
      <w:r w:rsidRPr="001A3D2B">
        <w:t xml:space="preserve">Full Journal Title: </w:t>
      </w:r>
      <w:hyperlink r:id="rId1935" w:history="1">
        <w:r w:rsidRPr="00F07F84">
          <w:rPr>
            <w:rStyle w:val="a5"/>
            <w:iCs/>
            <w:kern w:val="0"/>
          </w:rPr>
          <w:t>British Journal</w:t>
        </w:r>
        <w:r w:rsidR="00427468">
          <w:rPr>
            <w:rStyle w:val="a5"/>
            <w:iCs/>
            <w:kern w:val="0"/>
          </w:rPr>
          <w:t xml:space="preserve"> of </w:t>
        </w:r>
        <w:r w:rsidRPr="00F07F84">
          <w:rPr>
            <w:rStyle w:val="a5"/>
            <w:iCs/>
            <w:kern w:val="0"/>
          </w:rPr>
          <w:t>Radiology</w:t>
        </w:r>
      </w:hyperlink>
    </w:p>
    <w:p w:rsidR="00F07F84" w:rsidRPr="001A3D2B" w:rsidRDefault="00F07F84" w:rsidP="00F07F84">
      <w:pPr>
        <w:pStyle w:val="12"/>
      </w:pPr>
      <w:r w:rsidRPr="001A3D2B">
        <w:t xml:space="preserve">ISO Abbreviated Title: </w:t>
      </w:r>
    </w:p>
    <w:p w:rsidR="00F07F84" w:rsidRPr="001A3D2B" w:rsidRDefault="00F07F84" w:rsidP="00F07F84">
      <w:pPr>
        <w:pStyle w:val="12"/>
      </w:pPr>
      <w:r w:rsidRPr="001A3D2B">
        <w:t xml:space="preserve">JCR Abbreviated Title: </w:t>
      </w:r>
    </w:p>
    <w:p w:rsidR="00F07F84" w:rsidRPr="001A3D2B" w:rsidRDefault="00F07F84" w:rsidP="00F07F84">
      <w:pPr>
        <w:pStyle w:val="12"/>
      </w:pPr>
      <w:r w:rsidRPr="001A3D2B">
        <w:t xml:space="preserve">ISSN: </w:t>
      </w:r>
    </w:p>
    <w:p w:rsidR="00F07F84" w:rsidRPr="001A3D2B" w:rsidRDefault="00F07F84" w:rsidP="00F07F84">
      <w:pPr>
        <w:pStyle w:val="12"/>
      </w:pPr>
      <w:r w:rsidRPr="001A3D2B">
        <w:t xml:space="preserve">Issues/Year: </w:t>
      </w:r>
    </w:p>
    <w:p w:rsidR="00F07F84" w:rsidRPr="001A3D2B" w:rsidRDefault="00F07F84" w:rsidP="00F07F84">
      <w:pPr>
        <w:pStyle w:val="12"/>
      </w:pPr>
      <w:r w:rsidRPr="001A3D2B">
        <w:t xml:space="preserve">Journal Country/Territory: </w:t>
      </w:r>
    </w:p>
    <w:p w:rsidR="00F07F84" w:rsidRPr="001A3D2B" w:rsidRDefault="00F07F84" w:rsidP="00F07F84">
      <w:pPr>
        <w:pStyle w:val="12"/>
      </w:pPr>
      <w:r w:rsidRPr="001A3D2B">
        <w:t xml:space="preserve">Language: </w:t>
      </w:r>
    </w:p>
    <w:p w:rsidR="00F07F84" w:rsidRPr="001A3D2B" w:rsidRDefault="00F07F84" w:rsidP="00F07F84">
      <w:pPr>
        <w:pStyle w:val="12"/>
      </w:pPr>
      <w:r w:rsidRPr="001A3D2B">
        <w:t xml:space="preserve">Publisher: </w:t>
      </w:r>
    </w:p>
    <w:p w:rsidR="00F07F84" w:rsidRPr="001A3D2B" w:rsidRDefault="00F07F84" w:rsidP="00F07F84">
      <w:pPr>
        <w:pStyle w:val="12"/>
      </w:pPr>
      <w:r w:rsidRPr="001A3D2B">
        <w:t xml:space="preserve">Publisher Address: </w:t>
      </w:r>
    </w:p>
    <w:p w:rsidR="00F07F84" w:rsidRPr="001A3D2B" w:rsidRDefault="00F07F84" w:rsidP="00F07F84">
      <w:pPr>
        <w:pStyle w:val="12"/>
      </w:pPr>
      <w:r w:rsidRPr="001A3D2B">
        <w:t>Subject Categories:</w:t>
      </w:r>
    </w:p>
    <w:p w:rsidR="00F07F84" w:rsidRPr="001A3D2B" w:rsidRDefault="00F07F84" w:rsidP="00F07F84">
      <w:pPr>
        <w:pStyle w:val="12"/>
      </w:pPr>
      <w:r w:rsidRPr="001A3D2B">
        <w:t xml:space="preserve">: Impact Factor </w:t>
      </w:r>
    </w:p>
    <w:p w:rsidR="00F07F84" w:rsidRDefault="00F07F84" w:rsidP="00F07F84">
      <w:pPr>
        <w:pStyle w:val="a3"/>
        <w:rPr>
          <w:kern w:val="0"/>
        </w:rPr>
      </w:pPr>
      <w:r>
        <w:rPr>
          <w:rFonts w:hint="eastAsia"/>
          <w:kern w:val="0"/>
        </w:rPr>
        <w:t xml:space="preserve">? </w:t>
      </w:r>
      <w:r>
        <w:rPr>
          <w:kern w:val="0"/>
        </w:rPr>
        <w:t>Jackson, A. (2010</w:t>
      </w:r>
      <w:r w:rsidR="00F42EAC">
        <w:rPr>
          <w:kern w:val="0"/>
        </w:rPr>
        <w:t>), The</w:t>
      </w:r>
      <w:r w:rsidR="003A1917">
        <w:rPr>
          <w:kern w:val="0"/>
        </w:rPr>
        <w:t xml:space="preserve"> </w:t>
      </w:r>
      <w:r>
        <w:rPr>
          <w:kern w:val="0"/>
        </w:rPr>
        <w:t>impact factor game:</w:t>
      </w:r>
      <w:r w:rsidR="003A1917">
        <w:rPr>
          <w:kern w:val="0"/>
        </w:rPr>
        <w:t xml:space="preserve"> the </w:t>
      </w:r>
      <w:r>
        <w:rPr>
          <w:kern w:val="0"/>
        </w:rPr>
        <w:t>rising impact factor</w:t>
      </w:r>
      <w:r w:rsidR="00427468">
        <w:rPr>
          <w:kern w:val="0"/>
        </w:rPr>
        <w:t xml:space="preserve"> of </w:t>
      </w:r>
      <w:r w:rsidR="003A1917">
        <w:rPr>
          <w:kern w:val="0"/>
        </w:rPr>
        <w:t xml:space="preserve">the </w:t>
      </w:r>
      <w:r w:rsidRPr="0014649B">
        <w:rPr>
          <w:i/>
          <w:kern w:val="0"/>
        </w:rPr>
        <w:t>British Journal</w:t>
      </w:r>
      <w:r w:rsidR="00427468">
        <w:rPr>
          <w:i/>
          <w:kern w:val="0"/>
        </w:rPr>
        <w:t xml:space="preserve"> of </w:t>
      </w:r>
      <w:r w:rsidRPr="0014649B">
        <w:rPr>
          <w:i/>
          <w:kern w:val="0"/>
        </w:rPr>
        <w:t>Radiology</w:t>
      </w:r>
      <w:r>
        <w:rPr>
          <w:kern w:val="0"/>
        </w:rPr>
        <w:t xml:space="preserve"> - </w:t>
      </w:r>
      <w:r>
        <w:rPr>
          <w:rFonts w:hint="eastAsia"/>
          <w:kern w:val="0"/>
        </w:rPr>
        <w:t>a</w:t>
      </w:r>
      <w:r>
        <w:rPr>
          <w:kern w:val="0"/>
        </w:rPr>
        <w:t xml:space="preserve"> success story? </w:t>
      </w:r>
      <w:r w:rsidRPr="00F07F84">
        <w:rPr>
          <w:i/>
          <w:iCs/>
          <w:kern w:val="0"/>
        </w:rPr>
        <w:t>British Journal</w:t>
      </w:r>
      <w:r w:rsidR="00427468">
        <w:rPr>
          <w:i/>
          <w:iCs/>
          <w:kern w:val="0"/>
        </w:rPr>
        <w:t xml:space="preserve"> of </w:t>
      </w:r>
      <w:r w:rsidRPr="00F07F84">
        <w:rPr>
          <w:i/>
          <w:iCs/>
          <w:kern w:val="0"/>
        </w:rPr>
        <w:t>Radiology</w:t>
      </w:r>
      <w:r>
        <w:rPr>
          <w:kern w:val="0"/>
        </w:rPr>
        <w:t xml:space="preserve">, </w:t>
      </w:r>
      <w:r>
        <w:rPr>
          <w:b/>
          <w:bCs/>
          <w:kern w:val="0"/>
        </w:rPr>
        <w:t>83</w:t>
      </w:r>
      <w:r>
        <w:rPr>
          <w:kern w:val="0"/>
        </w:rPr>
        <w:t xml:space="preserve"> (986), 93-97</w:t>
      </w:r>
      <w:r>
        <w:rPr>
          <w:rFonts w:hint="eastAsia"/>
          <w:kern w:val="0"/>
        </w:rPr>
        <w:t>.</w:t>
      </w:r>
    </w:p>
    <w:p w:rsidR="00F07F84" w:rsidRDefault="00F07F84" w:rsidP="00F07F84">
      <w:pPr>
        <w:pStyle w:val="a3"/>
        <w:rPr>
          <w:kern w:val="0"/>
        </w:rPr>
      </w:pPr>
      <w:r>
        <w:rPr>
          <w:rFonts w:hint="eastAsia"/>
          <w:kern w:val="0"/>
        </w:rPr>
        <w:t xml:space="preserve">Full Text: </w:t>
      </w:r>
      <w:hyperlink r:id="rId1936" w:history="1">
        <w:r w:rsidRPr="00F07F84">
          <w:rPr>
            <w:rStyle w:val="a5"/>
            <w:kern w:val="0"/>
          </w:rPr>
          <w:t>2010\Bri J Rad83, 93.pdf</w:t>
        </w:r>
      </w:hyperlink>
    </w:p>
    <w:p w:rsidR="00F07F84" w:rsidRDefault="00F07F84" w:rsidP="00F07F84">
      <w:pPr>
        <w:pStyle w:val="a3"/>
        <w:rPr>
          <w:kern w:val="0"/>
        </w:rPr>
      </w:pPr>
      <w:r>
        <w:rPr>
          <w:kern w:val="0"/>
        </w:rPr>
        <w:t>Keywords: Impact, Impact Factor, Science-Citation-Index</w:t>
      </w:r>
    </w:p>
    <w:p w:rsidR="000E5770" w:rsidRDefault="000E5770" w:rsidP="00FC59E1">
      <w:pPr>
        <w:pStyle w:val="a3"/>
        <w:rPr>
          <w:kern w:val="0"/>
        </w:rPr>
      </w:pPr>
      <w:r>
        <w:rPr>
          <w:rFonts w:hint="eastAsia"/>
          <w:kern w:val="0"/>
        </w:rPr>
        <w:t>Notes: CCountry</w:t>
      </w:r>
    </w:p>
    <w:p w:rsidR="00FC59E1" w:rsidRDefault="00FC59E1" w:rsidP="00FC59E1">
      <w:pPr>
        <w:pStyle w:val="a3"/>
        <w:rPr>
          <w:kern w:val="0"/>
        </w:rPr>
      </w:pPr>
      <w:r>
        <w:rPr>
          <w:rFonts w:hint="eastAsia"/>
          <w:kern w:val="0"/>
        </w:rPr>
        <w:t xml:space="preserve">? </w:t>
      </w:r>
      <w:r>
        <w:rPr>
          <w:kern w:val="0"/>
        </w:rPr>
        <w:t>Yoong, P., Johnson, C.A., Rehman, J.M.</w:t>
      </w:r>
      <w:r w:rsidR="005853A9">
        <w:rPr>
          <w:kern w:val="0"/>
        </w:rPr>
        <w:t xml:space="preserve"> and </w:t>
      </w:r>
      <w:r>
        <w:rPr>
          <w:kern w:val="0"/>
        </w:rPr>
        <w:t xml:space="preserve">Toms, A.P. (2012), Regional inequality in radiology research output in the UK: A 5-year bibliometric study. </w:t>
      </w:r>
      <w:r>
        <w:rPr>
          <w:i/>
          <w:iCs/>
          <w:kern w:val="0"/>
        </w:rPr>
        <w:t>British Journal</w:t>
      </w:r>
      <w:r w:rsidR="00427468">
        <w:rPr>
          <w:i/>
          <w:iCs/>
          <w:kern w:val="0"/>
        </w:rPr>
        <w:t xml:space="preserve"> of </w:t>
      </w:r>
      <w:r>
        <w:rPr>
          <w:i/>
          <w:iCs/>
          <w:kern w:val="0"/>
        </w:rPr>
        <w:t>Radiology</w:t>
      </w:r>
      <w:r>
        <w:rPr>
          <w:kern w:val="0"/>
        </w:rPr>
        <w:t xml:space="preserve">, </w:t>
      </w:r>
      <w:r>
        <w:rPr>
          <w:b/>
          <w:bCs/>
          <w:kern w:val="0"/>
        </w:rPr>
        <w:t>85</w:t>
      </w:r>
      <w:r>
        <w:rPr>
          <w:kern w:val="0"/>
        </w:rPr>
        <w:t xml:space="preserve"> (1019), 1513-1516.</w:t>
      </w:r>
    </w:p>
    <w:p w:rsidR="00FC59E1" w:rsidRDefault="00FC59E1" w:rsidP="00FC59E1">
      <w:pPr>
        <w:pStyle w:val="a3"/>
        <w:rPr>
          <w:kern w:val="0"/>
        </w:rPr>
      </w:pPr>
      <w:r>
        <w:rPr>
          <w:rFonts w:hint="eastAsia"/>
          <w:kern w:val="0"/>
        </w:rPr>
        <w:t xml:space="preserve">Full Text: </w:t>
      </w:r>
      <w:hyperlink r:id="rId1937" w:history="1">
        <w:r w:rsidRPr="00351E35">
          <w:rPr>
            <w:rStyle w:val="a5"/>
            <w:kern w:val="0"/>
          </w:rPr>
          <w:t>2012\Bri J Rad85, 1513.pdf</w:t>
        </w:r>
      </w:hyperlink>
    </w:p>
    <w:p w:rsidR="00FC59E1" w:rsidRDefault="00FC59E1" w:rsidP="00FC59E1">
      <w:pPr>
        <w:pStyle w:val="a3"/>
        <w:rPr>
          <w:kern w:val="0"/>
        </w:rPr>
      </w:pPr>
      <w:r>
        <w:rPr>
          <w:kern w:val="0"/>
        </w:rPr>
        <w:t>Abstract: The objective</w:t>
      </w:r>
      <w:r w:rsidR="00427468">
        <w:rPr>
          <w:kern w:val="0"/>
        </w:rPr>
        <w:t xml:space="preserve"> of </w:t>
      </w:r>
      <w:r>
        <w:rPr>
          <w:kern w:val="0"/>
        </w:rPr>
        <w:t>this study was to describe the patterns</w:t>
      </w:r>
      <w:r w:rsidR="00427468">
        <w:rPr>
          <w:kern w:val="0"/>
        </w:rPr>
        <w:t xml:space="preserve"> of </w:t>
      </w:r>
      <w:r>
        <w:rPr>
          <w:kern w:val="0"/>
        </w:rPr>
        <w:t>peer-reviewed general radiology publication rates with reference to deaneries in the UK. This was a retrospective bibliometric analysis</w:t>
      </w:r>
      <w:r w:rsidR="00427468">
        <w:rPr>
          <w:kern w:val="0"/>
        </w:rPr>
        <w:t xml:space="preserve"> of </w:t>
      </w:r>
      <w:r>
        <w:rPr>
          <w:kern w:val="0"/>
        </w:rPr>
        <w:t>publications in the six highest cited general radiology journals. Publications were identified using a manual search in PubMed between 2005</w:t>
      </w:r>
      <w:r w:rsidR="005853A9">
        <w:rPr>
          <w:kern w:val="0"/>
        </w:rPr>
        <w:t xml:space="preserve"> and </w:t>
      </w:r>
      <w:r>
        <w:rPr>
          <w:kern w:val="0"/>
        </w:rPr>
        <w:t>2009. Publications originating from UK radiology departments were identified</w:t>
      </w:r>
      <w:r w:rsidR="005853A9">
        <w:rPr>
          <w:kern w:val="0"/>
        </w:rPr>
        <w:t xml:space="preserve"> and </w:t>
      </w:r>
      <w:r>
        <w:rPr>
          <w:kern w:val="0"/>
        </w:rPr>
        <w:t>subcategorised into primary institution</w:t>
      </w:r>
      <w:r w:rsidR="00427468">
        <w:rPr>
          <w:kern w:val="0"/>
        </w:rPr>
        <w:t xml:space="preserve"> of </w:t>
      </w:r>
      <w:r>
        <w:rPr>
          <w:kern w:val="0"/>
        </w:rPr>
        <w:t>origin, deanery</w:t>
      </w:r>
      <w:r w:rsidR="005853A9">
        <w:rPr>
          <w:kern w:val="0"/>
        </w:rPr>
        <w:t xml:space="preserve"> and </w:t>
      </w:r>
      <w:r>
        <w:rPr>
          <w:kern w:val="0"/>
        </w:rPr>
        <w:t>publication type</w:t>
      </w:r>
      <w:r w:rsidR="00A37C1D">
        <w:rPr>
          <w:kern w:val="0"/>
        </w:rPr>
        <w:t>. The</w:t>
      </w:r>
      <w:r>
        <w:rPr>
          <w:kern w:val="0"/>
        </w:rPr>
        <w:t xml:space="preserve"> total number</w:t>
      </w:r>
      <w:r w:rsidR="00427468">
        <w:rPr>
          <w:kern w:val="0"/>
        </w:rPr>
        <w:t xml:space="preserve"> of </w:t>
      </w:r>
      <w:r>
        <w:rPr>
          <w:kern w:val="0"/>
        </w:rPr>
        <w:t>radiology trainees in each deanery was obtained from the General Medical Council. 913 publications were included in the study. Original papers constituted 48.7% (n=445), review articles 30.3% (n=277)</w:t>
      </w:r>
      <w:r w:rsidR="005853A9">
        <w:rPr>
          <w:kern w:val="0"/>
        </w:rPr>
        <w:t xml:space="preserve"> and </w:t>
      </w:r>
      <w:r>
        <w:rPr>
          <w:kern w:val="0"/>
        </w:rPr>
        <w:t>case reports 17.4% (n=159)</w:t>
      </w:r>
      <w:r w:rsidR="00A37C1D">
        <w:rPr>
          <w:kern w:val="0"/>
        </w:rPr>
        <w:t>. The</w:t>
      </w:r>
      <w:r>
        <w:rPr>
          <w:kern w:val="0"/>
        </w:rPr>
        <w:t xml:space="preserve"> median number</w:t>
      </w:r>
      <w:r w:rsidR="00427468">
        <w:rPr>
          <w:kern w:val="0"/>
        </w:rPr>
        <w:t xml:space="preserve"> of </w:t>
      </w:r>
      <w:r>
        <w:rPr>
          <w:kern w:val="0"/>
        </w:rPr>
        <w:t>publications in each deanery was 27 [interquartile range (IQR) 11-60],</w:t>
      </w:r>
      <w:r w:rsidR="005853A9">
        <w:rPr>
          <w:kern w:val="0"/>
        </w:rPr>
        <w:t xml:space="preserve"> and </w:t>
      </w:r>
      <w:r>
        <w:rPr>
          <w:kern w:val="0"/>
        </w:rPr>
        <w:t>the median number</w:t>
      </w:r>
      <w:r w:rsidR="00427468">
        <w:rPr>
          <w:kern w:val="0"/>
        </w:rPr>
        <w:t xml:space="preserve"> of </w:t>
      </w:r>
      <w:r>
        <w:rPr>
          <w:kern w:val="0"/>
        </w:rPr>
        <w:t>publications per trainee was 0.49 (IQR 0.31-0.88)</w:t>
      </w:r>
      <w:r w:rsidR="00A37C1D">
        <w:rPr>
          <w:kern w:val="0"/>
        </w:rPr>
        <w:t>. The</w:t>
      </w:r>
      <w:r>
        <w:rPr>
          <w:kern w:val="0"/>
        </w:rPr>
        <w:t xml:space="preserve"> largest proportion</w:t>
      </w:r>
      <w:r w:rsidR="00427468">
        <w:rPr>
          <w:kern w:val="0"/>
        </w:rPr>
        <w:t xml:space="preserve"> of </w:t>
      </w:r>
      <w:r>
        <w:rPr>
          <w:kern w:val="0"/>
        </w:rPr>
        <w:t>publications came from the London deanery (n=354, 38.8%), followed by Eastern 86 (9.4%), Oxford</w:t>
      </w:r>
      <w:r w:rsidR="005853A9">
        <w:rPr>
          <w:kern w:val="0"/>
        </w:rPr>
        <w:t xml:space="preserve"> and </w:t>
      </w:r>
      <w:r>
        <w:rPr>
          <w:kern w:val="0"/>
        </w:rPr>
        <w:t>Yorkshire 70 (7.7% each). Relative to the number</w:t>
      </w:r>
      <w:r w:rsidR="00427468">
        <w:rPr>
          <w:kern w:val="0"/>
        </w:rPr>
        <w:t xml:space="preserve"> of </w:t>
      </w:r>
      <w:r>
        <w:rPr>
          <w:kern w:val="0"/>
        </w:rPr>
        <w:t>trainees within each deanery, Oxford had the highest number</w:t>
      </w:r>
      <w:r w:rsidR="00427468">
        <w:rPr>
          <w:kern w:val="0"/>
        </w:rPr>
        <w:t xml:space="preserve"> of </w:t>
      </w:r>
      <w:r>
        <w:rPr>
          <w:kern w:val="0"/>
        </w:rPr>
        <w:t xml:space="preserve">publications per trainee (1.78), followed by East </w:t>
      </w:r>
      <w:r>
        <w:rPr>
          <w:kern w:val="0"/>
        </w:rPr>
        <w:lastRenderedPageBreak/>
        <w:t>Midlands (1.5), London (1.25)</w:t>
      </w:r>
      <w:r w:rsidR="005853A9">
        <w:rPr>
          <w:kern w:val="0"/>
        </w:rPr>
        <w:t xml:space="preserve"> and </w:t>
      </w:r>
      <w:r>
        <w:rPr>
          <w:kern w:val="0"/>
        </w:rPr>
        <w:t>Eastern (0.99)</w:t>
      </w:r>
      <w:r w:rsidR="00A37C1D">
        <w:rPr>
          <w:kern w:val="0"/>
        </w:rPr>
        <w:t>. The</w:t>
      </w:r>
      <w:r>
        <w:rPr>
          <w:kern w:val="0"/>
        </w:rPr>
        <w:t>re was a significantly higher publication rate for those deaneries with academic radiologists (p&lt;0.0001)</w:t>
      </w:r>
      <w:r w:rsidR="00A37C1D">
        <w:rPr>
          <w:kern w:val="0"/>
        </w:rPr>
        <w:t>. The</w:t>
      </w:r>
      <w:r>
        <w:rPr>
          <w:kern w:val="0"/>
        </w:rPr>
        <w:t>re is a marked difference in the volume</w:t>
      </w:r>
      <w:r w:rsidR="00427468">
        <w:rPr>
          <w:kern w:val="0"/>
        </w:rPr>
        <w:t xml:space="preserve"> of </w:t>
      </w:r>
      <w:r>
        <w:rPr>
          <w:kern w:val="0"/>
        </w:rPr>
        <w:t>published work in the general radiology literature among UK deaneries, even accounting for differences in the number</w:t>
      </w:r>
      <w:r w:rsidR="00427468">
        <w:rPr>
          <w:kern w:val="0"/>
        </w:rPr>
        <w:t xml:space="preserve"> of </w:t>
      </w:r>
      <w:r>
        <w:rPr>
          <w:kern w:val="0"/>
        </w:rPr>
        <w:t>trainees. This probably means that opportunities for training in research are similarly non-uniform.</w:t>
      </w:r>
    </w:p>
    <w:p w:rsidR="00FC59E1" w:rsidRDefault="00FC59E1" w:rsidP="00FC59E1">
      <w:pPr>
        <w:pStyle w:val="a3"/>
        <w:rPr>
          <w:kern w:val="0"/>
        </w:rPr>
      </w:pPr>
      <w:r>
        <w:rPr>
          <w:kern w:val="0"/>
        </w:rPr>
        <w:t>Keywords: Analysis, Bibliometric, Bibliometric Analysis, Bibliometric Study, Case Reports, General, General Medical Council, Inequality, Journals, Literature, Medical, Nov, Origin, Papers, Peer-Reviewed, Primary, Publication, Publication Rate, Publications, Pubmed, Radiology, Rates, Reference, Research, Research Output, Review, Training</w:t>
      </w:r>
      <w:r w:rsidR="00D5664A">
        <w:rPr>
          <w:kern w:val="0"/>
        </w:rPr>
        <w:t>, UK,</w:t>
      </w:r>
      <w:r>
        <w:rPr>
          <w:kern w:val="0"/>
        </w:rPr>
        <w:t xml:space="preserve"> Volume, Work</w:t>
      </w:r>
    </w:p>
    <w:p w:rsidR="001569AF" w:rsidRDefault="001569AF" w:rsidP="001569AF">
      <w:pPr>
        <w:pStyle w:val="a3"/>
        <w:rPr>
          <w:kern w:val="0"/>
        </w:rPr>
      </w:pPr>
      <w:r>
        <w:rPr>
          <w:rFonts w:hint="eastAsia"/>
          <w:kern w:val="0"/>
        </w:rPr>
        <w:t xml:space="preserve">? </w:t>
      </w:r>
      <w:r>
        <w:rPr>
          <w:kern w:val="0"/>
        </w:rPr>
        <w:t xml:space="preserve">Al-Okshi, A., Lindh, C., Sale, H., Gunnarsson, M. and Rohlin, M. (2015), Effective dose of cone beam CT (CBCT) of the facial skeleton: A systematic review. </w:t>
      </w:r>
      <w:r>
        <w:rPr>
          <w:i/>
          <w:iCs/>
          <w:kern w:val="0"/>
        </w:rPr>
        <w:t>British Journal of Radiology</w:t>
      </w:r>
      <w:r>
        <w:rPr>
          <w:kern w:val="0"/>
        </w:rPr>
        <w:t xml:space="preserve">, </w:t>
      </w:r>
      <w:r>
        <w:rPr>
          <w:b/>
          <w:bCs/>
          <w:kern w:val="0"/>
        </w:rPr>
        <w:t>88</w:t>
      </w:r>
      <w:r>
        <w:rPr>
          <w:kern w:val="0"/>
        </w:rPr>
        <w:t xml:space="preserve"> (1045</w:t>
      </w:r>
      <w:r>
        <w:rPr>
          <w:rFonts w:hint="eastAsia"/>
          <w:kern w:val="0"/>
        </w:rPr>
        <w:t xml:space="preserve">), </w:t>
      </w:r>
      <w:r w:rsidRPr="00947191">
        <w:rPr>
          <w:kern w:val="0"/>
        </w:rPr>
        <w:t>Article Number: 20140658</w:t>
      </w:r>
      <w:r>
        <w:rPr>
          <w:kern w:val="0"/>
        </w:rPr>
        <w:t>.</w:t>
      </w:r>
    </w:p>
    <w:p w:rsidR="001569AF" w:rsidRDefault="001569AF" w:rsidP="001569AF">
      <w:pPr>
        <w:pStyle w:val="a3"/>
        <w:rPr>
          <w:kern w:val="0"/>
        </w:rPr>
      </w:pPr>
      <w:r>
        <w:rPr>
          <w:rFonts w:hint="eastAsia"/>
          <w:kern w:val="0"/>
        </w:rPr>
        <w:t xml:space="preserve">Full Text: </w:t>
      </w:r>
      <w:r w:rsidRPr="00947191">
        <w:rPr>
          <w:kern w:val="0"/>
        </w:rPr>
        <w:t>201</w:t>
      </w:r>
      <w:r>
        <w:rPr>
          <w:rFonts w:hint="eastAsia"/>
          <w:kern w:val="0"/>
        </w:rPr>
        <w:t>5</w:t>
      </w:r>
      <w:r w:rsidRPr="00947191">
        <w:rPr>
          <w:kern w:val="0"/>
        </w:rPr>
        <w:t>\Bri J Rad8</w:t>
      </w:r>
      <w:r>
        <w:rPr>
          <w:rFonts w:hint="eastAsia"/>
          <w:kern w:val="0"/>
        </w:rPr>
        <w:t>8</w:t>
      </w:r>
      <w:r w:rsidRPr="00947191">
        <w:rPr>
          <w:kern w:val="0"/>
        </w:rPr>
        <w:t>, 20140658.pdf</w:t>
      </w:r>
    </w:p>
    <w:p w:rsidR="001569AF" w:rsidRDefault="001569AF" w:rsidP="001569AF">
      <w:pPr>
        <w:pStyle w:val="a3"/>
        <w:rPr>
          <w:kern w:val="0"/>
        </w:rPr>
      </w:pPr>
      <w:r>
        <w:rPr>
          <w:kern w:val="0"/>
        </w:rPr>
        <w:t>Abstract: Objective: To estimate effective dose of cone beam CT (CBCT) of the facial skeleton with focus on measurement methods and scanning protocols. Methods: A systematic review, which adhered to the preferred reporting items for systematic reviews (PRISMA) Statement, of the literature up to April 2014 was conducted. Data sources included MEDLINE (R), The Cochrane Library and Web of Science. A model was developed to underpin data extraction from 38 included studies. Results: Technical specifications of the CBCT units were insufficiently described. Heterogeneity in measurement methods and scanning protocols between studies made comparisons of effective doses of different CBCT units and scanning protocols difficult. Few studies related doses to image quality. Reported effective dose varied across studies, ranging between 9.7 and 197.0 mu Sv for field of views (FOVs) with height &lt;= 5 cm, between 3.9 and 674.0 mu Sv for FOVs of heights 5.1-10.0 cm and between 8.8 and 1073.0 mu Sv for FOVs &gt;10 cm. There was an inconsistency regarding reported effective dose of studies of the same CBCT unit with the same FOV dimensions. Conclusion: The review reveals a need for studies on radiation dosages related to image quality. Reporting quality of future studies has to be improved to facilitate comparison of effective doses obtained from examinations with different CBCT units and scanning protocols. A model with minimum data set on important parameters based on this observation is proposed. Advances in knowledge: Data important when estimating effective dose were insufficiently reported in most studies. A model with minimum data based on this observation is proposed. Few studies related effective dose to image quality.</w:t>
      </w:r>
    </w:p>
    <w:p w:rsidR="001569AF" w:rsidRDefault="001569AF" w:rsidP="001569AF">
      <w:pPr>
        <w:pStyle w:val="a3"/>
        <w:rPr>
          <w:kern w:val="0"/>
        </w:rPr>
      </w:pPr>
      <w:r>
        <w:rPr>
          <w:kern w:val="0"/>
        </w:rPr>
        <w:t xml:space="preserve">Keywords: 3D Accuitomo, Comparative Dosimetry, Comparison, Cone Beam CT, CT, Data, Data Set, Devices, Different Fields, Extraction, Field, From, I-Cat, Image Quality, Knowledge, Literature, Maxillofacial Radiology, Measurement, Medline, </w:t>
      </w:r>
      <w:r>
        <w:rPr>
          <w:kern w:val="0"/>
        </w:rPr>
        <w:lastRenderedPageBreak/>
        <w:t>Methods, Minimum, Model, Multislice Computed-Tomography, Observation, Protocols, Quality, Quality Of, R, Radiation, Reduction, Reporting, Results, Review, Reviews, Science, Sources, Systematic, Systematic Review, Systematic Reviews, View, Web, Web Of Science</w:t>
      </w:r>
    </w:p>
    <w:p w:rsidR="003474F2" w:rsidRPr="001A3D2B" w:rsidRDefault="003474F2" w:rsidP="003474F2">
      <w:pPr>
        <w:pStyle w:val="1"/>
      </w:pPr>
      <w:r w:rsidRPr="001A3D2B">
        <w:br w:type="page"/>
      </w:r>
      <w:bookmarkStart w:id="943" w:name="_Toc420814834"/>
      <w:r w:rsidRPr="001A3D2B">
        <w:lastRenderedPageBreak/>
        <w:t>Title: British Journal</w:t>
      </w:r>
      <w:r w:rsidR="00427468">
        <w:t xml:space="preserve"> of </w:t>
      </w:r>
      <w:r w:rsidRPr="001A3D2B">
        <w:t>Rheumatology</w:t>
      </w:r>
      <w:bookmarkEnd w:id="943"/>
    </w:p>
    <w:p w:rsidR="003474F2" w:rsidRPr="001A3D2B" w:rsidRDefault="003474F2" w:rsidP="003474F2">
      <w:pPr>
        <w:pStyle w:val="12"/>
      </w:pPr>
      <w:r w:rsidRPr="001A3D2B">
        <w:t>Full Journal Title: British Journal</w:t>
      </w:r>
      <w:r w:rsidR="00427468">
        <w:t xml:space="preserve"> of </w:t>
      </w:r>
      <w:r w:rsidRPr="001A3D2B">
        <w:t>Rheumatology</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Ruiz, M.T., </w:t>
      </w:r>
      <w:r w:rsidR="00987479">
        <w:rPr>
          <w:kern w:val="0"/>
          <w:szCs w:val="24"/>
        </w:rPr>
        <w:t>Álvarez-Dardet</w:t>
      </w:r>
      <w:r w:rsidRPr="001A3D2B">
        <w:t>, C., Vela, P.</w:t>
      </w:r>
      <w:r w:rsidR="005853A9">
        <w:t xml:space="preserve"> and </w:t>
      </w:r>
      <w:r w:rsidRPr="001A3D2B">
        <w:t>Pascual, E. (1991), Study designs</w:t>
      </w:r>
      <w:r w:rsidR="005853A9">
        <w:t xml:space="preserve"> and </w:t>
      </w:r>
      <w:r w:rsidRPr="001A3D2B">
        <w:t xml:space="preserve">statistical methods in rheumatological journals an international comparison. </w:t>
      </w:r>
      <w:r w:rsidRPr="001A3D2B">
        <w:rPr>
          <w:i/>
          <w:iCs/>
        </w:rPr>
        <w:t>British Journal</w:t>
      </w:r>
      <w:r w:rsidR="00427468">
        <w:rPr>
          <w:i/>
          <w:iCs/>
        </w:rPr>
        <w:t xml:space="preserve"> of </w:t>
      </w:r>
      <w:r w:rsidRPr="001A3D2B">
        <w:rPr>
          <w:i/>
          <w:iCs/>
        </w:rPr>
        <w:t>Rheumatology</w:t>
      </w:r>
      <w:r w:rsidRPr="001A3D2B">
        <w:t xml:space="preserve">, </w:t>
      </w:r>
      <w:r w:rsidRPr="001A3D2B">
        <w:rPr>
          <w:b/>
          <w:bCs/>
        </w:rPr>
        <w:t>30</w:t>
      </w:r>
      <w:r w:rsidRPr="001A3D2B">
        <w:t xml:space="preserve"> (5), 352-355.</w:t>
      </w:r>
    </w:p>
    <w:p w:rsidR="003474F2" w:rsidRPr="001A3D2B" w:rsidRDefault="003474F2" w:rsidP="003474F2">
      <w:pPr>
        <w:pStyle w:val="a3"/>
      </w:pPr>
      <w:r w:rsidRPr="001A3D2B">
        <w:t>Abstract: In order to determine</w:t>
      </w:r>
      <w:r w:rsidR="003A1917">
        <w:t xml:space="preserve"> the </w:t>
      </w:r>
      <w:r w:rsidRPr="001A3D2B">
        <w:t>characteristics</w:t>
      </w:r>
      <w:r w:rsidR="00427468">
        <w:t xml:space="preserve"> of </w:t>
      </w:r>
      <w:r w:rsidRPr="001A3D2B">
        <w:t>papers published in</w:t>
      </w:r>
      <w:r w:rsidR="003A1917">
        <w:t xml:space="preserve"> the </w:t>
      </w:r>
      <w:r w:rsidRPr="001A3D2B">
        <w:t>rheumatological literature, we have conducted a survey</w:t>
      </w:r>
      <w:r w:rsidR="00427468">
        <w:t xml:space="preserve"> of </w:t>
      </w:r>
      <w:r w:rsidR="003A1917">
        <w:t xml:space="preserve">the </w:t>
      </w:r>
      <w:r w:rsidRPr="001A3D2B">
        <w:t>seven leading rheumatological journals published in 1987; 1107 original papers have been reviewed</w:t>
      </w:r>
      <w:r w:rsidR="005853A9">
        <w:t xml:space="preserve"> and </w:t>
      </w:r>
      <w:r w:rsidRPr="001A3D2B">
        <w:t>classified according to study design, statistical techniques,</w:t>
      </w:r>
      <w:r w:rsidR="005853A9">
        <w:t xml:space="preserve"> and </w:t>
      </w:r>
      <w:r w:rsidRPr="001A3D2B">
        <w:t>country</w:t>
      </w:r>
      <w:r w:rsidR="00427468">
        <w:t xml:space="preserve"> of </w:t>
      </w:r>
      <w:r w:rsidRPr="001A3D2B">
        <w:t>origin. Almost half</w:t>
      </w:r>
      <w:r w:rsidR="00427468">
        <w:t xml:space="preserve"> of </w:t>
      </w:r>
      <w:r w:rsidR="003A1917">
        <w:t xml:space="preserve">the </w:t>
      </w:r>
      <w:r w:rsidRPr="001A3D2B">
        <w:t>published papers were clinical descriptive studies without inferential power; both authors</w:t>
      </w:r>
      <w:r w:rsidR="005853A9">
        <w:t xml:space="preserve"> and </w:t>
      </w:r>
      <w:r w:rsidRPr="001A3D2B">
        <w:t>editors should reflect whether</w:t>
      </w:r>
      <w:r w:rsidR="003A1917">
        <w:t xml:space="preserve"> the </w:t>
      </w:r>
      <w:r w:rsidRPr="001A3D2B">
        <w:t>impact</w:t>
      </w:r>
      <w:r w:rsidR="00427468">
        <w:t xml:space="preserve"> of </w:t>
      </w:r>
      <w:r w:rsidRPr="001A3D2B">
        <w:t>these studies on</w:t>
      </w:r>
      <w:r w:rsidR="003A1917">
        <w:t xml:space="preserve"> the </w:t>
      </w:r>
      <w:r w:rsidRPr="001A3D2B">
        <w:t>knowledge</w:t>
      </w:r>
      <w:r w:rsidR="00427468">
        <w:t xml:space="preserve"> of </w:t>
      </w:r>
      <w:r w:rsidRPr="001A3D2B">
        <w:t>readers justifies their frequency. Analytical research was represented mainly by randomized clinical trials (15.6%),</w:t>
      </w:r>
      <w:r w:rsidR="005853A9">
        <w:t xml:space="preserve"> and </w:t>
      </w:r>
      <w:r w:rsidRPr="001A3D2B">
        <w:t>case control studies (14.2%). Cohort studies represented 5.4%</w:t>
      </w:r>
      <w:r w:rsidR="005853A9">
        <w:t xml:space="preserve"> and </w:t>
      </w:r>
      <w:r w:rsidRPr="001A3D2B">
        <w:t>this seems a low figure in a speciality in need</w:t>
      </w:r>
      <w:r w:rsidR="00427468">
        <w:t xml:space="preserve"> of </w:t>
      </w:r>
      <w:r w:rsidRPr="001A3D2B">
        <w:t>more aetiological research. Almost half</w:t>
      </w:r>
      <w:r w:rsidR="00427468">
        <w:t xml:space="preserve"> of </w:t>
      </w:r>
      <w:r w:rsidR="003A1917">
        <w:t xml:space="preserve">the </w:t>
      </w:r>
      <w:r w:rsidRPr="001A3D2B">
        <w:t>papers originated from</w:t>
      </w:r>
      <w:r w:rsidR="003A1917">
        <w:t xml:space="preserve"> the </w:t>
      </w:r>
      <w:r w:rsidR="00D5664A">
        <w:t>USA</w:t>
      </w:r>
      <w:r w:rsidRPr="001A3D2B">
        <w:t xml:space="preserve"> or</w:t>
      </w:r>
      <w:r w:rsidR="003A1917">
        <w:t xml:space="preserve"> the </w:t>
      </w:r>
      <w:r w:rsidRPr="001A3D2B">
        <w:t>UK; journals edited in these countries published papers mainly from</w:t>
      </w:r>
      <w:r w:rsidR="003A1917">
        <w:t xml:space="preserve"> the </w:t>
      </w:r>
      <w:r w:rsidRPr="001A3D2B">
        <w:t>same country. English language journals from other countries published a larger percentage</w:t>
      </w:r>
      <w:r w:rsidR="00427468">
        <w:t xml:space="preserve"> of </w:t>
      </w:r>
      <w:r w:rsidRPr="001A3D2B">
        <w:t>papers from other countries, including many non-English speaking nations. Bibliometric studies are desirable to evaluate trends in publication.</w:t>
      </w:r>
    </w:p>
    <w:p w:rsidR="003474F2" w:rsidRPr="001A3D2B" w:rsidRDefault="003474F2" w:rsidP="003474F2">
      <w:pPr>
        <w:pStyle w:val="1"/>
      </w:pPr>
      <w:r w:rsidRPr="001A3D2B">
        <w:br w:type="page"/>
      </w:r>
      <w:bookmarkStart w:id="944" w:name="_Toc420814835"/>
      <w:r w:rsidRPr="001A3D2B">
        <w:lastRenderedPageBreak/>
        <w:t>Title: British Journal</w:t>
      </w:r>
      <w:r w:rsidR="00427468">
        <w:t xml:space="preserve"> of </w:t>
      </w:r>
      <w:r w:rsidRPr="001A3D2B">
        <w:t>Sports Medicine</w:t>
      </w:r>
      <w:bookmarkEnd w:id="944"/>
    </w:p>
    <w:p w:rsidR="003474F2" w:rsidRPr="001A3D2B" w:rsidRDefault="003474F2" w:rsidP="003474F2">
      <w:pPr>
        <w:pStyle w:val="12"/>
      </w:pPr>
      <w:r w:rsidRPr="001A3D2B">
        <w:t xml:space="preserve">Full Journal Title: </w:t>
      </w:r>
      <w:hyperlink r:id="rId1938" w:history="1">
        <w:r w:rsidRPr="001A3D2B">
          <w:rPr>
            <w:rStyle w:val="a5"/>
            <w:iCs/>
          </w:rPr>
          <w:t>British Journal</w:t>
        </w:r>
        <w:r w:rsidR="00427468">
          <w:rPr>
            <w:rStyle w:val="a5"/>
            <w:iCs/>
          </w:rPr>
          <w:t xml:space="preserve"> of </w:t>
        </w:r>
        <w:r w:rsidRPr="001A3D2B">
          <w:rPr>
            <w:rStyle w:val="a5"/>
            <w:iCs/>
          </w:rPr>
          <w:t>Sports Medicine</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0306-3674</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255950" w:rsidRDefault="00255950" w:rsidP="00255950">
      <w:pPr>
        <w:pStyle w:val="a3"/>
        <w:rPr>
          <w:kern w:val="0"/>
        </w:rPr>
      </w:pPr>
      <w:r>
        <w:rPr>
          <w:rFonts w:hint="eastAsia"/>
          <w:kern w:val="0"/>
        </w:rPr>
        <w:t xml:space="preserve">? </w:t>
      </w:r>
      <w:r>
        <w:rPr>
          <w:kern w:val="0"/>
        </w:rPr>
        <w:t>Barnes, A., Wheat, J.</w:t>
      </w:r>
      <w:r w:rsidR="005853A9">
        <w:rPr>
          <w:kern w:val="0"/>
        </w:rPr>
        <w:t xml:space="preserve"> and </w:t>
      </w:r>
      <w:r>
        <w:rPr>
          <w:kern w:val="0"/>
        </w:rPr>
        <w:t>Milner, C. (2008), Association between foot type</w:t>
      </w:r>
      <w:r w:rsidR="005853A9">
        <w:rPr>
          <w:kern w:val="0"/>
        </w:rPr>
        <w:t xml:space="preserve"> and </w:t>
      </w:r>
      <w:r>
        <w:rPr>
          <w:kern w:val="0"/>
        </w:rPr>
        <w:t xml:space="preserve">tibial stress injuries: A systematic review.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42</w:t>
      </w:r>
      <w:r>
        <w:rPr>
          <w:kern w:val="0"/>
        </w:rPr>
        <w:t xml:space="preserve"> (2), 93-98.</w:t>
      </w:r>
    </w:p>
    <w:p w:rsidR="001F290A" w:rsidRPr="003862C4" w:rsidRDefault="001F290A" w:rsidP="001F290A">
      <w:pPr>
        <w:pStyle w:val="a3"/>
      </w:pPr>
      <w:r>
        <w:rPr>
          <w:rFonts w:hint="eastAsia"/>
        </w:rPr>
        <w:t>Full Text:</w:t>
      </w:r>
      <w:r w:rsidRPr="003862C4">
        <w:rPr>
          <w:rFonts w:hint="eastAsia"/>
        </w:rPr>
        <w:t xml:space="preserve"> </w:t>
      </w:r>
      <w:hyperlink r:id="rId1939" w:history="1">
        <w:r w:rsidRPr="00010673">
          <w:rPr>
            <w:rStyle w:val="a5"/>
          </w:rPr>
          <w:t>2008\Bri J Spo Med42, 93.pdf</w:t>
        </w:r>
      </w:hyperlink>
    </w:p>
    <w:p w:rsidR="00255950" w:rsidRDefault="00255950" w:rsidP="00255950">
      <w:pPr>
        <w:pStyle w:val="a3"/>
        <w:rPr>
          <w:kern w:val="0"/>
        </w:rPr>
      </w:pPr>
      <w:r>
        <w:rPr>
          <w:kern w:val="0"/>
        </w:rPr>
        <w:t>Abstract: Objectives: To systematically review published articles investigating</w:t>
      </w:r>
      <w:r w:rsidR="003A1917">
        <w:rPr>
          <w:kern w:val="0"/>
        </w:rPr>
        <w:t xml:space="preserve"> the </w:t>
      </w:r>
      <w:r>
        <w:rPr>
          <w:kern w:val="0"/>
        </w:rPr>
        <w:t>association between structural foot characteristics</w:t>
      </w:r>
      <w:r w:rsidR="005853A9">
        <w:rPr>
          <w:kern w:val="0"/>
        </w:rPr>
        <w:t xml:space="preserve"> and </w:t>
      </w:r>
      <w:r>
        <w:rPr>
          <w:kern w:val="0"/>
        </w:rPr>
        <w:t>tibial stress injuries,</w:t>
      </w:r>
      <w:r w:rsidR="005853A9">
        <w:rPr>
          <w:kern w:val="0"/>
        </w:rPr>
        <w:t xml:space="preserve"> and </w:t>
      </w:r>
      <w:r>
        <w:rPr>
          <w:kern w:val="0"/>
        </w:rPr>
        <w:t>to suggest possible future avenues</w:t>
      </w:r>
      <w:r w:rsidR="00427468">
        <w:rPr>
          <w:kern w:val="0"/>
        </w:rPr>
        <w:t xml:space="preserve"> of </w:t>
      </w:r>
      <w:r>
        <w:rPr>
          <w:kern w:val="0"/>
        </w:rPr>
        <w:t>research in this area. Methods: Literature was identified, selected</w:t>
      </w:r>
      <w:r w:rsidR="005853A9">
        <w:rPr>
          <w:kern w:val="0"/>
        </w:rPr>
        <w:t xml:space="preserve"> and </w:t>
      </w:r>
      <w:r>
        <w:rPr>
          <w:kern w:val="0"/>
        </w:rPr>
        <w:t>appraised in accordance with</w:t>
      </w:r>
      <w:r w:rsidR="003A1917">
        <w:rPr>
          <w:kern w:val="0"/>
        </w:rPr>
        <w:t xml:space="preserve"> the </w:t>
      </w:r>
      <w:r>
        <w:rPr>
          <w:kern w:val="0"/>
        </w:rPr>
        <w:t>methods</w:t>
      </w:r>
      <w:r w:rsidR="00427468">
        <w:rPr>
          <w:kern w:val="0"/>
        </w:rPr>
        <w:t xml:space="preserve"> of </w:t>
      </w:r>
      <w:r>
        <w:rPr>
          <w:kern w:val="0"/>
        </w:rPr>
        <w:t>a systematic review. Articles potentially relevant to</w:t>
      </w:r>
      <w:r w:rsidR="003A1917">
        <w:rPr>
          <w:kern w:val="0"/>
        </w:rPr>
        <w:t xml:space="preserve"> the </w:t>
      </w:r>
      <w:r>
        <w:rPr>
          <w:kern w:val="0"/>
        </w:rPr>
        <w:t>research question were identified by searching</w:t>
      </w:r>
      <w:r w:rsidR="003A1917">
        <w:rPr>
          <w:kern w:val="0"/>
        </w:rPr>
        <w:t xml:space="preserve"> the </w:t>
      </w:r>
      <w:r>
        <w:rPr>
          <w:kern w:val="0"/>
        </w:rPr>
        <w:t xml:space="preserve">following electronic databases: Amed, Cinahl, Index to UK theses, </w:t>
      </w:r>
      <w:r w:rsidR="00D5664A">
        <w:rPr>
          <w:kern w:val="0"/>
        </w:rPr>
        <w:t>MEDLINE</w:t>
      </w:r>
      <w:r>
        <w:rPr>
          <w:kern w:val="0"/>
        </w:rPr>
        <w:t xml:space="preserve">, </w:t>
      </w:r>
      <w:r w:rsidR="002C12F0">
        <w:rPr>
          <w:kern w:val="0"/>
        </w:rPr>
        <w:t>PUBMED</w:t>
      </w:r>
      <w:r>
        <w:rPr>
          <w:kern w:val="0"/>
        </w:rPr>
        <w:t>, Scopus, Sports discus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Duplicates were removed and, based on</w:t>
      </w:r>
      <w:r w:rsidR="003A1917">
        <w:rPr>
          <w:kern w:val="0"/>
        </w:rPr>
        <w:t xml:space="preserve"> the </w:t>
      </w:r>
      <w:r>
        <w:rPr>
          <w:kern w:val="0"/>
        </w:rPr>
        <w:t>title</w:t>
      </w:r>
      <w:r w:rsidR="005853A9">
        <w:rPr>
          <w:kern w:val="0"/>
        </w:rPr>
        <w:t xml:space="preserve"> and </w:t>
      </w:r>
      <w:r>
        <w:rPr>
          <w:kern w:val="0"/>
        </w:rPr>
        <w:t>abstract,</w:t>
      </w:r>
      <w:r w:rsidR="003A1917">
        <w:rPr>
          <w:kern w:val="0"/>
        </w:rPr>
        <w:t xml:space="preserve"> the </w:t>
      </w:r>
      <w:r>
        <w:rPr>
          <w:kern w:val="0"/>
        </w:rPr>
        <w:t>full text</w:t>
      </w:r>
      <w:r w:rsidR="00427468">
        <w:rPr>
          <w:kern w:val="0"/>
        </w:rPr>
        <w:t xml:space="preserve"> of </w:t>
      </w:r>
      <w:r>
        <w:rPr>
          <w:kern w:val="0"/>
        </w:rPr>
        <w:t>relevant studies were retrieved. Two reviewers independently assessed papers; this formed</w:t>
      </w:r>
      <w:r w:rsidR="003A1917">
        <w:rPr>
          <w:kern w:val="0"/>
        </w:rPr>
        <w:t xml:space="preserve"> the </w:t>
      </w:r>
      <w:r>
        <w:rPr>
          <w:kern w:val="0"/>
        </w:rPr>
        <w:t>basis for</w:t>
      </w:r>
      <w:r w:rsidR="003A1917">
        <w:rPr>
          <w:kern w:val="0"/>
        </w:rPr>
        <w:t xml:space="preserve"> the </w:t>
      </w:r>
      <w:r>
        <w:rPr>
          <w:kern w:val="0"/>
        </w:rPr>
        <w:t>inclusion</w:t>
      </w:r>
      <w:r w:rsidR="00427468">
        <w:rPr>
          <w:kern w:val="0"/>
        </w:rPr>
        <w:t xml:space="preserve"> of </w:t>
      </w:r>
      <w:r w:rsidR="003A1917">
        <w:rPr>
          <w:kern w:val="0"/>
        </w:rPr>
        <w:t xml:space="preserve">the </w:t>
      </w:r>
      <w:r>
        <w:rPr>
          <w:kern w:val="0"/>
        </w:rPr>
        <w:t>most appropriate trials. Results: From</w:t>
      </w:r>
      <w:r w:rsidR="003A1917">
        <w:rPr>
          <w:kern w:val="0"/>
        </w:rPr>
        <w:t xml:space="preserve"> the </w:t>
      </w:r>
      <w:r>
        <w:rPr>
          <w:kern w:val="0"/>
        </w:rPr>
        <w:t>479 articles originally identified, nine were deemed appropriate for inclusion in</w:t>
      </w:r>
      <w:r w:rsidR="003A1917">
        <w:rPr>
          <w:kern w:val="0"/>
        </w:rPr>
        <w:t xml:space="preserve"> the </w:t>
      </w:r>
      <w:r>
        <w:rPr>
          <w:kern w:val="0"/>
        </w:rPr>
        <w:t>review. In general, specific data relating to this relationship was limited. Outcomes</w:t>
      </w:r>
      <w:r w:rsidR="00427468">
        <w:rPr>
          <w:kern w:val="0"/>
        </w:rPr>
        <w:t xml:space="preserve"> of </w:t>
      </w:r>
      <w:r w:rsidR="003A1917">
        <w:rPr>
          <w:kern w:val="0"/>
        </w:rPr>
        <w:t xml:space="preserve">the </w:t>
      </w:r>
      <w:r>
        <w:rPr>
          <w:kern w:val="0"/>
        </w:rPr>
        <w:t>nine investigations were difficult to compare due to differing methods used across studies. Results have proved conflicting, with limited evidence found to implicate any specific foot type as a potential risk factor for tibial stress injuries. Conclusions: No definitive conclusions can be drawn relating foot structure or function to an increased risk</w:t>
      </w:r>
      <w:r w:rsidR="00427468">
        <w:rPr>
          <w:kern w:val="0"/>
        </w:rPr>
        <w:t xml:space="preserve"> of </w:t>
      </w:r>
      <w:r>
        <w:rPr>
          <w:kern w:val="0"/>
        </w:rPr>
        <w:t>tibial stress injuries. Extremes</w:t>
      </w:r>
      <w:r w:rsidR="00427468">
        <w:rPr>
          <w:kern w:val="0"/>
        </w:rPr>
        <w:t xml:space="preserve"> of </w:t>
      </w:r>
      <w:r>
        <w:rPr>
          <w:kern w:val="0"/>
        </w:rPr>
        <w:t>foot types are likely to pose an increased risk</w:t>
      </w:r>
      <w:r w:rsidR="00427468">
        <w:rPr>
          <w:kern w:val="0"/>
        </w:rPr>
        <w:t xml:space="preserve"> of </w:t>
      </w:r>
      <w:r>
        <w:rPr>
          <w:kern w:val="0"/>
        </w:rPr>
        <w:t>tibial stress injuries compared to normal arched feet.</w:t>
      </w:r>
    </w:p>
    <w:p w:rsidR="00255950" w:rsidRDefault="00255950" w:rsidP="00255950">
      <w:pPr>
        <w:pStyle w:val="a3"/>
        <w:rPr>
          <w:kern w:val="0"/>
        </w:rPr>
      </w:pPr>
      <w:r>
        <w:rPr>
          <w:kern w:val="0"/>
        </w:rPr>
        <w:t xml:space="preserve">Keywords: Arch Height, Articles, Bone, Databases, Fractures, Gait, Kinematics, Lower-Extremity, Methods, Normal, Outcomes, Overuse Injuries, Papers, Parameters, </w:t>
      </w:r>
      <w:r w:rsidR="002C12F0">
        <w:rPr>
          <w:kern w:val="0"/>
        </w:rPr>
        <w:t>PUBMED</w:t>
      </w:r>
      <w:r>
        <w:rPr>
          <w:kern w:val="0"/>
        </w:rPr>
        <w:t xml:space="preserve">, Research, Review, Risk, Risk-Factors, Runners, Science, </w:t>
      </w:r>
      <w:r>
        <w:rPr>
          <w:kern w:val="0"/>
        </w:rPr>
        <w:lastRenderedPageBreak/>
        <w:t>Scopus, Stress, Systematic, Systematic Review</w:t>
      </w:r>
      <w:r w:rsidR="00D5664A">
        <w:rPr>
          <w:kern w:val="0"/>
        </w:rPr>
        <w:t>, UK,</w:t>
      </w:r>
      <w:r>
        <w:rPr>
          <w:kern w:val="0"/>
        </w:rPr>
        <w:t xml:space="preserve">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t>Notes: TTopic</w:t>
      </w:r>
    </w:p>
    <w:p w:rsidR="003474F2" w:rsidRPr="001A3D2B" w:rsidRDefault="003474F2" w:rsidP="003474F2">
      <w:pPr>
        <w:pStyle w:val="a3"/>
      </w:pPr>
      <w:r w:rsidRPr="001A3D2B">
        <w:t>Agulló-Calatayud, V., González-Alcaide, G., Valderrama-Zurián, J.C.</w:t>
      </w:r>
      <w:r w:rsidR="005853A9">
        <w:t xml:space="preserve"> and </w:t>
      </w:r>
      <w:r w:rsidRPr="001A3D2B">
        <w:t>Aleixandre-Benavent, R. (2008), Consumption</w:t>
      </w:r>
      <w:r w:rsidR="00427468">
        <w:t xml:space="preserve"> of </w:t>
      </w:r>
      <w:r w:rsidRPr="001A3D2B">
        <w:t>anabolic steroids in sport, physical activity</w:t>
      </w:r>
      <w:r w:rsidR="005853A9">
        <w:t xml:space="preserve"> and </w:t>
      </w:r>
      <w:r w:rsidRPr="001A3D2B">
        <w:t>as a drug</w:t>
      </w:r>
      <w:r w:rsidR="00427468">
        <w:t xml:space="preserve"> of </w:t>
      </w:r>
      <w:r w:rsidRPr="001A3D2B">
        <w:t>abuse: An analysis</w:t>
      </w:r>
      <w:r w:rsidR="00427468">
        <w:t xml:space="preserve"> of </w:t>
      </w:r>
      <w:r w:rsidR="003A1917">
        <w:t xml:space="preserve">the </w:t>
      </w:r>
      <w:r w:rsidRPr="001A3D2B">
        <w:t>scientific literature</w:t>
      </w:r>
      <w:r w:rsidR="005853A9">
        <w:t xml:space="preserve"> and </w:t>
      </w:r>
      <w:r w:rsidRPr="001A3D2B">
        <w:t>areas</w:t>
      </w:r>
      <w:r w:rsidR="00427468">
        <w:t xml:space="preserve"> of </w:t>
      </w:r>
      <w:r w:rsidRPr="001A3D2B">
        <w:t xml:space="preserve">research. </w:t>
      </w:r>
      <w:r w:rsidRPr="001A3D2B">
        <w:rPr>
          <w:i/>
          <w:iCs/>
        </w:rPr>
        <w:t>British Journal</w:t>
      </w:r>
      <w:r w:rsidR="00427468">
        <w:rPr>
          <w:i/>
          <w:iCs/>
        </w:rPr>
        <w:t xml:space="preserve"> of </w:t>
      </w:r>
      <w:r w:rsidRPr="001A3D2B">
        <w:rPr>
          <w:i/>
          <w:iCs/>
        </w:rPr>
        <w:t>Sports Medicine</w:t>
      </w:r>
      <w:r w:rsidRPr="001A3D2B">
        <w:t xml:space="preserve">, </w:t>
      </w:r>
      <w:r w:rsidRPr="001A3D2B">
        <w:rPr>
          <w:b/>
          <w:bCs/>
        </w:rPr>
        <w:t>42</w:t>
      </w:r>
      <w:r w:rsidRPr="001A3D2B">
        <w:t xml:space="preserve"> (2), 103-109.</w:t>
      </w:r>
    </w:p>
    <w:p w:rsidR="003474F2" w:rsidRPr="001A3D2B" w:rsidRDefault="003474F2" w:rsidP="003474F2">
      <w:pPr>
        <w:pStyle w:val="a3"/>
      </w:pPr>
      <w:r w:rsidRPr="001A3D2B">
        <w:t xml:space="preserve">Full Text: </w:t>
      </w:r>
      <w:hyperlink r:id="rId1940" w:history="1">
        <w:r w:rsidRPr="001A3D2B">
          <w:rPr>
            <w:rStyle w:val="a5"/>
          </w:rPr>
          <w:t>2008\Bri J Spo Med42, 103.pdf</w:t>
        </w:r>
      </w:hyperlink>
    </w:p>
    <w:p w:rsidR="003474F2" w:rsidRPr="001A3D2B" w:rsidRDefault="003474F2" w:rsidP="003474F2">
      <w:pPr>
        <w:pStyle w:val="a3"/>
      </w:pPr>
      <w:r w:rsidRPr="001A3D2B">
        <w:t>Abstract: Objective:</w:t>
      </w:r>
      <w:r w:rsidR="003A1917">
        <w:t xml:space="preserve"> the </w:t>
      </w:r>
      <w:r w:rsidRPr="001A3D2B">
        <w:t>consumption</w:t>
      </w:r>
      <w:r w:rsidR="00427468">
        <w:t xml:space="preserve"> of </w:t>
      </w:r>
      <w:r w:rsidRPr="001A3D2B">
        <w:t>anabolic steroids (AS) has been growing continuously in recent years. It has gone beyond</w:t>
      </w:r>
      <w:r w:rsidR="003A1917">
        <w:t xml:space="preserve"> the </w:t>
      </w:r>
      <w:r w:rsidRPr="001A3D2B">
        <w:t>sports world; AS are now widely used as drugs</w:t>
      </w:r>
      <w:r w:rsidR="00427468">
        <w:t xml:space="preserve"> of </w:t>
      </w:r>
      <w:r w:rsidRPr="001A3D2B">
        <w:t>abuse in connection with bodybuilding. This study sets out to assess</w:t>
      </w:r>
      <w:r w:rsidR="003A1917">
        <w:t xml:space="preserve"> the </w:t>
      </w:r>
      <w:r w:rsidRPr="001A3D2B">
        <w:t>state</w:t>
      </w:r>
      <w:r w:rsidR="00427468">
        <w:t xml:space="preserve"> of </w:t>
      </w:r>
      <w:r w:rsidRPr="001A3D2B">
        <w:t>scientific research in</w:t>
      </w:r>
      <w:r w:rsidR="003A1917">
        <w:t xml:space="preserve"> the </w:t>
      </w:r>
      <w:r w:rsidRPr="001A3D2B">
        <w:t>area. Design: Bibliometrics were employed to evaluate</w:t>
      </w:r>
      <w:r w:rsidR="003A1917">
        <w:t xml:space="preserve"> the </w:t>
      </w:r>
      <w:r w:rsidRPr="001A3D2B">
        <w:t>literature retrieved from</w:t>
      </w:r>
      <w:r w:rsidR="003A1917">
        <w:t xml:space="preserve"> the </w:t>
      </w:r>
      <w:r w:rsidRPr="001A3D2B">
        <w:t xml:space="preserve">principal relevant bibliographic databases: </w:t>
      </w:r>
      <w:r w:rsidR="00D5664A">
        <w:t>MEDLINE</w:t>
      </w:r>
      <w:r w:rsidRPr="001A3D2B">
        <w:t>, SportDiscus,</w:t>
      </w:r>
      <w:r w:rsidR="003A1917">
        <w:t xml:space="preserve"> the </w:t>
      </w:r>
      <w:r w:rsidRPr="001A3D2B">
        <w:t>Science Citation Index Expanded</w:t>
      </w:r>
      <w:r w:rsidR="005853A9">
        <w:t xml:space="preserve"> and </w:t>
      </w:r>
      <w:r w:rsidR="003A1917">
        <w:t xml:space="preserve">the </w:t>
      </w:r>
      <w:r w:rsidRPr="001A3D2B">
        <w:t>Social Sciences Citation Index</w:t>
      </w:r>
      <w:r w:rsidR="00A37C1D">
        <w:t>. The</w:t>
      </w:r>
      <w:r w:rsidR="003A1917">
        <w:t xml:space="preserve"> </w:t>
      </w:r>
      <w:r w:rsidRPr="001A3D2B">
        <w:t>core journals were identified along with</w:t>
      </w:r>
      <w:r w:rsidR="003A1917">
        <w:t xml:space="preserve"> the </w:t>
      </w:r>
      <w:r w:rsidRPr="001A3D2B">
        <w:t>leading authors</w:t>
      </w:r>
      <w:r w:rsidR="005853A9">
        <w:t xml:space="preserve"> and </w:t>
      </w:r>
      <w:r w:rsidRPr="001A3D2B">
        <w:t>research groups</w:t>
      </w:r>
      <w:r w:rsidR="005853A9">
        <w:t xml:space="preserve"> and </w:t>
      </w:r>
      <w:r w:rsidRPr="001A3D2B">
        <w:t>their institutional affiliations. Techniques based on social network analysis were applied in order to build up a concept map</w:t>
      </w:r>
      <w:r w:rsidR="00427468">
        <w:t xml:space="preserve"> of </w:t>
      </w:r>
      <w:r w:rsidRPr="001A3D2B">
        <w:t>research. Results: 1325 documents were retrieved</w:t>
      </w:r>
      <w:r w:rsidR="00A37C1D">
        <w:t>. The</w:t>
      </w:r>
      <w:r w:rsidRPr="001A3D2B">
        <w:t>y were produced by 3131 different researchers giving a Collaboration Index</w:t>
      </w:r>
      <w:r w:rsidR="00427468">
        <w:t xml:space="preserve"> of </w:t>
      </w:r>
      <w:r w:rsidRPr="001A3D2B">
        <w:t>3.32</w:t>
      </w:r>
      <w:r w:rsidR="00A37C1D">
        <w:t>. The</w:t>
      </w:r>
      <w:r w:rsidR="003A1917">
        <w:t xml:space="preserve"> </w:t>
      </w:r>
      <w:r w:rsidRPr="001A3D2B">
        <w:t>institutions with</w:t>
      </w:r>
      <w:r w:rsidR="003A1917">
        <w:t xml:space="preserve"> the </w:t>
      </w:r>
      <w:r w:rsidRPr="001A3D2B">
        <w:t xml:space="preserve">most productive authors were Ball State University (Muncie, IN, </w:t>
      </w:r>
      <w:r w:rsidR="00D5664A">
        <w:t>USA</w:t>
      </w:r>
      <w:r w:rsidR="00F42EAC">
        <w:t>), The</w:t>
      </w:r>
      <w:r w:rsidR="003A1917">
        <w:t xml:space="preserve"> </w:t>
      </w:r>
      <w:r w:rsidRPr="001A3D2B">
        <w:t>Ecole Nationale Veterinaire de Nantes (ENVN</w:t>
      </w:r>
      <w:r w:rsidR="00F42EAC">
        <w:t>), The</w:t>
      </w:r>
      <w:r w:rsidR="003A1917">
        <w:t xml:space="preserve"> </w:t>
      </w:r>
      <w:r w:rsidRPr="001A3D2B">
        <w:t>Institut Municipal dInvestigacio Medica (IMIM) (Barcelona, Spain</w:t>
      </w:r>
      <w:r w:rsidR="00F42EAC">
        <w:t>), The</w:t>
      </w:r>
      <w:r w:rsidR="003A1917">
        <w:t xml:space="preserve"> </w:t>
      </w:r>
      <w:r w:rsidRPr="001A3D2B">
        <w:t>Institute</w:t>
      </w:r>
      <w:r w:rsidR="00427468">
        <w:t xml:space="preserve"> of </w:t>
      </w:r>
      <w:r w:rsidRPr="001A3D2B">
        <w:t>Biochemistry</w:t>
      </w:r>
      <w:r w:rsidR="00427468">
        <w:t xml:space="preserve"> of </w:t>
      </w:r>
      <w:r w:rsidR="003A1917">
        <w:t xml:space="preserve">the </w:t>
      </w:r>
      <w:r w:rsidRPr="001A3D2B">
        <w:t>German Sport University Cologne (DSHS), Iowa State University, Maastricht University</w:t>
      </w:r>
      <w:r w:rsidR="005853A9">
        <w:t xml:space="preserve"> and </w:t>
      </w:r>
      <w:r w:rsidR="003A1917">
        <w:t xml:space="preserve">the </w:t>
      </w:r>
      <w:r w:rsidRPr="001A3D2B">
        <w:t>University</w:t>
      </w:r>
      <w:r w:rsidR="00427468">
        <w:t xml:space="preserve"> of </w:t>
      </w:r>
      <w:r w:rsidRPr="001A3D2B">
        <w:t>Iowa. Conclusions: It was concluded that there has been an upward trend in</w:t>
      </w:r>
      <w:r w:rsidR="003A1917">
        <w:t xml:space="preserve"> the </w:t>
      </w:r>
      <w:r w:rsidRPr="001A3D2B">
        <w:t>number</w:t>
      </w:r>
      <w:r w:rsidR="00427468">
        <w:t xml:space="preserve"> of </w:t>
      </w:r>
      <w:r w:rsidRPr="001A3D2B">
        <w:t>research projects</w:t>
      </w:r>
      <w:r w:rsidR="00A37C1D">
        <w:t>. The</w:t>
      </w:r>
      <w:r w:rsidR="003A1917">
        <w:t xml:space="preserve"> </w:t>
      </w:r>
      <w:r w:rsidRPr="001A3D2B">
        <w:t>sources used complemented one another, as 78.04%</w:t>
      </w:r>
      <w:r w:rsidR="00427468">
        <w:t xml:space="preserve"> of </w:t>
      </w:r>
      <w:r w:rsidR="003A1917">
        <w:t xml:space="preserve">the </w:t>
      </w:r>
      <w:r w:rsidRPr="001A3D2B">
        <w:t>documents retrieved were unique to one source</w:t>
      </w:r>
      <w:r w:rsidR="00A37C1D">
        <w:t>. The</w:t>
      </w:r>
      <w:r w:rsidR="003A1917">
        <w:t xml:space="preserve"> </w:t>
      </w:r>
      <w:r w:rsidRPr="001A3D2B">
        <w:t>productivity ranking was headed by sports medicine journals, followed by journals</w:t>
      </w:r>
      <w:r w:rsidR="00427468">
        <w:t xml:space="preserve"> of </w:t>
      </w:r>
      <w:r w:rsidRPr="001A3D2B">
        <w:t>chemistry, physiology, endocrinology</w:t>
      </w:r>
      <w:r w:rsidR="005853A9">
        <w:t xml:space="preserve"> and </w:t>
      </w:r>
      <w:r w:rsidRPr="001A3D2B">
        <w:t>substance abuse. Besides sporting activities,</w:t>
      </w:r>
      <w:r w:rsidR="003A1917">
        <w:t xml:space="preserve"> the </w:t>
      </w:r>
      <w:r w:rsidRPr="001A3D2B">
        <w:t>most important research clusters were those connected with bodybuilding</w:t>
      </w:r>
      <w:r w:rsidR="005853A9">
        <w:t xml:space="preserve"> and </w:t>
      </w:r>
      <w:r w:rsidRPr="001A3D2B">
        <w:t>with youth groups.</w:t>
      </w:r>
    </w:p>
    <w:p w:rsidR="003474F2" w:rsidRPr="001A3D2B" w:rsidRDefault="003474F2" w:rsidP="003474F2">
      <w:pPr>
        <w:pStyle w:val="a3"/>
      </w:pPr>
      <w:r w:rsidRPr="001A3D2B">
        <w:t>Keywords: Abuse, Analysis, Barcelona, Bibliographic Databases, Bibliometrics, Chemistry, Consumption, Databases, Drug, Drugs, Drugs</w:t>
      </w:r>
      <w:r w:rsidR="00427468">
        <w:t xml:space="preserve"> of </w:t>
      </w:r>
      <w:r w:rsidRPr="001A3D2B">
        <w:t xml:space="preserve">Abuse, Institutions, Journals, Literature, Medicine, </w:t>
      </w:r>
      <w:r w:rsidR="00D5664A">
        <w:t>MEDLINE</w:t>
      </w:r>
      <w:r w:rsidRPr="001A3D2B">
        <w:t xml:space="preserve">, Network, Network Analysis, Physical, Physical Activity, Physiology, Productivity, Ranking, Research, Science Citation Index, Scientific Literature, Scientific Research, Social, Social Network Analysis, Source, Sources, Spain, Sport, State, Steroids, Substance Abuse, Trend, </w:t>
      </w:r>
      <w:r w:rsidR="00D5664A">
        <w:t>USA</w:t>
      </w:r>
      <w:r w:rsidRPr="001A3D2B">
        <w:t>, World, Youth</w:t>
      </w:r>
    </w:p>
    <w:p w:rsidR="00255950" w:rsidRDefault="00255950" w:rsidP="00255950">
      <w:pPr>
        <w:pStyle w:val="a3"/>
        <w:rPr>
          <w:kern w:val="0"/>
        </w:rPr>
      </w:pPr>
      <w:r>
        <w:rPr>
          <w:rFonts w:hint="eastAsia"/>
          <w:kern w:val="0"/>
        </w:rPr>
        <w:t xml:space="preserve">? </w:t>
      </w:r>
      <w:r>
        <w:rPr>
          <w:kern w:val="0"/>
        </w:rPr>
        <w:t>Hamer, M.</w:t>
      </w:r>
      <w:r w:rsidR="005853A9">
        <w:rPr>
          <w:kern w:val="0"/>
        </w:rPr>
        <w:t xml:space="preserve"> and </w:t>
      </w:r>
      <w:r>
        <w:rPr>
          <w:kern w:val="0"/>
        </w:rPr>
        <w:t>Chida, Y. (2008), Walking</w:t>
      </w:r>
      <w:r w:rsidR="005853A9">
        <w:rPr>
          <w:kern w:val="0"/>
        </w:rPr>
        <w:t xml:space="preserve"> and </w:t>
      </w:r>
      <w:r>
        <w:rPr>
          <w:kern w:val="0"/>
        </w:rPr>
        <w:t>primary prevention: A meta-analysis</w:t>
      </w:r>
      <w:r w:rsidR="00427468">
        <w:rPr>
          <w:kern w:val="0"/>
        </w:rPr>
        <w:t xml:space="preserve"> of </w:t>
      </w:r>
      <w:r>
        <w:rPr>
          <w:kern w:val="0"/>
        </w:rPr>
        <w:t xml:space="preserve">prospective cohort studies.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42</w:t>
      </w:r>
      <w:r>
        <w:rPr>
          <w:kern w:val="0"/>
        </w:rPr>
        <w:t xml:space="preserve"> (4), 238-243.</w:t>
      </w:r>
    </w:p>
    <w:p w:rsidR="001F290A" w:rsidRPr="003862C4" w:rsidRDefault="001F290A" w:rsidP="001F290A">
      <w:pPr>
        <w:pStyle w:val="a3"/>
      </w:pPr>
      <w:r>
        <w:rPr>
          <w:rFonts w:hint="eastAsia"/>
        </w:rPr>
        <w:t>Full Text:</w:t>
      </w:r>
      <w:r w:rsidRPr="003862C4">
        <w:rPr>
          <w:rFonts w:hint="eastAsia"/>
        </w:rPr>
        <w:t xml:space="preserve"> </w:t>
      </w:r>
      <w:hyperlink r:id="rId1941" w:history="1">
        <w:r w:rsidRPr="00010673">
          <w:rPr>
            <w:rStyle w:val="a5"/>
          </w:rPr>
          <w:t>2008\Bri J Spo Med42, 238.pdf</w:t>
        </w:r>
      </w:hyperlink>
    </w:p>
    <w:p w:rsidR="00255950" w:rsidRDefault="00255950" w:rsidP="00255950">
      <w:pPr>
        <w:pStyle w:val="a3"/>
        <w:rPr>
          <w:kern w:val="0"/>
        </w:rPr>
      </w:pPr>
      <w:r>
        <w:rPr>
          <w:kern w:val="0"/>
        </w:rPr>
        <w:lastRenderedPageBreak/>
        <w:t>Abstract: Objective: To quantify</w:t>
      </w:r>
      <w:r w:rsidR="003A1917">
        <w:rPr>
          <w:kern w:val="0"/>
        </w:rPr>
        <w:t xml:space="preserve"> the </w:t>
      </w:r>
      <w:r>
        <w:rPr>
          <w:kern w:val="0"/>
        </w:rPr>
        <w:t>association between walking</w:t>
      </w:r>
      <w:r w:rsidR="005853A9">
        <w:rPr>
          <w:kern w:val="0"/>
        </w:rPr>
        <w:t xml:space="preserve"> and </w:t>
      </w:r>
      <w:r w:rsidR="003A1917">
        <w:rPr>
          <w:kern w:val="0"/>
        </w:rPr>
        <w:t xml:space="preserve">the </w:t>
      </w:r>
      <w:r>
        <w:rPr>
          <w:kern w:val="0"/>
        </w:rPr>
        <w:t>risk</w:t>
      </w:r>
      <w:r w:rsidR="00427468">
        <w:rPr>
          <w:kern w:val="0"/>
        </w:rPr>
        <w:t xml:space="preserve"> of </w:t>
      </w:r>
      <w:r>
        <w:rPr>
          <w:kern w:val="0"/>
        </w:rPr>
        <w:t>cardiovascular disease (CVD)</w:t>
      </w:r>
      <w:r w:rsidR="005853A9">
        <w:rPr>
          <w:kern w:val="0"/>
        </w:rPr>
        <w:t xml:space="preserve"> and </w:t>
      </w:r>
      <w:r>
        <w:rPr>
          <w:kern w:val="0"/>
        </w:rPr>
        <w:t>all-cause mortality in healthy men</w:t>
      </w:r>
      <w:r w:rsidR="005853A9">
        <w:rPr>
          <w:kern w:val="0"/>
        </w:rPr>
        <w:t xml:space="preserve"> and </w:t>
      </w:r>
      <w:r>
        <w:rPr>
          <w:kern w:val="0"/>
        </w:rPr>
        <w:t xml:space="preserve">women. Data sources: </w:t>
      </w:r>
      <w:r w:rsidR="00D5664A">
        <w:rPr>
          <w:kern w:val="0"/>
        </w:rPr>
        <w:t>MEDLINE</w:t>
      </w:r>
      <w:r>
        <w:rPr>
          <w:kern w:val="0"/>
        </w:rPr>
        <w:t>, Cochrane Database</w:t>
      </w:r>
      <w:r w:rsidR="00427468">
        <w:rPr>
          <w:kern w:val="0"/>
        </w:rPr>
        <w:t xml:space="preserve"> of </w:t>
      </w:r>
      <w:r>
        <w:rPr>
          <w:kern w:val="0"/>
        </w:rPr>
        <w:t>Systematic Reviews,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were searched to May 2007. Study selection: Prospective epidemiological studies</w:t>
      </w:r>
      <w:r w:rsidR="00427468">
        <w:rPr>
          <w:kern w:val="0"/>
        </w:rPr>
        <w:t xml:space="preserve"> of </w:t>
      </w:r>
      <w:r>
        <w:rPr>
          <w:kern w:val="0"/>
        </w:rPr>
        <w:t>walking</w:t>
      </w:r>
      <w:r w:rsidR="005853A9">
        <w:rPr>
          <w:kern w:val="0"/>
        </w:rPr>
        <w:t xml:space="preserve"> and </w:t>
      </w:r>
      <w:r>
        <w:rPr>
          <w:kern w:val="0"/>
        </w:rPr>
        <w:t>CVD</w:t>
      </w:r>
      <w:r w:rsidR="005853A9">
        <w:rPr>
          <w:kern w:val="0"/>
        </w:rPr>
        <w:t xml:space="preserve"> and </w:t>
      </w:r>
      <w:r>
        <w:rPr>
          <w:kern w:val="0"/>
        </w:rPr>
        <w:t>all-cause mortality. Results: 18 prospective studies were included in</w:t>
      </w:r>
      <w:r w:rsidR="003A1917">
        <w:rPr>
          <w:kern w:val="0"/>
        </w:rPr>
        <w:t xml:space="preserve"> the </w:t>
      </w:r>
      <w:r>
        <w:rPr>
          <w:kern w:val="0"/>
        </w:rPr>
        <w:t>overall analysis, which incorporated 459 833 participants free from CVD at baseline with 19 249 cases at follow-up. From</w:t>
      </w:r>
      <w:r w:rsidR="003A1917">
        <w:rPr>
          <w:kern w:val="0"/>
        </w:rPr>
        <w:t xml:space="preserve"> the </w:t>
      </w:r>
      <w:r>
        <w:rPr>
          <w:kern w:val="0"/>
        </w:rPr>
        <w:t>meta-analysis</w:t>
      </w:r>
      <w:r w:rsidR="003A1917">
        <w:rPr>
          <w:kern w:val="0"/>
        </w:rPr>
        <w:t xml:space="preserve"> the </w:t>
      </w:r>
      <w:r>
        <w:rPr>
          <w:kern w:val="0"/>
        </w:rPr>
        <w:t>pooled hazard ratio</w:t>
      </w:r>
      <w:r w:rsidR="00427468">
        <w:rPr>
          <w:kern w:val="0"/>
        </w:rPr>
        <w:t xml:space="preserve"> of </w:t>
      </w:r>
      <w:r>
        <w:rPr>
          <w:kern w:val="0"/>
        </w:rPr>
        <w:t>CVD in</w:t>
      </w:r>
      <w:r w:rsidR="003A1917">
        <w:rPr>
          <w:kern w:val="0"/>
        </w:rPr>
        <w:t xml:space="preserve"> the </w:t>
      </w:r>
      <w:r>
        <w:rPr>
          <w:kern w:val="0"/>
        </w:rPr>
        <w:t>highest walking category compared with</w:t>
      </w:r>
      <w:r w:rsidR="003A1917">
        <w:rPr>
          <w:kern w:val="0"/>
        </w:rPr>
        <w:t xml:space="preserve"> the </w:t>
      </w:r>
      <w:r>
        <w:rPr>
          <w:kern w:val="0"/>
        </w:rPr>
        <w:t>lowest was 0.69, (95% CI 0.61 to 0.77, p, 0.001),</w:t>
      </w:r>
      <w:r w:rsidR="005853A9">
        <w:rPr>
          <w:kern w:val="0"/>
        </w:rPr>
        <w:t xml:space="preserve"> and </w:t>
      </w:r>
      <w:r>
        <w:rPr>
          <w:kern w:val="0"/>
        </w:rPr>
        <w:t>0.68 (0.59 to 0.78, p, 0.001) for all-cause mortality</w:t>
      </w:r>
      <w:r w:rsidR="00A37C1D">
        <w:rPr>
          <w:kern w:val="0"/>
        </w:rPr>
        <w:t>. The</w:t>
      </w:r>
      <w:r>
        <w:rPr>
          <w:kern w:val="0"/>
        </w:rPr>
        <w:t>se effects were robust among men</w:t>
      </w:r>
      <w:r w:rsidR="005853A9">
        <w:rPr>
          <w:kern w:val="0"/>
        </w:rPr>
        <w:t xml:space="preserve"> and </w:t>
      </w:r>
      <w:r>
        <w:rPr>
          <w:kern w:val="0"/>
        </w:rPr>
        <w:t>women, although there was evidence</w:t>
      </w:r>
      <w:r w:rsidR="00427468">
        <w:rPr>
          <w:kern w:val="0"/>
        </w:rPr>
        <w:t xml:space="preserve"> of </w:t>
      </w:r>
      <w:r>
        <w:rPr>
          <w:kern w:val="0"/>
        </w:rPr>
        <w:t>publication biases for</w:t>
      </w:r>
      <w:r w:rsidR="003A1917">
        <w:rPr>
          <w:kern w:val="0"/>
        </w:rPr>
        <w:t xml:space="preserve"> the </w:t>
      </w:r>
      <w:r>
        <w:rPr>
          <w:kern w:val="0"/>
        </w:rPr>
        <w:t>associations with CVD risk. Walking pace was a stronger independent predictor</w:t>
      </w:r>
      <w:r w:rsidR="00427468">
        <w:rPr>
          <w:kern w:val="0"/>
        </w:rPr>
        <w:t xml:space="preserve"> of </w:t>
      </w:r>
      <w:r>
        <w:rPr>
          <w:kern w:val="0"/>
        </w:rPr>
        <w:t>overall risk compared with walking volume (48% versus 26% risk reductions, respectively)</w:t>
      </w:r>
      <w:r w:rsidR="00A37C1D">
        <w:rPr>
          <w:kern w:val="0"/>
        </w:rPr>
        <w:t>. The</w:t>
      </w:r>
      <w:r>
        <w:rPr>
          <w:kern w:val="0"/>
        </w:rPr>
        <w:t>re was also evidence</w:t>
      </w:r>
      <w:r w:rsidR="00427468">
        <w:rPr>
          <w:kern w:val="0"/>
        </w:rPr>
        <w:t xml:space="preserve"> of </w:t>
      </w:r>
      <w:r>
        <w:rPr>
          <w:kern w:val="0"/>
        </w:rPr>
        <w:t>a dose response relationship across</w:t>
      </w:r>
      <w:r w:rsidR="003A1917">
        <w:rPr>
          <w:kern w:val="0"/>
        </w:rPr>
        <w:t xml:space="preserve"> the </w:t>
      </w:r>
      <w:r>
        <w:rPr>
          <w:kern w:val="0"/>
        </w:rPr>
        <w:t>highest, intermediate,</w:t>
      </w:r>
      <w:r w:rsidR="005853A9">
        <w:rPr>
          <w:kern w:val="0"/>
        </w:rPr>
        <w:t xml:space="preserve"> and </w:t>
      </w:r>
      <w:r>
        <w:rPr>
          <w:kern w:val="0"/>
        </w:rPr>
        <w:t>lowest walking categories in relation to</w:t>
      </w:r>
      <w:r w:rsidR="003A1917">
        <w:rPr>
          <w:kern w:val="0"/>
        </w:rPr>
        <w:t xml:space="preserve"> the </w:t>
      </w:r>
      <w:r>
        <w:rPr>
          <w:kern w:val="0"/>
        </w:rPr>
        <w:t>outcome measures. Conclusions:</w:t>
      </w:r>
      <w:r w:rsidR="003A1917">
        <w:rPr>
          <w:kern w:val="0"/>
        </w:rPr>
        <w:t xml:space="preserve"> the </w:t>
      </w:r>
      <w:r>
        <w:rPr>
          <w:kern w:val="0"/>
        </w:rPr>
        <w:t>results suggest walking is inversely associated with clinical disease endpoints</w:t>
      </w:r>
      <w:r w:rsidR="005853A9">
        <w:rPr>
          <w:kern w:val="0"/>
        </w:rPr>
        <w:t xml:space="preserve"> and </w:t>
      </w:r>
      <w:r>
        <w:rPr>
          <w:kern w:val="0"/>
        </w:rPr>
        <w:t>largely support</w:t>
      </w:r>
      <w:r w:rsidR="003A1917">
        <w:rPr>
          <w:kern w:val="0"/>
        </w:rPr>
        <w:t xml:space="preserve"> the </w:t>
      </w:r>
      <w:r>
        <w:rPr>
          <w:kern w:val="0"/>
        </w:rPr>
        <w:t>current guidelines for physical activity</w:t>
      </w:r>
      <w:r w:rsidR="00A37C1D">
        <w:rPr>
          <w:kern w:val="0"/>
        </w:rPr>
        <w:t>. The</w:t>
      </w:r>
      <w:r w:rsidR="003A1917">
        <w:rPr>
          <w:kern w:val="0"/>
        </w:rPr>
        <w:t xml:space="preserve"> </w:t>
      </w:r>
      <w:r>
        <w:rPr>
          <w:kern w:val="0"/>
        </w:rPr>
        <w:t>mechanisms that mediate this relationship remain largely unknown</w:t>
      </w:r>
      <w:r w:rsidR="005853A9">
        <w:rPr>
          <w:kern w:val="0"/>
        </w:rPr>
        <w:t xml:space="preserve"> and </w:t>
      </w:r>
      <w:r>
        <w:rPr>
          <w:kern w:val="0"/>
        </w:rPr>
        <w:t>should be</w:t>
      </w:r>
      <w:r w:rsidR="003A1917">
        <w:rPr>
          <w:kern w:val="0"/>
        </w:rPr>
        <w:t xml:space="preserve"> the </w:t>
      </w:r>
      <w:r>
        <w:rPr>
          <w:kern w:val="0"/>
        </w:rPr>
        <w:t>focus</w:t>
      </w:r>
      <w:r w:rsidR="00427468">
        <w:rPr>
          <w:kern w:val="0"/>
        </w:rPr>
        <w:t xml:space="preserve"> of </w:t>
      </w:r>
      <w:r>
        <w:rPr>
          <w:kern w:val="0"/>
        </w:rPr>
        <w:t>future research.</w:t>
      </w:r>
    </w:p>
    <w:p w:rsidR="00255950" w:rsidRDefault="00255950" w:rsidP="00255950">
      <w:pPr>
        <w:pStyle w:val="a3"/>
        <w:rPr>
          <w:kern w:val="0"/>
        </w:rPr>
      </w:pPr>
      <w:r>
        <w:rPr>
          <w:kern w:val="0"/>
        </w:rPr>
        <w:t xml:space="preserve">Keywords: Analysis, Cardiovascular, Cardiovascular Disease, Cardiovascular-Disease, Cochrane, Cohort Studies, Coronary-Heart-Disease, Databases, Disease, Dose-Response, Endpoints, Follow-Up, Guidelines, Harvard Alumni Health, Leisure-Time, Men, Meta-Analysis, Mortality, Older Women, Outcome, Physical Activity, Prevention, Primary, Primary Prevention, Prospective Studies, Publication, Ratio, Research, Risk, Science, Systematic, Time Physical-Activity, Vigorous Exercise, Walking, </w:t>
      </w:r>
      <w:r w:rsidR="00D5664A">
        <w:rPr>
          <w:kern w:val="0"/>
        </w:rPr>
        <w:t>Web</w:t>
      </w:r>
      <w:r w:rsidR="00427468">
        <w:rPr>
          <w:kern w:val="0"/>
        </w:rPr>
        <w:t xml:space="preserve"> of </w:t>
      </w:r>
      <w:r w:rsidR="00D5664A">
        <w:rPr>
          <w:kern w:val="0"/>
        </w:rPr>
        <w:t>Science</w:t>
      </w:r>
      <w:r>
        <w:rPr>
          <w:kern w:val="0"/>
        </w:rPr>
        <w:t>, Women</w:t>
      </w:r>
    </w:p>
    <w:p w:rsidR="00255950" w:rsidRDefault="00255950" w:rsidP="00255950">
      <w:pPr>
        <w:pStyle w:val="a3"/>
        <w:rPr>
          <w:kern w:val="0"/>
        </w:rPr>
      </w:pPr>
      <w:r>
        <w:rPr>
          <w:rFonts w:hint="eastAsia"/>
          <w:kern w:val="0"/>
        </w:rPr>
        <w:t xml:space="preserve">? </w:t>
      </w:r>
      <w:r>
        <w:rPr>
          <w:kern w:val="0"/>
        </w:rPr>
        <w:t>Alla, S., Sullivan, S.J., Hale, L.</w:t>
      </w:r>
      <w:r w:rsidR="005853A9">
        <w:rPr>
          <w:kern w:val="0"/>
        </w:rPr>
        <w:t xml:space="preserve"> and </w:t>
      </w:r>
      <w:r>
        <w:rPr>
          <w:kern w:val="0"/>
        </w:rPr>
        <w:t>McCrory, P. (2009), Self-report scales/checklists for</w:t>
      </w:r>
      <w:r w:rsidR="003A1917">
        <w:rPr>
          <w:kern w:val="0"/>
        </w:rPr>
        <w:t xml:space="preserve"> the </w:t>
      </w:r>
      <w:r>
        <w:rPr>
          <w:kern w:val="0"/>
        </w:rPr>
        <w:t>measurement</w:t>
      </w:r>
      <w:r w:rsidR="00427468">
        <w:rPr>
          <w:kern w:val="0"/>
        </w:rPr>
        <w:t xml:space="preserve"> of </w:t>
      </w:r>
      <w:r>
        <w:rPr>
          <w:kern w:val="0"/>
        </w:rPr>
        <w:t xml:space="preserve">concussion symptoms: A systematic review.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43</w:t>
      </w:r>
      <w:r>
        <w:rPr>
          <w:kern w:val="0"/>
        </w:rPr>
        <w:t>, I3-I12.</w:t>
      </w:r>
    </w:p>
    <w:p w:rsidR="00517EB4" w:rsidRPr="003862C4" w:rsidRDefault="00517EB4" w:rsidP="00517EB4">
      <w:pPr>
        <w:pStyle w:val="a3"/>
      </w:pPr>
      <w:r>
        <w:rPr>
          <w:rFonts w:hint="eastAsia"/>
        </w:rPr>
        <w:t>Full Text:</w:t>
      </w:r>
      <w:r w:rsidRPr="003862C4">
        <w:rPr>
          <w:rFonts w:hint="eastAsia"/>
        </w:rPr>
        <w:t xml:space="preserve"> </w:t>
      </w:r>
      <w:hyperlink r:id="rId1942" w:history="1">
        <w:r w:rsidRPr="00B86491">
          <w:rPr>
            <w:rStyle w:val="a5"/>
          </w:rPr>
          <w:t>2009\Bri J Spo Med43, I3.pdf</w:t>
        </w:r>
      </w:hyperlink>
    </w:p>
    <w:p w:rsidR="00255950" w:rsidRDefault="00255950" w:rsidP="00255950">
      <w:pPr>
        <w:pStyle w:val="a3"/>
        <w:rPr>
          <w:kern w:val="0"/>
        </w:rPr>
      </w:pPr>
      <w:r>
        <w:rPr>
          <w:kern w:val="0"/>
        </w:rPr>
        <w:t>Abstract: Objective: To identify self-reported sport concussion symptom scales</w:t>
      </w:r>
      <w:r w:rsidR="005853A9">
        <w:rPr>
          <w:kern w:val="0"/>
        </w:rPr>
        <w:t xml:space="preserve"> and </w:t>
      </w:r>
      <w:r>
        <w:rPr>
          <w:kern w:val="0"/>
        </w:rPr>
        <w:t>to describe</w:t>
      </w:r>
      <w:r w:rsidR="003A1917">
        <w:rPr>
          <w:kern w:val="0"/>
        </w:rPr>
        <w:t xml:space="preserve"> the </w:t>
      </w:r>
      <w:r>
        <w:rPr>
          <w:kern w:val="0"/>
        </w:rPr>
        <w:t>psychometric properties</w:t>
      </w:r>
      <w:r w:rsidR="00427468">
        <w:rPr>
          <w:kern w:val="0"/>
        </w:rPr>
        <w:t xml:space="preserve"> of </w:t>
      </w:r>
      <w:r>
        <w:rPr>
          <w:kern w:val="0"/>
        </w:rPr>
        <w:t xml:space="preserve">these identified scales. Design: Systematic review. Intervention: </w:t>
      </w:r>
      <w:r w:rsidR="002C12F0">
        <w:rPr>
          <w:kern w:val="0"/>
        </w:rPr>
        <w:t>PUBMED</w:t>
      </w:r>
      <w:r>
        <w:rPr>
          <w:kern w:val="0"/>
        </w:rPr>
        <w:t xml:space="preserve">, </w:t>
      </w:r>
      <w:r w:rsidR="00D5664A">
        <w:rPr>
          <w:kern w:val="0"/>
        </w:rPr>
        <w:t>MEDLINE</w:t>
      </w:r>
      <w:r>
        <w:rPr>
          <w:kern w:val="0"/>
        </w:rPr>
        <w:t xml:space="preserve">, CINAHL, Scopus, </w:t>
      </w:r>
      <w:r w:rsidR="00D5664A">
        <w:rPr>
          <w:kern w:val="0"/>
        </w:rPr>
        <w:t>Web</w:t>
      </w:r>
      <w:r w:rsidR="00427468">
        <w:rPr>
          <w:kern w:val="0"/>
        </w:rPr>
        <w:t xml:space="preserve"> of </w:t>
      </w:r>
      <w:r w:rsidR="00D5664A">
        <w:rPr>
          <w:kern w:val="0"/>
        </w:rPr>
        <w:t>Science</w:t>
      </w:r>
      <w:r>
        <w:rPr>
          <w:kern w:val="0"/>
        </w:rPr>
        <w:t>, Sport Discus, PsycINFO</w:t>
      </w:r>
      <w:r w:rsidR="005853A9">
        <w:rPr>
          <w:kern w:val="0"/>
        </w:rPr>
        <w:t xml:space="preserve"> and </w:t>
      </w:r>
      <w:r>
        <w:rPr>
          <w:kern w:val="0"/>
        </w:rPr>
        <w:t>AMED were searched from their establishment until December 2008</w:t>
      </w:r>
      <w:r w:rsidR="00A37C1D">
        <w:rPr>
          <w:kern w:val="0"/>
        </w:rPr>
        <w:t>. The</w:t>
      </w:r>
      <w:r w:rsidR="003A1917">
        <w:rPr>
          <w:kern w:val="0"/>
        </w:rPr>
        <w:t xml:space="preserve"> </w:t>
      </w:r>
      <w:r>
        <w:rPr>
          <w:kern w:val="0"/>
        </w:rPr>
        <w:t xml:space="preserve">medical subject heading terms </w:t>
      </w:r>
      <w:r w:rsidR="00B5188C">
        <w:rPr>
          <w:kern w:val="0"/>
        </w:rPr>
        <w:t>“</w:t>
      </w:r>
      <w:r>
        <w:rPr>
          <w:kern w:val="0"/>
        </w:rPr>
        <w:t>brain concussion</w:t>
      </w:r>
      <w:r w:rsidR="00700038">
        <w:rPr>
          <w:kern w:val="0"/>
        </w:rPr>
        <w:t>’’</w:t>
      </w:r>
      <w:r>
        <w:rPr>
          <w:kern w:val="0"/>
        </w:rPr>
        <w:t xml:space="preserve">, </w:t>
      </w:r>
      <w:r w:rsidR="00B5188C">
        <w:rPr>
          <w:kern w:val="0"/>
        </w:rPr>
        <w:t>“</w:t>
      </w:r>
      <w:r>
        <w:rPr>
          <w:kern w:val="0"/>
        </w:rPr>
        <w:t>signs or symptoms</w:t>
      </w:r>
      <w:r w:rsidR="00700038">
        <w:rPr>
          <w:kern w:val="0"/>
        </w:rPr>
        <w:t>’’</w:t>
      </w:r>
      <w:r w:rsidR="005853A9">
        <w:rPr>
          <w:kern w:val="0"/>
        </w:rPr>
        <w:t xml:space="preserve"> and </w:t>
      </w:r>
      <w:r w:rsidR="00B5188C">
        <w:rPr>
          <w:kern w:val="0"/>
        </w:rPr>
        <w:t>“</w:t>
      </w:r>
      <w:r>
        <w:rPr>
          <w:kern w:val="0"/>
        </w:rPr>
        <w:t>athletic injuries</w:t>
      </w:r>
      <w:r w:rsidR="00700038">
        <w:rPr>
          <w:kern w:val="0"/>
        </w:rPr>
        <w:t>’’</w:t>
      </w:r>
      <w:r w:rsidR="00A37C1D">
        <w:rPr>
          <w:kern w:val="0"/>
        </w:rPr>
        <w:t>. The</w:t>
      </w:r>
      <w:r w:rsidR="003A1917">
        <w:rPr>
          <w:kern w:val="0"/>
        </w:rPr>
        <w:t xml:space="preserve"> </w:t>
      </w:r>
      <w:r>
        <w:rPr>
          <w:kern w:val="0"/>
        </w:rPr>
        <w:t>search was limited to articles published in English. An additional search</w:t>
      </w:r>
      <w:r w:rsidR="00427468">
        <w:rPr>
          <w:kern w:val="0"/>
        </w:rPr>
        <w:t xml:space="preserve"> of </w:t>
      </w:r>
      <w:r w:rsidR="003A1917">
        <w:rPr>
          <w:kern w:val="0"/>
        </w:rPr>
        <w:t xml:space="preserve">the </w:t>
      </w:r>
      <w:r>
        <w:rPr>
          <w:kern w:val="0"/>
        </w:rPr>
        <w:t>reference lists</w:t>
      </w:r>
      <w:r w:rsidR="00427468">
        <w:rPr>
          <w:kern w:val="0"/>
        </w:rPr>
        <w:t xml:space="preserve"> of </w:t>
      </w:r>
      <w:r w:rsidR="003A1917">
        <w:rPr>
          <w:kern w:val="0"/>
        </w:rPr>
        <w:t xml:space="preserve">the </w:t>
      </w:r>
      <w:r>
        <w:rPr>
          <w:kern w:val="0"/>
        </w:rPr>
        <w:t>retrieved articles was conducted. Only full-text articles were considered for this study</w:t>
      </w:r>
      <w:r w:rsidR="005853A9">
        <w:rPr>
          <w:kern w:val="0"/>
        </w:rPr>
        <w:t xml:space="preserve"> and </w:t>
      </w:r>
      <w:r>
        <w:rPr>
          <w:kern w:val="0"/>
        </w:rPr>
        <w:t>these were retrieved to determine whether they met</w:t>
      </w:r>
      <w:r w:rsidR="003A1917">
        <w:rPr>
          <w:kern w:val="0"/>
        </w:rPr>
        <w:t xml:space="preserve"> the </w:t>
      </w:r>
      <w:r>
        <w:rPr>
          <w:kern w:val="0"/>
        </w:rPr>
        <w:t>inclusion criteria. Results:</w:t>
      </w:r>
      <w:r w:rsidR="003A1917">
        <w:rPr>
          <w:kern w:val="0"/>
        </w:rPr>
        <w:t xml:space="preserve"> the </w:t>
      </w:r>
      <w:r>
        <w:rPr>
          <w:kern w:val="0"/>
        </w:rPr>
        <w:t xml:space="preserve">initial </w:t>
      </w:r>
      <w:r>
        <w:rPr>
          <w:kern w:val="0"/>
        </w:rPr>
        <w:lastRenderedPageBreak/>
        <w:t>search resulted in 421 articles, which were reduced to 290 articles after removing duplicates</w:t>
      </w:r>
      <w:r w:rsidR="00A37C1D">
        <w:rPr>
          <w:kern w:val="0"/>
        </w:rPr>
        <w:t>. The</w:t>
      </w:r>
      <w:r w:rsidR="003A1917">
        <w:rPr>
          <w:kern w:val="0"/>
        </w:rPr>
        <w:t xml:space="preserve"> </w:t>
      </w:r>
      <w:r>
        <w:rPr>
          <w:kern w:val="0"/>
        </w:rPr>
        <w:t>hand search resulted in 17 articles, thus giving a total</w:t>
      </w:r>
      <w:r w:rsidR="00427468">
        <w:rPr>
          <w:kern w:val="0"/>
        </w:rPr>
        <w:t xml:space="preserve"> of </w:t>
      </w:r>
      <w:r>
        <w:rPr>
          <w:kern w:val="0"/>
        </w:rPr>
        <w:t>307 articles. Full text was available for 295 articles</w:t>
      </w:r>
      <w:r w:rsidR="00427468">
        <w:rPr>
          <w:kern w:val="0"/>
        </w:rPr>
        <w:t xml:space="preserve"> of </w:t>
      </w:r>
      <w:r>
        <w:rPr>
          <w:kern w:val="0"/>
        </w:rPr>
        <w:t>which 60 met</w:t>
      </w:r>
      <w:r w:rsidR="003A1917">
        <w:rPr>
          <w:kern w:val="0"/>
        </w:rPr>
        <w:t xml:space="preserve"> the </w:t>
      </w:r>
      <w:r>
        <w:rPr>
          <w:kern w:val="0"/>
        </w:rPr>
        <w:t>criteria for inclusion</w:t>
      </w:r>
      <w:r w:rsidR="00A37C1D">
        <w:rPr>
          <w:kern w:val="0"/>
        </w:rPr>
        <w:t>. The</w:t>
      </w:r>
      <w:r w:rsidR="003A1917">
        <w:rPr>
          <w:kern w:val="0"/>
        </w:rPr>
        <w:t xml:space="preserve"> </w:t>
      </w:r>
      <w:r>
        <w:rPr>
          <w:kern w:val="0"/>
        </w:rPr>
        <w:t>excluded 235 articles were case reports, reviews</w:t>
      </w:r>
      <w:r w:rsidR="005853A9">
        <w:rPr>
          <w:kern w:val="0"/>
        </w:rPr>
        <w:t xml:space="preserve"> and </w:t>
      </w:r>
      <w:r>
        <w:rPr>
          <w:kern w:val="0"/>
        </w:rPr>
        <w:t>guidelines on concussion management or studies that had not used a symptom scale or checklist. Conclusions: Six core scales were identified with a broad range</w:t>
      </w:r>
      <w:r w:rsidR="00427468">
        <w:rPr>
          <w:kern w:val="0"/>
        </w:rPr>
        <w:t xml:space="preserve"> of </w:t>
      </w:r>
      <w:r>
        <w:rPr>
          <w:kern w:val="0"/>
        </w:rPr>
        <w:t>symptom items but with limited information on their psychometric properties</w:t>
      </w:r>
      <w:r w:rsidR="00A37C1D">
        <w:rPr>
          <w:kern w:val="0"/>
        </w:rPr>
        <w:t>. The</w:t>
      </w:r>
      <w:r>
        <w:rPr>
          <w:kern w:val="0"/>
        </w:rPr>
        <w:t>re were numerous derivative scales reported, most</w:t>
      </w:r>
      <w:r w:rsidR="00427468">
        <w:rPr>
          <w:kern w:val="0"/>
        </w:rPr>
        <w:t xml:space="preserve"> of </w:t>
      </w:r>
      <w:r>
        <w:rPr>
          <w:kern w:val="0"/>
        </w:rPr>
        <w:t>which have not been methodically developed or subjected to scientific scrutiny. Despite this, they do make a contribution to</w:t>
      </w:r>
      <w:r w:rsidR="003A1917">
        <w:rPr>
          <w:kern w:val="0"/>
        </w:rPr>
        <w:t xml:space="preserve"> the </w:t>
      </w:r>
      <w:r>
        <w:rPr>
          <w:kern w:val="0"/>
        </w:rPr>
        <w:t>detection, assessment</w:t>
      </w:r>
      <w:r w:rsidR="005853A9">
        <w:rPr>
          <w:kern w:val="0"/>
        </w:rPr>
        <w:t xml:space="preserve"> and </w:t>
      </w:r>
      <w:r>
        <w:rPr>
          <w:kern w:val="0"/>
        </w:rPr>
        <w:t>return to play decisions but there is a need for</w:t>
      </w:r>
      <w:r w:rsidR="003A1917">
        <w:rPr>
          <w:kern w:val="0"/>
        </w:rPr>
        <w:t xml:space="preserve"> the </w:t>
      </w:r>
      <w:r>
        <w:rPr>
          <w:kern w:val="0"/>
        </w:rPr>
        <w:t>clinical user to be aware that many</w:t>
      </w:r>
      <w:r w:rsidR="00427468">
        <w:rPr>
          <w:kern w:val="0"/>
        </w:rPr>
        <w:t xml:space="preserve"> of </w:t>
      </w:r>
      <w:r>
        <w:rPr>
          <w:kern w:val="0"/>
        </w:rPr>
        <w:t xml:space="preserve">these scales have </w:t>
      </w:r>
      <w:r w:rsidR="00B5188C">
        <w:rPr>
          <w:kern w:val="0"/>
        </w:rPr>
        <w:t>“</w:t>
      </w:r>
      <w:r>
        <w:rPr>
          <w:kern w:val="0"/>
        </w:rPr>
        <w:t>evolved</w:t>
      </w:r>
      <w:r w:rsidR="00700038">
        <w:rPr>
          <w:kern w:val="0"/>
        </w:rPr>
        <w:t>’’</w:t>
      </w:r>
      <w:r>
        <w:rPr>
          <w:kern w:val="0"/>
        </w:rPr>
        <w:t xml:space="preserve"> rather than being scientifically developed.</w:t>
      </w:r>
    </w:p>
    <w:p w:rsidR="00255950" w:rsidRDefault="00255950" w:rsidP="00255950">
      <w:pPr>
        <w:pStyle w:val="a3"/>
        <w:rPr>
          <w:kern w:val="0"/>
        </w:rPr>
      </w:pPr>
      <w:r>
        <w:rPr>
          <w:kern w:val="0"/>
        </w:rPr>
        <w:t xml:space="preserve">Keywords: Assessment, Case Reports, Cerebral Concussion, Collegiate Football Players, Contribution, Guidelines, Head-Injury, High-School, Information, Intervention, Management, Measurement, Medical, Mild Brain-Injury, Neurocognitive Performance, Neuropsychological Test Protocol, Professional Football, </w:t>
      </w:r>
      <w:r w:rsidR="002C12F0">
        <w:rPr>
          <w:kern w:val="0"/>
        </w:rPr>
        <w:t>PUBMED</w:t>
      </w:r>
      <w:r>
        <w:rPr>
          <w:kern w:val="0"/>
        </w:rPr>
        <w:t xml:space="preserve">, Return To Play, Return-To-Play, Review, Science, Scopus, Sport, Sports-Related Concussion, Symptoms, Systematic, Systematic Review, </w:t>
      </w:r>
      <w:r w:rsidR="00D5664A">
        <w:rPr>
          <w:kern w:val="0"/>
        </w:rPr>
        <w:t>Web</w:t>
      </w:r>
      <w:r w:rsidR="00427468">
        <w:rPr>
          <w:kern w:val="0"/>
        </w:rPr>
        <w:t xml:space="preserve"> of </w:t>
      </w:r>
      <w:r w:rsidR="00D5664A">
        <w:rPr>
          <w:kern w:val="0"/>
        </w:rPr>
        <w:t>Science</w:t>
      </w:r>
    </w:p>
    <w:p w:rsidR="00255950" w:rsidRDefault="00255950" w:rsidP="00255950">
      <w:pPr>
        <w:pStyle w:val="a3"/>
        <w:rPr>
          <w:kern w:val="0"/>
        </w:rPr>
      </w:pPr>
      <w:r>
        <w:rPr>
          <w:rFonts w:hint="eastAsia"/>
          <w:kern w:val="0"/>
        </w:rPr>
        <w:t xml:space="preserve">? </w:t>
      </w:r>
      <w:r>
        <w:rPr>
          <w:kern w:val="0"/>
        </w:rPr>
        <w:t>Thorborg, K., Roos, E.M., Bartels, E.M., Petersen, J.</w:t>
      </w:r>
      <w:r w:rsidR="005853A9">
        <w:rPr>
          <w:kern w:val="0"/>
        </w:rPr>
        <w:t xml:space="preserve"> and </w:t>
      </w:r>
      <w:r>
        <w:rPr>
          <w:kern w:val="0"/>
        </w:rPr>
        <w:t>Holmich, P. (2010), Validity, reliability</w:t>
      </w:r>
      <w:r w:rsidR="005853A9">
        <w:rPr>
          <w:kern w:val="0"/>
        </w:rPr>
        <w:t xml:space="preserve"> and </w:t>
      </w:r>
      <w:r>
        <w:rPr>
          <w:kern w:val="0"/>
        </w:rPr>
        <w:t>responsiveness</w:t>
      </w:r>
      <w:r w:rsidR="00427468">
        <w:rPr>
          <w:kern w:val="0"/>
        </w:rPr>
        <w:t xml:space="preserve"> of </w:t>
      </w:r>
      <w:r>
        <w:rPr>
          <w:kern w:val="0"/>
        </w:rPr>
        <w:t>patient-reported outcome questionnaires when assessing hip</w:t>
      </w:r>
      <w:r w:rsidR="005853A9">
        <w:rPr>
          <w:kern w:val="0"/>
        </w:rPr>
        <w:t xml:space="preserve"> and </w:t>
      </w:r>
      <w:r>
        <w:rPr>
          <w:kern w:val="0"/>
        </w:rPr>
        <w:t xml:space="preserve">groin disability: A systematic review.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44</w:t>
      </w:r>
      <w:r>
        <w:rPr>
          <w:kern w:val="0"/>
        </w:rPr>
        <w:t xml:space="preserve"> (16), 1186-1196.</w:t>
      </w:r>
    </w:p>
    <w:p w:rsidR="00255950" w:rsidRPr="003862C4" w:rsidRDefault="00255950" w:rsidP="00255950">
      <w:pPr>
        <w:pStyle w:val="a3"/>
      </w:pPr>
      <w:r>
        <w:rPr>
          <w:rFonts w:hint="eastAsia"/>
        </w:rPr>
        <w:t>Full Text:</w:t>
      </w:r>
      <w:r w:rsidRPr="003862C4">
        <w:rPr>
          <w:rFonts w:hint="eastAsia"/>
        </w:rPr>
        <w:t xml:space="preserve"> </w:t>
      </w:r>
      <w:hyperlink r:id="rId1943" w:history="1">
        <w:r w:rsidR="00517EB4" w:rsidRPr="00517EB4">
          <w:rPr>
            <w:rStyle w:val="a5"/>
          </w:rPr>
          <w:t>2010\Bri J Spo Med44, 1186.pdf</w:t>
        </w:r>
      </w:hyperlink>
    </w:p>
    <w:p w:rsidR="00255950" w:rsidRDefault="00255950" w:rsidP="00255950">
      <w:pPr>
        <w:pStyle w:val="a3"/>
        <w:rPr>
          <w:kern w:val="0"/>
        </w:rPr>
      </w:pPr>
      <w:r>
        <w:rPr>
          <w:kern w:val="0"/>
        </w:rPr>
        <w:t>Abstract: Background Novel treatment interventions are advancing rapidly in</w:t>
      </w:r>
      <w:r w:rsidR="003A1917">
        <w:rPr>
          <w:kern w:val="0"/>
        </w:rPr>
        <w:t xml:space="preserve"> the </w:t>
      </w:r>
      <w:r>
        <w:rPr>
          <w:kern w:val="0"/>
        </w:rPr>
        <w:t>management</w:t>
      </w:r>
      <w:r w:rsidR="00427468">
        <w:rPr>
          <w:kern w:val="0"/>
        </w:rPr>
        <w:t xml:space="preserve"> of </w:t>
      </w:r>
      <w:r>
        <w:rPr>
          <w:kern w:val="0"/>
        </w:rPr>
        <w:t>hip</w:t>
      </w:r>
      <w:r w:rsidR="005853A9">
        <w:rPr>
          <w:kern w:val="0"/>
        </w:rPr>
        <w:t xml:space="preserve"> and </w:t>
      </w:r>
      <w:r>
        <w:rPr>
          <w:kern w:val="0"/>
        </w:rPr>
        <w:t>groin disability in</w:t>
      </w:r>
      <w:r w:rsidR="003A1917">
        <w:rPr>
          <w:kern w:val="0"/>
        </w:rPr>
        <w:t xml:space="preserve"> the </w:t>
      </w:r>
      <w:r>
        <w:rPr>
          <w:kern w:val="0"/>
        </w:rPr>
        <w:t>physically active young to middle-aged population. Objective To recommend</w:t>
      </w:r>
      <w:r w:rsidR="003A1917">
        <w:rPr>
          <w:kern w:val="0"/>
        </w:rPr>
        <w:t xml:space="preserve"> the </w:t>
      </w:r>
      <w:r>
        <w:rPr>
          <w:kern w:val="0"/>
        </w:rPr>
        <w:t>most suitable patient-reported outcome (PRO) questionnaires for</w:t>
      </w:r>
      <w:r w:rsidR="003A1917">
        <w:rPr>
          <w:kern w:val="0"/>
        </w:rPr>
        <w:t xml:space="preserve"> the </w:t>
      </w:r>
      <w:r>
        <w:rPr>
          <w:kern w:val="0"/>
        </w:rPr>
        <w:t>assessment</w:t>
      </w:r>
      <w:r w:rsidR="00427468">
        <w:rPr>
          <w:kern w:val="0"/>
        </w:rPr>
        <w:t xml:space="preserve"> of </w:t>
      </w:r>
      <w:r>
        <w:rPr>
          <w:kern w:val="0"/>
        </w:rPr>
        <w:t>hip</w:t>
      </w:r>
      <w:r w:rsidR="005853A9">
        <w:rPr>
          <w:kern w:val="0"/>
        </w:rPr>
        <w:t xml:space="preserve"> and </w:t>
      </w:r>
      <w:r>
        <w:rPr>
          <w:kern w:val="0"/>
        </w:rPr>
        <w:t>groin disability based on a systematic review</w:t>
      </w:r>
      <w:r w:rsidR="00427468">
        <w:rPr>
          <w:kern w:val="0"/>
        </w:rPr>
        <w:t xml:space="preserve"> of </w:t>
      </w:r>
      <w:r>
        <w:rPr>
          <w:kern w:val="0"/>
        </w:rPr>
        <w:t>evidence</w:t>
      </w:r>
      <w:r w:rsidR="00427468">
        <w:rPr>
          <w:kern w:val="0"/>
        </w:rPr>
        <w:t xml:space="preserve"> of </w:t>
      </w:r>
      <w:r>
        <w:rPr>
          <w:kern w:val="0"/>
        </w:rPr>
        <w:t>validity, reliability</w:t>
      </w:r>
      <w:r w:rsidR="005853A9">
        <w:rPr>
          <w:kern w:val="0"/>
        </w:rPr>
        <w:t xml:space="preserve"> and </w:t>
      </w:r>
      <w:r>
        <w:rPr>
          <w:kern w:val="0"/>
        </w:rPr>
        <w:t>responsiveness</w:t>
      </w:r>
      <w:r w:rsidR="00427468">
        <w:rPr>
          <w:kern w:val="0"/>
        </w:rPr>
        <w:t xml:space="preserve"> of </w:t>
      </w:r>
      <w:r>
        <w:rPr>
          <w:kern w:val="0"/>
        </w:rPr>
        <w:t xml:space="preserve">these instruments. Methods </w:t>
      </w:r>
      <w:r w:rsidR="00D5664A">
        <w:rPr>
          <w:kern w:val="0"/>
        </w:rPr>
        <w:t>MEDLINE</w:t>
      </w:r>
      <w:r>
        <w:rPr>
          <w:kern w:val="0"/>
        </w:rPr>
        <w:t>, EMBASE, CINAHL, Cochrane Central Register</w:t>
      </w:r>
      <w:r w:rsidR="00427468">
        <w:rPr>
          <w:kern w:val="0"/>
        </w:rPr>
        <w:t xml:space="preserve"> of </w:t>
      </w:r>
      <w:r>
        <w:rPr>
          <w:kern w:val="0"/>
        </w:rPr>
        <w:t>Controlled Trials, PsycINFO, SportsDiscus</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were all searched up to January 2009. Two reviewers independently rated measurement properties</w:t>
      </w:r>
      <w:r w:rsidR="00427468">
        <w:rPr>
          <w:kern w:val="0"/>
        </w:rPr>
        <w:t xml:space="preserve"> of </w:t>
      </w:r>
      <w:r w:rsidR="003A1917">
        <w:rPr>
          <w:kern w:val="0"/>
        </w:rPr>
        <w:t xml:space="preserve">the </w:t>
      </w:r>
      <w:r>
        <w:rPr>
          <w:kern w:val="0"/>
        </w:rPr>
        <w:t>PRO questionnaires in</w:t>
      </w:r>
      <w:r w:rsidR="003A1917">
        <w:rPr>
          <w:kern w:val="0"/>
        </w:rPr>
        <w:t xml:space="preserve"> the </w:t>
      </w:r>
      <w:r>
        <w:rPr>
          <w:kern w:val="0"/>
        </w:rPr>
        <w:t>included studies, according to a standardised criteria list. Results</w:t>
      </w:r>
      <w:r w:rsidR="003A1917">
        <w:rPr>
          <w:kern w:val="0"/>
        </w:rPr>
        <w:t xml:space="preserve"> the </w:t>
      </w:r>
      <w:r>
        <w:rPr>
          <w:kern w:val="0"/>
        </w:rPr>
        <w:t>computerised search identified 2737 publications. Forty-one publications investigating measurement properties</w:t>
      </w:r>
      <w:r w:rsidR="00427468">
        <w:rPr>
          <w:kern w:val="0"/>
        </w:rPr>
        <w:t xml:space="preserve"> of </w:t>
      </w:r>
      <w:r>
        <w:rPr>
          <w:kern w:val="0"/>
        </w:rPr>
        <w:t>PRO questionnaires assessing hip or groin disability were included in</w:t>
      </w:r>
      <w:r w:rsidR="003A1917">
        <w:rPr>
          <w:kern w:val="0"/>
        </w:rPr>
        <w:t xml:space="preserve"> the </w:t>
      </w:r>
      <w:r>
        <w:rPr>
          <w:kern w:val="0"/>
        </w:rPr>
        <w:t>study. Twelve different questionnaires designed for patients with hip disability</w:t>
      </w:r>
      <w:r w:rsidR="005853A9">
        <w:rPr>
          <w:kern w:val="0"/>
        </w:rPr>
        <w:t xml:space="preserve"> and </w:t>
      </w:r>
      <w:r>
        <w:rPr>
          <w:kern w:val="0"/>
        </w:rPr>
        <w:t>one questionnaire for patients with groin disability were identified. Hip dysfunction</w:t>
      </w:r>
      <w:r w:rsidR="005853A9">
        <w:rPr>
          <w:kern w:val="0"/>
        </w:rPr>
        <w:t xml:space="preserve"> and </w:t>
      </w:r>
      <w:r>
        <w:rPr>
          <w:kern w:val="0"/>
        </w:rPr>
        <w:t>Osteoarthritis Outcome Score (HOOS) contains adequate measurement qualities to evaluate patients with hip osteoarthritis (OA) or total hip replacement (THR). Hip Outcome Score (HOS) is</w:t>
      </w:r>
      <w:r w:rsidR="003A1917">
        <w:rPr>
          <w:kern w:val="0"/>
        </w:rPr>
        <w:t xml:space="preserve"> the </w:t>
      </w:r>
      <w:r>
        <w:rPr>
          <w:kern w:val="0"/>
        </w:rPr>
        <w:t xml:space="preserve">best </w:t>
      </w:r>
      <w:r>
        <w:rPr>
          <w:kern w:val="0"/>
        </w:rPr>
        <w:lastRenderedPageBreak/>
        <w:t>available questionnaire for evaluating hip arthroscopy, but</w:t>
      </w:r>
      <w:r w:rsidR="003A1917">
        <w:rPr>
          <w:kern w:val="0"/>
        </w:rPr>
        <w:t xml:space="preserve"> the </w:t>
      </w:r>
      <w:r>
        <w:rPr>
          <w:kern w:val="0"/>
        </w:rPr>
        <w:t>Inguinal Pain Questionnaire,</w:t>
      </w:r>
      <w:r w:rsidR="003A1917">
        <w:rPr>
          <w:kern w:val="0"/>
        </w:rPr>
        <w:t xml:space="preserve"> the </w:t>
      </w:r>
      <w:r>
        <w:rPr>
          <w:kern w:val="0"/>
        </w:rPr>
        <w:t>only identified questionnaire evaluating groin disability, does not contain adequate measurement qualities. Conclusions HOOS is recommended for evaluating patients with hip OA undergoing non-surgical treatment</w:t>
      </w:r>
      <w:r w:rsidR="005853A9">
        <w:rPr>
          <w:kern w:val="0"/>
        </w:rPr>
        <w:t xml:space="preserve"> and </w:t>
      </w:r>
      <w:r>
        <w:rPr>
          <w:kern w:val="0"/>
        </w:rPr>
        <w:t>surgical interventions such as THR. HOS is recommended for evaluating patients undergoing hip arthroscopy. Current</w:t>
      </w:r>
      <w:r w:rsidR="005853A9">
        <w:rPr>
          <w:kern w:val="0"/>
        </w:rPr>
        <w:t xml:space="preserve"> and </w:t>
      </w:r>
      <w:r>
        <w:rPr>
          <w:kern w:val="0"/>
        </w:rPr>
        <w:t>new PRO questionnaires should also be evaluated in younger patients (age &lt;50) with hip and/or groin disability, including surgical</w:t>
      </w:r>
      <w:r w:rsidR="005853A9">
        <w:rPr>
          <w:kern w:val="0"/>
        </w:rPr>
        <w:t xml:space="preserve"> and </w:t>
      </w:r>
      <w:r>
        <w:rPr>
          <w:kern w:val="0"/>
        </w:rPr>
        <w:t>non-surgical patients.</w:t>
      </w:r>
    </w:p>
    <w:p w:rsidR="00255950" w:rsidRDefault="00255950" w:rsidP="00255950">
      <w:pPr>
        <w:pStyle w:val="a3"/>
        <w:rPr>
          <w:kern w:val="0"/>
        </w:rPr>
      </w:pPr>
      <w:r>
        <w:rPr>
          <w:kern w:val="0"/>
        </w:rPr>
        <w:t xml:space="preserve">Keywords: Arthroplasty, Assessment, Cochrane, EMBASE, Femoroacetabular Impingement, Health-Status, Interventions, Management, Measurement, </w:t>
      </w:r>
      <w:r w:rsidR="00D5664A">
        <w:rPr>
          <w:kern w:val="0"/>
        </w:rPr>
        <w:t>MEDLINE</w:t>
      </w:r>
      <w:r>
        <w:rPr>
          <w:kern w:val="0"/>
        </w:rPr>
        <w:t>, Methods, Outcome, Publications, Quality</w:t>
      </w:r>
      <w:r w:rsidR="00434900">
        <w:rPr>
          <w:kern w:val="0"/>
        </w:rPr>
        <w:t>-of-</w:t>
      </w:r>
      <w:r>
        <w:rPr>
          <w:kern w:val="0"/>
        </w:rPr>
        <w:t xml:space="preserve">Life, Questionnaire, Questionnaires, Randomized Controlled-Trials, Reliability, Replacement Surgery, Review, Science, Scoring Systems, Surgical, Systematic, Systematic Review, The-Literature, Treatment, University Osteoarthritis Index, Validity, </w:t>
      </w:r>
      <w:r w:rsidR="00D5664A">
        <w:rPr>
          <w:kern w:val="0"/>
        </w:rPr>
        <w:t>Web</w:t>
      </w:r>
      <w:r w:rsidR="00427468">
        <w:rPr>
          <w:kern w:val="0"/>
        </w:rPr>
        <w:t xml:space="preserve"> of </w:t>
      </w:r>
      <w:r w:rsidR="00D5664A">
        <w:rPr>
          <w:kern w:val="0"/>
        </w:rPr>
        <w:t>Science</w:t>
      </w:r>
      <w:r>
        <w:rPr>
          <w:kern w:val="0"/>
        </w:rPr>
        <w:t>, Western-Ontario-University</w:t>
      </w:r>
    </w:p>
    <w:p w:rsidR="00255950" w:rsidRDefault="00255950" w:rsidP="00255950">
      <w:pPr>
        <w:pStyle w:val="a3"/>
        <w:rPr>
          <w:kern w:val="0"/>
        </w:rPr>
      </w:pPr>
      <w:r>
        <w:rPr>
          <w:rFonts w:hint="eastAsia"/>
          <w:kern w:val="0"/>
        </w:rPr>
        <w:t xml:space="preserve">? </w:t>
      </w:r>
      <w:r>
        <w:rPr>
          <w:kern w:val="0"/>
        </w:rPr>
        <w:t>Alla, S., Sullivan, S.J., McCrory, P.</w:t>
      </w:r>
      <w:r w:rsidR="005853A9">
        <w:rPr>
          <w:kern w:val="0"/>
        </w:rPr>
        <w:t xml:space="preserve"> and </w:t>
      </w:r>
      <w:r>
        <w:rPr>
          <w:kern w:val="0"/>
        </w:rPr>
        <w:t>Hale, L. (2011), Spreading</w:t>
      </w:r>
      <w:r w:rsidR="003A1917">
        <w:rPr>
          <w:kern w:val="0"/>
        </w:rPr>
        <w:t xml:space="preserve"> the </w:t>
      </w:r>
      <w:r>
        <w:rPr>
          <w:kern w:val="0"/>
        </w:rPr>
        <w:t>word on sports concussion: Citation analysis</w:t>
      </w:r>
      <w:r w:rsidR="00427468">
        <w:rPr>
          <w:kern w:val="0"/>
        </w:rPr>
        <w:t xml:space="preserve"> of </w:t>
      </w:r>
      <w:r>
        <w:rPr>
          <w:kern w:val="0"/>
        </w:rPr>
        <w:t>summary</w:t>
      </w:r>
      <w:r w:rsidR="005853A9">
        <w:rPr>
          <w:kern w:val="0"/>
        </w:rPr>
        <w:t xml:space="preserve"> and </w:t>
      </w:r>
      <w:r>
        <w:rPr>
          <w:kern w:val="0"/>
        </w:rPr>
        <w:t>agreement, position</w:t>
      </w:r>
      <w:r w:rsidR="005853A9">
        <w:rPr>
          <w:kern w:val="0"/>
        </w:rPr>
        <w:t xml:space="preserve"> and </w:t>
      </w:r>
      <w:r>
        <w:rPr>
          <w:kern w:val="0"/>
        </w:rPr>
        <w:t xml:space="preserve">consensus statements on sports concussion.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45</w:t>
      </w:r>
      <w:r>
        <w:rPr>
          <w:kern w:val="0"/>
        </w:rPr>
        <w:t xml:space="preserve"> (2), 132-135.</w:t>
      </w:r>
    </w:p>
    <w:p w:rsidR="00255950" w:rsidRPr="003862C4" w:rsidRDefault="00255950" w:rsidP="00255950">
      <w:pPr>
        <w:pStyle w:val="a3"/>
      </w:pPr>
      <w:r>
        <w:rPr>
          <w:rFonts w:hint="eastAsia"/>
        </w:rPr>
        <w:t>Full Text:</w:t>
      </w:r>
      <w:r w:rsidRPr="003862C4">
        <w:rPr>
          <w:rFonts w:hint="eastAsia"/>
        </w:rPr>
        <w:t xml:space="preserve"> </w:t>
      </w:r>
      <w:hyperlink r:id="rId1944" w:history="1">
        <w:r w:rsidR="00517EB4" w:rsidRPr="00517EB4">
          <w:rPr>
            <w:rStyle w:val="a5"/>
          </w:rPr>
          <w:t>2011\Bri J Spo Med45, 132.pdf</w:t>
        </w:r>
      </w:hyperlink>
    </w:p>
    <w:p w:rsidR="00255950" w:rsidRDefault="00255950" w:rsidP="00255950">
      <w:pPr>
        <w:pStyle w:val="a3"/>
        <w:rPr>
          <w:kern w:val="0"/>
        </w:rPr>
      </w:pPr>
      <w:r>
        <w:rPr>
          <w:kern w:val="0"/>
        </w:rPr>
        <w:t>Abstract: Background</w:t>
      </w:r>
      <w:r w:rsidR="003A1917">
        <w:rPr>
          <w:kern w:val="0"/>
        </w:rPr>
        <w:t xml:space="preserve"> the </w:t>
      </w:r>
      <w:r>
        <w:rPr>
          <w:kern w:val="0"/>
        </w:rPr>
        <w:t>growing concern over concussion in sports has led to</w:t>
      </w:r>
      <w:r w:rsidR="003A1917">
        <w:rPr>
          <w:kern w:val="0"/>
        </w:rPr>
        <w:t xml:space="preserve"> the </w:t>
      </w:r>
      <w:r>
        <w:rPr>
          <w:kern w:val="0"/>
        </w:rPr>
        <w:t>publication</w:t>
      </w:r>
      <w:r w:rsidR="00427468">
        <w:rPr>
          <w:kern w:val="0"/>
        </w:rPr>
        <w:t xml:space="preserve"> of </w:t>
      </w:r>
      <w:r>
        <w:rPr>
          <w:kern w:val="0"/>
        </w:rPr>
        <w:t>five major summary</w:t>
      </w:r>
      <w:r w:rsidR="005853A9">
        <w:rPr>
          <w:kern w:val="0"/>
        </w:rPr>
        <w:t xml:space="preserve"> and </w:t>
      </w:r>
      <w:r>
        <w:rPr>
          <w:kern w:val="0"/>
        </w:rPr>
        <w:t>agreement, position</w:t>
      </w:r>
      <w:r w:rsidR="005853A9">
        <w:rPr>
          <w:kern w:val="0"/>
        </w:rPr>
        <w:t xml:space="preserve"> and </w:t>
      </w:r>
      <w:r>
        <w:rPr>
          <w:kern w:val="0"/>
        </w:rPr>
        <w:t>consensus statements since 2000</w:t>
      </w:r>
      <w:r w:rsidR="00A37C1D">
        <w:rPr>
          <w:kern w:val="0"/>
        </w:rPr>
        <w:t>. The</w:t>
      </w:r>
      <w:r w:rsidR="003A1917">
        <w:rPr>
          <w:kern w:val="0"/>
        </w:rPr>
        <w:t xml:space="preserve"> </w:t>
      </w:r>
      <w:r>
        <w:rPr>
          <w:kern w:val="0"/>
        </w:rPr>
        <w:t>dissemination</w:t>
      </w:r>
      <w:r w:rsidR="00427468">
        <w:rPr>
          <w:kern w:val="0"/>
        </w:rPr>
        <w:t xml:space="preserve"> of </w:t>
      </w:r>
      <w:r>
        <w:rPr>
          <w:kern w:val="0"/>
        </w:rPr>
        <w:t>information from these statements is largely unknown</w:t>
      </w:r>
      <w:r w:rsidR="005853A9">
        <w:rPr>
          <w:kern w:val="0"/>
        </w:rPr>
        <w:t xml:space="preserve"> and </w:t>
      </w:r>
      <w:r>
        <w:rPr>
          <w:kern w:val="0"/>
        </w:rPr>
        <w:t>difficult to quantify, but their impact on</w:t>
      </w:r>
      <w:r w:rsidR="003A1917">
        <w:rPr>
          <w:kern w:val="0"/>
        </w:rPr>
        <w:t xml:space="preserve"> the </w:t>
      </w:r>
      <w:r>
        <w:rPr>
          <w:kern w:val="0"/>
        </w:rPr>
        <w:t>research community can be quantified by analysing</w:t>
      </w:r>
      <w:r w:rsidR="003A1917">
        <w:rPr>
          <w:kern w:val="0"/>
        </w:rPr>
        <w:t xml:space="preserve"> the </w:t>
      </w:r>
      <w:r>
        <w:rPr>
          <w:kern w:val="0"/>
        </w:rPr>
        <w:t>number</w:t>
      </w:r>
      <w:r w:rsidR="00427468">
        <w:rPr>
          <w:kern w:val="0"/>
        </w:rPr>
        <w:t xml:space="preserve"> of </w:t>
      </w:r>
      <w:r>
        <w:rPr>
          <w:kern w:val="0"/>
        </w:rPr>
        <w:t>citations to these key publications</w:t>
      </w:r>
      <w:r w:rsidR="00A37C1D">
        <w:rPr>
          <w:kern w:val="0"/>
        </w:rPr>
        <w:t>. The</w:t>
      </w:r>
      <w:r w:rsidR="003A1917">
        <w:rPr>
          <w:kern w:val="0"/>
        </w:rPr>
        <w:t xml:space="preserve"> </w:t>
      </w:r>
      <w:r>
        <w:rPr>
          <w:kern w:val="0"/>
        </w:rPr>
        <w:t>purpose</w:t>
      </w:r>
      <w:r w:rsidR="00427468">
        <w:rPr>
          <w:kern w:val="0"/>
        </w:rPr>
        <w:t xml:space="preserve"> of </w:t>
      </w:r>
      <w:r>
        <w:rPr>
          <w:kern w:val="0"/>
        </w:rPr>
        <w:t>this review is to report</w:t>
      </w:r>
      <w:r w:rsidR="003A1917">
        <w:rPr>
          <w:kern w:val="0"/>
        </w:rPr>
        <w:t xml:space="preserve"> the </w:t>
      </w:r>
      <w:r>
        <w:rPr>
          <w:kern w:val="0"/>
        </w:rPr>
        <w:t>number</w:t>
      </w:r>
      <w:r w:rsidR="005853A9">
        <w:rPr>
          <w:kern w:val="0"/>
        </w:rPr>
        <w:t xml:space="preserve"> and </w:t>
      </w:r>
      <w:r>
        <w:rPr>
          <w:kern w:val="0"/>
        </w:rPr>
        <w:t>pattern</w:t>
      </w:r>
      <w:r w:rsidR="00427468">
        <w:rPr>
          <w:kern w:val="0"/>
        </w:rPr>
        <w:t xml:space="preserve"> of </w:t>
      </w:r>
      <w:r>
        <w:rPr>
          <w:kern w:val="0"/>
        </w:rPr>
        <w:t>citations to</w:t>
      </w:r>
      <w:r w:rsidR="003A1917">
        <w:rPr>
          <w:kern w:val="0"/>
        </w:rPr>
        <w:t xml:space="preserve"> the </w:t>
      </w:r>
      <w:r>
        <w:rPr>
          <w:kern w:val="0"/>
        </w:rPr>
        <w:t xml:space="preserve">key published statements on sports concussion. Methods </w:t>
      </w:r>
      <w:r w:rsidR="00D5664A">
        <w:rPr>
          <w:kern w:val="0"/>
        </w:rPr>
        <w:t>Web</w:t>
      </w:r>
      <w:r w:rsidR="00427468">
        <w:rPr>
          <w:kern w:val="0"/>
        </w:rPr>
        <w:t xml:space="preserve"> of </w:t>
      </w:r>
      <w:r w:rsidR="00D5664A">
        <w:rPr>
          <w:kern w:val="0"/>
        </w:rPr>
        <w:t>Science</w:t>
      </w:r>
      <w:r>
        <w:rPr>
          <w:kern w:val="0"/>
        </w:rPr>
        <w:t>, Scopus</w:t>
      </w:r>
      <w:r w:rsidR="005853A9">
        <w:rPr>
          <w:kern w:val="0"/>
        </w:rPr>
        <w:t xml:space="preserve"> and </w:t>
      </w:r>
      <w:r w:rsidR="002C12F0">
        <w:rPr>
          <w:kern w:val="0"/>
        </w:rPr>
        <w:t>PUBMED</w:t>
      </w:r>
      <w:r>
        <w:rPr>
          <w:kern w:val="0"/>
        </w:rPr>
        <w:t xml:space="preserve"> were searched from 2000 to mid-December 2009 using two different search strategies</w:t>
      </w:r>
      <w:r w:rsidR="00A37C1D">
        <w:rPr>
          <w:kern w:val="0"/>
        </w:rPr>
        <w:t>. The</w:t>
      </w:r>
      <w:r w:rsidR="003A1917">
        <w:rPr>
          <w:kern w:val="0"/>
        </w:rPr>
        <w:t xml:space="preserve"> </w:t>
      </w:r>
      <w:r>
        <w:rPr>
          <w:kern w:val="0"/>
        </w:rPr>
        <w:t>first strategy used</w:t>
      </w:r>
      <w:r w:rsidR="003A1917">
        <w:rPr>
          <w:kern w:val="0"/>
        </w:rPr>
        <w:t xml:space="preserve"> the </w:t>
      </w:r>
      <w:r>
        <w:rPr>
          <w:kern w:val="0"/>
        </w:rPr>
        <w:t xml:space="preserve">search terms </w:t>
      </w:r>
      <w:r w:rsidR="00700038">
        <w:rPr>
          <w:kern w:val="0"/>
        </w:rPr>
        <w:t>‘</w:t>
      </w:r>
      <w:r>
        <w:rPr>
          <w:kern w:val="0"/>
        </w:rPr>
        <w:t>concussion</w:t>
      </w:r>
      <w:r w:rsidR="00700038">
        <w:rPr>
          <w:kern w:val="0"/>
        </w:rPr>
        <w:t>’</w:t>
      </w:r>
      <w:r w:rsidR="005853A9">
        <w:rPr>
          <w:kern w:val="0"/>
        </w:rPr>
        <w:t xml:space="preserve"> and </w:t>
      </w:r>
      <w:r w:rsidR="00700038">
        <w:rPr>
          <w:kern w:val="0"/>
        </w:rPr>
        <w:t>‘</w:t>
      </w:r>
      <w:r>
        <w:rPr>
          <w:kern w:val="0"/>
        </w:rPr>
        <w:t>first author</w:t>
      </w:r>
      <w:r w:rsidR="00700038">
        <w:rPr>
          <w:kern w:val="0"/>
        </w:rPr>
        <w:t>’</w:t>
      </w:r>
      <w:r w:rsidR="00427468">
        <w:rPr>
          <w:kern w:val="0"/>
        </w:rPr>
        <w:t xml:space="preserve"> of </w:t>
      </w:r>
      <w:r w:rsidR="003A1917">
        <w:rPr>
          <w:kern w:val="0"/>
        </w:rPr>
        <w:t xml:space="preserve">the </w:t>
      </w:r>
      <w:r>
        <w:rPr>
          <w:kern w:val="0"/>
        </w:rPr>
        <w:t>statement article, while</w:t>
      </w:r>
      <w:r w:rsidR="003A1917">
        <w:rPr>
          <w:kern w:val="0"/>
        </w:rPr>
        <w:t xml:space="preserve"> the </w:t>
      </w:r>
      <w:r>
        <w:rPr>
          <w:kern w:val="0"/>
        </w:rPr>
        <w:t>second used</w:t>
      </w:r>
      <w:r w:rsidR="003A1917">
        <w:rPr>
          <w:kern w:val="0"/>
        </w:rPr>
        <w:t xml:space="preserve"> the </w:t>
      </w:r>
      <w:r w:rsidR="00700038">
        <w:rPr>
          <w:kern w:val="0"/>
        </w:rPr>
        <w:t>‘</w:t>
      </w:r>
      <w:r>
        <w:rPr>
          <w:kern w:val="0"/>
        </w:rPr>
        <w:t>title</w:t>
      </w:r>
      <w:r w:rsidR="00700038">
        <w:rPr>
          <w:kern w:val="0"/>
        </w:rPr>
        <w:t>’</w:t>
      </w:r>
      <w:r w:rsidR="00427468">
        <w:rPr>
          <w:kern w:val="0"/>
        </w:rPr>
        <w:t xml:space="preserve"> of </w:t>
      </w:r>
      <w:r w:rsidR="003A1917">
        <w:rPr>
          <w:kern w:val="0"/>
        </w:rPr>
        <w:t xml:space="preserve">the </w:t>
      </w:r>
      <w:r>
        <w:rPr>
          <w:kern w:val="0"/>
        </w:rPr>
        <w:t>target article as</w:t>
      </w:r>
      <w:r w:rsidR="003A1917">
        <w:rPr>
          <w:kern w:val="0"/>
        </w:rPr>
        <w:t xml:space="preserve"> the </w:t>
      </w:r>
      <w:r>
        <w:rPr>
          <w:kern w:val="0"/>
        </w:rPr>
        <w:t>key search term. Results</w:t>
      </w:r>
      <w:r w:rsidR="003A1917">
        <w:rPr>
          <w:kern w:val="0"/>
        </w:rPr>
        <w:t xml:space="preserve"> the </w:t>
      </w:r>
      <w:r>
        <w:rPr>
          <w:kern w:val="0"/>
        </w:rPr>
        <w:t>publications resulting from</w:t>
      </w:r>
      <w:r w:rsidR="003A1917">
        <w:rPr>
          <w:kern w:val="0"/>
        </w:rPr>
        <w:t xml:space="preserve"> the </w:t>
      </w:r>
      <w:r>
        <w:rPr>
          <w:kern w:val="0"/>
        </w:rPr>
        <w:t xml:space="preserve">three </w:t>
      </w:r>
      <w:r w:rsidR="00700038">
        <w:rPr>
          <w:kern w:val="0"/>
        </w:rPr>
        <w:t>‘</w:t>
      </w:r>
      <w:r>
        <w:rPr>
          <w:kern w:val="0"/>
        </w:rPr>
        <w:t>Concussion in Sport</w:t>
      </w:r>
      <w:r w:rsidR="00700038">
        <w:rPr>
          <w:kern w:val="0"/>
        </w:rPr>
        <w:t>’</w:t>
      </w:r>
      <w:r>
        <w:rPr>
          <w:kern w:val="0"/>
        </w:rPr>
        <w:t xml:space="preserve"> (CIS) group conferences were cited by 532 journal articles, while</w:t>
      </w:r>
      <w:r w:rsidR="003A1917">
        <w:rPr>
          <w:kern w:val="0"/>
        </w:rPr>
        <w:t xml:space="preserve"> the </w:t>
      </w:r>
      <w:r>
        <w:rPr>
          <w:kern w:val="0"/>
        </w:rPr>
        <w:t>National Athletic Trainers</w:t>
      </w:r>
      <w:r w:rsidR="00700038">
        <w:rPr>
          <w:kern w:val="0"/>
        </w:rPr>
        <w:t>’</w:t>
      </w:r>
      <w:r>
        <w:rPr>
          <w:kern w:val="0"/>
        </w:rPr>
        <w:t xml:space="preserve"> Association position statement was cited 123 times</w:t>
      </w:r>
      <w:r w:rsidR="00A37C1D">
        <w:rPr>
          <w:kern w:val="0"/>
        </w:rPr>
        <w:t>. The</w:t>
      </w:r>
      <w:r w:rsidR="003A1917">
        <w:rPr>
          <w:kern w:val="0"/>
        </w:rPr>
        <w:t xml:space="preserve"> </w:t>
      </w:r>
      <w:r>
        <w:rPr>
          <w:kern w:val="0"/>
        </w:rPr>
        <w:t>highest number</w:t>
      </w:r>
      <w:r w:rsidR="00427468">
        <w:rPr>
          <w:kern w:val="0"/>
        </w:rPr>
        <w:t xml:space="preserve"> of </w:t>
      </w:r>
      <w:r>
        <w:rPr>
          <w:kern w:val="0"/>
        </w:rPr>
        <w:t>citations to each</w:t>
      </w:r>
      <w:r w:rsidR="00427468">
        <w:rPr>
          <w:kern w:val="0"/>
        </w:rPr>
        <w:t xml:space="preserve"> of </w:t>
      </w:r>
      <w:r w:rsidR="003A1917">
        <w:rPr>
          <w:kern w:val="0"/>
        </w:rPr>
        <w:t xml:space="preserve">the </w:t>
      </w:r>
      <w:r>
        <w:rPr>
          <w:kern w:val="0"/>
        </w:rPr>
        <w:t>five identified statements was seen in 2009. British Journal</w:t>
      </w:r>
      <w:r w:rsidR="00427468">
        <w:rPr>
          <w:kern w:val="0"/>
        </w:rPr>
        <w:t xml:space="preserve"> of </w:t>
      </w:r>
      <w:r>
        <w:rPr>
          <w:kern w:val="0"/>
        </w:rPr>
        <w:t>Sports Medicine was</w:t>
      </w:r>
      <w:r w:rsidR="003A1917">
        <w:rPr>
          <w:kern w:val="0"/>
        </w:rPr>
        <w:t xml:space="preserve"> the </w:t>
      </w:r>
      <w:r>
        <w:rPr>
          <w:kern w:val="0"/>
        </w:rPr>
        <w:t>most frequently cited journal. Conclusion</w:t>
      </w:r>
      <w:r w:rsidR="003A1917">
        <w:rPr>
          <w:kern w:val="0"/>
        </w:rPr>
        <w:t xml:space="preserve"> the </w:t>
      </w:r>
      <w:r>
        <w:rPr>
          <w:kern w:val="0"/>
        </w:rPr>
        <w:t>citation analysis</w:t>
      </w:r>
      <w:r w:rsidR="00427468">
        <w:rPr>
          <w:kern w:val="0"/>
        </w:rPr>
        <w:t xml:space="preserve"> of </w:t>
      </w:r>
      <w:r w:rsidR="003A1917">
        <w:rPr>
          <w:kern w:val="0"/>
        </w:rPr>
        <w:t xml:space="preserve">the </w:t>
      </w:r>
      <w:r>
        <w:rPr>
          <w:kern w:val="0"/>
        </w:rPr>
        <w:t>key statements on sports concussion has shown that</w:t>
      </w:r>
      <w:r w:rsidR="003A1917">
        <w:rPr>
          <w:kern w:val="0"/>
        </w:rPr>
        <w:t xml:space="preserve"> the </w:t>
      </w:r>
      <w:r>
        <w:rPr>
          <w:kern w:val="0"/>
        </w:rPr>
        <w:t>target papers have been widely cited in</w:t>
      </w:r>
      <w:r w:rsidR="003A1917">
        <w:rPr>
          <w:kern w:val="0"/>
        </w:rPr>
        <w:t xml:space="preserve"> the </w:t>
      </w:r>
      <w:r>
        <w:rPr>
          <w:kern w:val="0"/>
        </w:rPr>
        <w:t>research literature, with</w:t>
      </w:r>
      <w:r w:rsidR="003A1917">
        <w:rPr>
          <w:kern w:val="0"/>
        </w:rPr>
        <w:t xml:space="preserve"> the </w:t>
      </w:r>
      <w:r>
        <w:rPr>
          <w:kern w:val="0"/>
        </w:rPr>
        <w:t>highest number</w:t>
      </w:r>
      <w:r w:rsidR="00427468">
        <w:rPr>
          <w:kern w:val="0"/>
        </w:rPr>
        <w:t xml:space="preserve"> of </w:t>
      </w:r>
      <w:r>
        <w:rPr>
          <w:kern w:val="0"/>
        </w:rPr>
        <w:t>citations being from</w:t>
      </w:r>
      <w:r w:rsidR="003A1917">
        <w:rPr>
          <w:kern w:val="0"/>
        </w:rPr>
        <w:t xml:space="preserve"> the </w:t>
      </w:r>
      <w:r>
        <w:rPr>
          <w:kern w:val="0"/>
        </w:rPr>
        <w:t>publications arising from</w:t>
      </w:r>
      <w:r w:rsidR="003A1917">
        <w:rPr>
          <w:kern w:val="0"/>
        </w:rPr>
        <w:t xml:space="preserve"> the </w:t>
      </w:r>
      <w:r>
        <w:rPr>
          <w:kern w:val="0"/>
        </w:rPr>
        <w:t>CIS group conferences</w:t>
      </w:r>
      <w:r w:rsidR="00A37C1D">
        <w:rPr>
          <w:kern w:val="0"/>
        </w:rPr>
        <w:t>. The</w:t>
      </w:r>
      <w:r w:rsidR="003A1917">
        <w:rPr>
          <w:kern w:val="0"/>
        </w:rPr>
        <w:t xml:space="preserve"> </w:t>
      </w:r>
      <w:r>
        <w:rPr>
          <w:kern w:val="0"/>
        </w:rPr>
        <w:t>authors have shown their preference to cite source articles published in</w:t>
      </w:r>
      <w:r w:rsidR="003A1917">
        <w:rPr>
          <w:kern w:val="0"/>
        </w:rPr>
        <w:t xml:space="preserve"> the </w:t>
      </w:r>
      <w:r>
        <w:rPr>
          <w:kern w:val="0"/>
        </w:rPr>
        <w:t>British Journal</w:t>
      </w:r>
      <w:r w:rsidR="00427468">
        <w:rPr>
          <w:kern w:val="0"/>
        </w:rPr>
        <w:t xml:space="preserve"> of </w:t>
      </w:r>
      <w:r>
        <w:rPr>
          <w:kern w:val="0"/>
        </w:rPr>
        <w:t>Sports Medicine.</w:t>
      </w:r>
    </w:p>
    <w:p w:rsidR="00255950" w:rsidRDefault="00255950" w:rsidP="00255950">
      <w:pPr>
        <w:pStyle w:val="a3"/>
        <w:rPr>
          <w:kern w:val="0"/>
        </w:rPr>
      </w:pPr>
      <w:r>
        <w:rPr>
          <w:kern w:val="0"/>
        </w:rPr>
        <w:lastRenderedPageBreak/>
        <w:t xml:space="preserve">Keywords: 2nd International-Conference, Analysis, Author, Authors, Citation, Citation Analysis, Citations, Dissemination, Impact, Information, Journal, Literature, Management, Methods, November 2008, Papers, Publication, Publications, </w:t>
      </w:r>
      <w:r w:rsidR="002C12F0">
        <w:rPr>
          <w:kern w:val="0"/>
        </w:rPr>
        <w:t>PUBMED</w:t>
      </w:r>
      <w:r>
        <w:rPr>
          <w:kern w:val="0"/>
        </w:rPr>
        <w:t xml:space="preserve">, Recommendations, Research, Review, Science, Scopus, Search Strategies, Sports, Strategy, </w:t>
      </w:r>
      <w:r w:rsidR="00D5664A">
        <w:rPr>
          <w:kern w:val="0"/>
        </w:rPr>
        <w:t>Web</w:t>
      </w:r>
      <w:r w:rsidR="00427468">
        <w:rPr>
          <w:kern w:val="0"/>
        </w:rPr>
        <w:t xml:space="preserve"> of </w:t>
      </w:r>
      <w:r w:rsidR="00D5664A">
        <w:rPr>
          <w:kern w:val="0"/>
        </w:rPr>
        <w:t>Science</w:t>
      </w:r>
      <w:r>
        <w:rPr>
          <w:kern w:val="0"/>
        </w:rPr>
        <w:t>, Zurich</w:t>
      </w:r>
    </w:p>
    <w:p w:rsidR="00517EB4" w:rsidRDefault="00517EB4" w:rsidP="00517EB4">
      <w:pPr>
        <w:pStyle w:val="a3"/>
        <w:rPr>
          <w:kern w:val="0"/>
        </w:rPr>
      </w:pPr>
      <w:r>
        <w:rPr>
          <w:rFonts w:hint="eastAsia"/>
          <w:kern w:val="0"/>
        </w:rPr>
        <w:t xml:space="preserve">? </w:t>
      </w:r>
      <w:r>
        <w:rPr>
          <w:kern w:val="0"/>
        </w:rPr>
        <w:t>Reurink, G., Goudswaard, G.J., Tol, J.L., Verhaar, J.A.N., Weir, A.</w:t>
      </w:r>
      <w:r w:rsidR="005853A9">
        <w:rPr>
          <w:kern w:val="0"/>
        </w:rPr>
        <w:t xml:space="preserve"> and </w:t>
      </w:r>
      <w:r>
        <w:rPr>
          <w:kern w:val="0"/>
        </w:rPr>
        <w:t>Moen, M.H. (2012</w:t>
      </w:r>
      <w:r w:rsidR="00F42EAC">
        <w:rPr>
          <w:kern w:val="0"/>
        </w:rPr>
        <w:t>), The</w:t>
      </w:r>
      <w:r>
        <w:rPr>
          <w:kern w:val="0"/>
        </w:rPr>
        <w:t xml:space="preserve">rapeutic interventions for acute hamstring injuries: A systematic review.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46</w:t>
      </w:r>
      <w:r>
        <w:rPr>
          <w:kern w:val="0"/>
        </w:rPr>
        <w:t xml:space="preserve"> (2), 103-109.</w:t>
      </w:r>
    </w:p>
    <w:p w:rsidR="00517EB4" w:rsidRPr="003862C4" w:rsidRDefault="00517EB4" w:rsidP="00517EB4">
      <w:pPr>
        <w:pStyle w:val="a3"/>
      </w:pPr>
      <w:r>
        <w:rPr>
          <w:rFonts w:hint="eastAsia"/>
        </w:rPr>
        <w:t>Full Text:</w:t>
      </w:r>
      <w:r w:rsidRPr="003862C4">
        <w:rPr>
          <w:rFonts w:hint="eastAsia"/>
        </w:rPr>
        <w:t xml:space="preserve"> </w:t>
      </w:r>
      <w:hyperlink r:id="rId1945" w:history="1">
        <w:r w:rsidRPr="00517EB4">
          <w:rPr>
            <w:rStyle w:val="a5"/>
          </w:rPr>
          <w:t>2012\Bri J Spo Med46, 103.pdf</w:t>
        </w:r>
      </w:hyperlink>
    </w:p>
    <w:p w:rsidR="00517EB4" w:rsidRDefault="00517EB4" w:rsidP="00517EB4">
      <w:pPr>
        <w:pStyle w:val="a3"/>
        <w:rPr>
          <w:kern w:val="0"/>
        </w:rPr>
      </w:pPr>
      <w:r>
        <w:rPr>
          <w:kern w:val="0"/>
        </w:rPr>
        <w:t>Abstract: Background Despite</w:t>
      </w:r>
      <w:r w:rsidR="003A1917">
        <w:rPr>
          <w:kern w:val="0"/>
        </w:rPr>
        <w:t xml:space="preserve"> the </w:t>
      </w:r>
      <w:r>
        <w:rPr>
          <w:kern w:val="0"/>
        </w:rPr>
        <w:t>high rate</w:t>
      </w:r>
      <w:r w:rsidR="00427468">
        <w:rPr>
          <w:kern w:val="0"/>
        </w:rPr>
        <w:t xml:space="preserve"> of </w:t>
      </w:r>
      <w:r>
        <w:rPr>
          <w:kern w:val="0"/>
        </w:rPr>
        <w:t>hamstring injuries, there is no consensus on their management, with a large number</w:t>
      </w:r>
      <w:r w:rsidR="00427468">
        <w:rPr>
          <w:kern w:val="0"/>
        </w:rPr>
        <w:t xml:space="preserve"> of </w:t>
      </w:r>
      <w:r>
        <w:rPr>
          <w:kern w:val="0"/>
        </w:rPr>
        <w:t>different interventions being used. Recently several new injection therapies have been introduced. Objective To systematically review</w:t>
      </w:r>
      <w:r w:rsidR="003A1917">
        <w:rPr>
          <w:kern w:val="0"/>
        </w:rPr>
        <w:t xml:space="preserve"> the </w:t>
      </w:r>
      <w:r>
        <w:rPr>
          <w:kern w:val="0"/>
        </w:rPr>
        <w:t>literature on</w:t>
      </w:r>
      <w:r w:rsidR="003A1917">
        <w:rPr>
          <w:kern w:val="0"/>
        </w:rPr>
        <w:t xml:space="preserve"> the </w:t>
      </w:r>
      <w:r>
        <w:rPr>
          <w:kern w:val="0"/>
        </w:rPr>
        <w:t>effectiveness</w:t>
      </w:r>
      <w:r w:rsidR="00427468">
        <w:rPr>
          <w:kern w:val="0"/>
        </w:rPr>
        <w:t xml:space="preserve"> of </w:t>
      </w:r>
      <w:r>
        <w:rPr>
          <w:kern w:val="0"/>
        </w:rPr>
        <w:t>therapeutic interventions for acute hamstring injuries. Data sources</w:t>
      </w:r>
      <w:r w:rsidR="003A1917">
        <w:rPr>
          <w:kern w:val="0"/>
        </w:rPr>
        <w:t xml:space="preserve"> the </w:t>
      </w:r>
      <w:r>
        <w:rPr>
          <w:kern w:val="0"/>
        </w:rPr>
        <w:t>databases</w:t>
      </w:r>
      <w:r w:rsidR="00427468">
        <w:rPr>
          <w:kern w:val="0"/>
        </w:rPr>
        <w:t xml:space="preserve"> of </w:t>
      </w:r>
      <w:r>
        <w:rPr>
          <w:kern w:val="0"/>
        </w:rPr>
        <w:t xml:space="preserve">PubMed, EMBASE, </w:t>
      </w:r>
      <w:r w:rsidR="00D5664A">
        <w:rPr>
          <w:kern w:val="0"/>
        </w:rPr>
        <w:t>Web</w:t>
      </w:r>
      <w:r w:rsidR="00427468">
        <w:rPr>
          <w:kern w:val="0"/>
        </w:rPr>
        <w:t xml:space="preserve"> of </w:t>
      </w:r>
      <w:r w:rsidR="00D5664A">
        <w:rPr>
          <w:kern w:val="0"/>
        </w:rPr>
        <w:t>Science</w:t>
      </w:r>
      <w:r>
        <w:rPr>
          <w:kern w:val="0"/>
        </w:rPr>
        <w:t>, Cochrane Library, CINAHL</w:t>
      </w:r>
      <w:r w:rsidR="005853A9">
        <w:rPr>
          <w:kern w:val="0"/>
        </w:rPr>
        <w:t xml:space="preserve"> and </w:t>
      </w:r>
      <w:r>
        <w:rPr>
          <w:kern w:val="0"/>
        </w:rPr>
        <w:t>SPORTDiscus were searched in May 2011. Study eligibility criteria Prospective studies comparing</w:t>
      </w:r>
      <w:r w:rsidR="003A1917">
        <w:rPr>
          <w:kern w:val="0"/>
        </w:rPr>
        <w:t xml:space="preserve"> the </w:t>
      </w:r>
      <w:r>
        <w:rPr>
          <w:kern w:val="0"/>
        </w:rPr>
        <w:t>effect</w:t>
      </w:r>
      <w:r w:rsidR="00427468">
        <w:rPr>
          <w:kern w:val="0"/>
        </w:rPr>
        <w:t xml:space="preserve"> of </w:t>
      </w:r>
      <w:r>
        <w:rPr>
          <w:kern w:val="0"/>
        </w:rPr>
        <w:t>an intervention with another intervention or a control group without intervention in subjects with acute hamstring injuries were included. Data analysis Two authors independently screened</w:t>
      </w:r>
      <w:r w:rsidR="003A1917">
        <w:rPr>
          <w:kern w:val="0"/>
        </w:rPr>
        <w:t xml:space="preserve"> the </w:t>
      </w:r>
      <w:r>
        <w:rPr>
          <w:kern w:val="0"/>
        </w:rPr>
        <w:t>search results</w:t>
      </w:r>
      <w:r w:rsidR="005853A9">
        <w:rPr>
          <w:kern w:val="0"/>
        </w:rPr>
        <w:t xml:space="preserve"> and </w:t>
      </w:r>
      <w:r>
        <w:rPr>
          <w:kern w:val="0"/>
        </w:rPr>
        <w:t>assessed risk</w:t>
      </w:r>
      <w:r w:rsidR="00427468">
        <w:rPr>
          <w:kern w:val="0"/>
        </w:rPr>
        <w:t xml:space="preserve"> of </w:t>
      </w:r>
      <w:r>
        <w:rPr>
          <w:kern w:val="0"/>
        </w:rPr>
        <w:t>bias. Quality assessment</w:t>
      </w:r>
      <w:r w:rsidR="00427468">
        <w:rPr>
          <w:kern w:val="0"/>
        </w:rPr>
        <w:t xml:space="preserve"> of </w:t>
      </w:r>
      <w:r w:rsidR="003A1917">
        <w:rPr>
          <w:kern w:val="0"/>
        </w:rPr>
        <w:t xml:space="preserve">the </w:t>
      </w:r>
      <w:r>
        <w:rPr>
          <w:kern w:val="0"/>
        </w:rPr>
        <w:t>included studies was performed using</w:t>
      </w:r>
      <w:r w:rsidR="003A1917">
        <w:rPr>
          <w:kern w:val="0"/>
        </w:rPr>
        <w:t xml:space="preserve"> the </w:t>
      </w:r>
      <w:r>
        <w:rPr>
          <w:kern w:val="0"/>
        </w:rPr>
        <w:t>Physiotherapy Evidence Database score. A best evidence synthesis was used to identify</w:t>
      </w:r>
      <w:r w:rsidR="003A1917">
        <w:rPr>
          <w:kern w:val="0"/>
        </w:rPr>
        <w:t xml:space="preserve"> the </w:t>
      </w:r>
      <w:r>
        <w:rPr>
          <w:kern w:val="0"/>
        </w:rPr>
        <w:t>level</w:t>
      </w:r>
      <w:r w:rsidR="00427468">
        <w:rPr>
          <w:kern w:val="0"/>
        </w:rPr>
        <w:t xml:space="preserve"> of </w:t>
      </w:r>
      <w:r>
        <w:rPr>
          <w:kern w:val="0"/>
        </w:rPr>
        <w:t>evidence. Main results Six studies were included in this systematic review</w:t>
      </w:r>
      <w:r w:rsidR="00A37C1D">
        <w:rPr>
          <w:kern w:val="0"/>
        </w:rPr>
        <w:t>. The</w:t>
      </w:r>
      <w:r>
        <w:rPr>
          <w:kern w:val="0"/>
        </w:rPr>
        <w:t>re is limited evidence for a positive effect</w:t>
      </w:r>
      <w:r w:rsidR="00427468">
        <w:rPr>
          <w:kern w:val="0"/>
        </w:rPr>
        <w:t xml:space="preserve"> of </w:t>
      </w:r>
      <w:r>
        <w:rPr>
          <w:kern w:val="0"/>
        </w:rPr>
        <w:t>stretching, agility</w:t>
      </w:r>
      <w:r w:rsidR="005853A9">
        <w:rPr>
          <w:kern w:val="0"/>
        </w:rPr>
        <w:t xml:space="preserve"> and </w:t>
      </w:r>
      <w:r>
        <w:rPr>
          <w:kern w:val="0"/>
        </w:rPr>
        <w:t>trunk stability exercises, intramuscular actovegin injections or slump stretching in</w:t>
      </w:r>
      <w:r w:rsidR="003A1917">
        <w:rPr>
          <w:kern w:val="0"/>
        </w:rPr>
        <w:t xml:space="preserve"> the </w:t>
      </w:r>
      <w:r>
        <w:rPr>
          <w:kern w:val="0"/>
        </w:rPr>
        <w:t>management</w:t>
      </w:r>
      <w:r w:rsidR="00427468">
        <w:rPr>
          <w:kern w:val="0"/>
        </w:rPr>
        <w:t xml:space="preserve"> of </w:t>
      </w:r>
      <w:r>
        <w:rPr>
          <w:kern w:val="0"/>
        </w:rPr>
        <w:t>acute hamstring injuries. Limited evidence was found that there is no effect</w:t>
      </w:r>
      <w:r w:rsidR="00427468">
        <w:rPr>
          <w:kern w:val="0"/>
        </w:rPr>
        <w:t xml:space="preserve"> of </w:t>
      </w:r>
      <w:r>
        <w:rPr>
          <w:kern w:val="0"/>
        </w:rPr>
        <w:t>non-steroidal anti-inflammatory drugs or manipulation</w:t>
      </w:r>
      <w:r w:rsidR="00427468">
        <w:rPr>
          <w:kern w:val="0"/>
        </w:rPr>
        <w:t xml:space="preserve"> of </w:t>
      </w:r>
      <w:r w:rsidR="003A1917">
        <w:rPr>
          <w:kern w:val="0"/>
        </w:rPr>
        <w:t xml:space="preserve">the </w:t>
      </w:r>
      <w:r>
        <w:rPr>
          <w:kern w:val="0"/>
        </w:rPr>
        <w:t>sacroiliac joint. Conclusions There is a lack</w:t>
      </w:r>
      <w:r w:rsidR="00427468">
        <w:rPr>
          <w:kern w:val="0"/>
        </w:rPr>
        <w:t xml:space="preserve"> of </w:t>
      </w:r>
      <w:r>
        <w:rPr>
          <w:kern w:val="0"/>
        </w:rPr>
        <w:t>high quality studies on</w:t>
      </w:r>
      <w:r w:rsidR="003A1917">
        <w:rPr>
          <w:kern w:val="0"/>
        </w:rPr>
        <w:t xml:space="preserve"> the </w:t>
      </w:r>
      <w:r>
        <w:rPr>
          <w:kern w:val="0"/>
        </w:rPr>
        <w:t>treatment</w:t>
      </w:r>
      <w:r w:rsidR="00427468">
        <w:rPr>
          <w:kern w:val="0"/>
        </w:rPr>
        <w:t xml:space="preserve"> of </w:t>
      </w:r>
      <w:r>
        <w:rPr>
          <w:kern w:val="0"/>
        </w:rPr>
        <w:t>acute hamstring injuries. Only limited evidence was found to support</w:t>
      </w:r>
      <w:r w:rsidR="003A1917">
        <w:rPr>
          <w:kern w:val="0"/>
        </w:rPr>
        <w:t xml:space="preserve"> the </w:t>
      </w:r>
      <w:r>
        <w:rPr>
          <w:kern w:val="0"/>
        </w:rPr>
        <w:t>use</w:t>
      </w:r>
      <w:r w:rsidR="00427468">
        <w:rPr>
          <w:kern w:val="0"/>
        </w:rPr>
        <w:t xml:space="preserve"> of </w:t>
      </w:r>
      <w:r>
        <w:rPr>
          <w:kern w:val="0"/>
        </w:rPr>
        <w:t>stretching, agility</w:t>
      </w:r>
      <w:r w:rsidR="005853A9">
        <w:rPr>
          <w:kern w:val="0"/>
        </w:rPr>
        <w:t xml:space="preserve"> and </w:t>
      </w:r>
      <w:r>
        <w:rPr>
          <w:kern w:val="0"/>
        </w:rPr>
        <w:t>trunk stability exercises, intramuscular actovegin injections or slump stretching. Further research is needed using an appropriate control group, randomisation</w:t>
      </w:r>
      <w:r w:rsidR="005853A9">
        <w:rPr>
          <w:kern w:val="0"/>
        </w:rPr>
        <w:t xml:space="preserve"> and </w:t>
      </w:r>
      <w:r>
        <w:rPr>
          <w:kern w:val="0"/>
        </w:rPr>
        <w:t>blinding.</w:t>
      </w:r>
    </w:p>
    <w:p w:rsidR="00517EB4" w:rsidRDefault="00517EB4" w:rsidP="00517EB4">
      <w:pPr>
        <w:pStyle w:val="a3"/>
        <w:rPr>
          <w:kern w:val="0"/>
        </w:rPr>
      </w:pPr>
      <w:r>
        <w:rPr>
          <w:kern w:val="0"/>
        </w:rPr>
        <w:t xml:space="preserve">Keywords: Acute, Acute Muscle Injury, Analysis, Assessment, Author, Authors, Bias, Cochrane, Control, Data Analysis, Database, Databases, Drugs, Effectiveness, Embase, Epidemiology, Exercises, Intervention, Interventions, Joint, Literature, Management, Pedro Scale, Physiotherapy, Players, Prevention, Professional Football, Prospective, Prospective Studies, Pubmed, Quality, Quality Assessment, Rehabilitation, Research, Review, Risk, Science, Stability, Strain Injuries, Synthesis, Systematic, Systematic Review, Treatment,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p>
    <w:p w:rsidR="00F42E0C" w:rsidRDefault="00F42E0C" w:rsidP="00F42E0C">
      <w:pPr>
        <w:pStyle w:val="a3"/>
        <w:rPr>
          <w:kern w:val="0"/>
        </w:rPr>
      </w:pPr>
      <w:r>
        <w:rPr>
          <w:rFonts w:hint="eastAsia"/>
          <w:kern w:val="0"/>
        </w:rPr>
        <w:t xml:space="preserve">? </w:t>
      </w:r>
      <w:r>
        <w:rPr>
          <w:kern w:val="0"/>
        </w:rPr>
        <w:t>McBain, K., Shrier, I., Shultz, R., Meeuwisse, W.H., Klügl, M., Garza, D.</w:t>
      </w:r>
      <w:r w:rsidR="005853A9">
        <w:rPr>
          <w:kern w:val="0"/>
        </w:rPr>
        <w:t xml:space="preserve"> and </w:t>
      </w:r>
      <w:r>
        <w:rPr>
          <w:kern w:val="0"/>
        </w:rPr>
        <w:lastRenderedPageBreak/>
        <w:t>Matheson, G.O. (2012), Prevention</w:t>
      </w:r>
      <w:r w:rsidR="00427468">
        <w:rPr>
          <w:kern w:val="0"/>
        </w:rPr>
        <w:t xml:space="preserve"> of </w:t>
      </w:r>
      <w:r>
        <w:rPr>
          <w:kern w:val="0"/>
        </w:rPr>
        <w:t>sports injury I: A systematic review</w:t>
      </w:r>
      <w:r w:rsidR="00427468">
        <w:rPr>
          <w:kern w:val="0"/>
        </w:rPr>
        <w:t xml:space="preserve"> of </w:t>
      </w:r>
      <w:r>
        <w:rPr>
          <w:kern w:val="0"/>
        </w:rPr>
        <w:t>applied biomechanics</w:t>
      </w:r>
      <w:r w:rsidR="005853A9">
        <w:rPr>
          <w:kern w:val="0"/>
        </w:rPr>
        <w:t xml:space="preserve"> and </w:t>
      </w:r>
      <w:r>
        <w:rPr>
          <w:kern w:val="0"/>
        </w:rPr>
        <w:t xml:space="preserve">physiology outcomes research.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46</w:t>
      </w:r>
      <w:r>
        <w:rPr>
          <w:kern w:val="0"/>
        </w:rPr>
        <w:t xml:space="preserve"> (3), 169-173.</w:t>
      </w:r>
    </w:p>
    <w:p w:rsidR="00F42E0C" w:rsidRPr="003862C4" w:rsidRDefault="00F42E0C" w:rsidP="00F42E0C">
      <w:pPr>
        <w:pStyle w:val="a3"/>
      </w:pPr>
      <w:r>
        <w:rPr>
          <w:rFonts w:hint="eastAsia"/>
        </w:rPr>
        <w:t>Full Text:</w:t>
      </w:r>
      <w:r w:rsidRPr="003862C4">
        <w:rPr>
          <w:rFonts w:hint="eastAsia"/>
        </w:rPr>
        <w:t xml:space="preserve"> </w:t>
      </w:r>
      <w:hyperlink r:id="rId1946" w:history="1">
        <w:r w:rsidRPr="00087FE4">
          <w:rPr>
            <w:rStyle w:val="a5"/>
          </w:rPr>
          <w:t>2012\Bri J Spo Med46, 169.pdf</w:t>
        </w:r>
      </w:hyperlink>
    </w:p>
    <w:p w:rsidR="00F42E0C" w:rsidRDefault="00F42E0C" w:rsidP="00F42E0C">
      <w:pPr>
        <w:pStyle w:val="a3"/>
        <w:rPr>
          <w:kern w:val="0"/>
        </w:rPr>
      </w:pPr>
      <w:r>
        <w:rPr>
          <w:kern w:val="0"/>
        </w:rPr>
        <w:t>Abstract: Objective To analyse published articles that used interventions aimed at investigating biomechanical/physiological outcomes (ie, intermediate risk factors) for sport injury prevention in order to characterise</w:t>
      </w:r>
      <w:r w:rsidR="003A1917">
        <w:rPr>
          <w:kern w:val="0"/>
        </w:rPr>
        <w:t xml:space="preserve"> the </w:t>
      </w:r>
      <w:r>
        <w:rPr>
          <w:kern w:val="0"/>
        </w:rPr>
        <w:t>state</w:t>
      </w:r>
      <w:r w:rsidR="00427468">
        <w:rPr>
          <w:kern w:val="0"/>
        </w:rPr>
        <w:t xml:space="preserve"> of </w:t>
      </w:r>
      <w:r w:rsidR="003A1917">
        <w:rPr>
          <w:kern w:val="0"/>
        </w:rPr>
        <w:t xml:space="preserve">the </w:t>
      </w:r>
      <w:r>
        <w:rPr>
          <w:kern w:val="0"/>
        </w:rPr>
        <w:t>field</w:t>
      </w:r>
      <w:r w:rsidR="005853A9">
        <w:rPr>
          <w:kern w:val="0"/>
        </w:rPr>
        <w:t xml:space="preserve"> and </w:t>
      </w:r>
      <w:r>
        <w:rPr>
          <w:kern w:val="0"/>
        </w:rPr>
        <w:t>identify important areas not covered in</w:t>
      </w:r>
      <w:r w:rsidR="003A1917">
        <w:rPr>
          <w:kern w:val="0"/>
        </w:rPr>
        <w:t xml:space="preserve"> the </w:t>
      </w:r>
      <w:r>
        <w:rPr>
          <w:kern w:val="0"/>
        </w:rPr>
        <w:t xml:space="preserve">literature. Data sources PubMed, Cinahl, </w:t>
      </w:r>
      <w:r w:rsidR="00D5664A">
        <w:rPr>
          <w:kern w:val="0"/>
        </w:rPr>
        <w:t>Web</w:t>
      </w:r>
      <w:r w:rsidR="00427468">
        <w:rPr>
          <w:kern w:val="0"/>
        </w:rPr>
        <w:t xml:space="preserve"> of </w:t>
      </w:r>
      <w:r w:rsidR="00D5664A">
        <w:rPr>
          <w:kern w:val="0"/>
        </w:rPr>
        <w:t>Science</w:t>
      </w:r>
      <w:r w:rsidR="005853A9">
        <w:rPr>
          <w:kern w:val="0"/>
        </w:rPr>
        <w:t xml:space="preserve"> and </w:t>
      </w:r>
      <w:r>
        <w:rPr>
          <w:kern w:val="0"/>
        </w:rPr>
        <w:t>Embase were searched using a broad search strategy. Main results Only 144</w:t>
      </w:r>
      <w:r w:rsidR="00427468">
        <w:rPr>
          <w:kern w:val="0"/>
        </w:rPr>
        <w:t xml:space="preserve"> of </w:t>
      </w:r>
      <w:r>
        <w:rPr>
          <w:kern w:val="0"/>
        </w:rPr>
        <w:t>2525 articles retrieved by</w:t>
      </w:r>
      <w:r w:rsidR="003A1917">
        <w:rPr>
          <w:kern w:val="0"/>
        </w:rPr>
        <w:t xml:space="preserve"> the </w:t>
      </w:r>
      <w:r>
        <w:rPr>
          <w:kern w:val="0"/>
        </w:rPr>
        <w:t>search strategy met</w:t>
      </w:r>
      <w:r w:rsidR="003A1917">
        <w:rPr>
          <w:kern w:val="0"/>
        </w:rPr>
        <w:t xml:space="preserve"> the </w:t>
      </w:r>
      <w:r>
        <w:rPr>
          <w:kern w:val="0"/>
        </w:rPr>
        <w:t>inclusion criteria. Crossover study designs increased by 175% in</w:t>
      </w:r>
      <w:r w:rsidR="003A1917">
        <w:rPr>
          <w:kern w:val="0"/>
        </w:rPr>
        <w:t xml:space="preserve"> the </w:t>
      </w:r>
      <w:r>
        <w:rPr>
          <w:kern w:val="0"/>
        </w:rPr>
        <w:t>late 1980s until 2005 but have declined 32% since then. Randomised controlled trial (RCT) study designs increased by 650% since</w:t>
      </w:r>
      <w:r w:rsidR="003A1917">
        <w:rPr>
          <w:kern w:val="0"/>
        </w:rPr>
        <w:t xml:space="preserve"> the </w:t>
      </w:r>
      <w:r>
        <w:rPr>
          <w:kern w:val="0"/>
        </w:rPr>
        <w:t>early 1980s. Protective equipment studies (61.8%</w:t>
      </w:r>
      <w:r w:rsidR="00427468">
        <w:rPr>
          <w:kern w:val="0"/>
        </w:rPr>
        <w:t xml:space="preserve"> of </w:t>
      </w:r>
      <w:r>
        <w:rPr>
          <w:kern w:val="0"/>
        </w:rPr>
        <w:t>all studies) declined by 35% since 2000,</w:t>
      </w:r>
      <w:r w:rsidR="005853A9">
        <w:rPr>
          <w:kern w:val="0"/>
        </w:rPr>
        <w:t xml:space="preserve"> and </w:t>
      </w:r>
      <w:r>
        <w:rPr>
          <w:kern w:val="0"/>
        </w:rPr>
        <w:t>training studies (35.4%</w:t>
      </w:r>
      <w:r w:rsidR="00427468">
        <w:rPr>
          <w:kern w:val="0"/>
        </w:rPr>
        <w:t xml:space="preserve"> of </w:t>
      </w:r>
      <w:r>
        <w:rPr>
          <w:kern w:val="0"/>
        </w:rPr>
        <w:t>all studies) increased by 213%. Equipment research studied stability devices (83.1%)</w:t>
      </w:r>
      <w:r w:rsidR="005853A9">
        <w:rPr>
          <w:kern w:val="0"/>
        </w:rPr>
        <w:t xml:space="preserve"> and </w:t>
      </w:r>
      <w:r>
        <w:rPr>
          <w:kern w:val="0"/>
        </w:rPr>
        <w:t>attenuating devices (13.5%) whereas training research studied balance</w:t>
      </w:r>
      <w:r w:rsidR="005853A9">
        <w:rPr>
          <w:kern w:val="0"/>
        </w:rPr>
        <w:t xml:space="preserve"> and </w:t>
      </w:r>
      <w:r>
        <w:rPr>
          <w:kern w:val="0"/>
        </w:rPr>
        <w:t>coordination (54.9%), strength</w:t>
      </w:r>
      <w:r w:rsidR="005853A9">
        <w:rPr>
          <w:kern w:val="0"/>
        </w:rPr>
        <w:t xml:space="preserve"> and </w:t>
      </w:r>
      <w:r>
        <w:rPr>
          <w:kern w:val="0"/>
        </w:rPr>
        <w:t>power (43.1%)</w:t>
      </w:r>
      <w:r w:rsidR="005853A9">
        <w:rPr>
          <w:kern w:val="0"/>
        </w:rPr>
        <w:t xml:space="preserve"> and </w:t>
      </w:r>
      <w:r>
        <w:rPr>
          <w:kern w:val="0"/>
        </w:rPr>
        <w:t>stretching (15.7%). Almost all (92.1%) studies investigated</w:t>
      </w:r>
      <w:r w:rsidR="003A1917">
        <w:rPr>
          <w:kern w:val="0"/>
        </w:rPr>
        <w:t xml:space="preserve"> the </w:t>
      </w:r>
      <w:r>
        <w:rPr>
          <w:kern w:val="0"/>
        </w:rPr>
        <w:t>lower extremity</w:t>
      </w:r>
      <w:r w:rsidR="005853A9">
        <w:rPr>
          <w:kern w:val="0"/>
        </w:rPr>
        <w:t xml:space="preserve"> and </w:t>
      </w:r>
      <w:r>
        <w:rPr>
          <w:kern w:val="0"/>
        </w:rPr>
        <w:t>78.1% were</w:t>
      </w:r>
      <w:r w:rsidR="00427468">
        <w:rPr>
          <w:kern w:val="0"/>
        </w:rPr>
        <w:t xml:space="preserve"> of </w:t>
      </w:r>
      <w:r w:rsidR="003A1917">
        <w:rPr>
          <w:kern w:val="0"/>
        </w:rPr>
        <w:t xml:space="preserve">the </w:t>
      </w:r>
      <w:r>
        <w:rPr>
          <w:kern w:val="0"/>
        </w:rPr>
        <w:t>joint (non-bone)-ligament type. Finally, 57.5%</w:t>
      </w:r>
      <w:r w:rsidR="00427468">
        <w:rPr>
          <w:kern w:val="0"/>
        </w:rPr>
        <w:t xml:space="preserve"> of </w:t>
      </w:r>
      <w:r w:rsidR="003A1917">
        <w:rPr>
          <w:kern w:val="0"/>
        </w:rPr>
        <w:t xml:space="preserve">the </w:t>
      </w:r>
      <w:r>
        <w:rPr>
          <w:kern w:val="0"/>
        </w:rPr>
        <w:t>reports studied contact sports, 24.2% collision</w:t>
      </w:r>
      <w:r w:rsidR="005853A9">
        <w:rPr>
          <w:kern w:val="0"/>
        </w:rPr>
        <w:t xml:space="preserve"> and </w:t>
      </w:r>
      <w:r>
        <w:rPr>
          <w:kern w:val="0"/>
        </w:rPr>
        <w:t>25.8% non-contact sports. Conclusion</w:t>
      </w:r>
      <w:r w:rsidR="003A1917">
        <w:rPr>
          <w:kern w:val="0"/>
        </w:rPr>
        <w:t xml:space="preserve"> the </w:t>
      </w:r>
      <w:r>
        <w:rPr>
          <w:kern w:val="0"/>
        </w:rPr>
        <w:t>decrease in crossover study design</w:t>
      </w:r>
      <w:r w:rsidR="005853A9">
        <w:rPr>
          <w:kern w:val="0"/>
        </w:rPr>
        <w:t xml:space="preserve"> and </w:t>
      </w:r>
      <w:r>
        <w:rPr>
          <w:kern w:val="0"/>
        </w:rPr>
        <w:t>increase in RCTs over time suggest a shift in study design for injury prevention articles. Another notable finding was</w:t>
      </w:r>
      <w:r w:rsidR="003A1917">
        <w:rPr>
          <w:kern w:val="0"/>
        </w:rPr>
        <w:t xml:space="preserve"> the </w:t>
      </w:r>
      <w:r>
        <w:rPr>
          <w:kern w:val="0"/>
        </w:rPr>
        <w:t>change in research focus from equipment interventions, which have been decreasing since 2000 (35% decline), to training interventions, which have been increasing (213% increase). Finally, there is very little research on overuse or upper extremity injuries.</w:t>
      </w:r>
    </w:p>
    <w:p w:rsidR="00F42E0C" w:rsidRDefault="00F42E0C" w:rsidP="00F42E0C">
      <w:pPr>
        <w:pStyle w:val="a3"/>
        <w:rPr>
          <w:kern w:val="0"/>
        </w:rPr>
      </w:pPr>
      <w:r>
        <w:rPr>
          <w:kern w:val="0"/>
        </w:rPr>
        <w:t xml:space="preserve">Keywords: Adolescents, Benefits, Biomechanics, Controlled Trial, Coordination, Criteria, Design, Equipment, Exercise, Field, Impact, Injury, Injury Prevention, Interventions, Literature, Mar, Outcomes, Outcomes Research, Physical-Activity, Physiology, Power, Prevention, Proprioception, Pubmed, RCT, Research, Review, Risk, Risk Factors, Science, Search Strategy, Sources, Sport, Stability, State, Strategy, Strength, Study Design, Systematic Review, Training, Training-Program, Trial, </w:t>
      </w:r>
      <w:r w:rsidR="00D5664A">
        <w:rPr>
          <w:kern w:val="0"/>
        </w:rPr>
        <w:t>Web</w:t>
      </w:r>
      <w:r w:rsidR="00427468">
        <w:rPr>
          <w:kern w:val="0"/>
        </w:rPr>
        <w:t xml:space="preserve"> of </w:t>
      </w:r>
      <w:r w:rsidR="00D5664A">
        <w:rPr>
          <w:kern w:val="0"/>
        </w:rPr>
        <w:t>Science</w:t>
      </w:r>
    </w:p>
    <w:p w:rsidR="00F42E0C" w:rsidRDefault="00F42E0C" w:rsidP="00F42E0C">
      <w:pPr>
        <w:pStyle w:val="a3"/>
        <w:rPr>
          <w:kern w:val="0"/>
        </w:rPr>
      </w:pPr>
      <w:r>
        <w:rPr>
          <w:rFonts w:hint="eastAsia"/>
          <w:kern w:val="0"/>
        </w:rPr>
        <w:t xml:space="preserve">? </w:t>
      </w:r>
      <w:r>
        <w:rPr>
          <w:kern w:val="0"/>
        </w:rPr>
        <w:t>McBain, K., Shrier, I., Shultz, R., Meeuwisse, W.H., Klügl, M., Garza, D.</w:t>
      </w:r>
      <w:r w:rsidR="005853A9">
        <w:rPr>
          <w:kern w:val="0"/>
        </w:rPr>
        <w:t xml:space="preserve"> and </w:t>
      </w:r>
      <w:r>
        <w:rPr>
          <w:kern w:val="0"/>
        </w:rPr>
        <w:t>Matheson, G.O. (2012), Prevention</w:t>
      </w:r>
      <w:r w:rsidR="00427468">
        <w:rPr>
          <w:kern w:val="0"/>
        </w:rPr>
        <w:t xml:space="preserve"> of </w:t>
      </w:r>
      <w:r>
        <w:rPr>
          <w:kern w:val="0"/>
        </w:rPr>
        <w:t>sport injury II: A systematic review</w:t>
      </w:r>
      <w:r w:rsidR="00427468">
        <w:rPr>
          <w:kern w:val="0"/>
        </w:rPr>
        <w:t xml:space="preserve"> of </w:t>
      </w:r>
      <w:r>
        <w:rPr>
          <w:kern w:val="0"/>
        </w:rPr>
        <w:t xml:space="preserve">clinical science research. </w:t>
      </w:r>
      <w:r>
        <w:rPr>
          <w:i/>
          <w:iCs/>
          <w:kern w:val="0"/>
        </w:rPr>
        <w:t>British Journal</w:t>
      </w:r>
      <w:r w:rsidR="00427468">
        <w:rPr>
          <w:i/>
          <w:iCs/>
          <w:kern w:val="0"/>
        </w:rPr>
        <w:t xml:space="preserve"> of </w:t>
      </w:r>
      <w:r>
        <w:rPr>
          <w:i/>
          <w:iCs/>
          <w:kern w:val="0"/>
        </w:rPr>
        <w:t>Sports Medicine</w:t>
      </w:r>
      <w:r>
        <w:rPr>
          <w:kern w:val="0"/>
        </w:rPr>
        <w:t xml:space="preserve">, </w:t>
      </w:r>
      <w:r>
        <w:rPr>
          <w:b/>
          <w:bCs/>
          <w:kern w:val="0"/>
        </w:rPr>
        <w:t>46</w:t>
      </w:r>
      <w:r>
        <w:rPr>
          <w:kern w:val="0"/>
        </w:rPr>
        <w:t xml:space="preserve"> (3), 174-179.</w:t>
      </w:r>
    </w:p>
    <w:p w:rsidR="00F42E0C" w:rsidRPr="003862C4" w:rsidRDefault="00F42E0C" w:rsidP="00F42E0C">
      <w:pPr>
        <w:pStyle w:val="a3"/>
      </w:pPr>
      <w:r>
        <w:rPr>
          <w:rFonts w:hint="eastAsia"/>
        </w:rPr>
        <w:t>Full Text:</w:t>
      </w:r>
      <w:r w:rsidRPr="003862C4">
        <w:rPr>
          <w:rFonts w:hint="eastAsia"/>
        </w:rPr>
        <w:t xml:space="preserve"> </w:t>
      </w:r>
      <w:hyperlink r:id="rId1947" w:history="1">
        <w:r w:rsidRPr="00087FE4">
          <w:rPr>
            <w:rStyle w:val="a5"/>
          </w:rPr>
          <w:t>2012\Bri J Spo Med46, 174.pdf</w:t>
        </w:r>
      </w:hyperlink>
    </w:p>
    <w:p w:rsidR="00F42E0C" w:rsidRDefault="00F42E0C" w:rsidP="00F42E0C">
      <w:pPr>
        <w:pStyle w:val="a3"/>
        <w:rPr>
          <w:kern w:val="0"/>
        </w:rPr>
      </w:pPr>
      <w:r>
        <w:rPr>
          <w:kern w:val="0"/>
        </w:rPr>
        <w:t>Abstract: Objective To characterise</w:t>
      </w:r>
      <w:r w:rsidR="003A1917">
        <w:rPr>
          <w:kern w:val="0"/>
        </w:rPr>
        <w:t xml:space="preserve"> the </w:t>
      </w:r>
      <w:r>
        <w:rPr>
          <w:kern w:val="0"/>
        </w:rPr>
        <w:t>nature</w:t>
      </w:r>
      <w:r w:rsidR="00427468">
        <w:rPr>
          <w:kern w:val="0"/>
        </w:rPr>
        <w:t xml:space="preserve"> of </w:t>
      </w:r>
      <w:r w:rsidR="003A1917">
        <w:rPr>
          <w:kern w:val="0"/>
        </w:rPr>
        <w:t xml:space="preserve">the </w:t>
      </w:r>
      <w:r>
        <w:rPr>
          <w:kern w:val="0"/>
        </w:rPr>
        <w:t xml:space="preserve">sport injury prevention literature by reviewing published articles that evaluate specific clinical interventions designed to reduce sport injury risks. Data sources PubMed, Cinahl, </w:t>
      </w:r>
      <w:r w:rsidR="00D5664A">
        <w:rPr>
          <w:kern w:val="0"/>
        </w:rPr>
        <w:t>Web</w:t>
      </w:r>
      <w:r w:rsidR="00427468">
        <w:rPr>
          <w:kern w:val="0"/>
        </w:rPr>
        <w:t xml:space="preserve"> of </w:t>
      </w:r>
      <w:r w:rsidR="00D5664A">
        <w:rPr>
          <w:kern w:val="0"/>
        </w:rPr>
        <w:t>Science</w:t>
      </w:r>
      <w:r w:rsidR="005853A9">
        <w:rPr>
          <w:kern w:val="0"/>
        </w:rPr>
        <w:t xml:space="preserve"> and </w:t>
      </w:r>
      <w:r>
        <w:rPr>
          <w:kern w:val="0"/>
        </w:rPr>
        <w:lastRenderedPageBreak/>
        <w:t>Embase. Main results Only 139</w:t>
      </w:r>
      <w:r w:rsidR="00427468">
        <w:rPr>
          <w:kern w:val="0"/>
        </w:rPr>
        <w:t xml:space="preserve"> of </w:t>
      </w:r>
      <w:r>
        <w:rPr>
          <w:kern w:val="0"/>
        </w:rPr>
        <w:t>2525 articles retrieved met</w:t>
      </w:r>
      <w:r w:rsidR="003A1917">
        <w:rPr>
          <w:kern w:val="0"/>
        </w:rPr>
        <w:t xml:space="preserve"> the </w:t>
      </w:r>
      <w:r>
        <w:rPr>
          <w:kern w:val="0"/>
        </w:rPr>
        <w:t>inclusion criteria. Almost 40% were randomised controlled trials</w:t>
      </w:r>
      <w:r w:rsidR="005853A9">
        <w:rPr>
          <w:kern w:val="0"/>
        </w:rPr>
        <w:t xml:space="preserve"> and </w:t>
      </w:r>
      <w:r>
        <w:rPr>
          <w:kern w:val="0"/>
        </w:rPr>
        <w:t>30.2% were cohort studies</w:t>
      </w:r>
      <w:r w:rsidR="00A37C1D">
        <w:rPr>
          <w:kern w:val="0"/>
        </w:rPr>
        <w:t>. The</w:t>
      </w:r>
      <w:r w:rsidR="003A1917">
        <w:rPr>
          <w:kern w:val="0"/>
        </w:rPr>
        <w:t xml:space="preserve"> </w:t>
      </w:r>
      <w:r>
        <w:rPr>
          <w:kern w:val="0"/>
        </w:rPr>
        <w:t>focus</w:t>
      </w:r>
      <w:r w:rsidR="00427468">
        <w:rPr>
          <w:kern w:val="0"/>
        </w:rPr>
        <w:t xml:space="preserve"> of </w:t>
      </w:r>
      <w:r w:rsidR="003A1917">
        <w:rPr>
          <w:kern w:val="0"/>
        </w:rPr>
        <w:t xml:space="preserve">the </w:t>
      </w:r>
      <w:r>
        <w:rPr>
          <w:kern w:val="0"/>
        </w:rPr>
        <w:t>study was protective equipment in 41%, training in 32.4%, education in 7.9%, rules</w:t>
      </w:r>
      <w:r w:rsidR="005853A9">
        <w:rPr>
          <w:kern w:val="0"/>
        </w:rPr>
        <w:t xml:space="preserve"> and </w:t>
      </w:r>
      <w:r>
        <w:rPr>
          <w:kern w:val="0"/>
        </w:rPr>
        <w:t>regulations in 4.3%,</w:t>
      </w:r>
      <w:r w:rsidR="005853A9">
        <w:rPr>
          <w:kern w:val="0"/>
        </w:rPr>
        <w:t xml:space="preserve"> and </w:t>
      </w:r>
      <w:r>
        <w:rPr>
          <w:kern w:val="0"/>
        </w:rPr>
        <w:t>13.3% involved a combination</w:t>
      </w:r>
      <w:r w:rsidR="00427468">
        <w:rPr>
          <w:kern w:val="0"/>
        </w:rPr>
        <w:t xml:space="preserve"> of </w:t>
      </w:r>
      <w:r w:rsidR="003A1917">
        <w:rPr>
          <w:kern w:val="0"/>
        </w:rPr>
        <w:t xml:space="preserve">the </w:t>
      </w:r>
      <w:r>
        <w:rPr>
          <w:kern w:val="0"/>
        </w:rPr>
        <w:t>above. Equipment research studied stability devices (42.1%), head</w:t>
      </w:r>
      <w:r w:rsidR="005853A9">
        <w:rPr>
          <w:kern w:val="0"/>
        </w:rPr>
        <w:t xml:space="preserve"> and </w:t>
      </w:r>
      <w:r>
        <w:rPr>
          <w:kern w:val="0"/>
        </w:rPr>
        <w:t>face protectors (33.3%), attenuating devices (17.5%) as well as other devices (7%). Training studies often used a combination</w:t>
      </w:r>
      <w:r w:rsidR="00427468">
        <w:rPr>
          <w:kern w:val="0"/>
        </w:rPr>
        <w:t xml:space="preserve"> of </w:t>
      </w:r>
      <w:r>
        <w:rPr>
          <w:kern w:val="0"/>
        </w:rPr>
        <w:t>interventions (eg, balance</w:t>
      </w:r>
      <w:r w:rsidR="005853A9">
        <w:rPr>
          <w:kern w:val="0"/>
        </w:rPr>
        <w:t xml:space="preserve"> and </w:t>
      </w:r>
      <w:r>
        <w:rPr>
          <w:kern w:val="0"/>
        </w:rPr>
        <w:t>stretching); most included balance</w:t>
      </w:r>
      <w:r w:rsidR="005853A9">
        <w:rPr>
          <w:kern w:val="0"/>
        </w:rPr>
        <w:t xml:space="preserve"> and </w:t>
      </w:r>
      <w:r>
        <w:rPr>
          <w:kern w:val="0"/>
        </w:rPr>
        <w:t>coordination (63.3%), with strength</w:t>
      </w:r>
      <w:r w:rsidR="005853A9">
        <w:rPr>
          <w:kern w:val="0"/>
        </w:rPr>
        <w:t xml:space="preserve"> and </w:t>
      </w:r>
      <w:r>
        <w:rPr>
          <w:kern w:val="0"/>
        </w:rPr>
        <w:t>power (36.7%)</w:t>
      </w:r>
      <w:r w:rsidR="005853A9">
        <w:rPr>
          <w:kern w:val="0"/>
        </w:rPr>
        <w:t xml:space="preserve"> and </w:t>
      </w:r>
      <w:r>
        <w:rPr>
          <w:kern w:val="0"/>
        </w:rPr>
        <w:t>stretching (22.5%) being less common. Almost 70%</w:t>
      </w:r>
      <w:r w:rsidR="00427468">
        <w:rPr>
          <w:kern w:val="0"/>
        </w:rPr>
        <w:t xml:space="preserve"> of </w:t>
      </w:r>
      <w:r w:rsidR="003A1917">
        <w:rPr>
          <w:kern w:val="0"/>
        </w:rPr>
        <w:t xml:space="preserve">the </w:t>
      </w:r>
      <w:r>
        <w:rPr>
          <w:kern w:val="0"/>
        </w:rPr>
        <w:t>studies examined lower extremity injuries,</w:t>
      </w:r>
      <w:r w:rsidR="005853A9">
        <w:rPr>
          <w:kern w:val="0"/>
        </w:rPr>
        <w:t xml:space="preserve"> and </w:t>
      </w:r>
      <w:r>
        <w:rPr>
          <w:kern w:val="0"/>
        </w:rPr>
        <w:t>a majority</w:t>
      </w:r>
      <w:r w:rsidR="00427468">
        <w:rPr>
          <w:kern w:val="0"/>
        </w:rPr>
        <w:t xml:space="preserve"> of </w:t>
      </w:r>
      <w:r>
        <w:rPr>
          <w:kern w:val="0"/>
        </w:rPr>
        <w:t>these were joint (non-bone)-ligament injuries. Contact sports were most frequently studied (41.5%), followed by collision (39.8%)</w:t>
      </w:r>
      <w:r w:rsidR="005853A9">
        <w:rPr>
          <w:kern w:val="0"/>
        </w:rPr>
        <w:t xml:space="preserve"> and </w:t>
      </w:r>
      <w:r>
        <w:rPr>
          <w:kern w:val="0"/>
        </w:rPr>
        <w:t>non-contact (20.3%). Conclusion</w:t>
      </w:r>
      <w:r w:rsidR="003A1917">
        <w:rPr>
          <w:kern w:val="0"/>
        </w:rPr>
        <w:t xml:space="preserve"> the </w:t>
      </w:r>
      <w:r>
        <w:rPr>
          <w:kern w:val="0"/>
        </w:rPr>
        <w:t>authors found only 139 publications in</w:t>
      </w:r>
      <w:r w:rsidR="003A1917">
        <w:rPr>
          <w:kern w:val="0"/>
        </w:rPr>
        <w:t xml:space="preserve"> the </w:t>
      </w:r>
      <w:r>
        <w:rPr>
          <w:kern w:val="0"/>
        </w:rPr>
        <w:t>existing literature that examined interventions designed to prevent sports injury.</w:t>
      </w:r>
      <w:r w:rsidR="00427468">
        <w:rPr>
          <w:kern w:val="0"/>
        </w:rPr>
        <w:t xml:space="preserve"> of </w:t>
      </w:r>
      <w:r>
        <w:rPr>
          <w:kern w:val="0"/>
        </w:rPr>
        <w:t>these,</w:t>
      </w:r>
      <w:r w:rsidR="003A1917">
        <w:rPr>
          <w:kern w:val="0"/>
        </w:rPr>
        <w:t xml:space="preserve"> the </w:t>
      </w:r>
      <w:r>
        <w:rPr>
          <w:kern w:val="0"/>
        </w:rPr>
        <w:t>majority investigated equipment or training interventions whereas only 4% focused on changes to</w:t>
      </w:r>
      <w:r w:rsidR="003A1917">
        <w:rPr>
          <w:kern w:val="0"/>
        </w:rPr>
        <w:t xml:space="preserve"> the </w:t>
      </w:r>
      <w:r>
        <w:rPr>
          <w:kern w:val="0"/>
        </w:rPr>
        <w:t>rules</w:t>
      </w:r>
      <w:r w:rsidR="005853A9">
        <w:rPr>
          <w:kern w:val="0"/>
        </w:rPr>
        <w:t xml:space="preserve"> and </w:t>
      </w:r>
      <w:r>
        <w:rPr>
          <w:kern w:val="0"/>
        </w:rPr>
        <w:t>regulations that govern sport</w:t>
      </w:r>
      <w:r w:rsidR="00A37C1D">
        <w:rPr>
          <w:kern w:val="0"/>
        </w:rPr>
        <w:t>. The</w:t>
      </w:r>
      <w:r w:rsidR="003A1917">
        <w:rPr>
          <w:kern w:val="0"/>
        </w:rPr>
        <w:t xml:space="preserve"> </w:t>
      </w:r>
      <w:r>
        <w:rPr>
          <w:kern w:val="0"/>
        </w:rPr>
        <w:t>focus</w:t>
      </w:r>
      <w:r w:rsidR="00427468">
        <w:rPr>
          <w:kern w:val="0"/>
        </w:rPr>
        <w:t xml:space="preserve"> of </w:t>
      </w:r>
      <w:r>
        <w:rPr>
          <w:kern w:val="0"/>
        </w:rPr>
        <w:t>intervention research is on acute injuries in collision</w:t>
      </w:r>
      <w:r w:rsidR="005853A9">
        <w:rPr>
          <w:kern w:val="0"/>
        </w:rPr>
        <w:t xml:space="preserve"> and </w:t>
      </w:r>
      <w:r>
        <w:rPr>
          <w:kern w:val="0"/>
        </w:rPr>
        <w:t>contact sports whereas only 20%</w:t>
      </w:r>
      <w:r w:rsidR="00427468">
        <w:rPr>
          <w:kern w:val="0"/>
        </w:rPr>
        <w:t xml:space="preserve"> of </w:t>
      </w:r>
      <w:r w:rsidR="003A1917">
        <w:rPr>
          <w:kern w:val="0"/>
        </w:rPr>
        <w:t xml:space="preserve">the </w:t>
      </w:r>
      <w:r>
        <w:rPr>
          <w:kern w:val="0"/>
        </w:rPr>
        <w:t>studies focused on non-contact sports.</w:t>
      </w:r>
    </w:p>
    <w:p w:rsidR="00F42E0C" w:rsidRDefault="00F42E0C" w:rsidP="00F42E0C">
      <w:pPr>
        <w:pStyle w:val="a3"/>
        <w:rPr>
          <w:kern w:val="0"/>
        </w:rPr>
      </w:pPr>
      <w:r>
        <w:rPr>
          <w:kern w:val="0"/>
        </w:rPr>
        <w:t xml:space="preserve">Keywords: Authors, Benefits, Changes, Clinical, Cohort, Coordination, Criteria, Descriptive Epidemiology, Education, Equipment, Football, Impact, Injury, Injury Prevention, Intervention, Intervention Research, Interventions, Literature, Mar, Physical-Activity, Power, Prevention, Publications, Pubmed, Randomised, Randomised Controlled Trials, Regulations, Research, Review, Risks, Science, Science Research, Sources, Sport, Stability, Strength, Surveillance System, Systematic Review, Training, </w:t>
      </w:r>
      <w:r w:rsidR="00D5664A">
        <w:rPr>
          <w:kern w:val="0"/>
        </w:rPr>
        <w:t>Web</w:t>
      </w:r>
      <w:r w:rsidR="00427468">
        <w:rPr>
          <w:kern w:val="0"/>
        </w:rPr>
        <w:t xml:space="preserve"> of </w:t>
      </w:r>
      <w:r w:rsidR="00D5664A">
        <w:rPr>
          <w:kern w:val="0"/>
        </w:rPr>
        <w:t>Science</w:t>
      </w:r>
    </w:p>
    <w:p w:rsidR="003B1308" w:rsidRDefault="003B1308" w:rsidP="003B1308">
      <w:pPr>
        <w:pStyle w:val="a3"/>
        <w:rPr>
          <w:kern w:val="0"/>
        </w:rPr>
      </w:pPr>
      <w:r>
        <w:rPr>
          <w:rFonts w:hint="eastAsia"/>
          <w:kern w:val="0"/>
        </w:rPr>
        <w:t xml:space="preserve">? </w:t>
      </w:r>
      <w:r>
        <w:rPr>
          <w:kern w:val="0"/>
        </w:rPr>
        <w:t xml:space="preserve">Barton, C., Balachandar, V., Lack, S. and Morrissey, D. (2014), Patellar taping for patellofemoral pain: A systematic review and meta-analysis to evaluate clinical outcomes and biomechanical mechanisms. </w:t>
      </w:r>
      <w:r>
        <w:rPr>
          <w:i/>
          <w:iCs/>
          <w:kern w:val="0"/>
        </w:rPr>
        <w:t>British Journal of Sports Medicine</w:t>
      </w:r>
      <w:r>
        <w:rPr>
          <w:kern w:val="0"/>
        </w:rPr>
        <w:t xml:space="preserve">, </w:t>
      </w:r>
      <w:r>
        <w:rPr>
          <w:b/>
          <w:bCs/>
          <w:kern w:val="0"/>
        </w:rPr>
        <w:t>48</w:t>
      </w:r>
      <w:r>
        <w:rPr>
          <w:kern w:val="0"/>
        </w:rPr>
        <w:t xml:space="preserve"> (6), 417-</w:t>
      </w:r>
      <w:r>
        <w:rPr>
          <w:rFonts w:hint="eastAsia"/>
          <w:kern w:val="0"/>
        </w:rPr>
        <w:t>424</w:t>
      </w:r>
      <w:r>
        <w:rPr>
          <w:kern w:val="0"/>
        </w:rPr>
        <w:t>.</w:t>
      </w:r>
    </w:p>
    <w:p w:rsidR="003B1308" w:rsidRPr="003862C4" w:rsidRDefault="003B1308" w:rsidP="003B1308">
      <w:pPr>
        <w:pStyle w:val="a3"/>
      </w:pPr>
      <w:r>
        <w:rPr>
          <w:rFonts w:hint="eastAsia"/>
        </w:rPr>
        <w:t>Full Text:</w:t>
      </w:r>
      <w:r w:rsidRPr="003862C4">
        <w:rPr>
          <w:rFonts w:hint="eastAsia"/>
        </w:rPr>
        <w:t xml:space="preserve"> </w:t>
      </w:r>
      <w:hyperlink r:id="rId1948" w:history="1">
        <w:r w:rsidRPr="00AD4D22">
          <w:rPr>
            <w:rStyle w:val="a5"/>
          </w:rPr>
          <w:t>2014\Bri J Spo Med48, 417.pdf</w:t>
        </w:r>
      </w:hyperlink>
    </w:p>
    <w:p w:rsidR="003B1308" w:rsidRDefault="003B1308" w:rsidP="003B1308">
      <w:pPr>
        <w:pStyle w:val="a3"/>
        <w:rPr>
          <w:kern w:val="0"/>
        </w:rPr>
      </w:pPr>
      <w:r>
        <w:rPr>
          <w:kern w:val="0"/>
        </w:rPr>
        <w:t xml:space="preserve">Abstract: Objective Patellar taping is frequently used to treat patellofemoral pain (PFP). This systematic review and meta-analysis (1) evaluates the efficacy of patellar taping for patients with PFP, (2) compares the efficacy of various taping techniques and (3) identifies potential biomechanical mechanisms of action. Methods The MEDLINE, CINAHL, SPORTSDiscus, Web of Science and Google Scholar databases were searched in January 2013 for studies evaluating the effects of patellar taping on pain and lower-limb biomechanics in individuals with PFP. Three independent reviewers assessed each paper for inclusion and two assessed for quality. Means and SDs were extracted from each included study to allow effect size calculations. Results Twenty studies were identified. There is moderate evidence that (1) tailored (customised to </w:t>
      </w:r>
      <w:r>
        <w:rPr>
          <w:kern w:val="0"/>
        </w:rPr>
        <w:lastRenderedPageBreak/>
        <w:t>the patient to control lateral tilt, glide and spin) and untailored patellar taping provides immediate pain reduction of large and small effect, respectively and (2) tailored patellar taping promotes earlier onset of vastus medialis oblique (VMO) contraction (relative to vastus lateralis contraction). There is limited evidence that (1) tailored patellar taping combined with exercise provides superior pain reduction compared to exercise alone at 4 weeks, (2) untailored patellar taping added to exercise at 3-12 months has no benefit and (3) tailored patellar taping promotes increased internal knee extension moments. Conclusions Tailoring patellar taping application (ie, to control lateral tilt, glide and spin) to optimise pain reduction is important for efficacy. Evaluation of tailored patellar taping beyond the immediate term is limited and should be a research priority. Possible mechanisms behind patellar taping efficacy include earlier VMO onset and improved knee function capacity (ie, ability to tolerate greater internal knee extension moments).</w:t>
      </w:r>
    </w:p>
    <w:p w:rsidR="003B1308" w:rsidRDefault="003B1308" w:rsidP="003B1308">
      <w:pPr>
        <w:pStyle w:val="a3"/>
        <w:rPr>
          <w:kern w:val="0"/>
        </w:rPr>
      </w:pPr>
      <w:r>
        <w:rPr>
          <w:kern w:val="0"/>
        </w:rPr>
        <w:t>Keywords: Anterior Knee Pain, Application, Biomechanics, Capacity, Clinical, Clinical Outcomes, Contraction, Control, Databases, Effect Size, Effects, Efficacy, Evaluation, Evidence, Exercise, Follow-Up, Foot Orthoses, Function, Google, Google Scholar, Individuals, Joint Proprioception, Kinematics, Lateralis Muscle-Activity, Mar, Mechanisms, Medline, Meta Analysis, Meta-Analysis, Metaanalysis, Methods, Onset, Outcomes, Pain, Patients, Physical Therapy, Potential, Quality, Randomized Controlled-Trial, Reduction, Research, Results, Review, Reviewers, Science, Size, Small, Systematic, Systematic Review, Techniques, Term, Vastus Medialis Obliquus, Web Of Science</w:t>
      </w:r>
    </w:p>
    <w:p w:rsidR="003B1308" w:rsidRDefault="003B1308" w:rsidP="003B1308">
      <w:pPr>
        <w:pStyle w:val="a3"/>
        <w:rPr>
          <w:kern w:val="0"/>
        </w:rPr>
      </w:pPr>
      <w:r>
        <w:rPr>
          <w:rFonts w:hint="eastAsia"/>
          <w:kern w:val="0"/>
        </w:rPr>
        <w:t xml:space="preserve">? </w:t>
      </w:r>
      <w:r>
        <w:rPr>
          <w:kern w:val="0"/>
        </w:rPr>
        <w:t xml:space="preserve">Lauersen, J.B., Bertelsen, D.M. and Andersen, L.B. (2014), The effectiveness of exercise interventions to prevent sports injuries: A systematic review and meta-analysis of randomised controlled trials. </w:t>
      </w:r>
      <w:r>
        <w:rPr>
          <w:i/>
          <w:iCs/>
          <w:kern w:val="0"/>
        </w:rPr>
        <w:t>British Journal of Sports Medicine</w:t>
      </w:r>
      <w:r>
        <w:rPr>
          <w:kern w:val="0"/>
        </w:rPr>
        <w:t xml:space="preserve">, </w:t>
      </w:r>
      <w:r>
        <w:rPr>
          <w:b/>
          <w:bCs/>
          <w:kern w:val="0"/>
        </w:rPr>
        <w:t>48</w:t>
      </w:r>
      <w:r>
        <w:rPr>
          <w:kern w:val="0"/>
        </w:rPr>
        <w:t xml:space="preserve"> (11</w:t>
      </w:r>
      <w:r>
        <w:rPr>
          <w:rFonts w:hint="eastAsia"/>
          <w:kern w:val="0"/>
        </w:rPr>
        <w:t xml:space="preserve">), </w:t>
      </w:r>
      <w:r w:rsidRPr="00797E71">
        <w:rPr>
          <w:kern w:val="0"/>
        </w:rPr>
        <w:t>871-877</w:t>
      </w:r>
      <w:r>
        <w:rPr>
          <w:kern w:val="0"/>
        </w:rPr>
        <w:t>.</w:t>
      </w:r>
    </w:p>
    <w:p w:rsidR="003B1308" w:rsidRPr="003862C4" w:rsidRDefault="003B1308" w:rsidP="003B1308">
      <w:pPr>
        <w:pStyle w:val="a3"/>
      </w:pPr>
      <w:r>
        <w:rPr>
          <w:rFonts w:hint="eastAsia"/>
        </w:rPr>
        <w:t>Full Text:</w:t>
      </w:r>
      <w:r w:rsidRPr="003862C4">
        <w:rPr>
          <w:rFonts w:hint="eastAsia"/>
        </w:rPr>
        <w:t xml:space="preserve"> </w:t>
      </w:r>
      <w:hyperlink r:id="rId1949" w:history="1">
        <w:r w:rsidRPr="00FF4229">
          <w:rPr>
            <w:rStyle w:val="a5"/>
          </w:rPr>
          <w:t>2014\Bri J Spo Med48, 871.pdf</w:t>
        </w:r>
      </w:hyperlink>
    </w:p>
    <w:p w:rsidR="003B1308" w:rsidRDefault="003B1308" w:rsidP="003B1308">
      <w:pPr>
        <w:pStyle w:val="a3"/>
        <w:rPr>
          <w:kern w:val="0"/>
        </w:rPr>
      </w:pPr>
      <w:r>
        <w:rPr>
          <w:kern w:val="0"/>
        </w:rPr>
        <w:t>Abstract: Background Physical activity is important in both prevention and treatment of many common diseases, but sports injuries can pose serious problems. Objective To determine whether physical activity exercises can reduce sports injuries and perform stratified analyses of strength training, stretching, proprioception and combinations of these, and provide separate acute and overuse injury estimates. Material and methods PubMed, EMBASE, Web of Science and SPORTDiscus were searched and yielded 3462 results. Two independent authors selected relevant randomised, controlled trials and quality assessments were conducted by all authors of this paper using the Cochrane collaboration domain-based quality assessment tool. Twelve studies that neglected to account for clustering effects were adjusted. Quantitative analyses were performed in STATAV. 12 and sensitivity analysed by intention-to-treat. Heterogeneity (I-2) and publication bias (Harbord</w:t>
      </w:r>
      <w:r w:rsidR="00700038">
        <w:rPr>
          <w:kern w:val="0"/>
        </w:rPr>
        <w:t>’</w:t>
      </w:r>
      <w:r>
        <w:rPr>
          <w:kern w:val="0"/>
        </w:rPr>
        <w:t xml:space="preserve">s small-study </w:t>
      </w:r>
      <w:r>
        <w:rPr>
          <w:kern w:val="0"/>
        </w:rPr>
        <w:lastRenderedPageBreak/>
        <w:t>effects) were formally tested. Results 25 trials, including 26 610 participants with 3464 injuries, were analysed. The overall effect estimate on injury prevention was heterogeneous. Stratified exposure analyses proved no beneficial effect for stretching (RR 0.963 (0.846-1.095)), whereas studies with multiple exposures (RR 0.655 (0.520-0.826)), proprioception training (RR 0.550 (0.347-0.869)), and strength training (RR 0.315 (0.207-0.480)) showed a tendency towards increasing effect. Both acute injuries (RR 0.647 (0.502-0.836)) and overuse injuries (RR 0.527 (0.373-0.746)) could be reduced by physical activity programmes. Intention-to-treat sensitivity analyses consistently revealed even more robust effect estimates. Conclusions Despite a few outlying studies, consistently favourable estimates were obtained for all injury prevention measures except for stretching. Strength training reduced sports injuries to less than 1/3 and overuse injuries could be almost halved.</w:t>
      </w:r>
    </w:p>
    <w:p w:rsidR="003B1308" w:rsidRDefault="003B1308" w:rsidP="003B1308">
      <w:pPr>
        <w:pStyle w:val="a3"/>
        <w:rPr>
          <w:kern w:val="0"/>
        </w:rPr>
      </w:pPr>
      <w:r>
        <w:rPr>
          <w:kern w:val="0"/>
        </w:rPr>
        <w:t>Keywords: Activity, Analyses, Assessment, Assessments, Authors, Balance-Training-Program, Bias, Clustering, Collaboration, Controlled Clinical-Trials, Diseases, Effectiveness, Effects, Embase, Estimates, Exercise, Exercises, Exposure, Exposures, Female Soccer, Football Players, Hamstring Injuries, Injury, Injury Prevention, Interventions, Lower-Limb Injuries, Measures, Meta Analysis, Meta-Analysis, Metaanalysis, Methods, Neuromuscular Warm-Up, Physical, Physical Activity, Physical-Activity, Prevent, Prevention, Programmes, Publication, Publication Bias, Pubmed, Quality, Randomised, Randomised Controlled Trials, Results, Review, Science, Sensitivity, Soccer Players, Strength, Systematic, Systematic Review, Training, Treatment, Web Of Science, Youth Football</w:t>
      </w:r>
    </w:p>
    <w:p w:rsidR="00F31AFF" w:rsidRDefault="00F31AFF" w:rsidP="00F31AFF">
      <w:pPr>
        <w:pStyle w:val="a3"/>
        <w:rPr>
          <w:kern w:val="0"/>
        </w:rPr>
      </w:pPr>
      <w:r>
        <w:rPr>
          <w:rFonts w:hint="eastAsia"/>
          <w:kern w:val="0"/>
        </w:rPr>
        <w:t xml:space="preserve">? </w:t>
      </w:r>
      <w:r>
        <w:rPr>
          <w:kern w:val="0"/>
        </w:rPr>
        <w:t xml:space="preserve">de Vos, R.J., Windt, J. and Weir, A. (2014), Strong evidence against platelet-rich plasma injections for chronic lateral epicondylar tendinopathy: A systematic review. </w:t>
      </w:r>
      <w:r>
        <w:rPr>
          <w:i/>
          <w:iCs/>
          <w:kern w:val="0"/>
        </w:rPr>
        <w:t>British Journal of Sports Medicine</w:t>
      </w:r>
      <w:r>
        <w:rPr>
          <w:kern w:val="0"/>
        </w:rPr>
        <w:t xml:space="preserve">, </w:t>
      </w:r>
      <w:r>
        <w:rPr>
          <w:b/>
          <w:bCs/>
          <w:kern w:val="0"/>
        </w:rPr>
        <w:t>48</w:t>
      </w:r>
      <w:r>
        <w:rPr>
          <w:kern w:val="0"/>
        </w:rPr>
        <w:t xml:space="preserve"> (12), 952-</w:t>
      </w:r>
      <w:r>
        <w:rPr>
          <w:rFonts w:hint="eastAsia"/>
          <w:kern w:val="0"/>
        </w:rPr>
        <w:t>956</w:t>
      </w:r>
      <w:r>
        <w:rPr>
          <w:kern w:val="0"/>
        </w:rPr>
        <w:t>.</w:t>
      </w:r>
    </w:p>
    <w:p w:rsidR="00F31AFF" w:rsidRPr="003862C4" w:rsidRDefault="00F31AFF" w:rsidP="00F31AFF">
      <w:pPr>
        <w:pStyle w:val="a3"/>
      </w:pPr>
      <w:r>
        <w:rPr>
          <w:rFonts w:hint="eastAsia"/>
        </w:rPr>
        <w:t>Full Text:</w:t>
      </w:r>
      <w:r w:rsidRPr="003862C4">
        <w:rPr>
          <w:rFonts w:hint="eastAsia"/>
        </w:rPr>
        <w:t xml:space="preserve"> </w:t>
      </w:r>
      <w:hyperlink r:id="rId1950" w:history="1">
        <w:r w:rsidRPr="00FF4229">
          <w:rPr>
            <w:rStyle w:val="a5"/>
          </w:rPr>
          <w:t>2014\Bri J Spo Med48, 952.pdf</w:t>
        </w:r>
      </w:hyperlink>
    </w:p>
    <w:p w:rsidR="00F31AFF" w:rsidRDefault="00F31AFF" w:rsidP="00F31AFF">
      <w:pPr>
        <w:pStyle w:val="a3"/>
        <w:rPr>
          <w:kern w:val="0"/>
        </w:rPr>
      </w:pPr>
      <w:r>
        <w:rPr>
          <w:kern w:val="0"/>
        </w:rPr>
        <w:t xml:space="preserve">Abstract: Background Chronic lateral epicondylar tendinopathy is frequent in athletes, and platelet-rich plasma (PRP) is being used increasingly in its treatment. Objective To systematically review the literature on the efficacy of PRP injections for chronic lateral epicondylar tendinopathy. Methods The databases of PubMed, EMBASE, CINAHL, Medline OvidSP, Scopus, Google Scholar, Web of Science and Cochrane Library were searched in October 2013. Inclusion criteria were a clinical diagnosis of chronic lateral epicondylar tendinopathy, a randomised controlled trial, an intervention with a PRP injection and the outcome measures described in terms of pain and/or function. One author screened the search results and two authors independently assessed the study quality using the Physiotherapy Evidence Database (PEDro) score. A study was considered to be of high quality if its PEDro score was &gt;= 6. A best evidence synthesis was used to identify the level of evidence. Results 6 </w:t>
      </w:r>
      <w:r>
        <w:rPr>
          <w:kern w:val="0"/>
        </w:rPr>
        <w:lastRenderedPageBreak/>
        <w:t>studies were included, of which four were considered to be of high quality. Three high-quality studies (75%) and two low-quality studies showed no significant benefit at the final follow-up measurement or predefined primary outcome score when compared with a control group. One high-quality study (25%) showed a beneficial effect of a PRP injection when compared with a corticosteroid injection (corticosteroid injections are harmful in tendinopathy). Based on the best evidence synthesis, there is strong evidence that PRP injections are not efficacious in chronic lateral epicondylar tendinopathy. Conclusions There is strong evidence that PRP injections are not efficacious in the management of chronic lateral elbow tendinopathy.</w:t>
      </w:r>
    </w:p>
    <w:p w:rsidR="00F31AFF" w:rsidRDefault="00F31AFF" w:rsidP="00F31AFF">
      <w:pPr>
        <w:pStyle w:val="a3"/>
        <w:rPr>
          <w:kern w:val="0"/>
        </w:rPr>
      </w:pPr>
      <w:r>
        <w:rPr>
          <w:kern w:val="0"/>
        </w:rPr>
        <w:t>Keywords: Achilles Tendinopathy, Athletes, Authors, Autologous Blood Injections, Chronic, Chronic Tennis Elbow, Clinical, Control, Controlled Trial, Corticosteroid Injection, Criteria, Database, Databases, Diagnosis, Double-Blind, Efficacy, Embase, Evidence, Follow-Up, Function, Google, Google Scholar, Guidelines, Injections, Intervention, Literature, Management, Measurement, Measures, Medline, Methods, Outcome, Outcome Measures, Pain, Physiotherapy, Plasma, Primary, Pubmed, Quality, Randomised, Randomised Controlled Trial, Randomized Controlled-Trial, Results, Review, Science, Scopus, Synthesis, Systematic, Systematic Review, Treatment, Trial, Web Of Science</w:t>
      </w:r>
    </w:p>
    <w:p w:rsidR="00116069" w:rsidRDefault="00116069" w:rsidP="00116069">
      <w:pPr>
        <w:pStyle w:val="a3"/>
        <w:rPr>
          <w:kern w:val="0"/>
        </w:rPr>
      </w:pPr>
      <w:r>
        <w:rPr>
          <w:rFonts w:hint="eastAsia"/>
          <w:kern w:val="0"/>
        </w:rPr>
        <w:t xml:space="preserve">? </w:t>
      </w:r>
      <w:r>
        <w:rPr>
          <w:kern w:val="0"/>
        </w:rPr>
        <w:t xml:space="preserve">Rathleff, M.S., Rathleff, C.R., Crossley, K.M. and Barton, C.J. (2014), Is hip strength a risk factor for patellofemoral pain? A systematic review and meta-analysis. </w:t>
      </w:r>
      <w:r>
        <w:rPr>
          <w:i/>
          <w:iCs/>
          <w:kern w:val="0"/>
        </w:rPr>
        <w:t>British Journal of Sports Medicine</w:t>
      </w:r>
      <w:r>
        <w:rPr>
          <w:kern w:val="0"/>
        </w:rPr>
        <w:t xml:space="preserve">, </w:t>
      </w:r>
      <w:r>
        <w:rPr>
          <w:b/>
          <w:bCs/>
          <w:kern w:val="0"/>
        </w:rPr>
        <w:t>48</w:t>
      </w:r>
      <w:r>
        <w:rPr>
          <w:kern w:val="0"/>
        </w:rPr>
        <w:t xml:space="preserve"> (14), 1088-U120.</w:t>
      </w:r>
    </w:p>
    <w:p w:rsidR="00116069" w:rsidRPr="003862C4" w:rsidRDefault="00116069" w:rsidP="00116069">
      <w:pPr>
        <w:pStyle w:val="a3"/>
      </w:pPr>
      <w:r>
        <w:rPr>
          <w:rFonts w:hint="eastAsia"/>
        </w:rPr>
        <w:t>Full Text:</w:t>
      </w:r>
      <w:r w:rsidRPr="003862C4">
        <w:rPr>
          <w:rFonts w:hint="eastAsia"/>
        </w:rPr>
        <w:t xml:space="preserve"> </w:t>
      </w:r>
      <w:r w:rsidRPr="001411BF">
        <w:t xml:space="preserve">2014\Bri J Spo Med48, </w:t>
      </w:r>
      <w:r>
        <w:rPr>
          <w:rFonts w:hint="eastAsia"/>
        </w:rPr>
        <w:t>1088</w:t>
      </w:r>
      <w:r w:rsidRPr="001411BF">
        <w:t>.pdf</w:t>
      </w:r>
    </w:p>
    <w:p w:rsidR="00116069" w:rsidRDefault="00116069" w:rsidP="00116069">
      <w:pPr>
        <w:pStyle w:val="a3"/>
        <w:rPr>
          <w:kern w:val="0"/>
        </w:rPr>
      </w:pPr>
      <w:r>
        <w:rPr>
          <w:kern w:val="0"/>
        </w:rPr>
        <w:t xml:space="preserve">Abstract: Objective To evaluate and synthesise the literature on hip strength among patients with patellofemoral pain (PFP) to address the following: (1) differentiate between hip strength as a risk factor and associated deficit in PFP; (2) describe hip strength in men and women with PFP across different age ranges; (3) investigate the effects of hip strengthening on biomechanical knee variables associated with PFP development. Methods MEDLINE, CINAHL, Web of Science, SportDiscus and Google Scholar were searched in November 2013 for studies investigating hip strength among patients with PFP. Two reviewers independently assessed papers for inclusion and quality. Means and SDs were extracted from each included study to allow effect size calculations and comparisons of results. Results Moderate-to-strong evidence from prospective studies indicates no association between isometric hip strength and risk of developing PFP. Moderate evidence from cross-sectional studies indicates that men and women with PFP have lower isometric hip musculature strength compared to pain-free individuals. Limited evidence indicates that adolescents with PFP do not have the same strength deficits as adults with PFP. Conclusions This review highlights a possible discrepancy between prospective and </w:t>
      </w:r>
      <w:r>
        <w:rPr>
          <w:kern w:val="0"/>
        </w:rPr>
        <w:lastRenderedPageBreak/>
        <w:t>cross-sectional research. Cross-sectional studies indicate that adult men and women with PFP appear to have lower hip strength compared to pain-free individuals. Contrary to this, a limited number of prospective studies indicate that there may be no association between isometric hip strength and risk of developing PFP. Therefore, reduced hip strength may be a result of PFP rather than the cause.</w:t>
      </w:r>
    </w:p>
    <w:p w:rsidR="00116069" w:rsidRDefault="00116069" w:rsidP="00116069">
      <w:pPr>
        <w:pStyle w:val="a3"/>
        <w:rPr>
          <w:kern w:val="0"/>
        </w:rPr>
      </w:pPr>
      <w:r>
        <w:rPr>
          <w:kern w:val="0"/>
        </w:rPr>
        <w:t>Keywords: Adolescents, Adult, Age, Anterior Knee Pain, Association, Clinical-Trial, Cross-Sectional, Cross-Sectional Studies, Developing, Development, Effect Size, Effects, Evidence, Females, Follow-Up, Foot Orthoses, Google, Google Scholar, Hallux-Valgus, Kinematics, Literature, Medline, Men, Meta Analysis, Meta-Analysis, Metaanalysis, Methods, Muscle Function, Pain, Papers, Patients, Physical-Therapy, Prospective, Prospective Studies, Quality, Research, Results, Review, Reviewers, Risk, Risk Factor, Science, Single-Leg Squat, Size, Strength, Systematic, Systematic Review, Web Of Science, Women</w:t>
      </w:r>
    </w:p>
    <w:p w:rsidR="00DD55F7" w:rsidRPr="00FC7835" w:rsidRDefault="00DD55F7" w:rsidP="00DD55F7">
      <w:pPr>
        <w:pStyle w:val="1"/>
      </w:pPr>
      <w:r w:rsidRPr="00FC7835">
        <w:br w:type="page"/>
      </w:r>
      <w:bookmarkStart w:id="945" w:name="_Toc420814836"/>
      <w:r w:rsidRPr="00FC7835">
        <w:lastRenderedPageBreak/>
        <w:t xml:space="preserve">Title: </w:t>
      </w:r>
      <w:r w:rsidRPr="008322F0">
        <w:t>British Journal</w:t>
      </w:r>
      <w:r w:rsidR="00427468">
        <w:t xml:space="preserve"> of </w:t>
      </w:r>
      <w:r w:rsidRPr="008322F0">
        <w:t>Social Psychology</w:t>
      </w:r>
      <w:bookmarkEnd w:id="945"/>
    </w:p>
    <w:p w:rsidR="00DD55F7" w:rsidRPr="00FC7835" w:rsidRDefault="00DD55F7" w:rsidP="00DD55F7">
      <w:pPr>
        <w:pStyle w:val="12"/>
      </w:pPr>
      <w:r w:rsidRPr="00FC7835">
        <w:t xml:space="preserve">Full Journal Title: </w:t>
      </w:r>
      <w:r w:rsidRPr="008322F0">
        <w:rPr>
          <w:iCs/>
          <w:kern w:val="0"/>
        </w:rPr>
        <w:t>British Journal</w:t>
      </w:r>
      <w:r w:rsidR="00427468">
        <w:rPr>
          <w:iCs/>
          <w:kern w:val="0"/>
        </w:rPr>
        <w:t xml:space="preserve"> of </w:t>
      </w:r>
      <w:r w:rsidRPr="008322F0">
        <w:rPr>
          <w:iCs/>
          <w:kern w:val="0"/>
        </w:rPr>
        <w:t>Social Psychology</w:t>
      </w:r>
    </w:p>
    <w:p w:rsidR="00DD55F7" w:rsidRPr="00FC7835" w:rsidRDefault="00DD55F7" w:rsidP="00DD55F7">
      <w:pPr>
        <w:pStyle w:val="12"/>
      </w:pPr>
      <w:r w:rsidRPr="00FC7835">
        <w:t xml:space="preserve">ISO Abbreviated Title: </w:t>
      </w:r>
    </w:p>
    <w:p w:rsidR="00DD55F7" w:rsidRPr="00FC7835" w:rsidRDefault="00DD55F7" w:rsidP="00DD55F7">
      <w:pPr>
        <w:pStyle w:val="12"/>
      </w:pPr>
      <w:r w:rsidRPr="00FC7835">
        <w:t xml:space="preserve">JCR Abbreviated Title: </w:t>
      </w:r>
    </w:p>
    <w:p w:rsidR="00DD55F7" w:rsidRPr="00FC7835" w:rsidRDefault="00DD55F7" w:rsidP="00DD55F7">
      <w:pPr>
        <w:pStyle w:val="12"/>
      </w:pPr>
      <w:r w:rsidRPr="00FC7835">
        <w:t xml:space="preserve">ISSN: </w:t>
      </w:r>
    </w:p>
    <w:p w:rsidR="00DD55F7" w:rsidRPr="00FC7835" w:rsidRDefault="00DD55F7" w:rsidP="00DD55F7">
      <w:pPr>
        <w:pStyle w:val="12"/>
      </w:pPr>
      <w:r w:rsidRPr="00FC7835">
        <w:t xml:space="preserve">Issues/Year: </w:t>
      </w:r>
    </w:p>
    <w:p w:rsidR="00DD55F7" w:rsidRPr="00FC7835" w:rsidRDefault="00DD55F7" w:rsidP="00DD55F7">
      <w:pPr>
        <w:pStyle w:val="12"/>
      </w:pPr>
      <w:r>
        <w:t>Journal Country/Territory:</w:t>
      </w:r>
      <w:r w:rsidRPr="00FC7835">
        <w:t xml:space="preserve"> </w:t>
      </w:r>
    </w:p>
    <w:p w:rsidR="00DD55F7" w:rsidRPr="00FC7835" w:rsidRDefault="00DD55F7" w:rsidP="00DD55F7">
      <w:pPr>
        <w:pStyle w:val="12"/>
      </w:pPr>
      <w:r w:rsidRPr="00FC7835">
        <w:t xml:space="preserve">Language: </w:t>
      </w:r>
    </w:p>
    <w:p w:rsidR="00DD55F7" w:rsidRPr="00FC7835" w:rsidRDefault="00DD55F7" w:rsidP="00DD55F7">
      <w:pPr>
        <w:pStyle w:val="12"/>
      </w:pPr>
      <w:r w:rsidRPr="00FC7835">
        <w:t xml:space="preserve">Publisher: </w:t>
      </w:r>
    </w:p>
    <w:p w:rsidR="00DD55F7" w:rsidRPr="00FC7835" w:rsidRDefault="00DD55F7" w:rsidP="00DD55F7">
      <w:pPr>
        <w:pStyle w:val="12"/>
      </w:pPr>
      <w:r w:rsidRPr="00FC7835">
        <w:t xml:space="preserve">Publisher Address: </w:t>
      </w:r>
    </w:p>
    <w:p w:rsidR="00DD55F7" w:rsidRPr="00FC7835" w:rsidRDefault="00DD55F7" w:rsidP="00DD55F7">
      <w:pPr>
        <w:pStyle w:val="12"/>
      </w:pPr>
      <w:r w:rsidRPr="00FC7835">
        <w:t>Subject Categories:</w:t>
      </w:r>
    </w:p>
    <w:p w:rsidR="00DD55F7" w:rsidRPr="00FC7835" w:rsidRDefault="00DD55F7" w:rsidP="00DD55F7">
      <w:pPr>
        <w:pStyle w:val="12"/>
      </w:pPr>
      <w:r w:rsidRPr="00FC7835">
        <w:t xml:space="preserve">: Impact Factor </w:t>
      </w:r>
    </w:p>
    <w:p w:rsidR="00DD55F7" w:rsidRDefault="00DD55F7" w:rsidP="00DD55F7">
      <w:pPr>
        <w:pStyle w:val="a3"/>
        <w:rPr>
          <w:kern w:val="0"/>
        </w:rPr>
      </w:pPr>
      <w:r>
        <w:rPr>
          <w:rFonts w:hint="eastAsia"/>
          <w:kern w:val="0"/>
        </w:rPr>
        <w:t xml:space="preserve">? </w:t>
      </w:r>
      <w:r>
        <w:rPr>
          <w:kern w:val="0"/>
        </w:rPr>
        <w:t>Trafimow, D.</w:t>
      </w:r>
      <w:r w:rsidR="005853A9">
        <w:rPr>
          <w:kern w:val="0"/>
        </w:rPr>
        <w:t xml:space="preserve"> and </w:t>
      </w:r>
      <w:r>
        <w:rPr>
          <w:kern w:val="0"/>
        </w:rPr>
        <w:t>Fishbein, M. (1995), Do people really distinguish between behavioral</w:t>
      </w:r>
      <w:r w:rsidR="005853A9">
        <w:rPr>
          <w:kern w:val="0"/>
        </w:rPr>
        <w:t xml:space="preserve"> and </w:t>
      </w:r>
      <w:r>
        <w:rPr>
          <w:kern w:val="0"/>
        </w:rPr>
        <w:t xml:space="preserve">normative beliefs. </w:t>
      </w:r>
      <w:r w:rsidRPr="008322F0">
        <w:rPr>
          <w:i/>
          <w:iCs/>
          <w:kern w:val="0"/>
        </w:rPr>
        <w:t>British Journal</w:t>
      </w:r>
      <w:r w:rsidR="00427468">
        <w:rPr>
          <w:i/>
          <w:iCs/>
          <w:kern w:val="0"/>
        </w:rPr>
        <w:t xml:space="preserve"> of </w:t>
      </w:r>
      <w:r w:rsidRPr="008322F0">
        <w:rPr>
          <w:i/>
          <w:iCs/>
          <w:kern w:val="0"/>
        </w:rPr>
        <w:t>Social Psychology</w:t>
      </w:r>
      <w:r>
        <w:rPr>
          <w:kern w:val="0"/>
        </w:rPr>
        <w:t xml:space="preserve">, </w:t>
      </w:r>
      <w:r>
        <w:rPr>
          <w:b/>
          <w:bCs/>
          <w:kern w:val="0"/>
        </w:rPr>
        <w:t>34</w:t>
      </w:r>
      <w:r>
        <w:rPr>
          <w:kern w:val="0"/>
        </w:rPr>
        <w:t>, 257-266.</w:t>
      </w:r>
    </w:p>
    <w:p w:rsidR="00DD55F7" w:rsidRDefault="00DD55F7" w:rsidP="00DD55F7">
      <w:pPr>
        <w:pStyle w:val="a3"/>
        <w:rPr>
          <w:kern w:val="0"/>
        </w:rPr>
      </w:pPr>
      <w:r>
        <w:rPr>
          <w:rFonts w:hint="eastAsia"/>
          <w:kern w:val="0"/>
        </w:rPr>
        <w:t>Full Text: 1995\</w:t>
      </w:r>
      <w:r>
        <w:rPr>
          <w:iCs/>
          <w:kern w:val="0"/>
        </w:rPr>
        <w:t>Bri J Soc Psy</w:t>
      </w:r>
      <w:r>
        <w:rPr>
          <w:rFonts w:hint="eastAsia"/>
          <w:iCs/>
          <w:kern w:val="0"/>
        </w:rPr>
        <w:t>34, 257.pdf</w:t>
      </w:r>
    </w:p>
    <w:p w:rsidR="00DD55F7" w:rsidRDefault="00DD55F7" w:rsidP="00DD55F7">
      <w:pPr>
        <w:pStyle w:val="a3"/>
        <w:rPr>
          <w:kern w:val="0"/>
        </w:rPr>
      </w:pPr>
      <w:r>
        <w:rPr>
          <w:kern w:val="0"/>
        </w:rPr>
        <w:t>Abstract: Several theories (e.g. Ajzen, 1988; Fishbein BE Ajzen, 1975; Triandis, 1980) imply that people distinguish between beliefs about</w:t>
      </w:r>
      <w:r w:rsidR="003A1917">
        <w:rPr>
          <w:kern w:val="0"/>
        </w:rPr>
        <w:t xml:space="preserve"> the </w:t>
      </w:r>
      <w:r>
        <w:rPr>
          <w:kern w:val="0"/>
        </w:rPr>
        <w:t>consequences</w:t>
      </w:r>
      <w:r w:rsidR="00427468">
        <w:rPr>
          <w:kern w:val="0"/>
        </w:rPr>
        <w:t xml:space="preserve"> of </w:t>
      </w:r>
      <w:r>
        <w:rPr>
          <w:kern w:val="0"/>
        </w:rPr>
        <w:t>performing a behaviour</w:t>
      </w:r>
      <w:r w:rsidR="005853A9">
        <w:rPr>
          <w:kern w:val="0"/>
        </w:rPr>
        <w:t xml:space="preserve"> and </w:t>
      </w:r>
      <w:r>
        <w:rPr>
          <w:kern w:val="0"/>
        </w:rPr>
        <w:t>beliefs about</w:t>
      </w:r>
      <w:r w:rsidR="003A1917">
        <w:rPr>
          <w:kern w:val="0"/>
        </w:rPr>
        <w:t xml:space="preserve"> the </w:t>
      </w:r>
      <w:r>
        <w:rPr>
          <w:kern w:val="0"/>
        </w:rPr>
        <w:t>opinions</w:t>
      </w:r>
      <w:r w:rsidR="00427468">
        <w:rPr>
          <w:kern w:val="0"/>
        </w:rPr>
        <w:t xml:space="preserve"> of </w:t>
      </w:r>
      <w:r>
        <w:rPr>
          <w:kern w:val="0"/>
        </w:rPr>
        <w:t xml:space="preserve">important others toward performing that behaviour. In order to test this, subjects were presented with </w:t>
      </w:r>
      <w:r w:rsidR="00700038">
        <w:rPr>
          <w:kern w:val="0"/>
        </w:rPr>
        <w:t>‘</w:t>
      </w:r>
      <w:r>
        <w:rPr>
          <w:kern w:val="0"/>
        </w:rPr>
        <w:t>behavioural</w:t>
      </w:r>
      <w:r w:rsidR="00700038">
        <w:rPr>
          <w:kern w:val="0"/>
        </w:rPr>
        <w:t>’</w:t>
      </w:r>
      <w:r>
        <w:rPr>
          <w:kern w:val="0"/>
        </w:rPr>
        <w:t xml:space="preserve"> or </w:t>
      </w:r>
      <w:r w:rsidR="00700038">
        <w:rPr>
          <w:kern w:val="0"/>
        </w:rPr>
        <w:t>‘</w:t>
      </w:r>
      <w:r>
        <w:rPr>
          <w:kern w:val="0"/>
        </w:rPr>
        <w:t>normative</w:t>
      </w:r>
      <w:r w:rsidR="00700038">
        <w:rPr>
          <w:kern w:val="0"/>
        </w:rPr>
        <w:t>’</w:t>
      </w:r>
      <w:r>
        <w:rPr>
          <w:kern w:val="0"/>
        </w:rPr>
        <w:t xml:space="preserve"> items that were relevant to</w:t>
      </w:r>
      <w:r w:rsidR="003A1917">
        <w:rPr>
          <w:kern w:val="0"/>
        </w:rPr>
        <w:t xml:space="preserve"> the </w:t>
      </w:r>
      <w:r>
        <w:rPr>
          <w:kern w:val="0"/>
        </w:rPr>
        <w:t>performance</w:t>
      </w:r>
      <w:r w:rsidR="00427468">
        <w:rPr>
          <w:kern w:val="0"/>
        </w:rPr>
        <w:t xml:space="preserve"> of </w:t>
      </w:r>
      <w:r>
        <w:rPr>
          <w:kern w:val="0"/>
        </w:rPr>
        <w:t>a behaviour. Experimental group subjects in two experiments were asked to decide, on</w:t>
      </w:r>
      <w:r w:rsidR="003A1917">
        <w:rPr>
          <w:kern w:val="0"/>
        </w:rPr>
        <w:t xml:space="preserve"> the </w:t>
      </w:r>
      <w:r>
        <w:rPr>
          <w:kern w:val="0"/>
        </w:rPr>
        <w:t>basis</w:t>
      </w:r>
      <w:r w:rsidR="00427468">
        <w:rPr>
          <w:kern w:val="0"/>
        </w:rPr>
        <w:t xml:space="preserve"> of </w:t>
      </w:r>
      <w:r>
        <w:rPr>
          <w:kern w:val="0"/>
        </w:rPr>
        <w:t>these items, whether or not they would perform</w:t>
      </w:r>
      <w:r w:rsidR="003A1917">
        <w:rPr>
          <w:kern w:val="0"/>
        </w:rPr>
        <w:t xml:space="preserve"> the </w:t>
      </w:r>
      <w:r>
        <w:rPr>
          <w:kern w:val="0"/>
        </w:rPr>
        <w:t>behaviour. Control group subjects were given other processing objectives; these were different in</w:t>
      </w:r>
      <w:r w:rsidR="003A1917">
        <w:rPr>
          <w:kern w:val="0"/>
        </w:rPr>
        <w:t xml:space="preserve"> the </w:t>
      </w:r>
      <w:r>
        <w:rPr>
          <w:kern w:val="0"/>
        </w:rPr>
        <w:t>two experiments. All subjects were asked ro recall</w:t>
      </w:r>
      <w:r w:rsidR="003A1917">
        <w:rPr>
          <w:kern w:val="0"/>
        </w:rPr>
        <w:t xml:space="preserve"> the </w:t>
      </w:r>
      <w:r>
        <w:rPr>
          <w:kern w:val="0"/>
        </w:rPr>
        <w:t>items. According to</w:t>
      </w:r>
      <w:r w:rsidR="003A1917">
        <w:rPr>
          <w:kern w:val="0"/>
        </w:rPr>
        <w:t xml:space="preserve"> the </w:t>
      </w:r>
      <w:r>
        <w:rPr>
          <w:kern w:val="0"/>
        </w:rPr>
        <w:t>distinction between behavioural</w:t>
      </w:r>
      <w:r w:rsidR="005853A9">
        <w:rPr>
          <w:kern w:val="0"/>
        </w:rPr>
        <w:t xml:space="preserve"> and </w:t>
      </w:r>
      <w:r>
        <w:rPr>
          <w:kern w:val="0"/>
        </w:rPr>
        <w:t>normative beliefs, experimental group subjects</w:t>
      </w:r>
      <w:r w:rsidR="00700038">
        <w:rPr>
          <w:kern w:val="0"/>
        </w:rPr>
        <w:t>’</w:t>
      </w:r>
      <w:r>
        <w:rPr>
          <w:kern w:val="0"/>
        </w:rPr>
        <w:t xml:space="preserve"> recall protocols should be clustered by belief type, but this should not be true for control group subjects. Findings from two experiments were consistent with predictions. Finally, a third experiment, in which subjects wrote down beliefs chat were nor presented by an experimenter, further supported a distinction between these two types</w:t>
      </w:r>
      <w:r w:rsidR="00427468">
        <w:rPr>
          <w:kern w:val="0"/>
        </w:rPr>
        <w:t xml:space="preserve"> of </w:t>
      </w:r>
      <w:r>
        <w:rPr>
          <w:kern w:val="0"/>
        </w:rPr>
        <w:t>beliefs.</w:t>
      </w:r>
    </w:p>
    <w:p w:rsidR="00DD55F7" w:rsidRDefault="00DD55F7" w:rsidP="00DD55F7">
      <w:pPr>
        <w:pStyle w:val="a3"/>
        <w:rPr>
          <w:kern w:val="0"/>
        </w:rPr>
      </w:pPr>
      <w:r>
        <w:rPr>
          <w:kern w:val="0"/>
        </w:rPr>
        <w:t>Keywords: Beliefs, Control, Experimental, Fishbein, Intentions, Model, Reasoned Action, Response Bias, Self, Theories</w:t>
      </w:r>
    </w:p>
    <w:p w:rsidR="003474F2" w:rsidRPr="001A3D2B" w:rsidRDefault="003474F2" w:rsidP="003474F2">
      <w:pPr>
        <w:pStyle w:val="1"/>
      </w:pPr>
      <w:r w:rsidRPr="001A3D2B">
        <w:br w:type="page"/>
      </w:r>
      <w:bookmarkStart w:id="946" w:name="_Toc420814837"/>
      <w:r w:rsidRPr="001A3D2B">
        <w:lastRenderedPageBreak/>
        <w:t>Title: British Journal</w:t>
      </w:r>
      <w:r w:rsidR="00427468">
        <w:t xml:space="preserve"> of </w:t>
      </w:r>
      <w:r w:rsidRPr="001A3D2B">
        <w:t>Social Work</w:t>
      </w:r>
      <w:bookmarkEnd w:id="946"/>
    </w:p>
    <w:p w:rsidR="003474F2" w:rsidRPr="001A3D2B" w:rsidRDefault="003474F2" w:rsidP="003474F2">
      <w:pPr>
        <w:pStyle w:val="12"/>
      </w:pPr>
      <w:r w:rsidRPr="001A3D2B">
        <w:t>Full Journal Title: British Journal</w:t>
      </w:r>
      <w:r w:rsidR="00427468">
        <w:t xml:space="preserve"> of </w:t>
      </w:r>
      <w:r w:rsidRPr="001A3D2B">
        <w:t>Social Work</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B94DA1" w:rsidRPr="00FC7835" w:rsidRDefault="00B94DA1" w:rsidP="00B94DA1">
      <w:pPr>
        <w:pStyle w:val="a3"/>
        <w:rPr>
          <w:kern w:val="0"/>
        </w:rPr>
      </w:pPr>
      <w:r w:rsidRPr="00FC7835">
        <w:rPr>
          <w:kern w:val="0"/>
        </w:rPr>
        <w:t>? Manthorpe</w:t>
      </w:r>
      <w:r>
        <w:rPr>
          <w:kern w:val="0"/>
        </w:rPr>
        <w:t xml:space="preserve">, </w:t>
      </w:r>
      <w:r w:rsidRPr="00FC7835">
        <w:rPr>
          <w:kern w:val="0"/>
        </w:rPr>
        <w:t>J. (2007)</w:t>
      </w:r>
      <w:r>
        <w:rPr>
          <w:kern w:val="0"/>
        </w:rPr>
        <w:t xml:space="preserve">, </w:t>
      </w:r>
      <w:r w:rsidRPr="00FC7835">
        <w:rPr>
          <w:kern w:val="0"/>
        </w:rPr>
        <w:t xml:space="preserve">Bibliometrics in social work. </w:t>
      </w:r>
      <w:r w:rsidRPr="00FC7835">
        <w:rPr>
          <w:i/>
          <w:iCs/>
          <w:kern w:val="0"/>
        </w:rPr>
        <w:t>British Journal</w:t>
      </w:r>
      <w:r w:rsidR="00427468">
        <w:rPr>
          <w:i/>
          <w:iCs/>
          <w:kern w:val="0"/>
        </w:rPr>
        <w:t xml:space="preserve"> of </w:t>
      </w:r>
      <w:r w:rsidRPr="00FC7835">
        <w:rPr>
          <w:i/>
          <w:iCs/>
          <w:kern w:val="0"/>
        </w:rPr>
        <w:t>Social Work</w:t>
      </w:r>
      <w:r>
        <w:rPr>
          <w:kern w:val="0"/>
        </w:rPr>
        <w:t xml:space="preserve">, </w:t>
      </w:r>
      <w:r w:rsidRPr="00FC7835">
        <w:rPr>
          <w:b/>
          <w:bCs/>
          <w:kern w:val="0"/>
        </w:rPr>
        <w:t>37</w:t>
      </w:r>
      <w:r w:rsidRPr="00FC7835">
        <w:rPr>
          <w:kern w:val="0"/>
        </w:rPr>
        <w:t xml:space="preserve"> (5)</w:t>
      </w:r>
      <w:r>
        <w:rPr>
          <w:kern w:val="0"/>
        </w:rPr>
        <w:t xml:space="preserve">, </w:t>
      </w:r>
      <w:r w:rsidRPr="00FC7835">
        <w:rPr>
          <w:kern w:val="0"/>
        </w:rPr>
        <w:t>951-953.</w:t>
      </w:r>
    </w:p>
    <w:p w:rsidR="00B94DA1" w:rsidRDefault="00B94DA1" w:rsidP="00B94DA1">
      <w:pPr>
        <w:pStyle w:val="a3"/>
        <w:rPr>
          <w:kern w:val="0"/>
        </w:rPr>
      </w:pPr>
      <w:r>
        <w:rPr>
          <w:rFonts w:hint="eastAsia"/>
          <w:kern w:val="0"/>
        </w:rPr>
        <w:t>Full Text:</w:t>
      </w:r>
      <w:r w:rsidRPr="005C7FE0">
        <w:rPr>
          <w:iCs/>
          <w:kern w:val="0"/>
        </w:rPr>
        <w:t xml:space="preserve"> </w:t>
      </w:r>
      <w:hyperlink r:id="rId1951" w:history="1">
        <w:r w:rsidRPr="005C7FE0">
          <w:rPr>
            <w:rStyle w:val="a5"/>
            <w:iCs/>
            <w:kern w:val="0"/>
          </w:rPr>
          <w:t>2007\Bri J Soc Wor37, 951.pdf</w:t>
        </w:r>
      </w:hyperlink>
    </w:p>
    <w:p w:rsidR="00B94DA1" w:rsidRDefault="00B94DA1" w:rsidP="00B94DA1">
      <w:pPr>
        <w:pStyle w:val="a3"/>
        <w:rPr>
          <w:kern w:val="0"/>
          <w:szCs w:val="24"/>
        </w:rPr>
      </w:pPr>
      <w:r>
        <w:rPr>
          <w:kern w:val="0"/>
          <w:szCs w:val="24"/>
        </w:rPr>
        <w:t>Keywords: Bibliometrics</w:t>
      </w:r>
    </w:p>
    <w:p w:rsidR="0019508C" w:rsidRDefault="0019508C" w:rsidP="0019508C">
      <w:pPr>
        <w:pStyle w:val="a3"/>
        <w:rPr>
          <w:kern w:val="0"/>
        </w:rPr>
      </w:pPr>
      <w:r>
        <w:rPr>
          <w:rFonts w:hint="eastAsia"/>
          <w:kern w:val="0"/>
        </w:rPr>
        <w:t xml:space="preserve">? </w:t>
      </w:r>
      <w:r>
        <w:rPr>
          <w:kern w:val="0"/>
        </w:rPr>
        <w:t>Hodge, D.R., Lacasse, J.R.</w:t>
      </w:r>
      <w:r w:rsidR="005853A9">
        <w:rPr>
          <w:kern w:val="0"/>
        </w:rPr>
        <w:t xml:space="preserve"> and </w:t>
      </w:r>
      <w:r>
        <w:rPr>
          <w:kern w:val="0"/>
        </w:rPr>
        <w:t>Benson, O. (2012), Influential publications in social work discourse:</w:t>
      </w:r>
      <w:r w:rsidR="003A1917">
        <w:rPr>
          <w:kern w:val="0"/>
        </w:rPr>
        <w:t xml:space="preserve"> the </w:t>
      </w:r>
      <w:r>
        <w:rPr>
          <w:kern w:val="0"/>
        </w:rPr>
        <w:t>100 most highly cited articles in disciplinary journals: 2000</w:t>
      </w:r>
      <w:r>
        <w:rPr>
          <w:rFonts w:hint="eastAsia"/>
          <w:kern w:val="0"/>
        </w:rPr>
        <w:t>-</w:t>
      </w:r>
      <w:r>
        <w:rPr>
          <w:kern w:val="0"/>
        </w:rPr>
        <w:t xml:space="preserve">09. </w:t>
      </w:r>
      <w:r>
        <w:rPr>
          <w:i/>
          <w:iCs/>
          <w:kern w:val="0"/>
        </w:rPr>
        <w:t>British Journal</w:t>
      </w:r>
      <w:r w:rsidR="00427468">
        <w:rPr>
          <w:i/>
          <w:iCs/>
          <w:kern w:val="0"/>
        </w:rPr>
        <w:t xml:space="preserve"> of </w:t>
      </w:r>
      <w:r>
        <w:rPr>
          <w:i/>
          <w:iCs/>
          <w:kern w:val="0"/>
        </w:rPr>
        <w:t>Social Work</w:t>
      </w:r>
      <w:r>
        <w:rPr>
          <w:kern w:val="0"/>
        </w:rPr>
        <w:t xml:space="preserve">, </w:t>
      </w:r>
      <w:r>
        <w:rPr>
          <w:b/>
          <w:bCs/>
          <w:kern w:val="0"/>
        </w:rPr>
        <w:t>42</w:t>
      </w:r>
      <w:r>
        <w:rPr>
          <w:kern w:val="0"/>
        </w:rPr>
        <w:t xml:space="preserve"> (4), 765-782.</w:t>
      </w:r>
    </w:p>
    <w:p w:rsidR="0019508C" w:rsidRDefault="0019508C" w:rsidP="0019508C">
      <w:pPr>
        <w:pStyle w:val="a3"/>
        <w:rPr>
          <w:kern w:val="0"/>
        </w:rPr>
      </w:pPr>
      <w:r>
        <w:rPr>
          <w:rFonts w:hint="eastAsia"/>
          <w:kern w:val="0"/>
        </w:rPr>
        <w:t>Full Text:</w:t>
      </w:r>
      <w:r w:rsidRPr="005C7FE0">
        <w:rPr>
          <w:iCs/>
          <w:kern w:val="0"/>
        </w:rPr>
        <w:t xml:space="preserve"> </w:t>
      </w:r>
      <w:hyperlink r:id="rId1952" w:history="1">
        <w:r w:rsidRPr="00B1452D">
          <w:rPr>
            <w:rStyle w:val="a5"/>
            <w:iCs/>
            <w:kern w:val="0"/>
          </w:rPr>
          <w:t>2012\Bri J Soc Wor42, 765.pdf</w:t>
        </w:r>
      </w:hyperlink>
    </w:p>
    <w:p w:rsidR="0019508C" w:rsidRDefault="0019508C" w:rsidP="0019508C">
      <w:pPr>
        <w:pStyle w:val="a3"/>
        <w:rPr>
          <w:kern w:val="0"/>
        </w:rPr>
      </w:pPr>
      <w:r>
        <w:rPr>
          <w:kern w:val="0"/>
        </w:rPr>
        <w:t>Abstract: Examinations</w:t>
      </w:r>
      <w:r w:rsidR="00427468">
        <w:rPr>
          <w:kern w:val="0"/>
        </w:rPr>
        <w:t xml:space="preserve"> of </w:t>
      </w:r>
      <w:r>
        <w:rPr>
          <w:kern w:val="0"/>
        </w:rPr>
        <w:t>highly cited articles are common in professions such as medicine as a way to enhance professional self-reflection. Yet, little research has examined influential articles in social work. In light</w:t>
      </w:r>
      <w:r w:rsidR="00427468">
        <w:rPr>
          <w:kern w:val="0"/>
        </w:rPr>
        <w:t xml:space="preserve"> of </w:t>
      </w:r>
      <w:r w:rsidR="003A1917">
        <w:rPr>
          <w:kern w:val="0"/>
        </w:rPr>
        <w:t xml:space="preserve">the </w:t>
      </w:r>
      <w:r>
        <w:rPr>
          <w:kern w:val="0"/>
        </w:rPr>
        <w:t>emergence</w:t>
      </w:r>
      <w:r w:rsidR="00427468">
        <w:rPr>
          <w:kern w:val="0"/>
        </w:rPr>
        <w:t xml:space="preserve"> of </w:t>
      </w:r>
      <w:r>
        <w:rPr>
          <w:kern w:val="0"/>
        </w:rPr>
        <w:t>a distinct disciplinary knowledge base over</w:t>
      </w:r>
      <w:r w:rsidR="003A1917">
        <w:rPr>
          <w:kern w:val="0"/>
        </w:rPr>
        <w:t xml:space="preserve"> the </w:t>
      </w:r>
      <w:r>
        <w:rPr>
          <w:kern w:val="0"/>
        </w:rPr>
        <w:t>past few decades, this study identifies</w:t>
      </w:r>
      <w:r w:rsidR="003A1917">
        <w:rPr>
          <w:kern w:val="0"/>
        </w:rPr>
        <w:t xml:space="preserve"> the </w:t>
      </w:r>
      <w:r>
        <w:rPr>
          <w:kern w:val="0"/>
        </w:rPr>
        <w:t>100 most cited articles in disciplinary social work journals (N 79) published during 200009. Analysis revealed twelve citation classics spanning a relatively diverse array</w:t>
      </w:r>
      <w:r w:rsidR="00427468">
        <w:rPr>
          <w:kern w:val="0"/>
        </w:rPr>
        <w:t xml:space="preserve"> of </w:t>
      </w:r>
      <w:r>
        <w:rPr>
          <w:kern w:val="0"/>
        </w:rPr>
        <w:t>subjects. Among</w:t>
      </w:r>
      <w:r w:rsidR="003A1917">
        <w:rPr>
          <w:kern w:val="0"/>
        </w:rPr>
        <w:t xml:space="preserve"> the </w:t>
      </w:r>
      <w:r>
        <w:rPr>
          <w:kern w:val="0"/>
        </w:rPr>
        <w:t>various topics that appeared among</w:t>
      </w:r>
      <w:r w:rsidR="003A1917">
        <w:rPr>
          <w:kern w:val="0"/>
        </w:rPr>
        <w:t xml:space="preserve"> the </w:t>
      </w:r>
      <w:r>
        <w:rPr>
          <w:kern w:val="0"/>
        </w:rPr>
        <w:t>100 most cited articles,</w:t>
      </w:r>
      <w:r w:rsidR="003A1917">
        <w:rPr>
          <w:kern w:val="0"/>
        </w:rPr>
        <w:t xml:space="preserve"> the </w:t>
      </w:r>
      <w:r>
        <w:rPr>
          <w:kern w:val="0"/>
        </w:rPr>
        <w:t>results suggest that evidence-based practice/social work research plays a particularly important role in professional discourse. Also notable is</w:t>
      </w:r>
      <w:r w:rsidR="003A1917">
        <w:rPr>
          <w:kern w:val="0"/>
        </w:rPr>
        <w:t xml:space="preserve"> the </w:t>
      </w:r>
      <w:r>
        <w:rPr>
          <w:kern w:val="0"/>
        </w:rPr>
        <w:t>fact that some two-thirds</w:t>
      </w:r>
      <w:r w:rsidR="00427468">
        <w:rPr>
          <w:kern w:val="0"/>
        </w:rPr>
        <w:t xml:space="preserve"> of </w:t>
      </w:r>
      <w:r w:rsidR="003A1917">
        <w:rPr>
          <w:kern w:val="0"/>
        </w:rPr>
        <w:t xml:space="preserve">the </w:t>
      </w:r>
      <w:r>
        <w:rPr>
          <w:kern w:val="0"/>
        </w:rPr>
        <w:t>most highly cited articles were published in just four journals.</w:t>
      </w:r>
    </w:p>
    <w:p w:rsidR="0019508C" w:rsidRDefault="0019508C" w:rsidP="0019508C">
      <w:pPr>
        <w:pStyle w:val="a3"/>
        <w:rPr>
          <w:kern w:val="0"/>
        </w:rPr>
      </w:pPr>
      <w:r>
        <w:rPr>
          <w:kern w:val="0"/>
        </w:rPr>
        <w:t>Keywords: Articles, Bibliometrics, Citation, Citation Classics, Citation-Classics, Classics, Discourse, Evidence Based, Evidence-Based, Google-Scholar, Highly Cited Articles, Impact, Indicators, Journals, Knowledge, Knowledge Base, Medicine, N, Ophthalmology Journals, Profession, Professional Discourse, Professions, Publications, Research, Role, Science, Scopus, Self-Reflection, Social, Social Work, Social Work Journals, Social Work Literature, Surgical Journals, Topics, Web, Work</w:t>
      </w:r>
    </w:p>
    <w:p w:rsidR="00CA7D6A" w:rsidRDefault="00CA7D6A" w:rsidP="00CA7D6A">
      <w:pPr>
        <w:pStyle w:val="a3"/>
        <w:rPr>
          <w:kern w:val="0"/>
        </w:rPr>
      </w:pPr>
      <w:r>
        <w:rPr>
          <w:rFonts w:hint="eastAsia"/>
          <w:kern w:val="0"/>
        </w:rPr>
        <w:t xml:space="preserve">? </w:t>
      </w:r>
      <w:r>
        <w:rPr>
          <w:kern w:val="0"/>
        </w:rPr>
        <w:t>Slater, T., Scourfield, J.</w:t>
      </w:r>
      <w:r w:rsidR="005853A9">
        <w:rPr>
          <w:kern w:val="0"/>
        </w:rPr>
        <w:t xml:space="preserve"> and </w:t>
      </w:r>
      <w:r>
        <w:rPr>
          <w:kern w:val="0"/>
        </w:rPr>
        <w:t xml:space="preserve">Sloan, L. (2012), Who is citing whom in social work? A </w:t>
      </w:r>
      <w:r>
        <w:rPr>
          <w:kern w:val="0"/>
        </w:rPr>
        <w:lastRenderedPageBreak/>
        <w:t>response to Hodge, Lacasse</w:t>
      </w:r>
      <w:r w:rsidR="005853A9">
        <w:rPr>
          <w:kern w:val="0"/>
        </w:rPr>
        <w:t xml:space="preserve"> and </w:t>
      </w:r>
      <w:r>
        <w:rPr>
          <w:kern w:val="0"/>
        </w:rPr>
        <w:t xml:space="preserve">Benson. </w:t>
      </w:r>
      <w:r>
        <w:rPr>
          <w:i/>
          <w:iCs/>
          <w:kern w:val="0"/>
        </w:rPr>
        <w:t>British Journal</w:t>
      </w:r>
      <w:r w:rsidR="00427468">
        <w:rPr>
          <w:i/>
          <w:iCs/>
          <w:kern w:val="0"/>
        </w:rPr>
        <w:t xml:space="preserve"> of </w:t>
      </w:r>
      <w:r>
        <w:rPr>
          <w:i/>
          <w:iCs/>
          <w:kern w:val="0"/>
        </w:rPr>
        <w:t>Social Work</w:t>
      </w:r>
      <w:r>
        <w:rPr>
          <w:kern w:val="0"/>
        </w:rPr>
        <w:t xml:space="preserve">, </w:t>
      </w:r>
      <w:r>
        <w:rPr>
          <w:b/>
          <w:bCs/>
          <w:kern w:val="0"/>
        </w:rPr>
        <w:t>42</w:t>
      </w:r>
      <w:r>
        <w:rPr>
          <w:kern w:val="0"/>
        </w:rPr>
        <w:t xml:space="preserve"> (8), 1626-1633.</w:t>
      </w:r>
    </w:p>
    <w:p w:rsidR="00CA7D6A" w:rsidRDefault="00CA7D6A" w:rsidP="00CA7D6A">
      <w:pPr>
        <w:pStyle w:val="a3"/>
        <w:rPr>
          <w:kern w:val="0"/>
        </w:rPr>
      </w:pPr>
      <w:r>
        <w:rPr>
          <w:rFonts w:hint="eastAsia"/>
          <w:kern w:val="0"/>
        </w:rPr>
        <w:t>Full Text:</w:t>
      </w:r>
      <w:r w:rsidRPr="005C7FE0">
        <w:rPr>
          <w:iCs/>
          <w:kern w:val="0"/>
        </w:rPr>
        <w:t xml:space="preserve"> </w:t>
      </w:r>
      <w:hyperlink r:id="rId1953" w:history="1">
        <w:r w:rsidRPr="00CA7D6A">
          <w:rPr>
            <w:rStyle w:val="a5"/>
            <w:iCs/>
            <w:kern w:val="0"/>
          </w:rPr>
          <w:t>2012\Bri J Soc Wor42, 1626.pdf</w:t>
        </w:r>
      </w:hyperlink>
    </w:p>
    <w:p w:rsidR="00CA7D6A" w:rsidRDefault="00CA7D6A" w:rsidP="00CA7D6A">
      <w:pPr>
        <w:pStyle w:val="a3"/>
        <w:rPr>
          <w:kern w:val="0"/>
        </w:rPr>
      </w:pPr>
      <w:r>
        <w:rPr>
          <w:kern w:val="0"/>
        </w:rPr>
        <w:t>Abstract: The top 100 most cited papers in social work journals in 200009 were recently listed in a British Journal</w:t>
      </w:r>
      <w:r w:rsidR="00427468">
        <w:rPr>
          <w:kern w:val="0"/>
        </w:rPr>
        <w:t xml:space="preserve"> of </w:t>
      </w:r>
      <w:r>
        <w:rPr>
          <w:kern w:val="0"/>
        </w:rPr>
        <w:t>Social Work paper by Hodge, Lacasse</w:t>
      </w:r>
      <w:r w:rsidR="005853A9">
        <w:rPr>
          <w:kern w:val="0"/>
        </w:rPr>
        <w:t xml:space="preserve"> and </w:t>
      </w:r>
      <w:r>
        <w:rPr>
          <w:kern w:val="0"/>
        </w:rPr>
        <w:t>Benson</w:t>
      </w:r>
      <w:r w:rsidR="00A37C1D">
        <w:rPr>
          <w:kern w:val="0"/>
        </w:rPr>
        <w:t>. The</w:t>
      </w:r>
      <w:r>
        <w:rPr>
          <w:kern w:val="0"/>
        </w:rPr>
        <w:t xml:space="preserve"> citations</w:t>
      </w:r>
      <w:r w:rsidR="00427468">
        <w:rPr>
          <w:kern w:val="0"/>
        </w:rPr>
        <w:t xml:space="preserve"> of </w:t>
      </w:r>
      <w:r>
        <w:rPr>
          <w:kern w:val="0"/>
        </w:rPr>
        <w:t>these 100 papers in a two-year period (200709) were identified</w:t>
      </w:r>
      <w:r w:rsidR="005853A9">
        <w:rPr>
          <w:kern w:val="0"/>
        </w:rPr>
        <w:t xml:space="preserve"> and </w:t>
      </w:r>
      <w:r>
        <w:rPr>
          <w:kern w:val="0"/>
        </w:rPr>
        <w:t>a further manual web-based search was conducted to identify some key features</w:t>
      </w:r>
      <w:r w:rsidR="00427468">
        <w:rPr>
          <w:kern w:val="0"/>
        </w:rPr>
        <w:t xml:space="preserve"> of </w:t>
      </w:r>
      <w:r>
        <w:rPr>
          <w:kern w:val="0"/>
        </w:rPr>
        <w:t>the citing sources. Descriptive statistics are presented on language</w:t>
      </w:r>
      <w:r w:rsidR="00427468">
        <w:rPr>
          <w:kern w:val="0"/>
        </w:rPr>
        <w:t xml:space="preserve"> of </w:t>
      </w:r>
      <w:r>
        <w:rPr>
          <w:kern w:val="0"/>
        </w:rPr>
        <w:t>publication</w:t>
      </w:r>
      <w:r w:rsidR="005853A9">
        <w:rPr>
          <w:kern w:val="0"/>
        </w:rPr>
        <w:t xml:space="preserve"> and </w:t>
      </w:r>
      <w:r>
        <w:rPr>
          <w:kern w:val="0"/>
        </w:rPr>
        <w:t>national location</w:t>
      </w:r>
      <w:r w:rsidR="00427468">
        <w:rPr>
          <w:kern w:val="0"/>
        </w:rPr>
        <w:t xml:space="preserve"> of </w:t>
      </w:r>
      <w:r>
        <w:rPr>
          <w:kern w:val="0"/>
        </w:rPr>
        <w:t>citing authors, as well as type</w:t>
      </w:r>
      <w:r w:rsidR="00427468">
        <w:rPr>
          <w:kern w:val="0"/>
        </w:rPr>
        <w:t xml:space="preserve"> of </w:t>
      </w:r>
      <w:r>
        <w:rPr>
          <w:kern w:val="0"/>
        </w:rPr>
        <w:t>citing source. Bivariate analysis was conducted</w:t>
      </w:r>
      <w:r w:rsidR="00427468">
        <w:rPr>
          <w:kern w:val="0"/>
        </w:rPr>
        <w:t xml:space="preserve"> of </w:t>
      </w:r>
      <w:r>
        <w:rPr>
          <w:kern w:val="0"/>
        </w:rPr>
        <w:t>the national location</w:t>
      </w:r>
      <w:r w:rsidR="00427468">
        <w:rPr>
          <w:kern w:val="0"/>
        </w:rPr>
        <w:t xml:space="preserve"> of </w:t>
      </w:r>
      <w:r>
        <w:rPr>
          <w:kern w:val="0"/>
        </w:rPr>
        <w:t>cited journal by national location</w:t>
      </w:r>
      <w:r w:rsidR="00427468">
        <w:rPr>
          <w:kern w:val="0"/>
        </w:rPr>
        <w:t xml:space="preserve"> of </w:t>
      </w:r>
      <w:r>
        <w:rPr>
          <w:kern w:val="0"/>
        </w:rPr>
        <w:t>citing first author. This analysis shows a strong tendency towards within-country citation in both the UK</w:t>
      </w:r>
      <w:r w:rsidR="005853A9">
        <w:rPr>
          <w:kern w:val="0"/>
        </w:rPr>
        <w:t xml:space="preserve"> and </w:t>
      </w:r>
      <w:r w:rsidR="00D5664A">
        <w:rPr>
          <w:kern w:val="0"/>
        </w:rPr>
        <w:t>USA</w:t>
      </w:r>
      <w:r>
        <w:rPr>
          <w:kern w:val="0"/>
        </w:rPr>
        <w:t>, providing some evidence</w:t>
      </w:r>
      <w:r w:rsidR="00427468">
        <w:rPr>
          <w:kern w:val="0"/>
        </w:rPr>
        <w:t xml:space="preserve"> of </w:t>
      </w:r>
      <w:r>
        <w:rPr>
          <w:kern w:val="0"/>
        </w:rPr>
        <w:t>intellectual chauvinism amongst social work academics and, more specifically, evidence</w:t>
      </w:r>
      <w:r w:rsidR="00427468">
        <w:rPr>
          <w:kern w:val="0"/>
        </w:rPr>
        <w:t xml:space="preserve"> of </w:t>
      </w:r>
      <w:r>
        <w:rPr>
          <w:kern w:val="0"/>
        </w:rPr>
        <w:t>a Great Atlantic Divide.</w:t>
      </w:r>
    </w:p>
    <w:p w:rsidR="00CA7D6A" w:rsidRDefault="00CA7D6A" w:rsidP="00CA7D6A">
      <w:pPr>
        <w:pStyle w:val="a3"/>
        <w:rPr>
          <w:kern w:val="0"/>
        </w:rPr>
      </w:pPr>
      <w:r>
        <w:rPr>
          <w:kern w:val="0"/>
        </w:rPr>
        <w:t>Keywords: Academics, Analysis, Authors, Citation, Citation Analysis, Citations, Data Analysis, Dissemination, Evidence, First, Journal, Journals, Language, Location, Papers, Publication, Quantitative Methods, Social, Social Work Journals, Source, Sources, Statistics</w:t>
      </w:r>
      <w:r w:rsidR="00D5664A">
        <w:rPr>
          <w:kern w:val="0"/>
        </w:rPr>
        <w:t>, UK,</w:t>
      </w:r>
      <w:r>
        <w:rPr>
          <w:kern w:val="0"/>
        </w:rPr>
        <w:t xml:space="preserve"> </w:t>
      </w:r>
      <w:r w:rsidR="00D5664A">
        <w:rPr>
          <w:kern w:val="0"/>
        </w:rPr>
        <w:t>USA</w:t>
      </w:r>
      <w:r>
        <w:rPr>
          <w:kern w:val="0"/>
        </w:rPr>
        <w:t>, Work</w:t>
      </w:r>
    </w:p>
    <w:p w:rsidR="0005697A" w:rsidRDefault="0005697A" w:rsidP="0005697A">
      <w:pPr>
        <w:pStyle w:val="a3"/>
        <w:rPr>
          <w:kern w:val="0"/>
          <w:szCs w:val="24"/>
        </w:rPr>
      </w:pPr>
      <w:r>
        <w:rPr>
          <w:rFonts w:hint="eastAsia"/>
          <w:kern w:val="0"/>
          <w:szCs w:val="24"/>
        </w:rPr>
        <w:t xml:space="preserve">? </w:t>
      </w:r>
      <w:r>
        <w:rPr>
          <w:kern w:val="0"/>
          <w:szCs w:val="24"/>
        </w:rPr>
        <w:t>Hodge, D.R. and Lacasse, J.R. (2014), Does citation analysis help or hinder the professional development</w:t>
      </w:r>
      <w:r w:rsidR="00427468">
        <w:rPr>
          <w:kern w:val="0"/>
          <w:szCs w:val="24"/>
        </w:rPr>
        <w:t xml:space="preserve"> of </w:t>
      </w:r>
      <w:r>
        <w:rPr>
          <w:kern w:val="0"/>
          <w:szCs w:val="24"/>
        </w:rPr>
        <w:t xml:space="preserve">social workers and their profession? A reply to Slater, Scourfield and Sloan. </w:t>
      </w:r>
      <w:r>
        <w:rPr>
          <w:i/>
          <w:iCs/>
          <w:kern w:val="0"/>
          <w:szCs w:val="24"/>
        </w:rPr>
        <w:t>British Journal</w:t>
      </w:r>
      <w:r w:rsidR="00427468">
        <w:rPr>
          <w:i/>
          <w:iCs/>
          <w:kern w:val="0"/>
          <w:szCs w:val="24"/>
        </w:rPr>
        <w:t xml:space="preserve"> of </w:t>
      </w:r>
      <w:r>
        <w:rPr>
          <w:i/>
          <w:iCs/>
          <w:kern w:val="0"/>
          <w:szCs w:val="24"/>
        </w:rPr>
        <w:t>Social Work</w:t>
      </w:r>
      <w:r>
        <w:rPr>
          <w:kern w:val="0"/>
          <w:szCs w:val="24"/>
        </w:rPr>
        <w:t xml:space="preserve">, </w:t>
      </w:r>
      <w:r>
        <w:rPr>
          <w:b/>
          <w:bCs/>
          <w:kern w:val="0"/>
          <w:szCs w:val="24"/>
        </w:rPr>
        <w:t>44</w:t>
      </w:r>
      <w:r>
        <w:rPr>
          <w:kern w:val="0"/>
          <w:szCs w:val="24"/>
        </w:rPr>
        <w:t xml:space="preserve"> (2), 469-472.</w:t>
      </w:r>
    </w:p>
    <w:p w:rsidR="0005697A" w:rsidRDefault="0005697A" w:rsidP="0005697A">
      <w:pPr>
        <w:pStyle w:val="a3"/>
        <w:rPr>
          <w:kern w:val="0"/>
        </w:rPr>
      </w:pPr>
      <w:r>
        <w:rPr>
          <w:rFonts w:hint="eastAsia"/>
          <w:kern w:val="0"/>
        </w:rPr>
        <w:t>Full Text:</w:t>
      </w:r>
      <w:r w:rsidRPr="005C7FE0">
        <w:rPr>
          <w:iCs/>
          <w:kern w:val="0"/>
        </w:rPr>
        <w:t xml:space="preserve"> </w:t>
      </w:r>
      <w:hyperlink r:id="rId1954" w:history="1">
        <w:r w:rsidRPr="00126933">
          <w:rPr>
            <w:rStyle w:val="a5"/>
            <w:iCs/>
            <w:kern w:val="0"/>
          </w:rPr>
          <w:t>2014\Bri J Soc Wor44, 469.pdf</w:t>
        </w:r>
      </w:hyperlink>
    </w:p>
    <w:p w:rsidR="0005697A" w:rsidRDefault="0005697A" w:rsidP="0005697A">
      <w:pPr>
        <w:pStyle w:val="a3"/>
        <w:rPr>
          <w:kern w:val="0"/>
          <w:szCs w:val="24"/>
        </w:rPr>
      </w:pPr>
      <w:r>
        <w:rPr>
          <w:kern w:val="0"/>
          <w:szCs w:val="24"/>
        </w:rPr>
        <w:t>Abstract: This article responds to Slater, Scourfield and Sloans assessment and analysis</w:t>
      </w:r>
      <w:r w:rsidR="00427468">
        <w:rPr>
          <w:kern w:val="0"/>
          <w:szCs w:val="24"/>
        </w:rPr>
        <w:t xml:space="preserve"> of </w:t>
      </w:r>
      <w:r>
        <w:rPr>
          <w:kern w:val="0"/>
          <w:szCs w:val="24"/>
        </w:rPr>
        <w:t>our earlier British Journal</w:t>
      </w:r>
      <w:r w:rsidR="00427468">
        <w:rPr>
          <w:kern w:val="0"/>
          <w:szCs w:val="24"/>
        </w:rPr>
        <w:t xml:space="preserve"> of </w:t>
      </w:r>
      <w:r>
        <w:rPr>
          <w:kern w:val="0"/>
          <w:szCs w:val="24"/>
        </w:rPr>
        <w:t>Social Work article delineating the 100 most highly cited articles in disciplinary social work journals during the past decade. We address two primary issues in our response. First, we provide background on the circumstances that animated the larger research agenda from which the BJSW article emanated. Second, we discuss how the authors empirical work illustrates the potential</w:t>
      </w:r>
      <w:r w:rsidR="00427468">
        <w:rPr>
          <w:kern w:val="0"/>
          <w:szCs w:val="24"/>
        </w:rPr>
        <w:t xml:space="preserve"> of </w:t>
      </w:r>
      <w:r>
        <w:rPr>
          <w:kern w:val="0"/>
          <w:szCs w:val="24"/>
        </w:rPr>
        <w:t>citation analysis to spark conversations that facilitate professional reflection and growth. We conclude by noting that every method is characterised by a certain set</w:t>
      </w:r>
      <w:r w:rsidR="00427468">
        <w:rPr>
          <w:kern w:val="0"/>
          <w:szCs w:val="24"/>
        </w:rPr>
        <w:t xml:space="preserve"> of </w:t>
      </w:r>
      <w:r>
        <w:rPr>
          <w:kern w:val="0"/>
          <w:szCs w:val="24"/>
        </w:rPr>
        <w:t>limitations and that citation analysis has the potential to assist both social workers and their profession if used appropriately.</w:t>
      </w:r>
    </w:p>
    <w:p w:rsidR="0005697A" w:rsidRDefault="0005697A" w:rsidP="0005697A">
      <w:pPr>
        <w:pStyle w:val="a3"/>
        <w:rPr>
          <w:kern w:val="0"/>
          <w:szCs w:val="24"/>
        </w:rPr>
      </w:pPr>
      <w:r>
        <w:rPr>
          <w:kern w:val="0"/>
          <w:szCs w:val="24"/>
        </w:rPr>
        <w:t>Keywords: Analysis, Assessment, Authors, Bibliometrics, Citation, Citation Analysis, Disciplinary Journals, Growth, H-Index, Highly Cited, Highly Cited Articles, Highly-Cited, Issues, Journal, Journals, Mar, Methodological Limitations, Potential, Primary, Profession, Professional Discourse, Reflection, Research, Research Agenda, Response, Social, Social Work Journals, Work</w:t>
      </w:r>
    </w:p>
    <w:p w:rsidR="003474F2" w:rsidRPr="001A3D2B" w:rsidRDefault="003474F2" w:rsidP="003474F2">
      <w:pPr>
        <w:pStyle w:val="1"/>
      </w:pPr>
      <w:r w:rsidRPr="001A3D2B">
        <w:br w:type="page"/>
      </w:r>
      <w:bookmarkStart w:id="947" w:name="_Toc420814838"/>
      <w:r w:rsidRPr="001A3D2B">
        <w:lastRenderedPageBreak/>
        <w:t>Title: British Journal</w:t>
      </w:r>
      <w:r w:rsidR="00427468">
        <w:t xml:space="preserve"> of </w:t>
      </w:r>
      <w:r w:rsidRPr="001A3D2B">
        <w:t>Surgery</w:t>
      </w:r>
      <w:bookmarkEnd w:id="947"/>
    </w:p>
    <w:p w:rsidR="003474F2" w:rsidRPr="001A3D2B" w:rsidRDefault="003474F2" w:rsidP="003474F2">
      <w:pPr>
        <w:pStyle w:val="12"/>
      </w:pPr>
      <w:r w:rsidRPr="001A3D2B">
        <w:t>Full Journal</w:t>
      </w:r>
      <w:bookmarkStart w:id="948" w:name="_Toc488467647"/>
      <w:bookmarkStart w:id="949" w:name="_Toc489709643"/>
      <w:bookmarkStart w:id="950" w:name="_Toc490687724"/>
      <w:bookmarkStart w:id="951" w:name="_Toc92091421"/>
      <w:r w:rsidRPr="001A3D2B">
        <w:t xml:space="preserve"> Title: </w:t>
      </w:r>
      <w:r w:rsidR="00206C8A">
        <w:fldChar w:fldCharType="begin"/>
      </w:r>
      <w:r w:rsidR="00FD158B">
        <w:instrText>HYPERLINK "http://www3.i</w:instrText>
      </w:r>
      <w:bookmarkEnd w:id="948"/>
      <w:bookmarkEnd w:id="949"/>
      <w:bookmarkEnd w:id="950"/>
      <w:bookmarkEnd w:id="951"/>
      <w:r w:rsidR="00FD158B">
        <w:instrText>nterscience.wiley.com/cgi-bin/jhome/99019821"</w:instrText>
      </w:r>
      <w:r w:rsidR="00206C8A">
        <w:fldChar w:fldCharType="separate"/>
      </w:r>
      <w:r w:rsidRPr="001A3D2B">
        <w:rPr>
          <w:rStyle w:val="a5"/>
        </w:rPr>
        <w:t>British Journal</w:t>
      </w:r>
      <w:r w:rsidR="00427468">
        <w:rPr>
          <w:rStyle w:val="a5"/>
        </w:rPr>
        <w:t xml:space="preserve"> of </w:t>
      </w:r>
      <w:r w:rsidRPr="001A3D2B">
        <w:rPr>
          <w:rStyle w:val="a5"/>
        </w:rPr>
        <w:t>Surgery</w:t>
      </w:r>
      <w:r w:rsidR="00206C8A">
        <w:fldChar w:fldCharType="end"/>
      </w:r>
    </w:p>
    <w:p w:rsidR="003474F2" w:rsidRPr="001A3D2B" w:rsidRDefault="003474F2" w:rsidP="003474F2">
      <w:pPr>
        <w:pStyle w:val="12"/>
      </w:pPr>
      <w:r w:rsidRPr="001A3D2B">
        <w:t>ISO Abbreviated Title: Br. J. Surg.</w:t>
      </w:r>
    </w:p>
    <w:p w:rsidR="003474F2" w:rsidRPr="001A3D2B" w:rsidRDefault="003474F2" w:rsidP="003474F2">
      <w:pPr>
        <w:pStyle w:val="12"/>
      </w:pPr>
      <w:r w:rsidRPr="001A3D2B">
        <w:t>JCR Abbreviated Title: Brit J Surg</w:t>
      </w:r>
    </w:p>
    <w:p w:rsidR="003474F2" w:rsidRPr="001A3D2B" w:rsidRDefault="003474F2" w:rsidP="003474F2">
      <w:pPr>
        <w:pStyle w:val="12"/>
      </w:pPr>
      <w:r w:rsidRPr="001A3D2B">
        <w:t>ISSN: 0007-1323</w:t>
      </w:r>
    </w:p>
    <w:p w:rsidR="003474F2" w:rsidRPr="001A3D2B" w:rsidRDefault="003474F2" w:rsidP="003474F2">
      <w:pPr>
        <w:pStyle w:val="12"/>
      </w:pPr>
      <w:r w:rsidRPr="001A3D2B">
        <w:t>Issues/Year: 12</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Blackwell Science Ltd</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PO Box</w:t>
          </w:r>
        </w:smartTag>
        <w:r w:rsidRPr="001A3D2B">
          <w:t xml:space="preserve"> 88</w:t>
        </w:r>
      </w:smartTag>
      <w:r w:rsidRPr="001A3D2B">
        <w:t xml:space="preserve">, Osney Mead, </w:t>
      </w:r>
      <w:smartTag w:uri="urn:schemas-microsoft-com:office:smarttags" w:element="City">
        <w:r w:rsidRPr="001A3D2B">
          <w:t>Oxford</w:t>
        </w:r>
      </w:smartTag>
      <w:r w:rsidRPr="001A3D2B">
        <w:t xml:space="preserve"> OX2 0NE, </w:t>
      </w:r>
      <w:smartTag w:uri="urn:schemas-microsoft-com:office:smarttags" w:element="place">
        <w:smartTag w:uri="urn:schemas-microsoft-com:office:smarttags" w:element="City">
          <w:r w:rsidRPr="001A3D2B">
            <w:t>Oxon</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Surgery: Impact Factor </w:t>
      </w:r>
    </w:p>
    <w:p w:rsidR="003474F2" w:rsidRPr="001A3D2B" w:rsidRDefault="003474F2" w:rsidP="003474F2">
      <w:pPr>
        <w:pStyle w:val="a3"/>
      </w:pPr>
      <w:r w:rsidRPr="001A3D2B">
        <w:t xml:space="preserve">Organ, Jr., C.H. (2000), What an editor wants or expects from authors. </w:t>
      </w:r>
      <w:r w:rsidRPr="001A3D2B">
        <w:rPr>
          <w:i/>
        </w:rPr>
        <w:t>British Journal</w:t>
      </w:r>
      <w:r w:rsidR="00427468">
        <w:rPr>
          <w:i/>
        </w:rPr>
        <w:t xml:space="preserve"> of </w:t>
      </w:r>
      <w:r w:rsidRPr="001A3D2B">
        <w:rPr>
          <w:i/>
        </w:rPr>
        <w:t>Surgery</w:t>
      </w:r>
      <w:r w:rsidRPr="001A3D2B">
        <w:t xml:space="preserve">, </w:t>
      </w:r>
      <w:r w:rsidRPr="001A3D2B">
        <w:rPr>
          <w:b/>
        </w:rPr>
        <w:t>87</w:t>
      </w:r>
      <w:r w:rsidRPr="001A3D2B">
        <w:t xml:space="preserve"> (9), 1123-1124.</w:t>
      </w:r>
    </w:p>
    <w:p w:rsidR="003474F2" w:rsidRPr="001A3D2B" w:rsidRDefault="003474F2" w:rsidP="003474F2">
      <w:pPr>
        <w:pStyle w:val="a3"/>
      </w:pPr>
      <w:r w:rsidRPr="001A3D2B">
        <w:t xml:space="preserve">Full Text: </w:t>
      </w:r>
      <w:hyperlink r:id="rId1955" w:history="1">
        <w:r w:rsidRPr="001A3D2B">
          <w:rPr>
            <w:rStyle w:val="a5"/>
          </w:rPr>
          <w:t>2000\Bri J Sur87, 1123.pdf</w:t>
        </w:r>
      </w:hyperlink>
    </w:p>
    <w:p w:rsidR="003474F2" w:rsidRPr="001A3D2B" w:rsidRDefault="003474F2" w:rsidP="003474F2">
      <w:pPr>
        <w:pStyle w:val="a3"/>
      </w:pPr>
      <w:r w:rsidRPr="001A3D2B">
        <w:t>Schein, M., Farndon, J.R.</w:t>
      </w:r>
      <w:r w:rsidR="005853A9">
        <w:t xml:space="preserve"> and </w:t>
      </w:r>
      <w:r w:rsidRPr="001A3D2B">
        <w:t xml:space="preserve">Fingerhut, A. (2000), Epilogue: Key considerations in surgical publishing. </w:t>
      </w:r>
      <w:r w:rsidRPr="001A3D2B">
        <w:rPr>
          <w:i/>
        </w:rPr>
        <w:t>British Journal</w:t>
      </w:r>
      <w:r w:rsidR="00427468">
        <w:rPr>
          <w:i/>
        </w:rPr>
        <w:t xml:space="preserve"> of </w:t>
      </w:r>
      <w:r w:rsidRPr="001A3D2B">
        <w:rPr>
          <w:i/>
        </w:rPr>
        <w:t>Surgery</w:t>
      </w:r>
      <w:r w:rsidRPr="001A3D2B">
        <w:t xml:space="preserve">, </w:t>
      </w:r>
      <w:r w:rsidRPr="001A3D2B">
        <w:rPr>
          <w:b/>
        </w:rPr>
        <w:t>87</w:t>
      </w:r>
      <w:r w:rsidRPr="001A3D2B">
        <w:t xml:space="preserve"> (12), 1610-1614.</w:t>
      </w:r>
    </w:p>
    <w:p w:rsidR="003474F2" w:rsidRPr="001A3D2B" w:rsidRDefault="003474F2" w:rsidP="003474F2">
      <w:pPr>
        <w:pStyle w:val="a3"/>
      </w:pPr>
      <w:r w:rsidRPr="001A3D2B">
        <w:t xml:space="preserve">Full Text: </w:t>
      </w:r>
      <w:hyperlink r:id="rId1956" w:history="1">
        <w:r w:rsidRPr="001A3D2B">
          <w:rPr>
            <w:rStyle w:val="a5"/>
          </w:rPr>
          <w:t>2000\Bri J Sur87, 1610.pdf</w:t>
        </w:r>
      </w:hyperlink>
    </w:p>
    <w:p w:rsidR="00C22FC7" w:rsidRDefault="00C22FC7" w:rsidP="00C22FC7">
      <w:pPr>
        <w:pStyle w:val="a3"/>
        <w:rPr>
          <w:kern w:val="0"/>
        </w:rPr>
      </w:pPr>
      <w:r>
        <w:rPr>
          <w:rFonts w:hint="eastAsia"/>
          <w:kern w:val="0"/>
        </w:rPr>
        <w:t xml:space="preserve">? </w:t>
      </w:r>
      <w:r>
        <w:rPr>
          <w:kern w:val="0"/>
        </w:rPr>
        <w:t>Memon, M.A., Cooper, N.J., Memon, B., Memon, M.I.</w:t>
      </w:r>
      <w:r w:rsidR="005853A9">
        <w:rPr>
          <w:kern w:val="0"/>
        </w:rPr>
        <w:t xml:space="preserve"> and </w:t>
      </w:r>
      <w:r>
        <w:rPr>
          <w:kern w:val="0"/>
        </w:rPr>
        <w:t>Abrams, K.R. (2003), Meta-analysis</w:t>
      </w:r>
      <w:r w:rsidR="00427468">
        <w:rPr>
          <w:kern w:val="0"/>
        </w:rPr>
        <w:t xml:space="preserve"> of </w:t>
      </w:r>
      <w:r>
        <w:rPr>
          <w:kern w:val="0"/>
        </w:rPr>
        <w:t>randomized clinical trials comparing open</w:t>
      </w:r>
      <w:r w:rsidR="005853A9">
        <w:rPr>
          <w:kern w:val="0"/>
        </w:rPr>
        <w:t xml:space="preserve"> and </w:t>
      </w:r>
      <w:r>
        <w:rPr>
          <w:kern w:val="0"/>
        </w:rPr>
        <w:t xml:space="preserve">laparoscopic inguinal hernia repair. </w:t>
      </w:r>
      <w:r>
        <w:rPr>
          <w:i/>
          <w:iCs/>
          <w:kern w:val="0"/>
        </w:rPr>
        <w:t>British Journal</w:t>
      </w:r>
      <w:r w:rsidR="00427468">
        <w:rPr>
          <w:i/>
          <w:iCs/>
          <w:kern w:val="0"/>
        </w:rPr>
        <w:t xml:space="preserve"> of </w:t>
      </w:r>
      <w:r>
        <w:rPr>
          <w:i/>
          <w:iCs/>
          <w:kern w:val="0"/>
        </w:rPr>
        <w:t>Surgery</w:t>
      </w:r>
      <w:r>
        <w:rPr>
          <w:kern w:val="0"/>
        </w:rPr>
        <w:t xml:space="preserve">, </w:t>
      </w:r>
      <w:r>
        <w:rPr>
          <w:b/>
          <w:bCs/>
          <w:kern w:val="0"/>
        </w:rPr>
        <w:t>90</w:t>
      </w:r>
      <w:r>
        <w:rPr>
          <w:kern w:val="0"/>
        </w:rPr>
        <w:t xml:space="preserve"> (12), 1479-1492.</w:t>
      </w:r>
    </w:p>
    <w:p w:rsidR="00C22FC7" w:rsidRPr="00FC7835" w:rsidRDefault="00C22FC7" w:rsidP="00C22FC7">
      <w:pPr>
        <w:pStyle w:val="a3"/>
      </w:pPr>
      <w:r>
        <w:t>Full Text:</w:t>
      </w:r>
      <w:r w:rsidRPr="00FC7835">
        <w:t xml:space="preserve"> </w:t>
      </w:r>
      <w:hyperlink r:id="rId1957" w:history="1">
        <w:r w:rsidRPr="00C22FC7">
          <w:rPr>
            <w:rStyle w:val="a5"/>
          </w:rPr>
          <w:t>2003\Bri J Sur90, 1479.pdf</w:t>
        </w:r>
      </w:hyperlink>
    </w:p>
    <w:p w:rsidR="00C22FC7" w:rsidRDefault="00C22FC7" w:rsidP="00C22FC7">
      <w:pPr>
        <w:pStyle w:val="a3"/>
        <w:rPr>
          <w:kern w:val="0"/>
        </w:rPr>
      </w:pPr>
      <w:r>
        <w:rPr>
          <w:kern w:val="0"/>
        </w:rPr>
        <w:t>Abstract: Background:</w:t>
      </w:r>
      <w:r w:rsidR="003A1917">
        <w:rPr>
          <w:kern w:val="0"/>
        </w:rPr>
        <w:t xml:space="preserve"> the </w:t>
      </w:r>
      <w:r>
        <w:rPr>
          <w:kern w:val="0"/>
        </w:rPr>
        <w:t>aim was to conduct a meta-analysis</w:t>
      </w:r>
      <w:r w:rsidR="00427468">
        <w:rPr>
          <w:kern w:val="0"/>
        </w:rPr>
        <w:t xml:space="preserve"> of </w:t>
      </w:r>
      <w:r w:rsidR="003A1917">
        <w:rPr>
          <w:kern w:val="0"/>
        </w:rPr>
        <w:t xml:space="preserve">the </w:t>
      </w:r>
      <w:r>
        <w:rPr>
          <w:kern w:val="0"/>
        </w:rPr>
        <w:t>randomized evidence to determine</w:t>
      </w:r>
      <w:r w:rsidR="003A1917">
        <w:rPr>
          <w:kern w:val="0"/>
        </w:rPr>
        <w:t xml:space="preserve"> the </w:t>
      </w:r>
      <w:r>
        <w:rPr>
          <w:kern w:val="0"/>
        </w:rPr>
        <w:t>relative merits</w:t>
      </w:r>
      <w:r w:rsidR="00427468">
        <w:rPr>
          <w:kern w:val="0"/>
        </w:rPr>
        <w:t xml:space="preserve"> of </w:t>
      </w:r>
      <w:r>
        <w:rPr>
          <w:kern w:val="0"/>
        </w:rPr>
        <w:t>laparoscopic (LIHR)</w:t>
      </w:r>
      <w:r w:rsidR="005853A9">
        <w:rPr>
          <w:kern w:val="0"/>
        </w:rPr>
        <w:t xml:space="preserve"> and </w:t>
      </w:r>
      <w:r>
        <w:rPr>
          <w:kern w:val="0"/>
        </w:rPr>
        <w:t>open (OIHR) inguinal hernia repair. Methods: A search</w:t>
      </w:r>
      <w:r w:rsidR="00427468">
        <w:rPr>
          <w:kern w:val="0"/>
        </w:rPr>
        <w:t xml:space="preserve"> of </w:t>
      </w:r>
      <w:r w:rsidR="003A1917">
        <w:rPr>
          <w:kern w:val="0"/>
        </w:rPr>
        <w:t xml:space="preserve">the </w:t>
      </w:r>
      <w:r w:rsidR="00D5664A">
        <w:rPr>
          <w:kern w:val="0"/>
        </w:rPr>
        <w:t>MEDLINE</w:t>
      </w:r>
      <w:r>
        <w:rPr>
          <w:kern w:val="0"/>
        </w:rPr>
        <w:t>, Embase, Science Citation Index, Current Contents</w:t>
      </w:r>
      <w:r w:rsidR="005853A9">
        <w:rPr>
          <w:kern w:val="0"/>
        </w:rPr>
        <w:t xml:space="preserve"> and </w:t>
      </w:r>
      <w:r w:rsidR="002C12F0">
        <w:rPr>
          <w:kern w:val="0"/>
        </w:rPr>
        <w:t>PUBMED</w:t>
      </w:r>
      <w:r>
        <w:rPr>
          <w:kern w:val="0"/>
        </w:rPr>
        <w:t xml:space="preserve"> databases identified all randomized clinical trials that compared OIHR</w:t>
      </w:r>
      <w:r w:rsidR="005853A9">
        <w:rPr>
          <w:kern w:val="0"/>
        </w:rPr>
        <w:t xml:space="preserve"> and </w:t>
      </w:r>
      <w:r>
        <w:rPr>
          <w:kern w:val="0"/>
        </w:rPr>
        <w:t>LIHR</w:t>
      </w:r>
      <w:r w:rsidR="005853A9">
        <w:rPr>
          <w:kern w:val="0"/>
        </w:rPr>
        <w:t xml:space="preserve"> and </w:t>
      </w:r>
      <w:r>
        <w:rPr>
          <w:kern w:val="0"/>
        </w:rPr>
        <w:t>were published in</w:t>
      </w:r>
      <w:r w:rsidR="003A1917">
        <w:rPr>
          <w:kern w:val="0"/>
        </w:rPr>
        <w:t xml:space="preserve"> the </w:t>
      </w:r>
      <w:r>
        <w:rPr>
          <w:kern w:val="0"/>
        </w:rPr>
        <w:t>English language between January 1990</w:t>
      </w:r>
      <w:r w:rsidR="005853A9">
        <w:rPr>
          <w:kern w:val="0"/>
        </w:rPr>
        <w:t xml:space="preserve"> and </w:t>
      </w:r>
      <w:r w:rsidR="003A1917">
        <w:rPr>
          <w:kern w:val="0"/>
        </w:rPr>
        <w:t xml:space="preserve">the </w:t>
      </w:r>
      <w:r>
        <w:rPr>
          <w:kern w:val="0"/>
        </w:rPr>
        <w:t>end</w:t>
      </w:r>
      <w:r w:rsidR="00427468">
        <w:rPr>
          <w:kern w:val="0"/>
        </w:rPr>
        <w:t xml:space="preserve"> of </w:t>
      </w:r>
      <w:r>
        <w:rPr>
          <w:kern w:val="0"/>
        </w:rPr>
        <w:t>October 2000</w:t>
      </w:r>
      <w:r w:rsidR="00A37C1D">
        <w:rPr>
          <w:kern w:val="0"/>
        </w:rPr>
        <w:t>. The</w:t>
      </w:r>
      <w:r w:rsidR="003A1917">
        <w:rPr>
          <w:kern w:val="0"/>
        </w:rPr>
        <w:t xml:space="preserve"> </w:t>
      </w:r>
      <w:r>
        <w:rPr>
          <w:kern w:val="0"/>
        </w:rPr>
        <w:t>meta-analysis was prepared in accordance with</w:t>
      </w:r>
      <w:r w:rsidR="003A1917">
        <w:rPr>
          <w:kern w:val="0"/>
        </w:rPr>
        <w:t xml:space="preserve"> the </w:t>
      </w:r>
      <w:r>
        <w:rPr>
          <w:kern w:val="0"/>
        </w:rPr>
        <w:t>Quality</w:t>
      </w:r>
      <w:r w:rsidR="00427468">
        <w:rPr>
          <w:kern w:val="0"/>
        </w:rPr>
        <w:t xml:space="preserve"> of </w:t>
      </w:r>
      <w:r>
        <w:rPr>
          <w:kern w:val="0"/>
        </w:rPr>
        <w:t>Reporting</w:t>
      </w:r>
      <w:r w:rsidR="00427468">
        <w:rPr>
          <w:kern w:val="0"/>
        </w:rPr>
        <w:t xml:space="preserve"> of </w:t>
      </w:r>
      <w:r>
        <w:rPr>
          <w:kern w:val="0"/>
        </w:rPr>
        <w:t>Meta-analyses (QUOROM) statement</w:t>
      </w:r>
      <w:r w:rsidR="00A37C1D">
        <w:rPr>
          <w:kern w:val="0"/>
        </w:rPr>
        <w:t>. The</w:t>
      </w:r>
      <w:r w:rsidR="003A1917">
        <w:rPr>
          <w:kern w:val="0"/>
        </w:rPr>
        <w:t xml:space="preserve"> </w:t>
      </w:r>
      <w:r>
        <w:rPr>
          <w:kern w:val="0"/>
        </w:rPr>
        <w:t>six outcome variables analysed were operating time, time to discharge from hospital, return to normal activity</w:t>
      </w:r>
      <w:r w:rsidR="005853A9">
        <w:rPr>
          <w:kern w:val="0"/>
        </w:rPr>
        <w:t xml:space="preserve"> and </w:t>
      </w:r>
      <w:r>
        <w:rPr>
          <w:kern w:val="0"/>
        </w:rPr>
        <w:t>return to work, postoperative complications</w:t>
      </w:r>
      <w:r w:rsidR="005853A9">
        <w:rPr>
          <w:kern w:val="0"/>
        </w:rPr>
        <w:t xml:space="preserve"> and </w:t>
      </w:r>
      <w:r>
        <w:rPr>
          <w:kern w:val="0"/>
        </w:rPr>
        <w:t>recurrence rate. Random effects meta-analyses were performed using odds ratios</w:t>
      </w:r>
      <w:r w:rsidR="005853A9">
        <w:rPr>
          <w:kern w:val="0"/>
        </w:rPr>
        <w:t xml:space="preserve"> and </w:t>
      </w:r>
      <w:r>
        <w:rPr>
          <w:kern w:val="0"/>
        </w:rPr>
        <w:t>weighted mean differences. Results: Twenty-nine trials were considered suitable for meta-analysis. Some 3017 hernias were repaired laparoscopically</w:t>
      </w:r>
      <w:r w:rsidR="005853A9">
        <w:rPr>
          <w:kern w:val="0"/>
        </w:rPr>
        <w:t xml:space="preserve"> and </w:t>
      </w:r>
      <w:r>
        <w:rPr>
          <w:kern w:val="0"/>
        </w:rPr>
        <w:t>2972 hernias were repaired using an open method in 5588 patients. For four</w:t>
      </w:r>
      <w:r w:rsidR="00427468">
        <w:rPr>
          <w:kern w:val="0"/>
        </w:rPr>
        <w:t xml:space="preserve"> of </w:t>
      </w:r>
      <w:r w:rsidR="003A1917">
        <w:rPr>
          <w:kern w:val="0"/>
        </w:rPr>
        <w:t xml:space="preserve">the </w:t>
      </w:r>
      <w:r>
        <w:rPr>
          <w:kern w:val="0"/>
        </w:rPr>
        <w:t>six outcomes</w:t>
      </w:r>
      <w:r w:rsidR="003A1917">
        <w:rPr>
          <w:kern w:val="0"/>
        </w:rPr>
        <w:t xml:space="preserve"> the </w:t>
      </w:r>
      <w:r>
        <w:rPr>
          <w:kern w:val="0"/>
        </w:rPr>
        <w:t>summary point estimates favoured LIHR over OIHR; there was a significant reduction</w:t>
      </w:r>
      <w:r w:rsidR="00427468">
        <w:rPr>
          <w:kern w:val="0"/>
        </w:rPr>
        <w:t xml:space="preserve"> of </w:t>
      </w:r>
      <w:r>
        <w:rPr>
          <w:kern w:val="0"/>
        </w:rPr>
        <w:t>38 per cent in</w:t>
      </w:r>
      <w:r w:rsidR="003A1917">
        <w:rPr>
          <w:kern w:val="0"/>
        </w:rPr>
        <w:t xml:space="preserve"> the </w:t>
      </w:r>
      <w:r>
        <w:rPr>
          <w:kern w:val="0"/>
        </w:rPr>
        <w:t>relative odds</w:t>
      </w:r>
      <w:r w:rsidR="00427468">
        <w:rPr>
          <w:kern w:val="0"/>
        </w:rPr>
        <w:t xml:space="preserve"> of </w:t>
      </w:r>
      <w:r>
        <w:rPr>
          <w:kern w:val="0"/>
        </w:rPr>
        <w:lastRenderedPageBreak/>
        <w:t>postoperative complications (odds ratio 0.62 (95 per cent confidence interval (c.i.) 0.46 to 0.84); P = 0.002), 4.73 (95 per cent c.i. 3.51 to 5.96) days in time to return to normal activity (P &lt; 0.001), 6.96 (95 per cent c.i. 5.34 to 8.58) days in time to return to work (P &lt; 0.001)</w:t>
      </w:r>
      <w:r w:rsidR="005853A9">
        <w:rPr>
          <w:kern w:val="0"/>
        </w:rPr>
        <w:t xml:space="preserve"> and </w:t>
      </w:r>
      <w:r>
        <w:rPr>
          <w:kern w:val="0"/>
        </w:rPr>
        <w:t>3.43 (95 per cent c.i. 0.35 to 6.50) h in time to discharge from hospital (P = 0.029)</w:t>
      </w:r>
      <w:r w:rsidR="00A37C1D">
        <w:rPr>
          <w:kern w:val="0"/>
        </w:rPr>
        <w:t>. The</w:t>
      </w:r>
      <w:r>
        <w:rPr>
          <w:kern w:val="0"/>
        </w:rPr>
        <w:t>re was a significant increase</w:t>
      </w:r>
      <w:r w:rsidR="00427468">
        <w:rPr>
          <w:kern w:val="0"/>
        </w:rPr>
        <w:t xml:space="preserve"> of </w:t>
      </w:r>
      <w:r>
        <w:rPr>
          <w:kern w:val="0"/>
        </w:rPr>
        <w:t>15.20 (95 per cent c.i. 7.78 to 22.63) min in</w:t>
      </w:r>
      <w:r w:rsidR="003A1917">
        <w:rPr>
          <w:kern w:val="0"/>
        </w:rPr>
        <w:t xml:space="preserve"> the </w:t>
      </w:r>
      <w:r>
        <w:rPr>
          <w:kern w:val="0"/>
        </w:rPr>
        <w:t>mean operating time for LIHR (P &lt; 0.001)</w:t>
      </w:r>
      <w:r w:rsidR="00A37C1D">
        <w:rPr>
          <w:kern w:val="0"/>
        </w:rPr>
        <w:t>. The</w:t>
      </w:r>
      <w:r w:rsidR="003A1917">
        <w:rPr>
          <w:kern w:val="0"/>
        </w:rPr>
        <w:t xml:space="preserve"> </w:t>
      </w:r>
      <w:r>
        <w:rPr>
          <w:kern w:val="0"/>
        </w:rPr>
        <w:t>relative odds</w:t>
      </w:r>
      <w:r w:rsidR="00427468">
        <w:rPr>
          <w:kern w:val="0"/>
        </w:rPr>
        <w:t xml:space="preserve"> of </w:t>
      </w:r>
      <w:r>
        <w:rPr>
          <w:kern w:val="0"/>
        </w:rPr>
        <w:t>short-term recurrence were increased by 50 per cent for LIHR compared with OIHR, although this result was not statistically significant (odds ratio 1.51 (95 per cent c.i. 0.81 to 2-79); P = 0.194). Conclusion: LIHR was associated with earlier discharge from hospital, quicker return to normal activity</w:t>
      </w:r>
      <w:r w:rsidR="005853A9">
        <w:rPr>
          <w:kern w:val="0"/>
        </w:rPr>
        <w:t xml:space="preserve"> and </w:t>
      </w:r>
      <w:r>
        <w:rPr>
          <w:kern w:val="0"/>
        </w:rPr>
        <w:t>work,</w:t>
      </w:r>
      <w:r w:rsidR="005853A9">
        <w:rPr>
          <w:kern w:val="0"/>
        </w:rPr>
        <w:t xml:space="preserve"> and </w:t>
      </w:r>
      <w:r>
        <w:rPr>
          <w:kern w:val="0"/>
        </w:rPr>
        <w:t>significantly fewer postoperative complications than OIHR. However,</w:t>
      </w:r>
      <w:r w:rsidR="003A1917">
        <w:rPr>
          <w:kern w:val="0"/>
        </w:rPr>
        <w:t xml:space="preserve"> the </w:t>
      </w:r>
      <w:r>
        <w:rPr>
          <w:kern w:val="0"/>
        </w:rPr>
        <w:t>operating time was significantly longer</w:t>
      </w:r>
      <w:r w:rsidR="005853A9">
        <w:rPr>
          <w:kern w:val="0"/>
        </w:rPr>
        <w:t xml:space="preserve"> and </w:t>
      </w:r>
      <w:r>
        <w:rPr>
          <w:kern w:val="0"/>
        </w:rPr>
        <w:t>there was a trend towards an increase in</w:t>
      </w:r>
      <w:r w:rsidR="003A1917">
        <w:rPr>
          <w:kern w:val="0"/>
        </w:rPr>
        <w:t xml:space="preserve"> the </w:t>
      </w:r>
      <w:r>
        <w:rPr>
          <w:kern w:val="0"/>
        </w:rPr>
        <w:t>relative odds</w:t>
      </w:r>
      <w:r w:rsidR="00427468">
        <w:rPr>
          <w:kern w:val="0"/>
        </w:rPr>
        <w:t xml:space="preserve"> of </w:t>
      </w:r>
      <w:r>
        <w:rPr>
          <w:kern w:val="0"/>
        </w:rPr>
        <w:t>recurrence after laparoscopic repair.</w:t>
      </w:r>
    </w:p>
    <w:p w:rsidR="00C22FC7" w:rsidRDefault="00C22FC7" w:rsidP="00C22FC7">
      <w:pPr>
        <w:pStyle w:val="a3"/>
        <w:rPr>
          <w:kern w:val="0"/>
        </w:rPr>
      </w:pPr>
      <w:r>
        <w:rPr>
          <w:kern w:val="0"/>
        </w:rPr>
        <w:t xml:space="preserve">Keywords: Citation, Clinical Trials, Cost, Databases, Day Surgical-Procedure, Discharge, English, Groin Hernia, Hernioplasty, Herniorrhaphy, Language, </w:t>
      </w:r>
      <w:r w:rsidR="00D5664A">
        <w:rPr>
          <w:kern w:val="0"/>
        </w:rPr>
        <w:t>MEDLINE</w:t>
      </w:r>
      <w:r>
        <w:rPr>
          <w:kern w:val="0"/>
        </w:rPr>
        <w:t>, Meta-Analysis, Multicenter Trial, Outcomes, Postoperative Pain, Preperitoneal Mesh Repair, Reduction, Science, Science Citation Index, Shouldice Repair, Transabdominal Preperitoneal</w:t>
      </w:r>
    </w:p>
    <w:p w:rsidR="00255950" w:rsidRDefault="00255950" w:rsidP="00255950">
      <w:pPr>
        <w:pStyle w:val="a3"/>
        <w:rPr>
          <w:kern w:val="0"/>
        </w:rPr>
      </w:pPr>
      <w:r>
        <w:rPr>
          <w:rFonts w:hint="eastAsia"/>
          <w:kern w:val="0"/>
        </w:rPr>
        <w:t xml:space="preserve">? </w:t>
      </w:r>
      <w:r>
        <w:rPr>
          <w:kern w:val="0"/>
        </w:rPr>
        <w:t>Mazaki, T., Ishii, Y.</w:t>
      </w:r>
      <w:r w:rsidR="005853A9">
        <w:rPr>
          <w:kern w:val="0"/>
        </w:rPr>
        <w:t xml:space="preserve"> and </w:t>
      </w:r>
      <w:r>
        <w:rPr>
          <w:kern w:val="0"/>
        </w:rPr>
        <w:t>Takayama, T. (2006), Meta-analysis</w:t>
      </w:r>
      <w:r w:rsidR="00427468">
        <w:rPr>
          <w:kern w:val="0"/>
        </w:rPr>
        <w:t xml:space="preserve"> of </w:t>
      </w:r>
      <w:r>
        <w:rPr>
          <w:kern w:val="0"/>
        </w:rPr>
        <w:t xml:space="preserve">prophylactic antibiotic use in acute necrotizing pancreatitis. </w:t>
      </w:r>
      <w:r>
        <w:rPr>
          <w:i/>
          <w:iCs/>
          <w:kern w:val="0"/>
        </w:rPr>
        <w:t>British Journal</w:t>
      </w:r>
      <w:r w:rsidR="00427468">
        <w:rPr>
          <w:i/>
          <w:iCs/>
          <w:kern w:val="0"/>
        </w:rPr>
        <w:t xml:space="preserve"> of </w:t>
      </w:r>
      <w:r>
        <w:rPr>
          <w:i/>
          <w:iCs/>
          <w:kern w:val="0"/>
        </w:rPr>
        <w:t>Surgery</w:t>
      </w:r>
      <w:r>
        <w:rPr>
          <w:kern w:val="0"/>
        </w:rPr>
        <w:t xml:space="preserve">, </w:t>
      </w:r>
      <w:r>
        <w:rPr>
          <w:b/>
          <w:bCs/>
          <w:kern w:val="0"/>
        </w:rPr>
        <w:t>93</w:t>
      </w:r>
      <w:r>
        <w:rPr>
          <w:kern w:val="0"/>
        </w:rPr>
        <w:t xml:space="preserve"> (6), 674-684.</w:t>
      </w:r>
    </w:p>
    <w:p w:rsidR="00CF2E15" w:rsidRDefault="00CF2E15" w:rsidP="00CF2E15">
      <w:pPr>
        <w:pStyle w:val="a3"/>
        <w:rPr>
          <w:kern w:val="0"/>
          <w:szCs w:val="24"/>
        </w:rPr>
      </w:pPr>
      <w:r>
        <w:rPr>
          <w:rFonts w:hint="eastAsia"/>
          <w:kern w:val="0"/>
          <w:szCs w:val="24"/>
        </w:rPr>
        <w:t xml:space="preserve">Full Text: </w:t>
      </w:r>
      <w:hyperlink r:id="rId1958" w:history="1">
        <w:r w:rsidRPr="003C213D">
          <w:rPr>
            <w:rStyle w:val="a5"/>
            <w:kern w:val="0"/>
            <w:szCs w:val="24"/>
          </w:rPr>
          <w:t>2006\Bri J Sur93, 674.pdf</w:t>
        </w:r>
      </w:hyperlink>
    </w:p>
    <w:p w:rsidR="00255950" w:rsidRDefault="00255950" w:rsidP="00255950">
      <w:pPr>
        <w:pStyle w:val="a3"/>
        <w:rPr>
          <w:kern w:val="0"/>
        </w:rPr>
      </w:pPr>
      <w:r>
        <w:rPr>
          <w:kern w:val="0"/>
        </w:rPr>
        <w:t>Abstract: Background: Death from infected necrosis in acute pancreatitis is common</w:t>
      </w:r>
      <w:r w:rsidR="005853A9">
        <w:rPr>
          <w:kern w:val="0"/>
        </w:rPr>
        <w:t xml:space="preserve"> and </w:t>
      </w:r>
      <w:r>
        <w:rPr>
          <w:kern w:val="0"/>
        </w:rPr>
        <w:t>prevention has focused on prophylactic antibiotics. This study assesses whether intravenous prophylactic antibiotic use reduces infected necrosis</w:t>
      </w:r>
      <w:r w:rsidR="005853A9">
        <w:rPr>
          <w:kern w:val="0"/>
        </w:rPr>
        <w:t xml:space="preserve"> and </w:t>
      </w:r>
      <w:r>
        <w:rPr>
          <w:kern w:val="0"/>
        </w:rPr>
        <w:t>death in acute necrotizing pancreatitis. Methods. A meta-analysis</w:t>
      </w:r>
      <w:r w:rsidR="00427468">
        <w:rPr>
          <w:kern w:val="0"/>
        </w:rPr>
        <w:t xml:space="preserve"> of </w:t>
      </w:r>
      <w:r>
        <w:rPr>
          <w:kern w:val="0"/>
        </w:rPr>
        <w:t xml:space="preserve">randomized controlled trials was carried out.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3A1917">
        <w:rPr>
          <w:kern w:val="0"/>
        </w:rPr>
        <w:t xml:space="preserve"> the </w:t>
      </w:r>
      <w:r>
        <w:rPr>
          <w:kern w:val="0"/>
        </w:rPr>
        <w:t>Cochrane controlled trials register</w:t>
      </w:r>
      <w:r w:rsidR="005853A9">
        <w:rPr>
          <w:kern w:val="0"/>
        </w:rPr>
        <w:t xml:space="preserve"> and </w:t>
      </w:r>
      <w:r>
        <w:rPr>
          <w:kern w:val="0"/>
        </w:rPr>
        <w:t>international conference proceedings were searched, with a citation review</w:t>
      </w:r>
      <w:r w:rsidR="00427468">
        <w:rPr>
          <w:kern w:val="0"/>
        </w:rPr>
        <w:t xml:space="preserve"> of </w:t>
      </w:r>
      <w:r>
        <w:rPr>
          <w:kern w:val="0"/>
        </w:rPr>
        <w:t>relevant primary</w:t>
      </w:r>
      <w:r w:rsidR="005853A9">
        <w:rPr>
          <w:kern w:val="0"/>
        </w:rPr>
        <w:t xml:space="preserve"> and </w:t>
      </w:r>
      <w:r>
        <w:rPr>
          <w:kern w:val="0"/>
        </w:rPr>
        <w:t>review articles. Results: Six</w:t>
      </w:r>
      <w:r w:rsidR="00427468">
        <w:rPr>
          <w:kern w:val="0"/>
        </w:rPr>
        <w:t xml:space="preserve"> of </w:t>
      </w:r>
      <w:r>
        <w:rPr>
          <w:kern w:val="0"/>
        </w:rPr>
        <w:t>328 studies assessed were included in data extraction. Primary outcome measures were infected necrosis</w:t>
      </w:r>
      <w:r w:rsidR="005853A9">
        <w:rPr>
          <w:kern w:val="0"/>
        </w:rPr>
        <w:t xml:space="preserve"> and </w:t>
      </w:r>
      <w:r>
        <w:rPr>
          <w:kern w:val="0"/>
        </w:rPr>
        <w:t>death. Secondary outcome measures were non-pancreatic infections, surgical intervention</w:t>
      </w:r>
      <w:r w:rsidR="005853A9">
        <w:rPr>
          <w:kern w:val="0"/>
        </w:rPr>
        <w:t xml:space="preserve"> and </w:t>
      </w:r>
      <w:r>
        <w:rPr>
          <w:kern w:val="0"/>
        </w:rPr>
        <w:t>length</w:t>
      </w:r>
      <w:r w:rsidR="00427468">
        <w:rPr>
          <w:kern w:val="0"/>
        </w:rPr>
        <w:t xml:space="preserve"> of </w:t>
      </w:r>
      <w:r>
        <w:rPr>
          <w:kern w:val="0"/>
        </w:rPr>
        <w:t>hospital stay. Prophylactic antibiotic use was not associated with a statistically significant reduction in infected necrosis (relative risk (RR) 0.77 (95 per cent confidence interval (c.i.) 0.54 to 1.12); P = 0.173), mortality (RR 0.78 (95 per cent c.i. 0.44 to 1.39); P = 0.404), non-pancreatic infections (RR 0.71 (95 per cent c.i. 0.32 to 1.58); P = 0.402)</w:t>
      </w:r>
      <w:r w:rsidR="005853A9">
        <w:rPr>
          <w:kern w:val="0"/>
        </w:rPr>
        <w:t xml:space="preserve"> and </w:t>
      </w:r>
      <w:r>
        <w:rPr>
          <w:kern w:val="0"/>
        </w:rPr>
        <w:t>surgical intervention (RR 0.78 (95 per cent c.i. 0.55 to 1.11); P = 0.167). It was, however, associated with a statistically significant reduction in hospital stay (P = 0.040). Conclusion: Prophylactic antibiotics do not prevent infected necrosis or death in acute necrotizing pancreatitis.</w:t>
      </w:r>
    </w:p>
    <w:p w:rsidR="00255950" w:rsidRDefault="00255950" w:rsidP="00255950">
      <w:pPr>
        <w:pStyle w:val="a3"/>
        <w:rPr>
          <w:kern w:val="0"/>
        </w:rPr>
      </w:pPr>
      <w:r>
        <w:rPr>
          <w:kern w:val="0"/>
        </w:rPr>
        <w:lastRenderedPageBreak/>
        <w:t xml:space="preserve">Keywords: Acute Pancreatitis, Antibiotic, Antibiotics, Citation, Cochrane, Controlled Clinical-Trial, Hospital, Imipenem, Infection, Intervention, Meta Analysis, Meta-Analysis, Methods, Mortality, Multicenter, Necrosis, Nonsurgical Management, Organ Failure, Outcome, Prevention, Primary, Quality, Randomized Controlled Trials, Randomized-Trials, Relative Risk, Review, Risk, Science, Septic Complications, Surgical,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t>? van Rossum, M.</w:t>
      </w:r>
      <w:r w:rsidRPr="001A3D2B">
        <w:rPr>
          <w:szCs w:val="19"/>
        </w:rPr>
        <w:t xml:space="preserve">, </w:t>
      </w:r>
      <w:r w:rsidRPr="001A3D2B">
        <w:t>Bosker, B.H.,</w:t>
      </w:r>
      <w:r w:rsidRPr="001A3D2B">
        <w:rPr>
          <w:szCs w:val="19"/>
        </w:rPr>
        <w:t xml:space="preserve"> </w:t>
      </w:r>
      <w:r w:rsidRPr="001A3D2B">
        <w:t>Pierik, E.G.J.M.</w:t>
      </w:r>
      <w:r w:rsidR="005853A9">
        <w:t xml:space="preserve"> and </w:t>
      </w:r>
      <w:r w:rsidRPr="001A3D2B">
        <w:t xml:space="preserve">Verheyen, C.C.P.M. (2007), </w:t>
      </w:r>
      <w:r w:rsidRPr="001A3D2B">
        <w:rPr>
          <w:szCs w:val="19"/>
        </w:rPr>
        <w:t>Geographic origin</w:t>
      </w:r>
      <w:r w:rsidR="00427468">
        <w:rPr>
          <w:szCs w:val="19"/>
        </w:rPr>
        <w:t xml:space="preserve"> of </w:t>
      </w:r>
      <w:r w:rsidRPr="001A3D2B">
        <w:rPr>
          <w:szCs w:val="19"/>
        </w:rPr>
        <w:t>publications in surgical journals</w:t>
      </w:r>
      <w:r w:rsidRPr="001A3D2B">
        <w:t xml:space="preserve">. </w:t>
      </w:r>
      <w:r w:rsidRPr="001A3D2B">
        <w:rPr>
          <w:i/>
        </w:rPr>
        <w:t>British Journal</w:t>
      </w:r>
      <w:r w:rsidR="00427468">
        <w:rPr>
          <w:i/>
        </w:rPr>
        <w:t xml:space="preserve"> of </w:t>
      </w:r>
      <w:r w:rsidRPr="001A3D2B">
        <w:rPr>
          <w:i/>
        </w:rPr>
        <w:t>Surgery</w:t>
      </w:r>
      <w:r w:rsidRPr="001A3D2B">
        <w:t xml:space="preserve">, </w:t>
      </w:r>
      <w:r w:rsidRPr="001A3D2B">
        <w:rPr>
          <w:b/>
        </w:rPr>
        <w:t>94</w:t>
      </w:r>
      <w:r w:rsidRPr="001A3D2B">
        <w:t xml:space="preserve"> (2), </w:t>
      </w:r>
      <w:r w:rsidRPr="001A3D2B">
        <w:rPr>
          <w:szCs w:val="19"/>
        </w:rPr>
        <w:t>244-247</w:t>
      </w:r>
      <w:r w:rsidRPr="001A3D2B">
        <w:t>.</w:t>
      </w:r>
    </w:p>
    <w:p w:rsidR="003474F2" w:rsidRPr="001A3D2B" w:rsidRDefault="003474F2" w:rsidP="003474F2">
      <w:pPr>
        <w:pStyle w:val="a3"/>
      </w:pPr>
      <w:r w:rsidRPr="001A3D2B">
        <w:t xml:space="preserve">Full Text: </w:t>
      </w:r>
      <w:hyperlink r:id="rId1959" w:history="1">
        <w:r w:rsidRPr="001A3D2B">
          <w:rPr>
            <w:rStyle w:val="a5"/>
          </w:rPr>
          <w:t>2007\Bri J Sur94, 244.pdf</w:t>
        </w:r>
      </w:hyperlink>
    </w:p>
    <w:p w:rsidR="003474F2" w:rsidRPr="001A3D2B" w:rsidRDefault="003474F2" w:rsidP="003474F2">
      <w:pPr>
        <w:pStyle w:val="a3"/>
      </w:pPr>
      <w:r w:rsidRPr="001A3D2B">
        <w:t>Abstract: Background: Publications in peer-reviewed journals are</w:t>
      </w:r>
      <w:r w:rsidR="003A1917">
        <w:t xml:space="preserve"> the </w:t>
      </w:r>
      <w:r w:rsidRPr="001A3D2B">
        <w:t>main determinants</w:t>
      </w:r>
      <w:r w:rsidR="00427468">
        <w:t xml:space="preserve"> of </w:t>
      </w:r>
      <w:r w:rsidRPr="001A3D2B">
        <w:t>research rating</w:t>
      </w:r>
      <w:r w:rsidR="005853A9">
        <w:t xml:space="preserve"> and </w:t>
      </w:r>
      <w:r w:rsidRPr="001A3D2B">
        <w:t>funding</w:t>
      </w:r>
      <w:r w:rsidR="00A37C1D">
        <w:t>. The</w:t>
      </w:r>
      <w:r w:rsidR="003A1917">
        <w:t xml:space="preserve"> </w:t>
      </w:r>
      <w:r w:rsidRPr="001A3D2B">
        <w:t>present study assesses worldwide scientific contributions in</w:t>
      </w:r>
      <w:r w:rsidR="003A1917">
        <w:t xml:space="preserve"> the </w:t>
      </w:r>
      <w:r w:rsidRPr="001A3D2B">
        <w:t>field</w:t>
      </w:r>
      <w:r w:rsidR="00427468">
        <w:t xml:space="preserve"> of </w:t>
      </w:r>
      <w:r w:rsidRPr="001A3D2B">
        <w:t>surgical research.</w:t>
      </w:r>
    </w:p>
    <w:p w:rsidR="003474F2" w:rsidRPr="001A3D2B" w:rsidRDefault="003474F2" w:rsidP="003474F2">
      <w:pPr>
        <w:pStyle w:val="a3"/>
      </w:pPr>
      <w:r w:rsidRPr="001A3D2B">
        <w:t xml:space="preserve">Methods: Fifteen major surgical journals were selected for a bibliometric search in </w:t>
      </w:r>
      <w:r w:rsidR="00D5664A">
        <w:t>MEDLINE</w:t>
      </w:r>
      <w:r w:rsidRPr="001A3D2B">
        <w:t>/</w:t>
      </w:r>
      <w:r w:rsidR="002C12F0">
        <w:t>PUBMED</w:t>
      </w:r>
      <w:r w:rsidRPr="001A3D2B">
        <w:t xml:space="preserve"> over a 6-year period (2000-2005). All articles with abstracts were totalled according to country</w:t>
      </w:r>
      <w:r w:rsidR="00427468">
        <w:t xml:space="preserve"> of </w:t>
      </w:r>
      <w:r w:rsidRPr="001A3D2B">
        <w:t>corresponding author. Publications (total</w:t>
      </w:r>
      <w:r w:rsidR="005853A9">
        <w:t xml:space="preserve"> and </w:t>
      </w:r>
      <w:r w:rsidRPr="001A3D2B">
        <w:t>corrected for population size)</w:t>
      </w:r>
      <w:r w:rsidR="005853A9">
        <w:t xml:space="preserve"> and </w:t>
      </w:r>
      <w:r w:rsidRPr="001A3D2B">
        <w:t>journal impact factor were assessed according to country.</w:t>
      </w:r>
    </w:p>
    <w:p w:rsidR="003474F2" w:rsidRPr="001A3D2B" w:rsidRDefault="003474F2" w:rsidP="003474F2">
      <w:pPr>
        <w:pStyle w:val="a3"/>
      </w:pPr>
      <w:r w:rsidRPr="001A3D2B">
        <w:t>Results: A total</w:t>
      </w:r>
      <w:r w:rsidR="00427468">
        <w:t xml:space="preserve"> of </w:t>
      </w:r>
      <w:r w:rsidRPr="001A3D2B">
        <w:t>18 717 articles were identified. Fifteen countries generated 88.8 per cent</w:t>
      </w:r>
      <w:r w:rsidR="00427468">
        <w:t xml:space="preserve"> of </w:t>
      </w:r>
      <w:r w:rsidRPr="001A3D2B">
        <w:t>these:</w:t>
      </w:r>
      <w:r w:rsidR="003A1917">
        <w:t xml:space="preserve"> the </w:t>
      </w:r>
      <w:r w:rsidR="00D5664A">
        <w:t>USA</w:t>
      </w:r>
      <w:r w:rsidRPr="001A3D2B">
        <w:t xml:space="preserve"> produced 42.1 per cent, </w:t>
      </w:r>
      <w:smartTag w:uri="urn:schemas-microsoft-com:office:smarttags" w:element="country-region">
        <w:r w:rsidRPr="001A3D2B">
          <w:t>Japan</w:t>
        </w:r>
      </w:smartTag>
      <w:r w:rsidRPr="001A3D2B">
        <w:t xml:space="preserve"> 9.1 per cent</w:t>
      </w:r>
      <w:r w:rsidR="005853A9">
        <w:t xml:space="preserve"> and </w:t>
      </w:r>
      <w:r w:rsidR="003A1917">
        <w:t xml:space="preserve">the </w:t>
      </w:r>
      <w:r w:rsidRPr="001A3D2B">
        <w:t>UK 7.6 per cent. When corrected for population size,</w:t>
      </w:r>
      <w:r w:rsidR="003A1917">
        <w:t xml:space="preserve"> the </w:t>
      </w:r>
      <w:r w:rsidRPr="001A3D2B">
        <w:t>Netherlands, Sweden</w:t>
      </w:r>
      <w:r w:rsidR="005853A9">
        <w:t xml:space="preserve"> and </w:t>
      </w:r>
      <w:r w:rsidRPr="001A3D2B">
        <w:t>Switzerland topped</w:t>
      </w:r>
      <w:r w:rsidR="003A1917">
        <w:t xml:space="preserve"> the </w:t>
      </w:r>
      <w:r w:rsidRPr="001A3D2B">
        <w:t>ranking;</w:t>
      </w:r>
      <w:r w:rsidR="003A1917">
        <w:t xml:space="preserve"> the </w:t>
      </w:r>
      <w:r w:rsidR="00D5664A">
        <w:t>USA</w:t>
      </w:r>
      <w:r w:rsidRPr="001A3D2B">
        <w:t xml:space="preserve"> was sixth. Ireland</w:t>
      </w:r>
      <w:r w:rsidR="005853A9">
        <w:t xml:space="preserve"> and </w:t>
      </w:r>
      <w:r w:rsidRPr="001A3D2B">
        <w:t>Switzerland scored</w:t>
      </w:r>
      <w:r w:rsidR="003A1917">
        <w:t xml:space="preserve"> the </w:t>
      </w:r>
      <w:r w:rsidRPr="001A3D2B">
        <w:t>highest mean impact factor.</w:t>
      </w:r>
    </w:p>
    <w:p w:rsidR="003474F2" w:rsidRPr="001A3D2B" w:rsidRDefault="003474F2" w:rsidP="003474F2">
      <w:pPr>
        <w:pStyle w:val="a3"/>
      </w:pPr>
      <w:r w:rsidRPr="001A3D2B">
        <w:t>Conclusion:</w:t>
      </w:r>
      <w:r w:rsidR="003A1917">
        <w:t xml:space="preserve"> the </w:t>
      </w:r>
      <w:r w:rsidR="00D5664A">
        <w:t>USA</w:t>
      </w:r>
      <w:r w:rsidRPr="001A3D2B">
        <w:t xml:space="preserve"> is</w:t>
      </w:r>
      <w:r w:rsidR="003A1917">
        <w:t xml:space="preserve"> the </w:t>
      </w:r>
      <w:r w:rsidRPr="001A3D2B">
        <w:t>most productive country in terms</w:t>
      </w:r>
      <w:r w:rsidR="00427468">
        <w:t xml:space="preserve"> of </w:t>
      </w:r>
      <w:r w:rsidRPr="001A3D2B">
        <w:t>absolute number</w:t>
      </w:r>
      <w:r w:rsidR="00427468">
        <w:t xml:space="preserve"> of </w:t>
      </w:r>
      <w:r w:rsidRPr="001A3D2B">
        <w:t>surgical publications in</w:t>
      </w:r>
      <w:r w:rsidR="003A1917">
        <w:t xml:space="preserve"> the </w:t>
      </w:r>
      <w:r w:rsidRPr="001A3D2B">
        <w:t>selected journals. However, when population size is taken into consideration, certain smaller European countries were more prolific.</w:t>
      </w:r>
    </w:p>
    <w:p w:rsidR="003474F2" w:rsidRPr="001A3D2B" w:rsidRDefault="003474F2" w:rsidP="003474F2">
      <w:pPr>
        <w:pStyle w:val="a3"/>
      </w:pPr>
      <w:r w:rsidRPr="001A3D2B">
        <w:t>Keywords: Anesthesia, Bibliometric, Care Journals, Countries Publish, Funding, Impact, Impact Factor, Japan, Japan Contribution, Journal, Journals, Medicine, Output, Population, Publications, Ranking, Research, Size, Sweden, Switzerland</w:t>
      </w:r>
      <w:r w:rsidR="00D5664A">
        <w:t>, UK,</w:t>
      </w:r>
      <w:r w:rsidRPr="001A3D2B">
        <w:t xml:space="preserve"> </w:t>
      </w:r>
      <w:r w:rsidR="00D5664A">
        <w:t>USA</w:t>
      </w:r>
    </w:p>
    <w:p w:rsidR="00062270" w:rsidRDefault="00062270" w:rsidP="00062270">
      <w:pPr>
        <w:pStyle w:val="a3"/>
        <w:rPr>
          <w:kern w:val="0"/>
        </w:rPr>
      </w:pPr>
      <w:r>
        <w:rPr>
          <w:rFonts w:hint="eastAsia"/>
          <w:kern w:val="0"/>
        </w:rPr>
        <w:t xml:space="preserve">? </w:t>
      </w:r>
      <w:r>
        <w:rPr>
          <w:kern w:val="0"/>
        </w:rPr>
        <w:t>Gur</w:t>
      </w:r>
      <w:r w:rsidR="00D5664A">
        <w:rPr>
          <w:kern w:val="0"/>
        </w:rPr>
        <w:t>USA</w:t>
      </w:r>
      <w:r>
        <w:rPr>
          <w:kern w:val="0"/>
        </w:rPr>
        <w:t>my, K., Junnarkar, S., Farouk, M.</w:t>
      </w:r>
      <w:r w:rsidR="005853A9">
        <w:rPr>
          <w:kern w:val="0"/>
        </w:rPr>
        <w:t xml:space="preserve"> and </w:t>
      </w:r>
      <w:r>
        <w:rPr>
          <w:kern w:val="0"/>
        </w:rPr>
        <w:t>Davidson, B.R. (2008), Meta-analysis</w:t>
      </w:r>
      <w:r w:rsidR="00427468">
        <w:rPr>
          <w:kern w:val="0"/>
        </w:rPr>
        <w:t xml:space="preserve"> of </w:t>
      </w:r>
      <w:r>
        <w:rPr>
          <w:kern w:val="0"/>
        </w:rPr>
        <w:t>randomized controlled trials on</w:t>
      </w:r>
      <w:r w:rsidR="003A1917">
        <w:rPr>
          <w:kern w:val="0"/>
        </w:rPr>
        <w:t xml:space="preserve"> the </w:t>
      </w:r>
      <w:r>
        <w:rPr>
          <w:kern w:val="0"/>
        </w:rPr>
        <w:t>safety</w:t>
      </w:r>
      <w:r w:rsidR="005853A9">
        <w:rPr>
          <w:kern w:val="0"/>
        </w:rPr>
        <w:t xml:space="preserve"> and </w:t>
      </w:r>
      <w:r>
        <w:rPr>
          <w:kern w:val="0"/>
        </w:rPr>
        <w:t>effectiveness</w:t>
      </w:r>
      <w:r w:rsidR="00427468">
        <w:rPr>
          <w:kern w:val="0"/>
        </w:rPr>
        <w:t xml:space="preserve"> of </w:t>
      </w:r>
      <w:r>
        <w:rPr>
          <w:kern w:val="0"/>
        </w:rPr>
        <w:t xml:space="preserve">day-case laparoscopic cholecystectomy. </w:t>
      </w:r>
      <w:r>
        <w:rPr>
          <w:i/>
          <w:iCs/>
          <w:kern w:val="0"/>
        </w:rPr>
        <w:t>British Journal</w:t>
      </w:r>
      <w:r w:rsidR="00427468">
        <w:rPr>
          <w:i/>
          <w:iCs/>
          <w:kern w:val="0"/>
        </w:rPr>
        <w:t xml:space="preserve"> of </w:t>
      </w:r>
      <w:r>
        <w:rPr>
          <w:i/>
          <w:iCs/>
          <w:kern w:val="0"/>
        </w:rPr>
        <w:t>Surgery</w:t>
      </w:r>
      <w:r>
        <w:rPr>
          <w:kern w:val="0"/>
        </w:rPr>
        <w:t xml:space="preserve">, </w:t>
      </w:r>
      <w:r>
        <w:rPr>
          <w:b/>
          <w:bCs/>
          <w:kern w:val="0"/>
        </w:rPr>
        <w:t>95</w:t>
      </w:r>
      <w:r>
        <w:rPr>
          <w:kern w:val="0"/>
        </w:rPr>
        <w:t xml:space="preserve"> (2), 161-168.</w:t>
      </w:r>
    </w:p>
    <w:p w:rsidR="00062270" w:rsidRPr="00FC7835" w:rsidRDefault="00062270" w:rsidP="00062270">
      <w:pPr>
        <w:pStyle w:val="a3"/>
      </w:pPr>
      <w:r>
        <w:t>Full Text:</w:t>
      </w:r>
      <w:r w:rsidRPr="00FC7835">
        <w:t xml:space="preserve"> </w:t>
      </w:r>
      <w:hyperlink r:id="rId1960" w:history="1">
        <w:r w:rsidRPr="00062270">
          <w:rPr>
            <w:rStyle w:val="a5"/>
          </w:rPr>
          <w:t>2008\Bri J Sur95, 161.pdf</w:t>
        </w:r>
      </w:hyperlink>
    </w:p>
    <w:p w:rsidR="00062270" w:rsidRDefault="00062270" w:rsidP="00062270">
      <w:pPr>
        <w:pStyle w:val="a3"/>
        <w:rPr>
          <w:kern w:val="0"/>
        </w:rPr>
      </w:pPr>
      <w:r>
        <w:rPr>
          <w:kern w:val="0"/>
        </w:rPr>
        <w:t>Abstract: Background: Although day-case laparoscopic cholecystectomy can save bed costs, its safety has to be established</w:t>
      </w:r>
      <w:r w:rsidR="00A37C1D">
        <w:rPr>
          <w:kern w:val="0"/>
        </w:rPr>
        <w:t>. The</w:t>
      </w:r>
      <w:r w:rsidR="003A1917">
        <w:rPr>
          <w:kern w:val="0"/>
        </w:rPr>
        <w:t xml:space="preserve"> </w:t>
      </w:r>
      <w:r>
        <w:rPr>
          <w:kern w:val="0"/>
        </w:rPr>
        <w:t>aim</w:t>
      </w:r>
      <w:r w:rsidR="00427468">
        <w:rPr>
          <w:kern w:val="0"/>
        </w:rPr>
        <w:t xml:space="preserve"> of </w:t>
      </w:r>
      <w:r>
        <w:rPr>
          <w:kern w:val="0"/>
        </w:rPr>
        <w:t>this meta-analysis is to assess</w:t>
      </w:r>
      <w:r w:rsidR="003A1917">
        <w:rPr>
          <w:kern w:val="0"/>
        </w:rPr>
        <w:t xml:space="preserve"> the </w:t>
      </w:r>
      <w:r>
        <w:rPr>
          <w:kern w:val="0"/>
        </w:rPr>
        <w:t>advantages</w:t>
      </w:r>
      <w:r w:rsidR="005853A9">
        <w:rPr>
          <w:kern w:val="0"/>
        </w:rPr>
        <w:t xml:space="preserve"> and </w:t>
      </w:r>
      <w:r>
        <w:rPr>
          <w:kern w:val="0"/>
        </w:rPr>
        <w:t>disadvantages</w:t>
      </w:r>
      <w:r w:rsidR="00427468">
        <w:rPr>
          <w:kern w:val="0"/>
        </w:rPr>
        <w:t xml:space="preserve"> of </w:t>
      </w:r>
      <w:r>
        <w:rPr>
          <w:kern w:val="0"/>
        </w:rPr>
        <w:t>day-case surgery compared with overnight stay in patients undergoing elective laparoscopic cholecystectomy. Methods: Randomized clinical trials addressing</w:t>
      </w:r>
      <w:r w:rsidR="003A1917">
        <w:rPr>
          <w:kern w:val="0"/>
        </w:rPr>
        <w:t xml:space="preserve"> the </w:t>
      </w:r>
      <w:r>
        <w:rPr>
          <w:kern w:val="0"/>
        </w:rPr>
        <w:t>above issue were identified from</w:t>
      </w:r>
      <w:r w:rsidR="003A1917">
        <w:rPr>
          <w:kern w:val="0"/>
        </w:rPr>
        <w:t xml:space="preserve"> the </w:t>
      </w:r>
      <w:r>
        <w:rPr>
          <w:kern w:val="0"/>
        </w:rPr>
        <w:t xml:space="preserve">Cochrane Library trials register, </w:t>
      </w:r>
      <w:r w:rsidR="00D5664A">
        <w:rPr>
          <w:kern w:val="0"/>
        </w:rPr>
        <w:t>MEDLINE</w:t>
      </w:r>
      <w:r>
        <w:rPr>
          <w:kern w:val="0"/>
        </w:rPr>
        <w:t>, Embase, Science Citation Index Expanded</w:t>
      </w:r>
      <w:r w:rsidR="005853A9">
        <w:rPr>
          <w:kern w:val="0"/>
        </w:rPr>
        <w:t xml:space="preserve"> and </w:t>
      </w:r>
      <w:r>
        <w:rPr>
          <w:kern w:val="0"/>
        </w:rPr>
        <w:t xml:space="preserve">reference </w:t>
      </w:r>
      <w:r>
        <w:rPr>
          <w:kern w:val="0"/>
        </w:rPr>
        <w:lastRenderedPageBreak/>
        <w:t>lists. Data were extracted from these trials by two independent reviewers. For each outcome</w:t>
      </w:r>
      <w:r w:rsidR="003A1917">
        <w:rPr>
          <w:kern w:val="0"/>
        </w:rPr>
        <w:t xml:space="preserve"> the </w:t>
      </w:r>
      <w:r>
        <w:rPr>
          <w:kern w:val="0"/>
        </w:rPr>
        <w:t>relative risk, weighted mean difference or standardized mean difference was calculated with 95 per cent confidence intervals based on available case analysis. Results: Five trials with 215 patients randomized to</w:t>
      </w:r>
      <w:r w:rsidR="003A1917">
        <w:rPr>
          <w:kern w:val="0"/>
        </w:rPr>
        <w:t xml:space="preserve"> the </w:t>
      </w:r>
      <w:r>
        <w:rPr>
          <w:kern w:val="0"/>
        </w:rPr>
        <w:t>day-case group</w:t>
      </w:r>
      <w:r w:rsidR="005853A9">
        <w:rPr>
          <w:kern w:val="0"/>
        </w:rPr>
        <w:t xml:space="preserve"> and </w:t>
      </w:r>
      <w:r>
        <w:rPr>
          <w:kern w:val="0"/>
        </w:rPr>
        <w:t>214 to</w:t>
      </w:r>
      <w:r w:rsidR="003A1917">
        <w:rPr>
          <w:kern w:val="0"/>
        </w:rPr>
        <w:t xml:space="preserve"> the </w:t>
      </w:r>
      <w:r>
        <w:rPr>
          <w:kern w:val="0"/>
        </w:rPr>
        <w:t>overnight-stay group were included in</w:t>
      </w:r>
      <w:r w:rsidR="003A1917">
        <w:rPr>
          <w:kern w:val="0"/>
        </w:rPr>
        <w:t xml:space="preserve"> the </w:t>
      </w:r>
      <w:r>
        <w:rPr>
          <w:kern w:val="0"/>
        </w:rPr>
        <w:t>review. Four</w:t>
      </w:r>
      <w:r w:rsidR="00427468">
        <w:rPr>
          <w:kern w:val="0"/>
        </w:rPr>
        <w:t xml:space="preserve"> of </w:t>
      </w:r>
      <w:r w:rsidR="003A1917">
        <w:rPr>
          <w:kern w:val="0"/>
        </w:rPr>
        <w:t xml:space="preserve">the </w:t>
      </w:r>
      <w:r>
        <w:rPr>
          <w:kern w:val="0"/>
        </w:rPr>
        <w:t>five trials were</w:t>
      </w:r>
      <w:r w:rsidR="00427468">
        <w:rPr>
          <w:kern w:val="0"/>
        </w:rPr>
        <w:t xml:space="preserve"> of </w:t>
      </w:r>
      <w:r>
        <w:rPr>
          <w:kern w:val="0"/>
        </w:rPr>
        <w:t>low risk</w:t>
      </w:r>
      <w:r w:rsidR="00427468">
        <w:rPr>
          <w:kern w:val="0"/>
        </w:rPr>
        <w:t xml:space="preserve"> of </w:t>
      </w:r>
      <w:r>
        <w:rPr>
          <w:kern w:val="0"/>
        </w:rPr>
        <w:t>bias</w:t>
      </w:r>
      <w:r w:rsidR="00A37C1D">
        <w:rPr>
          <w:kern w:val="0"/>
        </w:rPr>
        <w:t>. The</w:t>
      </w:r>
      <w:r w:rsidR="003A1917">
        <w:rPr>
          <w:kern w:val="0"/>
        </w:rPr>
        <w:t xml:space="preserve"> </w:t>
      </w:r>
      <w:r>
        <w:rPr>
          <w:kern w:val="0"/>
        </w:rPr>
        <w:t>trials recruited 49.1 per cent</w:t>
      </w:r>
      <w:r w:rsidR="00427468">
        <w:rPr>
          <w:kern w:val="0"/>
        </w:rPr>
        <w:t xml:space="preserve"> of </w:t>
      </w:r>
      <w:r>
        <w:rPr>
          <w:kern w:val="0"/>
        </w:rPr>
        <w:t>patients presenting for cholecystectomy</w:t>
      </w:r>
      <w:r w:rsidR="00A37C1D">
        <w:rPr>
          <w:kern w:val="0"/>
        </w:rPr>
        <w:t>. The</w:t>
      </w:r>
      <w:r>
        <w:rPr>
          <w:kern w:val="0"/>
        </w:rPr>
        <w:t>re was no significant difference between day case</w:t>
      </w:r>
      <w:r w:rsidR="005853A9">
        <w:rPr>
          <w:kern w:val="0"/>
        </w:rPr>
        <w:t xml:space="preserve"> and </w:t>
      </w:r>
      <w:r>
        <w:rPr>
          <w:kern w:val="0"/>
        </w:rPr>
        <w:t>overnight stay with respect to morbidity, prolongation</w:t>
      </w:r>
      <w:r w:rsidR="00427468">
        <w:rPr>
          <w:kern w:val="0"/>
        </w:rPr>
        <w:t xml:space="preserve"> of </w:t>
      </w:r>
      <w:r>
        <w:rPr>
          <w:kern w:val="0"/>
        </w:rPr>
        <w:t>hospital stay, readmission rates, pain, quality</w:t>
      </w:r>
      <w:r w:rsidR="00427468">
        <w:rPr>
          <w:kern w:val="0"/>
        </w:rPr>
        <w:t xml:space="preserve"> of </w:t>
      </w:r>
      <w:r>
        <w:rPr>
          <w:kern w:val="0"/>
        </w:rPr>
        <w:t>life, patient satisfaction,</w:t>
      </w:r>
      <w:r w:rsidR="005853A9">
        <w:rPr>
          <w:kern w:val="0"/>
        </w:rPr>
        <w:t xml:space="preserve"> and </w:t>
      </w:r>
      <w:r>
        <w:rPr>
          <w:kern w:val="0"/>
        </w:rPr>
        <w:t>return to normal activity</w:t>
      </w:r>
      <w:r w:rsidR="005853A9">
        <w:rPr>
          <w:kern w:val="0"/>
        </w:rPr>
        <w:t xml:space="preserve"> and </w:t>
      </w:r>
      <w:r>
        <w:rPr>
          <w:kern w:val="0"/>
        </w:rPr>
        <w:t>work. In</w:t>
      </w:r>
      <w:r w:rsidR="003A1917">
        <w:rPr>
          <w:kern w:val="0"/>
        </w:rPr>
        <w:t xml:space="preserve"> the </w:t>
      </w:r>
      <w:r>
        <w:rPr>
          <w:kern w:val="0"/>
        </w:rPr>
        <w:t>day-case group 80.5 per cent</w:t>
      </w:r>
      <w:r w:rsidR="00427468">
        <w:rPr>
          <w:kern w:val="0"/>
        </w:rPr>
        <w:t xml:space="preserve"> of </w:t>
      </w:r>
      <w:r>
        <w:rPr>
          <w:kern w:val="0"/>
        </w:rPr>
        <w:t>patients were discharged on</w:t>
      </w:r>
      <w:r w:rsidR="003A1917">
        <w:rPr>
          <w:kern w:val="0"/>
        </w:rPr>
        <w:t xml:space="preserve"> the </w:t>
      </w:r>
      <w:r>
        <w:rPr>
          <w:kern w:val="0"/>
        </w:rPr>
        <w:t>day</w:t>
      </w:r>
      <w:r w:rsidR="00427468">
        <w:rPr>
          <w:kern w:val="0"/>
        </w:rPr>
        <w:t xml:space="preserve"> of </w:t>
      </w:r>
      <w:r>
        <w:rPr>
          <w:kern w:val="0"/>
        </w:rPr>
        <w:t>surgery. Conclusion: Day-case laparoscopic cholecystectomy is a safe</w:t>
      </w:r>
      <w:r w:rsidR="005853A9">
        <w:rPr>
          <w:kern w:val="0"/>
        </w:rPr>
        <w:t xml:space="preserve"> and </w:t>
      </w:r>
      <w:r>
        <w:rPr>
          <w:kern w:val="0"/>
        </w:rPr>
        <w:t>effective treatment for symptomatic gallstones.</w:t>
      </w:r>
    </w:p>
    <w:p w:rsidR="00062270" w:rsidRDefault="00062270" w:rsidP="00062270">
      <w:pPr>
        <w:pStyle w:val="a3"/>
        <w:rPr>
          <w:kern w:val="0"/>
        </w:rPr>
      </w:pPr>
      <w:r>
        <w:rPr>
          <w:kern w:val="0"/>
        </w:rPr>
        <w:t xml:space="preserve">Keywords: Bias, Citation, Clinical Trials, Clinical-Trial, Complications, Costs, Day-Care, Effectiveness, Gallstones, </w:t>
      </w:r>
      <w:r w:rsidR="00D5664A">
        <w:rPr>
          <w:kern w:val="0"/>
        </w:rPr>
        <w:t>MEDLINE</w:t>
      </w:r>
      <w:r>
        <w:rPr>
          <w:kern w:val="0"/>
        </w:rPr>
        <w:t>, Meta-Analysis, Outpatient, Overnight-Stay, Pain, Quality, Review, Risk, Science, Science Citation Index, Surgery, Treatment</w:t>
      </w:r>
    </w:p>
    <w:p w:rsidR="00062270" w:rsidRDefault="00062270" w:rsidP="00062270">
      <w:pPr>
        <w:pStyle w:val="a3"/>
        <w:rPr>
          <w:kern w:val="0"/>
        </w:rPr>
      </w:pPr>
      <w:r>
        <w:rPr>
          <w:rFonts w:hint="eastAsia"/>
          <w:kern w:val="0"/>
        </w:rPr>
        <w:t xml:space="preserve">? </w:t>
      </w:r>
      <w:r>
        <w:rPr>
          <w:kern w:val="0"/>
        </w:rPr>
        <w:t>Gur</w:t>
      </w:r>
      <w:r w:rsidR="00D5664A">
        <w:rPr>
          <w:kern w:val="0"/>
        </w:rPr>
        <w:t>USA</w:t>
      </w:r>
      <w:r>
        <w:rPr>
          <w:kern w:val="0"/>
        </w:rPr>
        <w:t>my, K., Aggarwal, R., Palanivelu, L.</w:t>
      </w:r>
      <w:r w:rsidR="005853A9">
        <w:rPr>
          <w:kern w:val="0"/>
        </w:rPr>
        <w:t xml:space="preserve"> and </w:t>
      </w:r>
      <w:r>
        <w:rPr>
          <w:kern w:val="0"/>
        </w:rPr>
        <w:t>Davidson, B.R. (2008), Systematic review</w:t>
      </w:r>
      <w:r w:rsidR="00427468">
        <w:rPr>
          <w:kern w:val="0"/>
        </w:rPr>
        <w:t xml:space="preserve"> of </w:t>
      </w:r>
      <w:r>
        <w:rPr>
          <w:kern w:val="0"/>
        </w:rPr>
        <w:t>randomized controlled trials on</w:t>
      </w:r>
      <w:r w:rsidR="003A1917">
        <w:rPr>
          <w:kern w:val="0"/>
        </w:rPr>
        <w:t xml:space="preserve"> the </w:t>
      </w:r>
      <w:r>
        <w:rPr>
          <w:kern w:val="0"/>
        </w:rPr>
        <w:t>effectiveness</w:t>
      </w:r>
      <w:r w:rsidR="00427468">
        <w:rPr>
          <w:kern w:val="0"/>
        </w:rPr>
        <w:t xml:space="preserve"> of </w:t>
      </w:r>
      <w:r>
        <w:rPr>
          <w:kern w:val="0"/>
        </w:rPr>
        <w:t xml:space="preserve">virtual reality training for laparoscopic surgery. </w:t>
      </w:r>
      <w:r>
        <w:rPr>
          <w:i/>
          <w:iCs/>
          <w:kern w:val="0"/>
        </w:rPr>
        <w:t>British Journal</w:t>
      </w:r>
      <w:r w:rsidR="00427468">
        <w:rPr>
          <w:i/>
          <w:iCs/>
          <w:kern w:val="0"/>
        </w:rPr>
        <w:t xml:space="preserve"> of </w:t>
      </w:r>
      <w:r>
        <w:rPr>
          <w:i/>
          <w:iCs/>
          <w:kern w:val="0"/>
        </w:rPr>
        <w:t>Surgery</w:t>
      </w:r>
      <w:r>
        <w:rPr>
          <w:kern w:val="0"/>
        </w:rPr>
        <w:t xml:space="preserve">, </w:t>
      </w:r>
      <w:r>
        <w:rPr>
          <w:b/>
          <w:bCs/>
          <w:kern w:val="0"/>
        </w:rPr>
        <w:t>95</w:t>
      </w:r>
      <w:r>
        <w:rPr>
          <w:kern w:val="0"/>
        </w:rPr>
        <w:t xml:space="preserve"> (9), 1088-1097.</w:t>
      </w:r>
    </w:p>
    <w:p w:rsidR="00062270" w:rsidRPr="001A3D2B" w:rsidRDefault="00062270" w:rsidP="00062270">
      <w:pPr>
        <w:pStyle w:val="a3"/>
      </w:pPr>
      <w:r w:rsidRPr="001A3D2B">
        <w:t xml:space="preserve">Full Text: </w:t>
      </w:r>
      <w:hyperlink r:id="rId1961" w:history="1">
        <w:r w:rsidRPr="00062270">
          <w:rPr>
            <w:rStyle w:val="a5"/>
          </w:rPr>
          <w:t>2008\Bri J Sur95, 1088.pdf</w:t>
        </w:r>
      </w:hyperlink>
    </w:p>
    <w:p w:rsidR="00062270" w:rsidRDefault="00062270" w:rsidP="00062270">
      <w:pPr>
        <w:pStyle w:val="a3"/>
        <w:rPr>
          <w:kern w:val="0"/>
        </w:rPr>
      </w:pPr>
      <w:r>
        <w:rPr>
          <w:kern w:val="0"/>
        </w:rPr>
        <w:t>Abstract: Background: Surgical training has traditionally been one</w:t>
      </w:r>
      <w:r w:rsidR="00427468">
        <w:rPr>
          <w:kern w:val="0"/>
        </w:rPr>
        <w:t xml:space="preserve"> of </w:t>
      </w:r>
      <w:r>
        <w:rPr>
          <w:kern w:val="0"/>
        </w:rPr>
        <w:t>apprenticeship</w:t>
      </w:r>
      <w:r w:rsidR="00A37C1D">
        <w:rPr>
          <w:kern w:val="0"/>
        </w:rPr>
        <w:t>. The</w:t>
      </w:r>
      <w:r w:rsidR="003A1917">
        <w:rPr>
          <w:kern w:val="0"/>
        </w:rPr>
        <w:t xml:space="preserve"> </w:t>
      </w:r>
      <w:r>
        <w:rPr>
          <w:kern w:val="0"/>
        </w:rPr>
        <w:t>aim</w:t>
      </w:r>
      <w:r w:rsidR="00427468">
        <w:rPr>
          <w:kern w:val="0"/>
        </w:rPr>
        <w:t xml:space="preserve"> of </w:t>
      </w:r>
      <w:r>
        <w:rPr>
          <w:kern w:val="0"/>
        </w:rPr>
        <w:t>this review was to determine whether virtual reality (VR) training can supplement and/or replace conventional laparoscopic training in surgical trainees with limited or no laparoscopic experience. Methods: Randomized clinical trials addressing this issue were identified from</w:t>
      </w:r>
      <w:r w:rsidR="003A1917">
        <w:rPr>
          <w:kern w:val="0"/>
        </w:rPr>
        <w:t xml:space="preserve"> the </w:t>
      </w:r>
      <w:r>
        <w:rPr>
          <w:kern w:val="0"/>
        </w:rPr>
        <w:t xml:space="preserve">Cochrane Library trials register, </w:t>
      </w:r>
      <w:r w:rsidR="00D5664A">
        <w:rPr>
          <w:kern w:val="0"/>
        </w:rPr>
        <w:t>MEDLINE</w:t>
      </w:r>
      <w:r>
        <w:rPr>
          <w:kern w:val="0"/>
        </w:rPr>
        <w:t>, Embase, Science Citation Index Expanded, grey literature</w:t>
      </w:r>
      <w:r w:rsidR="005853A9">
        <w:rPr>
          <w:kern w:val="0"/>
        </w:rPr>
        <w:t xml:space="preserve"> and </w:t>
      </w:r>
      <w:r>
        <w:rPr>
          <w:kern w:val="0"/>
        </w:rPr>
        <w:t>reference lists. Standardized mean difference was calculated with 95 per cent confidence intervals based on available case analysis. Results: Twenty-three trials (mostly with a high risk</w:t>
      </w:r>
      <w:r w:rsidR="00427468">
        <w:rPr>
          <w:kern w:val="0"/>
        </w:rPr>
        <w:t xml:space="preserve"> of </w:t>
      </w:r>
      <w:r>
        <w:rPr>
          <w:kern w:val="0"/>
        </w:rPr>
        <w:t>bias) involving 622 participants were included in this review. In trainees without surgical experience, VR training decreased</w:t>
      </w:r>
      <w:r w:rsidR="003A1917">
        <w:rPr>
          <w:kern w:val="0"/>
        </w:rPr>
        <w:t xml:space="preserve"> the </w:t>
      </w:r>
      <w:r>
        <w:rPr>
          <w:kern w:val="0"/>
        </w:rPr>
        <w:t>time taken to complete a task, increased accuracy</w:t>
      </w:r>
      <w:r w:rsidR="005853A9">
        <w:rPr>
          <w:kern w:val="0"/>
        </w:rPr>
        <w:t xml:space="preserve"> and </w:t>
      </w:r>
      <w:r>
        <w:rPr>
          <w:kern w:val="0"/>
        </w:rPr>
        <w:t>decreased errors compared with no training. In</w:t>
      </w:r>
      <w:r w:rsidR="003A1917">
        <w:rPr>
          <w:kern w:val="0"/>
        </w:rPr>
        <w:t xml:space="preserve"> the </w:t>
      </w:r>
      <w:r>
        <w:rPr>
          <w:kern w:val="0"/>
        </w:rPr>
        <w:t>same participants, VR training was more accurate than video trainer (VT) training. In participants with limited laparoscopic experience, VR training resulted in a greater reduction in operating time, error</w:t>
      </w:r>
      <w:r w:rsidR="005853A9">
        <w:rPr>
          <w:kern w:val="0"/>
        </w:rPr>
        <w:t xml:space="preserve"> and </w:t>
      </w:r>
      <w:r>
        <w:rPr>
          <w:kern w:val="0"/>
        </w:rPr>
        <w:t>unnecessary movements than standard laparoscopic training. In these participants,</w:t>
      </w:r>
      <w:r w:rsidR="003A1917">
        <w:rPr>
          <w:kern w:val="0"/>
        </w:rPr>
        <w:t xml:space="preserve"> the </w:t>
      </w:r>
      <w:r>
        <w:rPr>
          <w:kern w:val="0"/>
        </w:rPr>
        <w:t>composite performance score was better in</w:t>
      </w:r>
      <w:r w:rsidR="003A1917">
        <w:rPr>
          <w:kern w:val="0"/>
        </w:rPr>
        <w:t xml:space="preserve"> the </w:t>
      </w:r>
      <w:r>
        <w:rPr>
          <w:kern w:val="0"/>
        </w:rPr>
        <w:t>VR group than</w:t>
      </w:r>
      <w:r w:rsidR="003A1917">
        <w:rPr>
          <w:kern w:val="0"/>
        </w:rPr>
        <w:t xml:space="preserve"> the </w:t>
      </w:r>
      <w:r>
        <w:rPr>
          <w:kern w:val="0"/>
        </w:rPr>
        <w:t>VT group. Conclusion: VR training can supplement standard laparoscopic surgical training. It is at least as effective as video training in supplementing standard laparoscopic training.</w:t>
      </w:r>
    </w:p>
    <w:p w:rsidR="00062270" w:rsidRDefault="00062270" w:rsidP="00062270">
      <w:pPr>
        <w:pStyle w:val="a3"/>
        <w:rPr>
          <w:kern w:val="0"/>
        </w:rPr>
      </w:pPr>
      <w:r>
        <w:rPr>
          <w:kern w:val="0"/>
        </w:rPr>
        <w:t xml:space="preserve">Keywords: Accuracy, Acquisition, Bias, Citation, Clinical Trials, Clinical-Trials, </w:t>
      </w:r>
      <w:r>
        <w:rPr>
          <w:kern w:val="0"/>
        </w:rPr>
        <w:lastRenderedPageBreak/>
        <w:t xml:space="preserve">Composite, Effectiveness, High Risk, High-Risk, Laparoscopic Surgery, Learning-Curve, Literature, </w:t>
      </w:r>
      <w:r w:rsidR="00D5664A">
        <w:rPr>
          <w:kern w:val="0"/>
        </w:rPr>
        <w:t>MEDLINE</w:t>
      </w:r>
      <w:r>
        <w:rPr>
          <w:kern w:val="0"/>
        </w:rPr>
        <w:t>, Metaanalysis, Mist-VR, Operating-Room Performance, Porcine, Psychomotor Skill, Reduction, Review, Risk, Science, Science Citation Index, Simulator, Surgery, Surgical Residents, Systematic Review, Task, Training</w:t>
      </w:r>
    </w:p>
    <w:p w:rsidR="00255950" w:rsidRDefault="00255950" w:rsidP="00255950">
      <w:pPr>
        <w:pStyle w:val="a3"/>
        <w:rPr>
          <w:kern w:val="0"/>
        </w:rPr>
      </w:pPr>
      <w:r>
        <w:rPr>
          <w:rFonts w:hint="eastAsia"/>
          <w:kern w:val="0"/>
        </w:rPr>
        <w:t xml:space="preserve">? </w:t>
      </w:r>
      <w:r>
        <w:rPr>
          <w:kern w:val="0"/>
        </w:rPr>
        <w:t>Mofidi, R., Patil, P.V., Suttie, S.A.</w:t>
      </w:r>
      <w:r w:rsidR="005853A9">
        <w:rPr>
          <w:kern w:val="0"/>
        </w:rPr>
        <w:t xml:space="preserve"> and </w:t>
      </w:r>
      <w:r>
        <w:rPr>
          <w:kern w:val="0"/>
        </w:rPr>
        <w:t xml:space="preserve">Parks, R.W. (2009), Risk assessment in acute pancreatitis. </w:t>
      </w:r>
      <w:r>
        <w:rPr>
          <w:i/>
          <w:iCs/>
          <w:kern w:val="0"/>
        </w:rPr>
        <w:t>British Journal</w:t>
      </w:r>
      <w:r w:rsidR="00427468">
        <w:rPr>
          <w:i/>
          <w:iCs/>
          <w:kern w:val="0"/>
        </w:rPr>
        <w:t xml:space="preserve"> of </w:t>
      </w:r>
      <w:r>
        <w:rPr>
          <w:i/>
          <w:iCs/>
          <w:kern w:val="0"/>
        </w:rPr>
        <w:t>Surgery</w:t>
      </w:r>
      <w:r>
        <w:rPr>
          <w:kern w:val="0"/>
        </w:rPr>
        <w:t xml:space="preserve">, </w:t>
      </w:r>
      <w:r>
        <w:rPr>
          <w:b/>
          <w:bCs/>
          <w:kern w:val="0"/>
        </w:rPr>
        <w:t>96</w:t>
      </w:r>
      <w:r>
        <w:rPr>
          <w:kern w:val="0"/>
        </w:rPr>
        <w:t xml:space="preserve"> (2), 137-150.</w:t>
      </w:r>
    </w:p>
    <w:p w:rsidR="00440562" w:rsidRDefault="00440562" w:rsidP="00440562">
      <w:pPr>
        <w:pStyle w:val="a3"/>
        <w:rPr>
          <w:kern w:val="0"/>
          <w:szCs w:val="24"/>
        </w:rPr>
      </w:pPr>
      <w:r>
        <w:rPr>
          <w:rFonts w:hint="eastAsia"/>
          <w:kern w:val="0"/>
          <w:szCs w:val="24"/>
        </w:rPr>
        <w:t xml:space="preserve">Full Text: </w:t>
      </w:r>
      <w:hyperlink r:id="rId1962" w:history="1">
        <w:r w:rsidRPr="00440562">
          <w:rPr>
            <w:rStyle w:val="a5"/>
            <w:kern w:val="0"/>
            <w:szCs w:val="24"/>
          </w:rPr>
          <w:t>2009\Bri J Sur96, 137.pdf</w:t>
        </w:r>
      </w:hyperlink>
    </w:p>
    <w:p w:rsidR="00255950" w:rsidRDefault="00255950" w:rsidP="00255950">
      <w:pPr>
        <w:pStyle w:val="a3"/>
        <w:rPr>
          <w:kern w:val="0"/>
        </w:rPr>
      </w:pPr>
      <w:r>
        <w:rPr>
          <w:kern w:val="0"/>
        </w:rPr>
        <w:t>Abstract: Acute pancreatitis has a variable natural history</w:t>
      </w:r>
      <w:r w:rsidR="005853A9">
        <w:rPr>
          <w:kern w:val="0"/>
        </w:rPr>
        <w:t xml:space="preserve"> and </w:t>
      </w:r>
      <w:r>
        <w:rPr>
          <w:kern w:val="0"/>
        </w:rPr>
        <w:t>in a proportion</w:t>
      </w:r>
      <w:r w:rsidR="00427468">
        <w:rPr>
          <w:kern w:val="0"/>
        </w:rPr>
        <w:t xml:space="preserve"> of </w:t>
      </w:r>
      <w:r>
        <w:rPr>
          <w:kern w:val="0"/>
        </w:rPr>
        <w:t>patients is associated with severe complications</w:t>
      </w:r>
      <w:r w:rsidR="005853A9">
        <w:rPr>
          <w:kern w:val="0"/>
        </w:rPr>
        <w:t xml:space="preserve"> and </w:t>
      </w:r>
      <w:r>
        <w:rPr>
          <w:kern w:val="0"/>
        </w:rPr>
        <w:t>a significant risk</w:t>
      </w:r>
      <w:r w:rsidR="00427468">
        <w:rPr>
          <w:kern w:val="0"/>
        </w:rPr>
        <w:t xml:space="preserve"> of </w:t>
      </w:r>
      <w:r>
        <w:rPr>
          <w:kern w:val="0"/>
        </w:rPr>
        <w:t>death</w:t>
      </w:r>
      <w:r w:rsidR="00A37C1D">
        <w:rPr>
          <w:kern w:val="0"/>
        </w:rPr>
        <w:t>. The</w:t>
      </w:r>
      <w:r w:rsidR="003A1917">
        <w:rPr>
          <w:kern w:val="0"/>
        </w:rPr>
        <w:t xml:space="preserve"> </w:t>
      </w:r>
      <w:r>
        <w:rPr>
          <w:kern w:val="0"/>
        </w:rPr>
        <w:t xml:space="preserve">various tools available for risk assessment in acute pancreatitis are reviewed. Relevant medical literature from </w:t>
      </w:r>
      <w:r w:rsidR="002C12F0">
        <w:rPr>
          <w:kern w:val="0"/>
        </w:rPr>
        <w:t>PUBMED</w:t>
      </w:r>
      <w:r>
        <w:rPr>
          <w:kern w:val="0"/>
        </w:rPr>
        <w:t xml:space="preserve">, Ovid, EMBASE, </w:t>
      </w:r>
      <w:r w:rsidR="00D5664A">
        <w:rPr>
          <w:kern w:val="0"/>
        </w:rPr>
        <w:t>Web</w:t>
      </w:r>
      <w:r w:rsidR="00427468">
        <w:rPr>
          <w:kern w:val="0"/>
        </w:rPr>
        <w:t xml:space="preserve"> of </w:t>
      </w:r>
      <w:r w:rsidR="00D5664A">
        <w:rPr>
          <w:kern w:val="0"/>
        </w:rPr>
        <w:t>Science</w:t>
      </w:r>
      <w:r w:rsidR="005853A9">
        <w:rPr>
          <w:kern w:val="0"/>
        </w:rPr>
        <w:t xml:space="preserve"> and </w:t>
      </w:r>
      <w:r w:rsidR="003A1917">
        <w:rPr>
          <w:kern w:val="0"/>
        </w:rPr>
        <w:t xml:space="preserve">the </w:t>
      </w:r>
      <w:r>
        <w:rPr>
          <w:kern w:val="0"/>
        </w:rPr>
        <w:t>Cochrane Library websites to May 2008 was reviewed. Over</w:t>
      </w:r>
      <w:r w:rsidR="003A1917">
        <w:rPr>
          <w:kern w:val="0"/>
        </w:rPr>
        <w:t xml:space="preserve"> the </w:t>
      </w:r>
      <w:r>
        <w:rPr>
          <w:kern w:val="0"/>
        </w:rPr>
        <w:t>past 30 years several scoring systems have been developed to predict</w:t>
      </w:r>
      <w:r w:rsidR="003A1917">
        <w:rPr>
          <w:kern w:val="0"/>
        </w:rPr>
        <w:t xml:space="preserve"> the </w:t>
      </w:r>
      <w:r>
        <w:rPr>
          <w:kern w:val="0"/>
        </w:rPr>
        <w:t>severity</w:t>
      </w:r>
      <w:r w:rsidR="00427468">
        <w:rPr>
          <w:kern w:val="0"/>
        </w:rPr>
        <w:t xml:space="preserve"> of </w:t>
      </w:r>
      <w:r>
        <w:rPr>
          <w:kern w:val="0"/>
        </w:rPr>
        <w:t>acute pancreatitis in</w:t>
      </w:r>
      <w:r w:rsidR="003A1917">
        <w:rPr>
          <w:kern w:val="0"/>
        </w:rPr>
        <w:t xml:space="preserve"> the </w:t>
      </w:r>
      <w:r>
        <w:rPr>
          <w:kern w:val="0"/>
        </w:rPr>
        <w:t>first 48-72 h. Biochemical</w:t>
      </w:r>
      <w:r w:rsidR="005853A9">
        <w:rPr>
          <w:kern w:val="0"/>
        </w:rPr>
        <w:t xml:space="preserve"> and </w:t>
      </w:r>
      <w:r>
        <w:rPr>
          <w:kern w:val="0"/>
        </w:rPr>
        <w:t>immunological markers, imaging modalities</w:t>
      </w:r>
      <w:r w:rsidR="005853A9">
        <w:rPr>
          <w:kern w:val="0"/>
        </w:rPr>
        <w:t xml:space="preserve"> and </w:t>
      </w:r>
      <w:r>
        <w:rPr>
          <w:kern w:val="0"/>
        </w:rPr>
        <w:t>novel predictive models may help identify patients at high risk</w:t>
      </w:r>
      <w:r w:rsidR="00427468">
        <w:rPr>
          <w:kern w:val="0"/>
        </w:rPr>
        <w:t xml:space="preserve"> of </w:t>
      </w:r>
      <w:r>
        <w:rPr>
          <w:kern w:val="0"/>
        </w:rPr>
        <w:t>complications or death. Recently, there has been a recognition</w:t>
      </w:r>
      <w:r w:rsidR="00427468">
        <w:rPr>
          <w:kern w:val="0"/>
        </w:rPr>
        <w:t xml:space="preserve"> of </w:t>
      </w:r>
      <w:r w:rsidR="003A1917">
        <w:rPr>
          <w:kern w:val="0"/>
        </w:rPr>
        <w:t xml:space="preserve">the </w:t>
      </w:r>
      <w:r>
        <w:rPr>
          <w:kern w:val="0"/>
        </w:rPr>
        <w:t>importance</w:t>
      </w:r>
      <w:r w:rsidR="00427468">
        <w:rPr>
          <w:kern w:val="0"/>
        </w:rPr>
        <w:t xml:space="preserve"> of </w:t>
      </w:r>
      <w:r w:rsidR="003A1917">
        <w:rPr>
          <w:kern w:val="0"/>
        </w:rPr>
        <w:t xml:space="preserve">the </w:t>
      </w:r>
      <w:r>
        <w:rPr>
          <w:kern w:val="0"/>
        </w:rPr>
        <w:t>systemic inflammatory response syndrome</w:t>
      </w:r>
      <w:r w:rsidR="005853A9">
        <w:rPr>
          <w:kern w:val="0"/>
        </w:rPr>
        <w:t xml:space="preserve"> and </w:t>
      </w:r>
      <w:r>
        <w:rPr>
          <w:kern w:val="0"/>
        </w:rPr>
        <w:t>organ dysfunction.</w:t>
      </w:r>
    </w:p>
    <w:p w:rsidR="00255950" w:rsidRDefault="00255950" w:rsidP="00255950">
      <w:pPr>
        <w:pStyle w:val="a3"/>
        <w:rPr>
          <w:kern w:val="0"/>
        </w:rPr>
      </w:pPr>
      <w:r>
        <w:rPr>
          <w:kern w:val="0"/>
        </w:rPr>
        <w:t xml:space="preserve">Keywords: Abdominal Computed-Tomography, Acute Biliary Pancreatitis, Acute Pancreatitis, Apache-II Score, Artificial Neural-Network, Assessment, C-Reactive Protein, Cochrane, Critically-Ill Patients, History, Imaging, Literature, Medical, Multiple Organ Dysfunction, </w:t>
      </w:r>
      <w:r w:rsidR="002C12F0">
        <w:rPr>
          <w:kern w:val="0"/>
        </w:rPr>
        <w:t>PUBMED</w:t>
      </w:r>
      <w:r>
        <w:rPr>
          <w:kern w:val="0"/>
        </w:rPr>
        <w:t xml:space="preserve">, Risk, Risk Assessment, Science, Severe Necrotizing Pancreatitis, Trypsinogen Activation Peptide, Tumor-Necrosis-Factor, </w:t>
      </w:r>
      <w:r w:rsidR="00D5664A">
        <w:rPr>
          <w:kern w:val="0"/>
        </w:rPr>
        <w:t>Web</w:t>
      </w:r>
      <w:r w:rsidR="00427468">
        <w:rPr>
          <w:kern w:val="0"/>
        </w:rPr>
        <w:t xml:space="preserve"> of </w:t>
      </w:r>
      <w:r w:rsidR="00D5664A">
        <w:rPr>
          <w:kern w:val="0"/>
        </w:rPr>
        <w:t>Science</w:t>
      </w:r>
      <w:r>
        <w:rPr>
          <w:kern w:val="0"/>
        </w:rPr>
        <w:t>, Websites</w:t>
      </w:r>
    </w:p>
    <w:p w:rsidR="00066B28" w:rsidRPr="001A3D2B" w:rsidRDefault="00066B28" w:rsidP="00066B28">
      <w:pPr>
        <w:pStyle w:val="a3"/>
        <w:rPr>
          <w:kern w:val="0"/>
        </w:rPr>
      </w:pPr>
      <w:r w:rsidRPr="001A3D2B">
        <w:rPr>
          <w:kern w:val="0"/>
        </w:rPr>
        <w:t>? Petrov, M.S.</w:t>
      </w:r>
      <w:r w:rsidR="005853A9">
        <w:rPr>
          <w:kern w:val="0"/>
        </w:rPr>
        <w:t xml:space="preserve"> and </w:t>
      </w:r>
      <w:r w:rsidRPr="001A3D2B">
        <w:rPr>
          <w:kern w:val="0"/>
        </w:rPr>
        <w:t>Savides, T.J. (2009), Systematic review</w:t>
      </w:r>
      <w:r w:rsidR="00427468">
        <w:rPr>
          <w:kern w:val="0"/>
        </w:rPr>
        <w:t xml:space="preserve"> of </w:t>
      </w:r>
      <w:r w:rsidRPr="001A3D2B">
        <w:rPr>
          <w:kern w:val="0"/>
        </w:rPr>
        <w:t xml:space="preserve">endoscopic ultrasonography versus endoscopic retrograde cholangiopancreatography for suspected choledocholithiasis. </w:t>
      </w:r>
      <w:r w:rsidRPr="001A3D2B">
        <w:rPr>
          <w:i/>
          <w:iCs/>
          <w:kern w:val="0"/>
        </w:rPr>
        <w:t>British Journal</w:t>
      </w:r>
      <w:r w:rsidR="00427468">
        <w:rPr>
          <w:i/>
          <w:iCs/>
          <w:kern w:val="0"/>
        </w:rPr>
        <w:t xml:space="preserve"> of </w:t>
      </w:r>
      <w:r w:rsidRPr="001A3D2B">
        <w:rPr>
          <w:i/>
          <w:iCs/>
          <w:kern w:val="0"/>
        </w:rPr>
        <w:t>Surgery</w:t>
      </w:r>
      <w:r w:rsidRPr="001A3D2B">
        <w:rPr>
          <w:kern w:val="0"/>
        </w:rPr>
        <w:t xml:space="preserve">, </w:t>
      </w:r>
      <w:r w:rsidRPr="001A3D2B">
        <w:rPr>
          <w:b/>
          <w:bCs/>
          <w:kern w:val="0"/>
        </w:rPr>
        <w:t>96</w:t>
      </w:r>
      <w:r w:rsidRPr="001A3D2B">
        <w:rPr>
          <w:kern w:val="0"/>
        </w:rPr>
        <w:t xml:space="preserve"> (9), 967-974.</w:t>
      </w:r>
    </w:p>
    <w:p w:rsidR="00066B28" w:rsidRPr="001A3D2B" w:rsidRDefault="00066B28" w:rsidP="00066B28">
      <w:pPr>
        <w:pStyle w:val="a3"/>
      </w:pPr>
      <w:r w:rsidRPr="001A3D2B">
        <w:t xml:space="preserve">Full Text: </w:t>
      </w:r>
      <w:hyperlink r:id="rId1963" w:history="1">
        <w:r w:rsidR="008A058A" w:rsidRPr="008A058A">
          <w:rPr>
            <w:rStyle w:val="a5"/>
          </w:rPr>
          <w:t>2009\Bri J Sur96, 967.pdf</w:t>
        </w:r>
      </w:hyperlink>
    </w:p>
    <w:p w:rsidR="00066B28" w:rsidRPr="001A3D2B" w:rsidRDefault="00066B28" w:rsidP="00066B28">
      <w:pPr>
        <w:pStyle w:val="a3"/>
        <w:rPr>
          <w:kern w:val="0"/>
        </w:rPr>
      </w:pPr>
      <w:r w:rsidRPr="001A3D2B">
        <w:rPr>
          <w:kern w:val="0"/>
        </w:rPr>
        <w:t>Abstract: Background: Endoscopic ultrasonography (EUS) has emerged as an accurate diagnostic alternative to endoscopic retrograde cholangiopancreatography (ERCP)</w:t>
      </w:r>
      <w:r w:rsidR="00A37C1D">
        <w:rPr>
          <w:kern w:val="0"/>
        </w:rPr>
        <w:t>. The</w:t>
      </w:r>
      <w:r w:rsidR="003A1917">
        <w:rPr>
          <w:kern w:val="0"/>
        </w:rPr>
        <w:t xml:space="preserve"> </w:t>
      </w:r>
      <w:r w:rsidRPr="001A3D2B">
        <w:rPr>
          <w:kern w:val="0"/>
        </w:rPr>
        <w:t>aim</w:t>
      </w:r>
      <w:r w:rsidR="00427468">
        <w:rPr>
          <w:kern w:val="0"/>
        </w:rPr>
        <w:t xml:space="preserve"> of </w:t>
      </w:r>
      <w:r w:rsidRPr="001A3D2B">
        <w:rPr>
          <w:kern w:val="0"/>
        </w:rPr>
        <w:t>this study was to perform a systematic review</w:t>
      </w:r>
      <w:r w:rsidR="00427468">
        <w:rPr>
          <w:kern w:val="0"/>
        </w:rPr>
        <w:t xml:space="preserve"> of </w:t>
      </w:r>
      <w:r w:rsidRPr="001A3D2B">
        <w:rPr>
          <w:kern w:val="0"/>
        </w:rPr>
        <w:t>all randomized controlled trials</w:t>
      </w:r>
      <w:r w:rsidR="00427468">
        <w:rPr>
          <w:kern w:val="0"/>
        </w:rPr>
        <w:t xml:space="preserve"> of </w:t>
      </w:r>
      <w:r w:rsidRPr="001A3D2B">
        <w:rPr>
          <w:kern w:val="0"/>
        </w:rPr>
        <w:t>EUS-guided ERCP versus ERCP alone in patients with suspected choledocholithiasis. Methods:</w:t>
      </w:r>
      <w:r w:rsidR="003A1917">
        <w:rPr>
          <w:kern w:val="0"/>
        </w:rPr>
        <w:t xml:space="preserve"> the </w:t>
      </w:r>
      <w:r w:rsidRPr="001A3D2B">
        <w:rPr>
          <w:kern w:val="0"/>
        </w:rPr>
        <w:t>search for eligible studies was carried out using</w:t>
      </w:r>
      <w:r w:rsidR="003A1917">
        <w:rPr>
          <w:kern w:val="0"/>
        </w:rPr>
        <w:t xml:space="preserve"> the </w:t>
      </w:r>
      <w:r w:rsidR="00D5664A">
        <w:rPr>
          <w:kern w:val="0"/>
        </w:rPr>
        <w:t>MEDLINE</w:t>
      </w:r>
      <w:r w:rsidRPr="001A3D2B">
        <w:rPr>
          <w:kern w:val="0"/>
        </w:rPr>
        <w:t>, Cochrane Central Register</w:t>
      </w:r>
      <w:r w:rsidR="00427468">
        <w:rPr>
          <w:kern w:val="0"/>
        </w:rPr>
        <w:t xml:space="preserve"> of </w:t>
      </w:r>
      <w:r w:rsidRPr="001A3D2B">
        <w:rPr>
          <w:kern w:val="0"/>
        </w:rPr>
        <w:t>Controlled Trials,</w:t>
      </w:r>
      <w:r w:rsidR="005853A9">
        <w:rPr>
          <w:kern w:val="0"/>
        </w:rPr>
        <w:t xml:space="preserve"> and </w:t>
      </w:r>
      <w:r w:rsidRPr="001A3D2B">
        <w:rPr>
          <w:kern w:val="0"/>
        </w:rPr>
        <w:t>Science Citation Index electronic databases. Meta-analysis was conducted using a random-effects model. Results: Four trials containing 213 patients randomized to EUS-guided ERCP</w:t>
      </w:r>
      <w:r w:rsidR="005853A9">
        <w:rPr>
          <w:kern w:val="0"/>
        </w:rPr>
        <w:t xml:space="preserve"> and </w:t>
      </w:r>
      <w:r w:rsidRPr="001A3D2B">
        <w:rPr>
          <w:kern w:val="0"/>
        </w:rPr>
        <w:t>2 10 to ERCP alone were selected. In</w:t>
      </w:r>
      <w:r w:rsidR="003A1917">
        <w:rPr>
          <w:kern w:val="0"/>
        </w:rPr>
        <w:t xml:space="preserve"> the </w:t>
      </w:r>
      <w:r w:rsidRPr="001A3D2B">
        <w:rPr>
          <w:kern w:val="0"/>
        </w:rPr>
        <w:t>EUS-guided ERCP group, ERCP was avoided in 143 patients (67.1 per cent) when EUS did not detect choledocholithiasis</w:t>
      </w:r>
      <w:r w:rsidR="00A37C1D">
        <w:rPr>
          <w:kern w:val="0"/>
        </w:rPr>
        <w:t>. The</w:t>
      </w:r>
      <w:r w:rsidR="003A1917">
        <w:rPr>
          <w:kern w:val="0"/>
        </w:rPr>
        <w:t xml:space="preserve"> </w:t>
      </w:r>
      <w:r w:rsidRPr="001A3D2B">
        <w:rPr>
          <w:kern w:val="0"/>
        </w:rPr>
        <w:t>use</w:t>
      </w:r>
      <w:r w:rsidR="00427468">
        <w:rPr>
          <w:kern w:val="0"/>
        </w:rPr>
        <w:t xml:space="preserve"> of </w:t>
      </w:r>
      <w:r w:rsidRPr="001A3D2B">
        <w:rPr>
          <w:kern w:val="0"/>
        </w:rPr>
        <w:t>EUS significantly reduced</w:t>
      </w:r>
      <w:r w:rsidR="003A1917">
        <w:rPr>
          <w:kern w:val="0"/>
        </w:rPr>
        <w:t xml:space="preserve"> the </w:t>
      </w:r>
      <w:r w:rsidRPr="001A3D2B">
        <w:rPr>
          <w:kern w:val="0"/>
        </w:rPr>
        <w:t>risk</w:t>
      </w:r>
      <w:r w:rsidR="00427468">
        <w:rPr>
          <w:kern w:val="0"/>
        </w:rPr>
        <w:t xml:space="preserve"> of </w:t>
      </w:r>
      <w:r w:rsidRPr="001A3D2B">
        <w:rPr>
          <w:kern w:val="0"/>
        </w:rPr>
        <w:t xml:space="preserve">overall complications (relative risk </w:t>
      </w:r>
      <w:r w:rsidRPr="001A3D2B">
        <w:rPr>
          <w:kern w:val="0"/>
        </w:rPr>
        <w:lastRenderedPageBreak/>
        <w:t>0.35 (95 per cent confidence interval (c.i.) 0.20 to 0.62); P &lt; 0.001)</w:t>
      </w:r>
      <w:r w:rsidR="005853A9">
        <w:rPr>
          <w:kern w:val="0"/>
        </w:rPr>
        <w:t xml:space="preserve"> and </w:t>
      </w:r>
      <w:r w:rsidRPr="001A3D2B">
        <w:rPr>
          <w:kern w:val="0"/>
        </w:rPr>
        <w:t>post-ERCP acute pancreatitis (relative risk 0.21 (95 per cent c.i. 0.06 to 0.83); P = 0.030). Conclusion: By performing EUS first, ERCP may be safely avoided in two-thirds</w:t>
      </w:r>
      <w:r w:rsidR="00427468">
        <w:rPr>
          <w:kern w:val="0"/>
        </w:rPr>
        <w:t xml:space="preserve"> of </w:t>
      </w:r>
      <w:r w:rsidRPr="001A3D2B">
        <w:rPr>
          <w:kern w:val="0"/>
        </w:rPr>
        <w:t>patients with common bile duct stones. Application</w:t>
      </w:r>
      <w:r w:rsidR="00427468">
        <w:rPr>
          <w:kern w:val="0"/>
        </w:rPr>
        <w:t xml:space="preserve"> of </w:t>
      </w:r>
      <w:r w:rsidRPr="001A3D2B">
        <w:rPr>
          <w:kern w:val="0"/>
        </w:rPr>
        <w:t>EUS in</w:t>
      </w:r>
      <w:r w:rsidR="003A1917">
        <w:rPr>
          <w:kern w:val="0"/>
        </w:rPr>
        <w:t xml:space="preserve"> the </w:t>
      </w:r>
      <w:r w:rsidRPr="001A3D2B">
        <w:rPr>
          <w:kern w:val="0"/>
        </w:rPr>
        <w:t>selection</w:t>
      </w:r>
      <w:r w:rsidR="00427468">
        <w:rPr>
          <w:kern w:val="0"/>
        </w:rPr>
        <w:t xml:space="preserve"> of </w:t>
      </w:r>
      <w:r w:rsidRPr="001A3D2B">
        <w:rPr>
          <w:kern w:val="0"/>
        </w:rPr>
        <w:t>patients for therapeutic ERCP significantly reduces</w:t>
      </w:r>
      <w:r w:rsidR="003A1917">
        <w:rPr>
          <w:kern w:val="0"/>
        </w:rPr>
        <w:t xml:space="preserve"> the </w:t>
      </w:r>
      <w:r w:rsidRPr="001A3D2B">
        <w:rPr>
          <w:kern w:val="0"/>
        </w:rPr>
        <w:t>complication rate.</w:t>
      </w:r>
    </w:p>
    <w:p w:rsidR="00066B28" w:rsidRPr="001A3D2B" w:rsidRDefault="00066B28" w:rsidP="00066B28">
      <w:pPr>
        <w:pStyle w:val="a3"/>
        <w:rPr>
          <w:kern w:val="0"/>
        </w:rPr>
      </w:pPr>
      <w:r w:rsidRPr="001A3D2B">
        <w:rPr>
          <w:kern w:val="0"/>
        </w:rPr>
        <w:t xml:space="preserve">Keywords: Acute Biliary Pancreatitis, Bile-Duct Stones, Citation, Ercp, Eus, Intermediate Probability, Magnetic-Resonance Cholangiopancreatography, </w:t>
      </w:r>
      <w:r w:rsidR="00D5664A">
        <w:rPr>
          <w:kern w:val="0"/>
        </w:rPr>
        <w:t>MEDLINE</w:t>
      </w:r>
      <w:r w:rsidRPr="001A3D2B">
        <w:rPr>
          <w:kern w:val="0"/>
        </w:rPr>
        <w:t>, Meta-Analysis, Metaanalysis, Randomized-Trial, Systematic Review, Test-Performance, Ultrasound</w:t>
      </w:r>
    </w:p>
    <w:p w:rsidR="008A058A" w:rsidRDefault="008A058A" w:rsidP="008A058A">
      <w:pPr>
        <w:pStyle w:val="a3"/>
        <w:rPr>
          <w:kern w:val="0"/>
        </w:rPr>
      </w:pPr>
      <w:r>
        <w:rPr>
          <w:rFonts w:hint="eastAsia"/>
          <w:kern w:val="0"/>
        </w:rPr>
        <w:t xml:space="preserve">? </w:t>
      </w:r>
      <w:r>
        <w:rPr>
          <w:kern w:val="0"/>
        </w:rPr>
        <w:t>Gur</w:t>
      </w:r>
      <w:r w:rsidR="00D5664A">
        <w:rPr>
          <w:kern w:val="0"/>
        </w:rPr>
        <w:t>USA</w:t>
      </w:r>
      <w:r>
        <w:rPr>
          <w:kern w:val="0"/>
        </w:rPr>
        <w:t>my, K., Samraj, K., Gluud, C., Wilson, E.</w:t>
      </w:r>
      <w:r w:rsidR="005853A9">
        <w:rPr>
          <w:kern w:val="0"/>
        </w:rPr>
        <w:t xml:space="preserve"> and </w:t>
      </w:r>
      <w:r>
        <w:rPr>
          <w:kern w:val="0"/>
        </w:rPr>
        <w:t>Davidson, B.R. (2010), Meta-analysis</w:t>
      </w:r>
      <w:r w:rsidR="00427468">
        <w:rPr>
          <w:kern w:val="0"/>
        </w:rPr>
        <w:t xml:space="preserve"> of </w:t>
      </w:r>
      <w:r>
        <w:rPr>
          <w:kern w:val="0"/>
        </w:rPr>
        <w:t>randomized controlled trials on</w:t>
      </w:r>
      <w:r w:rsidR="003A1917">
        <w:rPr>
          <w:kern w:val="0"/>
        </w:rPr>
        <w:t xml:space="preserve"> the </w:t>
      </w:r>
      <w:r>
        <w:rPr>
          <w:kern w:val="0"/>
        </w:rPr>
        <w:t>safety</w:t>
      </w:r>
      <w:r w:rsidR="005853A9">
        <w:rPr>
          <w:kern w:val="0"/>
        </w:rPr>
        <w:t xml:space="preserve"> and </w:t>
      </w:r>
      <w:r>
        <w:rPr>
          <w:kern w:val="0"/>
        </w:rPr>
        <w:t>effectiveness</w:t>
      </w:r>
      <w:r w:rsidR="00427468">
        <w:rPr>
          <w:kern w:val="0"/>
        </w:rPr>
        <w:t xml:space="preserve"> of </w:t>
      </w:r>
      <w:r>
        <w:rPr>
          <w:kern w:val="0"/>
        </w:rPr>
        <w:t xml:space="preserve">early versus delayed laparoscopic cholecystectomy for acute cholecystitis. </w:t>
      </w:r>
      <w:r>
        <w:rPr>
          <w:i/>
          <w:iCs/>
          <w:kern w:val="0"/>
        </w:rPr>
        <w:t>British Journal</w:t>
      </w:r>
      <w:r w:rsidR="00427468">
        <w:rPr>
          <w:i/>
          <w:iCs/>
          <w:kern w:val="0"/>
        </w:rPr>
        <w:t xml:space="preserve"> of </w:t>
      </w:r>
      <w:r>
        <w:rPr>
          <w:i/>
          <w:iCs/>
          <w:kern w:val="0"/>
        </w:rPr>
        <w:t>Surgery</w:t>
      </w:r>
      <w:r>
        <w:rPr>
          <w:kern w:val="0"/>
        </w:rPr>
        <w:t xml:space="preserve">, </w:t>
      </w:r>
      <w:r>
        <w:rPr>
          <w:b/>
          <w:bCs/>
          <w:kern w:val="0"/>
        </w:rPr>
        <w:t>97</w:t>
      </w:r>
      <w:r>
        <w:rPr>
          <w:kern w:val="0"/>
        </w:rPr>
        <w:t xml:space="preserve"> (2), 141-150.</w:t>
      </w:r>
    </w:p>
    <w:p w:rsidR="008A058A" w:rsidRDefault="008A058A" w:rsidP="008A058A">
      <w:pPr>
        <w:pStyle w:val="a3"/>
        <w:rPr>
          <w:kern w:val="2"/>
        </w:rPr>
      </w:pPr>
      <w:r>
        <w:t xml:space="preserve">Full Text: </w:t>
      </w:r>
      <w:hyperlink r:id="rId1964" w:history="1">
        <w:r w:rsidRPr="0081765D">
          <w:rPr>
            <w:rStyle w:val="a5"/>
          </w:rPr>
          <w:t>2010\Bri J Sur97, 141.pdf</w:t>
        </w:r>
      </w:hyperlink>
    </w:p>
    <w:p w:rsidR="008A058A" w:rsidRDefault="008A058A" w:rsidP="008A058A">
      <w:pPr>
        <w:pStyle w:val="a3"/>
        <w:rPr>
          <w:kern w:val="0"/>
        </w:rPr>
      </w:pPr>
      <w:r>
        <w:rPr>
          <w:kern w:val="0"/>
        </w:rPr>
        <w:t>Abstract: Background: In many countries laparoscopic cholecystectomy for acute cholecystitis is mainly performed after</w:t>
      </w:r>
      <w:r w:rsidR="003A1917">
        <w:rPr>
          <w:kern w:val="0"/>
        </w:rPr>
        <w:t xml:space="preserve"> the </w:t>
      </w:r>
      <w:r>
        <w:rPr>
          <w:kern w:val="0"/>
        </w:rPr>
        <w:t>acute episode has settled because</w:t>
      </w:r>
      <w:r w:rsidR="00427468">
        <w:rPr>
          <w:kern w:val="0"/>
        </w:rPr>
        <w:t xml:space="preserve"> of </w:t>
      </w:r>
      <w:r w:rsidR="003A1917">
        <w:rPr>
          <w:kern w:val="0"/>
        </w:rPr>
        <w:t xml:space="preserve">the </w:t>
      </w:r>
      <w:r>
        <w:rPr>
          <w:kern w:val="0"/>
        </w:rPr>
        <w:t>anticipated increased risk</w:t>
      </w:r>
      <w:r w:rsidR="00427468">
        <w:rPr>
          <w:kern w:val="0"/>
        </w:rPr>
        <w:t xml:space="preserve"> of </w:t>
      </w:r>
      <w:r>
        <w:rPr>
          <w:kern w:val="0"/>
        </w:rPr>
        <w:t>morbidity</w:t>
      </w:r>
      <w:r w:rsidR="005853A9">
        <w:rPr>
          <w:kern w:val="0"/>
        </w:rPr>
        <w:t xml:space="preserve"> and </w:t>
      </w:r>
      <w:r>
        <w:rPr>
          <w:kern w:val="0"/>
        </w:rPr>
        <w:t>higher conversion rate from laparoscopic to open cholecystectomy. Methods: A systematic review was performed with meta-analysis</w:t>
      </w:r>
      <w:r w:rsidR="00427468">
        <w:rPr>
          <w:kern w:val="0"/>
        </w:rPr>
        <w:t xml:space="preserve"> of </w:t>
      </w:r>
      <w:r>
        <w:rPr>
          <w:kern w:val="0"/>
        </w:rPr>
        <w:t>randomized clinical trials</w:t>
      </w:r>
      <w:r w:rsidR="00427468">
        <w:rPr>
          <w:kern w:val="0"/>
        </w:rPr>
        <w:t xml:space="preserve"> of </w:t>
      </w:r>
      <w:r>
        <w:rPr>
          <w:kern w:val="0"/>
        </w:rPr>
        <w:t>early laparoscopic cholecystectomy (ELC; performed within I week</w:t>
      </w:r>
      <w:r w:rsidR="00427468">
        <w:rPr>
          <w:kern w:val="0"/>
        </w:rPr>
        <w:t xml:space="preserve"> of </w:t>
      </w:r>
      <w:r>
        <w:rPr>
          <w:kern w:val="0"/>
        </w:rPr>
        <w:t>onset</w:t>
      </w:r>
      <w:r w:rsidR="00427468">
        <w:rPr>
          <w:kern w:val="0"/>
        </w:rPr>
        <w:t xml:space="preserve"> of </w:t>
      </w:r>
      <w:r>
        <w:rPr>
          <w:kern w:val="0"/>
        </w:rPr>
        <w:t>symptoms) versus delayed laparoscopic cholecystectomy (performed at least 6, weeks after symptoms settled) for acute cholecystitis. Trials were identified from</w:t>
      </w:r>
      <w:r w:rsidR="003A1917">
        <w:rPr>
          <w:kern w:val="0"/>
        </w:rPr>
        <w:t xml:space="preserve"> the </w:t>
      </w:r>
      <w:r>
        <w:rPr>
          <w:kern w:val="0"/>
        </w:rPr>
        <w:t xml:space="preserve">Cochrane Library trials register, </w:t>
      </w:r>
      <w:r w:rsidR="00D5664A">
        <w:rPr>
          <w:kern w:val="0"/>
        </w:rPr>
        <w:t>MEDLINE</w:t>
      </w:r>
      <w:r>
        <w:rPr>
          <w:kern w:val="0"/>
        </w:rPr>
        <w:t>, Embase, Science Citation Index Expanded</w:t>
      </w:r>
      <w:r w:rsidR="005853A9">
        <w:rPr>
          <w:kern w:val="0"/>
        </w:rPr>
        <w:t xml:space="preserve"> and </w:t>
      </w:r>
      <w:r>
        <w:rPr>
          <w:kern w:val="0"/>
        </w:rPr>
        <w:t>reference lists. Risk ratio (RR) or mean difference was calculated with 95 per cent confidence intervals (c.i.) based oil intention-to-treat analysis. Results: Five trials with 451 patients were included</w:t>
      </w:r>
      <w:r w:rsidR="00A37C1D">
        <w:rPr>
          <w:kern w:val="0"/>
        </w:rPr>
        <w:t>. The</w:t>
      </w:r>
      <w:r>
        <w:rPr>
          <w:kern w:val="0"/>
        </w:rPr>
        <w:t>re was no significant difference between</w:t>
      </w:r>
      <w:r w:rsidR="003A1917">
        <w:rPr>
          <w:kern w:val="0"/>
        </w:rPr>
        <w:t xml:space="preserve"> the </w:t>
      </w:r>
      <w:r>
        <w:rPr>
          <w:kern w:val="0"/>
        </w:rPr>
        <w:t>two groups in terms</w:t>
      </w:r>
      <w:r w:rsidR="00427468">
        <w:rPr>
          <w:kern w:val="0"/>
        </w:rPr>
        <w:t xml:space="preserve"> of </w:t>
      </w:r>
      <w:r>
        <w:rPr>
          <w:kern w:val="0"/>
        </w:rPr>
        <w:t>bile duct injury (RR 0.64 (95 per cent c.i. 0.15 to 2.65)) or conversion to open cholecystectomy (RR 0.88 (95 per cent c.i. 0.62 to 1.25))</w:t>
      </w:r>
      <w:r w:rsidR="00A37C1D">
        <w:rPr>
          <w:kern w:val="0"/>
        </w:rPr>
        <w:t>. The</w:t>
      </w:r>
      <w:r w:rsidR="003A1917">
        <w:rPr>
          <w:kern w:val="0"/>
        </w:rPr>
        <w:t xml:space="preserve"> </w:t>
      </w:r>
      <w:r>
        <w:rPr>
          <w:kern w:val="0"/>
        </w:rPr>
        <w:t>total hospital stay was shorter by 4 days for ELC (mean difference -4.12 (95 percent c.i. -5.22 to -3.03) days). Conclusion: ELC during acute cholecystitis appears safe</w:t>
      </w:r>
      <w:r w:rsidR="005853A9">
        <w:rPr>
          <w:kern w:val="0"/>
        </w:rPr>
        <w:t xml:space="preserve"> and </w:t>
      </w:r>
      <w:r>
        <w:rPr>
          <w:kern w:val="0"/>
        </w:rPr>
        <w:t>shortens</w:t>
      </w:r>
      <w:r w:rsidR="003A1917">
        <w:rPr>
          <w:kern w:val="0"/>
        </w:rPr>
        <w:t xml:space="preserve"> the </w:t>
      </w:r>
      <w:r>
        <w:rPr>
          <w:kern w:val="0"/>
        </w:rPr>
        <w:t>total hospital stay.</w:t>
      </w:r>
    </w:p>
    <w:p w:rsidR="008A058A" w:rsidRDefault="008A058A" w:rsidP="008A058A">
      <w:pPr>
        <w:pStyle w:val="a3"/>
        <w:rPr>
          <w:kern w:val="0"/>
        </w:rPr>
      </w:pPr>
      <w:r>
        <w:rPr>
          <w:kern w:val="0"/>
        </w:rPr>
        <w:t xml:space="preserve">Keywords: Acute Gallbladder-Disease, Bias, Bile-Duct Injuries, Biliary Leaks, Citation, Clinical-Trials, Empirical-Evidence, Gallstone Disease, Groups, </w:t>
      </w:r>
      <w:r w:rsidR="00D5664A">
        <w:rPr>
          <w:kern w:val="0"/>
        </w:rPr>
        <w:t>MEDLINE</w:t>
      </w:r>
      <w:r>
        <w:rPr>
          <w:kern w:val="0"/>
        </w:rPr>
        <w:t>, Meta-Analysis, Quality</w:t>
      </w:r>
      <w:r w:rsidR="00434900">
        <w:rPr>
          <w:kern w:val="0"/>
        </w:rPr>
        <w:t>-of-</w:t>
      </w:r>
      <w:r>
        <w:rPr>
          <w:kern w:val="0"/>
        </w:rPr>
        <w:t>Life, Review, Risk-Factors, Science, Science Citation Index, Surgical-Management, Systematic Review</w:t>
      </w:r>
    </w:p>
    <w:p w:rsidR="00255950" w:rsidRDefault="00255950" w:rsidP="00255950">
      <w:pPr>
        <w:pStyle w:val="a3"/>
        <w:rPr>
          <w:kern w:val="0"/>
        </w:rPr>
      </w:pPr>
      <w:r>
        <w:rPr>
          <w:rFonts w:hint="eastAsia"/>
          <w:kern w:val="0"/>
        </w:rPr>
        <w:t xml:space="preserve">? </w:t>
      </w:r>
      <w:r>
        <w:rPr>
          <w:kern w:val="0"/>
        </w:rPr>
        <w:t>van Hove, P.D., Tuijthof, G.J.M., Verdaasdonk, E.G.G., Stassen, L.P.S.</w:t>
      </w:r>
      <w:r w:rsidR="005853A9">
        <w:rPr>
          <w:kern w:val="0"/>
        </w:rPr>
        <w:t xml:space="preserve"> and </w:t>
      </w:r>
      <w:r>
        <w:rPr>
          <w:kern w:val="0"/>
        </w:rPr>
        <w:t>Dankelman, J. (2010), Objective assessment</w:t>
      </w:r>
      <w:r w:rsidR="00427468">
        <w:rPr>
          <w:kern w:val="0"/>
        </w:rPr>
        <w:t xml:space="preserve"> of </w:t>
      </w:r>
      <w:r>
        <w:rPr>
          <w:kern w:val="0"/>
        </w:rPr>
        <w:t xml:space="preserve">technical surgical skills. </w:t>
      </w:r>
      <w:r>
        <w:rPr>
          <w:i/>
          <w:iCs/>
          <w:kern w:val="0"/>
        </w:rPr>
        <w:t>British Journal</w:t>
      </w:r>
      <w:r w:rsidR="00427468">
        <w:rPr>
          <w:i/>
          <w:iCs/>
          <w:kern w:val="0"/>
        </w:rPr>
        <w:t xml:space="preserve"> of </w:t>
      </w:r>
      <w:r>
        <w:rPr>
          <w:i/>
          <w:iCs/>
          <w:kern w:val="0"/>
        </w:rPr>
        <w:t>Surgery</w:t>
      </w:r>
      <w:r>
        <w:rPr>
          <w:kern w:val="0"/>
        </w:rPr>
        <w:t xml:space="preserve">, </w:t>
      </w:r>
      <w:r>
        <w:rPr>
          <w:b/>
          <w:bCs/>
          <w:kern w:val="0"/>
        </w:rPr>
        <w:t>97</w:t>
      </w:r>
      <w:r>
        <w:rPr>
          <w:kern w:val="0"/>
        </w:rPr>
        <w:t xml:space="preserve"> (7), 972-987.</w:t>
      </w:r>
    </w:p>
    <w:p w:rsidR="00440562" w:rsidRDefault="00440562" w:rsidP="00440562">
      <w:pPr>
        <w:pStyle w:val="a3"/>
        <w:rPr>
          <w:kern w:val="0"/>
          <w:szCs w:val="24"/>
        </w:rPr>
      </w:pPr>
      <w:r>
        <w:rPr>
          <w:rFonts w:hint="eastAsia"/>
          <w:kern w:val="0"/>
          <w:szCs w:val="24"/>
        </w:rPr>
        <w:t xml:space="preserve">Full Text: </w:t>
      </w:r>
      <w:hyperlink r:id="rId1965" w:history="1">
        <w:r w:rsidRPr="006C6481">
          <w:rPr>
            <w:rStyle w:val="a5"/>
            <w:kern w:val="0"/>
            <w:szCs w:val="24"/>
          </w:rPr>
          <w:t>2010\Bri J Sur97, 972.pdf</w:t>
        </w:r>
      </w:hyperlink>
    </w:p>
    <w:p w:rsidR="00255950" w:rsidRDefault="00255950" w:rsidP="00255950">
      <w:pPr>
        <w:pStyle w:val="a3"/>
        <w:rPr>
          <w:kern w:val="0"/>
        </w:rPr>
      </w:pPr>
      <w:r>
        <w:rPr>
          <w:kern w:val="0"/>
        </w:rPr>
        <w:lastRenderedPageBreak/>
        <w:t>Abstract: Background: Surgeons are increasingly being scrutinized for their performance</w:t>
      </w:r>
      <w:r w:rsidR="005853A9">
        <w:rPr>
          <w:kern w:val="0"/>
        </w:rPr>
        <w:t xml:space="preserve"> and </w:t>
      </w:r>
      <w:r>
        <w:rPr>
          <w:kern w:val="0"/>
        </w:rPr>
        <w:t>there is growing interest in objective assessment</w:t>
      </w:r>
      <w:r w:rsidR="00427468">
        <w:rPr>
          <w:kern w:val="0"/>
        </w:rPr>
        <w:t xml:space="preserve"> of </w:t>
      </w:r>
      <w:r>
        <w:rPr>
          <w:kern w:val="0"/>
        </w:rPr>
        <w:t>technical skills</w:t>
      </w:r>
      <w:r w:rsidR="00A37C1D">
        <w:rPr>
          <w:kern w:val="0"/>
        </w:rPr>
        <w:t>. The</w:t>
      </w:r>
      <w:r w:rsidR="003A1917">
        <w:rPr>
          <w:kern w:val="0"/>
        </w:rPr>
        <w:t xml:space="preserve"> </w:t>
      </w:r>
      <w:r>
        <w:rPr>
          <w:kern w:val="0"/>
        </w:rPr>
        <w:t>purpose</w:t>
      </w:r>
      <w:r w:rsidR="00427468">
        <w:rPr>
          <w:kern w:val="0"/>
        </w:rPr>
        <w:t xml:space="preserve"> of </w:t>
      </w:r>
      <w:r>
        <w:rPr>
          <w:kern w:val="0"/>
        </w:rPr>
        <w:t xml:space="preserve">this study was to review all evidence for these methods, in order to provide a guideline for use in clinical practice. Methods: A systematic search was performed using </w:t>
      </w:r>
      <w:r w:rsidR="002C12F0">
        <w:rPr>
          <w:kern w:val="0"/>
        </w:rPr>
        <w:t>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for studies addressing</w:t>
      </w:r>
      <w:r w:rsidR="003A1917">
        <w:rPr>
          <w:kern w:val="0"/>
        </w:rPr>
        <w:t xml:space="preserve"> the </w:t>
      </w:r>
      <w:r>
        <w:rPr>
          <w:kern w:val="0"/>
        </w:rPr>
        <w:t>validity</w:t>
      </w:r>
      <w:r w:rsidR="005853A9">
        <w:rPr>
          <w:kern w:val="0"/>
        </w:rPr>
        <w:t xml:space="preserve"> and </w:t>
      </w:r>
      <w:r>
        <w:rPr>
          <w:kern w:val="0"/>
        </w:rPr>
        <w:t>reliability</w:t>
      </w:r>
      <w:r w:rsidR="00427468">
        <w:rPr>
          <w:kern w:val="0"/>
        </w:rPr>
        <w:t xml:space="preserve"> of </w:t>
      </w:r>
      <w:r>
        <w:rPr>
          <w:kern w:val="0"/>
        </w:rPr>
        <w:t>methods for objective skills assessment within surgery</w:t>
      </w:r>
      <w:r w:rsidR="005853A9">
        <w:rPr>
          <w:kern w:val="0"/>
        </w:rPr>
        <w:t xml:space="preserve"> and </w:t>
      </w:r>
      <w:r>
        <w:rPr>
          <w:kern w:val="0"/>
        </w:rPr>
        <w:t>gynaecology only</w:t>
      </w:r>
      <w:r w:rsidR="00A37C1D">
        <w:rPr>
          <w:kern w:val="0"/>
        </w:rPr>
        <w:t>. The</w:t>
      </w:r>
      <w:r w:rsidR="003A1917">
        <w:rPr>
          <w:kern w:val="0"/>
        </w:rPr>
        <w:t xml:space="preserve"> </w:t>
      </w:r>
      <w:r>
        <w:rPr>
          <w:kern w:val="0"/>
        </w:rPr>
        <w:t>studies were assessed according to</w:t>
      </w:r>
      <w:r w:rsidR="003A1917">
        <w:rPr>
          <w:kern w:val="0"/>
        </w:rPr>
        <w:t xml:space="preserve"> the </w:t>
      </w:r>
      <w:r>
        <w:rPr>
          <w:kern w:val="0"/>
        </w:rPr>
        <w:t>Oxford Centre for Evidence-based Medicine levels</w:t>
      </w:r>
      <w:r w:rsidR="00427468">
        <w:rPr>
          <w:kern w:val="0"/>
        </w:rPr>
        <w:t xml:space="preserve"> of </w:t>
      </w:r>
      <w:r>
        <w:rPr>
          <w:kern w:val="0"/>
        </w:rPr>
        <w:t>evidence. Results: In total 104 studies were included,</w:t>
      </w:r>
      <w:r w:rsidR="00427468">
        <w:rPr>
          <w:kern w:val="0"/>
        </w:rPr>
        <w:t xml:space="preserve"> of </w:t>
      </w:r>
      <w:r>
        <w:rPr>
          <w:kern w:val="0"/>
        </w:rPr>
        <w:t>which 20 (19.2 per cent) had a level</w:t>
      </w:r>
      <w:r w:rsidR="00427468">
        <w:rPr>
          <w:kern w:val="0"/>
        </w:rPr>
        <w:t xml:space="preserve"> of </w:t>
      </w:r>
      <w:r>
        <w:rPr>
          <w:kern w:val="0"/>
        </w:rPr>
        <w:t>evidence 1b or 2b. In 28 studies (26.9 per cent</w:t>
      </w:r>
      <w:r w:rsidR="00F42EAC">
        <w:rPr>
          <w:kern w:val="0"/>
        </w:rPr>
        <w:t>), The</w:t>
      </w:r>
      <w:r w:rsidR="003A1917">
        <w:rPr>
          <w:kern w:val="0"/>
        </w:rPr>
        <w:t xml:space="preserve"> </w:t>
      </w:r>
      <w:r>
        <w:rPr>
          <w:kern w:val="0"/>
        </w:rPr>
        <w:t>assessment method was used in</w:t>
      </w:r>
      <w:r w:rsidR="003A1917">
        <w:rPr>
          <w:kern w:val="0"/>
        </w:rPr>
        <w:t xml:space="preserve"> the </w:t>
      </w:r>
      <w:r>
        <w:rPr>
          <w:kern w:val="0"/>
        </w:rPr>
        <w:t>operating room. Virtual reality simulators</w:t>
      </w:r>
      <w:r w:rsidR="005853A9">
        <w:rPr>
          <w:kern w:val="0"/>
        </w:rPr>
        <w:t xml:space="preserve"> and </w:t>
      </w:r>
      <w:r>
        <w:rPr>
          <w:kern w:val="0"/>
        </w:rPr>
        <w:t>Objective Structured Assessment</w:t>
      </w:r>
      <w:r w:rsidR="00427468">
        <w:rPr>
          <w:kern w:val="0"/>
        </w:rPr>
        <w:t xml:space="preserve"> of </w:t>
      </w:r>
      <w:r>
        <w:rPr>
          <w:kern w:val="0"/>
        </w:rPr>
        <w:t>Technical Skills (OSATS) have been studied most. Although OSATS is seen as</w:t>
      </w:r>
      <w:r w:rsidR="003A1917">
        <w:rPr>
          <w:kern w:val="0"/>
        </w:rPr>
        <w:t xml:space="preserve"> the </w:t>
      </w:r>
      <w:r>
        <w:rPr>
          <w:kern w:val="0"/>
        </w:rPr>
        <w:t>standard for skills assessment, only seven studies, with a low level</w:t>
      </w:r>
      <w:r w:rsidR="00427468">
        <w:rPr>
          <w:kern w:val="0"/>
        </w:rPr>
        <w:t xml:space="preserve"> of </w:t>
      </w:r>
      <w:r>
        <w:rPr>
          <w:kern w:val="0"/>
        </w:rPr>
        <w:t>evidence, addressed its use in</w:t>
      </w:r>
      <w:r w:rsidR="003A1917">
        <w:rPr>
          <w:kern w:val="0"/>
        </w:rPr>
        <w:t xml:space="preserve"> the </w:t>
      </w:r>
      <w:r>
        <w:rPr>
          <w:kern w:val="0"/>
        </w:rPr>
        <w:t>operating room. Conclusion: Based on currently available evidence, most methods</w:t>
      </w:r>
      <w:r w:rsidR="00427468">
        <w:rPr>
          <w:kern w:val="0"/>
        </w:rPr>
        <w:t xml:space="preserve"> of </w:t>
      </w:r>
      <w:r>
        <w:rPr>
          <w:kern w:val="0"/>
        </w:rPr>
        <w:t>skills assessment are valid fir feedback or measuring progress</w:t>
      </w:r>
      <w:r w:rsidR="00427468">
        <w:rPr>
          <w:kern w:val="0"/>
        </w:rPr>
        <w:t xml:space="preserve"> of </w:t>
      </w:r>
      <w:r>
        <w:rPr>
          <w:kern w:val="0"/>
        </w:rPr>
        <w:t>training, but few can be used for examination or credentialing</w:t>
      </w:r>
      <w:r w:rsidR="00A37C1D">
        <w:rPr>
          <w:kern w:val="0"/>
        </w:rPr>
        <w:t>. The</w:t>
      </w:r>
      <w:r w:rsidR="003A1917">
        <w:rPr>
          <w:kern w:val="0"/>
        </w:rPr>
        <w:t xml:space="preserve"> </w:t>
      </w:r>
      <w:r>
        <w:rPr>
          <w:kern w:val="0"/>
        </w:rPr>
        <w:t>purpose</w:t>
      </w:r>
      <w:r w:rsidR="00427468">
        <w:rPr>
          <w:kern w:val="0"/>
        </w:rPr>
        <w:t xml:space="preserve"> of </w:t>
      </w:r>
      <w:r w:rsidR="003A1917">
        <w:rPr>
          <w:kern w:val="0"/>
        </w:rPr>
        <w:t xml:space="preserve">the </w:t>
      </w:r>
      <w:r>
        <w:rPr>
          <w:kern w:val="0"/>
        </w:rPr>
        <w:t>assessment determines</w:t>
      </w:r>
      <w:r w:rsidR="003A1917">
        <w:rPr>
          <w:kern w:val="0"/>
        </w:rPr>
        <w:t xml:space="preserve"> the </w:t>
      </w:r>
      <w:r>
        <w:rPr>
          <w:kern w:val="0"/>
        </w:rPr>
        <w:t>choice</w:t>
      </w:r>
      <w:r w:rsidR="00427468">
        <w:rPr>
          <w:kern w:val="0"/>
        </w:rPr>
        <w:t xml:space="preserve"> of </w:t>
      </w:r>
      <w:r>
        <w:rPr>
          <w:kern w:val="0"/>
        </w:rPr>
        <w:t>method.</w:t>
      </w:r>
    </w:p>
    <w:p w:rsidR="00255950" w:rsidRDefault="00255950" w:rsidP="00255950">
      <w:pPr>
        <w:pStyle w:val="a3"/>
        <w:rPr>
          <w:kern w:val="0"/>
        </w:rPr>
      </w:pPr>
      <w:r>
        <w:rPr>
          <w:kern w:val="0"/>
        </w:rPr>
        <w:t xml:space="preserve">Keywords: Assessment, Computer-Assisted Assessment, Construct-Validity, Endoscopic Psychomotor Tester, Feedback, Gynecology Residents, Interest, Methods, Minimally Invasive Surgery, Motion Analysis, Novice Laparoscopic Surgeons, Operating-Room, Practice, </w:t>
      </w:r>
      <w:r w:rsidR="002C12F0">
        <w:rPr>
          <w:kern w:val="0"/>
        </w:rPr>
        <w:t>PUBMED</w:t>
      </w:r>
      <w:r>
        <w:rPr>
          <w:kern w:val="0"/>
        </w:rPr>
        <w:t xml:space="preserve">, Reliability, Review, Science, Structured Assessment, Surgery, Surgical, Systematic, Training, Validity, Virtual-Reality Simulator, </w:t>
      </w:r>
      <w:r w:rsidR="00D5664A">
        <w:rPr>
          <w:kern w:val="0"/>
        </w:rPr>
        <w:t>Web</w:t>
      </w:r>
      <w:r w:rsidR="00427468">
        <w:rPr>
          <w:kern w:val="0"/>
        </w:rPr>
        <w:t xml:space="preserve"> of </w:t>
      </w:r>
      <w:r w:rsidR="00D5664A">
        <w:rPr>
          <w:kern w:val="0"/>
        </w:rPr>
        <w:t>Science</w:t>
      </w:r>
    </w:p>
    <w:p w:rsidR="000821B9" w:rsidRDefault="000821B9" w:rsidP="000821B9">
      <w:pPr>
        <w:pStyle w:val="a3"/>
        <w:rPr>
          <w:kern w:val="0"/>
        </w:rPr>
      </w:pPr>
      <w:r>
        <w:rPr>
          <w:rFonts w:hint="eastAsia"/>
          <w:kern w:val="0"/>
        </w:rPr>
        <w:t xml:space="preserve">? </w:t>
      </w:r>
      <w:r w:rsidRPr="000821B9">
        <w:rPr>
          <w:kern w:val="0"/>
          <w:szCs w:val="24"/>
        </w:rPr>
        <w:t>Glynn, R</w:t>
      </w:r>
      <w:r>
        <w:rPr>
          <w:rFonts w:hint="eastAsia"/>
          <w:kern w:val="0"/>
          <w:szCs w:val="24"/>
        </w:rPr>
        <w:t>.</w:t>
      </w:r>
      <w:r w:rsidRPr="000821B9">
        <w:rPr>
          <w:kern w:val="0"/>
          <w:szCs w:val="24"/>
        </w:rPr>
        <w:t>W</w:t>
      </w:r>
      <w:r>
        <w:rPr>
          <w:rFonts w:hint="eastAsia"/>
          <w:kern w:val="0"/>
          <w:szCs w:val="24"/>
        </w:rPr>
        <w:t>.,</w:t>
      </w:r>
      <w:r w:rsidRPr="000821B9">
        <w:rPr>
          <w:kern w:val="0"/>
          <w:szCs w:val="24"/>
        </w:rPr>
        <w:t xml:space="preserve"> Kerin, M</w:t>
      </w:r>
      <w:r>
        <w:rPr>
          <w:rFonts w:hint="eastAsia"/>
          <w:kern w:val="0"/>
          <w:szCs w:val="24"/>
        </w:rPr>
        <w:t>.</w:t>
      </w:r>
      <w:r w:rsidRPr="000821B9">
        <w:rPr>
          <w:kern w:val="0"/>
          <w:szCs w:val="24"/>
        </w:rPr>
        <w:t>J</w:t>
      </w:r>
      <w:r>
        <w:rPr>
          <w:rFonts w:hint="eastAsia"/>
          <w:kern w:val="0"/>
          <w:szCs w:val="24"/>
        </w:rPr>
        <w:t>.</w:t>
      </w:r>
      <w:r w:rsidR="005853A9">
        <w:rPr>
          <w:rFonts w:hint="eastAsia"/>
          <w:kern w:val="0"/>
          <w:szCs w:val="24"/>
        </w:rPr>
        <w:t xml:space="preserve"> and </w:t>
      </w:r>
      <w:r w:rsidRPr="000821B9">
        <w:rPr>
          <w:kern w:val="0"/>
          <w:szCs w:val="24"/>
        </w:rPr>
        <w:t>Sweeney, K</w:t>
      </w:r>
      <w:r>
        <w:rPr>
          <w:rFonts w:hint="eastAsia"/>
          <w:kern w:val="0"/>
          <w:szCs w:val="24"/>
        </w:rPr>
        <w:t>.</w:t>
      </w:r>
      <w:r w:rsidRPr="000821B9">
        <w:rPr>
          <w:kern w:val="0"/>
          <w:szCs w:val="24"/>
        </w:rPr>
        <w:t>J</w:t>
      </w:r>
      <w:r>
        <w:rPr>
          <w:rFonts w:hint="eastAsia"/>
          <w:kern w:val="0"/>
          <w:szCs w:val="24"/>
        </w:rPr>
        <w:t>.</w:t>
      </w:r>
      <w:r>
        <w:rPr>
          <w:kern w:val="0"/>
        </w:rPr>
        <w:t xml:space="preserve"> (2010), </w:t>
      </w:r>
      <w:r w:rsidRPr="000821B9">
        <w:rPr>
          <w:kern w:val="0"/>
          <w:szCs w:val="24"/>
        </w:rPr>
        <w:t>Authorship trends in</w:t>
      </w:r>
      <w:r w:rsidR="003A1917">
        <w:rPr>
          <w:kern w:val="0"/>
          <w:szCs w:val="24"/>
        </w:rPr>
        <w:t xml:space="preserve"> the </w:t>
      </w:r>
      <w:r w:rsidRPr="000821B9">
        <w:rPr>
          <w:kern w:val="0"/>
          <w:szCs w:val="24"/>
        </w:rPr>
        <w:t>surgical literature</w:t>
      </w:r>
      <w:r>
        <w:rPr>
          <w:kern w:val="0"/>
        </w:rPr>
        <w:t xml:space="preserve">. </w:t>
      </w:r>
      <w:r>
        <w:rPr>
          <w:i/>
          <w:iCs/>
          <w:kern w:val="0"/>
        </w:rPr>
        <w:t>British Journal</w:t>
      </w:r>
      <w:r w:rsidR="00427468">
        <w:rPr>
          <w:i/>
          <w:iCs/>
          <w:kern w:val="0"/>
        </w:rPr>
        <w:t xml:space="preserve"> of </w:t>
      </w:r>
      <w:r>
        <w:rPr>
          <w:i/>
          <w:iCs/>
          <w:kern w:val="0"/>
        </w:rPr>
        <w:t>Surgery</w:t>
      </w:r>
      <w:r>
        <w:rPr>
          <w:kern w:val="0"/>
        </w:rPr>
        <w:t xml:space="preserve">, </w:t>
      </w:r>
      <w:r>
        <w:rPr>
          <w:b/>
          <w:bCs/>
          <w:kern w:val="0"/>
        </w:rPr>
        <w:t>97</w:t>
      </w:r>
      <w:r>
        <w:rPr>
          <w:kern w:val="0"/>
        </w:rPr>
        <w:t xml:space="preserve"> (</w:t>
      </w:r>
      <w:r>
        <w:rPr>
          <w:rFonts w:hint="eastAsia"/>
          <w:kern w:val="0"/>
        </w:rPr>
        <w:t>8</w:t>
      </w:r>
      <w:r>
        <w:rPr>
          <w:kern w:val="0"/>
        </w:rPr>
        <w:t xml:space="preserve">), </w:t>
      </w:r>
      <w:r w:rsidRPr="000821B9">
        <w:rPr>
          <w:kern w:val="0"/>
          <w:szCs w:val="24"/>
        </w:rPr>
        <w:t>1304-1308</w:t>
      </w:r>
      <w:r>
        <w:rPr>
          <w:kern w:val="0"/>
        </w:rPr>
        <w:t>.</w:t>
      </w:r>
    </w:p>
    <w:p w:rsidR="000821B9" w:rsidRDefault="000821B9" w:rsidP="000821B9">
      <w:pPr>
        <w:pStyle w:val="a3"/>
        <w:rPr>
          <w:kern w:val="0"/>
          <w:szCs w:val="24"/>
        </w:rPr>
      </w:pPr>
      <w:r>
        <w:rPr>
          <w:rFonts w:hint="eastAsia"/>
          <w:kern w:val="0"/>
          <w:szCs w:val="24"/>
        </w:rPr>
        <w:t xml:space="preserve">Full Text: </w:t>
      </w:r>
      <w:hyperlink r:id="rId1966" w:history="1">
        <w:r w:rsidR="00590E52" w:rsidRPr="00590E52">
          <w:rPr>
            <w:rStyle w:val="a5"/>
            <w:kern w:val="0"/>
            <w:szCs w:val="24"/>
          </w:rPr>
          <w:t>2010\Bri J Sur97, 1304.pdf</w:t>
        </w:r>
      </w:hyperlink>
    </w:p>
    <w:p w:rsidR="000821B9" w:rsidRPr="000821B9" w:rsidRDefault="000821B9" w:rsidP="000821B9">
      <w:pPr>
        <w:pStyle w:val="a3"/>
        <w:rPr>
          <w:kern w:val="0"/>
          <w:szCs w:val="24"/>
        </w:rPr>
      </w:pPr>
      <w:r w:rsidRPr="000821B9">
        <w:rPr>
          <w:kern w:val="0"/>
          <w:szCs w:val="24"/>
        </w:rPr>
        <w:t>Abstract: Background: Authorship is increasingly influential in career progression</w:t>
      </w:r>
      <w:r w:rsidR="005853A9">
        <w:rPr>
          <w:kern w:val="0"/>
          <w:szCs w:val="24"/>
        </w:rPr>
        <w:t xml:space="preserve"> and </w:t>
      </w:r>
      <w:r w:rsidRPr="000821B9">
        <w:rPr>
          <w:kern w:val="0"/>
          <w:szCs w:val="24"/>
        </w:rPr>
        <w:t>academic promotion. This study aimed to examine authorship trends in surgical titles between 1998</w:t>
      </w:r>
      <w:r w:rsidR="005853A9">
        <w:rPr>
          <w:kern w:val="0"/>
          <w:szCs w:val="24"/>
        </w:rPr>
        <w:t xml:space="preserve"> and </w:t>
      </w:r>
      <w:r w:rsidRPr="000821B9">
        <w:rPr>
          <w:kern w:val="0"/>
          <w:szCs w:val="24"/>
        </w:rPr>
        <w:t>2008,</w:t>
      </w:r>
      <w:r w:rsidR="005853A9">
        <w:rPr>
          <w:kern w:val="0"/>
          <w:szCs w:val="24"/>
        </w:rPr>
        <w:t xml:space="preserve"> and </w:t>
      </w:r>
      <w:r w:rsidRPr="000821B9">
        <w:rPr>
          <w:kern w:val="0"/>
          <w:szCs w:val="24"/>
        </w:rPr>
        <w:t>to compare these trends with those in general medicine pu</w:t>
      </w:r>
      <w:r>
        <w:rPr>
          <w:kern w:val="0"/>
          <w:szCs w:val="24"/>
        </w:rPr>
        <w:t>blications.</w:t>
      </w:r>
    </w:p>
    <w:p w:rsidR="000821B9" w:rsidRPr="000821B9" w:rsidRDefault="000821B9" w:rsidP="000821B9">
      <w:pPr>
        <w:pStyle w:val="a3"/>
        <w:rPr>
          <w:kern w:val="0"/>
          <w:szCs w:val="24"/>
        </w:rPr>
      </w:pPr>
      <w:r w:rsidRPr="000821B9">
        <w:rPr>
          <w:kern w:val="0"/>
          <w:szCs w:val="24"/>
        </w:rPr>
        <w:t>Methods: Clinical trials published in high-impact medical</w:t>
      </w:r>
      <w:r w:rsidR="005853A9">
        <w:rPr>
          <w:kern w:val="0"/>
          <w:szCs w:val="24"/>
        </w:rPr>
        <w:t xml:space="preserve"> and </w:t>
      </w:r>
      <w:r w:rsidRPr="000821B9">
        <w:rPr>
          <w:kern w:val="0"/>
          <w:szCs w:val="24"/>
        </w:rPr>
        <w:t>surgical titles were identified</w:t>
      </w:r>
      <w:r w:rsidR="00A37C1D">
        <w:rPr>
          <w:kern w:val="0"/>
          <w:szCs w:val="24"/>
        </w:rPr>
        <w:t>. The</w:t>
      </w:r>
      <w:r w:rsidR="003A1917">
        <w:rPr>
          <w:kern w:val="0"/>
          <w:szCs w:val="24"/>
        </w:rPr>
        <w:t xml:space="preserve"> </w:t>
      </w:r>
      <w:r w:rsidRPr="000821B9">
        <w:rPr>
          <w:kern w:val="0"/>
          <w:szCs w:val="24"/>
        </w:rPr>
        <w:t>number</w:t>
      </w:r>
      <w:r w:rsidR="00427468">
        <w:rPr>
          <w:kern w:val="0"/>
          <w:szCs w:val="24"/>
        </w:rPr>
        <w:t xml:space="preserve"> of </w:t>
      </w:r>
      <w:r w:rsidRPr="000821B9">
        <w:rPr>
          <w:kern w:val="0"/>
          <w:szCs w:val="24"/>
        </w:rPr>
        <w:t>authors associated with these studies</w:t>
      </w:r>
      <w:r w:rsidR="005853A9">
        <w:rPr>
          <w:kern w:val="0"/>
          <w:szCs w:val="24"/>
        </w:rPr>
        <w:t xml:space="preserve"> and </w:t>
      </w:r>
      <w:r w:rsidRPr="000821B9">
        <w:rPr>
          <w:kern w:val="0"/>
          <w:szCs w:val="24"/>
        </w:rPr>
        <w:t>trends over time were analysed using PubReMiner (TM). Trends were then compared between titles with</w:t>
      </w:r>
      <w:r w:rsidR="005853A9">
        <w:rPr>
          <w:kern w:val="0"/>
          <w:szCs w:val="24"/>
        </w:rPr>
        <w:t xml:space="preserve"> and </w:t>
      </w:r>
      <w:r w:rsidRPr="000821B9">
        <w:rPr>
          <w:kern w:val="0"/>
          <w:szCs w:val="24"/>
        </w:rPr>
        <w:t xml:space="preserve">without author contribution forms (ACFs). Author numbers in top-cited articles were correlated with citation rates. </w:t>
      </w:r>
    </w:p>
    <w:p w:rsidR="000821B9" w:rsidRPr="000821B9" w:rsidRDefault="000821B9" w:rsidP="000821B9">
      <w:pPr>
        <w:pStyle w:val="a3"/>
        <w:rPr>
          <w:kern w:val="0"/>
          <w:szCs w:val="24"/>
        </w:rPr>
      </w:pPr>
      <w:r w:rsidRPr="000821B9">
        <w:rPr>
          <w:kern w:val="0"/>
          <w:szCs w:val="24"/>
        </w:rPr>
        <w:t>Results: Some 6290 trials involving 54 120 different authorships were identified. A significant difference was found between authorship numbers associated with clinical trials in medicine versus those in surgery (P = 0.003). Introduction</w:t>
      </w:r>
      <w:r w:rsidR="00427468">
        <w:rPr>
          <w:kern w:val="0"/>
          <w:szCs w:val="24"/>
        </w:rPr>
        <w:t xml:space="preserve"> of </w:t>
      </w:r>
      <w:r w:rsidRPr="000821B9">
        <w:rPr>
          <w:kern w:val="0"/>
          <w:szCs w:val="24"/>
        </w:rPr>
        <w:t>ACFs did not influence</w:t>
      </w:r>
      <w:r w:rsidR="003A1917">
        <w:rPr>
          <w:kern w:val="0"/>
          <w:szCs w:val="24"/>
        </w:rPr>
        <w:t xml:space="preserve"> the </w:t>
      </w:r>
      <w:r w:rsidRPr="000821B9">
        <w:rPr>
          <w:kern w:val="0"/>
          <w:szCs w:val="24"/>
        </w:rPr>
        <w:t>number</w:t>
      </w:r>
      <w:r w:rsidR="00427468">
        <w:rPr>
          <w:kern w:val="0"/>
          <w:szCs w:val="24"/>
        </w:rPr>
        <w:t xml:space="preserve"> of </w:t>
      </w:r>
      <w:r w:rsidRPr="000821B9">
        <w:rPr>
          <w:kern w:val="0"/>
          <w:szCs w:val="24"/>
        </w:rPr>
        <w:t>authors per trial (P = 0.670)</w:t>
      </w:r>
      <w:r w:rsidR="00A37C1D">
        <w:rPr>
          <w:kern w:val="0"/>
          <w:szCs w:val="24"/>
        </w:rPr>
        <w:t>. The</w:t>
      </w:r>
      <w:r w:rsidR="003A1917">
        <w:rPr>
          <w:kern w:val="0"/>
          <w:szCs w:val="24"/>
        </w:rPr>
        <w:t xml:space="preserve"> </w:t>
      </w:r>
      <w:r w:rsidRPr="000821B9">
        <w:rPr>
          <w:kern w:val="0"/>
          <w:szCs w:val="24"/>
        </w:rPr>
        <w:t xml:space="preserve">top 100 most highly cited </w:t>
      </w:r>
      <w:r w:rsidRPr="000821B9">
        <w:rPr>
          <w:kern w:val="0"/>
          <w:szCs w:val="24"/>
        </w:rPr>
        <w:lastRenderedPageBreak/>
        <w:t xml:space="preserve">articles accounted for 114 935 citations; author number correlated with subsequent citation rate (r = 0.26, P = 0.011). </w:t>
      </w:r>
    </w:p>
    <w:p w:rsidR="000821B9" w:rsidRPr="000821B9" w:rsidRDefault="000821B9" w:rsidP="000821B9">
      <w:pPr>
        <w:pStyle w:val="a3"/>
        <w:rPr>
          <w:kern w:val="0"/>
          <w:szCs w:val="24"/>
        </w:rPr>
      </w:pPr>
      <w:r w:rsidRPr="000821B9">
        <w:rPr>
          <w:kern w:val="0"/>
          <w:szCs w:val="24"/>
        </w:rPr>
        <w:t>Conclusion: Author numbers have increased in</w:t>
      </w:r>
      <w:r w:rsidR="003A1917">
        <w:rPr>
          <w:kern w:val="0"/>
          <w:szCs w:val="24"/>
        </w:rPr>
        <w:t xml:space="preserve"> the </w:t>
      </w:r>
      <w:r w:rsidRPr="000821B9">
        <w:rPr>
          <w:kern w:val="0"/>
          <w:szCs w:val="24"/>
        </w:rPr>
        <w:t>past decade, in both medical</w:t>
      </w:r>
      <w:r w:rsidR="005853A9">
        <w:rPr>
          <w:kern w:val="0"/>
          <w:szCs w:val="24"/>
        </w:rPr>
        <w:t xml:space="preserve"> and </w:t>
      </w:r>
      <w:r w:rsidRPr="000821B9">
        <w:rPr>
          <w:kern w:val="0"/>
          <w:szCs w:val="24"/>
        </w:rPr>
        <w:t>surgical journals. Although medical output is associated with significantly higher levels</w:t>
      </w:r>
      <w:r w:rsidR="00427468">
        <w:rPr>
          <w:kern w:val="0"/>
          <w:szCs w:val="24"/>
        </w:rPr>
        <w:t xml:space="preserve"> of </w:t>
      </w:r>
      <w:r w:rsidRPr="000821B9">
        <w:rPr>
          <w:kern w:val="0"/>
          <w:szCs w:val="24"/>
        </w:rPr>
        <w:t>authorship,</w:t>
      </w:r>
      <w:r w:rsidR="003A1917">
        <w:rPr>
          <w:kern w:val="0"/>
          <w:szCs w:val="24"/>
        </w:rPr>
        <w:t xml:space="preserve"> the </w:t>
      </w:r>
      <w:r w:rsidRPr="000821B9">
        <w:rPr>
          <w:kern w:val="0"/>
          <w:szCs w:val="24"/>
        </w:rPr>
        <w:t>difference cannot be explained by</w:t>
      </w:r>
      <w:r>
        <w:rPr>
          <w:kern w:val="0"/>
          <w:szCs w:val="24"/>
        </w:rPr>
        <w:t xml:space="preserve"> complexity</w:t>
      </w:r>
      <w:r w:rsidR="00427468">
        <w:rPr>
          <w:kern w:val="0"/>
          <w:szCs w:val="24"/>
        </w:rPr>
        <w:t xml:space="preserve"> of </w:t>
      </w:r>
      <w:r>
        <w:rPr>
          <w:kern w:val="0"/>
          <w:szCs w:val="24"/>
        </w:rPr>
        <w:t>research alone.</w:t>
      </w:r>
    </w:p>
    <w:p w:rsidR="000821B9" w:rsidRDefault="000821B9" w:rsidP="000821B9">
      <w:pPr>
        <w:pStyle w:val="a3"/>
        <w:rPr>
          <w:kern w:val="0"/>
          <w:szCs w:val="24"/>
        </w:rPr>
      </w:pPr>
      <w:r w:rsidRPr="000821B9">
        <w:rPr>
          <w:kern w:val="0"/>
          <w:szCs w:val="24"/>
        </w:rPr>
        <w:t>Keywords: Medical Journals</w:t>
      </w:r>
      <w:r>
        <w:rPr>
          <w:kern w:val="0"/>
          <w:szCs w:val="24"/>
        </w:rPr>
        <w:t>, Articles, Criteria, Citation</w:t>
      </w:r>
    </w:p>
    <w:p w:rsidR="00440562" w:rsidRDefault="00440562" w:rsidP="00440562">
      <w:pPr>
        <w:pStyle w:val="a3"/>
        <w:rPr>
          <w:kern w:val="0"/>
          <w:szCs w:val="24"/>
        </w:rPr>
      </w:pPr>
      <w:r>
        <w:rPr>
          <w:rFonts w:hint="eastAsia"/>
          <w:kern w:val="0"/>
          <w:szCs w:val="24"/>
        </w:rPr>
        <w:t xml:space="preserve">? </w:t>
      </w:r>
      <w:r>
        <w:rPr>
          <w:kern w:val="0"/>
          <w:szCs w:val="24"/>
        </w:rPr>
        <w:t>Hammond, J.S., Guha, I.N., Beckingham, I.J.</w:t>
      </w:r>
      <w:r w:rsidR="005853A9">
        <w:rPr>
          <w:kern w:val="0"/>
          <w:szCs w:val="24"/>
        </w:rPr>
        <w:t xml:space="preserve"> and </w:t>
      </w:r>
      <w:r>
        <w:rPr>
          <w:kern w:val="0"/>
          <w:szCs w:val="24"/>
        </w:rPr>
        <w:t>Lobo, D.N. (2011), Prediction, prevention</w:t>
      </w:r>
      <w:r w:rsidR="005853A9">
        <w:rPr>
          <w:kern w:val="0"/>
          <w:szCs w:val="24"/>
        </w:rPr>
        <w:t xml:space="preserve"> and </w:t>
      </w:r>
      <w:r>
        <w:rPr>
          <w:kern w:val="0"/>
          <w:szCs w:val="24"/>
        </w:rPr>
        <w:t>management</w:t>
      </w:r>
      <w:r w:rsidR="00427468">
        <w:rPr>
          <w:kern w:val="0"/>
          <w:szCs w:val="24"/>
        </w:rPr>
        <w:t xml:space="preserve"> of </w:t>
      </w:r>
      <w:r>
        <w:rPr>
          <w:kern w:val="0"/>
          <w:szCs w:val="24"/>
        </w:rPr>
        <w:t xml:space="preserve">postresection liver failure. </w:t>
      </w:r>
      <w:r>
        <w:rPr>
          <w:i/>
          <w:iCs/>
          <w:kern w:val="0"/>
          <w:szCs w:val="24"/>
        </w:rPr>
        <w:t>British Journal</w:t>
      </w:r>
      <w:r w:rsidR="00427468">
        <w:rPr>
          <w:i/>
          <w:iCs/>
          <w:kern w:val="0"/>
          <w:szCs w:val="24"/>
        </w:rPr>
        <w:t xml:space="preserve"> of </w:t>
      </w:r>
      <w:r>
        <w:rPr>
          <w:i/>
          <w:iCs/>
          <w:kern w:val="0"/>
          <w:szCs w:val="24"/>
        </w:rPr>
        <w:t>Surgery</w:t>
      </w:r>
      <w:r>
        <w:rPr>
          <w:kern w:val="0"/>
          <w:szCs w:val="24"/>
        </w:rPr>
        <w:t xml:space="preserve">, </w:t>
      </w:r>
      <w:r>
        <w:rPr>
          <w:b/>
          <w:bCs/>
          <w:kern w:val="0"/>
          <w:szCs w:val="24"/>
        </w:rPr>
        <w:t>98</w:t>
      </w:r>
      <w:r>
        <w:rPr>
          <w:kern w:val="0"/>
          <w:szCs w:val="24"/>
        </w:rPr>
        <w:t xml:space="preserve"> (9), 1188-1200.</w:t>
      </w:r>
    </w:p>
    <w:p w:rsidR="00440562" w:rsidRDefault="00440562" w:rsidP="00440562">
      <w:pPr>
        <w:pStyle w:val="a3"/>
        <w:rPr>
          <w:kern w:val="0"/>
          <w:szCs w:val="24"/>
        </w:rPr>
      </w:pPr>
      <w:r>
        <w:rPr>
          <w:rFonts w:hint="eastAsia"/>
          <w:kern w:val="0"/>
          <w:szCs w:val="24"/>
        </w:rPr>
        <w:t xml:space="preserve">Full Text: </w:t>
      </w:r>
      <w:hyperlink r:id="rId1967" w:history="1">
        <w:r w:rsidRPr="00440562">
          <w:rPr>
            <w:rStyle w:val="a5"/>
            <w:kern w:val="0"/>
            <w:szCs w:val="24"/>
          </w:rPr>
          <w:t>2011\Bri J Sur98, 1188.pdf</w:t>
        </w:r>
      </w:hyperlink>
    </w:p>
    <w:p w:rsidR="00440562" w:rsidRDefault="00440562" w:rsidP="00440562">
      <w:pPr>
        <w:pStyle w:val="a3"/>
        <w:rPr>
          <w:kern w:val="0"/>
          <w:szCs w:val="24"/>
        </w:rPr>
      </w:pPr>
      <w:r>
        <w:rPr>
          <w:kern w:val="0"/>
          <w:szCs w:val="24"/>
        </w:rPr>
        <w:t>Abstract: Background: Postresection liver failure (PLF) is</w:t>
      </w:r>
      <w:r w:rsidR="003A1917">
        <w:rPr>
          <w:kern w:val="0"/>
          <w:szCs w:val="24"/>
        </w:rPr>
        <w:t xml:space="preserve"> the </w:t>
      </w:r>
      <w:r>
        <w:rPr>
          <w:kern w:val="0"/>
          <w:szCs w:val="24"/>
        </w:rPr>
        <w:t>major cause</w:t>
      </w:r>
      <w:r w:rsidR="00427468">
        <w:rPr>
          <w:kern w:val="0"/>
          <w:szCs w:val="24"/>
        </w:rPr>
        <w:t xml:space="preserve"> of </w:t>
      </w:r>
      <w:r>
        <w:rPr>
          <w:kern w:val="0"/>
          <w:szCs w:val="24"/>
        </w:rPr>
        <w:t>death following liver resection. However, there is no unified definition,</w:t>
      </w:r>
      <w:r w:rsidR="003A1917">
        <w:rPr>
          <w:kern w:val="0"/>
          <w:szCs w:val="24"/>
        </w:rPr>
        <w:t xml:space="preserve"> the </w:t>
      </w:r>
      <w:r>
        <w:rPr>
          <w:kern w:val="0"/>
          <w:szCs w:val="24"/>
        </w:rPr>
        <w:t>pathophysiology is understood poorly</w:t>
      </w:r>
      <w:r w:rsidR="005853A9">
        <w:rPr>
          <w:kern w:val="0"/>
          <w:szCs w:val="24"/>
        </w:rPr>
        <w:t xml:space="preserve"> and </w:t>
      </w:r>
      <w:r>
        <w:rPr>
          <w:kern w:val="0"/>
          <w:szCs w:val="24"/>
        </w:rPr>
        <w:t>there are few controlled trials to optimize its management</w:t>
      </w:r>
      <w:r w:rsidR="00A37C1D">
        <w:rPr>
          <w:kern w:val="0"/>
          <w:szCs w:val="24"/>
        </w:rPr>
        <w:t>. The</w:t>
      </w:r>
      <w:r w:rsidR="003A1917">
        <w:rPr>
          <w:kern w:val="0"/>
          <w:szCs w:val="24"/>
        </w:rPr>
        <w:t xml:space="preserve"> </w:t>
      </w:r>
      <w:r>
        <w:rPr>
          <w:kern w:val="0"/>
          <w:szCs w:val="24"/>
        </w:rPr>
        <w:t>aim</w:t>
      </w:r>
      <w:r w:rsidR="00427468">
        <w:rPr>
          <w:kern w:val="0"/>
          <w:szCs w:val="24"/>
        </w:rPr>
        <w:t xml:space="preserve"> of </w:t>
      </w:r>
      <w:r>
        <w:rPr>
          <w:kern w:val="0"/>
          <w:szCs w:val="24"/>
        </w:rPr>
        <w:t>this review article is to present strategies to predict, prevent</w:t>
      </w:r>
      <w:r w:rsidR="005853A9">
        <w:rPr>
          <w:kern w:val="0"/>
          <w:szCs w:val="24"/>
        </w:rPr>
        <w:t xml:space="preserve"> and </w:t>
      </w:r>
      <w:r>
        <w:rPr>
          <w:kern w:val="0"/>
          <w:szCs w:val="24"/>
        </w:rPr>
        <w:t>manage PLF. Methods:</w:t>
      </w:r>
      <w:r w:rsidR="003A1917">
        <w:rPr>
          <w:kern w:val="0"/>
          <w:szCs w:val="24"/>
        </w:rPr>
        <w:t xml:space="preserve"> the </w:t>
      </w:r>
      <w:r w:rsidR="00D5664A">
        <w:rPr>
          <w:kern w:val="0"/>
          <w:szCs w:val="24"/>
        </w:rPr>
        <w:t>Web</w:t>
      </w:r>
      <w:r w:rsidR="00427468">
        <w:rPr>
          <w:kern w:val="0"/>
          <w:szCs w:val="24"/>
        </w:rPr>
        <w:t xml:space="preserve"> of </w:t>
      </w:r>
      <w:r w:rsidR="00D5664A">
        <w:rPr>
          <w:kern w:val="0"/>
          <w:szCs w:val="24"/>
        </w:rPr>
        <w:t>Science</w:t>
      </w:r>
      <w:r>
        <w:rPr>
          <w:kern w:val="0"/>
          <w:szCs w:val="24"/>
        </w:rPr>
        <w:t xml:space="preserve">, </w:t>
      </w:r>
      <w:r w:rsidR="00D5664A">
        <w:rPr>
          <w:kern w:val="0"/>
          <w:szCs w:val="24"/>
        </w:rPr>
        <w:t>MEDLINE</w:t>
      </w:r>
      <w:r>
        <w:rPr>
          <w:kern w:val="0"/>
          <w:szCs w:val="24"/>
        </w:rPr>
        <w:t>, PubMed, Google Scholar</w:t>
      </w:r>
      <w:r w:rsidR="005853A9">
        <w:rPr>
          <w:kern w:val="0"/>
          <w:szCs w:val="24"/>
        </w:rPr>
        <w:t xml:space="preserve"> and </w:t>
      </w:r>
      <w:r>
        <w:rPr>
          <w:kern w:val="0"/>
          <w:szCs w:val="24"/>
        </w:rPr>
        <w:t>Cochrane Library databases were searched for studies using</w:t>
      </w:r>
      <w:r w:rsidR="003A1917">
        <w:rPr>
          <w:kern w:val="0"/>
          <w:szCs w:val="24"/>
        </w:rPr>
        <w:t xml:space="preserve"> the </w:t>
      </w:r>
      <w:r>
        <w:rPr>
          <w:kern w:val="0"/>
          <w:szCs w:val="24"/>
        </w:rPr>
        <w:t xml:space="preserve">terms </w:t>
      </w:r>
      <w:r w:rsidR="00700038">
        <w:rPr>
          <w:kern w:val="0"/>
          <w:szCs w:val="24"/>
        </w:rPr>
        <w:t>‘</w:t>
      </w:r>
      <w:r>
        <w:rPr>
          <w:kern w:val="0"/>
          <w:szCs w:val="24"/>
        </w:rPr>
        <w:t>liver resection</w:t>
      </w:r>
      <w:r w:rsidR="00700038">
        <w:rPr>
          <w:kern w:val="0"/>
          <w:szCs w:val="24"/>
        </w:rPr>
        <w:t>’</w:t>
      </w:r>
      <w:r>
        <w:rPr>
          <w:kern w:val="0"/>
          <w:szCs w:val="24"/>
        </w:rPr>
        <w:t xml:space="preserve">, </w:t>
      </w:r>
      <w:r w:rsidR="00700038">
        <w:rPr>
          <w:kern w:val="0"/>
          <w:szCs w:val="24"/>
        </w:rPr>
        <w:t>‘</w:t>
      </w:r>
      <w:r>
        <w:rPr>
          <w:kern w:val="0"/>
          <w:szCs w:val="24"/>
        </w:rPr>
        <w:t>partial hepatectomy</w:t>
      </w:r>
      <w:r w:rsidR="00700038">
        <w:rPr>
          <w:kern w:val="0"/>
          <w:szCs w:val="24"/>
        </w:rPr>
        <w:t>’</w:t>
      </w:r>
      <w:r>
        <w:rPr>
          <w:kern w:val="0"/>
          <w:szCs w:val="24"/>
        </w:rPr>
        <w:t xml:space="preserve">, </w:t>
      </w:r>
      <w:r w:rsidR="00700038">
        <w:rPr>
          <w:kern w:val="0"/>
          <w:szCs w:val="24"/>
        </w:rPr>
        <w:t>‘</w:t>
      </w:r>
      <w:r>
        <w:rPr>
          <w:kern w:val="0"/>
          <w:szCs w:val="24"/>
        </w:rPr>
        <w:t>liver dysfunction</w:t>
      </w:r>
      <w:r w:rsidR="00700038">
        <w:rPr>
          <w:kern w:val="0"/>
          <w:szCs w:val="24"/>
        </w:rPr>
        <w:t>’</w:t>
      </w:r>
      <w:r w:rsidR="005853A9">
        <w:rPr>
          <w:kern w:val="0"/>
          <w:szCs w:val="24"/>
        </w:rPr>
        <w:t xml:space="preserve"> and </w:t>
      </w:r>
      <w:r w:rsidR="00700038">
        <w:rPr>
          <w:kern w:val="0"/>
          <w:szCs w:val="24"/>
        </w:rPr>
        <w:t>‘</w:t>
      </w:r>
      <w:r>
        <w:rPr>
          <w:kern w:val="0"/>
          <w:szCs w:val="24"/>
        </w:rPr>
        <w:t>liver failure</w:t>
      </w:r>
      <w:r w:rsidR="00700038">
        <w:rPr>
          <w:kern w:val="0"/>
          <w:szCs w:val="24"/>
        </w:rPr>
        <w:t>’</w:t>
      </w:r>
      <w:r>
        <w:rPr>
          <w:kern w:val="0"/>
          <w:szCs w:val="24"/>
        </w:rPr>
        <w:t xml:space="preserve"> for relevant studies from</w:t>
      </w:r>
      <w:r w:rsidR="003A1917">
        <w:rPr>
          <w:kern w:val="0"/>
          <w:szCs w:val="24"/>
        </w:rPr>
        <w:t xml:space="preserve"> the </w:t>
      </w:r>
      <w:r>
        <w:rPr>
          <w:kern w:val="0"/>
          <w:szCs w:val="24"/>
        </w:rPr>
        <w:t>15 years preceding May 2011. Key papers published more than 15 years ago were included if more recent data were not available. Papers published in languages other than English were excluded. Results:</w:t>
      </w:r>
      <w:r w:rsidR="003A1917">
        <w:rPr>
          <w:kern w:val="0"/>
          <w:szCs w:val="24"/>
        </w:rPr>
        <w:t xml:space="preserve"> the </w:t>
      </w:r>
      <w:r>
        <w:rPr>
          <w:kern w:val="0"/>
          <w:szCs w:val="24"/>
        </w:rPr>
        <w:t>incidence</w:t>
      </w:r>
      <w:r w:rsidR="00427468">
        <w:rPr>
          <w:kern w:val="0"/>
          <w:szCs w:val="24"/>
        </w:rPr>
        <w:t xml:space="preserve"> of </w:t>
      </w:r>
      <w:r>
        <w:rPr>
          <w:kern w:val="0"/>
          <w:szCs w:val="24"/>
        </w:rPr>
        <w:t>PLF ranges from 0 to 13 per cent</w:t>
      </w:r>
      <w:r w:rsidR="00A37C1D">
        <w:rPr>
          <w:kern w:val="0"/>
          <w:szCs w:val="24"/>
        </w:rPr>
        <w:t>. The</w:t>
      </w:r>
      <w:r w:rsidR="003A1917">
        <w:rPr>
          <w:kern w:val="0"/>
          <w:szCs w:val="24"/>
        </w:rPr>
        <w:t xml:space="preserve"> </w:t>
      </w:r>
      <w:r>
        <w:rPr>
          <w:kern w:val="0"/>
          <w:szCs w:val="24"/>
        </w:rPr>
        <w:t>absence</w:t>
      </w:r>
      <w:r w:rsidR="00427468">
        <w:rPr>
          <w:kern w:val="0"/>
          <w:szCs w:val="24"/>
        </w:rPr>
        <w:t xml:space="preserve"> of </w:t>
      </w:r>
      <w:r>
        <w:rPr>
          <w:kern w:val="0"/>
          <w:szCs w:val="24"/>
        </w:rPr>
        <w:t>a unified definition prevents direct comparison between studies</w:t>
      </w:r>
      <w:r w:rsidR="00A37C1D">
        <w:rPr>
          <w:kern w:val="0"/>
          <w:szCs w:val="24"/>
        </w:rPr>
        <w:t>. The</w:t>
      </w:r>
      <w:r w:rsidR="003A1917">
        <w:rPr>
          <w:kern w:val="0"/>
          <w:szCs w:val="24"/>
        </w:rPr>
        <w:t xml:space="preserve"> </w:t>
      </w:r>
      <w:r>
        <w:rPr>
          <w:kern w:val="0"/>
          <w:szCs w:val="24"/>
        </w:rPr>
        <w:t>major risk factors are</w:t>
      </w:r>
      <w:r w:rsidR="003A1917">
        <w:rPr>
          <w:kern w:val="0"/>
          <w:szCs w:val="24"/>
        </w:rPr>
        <w:t xml:space="preserve"> the </w:t>
      </w:r>
      <w:r>
        <w:rPr>
          <w:kern w:val="0"/>
          <w:szCs w:val="24"/>
        </w:rPr>
        <w:t>extent</w:t>
      </w:r>
      <w:r w:rsidR="00427468">
        <w:rPr>
          <w:kern w:val="0"/>
          <w:szCs w:val="24"/>
        </w:rPr>
        <w:t xml:space="preserve"> of </w:t>
      </w:r>
      <w:r>
        <w:rPr>
          <w:kern w:val="0"/>
          <w:szCs w:val="24"/>
        </w:rPr>
        <w:t>resection</w:t>
      </w:r>
      <w:r w:rsidR="005853A9">
        <w:rPr>
          <w:kern w:val="0"/>
          <w:szCs w:val="24"/>
        </w:rPr>
        <w:t xml:space="preserve"> and </w:t>
      </w:r>
      <w:r w:rsidR="003A1917">
        <w:rPr>
          <w:kern w:val="0"/>
          <w:szCs w:val="24"/>
        </w:rPr>
        <w:t xml:space="preserve">the </w:t>
      </w:r>
      <w:r>
        <w:rPr>
          <w:kern w:val="0"/>
          <w:szCs w:val="24"/>
        </w:rPr>
        <w:t>presence</w:t>
      </w:r>
      <w:r w:rsidR="00427468">
        <w:rPr>
          <w:kern w:val="0"/>
          <w:szCs w:val="24"/>
        </w:rPr>
        <w:t xml:space="preserve"> of </w:t>
      </w:r>
      <w:r>
        <w:rPr>
          <w:kern w:val="0"/>
          <w:szCs w:val="24"/>
        </w:rPr>
        <w:t>underlying parenchymal disease. Small-for-size syndrome, sepsis</w:t>
      </w:r>
      <w:r w:rsidR="005853A9">
        <w:rPr>
          <w:kern w:val="0"/>
          <w:szCs w:val="24"/>
        </w:rPr>
        <w:t xml:space="preserve"> and </w:t>
      </w:r>
      <w:r>
        <w:rPr>
          <w:kern w:val="0"/>
          <w:szCs w:val="24"/>
        </w:rPr>
        <w:t>ischaemia-reperfusion injury are key mechanisms in</w:t>
      </w:r>
      <w:r w:rsidR="003A1917">
        <w:rPr>
          <w:kern w:val="0"/>
          <w:szCs w:val="24"/>
        </w:rPr>
        <w:t xml:space="preserve"> the </w:t>
      </w:r>
      <w:r>
        <w:rPr>
          <w:kern w:val="0"/>
          <w:szCs w:val="24"/>
        </w:rPr>
        <w:t>pathophysiology</w:t>
      </w:r>
      <w:r w:rsidR="00427468">
        <w:rPr>
          <w:kern w:val="0"/>
          <w:szCs w:val="24"/>
        </w:rPr>
        <w:t xml:space="preserve"> of </w:t>
      </w:r>
      <w:r>
        <w:rPr>
          <w:kern w:val="0"/>
          <w:szCs w:val="24"/>
        </w:rPr>
        <w:t>PLF. Jaundice is</w:t>
      </w:r>
      <w:r w:rsidR="003A1917">
        <w:rPr>
          <w:kern w:val="0"/>
          <w:szCs w:val="24"/>
        </w:rPr>
        <w:t xml:space="preserve"> the </w:t>
      </w:r>
      <w:r>
        <w:rPr>
          <w:kern w:val="0"/>
          <w:szCs w:val="24"/>
        </w:rPr>
        <w:t>most sensitive predictor</w:t>
      </w:r>
      <w:r w:rsidR="00427468">
        <w:rPr>
          <w:kern w:val="0"/>
          <w:szCs w:val="24"/>
        </w:rPr>
        <w:t xml:space="preserve"> of </w:t>
      </w:r>
      <w:r>
        <w:rPr>
          <w:kern w:val="0"/>
          <w:szCs w:val="24"/>
        </w:rPr>
        <w:t>outcome. An evidence-based approach to</w:t>
      </w:r>
      <w:r w:rsidR="003A1917">
        <w:rPr>
          <w:kern w:val="0"/>
          <w:szCs w:val="24"/>
        </w:rPr>
        <w:t xml:space="preserve"> the </w:t>
      </w:r>
      <w:r>
        <w:rPr>
          <w:kern w:val="0"/>
          <w:szCs w:val="24"/>
        </w:rPr>
        <w:t>prevention</w:t>
      </w:r>
      <w:r w:rsidR="005853A9">
        <w:rPr>
          <w:kern w:val="0"/>
          <w:szCs w:val="24"/>
        </w:rPr>
        <w:t xml:space="preserve"> and </w:t>
      </w:r>
      <w:r>
        <w:rPr>
          <w:kern w:val="0"/>
          <w:szCs w:val="24"/>
        </w:rPr>
        <w:t>management</w:t>
      </w:r>
      <w:r w:rsidR="00427468">
        <w:rPr>
          <w:kern w:val="0"/>
          <w:szCs w:val="24"/>
        </w:rPr>
        <w:t xml:space="preserve"> of </w:t>
      </w:r>
      <w:r>
        <w:rPr>
          <w:kern w:val="0"/>
          <w:szCs w:val="24"/>
        </w:rPr>
        <w:t>PLF is presented. Conclusion: PLF is</w:t>
      </w:r>
      <w:r w:rsidR="003A1917">
        <w:rPr>
          <w:kern w:val="0"/>
          <w:szCs w:val="24"/>
        </w:rPr>
        <w:t xml:space="preserve"> the </w:t>
      </w:r>
      <w:r>
        <w:rPr>
          <w:kern w:val="0"/>
          <w:szCs w:val="24"/>
        </w:rPr>
        <w:t>major cause</w:t>
      </w:r>
      <w:r w:rsidR="00427468">
        <w:rPr>
          <w:kern w:val="0"/>
          <w:szCs w:val="24"/>
        </w:rPr>
        <w:t xml:space="preserve"> of </w:t>
      </w:r>
      <w:r>
        <w:rPr>
          <w:kern w:val="0"/>
          <w:szCs w:val="24"/>
        </w:rPr>
        <w:t>morbidity</w:t>
      </w:r>
      <w:r w:rsidR="005853A9">
        <w:rPr>
          <w:kern w:val="0"/>
          <w:szCs w:val="24"/>
        </w:rPr>
        <w:t xml:space="preserve"> and </w:t>
      </w:r>
      <w:r>
        <w:rPr>
          <w:kern w:val="0"/>
          <w:szCs w:val="24"/>
        </w:rPr>
        <w:t>mortality after liver resection</w:t>
      </w:r>
      <w:r w:rsidR="00A37C1D">
        <w:rPr>
          <w:kern w:val="0"/>
          <w:szCs w:val="24"/>
        </w:rPr>
        <w:t>. The</w:t>
      </w:r>
      <w:r>
        <w:rPr>
          <w:kern w:val="0"/>
          <w:szCs w:val="24"/>
        </w:rPr>
        <w:t>re is a need for a unified definition</w:t>
      </w:r>
      <w:r w:rsidR="005853A9">
        <w:rPr>
          <w:kern w:val="0"/>
          <w:szCs w:val="24"/>
        </w:rPr>
        <w:t xml:space="preserve"> and </w:t>
      </w:r>
      <w:r>
        <w:rPr>
          <w:kern w:val="0"/>
          <w:szCs w:val="24"/>
        </w:rPr>
        <w:t>improved strategies to treat it.</w:t>
      </w:r>
    </w:p>
    <w:p w:rsidR="00440562" w:rsidRDefault="00440562" w:rsidP="00440562">
      <w:pPr>
        <w:pStyle w:val="a3"/>
        <w:rPr>
          <w:kern w:val="0"/>
          <w:szCs w:val="24"/>
        </w:rPr>
      </w:pPr>
      <w:r>
        <w:rPr>
          <w:kern w:val="0"/>
          <w:szCs w:val="24"/>
        </w:rPr>
        <w:t xml:space="preserve">Keywords: Cochrane, Colorectal Metastases, Critically-Ill Patients, Databases, Disease, Fresh-Frozen Plasma, Google Scholar, Hepatectomy, Hepatocellular-Carcinoma, Incidence, Inferior Vena-Cava, Injury, Major Hepatic Resection, Management, Mechanisms, </w:t>
      </w:r>
      <w:r w:rsidR="00D5664A">
        <w:rPr>
          <w:kern w:val="0"/>
          <w:szCs w:val="24"/>
        </w:rPr>
        <w:t>MEDLINE</w:t>
      </w:r>
      <w:r>
        <w:rPr>
          <w:kern w:val="0"/>
          <w:szCs w:val="24"/>
        </w:rPr>
        <w:t xml:space="preserve">, Methods, Morbidity, Mortality, Obstructive-Jaundice, Outcome, Papers, Partial-Hepatectomy, Portal-Vein Embolization, Prediction, Preoperative Biliary Drainage, Prevention, Pubmed, Review, Risk, Risk Factors, Science, Sepsis, </w:t>
      </w:r>
      <w:r w:rsidR="00D5664A">
        <w:rPr>
          <w:kern w:val="0"/>
          <w:szCs w:val="24"/>
        </w:rPr>
        <w:t>Web</w:t>
      </w:r>
      <w:r w:rsidR="00427468">
        <w:rPr>
          <w:kern w:val="0"/>
          <w:szCs w:val="24"/>
        </w:rPr>
        <w:t xml:space="preserve"> of </w:t>
      </w:r>
      <w:r w:rsidR="00D5664A">
        <w:rPr>
          <w:kern w:val="0"/>
          <w:szCs w:val="24"/>
        </w:rPr>
        <w:t>Science</w:t>
      </w:r>
    </w:p>
    <w:p w:rsidR="00624F6C" w:rsidRDefault="00624F6C" w:rsidP="00624F6C">
      <w:pPr>
        <w:pStyle w:val="a3"/>
        <w:rPr>
          <w:kern w:val="0"/>
          <w:szCs w:val="24"/>
        </w:rPr>
      </w:pPr>
      <w:r>
        <w:rPr>
          <w:rFonts w:hint="eastAsia"/>
          <w:kern w:val="0"/>
          <w:szCs w:val="24"/>
        </w:rPr>
        <w:t xml:space="preserve">? </w:t>
      </w:r>
      <w:r>
        <w:rPr>
          <w:kern w:val="0"/>
          <w:szCs w:val="24"/>
        </w:rPr>
        <w:t>Pervez, A., Froghi, S.F., Ahmed, K., Fitzpatrick, J., Khan, M.S.</w:t>
      </w:r>
      <w:r w:rsidR="005853A9">
        <w:rPr>
          <w:kern w:val="0"/>
          <w:szCs w:val="24"/>
        </w:rPr>
        <w:t xml:space="preserve"> and </w:t>
      </w:r>
      <w:r>
        <w:rPr>
          <w:kern w:val="0"/>
          <w:szCs w:val="24"/>
        </w:rPr>
        <w:t>Dasgupta, P. (2013), Research evaluation</w:t>
      </w:r>
      <w:r w:rsidR="00427468">
        <w:rPr>
          <w:kern w:val="0"/>
          <w:szCs w:val="24"/>
        </w:rPr>
        <w:t xml:space="preserve"> of </w:t>
      </w:r>
      <w:r>
        <w:rPr>
          <w:kern w:val="0"/>
          <w:szCs w:val="24"/>
        </w:rPr>
        <w:t>academic urology</w:t>
      </w:r>
      <w:r w:rsidR="005853A9">
        <w:rPr>
          <w:kern w:val="0"/>
          <w:szCs w:val="24"/>
        </w:rPr>
        <w:t xml:space="preserve"> and </w:t>
      </w:r>
      <w:r>
        <w:rPr>
          <w:kern w:val="0"/>
          <w:szCs w:val="24"/>
        </w:rPr>
        <w:t>development</w:t>
      </w:r>
      <w:r w:rsidR="00427468">
        <w:rPr>
          <w:kern w:val="0"/>
          <w:szCs w:val="24"/>
        </w:rPr>
        <w:t xml:space="preserve"> of </w:t>
      </w:r>
      <w:r>
        <w:rPr>
          <w:kern w:val="0"/>
          <w:szCs w:val="24"/>
        </w:rPr>
        <w:t xml:space="preserve">speciality specific bibliometric scoring system. </w:t>
      </w:r>
      <w:r>
        <w:rPr>
          <w:i/>
          <w:iCs/>
          <w:kern w:val="0"/>
          <w:szCs w:val="24"/>
        </w:rPr>
        <w:t>British Journal</w:t>
      </w:r>
      <w:r w:rsidR="00427468">
        <w:rPr>
          <w:i/>
          <w:iCs/>
          <w:kern w:val="0"/>
          <w:szCs w:val="24"/>
        </w:rPr>
        <w:t xml:space="preserve"> of </w:t>
      </w:r>
      <w:r>
        <w:rPr>
          <w:i/>
          <w:iCs/>
          <w:kern w:val="0"/>
          <w:szCs w:val="24"/>
        </w:rPr>
        <w:t>Surgery</w:t>
      </w:r>
      <w:r>
        <w:rPr>
          <w:kern w:val="0"/>
          <w:szCs w:val="24"/>
        </w:rPr>
        <w:t xml:space="preserve">, </w:t>
      </w:r>
      <w:r>
        <w:rPr>
          <w:b/>
          <w:bCs/>
          <w:kern w:val="0"/>
          <w:szCs w:val="24"/>
        </w:rPr>
        <w:t>100</w:t>
      </w:r>
      <w:r>
        <w:rPr>
          <w:rFonts w:hint="eastAsia"/>
          <w:bCs/>
          <w:kern w:val="0"/>
          <w:szCs w:val="24"/>
        </w:rPr>
        <w:t xml:space="preserve"> (S4)</w:t>
      </w:r>
      <w:r>
        <w:rPr>
          <w:kern w:val="0"/>
          <w:szCs w:val="24"/>
        </w:rPr>
        <w:t>, 66</w:t>
      </w:r>
      <w:r>
        <w:rPr>
          <w:rFonts w:hint="eastAsia"/>
          <w:kern w:val="0"/>
          <w:szCs w:val="24"/>
        </w:rPr>
        <w:t>.</w:t>
      </w:r>
    </w:p>
    <w:p w:rsidR="00624F6C" w:rsidRDefault="00624F6C" w:rsidP="00624F6C">
      <w:pPr>
        <w:pStyle w:val="a3"/>
        <w:rPr>
          <w:kern w:val="0"/>
          <w:szCs w:val="24"/>
        </w:rPr>
      </w:pPr>
      <w:r>
        <w:rPr>
          <w:rFonts w:hint="eastAsia"/>
          <w:kern w:val="0"/>
          <w:szCs w:val="24"/>
        </w:rPr>
        <w:lastRenderedPageBreak/>
        <w:t xml:space="preserve">Full Text: </w:t>
      </w:r>
      <w:hyperlink r:id="rId1968" w:history="1">
        <w:r w:rsidRPr="00624F6C">
          <w:rPr>
            <w:rStyle w:val="a5"/>
            <w:kern w:val="0"/>
            <w:szCs w:val="24"/>
          </w:rPr>
          <w:t>2013\Bri J Sur100, 66.pdf</w:t>
        </w:r>
      </w:hyperlink>
    </w:p>
    <w:p w:rsidR="00624F6C" w:rsidRDefault="00624F6C" w:rsidP="00624F6C">
      <w:pPr>
        <w:pStyle w:val="a3"/>
        <w:rPr>
          <w:kern w:val="0"/>
          <w:szCs w:val="24"/>
        </w:rPr>
      </w:pPr>
      <w:r>
        <w:rPr>
          <w:kern w:val="0"/>
          <w:szCs w:val="24"/>
        </w:rPr>
        <w:t>Keywords: Bibliometric, Development, Evaluation, Research, Research Evaluation, Scoring System, Urology</w:t>
      </w:r>
    </w:p>
    <w:p w:rsidR="000A4FB1" w:rsidRDefault="000A4FB1" w:rsidP="000A4FB1">
      <w:pPr>
        <w:pStyle w:val="a3"/>
        <w:rPr>
          <w:kern w:val="0"/>
          <w:szCs w:val="24"/>
        </w:rPr>
      </w:pPr>
      <w:r>
        <w:rPr>
          <w:rFonts w:hint="eastAsia"/>
          <w:kern w:val="0"/>
          <w:szCs w:val="24"/>
        </w:rPr>
        <w:t xml:space="preserve">? </w:t>
      </w:r>
      <w:r>
        <w:rPr>
          <w:kern w:val="0"/>
          <w:szCs w:val="24"/>
        </w:rPr>
        <w:t>Markar, S.R., Karthikesalingam, A., Di Franco, F.</w:t>
      </w:r>
      <w:r w:rsidR="005853A9">
        <w:rPr>
          <w:kern w:val="0"/>
          <w:szCs w:val="24"/>
        </w:rPr>
        <w:t xml:space="preserve"> and </w:t>
      </w:r>
      <w:r>
        <w:rPr>
          <w:kern w:val="0"/>
          <w:szCs w:val="24"/>
        </w:rPr>
        <w:t>Harris, A.M. (2013), Systematic review</w:t>
      </w:r>
      <w:r w:rsidR="005853A9">
        <w:rPr>
          <w:kern w:val="0"/>
          <w:szCs w:val="24"/>
        </w:rPr>
        <w:t xml:space="preserve"> and </w:t>
      </w:r>
      <w:r>
        <w:rPr>
          <w:kern w:val="0"/>
          <w:szCs w:val="24"/>
        </w:rPr>
        <w:t>meta-analysis</w:t>
      </w:r>
      <w:r w:rsidR="00427468">
        <w:rPr>
          <w:kern w:val="0"/>
          <w:szCs w:val="24"/>
        </w:rPr>
        <w:t xml:space="preserve"> of </w:t>
      </w:r>
      <w:r>
        <w:rPr>
          <w:kern w:val="0"/>
          <w:szCs w:val="24"/>
        </w:rPr>
        <w:t xml:space="preserve">single-incision versus conventional multiport appendicectomy. </w:t>
      </w:r>
      <w:r>
        <w:rPr>
          <w:i/>
          <w:iCs/>
          <w:kern w:val="0"/>
          <w:szCs w:val="24"/>
        </w:rPr>
        <w:t>British Journal</w:t>
      </w:r>
      <w:r w:rsidR="00427468">
        <w:rPr>
          <w:i/>
          <w:iCs/>
          <w:kern w:val="0"/>
          <w:szCs w:val="24"/>
        </w:rPr>
        <w:t xml:space="preserve"> of </w:t>
      </w:r>
      <w:r>
        <w:rPr>
          <w:i/>
          <w:iCs/>
          <w:kern w:val="0"/>
          <w:szCs w:val="24"/>
        </w:rPr>
        <w:t>Surgery</w:t>
      </w:r>
      <w:r>
        <w:rPr>
          <w:kern w:val="0"/>
          <w:szCs w:val="24"/>
        </w:rPr>
        <w:t xml:space="preserve">, </w:t>
      </w:r>
      <w:r>
        <w:rPr>
          <w:b/>
          <w:bCs/>
          <w:kern w:val="0"/>
          <w:szCs w:val="24"/>
        </w:rPr>
        <w:t>100</w:t>
      </w:r>
      <w:r>
        <w:rPr>
          <w:kern w:val="0"/>
          <w:szCs w:val="24"/>
        </w:rPr>
        <w:t xml:space="preserve"> (13), 1709-1718.</w:t>
      </w:r>
    </w:p>
    <w:p w:rsidR="000A4FB1" w:rsidRDefault="000A4FB1" w:rsidP="000A4FB1">
      <w:pPr>
        <w:pStyle w:val="a3"/>
        <w:rPr>
          <w:kern w:val="0"/>
          <w:szCs w:val="24"/>
        </w:rPr>
      </w:pPr>
      <w:r>
        <w:rPr>
          <w:rFonts w:hint="eastAsia"/>
          <w:kern w:val="0"/>
          <w:szCs w:val="24"/>
        </w:rPr>
        <w:t xml:space="preserve">Full Text: </w:t>
      </w:r>
      <w:hyperlink r:id="rId1969" w:history="1">
        <w:r w:rsidRPr="00490788">
          <w:rPr>
            <w:rStyle w:val="a5"/>
            <w:kern w:val="0"/>
            <w:szCs w:val="24"/>
          </w:rPr>
          <w:t>2013\Bri J Sur100, 1709.pdf</w:t>
        </w:r>
      </w:hyperlink>
    </w:p>
    <w:p w:rsidR="000A4FB1" w:rsidRDefault="000A4FB1" w:rsidP="000A4FB1">
      <w:pPr>
        <w:pStyle w:val="a3"/>
        <w:rPr>
          <w:kern w:val="0"/>
          <w:szCs w:val="24"/>
        </w:rPr>
      </w:pPr>
      <w:r>
        <w:rPr>
          <w:kern w:val="0"/>
          <w:szCs w:val="24"/>
        </w:rPr>
        <w:t>Abstract: Background: The aim</w:t>
      </w:r>
      <w:r w:rsidR="00427468">
        <w:rPr>
          <w:kern w:val="0"/>
          <w:szCs w:val="24"/>
        </w:rPr>
        <w:t xml:space="preserve"> of </w:t>
      </w:r>
      <w:r>
        <w:rPr>
          <w:kern w:val="0"/>
          <w:szCs w:val="24"/>
        </w:rPr>
        <w:t>this systematic review</w:t>
      </w:r>
      <w:r w:rsidR="005853A9">
        <w:rPr>
          <w:kern w:val="0"/>
          <w:szCs w:val="24"/>
        </w:rPr>
        <w:t xml:space="preserve"> and </w:t>
      </w:r>
      <w:r>
        <w:rPr>
          <w:kern w:val="0"/>
          <w:szCs w:val="24"/>
        </w:rPr>
        <w:t>meta-analysis was to compare clinical outcomes following single-incision laparoscopic appendicectomy (SILA)</w:t>
      </w:r>
      <w:r w:rsidR="005853A9">
        <w:rPr>
          <w:kern w:val="0"/>
          <w:szCs w:val="24"/>
        </w:rPr>
        <w:t xml:space="preserve"> and </w:t>
      </w:r>
      <w:r>
        <w:rPr>
          <w:kern w:val="0"/>
          <w:szCs w:val="24"/>
        </w:rPr>
        <w:t>conventional multiport laparoscopic appendicectomy (CLA) for the treatment</w:t>
      </w:r>
      <w:r w:rsidR="00427468">
        <w:rPr>
          <w:kern w:val="0"/>
          <w:szCs w:val="24"/>
        </w:rPr>
        <w:t xml:space="preserve"> of </w:t>
      </w:r>
      <w:r>
        <w:rPr>
          <w:kern w:val="0"/>
          <w:szCs w:val="24"/>
        </w:rPr>
        <w:t>acute appendicitis. Methods: An electronic search</w:t>
      </w:r>
      <w:r w:rsidR="00427468">
        <w:rPr>
          <w:kern w:val="0"/>
          <w:szCs w:val="24"/>
        </w:rPr>
        <w:t xml:space="preserve"> of </w:t>
      </w:r>
      <w:r w:rsidR="00D5664A">
        <w:rPr>
          <w:kern w:val="0"/>
          <w:szCs w:val="24"/>
        </w:rPr>
        <w:t>MEDLINE</w:t>
      </w:r>
      <w:r>
        <w:rPr>
          <w:kern w:val="0"/>
          <w:szCs w:val="24"/>
        </w:rPr>
        <w:t xml:space="preserve">, Embase, </w:t>
      </w:r>
      <w:r w:rsidR="00D5664A">
        <w:rPr>
          <w:kern w:val="0"/>
          <w:szCs w:val="24"/>
        </w:rPr>
        <w:t>Web</w:t>
      </w:r>
      <w:r w:rsidR="00427468">
        <w:rPr>
          <w:kern w:val="0"/>
          <w:szCs w:val="24"/>
        </w:rPr>
        <w:t xml:space="preserve"> of </w:t>
      </w:r>
      <w:r w:rsidR="00D5664A">
        <w:rPr>
          <w:kern w:val="0"/>
          <w:szCs w:val="24"/>
        </w:rPr>
        <w:t>Science</w:t>
      </w:r>
      <w:r w:rsidR="005853A9">
        <w:rPr>
          <w:kern w:val="0"/>
          <w:szCs w:val="24"/>
        </w:rPr>
        <w:t xml:space="preserve"> and </w:t>
      </w:r>
      <w:r>
        <w:rPr>
          <w:kern w:val="0"/>
          <w:szCs w:val="24"/>
        </w:rPr>
        <w:t>Cochrane Library databases was performed. Publications were included if they were clinical trials randomizing patients with appendicitis to SILA or CLA. Outcome measures evaluated included operating time, length</w:t>
      </w:r>
      <w:r w:rsidR="00427468">
        <w:rPr>
          <w:kern w:val="0"/>
          <w:szCs w:val="24"/>
        </w:rPr>
        <w:t xml:space="preserve"> of </w:t>
      </w:r>
      <w:r>
        <w:rPr>
          <w:kern w:val="0"/>
          <w:szCs w:val="24"/>
        </w:rPr>
        <w:t>hospital stay, total postoperative complications, and, specifically, wound infection, intra-abdominal collection</w:t>
      </w:r>
      <w:r w:rsidR="005853A9">
        <w:rPr>
          <w:kern w:val="0"/>
          <w:szCs w:val="24"/>
        </w:rPr>
        <w:t xml:space="preserve"> and </w:t>
      </w:r>
      <w:r>
        <w:rPr>
          <w:kern w:val="0"/>
          <w:szCs w:val="24"/>
        </w:rPr>
        <w:t>ileus. Weighted mean difference was calculated for the effect size</w:t>
      </w:r>
      <w:r w:rsidR="00427468">
        <w:rPr>
          <w:kern w:val="0"/>
          <w:szCs w:val="24"/>
        </w:rPr>
        <w:t xml:space="preserve"> of </w:t>
      </w:r>
      <w:r>
        <w:rPr>
          <w:kern w:val="0"/>
          <w:szCs w:val="24"/>
        </w:rPr>
        <w:t>SILA on continuous variables,</w:t>
      </w:r>
      <w:r w:rsidR="005853A9">
        <w:rPr>
          <w:kern w:val="0"/>
          <w:szCs w:val="24"/>
        </w:rPr>
        <w:t xml:space="preserve"> and </w:t>
      </w:r>
      <w:r>
        <w:rPr>
          <w:kern w:val="0"/>
          <w:szCs w:val="24"/>
        </w:rPr>
        <w:t>pooled odds ratios were calculated for discrete variables. Results: The literature search identified seven randomized clinical trials that met the inclusion criteria for meta-analysis. In total, 1108 appendicectomies were included, 555 SILA</w:t>
      </w:r>
      <w:r w:rsidR="005853A9">
        <w:rPr>
          <w:kern w:val="0"/>
          <w:szCs w:val="24"/>
        </w:rPr>
        <w:t xml:space="preserve"> and </w:t>
      </w:r>
      <w:r>
        <w:rPr>
          <w:kern w:val="0"/>
          <w:szCs w:val="24"/>
        </w:rPr>
        <w:t>553 CLA procedures</w:t>
      </w:r>
      <w:r w:rsidR="00A37C1D">
        <w:rPr>
          <w:kern w:val="0"/>
          <w:szCs w:val="24"/>
        </w:rPr>
        <w:t>. The</w:t>
      </w:r>
      <w:r>
        <w:rPr>
          <w:kern w:val="0"/>
          <w:szCs w:val="24"/>
        </w:rPr>
        <w:t>re were no significant differences between the groups in the incidence</w:t>
      </w:r>
      <w:r w:rsidR="00427468">
        <w:rPr>
          <w:kern w:val="0"/>
          <w:szCs w:val="24"/>
        </w:rPr>
        <w:t xml:space="preserve"> of </w:t>
      </w:r>
      <w:r>
        <w:rPr>
          <w:kern w:val="0"/>
          <w:szCs w:val="24"/>
        </w:rPr>
        <w:t>total postoperative complications, wound infection, intra-abdominal collection, ileus or length</w:t>
      </w:r>
      <w:r w:rsidR="00427468">
        <w:rPr>
          <w:kern w:val="0"/>
          <w:szCs w:val="24"/>
        </w:rPr>
        <w:t xml:space="preserve"> of </w:t>
      </w:r>
      <w:r>
        <w:rPr>
          <w:kern w:val="0"/>
          <w:szCs w:val="24"/>
        </w:rPr>
        <w:t>hospital stay. However, SILA was associated with a significantly longer operating time compared with CLA (weighted mean difference 6.96 (95 per cent confidence interval 3.79 to 10.12)min; P &lt; 0.001). Insertion</w:t>
      </w:r>
      <w:r w:rsidR="00427468">
        <w:rPr>
          <w:kern w:val="0"/>
          <w:szCs w:val="24"/>
        </w:rPr>
        <w:t xml:space="preserve"> of </w:t>
      </w:r>
      <w:r>
        <w:rPr>
          <w:kern w:val="0"/>
          <w:szCs w:val="24"/>
        </w:rPr>
        <w:t>an additional port was required in 7.6 per cent</w:t>
      </w:r>
      <w:r w:rsidR="00427468">
        <w:rPr>
          <w:kern w:val="0"/>
          <w:szCs w:val="24"/>
        </w:rPr>
        <w:t xml:space="preserve"> of </w:t>
      </w:r>
      <w:r>
        <w:rPr>
          <w:kern w:val="0"/>
          <w:szCs w:val="24"/>
        </w:rPr>
        <w:t>patients undergoing SILA. Conclusion: SILA is a safe procedure for the treatment</w:t>
      </w:r>
      <w:r w:rsidR="00427468">
        <w:rPr>
          <w:kern w:val="0"/>
          <w:szCs w:val="24"/>
        </w:rPr>
        <w:t xml:space="preserve"> of </w:t>
      </w:r>
      <w:r>
        <w:rPr>
          <w:kern w:val="0"/>
          <w:szCs w:val="24"/>
        </w:rPr>
        <w:t>acute appendicitis, with comparable clinical outcome to CLA when undertaken by experienced laparoscopic surgeons.</w:t>
      </w:r>
    </w:p>
    <w:p w:rsidR="000A4FB1" w:rsidRDefault="000A4FB1" w:rsidP="000A4FB1">
      <w:pPr>
        <w:pStyle w:val="a3"/>
        <w:rPr>
          <w:kern w:val="0"/>
          <w:szCs w:val="24"/>
        </w:rPr>
      </w:pPr>
      <w:r>
        <w:rPr>
          <w:kern w:val="0"/>
          <w:szCs w:val="24"/>
        </w:rPr>
        <w:t xml:space="preserve">Keywords: Acute Appendicitis, Appendicitis, Children, Cholecystectomy, Clinical, Clinical Outcomes, Clinical Trials, Collection, Complications, Confidence, Conventional, Criteria, Databases, Effect Size, England, Experience, Gastrointestinal, Groups, Hernia, Hospital, Hospital Stay, Ileus, Incidence, Infection, Interval, Laparoscopic, Length, Literature, Literature Search, Measures, </w:t>
      </w:r>
      <w:r w:rsidR="00D5664A">
        <w:rPr>
          <w:kern w:val="0"/>
          <w:szCs w:val="24"/>
        </w:rPr>
        <w:t>MEDLINE</w:t>
      </w:r>
      <w:r>
        <w:rPr>
          <w:kern w:val="0"/>
          <w:szCs w:val="24"/>
        </w:rPr>
        <w:t xml:space="preserve">, Meta Analysis, Meta-Analysis, Metaanalysis, Methods, Nhs, Outcome, Outcomes, P, Patients, Port, Port Laparoscopic Appendectomy, Postoperative, Postoperative Complications, Procedure, Procedures, Prospective-Randomized-Trial, Publications, Randomized, Results, Review, River, Science, Size, Surgery, Systematic Review, Treatment, Trends, </w:t>
      </w:r>
      <w:r w:rsidR="00D5664A">
        <w:rPr>
          <w:kern w:val="0"/>
          <w:szCs w:val="24"/>
        </w:rPr>
        <w:t>USA</w:t>
      </w:r>
      <w:r>
        <w:rPr>
          <w:kern w:val="0"/>
          <w:szCs w:val="24"/>
        </w:rPr>
        <w:t xml:space="preserve">, </w:t>
      </w:r>
      <w:r w:rsidR="00D5664A">
        <w:rPr>
          <w:kern w:val="0"/>
          <w:szCs w:val="24"/>
        </w:rPr>
        <w:t>Web</w:t>
      </w:r>
      <w:r w:rsidR="00427468">
        <w:rPr>
          <w:kern w:val="0"/>
          <w:szCs w:val="24"/>
        </w:rPr>
        <w:t xml:space="preserve"> of </w:t>
      </w:r>
      <w:r w:rsidR="00D5664A">
        <w:rPr>
          <w:kern w:val="0"/>
          <w:szCs w:val="24"/>
        </w:rPr>
        <w:t>Science</w:t>
      </w:r>
      <w:r>
        <w:rPr>
          <w:kern w:val="0"/>
          <w:szCs w:val="24"/>
        </w:rPr>
        <w:t>, Wound, Wound Infection</w:t>
      </w:r>
    </w:p>
    <w:p w:rsidR="00CC1A82" w:rsidRDefault="00CC1A82" w:rsidP="00CC1A82">
      <w:pPr>
        <w:pStyle w:val="a3"/>
        <w:rPr>
          <w:kern w:val="0"/>
        </w:rPr>
      </w:pPr>
      <w:r>
        <w:rPr>
          <w:rFonts w:hint="eastAsia"/>
          <w:kern w:val="0"/>
        </w:rPr>
        <w:t xml:space="preserve">? </w:t>
      </w:r>
      <w:r>
        <w:rPr>
          <w:kern w:val="0"/>
        </w:rPr>
        <w:t xml:space="preserve">Jiang, L., Yang, K.H., Chen, Y., Guan, Q.L., Zhao, P., Tian, J.H. and Wang, Q. (2014), </w:t>
      </w:r>
      <w:r>
        <w:rPr>
          <w:kern w:val="0"/>
        </w:rPr>
        <w:lastRenderedPageBreak/>
        <w:t xml:space="preserve">Systematic review and meta-analysis of the effectiveness and safety of extended lymphadenectomy in patients with resectable gastric cancer. </w:t>
      </w:r>
      <w:r>
        <w:rPr>
          <w:i/>
          <w:iCs/>
          <w:kern w:val="0"/>
        </w:rPr>
        <w:t>British Journal of Surgery</w:t>
      </w:r>
      <w:r>
        <w:rPr>
          <w:kern w:val="0"/>
        </w:rPr>
        <w:t xml:space="preserve">, </w:t>
      </w:r>
      <w:r>
        <w:rPr>
          <w:b/>
          <w:bCs/>
          <w:kern w:val="0"/>
        </w:rPr>
        <w:t>101</w:t>
      </w:r>
      <w:r>
        <w:rPr>
          <w:kern w:val="0"/>
        </w:rPr>
        <w:t xml:space="preserve"> (6), 595-604.</w:t>
      </w:r>
    </w:p>
    <w:p w:rsidR="00CC1A82" w:rsidRDefault="00CC1A82" w:rsidP="00CC1A82">
      <w:pPr>
        <w:pStyle w:val="a3"/>
        <w:rPr>
          <w:kern w:val="0"/>
          <w:szCs w:val="24"/>
        </w:rPr>
      </w:pPr>
      <w:r>
        <w:rPr>
          <w:rFonts w:hint="eastAsia"/>
          <w:kern w:val="0"/>
          <w:szCs w:val="24"/>
        </w:rPr>
        <w:t xml:space="preserve">Full Text: </w:t>
      </w:r>
      <w:hyperlink r:id="rId1970" w:history="1">
        <w:r w:rsidRPr="00E34B86">
          <w:rPr>
            <w:rStyle w:val="a5"/>
            <w:kern w:val="0"/>
            <w:szCs w:val="24"/>
          </w:rPr>
          <w:t>2014\Bri J Sur101, 595.pdf</w:t>
        </w:r>
      </w:hyperlink>
    </w:p>
    <w:p w:rsidR="00CC1A82" w:rsidRDefault="00CC1A82" w:rsidP="00CC1A82">
      <w:pPr>
        <w:pStyle w:val="a3"/>
        <w:rPr>
          <w:kern w:val="0"/>
        </w:rPr>
      </w:pPr>
      <w:r>
        <w:rPr>
          <w:kern w:val="0"/>
        </w:rPr>
        <w:t>Abstract: Background: The extent of lymphadenectomy in the treatment of gastric cancer has been debated for more than two decades. This meta-analysis sought to evaluate the effectiveness and safety of extended lymphadenectomy in patients with gastric cancer. Methods: A comprehensive search was performed to identify randomized clinical trials (RCTs) comparing the outcomes of D1 and D2 dissection for gastric cancer in PubMed, EMBASE, the Cochrane Library, Science Citation Index, Web of Science and the Chinese Biomedical Literature Database in any language from inception of the database to March 2012. Meta-analyses were performed using Review Manager software. Results: Eight RCTs including a total of 2044 patients (D1, 1042; D2, 1002) were eligible for metaanalysis. Five-year survival and haemorrhage rates were similar in the two groups</w:t>
      </w:r>
      <w:r w:rsidR="00A37C1D">
        <w:rPr>
          <w:kern w:val="0"/>
        </w:rPr>
        <w:t>. The</w:t>
      </w:r>
      <w:r>
        <w:rPr>
          <w:kern w:val="0"/>
        </w:rPr>
        <w:t>re were significant differences in morbidity, anastomotic leakage, pancreatic leakage, reoperation rates, wound infection, pulmonary complications and postoperative mortality, all of which favoured D1 dissection. Subgroup analysis indicated a trend towards lower gastric cancer-related mortality in patients undergoing D2 dissection who did not also have resection of the spleen or pancreas. Conclusion: D2 dissection was ssociated with a significantly higher postoperative risk. A trend towards lower gastric cancer-related mortality was found following D2 dissection that did not include resection of the spleen or pancreas, but further long-term survival data are needed to determine whether there is a specific survival benefit after D2 dissection.</w:t>
      </w:r>
    </w:p>
    <w:p w:rsidR="00CC1A82" w:rsidRDefault="00CC1A82" w:rsidP="00CC1A82">
      <w:pPr>
        <w:pStyle w:val="a3"/>
        <w:rPr>
          <w:kern w:val="0"/>
        </w:rPr>
      </w:pPr>
      <w:r>
        <w:rPr>
          <w:kern w:val="0"/>
        </w:rPr>
        <w:t>Keywords: Analysis, Anastomotic Leakage, Biomedical, Cancer, Carcinoma, Chinese, Citation, Clinical, Clinical Trials, Complications, D-2 Resections, D1, D2 Lymphadenectomy, Data, Database, Dissection, Effectiveness, Embase, Gastrectomy, Gastric, Gastric Cancer, Groups, Haemorrhage, Infection, Language, Literature, Long Term, Long-Term, Lymph-Node Dissection, Meta Analysis, Meta-Analyses, Meta-Analysis, Metaanalysis, Methods, Morbidity, Mortality, Outcomes, Pancreas, Patients, Postoperative, Pubmed, Randomized, Randomized Clinical-Trial, Rates, Reoperation, Results, Review, Risk, Safety, Science, Science Citation Index, Software, Surgical Trial, Survival, Systematic Review, Treatment, Trend, Web Of Science, Wound, Wound Infection</w:t>
      </w:r>
    </w:p>
    <w:p w:rsidR="006B382D" w:rsidRDefault="006B382D" w:rsidP="006B382D">
      <w:pPr>
        <w:pStyle w:val="a3"/>
        <w:rPr>
          <w:kern w:val="0"/>
        </w:rPr>
      </w:pPr>
      <w:r>
        <w:rPr>
          <w:rFonts w:hint="eastAsia"/>
          <w:kern w:val="0"/>
        </w:rPr>
        <w:t xml:space="preserve">? </w:t>
      </w:r>
      <w:r>
        <w:rPr>
          <w:kern w:val="0"/>
        </w:rPr>
        <w:t xml:space="preserve">Pucher, P.H., Aggarwal, R., Qurashi, M. and Darzi, A. (2014), Meta-analysis of the effect of postoperative in-hospital morbidity on long-term patient survival. </w:t>
      </w:r>
      <w:r>
        <w:rPr>
          <w:i/>
          <w:iCs/>
          <w:kern w:val="0"/>
        </w:rPr>
        <w:t>British Journal of Surgery</w:t>
      </w:r>
      <w:r>
        <w:rPr>
          <w:kern w:val="0"/>
        </w:rPr>
        <w:t xml:space="preserve">, </w:t>
      </w:r>
      <w:r>
        <w:rPr>
          <w:b/>
          <w:bCs/>
          <w:kern w:val="0"/>
        </w:rPr>
        <w:t>101</w:t>
      </w:r>
      <w:r>
        <w:rPr>
          <w:kern w:val="0"/>
        </w:rPr>
        <w:t xml:space="preserve"> (12), 1499-1508.</w:t>
      </w:r>
    </w:p>
    <w:p w:rsidR="006B382D" w:rsidRDefault="006B382D" w:rsidP="006B382D">
      <w:pPr>
        <w:pStyle w:val="a3"/>
        <w:rPr>
          <w:kern w:val="0"/>
          <w:szCs w:val="24"/>
        </w:rPr>
      </w:pPr>
      <w:r>
        <w:rPr>
          <w:rFonts w:hint="eastAsia"/>
          <w:kern w:val="0"/>
          <w:szCs w:val="24"/>
        </w:rPr>
        <w:t xml:space="preserve">Full Text: </w:t>
      </w:r>
      <w:hyperlink r:id="rId1971" w:history="1">
        <w:r w:rsidRPr="008850DD">
          <w:rPr>
            <w:rStyle w:val="a5"/>
            <w:kern w:val="0"/>
            <w:szCs w:val="24"/>
          </w:rPr>
          <w:t>2014\Bri J Sur101, 1499.pdf</w:t>
        </w:r>
      </w:hyperlink>
    </w:p>
    <w:p w:rsidR="006B382D" w:rsidRDefault="006B382D" w:rsidP="006B382D">
      <w:pPr>
        <w:pStyle w:val="a3"/>
        <w:rPr>
          <w:kern w:val="0"/>
        </w:rPr>
      </w:pPr>
      <w:r>
        <w:rPr>
          <w:kern w:val="0"/>
        </w:rPr>
        <w:t xml:space="preserve">Abstract: Background: Major surgery is associated with high rates of postoperative </w:t>
      </w:r>
      <w:r>
        <w:rPr>
          <w:kern w:val="0"/>
        </w:rPr>
        <w:lastRenderedPageBreak/>
        <w:t>complications, many of which are deemed preventable. It has been suggested that these complications not only present a risk to patients in the short term, but may also reduce long-term survival. The aim of this review was to examine the effects of postoperative complications on long-term survival. Methods: MEDLINE, Web of Science and reference lists of relevant articles were searched up to July 2013. Studies assessing only procedure-specific, or technical failure-related, complications were excluded, as were studies of poor methodological quality. Meta-analysis was performed using a random-effects model. Risk of bias was assessed using funnel plots. Results: Eighteen eligible studies were included, comprising results for 134 785 patients with an overall complication rate of 22.6 (range 10.6-69) per cent. The studies included operations for both benign and malignant disease. Median follow-up was 43 (range 28-96) months. Meta-analysis demonstrated reduced overall survival after any postoperative complication for ten studies with eligible data (20 755 patients), with a hazard ratio (HR) of 1.28 (95 per cent confidence interval 1.21 to 1.34). Similar results were found for overall survival following infectious complications: HR 1.92 (1.50 to 2.35). In analyses of disease-free survival the HR was 1.26 (1.10 to 1.42) for all postoperative complications and 1.55 (1.12 to 1.99) for infectious complications. Inclusion of poor-quality studies in a sensitivity analysis had no effect on the results. Conclusion: Postoperative complications have a negative effect on long-term survival. This relationship appears to be stronger for infectious complications.</w:t>
      </w:r>
    </w:p>
    <w:p w:rsidR="006B382D" w:rsidRDefault="006B382D" w:rsidP="006B382D">
      <w:pPr>
        <w:pStyle w:val="a3"/>
        <w:rPr>
          <w:kern w:val="0"/>
        </w:rPr>
      </w:pPr>
      <w:r>
        <w:rPr>
          <w:kern w:val="0"/>
        </w:rPr>
        <w:t>Keywords: Analyses, Analysis, Anastomotic Leakage, Articles, Assessing, Bias, Colorectal Liver Metastasis, Complication, Complications, Confidence, Curative Resection, Data, Disease, Effects, Follow-Up, Hazard, Hazard Ratio, Hepatic Resection, Impact, Infectious Complications, Interval, Long Term, Long-Term, Median, Medline, Meta Analysis, Meta-Analysis, Metaanalysis, Methods, Model, Morbidity, Nov, Patients, Perioperative Morbidity, Postoperative, Postoperative Complication, Postoperative Complications, Pulmonary Complications, Quality, Random Effects Model, Rates, Rectal-Cancer, Reference, Reference Lists, Results, Review, Risk, Risk Of Bias, Science, Sensitivity, Sensitivity Analysis, Surgery, Surgical Complications, Survival, Term, Web Of Science</w:t>
      </w:r>
    </w:p>
    <w:p w:rsidR="00F9536B" w:rsidRDefault="00F9536B" w:rsidP="00F9536B">
      <w:pPr>
        <w:pStyle w:val="a3"/>
        <w:rPr>
          <w:kern w:val="0"/>
        </w:rPr>
      </w:pPr>
      <w:r>
        <w:rPr>
          <w:rFonts w:hint="eastAsia"/>
          <w:kern w:val="0"/>
        </w:rPr>
        <w:t xml:space="preserve">? </w:t>
      </w:r>
      <w:r>
        <w:rPr>
          <w:kern w:val="0"/>
        </w:rPr>
        <w:t xml:space="preserve">Geubbels, N., Lijftogt, N., Fiocco, M., van Leersum, N.J., Wouters, M.W.J.M. and de Brauw, L.M. (2015), Meta-analysis of internal herniation after gastric bypass surgery. </w:t>
      </w:r>
      <w:r>
        <w:rPr>
          <w:i/>
          <w:iCs/>
          <w:kern w:val="0"/>
        </w:rPr>
        <w:t>British Journal of Surgery</w:t>
      </w:r>
      <w:r>
        <w:rPr>
          <w:kern w:val="0"/>
        </w:rPr>
        <w:t xml:space="preserve">, </w:t>
      </w:r>
      <w:r>
        <w:rPr>
          <w:b/>
          <w:bCs/>
          <w:kern w:val="0"/>
        </w:rPr>
        <w:t>102</w:t>
      </w:r>
      <w:r>
        <w:rPr>
          <w:kern w:val="0"/>
        </w:rPr>
        <w:t xml:space="preserve"> (5), 451-</w:t>
      </w:r>
      <w:r>
        <w:rPr>
          <w:rFonts w:hint="eastAsia"/>
          <w:kern w:val="0"/>
        </w:rPr>
        <w:t>460</w:t>
      </w:r>
      <w:r>
        <w:rPr>
          <w:kern w:val="0"/>
        </w:rPr>
        <w:t>.</w:t>
      </w:r>
    </w:p>
    <w:p w:rsidR="00F9536B" w:rsidRDefault="00F9536B" w:rsidP="00F9536B">
      <w:pPr>
        <w:pStyle w:val="a3"/>
        <w:rPr>
          <w:kern w:val="0"/>
          <w:szCs w:val="24"/>
        </w:rPr>
      </w:pPr>
      <w:r>
        <w:rPr>
          <w:rFonts w:hint="eastAsia"/>
          <w:kern w:val="0"/>
          <w:szCs w:val="24"/>
        </w:rPr>
        <w:t xml:space="preserve">Full Text: </w:t>
      </w:r>
      <w:hyperlink r:id="rId1972" w:history="1">
        <w:r w:rsidRPr="00F9536B">
          <w:rPr>
            <w:rStyle w:val="a5"/>
            <w:kern w:val="0"/>
            <w:szCs w:val="24"/>
          </w:rPr>
          <w:t>2015\Bri J Sur102, 451.pdf</w:t>
        </w:r>
      </w:hyperlink>
    </w:p>
    <w:p w:rsidR="00F9536B" w:rsidRDefault="00F9536B" w:rsidP="00F9536B">
      <w:pPr>
        <w:pStyle w:val="a3"/>
        <w:rPr>
          <w:kern w:val="0"/>
        </w:rPr>
      </w:pPr>
      <w:r>
        <w:rPr>
          <w:kern w:val="0"/>
        </w:rPr>
        <w:t xml:space="preserve">Abstract: Background: The aim of this study was to provide a systematic and quantitative summary of the association between laparoscopic Roux-en-Y gastric bypass (LRYGB) and the reported incidence of internal herniation (IH). The route of the Roux limb and closure of mesenteric and/or mesocolonic defects are described as </w:t>
      </w:r>
      <w:r>
        <w:rPr>
          <w:kern w:val="0"/>
        </w:rPr>
        <w:lastRenderedPageBreak/>
        <w:t>factors of influence. Methods: MEDLINE, Embase, the Cochrane Library and Web of Science were searched for relevant literature, references and citations according to the PRISMA statement. Two independent reviewers selected studies that evaluated incidence of IHafter LRYGB and possible techniques for prevention. Data were pooled by route of the Roux limb and closure/non-closure of the mesenteric and/or mesocolonic defects. Results: Forty-five articles included data on 31 320 patients. Lowest IH incidence was in the antecolic group, with closure of all defects (1 per cent; P &lt; 0.001), followed by the antecolic group, with all defects left open and the retrocolic group with closure of the mesenteric and mesocolonic defect (both 2 per cent; P &lt; 0.001). The incidence of IH was highest in the antecolic group, with closure of the jejunal defect, and in the retrocolic group, with closure of all defects (both 3 per cent). Conclusion: The present systematic review includes a random-effects meta-analysis. The antecolic procedure, with closure of both the mesenteric and Petersen defects, has the lowest internal herniation incidence following laparoscopic Roux-en-Y gastric bypass.</w:t>
      </w:r>
    </w:p>
    <w:p w:rsidR="00F9536B" w:rsidRDefault="00F9536B" w:rsidP="00F9536B">
      <w:pPr>
        <w:pStyle w:val="a3"/>
        <w:rPr>
          <w:kern w:val="0"/>
        </w:rPr>
      </w:pPr>
      <w:r>
        <w:rPr>
          <w:kern w:val="0"/>
        </w:rPr>
        <w:t>Keywords: Articles, Association, Bariatric Surgery, Citations, Closure, Complications, Data, Factors, Gastric, Gastric Bypass, Incidence, Influence, Laparoscopic, Library, Limb, Literature, Medline, Mesenteric Defect, Meta Analysis, Meta-Analysis, Metaanalysis, Methods, Morbid-Obesity, Open, Outcomes, P, Patients, Prevention, Procedure, References, Results, Review, Reviewers, Route, Roux-En-Y, Roux-En-Y Gastric Bypass, Science, Small-Bowel Obstruction, Surgery, Systematic, Systematic Review, Techniques, Trial, Web, Web Of Science</w:t>
      </w:r>
    </w:p>
    <w:p w:rsidR="00255950" w:rsidRPr="00FC7835" w:rsidRDefault="00255950" w:rsidP="00255950">
      <w:pPr>
        <w:pStyle w:val="1"/>
      </w:pPr>
      <w:r w:rsidRPr="00FC7835">
        <w:rPr>
          <w:b w:val="0"/>
        </w:rPr>
        <w:br w:type="page"/>
      </w:r>
      <w:bookmarkStart w:id="952" w:name="_Toc420814839"/>
      <w:r w:rsidRPr="00FC7835">
        <w:lastRenderedPageBreak/>
        <w:t>Title: British Medical Bulletin</w:t>
      </w:r>
      <w:bookmarkEnd w:id="952"/>
    </w:p>
    <w:p w:rsidR="00255950" w:rsidRPr="00FC7835" w:rsidRDefault="00255950" w:rsidP="00255950">
      <w:pPr>
        <w:pStyle w:val="12"/>
      </w:pPr>
      <w:r w:rsidRPr="00FC7835">
        <w:t>Full Journal T</w:t>
      </w:r>
      <w:bookmarkStart w:id="953" w:name="_Toc302559561"/>
      <w:r w:rsidRPr="00FC7835">
        <w:t>itle: British Medical Bulletin</w:t>
      </w:r>
    </w:p>
    <w:bookmarkEnd w:id="953"/>
    <w:p w:rsidR="00255950" w:rsidRPr="00FC7835" w:rsidRDefault="00255950" w:rsidP="00255950">
      <w:pPr>
        <w:pStyle w:val="12"/>
      </w:pPr>
      <w:r w:rsidRPr="00FC7835">
        <w:t>ISO Abbreviated Title: Br. Med. Bull.</w:t>
      </w:r>
    </w:p>
    <w:p w:rsidR="00255950" w:rsidRPr="00FC7835" w:rsidRDefault="00255950" w:rsidP="00255950">
      <w:pPr>
        <w:pStyle w:val="12"/>
      </w:pPr>
      <w:r w:rsidRPr="00FC7835">
        <w:t>JCR Abbreviated Title: Brit Med Bull</w:t>
      </w:r>
    </w:p>
    <w:p w:rsidR="00255950" w:rsidRPr="00FC7835" w:rsidRDefault="00255950" w:rsidP="00255950">
      <w:pPr>
        <w:pStyle w:val="12"/>
      </w:pPr>
      <w:r w:rsidRPr="00FC7835">
        <w:t>ISSN: 0007-1420</w:t>
      </w:r>
    </w:p>
    <w:p w:rsidR="00255950" w:rsidRPr="00FC7835" w:rsidRDefault="00255950" w:rsidP="00255950">
      <w:pPr>
        <w:pStyle w:val="12"/>
      </w:pPr>
      <w:r w:rsidRPr="00FC7835">
        <w:t>Issues/Year: 4</w:t>
      </w:r>
    </w:p>
    <w:p w:rsidR="00255950" w:rsidRPr="00FC7835" w:rsidRDefault="00255950" w:rsidP="00255950">
      <w:pPr>
        <w:pStyle w:val="12"/>
      </w:pPr>
      <w:r w:rsidRPr="00FC7835">
        <w:t xml:space="preserve">Journal Country/Territory: </w:t>
      </w:r>
      <w:smartTag w:uri="urn:schemas-microsoft-com:office:smarttags" w:element="place">
        <w:smartTag w:uri="urn:schemas-microsoft-com:office:smarttags" w:element="country-region">
          <w:r w:rsidRPr="00FC7835">
            <w:t>England</w:t>
          </w:r>
        </w:smartTag>
      </w:smartTag>
    </w:p>
    <w:p w:rsidR="00255950" w:rsidRPr="00FC7835" w:rsidRDefault="00255950" w:rsidP="00255950">
      <w:pPr>
        <w:pStyle w:val="12"/>
      </w:pPr>
      <w:r w:rsidRPr="00FC7835">
        <w:t>Language: English</w:t>
      </w:r>
    </w:p>
    <w:p w:rsidR="00255950" w:rsidRPr="00FC7835" w:rsidRDefault="00255950" w:rsidP="00255950">
      <w:pPr>
        <w:pStyle w:val="12"/>
      </w:pPr>
      <w:r w:rsidRPr="00FC7835">
        <w:t>Publisher: Royal Soc Medicine Press Ltd</w:t>
      </w:r>
    </w:p>
    <w:p w:rsidR="00255950" w:rsidRPr="00FC7835" w:rsidRDefault="00255950" w:rsidP="00255950">
      <w:pPr>
        <w:pStyle w:val="12"/>
      </w:pPr>
      <w:r w:rsidRPr="00FC7835">
        <w:t>Publisher Address: 1 Wimpole Street</w:t>
      </w:r>
      <w:r>
        <w:t xml:space="preserve">, </w:t>
      </w:r>
      <w:r w:rsidRPr="00FC7835">
        <w:t>London W</w:t>
      </w:r>
      <w:smartTag w:uri="urn:schemas-microsoft-com:office:smarttags" w:element="chmetcnv">
        <w:smartTagPr>
          <w:attr w:name="TCSC" w:val="0"/>
          <w:attr w:name="NumberType" w:val="1"/>
          <w:attr w:name="Negative" w:val="False"/>
          <w:attr w:name="HasSpace" w:val="False"/>
          <w:attr w:name="SourceValue" w:val="1"/>
          <w:attr w:name="UnitName" w:val="m"/>
        </w:smartTagPr>
        <w:r w:rsidRPr="00FC7835">
          <w:t>1M</w:t>
        </w:r>
      </w:smartTag>
      <w:r w:rsidRPr="00FC7835">
        <w:t xml:space="preserve"> 8AE</w:t>
      </w:r>
      <w:r>
        <w:t xml:space="preserve">, </w:t>
      </w:r>
      <w:r w:rsidRPr="00FC7835">
        <w:t>England</w:t>
      </w:r>
    </w:p>
    <w:p w:rsidR="00255950" w:rsidRPr="00FC7835" w:rsidRDefault="00255950" w:rsidP="00255950">
      <w:pPr>
        <w:pStyle w:val="12"/>
      </w:pPr>
      <w:r w:rsidRPr="00FC7835">
        <w:t xml:space="preserve">Subject Categories: </w:t>
      </w:r>
    </w:p>
    <w:p w:rsidR="00255950" w:rsidRPr="00FC7835" w:rsidRDefault="00255950" w:rsidP="00255950">
      <w:pPr>
        <w:pStyle w:val="12"/>
      </w:pPr>
      <w:r w:rsidRPr="00FC7835">
        <w:t>Medicine</w:t>
      </w:r>
      <w:r>
        <w:t xml:space="preserve">, </w:t>
      </w:r>
      <w:r w:rsidRPr="00FC7835">
        <w:t xml:space="preserve">General &amp; Internal: Impact Factor </w:t>
      </w:r>
    </w:p>
    <w:p w:rsidR="00255950" w:rsidRDefault="00255950" w:rsidP="00255950">
      <w:pPr>
        <w:pStyle w:val="a3"/>
        <w:rPr>
          <w:kern w:val="0"/>
        </w:rPr>
      </w:pPr>
      <w:r>
        <w:rPr>
          <w:rFonts w:hint="eastAsia"/>
          <w:kern w:val="0"/>
        </w:rPr>
        <w:t xml:space="preserve">? </w:t>
      </w:r>
      <w:r>
        <w:rPr>
          <w:kern w:val="0"/>
        </w:rPr>
        <w:t>Pollock, E., Klotsas, A.E., Compston, J.</w:t>
      </w:r>
      <w:r w:rsidR="005853A9">
        <w:rPr>
          <w:kern w:val="0"/>
        </w:rPr>
        <w:t xml:space="preserve"> and </w:t>
      </w:r>
      <w:r>
        <w:rPr>
          <w:kern w:val="0"/>
        </w:rPr>
        <w:t xml:space="preserve">Gkrania-Klotsas, E. (2009), Bone health in HIV infection. </w:t>
      </w:r>
      <w:r>
        <w:rPr>
          <w:i/>
          <w:iCs/>
          <w:kern w:val="0"/>
        </w:rPr>
        <w:t>British Medical Bulletin</w:t>
      </w:r>
      <w:r>
        <w:rPr>
          <w:kern w:val="0"/>
        </w:rPr>
        <w:t xml:space="preserve">, </w:t>
      </w:r>
      <w:r>
        <w:rPr>
          <w:b/>
          <w:bCs/>
          <w:kern w:val="0"/>
        </w:rPr>
        <w:t>92</w:t>
      </w:r>
      <w:r>
        <w:rPr>
          <w:kern w:val="0"/>
        </w:rPr>
        <w:t xml:space="preserve"> (1), 123-133.</w:t>
      </w:r>
    </w:p>
    <w:p w:rsidR="0067639B" w:rsidRDefault="0067639B" w:rsidP="0067639B">
      <w:pPr>
        <w:pStyle w:val="a3"/>
      </w:pPr>
      <w:r>
        <w:t>Full Text:</w:t>
      </w:r>
      <w:r w:rsidRPr="00FC7835">
        <w:t xml:space="preserve"> </w:t>
      </w:r>
      <w:hyperlink r:id="rId1973" w:history="1">
        <w:r w:rsidRPr="00F21AC9">
          <w:rPr>
            <w:rStyle w:val="a5"/>
          </w:rPr>
          <w:t>2009\Bri Med Bul92, 123.pdf</w:t>
        </w:r>
      </w:hyperlink>
    </w:p>
    <w:p w:rsidR="00255950" w:rsidRDefault="00255950" w:rsidP="00255950">
      <w:pPr>
        <w:pStyle w:val="a3"/>
        <w:rPr>
          <w:kern w:val="0"/>
        </w:rPr>
      </w:pPr>
      <w:r>
        <w:rPr>
          <w:kern w:val="0"/>
        </w:rPr>
        <w:t>Abstract: Osteoporosis is among</w:t>
      </w:r>
      <w:r w:rsidR="003A1917">
        <w:rPr>
          <w:kern w:val="0"/>
        </w:rPr>
        <w:t xml:space="preserve"> the </w:t>
      </w:r>
      <w:r>
        <w:rPr>
          <w:kern w:val="0"/>
        </w:rPr>
        <w:t>chronic problems emerging as</w:t>
      </w:r>
      <w:r w:rsidR="003A1917">
        <w:rPr>
          <w:kern w:val="0"/>
        </w:rPr>
        <w:t xml:space="preserve"> the </w:t>
      </w:r>
      <w:r>
        <w:rPr>
          <w:kern w:val="0"/>
        </w:rPr>
        <w:t>human immunodeficiency virus (HIV)-positive population ages. We reviewed</w:t>
      </w:r>
      <w:r w:rsidR="003A1917">
        <w:rPr>
          <w:kern w:val="0"/>
        </w:rPr>
        <w:t xml:space="preserve"> the </w:t>
      </w:r>
      <w:r>
        <w:rPr>
          <w:kern w:val="0"/>
        </w:rPr>
        <w:t xml:space="preserve">English language bibliography using </w:t>
      </w:r>
      <w:r w:rsidR="002C12F0">
        <w:rPr>
          <w:kern w:val="0"/>
        </w:rPr>
        <w:t>PUBMED</w:t>
      </w:r>
      <w:r>
        <w:rPr>
          <w:kern w:val="0"/>
        </w:rPr>
        <w:t xml:space="preserve"> 2.0, </w:t>
      </w:r>
      <w:r w:rsidR="00D5664A">
        <w:rPr>
          <w:kern w:val="0"/>
        </w:rPr>
        <w:t>Web</w:t>
      </w:r>
      <w:r w:rsidR="00427468">
        <w:rPr>
          <w:kern w:val="0"/>
        </w:rPr>
        <w:t xml:space="preserve"> of </w:t>
      </w:r>
      <w:r w:rsidR="00D5664A">
        <w:rPr>
          <w:kern w:val="0"/>
        </w:rPr>
        <w:t>Science</w:t>
      </w:r>
      <w:r w:rsidR="005853A9">
        <w:rPr>
          <w:kern w:val="0"/>
        </w:rPr>
        <w:t xml:space="preserve"> and </w:t>
      </w:r>
      <w:r>
        <w:rPr>
          <w:kern w:val="0"/>
        </w:rPr>
        <w:t>EMBASE for relevant abstracts</w:t>
      </w:r>
      <w:r w:rsidR="005853A9">
        <w:rPr>
          <w:kern w:val="0"/>
        </w:rPr>
        <w:t xml:space="preserve"> and </w:t>
      </w:r>
      <w:r>
        <w:rPr>
          <w:kern w:val="0"/>
        </w:rPr>
        <w:t>articles</w:t>
      </w:r>
      <w:r w:rsidR="00A37C1D">
        <w:rPr>
          <w:kern w:val="0"/>
        </w:rPr>
        <w:t>. The</w:t>
      </w:r>
      <w:r w:rsidR="003A1917">
        <w:rPr>
          <w:kern w:val="0"/>
        </w:rPr>
        <w:t xml:space="preserve"> </w:t>
      </w:r>
      <w:r>
        <w:rPr>
          <w:kern w:val="0"/>
        </w:rPr>
        <w:t>prevalence</w:t>
      </w:r>
      <w:r w:rsidR="00427468">
        <w:rPr>
          <w:kern w:val="0"/>
        </w:rPr>
        <w:t xml:space="preserve"> of </w:t>
      </w:r>
      <w:r>
        <w:rPr>
          <w:kern w:val="0"/>
        </w:rPr>
        <w:t>low bone mineral density (BMD)</w:t>
      </w:r>
      <w:r w:rsidR="005853A9">
        <w:rPr>
          <w:kern w:val="0"/>
        </w:rPr>
        <w:t xml:space="preserve"> and </w:t>
      </w:r>
      <w:r>
        <w:rPr>
          <w:kern w:val="0"/>
        </w:rPr>
        <w:t>fracture is increased in</w:t>
      </w:r>
      <w:r w:rsidR="003A1917">
        <w:rPr>
          <w:kern w:val="0"/>
        </w:rPr>
        <w:t xml:space="preserve"> the </w:t>
      </w:r>
      <w:r>
        <w:rPr>
          <w:kern w:val="0"/>
        </w:rPr>
        <w:t>HIV-positive population</w:t>
      </w:r>
      <w:r w:rsidR="00A37C1D">
        <w:rPr>
          <w:kern w:val="0"/>
        </w:rPr>
        <w:t>. The</w:t>
      </w:r>
      <w:r w:rsidR="003A1917">
        <w:rPr>
          <w:kern w:val="0"/>
        </w:rPr>
        <w:t xml:space="preserve"> </w:t>
      </w:r>
      <w:r>
        <w:rPr>
          <w:kern w:val="0"/>
        </w:rPr>
        <w:t>pathogenesis is multifactorial; there is some evidence that HIV infection is an independent risk factor</w:t>
      </w:r>
      <w:r w:rsidR="005853A9">
        <w:rPr>
          <w:kern w:val="0"/>
        </w:rPr>
        <w:t xml:space="preserve"> and </w:t>
      </w:r>
      <w:r>
        <w:rPr>
          <w:kern w:val="0"/>
        </w:rPr>
        <w:t>that highly active antiretroviral therapy has adverse skeletal effects. Physicians should routinely review</w:t>
      </w:r>
      <w:r w:rsidR="003A1917">
        <w:rPr>
          <w:kern w:val="0"/>
        </w:rPr>
        <w:t xml:space="preserve"> the </w:t>
      </w:r>
      <w:r>
        <w:rPr>
          <w:kern w:val="0"/>
        </w:rPr>
        <w:t>bone health</w:t>
      </w:r>
      <w:r w:rsidR="00427468">
        <w:rPr>
          <w:kern w:val="0"/>
        </w:rPr>
        <w:t xml:space="preserve"> of </w:t>
      </w:r>
      <w:r>
        <w:rPr>
          <w:kern w:val="0"/>
        </w:rPr>
        <w:t>all HIV patients. More studies</w:t>
      </w:r>
      <w:r w:rsidR="00427468">
        <w:rPr>
          <w:kern w:val="0"/>
        </w:rPr>
        <w:t xml:space="preserve"> of </w:t>
      </w:r>
      <w:r w:rsidR="003A1917">
        <w:rPr>
          <w:kern w:val="0"/>
        </w:rPr>
        <w:t xml:space="preserve">the </w:t>
      </w:r>
      <w:r>
        <w:rPr>
          <w:kern w:val="0"/>
        </w:rPr>
        <w:t>mechanisms</w:t>
      </w:r>
      <w:r w:rsidR="00427468">
        <w:rPr>
          <w:kern w:val="0"/>
        </w:rPr>
        <w:t xml:space="preserve"> of </w:t>
      </w:r>
      <w:r>
        <w:rPr>
          <w:kern w:val="0"/>
        </w:rPr>
        <w:t>bone loss,</w:t>
      </w:r>
      <w:r w:rsidR="003A1917">
        <w:rPr>
          <w:kern w:val="0"/>
        </w:rPr>
        <w:t xml:space="preserve"> the </w:t>
      </w:r>
      <w:r>
        <w:rPr>
          <w:kern w:val="0"/>
        </w:rPr>
        <w:t>skeletal effects</w:t>
      </w:r>
      <w:r w:rsidR="00427468">
        <w:rPr>
          <w:kern w:val="0"/>
        </w:rPr>
        <w:t xml:space="preserve"> of </w:t>
      </w:r>
      <w:r>
        <w:rPr>
          <w:kern w:val="0"/>
        </w:rPr>
        <w:t>antiretroviral therapy</w:t>
      </w:r>
      <w:r w:rsidR="005853A9">
        <w:rPr>
          <w:kern w:val="0"/>
        </w:rPr>
        <w:t xml:space="preserve"> and </w:t>
      </w:r>
      <w:r w:rsidR="003A1917">
        <w:rPr>
          <w:kern w:val="0"/>
        </w:rPr>
        <w:t xml:space="preserve">the </w:t>
      </w:r>
      <w:r>
        <w:rPr>
          <w:kern w:val="0"/>
        </w:rPr>
        <w:t>therapeutic outcome</w:t>
      </w:r>
      <w:r w:rsidR="00427468">
        <w:rPr>
          <w:kern w:val="0"/>
        </w:rPr>
        <w:t xml:space="preserve"> of </w:t>
      </w:r>
      <w:r>
        <w:rPr>
          <w:kern w:val="0"/>
        </w:rPr>
        <w:t>bone-protective therapy in HIV-positive individuals are needed.</w:t>
      </w:r>
    </w:p>
    <w:p w:rsidR="00255950" w:rsidRDefault="00255950" w:rsidP="00255950">
      <w:pPr>
        <w:pStyle w:val="a3"/>
        <w:rPr>
          <w:kern w:val="0"/>
        </w:rPr>
      </w:pPr>
      <w:r>
        <w:rPr>
          <w:kern w:val="0"/>
        </w:rPr>
        <w:t xml:space="preserve">Keywords: Active Antiretroviral Therapy, Aids, Antiretroviral, Antiretroviral Therapy, Bibliography, Bisphosphonates, Bone, Bone Loss, Bone Mineral Density, Fracture, </w:t>
      </w:r>
      <w:r w:rsidR="0067639B">
        <w:rPr>
          <w:kern w:val="0"/>
        </w:rPr>
        <w:t>HIV</w:t>
      </w:r>
      <w:r>
        <w:rPr>
          <w:kern w:val="0"/>
        </w:rPr>
        <w:t xml:space="preserve">, </w:t>
      </w:r>
      <w:r w:rsidR="0067639B">
        <w:rPr>
          <w:kern w:val="0"/>
        </w:rPr>
        <w:t>HIV</w:t>
      </w:r>
      <w:r>
        <w:rPr>
          <w:kern w:val="0"/>
        </w:rPr>
        <w:t xml:space="preserve">-1-Infected Patients, Human, Infection, Men, Mineral Density, Osteopenia, Osteoporosis, Osteoporosis, Outcome, Pathogenesis, Prevalence, Protease Inhibitors, Randomized Controlled-Trial, Review, Risk, Science, Tenofovir Df, Therapy, Vitamin D, Vitamin-D Deficiency, </w:t>
      </w:r>
      <w:r w:rsidR="00D5664A">
        <w:rPr>
          <w:kern w:val="0"/>
        </w:rPr>
        <w:t>Web</w:t>
      </w:r>
      <w:r w:rsidR="00427468">
        <w:rPr>
          <w:kern w:val="0"/>
        </w:rPr>
        <w:t xml:space="preserve"> of </w:t>
      </w:r>
      <w:r w:rsidR="00D5664A">
        <w:rPr>
          <w:kern w:val="0"/>
        </w:rPr>
        <w:t>Science</w:t>
      </w:r>
    </w:p>
    <w:p w:rsidR="00255950" w:rsidRDefault="00255950" w:rsidP="00255950">
      <w:pPr>
        <w:pStyle w:val="a3"/>
        <w:rPr>
          <w:kern w:val="0"/>
        </w:rPr>
      </w:pPr>
      <w:r>
        <w:rPr>
          <w:rFonts w:hint="eastAsia"/>
          <w:kern w:val="0"/>
        </w:rPr>
        <w:t xml:space="preserve">? </w:t>
      </w:r>
      <w:r>
        <w:rPr>
          <w:kern w:val="0"/>
        </w:rPr>
        <w:t>McNamara, E., Hudson, Z.</w:t>
      </w:r>
      <w:r w:rsidR="005853A9">
        <w:rPr>
          <w:kern w:val="0"/>
        </w:rPr>
        <w:t xml:space="preserve"> and </w:t>
      </w:r>
      <w:r>
        <w:rPr>
          <w:kern w:val="0"/>
        </w:rPr>
        <w:t>Taylor, S.J.C. (2010), Measuring activity levels</w:t>
      </w:r>
      <w:r w:rsidR="00427468">
        <w:rPr>
          <w:kern w:val="0"/>
        </w:rPr>
        <w:t xml:space="preserve"> of </w:t>
      </w:r>
      <w:r>
        <w:rPr>
          <w:kern w:val="0"/>
        </w:rPr>
        <w:t>young people:</w:t>
      </w:r>
      <w:r w:rsidR="003A1917">
        <w:rPr>
          <w:kern w:val="0"/>
        </w:rPr>
        <w:t xml:space="preserve"> the </w:t>
      </w:r>
      <w:r>
        <w:rPr>
          <w:kern w:val="0"/>
        </w:rPr>
        <w:t>validity</w:t>
      </w:r>
      <w:r w:rsidR="00427468">
        <w:rPr>
          <w:kern w:val="0"/>
        </w:rPr>
        <w:t xml:space="preserve"> of </w:t>
      </w:r>
      <w:r>
        <w:rPr>
          <w:kern w:val="0"/>
        </w:rPr>
        <w:t xml:space="preserve">pedometers. </w:t>
      </w:r>
      <w:r>
        <w:rPr>
          <w:i/>
          <w:iCs/>
          <w:kern w:val="0"/>
        </w:rPr>
        <w:t>British Medical Bulletin</w:t>
      </w:r>
      <w:r>
        <w:rPr>
          <w:kern w:val="0"/>
        </w:rPr>
        <w:t xml:space="preserve">, </w:t>
      </w:r>
      <w:r>
        <w:rPr>
          <w:b/>
          <w:bCs/>
          <w:kern w:val="0"/>
        </w:rPr>
        <w:t>95</w:t>
      </w:r>
      <w:r>
        <w:rPr>
          <w:kern w:val="0"/>
        </w:rPr>
        <w:t xml:space="preserve"> (1), 121-137.</w:t>
      </w:r>
    </w:p>
    <w:p w:rsidR="0067639B" w:rsidRDefault="0067639B" w:rsidP="0067639B">
      <w:pPr>
        <w:pStyle w:val="a3"/>
      </w:pPr>
      <w:r>
        <w:t>Full Text:</w:t>
      </w:r>
      <w:r w:rsidRPr="00FC7835">
        <w:t xml:space="preserve"> </w:t>
      </w:r>
      <w:hyperlink r:id="rId1974" w:history="1">
        <w:r w:rsidRPr="00F21AC9">
          <w:rPr>
            <w:rStyle w:val="a5"/>
          </w:rPr>
          <w:t>2010\Bri Med Bul95, 121.pdf</w:t>
        </w:r>
      </w:hyperlink>
    </w:p>
    <w:p w:rsidR="00255950" w:rsidRDefault="00255950" w:rsidP="00255950">
      <w:pPr>
        <w:pStyle w:val="a3"/>
        <w:rPr>
          <w:kern w:val="0"/>
        </w:rPr>
      </w:pPr>
      <w:r>
        <w:rPr>
          <w:kern w:val="0"/>
        </w:rPr>
        <w:t>Abstract:</w:t>
      </w:r>
      <w:r w:rsidR="003A1917">
        <w:rPr>
          <w:kern w:val="0"/>
        </w:rPr>
        <w:t xml:space="preserve"> the </w:t>
      </w:r>
      <w:r>
        <w:rPr>
          <w:kern w:val="0"/>
        </w:rPr>
        <w:t>valid measurement</w:t>
      </w:r>
      <w:r w:rsidR="00427468">
        <w:rPr>
          <w:kern w:val="0"/>
        </w:rPr>
        <w:t xml:space="preserve"> of </w:t>
      </w:r>
      <w:r>
        <w:rPr>
          <w:kern w:val="0"/>
        </w:rPr>
        <w:t>physical activity has</w:t>
      </w:r>
      <w:r w:rsidR="003A1917">
        <w:rPr>
          <w:kern w:val="0"/>
        </w:rPr>
        <w:t xml:space="preserve"> the </w:t>
      </w:r>
      <w:r>
        <w:rPr>
          <w:kern w:val="0"/>
        </w:rPr>
        <w:t>potential to be a very useful tool in countering</w:t>
      </w:r>
      <w:r w:rsidR="003A1917">
        <w:rPr>
          <w:kern w:val="0"/>
        </w:rPr>
        <w:t xml:space="preserve"> the </w:t>
      </w:r>
      <w:r>
        <w:rPr>
          <w:kern w:val="0"/>
        </w:rPr>
        <w:t xml:space="preserve">obesity epidemic. Previously, reviews have been carried out to </w:t>
      </w:r>
      <w:r>
        <w:rPr>
          <w:kern w:val="0"/>
        </w:rPr>
        <w:lastRenderedPageBreak/>
        <w:t>investigate</w:t>
      </w:r>
      <w:r w:rsidR="003A1917">
        <w:rPr>
          <w:kern w:val="0"/>
        </w:rPr>
        <w:t xml:space="preserve"> the </w:t>
      </w:r>
      <w:r>
        <w:rPr>
          <w:kern w:val="0"/>
        </w:rPr>
        <w:t>validity</w:t>
      </w:r>
      <w:r w:rsidR="00427468">
        <w:rPr>
          <w:kern w:val="0"/>
        </w:rPr>
        <w:t xml:space="preserve"> of </w:t>
      </w:r>
      <w:r>
        <w:rPr>
          <w:kern w:val="0"/>
        </w:rPr>
        <w:t xml:space="preserve">pedometers among adults. This paper aimed to carry out a similar review among children. A literature search was performed in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 PsycINFO, CINAHL</w:t>
      </w:r>
      <w:r w:rsidR="005853A9">
        <w:rPr>
          <w:kern w:val="0"/>
        </w:rPr>
        <w:t xml:space="preserve"> and </w:t>
      </w:r>
      <w:r>
        <w:rPr>
          <w:kern w:val="0"/>
        </w:rPr>
        <w:t>SportDISCUS. Here, 25 papers investigating</w:t>
      </w:r>
      <w:r w:rsidR="003A1917">
        <w:rPr>
          <w:kern w:val="0"/>
        </w:rPr>
        <w:t xml:space="preserve"> the </w:t>
      </w:r>
      <w:r>
        <w:rPr>
          <w:kern w:val="0"/>
        </w:rPr>
        <w:t>validity, reliability</w:t>
      </w:r>
      <w:r w:rsidR="005853A9">
        <w:rPr>
          <w:kern w:val="0"/>
        </w:rPr>
        <w:t xml:space="preserve"> and </w:t>
      </w:r>
      <w:r>
        <w:rPr>
          <w:kern w:val="0"/>
        </w:rPr>
        <w:t>feasibility</w:t>
      </w:r>
      <w:r w:rsidR="00427468">
        <w:rPr>
          <w:kern w:val="0"/>
        </w:rPr>
        <w:t xml:space="preserve"> of </w:t>
      </w:r>
      <w:r>
        <w:rPr>
          <w:kern w:val="0"/>
        </w:rPr>
        <w:t>pedometers for children were included in</w:t>
      </w:r>
      <w:r w:rsidR="003A1917">
        <w:rPr>
          <w:kern w:val="0"/>
        </w:rPr>
        <w:t xml:space="preserve"> the </w:t>
      </w:r>
      <w:r>
        <w:rPr>
          <w:kern w:val="0"/>
        </w:rPr>
        <w:t>study. Pedometers correlated highly in terms</w:t>
      </w:r>
      <w:r w:rsidR="00427468">
        <w:rPr>
          <w:kern w:val="0"/>
        </w:rPr>
        <w:t xml:space="preserve"> of </w:t>
      </w:r>
      <w:r>
        <w:rPr>
          <w:kern w:val="0"/>
        </w:rPr>
        <w:t>both criterion (direct observation)</w:t>
      </w:r>
      <w:r w:rsidR="005853A9">
        <w:rPr>
          <w:kern w:val="0"/>
        </w:rPr>
        <w:t xml:space="preserve"> and </w:t>
      </w:r>
      <w:r>
        <w:rPr>
          <w:kern w:val="0"/>
        </w:rPr>
        <w:t>convergent validity (heart-rate monitor, accelerometer). Intra-</w:t>
      </w:r>
      <w:r w:rsidR="005853A9">
        <w:rPr>
          <w:kern w:val="0"/>
        </w:rPr>
        <w:t xml:space="preserve"> and </w:t>
      </w:r>
      <w:r>
        <w:rPr>
          <w:kern w:val="0"/>
        </w:rPr>
        <w:t>inter-unit reliability was also consistently high. Few studies report on feasibility issues</w:t>
      </w:r>
      <w:r w:rsidR="00427468">
        <w:rPr>
          <w:kern w:val="0"/>
        </w:rPr>
        <w:t xml:space="preserve"> of </w:t>
      </w:r>
      <w:r>
        <w:rPr>
          <w:kern w:val="0"/>
        </w:rPr>
        <w:t>pedometer use in children, particularly compliance, reactivity</w:t>
      </w:r>
      <w:r w:rsidR="005853A9">
        <w:rPr>
          <w:kern w:val="0"/>
        </w:rPr>
        <w:t xml:space="preserve"> and </w:t>
      </w:r>
      <w:r>
        <w:rPr>
          <w:kern w:val="0"/>
        </w:rPr>
        <w:t>dealing with missing data. Given that they are both cheap</w:t>
      </w:r>
      <w:r w:rsidR="005853A9">
        <w:rPr>
          <w:kern w:val="0"/>
        </w:rPr>
        <w:t xml:space="preserve"> and </w:t>
      </w:r>
      <w:r>
        <w:rPr>
          <w:kern w:val="0"/>
        </w:rPr>
        <w:t>easy to use, pedometers can be effectively utilized as a valid determinant</w:t>
      </w:r>
      <w:r w:rsidR="00427468">
        <w:rPr>
          <w:kern w:val="0"/>
        </w:rPr>
        <w:t xml:space="preserve"> of </w:t>
      </w:r>
      <w:r>
        <w:rPr>
          <w:kern w:val="0"/>
        </w:rPr>
        <w:t>physical activity levels among children</w:t>
      </w:r>
      <w:r w:rsidR="005853A9">
        <w:rPr>
          <w:kern w:val="0"/>
        </w:rPr>
        <w:t xml:space="preserve"> and </w:t>
      </w:r>
      <w:r>
        <w:rPr>
          <w:kern w:val="0"/>
        </w:rPr>
        <w:t>adolescents, particularly in large-scale epidemiological studies</w:t>
      </w:r>
      <w:r w:rsidR="00A37C1D">
        <w:rPr>
          <w:kern w:val="0"/>
        </w:rPr>
        <w:t>. The</w:t>
      </w:r>
      <w:r>
        <w:rPr>
          <w:kern w:val="0"/>
        </w:rPr>
        <w:t>re remains a need for accepted outliers</w:t>
      </w:r>
      <w:r w:rsidR="005853A9">
        <w:rPr>
          <w:kern w:val="0"/>
        </w:rPr>
        <w:t xml:space="preserve"> and </w:t>
      </w:r>
      <w:r>
        <w:rPr>
          <w:kern w:val="0"/>
        </w:rPr>
        <w:t>proper protocol regarding missing data.</w:t>
      </w:r>
    </w:p>
    <w:p w:rsidR="00255950" w:rsidRDefault="00255950" w:rsidP="00255950">
      <w:pPr>
        <w:pStyle w:val="a3"/>
        <w:rPr>
          <w:kern w:val="0"/>
        </w:rPr>
      </w:pPr>
      <w:r>
        <w:rPr>
          <w:kern w:val="0"/>
        </w:rPr>
        <w:t xml:space="preserve">Keywords: Accuracy, Adolescents, Adolescents, Adults, Body-Composition, Children, Children, Compliance, Energy-Expenditure, Feasibility, Heart Rate, Literature, Measurement, Obesity, Observation, Papers, Pedometer, Physical Activity, Prevalence, Protocol, </w:t>
      </w:r>
      <w:r w:rsidR="002C12F0">
        <w:rPr>
          <w:kern w:val="0"/>
        </w:rPr>
        <w:t>PUBMED</w:t>
      </w:r>
      <w:r>
        <w:rPr>
          <w:kern w:val="0"/>
        </w:rPr>
        <w:t xml:space="preserve">, Quantifying Physical-Activity, Reliability, Reliability, Review, Science, Validity, </w:t>
      </w:r>
      <w:r w:rsidR="00D5664A">
        <w:rPr>
          <w:kern w:val="0"/>
        </w:rPr>
        <w:t>Web</w:t>
      </w:r>
      <w:r w:rsidR="00427468">
        <w:rPr>
          <w:kern w:val="0"/>
        </w:rPr>
        <w:t xml:space="preserve"> of </w:t>
      </w:r>
      <w:r w:rsidR="00D5664A">
        <w:rPr>
          <w:kern w:val="0"/>
        </w:rPr>
        <w:t>Science</w:t>
      </w:r>
      <w:r>
        <w:rPr>
          <w:kern w:val="0"/>
        </w:rPr>
        <w:t>, Youth</w:t>
      </w:r>
    </w:p>
    <w:p w:rsidR="00950466" w:rsidRDefault="00950466" w:rsidP="00950466">
      <w:pPr>
        <w:pStyle w:val="a3"/>
        <w:rPr>
          <w:kern w:val="0"/>
        </w:rPr>
      </w:pPr>
      <w:r>
        <w:rPr>
          <w:kern w:val="0"/>
        </w:rPr>
        <w:t>? Heusinkveld, M.H.G., den Hamer, A., Traa, W.A., Oomen, P.J.A.</w:t>
      </w:r>
      <w:r w:rsidR="005853A9">
        <w:rPr>
          <w:kern w:val="0"/>
        </w:rPr>
        <w:t xml:space="preserve"> and </w:t>
      </w:r>
      <w:r>
        <w:rPr>
          <w:kern w:val="0"/>
        </w:rPr>
        <w:t>Maffulli, N. (2013), Treatment</w:t>
      </w:r>
      <w:r w:rsidR="00427468">
        <w:rPr>
          <w:kern w:val="0"/>
        </w:rPr>
        <w:t xml:space="preserve"> of </w:t>
      </w:r>
      <w:r>
        <w:rPr>
          <w:kern w:val="0"/>
        </w:rPr>
        <w:t>transverse patellar fractures: A comparison between metallic</w:t>
      </w:r>
      <w:r w:rsidR="005853A9">
        <w:rPr>
          <w:kern w:val="0"/>
        </w:rPr>
        <w:t xml:space="preserve"> and </w:t>
      </w:r>
      <w:r>
        <w:rPr>
          <w:kern w:val="0"/>
        </w:rPr>
        <w:t xml:space="preserve">non-metallic implants. </w:t>
      </w:r>
      <w:r>
        <w:rPr>
          <w:i/>
          <w:iCs/>
          <w:kern w:val="0"/>
        </w:rPr>
        <w:t>British Medical Bulletin</w:t>
      </w:r>
      <w:r>
        <w:rPr>
          <w:kern w:val="0"/>
        </w:rPr>
        <w:t xml:space="preserve">, </w:t>
      </w:r>
      <w:r>
        <w:rPr>
          <w:b/>
          <w:bCs/>
          <w:kern w:val="0"/>
        </w:rPr>
        <w:t>107</w:t>
      </w:r>
      <w:r>
        <w:rPr>
          <w:kern w:val="0"/>
        </w:rPr>
        <w:t xml:space="preserve"> (1), 69-85.</w:t>
      </w:r>
    </w:p>
    <w:p w:rsidR="00950466" w:rsidRDefault="00950466" w:rsidP="00950466">
      <w:pPr>
        <w:pStyle w:val="a3"/>
      </w:pPr>
      <w:r>
        <w:t>Full Text:</w:t>
      </w:r>
      <w:r w:rsidRPr="00FC7835">
        <w:t xml:space="preserve"> </w:t>
      </w:r>
      <w:hyperlink r:id="rId1975" w:history="1">
        <w:r w:rsidRPr="00950466">
          <w:rPr>
            <w:rStyle w:val="a5"/>
          </w:rPr>
          <w:t>2013\Bri Med Bul107, 69.pdf</w:t>
        </w:r>
      </w:hyperlink>
    </w:p>
    <w:p w:rsidR="00950466" w:rsidRDefault="00950466" w:rsidP="00950466">
      <w:pPr>
        <w:pStyle w:val="a3"/>
        <w:rPr>
          <w:kern w:val="0"/>
        </w:rPr>
      </w:pPr>
      <w:r>
        <w:rPr>
          <w:kern w:val="0"/>
        </w:rPr>
        <w:t>Abstract: Introduction: Several methods</w:t>
      </w:r>
      <w:r w:rsidR="00427468">
        <w:rPr>
          <w:kern w:val="0"/>
        </w:rPr>
        <w:t xml:space="preserve"> of </w:t>
      </w:r>
      <w:r>
        <w:rPr>
          <w:kern w:val="0"/>
        </w:rPr>
        <w:t>transverse patellar fixation have been described. This study compares the clinical outcome</w:t>
      </w:r>
      <w:r w:rsidR="005853A9">
        <w:rPr>
          <w:kern w:val="0"/>
        </w:rPr>
        <w:t xml:space="preserve"> and </w:t>
      </w:r>
      <w:r>
        <w:rPr>
          <w:kern w:val="0"/>
        </w:rPr>
        <w:t>the occurrence</w:t>
      </w:r>
      <w:r w:rsidR="00427468">
        <w:rPr>
          <w:kern w:val="0"/>
        </w:rPr>
        <w:t xml:space="preserve"> of </w:t>
      </w:r>
      <w:r>
        <w:rPr>
          <w:kern w:val="0"/>
        </w:rPr>
        <w:t>complications</w:t>
      </w:r>
      <w:r w:rsidR="00427468">
        <w:rPr>
          <w:kern w:val="0"/>
        </w:rPr>
        <w:t xml:space="preserve"> of </w:t>
      </w:r>
      <w:r>
        <w:rPr>
          <w:kern w:val="0"/>
        </w:rPr>
        <w:t>various fixation methods. Sources</w:t>
      </w:r>
      <w:r w:rsidR="00427468">
        <w:rPr>
          <w:kern w:val="0"/>
        </w:rPr>
        <w:t xml:space="preserve"> of </w:t>
      </w:r>
      <w:r>
        <w:rPr>
          <w:kern w:val="0"/>
        </w:rPr>
        <w:t xml:space="preserve">data: The databases PubMed, </w:t>
      </w:r>
      <w:r w:rsidR="00D5664A">
        <w:rPr>
          <w:kern w:val="0"/>
        </w:rPr>
        <w:t>Web</w:t>
      </w:r>
      <w:r w:rsidR="00427468">
        <w:rPr>
          <w:kern w:val="0"/>
        </w:rPr>
        <w:t xml:space="preserve"> of </w:t>
      </w:r>
      <w:r w:rsidR="00D5664A">
        <w:rPr>
          <w:kern w:val="0"/>
        </w:rPr>
        <w:t>Science</w:t>
      </w:r>
      <w:r>
        <w:rPr>
          <w:kern w:val="0"/>
        </w:rPr>
        <w:t>, Science Direct, Google Scholar</w:t>
      </w:r>
      <w:r w:rsidR="005853A9">
        <w:rPr>
          <w:kern w:val="0"/>
        </w:rPr>
        <w:t xml:space="preserve"> and </w:t>
      </w:r>
      <w:r>
        <w:rPr>
          <w:kern w:val="0"/>
        </w:rPr>
        <w:t>Google were searched. Areas</w:t>
      </w:r>
      <w:r w:rsidR="00427468">
        <w:rPr>
          <w:kern w:val="0"/>
        </w:rPr>
        <w:t xml:space="preserve"> of </w:t>
      </w:r>
      <w:r>
        <w:rPr>
          <w:kern w:val="0"/>
        </w:rPr>
        <w:t>agreement: A direct comparison between fixation techniques using mixed or non-metallic implants</w:t>
      </w:r>
      <w:r w:rsidR="005853A9">
        <w:rPr>
          <w:kern w:val="0"/>
        </w:rPr>
        <w:t xml:space="preserve"> and </w:t>
      </w:r>
      <w:r>
        <w:rPr>
          <w:kern w:val="0"/>
        </w:rPr>
        <w:t>metallic K-wire</w:t>
      </w:r>
      <w:r w:rsidR="005853A9">
        <w:rPr>
          <w:kern w:val="0"/>
        </w:rPr>
        <w:t xml:space="preserve"> and </w:t>
      </w:r>
      <w:r>
        <w:rPr>
          <w:kern w:val="0"/>
        </w:rPr>
        <w:t>tension band fixation shows no significant difference in clinical outcome between both groups. Additionally, studies reporting novel operation techniques show good clinical results. Areas</w:t>
      </w:r>
      <w:r w:rsidR="00427468">
        <w:rPr>
          <w:kern w:val="0"/>
        </w:rPr>
        <w:t xml:space="preserve"> of </w:t>
      </w:r>
      <w:r>
        <w:rPr>
          <w:kern w:val="0"/>
        </w:rPr>
        <w:t>controversy: Studies describing the treatment</w:t>
      </w:r>
      <w:r w:rsidR="00427468">
        <w:rPr>
          <w:kern w:val="0"/>
        </w:rPr>
        <w:t xml:space="preserve"> of </w:t>
      </w:r>
      <w:r>
        <w:rPr>
          <w:kern w:val="0"/>
        </w:rPr>
        <w:t>patients using nonmetallic or mixed implants are fewer compared with those using metallic fixation. Growing points: A large variety</w:t>
      </w:r>
      <w:r w:rsidR="00427468">
        <w:rPr>
          <w:kern w:val="0"/>
        </w:rPr>
        <w:t xml:space="preserve"> of </w:t>
      </w:r>
      <w:r>
        <w:rPr>
          <w:kern w:val="0"/>
        </w:rPr>
        <w:t>clinical scoring systems were used for assessing the results</w:t>
      </w:r>
      <w:r w:rsidR="00427468">
        <w:rPr>
          <w:kern w:val="0"/>
        </w:rPr>
        <w:t xml:space="preserve"> of </w:t>
      </w:r>
      <w:r>
        <w:rPr>
          <w:kern w:val="0"/>
        </w:rPr>
        <w:t>treatment, which makes direct comparison difficult. Areas timely for developing research: More data</w:t>
      </w:r>
      <w:r w:rsidR="00427468">
        <w:rPr>
          <w:kern w:val="0"/>
        </w:rPr>
        <w:t xml:space="preserve"> of </w:t>
      </w:r>
      <w:r>
        <w:rPr>
          <w:kern w:val="0"/>
        </w:rPr>
        <w:t>fracture treatment using non-metallic or mixed implants is needed to achieve a more balanced comparison.</w:t>
      </w:r>
    </w:p>
    <w:p w:rsidR="00950466" w:rsidRDefault="00950466" w:rsidP="00950466">
      <w:pPr>
        <w:pStyle w:val="a3"/>
        <w:rPr>
          <w:kern w:val="0"/>
        </w:rPr>
      </w:pPr>
      <w:r>
        <w:rPr>
          <w:kern w:val="0"/>
        </w:rPr>
        <w:t xml:space="preserve">Keywords: Assessing, Clinical, Comparison, Complications, Data, Databases, Developing, Displaced Fractures, Fixation, Fracture, Google, Google Scholar, Groups, Internal Fixation, Methods, Operation, Osteosynthesis, Outcome, Patellar Fracture, Patients, Pubmed, Reduction, Reporting, Research, Science, Scoring </w:t>
      </w:r>
      <w:r>
        <w:rPr>
          <w:kern w:val="0"/>
        </w:rPr>
        <w:lastRenderedPageBreak/>
        <w:t xml:space="preserve">Systems, Screws, Suture, Systems, Techniques, Tension Band Wiring, Tension-Band, Treatment, </w:t>
      </w:r>
      <w:r w:rsidR="00D5664A">
        <w:rPr>
          <w:kern w:val="0"/>
        </w:rPr>
        <w:t>Web</w:t>
      </w:r>
      <w:r w:rsidR="00427468">
        <w:rPr>
          <w:kern w:val="0"/>
        </w:rPr>
        <w:t xml:space="preserve"> of </w:t>
      </w:r>
      <w:r w:rsidR="00D5664A">
        <w:rPr>
          <w:kern w:val="0"/>
        </w:rPr>
        <w:t>Science</w:t>
      </w:r>
    </w:p>
    <w:p w:rsidR="009228B2" w:rsidRDefault="009228B2" w:rsidP="009228B2">
      <w:pPr>
        <w:pStyle w:val="a3"/>
        <w:rPr>
          <w:kern w:val="0"/>
        </w:rPr>
      </w:pPr>
      <w:r>
        <w:rPr>
          <w:rFonts w:hint="eastAsia"/>
          <w:kern w:val="0"/>
        </w:rPr>
        <w:t xml:space="preserve">? </w:t>
      </w:r>
      <w:r>
        <w:rPr>
          <w:kern w:val="0"/>
        </w:rPr>
        <w:t>Traa, W.A., Oomen, P.J.A., den Hamer, A., Heusinkveld, M.H.G.</w:t>
      </w:r>
      <w:r w:rsidR="005853A9">
        <w:rPr>
          <w:kern w:val="0"/>
        </w:rPr>
        <w:t xml:space="preserve"> and </w:t>
      </w:r>
      <w:r>
        <w:rPr>
          <w:kern w:val="0"/>
        </w:rPr>
        <w:t>Maffulli, N. (2013), Biomechanical studies on transverse olecranon</w:t>
      </w:r>
      <w:r w:rsidR="005853A9">
        <w:rPr>
          <w:kern w:val="0"/>
        </w:rPr>
        <w:t xml:space="preserve"> and </w:t>
      </w:r>
      <w:r>
        <w:rPr>
          <w:kern w:val="0"/>
        </w:rPr>
        <w:t>patellar fractures: A systematic review with the development</w:t>
      </w:r>
      <w:r w:rsidR="00427468">
        <w:rPr>
          <w:kern w:val="0"/>
        </w:rPr>
        <w:t xml:space="preserve"> of </w:t>
      </w:r>
      <w:r>
        <w:rPr>
          <w:kern w:val="0"/>
        </w:rPr>
        <w:t xml:space="preserve">a new scoring method. </w:t>
      </w:r>
      <w:r>
        <w:rPr>
          <w:i/>
          <w:iCs/>
          <w:kern w:val="0"/>
        </w:rPr>
        <w:t>British Medical Bulletin</w:t>
      </w:r>
      <w:r>
        <w:rPr>
          <w:kern w:val="0"/>
        </w:rPr>
        <w:t xml:space="preserve">, </w:t>
      </w:r>
      <w:r>
        <w:rPr>
          <w:b/>
          <w:bCs/>
          <w:kern w:val="0"/>
        </w:rPr>
        <w:t>108</w:t>
      </w:r>
      <w:r>
        <w:rPr>
          <w:kern w:val="0"/>
        </w:rPr>
        <w:t xml:space="preserve"> (1), 131-157.</w:t>
      </w:r>
    </w:p>
    <w:p w:rsidR="009228B2" w:rsidRDefault="009228B2" w:rsidP="009228B2">
      <w:pPr>
        <w:pStyle w:val="a3"/>
      </w:pPr>
      <w:r>
        <w:t>Full Text:</w:t>
      </w:r>
      <w:r w:rsidRPr="00FC7835">
        <w:t xml:space="preserve"> </w:t>
      </w:r>
      <w:r w:rsidRPr="00E034DB">
        <w:t>2013\Bri Med Bul108, 131.pdf</w:t>
      </w:r>
    </w:p>
    <w:p w:rsidR="009228B2" w:rsidRDefault="009228B2" w:rsidP="009228B2">
      <w:pPr>
        <w:pStyle w:val="a3"/>
        <w:rPr>
          <w:kern w:val="0"/>
        </w:rPr>
      </w:pPr>
      <w:r>
        <w:rPr>
          <w:kern w:val="0"/>
        </w:rPr>
        <w:t>Abstract: Introduction: Several methods</w:t>
      </w:r>
      <w:r w:rsidR="00427468">
        <w:rPr>
          <w:kern w:val="0"/>
        </w:rPr>
        <w:t xml:space="preserve"> of </w:t>
      </w:r>
      <w:r>
        <w:rPr>
          <w:kern w:val="0"/>
        </w:rPr>
        <w:t>transverse patellar</w:t>
      </w:r>
      <w:r w:rsidR="005853A9">
        <w:rPr>
          <w:kern w:val="0"/>
        </w:rPr>
        <w:t xml:space="preserve"> and </w:t>
      </w:r>
      <w:r>
        <w:rPr>
          <w:kern w:val="0"/>
        </w:rPr>
        <w:t>olecranon fixation have been described. This article compares biomechanical studies</w:t>
      </w:r>
      <w:r w:rsidR="00427468">
        <w:rPr>
          <w:kern w:val="0"/>
        </w:rPr>
        <w:t xml:space="preserve"> of </w:t>
      </w:r>
      <w:r>
        <w:rPr>
          <w:kern w:val="0"/>
        </w:rPr>
        <w:t>various fixation methods using a newly developed scoring method. Source</w:t>
      </w:r>
      <w:r w:rsidR="00427468">
        <w:rPr>
          <w:kern w:val="0"/>
        </w:rPr>
        <w:t xml:space="preserve"> of </w:t>
      </w:r>
      <w:r>
        <w:rPr>
          <w:kern w:val="0"/>
        </w:rPr>
        <w:t xml:space="preserve">data: The databases PubMed, </w:t>
      </w:r>
      <w:r w:rsidR="00D5664A">
        <w:rPr>
          <w:kern w:val="0"/>
        </w:rPr>
        <w:t>Web</w:t>
      </w:r>
      <w:r w:rsidR="00427468">
        <w:rPr>
          <w:kern w:val="0"/>
        </w:rPr>
        <w:t xml:space="preserve"> of </w:t>
      </w:r>
      <w:r w:rsidR="00D5664A">
        <w:rPr>
          <w:kern w:val="0"/>
        </w:rPr>
        <w:t>Science</w:t>
      </w:r>
      <w:r>
        <w:rPr>
          <w:kern w:val="0"/>
        </w:rPr>
        <w:t>, Science Direct, Google Scholar</w:t>
      </w:r>
      <w:r w:rsidR="005853A9">
        <w:rPr>
          <w:kern w:val="0"/>
        </w:rPr>
        <w:t xml:space="preserve"> and </w:t>
      </w:r>
      <w:r>
        <w:rPr>
          <w:kern w:val="0"/>
        </w:rPr>
        <w:t>Google were searched for relevant studies. Areas</w:t>
      </w:r>
      <w:r w:rsidR="00427468">
        <w:rPr>
          <w:kern w:val="0"/>
        </w:rPr>
        <w:t xml:space="preserve"> of </w:t>
      </w:r>
      <w:r>
        <w:rPr>
          <w:kern w:val="0"/>
        </w:rPr>
        <w:t>agreement: Fixation hardware failure remains a problem. Various materials</w:t>
      </w:r>
      <w:r w:rsidR="005853A9">
        <w:rPr>
          <w:kern w:val="0"/>
        </w:rPr>
        <w:t xml:space="preserve"> and </w:t>
      </w:r>
      <w:r>
        <w:rPr>
          <w:kern w:val="0"/>
        </w:rPr>
        <w:t>fixation techniques have been tested to provide an improved fixation</w:t>
      </w:r>
      <w:r w:rsidR="00427468">
        <w:rPr>
          <w:kern w:val="0"/>
        </w:rPr>
        <w:t xml:space="preserve"> of </w:t>
      </w:r>
      <w:r>
        <w:rPr>
          <w:kern w:val="0"/>
        </w:rPr>
        <w:t>transverse olecranon</w:t>
      </w:r>
      <w:r w:rsidR="005853A9">
        <w:rPr>
          <w:kern w:val="0"/>
        </w:rPr>
        <w:t xml:space="preserve"> and </w:t>
      </w:r>
      <w:r>
        <w:rPr>
          <w:kern w:val="0"/>
        </w:rPr>
        <w:t>patellar fractures. Areas</w:t>
      </w:r>
      <w:r w:rsidR="00427468">
        <w:rPr>
          <w:kern w:val="0"/>
        </w:rPr>
        <w:t xml:space="preserve"> of </w:t>
      </w:r>
      <w:r>
        <w:rPr>
          <w:kern w:val="0"/>
        </w:rPr>
        <w:t>controversy: The difference in biomechanical testing setup between the studies makes it hard to compare different fixation techniques. Growing points: The newly developed grading method was proved to be unbiased</w:t>
      </w:r>
      <w:r w:rsidR="005853A9">
        <w:rPr>
          <w:kern w:val="0"/>
        </w:rPr>
        <w:t xml:space="preserve"> and </w:t>
      </w:r>
      <w:r>
        <w:rPr>
          <w:kern w:val="0"/>
        </w:rPr>
        <w:t>reliable; however, extra specifications need to be added at some criteria when adopting the scoring method. Areas timely for developing research: Non-metallic constructs may provide an improvement to the currently used metallic tension band wiring technique; however, clinical research is required.</w:t>
      </w:r>
    </w:p>
    <w:p w:rsidR="009228B2" w:rsidRDefault="009228B2" w:rsidP="009228B2">
      <w:pPr>
        <w:pStyle w:val="a3"/>
        <w:rPr>
          <w:kern w:val="0"/>
        </w:rPr>
      </w:pPr>
      <w:r>
        <w:rPr>
          <w:kern w:val="0"/>
        </w:rPr>
        <w:t>Keywords: Braided Polyester Suture, Clinical, Clinical Research, Criteria, Data, Databases, Developing, Development, Displaced Fractures, Failure, Google, Google Scholar, Improvement, In-Vitro, Internal Fixation, Internal-Fixation, K-Wire Position, Kirschner Wires, Methods, Olecranon Fracture, Patellar Fracture, Plate Fixation, Pubmed, Research, Review, Science, Screw Fixation, Source</w:t>
      </w:r>
      <w:r w:rsidR="00427468">
        <w:rPr>
          <w:kern w:val="0"/>
        </w:rPr>
        <w:t xml:space="preserve"> of </w:t>
      </w:r>
      <w:r>
        <w:rPr>
          <w:kern w:val="0"/>
        </w:rPr>
        <w:t xml:space="preserve">Data, Stability, Systematic Review, Techniques, Tension Band Wiring, Tension-Band Fixation, Testing, </w:t>
      </w:r>
      <w:r w:rsidR="00D5664A">
        <w:rPr>
          <w:kern w:val="0"/>
        </w:rPr>
        <w:t>Web</w:t>
      </w:r>
      <w:r w:rsidR="00427468">
        <w:rPr>
          <w:kern w:val="0"/>
        </w:rPr>
        <w:t xml:space="preserve"> of </w:t>
      </w:r>
      <w:r w:rsidR="00D5664A">
        <w:rPr>
          <w:kern w:val="0"/>
        </w:rPr>
        <w:t>Science</w:t>
      </w:r>
    </w:p>
    <w:p w:rsidR="00116069" w:rsidRDefault="00116069" w:rsidP="00116069">
      <w:pPr>
        <w:pStyle w:val="a3"/>
        <w:rPr>
          <w:kern w:val="0"/>
        </w:rPr>
      </w:pPr>
      <w:r>
        <w:rPr>
          <w:rFonts w:hint="eastAsia"/>
          <w:kern w:val="0"/>
        </w:rPr>
        <w:t xml:space="preserve">? </w:t>
      </w:r>
      <w:r>
        <w:rPr>
          <w:kern w:val="0"/>
        </w:rPr>
        <w:t xml:space="preserve">Frizziero, A., Trainito, S., Oliva, F., Aldini, N.N., Masiero, S. and Maffulli, N. (2014), The role of eccentric exercise in sport injuries rehabilitation. </w:t>
      </w:r>
      <w:r>
        <w:rPr>
          <w:i/>
          <w:iCs/>
          <w:kern w:val="0"/>
        </w:rPr>
        <w:t>British Medical Bulletin</w:t>
      </w:r>
      <w:r>
        <w:rPr>
          <w:kern w:val="0"/>
        </w:rPr>
        <w:t xml:space="preserve">, </w:t>
      </w:r>
      <w:r>
        <w:rPr>
          <w:b/>
          <w:bCs/>
          <w:kern w:val="0"/>
        </w:rPr>
        <w:t>110</w:t>
      </w:r>
      <w:r>
        <w:rPr>
          <w:kern w:val="0"/>
        </w:rPr>
        <w:t xml:space="preserve"> (1), 47-75.</w:t>
      </w:r>
    </w:p>
    <w:p w:rsidR="00116069" w:rsidRDefault="00116069" w:rsidP="00116069">
      <w:pPr>
        <w:pStyle w:val="a3"/>
      </w:pPr>
      <w:r>
        <w:t>Full Text:</w:t>
      </w:r>
      <w:r w:rsidRPr="00FC7835">
        <w:t xml:space="preserve"> </w:t>
      </w:r>
      <w:hyperlink r:id="rId1976" w:history="1">
        <w:r w:rsidRPr="00D8587C">
          <w:rPr>
            <w:rStyle w:val="a5"/>
          </w:rPr>
          <w:t>2014\Bri Med Bul110, 47.pdf</w:t>
        </w:r>
      </w:hyperlink>
    </w:p>
    <w:p w:rsidR="00116069" w:rsidRDefault="00116069" w:rsidP="00116069">
      <w:pPr>
        <w:pStyle w:val="a3"/>
        <w:rPr>
          <w:kern w:val="0"/>
        </w:rPr>
      </w:pPr>
      <w:r>
        <w:rPr>
          <w:kern w:val="0"/>
        </w:rPr>
        <w:t xml:space="preserve">Abstract: Sports injuries frequently involve tendons, muscles and ligaments. The variable outcome of surgery and medical treatment support early functional treatments. Eccentric exercise (EE) showed effectiveness in the management of Achilles tendinopathy (AT), patellar tendinopathy (PT) and lateral epicondyle tendinopathy (LET). Preliminary results of EE in other tendinopathies and sports injuries suggest its wide prescription in the sport rehabilitation field. A comprehensive search of PubMed, Web of Science, the Cochrane Collaboration </w:t>
      </w:r>
      <w:r>
        <w:rPr>
          <w:kern w:val="0"/>
        </w:rPr>
        <w:lastRenderedPageBreak/>
        <w:t xml:space="preserve">Database, Physiotherapy Evidence Database (PEDro), Evidence Based Medicine (EBM) Search review, National Guidelines, Scopus and Google Scholar was performed using keywords such as </w:t>
      </w:r>
      <w:r w:rsidR="00700038">
        <w:rPr>
          <w:kern w:val="0"/>
        </w:rPr>
        <w:t>‘</w:t>
      </w:r>
      <w:r>
        <w:rPr>
          <w:kern w:val="0"/>
        </w:rPr>
        <w:t>eccentric exercise</w:t>
      </w:r>
      <w:r w:rsidR="00700038">
        <w:rPr>
          <w:kern w:val="0"/>
        </w:rPr>
        <w:t>’</w:t>
      </w:r>
      <w:r>
        <w:rPr>
          <w:kern w:val="0"/>
        </w:rPr>
        <w:t xml:space="preserve">, </w:t>
      </w:r>
      <w:r w:rsidR="00700038">
        <w:rPr>
          <w:kern w:val="0"/>
        </w:rPr>
        <w:t>‘</w:t>
      </w:r>
      <w:r>
        <w:rPr>
          <w:kern w:val="0"/>
        </w:rPr>
        <w:t>sports injuries rehabilitation</w:t>
      </w:r>
      <w:r w:rsidR="00700038">
        <w:rPr>
          <w:kern w:val="0"/>
        </w:rPr>
        <w:t>’</w:t>
      </w:r>
      <w:r>
        <w:rPr>
          <w:kern w:val="0"/>
        </w:rPr>
        <w:t xml:space="preserve">, </w:t>
      </w:r>
      <w:r w:rsidR="00700038">
        <w:rPr>
          <w:kern w:val="0"/>
        </w:rPr>
        <w:t>‘</w:t>
      </w:r>
      <w:r>
        <w:rPr>
          <w:kern w:val="0"/>
        </w:rPr>
        <w:t>tendinopathy</w:t>
      </w:r>
      <w:r w:rsidR="00700038">
        <w:rPr>
          <w:kern w:val="0"/>
        </w:rPr>
        <w:t>’</w:t>
      </w:r>
      <w:r>
        <w:rPr>
          <w:kern w:val="0"/>
        </w:rPr>
        <w:t xml:space="preserve">, </w:t>
      </w:r>
      <w:r w:rsidR="00700038">
        <w:rPr>
          <w:kern w:val="0"/>
        </w:rPr>
        <w:t>‘</w:t>
      </w:r>
      <w:r>
        <w:rPr>
          <w:kern w:val="0"/>
        </w:rPr>
        <w:t>hamstrings strain</w:t>
      </w:r>
      <w:r w:rsidR="00700038">
        <w:rPr>
          <w:kern w:val="0"/>
        </w:rPr>
        <w:t>’</w:t>
      </w:r>
      <w:r>
        <w:rPr>
          <w:kern w:val="0"/>
        </w:rPr>
        <w:t xml:space="preserve"> </w:t>
      </w:r>
      <w:r w:rsidR="00700038">
        <w:rPr>
          <w:kern w:val="0"/>
        </w:rPr>
        <w:t>‘</w:t>
      </w:r>
      <w:r>
        <w:rPr>
          <w:kern w:val="0"/>
        </w:rPr>
        <w:t>adductor injuries</w:t>
      </w:r>
      <w:r w:rsidR="00700038">
        <w:rPr>
          <w:kern w:val="0"/>
        </w:rPr>
        <w:t>’</w:t>
      </w:r>
      <w:r>
        <w:rPr>
          <w:kern w:val="0"/>
        </w:rPr>
        <w:t xml:space="preserve"> and </w:t>
      </w:r>
      <w:r w:rsidR="00700038">
        <w:rPr>
          <w:kern w:val="0"/>
        </w:rPr>
        <w:t>‘</w:t>
      </w:r>
      <w:r>
        <w:rPr>
          <w:kern w:val="0"/>
        </w:rPr>
        <w:t>ACL reconstruction rehabilitation</w:t>
      </w:r>
      <w:r w:rsidR="00700038">
        <w:rPr>
          <w:kern w:val="0"/>
        </w:rPr>
        <w:t>’</w:t>
      </w:r>
      <w:r>
        <w:rPr>
          <w:kern w:val="0"/>
        </w:rPr>
        <w:t>. EE, alone or associated with other therapies, represents a feasible, cost-effective and successful tool in the treatment of well-known targets and might be promising in shoulder tendinopathy, adductor-related groin pain, hamstring strains, and ACL rehabilitation. The lack of standardization of protocols, the variable amount, quality and follow-up of studies, the different anatomy and pathophysiology of the therapeutic targets limit the evidence of applicability of EE to sports injuries. The role of pathology and biomechanics in the response to EE should be further investigated. New randomized controlled trials should test the effectiveness of standardized EE regimens to various sites of sports injuries.</w:t>
      </w:r>
    </w:p>
    <w:p w:rsidR="00116069" w:rsidRDefault="00116069" w:rsidP="00116069">
      <w:pPr>
        <w:pStyle w:val="a3"/>
        <w:rPr>
          <w:kern w:val="0"/>
        </w:rPr>
      </w:pPr>
      <w:r>
        <w:rPr>
          <w:kern w:val="0"/>
        </w:rPr>
        <w:t>Keywords: 1-Year Follow-Up, Anatomy, At, Biomechanics, Chronic Achilles Tendinopathy, Chronic Patellar Tendinopathy, Clinical-Trial, Cochrane Collaboration, Collaboration, Cost-Effective, Database, Eccentric Exercise, Effectiveness, Evidence, Exercise, Field, Follow-Up, Glyceryl Trinitrate Treatment, Google, Google Scholar, Guidelines, Level Laser Therapy, Ligament Injuries, Management, Medical, Medical Treatment, Medicine, Muscles, Outcome, Pain, Pathology, Pathophysiology, Physiotherapy, Placebo-Controlled Trial, Platelet-Rich Plasma, Prescription, Protocols, Pubmed, Quality, Randomized, Randomized Controlled Trials, Randomized-Controlled-Trial, Reconstruction, Rehabilitation, Response, Review, Role, Science, Scopus, Search, Shock-Wave Treatment, Sport, Sport Injuries, Standardization, Support, Surgery, Tendinopathy, Therapeutic, Treatment, Web Of Science</w:t>
      </w:r>
    </w:p>
    <w:p w:rsidR="00EF6BA2" w:rsidRDefault="00EF6BA2" w:rsidP="00EF6BA2">
      <w:pPr>
        <w:pStyle w:val="a3"/>
        <w:rPr>
          <w:kern w:val="0"/>
        </w:rPr>
      </w:pPr>
      <w:r>
        <w:rPr>
          <w:rFonts w:hint="eastAsia"/>
          <w:kern w:val="0"/>
        </w:rPr>
        <w:t xml:space="preserve">? </w:t>
      </w:r>
      <w:r>
        <w:rPr>
          <w:kern w:val="0"/>
        </w:rPr>
        <w:t xml:space="preserve">Kelly, R.S. and Vineis, P. (2014), Biomarkers of susceptibility to chemical carcinogens: The example of non-Hodgkin lymphomas. </w:t>
      </w:r>
      <w:r>
        <w:rPr>
          <w:i/>
          <w:iCs/>
          <w:kern w:val="0"/>
        </w:rPr>
        <w:t>British Medical Bulletin</w:t>
      </w:r>
      <w:r>
        <w:rPr>
          <w:kern w:val="0"/>
        </w:rPr>
        <w:t xml:space="preserve">, </w:t>
      </w:r>
      <w:r>
        <w:rPr>
          <w:b/>
          <w:bCs/>
          <w:kern w:val="0"/>
        </w:rPr>
        <w:t>111</w:t>
      </w:r>
      <w:r>
        <w:rPr>
          <w:kern w:val="0"/>
        </w:rPr>
        <w:t xml:space="preserve"> (1), 89-100.</w:t>
      </w:r>
    </w:p>
    <w:p w:rsidR="00EF6BA2" w:rsidRDefault="00EF6BA2" w:rsidP="00EF6BA2">
      <w:pPr>
        <w:pStyle w:val="a3"/>
      </w:pPr>
      <w:r>
        <w:t>Full Text:</w:t>
      </w:r>
      <w:r w:rsidRPr="00FC7835">
        <w:t xml:space="preserve"> </w:t>
      </w:r>
      <w:hyperlink r:id="rId1977" w:history="1">
        <w:r w:rsidRPr="00146EA7">
          <w:rPr>
            <w:rStyle w:val="a5"/>
          </w:rPr>
          <w:t>2014\Bri Med Bul111, 89.pdf</w:t>
        </w:r>
      </w:hyperlink>
    </w:p>
    <w:p w:rsidR="00EF6BA2" w:rsidRDefault="00EF6BA2" w:rsidP="00EF6BA2">
      <w:pPr>
        <w:pStyle w:val="a3"/>
        <w:rPr>
          <w:kern w:val="0"/>
        </w:rPr>
      </w:pPr>
      <w:r>
        <w:rPr>
          <w:kern w:val="0"/>
        </w:rPr>
        <w:t xml:space="preserve">Abstract: Background: Genetic susceptibly to suspected chemical and environmental carcinogens may modify the response to exposure. The aim of this review was to explore the issues involved in the study of gene-environment interactions, and to consider the use of susceptibility biomarkers in cancer epidemiology, using non-Hodgkin lymphoma (NHL) as an example. Sources of data: PubMed, EMBASE and Web of Science were searched for peer-reviewed articles considering biomarkers of susceptibility to chemical, agricultural and industrial carcinogens in the aetiology of NHL. Areas of agreement: The results suggest a modifying role for genetic susceptibility to a number of occupational and environmental exposures including organochlorines, chlorinated solvents, chlordanes and benzene in the aetiology of </w:t>
      </w:r>
      <w:r>
        <w:rPr>
          <w:kern w:val="0"/>
        </w:rPr>
        <w:lastRenderedPageBreak/>
        <w:t>NHL. The potential importance of these gene-environment interactions in NHL may help to explain the lack of definitive carcinogens identified to date for this malignancy. Areas of controversy: Although a large number of genetic variants and gene-environment interactions have been explored for NHL, to date replication is lacking and therefore the findings remain to be validated. Growing points and areas timely for developing research: These findings highlight the need for novel standardized methodologies in the study of genetic susceptibility to chemical carcinogens.</w:t>
      </w:r>
    </w:p>
    <w:p w:rsidR="00EF6BA2" w:rsidRDefault="00EF6BA2" w:rsidP="00EF6BA2">
      <w:pPr>
        <w:pStyle w:val="a3"/>
        <w:rPr>
          <w:kern w:val="0"/>
        </w:rPr>
      </w:pPr>
      <w:r>
        <w:rPr>
          <w:kern w:val="0"/>
        </w:rPr>
        <w:t>Keywords: Aetiology, Agricultural, Articles, Benzene, Biomarkers, Biomarkers Of Susceptibility, Cancer, Cancer Susceptibility, Carcinogens, Chemical, Chemical Carcinogens, Chronic Lymphocytic-Leukemia, Data, Developing, Dna-Repair Genes, Embase, Environmental, Epidemiology, Exposure, Exposures, Gene-Environment Interaction, Gene-Environment Interactions, Genetic, Genetic Variants, Genome-Wide Association, Interlymph Consortium, Issues, Lymphoma, Malignancy, Methodologies, Non-Hodgkin Lymphoma, Occupational, Occupational Solvent Exposure, Organochlorines, Oxidative Stress, Peer-Reviewed, Pooled Analysis, Potential, Pubmed, Replication, Research, Response, Review, Role, Science, Sex-Differences, Susceptibility, Web Of Science, Xenobiotic Metabolism Pathways</w:t>
      </w:r>
    </w:p>
    <w:p w:rsidR="00163034" w:rsidRDefault="00163034" w:rsidP="00163034">
      <w:pPr>
        <w:pStyle w:val="a3"/>
        <w:rPr>
          <w:kern w:val="0"/>
        </w:rPr>
      </w:pPr>
      <w:r>
        <w:rPr>
          <w:rFonts w:hint="eastAsia"/>
          <w:kern w:val="0"/>
        </w:rPr>
        <w:t xml:space="preserve">? </w:t>
      </w:r>
      <w:r>
        <w:rPr>
          <w:kern w:val="0"/>
        </w:rPr>
        <w:t xml:space="preserve">Abdelkader, H., Pierscionek, B., Carew, M., Wu, Z.M. and Alany, R.G. (2015), Critical appraisal of alternative irritation models: Three decades of testing ophthalmic pharmaceuticals. </w:t>
      </w:r>
      <w:r>
        <w:rPr>
          <w:i/>
          <w:iCs/>
          <w:kern w:val="0"/>
        </w:rPr>
        <w:t>British Medical Bulletin</w:t>
      </w:r>
      <w:r>
        <w:rPr>
          <w:kern w:val="0"/>
        </w:rPr>
        <w:t xml:space="preserve">, </w:t>
      </w:r>
      <w:r>
        <w:rPr>
          <w:b/>
          <w:bCs/>
          <w:kern w:val="0"/>
        </w:rPr>
        <w:t>113</w:t>
      </w:r>
      <w:r>
        <w:rPr>
          <w:kern w:val="0"/>
        </w:rPr>
        <w:t xml:space="preserve"> (1), 59-71.</w:t>
      </w:r>
    </w:p>
    <w:p w:rsidR="00163034" w:rsidRDefault="00163034" w:rsidP="00163034">
      <w:pPr>
        <w:pStyle w:val="a3"/>
      </w:pPr>
      <w:r>
        <w:t>Full Text:</w:t>
      </w:r>
      <w:r w:rsidRPr="00FC7835">
        <w:t xml:space="preserve"> </w:t>
      </w:r>
      <w:hyperlink r:id="rId1978" w:history="1">
        <w:r w:rsidRPr="00043235">
          <w:rPr>
            <w:rStyle w:val="a5"/>
          </w:rPr>
          <w:t>2015\Bri Med Bul113, 59.pdf</w:t>
        </w:r>
      </w:hyperlink>
    </w:p>
    <w:p w:rsidR="00163034" w:rsidRDefault="00163034" w:rsidP="00163034">
      <w:pPr>
        <w:pStyle w:val="a3"/>
        <w:rPr>
          <w:kern w:val="0"/>
        </w:rPr>
      </w:pPr>
      <w:r>
        <w:rPr>
          <w:kern w:val="0"/>
        </w:rPr>
        <w:t xml:space="preserve">Abstract: Background: Testing ocular tolerability of ocular pharmaceuticals is an essential regulatory requirement. The current approved reference model (gold standard) for ocular irritation testing is the Draize test. However this method is subjective and involves using live animals, hence the need to develop alternative in vitro and ex vivo testing strategies. Source of data: Pubmed, Science Direct, Scopus, Google Scholar, Medline, Current Content, Web of Science and validation reports from international regulatory bodies; The Interagency Coordinating Committee on the Validation of Alternative Methods (ICCVAM) and European Centre for the Validation of AlternativeMethods (ECVAM) were searched for in vitro alternatives. Area of agreement: Whilst no single in vitro test can effectively replace the Draize eye irritation test, regulatory bodies and cosmetic/pharmaceutical industries agree that there is a need for in vitro alternatives with validated endpoints to evaluate pharmaceutical ingredients and finished eye products. Area of controversy: There is no single in vitro test / assay that can predict the ocular irritation potential of mild to moderate test substances. Area timely for developing research: This review provides a critical appraisal of the selected in vitro and ex vivo ocular toxicity models recommended by international regulatory bodies. These include cytotoxicitymethods, </w:t>
      </w:r>
      <w:r>
        <w:rPr>
          <w:kern w:val="0"/>
        </w:rPr>
        <w:lastRenderedPageBreak/>
        <w:t>biochemical systems and ex vivo assays. The latter are approved by ECVAM as in vitro alternatives for the well-known Draize test. Hen’s egg test-chorioallantoic membrane and the isolated rabbit eye test are also accepted by regulatory agencies in France, Germany, the Netherlands and the UK. A combination of ex vivo assays along with histological examination of excised bovine cornea can predict the conjunctival and corneal tolerability and cover a wider range of ocular pharmaceutical substances.</w:t>
      </w:r>
    </w:p>
    <w:p w:rsidR="00163034" w:rsidRDefault="00163034" w:rsidP="00163034">
      <w:pPr>
        <w:pStyle w:val="a3"/>
        <w:rPr>
          <w:kern w:val="0"/>
        </w:rPr>
      </w:pPr>
      <w:r>
        <w:rPr>
          <w:kern w:val="0"/>
        </w:rPr>
        <w:t>Keywords: Alternative, Alternatives, Animals, Assay, Bodies, Bovine, Bovine Cornea, Chemicals, Cornea, Data, Detergents, Developing, Draize Test, Examination, Eye Irritation, France, From, Germany, Gold, Google, Google Scholar, Hen’</w:t>
      </w:r>
      <w:r>
        <w:rPr>
          <w:rFonts w:hint="eastAsia"/>
          <w:kern w:val="0"/>
        </w:rPr>
        <w:t>s</w:t>
      </w:r>
      <w:r>
        <w:rPr>
          <w:kern w:val="0"/>
        </w:rPr>
        <w:t xml:space="preserve"> Egg Chorioallantoic Membrane, In Vitro, In-Vitro, International, Irritancy, Irritation, Mar, Medline, Membrane, Methods, Mild, Model, Models, Ocular Drug-Delivery, Ocular Toxicity, Opacity And Permeability, Permeability, Pharmaceuticals, Potential, Reference, Regulatory Agencies, Requirement, Research, Review, Science, Scopus, Source Of Data, Standard, Substances, Surfactants, Systems, Testing, The Netherlands, Toxicity, UK, Validation, Web, Web Of Science</w:t>
      </w:r>
    </w:p>
    <w:p w:rsidR="003474F2" w:rsidRPr="001A3D2B" w:rsidRDefault="003474F2" w:rsidP="003474F2">
      <w:pPr>
        <w:pStyle w:val="1"/>
      </w:pPr>
      <w:r w:rsidRPr="001A3D2B">
        <w:br w:type="page"/>
      </w:r>
      <w:bookmarkStart w:id="954" w:name="_Toc420814840"/>
      <w:r w:rsidRPr="001A3D2B">
        <w:lastRenderedPageBreak/>
        <w:t>Title: British Medical Journal</w:t>
      </w:r>
      <w:bookmarkEnd w:id="954"/>
    </w:p>
    <w:p w:rsidR="00BE2FA3" w:rsidRPr="001A3D2B" w:rsidRDefault="00BE2FA3" w:rsidP="00BE2FA3">
      <w:pPr>
        <w:pStyle w:val="12"/>
      </w:pPr>
      <w:r w:rsidRPr="001A3D2B">
        <w:t>Full Journal Ti</w:t>
      </w:r>
      <w:bookmarkStart w:id="955" w:name="_Toc487192789"/>
      <w:bookmarkStart w:id="956" w:name="_Toc489709645"/>
      <w:bookmarkStart w:id="957" w:name="_Toc490687726"/>
      <w:bookmarkStart w:id="958" w:name="_Toc30750791"/>
      <w:bookmarkStart w:id="959" w:name="_Toc43634548"/>
      <w:bookmarkStart w:id="960" w:name="_Toc81215651"/>
      <w:r w:rsidRPr="001A3D2B">
        <w:t xml:space="preserve">tle: </w:t>
      </w:r>
      <w:r w:rsidR="00206C8A">
        <w:fldChar w:fldCharType="begin"/>
      </w:r>
      <w:r w:rsidR="00FD158B">
        <w:instrText>H</w:instrText>
      </w:r>
      <w:bookmarkEnd w:id="955"/>
      <w:r w:rsidR="00FD158B">
        <w:instrText>YPERLINK "http://bmj.co</w:instrText>
      </w:r>
      <w:bookmarkEnd w:id="956"/>
      <w:bookmarkEnd w:id="957"/>
      <w:bookmarkEnd w:id="958"/>
      <w:bookmarkEnd w:id="959"/>
      <w:bookmarkEnd w:id="960"/>
      <w:r w:rsidR="00FD158B">
        <w:instrText>m/"</w:instrText>
      </w:r>
      <w:r w:rsidR="00206C8A">
        <w:fldChar w:fldCharType="separate"/>
      </w:r>
      <w:r w:rsidRPr="001A3D2B">
        <w:rPr>
          <w:rStyle w:val="a5"/>
        </w:rPr>
        <w:t>British Medical Journal</w:t>
      </w:r>
      <w:r w:rsidR="00206C8A">
        <w:fldChar w:fldCharType="end"/>
      </w:r>
      <w:r w:rsidRPr="001A3D2B">
        <w:t xml:space="preserve">; </w:t>
      </w:r>
      <w:hyperlink r:id="rId1979" w:history="1">
        <w:r w:rsidRPr="001A3D2B">
          <w:rPr>
            <w:rStyle w:val="a5"/>
          </w:rPr>
          <w:t>British Medical Journal</w:t>
        </w:r>
      </w:hyperlink>
    </w:p>
    <w:p w:rsidR="00BE2FA3" w:rsidRPr="001A3D2B" w:rsidRDefault="00BE2FA3" w:rsidP="00BE2FA3">
      <w:pPr>
        <w:pStyle w:val="12"/>
      </w:pPr>
      <w:r w:rsidRPr="001A3D2B">
        <w:t>ISO Abbreviated Title: Br. Med. J.</w:t>
      </w:r>
    </w:p>
    <w:p w:rsidR="00BE2FA3" w:rsidRPr="001A3D2B" w:rsidRDefault="00BE2FA3" w:rsidP="00BE2FA3">
      <w:pPr>
        <w:pStyle w:val="12"/>
      </w:pPr>
      <w:r w:rsidRPr="001A3D2B">
        <w:t>JCR Abbreviated Title: Brit Med J</w:t>
      </w:r>
    </w:p>
    <w:p w:rsidR="00BE2FA3" w:rsidRPr="001A3D2B" w:rsidRDefault="00BE2FA3" w:rsidP="00BE2FA3">
      <w:pPr>
        <w:pStyle w:val="12"/>
      </w:pPr>
      <w:r w:rsidRPr="001A3D2B">
        <w:t>ISSN: 0959-8138</w:t>
      </w:r>
    </w:p>
    <w:p w:rsidR="00BE2FA3" w:rsidRPr="001A3D2B" w:rsidRDefault="00BE2FA3" w:rsidP="00BE2FA3">
      <w:pPr>
        <w:pStyle w:val="12"/>
      </w:pPr>
      <w:r w:rsidRPr="001A3D2B">
        <w:t>Issues/Year: 52</w:t>
      </w:r>
    </w:p>
    <w:p w:rsidR="00BE2FA3" w:rsidRPr="001A3D2B" w:rsidRDefault="00BE2FA3" w:rsidP="00BE2FA3">
      <w:pPr>
        <w:pStyle w:val="12"/>
      </w:pPr>
      <w:r w:rsidRPr="001A3D2B">
        <w:t>Journal Country/Territory: England</w:t>
      </w:r>
    </w:p>
    <w:p w:rsidR="00BE2FA3" w:rsidRPr="001A3D2B" w:rsidRDefault="00BE2FA3" w:rsidP="00BE2FA3">
      <w:pPr>
        <w:pStyle w:val="12"/>
      </w:pPr>
      <w:r w:rsidRPr="001A3D2B">
        <w:t>Language: English</w:t>
      </w:r>
    </w:p>
    <w:p w:rsidR="00BE2FA3" w:rsidRPr="001A3D2B" w:rsidRDefault="00BE2FA3" w:rsidP="00BE2FA3">
      <w:pPr>
        <w:pStyle w:val="12"/>
      </w:pPr>
      <w:r w:rsidRPr="001A3D2B">
        <w:t>Publisher: British Med Journal Publ Group</w:t>
      </w:r>
    </w:p>
    <w:p w:rsidR="00BE2FA3" w:rsidRPr="001A3D2B" w:rsidRDefault="00BE2FA3" w:rsidP="00BE2FA3">
      <w:pPr>
        <w:pStyle w:val="12"/>
      </w:pPr>
      <w:r w:rsidRPr="001A3D2B">
        <w:t>Publisher Address: British Med Assoc House, Tavistock Square, London WC1H 9JR, England</w:t>
      </w:r>
    </w:p>
    <w:p w:rsidR="00BE2FA3" w:rsidRPr="001A3D2B" w:rsidRDefault="00BE2FA3" w:rsidP="00BE2FA3">
      <w:pPr>
        <w:pStyle w:val="12"/>
      </w:pPr>
      <w:r w:rsidRPr="001A3D2B">
        <w:t xml:space="preserve">Subject Categories: </w:t>
      </w:r>
    </w:p>
    <w:p w:rsidR="00BE2FA3" w:rsidRPr="001A3D2B" w:rsidRDefault="00BE2FA3" w:rsidP="00BE2FA3">
      <w:pPr>
        <w:pStyle w:val="12"/>
      </w:pPr>
      <w:r w:rsidRPr="001A3D2B">
        <w:t>Medicine, General &amp; Internal: Impact Factor 6.629 (2001), Impact Factor 7.585, 6/107 (2002)</w:t>
      </w:r>
    </w:p>
    <w:p w:rsidR="000B79DA" w:rsidRPr="00FC7835" w:rsidRDefault="000B79DA" w:rsidP="000B79DA">
      <w:pPr>
        <w:pStyle w:val="a3"/>
      </w:pPr>
      <w:r w:rsidRPr="00FC7835">
        <w:t xml:space="preserve">? </w:t>
      </w:r>
      <w:r w:rsidRPr="00C31619">
        <w:t>International Steering Committee</w:t>
      </w:r>
      <w:r w:rsidR="00427468">
        <w:t xml:space="preserve"> of </w:t>
      </w:r>
      <w:r w:rsidRPr="00C31619">
        <w:t xml:space="preserve">Medical Editors </w:t>
      </w:r>
      <w:r w:rsidRPr="00FC7835">
        <w:t>(197</w:t>
      </w:r>
      <w:r>
        <w:rPr>
          <w:rFonts w:hint="eastAsia"/>
        </w:rPr>
        <w:t>9</w:t>
      </w:r>
      <w:r w:rsidRPr="00FC7835">
        <w:t>)</w:t>
      </w:r>
      <w:r>
        <w:t xml:space="preserve">, </w:t>
      </w:r>
      <w:r w:rsidRPr="00C31619">
        <w:t>Uniform requirements for manuscripts submitted to biomedical journals</w:t>
      </w:r>
      <w:r w:rsidRPr="00FC7835">
        <w:t xml:space="preserve">. </w:t>
      </w:r>
      <w:r w:rsidRPr="00FC7835">
        <w:rPr>
          <w:i/>
        </w:rPr>
        <w:t>British Medical Journal</w:t>
      </w:r>
      <w:r>
        <w:t xml:space="preserve">, </w:t>
      </w:r>
      <w:r>
        <w:rPr>
          <w:rFonts w:hint="eastAsia"/>
          <w:b/>
        </w:rPr>
        <w:t>1</w:t>
      </w:r>
      <w:r w:rsidRPr="00FC7835">
        <w:t xml:space="preserve"> (</w:t>
      </w:r>
      <w:r>
        <w:rPr>
          <w:rFonts w:hint="eastAsia"/>
        </w:rPr>
        <w:t>6162</w:t>
      </w:r>
      <w:r w:rsidRPr="00FC7835">
        <w:t>)</w:t>
      </w:r>
      <w:r>
        <w:t xml:space="preserve">, </w:t>
      </w:r>
      <w:r>
        <w:rPr>
          <w:rFonts w:hint="eastAsia"/>
        </w:rPr>
        <w:t>532</w:t>
      </w:r>
      <w:r>
        <w:t>-</w:t>
      </w:r>
      <w:r>
        <w:rPr>
          <w:rFonts w:hint="eastAsia"/>
        </w:rPr>
        <w:t>535</w:t>
      </w:r>
      <w:r w:rsidRPr="00FC7835">
        <w:t>.</w:t>
      </w:r>
    </w:p>
    <w:p w:rsidR="000B79DA" w:rsidRDefault="000B79DA" w:rsidP="000B79DA">
      <w:pPr>
        <w:pStyle w:val="a3"/>
      </w:pPr>
      <w:r>
        <w:rPr>
          <w:rFonts w:hint="eastAsia"/>
        </w:rPr>
        <w:t xml:space="preserve">Full Text: </w:t>
      </w:r>
      <w:hyperlink r:id="rId1980" w:history="1">
        <w:r w:rsidRPr="00C31619">
          <w:rPr>
            <w:rStyle w:val="a5"/>
          </w:rPr>
          <w:t>1960-80\Bri Med J1, 532.pdf</w:t>
        </w:r>
      </w:hyperlink>
    </w:p>
    <w:p w:rsidR="003474F2" w:rsidRPr="001A3D2B" w:rsidRDefault="003474F2" w:rsidP="003474F2">
      <w:pPr>
        <w:pStyle w:val="a3"/>
      </w:pPr>
      <w:r w:rsidRPr="001A3D2B">
        <w:t xml:space="preserve">? Humphrey, S.M. (1983), </w:t>
      </w:r>
      <w:r w:rsidR="00B5188C">
        <w:t>“</w:t>
      </w:r>
      <w:r w:rsidRPr="001A3D2B">
        <w:t>Index Medicus</w:t>
      </w:r>
      <w:r w:rsidR="00B5188C">
        <w:t>”</w:t>
      </w:r>
      <w:r w:rsidR="005853A9">
        <w:t xml:space="preserve"> and </w:t>
      </w:r>
      <w:r w:rsidR="003A1917">
        <w:t xml:space="preserve">the </w:t>
      </w:r>
      <w:r w:rsidR="00B5188C">
        <w:t>“</w:t>
      </w:r>
      <w:r w:rsidRPr="001A3D2B">
        <w:t>Science Citation Index</w:t>
      </w:r>
      <w:r w:rsidR="00B5188C">
        <w:t>”</w:t>
      </w:r>
      <w:r w:rsidRPr="001A3D2B">
        <w:t xml:space="preserve">. </w:t>
      </w:r>
      <w:r w:rsidRPr="001A3D2B">
        <w:rPr>
          <w:i/>
          <w:iCs/>
        </w:rPr>
        <w:t>British Medical Journal</w:t>
      </w:r>
      <w:r w:rsidRPr="001A3D2B">
        <w:t xml:space="preserve">, </w:t>
      </w:r>
      <w:r w:rsidRPr="001A3D2B">
        <w:rPr>
          <w:b/>
          <w:bCs/>
        </w:rPr>
        <w:t>286</w:t>
      </w:r>
      <w:r w:rsidRPr="001A3D2B">
        <w:t xml:space="preserve"> (6368), 892-893.</w:t>
      </w:r>
    </w:p>
    <w:p w:rsidR="009B3DB8" w:rsidRPr="001A3D2B" w:rsidRDefault="009B3DB8" w:rsidP="009B3DB8">
      <w:pPr>
        <w:pStyle w:val="a3"/>
      </w:pPr>
      <w:r w:rsidRPr="001A3D2B">
        <w:t xml:space="preserve">Full Text: </w:t>
      </w:r>
      <w:hyperlink r:id="rId1981" w:history="1">
        <w:r w:rsidRPr="001A3D2B">
          <w:rPr>
            <w:rStyle w:val="a5"/>
          </w:rPr>
          <w:t>1983\Bri Med J286, 892.pdf</w:t>
        </w:r>
      </w:hyperlink>
    </w:p>
    <w:p w:rsidR="003474F2" w:rsidRPr="001A3D2B" w:rsidRDefault="003474F2" w:rsidP="003474F2">
      <w:pPr>
        <w:pStyle w:val="a3"/>
      </w:pPr>
      <w:r w:rsidRPr="001A3D2B">
        <w:t>Keywords: Citation, Science Citation Index</w:t>
      </w:r>
    </w:p>
    <w:p w:rsidR="009B3DB8" w:rsidRPr="001A3D2B" w:rsidRDefault="009B3DB8" w:rsidP="009B3DB8">
      <w:pPr>
        <w:pStyle w:val="a3"/>
      </w:pPr>
      <w:r w:rsidRPr="001A3D2B">
        <w:t>? Delacey, G., Record, C.</w:t>
      </w:r>
      <w:r w:rsidR="005853A9">
        <w:t xml:space="preserve"> and </w:t>
      </w:r>
      <w:r w:rsidRPr="001A3D2B">
        <w:t>Wade, J. (1985), Style matters - How accurate are quotations</w:t>
      </w:r>
      <w:r w:rsidR="005853A9">
        <w:t xml:space="preserve"> and </w:t>
      </w:r>
      <w:r w:rsidRPr="001A3D2B">
        <w:t xml:space="preserve">references in medical journals? </w:t>
      </w:r>
      <w:r w:rsidRPr="001A3D2B">
        <w:rPr>
          <w:i/>
        </w:rPr>
        <w:t>British Medical Journal</w:t>
      </w:r>
      <w:r w:rsidRPr="001A3D2B">
        <w:t xml:space="preserve">, </w:t>
      </w:r>
      <w:r w:rsidRPr="001A3D2B">
        <w:rPr>
          <w:b/>
          <w:bCs/>
        </w:rPr>
        <w:t>291</w:t>
      </w:r>
      <w:r w:rsidRPr="001A3D2B">
        <w:t xml:space="preserve"> (6499), 884-886.</w:t>
      </w:r>
    </w:p>
    <w:p w:rsidR="009B3DB8" w:rsidRPr="001A3D2B" w:rsidRDefault="009B3DB8" w:rsidP="009B3DB8">
      <w:pPr>
        <w:pStyle w:val="a3"/>
      </w:pPr>
      <w:r w:rsidRPr="001A3D2B">
        <w:t xml:space="preserve">Full Text: </w:t>
      </w:r>
      <w:hyperlink r:id="rId1982" w:history="1">
        <w:r w:rsidR="009E4A16" w:rsidRPr="009E4A16">
          <w:rPr>
            <w:rStyle w:val="a5"/>
          </w:rPr>
          <w:t>1985\Bri Med J291, 884.pdf</w:t>
        </w:r>
      </w:hyperlink>
    </w:p>
    <w:p w:rsidR="003474F2" w:rsidRPr="001A3D2B" w:rsidRDefault="003474F2" w:rsidP="003474F2">
      <w:pPr>
        <w:pStyle w:val="a3"/>
      </w:pPr>
      <w:r w:rsidRPr="001A3D2B">
        <w:t>? Evered, D.C., Anderson, J., Griggs, P.</w:t>
      </w:r>
      <w:r w:rsidR="005853A9">
        <w:t xml:space="preserve"> and </w:t>
      </w:r>
      <w:r w:rsidRPr="001A3D2B">
        <w:t>Wakeford, R. (1987</w:t>
      </w:r>
      <w:r w:rsidR="00F42EAC">
        <w:t>), The</w:t>
      </w:r>
      <w:r w:rsidR="003A1917">
        <w:t xml:space="preserve"> </w:t>
      </w:r>
      <w:r w:rsidRPr="001A3D2B">
        <w:t>correlates</w:t>
      </w:r>
      <w:r w:rsidR="00427468">
        <w:t xml:space="preserve"> of </w:t>
      </w:r>
      <w:r w:rsidRPr="001A3D2B">
        <w:t xml:space="preserve">research success. </w:t>
      </w:r>
      <w:r w:rsidRPr="001A3D2B">
        <w:rPr>
          <w:i/>
          <w:iCs/>
        </w:rPr>
        <w:t>British Medical Journal</w:t>
      </w:r>
      <w:r w:rsidRPr="001A3D2B">
        <w:t xml:space="preserve">, </w:t>
      </w:r>
      <w:r w:rsidRPr="001A3D2B">
        <w:rPr>
          <w:b/>
          <w:bCs/>
        </w:rPr>
        <w:t>295</w:t>
      </w:r>
      <w:r w:rsidRPr="001A3D2B">
        <w:t xml:space="preserve"> (6592), 241-246.</w:t>
      </w:r>
    </w:p>
    <w:p w:rsidR="009B3DB8" w:rsidRPr="001A3D2B" w:rsidRDefault="009B3DB8" w:rsidP="009B3DB8">
      <w:pPr>
        <w:pStyle w:val="a3"/>
      </w:pPr>
      <w:r w:rsidRPr="001A3D2B">
        <w:t xml:space="preserve">Full Text: </w:t>
      </w:r>
      <w:hyperlink r:id="rId1983" w:history="1">
        <w:r w:rsidR="009E4A16" w:rsidRPr="009E4A16">
          <w:rPr>
            <w:rStyle w:val="a5"/>
          </w:rPr>
          <w:t>1987\Bri Med J295, 241.pdf</w:t>
        </w:r>
      </w:hyperlink>
    </w:p>
    <w:p w:rsidR="003474F2" w:rsidRPr="001A3D2B" w:rsidRDefault="003474F2" w:rsidP="003474F2">
      <w:pPr>
        <w:pStyle w:val="a3"/>
      </w:pPr>
      <w:r w:rsidRPr="001A3D2B">
        <w:t>? Dixon, B. (1990</w:t>
      </w:r>
      <w:r w:rsidR="00F42EAC">
        <w:t>), The</w:t>
      </w:r>
      <w:r w:rsidR="003A1917">
        <w:t xml:space="preserve"> </w:t>
      </w:r>
      <w:r w:rsidR="00700038">
        <w:t>‘</w:t>
      </w:r>
      <w:r w:rsidRPr="001A3D2B">
        <w:t>top 50</w:t>
      </w:r>
      <w:r w:rsidR="00700038">
        <w:t>’</w:t>
      </w:r>
      <w:r w:rsidRPr="001A3D2B">
        <w:t>: A perspective on</w:t>
      </w:r>
      <w:r w:rsidR="003A1917">
        <w:t xml:space="preserve"> the </w:t>
      </w:r>
      <w:r w:rsidRPr="001A3D2B">
        <w:rPr>
          <w:i/>
          <w:iCs/>
        </w:rPr>
        <w:t>BMJ</w:t>
      </w:r>
      <w:r w:rsidRPr="001A3D2B">
        <w:t xml:space="preserve"> drawn from</w:t>
      </w:r>
      <w:r w:rsidR="003A1917">
        <w:t xml:space="preserve"> the </w:t>
      </w:r>
      <w:r w:rsidRPr="001A3D2B">
        <w:rPr>
          <w:i/>
          <w:iCs/>
        </w:rPr>
        <w:t>Science Citation Index</w:t>
      </w:r>
      <w:r w:rsidRPr="001A3D2B">
        <w:t xml:space="preserve">. </w:t>
      </w:r>
      <w:r w:rsidRPr="001A3D2B">
        <w:rPr>
          <w:i/>
        </w:rPr>
        <w:t>British Medical Journal</w:t>
      </w:r>
      <w:r w:rsidRPr="001A3D2B">
        <w:t xml:space="preserve">, </w:t>
      </w:r>
      <w:r w:rsidRPr="001A3D2B">
        <w:rPr>
          <w:b/>
          <w:bCs/>
        </w:rPr>
        <w:t>301</w:t>
      </w:r>
      <w:r w:rsidRPr="001A3D2B">
        <w:t xml:space="preserve"> (6754), 747-751.</w:t>
      </w:r>
    </w:p>
    <w:p w:rsidR="003474F2" w:rsidRPr="001A3D2B" w:rsidRDefault="003474F2" w:rsidP="003474F2">
      <w:pPr>
        <w:pStyle w:val="a3"/>
      </w:pPr>
      <w:r w:rsidRPr="001A3D2B">
        <w:t xml:space="preserve">Full Text: </w:t>
      </w:r>
      <w:hyperlink r:id="rId1984" w:history="1">
        <w:r w:rsidRPr="001A3D2B">
          <w:rPr>
            <w:rStyle w:val="a5"/>
          </w:rPr>
          <w:t>1990\Bri Med J301, 747.pdf</w:t>
        </w:r>
      </w:hyperlink>
    </w:p>
    <w:p w:rsidR="003474F2" w:rsidRPr="001A3D2B" w:rsidRDefault="003474F2" w:rsidP="003474F2">
      <w:pPr>
        <w:pStyle w:val="a3"/>
      </w:pPr>
      <w:r w:rsidRPr="001A3D2B">
        <w:t>Keywords: Science Citation Index</w:t>
      </w:r>
    </w:p>
    <w:p w:rsidR="003474F2" w:rsidRPr="001A3D2B" w:rsidRDefault="003474F2" w:rsidP="003474F2">
      <w:pPr>
        <w:pStyle w:val="a3"/>
      </w:pPr>
      <w:r w:rsidRPr="001A3D2B">
        <w:t>? Tsafrir, J.S.</w:t>
      </w:r>
      <w:r w:rsidR="005853A9">
        <w:t xml:space="preserve"> and </w:t>
      </w:r>
      <w:r w:rsidRPr="001A3D2B">
        <w:t>Reis, T. (1990), Using</w:t>
      </w:r>
      <w:r w:rsidR="003A1917">
        <w:t xml:space="preserve"> the </w:t>
      </w:r>
      <w:r w:rsidRPr="001A3D2B">
        <w:t xml:space="preserve">citation index to assess performance. </w:t>
      </w:r>
      <w:r w:rsidRPr="001A3D2B">
        <w:rPr>
          <w:i/>
          <w:iCs/>
        </w:rPr>
        <w:t>British Medical Journal</w:t>
      </w:r>
      <w:r w:rsidRPr="001A3D2B">
        <w:t xml:space="preserve">, </w:t>
      </w:r>
      <w:r w:rsidRPr="001A3D2B">
        <w:rPr>
          <w:b/>
          <w:bCs/>
        </w:rPr>
        <w:t>301</w:t>
      </w:r>
      <w:r w:rsidRPr="001A3D2B">
        <w:t xml:space="preserve"> (6764), 1333-1334.</w:t>
      </w:r>
    </w:p>
    <w:p w:rsidR="009E4A16" w:rsidRPr="00FC7835" w:rsidRDefault="009E4A16" w:rsidP="009E4A16">
      <w:pPr>
        <w:pStyle w:val="a3"/>
      </w:pPr>
      <w:r>
        <w:t>Full Text:</w:t>
      </w:r>
      <w:r w:rsidRPr="00FC7835">
        <w:t xml:space="preserve"> </w:t>
      </w:r>
      <w:hyperlink r:id="rId1985" w:history="1">
        <w:r w:rsidRPr="002308EE">
          <w:rPr>
            <w:rStyle w:val="a5"/>
          </w:rPr>
          <w:t>1990\Bri Med J301, 1333.pdf</w:t>
        </w:r>
      </w:hyperlink>
    </w:p>
    <w:p w:rsidR="003474F2" w:rsidRPr="001A3D2B" w:rsidRDefault="003474F2" w:rsidP="003474F2">
      <w:pPr>
        <w:pStyle w:val="a3"/>
      </w:pPr>
      <w:r w:rsidRPr="001A3D2B">
        <w:t>Notes: TTopic</w:t>
      </w:r>
    </w:p>
    <w:p w:rsidR="003474F2" w:rsidRPr="001A3D2B" w:rsidRDefault="003474F2" w:rsidP="003474F2">
      <w:pPr>
        <w:pStyle w:val="a3"/>
      </w:pPr>
      <w:r w:rsidRPr="001A3D2B">
        <w:lastRenderedPageBreak/>
        <w:t>Ravnskov, U. (1992), Cholesterol lowering trials in coronary heart-disease - frequency</w:t>
      </w:r>
      <w:r w:rsidR="00427468">
        <w:t xml:space="preserve"> of </w:t>
      </w:r>
      <w:r w:rsidRPr="001A3D2B">
        <w:t>citation</w:t>
      </w:r>
      <w:r w:rsidR="005853A9">
        <w:t xml:space="preserve"> and </w:t>
      </w:r>
      <w:r w:rsidRPr="001A3D2B">
        <w:t xml:space="preserve">outcome. </w:t>
      </w:r>
      <w:r w:rsidRPr="001A3D2B">
        <w:rPr>
          <w:i/>
        </w:rPr>
        <w:t>British Medical Journal</w:t>
      </w:r>
      <w:r w:rsidRPr="001A3D2B">
        <w:t xml:space="preserve">, </w:t>
      </w:r>
      <w:r w:rsidRPr="001A3D2B">
        <w:rPr>
          <w:b/>
          <w:bCs/>
        </w:rPr>
        <w:t>305</w:t>
      </w:r>
      <w:r w:rsidRPr="001A3D2B">
        <w:t xml:space="preserve"> (6844), 15-19.</w:t>
      </w:r>
    </w:p>
    <w:p w:rsidR="003474F2" w:rsidRPr="001A3D2B" w:rsidRDefault="003474F2" w:rsidP="003474F2">
      <w:pPr>
        <w:pStyle w:val="a3"/>
      </w:pPr>
      <w:r w:rsidRPr="001A3D2B">
        <w:t xml:space="preserve">Full Text: </w:t>
      </w:r>
      <w:hyperlink r:id="rId1986" w:history="1">
        <w:r w:rsidRPr="001A3D2B">
          <w:rPr>
            <w:rStyle w:val="a5"/>
          </w:rPr>
          <w:t>1992\Bri Med J305, 15.pdf</w:t>
        </w:r>
      </w:hyperlink>
    </w:p>
    <w:p w:rsidR="003474F2" w:rsidRPr="001A3D2B" w:rsidRDefault="003474F2" w:rsidP="003474F2">
      <w:pPr>
        <w:pStyle w:val="a3"/>
      </w:pPr>
      <w:r w:rsidRPr="001A3D2B">
        <w:t>Abstract: Objective-To see if</w:t>
      </w:r>
      <w:r w:rsidR="003A1917">
        <w:t xml:space="preserve"> the </w:t>
      </w:r>
      <w:r w:rsidRPr="001A3D2B">
        <w:t>claim that lowering cholesterol values prevents coronary heart disease is true or if it is based on citation</w:t>
      </w:r>
      <w:r w:rsidR="00427468">
        <w:t xml:space="preserve"> of </w:t>
      </w:r>
      <w:r w:rsidRPr="001A3D2B">
        <w:t>supportive trials only.</w:t>
      </w:r>
    </w:p>
    <w:p w:rsidR="003474F2" w:rsidRPr="001A3D2B" w:rsidRDefault="003474F2" w:rsidP="003474F2">
      <w:pPr>
        <w:pStyle w:val="a3"/>
      </w:pPr>
      <w:r w:rsidRPr="001A3D2B">
        <w:t>Design-Comparison</w:t>
      </w:r>
      <w:r w:rsidR="00427468">
        <w:t xml:space="preserve"> of </w:t>
      </w:r>
      <w:r w:rsidRPr="001A3D2B">
        <w:t>frequency</w:t>
      </w:r>
      <w:r w:rsidR="00427468">
        <w:t xml:space="preserve"> of </w:t>
      </w:r>
      <w:r w:rsidRPr="001A3D2B">
        <w:t>citation with outcome</w:t>
      </w:r>
      <w:r w:rsidR="00427468">
        <w:t xml:space="preserve"> of </w:t>
      </w:r>
      <w:r w:rsidRPr="001A3D2B">
        <w:t>all controlled cholesterol lowering trials using coronary heart disease or death, or both, as end point.</w:t>
      </w:r>
    </w:p>
    <w:p w:rsidR="003474F2" w:rsidRPr="001A3D2B" w:rsidRDefault="003474F2" w:rsidP="003474F2">
      <w:pPr>
        <w:pStyle w:val="a3"/>
      </w:pPr>
      <w:r w:rsidRPr="001A3D2B">
        <w:t>Subjects-22 controlled cholesterol lowering trials.</w:t>
      </w:r>
    </w:p>
    <w:p w:rsidR="003474F2" w:rsidRPr="001A3D2B" w:rsidRDefault="003474F2" w:rsidP="003474F2">
      <w:pPr>
        <w:pStyle w:val="a3"/>
      </w:pPr>
      <w:r w:rsidRPr="001A3D2B">
        <w:t>Results-Trials considered by their directors as supportive</w:t>
      </w:r>
      <w:r w:rsidR="00427468">
        <w:t xml:space="preserve"> of </w:t>
      </w:r>
      <w:r w:rsidR="003A1917">
        <w:t xml:space="preserve">the </w:t>
      </w:r>
      <w:r w:rsidRPr="001A3D2B">
        <w:t>contention were cited almost six times more often than others, according to Science Citation Index. Apart from trials discontinued because</w:t>
      </w:r>
      <w:r w:rsidR="00427468">
        <w:t xml:space="preserve"> of </w:t>
      </w:r>
      <w:r w:rsidRPr="001A3D2B">
        <w:t>alleged side effects</w:t>
      </w:r>
      <w:r w:rsidR="00427468">
        <w:t xml:space="preserve"> of </w:t>
      </w:r>
      <w:r w:rsidRPr="001A3D2B">
        <w:t>treatment, unsupportive trials were not cited after 1970, although their number almost equalled</w:t>
      </w:r>
      <w:r w:rsidR="003A1917">
        <w:t xml:space="preserve"> the </w:t>
      </w:r>
      <w:r w:rsidRPr="001A3D2B">
        <w:t>number considered supportive. In three supportive reviews</w:t>
      </w:r>
      <w:r w:rsidR="003A1917">
        <w:t xml:space="preserve"> the </w:t>
      </w:r>
      <w:r w:rsidRPr="001A3D2B">
        <w:t>outcome</w:t>
      </w:r>
      <w:r w:rsidR="00427468">
        <w:t xml:space="preserve"> of </w:t>
      </w:r>
      <w:r w:rsidR="003A1917">
        <w:t xml:space="preserve">the </w:t>
      </w:r>
      <w:r w:rsidRPr="001A3D2B">
        <w:t>selected trials was more favourable than</w:t>
      </w:r>
      <w:r w:rsidR="003A1917">
        <w:t xml:space="preserve"> the </w:t>
      </w:r>
      <w:r w:rsidRPr="001A3D2B">
        <w:t>outcome</w:t>
      </w:r>
      <w:r w:rsidR="00427468">
        <w:t xml:space="preserve"> of </w:t>
      </w:r>
      <w:r w:rsidR="003A1917">
        <w:t xml:space="preserve">the </w:t>
      </w:r>
      <w:r w:rsidRPr="001A3D2B">
        <w:t>excluded</w:t>
      </w:r>
      <w:r w:rsidR="005853A9">
        <w:t xml:space="preserve"> and </w:t>
      </w:r>
      <w:r w:rsidRPr="001A3D2B">
        <w:t>ignored trials. In</w:t>
      </w:r>
      <w:r w:rsidR="003A1917">
        <w:t xml:space="preserve"> the </w:t>
      </w:r>
      <w:r w:rsidRPr="001A3D2B">
        <w:t>22 controlled cholesterol lowering trials studied total</w:t>
      </w:r>
      <w:r w:rsidR="005853A9">
        <w:t xml:space="preserve"> and </w:t>
      </w:r>
      <w:r w:rsidRPr="001A3D2B">
        <w:t>coronary heart disease mortality was not changed significantly either overall or in any subgroup. A statistically significant 0-32% reduction in non-fatal coronary heart disease seemed to be due to bias as event frequencies were unrelated to trial length</w:t>
      </w:r>
      <w:r w:rsidR="005853A9">
        <w:t xml:space="preserve"> and </w:t>
      </w:r>
      <w:r w:rsidRPr="001A3D2B">
        <w:t>to mean net reduction in cholesterol value; individual changes in cholesterol values were unsystematically or not related to outcome;</w:t>
      </w:r>
      <w:r w:rsidR="005853A9">
        <w:t xml:space="preserve"> and </w:t>
      </w:r>
      <w:r w:rsidRPr="001A3D2B">
        <w:t>after correction for a small but significant increase in non-medical deaths in</w:t>
      </w:r>
      <w:r w:rsidR="003A1917">
        <w:t xml:space="preserve"> the </w:t>
      </w:r>
      <w:r w:rsidRPr="001A3D2B">
        <w:t>intervention groups total mortality remained unchanged (odds ratio 1.02).</w:t>
      </w:r>
    </w:p>
    <w:p w:rsidR="003474F2" w:rsidRPr="001A3D2B" w:rsidRDefault="003474F2" w:rsidP="003474F2">
      <w:pPr>
        <w:pStyle w:val="a3"/>
      </w:pPr>
      <w:r w:rsidRPr="001A3D2B">
        <w:t>Conclusion-Lowering serum cholesterol concentrations does not reduce mortality</w:t>
      </w:r>
      <w:r w:rsidR="005853A9">
        <w:t xml:space="preserve"> and </w:t>
      </w:r>
      <w:r w:rsidRPr="001A3D2B">
        <w:t>is unlikely to prevent coronary heart disease. Claims</w:t>
      </w:r>
      <w:r w:rsidR="00427468">
        <w:t xml:space="preserve"> of </w:t>
      </w:r>
      <w:r w:rsidR="003A1917">
        <w:t xml:space="preserve">the </w:t>
      </w:r>
      <w:r w:rsidRPr="001A3D2B">
        <w:t>opposite are based on preferential citation</w:t>
      </w:r>
      <w:r w:rsidR="00427468">
        <w:t xml:space="preserve"> of </w:t>
      </w:r>
      <w:r w:rsidRPr="001A3D2B">
        <w:t>supportive trials.</w:t>
      </w:r>
    </w:p>
    <w:p w:rsidR="003474F2" w:rsidRPr="001A3D2B" w:rsidRDefault="003474F2" w:rsidP="003474F2">
      <w:pPr>
        <w:pStyle w:val="a3"/>
      </w:pPr>
      <w:r w:rsidRPr="001A3D2B">
        <w:t>Keywords: Middle-Aged Men, Myocardial-Infarction, Primary-Prevention, Randomized Trials, Mortality, Diet, Risk, Reduction</w:t>
      </w:r>
    </w:p>
    <w:p w:rsidR="001B18A6" w:rsidRPr="00FC7835" w:rsidRDefault="001B18A6" w:rsidP="001B18A6">
      <w:pPr>
        <w:pStyle w:val="a3"/>
      </w:pPr>
      <w:r w:rsidRPr="00FC7835">
        <w:t>Durrington</w:t>
      </w:r>
      <w:r>
        <w:t xml:space="preserve">, </w:t>
      </w:r>
      <w:r w:rsidRPr="00FC7835">
        <w:t>P.N.</w:t>
      </w:r>
      <w:r>
        <w:t xml:space="preserve">, </w:t>
      </w:r>
      <w:r w:rsidRPr="00FC7835">
        <w:t>Laker</w:t>
      </w:r>
      <w:r>
        <w:t xml:space="preserve">, </w:t>
      </w:r>
      <w:r w:rsidRPr="00FC7835">
        <w:t>M.F.</w:t>
      </w:r>
      <w:r w:rsidR="005853A9">
        <w:t xml:space="preserve"> and </w:t>
      </w:r>
      <w:r w:rsidRPr="00FC7835">
        <w:t>Keech</w:t>
      </w:r>
      <w:r>
        <w:t xml:space="preserve">, </w:t>
      </w:r>
      <w:r w:rsidRPr="00FC7835">
        <w:t>A. (1992)</w:t>
      </w:r>
      <w:r>
        <w:t xml:space="preserve">, </w:t>
      </w:r>
      <w:r w:rsidRPr="00FC7835">
        <w:t>Frequency</w:t>
      </w:r>
      <w:r w:rsidR="00427468">
        <w:t xml:space="preserve"> of </w:t>
      </w:r>
      <w:r w:rsidRPr="00FC7835">
        <w:t>citation</w:t>
      </w:r>
      <w:r w:rsidR="005853A9">
        <w:t xml:space="preserve"> and </w:t>
      </w:r>
      <w:r w:rsidRPr="00FC7835">
        <w:t>outcome</w:t>
      </w:r>
      <w:r w:rsidR="00427468">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420-421.</w:t>
      </w:r>
    </w:p>
    <w:p w:rsidR="001B18A6" w:rsidRPr="00D07B75" w:rsidRDefault="001B18A6" w:rsidP="001B18A6">
      <w:pPr>
        <w:pStyle w:val="a3"/>
      </w:pPr>
      <w:r>
        <w:t xml:space="preserve">Full Text: </w:t>
      </w:r>
      <w:hyperlink r:id="rId1987" w:history="1">
        <w:r w:rsidRPr="002472CC">
          <w:rPr>
            <w:rStyle w:val="a5"/>
          </w:rPr>
          <w:t>1992\Bri Med J305, 420.pdf</w:t>
        </w:r>
      </w:hyperlink>
    </w:p>
    <w:p w:rsidR="001B18A6" w:rsidRPr="00FC7835" w:rsidRDefault="001B18A6" w:rsidP="001B18A6">
      <w:pPr>
        <w:pStyle w:val="a3"/>
      </w:pPr>
      <w:r w:rsidRPr="00FC7835">
        <w:t>Goodwin</w:t>
      </w:r>
      <w:r>
        <w:t xml:space="preserve">, </w:t>
      </w:r>
      <w:r w:rsidRPr="00FC7835">
        <w:t>J.F. (1992)</w:t>
      </w:r>
      <w:r>
        <w:t xml:space="preserve">, </w:t>
      </w:r>
      <w:r w:rsidRPr="00FC7835">
        <w:t>Frequency</w:t>
      </w:r>
      <w:r w:rsidR="00427468">
        <w:t xml:space="preserve"> of </w:t>
      </w:r>
      <w:r w:rsidRPr="00FC7835">
        <w:t>citation</w:t>
      </w:r>
      <w:r w:rsidR="005853A9">
        <w:t xml:space="preserve"> and </w:t>
      </w:r>
      <w:r w:rsidRPr="00FC7835">
        <w:t>outcome</w:t>
      </w:r>
      <w:r w:rsidR="00427468">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421.</w:t>
      </w:r>
    </w:p>
    <w:p w:rsidR="001B18A6" w:rsidRPr="00D07B75" w:rsidRDefault="001B18A6" w:rsidP="001B18A6">
      <w:pPr>
        <w:pStyle w:val="a3"/>
      </w:pPr>
      <w:r>
        <w:t xml:space="preserve">Full Text: </w:t>
      </w:r>
      <w:hyperlink r:id="rId1988" w:history="1">
        <w:r w:rsidRPr="002472CC">
          <w:rPr>
            <w:rStyle w:val="a5"/>
          </w:rPr>
          <w:t>1992\Bri Med J305, 420.pdf</w:t>
        </w:r>
      </w:hyperlink>
    </w:p>
    <w:p w:rsidR="001B18A6" w:rsidRPr="00FC7835" w:rsidRDefault="001B18A6" w:rsidP="001B18A6">
      <w:pPr>
        <w:pStyle w:val="a3"/>
      </w:pPr>
      <w:r w:rsidRPr="00FC7835">
        <w:t>Game</w:t>
      </w:r>
      <w:r>
        <w:t xml:space="preserve">, </w:t>
      </w:r>
      <w:r w:rsidRPr="00FC7835">
        <w:t>F.L.</w:t>
      </w:r>
      <w:r w:rsidR="005853A9">
        <w:t xml:space="preserve"> and </w:t>
      </w:r>
      <w:r w:rsidRPr="00FC7835">
        <w:t>Neary</w:t>
      </w:r>
      <w:r>
        <w:t xml:space="preserve">, </w:t>
      </w:r>
      <w:r w:rsidRPr="00FC7835">
        <w:t>R.H. (1992)</w:t>
      </w:r>
      <w:r>
        <w:t xml:space="preserve">, </w:t>
      </w:r>
      <w:r w:rsidRPr="00FC7835">
        <w:t>Frequency</w:t>
      </w:r>
      <w:r w:rsidR="00427468">
        <w:t xml:space="preserve"> of </w:t>
      </w:r>
      <w:r w:rsidRPr="00FC7835">
        <w:t>citation</w:t>
      </w:r>
      <w:r w:rsidR="005853A9">
        <w:t xml:space="preserve"> and </w:t>
      </w:r>
      <w:r w:rsidRPr="00FC7835">
        <w:t>outcome</w:t>
      </w:r>
      <w:r w:rsidR="00427468">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421.</w:t>
      </w:r>
    </w:p>
    <w:p w:rsidR="001B18A6" w:rsidRPr="00D07B75" w:rsidRDefault="001B18A6" w:rsidP="001B18A6">
      <w:pPr>
        <w:pStyle w:val="a3"/>
      </w:pPr>
      <w:r>
        <w:t xml:space="preserve">Full Text: </w:t>
      </w:r>
      <w:hyperlink r:id="rId1989" w:history="1">
        <w:r w:rsidRPr="002472CC">
          <w:rPr>
            <w:rStyle w:val="a5"/>
          </w:rPr>
          <w:t>1992\Bri Med J305, 420.pdf</w:t>
        </w:r>
      </w:hyperlink>
    </w:p>
    <w:p w:rsidR="001B18A6" w:rsidRPr="00FC7835" w:rsidRDefault="001B18A6" w:rsidP="001B18A6">
      <w:pPr>
        <w:pStyle w:val="a3"/>
      </w:pPr>
      <w:r w:rsidRPr="00FC7835">
        <w:t>Anderson</w:t>
      </w:r>
      <w:r>
        <w:t xml:space="preserve">, </w:t>
      </w:r>
      <w:r w:rsidRPr="00FC7835">
        <w:t>J. (1992)</w:t>
      </w:r>
      <w:r>
        <w:t xml:space="preserve">, </w:t>
      </w:r>
      <w:r w:rsidRPr="00FC7835">
        <w:t>Frequency</w:t>
      </w:r>
      <w:r w:rsidR="00427468">
        <w:t xml:space="preserve"> of </w:t>
      </w:r>
      <w:r w:rsidRPr="00FC7835">
        <w:t>citation</w:t>
      </w:r>
      <w:r w:rsidR="005853A9">
        <w:t xml:space="preserve"> and </w:t>
      </w:r>
      <w:r w:rsidRPr="00FC7835">
        <w:t>outcome</w:t>
      </w:r>
      <w:r w:rsidR="00427468">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421-422.</w:t>
      </w:r>
    </w:p>
    <w:p w:rsidR="001B18A6" w:rsidRPr="00D07B75" w:rsidRDefault="001B18A6" w:rsidP="001B18A6">
      <w:pPr>
        <w:pStyle w:val="a3"/>
      </w:pPr>
      <w:r>
        <w:t xml:space="preserve">Full Text: </w:t>
      </w:r>
      <w:hyperlink r:id="rId1990" w:history="1">
        <w:r w:rsidRPr="002472CC">
          <w:rPr>
            <w:rStyle w:val="a5"/>
          </w:rPr>
          <w:t>1992\Bri Med J305, 420.pdf</w:t>
        </w:r>
      </w:hyperlink>
    </w:p>
    <w:p w:rsidR="001B18A6" w:rsidRPr="00FC7835" w:rsidRDefault="001B18A6" w:rsidP="001B18A6">
      <w:pPr>
        <w:pStyle w:val="a3"/>
      </w:pPr>
      <w:r w:rsidRPr="00FC7835">
        <w:lastRenderedPageBreak/>
        <w:t>Burr</w:t>
      </w:r>
      <w:r>
        <w:t xml:space="preserve">, </w:t>
      </w:r>
      <w:r w:rsidRPr="00FC7835">
        <w:t>M.L.</w:t>
      </w:r>
      <w:r>
        <w:t xml:space="preserve">, </w:t>
      </w:r>
      <w:r w:rsidRPr="00FC7835">
        <w:t>Fehily</w:t>
      </w:r>
      <w:r>
        <w:t xml:space="preserve">, </w:t>
      </w:r>
      <w:r w:rsidRPr="00FC7835">
        <w:t>A.M.</w:t>
      </w:r>
      <w:r>
        <w:t xml:space="preserve">, </w:t>
      </w:r>
      <w:r w:rsidRPr="00FC7835">
        <w:t>Sweetnam</w:t>
      </w:r>
      <w:r>
        <w:t xml:space="preserve">, </w:t>
      </w:r>
      <w:r w:rsidRPr="00FC7835">
        <w:t>P.M.</w:t>
      </w:r>
      <w:r w:rsidR="005853A9">
        <w:t xml:space="preserve"> and </w:t>
      </w:r>
      <w:r w:rsidRPr="00FC7835">
        <w:t>Elwood</w:t>
      </w:r>
      <w:r>
        <w:t xml:space="preserve">, </w:t>
      </w:r>
      <w:r w:rsidRPr="00FC7835">
        <w:t>P.C. (1992)</w:t>
      </w:r>
      <w:r>
        <w:t xml:space="preserve">, </w:t>
      </w:r>
      <w:r w:rsidRPr="00FC7835">
        <w:t>Frequency</w:t>
      </w:r>
      <w:r w:rsidR="00427468">
        <w:t xml:space="preserve"> of </w:t>
      </w:r>
      <w:r w:rsidRPr="00FC7835">
        <w:t>citation</w:t>
      </w:r>
      <w:r w:rsidR="005853A9">
        <w:t xml:space="preserve"> and </w:t>
      </w:r>
      <w:r w:rsidRPr="00FC7835">
        <w:t>outcome</w:t>
      </w:r>
      <w:r w:rsidR="00427468">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422.</w:t>
      </w:r>
    </w:p>
    <w:p w:rsidR="001B18A6" w:rsidRPr="00D07B75" w:rsidRDefault="001B18A6" w:rsidP="001B18A6">
      <w:pPr>
        <w:pStyle w:val="a3"/>
      </w:pPr>
      <w:r>
        <w:t xml:space="preserve">Full Text: </w:t>
      </w:r>
      <w:hyperlink r:id="rId1991" w:history="1">
        <w:r w:rsidRPr="002472CC">
          <w:rPr>
            <w:rStyle w:val="a5"/>
          </w:rPr>
          <w:t>1992\Bri Med J305, 420.pdf</w:t>
        </w:r>
      </w:hyperlink>
    </w:p>
    <w:p w:rsidR="001B18A6" w:rsidRPr="00FC7835" w:rsidRDefault="001B18A6" w:rsidP="001B18A6">
      <w:pPr>
        <w:pStyle w:val="a3"/>
      </w:pPr>
      <w:r w:rsidRPr="00FC7835">
        <w:t>Thompson</w:t>
      </w:r>
      <w:r>
        <w:t xml:space="preserve">, </w:t>
      </w:r>
      <w:r w:rsidRPr="00FC7835">
        <w:t>G.R. (1992)</w:t>
      </w:r>
      <w:r>
        <w:t xml:space="preserve">, </w:t>
      </w:r>
      <w:r w:rsidRPr="00FC7835">
        <w:t>Frequency</w:t>
      </w:r>
      <w:r w:rsidR="00427468">
        <w:t xml:space="preserve"> of </w:t>
      </w:r>
      <w:r w:rsidRPr="00FC7835">
        <w:t>citation</w:t>
      </w:r>
      <w:r w:rsidR="005853A9">
        <w:t xml:space="preserve"> and </w:t>
      </w:r>
      <w:r w:rsidRPr="00FC7835">
        <w:t>outcome</w:t>
      </w:r>
      <w:r w:rsidR="00427468">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sidRPr="00FC7835">
        <w:t>422.</w:t>
      </w:r>
    </w:p>
    <w:p w:rsidR="001B18A6" w:rsidRPr="00FC7835" w:rsidRDefault="001B18A6" w:rsidP="001B18A6">
      <w:pPr>
        <w:pStyle w:val="a3"/>
      </w:pPr>
      <w:r>
        <w:t>Full Text:</w:t>
      </w:r>
      <w:r w:rsidRPr="00FC7835">
        <w:t xml:space="preserve"> </w:t>
      </w:r>
      <w:hyperlink r:id="rId1992" w:history="1">
        <w:r w:rsidRPr="00230674">
          <w:rPr>
            <w:rStyle w:val="a5"/>
          </w:rPr>
          <w:t>1992\Bri Med J305, 422.pdf</w:t>
        </w:r>
      </w:hyperlink>
    </w:p>
    <w:p w:rsidR="001B18A6" w:rsidRPr="00FC7835" w:rsidRDefault="001B18A6" w:rsidP="001B18A6">
      <w:pPr>
        <w:pStyle w:val="a3"/>
      </w:pPr>
      <w:r w:rsidRPr="00FC7835">
        <w:t>Ravnskov</w:t>
      </w:r>
      <w:r>
        <w:t xml:space="preserve">, </w:t>
      </w:r>
      <w:r w:rsidRPr="00FC7835">
        <w:t>U. (1992)</w:t>
      </w:r>
      <w:r>
        <w:t xml:space="preserve">, </w:t>
      </w:r>
      <w:r w:rsidRPr="00FC7835">
        <w:t>Frequency</w:t>
      </w:r>
      <w:r w:rsidR="00427468">
        <w:t xml:space="preserve"> of </w:t>
      </w:r>
      <w:r w:rsidRPr="00FC7835">
        <w:t>citation</w:t>
      </w:r>
      <w:r w:rsidR="005853A9">
        <w:t xml:space="preserve"> and </w:t>
      </w:r>
      <w:r w:rsidRPr="00FC7835">
        <w:t>outcome</w:t>
      </w:r>
      <w:r w:rsidR="00427468">
        <w:t xml:space="preserve"> of </w:t>
      </w:r>
      <w:r w:rsidRPr="00FC7835">
        <w:t xml:space="preserve">cholesterol lowering trials. </w:t>
      </w:r>
      <w:r w:rsidRPr="00FC7835">
        <w:rPr>
          <w:i/>
        </w:rPr>
        <w:t>British Medical Journal</w:t>
      </w:r>
      <w:r>
        <w:t xml:space="preserve">, </w:t>
      </w:r>
      <w:r w:rsidRPr="00FC7835">
        <w:rPr>
          <w:b/>
          <w:bCs/>
        </w:rPr>
        <w:t>305</w:t>
      </w:r>
      <w:r w:rsidRPr="00FC7835">
        <w:t xml:space="preserve"> (6850)</w:t>
      </w:r>
      <w:r>
        <w:t xml:space="preserve">, </w:t>
      </w:r>
      <w:r>
        <w:rPr>
          <w:rFonts w:hint="eastAsia"/>
        </w:rPr>
        <w:t>420-</w:t>
      </w:r>
      <w:r w:rsidRPr="00FC7835">
        <w:t>422.</w:t>
      </w:r>
    </w:p>
    <w:p w:rsidR="001B18A6" w:rsidRPr="00D07B75" w:rsidRDefault="001B18A6" w:rsidP="001B18A6">
      <w:pPr>
        <w:pStyle w:val="a3"/>
      </w:pPr>
      <w:r>
        <w:t xml:space="preserve">Full Text: </w:t>
      </w:r>
      <w:hyperlink r:id="rId1993" w:history="1">
        <w:r w:rsidRPr="002472CC">
          <w:rPr>
            <w:rStyle w:val="a5"/>
          </w:rPr>
          <w:t>1992\Bri Med J305, 420.pdf</w:t>
        </w:r>
      </w:hyperlink>
    </w:p>
    <w:p w:rsidR="003474F2" w:rsidRPr="001A3D2B" w:rsidRDefault="003474F2" w:rsidP="003474F2">
      <w:pPr>
        <w:pStyle w:val="a3"/>
      </w:pPr>
      <w:r w:rsidRPr="001A3D2B">
        <w:t>Epstein, R.J. (1993), Six authors in search</w:t>
      </w:r>
      <w:r w:rsidR="00427468">
        <w:t xml:space="preserve"> of </w:t>
      </w:r>
      <w:r w:rsidRPr="001A3D2B">
        <w:t>a citation: Villains or victims</w:t>
      </w:r>
      <w:r w:rsidR="00427468">
        <w:t xml:space="preserve"> of </w:t>
      </w:r>
      <w:r w:rsidR="003A1917">
        <w:t xml:space="preserve">the </w:t>
      </w:r>
      <w:r w:rsidRPr="001A3D2B">
        <w:t xml:space="preserve">Vancouver convention? </w:t>
      </w:r>
      <w:r w:rsidRPr="001A3D2B">
        <w:rPr>
          <w:i/>
        </w:rPr>
        <w:t>British Medical Journal</w:t>
      </w:r>
      <w:r w:rsidRPr="001A3D2B">
        <w:t xml:space="preserve">, </w:t>
      </w:r>
      <w:r w:rsidRPr="001A3D2B">
        <w:rPr>
          <w:b/>
          <w:bCs/>
        </w:rPr>
        <w:t>306</w:t>
      </w:r>
      <w:r w:rsidRPr="001A3D2B">
        <w:t xml:space="preserve"> (6880), 765-767.</w:t>
      </w:r>
    </w:p>
    <w:p w:rsidR="003474F2" w:rsidRPr="001A3D2B" w:rsidRDefault="003474F2" w:rsidP="003474F2">
      <w:pPr>
        <w:pStyle w:val="a3"/>
      </w:pPr>
      <w:r w:rsidRPr="001A3D2B">
        <w:t xml:space="preserve">Full Text: </w:t>
      </w:r>
      <w:hyperlink r:id="rId1994" w:history="1">
        <w:r w:rsidRPr="001A3D2B">
          <w:rPr>
            <w:rStyle w:val="a5"/>
          </w:rPr>
          <w:t>1993\Bri Med J306, 765.pdf</w:t>
        </w:r>
      </w:hyperlink>
    </w:p>
    <w:p w:rsidR="003474F2" w:rsidRPr="001A3D2B" w:rsidRDefault="003474F2" w:rsidP="003474F2">
      <w:pPr>
        <w:pStyle w:val="a3"/>
      </w:pPr>
      <w:r w:rsidRPr="001A3D2B">
        <w:t>Abstract: Objectives-To analyse trends in</w:t>
      </w:r>
      <w:r w:rsidR="003A1917">
        <w:t xml:space="preserve"> the </w:t>
      </w:r>
      <w:r w:rsidRPr="001A3D2B">
        <w:t>number</w:t>
      </w:r>
      <w:r w:rsidR="00427468">
        <w:t xml:space="preserve"> of </w:t>
      </w:r>
      <w:r w:rsidRPr="001A3D2B">
        <w:t>authors per article over</w:t>
      </w:r>
      <w:r w:rsidR="003A1917">
        <w:t xml:space="preserve"> the </w:t>
      </w:r>
      <w:r w:rsidRPr="001A3D2B">
        <w:t>past 10 years.</w:t>
      </w:r>
    </w:p>
    <w:p w:rsidR="003474F2" w:rsidRPr="001A3D2B" w:rsidRDefault="003474F2" w:rsidP="003474F2">
      <w:pPr>
        <w:pStyle w:val="a3"/>
      </w:pPr>
      <w:r w:rsidRPr="001A3D2B">
        <w:t>Design-Analysis</w:t>
      </w:r>
      <w:r w:rsidR="00427468">
        <w:t xml:space="preserve"> of </w:t>
      </w:r>
      <w:r w:rsidRPr="001A3D2B">
        <w:t>articles from random volumes</w:t>
      </w:r>
      <w:r w:rsidR="00427468">
        <w:t xml:space="preserve"> of </w:t>
      </w:r>
      <w:r w:rsidRPr="001A3D2B">
        <w:t>eight biomedical journals.</w:t>
      </w:r>
    </w:p>
    <w:p w:rsidR="003474F2" w:rsidRPr="001A3D2B" w:rsidRDefault="003474F2" w:rsidP="003474F2">
      <w:pPr>
        <w:pStyle w:val="a3"/>
      </w:pPr>
      <w:r w:rsidRPr="001A3D2B">
        <w:t>Subjects-Cell, Nature, Proceedings</w:t>
      </w:r>
      <w:r w:rsidR="00427468">
        <w:t xml:space="preserve"> of </w:t>
      </w:r>
      <w:r w:rsidR="003A1917">
        <w:t xml:space="preserve">the </w:t>
      </w:r>
      <w:r w:rsidRPr="001A3D2B">
        <w:t>National Academy</w:t>
      </w:r>
      <w:r w:rsidR="00427468">
        <w:t xml:space="preserve"> of </w:t>
      </w:r>
      <w:r w:rsidRPr="001A3D2B">
        <w:t xml:space="preserve">Sciences </w:t>
      </w:r>
      <w:r w:rsidR="00D5664A">
        <w:t>USA</w:t>
      </w:r>
      <w:r w:rsidRPr="001A3D2B">
        <w:t xml:space="preserve"> (PNAS), Journal</w:t>
      </w:r>
      <w:r w:rsidR="00427468">
        <w:t xml:space="preserve"> of </w:t>
      </w:r>
      <w:r w:rsidRPr="001A3D2B">
        <w:t>Clinical Investigation (JCI), Biochemical</w:t>
      </w:r>
      <w:r w:rsidR="005853A9">
        <w:t xml:space="preserve"> and </w:t>
      </w:r>
      <w:r w:rsidRPr="001A3D2B">
        <w:t>Biophysical Research Communications (BBRC), Journal</w:t>
      </w:r>
      <w:r w:rsidR="00427468">
        <w:t xml:space="preserve"> of </w:t>
      </w:r>
      <w:r w:rsidRPr="001A3D2B">
        <w:t>Clinical Oncology (JCO), New England Journal</w:t>
      </w:r>
      <w:r w:rsidR="00427468">
        <w:t xml:space="preserve"> of </w:t>
      </w:r>
      <w:r w:rsidRPr="001A3D2B">
        <w:t>Medicine (NEJM), Lancet.</w:t>
      </w:r>
    </w:p>
    <w:p w:rsidR="003474F2" w:rsidRPr="001A3D2B" w:rsidRDefault="003474F2" w:rsidP="003474F2">
      <w:pPr>
        <w:pStyle w:val="a3"/>
      </w:pPr>
      <w:r w:rsidRPr="001A3D2B">
        <w:t>Main outcome measures-Median</w:t>
      </w:r>
      <w:r w:rsidR="005853A9">
        <w:t xml:space="preserve"> and </w:t>
      </w:r>
      <w:r w:rsidRPr="001A3D2B">
        <w:t>modal numbers</w:t>
      </w:r>
      <w:r w:rsidR="00427468">
        <w:t xml:space="preserve"> of </w:t>
      </w:r>
      <w:r w:rsidRPr="001A3D2B">
        <w:t>authors.</w:t>
      </w:r>
    </w:p>
    <w:p w:rsidR="003474F2" w:rsidRPr="001A3D2B" w:rsidRDefault="003474F2" w:rsidP="003474F2">
      <w:pPr>
        <w:pStyle w:val="a3"/>
      </w:pPr>
      <w:r w:rsidRPr="001A3D2B">
        <w:t>Results-All journals except Cell</w:t>
      </w:r>
      <w:r w:rsidR="005853A9">
        <w:t xml:space="preserve"> and </w:t>
      </w:r>
      <w:r w:rsidRPr="001A3D2B">
        <w:t>Nature showed a trend towards increasing authorship numbers over</w:t>
      </w:r>
      <w:r w:rsidR="003A1917">
        <w:t xml:space="preserve"> the </w:t>
      </w:r>
      <w:r w:rsidRPr="001A3D2B">
        <w:t>study period</w:t>
      </w:r>
      <w:r w:rsidR="00A37C1D">
        <w:t>. The</w:t>
      </w:r>
      <w:r w:rsidR="003A1917">
        <w:t xml:space="preserve"> </w:t>
      </w:r>
      <w:r w:rsidRPr="001A3D2B">
        <w:t>trend was most noticeable in journals such as JCO which feature clinical research. General medical journals (Lancet, NEJM) with a median</w:t>
      </w:r>
      <w:r w:rsidR="00427468">
        <w:t xml:space="preserve"> of </w:t>
      </w:r>
      <w:r w:rsidRPr="001A3D2B">
        <w:t>six to seven authors per article published far fewer seven author than six author studies, which suggests that author number may be influenced by</w:t>
      </w:r>
      <w:r w:rsidR="003A1917">
        <w:t xml:space="preserve"> the </w:t>
      </w:r>
      <w:r w:rsidRPr="001A3D2B">
        <w:t>Vancouver convention which precludes citation</w:t>
      </w:r>
      <w:r w:rsidR="00427468">
        <w:t xml:space="preserve"> of </w:t>
      </w:r>
      <w:r w:rsidRPr="001A3D2B">
        <w:t>more than six authors.</w:t>
      </w:r>
    </w:p>
    <w:p w:rsidR="003474F2" w:rsidRPr="001A3D2B" w:rsidRDefault="003474F2" w:rsidP="003474F2">
      <w:pPr>
        <w:pStyle w:val="a3"/>
      </w:pPr>
      <w:r w:rsidRPr="001A3D2B">
        <w:t>Conclusions-The phenomenon</w:t>
      </w:r>
      <w:r w:rsidR="00427468">
        <w:t xml:space="preserve"> of </w:t>
      </w:r>
      <w:r w:rsidRPr="001A3D2B">
        <w:t>expanding authorship in biomedical journal articles is not explained by</w:t>
      </w:r>
      <w:r w:rsidR="003A1917">
        <w:t xml:space="preserve"> the </w:t>
      </w:r>
      <w:r w:rsidRPr="001A3D2B">
        <w:t>hypothesis that newer research technologies have necessitated more extensive collaboration. Rather,</w:t>
      </w:r>
      <w:r w:rsidR="003A1917">
        <w:t xml:space="preserve"> the </w:t>
      </w:r>
      <w:r w:rsidRPr="001A3D2B">
        <w:t>data suggest that conferral</w:t>
      </w:r>
      <w:r w:rsidR="00427468">
        <w:t xml:space="preserve"> of </w:t>
      </w:r>
      <w:r w:rsidRPr="001A3D2B">
        <w:t>authorship may sometimes have a volitional component which contributes to rising author numbers. It is proposed that replacement</w:t>
      </w:r>
      <w:r w:rsidR="00427468">
        <w:t xml:space="preserve"> of </w:t>
      </w:r>
      <w:r w:rsidR="003A1917">
        <w:t xml:space="preserve">the </w:t>
      </w:r>
      <w:r w:rsidRPr="001A3D2B">
        <w:t xml:space="preserve">Vancouver convention with a </w:t>
      </w:r>
      <w:r w:rsidR="00700038">
        <w:t>‘</w:t>
      </w:r>
      <w:r w:rsidRPr="001A3D2B">
        <w:t>first author, last author</w:t>
      </w:r>
      <w:r w:rsidR="00700038">
        <w:t>’</w:t>
      </w:r>
      <w:r w:rsidRPr="001A3D2B">
        <w:t xml:space="preserve"> citation system may help stem this rise in author numbers.</w:t>
      </w:r>
    </w:p>
    <w:p w:rsidR="003474F2" w:rsidRPr="001A3D2B" w:rsidRDefault="00987479" w:rsidP="003474F2">
      <w:pPr>
        <w:pStyle w:val="a3"/>
      </w:pPr>
      <w:r>
        <w:rPr>
          <w:kern w:val="0"/>
          <w:szCs w:val="24"/>
        </w:rPr>
        <w:t>Álvarez-Dardet</w:t>
      </w:r>
      <w:r w:rsidR="003474F2" w:rsidRPr="001A3D2B">
        <w:t>, C.</w:t>
      </w:r>
      <w:r w:rsidR="005853A9">
        <w:t xml:space="preserve"> and </w:t>
      </w:r>
      <w:r w:rsidR="003474F2" w:rsidRPr="001A3D2B">
        <w:t>Ruiz, M.T. (1993), McKeown, Thomas</w:t>
      </w:r>
      <w:r w:rsidR="005853A9">
        <w:t xml:space="preserve"> and </w:t>
      </w:r>
      <w:r w:rsidR="003474F2" w:rsidRPr="001A3D2B">
        <w:t>Cochrane, Archibald: A journey through</w:t>
      </w:r>
      <w:r w:rsidR="003A1917">
        <w:t xml:space="preserve"> the </w:t>
      </w:r>
      <w:r w:rsidR="003474F2" w:rsidRPr="001A3D2B">
        <w:t>diffusion</w:t>
      </w:r>
      <w:r w:rsidR="00427468">
        <w:t xml:space="preserve"> of </w:t>
      </w:r>
      <w:r w:rsidR="003474F2" w:rsidRPr="001A3D2B">
        <w:t xml:space="preserve">their ideas. </w:t>
      </w:r>
      <w:r w:rsidR="003474F2" w:rsidRPr="001A3D2B">
        <w:rPr>
          <w:i/>
        </w:rPr>
        <w:t>British Medical Journal</w:t>
      </w:r>
      <w:r w:rsidR="003474F2" w:rsidRPr="001A3D2B">
        <w:t xml:space="preserve">, </w:t>
      </w:r>
      <w:r w:rsidR="003474F2" w:rsidRPr="001A3D2B">
        <w:rPr>
          <w:b/>
        </w:rPr>
        <w:t>306</w:t>
      </w:r>
      <w:r w:rsidR="003474F2" w:rsidRPr="001A3D2B">
        <w:t xml:space="preserve"> (6887), 1252-1255.</w:t>
      </w:r>
    </w:p>
    <w:p w:rsidR="003474F2" w:rsidRPr="001A3D2B" w:rsidRDefault="003474F2" w:rsidP="003474F2">
      <w:pPr>
        <w:pStyle w:val="a3"/>
      </w:pPr>
      <w:r w:rsidRPr="001A3D2B">
        <w:t xml:space="preserve">Full Text: </w:t>
      </w:r>
      <w:hyperlink r:id="rId1995" w:history="1">
        <w:r w:rsidRPr="001A3D2B">
          <w:rPr>
            <w:rStyle w:val="a5"/>
          </w:rPr>
          <w:t>1993\Bri Med J306, 1252.pdf</w:t>
        </w:r>
      </w:hyperlink>
    </w:p>
    <w:p w:rsidR="003474F2" w:rsidRPr="001A3D2B" w:rsidRDefault="003474F2" w:rsidP="003474F2">
      <w:pPr>
        <w:pStyle w:val="a3"/>
      </w:pPr>
      <w:r w:rsidRPr="001A3D2B">
        <w:t>Abstract: In</w:t>
      </w:r>
      <w:r w:rsidR="003A1917">
        <w:t xml:space="preserve"> the </w:t>
      </w:r>
      <w:r w:rsidRPr="001A3D2B">
        <w:t>1970</w:t>
      </w:r>
      <w:smartTag w:uri="urn:schemas-microsoft-com:office:smarttags" w:element="PersonName">
        <w:smartTagPr>
          <w:attr w:name="ProductID" w:val="s Thomas"/>
        </w:smartTagPr>
        <w:r w:rsidRPr="001A3D2B">
          <w:t>s Thomas</w:t>
        </w:r>
      </w:smartTag>
      <w:r w:rsidRPr="001A3D2B">
        <w:t xml:space="preserve"> McKeown</w:t>
      </w:r>
      <w:r w:rsidR="005853A9">
        <w:t xml:space="preserve"> and </w:t>
      </w:r>
      <w:r w:rsidRPr="001A3D2B">
        <w:t>Archibald L Cochrane were two</w:t>
      </w:r>
      <w:r w:rsidR="00427468">
        <w:t xml:space="preserve"> of </w:t>
      </w:r>
      <w:r w:rsidR="003A1917">
        <w:t xml:space="preserve">the </w:t>
      </w:r>
      <w:r w:rsidRPr="001A3D2B">
        <w:t>most influential voices in criticising</w:t>
      </w:r>
      <w:r w:rsidR="003A1917">
        <w:t xml:space="preserve"> the </w:t>
      </w:r>
      <w:r w:rsidRPr="001A3D2B">
        <w:t>dominance</w:t>
      </w:r>
      <w:r w:rsidR="00427468">
        <w:t xml:space="preserve"> of </w:t>
      </w:r>
      <w:r w:rsidRPr="001A3D2B">
        <w:t xml:space="preserve">medical thinking. A </w:t>
      </w:r>
      <w:r w:rsidRPr="001A3D2B">
        <w:lastRenderedPageBreak/>
        <w:t>bibliometric study</w:t>
      </w:r>
      <w:r w:rsidR="00427468">
        <w:t xml:space="preserve"> of </w:t>
      </w:r>
      <w:r w:rsidR="003A1917">
        <w:t xml:space="preserve">the </w:t>
      </w:r>
      <w:r w:rsidRPr="001A3D2B">
        <w:t>citations to McKeown</w:t>
      </w:r>
      <w:r w:rsidR="00700038">
        <w:t>’</w:t>
      </w:r>
      <w:r w:rsidR="00C13DDC">
        <w:t>s</w:t>
      </w:r>
      <w:r w:rsidR="003A1917">
        <w:t xml:space="preserve"> the </w:t>
      </w:r>
      <w:r w:rsidRPr="001A3D2B">
        <w:t>Role</w:t>
      </w:r>
      <w:r w:rsidR="00427468">
        <w:t xml:space="preserve"> of </w:t>
      </w:r>
      <w:r w:rsidRPr="001A3D2B">
        <w:t>Medicine: Dream, Mirage or Nemesis</w:t>
      </w:r>
      <w:r w:rsidR="005853A9">
        <w:t xml:space="preserve"> and </w:t>
      </w:r>
      <w:r w:rsidRPr="001A3D2B">
        <w:t>Cochrane</w:t>
      </w:r>
      <w:r w:rsidR="00700038">
        <w:t>’</w:t>
      </w:r>
      <w:r w:rsidR="00C13DDC">
        <w:t>s</w:t>
      </w:r>
      <w:r w:rsidRPr="001A3D2B">
        <w:t xml:space="preserve"> Effectiveness</w:t>
      </w:r>
      <w:r w:rsidR="005853A9">
        <w:t xml:space="preserve"> and </w:t>
      </w:r>
      <w:r w:rsidRPr="001A3D2B">
        <w:t>Efficiency: Random Reflections on Health Services was performed from</w:t>
      </w:r>
      <w:r w:rsidR="003A1917">
        <w:t xml:space="preserve"> the </w:t>
      </w:r>
      <w:r w:rsidRPr="001A3D2B">
        <w:t>publication</w:t>
      </w:r>
      <w:r w:rsidR="00427468">
        <w:t xml:space="preserve"> of </w:t>
      </w:r>
      <w:r w:rsidRPr="001A3D2B">
        <w:t>each book until 1988 to study how their ideas have been disseminated. During</w:t>
      </w:r>
      <w:r w:rsidR="003A1917">
        <w:t xml:space="preserve"> the </w:t>
      </w:r>
      <w:r w:rsidRPr="001A3D2B">
        <w:t>study period 430 papers in</w:t>
      </w:r>
      <w:r w:rsidR="003A1917">
        <w:t xml:space="preserve"> the </w:t>
      </w:r>
      <w:r w:rsidRPr="001A3D2B">
        <w:t>Science Citation Index or</w:t>
      </w:r>
      <w:r w:rsidR="003A1917">
        <w:t xml:space="preserve"> the </w:t>
      </w:r>
      <w:r w:rsidRPr="001A3D2B">
        <w:t>Social Sciences Citation Index cited Cochrane</w:t>
      </w:r>
      <w:r w:rsidR="00700038">
        <w:t>’</w:t>
      </w:r>
      <w:r w:rsidR="00C13DDC">
        <w:t>s</w:t>
      </w:r>
      <w:r w:rsidRPr="001A3D2B">
        <w:t xml:space="preserve"> book, 133 cited McKeown</w:t>
      </w:r>
      <w:r w:rsidR="00700038">
        <w:t>’</w:t>
      </w:r>
      <w:r w:rsidR="00C13DDC">
        <w:t>s</w:t>
      </w:r>
      <w:r w:rsidRPr="001A3D2B">
        <w:t>,</w:t>
      </w:r>
      <w:r w:rsidR="005853A9">
        <w:t xml:space="preserve"> and </w:t>
      </w:r>
      <w:r w:rsidRPr="001A3D2B">
        <w:t>166 cited both</w:t>
      </w:r>
      <w:r w:rsidR="00A37C1D">
        <w:t>. The</w:t>
      </w:r>
      <w:r w:rsidR="003A1917">
        <w:t xml:space="preserve"> </w:t>
      </w:r>
      <w:r w:rsidRPr="001A3D2B">
        <w:t>citations came mainly from original papers published in journals</w:t>
      </w:r>
      <w:r w:rsidR="00427468">
        <w:t xml:space="preserve"> of </w:t>
      </w:r>
      <w:r w:rsidRPr="001A3D2B">
        <w:t>internal medicine or public health</w:t>
      </w:r>
      <w:r w:rsidR="005853A9">
        <w:t xml:space="preserve"> and </w:t>
      </w:r>
      <w:r w:rsidRPr="001A3D2B">
        <w:t>epidemiology (35%)</w:t>
      </w:r>
      <w:r w:rsidR="005853A9">
        <w:t xml:space="preserve"> and </w:t>
      </w:r>
      <w:r w:rsidRPr="001A3D2B">
        <w:t>written by authors from</w:t>
      </w:r>
      <w:r w:rsidR="003A1917">
        <w:t xml:space="preserve"> the </w:t>
      </w:r>
      <w:r w:rsidRPr="001A3D2B">
        <w:t>United States or</w:t>
      </w:r>
      <w:r w:rsidR="003A1917">
        <w:t xml:space="preserve"> the </w:t>
      </w:r>
      <w:r w:rsidRPr="001A3D2B">
        <w:t>United Kingdom. Cochrane</w:t>
      </w:r>
      <w:r w:rsidR="00700038">
        <w:t>’</w:t>
      </w:r>
      <w:r w:rsidR="00C13DDC">
        <w:t>s</w:t>
      </w:r>
      <w:r w:rsidRPr="001A3D2B">
        <w:t xml:space="preserve"> book was cited most frequently in medical journals, suggesting a higher degree</w:t>
      </w:r>
      <w:r w:rsidR="00427468">
        <w:t xml:space="preserve"> of </w:t>
      </w:r>
      <w:r w:rsidRPr="001A3D2B">
        <w:t>penetration</w:t>
      </w:r>
      <w:r w:rsidR="00427468">
        <w:t xml:space="preserve"> of </w:t>
      </w:r>
      <w:r w:rsidRPr="001A3D2B">
        <w:t>his ideas among medical scientists. Although</w:t>
      </w:r>
      <w:r w:rsidR="003A1917">
        <w:t xml:space="preserve"> the </w:t>
      </w:r>
      <w:r w:rsidRPr="001A3D2B">
        <w:t>dominance</w:t>
      </w:r>
      <w:r w:rsidR="00427468">
        <w:t xml:space="preserve"> of </w:t>
      </w:r>
      <w:r w:rsidRPr="001A3D2B">
        <w:t>original papers among</w:t>
      </w:r>
      <w:r w:rsidR="003A1917">
        <w:t xml:space="preserve"> the </w:t>
      </w:r>
      <w:r w:rsidRPr="001A3D2B">
        <w:t>citations suggests that these books have been important in stimulating new knowledge,</w:t>
      </w:r>
      <w:r w:rsidR="003A1917">
        <w:t xml:space="preserve"> the </w:t>
      </w:r>
      <w:r w:rsidRPr="001A3D2B">
        <w:t>main problems that McKeown</w:t>
      </w:r>
      <w:r w:rsidR="005853A9">
        <w:t xml:space="preserve"> and </w:t>
      </w:r>
      <w:r w:rsidRPr="001A3D2B">
        <w:t>Cochrane identified-namely,</w:t>
      </w:r>
      <w:r w:rsidR="003A1917">
        <w:t xml:space="preserve"> the </w:t>
      </w:r>
      <w:r w:rsidRPr="001A3D2B">
        <w:t>relatively small impact</w:t>
      </w:r>
      <w:r w:rsidR="00427468">
        <w:t xml:space="preserve"> of </w:t>
      </w:r>
      <w:r w:rsidRPr="001A3D2B">
        <w:t>clinical medicine on health outcomes</w:t>
      </w:r>
      <w:r w:rsidR="005853A9">
        <w:t xml:space="preserve"> and </w:t>
      </w:r>
      <w:r w:rsidR="003A1917">
        <w:t xml:space="preserve">the </w:t>
      </w:r>
      <w:r w:rsidRPr="001A3D2B">
        <w:t>poor use</w:t>
      </w:r>
      <w:r w:rsidR="00427468">
        <w:t xml:space="preserve"> of </w:t>
      </w:r>
      <w:r w:rsidRPr="001A3D2B">
        <w:t>scientific methods in clinical practice-are still with us.</w:t>
      </w:r>
    </w:p>
    <w:p w:rsidR="003474F2" w:rsidRPr="001A3D2B" w:rsidRDefault="003474F2" w:rsidP="003474F2">
      <w:pPr>
        <w:pStyle w:val="a3"/>
      </w:pPr>
      <w:r w:rsidRPr="001A3D2B">
        <w:t>Keywords: Bibliometric, Bibliometric Study, Citations, Clinical, Diffusion, Epidemiology, Health, Health Outcomes, Impact, Journals, Knowledge, Medical, Medical Journals, Medicine, Methods, Outcomes, Papers, Public, Public Health, Publication, Science Citation Index, Small, United Kingdom, United States</w:t>
      </w:r>
    </w:p>
    <w:p w:rsidR="003474F2" w:rsidRPr="001A3D2B" w:rsidRDefault="003474F2" w:rsidP="003474F2">
      <w:pPr>
        <w:pStyle w:val="a3"/>
      </w:pPr>
      <w:r w:rsidRPr="001A3D2B">
        <w:t xml:space="preserve">Onwude, J.L., </w:t>
      </w:r>
      <w:smartTag w:uri="urn:schemas-microsoft-com:office:smarttags" w:element="place">
        <w:r w:rsidRPr="001A3D2B">
          <w:t>Staines</w:t>
        </w:r>
      </w:smartTag>
      <w:r w:rsidRPr="001A3D2B">
        <w:t>, A.</w:t>
      </w:r>
      <w:r w:rsidR="005853A9">
        <w:t xml:space="preserve"> and </w:t>
      </w:r>
      <w:r w:rsidRPr="001A3D2B">
        <w:t xml:space="preserve">Lilford, R.J. (1993), Multiple author trend worst in medicine. </w:t>
      </w:r>
      <w:r w:rsidRPr="001A3D2B">
        <w:rPr>
          <w:i/>
        </w:rPr>
        <w:t>British Medical Journal</w:t>
      </w:r>
      <w:r w:rsidRPr="001A3D2B">
        <w:t xml:space="preserve">, </w:t>
      </w:r>
      <w:r w:rsidRPr="001A3D2B">
        <w:rPr>
          <w:b/>
          <w:bCs/>
        </w:rPr>
        <w:t>306</w:t>
      </w:r>
      <w:r w:rsidRPr="001A3D2B">
        <w:t xml:space="preserve"> (6888), 1345.</w:t>
      </w:r>
    </w:p>
    <w:p w:rsidR="003474F2" w:rsidRPr="001A3D2B" w:rsidRDefault="003474F2" w:rsidP="003474F2">
      <w:pPr>
        <w:pStyle w:val="a3"/>
      </w:pPr>
      <w:r w:rsidRPr="001A3D2B">
        <w:t xml:space="preserve">Full Text: </w:t>
      </w:r>
      <w:hyperlink r:id="rId1996" w:history="1">
        <w:r w:rsidRPr="001A3D2B">
          <w:rPr>
            <w:rStyle w:val="a5"/>
          </w:rPr>
          <w:t>1993\Bri Med J306, 1345.pdf</w:t>
        </w:r>
      </w:hyperlink>
    </w:p>
    <w:p w:rsidR="003474F2" w:rsidRPr="001A3D2B" w:rsidRDefault="003474F2" w:rsidP="003474F2">
      <w:pPr>
        <w:pStyle w:val="a3"/>
      </w:pPr>
      <w:r w:rsidRPr="001A3D2B">
        <w:t>Keywords: Most-Cited papers, SCI 1945-1988, Citation-Classics, Time</w:t>
      </w:r>
    </w:p>
    <w:p w:rsidR="003474F2" w:rsidRPr="001A3D2B" w:rsidRDefault="003474F2" w:rsidP="003474F2">
      <w:pPr>
        <w:pStyle w:val="a3"/>
      </w:pPr>
      <w:r w:rsidRPr="001A3D2B">
        <w:t>? Wakeford, R.</w:t>
      </w:r>
      <w:r w:rsidR="005853A9">
        <w:t xml:space="preserve"> and </w:t>
      </w:r>
      <w:r w:rsidRPr="001A3D2B">
        <w:t xml:space="preserve">Roberts, W. (1993), Using </w:t>
      </w:r>
      <w:r w:rsidR="00D5664A">
        <w:t>MEDLINE</w:t>
      </w:r>
      <w:r w:rsidRPr="001A3D2B">
        <w:t xml:space="preserve"> for comprehensive searches. </w:t>
      </w:r>
      <w:r w:rsidRPr="001A3D2B">
        <w:rPr>
          <w:i/>
        </w:rPr>
        <w:t>British Medical Journal</w:t>
      </w:r>
      <w:r w:rsidRPr="001A3D2B">
        <w:t xml:space="preserve">, </w:t>
      </w:r>
      <w:r w:rsidRPr="001A3D2B">
        <w:rPr>
          <w:b/>
          <w:bCs/>
        </w:rPr>
        <w:t>306</w:t>
      </w:r>
      <w:r w:rsidRPr="001A3D2B">
        <w:t xml:space="preserve"> (6889), 1415.</w:t>
      </w:r>
    </w:p>
    <w:p w:rsidR="003474F2" w:rsidRPr="001A3D2B" w:rsidRDefault="003474F2" w:rsidP="003474F2">
      <w:pPr>
        <w:pStyle w:val="a3"/>
      </w:pPr>
      <w:r w:rsidRPr="001A3D2B">
        <w:t xml:space="preserve">Full Text: </w:t>
      </w:r>
      <w:hyperlink r:id="rId1997" w:history="1">
        <w:r w:rsidR="008D184B" w:rsidRPr="001A3D2B">
          <w:rPr>
            <w:rStyle w:val="a5"/>
          </w:rPr>
          <w:t>1993\Bri Med J306, 1415.pdf.pdf</w:t>
        </w:r>
      </w:hyperlink>
    </w:p>
    <w:p w:rsidR="003474F2" w:rsidRPr="001A3D2B" w:rsidRDefault="003474F2" w:rsidP="003474F2">
      <w:pPr>
        <w:pStyle w:val="a3"/>
      </w:pPr>
      <w:r w:rsidRPr="001A3D2B">
        <w:t xml:space="preserve">Smith, J. (1994), Gift authorship: A poisoned chalice. </w:t>
      </w:r>
      <w:r w:rsidRPr="001A3D2B">
        <w:rPr>
          <w:i/>
        </w:rPr>
        <w:t>British Medical Journal</w:t>
      </w:r>
      <w:r w:rsidRPr="001A3D2B">
        <w:t xml:space="preserve">, </w:t>
      </w:r>
      <w:r w:rsidRPr="001A3D2B">
        <w:rPr>
          <w:b/>
          <w:bCs/>
        </w:rPr>
        <w:t>309</w:t>
      </w:r>
      <w:r w:rsidRPr="001A3D2B">
        <w:t xml:space="preserve"> (6967), 1456-1457.</w:t>
      </w:r>
    </w:p>
    <w:p w:rsidR="003474F2" w:rsidRPr="001A3D2B" w:rsidRDefault="003474F2" w:rsidP="003474F2">
      <w:pPr>
        <w:pStyle w:val="a3"/>
      </w:pPr>
      <w:r w:rsidRPr="001A3D2B">
        <w:t xml:space="preserve">Full Text: </w:t>
      </w:r>
      <w:hyperlink r:id="rId1998" w:history="1">
        <w:r w:rsidRPr="001A3D2B">
          <w:rPr>
            <w:rStyle w:val="a5"/>
          </w:rPr>
          <w:t>1994\Bri Med J309, 1456.pdf</w:t>
        </w:r>
      </w:hyperlink>
    </w:p>
    <w:p w:rsidR="003474F2" w:rsidRPr="001A3D2B" w:rsidRDefault="003474F2" w:rsidP="003474F2">
      <w:pPr>
        <w:pStyle w:val="a3"/>
      </w:pPr>
      <w:r w:rsidRPr="001A3D2B">
        <w:t>Goodman, N.W. (1994), Survey</w:t>
      </w:r>
      <w:r w:rsidR="00427468">
        <w:t xml:space="preserve"> of </w:t>
      </w:r>
      <w:r w:rsidRPr="001A3D2B">
        <w:t>fulfillment</w:t>
      </w:r>
      <w:r w:rsidR="00427468">
        <w:t xml:space="preserve"> of </w:t>
      </w:r>
      <w:r w:rsidRPr="001A3D2B">
        <w:t xml:space="preserve">criteria for authorship in published medical-research. </w:t>
      </w:r>
      <w:r w:rsidRPr="001A3D2B">
        <w:rPr>
          <w:i/>
        </w:rPr>
        <w:t>British Medical Journal</w:t>
      </w:r>
      <w:r w:rsidRPr="001A3D2B">
        <w:t xml:space="preserve">, </w:t>
      </w:r>
      <w:r w:rsidRPr="001A3D2B">
        <w:rPr>
          <w:b/>
          <w:bCs/>
        </w:rPr>
        <w:t>309</w:t>
      </w:r>
      <w:r w:rsidRPr="001A3D2B">
        <w:t xml:space="preserve"> (6967), 1482.</w:t>
      </w:r>
    </w:p>
    <w:p w:rsidR="003474F2" w:rsidRPr="001A3D2B" w:rsidRDefault="003474F2" w:rsidP="003474F2">
      <w:pPr>
        <w:pStyle w:val="a3"/>
      </w:pPr>
      <w:r w:rsidRPr="001A3D2B">
        <w:t xml:space="preserve">Full Text: </w:t>
      </w:r>
      <w:hyperlink r:id="rId1999" w:history="1">
        <w:r w:rsidRPr="001A3D2B">
          <w:rPr>
            <w:rStyle w:val="a5"/>
          </w:rPr>
          <w:t>1994\Bri Med J309, 1482.pdf</w:t>
        </w:r>
      </w:hyperlink>
    </w:p>
    <w:p w:rsidR="003474F2" w:rsidRPr="001A3D2B" w:rsidRDefault="003474F2" w:rsidP="003474F2">
      <w:pPr>
        <w:pStyle w:val="a3"/>
      </w:pPr>
      <w:r w:rsidRPr="001A3D2B">
        <w:t>Halloran, S.P. (1995), Continuing medical education</w:t>
      </w:r>
      <w:r w:rsidR="005853A9">
        <w:t xml:space="preserve"> and </w:t>
      </w:r>
      <w:r w:rsidRPr="001A3D2B">
        <w:t xml:space="preserve">gift authorship. </w:t>
      </w:r>
      <w:r w:rsidRPr="001A3D2B">
        <w:rPr>
          <w:i/>
        </w:rPr>
        <w:t>British Medical Journal</w:t>
      </w:r>
      <w:r w:rsidRPr="001A3D2B">
        <w:t xml:space="preserve">, </w:t>
      </w:r>
      <w:r w:rsidRPr="001A3D2B">
        <w:rPr>
          <w:b/>
          <w:bCs/>
        </w:rPr>
        <w:t>310</w:t>
      </w:r>
      <w:r w:rsidRPr="001A3D2B">
        <w:t xml:space="preserve"> (6983), 869.</w:t>
      </w:r>
    </w:p>
    <w:p w:rsidR="003474F2" w:rsidRPr="001A3D2B" w:rsidRDefault="003474F2" w:rsidP="003474F2">
      <w:pPr>
        <w:pStyle w:val="a3"/>
      </w:pPr>
      <w:r w:rsidRPr="001A3D2B">
        <w:t xml:space="preserve">Full Text: </w:t>
      </w:r>
      <w:hyperlink r:id="rId2000" w:history="1">
        <w:r w:rsidRPr="001A3D2B">
          <w:rPr>
            <w:rStyle w:val="a5"/>
          </w:rPr>
          <w:t>1995\Bri Med J310, 869.pdf</w:t>
        </w:r>
      </w:hyperlink>
    </w:p>
    <w:p w:rsidR="003474F2" w:rsidRPr="001A3D2B" w:rsidRDefault="003474F2" w:rsidP="003474F2">
      <w:pPr>
        <w:pStyle w:val="a3"/>
      </w:pPr>
      <w:r w:rsidRPr="001A3D2B">
        <w:t>? Flynn, F.V. (1995), Continuing medical-education</w:t>
      </w:r>
      <w:r w:rsidR="005853A9">
        <w:t xml:space="preserve"> and </w:t>
      </w:r>
      <w:r w:rsidRPr="001A3D2B">
        <w:t>gift authorship - Royal-College</w:t>
      </w:r>
      <w:r w:rsidR="00427468">
        <w:t xml:space="preserve"> of </w:t>
      </w:r>
      <w:r w:rsidRPr="001A3D2B">
        <w:t xml:space="preserve">pathologists reply. </w:t>
      </w:r>
      <w:r w:rsidRPr="001A3D2B">
        <w:rPr>
          <w:i/>
        </w:rPr>
        <w:t>British Medical Journal</w:t>
      </w:r>
      <w:r w:rsidRPr="001A3D2B">
        <w:t xml:space="preserve">, </w:t>
      </w:r>
      <w:r w:rsidRPr="001A3D2B">
        <w:rPr>
          <w:b/>
          <w:bCs/>
        </w:rPr>
        <w:t>310</w:t>
      </w:r>
      <w:r w:rsidRPr="001A3D2B">
        <w:t xml:space="preserve"> (6983), 869-870.</w:t>
      </w:r>
    </w:p>
    <w:p w:rsidR="003474F2" w:rsidRPr="001A3D2B" w:rsidRDefault="003474F2" w:rsidP="003474F2">
      <w:pPr>
        <w:pStyle w:val="a3"/>
      </w:pPr>
      <w:r w:rsidRPr="001A3D2B">
        <w:t xml:space="preserve">Full Text: </w:t>
      </w:r>
      <w:hyperlink r:id="rId2001" w:history="1">
        <w:r w:rsidRPr="001A3D2B">
          <w:rPr>
            <w:rStyle w:val="a5"/>
          </w:rPr>
          <w:t>1995\Bri Med J310, 869-1.pdf</w:t>
        </w:r>
      </w:hyperlink>
    </w:p>
    <w:p w:rsidR="003474F2" w:rsidRPr="001A3D2B" w:rsidRDefault="003474F2" w:rsidP="003474F2">
      <w:pPr>
        <w:pStyle w:val="a3"/>
      </w:pPr>
      <w:r w:rsidRPr="001A3D2B">
        <w:t>Notes: TTopic</w:t>
      </w:r>
    </w:p>
    <w:p w:rsidR="003474F2" w:rsidRPr="001A3D2B" w:rsidRDefault="003474F2" w:rsidP="003474F2">
      <w:pPr>
        <w:pStyle w:val="a3"/>
      </w:pPr>
      <w:r w:rsidRPr="001A3D2B">
        <w:lastRenderedPageBreak/>
        <w:t>Hutchison, G.L. (1995), ABC</w:t>
      </w:r>
      <w:r w:rsidR="00427468">
        <w:t xml:space="preserve"> of </w:t>
      </w:r>
      <w:r w:rsidRPr="001A3D2B">
        <w:t xml:space="preserve">multiple authorship. </w:t>
      </w:r>
      <w:r w:rsidRPr="001A3D2B">
        <w:rPr>
          <w:i/>
        </w:rPr>
        <w:t>British Medical Journal</w:t>
      </w:r>
      <w:r w:rsidRPr="001A3D2B">
        <w:t xml:space="preserve">, </w:t>
      </w:r>
      <w:r w:rsidRPr="001A3D2B">
        <w:rPr>
          <w:b/>
          <w:bCs/>
        </w:rPr>
        <w:t>310</w:t>
      </w:r>
      <w:r w:rsidRPr="001A3D2B">
        <w:t xml:space="preserve"> (6989), 1236.</w:t>
      </w:r>
    </w:p>
    <w:p w:rsidR="003474F2" w:rsidRPr="001A3D2B" w:rsidRDefault="003474F2" w:rsidP="003474F2">
      <w:pPr>
        <w:pStyle w:val="a3"/>
      </w:pPr>
      <w:r w:rsidRPr="001A3D2B">
        <w:t xml:space="preserve">Full Text: </w:t>
      </w:r>
      <w:hyperlink r:id="rId2002" w:history="1">
        <w:r w:rsidRPr="001A3D2B">
          <w:rPr>
            <w:rStyle w:val="a5"/>
          </w:rPr>
          <w:t>1995\Bri Med J310, 1236.pdf</w:t>
        </w:r>
      </w:hyperlink>
    </w:p>
    <w:p w:rsidR="003474F2" w:rsidRPr="001A3D2B" w:rsidRDefault="003474F2" w:rsidP="003474F2">
      <w:pPr>
        <w:pStyle w:val="a3"/>
      </w:pPr>
      <w:r w:rsidRPr="001A3D2B">
        <w:t>Vander Stichele, R.H., Dezeure, E.M.</w:t>
      </w:r>
      <w:r w:rsidR="005853A9">
        <w:t xml:space="preserve"> and </w:t>
      </w:r>
      <w:r w:rsidRPr="001A3D2B">
        <w:t>Bogaert, M.G. (1995), Systematic review</w:t>
      </w:r>
      <w:r w:rsidR="00427468">
        <w:t xml:space="preserve"> of </w:t>
      </w:r>
      <w:r w:rsidRPr="001A3D2B">
        <w:t>clinical efficacy</w:t>
      </w:r>
      <w:r w:rsidR="00427468">
        <w:t xml:space="preserve"> of </w:t>
      </w:r>
      <w:r w:rsidRPr="001A3D2B">
        <w:t xml:space="preserve">topical treatments for head lice. </w:t>
      </w:r>
      <w:r w:rsidRPr="001A3D2B">
        <w:rPr>
          <w:i/>
        </w:rPr>
        <w:t>British Medical Journal</w:t>
      </w:r>
      <w:r w:rsidRPr="001A3D2B">
        <w:t xml:space="preserve">, </w:t>
      </w:r>
      <w:r w:rsidRPr="001A3D2B">
        <w:rPr>
          <w:b/>
        </w:rPr>
        <w:t>311</w:t>
      </w:r>
      <w:r w:rsidRPr="001A3D2B">
        <w:t xml:space="preserve"> (7005), 604-608.</w:t>
      </w:r>
    </w:p>
    <w:p w:rsidR="003474F2" w:rsidRPr="001A3D2B" w:rsidRDefault="003474F2" w:rsidP="003474F2">
      <w:pPr>
        <w:pStyle w:val="a3"/>
      </w:pPr>
      <w:r w:rsidRPr="001A3D2B">
        <w:t xml:space="preserve">Full Text: </w:t>
      </w:r>
      <w:hyperlink r:id="rId2003" w:history="1">
        <w:r w:rsidRPr="001A3D2B">
          <w:rPr>
            <w:rStyle w:val="a5"/>
          </w:rPr>
          <w:t>1995\Bri Med J311, 604.pdf</w:t>
        </w:r>
      </w:hyperlink>
    </w:p>
    <w:p w:rsidR="003474F2" w:rsidRPr="001A3D2B" w:rsidRDefault="003474F2" w:rsidP="003474F2">
      <w:pPr>
        <w:pStyle w:val="a3"/>
      </w:pPr>
      <w:r w:rsidRPr="001A3D2B">
        <w:t>Abstract: Objectives-To collect</w:t>
      </w:r>
      <w:r w:rsidR="005853A9">
        <w:t xml:space="preserve"> and </w:t>
      </w:r>
      <w:r w:rsidRPr="001A3D2B">
        <w:t>evaluate all trials on clinical efficacy</w:t>
      </w:r>
      <w:r w:rsidR="00427468">
        <w:t xml:space="preserve"> of </w:t>
      </w:r>
      <w:r w:rsidRPr="001A3D2B">
        <w:t>topical treatments for head lice.</w:t>
      </w:r>
    </w:p>
    <w:p w:rsidR="003474F2" w:rsidRPr="001A3D2B" w:rsidRDefault="003474F2" w:rsidP="003474F2">
      <w:pPr>
        <w:pStyle w:val="a3"/>
      </w:pPr>
      <w:r w:rsidRPr="001A3D2B">
        <w:t>Design-Systematic review</w:t>
      </w:r>
      <w:r w:rsidR="00427468">
        <w:t xml:space="preserve"> of </w:t>
      </w:r>
      <w:r w:rsidRPr="001A3D2B">
        <w:t xml:space="preserve">randomised trials identified from following data sources: </w:t>
      </w:r>
      <w:r w:rsidR="00D5664A">
        <w:t>MEDLINE</w:t>
      </w:r>
      <w:r w:rsidRPr="001A3D2B">
        <w:t>, International Pharmaceutical Abstracts, Science Citation Index, letters to key authors</w:t>
      </w:r>
      <w:r w:rsidR="005853A9">
        <w:t xml:space="preserve"> and </w:t>
      </w:r>
      <w:r w:rsidRPr="001A3D2B">
        <w:t>companies,</w:t>
      </w:r>
      <w:r w:rsidR="005853A9">
        <w:t xml:space="preserve"> and </w:t>
      </w:r>
      <w:r w:rsidRPr="001A3D2B">
        <w:t>hand search</w:t>
      </w:r>
      <w:r w:rsidR="00427468">
        <w:t xml:space="preserve"> of </w:t>
      </w:r>
      <w:r w:rsidRPr="001A3D2B">
        <w:t>journals.</w:t>
      </w:r>
    </w:p>
    <w:p w:rsidR="003474F2" w:rsidRPr="001A3D2B" w:rsidRDefault="003474F2" w:rsidP="003474F2">
      <w:pPr>
        <w:pStyle w:val="a3"/>
      </w:pPr>
      <w:r w:rsidRPr="001A3D2B">
        <w:t>Setting-Trials in schools or communities.</w:t>
      </w:r>
    </w:p>
    <w:p w:rsidR="003474F2" w:rsidRPr="001A3D2B" w:rsidRDefault="003474F2" w:rsidP="003474F2">
      <w:pPr>
        <w:pStyle w:val="a3"/>
      </w:pPr>
      <w:r w:rsidRPr="001A3D2B">
        <w:t>Subjects-Patients infested with lice.</w:t>
      </w:r>
    </w:p>
    <w:p w:rsidR="003474F2" w:rsidRPr="001A3D2B" w:rsidRDefault="003474F2" w:rsidP="003474F2">
      <w:pPr>
        <w:pStyle w:val="a3"/>
      </w:pPr>
      <w:r w:rsidRPr="001A3D2B">
        <w:t>Main outcome measure-Cure rate (absence</w:t>
      </w:r>
      <w:r w:rsidR="00427468">
        <w:t xml:space="preserve"> of </w:t>
      </w:r>
      <w:r w:rsidRPr="001A3D2B">
        <w:t>Live lice</w:t>
      </w:r>
      <w:r w:rsidR="005853A9">
        <w:t xml:space="preserve"> and </w:t>
      </w:r>
      <w:r w:rsidRPr="001A3D2B">
        <w:t>viable nits) on day 14 after treatment.</w:t>
      </w:r>
    </w:p>
    <w:p w:rsidR="003474F2" w:rsidRPr="001A3D2B" w:rsidRDefault="003474F2" w:rsidP="003474F2">
      <w:pPr>
        <w:pStyle w:val="a3"/>
      </w:pPr>
      <w:r w:rsidRPr="001A3D2B">
        <w:t>Results-Total</w:t>
      </w:r>
      <w:r w:rsidR="00427468">
        <w:t xml:space="preserve"> of </w:t>
      </w:r>
      <w:r w:rsidRPr="001A3D2B">
        <w:t>28 trials were identified</w:t>
      </w:r>
      <w:r w:rsidR="005853A9">
        <w:t xml:space="preserve"> and </w:t>
      </w:r>
      <w:r w:rsidRPr="001A3D2B">
        <w:t>evaluated according to eight general</w:t>
      </w:r>
      <w:r w:rsidR="005853A9">
        <w:t xml:space="preserve"> and </w:t>
      </w:r>
      <w:r w:rsidRPr="001A3D2B">
        <w:t>18 lice specific criteria.</w:t>
      </w:r>
      <w:r w:rsidR="00427468">
        <w:t xml:space="preserve"> of </w:t>
      </w:r>
      <w:r w:rsidR="003A1917">
        <w:t xml:space="preserve">the </w:t>
      </w:r>
      <w:r w:rsidRPr="001A3D2B">
        <w:t>14 trials rated as having low to moderate risk</w:t>
      </w:r>
      <w:r w:rsidR="00427468">
        <w:t xml:space="preserve"> of </w:t>
      </w:r>
      <w:r w:rsidRPr="001A3D2B">
        <w:t>bias, seven were selected as they used</w:t>
      </w:r>
      <w:r w:rsidR="003A1917">
        <w:t xml:space="preserve"> the </w:t>
      </w:r>
      <w:r w:rsidRPr="001A3D2B">
        <w:t>main outcome measure</w:t>
      </w:r>
      <w:r w:rsidR="00A37C1D">
        <w:t>. The</w:t>
      </w:r>
      <w:r w:rsidRPr="001A3D2B">
        <w:t>se seven trials described 21 evaluations</w:t>
      </w:r>
      <w:r w:rsidR="00427468">
        <w:t xml:space="preserve"> of </w:t>
      </w:r>
      <w:r w:rsidRPr="001A3D2B">
        <w:t>eight different compounds</w:t>
      </w:r>
      <w:r w:rsidR="005853A9">
        <w:t xml:space="preserve"> and </w:t>
      </w:r>
      <w:r w:rsidRPr="001A3D2B">
        <w:t>placebo (all but two evaluations were</w:t>
      </w:r>
      <w:r w:rsidR="00427468">
        <w:t xml:space="preserve"> of </w:t>
      </w:r>
      <w:r w:rsidRPr="001A3D2B">
        <w:t>single applications). Only permethrin 1% creme rinse showed efficacy in more than two studies with</w:t>
      </w:r>
      <w:r w:rsidR="003A1917">
        <w:t xml:space="preserve"> the </w:t>
      </w:r>
      <w:r w:rsidRPr="001A3D2B">
        <w:t>lower 95% confidence limit</w:t>
      </w:r>
      <w:r w:rsidR="00427468">
        <w:t xml:space="preserve"> of </w:t>
      </w:r>
      <w:r w:rsidRPr="001A3D2B">
        <w:t>cure rate above 90%.</w:t>
      </w:r>
    </w:p>
    <w:p w:rsidR="003474F2" w:rsidRPr="001A3D2B" w:rsidRDefault="003474F2" w:rsidP="003474F2">
      <w:pPr>
        <w:pStyle w:val="a3"/>
      </w:pPr>
      <w:r w:rsidRPr="001A3D2B">
        <w:t>Conclusions-Only for permethrin has sufficient evidence been published to show efficacy. Less expensive treatments such as malathion</w:t>
      </w:r>
      <w:r w:rsidR="005853A9">
        <w:t xml:space="preserve"> and </w:t>
      </w:r>
      <w:r w:rsidRPr="001A3D2B">
        <w:t>carbaryl need more evidence</w:t>
      </w:r>
      <w:r w:rsidR="00427468">
        <w:t xml:space="preserve"> of </w:t>
      </w:r>
      <w:r w:rsidRPr="001A3D2B">
        <w:t>efficacy. Lindane</w:t>
      </w:r>
      <w:r w:rsidR="005853A9">
        <w:t xml:space="preserve"> and </w:t>
      </w:r>
      <w:r w:rsidR="003A1917">
        <w:t xml:space="preserve">the </w:t>
      </w:r>
      <w:r w:rsidRPr="001A3D2B">
        <w:t>natural pyrethrines are not sufficiently effective to justify their use.</w:t>
      </w:r>
    </w:p>
    <w:p w:rsidR="003474F2" w:rsidRPr="001A3D2B" w:rsidRDefault="003474F2" w:rsidP="003474F2">
      <w:pPr>
        <w:pStyle w:val="a3"/>
      </w:pPr>
      <w:r w:rsidRPr="001A3D2B">
        <w:t>Keywords: Pediculosis Capitis, Louse Infestation, Comparative Trial, Malathion Lotion, Lindane Shampoo, Creme Rinse, Insecticides, Pyrethrins, Resistance, Infection</w:t>
      </w:r>
    </w:p>
    <w:p w:rsidR="003474F2" w:rsidRPr="001A3D2B" w:rsidRDefault="003474F2" w:rsidP="003474F2">
      <w:pPr>
        <w:pStyle w:val="a3"/>
      </w:pPr>
      <w:smartTag w:uri="urn:schemas-microsoft-com:office:smarttags" w:element="place">
        <w:smartTag w:uri="urn:schemas-microsoft-com:office:smarttags" w:element="City">
          <w:r w:rsidRPr="001A3D2B">
            <w:t>Taylor</w:t>
          </w:r>
        </w:smartTag>
      </w:smartTag>
      <w:r w:rsidRPr="001A3D2B">
        <w:t>, B.L., Pilkington, S.N., Smith, G.B.</w:t>
      </w:r>
      <w:r w:rsidR="005853A9">
        <w:t xml:space="preserve"> and </w:t>
      </w:r>
      <w:r w:rsidRPr="001A3D2B">
        <w:t>McQuillan, J. (1996), Attitude</w:t>
      </w:r>
      <w:r w:rsidR="00427468">
        <w:t xml:space="preserve"> of </w:t>
      </w:r>
      <w:r w:rsidRPr="001A3D2B">
        <w:t>consultant physicians to Calman proposals: Who is responsible for quality</w:t>
      </w:r>
      <w:r w:rsidR="00427468">
        <w:t xml:space="preserve"> of </w:t>
      </w:r>
      <w:r w:rsidRPr="001A3D2B">
        <w:t xml:space="preserve">acute medical care? </w:t>
      </w:r>
      <w:r w:rsidRPr="001A3D2B">
        <w:rPr>
          <w:i/>
        </w:rPr>
        <w:t>British Medical Journal</w:t>
      </w:r>
      <w:r w:rsidRPr="001A3D2B">
        <w:t xml:space="preserve">, </w:t>
      </w:r>
      <w:r w:rsidRPr="001A3D2B">
        <w:rPr>
          <w:b/>
        </w:rPr>
        <w:t>312</w:t>
      </w:r>
      <w:r w:rsidRPr="001A3D2B">
        <w:t xml:space="preserve"> (7028), 443-444.</w:t>
      </w:r>
    </w:p>
    <w:p w:rsidR="003474F2" w:rsidRPr="001A3D2B" w:rsidRDefault="003474F2" w:rsidP="003474F2">
      <w:pPr>
        <w:pStyle w:val="a3"/>
      </w:pPr>
      <w:r w:rsidRPr="001A3D2B">
        <w:t xml:space="preserve">Full Text: </w:t>
      </w:r>
      <w:hyperlink r:id="rId2004" w:history="1">
        <w:r w:rsidRPr="001A3D2B">
          <w:rPr>
            <w:rStyle w:val="a5"/>
          </w:rPr>
          <w:t>1996\Bri Med J312, 443.pdf</w:t>
        </w:r>
      </w:hyperlink>
    </w:p>
    <w:p w:rsidR="003474F2" w:rsidRPr="001A3D2B" w:rsidRDefault="003474F2" w:rsidP="003474F2">
      <w:pPr>
        <w:pStyle w:val="a3"/>
      </w:pPr>
      <w:r w:rsidRPr="001A3D2B">
        <w:t>Notes: highly cited</w:t>
      </w:r>
    </w:p>
    <w:p w:rsidR="003474F2" w:rsidRPr="001A3D2B" w:rsidRDefault="003474F2" w:rsidP="003474F2">
      <w:pPr>
        <w:pStyle w:val="a3"/>
      </w:pPr>
      <w:r w:rsidRPr="001A3D2B">
        <w:t xml:space="preserve">Garfield, E. (1996), How can impact factors be improved? </w:t>
      </w:r>
      <w:r w:rsidRPr="001A3D2B">
        <w:rPr>
          <w:i/>
        </w:rPr>
        <w:t>British Medical Journal</w:t>
      </w:r>
      <w:r w:rsidRPr="001A3D2B">
        <w:t xml:space="preserve">, </w:t>
      </w:r>
      <w:r w:rsidRPr="001A3D2B">
        <w:rPr>
          <w:b/>
        </w:rPr>
        <w:t>313</w:t>
      </w:r>
      <w:r w:rsidRPr="001A3D2B">
        <w:t xml:space="preserve"> (7054), 411-413.</w:t>
      </w:r>
    </w:p>
    <w:p w:rsidR="003474F2" w:rsidRPr="001A3D2B" w:rsidRDefault="003474F2" w:rsidP="003474F2">
      <w:pPr>
        <w:pStyle w:val="a3"/>
      </w:pPr>
      <w:r w:rsidRPr="001A3D2B">
        <w:t xml:space="preserve">Full Text: </w:t>
      </w:r>
      <w:hyperlink r:id="rId2005" w:history="1">
        <w:r w:rsidRPr="001A3D2B">
          <w:rPr>
            <w:rStyle w:val="a5"/>
          </w:rPr>
          <w:t>1996\Bri Med J313, 411.pdf</w:t>
        </w:r>
      </w:hyperlink>
    </w:p>
    <w:p w:rsidR="003474F2" w:rsidRPr="001A3D2B" w:rsidRDefault="003474F2" w:rsidP="003474F2">
      <w:pPr>
        <w:pStyle w:val="a3"/>
      </w:pPr>
      <w:r w:rsidRPr="001A3D2B">
        <w:t>Abstract: Impact factors are widely used to rank</w:t>
      </w:r>
      <w:r w:rsidR="005853A9">
        <w:t xml:space="preserve"> and </w:t>
      </w:r>
      <w:r w:rsidRPr="001A3D2B">
        <w:t>evaluate journals</w:t>
      </w:r>
      <w:r w:rsidR="00A37C1D">
        <w:t>. The</w:t>
      </w:r>
      <w:r w:rsidRPr="001A3D2B">
        <w:t>y are also often used inappropriately as surrogates in evaluation exercises</w:t>
      </w:r>
      <w:r w:rsidR="00A37C1D">
        <w:t>. The</w:t>
      </w:r>
      <w:r w:rsidR="003A1917">
        <w:t xml:space="preserve"> </w:t>
      </w:r>
      <w:r w:rsidRPr="001A3D2B">
        <w:t>inventor</w:t>
      </w:r>
      <w:r w:rsidR="00427468">
        <w:t xml:space="preserve"> of </w:t>
      </w:r>
      <w:r w:rsidR="003A1917">
        <w:t xml:space="preserve">the </w:t>
      </w:r>
      <w:r w:rsidRPr="001A3D2B">
        <w:lastRenderedPageBreak/>
        <w:t>Science Citation Index warns against</w:t>
      </w:r>
      <w:r w:rsidR="003A1917">
        <w:t xml:space="preserve"> the </w:t>
      </w:r>
      <w:r w:rsidRPr="001A3D2B">
        <w:t>indiscriminate use</w:t>
      </w:r>
      <w:r w:rsidR="00427468">
        <w:t xml:space="preserve"> of </w:t>
      </w:r>
      <w:r w:rsidRPr="001A3D2B">
        <w:t>these data. Fourteen year cumulative impact data for 10 leading medical journals provide a quantitative indicator</w:t>
      </w:r>
      <w:r w:rsidR="00427468">
        <w:t xml:space="preserve"> of </w:t>
      </w:r>
      <w:r w:rsidRPr="001A3D2B">
        <w:t>their long term influence. In</w:t>
      </w:r>
      <w:r w:rsidR="003A1917">
        <w:t xml:space="preserve"> the </w:t>
      </w:r>
      <w:r w:rsidRPr="001A3D2B">
        <w:t>final analysis, impact simply reflects</w:t>
      </w:r>
      <w:r w:rsidR="003A1917">
        <w:t xml:space="preserve"> the </w:t>
      </w:r>
      <w:r w:rsidRPr="001A3D2B">
        <w:t>ability</w:t>
      </w:r>
      <w:r w:rsidR="00427468">
        <w:t xml:space="preserve"> of </w:t>
      </w:r>
      <w:r w:rsidRPr="001A3D2B">
        <w:t>journals</w:t>
      </w:r>
      <w:r w:rsidR="005853A9">
        <w:t xml:space="preserve"> and </w:t>
      </w:r>
      <w:r w:rsidRPr="001A3D2B">
        <w:t>editors to attract</w:t>
      </w:r>
      <w:r w:rsidR="003A1917">
        <w:t xml:space="preserve"> the </w:t>
      </w:r>
      <w:r w:rsidRPr="001A3D2B">
        <w:t>best papers available.</w:t>
      </w:r>
    </w:p>
    <w:p w:rsidR="003474F2" w:rsidRPr="001A3D2B" w:rsidRDefault="003474F2" w:rsidP="003474F2">
      <w:pPr>
        <w:pStyle w:val="a3"/>
      </w:pPr>
      <w:r w:rsidRPr="001A3D2B">
        <w:t>Keywords: Analysis, Cumulative, Cumulative Impact, Data, Evaluation, Exercises, Impact, Impact Factors, Indicator, Journals, Long Term, Long-Term, Medical, Medical Journals, Papers, Rank, Science Citation Index, Term</w:t>
      </w:r>
    </w:p>
    <w:p w:rsidR="003474F2" w:rsidRPr="001A3D2B" w:rsidRDefault="003474F2" w:rsidP="003474F2">
      <w:pPr>
        <w:pStyle w:val="a3"/>
      </w:pPr>
      <w:r w:rsidRPr="001A3D2B">
        <w:t>Ross, D., Whitehead, M.</w:t>
      </w:r>
      <w:r w:rsidR="005853A9">
        <w:t xml:space="preserve"> and </w:t>
      </w:r>
      <w:r w:rsidRPr="001A3D2B">
        <w:t>Stevenson, J. (1996), Use</w:t>
      </w:r>
      <w:r w:rsidR="00427468">
        <w:t xml:space="preserve"> of </w:t>
      </w:r>
      <w:r w:rsidRPr="001A3D2B">
        <w:t xml:space="preserve">hormone replacement therapy - Authors gave distorted view through selective citation. </w:t>
      </w:r>
      <w:r w:rsidRPr="001A3D2B">
        <w:rPr>
          <w:i/>
        </w:rPr>
        <w:t>British Medical Journal</w:t>
      </w:r>
      <w:r w:rsidRPr="001A3D2B">
        <w:t xml:space="preserve">, </w:t>
      </w:r>
      <w:r w:rsidRPr="001A3D2B">
        <w:rPr>
          <w:b/>
          <w:bCs/>
        </w:rPr>
        <w:t>313</w:t>
      </w:r>
      <w:r w:rsidRPr="001A3D2B">
        <w:t xml:space="preserve"> (7058), 686-687.</w:t>
      </w:r>
    </w:p>
    <w:p w:rsidR="003474F2" w:rsidRPr="001A3D2B" w:rsidRDefault="003474F2" w:rsidP="003474F2">
      <w:pPr>
        <w:pStyle w:val="a3"/>
      </w:pPr>
      <w:r w:rsidRPr="001A3D2B">
        <w:t xml:space="preserve">Full Text: </w:t>
      </w:r>
      <w:hyperlink r:id="rId2006" w:history="1">
        <w:r w:rsidRPr="001A3D2B">
          <w:rPr>
            <w:rStyle w:val="a5"/>
          </w:rPr>
          <w:t>1996\Bri Med J313, 686.pdf</w:t>
        </w:r>
      </w:hyperlink>
    </w:p>
    <w:p w:rsidR="003474F2" w:rsidRPr="001A3D2B" w:rsidRDefault="003474F2" w:rsidP="003474F2">
      <w:pPr>
        <w:pStyle w:val="a3"/>
      </w:pPr>
      <w:r w:rsidRPr="001A3D2B">
        <w:t xml:space="preserve">Smith, R. (1996), What clinical information do doctors need? </w:t>
      </w:r>
      <w:r w:rsidRPr="001A3D2B">
        <w:rPr>
          <w:i/>
          <w:iCs/>
        </w:rPr>
        <w:t>British Medical Journal</w:t>
      </w:r>
      <w:r w:rsidRPr="001A3D2B">
        <w:t xml:space="preserve">, </w:t>
      </w:r>
      <w:r w:rsidRPr="001A3D2B">
        <w:rPr>
          <w:b/>
          <w:bCs/>
        </w:rPr>
        <w:t>313</w:t>
      </w:r>
      <w:r w:rsidRPr="001A3D2B">
        <w:t xml:space="preserve"> (7064), 1062-1068.</w:t>
      </w:r>
    </w:p>
    <w:p w:rsidR="003474F2" w:rsidRPr="001A3D2B" w:rsidRDefault="003474F2" w:rsidP="003474F2">
      <w:pPr>
        <w:pStyle w:val="a3"/>
      </w:pPr>
      <w:r w:rsidRPr="001A3D2B">
        <w:t xml:space="preserve">Full Text: </w:t>
      </w:r>
      <w:hyperlink r:id="rId2007" w:history="1">
        <w:r w:rsidRPr="001A3D2B">
          <w:rPr>
            <w:rStyle w:val="a5"/>
          </w:rPr>
          <w:t>1996\Bri Med J313, 1062.pdf</w:t>
        </w:r>
      </w:hyperlink>
    </w:p>
    <w:p w:rsidR="003474F2" w:rsidRPr="001A3D2B" w:rsidRDefault="003474F2" w:rsidP="003474F2">
      <w:pPr>
        <w:pStyle w:val="a3"/>
      </w:pPr>
      <w:r w:rsidRPr="001A3D2B">
        <w:t>Abstract: Doctors use some two million pieces</w:t>
      </w:r>
      <w:r w:rsidR="00427468">
        <w:t xml:space="preserve"> of </w:t>
      </w:r>
      <w:r w:rsidRPr="001A3D2B">
        <w:t>information to manage patients, but little research has been done on</w:t>
      </w:r>
      <w:r w:rsidR="003A1917">
        <w:t xml:space="preserve"> the </w:t>
      </w:r>
      <w:r w:rsidRPr="001A3D2B">
        <w:t>information needs that arise while treating patients</w:t>
      </w:r>
    </w:p>
    <w:p w:rsidR="003474F2" w:rsidRPr="001A3D2B" w:rsidRDefault="003474F2" w:rsidP="003474F2">
      <w:pPr>
        <w:pStyle w:val="a3"/>
      </w:pPr>
      <w:r w:rsidRPr="001A3D2B">
        <w:t>Textbooks, journals,</w:t>
      </w:r>
      <w:r w:rsidR="005853A9">
        <w:t xml:space="preserve"> and </w:t>
      </w:r>
      <w:r w:rsidRPr="001A3D2B">
        <w:t>other existing information tools are not adequate for answering</w:t>
      </w:r>
      <w:r w:rsidR="003A1917">
        <w:t xml:space="preserve"> the </w:t>
      </w:r>
      <w:r w:rsidRPr="001A3D2B">
        <w:t>questions that arise: textbooks are out</w:t>
      </w:r>
      <w:r w:rsidR="00427468">
        <w:t xml:space="preserve"> of </w:t>
      </w:r>
      <w:r w:rsidRPr="001A3D2B">
        <w:t>date,</w:t>
      </w:r>
      <w:r w:rsidR="005853A9">
        <w:t xml:space="preserve"> and </w:t>
      </w:r>
      <w:r w:rsidR="00700038">
        <w:t>‘</w:t>
      </w:r>
      <w:r w:rsidRPr="001A3D2B">
        <w:t>the signal to noise</w:t>
      </w:r>
      <w:r w:rsidR="00700038">
        <w:t>’</w:t>
      </w:r>
      <w:r w:rsidRPr="001A3D2B">
        <w:t xml:space="preserve"> ratio</w:t>
      </w:r>
      <w:r w:rsidR="00427468">
        <w:t xml:space="preserve"> of </w:t>
      </w:r>
      <w:r w:rsidRPr="001A3D2B">
        <w:t>journals is too low for them to be useful in daily practice</w:t>
      </w:r>
    </w:p>
    <w:p w:rsidR="003474F2" w:rsidRPr="001A3D2B" w:rsidRDefault="003474F2" w:rsidP="003474F2">
      <w:pPr>
        <w:pStyle w:val="a3"/>
      </w:pPr>
      <w:r w:rsidRPr="001A3D2B">
        <w:t>Computer systems that have been developed to help doctors are not widely used--perhaps because they have not been developed to meet doctors</w:t>
      </w:r>
      <w:r w:rsidR="00700038">
        <w:t>’</w:t>
      </w:r>
      <w:r w:rsidRPr="001A3D2B">
        <w:t xml:space="preserve"> information needs</w:t>
      </w:r>
    </w:p>
    <w:p w:rsidR="003474F2" w:rsidRPr="001A3D2B" w:rsidRDefault="003474F2" w:rsidP="003474F2">
      <w:pPr>
        <w:pStyle w:val="a3"/>
      </w:pPr>
      <w:r w:rsidRPr="001A3D2B">
        <w:t>When doctors see patients they usually generate at least one question; more questions arise than</w:t>
      </w:r>
      <w:r w:rsidR="003A1917">
        <w:t xml:space="preserve"> the </w:t>
      </w:r>
      <w:r w:rsidRPr="001A3D2B">
        <w:t>doctors seem to recognise</w:t>
      </w:r>
    </w:p>
    <w:p w:rsidR="003474F2" w:rsidRPr="001A3D2B" w:rsidRDefault="003474F2" w:rsidP="003474F2">
      <w:pPr>
        <w:pStyle w:val="a3"/>
      </w:pPr>
      <w:r w:rsidRPr="001A3D2B">
        <w:t>Most</w:t>
      </w:r>
      <w:r w:rsidR="00427468">
        <w:t xml:space="preserve"> of </w:t>
      </w:r>
      <w:r w:rsidR="003A1917">
        <w:t xml:space="preserve">the </w:t>
      </w:r>
      <w:r w:rsidRPr="001A3D2B">
        <w:t>questions concern treatment</w:t>
      </w:r>
    </w:p>
    <w:p w:rsidR="003474F2" w:rsidRPr="001A3D2B" w:rsidRDefault="003474F2" w:rsidP="003474F2">
      <w:pPr>
        <w:pStyle w:val="a3"/>
      </w:pPr>
      <w:r w:rsidRPr="001A3D2B">
        <w:t>Many</w:t>
      </w:r>
      <w:r w:rsidR="00427468">
        <w:t xml:space="preserve"> of </w:t>
      </w:r>
      <w:r w:rsidR="003A1917">
        <w:t xml:space="preserve">the </w:t>
      </w:r>
      <w:r w:rsidRPr="001A3D2B">
        <w:t>questions are highly complex, simultaneously asking about individual patients</w:t>
      </w:r>
      <w:r w:rsidR="005853A9">
        <w:t xml:space="preserve"> and </w:t>
      </w:r>
      <w:r w:rsidRPr="001A3D2B">
        <w:t>particular areas</w:t>
      </w:r>
      <w:r w:rsidR="00427468">
        <w:t xml:space="preserve"> of </w:t>
      </w:r>
      <w:r w:rsidRPr="001A3D2B">
        <w:t>medical knowledge</w:t>
      </w:r>
    </w:p>
    <w:p w:rsidR="003474F2" w:rsidRPr="001A3D2B" w:rsidRDefault="003474F2" w:rsidP="003474F2">
      <w:pPr>
        <w:pStyle w:val="a3"/>
      </w:pPr>
      <w:r w:rsidRPr="001A3D2B">
        <w:t>Often doctors are asking not simply for information but for support, guidance, affirmation,</w:t>
      </w:r>
      <w:r w:rsidR="005853A9">
        <w:t xml:space="preserve"> and </w:t>
      </w:r>
      <w:r w:rsidRPr="001A3D2B">
        <w:t>feedback</w:t>
      </w:r>
    </w:p>
    <w:p w:rsidR="003474F2" w:rsidRPr="001A3D2B" w:rsidRDefault="003474F2" w:rsidP="003474F2">
      <w:pPr>
        <w:pStyle w:val="a3"/>
      </w:pPr>
      <w:r w:rsidRPr="001A3D2B">
        <w:t>Many</w:t>
      </w:r>
      <w:r w:rsidR="00427468">
        <w:t xml:space="preserve"> of </w:t>
      </w:r>
      <w:r w:rsidR="003A1917">
        <w:t xml:space="preserve">the </w:t>
      </w:r>
      <w:r w:rsidRPr="001A3D2B">
        <w:t>questions go unanswered, but most could be answered; it is, however, time consuming</w:t>
      </w:r>
      <w:r w:rsidR="005853A9">
        <w:t xml:space="preserve"> and </w:t>
      </w:r>
      <w:r w:rsidRPr="001A3D2B">
        <w:t>expensive to answer them</w:t>
      </w:r>
    </w:p>
    <w:p w:rsidR="003474F2" w:rsidRPr="001A3D2B" w:rsidRDefault="003474F2" w:rsidP="003474F2">
      <w:pPr>
        <w:pStyle w:val="a3"/>
      </w:pPr>
      <w:r w:rsidRPr="001A3D2B">
        <w:t>Doctors are most likely to seek answers to these questions from other doctors</w:t>
      </w:r>
    </w:p>
    <w:p w:rsidR="003474F2" w:rsidRPr="001A3D2B" w:rsidRDefault="003474F2" w:rsidP="003474F2">
      <w:pPr>
        <w:pStyle w:val="a3"/>
      </w:pPr>
      <w:r w:rsidRPr="001A3D2B">
        <w:t>The best information sources provide relevant, valid material that can be accessed quickly</w:t>
      </w:r>
      <w:r w:rsidR="005853A9">
        <w:t xml:space="preserve"> and </w:t>
      </w:r>
      <w:r w:rsidRPr="001A3D2B">
        <w:t>with minimal effort</w:t>
      </w:r>
    </w:p>
    <w:p w:rsidR="003474F2" w:rsidRPr="001A3D2B" w:rsidRDefault="003474F2" w:rsidP="003474F2">
      <w:pPr>
        <w:pStyle w:val="a3"/>
      </w:pPr>
      <w:r w:rsidRPr="001A3D2B">
        <w:t>New information tools are needed: they are likely to be electronic, portable, fast, easy to use, connected to both a large valid database</w:t>
      </w:r>
      <w:r w:rsidR="00427468">
        <w:t xml:space="preserve"> of </w:t>
      </w:r>
      <w:r w:rsidRPr="001A3D2B">
        <w:t>medical knowledge</w:t>
      </w:r>
      <w:r w:rsidR="005853A9">
        <w:t xml:space="preserve"> and </w:t>
      </w:r>
      <w:r w:rsidR="003A1917">
        <w:t xml:space="preserve">the </w:t>
      </w:r>
      <w:r w:rsidRPr="001A3D2B">
        <w:t>patient record,</w:t>
      </w:r>
      <w:r w:rsidR="005853A9">
        <w:t xml:space="preserve"> and </w:t>
      </w:r>
      <w:r w:rsidRPr="001A3D2B">
        <w:t>a servant</w:t>
      </w:r>
      <w:r w:rsidR="00427468">
        <w:t xml:space="preserve"> of </w:t>
      </w:r>
      <w:r w:rsidRPr="001A3D2B">
        <w:t>patients as well as doctors</w:t>
      </w:r>
    </w:p>
    <w:p w:rsidR="003474F2" w:rsidRPr="001A3D2B" w:rsidRDefault="003474F2" w:rsidP="003474F2">
      <w:pPr>
        <w:pStyle w:val="a3"/>
      </w:pPr>
      <w:r w:rsidRPr="001A3D2B">
        <w:t>Notes: TTopic</w:t>
      </w:r>
    </w:p>
    <w:p w:rsidR="003474F2" w:rsidRPr="001A3D2B" w:rsidRDefault="003474F2" w:rsidP="003474F2">
      <w:pPr>
        <w:pStyle w:val="a3"/>
      </w:pPr>
      <w:r w:rsidRPr="001A3D2B">
        <w:lastRenderedPageBreak/>
        <w:t>Olde Rikkert, M.G.M., ten Have, H.A.M.J.</w:t>
      </w:r>
      <w:r w:rsidR="005853A9">
        <w:t xml:space="preserve"> and </w:t>
      </w:r>
      <w:r w:rsidRPr="001A3D2B">
        <w:t>Hoefnagels, W.H.L. (1996), Informed consent in biomedical studies on aging: Survey</w:t>
      </w:r>
      <w:r w:rsidR="00427468">
        <w:t xml:space="preserve"> of </w:t>
      </w:r>
      <w:r w:rsidRPr="001A3D2B">
        <w:t xml:space="preserve">four journals. </w:t>
      </w:r>
      <w:r w:rsidRPr="001A3D2B">
        <w:rPr>
          <w:i/>
          <w:iCs/>
        </w:rPr>
        <w:t>British Medical Journal</w:t>
      </w:r>
      <w:r w:rsidRPr="001A3D2B">
        <w:t xml:space="preserve">, </w:t>
      </w:r>
      <w:r w:rsidRPr="001A3D2B">
        <w:rPr>
          <w:b/>
          <w:bCs/>
        </w:rPr>
        <w:t>313</w:t>
      </w:r>
      <w:r w:rsidRPr="001A3D2B">
        <w:t xml:space="preserve"> (7065), 1117.</w:t>
      </w:r>
    </w:p>
    <w:p w:rsidR="00A214CA" w:rsidRPr="00D07B75" w:rsidRDefault="00A214CA" w:rsidP="00A214CA">
      <w:pPr>
        <w:pStyle w:val="a3"/>
      </w:pPr>
      <w:r>
        <w:t xml:space="preserve">Full Text: </w:t>
      </w:r>
      <w:hyperlink r:id="rId2008" w:history="1">
        <w:r w:rsidRPr="00E223DA">
          <w:rPr>
            <w:rStyle w:val="a5"/>
          </w:rPr>
          <w:t>1996\Bri Med J313, 1117.pdf</w:t>
        </w:r>
      </w:hyperlink>
    </w:p>
    <w:p w:rsidR="003474F2" w:rsidRPr="001A3D2B" w:rsidRDefault="003474F2" w:rsidP="003474F2">
      <w:pPr>
        <w:pStyle w:val="a3"/>
      </w:pPr>
      <w:r w:rsidRPr="001A3D2B">
        <w:t>Notes: highly cited</w:t>
      </w:r>
    </w:p>
    <w:p w:rsidR="003474F2" w:rsidRPr="001A3D2B" w:rsidRDefault="003474F2" w:rsidP="003474F2">
      <w:pPr>
        <w:pStyle w:val="a3"/>
      </w:pPr>
      <w:r w:rsidRPr="001A3D2B">
        <w:t>Seglen, P.O. (1997), Why</w:t>
      </w:r>
      <w:r w:rsidR="003A1917">
        <w:t xml:space="preserve"> the </w:t>
      </w:r>
      <w:r w:rsidRPr="001A3D2B">
        <w:t>impact factor</w:t>
      </w:r>
      <w:r w:rsidR="00427468">
        <w:t xml:space="preserve"> of </w:t>
      </w:r>
      <w:r w:rsidRPr="001A3D2B">
        <w:t xml:space="preserve">journals should not be used for evaluating research. </w:t>
      </w:r>
      <w:r w:rsidRPr="001A3D2B">
        <w:rPr>
          <w:i/>
        </w:rPr>
        <w:t>British Medical Journal</w:t>
      </w:r>
      <w:r w:rsidRPr="001A3D2B">
        <w:t xml:space="preserve">, </w:t>
      </w:r>
      <w:r w:rsidRPr="001A3D2B">
        <w:rPr>
          <w:b/>
          <w:bCs/>
        </w:rPr>
        <w:t>314</w:t>
      </w:r>
      <w:r w:rsidRPr="001A3D2B">
        <w:t xml:space="preserve"> (7079), 498-502.</w:t>
      </w:r>
    </w:p>
    <w:p w:rsidR="003474F2" w:rsidRPr="001A3D2B" w:rsidRDefault="003474F2" w:rsidP="003474F2">
      <w:pPr>
        <w:pStyle w:val="a3"/>
      </w:pPr>
      <w:r w:rsidRPr="001A3D2B">
        <w:t xml:space="preserve">Full Text: </w:t>
      </w:r>
      <w:hyperlink r:id="rId2009" w:history="1">
        <w:r w:rsidRPr="001A3D2B">
          <w:rPr>
            <w:rStyle w:val="a5"/>
          </w:rPr>
          <w:t>1997\Bri Med J314, 498.pdf</w:t>
        </w:r>
      </w:hyperlink>
    </w:p>
    <w:p w:rsidR="003474F2" w:rsidRPr="001A3D2B" w:rsidRDefault="003474F2" w:rsidP="003474F2">
      <w:pPr>
        <w:pStyle w:val="a3"/>
      </w:pPr>
      <w:r w:rsidRPr="001A3D2B">
        <w:t>Keywords: Impact, Impact Factor, Journals, Research</w:t>
      </w:r>
    </w:p>
    <w:p w:rsidR="003474F2" w:rsidRPr="001A3D2B" w:rsidRDefault="003474F2" w:rsidP="003474F2">
      <w:pPr>
        <w:pStyle w:val="a3"/>
      </w:pPr>
      <w:r w:rsidRPr="001A3D2B">
        <w:t>Morrison, P.J. (1997), Making</w:t>
      </w:r>
      <w:r w:rsidR="003A1917">
        <w:t xml:space="preserve"> the </w:t>
      </w:r>
      <w:r w:rsidRPr="001A3D2B">
        <w:t>most</w:t>
      </w:r>
      <w:r w:rsidR="00427468">
        <w:t xml:space="preserve"> of </w:t>
      </w:r>
      <w:r w:rsidRPr="001A3D2B">
        <w:t xml:space="preserve">self citation. </w:t>
      </w:r>
      <w:r w:rsidRPr="001A3D2B">
        <w:rPr>
          <w:i/>
        </w:rPr>
        <w:t>British Medical Journal</w:t>
      </w:r>
      <w:r w:rsidRPr="001A3D2B">
        <w:t xml:space="preserve">, </w:t>
      </w:r>
      <w:r w:rsidRPr="001A3D2B">
        <w:rPr>
          <w:b/>
          <w:bCs/>
        </w:rPr>
        <w:t>314</w:t>
      </w:r>
      <w:r w:rsidRPr="001A3D2B">
        <w:t xml:space="preserve"> (7083), 832.</w:t>
      </w:r>
    </w:p>
    <w:p w:rsidR="003474F2" w:rsidRPr="001A3D2B" w:rsidRDefault="003474F2" w:rsidP="003474F2">
      <w:pPr>
        <w:pStyle w:val="a3"/>
      </w:pPr>
      <w:r w:rsidRPr="001A3D2B">
        <w:t xml:space="preserve">Full Text: </w:t>
      </w:r>
      <w:hyperlink r:id="rId2010" w:history="1">
        <w:r w:rsidRPr="001A3D2B">
          <w:rPr>
            <w:rStyle w:val="a5"/>
          </w:rPr>
          <w:t>1997\Bri Med J314, 832.pdf</w:t>
        </w:r>
      </w:hyperlink>
    </w:p>
    <w:p w:rsidR="003474F2" w:rsidRPr="001A3D2B" w:rsidRDefault="003474F2" w:rsidP="003474F2">
      <w:pPr>
        <w:pStyle w:val="a3"/>
      </w:pPr>
      <w:smartTag w:uri="urn:schemas-microsoft-com:office:smarttags" w:element="City">
        <w:r w:rsidRPr="001A3D2B">
          <w:t>Bhopal</w:t>
        </w:r>
      </w:smartTag>
      <w:r w:rsidRPr="001A3D2B">
        <w:t xml:space="preserve">, R., Rankin, J., McColl, E., Thomas, L., Kaner, E., Stacy, R., Pearson, P., </w:t>
      </w:r>
      <w:smartTag w:uri="urn:schemas-microsoft-com:office:smarttags" w:element="place">
        <w:smartTag w:uri="urn:schemas-microsoft-com:office:smarttags" w:element="City">
          <w:r w:rsidRPr="001A3D2B">
            <w:t>Vernon</w:t>
          </w:r>
        </w:smartTag>
      </w:smartTag>
      <w:r w:rsidRPr="001A3D2B">
        <w:t>, B.</w:t>
      </w:r>
      <w:r w:rsidR="005853A9">
        <w:t xml:space="preserve"> and </w:t>
      </w:r>
      <w:r w:rsidRPr="001A3D2B">
        <w:t>Rodgers, H. (1997</w:t>
      </w:r>
      <w:r w:rsidR="00F42EAC">
        <w:t>), The</w:t>
      </w:r>
      <w:r w:rsidR="003A1917">
        <w:t xml:space="preserve"> </w:t>
      </w:r>
      <w:r w:rsidRPr="001A3D2B">
        <w:t>vexed question</w:t>
      </w:r>
      <w:r w:rsidR="00427468">
        <w:t xml:space="preserve"> of </w:t>
      </w:r>
      <w:r w:rsidRPr="001A3D2B">
        <w:t>authorship: Views</w:t>
      </w:r>
      <w:r w:rsidR="00427468">
        <w:t xml:space="preserve"> of </w:t>
      </w:r>
      <w:r w:rsidRPr="001A3D2B">
        <w:t xml:space="preserve">researchers in a British medical faculty. </w:t>
      </w:r>
      <w:r w:rsidRPr="001A3D2B">
        <w:rPr>
          <w:i/>
        </w:rPr>
        <w:t>British Medical Journal</w:t>
      </w:r>
      <w:r w:rsidRPr="001A3D2B">
        <w:t xml:space="preserve">, </w:t>
      </w:r>
      <w:r w:rsidRPr="001A3D2B">
        <w:rPr>
          <w:b/>
          <w:bCs/>
        </w:rPr>
        <w:t>314</w:t>
      </w:r>
      <w:r w:rsidRPr="001A3D2B">
        <w:t xml:space="preserve"> (7086), 1009-1012.</w:t>
      </w:r>
    </w:p>
    <w:p w:rsidR="003474F2" w:rsidRPr="001A3D2B" w:rsidRDefault="003474F2" w:rsidP="003474F2">
      <w:pPr>
        <w:pStyle w:val="a3"/>
      </w:pPr>
      <w:r w:rsidRPr="001A3D2B">
        <w:t xml:space="preserve">Full Text: </w:t>
      </w:r>
      <w:hyperlink r:id="rId2011" w:history="1">
        <w:r w:rsidRPr="001A3D2B">
          <w:rPr>
            <w:rStyle w:val="a5"/>
          </w:rPr>
          <w:t>1997\Bri Med J314, 1009.pdf</w:t>
        </w:r>
      </w:hyperlink>
    </w:p>
    <w:p w:rsidR="003474F2" w:rsidRPr="001A3D2B" w:rsidRDefault="003474F2" w:rsidP="003474F2">
      <w:pPr>
        <w:pStyle w:val="a3"/>
      </w:pPr>
      <w:r w:rsidRPr="001A3D2B">
        <w:t>Abstract: Objective: To assess knowledge, views,</w:t>
      </w:r>
      <w:r w:rsidR="005853A9">
        <w:t xml:space="preserve"> and </w:t>
      </w:r>
      <w:r w:rsidRPr="001A3D2B">
        <w:t>behaviour</w:t>
      </w:r>
      <w:r w:rsidR="00427468">
        <w:t xml:space="preserve"> of </w:t>
      </w:r>
      <w:r w:rsidRPr="001A3D2B">
        <w:t>researchers on criteria for authorship</w:t>
      </w:r>
      <w:r w:rsidR="005853A9">
        <w:t xml:space="preserve"> and </w:t>
      </w:r>
      <w:r w:rsidRPr="001A3D2B">
        <w:t>causes</w:t>
      </w:r>
      <w:r w:rsidR="005853A9">
        <w:t xml:space="preserve"> and </w:t>
      </w:r>
      <w:r w:rsidRPr="001A3D2B">
        <w:t>control</w:t>
      </w:r>
      <w:r w:rsidR="00427468">
        <w:t xml:space="preserve"> of </w:t>
      </w:r>
      <w:r w:rsidRPr="001A3D2B">
        <w:t>gift authorship.</w:t>
      </w:r>
    </w:p>
    <w:p w:rsidR="003474F2" w:rsidRPr="001A3D2B" w:rsidRDefault="003474F2" w:rsidP="003474F2">
      <w:pPr>
        <w:pStyle w:val="a3"/>
      </w:pPr>
      <w:r w:rsidRPr="001A3D2B">
        <w:t>Design: Interview survey</w:t>
      </w:r>
      <w:r w:rsidR="00427468">
        <w:t xml:space="preserve"> of </w:t>
      </w:r>
      <w:r w:rsidRPr="001A3D2B">
        <w:t>stratified sample</w:t>
      </w:r>
      <w:r w:rsidR="00427468">
        <w:t xml:space="preserve"> of </w:t>
      </w:r>
      <w:r w:rsidRPr="001A3D2B">
        <w:t>researchers.</w:t>
      </w:r>
    </w:p>
    <w:p w:rsidR="003474F2" w:rsidRPr="001A3D2B" w:rsidRDefault="003474F2" w:rsidP="003474F2">
      <w:pPr>
        <w:pStyle w:val="a3"/>
      </w:pPr>
      <w:r w:rsidRPr="001A3D2B">
        <w:t>Setting: University medical faculty.</w:t>
      </w:r>
    </w:p>
    <w:p w:rsidR="003474F2" w:rsidRPr="001A3D2B" w:rsidRDefault="003474F2" w:rsidP="003474F2">
      <w:pPr>
        <w:pStyle w:val="a3"/>
      </w:pPr>
      <w:r w:rsidRPr="001A3D2B">
        <w:t>Subjects: 66 staff (94% response rate) comprising several levels</w:t>
      </w:r>
      <w:r w:rsidR="00427468">
        <w:t xml:space="preserve"> of </w:t>
      </w:r>
      <w:r w:rsidRPr="001A3D2B">
        <w:t>university academic</w:t>
      </w:r>
      <w:r w:rsidR="005853A9">
        <w:t xml:space="preserve"> and </w:t>
      </w:r>
      <w:r w:rsidRPr="001A3D2B">
        <w:t>research appointments.</w:t>
      </w:r>
    </w:p>
    <w:p w:rsidR="003474F2" w:rsidRPr="001A3D2B" w:rsidRDefault="003474F2" w:rsidP="003474F2">
      <w:pPr>
        <w:pStyle w:val="a3"/>
      </w:pPr>
      <w:r w:rsidRPr="001A3D2B">
        <w:t>Main outcome measures: Awareness</w:t>
      </w:r>
      <w:r w:rsidR="005853A9">
        <w:t xml:space="preserve"> and </w:t>
      </w:r>
      <w:r w:rsidRPr="001A3D2B">
        <w:t>use</w:t>
      </w:r>
      <w:r w:rsidR="00427468">
        <w:t xml:space="preserve"> of </w:t>
      </w:r>
      <w:r w:rsidRPr="001A3D2B">
        <w:t>criteria for authorship, views on which contributions to research merit authorship, perceptions about gift authorship</w:t>
      </w:r>
      <w:r w:rsidR="005853A9">
        <w:t xml:space="preserve"> and </w:t>
      </w:r>
      <w:r w:rsidRPr="001A3D2B">
        <w:t>strategies for reducing it,</w:t>
      </w:r>
      <w:r w:rsidR="005853A9">
        <w:t xml:space="preserve"> and </w:t>
      </w:r>
      <w:r w:rsidRPr="001A3D2B">
        <w:t>experiences</w:t>
      </w:r>
      <w:r w:rsidR="00427468">
        <w:t xml:space="preserve"> of </w:t>
      </w:r>
      <w:r w:rsidRPr="001A3D2B">
        <w:t>authorship problems.</w:t>
      </w:r>
    </w:p>
    <w:p w:rsidR="003474F2" w:rsidRPr="001A3D2B" w:rsidRDefault="003474F2" w:rsidP="003474F2">
      <w:pPr>
        <w:pStyle w:val="a3"/>
      </w:pPr>
      <w:r w:rsidRPr="001A3D2B">
        <w:t>Results: 50 (76%) respondents supported criteria for authorship, but few knew about or used available criteria.</w:t>
      </w:r>
      <w:r w:rsidR="00427468">
        <w:t xml:space="preserve"> of </w:t>
      </w:r>
      <w:r w:rsidR="003A1917">
        <w:t xml:space="preserve">the </w:t>
      </w:r>
      <w:r w:rsidRPr="001A3D2B">
        <w:t>five people who could specify all three criteria</w:t>
      </w:r>
      <w:r w:rsidR="00427468">
        <w:t xml:space="preserve"> of </w:t>
      </w:r>
      <w:r w:rsidR="003A1917">
        <w:t xml:space="preserve">the </w:t>
      </w:r>
      <w:r w:rsidRPr="001A3D2B">
        <w:t>International Committee</w:t>
      </w:r>
      <w:r w:rsidR="00427468">
        <w:t xml:space="preserve"> of </w:t>
      </w:r>
      <w:r w:rsidRPr="001A3D2B">
        <w:t>Medical Journal Editors, only one knew that all criteria had to be met Forty one respondents (62%) disagreed with this stipulation. A range</w:t>
      </w:r>
      <w:r w:rsidR="00427468">
        <w:t xml:space="preserve"> of </w:t>
      </w:r>
      <w:r w:rsidRPr="001A3D2B">
        <w:t>practical</w:t>
      </w:r>
      <w:r w:rsidR="005853A9">
        <w:t xml:space="preserve"> and </w:t>
      </w:r>
      <w:r w:rsidRPr="001A3D2B">
        <w:t>academic contributions were seen as sufficient for authorship, Gift authorship was perceived as common, promoted by pressure to publish, to motivate research teams,</w:t>
      </w:r>
      <w:r w:rsidR="005853A9">
        <w:t xml:space="preserve"> and </w:t>
      </w:r>
      <w:r w:rsidRPr="001A3D2B">
        <w:t>to maintain working relationships. A signed statement justifying authorship</w:t>
      </w:r>
      <w:r w:rsidR="005853A9">
        <w:t xml:space="preserve"> and </w:t>
      </w:r>
      <w:r w:rsidRPr="001A3D2B">
        <w:t>a published statement</w:t>
      </w:r>
      <w:r w:rsidR="00427468">
        <w:t xml:space="preserve"> of </w:t>
      </w:r>
      <w:r w:rsidR="003A1917">
        <w:t xml:space="preserve">the </w:t>
      </w:r>
      <w:r w:rsidRPr="001A3D2B">
        <w:t>contribution</w:t>
      </w:r>
      <w:r w:rsidR="00427468">
        <w:t xml:space="preserve"> of </w:t>
      </w:r>
      <w:r w:rsidRPr="001A3D2B">
        <w:t>each author were perceived as practical ways</w:t>
      </w:r>
      <w:r w:rsidR="00427468">
        <w:t xml:space="preserve"> of </w:t>
      </w:r>
      <w:r w:rsidRPr="001A3D2B">
        <w:t>tacking gift authorship. Most researchers had experienced problems with authorship, most commonly</w:t>
      </w:r>
      <w:r w:rsidR="003A1917">
        <w:t xml:space="preserve"> the </w:t>
      </w:r>
      <w:r w:rsidRPr="001A3D2B">
        <w:t>perception that authorship had been deserved but not awarded (49%).</w:t>
      </w:r>
    </w:p>
    <w:p w:rsidR="003474F2" w:rsidRPr="001A3D2B" w:rsidRDefault="003474F2" w:rsidP="003474F2">
      <w:pPr>
        <w:pStyle w:val="a3"/>
      </w:pPr>
      <w:r w:rsidRPr="001A3D2B">
        <w:t>Conclusion: There seems to be a gap between editors</w:t>
      </w:r>
      <w:r w:rsidR="00700038">
        <w:t>’</w:t>
      </w:r>
      <w:r w:rsidRPr="001A3D2B">
        <w:t xml:space="preserve"> criteria for authorship</w:t>
      </w:r>
      <w:r w:rsidR="005853A9">
        <w:t xml:space="preserve"> and </w:t>
      </w:r>
      <w:r w:rsidRPr="001A3D2B">
        <w:t>researchers</w:t>
      </w:r>
      <w:r w:rsidR="00700038">
        <w:t>’</w:t>
      </w:r>
      <w:r w:rsidRPr="001A3D2B">
        <w:t xml:space="preserve"> practice. Lack</w:t>
      </w:r>
      <w:r w:rsidR="00427468">
        <w:t xml:space="preserve"> of </w:t>
      </w:r>
      <w:r w:rsidRPr="001A3D2B">
        <w:t>awareness</w:t>
      </w:r>
      <w:r w:rsidR="00427468">
        <w:t xml:space="preserve"> of </w:t>
      </w:r>
      <w:r w:rsidRPr="001A3D2B">
        <w:t xml:space="preserve">criteria is only a partial explanation. </w:t>
      </w:r>
      <w:r w:rsidRPr="001A3D2B">
        <w:lastRenderedPageBreak/>
        <w:t>Researchers give more weight than editors to practical research contributions. Future criteria should be agreed by researchers</w:t>
      </w:r>
      <w:r w:rsidR="005853A9">
        <w:t xml:space="preserve"> and </w:t>
      </w:r>
      <w:r w:rsidRPr="001A3D2B">
        <w:t>not be imposed by editors.</w:t>
      </w:r>
    </w:p>
    <w:p w:rsidR="009D5A9F" w:rsidRDefault="009D5A9F" w:rsidP="009D5A9F">
      <w:pPr>
        <w:pStyle w:val="a3"/>
        <w:rPr>
          <w:kern w:val="0"/>
        </w:rPr>
      </w:pPr>
      <w:r>
        <w:rPr>
          <w:rFonts w:hint="eastAsia"/>
          <w:kern w:val="0"/>
        </w:rPr>
        <w:t xml:space="preserve">? </w:t>
      </w:r>
      <w:r>
        <w:rPr>
          <w:kern w:val="0"/>
        </w:rPr>
        <w:t>Bhopal, R.S., Rankin, J.M., McColl, E., Stacy, R., Pearson, P.H., Kaner, E.F.S., Thomas, L.H., Vernon, B.G.</w:t>
      </w:r>
      <w:r w:rsidR="005853A9">
        <w:rPr>
          <w:kern w:val="0"/>
        </w:rPr>
        <w:t xml:space="preserve"> and </w:t>
      </w:r>
      <w:r>
        <w:rPr>
          <w:kern w:val="0"/>
        </w:rPr>
        <w:t xml:space="preserve">Rodgers, H. (1997), Authorship - Team approach to assigning authorship order is recommended. </w:t>
      </w:r>
      <w:r>
        <w:rPr>
          <w:i/>
          <w:iCs/>
          <w:kern w:val="0"/>
        </w:rPr>
        <w:t>British Medical Journal</w:t>
      </w:r>
      <w:r>
        <w:rPr>
          <w:kern w:val="0"/>
        </w:rPr>
        <w:t xml:space="preserve">, </w:t>
      </w:r>
      <w:r>
        <w:rPr>
          <w:b/>
          <w:bCs/>
          <w:kern w:val="0"/>
        </w:rPr>
        <w:t>314</w:t>
      </w:r>
      <w:r>
        <w:rPr>
          <w:kern w:val="0"/>
        </w:rPr>
        <w:t xml:space="preserve"> (7086), 1046-1047</w:t>
      </w:r>
    </w:p>
    <w:p w:rsidR="009D5A9F" w:rsidRPr="00D07B75" w:rsidRDefault="009D5A9F" w:rsidP="009D5A9F">
      <w:pPr>
        <w:pStyle w:val="a3"/>
      </w:pPr>
      <w:r>
        <w:t xml:space="preserve">Full Text: </w:t>
      </w:r>
      <w:hyperlink r:id="rId2012" w:history="1">
        <w:r w:rsidRPr="009D5A9F">
          <w:rPr>
            <w:rStyle w:val="a5"/>
          </w:rPr>
          <w:t>1997\Bri Med J314, 1046.pdf</w:t>
        </w:r>
      </w:hyperlink>
    </w:p>
    <w:p w:rsidR="009D5A9F" w:rsidRDefault="009D5A9F" w:rsidP="009D5A9F">
      <w:pPr>
        <w:pStyle w:val="a3"/>
        <w:rPr>
          <w:kern w:val="0"/>
        </w:rPr>
      </w:pPr>
      <w:r>
        <w:rPr>
          <w:kern w:val="0"/>
        </w:rPr>
        <w:t>Keywords: Authorship</w:t>
      </w:r>
    </w:p>
    <w:p w:rsidR="003474F2" w:rsidRPr="001A3D2B" w:rsidRDefault="003474F2" w:rsidP="003474F2">
      <w:pPr>
        <w:pStyle w:val="a3"/>
      </w:pPr>
      <w:r w:rsidRPr="001A3D2B">
        <w:t>Notes: TTopic</w:t>
      </w:r>
    </w:p>
    <w:p w:rsidR="003474F2" w:rsidRPr="001A3D2B" w:rsidRDefault="003474F2" w:rsidP="003474F2">
      <w:pPr>
        <w:pStyle w:val="a3"/>
      </w:pPr>
      <w:r w:rsidRPr="001A3D2B">
        <w:t>van der Heijden, G.J.M.G., van der Windt, D.A.W.M.</w:t>
      </w:r>
      <w:r w:rsidR="005853A9">
        <w:t xml:space="preserve"> and </w:t>
      </w:r>
      <w:r w:rsidRPr="001A3D2B">
        <w:t>de Winter, A.F. (1997), Physiotherapy for patients with soft tissue shoulder disorders: A systematic review</w:t>
      </w:r>
      <w:r w:rsidR="00427468">
        <w:t xml:space="preserve"> of </w:t>
      </w:r>
      <w:r w:rsidRPr="001A3D2B">
        <w:t xml:space="preserve">randomised clinical trials. </w:t>
      </w:r>
      <w:r w:rsidRPr="001A3D2B">
        <w:rPr>
          <w:i/>
          <w:iCs/>
        </w:rPr>
        <w:t>British Medical Journal</w:t>
      </w:r>
      <w:r w:rsidRPr="001A3D2B">
        <w:t xml:space="preserve">, </w:t>
      </w:r>
      <w:r w:rsidRPr="001A3D2B">
        <w:rPr>
          <w:b/>
          <w:bCs/>
        </w:rPr>
        <w:t>315</w:t>
      </w:r>
      <w:r w:rsidRPr="001A3D2B">
        <w:t xml:space="preserve"> (7099), 25-30.</w:t>
      </w:r>
    </w:p>
    <w:p w:rsidR="003474F2" w:rsidRPr="001A3D2B" w:rsidRDefault="003474F2" w:rsidP="003474F2">
      <w:pPr>
        <w:pStyle w:val="a3"/>
      </w:pPr>
      <w:r w:rsidRPr="001A3D2B">
        <w:t xml:space="preserve">Full Text: </w:t>
      </w:r>
      <w:hyperlink r:id="rId2013" w:history="1">
        <w:r w:rsidRPr="001A3D2B">
          <w:rPr>
            <w:rStyle w:val="a5"/>
          </w:rPr>
          <w:t>1997\Bri Med J315, 25.pdf</w:t>
        </w:r>
      </w:hyperlink>
    </w:p>
    <w:p w:rsidR="003474F2" w:rsidRPr="001A3D2B" w:rsidRDefault="003474F2" w:rsidP="003474F2">
      <w:pPr>
        <w:pStyle w:val="a3"/>
      </w:pPr>
      <w:r w:rsidRPr="001A3D2B">
        <w:t>Abstract: Objective: To assess</w:t>
      </w:r>
      <w:r w:rsidR="003A1917">
        <w:t xml:space="preserve"> the </w:t>
      </w:r>
      <w:r w:rsidRPr="001A3D2B">
        <w:t>effectiveness</w:t>
      </w:r>
      <w:r w:rsidR="00427468">
        <w:t xml:space="preserve"> of </w:t>
      </w:r>
      <w:r w:rsidRPr="001A3D2B">
        <w:t>physiotherapy for patients with soft tissue shoulder disorders.</w:t>
      </w:r>
    </w:p>
    <w:p w:rsidR="003474F2" w:rsidRPr="001A3D2B" w:rsidRDefault="003474F2" w:rsidP="003474F2">
      <w:pPr>
        <w:pStyle w:val="a3"/>
      </w:pPr>
      <w:r w:rsidRPr="001A3D2B">
        <w:t>Design: A systematic computerised literature search</w:t>
      </w:r>
      <w:r w:rsidR="00427468">
        <w:t xml:space="preserve"> of </w:t>
      </w:r>
      <w:r w:rsidR="00D5664A">
        <w:t>MEDLINE</w:t>
      </w:r>
      <w:r w:rsidR="005853A9">
        <w:t xml:space="preserve"> and </w:t>
      </w:r>
      <w:r w:rsidRPr="001A3D2B">
        <w:t>Embase, supplemented with citation tracking, for relevant trials with random allocation published before 1996.</w:t>
      </w:r>
    </w:p>
    <w:p w:rsidR="003474F2" w:rsidRPr="001A3D2B" w:rsidRDefault="003474F2" w:rsidP="003474F2">
      <w:pPr>
        <w:pStyle w:val="a3"/>
      </w:pPr>
      <w:r w:rsidRPr="001A3D2B">
        <w:t>Subjects: Patients treated with physiotherapy for disorders</w:t>
      </w:r>
      <w:r w:rsidR="00427468">
        <w:t xml:space="preserve"> of </w:t>
      </w:r>
      <w:r w:rsidRPr="001A3D2B">
        <w:t>soft tissue</w:t>
      </w:r>
      <w:r w:rsidR="00427468">
        <w:t xml:space="preserve"> of </w:t>
      </w:r>
      <w:r w:rsidR="003A1917">
        <w:t xml:space="preserve">the </w:t>
      </w:r>
      <w:r w:rsidRPr="001A3D2B">
        <w:t>shoulder. Main outcome measures: Success rates, mobility, pain, functional status.</w:t>
      </w:r>
    </w:p>
    <w:p w:rsidR="003474F2" w:rsidRPr="001A3D2B" w:rsidRDefault="003474F2" w:rsidP="003474F2">
      <w:pPr>
        <w:pStyle w:val="a3"/>
      </w:pPr>
      <w:r w:rsidRPr="001A3D2B">
        <w:t>Results: Six</w:t>
      </w:r>
      <w:r w:rsidR="00427468">
        <w:t xml:space="preserve"> of </w:t>
      </w:r>
      <w:r w:rsidR="003A1917">
        <w:t xml:space="preserve">the </w:t>
      </w:r>
      <w:r w:rsidRPr="001A3D2B">
        <w:t>20 assessed trials satisfied at least five</w:t>
      </w:r>
      <w:r w:rsidR="00427468">
        <w:t xml:space="preserve"> of </w:t>
      </w:r>
      <w:r w:rsidRPr="001A3D2B">
        <w:t>eight validity criteria. Assessment</w:t>
      </w:r>
      <w:r w:rsidR="00427468">
        <w:t xml:space="preserve"> of </w:t>
      </w:r>
      <w:r w:rsidRPr="001A3D2B">
        <w:t>methods was often hampered by insufficient information on various validity criteria,</w:t>
      </w:r>
      <w:r w:rsidR="005853A9">
        <w:t xml:space="preserve"> and </w:t>
      </w:r>
      <w:r w:rsidRPr="001A3D2B">
        <w:t>trials were often flawed by lack</w:t>
      </w:r>
      <w:r w:rsidR="00427468">
        <w:t xml:space="preserve"> of </w:t>
      </w:r>
      <w:r w:rsidRPr="001A3D2B">
        <w:t>blinding, high proportions</w:t>
      </w:r>
      <w:r w:rsidR="00427468">
        <w:t xml:space="preserve"> of </w:t>
      </w:r>
      <w:r w:rsidRPr="001A3D2B">
        <w:t>withdrawals from treatment</w:t>
      </w:r>
      <w:r w:rsidR="005853A9">
        <w:t xml:space="preserve"> and </w:t>
      </w:r>
      <w:r w:rsidRPr="001A3D2B">
        <w:t>high proportions</w:t>
      </w:r>
      <w:r w:rsidR="00427468">
        <w:t xml:space="preserve"> of </w:t>
      </w:r>
      <w:r w:rsidRPr="001A3D2B">
        <w:t>missing values. Trial sizes were small: only six trials included intervention groups</w:t>
      </w:r>
      <w:r w:rsidR="00427468">
        <w:t xml:space="preserve"> of </w:t>
      </w:r>
      <w:r w:rsidRPr="001A3D2B">
        <w:t>more than 25 patients. Ultrasound therapy, evaluated in six trials, was not shown to be effective. Four other trials favoured physiotherapy (laser therapy or manipulation), but</w:t>
      </w:r>
      <w:r w:rsidR="003A1917">
        <w:t xml:space="preserve"> the </w:t>
      </w:r>
      <w:r w:rsidRPr="001A3D2B">
        <w:t>validity</w:t>
      </w:r>
      <w:r w:rsidR="00427468">
        <w:t xml:space="preserve"> of </w:t>
      </w:r>
      <w:r w:rsidRPr="001A3D2B">
        <w:t>their methods was unsatisfactory.</w:t>
      </w:r>
    </w:p>
    <w:p w:rsidR="003474F2" w:rsidRPr="001A3D2B" w:rsidRDefault="003474F2" w:rsidP="003474F2">
      <w:pPr>
        <w:pStyle w:val="a3"/>
      </w:pPr>
      <w:r w:rsidRPr="001A3D2B">
        <w:t>Conclusions: There is evidence that ultrasound therapy is ineffective in</w:t>
      </w:r>
      <w:r w:rsidR="003A1917">
        <w:t xml:space="preserve"> the </w:t>
      </w:r>
      <w:r w:rsidRPr="001A3D2B">
        <w:t>treatment</w:t>
      </w:r>
      <w:r w:rsidR="00427468">
        <w:t xml:space="preserve"> of </w:t>
      </w:r>
      <w:r w:rsidRPr="001A3D2B">
        <w:t>soft tissue shoulder disorders. Due to small trial sizes</w:t>
      </w:r>
      <w:r w:rsidR="005853A9">
        <w:t xml:space="preserve"> and </w:t>
      </w:r>
      <w:r w:rsidRPr="001A3D2B">
        <w:t>unsatisfactory methods, evidence for</w:t>
      </w:r>
      <w:r w:rsidR="003A1917">
        <w:t xml:space="preserve"> the </w:t>
      </w:r>
      <w:r w:rsidRPr="001A3D2B">
        <w:t>effectiveness</w:t>
      </w:r>
      <w:r w:rsidR="00427468">
        <w:t xml:space="preserve"> of </w:t>
      </w:r>
      <w:r w:rsidRPr="001A3D2B">
        <w:t>other methods</w:t>
      </w:r>
      <w:r w:rsidR="00427468">
        <w:t xml:space="preserve"> of </w:t>
      </w:r>
      <w:r w:rsidRPr="001A3D2B">
        <w:t>physiotherapy is inconclusive. For all methods</w:t>
      </w:r>
      <w:r w:rsidR="00427468">
        <w:t xml:space="preserve"> of </w:t>
      </w:r>
      <w:r w:rsidRPr="001A3D2B">
        <w:t>treatment, trials were too heterogeneous with respect to included patients, index</w:t>
      </w:r>
      <w:r w:rsidR="005853A9">
        <w:t xml:space="preserve"> and </w:t>
      </w:r>
      <w:r w:rsidRPr="001A3D2B">
        <w:t>reference treatments,</w:t>
      </w:r>
      <w:r w:rsidR="005853A9">
        <w:t xml:space="preserve"> and </w:t>
      </w:r>
      <w:r w:rsidRPr="001A3D2B">
        <w:t>follow up to merit valid statistical pooling. Future studies should show whether physiotherapy is superior to treatment with drugs, steroid injections, or a wait</w:t>
      </w:r>
      <w:r w:rsidR="005853A9">
        <w:t xml:space="preserve"> and </w:t>
      </w:r>
      <w:r w:rsidRPr="001A3D2B">
        <w:t>see policy.</w:t>
      </w:r>
    </w:p>
    <w:p w:rsidR="003474F2" w:rsidRPr="001A3D2B" w:rsidRDefault="003474F2" w:rsidP="003474F2">
      <w:pPr>
        <w:pStyle w:val="a3"/>
      </w:pPr>
      <w:r w:rsidRPr="001A3D2B">
        <w:t>Keywords: Rotator Cuff Tendinitis, Double-Blind, General-Practice, Quality, Therapy</w:t>
      </w:r>
    </w:p>
    <w:p w:rsidR="003474F2" w:rsidRPr="001A3D2B" w:rsidRDefault="003474F2" w:rsidP="003474F2">
      <w:pPr>
        <w:pStyle w:val="a3"/>
      </w:pPr>
      <w:r w:rsidRPr="001A3D2B">
        <w:t>Notes: TTopic</w:t>
      </w:r>
    </w:p>
    <w:p w:rsidR="003474F2" w:rsidRPr="001A3D2B" w:rsidRDefault="003474F2" w:rsidP="003474F2">
      <w:pPr>
        <w:pStyle w:val="a3"/>
      </w:pPr>
      <w:r w:rsidRPr="001A3D2B">
        <w:t>Croft, A.</w:t>
      </w:r>
      <w:r w:rsidR="005853A9">
        <w:t xml:space="preserve"> and </w:t>
      </w:r>
      <w:r w:rsidRPr="001A3D2B">
        <w:t>Garner, P. (1997), Mefloquine to prevent malaria: A systematic review</w:t>
      </w:r>
      <w:r w:rsidR="00427468">
        <w:t xml:space="preserve"> of </w:t>
      </w:r>
      <w:r w:rsidRPr="001A3D2B">
        <w:t xml:space="preserve">trials. </w:t>
      </w:r>
      <w:r w:rsidRPr="001A3D2B">
        <w:rPr>
          <w:i/>
          <w:iCs/>
        </w:rPr>
        <w:t>British Medical Journal</w:t>
      </w:r>
      <w:r w:rsidRPr="001A3D2B">
        <w:t xml:space="preserve">, </w:t>
      </w:r>
      <w:r w:rsidRPr="001A3D2B">
        <w:rPr>
          <w:b/>
          <w:bCs/>
        </w:rPr>
        <w:t>315</w:t>
      </w:r>
      <w:r w:rsidRPr="001A3D2B">
        <w:t xml:space="preserve"> (7120), 1412-1416.</w:t>
      </w:r>
    </w:p>
    <w:p w:rsidR="003474F2" w:rsidRPr="001A3D2B" w:rsidRDefault="003474F2" w:rsidP="003474F2">
      <w:pPr>
        <w:pStyle w:val="a3"/>
      </w:pPr>
      <w:r w:rsidRPr="001A3D2B">
        <w:lastRenderedPageBreak/>
        <w:t xml:space="preserve">Full Text: </w:t>
      </w:r>
      <w:hyperlink r:id="rId2014" w:history="1">
        <w:r w:rsidRPr="001A3D2B">
          <w:rPr>
            <w:rStyle w:val="a5"/>
          </w:rPr>
          <w:t>1997\Bri Med J315, 1412.pdf</w:t>
        </w:r>
      </w:hyperlink>
    </w:p>
    <w:p w:rsidR="003474F2" w:rsidRPr="001A3D2B" w:rsidRDefault="003474F2" w:rsidP="003474F2">
      <w:pPr>
        <w:pStyle w:val="a3"/>
      </w:pPr>
      <w:r w:rsidRPr="001A3D2B">
        <w:t>Abstract: Objective: To evaluate</w:t>
      </w:r>
      <w:r w:rsidR="003A1917">
        <w:t xml:space="preserve"> the </w:t>
      </w:r>
      <w:r w:rsidRPr="001A3D2B">
        <w:t>research evidence on</w:t>
      </w:r>
      <w:r w:rsidR="003A1917">
        <w:t xml:space="preserve"> the </w:t>
      </w:r>
      <w:r w:rsidRPr="001A3D2B">
        <w:t>efficacy</w:t>
      </w:r>
      <w:r w:rsidR="005853A9">
        <w:t xml:space="preserve"> and </w:t>
      </w:r>
      <w:r w:rsidRPr="001A3D2B">
        <w:t>tolerability</w:t>
      </w:r>
      <w:r w:rsidR="00427468">
        <w:t xml:space="preserve"> of </w:t>
      </w:r>
      <w:r w:rsidRPr="001A3D2B">
        <w:t>mefloquine chemoprophylaxis.</w:t>
      </w:r>
    </w:p>
    <w:p w:rsidR="003474F2" w:rsidRPr="001A3D2B" w:rsidRDefault="003474F2" w:rsidP="003474F2">
      <w:pPr>
        <w:pStyle w:val="a3"/>
      </w:pPr>
      <w:r w:rsidRPr="001A3D2B">
        <w:t>Search strategy: Any potentially relevant trial from</w:t>
      </w:r>
      <w:r w:rsidR="003A1917">
        <w:t xml:space="preserve"> the </w:t>
      </w:r>
      <w:r w:rsidRPr="001A3D2B">
        <w:t>Cochrane Infectious Disease Group</w:t>
      </w:r>
      <w:r w:rsidR="00700038">
        <w:t>’</w:t>
      </w:r>
      <w:r w:rsidR="00C13DDC">
        <w:t>s</w:t>
      </w:r>
      <w:r w:rsidRPr="001A3D2B">
        <w:t xml:space="preserve"> register</w:t>
      </w:r>
      <w:r w:rsidR="00427468">
        <w:t xml:space="preserve"> of </w:t>
      </w:r>
      <w:r w:rsidRPr="001A3D2B">
        <w:t>controlled trials; systematic searches</w:t>
      </w:r>
      <w:r w:rsidR="00427468">
        <w:t xml:space="preserve"> of </w:t>
      </w:r>
      <w:r w:rsidR="00D5664A">
        <w:t>MEDLINE</w:t>
      </w:r>
      <w:r w:rsidRPr="001A3D2B">
        <w:t>, Embase, Lilacs</w:t>
      </w:r>
      <w:r w:rsidR="005853A9">
        <w:t xml:space="preserve"> and </w:t>
      </w:r>
      <w:r w:rsidRPr="001A3D2B">
        <w:t>Science Citation Index; scanning citations;</w:t>
      </w:r>
      <w:r w:rsidR="005853A9">
        <w:t xml:space="preserve"> and </w:t>
      </w:r>
      <w:r w:rsidRPr="001A3D2B">
        <w:t>consulting drug companies</w:t>
      </w:r>
      <w:r w:rsidR="005853A9">
        <w:t xml:space="preserve"> and </w:t>
      </w:r>
      <w:r w:rsidRPr="001A3D2B">
        <w:t>key investigators. We considered studies in all languages.</w:t>
      </w:r>
    </w:p>
    <w:p w:rsidR="003474F2" w:rsidRPr="001A3D2B" w:rsidRDefault="003474F2" w:rsidP="003474F2">
      <w:pPr>
        <w:pStyle w:val="a3"/>
      </w:pPr>
      <w:r w:rsidRPr="001A3D2B">
        <w:t>Inclusion criteria: Trials carried out in non-immune adult travellers,</w:t>
      </w:r>
      <w:r w:rsidR="005853A9">
        <w:t xml:space="preserve"> and </w:t>
      </w:r>
      <w:r w:rsidRPr="001A3D2B">
        <w:t>in non-travelling volunteers, where an attempt had been made to conduct a randomised comparison</w:t>
      </w:r>
      <w:r w:rsidR="00427468">
        <w:t xml:space="preserve"> of </w:t>
      </w:r>
      <w:r w:rsidRPr="001A3D2B">
        <w:t>mefloquine against placebo or against alternative standard prophylaxis.</w:t>
      </w:r>
    </w:p>
    <w:p w:rsidR="003474F2" w:rsidRPr="001A3D2B" w:rsidRDefault="003474F2" w:rsidP="003474F2">
      <w:pPr>
        <w:pStyle w:val="a3"/>
      </w:pPr>
      <w:r w:rsidRPr="001A3D2B">
        <w:t>Results: 37 potentially eligible trials</w:t>
      </w:r>
      <w:r w:rsidR="00427468">
        <w:t xml:space="preserve"> of </w:t>
      </w:r>
      <w:r w:rsidRPr="001A3D2B">
        <w:t>mefloquine prophylaxis were identified,</w:t>
      </w:r>
      <w:r w:rsidR="005853A9">
        <w:t xml:space="preserve"> and </w:t>
      </w:r>
      <w:r w:rsidRPr="001A3D2B">
        <w:t>10 met</w:t>
      </w:r>
      <w:r w:rsidR="003A1917">
        <w:t xml:space="preserve"> the </w:t>
      </w:r>
      <w:r w:rsidRPr="001A3D2B">
        <w:t>inclusion criteria These 10 trials comprised a total</w:t>
      </w:r>
      <w:r w:rsidR="00427468">
        <w:t xml:space="preserve"> of </w:t>
      </w:r>
      <w:r w:rsidRPr="001A3D2B">
        <w:t>2750 non-immune adult participants randomised to mefloquine or to a control. One placebo controlled trial examined malaria incidence directly</w:t>
      </w:r>
      <w:r w:rsidR="005853A9">
        <w:t xml:space="preserve"> and </w:t>
      </w:r>
      <w:r w:rsidRPr="001A3D2B">
        <w:t>showed mefloquine to be highly effective in preventing malaria in an area</w:t>
      </w:r>
      <w:r w:rsidR="00427468">
        <w:t xml:space="preserve"> of </w:t>
      </w:r>
      <w:r w:rsidRPr="001A3D2B">
        <w:t>drug resistance. However, four placebo controlled trials showed that mefloquine was not well tolerated,</w:t>
      </w:r>
      <w:r w:rsidR="005853A9">
        <w:t xml:space="preserve"> and </w:t>
      </w:r>
      <w:r w:rsidRPr="001A3D2B">
        <w:t>withdrawals were consistently higher in mefloquine treatment arms than in placebo arms (odds ratio 3.49 (95% confidence interval 1.42 to 8.56)). Five field trials compared mefloquine with other chemoprophylaxis. Mefloquine was no worse tolerated than other chemoprophylaxis, although there was possibly a trend towards higher withdrawals in mefloquine arms (odds ratio 1.33 (0.75 to 2.36)).</w:t>
      </w:r>
    </w:p>
    <w:p w:rsidR="003474F2" w:rsidRPr="001A3D2B" w:rsidRDefault="003474F2" w:rsidP="003474F2">
      <w:pPr>
        <w:pStyle w:val="a3"/>
      </w:pPr>
      <w:r w:rsidRPr="001A3D2B">
        <w:t>Conclusion: One trial showed mefloquine to be effective in preventing malaria, but withdrawal rates, presumably from side effects, were high across most studies. This is likely to impair mefloquine</w:t>
      </w:r>
      <w:r w:rsidR="00700038">
        <w:t>’</w:t>
      </w:r>
      <w:r w:rsidR="00C13DDC">
        <w:t>s</w:t>
      </w:r>
      <w:r w:rsidRPr="001A3D2B">
        <w:t xml:space="preserve"> effectiveness in general travellers,</w:t>
      </w:r>
      <w:r w:rsidR="005853A9">
        <w:t xml:space="preserve"> and </w:t>
      </w:r>
      <w:r w:rsidRPr="001A3D2B">
        <w:t>it may therefore not be useful for routine prophylaxis. Mefloquine may be useful in specific situations such as for groups travelling to regions with a high risk</w:t>
      </w:r>
      <w:r w:rsidR="00427468">
        <w:t xml:space="preserve"> of </w:t>
      </w:r>
      <w:r w:rsidRPr="001A3D2B">
        <w:t>chloroquine resistant malaria</w:t>
      </w:r>
      <w:r w:rsidR="005853A9">
        <w:t xml:space="preserve"> and </w:t>
      </w:r>
      <w:r w:rsidRPr="001A3D2B">
        <w:t>only limited access to effective medical care.</w:t>
      </w:r>
    </w:p>
    <w:p w:rsidR="003474F2" w:rsidRPr="001A3D2B" w:rsidRDefault="003474F2" w:rsidP="003474F2">
      <w:pPr>
        <w:pStyle w:val="a3"/>
      </w:pPr>
      <w:r w:rsidRPr="001A3D2B">
        <w:t>Keywords: Randomized Controlled Trials, Practice Guidelines, Consort Statement, Prophylaxis, Chemoprophylaxis, Tolerability, Travelers, Regimens, Authors</w:t>
      </w:r>
    </w:p>
    <w:p w:rsidR="003474F2" w:rsidRPr="001A3D2B" w:rsidRDefault="003474F2" w:rsidP="003474F2">
      <w:pPr>
        <w:pStyle w:val="a3"/>
      </w:pPr>
      <w:r w:rsidRPr="001A3D2B">
        <w:t>van Rooyen, S., Godlee, F., Evans, S., Black, N.</w:t>
      </w:r>
      <w:r w:rsidR="005853A9">
        <w:t xml:space="preserve"> and </w:t>
      </w:r>
      <w:r w:rsidRPr="001A3D2B">
        <w:t>Smith, R. (1999), Effect</w:t>
      </w:r>
      <w:r w:rsidR="00427468">
        <w:t xml:space="preserve"> of </w:t>
      </w:r>
      <w:r w:rsidRPr="001A3D2B">
        <w:t>open peer review on quality</w:t>
      </w:r>
      <w:r w:rsidR="00427468">
        <w:t xml:space="preserve"> of </w:t>
      </w:r>
      <w:r w:rsidRPr="001A3D2B">
        <w:t>reviews</w:t>
      </w:r>
      <w:r w:rsidR="005853A9">
        <w:t xml:space="preserve"> and </w:t>
      </w:r>
      <w:r w:rsidRPr="001A3D2B">
        <w:t>on reviewers</w:t>
      </w:r>
      <w:r w:rsidR="00700038">
        <w:t>’</w:t>
      </w:r>
      <w:r w:rsidRPr="001A3D2B">
        <w:t xml:space="preserve"> recommendations: A randomised trial. </w:t>
      </w:r>
      <w:r w:rsidRPr="001A3D2B">
        <w:rPr>
          <w:i/>
          <w:iCs/>
        </w:rPr>
        <w:t>British Medical Journal</w:t>
      </w:r>
      <w:r w:rsidRPr="001A3D2B">
        <w:t xml:space="preserve">, </w:t>
      </w:r>
      <w:r w:rsidRPr="001A3D2B">
        <w:rPr>
          <w:b/>
          <w:bCs/>
        </w:rPr>
        <w:t>318</w:t>
      </w:r>
      <w:r w:rsidRPr="001A3D2B">
        <w:t xml:space="preserve"> (7175), 23-27.</w:t>
      </w:r>
    </w:p>
    <w:p w:rsidR="003474F2" w:rsidRPr="001A3D2B" w:rsidRDefault="003474F2" w:rsidP="003474F2">
      <w:pPr>
        <w:pStyle w:val="a3"/>
      </w:pPr>
      <w:r w:rsidRPr="001A3D2B">
        <w:t xml:space="preserve">Full Text: </w:t>
      </w:r>
      <w:hyperlink r:id="rId2015" w:history="1">
        <w:r w:rsidRPr="001A3D2B">
          <w:rPr>
            <w:rStyle w:val="a5"/>
          </w:rPr>
          <w:t>1999\Bri Med J319, 23.pdf</w:t>
        </w:r>
      </w:hyperlink>
    </w:p>
    <w:p w:rsidR="003474F2" w:rsidRPr="001A3D2B" w:rsidRDefault="003474F2" w:rsidP="003474F2">
      <w:pPr>
        <w:pStyle w:val="a3"/>
      </w:pPr>
      <w:r w:rsidRPr="001A3D2B">
        <w:t>Abstract: Objectives To examine</w:t>
      </w:r>
      <w:r w:rsidR="003A1917">
        <w:t xml:space="preserve"> the </w:t>
      </w:r>
      <w:r w:rsidRPr="001A3D2B">
        <w:t>effect on peer review</w:t>
      </w:r>
      <w:r w:rsidR="00427468">
        <w:t xml:space="preserve"> of </w:t>
      </w:r>
      <w:r w:rsidRPr="001A3D2B">
        <w:t>asking reviewers to have their identity revealed to</w:t>
      </w:r>
      <w:r w:rsidR="003A1917">
        <w:t xml:space="preserve"> the </w:t>
      </w:r>
      <w:r w:rsidRPr="001A3D2B">
        <w:t>authors</w:t>
      </w:r>
      <w:r w:rsidR="00427468">
        <w:t xml:space="preserve"> of </w:t>
      </w:r>
      <w:r w:rsidR="003A1917">
        <w:t xml:space="preserve">the </w:t>
      </w:r>
      <w:r w:rsidRPr="001A3D2B">
        <w:t>paper.</w:t>
      </w:r>
    </w:p>
    <w:p w:rsidR="003474F2" w:rsidRPr="001A3D2B" w:rsidRDefault="003474F2" w:rsidP="003474F2">
      <w:pPr>
        <w:pStyle w:val="a3"/>
      </w:pPr>
      <w:r w:rsidRPr="001A3D2B">
        <w:t>Design Randomised trial. Consecutive eligible papers were sent to two reviewers who were randomised to have their identity revealed to</w:t>
      </w:r>
      <w:r w:rsidR="003A1917">
        <w:t xml:space="preserve"> the </w:t>
      </w:r>
      <w:r w:rsidRPr="001A3D2B">
        <w:t>authors or to remain anonymous. Editors</w:t>
      </w:r>
      <w:r w:rsidR="005853A9">
        <w:t xml:space="preserve"> and </w:t>
      </w:r>
      <w:r w:rsidRPr="001A3D2B">
        <w:t>authors were blind to</w:t>
      </w:r>
      <w:r w:rsidR="003A1917">
        <w:t xml:space="preserve"> the </w:t>
      </w:r>
      <w:r w:rsidRPr="001A3D2B">
        <w:t>intervention.</w:t>
      </w:r>
    </w:p>
    <w:p w:rsidR="003474F2" w:rsidRPr="001A3D2B" w:rsidRDefault="003474F2" w:rsidP="003474F2">
      <w:pPr>
        <w:pStyle w:val="a3"/>
      </w:pPr>
      <w:r w:rsidRPr="001A3D2B">
        <w:lastRenderedPageBreak/>
        <w:t>Main outcome measures</w:t>
      </w:r>
      <w:r w:rsidR="003A1917">
        <w:t xml:space="preserve"> the </w:t>
      </w:r>
      <w:r w:rsidRPr="001A3D2B">
        <w:t>quality</w:t>
      </w:r>
      <w:r w:rsidR="00427468">
        <w:t xml:space="preserve"> of </w:t>
      </w:r>
      <w:r w:rsidR="003A1917">
        <w:t xml:space="preserve">the </w:t>
      </w:r>
      <w:r w:rsidRPr="001A3D2B">
        <w:t>reviews was independently rated by two editors</w:t>
      </w:r>
      <w:r w:rsidR="005853A9">
        <w:t xml:space="preserve"> and </w:t>
      </w:r>
      <w:r w:rsidR="003A1917">
        <w:t xml:space="preserve">the </w:t>
      </w:r>
      <w:r w:rsidRPr="001A3D2B">
        <w:t>corresponding author using a validated instrument Additional outcomes were</w:t>
      </w:r>
      <w:r w:rsidR="003A1917">
        <w:t xml:space="preserve"> the </w:t>
      </w:r>
      <w:r w:rsidRPr="001A3D2B">
        <w:t>time taken to complete</w:t>
      </w:r>
      <w:r w:rsidR="003A1917">
        <w:t xml:space="preserve"> the </w:t>
      </w:r>
      <w:r w:rsidRPr="001A3D2B">
        <w:t>review</w:t>
      </w:r>
      <w:r w:rsidR="005853A9">
        <w:t xml:space="preserve"> and </w:t>
      </w:r>
      <w:r w:rsidR="003A1917">
        <w:t xml:space="preserve">the </w:t>
      </w:r>
      <w:r w:rsidRPr="001A3D2B">
        <w:t>recommendation regarding publication. A questionnaire survey was undertaken</w:t>
      </w:r>
      <w:r w:rsidR="00427468">
        <w:t xml:space="preserve"> of </w:t>
      </w:r>
      <w:r w:rsidR="003A1917">
        <w:t xml:space="preserve">the </w:t>
      </w:r>
      <w:r w:rsidRPr="001A3D2B">
        <w:t>authors</w:t>
      </w:r>
      <w:r w:rsidR="00427468">
        <w:t xml:space="preserve"> of </w:t>
      </w:r>
      <w:r w:rsidRPr="001A3D2B">
        <w:t>a cohort</w:t>
      </w:r>
      <w:r w:rsidR="00427468">
        <w:t xml:space="preserve"> of </w:t>
      </w:r>
      <w:r w:rsidRPr="001A3D2B">
        <w:t>manuscripts submitted for publication to find out their views on open peer review.</w:t>
      </w:r>
    </w:p>
    <w:p w:rsidR="003474F2" w:rsidRPr="001A3D2B" w:rsidRDefault="003474F2" w:rsidP="003474F2">
      <w:pPr>
        <w:pStyle w:val="a3"/>
      </w:pPr>
      <w:r w:rsidRPr="001A3D2B">
        <w:t>Results Two editors</w:t>
      </w:r>
      <w:r w:rsidR="00700038">
        <w:t>’</w:t>
      </w:r>
      <w:r w:rsidRPr="001A3D2B">
        <w:t xml:space="preserve"> assessments were obtained for 113 out</w:t>
      </w:r>
      <w:r w:rsidR="00427468">
        <w:t xml:space="preserve"> of </w:t>
      </w:r>
      <w:r w:rsidRPr="001A3D2B">
        <w:t>125 manuscripts,</w:t>
      </w:r>
      <w:r w:rsidR="005853A9">
        <w:t xml:space="preserve"> and </w:t>
      </w:r>
      <w:r w:rsidR="003A1917">
        <w:t xml:space="preserve">the </w:t>
      </w:r>
      <w:r w:rsidRPr="001A3D2B">
        <w:t>corresponding author</w:t>
      </w:r>
      <w:r w:rsidR="00700038">
        <w:t>’</w:t>
      </w:r>
      <w:r w:rsidR="00C13DDC">
        <w:t>s</w:t>
      </w:r>
      <w:r w:rsidRPr="001A3D2B">
        <w:t xml:space="preserve"> assessment was obtained for 105. Reviewers randomised to be asked to be identified were 12% (95% confidence interval 0.2% to 24%) more likely to decline to review than reviewers randomised to remain anonymous (35% v 23%)</w:t>
      </w:r>
      <w:r w:rsidR="00A37C1D">
        <w:t>. The</w:t>
      </w:r>
      <w:r w:rsidRPr="001A3D2B">
        <w:t>re was no significant difference in quality (scored on a scale</w:t>
      </w:r>
      <w:r w:rsidR="00427468">
        <w:t xml:space="preserve"> of </w:t>
      </w:r>
      <w:r w:rsidRPr="001A3D2B">
        <w:t>1 to 5) between anonymous reviewers (3.06 (SD 0.72))</w:t>
      </w:r>
      <w:r w:rsidR="005853A9">
        <w:t xml:space="preserve"> and </w:t>
      </w:r>
      <w:r w:rsidRPr="001A3D2B">
        <w:t>identified reviewers (3.09 (0.68)) (P = 0.68, 95% confidence interval for difference -0.19 to 0.12),</w:t>
      </w:r>
      <w:r w:rsidR="005853A9">
        <w:t xml:space="preserve"> and </w:t>
      </w:r>
      <w:r w:rsidRPr="001A3D2B">
        <w:t>no significant difference in</w:t>
      </w:r>
      <w:r w:rsidR="003A1917">
        <w:t xml:space="preserve"> the </w:t>
      </w:r>
      <w:r w:rsidRPr="001A3D2B">
        <w:t>recommendation regarding publication or time taken to review</w:t>
      </w:r>
      <w:r w:rsidR="003A1917">
        <w:t xml:space="preserve"> the </w:t>
      </w:r>
      <w:r w:rsidRPr="001A3D2B">
        <w:t>paper</w:t>
      </w:r>
      <w:r w:rsidR="00A37C1D">
        <w:t>. The</w:t>
      </w:r>
      <w:r w:rsidR="003A1917">
        <w:t xml:space="preserve"> </w:t>
      </w:r>
      <w:r w:rsidRPr="001A3D2B">
        <w:t>editors</w:t>
      </w:r>
      <w:r w:rsidR="00700038">
        <w:t>’</w:t>
      </w:r>
      <w:r w:rsidRPr="001A3D2B">
        <w:t xml:space="preserve"> quality score for reviews (3.05 (SD 0.70)) was significantly higher than that</w:t>
      </w:r>
      <w:r w:rsidR="00427468">
        <w:t xml:space="preserve"> of </w:t>
      </w:r>
      <w:r w:rsidRPr="001A3D2B">
        <w:t>authors (2.90 (0.87)) (P &lt; 0.005, 95% confidence interval for difference -0.26 to -0.03). Most authors were in favour</w:t>
      </w:r>
      <w:r w:rsidR="00427468">
        <w:t xml:space="preserve"> of </w:t>
      </w:r>
      <w:r w:rsidRPr="001A3D2B">
        <w:t>open peer review.</w:t>
      </w:r>
    </w:p>
    <w:p w:rsidR="003474F2" w:rsidRPr="001A3D2B" w:rsidRDefault="003474F2" w:rsidP="003474F2">
      <w:pPr>
        <w:pStyle w:val="a3"/>
      </w:pPr>
      <w:r w:rsidRPr="001A3D2B">
        <w:t>Conclusions Asking reviewers to consent to being identified to</w:t>
      </w:r>
      <w:r w:rsidR="003A1917">
        <w:t xml:space="preserve"> the </w:t>
      </w:r>
      <w:r w:rsidRPr="001A3D2B">
        <w:t>author had no important effect on</w:t>
      </w:r>
      <w:r w:rsidR="003A1917">
        <w:t xml:space="preserve"> the </w:t>
      </w:r>
      <w:r w:rsidRPr="001A3D2B">
        <w:t>quality</w:t>
      </w:r>
      <w:r w:rsidR="00427468">
        <w:t xml:space="preserve"> of </w:t>
      </w:r>
      <w:r w:rsidR="003A1917">
        <w:t xml:space="preserve">the </w:t>
      </w:r>
      <w:r w:rsidRPr="001A3D2B">
        <w:t>review,</w:t>
      </w:r>
      <w:r w:rsidR="003A1917">
        <w:t xml:space="preserve"> the </w:t>
      </w:r>
      <w:r w:rsidRPr="001A3D2B">
        <w:t>recommendation regarding publication, or</w:t>
      </w:r>
      <w:r w:rsidR="003A1917">
        <w:t xml:space="preserve"> the </w:t>
      </w:r>
      <w:r w:rsidRPr="001A3D2B">
        <w:t>time taken to review, but it significantly increased</w:t>
      </w:r>
      <w:r w:rsidR="003A1917">
        <w:t xml:space="preserve"> the </w:t>
      </w:r>
      <w:r w:rsidRPr="001A3D2B">
        <w:t>likelihood</w:t>
      </w:r>
      <w:r w:rsidR="00427468">
        <w:t xml:space="preserve"> of </w:t>
      </w:r>
      <w:r w:rsidRPr="001A3D2B">
        <w:t>reviewers declining to review.</w:t>
      </w:r>
    </w:p>
    <w:p w:rsidR="003474F2" w:rsidRPr="001A3D2B" w:rsidRDefault="003474F2" w:rsidP="003474F2">
      <w:pPr>
        <w:pStyle w:val="a3"/>
      </w:pPr>
      <w:r w:rsidRPr="001A3D2B">
        <w:t>Keywords: Anonymity</w:t>
      </w:r>
    </w:p>
    <w:p w:rsidR="003474F2" w:rsidRPr="001A3D2B" w:rsidRDefault="003474F2" w:rsidP="003474F2">
      <w:pPr>
        <w:pStyle w:val="a3"/>
      </w:pPr>
      <w:r w:rsidRPr="001A3D2B">
        <w:t>Chariot, P.</w:t>
      </w:r>
      <w:r w:rsidR="005853A9">
        <w:t xml:space="preserve"> and </w:t>
      </w:r>
      <w:r w:rsidRPr="001A3D2B">
        <w:t>Pautot, V. (1999), Usefulness</w:t>
      </w:r>
      <w:r w:rsidR="00427468">
        <w:t xml:space="preserve"> of </w:t>
      </w:r>
      <w:r w:rsidRPr="001A3D2B">
        <w:t>contacting other experts when conducting literature searches - Secondary citation</w:t>
      </w:r>
      <w:r w:rsidR="00427468">
        <w:t xml:space="preserve"> of </w:t>
      </w:r>
      <w:r w:rsidRPr="001A3D2B">
        <w:t xml:space="preserve">work that was not published did not set good example. </w:t>
      </w:r>
      <w:r w:rsidRPr="001A3D2B">
        <w:rPr>
          <w:i/>
          <w:iCs/>
        </w:rPr>
        <w:t>British Medical Journal</w:t>
      </w:r>
      <w:r w:rsidRPr="001A3D2B">
        <w:t xml:space="preserve">, </w:t>
      </w:r>
      <w:r w:rsidRPr="001A3D2B">
        <w:rPr>
          <w:b/>
          <w:bCs/>
        </w:rPr>
        <w:t>319</w:t>
      </w:r>
      <w:r w:rsidRPr="001A3D2B">
        <w:t xml:space="preserve"> (7204), 259-260.</w:t>
      </w:r>
    </w:p>
    <w:p w:rsidR="003474F2" w:rsidRPr="001A3D2B" w:rsidRDefault="003474F2" w:rsidP="003474F2">
      <w:pPr>
        <w:pStyle w:val="a3"/>
      </w:pPr>
      <w:r w:rsidRPr="001A3D2B">
        <w:t xml:space="preserve">Full Text: </w:t>
      </w:r>
      <w:hyperlink r:id="rId2016" w:history="1">
        <w:r w:rsidRPr="001A3D2B">
          <w:rPr>
            <w:rStyle w:val="a5"/>
          </w:rPr>
          <w:t>1999\Bri Med J319, 259.pdf</w:t>
        </w:r>
      </w:hyperlink>
    </w:p>
    <w:p w:rsidR="003474F2" w:rsidRPr="001A3D2B" w:rsidRDefault="003474F2" w:rsidP="003474F2">
      <w:pPr>
        <w:pStyle w:val="a3"/>
      </w:pPr>
      <w:r w:rsidRPr="001A3D2B">
        <w:t>Grant, J., Cottrell, R., Cluzeau, F.</w:t>
      </w:r>
      <w:r w:rsidR="005853A9">
        <w:t xml:space="preserve"> and </w:t>
      </w:r>
      <w:r w:rsidRPr="001A3D2B">
        <w:t xml:space="preserve">Fawcett, G. (2000), Evaluating </w:t>
      </w:r>
      <w:r w:rsidR="00700038">
        <w:t>‘</w:t>
      </w:r>
      <w:r w:rsidRPr="001A3D2B">
        <w:t>payback</w:t>
      </w:r>
      <w:r w:rsidR="00700038">
        <w:t>’</w:t>
      </w:r>
      <w:r w:rsidRPr="001A3D2B">
        <w:t xml:space="preserve"> on biomedical research from papers cited in clinical guidelines: Applied bibliometric study. </w:t>
      </w:r>
      <w:r w:rsidRPr="001A3D2B">
        <w:rPr>
          <w:i/>
          <w:iCs/>
        </w:rPr>
        <w:t>British Medical Journal</w:t>
      </w:r>
      <w:r w:rsidRPr="001A3D2B">
        <w:t xml:space="preserve">, </w:t>
      </w:r>
      <w:r w:rsidRPr="001A3D2B">
        <w:rPr>
          <w:b/>
          <w:bCs/>
        </w:rPr>
        <w:t>320</w:t>
      </w:r>
      <w:r w:rsidRPr="001A3D2B">
        <w:t xml:space="preserve"> (7242), 1107-1111.</w:t>
      </w:r>
    </w:p>
    <w:p w:rsidR="003474F2" w:rsidRPr="001A3D2B" w:rsidRDefault="003474F2" w:rsidP="003474F2">
      <w:pPr>
        <w:pStyle w:val="a3"/>
      </w:pPr>
      <w:r w:rsidRPr="001A3D2B">
        <w:t xml:space="preserve">Full Text: </w:t>
      </w:r>
      <w:hyperlink r:id="rId2017" w:history="1">
        <w:r w:rsidRPr="001A3D2B">
          <w:rPr>
            <w:rStyle w:val="a5"/>
          </w:rPr>
          <w:t>2000\Bri Med J320, 1107.pdf</w:t>
        </w:r>
      </w:hyperlink>
    </w:p>
    <w:p w:rsidR="003474F2" w:rsidRPr="001A3D2B" w:rsidRDefault="003474F2" w:rsidP="003474F2">
      <w:pPr>
        <w:pStyle w:val="a3"/>
      </w:pPr>
      <w:r w:rsidRPr="001A3D2B">
        <w:t>Abstract: Objectives To develop a methodology for evaluating</w:t>
      </w:r>
      <w:r w:rsidR="003A1917">
        <w:t xml:space="preserve"> the </w:t>
      </w:r>
      <w:r w:rsidRPr="001A3D2B">
        <w:t>impact</w:t>
      </w:r>
      <w:r w:rsidR="00427468">
        <w:t xml:space="preserve"> of </w:t>
      </w:r>
      <w:r w:rsidRPr="001A3D2B">
        <w:t>research on health care,</w:t>
      </w:r>
      <w:r w:rsidR="005853A9">
        <w:t xml:space="preserve"> and </w:t>
      </w:r>
      <w:r w:rsidRPr="001A3D2B">
        <w:t>to characterise</w:t>
      </w:r>
      <w:r w:rsidR="003A1917">
        <w:t xml:space="preserve"> the </w:t>
      </w:r>
      <w:r w:rsidRPr="001A3D2B">
        <w:t>papers cited on clinical guidelines.</w:t>
      </w:r>
    </w:p>
    <w:p w:rsidR="003474F2" w:rsidRPr="001A3D2B" w:rsidRDefault="003474F2" w:rsidP="003474F2">
      <w:pPr>
        <w:pStyle w:val="a3"/>
      </w:pPr>
      <w:r w:rsidRPr="001A3D2B">
        <w:t>Design</w:t>
      </w:r>
      <w:r w:rsidR="003A1917">
        <w:t xml:space="preserve"> the </w:t>
      </w:r>
      <w:r w:rsidRPr="001A3D2B">
        <w:t>bibliographic details</w:t>
      </w:r>
      <w:r w:rsidR="00427468">
        <w:t xml:space="preserve"> of </w:t>
      </w:r>
      <w:r w:rsidR="003A1917">
        <w:t xml:space="preserve">the </w:t>
      </w:r>
      <w:r w:rsidRPr="001A3D2B">
        <w:t>papers cited in 15 clinical guidelines, developed in</w:t>
      </w:r>
      <w:r w:rsidR="005853A9">
        <w:t xml:space="preserve"> and </w:t>
      </w:r>
      <w:r w:rsidRPr="001A3D2B">
        <w:t>for</w:t>
      </w:r>
      <w:r w:rsidR="003A1917">
        <w:t xml:space="preserve"> the </w:t>
      </w:r>
      <w:r w:rsidRPr="001A3D2B">
        <w:t>United Kingdom, were collated</w:t>
      </w:r>
      <w:r w:rsidR="005853A9">
        <w:t xml:space="preserve"> and </w:t>
      </w:r>
      <w:r w:rsidRPr="001A3D2B">
        <w:t>analysed with applied bibliometric techniques.</w:t>
      </w:r>
    </w:p>
    <w:p w:rsidR="003474F2" w:rsidRPr="001A3D2B" w:rsidRDefault="003474F2" w:rsidP="003474F2">
      <w:pPr>
        <w:pStyle w:val="a3"/>
      </w:pPr>
      <w:r w:rsidRPr="001A3D2B">
        <w:t>Results</w:t>
      </w:r>
      <w:r w:rsidR="003A1917">
        <w:t xml:space="preserve"> the </w:t>
      </w:r>
      <w:r w:rsidRPr="001A3D2B">
        <w:t>median age</w:t>
      </w:r>
      <w:r w:rsidR="00427468">
        <w:t xml:space="preserve"> of </w:t>
      </w:r>
      <w:r w:rsidRPr="001A3D2B">
        <w:t>papers cited in clinical guidelines was eight years; most papers were published by authors living in either</w:t>
      </w:r>
      <w:r w:rsidR="003A1917">
        <w:t xml:space="preserve"> the </w:t>
      </w:r>
      <w:r w:rsidRPr="001A3D2B">
        <w:t>United States (36%) or</w:t>
      </w:r>
      <w:r w:rsidR="003A1917">
        <w:t xml:space="preserve"> the </w:t>
      </w:r>
      <w:r w:rsidRPr="001A3D2B">
        <w:t>United Kingdom (25%)-this is two</w:t>
      </w:r>
      <w:r w:rsidR="005853A9">
        <w:t xml:space="preserve"> and </w:t>
      </w:r>
      <w:r w:rsidRPr="001A3D2B">
        <w:t>a half times more than expected as about 10%</w:t>
      </w:r>
      <w:r w:rsidR="00427468">
        <w:t xml:space="preserve"> of </w:t>
      </w:r>
      <w:r w:rsidRPr="001A3D2B">
        <w:t>all biomedical outputs are published in</w:t>
      </w:r>
      <w:r w:rsidR="003A1917">
        <w:t xml:space="preserve"> the </w:t>
      </w:r>
      <w:r w:rsidRPr="001A3D2B">
        <w:t>United Kingdom;</w:t>
      </w:r>
      <w:r w:rsidR="005853A9">
        <w:t xml:space="preserve"> and </w:t>
      </w:r>
      <w:r w:rsidRPr="001A3D2B">
        <w:t xml:space="preserve">clinical </w:t>
      </w:r>
      <w:r w:rsidRPr="001A3D2B">
        <w:lastRenderedPageBreak/>
        <w:t>guidelines do not cite basic research papers.</w:t>
      </w:r>
    </w:p>
    <w:p w:rsidR="003474F2" w:rsidRPr="001A3D2B" w:rsidRDefault="003474F2" w:rsidP="003474F2">
      <w:pPr>
        <w:pStyle w:val="a3"/>
      </w:pPr>
      <w:r w:rsidRPr="001A3D2B">
        <w:t>Conclusion Analysis</w:t>
      </w:r>
      <w:r w:rsidR="00427468">
        <w:t xml:space="preserve"> of </w:t>
      </w:r>
      <w:r w:rsidR="003A1917">
        <w:t xml:space="preserve">the </w:t>
      </w:r>
      <w:r w:rsidRPr="001A3D2B">
        <w:t>evidence base</w:t>
      </w:r>
      <w:r w:rsidR="00427468">
        <w:t xml:space="preserve"> of </w:t>
      </w:r>
      <w:r w:rsidRPr="001A3D2B">
        <w:t>clinical guidelines may be one way</w:t>
      </w:r>
      <w:r w:rsidR="00427468">
        <w:t xml:space="preserve"> of </w:t>
      </w:r>
      <w:r w:rsidRPr="001A3D2B">
        <w:t>tracking</w:t>
      </w:r>
      <w:r w:rsidR="003A1917">
        <w:t xml:space="preserve"> the </w:t>
      </w:r>
      <w:r w:rsidRPr="001A3D2B">
        <w:t>flow</w:t>
      </w:r>
      <w:r w:rsidR="00427468">
        <w:t xml:space="preserve"> of </w:t>
      </w:r>
      <w:r w:rsidRPr="001A3D2B">
        <w:t>knowledge from</w:t>
      </w:r>
      <w:r w:rsidR="003A1917">
        <w:t xml:space="preserve"> the </w:t>
      </w:r>
      <w:r w:rsidRPr="001A3D2B">
        <w:t>laboratory to</w:t>
      </w:r>
      <w:r w:rsidR="003A1917">
        <w:t xml:space="preserve"> the </w:t>
      </w:r>
      <w:r w:rsidRPr="001A3D2B">
        <w:t>clinic.</w:t>
      </w:r>
    </w:p>
    <w:p w:rsidR="003474F2" w:rsidRPr="001A3D2B" w:rsidRDefault="003474F2" w:rsidP="003474F2">
      <w:pPr>
        <w:pStyle w:val="a3"/>
      </w:pPr>
      <w:r w:rsidRPr="001A3D2B">
        <w:t>Moreover, such analysis provides a useful, clinically relevant method for evaluating research outcomes</w:t>
      </w:r>
      <w:r w:rsidR="005853A9">
        <w:t xml:space="preserve"> and </w:t>
      </w:r>
      <w:r w:rsidRPr="001A3D2B">
        <w:t>different strategies in research</w:t>
      </w:r>
      <w:r w:rsidR="005853A9">
        <w:t xml:space="preserve"> and </w:t>
      </w:r>
      <w:r w:rsidRPr="001A3D2B">
        <w:t>development.</w:t>
      </w:r>
    </w:p>
    <w:p w:rsidR="003474F2" w:rsidRPr="001A3D2B" w:rsidRDefault="003474F2" w:rsidP="003474F2">
      <w:pPr>
        <w:pStyle w:val="a3"/>
      </w:pPr>
      <w:r w:rsidRPr="001A3D2B">
        <w:t xml:space="preserve">Keywords: Impact, Research, </w:t>
      </w:r>
      <w:smartTag w:uri="urn:schemas-microsoft-com:office:smarttags" w:element="place">
        <w:smartTag w:uri="urn:schemas-microsoft-com:office:smarttags" w:element="City">
          <w:r w:rsidRPr="001A3D2B">
            <w:t>Science</w:t>
          </w:r>
        </w:smartTag>
        <w:r w:rsidRPr="001A3D2B">
          <w:t xml:space="preserve">, </w:t>
        </w:r>
        <w:smartTag w:uri="urn:schemas-microsoft-com:office:smarttags" w:element="country-region">
          <w:r w:rsidRPr="001A3D2B">
            <w:t>United Kingdom</w:t>
          </w:r>
        </w:smartTag>
      </w:smartTag>
    </w:p>
    <w:p w:rsidR="003474F2" w:rsidRPr="001A3D2B" w:rsidRDefault="003474F2" w:rsidP="003474F2">
      <w:pPr>
        <w:pStyle w:val="a3"/>
      </w:pPr>
      <w:r w:rsidRPr="001A3D2B">
        <w:t>Notes: TTopic</w:t>
      </w:r>
    </w:p>
    <w:p w:rsidR="003474F2" w:rsidRPr="001A3D2B" w:rsidRDefault="003474F2" w:rsidP="003474F2">
      <w:pPr>
        <w:pStyle w:val="a3"/>
      </w:pPr>
      <w:r w:rsidRPr="001A3D2B">
        <w:t>Mair, F.</w:t>
      </w:r>
      <w:r w:rsidR="005853A9">
        <w:t xml:space="preserve"> and </w:t>
      </w:r>
      <w:r w:rsidRPr="001A3D2B">
        <w:t>Whitten, P. (2000), Systematic review</w:t>
      </w:r>
      <w:r w:rsidR="00427468">
        <w:t xml:space="preserve"> of </w:t>
      </w:r>
      <w:r w:rsidRPr="001A3D2B">
        <w:t>studies</w:t>
      </w:r>
      <w:r w:rsidR="00427468">
        <w:t xml:space="preserve"> of </w:t>
      </w:r>
      <w:r w:rsidRPr="001A3D2B">
        <w:t xml:space="preserve">patient satisfaction with telemedicine. </w:t>
      </w:r>
      <w:r w:rsidRPr="001A3D2B">
        <w:rPr>
          <w:i/>
          <w:iCs/>
        </w:rPr>
        <w:t>British Medical Journal</w:t>
      </w:r>
      <w:r w:rsidRPr="001A3D2B">
        <w:t xml:space="preserve">, </w:t>
      </w:r>
      <w:r w:rsidRPr="001A3D2B">
        <w:rPr>
          <w:b/>
          <w:bCs/>
        </w:rPr>
        <w:t>320</w:t>
      </w:r>
      <w:r w:rsidRPr="001A3D2B">
        <w:t xml:space="preserve"> (7248), 1517-1520.</w:t>
      </w:r>
    </w:p>
    <w:p w:rsidR="003474F2" w:rsidRPr="001A3D2B" w:rsidRDefault="003474F2" w:rsidP="003474F2">
      <w:pPr>
        <w:pStyle w:val="a3"/>
      </w:pPr>
      <w:r w:rsidRPr="001A3D2B">
        <w:t xml:space="preserve">Full Text: </w:t>
      </w:r>
      <w:hyperlink r:id="rId2018" w:history="1">
        <w:r w:rsidRPr="001A3D2B">
          <w:rPr>
            <w:rStyle w:val="a5"/>
          </w:rPr>
          <w:t>2000\Bri Med J320, 1517.pdf</w:t>
        </w:r>
      </w:hyperlink>
    </w:p>
    <w:p w:rsidR="003474F2" w:rsidRPr="001A3D2B" w:rsidRDefault="003474F2" w:rsidP="003474F2">
      <w:pPr>
        <w:pStyle w:val="a3"/>
      </w:pPr>
      <w:r w:rsidRPr="001A3D2B">
        <w:t>Abstract: Objective To review research into patient satisfaction with teleconsultation, specifically clinical consultations between healthcare providers</w:t>
      </w:r>
      <w:r w:rsidR="005853A9">
        <w:t xml:space="preserve"> and </w:t>
      </w:r>
      <w:r w:rsidRPr="001A3D2B">
        <w:t>patients involving real time inter active video. Design Systematic review</w:t>
      </w:r>
      <w:r w:rsidR="00427468">
        <w:t xml:space="preserve"> of </w:t>
      </w:r>
      <w:r w:rsidRPr="001A3D2B">
        <w:t xml:space="preserve">telemedicine satisfaction studies. Electronic databases searched include </w:t>
      </w:r>
      <w:r w:rsidR="00D5664A">
        <w:t>MEDLINE</w:t>
      </w:r>
      <w:r w:rsidRPr="001A3D2B">
        <w:t>, Embase, Science Citation Index, Social Sciences Citation Index, Arts</w:t>
      </w:r>
      <w:r w:rsidR="005853A9">
        <w:t xml:space="preserve"> and </w:t>
      </w:r>
      <w:r w:rsidRPr="001A3D2B">
        <w:t>Humanities Citation Index,</w:t>
      </w:r>
      <w:r w:rsidR="005853A9">
        <w:t xml:space="preserve"> and </w:t>
      </w:r>
      <w:r w:rsidR="003A1917">
        <w:t xml:space="preserve">the </w:t>
      </w:r>
      <w:r w:rsidRPr="001A3D2B">
        <w:t>TIE (Telemedicine Information Exchange) database. Subjects Studies conducted worldwide</w:t>
      </w:r>
      <w:r w:rsidR="005853A9">
        <w:t xml:space="preserve"> and </w:t>
      </w:r>
      <w:r w:rsidRPr="001A3D2B">
        <w:t>published between 1966</w:t>
      </w:r>
      <w:r w:rsidR="005853A9">
        <w:t xml:space="preserve"> and </w:t>
      </w:r>
      <w:r w:rsidRPr="001A3D2B">
        <w:t>1998. Main outcome measures Quality</w:t>
      </w:r>
      <w:r w:rsidR="00427468">
        <w:t xml:space="preserve"> of </w:t>
      </w:r>
      <w:r w:rsidRPr="001A3D2B">
        <w:t>evidence about patient satisfaction. Results 32 studies were identified. Study methods used were simple survey instruments (26 studies), exact methods not specified (5),</w:t>
      </w:r>
      <w:r w:rsidR="005853A9">
        <w:t xml:space="preserve"> and </w:t>
      </w:r>
      <w:r w:rsidRPr="001A3D2B">
        <w:t>qualitative methods (1). Study designs were randomised controlled trial (1 trial); random patient selection (2); case-control (1);</w:t>
      </w:r>
      <w:r w:rsidR="005853A9">
        <w:t xml:space="preserve"> and </w:t>
      </w:r>
      <w:r w:rsidRPr="001A3D2B">
        <w:t>selection criteria not specified or participants represented consecutive referrals, convenience samples, or volunteers (28). Sample sizes were less than or equal to 20 (10 trials), less than or equal to 100 (14), &gt; 100 (7),</w:t>
      </w:r>
      <w:r w:rsidR="005853A9">
        <w:t xml:space="preserve"> and </w:t>
      </w:r>
      <w:r w:rsidRPr="001A3D2B">
        <w:t>not specified (1). All studies reported good levels</w:t>
      </w:r>
      <w:r w:rsidR="00427468">
        <w:t xml:space="preserve"> of </w:t>
      </w:r>
      <w:r w:rsidRPr="001A3D2B">
        <w:t>patient satisfaction. Qualitative analysis revealed methodological problems with all</w:t>
      </w:r>
      <w:r w:rsidR="003A1917">
        <w:t xml:space="preserve"> the </w:t>
      </w:r>
      <w:r w:rsidRPr="001A3D2B">
        <w:t>published work. Even so, important issues were highlighted that merit further investigation</w:t>
      </w:r>
      <w:r w:rsidR="00A37C1D">
        <w:t>. The</w:t>
      </w:r>
      <w:r w:rsidRPr="001A3D2B">
        <w:t>re is a paucity</w:t>
      </w:r>
      <w:r w:rsidR="00427468">
        <w:t xml:space="preserve"> of </w:t>
      </w:r>
      <w:r w:rsidRPr="001A3D2B">
        <w:t>data examining patients</w:t>
      </w:r>
      <w:r w:rsidR="00700038">
        <w:t>’</w:t>
      </w:r>
      <w:r w:rsidRPr="001A3D2B">
        <w:t xml:space="preserve"> perceptions or</w:t>
      </w:r>
      <w:r w:rsidR="003A1917">
        <w:t xml:space="preserve"> the </w:t>
      </w:r>
      <w:r w:rsidRPr="001A3D2B">
        <w:t>effects</w:t>
      </w:r>
      <w:r w:rsidR="00427468">
        <w:t xml:space="preserve"> of </w:t>
      </w:r>
      <w:r w:rsidRPr="001A3D2B">
        <w:t>this mode</w:t>
      </w:r>
      <w:r w:rsidR="00427468">
        <w:t xml:space="preserve"> of </w:t>
      </w:r>
      <w:r w:rsidRPr="001A3D2B">
        <w:t>healthcare delivery on</w:t>
      </w:r>
      <w:r w:rsidR="003A1917">
        <w:t xml:space="preserve"> the </w:t>
      </w:r>
      <w:r w:rsidRPr="001A3D2B">
        <w:t>interaction between providers</w:t>
      </w:r>
      <w:r w:rsidR="005853A9">
        <w:t xml:space="preserve"> and </w:t>
      </w:r>
      <w:r w:rsidRPr="001A3D2B">
        <w:t>clients. Conclusions Methodological deficiencies (low sample sizes, context,</w:t>
      </w:r>
      <w:r w:rsidR="005853A9">
        <w:t xml:space="preserve"> and </w:t>
      </w:r>
      <w:r w:rsidRPr="001A3D2B">
        <w:t>study designs)</w:t>
      </w:r>
      <w:r w:rsidR="00427468">
        <w:t xml:space="preserve"> of </w:t>
      </w:r>
      <w:r w:rsidR="003A1917">
        <w:t xml:space="preserve">the </w:t>
      </w:r>
      <w:r w:rsidRPr="001A3D2B">
        <w:t>published research limit</w:t>
      </w:r>
      <w:r w:rsidR="003A1917">
        <w:t xml:space="preserve"> the </w:t>
      </w:r>
      <w:r w:rsidRPr="001A3D2B">
        <w:t>generalisability</w:t>
      </w:r>
      <w:r w:rsidR="00427468">
        <w:t xml:space="preserve"> of </w:t>
      </w:r>
      <w:r w:rsidR="003A1917">
        <w:t xml:space="preserve">the </w:t>
      </w:r>
      <w:r w:rsidRPr="001A3D2B">
        <w:t>findings</w:t>
      </w:r>
      <w:r w:rsidR="00A37C1D">
        <w:t>. The</w:t>
      </w:r>
      <w:r w:rsidR="003A1917">
        <w:t xml:space="preserve"> </w:t>
      </w:r>
      <w:r w:rsidRPr="001A3D2B">
        <w:t>studies suggest that teleconsultation is acceptable to patients in a variety</w:t>
      </w:r>
      <w:r w:rsidR="00427468">
        <w:t xml:space="preserve"> of </w:t>
      </w:r>
      <w:r w:rsidRPr="001A3D2B">
        <w:t>circumstances, but issues relating to patient satisfaction require further exploration from</w:t>
      </w:r>
      <w:r w:rsidR="003A1917">
        <w:t xml:space="preserve"> the </w:t>
      </w:r>
      <w:r w:rsidRPr="001A3D2B">
        <w:t>perspective</w:t>
      </w:r>
      <w:r w:rsidR="00427468">
        <w:t xml:space="preserve"> of </w:t>
      </w:r>
      <w:r w:rsidRPr="001A3D2B">
        <w:t>both clients</w:t>
      </w:r>
      <w:r w:rsidR="005853A9">
        <w:t xml:space="preserve"> and </w:t>
      </w:r>
      <w:r w:rsidRPr="001A3D2B">
        <w:t>providers.</w:t>
      </w:r>
    </w:p>
    <w:p w:rsidR="003474F2" w:rsidRPr="001A3D2B" w:rsidRDefault="003474F2" w:rsidP="003474F2">
      <w:pPr>
        <w:pStyle w:val="a3"/>
      </w:pPr>
      <w:r w:rsidRPr="001A3D2B">
        <w:t>Keywords: Analysis, Arts</w:t>
      </w:r>
      <w:r w:rsidR="005853A9">
        <w:t xml:space="preserve"> and </w:t>
      </w:r>
      <w:r w:rsidRPr="001A3D2B">
        <w:t xml:space="preserve">Humanities Citation Index, Case-Control, Clinical, Context, Controlled Trial, Criteria, Data, Database, Databases, Delivery, Evidence, Interaction, Investigation, Methods, Mode, Outcome, Outcome Measures, Patient Satisfaction, Patient Selection, Patients, Providers, Qualitative, Qualitative Methods, Randomised, Randomised Controlled Trial, Research, Review, Satisfaction, Science </w:t>
      </w:r>
      <w:r w:rsidRPr="001A3D2B">
        <w:lastRenderedPageBreak/>
        <w:t>Citation Index, Selection Criteria, Survey, Telemedicine, Trial, Work</w:t>
      </w:r>
    </w:p>
    <w:p w:rsidR="003474F2" w:rsidRPr="001A3D2B" w:rsidRDefault="003474F2" w:rsidP="003474F2">
      <w:pPr>
        <w:pStyle w:val="a3"/>
      </w:pPr>
      <w:r w:rsidRPr="001A3D2B">
        <w:t xml:space="preserve">Weissberg, P.L., Jones, R., Moxham, J., </w:t>
      </w:r>
      <w:smartTag w:uri="urn:schemas-microsoft-com:office:smarttags" w:element="City">
        <w:r w:rsidRPr="001A3D2B">
          <w:t>Taylor</w:t>
        </w:r>
      </w:smartTag>
      <w:r w:rsidRPr="001A3D2B">
        <w:t xml:space="preserve">, </w:t>
      </w:r>
      <w:smartTag w:uri="urn:schemas-microsoft-com:office:smarttags" w:element="place">
        <w:r w:rsidRPr="001A3D2B">
          <w:t>I.</w:t>
        </w:r>
      </w:smartTag>
      <w:r w:rsidRPr="001A3D2B">
        <w:t>, Jones, R.</w:t>
      </w:r>
      <w:r w:rsidR="005853A9">
        <w:t xml:space="preserve"> and </w:t>
      </w:r>
      <w:r w:rsidRPr="001A3D2B">
        <w:t xml:space="preserve">Hilton, S. (2000), Clinical academic medicine. </w:t>
      </w:r>
      <w:r w:rsidRPr="001A3D2B">
        <w:rPr>
          <w:i/>
          <w:iCs/>
        </w:rPr>
        <w:t>British Medical Journal</w:t>
      </w:r>
      <w:r w:rsidRPr="001A3D2B">
        <w:t xml:space="preserve">, </w:t>
      </w:r>
      <w:r w:rsidRPr="001A3D2B">
        <w:rPr>
          <w:b/>
          <w:bCs/>
        </w:rPr>
        <w:t>321</w:t>
      </w:r>
      <w:r w:rsidRPr="001A3D2B">
        <w:t>, 300.</w:t>
      </w:r>
    </w:p>
    <w:p w:rsidR="003474F2" w:rsidRPr="001A3D2B" w:rsidRDefault="003474F2" w:rsidP="003474F2">
      <w:pPr>
        <w:pStyle w:val="a3"/>
      </w:pPr>
      <w:r w:rsidRPr="001A3D2B">
        <w:t xml:space="preserve">Full Text: </w:t>
      </w:r>
      <w:hyperlink r:id="rId2019" w:history="1">
        <w:r w:rsidRPr="001A3D2B">
          <w:rPr>
            <w:rStyle w:val="a5"/>
          </w:rPr>
          <w:t>2000\Bri Med J321, 300.pdf</w:t>
        </w:r>
      </w:hyperlink>
    </w:p>
    <w:p w:rsidR="003474F2" w:rsidRPr="001A3D2B" w:rsidRDefault="003474F2" w:rsidP="003474F2">
      <w:pPr>
        <w:pStyle w:val="a3"/>
      </w:pPr>
      <w:r w:rsidRPr="001A3D2B">
        <w:t xml:space="preserve">Chalmers, </w:t>
      </w:r>
      <w:smartTag w:uri="urn:schemas-microsoft-com:office:smarttags" w:element="place">
        <w:r w:rsidRPr="001A3D2B">
          <w:t>I.</w:t>
        </w:r>
      </w:smartTag>
      <w:r w:rsidRPr="001A3D2B">
        <w:t>, Grant, J., Cottrell, R., Fawcett, G.</w:t>
      </w:r>
      <w:r w:rsidR="005853A9">
        <w:t xml:space="preserve"> and </w:t>
      </w:r>
      <w:r w:rsidRPr="001A3D2B">
        <w:t xml:space="preserve">Cluzeau, F. (2000), Evaluating </w:t>
      </w:r>
      <w:r w:rsidR="00700038">
        <w:t>‘</w:t>
      </w:r>
      <w:r w:rsidRPr="001A3D2B">
        <w:t>payback</w:t>
      </w:r>
      <w:r w:rsidR="00700038">
        <w:t>’</w:t>
      </w:r>
      <w:r w:rsidRPr="001A3D2B">
        <w:t xml:space="preserve"> on biomedical research. </w:t>
      </w:r>
      <w:r w:rsidRPr="001A3D2B">
        <w:rPr>
          <w:i/>
          <w:iCs/>
        </w:rPr>
        <w:t>British Medical Journal</w:t>
      </w:r>
      <w:r w:rsidRPr="001A3D2B">
        <w:t xml:space="preserve">, </w:t>
      </w:r>
      <w:r w:rsidRPr="001A3D2B">
        <w:rPr>
          <w:b/>
          <w:bCs/>
        </w:rPr>
        <w:t>321</w:t>
      </w:r>
      <w:r w:rsidRPr="001A3D2B">
        <w:t>, 566.</w:t>
      </w:r>
    </w:p>
    <w:p w:rsidR="003474F2" w:rsidRPr="001A3D2B" w:rsidRDefault="003474F2" w:rsidP="003474F2">
      <w:pPr>
        <w:pStyle w:val="a3"/>
      </w:pPr>
      <w:r w:rsidRPr="001A3D2B">
        <w:t xml:space="preserve">Full Text: </w:t>
      </w:r>
      <w:hyperlink r:id="rId2020" w:history="1">
        <w:r w:rsidRPr="001A3D2B">
          <w:rPr>
            <w:rStyle w:val="a5"/>
          </w:rPr>
          <w:t>2000\Bri Med J321, 566.pdf</w:t>
        </w:r>
      </w:hyperlink>
    </w:p>
    <w:p w:rsidR="003474F2" w:rsidRPr="001A3D2B" w:rsidRDefault="003474F2" w:rsidP="003474F2">
      <w:pPr>
        <w:pStyle w:val="a3"/>
      </w:pPr>
      <w:r w:rsidRPr="001A3D2B">
        <w:t xml:space="preserve">Vickers, A. (2000), Recent advances: Complementary medicine. </w:t>
      </w:r>
      <w:r w:rsidRPr="001A3D2B">
        <w:rPr>
          <w:i/>
          <w:iCs/>
        </w:rPr>
        <w:t>British Medical Journal</w:t>
      </w:r>
      <w:r w:rsidRPr="001A3D2B">
        <w:t xml:space="preserve">, </w:t>
      </w:r>
      <w:r w:rsidRPr="001A3D2B">
        <w:rPr>
          <w:b/>
          <w:bCs/>
        </w:rPr>
        <w:t>321</w:t>
      </w:r>
      <w:r w:rsidRPr="001A3D2B">
        <w:t>, 683-686.</w:t>
      </w:r>
    </w:p>
    <w:p w:rsidR="003474F2" w:rsidRPr="001A3D2B" w:rsidRDefault="003474F2" w:rsidP="003474F2">
      <w:pPr>
        <w:pStyle w:val="a3"/>
      </w:pPr>
      <w:r w:rsidRPr="001A3D2B">
        <w:t xml:space="preserve">Full Text: </w:t>
      </w:r>
      <w:hyperlink r:id="rId2021" w:history="1">
        <w:r w:rsidRPr="001A3D2B">
          <w:rPr>
            <w:rStyle w:val="a5"/>
          </w:rPr>
          <w:t>2000\Bri Med J321, 683.pdf</w:t>
        </w:r>
      </w:hyperlink>
    </w:p>
    <w:p w:rsidR="003474F2" w:rsidRPr="001A3D2B" w:rsidRDefault="003474F2" w:rsidP="003474F2">
      <w:pPr>
        <w:pStyle w:val="a3"/>
      </w:pPr>
      <w:r w:rsidRPr="001A3D2B">
        <w:t>Mitchell, E.</w:t>
      </w:r>
      <w:r w:rsidR="005853A9">
        <w:t xml:space="preserve"> and </w:t>
      </w:r>
      <w:r w:rsidRPr="001A3D2B">
        <w:t>Sullivan, F. (2001), A descriptive feast but an evaluative famine: systematic review</w:t>
      </w:r>
      <w:r w:rsidR="00427468">
        <w:t xml:space="preserve"> of </w:t>
      </w:r>
      <w:r w:rsidRPr="001A3D2B">
        <w:t xml:space="preserve">published articles on primary care computing during 1980-97. </w:t>
      </w:r>
      <w:r w:rsidRPr="001A3D2B">
        <w:rPr>
          <w:i/>
          <w:iCs/>
        </w:rPr>
        <w:t>British Medical Journal</w:t>
      </w:r>
      <w:r w:rsidRPr="001A3D2B">
        <w:t xml:space="preserve">, </w:t>
      </w:r>
      <w:r w:rsidRPr="001A3D2B">
        <w:rPr>
          <w:b/>
          <w:bCs/>
        </w:rPr>
        <w:t>322</w:t>
      </w:r>
      <w:r w:rsidRPr="001A3D2B">
        <w:t xml:space="preserve"> (7281), 279-282.</w:t>
      </w:r>
    </w:p>
    <w:p w:rsidR="003474F2" w:rsidRPr="001A3D2B" w:rsidRDefault="003474F2" w:rsidP="003474F2">
      <w:pPr>
        <w:pStyle w:val="a3"/>
      </w:pPr>
      <w:r w:rsidRPr="001A3D2B">
        <w:t xml:space="preserve">Full Text: </w:t>
      </w:r>
      <w:hyperlink r:id="rId2022" w:history="1">
        <w:r w:rsidRPr="001A3D2B">
          <w:rPr>
            <w:rStyle w:val="a5"/>
          </w:rPr>
          <w:t>2001\Bri Med J322, 279.pdf</w:t>
        </w:r>
      </w:hyperlink>
    </w:p>
    <w:p w:rsidR="003474F2" w:rsidRPr="001A3D2B" w:rsidRDefault="003474F2" w:rsidP="003474F2">
      <w:pPr>
        <w:pStyle w:val="a3"/>
      </w:pPr>
      <w:r w:rsidRPr="001A3D2B">
        <w:t>Abstract: Objectives To appraise findings from studies examining</w:t>
      </w:r>
      <w:r w:rsidR="003A1917">
        <w:t xml:space="preserve"> the </w:t>
      </w:r>
      <w:r w:rsidRPr="001A3D2B">
        <w:t>impact</w:t>
      </w:r>
      <w:r w:rsidR="00427468">
        <w:t xml:space="preserve"> of </w:t>
      </w:r>
      <w:r w:rsidRPr="001A3D2B">
        <w:t>computers on primary care consultations. Design Systematic review</w:t>
      </w:r>
      <w:r w:rsidR="00427468">
        <w:t xml:space="preserve"> of </w:t>
      </w:r>
      <w:r w:rsidRPr="001A3D2B">
        <w:t>world literature from 1980 to 1997. Data sources 5475 references were identified from electronic databases (</w:t>
      </w:r>
      <w:r w:rsidR="00D5664A">
        <w:t>MEDLINE</w:t>
      </w:r>
      <w:r w:rsidRPr="001A3D2B">
        <w:t>, Science Citation Index, Social Sciences Citation Index, Index</w:t>
      </w:r>
      <w:r w:rsidR="00427468">
        <w:t xml:space="preserve"> of </w:t>
      </w:r>
      <w:r w:rsidRPr="001A3D2B">
        <w:t>Scientific</w:t>
      </w:r>
      <w:r w:rsidR="005853A9">
        <w:t xml:space="preserve"> and </w:t>
      </w:r>
      <w:r w:rsidRPr="001A3D2B">
        <w:t>Technical Proceedings, Embase, OCLC FirstSearch Proceedings), bibliographies, books, identified articles,</w:t>
      </w:r>
      <w:r w:rsidR="005853A9">
        <w:t xml:space="preserve"> and </w:t>
      </w:r>
      <w:r w:rsidRPr="001A3D2B">
        <w:t>by authors active in</w:t>
      </w:r>
      <w:r w:rsidR="003A1917">
        <w:t xml:space="preserve"> the </w:t>
      </w:r>
      <w:r w:rsidRPr="001A3D2B">
        <w:t>field. 1892 eligible abstracts were independently rated,</w:t>
      </w:r>
      <w:r w:rsidR="005853A9">
        <w:t xml:space="preserve"> and </w:t>
      </w:r>
      <w:r w:rsidRPr="001A3D2B">
        <w:t>89 studies met</w:t>
      </w:r>
      <w:r w:rsidR="003A1917">
        <w:t xml:space="preserve"> the </w:t>
      </w:r>
      <w:r w:rsidRPr="001A3D2B">
        <w:t>inclusion criteria. Main outcome measures Effect on doctors</w:t>
      </w:r>
      <w:r w:rsidR="00700038">
        <w:t>’</w:t>
      </w:r>
      <w:r w:rsidRPr="001A3D2B">
        <w:t xml:space="preserve"> performance</w:t>
      </w:r>
      <w:r w:rsidR="005853A9">
        <w:t xml:space="preserve"> and </w:t>
      </w:r>
      <w:r w:rsidRPr="001A3D2B">
        <w:t>patient outcomes; attitudes towards computerisation. Results 61 studies examined effects</w:t>
      </w:r>
      <w:r w:rsidR="00427468">
        <w:t xml:space="preserve"> of </w:t>
      </w:r>
      <w:r w:rsidRPr="001A3D2B">
        <w:t>computers on practitioners</w:t>
      </w:r>
      <w:r w:rsidR="00700038">
        <w:t>’</w:t>
      </w:r>
      <w:r w:rsidRPr="001A3D2B">
        <w:t xml:space="preserve"> performance, 17 evaluated their impact on patient outcome,and 20 studied practitioners</w:t>
      </w:r>
      <w:r w:rsidR="00700038">
        <w:t>’</w:t>
      </w:r>
      <w:r w:rsidRPr="001A3D2B">
        <w:t xml:space="preserve"> or patients</w:t>
      </w:r>
      <w:r w:rsidR="00700038">
        <w:t>’</w:t>
      </w:r>
      <w:r w:rsidRPr="001A3D2B">
        <w:t xml:space="preserve"> attitudes. Computer use during consultations lengthened</w:t>
      </w:r>
      <w:r w:rsidR="003A1917">
        <w:t xml:space="preserve"> the </w:t>
      </w:r>
      <w:r w:rsidRPr="001A3D2B">
        <w:t>consultation. Reminder systems for preventive tasks</w:t>
      </w:r>
      <w:r w:rsidR="005853A9">
        <w:t xml:space="preserve"> and </w:t>
      </w:r>
      <w:r w:rsidRPr="001A3D2B">
        <w:t>disease management improved process rates, although some returned to pre-intervention levels when reminders were stopped. Use</w:t>
      </w:r>
      <w:r w:rsidR="00427468">
        <w:t xml:space="preserve"> of </w:t>
      </w:r>
      <w:r w:rsidRPr="001A3D2B">
        <w:t>computers for issuing prescriptions increased prescribing</w:t>
      </w:r>
      <w:r w:rsidR="00427468">
        <w:t xml:space="preserve"> of </w:t>
      </w:r>
      <w:r w:rsidRPr="001A3D2B">
        <w:t>generic drugs,</w:t>
      </w:r>
      <w:r w:rsidR="005853A9">
        <w:t xml:space="preserve"> and </w:t>
      </w:r>
      <w:r w:rsidRPr="001A3D2B">
        <w:t>use</w:t>
      </w:r>
      <w:r w:rsidR="00427468">
        <w:t xml:space="preserve"> of </w:t>
      </w:r>
      <w:r w:rsidRPr="001A3D2B">
        <w:t>computers for test ordering led to cost savings</w:t>
      </w:r>
      <w:r w:rsidR="005853A9">
        <w:t xml:space="preserve"> and </w:t>
      </w:r>
      <w:r w:rsidRPr="001A3D2B">
        <w:t>fewer unnecessary tests</w:t>
      </w:r>
      <w:r w:rsidR="00A37C1D">
        <w:t>. The</w:t>
      </w:r>
      <w:r w:rsidRPr="001A3D2B">
        <w:t>re were no negative effects on those patient outcomes evaluated. Doctors</w:t>
      </w:r>
      <w:r w:rsidR="005853A9">
        <w:t xml:space="preserve"> and </w:t>
      </w:r>
      <w:r w:rsidRPr="001A3D2B">
        <w:t>patients were generally positive about use</w:t>
      </w:r>
      <w:r w:rsidR="00427468">
        <w:t xml:space="preserve"> of </w:t>
      </w:r>
      <w:r w:rsidRPr="001A3D2B">
        <w:t>computers, but issues</w:t>
      </w:r>
      <w:r w:rsidR="00427468">
        <w:t xml:space="preserve"> of </w:t>
      </w:r>
      <w:r w:rsidRPr="001A3D2B">
        <w:t>concern included their impact on privacy,</w:t>
      </w:r>
      <w:r w:rsidR="003A1917">
        <w:t xml:space="preserve"> the </w:t>
      </w:r>
      <w:r w:rsidRPr="001A3D2B">
        <w:t>doctor-patient relationship, cost, time,</w:t>
      </w:r>
      <w:r w:rsidR="005853A9">
        <w:t xml:space="preserve"> and </w:t>
      </w:r>
      <w:r w:rsidRPr="001A3D2B">
        <w:t>training needs. Conclusions Primary care computing systems can improve practitioner performance, particularly for health promotion interventions. This may be at</w:t>
      </w:r>
      <w:r w:rsidR="003A1917">
        <w:t xml:space="preserve"> the </w:t>
      </w:r>
      <w:r w:rsidRPr="001A3D2B">
        <w:t>expense</w:t>
      </w:r>
      <w:r w:rsidR="00427468">
        <w:t xml:space="preserve"> of </w:t>
      </w:r>
      <w:r w:rsidRPr="001A3D2B">
        <w:t>patient initiated activities, making many practitioners suspicious</w:t>
      </w:r>
      <w:r w:rsidR="00427468">
        <w:t xml:space="preserve"> of </w:t>
      </w:r>
      <w:r w:rsidR="003A1917">
        <w:t xml:space="preserve">the </w:t>
      </w:r>
      <w:r w:rsidRPr="001A3D2B">
        <w:t>negative impact on relationships with patients</w:t>
      </w:r>
      <w:r w:rsidR="00A37C1D">
        <w:t>. The</w:t>
      </w:r>
      <w:r w:rsidRPr="001A3D2B">
        <w:t>re remains a dearth</w:t>
      </w:r>
      <w:r w:rsidR="00427468">
        <w:t xml:space="preserve"> of </w:t>
      </w:r>
      <w:r w:rsidRPr="001A3D2B">
        <w:t>evidence evaluating effects on patient outcomes.</w:t>
      </w:r>
    </w:p>
    <w:p w:rsidR="003474F2" w:rsidRPr="001A3D2B" w:rsidRDefault="003474F2" w:rsidP="003474F2">
      <w:pPr>
        <w:pStyle w:val="a3"/>
      </w:pPr>
      <w:r w:rsidRPr="001A3D2B">
        <w:t xml:space="preserve">Keywords: Attitudes, Bibliographies, Care, Computers, Consultation, Cost, Cost </w:t>
      </w:r>
      <w:r w:rsidRPr="001A3D2B">
        <w:lastRenderedPageBreak/>
        <w:t>Savings, Criteria, Databases, Disease, Disease Management, Doctor-Patient Relationship, Doctors, Drugs, Evidence, Field, Generic Drugs, Health, Health Promotion, Impact, Interventions, Literature, Management, Needs, Outcome, Outcome Measures, Outcomes, Patients, Performance, Prescribing, Prescriptions, Primary, Primary Care, Privacy, Promotion, Rates, Review, Science Citation Index, Sources, Systematic Review, Systems, Training, World</w:t>
      </w:r>
    </w:p>
    <w:p w:rsidR="003474F2" w:rsidRPr="001A3D2B" w:rsidRDefault="003474F2" w:rsidP="003474F2">
      <w:pPr>
        <w:pStyle w:val="a3"/>
      </w:pPr>
      <w:r w:rsidRPr="001A3D2B">
        <w:t>Notes: TTopic</w:t>
      </w:r>
    </w:p>
    <w:p w:rsidR="003474F2" w:rsidRPr="001A3D2B" w:rsidRDefault="003474F2" w:rsidP="003474F2">
      <w:pPr>
        <w:pStyle w:val="a3"/>
      </w:pPr>
      <w:smartTag w:uri="urn:schemas-microsoft-com:office:smarttags" w:element="City">
        <w:r w:rsidRPr="001A3D2B">
          <w:t>Silagy</w:t>
        </w:r>
      </w:smartTag>
      <w:r w:rsidRPr="001A3D2B">
        <w:t xml:space="preserve">, </w:t>
      </w:r>
      <w:smartTag w:uri="urn:schemas-microsoft-com:office:smarttags" w:element="country-region">
        <w:r w:rsidRPr="001A3D2B">
          <w:t>C.A.</w:t>
        </w:r>
      </w:smartTag>
      <w:r w:rsidRPr="001A3D2B">
        <w:t>, Stead, L.F.</w:t>
      </w:r>
      <w:r w:rsidR="005853A9">
        <w:t xml:space="preserve"> and </w:t>
      </w:r>
      <w:r w:rsidRPr="001A3D2B">
        <w:t>Lancaster, T. (2001), Use</w:t>
      </w:r>
      <w:r w:rsidR="00427468">
        <w:t xml:space="preserve"> of </w:t>
      </w:r>
      <w:r w:rsidRPr="001A3D2B">
        <w:t>systematic reviews in clinical practice guidelines: Case study</w:t>
      </w:r>
      <w:r w:rsidR="00427468">
        <w:t xml:space="preserve"> of </w:t>
      </w:r>
      <w:r w:rsidRPr="001A3D2B">
        <w:t xml:space="preserve">smoking cessation. </w:t>
      </w:r>
      <w:r w:rsidRPr="001A3D2B">
        <w:rPr>
          <w:i/>
          <w:iCs/>
        </w:rPr>
        <w:t>British Medical Journal</w:t>
      </w:r>
      <w:r w:rsidRPr="001A3D2B">
        <w:t xml:space="preserve">, </w:t>
      </w:r>
      <w:r w:rsidRPr="001A3D2B">
        <w:rPr>
          <w:b/>
          <w:bCs/>
        </w:rPr>
        <w:t>323</w:t>
      </w:r>
      <w:r w:rsidRPr="001A3D2B">
        <w:t>, 833-836.</w:t>
      </w:r>
    </w:p>
    <w:p w:rsidR="003474F2" w:rsidRPr="001A3D2B" w:rsidRDefault="003474F2" w:rsidP="003474F2">
      <w:pPr>
        <w:pStyle w:val="a3"/>
      </w:pPr>
      <w:r w:rsidRPr="001A3D2B">
        <w:t xml:space="preserve">Full Text: </w:t>
      </w:r>
      <w:hyperlink r:id="rId2023" w:history="1">
        <w:r w:rsidRPr="001A3D2B">
          <w:rPr>
            <w:rStyle w:val="a5"/>
          </w:rPr>
          <w:t>2001\Bri Med J323, 833.pdf</w:t>
        </w:r>
      </w:hyperlink>
    </w:p>
    <w:p w:rsidR="003474F2" w:rsidRPr="001A3D2B" w:rsidRDefault="003474F2" w:rsidP="003474F2">
      <w:pPr>
        <w:pStyle w:val="a3"/>
      </w:pPr>
      <w:r w:rsidRPr="001A3D2B">
        <w:t>Abstract: Objective: To examine</w:t>
      </w:r>
      <w:r w:rsidR="003A1917">
        <w:t xml:space="preserve"> the </w:t>
      </w:r>
      <w:r w:rsidRPr="001A3D2B">
        <w:t>extent to which recommendations</w:t>
      </w:r>
      <w:r w:rsidRPr="001A3D2B">
        <w:rPr>
          <w:vertAlign w:val="superscript"/>
        </w:rPr>
        <w:t xml:space="preserve"> </w:t>
      </w:r>
      <w:r w:rsidRPr="001A3D2B">
        <w:t>in</w:t>
      </w:r>
      <w:r w:rsidR="003A1917">
        <w:t xml:space="preserve"> the </w:t>
      </w:r>
      <w:r w:rsidRPr="001A3D2B">
        <w:t>national guidelines for</w:t>
      </w:r>
      <w:r w:rsidR="003A1917">
        <w:t xml:space="preserve"> the </w:t>
      </w:r>
      <w:r w:rsidRPr="001A3D2B">
        <w:t>cessation</w:t>
      </w:r>
      <w:r w:rsidR="00427468">
        <w:t xml:space="preserve"> of </w:t>
      </w:r>
      <w:r w:rsidRPr="001A3D2B">
        <w:t>smoking are based</w:t>
      </w:r>
      <w:r w:rsidRPr="001A3D2B">
        <w:rPr>
          <w:vertAlign w:val="superscript"/>
        </w:rPr>
        <w:t xml:space="preserve"> </w:t>
      </w:r>
      <w:r w:rsidRPr="001A3D2B">
        <w:t>on evidence from systematic reviews</w:t>
      </w:r>
      <w:r w:rsidR="00427468">
        <w:t xml:space="preserve"> of </w:t>
      </w:r>
      <w:r w:rsidRPr="001A3D2B">
        <w:t>controlled</w:t>
      </w:r>
      <w:r w:rsidRPr="001A3D2B">
        <w:rPr>
          <w:vertAlign w:val="superscript"/>
        </w:rPr>
        <w:t xml:space="preserve"> </w:t>
      </w:r>
      <w:r w:rsidRPr="001A3D2B">
        <w:t>trials.</w:t>
      </w:r>
    </w:p>
    <w:p w:rsidR="003474F2" w:rsidRPr="001A3D2B" w:rsidRDefault="003474F2" w:rsidP="003474F2">
      <w:pPr>
        <w:pStyle w:val="a3"/>
      </w:pPr>
      <w:r w:rsidRPr="001A3D2B">
        <w:t>Design: Retrospective analysis</w:t>
      </w:r>
      <w:r w:rsidR="00427468">
        <w:t xml:space="preserve"> of </w:t>
      </w:r>
      <w:r w:rsidRPr="001A3D2B">
        <w:t>recommendations</w:t>
      </w:r>
      <w:r w:rsidRPr="001A3D2B">
        <w:rPr>
          <w:vertAlign w:val="superscript"/>
        </w:rPr>
        <w:t xml:space="preserve"> </w:t>
      </w:r>
      <w:r w:rsidRPr="001A3D2B">
        <w:t>for</w:t>
      </w:r>
      <w:r w:rsidR="003A1917">
        <w:t xml:space="preserve"> the </w:t>
      </w:r>
      <w:r w:rsidRPr="001A3D2B">
        <w:t>national guidelines for</w:t>
      </w:r>
      <w:r w:rsidR="003A1917">
        <w:t xml:space="preserve"> the </w:t>
      </w:r>
      <w:r w:rsidRPr="001A3D2B">
        <w:t>cessation</w:t>
      </w:r>
      <w:r w:rsidR="00427468">
        <w:t xml:space="preserve"> of </w:t>
      </w:r>
      <w:r w:rsidRPr="001A3D2B">
        <w:t>smoking.</w:t>
      </w:r>
    </w:p>
    <w:p w:rsidR="003474F2" w:rsidRPr="001A3D2B" w:rsidRDefault="003474F2" w:rsidP="003474F2">
      <w:pPr>
        <w:pStyle w:val="a3"/>
      </w:pPr>
      <w:r w:rsidRPr="001A3D2B">
        <w:t>Materials: National guidelines in clinical practice on</w:t>
      </w:r>
      <w:r w:rsidRPr="001A3D2B">
        <w:rPr>
          <w:vertAlign w:val="superscript"/>
        </w:rPr>
        <w:t xml:space="preserve"> </w:t>
      </w:r>
      <w:r w:rsidRPr="001A3D2B">
        <w:t>smoking cessation published in</w:t>
      </w:r>
      <w:r w:rsidRPr="001A3D2B">
        <w:rPr>
          <w:vertAlign w:val="superscript"/>
        </w:rPr>
        <w:t xml:space="preserve"> </w:t>
      </w:r>
      <w:r w:rsidRPr="001A3D2B">
        <w:t>English.</w:t>
      </w:r>
    </w:p>
    <w:p w:rsidR="003474F2" w:rsidRPr="001A3D2B" w:rsidRDefault="003474F2" w:rsidP="003474F2">
      <w:pPr>
        <w:pStyle w:val="a3"/>
      </w:pPr>
      <w:r w:rsidRPr="001A3D2B">
        <w:t>Main outcome measures:</w:t>
      </w:r>
      <w:r w:rsidR="003A1917">
        <w:t xml:space="preserve"> the </w:t>
      </w:r>
      <w:r w:rsidRPr="001A3D2B">
        <w:t>type</w:t>
      </w:r>
      <w:r w:rsidR="00427468">
        <w:t xml:space="preserve"> of </w:t>
      </w:r>
      <w:r w:rsidRPr="001A3D2B">
        <w:t>evidence (systematic review</w:t>
      </w:r>
      <w:r w:rsidR="00427468">
        <w:t xml:space="preserve"> of </w:t>
      </w:r>
      <w:r w:rsidRPr="001A3D2B">
        <w:t>controlled trials, individual trials, other studies, expert opinion)</w:t>
      </w:r>
      <w:r w:rsidRPr="001A3D2B">
        <w:rPr>
          <w:vertAlign w:val="superscript"/>
        </w:rPr>
        <w:t xml:space="preserve"> </w:t>
      </w:r>
      <w:r w:rsidRPr="001A3D2B">
        <w:t>used to support each recommendation. We also assessed whether</w:t>
      </w:r>
      <w:r w:rsidRPr="001A3D2B">
        <w:rPr>
          <w:vertAlign w:val="superscript"/>
        </w:rPr>
        <w:t xml:space="preserve"> </w:t>
      </w:r>
      <w:r w:rsidRPr="001A3D2B">
        <w:t>a Cochrane systematic review was available</w:t>
      </w:r>
      <w:r w:rsidR="005853A9">
        <w:t xml:space="preserve"> and </w:t>
      </w:r>
      <w:r w:rsidRPr="001A3D2B">
        <w:t>could have been</w:t>
      </w:r>
      <w:r w:rsidRPr="001A3D2B">
        <w:rPr>
          <w:vertAlign w:val="superscript"/>
        </w:rPr>
        <w:t xml:space="preserve"> </w:t>
      </w:r>
      <w:r w:rsidRPr="001A3D2B">
        <w:t>used in formulating</w:t>
      </w:r>
      <w:r w:rsidR="003A1917">
        <w:t xml:space="preserve"> the </w:t>
      </w:r>
      <w:r w:rsidRPr="001A3D2B">
        <w:t>recommendation.</w:t>
      </w:r>
    </w:p>
    <w:p w:rsidR="003474F2" w:rsidRPr="001A3D2B" w:rsidRDefault="003474F2" w:rsidP="003474F2">
      <w:pPr>
        <w:pStyle w:val="a3"/>
      </w:pPr>
      <w:r w:rsidRPr="001A3D2B">
        <w:t>Results: Four national smoking cessation guidelines</w:t>
      </w:r>
      <w:r w:rsidRPr="001A3D2B">
        <w:rPr>
          <w:vertAlign w:val="superscript"/>
        </w:rPr>
        <w:t xml:space="preserve"> </w:t>
      </w:r>
      <w:r w:rsidRPr="001A3D2B">
        <w:t xml:space="preserve">(from </w:t>
      </w:r>
      <w:smartTag w:uri="urn:schemas-microsoft-com:office:smarttags" w:element="country-region">
        <w:r w:rsidRPr="001A3D2B">
          <w:t>Canada</w:t>
        </w:r>
      </w:smartTag>
      <w:r w:rsidRPr="001A3D2B">
        <w:t xml:space="preserve">, </w:t>
      </w:r>
      <w:smartTag w:uri="urn:schemas-microsoft-com:office:smarttags" w:element="country-region">
        <w:r w:rsidRPr="001A3D2B">
          <w:t>New Zealand</w:t>
        </w:r>
      </w:smartTag>
      <w:r w:rsidRPr="001A3D2B">
        <w:t>,</w:t>
      </w:r>
      <w:r w:rsidR="003A1917">
        <w:t xml:space="preserve"> the </w:t>
      </w:r>
      <w:r w:rsidRPr="001A3D2B">
        <w:t>United Kingdom,</w:t>
      </w:r>
      <w:r w:rsidR="005853A9">
        <w:t xml:space="preserve"> and </w:t>
      </w:r>
      <w:r w:rsidR="003A1917">
        <w:t xml:space="preserve">the </w:t>
      </w:r>
      <w:r w:rsidRPr="001A3D2B">
        <w:t>United</w:t>
      </w:r>
      <w:r w:rsidRPr="001A3D2B">
        <w:rPr>
          <w:vertAlign w:val="superscript"/>
        </w:rPr>
        <w:t xml:space="preserve"> </w:t>
      </w:r>
      <w:r w:rsidRPr="001A3D2B">
        <w:t>States) covering 105 recommendations were identified. An explicit</w:t>
      </w:r>
      <w:r w:rsidRPr="001A3D2B">
        <w:rPr>
          <w:vertAlign w:val="superscript"/>
        </w:rPr>
        <w:t xml:space="preserve"> </w:t>
      </w:r>
      <w:r w:rsidRPr="001A3D2B">
        <w:t>evidence base for 100%, 89%, 68%,</w:t>
      </w:r>
      <w:r w:rsidR="005853A9">
        <w:t xml:space="preserve"> and </w:t>
      </w:r>
      <w:r w:rsidRPr="001A3D2B">
        <w:t>98%</w:t>
      </w:r>
      <w:r w:rsidR="00427468">
        <w:t xml:space="preserve"> of </w:t>
      </w:r>
      <w:r w:rsidRPr="001A3D2B">
        <w:t>recommendations, respectively, was detected,</w:t>
      </w:r>
      <w:r w:rsidR="00427468">
        <w:t xml:space="preserve"> of </w:t>
      </w:r>
      <w:r w:rsidRPr="001A3D2B">
        <w:t>which 60%, 56%, 59%,</w:t>
      </w:r>
      <w:r w:rsidR="005853A9">
        <w:t xml:space="preserve"> and </w:t>
      </w:r>
      <w:r w:rsidRPr="001A3D2B">
        <w:t>47% were</w:t>
      </w:r>
      <w:r w:rsidRPr="001A3D2B">
        <w:rPr>
          <w:vertAlign w:val="superscript"/>
        </w:rPr>
        <w:t xml:space="preserve"> </w:t>
      </w:r>
      <w:r w:rsidRPr="001A3D2B">
        <w:t>based on systematic reviews</w:t>
      </w:r>
      <w:r w:rsidR="00427468">
        <w:t xml:space="preserve"> of </w:t>
      </w:r>
      <w:r w:rsidRPr="001A3D2B">
        <w:t>controlled studies. Cochrane systematic</w:t>
      </w:r>
      <w:r w:rsidRPr="001A3D2B">
        <w:rPr>
          <w:vertAlign w:val="superscript"/>
        </w:rPr>
        <w:t xml:space="preserve"> </w:t>
      </w:r>
      <w:r w:rsidRPr="001A3D2B">
        <w:t>reviews could have been used to develop between 39%</w:t>
      </w:r>
      <w:r w:rsidR="005853A9">
        <w:t xml:space="preserve"> and </w:t>
      </w:r>
      <w:r w:rsidRPr="001A3D2B">
        <w:t>73%</w:t>
      </w:r>
      <w:r w:rsidR="00427468">
        <w:t xml:space="preserve"> of </w:t>
      </w:r>
      <w:r w:rsidRPr="001A3D2B">
        <w:t>recommendations but were actually used in 0% to 36%</w:t>
      </w:r>
      <w:r w:rsidR="00427468">
        <w:t xml:space="preserve"> of </w:t>
      </w:r>
      <w:r w:rsidRPr="001A3D2B">
        <w:t>recommendations</w:t>
      </w:r>
      <w:r w:rsidR="00A37C1D">
        <w:t>. The</w:t>
      </w:r>
      <w:r w:rsidR="003A1917">
        <w:rPr>
          <w:vertAlign w:val="superscript"/>
        </w:rPr>
        <w:t xml:space="preserve"> </w:t>
      </w:r>
      <w:r w:rsidRPr="001A3D2B">
        <w:t>UK guidelines had</w:t>
      </w:r>
      <w:r w:rsidR="003A1917">
        <w:t xml:space="preserve"> the </w:t>
      </w:r>
      <w:r w:rsidRPr="001A3D2B">
        <w:t>highest proportion</w:t>
      </w:r>
      <w:r w:rsidR="00427468">
        <w:t xml:space="preserve"> of </w:t>
      </w:r>
      <w:r w:rsidRPr="001A3D2B">
        <w:t>recommendations</w:t>
      </w:r>
      <w:r w:rsidRPr="001A3D2B">
        <w:rPr>
          <w:vertAlign w:val="superscript"/>
        </w:rPr>
        <w:t xml:space="preserve"> </w:t>
      </w:r>
      <w:r w:rsidRPr="001A3D2B">
        <w:t>based on Cochrane systematic</w:t>
      </w:r>
      <w:r w:rsidRPr="001A3D2B">
        <w:rPr>
          <w:vertAlign w:val="superscript"/>
        </w:rPr>
        <w:t xml:space="preserve"> </w:t>
      </w:r>
      <w:r w:rsidRPr="001A3D2B">
        <w:t>reviews.</w:t>
      </w:r>
    </w:p>
    <w:p w:rsidR="003474F2" w:rsidRPr="001A3D2B" w:rsidRDefault="003474F2" w:rsidP="003474F2">
      <w:pPr>
        <w:pStyle w:val="a3"/>
      </w:pPr>
      <w:r w:rsidRPr="001A3D2B">
        <w:t>Conclusions: Use</w:t>
      </w:r>
      <w:r w:rsidR="00427468">
        <w:t xml:space="preserve"> of </w:t>
      </w:r>
      <w:r w:rsidRPr="001A3D2B">
        <w:t>systematic reviews in guidelines is</w:t>
      </w:r>
      <w:r w:rsidRPr="001A3D2B">
        <w:rPr>
          <w:vertAlign w:val="superscript"/>
        </w:rPr>
        <w:t xml:space="preserve"> </w:t>
      </w:r>
      <w:r w:rsidRPr="001A3D2B">
        <w:t>a measure</w:t>
      </w:r>
      <w:r w:rsidR="00427468">
        <w:t xml:space="preserve"> of </w:t>
      </w:r>
      <w:r w:rsidR="003A1917">
        <w:t xml:space="preserve">the </w:t>
      </w:r>
      <w:r w:rsidR="00700038">
        <w:t>‘</w:t>
      </w:r>
      <w:r w:rsidRPr="001A3D2B">
        <w:t>payback</w:t>
      </w:r>
      <w:r w:rsidR="00700038">
        <w:t>’</w:t>
      </w:r>
      <w:r w:rsidRPr="001A3D2B">
        <w:t xml:space="preserve"> on investment in research synthesis.</w:t>
      </w:r>
      <w:r w:rsidRPr="001A3D2B">
        <w:rPr>
          <w:vertAlign w:val="superscript"/>
        </w:rPr>
        <w:t xml:space="preserve"> </w:t>
      </w:r>
      <w:r w:rsidRPr="001A3D2B">
        <w:t>Systematic reviews commonly underpinned recommendations in guidelines</w:t>
      </w:r>
      <w:r w:rsidRPr="001A3D2B">
        <w:rPr>
          <w:vertAlign w:val="superscript"/>
        </w:rPr>
        <w:t xml:space="preserve"> </w:t>
      </w:r>
      <w:r w:rsidRPr="001A3D2B">
        <w:t>on smoking cessation</w:t>
      </w:r>
      <w:r w:rsidR="00A37C1D">
        <w:t>. The</w:t>
      </w:r>
      <w:r w:rsidR="003A1917">
        <w:t xml:space="preserve"> </w:t>
      </w:r>
      <w:r w:rsidRPr="001A3D2B">
        <w:t>extent to which they were used varied</w:t>
      </w:r>
      <w:r w:rsidRPr="001A3D2B">
        <w:rPr>
          <w:vertAlign w:val="superscript"/>
        </w:rPr>
        <w:t xml:space="preserve"> </w:t>
      </w:r>
      <w:r w:rsidRPr="001A3D2B">
        <w:t>by country</w:t>
      </w:r>
      <w:r w:rsidR="005853A9">
        <w:t xml:space="preserve"> and </w:t>
      </w:r>
      <w:r w:rsidRPr="001A3D2B">
        <w:t>there was evidence</w:t>
      </w:r>
      <w:r w:rsidR="00427468">
        <w:t xml:space="preserve"> of </w:t>
      </w:r>
      <w:r w:rsidRPr="001A3D2B">
        <w:t>duplication</w:t>
      </w:r>
      <w:r w:rsidR="00427468">
        <w:t xml:space="preserve"> of </w:t>
      </w:r>
      <w:r w:rsidRPr="001A3D2B">
        <w:t>effort in</w:t>
      </w:r>
      <w:r w:rsidRPr="001A3D2B">
        <w:rPr>
          <w:vertAlign w:val="superscript"/>
        </w:rPr>
        <w:t xml:space="preserve"> </w:t>
      </w:r>
      <w:r w:rsidRPr="001A3D2B">
        <w:t>some areas. Greater international collaboration in developing</w:t>
      </w:r>
      <w:r w:rsidR="005853A9">
        <w:t xml:space="preserve"> and </w:t>
      </w:r>
      <w:r w:rsidRPr="001A3D2B">
        <w:t>maintaining an evidence base</w:t>
      </w:r>
      <w:r w:rsidR="00427468">
        <w:t xml:space="preserve"> of </w:t>
      </w:r>
      <w:r w:rsidRPr="001A3D2B">
        <w:t>systematic reviews can improve</w:t>
      </w:r>
      <w:r w:rsidR="003A1917">
        <w:rPr>
          <w:vertAlign w:val="superscript"/>
        </w:rPr>
        <w:t xml:space="preserve"> the </w:t>
      </w:r>
      <w:r w:rsidRPr="001A3D2B">
        <w:t>efficiency</w:t>
      </w:r>
      <w:r w:rsidR="00427468">
        <w:t xml:space="preserve"> of </w:t>
      </w:r>
      <w:r w:rsidRPr="001A3D2B">
        <w:t>use</w:t>
      </w:r>
      <w:r w:rsidR="00427468">
        <w:t xml:space="preserve"> of </w:t>
      </w:r>
      <w:r w:rsidRPr="001A3D2B">
        <w:t>research</w:t>
      </w:r>
      <w:r w:rsidRPr="001A3D2B">
        <w:rPr>
          <w:vertAlign w:val="superscript"/>
        </w:rPr>
        <w:t xml:space="preserve"> </w:t>
      </w:r>
      <w:r w:rsidRPr="001A3D2B">
        <w:t>resources.</w:t>
      </w:r>
    </w:p>
    <w:p w:rsidR="00CA35A2" w:rsidRPr="00FC7835" w:rsidRDefault="00CA35A2" w:rsidP="00CA35A2">
      <w:pPr>
        <w:pStyle w:val="a3"/>
      </w:pPr>
      <w:r>
        <w:rPr>
          <w:rFonts w:hint="eastAsia"/>
        </w:rPr>
        <w:t xml:space="preserve">? </w:t>
      </w:r>
      <w:r>
        <w:t>Chambers, R</w:t>
      </w:r>
      <w:r>
        <w:rPr>
          <w:rFonts w:hint="eastAsia"/>
        </w:rPr>
        <w:t xml:space="preserve">., </w:t>
      </w:r>
      <w:r>
        <w:t>Boath, E</w:t>
      </w:r>
      <w:r>
        <w:rPr>
          <w:rFonts w:hint="eastAsia"/>
        </w:rPr>
        <w:t>.</w:t>
      </w:r>
      <w:r w:rsidR="005853A9">
        <w:rPr>
          <w:rFonts w:hint="eastAsia"/>
        </w:rPr>
        <w:t xml:space="preserve"> and </w:t>
      </w:r>
      <w:r>
        <w:t>Chambers, S</w:t>
      </w:r>
      <w:r>
        <w:rPr>
          <w:rFonts w:hint="eastAsia"/>
        </w:rPr>
        <w:t>.</w:t>
      </w:r>
      <w:r>
        <w:t xml:space="preserve"> </w:t>
      </w:r>
      <w:r w:rsidRPr="00FC7835">
        <w:t>(2001</w:t>
      </w:r>
      <w:r w:rsidR="00F42EAC">
        <w:t>), The</w:t>
      </w:r>
      <w:r w:rsidR="003A1917">
        <w:t xml:space="preserve"> </w:t>
      </w:r>
      <w:r>
        <w:t>A to Z</w:t>
      </w:r>
      <w:r w:rsidR="00427468">
        <w:t xml:space="preserve"> of </w:t>
      </w:r>
      <w:r>
        <w:t>authorship: analysis</w:t>
      </w:r>
      <w:r w:rsidR="00427468">
        <w:t xml:space="preserve"> of </w:t>
      </w:r>
      <w:r>
        <w:t>influence</w:t>
      </w:r>
      <w:r w:rsidR="00427468">
        <w:t xml:space="preserve"> of </w:t>
      </w:r>
      <w:r>
        <w:t>initial letter</w:t>
      </w:r>
      <w:r w:rsidR="00427468">
        <w:t xml:space="preserve"> of </w:t>
      </w:r>
      <w:r>
        <w:t>surname on order</w:t>
      </w:r>
      <w:r w:rsidR="00427468">
        <w:t xml:space="preserve"> of </w:t>
      </w:r>
      <w:r>
        <w:t>authorship</w:t>
      </w:r>
      <w:r w:rsidRPr="00FC7835">
        <w:t xml:space="preserve">. </w:t>
      </w:r>
      <w:r w:rsidRPr="00FC7835">
        <w:rPr>
          <w:i/>
          <w:iCs/>
        </w:rPr>
        <w:t>British Medical Journal</w:t>
      </w:r>
      <w:r>
        <w:t xml:space="preserve">, </w:t>
      </w:r>
      <w:r w:rsidRPr="00FC7835">
        <w:rPr>
          <w:b/>
          <w:bCs/>
        </w:rPr>
        <w:t>323</w:t>
      </w:r>
      <w:r w:rsidRPr="00FC7835">
        <w:t xml:space="preserve"> (7327)</w:t>
      </w:r>
      <w:r>
        <w:t xml:space="preserve">, </w:t>
      </w:r>
      <w:r w:rsidRPr="00FC7835">
        <w:t>146</w:t>
      </w:r>
      <w:r>
        <w:rPr>
          <w:rFonts w:hint="eastAsia"/>
        </w:rPr>
        <w:t>0</w:t>
      </w:r>
      <w:r w:rsidRPr="00FC7835">
        <w:t>-146</w:t>
      </w:r>
      <w:r>
        <w:rPr>
          <w:rFonts w:hint="eastAsia"/>
        </w:rPr>
        <w:t>1</w:t>
      </w:r>
      <w:r w:rsidRPr="00FC7835">
        <w:t>.</w:t>
      </w:r>
    </w:p>
    <w:p w:rsidR="00CA35A2" w:rsidRDefault="00CA35A2" w:rsidP="00CA35A2">
      <w:pPr>
        <w:pStyle w:val="a3"/>
      </w:pPr>
      <w:r>
        <w:lastRenderedPageBreak/>
        <w:t xml:space="preserve">Full Text: </w:t>
      </w:r>
      <w:hyperlink r:id="rId2024" w:history="1">
        <w:r w:rsidRPr="00CA35A2">
          <w:rPr>
            <w:rStyle w:val="a5"/>
          </w:rPr>
          <w:t>2001\Bri Med J323, 1460.pdf</w:t>
        </w:r>
      </w:hyperlink>
    </w:p>
    <w:p w:rsidR="003474F2" w:rsidRPr="001A3D2B" w:rsidRDefault="003474F2" w:rsidP="003474F2">
      <w:pPr>
        <w:pStyle w:val="a3"/>
      </w:pPr>
      <w:r w:rsidRPr="001A3D2B">
        <w:t>Notes: TTopic</w:t>
      </w:r>
    </w:p>
    <w:p w:rsidR="003474F2" w:rsidRPr="001A3D2B" w:rsidRDefault="003474F2" w:rsidP="003474F2">
      <w:pPr>
        <w:pStyle w:val="a3"/>
      </w:pPr>
      <w:r w:rsidRPr="001A3D2B">
        <w:t>Al-Shahi, R., Will, R.G.</w:t>
      </w:r>
      <w:r w:rsidR="005853A9">
        <w:t xml:space="preserve"> and </w:t>
      </w:r>
      <w:r w:rsidRPr="001A3D2B">
        <w:t>Warlow, C.P. (2001), Amount</w:t>
      </w:r>
      <w:r w:rsidR="00427468">
        <w:t xml:space="preserve"> of </w:t>
      </w:r>
      <w:r w:rsidRPr="001A3D2B">
        <w:t>research interest in rare</w:t>
      </w:r>
      <w:r w:rsidR="005853A9">
        <w:t xml:space="preserve"> and </w:t>
      </w:r>
      <w:r w:rsidRPr="001A3D2B">
        <w:t xml:space="preserve">common neurological conditions: Bibliometric study. </w:t>
      </w:r>
      <w:r w:rsidRPr="001A3D2B">
        <w:rPr>
          <w:i/>
          <w:iCs/>
        </w:rPr>
        <w:t>British Medical Journal</w:t>
      </w:r>
      <w:r w:rsidRPr="001A3D2B">
        <w:t xml:space="preserve">, </w:t>
      </w:r>
      <w:r w:rsidRPr="001A3D2B">
        <w:rPr>
          <w:b/>
          <w:bCs/>
        </w:rPr>
        <w:t>323</w:t>
      </w:r>
      <w:r w:rsidRPr="001A3D2B">
        <w:t xml:space="preserve"> (7327), 1461-1462.</w:t>
      </w:r>
    </w:p>
    <w:p w:rsidR="003474F2" w:rsidRPr="001A3D2B" w:rsidRDefault="003474F2" w:rsidP="003474F2">
      <w:pPr>
        <w:pStyle w:val="a3"/>
      </w:pPr>
      <w:r w:rsidRPr="001A3D2B">
        <w:t xml:space="preserve">Full Text: </w:t>
      </w:r>
      <w:hyperlink r:id="rId2025" w:history="1">
        <w:r w:rsidRPr="001A3D2B">
          <w:rPr>
            <w:rStyle w:val="a5"/>
          </w:rPr>
          <w:t>2001\Bri Med J323, 1461.pdf</w:t>
        </w:r>
      </w:hyperlink>
    </w:p>
    <w:p w:rsidR="003474F2" w:rsidRPr="001A3D2B" w:rsidRDefault="003474F2" w:rsidP="003474F2">
      <w:pPr>
        <w:pStyle w:val="a3"/>
      </w:pPr>
      <w:r w:rsidRPr="001A3D2B">
        <w:t>Notes: TTopic</w:t>
      </w:r>
    </w:p>
    <w:p w:rsidR="003474F2" w:rsidRPr="001A3D2B" w:rsidRDefault="003474F2" w:rsidP="003474F2">
      <w:pPr>
        <w:pStyle w:val="a3"/>
      </w:pPr>
      <w:r w:rsidRPr="001A3D2B">
        <w:t xml:space="preserve">Horrocks, S., </w:t>
      </w:r>
      <w:smartTag w:uri="urn:schemas-microsoft-com:office:smarttags" w:element="City">
        <w:r w:rsidRPr="001A3D2B">
          <w:t>Anderson</w:t>
        </w:r>
      </w:smartTag>
      <w:r w:rsidRPr="001A3D2B">
        <w:t>, E.</w:t>
      </w:r>
      <w:r w:rsidR="005853A9">
        <w:t xml:space="preserve"> and </w:t>
      </w:r>
      <w:r w:rsidRPr="001A3D2B">
        <w:t>Salisbury, C. (2002), Systematic review</w:t>
      </w:r>
      <w:r w:rsidR="00427468">
        <w:t xml:space="preserve"> of </w:t>
      </w:r>
      <w:r w:rsidRPr="001A3D2B">
        <w:t xml:space="preserve">whether nurse practitioners working in primary care can provide equivalent care to doctors. </w:t>
      </w:r>
      <w:r w:rsidRPr="001A3D2B">
        <w:rPr>
          <w:i/>
          <w:iCs/>
        </w:rPr>
        <w:t>British Medical Journal</w:t>
      </w:r>
      <w:r w:rsidRPr="001A3D2B">
        <w:t xml:space="preserve">, </w:t>
      </w:r>
      <w:r w:rsidRPr="001A3D2B">
        <w:rPr>
          <w:b/>
          <w:bCs/>
        </w:rPr>
        <w:t>324</w:t>
      </w:r>
      <w:r w:rsidRPr="001A3D2B">
        <w:t xml:space="preserve"> (7341), 819-823.</w:t>
      </w:r>
    </w:p>
    <w:p w:rsidR="003474F2" w:rsidRPr="001A3D2B" w:rsidRDefault="003474F2" w:rsidP="003474F2">
      <w:pPr>
        <w:pStyle w:val="a3"/>
      </w:pPr>
      <w:r w:rsidRPr="001A3D2B">
        <w:t xml:space="preserve">Full Text: </w:t>
      </w:r>
      <w:hyperlink r:id="rId2026" w:history="1">
        <w:r w:rsidRPr="001A3D2B">
          <w:rPr>
            <w:rStyle w:val="a5"/>
          </w:rPr>
          <w:t>2002\Bri Med J324, 819.pdf</w:t>
        </w:r>
      </w:hyperlink>
    </w:p>
    <w:p w:rsidR="003474F2" w:rsidRPr="001A3D2B" w:rsidRDefault="003474F2" w:rsidP="003474F2">
      <w:pPr>
        <w:pStyle w:val="a3"/>
      </w:pPr>
      <w:r w:rsidRPr="001A3D2B">
        <w:t>Abstract: Objective To determine whether nurse practitioners can provide care at first point</w:t>
      </w:r>
      <w:r w:rsidR="00427468">
        <w:t xml:space="preserve"> of </w:t>
      </w:r>
      <w:r w:rsidRPr="001A3D2B">
        <w:t>contact equivalent to doctors in a primary care setting.</w:t>
      </w:r>
    </w:p>
    <w:p w:rsidR="003474F2" w:rsidRPr="001A3D2B" w:rsidRDefault="003474F2" w:rsidP="003474F2">
      <w:pPr>
        <w:pStyle w:val="a3"/>
      </w:pPr>
      <w:r w:rsidRPr="001A3D2B">
        <w:t>Design Systematic review</w:t>
      </w:r>
      <w:r w:rsidR="00427468">
        <w:t xml:space="preserve"> of </w:t>
      </w:r>
      <w:r w:rsidRPr="001A3D2B">
        <w:t>randomised controlled trials</w:t>
      </w:r>
      <w:r w:rsidR="005853A9">
        <w:t xml:space="preserve"> and </w:t>
      </w:r>
      <w:r w:rsidRPr="001A3D2B">
        <w:t>prospective observational studies.</w:t>
      </w:r>
    </w:p>
    <w:p w:rsidR="003474F2" w:rsidRPr="001A3D2B" w:rsidRDefault="003474F2" w:rsidP="003474F2">
      <w:pPr>
        <w:pStyle w:val="a3"/>
      </w:pPr>
      <w:r w:rsidRPr="001A3D2B">
        <w:t>Data sources Cochrane controlled trials register, specialist register</w:t>
      </w:r>
      <w:r w:rsidR="00427468">
        <w:t xml:space="preserve"> of </w:t>
      </w:r>
      <w:r w:rsidRPr="001A3D2B">
        <w:t>trials maintained by Cochrane Effective Practice</w:t>
      </w:r>
      <w:r w:rsidR="005853A9">
        <w:t xml:space="preserve"> and </w:t>
      </w:r>
      <w:r w:rsidRPr="001A3D2B">
        <w:t>Organisation</w:t>
      </w:r>
      <w:r w:rsidR="00427468">
        <w:t xml:space="preserve"> of </w:t>
      </w:r>
      <w:r w:rsidRPr="001A3D2B">
        <w:t xml:space="preserve">Care Group, </w:t>
      </w:r>
      <w:r w:rsidR="00D5664A">
        <w:t>MEDLINE</w:t>
      </w:r>
      <w:r w:rsidRPr="001A3D2B">
        <w:t>, Embase, CINAHL, science citation index, database</w:t>
      </w:r>
      <w:r w:rsidR="00427468">
        <w:t xml:space="preserve"> of </w:t>
      </w:r>
      <w:r w:rsidRPr="001A3D2B">
        <w:t>abstracts</w:t>
      </w:r>
      <w:r w:rsidR="00427468">
        <w:t xml:space="preserve"> of </w:t>
      </w:r>
      <w:r w:rsidRPr="001A3D2B">
        <w:t>reviews</w:t>
      </w:r>
      <w:r w:rsidR="00427468">
        <w:t xml:space="preserve"> of </w:t>
      </w:r>
      <w:r w:rsidRPr="001A3D2B">
        <w:t>effectiveness, national research register, hand searches,</w:t>
      </w:r>
      <w:r w:rsidR="005853A9">
        <w:t xml:space="preserve"> and </w:t>
      </w:r>
      <w:r w:rsidRPr="001A3D2B">
        <w:t>published bibliographies.</w:t>
      </w:r>
    </w:p>
    <w:p w:rsidR="003474F2" w:rsidRPr="001A3D2B" w:rsidRDefault="003474F2" w:rsidP="003474F2">
      <w:pPr>
        <w:pStyle w:val="a3"/>
      </w:pPr>
      <w:r w:rsidRPr="001A3D2B">
        <w:t>Included studies Randomised controlled trials</w:t>
      </w:r>
      <w:r w:rsidR="005853A9">
        <w:t xml:space="preserve"> and </w:t>
      </w:r>
      <w:r w:rsidRPr="001A3D2B">
        <w:t>prospective observational studies comparing nurse practitioners</w:t>
      </w:r>
      <w:r w:rsidR="005853A9">
        <w:t xml:space="preserve"> and </w:t>
      </w:r>
      <w:r w:rsidRPr="001A3D2B">
        <w:t>doctors providing care at first point</w:t>
      </w:r>
      <w:r w:rsidR="00427468">
        <w:t xml:space="preserve"> of </w:t>
      </w:r>
      <w:r w:rsidRPr="001A3D2B">
        <w:t>contact for patients with undifferentiated health problems in a primary care setting</w:t>
      </w:r>
      <w:r w:rsidR="005853A9">
        <w:t xml:space="preserve"> and </w:t>
      </w:r>
      <w:r w:rsidRPr="001A3D2B">
        <w:t>providing data on one or more</w:t>
      </w:r>
      <w:r w:rsidR="00427468">
        <w:t xml:space="preserve"> of </w:t>
      </w:r>
      <w:r w:rsidR="003A1917">
        <w:t xml:space="preserve">the </w:t>
      </w:r>
      <w:r w:rsidRPr="001A3D2B">
        <w:t>following outcomes: patient satisfaction, health status, costs,</w:t>
      </w:r>
      <w:r w:rsidR="005853A9">
        <w:t xml:space="preserve"> and </w:t>
      </w:r>
      <w:r w:rsidRPr="001A3D2B">
        <w:t>process</w:t>
      </w:r>
      <w:r w:rsidR="00427468">
        <w:t xml:space="preserve"> of </w:t>
      </w:r>
      <w:r w:rsidRPr="001A3D2B">
        <w:t>care.</w:t>
      </w:r>
    </w:p>
    <w:p w:rsidR="003474F2" w:rsidRPr="001A3D2B" w:rsidRDefault="003474F2" w:rsidP="003474F2">
      <w:pPr>
        <w:pStyle w:val="a3"/>
      </w:pPr>
      <w:r w:rsidRPr="001A3D2B">
        <w:t>Results 11 trials</w:t>
      </w:r>
      <w:r w:rsidR="005853A9">
        <w:t xml:space="preserve"> and </w:t>
      </w:r>
      <w:r w:rsidRPr="001A3D2B">
        <w:t>23 observational studies met all</w:t>
      </w:r>
      <w:r w:rsidR="003A1917">
        <w:t xml:space="preserve"> the </w:t>
      </w:r>
      <w:r w:rsidRPr="001A3D2B">
        <w:t>inclusion criteria. Patients were more satisfied with care by a nurse practitioner (standardised mean difference 0.27, 95% confidence interval 0.07 to 0.47). No differences in health status were found. Nurse practitioners had longer consultations (weighted mean difference 3.67 minutes, 2.05 to 5.29)</w:t>
      </w:r>
      <w:r w:rsidR="005853A9">
        <w:t xml:space="preserve"> and </w:t>
      </w:r>
      <w:r w:rsidRPr="001A3D2B">
        <w:t>made more investigations (odds ratio 1.22, 1.02 to 1.46) than did doctors. No differences were found in prescriptions, return consultations, or referrals. Quality</w:t>
      </w:r>
      <w:r w:rsidR="00427468">
        <w:t xml:space="preserve"> of </w:t>
      </w:r>
      <w:r w:rsidRPr="001A3D2B">
        <w:t>care was in some ways better for nurse practitioner consultations.</w:t>
      </w:r>
    </w:p>
    <w:p w:rsidR="003474F2" w:rsidRPr="001A3D2B" w:rsidRDefault="003474F2" w:rsidP="003474F2">
      <w:pPr>
        <w:pStyle w:val="a3"/>
      </w:pPr>
      <w:r w:rsidRPr="001A3D2B">
        <w:t>Conclusion Increasing availability</w:t>
      </w:r>
      <w:r w:rsidR="00427468">
        <w:t xml:space="preserve"> of </w:t>
      </w:r>
      <w:r w:rsidRPr="001A3D2B">
        <w:t>nurse practitioners in primary care is likely to lead to high levels</w:t>
      </w:r>
      <w:r w:rsidR="00427468">
        <w:t xml:space="preserve"> of </w:t>
      </w:r>
      <w:r w:rsidRPr="001A3D2B">
        <w:t>patient satisfaction</w:t>
      </w:r>
      <w:r w:rsidR="005853A9">
        <w:t xml:space="preserve"> and </w:t>
      </w:r>
      <w:r w:rsidRPr="001A3D2B">
        <w:t>high quality care.</w:t>
      </w:r>
    </w:p>
    <w:p w:rsidR="003474F2" w:rsidRPr="001A3D2B" w:rsidRDefault="003474F2" w:rsidP="003474F2">
      <w:pPr>
        <w:pStyle w:val="a3"/>
      </w:pPr>
      <w:r w:rsidRPr="001A3D2B">
        <w:t>Keywords: Randomized Controlled Trial, Health Outcomes, Physicians</w:t>
      </w:r>
    </w:p>
    <w:p w:rsidR="003474F2" w:rsidRPr="001A3D2B" w:rsidRDefault="003474F2" w:rsidP="003474F2">
      <w:pPr>
        <w:pStyle w:val="a3"/>
      </w:pPr>
      <w:r w:rsidRPr="001A3D2B">
        <w:t>Whitten, P.S., Mair, F.S., Haycox, A., May, C.R., Williams, T.L.</w:t>
      </w:r>
      <w:r w:rsidR="005853A9">
        <w:t xml:space="preserve"> and </w:t>
      </w:r>
      <w:r w:rsidRPr="001A3D2B">
        <w:t>Hellmich, S. (2002), Systematic review</w:t>
      </w:r>
      <w:r w:rsidR="00427468">
        <w:t xml:space="preserve"> of </w:t>
      </w:r>
      <w:r w:rsidRPr="001A3D2B">
        <w:t>cost effectiveness studies</w:t>
      </w:r>
      <w:r w:rsidR="00427468">
        <w:t xml:space="preserve"> of </w:t>
      </w:r>
      <w:r w:rsidRPr="001A3D2B">
        <w:t xml:space="preserve">telemedicine interventions. </w:t>
      </w:r>
      <w:r w:rsidRPr="001A3D2B">
        <w:rPr>
          <w:i/>
          <w:iCs/>
        </w:rPr>
        <w:t>British Medical Journal</w:t>
      </w:r>
      <w:r w:rsidRPr="001A3D2B">
        <w:t xml:space="preserve">, </w:t>
      </w:r>
      <w:r w:rsidRPr="001A3D2B">
        <w:rPr>
          <w:b/>
          <w:bCs/>
        </w:rPr>
        <w:t>324</w:t>
      </w:r>
      <w:r w:rsidRPr="001A3D2B">
        <w:t xml:space="preserve"> (7351), 1434-1437.</w:t>
      </w:r>
    </w:p>
    <w:p w:rsidR="003474F2" w:rsidRPr="001A3D2B" w:rsidRDefault="003474F2" w:rsidP="003474F2">
      <w:pPr>
        <w:pStyle w:val="a3"/>
      </w:pPr>
      <w:r w:rsidRPr="001A3D2B">
        <w:t xml:space="preserve">Full Text: </w:t>
      </w:r>
      <w:hyperlink r:id="rId2027" w:history="1">
        <w:r w:rsidRPr="001A3D2B">
          <w:rPr>
            <w:rStyle w:val="a5"/>
          </w:rPr>
          <w:t>2002\Bri Med J324, 1434.pdf</w:t>
        </w:r>
      </w:hyperlink>
    </w:p>
    <w:p w:rsidR="003474F2" w:rsidRPr="001A3D2B" w:rsidRDefault="003474F2" w:rsidP="003474F2">
      <w:pPr>
        <w:pStyle w:val="a3"/>
      </w:pPr>
      <w:r w:rsidRPr="001A3D2B">
        <w:t>Abstract: Objectives To systematically review cost benefit studies</w:t>
      </w:r>
      <w:r w:rsidR="00427468">
        <w:t xml:space="preserve"> of </w:t>
      </w:r>
      <w:r w:rsidRPr="001A3D2B">
        <w:t>telemedicine.</w:t>
      </w:r>
    </w:p>
    <w:p w:rsidR="003474F2" w:rsidRPr="001A3D2B" w:rsidRDefault="003474F2" w:rsidP="003474F2">
      <w:pPr>
        <w:pStyle w:val="a3"/>
      </w:pPr>
      <w:r w:rsidRPr="001A3D2B">
        <w:lastRenderedPageBreak/>
        <w:t>Design Systematic review</w:t>
      </w:r>
      <w:r w:rsidR="00427468">
        <w:t xml:space="preserve"> of </w:t>
      </w:r>
      <w:r w:rsidRPr="001A3D2B">
        <w:t>English language, peer reviewed journal articles.</w:t>
      </w:r>
    </w:p>
    <w:p w:rsidR="003474F2" w:rsidRPr="001A3D2B" w:rsidRDefault="003474F2" w:rsidP="003474F2">
      <w:pPr>
        <w:pStyle w:val="a3"/>
      </w:pPr>
      <w:r w:rsidRPr="001A3D2B">
        <w:t>Data sources Searches</w:t>
      </w:r>
      <w:r w:rsidR="00427468">
        <w:t xml:space="preserve"> of </w:t>
      </w:r>
      <w:r w:rsidR="00D5664A">
        <w:t>MEDLINE</w:t>
      </w:r>
      <w:r w:rsidRPr="001A3D2B">
        <w:t>, Embase, ISI citation indexes,</w:t>
      </w:r>
      <w:r w:rsidR="005853A9">
        <w:t xml:space="preserve"> and </w:t>
      </w:r>
      <w:r w:rsidRPr="001A3D2B">
        <w:t>database</w:t>
      </w:r>
      <w:r w:rsidR="00427468">
        <w:t xml:space="preserve"> of </w:t>
      </w:r>
      <w:r w:rsidRPr="001A3D2B">
        <w:t>Telemedicine Information Exchange.</w:t>
      </w:r>
    </w:p>
    <w:p w:rsidR="003474F2" w:rsidRPr="001A3D2B" w:rsidRDefault="003474F2" w:rsidP="003474F2">
      <w:pPr>
        <w:pStyle w:val="a3"/>
      </w:pPr>
      <w:r w:rsidRPr="001A3D2B">
        <w:t>Studies selected 55</w:t>
      </w:r>
      <w:r w:rsidR="00427468">
        <w:t xml:space="preserve"> of </w:t>
      </w:r>
      <w:r w:rsidRPr="001A3D2B">
        <w:t>612 identified articles that presented actual cost benefit data.</w:t>
      </w:r>
    </w:p>
    <w:p w:rsidR="003474F2" w:rsidRPr="001A3D2B" w:rsidRDefault="003474F2" w:rsidP="003474F2">
      <w:pPr>
        <w:pStyle w:val="a3"/>
      </w:pPr>
      <w:r w:rsidRPr="001A3D2B">
        <w:t>Main outcome measures Scientific quality</w:t>
      </w:r>
      <w:r w:rsidR="00427468">
        <w:t xml:space="preserve"> of </w:t>
      </w:r>
      <w:r w:rsidRPr="001A3D2B">
        <w:t>reports assessed by use</w:t>
      </w:r>
      <w:r w:rsidR="00427468">
        <w:t xml:space="preserve"> of </w:t>
      </w:r>
      <w:r w:rsidRPr="001A3D2B">
        <w:t>an established instrument for adjudicating on</w:t>
      </w:r>
      <w:r w:rsidR="003A1917">
        <w:t xml:space="preserve"> the </w:t>
      </w:r>
      <w:r w:rsidRPr="001A3D2B">
        <w:t>quality</w:t>
      </w:r>
      <w:r w:rsidR="00427468">
        <w:t xml:space="preserve"> of </w:t>
      </w:r>
      <w:r w:rsidRPr="001A3D2B">
        <w:t>economic analyses.</w:t>
      </w:r>
    </w:p>
    <w:p w:rsidR="003474F2" w:rsidRPr="001A3D2B" w:rsidRDefault="003474F2" w:rsidP="003474F2">
      <w:pPr>
        <w:pStyle w:val="a3"/>
      </w:pPr>
      <w:r w:rsidRPr="001A3D2B">
        <w:t>Results 557 articles without cost data categorised by topic. 55 articles with data initially categorised by cost variables employed in</w:t>
      </w:r>
      <w:r w:rsidR="003A1917">
        <w:t xml:space="preserve"> the </w:t>
      </w:r>
      <w:r w:rsidRPr="001A3D2B">
        <w:t>study</w:t>
      </w:r>
      <w:r w:rsidR="005853A9">
        <w:t xml:space="preserve"> and </w:t>
      </w:r>
      <w:r w:rsidRPr="001A3D2B">
        <w:t>conclusions. Only 24/55 (44%) studies met quality criteria justifying inclusion in a quality review. 20/24 (83%) restricted to simple cost comparisons. No study used cost utility analysis,</w:t>
      </w:r>
      <w:r w:rsidR="003A1917">
        <w:t xml:space="preserve"> the </w:t>
      </w:r>
      <w:r w:rsidRPr="001A3D2B">
        <w:t>conventional means</w:t>
      </w:r>
      <w:r w:rsidR="00427468">
        <w:t xml:space="preserve"> of </w:t>
      </w:r>
      <w:r w:rsidRPr="001A3D2B">
        <w:t>establishing</w:t>
      </w:r>
      <w:r w:rsidR="003A1917">
        <w:t xml:space="preserve"> the </w:t>
      </w:r>
      <w:r w:rsidR="00700038">
        <w:t>‘</w:t>
      </w:r>
      <w:r w:rsidRPr="001A3D2B">
        <w:t>value for money</w:t>
      </w:r>
      <w:r w:rsidR="00700038">
        <w:t>’</w:t>
      </w:r>
      <w:r w:rsidRPr="001A3D2B">
        <w:t xml:space="preserve"> that a therapeutic intervention represents. Only 7/24 (29%) studies attempted to explore</w:t>
      </w:r>
      <w:r w:rsidR="003A1917">
        <w:t xml:space="preserve"> the </w:t>
      </w:r>
      <w:r w:rsidRPr="001A3D2B">
        <w:t>level</w:t>
      </w:r>
      <w:r w:rsidR="00427468">
        <w:t xml:space="preserve"> of </w:t>
      </w:r>
      <w:r w:rsidRPr="001A3D2B">
        <w:t>utilisation that would be needed for telemedicine services to compare favourably with traditionally organised health care. None addressed this question in sufficient detail to adequately answer it. 15/24 (62.5%)</w:t>
      </w:r>
      <w:r w:rsidR="00427468">
        <w:t xml:space="preserve"> of </w:t>
      </w:r>
      <w:r w:rsidRPr="001A3D2B">
        <w:t>articles reviewed here provided no details</w:t>
      </w:r>
      <w:r w:rsidR="00427468">
        <w:t xml:space="preserve"> of </w:t>
      </w:r>
      <w:r w:rsidRPr="001A3D2B">
        <w:t>sensitivity analysis, a method all economic analyses should incorporate.</w:t>
      </w:r>
    </w:p>
    <w:p w:rsidR="003474F2" w:rsidRPr="001A3D2B" w:rsidRDefault="003474F2" w:rsidP="003474F2">
      <w:pPr>
        <w:pStyle w:val="a3"/>
      </w:pPr>
      <w:r w:rsidRPr="001A3D2B">
        <w:t>Conclusion T here is no good evidence that telemedicine is a cost effective means</w:t>
      </w:r>
      <w:r w:rsidR="00427468">
        <w:t xml:space="preserve"> of </w:t>
      </w:r>
      <w:r w:rsidRPr="001A3D2B">
        <w:t>delivering health care.</w:t>
      </w:r>
    </w:p>
    <w:p w:rsidR="003474F2" w:rsidRPr="001A3D2B" w:rsidRDefault="003474F2" w:rsidP="003474F2">
      <w:pPr>
        <w:pStyle w:val="a3"/>
      </w:pPr>
      <w:r w:rsidRPr="001A3D2B">
        <w:t>? Bartlett, C., Sterne, J.</w:t>
      </w:r>
      <w:r w:rsidR="005853A9">
        <w:t xml:space="preserve"> and </w:t>
      </w:r>
      <w:r w:rsidRPr="001A3D2B">
        <w:t>Egger, M. (2002), What is newsworthy? Longitudinal study</w:t>
      </w:r>
      <w:r w:rsidR="00427468">
        <w:t xml:space="preserve"> of </w:t>
      </w:r>
      <w:r w:rsidR="003A1917">
        <w:t xml:space="preserve">the </w:t>
      </w:r>
      <w:r w:rsidRPr="001A3D2B">
        <w:t>reporting</w:t>
      </w:r>
      <w:r w:rsidR="00427468">
        <w:t xml:space="preserve"> of </w:t>
      </w:r>
      <w:r w:rsidRPr="001A3D2B">
        <w:t xml:space="preserve">medical research in two British newspapers. </w:t>
      </w:r>
      <w:r w:rsidRPr="001A3D2B">
        <w:rPr>
          <w:i/>
          <w:iCs/>
        </w:rPr>
        <w:t>British Medical Journal</w:t>
      </w:r>
      <w:r w:rsidRPr="001A3D2B">
        <w:t xml:space="preserve">, </w:t>
      </w:r>
      <w:r w:rsidRPr="001A3D2B">
        <w:rPr>
          <w:b/>
          <w:bCs/>
        </w:rPr>
        <w:t>325</w:t>
      </w:r>
      <w:r w:rsidRPr="001A3D2B">
        <w:t xml:space="preserve"> (7355), 81-84.</w:t>
      </w:r>
    </w:p>
    <w:p w:rsidR="003474F2" w:rsidRPr="001A3D2B" w:rsidRDefault="003474F2" w:rsidP="003474F2">
      <w:pPr>
        <w:pStyle w:val="a3"/>
      </w:pPr>
      <w:r w:rsidRPr="001A3D2B">
        <w:t xml:space="preserve">Full Text: </w:t>
      </w:r>
      <w:hyperlink r:id="rId2028" w:history="1">
        <w:r w:rsidRPr="001A3D2B">
          <w:rPr>
            <w:rStyle w:val="a5"/>
          </w:rPr>
          <w:t>2002\Bri Med J325, 81.pdf</w:t>
        </w:r>
      </w:hyperlink>
    </w:p>
    <w:p w:rsidR="003474F2" w:rsidRPr="001A3D2B" w:rsidRDefault="003474F2" w:rsidP="003474F2">
      <w:pPr>
        <w:pStyle w:val="a3"/>
      </w:pPr>
      <w:r w:rsidRPr="001A3D2B">
        <w:t>Abstract: Objective To assess</w:t>
      </w:r>
      <w:r w:rsidR="003A1917">
        <w:t xml:space="preserve"> the </w:t>
      </w:r>
      <w:r w:rsidRPr="001A3D2B">
        <w:t>Characteristics</w:t>
      </w:r>
      <w:r w:rsidR="00427468">
        <w:t xml:space="preserve"> of </w:t>
      </w:r>
      <w:r w:rsidRPr="001A3D2B">
        <w:t>medical research that is press released by general medical journals</w:t>
      </w:r>
      <w:r w:rsidR="005853A9">
        <w:t xml:space="preserve"> and </w:t>
      </w:r>
      <w:r w:rsidRPr="001A3D2B">
        <w:t>reported in newspapers.</w:t>
      </w:r>
    </w:p>
    <w:p w:rsidR="003474F2" w:rsidRPr="001A3D2B" w:rsidRDefault="003474F2" w:rsidP="003474F2">
      <w:pPr>
        <w:pStyle w:val="a3"/>
      </w:pPr>
      <w:r w:rsidRPr="001A3D2B">
        <w:t>Design Longitudinal study.</w:t>
      </w:r>
    </w:p>
    <w:p w:rsidR="003474F2" w:rsidRPr="001A3D2B" w:rsidRDefault="003474F2" w:rsidP="003474F2">
      <w:pPr>
        <w:pStyle w:val="a3"/>
      </w:pPr>
      <w:r w:rsidRPr="001A3D2B">
        <w:t>Data sources All original research articles published in Lancet</w:t>
      </w:r>
      <w:r w:rsidR="005853A9">
        <w:t xml:space="preserve"> and </w:t>
      </w:r>
      <w:r w:rsidRPr="001A3D2B">
        <w:t>BAY during 1999</w:t>
      </w:r>
      <w:r w:rsidR="005853A9">
        <w:t xml:space="preserve"> and </w:t>
      </w:r>
      <w:r w:rsidRPr="001A3D2B">
        <w:t>2000.</w:t>
      </w:r>
    </w:p>
    <w:p w:rsidR="003474F2" w:rsidRPr="001A3D2B" w:rsidRDefault="003474F2" w:rsidP="003474F2">
      <w:pPr>
        <w:pStyle w:val="a3"/>
      </w:pPr>
      <w:r w:rsidRPr="001A3D2B">
        <w:t>Main outcome measures Inclusion</w:t>
      </w:r>
      <w:r w:rsidR="00427468">
        <w:t xml:space="preserve"> of </w:t>
      </w:r>
      <w:r w:rsidRPr="001A3D2B">
        <w:t>articles in Lancet or BAY press releases,</w:t>
      </w:r>
      <w:r w:rsidR="005853A9">
        <w:t xml:space="preserve"> and </w:t>
      </w:r>
      <w:r w:rsidRPr="001A3D2B">
        <w:t>reporting</w:t>
      </w:r>
      <w:r w:rsidR="00427468">
        <w:t xml:space="preserve"> of </w:t>
      </w:r>
      <w:r w:rsidRPr="001A3D2B">
        <w:t>articles in Times or Sun newspapers.</w:t>
      </w:r>
    </w:p>
    <w:p w:rsidR="003474F2" w:rsidRPr="001A3D2B" w:rsidRDefault="003474F2" w:rsidP="003474F2">
      <w:pPr>
        <w:pStyle w:val="a3"/>
      </w:pPr>
      <w:r w:rsidRPr="001A3D2B">
        <w:t>Results</w:t>
      </w:r>
      <w:r w:rsidR="00427468">
        <w:t xml:space="preserve"> of </w:t>
      </w:r>
      <w:r w:rsidRPr="001A3D2B">
        <w:t>1193 original research articles, 517 (43%) were highlighted in a press release</w:t>
      </w:r>
      <w:r w:rsidR="005853A9">
        <w:t xml:space="preserve"> and </w:t>
      </w:r>
      <w:r w:rsidRPr="001A3D2B">
        <w:t>81 (7%) were reported in one or both newspapers. All articles covered in newspapers had been press released</w:t>
      </w:r>
      <w:r w:rsidR="00A37C1D">
        <w:t>. The</w:t>
      </w:r>
      <w:r w:rsidR="003A1917">
        <w:t xml:space="preserve"> </w:t>
      </w:r>
      <w:r w:rsidRPr="001A3D2B">
        <w:t>probability</w:t>
      </w:r>
      <w:r w:rsidR="00427468">
        <w:t xml:space="preserve"> of </w:t>
      </w:r>
      <w:r w:rsidRPr="001A3D2B">
        <w:t>inclusion in press releases was similar for observational studies</w:t>
      </w:r>
      <w:r w:rsidR="005853A9">
        <w:t xml:space="preserve"> and </w:t>
      </w:r>
      <w:r w:rsidRPr="001A3D2B">
        <w:t>randomised controlled trials, but trials were less likely to be covered in</w:t>
      </w:r>
      <w:r w:rsidR="003A1917">
        <w:t xml:space="preserve"> the </w:t>
      </w:r>
      <w:r w:rsidRPr="001A3D2B">
        <w:t>newspapers (odds ratio 0.15 (95% confidence interval 0.06 to 0.37)). Good news</w:t>
      </w:r>
      <w:r w:rsidR="005853A9">
        <w:t xml:space="preserve"> and </w:t>
      </w:r>
      <w:r w:rsidRPr="001A3D2B">
        <w:t>bad news were equally likely to be press released, but bad news was snore likely to be reported in newspapers (1.74 (1.07 to 2.83)). Studies</w:t>
      </w:r>
      <w:r w:rsidR="00427468">
        <w:t xml:space="preserve"> of </w:t>
      </w:r>
      <w:r w:rsidRPr="001A3D2B">
        <w:t>women</w:t>
      </w:r>
      <w:r w:rsidR="00700038">
        <w:t>’</w:t>
      </w:r>
      <w:r w:rsidR="00C13DDC">
        <w:t>s</w:t>
      </w:r>
      <w:r w:rsidRPr="001A3D2B">
        <w:t xml:space="preserve"> health, reproduction,</w:t>
      </w:r>
      <w:r w:rsidR="005853A9">
        <w:t xml:space="preserve"> and </w:t>
      </w:r>
      <w:r w:rsidRPr="001A3D2B">
        <w:t>cancer were more likely to be press released acid covered in newspapers. Studies from industrialised countries other than Britain were less likely to be reported in newspapers (0.51 (0.31 to 0.82)),</w:t>
      </w:r>
      <w:r w:rsidR="005853A9">
        <w:t xml:space="preserve"> and </w:t>
      </w:r>
      <w:r w:rsidRPr="001A3D2B">
        <w:t xml:space="preserve">no studies </w:t>
      </w:r>
      <w:r w:rsidRPr="001A3D2B">
        <w:lastRenderedPageBreak/>
        <w:t>from developing countries were covered.</w:t>
      </w:r>
    </w:p>
    <w:p w:rsidR="003474F2" w:rsidRPr="001A3D2B" w:rsidRDefault="003474F2" w:rsidP="003474F2">
      <w:pPr>
        <w:pStyle w:val="a3"/>
      </w:pPr>
      <w:r w:rsidRPr="001A3D2B">
        <w:t>Conclusions Characteristics</w:t>
      </w:r>
      <w:r w:rsidR="00427468">
        <w:t xml:space="preserve"> of </w:t>
      </w:r>
      <w:r w:rsidRPr="001A3D2B">
        <w:t>articles were more strongly associated with selection for reporting in newspapers than with selection for inclusion in press releases, although each stage influenced</w:t>
      </w:r>
      <w:r w:rsidR="003A1917">
        <w:t xml:space="preserve"> the </w:t>
      </w:r>
      <w:r w:rsidRPr="001A3D2B">
        <w:t>reporting process. Newspapers underreported randomised trials, emphasised bad news from observational studies,</w:t>
      </w:r>
      <w:r w:rsidR="005853A9">
        <w:t xml:space="preserve"> and </w:t>
      </w:r>
      <w:r w:rsidRPr="001A3D2B">
        <w:t>ignored research from developing countries.</w:t>
      </w:r>
    </w:p>
    <w:p w:rsidR="003474F2" w:rsidRPr="001A3D2B" w:rsidRDefault="003474F2" w:rsidP="003474F2">
      <w:pPr>
        <w:pStyle w:val="a3"/>
      </w:pPr>
      <w:r w:rsidRPr="001A3D2B">
        <w:t>Keywords: Random Allocation, Clinical-Trial, Articles, Leukemia, Health, Participation, Journals, Coverage, Parents, Babies</w:t>
      </w:r>
    </w:p>
    <w:p w:rsidR="003474F2" w:rsidRPr="001A3D2B" w:rsidRDefault="003474F2" w:rsidP="003474F2">
      <w:pPr>
        <w:pStyle w:val="a3"/>
      </w:pPr>
      <w:r w:rsidRPr="001A3D2B">
        <w:t>? Joseph, K.S. (2003), Quality</w:t>
      </w:r>
      <w:r w:rsidR="00427468">
        <w:t xml:space="preserve"> of </w:t>
      </w:r>
      <w:r w:rsidRPr="001A3D2B">
        <w:t>impact factors</w:t>
      </w:r>
      <w:r w:rsidR="00427468">
        <w:t xml:space="preserve"> of </w:t>
      </w:r>
      <w:r w:rsidRPr="001A3D2B">
        <w:t xml:space="preserve">general medical journals. </w:t>
      </w:r>
      <w:r w:rsidRPr="001A3D2B">
        <w:rPr>
          <w:i/>
          <w:iCs/>
        </w:rPr>
        <w:t>British Medical Journal</w:t>
      </w:r>
      <w:r w:rsidRPr="001A3D2B">
        <w:t xml:space="preserve">, </w:t>
      </w:r>
      <w:r w:rsidRPr="001A3D2B">
        <w:rPr>
          <w:b/>
          <w:bCs/>
        </w:rPr>
        <w:t>326</w:t>
      </w:r>
      <w:r w:rsidRPr="001A3D2B">
        <w:t xml:space="preserve"> (7383), </w:t>
      </w:r>
      <w:r w:rsidR="00081EDC" w:rsidRPr="001A3D2B">
        <w:t>28</w:t>
      </w:r>
      <w:r w:rsidRPr="001A3D2B">
        <w:t>3.</w:t>
      </w:r>
    </w:p>
    <w:p w:rsidR="003474F2" w:rsidRPr="001A3D2B" w:rsidRDefault="003474F2" w:rsidP="003474F2">
      <w:pPr>
        <w:pStyle w:val="a3"/>
      </w:pPr>
      <w:r w:rsidRPr="001A3D2B">
        <w:t xml:space="preserve">Full Text: </w:t>
      </w:r>
      <w:hyperlink r:id="rId2029" w:history="1">
        <w:r w:rsidR="00081EDC" w:rsidRPr="001A3D2B">
          <w:rPr>
            <w:rStyle w:val="a5"/>
          </w:rPr>
          <w:t>2003\Bri Med J326, 283.pdf</w:t>
        </w:r>
      </w:hyperlink>
    </w:p>
    <w:p w:rsidR="003474F2" w:rsidRPr="001A3D2B" w:rsidRDefault="003474F2" w:rsidP="003474F2">
      <w:pPr>
        <w:pStyle w:val="a3"/>
      </w:pPr>
      <w:r w:rsidRPr="001A3D2B">
        <w:t xml:space="preserve">? Roberts, I.G. (2003), How political should a general medical journal be? Medical journals may have had role in justifying war. </w:t>
      </w:r>
      <w:r w:rsidRPr="001A3D2B">
        <w:rPr>
          <w:i/>
          <w:iCs/>
        </w:rPr>
        <w:t>British Medical Journal</w:t>
      </w:r>
      <w:r w:rsidRPr="001A3D2B">
        <w:t xml:space="preserve">, </w:t>
      </w:r>
      <w:r w:rsidRPr="001A3D2B">
        <w:rPr>
          <w:b/>
          <w:bCs/>
        </w:rPr>
        <w:t>326</w:t>
      </w:r>
      <w:r w:rsidRPr="001A3D2B">
        <w:t xml:space="preserve"> (7393), 820.</w:t>
      </w:r>
    </w:p>
    <w:p w:rsidR="003474F2" w:rsidRPr="001A3D2B" w:rsidRDefault="003474F2" w:rsidP="003474F2">
      <w:pPr>
        <w:pStyle w:val="a3"/>
      </w:pPr>
      <w:r w:rsidRPr="001A3D2B">
        <w:t xml:space="preserve">Full Text: </w:t>
      </w:r>
      <w:hyperlink r:id="rId2030" w:history="1">
        <w:r w:rsidRPr="001A3D2B">
          <w:rPr>
            <w:rStyle w:val="a5"/>
          </w:rPr>
          <w:t>2003\Bri Med J326, 820.pdf</w:t>
        </w:r>
      </w:hyperlink>
    </w:p>
    <w:p w:rsidR="003474F2" w:rsidRPr="001A3D2B" w:rsidRDefault="003474F2" w:rsidP="003474F2">
      <w:pPr>
        <w:pStyle w:val="a3"/>
      </w:pPr>
      <w:r w:rsidRPr="001A3D2B">
        <w:t>? Porta, M. (2003), Quality</w:t>
      </w:r>
      <w:r w:rsidR="00427468">
        <w:t xml:space="preserve"> of </w:t>
      </w:r>
      <w:r w:rsidRPr="001A3D2B">
        <w:t>impact factors</w:t>
      </w:r>
      <w:r w:rsidR="00427468">
        <w:t xml:space="preserve"> of </w:t>
      </w:r>
      <w:r w:rsidRPr="001A3D2B">
        <w:t>general medical journals - Quality matters -</w:t>
      </w:r>
      <w:r w:rsidR="005853A9">
        <w:t xml:space="preserve"> and </w:t>
      </w:r>
      <w:r w:rsidR="003A1917">
        <w:t xml:space="preserve">the </w:t>
      </w:r>
      <w:r w:rsidRPr="001A3D2B">
        <w:t>choice</w:t>
      </w:r>
      <w:r w:rsidR="00427468">
        <w:t xml:space="preserve"> of </w:t>
      </w:r>
      <w:r w:rsidRPr="001A3D2B">
        <w:t xml:space="preserve">indicator matters too. </w:t>
      </w:r>
      <w:r w:rsidRPr="001A3D2B">
        <w:rPr>
          <w:i/>
          <w:iCs/>
        </w:rPr>
        <w:t>British Medical Journal</w:t>
      </w:r>
      <w:r w:rsidRPr="001A3D2B">
        <w:t xml:space="preserve">, </w:t>
      </w:r>
      <w:r w:rsidRPr="001A3D2B">
        <w:rPr>
          <w:b/>
          <w:bCs/>
        </w:rPr>
        <w:t>326</w:t>
      </w:r>
      <w:r w:rsidRPr="001A3D2B">
        <w:t xml:space="preserve"> (7395), 931.</w:t>
      </w:r>
    </w:p>
    <w:p w:rsidR="008F3178" w:rsidRPr="001A3D2B" w:rsidRDefault="008F3178" w:rsidP="008F3178">
      <w:pPr>
        <w:pStyle w:val="a3"/>
      </w:pPr>
      <w:r w:rsidRPr="001A3D2B">
        <w:t xml:space="preserve">Full Text: </w:t>
      </w:r>
      <w:hyperlink r:id="rId2031" w:history="1">
        <w:r w:rsidRPr="001A3D2B">
          <w:rPr>
            <w:rStyle w:val="a5"/>
          </w:rPr>
          <w:t>2003\Bri Med J326, 931.pdf</w:t>
        </w:r>
      </w:hyperlink>
    </w:p>
    <w:p w:rsidR="003474F2" w:rsidRPr="001A3D2B" w:rsidRDefault="003474F2" w:rsidP="003474F2">
      <w:pPr>
        <w:pStyle w:val="a3"/>
      </w:pPr>
      <w:r w:rsidRPr="001A3D2B">
        <w:t>? Liu, J.L.Y. (2003), Quality</w:t>
      </w:r>
      <w:r w:rsidR="00427468">
        <w:t xml:space="preserve"> of </w:t>
      </w:r>
      <w:r w:rsidRPr="001A3D2B">
        <w:t>impact factors</w:t>
      </w:r>
      <w:r w:rsidR="00427468">
        <w:t xml:space="preserve"> of </w:t>
      </w:r>
      <w:r w:rsidRPr="001A3D2B">
        <w:t>general medical journals - Research quality can be assessed by using combination</w:t>
      </w:r>
      <w:r w:rsidR="00427468">
        <w:t xml:space="preserve"> of </w:t>
      </w:r>
      <w:r w:rsidRPr="001A3D2B">
        <w:t xml:space="preserve">approaches. </w:t>
      </w:r>
      <w:r w:rsidRPr="001A3D2B">
        <w:rPr>
          <w:i/>
          <w:iCs/>
        </w:rPr>
        <w:t>British Medical Journal</w:t>
      </w:r>
      <w:r w:rsidRPr="001A3D2B">
        <w:t xml:space="preserve">, </w:t>
      </w:r>
      <w:r w:rsidRPr="001A3D2B">
        <w:rPr>
          <w:b/>
          <w:bCs/>
        </w:rPr>
        <w:t>326</w:t>
      </w:r>
      <w:r w:rsidRPr="001A3D2B">
        <w:t xml:space="preserve"> (7395), 931-932.</w:t>
      </w:r>
    </w:p>
    <w:p w:rsidR="007B3078" w:rsidRPr="001A3D2B" w:rsidRDefault="007B3078" w:rsidP="007B3078">
      <w:pPr>
        <w:pStyle w:val="a3"/>
      </w:pPr>
      <w:r w:rsidRPr="001A3D2B">
        <w:t xml:space="preserve">Full Text: </w:t>
      </w:r>
      <w:hyperlink r:id="rId2032" w:history="1">
        <w:r w:rsidRPr="001A3D2B">
          <w:rPr>
            <w:rStyle w:val="a5"/>
          </w:rPr>
          <w:t>2003\Bri Med J326, 931.pdf</w:t>
        </w:r>
      </w:hyperlink>
    </w:p>
    <w:p w:rsidR="00255950" w:rsidRDefault="00255950" w:rsidP="00255950">
      <w:pPr>
        <w:pStyle w:val="a3"/>
        <w:rPr>
          <w:kern w:val="0"/>
        </w:rPr>
      </w:pPr>
      <w:r>
        <w:rPr>
          <w:rFonts w:hint="eastAsia"/>
          <w:kern w:val="0"/>
        </w:rPr>
        <w:t xml:space="preserve">? </w:t>
      </w:r>
      <w:r>
        <w:rPr>
          <w:kern w:val="0"/>
        </w:rPr>
        <w:t>Rose, D., Wykes, T., Leese, M., Bindman, J.</w:t>
      </w:r>
      <w:r w:rsidR="005853A9">
        <w:rPr>
          <w:kern w:val="0"/>
        </w:rPr>
        <w:t xml:space="preserve"> and </w:t>
      </w:r>
      <w:r>
        <w:rPr>
          <w:kern w:val="0"/>
        </w:rPr>
        <w:t>Fleischmann, P. (2003), Patients</w:t>
      </w:r>
      <w:r w:rsidR="00700038">
        <w:rPr>
          <w:kern w:val="0"/>
        </w:rPr>
        <w:t>’</w:t>
      </w:r>
      <w:r>
        <w:rPr>
          <w:kern w:val="0"/>
        </w:rPr>
        <w:t xml:space="preserve"> perspectives on electroconvulsive therapy: Systematic review. </w:t>
      </w:r>
      <w:r>
        <w:rPr>
          <w:i/>
          <w:iCs/>
          <w:kern w:val="0"/>
        </w:rPr>
        <w:t>British Medical Journal</w:t>
      </w:r>
      <w:r>
        <w:rPr>
          <w:kern w:val="0"/>
        </w:rPr>
        <w:t xml:space="preserve">, </w:t>
      </w:r>
      <w:r>
        <w:rPr>
          <w:b/>
          <w:bCs/>
          <w:kern w:val="0"/>
        </w:rPr>
        <w:t>326</w:t>
      </w:r>
      <w:r>
        <w:rPr>
          <w:kern w:val="0"/>
        </w:rPr>
        <w:t xml:space="preserve"> (7403), 1363-1365.</w:t>
      </w:r>
    </w:p>
    <w:p w:rsidR="00C13DDC" w:rsidRPr="001A3D2B" w:rsidRDefault="00C13DDC" w:rsidP="00C13DDC">
      <w:pPr>
        <w:pStyle w:val="a3"/>
      </w:pPr>
      <w:r w:rsidRPr="001A3D2B">
        <w:t xml:space="preserve">Full Text: </w:t>
      </w:r>
      <w:hyperlink r:id="rId2033" w:history="1">
        <w:r w:rsidRPr="008623B0">
          <w:rPr>
            <w:rStyle w:val="a5"/>
          </w:rPr>
          <w:t>2003\Bri Med J326, 1363.pdf</w:t>
        </w:r>
      </w:hyperlink>
    </w:p>
    <w:p w:rsidR="00255950" w:rsidRDefault="00255950" w:rsidP="00255950">
      <w:pPr>
        <w:pStyle w:val="a3"/>
        <w:rPr>
          <w:kern w:val="0"/>
        </w:rPr>
      </w:pPr>
      <w:r>
        <w:rPr>
          <w:kern w:val="0"/>
        </w:rPr>
        <w:t>Abstract: Objective To ascertain patients</w:t>
      </w:r>
      <w:r w:rsidR="00700038">
        <w:rPr>
          <w:kern w:val="0"/>
        </w:rPr>
        <w:t>’</w:t>
      </w:r>
      <w:r>
        <w:rPr>
          <w:kern w:val="0"/>
        </w:rPr>
        <w:t xml:space="preserve"> views on</w:t>
      </w:r>
      <w:r w:rsidR="003A1917">
        <w:rPr>
          <w:kern w:val="0"/>
        </w:rPr>
        <w:t xml:space="preserve"> the </w:t>
      </w:r>
      <w:r>
        <w:rPr>
          <w:kern w:val="0"/>
        </w:rPr>
        <w:t>benefits</w:t>
      </w:r>
      <w:r w:rsidR="00427468">
        <w:rPr>
          <w:kern w:val="0"/>
        </w:rPr>
        <w:t xml:space="preserve"> of </w:t>
      </w:r>
      <w:r w:rsidR="005853A9">
        <w:rPr>
          <w:kern w:val="0"/>
        </w:rPr>
        <w:t xml:space="preserve">and </w:t>
      </w:r>
      <w:r>
        <w:rPr>
          <w:kern w:val="0"/>
        </w:rPr>
        <w:t xml:space="preserve">possible memory loss from electroconvulsive therapy. Design Descriptive systematic review. Data sources Psychinfo,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Social Science Citation Index databases,</w:t>
      </w:r>
      <w:r w:rsidR="005853A9">
        <w:rPr>
          <w:kern w:val="0"/>
        </w:rPr>
        <w:t xml:space="preserve"> and </w:t>
      </w:r>
      <w:r>
        <w:rPr>
          <w:kern w:val="0"/>
        </w:rPr>
        <w:t>bibliographies. Study selection Articles with patients</w:t>
      </w:r>
      <w:r w:rsidR="00700038">
        <w:rPr>
          <w:kern w:val="0"/>
        </w:rPr>
        <w:t>’</w:t>
      </w:r>
      <w:r>
        <w:rPr>
          <w:kern w:val="0"/>
        </w:rPr>
        <w:t xml:space="preserve"> views after treatment with electroconvulsive therapy. Data extraction 26 studies carried out by clinicians</w:t>
      </w:r>
      <w:r w:rsidR="005853A9">
        <w:rPr>
          <w:kern w:val="0"/>
        </w:rPr>
        <w:t xml:space="preserve"> and </w:t>
      </w:r>
      <w:r>
        <w:rPr>
          <w:kern w:val="0"/>
        </w:rPr>
        <w:t>nine reports</w:t>
      </w:r>
      <w:r w:rsidR="00427468">
        <w:rPr>
          <w:kern w:val="0"/>
        </w:rPr>
        <w:t xml:space="preserve"> of </w:t>
      </w:r>
      <w:r>
        <w:rPr>
          <w:kern w:val="0"/>
        </w:rPr>
        <w:t>work undertaken by patients or with</w:t>
      </w:r>
      <w:r w:rsidR="003A1917">
        <w:rPr>
          <w:kern w:val="0"/>
        </w:rPr>
        <w:t xml:space="preserve"> the </w:t>
      </w:r>
      <w:r>
        <w:rPr>
          <w:kern w:val="0"/>
        </w:rPr>
        <w:t>collaboration</w:t>
      </w:r>
      <w:r w:rsidR="00427468">
        <w:rPr>
          <w:kern w:val="0"/>
        </w:rPr>
        <w:t xml:space="preserve"> of </w:t>
      </w:r>
      <w:r>
        <w:rPr>
          <w:kern w:val="0"/>
        </w:rPr>
        <w:t>patients were, identified; 16 studies investigated</w:t>
      </w:r>
      <w:r w:rsidR="003A1917">
        <w:rPr>
          <w:kern w:val="0"/>
        </w:rPr>
        <w:t xml:space="preserve"> the </w:t>
      </w:r>
      <w:r>
        <w:rPr>
          <w:kern w:val="0"/>
        </w:rPr>
        <w:t>perceived benefit</w:t>
      </w:r>
      <w:r w:rsidR="00427468">
        <w:rPr>
          <w:kern w:val="0"/>
        </w:rPr>
        <w:t xml:space="preserve"> of </w:t>
      </w:r>
      <w:r>
        <w:rPr>
          <w:kern w:val="0"/>
        </w:rPr>
        <w:t>electroconvulsive therapy</w:t>
      </w:r>
      <w:r w:rsidR="005853A9">
        <w:rPr>
          <w:kern w:val="0"/>
        </w:rPr>
        <w:t xml:space="preserve"> and </w:t>
      </w:r>
      <w:r>
        <w:rPr>
          <w:kern w:val="0"/>
        </w:rPr>
        <w:t>seven met criteria for investigating memory loss. Data synthesis</w:t>
      </w:r>
      <w:r w:rsidR="003A1917">
        <w:rPr>
          <w:kern w:val="0"/>
        </w:rPr>
        <w:t xml:space="preserve"> the </w:t>
      </w:r>
      <w:r>
        <w:rPr>
          <w:kern w:val="0"/>
        </w:rPr>
        <w:t>studies showed heterogeneity</w:t>
      </w:r>
      <w:r w:rsidR="00A37C1D">
        <w:rPr>
          <w:kern w:val="0"/>
        </w:rPr>
        <w:t>. The</w:t>
      </w:r>
      <w:r w:rsidR="003A1917">
        <w:rPr>
          <w:kern w:val="0"/>
        </w:rPr>
        <w:t xml:space="preserve"> </w:t>
      </w:r>
      <w:r>
        <w:rPr>
          <w:kern w:val="0"/>
        </w:rPr>
        <w:t>methods used were associated with levels</w:t>
      </w:r>
      <w:r w:rsidR="00427468">
        <w:rPr>
          <w:kern w:val="0"/>
        </w:rPr>
        <w:t xml:space="preserve"> of </w:t>
      </w:r>
      <w:r>
        <w:rPr>
          <w:kern w:val="0"/>
        </w:rPr>
        <w:t>perceived benefit. At least one third</w:t>
      </w:r>
      <w:r w:rsidR="00427468">
        <w:rPr>
          <w:kern w:val="0"/>
        </w:rPr>
        <w:t xml:space="preserve"> of </w:t>
      </w:r>
      <w:r>
        <w:rPr>
          <w:kern w:val="0"/>
        </w:rPr>
        <w:t>patients reported persistent memory loss. Conclusions</w:t>
      </w:r>
      <w:r w:rsidR="003A1917">
        <w:rPr>
          <w:kern w:val="0"/>
        </w:rPr>
        <w:t xml:space="preserve"> the </w:t>
      </w:r>
      <w:r>
        <w:rPr>
          <w:kern w:val="0"/>
        </w:rPr>
        <w:t>current statement for patients from</w:t>
      </w:r>
      <w:r w:rsidR="003A1917">
        <w:rPr>
          <w:kern w:val="0"/>
        </w:rPr>
        <w:t xml:space="preserve"> the </w:t>
      </w:r>
      <w:r>
        <w:rPr>
          <w:kern w:val="0"/>
        </w:rPr>
        <w:t>Royal College</w:t>
      </w:r>
      <w:r w:rsidR="00427468">
        <w:rPr>
          <w:kern w:val="0"/>
        </w:rPr>
        <w:t xml:space="preserve"> of </w:t>
      </w:r>
      <w:r>
        <w:rPr>
          <w:kern w:val="0"/>
        </w:rPr>
        <w:t>Psychiatrists that over 80%</w:t>
      </w:r>
      <w:r w:rsidR="00427468">
        <w:rPr>
          <w:kern w:val="0"/>
        </w:rPr>
        <w:t xml:space="preserve"> of </w:t>
      </w:r>
      <w:r>
        <w:rPr>
          <w:kern w:val="0"/>
        </w:rPr>
        <w:t>patients are satisfied with electroconvulsive therapy</w:t>
      </w:r>
      <w:r w:rsidR="005853A9">
        <w:rPr>
          <w:kern w:val="0"/>
        </w:rPr>
        <w:t xml:space="preserve"> </w:t>
      </w:r>
      <w:r w:rsidR="005853A9">
        <w:rPr>
          <w:kern w:val="0"/>
        </w:rPr>
        <w:lastRenderedPageBreak/>
        <w:t xml:space="preserve">and </w:t>
      </w:r>
      <w:r>
        <w:rPr>
          <w:kern w:val="0"/>
        </w:rPr>
        <w:t>that memory loss is not clinically important is unfounded.</w:t>
      </w:r>
    </w:p>
    <w:p w:rsidR="00255950" w:rsidRDefault="00255950" w:rsidP="00255950">
      <w:pPr>
        <w:pStyle w:val="a3"/>
        <w:rPr>
          <w:kern w:val="0"/>
        </w:rPr>
      </w:pPr>
      <w:r>
        <w:rPr>
          <w:kern w:val="0"/>
        </w:rPr>
        <w:t xml:space="preserve">Keywords: Articles, Attitudes, Citation, Collaboration, Databases, ECT, Electroconvulsive Therapy, Memory, Review, Satisfaction, Science, Science Citation Index, Systematic, Systematic Review, Therapy, Treatment, </w:t>
      </w:r>
      <w:r w:rsidR="00D5664A">
        <w:rPr>
          <w:kern w:val="0"/>
        </w:rPr>
        <w:t>Web</w:t>
      </w:r>
      <w:r w:rsidR="00427468">
        <w:rPr>
          <w:kern w:val="0"/>
        </w:rPr>
        <w:t xml:space="preserve"> of </w:t>
      </w:r>
      <w:r w:rsidR="00D5664A">
        <w:rPr>
          <w:kern w:val="0"/>
        </w:rPr>
        <w:t>Science</w:t>
      </w:r>
    </w:p>
    <w:p w:rsidR="00255950" w:rsidRDefault="00255950" w:rsidP="00255950">
      <w:pPr>
        <w:pStyle w:val="a3"/>
        <w:rPr>
          <w:kern w:val="0"/>
        </w:rPr>
      </w:pPr>
      <w:r>
        <w:rPr>
          <w:rFonts w:hint="eastAsia"/>
          <w:kern w:val="0"/>
        </w:rPr>
        <w:t xml:space="preserve">? </w:t>
      </w:r>
      <w:r>
        <w:rPr>
          <w:kern w:val="0"/>
        </w:rPr>
        <w:t>Owen, C.G., Whincup, P.H., Gilg, J.A.</w:t>
      </w:r>
      <w:r w:rsidR="005853A9">
        <w:rPr>
          <w:kern w:val="0"/>
        </w:rPr>
        <w:t xml:space="preserve"> and </w:t>
      </w:r>
      <w:r>
        <w:rPr>
          <w:kern w:val="0"/>
        </w:rPr>
        <w:t>Cook, D.G. (2003), Effect</w:t>
      </w:r>
      <w:r w:rsidR="00427468">
        <w:rPr>
          <w:kern w:val="0"/>
        </w:rPr>
        <w:t xml:space="preserve"> of </w:t>
      </w:r>
      <w:r>
        <w:rPr>
          <w:kern w:val="0"/>
        </w:rPr>
        <w:t>breast feeding in infancy on blood pressure in later life: Systematic review</w:t>
      </w:r>
      <w:r w:rsidR="005853A9">
        <w:rPr>
          <w:kern w:val="0"/>
        </w:rPr>
        <w:t xml:space="preserve"> and </w:t>
      </w:r>
      <w:r>
        <w:rPr>
          <w:kern w:val="0"/>
        </w:rPr>
        <w:t xml:space="preserve">meta-analysis. </w:t>
      </w:r>
      <w:r>
        <w:rPr>
          <w:i/>
          <w:iCs/>
          <w:kern w:val="0"/>
        </w:rPr>
        <w:t>British Medical Journal</w:t>
      </w:r>
      <w:r>
        <w:rPr>
          <w:kern w:val="0"/>
        </w:rPr>
        <w:t xml:space="preserve">, </w:t>
      </w:r>
      <w:r>
        <w:rPr>
          <w:b/>
          <w:bCs/>
          <w:kern w:val="0"/>
        </w:rPr>
        <w:t>327</w:t>
      </w:r>
      <w:r>
        <w:rPr>
          <w:kern w:val="0"/>
        </w:rPr>
        <w:t xml:space="preserve"> (7425), 1189-1192.</w:t>
      </w:r>
    </w:p>
    <w:p w:rsidR="00C13DDC" w:rsidRDefault="00C13DDC" w:rsidP="00C13DDC">
      <w:pPr>
        <w:pStyle w:val="a3"/>
      </w:pPr>
      <w:r>
        <w:t>Full Text:</w:t>
      </w:r>
      <w:r w:rsidRPr="00FC7835">
        <w:t xml:space="preserve"> </w:t>
      </w:r>
      <w:hyperlink r:id="rId2034" w:history="1">
        <w:r w:rsidRPr="008623B0">
          <w:rPr>
            <w:rStyle w:val="a5"/>
          </w:rPr>
          <w:t>2003\Bri Med J327, 1189.pdf</w:t>
        </w:r>
      </w:hyperlink>
    </w:p>
    <w:p w:rsidR="00255950" w:rsidRDefault="00255950" w:rsidP="00255950">
      <w:pPr>
        <w:pStyle w:val="a3"/>
        <w:rPr>
          <w:kern w:val="0"/>
        </w:rPr>
      </w:pPr>
      <w:r>
        <w:rPr>
          <w:kern w:val="0"/>
        </w:rPr>
        <w:t xml:space="preserve">Abstract: Objective To determine whether breast feeding in infancy compared with bottle feeding formula milk is associated with lower mean blood pressure at different ages. Design Systematic review. Data sources EMBASE, </w:t>
      </w:r>
      <w:r w:rsidR="00D5664A">
        <w:rPr>
          <w:kern w:val="0"/>
        </w:rPr>
        <w:t>MEDLINE</w:t>
      </w:r>
      <w:r>
        <w:rPr>
          <w:kern w:val="0"/>
        </w:rPr>
        <w:t>,</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Study selection Studies showing</w:t>
      </w:r>
      <w:r w:rsidR="003A1917">
        <w:rPr>
          <w:kern w:val="0"/>
        </w:rPr>
        <w:t xml:space="preserve"> the </w:t>
      </w:r>
      <w:r>
        <w:rPr>
          <w:kern w:val="0"/>
        </w:rPr>
        <w:t>effects</w:t>
      </w:r>
      <w:r w:rsidR="00427468">
        <w:rPr>
          <w:kern w:val="0"/>
        </w:rPr>
        <w:t xml:space="preserve"> of </w:t>
      </w:r>
      <w:r>
        <w:rPr>
          <w:kern w:val="0"/>
        </w:rPr>
        <w:t>feeding in infancy on blood pressure at different ages. Data extraction Pooled mean differences in blood pressure between breast fed infants</w:t>
      </w:r>
      <w:r w:rsidR="005853A9">
        <w:rPr>
          <w:kern w:val="0"/>
        </w:rPr>
        <w:t xml:space="preserve"> and </w:t>
      </w:r>
      <w:r>
        <w:rPr>
          <w:kern w:val="0"/>
        </w:rPr>
        <w:t>those bottle fed formula milk, based on random effects models. synthesis</w:t>
      </w:r>
      <w:r w:rsidR="003A1917">
        <w:rPr>
          <w:kern w:val="0"/>
        </w:rPr>
        <w:t xml:space="preserve"> the </w:t>
      </w:r>
      <w:r>
        <w:rPr>
          <w:kern w:val="0"/>
        </w:rPr>
        <w:t>pooled mean difference in systolic blood pressure was -1.10 mm Hg (95% confidence interval -1.79 to -0.42 turn Hg) but with significant heterogeneity between estimates (P &lt; 0.001)</w:t>
      </w:r>
      <w:r w:rsidR="00A37C1D">
        <w:rPr>
          <w:kern w:val="0"/>
        </w:rPr>
        <w:t>. The</w:t>
      </w:r>
      <w:r w:rsidR="003A1917">
        <w:rPr>
          <w:kern w:val="0"/>
        </w:rPr>
        <w:t xml:space="preserve"> </w:t>
      </w:r>
      <w:r>
        <w:rPr>
          <w:kern w:val="0"/>
        </w:rPr>
        <w:t>difference was largest in studies</w:t>
      </w:r>
      <w:r w:rsidR="00427468">
        <w:rPr>
          <w:kern w:val="0"/>
        </w:rPr>
        <w:t xml:space="preserve"> of </w:t>
      </w:r>
      <w:r>
        <w:rPr>
          <w:kern w:val="0"/>
        </w:rPr>
        <w:t>&lt;300 participants (-2.05 mm Hg, -3.30 to -0.80 min Hg), intermediate in studies</w:t>
      </w:r>
      <w:r w:rsidR="00427468">
        <w:rPr>
          <w:kern w:val="0"/>
        </w:rPr>
        <w:t xml:space="preserve"> of </w:t>
      </w:r>
      <w:r>
        <w:rPr>
          <w:kern w:val="0"/>
        </w:rPr>
        <w:t>300-1000 participants (1.13 mm Hg, -2.53 to 0.27 mm Hg),</w:t>
      </w:r>
      <w:r w:rsidR="005853A9">
        <w:rPr>
          <w:kern w:val="0"/>
        </w:rPr>
        <w:t xml:space="preserve"> and </w:t>
      </w:r>
      <w:r>
        <w:rPr>
          <w:kern w:val="0"/>
        </w:rPr>
        <w:t>smallest in studies</w:t>
      </w:r>
      <w:r w:rsidR="00427468">
        <w:rPr>
          <w:kern w:val="0"/>
        </w:rPr>
        <w:t xml:space="preserve"> of </w:t>
      </w:r>
      <w:r>
        <w:rPr>
          <w:kern w:val="0"/>
        </w:rPr>
        <w:t>&gt;1000 participants (-0.16 nun Hg, -0.60 to 0.28 min Hg). An Egger test but not Begg test was statistically significant for publication bias</w:t>
      </w:r>
      <w:r w:rsidR="00A37C1D">
        <w:rPr>
          <w:kern w:val="0"/>
        </w:rPr>
        <w:t>. The</w:t>
      </w:r>
      <w:r w:rsidR="003A1917">
        <w:rPr>
          <w:kern w:val="0"/>
        </w:rPr>
        <w:t xml:space="preserve"> </w:t>
      </w:r>
      <w:r>
        <w:rPr>
          <w:kern w:val="0"/>
        </w:rPr>
        <w:t>difference was unaltered by adjustment for current size</w:t>
      </w:r>
      <w:r w:rsidR="005853A9">
        <w:rPr>
          <w:kern w:val="0"/>
        </w:rPr>
        <w:t xml:space="preserve"> and </w:t>
      </w:r>
      <w:r>
        <w:rPr>
          <w:kern w:val="0"/>
        </w:rPr>
        <w:t>was independent</w:t>
      </w:r>
      <w:r w:rsidR="00427468">
        <w:rPr>
          <w:kern w:val="0"/>
        </w:rPr>
        <w:t xml:space="preserve"> of </w:t>
      </w:r>
      <w:r>
        <w:rPr>
          <w:kern w:val="0"/>
        </w:rPr>
        <w:t>age at measurement</w:t>
      </w:r>
      <w:r w:rsidR="00427468">
        <w:rPr>
          <w:kern w:val="0"/>
        </w:rPr>
        <w:t xml:space="preserve"> of </w:t>
      </w:r>
      <w:r>
        <w:rPr>
          <w:kern w:val="0"/>
        </w:rPr>
        <w:t>blood pressure</w:t>
      </w:r>
      <w:r w:rsidR="005853A9">
        <w:rPr>
          <w:kern w:val="0"/>
        </w:rPr>
        <w:t xml:space="preserve"> and </w:t>
      </w:r>
      <w:r>
        <w:rPr>
          <w:kern w:val="0"/>
        </w:rPr>
        <w:t>year</w:t>
      </w:r>
      <w:r w:rsidR="00427468">
        <w:rPr>
          <w:kern w:val="0"/>
        </w:rPr>
        <w:t xml:space="preserve"> of </w:t>
      </w:r>
      <w:r>
        <w:rPr>
          <w:kern w:val="0"/>
        </w:rPr>
        <w:t>birth. Diastolic blood pressure was not significantly related to type</w:t>
      </w:r>
      <w:r w:rsidR="00427468">
        <w:rPr>
          <w:kern w:val="0"/>
        </w:rPr>
        <w:t xml:space="preserve"> of </w:t>
      </w:r>
      <w:r>
        <w:rPr>
          <w:kern w:val="0"/>
        </w:rPr>
        <w:t>feeding in infancy. Conclusions Selective publication</w:t>
      </w:r>
      <w:r w:rsidR="00427468">
        <w:rPr>
          <w:kern w:val="0"/>
        </w:rPr>
        <w:t xml:space="preserve"> of </w:t>
      </w:r>
      <w:r>
        <w:rPr>
          <w:kern w:val="0"/>
        </w:rPr>
        <w:t>small studies with positive findings may have exaggerated claims that breast feeding in infancy reduces systolic blood pressure in later life</w:t>
      </w:r>
      <w:r w:rsidR="00A37C1D">
        <w:rPr>
          <w:kern w:val="0"/>
        </w:rPr>
        <w:t>. The</w:t>
      </w:r>
      <w:r w:rsidR="003A1917">
        <w:rPr>
          <w:kern w:val="0"/>
        </w:rPr>
        <w:t xml:space="preserve"> </w:t>
      </w:r>
      <w:r>
        <w:rPr>
          <w:kern w:val="0"/>
        </w:rPr>
        <w:t>results</w:t>
      </w:r>
      <w:r w:rsidR="00427468">
        <w:rPr>
          <w:kern w:val="0"/>
        </w:rPr>
        <w:t xml:space="preserve"> of </w:t>
      </w:r>
      <w:r>
        <w:rPr>
          <w:kern w:val="0"/>
        </w:rPr>
        <w:t>larger studies suggest that feeding in infancy has at most a modest effect on blood pressure, which is</w:t>
      </w:r>
      <w:r w:rsidR="00427468">
        <w:rPr>
          <w:kern w:val="0"/>
        </w:rPr>
        <w:t xml:space="preserve"> of </w:t>
      </w:r>
      <w:r>
        <w:rPr>
          <w:kern w:val="0"/>
        </w:rPr>
        <w:t>limited clinical or public health importance.</w:t>
      </w:r>
    </w:p>
    <w:p w:rsidR="00255950" w:rsidRDefault="00255950" w:rsidP="00255950">
      <w:pPr>
        <w:pStyle w:val="a3"/>
        <w:rPr>
          <w:kern w:val="0"/>
        </w:rPr>
      </w:pPr>
      <w:r>
        <w:rPr>
          <w:kern w:val="0"/>
        </w:rPr>
        <w:t xml:space="preserve">Keywords: Bias, Birth-Weight, Blood, Blood Pressure, Cardiovascular Risk-Factors, Children, Cholesterol, Databases, Docosahexaenoic Acid, Early Nutrition, Follow-Up, Heart-Rate, Infants, Measurement, Meta-Analysis, Pressure, Preterm Infants, Public Health, Publication, Publication Bias, Review, Science, Sodium, Systematic, Systematic Review, </w:t>
      </w:r>
      <w:r w:rsidR="00D5664A">
        <w:rPr>
          <w:kern w:val="0"/>
        </w:rPr>
        <w:t>Web</w:t>
      </w:r>
      <w:r w:rsidR="00427468">
        <w:rPr>
          <w:kern w:val="0"/>
        </w:rPr>
        <w:t xml:space="preserve"> of </w:t>
      </w:r>
      <w:r w:rsidR="00D5664A">
        <w:rPr>
          <w:kern w:val="0"/>
        </w:rPr>
        <w:t>Science</w:t>
      </w:r>
    </w:p>
    <w:p w:rsidR="00255950" w:rsidRDefault="00255950" w:rsidP="00255950">
      <w:pPr>
        <w:pStyle w:val="a3"/>
        <w:rPr>
          <w:kern w:val="0"/>
        </w:rPr>
      </w:pPr>
      <w:r>
        <w:rPr>
          <w:rFonts w:hint="eastAsia"/>
          <w:kern w:val="0"/>
        </w:rPr>
        <w:t xml:space="preserve">? </w:t>
      </w:r>
      <w:r>
        <w:rPr>
          <w:kern w:val="0"/>
        </w:rPr>
        <w:t>Smith, G.C.S.</w:t>
      </w:r>
      <w:r w:rsidR="005853A9">
        <w:rPr>
          <w:kern w:val="0"/>
        </w:rPr>
        <w:t xml:space="preserve"> and </w:t>
      </w:r>
      <w:r>
        <w:rPr>
          <w:kern w:val="0"/>
        </w:rPr>
        <w:t>Pell, J.P. (2003), Parachute use to prevent death</w:t>
      </w:r>
      <w:r w:rsidR="005853A9">
        <w:rPr>
          <w:kern w:val="0"/>
        </w:rPr>
        <w:t xml:space="preserve"> and </w:t>
      </w:r>
      <w:r>
        <w:rPr>
          <w:kern w:val="0"/>
        </w:rPr>
        <w:t>major trauma related to gravitational challenge: Systematic review</w:t>
      </w:r>
      <w:r w:rsidR="00427468">
        <w:rPr>
          <w:kern w:val="0"/>
        </w:rPr>
        <w:t xml:space="preserve"> of </w:t>
      </w:r>
      <w:r>
        <w:rPr>
          <w:kern w:val="0"/>
        </w:rPr>
        <w:t xml:space="preserve">randomised controlled trials. </w:t>
      </w:r>
      <w:r>
        <w:rPr>
          <w:i/>
          <w:iCs/>
          <w:kern w:val="0"/>
        </w:rPr>
        <w:t>British Medical Journal</w:t>
      </w:r>
      <w:r>
        <w:rPr>
          <w:kern w:val="0"/>
        </w:rPr>
        <w:t xml:space="preserve">, </w:t>
      </w:r>
      <w:r>
        <w:rPr>
          <w:b/>
          <w:bCs/>
          <w:kern w:val="0"/>
        </w:rPr>
        <w:t>327</w:t>
      </w:r>
      <w:r>
        <w:rPr>
          <w:kern w:val="0"/>
        </w:rPr>
        <w:t xml:space="preserve"> (7429), 1459-1461.</w:t>
      </w:r>
    </w:p>
    <w:p w:rsidR="00C13DDC" w:rsidRDefault="00C13DDC" w:rsidP="00C13DDC">
      <w:pPr>
        <w:pStyle w:val="a3"/>
      </w:pPr>
      <w:r>
        <w:t>Full Text:</w:t>
      </w:r>
      <w:r w:rsidRPr="00FC7835">
        <w:t xml:space="preserve"> </w:t>
      </w:r>
      <w:hyperlink r:id="rId2035" w:history="1">
        <w:r w:rsidRPr="008623B0">
          <w:rPr>
            <w:rStyle w:val="a5"/>
          </w:rPr>
          <w:t>2003\Bri Med J327, 1459.pdf</w:t>
        </w:r>
      </w:hyperlink>
    </w:p>
    <w:p w:rsidR="00255950" w:rsidRDefault="00255950" w:rsidP="00255950">
      <w:pPr>
        <w:pStyle w:val="a3"/>
        <w:rPr>
          <w:kern w:val="0"/>
        </w:rPr>
      </w:pPr>
      <w:r>
        <w:rPr>
          <w:kern w:val="0"/>
        </w:rPr>
        <w:t>Abstract: Objectives To determine whether parachutes are effective in preventing major trauma related to gravitational challenge. Design Systematic review</w:t>
      </w:r>
      <w:r w:rsidR="00427468">
        <w:rPr>
          <w:kern w:val="0"/>
        </w:rPr>
        <w:t xml:space="preserve"> of </w:t>
      </w:r>
      <w:r>
        <w:rPr>
          <w:kern w:val="0"/>
        </w:rPr>
        <w:t xml:space="preserve">randomised </w:t>
      </w:r>
      <w:r>
        <w:rPr>
          <w:kern w:val="0"/>
        </w:rPr>
        <w:lastRenderedPageBreak/>
        <w:t xml:space="preserve">controlled trials. Data sources: </w:t>
      </w:r>
      <w:r w:rsidR="00D5664A">
        <w:rPr>
          <w:kern w:val="0"/>
        </w:rPr>
        <w:t>MEDLINE</w:t>
      </w:r>
      <w:r>
        <w:rPr>
          <w:kern w:val="0"/>
        </w:rPr>
        <w:t xml:space="preserve">, </w:t>
      </w:r>
      <w:r w:rsidR="00D5664A">
        <w:rPr>
          <w:kern w:val="0"/>
        </w:rPr>
        <w:t>Web</w:t>
      </w:r>
      <w:r w:rsidR="00427468">
        <w:rPr>
          <w:kern w:val="0"/>
        </w:rPr>
        <w:t xml:space="preserve"> of </w:t>
      </w:r>
      <w:r w:rsidR="00D5664A">
        <w:rPr>
          <w:kern w:val="0"/>
        </w:rPr>
        <w:t>Science</w:t>
      </w:r>
      <w:r>
        <w:rPr>
          <w:kern w:val="0"/>
        </w:rPr>
        <w:t>, EMBASE,</w:t>
      </w:r>
      <w:r w:rsidR="005853A9">
        <w:rPr>
          <w:kern w:val="0"/>
        </w:rPr>
        <w:t xml:space="preserve"> and </w:t>
      </w:r>
      <w:r w:rsidR="003A1917">
        <w:rPr>
          <w:kern w:val="0"/>
        </w:rPr>
        <w:t xml:space="preserve">the </w:t>
      </w:r>
      <w:r>
        <w:rPr>
          <w:kern w:val="0"/>
        </w:rPr>
        <w:t>Cochrane Library databases; appropriate internet sites</w:t>
      </w:r>
      <w:r w:rsidR="005853A9">
        <w:rPr>
          <w:kern w:val="0"/>
        </w:rPr>
        <w:t xml:space="preserve"> and </w:t>
      </w:r>
      <w:r>
        <w:rPr>
          <w:kern w:val="0"/>
        </w:rPr>
        <w:t>citation lists. Study selection: Studies showing</w:t>
      </w:r>
      <w:r w:rsidR="003A1917">
        <w:rPr>
          <w:kern w:val="0"/>
        </w:rPr>
        <w:t xml:space="preserve"> the </w:t>
      </w:r>
      <w:r>
        <w:rPr>
          <w:kern w:val="0"/>
        </w:rPr>
        <w:t>effects</w:t>
      </w:r>
      <w:r w:rsidR="00427468">
        <w:rPr>
          <w:kern w:val="0"/>
        </w:rPr>
        <w:t xml:space="preserve"> of </w:t>
      </w:r>
      <w:r>
        <w:rPr>
          <w:kern w:val="0"/>
        </w:rPr>
        <w:t>using a parachute during free fall. Main outcome measure Death or major trauma, defined as an injury severity score &gt; 15. Results We were unable to identify any randomiscd controlled trials</w:t>
      </w:r>
      <w:r w:rsidR="00427468">
        <w:rPr>
          <w:kern w:val="0"/>
        </w:rPr>
        <w:t xml:space="preserve"> of </w:t>
      </w:r>
      <w:r>
        <w:rPr>
          <w:kern w:val="0"/>
        </w:rPr>
        <w:t>parachute intervention. Conclusions As with many interventions intended to prevent ill health,</w:t>
      </w:r>
      <w:r w:rsidR="003A1917">
        <w:rPr>
          <w:kern w:val="0"/>
        </w:rPr>
        <w:t xml:space="preserve"> the </w:t>
      </w:r>
      <w:r>
        <w:rPr>
          <w:kern w:val="0"/>
        </w:rPr>
        <w:t>effectiveness</w:t>
      </w:r>
      <w:r w:rsidR="00427468">
        <w:rPr>
          <w:kern w:val="0"/>
        </w:rPr>
        <w:t xml:space="preserve"> of </w:t>
      </w:r>
      <w:r>
        <w:rPr>
          <w:kern w:val="0"/>
        </w:rPr>
        <w:t>parachutes has not been subjected to rigorous evaluation by using randomised controlled trials. Advocates</w:t>
      </w:r>
      <w:r w:rsidR="00427468">
        <w:rPr>
          <w:kern w:val="0"/>
        </w:rPr>
        <w:t xml:space="preserve"> of </w:t>
      </w:r>
      <w:r>
        <w:rPr>
          <w:kern w:val="0"/>
        </w:rPr>
        <w:t>evidence based medicine have criticised</w:t>
      </w:r>
      <w:r w:rsidR="003A1917">
        <w:rPr>
          <w:kern w:val="0"/>
        </w:rPr>
        <w:t xml:space="preserve"> the </w:t>
      </w:r>
      <w:r>
        <w:rPr>
          <w:kern w:val="0"/>
        </w:rPr>
        <w:t>adoption</w:t>
      </w:r>
      <w:r w:rsidR="00427468">
        <w:rPr>
          <w:kern w:val="0"/>
        </w:rPr>
        <w:t xml:space="preserve"> of </w:t>
      </w:r>
      <w:r>
        <w:rPr>
          <w:kern w:val="0"/>
        </w:rPr>
        <w:t>interventions evaluated by using only observational data. We think that everyone might benefit if</w:t>
      </w:r>
      <w:r w:rsidR="003A1917">
        <w:rPr>
          <w:kern w:val="0"/>
        </w:rPr>
        <w:t xml:space="preserve"> the </w:t>
      </w:r>
      <w:r>
        <w:rPr>
          <w:kern w:val="0"/>
        </w:rPr>
        <w:t>most radical protagonists</w:t>
      </w:r>
      <w:r w:rsidR="00427468">
        <w:rPr>
          <w:kern w:val="0"/>
        </w:rPr>
        <w:t xml:space="preserve"> of </w:t>
      </w:r>
      <w:r>
        <w:rPr>
          <w:kern w:val="0"/>
        </w:rPr>
        <w:t>evidence based medicine organised</w:t>
      </w:r>
      <w:r w:rsidR="005853A9">
        <w:rPr>
          <w:kern w:val="0"/>
        </w:rPr>
        <w:t xml:space="preserve"> and </w:t>
      </w:r>
      <w:r>
        <w:rPr>
          <w:kern w:val="0"/>
        </w:rPr>
        <w:t>participated in a double blind, randomised, placebo controlled, crossover trial</w:t>
      </w:r>
      <w:r w:rsidR="00427468">
        <w:rPr>
          <w:kern w:val="0"/>
        </w:rPr>
        <w:t xml:space="preserve"> of </w:t>
      </w:r>
      <w:r w:rsidR="003A1917">
        <w:rPr>
          <w:kern w:val="0"/>
        </w:rPr>
        <w:t xml:space="preserve">the </w:t>
      </w:r>
      <w:r>
        <w:rPr>
          <w:kern w:val="0"/>
        </w:rPr>
        <w:t>parachute.</w:t>
      </w:r>
    </w:p>
    <w:p w:rsidR="00255950" w:rsidRDefault="00255950" w:rsidP="00255950">
      <w:pPr>
        <w:pStyle w:val="a3"/>
        <w:rPr>
          <w:kern w:val="0"/>
        </w:rPr>
      </w:pPr>
      <w:r>
        <w:rPr>
          <w:kern w:val="0"/>
        </w:rPr>
        <w:t xml:space="preserve">Keywords: Citation, Cochrane, Databases, Effectiveness, Evaluation, Injuries, Injury, Intervention, Interventions, Medicine, Outcome, Quality, Review, Science, Systematic, Systematic Review, Trauma, </w:t>
      </w:r>
      <w:r w:rsidR="00D5664A">
        <w:rPr>
          <w:kern w:val="0"/>
        </w:rPr>
        <w:t>Web</w:t>
      </w:r>
      <w:r w:rsidR="00427468">
        <w:rPr>
          <w:kern w:val="0"/>
        </w:rPr>
        <w:t xml:space="preserve"> of </w:t>
      </w:r>
      <w:r w:rsidR="00D5664A">
        <w:rPr>
          <w:kern w:val="0"/>
        </w:rPr>
        <w:t>Science</w:t>
      </w:r>
    </w:p>
    <w:p w:rsidR="00C13DDC" w:rsidRDefault="00C13DDC" w:rsidP="00C13DDC">
      <w:pPr>
        <w:pStyle w:val="a3"/>
        <w:rPr>
          <w:kern w:val="0"/>
        </w:rPr>
      </w:pPr>
      <w:r>
        <w:rPr>
          <w:rFonts w:hint="eastAsia"/>
          <w:kern w:val="0"/>
        </w:rPr>
        <w:t xml:space="preserve">? </w:t>
      </w:r>
      <w:r>
        <w:rPr>
          <w:kern w:val="0"/>
        </w:rPr>
        <w:t>Eysenbach, G., Powell, J., Englesakis, M., Rizo, C.</w:t>
      </w:r>
      <w:r w:rsidR="005853A9">
        <w:rPr>
          <w:kern w:val="0"/>
        </w:rPr>
        <w:t xml:space="preserve"> and </w:t>
      </w:r>
      <w:r>
        <w:rPr>
          <w:kern w:val="0"/>
        </w:rPr>
        <w:t>Stern, A. (2004), Health related virtual communities</w:t>
      </w:r>
      <w:r w:rsidR="005853A9">
        <w:rPr>
          <w:kern w:val="0"/>
        </w:rPr>
        <w:t xml:space="preserve"> and </w:t>
      </w:r>
      <w:r>
        <w:rPr>
          <w:kern w:val="0"/>
        </w:rPr>
        <w:t>electronic support groups: Systematic review</w:t>
      </w:r>
      <w:r w:rsidR="00427468">
        <w:rPr>
          <w:kern w:val="0"/>
        </w:rPr>
        <w:t xml:space="preserve"> of </w:t>
      </w:r>
      <w:r w:rsidR="003A1917">
        <w:rPr>
          <w:kern w:val="0"/>
        </w:rPr>
        <w:t xml:space="preserve">the </w:t>
      </w:r>
      <w:r>
        <w:rPr>
          <w:kern w:val="0"/>
        </w:rPr>
        <w:t>effects</w:t>
      </w:r>
      <w:r w:rsidR="00427468">
        <w:rPr>
          <w:kern w:val="0"/>
        </w:rPr>
        <w:t xml:space="preserve"> of </w:t>
      </w:r>
      <w:r>
        <w:rPr>
          <w:kern w:val="0"/>
        </w:rPr>
        <w:t xml:space="preserve">online peer to peer interactions. </w:t>
      </w:r>
      <w:r>
        <w:rPr>
          <w:i/>
          <w:iCs/>
          <w:kern w:val="0"/>
        </w:rPr>
        <w:t>British Medical Journal</w:t>
      </w:r>
      <w:r>
        <w:rPr>
          <w:kern w:val="0"/>
        </w:rPr>
        <w:t xml:space="preserve">, </w:t>
      </w:r>
      <w:r>
        <w:rPr>
          <w:b/>
          <w:bCs/>
          <w:kern w:val="0"/>
        </w:rPr>
        <w:t>328</w:t>
      </w:r>
      <w:r>
        <w:rPr>
          <w:kern w:val="0"/>
        </w:rPr>
        <w:t xml:space="preserve"> (7449), 1166-1170.</w:t>
      </w:r>
    </w:p>
    <w:p w:rsidR="00C13DDC" w:rsidRDefault="00C13DDC" w:rsidP="00C13DDC">
      <w:pPr>
        <w:pStyle w:val="a3"/>
      </w:pPr>
      <w:r>
        <w:t>Full Text:</w:t>
      </w:r>
      <w:r w:rsidRPr="00FC7835">
        <w:t xml:space="preserve"> </w:t>
      </w:r>
      <w:hyperlink r:id="rId2036" w:history="1">
        <w:r w:rsidRPr="008623B0">
          <w:rPr>
            <w:rStyle w:val="a5"/>
          </w:rPr>
          <w:t>2004\Bri Med J328, 1166.pdf</w:t>
        </w:r>
      </w:hyperlink>
    </w:p>
    <w:p w:rsidR="00255950" w:rsidRDefault="00255950" w:rsidP="00255950">
      <w:pPr>
        <w:pStyle w:val="a3"/>
        <w:rPr>
          <w:kern w:val="0"/>
        </w:rPr>
      </w:pPr>
      <w:r>
        <w:rPr>
          <w:kern w:val="0"/>
        </w:rPr>
        <w:t>Abstract: Objective To compile</w:t>
      </w:r>
      <w:r w:rsidR="005853A9">
        <w:rPr>
          <w:kern w:val="0"/>
        </w:rPr>
        <w:t xml:space="preserve"> and </w:t>
      </w:r>
      <w:r>
        <w:rPr>
          <w:kern w:val="0"/>
        </w:rPr>
        <w:t>evaluate</w:t>
      </w:r>
      <w:r w:rsidR="003A1917">
        <w:rPr>
          <w:kern w:val="0"/>
        </w:rPr>
        <w:t xml:space="preserve"> the </w:t>
      </w:r>
      <w:r>
        <w:rPr>
          <w:kern w:val="0"/>
        </w:rPr>
        <w:t>evidence on</w:t>
      </w:r>
      <w:r w:rsidR="003A1917">
        <w:rPr>
          <w:kern w:val="0"/>
        </w:rPr>
        <w:t xml:space="preserve"> the </w:t>
      </w:r>
      <w:r>
        <w:rPr>
          <w:kern w:val="0"/>
        </w:rPr>
        <w:t>effects on health</w:t>
      </w:r>
      <w:r w:rsidR="005853A9">
        <w:rPr>
          <w:kern w:val="0"/>
        </w:rPr>
        <w:t xml:space="preserve"> and </w:t>
      </w:r>
      <w:r>
        <w:rPr>
          <w:kern w:val="0"/>
        </w:rPr>
        <w:t>social outcomes</w:t>
      </w:r>
      <w:r w:rsidR="00427468">
        <w:rPr>
          <w:kern w:val="0"/>
        </w:rPr>
        <w:t xml:space="preserve"> of </w:t>
      </w:r>
      <w:r>
        <w:rPr>
          <w:kern w:val="0"/>
        </w:rPr>
        <w:t>computer based peer to peer communities</w:t>
      </w:r>
      <w:r w:rsidR="005853A9">
        <w:rPr>
          <w:kern w:val="0"/>
        </w:rPr>
        <w:t xml:space="preserve"> and </w:t>
      </w:r>
      <w:r>
        <w:rPr>
          <w:kern w:val="0"/>
        </w:rPr>
        <w:t>electronic self support groups, used by people to discuss health related issues remotely. Design</w:t>
      </w:r>
      <w:r w:rsidR="005853A9">
        <w:rPr>
          <w:kern w:val="0"/>
        </w:rPr>
        <w:t xml:space="preserve"> and </w:t>
      </w:r>
      <w:r>
        <w:rPr>
          <w:kern w:val="0"/>
        </w:rPr>
        <w:t>data sources Analysis</w:t>
      </w:r>
      <w:r w:rsidR="00427468">
        <w:rPr>
          <w:kern w:val="0"/>
        </w:rPr>
        <w:t xml:space="preserve"> of </w:t>
      </w:r>
      <w:r>
        <w:rPr>
          <w:kern w:val="0"/>
        </w:rPr>
        <w:t xml:space="preserve">studies identified from </w:t>
      </w:r>
      <w:r w:rsidR="00D5664A">
        <w:rPr>
          <w:kern w:val="0"/>
        </w:rPr>
        <w:t>MEDLINE</w:t>
      </w:r>
      <w:r>
        <w:rPr>
          <w:kern w:val="0"/>
        </w:rPr>
        <w:t>, EMBASE, CINAHL, PsycINFO, Evidence Based Medicine Reviews, Electronics</w:t>
      </w:r>
      <w:r w:rsidR="005853A9">
        <w:rPr>
          <w:kern w:val="0"/>
        </w:rPr>
        <w:t xml:space="preserve"> and </w:t>
      </w:r>
      <w:r>
        <w:rPr>
          <w:kern w:val="0"/>
        </w:rPr>
        <w:t>Communications Abstracts, Computer</w:t>
      </w:r>
      <w:r w:rsidR="005853A9">
        <w:rPr>
          <w:kern w:val="0"/>
        </w:rPr>
        <w:t xml:space="preserve"> and </w:t>
      </w:r>
      <w:r>
        <w:rPr>
          <w:kern w:val="0"/>
        </w:rPr>
        <w:t xml:space="preserve">Information Systems Abstracts, ERIC, LISA, ProQuest Digital Dissertations, </w:t>
      </w:r>
      <w:r w:rsidR="00D5664A">
        <w:rPr>
          <w:kern w:val="0"/>
        </w:rPr>
        <w:t>Web</w:t>
      </w:r>
      <w:r w:rsidR="00427468">
        <w:rPr>
          <w:kern w:val="0"/>
        </w:rPr>
        <w:t xml:space="preserve"> of </w:t>
      </w:r>
      <w:r w:rsidR="00D5664A">
        <w:rPr>
          <w:kern w:val="0"/>
        </w:rPr>
        <w:t>Science</w:t>
      </w:r>
      <w:r>
        <w:rPr>
          <w:kern w:val="0"/>
        </w:rPr>
        <w:t>. Selection</w:t>
      </w:r>
      <w:r w:rsidR="00427468">
        <w:rPr>
          <w:kern w:val="0"/>
        </w:rPr>
        <w:t xml:space="preserve"> of </w:t>
      </w:r>
      <w:r>
        <w:rPr>
          <w:kern w:val="0"/>
        </w:rPr>
        <w:t>studies We searched for before</w:t>
      </w:r>
      <w:r w:rsidR="005853A9">
        <w:rPr>
          <w:kern w:val="0"/>
        </w:rPr>
        <w:t xml:space="preserve"> and </w:t>
      </w:r>
      <w:r>
        <w:rPr>
          <w:kern w:val="0"/>
        </w:rPr>
        <w:t>after studies, interrupted time series, cohort studies, or studies with control groups; evaluating health or social outcomes</w:t>
      </w:r>
      <w:r w:rsidR="00427468">
        <w:rPr>
          <w:kern w:val="0"/>
        </w:rPr>
        <w:t xml:space="preserve"> of </w:t>
      </w:r>
      <w:r>
        <w:rPr>
          <w:kern w:val="0"/>
        </w:rPr>
        <w:t>virtual peer to peer communities, either as stand alone interventions or in</w:t>
      </w:r>
      <w:r w:rsidR="003A1917">
        <w:rPr>
          <w:kern w:val="0"/>
        </w:rPr>
        <w:t xml:space="preserve"> the </w:t>
      </w:r>
      <w:r>
        <w:rPr>
          <w:kern w:val="0"/>
        </w:rPr>
        <w:t>context</w:t>
      </w:r>
      <w:r w:rsidR="00427468">
        <w:rPr>
          <w:kern w:val="0"/>
        </w:rPr>
        <w:t xml:space="preserve"> of </w:t>
      </w:r>
      <w:r>
        <w:rPr>
          <w:kern w:val="0"/>
        </w:rPr>
        <w:t>more complex systems with peer to peer components. Main outcome measures Peer to peer interventions</w:t>
      </w:r>
      <w:r w:rsidR="005853A9">
        <w:rPr>
          <w:kern w:val="0"/>
        </w:rPr>
        <w:t xml:space="preserve"> and </w:t>
      </w:r>
      <w:r>
        <w:rPr>
          <w:kern w:val="0"/>
        </w:rPr>
        <w:t>co-interventions studied, general characteristics</w:t>
      </w:r>
      <w:r w:rsidR="00427468">
        <w:rPr>
          <w:kern w:val="0"/>
        </w:rPr>
        <w:t xml:space="preserve"> of </w:t>
      </w:r>
      <w:r>
        <w:rPr>
          <w:kern w:val="0"/>
        </w:rPr>
        <w:t>studies, outcome measures used,</w:t>
      </w:r>
      <w:r w:rsidR="005853A9">
        <w:rPr>
          <w:kern w:val="0"/>
        </w:rPr>
        <w:t xml:space="preserve"> and </w:t>
      </w:r>
      <w:r>
        <w:rPr>
          <w:kern w:val="0"/>
        </w:rPr>
        <w:t>study results. Results 45 publications describing 38 distinct studies met our inclusion criteria: 20 randomised trials, three meta-analyses</w:t>
      </w:r>
      <w:r w:rsidR="00427468">
        <w:rPr>
          <w:kern w:val="0"/>
        </w:rPr>
        <w:t xml:space="preserve"> of </w:t>
      </w:r>
      <w:r>
        <w:rPr>
          <w:kern w:val="0"/>
        </w:rPr>
        <w:t>n</w:t>
      </w:r>
      <w:r w:rsidR="00427468">
        <w:rPr>
          <w:kern w:val="0"/>
        </w:rPr>
        <w:t xml:space="preserve"> of </w:t>
      </w:r>
      <w:r>
        <w:rPr>
          <w:kern w:val="0"/>
        </w:rPr>
        <w:t>1 trials, three non-randomised controlled trials, one cohort study,</w:t>
      </w:r>
      <w:r w:rsidR="005853A9">
        <w:rPr>
          <w:kern w:val="0"/>
        </w:rPr>
        <w:t xml:space="preserve"> and </w:t>
      </w:r>
      <w:r>
        <w:rPr>
          <w:kern w:val="0"/>
        </w:rPr>
        <w:t>11 before</w:t>
      </w:r>
      <w:r w:rsidR="005853A9">
        <w:rPr>
          <w:kern w:val="0"/>
        </w:rPr>
        <w:t xml:space="preserve"> and </w:t>
      </w:r>
      <w:r>
        <w:rPr>
          <w:kern w:val="0"/>
        </w:rPr>
        <w:t>after studies. Only six</w:t>
      </w:r>
      <w:r w:rsidR="00427468">
        <w:rPr>
          <w:kern w:val="0"/>
        </w:rPr>
        <w:t xml:space="preserve"> of </w:t>
      </w:r>
      <w:r>
        <w:rPr>
          <w:kern w:val="0"/>
        </w:rPr>
        <w:t xml:space="preserve">these evaluated </w:t>
      </w:r>
      <w:r w:rsidR="00B5188C">
        <w:rPr>
          <w:kern w:val="0"/>
        </w:rPr>
        <w:t>“</w:t>
      </w:r>
      <w:r>
        <w:rPr>
          <w:kern w:val="0"/>
        </w:rPr>
        <w:t>pure</w:t>
      </w:r>
      <w:r w:rsidR="00B5188C">
        <w:rPr>
          <w:kern w:val="0"/>
        </w:rPr>
        <w:t>”</w:t>
      </w:r>
      <w:r>
        <w:rPr>
          <w:kern w:val="0"/>
        </w:rPr>
        <w:t xml:space="preserve"> peer to peer communities,</w:t>
      </w:r>
      <w:r w:rsidR="005853A9">
        <w:rPr>
          <w:kern w:val="0"/>
        </w:rPr>
        <w:t xml:space="preserve"> and </w:t>
      </w:r>
      <w:r>
        <w:rPr>
          <w:kern w:val="0"/>
        </w:rPr>
        <w:t xml:space="preserve">one had a factorial design with a </w:t>
      </w:r>
      <w:r w:rsidR="00B5188C">
        <w:rPr>
          <w:kern w:val="0"/>
        </w:rPr>
        <w:t>“</w:t>
      </w:r>
      <w:r>
        <w:rPr>
          <w:kern w:val="0"/>
        </w:rPr>
        <w:t>peer to peer only</w:t>
      </w:r>
      <w:r w:rsidR="00B5188C">
        <w:rPr>
          <w:kern w:val="0"/>
        </w:rPr>
        <w:t>”</w:t>
      </w:r>
      <w:r>
        <w:rPr>
          <w:kern w:val="0"/>
        </w:rPr>
        <w:t xml:space="preserve"> arm, whereas 31 studies evaluated complex interventions, which often included psychoeducational programmes or one to one communication with healthcare professionals, making it impossible to attribute </w:t>
      </w:r>
      <w:r>
        <w:rPr>
          <w:kern w:val="0"/>
        </w:rPr>
        <w:lastRenderedPageBreak/>
        <w:t>intervention effects to</w:t>
      </w:r>
      <w:r w:rsidR="003A1917">
        <w:rPr>
          <w:kern w:val="0"/>
        </w:rPr>
        <w:t xml:space="preserve"> the </w:t>
      </w:r>
      <w:r>
        <w:rPr>
          <w:kern w:val="0"/>
        </w:rPr>
        <w:t>peer to peer community component</w:t>
      </w:r>
      <w:r w:rsidR="00A37C1D">
        <w:rPr>
          <w:kern w:val="0"/>
        </w:rPr>
        <w:t>. The</w:t>
      </w:r>
      <w:r w:rsidR="003A1917">
        <w:rPr>
          <w:kern w:val="0"/>
        </w:rPr>
        <w:t xml:space="preserve"> </w:t>
      </w:r>
      <w:r>
        <w:rPr>
          <w:kern w:val="0"/>
        </w:rPr>
        <w:t>outcomes measured most often were depression</w:t>
      </w:r>
      <w:r w:rsidR="005853A9">
        <w:rPr>
          <w:kern w:val="0"/>
        </w:rPr>
        <w:t xml:space="preserve"> and </w:t>
      </w:r>
      <w:r>
        <w:rPr>
          <w:kern w:val="0"/>
        </w:rPr>
        <w:t>social support; most studies did not show an effect. We found no evidence to support concerns over virtual communities harming people. Conclusions No robust evidence exists on</w:t>
      </w:r>
      <w:r w:rsidR="003A1917">
        <w:rPr>
          <w:kern w:val="0"/>
        </w:rPr>
        <w:t xml:space="preserve"> the </w:t>
      </w:r>
      <w:r>
        <w:rPr>
          <w:kern w:val="0"/>
        </w:rPr>
        <w:t>effects</w:t>
      </w:r>
      <w:r w:rsidR="00427468">
        <w:rPr>
          <w:kern w:val="0"/>
        </w:rPr>
        <w:t xml:space="preserve"> of </w:t>
      </w:r>
      <w:r>
        <w:rPr>
          <w:kern w:val="0"/>
        </w:rPr>
        <w:t>consumer led peer to peer communities, partly because most peer to peer communities have been evaluated only in conjunction with more complex interventions or involvement with health professionals. Given</w:t>
      </w:r>
      <w:r w:rsidR="003A1917">
        <w:rPr>
          <w:kern w:val="0"/>
        </w:rPr>
        <w:t xml:space="preserve"> the </w:t>
      </w:r>
      <w:r>
        <w:rPr>
          <w:kern w:val="0"/>
        </w:rPr>
        <w:t>abundance</w:t>
      </w:r>
      <w:r w:rsidR="00427468">
        <w:rPr>
          <w:kern w:val="0"/>
        </w:rPr>
        <w:t xml:space="preserve"> of </w:t>
      </w:r>
      <w:r>
        <w:rPr>
          <w:kern w:val="0"/>
        </w:rPr>
        <w:t>unmoderated peer to peer groups on</w:t>
      </w:r>
      <w:r w:rsidR="003A1917">
        <w:rPr>
          <w:kern w:val="0"/>
        </w:rPr>
        <w:t xml:space="preserve"> the </w:t>
      </w:r>
      <w:r>
        <w:rPr>
          <w:kern w:val="0"/>
        </w:rPr>
        <w:t>internet, research is required to evaluate under which conditions</w:t>
      </w:r>
      <w:r w:rsidR="005853A9">
        <w:rPr>
          <w:kern w:val="0"/>
        </w:rPr>
        <w:t xml:space="preserve"> and </w:t>
      </w:r>
      <w:r>
        <w:rPr>
          <w:kern w:val="0"/>
        </w:rPr>
        <w:t>for whom electronic support groups are effective</w:t>
      </w:r>
      <w:r w:rsidR="005853A9">
        <w:rPr>
          <w:kern w:val="0"/>
        </w:rPr>
        <w:t xml:space="preserve"> and </w:t>
      </w:r>
      <w:r>
        <w:rPr>
          <w:kern w:val="0"/>
        </w:rPr>
        <w:t>how effectiveness in delivering social support electronically can be maximised.</w:t>
      </w:r>
    </w:p>
    <w:p w:rsidR="00255950" w:rsidRDefault="00255950" w:rsidP="00255950">
      <w:pPr>
        <w:pStyle w:val="a3"/>
        <w:rPr>
          <w:kern w:val="0"/>
        </w:rPr>
      </w:pPr>
      <w:r>
        <w:rPr>
          <w:kern w:val="0"/>
        </w:rPr>
        <w:t xml:space="preserve">Keywords: Cohort Studies, Cohort Study, Communication, Consumer, Control, Control Groups, Depression, Dissertations, Effectiveness, Health, Healthcare Professionals, Impact, Information, Information Systems, Internet, Intervention, Interventions, Involvement, Network, Outcome, Outcomes, Publications, Quality, Research, Review, Science, Social, Systematic, Systematic Review, Trial, </w:t>
      </w:r>
      <w:r w:rsidR="00D5664A">
        <w:rPr>
          <w:kern w:val="0"/>
        </w:rPr>
        <w:t>Web</w:t>
      </w:r>
      <w:r w:rsidR="00427468">
        <w:rPr>
          <w:kern w:val="0"/>
        </w:rPr>
        <w:t xml:space="preserve"> of </w:t>
      </w:r>
      <w:r w:rsidR="00D5664A">
        <w:rPr>
          <w:kern w:val="0"/>
        </w:rPr>
        <w:t>Science</w:t>
      </w:r>
    </w:p>
    <w:p w:rsidR="003474F2" w:rsidRPr="001A3D2B" w:rsidRDefault="003474F2" w:rsidP="003474F2">
      <w:pPr>
        <w:pStyle w:val="a3"/>
      </w:pPr>
      <w:r w:rsidRPr="001A3D2B">
        <w:t xml:space="preserve">? Perneger, T.V. (2004), Relation between online </w:t>
      </w:r>
      <w:r w:rsidR="00B5188C">
        <w:t>“</w:t>
      </w:r>
      <w:r w:rsidRPr="001A3D2B">
        <w:t>hit counts</w:t>
      </w:r>
      <w:r w:rsidR="00B5188C">
        <w:t>”</w:t>
      </w:r>
      <w:r w:rsidR="005853A9">
        <w:t xml:space="preserve"> and </w:t>
      </w:r>
      <w:r w:rsidRPr="001A3D2B">
        <w:t>subsequent citations: prospective study</w:t>
      </w:r>
      <w:r w:rsidR="00427468">
        <w:t xml:space="preserve"> of </w:t>
      </w:r>
      <w:r w:rsidRPr="001A3D2B">
        <w:t>research papers in</w:t>
      </w:r>
      <w:r w:rsidR="003A1917">
        <w:t xml:space="preserve"> the </w:t>
      </w:r>
      <w:r w:rsidRPr="001A3D2B">
        <w:t xml:space="preserve">BMJ. </w:t>
      </w:r>
      <w:r w:rsidRPr="001A3D2B">
        <w:rPr>
          <w:i/>
          <w:iCs/>
        </w:rPr>
        <w:t>British Medical Journal</w:t>
      </w:r>
      <w:r w:rsidRPr="001A3D2B">
        <w:t xml:space="preserve">, </w:t>
      </w:r>
      <w:r w:rsidRPr="001A3D2B">
        <w:rPr>
          <w:b/>
          <w:bCs/>
        </w:rPr>
        <w:t>329</w:t>
      </w:r>
      <w:r w:rsidRPr="001A3D2B">
        <w:t xml:space="preserve"> (7465), 546-547.</w:t>
      </w:r>
    </w:p>
    <w:p w:rsidR="003474F2" w:rsidRPr="001A3D2B" w:rsidRDefault="003474F2" w:rsidP="003474F2">
      <w:pPr>
        <w:pStyle w:val="a3"/>
      </w:pPr>
      <w:r w:rsidRPr="001A3D2B">
        <w:t xml:space="preserve">Full Text: </w:t>
      </w:r>
      <w:hyperlink r:id="rId2037" w:history="1">
        <w:r w:rsidRPr="001A3D2B">
          <w:rPr>
            <w:rStyle w:val="a5"/>
          </w:rPr>
          <w:t>2005\Bri Med J329, 546.pdf</w:t>
        </w:r>
      </w:hyperlink>
    </w:p>
    <w:p w:rsidR="003474F2" w:rsidRPr="001A3D2B" w:rsidRDefault="003474F2" w:rsidP="003474F2">
      <w:pPr>
        <w:pStyle w:val="a3"/>
      </w:pPr>
      <w:r w:rsidRPr="001A3D2B">
        <w:t>Keywords: Quality</w:t>
      </w:r>
    </w:p>
    <w:p w:rsidR="003474F2" w:rsidRPr="001A3D2B" w:rsidRDefault="003474F2" w:rsidP="003474F2">
      <w:pPr>
        <w:pStyle w:val="a3"/>
      </w:pPr>
      <w:r w:rsidRPr="001A3D2B">
        <w:t>Altman, D.G.</w:t>
      </w:r>
      <w:r w:rsidR="005853A9">
        <w:t xml:space="preserve"> and </w:t>
      </w:r>
      <w:r w:rsidRPr="001A3D2B">
        <w:t>CONSORT Group (2005), Endorsement</w:t>
      </w:r>
      <w:r w:rsidR="00427468">
        <w:t xml:space="preserve"> of </w:t>
      </w:r>
      <w:r w:rsidR="003A1917">
        <w:t xml:space="preserve">the </w:t>
      </w:r>
      <w:r w:rsidRPr="001A3D2B">
        <w:t>CONSORT statement by high impact medical journals: Survey</w:t>
      </w:r>
      <w:r w:rsidR="00427468">
        <w:t xml:space="preserve"> of </w:t>
      </w:r>
      <w:r w:rsidRPr="001A3D2B">
        <w:t xml:space="preserve">instructions for authors. </w:t>
      </w:r>
      <w:r w:rsidRPr="001A3D2B">
        <w:rPr>
          <w:i/>
          <w:iCs/>
        </w:rPr>
        <w:t>British Medical Journal</w:t>
      </w:r>
      <w:r w:rsidRPr="001A3D2B">
        <w:t xml:space="preserve">, </w:t>
      </w:r>
      <w:r w:rsidRPr="001A3D2B">
        <w:rPr>
          <w:b/>
          <w:bCs/>
        </w:rPr>
        <w:t>330</w:t>
      </w:r>
      <w:r w:rsidRPr="001A3D2B">
        <w:t xml:space="preserve"> (7499), 1056-1057.</w:t>
      </w:r>
    </w:p>
    <w:p w:rsidR="003474F2" w:rsidRPr="001A3D2B" w:rsidRDefault="003474F2" w:rsidP="003474F2">
      <w:pPr>
        <w:pStyle w:val="a3"/>
      </w:pPr>
      <w:r w:rsidRPr="001A3D2B">
        <w:t xml:space="preserve">Full Text: </w:t>
      </w:r>
      <w:hyperlink r:id="rId2038" w:history="1">
        <w:r w:rsidRPr="001A3D2B">
          <w:rPr>
            <w:rStyle w:val="a5"/>
          </w:rPr>
          <w:t>2005\Bri Med J330, 1056.pdf</w:t>
        </w:r>
      </w:hyperlink>
    </w:p>
    <w:p w:rsidR="003474F2" w:rsidRPr="001A3D2B" w:rsidRDefault="003474F2" w:rsidP="003474F2">
      <w:pPr>
        <w:pStyle w:val="a3"/>
      </w:pPr>
      <w:r w:rsidRPr="001A3D2B">
        <w:t>Keywords: Randomized Controlled Trials, Quality</w:t>
      </w:r>
    </w:p>
    <w:p w:rsidR="003474F2" w:rsidRPr="001A3D2B" w:rsidRDefault="003474F2" w:rsidP="003474F2">
      <w:pPr>
        <w:pStyle w:val="a3"/>
      </w:pPr>
      <w:r w:rsidRPr="001A3D2B">
        <w:t>? Wren, J.D. (2005), Open access</w:t>
      </w:r>
      <w:r w:rsidR="005853A9">
        <w:t xml:space="preserve"> and </w:t>
      </w:r>
      <w:r w:rsidRPr="001A3D2B">
        <w:t>openly accessible: A study</w:t>
      </w:r>
      <w:r w:rsidR="00427468">
        <w:t xml:space="preserve"> of </w:t>
      </w:r>
      <w:r w:rsidRPr="001A3D2B">
        <w:t>scientific publications shared via</w:t>
      </w:r>
      <w:r w:rsidR="003A1917">
        <w:t xml:space="preserve"> the </w:t>
      </w:r>
      <w:r w:rsidRPr="001A3D2B">
        <w:t xml:space="preserve">internet. </w:t>
      </w:r>
      <w:r w:rsidRPr="001A3D2B">
        <w:rPr>
          <w:i/>
          <w:iCs/>
        </w:rPr>
        <w:t>British Medical Journal</w:t>
      </w:r>
      <w:r w:rsidRPr="001A3D2B">
        <w:t xml:space="preserve">, </w:t>
      </w:r>
      <w:r w:rsidRPr="001A3D2B">
        <w:rPr>
          <w:b/>
          <w:bCs/>
        </w:rPr>
        <w:t>330</w:t>
      </w:r>
      <w:r w:rsidRPr="001A3D2B">
        <w:t xml:space="preserve"> (7500), 1128-1131.</w:t>
      </w:r>
    </w:p>
    <w:p w:rsidR="003474F2" w:rsidRPr="001A3D2B" w:rsidRDefault="003474F2" w:rsidP="003474F2">
      <w:pPr>
        <w:pStyle w:val="a3"/>
      </w:pPr>
      <w:r w:rsidRPr="001A3D2B">
        <w:t xml:space="preserve">Full Text: </w:t>
      </w:r>
      <w:hyperlink r:id="rId2039" w:history="1">
        <w:r w:rsidRPr="001A3D2B">
          <w:rPr>
            <w:rStyle w:val="a5"/>
          </w:rPr>
          <w:t>2008\Bri Med J330, 1128.pdf</w:t>
        </w:r>
      </w:hyperlink>
    </w:p>
    <w:p w:rsidR="003474F2" w:rsidRPr="001A3D2B" w:rsidRDefault="003474F2" w:rsidP="003474F2">
      <w:pPr>
        <w:pStyle w:val="a3"/>
      </w:pPr>
      <w:r w:rsidRPr="001A3D2B">
        <w:t>Abstract: Objectives To determine how often reprints</w:t>
      </w:r>
      <w:r w:rsidR="00427468">
        <w:t xml:space="preserve"> of </w:t>
      </w:r>
      <w:r w:rsidRPr="001A3D2B">
        <w:t>scientific publications are shared online, whether journal readership level is a predictor, how</w:t>
      </w:r>
      <w:r w:rsidR="003A1917">
        <w:t xml:space="preserve"> the </w:t>
      </w:r>
      <w:r w:rsidRPr="001A3D2B">
        <w:t>amount</w:t>
      </w:r>
      <w:r w:rsidR="00427468">
        <w:t xml:space="preserve"> of </w:t>
      </w:r>
      <w:r w:rsidRPr="001A3D2B">
        <w:t>file sharing changes with</w:t>
      </w:r>
      <w:r w:rsidR="003A1917">
        <w:t xml:space="preserve"> the </w:t>
      </w:r>
      <w:r w:rsidRPr="001A3D2B">
        <w:t>age</w:t>
      </w:r>
      <w:r w:rsidR="00427468">
        <w:t xml:space="preserve"> of </w:t>
      </w:r>
      <w:r w:rsidR="003A1917">
        <w:t xml:space="preserve">the </w:t>
      </w:r>
      <w:r w:rsidRPr="001A3D2B">
        <w:t>article,</w:t>
      </w:r>
      <w:r w:rsidR="005853A9">
        <w:t xml:space="preserve"> and </w:t>
      </w:r>
      <w:r w:rsidRPr="001A3D2B">
        <w:t>to what degree open access publications are shared on non-journal websites. Design</w:t>
      </w:r>
      <w:r w:rsidR="003A1917">
        <w:t xml:space="preserve"> the </w:t>
      </w:r>
      <w:r w:rsidRPr="001A3D2B">
        <w:t>internet was searched using an application programming interface to Google, a popular</w:t>
      </w:r>
      <w:r w:rsidR="005853A9">
        <w:t xml:space="preserve"> and </w:t>
      </w:r>
      <w:r w:rsidRPr="001A3D2B">
        <w:t>freely available search engine. Main outcome measures</w:t>
      </w:r>
      <w:r w:rsidR="00A37C1D">
        <w:t>. The</w:t>
      </w:r>
      <w:r w:rsidR="003A1917">
        <w:t xml:space="preserve"> </w:t>
      </w:r>
      <w:r w:rsidRPr="001A3D2B">
        <w:t>proportion</w:t>
      </w:r>
      <w:r w:rsidR="00427468">
        <w:t xml:space="preserve"> of </w:t>
      </w:r>
      <w:r w:rsidRPr="001A3D2B">
        <w:t>reprints</w:t>
      </w:r>
      <w:r w:rsidR="00427468">
        <w:t xml:space="preserve"> of </w:t>
      </w:r>
      <w:r w:rsidRPr="001A3D2B">
        <w:t>journal articles published between 1994</w:t>
      </w:r>
      <w:r w:rsidR="005853A9">
        <w:t xml:space="preserve"> and </w:t>
      </w:r>
      <w:r w:rsidRPr="001A3D2B">
        <w:t>2004 from within 13 subscription based</w:t>
      </w:r>
      <w:r w:rsidR="005853A9">
        <w:t xml:space="preserve"> and </w:t>
      </w:r>
      <w:r w:rsidRPr="001A3D2B">
        <w:t>four open access journals that could be located online at non-journal websites. Results</w:t>
      </w:r>
      <w:r w:rsidR="003A1917">
        <w:t xml:space="preserve"> the </w:t>
      </w:r>
      <w:r w:rsidRPr="001A3D2B">
        <w:t>probability that an article could be found online at a non-journal website correlated with</w:t>
      </w:r>
      <w:r w:rsidR="003A1917">
        <w:t xml:space="preserve"> the </w:t>
      </w:r>
      <w:r w:rsidRPr="001A3D2B">
        <w:t>journal impact factor</w:t>
      </w:r>
      <w:r w:rsidR="005853A9">
        <w:t xml:space="preserve"> and </w:t>
      </w:r>
      <w:r w:rsidR="003A1917">
        <w:t xml:space="preserve">the </w:t>
      </w:r>
      <w:r w:rsidRPr="001A3D2B">
        <w:t>time since initial publication. Papers from higher impact journals</w:t>
      </w:r>
      <w:r w:rsidR="005853A9">
        <w:t xml:space="preserve"> and </w:t>
      </w:r>
      <w:r w:rsidRPr="001A3D2B">
        <w:t xml:space="preserve">more recent articles were more likely to be located. On </w:t>
      </w:r>
      <w:r w:rsidRPr="001A3D2B">
        <w:lastRenderedPageBreak/>
        <w:t>average, for</w:t>
      </w:r>
      <w:r w:rsidR="003A1917">
        <w:t xml:space="preserve"> the </w:t>
      </w:r>
      <w:r w:rsidRPr="001A3D2B">
        <w:t>high impact journal articles published in 2003, over a third could be located at non-journal websites. Similar trends were observed for</w:t>
      </w:r>
      <w:r w:rsidR="003A1917">
        <w:t xml:space="preserve"> the </w:t>
      </w:r>
      <w:r w:rsidRPr="001A3D2B">
        <w:t>delayed or full open access publications. Conclusions Decentralised sharing</w:t>
      </w:r>
      <w:r w:rsidR="00427468">
        <w:t xml:space="preserve"> of </w:t>
      </w:r>
      <w:r w:rsidRPr="001A3D2B">
        <w:t>scientific reprints through</w:t>
      </w:r>
      <w:r w:rsidR="003A1917">
        <w:t xml:space="preserve"> the </w:t>
      </w:r>
      <w:r w:rsidRPr="001A3D2B">
        <w:t>internet creates a degree</w:t>
      </w:r>
      <w:r w:rsidR="00427468">
        <w:t xml:space="preserve"> of </w:t>
      </w:r>
      <w:r w:rsidRPr="001A3D2B">
        <w:t>de facto open access that, although highly incomplete in its coverage, is none</w:t>
      </w:r>
      <w:r w:rsidR="003A1917">
        <w:t xml:space="preserve"> the </w:t>
      </w:r>
      <w:r w:rsidRPr="001A3D2B">
        <w:t>less biased towards publications</w:t>
      </w:r>
      <w:r w:rsidR="00427468">
        <w:t xml:space="preserve"> of </w:t>
      </w:r>
      <w:r w:rsidRPr="001A3D2B">
        <w:t>higher popular demand.</w:t>
      </w:r>
    </w:p>
    <w:p w:rsidR="003474F2" w:rsidRPr="001A3D2B" w:rsidRDefault="003474F2" w:rsidP="003474F2">
      <w:pPr>
        <w:pStyle w:val="a3"/>
      </w:pPr>
      <w:r w:rsidRPr="001A3D2B">
        <w:t>Keywords: Access, Age, Application, Changes, Coverage, Demand, Engine, Impact, Impact Factor, Journal, Journal Articles, Journal Impact, Journal Impact Factor, Journals, Open, Open Access, Outcome, Outcome Measures, Programming, Publication, Publications, Scientific Publications, Trends</w:t>
      </w:r>
    </w:p>
    <w:p w:rsidR="003474F2" w:rsidRPr="001A3D2B" w:rsidRDefault="003474F2" w:rsidP="003474F2">
      <w:pPr>
        <w:pStyle w:val="a3"/>
      </w:pPr>
      <w:r w:rsidRPr="001A3D2B">
        <w:t>Notes: CCountry</w:t>
      </w:r>
    </w:p>
    <w:p w:rsidR="003474F2" w:rsidRPr="001A3D2B" w:rsidRDefault="003474F2" w:rsidP="003474F2">
      <w:pPr>
        <w:pStyle w:val="a3"/>
      </w:pPr>
      <w:r w:rsidRPr="001A3D2B">
        <w:t>? Soteriades, E.S.</w:t>
      </w:r>
      <w:r w:rsidR="005853A9">
        <w:t xml:space="preserve"> and </w:t>
      </w:r>
      <w:r w:rsidRPr="001A3D2B">
        <w:t xml:space="preserve">Falagas, </w:t>
      </w:r>
      <w:smartTag w:uri="urn:schemas-microsoft-com:office:smarttags" w:element="State">
        <w:r w:rsidRPr="001A3D2B">
          <w:t>M.E.</w:t>
        </w:r>
      </w:smartTag>
      <w:r w:rsidRPr="001A3D2B">
        <w:t xml:space="preserve"> (2005), Comparison</w:t>
      </w:r>
      <w:r w:rsidR="00427468">
        <w:t xml:space="preserve"> of </w:t>
      </w:r>
      <w:r w:rsidRPr="001A3D2B">
        <w:t>amount</w:t>
      </w:r>
      <w:r w:rsidR="00427468">
        <w:t xml:space="preserve"> of </w:t>
      </w:r>
      <w:r w:rsidRPr="001A3D2B">
        <w:t>biomedical research originating from</w:t>
      </w:r>
      <w:r w:rsidR="003A1917">
        <w:t xml:space="preserve"> the </w:t>
      </w:r>
      <w:r w:rsidRPr="001A3D2B">
        <w:t>European Union</w:t>
      </w:r>
      <w:r w:rsidR="005853A9">
        <w:t xml:space="preserve"> and </w:t>
      </w:r>
      <w:r w:rsidR="003A1917">
        <w:t xml:space="preserve">the </w:t>
      </w:r>
      <w:r w:rsidRPr="001A3D2B">
        <w:t xml:space="preserve">United States. </w:t>
      </w:r>
      <w:r w:rsidRPr="001A3D2B">
        <w:rPr>
          <w:i/>
          <w:iCs/>
        </w:rPr>
        <w:t>British Medical Journal</w:t>
      </w:r>
      <w:r w:rsidRPr="001A3D2B">
        <w:t xml:space="preserve">, </w:t>
      </w:r>
      <w:r w:rsidRPr="001A3D2B">
        <w:rPr>
          <w:b/>
          <w:bCs/>
        </w:rPr>
        <w:t>331</w:t>
      </w:r>
      <w:r w:rsidRPr="001A3D2B">
        <w:t xml:space="preserve"> (7510), 192-194.</w:t>
      </w:r>
    </w:p>
    <w:p w:rsidR="003474F2" w:rsidRPr="001A3D2B" w:rsidRDefault="003474F2" w:rsidP="003474F2">
      <w:pPr>
        <w:pStyle w:val="a3"/>
      </w:pPr>
      <w:r w:rsidRPr="001A3D2B">
        <w:t xml:space="preserve">Full Text: </w:t>
      </w:r>
      <w:hyperlink r:id="rId2040" w:history="1">
        <w:r w:rsidRPr="001A3D2B">
          <w:rPr>
            <w:rStyle w:val="a5"/>
          </w:rPr>
          <w:t>2005\Bri Med J331, 192.pdf</w:t>
        </w:r>
      </w:hyperlink>
    </w:p>
    <w:p w:rsidR="003474F2" w:rsidRPr="001A3D2B" w:rsidRDefault="003474F2" w:rsidP="003474F2">
      <w:pPr>
        <w:pStyle w:val="a3"/>
      </w:pPr>
      <w:r w:rsidRPr="001A3D2B">
        <w:t>Abstract: Objective To examine</w:t>
      </w:r>
      <w:r w:rsidR="005853A9">
        <w:t xml:space="preserve"> and </w:t>
      </w:r>
      <w:r w:rsidRPr="001A3D2B">
        <w:t>compare</w:t>
      </w:r>
      <w:r w:rsidR="003A1917">
        <w:t xml:space="preserve"> the </w:t>
      </w:r>
      <w:r w:rsidRPr="001A3D2B">
        <w:t>research productivity</w:t>
      </w:r>
      <w:r w:rsidR="00427468">
        <w:t xml:space="preserve"> of </w:t>
      </w:r>
      <w:r w:rsidR="003A1917">
        <w:t xml:space="preserve">the </w:t>
      </w:r>
      <w:r w:rsidRPr="001A3D2B">
        <w:t>European Union,</w:t>
      </w:r>
      <w:r w:rsidR="003A1917">
        <w:t xml:space="preserve"> the </w:t>
      </w:r>
      <w:r w:rsidRPr="001A3D2B">
        <w:t xml:space="preserve">four </w:t>
      </w:r>
      <w:r w:rsidR="00700038">
        <w:t>‘</w:t>
      </w:r>
      <w:r w:rsidRPr="001A3D2B">
        <w:t>candidate</w:t>
      </w:r>
      <w:r w:rsidR="00700038">
        <w:t>’</w:t>
      </w:r>
      <w:r w:rsidRPr="001A3D2B">
        <w:t xml:space="preserve"> countries (those currently waiting to join</w:t>
      </w:r>
      <w:r w:rsidR="003A1917">
        <w:t xml:space="preserve"> the </w:t>
      </w:r>
      <w:r w:rsidRPr="001A3D2B">
        <w:t>EU),</w:t>
      </w:r>
      <w:r w:rsidR="005853A9">
        <w:t xml:space="preserve"> and </w:t>
      </w:r>
      <w:r w:rsidR="003A1917">
        <w:t xml:space="preserve">the </w:t>
      </w:r>
      <w:r w:rsidRPr="001A3D2B">
        <w:t>United States in several fields</w:t>
      </w:r>
      <w:r w:rsidR="00427468">
        <w:t xml:space="preserve"> of </w:t>
      </w:r>
      <w:r w:rsidRPr="001A3D2B">
        <w:t>biomedical sciences. Design A retrospective observational study-bibliometric analysis. Data sources Manuscripts published by authors from each country separately</w:t>
      </w:r>
      <w:r w:rsidR="005853A9">
        <w:t xml:space="preserve"> and </w:t>
      </w:r>
      <w:r w:rsidRPr="001A3D2B">
        <w:t>from each group</w:t>
      </w:r>
      <w:r w:rsidR="00427468">
        <w:t xml:space="preserve"> of </w:t>
      </w:r>
      <w:r w:rsidRPr="001A3D2B">
        <w:t>countries for</w:t>
      </w:r>
      <w:r w:rsidR="003A1917">
        <w:t xml:space="preserve"> the </w:t>
      </w:r>
      <w:r w:rsidRPr="001A3D2B">
        <w:t>period 1994 to 2004</w:t>
      </w:r>
      <w:r w:rsidR="005853A9">
        <w:t xml:space="preserve"> and </w:t>
      </w:r>
      <w:r w:rsidRPr="001A3D2B">
        <w:t>included in</w:t>
      </w:r>
      <w:r w:rsidR="003A1917">
        <w:t xml:space="preserve"> the </w:t>
      </w:r>
      <w:r w:rsidRPr="001A3D2B">
        <w:t>Essential Science Indicators database</w:t>
      </w:r>
      <w:r w:rsidR="00427468">
        <w:t xml:space="preserve"> of </w:t>
      </w:r>
      <w:r w:rsidR="003A1917">
        <w:t xml:space="preserve">the </w:t>
      </w:r>
      <w:r w:rsidRPr="001A3D2B">
        <w:t>Institute</w:t>
      </w:r>
      <w:r w:rsidR="00427468">
        <w:t xml:space="preserve"> of </w:t>
      </w:r>
      <w:r w:rsidRPr="001A3D2B">
        <w:t>Scientific Information. Main outcome measures Number</w:t>
      </w:r>
      <w:r w:rsidR="00427468">
        <w:t xml:space="preserve"> of </w:t>
      </w:r>
      <w:r w:rsidRPr="001A3D2B">
        <w:t>published articles</w:t>
      </w:r>
      <w:r w:rsidR="005853A9">
        <w:t xml:space="preserve"> and </w:t>
      </w:r>
      <w:r w:rsidRPr="001A3D2B">
        <w:t>number</w:t>
      </w:r>
      <w:r w:rsidR="00427468">
        <w:t xml:space="preserve"> of </w:t>
      </w:r>
      <w:r w:rsidRPr="001A3D2B">
        <w:t>citations, adjusted for gross domestic product</w:t>
      </w:r>
      <w:r w:rsidR="005853A9">
        <w:t xml:space="preserve"> and </w:t>
      </w:r>
      <w:r w:rsidRPr="001A3D2B">
        <w:t>population size. Results 1485 749 articles were published by authors from</w:t>
      </w:r>
      <w:r w:rsidR="003A1917">
        <w:t xml:space="preserve"> the </w:t>
      </w:r>
      <w:r w:rsidRPr="001A3D2B">
        <w:t>EU compared with 1 56 805 from</w:t>
      </w:r>
      <w:r w:rsidR="003A1917">
        <w:t xml:space="preserve"> the </w:t>
      </w:r>
      <w:r w:rsidRPr="001A3D2B">
        <w:t>US</w:t>
      </w:r>
      <w:r w:rsidR="00A37C1D">
        <w:t>. The</w:t>
      </w:r>
      <w:r w:rsidR="003A1917">
        <w:t xml:space="preserve"> </w:t>
      </w:r>
      <w:r w:rsidRPr="001A3D2B">
        <w:t>research productivity</w:t>
      </w:r>
      <w:r w:rsidR="00427468">
        <w:t xml:space="preserve"> of </w:t>
      </w:r>
      <w:r w:rsidR="003A1917">
        <w:t xml:space="preserve">the </w:t>
      </w:r>
      <w:r w:rsidRPr="001A3D2B">
        <w:t>first 15 countries to join</w:t>
      </w:r>
      <w:r w:rsidR="003A1917">
        <w:t xml:space="preserve"> the </w:t>
      </w:r>
      <w:r w:rsidRPr="001A3D2B">
        <w:t>EU, adjusted for population, was lower (76%) than that</w:t>
      </w:r>
      <w:r w:rsidR="00427468">
        <w:t xml:space="preserve"> of </w:t>
      </w:r>
      <w:r w:rsidR="003A1917">
        <w:t xml:space="preserve">the </w:t>
      </w:r>
      <w:r w:rsidRPr="001A3D2B">
        <w:t>US-and even lower (66%) when</w:t>
      </w:r>
      <w:r w:rsidR="003A1917">
        <w:t xml:space="preserve"> the </w:t>
      </w:r>
      <w:r w:rsidRPr="001A3D2B">
        <w:t>10 newest EU countries were included in</w:t>
      </w:r>
      <w:r w:rsidR="003A1917">
        <w:t xml:space="preserve"> the </w:t>
      </w:r>
      <w:r w:rsidRPr="001A3D2B">
        <w:t>analysis. Conclusion</w:t>
      </w:r>
      <w:r w:rsidR="003A1917">
        <w:t xml:space="preserve"> the </w:t>
      </w:r>
      <w:r w:rsidRPr="001A3D2B">
        <w:t>newest EU members</w:t>
      </w:r>
      <w:r w:rsidR="005853A9">
        <w:t xml:space="preserve"> and </w:t>
      </w:r>
      <w:r w:rsidRPr="001A3D2B">
        <w:t>die EU candidate countries need further help</w:t>
      </w:r>
      <w:r w:rsidR="005853A9">
        <w:t xml:space="preserve"> and </w:t>
      </w:r>
      <w:r w:rsidRPr="001A3D2B">
        <w:t>resources to increase their productivity, thereby improving</w:t>
      </w:r>
      <w:r w:rsidR="003A1917">
        <w:t xml:space="preserve"> the </w:t>
      </w:r>
      <w:r w:rsidRPr="001A3D2B">
        <w:t>productivity</w:t>
      </w:r>
      <w:r w:rsidR="00427468">
        <w:t xml:space="preserve"> of </w:t>
      </w:r>
      <w:r w:rsidR="003A1917">
        <w:t xml:space="preserve">the </w:t>
      </w:r>
      <w:r w:rsidRPr="001A3D2B">
        <w:t>EU as a whole.</w:t>
      </w:r>
    </w:p>
    <w:p w:rsidR="003474F2" w:rsidRPr="001A3D2B" w:rsidRDefault="003474F2" w:rsidP="003474F2">
      <w:pPr>
        <w:pStyle w:val="a3"/>
      </w:pPr>
      <w:r w:rsidRPr="001A3D2B">
        <w:t xml:space="preserve">Keywords: Biomedical Research, EU, European Union, Journals, Research, Research Productivity, Sciences, </w:t>
      </w:r>
      <w:smartTag w:uri="urn:schemas-microsoft-com:office:smarttags" w:element="place">
        <w:smartTag w:uri="urn:schemas-microsoft-com:office:smarttags" w:element="City">
          <w:r w:rsidRPr="001A3D2B">
            <w:t>Size</w:t>
          </w:r>
        </w:smartTag>
        <w:r w:rsidRPr="001A3D2B">
          <w:t xml:space="preserve">, </w:t>
        </w:r>
        <w:smartTag w:uri="urn:schemas-microsoft-com:office:smarttags" w:element="country-region">
          <w:r w:rsidRPr="001A3D2B">
            <w:t>US</w:t>
          </w:r>
        </w:smartTag>
      </w:smartTag>
    </w:p>
    <w:p w:rsidR="00D502BA" w:rsidRDefault="00D502BA" w:rsidP="00D502BA">
      <w:pPr>
        <w:pStyle w:val="a3"/>
        <w:rPr>
          <w:kern w:val="0"/>
        </w:rPr>
      </w:pPr>
      <w:r>
        <w:rPr>
          <w:rFonts w:hint="eastAsia"/>
          <w:kern w:val="0"/>
        </w:rPr>
        <w:t xml:space="preserve">? </w:t>
      </w:r>
      <w:r>
        <w:rPr>
          <w:kern w:val="0"/>
        </w:rPr>
        <w:t>Biau, D.J., Tournoux, C., Katsahian, S., Schranz, P.J.</w:t>
      </w:r>
      <w:r w:rsidR="005853A9">
        <w:rPr>
          <w:kern w:val="0"/>
        </w:rPr>
        <w:t xml:space="preserve"> and </w:t>
      </w:r>
      <w:r>
        <w:rPr>
          <w:kern w:val="0"/>
        </w:rPr>
        <w:t>Nizard, R.S. (2006), Bone-patellar tendon-bone autografts versus hamstring autografts for reconstruction</w:t>
      </w:r>
      <w:r w:rsidR="00427468">
        <w:rPr>
          <w:kern w:val="0"/>
        </w:rPr>
        <w:t xml:space="preserve"> of </w:t>
      </w:r>
      <w:r>
        <w:rPr>
          <w:kern w:val="0"/>
        </w:rPr>
        <w:t xml:space="preserve">anterior cruciate ligament: Meta-analysis. </w:t>
      </w:r>
      <w:r>
        <w:rPr>
          <w:i/>
          <w:iCs/>
          <w:kern w:val="0"/>
        </w:rPr>
        <w:t>British Medical Journal</w:t>
      </w:r>
      <w:r>
        <w:rPr>
          <w:kern w:val="0"/>
        </w:rPr>
        <w:t xml:space="preserve">, </w:t>
      </w:r>
      <w:r>
        <w:rPr>
          <w:b/>
          <w:bCs/>
          <w:kern w:val="0"/>
        </w:rPr>
        <w:t>332</w:t>
      </w:r>
      <w:r>
        <w:rPr>
          <w:kern w:val="0"/>
        </w:rPr>
        <w:t xml:space="preserve"> (7548), 995-998.</w:t>
      </w:r>
    </w:p>
    <w:p w:rsidR="00D502BA" w:rsidRDefault="00D502BA" w:rsidP="00D502BA">
      <w:pPr>
        <w:pStyle w:val="a3"/>
      </w:pPr>
      <w:r>
        <w:t>Full Text:</w:t>
      </w:r>
      <w:r w:rsidRPr="00FC7835">
        <w:t xml:space="preserve"> </w:t>
      </w:r>
      <w:hyperlink r:id="rId2041" w:history="1">
        <w:r w:rsidRPr="00D502BA">
          <w:rPr>
            <w:rStyle w:val="a5"/>
          </w:rPr>
          <w:t>2006\Bri Med J332, 995.pdf</w:t>
        </w:r>
      </w:hyperlink>
    </w:p>
    <w:p w:rsidR="00D502BA" w:rsidRDefault="00D502BA" w:rsidP="00D502BA">
      <w:pPr>
        <w:pStyle w:val="a3"/>
        <w:rPr>
          <w:kern w:val="0"/>
        </w:rPr>
      </w:pPr>
      <w:r>
        <w:rPr>
          <w:kern w:val="0"/>
        </w:rPr>
        <w:t>Abstract: Objectives To compare bone-patellar tendon-bone autografts with hamstring autografts for reconstruction</w:t>
      </w:r>
      <w:r w:rsidR="00427468">
        <w:rPr>
          <w:kern w:val="0"/>
        </w:rPr>
        <w:t xml:space="preserve"> of </w:t>
      </w:r>
      <w:r w:rsidR="003A1917">
        <w:rPr>
          <w:kern w:val="0"/>
        </w:rPr>
        <w:t xml:space="preserve">the </w:t>
      </w:r>
      <w:r>
        <w:rPr>
          <w:kern w:val="0"/>
        </w:rPr>
        <w:t xml:space="preserve">anterior cruciate ligament. Data sources </w:t>
      </w:r>
      <w:r w:rsidR="00D5664A">
        <w:rPr>
          <w:kern w:val="0"/>
        </w:rPr>
        <w:lastRenderedPageBreak/>
        <w:t>MEDLINE</w:t>
      </w:r>
      <w:r>
        <w:rPr>
          <w:kern w:val="0"/>
        </w:rPr>
        <w:t>, WebSPIRS, Science Citation Index. Current Contents databases,</w:t>
      </w:r>
      <w:r w:rsidR="005853A9">
        <w:rPr>
          <w:kern w:val="0"/>
        </w:rPr>
        <w:t xml:space="preserve"> and </w:t>
      </w:r>
      <w:r>
        <w:rPr>
          <w:kern w:val="0"/>
        </w:rPr>
        <w:t>Cochrane Central Register</w:t>
      </w:r>
      <w:r w:rsidR="00427468">
        <w:rPr>
          <w:kern w:val="0"/>
        </w:rPr>
        <w:t xml:space="preserve"> of </w:t>
      </w:r>
      <w:r>
        <w:rPr>
          <w:kern w:val="0"/>
        </w:rPr>
        <w:t>Controlled Trials. Review methods All randomised controlled trials reporting one or more outcome related to stability (instrumented measurement</w:t>
      </w:r>
      <w:r w:rsidR="00427468">
        <w:rPr>
          <w:kern w:val="0"/>
        </w:rPr>
        <w:t xml:space="preserve"> of </w:t>
      </w:r>
      <w:r>
        <w:rPr>
          <w:kern w:val="0"/>
        </w:rPr>
        <w:t>knee laxity, Lachman test, or pivot shift test)</w:t>
      </w:r>
      <w:r w:rsidR="005853A9">
        <w:rPr>
          <w:kern w:val="0"/>
        </w:rPr>
        <w:t xml:space="preserve"> and </w:t>
      </w:r>
      <w:r>
        <w:rPr>
          <w:kern w:val="0"/>
        </w:rPr>
        <w:t>Morbidity (anterior knee pain, kneeling test, loss</w:t>
      </w:r>
      <w:r w:rsidR="00427468">
        <w:rPr>
          <w:kern w:val="0"/>
        </w:rPr>
        <w:t xml:space="preserve"> of </w:t>
      </w:r>
      <w:r>
        <w:rPr>
          <w:kern w:val="0"/>
        </w:rPr>
        <w:t>extension, or graft. failure). Study quality was assessed by using a 5 point scale. Random effect models were used to pool</w:t>
      </w:r>
      <w:r w:rsidR="003A1917">
        <w:rPr>
          <w:kern w:val="0"/>
        </w:rPr>
        <w:t xml:space="preserve"> the </w:t>
      </w:r>
      <w:r>
        <w:rPr>
          <w:kern w:val="0"/>
        </w:rPr>
        <w:t>data. Heterogeneity in</w:t>
      </w:r>
      <w:r w:rsidR="003A1917">
        <w:rPr>
          <w:kern w:val="0"/>
        </w:rPr>
        <w:t xml:space="preserve"> the </w:t>
      </w:r>
      <w:r>
        <w:rPr>
          <w:kern w:val="0"/>
        </w:rPr>
        <w:t>effect</w:t>
      </w:r>
      <w:r w:rsidR="00427468">
        <w:rPr>
          <w:kern w:val="0"/>
        </w:rPr>
        <w:t xml:space="preserve"> of </w:t>
      </w:r>
      <w:r>
        <w:rPr>
          <w:kern w:val="0"/>
        </w:rPr>
        <w:t>treatment was tested on</w:t>
      </w:r>
      <w:r w:rsidR="003A1917">
        <w:rPr>
          <w:kern w:val="0"/>
        </w:rPr>
        <w:t xml:space="preserve"> the </w:t>
      </w:r>
      <w:r>
        <w:rPr>
          <w:kern w:val="0"/>
        </w:rPr>
        <w:t>basis</w:t>
      </w:r>
      <w:r w:rsidR="00427468">
        <w:rPr>
          <w:kern w:val="0"/>
        </w:rPr>
        <w:t xml:space="preserve"> of </w:t>
      </w:r>
      <w:r>
        <w:rPr>
          <w:kern w:val="0"/>
        </w:rPr>
        <w:t>study quality, randomisation status,</w:t>
      </w:r>
      <w:r w:rsidR="005853A9">
        <w:rPr>
          <w:kern w:val="0"/>
        </w:rPr>
        <w:t xml:space="preserve"> and </w:t>
      </w:r>
      <w:r>
        <w:rPr>
          <w:kern w:val="0"/>
        </w:rPr>
        <w:t>number</w:t>
      </w:r>
      <w:r w:rsidR="00427468">
        <w:rPr>
          <w:kern w:val="0"/>
        </w:rPr>
        <w:t xml:space="preserve"> of </w:t>
      </w:r>
      <w:r>
        <w:rPr>
          <w:kern w:val="0"/>
        </w:rPr>
        <w:t>tendon strands used. Results 24 trials</w:t>
      </w:r>
      <w:r w:rsidR="00427468">
        <w:rPr>
          <w:kern w:val="0"/>
        </w:rPr>
        <w:t xml:space="preserve"> of </w:t>
      </w:r>
      <w:r>
        <w:rPr>
          <w:kern w:val="0"/>
        </w:rPr>
        <w:t>18 cohorts (1512 patients) met</w:t>
      </w:r>
      <w:r w:rsidR="003A1917">
        <w:rPr>
          <w:kern w:val="0"/>
        </w:rPr>
        <w:t xml:space="preserve"> the </w:t>
      </w:r>
      <w:r>
        <w:rPr>
          <w:kern w:val="0"/>
        </w:rPr>
        <w:t>inclusion criteria. study quality was poor for nine studies</w:t>
      </w:r>
      <w:r w:rsidR="005853A9">
        <w:rPr>
          <w:kern w:val="0"/>
        </w:rPr>
        <w:t xml:space="preserve"> and </w:t>
      </w:r>
      <w:r>
        <w:rPr>
          <w:kern w:val="0"/>
        </w:rPr>
        <w:t>Fair for nine studies</w:t>
      </w:r>
      <w:r w:rsidR="00A37C1D">
        <w:rPr>
          <w:kern w:val="0"/>
        </w:rPr>
        <w:t>. The</w:t>
      </w:r>
      <w:r w:rsidR="003A1917">
        <w:rPr>
          <w:kern w:val="0"/>
        </w:rPr>
        <w:t xml:space="preserve"> </w:t>
      </w:r>
      <w:r>
        <w:rPr>
          <w:kern w:val="0"/>
        </w:rPr>
        <w:t>weighted mean difference</w:t>
      </w:r>
      <w:r w:rsidR="00427468">
        <w:rPr>
          <w:kern w:val="0"/>
        </w:rPr>
        <w:t xml:space="preserve"> of </w:t>
      </w:r>
      <w:r>
        <w:rPr>
          <w:kern w:val="0"/>
        </w:rPr>
        <w:t>die instrumented measurement</w:t>
      </w:r>
      <w:r w:rsidR="00427468">
        <w:rPr>
          <w:kern w:val="0"/>
        </w:rPr>
        <w:t xml:space="preserve"> of </w:t>
      </w:r>
      <w:r>
        <w:rPr>
          <w:kern w:val="0"/>
        </w:rPr>
        <w:t>knee laxity was 0.36 (95% confidence interval 0.01 to 0.71 P=0.04). Relative risk</w:t>
      </w:r>
      <w:r w:rsidR="00427468">
        <w:rPr>
          <w:kern w:val="0"/>
        </w:rPr>
        <w:t xml:space="preserve"> of </w:t>
      </w:r>
      <w:r>
        <w:rPr>
          <w:kern w:val="0"/>
        </w:rPr>
        <w:t>a positive Lachman test was 1.22 (1.01 to 1.47; P= 0.04),</w:t>
      </w:r>
      <w:r w:rsidR="00427468">
        <w:rPr>
          <w:kern w:val="0"/>
        </w:rPr>
        <w:t xml:space="preserve"> of </w:t>
      </w:r>
      <w:r>
        <w:rPr>
          <w:kern w:val="0"/>
        </w:rPr>
        <w:t>anterior knee pain 0.57 (0.44 to 0.74; P &lt; 0.0001),</w:t>
      </w:r>
      <w:r w:rsidR="00427468">
        <w:rPr>
          <w:kern w:val="0"/>
        </w:rPr>
        <w:t xml:space="preserve"> of </w:t>
      </w:r>
      <w:r>
        <w:rPr>
          <w:kern w:val="0"/>
        </w:rPr>
        <w:t>a positive kneeling test 0.26 (0.14 to 0.48; P &lt; 0.0001),</w:t>
      </w:r>
      <w:r w:rsidR="005853A9">
        <w:rPr>
          <w:kern w:val="0"/>
        </w:rPr>
        <w:t xml:space="preserve"> and</w:t>
      </w:r>
      <w:r w:rsidR="00427468">
        <w:rPr>
          <w:kern w:val="0"/>
        </w:rPr>
        <w:t xml:space="preserve"> of </w:t>
      </w:r>
      <w:r>
        <w:rPr>
          <w:kern w:val="0"/>
        </w:rPr>
        <w:t>loss</w:t>
      </w:r>
      <w:r w:rsidR="00427468">
        <w:rPr>
          <w:kern w:val="0"/>
        </w:rPr>
        <w:t xml:space="preserve"> of </w:t>
      </w:r>
      <w:r>
        <w:rPr>
          <w:kern w:val="0"/>
        </w:rPr>
        <w:t>extension 0.52 (0.34 to 0.80; P = 0.003). Other results were not significant. Conclusion Morbidity was lower for hamstring autografts than for patellar tendon autografts. Evidence that patellar tendon autografts offer better stability was weak</w:t>
      </w:r>
      <w:r w:rsidR="00A37C1D">
        <w:rPr>
          <w:kern w:val="0"/>
        </w:rPr>
        <w:t>. The</w:t>
      </w:r>
      <w:r w:rsidR="003A1917">
        <w:rPr>
          <w:kern w:val="0"/>
        </w:rPr>
        <w:t xml:space="preserve"> </w:t>
      </w:r>
      <w:r>
        <w:rPr>
          <w:kern w:val="0"/>
        </w:rPr>
        <w:t>poor quality</w:t>
      </w:r>
      <w:r w:rsidR="00427468">
        <w:rPr>
          <w:kern w:val="0"/>
        </w:rPr>
        <w:t xml:space="preserve"> of </w:t>
      </w:r>
      <w:r w:rsidR="003A1917">
        <w:rPr>
          <w:kern w:val="0"/>
        </w:rPr>
        <w:t xml:space="preserve">the </w:t>
      </w:r>
      <w:r>
        <w:rPr>
          <w:kern w:val="0"/>
        </w:rPr>
        <w:t>studies calls into question</w:t>
      </w:r>
      <w:r w:rsidR="003A1917">
        <w:rPr>
          <w:kern w:val="0"/>
        </w:rPr>
        <w:t xml:space="preserve"> the </w:t>
      </w:r>
      <w:r>
        <w:rPr>
          <w:kern w:val="0"/>
        </w:rPr>
        <w:t>robustness</w:t>
      </w:r>
      <w:r w:rsidR="00427468">
        <w:rPr>
          <w:kern w:val="0"/>
        </w:rPr>
        <w:t xml:space="preserve"> of </w:t>
      </w:r>
      <w:r w:rsidR="003A1917">
        <w:rPr>
          <w:kern w:val="0"/>
        </w:rPr>
        <w:t xml:space="preserve">the </w:t>
      </w:r>
      <w:r>
        <w:rPr>
          <w:kern w:val="0"/>
        </w:rPr>
        <w:t>analyses.</w:t>
      </w:r>
    </w:p>
    <w:p w:rsidR="00D502BA" w:rsidRDefault="00D502BA" w:rsidP="00D502BA">
      <w:pPr>
        <w:pStyle w:val="a3"/>
        <w:rPr>
          <w:kern w:val="0"/>
        </w:rPr>
      </w:pPr>
      <w:r>
        <w:rPr>
          <w:kern w:val="0"/>
        </w:rPr>
        <w:t>Keywords: 2-Year Follow</w:t>
      </w:r>
      <w:r w:rsidR="0062028A">
        <w:rPr>
          <w:kern w:val="0"/>
        </w:rPr>
        <w:t>-up,</w:t>
      </w:r>
      <w:r>
        <w:rPr>
          <w:kern w:val="0"/>
        </w:rPr>
        <w:t xml:space="preserve"> ACL Reconstruction, Arthrofibrosis, Citation, Criteria, Databases, Evidence, Gracilis Tendons, Graft Tension, Knee Pain, Measurement, </w:t>
      </w:r>
      <w:r w:rsidR="00D5664A">
        <w:rPr>
          <w:kern w:val="0"/>
        </w:rPr>
        <w:t>MEDLINE</w:t>
      </w:r>
      <w:r>
        <w:rPr>
          <w:kern w:val="0"/>
        </w:rPr>
        <w:t>, Meta-Analysis, Methods, Models, Pain, Positive, Review, Risk, Scale, Science, Science Citation Index, Semitendinosus, Site Morbidity, Surgery, Treatment, Trial</w:t>
      </w:r>
    </w:p>
    <w:p w:rsidR="003474F2" w:rsidRPr="001A3D2B" w:rsidRDefault="003474F2" w:rsidP="003474F2">
      <w:pPr>
        <w:pStyle w:val="a3"/>
      </w:pPr>
      <w:r w:rsidRPr="001A3D2B">
        <w:t>? Patsopoulos, N.A., Analatos, A.A.</w:t>
      </w:r>
      <w:r w:rsidR="005853A9">
        <w:t xml:space="preserve"> and </w:t>
      </w:r>
      <w:r w:rsidRPr="001A3D2B">
        <w:t>Ioannidis, J.P.A. (2006), Origin</w:t>
      </w:r>
      <w:r w:rsidR="005853A9">
        <w:t xml:space="preserve"> and </w:t>
      </w:r>
      <w:r w:rsidRPr="001A3D2B">
        <w:t>funding</w:t>
      </w:r>
      <w:r w:rsidR="00427468">
        <w:t xml:space="preserve"> of </w:t>
      </w:r>
      <w:r w:rsidR="003A1917">
        <w:t xml:space="preserve">the </w:t>
      </w:r>
      <w:r w:rsidRPr="001A3D2B">
        <w:t xml:space="preserve">most frequently cited papers in medicine: Database analysis. </w:t>
      </w:r>
      <w:r w:rsidRPr="001A3D2B">
        <w:rPr>
          <w:i/>
          <w:iCs/>
        </w:rPr>
        <w:t>British Medical Journal</w:t>
      </w:r>
      <w:r w:rsidRPr="001A3D2B">
        <w:t xml:space="preserve">, </w:t>
      </w:r>
      <w:r w:rsidRPr="001A3D2B">
        <w:rPr>
          <w:b/>
          <w:bCs/>
        </w:rPr>
        <w:t>332</w:t>
      </w:r>
      <w:r w:rsidRPr="001A3D2B">
        <w:t xml:space="preserve"> (7549), 1061-1063.</w:t>
      </w:r>
    </w:p>
    <w:p w:rsidR="003474F2" w:rsidRPr="001A3D2B" w:rsidRDefault="003474F2" w:rsidP="003474F2">
      <w:pPr>
        <w:pStyle w:val="a3"/>
      </w:pPr>
      <w:r w:rsidRPr="001A3D2B">
        <w:t xml:space="preserve">Full Text: </w:t>
      </w:r>
      <w:hyperlink r:id="rId2042" w:history="1">
        <w:r w:rsidRPr="001A3D2B">
          <w:rPr>
            <w:rStyle w:val="a5"/>
          </w:rPr>
          <w:t>2006\Bri Med J332, 1061.pdf</w:t>
        </w:r>
      </w:hyperlink>
    </w:p>
    <w:p w:rsidR="003474F2" w:rsidRPr="001A3D2B" w:rsidRDefault="003474F2" w:rsidP="003474F2">
      <w:pPr>
        <w:pStyle w:val="a3"/>
      </w:pPr>
      <w:r w:rsidRPr="001A3D2B">
        <w:t>Abstract: Objective To evaluate changes in</w:t>
      </w:r>
      <w:r w:rsidR="003A1917">
        <w:t xml:space="preserve"> the </w:t>
      </w:r>
      <w:r w:rsidRPr="001A3D2B">
        <w:t>role</w:t>
      </w:r>
      <w:r w:rsidR="00427468">
        <w:t xml:space="preserve"> of </w:t>
      </w:r>
      <w:r w:rsidRPr="001A3D2B">
        <w:t>academics</w:t>
      </w:r>
      <w:r w:rsidR="005853A9">
        <w:t xml:space="preserve"> and </w:t>
      </w:r>
      <w:r w:rsidR="003A1917">
        <w:t xml:space="preserve">the </w:t>
      </w:r>
      <w:r w:rsidRPr="001A3D2B">
        <w:t>sources</w:t>
      </w:r>
      <w:r w:rsidR="00427468">
        <w:t xml:space="preserve"> of </w:t>
      </w:r>
      <w:r w:rsidRPr="001A3D2B">
        <w:t>funding for</w:t>
      </w:r>
      <w:r w:rsidR="003A1917">
        <w:t xml:space="preserve"> the </w:t>
      </w:r>
      <w:r w:rsidRPr="001A3D2B">
        <w:t>medical research cited most frequently over</w:t>
      </w:r>
      <w:r w:rsidR="003A1917">
        <w:t xml:space="preserve"> the </w:t>
      </w:r>
      <w:r w:rsidRPr="001A3D2B">
        <w:t>past decade.</w:t>
      </w:r>
    </w:p>
    <w:p w:rsidR="003474F2" w:rsidRPr="001A3D2B" w:rsidRDefault="003474F2" w:rsidP="003474F2">
      <w:pPr>
        <w:pStyle w:val="a3"/>
      </w:pPr>
      <w:r w:rsidRPr="001A3D2B">
        <w:t>Design Database analysis.</w:t>
      </w:r>
    </w:p>
    <w:p w:rsidR="003474F2" w:rsidRPr="001A3D2B" w:rsidRDefault="003474F2" w:rsidP="003474F2">
      <w:pPr>
        <w:pStyle w:val="a3"/>
      </w:pPr>
      <w:r w:rsidRPr="001A3D2B">
        <w:t>Data sources Web</w:t>
      </w:r>
      <w:r w:rsidR="00427468">
        <w:t xml:space="preserve"> of </w:t>
      </w:r>
      <w:r w:rsidRPr="001A3D2B">
        <w:t>Knowledge database.</w:t>
      </w:r>
    </w:p>
    <w:p w:rsidR="003474F2" w:rsidRPr="001A3D2B" w:rsidRDefault="003474F2" w:rsidP="003474F2">
      <w:pPr>
        <w:pStyle w:val="a3"/>
      </w:pPr>
      <w:r w:rsidRPr="001A3D2B">
        <w:t>Methods For each year from 1994 to 2003, articles in</w:t>
      </w:r>
      <w:r w:rsidR="003A1917">
        <w:t xml:space="preserve"> the </w:t>
      </w:r>
      <w:r w:rsidRPr="001A3D2B">
        <w:t>domain</w:t>
      </w:r>
      <w:r w:rsidR="00427468">
        <w:t xml:space="preserve"> of </w:t>
      </w:r>
      <w:r w:rsidRPr="001A3D2B">
        <w:t>clinical medicine that had been cited most often by</w:t>
      </w:r>
      <w:r w:rsidR="003A1917">
        <w:t xml:space="preserve"> the </w:t>
      </w:r>
      <w:r w:rsidRPr="001A3D2B">
        <w:t>end</w:t>
      </w:r>
      <w:r w:rsidR="00427468">
        <w:t xml:space="preserve"> of </w:t>
      </w:r>
      <w:r w:rsidRPr="001A3D2B">
        <w:t>2004 were identified. Changes in author</w:t>
      </w:r>
      <w:r w:rsidR="00700038">
        <w:t>’</w:t>
      </w:r>
      <w:r w:rsidR="00C13DDC">
        <w:t>s</w:t>
      </w:r>
      <w:r w:rsidRPr="001A3D2B">
        <w:t xml:space="preserve"> affiliations</w:t>
      </w:r>
      <w:r w:rsidR="005853A9">
        <w:t xml:space="preserve"> and </w:t>
      </w:r>
      <w:r w:rsidRPr="001A3D2B">
        <w:t>funding sources were evaluated.</w:t>
      </w:r>
    </w:p>
    <w:p w:rsidR="003474F2" w:rsidRPr="001A3D2B" w:rsidRDefault="003474F2" w:rsidP="003474F2">
      <w:pPr>
        <w:pStyle w:val="a3"/>
      </w:pPr>
      <w:r w:rsidRPr="001A3D2B">
        <w:t>Results</w:t>
      </w:r>
      <w:r w:rsidR="00427468">
        <w:t xml:space="preserve"> of </w:t>
      </w:r>
      <w:r w:rsidR="003A1917">
        <w:t xml:space="preserve">the </w:t>
      </w:r>
      <w:r w:rsidRPr="001A3D2B">
        <w:t>289 frequently cited articles, most had at least one author with a university (76%) or hospital (57%) affiliation,</w:t>
      </w:r>
      <w:r w:rsidR="005853A9">
        <w:t xml:space="preserve"> and </w:t>
      </w:r>
      <w:r w:rsidR="003A1917">
        <w:t xml:space="preserve">the </w:t>
      </w:r>
      <w:r w:rsidRPr="001A3D2B">
        <w:t>proportion</w:t>
      </w:r>
      <w:r w:rsidR="00427468">
        <w:t xml:space="preserve"> of </w:t>
      </w:r>
      <w:r w:rsidRPr="001A3D2B">
        <w:t>articles with each type</w:t>
      </w:r>
      <w:r w:rsidR="00427468">
        <w:t xml:space="preserve"> of </w:t>
      </w:r>
      <w:r w:rsidRPr="001A3D2B">
        <w:t>affiliation was constant over time. Government or public funding was most common (60%</w:t>
      </w:r>
      <w:r w:rsidR="00427468">
        <w:t xml:space="preserve"> of </w:t>
      </w:r>
      <w:r w:rsidRPr="001A3D2B">
        <w:t>articles), followed by industry (36%)</w:t>
      </w:r>
      <w:r w:rsidR="00A37C1D">
        <w:t>. The</w:t>
      </w:r>
      <w:r w:rsidR="003A1917">
        <w:t xml:space="preserve"> </w:t>
      </w:r>
      <w:r w:rsidRPr="001A3D2B">
        <w:t>proportion</w:t>
      </w:r>
      <w:r w:rsidR="00427468">
        <w:t xml:space="preserve"> of </w:t>
      </w:r>
      <w:r w:rsidRPr="001A3D2B">
        <w:t xml:space="preserve">most frequently cited articles funded by industry increased over time (odds ratio 1.17 per </w:t>
      </w:r>
      <w:r w:rsidRPr="001A3D2B">
        <w:lastRenderedPageBreak/>
        <w:t>year, P = 0.001)</w:t>
      </w:r>
      <w:r w:rsidR="005853A9">
        <w:t xml:space="preserve"> and </w:t>
      </w:r>
      <w:r w:rsidRPr="001A3D2B">
        <w:t>was equal to</w:t>
      </w:r>
      <w:r w:rsidR="003A1917">
        <w:t xml:space="preserve"> the </w:t>
      </w:r>
      <w:r w:rsidRPr="001A3D2B">
        <w:t>proportion funded by government or public sources by 2001. 65</w:t>
      </w:r>
      <w:r w:rsidR="00427468">
        <w:t xml:space="preserve"> of </w:t>
      </w:r>
      <w:r w:rsidR="003A1917">
        <w:t xml:space="preserve">the </w:t>
      </w:r>
      <w:r w:rsidRPr="001A3D2B">
        <w:t>77 most cited randomised controlled trials received funding from industry,</w:t>
      </w:r>
      <w:r w:rsidR="005853A9">
        <w:t xml:space="preserve"> and </w:t>
      </w:r>
      <w:r w:rsidR="003A1917">
        <w:t xml:space="preserve">the </w:t>
      </w:r>
      <w:r w:rsidRPr="001A3D2B">
        <w:t>proportion increased significantly over time (odds ratio 1.59 per year, P = 0.003). 18</w:t>
      </w:r>
      <w:r w:rsidR="00427468">
        <w:t xml:space="preserve"> of </w:t>
      </w:r>
      <w:r w:rsidR="003A1917">
        <w:t xml:space="preserve">the </w:t>
      </w:r>
      <w:r w:rsidRPr="001A3D2B">
        <w:t>32 most cited trials published after 1999 were funded by industry alone.</w:t>
      </w:r>
    </w:p>
    <w:p w:rsidR="003474F2" w:rsidRPr="001A3D2B" w:rsidRDefault="003474F2" w:rsidP="003474F2">
      <w:pPr>
        <w:pStyle w:val="a3"/>
      </w:pPr>
      <w:r w:rsidRPr="001A3D2B">
        <w:t>Conclusion Academic affiliations remain prominent among</w:t>
      </w:r>
      <w:r w:rsidR="003A1917">
        <w:t xml:space="preserve"> the </w:t>
      </w:r>
      <w:r w:rsidRPr="001A3D2B">
        <w:t>authors</w:t>
      </w:r>
      <w:r w:rsidR="00427468">
        <w:t xml:space="preserve"> of </w:t>
      </w:r>
      <w:r w:rsidR="003A1917">
        <w:t xml:space="preserve">the </w:t>
      </w:r>
      <w:r w:rsidRPr="001A3D2B">
        <w:t>most frequently cited medical research. Such research is increasingly funded by industry, often exclusively so. Academics may be losing control</w:t>
      </w:r>
      <w:r w:rsidR="00427468">
        <w:t xml:space="preserve"> of </w:t>
      </w:r>
      <w:r w:rsidR="003A1917">
        <w:t xml:space="preserve">the </w:t>
      </w:r>
      <w:r w:rsidRPr="001A3D2B">
        <w:t>clinical research agenda.</w:t>
      </w:r>
    </w:p>
    <w:p w:rsidR="003474F2" w:rsidRPr="001A3D2B" w:rsidRDefault="003474F2" w:rsidP="003474F2">
      <w:pPr>
        <w:pStyle w:val="a3"/>
      </w:pPr>
      <w:r w:rsidRPr="001A3D2B">
        <w:t>Keywords: Conflicts</w:t>
      </w:r>
      <w:r w:rsidR="00434900">
        <w:t>-of-</w:t>
      </w:r>
      <w:r w:rsidRPr="001A3D2B">
        <w:t>Interest, Academic Medicine, Clinical-Research, Industry, Impact, Citation, Budget, Trust, ERA</w:t>
      </w:r>
    </w:p>
    <w:p w:rsidR="003474F2" w:rsidRPr="001A3D2B" w:rsidRDefault="003474F2" w:rsidP="003474F2">
      <w:pPr>
        <w:pStyle w:val="a3"/>
      </w:pPr>
      <w:r w:rsidRPr="001A3D2B">
        <w:t>? Delaney, B. (2006), Commentary: Is society losing control</w:t>
      </w:r>
      <w:r w:rsidR="00427468">
        <w:t xml:space="preserve"> of </w:t>
      </w:r>
      <w:r w:rsidR="003A1917">
        <w:t xml:space="preserve">the </w:t>
      </w:r>
      <w:r w:rsidRPr="001A3D2B">
        <w:t xml:space="preserve">medical research agenda? </w:t>
      </w:r>
      <w:r w:rsidRPr="001A3D2B">
        <w:rPr>
          <w:i/>
          <w:iCs/>
        </w:rPr>
        <w:t>British Medical Journal</w:t>
      </w:r>
      <w:r w:rsidRPr="001A3D2B">
        <w:t xml:space="preserve">, </w:t>
      </w:r>
      <w:r w:rsidRPr="001A3D2B">
        <w:rPr>
          <w:b/>
          <w:bCs/>
        </w:rPr>
        <w:t>332</w:t>
      </w:r>
      <w:r w:rsidRPr="001A3D2B">
        <w:t xml:space="preserve"> (7549), 1063-1064.</w:t>
      </w:r>
    </w:p>
    <w:p w:rsidR="003474F2" w:rsidRPr="001A3D2B" w:rsidRDefault="003474F2" w:rsidP="003474F2">
      <w:pPr>
        <w:pStyle w:val="a3"/>
      </w:pPr>
      <w:r w:rsidRPr="001A3D2B">
        <w:t xml:space="preserve">Full Text: </w:t>
      </w:r>
      <w:hyperlink r:id="rId2043" w:history="1">
        <w:r w:rsidRPr="001A3D2B">
          <w:rPr>
            <w:rStyle w:val="a5"/>
          </w:rPr>
          <w:t>2006\Bri Med J332, 1063.pdf</w:t>
        </w:r>
      </w:hyperlink>
    </w:p>
    <w:p w:rsidR="003474F2" w:rsidRPr="001A3D2B" w:rsidRDefault="003474F2" w:rsidP="003474F2">
      <w:pPr>
        <w:pStyle w:val="a3"/>
      </w:pPr>
      <w:r w:rsidRPr="001A3D2B">
        <w:t>? Holden, G. (2006), Detecting plagiarism - Meaning</w:t>
      </w:r>
      <w:r w:rsidR="00427468">
        <w:t xml:space="preserve"> of </w:t>
      </w:r>
      <w:r w:rsidRPr="001A3D2B">
        <w:t xml:space="preserve">citations is important. </w:t>
      </w:r>
      <w:r w:rsidRPr="001A3D2B">
        <w:rPr>
          <w:i/>
          <w:iCs/>
        </w:rPr>
        <w:t>British Medical Journal</w:t>
      </w:r>
      <w:r w:rsidRPr="001A3D2B">
        <w:t xml:space="preserve">, </w:t>
      </w:r>
      <w:r w:rsidRPr="001A3D2B">
        <w:rPr>
          <w:b/>
          <w:bCs/>
        </w:rPr>
        <w:t>333</w:t>
      </w:r>
      <w:r w:rsidRPr="001A3D2B">
        <w:t xml:space="preserve"> (7570), 706.</w:t>
      </w:r>
    </w:p>
    <w:p w:rsidR="003474F2" w:rsidRPr="001A3D2B" w:rsidRDefault="003474F2" w:rsidP="003474F2">
      <w:pPr>
        <w:pStyle w:val="a3"/>
      </w:pPr>
      <w:r w:rsidRPr="001A3D2B">
        <w:t xml:space="preserve">Full Text: </w:t>
      </w:r>
      <w:hyperlink r:id="rId2044" w:history="1">
        <w:r w:rsidRPr="001A3D2B">
          <w:rPr>
            <w:rStyle w:val="a5"/>
          </w:rPr>
          <w:t>2006\Bri Med J333, 706.pdf</w:t>
        </w:r>
      </w:hyperlink>
    </w:p>
    <w:p w:rsidR="003474F2" w:rsidRPr="001A3D2B" w:rsidRDefault="003474F2" w:rsidP="003474F2">
      <w:pPr>
        <w:pStyle w:val="a3"/>
      </w:pPr>
      <w:r w:rsidRPr="001A3D2B">
        <w:t>Keywords: Bibliometrics</w:t>
      </w:r>
    </w:p>
    <w:p w:rsidR="003474F2" w:rsidRPr="001A3D2B" w:rsidRDefault="003474F2" w:rsidP="003474F2">
      <w:pPr>
        <w:pStyle w:val="a3"/>
      </w:pPr>
      <w:r w:rsidRPr="001A3D2B">
        <w:t>? Brown, H. (2008), How impact factors changed medical publishing -</w:t>
      </w:r>
      <w:r w:rsidR="005853A9">
        <w:t xml:space="preserve"> and </w:t>
      </w:r>
      <w:r w:rsidRPr="001A3D2B">
        <w:t xml:space="preserve">science. </w:t>
      </w:r>
      <w:r w:rsidRPr="001A3D2B">
        <w:rPr>
          <w:i/>
          <w:iCs/>
        </w:rPr>
        <w:t>British Medical Journal</w:t>
      </w:r>
      <w:r w:rsidRPr="001A3D2B">
        <w:t xml:space="preserve">, </w:t>
      </w:r>
      <w:r w:rsidRPr="001A3D2B">
        <w:rPr>
          <w:b/>
          <w:bCs/>
        </w:rPr>
        <w:t>334</w:t>
      </w:r>
      <w:r w:rsidRPr="001A3D2B">
        <w:t xml:space="preserve"> (7593), 561-564.</w:t>
      </w:r>
    </w:p>
    <w:p w:rsidR="003474F2" w:rsidRPr="001A3D2B" w:rsidRDefault="003474F2" w:rsidP="003474F2">
      <w:pPr>
        <w:pStyle w:val="a3"/>
      </w:pPr>
      <w:r w:rsidRPr="001A3D2B">
        <w:t xml:space="preserve">Full Text: </w:t>
      </w:r>
      <w:hyperlink r:id="rId2045" w:history="1">
        <w:r w:rsidRPr="001A3D2B">
          <w:rPr>
            <w:rStyle w:val="a5"/>
          </w:rPr>
          <w:t>2008\Bri Med J334, 561.pdf</w:t>
        </w:r>
      </w:hyperlink>
    </w:p>
    <w:p w:rsidR="003474F2" w:rsidRPr="001A3D2B" w:rsidRDefault="003474F2" w:rsidP="003474F2">
      <w:pPr>
        <w:pStyle w:val="a3"/>
      </w:pPr>
      <w:r w:rsidRPr="001A3D2B">
        <w:t>Keywords: Impact, Impact Factors, Medical, Publishing, Science</w:t>
      </w:r>
    </w:p>
    <w:p w:rsidR="00255950" w:rsidRDefault="00255950" w:rsidP="00255950">
      <w:pPr>
        <w:pStyle w:val="a3"/>
        <w:rPr>
          <w:kern w:val="0"/>
        </w:rPr>
      </w:pPr>
      <w:r>
        <w:rPr>
          <w:rFonts w:hint="eastAsia"/>
          <w:kern w:val="0"/>
        </w:rPr>
        <w:t xml:space="preserve">? </w:t>
      </w:r>
      <w:r>
        <w:rPr>
          <w:kern w:val="0"/>
        </w:rPr>
        <w:t>Afshari, A., Wetterslev, J., Brok, J.</w:t>
      </w:r>
      <w:r w:rsidR="005853A9">
        <w:rPr>
          <w:kern w:val="0"/>
        </w:rPr>
        <w:t xml:space="preserve"> and </w:t>
      </w:r>
      <w:r>
        <w:rPr>
          <w:kern w:val="0"/>
        </w:rPr>
        <w:t>Moller, A. (2007), Antithrombin III in critically ill patients: Systematic review with meta-analysis</w:t>
      </w:r>
      <w:r w:rsidR="005853A9">
        <w:rPr>
          <w:kern w:val="0"/>
        </w:rPr>
        <w:t xml:space="preserve"> and </w:t>
      </w:r>
      <w:r>
        <w:rPr>
          <w:kern w:val="0"/>
        </w:rPr>
        <w:t xml:space="preserve">trial sequential analysis. </w:t>
      </w:r>
      <w:r>
        <w:rPr>
          <w:i/>
          <w:iCs/>
          <w:kern w:val="0"/>
        </w:rPr>
        <w:t>British Medical Journal</w:t>
      </w:r>
      <w:r>
        <w:rPr>
          <w:kern w:val="0"/>
        </w:rPr>
        <w:t xml:space="preserve">, </w:t>
      </w:r>
      <w:r>
        <w:rPr>
          <w:b/>
          <w:bCs/>
          <w:kern w:val="0"/>
        </w:rPr>
        <w:t>335</w:t>
      </w:r>
      <w:r>
        <w:rPr>
          <w:kern w:val="0"/>
        </w:rPr>
        <w:t xml:space="preserve"> (7632), 1248-1251.</w:t>
      </w:r>
    </w:p>
    <w:p w:rsidR="00C13DDC" w:rsidRDefault="00C13DDC" w:rsidP="00C13DDC">
      <w:pPr>
        <w:pStyle w:val="a3"/>
      </w:pPr>
      <w:r>
        <w:t>Full Text:</w:t>
      </w:r>
      <w:r w:rsidRPr="00FC7835">
        <w:t xml:space="preserve"> </w:t>
      </w:r>
      <w:hyperlink r:id="rId2046" w:history="1">
        <w:r w:rsidRPr="00A41E99">
          <w:rPr>
            <w:rStyle w:val="a5"/>
          </w:rPr>
          <w:t>2007\Bri Med J335, 1248.pdf</w:t>
        </w:r>
      </w:hyperlink>
    </w:p>
    <w:p w:rsidR="00255950" w:rsidRDefault="00255950" w:rsidP="00255950">
      <w:pPr>
        <w:pStyle w:val="a3"/>
        <w:rPr>
          <w:kern w:val="0"/>
        </w:rPr>
      </w:pPr>
      <w:r>
        <w:rPr>
          <w:kern w:val="0"/>
        </w:rPr>
        <w:t>Abstract: Objective To evaluate</w:t>
      </w:r>
      <w:r w:rsidR="003A1917">
        <w:rPr>
          <w:kern w:val="0"/>
        </w:rPr>
        <w:t xml:space="preserve"> the </w:t>
      </w:r>
      <w:r>
        <w:rPr>
          <w:kern w:val="0"/>
        </w:rPr>
        <w:t>benefits</w:t>
      </w:r>
      <w:r w:rsidR="005853A9">
        <w:rPr>
          <w:kern w:val="0"/>
        </w:rPr>
        <w:t xml:space="preserve"> and </w:t>
      </w:r>
      <w:r>
        <w:rPr>
          <w:kern w:val="0"/>
        </w:rPr>
        <w:t>harms</w:t>
      </w:r>
      <w:r w:rsidR="00427468">
        <w:rPr>
          <w:kern w:val="0"/>
        </w:rPr>
        <w:t xml:space="preserve"> of </w:t>
      </w:r>
      <w:r>
        <w:rPr>
          <w:kern w:val="0"/>
        </w:rPr>
        <w:t>antithrombin III in critically ill patients. Design Systematic review</w:t>
      </w:r>
      <w:r w:rsidR="005853A9">
        <w:rPr>
          <w:kern w:val="0"/>
        </w:rPr>
        <w:t xml:space="preserve"> and </w:t>
      </w:r>
      <w:r>
        <w:rPr>
          <w:kern w:val="0"/>
        </w:rPr>
        <w:t>meta-analysis</w:t>
      </w:r>
      <w:r w:rsidR="00427468">
        <w:rPr>
          <w:kern w:val="0"/>
        </w:rPr>
        <w:t xml:space="preserve"> of </w:t>
      </w:r>
      <w:r>
        <w:rPr>
          <w:kern w:val="0"/>
        </w:rPr>
        <w:t xml:space="preserve">randomised trials. Data sources CENTRAL, </w:t>
      </w:r>
      <w:r w:rsidR="00D5664A">
        <w:rPr>
          <w:kern w:val="0"/>
        </w:rPr>
        <w:t>MEDLINE</w:t>
      </w:r>
      <w:r>
        <w:rPr>
          <w:kern w:val="0"/>
        </w:rPr>
        <w:t xml:space="preserve">, EMBASE, International </w:t>
      </w:r>
      <w:r w:rsidR="00D5664A">
        <w:rPr>
          <w:kern w:val="0"/>
        </w:rPr>
        <w:t>Web</w:t>
      </w:r>
      <w:r w:rsidR="00427468">
        <w:rPr>
          <w:kern w:val="0"/>
        </w:rPr>
        <w:t xml:space="preserve"> of </w:t>
      </w:r>
      <w:r w:rsidR="00D5664A">
        <w:rPr>
          <w:kern w:val="0"/>
        </w:rPr>
        <w:t>Science</w:t>
      </w:r>
      <w:r>
        <w:rPr>
          <w:kern w:val="0"/>
        </w:rPr>
        <w:t>, LILACS,</w:t>
      </w:r>
      <w:r w:rsidR="003A1917">
        <w:rPr>
          <w:kern w:val="0"/>
        </w:rPr>
        <w:t xml:space="preserve"> the </w:t>
      </w:r>
      <w:r>
        <w:rPr>
          <w:kern w:val="0"/>
        </w:rPr>
        <w:t>Chinese Biomedical Literature Database,</w:t>
      </w:r>
      <w:r w:rsidR="005853A9">
        <w:rPr>
          <w:kern w:val="0"/>
        </w:rPr>
        <w:t xml:space="preserve"> and </w:t>
      </w:r>
      <w:r>
        <w:rPr>
          <w:kern w:val="0"/>
        </w:rPr>
        <w:t>CINHAL (to November 2006); hand search</w:t>
      </w:r>
      <w:r w:rsidR="00427468">
        <w:rPr>
          <w:kern w:val="0"/>
        </w:rPr>
        <w:t xml:space="preserve"> of </w:t>
      </w:r>
      <w:r>
        <w:rPr>
          <w:kern w:val="0"/>
        </w:rPr>
        <w:t>reference lists, contact with authors</w:t>
      </w:r>
      <w:r w:rsidR="005853A9">
        <w:rPr>
          <w:kern w:val="0"/>
        </w:rPr>
        <w:t xml:space="preserve"> and </w:t>
      </w:r>
      <w:r>
        <w:rPr>
          <w:kern w:val="0"/>
        </w:rPr>
        <w:t>experts,</w:t>
      </w:r>
      <w:r w:rsidR="005853A9">
        <w:rPr>
          <w:kern w:val="0"/>
        </w:rPr>
        <w:t xml:space="preserve"> and </w:t>
      </w:r>
      <w:r>
        <w:rPr>
          <w:kern w:val="0"/>
        </w:rPr>
        <w:t>search</w:t>
      </w:r>
      <w:r w:rsidR="00427468">
        <w:rPr>
          <w:kern w:val="0"/>
        </w:rPr>
        <w:t xml:space="preserve"> of </w:t>
      </w:r>
      <w:r>
        <w:rPr>
          <w:kern w:val="0"/>
        </w:rPr>
        <w:t>registers</w:t>
      </w:r>
      <w:r w:rsidR="00427468">
        <w:rPr>
          <w:kern w:val="0"/>
        </w:rPr>
        <w:t xml:space="preserve"> of </w:t>
      </w:r>
      <w:r>
        <w:rPr>
          <w:kern w:val="0"/>
        </w:rPr>
        <w:t>ongoing trials. Review methods Two reviewers independently selected parallel group randomised clinical trials comparing antithrombin with placebo or no intervention</w:t>
      </w:r>
      <w:r w:rsidR="005853A9">
        <w:rPr>
          <w:kern w:val="0"/>
        </w:rPr>
        <w:t xml:space="preserve"> and </w:t>
      </w:r>
      <w:r>
        <w:rPr>
          <w:kern w:val="0"/>
        </w:rPr>
        <w:t>extracted data related to study methods, interventions, outcomes, bias risk,</w:t>
      </w:r>
      <w:r w:rsidR="005853A9">
        <w:rPr>
          <w:kern w:val="0"/>
        </w:rPr>
        <w:t xml:space="preserve"> and </w:t>
      </w:r>
      <w:r>
        <w:rPr>
          <w:kern w:val="0"/>
        </w:rPr>
        <w:t>adverse events. Disagreements were resolved by discussion. Trials in any type</w:t>
      </w:r>
      <w:r w:rsidR="00427468">
        <w:rPr>
          <w:kern w:val="0"/>
        </w:rPr>
        <w:t xml:space="preserve"> of </w:t>
      </w:r>
      <w:r>
        <w:rPr>
          <w:kern w:val="0"/>
        </w:rPr>
        <w:t>critically ill patients in intensive care were eligible. All trials, irrespective</w:t>
      </w:r>
      <w:r w:rsidR="00427468">
        <w:rPr>
          <w:kern w:val="0"/>
        </w:rPr>
        <w:t xml:space="preserve"> of </w:t>
      </w:r>
      <w:r>
        <w:rPr>
          <w:kern w:val="0"/>
        </w:rPr>
        <w:t>blinding or language status, that compared any antithrombin III regimen with no intervention or placebo were included. Trials were considered to be at low risk</w:t>
      </w:r>
      <w:r w:rsidR="00427468">
        <w:rPr>
          <w:kern w:val="0"/>
        </w:rPr>
        <w:t xml:space="preserve"> of </w:t>
      </w:r>
      <w:r>
        <w:rPr>
          <w:kern w:val="0"/>
        </w:rPr>
        <w:t>bias if they had adequate randomisation procedure, blinding,</w:t>
      </w:r>
      <w:r w:rsidR="005853A9">
        <w:rPr>
          <w:kern w:val="0"/>
        </w:rPr>
        <w:t xml:space="preserve"> and </w:t>
      </w:r>
      <w:r>
        <w:rPr>
          <w:kern w:val="0"/>
        </w:rPr>
        <w:t xml:space="preserve">used intention to </w:t>
      </w:r>
      <w:r>
        <w:rPr>
          <w:kern w:val="0"/>
        </w:rPr>
        <w:lastRenderedPageBreak/>
        <w:t>treat analysis. Risk ratios with 95% confidence intervals were estimated with fixed</w:t>
      </w:r>
      <w:r w:rsidR="005853A9">
        <w:rPr>
          <w:kern w:val="0"/>
        </w:rPr>
        <w:t xml:space="preserve"> and </w:t>
      </w:r>
      <w:r>
        <w:rPr>
          <w:kern w:val="0"/>
        </w:rPr>
        <w:t>random effects models according to heterogeneity. Main outcome measures Mortality, length</w:t>
      </w:r>
      <w:r w:rsidR="00427468">
        <w:rPr>
          <w:kern w:val="0"/>
        </w:rPr>
        <w:t xml:space="preserve"> of </w:t>
      </w:r>
      <w:r>
        <w:rPr>
          <w:kern w:val="0"/>
        </w:rPr>
        <w:t>stay in intensive care or hospital, quality</w:t>
      </w:r>
      <w:r w:rsidR="00427468">
        <w:rPr>
          <w:kern w:val="0"/>
        </w:rPr>
        <w:t xml:space="preserve"> of </w:t>
      </w:r>
      <w:r>
        <w:rPr>
          <w:kern w:val="0"/>
        </w:rPr>
        <w:t>life, severity</w:t>
      </w:r>
      <w:r w:rsidR="00427468">
        <w:rPr>
          <w:kern w:val="0"/>
        </w:rPr>
        <w:t xml:space="preserve"> of </w:t>
      </w:r>
      <w:r>
        <w:rPr>
          <w:kern w:val="0"/>
        </w:rPr>
        <w:t>sepsis, respiratory failure, duration</w:t>
      </w:r>
      <w:r w:rsidR="00427468">
        <w:rPr>
          <w:kern w:val="0"/>
        </w:rPr>
        <w:t xml:space="preserve"> of </w:t>
      </w:r>
      <w:r>
        <w:rPr>
          <w:kern w:val="0"/>
        </w:rPr>
        <w:t>mechanical ventilation, incidence</w:t>
      </w:r>
      <w:r w:rsidR="00427468">
        <w:rPr>
          <w:kern w:val="0"/>
        </w:rPr>
        <w:t xml:space="preserve"> of </w:t>
      </w:r>
      <w:r>
        <w:rPr>
          <w:kern w:val="0"/>
        </w:rPr>
        <w:t>surgical intervention, intervention effect among various populations</w:t>
      </w:r>
      <w:r w:rsidR="005853A9">
        <w:rPr>
          <w:kern w:val="0"/>
        </w:rPr>
        <w:t xml:space="preserve"> and </w:t>
      </w:r>
      <w:r>
        <w:rPr>
          <w:kern w:val="0"/>
        </w:rPr>
        <w:t>adverse events (such as bleeding). Results 20 trials randomly assigning 3458 patients met inclusion criteria. Eight trials had low risk</w:t>
      </w:r>
      <w:r w:rsidR="00427468">
        <w:rPr>
          <w:kern w:val="0"/>
        </w:rPr>
        <w:t xml:space="preserve"> of </w:t>
      </w:r>
      <w:r>
        <w:rPr>
          <w:kern w:val="0"/>
        </w:rPr>
        <w:t>bias. Compared with placebo or no intervention, antithrombin III did not reduce overall mortality (relative risk 0.96, 95% confidence interval 0.89 to 1.03). No subgroup analyses on risk</w:t>
      </w:r>
      <w:r w:rsidR="00427468">
        <w:rPr>
          <w:kern w:val="0"/>
        </w:rPr>
        <w:t xml:space="preserve"> of </w:t>
      </w:r>
      <w:r>
        <w:rPr>
          <w:kern w:val="0"/>
        </w:rPr>
        <w:t>bias, populations</w:t>
      </w:r>
      <w:r w:rsidR="00427468">
        <w:rPr>
          <w:kern w:val="0"/>
        </w:rPr>
        <w:t xml:space="preserve"> of </w:t>
      </w:r>
      <w:r>
        <w:rPr>
          <w:kern w:val="0"/>
        </w:rPr>
        <w:t>patients, or with</w:t>
      </w:r>
      <w:r w:rsidR="005853A9">
        <w:rPr>
          <w:kern w:val="0"/>
        </w:rPr>
        <w:t xml:space="preserve"> and </w:t>
      </w:r>
      <w:r>
        <w:rPr>
          <w:kern w:val="0"/>
        </w:rPr>
        <w:t>without adjuvant heparin yielded significant results. Antithrombin III increased</w:t>
      </w:r>
      <w:r w:rsidR="003A1917">
        <w:rPr>
          <w:kern w:val="0"/>
        </w:rPr>
        <w:t xml:space="preserve"> the </w:t>
      </w:r>
      <w:r>
        <w:rPr>
          <w:kern w:val="0"/>
        </w:rPr>
        <w:t>risk</w:t>
      </w:r>
      <w:r w:rsidR="00427468">
        <w:rPr>
          <w:kern w:val="0"/>
        </w:rPr>
        <w:t xml:space="preserve"> of </w:t>
      </w:r>
      <w:r>
        <w:rPr>
          <w:kern w:val="0"/>
        </w:rPr>
        <w:t>bleeding events (1.52, 1.30 to 1.78). Heterogeneity was observed in only a few analyses. Conclusion Antithrombin III cannot be recommended for critically ill patients based on</w:t>
      </w:r>
      <w:r w:rsidR="003A1917">
        <w:rPr>
          <w:kern w:val="0"/>
        </w:rPr>
        <w:t xml:space="preserve"> the </w:t>
      </w:r>
      <w:r>
        <w:rPr>
          <w:kern w:val="0"/>
        </w:rPr>
        <w:t>available evidence.</w:t>
      </w:r>
    </w:p>
    <w:p w:rsidR="00255950" w:rsidRDefault="00255950" w:rsidP="00255950">
      <w:pPr>
        <w:pStyle w:val="a3"/>
        <w:rPr>
          <w:kern w:val="0"/>
        </w:rPr>
      </w:pPr>
      <w:r>
        <w:rPr>
          <w:kern w:val="0"/>
        </w:rPr>
        <w:t>Keywords: Analysis, Authors, Bias, Clinical Trials, Cognitive Impairment, Confidence Intervals, Critically Ill Patients, Displaced Fractures, Elderly-Patients, Femoral-Neck Fractures, Heparin, Hospital, Intensive Care, Internal-Fixation, Intervention, Interventions, Length</w:t>
      </w:r>
      <w:r w:rsidR="00427468">
        <w:rPr>
          <w:kern w:val="0"/>
        </w:rPr>
        <w:t xml:space="preserve"> of </w:t>
      </w:r>
      <w:r>
        <w:rPr>
          <w:kern w:val="0"/>
        </w:rPr>
        <w:t>Stay, Mechanical Ventilation, Meta-Analysis, Mortality, Outcome, Outcomes, Quality</w:t>
      </w:r>
      <w:r w:rsidR="00427468">
        <w:rPr>
          <w:kern w:val="0"/>
        </w:rPr>
        <w:t xml:space="preserve"> of </w:t>
      </w:r>
      <w:r>
        <w:rPr>
          <w:kern w:val="0"/>
        </w:rPr>
        <w:t>Life, Quality</w:t>
      </w:r>
      <w:r w:rsidR="00434900">
        <w:rPr>
          <w:kern w:val="0"/>
        </w:rPr>
        <w:t>-of-</w:t>
      </w:r>
      <w:r>
        <w:rPr>
          <w:kern w:val="0"/>
        </w:rPr>
        <w:t xml:space="preserve">Life, Randomized-Trial, Relative Risk, Review, Risk, Science, Severe Sepsis, Surgical, Systematic, Systematic Review, Total Hip-Arthroplasty, </w:t>
      </w:r>
      <w:r w:rsidR="00D5664A">
        <w:rPr>
          <w:kern w:val="0"/>
        </w:rPr>
        <w:t>Web</w:t>
      </w:r>
      <w:r w:rsidR="00427468">
        <w:rPr>
          <w:kern w:val="0"/>
        </w:rPr>
        <w:t xml:space="preserve"> of </w:t>
      </w:r>
      <w:r w:rsidR="00D5664A">
        <w:rPr>
          <w:kern w:val="0"/>
        </w:rPr>
        <w:t>Science</w:t>
      </w:r>
      <w:r>
        <w:rPr>
          <w:kern w:val="0"/>
        </w:rPr>
        <w:t>, Worldwide Prevalence</w:t>
      </w:r>
    </w:p>
    <w:p w:rsidR="003474F2" w:rsidRPr="001A3D2B" w:rsidRDefault="003474F2" w:rsidP="003474F2">
      <w:pPr>
        <w:pStyle w:val="a3"/>
      </w:pPr>
      <w:r w:rsidRPr="001A3D2B">
        <w:t>? Lokker, C., McKibbon, K.A., McKinlay, R.J., Wilczynski, N.L.</w:t>
      </w:r>
      <w:r w:rsidR="005853A9">
        <w:t xml:space="preserve"> and </w:t>
      </w:r>
      <w:r w:rsidRPr="001A3D2B">
        <w:t>Haynes, R.B. (2008), Prediction</w:t>
      </w:r>
      <w:r w:rsidR="00427468">
        <w:t xml:space="preserve"> of </w:t>
      </w:r>
      <w:r w:rsidRPr="001A3D2B">
        <w:t>citation counts for clinical articles at two years using data available within three weeks</w:t>
      </w:r>
      <w:r w:rsidR="00427468">
        <w:t xml:space="preserve"> of </w:t>
      </w:r>
      <w:r w:rsidRPr="001A3D2B">
        <w:t xml:space="preserve">publication: Retrospective cohort study. </w:t>
      </w:r>
      <w:r w:rsidRPr="001A3D2B">
        <w:rPr>
          <w:i/>
          <w:iCs/>
        </w:rPr>
        <w:t>British Medical Journal</w:t>
      </w:r>
      <w:r w:rsidRPr="001A3D2B">
        <w:t xml:space="preserve">, </w:t>
      </w:r>
      <w:r w:rsidRPr="001A3D2B">
        <w:rPr>
          <w:b/>
          <w:bCs/>
        </w:rPr>
        <w:t>336</w:t>
      </w:r>
      <w:r w:rsidRPr="001A3D2B">
        <w:t xml:space="preserve"> (7645), 655-657.</w:t>
      </w:r>
    </w:p>
    <w:p w:rsidR="003474F2" w:rsidRPr="001A3D2B" w:rsidRDefault="003474F2" w:rsidP="003474F2">
      <w:pPr>
        <w:pStyle w:val="a3"/>
      </w:pPr>
      <w:r w:rsidRPr="001A3D2B">
        <w:t xml:space="preserve">Full Text: </w:t>
      </w:r>
      <w:hyperlink r:id="rId2047" w:history="1">
        <w:r w:rsidRPr="001A3D2B">
          <w:rPr>
            <w:rStyle w:val="a5"/>
          </w:rPr>
          <w:t>2008\Bri Med J336, 655.pdf</w:t>
        </w:r>
      </w:hyperlink>
    </w:p>
    <w:p w:rsidR="003474F2" w:rsidRPr="001A3D2B" w:rsidRDefault="003474F2" w:rsidP="003474F2">
      <w:pPr>
        <w:pStyle w:val="a3"/>
      </w:pPr>
      <w:r w:rsidRPr="001A3D2B">
        <w:t>Abstract: Objective To determine if citation counts at two years could be predicted for clinical articles that pass basic criteria for critical appraisal using data within three weeks</w:t>
      </w:r>
      <w:r w:rsidR="00427468">
        <w:t xml:space="preserve"> of </w:t>
      </w:r>
      <w:r w:rsidRPr="001A3D2B">
        <w:t>publication from external sources</w:t>
      </w:r>
      <w:r w:rsidR="005853A9">
        <w:t xml:space="preserve"> and </w:t>
      </w:r>
      <w:r w:rsidRPr="001A3D2B">
        <w:t>an online article rating service.</w:t>
      </w:r>
    </w:p>
    <w:p w:rsidR="003474F2" w:rsidRPr="001A3D2B" w:rsidRDefault="003474F2" w:rsidP="003474F2">
      <w:pPr>
        <w:pStyle w:val="a3"/>
      </w:pPr>
      <w:r w:rsidRPr="001A3D2B">
        <w:t>Design Retrospective cohort study.</w:t>
      </w:r>
    </w:p>
    <w:p w:rsidR="003474F2" w:rsidRPr="001A3D2B" w:rsidRDefault="003474F2" w:rsidP="003474F2">
      <w:pPr>
        <w:pStyle w:val="a3"/>
      </w:pPr>
      <w:r w:rsidRPr="001A3D2B">
        <w:t>Setting Online rating service, Canada.</w:t>
      </w:r>
    </w:p>
    <w:p w:rsidR="003474F2" w:rsidRPr="001A3D2B" w:rsidRDefault="003474F2" w:rsidP="003474F2">
      <w:pPr>
        <w:pStyle w:val="a3"/>
      </w:pPr>
      <w:r w:rsidRPr="001A3D2B">
        <w:t>Participants 1274 articles from 105 journals published from January to June 2005, randomly divided into a 60:40 split to provide derivation</w:t>
      </w:r>
      <w:r w:rsidR="005853A9">
        <w:t xml:space="preserve"> and </w:t>
      </w:r>
      <w:r w:rsidRPr="001A3D2B">
        <w:t>validation datasets.</w:t>
      </w:r>
    </w:p>
    <w:p w:rsidR="003474F2" w:rsidRPr="001A3D2B" w:rsidRDefault="003474F2" w:rsidP="003474F2">
      <w:pPr>
        <w:pStyle w:val="a3"/>
      </w:pPr>
      <w:r w:rsidRPr="001A3D2B">
        <w:t>Main outcome measures 20 article</w:t>
      </w:r>
      <w:r w:rsidR="005853A9">
        <w:t xml:space="preserve"> and </w:t>
      </w:r>
      <w:r w:rsidRPr="001A3D2B">
        <w:t>journal features, including ratings</w:t>
      </w:r>
      <w:r w:rsidR="00427468">
        <w:t xml:space="preserve"> of </w:t>
      </w:r>
      <w:r w:rsidRPr="001A3D2B">
        <w:t>clinical relevance</w:t>
      </w:r>
      <w:r w:rsidR="005853A9">
        <w:t xml:space="preserve"> and </w:t>
      </w:r>
      <w:r w:rsidRPr="001A3D2B">
        <w:t>newsworthiness, routinely collected by</w:t>
      </w:r>
      <w:r w:rsidR="003A1917">
        <w:t xml:space="preserve"> the </w:t>
      </w:r>
      <w:r w:rsidRPr="001A3D2B">
        <w:t>McMaster online rating</w:t>
      </w:r>
      <w:r w:rsidR="00427468">
        <w:t xml:space="preserve"> of </w:t>
      </w:r>
      <w:r w:rsidRPr="001A3D2B">
        <w:t>evidence system, compared with citation counts at two years.</w:t>
      </w:r>
    </w:p>
    <w:p w:rsidR="003474F2" w:rsidRPr="001A3D2B" w:rsidRDefault="003474F2" w:rsidP="003474F2">
      <w:pPr>
        <w:pStyle w:val="a3"/>
      </w:pPr>
      <w:r w:rsidRPr="001A3D2B">
        <w:t>Results</w:t>
      </w:r>
      <w:r w:rsidR="003A1917">
        <w:t xml:space="preserve"> the </w:t>
      </w:r>
      <w:r w:rsidRPr="001A3D2B">
        <w:t>derivation regression equation accounted for 60%</w:t>
      </w:r>
      <w:r w:rsidR="00427468">
        <w:t xml:space="preserve"> of </w:t>
      </w:r>
      <w:r w:rsidR="003A1917">
        <w:t xml:space="preserve">the </w:t>
      </w:r>
      <w:r w:rsidRPr="001A3D2B">
        <w:t>variation (R-2=0.60, 95% confidence interval 0.538 to 0.629). This model applied to</w:t>
      </w:r>
      <w:r w:rsidR="003A1917">
        <w:t xml:space="preserve"> the </w:t>
      </w:r>
      <w:r w:rsidRPr="001A3D2B">
        <w:t>validation dataset gave a similar prediction (R-2=0. 56, 0.476 to 0.596, shrinkage 0.04; shrinkage measures how welt</w:t>
      </w:r>
      <w:r w:rsidR="003A1917">
        <w:t xml:space="preserve"> the </w:t>
      </w:r>
      <w:r w:rsidRPr="001A3D2B">
        <w:t>derived equation matches data from</w:t>
      </w:r>
      <w:r w:rsidR="003A1917">
        <w:t xml:space="preserve"> the </w:t>
      </w:r>
      <w:r w:rsidRPr="001A3D2B">
        <w:t xml:space="preserve">validation dataset). </w:t>
      </w:r>
      <w:r w:rsidRPr="001A3D2B">
        <w:lastRenderedPageBreak/>
        <w:t>Cited articles in</w:t>
      </w:r>
      <w:r w:rsidR="003A1917">
        <w:t xml:space="preserve"> the </w:t>
      </w:r>
      <w:r w:rsidRPr="001A3D2B">
        <w:t>top half</w:t>
      </w:r>
      <w:r w:rsidR="005853A9">
        <w:t xml:space="preserve"> and </w:t>
      </w:r>
      <w:r w:rsidRPr="001A3D2B">
        <w:t>top third were predicted with 83%</w:t>
      </w:r>
      <w:r w:rsidR="005853A9">
        <w:t xml:space="preserve"> and </w:t>
      </w:r>
      <w:r w:rsidRPr="001A3D2B">
        <w:t>61% sensitivity</w:t>
      </w:r>
      <w:r w:rsidR="005853A9">
        <w:t xml:space="preserve"> and </w:t>
      </w:r>
      <w:r w:rsidRPr="001A3D2B">
        <w:t>72%</w:t>
      </w:r>
      <w:r w:rsidR="005853A9">
        <w:t xml:space="preserve"> and </w:t>
      </w:r>
      <w:r w:rsidRPr="001A3D2B">
        <w:t>82% specificity. Higher citations were predicted by indexing in numerous databases; number</w:t>
      </w:r>
      <w:r w:rsidR="00427468">
        <w:t xml:space="preserve"> of </w:t>
      </w:r>
      <w:r w:rsidRPr="001A3D2B">
        <w:t>authors; abstraction in synoptic journals; clinical relevance scores; number</w:t>
      </w:r>
      <w:r w:rsidR="00427468">
        <w:t xml:space="preserve"> of </w:t>
      </w:r>
      <w:r w:rsidRPr="001A3D2B">
        <w:t>cited references;</w:t>
      </w:r>
      <w:r w:rsidR="005853A9">
        <w:t xml:space="preserve"> and </w:t>
      </w:r>
      <w:r w:rsidRPr="001A3D2B">
        <w:t>original, multicentred,</w:t>
      </w:r>
      <w:r w:rsidR="005853A9">
        <w:t xml:space="preserve"> and </w:t>
      </w:r>
      <w:r w:rsidRPr="001A3D2B">
        <w:t>therapy articles from journals with a greater proportion</w:t>
      </w:r>
      <w:r w:rsidR="00427468">
        <w:t xml:space="preserve"> of </w:t>
      </w:r>
      <w:r w:rsidRPr="001A3D2B">
        <w:t>articles abstracted.</w:t>
      </w:r>
    </w:p>
    <w:p w:rsidR="003474F2" w:rsidRPr="001A3D2B" w:rsidRDefault="003474F2" w:rsidP="003474F2">
      <w:pPr>
        <w:pStyle w:val="a3"/>
      </w:pPr>
      <w:r w:rsidRPr="001A3D2B">
        <w:t>Conclusion Citation counts can be reliably predicted at two years using data within three weeks</w:t>
      </w:r>
      <w:r w:rsidR="00427468">
        <w:t xml:space="preserve"> of </w:t>
      </w:r>
      <w:r w:rsidRPr="001A3D2B">
        <w:t>publication.</w:t>
      </w:r>
    </w:p>
    <w:p w:rsidR="003474F2" w:rsidRPr="001A3D2B" w:rsidRDefault="003474F2" w:rsidP="003474F2">
      <w:pPr>
        <w:pStyle w:val="a3"/>
      </w:pPr>
      <w:r w:rsidRPr="001A3D2B">
        <w:t>Keywords: Quality, Journals, Impact, Information, Indicators, Rates, Bias</w:t>
      </w:r>
    </w:p>
    <w:p w:rsidR="003474F2" w:rsidRPr="001A3D2B" w:rsidRDefault="003474F2" w:rsidP="003474F2">
      <w:pPr>
        <w:pStyle w:val="a3"/>
      </w:pPr>
      <w:r w:rsidRPr="001A3D2B">
        <w:t>? Castelnuovo, G. (2008), Ditching impact factors - Time for</w:t>
      </w:r>
      <w:r w:rsidR="003A1917">
        <w:t xml:space="preserve"> the </w:t>
      </w:r>
      <w:r w:rsidRPr="001A3D2B">
        <w:t xml:space="preserve">single researcher impact factor. </w:t>
      </w:r>
      <w:r w:rsidRPr="001A3D2B">
        <w:rPr>
          <w:i/>
          <w:iCs/>
        </w:rPr>
        <w:t>British Medical Journal</w:t>
      </w:r>
      <w:r w:rsidRPr="001A3D2B">
        <w:t xml:space="preserve">, </w:t>
      </w:r>
      <w:r w:rsidRPr="001A3D2B">
        <w:rPr>
          <w:b/>
          <w:bCs/>
        </w:rPr>
        <w:t>336</w:t>
      </w:r>
      <w:r w:rsidRPr="001A3D2B">
        <w:t xml:space="preserve"> (7648), 789-789.</w:t>
      </w:r>
    </w:p>
    <w:p w:rsidR="003474F2" w:rsidRPr="001A3D2B" w:rsidRDefault="003474F2" w:rsidP="003474F2">
      <w:pPr>
        <w:pStyle w:val="a3"/>
      </w:pPr>
      <w:r w:rsidRPr="001A3D2B">
        <w:t xml:space="preserve">Full Text: </w:t>
      </w:r>
      <w:hyperlink r:id="rId2048" w:history="1">
        <w:r w:rsidRPr="001A3D2B">
          <w:rPr>
            <w:rStyle w:val="a5"/>
          </w:rPr>
          <w:t>2008\Bri Med J336, 789.pdf</w:t>
        </w:r>
      </w:hyperlink>
    </w:p>
    <w:p w:rsidR="001217DA" w:rsidRDefault="001217DA" w:rsidP="001217DA">
      <w:pPr>
        <w:pStyle w:val="a3"/>
        <w:rPr>
          <w:kern w:val="0"/>
        </w:rPr>
      </w:pPr>
      <w:r>
        <w:rPr>
          <w:rFonts w:hint="eastAsia"/>
          <w:kern w:val="0"/>
        </w:rPr>
        <w:t xml:space="preserve">? </w:t>
      </w:r>
      <w:r>
        <w:rPr>
          <w:kern w:val="0"/>
        </w:rPr>
        <w:t>Sofi, F., Cesari, F., Abbate, R., Gensini, G.F.</w:t>
      </w:r>
      <w:r w:rsidR="005853A9">
        <w:rPr>
          <w:kern w:val="0"/>
        </w:rPr>
        <w:t xml:space="preserve"> and </w:t>
      </w:r>
      <w:r>
        <w:rPr>
          <w:kern w:val="0"/>
        </w:rPr>
        <w:t>Casini, A. (2008), Adherence to Mediterranean diet</w:t>
      </w:r>
      <w:r w:rsidR="005853A9">
        <w:rPr>
          <w:kern w:val="0"/>
        </w:rPr>
        <w:t xml:space="preserve"> and </w:t>
      </w:r>
      <w:r>
        <w:rPr>
          <w:kern w:val="0"/>
        </w:rPr>
        <w:t xml:space="preserve">health status: Meta-analysis. </w:t>
      </w:r>
      <w:r>
        <w:rPr>
          <w:i/>
          <w:iCs/>
          <w:kern w:val="0"/>
        </w:rPr>
        <w:t>British Medical Journal</w:t>
      </w:r>
      <w:r>
        <w:rPr>
          <w:kern w:val="0"/>
        </w:rPr>
        <w:t xml:space="preserve">, </w:t>
      </w:r>
      <w:r>
        <w:rPr>
          <w:b/>
          <w:bCs/>
          <w:kern w:val="0"/>
        </w:rPr>
        <w:t>337</w:t>
      </w:r>
      <w:r>
        <w:rPr>
          <w:kern w:val="0"/>
        </w:rPr>
        <w:t xml:space="preserve"> (7671</w:t>
      </w:r>
      <w:r>
        <w:rPr>
          <w:rFonts w:hint="eastAsia"/>
          <w:kern w:val="0"/>
        </w:rPr>
        <w:t xml:space="preserve">), </w:t>
      </w:r>
      <w:r>
        <w:rPr>
          <w:kern w:val="0"/>
        </w:rPr>
        <w:t>Article Number: a1344.</w:t>
      </w:r>
    </w:p>
    <w:p w:rsidR="00A46382" w:rsidRDefault="00A46382" w:rsidP="00A46382">
      <w:pPr>
        <w:pStyle w:val="a3"/>
      </w:pPr>
      <w:r>
        <w:t>Full Text:</w:t>
      </w:r>
      <w:r w:rsidRPr="00FC7835">
        <w:t xml:space="preserve"> </w:t>
      </w:r>
      <w:hyperlink r:id="rId2049" w:history="1">
        <w:r w:rsidRPr="00694CF9">
          <w:rPr>
            <w:rStyle w:val="a5"/>
          </w:rPr>
          <w:t>2008\Bri Med J337, a1344.pdf</w:t>
        </w:r>
      </w:hyperlink>
    </w:p>
    <w:p w:rsidR="001217DA" w:rsidRDefault="001217DA" w:rsidP="001217DA">
      <w:pPr>
        <w:pStyle w:val="a3"/>
        <w:rPr>
          <w:kern w:val="0"/>
        </w:rPr>
      </w:pPr>
      <w:r>
        <w:rPr>
          <w:kern w:val="0"/>
        </w:rPr>
        <w:t>Abstract: Objective To systematically review all</w:t>
      </w:r>
      <w:r w:rsidR="003A1917">
        <w:rPr>
          <w:kern w:val="0"/>
        </w:rPr>
        <w:t xml:space="preserve"> the </w:t>
      </w:r>
      <w:r>
        <w:rPr>
          <w:kern w:val="0"/>
        </w:rPr>
        <w:t>prospective cohort studies that have analysed</w:t>
      </w:r>
      <w:r w:rsidR="003A1917">
        <w:rPr>
          <w:kern w:val="0"/>
        </w:rPr>
        <w:t xml:space="preserve"> the </w:t>
      </w:r>
      <w:r>
        <w:rPr>
          <w:kern w:val="0"/>
        </w:rPr>
        <w:t>relation between adherence to a Mediterranean diet, mortality,</w:t>
      </w:r>
      <w:r w:rsidR="005853A9">
        <w:rPr>
          <w:kern w:val="0"/>
        </w:rPr>
        <w:t xml:space="preserve"> and </w:t>
      </w:r>
      <w:r>
        <w:rPr>
          <w:kern w:val="0"/>
        </w:rPr>
        <w:t>incidence</w:t>
      </w:r>
      <w:r w:rsidR="00427468">
        <w:rPr>
          <w:kern w:val="0"/>
        </w:rPr>
        <w:t xml:space="preserve"> of </w:t>
      </w:r>
      <w:r>
        <w:rPr>
          <w:kern w:val="0"/>
        </w:rPr>
        <w:t>chronic diseases in a primary prevention setting. Design Meta- analysis</w:t>
      </w:r>
      <w:r w:rsidR="00427468">
        <w:rPr>
          <w:kern w:val="0"/>
        </w:rPr>
        <w:t xml:space="preserve"> of </w:t>
      </w:r>
      <w:r>
        <w:rPr>
          <w:kern w:val="0"/>
        </w:rPr>
        <w:t>prospective cohort studies. Data sources English</w:t>
      </w:r>
      <w:r w:rsidR="005853A9">
        <w:rPr>
          <w:kern w:val="0"/>
        </w:rPr>
        <w:t xml:space="preserve"> and </w:t>
      </w:r>
      <w:r>
        <w:rPr>
          <w:kern w:val="0"/>
        </w:rPr>
        <w:t xml:space="preserve">non- English publications in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from 1966 to 30 June 2008. Studies reviewed Studies that analysed prospectively</w:t>
      </w:r>
      <w:r w:rsidR="003A1917">
        <w:rPr>
          <w:kern w:val="0"/>
        </w:rPr>
        <w:t xml:space="preserve"> the </w:t>
      </w:r>
      <w:r>
        <w:rPr>
          <w:kern w:val="0"/>
        </w:rPr>
        <w:t>association between adherence to a Mediterranean diet, mortality,</w:t>
      </w:r>
      <w:r w:rsidR="005853A9">
        <w:rPr>
          <w:kern w:val="0"/>
        </w:rPr>
        <w:t xml:space="preserve"> and </w:t>
      </w:r>
      <w:r>
        <w:rPr>
          <w:kern w:val="0"/>
        </w:rPr>
        <w:t>incidence</w:t>
      </w:r>
      <w:r w:rsidR="00427468">
        <w:rPr>
          <w:kern w:val="0"/>
        </w:rPr>
        <w:t xml:space="preserve"> of </w:t>
      </w:r>
      <w:r>
        <w:rPr>
          <w:kern w:val="0"/>
        </w:rPr>
        <w:t>diseases; 12 studies, with a total</w:t>
      </w:r>
      <w:r w:rsidR="00427468">
        <w:rPr>
          <w:kern w:val="0"/>
        </w:rPr>
        <w:t xml:space="preserve"> of </w:t>
      </w:r>
      <w:r>
        <w:rPr>
          <w:kern w:val="0"/>
        </w:rPr>
        <w:t>1 574 299 subjects followed for a time ranging from three to 18 years were included. Results</w:t>
      </w:r>
      <w:r w:rsidR="003A1917">
        <w:rPr>
          <w:kern w:val="0"/>
        </w:rPr>
        <w:t xml:space="preserve"> the </w:t>
      </w:r>
      <w:r>
        <w:rPr>
          <w:kern w:val="0"/>
        </w:rPr>
        <w:t>cumulative analysis among eight cohorts (514 816 subjects</w:t>
      </w:r>
      <w:r w:rsidR="005853A9">
        <w:rPr>
          <w:kern w:val="0"/>
        </w:rPr>
        <w:t xml:space="preserve"> and </w:t>
      </w:r>
      <w:r>
        <w:rPr>
          <w:kern w:val="0"/>
        </w:rPr>
        <w:t>33 576 deaths) evaluating overall mortality in relation to adherence to a Mediterranean diet showed that a two point increase in</w:t>
      </w:r>
      <w:r w:rsidR="003A1917">
        <w:rPr>
          <w:kern w:val="0"/>
        </w:rPr>
        <w:t xml:space="preserve"> the </w:t>
      </w:r>
      <w:r>
        <w:rPr>
          <w:kern w:val="0"/>
        </w:rPr>
        <w:t>adherence score was significantly associated with a reduced risk</w:t>
      </w:r>
      <w:r w:rsidR="00427468">
        <w:rPr>
          <w:kern w:val="0"/>
        </w:rPr>
        <w:t xml:space="preserve"> of </w:t>
      </w:r>
      <w:r>
        <w:rPr>
          <w:kern w:val="0"/>
        </w:rPr>
        <w:t>mortality (pooled relative risk 0.91, 95% confidence interval 0.89 to 0.94). Likewise,</w:t>
      </w:r>
      <w:r w:rsidR="003A1917">
        <w:rPr>
          <w:kern w:val="0"/>
        </w:rPr>
        <w:t xml:space="preserve"> the </w:t>
      </w:r>
      <w:r>
        <w:rPr>
          <w:kern w:val="0"/>
        </w:rPr>
        <w:t>analyses showed a beneficial role for greater adherence to a Mediterranean diet on cardiovascular mortality (pooled relative risk 0.91, 0.87 to 0.95), incidence</w:t>
      </w:r>
      <w:r w:rsidR="00427468">
        <w:rPr>
          <w:kern w:val="0"/>
        </w:rPr>
        <w:t xml:space="preserve"> of </w:t>
      </w:r>
      <w:r>
        <w:rPr>
          <w:kern w:val="0"/>
        </w:rPr>
        <w:t>or mortality from cancer (0.94, 0.92 to 0.96),</w:t>
      </w:r>
      <w:r w:rsidR="005853A9">
        <w:rPr>
          <w:kern w:val="0"/>
        </w:rPr>
        <w:t xml:space="preserve"> and </w:t>
      </w:r>
      <w:r>
        <w:rPr>
          <w:kern w:val="0"/>
        </w:rPr>
        <w:t>incidence</w:t>
      </w:r>
      <w:r w:rsidR="00427468">
        <w:rPr>
          <w:kern w:val="0"/>
        </w:rPr>
        <w:t xml:space="preserve"> of </w:t>
      </w:r>
      <w:r>
        <w:rPr>
          <w:kern w:val="0"/>
        </w:rPr>
        <w:t>Parkinson</w:t>
      </w:r>
      <w:r w:rsidR="00700038">
        <w:rPr>
          <w:kern w:val="0"/>
        </w:rPr>
        <w:t>’</w:t>
      </w:r>
      <w:r w:rsidR="00C13DDC">
        <w:rPr>
          <w:kern w:val="0"/>
        </w:rPr>
        <w:t>s</w:t>
      </w:r>
      <w:r>
        <w:rPr>
          <w:kern w:val="0"/>
        </w:rPr>
        <w:t xml:space="preserve"> disease</w:t>
      </w:r>
      <w:r w:rsidR="005853A9">
        <w:rPr>
          <w:kern w:val="0"/>
        </w:rPr>
        <w:t xml:space="preserve"> and </w:t>
      </w:r>
      <w:r>
        <w:rPr>
          <w:kern w:val="0"/>
        </w:rPr>
        <w:t>Alzheimer</w:t>
      </w:r>
      <w:r w:rsidR="00700038">
        <w:rPr>
          <w:kern w:val="0"/>
        </w:rPr>
        <w:t>’</w:t>
      </w:r>
      <w:r w:rsidR="00C13DDC">
        <w:rPr>
          <w:kern w:val="0"/>
        </w:rPr>
        <w:t>s</w:t>
      </w:r>
      <w:r>
        <w:rPr>
          <w:kern w:val="0"/>
        </w:rPr>
        <w:t xml:space="preserve"> disease (0.87, 0.80 to 0.96). Conclusions Greater adherence to a Mediterranean diet is associated with a significant improvement in health status, as seen by a significant reduction in overall mortality (9%), mortality from cardiovascular diseases (9%), incidence</w:t>
      </w:r>
      <w:r w:rsidR="00427468">
        <w:rPr>
          <w:kern w:val="0"/>
        </w:rPr>
        <w:t xml:space="preserve"> of </w:t>
      </w:r>
      <w:r>
        <w:rPr>
          <w:kern w:val="0"/>
        </w:rPr>
        <w:t>or mortality from cancer (6%),</w:t>
      </w:r>
      <w:r w:rsidR="005853A9">
        <w:rPr>
          <w:kern w:val="0"/>
        </w:rPr>
        <w:t xml:space="preserve"> and </w:t>
      </w:r>
      <w:r>
        <w:rPr>
          <w:kern w:val="0"/>
        </w:rPr>
        <w:t>incidence</w:t>
      </w:r>
      <w:r w:rsidR="00427468">
        <w:rPr>
          <w:kern w:val="0"/>
        </w:rPr>
        <w:t xml:space="preserve"> of </w:t>
      </w:r>
      <w:r>
        <w:rPr>
          <w:kern w:val="0"/>
        </w:rPr>
        <w:t>Parkinson</w:t>
      </w:r>
      <w:r w:rsidR="00700038">
        <w:rPr>
          <w:kern w:val="0"/>
        </w:rPr>
        <w:t>’</w:t>
      </w:r>
      <w:r w:rsidR="00C13DDC">
        <w:rPr>
          <w:kern w:val="0"/>
        </w:rPr>
        <w:t>s</w:t>
      </w:r>
      <w:r>
        <w:rPr>
          <w:kern w:val="0"/>
        </w:rPr>
        <w:t xml:space="preserve"> disease</w:t>
      </w:r>
      <w:r w:rsidR="005853A9">
        <w:rPr>
          <w:kern w:val="0"/>
        </w:rPr>
        <w:t xml:space="preserve"> and </w:t>
      </w:r>
      <w:r>
        <w:rPr>
          <w:kern w:val="0"/>
        </w:rPr>
        <w:t>Alzheimer</w:t>
      </w:r>
      <w:r w:rsidR="00700038">
        <w:rPr>
          <w:kern w:val="0"/>
        </w:rPr>
        <w:t>’</w:t>
      </w:r>
      <w:r w:rsidR="00C13DDC">
        <w:rPr>
          <w:kern w:val="0"/>
        </w:rPr>
        <w:t>s</w:t>
      </w:r>
      <w:r>
        <w:rPr>
          <w:kern w:val="0"/>
        </w:rPr>
        <w:t xml:space="preserve"> disease (13%)</w:t>
      </w:r>
      <w:r w:rsidR="00A37C1D">
        <w:rPr>
          <w:kern w:val="0"/>
        </w:rPr>
        <w:t>. The</w:t>
      </w:r>
      <w:r>
        <w:rPr>
          <w:kern w:val="0"/>
        </w:rPr>
        <w:t>se results seem to be clinically relevant for public health, in particular for encouraging a Mediterranean- like dietary pattern for primary prevention</w:t>
      </w:r>
      <w:r w:rsidR="00427468">
        <w:rPr>
          <w:kern w:val="0"/>
        </w:rPr>
        <w:t xml:space="preserve"> of </w:t>
      </w:r>
      <w:r>
        <w:rPr>
          <w:kern w:val="0"/>
        </w:rPr>
        <w:t>major chronic diseases.</w:t>
      </w:r>
    </w:p>
    <w:p w:rsidR="001217DA" w:rsidRDefault="001217DA" w:rsidP="001217DA">
      <w:pPr>
        <w:pStyle w:val="a3"/>
        <w:rPr>
          <w:kern w:val="0"/>
        </w:rPr>
      </w:pPr>
      <w:r>
        <w:rPr>
          <w:kern w:val="0"/>
        </w:rPr>
        <w:t>Keywords: Adherence, Alzheimer</w:t>
      </w:r>
      <w:r w:rsidR="00700038">
        <w:rPr>
          <w:kern w:val="0"/>
        </w:rPr>
        <w:t>’</w:t>
      </w:r>
      <w:r w:rsidR="00C13DDC">
        <w:rPr>
          <w:kern w:val="0"/>
        </w:rPr>
        <w:t>s</w:t>
      </w:r>
      <w:r>
        <w:rPr>
          <w:kern w:val="0"/>
        </w:rPr>
        <w:t xml:space="preserve"> Disease, Analysis, Cancer, Cardiovascular, </w:t>
      </w:r>
      <w:r>
        <w:rPr>
          <w:kern w:val="0"/>
        </w:rPr>
        <w:lastRenderedPageBreak/>
        <w:t>Cardiovascular Diseases, Cochrane, Cohort Studies, Disease, Health Status, Meta Analysis, Meta-Analysis, Mortality, Parkinson</w:t>
      </w:r>
      <w:r w:rsidR="00700038">
        <w:rPr>
          <w:kern w:val="0"/>
        </w:rPr>
        <w:t>’</w:t>
      </w:r>
      <w:r w:rsidR="00C13DDC">
        <w:rPr>
          <w:kern w:val="0"/>
        </w:rPr>
        <w:t>s</w:t>
      </w:r>
      <w:r>
        <w:rPr>
          <w:kern w:val="0"/>
        </w:rPr>
        <w:t xml:space="preserve"> Disease, Prevention, Primary, Primary Prevention, Public Health, Publications, </w:t>
      </w:r>
      <w:r w:rsidR="002C12F0">
        <w:rPr>
          <w:kern w:val="0"/>
        </w:rPr>
        <w:t>PUBMED</w:t>
      </w:r>
      <w:r>
        <w:rPr>
          <w:kern w:val="0"/>
        </w:rPr>
        <w:t xml:space="preserve">, Relative Risk, Review, Risk, Science, </w:t>
      </w:r>
      <w:r w:rsidR="00D5664A">
        <w:rPr>
          <w:kern w:val="0"/>
        </w:rPr>
        <w:t>Web</w:t>
      </w:r>
      <w:r w:rsidR="00427468">
        <w:rPr>
          <w:kern w:val="0"/>
        </w:rPr>
        <w:t xml:space="preserve"> of </w:t>
      </w:r>
      <w:r w:rsidR="00D5664A">
        <w:rPr>
          <w:kern w:val="0"/>
        </w:rPr>
        <w:t>Science</w:t>
      </w:r>
    </w:p>
    <w:p w:rsidR="00C40803" w:rsidRPr="001A3D2B" w:rsidRDefault="00C40803" w:rsidP="00C40803">
      <w:pPr>
        <w:pStyle w:val="a3"/>
        <w:rPr>
          <w:kern w:val="0"/>
        </w:rPr>
      </w:pPr>
      <w:r w:rsidRPr="001A3D2B">
        <w:rPr>
          <w:kern w:val="0"/>
        </w:rPr>
        <w:t>? Dyer, C. (2008), Lancet warns authors about rules</w:t>
      </w:r>
      <w:r w:rsidR="00427468">
        <w:rPr>
          <w:kern w:val="0"/>
        </w:rPr>
        <w:t xml:space="preserve"> of </w:t>
      </w:r>
      <w:r w:rsidR="00B5188C">
        <w:rPr>
          <w:kern w:val="0"/>
        </w:rPr>
        <w:t>“</w:t>
      </w:r>
      <w:r w:rsidRPr="001A3D2B">
        <w:rPr>
          <w:kern w:val="0"/>
        </w:rPr>
        <w:t>gift</w:t>
      </w:r>
      <w:r w:rsidR="00B5188C">
        <w:rPr>
          <w:kern w:val="0"/>
        </w:rPr>
        <w:t>”</w:t>
      </w:r>
      <w:r w:rsidRPr="001A3D2B">
        <w:rPr>
          <w:kern w:val="0"/>
        </w:rPr>
        <w:t xml:space="preserve"> authorship. </w:t>
      </w:r>
      <w:r w:rsidRPr="001A3D2B">
        <w:rPr>
          <w:i/>
          <w:iCs/>
          <w:kern w:val="0"/>
        </w:rPr>
        <w:t>British Medical Journal</w:t>
      </w:r>
      <w:r w:rsidRPr="001A3D2B">
        <w:rPr>
          <w:kern w:val="0"/>
        </w:rPr>
        <w:t xml:space="preserve">, </w:t>
      </w:r>
      <w:r w:rsidRPr="001A3D2B">
        <w:rPr>
          <w:b/>
          <w:bCs/>
          <w:kern w:val="0"/>
        </w:rPr>
        <w:t>337</w:t>
      </w:r>
      <w:r w:rsidRPr="001A3D2B">
        <w:rPr>
          <w:kern w:val="0"/>
        </w:rPr>
        <w:t xml:space="preserve"> (7671), Article Number: a1711.</w:t>
      </w:r>
    </w:p>
    <w:p w:rsidR="00C40803" w:rsidRPr="001A3D2B" w:rsidRDefault="00C40803" w:rsidP="00C40803">
      <w:pPr>
        <w:pStyle w:val="a3"/>
        <w:rPr>
          <w:kern w:val="0"/>
        </w:rPr>
      </w:pPr>
      <w:r w:rsidRPr="001A3D2B">
        <w:t xml:space="preserve">Full Text: </w:t>
      </w:r>
      <w:hyperlink r:id="rId2050" w:history="1">
        <w:r w:rsidRPr="001A3D2B">
          <w:rPr>
            <w:rStyle w:val="a5"/>
          </w:rPr>
          <w:t>2008\Bri Med J337, a1711.pdf</w:t>
        </w:r>
      </w:hyperlink>
    </w:p>
    <w:p w:rsidR="00C40803" w:rsidRPr="001A3D2B" w:rsidRDefault="00C40803" w:rsidP="00C40803">
      <w:pPr>
        <w:pStyle w:val="a3"/>
        <w:rPr>
          <w:kern w:val="0"/>
        </w:rPr>
      </w:pPr>
      <w:r w:rsidRPr="001A3D2B">
        <w:rPr>
          <w:kern w:val="0"/>
        </w:rPr>
        <w:t>Keywords: Autologous Myoblasts, Fibroblasts, Randomized Controlled-Trial, Stress Urinary-Incontinence</w:t>
      </w:r>
    </w:p>
    <w:p w:rsidR="00C22FC7" w:rsidRDefault="00C22FC7" w:rsidP="00C22FC7">
      <w:pPr>
        <w:pStyle w:val="a3"/>
        <w:rPr>
          <w:kern w:val="0"/>
        </w:rPr>
      </w:pPr>
      <w:r>
        <w:rPr>
          <w:rFonts w:hint="eastAsia"/>
          <w:kern w:val="0"/>
        </w:rPr>
        <w:t xml:space="preserve">? </w:t>
      </w:r>
      <w:r>
        <w:rPr>
          <w:kern w:val="0"/>
        </w:rPr>
        <w:t>Kemp, A.M., Dunstan, F., Harrison, S., Morris, S., Mann, M., Rolfe, K., Datta, S., Thomas, D.P., Sibert, J.R.</w:t>
      </w:r>
      <w:r w:rsidR="005853A9">
        <w:rPr>
          <w:kern w:val="0"/>
        </w:rPr>
        <w:t xml:space="preserve"> and </w:t>
      </w:r>
      <w:r>
        <w:rPr>
          <w:kern w:val="0"/>
        </w:rPr>
        <w:t>Maguire, S. (2008), Patterns</w:t>
      </w:r>
      <w:r w:rsidR="00427468">
        <w:rPr>
          <w:kern w:val="0"/>
        </w:rPr>
        <w:t xml:space="preserve"> of </w:t>
      </w:r>
      <w:r>
        <w:rPr>
          <w:kern w:val="0"/>
        </w:rPr>
        <w:t xml:space="preserve">skeletal fractures in child abuse: Systematic review. </w:t>
      </w:r>
      <w:r>
        <w:rPr>
          <w:i/>
          <w:iCs/>
          <w:kern w:val="0"/>
        </w:rPr>
        <w:t>British Medical Journal</w:t>
      </w:r>
      <w:r>
        <w:rPr>
          <w:kern w:val="0"/>
        </w:rPr>
        <w:t xml:space="preserve">, </w:t>
      </w:r>
      <w:r>
        <w:rPr>
          <w:b/>
          <w:bCs/>
          <w:kern w:val="0"/>
        </w:rPr>
        <w:t>337</w:t>
      </w:r>
      <w:r>
        <w:rPr>
          <w:kern w:val="0"/>
        </w:rPr>
        <w:t xml:space="preserve"> (7674</w:t>
      </w:r>
      <w:r>
        <w:rPr>
          <w:rFonts w:hint="eastAsia"/>
          <w:kern w:val="0"/>
        </w:rPr>
        <w:t xml:space="preserve">), </w:t>
      </w:r>
      <w:r w:rsidRPr="001A3D2B">
        <w:rPr>
          <w:kern w:val="0"/>
        </w:rPr>
        <w:t>Article Number: a1</w:t>
      </w:r>
      <w:r>
        <w:rPr>
          <w:rFonts w:hint="eastAsia"/>
          <w:kern w:val="0"/>
        </w:rPr>
        <w:t>518</w:t>
      </w:r>
      <w:r>
        <w:rPr>
          <w:kern w:val="0"/>
        </w:rPr>
        <w:t>.</w:t>
      </w:r>
    </w:p>
    <w:p w:rsidR="00C22FC7" w:rsidRPr="001A3D2B" w:rsidRDefault="00C22FC7" w:rsidP="00C22FC7">
      <w:pPr>
        <w:pStyle w:val="a3"/>
        <w:rPr>
          <w:kern w:val="0"/>
        </w:rPr>
      </w:pPr>
      <w:r w:rsidRPr="001A3D2B">
        <w:t xml:space="preserve">Full Text: </w:t>
      </w:r>
      <w:hyperlink r:id="rId2051" w:history="1">
        <w:r w:rsidRPr="00C22FC7">
          <w:rPr>
            <w:rStyle w:val="a5"/>
          </w:rPr>
          <w:t>2008\Bri Med J337, a1518.pdf</w:t>
        </w:r>
      </w:hyperlink>
    </w:p>
    <w:p w:rsidR="00C22FC7" w:rsidRDefault="00C22FC7" w:rsidP="00C22FC7">
      <w:pPr>
        <w:pStyle w:val="a3"/>
        <w:rPr>
          <w:kern w:val="0"/>
        </w:rPr>
      </w:pPr>
      <w:r>
        <w:rPr>
          <w:kern w:val="0"/>
        </w:rPr>
        <w:t>Abstract: Objectives To systematically review published studies to identify</w:t>
      </w:r>
      <w:r w:rsidR="003A1917">
        <w:rPr>
          <w:kern w:val="0"/>
        </w:rPr>
        <w:t xml:space="preserve"> the </w:t>
      </w:r>
      <w:r>
        <w:rPr>
          <w:kern w:val="0"/>
        </w:rPr>
        <w:t>characteristics that distinguish fractures in children resulting from abuse</w:t>
      </w:r>
      <w:r w:rsidR="005853A9">
        <w:rPr>
          <w:kern w:val="0"/>
        </w:rPr>
        <w:t xml:space="preserve"> and </w:t>
      </w:r>
      <w:r>
        <w:rPr>
          <w:kern w:val="0"/>
        </w:rPr>
        <w:t>those not resulting from abuse,</w:t>
      </w:r>
      <w:r w:rsidR="005853A9">
        <w:rPr>
          <w:kern w:val="0"/>
        </w:rPr>
        <w:t xml:space="preserve"> and </w:t>
      </w:r>
      <w:r>
        <w:rPr>
          <w:kern w:val="0"/>
        </w:rPr>
        <w:t>to calculate a probability</w:t>
      </w:r>
      <w:r w:rsidR="00427468">
        <w:rPr>
          <w:kern w:val="0"/>
        </w:rPr>
        <w:t xml:space="preserve"> of </w:t>
      </w:r>
      <w:r>
        <w:rPr>
          <w:kern w:val="0"/>
        </w:rPr>
        <w:t>abuse for individual fracture types. Design Systematic review. Data sources All language literature search</w:t>
      </w:r>
      <w:r w:rsidR="00427468">
        <w:rPr>
          <w:kern w:val="0"/>
        </w:rPr>
        <w:t xml:space="preserve"> of </w:t>
      </w:r>
      <w:r w:rsidR="00D5664A">
        <w:rPr>
          <w:kern w:val="0"/>
        </w:rPr>
        <w:t>MEDLINE</w:t>
      </w:r>
      <w:r>
        <w:rPr>
          <w:kern w:val="0"/>
        </w:rPr>
        <w:t xml:space="preserve">, </w:t>
      </w:r>
      <w:r w:rsidR="00D5664A">
        <w:rPr>
          <w:kern w:val="0"/>
        </w:rPr>
        <w:t>MEDLINE</w:t>
      </w:r>
      <w:r>
        <w:rPr>
          <w:kern w:val="0"/>
        </w:rPr>
        <w:t xml:space="preserve"> in Process, Embase, Assia, Caredata, Child Data, CINAHL, ISI Proceedings, Sciences Citation, Social Science Citation Index, SIGLE, Scopus, TRIP,</w:t>
      </w:r>
      <w:r w:rsidR="005853A9">
        <w:rPr>
          <w:kern w:val="0"/>
        </w:rPr>
        <w:t xml:space="preserve"> and </w:t>
      </w:r>
      <w:r>
        <w:rPr>
          <w:kern w:val="0"/>
        </w:rPr>
        <w:t>Social Care Online for original study articles, references, textbooks,</w:t>
      </w:r>
      <w:r w:rsidR="005853A9">
        <w:rPr>
          <w:kern w:val="0"/>
        </w:rPr>
        <w:t xml:space="preserve"> and </w:t>
      </w:r>
      <w:r>
        <w:rPr>
          <w:kern w:val="0"/>
        </w:rPr>
        <w:t>conference abstracts until May 2007. Study selection Comparative studies</w:t>
      </w:r>
      <w:r w:rsidR="00427468">
        <w:rPr>
          <w:kern w:val="0"/>
        </w:rPr>
        <w:t xml:space="preserve"> of </w:t>
      </w:r>
      <w:r>
        <w:rPr>
          <w:kern w:val="0"/>
        </w:rPr>
        <w:t>fracture at different bony sites, sustained in physical abuse</w:t>
      </w:r>
      <w:r w:rsidR="005853A9">
        <w:rPr>
          <w:kern w:val="0"/>
        </w:rPr>
        <w:t xml:space="preserve"> and </w:t>
      </w:r>
      <w:r>
        <w:rPr>
          <w:kern w:val="0"/>
        </w:rPr>
        <w:t>from other causes in children &lt; 18 years old were included. Review articles, expert opinion, postmortem studies,</w:t>
      </w:r>
      <w:r w:rsidR="005853A9">
        <w:rPr>
          <w:kern w:val="0"/>
        </w:rPr>
        <w:t xml:space="preserve"> and </w:t>
      </w:r>
      <w:r>
        <w:rPr>
          <w:kern w:val="0"/>
        </w:rPr>
        <w:t>studies in adults were excluded. Data extraction</w:t>
      </w:r>
      <w:r w:rsidR="005853A9">
        <w:rPr>
          <w:kern w:val="0"/>
        </w:rPr>
        <w:t xml:space="preserve"> and </w:t>
      </w:r>
      <w:r>
        <w:rPr>
          <w:kern w:val="0"/>
        </w:rPr>
        <w:t xml:space="preserve">synthesis Each study had two independent reviews </w:t>
      </w:r>
      <w:r w:rsidR="00C26C67">
        <w:rPr>
          <w:kern w:val="0"/>
        </w:rPr>
        <w:t>(</w:t>
      </w:r>
      <w:r>
        <w:rPr>
          <w:kern w:val="0"/>
        </w:rPr>
        <w:t>three if disputed) by specialist reviewers including paediatricians, paediatric radiologists, orthopaedic surgeons,</w:t>
      </w:r>
      <w:r w:rsidR="005853A9">
        <w:rPr>
          <w:kern w:val="0"/>
        </w:rPr>
        <w:t xml:space="preserve"> and </w:t>
      </w:r>
      <w:r>
        <w:rPr>
          <w:kern w:val="0"/>
        </w:rPr>
        <w:t>named nurses in child protection. Each study was critically appraised by using data extraction sheets, critical appraisal forms,</w:t>
      </w:r>
      <w:r w:rsidR="005853A9">
        <w:rPr>
          <w:kern w:val="0"/>
        </w:rPr>
        <w:t xml:space="preserve"> and </w:t>
      </w:r>
      <w:r>
        <w:rPr>
          <w:kern w:val="0"/>
        </w:rPr>
        <w:t>evidence sheets based on NHS Centre for Reviews</w:t>
      </w:r>
      <w:r w:rsidR="005853A9">
        <w:rPr>
          <w:kern w:val="0"/>
        </w:rPr>
        <w:t xml:space="preserve"> and </w:t>
      </w:r>
      <w:r>
        <w:rPr>
          <w:kern w:val="0"/>
        </w:rPr>
        <w:t>Dissemination guidance. Meta- analysis was done where possible. A random effects model was fitted to account for</w:t>
      </w:r>
      <w:r w:rsidR="003A1917">
        <w:rPr>
          <w:kern w:val="0"/>
        </w:rPr>
        <w:t xml:space="preserve"> the </w:t>
      </w:r>
      <w:r>
        <w:rPr>
          <w:kern w:val="0"/>
        </w:rPr>
        <w:t>heterogeneity between studies. Results In total, 32 studies were included. Fractures resulting from abuse were recorded throughout</w:t>
      </w:r>
      <w:r w:rsidR="003A1917">
        <w:rPr>
          <w:kern w:val="0"/>
        </w:rPr>
        <w:t xml:space="preserve"> the </w:t>
      </w:r>
      <w:r>
        <w:rPr>
          <w:kern w:val="0"/>
        </w:rPr>
        <w:t>skeletal system, most commonly in infants (&lt; 1 year)</w:t>
      </w:r>
      <w:r w:rsidR="005853A9">
        <w:rPr>
          <w:kern w:val="0"/>
        </w:rPr>
        <w:t xml:space="preserve"> and </w:t>
      </w:r>
      <w:r>
        <w:rPr>
          <w:kern w:val="0"/>
        </w:rPr>
        <w:t xml:space="preserve">toddlers </w:t>
      </w:r>
      <w:r w:rsidR="00C26C67">
        <w:rPr>
          <w:kern w:val="0"/>
        </w:rPr>
        <w:t>(</w:t>
      </w:r>
      <w:r>
        <w:rPr>
          <w:kern w:val="0"/>
        </w:rPr>
        <w:t>between 1</w:t>
      </w:r>
      <w:r w:rsidR="005853A9">
        <w:rPr>
          <w:kern w:val="0"/>
        </w:rPr>
        <w:t xml:space="preserve"> and </w:t>
      </w:r>
      <w:r>
        <w:rPr>
          <w:kern w:val="0"/>
        </w:rPr>
        <w:t>3 years old). Multiple fractures were more common in cases</w:t>
      </w:r>
      <w:r w:rsidR="00427468">
        <w:rPr>
          <w:kern w:val="0"/>
        </w:rPr>
        <w:t xml:space="preserve"> of </w:t>
      </w:r>
      <w:r>
        <w:rPr>
          <w:kern w:val="0"/>
        </w:rPr>
        <w:t>abuse. Once major trauma was excluded, rib fractures had</w:t>
      </w:r>
      <w:r w:rsidR="003A1917">
        <w:rPr>
          <w:kern w:val="0"/>
        </w:rPr>
        <w:t xml:space="preserve"> the </w:t>
      </w:r>
      <w:r>
        <w:rPr>
          <w:kern w:val="0"/>
        </w:rPr>
        <w:t xml:space="preserve">highest probability for abuse </w:t>
      </w:r>
      <w:r w:rsidR="00C26C67">
        <w:rPr>
          <w:kern w:val="0"/>
        </w:rPr>
        <w:t>(</w:t>
      </w:r>
      <w:r>
        <w:rPr>
          <w:kern w:val="0"/>
        </w:rPr>
        <w:t>0.71, 95% confidence interval 0.42 to 0.91)</w:t>
      </w:r>
      <w:r w:rsidR="00A37C1D">
        <w:rPr>
          <w:kern w:val="0"/>
        </w:rPr>
        <w:t>. The</w:t>
      </w:r>
      <w:r w:rsidR="003A1917">
        <w:rPr>
          <w:kern w:val="0"/>
        </w:rPr>
        <w:t xml:space="preserve"> </w:t>
      </w:r>
      <w:r>
        <w:rPr>
          <w:kern w:val="0"/>
        </w:rPr>
        <w:t>probability</w:t>
      </w:r>
      <w:r w:rsidR="00427468">
        <w:rPr>
          <w:kern w:val="0"/>
        </w:rPr>
        <w:t xml:space="preserve"> of </w:t>
      </w:r>
      <w:r>
        <w:rPr>
          <w:kern w:val="0"/>
        </w:rPr>
        <w:t xml:space="preserve">abuse given a humeral fracture lay between 0.48 </w:t>
      </w:r>
      <w:r w:rsidR="00C26C67">
        <w:rPr>
          <w:kern w:val="0"/>
        </w:rPr>
        <w:t>(</w:t>
      </w:r>
      <w:r>
        <w:rPr>
          <w:kern w:val="0"/>
        </w:rPr>
        <w:t>0.06 to 0.94)</w:t>
      </w:r>
      <w:r w:rsidR="005853A9">
        <w:rPr>
          <w:kern w:val="0"/>
        </w:rPr>
        <w:t xml:space="preserve"> and </w:t>
      </w:r>
      <w:r>
        <w:rPr>
          <w:kern w:val="0"/>
        </w:rPr>
        <w:t xml:space="preserve">0.54 </w:t>
      </w:r>
      <w:r w:rsidR="00C26C67">
        <w:rPr>
          <w:kern w:val="0"/>
        </w:rPr>
        <w:t>(</w:t>
      </w:r>
      <w:r>
        <w:rPr>
          <w:kern w:val="0"/>
        </w:rPr>
        <w:t>0.20 to 0.88), depending on</w:t>
      </w:r>
      <w:r w:rsidR="003A1917">
        <w:rPr>
          <w:kern w:val="0"/>
        </w:rPr>
        <w:t xml:space="preserve"> the </w:t>
      </w:r>
      <w:r>
        <w:rPr>
          <w:kern w:val="0"/>
        </w:rPr>
        <w:t>definition</w:t>
      </w:r>
      <w:r w:rsidR="00427468">
        <w:rPr>
          <w:kern w:val="0"/>
        </w:rPr>
        <w:t xml:space="preserve"> of </w:t>
      </w:r>
      <w:r>
        <w:rPr>
          <w:kern w:val="0"/>
        </w:rPr>
        <w:t>abuse used. Analysis</w:t>
      </w:r>
      <w:r w:rsidR="00427468">
        <w:rPr>
          <w:kern w:val="0"/>
        </w:rPr>
        <w:t xml:space="preserve"> of </w:t>
      </w:r>
      <w:r>
        <w:rPr>
          <w:kern w:val="0"/>
        </w:rPr>
        <w:t>fracture type showed that supracondylar humeral fractures were less likely to be inflicted. For femoral fractures,</w:t>
      </w:r>
      <w:r w:rsidR="003A1917">
        <w:rPr>
          <w:kern w:val="0"/>
        </w:rPr>
        <w:t xml:space="preserve"> </w:t>
      </w:r>
      <w:r w:rsidR="003A1917">
        <w:rPr>
          <w:kern w:val="0"/>
        </w:rPr>
        <w:lastRenderedPageBreak/>
        <w:t xml:space="preserve">the </w:t>
      </w:r>
      <w:r>
        <w:rPr>
          <w:kern w:val="0"/>
        </w:rPr>
        <w:t xml:space="preserve">probability was between 0.28 </w:t>
      </w:r>
      <w:r w:rsidR="00C26C67">
        <w:rPr>
          <w:kern w:val="0"/>
        </w:rPr>
        <w:t>(</w:t>
      </w:r>
      <w:r>
        <w:rPr>
          <w:kern w:val="0"/>
        </w:rPr>
        <w:t>0.15 to 0.44)</w:t>
      </w:r>
      <w:r w:rsidR="005853A9">
        <w:rPr>
          <w:kern w:val="0"/>
        </w:rPr>
        <w:t xml:space="preserve"> and </w:t>
      </w:r>
      <w:r>
        <w:rPr>
          <w:kern w:val="0"/>
        </w:rPr>
        <w:t xml:space="preserve">0.43 </w:t>
      </w:r>
      <w:r w:rsidR="00C26C67">
        <w:rPr>
          <w:kern w:val="0"/>
        </w:rPr>
        <w:t>(</w:t>
      </w:r>
      <w:r>
        <w:rPr>
          <w:kern w:val="0"/>
        </w:rPr>
        <w:t>0.32 to 0.54), depending on</w:t>
      </w:r>
      <w:r w:rsidR="003A1917">
        <w:rPr>
          <w:kern w:val="0"/>
        </w:rPr>
        <w:t xml:space="preserve"> the </w:t>
      </w:r>
      <w:r>
        <w:rPr>
          <w:kern w:val="0"/>
        </w:rPr>
        <w:t>definition</w:t>
      </w:r>
      <w:r w:rsidR="00427468">
        <w:rPr>
          <w:kern w:val="0"/>
        </w:rPr>
        <w:t xml:space="preserve"> of </w:t>
      </w:r>
      <w:r>
        <w:rPr>
          <w:kern w:val="0"/>
        </w:rPr>
        <w:t>abuse used,</w:t>
      </w:r>
      <w:r w:rsidR="005853A9">
        <w:rPr>
          <w:kern w:val="0"/>
        </w:rPr>
        <w:t xml:space="preserve"> and </w:t>
      </w:r>
      <w:r w:rsidR="003A1917">
        <w:rPr>
          <w:kern w:val="0"/>
        </w:rPr>
        <w:t xml:space="preserve">the </w:t>
      </w:r>
      <w:r>
        <w:rPr>
          <w:kern w:val="0"/>
        </w:rPr>
        <w:t>developmental stage</w:t>
      </w:r>
      <w:r w:rsidR="00427468">
        <w:rPr>
          <w:kern w:val="0"/>
        </w:rPr>
        <w:t xml:space="preserve"> of </w:t>
      </w:r>
      <w:r w:rsidR="003A1917">
        <w:rPr>
          <w:kern w:val="0"/>
        </w:rPr>
        <w:t xml:space="preserve">the </w:t>
      </w:r>
      <w:r>
        <w:rPr>
          <w:kern w:val="0"/>
        </w:rPr>
        <w:t>child was an important discriminator</w:t>
      </w:r>
      <w:r w:rsidR="00A37C1D">
        <w:rPr>
          <w:kern w:val="0"/>
        </w:rPr>
        <w:t>. The</w:t>
      </w:r>
      <w:r w:rsidR="003A1917">
        <w:rPr>
          <w:kern w:val="0"/>
        </w:rPr>
        <w:t xml:space="preserve"> </w:t>
      </w:r>
      <w:r>
        <w:rPr>
          <w:kern w:val="0"/>
        </w:rPr>
        <w:t xml:space="preserve">probability for skull fractures was 0.30 </w:t>
      </w:r>
      <w:r w:rsidR="00C26C67">
        <w:rPr>
          <w:kern w:val="0"/>
        </w:rPr>
        <w:t>(</w:t>
      </w:r>
      <w:r>
        <w:rPr>
          <w:kern w:val="0"/>
        </w:rPr>
        <w:t>0.19 to 0.46);</w:t>
      </w:r>
      <w:r w:rsidR="003A1917">
        <w:rPr>
          <w:kern w:val="0"/>
        </w:rPr>
        <w:t xml:space="preserve"> the </w:t>
      </w:r>
      <w:r>
        <w:rPr>
          <w:kern w:val="0"/>
        </w:rPr>
        <w:t>most common fractures in abuse</w:t>
      </w:r>
      <w:r w:rsidR="005853A9">
        <w:rPr>
          <w:kern w:val="0"/>
        </w:rPr>
        <w:t xml:space="preserve"> and </w:t>
      </w:r>
      <w:r>
        <w:rPr>
          <w:kern w:val="0"/>
        </w:rPr>
        <w:t>non- abuse were linear fractures. Insufficient comparative studies were available to allow calculation</w:t>
      </w:r>
      <w:r w:rsidR="00427468">
        <w:rPr>
          <w:kern w:val="0"/>
        </w:rPr>
        <w:t xml:space="preserve"> of </w:t>
      </w:r>
      <w:r>
        <w:rPr>
          <w:kern w:val="0"/>
        </w:rPr>
        <w:t>a probability</w:t>
      </w:r>
      <w:r w:rsidR="00427468">
        <w:rPr>
          <w:kern w:val="0"/>
        </w:rPr>
        <w:t xml:space="preserve"> of </w:t>
      </w:r>
      <w:r>
        <w:rPr>
          <w:kern w:val="0"/>
        </w:rPr>
        <w:t>abuse for other fracture types. Conclusion When infants</w:t>
      </w:r>
      <w:r w:rsidR="005853A9">
        <w:rPr>
          <w:kern w:val="0"/>
        </w:rPr>
        <w:t xml:space="preserve"> and </w:t>
      </w:r>
      <w:r>
        <w:rPr>
          <w:kern w:val="0"/>
        </w:rPr>
        <w:t>toddlers present with a fracture in</w:t>
      </w:r>
      <w:r w:rsidR="003A1917">
        <w:rPr>
          <w:kern w:val="0"/>
        </w:rPr>
        <w:t xml:space="preserve"> the </w:t>
      </w:r>
      <w:r>
        <w:rPr>
          <w:kern w:val="0"/>
        </w:rPr>
        <w:t>absence</w:t>
      </w:r>
      <w:r w:rsidR="00427468">
        <w:rPr>
          <w:kern w:val="0"/>
        </w:rPr>
        <w:t xml:space="preserve"> of </w:t>
      </w:r>
      <w:r>
        <w:rPr>
          <w:kern w:val="0"/>
        </w:rPr>
        <w:t>a confirmed cause, physical abuse should be considered as a potential cause. No fracture, on its own, can distinguish an abusive from a non- abusive cause. During</w:t>
      </w:r>
      <w:r w:rsidR="003A1917">
        <w:rPr>
          <w:kern w:val="0"/>
        </w:rPr>
        <w:t xml:space="preserve"> the </w:t>
      </w:r>
      <w:r>
        <w:rPr>
          <w:kern w:val="0"/>
        </w:rPr>
        <w:t>assessment</w:t>
      </w:r>
      <w:r w:rsidR="00427468">
        <w:rPr>
          <w:kern w:val="0"/>
        </w:rPr>
        <w:t xml:space="preserve"> of </w:t>
      </w:r>
      <w:r>
        <w:rPr>
          <w:kern w:val="0"/>
        </w:rPr>
        <w:t>individual fractures,</w:t>
      </w:r>
      <w:r w:rsidR="003A1917">
        <w:rPr>
          <w:kern w:val="0"/>
        </w:rPr>
        <w:t xml:space="preserve"> the </w:t>
      </w:r>
      <w:r>
        <w:rPr>
          <w:kern w:val="0"/>
        </w:rPr>
        <w:t>site, fracture type,</w:t>
      </w:r>
      <w:r w:rsidR="005853A9">
        <w:rPr>
          <w:kern w:val="0"/>
        </w:rPr>
        <w:t xml:space="preserve"> and </w:t>
      </w:r>
      <w:r>
        <w:rPr>
          <w:kern w:val="0"/>
        </w:rPr>
        <w:t>developmental stage</w:t>
      </w:r>
      <w:r w:rsidR="00427468">
        <w:rPr>
          <w:kern w:val="0"/>
        </w:rPr>
        <w:t xml:space="preserve"> of </w:t>
      </w:r>
      <w:r w:rsidR="003A1917">
        <w:rPr>
          <w:kern w:val="0"/>
        </w:rPr>
        <w:t xml:space="preserve">the </w:t>
      </w:r>
      <w:r>
        <w:rPr>
          <w:kern w:val="0"/>
        </w:rPr>
        <w:t>child can help to determine</w:t>
      </w:r>
      <w:r w:rsidR="003A1917">
        <w:rPr>
          <w:kern w:val="0"/>
        </w:rPr>
        <w:t xml:space="preserve"> the </w:t>
      </w:r>
      <w:r>
        <w:rPr>
          <w:kern w:val="0"/>
        </w:rPr>
        <w:t>likelihood</w:t>
      </w:r>
      <w:r w:rsidR="00427468">
        <w:rPr>
          <w:kern w:val="0"/>
        </w:rPr>
        <w:t xml:space="preserve"> of </w:t>
      </w:r>
      <w:r>
        <w:rPr>
          <w:kern w:val="0"/>
        </w:rPr>
        <w:t>abuse</w:t>
      </w:r>
      <w:r w:rsidR="00A37C1D">
        <w:rPr>
          <w:kern w:val="0"/>
        </w:rPr>
        <w:t>. The</w:t>
      </w:r>
      <w:r w:rsidR="003A1917">
        <w:rPr>
          <w:kern w:val="0"/>
        </w:rPr>
        <w:t xml:space="preserve"> </w:t>
      </w:r>
      <w:r>
        <w:rPr>
          <w:kern w:val="0"/>
        </w:rPr>
        <w:t>number</w:t>
      </w:r>
      <w:r w:rsidR="00427468">
        <w:rPr>
          <w:kern w:val="0"/>
        </w:rPr>
        <w:t xml:space="preserve"> of </w:t>
      </w:r>
      <w:r>
        <w:rPr>
          <w:kern w:val="0"/>
        </w:rPr>
        <w:t>high quality comparative research studies in this field is limited,</w:t>
      </w:r>
      <w:r w:rsidR="005853A9">
        <w:rPr>
          <w:kern w:val="0"/>
        </w:rPr>
        <w:t xml:space="preserve"> and </w:t>
      </w:r>
      <w:r>
        <w:rPr>
          <w:kern w:val="0"/>
        </w:rPr>
        <w:t>further prospective epidemiology is indicated.</w:t>
      </w:r>
    </w:p>
    <w:p w:rsidR="00C22FC7" w:rsidRDefault="00C22FC7" w:rsidP="00C22FC7">
      <w:pPr>
        <w:pStyle w:val="a3"/>
        <w:rPr>
          <w:kern w:val="0"/>
        </w:rPr>
      </w:pPr>
      <w:r>
        <w:rPr>
          <w:kern w:val="0"/>
        </w:rPr>
        <w:t>Keywords: Articles, Assessment, Characteristics, Children, Citation, Classic Metaphyseal Lesion, Design, Dissemination, Epidemiology, Heterogeneity, Infants</w:t>
      </w:r>
      <w:r w:rsidR="00D5664A">
        <w:rPr>
          <w:kern w:val="0"/>
        </w:rPr>
        <w:t>, ISI,</w:t>
      </w:r>
      <w:r>
        <w:rPr>
          <w:kern w:val="0"/>
        </w:rPr>
        <w:t xml:space="preserve"> Language, Literature, Maltreatment, </w:t>
      </w:r>
      <w:r w:rsidR="00D5664A">
        <w:rPr>
          <w:kern w:val="0"/>
        </w:rPr>
        <w:t>MEDLINE</w:t>
      </w:r>
      <w:r>
        <w:rPr>
          <w:kern w:val="0"/>
        </w:rPr>
        <w:t>, Model, Physical Abuse, Regional Approach, Research, Review, Review Articles, Science, Science Citation Index, Scopus, Selection, Social Science Citation Index, System, Systematic Review, Tibia, Trauma</w:t>
      </w:r>
    </w:p>
    <w:p w:rsidR="001217DA" w:rsidRDefault="001217DA" w:rsidP="001217DA">
      <w:pPr>
        <w:pStyle w:val="a3"/>
        <w:rPr>
          <w:kern w:val="0"/>
        </w:rPr>
      </w:pPr>
      <w:r>
        <w:rPr>
          <w:rFonts w:hint="eastAsia"/>
          <w:kern w:val="0"/>
        </w:rPr>
        <w:t xml:space="preserve">? </w:t>
      </w:r>
      <w:r>
        <w:rPr>
          <w:kern w:val="0"/>
        </w:rPr>
        <w:t>Fan, T., Wang, G., Mao, B., Xiong, Z.Y., Zhang, Y., Liu, X.M., Wang, L.</w:t>
      </w:r>
      <w:r w:rsidR="005853A9">
        <w:rPr>
          <w:kern w:val="0"/>
        </w:rPr>
        <w:t xml:space="preserve"> and </w:t>
      </w:r>
      <w:r>
        <w:rPr>
          <w:kern w:val="0"/>
        </w:rPr>
        <w:t>Yang, S. (2008), Prophylactic administration</w:t>
      </w:r>
      <w:r w:rsidR="00427468">
        <w:rPr>
          <w:kern w:val="0"/>
        </w:rPr>
        <w:t xml:space="preserve"> of </w:t>
      </w:r>
      <w:r>
        <w:rPr>
          <w:kern w:val="0"/>
        </w:rPr>
        <w:t>parenteral steroids for preventing airway complications after extubation in adults: Meta-analysis</w:t>
      </w:r>
      <w:r w:rsidR="00427468">
        <w:rPr>
          <w:kern w:val="0"/>
        </w:rPr>
        <w:t xml:space="preserve"> of </w:t>
      </w:r>
      <w:r>
        <w:rPr>
          <w:kern w:val="0"/>
        </w:rPr>
        <w:t xml:space="preserve">randomised placebo controlled trials. </w:t>
      </w:r>
      <w:r>
        <w:rPr>
          <w:i/>
          <w:iCs/>
          <w:kern w:val="0"/>
        </w:rPr>
        <w:t>British Medical Journal</w:t>
      </w:r>
      <w:r>
        <w:rPr>
          <w:kern w:val="0"/>
        </w:rPr>
        <w:t xml:space="preserve">, </w:t>
      </w:r>
      <w:r>
        <w:rPr>
          <w:b/>
          <w:bCs/>
          <w:kern w:val="0"/>
        </w:rPr>
        <w:t>337</w:t>
      </w:r>
      <w:r>
        <w:rPr>
          <w:rFonts w:hint="eastAsia"/>
          <w:bCs/>
          <w:kern w:val="0"/>
        </w:rPr>
        <w:t xml:space="preserve">, </w:t>
      </w:r>
      <w:r w:rsidRPr="00C22689">
        <w:rPr>
          <w:bCs/>
          <w:kern w:val="0"/>
        </w:rPr>
        <w:t>Article Number: a1841</w:t>
      </w:r>
      <w:r>
        <w:rPr>
          <w:kern w:val="0"/>
        </w:rPr>
        <w:t>.</w:t>
      </w:r>
    </w:p>
    <w:p w:rsidR="00A46382" w:rsidRDefault="00A46382" w:rsidP="00A46382">
      <w:pPr>
        <w:pStyle w:val="a3"/>
      </w:pPr>
      <w:r>
        <w:t>Full Text:</w:t>
      </w:r>
      <w:r w:rsidRPr="00FC7835">
        <w:t xml:space="preserve"> </w:t>
      </w:r>
      <w:hyperlink r:id="rId2052" w:history="1">
        <w:r w:rsidRPr="00694CF9">
          <w:rPr>
            <w:rStyle w:val="a5"/>
          </w:rPr>
          <w:t>2008\Bri Med J337, a1841.pdf</w:t>
        </w:r>
      </w:hyperlink>
    </w:p>
    <w:p w:rsidR="001217DA" w:rsidRDefault="001217DA" w:rsidP="001217DA">
      <w:pPr>
        <w:pStyle w:val="a3"/>
        <w:rPr>
          <w:kern w:val="0"/>
        </w:rPr>
      </w:pPr>
      <w:r>
        <w:rPr>
          <w:kern w:val="0"/>
        </w:rPr>
        <w:t>Abstract: Objective To determine whether steroids are effective in preventing laryngeal oedema after extubation</w:t>
      </w:r>
      <w:r w:rsidR="005853A9">
        <w:rPr>
          <w:kern w:val="0"/>
        </w:rPr>
        <w:t xml:space="preserve"> and </w:t>
      </w:r>
      <w:r>
        <w:rPr>
          <w:kern w:val="0"/>
        </w:rPr>
        <w:t>reducing</w:t>
      </w:r>
      <w:r w:rsidR="003A1917">
        <w:rPr>
          <w:kern w:val="0"/>
        </w:rPr>
        <w:t xml:space="preserve"> the </w:t>
      </w:r>
      <w:r>
        <w:rPr>
          <w:kern w:val="0"/>
        </w:rPr>
        <w:t xml:space="preserve">need for subsequent reintubation in critically ill adults. Design Meta- analysis. Data sources </w:t>
      </w:r>
      <w:r w:rsidR="002C12F0">
        <w:rPr>
          <w:kern w:val="0"/>
        </w:rPr>
        <w:t>PUBMED</w:t>
      </w:r>
      <w:r>
        <w:rPr>
          <w:kern w:val="0"/>
        </w:rPr>
        <w:t xml:space="preserve">, Cochrane Controlled Trials Register,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EMBASE with no limitation on language, study year, or publication status. Selection criteria Randomised placebo controlled trials in which parenteral steroids were compared with placebo for preventing complications after extubation in adults. Review methods Search, application</w:t>
      </w:r>
      <w:r w:rsidR="00427468">
        <w:rPr>
          <w:kern w:val="0"/>
        </w:rPr>
        <w:t xml:space="preserve"> of </w:t>
      </w:r>
      <w:r>
        <w:rPr>
          <w:kern w:val="0"/>
        </w:rPr>
        <w:t>inclusion</w:t>
      </w:r>
      <w:r w:rsidR="005853A9">
        <w:rPr>
          <w:kern w:val="0"/>
        </w:rPr>
        <w:t xml:space="preserve"> and </w:t>
      </w:r>
      <w:r>
        <w:rPr>
          <w:kern w:val="0"/>
        </w:rPr>
        <w:t>exclusion criteria, data extraction,</w:t>
      </w:r>
      <w:r w:rsidR="005853A9">
        <w:rPr>
          <w:kern w:val="0"/>
        </w:rPr>
        <w:t xml:space="preserve"> and </w:t>
      </w:r>
      <w:r>
        <w:rPr>
          <w:kern w:val="0"/>
        </w:rPr>
        <w:t>assessment</w:t>
      </w:r>
      <w:r w:rsidR="00427468">
        <w:rPr>
          <w:kern w:val="0"/>
        </w:rPr>
        <w:t xml:space="preserve"> of </w:t>
      </w:r>
      <w:r>
        <w:rPr>
          <w:kern w:val="0"/>
        </w:rPr>
        <w:t>methodological quality, independently performed in duplicate. Odds ratios with 95% confidence intervals, risk difference,</w:t>
      </w:r>
      <w:r w:rsidR="005853A9">
        <w:rPr>
          <w:kern w:val="0"/>
        </w:rPr>
        <w:t xml:space="preserve"> and </w:t>
      </w:r>
      <w:r>
        <w:rPr>
          <w:kern w:val="0"/>
        </w:rPr>
        <w:t>number needed to treat were calculated</w:t>
      </w:r>
      <w:r w:rsidR="005853A9">
        <w:rPr>
          <w:kern w:val="0"/>
        </w:rPr>
        <w:t xml:space="preserve"> and </w:t>
      </w:r>
      <w:r>
        <w:rPr>
          <w:kern w:val="0"/>
        </w:rPr>
        <w:t>pooled. Main outcome measures Primary outcome: laryngeal oedema after extubation. Secondary outcome: subsequent reintubation because</w:t>
      </w:r>
      <w:r w:rsidR="00427468">
        <w:rPr>
          <w:kern w:val="0"/>
        </w:rPr>
        <w:t xml:space="preserve"> of </w:t>
      </w:r>
      <w:r>
        <w:rPr>
          <w:kern w:val="0"/>
        </w:rPr>
        <w:t>laryngeal oedema. Results Six trials (n= 1923) were identified. Comparedwith placebo, steroids given before planned extubation decreased</w:t>
      </w:r>
      <w:r w:rsidR="003A1917">
        <w:rPr>
          <w:kern w:val="0"/>
        </w:rPr>
        <w:t xml:space="preserve"> the </w:t>
      </w:r>
      <w:r>
        <w:rPr>
          <w:kern w:val="0"/>
        </w:rPr>
        <w:t>odds ratio for laryngeal oedema (0.38, 95% confidence interval 0.17 to 0.85)</w:t>
      </w:r>
      <w:r w:rsidR="005853A9">
        <w:rPr>
          <w:kern w:val="0"/>
        </w:rPr>
        <w:t xml:space="preserve"> and </w:t>
      </w:r>
      <w:r>
        <w:rPr>
          <w:kern w:val="0"/>
        </w:rPr>
        <w:t>subsequent reintubation (0.29, 0.15 to 0.58), corresponding with a risk difference</w:t>
      </w:r>
      <w:r w:rsidR="00427468">
        <w:rPr>
          <w:kern w:val="0"/>
        </w:rPr>
        <w:t xml:space="preserve"> of </w:t>
      </w:r>
      <w:r>
        <w:rPr>
          <w:kern w:val="0"/>
        </w:rPr>
        <w:t xml:space="preserve">- 0.10 (- 0.12 to - 0.07; </w:t>
      </w:r>
      <w:r>
        <w:rPr>
          <w:kern w:val="0"/>
        </w:rPr>
        <w:lastRenderedPageBreak/>
        <w:t>number needed to treat 10)</w:t>
      </w:r>
      <w:r w:rsidR="005853A9">
        <w:rPr>
          <w:kern w:val="0"/>
        </w:rPr>
        <w:t xml:space="preserve"> and </w:t>
      </w:r>
      <w:r>
        <w:rPr>
          <w:kern w:val="0"/>
        </w:rPr>
        <w:t>- 0.02 (- 0.04 to - 0.01; 50), respectively. Subgroup analyses indicated that a multidose regimen</w:t>
      </w:r>
      <w:r w:rsidR="00427468">
        <w:rPr>
          <w:kern w:val="0"/>
        </w:rPr>
        <w:t xml:space="preserve"> of </w:t>
      </w:r>
      <w:r>
        <w:rPr>
          <w:kern w:val="0"/>
        </w:rPr>
        <w:t>steroids had marked positive effects on</w:t>
      </w:r>
      <w:r w:rsidR="003A1917">
        <w:rPr>
          <w:kern w:val="0"/>
        </w:rPr>
        <w:t xml:space="preserve"> the </w:t>
      </w:r>
      <w:r>
        <w:rPr>
          <w:kern w:val="0"/>
        </w:rPr>
        <w:t>occurrence</w:t>
      </w:r>
      <w:r w:rsidR="00427468">
        <w:rPr>
          <w:kern w:val="0"/>
        </w:rPr>
        <w:t xml:space="preserve"> of </w:t>
      </w:r>
      <w:r>
        <w:rPr>
          <w:kern w:val="0"/>
        </w:rPr>
        <w:t>laryngeal oedema (0.14; 0.08 to 0.23)</w:t>
      </w:r>
      <w:r w:rsidR="005853A9">
        <w:rPr>
          <w:kern w:val="0"/>
        </w:rPr>
        <w:t xml:space="preserve"> and </w:t>
      </w:r>
      <w:r>
        <w:rPr>
          <w:kern w:val="0"/>
        </w:rPr>
        <w:t>on</w:t>
      </w:r>
      <w:r w:rsidR="003A1917">
        <w:rPr>
          <w:kern w:val="0"/>
        </w:rPr>
        <w:t xml:space="preserve"> the </w:t>
      </w:r>
      <w:r>
        <w:rPr>
          <w:kern w:val="0"/>
        </w:rPr>
        <w:t>rate</w:t>
      </w:r>
      <w:r w:rsidR="00427468">
        <w:rPr>
          <w:kern w:val="0"/>
        </w:rPr>
        <w:t xml:space="preserve"> of </w:t>
      </w:r>
      <w:r>
        <w:rPr>
          <w:kern w:val="0"/>
        </w:rPr>
        <w:t>subsequent reintubation (0.19; 0.07 to 0.50), with a risk difference</w:t>
      </w:r>
      <w:r w:rsidR="00427468">
        <w:rPr>
          <w:kern w:val="0"/>
        </w:rPr>
        <w:t xml:space="preserve"> of </w:t>
      </w:r>
      <w:r>
        <w:rPr>
          <w:kern w:val="0"/>
        </w:rPr>
        <w:t>- 0.19 (- 0.24 to - 0.15; 5) and- 0.04 (- 0.07 to - 0.02; 25). In single doses there was only a trend towards benefit, with</w:t>
      </w:r>
      <w:r w:rsidR="003A1917">
        <w:rPr>
          <w:kern w:val="0"/>
        </w:rPr>
        <w:t xml:space="preserve"> the </w:t>
      </w:r>
      <w:r>
        <w:rPr>
          <w:kern w:val="0"/>
        </w:rPr>
        <w:t>confidence interval including 1. Side effects related to steroids were not found. Conclusion Prophylactic administration</w:t>
      </w:r>
      <w:r w:rsidR="00427468">
        <w:rPr>
          <w:kern w:val="0"/>
        </w:rPr>
        <w:t xml:space="preserve"> of </w:t>
      </w:r>
      <w:r>
        <w:rPr>
          <w:kern w:val="0"/>
        </w:rPr>
        <w:t>steroids in multidose regimens before planned extubation reduces</w:t>
      </w:r>
      <w:r w:rsidR="003A1917">
        <w:rPr>
          <w:kern w:val="0"/>
        </w:rPr>
        <w:t xml:space="preserve"> the </w:t>
      </w:r>
      <w:r>
        <w:rPr>
          <w:kern w:val="0"/>
        </w:rPr>
        <w:t>incidence</w:t>
      </w:r>
      <w:r w:rsidR="00427468">
        <w:rPr>
          <w:kern w:val="0"/>
        </w:rPr>
        <w:t xml:space="preserve"> of </w:t>
      </w:r>
      <w:r>
        <w:rPr>
          <w:kern w:val="0"/>
        </w:rPr>
        <w:t>laryngeal oedema after extubation</w:t>
      </w:r>
      <w:r w:rsidR="005853A9">
        <w:rPr>
          <w:kern w:val="0"/>
        </w:rPr>
        <w:t xml:space="preserve"> and </w:t>
      </w:r>
      <w:r w:rsidR="003A1917">
        <w:rPr>
          <w:kern w:val="0"/>
        </w:rPr>
        <w:t xml:space="preserve">the </w:t>
      </w:r>
      <w:r>
        <w:rPr>
          <w:kern w:val="0"/>
        </w:rPr>
        <w:t>consequent reintubation rate in adults, with few adverse events.</w:t>
      </w:r>
    </w:p>
    <w:p w:rsidR="001217DA" w:rsidRDefault="001217DA" w:rsidP="001217DA">
      <w:pPr>
        <w:pStyle w:val="a3"/>
        <w:rPr>
          <w:kern w:val="0"/>
        </w:rPr>
      </w:pPr>
      <w:r>
        <w:rPr>
          <w:kern w:val="0"/>
        </w:rPr>
        <w:t xml:space="preserve">Keywords: Adults, Airway, Analysis, Assessment, Cochrane, Confidence Intervals, Corticosteroids, Cuff-Leak, Endotracheal Intubation, Failure, Laryngeal Edema, Long-Term, Mechanical Ventilation, Meta Analysis, Meta-Analysis, Outcome, Postextubation Stridor, Primary, Publication, </w:t>
      </w:r>
      <w:r w:rsidR="002C12F0">
        <w:rPr>
          <w:kern w:val="0"/>
        </w:rPr>
        <w:t>PUBMED</w:t>
      </w:r>
      <w:r>
        <w:rPr>
          <w:kern w:val="0"/>
        </w:rPr>
        <w:t xml:space="preserve">, Ratio, Review, Risk, Science, Trend, Volume, </w:t>
      </w:r>
      <w:r w:rsidR="00D5664A">
        <w:rPr>
          <w:kern w:val="0"/>
        </w:rPr>
        <w:t>Web</w:t>
      </w:r>
      <w:r w:rsidR="00427468">
        <w:rPr>
          <w:kern w:val="0"/>
        </w:rPr>
        <w:t xml:space="preserve"> of </w:t>
      </w:r>
      <w:r w:rsidR="00D5664A">
        <w:rPr>
          <w:kern w:val="0"/>
        </w:rPr>
        <w:t>Science</w:t>
      </w:r>
    </w:p>
    <w:p w:rsidR="001217DA" w:rsidRDefault="001217DA" w:rsidP="001217DA">
      <w:pPr>
        <w:pStyle w:val="a3"/>
        <w:rPr>
          <w:kern w:val="0"/>
        </w:rPr>
      </w:pPr>
      <w:r>
        <w:rPr>
          <w:rFonts w:hint="eastAsia"/>
          <w:kern w:val="0"/>
        </w:rPr>
        <w:t xml:space="preserve">? </w:t>
      </w:r>
      <w:r>
        <w:rPr>
          <w:kern w:val="0"/>
        </w:rPr>
        <w:t>Leon, H., Shibata, M.C., Sivakumaran, S., Dorgan, M., Chatterley, T.</w:t>
      </w:r>
      <w:r w:rsidR="005853A9">
        <w:rPr>
          <w:kern w:val="0"/>
        </w:rPr>
        <w:t xml:space="preserve"> and </w:t>
      </w:r>
      <w:r>
        <w:rPr>
          <w:kern w:val="0"/>
        </w:rPr>
        <w:t>Tsuyuki, R.T. (2008), Effect</w:t>
      </w:r>
      <w:r w:rsidR="00427468">
        <w:rPr>
          <w:kern w:val="0"/>
        </w:rPr>
        <w:t xml:space="preserve"> of </w:t>
      </w:r>
      <w:r>
        <w:rPr>
          <w:kern w:val="0"/>
        </w:rPr>
        <w:t>fish oil on arrhythmias</w:t>
      </w:r>
      <w:r w:rsidR="005853A9">
        <w:rPr>
          <w:kern w:val="0"/>
        </w:rPr>
        <w:t xml:space="preserve"> and </w:t>
      </w:r>
      <w:r>
        <w:rPr>
          <w:kern w:val="0"/>
        </w:rPr>
        <w:t xml:space="preserve">mortality: Systematic review. </w:t>
      </w:r>
      <w:r>
        <w:rPr>
          <w:i/>
          <w:iCs/>
          <w:kern w:val="0"/>
        </w:rPr>
        <w:t>British Medical Journal</w:t>
      </w:r>
      <w:r>
        <w:rPr>
          <w:kern w:val="0"/>
        </w:rPr>
        <w:t xml:space="preserve">, </w:t>
      </w:r>
      <w:r>
        <w:rPr>
          <w:b/>
          <w:bCs/>
          <w:kern w:val="0"/>
        </w:rPr>
        <w:t>337</w:t>
      </w:r>
      <w:r>
        <w:rPr>
          <w:rFonts w:hint="eastAsia"/>
          <w:kern w:val="0"/>
        </w:rPr>
        <w:t xml:space="preserve">, </w:t>
      </w:r>
      <w:r w:rsidRPr="00C22689">
        <w:rPr>
          <w:kern w:val="0"/>
        </w:rPr>
        <w:t>Article Number: a2931</w:t>
      </w:r>
      <w:r>
        <w:rPr>
          <w:rFonts w:hint="eastAsia"/>
          <w:kern w:val="0"/>
        </w:rPr>
        <w:t>.</w:t>
      </w:r>
    </w:p>
    <w:p w:rsidR="00A46382" w:rsidRDefault="00A46382" w:rsidP="00A46382">
      <w:pPr>
        <w:pStyle w:val="a3"/>
      </w:pPr>
      <w:r>
        <w:t>Full Text:</w:t>
      </w:r>
      <w:r w:rsidRPr="00FC7835">
        <w:t xml:space="preserve"> </w:t>
      </w:r>
      <w:hyperlink r:id="rId2053" w:history="1">
        <w:r w:rsidRPr="00694CF9">
          <w:rPr>
            <w:rStyle w:val="a5"/>
          </w:rPr>
          <w:t>2008\Bri Med J337, a2931.pdf</w:t>
        </w:r>
      </w:hyperlink>
    </w:p>
    <w:p w:rsidR="001217DA" w:rsidRDefault="001217DA" w:rsidP="001217DA">
      <w:pPr>
        <w:pStyle w:val="a3"/>
        <w:rPr>
          <w:kern w:val="0"/>
        </w:rPr>
      </w:pPr>
      <w:r>
        <w:rPr>
          <w:kern w:val="0"/>
        </w:rPr>
        <w:t>Abstract: Objective To synthesise</w:t>
      </w:r>
      <w:r w:rsidR="003A1917">
        <w:rPr>
          <w:kern w:val="0"/>
        </w:rPr>
        <w:t xml:space="preserve"> the </w:t>
      </w:r>
      <w:r>
        <w:rPr>
          <w:kern w:val="0"/>
        </w:rPr>
        <w:t>literature on</w:t>
      </w:r>
      <w:r w:rsidR="003A1917">
        <w:rPr>
          <w:kern w:val="0"/>
        </w:rPr>
        <w:t xml:space="preserve"> the </w:t>
      </w:r>
      <w:r>
        <w:rPr>
          <w:kern w:val="0"/>
        </w:rPr>
        <w:t>effects</w:t>
      </w:r>
      <w:r w:rsidR="00427468">
        <w:rPr>
          <w:kern w:val="0"/>
        </w:rPr>
        <w:t xml:space="preserve"> of </w:t>
      </w:r>
      <w:r>
        <w:rPr>
          <w:kern w:val="0"/>
        </w:rPr>
        <w:t>fish oil - docosahexaenoic acid (DHA)</w:t>
      </w:r>
      <w:r w:rsidR="005853A9">
        <w:rPr>
          <w:kern w:val="0"/>
        </w:rPr>
        <w:t xml:space="preserve"> and </w:t>
      </w:r>
      <w:r>
        <w:rPr>
          <w:kern w:val="0"/>
        </w:rPr>
        <w:t>eicosapentaenoic acid (EPA) - on mortality</w:t>
      </w:r>
      <w:r w:rsidR="005853A9">
        <w:rPr>
          <w:kern w:val="0"/>
        </w:rPr>
        <w:t xml:space="preserve"> and </w:t>
      </w:r>
      <w:r>
        <w:rPr>
          <w:kern w:val="0"/>
        </w:rPr>
        <w:t>arrhythmias</w:t>
      </w:r>
      <w:r w:rsidR="005853A9">
        <w:rPr>
          <w:kern w:val="0"/>
        </w:rPr>
        <w:t xml:space="preserve"> and </w:t>
      </w:r>
      <w:r>
        <w:rPr>
          <w:kern w:val="0"/>
        </w:rPr>
        <w:t>to explore dose response</w:t>
      </w:r>
      <w:r w:rsidR="005853A9">
        <w:rPr>
          <w:kern w:val="0"/>
        </w:rPr>
        <w:t xml:space="preserve"> and </w:t>
      </w:r>
      <w:r>
        <w:rPr>
          <w:kern w:val="0"/>
        </w:rPr>
        <w:t>formulation effects. Design Systematic review</w:t>
      </w:r>
      <w:r w:rsidR="005853A9">
        <w:rPr>
          <w:kern w:val="0"/>
        </w:rPr>
        <w:t xml:space="preserve"> and </w:t>
      </w:r>
      <w:r>
        <w:rPr>
          <w:kern w:val="0"/>
        </w:rPr>
        <w:t xml:space="preserve">meta- analysis. Data sources </w:t>
      </w:r>
      <w:r w:rsidR="00D5664A">
        <w:rPr>
          <w:kern w:val="0"/>
        </w:rPr>
        <w:t>MEDLINE</w:t>
      </w:r>
      <w:r>
        <w:rPr>
          <w:kern w:val="0"/>
        </w:rPr>
        <w:t>, EMBASE,</w:t>
      </w:r>
      <w:r w:rsidR="003A1917">
        <w:rPr>
          <w:kern w:val="0"/>
        </w:rPr>
        <w:t xml:space="preserve"> the </w:t>
      </w:r>
      <w:r>
        <w:rPr>
          <w:kern w:val="0"/>
        </w:rPr>
        <w:t xml:space="preserve">Cochrane Library, </w:t>
      </w:r>
      <w:r w:rsidR="002C12F0">
        <w:rPr>
          <w:kern w:val="0"/>
        </w:rPr>
        <w:t>PUBMED</w:t>
      </w:r>
      <w:r>
        <w:rPr>
          <w:kern w:val="0"/>
        </w:rPr>
        <w:t xml:space="preserve">, CINAHL, IPA, </w:t>
      </w:r>
      <w:r w:rsidR="00D5664A">
        <w:rPr>
          <w:kern w:val="0"/>
        </w:rPr>
        <w:t>Web</w:t>
      </w:r>
      <w:r w:rsidR="00427468">
        <w:rPr>
          <w:kern w:val="0"/>
        </w:rPr>
        <w:t xml:space="preserve"> of </w:t>
      </w:r>
      <w:r w:rsidR="00D5664A">
        <w:rPr>
          <w:kern w:val="0"/>
        </w:rPr>
        <w:t>Science</w:t>
      </w:r>
      <w:r>
        <w:rPr>
          <w:kern w:val="0"/>
        </w:rPr>
        <w:t>, Scopus, Pascal, Allied</w:t>
      </w:r>
      <w:r w:rsidR="005853A9">
        <w:rPr>
          <w:kern w:val="0"/>
        </w:rPr>
        <w:t xml:space="preserve"> and </w:t>
      </w:r>
      <w:r>
        <w:rPr>
          <w:kern w:val="0"/>
        </w:rPr>
        <w:t>Complementary Medicine, Academic OneFile, ProQuest Dissertations</w:t>
      </w:r>
      <w:r w:rsidR="005853A9">
        <w:rPr>
          <w:kern w:val="0"/>
        </w:rPr>
        <w:t xml:space="preserve"> and </w:t>
      </w:r>
      <w:r>
        <w:rPr>
          <w:kern w:val="0"/>
        </w:rPr>
        <w:t>Theses, Evidence- Based Complementary Medicine,</w:t>
      </w:r>
      <w:r w:rsidR="005853A9">
        <w:rPr>
          <w:kern w:val="0"/>
        </w:rPr>
        <w:t xml:space="preserve"> and </w:t>
      </w:r>
      <w:r>
        <w:rPr>
          <w:kern w:val="0"/>
        </w:rPr>
        <w:t>LILACS. Studies reviewed Randomised controlled trials</w:t>
      </w:r>
      <w:r w:rsidR="00427468">
        <w:rPr>
          <w:kern w:val="0"/>
        </w:rPr>
        <w:t xml:space="preserve"> of </w:t>
      </w:r>
      <w:r>
        <w:rPr>
          <w:kern w:val="0"/>
        </w:rPr>
        <w:t>fish oil as dietary supplements in humans. Data extraction</w:t>
      </w:r>
      <w:r w:rsidR="003A1917">
        <w:rPr>
          <w:kern w:val="0"/>
        </w:rPr>
        <w:t xml:space="preserve"> the </w:t>
      </w:r>
      <w:r>
        <w:rPr>
          <w:kern w:val="0"/>
        </w:rPr>
        <w:t>primary outcomes</w:t>
      </w:r>
      <w:r w:rsidR="00427468">
        <w:rPr>
          <w:kern w:val="0"/>
        </w:rPr>
        <w:t xml:space="preserve"> of </w:t>
      </w:r>
      <w:r>
        <w:rPr>
          <w:kern w:val="0"/>
        </w:rPr>
        <w:t>interest were</w:t>
      </w:r>
      <w:r w:rsidR="003A1917">
        <w:rPr>
          <w:kern w:val="0"/>
        </w:rPr>
        <w:t xml:space="preserve"> the </w:t>
      </w:r>
      <w:r>
        <w:rPr>
          <w:kern w:val="0"/>
        </w:rPr>
        <w:t>arrhythmic end points</w:t>
      </w:r>
      <w:r w:rsidR="00427468">
        <w:rPr>
          <w:kern w:val="0"/>
        </w:rPr>
        <w:t xml:space="preserve"> of </w:t>
      </w:r>
      <w:r>
        <w:rPr>
          <w:kern w:val="0"/>
        </w:rPr>
        <w:t>appropriate implantable cardiac defibrillator intervention</w:t>
      </w:r>
      <w:r w:rsidR="005853A9">
        <w:rPr>
          <w:kern w:val="0"/>
        </w:rPr>
        <w:t xml:space="preserve"> and </w:t>
      </w:r>
      <w:r>
        <w:rPr>
          <w:kern w:val="0"/>
        </w:rPr>
        <w:t>sudden cardiac death</w:t>
      </w:r>
      <w:r w:rsidR="00A37C1D">
        <w:rPr>
          <w:kern w:val="0"/>
        </w:rPr>
        <w:t>. The</w:t>
      </w:r>
      <w:r w:rsidR="003A1917">
        <w:rPr>
          <w:kern w:val="0"/>
        </w:rPr>
        <w:t xml:space="preserve"> </w:t>
      </w:r>
      <w:r>
        <w:rPr>
          <w:kern w:val="0"/>
        </w:rPr>
        <w:t>secondary outcomes were all cause mortality</w:t>
      </w:r>
      <w:r w:rsidR="005853A9">
        <w:rPr>
          <w:kern w:val="0"/>
        </w:rPr>
        <w:t xml:space="preserve"> and </w:t>
      </w:r>
      <w:r>
        <w:rPr>
          <w:kern w:val="0"/>
        </w:rPr>
        <w:t>death from cardiac causes. Subgroup analyses included</w:t>
      </w:r>
      <w:r w:rsidR="003A1917">
        <w:rPr>
          <w:kern w:val="0"/>
        </w:rPr>
        <w:t xml:space="preserve"> the </w:t>
      </w:r>
      <w:r>
        <w:rPr>
          <w:kern w:val="0"/>
        </w:rPr>
        <w:t>effect</w:t>
      </w:r>
      <w:r w:rsidR="00427468">
        <w:rPr>
          <w:kern w:val="0"/>
        </w:rPr>
        <w:t xml:space="preserve"> of </w:t>
      </w:r>
      <w:r>
        <w:rPr>
          <w:kern w:val="0"/>
        </w:rPr>
        <w:t>formulations</w:t>
      </w:r>
      <w:r w:rsidR="00427468">
        <w:rPr>
          <w:kern w:val="0"/>
        </w:rPr>
        <w:t xml:space="preserve"> of </w:t>
      </w:r>
      <w:r>
        <w:rPr>
          <w:kern w:val="0"/>
        </w:rPr>
        <w:t>EPA</w:t>
      </w:r>
      <w:r w:rsidR="005853A9">
        <w:rPr>
          <w:kern w:val="0"/>
        </w:rPr>
        <w:t xml:space="preserve"> and </w:t>
      </w:r>
      <w:r>
        <w:rPr>
          <w:kern w:val="0"/>
        </w:rPr>
        <w:t>DHA on death from cardiac causes</w:t>
      </w:r>
      <w:r w:rsidR="005853A9">
        <w:rPr>
          <w:kern w:val="0"/>
        </w:rPr>
        <w:t xml:space="preserve"> and </w:t>
      </w:r>
      <w:r>
        <w:rPr>
          <w:kern w:val="0"/>
        </w:rPr>
        <w:t>effects</w:t>
      </w:r>
      <w:r w:rsidR="00427468">
        <w:rPr>
          <w:kern w:val="0"/>
        </w:rPr>
        <w:t xml:space="preserve"> of </w:t>
      </w:r>
      <w:r>
        <w:rPr>
          <w:kern w:val="0"/>
        </w:rPr>
        <w:t>fish oil in patients with coronary artery disease or myocardial infarction. Data synthesis 12 studies totalling 32 779 patientsmet</w:t>
      </w:r>
      <w:r w:rsidR="003A1917">
        <w:rPr>
          <w:kern w:val="0"/>
        </w:rPr>
        <w:t xml:space="preserve"> the </w:t>
      </w:r>
      <w:r>
        <w:rPr>
          <w:kern w:val="0"/>
        </w:rPr>
        <w:t>inclusion criteria. A neutral effect was reported in three studies (n= 1148) for appropriate implantable cardiac defibrillator intervention (odds ratio 0.90, 95% confidence interval 0.55 to 1.46)</w:t>
      </w:r>
      <w:r w:rsidR="005853A9">
        <w:rPr>
          <w:kern w:val="0"/>
        </w:rPr>
        <w:t xml:space="preserve"> and </w:t>
      </w:r>
      <w:r>
        <w:rPr>
          <w:kern w:val="0"/>
        </w:rPr>
        <w:t>in six studies (n= 31 111) for sudden cardiac death (0.81, 0.52 to 1.25). 11 studies (n= 32 439</w:t>
      </w:r>
      <w:r w:rsidR="005853A9">
        <w:rPr>
          <w:kern w:val="0"/>
        </w:rPr>
        <w:t xml:space="preserve"> and </w:t>
      </w:r>
      <w:r>
        <w:rPr>
          <w:kern w:val="0"/>
        </w:rPr>
        <w:t>n= 32 519) provided data on</w:t>
      </w:r>
      <w:r w:rsidR="003A1917">
        <w:rPr>
          <w:kern w:val="0"/>
        </w:rPr>
        <w:t xml:space="preserve"> the </w:t>
      </w:r>
      <w:r>
        <w:rPr>
          <w:kern w:val="0"/>
        </w:rPr>
        <w:t>effects</w:t>
      </w:r>
      <w:r w:rsidR="00427468">
        <w:rPr>
          <w:kern w:val="0"/>
        </w:rPr>
        <w:t xml:space="preserve"> of </w:t>
      </w:r>
      <w:r>
        <w:rPr>
          <w:kern w:val="0"/>
        </w:rPr>
        <w:t>fish oil on all cause mortality (0.92, 0.82 to 1.03)</w:t>
      </w:r>
      <w:r w:rsidR="005853A9">
        <w:rPr>
          <w:kern w:val="0"/>
        </w:rPr>
        <w:t xml:space="preserve"> and </w:t>
      </w:r>
      <w:r>
        <w:rPr>
          <w:kern w:val="0"/>
        </w:rPr>
        <w:t>a reduction in deaths from cardiac causes (0.80, 0.69 to 0.92)</w:t>
      </w:r>
      <w:r w:rsidR="00A37C1D">
        <w:rPr>
          <w:kern w:val="0"/>
        </w:rPr>
        <w:t>. The</w:t>
      </w:r>
      <w:r w:rsidR="003A1917">
        <w:rPr>
          <w:kern w:val="0"/>
        </w:rPr>
        <w:t xml:space="preserve"> </w:t>
      </w:r>
      <w:r>
        <w:rPr>
          <w:kern w:val="0"/>
        </w:rPr>
        <w:t>dose- response relation for DHA</w:t>
      </w:r>
      <w:r w:rsidR="005853A9">
        <w:rPr>
          <w:kern w:val="0"/>
        </w:rPr>
        <w:t xml:space="preserve"> and </w:t>
      </w:r>
      <w:r>
        <w:rPr>
          <w:kern w:val="0"/>
        </w:rPr>
        <w:lastRenderedPageBreak/>
        <w:t>EPA on reduction indeaths from cardiac causes was not significant. Conclusions Fish oil supplementation was associated with a significant reduction in deaths from cardiac causes but had no effect on arrhythmias or all cause mortality. Evidence to recommend an optimal formulation</w:t>
      </w:r>
      <w:r w:rsidR="00427468">
        <w:rPr>
          <w:kern w:val="0"/>
        </w:rPr>
        <w:t xml:space="preserve"> of </w:t>
      </w:r>
      <w:r>
        <w:rPr>
          <w:kern w:val="0"/>
        </w:rPr>
        <w:t>EPA or DHA to reduce these outcomes is insufficient. Fish oils are a heterogeneous product,</w:t>
      </w:r>
      <w:r w:rsidR="005853A9">
        <w:rPr>
          <w:kern w:val="0"/>
        </w:rPr>
        <w:t xml:space="preserve"> and </w:t>
      </w:r>
      <w:r w:rsidR="003A1917">
        <w:rPr>
          <w:kern w:val="0"/>
        </w:rPr>
        <w:t xml:space="preserve">the </w:t>
      </w:r>
      <w:r>
        <w:rPr>
          <w:kern w:val="0"/>
        </w:rPr>
        <w:t>optimal formulations for DHA</w:t>
      </w:r>
      <w:r w:rsidR="005853A9">
        <w:rPr>
          <w:kern w:val="0"/>
        </w:rPr>
        <w:t xml:space="preserve"> and </w:t>
      </w:r>
      <w:r>
        <w:rPr>
          <w:kern w:val="0"/>
        </w:rPr>
        <w:t>EPA remain unclear.</w:t>
      </w:r>
    </w:p>
    <w:p w:rsidR="001217DA" w:rsidRDefault="001217DA" w:rsidP="001217DA">
      <w:pPr>
        <w:pStyle w:val="a3"/>
        <w:rPr>
          <w:kern w:val="0"/>
        </w:rPr>
      </w:pPr>
      <w:r>
        <w:rPr>
          <w:kern w:val="0"/>
        </w:rPr>
        <w:t xml:space="preserve">Keywords: Acute Myocardial-Infarction, Analysis, Cardiovascular-Disease, Cochrane, Coronary-Heart-Disease, Disease, Dissertations, Dose-Response, Double-Blind, Humans, Interest, Intervention, Literature, Metaanalysis, Mortality, Myocardial Infarction, Omega-3-Fatty-Acids, Outcomes, Points, Polyunsaturated Fatty-Acids, Premature Ventricular Complexes, Primary, </w:t>
      </w:r>
      <w:r w:rsidR="002C12F0">
        <w:rPr>
          <w:kern w:val="0"/>
        </w:rPr>
        <w:t>PUBMED</w:t>
      </w:r>
      <w:r>
        <w:rPr>
          <w:kern w:val="0"/>
        </w:rPr>
        <w:t xml:space="preserve">, Randomized Controlled-Trials, Ratio, Review, Science, Scopus, Sudden Cardiac Death, Systematic, Systematic Review, </w:t>
      </w:r>
      <w:r w:rsidR="00D5664A">
        <w:rPr>
          <w:kern w:val="0"/>
        </w:rPr>
        <w:t>Web</w:t>
      </w:r>
      <w:r w:rsidR="00427468">
        <w:rPr>
          <w:kern w:val="0"/>
        </w:rPr>
        <w:t xml:space="preserve"> of </w:t>
      </w:r>
      <w:r w:rsidR="00D5664A">
        <w:rPr>
          <w:kern w:val="0"/>
        </w:rPr>
        <w:t>Science</w:t>
      </w:r>
    </w:p>
    <w:p w:rsidR="00512340" w:rsidRDefault="00512340" w:rsidP="00512340">
      <w:pPr>
        <w:pStyle w:val="a3"/>
        <w:rPr>
          <w:kern w:val="0"/>
        </w:rPr>
      </w:pPr>
      <w:r>
        <w:rPr>
          <w:rFonts w:hint="eastAsia"/>
          <w:kern w:val="0"/>
        </w:rPr>
        <w:t xml:space="preserve">? </w:t>
      </w:r>
      <w:r>
        <w:t>Jefferson, T</w:t>
      </w:r>
      <w:r>
        <w:rPr>
          <w:rFonts w:hint="eastAsia"/>
        </w:rPr>
        <w:t>.,</w:t>
      </w:r>
      <w:r>
        <w:t xml:space="preserve"> Di Pietrantonj, C</w:t>
      </w:r>
      <w:r>
        <w:rPr>
          <w:rFonts w:hint="eastAsia"/>
        </w:rPr>
        <w:t>.,</w:t>
      </w:r>
      <w:r>
        <w:t xml:space="preserve"> Debalini, M</w:t>
      </w:r>
      <w:r>
        <w:rPr>
          <w:rFonts w:hint="eastAsia"/>
        </w:rPr>
        <w:t>.</w:t>
      </w:r>
      <w:r>
        <w:t>G</w:t>
      </w:r>
      <w:r>
        <w:rPr>
          <w:rFonts w:hint="eastAsia"/>
        </w:rPr>
        <w:t>.,</w:t>
      </w:r>
      <w:r>
        <w:t xml:space="preserve"> Rivetti, A</w:t>
      </w:r>
      <w:r>
        <w:rPr>
          <w:rFonts w:hint="eastAsia"/>
        </w:rPr>
        <w:t>.</w:t>
      </w:r>
      <w:r w:rsidR="005853A9">
        <w:rPr>
          <w:rFonts w:hint="eastAsia"/>
        </w:rPr>
        <w:t xml:space="preserve"> and </w:t>
      </w:r>
      <w:r>
        <w:t>Demicheli, V</w:t>
      </w:r>
      <w:r>
        <w:rPr>
          <w:rFonts w:hint="eastAsia"/>
        </w:rPr>
        <w:t>.</w:t>
      </w:r>
      <w:r>
        <w:rPr>
          <w:kern w:val="0"/>
        </w:rPr>
        <w:t xml:space="preserve"> (2009), </w:t>
      </w:r>
      <w:r>
        <w:t>Relation</w:t>
      </w:r>
      <w:r w:rsidR="00427468">
        <w:t xml:space="preserve"> of </w:t>
      </w:r>
      <w:r>
        <w:t>study quality, concordance, take home message, funding,</w:t>
      </w:r>
      <w:r w:rsidR="005853A9">
        <w:t xml:space="preserve"> and </w:t>
      </w:r>
      <w:r>
        <w:t>impact in studies</w:t>
      </w:r>
      <w:r w:rsidR="00427468">
        <w:t xml:space="preserve"> of </w:t>
      </w:r>
      <w:r>
        <w:t>influenza vaccines: Systematic review</w:t>
      </w:r>
      <w:r>
        <w:rPr>
          <w:kern w:val="0"/>
        </w:rPr>
        <w:t xml:space="preserve">. </w:t>
      </w:r>
      <w:r>
        <w:rPr>
          <w:i/>
          <w:iCs/>
          <w:kern w:val="0"/>
        </w:rPr>
        <w:t>British Medical Journal</w:t>
      </w:r>
      <w:r>
        <w:rPr>
          <w:kern w:val="0"/>
        </w:rPr>
        <w:t xml:space="preserve">, </w:t>
      </w:r>
      <w:r>
        <w:rPr>
          <w:b/>
          <w:bCs/>
          <w:kern w:val="0"/>
        </w:rPr>
        <w:t>33</w:t>
      </w:r>
      <w:r>
        <w:rPr>
          <w:rFonts w:hint="eastAsia"/>
          <w:b/>
          <w:bCs/>
          <w:kern w:val="0"/>
        </w:rPr>
        <w:t>8</w:t>
      </w:r>
      <w:r>
        <w:rPr>
          <w:rFonts w:hint="eastAsia"/>
          <w:kern w:val="0"/>
        </w:rPr>
        <w:t xml:space="preserve">, </w:t>
      </w:r>
      <w:r w:rsidRPr="00C22689">
        <w:rPr>
          <w:kern w:val="0"/>
        </w:rPr>
        <w:t xml:space="preserve">Article Number: </w:t>
      </w:r>
      <w:r>
        <w:t>b354</w:t>
      </w:r>
      <w:r>
        <w:rPr>
          <w:rFonts w:hint="eastAsia"/>
          <w:kern w:val="0"/>
        </w:rPr>
        <w:t>.</w:t>
      </w:r>
    </w:p>
    <w:p w:rsidR="00512340" w:rsidRDefault="00512340" w:rsidP="00512340">
      <w:pPr>
        <w:pStyle w:val="a3"/>
      </w:pPr>
      <w:r>
        <w:t>Full Text:</w:t>
      </w:r>
      <w:r w:rsidRPr="00FC7835">
        <w:t xml:space="preserve"> </w:t>
      </w:r>
      <w:hyperlink r:id="rId2054" w:history="1">
        <w:r w:rsidRPr="00302ABB">
          <w:rPr>
            <w:rStyle w:val="a5"/>
          </w:rPr>
          <w:t>2009\Bri Med J338, b354.pdf</w:t>
        </w:r>
      </w:hyperlink>
    </w:p>
    <w:p w:rsidR="00512340" w:rsidRDefault="00512340" w:rsidP="00512340">
      <w:pPr>
        <w:pStyle w:val="a3"/>
      </w:pPr>
      <w:r>
        <w:t>Abstract: Objective To explore</w:t>
      </w:r>
      <w:r w:rsidR="003A1917">
        <w:t xml:space="preserve"> the </w:t>
      </w:r>
      <w:r>
        <w:t>relation between study concordance, take home message, funding,</w:t>
      </w:r>
      <w:r w:rsidR="005853A9">
        <w:t xml:space="preserve"> and </w:t>
      </w:r>
      <w:r>
        <w:t>dissemination</w:t>
      </w:r>
      <w:r w:rsidR="00427468">
        <w:t xml:space="preserve"> of </w:t>
      </w:r>
      <w:r>
        <w:t>comparative studies assessing</w:t>
      </w:r>
      <w:r w:rsidR="003A1917">
        <w:t xml:space="preserve"> the </w:t>
      </w:r>
      <w:r>
        <w:t>effects</w:t>
      </w:r>
      <w:r w:rsidR="00427468">
        <w:t xml:space="preserve"> of </w:t>
      </w:r>
      <w:r>
        <w:t>influenza vaccines.</w:t>
      </w:r>
    </w:p>
    <w:p w:rsidR="00512340" w:rsidRPr="00094DBE" w:rsidRDefault="00512340" w:rsidP="00512340">
      <w:pPr>
        <w:pStyle w:val="a3"/>
      </w:pPr>
      <w:r>
        <w:t>Design Systematic review without meta-analysis.</w:t>
      </w:r>
    </w:p>
    <w:p w:rsidR="00512340" w:rsidRDefault="00512340" w:rsidP="00512340">
      <w:pPr>
        <w:pStyle w:val="a3"/>
      </w:pPr>
      <w:r>
        <w:t>Data extraction Search</w:t>
      </w:r>
      <w:r w:rsidR="00427468">
        <w:t xml:space="preserve"> of </w:t>
      </w:r>
      <w:r w:rsidR="003A1917">
        <w:t xml:space="preserve">the </w:t>
      </w:r>
      <w:r>
        <w:t>Cochrane Library, PubMed, Embase,</w:t>
      </w:r>
      <w:r w:rsidR="005853A9">
        <w:t xml:space="preserve"> and </w:t>
      </w:r>
      <w:r w:rsidR="003A1917">
        <w:t xml:space="preserve">the </w:t>
      </w:r>
      <w:r>
        <w:t>web, without language restriction, for any studies comparing</w:t>
      </w:r>
      <w:r w:rsidR="003A1917">
        <w:t xml:space="preserve"> the </w:t>
      </w:r>
      <w:r>
        <w:t>effects</w:t>
      </w:r>
      <w:r w:rsidR="00427468">
        <w:t xml:space="preserve"> of </w:t>
      </w:r>
      <w:r>
        <w:t>influenza vaccines against placebo or no intervention. Abstraction</w:t>
      </w:r>
      <w:r w:rsidR="005853A9">
        <w:t xml:space="preserve"> and </w:t>
      </w:r>
      <w:r>
        <w:t>assessment</w:t>
      </w:r>
      <w:r w:rsidR="00427468">
        <w:t xml:space="preserve"> of </w:t>
      </w:r>
      <w:r>
        <w:t>quality</w:t>
      </w:r>
      <w:r w:rsidR="00427468">
        <w:t xml:space="preserve"> of </w:t>
      </w:r>
      <w:r>
        <w:t>methods were carried out.</w:t>
      </w:r>
    </w:p>
    <w:p w:rsidR="00512340" w:rsidRDefault="00512340" w:rsidP="00512340">
      <w:pPr>
        <w:pStyle w:val="a3"/>
      </w:pPr>
      <w:r>
        <w:t>Data synthesis We identified 259 primary studies ( 274 datasets). Higher quality studies were significantly more likely to show concordance between data presented</w:t>
      </w:r>
      <w:r w:rsidR="005853A9">
        <w:t xml:space="preserve"> and </w:t>
      </w:r>
      <w:r>
        <w:t>conclusions (odds ratio 16.35, 95% confidence interval 4.24 to 63.04)</w:t>
      </w:r>
      <w:r w:rsidR="005853A9">
        <w:t xml:space="preserve"> and </w:t>
      </w:r>
      <w:r>
        <w:t>less likely to favour effectiveness</w:t>
      </w:r>
      <w:r w:rsidR="00427468">
        <w:t xml:space="preserve"> of </w:t>
      </w:r>
      <w:r>
        <w:t>vaccines (0.04, 0.02 to 0.09). Government funded studies were less likely to have conclusions favouring</w:t>
      </w:r>
      <w:r w:rsidR="003A1917">
        <w:t xml:space="preserve"> the </w:t>
      </w:r>
      <w:r>
        <w:t>vaccines (0.45, 0.26 to 0.90). A higher mean journal impact factor was associated with complete or partial industry funding compared with government or private funding</w:t>
      </w:r>
      <w:r w:rsidR="005853A9">
        <w:t xml:space="preserve"> and </w:t>
      </w:r>
      <w:r>
        <w:t>no funding (differences between means 5.04). Study size was not associated with concordance, content</w:t>
      </w:r>
      <w:r w:rsidR="00427468">
        <w:t xml:space="preserve"> of </w:t>
      </w:r>
      <w:r>
        <w:t>take home message, funding,</w:t>
      </w:r>
      <w:r w:rsidR="005853A9">
        <w:t xml:space="preserve"> and </w:t>
      </w:r>
      <w:r>
        <w:t>study quality. Higher citation index factor was associated with partial or complete industry funding. This was sensitive to</w:t>
      </w:r>
      <w:r w:rsidR="003A1917">
        <w:t xml:space="preserve"> the </w:t>
      </w:r>
      <w:r>
        <w:t>exclusion from</w:t>
      </w:r>
      <w:r w:rsidR="003A1917">
        <w:t xml:space="preserve"> the </w:t>
      </w:r>
      <w:r>
        <w:t>analysis</w:t>
      </w:r>
      <w:r w:rsidR="00427468">
        <w:t xml:space="preserve"> of </w:t>
      </w:r>
      <w:r>
        <w:t>studies with undeclared funding.</w:t>
      </w:r>
    </w:p>
    <w:p w:rsidR="00512340" w:rsidRDefault="00512340" w:rsidP="00512340">
      <w:pPr>
        <w:pStyle w:val="a3"/>
      </w:pPr>
      <w:r>
        <w:t>Conclusion Publication in prestigious journals is associated with partial or total industry funding,</w:t>
      </w:r>
      <w:r w:rsidR="005853A9">
        <w:t xml:space="preserve"> and </w:t>
      </w:r>
      <w:r>
        <w:t>this association is not explained by study quality or size.</w:t>
      </w:r>
    </w:p>
    <w:p w:rsidR="00512340" w:rsidRDefault="00512340" w:rsidP="00512340">
      <w:pPr>
        <w:pStyle w:val="a3"/>
      </w:pPr>
      <w:r>
        <w:lastRenderedPageBreak/>
        <w:t>Keywords: Information-Seeking Behavior, Conflicts</w:t>
      </w:r>
      <w:r w:rsidR="00434900">
        <w:t>-of-</w:t>
      </w:r>
      <w:r>
        <w:t>Interest, Elderly-People, Drug Trials, Vaccination, Association, Care, Conclusions, Mortality, Benefits</w:t>
      </w:r>
    </w:p>
    <w:p w:rsidR="001217DA" w:rsidRDefault="001217DA" w:rsidP="001217DA">
      <w:pPr>
        <w:pStyle w:val="a3"/>
        <w:rPr>
          <w:kern w:val="0"/>
        </w:rPr>
      </w:pPr>
      <w:r>
        <w:rPr>
          <w:rFonts w:hint="eastAsia"/>
          <w:kern w:val="0"/>
        </w:rPr>
        <w:t xml:space="preserve">? </w:t>
      </w:r>
      <w:r>
        <w:rPr>
          <w:kern w:val="0"/>
        </w:rPr>
        <w:t>Quant, E.C., Jeste, S.S., Muni, R.H., Cape, A.V., Bhussar, M.K.</w:t>
      </w:r>
      <w:r w:rsidR="005853A9">
        <w:rPr>
          <w:kern w:val="0"/>
        </w:rPr>
        <w:t xml:space="preserve"> and </w:t>
      </w:r>
      <w:r>
        <w:rPr>
          <w:kern w:val="0"/>
        </w:rPr>
        <w:t>Peleg, A.Y. (2009</w:t>
      </w:r>
      <w:r w:rsidR="00F42EAC">
        <w:rPr>
          <w:kern w:val="0"/>
        </w:rPr>
        <w:t>), The</w:t>
      </w:r>
      <w:r w:rsidR="003A1917">
        <w:rPr>
          <w:kern w:val="0"/>
        </w:rPr>
        <w:t xml:space="preserve"> </w:t>
      </w:r>
      <w:r>
        <w:rPr>
          <w:kern w:val="0"/>
        </w:rPr>
        <w:t>benefits</w:t>
      </w:r>
      <w:r w:rsidR="00427468">
        <w:rPr>
          <w:kern w:val="0"/>
        </w:rPr>
        <w:t xml:space="preserve"> of </w:t>
      </w:r>
      <w:r>
        <w:rPr>
          <w:kern w:val="0"/>
        </w:rPr>
        <w:t>steroids versus steroids plus antivirals for treatment</w:t>
      </w:r>
      <w:r w:rsidR="00427468">
        <w:rPr>
          <w:kern w:val="0"/>
        </w:rPr>
        <w:t xml:space="preserve"> of </w:t>
      </w:r>
      <w:r>
        <w:rPr>
          <w:kern w:val="0"/>
        </w:rPr>
        <w:t>Bell</w:t>
      </w:r>
      <w:r w:rsidR="00700038">
        <w:rPr>
          <w:kern w:val="0"/>
        </w:rPr>
        <w:t>’</w:t>
      </w:r>
      <w:r w:rsidR="00C13DDC">
        <w:rPr>
          <w:kern w:val="0"/>
        </w:rPr>
        <w:t>s</w:t>
      </w:r>
      <w:r>
        <w:rPr>
          <w:kern w:val="0"/>
        </w:rPr>
        <w:t xml:space="preserve"> palsy: A meta-analysis. </w:t>
      </w:r>
      <w:r>
        <w:rPr>
          <w:i/>
          <w:iCs/>
          <w:kern w:val="0"/>
        </w:rPr>
        <w:t>British Medical Journal</w:t>
      </w:r>
      <w:r>
        <w:rPr>
          <w:kern w:val="0"/>
        </w:rPr>
        <w:t xml:space="preserve">, </w:t>
      </w:r>
      <w:r>
        <w:rPr>
          <w:b/>
          <w:bCs/>
          <w:kern w:val="0"/>
        </w:rPr>
        <w:t>339</w:t>
      </w:r>
      <w:r>
        <w:rPr>
          <w:rFonts w:hint="eastAsia"/>
          <w:kern w:val="0"/>
        </w:rPr>
        <w:t xml:space="preserve">, </w:t>
      </w:r>
      <w:r w:rsidRPr="00C22689">
        <w:rPr>
          <w:kern w:val="0"/>
        </w:rPr>
        <w:t>Article Number: b3354</w:t>
      </w:r>
      <w:r>
        <w:rPr>
          <w:rFonts w:hint="eastAsia"/>
          <w:kern w:val="0"/>
        </w:rPr>
        <w:t>.</w:t>
      </w:r>
    </w:p>
    <w:p w:rsidR="00A46382" w:rsidRDefault="00A46382" w:rsidP="00A46382">
      <w:pPr>
        <w:pStyle w:val="a3"/>
      </w:pPr>
      <w:r>
        <w:t>Full Text:</w:t>
      </w:r>
      <w:r w:rsidRPr="00FC7835">
        <w:t xml:space="preserve"> </w:t>
      </w:r>
      <w:hyperlink r:id="rId2055" w:history="1">
        <w:r w:rsidRPr="00694CF9">
          <w:rPr>
            <w:rStyle w:val="a5"/>
          </w:rPr>
          <w:t>2009\Bri Med J339, b3354.pdf</w:t>
        </w:r>
      </w:hyperlink>
    </w:p>
    <w:p w:rsidR="001217DA" w:rsidRDefault="001217DA" w:rsidP="001217DA">
      <w:pPr>
        <w:pStyle w:val="a3"/>
        <w:rPr>
          <w:kern w:val="0"/>
        </w:rPr>
      </w:pPr>
      <w:r>
        <w:rPr>
          <w:kern w:val="0"/>
        </w:rPr>
        <w:t>Abstract: Objective To determine whether steroids plus antivirals provide a better degree</w:t>
      </w:r>
      <w:r w:rsidR="00427468">
        <w:rPr>
          <w:kern w:val="0"/>
        </w:rPr>
        <w:t xml:space="preserve"> of </w:t>
      </w:r>
      <w:r>
        <w:rPr>
          <w:kern w:val="0"/>
        </w:rPr>
        <w:t>facial muscle recovery in patients with Bell</w:t>
      </w:r>
      <w:r w:rsidR="00700038">
        <w:rPr>
          <w:kern w:val="0"/>
        </w:rPr>
        <w:t>’</w:t>
      </w:r>
      <w:r w:rsidR="00C13DDC">
        <w:rPr>
          <w:kern w:val="0"/>
        </w:rPr>
        <w:t>s</w:t>
      </w:r>
      <w:r>
        <w:rPr>
          <w:kern w:val="0"/>
        </w:rPr>
        <w:t xml:space="preserve"> palsy than steroids alone. Design Meta-analysis. Data sources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Cochrane Central Register</w:t>
      </w:r>
      <w:r w:rsidR="00427468">
        <w:rPr>
          <w:kern w:val="0"/>
        </w:rPr>
        <w:t xml:space="preserve"> of </w:t>
      </w:r>
      <w:r>
        <w:rPr>
          <w:kern w:val="0"/>
        </w:rPr>
        <w:t>Controlled Trials were searched for studies published in all languages from 1984 to January 2009. Additional studies were identified from cited references. Selection criteria Randomised controlled trials that compared steroids with</w:t>
      </w:r>
      <w:r w:rsidR="003A1917">
        <w:rPr>
          <w:kern w:val="0"/>
        </w:rPr>
        <w:t xml:space="preserve"> the </w:t>
      </w:r>
      <w:r>
        <w:rPr>
          <w:kern w:val="0"/>
        </w:rPr>
        <w:t>combination</w:t>
      </w:r>
      <w:r w:rsidR="00427468">
        <w:rPr>
          <w:kern w:val="0"/>
        </w:rPr>
        <w:t xml:space="preserve"> of </w:t>
      </w:r>
      <w:r>
        <w:rPr>
          <w:kern w:val="0"/>
        </w:rPr>
        <w:t>steroids</w:t>
      </w:r>
      <w:r w:rsidR="005853A9">
        <w:rPr>
          <w:kern w:val="0"/>
        </w:rPr>
        <w:t xml:space="preserve"> and </w:t>
      </w:r>
      <w:r>
        <w:rPr>
          <w:kern w:val="0"/>
        </w:rPr>
        <w:t>antivirals for</w:t>
      </w:r>
      <w:r w:rsidR="003A1917">
        <w:rPr>
          <w:kern w:val="0"/>
        </w:rPr>
        <w:t xml:space="preserve"> the </w:t>
      </w:r>
      <w:r>
        <w:rPr>
          <w:kern w:val="0"/>
        </w:rPr>
        <w:t>treatment</w:t>
      </w:r>
      <w:r w:rsidR="00427468">
        <w:rPr>
          <w:kern w:val="0"/>
        </w:rPr>
        <w:t xml:space="preserve"> of </w:t>
      </w:r>
      <w:r>
        <w:rPr>
          <w:kern w:val="0"/>
        </w:rPr>
        <w:t>Bell</w:t>
      </w:r>
      <w:r w:rsidR="00700038">
        <w:rPr>
          <w:kern w:val="0"/>
        </w:rPr>
        <w:t>’</w:t>
      </w:r>
      <w:r w:rsidR="00C13DDC">
        <w:rPr>
          <w:kern w:val="0"/>
        </w:rPr>
        <w:t>s</w:t>
      </w:r>
      <w:r>
        <w:rPr>
          <w:kern w:val="0"/>
        </w:rPr>
        <w:t xml:space="preserve"> palsy were included in this study. At least one month</w:t>
      </w:r>
      <w:r w:rsidR="00427468">
        <w:rPr>
          <w:kern w:val="0"/>
        </w:rPr>
        <w:t xml:space="preserve"> of </w:t>
      </w:r>
      <w:r>
        <w:rPr>
          <w:kern w:val="0"/>
        </w:rPr>
        <w:t>follow-up</w:t>
      </w:r>
      <w:r w:rsidR="005853A9">
        <w:rPr>
          <w:kern w:val="0"/>
        </w:rPr>
        <w:t xml:space="preserve"> and </w:t>
      </w:r>
      <w:r>
        <w:rPr>
          <w:kern w:val="0"/>
        </w:rPr>
        <w:t>a primary end point</w:t>
      </w:r>
      <w:r w:rsidR="00427468">
        <w:rPr>
          <w:kern w:val="0"/>
        </w:rPr>
        <w:t xml:space="preserve"> of </w:t>
      </w:r>
      <w:r>
        <w:rPr>
          <w:kern w:val="0"/>
        </w:rPr>
        <w:t>at least partial facial muscle recovery, as defined by a House-Brackmann grade</w:t>
      </w:r>
      <w:r w:rsidR="00427468">
        <w:rPr>
          <w:kern w:val="0"/>
        </w:rPr>
        <w:t xml:space="preserve"> of </w:t>
      </w:r>
      <w:r>
        <w:rPr>
          <w:kern w:val="0"/>
        </w:rPr>
        <w:t>at least 2 (complete palsy is designated a grade</w:t>
      </w:r>
      <w:r w:rsidR="00427468">
        <w:rPr>
          <w:kern w:val="0"/>
        </w:rPr>
        <w:t xml:space="preserve"> of </w:t>
      </w:r>
      <w:r>
        <w:rPr>
          <w:kern w:val="0"/>
        </w:rPr>
        <w:t>6) or an equivalent score on an alternative recognised scoring system, were required. Review methods Two authors independently reviewed studies for methodological quality, treatment regimens, duration</w:t>
      </w:r>
      <w:r w:rsidR="00427468">
        <w:rPr>
          <w:kern w:val="0"/>
        </w:rPr>
        <w:t xml:space="preserve"> of </w:t>
      </w:r>
      <w:r>
        <w:rPr>
          <w:kern w:val="0"/>
        </w:rPr>
        <w:t>symptoms before treatment, length</w:t>
      </w:r>
      <w:r w:rsidR="00427468">
        <w:rPr>
          <w:kern w:val="0"/>
        </w:rPr>
        <w:t xml:space="preserve"> of </w:t>
      </w:r>
      <w:r>
        <w:rPr>
          <w:kern w:val="0"/>
        </w:rPr>
        <w:t>follow-up,</w:t>
      </w:r>
      <w:r w:rsidR="005853A9">
        <w:rPr>
          <w:kern w:val="0"/>
        </w:rPr>
        <w:t xml:space="preserve"> and </w:t>
      </w:r>
      <w:r>
        <w:rPr>
          <w:kern w:val="0"/>
        </w:rPr>
        <w:t>outcomes. Odds ratios with 95% confidence intervals were calculated</w:t>
      </w:r>
      <w:r w:rsidR="005853A9">
        <w:rPr>
          <w:kern w:val="0"/>
        </w:rPr>
        <w:t xml:space="preserve"> and </w:t>
      </w:r>
      <w:r>
        <w:rPr>
          <w:kern w:val="0"/>
        </w:rPr>
        <w:t>pooled using a random effects model. Results Six trials were included, a total</w:t>
      </w:r>
      <w:r w:rsidR="00427468">
        <w:rPr>
          <w:kern w:val="0"/>
        </w:rPr>
        <w:t xml:space="preserve"> of </w:t>
      </w:r>
      <w:r>
        <w:rPr>
          <w:kern w:val="0"/>
        </w:rPr>
        <w:t>1145 patients; 574 patients received steroids alone</w:t>
      </w:r>
      <w:r w:rsidR="005853A9">
        <w:rPr>
          <w:kern w:val="0"/>
        </w:rPr>
        <w:t xml:space="preserve"> and </w:t>
      </w:r>
      <w:r>
        <w:rPr>
          <w:kern w:val="0"/>
        </w:rPr>
        <w:t>571 patients received steroids</w:t>
      </w:r>
      <w:r w:rsidR="005853A9">
        <w:rPr>
          <w:kern w:val="0"/>
        </w:rPr>
        <w:t xml:space="preserve"> and </w:t>
      </w:r>
      <w:r>
        <w:rPr>
          <w:kern w:val="0"/>
        </w:rPr>
        <w:t>antivirals</w:t>
      </w:r>
      <w:r w:rsidR="00A37C1D">
        <w:rPr>
          <w:kern w:val="0"/>
        </w:rPr>
        <w:t>. The</w:t>
      </w:r>
      <w:r w:rsidR="003A1917">
        <w:rPr>
          <w:kern w:val="0"/>
        </w:rPr>
        <w:t xml:space="preserve"> </w:t>
      </w:r>
      <w:r>
        <w:rPr>
          <w:kern w:val="0"/>
        </w:rPr>
        <w:t>pooled odds ratio for facial muscle recovery showed no benefit</w:t>
      </w:r>
      <w:r w:rsidR="00427468">
        <w:rPr>
          <w:kern w:val="0"/>
        </w:rPr>
        <w:t xml:space="preserve"> of </w:t>
      </w:r>
      <w:r>
        <w:rPr>
          <w:kern w:val="0"/>
        </w:rPr>
        <w:t>steroids plus antivirals compared with steroids alone (odds ratio 1.50, 95% confidence interval 0.83 to 2.69; P=0.18). A one study removed analysis showed that</w:t>
      </w:r>
      <w:r w:rsidR="003A1917">
        <w:rPr>
          <w:kern w:val="0"/>
        </w:rPr>
        <w:t xml:space="preserve"> the </w:t>
      </w:r>
      <w:r>
        <w:rPr>
          <w:kern w:val="0"/>
        </w:rPr>
        <w:t>highest quality studies had</w:t>
      </w:r>
      <w:r w:rsidR="003A1917">
        <w:rPr>
          <w:kern w:val="0"/>
        </w:rPr>
        <w:t xml:space="preserve"> the </w:t>
      </w:r>
      <w:r>
        <w:rPr>
          <w:kern w:val="0"/>
        </w:rPr>
        <w:t>greatest effect on</w:t>
      </w:r>
      <w:r w:rsidR="003A1917">
        <w:rPr>
          <w:kern w:val="0"/>
        </w:rPr>
        <w:t xml:space="preserve"> the </w:t>
      </w:r>
      <w:r>
        <w:rPr>
          <w:kern w:val="0"/>
        </w:rPr>
        <w:t>lack</w:t>
      </w:r>
      <w:r w:rsidR="00427468">
        <w:rPr>
          <w:kern w:val="0"/>
        </w:rPr>
        <w:t xml:space="preserve"> of </w:t>
      </w:r>
      <w:r>
        <w:rPr>
          <w:kern w:val="0"/>
        </w:rPr>
        <w:t>difference between study arms shown by</w:t>
      </w:r>
      <w:r w:rsidR="003A1917">
        <w:rPr>
          <w:kern w:val="0"/>
        </w:rPr>
        <w:t xml:space="preserve"> the </w:t>
      </w:r>
      <w:r>
        <w:rPr>
          <w:kern w:val="0"/>
        </w:rPr>
        <w:t>odds ratio. Subgroup analyses assessing causes</w:t>
      </w:r>
      <w:r w:rsidR="00427468">
        <w:rPr>
          <w:kern w:val="0"/>
        </w:rPr>
        <w:t xml:space="preserve"> of </w:t>
      </w:r>
      <w:r>
        <w:rPr>
          <w:kern w:val="0"/>
        </w:rPr>
        <w:t>heterogeneity defined a priori (time from symptom onset to treatment, length</w:t>
      </w:r>
      <w:r w:rsidR="00427468">
        <w:rPr>
          <w:kern w:val="0"/>
        </w:rPr>
        <w:t xml:space="preserve"> of </w:t>
      </w:r>
      <w:r>
        <w:rPr>
          <w:kern w:val="0"/>
        </w:rPr>
        <w:t>follow-up,</w:t>
      </w:r>
      <w:r w:rsidR="005853A9">
        <w:rPr>
          <w:kern w:val="0"/>
        </w:rPr>
        <w:t xml:space="preserve"> and </w:t>
      </w:r>
      <w:r>
        <w:rPr>
          <w:kern w:val="0"/>
        </w:rPr>
        <w:t>type</w:t>
      </w:r>
      <w:r w:rsidR="00427468">
        <w:rPr>
          <w:kern w:val="0"/>
        </w:rPr>
        <w:t xml:space="preserve"> of </w:t>
      </w:r>
      <w:r>
        <w:rPr>
          <w:kern w:val="0"/>
        </w:rPr>
        <w:t>antiviral studied) showed no benefit</w:t>
      </w:r>
      <w:r w:rsidR="00427468">
        <w:rPr>
          <w:kern w:val="0"/>
        </w:rPr>
        <w:t xml:space="preserve"> of </w:t>
      </w:r>
      <w:r>
        <w:rPr>
          <w:kern w:val="0"/>
        </w:rPr>
        <w:t>antivirals in addition to that provided by steroids. Conclusions Antivirals did not provide an added benefit in achieving at least partial facial muscle recovery compared with steroids alone in patients with Bell</w:t>
      </w:r>
      <w:r w:rsidR="00700038">
        <w:rPr>
          <w:kern w:val="0"/>
        </w:rPr>
        <w:t>’</w:t>
      </w:r>
      <w:r w:rsidR="00C13DDC">
        <w:rPr>
          <w:kern w:val="0"/>
        </w:rPr>
        <w:t>s</w:t>
      </w:r>
      <w:r>
        <w:rPr>
          <w:kern w:val="0"/>
        </w:rPr>
        <w:t xml:space="preserve"> palsy. This study does not, therefore, support</w:t>
      </w:r>
      <w:r w:rsidR="003A1917">
        <w:rPr>
          <w:kern w:val="0"/>
        </w:rPr>
        <w:t xml:space="preserve"> the </w:t>
      </w:r>
      <w:r>
        <w:rPr>
          <w:kern w:val="0"/>
        </w:rPr>
        <w:t>routine use</w:t>
      </w:r>
      <w:r w:rsidR="00427468">
        <w:rPr>
          <w:kern w:val="0"/>
        </w:rPr>
        <w:t xml:space="preserve"> of </w:t>
      </w:r>
      <w:r>
        <w:rPr>
          <w:kern w:val="0"/>
        </w:rPr>
        <w:t>antivirals in Bell</w:t>
      </w:r>
      <w:r w:rsidR="00700038">
        <w:rPr>
          <w:kern w:val="0"/>
        </w:rPr>
        <w:t>’</w:t>
      </w:r>
      <w:r w:rsidR="00C13DDC">
        <w:rPr>
          <w:kern w:val="0"/>
        </w:rPr>
        <w:t>s</w:t>
      </w:r>
      <w:r>
        <w:rPr>
          <w:kern w:val="0"/>
        </w:rPr>
        <w:t xml:space="preserve"> palsy. Future studies should use improved herpes virus diagnostics</w:t>
      </w:r>
      <w:r w:rsidR="005853A9">
        <w:rPr>
          <w:kern w:val="0"/>
        </w:rPr>
        <w:t xml:space="preserve"> and </w:t>
      </w:r>
      <w:r>
        <w:rPr>
          <w:kern w:val="0"/>
        </w:rPr>
        <w:t>newer antivirals to assess whether combination therapy benefits patients with more severe facial paralysis at study entry.</w:t>
      </w:r>
    </w:p>
    <w:p w:rsidR="001217DA" w:rsidRDefault="001217DA" w:rsidP="001217DA">
      <w:pPr>
        <w:pStyle w:val="a3"/>
        <w:rPr>
          <w:kern w:val="0"/>
        </w:rPr>
      </w:pPr>
      <w:r>
        <w:rPr>
          <w:kern w:val="0"/>
        </w:rPr>
        <w:t xml:space="preserve">Keywords: Acyclovir, Analysis, Authors, Cochrane, Combination Therapy, Confidence Intervals, Double-Blind, Efficacy, Follow-Up, Meta Analysis, Meta-Analysis, Model, Multicenter, Outcomes, Prednisolone, Primary, </w:t>
      </w:r>
      <w:r w:rsidR="002C12F0">
        <w:rPr>
          <w:kern w:val="0"/>
        </w:rPr>
        <w:t>PUBMED</w:t>
      </w:r>
      <w:r>
        <w:rPr>
          <w:kern w:val="0"/>
        </w:rPr>
        <w:t xml:space="preserve">, Quality, Ratio, Reactivation, Review, Science, Simplex-Virus Type-1, Symptoms, Therapy, </w:t>
      </w:r>
      <w:r>
        <w:rPr>
          <w:kern w:val="0"/>
        </w:rPr>
        <w:lastRenderedPageBreak/>
        <w:t xml:space="preserve">Treatment, Valacyclovir, </w:t>
      </w:r>
      <w:r w:rsidR="00D5664A">
        <w:rPr>
          <w:kern w:val="0"/>
        </w:rPr>
        <w:t>Web</w:t>
      </w:r>
      <w:r w:rsidR="00427468">
        <w:rPr>
          <w:kern w:val="0"/>
        </w:rPr>
        <w:t xml:space="preserve"> of </w:t>
      </w:r>
      <w:r w:rsidR="00D5664A">
        <w:rPr>
          <w:kern w:val="0"/>
        </w:rPr>
        <w:t>Science</w:t>
      </w:r>
    </w:p>
    <w:p w:rsidR="001217DA" w:rsidRDefault="001217DA" w:rsidP="001217DA">
      <w:pPr>
        <w:pStyle w:val="a3"/>
        <w:rPr>
          <w:kern w:val="0"/>
        </w:rPr>
      </w:pPr>
      <w:r>
        <w:rPr>
          <w:rFonts w:hint="eastAsia"/>
          <w:kern w:val="0"/>
        </w:rPr>
        <w:t xml:space="preserve">? </w:t>
      </w:r>
      <w:r>
        <w:rPr>
          <w:kern w:val="0"/>
        </w:rPr>
        <w:t>Kondo, N., Sembajwe, G., Kawachi, I., van Dam, R.M., Subramanian, S.V.</w:t>
      </w:r>
      <w:r w:rsidR="005853A9">
        <w:rPr>
          <w:kern w:val="0"/>
        </w:rPr>
        <w:t xml:space="preserve"> and </w:t>
      </w:r>
      <w:r>
        <w:rPr>
          <w:kern w:val="0"/>
        </w:rPr>
        <w:t>Yamagata, Z. (2009), Income inequality, mortality,</w:t>
      </w:r>
      <w:r w:rsidR="005853A9">
        <w:rPr>
          <w:kern w:val="0"/>
        </w:rPr>
        <w:t xml:space="preserve"> and </w:t>
      </w:r>
      <w:r>
        <w:rPr>
          <w:kern w:val="0"/>
        </w:rPr>
        <w:t>self rated health: Metaanalysis</w:t>
      </w:r>
      <w:r w:rsidR="00427468">
        <w:rPr>
          <w:kern w:val="0"/>
        </w:rPr>
        <w:t xml:space="preserve"> of </w:t>
      </w:r>
      <w:r>
        <w:rPr>
          <w:kern w:val="0"/>
        </w:rPr>
        <w:t xml:space="preserve">multilevel studies. </w:t>
      </w:r>
      <w:r>
        <w:rPr>
          <w:i/>
          <w:iCs/>
          <w:kern w:val="0"/>
        </w:rPr>
        <w:t>British Medical Journal</w:t>
      </w:r>
      <w:r>
        <w:rPr>
          <w:kern w:val="0"/>
        </w:rPr>
        <w:t xml:space="preserve">, </w:t>
      </w:r>
      <w:r>
        <w:rPr>
          <w:b/>
          <w:bCs/>
          <w:kern w:val="0"/>
        </w:rPr>
        <w:t>339</w:t>
      </w:r>
      <w:r>
        <w:rPr>
          <w:rFonts w:hint="eastAsia"/>
          <w:kern w:val="0"/>
        </w:rPr>
        <w:t xml:space="preserve">, </w:t>
      </w:r>
      <w:r w:rsidRPr="00C22689">
        <w:rPr>
          <w:kern w:val="0"/>
        </w:rPr>
        <w:t>Article Number: b4471</w:t>
      </w:r>
      <w:r>
        <w:rPr>
          <w:rFonts w:hint="eastAsia"/>
          <w:kern w:val="0"/>
        </w:rPr>
        <w:t>.</w:t>
      </w:r>
    </w:p>
    <w:p w:rsidR="00A46382" w:rsidRDefault="00A46382" w:rsidP="00A46382">
      <w:pPr>
        <w:pStyle w:val="a3"/>
      </w:pPr>
      <w:r>
        <w:t>Full Text:</w:t>
      </w:r>
      <w:r w:rsidRPr="00FC7835">
        <w:t xml:space="preserve"> </w:t>
      </w:r>
      <w:hyperlink r:id="rId2056" w:history="1">
        <w:r w:rsidRPr="00694CF9">
          <w:rPr>
            <w:rStyle w:val="a5"/>
          </w:rPr>
          <w:t>2009\Bri Med J339, b4471.pdf</w:t>
        </w:r>
      </w:hyperlink>
    </w:p>
    <w:p w:rsidR="001217DA" w:rsidRDefault="001217DA" w:rsidP="001217DA">
      <w:pPr>
        <w:pStyle w:val="a3"/>
        <w:rPr>
          <w:kern w:val="0"/>
        </w:rPr>
      </w:pPr>
      <w:r>
        <w:rPr>
          <w:kern w:val="0"/>
        </w:rPr>
        <w:t>Abstract: Objective To provide quantitative evaluations on</w:t>
      </w:r>
      <w:r w:rsidR="003A1917">
        <w:rPr>
          <w:kern w:val="0"/>
        </w:rPr>
        <w:t xml:space="preserve"> the </w:t>
      </w:r>
      <w:r>
        <w:rPr>
          <w:kern w:val="0"/>
        </w:rPr>
        <w:t>association between income inequality</w:t>
      </w:r>
      <w:r w:rsidR="005853A9">
        <w:rPr>
          <w:kern w:val="0"/>
        </w:rPr>
        <w:t xml:space="preserve"> and </w:t>
      </w:r>
      <w:r>
        <w:rPr>
          <w:kern w:val="0"/>
        </w:rPr>
        <w:t>health. Design Random effects meta-analyses, calculating</w:t>
      </w:r>
      <w:r w:rsidR="003A1917">
        <w:rPr>
          <w:kern w:val="0"/>
        </w:rPr>
        <w:t xml:space="preserve"> the </w:t>
      </w:r>
      <w:r>
        <w:rPr>
          <w:kern w:val="0"/>
        </w:rPr>
        <w:t>overall relative risk for subsequent mortality among prospective cohort studies</w:t>
      </w:r>
      <w:r w:rsidR="005853A9">
        <w:rPr>
          <w:kern w:val="0"/>
        </w:rPr>
        <w:t xml:space="preserve"> and </w:t>
      </w:r>
      <w:r w:rsidR="003A1917">
        <w:rPr>
          <w:kern w:val="0"/>
        </w:rPr>
        <w:t xml:space="preserve">the </w:t>
      </w:r>
      <w:r>
        <w:rPr>
          <w:kern w:val="0"/>
        </w:rPr>
        <w:t xml:space="preserve">overall odds ratio for poor self rated health among cross sectional studies. Data sources </w:t>
      </w:r>
      <w:r w:rsidR="002C12F0">
        <w:rPr>
          <w:kern w:val="0"/>
        </w:rPr>
        <w:t>PUBMED</w:t>
      </w:r>
      <w:r>
        <w:rPr>
          <w:kern w:val="0"/>
        </w:rPr>
        <w:t>,</w:t>
      </w:r>
      <w:r w:rsidR="003A1917">
        <w:rPr>
          <w:kern w:val="0"/>
        </w:rPr>
        <w:t xml:space="preserve"> the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sidR="003A1917">
        <w:rPr>
          <w:kern w:val="0"/>
        </w:rPr>
        <w:t xml:space="preserve">the </w:t>
      </w:r>
      <w:r>
        <w:rPr>
          <w:kern w:val="0"/>
        </w:rPr>
        <w:t>National Bureau for Economic Research database. Review methods Peer reviewed papers with multilevel data. Results</w:t>
      </w:r>
      <w:r w:rsidR="003A1917">
        <w:rPr>
          <w:kern w:val="0"/>
        </w:rPr>
        <w:t xml:space="preserve"> the </w:t>
      </w:r>
      <w:r>
        <w:rPr>
          <w:kern w:val="0"/>
        </w:rPr>
        <w:t>meta-analysis included 59 509 857 subjects in nine cohort studies</w:t>
      </w:r>
      <w:r w:rsidR="005853A9">
        <w:rPr>
          <w:kern w:val="0"/>
        </w:rPr>
        <w:t xml:space="preserve"> and </w:t>
      </w:r>
      <w:r>
        <w:rPr>
          <w:kern w:val="0"/>
        </w:rPr>
        <w:t>1 280 211 subjects in 19 cross sectional studies</w:t>
      </w:r>
      <w:r w:rsidR="00A37C1D">
        <w:rPr>
          <w:kern w:val="0"/>
        </w:rPr>
        <w:t>. The</w:t>
      </w:r>
      <w:r w:rsidR="003A1917">
        <w:rPr>
          <w:kern w:val="0"/>
        </w:rPr>
        <w:t xml:space="preserve"> </w:t>
      </w:r>
      <w:r>
        <w:rPr>
          <w:kern w:val="0"/>
        </w:rPr>
        <w:t>overall cohort relative risk</w:t>
      </w:r>
      <w:r w:rsidR="005853A9">
        <w:rPr>
          <w:kern w:val="0"/>
        </w:rPr>
        <w:t xml:space="preserve"> and </w:t>
      </w:r>
      <w:r>
        <w:rPr>
          <w:kern w:val="0"/>
        </w:rPr>
        <w:t>cross sectional odds ratio (95% confidence intervals) per 0.05 unit increase in Gini coefficient, a measure</w:t>
      </w:r>
      <w:r w:rsidR="00427468">
        <w:rPr>
          <w:kern w:val="0"/>
        </w:rPr>
        <w:t xml:space="preserve"> of </w:t>
      </w:r>
      <w:r>
        <w:rPr>
          <w:kern w:val="0"/>
        </w:rPr>
        <w:t>income inequality, was 1.08 (1.06 to 1.10)</w:t>
      </w:r>
      <w:r w:rsidR="005853A9">
        <w:rPr>
          <w:kern w:val="0"/>
        </w:rPr>
        <w:t xml:space="preserve"> and </w:t>
      </w:r>
      <w:r>
        <w:rPr>
          <w:kern w:val="0"/>
        </w:rPr>
        <w:t>1.04 (1.02 to 1.06), respectively. Meta-regressions showed stronger associations between income inequality</w:t>
      </w:r>
      <w:r w:rsidR="005853A9">
        <w:rPr>
          <w:kern w:val="0"/>
        </w:rPr>
        <w:t xml:space="preserve"> and </w:t>
      </w:r>
      <w:r w:rsidR="003A1917">
        <w:rPr>
          <w:kern w:val="0"/>
        </w:rPr>
        <w:t xml:space="preserve">the </w:t>
      </w:r>
      <w:r>
        <w:rPr>
          <w:kern w:val="0"/>
        </w:rPr>
        <w:t>health outcomes among studies with higher Gini (&gt;= 0.3), conducted with data after 1990, with longer duration</w:t>
      </w:r>
      <w:r w:rsidR="00427468">
        <w:rPr>
          <w:kern w:val="0"/>
        </w:rPr>
        <w:t xml:space="preserve"> of </w:t>
      </w:r>
      <w:r>
        <w:rPr>
          <w:kern w:val="0"/>
        </w:rPr>
        <w:t>follow-up (&gt;7 years),</w:t>
      </w:r>
      <w:r w:rsidR="005853A9">
        <w:rPr>
          <w:kern w:val="0"/>
        </w:rPr>
        <w:t xml:space="preserve"> and </w:t>
      </w:r>
      <w:r>
        <w:rPr>
          <w:kern w:val="0"/>
        </w:rPr>
        <w:t>incorporating time lags between income inequality</w:t>
      </w:r>
      <w:r w:rsidR="005853A9">
        <w:rPr>
          <w:kern w:val="0"/>
        </w:rPr>
        <w:t xml:space="preserve"> and </w:t>
      </w:r>
      <w:r>
        <w:rPr>
          <w:kern w:val="0"/>
        </w:rPr>
        <w:t>outcomes. By contrast, analyses accounting for unmeasured regional characteristics showed a weaker association between income inequality</w:t>
      </w:r>
      <w:r w:rsidR="005853A9">
        <w:rPr>
          <w:kern w:val="0"/>
        </w:rPr>
        <w:t xml:space="preserve"> and </w:t>
      </w:r>
      <w:r>
        <w:rPr>
          <w:kern w:val="0"/>
        </w:rPr>
        <w:t>health. Conclusions</w:t>
      </w:r>
      <w:r w:rsidR="003A1917">
        <w:rPr>
          <w:kern w:val="0"/>
        </w:rPr>
        <w:t xml:space="preserve"> the </w:t>
      </w:r>
      <w:r>
        <w:rPr>
          <w:kern w:val="0"/>
        </w:rPr>
        <w:t>results suggest a modest adverse effect</w:t>
      </w:r>
      <w:r w:rsidR="00427468">
        <w:rPr>
          <w:kern w:val="0"/>
        </w:rPr>
        <w:t xml:space="preserve"> of </w:t>
      </w:r>
      <w:r>
        <w:rPr>
          <w:kern w:val="0"/>
        </w:rPr>
        <w:t>income inequality on health, although</w:t>
      </w:r>
      <w:r w:rsidR="003A1917">
        <w:rPr>
          <w:kern w:val="0"/>
        </w:rPr>
        <w:t xml:space="preserve"> the </w:t>
      </w:r>
      <w:r>
        <w:rPr>
          <w:kern w:val="0"/>
        </w:rPr>
        <w:t>population impact might be larger if</w:t>
      </w:r>
      <w:r w:rsidR="003A1917">
        <w:rPr>
          <w:kern w:val="0"/>
        </w:rPr>
        <w:t xml:space="preserve"> the </w:t>
      </w:r>
      <w:r>
        <w:rPr>
          <w:kern w:val="0"/>
        </w:rPr>
        <w:t>association is truly ca</w:t>
      </w:r>
      <w:r w:rsidR="00D5664A">
        <w:rPr>
          <w:kern w:val="0"/>
        </w:rPr>
        <w:t>USA</w:t>
      </w:r>
      <w:r>
        <w:rPr>
          <w:kern w:val="0"/>
        </w:rPr>
        <w:t>l</w:t>
      </w:r>
      <w:r w:rsidR="00A37C1D">
        <w:rPr>
          <w:kern w:val="0"/>
        </w:rPr>
        <w:t>. The</w:t>
      </w:r>
      <w:r w:rsidR="003A1917">
        <w:rPr>
          <w:kern w:val="0"/>
        </w:rPr>
        <w:t xml:space="preserve"> </w:t>
      </w:r>
      <w:r>
        <w:rPr>
          <w:kern w:val="0"/>
        </w:rPr>
        <w:t>results also support</w:t>
      </w:r>
      <w:r w:rsidR="003A1917">
        <w:rPr>
          <w:kern w:val="0"/>
        </w:rPr>
        <w:t xml:space="preserve"> the </w:t>
      </w:r>
      <w:r>
        <w:rPr>
          <w:kern w:val="0"/>
        </w:rPr>
        <w:t>threshold effect hypothesis, which posits</w:t>
      </w:r>
      <w:r w:rsidR="003A1917">
        <w:rPr>
          <w:kern w:val="0"/>
        </w:rPr>
        <w:t xml:space="preserve"> the </w:t>
      </w:r>
      <w:r>
        <w:rPr>
          <w:kern w:val="0"/>
        </w:rPr>
        <w:t>existence</w:t>
      </w:r>
      <w:r w:rsidR="00427468">
        <w:rPr>
          <w:kern w:val="0"/>
        </w:rPr>
        <w:t xml:space="preserve"> of </w:t>
      </w:r>
      <w:r>
        <w:rPr>
          <w:kern w:val="0"/>
        </w:rPr>
        <w:t>a threshold</w:t>
      </w:r>
      <w:r w:rsidR="00427468">
        <w:rPr>
          <w:kern w:val="0"/>
        </w:rPr>
        <w:t xml:space="preserve"> of </w:t>
      </w:r>
      <w:r>
        <w:rPr>
          <w:kern w:val="0"/>
        </w:rPr>
        <w:t>income inequality beyond which adverse impacts on health begin to emerge</w:t>
      </w:r>
      <w:r w:rsidR="00A37C1D">
        <w:rPr>
          <w:kern w:val="0"/>
        </w:rPr>
        <w:t>. The</w:t>
      </w:r>
      <w:r w:rsidR="003A1917">
        <w:rPr>
          <w:kern w:val="0"/>
        </w:rPr>
        <w:t xml:space="preserve"> </w:t>
      </w:r>
      <w:r>
        <w:rPr>
          <w:kern w:val="0"/>
        </w:rPr>
        <w:t>findings need to be interpreted with caution given</w:t>
      </w:r>
      <w:r w:rsidR="003A1917">
        <w:rPr>
          <w:kern w:val="0"/>
        </w:rPr>
        <w:t xml:space="preserve"> the </w:t>
      </w:r>
      <w:r>
        <w:rPr>
          <w:kern w:val="0"/>
        </w:rPr>
        <w:t>heterogeneity between studies, as well as</w:t>
      </w:r>
      <w:r w:rsidR="003A1917">
        <w:rPr>
          <w:kern w:val="0"/>
        </w:rPr>
        <w:t xml:space="preserve"> the </w:t>
      </w:r>
      <w:r>
        <w:rPr>
          <w:kern w:val="0"/>
        </w:rPr>
        <w:t>attenuation</w:t>
      </w:r>
      <w:r w:rsidR="00427468">
        <w:rPr>
          <w:kern w:val="0"/>
        </w:rPr>
        <w:t xml:space="preserve"> of </w:t>
      </w:r>
      <w:r w:rsidR="003A1917">
        <w:rPr>
          <w:kern w:val="0"/>
        </w:rPr>
        <w:t xml:space="preserve">the </w:t>
      </w:r>
      <w:r>
        <w:rPr>
          <w:kern w:val="0"/>
        </w:rPr>
        <w:t>risk estimates in analyses that attempted to control for</w:t>
      </w:r>
      <w:r w:rsidR="003A1917">
        <w:rPr>
          <w:kern w:val="0"/>
        </w:rPr>
        <w:t xml:space="preserve"> the </w:t>
      </w:r>
      <w:r>
        <w:rPr>
          <w:kern w:val="0"/>
        </w:rPr>
        <w:t>unmeasured characteristics</w:t>
      </w:r>
      <w:r w:rsidR="00427468">
        <w:rPr>
          <w:kern w:val="0"/>
        </w:rPr>
        <w:t xml:space="preserve"> of </w:t>
      </w:r>
      <w:r>
        <w:rPr>
          <w:kern w:val="0"/>
        </w:rPr>
        <w:t>areas with high levels</w:t>
      </w:r>
      <w:r w:rsidR="00427468">
        <w:rPr>
          <w:kern w:val="0"/>
        </w:rPr>
        <w:t xml:space="preserve"> of </w:t>
      </w:r>
      <w:r>
        <w:rPr>
          <w:kern w:val="0"/>
        </w:rPr>
        <w:t>income inequality.</w:t>
      </w:r>
    </w:p>
    <w:p w:rsidR="001217DA" w:rsidRDefault="001217DA" w:rsidP="001217DA">
      <w:pPr>
        <w:pStyle w:val="a3"/>
        <w:rPr>
          <w:kern w:val="0"/>
        </w:rPr>
      </w:pPr>
      <w:r>
        <w:rPr>
          <w:kern w:val="0"/>
        </w:rPr>
        <w:t>Keywords: Affluence, Association, Cohort Studies, Confidence Intervals, Control, Difference, Explain, Exposure, Follow-Up, Health Outcomes, Impact, Income</w:t>
      </w:r>
      <w:r w:rsidR="00D5664A">
        <w:rPr>
          <w:kern w:val="0"/>
        </w:rPr>
        <w:t>, ISI,</w:t>
      </w:r>
      <w:r>
        <w:rPr>
          <w:kern w:val="0"/>
        </w:rPr>
        <w:t xml:space="preserve"> Level Analysis, Meta-Analysis, Mortality, Outcomes, Papers, Population Health, </w:t>
      </w:r>
      <w:r w:rsidR="002C12F0">
        <w:rPr>
          <w:kern w:val="0"/>
        </w:rPr>
        <w:t>PUBMED</w:t>
      </w:r>
      <w:r>
        <w:rPr>
          <w:kern w:val="0"/>
        </w:rPr>
        <w:t xml:space="preserve">, Quantitative, Ratio, Relative Deprivation, Relative Risk, Research, Review, Risk, Science, United-States, US, </w:t>
      </w:r>
      <w:r w:rsidR="00D5664A">
        <w:rPr>
          <w:kern w:val="0"/>
        </w:rPr>
        <w:t>Web</w:t>
      </w:r>
      <w:r w:rsidR="00427468">
        <w:rPr>
          <w:kern w:val="0"/>
        </w:rPr>
        <w:t xml:space="preserve"> of </w:t>
      </w:r>
      <w:r w:rsidR="00D5664A">
        <w:rPr>
          <w:kern w:val="0"/>
        </w:rPr>
        <w:t>Science</w:t>
      </w:r>
    </w:p>
    <w:p w:rsidR="001217DA" w:rsidRDefault="001217DA" w:rsidP="001217DA">
      <w:pPr>
        <w:pStyle w:val="a3"/>
        <w:rPr>
          <w:kern w:val="0"/>
        </w:rPr>
      </w:pPr>
      <w:r>
        <w:rPr>
          <w:rFonts w:hint="eastAsia"/>
          <w:kern w:val="0"/>
        </w:rPr>
        <w:t xml:space="preserve">? </w:t>
      </w:r>
      <w:r>
        <w:rPr>
          <w:kern w:val="0"/>
        </w:rPr>
        <w:t>Parsons, A., Daley, A., Begh, R.</w:t>
      </w:r>
      <w:r w:rsidR="005853A9">
        <w:rPr>
          <w:kern w:val="0"/>
        </w:rPr>
        <w:t xml:space="preserve"> and </w:t>
      </w:r>
      <w:r>
        <w:rPr>
          <w:kern w:val="0"/>
        </w:rPr>
        <w:t>Aveyard, P. (2010), Influence</w:t>
      </w:r>
      <w:r w:rsidR="00427468">
        <w:rPr>
          <w:kern w:val="0"/>
        </w:rPr>
        <w:t xml:space="preserve"> of </w:t>
      </w:r>
      <w:r>
        <w:rPr>
          <w:kern w:val="0"/>
        </w:rPr>
        <w:t>smoking cessation after diagnosis</w:t>
      </w:r>
      <w:r w:rsidR="00427468">
        <w:rPr>
          <w:kern w:val="0"/>
        </w:rPr>
        <w:t xml:space="preserve"> of </w:t>
      </w:r>
      <w:r>
        <w:rPr>
          <w:kern w:val="0"/>
        </w:rPr>
        <w:t>early stage lung cancer on prognosis: Systematic review</w:t>
      </w:r>
      <w:r w:rsidR="00427468">
        <w:rPr>
          <w:kern w:val="0"/>
        </w:rPr>
        <w:t xml:space="preserve"> of </w:t>
      </w:r>
      <w:r>
        <w:rPr>
          <w:kern w:val="0"/>
        </w:rPr>
        <w:t xml:space="preserve">observational studies with meta-analysis. </w:t>
      </w:r>
      <w:r>
        <w:rPr>
          <w:i/>
          <w:iCs/>
          <w:kern w:val="0"/>
        </w:rPr>
        <w:t>British Medical Journal</w:t>
      </w:r>
      <w:r>
        <w:rPr>
          <w:kern w:val="0"/>
        </w:rPr>
        <w:t xml:space="preserve">, </w:t>
      </w:r>
      <w:r>
        <w:rPr>
          <w:b/>
          <w:bCs/>
          <w:kern w:val="0"/>
        </w:rPr>
        <w:t>340</w:t>
      </w:r>
      <w:r>
        <w:rPr>
          <w:rFonts w:hint="eastAsia"/>
          <w:kern w:val="0"/>
        </w:rPr>
        <w:t xml:space="preserve">, </w:t>
      </w:r>
      <w:r w:rsidRPr="00C22689">
        <w:rPr>
          <w:kern w:val="0"/>
        </w:rPr>
        <w:t>Article Number: b5569</w:t>
      </w:r>
      <w:r>
        <w:rPr>
          <w:rFonts w:hint="eastAsia"/>
          <w:kern w:val="0"/>
        </w:rPr>
        <w:t>.</w:t>
      </w:r>
    </w:p>
    <w:p w:rsidR="00A46382" w:rsidRDefault="00A46382" w:rsidP="00A46382">
      <w:pPr>
        <w:pStyle w:val="a3"/>
      </w:pPr>
      <w:r>
        <w:t>Full Text:</w:t>
      </w:r>
      <w:r w:rsidRPr="00FC7835">
        <w:t xml:space="preserve"> </w:t>
      </w:r>
      <w:hyperlink r:id="rId2057" w:history="1">
        <w:r w:rsidRPr="00694CF9">
          <w:rPr>
            <w:rStyle w:val="a5"/>
          </w:rPr>
          <w:t>2010\Bri Med J340, b5569.pdf</w:t>
        </w:r>
      </w:hyperlink>
    </w:p>
    <w:p w:rsidR="001217DA" w:rsidRDefault="001217DA" w:rsidP="001217DA">
      <w:pPr>
        <w:pStyle w:val="a3"/>
        <w:rPr>
          <w:kern w:val="0"/>
        </w:rPr>
      </w:pPr>
      <w:r>
        <w:rPr>
          <w:kern w:val="0"/>
        </w:rPr>
        <w:lastRenderedPageBreak/>
        <w:t>Abstract: Objective To systematically review</w:t>
      </w:r>
      <w:r w:rsidR="003A1917">
        <w:rPr>
          <w:kern w:val="0"/>
        </w:rPr>
        <w:t xml:space="preserve"> the </w:t>
      </w:r>
      <w:r>
        <w:rPr>
          <w:kern w:val="0"/>
        </w:rPr>
        <w:t>evidence that smoking cessation after diagnosis</w:t>
      </w:r>
      <w:r w:rsidR="00427468">
        <w:rPr>
          <w:kern w:val="0"/>
        </w:rPr>
        <w:t xml:space="preserve"> of </w:t>
      </w:r>
      <w:r>
        <w:rPr>
          <w:kern w:val="0"/>
        </w:rPr>
        <w:t xml:space="preserve">a primary lung tumour affects prognosis. Design Systematic review with meta-analysis. Data sources CINAHL (from 1981), EMBASE (from 1980), </w:t>
      </w:r>
      <w:r w:rsidR="00D5664A">
        <w:rPr>
          <w:kern w:val="0"/>
        </w:rPr>
        <w:t>MEDLINE</w:t>
      </w:r>
      <w:r>
        <w:rPr>
          <w:kern w:val="0"/>
        </w:rPr>
        <w:t xml:space="preserve"> (from 1966), </w:t>
      </w:r>
      <w:r w:rsidR="00D5664A">
        <w:rPr>
          <w:kern w:val="0"/>
        </w:rPr>
        <w:t>Web</w:t>
      </w:r>
      <w:r w:rsidR="00427468">
        <w:rPr>
          <w:kern w:val="0"/>
        </w:rPr>
        <w:t xml:space="preserve"> of </w:t>
      </w:r>
      <w:r w:rsidR="00D5664A">
        <w:rPr>
          <w:kern w:val="0"/>
        </w:rPr>
        <w:t>Science</w:t>
      </w:r>
      <w:r>
        <w:rPr>
          <w:kern w:val="0"/>
        </w:rPr>
        <w:t xml:space="preserve"> (from 1966), CENTRAL (from 1977) to December 2008,</w:t>
      </w:r>
      <w:r w:rsidR="005853A9">
        <w:rPr>
          <w:kern w:val="0"/>
        </w:rPr>
        <w:t xml:space="preserve"> and </w:t>
      </w:r>
      <w:r>
        <w:rPr>
          <w:kern w:val="0"/>
        </w:rPr>
        <w:t>reference lists</w:t>
      </w:r>
      <w:r w:rsidR="00427468">
        <w:rPr>
          <w:kern w:val="0"/>
        </w:rPr>
        <w:t xml:space="preserve"> of </w:t>
      </w:r>
      <w:r>
        <w:rPr>
          <w:kern w:val="0"/>
        </w:rPr>
        <w:t>included studies. Study selection Randomised controlled trials or observational longitudinal studies that measured</w:t>
      </w:r>
      <w:r w:rsidR="003A1917">
        <w:rPr>
          <w:kern w:val="0"/>
        </w:rPr>
        <w:t xml:space="preserve"> the </w:t>
      </w:r>
      <w:r>
        <w:rPr>
          <w:kern w:val="0"/>
        </w:rPr>
        <w:t>effect</w:t>
      </w:r>
      <w:r w:rsidR="00427468">
        <w:rPr>
          <w:kern w:val="0"/>
        </w:rPr>
        <w:t xml:space="preserve"> of </w:t>
      </w:r>
      <w:r>
        <w:rPr>
          <w:kern w:val="0"/>
        </w:rPr>
        <w:t>quitting smoking after diagnosis</w:t>
      </w:r>
      <w:r w:rsidR="00427468">
        <w:rPr>
          <w:kern w:val="0"/>
        </w:rPr>
        <w:t xml:space="preserve"> of </w:t>
      </w:r>
      <w:r>
        <w:rPr>
          <w:kern w:val="0"/>
        </w:rPr>
        <w:t>lung cancer on prognostic outcomes, regardless</w:t>
      </w:r>
      <w:r w:rsidR="00427468">
        <w:rPr>
          <w:kern w:val="0"/>
        </w:rPr>
        <w:t xml:space="preserve"> of </w:t>
      </w:r>
      <w:r>
        <w:rPr>
          <w:kern w:val="0"/>
        </w:rPr>
        <w:t>stage at presentation or tumour histology, were included. Data extraction Two researchers independently identified studies for inclusion</w:t>
      </w:r>
      <w:r w:rsidR="005853A9">
        <w:rPr>
          <w:kern w:val="0"/>
        </w:rPr>
        <w:t xml:space="preserve"> and </w:t>
      </w:r>
      <w:r>
        <w:rPr>
          <w:kern w:val="0"/>
        </w:rPr>
        <w:t>extracted data. Estimates were combined by using a random effects model,</w:t>
      </w:r>
      <w:r w:rsidR="005853A9">
        <w:rPr>
          <w:kern w:val="0"/>
        </w:rPr>
        <w:t xml:space="preserve"> and </w:t>
      </w:r>
      <w:r w:rsidR="003A1917">
        <w:rPr>
          <w:kern w:val="0"/>
        </w:rPr>
        <w:t xml:space="preserve">the </w:t>
      </w:r>
      <w:r>
        <w:rPr>
          <w:kern w:val="0"/>
        </w:rPr>
        <w:t>I(2) statistic was used to examine heterogeneity. Life tables were used to model five year survival for early stage non-small cell lung cancer</w:t>
      </w:r>
      <w:r w:rsidR="005853A9">
        <w:rPr>
          <w:kern w:val="0"/>
        </w:rPr>
        <w:t xml:space="preserve"> and </w:t>
      </w:r>
      <w:r>
        <w:rPr>
          <w:kern w:val="0"/>
        </w:rPr>
        <w:t>limited stage small cell lung cancer, using death rates for continuing smokers</w:t>
      </w:r>
      <w:r w:rsidR="005853A9">
        <w:rPr>
          <w:kern w:val="0"/>
        </w:rPr>
        <w:t xml:space="preserve"> and </w:t>
      </w:r>
      <w:r>
        <w:rPr>
          <w:kern w:val="0"/>
        </w:rPr>
        <w:t>quitters obtained from this review. Results In 9/10 included studies, most patients studied were diagnosed as having an early stage lung tumour. Continued smoking was associated with a significantly increased risk</w:t>
      </w:r>
      <w:r w:rsidR="00427468">
        <w:rPr>
          <w:kern w:val="0"/>
        </w:rPr>
        <w:t xml:space="preserve"> of </w:t>
      </w:r>
      <w:r>
        <w:rPr>
          <w:kern w:val="0"/>
        </w:rPr>
        <w:t>all cause mortality (hazard ratio 2.94, 95% confidence interval 1.15 to 7.54)</w:t>
      </w:r>
      <w:r w:rsidR="005853A9">
        <w:rPr>
          <w:kern w:val="0"/>
        </w:rPr>
        <w:t xml:space="preserve"> and </w:t>
      </w:r>
      <w:r>
        <w:rPr>
          <w:kern w:val="0"/>
        </w:rPr>
        <w:t>recurrence (1.86, 1.01 to 3.41) in early stage non-small cell lung cancer</w:t>
      </w:r>
      <w:r w:rsidR="005853A9">
        <w:rPr>
          <w:kern w:val="0"/>
        </w:rPr>
        <w:t xml:space="preserve"> and</w:t>
      </w:r>
      <w:r w:rsidR="00427468">
        <w:rPr>
          <w:kern w:val="0"/>
        </w:rPr>
        <w:t xml:space="preserve"> of </w:t>
      </w:r>
      <w:r>
        <w:rPr>
          <w:kern w:val="0"/>
        </w:rPr>
        <w:t>all cause mortality (1.86, 1.33 to 2.59), development</w:t>
      </w:r>
      <w:r w:rsidR="00427468">
        <w:rPr>
          <w:kern w:val="0"/>
        </w:rPr>
        <w:t xml:space="preserve"> of </w:t>
      </w:r>
      <w:r>
        <w:rPr>
          <w:kern w:val="0"/>
        </w:rPr>
        <w:t>a second primary tumour (4.31, 1.09 to 16.98),</w:t>
      </w:r>
      <w:r w:rsidR="005853A9">
        <w:rPr>
          <w:kern w:val="0"/>
        </w:rPr>
        <w:t xml:space="preserve"> and </w:t>
      </w:r>
      <w:r>
        <w:rPr>
          <w:kern w:val="0"/>
        </w:rPr>
        <w:t>recurrence (1.26, 1.06 to 1.50) in limited stage small cell lung cancer. No study contained data on</w:t>
      </w:r>
      <w:r w:rsidR="003A1917">
        <w:rPr>
          <w:kern w:val="0"/>
        </w:rPr>
        <w:t xml:space="preserve"> the </w:t>
      </w:r>
      <w:r>
        <w:rPr>
          <w:kern w:val="0"/>
        </w:rPr>
        <w:t>effect</w:t>
      </w:r>
      <w:r w:rsidR="00427468">
        <w:rPr>
          <w:kern w:val="0"/>
        </w:rPr>
        <w:t xml:space="preserve"> of </w:t>
      </w:r>
      <w:r>
        <w:rPr>
          <w:kern w:val="0"/>
        </w:rPr>
        <w:t>quitting smoking on cancer specific mortality or on development</w:t>
      </w:r>
      <w:r w:rsidR="00427468">
        <w:rPr>
          <w:kern w:val="0"/>
        </w:rPr>
        <w:t xml:space="preserve"> of </w:t>
      </w:r>
      <w:r>
        <w:rPr>
          <w:kern w:val="0"/>
        </w:rPr>
        <w:t>a second primary tumour in non-small cell lung cancer. Life table modelling on</w:t>
      </w:r>
      <w:r w:rsidR="003A1917">
        <w:rPr>
          <w:kern w:val="0"/>
        </w:rPr>
        <w:t xml:space="preserve"> the </w:t>
      </w:r>
      <w:r>
        <w:rPr>
          <w:kern w:val="0"/>
        </w:rPr>
        <w:t>basis</w:t>
      </w:r>
      <w:r w:rsidR="00427468">
        <w:rPr>
          <w:kern w:val="0"/>
        </w:rPr>
        <w:t xml:space="preserve"> of </w:t>
      </w:r>
      <w:r>
        <w:rPr>
          <w:kern w:val="0"/>
        </w:rPr>
        <w:t>these data estimated 33% five year survival in 65 year old patients with early stage non-small cell lung cancer who continued to smoke compared with 70% in those who quit smoking. In limited stage small cell lung cancer, an estimated 29%</w:t>
      </w:r>
      <w:r w:rsidR="00427468">
        <w:rPr>
          <w:kern w:val="0"/>
        </w:rPr>
        <w:t xml:space="preserve"> of </w:t>
      </w:r>
      <w:r>
        <w:rPr>
          <w:kern w:val="0"/>
        </w:rPr>
        <w:t>continuing smokers would survive for five years compared with 63%</w:t>
      </w:r>
      <w:r w:rsidR="00427468">
        <w:rPr>
          <w:kern w:val="0"/>
        </w:rPr>
        <w:t xml:space="preserve"> of </w:t>
      </w:r>
      <w:r>
        <w:rPr>
          <w:kern w:val="0"/>
        </w:rPr>
        <w:t>quitters on</w:t>
      </w:r>
      <w:r w:rsidR="003A1917">
        <w:rPr>
          <w:kern w:val="0"/>
        </w:rPr>
        <w:t xml:space="preserve"> the </w:t>
      </w:r>
      <w:r>
        <w:rPr>
          <w:kern w:val="0"/>
        </w:rPr>
        <w:t>basis</w:t>
      </w:r>
      <w:r w:rsidR="00427468">
        <w:rPr>
          <w:kern w:val="0"/>
        </w:rPr>
        <w:t xml:space="preserve"> of </w:t>
      </w:r>
      <w:r w:rsidR="003A1917">
        <w:rPr>
          <w:kern w:val="0"/>
        </w:rPr>
        <w:t xml:space="preserve">the </w:t>
      </w:r>
      <w:r>
        <w:rPr>
          <w:kern w:val="0"/>
        </w:rPr>
        <w:t>data from this review. Conclusions This review provides preliminary evidence that smoking cessation after diagnosis</w:t>
      </w:r>
      <w:r w:rsidR="00427468">
        <w:rPr>
          <w:kern w:val="0"/>
        </w:rPr>
        <w:t xml:space="preserve"> of </w:t>
      </w:r>
      <w:r>
        <w:rPr>
          <w:kern w:val="0"/>
        </w:rPr>
        <w:t>early stage lung cancer improves prognostic outcomes. From life table modelling,</w:t>
      </w:r>
      <w:r w:rsidR="003A1917">
        <w:rPr>
          <w:kern w:val="0"/>
        </w:rPr>
        <w:t xml:space="preserve"> the </w:t>
      </w:r>
      <w:r>
        <w:rPr>
          <w:kern w:val="0"/>
        </w:rPr>
        <w:t>estimated number</w:t>
      </w:r>
      <w:r w:rsidR="00427468">
        <w:rPr>
          <w:kern w:val="0"/>
        </w:rPr>
        <w:t xml:space="preserve"> of </w:t>
      </w:r>
      <w:r>
        <w:rPr>
          <w:kern w:val="0"/>
        </w:rPr>
        <w:t>deaths prevented is larger than would be expected from reduction</w:t>
      </w:r>
      <w:r w:rsidR="00427468">
        <w:rPr>
          <w:kern w:val="0"/>
        </w:rPr>
        <w:t xml:space="preserve"> of </w:t>
      </w:r>
      <w:r>
        <w:rPr>
          <w:kern w:val="0"/>
        </w:rPr>
        <w:t>cardiorespiratory deaths after smoking cessation, so most</w:t>
      </w:r>
      <w:r w:rsidR="00427468">
        <w:rPr>
          <w:kern w:val="0"/>
        </w:rPr>
        <w:t xml:space="preserve"> of </w:t>
      </w:r>
      <w:r w:rsidR="003A1917">
        <w:rPr>
          <w:kern w:val="0"/>
        </w:rPr>
        <w:t xml:space="preserve">the </w:t>
      </w:r>
      <w:r>
        <w:rPr>
          <w:kern w:val="0"/>
        </w:rPr>
        <w:t>mortality gain is likely to be due to reduced cancer progression</w:t>
      </w:r>
      <w:r w:rsidR="00A37C1D">
        <w:rPr>
          <w:kern w:val="0"/>
        </w:rPr>
        <w:t>. The</w:t>
      </w:r>
      <w:r>
        <w:rPr>
          <w:kern w:val="0"/>
        </w:rPr>
        <w:t>se findings indicate that offering smoking cessation treatment to patients presenting with early stage lung cancer may be beneficial.</w:t>
      </w:r>
    </w:p>
    <w:p w:rsidR="001217DA" w:rsidRDefault="001217DA" w:rsidP="001217DA">
      <w:pPr>
        <w:pStyle w:val="a3"/>
        <w:rPr>
          <w:kern w:val="0"/>
        </w:rPr>
      </w:pPr>
      <w:r>
        <w:rPr>
          <w:kern w:val="0"/>
        </w:rPr>
        <w:t xml:space="preserve">Keywords: 2nd Primary Cancers, Abstinence, Angiogenesis, Behavior, Cancer, Chemoradiotherapy, Cigarette-Smoking, Coronary-Heart-Disease, Development, Diagnosis, Longitudinal Studies, Lung Cancer, Meta-Analysis, Model, Mortality, Neck-Cancer, Non-Small Cell Lung, Observational Studies, Outcomes, Primary, Prognosis, Ratio, Recurrence, Researchers, Review, Risk, Science, Smoking, Survival, Systematic, Systematic Review, Treatment, </w:t>
      </w:r>
      <w:r w:rsidR="00D5664A">
        <w:rPr>
          <w:kern w:val="0"/>
        </w:rPr>
        <w:t>Web</w:t>
      </w:r>
      <w:r w:rsidR="00427468">
        <w:rPr>
          <w:kern w:val="0"/>
        </w:rPr>
        <w:t xml:space="preserve"> of </w:t>
      </w:r>
      <w:r w:rsidR="00D5664A">
        <w:rPr>
          <w:kern w:val="0"/>
        </w:rPr>
        <w:t>Science</w:t>
      </w:r>
    </w:p>
    <w:p w:rsidR="001217DA" w:rsidRDefault="001217DA" w:rsidP="001217DA">
      <w:pPr>
        <w:pStyle w:val="a3"/>
        <w:rPr>
          <w:kern w:val="0"/>
        </w:rPr>
      </w:pPr>
      <w:r>
        <w:rPr>
          <w:rFonts w:hint="eastAsia"/>
          <w:kern w:val="0"/>
        </w:rPr>
        <w:lastRenderedPageBreak/>
        <w:t xml:space="preserve">? </w:t>
      </w:r>
      <w:r>
        <w:rPr>
          <w:kern w:val="0"/>
        </w:rPr>
        <w:t>Meier, P., Knapp, G., Tamhane, U., Chaturvedi, S.</w:t>
      </w:r>
      <w:r w:rsidR="005853A9">
        <w:rPr>
          <w:kern w:val="0"/>
        </w:rPr>
        <w:t xml:space="preserve"> and </w:t>
      </w:r>
      <w:r>
        <w:rPr>
          <w:kern w:val="0"/>
        </w:rPr>
        <w:t>Gurm, H.S. (2010), Short term</w:t>
      </w:r>
      <w:r w:rsidR="005853A9">
        <w:rPr>
          <w:kern w:val="0"/>
        </w:rPr>
        <w:t xml:space="preserve"> and </w:t>
      </w:r>
      <w:r>
        <w:rPr>
          <w:kern w:val="0"/>
        </w:rPr>
        <w:t>intermediate term comparison</w:t>
      </w:r>
      <w:r w:rsidR="00427468">
        <w:rPr>
          <w:kern w:val="0"/>
        </w:rPr>
        <w:t xml:space="preserve"> of </w:t>
      </w:r>
      <w:r>
        <w:rPr>
          <w:kern w:val="0"/>
        </w:rPr>
        <w:t>endarterectomy versus stenting for carotid artery stenosis: Systematic review</w:t>
      </w:r>
      <w:r w:rsidR="005853A9">
        <w:rPr>
          <w:kern w:val="0"/>
        </w:rPr>
        <w:t xml:space="preserve"> and </w:t>
      </w:r>
      <w:r>
        <w:rPr>
          <w:kern w:val="0"/>
        </w:rPr>
        <w:t>meta-analysis</w:t>
      </w:r>
      <w:r w:rsidR="00427468">
        <w:rPr>
          <w:kern w:val="0"/>
        </w:rPr>
        <w:t xml:space="preserve"> of </w:t>
      </w:r>
      <w:r>
        <w:rPr>
          <w:kern w:val="0"/>
        </w:rPr>
        <w:t xml:space="preserve">randomised controlled clinical trials. </w:t>
      </w:r>
      <w:r>
        <w:rPr>
          <w:i/>
          <w:iCs/>
          <w:kern w:val="0"/>
        </w:rPr>
        <w:t>British Medical Journal</w:t>
      </w:r>
      <w:r>
        <w:rPr>
          <w:kern w:val="0"/>
        </w:rPr>
        <w:t xml:space="preserve">, </w:t>
      </w:r>
      <w:r>
        <w:rPr>
          <w:b/>
          <w:bCs/>
          <w:kern w:val="0"/>
        </w:rPr>
        <w:t>340</w:t>
      </w:r>
      <w:r>
        <w:rPr>
          <w:rFonts w:hint="eastAsia"/>
          <w:kern w:val="0"/>
        </w:rPr>
        <w:t xml:space="preserve">, </w:t>
      </w:r>
      <w:r w:rsidRPr="00C22689">
        <w:rPr>
          <w:kern w:val="0"/>
        </w:rPr>
        <w:t>Article Number: c467</w:t>
      </w:r>
      <w:r>
        <w:rPr>
          <w:rFonts w:hint="eastAsia"/>
          <w:kern w:val="0"/>
        </w:rPr>
        <w:t>.</w:t>
      </w:r>
    </w:p>
    <w:p w:rsidR="00A46382" w:rsidRDefault="00A46382" w:rsidP="00A46382">
      <w:pPr>
        <w:pStyle w:val="a3"/>
      </w:pPr>
      <w:r>
        <w:t>Full Text:</w:t>
      </w:r>
      <w:r w:rsidRPr="00FC7835">
        <w:t xml:space="preserve"> </w:t>
      </w:r>
      <w:hyperlink r:id="rId2058" w:history="1">
        <w:r w:rsidRPr="00FD2780">
          <w:rPr>
            <w:rStyle w:val="a5"/>
          </w:rPr>
          <w:t>2010\Bri Med J340, c467.pdf</w:t>
        </w:r>
      </w:hyperlink>
    </w:p>
    <w:p w:rsidR="001217DA" w:rsidRDefault="001217DA" w:rsidP="001217DA">
      <w:pPr>
        <w:pStyle w:val="a3"/>
        <w:rPr>
          <w:kern w:val="0"/>
        </w:rPr>
      </w:pPr>
      <w:r>
        <w:rPr>
          <w:kern w:val="0"/>
        </w:rPr>
        <w:t>Abstract: Objective To evaluate</w:t>
      </w:r>
      <w:r w:rsidR="003A1917">
        <w:rPr>
          <w:kern w:val="0"/>
        </w:rPr>
        <w:t xml:space="preserve"> the </w:t>
      </w:r>
      <w:r>
        <w:rPr>
          <w:kern w:val="0"/>
        </w:rPr>
        <w:t>relative short term safety</w:t>
      </w:r>
      <w:r w:rsidR="005853A9">
        <w:rPr>
          <w:kern w:val="0"/>
        </w:rPr>
        <w:t xml:space="preserve"> and </w:t>
      </w:r>
      <w:r>
        <w:rPr>
          <w:kern w:val="0"/>
        </w:rPr>
        <w:t>intermediate term efficacy</w:t>
      </w:r>
      <w:r w:rsidR="00427468">
        <w:rPr>
          <w:kern w:val="0"/>
        </w:rPr>
        <w:t xml:space="preserve"> of </w:t>
      </w:r>
      <w:r>
        <w:rPr>
          <w:kern w:val="0"/>
        </w:rPr>
        <w:t>carotid endarterectomy versus carotid artery stenting. Design Systematic review</w:t>
      </w:r>
      <w:r w:rsidR="005853A9">
        <w:rPr>
          <w:kern w:val="0"/>
        </w:rPr>
        <w:t xml:space="preserve"> and </w:t>
      </w:r>
      <w:r>
        <w:rPr>
          <w:kern w:val="0"/>
        </w:rPr>
        <w:t xml:space="preserve">meta-analysis. Data sources BIOSIS, EMBASE, </w:t>
      </w:r>
      <w:r w:rsidR="00D5664A">
        <w:rPr>
          <w:kern w:val="0"/>
        </w:rPr>
        <w:t>MEDLINE</w:t>
      </w:r>
      <w:r>
        <w:rPr>
          <w:kern w:val="0"/>
        </w:rPr>
        <w:t>,</w:t>
      </w:r>
      <w:r w:rsidR="003A1917">
        <w:rPr>
          <w:kern w:val="0"/>
        </w:rPr>
        <w:t xml:space="preserve"> the </w:t>
      </w:r>
      <w:r>
        <w:rPr>
          <w:kern w:val="0"/>
        </w:rPr>
        <w:t>Cochrane central register</w:t>
      </w:r>
      <w:r w:rsidR="00427468">
        <w:rPr>
          <w:kern w:val="0"/>
        </w:rPr>
        <w:t xml:space="preserve"> of </w:t>
      </w:r>
      <w:r>
        <w:rPr>
          <w:kern w:val="0"/>
        </w:rPr>
        <w:t xml:space="preserve">controlled trials, International Pharmaceutical Abstracts database, </w:t>
      </w:r>
      <w:r w:rsidR="00730B6D">
        <w:rPr>
          <w:kern w:val="0"/>
        </w:rPr>
        <w:t xml:space="preserve">ISI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Google scholar</w:t>
      </w:r>
      <w:r w:rsidR="005853A9">
        <w:rPr>
          <w:kern w:val="0"/>
        </w:rPr>
        <w:t xml:space="preserve"> and </w:t>
      </w:r>
      <w:r>
        <w:rPr>
          <w:kern w:val="0"/>
        </w:rPr>
        <w:t>bibliographies, from 1 January 1990 to 25 July 2009. Study selection Randomised controlled trials comparing carotid endarterectomy with carotid artery stenting in patients with carotid artery stenosis with or without symptoms. Data extraction Primary end point was a composite</w:t>
      </w:r>
      <w:r w:rsidR="00427468">
        <w:rPr>
          <w:kern w:val="0"/>
        </w:rPr>
        <w:t xml:space="preserve"> of </w:t>
      </w:r>
      <w:r>
        <w:rPr>
          <w:kern w:val="0"/>
        </w:rPr>
        <w:t>mortality or stroke. Secondary end points were death, stroke, myocardial infarction, or facial neuropathy (as individual end points),</w:t>
      </w:r>
      <w:r w:rsidR="005853A9">
        <w:rPr>
          <w:kern w:val="0"/>
        </w:rPr>
        <w:t xml:space="preserve"> and </w:t>
      </w:r>
      <w:r>
        <w:rPr>
          <w:kern w:val="0"/>
        </w:rPr>
        <w:t>mortality or disabling stroke (as a composite end point). Data synthesis 11 trials were included (4796 patients); 10 reported on short term outcomes (n=4709)</w:t>
      </w:r>
      <w:r w:rsidR="005853A9">
        <w:rPr>
          <w:kern w:val="0"/>
        </w:rPr>
        <w:t xml:space="preserve"> and </w:t>
      </w:r>
      <w:r>
        <w:rPr>
          <w:kern w:val="0"/>
        </w:rPr>
        <w:t>nine on intermediate term outcomes (1-4 years)</w:t>
      </w:r>
      <w:r w:rsidR="00A37C1D">
        <w:rPr>
          <w:kern w:val="0"/>
        </w:rPr>
        <w:t>. The</w:t>
      </w:r>
      <w:r w:rsidR="003A1917">
        <w:rPr>
          <w:kern w:val="0"/>
        </w:rPr>
        <w:t xml:space="preserve"> </w:t>
      </w:r>
      <w:r>
        <w:rPr>
          <w:kern w:val="0"/>
        </w:rPr>
        <w:t>periprocedural risk</w:t>
      </w:r>
      <w:r w:rsidR="00427468">
        <w:rPr>
          <w:kern w:val="0"/>
        </w:rPr>
        <w:t xml:space="preserve"> of </w:t>
      </w:r>
      <w:r>
        <w:rPr>
          <w:kern w:val="0"/>
        </w:rPr>
        <w:t>mortality or stroke was lower for carotid endarterectomy (odds ratio 0.67, 95% confidence interval 0.47 to 0.95; P=0.025) than for carotid stenting, mainly because</w:t>
      </w:r>
      <w:r w:rsidR="00427468">
        <w:rPr>
          <w:kern w:val="0"/>
        </w:rPr>
        <w:t xml:space="preserve"> of </w:t>
      </w:r>
      <w:r>
        <w:rPr>
          <w:kern w:val="0"/>
        </w:rPr>
        <w:t>a decreased risk</w:t>
      </w:r>
      <w:r w:rsidR="00427468">
        <w:rPr>
          <w:kern w:val="0"/>
        </w:rPr>
        <w:t xml:space="preserve"> of </w:t>
      </w:r>
      <w:r>
        <w:rPr>
          <w:kern w:val="0"/>
        </w:rPr>
        <w:t>stroke (0.65, 0.43 to 1.00; P=0.049), whereas</w:t>
      </w:r>
      <w:r w:rsidR="003A1917">
        <w:rPr>
          <w:kern w:val="0"/>
        </w:rPr>
        <w:t xml:space="preserve"> the </w:t>
      </w:r>
      <w:r>
        <w:rPr>
          <w:kern w:val="0"/>
        </w:rPr>
        <w:t>risk</w:t>
      </w:r>
      <w:r w:rsidR="00427468">
        <w:rPr>
          <w:kern w:val="0"/>
        </w:rPr>
        <w:t xml:space="preserve"> of </w:t>
      </w:r>
      <w:r>
        <w:rPr>
          <w:kern w:val="0"/>
        </w:rPr>
        <w:t>death (1.14, 0.56 to 2.31; P=0.727)</w:t>
      </w:r>
      <w:r w:rsidR="005853A9">
        <w:rPr>
          <w:kern w:val="0"/>
        </w:rPr>
        <w:t xml:space="preserve"> and </w:t>
      </w:r>
      <w:r w:rsidR="003A1917">
        <w:rPr>
          <w:kern w:val="0"/>
        </w:rPr>
        <w:t xml:space="preserve">the </w:t>
      </w:r>
      <w:r>
        <w:rPr>
          <w:kern w:val="0"/>
        </w:rPr>
        <w:t>composite end point mortality or disabling stroke (0.74, 0.53 to 1.05; P=0.088) did not differ significantly</w:t>
      </w:r>
      <w:r w:rsidR="00A37C1D">
        <w:rPr>
          <w:kern w:val="0"/>
        </w:rPr>
        <w:t>. The</w:t>
      </w:r>
      <w:r w:rsidR="003A1917">
        <w:rPr>
          <w:kern w:val="0"/>
        </w:rPr>
        <w:t xml:space="preserve"> </w:t>
      </w:r>
      <w:r>
        <w:rPr>
          <w:kern w:val="0"/>
        </w:rPr>
        <w:t>odds</w:t>
      </w:r>
      <w:r w:rsidR="00427468">
        <w:rPr>
          <w:kern w:val="0"/>
        </w:rPr>
        <w:t xml:space="preserve"> of </w:t>
      </w:r>
      <w:r>
        <w:rPr>
          <w:kern w:val="0"/>
        </w:rPr>
        <w:t>periprocedural myocardial infarction (2.69, 1.06 to 6.79; P=0.036) or cranial nerve injury (10.2, 4.0 to 26.1; P&lt;0.001) was higher in</w:t>
      </w:r>
      <w:r w:rsidR="003A1917">
        <w:rPr>
          <w:kern w:val="0"/>
        </w:rPr>
        <w:t xml:space="preserve"> the </w:t>
      </w:r>
      <w:r>
        <w:rPr>
          <w:kern w:val="0"/>
        </w:rPr>
        <w:t>carotid endarterectomy group than in</w:t>
      </w:r>
      <w:r w:rsidR="003A1917">
        <w:rPr>
          <w:kern w:val="0"/>
        </w:rPr>
        <w:t xml:space="preserve"> the </w:t>
      </w:r>
      <w:r>
        <w:rPr>
          <w:kern w:val="0"/>
        </w:rPr>
        <w:t>carotid stenting group. In</w:t>
      </w:r>
      <w:r w:rsidR="003A1917">
        <w:rPr>
          <w:kern w:val="0"/>
        </w:rPr>
        <w:t xml:space="preserve"> the </w:t>
      </w:r>
      <w:r>
        <w:rPr>
          <w:kern w:val="0"/>
        </w:rPr>
        <w:t>intermediate term,</w:t>
      </w:r>
      <w:r w:rsidR="003A1917">
        <w:rPr>
          <w:kern w:val="0"/>
        </w:rPr>
        <w:t xml:space="preserve"> the </w:t>
      </w:r>
      <w:r>
        <w:rPr>
          <w:kern w:val="0"/>
        </w:rPr>
        <w:t>two treatments did not differ significantly for stroke or death (hazard ratio 0.90, 95% confidence interval 0.74 to 1.1; P=0.314). Conclusions Carotid endarterectomy was found to be superior to carotid artery stenting for short term outcomes but</w:t>
      </w:r>
      <w:r w:rsidR="003A1917">
        <w:rPr>
          <w:kern w:val="0"/>
        </w:rPr>
        <w:t xml:space="preserve"> the </w:t>
      </w:r>
      <w:r>
        <w:rPr>
          <w:kern w:val="0"/>
        </w:rPr>
        <w:t>difference was not significant for intermediate term outcomes; this difference was mainly driven by non-disabling stroke. Significantly fewer cranial nerve injuries</w:t>
      </w:r>
      <w:r w:rsidR="005853A9">
        <w:rPr>
          <w:kern w:val="0"/>
        </w:rPr>
        <w:t xml:space="preserve"> and </w:t>
      </w:r>
      <w:r>
        <w:rPr>
          <w:kern w:val="0"/>
        </w:rPr>
        <w:t>myocardial infarctions occurred with carotid artery stenting.</w:t>
      </w:r>
    </w:p>
    <w:p w:rsidR="001217DA" w:rsidRDefault="001217DA" w:rsidP="001217DA">
      <w:pPr>
        <w:pStyle w:val="a3"/>
        <w:rPr>
          <w:kern w:val="0"/>
        </w:rPr>
      </w:pPr>
      <w:r>
        <w:rPr>
          <w:kern w:val="0"/>
        </w:rPr>
        <w:t>Keywords: Angioplasty, Benefit, Clinical Trials, Cochrane, Controlled Clinical Trials, Efficacy, Google Scholar, High-Risk Patients, Injury</w:t>
      </w:r>
      <w:r w:rsidR="00D5664A">
        <w:rPr>
          <w:kern w:val="0"/>
        </w:rPr>
        <w:t>, ISI,</w:t>
      </w:r>
      <w:r>
        <w:rPr>
          <w:kern w:val="0"/>
        </w:rPr>
        <w:t xml:space="preserve"> Meta-Analysis, Mortality, Myocardial Infarction, Outcomes, Points, Primary, Publication Bias, Ratio, Registry, Review, Risk, Safety, Science, Stroke, Symptoms, Systematic, Systematic Review, </w:t>
      </w:r>
      <w:r w:rsidR="00D5664A">
        <w:rPr>
          <w:kern w:val="0"/>
        </w:rPr>
        <w:t>Web</w:t>
      </w:r>
      <w:r w:rsidR="00427468">
        <w:rPr>
          <w:kern w:val="0"/>
        </w:rPr>
        <w:t xml:space="preserve"> of </w:t>
      </w:r>
      <w:r w:rsidR="00D5664A">
        <w:rPr>
          <w:kern w:val="0"/>
        </w:rPr>
        <w:t>Science</w:t>
      </w:r>
    </w:p>
    <w:p w:rsidR="001217DA" w:rsidRDefault="001217DA" w:rsidP="001217DA">
      <w:pPr>
        <w:pStyle w:val="a3"/>
        <w:rPr>
          <w:kern w:val="0"/>
        </w:rPr>
      </w:pPr>
      <w:r>
        <w:rPr>
          <w:rFonts w:hint="eastAsia"/>
          <w:kern w:val="0"/>
        </w:rPr>
        <w:t xml:space="preserve">? </w:t>
      </w:r>
      <w:r>
        <w:rPr>
          <w:kern w:val="0"/>
        </w:rPr>
        <w:t>Wang, A.T., Mccoy, C.P., Murad, M.H.</w:t>
      </w:r>
      <w:r w:rsidR="005853A9">
        <w:rPr>
          <w:kern w:val="0"/>
        </w:rPr>
        <w:t xml:space="preserve"> and </w:t>
      </w:r>
      <w:r>
        <w:rPr>
          <w:kern w:val="0"/>
        </w:rPr>
        <w:t>Montori, V.M. (2010), Association between industry affiliation</w:t>
      </w:r>
      <w:r w:rsidR="005853A9">
        <w:rPr>
          <w:kern w:val="0"/>
        </w:rPr>
        <w:t xml:space="preserve"> and </w:t>
      </w:r>
      <w:r>
        <w:rPr>
          <w:kern w:val="0"/>
        </w:rPr>
        <w:t xml:space="preserve">position on cardiovascular risk with rosiglitazone: </w:t>
      </w:r>
      <w:r>
        <w:rPr>
          <w:kern w:val="0"/>
        </w:rPr>
        <w:lastRenderedPageBreak/>
        <w:t xml:space="preserve">Cross sectional systematic review. </w:t>
      </w:r>
      <w:r>
        <w:rPr>
          <w:i/>
          <w:iCs/>
          <w:kern w:val="0"/>
        </w:rPr>
        <w:t>British Medical Journal</w:t>
      </w:r>
      <w:r>
        <w:rPr>
          <w:kern w:val="0"/>
        </w:rPr>
        <w:t xml:space="preserve">, </w:t>
      </w:r>
      <w:r>
        <w:rPr>
          <w:b/>
          <w:bCs/>
          <w:kern w:val="0"/>
        </w:rPr>
        <w:t>340</w:t>
      </w:r>
      <w:r>
        <w:rPr>
          <w:rFonts w:hint="eastAsia"/>
          <w:kern w:val="0"/>
        </w:rPr>
        <w:t xml:space="preserve">, </w:t>
      </w:r>
      <w:r w:rsidRPr="00C22689">
        <w:rPr>
          <w:kern w:val="0"/>
        </w:rPr>
        <w:t>Article Number: c1344</w:t>
      </w:r>
      <w:r>
        <w:rPr>
          <w:rFonts w:hint="eastAsia"/>
          <w:kern w:val="0"/>
        </w:rPr>
        <w:t>.</w:t>
      </w:r>
    </w:p>
    <w:p w:rsidR="00A46382" w:rsidRDefault="00A46382" w:rsidP="00A46382">
      <w:pPr>
        <w:pStyle w:val="a3"/>
      </w:pPr>
      <w:r>
        <w:t>Full Text:</w:t>
      </w:r>
      <w:r w:rsidRPr="00FC7835">
        <w:t xml:space="preserve"> </w:t>
      </w:r>
      <w:hyperlink r:id="rId2059" w:history="1">
        <w:r w:rsidRPr="00FD2780">
          <w:rPr>
            <w:rStyle w:val="a5"/>
          </w:rPr>
          <w:t>2010\Bri Med J340, c1344.pdf</w:t>
        </w:r>
      </w:hyperlink>
    </w:p>
    <w:p w:rsidR="001217DA" w:rsidRDefault="001217DA" w:rsidP="001217DA">
      <w:pPr>
        <w:pStyle w:val="a3"/>
        <w:rPr>
          <w:kern w:val="0"/>
        </w:rPr>
      </w:pPr>
      <w:r>
        <w:rPr>
          <w:kern w:val="0"/>
        </w:rPr>
        <w:t>Abstract: Objective To explore a possible link between authors</w:t>
      </w:r>
      <w:r w:rsidR="00700038">
        <w:rPr>
          <w:kern w:val="0"/>
        </w:rPr>
        <w:t>’</w:t>
      </w:r>
      <w:r>
        <w:rPr>
          <w:kern w:val="0"/>
        </w:rPr>
        <w:t xml:space="preserve"> financial conflicts</w:t>
      </w:r>
      <w:r w:rsidR="00427468">
        <w:rPr>
          <w:kern w:val="0"/>
        </w:rPr>
        <w:t xml:space="preserve"> of </w:t>
      </w:r>
      <w:r>
        <w:rPr>
          <w:kern w:val="0"/>
        </w:rPr>
        <w:t>interest</w:t>
      </w:r>
      <w:r w:rsidR="005853A9">
        <w:rPr>
          <w:kern w:val="0"/>
        </w:rPr>
        <w:t xml:space="preserve"> and </w:t>
      </w:r>
      <w:r>
        <w:rPr>
          <w:kern w:val="0"/>
        </w:rPr>
        <w:t>their position on</w:t>
      </w:r>
      <w:r w:rsidR="003A1917">
        <w:rPr>
          <w:kern w:val="0"/>
        </w:rPr>
        <w:t xml:space="preserve"> the </w:t>
      </w:r>
      <w:r>
        <w:rPr>
          <w:kern w:val="0"/>
        </w:rPr>
        <w:t>association</w:t>
      </w:r>
      <w:r w:rsidR="00427468">
        <w:rPr>
          <w:kern w:val="0"/>
        </w:rPr>
        <w:t xml:space="preserve"> of </w:t>
      </w:r>
      <w:r>
        <w:rPr>
          <w:kern w:val="0"/>
        </w:rPr>
        <w:t>rosiglitazone with increased risk</w:t>
      </w:r>
      <w:r w:rsidR="00427468">
        <w:rPr>
          <w:kern w:val="0"/>
        </w:rPr>
        <w:t xml:space="preserve"> of </w:t>
      </w:r>
      <w:r>
        <w:rPr>
          <w:kern w:val="0"/>
        </w:rPr>
        <w:t xml:space="preserve">myocardial infarction in patients with diabetes. Data sources On 10 April 2009, we searched </w:t>
      </w:r>
      <w:r w:rsidR="00D5664A">
        <w:rPr>
          <w:kern w:val="0"/>
        </w:rPr>
        <w:t>Web</w:t>
      </w:r>
      <w:r w:rsidR="00427468">
        <w:rPr>
          <w:kern w:val="0"/>
        </w:rPr>
        <w:t xml:space="preserve"> of </w:t>
      </w:r>
      <w:r w:rsidR="00D5664A">
        <w:rPr>
          <w:kern w:val="0"/>
        </w:rPr>
        <w:t>Science</w:t>
      </w:r>
      <w:r w:rsidR="005853A9">
        <w:rPr>
          <w:kern w:val="0"/>
        </w:rPr>
        <w:t xml:space="preserve"> and </w:t>
      </w:r>
      <w:r>
        <w:rPr>
          <w:kern w:val="0"/>
        </w:rPr>
        <w:t>Scopus for articles citing</w:t>
      </w:r>
      <w:r w:rsidR="005853A9">
        <w:rPr>
          <w:kern w:val="0"/>
        </w:rPr>
        <w:t xml:space="preserve"> and </w:t>
      </w:r>
      <w:r>
        <w:rPr>
          <w:kern w:val="0"/>
        </w:rPr>
        <w:t>commenting on either</w:t>
      </w:r>
      <w:r w:rsidR="00427468">
        <w:rPr>
          <w:kern w:val="0"/>
        </w:rPr>
        <w:t xml:space="preserve"> of </w:t>
      </w:r>
      <w:r>
        <w:rPr>
          <w:kern w:val="0"/>
        </w:rPr>
        <w:t>two index publications that contributed key data to</w:t>
      </w:r>
      <w:r w:rsidR="003A1917">
        <w:rPr>
          <w:kern w:val="0"/>
        </w:rPr>
        <w:t xml:space="preserve"> the </w:t>
      </w:r>
      <w:r>
        <w:rPr>
          <w:kern w:val="0"/>
        </w:rPr>
        <w:t>controversy (a meta-analysis</w:t>
      </w:r>
      <w:r w:rsidR="00427468">
        <w:rPr>
          <w:kern w:val="0"/>
        </w:rPr>
        <w:t xml:space="preserve"> of </w:t>
      </w:r>
      <w:r>
        <w:rPr>
          <w:kern w:val="0"/>
        </w:rPr>
        <w:t>small trials</w:t>
      </w:r>
      <w:r w:rsidR="005853A9">
        <w:rPr>
          <w:kern w:val="0"/>
        </w:rPr>
        <w:t xml:space="preserve"> and </w:t>
      </w:r>
      <w:r>
        <w:rPr>
          <w:kern w:val="0"/>
        </w:rPr>
        <w:t>a subsequent large trial). Data selection Articles had to comment on rosiglitazone</w:t>
      </w:r>
      <w:r w:rsidR="005853A9">
        <w:rPr>
          <w:kern w:val="0"/>
        </w:rPr>
        <w:t xml:space="preserve"> and </w:t>
      </w:r>
      <w:r w:rsidR="003A1917">
        <w:rPr>
          <w:kern w:val="0"/>
        </w:rPr>
        <w:t xml:space="preserve">the </w:t>
      </w:r>
      <w:r>
        <w:rPr>
          <w:kern w:val="0"/>
        </w:rPr>
        <w:t>risk</w:t>
      </w:r>
      <w:r w:rsidR="00427468">
        <w:rPr>
          <w:kern w:val="0"/>
        </w:rPr>
        <w:t xml:space="preserve"> of </w:t>
      </w:r>
      <w:r>
        <w:rPr>
          <w:kern w:val="0"/>
        </w:rPr>
        <w:t>myocardial infarction. Guidelines, meta-analyses, reviews, clinical trials, letters, commentaries,</w:t>
      </w:r>
      <w:r w:rsidR="005853A9">
        <w:rPr>
          <w:kern w:val="0"/>
        </w:rPr>
        <w:t xml:space="preserve"> and </w:t>
      </w:r>
      <w:r>
        <w:rPr>
          <w:kern w:val="0"/>
        </w:rPr>
        <w:t>editorials were included. Data extraction For each article, we sought information about</w:t>
      </w:r>
      <w:r w:rsidR="003A1917">
        <w:rPr>
          <w:kern w:val="0"/>
        </w:rPr>
        <w:t xml:space="preserve"> the </w:t>
      </w:r>
      <w:r>
        <w:rPr>
          <w:kern w:val="0"/>
        </w:rPr>
        <w:t>authors</w:t>
      </w:r>
      <w:r w:rsidR="00700038">
        <w:rPr>
          <w:kern w:val="0"/>
        </w:rPr>
        <w:t>’</w:t>
      </w:r>
      <w:r>
        <w:rPr>
          <w:kern w:val="0"/>
        </w:rPr>
        <w:t xml:space="preserve"> financial conflicts</w:t>
      </w:r>
      <w:r w:rsidR="00427468">
        <w:rPr>
          <w:kern w:val="0"/>
        </w:rPr>
        <w:t xml:space="preserve"> of </w:t>
      </w:r>
      <w:r>
        <w:rPr>
          <w:kern w:val="0"/>
        </w:rPr>
        <w:t>interest in</w:t>
      </w:r>
      <w:r w:rsidR="003A1917">
        <w:rPr>
          <w:kern w:val="0"/>
        </w:rPr>
        <w:t xml:space="preserve"> the </w:t>
      </w:r>
      <w:r>
        <w:rPr>
          <w:kern w:val="0"/>
        </w:rPr>
        <w:t>report itself</w:t>
      </w:r>
      <w:r w:rsidR="005853A9">
        <w:rPr>
          <w:kern w:val="0"/>
        </w:rPr>
        <w:t xml:space="preserve"> and </w:t>
      </w:r>
      <w:r>
        <w:rPr>
          <w:kern w:val="0"/>
        </w:rPr>
        <w:t>elsewhere (that is, in all publications within two years</w:t>
      </w:r>
      <w:r w:rsidR="00427468">
        <w:rPr>
          <w:kern w:val="0"/>
        </w:rPr>
        <w:t xml:space="preserve"> of </w:t>
      </w:r>
      <w:r w:rsidR="003A1917">
        <w:rPr>
          <w:kern w:val="0"/>
        </w:rPr>
        <w:t xml:space="preserve">the </w:t>
      </w:r>
      <w:r>
        <w:rPr>
          <w:kern w:val="0"/>
        </w:rPr>
        <w:t>original publication</w:t>
      </w:r>
      <w:r w:rsidR="005853A9">
        <w:rPr>
          <w:kern w:val="0"/>
        </w:rPr>
        <w:t xml:space="preserve"> and </w:t>
      </w:r>
      <w:r>
        <w:rPr>
          <w:kern w:val="0"/>
        </w:rPr>
        <w:t>online). Two reviewers blinded to</w:t>
      </w:r>
      <w:r w:rsidR="003A1917">
        <w:rPr>
          <w:kern w:val="0"/>
        </w:rPr>
        <w:t xml:space="preserve"> the </w:t>
      </w:r>
      <w:r>
        <w:rPr>
          <w:kern w:val="0"/>
        </w:rPr>
        <w:t>authors</w:t>
      </w:r>
      <w:r w:rsidR="00700038">
        <w:rPr>
          <w:kern w:val="0"/>
        </w:rPr>
        <w:t>’</w:t>
      </w:r>
      <w:r>
        <w:rPr>
          <w:kern w:val="0"/>
        </w:rPr>
        <w:t xml:space="preserve"> financial relationships independently classified each article as presenting a favourable (that is, rosiglitazone does not increase</w:t>
      </w:r>
      <w:r w:rsidR="003A1917">
        <w:rPr>
          <w:kern w:val="0"/>
        </w:rPr>
        <w:t xml:space="preserve"> the </w:t>
      </w:r>
      <w:r>
        <w:rPr>
          <w:kern w:val="0"/>
        </w:rPr>
        <w:t>risk</w:t>
      </w:r>
      <w:r w:rsidR="00427468">
        <w:rPr>
          <w:kern w:val="0"/>
        </w:rPr>
        <w:t xml:space="preserve"> of </w:t>
      </w:r>
      <w:r>
        <w:rPr>
          <w:kern w:val="0"/>
        </w:rPr>
        <w:t>myocardial infarction), neutral, or unfavourable view on</w:t>
      </w:r>
      <w:r w:rsidR="003A1917">
        <w:rPr>
          <w:kern w:val="0"/>
        </w:rPr>
        <w:t xml:space="preserve"> the </w:t>
      </w:r>
      <w:r>
        <w:rPr>
          <w:kern w:val="0"/>
        </w:rPr>
        <w:t>risk</w:t>
      </w:r>
      <w:r w:rsidR="00427468">
        <w:rPr>
          <w:kern w:val="0"/>
        </w:rPr>
        <w:t xml:space="preserve"> of </w:t>
      </w:r>
      <w:r>
        <w:rPr>
          <w:kern w:val="0"/>
        </w:rPr>
        <w:t>myocardial infarction with rosiglitazone</w:t>
      </w:r>
      <w:r w:rsidR="005853A9">
        <w:rPr>
          <w:kern w:val="0"/>
        </w:rPr>
        <w:t xml:space="preserve"> and </w:t>
      </w:r>
      <w:r>
        <w:rPr>
          <w:kern w:val="0"/>
        </w:rPr>
        <w:t>on recommendations on</w:t>
      </w:r>
      <w:r w:rsidR="003A1917">
        <w:rPr>
          <w:kern w:val="0"/>
        </w:rPr>
        <w:t xml:space="preserve"> the </w:t>
      </w:r>
      <w:r>
        <w:rPr>
          <w:kern w:val="0"/>
        </w:rPr>
        <w:t>use</w:t>
      </w:r>
      <w:r w:rsidR="00427468">
        <w:rPr>
          <w:kern w:val="0"/>
        </w:rPr>
        <w:t xml:space="preserve"> of </w:t>
      </w:r>
      <w:r w:rsidR="003A1917">
        <w:rPr>
          <w:kern w:val="0"/>
        </w:rPr>
        <w:t xml:space="preserve">the </w:t>
      </w:r>
      <w:r>
        <w:rPr>
          <w:kern w:val="0"/>
        </w:rPr>
        <w:t>drug. Results</w:t>
      </w:r>
      <w:r w:rsidR="00427468">
        <w:rPr>
          <w:kern w:val="0"/>
        </w:rPr>
        <w:t xml:space="preserve"> of </w:t>
      </w:r>
      <w:r w:rsidR="003A1917">
        <w:rPr>
          <w:kern w:val="0"/>
        </w:rPr>
        <w:t xml:space="preserve">the </w:t>
      </w:r>
      <w:r>
        <w:rPr>
          <w:kern w:val="0"/>
        </w:rPr>
        <w:t>202 included articles, 108 (53%) had a conflict</w:t>
      </w:r>
      <w:r w:rsidR="00427468">
        <w:rPr>
          <w:kern w:val="0"/>
        </w:rPr>
        <w:t xml:space="preserve"> of </w:t>
      </w:r>
      <w:r>
        <w:rPr>
          <w:kern w:val="0"/>
        </w:rPr>
        <w:t>interest statement. Ninety authors (45%) had financial conflicts</w:t>
      </w:r>
      <w:r w:rsidR="00427468">
        <w:rPr>
          <w:kern w:val="0"/>
        </w:rPr>
        <w:t xml:space="preserve"> of </w:t>
      </w:r>
      <w:r>
        <w:rPr>
          <w:kern w:val="0"/>
        </w:rPr>
        <w:t>interest. Authors who had a favourable view</w:t>
      </w:r>
      <w:r w:rsidR="00427468">
        <w:rPr>
          <w:kern w:val="0"/>
        </w:rPr>
        <w:t xml:space="preserve"> of </w:t>
      </w:r>
      <w:r w:rsidR="003A1917">
        <w:rPr>
          <w:kern w:val="0"/>
        </w:rPr>
        <w:t xml:space="preserve">the </w:t>
      </w:r>
      <w:r>
        <w:rPr>
          <w:kern w:val="0"/>
        </w:rPr>
        <w:t>risk</w:t>
      </w:r>
      <w:r w:rsidR="00427468">
        <w:rPr>
          <w:kern w:val="0"/>
        </w:rPr>
        <w:t xml:space="preserve"> of </w:t>
      </w:r>
      <w:r>
        <w:rPr>
          <w:kern w:val="0"/>
        </w:rPr>
        <w:t>myocardial infarction with rosiglitazone were more likely to have financial conflicts</w:t>
      </w:r>
      <w:r w:rsidR="00427468">
        <w:rPr>
          <w:kern w:val="0"/>
        </w:rPr>
        <w:t xml:space="preserve"> of </w:t>
      </w:r>
      <w:r>
        <w:rPr>
          <w:kern w:val="0"/>
        </w:rPr>
        <w:t>interest with manufacturers</w:t>
      </w:r>
      <w:r w:rsidR="00427468">
        <w:rPr>
          <w:kern w:val="0"/>
        </w:rPr>
        <w:t xml:space="preserve"> of </w:t>
      </w:r>
      <w:r>
        <w:rPr>
          <w:kern w:val="0"/>
        </w:rPr>
        <w:t>antihyperglycaemic agents in general,</w:t>
      </w:r>
      <w:r w:rsidR="005853A9">
        <w:rPr>
          <w:kern w:val="0"/>
        </w:rPr>
        <w:t xml:space="preserve"> and </w:t>
      </w:r>
      <w:r>
        <w:rPr>
          <w:kern w:val="0"/>
        </w:rPr>
        <w:t>with rosiglitazone manufacturers in particular, than authors who had an unfavourable view (rate ratio 3.38, 95% CI 2.26 to 5.06</w:t>
      </w:r>
      <w:r w:rsidR="005853A9">
        <w:rPr>
          <w:kern w:val="0"/>
        </w:rPr>
        <w:t xml:space="preserve"> and </w:t>
      </w:r>
      <w:r>
        <w:rPr>
          <w:kern w:val="0"/>
        </w:rPr>
        <w:t>4.29, 2.63 to 7.02, respectively)</w:t>
      </w:r>
      <w:r w:rsidR="00A37C1D">
        <w:rPr>
          <w:kern w:val="0"/>
        </w:rPr>
        <w:t>. The</w:t>
      </w:r>
      <w:r>
        <w:rPr>
          <w:kern w:val="0"/>
        </w:rPr>
        <w:t>re was likewise a strong association between favourable recommendations on</w:t>
      </w:r>
      <w:r w:rsidR="003A1917">
        <w:rPr>
          <w:kern w:val="0"/>
        </w:rPr>
        <w:t xml:space="preserve"> the </w:t>
      </w:r>
      <w:r>
        <w:rPr>
          <w:kern w:val="0"/>
        </w:rPr>
        <w:t>use</w:t>
      </w:r>
      <w:r w:rsidR="00427468">
        <w:rPr>
          <w:kern w:val="0"/>
        </w:rPr>
        <w:t xml:space="preserve"> of </w:t>
      </w:r>
      <w:r>
        <w:rPr>
          <w:kern w:val="0"/>
        </w:rPr>
        <w:t>rosiglitazone</w:t>
      </w:r>
      <w:r w:rsidR="005853A9">
        <w:rPr>
          <w:kern w:val="0"/>
        </w:rPr>
        <w:t xml:space="preserve"> and </w:t>
      </w:r>
      <w:r>
        <w:rPr>
          <w:kern w:val="0"/>
        </w:rPr>
        <w:t>financial conflicts</w:t>
      </w:r>
      <w:r w:rsidR="00427468">
        <w:rPr>
          <w:kern w:val="0"/>
        </w:rPr>
        <w:t xml:space="preserve"> of </w:t>
      </w:r>
      <w:r>
        <w:rPr>
          <w:kern w:val="0"/>
        </w:rPr>
        <w:t>interest (3.36, 1.94 to 5.83)</w:t>
      </w:r>
      <w:r w:rsidR="00A37C1D">
        <w:rPr>
          <w:kern w:val="0"/>
        </w:rPr>
        <w:t>. The</w:t>
      </w:r>
      <w:r>
        <w:rPr>
          <w:kern w:val="0"/>
        </w:rPr>
        <w:t>se links persisted when articles rather than authors were used as</w:t>
      </w:r>
      <w:r w:rsidR="003A1917">
        <w:rPr>
          <w:kern w:val="0"/>
        </w:rPr>
        <w:t xml:space="preserve"> the </w:t>
      </w:r>
      <w:r>
        <w:rPr>
          <w:kern w:val="0"/>
        </w:rPr>
        <w:t>unit</w:t>
      </w:r>
      <w:r w:rsidR="00427468">
        <w:rPr>
          <w:kern w:val="0"/>
        </w:rPr>
        <w:t xml:space="preserve"> of </w:t>
      </w:r>
      <w:r>
        <w:rPr>
          <w:kern w:val="0"/>
        </w:rPr>
        <w:t>analysis (4.69, 2.84 to 7.72), when</w:t>
      </w:r>
      <w:r w:rsidR="003A1917">
        <w:rPr>
          <w:kern w:val="0"/>
        </w:rPr>
        <w:t xml:space="preserve"> the </w:t>
      </w:r>
      <w:r>
        <w:rPr>
          <w:kern w:val="0"/>
        </w:rPr>
        <w:t>analysis was restricted to opinion articles (6.29, 2.15 to 18.38) or to articles in which</w:t>
      </w:r>
      <w:r w:rsidR="003A1917">
        <w:rPr>
          <w:kern w:val="0"/>
        </w:rPr>
        <w:t xml:space="preserve"> the </w:t>
      </w:r>
      <w:r>
        <w:rPr>
          <w:kern w:val="0"/>
        </w:rPr>
        <w:t>rosiglitazone controversy was</w:t>
      </w:r>
      <w:r w:rsidR="003A1917">
        <w:rPr>
          <w:kern w:val="0"/>
        </w:rPr>
        <w:t xml:space="preserve"> the </w:t>
      </w:r>
      <w:r>
        <w:rPr>
          <w:kern w:val="0"/>
        </w:rPr>
        <w:t>main focus (6.50, 2.56 to 16.53),</w:t>
      </w:r>
      <w:r w:rsidR="005853A9">
        <w:rPr>
          <w:kern w:val="0"/>
        </w:rPr>
        <w:t xml:space="preserve"> and </w:t>
      </w:r>
      <w:r>
        <w:rPr>
          <w:kern w:val="0"/>
        </w:rPr>
        <w:t>both in articles published before</w:t>
      </w:r>
      <w:r w:rsidR="005853A9">
        <w:rPr>
          <w:kern w:val="0"/>
        </w:rPr>
        <w:t xml:space="preserve"> and </w:t>
      </w:r>
      <w:r>
        <w:rPr>
          <w:kern w:val="0"/>
        </w:rPr>
        <w:t>after</w:t>
      </w:r>
      <w:r w:rsidR="003A1917">
        <w:rPr>
          <w:kern w:val="0"/>
        </w:rPr>
        <w:t xml:space="preserve"> the </w:t>
      </w:r>
      <w:r>
        <w:rPr>
          <w:kern w:val="0"/>
        </w:rPr>
        <w:t>Food</w:t>
      </w:r>
      <w:r w:rsidR="005853A9">
        <w:rPr>
          <w:kern w:val="0"/>
        </w:rPr>
        <w:t xml:space="preserve"> and </w:t>
      </w:r>
      <w:r>
        <w:rPr>
          <w:kern w:val="0"/>
        </w:rPr>
        <w:t>Drug Administration issued a safety warning for rosiglitazone (3.43, 0.99 to 11.82</w:t>
      </w:r>
      <w:r w:rsidR="005853A9">
        <w:rPr>
          <w:kern w:val="0"/>
        </w:rPr>
        <w:t xml:space="preserve"> and </w:t>
      </w:r>
      <w:r>
        <w:rPr>
          <w:kern w:val="0"/>
        </w:rPr>
        <w:t>4.95, 2.87 to 8.53, respectively). Conclusions Disclosure rates for financial conflicts</w:t>
      </w:r>
      <w:r w:rsidR="00427468">
        <w:rPr>
          <w:kern w:val="0"/>
        </w:rPr>
        <w:t xml:space="preserve"> of </w:t>
      </w:r>
      <w:r>
        <w:rPr>
          <w:kern w:val="0"/>
        </w:rPr>
        <w:t>interest were unexpectedly low,</w:t>
      </w:r>
      <w:r w:rsidR="005853A9">
        <w:rPr>
          <w:kern w:val="0"/>
        </w:rPr>
        <w:t xml:space="preserve"> and </w:t>
      </w:r>
      <w:r>
        <w:rPr>
          <w:kern w:val="0"/>
        </w:rPr>
        <w:t>there was a clear</w:t>
      </w:r>
      <w:r w:rsidR="005853A9">
        <w:rPr>
          <w:kern w:val="0"/>
        </w:rPr>
        <w:t xml:space="preserve"> and </w:t>
      </w:r>
      <w:r>
        <w:rPr>
          <w:kern w:val="0"/>
        </w:rPr>
        <w:t>strong link between</w:t>
      </w:r>
      <w:r w:rsidR="003A1917">
        <w:rPr>
          <w:kern w:val="0"/>
        </w:rPr>
        <w:t xml:space="preserve"> the </w:t>
      </w:r>
      <w:r>
        <w:rPr>
          <w:kern w:val="0"/>
        </w:rPr>
        <w:t>orientation</w:t>
      </w:r>
      <w:r w:rsidR="00427468">
        <w:rPr>
          <w:kern w:val="0"/>
        </w:rPr>
        <w:t xml:space="preserve"> of </w:t>
      </w:r>
      <w:r>
        <w:rPr>
          <w:kern w:val="0"/>
        </w:rPr>
        <w:t>authors</w:t>
      </w:r>
      <w:r w:rsidR="00700038">
        <w:rPr>
          <w:kern w:val="0"/>
        </w:rPr>
        <w:t>’</w:t>
      </w:r>
      <w:r>
        <w:rPr>
          <w:kern w:val="0"/>
        </w:rPr>
        <w:t xml:space="preserve"> expressed views on</w:t>
      </w:r>
      <w:r w:rsidR="003A1917">
        <w:rPr>
          <w:kern w:val="0"/>
        </w:rPr>
        <w:t xml:space="preserve"> the </w:t>
      </w:r>
      <w:r>
        <w:rPr>
          <w:kern w:val="0"/>
        </w:rPr>
        <w:t>rosiglitazone controversy</w:t>
      </w:r>
      <w:r w:rsidR="005853A9">
        <w:rPr>
          <w:kern w:val="0"/>
        </w:rPr>
        <w:t xml:space="preserve"> and </w:t>
      </w:r>
      <w:r>
        <w:rPr>
          <w:kern w:val="0"/>
        </w:rPr>
        <w:t>their financial conflicts</w:t>
      </w:r>
      <w:r w:rsidR="00427468">
        <w:rPr>
          <w:kern w:val="0"/>
        </w:rPr>
        <w:t xml:space="preserve"> of </w:t>
      </w:r>
      <w:r>
        <w:rPr>
          <w:kern w:val="0"/>
        </w:rPr>
        <w:t>interest with pharmaceutical companies. Although these findings do not necessarily indicate a ca</w:t>
      </w:r>
      <w:r w:rsidR="00D5664A">
        <w:rPr>
          <w:kern w:val="0"/>
        </w:rPr>
        <w:t>USA</w:t>
      </w:r>
      <w:r>
        <w:rPr>
          <w:kern w:val="0"/>
        </w:rPr>
        <w:t>l link between</w:t>
      </w:r>
      <w:r w:rsidR="003A1917">
        <w:rPr>
          <w:kern w:val="0"/>
        </w:rPr>
        <w:t xml:space="preserve"> the </w:t>
      </w:r>
      <w:r>
        <w:rPr>
          <w:kern w:val="0"/>
        </w:rPr>
        <w:t>position taken on</w:t>
      </w:r>
      <w:r w:rsidR="003A1917">
        <w:rPr>
          <w:kern w:val="0"/>
        </w:rPr>
        <w:t xml:space="preserve"> the </w:t>
      </w:r>
      <w:r>
        <w:rPr>
          <w:kern w:val="0"/>
        </w:rPr>
        <w:t>cardiac risk</w:t>
      </w:r>
      <w:r w:rsidR="00427468">
        <w:rPr>
          <w:kern w:val="0"/>
        </w:rPr>
        <w:t xml:space="preserve"> of </w:t>
      </w:r>
      <w:r>
        <w:rPr>
          <w:kern w:val="0"/>
        </w:rPr>
        <w:t>rosiglitazone in patients with diabetes</w:t>
      </w:r>
      <w:r w:rsidR="005853A9">
        <w:rPr>
          <w:kern w:val="0"/>
        </w:rPr>
        <w:t xml:space="preserve"> and </w:t>
      </w:r>
      <w:r w:rsidR="003A1917">
        <w:rPr>
          <w:kern w:val="0"/>
        </w:rPr>
        <w:t xml:space="preserve">the </w:t>
      </w:r>
      <w:r>
        <w:rPr>
          <w:kern w:val="0"/>
        </w:rPr>
        <w:t>authors</w:t>
      </w:r>
      <w:r w:rsidR="00700038">
        <w:rPr>
          <w:kern w:val="0"/>
        </w:rPr>
        <w:t>’</w:t>
      </w:r>
      <w:r>
        <w:rPr>
          <w:kern w:val="0"/>
        </w:rPr>
        <w:t xml:space="preserve"> financial conflicts</w:t>
      </w:r>
      <w:r w:rsidR="00427468">
        <w:rPr>
          <w:kern w:val="0"/>
        </w:rPr>
        <w:t xml:space="preserve"> of </w:t>
      </w:r>
      <w:r>
        <w:rPr>
          <w:kern w:val="0"/>
        </w:rPr>
        <w:t>interest, they underscore</w:t>
      </w:r>
      <w:r w:rsidR="003A1917">
        <w:rPr>
          <w:kern w:val="0"/>
        </w:rPr>
        <w:t xml:space="preserve"> the </w:t>
      </w:r>
      <w:r>
        <w:rPr>
          <w:kern w:val="0"/>
        </w:rPr>
        <w:t>need for further changes in disclosure procedures in order for</w:t>
      </w:r>
      <w:r w:rsidR="003A1917">
        <w:rPr>
          <w:kern w:val="0"/>
        </w:rPr>
        <w:t xml:space="preserve"> the </w:t>
      </w:r>
      <w:r>
        <w:rPr>
          <w:kern w:val="0"/>
        </w:rPr>
        <w:t>scientific record to be trusted.</w:t>
      </w:r>
    </w:p>
    <w:p w:rsidR="001217DA" w:rsidRDefault="001217DA" w:rsidP="001217DA">
      <w:pPr>
        <w:pStyle w:val="a3"/>
        <w:rPr>
          <w:kern w:val="0"/>
        </w:rPr>
      </w:pPr>
      <w:r>
        <w:rPr>
          <w:kern w:val="0"/>
        </w:rPr>
        <w:lastRenderedPageBreak/>
        <w:t>Keywords: Administration, Analysis, Articles, Authors, Cardiovascular, Cardiovascular Risk, Clinical Trials, Conflict</w:t>
      </w:r>
      <w:r w:rsidR="00427468">
        <w:rPr>
          <w:kern w:val="0"/>
        </w:rPr>
        <w:t xml:space="preserve"> of </w:t>
      </w:r>
      <w:r>
        <w:rPr>
          <w:kern w:val="0"/>
        </w:rPr>
        <w:t>Interest, Conflicts</w:t>
      </w:r>
      <w:r w:rsidR="00434900">
        <w:rPr>
          <w:kern w:val="0"/>
        </w:rPr>
        <w:t>-of-</w:t>
      </w:r>
      <w:r>
        <w:rPr>
          <w:kern w:val="0"/>
        </w:rPr>
        <w:t xml:space="preserve">Interest, Could Disclosure, Diabetes, Disclosure, Drug, Epidemiology, Events, Industry, Information, Interest, Interests Work, Laws, Medicine, Meta-Analysis, Myocardial Infarction, Pharmaceutical Companies, Pharmaceutical-Industry, Public-Health, Publication, Publications, Ratio, Review, Risk, Safety, Science, Scopus, Systematic, Systematic Review, </w:t>
      </w:r>
      <w:r w:rsidR="00D5664A">
        <w:rPr>
          <w:kern w:val="0"/>
        </w:rPr>
        <w:t>Web</w:t>
      </w:r>
      <w:r w:rsidR="00427468">
        <w:rPr>
          <w:kern w:val="0"/>
        </w:rPr>
        <w:t xml:space="preserve"> of </w:t>
      </w:r>
      <w:r w:rsidR="00D5664A">
        <w:rPr>
          <w:kern w:val="0"/>
        </w:rPr>
        <w:t>Science</w:t>
      </w:r>
    </w:p>
    <w:p w:rsidR="001217DA" w:rsidRDefault="001217DA" w:rsidP="001217DA">
      <w:pPr>
        <w:pStyle w:val="a3"/>
        <w:rPr>
          <w:kern w:val="0"/>
        </w:rPr>
      </w:pPr>
      <w:r>
        <w:rPr>
          <w:rFonts w:hint="eastAsia"/>
          <w:kern w:val="0"/>
        </w:rPr>
        <w:t xml:space="preserve">? </w:t>
      </w:r>
      <w:r>
        <w:rPr>
          <w:kern w:val="0"/>
        </w:rPr>
        <w:t>Jentink, J., Dolk, H., Loane, M.A., Morris, J.K., Wellesley, D., Garne, E.</w:t>
      </w:r>
      <w:r w:rsidR="005853A9">
        <w:rPr>
          <w:kern w:val="0"/>
        </w:rPr>
        <w:t xml:space="preserve"> and </w:t>
      </w:r>
      <w:r>
        <w:rPr>
          <w:kern w:val="0"/>
        </w:rPr>
        <w:t>de Jong-van den Berg. (2010), Intrauterine exposure to carbamazepine</w:t>
      </w:r>
      <w:r w:rsidR="005853A9">
        <w:rPr>
          <w:kern w:val="0"/>
        </w:rPr>
        <w:t xml:space="preserve"> and </w:t>
      </w:r>
      <w:r>
        <w:rPr>
          <w:kern w:val="0"/>
        </w:rPr>
        <w:t>specific congenital malformations: Systematic review</w:t>
      </w:r>
      <w:r w:rsidR="005853A9">
        <w:rPr>
          <w:kern w:val="0"/>
        </w:rPr>
        <w:t xml:space="preserve"> and </w:t>
      </w:r>
      <w:r>
        <w:rPr>
          <w:kern w:val="0"/>
        </w:rPr>
        <w:t xml:space="preserve">case-control study. </w:t>
      </w:r>
      <w:r>
        <w:rPr>
          <w:i/>
          <w:iCs/>
          <w:kern w:val="0"/>
        </w:rPr>
        <w:t>British Medical Journal</w:t>
      </w:r>
      <w:r>
        <w:rPr>
          <w:kern w:val="0"/>
        </w:rPr>
        <w:t xml:space="preserve">, </w:t>
      </w:r>
      <w:r>
        <w:rPr>
          <w:b/>
          <w:bCs/>
          <w:kern w:val="0"/>
        </w:rPr>
        <w:t>341</w:t>
      </w:r>
      <w:r>
        <w:rPr>
          <w:rFonts w:hint="eastAsia"/>
          <w:kern w:val="0"/>
        </w:rPr>
        <w:t xml:space="preserve">, </w:t>
      </w:r>
      <w:r w:rsidRPr="00C22689">
        <w:rPr>
          <w:kern w:val="0"/>
        </w:rPr>
        <w:t>Article Number: c6581</w:t>
      </w:r>
      <w:r>
        <w:rPr>
          <w:rFonts w:hint="eastAsia"/>
          <w:kern w:val="0"/>
        </w:rPr>
        <w:t>.</w:t>
      </w:r>
    </w:p>
    <w:p w:rsidR="00A46382" w:rsidRDefault="00A46382" w:rsidP="00A46382">
      <w:pPr>
        <w:pStyle w:val="a3"/>
      </w:pPr>
      <w:r>
        <w:t>Full Text:</w:t>
      </w:r>
      <w:r w:rsidRPr="00FC7835">
        <w:t xml:space="preserve"> </w:t>
      </w:r>
      <w:hyperlink r:id="rId2060" w:history="1">
        <w:r w:rsidRPr="00FD2780">
          <w:rPr>
            <w:rStyle w:val="a5"/>
          </w:rPr>
          <w:t>2010\Bri Med J341, c6581.pdf</w:t>
        </w:r>
      </w:hyperlink>
    </w:p>
    <w:p w:rsidR="001217DA" w:rsidRDefault="001217DA" w:rsidP="001217DA">
      <w:pPr>
        <w:pStyle w:val="a3"/>
        <w:rPr>
          <w:kern w:val="0"/>
        </w:rPr>
      </w:pPr>
      <w:r>
        <w:rPr>
          <w:kern w:val="0"/>
        </w:rPr>
        <w:t>Abstract: Objective To identify specific major congenital malformations associated with use</w:t>
      </w:r>
      <w:r w:rsidR="00427468">
        <w:rPr>
          <w:kern w:val="0"/>
        </w:rPr>
        <w:t xml:space="preserve"> of </w:t>
      </w:r>
      <w:r>
        <w:rPr>
          <w:kern w:val="0"/>
        </w:rPr>
        <w:t>carbamazepine in</w:t>
      </w:r>
      <w:r w:rsidR="003A1917">
        <w:rPr>
          <w:kern w:val="0"/>
        </w:rPr>
        <w:t xml:space="preserve"> the </w:t>
      </w:r>
      <w:r>
        <w:rPr>
          <w:kern w:val="0"/>
        </w:rPr>
        <w:t>first trimester</w:t>
      </w:r>
      <w:r w:rsidR="00427468">
        <w:rPr>
          <w:kern w:val="0"/>
        </w:rPr>
        <w:t xml:space="preserve"> of </w:t>
      </w:r>
      <w:r>
        <w:rPr>
          <w:kern w:val="0"/>
        </w:rPr>
        <w:t>pregnancy. Design A review</w:t>
      </w:r>
      <w:r w:rsidR="00427468">
        <w:rPr>
          <w:kern w:val="0"/>
        </w:rPr>
        <w:t xml:space="preserve"> of </w:t>
      </w:r>
      <w:r>
        <w:rPr>
          <w:kern w:val="0"/>
        </w:rPr>
        <w:t>all published cohort studies to identify key indications</w:t>
      </w:r>
      <w:r w:rsidR="005853A9">
        <w:rPr>
          <w:kern w:val="0"/>
        </w:rPr>
        <w:t xml:space="preserve"> and </w:t>
      </w:r>
      <w:r>
        <w:rPr>
          <w:kern w:val="0"/>
        </w:rPr>
        <w:t>a population based case-control study to test these indications. Setting Review</w:t>
      </w:r>
      <w:r w:rsidR="00427468">
        <w:rPr>
          <w:kern w:val="0"/>
        </w:rPr>
        <w:t xml:space="preserve"> of </w:t>
      </w:r>
      <w:r w:rsidR="002C12F0">
        <w:rPr>
          <w:kern w:val="0"/>
        </w:rPr>
        <w:t>PUBMED</w:t>
      </w:r>
      <w:r>
        <w:rPr>
          <w:kern w:val="0"/>
        </w:rPr>
        <w:t xml:space="preserve">,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EMBASE for papers about carbamazepine exposure in</w:t>
      </w:r>
      <w:r w:rsidR="003A1917">
        <w:rPr>
          <w:kern w:val="0"/>
        </w:rPr>
        <w:t xml:space="preserve"> the </w:t>
      </w:r>
      <w:r>
        <w:rPr>
          <w:kern w:val="0"/>
        </w:rPr>
        <w:t>first trimester</w:t>
      </w:r>
      <w:r w:rsidR="00427468">
        <w:rPr>
          <w:kern w:val="0"/>
        </w:rPr>
        <w:t xml:space="preserve"> of </w:t>
      </w:r>
      <w:r>
        <w:rPr>
          <w:kern w:val="0"/>
        </w:rPr>
        <w:t>pregnancy</w:t>
      </w:r>
      <w:r w:rsidR="005853A9">
        <w:rPr>
          <w:kern w:val="0"/>
        </w:rPr>
        <w:t xml:space="preserve"> and </w:t>
      </w:r>
      <w:r>
        <w:rPr>
          <w:kern w:val="0"/>
        </w:rPr>
        <w:t>specific malformations,</w:t>
      </w:r>
      <w:r w:rsidR="005853A9">
        <w:rPr>
          <w:kern w:val="0"/>
        </w:rPr>
        <w:t xml:space="preserve"> and </w:t>
      </w:r>
      <w:r w:rsidR="003A1917">
        <w:rPr>
          <w:kern w:val="0"/>
        </w:rPr>
        <w:t xml:space="preserve">the </w:t>
      </w:r>
      <w:r>
        <w:rPr>
          <w:kern w:val="0"/>
        </w:rPr>
        <w:t>EUROCAT Antiepileptic Study Database, including data from 19 European population based congenital anomaly registries, 1995-2005. Participants</w:t>
      </w:r>
      <w:r w:rsidR="003A1917">
        <w:rPr>
          <w:kern w:val="0"/>
        </w:rPr>
        <w:t xml:space="preserve"> the </w:t>
      </w:r>
      <w:r>
        <w:rPr>
          <w:kern w:val="0"/>
        </w:rPr>
        <w:t>literature review covered eight cohort studies</w:t>
      </w:r>
      <w:r w:rsidR="00427468">
        <w:rPr>
          <w:kern w:val="0"/>
        </w:rPr>
        <w:t xml:space="preserve"> of </w:t>
      </w:r>
      <w:r>
        <w:rPr>
          <w:kern w:val="0"/>
        </w:rPr>
        <w:t>2680 pregnancies with carbamazepine monotherapy exposure,</w:t>
      </w:r>
      <w:r w:rsidR="005853A9">
        <w:rPr>
          <w:kern w:val="0"/>
        </w:rPr>
        <w:t xml:space="preserve"> and </w:t>
      </w:r>
      <w:r w:rsidR="003A1917">
        <w:rPr>
          <w:kern w:val="0"/>
        </w:rPr>
        <w:t xml:space="preserve">the </w:t>
      </w:r>
      <w:r>
        <w:rPr>
          <w:kern w:val="0"/>
        </w:rPr>
        <w:t>EUROCAT dataset included 98 075 registrations</w:t>
      </w:r>
      <w:r w:rsidR="00427468">
        <w:rPr>
          <w:kern w:val="0"/>
        </w:rPr>
        <w:t xml:space="preserve"> of </w:t>
      </w:r>
      <w:r>
        <w:rPr>
          <w:kern w:val="0"/>
        </w:rPr>
        <w:t>malformations covering over 3.8 million births. Main outcome measures Overall prevalence for a major congenital malformation after exposure to carbamazepine monotherapy in</w:t>
      </w:r>
      <w:r w:rsidR="003A1917">
        <w:rPr>
          <w:kern w:val="0"/>
        </w:rPr>
        <w:t xml:space="preserve"> the </w:t>
      </w:r>
      <w:r>
        <w:rPr>
          <w:kern w:val="0"/>
        </w:rPr>
        <w:t>first trimester. Odds ratios for malformations with exposure to carbamazepine among cases (five types</w:t>
      </w:r>
      <w:r w:rsidR="00427468">
        <w:rPr>
          <w:kern w:val="0"/>
        </w:rPr>
        <w:t xml:space="preserve"> of </w:t>
      </w:r>
      <w:r>
        <w:rPr>
          <w:kern w:val="0"/>
        </w:rPr>
        <w:t>malformation identified in</w:t>
      </w:r>
      <w:r w:rsidR="003A1917">
        <w:rPr>
          <w:kern w:val="0"/>
        </w:rPr>
        <w:t xml:space="preserve"> the </w:t>
      </w:r>
      <w:r>
        <w:rPr>
          <w:kern w:val="0"/>
        </w:rPr>
        <w:t>literature review) compared with two groups</w:t>
      </w:r>
      <w:r w:rsidR="00427468">
        <w:rPr>
          <w:kern w:val="0"/>
        </w:rPr>
        <w:t xml:space="preserve"> of </w:t>
      </w:r>
      <w:r>
        <w:rPr>
          <w:kern w:val="0"/>
        </w:rPr>
        <w:t>controls: other non-chromosomal registrations</w:t>
      </w:r>
      <w:r w:rsidR="00427468">
        <w:rPr>
          <w:kern w:val="0"/>
        </w:rPr>
        <w:t xml:space="preserve"> of </w:t>
      </w:r>
      <w:r>
        <w:rPr>
          <w:kern w:val="0"/>
        </w:rPr>
        <w:t>malformations</w:t>
      </w:r>
      <w:r w:rsidR="005853A9">
        <w:rPr>
          <w:kern w:val="0"/>
        </w:rPr>
        <w:t xml:space="preserve"> and </w:t>
      </w:r>
      <w:r>
        <w:rPr>
          <w:kern w:val="0"/>
        </w:rPr>
        <w:t>chromosomal syndromes. Results</w:t>
      </w:r>
      <w:r w:rsidR="003A1917">
        <w:rPr>
          <w:kern w:val="0"/>
        </w:rPr>
        <w:t xml:space="preserve"> the </w:t>
      </w:r>
      <w:r>
        <w:rPr>
          <w:kern w:val="0"/>
        </w:rPr>
        <w:t>literature review yielded an overall prevalence for a major congenital malformation</w:t>
      </w:r>
      <w:r w:rsidR="00427468">
        <w:rPr>
          <w:kern w:val="0"/>
        </w:rPr>
        <w:t xml:space="preserve"> of </w:t>
      </w:r>
      <w:r>
        <w:rPr>
          <w:kern w:val="0"/>
        </w:rPr>
        <w:t>3.3% (95% confidence interval 2.7 to 4.2) after exposure to carbamazepine monotherapy in</w:t>
      </w:r>
      <w:r w:rsidR="003A1917">
        <w:rPr>
          <w:kern w:val="0"/>
        </w:rPr>
        <w:t xml:space="preserve"> the </w:t>
      </w:r>
      <w:r>
        <w:rPr>
          <w:kern w:val="0"/>
        </w:rPr>
        <w:t>first trimester. In 131 registrations</w:t>
      </w:r>
      <w:r w:rsidR="00427468">
        <w:rPr>
          <w:kern w:val="0"/>
        </w:rPr>
        <w:t xml:space="preserve"> of </w:t>
      </w:r>
      <w:r>
        <w:rPr>
          <w:kern w:val="0"/>
        </w:rPr>
        <w:t>malformations,</w:t>
      </w:r>
      <w:r w:rsidR="003A1917">
        <w:rPr>
          <w:kern w:val="0"/>
        </w:rPr>
        <w:t xml:space="preserve"> the </w:t>
      </w:r>
      <w:r>
        <w:rPr>
          <w:kern w:val="0"/>
        </w:rPr>
        <w:t>fetus had been exposed to carbamazepine monotherapy. Spina bifida was</w:t>
      </w:r>
      <w:r w:rsidR="003A1917">
        <w:rPr>
          <w:kern w:val="0"/>
        </w:rPr>
        <w:t xml:space="preserve"> the </w:t>
      </w:r>
      <w:r>
        <w:rPr>
          <w:kern w:val="0"/>
        </w:rPr>
        <w:t>only specific major congenital malformation significantly associated with exposure to carbamazepine monotherapy (odds ratio 2.6 (95% confidence interval 1.2 to 5.3) compared with no antiepileptic drug), but</w:t>
      </w:r>
      <w:r w:rsidR="003A1917">
        <w:rPr>
          <w:kern w:val="0"/>
        </w:rPr>
        <w:t xml:space="preserve"> the </w:t>
      </w:r>
      <w:r>
        <w:rPr>
          <w:kern w:val="0"/>
        </w:rPr>
        <w:t>risk was smaller for carbamazepine than for valproic acid (0.2, 0.1 to 0.6)</w:t>
      </w:r>
      <w:r w:rsidR="00A37C1D">
        <w:rPr>
          <w:kern w:val="0"/>
        </w:rPr>
        <w:t>. The</w:t>
      </w:r>
      <w:r>
        <w:rPr>
          <w:kern w:val="0"/>
        </w:rPr>
        <w:t xml:space="preserve">re was no evidence for an association with total anomalous pulmonary venous return (no cases with carbamazepine exposure), cleft lip (with or without palate) (0.2, 0.0 to 1.3), diaphragmatic hernia (0.9, 0.1 to 6.6), or hypospadias (0.7, 0.3 to 1.6) compared with no exposure to antiepileptic drugs. Further exploratory analysis suggested a higher </w:t>
      </w:r>
      <w:r>
        <w:rPr>
          <w:kern w:val="0"/>
        </w:rPr>
        <w:lastRenderedPageBreak/>
        <w:t>risk</w:t>
      </w:r>
      <w:r w:rsidR="00427468">
        <w:rPr>
          <w:kern w:val="0"/>
        </w:rPr>
        <w:t xml:space="preserve"> of </w:t>
      </w:r>
      <w:r>
        <w:rPr>
          <w:kern w:val="0"/>
        </w:rPr>
        <w:t>single ventricle</w:t>
      </w:r>
      <w:r w:rsidR="005853A9">
        <w:rPr>
          <w:kern w:val="0"/>
        </w:rPr>
        <w:t xml:space="preserve"> and </w:t>
      </w:r>
      <w:r>
        <w:rPr>
          <w:kern w:val="0"/>
        </w:rPr>
        <w:t>atrioventricular septal defect. Conclusion Carbamazepine teratogenicity is relatively specific to spina bifida, though</w:t>
      </w:r>
      <w:r w:rsidR="003A1917">
        <w:rPr>
          <w:kern w:val="0"/>
        </w:rPr>
        <w:t xml:space="preserve"> the </w:t>
      </w:r>
      <w:r>
        <w:rPr>
          <w:kern w:val="0"/>
        </w:rPr>
        <w:t>risk is less than with valproic acid. Despite</w:t>
      </w:r>
      <w:r w:rsidR="003A1917">
        <w:rPr>
          <w:kern w:val="0"/>
        </w:rPr>
        <w:t xml:space="preserve"> the </w:t>
      </w:r>
      <w:r>
        <w:rPr>
          <w:kern w:val="0"/>
        </w:rPr>
        <w:t>large dataset, there was not enough power to detect moderate risks for some rare major congenital malformations.</w:t>
      </w:r>
    </w:p>
    <w:p w:rsidR="001217DA" w:rsidRDefault="001217DA" w:rsidP="001217DA">
      <w:pPr>
        <w:pStyle w:val="a3"/>
        <w:rPr>
          <w:kern w:val="0"/>
        </w:rPr>
      </w:pPr>
      <w:r>
        <w:rPr>
          <w:kern w:val="0"/>
        </w:rPr>
        <w:t xml:space="preserve">Keywords: Analysis, Antiepileptic Drugs, Case-Control Study, Cleft Lip, Cohort Studies, Drug, Epilepsy, Fetal, In-Utero, Lamotrigine, Literature, Literature Review, Major Malformations, Monotherapy, Outcome, Papers, Pregnancy, Prevalence, </w:t>
      </w:r>
      <w:r w:rsidR="002C12F0">
        <w:rPr>
          <w:kern w:val="0"/>
        </w:rPr>
        <w:t>PUBMED</w:t>
      </w:r>
      <w:r>
        <w:rPr>
          <w:kern w:val="0"/>
        </w:rPr>
        <w:t xml:space="preserve">, Ratio, Review, Risk, Science, Systematic, Systematic Review, Teratogenesis, Valproic Acid, </w:t>
      </w:r>
      <w:r w:rsidR="00D5664A">
        <w:rPr>
          <w:kern w:val="0"/>
        </w:rPr>
        <w:t>Web</w:t>
      </w:r>
      <w:r w:rsidR="00427468">
        <w:rPr>
          <w:kern w:val="0"/>
        </w:rPr>
        <w:t xml:space="preserve"> of </w:t>
      </w:r>
      <w:r w:rsidR="00D5664A">
        <w:rPr>
          <w:kern w:val="0"/>
        </w:rPr>
        <w:t>Science</w:t>
      </w:r>
    </w:p>
    <w:p w:rsidR="001217DA" w:rsidRDefault="001217DA" w:rsidP="001217DA">
      <w:pPr>
        <w:pStyle w:val="a3"/>
        <w:rPr>
          <w:kern w:val="0"/>
        </w:rPr>
      </w:pPr>
      <w:r>
        <w:rPr>
          <w:rFonts w:hint="eastAsia"/>
          <w:kern w:val="0"/>
        </w:rPr>
        <w:t xml:space="preserve">? </w:t>
      </w:r>
      <w:r>
        <w:rPr>
          <w:kern w:val="0"/>
        </w:rPr>
        <w:t>Polyzos, N.P., Polyzos, I.P., Zavos, A., Valachis, A., Mauri, D., Papanikolaou, E.G., Tzioras, S., Weber, D.</w:t>
      </w:r>
      <w:r w:rsidR="005853A9">
        <w:rPr>
          <w:kern w:val="0"/>
        </w:rPr>
        <w:t xml:space="preserve"> and </w:t>
      </w:r>
      <w:r>
        <w:rPr>
          <w:kern w:val="0"/>
        </w:rPr>
        <w:t>Messinis, I.E. (2010), Obstetric outcomes after treatment</w:t>
      </w:r>
      <w:r w:rsidR="00427468">
        <w:rPr>
          <w:kern w:val="0"/>
        </w:rPr>
        <w:t xml:space="preserve"> of </w:t>
      </w:r>
      <w:r>
        <w:rPr>
          <w:kern w:val="0"/>
        </w:rPr>
        <w:t>periodontal disease during pregnancy: Systematic review</w:t>
      </w:r>
      <w:r w:rsidR="005853A9">
        <w:rPr>
          <w:kern w:val="0"/>
        </w:rPr>
        <w:t xml:space="preserve"> and </w:t>
      </w:r>
      <w:r>
        <w:rPr>
          <w:kern w:val="0"/>
        </w:rPr>
        <w:t xml:space="preserve">meta-analysis. </w:t>
      </w:r>
      <w:r>
        <w:rPr>
          <w:i/>
          <w:iCs/>
          <w:kern w:val="0"/>
        </w:rPr>
        <w:t>British Medical Journal</w:t>
      </w:r>
      <w:r>
        <w:rPr>
          <w:kern w:val="0"/>
        </w:rPr>
        <w:t xml:space="preserve">, </w:t>
      </w:r>
      <w:r>
        <w:rPr>
          <w:b/>
          <w:bCs/>
          <w:kern w:val="0"/>
        </w:rPr>
        <w:t>341</w:t>
      </w:r>
      <w:r>
        <w:rPr>
          <w:rFonts w:hint="eastAsia"/>
          <w:kern w:val="0"/>
        </w:rPr>
        <w:t xml:space="preserve">, </w:t>
      </w:r>
      <w:r w:rsidRPr="00C22689">
        <w:rPr>
          <w:kern w:val="0"/>
        </w:rPr>
        <w:t>Article Number: c7017</w:t>
      </w:r>
      <w:r>
        <w:rPr>
          <w:rFonts w:hint="eastAsia"/>
          <w:kern w:val="0"/>
        </w:rPr>
        <w:t>.</w:t>
      </w:r>
    </w:p>
    <w:p w:rsidR="00A46382" w:rsidRDefault="00A46382" w:rsidP="00A46382">
      <w:pPr>
        <w:pStyle w:val="a3"/>
      </w:pPr>
      <w:r>
        <w:t>Full Text:</w:t>
      </w:r>
      <w:r w:rsidRPr="00FC7835">
        <w:t xml:space="preserve"> </w:t>
      </w:r>
      <w:hyperlink r:id="rId2061" w:history="1">
        <w:r w:rsidRPr="00FD2780">
          <w:rPr>
            <w:rStyle w:val="a5"/>
          </w:rPr>
          <w:t>2010\Bri Med J341, c7017.pdf</w:t>
        </w:r>
      </w:hyperlink>
    </w:p>
    <w:p w:rsidR="001217DA" w:rsidRDefault="001217DA" w:rsidP="001217DA">
      <w:pPr>
        <w:pStyle w:val="a3"/>
        <w:rPr>
          <w:kern w:val="0"/>
        </w:rPr>
      </w:pPr>
      <w:r>
        <w:rPr>
          <w:kern w:val="0"/>
        </w:rPr>
        <w:t>Abstract: Objective To examine whether treatment</w:t>
      </w:r>
      <w:r w:rsidR="00427468">
        <w:rPr>
          <w:kern w:val="0"/>
        </w:rPr>
        <w:t xml:space="preserve"> of </w:t>
      </w:r>
      <w:r>
        <w:rPr>
          <w:kern w:val="0"/>
        </w:rPr>
        <w:t>periodontal disease with scaling</w:t>
      </w:r>
      <w:r w:rsidR="005853A9">
        <w:rPr>
          <w:kern w:val="0"/>
        </w:rPr>
        <w:t xml:space="preserve"> and </w:t>
      </w:r>
      <w:r>
        <w:rPr>
          <w:kern w:val="0"/>
        </w:rPr>
        <w:t>root planing during pregnancy is associated with a reduction in</w:t>
      </w:r>
      <w:r w:rsidR="003A1917">
        <w:rPr>
          <w:kern w:val="0"/>
        </w:rPr>
        <w:t xml:space="preserve"> the </w:t>
      </w:r>
      <w:r>
        <w:rPr>
          <w:kern w:val="0"/>
        </w:rPr>
        <w:t>preterm birth rate. Design Systematic review</w:t>
      </w:r>
      <w:r w:rsidR="005853A9">
        <w:rPr>
          <w:kern w:val="0"/>
        </w:rPr>
        <w:t xml:space="preserve"> and </w:t>
      </w:r>
      <w:r>
        <w:rPr>
          <w:kern w:val="0"/>
        </w:rPr>
        <w:t>meta-analysis</w:t>
      </w:r>
      <w:r w:rsidR="00427468">
        <w:rPr>
          <w:kern w:val="0"/>
        </w:rPr>
        <w:t xml:space="preserve"> of </w:t>
      </w:r>
      <w:r>
        <w:rPr>
          <w:kern w:val="0"/>
        </w:rPr>
        <w:t xml:space="preserve">randomised controlled trials. Data sources Cochrane Central Trials Registry,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w:t>
      </w:r>
      <w:r w:rsidR="00D5664A">
        <w:rPr>
          <w:kern w:val="0"/>
        </w:rPr>
        <w:t>MEDLINE</w:t>
      </w:r>
      <w:r>
        <w:rPr>
          <w:kern w:val="0"/>
        </w:rPr>
        <w:t>,</w:t>
      </w:r>
      <w:r w:rsidR="005853A9">
        <w:rPr>
          <w:kern w:val="0"/>
        </w:rPr>
        <w:t xml:space="preserve"> and </w:t>
      </w:r>
      <w:r>
        <w:rPr>
          <w:kern w:val="0"/>
        </w:rPr>
        <w:t>reference lists</w:t>
      </w:r>
      <w:r w:rsidR="00427468">
        <w:rPr>
          <w:kern w:val="0"/>
        </w:rPr>
        <w:t xml:space="preserve"> of </w:t>
      </w:r>
      <w:r>
        <w:rPr>
          <w:kern w:val="0"/>
        </w:rPr>
        <w:t>relevant studies to July 2010; hand searches in key journals. Study selection Randomised controlled trials including pregnant women with documented periodontal disease randomised to either treatment with scaling</w:t>
      </w:r>
      <w:r w:rsidR="005853A9">
        <w:rPr>
          <w:kern w:val="0"/>
        </w:rPr>
        <w:t xml:space="preserve"> and </w:t>
      </w:r>
      <w:r>
        <w:rPr>
          <w:kern w:val="0"/>
        </w:rPr>
        <w:t>root planing or no treatment. Data extraction Data were extracted by two independent investigators,</w:t>
      </w:r>
      <w:r w:rsidR="005853A9">
        <w:rPr>
          <w:kern w:val="0"/>
        </w:rPr>
        <w:t xml:space="preserve"> and </w:t>
      </w:r>
      <w:r>
        <w:rPr>
          <w:kern w:val="0"/>
        </w:rPr>
        <w:t>a consensus was reached with</w:t>
      </w:r>
      <w:r w:rsidR="003A1917">
        <w:rPr>
          <w:kern w:val="0"/>
        </w:rPr>
        <w:t xml:space="preserve"> the </w:t>
      </w:r>
      <w:r>
        <w:rPr>
          <w:kern w:val="0"/>
        </w:rPr>
        <w:t>involvement a third. Methodological quality</w:t>
      </w:r>
      <w:r w:rsidR="00427468">
        <w:rPr>
          <w:kern w:val="0"/>
        </w:rPr>
        <w:t xml:space="preserve"> of </w:t>
      </w:r>
      <w:r w:rsidR="003A1917">
        <w:rPr>
          <w:kern w:val="0"/>
        </w:rPr>
        <w:t xml:space="preserve">the </w:t>
      </w:r>
      <w:r>
        <w:rPr>
          <w:kern w:val="0"/>
        </w:rPr>
        <w:t>studies was assessed with</w:t>
      </w:r>
      <w:r w:rsidR="003A1917">
        <w:rPr>
          <w:kern w:val="0"/>
        </w:rPr>
        <w:t xml:space="preserve"> the </w:t>
      </w:r>
      <w:r>
        <w:rPr>
          <w:kern w:val="0"/>
        </w:rPr>
        <w:t>Cochrane</w:t>
      </w:r>
      <w:r w:rsidR="00700038">
        <w:rPr>
          <w:kern w:val="0"/>
        </w:rPr>
        <w:t>’</w:t>
      </w:r>
      <w:r w:rsidR="00C13DDC">
        <w:rPr>
          <w:kern w:val="0"/>
        </w:rPr>
        <w:t>s</w:t>
      </w:r>
      <w:r>
        <w:rPr>
          <w:kern w:val="0"/>
        </w:rPr>
        <w:t xml:space="preserve"> risk</w:t>
      </w:r>
      <w:r w:rsidR="00427468">
        <w:rPr>
          <w:kern w:val="0"/>
        </w:rPr>
        <w:t xml:space="preserve"> of </w:t>
      </w:r>
      <w:r>
        <w:rPr>
          <w:kern w:val="0"/>
        </w:rPr>
        <w:t>bias tool,</w:t>
      </w:r>
      <w:r w:rsidR="005853A9">
        <w:rPr>
          <w:kern w:val="0"/>
        </w:rPr>
        <w:t xml:space="preserve"> and </w:t>
      </w:r>
      <w:r>
        <w:rPr>
          <w:kern w:val="0"/>
        </w:rPr>
        <w:t>trials were considered either high or low quality</w:t>
      </w:r>
      <w:r w:rsidR="00A37C1D">
        <w:rPr>
          <w:kern w:val="0"/>
        </w:rPr>
        <w:t>. The</w:t>
      </w:r>
      <w:r w:rsidR="003A1917">
        <w:rPr>
          <w:kern w:val="0"/>
        </w:rPr>
        <w:t xml:space="preserve"> </w:t>
      </w:r>
      <w:r>
        <w:rPr>
          <w:kern w:val="0"/>
        </w:rPr>
        <w:t>primary outcome was preterm birth (&lt;37 weeks). Secondary outcomes were low birthweight infants (&lt;2500 g), spontaneous abortions/stillbirths,</w:t>
      </w:r>
      <w:r w:rsidR="005853A9">
        <w:rPr>
          <w:kern w:val="0"/>
        </w:rPr>
        <w:t xml:space="preserve"> and </w:t>
      </w:r>
      <w:r>
        <w:rPr>
          <w:kern w:val="0"/>
        </w:rPr>
        <w:t>overall adverse pregnancy outcome (preterm birth &lt;37 weeks</w:t>
      </w:r>
      <w:r w:rsidR="005853A9">
        <w:rPr>
          <w:kern w:val="0"/>
        </w:rPr>
        <w:t xml:space="preserve"> and </w:t>
      </w:r>
      <w:r>
        <w:rPr>
          <w:kern w:val="0"/>
        </w:rPr>
        <w:t>spontaneous abortions/stillbirths). Results 11 trials (with 6558 women) were included. Five trials were considered to be</w:t>
      </w:r>
      <w:r w:rsidR="00427468">
        <w:rPr>
          <w:kern w:val="0"/>
        </w:rPr>
        <w:t xml:space="preserve"> of </w:t>
      </w:r>
      <w:r>
        <w:rPr>
          <w:kern w:val="0"/>
        </w:rPr>
        <w:t>high methodological quality (low risk</w:t>
      </w:r>
      <w:r w:rsidR="00427468">
        <w:rPr>
          <w:kern w:val="0"/>
        </w:rPr>
        <w:t xml:space="preserve"> of </w:t>
      </w:r>
      <w:r>
        <w:rPr>
          <w:kern w:val="0"/>
        </w:rPr>
        <w:t>bias), whereas</w:t>
      </w:r>
      <w:r w:rsidR="003A1917">
        <w:rPr>
          <w:kern w:val="0"/>
        </w:rPr>
        <w:t xml:space="preserve"> the </w:t>
      </w:r>
      <w:r>
        <w:rPr>
          <w:kern w:val="0"/>
        </w:rPr>
        <w:t>rest were low quality (high or unclear risk</w:t>
      </w:r>
      <w:r w:rsidR="00427468">
        <w:rPr>
          <w:kern w:val="0"/>
        </w:rPr>
        <w:t xml:space="preserve"> of </w:t>
      </w:r>
      <w:r>
        <w:rPr>
          <w:kern w:val="0"/>
        </w:rPr>
        <w:t>bias). Results among low</w:t>
      </w:r>
      <w:r w:rsidR="005853A9">
        <w:rPr>
          <w:kern w:val="0"/>
        </w:rPr>
        <w:t xml:space="preserve"> and </w:t>
      </w:r>
      <w:r>
        <w:rPr>
          <w:kern w:val="0"/>
        </w:rPr>
        <w:t>high quality trials were consistently diverse; low quality trials supported a beneficial effect</w:t>
      </w:r>
      <w:r w:rsidR="00427468">
        <w:rPr>
          <w:kern w:val="0"/>
        </w:rPr>
        <w:t xml:space="preserve"> of </w:t>
      </w:r>
      <w:r>
        <w:rPr>
          <w:kern w:val="0"/>
        </w:rPr>
        <w:t>treatment,</w:t>
      </w:r>
      <w:r w:rsidR="005853A9">
        <w:rPr>
          <w:kern w:val="0"/>
        </w:rPr>
        <w:t xml:space="preserve"> and </w:t>
      </w:r>
      <w:r>
        <w:rPr>
          <w:kern w:val="0"/>
        </w:rPr>
        <w:t>high quality trials provided clear evidence that no such effect exists. Among high quality studies, treatment had no significant effect on</w:t>
      </w:r>
      <w:r w:rsidR="003A1917">
        <w:rPr>
          <w:kern w:val="0"/>
        </w:rPr>
        <w:t xml:space="preserve"> the </w:t>
      </w:r>
      <w:r>
        <w:rPr>
          <w:kern w:val="0"/>
        </w:rPr>
        <w:t>overall rate</w:t>
      </w:r>
      <w:r w:rsidR="00427468">
        <w:rPr>
          <w:kern w:val="0"/>
        </w:rPr>
        <w:t xml:space="preserve"> of </w:t>
      </w:r>
      <w:r>
        <w:rPr>
          <w:kern w:val="0"/>
        </w:rPr>
        <w:t>preterm birth (odds ratio 1.15, 95% confidence interval 0.95 to 1.40; P=0.15). Furthermore, treatment did not reduce</w:t>
      </w:r>
      <w:r w:rsidR="003A1917">
        <w:rPr>
          <w:kern w:val="0"/>
        </w:rPr>
        <w:t xml:space="preserve"> the </w:t>
      </w:r>
      <w:r>
        <w:rPr>
          <w:kern w:val="0"/>
        </w:rPr>
        <w:t>rate</w:t>
      </w:r>
      <w:r w:rsidR="00427468">
        <w:rPr>
          <w:kern w:val="0"/>
        </w:rPr>
        <w:t xml:space="preserve"> of </w:t>
      </w:r>
      <w:r>
        <w:rPr>
          <w:kern w:val="0"/>
        </w:rPr>
        <w:t>low birthweight infants (odds ratio 1.07, 0.85 to 1.36; P=0.55), spontaneous abortions/stillbirths (0.79, 0.51 to 1.22; P=0.28), or overall adverse pregnancy outcome (preterm births &lt;37 weeks</w:t>
      </w:r>
      <w:r w:rsidR="005853A9">
        <w:rPr>
          <w:kern w:val="0"/>
        </w:rPr>
        <w:t xml:space="preserve"> and </w:t>
      </w:r>
      <w:r>
        <w:rPr>
          <w:kern w:val="0"/>
        </w:rPr>
        <w:t>spontaneous abortions/stillbirths) (1.09, 0.91 to 1.30; P=0.34). Conclusion Treatment</w:t>
      </w:r>
      <w:r w:rsidR="00427468">
        <w:rPr>
          <w:kern w:val="0"/>
        </w:rPr>
        <w:t xml:space="preserve"> of </w:t>
      </w:r>
      <w:r>
        <w:rPr>
          <w:kern w:val="0"/>
        </w:rPr>
        <w:t>periodontal disease with scaling</w:t>
      </w:r>
      <w:r w:rsidR="005853A9">
        <w:rPr>
          <w:kern w:val="0"/>
        </w:rPr>
        <w:t xml:space="preserve"> and </w:t>
      </w:r>
      <w:r>
        <w:rPr>
          <w:kern w:val="0"/>
        </w:rPr>
        <w:t xml:space="preserve">root </w:t>
      </w:r>
      <w:r>
        <w:rPr>
          <w:kern w:val="0"/>
        </w:rPr>
        <w:lastRenderedPageBreak/>
        <w:t>planing cannot be considered to be an efficient way</w:t>
      </w:r>
      <w:r w:rsidR="00427468">
        <w:rPr>
          <w:kern w:val="0"/>
        </w:rPr>
        <w:t xml:space="preserve"> of </w:t>
      </w:r>
      <w:r>
        <w:rPr>
          <w:kern w:val="0"/>
        </w:rPr>
        <w:t>reducing</w:t>
      </w:r>
      <w:r w:rsidR="003A1917">
        <w:rPr>
          <w:kern w:val="0"/>
        </w:rPr>
        <w:t xml:space="preserve"> the </w:t>
      </w:r>
      <w:r>
        <w:rPr>
          <w:kern w:val="0"/>
        </w:rPr>
        <w:t>incidence</w:t>
      </w:r>
      <w:r w:rsidR="00427468">
        <w:rPr>
          <w:kern w:val="0"/>
        </w:rPr>
        <w:t xml:space="preserve"> of </w:t>
      </w:r>
      <w:r>
        <w:rPr>
          <w:kern w:val="0"/>
        </w:rPr>
        <w:t>preterm birth. Women may be advised to have periodical dental examinations during pregnancy to test their dental status</w:t>
      </w:r>
      <w:r w:rsidR="005853A9">
        <w:rPr>
          <w:kern w:val="0"/>
        </w:rPr>
        <w:t xml:space="preserve"> and </w:t>
      </w:r>
      <w:r>
        <w:rPr>
          <w:kern w:val="0"/>
        </w:rPr>
        <w:t>may have treatment for periodontal disease. However, they should be told that such treatment during pregnancy is unlikely to reduce</w:t>
      </w:r>
      <w:r w:rsidR="003A1917">
        <w:rPr>
          <w:kern w:val="0"/>
        </w:rPr>
        <w:t xml:space="preserve"> the </w:t>
      </w:r>
      <w:r>
        <w:rPr>
          <w:kern w:val="0"/>
        </w:rPr>
        <w:t>risk</w:t>
      </w:r>
      <w:r w:rsidR="00427468">
        <w:rPr>
          <w:kern w:val="0"/>
        </w:rPr>
        <w:t xml:space="preserve"> of </w:t>
      </w:r>
      <w:r>
        <w:rPr>
          <w:kern w:val="0"/>
        </w:rPr>
        <w:t>preterm birth or low birthweight infants.</w:t>
      </w:r>
    </w:p>
    <w:p w:rsidR="001217DA" w:rsidRDefault="001217DA" w:rsidP="001217DA">
      <w:pPr>
        <w:pStyle w:val="a3"/>
        <w:rPr>
          <w:kern w:val="0"/>
        </w:rPr>
      </w:pPr>
      <w:r>
        <w:rPr>
          <w:kern w:val="0"/>
        </w:rPr>
        <w:t>Keywords: Bias, Birthweight, Cochrane, Disease, Empirical-Evidence, Infants, Intervention, Involvement</w:t>
      </w:r>
      <w:r w:rsidR="00D5664A">
        <w:rPr>
          <w:kern w:val="0"/>
        </w:rPr>
        <w:t>, ISI,</w:t>
      </w:r>
      <w:r>
        <w:rPr>
          <w:kern w:val="0"/>
        </w:rPr>
        <w:t xml:space="preserve"> Journals, Low-Birth-Weight, Meta-Analysis, Outcome, Outcomes, Periodical, Periodontal Disease, Pregnancy, Preterm Birth, Primary, Publication Bias, Quality, Randomized-Controlled-Trial, Ratio, Review, Risk, Science, Systematic, Systematic Review, Therapy, Treatment, </w:t>
      </w:r>
      <w:r w:rsidR="00D5664A">
        <w:rPr>
          <w:kern w:val="0"/>
        </w:rPr>
        <w:t>Web</w:t>
      </w:r>
      <w:r w:rsidR="00427468">
        <w:rPr>
          <w:kern w:val="0"/>
        </w:rPr>
        <w:t xml:space="preserve"> of </w:t>
      </w:r>
      <w:r w:rsidR="00D5664A">
        <w:rPr>
          <w:kern w:val="0"/>
        </w:rPr>
        <w:t>Science</w:t>
      </w:r>
      <w:r>
        <w:rPr>
          <w:kern w:val="0"/>
        </w:rPr>
        <w:t>, Women</w:t>
      </w:r>
    </w:p>
    <w:p w:rsidR="000E5770" w:rsidRDefault="000E5770" w:rsidP="0052379D">
      <w:pPr>
        <w:pStyle w:val="a3"/>
        <w:rPr>
          <w:kern w:val="0"/>
        </w:rPr>
      </w:pPr>
      <w:r>
        <w:rPr>
          <w:rFonts w:hint="eastAsia"/>
          <w:kern w:val="0"/>
        </w:rPr>
        <w:t>Notes: CCountry</w:t>
      </w:r>
    </w:p>
    <w:p w:rsidR="0052379D" w:rsidRDefault="0052379D" w:rsidP="0052379D">
      <w:pPr>
        <w:pStyle w:val="a3"/>
        <w:rPr>
          <w:kern w:val="0"/>
        </w:rPr>
      </w:pPr>
      <w:r>
        <w:rPr>
          <w:rFonts w:hint="eastAsia"/>
          <w:kern w:val="0"/>
        </w:rPr>
        <w:t xml:space="preserve">? </w:t>
      </w:r>
      <w:r>
        <w:rPr>
          <w:kern w:val="0"/>
        </w:rPr>
        <w:t>Trelle, S., Reichenbach, S., Wandel, S., Hildebrand, P., Tschannen, B., Villiger, P.M., Egger, M.</w:t>
      </w:r>
      <w:r w:rsidR="005853A9">
        <w:rPr>
          <w:kern w:val="0"/>
        </w:rPr>
        <w:t xml:space="preserve"> and </w:t>
      </w:r>
      <w:r>
        <w:rPr>
          <w:kern w:val="0"/>
        </w:rPr>
        <w:t>Juni, P. (2011), Cardiovascular safety</w:t>
      </w:r>
      <w:r w:rsidR="00427468">
        <w:rPr>
          <w:kern w:val="0"/>
        </w:rPr>
        <w:t xml:space="preserve"> of </w:t>
      </w:r>
      <w:r>
        <w:rPr>
          <w:kern w:val="0"/>
        </w:rPr>
        <w:t xml:space="preserve">non-steroidal anti-inflammatory drugs: Network meta-analysis. </w:t>
      </w:r>
      <w:r>
        <w:rPr>
          <w:i/>
          <w:iCs/>
          <w:kern w:val="0"/>
        </w:rPr>
        <w:t>British Medical Journal</w:t>
      </w:r>
      <w:r>
        <w:rPr>
          <w:kern w:val="0"/>
        </w:rPr>
        <w:t xml:space="preserve">, </w:t>
      </w:r>
      <w:r>
        <w:rPr>
          <w:b/>
          <w:bCs/>
          <w:kern w:val="0"/>
        </w:rPr>
        <w:t>342</w:t>
      </w:r>
      <w:r>
        <w:rPr>
          <w:rFonts w:hint="eastAsia"/>
          <w:kern w:val="0"/>
        </w:rPr>
        <w:t xml:space="preserve">, </w:t>
      </w:r>
      <w:r w:rsidRPr="001A3D2B">
        <w:rPr>
          <w:kern w:val="0"/>
        </w:rPr>
        <w:t xml:space="preserve">Article Number: </w:t>
      </w:r>
      <w:r>
        <w:t>c7086</w:t>
      </w:r>
      <w:r>
        <w:rPr>
          <w:kern w:val="0"/>
        </w:rPr>
        <w:t>.</w:t>
      </w:r>
    </w:p>
    <w:p w:rsidR="00A46382" w:rsidRPr="001A3D2B" w:rsidRDefault="00A46382" w:rsidP="00A46382">
      <w:pPr>
        <w:pStyle w:val="a3"/>
        <w:rPr>
          <w:kern w:val="0"/>
        </w:rPr>
      </w:pPr>
      <w:r w:rsidRPr="001A3D2B">
        <w:t xml:space="preserve">Full Text: </w:t>
      </w:r>
      <w:hyperlink r:id="rId2062" w:history="1">
        <w:r w:rsidRPr="00FD2780">
          <w:rPr>
            <w:rStyle w:val="a5"/>
          </w:rPr>
          <w:t>2011\Bri Med J342, c7086.pdf</w:t>
        </w:r>
      </w:hyperlink>
    </w:p>
    <w:p w:rsidR="0052379D" w:rsidRDefault="0052379D" w:rsidP="0052379D">
      <w:pPr>
        <w:pStyle w:val="a3"/>
        <w:rPr>
          <w:kern w:val="0"/>
        </w:rPr>
      </w:pPr>
      <w:r>
        <w:rPr>
          <w:kern w:val="0"/>
        </w:rPr>
        <w:t>Abstract: Objective To analyse</w:t>
      </w:r>
      <w:r w:rsidR="003A1917">
        <w:rPr>
          <w:kern w:val="0"/>
        </w:rPr>
        <w:t xml:space="preserve"> the </w:t>
      </w:r>
      <w:r>
        <w:rPr>
          <w:kern w:val="0"/>
        </w:rPr>
        <w:t>available evidence on cardiovascular safety</w:t>
      </w:r>
      <w:r w:rsidR="00427468">
        <w:rPr>
          <w:kern w:val="0"/>
        </w:rPr>
        <w:t xml:space="preserve"> of </w:t>
      </w:r>
      <w:r>
        <w:rPr>
          <w:kern w:val="0"/>
        </w:rPr>
        <w:t>non-steroidal anti-inflammatory drugs. Design Network meta-analysis. Data sources Bibliographic databases, conference proceedings, study registers,</w:t>
      </w:r>
      <w:r w:rsidR="003A1917">
        <w:rPr>
          <w:kern w:val="0"/>
        </w:rPr>
        <w:t xml:space="preserve"> the </w:t>
      </w:r>
      <w:r>
        <w:rPr>
          <w:kern w:val="0"/>
        </w:rPr>
        <w:t>Food</w:t>
      </w:r>
      <w:r w:rsidR="005853A9">
        <w:rPr>
          <w:kern w:val="0"/>
        </w:rPr>
        <w:t xml:space="preserve"> and </w:t>
      </w:r>
      <w:r>
        <w:rPr>
          <w:kern w:val="0"/>
        </w:rPr>
        <w:t>Drug Administration website, reference lists</w:t>
      </w:r>
      <w:r w:rsidR="00427468">
        <w:rPr>
          <w:kern w:val="0"/>
        </w:rPr>
        <w:t xml:space="preserve"> of </w:t>
      </w:r>
      <w:r>
        <w:rPr>
          <w:kern w:val="0"/>
        </w:rPr>
        <w:t>relevant articles,</w:t>
      </w:r>
      <w:r w:rsidR="005853A9">
        <w:rPr>
          <w:kern w:val="0"/>
        </w:rPr>
        <w:t xml:space="preserve"> and </w:t>
      </w:r>
      <w:r>
        <w:rPr>
          <w:kern w:val="0"/>
        </w:rPr>
        <w:t>reports citing relevant articles through</w:t>
      </w:r>
      <w:r w:rsidR="003A1917">
        <w:rPr>
          <w:kern w:val="0"/>
        </w:rPr>
        <w:t xml:space="preserve"> the </w:t>
      </w:r>
      <w:r>
        <w:rPr>
          <w:kern w:val="0"/>
        </w:rPr>
        <w:t>Science Citation Index (last update July 2009). Manufacturers</w:t>
      </w:r>
      <w:r w:rsidR="00427468">
        <w:rPr>
          <w:kern w:val="0"/>
        </w:rPr>
        <w:t xml:space="preserve"> of </w:t>
      </w:r>
      <w:r>
        <w:rPr>
          <w:kern w:val="0"/>
        </w:rPr>
        <w:t>celecoxib</w:t>
      </w:r>
      <w:r w:rsidR="005853A9">
        <w:rPr>
          <w:kern w:val="0"/>
        </w:rPr>
        <w:t xml:space="preserve"> and </w:t>
      </w:r>
      <w:r>
        <w:rPr>
          <w:kern w:val="0"/>
        </w:rPr>
        <w:t>lumiracoxib provided additional data. Study selection All large scale randomised controlled trials comparing any non-steroidal anti-inflammatory drug with other non-steroidal anti-inflammatory drugs or placebo. Two investigators independently assessed eligibility. Data extraction</w:t>
      </w:r>
      <w:r w:rsidR="003A1917">
        <w:rPr>
          <w:kern w:val="0"/>
        </w:rPr>
        <w:t xml:space="preserve"> the </w:t>
      </w:r>
      <w:r>
        <w:rPr>
          <w:kern w:val="0"/>
        </w:rPr>
        <w:t>primary outcome was myocardial infarction. Secondary outcomes included stroke, death from cardiovascular disease,</w:t>
      </w:r>
      <w:r w:rsidR="005853A9">
        <w:rPr>
          <w:kern w:val="0"/>
        </w:rPr>
        <w:t xml:space="preserve"> and </w:t>
      </w:r>
      <w:r>
        <w:rPr>
          <w:kern w:val="0"/>
        </w:rPr>
        <w:t>death from any cause. Two investigators independently extracted data. Data synthesis 31 trials in 116 429 patients with more than 115 000 patient years</w:t>
      </w:r>
      <w:r w:rsidR="00427468">
        <w:rPr>
          <w:kern w:val="0"/>
        </w:rPr>
        <w:t xml:space="preserve"> of </w:t>
      </w:r>
      <w:r>
        <w:rPr>
          <w:kern w:val="0"/>
        </w:rPr>
        <w:t>follow-up were included. Patients were allocated to naproxen, ibuprofen, diclofenac, celecoxib, etoricoxib, rofecoxib, lumiracoxib, or placebo. Compared with placebo, rofecoxib was associated with</w:t>
      </w:r>
      <w:r w:rsidR="003A1917">
        <w:rPr>
          <w:kern w:val="0"/>
        </w:rPr>
        <w:t xml:space="preserve"> the </w:t>
      </w:r>
      <w:r>
        <w:rPr>
          <w:kern w:val="0"/>
        </w:rPr>
        <w:t>highest risk</w:t>
      </w:r>
      <w:r w:rsidR="00427468">
        <w:rPr>
          <w:kern w:val="0"/>
        </w:rPr>
        <w:t xml:space="preserve"> of </w:t>
      </w:r>
      <w:r>
        <w:rPr>
          <w:kern w:val="0"/>
        </w:rPr>
        <w:t>myocardial infarction (rate ratio 2.12, 95% credibility interval 1.26 to 3.56), followed by lumiracoxib (2.00, 0.71 to 6.21). Ibuprofen was associated with</w:t>
      </w:r>
      <w:r w:rsidR="003A1917">
        <w:rPr>
          <w:kern w:val="0"/>
        </w:rPr>
        <w:t xml:space="preserve"> the </w:t>
      </w:r>
      <w:r>
        <w:rPr>
          <w:kern w:val="0"/>
        </w:rPr>
        <w:t>highest risk</w:t>
      </w:r>
      <w:r w:rsidR="00427468">
        <w:rPr>
          <w:kern w:val="0"/>
        </w:rPr>
        <w:t xml:space="preserve"> of </w:t>
      </w:r>
      <w:r>
        <w:rPr>
          <w:kern w:val="0"/>
        </w:rPr>
        <w:t>stroke (3.36, 1.00 to 11.6), followed by diclofenac (2.86, 1.09 to 8.36). Etoricoxib (4.07, 1.23 to 15.7)</w:t>
      </w:r>
      <w:r w:rsidR="005853A9">
        <w:rPr>
          <w:kern w:val="0"/>
        </w:rPr>
        <w:t xml:space="preserve"> and </w:t>
      </w:r>
      <w:r>
        <w:rPr>
          <w:kern w:val="0"/>
        </w:rPr>
        <w:t>diclofenac (3.98, 1.48 to 12.7) were associated with</w:t>
      </w:r>
      <w:r w:rsidR="003A1917">
        <w:rPr>
          <w:kern w:val="0"/>
        </w:rPr>
        <w:t xml:space="preserve"> the </w:t>
      </w:r>
      <w:r>
        <w:rPr>
          <w:kern w:val="0"/>
        </w:rPr>
        <w:t>highest risk</w:t>
      </w:r>
      <w:r w:rsidR="00427468">
        <w:rPr>
          <w:kern w:val="0"/>
        </w:rPr>
        <w:t xml:space="preserve"> of </w:t>
      </w:r>
      <w:r>
        <w:rPr>
          <w:kern w:val="0"/>
        </w:rPr>
        <w:t>cardiovascular death. Conclusions Although uncertainty remains, little evidence exists to suggest that any</w:t>
      </w:r>
      <w:r w:rsidR="00427468">
        <w:rPr>
          <w:kern w:val="0"/>
        </w:rPr>
        <w:t xml:space="preserve"> of </w:t>
      </w:r>
      <w:r w:rsidR="003A1917">
        <w:rPr>
          <w:kern w:val="0"/>
        </w:rPr>
        <w:t xml:space="preserve">the </w:t>
      </w:r>
      <w:r>
        <w:rPr>
          <w:kern w:val="0"/>
        </w:rPr>
        <w:t xml:space="preserve">investigated drugs are safe in cardiovascular terms. Naproxen seemed least harmful. Cardiovascular risk needs to </w:t>
      </w:r>
      <w:r>
        <w:rPr>
          <w:kern w:val="0"/>
        </w:rPr>
        <w:lastRenderedPageBreak/>
        <w:t>be taken into account when prescribing any non-steroidal antiinflammatory drug.</w:t>
      </w:r>
    </w:p>
    <w:p w:rsidR="0052379D" w:rsidRDefault="0052379D" w:rsidP="0052379D">
      <w:pPr>
        <w:pStyle w:val="a3"/>
        <w:rPr>
          <w:kern w:val="0"/>
        </w:rPr>
      </w:pPr>
      <w:r>
        <w:rPr>
          <w:kern w:val="0"/>
        </w:rPr>
        <w:t>Keywords: Alzheimer-Disease, Cardiovascular, Cardiovascular Disease, Credibility, Cyclo-Oxygenase-2 Inhibitors, Cyclooxygenase-2 Inhibitors, Data, Databases, Death, Diclofenac, Disease, Drug, Drugs, Events, Evidence, Extraction, Follow</w:t>
      </w:r>
      <w:r w:rsidR="0062028A">
        <w:rPr>
          <w:kern w:val="0"/>
        </w:rPr>
        <w:t>-up,</w:t>
      </w:r>
      <w:r>
        <w:rPr>
          <w:kern w:val="0"/>
        </w:rPr>
        <w:t xml:space="preserve"> Ibuprofen, Infarction, Interval, Meta-Analysis, Metaanalysis, Mixed Treatment Comparisons, Myocardial Infarction, Myocardial-Infarction, Naproxen, Needs, Network, Outcome, Outcomes, Patients, Placebo, Prescribing, Primary, Randomised, Randomised Controlled Trials, Randomized-Trials, Reference, Reference Lists, Rheumatoid-Arthritis, Risk, Rofecoxib, Safety, Scale, Science Citation Index, Sources, Stroke, Synthesis, Uncertainty</w:t>
      </w:r>
    </w:p>
    <w:p w:rsidR="00F86477" w:rsidRDefault="00F86477" w:rsidP="00F86477">
      <w:pPr>
        <w:pStyle w:val="a3"/>
        <w:rPr>
          <w:kern w:val="0"/>
        </w:rPr>
      </w:pPr>
      <w:r>
        <w:rPr>
          <w:rFonts w:hint="eastAsia"/>
          <w:kern w:val="0"/>
        </w:rPr>
        <w:t xml:space="preserve">? </w:t>
      </w:r>
      <w:r>
        <w:rPr>
          <w:kern w:val="0"/>
        </w:rPr>
        <w:t>Blackwood, B., Alderdice, F., Burns, K., Cardwell, C., Lavery, G.</w:t>
      </w:r>
      <w:r w:rsidR="005853A9">
        <w:rPr>
          <w:kern w:val="0"/>
        </w:rPr>
        <w:t xml:space="preserve"> and </w:t>
      </w:r>
      <w:r>
        <w:rPr>
          <w:kern w:val="0"/>
        </w:rPr>
        <w:t>O</w:t>
      </w:r>
      <w:r w:rsidR="00700038">
        <w:rPr>
          <w:kern w:val="0"/>
        </w:rPr>
        <w:t>’</w:t>
      </w:r>
      <w:r>
        <w:rPr>
          <w:kern w:val="0"/>
        </w:rPr>
        <w:t>Halloran, P. (2011), Use</w:t>
      </w:r>
      <w:r w:rsidR="00427468">
        <w:rPr>
          <w:kern w:val="0"/>
        </w:rPr>
        <w:t xml:space="preserve"> of </w:t>
      </w:r>
      <w:r>
        <w:rPr>
          <w:kern w:val="0"/>
        </w:rPr>
        <w:t>weaning protocols for reducing duration</w:t>
      </w:r>
      <w:r w:rsidR="00427468">
        <w:rPr>
          <w:kern w:val="0"/>
        </w:rPr>
        <w:t xml:space="preserve"> of </w:t>
      </w:r>
      <w:r>
        <w:rPr>
          <w:kern w:val="0"/>
        </w:rPr>
        <w:t>mechanical ventilation in critically ill adult patients: Cochrane systematic review</w:t>
      </w:r>
      <w:r w:rsidR="005853A9">
        <w:rPr>
          <w:kern w:val="0"/>
        </w:rPr>
        <w:t xml:space="preserve"> and </w:t>
      </w:r>
      <w:r>
        <w:rPr>
          <w:kern w:val="0"/>
        </w:rPr>
        <w:t xml:space="preserve">meta-analysis. </w:t>
      </w:r>
      <w:r>
        <w:rPr>
          <w:i/>
          <w:iCs/>
          <w:kern w:val="0"/>
        </w:rPr>
        <w:t>British Medical Journal</w:t>
      </w:r>
      <w:r>
        <w:rPr>
          <w:kern w:val="0"/>
        </w:rPr>
        <w:t xml:space="preserve">, </w:t>
      </w:r>
      <w:r>
        <w:rPr>
          <w:b/>
          <w:bCs/>
          <w:kern w:val="0"/>
        </w:rPr>
        <w:t>342</w:t>
      </w:r>
      <w:r>
        <w:rPr>
          <w:rFonts w:hint="eastAsia"/>
          <w:kern w:val="0"/>
        </w:rPr>
        <w:t>,</w:t>
      </w:r>
      <w:r w:rsidRPr="001A1CD0">
        <w:t xml:space="preserve"> </w:t>
      </w:r>
      <w:r w:rsidRPr="001A1CD0">
        <w:rPr>
          <w:kern w:val="0"/>
        </w:rPr>
        <w:t>Article Number: c7237</w:t>
      </w:r>
      <w:r>
        <w:rPr>
          <w:rFonts w:hint="eastAsia"/>
          <w:kern w:val="0"/>
        </w:rPr>
        <w:t>.</w:t>
      </w:r>
    </w:p>
    <w:p w:rsidR="00A46382" w:rsidRDefault="00A46382" w:rsidP="00A46382">
      <w:pPr>
        <w:pStyle w:val="a3"/>
      </w:pPr>
      <w:r>
        <w:t>Full Text:</w:t>
      </w:r>
      <w:r w:rsidRPr="00FC7835">
        <w:t xml:space="preserve"> </w:t>
      </w:r>
      <w:hyperlink r:id="rId2063" w:history="1">
        <w:r w:rsidRPr="00FD2780">
          <w:rPr>
            <w:rStyle w:val="a5"/>
          </w:rPr>
          <w:t>2011\Bri Med J342, c7237.pdf</w:t>
        </w:r>
      </w:hyperlink>
    </w:p>
    <w:p w:rsidR="00F86477" w:rsidRDefault="00F86477" w:rsidP="00F86477">
      <w:pPr>
        <w:pStyle w:val="a3"/>
        <w:rPr>
          <w:kern w:val="0"/>
        </w:rPr>
      </w:pPr>
      <w:r>
        <w:rPr>
          <w:kern w:val="0"/>
        </w:rPr>
        <w:t>Abstract: Objective To investigate</w:t>
      </w:r>
      <w:r w:rsidR="003A1917">
        <w:rPr>
          <w:kern w:val="0"/>
        </w:rPr>
        <w:t xml:space="preserve"> the </w:t>
      </w:r>
      <w:r>
        <w:rPr>
          <w:kern w:val="0"/>
        </w:rPr>
        <w:t>effects</w:t>
      </w:r>
      <w:r w:rsidR="00427468">
        <w:rPr>
          <w:kern w:val="0"/>
        </w:rPr>
        <w:t xml:space="preserve"> of </w:t>
      </w:r>
      <w:r>
        <w:rPr>
          <w:kern w:val="0"/>
        </w:rPr>
        <w:t>weaning protocols on</w:t>
      </w:r>
      <w:r w:rsidR="003A1917">
        <w:rPr>
          <w:kern w:val="0"/>
        </w:rPr>
        <w:t xml:space="preserve"> the </w:t>
      </w:r>
      <w:r>
        <w:rPr>
          <w:kern w:val="0"/>
        </w:rPr>
        <w:t>total duration</w:t>
      </w:r>
      <w:r w:rsidR="00427468">
        <w:rPr>
          <w:kern w:val="0"/>
        </w:rPr>
        <w:t xml:space="preserve"> of </w:t>
      </w:r>
      <w:r>
        <w:rPr>
          <w:kern w:val="0"/>
        </w:rPr>
        <w:t>mechanical ventilation, mortality, adverse events, quality</w:t>
      </w:r>
      <w:r w:rsidR="00427468">
        <w:rPr>
          <w:kern w:val="0"/>
        </w:rPr>
        <w:t xml:space="preserve"> of </w:t>
      </w:r>
      <w:r>
        <w:rPr>
          <w:kern w:val="0"/>
        </w:rPr>
        <w:t>life, weaning duration,</w:t>
      </w:r>
      <w:r w:rsidR="005853A9">
        <w:rPr>
          <w:kern w:val="0"/>
        </w:rPr>
        <w:t xml:space="preserve"> and </w:t>
      </w:r>
      <w:r>
        <w:rPr>
          <w:kern w:val="0"/>
        </w:rPr>
        <w:t>length</w:t>
      </w:r>
      <w:r w:rsidR="00427468">
        <w:rPr>
          <w:kern w:val="0"/>
        </w:rPr>
        <w:t xml:space="preserve"> of </w:t>
      </w:r>
      <w:r>
        <w:rPr>
          <w:kern w:val="0"/>
        </w:rPr>
        <w:t>stay in</w:t>
      </w:r>
      <w:r w:rsidR="003A1917">
        <w:rPr>
          <w:kern w:val="0"/>
        </w:rPr>
        <w:t xml:space="preserve"> the </w:t>
      </w:r>
      <w:r>
        <w:rPr>
          <w:kern w:val="0"/>
        </w:rPr>
        <w:t>intensive care unit</w:t>
      </w:r>
      <w:r w:rsidR="005853A9">
        <w:rPr>
          <w:kern w:val="0"/>
        </w:rPr>
        <w:t xml:space="preserve"> and </w:t>
      </w:r>
      <w:r>
        <w:rPr>
          <w:kern w:val="0"/>
        </w:rPr>
        <w:t>hospital. Design Systematic review. Data sources Cochrane Central Register</w:t>
      </w:r>
      <w:r w:rsidR="00427468">
        <w:rPr>
          <w:kern w:val="0"/>
        </w:rPr>
        <w:t xml:space="preserve"> of </w:t>
      </w:r>
      <w:r>
        <w:rPr>
          <w:kern w:val="0"/>
        </w:rPr>
        <w:t xml:space="preserve">Controlled Trials, </w:t>
      </w:r>
      <w:r w:rsidR="00D5664A">
        <w:rPr>
          <w:kern w:val="0"/>
        </w:rPr>
        <w:t>MEDLINE</w:t>
      </w:r>
      <w:r>
        <w:rPr>
          <w:kern w:val="0"/>
        </w:rPr>
        <w:t xml:space="preserve">, EMBASE, CINAHL, LILACS, </w:t>
      </w:r>
      <w:r w:rsidR="00730B6D">
        <w:rPr>
          <w:kern w:val="0"/>
        </w:rPr>
        <w:t xml:space="preserve">ISI </w:t>
      </w:r>
      <w:r w:rsidR="00D5664A">
        <w:rPr>
          <w:kern w:val="0"/>
        </w:rPr>
        <w:t>Web</w:t>
      </w:r>
      <w:r w:rsidR="00427468">
        <w:rPr>
          <w:kern w:val="0"/>
        </w:rPr>
        <w:t xml:space="preserve"> of </w:t>
      </w:r>
      <w:r w:rsidR="00D5664A">
        <w:rPr>
          <w:kern w:val="0"/>
        </w:rPr>
        <w:t>Science</w:t>
      </w:r>
      <w:r>
        <w:rPr>
          <w:kern w:val="0"/>
        </w:rPr>
        <w:t>, ISI Conference Proceedings, Cambridge Scientific Abstracts,</w:t>
      </w:r>
      <w:r w:rsidR="005853A9">
        <w:rPr>
          <w:kern w:val="0"/>
        </w:rPr>
        <w:t xml:space="preserve"> and </w:t>
      </w:r>
      <w:r>
        <w:rPr>
          <w:kern w:val="0"/>
        </w:rPr>
        <w:t>reference lists</w:t>
      </w:r>
      <w:r w:rsidR="00427468">
        <w:rPr>
          <w:kern w:val="0"/>
        </w:rPr>
        <w:t xml:space="preserve"> of </w:t>
      </w:r>
      <w:r>
        <w:rPr>
          <w:kern w:val="0"/>
        </w:rPr>
        <w:t>articles. We did not apply language restrictions. Review methods We included randomised</w:t>
      </w:r>
      <w:r w:rsidR="005853A9">
        <w:rPr>
          <w:kern w:val="0"/>
        </w:rPr>
        <w:t xml:space="preserve"> and </w:t>
      </w:r>
      <w:r>
        <w:rPr>
          <w:kern w:val="0"/>
        </w:rPr>
        <w:t>quasi-randomised controlled trials</w:t>
      </w:r>
      <w:r w:rsidR="00427468">
        <w:rPr>
          <w:kern w:val="0"/>
        </w:rPr>
        <w:t xml:space="preserve"> of </w:t>
      </w:r>
      <w:r>
        <w:rPr>
          <w:kern w:val="0"/>
        </w:rPr>
        <w:t>weaning from mechanical ventilation with</w:t>
      </w:r>
      <w:r w:rsidR="005853A9">
        <w:rPr>
          <w:kern w:val="0"/>
        </w:rPr>
        <w:t xml:space="preserve"> and </w:t>
      </w:r>
      <w:r>
        <w:rPr>
          <w:kern w:val="0"/>
        </w:rPr>
        <w:t>without protocols in critically ill adults. Data selection Three authors independently assessed trial quality</w:t>
      </w:r>
      <w:r w:rsidR="005853A9">
        <w:rPr>
          <w:kern w:val="0"/>
        </w:rPr>
        <w:t xml:space="preserve"> and </w:t>
      </w:r>
      <w:r>
        <w:rPr>
          <w:kern w:val="0"/>
        </w:rPr>
        <w:t>extracted data. A priori subgroup</w:t>
      </w:r>
      <w:r w:rsidR="005853A9">
        <w:rPr>
          <w:kern w:val="0"/>
        </w:rPr>
        <w:t xml:space="preserve"> and </w:t>
      </w:r>
      <w:r>
        <w:rPr>
          <w:kern w:val="0"/>
        </w:rPr>
        <w:t>sensitivity analyses were performed. We contacted study authors for additional information. Results Eleven trials that included 1971 patients met</w:t>
      </w:r>
      <w:r w:rsidR="003A1917">
        <w:rPr>
          <w:kern w:val="0"/>
        </w:rPr>
        <w:t xml:space="preserve"> the </w:t>
      </w:r>
      <w:r>
        <w:rPr>
          <w:kern w:val="0"/>
        </w:rPr>
        <w:t>inclusion criteria. Compared with usual care,</w:t>
      </w:r>
      <w:r w:rsidR="003A1917">
        <w:rPr>
          <w:kern w:val="0"/>
        </w:rPr>
        <w:t xml:space="preserve"> the </w:t>
      </w:r>
      <w:r>
        <w:rPr>
          <w:kern w:val="0"/>
        </w:rPr>
        <w:t>geometric mean duration</w:t>
      </w:r>
      <w:r w:rsidR="00427468">
        <w:rPr>
          <w:kern w:val="0"/>
        </w:rPr>
        <w:t xml:space="preserve"> of </w:t>
      </w:r>
      <w:r>
        <w:rPr>
          <w:kern w:val="0"/>
        </w:rPr>
        <w:t>mechanical ventilation in</w:t>
      </w:r>
      <w:r w:rsidR="003A1917">
        <w:rPr>
          <w:kern w:val="0"/>
        </w:rPr>
        <w:t xml:space="preserve"> the </w:t>
      </w:r>
      <w:r>
        <w:rPr>
          <w:kern w:val="0"/>
        </w:rPr>
        <w:t>weaning protocol group was reduced by 25% (95% confidence interval 9% to 39%, P=0.006; 10 trials);</w:t>
      </w:r>
      <w:r w:rsidR="003A1917">
        <w:rPr>
          <w:kern w:val="0"/>
        </w:rPr>
        <w:t xml:space="preserve"> the </w:t>
      </w:r>
      <w:r>
        <w:rPr>
          <w:kern w:val="0"/>
        </w:rPr>
        <w:t>duration</w:t>
      </w:r>
      <w:r w:rsidR="00427468">
        <w:rPr>
          <w:kern w:val="0"/>
        </w:rPr>
        <w:t xml:space="preserve"> of </w:t>
      </w:r>
      <w:r>
        <w:rPr>
          <w:kern w:val="0"/>
        </w:rPr>
        <w:t>weaning was reduced by 78% (31% to 93%, P=0.009; six trials);</w:t>
      </w:r>
      <w:r w:rsidR="005853A9">
        <w:rPr>
          <w:kern w:val="0"/>
        </w:rPr>
        <w:t xml:space="preserve"> and </w:t>
      </w:r>
      <w:r>
        <w:rPr>
          <w:kern w:val="0"/>
        </w:rPr>
        <w:t>stay in</w:t>
      </w:r>
      <w:r w:rsidR="003A1917">
        <w:rPr>
          <w:kern w:val="0"/>
        </w:rPr>
        <w:t xml:space="preserve"> the </w:t>
      </w:r>
      <w:r>
        <w:rPr>
          <w:kern w:val="0"/>
        </w:rPr>
        <w:t>intensive care unit length by 10% (2% to 19%, P=0.02; eight trials)</w:t>
      </w:r>
      <w:r w:rsidR="00A37C1D">
        <w:rPr>
          <w:kern w:val="0"/>
        </w:rPr>
        <w:t>. The</w:t>
      </w:r>
      <w:r>
        <w:rPr>
          <w:kern w:val="0"/>
        </w:rPr>
        <w:t>re was significant heterogeneity among studies for total duration</w:t>
      </w:r>
      <w:r w:rsidR="00427468">
        <w:rPr>
          <w:kern w:val="0"/>
        </w:rPr>
        <w:t xml:space="preserve"> of </w:t>
      </w:r>
      <w:r>
        <w:rPr>
          <w:kern w:val="0"/>
        </w:rPr>
        <w:t>mechanical ventilation (I(2)=76%, P&lt;0.01)</w:t>
      </w:r>
      <w:r w:rsidR="005853A9">
        <w:rPr>
          <w:kern w:val="0"/>
        </w:rPr>
        <w:t xml:space="preserve"> and </w:t>
      </w:r>
      <w:r>
        <w:rPr>
          <w:kern w:val="0"/>
        </w:rPr>
        <w:t>duration</w:t>
      </w:r>
      <w:r w:rsidR="00427468">
        <w:rPr>
          <w:kern w:val="0"/>
        </w:rPr>
        <w:t xml:space="preserve"> of </w:t>
      </w:r>
      <w:r>
        <w:rPr>
          <w:kern w:val="0"/>
        </w:rPr>
        <w:t>weaning (I(2)=97%, P&lt;0.01), which could not be explained by subgroup analyses based on type</w:t>
      </w:r>
      <w:r w:rsidR="00427468">
        <w:rPr>
          <w:kern w:val="0"/>
        </w:rPr>
        <w:t xml:space="preserve"> of </w:t>
      </w:r>
      <w:r>
        <w:rPr>
          <w:kern w:val="0"/>
        </w:rPr>
        <w:t>unit or type</w:t>
      </w:r>
      <w:r w:rsidR="00427468">
        <w:rPr>
          <w:kern w:val="0"/>
        </w:rPr>
        <w:t xml:space="preserve"> of </w:t>
      </w:r>
      <w:r>
        <w:rPr>
          <w:kern w:val="0"/>
        </w:rPr>
        <w:t>approach. Conclusion There is evidence</w:t>
      </w:r>
      <w:r w:rsidR="00427468">
        <w:rPr>
          <w:kern w:val="0"/>
        </w:rPr>
        <w:t xml:space="preserve"> of </w:t>
      </w:r>
      <w:r>
        <w:rPr>
          <w:kern w:val="0"/>
        </w:rPr>
        <w:t>a reduction in</w:t>
      </w:r>
      <w:r w:rsidR="003A1917">
        <w:rPr>
          <w:kern w:val="0"/>
        </w:rPr>
        <w:t xml:space="preserve"> the </w:t>
      </w:r>
      <w:r>
        <w:rPr>
          <w:kern w:val="0"/>
        </w:rPr>
        <w:t>duration</w:t>
      </w:r>
      <w:r w:rsidR="00427468">
        <w:rPr>
          <w:kern w:val="0"/>
        </w:rPr>
        <w:t xml:space="preserve"> of </w:t>
      </w:r>
      <w:r>
        <w:rPr>
          <w:kern w:val="0"/>
        </w:rPr>
        <w:t>mechanical ventilation, weaning,</w:t>
      </w:r>
      <w:r w:rsidR="005853A9">
        <w:rPr>
          <w:kern w:val="0"/>
        </w:rPr>
        <w:t xml:space="preserve"> and </w:t>
      </w:r>
      <w:r>
        <w:rPr>
          <w:kern w:val="0"/>
        </w:rPr>
        <w:t>stay in</w:t>
      </w:r>
      <w:r w:rsidR="003A1917">
        <w:rPr>
          <w:kern w:val="0"/>
        </w:rPr>
        <w:t xml:space="preserve"> the </w:t>
      </w:r>
      <w:r>
        <w:rPr>
          <w:kern w:val="0"/>
        </w:rPr>
        <w:t>intensive care unit when standardised weaning protocols are used, but there is significant heterogeneity among studies</w:t>
      </w:r>
      <w:r w:rsidR="005853A9">
        <w:rPr>
          <w:kern w:val="0"/>
        </w:rPr>
        <w:t xml:space="preserve"> and </w:t>
      </w:r>
      <w:r>
        <w:rPr>
          <w:kern w:val="0"/>
        </w:rPr>
        <w:t>an insufficient number</w:t>
      </w:r>
      <w:r w:rsidR="00427468">
        <w:rPr>
          <w:kern w:val="0"/>
        </w:rPr>
        <w:t xml:space="preserve"> of </w:t>
      </w:r>
      <w:r>
        <w:rPr>
          <w:kern w:val="0"/>
        </w:rPr>
        <w:t>studies to investigate</w:t>
      </w:r>
      <w:r w:rsidR="003A1917">
        <w:rPr>
          <w:kern w:val="0"/>
        </w:rPr>
        <w:t xml:space="preserve"> the </w:t>
      </w:r>
      <w:r>
        <w:rPr>
          <w:kern w:val="0"/>
        </w:rPr>
        <w:t>source</w:t>
      </w:r>
      <w:r w:rsidR="00427468">
        <w:rPr>
          <w:kern w:val="0"/>
        </w:rPr>
        <w:t xml:space="preserve"> of </w:t>
      </w:r>
      <w:r>
        <w:rPr>
          <w:kern w:val="0"/>
        </w:rPr>
        <w:t xml:space="preserve">this heterogeneity. Some studies suggest that organisational context could influence outcomes, but this could not be evaluated as it </w:t>
      </w:r>
      <w:r>
        <w:rPr>
          <w:kern w:val="0"/>
        </w:rPr>
        <w:lastRenderedPageBreak/>
        <w:t>was outside</w:t>
      </w:r>
      <w:r w:rsidR="003A1917">
        <w:rPr>
          <w:kern w:val="0"/>
        </w:rPr>
        <w:t xml:space="preserve"> the </w:t>
      </w:r>
      <w:r>
        <w:rPr>
          <w:kern w:val="0"/>
        </w:rPr>
        <w:t>scope</w:t>
      </w:r>
      <w:r w:rsidR="00427468">
        <w:rPr>
          <w:kern w:val="0"/>
        </w:rPr>
        <w:t xml:space="preserve"> of </w:t>
      </w:r>
      <w:r>
        <w:rPr>
          <w:kern w:val="0"/>
        </w:rPr>
        <w:t>this review.</w:t>
      </w:r>
    </w:p>
    <w:p w:rsidR="00F86477" w:rsidRDefault="00F86477" w:rsidP="00F86477">
      <w:pPr>
        <w:pStyle w:val="a3"/>
        <w:rPr>
          <w:kern w:val="0"/>
        </w:rPr>
      </w:pPr>
      <w:r>
        <w:rPr>
          <w:kern w:val="0"/>
        </w:rPr>
        <w:t>Keywords: Adult, Adults, Authors, Clinical-Outcomes, Cochrane, Computerized Decision-Support, Conference, Efficacy, Extubation, Hospital, Information, Intensive Care, Intensive Care Unit, Intensive-Care Units, Interventions</w:t>
      </w:r>
      <w:r w:rsidR="00D5664A">
        <w:rPr>
          <w:kern w:val="0"/>
        </w:rPr>
        <w:t>, ISI,</w:t>
      </w:r>
      <w:r>
        <w:rPr>
          <w:kern w:val="0"/>
        </w:rPr>
        <w:t xml:space="preserve"> Length</w:t>
      </w:r>
      <w:r w:rsidR="00427468">
        <w:rPr>
          <w:kern w:val="0"/>
        </w:rPr>
        <w:t xml:space="preserve"> of </w:t>
      </w:r>
      <w:r>
        <w:rPr>
          <w:kern w:val="0"/>
        </w:rPr>
        <w:t>Stay, Mechanical Ventilation, Meta-Analysis, Mortality, Outcomes, Pneumonia, Protocol, Quality</w:t>
      </w:r>
      <w:r w:rsidR="00427468">
        <w:rPr>
          <w:kern w:val="0"/>
        </w:rPr>
        <w:t xml:space="preserve"> of </w:t>
      </w:r>
      <w:r>
        <w:rPr>
          <w:kern w:val="0"/>
        </w:rPr>
        <w:t xml:space="preserve">Life, Randomized Controlled-Trial, Review, Science, Sedation, Surgery, Systematic, Systematic Review, </w:t>
      </w:r>
      <w:r w:rsidR="00D5664A">
        <w:rPr>
          <w:kern w:val="0"/>
        </w:rPr>
        <w:t>Web</w:t>
      </w:r>
      <w:r w:rsidR="00427468">
        <w:rPr>
          <w:kern w:val="0"/>
        </w:rPr>
        <w:t xml:space="preserve"> of </w:t>
      </w:r>
      <w:r w:rsidR="00D5664A">
        <w:rPr>
          <w:kern w:val="0"/>
        </w:rPr>
        <w:t>Science</w:t>
      </w:r>
    </w:p>
    <w:p w:rsidR="00F86477" w:rsidRDefault="00F86477" w:rsidP="00F86477">
      <w:pPr>
        <w:pStyle w:val="a3"/>
        <w:rPr>
          <w:kern w:val="0"/>
        </w:rPr>
      </w:pPr>
      <w:r>
        <w:rPr>
          <w:rFonts w:hint="eastAsia"/>
          <w:kern w:val="0"/>
        </w:rPr>
        <w:t xml:space="preserve">? </w:t>
      </w:r>
      <w:r>
        <w:rPr>
          <w:kern w:val="0"/>
        </w:rPr>
        <w:t>Winzenberg, T., Powell, S., Shaw, K.A.</w:t>
      </w:r>
      <w:r w:rsidR="005853A9">
        <w:rPr>
          <w:kern w:val="0"/>
        </w:rPr>
        <w:t xml:space="preserve"> and </w:t>
      </w:r>
      <w:r>
        <w:rPr>
          <w:kern w:val="0"/>
        </w:rPr>
        <w:t>Jones, G. (2011), Effects</w:t>
      </w:r>
      <w:r w:rsidR="00427468">
        <w:rPr>
          <w:kern w:val="0"/>
        </w:rPr>
        <w:t xml:space="preserve"> of </w:t>
      </w:r>
      <w:r>
        <w:rPr>
          <w:kern w:val="0"/>
        </w:rPr>
        <w:t>vitamin D supplementation on bone density in healthy children: Systematic review</w:t>
      </w:r>
      <w:r w:rsidR="005853A9">
        <w:rPr>
          <w:kern w:val="0"/>
        </w:rPr>
        <w:t xml:space="preserve"> and </w:t>
      </w:r>
      <w:r>
        <w:rPr>
          <w:kern w:val="0"/>
        </w:rPr>
        <w:t xml:space="preserve">meta-analysis. </w:t>
      </w:r>
      <w:r>
        <w:rPr>
          <w:i/>
          <w:iCs/>
          <w:kern w:val="0"/>
        </w:rPr>
        <w:t>British Medical Journal</w:t>
      </w:r>
      <w:r>
        <w:rPr>
          <w:kern w:val="0"/>
        </w:rPr>
        <w:t xml:space="preserve">, </w:t>
      </w:r>
      <w:r>
        <w:rPr>
          <w:b/>
          <w:bCs/>
          <w:kern w:val="0"/>
        </w:rPr>
        <w:t>342</w:t>
      </w:r>
      <w:r>
        <w:rPr>
          <w:rFonts w:hint="eastAsia"/>
          <w:kern w:val="0"/>
        </w:rPr>
        <w:t xml:space="preserve">, </w:t>
      </w:r>
      <w:r w:rsidRPr="001A1CD0">
        <w:rPr>
          <w:kern w:val="0"/>
        </w:rPr>
        <w:t>Article Number: c7254</w:t>
      </w:r>
      <w:r>
        <w:rPr>
          <w:rFonts w:hint="eastAsia"/>
          <w:kern w:val="0"/>
        </w:rPr>
        <w:t>.</w:t>
      </w:r>
    </w:p>
    <w:p w:rsidR="00A46382" w:rsidRDefault="00A46382" w:rsidP="00A46382">
      <w:pPr>
        <w:pStyle w:val="a3"/>
      </w:pPr>
      <w:r>
        <w:t>Full Text:</w:t>
      </w:r>
      <w:r w:rsidRPr="00FC7835">
        <w:t xml:space="preserve"> </w:t>
      </w:r>
      <w:hyperlink r:id="rId2064" w:history="1">
        <w:r w:rsidRPr="00FD2780">
          <w:rPr>
            <w:rStyle w:val="a5"/>
          </w:rPr>
          <w:t>2011\Bri Med J342, c7254.pdf</w:t>
        </w:r>
      </w:hyperlink>
    </w:p>
    <w:p w:rsidR="00F86477" w:rsidRDefault="00F86477" w:rsidP="00F86477">
      <w:pPr>
        <w:pStyle w:val="a3"/>
        <w:rPr>
          <w:kern w:val="0"/>
        </w:rPr>
      </w:pPr>
      <w:r>
        <w:rPr>
          <w:kern w:val="0"/>
        </w:rPr>
        <w:t>Abstract: Objective To determine</w:t>
      </w:r>
      <w:r w:rsidR="003A1917">
        <w:rPr>
          <w:kern w:val="0"/>
        </w:rPr>
        <w:t xml:space="preserve"> the </w:t>
      </w:r>
      <w:r>
        <w:rPr>
          <w:kern w:val="0"/>
        </w:rPr>
        <w:t>effectiveness</w:t>
      </w:r>
      <w:r w:rsidR="00427468">
        <w:rPr>
          <w:kern w:val="0"/>
        </w:rPr>
        <w:t xml:space="preserve"> of </w:t>
      </w:r>
      <w:r>
        <w:rPr>
          <w:kern w:val="0"/>
        </w:rPr>
        <w:t>vitamin D supplementation for improving bone mineral density in children</w:t>
      </w:r>
      <w:r w:rsidR="005853A9">
        <w:rPr>
          <w:kern w:val="0"/>
        </w:rPr>
        <w:t xml:space="preserve"> and </w:t>
      </w:r>
      <w:r>
        <w:rPr>
          <w:kern w:val="0"/>
        </w:rPr>
        <w:t>adolescents</w:t>
      </w:r>
      <w:r w:rsidR="005853A9">
        <w:rPr>
          <w:kern w:val="0"/>
        </w:rPr>
        <w:t xml:space="preserve"> and </w:t>
      </w:r>
      <w:r>
        <w:rPr>
          <w:kern w:val="0"/>
        </w:rPr>
        <w:t>if effects vary with factors such as vitamin D dose</w:t>
      </w:r>
      <w:r w:rsidR="005853A9">
        <w:rPr>
          <w:kern w:val="0"/>
        </w:rPr>
        <w:t xml:space="preserve"> and </w:t>
      </w:r>
      <w:r>
        <w:rPr>
          <w:kern w:val="0"/>
        </w:rPr>
        <w:t>vitamin D status. Design Systematic review</w:t>
      </w:r>
      <w:r w:rsidR="005853A9">
        <w:rPr>
          <w:kern w:val="0"/>
        </w:rPr>
        <w:t xml:space="preserve"> and </w:t>
      </w:r>
      <w:r>
        <w:rPr>
          <w:kern w:val="0"/>
        </w:rPr>
        <w:t>meta-analysis. Data sources Cochrane Central Register</w:t>
      </w:r>
      <w:r w:rsidR="00427468">
        <w:rPr>
          <w:kern w:val="0"/>
        </w:rPr>
        <w:t xml:space="preserve"> of </w:t>
      </w:r>
      <w:r>
        <w:rPr>
          <w:kern w:val="0"/>
        </w:rPr>
        <w:t xml:space="preserve">Controlled Trials, </w:t>
      </w:r>
      <w:r w:rsidR="00D5664A">
        <w:rPr>
          <w:kern w:val="0"/>
        </w:rPr>
        <w:t>MEDLINE</w:t>
      </w:r>
      <w:r>
        <w:rPr>
          <w:kern w:val="0"/>
        </w:rPr>
        <w:t xml:space="preserve"> (1966 to present), EMBASE (1980 to present), CINAHL (1982 to present), AMED (1985 to present),</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(1945 to present), last updated on 9 August 2009,</w:t>
      </w:r>
      <w:r w:rsidR="005853A9">
        <w:rPr>
          <w:kern w:val="0"/>
        </w:rPr>
        <w:t xml:space="preserve"> and </w:t>
      </w:r>
      <w:r>
        <w:rPr>
          <w:kern w:val="0"/>
        </w:rPr>
        <w:t>hand searching</w:t>
      </w:r>
      <w:r w:rsidR="00427468">
        <w:rPr>
          <w:kern w:val="0"/>
        </w:rPr>
        <w:t xml:space="preserve"> of </w:t>
      </w:r>
      <w:r>
        <w:rPr>
          <w:kern w:val="0"/>
        </w:rPr>
        <w:t>conference abstracts from key journals. Study selection Placebo controlled randomised controlled trials</w:t>
      </w:r>
      <w:r w:rsidR="00427468">
        <w:rPr>
          <w:kern w:val="0"/>
        </w:rPr>
        <w:t xml:space="preserve"> of </w:t>
      </w:r>
      <w:r>
        <w:rPr>
          <w:kern w:val="0"/>
        </w:rPr>
        <w:t>vitamin D supplementation for at least three months in healthy children</w:t>
      </w:r>
      <w:r w:rsidR="005853A9">
        <w:rPr>
          <w:kern w:val="0"/>
        </w:rPr>
        <w:t xml:space="preserve"> and </w:t>
      </w:r>
      <w:r>
        <w:rPr>
          <w:kern w:val="0"/>
        </w:rPr>
        <w:t>adolescents (aged 1 month to &lt;20 years) with bone density outcomes. Two authors independently assessed references for inclusion</w:t>
      </w:r>
      <w:r w:rsidR="005853A9">
        <w:rPr>
          <w:kern w:val="0"/>
        </w:rPr>
        <w:t xml:space="preserve"> and </w:t>
      </w:r>
      <w:r>
        <w:rPr>
          <w:kern w:val="0"/>
        </w:rPr>
        <w:t>study quality</w:t>
      </w:r>
      <w:r w:rsidR="005853A9">
        <w:rPr>
          <w:kern w:val="0"/>
        </w:rPr>
        <w:t xml:space="preserve"> and </w:t>
      </w:r>
      <w:r>
        <w:rPr>
          <w:kern w:val="0"/>
        </w:rPr>
        <w:t>extracted data. Data synthesis Standardised mean differences</w:t>
      </w:r>
      <w:r w:rsidR="00427468">
        <w:rPr>
          <w:kern w:val="0"/>
        </w:rPr>
        <w:t xml:space="preserve"> of </w:t>
      </w:r>
      <w:r w:rsidR="003A1917">
        <w:rPr>
          <w:kern w:val="0"/>
        </w:rPr>
        <w:t xml:space="preserve">the </w:t>
      </w:r>
      <w:r>
        <w:rPr>
          <w:kern w:val="0"/>
        </w:rPr>
        <w:t>percentage change from baseline in bone mineral density</w:t>
      </w:r>
      <w:r w:rsidR="00427468">
        <w:rPr>
          <w:kern w:val="0"/>
        </w:rPr>
        <w:t xml:space="preserve"> of </w:t>
      </w:r>
      <w:r w:rsidR="003A1917">
        <w:rPr>
          <w:kern w:val="0"/>
        </w:rPr>
        <w:t xml:space="preserve">the </w:t>
      </w:r>
      <w:r>
        <w:rPr>
          <w:kern w:val="0"/>
        </w:rPr>
        <w:t>forearm, hip,</w:t>
      </w:r>
      <w:r w:rsidR="005853A9">
        <w:rPr>
          <w:kern w:val="0"/>
        </w:rPr>
        <w:t xml:space="preserve"> and </w:t>
      </w:r>
      <w:r>
        <w:rPr>
          <w:kern w:val="0"/>
        </w:rPr>
        <w:t>lumbar spine</w:t>
      </w:r>
      <w:r w:rsidR="005853A9">
        <w:rPr>
          <w:kern w:val="0"/>
        </w:rPr>
        <w:t xml:space="preserve"> and </w:t>
      </w:r>
      <w:r>
        <w:rPr>
          <w:kern w:val="0"/>
        </w:rPr>
        <w:t>total body bone mineral content in treatment</w:t>
      </w:r>
      <w:r w:rsidR="005853A9">
        <w:rPr>
          <w:kern w:val="0"/>
        </w:rPr>
        <w:t xml:space="preserve"> and </w:t>
      </w:r>
      <w:r>
        <w:rPr>
          <w:kern w:val="0"/>
        </w:rPr>
        <w:t>control groups. Subgroup analyses were carried out by sex, pubertal stage, dose</w:t>
      </w:r>
      <w:r w:rsidR="00427468">
        <w:rPr>
          <w:kern w:val="0"/>
        </w:rPr>
        <w:t xml:space="preserve"> of </w:t>
      </w:r>
      <w:r>
        <w:rPr>
          <w:kern w:val="0"/>
        </w:rPr>
        <w:t>vitamin D,</w:t>
      </w:r>
      <w:r w:rsidR="005853A9">
        <w:rPr>
          <w:kern w:val="0"/>
        </w:rPr>
        <w:t xml:space="preserve"> and </w:t>
      </w:r>
      <w:r>
        <w:rPr>
          <w:kern w:val="0"/>
        </w:rPr>
        <w:t>baseline serum vitamin D concentration. Compliance</w:t>
      </w:r>
      <w:r w:rsidR="005853A9">
        <w:rPr>
          <w:kern w:val="0"/>
        </w:rPr>
        <w:t xml:space="preserve"> and </w:t>
      </w:r>
      <w:r>
        <w:rPr>
          <w:kern w:val="0"/>
        </w:rPr>
        <w:t>allocation concealment were also considered as possible sources</w:t>
      </w:r>
      <w:r w:rsidR="00427468">
        <w:rPr>
          <w:kern w:val="0"/>
        </w:rPr>
        <w:t xml:space="preserve"> of </w:t>
      </w:r>
      <w:r>
        <w:rPr>
          <w:kern w:val="0"/>
        </w:rPr>
        <w:t>heterogeneity. Results From 1653 potential references, six studies, totalling 343 participants receiving placebo</w:t>
      </w:r>
      <w:r w:rsidR="005853A9">
        <w:rPr>
          <w:kern w:val="0"/>
        </w:rPr>
        <w:t xml:space="preserve"> and </w:t>
      </w:r>
      <w:r>
        <w:rPr>
          <w:kern w:val="0"/>
        </w:rPr>
        <w:t>541 receiving vitamin D, contributed data to meta-analyses. Vitamin D supplementation had no statistically significant effects on total body bone mineral content or on bone mineral density</w:t>
      </w:r>
      <w:r w:rsidR="00427468">
        <w:rPr>
          <w:kern w:val="0"/>
        </w:rPr>
        <w:t xml:space="preserve"> of </w:t>
      </w:r>
      <w:r w:rsidR="003A1917">
        <w:rPr>
          <w:kern w:val="0"/>
        </w:rPr>
        <w:t xml:space="preserve">the </w:t>
      </w:r>
      <w:r>
        <w:rPr>
          <w:kern w:val="0"/>
        </w:rPr>
        <w:t>hip or forearm</w:t>
      </w:r>
      <w:r w:rsidR="00A37C1D">
        <w:rPr>
          <w:kern w:val="0"/>
        </w:rPr>
        <w:t>. The</w:t>
      </w:r>
      <w:r>
        <w:rPr>
          <w:kern w:val="0"/>
        </w:rPr>
        <w:t>re was a trend to a small effect on lumbar spine bone mineral density (standardised mean difference 0.15, 95% confidence interval -0.01 to 0.31; P=0.07). Effects were similar in studies</w:t>
      </w:r>
      <w:r w:rsidR="00427468">
        <w:rPr>
          <w:kern w:val="0"/>
        </w:rPr>
        <w:t xml:space="preserve"> of </w:t>
      </w:r>
      <w:r>
        <w:rPr>
          <w:kern w:val="0"/>
        </w:rPr>
        <w:t>participants with high compared with low serum vitamin D levels, although there was a trend towards a larger effect with low vitamin D for total body bone mineral content (P=0.09 for difference). In studies with low serum vitamin D, significant effects on total body bone mineral content</w:t>
      </w:r>
      <w:r w:rsidR="005853A9">
        <w:rPr>
          <w:kern w:val="0"/>
        </w:rPr>
        <w:t xml:space="preserve"> and </w:t>
      </w:r>
      <w:r>
        <w:rPr>
          <w:kern w:val="0"/>
        </w:rPr>
        <w:t>lumbar spine bone mineral density were roughly equivalent to a 2.6%</w:t>
      </w:r>
      <w:r w:rsidR="005853A9">
        <w:rPr>
          <w:kern w:val="0"/>
        </w:rPr>
        <w:t xml:space="preserve"> and </w:t>
      </w:r>
      <w:r>
        <w:rPr>
          <w:kern w:val="0"/>
        </w:rPr>
        <w:t>1.7% percentage point greater change from baseline in</w:t>
      </w:r>
      <w:r w:rsidR="003A1917">
        <w:rPr>
          <w:kern w:val="0"/>
        </w:rPr>
        <w:t xml:space="preserve"> the </w:t>
      </w:r>
      <w:r>
        <w:rPr>
          <w:kern w:val="0"/>
        </w:rPr>
        <w:t xml:space="preserve">supplemented group. Conclusions It is </w:t>
      </w:r>
      <w:r>
        <w:rPr>
          <w:kern w:val="0"/>
        </w:rPr>
        <w:lastRenderedPageBreak/>
        <w:t>unlikely that vitamin D supplements are beneficial in children</w:t>
      </w:r>
      <w:r w:rsidR="005853A9">
        <w:rPr>
          <w:kern w:val="0"/>
        </w:rPr>
        <w:t xml:space="preserve"> and </w:t>
      </w:r>
      <w:r>
        <w:rPr>
          <w:kern w:val="0"/>
        </w:rPr>
        <w:t>adolescents with normal vitamin D levels</w:t>
      </w:r>
      <w:r w:rsidR="00A37C1D">
        <w:rPr>
          <w:kern w:val="0"/>
        </w:rPr>
        <w:t>. The</w:t>
      </w:r>
      <w:r w:rsidR="003A1917">
        <w:rPr>
          <w:kern w:val="0"/>
        </w:rPr>
        <w:t xml:space="preserve"> </w:t>
      </w:r>
      <w:r>
        <w:rPr>
          <w:kern w:val="0"/>
        </w:rPr>
        <w:t>planned subgroup analyses by baseline serum vitamin D level suggest that vitamin D supplementation</w:t>
      </w:r>
      <w:r w:rsidR="00427468">
        <w:rPr>
          <w:kern w:val="0"/>
        </w:rPr>
        <w:t xml:space="preserve"> of </w:t>
      </w:r>
      <w:r>
        <w:rPr>
          <w:kern w:val="0"/>
        </w:rPr>
        <w:t>deficient children</w:t>
      </w:r>
      <w:r w:rsidR="005853A9">
        <w:rPr>
          <w:kern w:val="0"/>
        </w:rPr>
        <w:t xml:space="preserve"> and </w:t>
      </w:r>
      <w:r>
        <w:rPr>
          <w:kern w:val="0"/>
        </w:rPr>
        <w:t>adolescents could result in clinically useful improvements, particularly in lumbar spine bone mineral density</w:t>
      </w:r>
      <w:r w:rsidR="005853A9">
        <w:rPr>
          <w:kern w:val="0"/>
        </w:rPr>
        <w:t xml:space="preserve"> and </w:t>
      </w:r>
      <w:r>
        <w:rPr>
          <w:kern w:val="0"/>
        </w:rPr>
        <w:t>total body bone mineral content, but this requires confirmation.</w:t>
      </w:r>
    </w:p>
    <w:p w:rsidR="00F86477" w:rsidRDefault="00F86477" w:rsidP="00F86477">
      <w:pPr>
        <w:pStyle w:val="a3"/>
        <w:rPr>
          <w:kern w:val="0"/>
        </w:rPr>
      </w:pPr>
      <w:r>
        <w:rPr>
          <w:kern w:val="0"/>
        </w:rPr>
        <w:t>Keywords: Adolescent Girls, Adolescents, Aged, Aged 10-12 Years, Authors, Bone, Bone Mineral Density, Children, Cochrane, Compliance, Control, Control Groups, D Deficiency, Effectiveness, Finnish Girls</w:t>
      </w:r>
      <w:r w:rsidR="00D5664A">
        <w:rPr>
          <w:kern w:val="0"/>
        </w:rPr>
        <w:t>, ISI,</w:t>
      </w:r>
      <w:r>
        <w:rPr>
          <w:kern w:val="0"/>
        </w:rPr>
        <w:t xml:space="preserve"> Journals, Meta-Analysis, Mineral Density, Normal, Osteoporotic Fractures, Outcomes, Parathyroid-Hormone Concentrations, Prepubertal Children, Review, School-Milk Intervention, Science, Serum 25-Hydroxyvitamin-D Concentrations, Spine, Systematic, Systematic Review, Treatment, Trend, Vitamin D, </w:t>
      </w:r>
      <w:r w:rsidR="00D5664A">
        <w:rPr>
          <w:kern w:val="0"/>
        </w:rPr>
        <w:t>Web</w:t>
      </w:r>
      <w:r w:rsidR="00427468">
        <w:rPr>
          <w:kern w:val="0"/>
        </w:rPr>
        <w:t xml:space="preserve"> of </w:t>
      </w:r>
      <w:r w:rsidR="00D5664A">
        <w:rPr>
          <w:kern w:val="0"/>
        </w:rPr>
        <w:t>Science</w:t>
      </w:r>
    </w:p>
    <w:p w:rsidR="00F86477" w:rsidRDefault="00F86477" w:rsidP="00F86477">
      <w:pPr>
        <w:pStyle w:val="a3"/>
        <w:rPr>
          <w:kern w:val="0"/>
        </w:rPr>
      </w:pPr>
      <w:r>
        <w:rPr>
          <w:rFonts w:hint="eastAsia"/>
          <w:kern w:val="0"/>
        </w:rPr>
        <w:t xml:space="preserve">? </w:t>
      </w:r>
      <w:r>
        <w:rPr>
          <w:kern w:val="0"/>
        </w:rPr>
        <w:t>Boivin, J., Griffiths, E.</w:t>
      </w:r>
      <w:r w:rsidR="005853A9">
        <w:rPr>
          <w:kern w:val="0"/>
        </w:rPr>
        <w:t xml:space="preserve"> and </w:t>
      </w:r>
      <w:r>
        <w:rPr>
          <w:kern w:val="0"/>
        </w:rPr>
        <w:t>Venetis, C.A. (2011), Emotional distress in infertile women</w:t>
      </w:r>
      <w:r w:rsidR="005853A9">
        <w:rPr>
          <w:kern w:val="0"/>
        </w:rPr>
        <w:t xml:space="preserve"> and </w:t>
      </w:r>
      <w:r>
        <w:rPr>
          <w:kern w:val="0"/>
        </w:rPr>
        <w:t>failure</w:t>
      </w:r>
      <w:r w:rsidR="00427468">
        <w:rPr>
          <w:kern w:val="0"/>
        </w:rPr>
        <w:t xml:space="preserve"> of </w:t>
      </w:r>
      <w:r>
        <w:rPr>
          <w:kern w:val="0"/>
        </w:rPr>
        <w:t>assisted reproductive technologies: Meta-analysis</w:t>
      </w:r>
      <w:r w:rsidR="00427468">
        <w:rPr>
          <w:kern w:val="0"/>
        </w:rPr>
        <w:t xml:space="preserve"> of </w:t>
      </w:r>
      <w:r>
        <w:rPr>
          <w:kern w:val="0"/>
        </w:rPr>
        <w:t xml:space="preserve">prospective psychosocial studies. </w:t>
      </w:r>
      <w:r>
        <w:rPr>
          <w:i/>
          <w:iCs/>
          <w:kern w:val="0"/>
        </w:rPr>
        <w:t>British Medical Journal</w:t>
      </w:r>
      <w:r>
        <w:rPr>
          <w:kern w:val="0"/>
        </w:rPr>
        <w:t xml:space="preserve">, </w:t>
      </w:r>
      <w:r>
        <w:rPr>
          <w:b/>
          <w:bCs/>
          <w:kern w:val="0"/>
        </w:rPr>
        <w:t>342</w:t>
      </w:r>
      <w:r>
        <w:rPr>
          <w:rFonts w:hint="eastAsia"/>
          <w:kern w:val="0"/>
        </w:rPr>
        <w:t xml:space="preserve">, </w:t>
      </w:r>
      <w:r w:rsidRPr="001A1CD0">
        <w:rPr>
          <w:kern w:val="0"/>
        </w:rPr>
        <w:t>Article Number: d223</w:t>
      </w:r>
      <w:r>
        <w:rPr>
          <w:rFonts w:hint="eastAsia"/>
          <w:kern w:val="0"/>
        </w:rPr>
        <w:t>.</w:t>
      </w:r>
    </w:p>
    <w:p w:rsidR="00A46382" w:rsidRDefault="00A46382" w:rsidP="00A46382">
      <w:pPr>
        <w:pStyle w:val="a3"/>
      </w:pPr>
      <w:r>
        <w:t>Full Text:</w:t>
      </w:r>
      <w:r w:rsidRPr="00FC7835">
        <w:t xml:space="preserve"> </w:t>
      </w:r>
      <w:hyperlink r:id="rId2065" w:history="1">
        <w:r w:rsidRPr="00FD2780">
          <w:rPr>
            <w:rStyle w:val="a5"/>
          </w:rPr>
          <w:t>2011\Bri Med J342, d223.pdf</w:t>
        </w:r>
      </w:hyperlink>
    </w:p>
    <w:p w:rsidR="00F86477" w:rsidRDefault="00F86477" w:rsidP="00F86477">
      <w:pPr>
        <w:pStyle w:val="a3"/>
        <w:rPr>
          <w:kern w:val="0"/>
        </w:rPr>
      </w:pPr>
      <w:r>
        <w:rPr>
          <w:kern w:val="0"/>
        </w:rPr>
        <w:t>Abstract: Objective To examine whether pretreatment emotional distress in women is associated with achievement</w:t>
      </w:r>
      <w:r w:rsidR="00427468">
        <w:rPr>
          <w:kern w:val="0"/>
        </w:rPr>
        <w:t xml:space="preserve"> of </w:t>
      </w:r>
      <w:r>
        <w:rPr>
          <w:kern w:val="0"/>
        </w:rPr>
        <w:t>pregnancy after a cycle</w:t>
      </w:r>
      <w:r w:rsidR="00427468">
        <w:rPr>
          <w:kern w:val="0"/>
        </w:rPr>
        <w:t xml:space="preserve"> of </w:t>
      </w:r>
      <w:r>
        <w:rPr>
          <w:kern w:val="0"/>
        </w:rPr>
        <w:t>assisted reproductive technology. Design Meta-analysis</w:t>
      </w:r>
      <w:r w:rsidR="00427468">
        <w:rPr>
          <w:kern w:val="0"/>
        </w:rPr>
        <w:t xml:space="preserve"> of </w:t>
      </w:r>
      <w:r>
        <w:rPr>
          <w:kern w:val="0"/>
        </w:rPr>
        <w:t xml:space="preserve">prospective psychosocial studies. Data sources </w:t>
      </w:r>
      <w:r w:rsidR="002C12F0">
        <w:rPr>
          <w:kern w:val="0"/>
        </w:rPr>
        <w:t>PUBMED</w:t>
      </w:r>
      <w:r>
        <w:rPr>
          <w:kern w:val="0"/>
        </w:rPr>
        <w:t xml:space="preserve">, </w:t>
      </w:r>
      <w:r w:rsidR="00D5664A">
        <w:rPr>
          <w:kern w:val="0"/>
        </w:rPr>
        <w:t>MEDLINE</w:t>
      </w:r>
      <w:r>
        <w:rPr>
          <w:kern w:val="0"/>
        </w:rPr>
        <w:t>, EMBASE, PsycINFO, PsychNET, ISI Web</w:t>
      </w:r>
      <w:r w:rsidR="00427468">
        <w:rPr>
          <w:kern w:val="0"/>
        </w:rPr>
        <w:t xml:space="preserve"> of </w:t>
      </w:r>
      <w:r>
        <w:rPr>
          <w:kern w:val="0"/>
        </w:rPr>
        <w:t>Knowledge,</w:t>
      </w:r>
      <w:r w:rsidR="005853A9">
        <w:rPr>
          <w:kern w:val="0"/>
        </w:rPr>
        <w:t xml:space="preserve"> and </w:t>
      </w:r>
      <w:r w:rsidR="00730B6D">
        <w:rPr>
          <w:kern w:val="0"/>
        </w:rPr>
        <w:t xml:space="preserve">ISI </w:t>
      </w:r>
      <w:r w:rsidR="00D5664A">
        <w:rPr>
          <w:kern w:val="0"/>
        </w:rPr>
        <w:t>Web</w:t>
      </w:r>
      <w:r w:rsidR="00427468">
        <w:rPr>
          <w:kern w:val="0"/>
        </w:rPr>
        <w:t xml:space="preserve"> of </w:t>
      </w:r>
      <w:r w:rsidR="00D5664A">
        <w:rPr>
          <w:kern w:val="0"/>
        </w:rPr>
        <w:t>Science</w:t>
      </w:r>
      <w:r>
        <w:rPr>
          <w:kern w:val="0"/>
        </w:rPr>
        <w:t xml:space="preserve"> were searched for articles published from 1985 to March 2010 (inclusive). We also undertook a hand search</w:t>
      </w:r>
      <w:r w:rsidR="00427468">
        <w:rPr>
          <w:kern w:val="0"/>
        </w:rPr>
        <w:t xml:space="preserve"> of </w:t>
      </w:r>
      <w:r>
        <w:rPr>
          <w:kern w:val="0"/>
        </w:rPr>
        <w:t>reference lists</w:t>
      </w:r>
      <w:r w:rsidR="005853A9">
        <w:rPr>
          <w:kern w:val="0"/>
        </w:rPr>
        <w:t xml:space="preserve"> and </w:t>
      </w:r>
      <w:r>
        <w:rPr>
          <w:kern w:val="0"/>
        </w:rPr>
        <w:t>contacted 29 authors. Eligible studies were prospective studies reporting a test</w:t>
      </w:r>
      <w:r w:rsidR="00427468">
        <w:rPr>
          <w:kern w:val="0"/>
        </w:rPr>
        <w:t xml:space="preserve"> of </w:t>
      </w:r>
      <w:r w:rsidR="003A1917">
        <w:rPr>
          <w:kern w:val="0"/>
        </w:rPr>
        <w:t xml:space="preserve">the </w:t>
      </w:r>
      <w:r>
        <w:rPr>
          <w:kern w:val="0"/>
        </w:rPr>
        <w:t>association between pretreatment emotional distress (anxiety or depression)</w:t>
      </w:r>
      <w:r w:rsidR="005853A9">
        <w:rPr>
          <w:kern w:val="0"/>
        </w:rPr>
        <w:t xml:space="preserve"> and </w:t>
      </w:r>
      <w:r>
        <w:rPr>
          <w:kern w:val="0"/>
        </w:rPr>
        <w:t>pregnancy in women undergoing a single cycle</w:t>
      </w:r>
      <w:r w:rsidR="00427468">
        <w:rPr>
          <w:kern w:val="0"/>
        </w:rPr>
        <w:t xml:space="preserve"> of </w:t>
      </w:r>
      <w:r>
        <w:rPr>
          <w:kern w:val="0"/>
        </w:rPr>
        <w:t>assisted reproductive technology. Review methods Two authors independently assessed</w:t>
      </w:r>
      <w:r w:rsidR="003A1917">
        <w:rPr>
          <w:kern w:val="0"/>
        </w:rPr>
        <w:t xml:space="preserve"> the </w:t>
      </w:r>
      <w:r>
        <w:rPr>
          <w:kern w:val="0"/>
        </w:rPr>
        <w:t>studies for eligibility</w:t>
      </w:r>
      <w:r w:rsidR="005853A9">
        <w:rPr>
          <w:kern w:val="0"/>
        </w:rPr>
        <w:t xml:space="preserve"> and </w:t>
      </w:r>
      <w:r>
        <w:rPr>
          <w:kern w:val="0"/>
        </w:rPr>
        <w:t>quality (using criteria adapted from</w:t>
      </w:r>
      <w:r w:rsidR="003A1917">
        <w:rPr>
          <w:kern w:val="0"/>
        </w:rPr>
        <w:t xml:space="preserve"> the </w:t>
      </w:r>
      <w:r>
        <w:rPr>
          <w:kern w:val="0"/>
        </w:rPr>
        <w:t>Newcastle-Ottawa quality scale)</w:t>
      </w:r>
      <w:r w:rsidR="005853A9">
        <w:rPr>
          <w:kern w:val="0"/>
        </w:rPr>
        <w:t xml:space="preserve"> and </w:t>
      </w:r>
      <w:r>
        <w:rPr>
          <w:kern w:val="0"/>
        </w:rPr>
        <w:t>extracted data. Authors contributed additional data not included in original publication. Results Fourteen studies with 3583 infertile women undergoing a cycle</w:t>
      </w:r>
      <w:r w:rsidR="00427468">
        <w:rPr>
          <w:kern w:val="0"/>
        </w:rPr>
        <w:t xml:space="preserve"> of </w:t>
      </w:r>
      <w:r>
        <w:rPr>
          <w:kern w:val="0"/>
        </w:rPr>
        <w:t>fertility treatment were included in</w:t>
      </w:r>
      <w:r w:rsidR="003A1917">
        <w:rPr>
          <w:kern w:val="0"/>
        </w:rPr>
        <w:t xml:space="preserve"> the </w:t>
      </w:r>
      <w:r>
        <w:rPr>
          <w:kern w:val="0"/>
        </w:rPr>
        <w:t>meta-analysis</w:t>
      </w:r>
      <w:r w:rsidR="00A37C1D">
        <w:rPr>
          <w:kern w:val="0"/>
        </w:rPr>
        <w:t>. The</w:t>
      </w:r>
      <w:r w:rsidR="003A1917">
        <w:rPr>
          <w:kern w:val="0"/>
        </w:rPr>
        <w:t xml:space="preserve"> </w:t>
      </w:r>
      <w:r>
        <w:rPr>
          <w:kern w:val="0"/>
        </w:rPr>
        <w:t>effect size used was</w:t>
      </w:r>
      <w:r w:rsidR="003A1917">
        <w:rPr>
          <w:kern w:val="0"/>
        </w:rPr>
        <w:t xml:space="preserve"> the </w:t>
      </w:r>
      <w:r>
        <w:rPr>
          <w:kern w:val="0"/>
        </w:rPr>
        <w:t>standardised mean difference (adjusted for small sample size) in pretreatment anxiety or depression (priority on anxiety where both measured) between women who achieved a pregnancy (defined as a positive pregnancy test, positive fetal heart scan, or live birth)</w:t>
      </w:r>
      <w:r w:rsidR="005853A9">
        <w:rPr>
          <w:kern w:val="0"/>
        </w:rPr>
        <w:t xml:space="preserve"> and </w:t>
      </w:r>
      <w:r>
        <w:rPr>
          <w:kern w:val="0"/>
        </w:rPr>
        <w:t>those who did not. Pretreatment emotional distress was not associated with treatment outcome after a cycle</w:t>
      </w:r>
      <w:r w:rsidR="00427468">
        <w:rPr>
          <w:kern w:val="0"/>
        </w:rPr>
        <w:t xml:space="preserve"> of </w:t>
      </w:r>
      <w:r>
        <w:rPr>
          <w:kern w:val="0"/>
        </w:rPr>
        <w:t>assisted reproductive technology (standardised mean difference -0.04, 95% confidence interval -0.11 to 0.03 (fixed effects model); heterogeneity I(2) = 14%, P = 0.30). Subgroup analyses according to previous experience</w:t>
      </w:r>
      <w:r w:rsidR="00427468">
        <w:rPr>
          <w:kern w:val="0"/>
        </w:rPr>
        <w:t xml:space="preserve"> of </w:t>
      </w:r>
      <w:r>
        <w:rPr>
          <w:kern w:val="0"/>
        </w:rPr>
        <w:t>assisted reproductive technology, composition</w:t>
      </w:r>
      <w:r w:rsidR="00427468">
        <w:rPr>
          <w:kern w:val="0"/>
        </w:rPr>
        <w:t xml:space="preserve"> of </w:t>
      </w:r>
      <w:r w:rsidR="003A1917">
        <w:rPr>
          <w:kern w:val="0"/>
        </w:rPr>
        <w:t xml:space="preserve">the </w:t>
      </w:r>
      <w:r>
        <w:rPr>
          <w:kern w:val="0"/>
        </w:rPr>
        <w:t xml:space="preserve">not pregnant </w:t>
      </w:r>
      <w:r>
        <w:rPr>
          <w:kern w:val="0"/>
        </w:rPr>
        <w:lastRenderedPageBreak/>
        <w:t>group,</w:t>
      </w:r>
      <w:r w:rsidR="005853A9">
        <w:rPr>
          <w:kern w:val="0"/>
        </w:rPr>
        <w:t xml:space="preserve"> and </w:t>
      </w:r>
      <w:r>
        <w:rPr>
          <w:kern w:val="0"/>
        </w:rPr>
        <w:t>timing</w:t>
      </w:r>
      <w:r w:rsidR="00427468">
        <w:rPr>
          <w:kern w:val="0"/>
        </w:rPr>
        <w:t xml:space="preserve"> of </w:t>
      </w:r>
      <w:r w:rsidR="003A1917">
        <w:rPr>
          <w:kern w:val="0"/>
        </w:rPr>
        <w:t xml:space="preserve">the </w:t>
      </w:r>
      <w:r>
        <w:rPr>
          <w:kern w:val="0"/>
        </w:rPr>
        <w:t>emotional assessment were not significant</w:t>
      </w:r>
      <w:r w:rsidR="00A37C1D">
        <w:rPr>
          <w:kern w:val="0"/>
        </w:rPr>
        <w:t>. The</w:t>
      </w:r>
      <w:r w:rsidR="003A1917">
        <w:rPr>
          <w:kern w:val="0"/>
        </w:rPr>
        <w:t xml:space="preserve"> </w:t>
      </w:r>
      <w:r>
        <w:rPr>
          <w:kern w:val="0"/>
        </w:rPr>
        <w:t>effect size did not vary according to study quality, but a significant subgroup analysis on timing</w:t>
      </w:r>
      <w:r w:rsidR="00427468">
        <w:rPr>
          <w:kern w:val="0"/>
        </w:rPr>
        <w:t xml:space="preserve"> of </w:t>
      </w:r>
      <w:r w:rsidR="003A1917">
        <w:rPr>
          <w:kern w:val="0"/>
        </w:rPr>
        <w:t xml:space="preserve">the </w:t>
      </w:r>
      <w:r>
        <w:rPr>
          <w:kern w:val="0"/>
        </w:rPr>
        <w:t>pregnancy test, a contour enhanced funnel plot,</w:t>
      </w:r>
      <w:r w:rsidR="005853A9">
        <w:rPr>
          <w:kern w:val="0"/>
        </w:rPr>
        <w:t xml:space="preserve"> and </w:t>
      </w:r>
      <w:r>
        <w:rPr>
          <w:kern w:val="0"/>
        </w:rPr>
        <w:t>Egger</w:t>
      </w:r>
      <w:r w:rsidR="00700038">
        <w:rPr>
          <w:kern w:val="0"/>
        </w:rPr>
        <w:t>’</w:t>
      </w:r>
      <w:r w:rsidR="00C13DDC">
        <w:rPr>
          <w:kern w:val="0"/>
        </w:rPr>
        <w:t>s</w:t>
      </w:r>
      <w:r>
        <w:rPr>
          <w:kern w:val="0"/>
        </w:rPr>
        <w:t xml:space="preserve"> test indicated</w:t>
      </w:r>
      <w:r w:rsidR="003A1917">
        <w:rPr>
          <w:kern w:val="0"/>
        </w:rPr>
        <w:t xml:space="preserve"> the </w:t>
      </w:r>
      <w:r>
        <w:rPr>
          <w:kern w:val="0"/>
        </w:rPr>
        <w:t>presence</w:t>
      </w:r>
      <w:r w:rsidR="00427468">
        <w:rPr>
          <w:kern w:val="0"/>
        </w:rPr>
        <w:t xml:space="preserve"> of </w:t>
      </w:r>
      <w:r>
        <w:rPr>
          <w:kern w:val="0"/>
        </w:rPr>
        <w:t>moderate publication bias. Conclusions</w:t>
      </w:r>
      <w:r w:rsidR="003A1917">
        <w:rPr>
          <w:kern w:val="0"/>
        </w:rPr>
        <w:t xml:space="preserve"> the </w:t>
      </w:r>
      <w:r>
        <w:rPr>
          <w:kern w:val="0"/>
        </w:rPr>
        <w:t>findings</w:t>
      </w:r>
      <w:r w:rsidR="00427468">
        <w:rPr>
          <w:kern w:val="0"/>
        </w:rPr>
        <w:t xml:space="preserve"> of </w:t>
      </w:r>
      <w:r>
        <w:rPr>
          <w:kern w:val="0"/>
        </w:rPr>
        <w:t>this meta-analysis should reassure women</w:t>
      </w:r>
      <w:r w:rsidR="005853A9">
        <w:rPr>
          <w:kern w:val="0"/>
        </w:rPr>
        <w:t xml:space="preserve"> and </w:t>
      </w:r>
      <w:r>
        <w:rPr>
          <w:kern w:val="0"/>
        </w:rPr>
        <w:t>doctors that emotional distress caused by fertility problems or other life events co-occurring with treatment will not compromise</w:t>
      </w:r>
      <w:r w:rsidR="003A1917">
        <w:rPr>
          <w:kern w:val="0"/>
        </w:rPr>
        <w:t xml:space="preserve"> the </w:t>
      </w:r>
      <w:r>
        <w:rPr>
          <w:kern w:val="0"/>
        </w:rPr>
        <w:t>chance</w:t>
      </w:r>
      <w:r w:rsidR="00427468">
        <w:rPr>
          <w:kern w:val="0"/>
        </w:rPr>
        <w:t xml:space="preserve"> of </w:t>
      </w:r>
      <w:r>
        <w:rPr>
          <w:kern w:val="0"/>
        </w:rPr>
        <w:t>becoming pregnant.</w:t>
      </w:r>
    </w:p>
    <w:p w:rsidR="00F86477" w:rsidRDefault="00F86477" w:rsidP="00F86477">
      <w:pPr>
        <w:pStyle w:val="a3"/>
        <w:rPr>
          <w:kern w:val="0"/>
        </w:rPr>
      </w:pPr>
      <w:r>
        <w:rPr>
          <w:kern w:val="0"/>
        </w:rPr>
        <w:t>Keywords: Analysis, Anxiety, Appraisal, Assessment, Authors, Bias, Depression, Distress, Fertility Treatment, In-Vitro Fertilization</w:t>
      </w:r>
      <w:r w:rsidR="00D5664A">
        <w:rPr>
          <w:kern w:val="0"/>
        </w:rPr>
        <w:t>, ISI,</w:t>
      </w:r>
      <w:r>
        <w:rPr>
          <w:kern w:val="0"/>
        </w:rPr>
        <w:t xml:space="preserve"> Ivf, Knowledge, Mammals, Meta Analysis, Meta-Analysis, Model, Outcome, Pregnancy, Prospective Studies, Psychosocial, Publication, Publication Bias, </w:t>
      </w:r>
      <w:r w:rsidR="002C12F0">
        <w:rPr>
          <w:kern w:val="0"/>
        </w:rPr>
        <w:t>PUBMED</w:t>
      </w:r>
      <w:r>
        <w:rPr>
          <w:kern w:val="0"/>
        </w:rPr>
        <w:t>, Review, Science, Stress, Treatment, Treatment Outcome, Web</w:t>
      </w:r>
      <w:r w:rsidR="00427468">
        <w:rPr>
          <w:kern w:val="0"/>
        </w:rPr>
        <w:t xml:space="preserve"> of </w:t>
      </w:r>
      <w:r>
        <w:rPr>
          <w:kern w:val="0"/>
        </w:rPr>
        <w:t xml:space="preserve">Knowledge, </w:t>
      </w:r>
      <w:r w:rsidR="00D5664A">
        <w:rPr>
          <w:kern w:val="0"/>
        </w:rPr>
        <w:t>Web</w:t>
      </w:r>
      <w:r w:rsidR="00427468">
        <w:rPr>
          <w:kern w:val="0"/>
        </w:rPr>
        <w:t xml:space="preserve"> of </w:t>
      </w:r>
      <w:r w:rsidR="00D5664A">
        <w:rPr>
          <w:kern w:val="0"/>
        </w:rPr>
        <w:t>Science</w:t>
      </w:r>
      <w:r>
        <w:rPr>
          <w:kern w:val="0"/>
        </w:rPr>
        <w:t>, Women</w:t>
      </w:r>
    </w:p>
    <w:p w:rsidR="000E5770" w:rsidRDefault="000E5770" w:rsidP="00064ACD">
      <w:pPr>
        <w:pStyle w:val="a3"/>
        <w:rPr>
          <w:kern w:val="0"/>
        </w:rPr>
      </w:pPr>
      <w:r>
        <w:rPr>
          <w:rFonts w:hint="eastAsia"/>
          <w:kern w:val="0"/>
        </w:rPr>
        <w:t>Notes: CCountry</w:t>
      </w:r>
    </w:p>
    <w:p w:rsidR="00064ACD" w:rsidRDefault="00064ACD" w:rsidP="00064ACD">
      <w:pPr>
        <w:pStyle w:val="a3"/>
        <w:rPr>
          <w:kern w:val="0"/>
        </w:rPr>
      </w:pPr>
      <w:r>
        <w:rPr>
          <w:rFonts w:hint="eastAsia"/>
          <w:kern w:val="0"/>
        </w:rPr>
        <w:t xml:space="preserve">? </w:t>
      </w:r>
      <w:r>
        <w:rPr>
          <w:kern w:val="0"/>
        </w:rPr>
        <w:t>Glanville, J., Kendrick, T., McNally, R., Campbell, J.</w:t>
      </w:r>
      <w:r w:rsidR="005853A9">
        <w:rPr>
          <w:kern w:val="0"/>
        </w:rPr>
        <w:t xml:space="preserve"> and </w:t>
      </w:r>
      <w:r>
        <w:rPr>
          <w:kern w:val="0"/>
        </w:rPr>
        <w:t>Hobbs, F.D.R. (2011), Research output on primary care in Australia, Canada, Germany,</w:t>
      </w:r>
      <w:r w:rsidR="003A1917">
        <w:rPr>
          <w:kern w:val="0"/>
        </w:rPr>
        <w:t xml:space="preserve"> the </w:t>
      </w:r>
      <w:r>
        <w:rPr>
          <w:kern w:val="0"/>
        </w:rPr>
        <w:t>Netherlands,</w:t>
      </w:r>
      <w:r w:rsidR="003A1917">
        <w:rPr>
          <w:kern w:val="0"/>
        </w:rPr>
        <w:t xml:space="preserve"> the </w:t>
      </w:r>
      <w:r>
        <w:rPr>
          <w:kern w:val="0"/>
        </w:rPr>
        <w:t>United Kingdom,</w:t>
      </w:r>
      <w:r w:rsidR="005853A9">
        <w:rPr>
          <w:kern w:val="0"/>
        </w:rPr>
        <w:t xml:space="preserve"> and </w:t>
      </w:r>
      <w:r w:rsidR="003A1917">
        <w:rPr>
          <w:kern w:val="0"/>
        </w:rPr>
        <w:t xml:space="preserve">the </w:t>
      </w:r>
      <w:r>
        <w:rPr>
          <w:kern w:val="0"/>
        </w:rPr>
        <w:t xml:space="preserve">United States: Bibliometric analysis. </w:t>
      </w:r>
      <w:r>
        <w:rPr>
          <w:i/>
          <w:iCs/>
          <w:kern w:val="0"/>
        </w:rPr>
        <w:t>British Medical Journal</w:t>
      </w:r>
      <w:r>
        <w:rPr>
          <w:kern w:val="0"/>
        </w:rPr>
        <w:t xml:space="preserve">, </w:t>
      </w:r>
      <w:r>
        <w:rPr>
          <w:b/>
          <w:bCs/>
          <w:kern w:val="0"/>
        </w:rPr>
        <w:t>342</w:t>
      </w:r>
      <w:r>
        <w:rPr>
          <w:rFonts w:hint="eastAsia"/>
          <w:kern w:val="0"/>
        </w:rPr>
        <w:t xml:space="preserve">, </w:t>
      </w:r>
      <w:r>
        <w:rPr>
          <w:kern w:val="0"/>
        </w:rPr>
        <w:t>Article Number: d1028</w:t>
      </w:r>
      <w:r>
        <w:rPr>
          <w:rFonts w:hint="eastAsia"/>
          <w:kern w:val="0"/>
        </w:rPr>
        <w:t>.</w:t>
      </w:r>
    </w:p>
    <w:p w:rsidR="00A46382" w:rsidRPr="001A3D2B" w:rsidRDefault="00A46382" w:rsidP="00A46382">
      <w:pPr>
        <w:pStyle w:val="a3"/>
        <w:rPr>
          <w:kern w:val="0"/>
        </w:rPr>
      </w:pPr>
      <w:r w:rsidRPr="001A3D2B">
        <w:t xml:space="preserve">Full Text: </w:t>
      </w:r>
      <w:hyperlink r:id="rId2066" w:history="1">
        <w:r w:rsidRPr="001B6D8B">
          <w:rPr>
            <w:rStyle w:val="a5"/>
          </w:rPr>
          <w:t>2011\Bri Med J342, d1028.pdf</w:t>
        </w:r>
      </w:hyperlink>
    </w:p>
    <w:p w:rsidR="00064ACD" w:rsidRDefault="00064ACD" w:rsidP="00064ACD">
      <w:pPr>
        <w:pStyle w:val="a3"/>
        <w:rPr>
          <w:kern w:val="0"/>
        </w:rPr>
      </w:pPr>
      <w:r>
        <w:rPr>
          <w:kern w:val="0"/>
        </w:rPr>
        <w:t>Abstract: Objective To compare</w:t>
      </w:r>
      <w:r w:rsidR="003A1917">
        <w:rPr>
          <w:kern w:val="0"/>
        </w:rPr>
        <w:t xml:space="preserve"> the </w:t>
      </w:r>
      <w:r>
        <w:rPr>
          <w:kern w:val="0"/>
        </w:rPr>
        <w:t>volume</w:t>
      </w:r>
      <w:r w:rsidR="005853A9">
        <w:rPr>
          <w:kern w:val="0"/>
        </w:rPr>
        <w:t xml:space="preserve"> and </w:t>
      </w:r>
      <w:r>
        <w:rPr>
          <w:kern w:val="0"/>
        </w:rPr>
        <w:t>quality</w:t>
      </w:r>
      <w:r w:rsidR="00427468">
        <w:rPr>
          <w:kern w:val="0"/>
        </w:rPr>
        <w:t xml:space="preserve"> of </w:t>
      </w:r>
      <w:r>
        <w:rPr>
          <w:kern w:val="0"/>
        </w:rPr>
        <w:t>original research in primary care published by researchers from primary care in</w:t>
      </w:r>
      <w:r w:rsidR="003A1917">
        <w:rPr>
          <w:kern w:val="0"/>
        </w:rPr>
        <w:t xml:space="preserve"> the </w:t>
      </w:r>
      <w:r>
        <w:rPr>
          <w:kern w:val="0"/>
        </w:rPr>
        <w:t>United Kingdom against five countries with well established academic primary care. Design Bibliometric analysis. Setting United Kingdom, United States, Australia, Canada, Germany,</w:t>
      </w:r>
      <w:r w:rsidR="005853A9">
        <w:rPr>
          <w:kern w:val="0"/>
        </w:rPr>
        <w:t xml:space="preserve"> and </w:t>
      </w:r>
      <w:r w:rsidR="003A1917">
        <w:rPr>
          <w:kern w:val="0"/>
        </w:rPr>
        <w:t xml:space="preserve">the </w:t>
      </w:r>
      <w:r>
        <w:rPr>
          <w:kern w:val="0"/>
        </w:rPr>
        <w:t>Netherlands. Studies reviewed Research publications relevant to comprehensive primary care</w:t>
      </w:r>
      <w:r w:rsidR="005853A9">
        <w:rPr>
          <w:kern w:val="0"/>
        </w:rPr>
        <w:t xml:space="preserve"> and </w:t>
      </w:r>
      <w:r>
        <w:rPr>
          <w:kern w:val="0"/>
        </w:rPr>
        <w:t xml:space="preserve">authored by researchers from primary care, recorded in </w:t>
      </w:r>
      <w:r w:rsidR="00D5664A">
        <w:rPr>
          <w:kern w:val="0"/>
        </w:rPr>
        <w:t>MEDLINE</w:t>
      </w:r>
      <w:r w:rsidR="005853A9">
        <w:rPr>
          <w:kern w:val="0"/>
        </w:rPr>
        <w:t xml:space="preserve"> and </w:t>
      </w:r>
      <w:r>
        <w:rPr>
          <w:kern w:val="0"/>
        </w:rPr>
        <w:t>Embase, with publication dates 2001-7 inclusive. Main outcome measures Volume</w:t>
      </w:r>
      <w:r w:rsidR="00427468">
        <w:rPr>
          <w:kern w:val="0"/>
        </w:rPr>
        <w:t xml:space="preserve"> of </w:t>
      </w:r>
      <w:r>
        <w:rPr>
          <w:kern w:val="0"/>
        </w:rPr>
        <w:t>published activity</w:t>
      </w:r>
      <w:r w:rsidR="00427468">
        <w:rPr>
          <w:kern w:val="0"/>
        </w:rPr>
        <w:t xml:space="preserve"> of </w:t>
      </w:r>
      <w:r>
        <w:rPr>
          <w:kern w:val="0"/>
        </w:rPr>
        <w:t>generalist primary care researchers</w:t>
      </w:r>
      <w:r w:rsidR="005853A9">
        <w:rPr>
          <w:kern w:val="0"/>
        </w:rPr>
        <w:t xml:space="preserve"> and </w:t>
      </w:r>
      <w:r w:rsidR="003A1917">
        <w:rPr>
          <w:kern w:val="0"/>
        </w:rPr>
        <w:t xml:space="preserve">the </w:t>
      </w:r>
      <w:r>
        <w:rPr>
          <w:kern w:val="0"/>
        </w:rPr>
        <w:t>quality</w:t>
      </w:r>
      <w:r w:rsidR="00427468">
        <w:rPr>
          <w:kern w:val="0"/>
        </w:rPr>
        <w:t xml:space="preserve"> of </w:t>
      </w:r>
      <w:r w:rsidR="003A1917">
        <w:rPr>
          <w:kern w:val="0"/>
        </w:rPr>
        <w:t xml:space="preserve">the </w:t>
      </w:r>
      <w:r>
        <w:rPr>
          <w:kern w:val="0"/>
        </w:rPr>
        <w:t>research output by those publishing</w:t>
      </w:r>
      <w:r w:rsidR="003A1917">
        <w:rPr>
          <w:kern w:val="0"/>
        </w:rPr>
        <w:t xml:space="preserve"> the </w:t>
      </w:r>
      <w:r>
        <w:rPr>
          <w:kern w:val="0"/>
        </w:rPr>
        <w:t>most using citation metrics: numbers</w:t>
      </w:r>
      <w:r w:rsidR="00427468">
        <w:rPr>
          <w:kern w:val="0"/>
        </w:rPr>
        <w:t xml:space="preserve"> of </w:t>
      </w:r>
      <w:r>
        <w:rPr>
          <w:kern w:val="0"/>
        </w:rPr>
        <w:t>cited papers, proportion</w:t>
      </w:r>
      <w:r w:rsidR="00427468">
        <w:rPr>
          <w:kern w:val="0"/>
        </w:rPr>
        <w:t xml:space="preserve"> of </w:t>
      </w:r>
      <w:r>
        <w:rPr>
          <w:kern w:val="0"/>
        </w:rPr>
        <w:t>cited papers,</w:t>
      </w:r>
      <w:r w:rsidR="005853A9">
        <w:rPr>
          <w:kern w:val="0"/>
        </w:rPr>
        <w:t xml:space="preserve"> and </w:t>
      </w:r>
      <w:r>
        <w:rPr>
          <w:kern w:val="0"/>
        </w:rPr>
        <w:t>mean citation scores. Results 82 169 papers published between 2001</w:t>
      </w:r>
      <w:r w:rsidR="005853A9">
        <w:rPr>
          <w:kern w:val="0"/>
        </w:rPr>
        <w:t xml:space="preserve"> and </w:t>
      </w:r>
      <w:r>
        <w:rPr>
          <w:kern w:val="0"/>
        </w:rPr>
        <w:t>2007 in</w:t>
      </w:r>
      <w:r w:rsidR="003A1917">
        <w:rPr>
          <w:kern w:val="0"/>
        </w:rPr>
        <w:t xml:space="preserve"> the </w:t>
      </w:r>
      <w:r>
        <w:rPr>
          <w:kern w:val="0"/>
        </w:rPr>
        <w:t>six countries were classified as research on primary care. In a 15% pragmatic random sample</w:t>
      </w:r>
      <w:r w:rsidR="00427468">
        <w:rPr>
          <w:kern w:val="0"/>
        </w:rPr>
        <w:t xml:space="preserve"> of </w:t>
      </w:r>
      <w:r>
        <w:rPr>
          <w:kern w:val="0"/>
        </w:rPr>
        <w:t>these records, 40%</w:t>
      </w:r>
      <w:r w:rsidR="00427468">
        <w:rPr>
          <w:kern w:val="0"/>
        </w:rPr>
        <w:t xml:space="preserve"> of </w:t>
      </w:r>
      <w:r>
        <w:rPr>
          <w:kern w:val="0"/>
        </w:rPr>
        <w:t>research on primary care from</w:t>
      </w:r>
      <w:r w:rsidR="003A1917">
        <w:rPr>
          <w:kern w:val="0"/>
        </w:rPr>
        <w:t xml:space="preserve"> the </w:t>
      </w:r>
      <w:r>
        <w:rPr>
          <w:kern w:val="0"/>
        </w:rPr>
        <w:t>United Kingdom</w:t>
      </w:r>
      <w:r w:rsidR="005853A9">
        <w:rPr>
          <w:kern w:val="0"/>
        </w:rPr>
        <w:t xml:space="preserve"> and </w:t>
      </w:r>
      <w:r>
        <w:rPr>
          <w:kern w:val="0"/>
        </w:rPr>
        <w:t>46% from</w:t>
      </w:r>
      <w:r w:rsidR="003A1917">
        <w:rPr>
          <w:kern w:val="0"/>
        </w:rPr>
        <w:t xml:space="preserve"> the </w:t>
      </w:r>
      <w:r>
        <w:rPr>
          <w:kern w:val="0"/>
        </w:rPr>
        <w:t>Netherlands was authored by researchers employed in a primary care setting or employed in academic departments</w:t>
      </w:r>
      <w:r w:rsidR="00427468">
        <w:rPr>
          <w:kern w:val="0"/>
        </w:rPr>
        <w:t xml:space="preserve"> of </w:t>
      </w:r>
      <w:r>
        <w:rPr>
          <w:kern w:val="0"/>
        </w:rPr>
        <w:t>primary care</w:t>
      </w:r>
      <w:r w:rsidR="00A37C1D">
        <w:rPr>
          <w:kern w:val="0"/>
        </w:rPr>
        <w:t>. The</w:t>
      </w:r>
      <w:r w:rsidR="003A1917">
        <w:rPr>
          <w:kern w:val="0"/>
        </w:rPr>
        <w:t xml:space="preserve"> </w:t>
      </w:r>
      <w:r>
        <w:rPr>
          <w:kern w:val="0"/>
        </w:rPr>
        <w:t>141 researchers with</w:t>
      </w:r>
      <w:r w:rsidR="003A1917">
        <w:rPr>
          <w:kern w:val="0"/>
        </w:rPr>
        <w:t xml:space="preserve"> the </w:t>
      </w:r>
      <w:r>
        <w:rPr>
          <w:kern w:val="0"/>
        </w:rPr>
        <w:t>highest volume</w:t>
      </w:r>
      <w:r w:rsidR="00427468">
        <w:rPr>
          <w:kern w:val="0"/>
        </w:rPr>
        <w:t xml:space="preserve"> of </w:t>
      </w:r>
      <w:r>
        <w:rPr>
          <w:kern w:val="0"/>
        </w:rPr>
        <w:t>publications reporting research findings published between 2001</w:t>
      </w:r>
      <w:r w:rsidR="005853A9">
        <w:rPr>
          <w:kern w:val="0"/>
        </w:rPr>
        <w:t xml:space="preserve"> and </w:t>
      </w:r>
      <w:r>
        <w:rPr>
          <w:kern w:val="0"/>
        </w:rPr>
        <w:t>2007 (inclusive) authored or part authored 8.3%</w:t>
      </w:r>
      <w:r w:rsidR="00427468">
        <w:rPr>
          <w:kern w:val="0"/>
        </w:rPr>
        <w:t xml:space="preserve"> of </w:t>
      </w:r>
      <w:r w:rsidR="003A1917">
        <w:rPr>
          <w:kern w:val="0"/>
        </w:rPr>
        <w:t xml:space="preserve">the </w:t>
      </w:r>
      <w:r>
        <w:rPr>
          <w:kern w:val="0"/>
        </w:rPr>
        <w:t>total sample</w:t>
      </w:r>
      <w:r w:rsidR="00427468">
        <w:rPr>
          <w:kern w:val="0"/>
        </w:rPr>
        <w:t xml:space="preserve"> of </w:t>
      </w:r>
      <w:r>
        <w:rPr>
          <w:kern w:val="0"/>
        </w:rPr>
        <w:t>papers. For authors with</w:t>
      </w:r>
      <w:r w:rsidR="003A1917">
        <w:rPr>
          <w:kern w:val="0"/>
        </w:rPr>
        <w:t xml:space="preserve"> the </w:t>
      </w:r>
      <w:r>
        <w:rPr>
          <w:kern w:val="0"/>
        </w:rPr>
        <w:t>highest proportion</w:t>
      </w:r>
      <w:r w:rsidR="00427468">
        <w:rPr>
          <w:kern w:val="0"/>
        </w:rPr>
        <w:t xml:space="preserve"> of </w:t>
      </w:r>
      <w:r>
        <w:rPr>
          <w:kern w:val="0"/>
        </w:rPr>
        <w:t>publications cited at least five times,</w:t>
      </w:r>
      <w:r w:rsidR="003A1917">
        <w:rPr>
          <w:kern w:val="0"/>
        </w:rPr>
        <w:t xml:space="preserve"> the </w:t>
      </w:r>
      <w:r>
        <w:rPr>
          <w:kern w:val="0"/>
        </w:rPr>
        <w:t>best performers came from</w:t>
      </w:r>
      <w:r w:rsidR="003A1917">
        <w:rPr>
          <w:kern w:val="0"/>
        </w:rPr>
        <w:t xml:space="preserve"> the </w:t>
      </w:r>
      <w:r>
        <w:rPr>
          <w:kern w:val="0"/>
        </w:rPr>
        <w:t>United States (n=5), United Kingdom (n=4),</w:t>
      </w:r>
      <w:r w:rsidR="005853A9">
        <w:rPr>
          <w:kern w:val="0"/>
        </w:rPr>
        <w:t xml:space="preserve"> and </w:t>
      </w:r>
      <w:r w:rsidR="003A1917">
        <w:rPr>
          <w:kern w:val="0"/>
        </w:rPr>
        <w:t xml:space="preserve">the </w:t>
      </w:r>
      <w:r>
        <w:rPr>
          <w:kern w:val="0"/>
        </w:rPr>
        <w:t>Netherlands (n=2). In</w:t>
      </w:r>
      <w:r w:rsidR="003A1917">
        <w:rPr>
          <w:kern w:val="0"/>
        </w:rPr>
        <w:t xml:space="preserve"> the </w:t>
      </w:r>
      <w:r>
        <w:rPr>
          <w:kern w:val="0"/>
        </w:rPr>
        <w:t>top 10</w:t>
      </w:r>
      <w:r w:rsidR="00427468">
        <w:rPr>
          <w:kern w:val="0"/>
        </w:rPr>
        <w:t xml:space="preserve"> of </w:t>
      </w:r>
      <w:r>
        <w:rPr>
          <w:kern w:val="0"/>
        </w:rPr>
        <w:t>authors with</w:t>
      </w:r>
      <w:r w:rsidR="003A1917">
        <w:rPr>
          <w:kern w:val="0"/>
        </w:rPr>
        <w:t xml:space="preserve"> the </w:t>
      </w:r>
      <w:r>
        <w:rPr>
          <w:kern w:val="0"/>
        </w:rPr>
        <w:t>highest proportions</w:t>
      </w:r>
      <w:r w:rsidR="00427468">
        <w:rPr>
          <w:kern w:val="0"/>
        </w:rPr>
        <w:t xml:space="preserve"> of </w:t>
      </w:r>
      <w:r>
        <w:rPr>
          <w:kern w:val="0"/>
        </w:rPr>
        <w:t>publications achieving 20 or more citations, six were from</w:t>
      </w:r>
      <w:r w:rsidR="003A1917">
        <w:rPr>
          <w:kern w:val="0"/>
        </w:rPr>
        <w:t xml:space="preserve"> the </w:t>
      </w:r>
      <w:r>
        <w:rPr>
          <w:kern w:val="0"/>
        </w:rPr>
        <w:t>United Kingdom</w:t>
      </w:r>
      <w:r w:rsidR="005853A9">
        <w:rPr>
          <w:kern w:val="0"/>
        </w:rPr>
        <w:t xml:space="preserve"> and </w:t>
      </w:r>
      <w:r>
        <w:rPr>
          <w:kern w:val="0"/>
        </w:rPr>
        <w:lastRenderedPageBreak/>
        <w:t>four from</w:t>
      </w:r>
      <w:r w:rsidR="003A1917">
        <w:rPr>
          <w:kern w:val="0"/>
        </w:rPr>
        <w:t xml:space="preserve"> the </w:t>
      </w:r>
      <w:r>
        <w:rPr>
          <w:kern w:val="0"/>
        </w:rPr>
        <w:t>United States</w:t>
      </w:r>
      <w:r w:rsidR="00A37C1D">
        <w:rPr>
          <w:kern w:val="0"/>
        </w:rPr>
        <w:t>. The</w:t>
      </w:r>
      <w:r w:rsidR="003A1917">
        <w:rPr>
          <w:kern w:val="0"/>
        </w:rPr>
        <w:t xml:space="preserve"> </w:t>
      </w:r>
      <w:r>
        <w:rPr>
          <w:kern w:val="0"/>
        </w:rPr>
        <w:t>mean Hirsc</w:t>
      </w:r>
      <w:r w:rsidR="00D5664A">
        <w:rPr>
          <w:kern w:val="0"/>
        </w:rPr>
        <w:t>h Index</w:t>
      </w:r>
      <w:r>
        <w:rPr>
          <w:kern w:val="0"/>
        </w:rPr>
        <w:t xml:space="preserve"> (measure</w:t>
      </w:r>
      <w:r w:rsidR="00427468">
        <w:rPr>
          <w:kern w:val="0"/>
        </w:rPr>
        <w:t xml:space="preserve"> of </w:t>
      </w:r>
      <w:r>
        <w:rPr>
          <w:kern w:val="0"/>
        </w:rPr>
        <w:t>a researcher</w:t>
      </w:r>
      <w:r w:rsidR="00700038">
        <w:rPr>
          <w:kern w:val="0"/>
        </w:rPr>
        <w:t>’</w:t>
      </w:r>
      <w:r w:rsidR="00C13DDC">
        <w:rPr>
          <w:kern w:val="0"/>
        </w:rPr>
        <w:t>s</w:t>
      </w:r>
      <w:r>
        <w:rPr>
          <w:kern w:val="0"/>
        </w:rPr>
        <w:t xml:space="preserve"> productivity</w:t>
      </w:r>
      <w:r w:rsidR="005853A9">
        <w:rPr>
          <w:kern w:val="0"/>
        </w:rPr>
        <w:t xml:space="preserve"> and </w:t>
      </w:r>
      <w:r>
        <w:rPr>
          <w:kern w:val="0"/>
        </w:rPr>
        <w:t>impact</w:t>
      </w:r>
      <w:r w:rsidR="00427468">
        <w:rPr>
          <w:kern w:val="0"/>
        </w:rPr>
        <w:t xml:space="preserve"> of </w:t>
      </w:r>
      <w:r w:rsidR="003A1917">
        <w:rPr>
          <w:kern w:val="0"/>
        </w:rPr>
        <w:t xml:space="preserve">the </w:t>
      </w:r>
      <w:r>
        <w:rPr>
          <w:kern w:val="0"/>
        </w:rPr>
        <w:t>published work) was 14 for</w:t>
      </w:r>
      <w:r w:rsidR="003A1917">
        <w:rPr>
          <w:kern w:val="0"/>
        </w:rPr>
        <w:t xml:space="preserve"> the </w:t>
      </w:r>
      <w:r>
        <w:rPr>
          <w:kern w:val="0"/>
        </w:rPr>
        <w:t>Netherlands, 13 for</w:t>
      </w:r>
      <w:r w:rsidR="003A1917">
        <w:rPr>
          <w:kern w:val="0"/>
        </w:rPr>
        <w:t xml:space="preserve"> the </w:t>
      </w:r>
      <w:r>
        <w:rPr>
          <w:kern w:val="0"/>
        </w:rPr>
        <w:t>United Kingdom, 12 for</w:t>
      </w:r>
      <w:r w:rsidR="003A1917">
        <w:rPr>
          <w:kern w:val="0"/>
        </w:rPr>
        <w:t xml:space="preserve"> the </w:t>
      </w:r>
      <w:r>
        <w:rPr>
          <w:kern w:val="0"/>
        </w:rPr>
        <w:t>United States, 7 for Canada, 4 for Australia,</w:t>
      </w:r>
      <w:r w:rsidR="005853A9">
        <w:rPr>
          <w:kern w:val="0"/>
        </w:rPr>
        <w:t xml:space="preserve"> and </w:t>
      </w:r>
      <w:r>
        <w:rPr>
          <w:kern w:val="0"/>
        </w:rPr>
        <w:t>3 for Germany. Conclusion This international comparison</w:t>
      </w:r>
      <w:r w:rsidR="00427468">
        <w:rPr>
          <w:kern w:val="0"/>
        </w:rPr>
        <w:t xml:space="preserve"> of </w:t>
      </w:r>
      <w:r w:rsidR="003A1917">
        <w:rPr>
          <w:kern w:val="0"/>
        </w:rPr>
        <w:t xml:space="preserve">the </w:t>
      </w:r>
      <w:r>
        <w:rPr>
          <w:kern w:val="0"/>
        </w:rPr>
        <w:t>volume</w:t>
      </w:r>
      <w:r w:rsidR="005853A9">
        <w:rPr>
          <w:kern w:val="0"/>
        </w:rPr>
        <w:t xml:space="preserve"> and </w:t>
      </w:r>
      <w:r>
        <w:rPr>
          <w:kern w:val="0"/>
        </w:rPr>
        <w:t>citation rates</w:t>
      </w:r>
      <w:r w:rsidR="00427468">
        <w:rPr>
          <w:kern w:val="0"/>
        </w:rPr>
        <w:t xml:space="preserve"> of </w:t>
      </w:r>
      <w:r>
        <w:rPr>
          <w:kern w:val="0"/>
        </w:rPr>
        <w:t>papers by researchers from primary care consistently placed UK researchers among</w:t>
      </w:r>
      <w:r w:rsidR="003A1917">
        <w:rPr>
          <w:kern w:val="0"/>
        </w:rPr>
        <w:t xml:space="preserve"> the </w:t>
      </w:r>
      <w:r>
        <w:rPr>
          <w:kern w:val="0"/>
        </w:rPr>
        <w:t>best performers internationally.</w:t>
      </w:r>
    </w:p>
    <w:p w:rsidR="00064ACD" w:rsidRDefault="00064ACD" w:rsidP="00064ACD">
      <w:pPr>
        <w:pStyle w:val="a3"/>
        <w:rPr>
          <w:kern w:val="0"/>
        </w:rPr>
      </w:pPr>
      <w:r>
        <w:rPr>
          <w:kern w:val="0"/>
        </w:rPr>
        <w:t>Keywords: Analysis, Australia, Authors, Bibliometric, Bibliometric Analysis, Canada, Care, Citation, Citations, Comparison, Germany, Hirsch, Hirsc</w:t>
      </w:r>
      <w:r w:rsidR="00D5664A">
        <w:rPr>
          <w:kern w:val="0"/>
        </w:rPr>
        <w:t>h Index</w:t>
      </w:r>
      <w:r>
        <w:rPr>
          <w:kern w:val="0"/>
        </w:rPr>
        <w:t>, Impact, Index, International, International Comparison, Mar, Measure, Metrics, Outcome, Outcome Measures, Papers, Primary, Primary Care, Productivity, Publication, Publications, Publishing, Quality, Quality of, Random Sample, Rates, Records, Reporting, Research,</w:t>
      </w:r>
      <w:r w:rsidR="003A1917">
        <w:rPr>
          <w:kern w:val="0"/>
        </w:rPr>
        <w:t xml:space="preserve"> the </w:t>
      </w:r>
      <w:r>
        <w:rPr>
          <w:kern w:val="0"/>
        </w:rPr>
        <w:t>Netherlands</w:t>
      </w:r>
      <w:r w:rsidR="00D5664A">
        <w:rPr>
          <w:kern w:val="0"/>
        </w:rPr>
        <w:t>, UK,</w:t>
      </w:r>
      <w:r>
        <w:rPr>
          <w:kern w:val="0"/>
        </w:rPr>
        <w:t xml:space="preserve"> United Kingdom, United States, Volume, Work</w:t>
      </w:r>
    </w:p>
    <w:p w:rsidR="00064ACD" w:rsidRDefault="00064ACD" w:rsidP="00064ACD">
      <w:pPr>
        <w:pStyle w:val="a3"/>
        <w:rPr>
          <w:kern w:val="0"/>
        </w:rPr>
      </w:pPr>
      <w:r>
        <w:rPr>
          <w:rFonts w:hint="eastAsia"/>
          <w:kern w:val="0"/>
        </w:rPr>
        <w:t xml:space="preserve">? </w:t>
      </w:r>
      <w:r>
        <w:rPr>
          <w:kern w:val="0"/>
        </w:rPr>
        <w:t>Weightman, A.L.</w:t>
      </w:r>
      <w:r w:rsidR="005853A9">
        <w:rPr>
          <w:kern w:val="0"/>
        </w:rPr>
        <w:t xml:space="preserve"> and </w:t>
      </w:r>
      <w:r>
        <w:rPr>
          <w:kern w:val="0"/>
        </w:rPr>
        <w:t>Butler, C.C. (2011), Using bibliometrics to define</w:t>
      </w:r>
      <w:r w:rsidR="003A1917">
        <w:rPr>
          <w:kern w:val="0"/>
        </w:rPr>
        <w:t xml:space="preserve"> the </w:t>
      </w:r>
      <w:r>
        <w:rPr>
          <w:kern w:val="0"/>
        </w:rPr>
        <w:t>quality</w:t>
      </w:r>
      <w:r w:rsidR="00427468">
        <w:rPr>
          <w:kern w:val="0"/>
        </w:rPr>
        <w:t xml:space="preserve"> of </w:t>
      </w:r>
      <w:r>
        <w:rPr>
          <w:kern w:val="0"/>
        </w:rPr>
        <w:t xml:space="preserve">primary care research. </w:t>
      </w:r>
      <w:r>
        <w:rPr>
          <w:i/>
          <w:iCs/>
          <w:kern w:val="0"/>
        </w:rPr>
        <w:t>British Medical Journal</w:t>
      </w:r>
      <w:r>
        <w:rPr>
          <w:kern w:val="0"/>
        </w:rPr>
        <w:t xml:space="preserve">, </w:t>
      </w:r>
      <w:r>
        <w:rPr>
          <w:b/>
          <w:bCs/>
          <w:kern w:val="0"/>
        </w:rPr>
        <w:t>342</w:t>
      </w:r>
      <w:r w:rsidRPr="001D2BD1">
        <w:rPr>
          <w:rFonts w:hint="eastAsia"/>
          <w:bCs/>
          <w:kern w:val="0"/>
        </w:rPr>
        <w:t xml:space="preserve">, </w:t>
      </w:r>
      <w:r>
        <w:rPr>
          <w:bCs/>
          <w:kern w:val="0"/>
        </w:rPr>
        <w:t>Article Number: d1083</w:t>
      </w:r>
      <w:r>
        <w:rPr>
          <w:rFonts w:hint="eastAsia"/>
          <w:bCs/>
          <w:kern w:val="0"/>
        </w:rPr>
        <w:t>.</w:t>
      </w:r>
    </w:p>
    <w:p w:rsidR="00A46382" w:rsidRPr="001A3D2B" w:rsidRDefault="00A46382" w:rsidP="00A46382">
      <w:pPr>
        <w:pStyle w:val="a3"/>
        <w:rPr>
          <w:kern w:val="0"/>
        </w:rPr>
      </w:pPr>
      <w:r w:rsidRPr="001A3D2B">
        <w:t xml:space="preserve">Full Text: </w:t>
      </w:r>
      <w:hyperlink r:id="rId2067" w:history="1">
        <w:r w:rsidRPr="00FD2780">
          <w:rPr>
            <w:rStyle w:val="a5"/>
          </w:rPr>
          <w:t>2011\Bri Med J342, d1083.pdf</w:t>
        </w:r>
      </w:hyperlink>
    </w:p>
    <w:p w:rsidR="00064ACD" w:rsidRDefault="00064ACD" w:rsidP="00064ACD">
      <w:pPr>
        <w:pStyle w:val="a3"/>
        <w:rPr>
          <w:kern w:val="0"/>
        </w:rPr>
      </w:pPr>
      <w:r>
        <w:rPr>
          <w:kern w:val="0"/>
        </w:rPr>
        <w:t>Keywords: Bibliometrics, Care, Mar, Primary, Primary Care, Quality, Quality Of, Research</w:t>
      </w:r>
    </w:p>
    <w:p w:rsidR="00F86477" w:rsidRDefault="00F86477" w:rsidP="00F86477">
      <w:pPr>
        <w:pStyle w:val="a3"/>
        <w:rPr>
          <w:kern w:val="0"/>
        </w:rPr>
      </w:pPr>
      <w:r>
        <w:rPr>
          <w:rFonts w:hint="eastAsia"/>
          <w:kern w:val="0"/>
        </w:rPr>
        <w:t xml:space="preserve">? </w:t>
      </w:r>
      <w:r>
        <w:rPr>
          <w:kern w:val="0"/>
        </w:rPr>
        <w:t>Moonesinghe, S.R., Lowery, J., Shahi, N., Millen, A.</w:t>
      </w:r>
      <w:r w:rsidR="005853A9">
        <w:rPr>
          <w:kern w:val="0"/>
        </w:rPr>
        <w:t xml:space="preserve"> and </w:t>
      </w:r>
      <w:r>
        <w:rPr>
          <w:kern w:val="0"/>
        </w:rPr>
        <w:t>Beard, J.D. (2011), Impact</w:t>
      </w:r>
      <w:r w:rsidR="00427468">
        <w:rPr>
          <w:kern w:val="0"/>
        </w:rPr>
        <w:t xml:space="preserve"> of </w:t>
      </w:r>
      <w:r>
        <w:rPr>
          <w:kern w:val="0"/>
        </w:rPr>
        <w:t>reduction in working hours for doctors in training on postgraduate medical education</w:t>
      </w:r>
      <w:r w:rsidR="005853A9">
        <w:rPr>
          <w:kern w:val="0"/>
        </w:rPr>
        <w:t xml:space="preserve"> and </w:t>
      </w:r>
      <w:r>
        <w:rPr>
          <w:kern w:val="0"/>
        </w:rPr>
        <w:t>patients</w:t>
      </w:r>
      <w:r w:rsidR="00700038">
        <w:rPr>
          <w:kern w:val="0"/>
        </w:rPr>
        <w:t>’</w:t>
      </w:r>
      <w:r>
        <w:rPr>
          <w:kern w:val="0"/>
        </w:rPr>
        <w:t xml:space="preserve"> outcomes: Systematic review. </w:t>
      </w:r>
      <w:r>
        <w:rPr>
          <w:i/>
          <w:iCs/>
          <w:kern w:val="0"/>
        </w:rPr>
        <w:t>British Medical Journal</w:t>
      </w:r>
      <w:r>
        <w:rPr>
          <w:kern w:val="0"/>
        </w:rPr>
        <w:t xml:space="preserve">, </w:t>
      </w:r>
      <w:r>
        <w:rPr>
          <w:b/>
          <w:bCs/>
          <w:kern w:val="0"/>
        </w:rPr>
        <w:t>342</w:t>
      </w:r>
      <w:r>
        <w:rPr>
          <w:rFonts w:hint="eastAsia"/>
          <w:kern w:val="0"/>
        </w:rPr>
        <w:t xml:space="preserve">, </w:t>
      </w:r>
      <w:r w:rsidRPr="001A1CD0">
        <w:rPr>
          <w:kern w:val="0"/>
        </w:rPr>
        <w:t>Article Number: d1580</w:t>
      </w:r>
      <w:r>
        <w:rPr>
          <w:rFonts w:hint="eastAsia"/>
          <w:kern w:val="0"/>
        </w:rPr>
        <w:t>.</w:t>
      </w:r>
    </w:p>
    <w:p w:rsidR="00A46382" w:rsidRDefault="00A46382" w:rsidP="00A46382">
      <w:pPr>
        <w:pStyle w:val="a3"/>
      </w:pPr>
      <w:r>
        <w:t>Full Text:</w:t>
      </w:r>
      <w:r w:rsidRPr="00FC7835">
        <w:t xml:space="preserve"> </w:t>
      </w:r>
      <w:hyperlink r:id="rId2068" w:history="1">
        <w:r w:rsidRPr="001B6D8B">
          <w:rPr>
            <w:rStyle w:val="a5"/>
          </w:rPr>
          <w:t>2011\Bri Med J342, d1580.pdf</w:t>
        </w:r>
      </w:hyperlink>
    </w:p>
    <w:p w:rsidR="00F86477" w:rsidRDefault="00F86477" w:rsidP="00F86477">
      <w:pPr>
        <w:pStyle w:val="a3"/>
        <w:rPr>
          <w:kern w:val="0"/>
        </w:rPr>
      </w:pPr>
      <w:r>
        <w:rPr>
          <w:kern w:val="0"/>
        </w:rPr>
        <w:t>Abstract: Objectives To determine whether a reduction in working hours</w:t>
      </w:r>
      <w:r w:rsidR="00427468">
        <w:rPr>
          <w:kern w:val="0"/>
        </w:rPr>
        <w:t xml:space="preserve"> of </w:t>
      </w:r>
      <w:r>
        <w:rPr>
          <w:kern w:val="0"/>
        </w:rPr>
        <w:t>doctors in postgraduate medical training has had an effect on objective measures</w:t>
      </w:r>
      <w:r w:rsidR="00427468">
        <w:rPr>
          <w:kern w:val="0"/>
        </w:rPr>
        <w:t xml:space="preserve"> of </w:t>
      </w:r>
      <w:r>
        <w:rPr>
          <w:kern w:val="0"/>
        </w:rPr>
        <w:t>medical education</w:t>
      </w:r>
      <w:r w:rsidR="005853A9">
        <w:rPr>
          <w:kern w:val="0"/>
        </w:rPr>
        <w:t xml:space="preserve"> and </w:t>
      </w:r>
      <w:r>
        <w:rPr>
          <w:kern w:val="0"/>
        </w:rPr>
        <w:t xml:space="preserve">clinical outcome. Design Systematic review. Data sources </w:t>
      </w:r>
      <w:r w:rsidR="00D5664A">
        <w:rPr>
          <w:kern w:val="0"/>
        </w:rPr>
        <w:t>MEDLINE</w:t>
      </w:r>
      <w:r>
        <w:rPr>
          <w:kern w:val="0"/>
        </w:rPr>
        <w:t xml:space="preserve">, EMBASE, </w:t>
      </w:r>
      <w:r w:rsidR="00730B6D">
        <w:rPr>
          <w:kern w:val="0"/>
        </w:rPr>
        <w:t xml:space="preserve">ISI </w:t>
      </w:r>
      <w:r w:rsidR="00D5664A">
        <w:rPr>
          <w:kern w:val="0"/>
        </w:rPr>
        <w:t>Web</w:t>
      </w:r>
      <w:r w:rsidR="00427468">
        <w:rPr>
          <w:kern w:val="0"/>
        </w:rPr>
        <w:t xml:space="preserve"> of </w:t>
      </w:r>
      <w:r w:rsidR="00D5664A">
        <w:rPr>
          <w:kern w:val="0"/>
        </w:rPr>
        <w:t>Science</w:t>
      </w:r>
      <w:r>
        <w:rPr>
          <w:kern w:val="0"/>
        </w:rPr>
        <w:t>, Google Scholar, ERIC,</w:t>
      </w:r>
      <w:r w:rsidR="005853A9">
        <w:rPr>
          <w:kern w:val="0"/>
        </w:rPr>
        <w:t xml:space="preserve"> and </w:t>
      </w:r>
      <w:r>
        <w:rPr>
          <w:kern w:val="0"/>
        </w:rPr>
        <w:t>SIGLE were searched without language restriction for articles published between 1990</w:t>
      </w:r>
      <w:r w:rsidR="005853A9">
        <w:rPr>
          <w:kern w:val="0"/>
        </w:rPr>
        <w:t xml:space="preserve"> and </w:t>
      </w:r>
      <w:r>
        <w:rPr>
          <w:kern w:val="0"/>
        </w:rPr>
        <w:t>December 2010. Reference lists</w:t>
      </w:r>
      <w:r w:rsidR="005853A9">
        <w:rPr>
          <w:kern w:val="0"/>
        </w:rPr>
        <w:t xml:space="preserve"> and </w:t>
      </w:r>
      <w:r>
        <w:rPr>
          <w:kern w:val="0"/>
        </w:rPr>
        <w:t>citations</w:t>
      </w:r>
      <w:r w:rsidR="00427468">
        <w:rPr>
          <w:kern w:val="0"/>
        </w:rPr>
        <w:t xml:space="preserve"> of </w:t>
      </w:r>
      <w:r>
        <w:rPr>
          <w:kern w:val="0"/>
        </w:rPr>
        <w:t>selected articles. Study selection Studies that assessed</w:t>
      </w:r>
      <w:r w:rsidR="003A1917">
        <w:rPr>
          <w:kern w:val="0"/>
        </w:rPr>
        <w:t xml:space="preserve"> the </w:t>
      </w:r>
      <w:r>
        <w:rPr>
          <w:kern w:val="0"/>
        </w:rPr>
        <w:t>impact</w:t>
      </w:r>
      <w:r w:rsidR="00427468">
        <w:rPr>
          <w:kern w:val="0"/>
        </w:rPr>
        <w:t xml:space="preserve"> of </w:t>
      </w:r>
      <w:r>
        <w:rPr>
          <w:kern w:val="0"/>
        </w:rPr>
        <w:t>a change in duty hours using any objective measure</w:t>
      </w:r>
      <w:r w:rsidR="00427468">
        <w:rPr>
          <w:kern w:val="0"/>
        </w:rPr>
        <w:t xml:space="preserve"> of </w:t>
      </w:r>
      <w:r>
        <w:rPr>
          <w:kern w:val="0"/>
        </w:rPr>
        <w:t>outcome related to postgraduate medical training, patient safety, or clinical outcome. Any study design was eligible for inclusion. Results 72 studies were eligible for inclusion: 38 reporting training outcomes, 31 reporting outcomes in patients,</w:t>
      </w:r>
      <w:r w:rsidR="005853A9">
        <w:rPr>
          <w:kern w:val="0"/>
        </w:rPr>
        <w:t xml:space="preserve"> and </w:t>
      </w:r>
      <w:r>
        <w:rPr>
          <w:kern w:val="0"/>
        </w:rPr>
        <w:t>three reporting both. A reduction in working hours from greater than 80 hours a week (in accordance with US recommendations) does not seem to have adversely affected patient safety</w:t>
      </w:r>
      <w:r w:rsidR="005853A9">
        <w:rPr>
          <w:kern w:val="0"/>
        </w:rPr>
        <w:t xml:space="preserve"> and </w:t>
      </w:r>
      <w:r>
        <w:rPr>
          <w:kern w:val="0"/>
        </w:rPr>
        <w:t>has had limited effect on postgraduate training. Reports on</w:t>
      </w:r>
      <w:r w:rsidR="003A1917">
        <w:rPr>
          <w:kern w:val="0"/>
        </w:rPr>
        <w:t xml:space="preserve"> the </w:t>
      </w:r>
      <w:r>
        <w:rPr>
          <w:kern w:val="0"/>
        </w:rPr>
        <w:t>impact</w:t>
      </w:r>
      <w:r w:rsidR="00427468">
        <w:rPr>
          <w:kern w:val="0"/>
        </w:rPr>
        <w:t xml:space="preserve"> of </w:t>
      </w:r>
      <w:r>
        <w:rPr>
          <w:kern w:val="0"/>
        </w:rPr>
        <w:t>European legislation limiting working hours to less than 56 or 48 a week are</w:t>
      </w:r>
      <w:r w:rsidR="00427468">
        <w:rPr>
          <w:kern w:val="0"/>
        </w:rPr>
        <w:t xml:space="preserve"> of </w:t>
      </w:r>
      <w:r>
        <w:rPr>
          <w:kern w:val="0"/>
        </w:rPr>
        <w:t>poor quality</w:t>
      </w:r>
      <w:r w:rsidR="005853A9">
        <w:rPr>
          <w:kern w:val="0"/>
        </w:rPr>
        <w:t xml:space="preserve"> and </w:t>
      </w:r>
      <w:r>
        <w:rPr>
          <w:kern w:val="0"/>
        </w:rPr>
        <w:t>have conflicting results, meaning that firm conclusions cannot be made. Conclusions Reducing working hours to less than 80 a week has not adversely affected outcomes in patient or postgraduate training in</w:t>
      </w:r>
      <w:r w:rsidR="003A1917">
        <w:rPr>
          <w:kern w:val="0"/>
        </w:rPr>
        <w:t xml:space="preserve"> the </w:t>
      </w:r>
      <w:r>
        <w:rPr>
          <w:kern w:val="0"/>
        </w:rPr>
        <w:t>US</w:t>
      </w:r>
      <w:r w:rsidR="00A37C1D">
        <w:rPr>
          <w:kern w:val="0"/>
        </w:rPr>
        <w:t>. The</w:t>
      </w:r>
      <w:r w:rsidR="003A1917">
        <w:rPr>
          <w:kern w:val="0"/>
        </w:rPr>
        <w:t xml:space="preserve"> </w:t>
      </w:r>
      <w:r>
        <w:rPr>
          <w:kern w:val="0"/>
        </w:rPr>
        <w:t>impact</w:t>
      </w:r>
      <w:r w:rsidR="00427468">
        <w:rPr>
          <w:kern w:val="0"/>
        </w:rPr>
        <w:t xml:space="preserve"> of </w:t>
      </w:r>
      <w:r>
        <w:rPr>
          <w:kern w:val="0"/>
        </w:rPr>
        <w:lastRenderedPageBreak/>
        <w:t>reducing hours to less than 56 or 48 a week in</w:t>
      </w:r>
      <w:r w:rsidR="003A1917">
        <w:rPr>
          <w:kern w:val="0"/>
        </w:rPr>
        <w:t xml:space="preserve"> the </w:t>
      </w:r>
      <w:r>
        <w:rPr>
          <w:kern w:val="0"/>
        </w:rPr>
        <w:t>UK has not yet been sufficiently evaluated in high quality studies. Further work is required, particularly in</w:t>
      </w:r>
      <w:r w:rsidR="003A1917">
        <w:rPr>
          <w:kern w:val="0"/>
        </w:rPr>
        <w:t xml:space="preserve"> the </w:t>
      </w:r>
      <w:r>
        <w:rPr>
          <w:kern w:val="0"/>
        </w:rPr>
        <w:t>European Union, using large multicentre evaluations</w:t>
      </w:r>
      <w:r w:rsidR="00427468">
        <w:rPr>
          <w:kern w:val="0"/>
        </w:rPr>
        <w:t xml:space="preserve"> of </w:t>
      </w:r>
      <w:r w:rsidR="003A1917">
        <w:rPr>
          <w:kern w:val="0"/>
        </w:rPr>
        <w:t xml:space="preserve">the </w:t>
      </w:r>
      <w:r>
        <w:rPr>
          <w:kern w:val="0"/>
        </w:rPr>
        <w:t>impact</w:t>
      </w:r>
      <w:r w:rsidR="00427468">
        <w:rPr>
          <w:kern w:val="0"/>
        </w:rPr>
        <w:t xml:space="preserve"> of </w:t>
      </w:r>
      <w:r>
        <w:rPr>
          <w:kern w:val="0"/>
        </w:rPr>
        <w:t>duty hours</w:t>
      </w:r>
      <w:r w:rsidR="00700038">
        <w:rPr>
          <w:kern w:val="0"/>
        </w:rPr>
        <w:t>’</w:t>
      </w:r>
      <w:r>
        <w:rPr>
          <w:kern w:val="0"/>
        </w:rPr>
        <w:t xml:space="preserve"> legislation on objective educational</w:t>
      </w:r>
      <w:r w:rsidR="005853A9">
        <w:rPr>
          <w:kern w:val="0"/>
        </w:rPr>
        <w:t xml:space="preserve"> and </w:t>
      </w:r>
      <w:r>
        <w:rPr>
          <w:kern w:val="0"/>
        </w:rPr>
        <w:t>clinical outcomes.</w:t>
      </w:r>
    </w:p>
    <w:p w:rsidR="00F86477" w:rsidRDefault="00F86477" w:rsidP="00F86477">
      <w:pPr>
        <w:pStyle w:val="a3"/>
        <w:rPr>
          <w:kern w:val="0"/>
        </w:rPr>
      </w:pPr>
      <w:r>
        <w:rPr>
          <w:kern w:val="0"/>
        </w:rPr>
        <w:t>Keywords: 80-Hour Workweek, Accreditation Council, Care, Citations, Education, General-Surgery Residency, Google Scholar, Impact, Inpatient Surgery</w:t>
      </w:r>
      <w:r w:rsidR="00D5664A">
        <w:rPr>
          <w:kern w:val="0"/>
        </w:rPr>
        <w:t>, ISI,</w:t>
      </w:r>
      <w:r>
        <w:rPr>
          <w:kern w:val="0"/>
        </w:rPr>
        <w:t xml:space="preserve"> Laparoscopic Cholecystectomy, Medical, Outcome, Outcomes, Resident Operative Experience, Restrictions, Review, Safety, Science, Surgical Service, Systematic, Systematic Review, Training, Trauma Center</w:t>
      </w:r>
      <w:r w:rsidR="00D5664A">
        <w:rPr>
          <w:kern w:val="0"/>
        </w:rPr>
        <w:t>, UK,</w:t>
      </w:r>
      <w:r>
        <w:rPr>
          <w:kern w:val="0"/>
        </w:rPr>
        <w:t xml:space="preserve"> US, </w:t>
      </w:r>
      <w:r w:rsidR="00D5664A">
        <w:rPr>
          <w:kern w:val="0"/>
        </w:rPr>
        <w:t>Web</w:t>
      </w:r>
      <w:r w:rsidR="00427468">
        <w:rPr>
          <w:kern w:val="0"/>
        </w:rPr>
        <w:t xml:space="preserve"> of </w:t>
      </w:r>
      <w:r w:rsidR="00D5664A">
        <w:rPr>
          <w:kern w:val="0"/>
        </w:rPr>
        <w:t>Science</w:t>
      </w:r>
    </w:p>
    <w:p w:rsidR="00A63C4F" w:rsidRDefault="00A63C4F" w:rsidP="00A63C4F">
      <w:pPr>
        <w:pStyle w:val="a3"/>
        <w:rPr>
          <w:kern w:val="0"/>
          <w:szCs w:val="24"/>
        </w:rPr>
      </w:pPr>
      <w:r>
        <w:rPr>
          <w:kern w:val="0"/>
          <w:szCs w:val="24"/>
        </w:rPr>
        <w:t xml:space="preserve">? Tuffs, A. (2011), Inquiry into doping case by Freiburg sports medicine institute reveals possible plagiarism. </w:t>
      </w:r>
      <w:r>
        <w:rPr>
          <w:i/>
          <w:iCs/>
          <w:kern w:val="0"/>
          <w:szCs w:val="24"/>
        </w:rPr>
        <w:t>British Medical Journal</w:t>
      </w:r>
      <w:r>
        <w:rPr>
          <w:kern w:val="0"/>
          <w:szCs w:val="24"/>
        </w:rPr>
        <w:t xml:space="preserve">, </w:t>
      </w:r>
      <w:r>
        <w:rPr>
          <w:b/>
          <w:bCs/>
          <w:kern w:val="0"/>
          <w:szCs w:val="24"/>
        </w:rPr>
        <w:t>342</w:t>
      </w:r>
      <w:r w:rsidRPr="00435857">
        <w:rPr>
          <w:rFonts w:hint="eastAsia"/>
        </w:rPr>
        <w:t xml:space="preserve">, </w:t>
      </w:r>
      <w:r w:rsidRPr="00435857">
        <w:rPr>
          <w:bCs/>
          <w:kern w:val="0"/>
          <w:szCs w:val="24"/>
        </w:rPr>
        <w:t>Article Number: d1650</w:t>
      </w:r>
      <w:r>
        <w:rPr>
          <w:rFonts w:hint="eastAsia"/>
          <w:bCs/>
          <w:kern w:val="0"/>
          <w:szCs w:val="24"/>
        </w:rPr>
        <w:t>.</w:t>
      </w:r>
    </w:p>
    <w:p w:rsidR="00A63C4F" w:rsidRPr="001A3D2B" w:rsidRDefault="00A63C4F" w:rsidP="00A63C4F">
      <w:pPr>
        <w:pStyle w:val="a3"/>
        <w:rPr>
          <w:kern w:val="0"/>
        </w:rPr>
      </w:pPr>
      <w:r w:rsidRPr="001A3D2B">
        <w:t xml:space="preserve">Full Text: </w:t>
      </w:r>
      <w:r w:rsidRPr="00824852">
        <w:t>20</w:t>
      </w:r>
      <w:r>
        <w:rPr>
          <w:rFonts w:hint="eastAsia"/>
        </w:rPr>
        <w:t>11</w:t>
      </w:r>
      <w:r w:rsidRPr="00824852">
        <w:t>\Bri Med J3</w:t>
      </w:r>
      <w:r>
        <w:rPr>
          <w:rFonts w:hint="eastAsia"/>
        </w:rPr>
        <w:t>42</w:t>
      </w:r>
      <w:r w:rsidRPr="00824852">
        <w:t xml:space="preserve">, </w:t>
      </w:r>
      <w:r w:rsidRPr="00435857">
        <w:rPr>
          <w:bCs/>
          <w:kern w:val="0"/>
          <w:szCs w:val="24"/>
        </w:rPr>
        <w:t>d1650</w:t>
      </w:r>
      <w:r w:rsidRPr="00824852">
        <w:t>.pdf</w:t>
      </w:r>
    </w:p>
    <w:p w:rsidR="00A63C4F" w:rsidRDefault="00A63C4F" w:rsidP="00A63C4F">
      <w:pPr>
        <w:pStyle w:val="a3"/>
        <w:rPr>
          <w:kern w:val="0"/>
          <w:szCs w:val="24"/>
        </w:rPr>
      </w:pPr>
      <w:r>
        <w:rPr>
          <w:kern w:val="0"/>
          <w:szCs w:val="24"/>
        </w:rPr>
        <w:t>Keywords: Plagiarism</w:t>
      </w:r>
    </w:p>
    <w:p w:rsidR="00AF57CC" w:rsidRDefault="00AF57CC" w:rsidP="00AF57CC">
      <w:pPr>
        <w:pStyle w:val="a3"/>
        <w:rPr>
          <w:kern w:val="0"/>
        </w:rPr>
      </w:pPr>
      <w:r>
        <w:rPr>
          <w:rFonts w:hint="eastAsia"/>
          <w:kern w:val="0"/>
        </w:rPr>
        <w:t xml:space="preserve">? </w:t>
      </w:r>
      <w:r>
        <w:rPr>
          <w:kern w:val="0"/>
        </w:rPr>
        <w:t>Wilson, A., Lissauer, D., Thangaratinam, S., Khan, K.S., MacArthur, C.</w:t>
      </w:r>
      <w:r w:rsidR="005853A9">
        <w:rPr>
          <w:kern w:val="0"/>
        </w:rPr>
        <w:t xml:space="preserve"> and </w:t>
      </w:r>
      <w:r>
        <w:rPr>
          <w:kern w:val="0"/>
        </w:rPr>
        <w:t>Coomarasamy, A. (2011), A comparison</w:t>
      </w:r>
      <w:r w:rsidR="00427468">
        <w:rPr>
          <w:kern w:val="0"/>
        </w:rPr>
        <w:t xml:space="preserve"> of </w:t>
      </w:r>
      <w:r>
        <w:rPr>
          <w:kern w:val="0"/>
        </w:rPr>
        <w:t>clinical officers with medical doctors on outcomes</w:t>
      </w:r>
      <w:r w:rsidR="00427468">
        <w:rPr>
          <w:kern w:val="0"/>
        </w:rPr>
        <w:t xml:space="preserve"> of </w:t>
      </w:r>
      <w:r>
        <w:rPr>
          <w:kern w:val="0"/>
        </w:rPr>
        <w:t>caesarean section in</w:t>
      </w:r>
      <w:r w:rsidR="003A1917">
        <w:rPr>
          <w:kern w:val="0"/>
        </w:rPr>
        <w:t xml:space="preserve"> the </w:t>
      </w:r>
      <w:r>
        <w:rPr>
          <w:kern w:val="0"/>
        </w:rPr>
        <w:t>developing world: Meta-analysis</w:t>
      </w:r>
      <w:r w:rsidR="00427468">
        <w:rPr>
          <w:kern w:val="0"/>
        </w:rPr>
        <w:t xml:space="preserve"> of </w:t>
      </w:r>
      <w:r>
        <w:rPr>
          <w:kern w:val="0"/>
        </w:rPr>
        <w:t xml:space="preserve">controlled studies. </w:t>
      </w:r>
      <w:r>
        <w:rPr>
          <w:i/>
          <w:iCs/>
          <w:kern w:val="0"/>
        </w:rPr>
        <w:t>British Medical Journal</w:t>
      </w:r>
      <w:r>
        <w:rPr>
          <w:kern w:val="0"/>
        </w:rPr>
        <w:t xml:space="preserve">, </w:t>
      </w:r>
      <w:r>
        <w:rPr>
          <w:b/>
          <w:bCs/>
          <w:kern w:val="0"/>
        </w:rPr>
        <w:t>342</w:t>
      </w:r>
      <w:r w:rsidRPr="00435857">
        <w:rPr>
          <w:rFonts w:hint="eastAsia"/>
        </w:rPr>
        <w:t xml:space="preserve">, </w:t>
      </w:r>
      <w:r w:rsidRPr="00435857">
        <w:rPr>
          <w:bCs/>
          <w:kern w:val="0"/>
          <w:szCs w:val="24"/>
        </w:rPr>
        <w:t>Article Number:</w:t>
      </w:r>
      <w:r>
        <w:rPr>
          <w:rFonts w:hint="eastAsia"/>
          <w:kern w:val="0"/>
        </w:rPr>
        <w:t xml:space="preserve"> </w:t>
      </w:r>
      <w:r w:rsidRPr="00717279">
        <w:rPr>
          <w:kern w:val="0"/>
        </w:rPr>
        <w:t>d2600</w:t>
      </w:r>
      <w:r>
        <w:rPr>
          <w:rFonts w:hint="eastAsia"/>
          <w:kern w:val="0"/>
        </w:rPr>
        <w:t>.</w:t>
      </w:r>
    </w:p>
    <w:p w:rsidR="00AF57CC" w:rsidRPr="001A3D2B" w:rsidRDefault="00AF57CC" w:rsidP="00AF57CC">
      <w:pPr>
        <w:pStyle w:val="a3"/>
        <w:rPr>
          <w:kern w:val="0"/>
        </w:rPr>
      </w:pPr>
      <w:r w:rsidRPr="001A3D2B">
        <w:t xml:space="preserve">Full Text: </w:t>
      </w:r>
      <w:hyperlink r:id="rId2069" w:history="1">
        <w:r w:rsidRPr="00225286">
          <w:rPr>
            <w:rStyle w:val="a5"/>
          </w:rPr>
          <w:t>2011\Bri Med J342, d2600.pdf</w:t>
        </w:r>
      </w:hyperlink>
    </w:p>
    <w:p w:rsidR="00AF57CC" w:rsidRDefault="00AF57CC" w:rsidP="00AF57CC">
      <w:pPr>
        <w:pStyle w:val="a3"/>
        <w:rPr>
          <w:kern w:val="0"/>
        </w:rPr>
      </w:pPr>
      <w:r>
        <w:rPr>
          <w:kern w:val="0"/>
        </w:rPr>
        <w:t>Abstract: Objective To review</w:t>
      </w:r>
      <w:r w:rsidR="003A1917">
        <w:rPr>
          <w:kern w:val="0"/>
        </w:rPr>
        <w:t xml:space="preserve"> the </w:t>
      </w:r>
      <w:r>
        <w:rPr>
          <w:kern w:val="0"/>
        </w:rPr>
        <w:t>effectiveness</w:t>
      </w:r>
      <w:r w:rsidR="005853A9">
        <w:rPr>
          <w:kern w:val="0"/>
        </w:rPr>
        <w:t xml:space="preserve"> and </w:t>
      </w:r>
      <w:r>
        <w:rPr>
          <w:kern w:val="0"/>
        </w:rPr>
        <w:t>safety</w:t>
      </w:r>
      <w:r w:rsidR="00427468">
        <w:rPr>
          <w:kern w:val="0"/>
        </w:rPr>
        <w:t xml:space="preserve"> of </w:t>
      </w:r>
      <w:r>
        <w:rPr>
          <w:kern w:val="0"/>
        </w:rPr>
        <w:t xml:space="preserve">clinical officers (healthcare providers trained to perform tasks usually undertaken by doctors) carrying out caesarean section in developing countries compared with doctors. Design Systematic review with meta-analysis. Data sources </w:t>
      </w:r>
      <w:r w:rsidR="00D5664A">
        <w:rPr>
          <w:kern w:val="0"/>
        </w:rPr>
        <w:t>MEDLINE</w:t>
      </w:r>
      <w:r>
        <w:rPr>
          <w:kern w:val="0"/>
        </w:rPr>
        <w:t>, Embase, Cochrane Central Register</w:t>
      </w:r>
      <w:r w:rsidR="00427468">
        <w:rPr>
          <w:kern w:val="0"/>
        </w:rPr>
        <w:t xml:space="preserve"> of </w:t>
      </w:r>
      <w:r>
        <w:rPr>
          <w:kern w:val="0"/>
        </w:rPr>
        <w:t>Controlled Trials, CINAHL, BioMed Central,</w:t>
      </w:r>
      <w:r w:rsidR="003A1917">
        <w:rPr>
          <w:kern w:val="0"/>
        </w:rPr>
        <w:t xml:space="preserve"> the </w:t>
      </w:r>
      <w:r>
        <w:rPr>
          <w:kern w:val="0"/>
        </w:rPr>
        <w:t>Reproductive Health Library,</w:t>
      </w:r>
      <w:r w:rsidR="005853A9">
        <w:rPr>
          <w:kern w:val="0"/>
        </w:rPr>
        <w:t xml:space="preserve"> and </w:t>
      </w:r>
      <w:r w:rsidR="003A1917">
        <w:rPr>
          <w:kern w:val="0"/>
        </w:rPr>
        <w:t xml:space="preserve">the </w:t>
      </w:r>
      <w:r>
        <w:rPr>
          <w:kern w:val="0"/>
        </w:rPr>
        <w:t>Science Citation Index (inception-2010) without language restriction. Study selection Controlled studies. Data extraction Information was extracted from each selected article on study characteristics, quality,</w:t>
      </w:r>
      <w:r w:rsidR="005853A9">
        <w:rPr>
          <w:kern w:val="0"/>
        </w:rPr>
        <w:t xml:space="preserve"> and </w:t>
      </w:r>
      <w:r>
        <w:rPr>
          <w:kern w:val="0"/>
        </w:rPr>
        <w:t>outcome data. Two independent reviewers extracted data. Results Six non-randomised controlled studies (16 018 women) evaluated</w:t>
      </w:r>
      <w:r w:rsidR="003A1917">
        <w:rPr>
          <w:kern w:val="0"/>
        </w:rPr>
        <w:t xml:space="preserve"> the </w:t>
      </w:r>
      <w:r>
        <w:rPr>
          <w:kern w:val="0"/>
        </w:rPr>
        <w:t>effectiveness</w:t>
      </w:r>
      <w:r w:rsidR="00427468">
        <w:rPr>
          <w:kern w:val="0"/>
        </w:rPr>
        <w:t xml:space="preserve"> of </w:t>
      </w:r>
      <w:r>
        <w:rPr>
          <w:kern w:val="0"/>
        </w:rPr>
        <w:t>clinical officers carrying out caesarean section. Meta-analysis found no significant differences between</w:t>
      </w:r>
      <w:r w:rsidR="003A1917">
        <w:rPr>
          <w:kern w:val="0"/>
        </w:rPr>
        <w:t xml:space="preserve"> the </w:t>
      </w:r>
      <w:r>
        <w:rPr>
          <w:kern w:val="0"/>
        </w:rPr>
        <w:t>clinical officers</w:t>
      </w:r>
      <w:r w:rsidR="005853A9">
        <w:rPr>
          <w:kern w:val="0"/>
        </w:rPr>
        <w:t xml:space="preserve"> and </w:t>
      </w:r>
      <w:r>
        <w:rPr>
          <w:kern w:val="0"/>
        </w:rPr>
        <w:t>doctors for maternal death (odds ratio 1.46, 95% confidence interval 0.78 to 2.75; P=0.24) or for perinatal death (1.31, 0.87 to 1.95; P=0.19)</w:t>
      </w:r>
      <w:r w:rsidR="00A37C1D">
        <w:rPr>
          <w:kern w:val="0"/>
        </w:rPr>
        <w:t>. The</w:t>
      </w:r>
      <w:r w:rsidR="003A1917">
        <w:rPr>
          <w:kern w:val="0"/>
        </w:rPr>
        <w:t xml:space="preserve"> </w:t>
      </w:r>
      <w:r>
        <w:rPr>
          <w:kern w:val="0"/>
        </w:rPr>
        <w:t>results were heterogeneous, with some studies reporting a higher incidence</w:t>
      </w:r>
      <w:r w:rsidR="00427468">
        <w:rPr>
          <w:kern w:val="0"/>
        </w:rPr>
        <w:t xml:space="preserve"> of </w:t>
      </w:r>
      <w:r>
        <w:rPr>
          <w:kern w:val="0"/>
        </w:rPr>
        <w:t>both outcomes with clinical officers. Clinical officers were associated with a higher incidence</w:t>
      </w:r>
      <w:r w:rsidR="00427468">
        <w:rPr>
          <w:kern w:val="0"/>
        </w:rPr>
        <w:t xml:space="preserve"> of </w:t>
      </w:r>
      <w:r>
        <w:rPr>
          <w:kern w:val="0"/>
        </w:rPr>
        <w:t>wound infection (1.58, 1.01 to 2.47; P=0.05)</w:t>
      </w:r>
      <w:r w:rsidR="005853A9">
        <w:rPr>
          <w:kern w:val="0"/>
        </w:rPr>
        <w:t xml:space="preserve"> and </w:t>
      </w:r>
      <w:r>
        <w:rPr>
          <w:kern w:val="0"/>
        </w:rPr>
        <w:t>wound dehiscence (1.89, 1.21 to 2.95; P=0.005). Two studies accounted for confounding factors. Conclusion Clinical officers</w:t>
      </w:r>
      <w:r w:rsidR="005853A9">
        <w:rPr>
          <w:kern w:val="0"/>
        </w:rPr>
        <w:t xml:space="preserve"> and </w:t>
      </w:r>
      <w:r>
        <w:rPr>
          <w:kern w:val="0"/>
        </w:rPr>
        <w:t>doctors did not differ significantly in key outcomes for caesarean section, but</w:t>
      </w:r>
      <w:r w:rsidR="003A1917">
        <w:rPr>
          <w:kern w:val="0"/>
        </w:rPr>
        <w:t xml:space="preserve"> the </w:t>
      </w:r>
      <w:r>
        <w:rPr>
          <w:kern w:val="0"/>
        </w:rPr>
        <w:t>conclusions are tentative owing to</w:t>
      </w:r>
      <w:r w:rsidR="003A1917">
        <w:rPr>
          <w:kern w:val="0"/>
        </w:rPr>
        <w:t xml:space="preserve"> the </w:t>
      </w:r>
      <w:r>
        <w:rPr>
          <w:kern w:val="0"/>
        </w:rPr>
        <w:t>non-randomised nature</w:t>
      </w:r>
      <w:r w:rsidR="00427468">
        <w:rPr>
          <w:kern w:val="0"/>
        </w:rPr>
        <w:t xml:space="preserve"> of </w:t>
      </w:r>
      <w:r w:rsidR="003A1917">
        <w:rPr>
          <w:kern w:val="0"/>
        </w:rPr>
        <w:t xml:space="preserve">the </w:t>
      </w:r>
      <w:r>
        <w:rPr>
          <w:kern w:val="0"/>
        </w:rPr>
        <w:t>studies</w:t>
      </w:r>
      <w:r w:rsidR="00A37C1D">
        <w:rPr>
          <w:kern w:val="0"/>
        </w:rPr>
        <w:t>. The</w:t>
      </w:r>
      <w:r w:rsidR="003A1917">
        <w:rPr>
          <w:kern w:val="0"/>
        </w:rPr>
        <w:t xml:space="preserve"> </w:t>
      </w:r>
      <w:r>
        <w:rPr>
          <w:kern w:val="0"/>
        </w:rPr>
        <w:t>increase in wound infection</w:t>
      </w:r>
      <w:r w:rsidR="005853A9">
        <w:rPr>
          <w:kern w:val="0"/>
        </w:rPr>
        <w:t xml:space="preserve"> and </w:t>
      </w:r>
      <w:r>
        <w:rPr>
          <w:kern w:val="0"/>
        </w:rPr>
        <w:t>dehiscence may highlight a particular training need for clinical officers.</w:t>
      </w:r>
    </w:p>
    <w:p w:rsidR="00AF57CC" w:rsidRDefault="00AF57CC" w:rsidP="00AF57CC">
      <w:pPr>
        <w:pStyle w:val="a3"/>
        <w:rPr>
          <w:kern w:val="0"/>
        </w:rPr>
      </w:pPr>
      <w:r>
        <w:rPr>
          <w:kern w:val="0"/>
        </w:rPr>
        <w:lastRenderedPageBreak/>
        <w:t>Keywords: Care, Citation, Confounding, Deliveries, Developing Countries, Meta-Analysis, Mortality, Obstetricians, Outcomes, Review, Science Citation Index, Surgery, Training</w:t>
      </w:r>
    </w:p>
    <w:p w:rsidR="004F3304" w:rsidRDefault="004F3304" w:rsidP="004F3304">
      <w:pPr>
        <w:pStyle w:val="a3"/>
        <w:rPr>
          <w:kern w:val="0"/>
          <w:szCs w:val="24"/>
        </w:rPr>
      </w:pPr>
      <w:r>
        <w:rPr>
          <w:kern w:val="0"/>
          <w:szCs w:val="24"/>
        </w:rPr>
        <w:t xml:space="preserve">? </w:t>
      </w:r>
      <w:r w:rsidRPr="00A654EA">
        <w:rPr>
          <w:kern w:val="0"/>
        </w:rPr>
        <w:t>Moore, N</w:t>
      </w:r>
      <w:r>
        <w:rPr>
          <w:rFonts w:hint="eastAsia"/>
          <w:kern w:val="0"/>
        </w:rPr>
        <w:t>.</w:t>
      </w:r>
      <w:r>
        <w:rPr>
          <w:kern w:val="0"/>
          <w:szCs w:val="24"/>
        </w:rPr>
        <w:t xml:space="preserve"> (2011), </w:t>
      </w:r>
      <w:r w:rsidRPr="00A654EA">
        <w:rPr>
          <w:kern w:val="0"/>
        </w:rPr>
        <w:t>J</w:t>
      </w:r>
      <w:r>
        <w:rPr>
          <w:kern w:val="0"/>
        </w:rPr>
        <w:t>ournal</w:t>
      </w:r>
      <w:r w:rsidR="00700038">
        <w:rPr>
          <w:kern w:val="0"/>
        </w:rPr>
        <w:t>’</w:t>
      </w:r>
      <w:r w:rsidRPr="00A654EA">
        <w:rPr>
          <w:kern w:val="0"/>
        </w:rPr>
        <w:t>s withdrawal</w:t>
      </w:r>
      <w:r w:rsidR="00427468">
        <w:rPr>
          <w:kern w:val="0"/>
        </w:rPr>
        <w:t xml:space="preserve"> of </w:t>
      </w:r>
      <w:r w:rsidRPr="00A654EA">
        <w:rPr>
          <w:kern w:val="0"/>
        </w:rPr>
        <w:t>article paper OK, title wrong</w:t>
      </w:r>
      <w:r>
        <w:rPr>
          <w:kern w:val="0"/>
          <w:szCs w:val="24"/>
        </w:rPr>
        <w:t xml:space="preserve">. </w:t>
      </w:r>
      <w:r>
        <w:rPr>
          <w:i/>
          <w:iCs/>
          <w:kern w:val="0"/>
          <w:szCs w:val="24"/>
        </w:rPr>
        <w:t>British Medical Journal</w:t>
      </w:r>
      <w:r>
        <w:rPr>
          <w:kern w:val="0"/>
          <w:szCs w:val="24"/>
        </w:rPr>
        <w:t xml:space="preserve">, </w:t>
      </w:r>
      <w:r>
        <w:rPr>
          <w:b/>
          <w:bCs/>
          <w:kern w:val="0"/>
          <w:szCs w:val="24"/>
        </w:rPr>
        <w:t>342</w:t>
      </w:r>
      <w:r w:rsidRPr="00435857">
        <w:rPr>
          <w:rFonts w:hint="eastAsia"/>
        </w:rPr>
        <w:t xml:space="preserve">, </w:t>
      </w:r>
      <w:r w:rsidRPr="00435857">
        <w:rPr>
          <w:bCs/>
          <w:kern w:val="0"/>
          <w:szCs w:val="24"/>
        </w:rPr>
        <w:t xml:space="preserve">Article Number: </w:t>
      </w:r>
      <w:r w:rsidRPr="00A654EA">
        <w:rPr>
          <w:kern w:val="0"/>
        </w:rPr>
        <w:t>d2732</w:t>
      </w:r>
      <w:r>
        <w:rPr>
          <w:rFonts w:hint="eastAsia"/>
          <w:bCs/>
          <w:kern w:val="0"/>
          <w:szCs w:val="24"/>
        </w:rPr>
        <w:t>.</w:t>
      </w:r>
    </w:p>
    <w:p w:rsidR="004F3304" w:rsidRDefault="004F3304" w:rsidP="004F3304">
      <w:pPr>
        <w:pStyle w:val="a3"/>
      </w:pPr>
      <w:r w:rsidRPr="001A3D2B">
        <w:t xml:space="preserve">Full Text: </w:t>
      </w:r>
      <w:hyperlink r:id="rId2070" w:history="1">
        <w:r w:rsidRPr="00A654EA">
          <w:rPr>
            <w:rStyle w:val="a5"/>
          </w:rPr>
          <w:t>2011\Bri Med J342, d2732.pdf</w:t>
        </w:r>
      </w:hyperlink>
    </w:p>
    <w:p w:rsidR="00F86477" w:rsidRDefault="00F86477" w:rsidP="00F86477">
      <w:pPr>
        <w:pStyle w:val="a3"/>
        <w:rPr>
          <w:kern w:val="0"/>
        </w:rPr>
      </w:pPr>
      <w:r>
        <w:rPr>
          <w:rFonts w:hint="eastAsia"/>
          <w:kern w:val="0"/>
        </w:rPr>
        <w:t xml:space="preserve">? </w:t>
      </w:r>
      <w:r>
        <w:rPr>
          <w:kern w:val="0"/>
        </w:rPr>
        <w:t>Usher-Smith, J.A., Thompson, M.J., Sharp, S.J.</w:t>
      </w:r>
      <w:r w:rsidR="005853A9">
        <w:rPr>
          <w:kern w:val="0"/>
        </w:rPr>
        <w:t xml:space="preserve"> and </w:t>
      </w:r>
      <w:r>
        <w:rPr>
          <w:kern w:val="0"/>
        </w:rPr>
        <w:t>Walter, F.M. (2011), Factors associated with</w:t>
      </w:r>
      <w:r w:rsidR="003A1917">
        <w:rPr>
          <w:kern w:val="0"/>
        </w:rPr>
        <w:t xml:space="preserve"> the </w:t>
      </w:r>
      <w:r>
        <w:rPr>
          <w:kern w:val="0"/>
        </w:rPr>
        <w:t>presence</w:t>
      </w:r>
      <w:r w:rsidR="00427468">
        <w:rPr>
          <w:kern w:val="0"/>
        </w:rPr>
        <w:t xml:space="preserve"> of </w:t>
      </w:r>
      <w:r>
        <w:rPr>
          <w:kern w:val="0"/>
        </w:rPr>
        <w:t>diabetic ketoacidosis at diagnosis</w:t>
      </w:r>
      <w:r w:rsidR="00427468">
        <w:rPr>
          <w:kern w:val="0"/>
        </w:rPr>
        <w:t xml:space="preserve"> of </w:t>
      </w:r>
      <w:r>
        <w:rPr>
          <w:kern w:val="0"/>
        </w:rPr>
        <w:t>diabetes in children</w:t>
      </w:r>
      <w:r w:rsidR="005853A9">
        <w:rPr>
          <w:kern w:val="0"/>
        </w:rPr>
        <w:t xml:space="preserve"> and </w:t>
      </w:r>
      <w:r>
        <w:rPr>
          <w:kern w:val="0"/>
        </w:rPr>
        <w:t xml:space="preserve">young adults: A systematic review. </w:t>
      </w:r>
      <w:r>
        <w:rPr>
          <w:i/>
          <w:iCs/>
          <w:kern w:val="0"/>
        </w:rPr>
        <w:t>British Medical Journal</w:t>
      </w:r>
      <w:r>
        <w:rPr>
          <w:kern w:val="0"/>
        </w:rPr>
        <w:t xml:space="preserve">, </w:t>
      </w:r>
      <w:r>
        <w:rPr>
          <w:b/>
          <w:bCs/>
          <w:kern w:val="0"/>
        </w:rPr>
        <w:t>343</w:t>
      </w:r>
      <w:r>
        <w:rPr>
          <w:rFonts w:hint="eastAsia"/>
          <w:kern w:val="0"/>
        </w:rPr>
        <w:t xml:space="preserve">, </w:t>
      </w:r>
      <w:r w:rsidRPr="001A1CD0">
        <w:rPr>
          <w:kern w:val="0"/>
        </w:rPr>
        <w:t>Article Number: d4092</w:t>
      </w:r>
      <w:r>
        <w:rPr>
          <w:rFonts w:hint="eastAsia"/>
          <w:kern w:val="0"/>
        </w:rPr>
        <w:t>.</w:t>
      </w:r>
    </w:p>
    <w:p w:rsidR="00A46382" w:rsidRDefault="00A46382" w:rsidP="00A46382">
      <w:pPr>
        <w:pStyle w:val="a3"/>
      </w:pPr>
      <w:r>
        <w:t>Full Text:</w:t>
      </w:r>
      <w:r w:rsidRPr="00FC7835">
        <w:t xml:space="preserve"> </w:t>
      </w:r>
      <w:hyperlink r:id="rId2071" w:history="1">
        <w:r w:rsidRPr="001B6D8B">
          <w:rPr>
            <w:rStyle w:val="a5"/>
          </w:rPr>
          <w:t>2011\Bri Med J342, d4092.pdf</w:t>
        </w:r>
      </w:hyperlink>
    </w:p>
    <w:p w:rsidR="00F86477" w:rsidRDefault="00F86477" w:rsidP="00F86477">
      <w:pPr>
        <w:pStyle w:val="a3"/>
        <w:rPr>
          <w:kern w:val="0"/>
        </w:rPr>
      </w:pPr>
      <w:r>
        <w:rPr>
          <w:kern w:val="0"/>
        </w:rPr>
        <w:t>Abstract: Objective To identify</w:t>
      </w:r>
      <w:r w:rsidR="003A1917">
        <w:rPr>
          <w:kern w:val="0"/>
        </w:rPr>
        <w:t xml:space="preserve"> the </w:t>
      </w:r>
      <w:r>
        <w:rPr>
          <w:kern w:val="0"/>
        </w:rPr>
        <w:t>factors associated with diabetic ketoacidosis at diagnosis</w:t>
      </w:r>
      <w:r w:rsidR="00427468">
        <w:rPr>
          <w:kern w:val="0"/>
        </w:rPr>
        <w:t xml:space="preserve"> of </w:t>
      </w:r>
      <w:r>
        <w:rPr>
          <w:kern w:val="0"/>
        </w:rPr>
        <w:t>type 1 diabetes in children</w:t>
      </w:r>
      <w:r w:rsidR="005853A9">
        <w:rPr>
          <w:kern w:val="0"/>
        </w:rPr>
        <w:t xml:space="preserve"> and </w:t>
      </w:r>
      <w:r>
        <w:rPr>
          <w:kern w:val="0"/>
        </w:rPr>
        <w:t xml:space="preserve">young adults. Design Systematic review. Data sources </w:t>
      </w:r>
      <w:r w:rsidR="002C12F0">
        <w:rPr>
          <w:kern w:val="0"/>
        </w:rPr>
        <w:t>PUBMED</w:t>
      </w:r>
      <w:r>
        <w:rPr>
          <w:kern w:val="0"/>
        </w:rPr>
        <w:t xml:space="preserve">, EMBASE, </w:t>
      </w:r>
      <w:r w:rsidR="00D5664A">
        <w:rPr>
          <w:kern w:val="0"/>
        </w:rPr>
        <w:t>Web</w:t>
      </w:r>
      <w:r w:rsidR="00427468">
        <w:rPr>
          <w:kern w:val="0"/>
        </w:rPr>
        <w:t xml:space="preserve"> of </w:t>
      </w:r>
      <w:r w:rsidR="00D5664A">
        <w:rPr>
          <w:kern w:val="0"/>
        </w:rPr>
        <w:t>Science</w:t>
      </w:r>
      <w:r>
        <w:rPr>
          <w:kern w:val="0"/>
        </w:rPr>
        <w:t>, Scopus,</w:t>
      </w:r>
      <w:r w:rsidR="005853A9">
        <w:rPr>
          <w:kern w:val="0"/>
        </w:rPr>
        <w:t xml:space="preserve"> and </w:t>
      </w:r>
      <w:r>
        <w:rPr>
          <w:kern w:val="0"/>
        </w:rPr>
        <w:t>Cinahl</w:t>
      </w:r>
      <w:r w:rsidR="005853A9">
        <w:rPr>
          <w:kern w:val="0"/>
        </w:rPr>
        <w:t xml:space="preserve"> and </w:t>
      </w:r>
      <w:r>
        <w:rPr>
          <w:kern w:val="0"/>
        </w:rPr>
        <w:t>article reference lists. Study selection Cohort studies including unselected groups</w:t>
      </w:r>
      <w:r w:rsidR="00427468">
        <w:rPr>
          <w:kern w:val="0"/>
        </w:rPr>
        <w:t xml:space="preserve"> of </w:t>
      </w:r>
      <w:r>
        <w:rPr>
          <w:kern w:val="0"/>
        </w:rPr>
        <w:t>children</w:t>
      </w:r>
      <w:r w:rsidR="005853A9">
        <w:rPr>
          <w:kern w:val="0"/>
        </w:rPr>
        <w:t xml:space="preserve"> and </w:t>
      </w:r>
      <w:r>
        <w:rPr>
          <w:kern w:val="0"/>
        </w:rPr>
        <w:t>young adults presenting with new onset type 1 diabetes that distinguished between those who presented in diabetic ketoacidosis</w:t>
      </w:r>
      <w:r w:rsidR="005853A9">
        <w:rPr>
          <w:kern w:val="0"/>
        </w:rPr>
        <w:t xml:space="preserve"> and </w:t>
      </w:r>
      <w:r>
        <w:rPr>
          <w:kern w:val="0"/>
        </w:rPr>
        <w:t>those who did not</w:t>
      </w:r>
      <w:r w:rsidR="005853A9">
        <w:rPr>
          <w:kern w:val="0"/>
        </w:rPr>
        <w:t xml:space="preserve"> and </w:t>
      </w:r>
      <w:r>
        <w:rPr>
          <w:kern w:val="0"/>
        </w:rPr>
        <w:t>included a measurement</w:t>
      </w:r>
      <w:r w:rsidR="00427468">
        <w:rPr>
          <w:kern w:val="0"/>
        </w:rPr>
        <w:t xml:space="preserve"> of </w:t>
      </w:r>
      <w:r>
        <w:rPr>
          <w:kern w:val="0"/>
        </w:rPr>
        <w:t>either pH or bicarbonate in</w:t>
      </w:r>
      <w:r w:rsidR="003A1917">
        <w:rPr>
          <w:kern w:val="0"/>
        </w:rPr>
        <w:t xml:space="preserve"> the </w:t>
      </w:r>
      <w:r>
        <w:rPr>
          <w:kern w:val="0"/>
        </w:rPr>
        <w:t>definition</w:t>
      </w:r>
      <w:r w:rsidR="00427468">
        <w:rPr>
          <w:kern w:val="0"/>
        </w:rPr>
        <w:t xml:space="preserve"> of </w:t>
      </w:r>
      <w:r>
        <w:rPr>
          <w:kern w:val="0"/>
        </w:rPr>
        <w:t>diabetic ketoacidosis</w:t>
      </w:r>
      <w:r w:rsidR="00A37C1D">
        <w:rPr>
          <w:kern w:val="0"/>
        </w:rPr>
        <w:t>. The</w:t>
      </w:r>
      <w:r>
        <w:rPr>
          <w:kern w:val="0"/>
        </w:rPr>
        <w:t>re were no restrictions on language</w:t>
      </w:r>
      <w:r w:rsidR="00427468">
        <w:rPr>
          <w:kern w:val="0"/>
        </w:rPr>
        <w:t xml:space="preserve"> of </w:t>
      </w:r>
      <w:r>
        <w:rPr>
          <w:kern w:val="0"/>
        </w:rPr>
        <w:t>publication. Results 46 studies involving more than 24 000 children in 31 countries were included. Together they compared 23 different factors. Factors associated with increased risk were younger age (for &lt;2 years old v older, odds ratio 3.41 (95% confidence interval 2.54 to 4.59), for &lt;5 years v older, odds ratio 1.59 (1.38 to 1.84)), diagnostic error (odds ratio 3.35 (2.35 to 4.79)), ethnic minority, lack</w:t>
      </w:r>
      <w:r w:rsidR="00427468">
        <w:rPr>
          <w:kern w:val="0"/>
        </w:rPr>
        <w:t xml:space="preserve"> of </w:t>
      </w:r>
      <w:r>
        <w:rPr>
          <w:kern w:val="0"/>
        </w:rPr>
        <w:t>health insurance in</w:t>
      </w:r>
      <w:r w:rsidR="003A1917">
        <w:rPr>
          <w:kern w:val="0"/>
        </w:rPr>
        <w:t xml:space="preserve"> the </w:t>
      </w:r>
      <w:r>
        <w:rPr>
          <w:kern w:val="0"/>
        </w:rPr>
        <w:t>US (odds ratio 3.20 (2.03 to 5.04)), lower body mass index, preceding infection (odds ratio 3.14 (0.94 to 10.47)),</w:t>
      </w:r>
      <w:r w:rsidR="005853A9">
        <w:rPr>
          <w:kern w:val="0"/>
        </w:rPr>
        <w:t xml:space="preserve"> and </w:t>
      </w:r>
      <w:r>
        <w:rPr>
          <w:kern w:val="0"/>
        </w:rPr>
        <w:t>delayed treatment (odds ratio 1.74 (1.10 to 2.77)). Protective factors were having a first degree relative with type 1 diabetes at</w:t>
      </w:r>
      <w:r w:rsidR="003A1917">
        <w:rPr>
          <w:kern w:val="0"/>
        </w:rPr>
        <w:t xml:space="preserve"> the </w:t>
      </w:r>
      <w:r>
        <w:rPr>
          <w:kern w:val="0"/>
        </w:rPr>
        <w:t>time</w:t>
      </w:r>
      <w:r w:rsidR="00427468">
        <w:rPr>
          <w:kern w:val="0"/>
        </w:rPr>
        <w:t xml:space="preserve"> of </w:t>
      </w:r>
      <w:r>
        <w:rPr>
          <w:kern w:val="0"/>
        </w:rPr>
        <w:t>diagnosis (odds ratio 0.33 (0.08 to 1.26)), higher parental education (odds ratios 0.4 (0.20 to 0.79)</w:t>
      </w:r>
      <w:r w:rsidR="005853A9">
        <w:rPr>
          <w:kern w:val="0"/>
        </w:rPr>
        <w:t xml:space="preserve"> and </w:t>
      </w:r>
      <w:r>
        <w:rPr>
          <w:kern w:val="0"/>
        </w:rPr>
        <w:t>0.64 (0.43 to 0.94) in two studies),</w:t>
      </w:r>
      <w:r w:rsidR="005853A9">
        <w:rPr>
          <w:kern w:val="0"/>
        </w:rPr>
        <w:t xml:space="preserve"> and </w:t>
      </w:r>
      <w:r>
        <w:rPr>
          <w:kern w:val="0"/>
        </w:rPr>
        <w:t>higher background incidence</w:t>
      </w:r>
      <w:r w:rsidR="00427468">
        <w:rPr>
          <w:kern w:val="0"/>
        </w:rPr>
        <w:t xml:space="preserve"> of </w:t>
      </w:r>
      <w:r>
        <w:rPr>
          <w:kern w:val="0"/>
        </w:rPr>
        <w:t>type 1 diabetes (correlation coefficient -0.715)</w:t>
      </w:r>
      <w:r w:rsidR="00A37C1D">
        <w:rPr>
          <w:kern w:val="0"/>
        </w:rPr>
        <w:t>. The</w:t>
      </w:r>
      <w:r w:rsidR="003A1917">
        <w:rPr>
          <w:kern w:val="0"/>
        </w:rPr>
        <w:t xml:space="preserve"> </w:t>
      </w:r>
      <w:r>
        <w:rPr>
          <w:kern w:val="0"/>
        </w:rPr>
        <w:t>mean duration</w:t>
      </w:r>
      <w:r w:rsidR="00427468">
        <w:rPr>
          <w:kern w:val="0"/>
        </w:rPr>
        <w:t xml:space="preserve"> of </w:t>
      </w:r>
      <w:r>
        <w:rPr>
          <w:kern w:val="0"/>
        </w:rPr>
        <w:t>symptoms was similar between children presenting with or without diabetic ketoacidosis (16.5 days (standard error 6.2)</w:t>
      </w:r>
      <w:r w:rsidR="005853A9">
        <w:rPr>
          <w:kern w:val="0"/>
        </w:rPr>
        <w:t xml:space="preserve"> and </w:t>
      </w:r>
      <w:r>
        <w:rPr>
          <w:kern w:val="0"/>
        </w:rPr>
        <w:t>17.1 days (6.0) respectively),</w:t>
      </w:r>
      <w:r w:rsidR="005853A9">
        <w:rPr>
          <w:kern w:val="0"/>
        </w:rPr>
        <w:t xml:space="preserve"> and </w:t>
      </w:r>
      <w:r>
        <w:rPr>
          <w:kern w:val="0"/>
        </w:rPr>
        <w:t>up to 38.8% (285/735)</w:t>
      </w:r>
      <w:r w:rsidR="00427468">
        <w:rPr>
          <w:kern w:val="0"/>
        </w:rPr>
        <w:t xml:space="preserve"> of </w:t>
      </w:r>
      <w:r>
        <w:rPr>
          <w:kern w:val="0"/>
        </w:rPr>
        <w:t>children who presented with diabetic ketoacidosis had been seen at least once by a doctor before diagnosis. Conclusions Multiple factors affect</w:t>
      </w:r>
      <w:r w:rsidR="003A1917">
        <w:rPr>
          <w:kern w:val="0"/>
        </w:rPr>
        <w:t xml:space="preserve"> the </w:t>
      </w:r>
      <w:r>
        <w:rPr>
          <w:kern w:val="0"/>
        </w:rPr>
        <w:t>risk</w:t>
      </w:r>
      <w:r w:rsidR="00427468">
        <w:rPr>
          <w:kern w:val="0"/>
        </w:rPr>
        <w:t xml:space="preserve"> of </w:t>
      </w:r>
      <w:r>
        <w:rPr>
          <w:kern w:val="0"/>
        </w:rPr>
        <w:t>developing diabetic ketoacidosis at</w:t>
      </w:r>
      <w:r w:rsidR="003A1917">
        <w:rPr>
          <w:kern w:val="0"/>
        </w:rPr>
        <w:t xml:space="preserve"> the </w:t>
      </w:r>
      <w:r>
        <w:rPr>
          <w:kern w:val="0"/>
        </w:rPr>
        <w:t>onset</w:t>
      </w:r>
      <w:r w:rsidR="00427468">
        <w:rPr>
          <w:kern w:val="0"/>
        </w:rPr>
        <w:t xml:space="preserve"> of </w:t>
      </w:r>
      <w:r>
        <w:rPr>
          <w:kern w:val="0"/>
        </w:rPr>
        <w:t>type 1 diabetes in children</w:t>
      </w:r>
      <w:r w:rsidR="005853A9">
        <w:rPr>
          <w:kern w:val="0"/>
        </w:rPr>
        <w:t xml:space="preserve"> and </w:t>
      </w:r>
      <w:r>
        <w:rPr>
          <w:kern w:val="0"/>
        </w:rPr>
        <w:t>young adults,</w:t>
      </w:r>
      <w:r w:rsidR="005853A9">
        <w:rPr>
          <w:kern w:val="0"/>
        </w:rPr>
        <w:t xml:space="preserve"> and </w:t>
      </w:r>
      <w:r>
        <w:rPr>
          <w:kern w:val="0"/>
        </w:rPr>
        <w:t>there is potential time, scope,</w:t>
      </w:r>
      <w:r w:rsidR="005853A9">
        <w:rPr>
          <w:kern w:val="0"/>
        </w:rPr>
        <w:t xml:space="preserve"> and </w:t>
      </w:r>
      <w:r>
        <w:rPr>
          <w:kern w:val="0"/>
        </w:rPr>
        <w:t>opportunity to intervene between symptom onset</w:t>
      </w:r>
      <w:r w:rsidR="005853A9">
        <w:rPr>
          <w:kern w:val="0"/>
        </w:rPr>
        <w:t xml:space="preserve"> and </w:t>
      </w:r>
      <w:r>
        <w:rPr>
          <w:kern w:val="0"/>
        </w:rPr>
        <w:t>development</w:t>
      </w:r>
      <w:r w:rsidR="00427468">
        <w:rPr>
          <w:kern w:val="0"/>
        </w:rPr>
        <w:t xml:space="preserve"> of </w:t>
      </w:r>
      <w:r>
        <w:rPr>
          <w:kern w:val="0"/>
        </w:rPr>
        <w:t>diabetic ketoacidosis for both parents</w:t>
      </w:r>
      <w:r w:rsidR="005853A9">
        <w:rPr>
          <w:kern w:val="0"/>
        </w:rPr>
        <w:t xml:space="preserve"> and </w:t>
      </w:r>
      <w:r>
        <w:rPr>
          <w:kern w:val="0"/>
        </w:rPr>
        <w:t>clinicians.</w:t>
      </w:r>
    </w:p>
    <w:p w:rsidR="00F86477" w:rsidRDefault="00F86477" w:rsidP="00F86477">
      <w:pPr>
        <w:pStyle w:val="a3"/>
        <w:rPr>
          <w:kern w:val="0"/>
        </w:rPr>
      </w:pPr>
      <w:r>
        <w:rPr>
          <w:kern w:val="0"/>
        </w:rPr>
        <w:t xml:space="preserve">Keywords: Adolescents, Adults, Beta-Cell Function, Body Mass Index, Children, </w:t>
      </w:r>
      <w:r>
        <w:rPr>
          <w:kern w:val="0"/>
        </w:rPr>
        <w:lastRenderedPageBreak/>
        <w:t xml:space="preserve">Clinical Characteristics, Consensus Statement, Delayed Diagnosis, Development, Diabetes, Diagnosis, Education, EMBASE, Ethnic Minority, Infection, Laboratory Characteristics, Measurement, Mellitus, Metabolic Control, Onset, Parents, Partial Remission, pH, Publication, </w:t>
      </w:r>
      <w:r w:rsidR="002C12F0">
        <w:rPr>
          <w:kern w:val="0"/>
        </w:rPr>
        <w:t>PUBMED</w:t>
      </w:r>
      <w:r>
        <w:rPr>
          <w:kern w:val="0"/>
        </w:rPr>
        <w:t xml:space="preserve">, Ratio, Review, Risk, Science, Scopus, Symptoms, Systematic, Systematic Review, Treatment, Type 1, Type 1 Diabetes, US, </w:t>
      </w:r>
      <w:r w:rsidR="00D5664A">
        <w:rPr>
          <w:kern w:val="0"/>
        </w:rPr>
        <w:t>Web</w:t>
      </w:r>
      <w:r w:rsidR="00427468">
        <w:rPr>
          <w:kern w:val="0"/>
        </w:rPr>
        <w:t xml:space="preserve"> of </w:t>
      </w:r>
      <w:r w:rsidR="00D5664A">
        <w:rPr>
          <w:kern w:val="0"/>
        </w:rPr>
        <w:t>Science</w:t>
      </w:r>
      <w:r>
        <w:rPr>
          <w:kern w:val="0"/>
        </w:rPr>
        <w:t>, Young Adults</w:t>
      </w:r>
    </w:p>
    <w:p w:rsidR="00C13DDC" w:rsidRDefault="00C13DDC" w:rsidP="00C13DDC">
      <w:pPr>
        <w:pStyle w:val="a3"/>
        <w:rPr>
          <w:kern w:val="0"/>
          <w:szCs w:val="24"/>
        </w:rPr>
      </w:pPr>
      <w:r>
        <w:rPr>
          <w:rFonts w:hint="eastAsia"/>
          <w:kern w:val="0"/>
          <w:szCs w:val="24"/>
        </w:rPr>
        <w:t xml:space="preserve">? </w:t>
      </w:r>
      <w:r>
        <w:rPr>
          <w:kern w:val="0"/>
          <w:szCs w:val="24"/>
        </w:rPr>
        <w:t>Buitrago-Lopez, A., Sanderson, J., Johnson, L., Warnakula, S., Wood, A., Di Angelantonio, E.</w:t>
      </w:r>
      <w:r w:rsidR="005853A9">
        <w:rPr>
          <w:kern w:val="0"/>
          <w:szCs w:val="24"/>
        </w:rPr>
        <w:t xml:space="preserve"> and </w:t>
      </w:r>
      <w:r>
        <w:rPr>
          <w:kern w:val="0"/>
          <w:szCs w:val="24"/>
        </w:rPr>
        <w:t>Franco, O.H. (2011), Chocolate consumption</w:t>
      </w:r>
      <w:r w:rsidR="005853A9">
        <w:rPr>
          <w:kern w:val="0"/>
          <w:szCs w:val="24"/>
        </w:rPr>
        <w:t xml:space="preserve"> and </w:t>
      </w:r>
      <w:r>
        <w:rPr>
          <w:kern w:val="0"/>
          <w:szCs w:val="24"/>
        </w:rPr>
        <w:t>cardiometabolic disorders: Systematic review</w:t>
      </w:r>
      <w:r w:rsidR="005853A9">
        <w:rPr>
          <w:kern w:val="0"/>
          <w:szCs w:val="24"/>
        </w:rPr>
        <w:t xml:space="preserve"> and </w:t>
      </w:r>
      <w:r>
        <w:rPr>
          <w:kern w:val="0"/>
          <w:szCs w:val="24"/>
        </w:rPr>
        <w:t xml:space="preserve">meta-analysis. </w:t>
      </w:r>
      <w:r>
        <w:rPr>
          <w:i/>
          <w:iCs/>
          <w:kern w:val="0"/>
          <w:szCs w:val="24"/>
        </w:rPr>
        <w:t>British Medical Journal</w:t>
      </w:r>
      <w:r>
        <w:rPr>
          <w:kern w:val="0"/>
          <w:szCs w:val="24"/>
        </w:rPr>
        <w:t xml:space="preserve">, </w:t>
      </w:r>
      <w:r>
        <w:rPr>
          <w:b/>
          <w:bCs/>
          <w:kern w:val="0"/>
          <w:szCs w:val="24"/>
        </w:rPr>
        <w:t>343</w:t>
      </w:r>
      <w:r>
        <w:rPr>
          <w:rFonts w:hint="eastAsia"/>
          <w:kern w:val="0"/>
          <w:szCs w:val="24"/>
        </w:rPr>
        <w:t xml:space="preserve">, </w:t>
      </w:r>
      <w:r>
        <w:t>Article Number: d4488</w:t>
      </w:r>
      <w:r>
        <w:rPr>
          <w:rFonts w:hint="eastAsia"/>
        </w:rPr>
        <w:t>.</w:t>
      </w:r>
    </w:p>
    <w:p w:rsidR="00A46382" w:rsidRDefault="00A46382" w:rsidP="00A46382">
      <w:pPr>
        <w:pStyle w:val="a3"/>
      </w:pPr>
      <w:r>
        <w:t>Full Text:</w:t>
      </w:r>
      <w:r w:rsidRPr="00FC7835">
        <w:t xml:space="preserve"> </w:t>
      </w:r>
      <w:hyperlink r:id="rId2072" w:history="1">
        <w:r w:rsidRPr="001B6D8B">
          <w:rPr>
            <w:rStyle w:val="a5"/>
          </w:rPr>
          <w:t>2011\Bri Med J343, d4488.pdf</w:t>
        </w:r>
      </w:hyperlink>
    </w:p>
    <w:p w:rsidR="00C13DDC" w:rsidRDefault="00C13DDC" w:rsidP="00C13DDC">
      <w:pPr>
        <w:pStyle w:val="a3"/>
        <w:rPr>
          <w:kern w:val="0"/>
          <w:szCs w:val="24"/>
        </w:rPr>
      </w:pPr>
      <w:r>
        <w:rPr>
          <w:kern w:val="0"/>
          <w:szCs w:val="24"/>
        </w:rPr>
        <w:t>Abstract: Objective To evaluate</w:t>
      </w:r>
      <w:r w:rsidR="003A1917">
        <w:rPr>
          <w:kern w:val="0"/>
          <w:szCs w:val="24"/>
        </w:rPr>
        <w:t xml:space="preserve"> the </w:t>
      </w:r>
      <w:r>
        <w:rPr>
          <w:kern w:val="0"/>
          <w:szCs w:val="24"/>
        </w:rPr>
        <w:t>association</w:t>
      </w:r>
      <w:r w:rsidR="00427468">
        <w:rPr>
          <w:kern w:val="0"/>
          <w:szCs w:val="24"/>
        </w:rPr>
        <w:t xml:space="preserve"> of </w:t>
      </w:r>
      <w:r>
        <w:rPr>
          <w:kern w:val="0"/>
          <w:szCs w:val="24"/>
        </w:rPr>
        <w:t>chocolate consumption with</w:t>
      </w:r>
      <w:r w:rsidR="003A1917">
        <w:rPr>
          <w:kern w:val="0"/>
          <w:szCs w:val="24"/>
        </w:rPr>
        <w:t xml:space="preserve"> the </w:t>
      </w:r>
      <w:r>
        <w:rPr>
          <w:kern w:val="0"/>
          <w:szCs w:val="24"/>
        </w:rPr>
        <w:t>risk</w:t>
      </w:r>
      <w:r w:rsidR="00427468">
        <w:rPr>
          <w:kern w:val="0"/>
          <w:szCs w:val="24"/>
        </w:rPr>
        <w:t xml:space="preserve"> of </w:t>
      </w:r>
      <w:r>
        <w:rPr>
          <w:kern w:val="0"/>
          <w:szCs w:val="24"/>
        </w:rPr>
        <w:t>developing cardiometabolic disorders. Design Systematic review</w:t>
      </w:r>
      <w:r w:rsidR="005853A9">
        <w:rPr>
          <w:kern w:val="0"/>
          <w:szCs w:val="24"/>
        </w:rPr>
        <w:t xml:space="preserve"> and </w:t>
      </w:r>
      <w:r>
        <w:rPr>
          <w:kern w:val="0"/>
          <w:szCs w:val="24"/>
        </w:rPr>
        <w:t>meta-analysis</w:t>
      </w:r>
      <w:r w:rsidR="00427468">
        <w:rPr>
          <w:kern w:val="0"/>
          <w:szCs w:val="24"/>
        </w:rPr>
        <w:t xml:space="preserve"> of </w:t>
      </w:r>
      <w:r>
        <w:rPr>
          <w:kern w:val="0"/>
          <w:szCs w:val="24"/>
        </w:rPr>
        <w:t>randomised controlled trials</w:t>
      </w:r>
      <w:r w:rsidR="005853A9">
        <w:rPr>
          <w:kern w:val="0"/>
          <w:szCs w:val="24"/>
        </w:rPr>
        <w:t xml:space="preserve"> and </w:t>
      </w:r>
      <w:r>
        <w:rPr>
          <w:kern w:val="0"/>
          <w:szCs w:val="24"/>
        </w:rPr>
        <w:t xml:space="preserve">observational studies. Data sources </w:t>
      </w:r>
      <w:r w:rsidR="00D5664A">
        <w:rPr>
          <w:kern w:val="0"/>
          <w:szCs w:val="24"/>
        </w:rPr>
        <w:t>MEDLINE</w:t>
      </w:r>
      <w:r>
        <w:rPr>
          <w:kern w:val="0"/>
          <w:szCs w:val="24"/>
        </w:rPr>
        <w:t xml:space="preserve">, Embase, Cochrane Library, PubMed, CINAHL, IPA, </w:t>
      </w:r>
      <w:r w:rsidR="00D5664A">
        <w:rPr>
          <w:kern w:val="0"/>
          <w:szCs w:val="24"/>
        </w:rPr>
        <w:t>Web</w:t>
      </w:r>
      <w:r w:rsidR="00427468">
        <w:rPr>
          <w:kern w:val="0"/>
          <w:szCs w:val="24"/>
        </w:rPr>
        <w:t xml:space="preserve"> of </w:t>
      </w:r>
      <w:r w:rsidR="00D5664A">
        <w:rPr>
          <w:kern w:val="0"/>
          <w:szCs w:val="24"/>
        </w:rPr>
        <w:t>Science</w:t>
      </w:r>
      <w:r>
        <w:rPr>
          <w:kern w:val="0"/>
          <w:szCs w:val="24"/>
        </w:rPr>
        <w:t>, Scopus, Pascal, reference lists</w:t>
      </w:r>
      <w:r w:rsidR="00427468">
        <w:rPr>
          <w:kern w:val="0"/>
          <w:szCs w:val="24"/>
        </w:rPr>
        <w:t xml:space="preserve"> of </w:t>
      </w:r>
      <w:r>
        <w:rPr>
          <w:kern w:val="0"/>
          <w:szCs w:val="24"/>
        </w:rPr>
        <w:t>relevant studies to October 2010,</w:t>
      </w:r>
      <w:r w:rsidR="005853A9">
        <w:rPr>
          <w:kern w:val="0"/>
          <w:szCs w:val="24"/>
        </w:rPr>
        <w:t xml:space="preserve"> and </w:t>
      </w:r>
      <w:r>
        <w:rPr>
          <w:kern w:val="0"/>
          <w:szCs w:val="24"/>
        </w:rPr>
        <w:t>email contact with authors. Study selection Randomised trials</w:t>
      </w:r>
      <w:r w:rsidR="005853A9">
        <w:rPr>
          <w:kern w:val="0"/>
          <w:szCs w:val="24"/>
        </w:rPr>
        <w:t xml:space="preserve"> and </w:t>
      </w:r>
      <w:r>
        <w:rPr>
          <w:kern w:val="0"/>
          <w:szCs w:val="24"/>
        </w:rPr>
        <w:t>cohort, case-control,</w:t>
      </w:r>
      <w:r w:rsidR="005853A9">
        <w:rPr>
          <w:kern w:val="0"/>
          <w:szCs w:val="24"/>
        </w:rPr>
        <w:t xml:space="preserve"> and </w:t>
      </w:r>
      <w:r>
        <w:rPr>
          <w:kern w:val="0"/>
          <w:szCs w:val="24"/>
        </w:rPr>
        <w:t>cross sectional studies carried out in human adults, in which</w:t>
      </w:r>
      <w:r w:rsidR="003A1917">
        <w:rPr>
          <w:kern w:val="0"/>
          <w:szCs w:val="24"/>
        </w:rPr>
        <w:t xml:space="preserve"> the </w:t>
      </w:r>
      <w:r>
        <w:rPr>
          <w:kern w:val="0"/>
          <w:szCs w:val="24"/>
        </w:rPr>
        <w:t>association between chocolate consumption</w:t>
      </w:r>
      <w:r w:rsidR="005853A9">
        <w:rPr>
          <w:kern w:val="0"/>
          <w:szCs w:val="24"/>
        </w:rPr>
        <w:t xml:space="preserve"> and </w:t>
      </w:r>
      <w:r w:rsidR="003A1917">
        <w:rPr>
          <w:kern w:val="0"/>
          <w:szCs w:val="24"/>
        </w:rPr>
        <w:t xml:space="preserve">the </w:t>
      </w:r>
      <w:r>
        <w:rPr>
          <w:kern w:val="0"/>
          <w:szCs w:val="24"/>
        </w:rPr>
        <w:t>risk</w:t>
      </w:r>
      <w:r w:rsidR="00427468">
        <w:rPr>
          <w:kern w:val="0"/>
          <w:szCs w:val="24"/>
        </w:rPr>
        <w:t xml:space="preserve"> of </w:t>
      </w:r>
      <w:r>
        <w:rPr>
          <w:kern w:val="0"/>
          <w:szCs w:val="24"/>
        </w:rPr>
        <w:t>outcomes related to cardiometabolic disorders were reported. Data extraction Data were extracted by two independent investigators,</w:t>
      </w:r>
      <w:r w:rsidR="005853A9">
        <w:rPr>
          <w:kern w:val="0"/>
          <w:szCs w:val="24"/>
        </w:rPr>
        <w:t xml:space="preserve"> and </w:t>
      </w:r>
      <w:r>
        <w:rPr>
          <w:kern w:val="0"/>
          <w:szCs w:val="24"/>
        </w:rPr>
        <w:t>a consensus was reached with</w:t>
      </w:r>
      <w:r w:rsidR="003A1917">
        <w:rPr>
          <w:kern w:val="0"/>
          <w:szCs w:val="24"/>
        </w:rPr>
        <w:t xml:space="preserve"> the </w:t>
      </w:r>
      <w:r>
        <w:rPr>
          <w:kern w:val="0"/>
          <w:szCs w:val="24"/>
        </w:rPr>
        <w:t>involvement</w:t>
      </w:r>
      <w:r w:rsidR="00427468">
        <w:rPr>
          <w:kern w:val="0"/>
          <w:szCs w:val="24"/>
        </w:rPr>
        <w:t xml:space="preserve"> of </w:t>
      </w:r>
      <w:r>
        <w:rPr>
          <w:kern w:val="0"/>
          <w:szCs w:val="24"/>
        </w:rPr>
        <w:t>a third</w:t>
      </w:r>
      <w:r w:rsidR="00A37C1D">
        <w:rPr>
          <w:kern w:val="0"/>
          <w:szCs w:val="24"/>
        </w:rPr>
        <w:t>. The</w:t>
      </w:r>
      <w:r w:rsidR="003A1917">
        <w:rPr>
          <w:kern w:val="0"/>
          <w:szCs w:val="24"/>
        </w:rPr>
        <w:t xml:space="preserve"> </w:t>
      </w:r>
      <w:r>
        <w:rPr>
          <w:kern w:val="0"/>
          <w:szCs w:val="24"/>
        </w:rPr>
        <w:t>primary outcome was cardiometabolic disorders, including cardiovascular disease (coronary heart disease</w:t>
      </w:r>
      <w:r w:rsidR="005853A9">
        <w:rPr>
          <w:kern w:val="0"/>
          <w:szCs w:val="24"/>
        </w:rPr>
        <w:t xml:space="preserve"> and </w:t>
      </w:r>
      <w:r>
        <w:rPr>
          <w:kern w:val="0"/>
          <w:szCs w:val="24"/>
        </w:rPr>
        <w:t>stroke), diabetes,</w:t>
      </w:r>
      <w:r w:rsidR="005853A9">
        <w:rPr>
          <w:kern w:val="0"/>
          <w:szCs w:val="24"/>
        </w:rPr>
        <w:t xml:space="preserve"> and </w:t>
      </w:r>
      <w:r>
        <w:rPr>
          <w:kern w:val="0"/>
          <w:szCs w:val="24"/>
        </w:rPr>
        <w:t>metabolic syndrome. A meta-analysis assessed</w:t>
      </w:r>
      <w:r w:rsidR="003A1917">
        <w:rPr>
          <w:kern w:val="0"/>
          <w:szCs w:val="24"/>
        </w:rPr>
        <w:t xml:space="preserve"> the </w:t>
      </w:r>
      <w:r>
        <w:rPr>
          <w:kern w:val="0"/>
          <w:szCs w:val="24"/>
        </w:rPr>
        <w:t>risk</w:t>
      </w:r>
      <w:r w:rsidR="00427468">
        <w:rPr>
          <w:kern w:val="0"/>
          <w:szCs w:val="24"/>
        </w:rPr>
        <w:t xml:space="preserve"> of </w:t>
      </w:r>
      <w:r>
        <w:rPr>
          <w:kern w:val="0"/>
          <w:szCs w:val="24"/>
        </w:rPr>
        <w:t>developing cardiometabolic disorders by comparing</w:t>
      </w:r>
      <w:r w:rsidR="003A1917">
        <w:rPr>
          <w:kern w:val="0"/>
          <w:szCs w:val="24"/>
        </w:rPr>
        <w:t xml:space="preserve"> the </w:t>
      </w:r>
      <w:r>
        <w:rPr>
          <w:kern w:val="0"/>
          <w:szCs w:val="24"/>
        </w:rPr>
        <w:t>highest</w:t>
      </w:r>
      <w:r w:rsidR="005853A9">
        <w:rPr>
          <w:kern w:val="0"/>
          <w:szCs w:val="24"/>
        </w:rPr>
        <w:t xml:space="preserve"> and </w:t>
      </w:r>
      <w:r>
        <w:rPr>
          <w:kern w:val="0"/>
          <w:szCs w:val="24"/>
        </w:rPr>
        <w:t>lowest level</w:t>
      </w:r>
      <w:r w:rsidR="00427468">
        <w:rPr>
          <w:kern w:val="0"/>
          <w:szCs w:val="24"/>
        </w:rPr>
        <w:t xml:space="preserve"> of </w:t>
      </w:r>
      <w:r>
        <w:rPr>
          <w:kern w:val="0"/>
          <w:szCs w:val="24"/>
        </w:rPr>
        <w:t>chocolate consumption. Results From 4576 references seven studies met</w:t>
      </w:r>
      <w:r w:rsidR="003A1917">
        <w:rPr>
          <w:kern w:val="0"/>
          <w:szCs w:val="24"/>
        </w:rPr>
        <w:t xml:space="preserve"> the </w:t>
      </w:r>
      <w:r>
        <w:rPr>
          <w:kern w:val="0"/>
          <w:szCs w:val="24"/>
        </w:rPr>
        <w:t>inclusion criteria (including 114 009 participants). None</w:t>
      </w:r>
      <w:r w:rsidR="00427468">
        <w:rPr>
          <w:kern w:val="0"/>
          <w:szCs w:val="24"/>
        </w:rPr>
        <w:t xml:space="preserve"> of </w:t>
      </w:r>
      <w:r w:rsidR="003A1917">
        <w:rPr>
          <w:kern w:val="0"/>
          <w:szCs w:val="24"/>
        </w:rPr>
        <w:t xml:space="preserve">the </w:t>
      </w:r>
      <w:r>
        <w:rPr>
          <w:kern w:val="0"/>
          <w:szCs w:val="24"/>
        </w:rPr>
        <w:t>studies was a randomised trial, six were cohort studies,</w:t>
      </w:r>
      <w:r w:rsidR="005853A9">
        <w:rPr>
          <w:kern w:val="0"/>
          <w:szCs w:val="24"/>
        </w:rPr>
        <w:t xml:space="preserve"> and </w:t>
      </w:r>
      <w:r>
        <w:rPr>
          <w:kern w:val="0"/>
          <w:szCs w:val="24"/>
        </w:rPr>
        <w:t>one a cross sectional study. Large variation was observed between these seven studies for measurement</w:t>
      </w:r>
      <w:r w:rsidR="00427468">
        <w:rPr>
          <w:kern w:val="0"/>
          <w:szCs w:val="24"/>
        </w:rPr>
        <w:t xml:space="preserve"> of </w:t>
      </w:r>
      <w:r>
        <w:rPr>
          <w:kern w:val="0"/>
          <w:szCs w:val="24"/>
        </w:rPr>
        <w:t>chocolate consumption, methods,</w:t>
      </w:r>
      <w:r w:rsidR="005853A9">
        <w:rPr>
          <w:kern w:val="0"/>
          <w:szCs w:val="24"/>
        </w:rPr>
        <w:t xml:space="preserve"> and </w:t>
      </w:r>
      <w:r>
        <w:rPr>
          <w:kern w:val="0"/>
          <w:szCs w:val="24"/>
        </w:rPr>
        <w:t>outcomes evaluated. Five</w:t>
      </w:r>
      <w:r w:rsidR="00427468">
        <w:rPr>
          <w:kern w:val="0"/>
          <w:szCs w:val="24"/>
        </w:rPr>
        <w:t xml:space="preserve"> of </w:t>
      </w:r>
      <w:r w:rsidR="003A1917">
        <w:rPr>
          <w:kern w:val="0"/>
          <w:szCs w:val="24"/>
        </w:rPr>
        <w:t xml:space="preserve">the </w:t>
      </w:r>
      <w:r>
        <w:rPr>
          <w:kern w:val="0"/>
          <w:szCs w:val="24"/>
        </w:rPr>
        <w:t>seven studies reported a beneficial association between higher levels</w:t>
      </w:r>
      <w:r w:rsidR="00427468">
        <w:rPr>
          <w:kern w:val="0"/>
          <w:szCs w:val="24"/>
        </w:rPr>
        <w:t xml:space="preserve"> of </w:t>
      </w:r>
      <w:r>
        <w:rPr>
          <w:kern w:val="0"/>
          <w:szCs w:val="24"/>
        </w:rPr>
        <w:t>chocolate consumption</w:t>
      </w:r>
      <w:r w:rsidR="005853A9">
        <w:rPr>
          <w:kern w:val="0"/>
          <w:szCs w:val="24"/>
        </w:rPr>
        <w:t xml:space="preserve"> and </w:t>
      </w:r>
      <w:r w:rsidR="003A1917">
        <w:rPr>
          <w:kern w:val="0"/>
          <w:szCs w:val="24"/>
        </w:rPr>
        <w:t xml:space="preserve">the </w:t>
      </w:r>
      <w:r>
        <w:rPr>
          <w:kern w:val="0"/>
          <w:szCs w:val="24"/>
        </w:rPr>
        <w:t>risk</w:t>
      </w:r>
      <w:r w:rsidR="00427468">
        <w:rPr>
          <w:kern w:val="0"/>
          <w:szCs w:val="24"/>
        </w:rPr>
        <w:t xml:space="preserve"> of </w:t>
      </w:r>
      <w:r>
        <w:rPr>
          <w:kern w:val="0"/>
          <w:szCs w:val="24"/>
        </w:rPr>
        <w:t>cardiometabolic disorders</w:t>
      </w:r>
      <w:r w:rsidR="00A37C1D">
        <w:rPr>
          <w:kern w:val="0"/>
          <w:szCs w:val="24"/>
        </w:rPr>
        <w:t>. The</w:t>
      </w:r>
      <w:r w:rsidR="003A1917">
        <w:rPr>
          <w:kern w:val="0"/>
          <w:szCs w:val="24"/>
        </w:rPr>
        <w:t xml:space="preserve"> </w:t>
      </w:r>
      <w:r>
        <w:rPr>
          <w:kern w:val="0"/>
          <w:szCs w:val="24"/>
        </w:rPr>
        <w:t>highest levels</w:t>
      </w:r>
      <w:r w:rsidR="00427468">
        <w:rPr>
          <w:kern w:val="0"/>
          <w:szCs w:val="24"/>
        </w:rPr>
        <w:t xml:space="preserve"> of </w:t>
      </w:r>
      <w:r>
        <w:rPr>
          <w:kern w:val="0"/>
          <w:szCs w:val="24"/>
        </w:rPr>
        <w:t>chocolate consumption were associated with a 37% reduction in cardiovascular disease (relative risk 0.63 (95% confidence interval 0.44 to 0.90))</w:t>
      </w:r>
      <w:r w:rsidR="005853A9">
        <w:rPr>
          <w:kern w:val="0"/>
          <w:szCs w:val="24"/>
        </w:rPr>
        <w:t xml:space="preserve"> and </w:t>
      </w:r>
      <w:r>
        <w:rPr>
          <w:kern w:val="0"/>
          <w:szCs w:val="24"/>
        </w:rPr>
        <w:t>a 29% reduction in stroke compared with</w:t>
      </w:r>
      <w:r w:rsidR="003A1917">
        <w:rPr>
          <w:kern w:val="0"/>
          <w:szCs w:val="24"/>
        </w:rPr>
        <w:t xml:space="preserve"> the </w:t>
      </w:r>
      <w:r>
        <w:rPr>
          <w:kern w:val="0"/>
          <w:szCs w:val="24"/>
        </w:rPr>
        <w:t>lowest levels. Conclusions Based on observational evidence, levels</w:t>
      </w:r>
      <w:r w:rsidR="00427468">
        <w:rPr>
          <w:kern w:val="0"/>
          <w:szCs w:val="24"/>
        </w:rPr>
        <w:t xml:space="preserve"> of </w:t>
      </w:r>
      <w:r>
        <w:rPr>
          <w:kern w:val="0"/>
          <w:szCs w:val="24"/>
        </w:rPr>
        <w:t>chocolate consumption seem to be associated with a substantial reduction in</w:t>
      </w:r>
      <w:r w:rsidR="003A1917">
        <w:rPr>
          <w:kern w:val="0"/>
          <w:szCs w:val="24"/>
        </w:rPr>
        <w:t xml:space="preserve"> the </w:t>
      </w:r>
      <w:r>
        <w:rPr>
          <w:kern w:val="0"/>
          <w:szCs w:val="24"/>
        </w:rPr>
        <w:t>risk</w:t>
      </w:r>
      <w:r w:rsidR="00427468">
        <w:rPr>
          <w:kern w:val="0"/>
          <w:szCs w:val="24"/>
        </w:rPr>
        <w:t xml:space="preserve"> of </w:t>
      </w:r>
      <w:r>
        <w:rPr>
          <w:kern w:val="0"/>
          <w:szCs w:val="24"/>
        </w:rPr>
        <w:t>cardiometabolic disorders. Further experimental studies are required to confirm a potentially beneficial effect</w:t>
      </w:r>
      <w:r w:rsidR="00427468">
        <w:rPr>
          <w:kern w:val="0"/>
          <w:szCs w:val="24"/>
        </w:rPr>
        <w:t xml:space="preserve"> of </w:t>
      </w:r>
      <w:r>
        <w:rPr>
          <w:kern w:val="0"/>
          <w:szCs w:val="24"/>
        </w:rPr>
        <w:t>chocolate consumption.</w:t>
      </w:r>
    </w:p>
    <w:p w:rsidR="00C13DDC" w:rsidRDefault="00C13DDC" w:rsidP="00C13DDC">
      <w:pPr>
        <w:pStyle w:val="a3"/>
        <w:rPr>
          <w:kern w:val="0"/>
          <w:szCs w:val="24"/>
        </w:rPr>
      </w:pPr>
      <w:r>
        <w:rPr>
          <w:kern w:val="0"/>
          <w:szCs w:val="24"/>
        </w:rPr>
        <w:t xml:space="preserve">Keywords: Adults, Authors, Blood-Pressure, Cardiovascular, Cardiovascular Disease, Cardiovascular-Disease, Case-Control, Cochrane, Cohort Studies, Coronary Heart </w:t>
      </w:r>
      <w:r>
        <w:rPr>
          <w:kern w:val="0"/>
          <w:szCs w:val="24"/>
        </w:rPr>
        <w:lastRenderedPageBreak/>
        <w:t xml:space="preserve">Disease, Coronary-Artery-Disease, Dark Chocolate, Diabetes, Disease, Elevated Cholesterol, Endothelial Function, Experimental, Heart-Disease, Human, Insulin Sensitivity, Involvement, Measurement, Meta Analysis, Meta-Analysis, Observational, Observational Studies, Outcome, Outcomes, Primary, Pubmed, Randomized Controlled-Trials, Reduction, Relative Risk, Review, Risk, Science, Scopus, Stroke, Systematic, Systematic Review, Vascular Function, </w:t>
      </w:r>
      <w:r w:rsidR="00D5664A">
        <w:rPr>
          <w:kern w:val="0"/>
          <w:szCs w:val="24"/>
        </w:rPr>
        <w:t>Web</w:t>
      </w:r>
      <w:r w:rsidR="00427468">
        <w:rPr>
          <w:kern w:val="0"/>
          <w:szCs w:val="24"/>
        </w:rPr>
        <w:t xml:space="preserve"> of </w:t>
      </w:r>
      <w:r w:rsidR="00D5664A">
        <w:rPr>
          <w:kern w:val="0"/>
          <w:szCs w:val="24"/>
        </w:rPr>
        <w:t>Science</w:t>
      </w:r>
    </w:p>
    <w:p w:rsidR="00A46382" w:rsidRDefault="00A46382" w:rsidP="00A46382">
      <w:pPr>
        <w:pStyle w:val="a3"/>
        <w:rPr>
          <w:kern w:val="0"/>
        </w:rPr>
      </w:pPr>
      <w:r>
        <w:rPr>
          <w:rFonts w:hint="eastAsia"/>
          <w:kern w:val="0"/>
        </w:rPr>
        <w:t xml:space="preserve">? </w:t>
      </w:r>
      <w:r>
        <w:rPr>
          <w:kern w:val="0"/>
        </w:rPr>
        <w:t>Banzi, R., Cinquini, M., Liberati, A., Moschetti, I., Pecoraro, V., Tagliabue, L.</w:t>
      </w:r>
      <w:r w:rsidR="005853A9">
        <w:rPr>
          <w:kern w:val="0"/>
        </w:rPr>
        <w:t xml:space="preserve"> and </w:t>
      </w:r>
      <w:r>
        <w:rPr>
          <w:kern w:val="0"/>
        </w:rPr>
        <w:t>Moja, L. (2011), Speed</w:t>
      </w:r>
      <w:r w:rsidR="00427468">
        <w:rPr>
          <w:kern w:val="0"/>
        </w:rPr>
        <w:t xml:space="preserve"> of </w:t>
      </w:r>
      <w:r>
        <w:rPr>
          <w:kern w:val="0"/>
        </w:rPr>
        <w:t>updating online evidence based point</w:t>
      </w:r>
      <w:r w:rsidR="00427468">
        <w:rPr>
          <w:kern w:val="0"/>
        </w:rPr>
        <w:t xml:space="preserve"> of </w:t>
      </w:r>
      <w:r>
        <w:rPr>
          <w:kern w:val="0"/>
        </w:rPr>
        <w:t xml:space="preserve">care summaries: Prospective cohort analysis. </w:t>
      </w:r>
      <w:r>
        <w:rPr>
          <w:i/>
          <w:iCs/>
          <w:kern w:val="0"/>
        </w:rPr>
        <w:t>British Medical Journal</w:t>
      </w:r>
      <w:r>
        <w:rPr>
          <w:kern w:val="0"/>
        </w:rPr>
        <w:t xml:space="preserve">, </w:t>
      </w:r>
      <w:r>
        <w:rPr>
          <w:b/>
          <w:bCs/>
          <w:kern w:val="0"/>
        </w:rPr>
        <w:t>343</w:t>
      </w:r>
      <w:r>
        <w:rPr>
          <w:rFonts w:hint="eastAsia"/>
          <w:kern w:val="0"/>
        </w:rPr>
        <w:t xml:space="preserve">, </w:t>
      </w:r>
      <w:r>
        <w:t>Article Number: d5856</w:t>
      </w:r>
      <w:r>
        <w:rPr>
          <w:rFonts w:hint="eastAsia"/>
        </w:rPr>
        <w:t>.</w:t>
      </w:r>
    </w:p>
    <w:p w:rsidR="00A46382" w:rsidRDefault="00A46382" w:rsidP="00A46382">
      <w:pPr>
        <w:pStyle w:val="a3"/>
      </w:pPr>
      <w:r>
        <w:t>Full Text:</w:t>
      </w:r>
      <w:r w:rsidRPr="00FC7835">
        <w:t xml:space="preserve"> </w:t>
      </w:r>
      <w:hyperlink r:id="rId2073" w:history="1">
        <w:r w:rsidRPr="001B6D8B">
          <w:rPr>
            <w:rStyle w:val="a5"/>
          </w:rPr>
          <w:t>2011\Bri Med J343, d5856.pdf</w:t>
        </w:r>
      </w:hyperlink>
    </w:p>
    <w:p w:rsidR="00A46382" w:rsidRDefault="00A46382" w:rsidP="00A46382">
      <w:pPr>
        <w:pStyle w:val="a3"/>
        <w:rPr>
          <w:kern w:val="0"/>
        </w:rPr>
      </w:pPr>
      <w:r>
        <w:rPr>
          <w:kern w:val="0"/>
        </w:rPr>
        <w:t>Abstract: Objective To evaluate</w:t>
      </w:r>
      <w:r w:rsidR="003A1917">
        <w:rPr>
          <w:kern w:val="0"/>
        </w:rPr>
        <w:t xml:space="preserve"> the </w:t>
      </w:r>
      <w:r>
        <w:rPr>
          <w:kern w:val="0"/>
        </w:rPr>
        <w:t>ability</w:t>
      </w:r>
      <w:r w:rsidR="00427468">
        <w:rPr>
          <w:kern w:val="0"/>
        </w:rPr>
        <w:t xml:space="preserve"> of </w:t>
      </w:r>
      <w:r>
        <w:rPr>
          <w:kern w:val="0"/>
        </w:rPr>
        <w:t>international point</w:t>
      </w:r>
      <w:r w:rsidR="00427468">
        <w:rPr>
          <w:kern w:val="0"/>
        </w:rPr>
        <w:t xml:space="preserve"> of </w:t>
      </w:r>
      <w:r>
        <w:rPr>
          <w:kern w:val="0"/>
        </w:rPr>
        <w:t>care information summaries to update evidence relevant to medical practice. Design Prospective cohort bibliometric analysis. Setting Top five point</w:t>
      </w:r>
      <w:r w:rsidR="00427468">
        <w:rPr>
          <w:kern w:val="0"/>
        </w:rPr>
        <w:t xml:space="preserve"> of </w:t>
      </w:r>
      <w:r>
        <w:rPr>
          <w:kern w:val="0"/>
        </w:rPr>
        <w:t>care information summaries (Clinical Evidence, EBMGuidelines, eMedicine, Dynamed, UpToDate) ranked for coverage</w:t>
      </w:r>
      <w:r w:rsidR="00427468">
        <w:rPr>
          <w:kern w:val="0"/>
        </w:rPr>
        <w:t xml:space="preserve"> of </w:t>
      </w:r>
      <w:r>
        <w:rPr>
          <w:kern w:val="0"/>
        </w:rPr>
        <w:t>medical conditions, editorial quality,</w:t>
      </w:r>
      <w:r w:rsidR="005853A9">
        <w:rPr>
          <w:kern w:val="0"/>
        </w:rPr>
        <w:t xml:space="preserve"> and </w:t>
      </w:r>
      <w:r>
        <w:rPr>
          <w:kern w:val="0"/>
        </w:rPr>
        <w:t>evidence based methodology. Main outcome measures From June 2009 to May 2010 we measured</w:t>
      </w:r>
      <w:r w:rsidR="003A1917">
        <w:rPr>
          <w:kern w:val="0"/>
        </w:rPr>
        <w:t xml:space="preserve"> the </w:t>
      </w:r>
      <w:r>
        <w:rPr>
          <w:kern w:val="0"/>
        </w:rPr>
        <w:t>incidence</w:t>
      </w:r>
      <w:r w:rsidR="00427468">
        <w:rPr>
          <w:kern w:val="0"/>
        </w:rPr>
        <w:t xml:space="preserve"> of </w:t>
      </w:r>
      <w:r>
        <w:rPr>
          <w:kern w:val="0"/>
        </w:rPr>
        <w:t>research findings relating to potentially eligible newsworthy evidence. As samples, we chose systematic reviews rated as relevant by international research networks (such as, Evidence-Based Medicine, ACP Journal Club,</w:t>
      </w:r>
      <w:r w:rsidR="005853A9">
        <w:rPr>
          <w:kern w:val="0"/>
        </w:rPr>
        <w:t xml:space="preserve"> and </w:t>
      </w:r>
      <w:r w:rsidR="003A1917">
        <w:rPr>
          <w:kern w:val="0"/>
        </w:rPr>
        <w:t xml:space="preserve">the </w:t>
      </w:r>
      <w:r>
        <w:rPr>
          <w:kern w:val="0"/>
        </w:rPr>
        <w:t>Cochrane Collaboration). Every month we assessed whether each sampled review was cited in at least one chapter</w:t>
      </w:r>
      <w:r w:rsidR="00427468">
        <w:rPr>
          <w:kern w:val="0"/>
        </w:rPr>
        <w:t xml:space="preserve"> of </w:t>
      </w:r>
      <w:r w:rsidR="003A1917">
        <w:rPr>
          <w:kern w:val="0"/>
        </w:rPr>
        <w:t xml:space="preserve">the </w:t>
      </w:r>
      <w:r>
        <w:rPr>
          <w:kern w:val="0"/>
        </w:rPr>
        <w:t>five summaries</w:t>
      </w:r>
      <w:r w:rsidR="00A37C1D">
        <w:rPr>
          <w:kern w:val="0"/>
        </w:rPr>
        <w:t>. The</w:t>
      </w:r>
      <w:r w:rsidR="003A1917">
        <w:rPr>
          <w:kern w:val="0"/>
        </w:rPr>
        <w:t xml:space="preserve"> </w:t>
      </w:r>
      <w:r>
        <w:rPr>
          <w:kern w:val="0"/>
        </w:rPr>
        <w:t>cumulative updating rate was analysed with Kaplan-Meier curves. Results From April to December 2009, 128 reviews were retrieved; 53% (68) from</w:t>
      </w:r>
      <w:r w:rsidR="003A1917">
        <w:rPr>
          <w:kern w:val="0"/>
        </w:rPr>
        <w:t xml:space="preserve"> the </w:t>
      </w:r>
      <w:r>
        <w:rPr>
          <w:kern w:val="0"/>
        </w:rPr>
        <w:t>literature surveillance journals</w:t>
      </w:r>
      <w:r w:rsidR="005853A9">
        <w:rPr>
          <w:kern w:val="0"/>
        </w:rPr>
        <w:t xml:space="preserve"> and </w:t>
      </w:r>
      <w:r>
        <w:rPr>
          <w:kern w:val="0"/>
        </w:rPr>
        <w:t>47% (60) from</w:t>
      </w:r>
      <w:r w:rsidR="003A1917">
        <w:rPr>
          <w:kern w:val="0"/>
        </w:rPr>
        <w:t xml:space="preserve"> the </w:t>
      </w:r>
      <w:r>
        <w:rPr>
          <w:kern w:val="0"/>
        </w:rPr>
        <w:t>Cochrane Library. At nine months, Dynamed had cited 87%</w:t>
      </w:r>
      <w:r w:rsidR="00427468">
        <w:rPr>
          <w:kern w:val="0"/>
        </w:rPr>
        <w:t xml:space="preserve"> of </w:t>
      </w:r>
      <w:r w:rsidR="003A1917">
        <w:rPr>
          <w:kern w:val="0"/>
        </w:rPr>
        <w:t xml:space="preserve">the </w:t>
      </w:r>
      <w:r>
        <w:rPr>
          <w:kern w:val="0"/>
        </w:rPr>
        <w:t>sampled reviews, while</w:t>
      </w:r>
      <w:r w:rsidR="003A1917">
        <w:rPr>
          <w:kern w:val="0"/>
        </w:rPr>
        <w:t xml:space="preserve"> the </w:t>
      </w:r>
      <w:r>
        <w:rPr>
          <w:kern w:val="0"/>
        </w:rPr>
        <w:t>other summaries had cited less than 50%</w:t>
      </w:r>
      <w:r w:rsidR="00A37C1D">
        <w:rPr>
          <w:kern w:val="0"/>
        </w:rPr>
        <w:t>. The</w:t>
      </w:r>
      <w:r w:rsidR="003A1917">
        <w:rPr>
          <w:kern w:val="0"/>
        </w:rPr>
        <w:t xml:space="preserve"> </w:t>
      </w:r>
      <w:r>
        <w:rPr>
          <w:kern w:val="0"/>
        </w:rPr>
        <w:t>updating speed</w:t>
      </w:r>
      <w:r w:rsidR="00427468">
        <w:rPr>
          <w:kern w:val="0"/>
        </w:rPr>
        <w:t xml:space="preserve"> of </w:t>
      </w:r>
      <w:r>
        <w:rPr>
          <w:kern w:val="0"/>
        </w:rPr>
        <w:t>Dynamed clearly led</w:t>
      </w:r>
      <w:r w:rsidR="003A1917">
        <w:rPr>
          <w:kern w:val="0"/>
        </w:rPr>
        <w:t xml:space="preserve"> the </w:t>
      </w:r>
      <w:r>
        <w:rPr>
          <w:kern w:val="0"/>
        </w:rPr>
        <w:t>others. For instance,</w:t>
      </w:r>
      <w:r w:rsidR="003A1917">
        <w:rPr>
          <w:kern w:val="0"/>
        </w:rPr>
        <w:t xml:space="preserve"> the </w:t>
      </w:r>
      <w:r>
        <w:rPr>
          <w:kern w:val="0"/>
        </w:rPr>
        <w:t>hazard ratios for citations in EBM Guidelines</w:t>
      </w:r>
      <w:r w:rsidR="005853A9">
        <w:rPr>
          <w:kern w:val="0"/>
        </w:rPr>
        <w:t xml:space="preserve"> and </w:t>
      </w:r>
      <w:r>
        <w:rPr>
          <w:kern w:val="0"/>
        </w:rPr>
        <w:t>Clinical Evidence versus</w:t>
      </w:r>
      <w:r w:rsidR="003A1917">
        <w:rPr>
          <w:kern w:val="0"/>
        </w:rPr>
        <w:t xml:space="preserve"> the </w:t>
      </w:r>
      <w:r>
        <w:rPr>
          <w:kern w:val="0"/>
        </w:rPr>
        <w:t>top performer were 0.22 (95% confidence interval 0.17 to 0.29)</w:t>
      </w:r>
      <w:r w:rsidR="005853A9">
        <w:rPr>
          <w:kern w:val="0"/>
        </w:rPr>
        <w:t xml:space="preserve"> and </w:t>
      </w:r>
      <w:r>
        <w:rPr>
          <w:kern w:val="0"/>
        </w:rPr>
        <w:t>0.03 (0.01 to 0.05). Conclusions Point</w:t>
      </w:r>
      <w:r w:rsidR="00427468">
        <w:rPr>
          <w:kern w:val="0"/>
        </w:rPr>
        <w:t xml:space="preserve"> of </w:t>
      </w:r>
      <w:r>
        <w:rPr>
          <w:kern w:val="0"/>
        </w:rPr>
        <w:t>care information summaries include evidence relevant to practice at different speeds. A qualitative analysis</w:t>
      </w:r>
      <w:r w:rsidR="00427468">
        <w:rPr>
          <w:kern w:val="0"/>
        </w:rPr>
        <w:t xml:space="preserve"> of </w:t>
      </w:r>
      <w:r>
        <w:rPr>
          <w:kern w:val="0"/>
        </w:rPr>
        <w:t>updating mechanisms is needed to determine whether greater speed corresponds to more appropriate incorporation</w:t>
      </w:r>
      <w:r w:rsidR="00427468">
        <w:rPr>
          <w:kern w:val="0"/>
        </w:rPr>
        <w:t xml:space="preserve"> of </w:t>
      </w:r>
      <w:r>
        <w:rPr>
          <w:kern w:val="0"/>
        </w:rPr>
        <w:t>new information.</w:t>
      </w:r>
    </w:p>
    <w:p w:rsidR="00A46382" w:rsidRDefault="00A46382" w:rsidP="00A46382">
      <w:pPr>
        <w:pStyle w:val="a3"/>
        <w:rPr>
          <w:kern w:val="0"/>
        </w:rPr>
      </w:pPr>
      <w:r>
        <w:rPr>
          <w:kern w:val="0"/>
        </w:rPr>
        <w:t>Keywords: Analysis, Bibliometric, Bibliometric Analysis, Care, Citation, Citations, Clinical-Practice Guidelines, Cochrane, Collaboration, Context, Coverage, Evidence-Based Medicine, Grade, Health-Care, Incidence, Information, Journal, Journals, Literature, Mechanisms, Medical, Methodology, Outcome, Practice, Quality, Recommendations, Relevance, Research, Review, Surveillance, Systematic, Systematic Reviews, Trials</w:t>
      </w:r>
    </w:p>
    <w:p w:rsidR="0096673F" w:rsidRDefault="0096673F" w:rsidP="0096673F">
      <w:pPr>
        <w:pStyle w:val="a3"/>
        <w:rPr>
          <w:kern w:val="0"/>
        </w:rPr>
      </w:pPr>
      <w:r>
        <w:rPr>
          <w:rFonts w:hint="eastAsia"/>
          <w:kern w:val="0"/>
        </w:rPr>
        <w:t xml:space="preserve">? </w:t>
      </w:r>
      <w:r>
        <w:rPr>
          <w:kern w:val="0"/>
        </w:rPr>
        <w:t>Wislar, J.S., Flanagin, A., Fontanarosa, P.B.</w:t>
      </w:r>
      <w:r w:rsidR="005853A9">
        <w:rPr>
          <w:kern w:val="0"/>
        </w:rPr>
        <w:t xml:space="preserve"> and </w:t>
      </w:r>
      <w:r>
        <w:rPr>
          <w:kern w:val="0"/>
        </w:rPr>
        <w:t>DeAngelis, C.D. (2011), Honorary</w:t>
      </w:r>
      <w:r w:rsidR="005853A9">
        <w:rPr>
          <w:kern w:val="0"/>
        </w:rPr>
        <w:t xml:space="preserve"> and </w:t>
      </w:r>
      <w:r>
        <w:rPr>
          <w:kern w:val="0"/>
        </w:rPr>
        <w:t xml:space="preserve">ghost authorship in high impact biomedical journals: A cross sectional survey. </w:t>
      </w:r>
      <w:r>
        <w:rPr>
          <w:i/>
          <w:iCs/>
          <w:kern w:val="0"/>
        </w:rPr>
        <w:lastRenderedPageBreak/>
        <w:t>British Medical Journal</w:t>
      </w:r>
      <w:r>
        <w:rPr>
          <w:kern w:val="0"/>
        </w:rPr>
        <w:t xml:space="preserve">, </w:t>
      </w:r>
      <w:r>
        <w:rPr>
          <w:b/>
          <w:bCs/>
          <w:kern w:val="0"/>
        </w:rPr>
        <w:t>343</w:t>
      </w:r>
      <w:r>
        <w:rPr>
          <w:rFonts w:hint="eastAsia"/>
          <w:kern w:val="0"/>
        </w:rPr>
        <w:t xml:space="preserve">, </w:t>
      </w:r>
      <w:r w:rsidRPr="00986109">
        <w:t>Article Number: d6128</w:t>
      </w:r>
      <w:r>
        <w:rPr>
          <w:rFonts w:hint="eastAsia"/>
        </w:rPr>
        <w:t>.</w:t>
      </w:r>
    </w:p>
    <w:p w:rsidR="0096673F" w:rsidRDefault="0096673F" w:rsidP="0096673F">
      <w:pPr>
        <w:pStyle w:val="a3"/>
      </w:pPr>
      <w:r>
        <w:t>Full Text:</w:t>
      </w:r>
      <w:r w:rsidRPr="00FC7835">
        <w:t xml:space="preserve"> </w:t>
      </w:r>
      <w:hyperlink r:id="rId2074" w:history="1">
        <w:r w:rsidRPr="0096673F">
          <w:rPr>
            <w:rStyle w:val="a5"/>
          </w:rPr>
          <w:t>2011\Bri Med J343, d6128.pdf</w:t>
        </w:r>
      </w:hyperlink>
    </w:p>
    <w:p w:rsidR="0096673F" w:rsidRDefault="0096673F" w:rsidP="0096673F">
      <w:pPr>
        <w:pStyle w:val="a3"/>
        <w:rPr>
          <w:kern w:val="0"/>
        </w:rPr>
      </w:pPr>
      <w:r>
        <w:rPr>
          <w:kern w:val="0"/>
        </w:rPr>
        <w:t>Abstract: Objectives To assess</w:t>
      </w:r>
      <w:r w:rsidR="003A1917">
        <w:rPr>
          <w:kern w:val="0"/>
        </w:rPr>
        <w:t xml:space="preserve"> the </w:t>
      </w:r>
      <w:r>
        <w:rPr>
          <w:kern w:val="0"/>
        </w:rPr>
        <w:t>prevalence</w:t>
      </w:r>
      <w:r w:rsidR="00427468">
        <w:rPr>
          <w:kern w:val="0"/>
        </w:rPr>
        <w:t xml:space="preserve"> of </w:t>
      </w:r>
      <w:r>
        <w:rPr>
          <w:kern w:val="0"/>
        </w:rPr>
        <w:t>honorary</w:t>
      </w:r>
      <w:r w:rsidR="005853A9">
        <w:rPr>
          <w:kern w:val="0"/>
        </w:rPr>
        <w:t xml:space="preserve"> and </w:t>
      </w:r>
      <w:r>
        <w:rPr>
          <w:kern w:val="0"/>
        </w:rPr>
        <w:t>ghost authors in six leading general medical journals in 2008</w:t>
      </w:r>
      <w:r w:rsidR="005853A9">
        <w:rPr>
          <w:kern w:val="0"/>
        </w:rPr>
        <w:t xml:space="preserve"> and </w:t>
      </w:r>
      <w:r>
        <w:rPr>
          <w:kern w:val="0"/>
        </w:rPr>
        <w:t>compare this with</w:t>
      </w:r>
      <w:r w:rsidR="003A1917">
        <w:rPr>
          <w:kern w:val="0"/>
        </w:rPr>
        <w:t xml:space="preserve"> the </w:t>
      </w:r>
      <w:r>
        <w:rPr>
          <w:kern w:val="0"/>
        </w:rPr>
        <w:t>prevalence reported by authors</w:t>
      </w:r>
      <w:r w:rsidR="00427468">
        <w:rPr>
          <w:kern w:val="0"/>
        </w:rPr>
        <w:t xml:space="preserve"> of </w:t>
      </w:r>
      <w:r>
        <w:rPr>
          <w:kern w:val="0"/>
        </w:rPr>
        <w:t>articles published in 1996. Design Cross sectional survey using a web based questionnaire. Setting International survey</w:t>
      </w:r>
      <w:r w:rsidR="00427468">
        <w:rPr>
          <w:kern w:val="0"/>
        </w:rPr>
        <w:t xml:space="preserve"> of </w:t>
      </w:r>
      <w:r>
        <w:rPr>
          <w:kern w:val="0"/>
        </w:rPr>
        <w:t>journal authors. Participants Sample</w:t>
      </w:r>
      <w:r w:rsidR="00427468">
        <w:rPr>
          <w:kern w:val="0"/>
        </w:rPr>
        <w:t xml:space="preserve"> of </w:t>
      </w:r>
      <w:r>
        <w:rPr>
          <w:kern w:val="0"/>
        </w:rPr>
        <w:t>corresponding authors</w:t>
      </w:r>
      <w:r w:rsidR="00427468">
        <w:rPr>
          <w:kern w:val="0"/>
        </w:rPr>
        <w:t xml:space="preserve"> of </w:t>
      </w:r>
      <w:r>
        <w:rPr>
          <w:kern w:val="0"/>
        </w:rPr>
        <w:t>896 research articles, review articles,</w:t>
      </w:r>
      <w:r w:rsidR="005853A9">
        <w:rPr>
          <w:kern w:val="0"/>
        </w:rPr>
        <w:t xml:space="preserve"> and </w:t>
      </w:r>
      <w:r>
        <w:rPr>
          <w:kern w:val="0"/>
        </w:rPr>
        <w:t>editorial/opinion articles published in six general medical journals with high impact factors in 2008: Annals</w:t>
      </w:r>
      <w:r w:rsidR="00427468">
        <w:rPr>
          <w:kern w:val="0"/>
        </w:rPr>
        <w:t xml:space="preserve"> of </w:t>
      </w:r>
      <w:r>
        <w:rPr>
          <w:kern w:val="0"/>
        </w:rPr>
        <w:t>Internal Medicine, JAMA, Lancet, Nature Medicine, New England Journal</w:t>
      </w:r>
      <w:r w:rsidR="00427468">
        <w:rPr>
          <w:kern w:val="0"/>
        </w:rPr>
        <w:t xml:space="preserve"> of </w:t>
      </w:r>
      <w:r>
        <w:rPr>
          <w:kern w:val="0"/>
        </w:rPr>
        <w:t>Medicine,</w:t>
      </w:r>
      <w:r w:rsidR="005853A9">
        <w:rPr>
          <w:kern w:val="0"/>
        </w:rPr>
        <w:t xml:space="preserve"> and </w:t>
      </w:r>
      <w:r>
        <w:rPr>
          <w:kern w:val="0"/>
        </w:rPr>
        <w:t>PLoS Medicine. Main outcome measures Self reported compliance with International Committee</w:t>
      </w:r>
      <w:r w:rsidR="00427468">
        <w:rPr>
          <w:kern w:val="0"/>
        </w:rPr>
        <w:t xml:space="preserve"> of </w:t>
      </w:r>
      <w:r>
        <w:rPr>
          <w:kern w:val="0"/>
        </w:rPr>
        <w:t>Medical Journal Editors (ICMJE) criteria for authorship for all authors on</w:t>
      </w:r>
      <w:r w:rsidR="003A1917">
        <w:rPr>
          <w:kern w:val="0"/>
        </w:rPr>
        <w:t xml:space="preserve"> the </w:t>
      </w:r>
      <w:r>
        <w:rPr>
          <w:kern w:val="0"/>
        </w:rPr>
        <w:t>selected articles. Results A total</w:t>
      </w:r>
      <w:r w:rsidR="00427468">
        <w:rPr>
          <w:kern w:val="0"/>
        </w:rPr>
        <w:t xml:space="preserve"> of </w:t>
      </w:r>
      <w:r>
        <w:rPr>
          <w:kern w:val="0"/>
        </w:rPr>
        <w:t>630/896 (70.3%) corresponding authors responded to</w:t>
      </w:r>
      <w:r w:rsidR="003A1917">
        <w:rPr>
          <w:kern w:val="0"/>
        </w:rPr>
        <w:t xml:space="preserve"> the </w:t>
      </w:r>
      <w:r>
        <w:rPr>
          <w:kern w:val="0"/>
        </w:rPr>
        <w:t>survey</w:t>
      </w:r>
      <w:r w:rsidR="00A37C1D">
        <w:rPr>
          <w:kern w:val="0"/>
        </w:rPr>
        <w:t>. The</w:t>
      </w:r>
      <w:r w:rsidR="003A1917">
        <w:rPr>
          <w:kern w:val="0"/>
        </w:rPr>
        <w:t xml:space="preserve"> </w:t>
      </w:r>
      <w:r>
        <w:rPr>
          <w:kern w:val="0"/>
        </w:rPr>
        <w:t>prevalence</w:t>
      </w:r>
      <w:r w:rsidR="00427468">
        <w:rPr>
          <w:kern w:val="0"/>
        </w:rPr>
        <w:t xml:space="preserve"> of </w:t>
      </w:r>
      <w:r>
        <w:rPr>
          <w:kern w:val="0"/>
        </w:rPr>
        <w:t>articles with honorary authorship or ghost authorship, or both, was 21.0% (95% CI 18.0% to 24.3%), a decrease from 29.2% reported in 1996 (P=0.004). Based on 545 responses on honorary authorship, 96 articles (17.6% (95% CI 14.6% to 21.0%)) had honorary authors (range by journal 12.2% to 29.3%), a non-significant change from 1996 (19.3%; P=0.439). Based on 622 responses on ghost authorship, 49 articles (7.9% (6.0% to 10.3%)) had ghost authors (range by journal 2.1% to 11.0%), a significant decline from 1996 (11.5%; P=0.023)</w:t>
      </w:r>
      <w:r w:rsidR="00A37C1D">
        <w:rPr>
          <w:kern w:val="0"/>
        </w:rPr>
        <w:t>. The</w:t>
      </w:r>
      <w:r w:rsidR="003A1917">
        <w:rPr>
          <w:kern w:val="0"/>
        </w:rPr>
        <w:t xml:space="preserve"> </w:t>
      </w:r>
      <w:r>
        <w:rPr>
          <w:kern w:val="0"/>
        </w:rPr>
        <w:t>prevalence</w:t>
      </w:r>
      <w:r w:rsidR="00427468">
        <w:rPr>
          <w:kern w:val="0"/>
        </w:rPr>
        <w:t xml:space="preserve"> of </w:t>
      </w:r>
      <w:r>
        <w:rPr>
          <w:kern w:val="0"/>
        </w:rPr>
        <w:t>honorary authorship was 25.0% in original research reports, 15.0% in reviews,</w:t>
      </w:r>
      <w:r w:rsidR="005853A9">
        <w:rPr>
          <w:kern w:val="0"/>
        </w:rPr>
        <w:t xml:space="preserve"> and </w:t>
      </w:r>
      <w:r>
        <w:rPr>
          <w:kern w:val="0"/>
        </w:rPr>
        <w:t>11.2% in editorials, whereas</w:t>
      </w:r>
      <w:r w:rsidR="003A1917">
        <w:rPr>
          <w:kern w:val="0"/>
        </w:rPr>
        <w:t xml:space="preserve"> the </w:t>
      </w:r>
      <w:r>
        <w:rPr>
          <w:kern w:val="0"/>
        </w:rPr>
        <w:t>prevalence</w:t>
      </w:r>
      <w:r w:rsidR="00427468">
        <w:rPr>
          <w:kern w:val="0"/>
        </w:rPr>
        <w:t xml:space="preserve"> of </w:t>
      </w:r>
      <w:r>
        <w:rPr>
          <w:kern w:val="0"/>
        </w:rPr>
        <w:t>ghost authorship was 11.9% in research articles, 6.0% in reviews,</w:t>
      </w:r>
      <w:r w:rsidR="005853A9">
        <w:rPr>
          <w:kern w:val="0"/>
        </w:rPr>
        <w:t xml:space="preserve"> and </w:t>
      </w:r>
      <w:r>
        <w:rPr>
          <w:kern w:val="0"/>
        </w:rPr>
        <w:t>5.3% in editorials. Conclusions Evidence</w:t>
      </w:r>
      <w:r w:rsidR="00427468">
        <w:rPr>
          <w:kern w:val="0"/>
        </w:rPr>
        <w:t xml:space="preserve"> of </w:t>
      </w:r>
      <w:r>
        <w:rPr>
          <w:kern w:val="0"/>
        </w:rPr>
        <w:t>honorary</w:t>
      </w:r>
      <w:r w:rsidR="005853A9">
        <w:rPr>
          <w:kern w:val="0"/>
        </w:rPr>
        <w:t xml:space="preserve"> and </w:t>
      </w:r>
      <w:r>
        <w:rPr>
          <w:kern w:val="0"/>
        </w:rPr>
        <w:t>ghost authorship in 21%</w:t>
      </w:r>
      <w:r w:rsidR="00427468">
        <w:rPr>
          <w:kern w:val="0"/>
        </w:rPr>
        <w:t xml:space="preserve"> of </w:t>
      </w:r>
      <w:r>
        <w:rPr>
          <w:kern w:val="0"/>
        </w:rPr>
        <w:t>articles published in major medical journals in 2008 suggests that increased efforts by scientific journals, individual authors,</w:t>
      </w:r>
      <w:r w:rsidR="005853A9">
        <w:rPr>
          <w:kern w:val="0"/>
        </w:rPr>
        <w:t xml:space="preserve"> and </w:t>
      </w:r>
      <w:r>
        <w:rPr>
          <w:kern w:val="0"/>
        </w:rPr>
        <w:t>academic institutions are essential to promote responsibility, accountability,</w:t>
      </w:r>
      <w:r w:rsidR="005853A9">
        <w:rPr>
          <w:kern w:val="0"/>
        </w:rPr>
        <w:t xml:space="preserve"> and </w:t>
      </w:r>
      <w:r>
        <w:rPr>
          <w:kern w:val="0"/>
        </w:rPr>
        <w:t>transparency in authorship,</w:t>
      </w:r>
      <w:r w:rsidR="005853A9">
        <w:rPr>
          <w:kern w:val="0"/>
        </w:rPr>
        <w:t xml:space="preserve"> and </w:t>
      </w:r>
      <w:r>
        <w:rPr>
          <w:kern w:val="0"/>
        </w:rPr>
        <w:t>to maintain integrity in scientific publication.</w:t>
      </w:r>
    </w:p>
    <w:p w:rsidR="0096673F" w:rsidRDefault="0096673F" w:rsidP="0096673F">
      <w:pPr>
        <w:pStyle w:val="a3"/>
        <w:rPr>
          <w:kern w:val="0"/>
        </w:rPr>
      </w:pPr>
      <w:r>
        <w:rPr>
          <w:kern w:val="0"/>
        </w:rPr>
        <w:t>Keywords: Accountability, Articles, Authors, Authorship, Biomedical, Biomedical Journals, Compliance, Criteria, Cross Sectional Survey, Editors, England, Evidence, General, Honorary Authorship, Impact, Impact Factors, Institutions, Integrity, Journal, Journals, Medical, Medical Journals, Medicine, Outcome, Outcome Measures, Prevalence, Publication, Questionnaire, Research, Responsibility, Review, Reviews, Scientific Journals, Scientific Publication, Survey, Transparency, Web</w:t>
      </w:r>
    </w:p>
    <w:p w:rsidR="00971EB4" w:rsidRDefault="00971EB4" w:rsidP="00971EB4">
      <w:pPr>
        <w:pStyle w:val="a3"/>
        <w:rPr>
          <w:kern w:val="0"/>
        </w:rPr>
      </w:pPr>
      <w:r>
        <w:rPr>
          <w:rFonts w:hint="eastAsia"/>
          <w:kern w:val="0"/>
        </w:rPr>
        <w:t xml:space="preserve">? </w:t>
      </w:r>
      <w:r>
        <w:rPr>
          <w:kern w:val="0"/>
        </w:rPr>
        <w:t>Hemmingsen, B., Lund, S.S., Gluud, C., Vaag, A., Almdal, T., Hemmingsen, C.</w:t>
      </w:r>
      <w:r w:rsidR="005853A9">
        <w:rPr>
          <w:kern w:val="0"/>
        </w:rPr>
        <w:t xml:space="preserve"> and </w:t>
      </w:r>
      <w:r>
        <w:rPr>
          <w:kern w:val="0"/>
        </w:rPr>
        <w:t>Wetterslev, J. (2011), Intensive glycaemic control for patients with type 2 diabetes: Systematic review with meta-analysis</w:t>
      </w:r>
      <w:r w:rsidR="005853A9">
        <w:rPr>
          <w:kern w:val="0"/>
        </w:rPr>
        <w:t xml:space="preserve"> and </w:t>
      </w:r>
      <w:r>
        <w:rPr>
          <w:kern w:val="0"/>
        </w:rPr>
        <w:t>trial sequential analysis</w:t>
      </w:r>
      <w:r w:rsidR="00427468">
        <w:rPr>
          <w:kern w:val="0"/>
        </w:rPr>
        <w:t xml:space="preserve"> of </w:t>
      </w:r>
      <w:r>
        <w:rPr>
          <w:kern w:val="0"/>
        </w:rPr>
        <w:t xml:space="preserve">randomised clinical trials. </w:t>
      </w:r>
      <w:r>
        <w:rPr>
          <w:i/>
          <w:iCs/>
          <w:kern w:val="0"/>
        </w:rPr>
        <w:t>British Medical Journal</w:t>
      </w:r>
      <w:r>
        <w:rPr>
          <w:kern w:val="0"/>
        </w:rPr>
        <w:t xml:space="preserve">, </w:t>
      </w:r>
      <w:r>
        <w:rPr>
          <w:b/>
          <w:bCs/>
          <w:kern w:val="0"/>
        </w:rPr>
        <w:t>343</w:t>
      </w:r>
      <w:r>
        <w:rPr>
          <w:rFonts w:hint="eastAsia"/>
          <w:kern w:val="0"/>
        </w:rPr>
        <w:t xml:space="preserve">, </w:t>
      </w:r>
      <w:r>
        <w:t>Article Number: d6898</w:t>
      </w:r>
      <w:r>
        <w:rPr>
          <w:rFonts w:hint="eastAsia"/>
        </w:rPr>
        <w:t>.</w:t>
      </w:r>
    </w:p>
    <w:p w:rsidR="00971EB4" w:rsidRDefault="00971EB4" w:rsidP="00971EB4">
      <w:pPr>
        <w:pStyle w:val="a3"/>
      </w:pPr>
      <w:r>
        <w:t>Full Text:</w:t>
      </w:r>
      <w:r w:rsidRPr="00FC7835">
        <w:t xml:space="preserve"> </w:t>
      </w:r>
      <w:r w:rsidRPr="001326AA">
        <w:t xml:space="preserve">2011\Bri Med J343, </w:t>
      </w:r>
      <w:r>
        <w:t>d6898</w:t>
      </w:r>
      <w:r w:rsidRPr="001326AA">
        <w:t>.pdf</w:t>
      </w:r>
    </w:p>
    <w:p w:rsidR="00971EB4" w:rsidRDefault="00971EB4" w:rsidP="00971EB4">
      <w:pPr>
        <w:pStyle w:val="a3"/>
        <w:rPr>
          <w:kern w:val="0"/>
        </w:rPr>
      </w:pPr>
      <w:r>
        <w:rPr>
          <w:kern w:val="0"/>
        </w:rPr>
        <w:lastRenderedPageBreak/>
        <w:t>Abstract: Objective To assess</w:t>
      </w:r>
      <w:r w:rsidR="003A1917">
        <w:rPr>
          <w:kern w:val="0"/>
        </w:rPr>
        <w:t xml:space="preserve"> the </w:t>
      </w:r>
      <w:r>
        <w:rPr>
          <w:kern w:val="0"/>
        </w:rPr>
        <w:t>effect</w:t>
      </w:r>
      <w:r w:rsidR="00427468">
        <w:rPr>
          <w:kern w:val="0"/>
        </w:rPr>
        <w:t xml:space="preserve"> of </w:t>
      </w:r>
      <w:r>
        <w:rPr>
          <w:kern w:val="0"/>
        </w:rPr>
        <w:t>targeting intensive glycaemic control versus conventional glycaemic control on all cause mortality</w:t>
      </w:r>
      <w:r w:rsidR="005853A9">
        <w:rPr>
          <w:kern w:val="0"/>
        </w:rPr>
        <w:t xml:space="preserve"> and </w:t>
      </w:r>
      <w:r>
        <w:rPr>
          <w:kern w:val="0"/>
        </w:rPr>
        <w:t>cardiovascular mortality, non-fatal myocardial infarction, microvascular complications,</w:t>
      </w:r>
      <w:r w:rsidR="005853A9">
        <w:rPr>
          <w:kern w:val="0"/>
        </w:rPr>
        <w:t xml:space="preserve"> and </w:t>
      </w:r>
      <w:r>
        <w:rPr>
          <w:kern w:val="0"/>
        </w:rPr>
        <w:t>severe hypoglycaemia in patients with type 2 diabetes. Design Systematic review with meta-analyses</w:t>
      </w:r>
      <w:r w:rsidR="005853A9">
        <w:rPr>
          <w:kern w:val="0"/>
        </w:rPr>
        <w:t xml:space="preserve"> and </w:t>
      </w:r>
      <w:r>
        <w:rPr>
          <w:kern w:val="0"/>
        </w:rPr>
        <w:t>trial sequential analyses</w:t>
      </w:r>
      <w:r w:rsidR="00427468">
        <w:rPr>
          <w:kern w:val="0"/>
        </w:rPr>
        <w:t xml:space="preserve"> of </w:t>
      </w:r>
      <w:r>
        <w:rPr>
          <w:kern w:val="0"/>
        </w:rPr>
        <w:t xml:space="preserve">randomised trials. Data sources Cochrane Library, </w:t>
      </w:r>
      <w:r w:rsidR="00D5664A">
        <w:rPr>
          <w:kern w:val="0"/>
        </w:rPr>
        <w:t>MEDLINE</w:t>
      </w:r>
      <w:r>
        <w:rPr>
          <w:kern w:val="0"/>
        </w:rPr>
        <w:t>, Embase, Science Citation Index Expanded, LILACS,</w:t>
      </w:r>
      <w:r w:rsidR="005853A9">
        <w:rPr>
          <w:kern w:val="0"/>
        </w:rPr>
        <w:t xml:space="preserve"> and </w:t>
      </w:r>
      <w:r>
        <w:rPr>
          <w:kern w:val="0"/>
        </w:rPr>
        <w:t>CINAHL to December 2010; hand search</w:t>
      </w:r>
      <w:r w:rsidR="00427468">
        <w:rPr>
          <w:kern w:val="0"/>
        </w:rPr>
        <w:t xml:space="preserve"> of </w:t>
      </w:r>
      <w:r>
        <w:rPr>
          <w:kern w:val="0"/>
        </w:rPr>
        <w:t>reference lists</w:t>
      </w:r>
      <w:r w:rsidR="005853A9">
        <w:rPr>
          <w:kern w:val="0"/>
        </w:rPr>
        <w:t xml:space="preserve"> and </w:t>
      </w:r>
      <w:r>
        <w:rPr>
          <w:kern w:val="0"/>
        </w:rPr>
        <w:t>conference proceedings; contacts with authors, relevant pharmaceutical companies,</w:t>
      </w:r>
      <w:r w:rsidR="005853A9">
        <w:rPr>
          <w:kern w:val="0"/>
        </w:rPr>
        <w:t xml:space="preserve"> and </w:t>
      </w:r>
      <w:r w:rsidR="003A1917">
        <w:rPr>
          <w:kern w:val="0"/>
        </w:rPr>
        <w:t xml:space="preserve">the </w:t>
      </w:r>
      <w:r>
        <w:rPr>
          <w:kern w:val="0"/>
        </w:rPr>
        <w:t>US Food</w:t>
      </w:r>
      <w:r w:rsidR="005853A9">
        <w:rPr>
          <w:kern w:val="0"/>
        </w:rPr>
        <w:t xml:space="preserve"> and </w:t>
      </w:r>
      <w:r>
        <w:rPr>
          <w:kern w:val="0"/>
        </w:rPr>
        <w:t>Drug Administration. Study selection Randomised clinical trials comparing targeted intensive glycaemic control with conventional glycaemic control in patients with type 2 diabetes. Published</w:t>
      </w:r>
      <w:r w:rsidR="005853A9">
        <w:rPr>
          <w:kern w:val="0"/>
        </w:rPr>
        <w:t xml:space="preserve"> and </w:t>
      </w:r>
      <w:r>
        <w:rPr>
          <w:kern w:val="0"/>
        </w:rPr>
        <w:t>unpublished trials in all languages were included, irrespective</w:t>
      </w:r>
      <w:r w:rsidR="00427468">
        <w:rPr>
          <w:kern w:val="0"/>
        </w:rPr>
        <w:t xml:space="preserve"> of </w:t>
      </w:r>
      <w:r>
        <w:rPr>
          <w:kern w:val="0"/>
        </w:rPr>
        <w:t>predefined outcomes. Data extraction Two reviewers independently assessed studies for inclusion</w:t>
      </w:r>
      <w:r w:rsidR="005853A9">
        <w:rPr>
          <w:kern w:val="0"/>
        </w:rPr>
        <w:t xml:space="preserve"> and </w:t>
      </w:r>
      <w:r>
        <w:rPr>
          <w:kern w:val="0"/>
        </w:rPr>
        <w:t>extracted data related to study methods, interventions, outcomes, risk</w:t>
      </w:r>
      <w:r w:rsidR="00427468">
        <w:rPr>
          <w:kern w:val="0"/>
        </w:rPr>
        <w:t xml:space="preserve"> of </w:t>
      </w:r>
      <w:r>
        <w:rPr>
          <w:kern w:val="0"/>
        </w:rPr>
        <w:t>bias,</w:t>
      </w:r>
      <w:r w:rsidR="005853A9">
        <w:rPr>
          <w:kern w:val="0"/>
        </w:rPr>
        <w:t xml:space="preserve"> and </w:t>
      </w:r>
      <w:r>
        <w:rPr>
          <w:kern w:val="0"/>
        </w:rPr>
        <w:t>adverse events. Risk ratios with 95% confidence intervals were estimated with fixed</w:t>
      </w:r>
      <w:r w:rsidR="005853A9">
        <w:rPr>
          <w:kern w:val="0"/>
        </w:rPr>
        <w:t xml:space="preserve"> and </w:t>
      </w:r>
      <w:r>
        <w:rPr>
          <w:kern w:val="0"/>
        </w:rPr>
        <w:t>random effects models. Results Fourteen clinical trials that randomised 28 614 participants with type 2 diabetes (15 269 to intensive control</w:t>
      </w:r>
      <w:r w:rsidR="005853A9">
        <w:rPr>
          <w:kern w:val="0"/>
        </w:rPr>
        <w:t xml:space="preserve"> and </w:t>
      </w:r>
      <w:r>
        <w:rPr>
          <w:kern w:val="0"/>
        </w:rPr>
        <w:t>13 345 to conventional control) were included. Intensive glycaemic control did not significantly affect</w:t>
      </w:r>
      <w:r w:rsidR="003A1917">
        <w:rPr>
          <w:kern w:val="0"/>
        </w:rPr>
        <w:t xml:space="preserve"> the </w:t>
      </w:r>
      <w:r>
        <w:rPr>
          <w:kern w:val="0"/>
        </w:rPr>
        <w:t>relative risks</w:t>
      </w:r>
      <w:r w:rsidR="00427468">
        <w:rPr>
          <w:kern w:val="0"/>
        </w:rPr>
        <w:t xml:space="preserve"> of </w:t>
      </w:r>
      <w:r>
        <w:rPr>
          <w:kern w:val="0"/>
        </w:rPr>
        <w:t>all cause (1.02, 95% confidence interval 0.91 to 1.13; 28 359 participants, 12 trials) or cardiovascular mortality (1.11, 0.92 to 1.35; 28 359 participants, 12 trials). Trial sequential analyses rejected a relative risk reduction above 10% for all cause mortality</w:t>
      </w:r>
      <w:r w:rsidR="005853A9">
        <w:rPr>
          <w:kern w:val="0"/>
        </w:rPr>
        <w:t xml:space="preserve"> and </w:t>
      </w:r>
      <w:r>
        <w:rPr>
          <w:kern w:val="0"/>
        </w:rPr>
        <w:t>showed insufficient data on cardiovascular mortality</w:t>
      </w:r>
      <w:r w:rsidR="00A37C1D">
        <w:rPr>
          <w:kern w:val="0"/>
        </w:rPr>
        <w:t>. The</w:t>
      </w:r>
      <w:r w:rsidR="003A1917">
        <w:rPr>
          <w:kern w:val="0"/>
        </w:rPr>
        <w:t xml:space="preserve"> </w:t>
      </w:r>
      <w:r>
        <w:rPr>
          <w:kern w:val="0"/>
        </w:rPr>
        <w:t>risk</w:t>
      </w:r>
      <w:r w:rsidR="00427468">
        <w:rPr>
          <w:kern w:val="0"/>
        </w:rPr>
        <w:t xml:space="preserve"> of </w:t>
      </w:r>
      <w:r>
        <w:rPr>
          <w:kern w:val="0"/>
        </w:rPr>
        <w:t>non-fatal myocardial infarction may be reduced (relative risk 0.85, 0.76 to 0.95; P=0.004; 28 111 participants, 8 trials), but this finding was not confirmed in trial sequential analysis. Intensive glycaemic control showed a reduction</w:t>
      </w:r>
      <w:r w:rsidR="00427468">
        <w:rPr>
          <w:kern w:val="0"/>
        </w:rPr>
        <w:t xml:space="preserve"> of </w:t>
      </w:r>
      <w:r w:rsidR="003A1917">
        <w:rPr>
          <w:kern w:val="0"/>
        </w:rPr>
        <w:t xml:space="preserve">the </w:t>
      </w:r>
      <w:r>
        <w:rPr>
          <w:kern w:val="0"/>
        </w:rPr>
        <w:t>relative risks for</w:t>
      </w:r>
      <w:r w:rsidR="003A1917">
        <w:rPr>
          <w:kern w:val="0"/>
        </w:rPr>
        <w:t xml:space="preserve"> the </w:t>
      </w:r>
      <w:r>
        <w:rPr>
          <w:kern w:val="0"/>
        </w:rPr>
        <w:t>composite microvascular outcome (0.88, 0.79 to 0.97; P=0.01; 25 600 participants, 3 trials)</w:t>
      </w:r>
      <w:r w:rsidR="005853A9">
        <w:rPr>
          <w:kern w:val="0"/>
        </w:rPr>
        <w:t xml:space="preserve"> and </w:t>
      </w:r>
      <w:r>
        <w:rPr>
          <w:kern w:val="0"/>
        </w:rPr>
        <w:t>retinopathy (0.80, 0.67 to 0.94; P=0.009; 10 793 participants, 7 trials), but trial sequential analyses showed that sufficient evidence had not yet been reached</w:t>
      </w:r>
      <w:r w:rsidR="00A37C1D">
        <w:rPr>
          <w:kern w:val="0"/>
        </w:rPr>
        <w:t>. The</w:t>
      </w:r>
      <w:r w:rsidR="003A1917">
        <w:rPr>
          <w:kern w:val="0"/>
        </w:rPr>
        <w:t xml:space="preserve"> </w:t>
      </w:r>
      <w:r>
        <w:rPr>
          <w:kern w:val="0"/>
        </w:rPr>
        <w:t>estimate</w:t>
      </w:r>
      <w:r w:rsidR="00427468">
        <w:rPr>
          <w:kern w:val="0"/>
        </w:rPr>
        <w:t xml:space="preserve"> of </w:t>
      </w:r>
      <w:r>
        <w:rPr>
          <w:kern w:val="0"/>
        </w:rPr>
        <w:t>an effect on</w:t>
      </w:r>
      <w:r w:rsidR="003A1917">
        <w:rPr>
          <w:kern w:val="0"/>
        </w:rPr>
        <w:t xml:space="preserve"> the </w:t>
      </w:r>
      <w:r>
        <w:rPr>
          <w:kern w:val="0"/>
        </w:rPr>
        <w:t>risk</w:t>
      </w:r>
      <w:r w:rsidR="00427468">
        <w:rPr>
          <w:kern w:val="0"/>
        </w:rPr>
        <w:t xml:space="preserve"> of </w:t>
      </w:r>
      <w:r>
        <w:rPr>
          <w:kern w:val="0"/>
        </w:rPr>
        <w:t>nephropathy (relative risk 0.83, 0.64 to 1.06; 27 769 participants, 8 trials) was not statistically significant</w:t>
      </w:r>
      <w:r w:rsidR="00A37C1D">
        <w:rPr>
          <w:kern w:val="0"/>
        </w:rPr>
        <w:t>. The</w:t>
      </w:r>
      <w:r w:rsidR="003A1917">
        <w:rPr>
          <w:kern w:val="0"/>
        </w:rPr>
        <w:t xml:space="preserve"> </w:t>
      </w:r>
      <w:r>
        <w:rPr>
          <w:kern w:val="0"/>
        </w:rPr>
        <w:t>risk</w:t>
      </w:r>
      <w:r w:rsidR="00427468">
        <w:rPr>
          <w:kern w:val="0"/>
        </w:rPr>
        <w:t xml:space="preserve"> of </w:t>
      </w:r>
      <w:r>
        <w:rPr>
          <w:kern w:val="0"/>
        </w:rPr>
        <w:t>severe hypoglycaemia was significantly increased when intensive glycaemic control was targeted (relative risk 2.39, 1.71 to 3.34; 27 844 participants, 9 trials); trial sequential analysis supported a 30% increased relative risk</w:t>
      </w:r>
      <w:r w:rsidR="00427468">
        <w:rPr>
          <w:kern w:val="0"/>
        </w:rPr>
        <w:t xml:space="preserve"> of </w:t>
      </w:r>
      <w:r>
        <w:rPr>
          <w:kern w:val="0"/>
        </w:rPr>
        <w:t>severe hypoglycaemia. Conclusion Intensive glycaemic control does not seem to reduce all cause mortality in patients with type 2 diabetes. Data available from randomised clinical trials remain insufficient to prove or refute a relative risk reduction for cardiovascular mortality, non-fatal myocardial infarction, composite microvascular complications, or retinopathy at a magnitude</w:t>
      </w:r>
      <w:r w:rsidR="00427468">
        <w:rPr>
          <w:kern w:val="0"/>
        </w:rPr>
        <w:t xml:space="preserve"> of </w:t>
      </w:r>
      <w:r>
        <w:rPr>
          <w:kern w:val="0"/>
        </w:rPr>
        <w:t>10%. Intensive glycaemic control increases</w:t>
      </w:r>
      <w:r w:rsidR="003A1917">
        <w:rPr>
          <w:kern w:val="0"/>
        </w:rPr>
        <w:t xml:space="preserve"> the </w:t>
      </w:r>
      <w:r>
        <w:rPr>
          <w:kern w:val="0"/>
        </w:rPr>
        <w:t>relative risk</w:t>
      </w:r>
      <w:r w:rsidR="00427468">
        <w:rPr>
          <w:kern w:val="0"/>
        </w:rPr>
        <w:t xml:space="preserve"> of </w:t>
      </w:r>
      <w:r>
        <w:rPr>
          <w:kern w:val="0"/>
        </w:rPr>
        <w:t>severe hypoglycaemia by 30%.</w:t>
      </w:r>
    </w:p>
    <w:p w:rsidR="00971EB4" w:rsidRDefault="00971EB4" w:rsidP="00971EB4">
      <w:pPr>
        <w:pStyle w:val="a3"/>
        <w:rPr>
          <w:kern w:val="0"/>
        </w:rPr>
      </w:pPr>
      <w:r>
        <w:rPr>
          <w:kern w:val="0"/>
        </w:rPr>
        <w:lastRenderedPageBreak/>
        <w:t xml:space="preserve">Keywords: 10-Year Follow-Up, Acute Coronary Events, Acute Myocardial-Infarction, Administration, Adverse Events, Analysis, Authors, Bias, Blood-Glucose Control, Cardiovascular, Citation, Clinical Trials, Cochrane, Complications, Confidence Intervals, Control, Cost-Effectiveness, Diabetes, Extraction, Feasibility Trial, Glycated Hemoglobin, Hand, Hypoglycaemia, Insulin Therapy, Intensive, Interventions, </w:t>
      </w:r>
      <w:r w:rsidR="00D5664A">
        <w:rPr>
          <w:kern w:val="0"/>
        </w:rPr>
        <w:t>MEDLINE</w:t>
      </w:r>
      <w:r>
        <w:rPr>
          <w:kern w:val="0"/>
        </w:rPr>
        <w:t>, Meta Analysis, Meta-Analysis, Metabolic-Control, Mortality, Multifactorial Intervention, Myocardial Infarction, Outcome, Outcomes, Patients, Pharmaceutical Companies, Reduction, Relative Risk, Review, Risk, Risk Reduction, Science, Science Citation Index, Systematic, Systematic Review, Type 2, Type 2 Diabetes, US</w:t>
      </w:r>
    </w:p>
    <w:p w:rsidR="00FE0B89" w:rsidRDefault="00FE0B89" w:rsidP="00FE0B89">
      <w:pPr>
        <w:pStyle w:val="a3"/>
        <w:rPr>
          <w:kern w:val="0"/>
        </w:rPr>
      </w:pPr>
      <w:r>
        <w:rPr>
          <w:rFonts w:hint="eastAsia"/>
          <w:kern w:val="0"/>
          <w:szCs w:val="24"/>
        </w:rPr>
        <w:t xml:space="preserve">? </w:t>
      </w:r>
      <w:r>
        <w:rPr>
          <w:kern w:val="0"/>
          <w:szCs w:val="24"/>
        </w:rPr>
        <w:t>Wilson, A., Gallos, I.D., Plana, N., Lissauer, D., Khan, K.S., Zamora, J., MacArthur, C.</w:t>
      </w:r>
      <w:r w:rsidR="005853A9">
        <w:rPr>
          <w:kern w:val="0"/>
          <w:szCs w:val="24"/>
        </w:rPr>
        <w:t xml:space="preserve"> and </w:t>
      </w:r>
      <w:r>
        <w:rPr>
          <w:kern w:val="0"/>
          <w:szCs w:val="24"/>
        </w:rPr>
        <w:t>Coomarasamy, A. (2011), Effectiveness</w:t>
      </w:r>
      <w:r w:rsidR="00427468">
        <w:rPr>
          <w:kern w:val="0"/>
          <w:szCs w:val="24"/>
        </w:rPr>
        <w:t xml:space="preserve"> of </w:t>
      </w:r>
      <w:r>
        <w:rPr>
          <w:kern w:val="0"/>
          <w:szCs w:val="24"/>
        </w:rPr>
        <w:t>strategies incorporating training</w:t>
      </w:r>
      <w:r w:rsidR="005853A9">
        <w:rPr>
          <w:kern w:val="0"/>
          <w:szCs w:val="24"/>
        </w:rPr>
        <w:t xml:space="preserve"> and </w:t>
      </w:r>
      <w:r>
        <w:rPr>
          <w:kern w:val="0"/>
          <w:szCs w:val="24"/>
        </w:rPr>
        <w:t>support</w:t>
      </w:r>
      <w:r w:rsidR="00427468">
        <w:rPr>
          <w:kern w:val="0"/>
          <w:szCs w:val="24"/>
        </w:rPr>
        <w:t xml:space="preserve"> of </w:t>
      </w:r>
      <w:r>
        <w:rPr>
          <w:kern w:val="0"/>
          <w:szCs w:val="24"/>
        </w:rPr>
        <w:t>traditional birth attendants on perinatal</w:t>
      </w:r>
      <w:r w:rsidR="005853A9">
        <w:rPr>
          <w:kern w:val="0"/>
          <w:szCs w:val="24"/>
        </w:rPr>
        <w:t xml:space="preserve"> and </w:t>
      </w:r>
      <w:r>
        <w:rPr>
          <w:kern w:val="0"/>
          <w:szCs w:val="24"/>
        </w:rPr>
        <w:t xml:space="preserve">maternal mortality: Meta-analysis. </w:t>
      </w:r>
      <w:r>
        <w:rPr>
          <w:i/>
          <w:iCs/>
          <w:kern w:val="0"/>
          <w:szCs w:val="24"/>
        </w:rPr>
        <w:t>British Medical Journal</w:t>
      </w:r>
      <w:r>
        <w:rPr>
          <w:kern w:val="0"/>
          <w:szCs w:val="24"/>
        </w:rPr>
        <w:t xml:space="preserve">, </w:t>
      </w:r>
      <w:r>
        <w:rPr>
          <w:b/>
          <w:bCs/>
          <w:kern w:val="0"/>
          <w:szCs w:val="24"/>
        </w:rPr>
        <w:t>343</w:t>
      </w:r>
      <w:r>
        <w:rPr>
          <w:rFonts w:hint="eastAsia"/>
          <w:kern w:val="0"/>
        </w:rPr>
        <w:t xml:space="preserve">, </w:t>
      </w:r>
      <w:r>
        <w:t>Article Number: d7102</w:t>
      </w:r>
      <w:r>
        <w:rPr>
          <w:rFonts w:hint="eastAsia"/>
        </w:rPr>
        <w:t>.</w:t>
      </w:r>
    </w:p>
    <w:p w:rsidR="00FE0B89" w:rsidRDefault="00FE0B89" w:rsidP="00FE0B89">
      <w:pPr>
        <w:pStyle w:val="a3"/>
      </w:pPr>
      <w:r>
        <w:t>Full Text:</w:t>
      </w:r>
      <w:r w:rsidRPr="00FC7835">
        <w:t xml:space="preserve"> </w:t>
      </w:r>
      <w:hyperlink r:id="rId2075" w:history="1">
        <w:r w:rsidR="00BF4D40" w:rsidRPr="00BF4D40">
          <w:rPr>
            <w:rStyle w:val="a5"/>
          </w:rPr>
          <w:t>2011\Bri Med J343, d7102.pdf</w:t>
        </w:r>
      </w:hyperlink>
    </w:p>
    <w:p w:rsidR="00FE0B89" w:rsidRDefault="00FE0B89" w:rsidP="00FE0B89">
      <w:pPr>
        <w:pStyle w:val="a3"/>
        <w:rPr>
          <w:kern w:val="0"/>
          <w:szCs w:val="24"/>
        </w:rPr>
      </w:pPr>
      <w:r>
        <w:rPr>
          <w:kern w:val="0"/>
          <w:szCs w:val="24"/>
        </w:rPr>
        <w:t>Abstract: Objective To assess</w:t>
      </w:r>
      <w:r w:rsidR="003A1917">
        <w:rPr>
          <w:kern w:val="0"/>
          <w:szCs w:val="24"/>
        </w:rPr>
        <w:t xml:space="preserve"> the </w:t>
      </w:r>
      <w:r>
        <w:rPr>
          <w:kern w:val="0"/>
          <w:szCs w:val="24"/>
        </w:rPr>
        <w:t>effectiveness</w:t>
      </w:r>
      <w:r w:rsidR="00427468">
        <w:rPr>
          <w:kern w:val="0"/>
          <w:szCs w:val="24"/>
        </w:rPr>
        <w:t xml:space="preserve"> of </w:t>
      </w:r>
      <w:r>
        <w:rPr>
          <w:kern w:val="0"/>
          <w:szCs w:val="24"/>
        </w:rPr>
        <w:t>strategies incorporating training</w:t>
      </w:r>
      <w:r w:rsidR="005853A9">
        <w:rPr>
          <w:kern w:val="0"/>
          <w:szCs w:val="24"/>
        </w:rPr>
        <w:t xml:space="preserve"> and </w:t>
      </w:r>
      <w:r>
        <w:rPr>
          <w:kern w:val="0"/>
          <w:szCs w:val="24"/>
        </w:rPr>
        <w:t>support</w:t>
      </w:r>
      <w:r w:rsidR="00427468">
        <w:rPr>
          <w:kern w:val="0"/>
          <w:szCs w:val="24"/>
        </w:rPr>
        <w:t xml:space="preserve"> of </w:t>
      </w:r>
      <w:r>
        <w:rPr>
          <w:kern w:val="0"/>
          <w:szCs w:val="24"/>
        </w:rPr>
        <w:t>traditional birth attendants on</w:t>
      </w:r>
      <w:r w:rsidR="003A1917">
        <w:rPr>
          <w:kern w:val="0"/>
          <w:szCs w:val="24"/>
        </w:rPr>
        <w:t xml:space="preserve"> the </w:t>
      </w:r>
      <w:r>
        <w:rPr>
          <w:kern w:val="0"/>
          <w:szCs w:val="24"/>
        </w:rPr>
        <w:t>outcomes</w:t>
      </w:r>
      <w:r w:rsidR="00427468">
        <w:rPr>
          <w:kern w:val="0"/>
          <w:szCs w:val="24"/>
        </w:rPr>
        <w:t xml:space="preserve"> of </w:t>
      </w:r>
      <w:r>
        <w:rPr>
          <w:kern w:val="0"/>
          <w:szCs w:val="24"/>
        </w:rPr>
        <w:t>perinatal, neonatal,</w:t>
      </w:r>
      <w:r w:rsidR="005853A9">
        <w:rPr>
          <w:kern w:val="0"/>
          <w:szCs w:val="24"/>
        </w:rPr>
        <w:t xml:space="preserve"> and </w:t>
      </w:r>
      <w:r>
        <w:rPr>
          <w:kern w:val="0"/>
          <w:szCs w:val="24"/>
        </w:rPr>
        <w:t xml:space="preserve">maternal death in developing countries. Design Systematic review with meta-analysis. Data sources </w:t>
      </w:r>
      <w:r w:rsidR="00D5664A">
        <w:rPr>
          <w:kern w:val="0"/>
          <w:szCs w:val="24"/>
        </w:rPr>
        <w:t>MEDLINE</w:t>
      </w:r>
      <w:r>
        <w:rPr>
          <w:kern w:val="0"/>
          <w:szCs w:val="24"/>
        </w:rPr>
        <w:t>, Embase,</w:t>
      </w:r>
      <w:r w:rsidR="003A1917">
        <w:rPr>
          <w:kern w:val="0"/>
          <w:szCs w:val="24"/>
        </w:rPr>
        <w:t xml:space="preserve"> the </w:t>
      </w:r>
      <w:r>
        <w:rPr>
          <w:kern w:val="0"/>
          <w:szCs w:val="24"/>
        </w:rPr>
        <w:t>Allied</w:t>
      </w:r>
      <w:r w:rsidR="005853A9">
        <w:rPr>
          <w:kern w:val="0"/>
          <w:szCs w:val="24"/>
        </w:rPr>
        <w:t xml:space="preserve"> and </w:t>
      </w:r>
      <w:r>
        <w:rPr>
          <w:kern w:val="0"/>
          <w:szCs w:val="24"/>
        </w:rPr>
        <w:t>Complementary Medicine database, British Nursing Index, Cochrane Library, Cumulative Index to Nursing</w:t>
      </w:r>
      <w:r w:rsidR="005853A9">
        <w:rPr>
          <w:kern w:val="0"/>
          <w:szCs w:val="24"/>
        </w:rPr>
        <w:t xml:space="preserve"> and </w:t>
      </w:r>
      <w:r>
        <w:rPr>
          <w:kern w:val="0"/>
          <w:szCs w:val="24"/>
        </w:rPr>
        <w:t>Allied Health Literature, BioMed Central, PsycINFO, Latin American</w:t>
      </w:r>
      <w:r w:rsidR="005853A9">
        <w:rPr>
          <w:kern w:val="0"/>
          <w:szCs w:val="24"/>
        </w:rPr>
        <w:t xml:space="preserve"> and </w:t>
      </w:r>
      <w:r>
        <w:rPr>
          <w:kern w:val="0"/>
          <w:szCs w:val="24"/>
        </w:rPr>
        <w:t xml:space="preserve">Caribbean Health Sciences Literature database, African Index Medicus, </w:t>
      </w:r>
      <w:r w:rsidR="00D5664A">
        <w:rPr>
          <w:kern w:val="0"/>
          <w:szCs w:val="24"/>
        </w:rPr>
        <w:t>Web</w:t>
      </w:r>
      <w:r w:rsidR="00427468">
        <w:rPr>
          <w:kern w:val="0"/>
          <w:szCs w:val="24"/>
        </w:rPr>
        <w:t xml:space="preserve"> of </w:t>
      </w:r>
      <w:r w:rsidR="00D5664A">
        <w:rPr>
          <w:kern w:val="0"/>
          <w:szCs w:val="24"/>
        </w:rPr>
        <w:t>Science</w:t>
      </w:r>
      <w:r>
        <w:rPr>
          <w:kern w:val="0"/>
          <w:szCs w:val="24"/>
        </w:rPr>
        <w:t>, Reproductive Health Library,</w:t>
      </w:r>
      <w:r w:rsidR="005853A9">
        <w:rPr>
          <w:kern w:val="0"/>
          <w:szCs w:val="24"/>
        </w:rPr>
        <w:t xml:space="preserve"> and </w:t>
      </w:r>
      <w:r>
        <w:rPr>
          <w:kern w:val="0"/>
          <w:szCs w:val="24"/>
        </w:rPr>
        <w:t xml:space="preserve">Science Citation Index (from inception to April 2011), without language restrictions. Search terms were </w:t>
      </w:r>
      <w:r w:rsidR="00B5188C">
        <w:rPr>
          <w:kern w:val="0"/>
          <w:szCs w:val="24"/>
        </w:rPr>
        <w:t>“</w:t>
      </w:r>
      <w:r>
        <w:rPr>
          <w:kern w:val="0"/>
          <w:szCs w:val="24"/>
        </w:rPr>
        <w:t>birth attend*</w:t>
      </w:r>
      <w:r w:rsidR="00B5188C">
        <w:rPr>
          <w:kern w:val="0"/>
          <w:szCs w:val="24"/>
        </w:rPr>
        <w:t>”</w:t>
      </w:r>
      <w:r>
        <w:rPr>
          <w:kern w:val="0"/>
          <w:szCs w:val="24"/>
        </w:rPr>
        <w:t xml:space="preserve">, </w:t>
      </w:r>
      <w:r w:rsidR="00B5188C">
        <w:rPr>
          <w:kern w:val="0"/>
          <w:szCs w:val="24"/>
        </w:rPr>
        <w:t>“</w:t>
      </w:r>
      <w:r>
        <w:rPr>
          <w:kern w:val="0"/>
          <w:szCs w:val="24"/>
        </w:rPr>
        <w:t>traditional midwife</w:t>
      </w:r>
      <w:r w:rsidR="00B5188C">
        <w:rPr>
          <w:kern w:val="0"/>
          <w:szCs w:val="24"/>
        </w:rPr>
        <w:t>”</w:t>
      </w:r>
      <w:r>
        <w:rPr>
          <w:kern w:val="0"/>
          <w:szCs w:val="24"/>
        </w:rPr>
        <w:t xml:space="preserve">, </w:t>
      </w:r>
      <w:r w:rsidR="00B5188C">
        <w:rPr>
          <w:kern w:val="0"/>
          <w:szCs w:val="24"/>
        </w:rPr>
        <w:t>“</w:t>
      </w:r>
      <w:r>
        <w:rPr>
          <w:kern w:val="0"/>
          <w:szCs w:val="24"/>
        </w:rPr>
        <w:t>lay birth attendant</w:t>
      </w:r>
      <w:r w:rsidR="00B5188C">
        <w:rPr>
          <w:kern w:val="0"/>
          <w:szCs w:val="24"/>
        </w:rPr>
        <w:t>”</w:t>
      </w:r>
      <w:r>
        <w:rPr>
          <w:kern w:val="0"/>
          <w:szCs w:val="24"/>
        </w:rPr>
        <w:t xml:space="preserve">, </w:t>
      </w:r>
      <w:r w:rsidR="00B5188C">
        <w:rPr>
          <w:kern w:val="0"/>
          <w:szCs w:val="24"/>
        </w:rPr>
        <w:t>“</w:t>
      </w:r>
      <w:r>
        <w:rPr>
          <w:kern w:val="0"/>
          <w:szCs w:val="24"/>
        </w:rPr>
        <w:t>dais</w:t>
      </w:r>
      <w:r w:rsidR="00B5188C">
        <w:rPr>
          <w:kern w:val="0"/>
          <w:szCs w:val="24"/>
        </w:rPr>
        <w:t>”</w:t>
      </w:r>
      <w:r>
        <w:rPr>
          <w:kern w:val="0"/>
          <w:szCs w:val="24"/>
        </w:rPr>
        <w:t>,</w:t>
      </w:r>
      <w:r w:rsidR="005853A9">
        <w:rPr>
          <w:kern w:val="0"/>
          <w:szCs w:val="24"/>
        </w:rPr>
        <w:t xml:space="preserve"> and </w:t>
      </w:r>
      <w:r w:rsidR="00B5188C">
        <w:rPr>
          <w:kern w:val="0"/>
          <w:szCs w:val="24"/>
        </w:rPr>
        <w:t>“</w:t>
      </w:r>
      <w:r>
        <w:rPr>
          <w:kern w:val="0"/>
          <w:szCs w:val="24"/>
        </w:rPr>
        <w:t>comadronas</w:t>
      </w:r>
      <w:r w:rsidR="00B5188C">
        <w:rPr>
          <w:kern w:val="0"/>
          <w:szCs w:val="24"/>
        </w:rPr>
        <w:t>”</w:t>
      </w:r>
      <w:r>
        <w:rPr>
          <w:kern w:val="0"/>
          <w:szCs w:val="24"/>
        </w:rPr>
        <w:t>. Review methods We selected randomised</w:t>
      </w:r>
      <w:r w:rsidR="005853A9">
        <w:rPr>
          <w:kern w:val="0"/>
          <w:szCs w:val="24"/>
        </w:rPr>
        <w:t xml:space="preserve"> and </w:t>
      </w:r>
      <w:r>
        <w:rPr>
          <w:kern w:val="0"/>
          <w:szCs w:val="24"/>
        </w:rPr>
        <w:t>non-randomised controlled studies with outcomes</w:t>
      </w:r>
      <w:r w:rsidR="00427468">
        <w:rPr>
          <w:kern w:val="0"/>
          <w:szCs w:val="24"/>
        </w:rPr>
        <w:t xml:space="preserve"> of </w:t>
      </w:r>
      <w:r>
        <w:rPr>
          <w:kern w:val="0"/>
          <w:szCs w:val="24"/>
        </w:rPr>
        <w:t>perinatal, neonatal,</w:t>
      </w:r>
      <w:r w:rsidR="005853A9">
        <w:rPr>
          <w:kern w:val="0"/>
          <w:szCs w:val="24"/>
        </w:rPr>
        <w:t xml:space="preserve"> and </w:t>
      </w:r>
      <w:r>
        <w:rPr>
          <w:kern w:val="0"/>
          <w:szCs w:val="24"/>
        </w:rPr>
        <w:t>maternal mortality. Two independent reviewers undertook data extraction. We pooled relative risks separately for</w:t>
      </w:r>
      <w:r w:rsidR="003A1917">
        <w:rPr>
          <w:kern w:val="0"/>
          <w:szCs w:val="24"/>
        </w:rPr>
        <w:t xml:space="preserve"> the </w:t>
      </w:r>
      <w:r>
        <w:rPr>
          <w:kern w:val="0"/>
          <w:szCs w:val="24"/>
        </w:rPr>
        <w:t>randomised</w:t>
      </w:r>
      <w:r w:rsidR="005853A9">
        <w:rPr>
          <w:kern w:val="0"/>
          <w:szCs w:val="24"/>
        </w:rPr>
        <w:t xml:space="preserve"> and </w:t>
      </w:r>
      <w:r>
        <w:rPr>
          <w:kern w:val="0"/>
          <w:szCs w:val="24"/>
        </w:rPr>
        <w:t>non-randomised controlled studies, using a random effects model. Results We identified six cluster randomised controlled trials (n=138 549)</w:t>
      </w:r>
      <w:r w:rsidR="005853A9">
        <w:rPr>
          <w:kern w:val="0"/>
          <w:szCs w:val="24"/>
        </w:rPr>
        <w:t xml:space="preserve"> and </w:t>
      </w:r>
      <w:r>
        <w:rPr>
          <w:kern w:val="0"/>
          <w:szCs w:val="24"/>
        </w:rPr>
        <w:t>seven non-randomised controlled studies (n=72 225) that investigated strategies incorporating training</w:t>
      </w:r>
      <w:r w:rsidR="005853A9">
        <w:rPr>
          <w:kern w:val="0"/>
          <w:szCs w:val="24"/>
        </w:rPr>
        <w:t xml:space="preserve"> and </w:t>
      </w:r>
      <w:r>
        <w:rPr>
          <w:kern w:val="0"/>
          <w:szCs w:val="24"/>
        </w:rPr>
        <w:t>support</w:t>
      </w:r>
      <w:r w:rsidR="00427468">
        <w:rPr>
          <w:kern w:val="0"/>
          <w:szCs w:val="24"/>
        </w:rPr>
        <w:t xml:space="preserve"> of </w:t>
      </w:r>
      <w:r>
        <w:rPr>
          <w:kern w:val="0"/>
          <w:szCs w:val="24"/>
        </w:rPr>
        <w:t>traditional birth attendants. All six randomised controlled trials found a reduction in adverse perinatal outcomes; our meta-analysis showed significant reductions in perinatal death (relative risk 0.76, 95% confidence interval 0.64 to 0.88, P&lt;0.001; number needed to treat 35, 24 to 70)</w:t>
      </w:r>
      <w:r w:rsidR="005853A9">
        <w:rPr>
          <w:kern w:val="0"/>
          <w:szCs w:val="24"/>
        </w:rPr>
        <w:t xml:space="preserve"> and </w:t>
      </w:r>
      <w:r>
        <w:rPr>
          <w:kern w:val="0"/>
          <w:szCs w:val="24"/>
        </w:rPr>
        <w:t>neonatal death (0.79, 0.69 to 0.88, P&lt;0.001; 98, 66 to 170). Meta-analysis</w:t>
      </w:r>
      <w:r w:rsidR="00427468">
        <w:rPr>
          <w:kern w:val="0"/>
          <w:szCs w:val="24"/>
        </w:rPr>
        <w:t xml:space="preserve"> of </w:t>
      </w:r>
      <w:r w:rsidR="003A1917">
        <w:rPr>
          <w:kern w:val="0"/>
          <w:szCs w:val="24"/>
        </w:rPr>
        <w:t xml:space="preserve">the </w:t>
      </w:r>
      <w:r>
        <w:rPr>
          <w:kern w:val="0"/>
          <w:szCs w:val="24"/>
        </w:rPr>
        <w:t>non-randomised studies also showed a significant reduction in perinatal mortality (0.70, 0.57 to 0.84, p&lt;0.001; 48, 32 to 96)</w:t>
      </w:r>
      <w:r w:rsidR="005853A9">
        <w:rPr>
          <w:kern w:val="0"/>
          <w:szCs w:val="24"/>
        </w:rPr>
        <w:t xml:space="preserve"> and </w:t>
      </w:r>
      <w:r>
        <w:rPr>
          <w:kern w:val="0"/>
          <w:szCs w:val="24"/>
        </w:rPr>
        <w:t>neonatal mortality (0.61, 0.48 to 0.75, P&lt;0.001; 96, 65 to 168). Six studies reported on maternal mortality</w:t>
      </w:r>
      <w:r w:rsidR="005853A9">
        <w:rPr>
          <w:kern w:val="0"/>
          <w:szCs w:val="24"/>
        </w:rPr>
        <w:t xml:space="preserve"> and </w:t>
      </w:r>
      <w:r>
        <w:rPr>
          <w:kern w:val="0"/>
          <w:szCs w:val="24"/>
        </w:rPr>
        <w:t xml:space="preserve">our </w:t>
      </w:r>
      <w:r>
        <w:rPr>
          <w:kern w:val="0"/>
          <w:szCs w:val="24"/>
        </w:rPr>
        <w:lastRenderedPageBreak/>
        <w:t>meta-analysis showed a non-significant reduction (three randomised trials, relative risk 0.79, 0.53 to 1.05, P=0.12; three non-randomised studies, 0.80, 0.44 to 1.15, P=0.26). Conclusion Perinatal</w:t>
      </w:r>
      <w:r w:rsidR="005853A9">
        <w:rPr>
          <w:kern w:val="0"/>
          <w:szCs w:val="24"/>
        </w:rPr>
        <w:t xml:space="preserve"> and </w:t>
      </w:r>
      <w:r>
        <w:rPr>
          <w:kern w:val="0"/>
          <w:szCs w:val="24"/>
        </w:rPr>
        <w:t>neonatal deaths are significantly reduced with strategies incorporating training</w:t>
      </w:r>
      <w:r w:rsidR="005853A9">
        <w:rPr>
          <w:kern w:val="0"/>
          <w:szCs w:val="24"/>
        </w:rPr>
        <w:t xml:space="preserve"> and </w:t>
      </w:r>
      <w:r>
        <w:rPr>
          <w:kern w:val="0"/>
          <w:szCs w:val="24"/>
        </w:rPr>
        <w:t>support</w:t>
      </w:r>
      <w:r w:rsidR="00427468">
        <w:rPr>
          <w:kern w:val="0"/>
          <w:szCs w:val="24"/>
        </w:rPr>
        <w:t xml:space="preserve"> of </w:t>
      </w:r>
      <w:r>
        <w:rPr>
          <w:kern w:val="0"/>
          <w:szCs w:val="24"/>
        </w:rPr>
        <w:t>traditional birth attendants.</w:t>
      </w:r>
    </w:p>
    <w:p w:rsidR="00FE0B89" w:rsidRDefault="00FE0B89" w:rsidP="00FE0B89">
      <w:pPr>
        <w:pStyle w:val="a3"/>
        <w:rPr>
          <w:kern w:val="0"/>
          <w:szCs w:val="24"/>
        </w:rPr>
      </w:pPr>
      <w:r>
        <w:rPr>
          <w:kern w:val="0"/>
          <w:szCs w:val="24"/>
        </w:rPr>
        <w:t xml:space="preserve">Keywords: Bangladesh, Care, Citation, Cochrane, Controlled Studies, Developing Countries, Effectiveness, Extraction, Health, Impact, Latin American, Literature, Maternal Mortality, </w:t>
      </w:r>
      <w:r w:rsidR="00D5664A">
        <w:rPr>
          <w:kern w:val="0"/>
          <w:szCs w:val="24"/>
        </w:rPr>
        <w:t>MEDLINE</w:t>
      </w:r>
      <w:r>
        <w:rPr>
          <w:kern w:val="0"/>
          <w:szCs w:val="24"/>
        </w:rPr>
        <w:t xml:space="preserve">, Meta Analysis, Meta-Analysis, Model, Mortality, Neonatal-Mortality, Nursing, Outcomes, Pakistan, Perinatal, Reduction, Relative Risk, Review, Risk, Science, Science Citation Index, Sciences, Service, Systematic, Systematic Review, Traditional, Training, Trial, </w:t>
      </w:r>
      <w:r w:rsidR="00D5664A">
        <w:rPr>
          <w:kern w:val="0"/>
          <w:szCs w:val="24"/>
        </w:rPr>
        <w:t>Web</w:t>
      </w:r>
      <w:r w:rsidR="00427468">
        <w:rPr>
          <w:kern w:val="0"/>
          <w:szCs w:val="24"/>
        </w:rPr>
        <w:t xml:space="preserve"> of </w:t>
      </w:r>
      <w:r w:rsidR="00D5664A">
        <w:rPr>
          <w:kern w:val="0"/>
          <w:szCs w:val="24"/>
        </w:rPr>
        <w:t>Science</w:t>
      </w:r>
    </w:p>
    <w:p w:rsidR="009D6D81" w:rsidRDefault="009D6D81" w:rsidP="009D6D81">
      <w:pPr>
        <w:pStyle w:val="a3"/>
        <w:rPr>
          <w:kern w:val="0"/>
        </w:rPr>
      </w:pPr>
      <w:r>
        <w:rPr>
          <w:rFonts w:hint="eastAsia"/>
          <w:kern w:val="0"/>
        </w:rPr>
        <w:t xml:space="preserve">? </w:t>
      </w:r>
      <w:r>
        <w:rPr>
          <w:kern w:val="0"/>
        </w:rPr>
        <w:t>Vilsboll, T., Christensen, M., Junker, A.E., Knop, F.K.</w:t>
      </w:r>
      <w:r w:rsidR="005853A9">
        <w:rPr>
          <w:kern w:val="0"/>
        </w:rPr>
        <w:t xml:space="preserve"> and </w:t>
      </w:r>
      <w:r>
        <w:rPr>
          <w:kern w:val="0"/>
        </w:rPr>
        <w:t>Gluud, L.L. (2012), Effects</w:t>
      </w:r>
      <w:r w:rsidR="00427468">
        <w:rPr>
          <w:kern w:val="0"/>
        </w:rPr>
        <w:t xml:space="preserve"> of </w:t>
      </w:r>
      <w:r>
        <w:rPr>
          <w:kern w:val="0"/>
        </w:rPr>
        <w:t>glucagon-like peptide-1 receptor agonists on weight loss: Systematic review</w:t>
      </w:r>
      <w:r w:rsidR="005853A9">
        <w:rPr>
          <w:kern w:val="0"/>
        </w:rPr>
        <w:t xml:space="preserve"> and </w:t>
      </w:r>
      <w:r>
        <w:rPr>
          <w:kern w:val="0"/>
        </w:rPr>
        <w:t>meta-analyses</w:t>
      </w:r>
      <w:r w:rsidR="00427468">
        <w:rPr>
          <w:kern w:val="0"/>
        </w:rPr>
        <w:t xml:space="preserve"> of </w:t>
      </w:r>
      <w:r>
        <w:rPr>
          <w:kern w:val="0"/>
        </w:rPr>
        <w:t xml:space="preserve">randomised controlled trials. </w:t>
      </w:r>
      <w:r>
        <w:rPr>
          <w:i/>
          <w:iCs/>
          <w:kern w:val="0"/>
        </w:rPr>
        <w:t>British Medical Journal</w:t>
      </w:r>
      <w:r>
        <w:rPr>
          <w:kern w:val="0"/>
        </w:rPr>
        <w:t xml:space="preserve">, </w:t>
      </w:r>
      <w:r>
        <w:rPr>
          <w:b/>
          <w:bCs/>
          <w:kern w:val="0"/>
        </w:rPr>
        <w:t>344</w:t>
      </w:r>
      <w:r>
        <w:rPr>
          <w:rFonts w:hint="eastAsia"/>
          <w:kern w:val="0"/>
        </w:rPr>
        <w:t xml:space="preserve">, </w:t>
      </w:r>
      <w:r>
        <w:t>Article Number: d7771</w:t>
      </w:r>
      <w:r>
        <w:rPr>
          <w:rFonts w:hint="eastAsia"/>
        </w:rPr>
        <w:t>.</w:t>
      </w:r>
    </w:p>
    <w:p w:rsidR="009C1109" w:rsidRDefault="009C1109" w:rsidP="009C1109">
      <w:pPr>
        <w:pStyle w:val="a3"/>
      </w:pPr>
      <w:r>
        <w:t>Full Text:</w:t>
      </w:r>
      <w:r w:rsidRPr="00FC7835">
        <w:t xml:space="preserve"> </w:t>
      </w:r>
      <w:hyperlink r:id="rId2076" w:history="1">
        <w:r w:rsidRPr="005B39F8">
          <w:rPr>
            <w:rStyle w:val="a5"/>
          </w:rPr>
          <w:t>2012\Bri Med J343, d7771.pdf</w:t>
        </w:r>
      </w:hyperlink>
    </w:p>
    <w:p w:rsidR="009D6D81" w:rsidRDefault="009D6D81" w:rsidP="009D6D81">
      <w:pPr>
        <w:pStyle w:val="a3"/>
        <w:rPr>
          <w:kern w:val="0"/>
        </w:rPr>
      </w:pPr>
      <w:r>
        <w:rPr>
          <w:kern w:val="0"/>
        </w:rPr>
        <w:t>Abstract: Objective To determine whether treatment with agonists</w:t>
      </w:r>
      <w:r w:rsidR="00427468">
        <w:rPr>
          <w:kern w:val="0"/>
        </w:rPr>
        <w:t xml:space="preserve"> of </w:t>
      </w:r>
      <w:r>
        <w:rPr>
          <w:kern w:val="0"/>
        </w:rPr>
        <w:t xml:space="preserve">glucagon-like peptide-1 receptor (GLP-1R) result in weight loss in overweight or obese patients with or without type 2 diabetes mellitus. Design Systematic review with meta-analyses. Data sources Electronic searches (Cochrane Library, </w:t>
      </w:r>
      <w:r w:rsidR="00D5664A">
        <w:rPr>
          <w:kern w:val="0"/>
        </w:rPr>
        <w:t>MEDLINE</w:t>
      </w:r>
      <w:r>
        <w:rPr>
          <w:kern w:val="0"/>
        </w:rPr>
        <w:t>, Embase,</w:t>
      </w:r>
      <w:r w:rsidR="005853A9">
        <w:rPr>
          <w:kern w:val="0"/>
        </w:rPr>
        <w:t xml:space="preserve"> and </w:t>
      </w:r>
      <w:r w:rsidR="00D5664A">
        <w:rPr>
          <w:kern w:val="0"/>
        </w:rPr>
        <w:t>Web</w:t>
      </w:r>
      <w:r w:rsidR="00427468">
        <w:rPr>
          <w:kern w:val="0"/>
        </w:rPr>
        <w:t xml:space="preserve"> of </w:t>
      </w:r>
      <w:r w:rsidR="00D5664A">
        <w:rPr>
          <w:kern w:val="0"/>
        </w:rPr>
        <w:t>Science</w:t>
      </w:r>
      <w:r>
        <w:rPr>
          <w:kern w:val="0"/>
        </w:rPr>
        <w:t>)</w:t>
      </w:r>
      <w:r w:rsidR="005853A9">
        <w:rPr>
          <w:kern w:val="0"/>
        </w:rPr>
        <w:t xml:space="preserve"> and </w:t>
      </w:r>
      <w:r>
        <w:rPr>
          <w:kern w:val="0"/>
        </w:rPr>
        <w:t>manual searches (up to May 2011). Review methods Randomised controlled trials</w:t>
      </w:r>
      <w:r w:rsidR="00427468">
        <w:rPr>
          <w:kern w:val="0"/>
        </w:rPr>
        <w:t xml:space="preserve"> of </w:t>
      </w:r>
      <w:r>
        <w:rPr>
          <w:kern w:val="0"/>
        </w:rPr>
        <w:t>adult participants with a body mass index</w:t>
      </w:r>
      <w:r w:rsidR="00427468">
        <w:rPr>
          <w:kern w:val="0"/>
        </w:rPr>
        <w:t xml:space="preserve"> of </w:t>
      </w:r>
      <w:r>
        <w:rPr>
          <w:kern w:val="0"/>
        </w:rPr>
        <w:t>25 or higher; with or without type 2 diabetes mellitus;</w:t>
      </w:r>
      <w:r w:rsidR="005853A9">
        <w:rPr>
          <w:kern w:val="0"/>
        </w:rPr>
        <w:t xml:space="preserve"> and </w:t>
      </w:r>
      <w:r>
        <w:rPr>
          <w:kern w:val="0"/>
        </w:rPr>
        <w:t>who received exenatide twice daily, exenatide once weekly, or liraglutide once daily at clinically relevant doses for at least 20 weeks. Control interventions assessed were placebo, oral antidiabetic drugs, or insulin. Data extraction Three authors independently extracted data. We used random effects models for</w:t>
      </w:r>
      <w:r w:rsidR="003A1917">
        <w:rPr>
          <w:kern w:val="0"/>
        </w:rPr>
        <w:t xml:space="preserve"> the </w:t>
      </w:r>
      <w:r>
        <w:rPr>
          <w:kern w:val="0"/>
        </w:rPr>
        <w:t>primary meta-analyses. We also did subgroup, sensitivity, regression,</w:t>
      </w:r>
      <w:r w:rsidR="005853A9">
        <w:rPr>
          <w:kern w:val="0"/>
        </w:rPr>
        <w:t xml:space="preserve"> and </w:t>
      </w:r>
      <w:r>
        <w:rPr>
          <w:kern w:val="0"/>
        </w:rPr>
        <w:t>sequential analyses to evaluate sources</w:t>
      </w:r>
      <w:r w:rsidR="00427468">
        <w:rPr>
          <w:kern w:val="0"/>
        </w:rPr>
        <w:t xml:space="preserve"> of </w:t>
      </w:r>
      <w:r>
        <w:rPr>
          <w:kern w:val="0"/>
        </w:rPr>
        <w:t>intertrial heterogeneity, bias,</w:t>
      </w:r>
      <w:r w:rsidR="005853A9">
        <w:rPr>
          <w:kern w:val="0"/>
        </w:rPr>
        <w:t xml:space="preserve"> and </w:t>
      </w:r>
      <w:r w:rsidR="003A1917">
        <w:rPr>
          <w:kern w:val="0"/>
        </w:rPr>
        <w:t xml:space="preserve">the </w:t>
      </w:r>
      <w:r>
        <w:rPr>
          <w:kern w:val="0"/>
        </w:rPr>
        <w:t>robustness</w:t>
      </w:r>
      <w:r w:rsidR="00427468">
        <w:rPr>
          <w:kern w:val="0"/>
        </w:rPr>
        <w:t xml:space="preserve"> of </w:t>
      </w:r>
      <w:r>
        <w:rPr>
          <w:kern w:val="0"/>
        </w:rPr>
        <w:t>results after adjusting for multiple testing</w:t>
      </w:r>
      <w:r w:rsidR="005853A9">
        <w:rPr>
          <w:kern w:val="0"/>
        </w:rPr>
        <w:t xml:space="preserve"> and </w:t>
      </w:r>
      <w:r>
        <w:rPr>
          <w:kern w:val="0"/>
        </w:rPr>
        <w:t>random errors. Results 25 trials were included in</w:t>
      </w:r>
      <w:r w:rsidR="003A1917">
        <w:rPr>
          <w:kern w:val="0"/>
        </w:rPr>
        <w:t xml:space="preserve"> the </w:t>
      </w:r>
      <w:r>
        <w:rPr>
          <w:kern w:val="0"/>
        </w:rPr>
        <w:t>analysis. GLP-1R agonist groups achieved a greater weight loss than control groups (weighted mean difference -2.9 kg, 95% confidence interval -3.6 to -2.2; 21 trials, 6411 participants). We found evidence</w:t>
      </w:r>
      <w:r w:rsidR="00427468">
        <w:rPr>
          <w:kern w:val="0"/>
        </w:rPr>
        <w:t xml:space="preserve"> of </w:t>
      </w:r>
      <w:r>
        <w:rPr>
          <w:kern w:val="0"/>
        </w:rPr>
        <w:t>intertrial heterogeneity, but no evidence</w:t>
      </w:r>
      <w:r w:rsidR="00427468">
        <w:rPr>
          <w:kern w:val="0"/>
        </w:rPr>
        <w:t xml:space="preserve"> of </w:t>
      </w:r>
      <w:r>
        <w:rPr>
          <w:kern w:val="0"/>
        </w:rPr>
        <w:t>bias or small study effects in regression analyses</w:t>
      </w:r>
      <w:r w:rsidR="00A37C1D">
        <w:rPr>
          <w:kern w:val="0"/>
        </w:rPr>
        <w:t>. The</w:t>
      </w:r>
      <w:r w:rsidR="003A1917">
        <w:rPr>
          <w:kern w:val="0"/>
        </w:rPr>
        <w:t xml:space="preserve"> </w:t>
      </w:r>
      <w:r>
        <w:rPr>
          <w:kern w:val="0"/>
        </w:rPr>
        <w:t>results were confirmed in sequential analyses. We recorded weight loss in</w:t>
      </w:r>
      <w:r w:rsidR="003A1917">
        <w:rPr>
          <w:kern w:val="0"/>
        </w:rPr>
        <w:t xml:space="preserve"> the </w:t>
      </w:r>
      <w:r>
        <w:rPr>
          <w:kern w:val="0"/>
        </w:rPr>
        <w:t>GLP-1R agonist groups for patients without diabetes (-3.2 kg, -4.3 to -2.1; three trials) as well as patients with diabetes (-2.8 kg, -3.4 to -2.3; 18 trials). In</w:t>
      </w:r>
      <w:r w:rsidR="003A1917">
        <w:rPr>
          <w:kern w:val="0"/>
        </w:rPr>
        <w:t xml:space="preserve"> the </w:t>
      </w:r>
      <w:r>
        <w:rPr>
          <w:kern w:val="0"/>
        </w:rPr>
        <w:t>overall analysis, GLP-1R agonists had beneficial effects on systolic</w:t>
      </w:r>
      <w:r w:rsidR="005853A9">
        <w:rPr>
          <w:kern w:val="0"/>
        </w:rPr>
        <w:t xml:space="preserve"> and </w:t>
      </w:r>
      <w:r>
        <w:rPr>
          <w:kern w:val="0"/>
        </w:rPr>
        <w:t>diastolic blood pressure, plasma concentrations</w:t>
      </w:r>
      <w:r w:rsidR="00427468">
        <w:rPr>
          <w:kern w:val="0"/>
        </w:rPr>
        <w:t xml:space="preserve"> of </w:t>
      </w:r>
      <w:r>
        <w:rPr>
          <w:kern w:val="0"/>
        </w:rPr>
        <w:t>cholesterol,</w:t>
      </w:r>
      <w:r w:rsidR="005853A9">
        <w:rPr>
          <w:kern w:val="0"/>
        </w:rPr>
        <w:t xml:space="preserve"> and </w:t>
      </w:r>
      <w:r>
        <w:rPr>
          <w:kern w:val="0"/>
        </w:rPr>
        <w:t>glycaemic control, but did not have a significant effect on plasma concentrations</w:t>
      </w:r>
      <w:r w:rsidR="00427468">
        <w:rPr>
          <w:kern w:val="0"/>
        </w:rPr>
        <w:t xml:space="preserve"> of </w:t>
      </w:r>
      <w:r>
        <w:rPr>
          <w:kern w:val="0"/>
        </w:rPr>
        <w:t>liver enzymes. GLP-1R agonists were associated with nausea, diarrhoea,</w:t>
      </w:r>
      <w:r w:rsidR="005853A9">
        <w:rPr>
          <w:kern w:val="0"/>
        </w:rPr>
        <w:t xml:space="preserve"> and </w:t>
      </w:r>
      <w:r>
        <w:rPr>
          <w:kern w:val="0"/>
        </w:rPr>
        <w:lastRenderedPageBreak/>
        <w:t>vomiting, but not with hypoglycaemia. Conclusions</w:t>
      </w:r>
      <w:r w:rsidR="003A1917">
        <w:rPr>
          <w:kern w:val="0"/>
        </w:rPr>
        <w:t xml:space="preserve"> the </w:t>
      </w:r>
      <w:r>
        <w:rPr>
          <w:kern w:val="0"/>
        </w:rPr>
        <w:t>present review provides evidence that treatment with GLP-1R agonists leads to weight loss in overweight or obese patients with or without type 2 diabetes mellitus.</w:t>
      </w:r>
    </w:p>
    <w:p w:rsidR="009D6D81" w:rsidRDefault="009D6D81" w:rsidP="009D6D81">
      <w:pPr>
        <w:pStyle w:val="a3"/>
        <w:rPr>
          <w:kern w:val="0"/>
        </w:rPr>
      </w:pPr>
      <w:r>
        <w:rPr>
          <w:kern w:val="0"/>
        </w:rPr>
        <w:t xml:space="preserve">Keywords: Adult, Analysis, Authors, Beta-Cell Function, Bias, Biphasic Insulin Aspart, Blood, Blood Pressure, Body Mass Index, Cholesterol, Clinical-Trials, Cochrane, Control, Control Groups, Diabetes, Diabetes Mellitus, Drugs, Exenatide, Exenatide Exendin-4, Extraction, Glucagon-Like Peptide-1, Glycemic Control, Hypoglycaemia, Insulin, Interventions, </w:t>
      </w:r>
      <w:r w:rsidR="00D5664A">
        <w:rPr>
          <w:kern w:val="0"/>
        </w:rPr>
        <w:t>MEDLINE</w:t>
      </w:r>
      <w:r>
        <w:rPr>
          <w:kern w:val="0"/>
        </w:rPr>
        <w:t xml:space="preserve">, Metformin, Multiple Testing, Non-Inferiority, Open-Label Trial, Oral, Overweight, Parallel-Group, Patients, Plasma, Pressure, Primary, Review, Robustness, Science, Sensitivity, Systematic, Systematic Review, Treatment, Type 2, Type 2 Diabetes, Type 2 Diabetes Mellitus, Type-2 Diabetes-Mellitus, </w:t>
      </w:r>
      <w:r w:rsidR="00D5664A">
        <w:rPr>
          <w:kern w:val="0"/>
        </w:rPr>
        <w:t>Web</w:t>
      </w:r>
      <w:r w:rsidR="00427468">
        <w:rPr>
          <w:kern w:val="0"/>
        </w:rPr>
        <w:t xml:space="preserve"> of </w:t>
      </w:r>
      <w:r w:rsidR="00D5664A">
        <w:rPr>
          <w:kern w:val="0"/>
        </w:rPr>
        <w:t>Science</w:t>
      </w:r>
      <w:r>
        <w:rPr>
          <w:kern w:val="0"/>
        </w:rPr>
        <w:t xml:space="preserve">, </w:t>
      </w:r>
      <w:r w:rsidR="00D5664A">
        <w:rPr>
          <w:kern w:val="0"/>
        </w:rPr>
        <w:t>Web-of-Science</w:t>
      </w:r>
      <w:r>
        <w:rPr>
          <w:kern w:val="0"/>
        </w:rPr>
        <w:t>, Weight Loss</w:t>
      </w:r>
    </w:p>
    <w:p w:rsidR="00BA3B3F" w:rsidRDefault="00BA3B3F" w:rsidP="00BA3B3F">
      <w:pPr>
        <w:pStyle w:val="a3"/>
        <w:rPr>
          <w:kern w:val="0"/>
        </w:rPr>
      </w:pPr>
      <w:r>
        <w:rPr>
          <w:rFonts w:hint="eastAsia"/>
          <w:kern w:val="0"/>
        </w:rPr>
        <w:t>? Masset, E., Haddad, L., Cornelius, A.</w:t>
      </w:r>
      <w:r w:rsidR="005853A9">
        <w:rPr>
          <w:rFonts w:hint="eastAsia"/>
          <w:kern w:val="0"/>
        </w:rPr>
        <w:t xml:space="preserve"> and </w:t>
      </w:r>
      <w:r>
        <w:rPr>
          <w:rFonts w:hint="eastAsia"/>
          <w:kern w:val="0"/>
        </w:rPr>
        <w:t>Isaza-Castro, J. (2012), Effectiveness</w:t>
      </w:r>
      <w:r w:rsidR="00427468">
        <w:rPr>
          <w:rFonts w:hint="eastAsia"/>
          <w:kern w:val="0"/>
        </w:rPr>
        <w:t xml:space="preserve"> of </w:t>
      </w:r>
      <w:r>
        <w:rPr>
          <w:rFonts w:hint="eastAsia"/>
          <w:kern w:val="0"/>
        </w:rPr>
        <w:t>agricultural interventions that aim to improve nutritional status</w:t>
      </w:r>
      <w:r w:rsidR="00427468">
        <w:rPr>
          <w:rFonts w:hint="eastAsia"/>
          <w:kern w:val="0"/>
        </w:rPr>
        <w:t xml:space="preserve"> of </w:t>
      </w:r>
      <w:r>
        <w:rPr>
          <w:rFonts w:hint="eastAsia"/>
          <w:kern w:val="0"/>
        </w:rPr>
        <w:t xml:space="preserve">children: </w:t>
      </w:r>
      <w:r>
        <w:rPr>
          <w:kern w:val="0"/>
        </w:rPr>
        <w:t xml:space="preserve">Systematic </w:t>
      </w:r>
      <w:r>
        <w:rPr>
          <w:rFonts w:hint="eastAsia"/>
          <w:kern w:val="0"/>
        </w:rPr>
        <w:t xml:space="preserve">review. </w:t>
      </w:r>
      <w:r>
        <w:rPr>
          <w:rFonts w:hint="eastAsia"/>
          <w:i/>
          <w:iCs/>
          <w:kern w:val="0"/>
        </w:rPr>
        <w:t>British Medical Journal</w:t>
      </w:r>
      <w:r>
        <w:rPr>
          <w:rFonts w:hint="eastAsia"/>
          <w:kern w:val="0"/>
        </w:rPr>
        <w:t xml:space="preserve">, </w:t>
      </w:r>
      <w:r>
        <w:rPr>
          <w:rFonts w:hint="eastAsia"/>
          <w:b/>
          <w:bCs/>
          <w:kern w:val="0"/>
        </w:rPr>
        <w:t>344</w:t>
      </w:r>
      <w:r>
        <w:rPr>
          <w:rFonts w:hint="eastAsia"/>
          <w:kern w:val="0"/>
        </w:rPr>
        <w:t xml:space="preserve">, </w:t>
      </w:r>
      <w:r>
        <w:rPr>
          <w:rFonts w:hint="eastAsia"/>
        </w:rPr>
        <w:t>Article Number: d8222.</w:t>
      </w:r>
    </w:p>
    <w:p w:rsidR="00BA3B3F" w:rsidRDefault="00BA3B3F" w:rsidP="00BA3B3F">
      <w:pPr>
        <w:pStyle w:val="a3"/>
      </w:pPr>
      <w:r>
        <w:rPr>
          <w:rFonts w:hint="eastAsia"/>
        </w:rPr>
        <w:t xml:space="preserve">Full Text: </w:t>
      </w:r>
      <w:hyperlink r:id="rId2077" w:history="1">
        <w:r w:rsidR="00552D87" w:rsidRPr="00552D87">
          <w:rPr>
            <w:rStyle w:val="a5"/>
          </w:rPr>
          <w:t>2012\Bri Med J344, d8222.pdf</w:t>
        </w:r>
      </w:hyperlink>
    </w:p>
    <w:p w:rsidR="00BA3B3F" w:rsidRDefault="00BA3B3F" w:rsidP="00BA3B3F">
      <w:pPr>
        <w:pStyle w:val="a3"/>
        <w:rPr>
          <w:kern w:val="0"/>
        </w:rPr>
      </w:pPr>
      <w:r>
        <w:rPr>
          <w:rFonts w:hint="eastAsia"/>
          <w:kern w:val="0"/>
        </w:rPr>
        <w:t>Abstract: Objective To assess</w:t>
      </w:r>
      <w:r w:rsidR="003A1917">
        <w:rPr>
          <w:rFonts w:hint="eastAsia"/>
          <w:kern w:val="0"/>
        </w:rPr>
        <w:t xml:space="preserve"> the </w:t>
      </w:r>
      <w:r>
        <w:rPr>
          <w:rFonts w:hint="eastAsia"/>
          <w:kern w:val="0"/>
        </w:rPr>
        <w:t>effectiveness</w:t>
      </w:r>
      <w:r w:rsidR="00427468">
        <w:rPr>
          <w:rFonts w:hint="eastAsia"/>
          <w:kern w:val="0"/>
        </w:rPr>
        <w:t xml:space="preserve"> of </w:t>
      </w:r>
      <w:r>
        <w:rPr>
          <w:rFonts w:hint="eastAsia"/>
          <w:kern w:val="0"/>
        </w:rPr>
        <w:t>agricultural interventions in improving</w:t>
      </w:r>
      <w:r w:rsidR="003A1917">
        <w:rPr>
          <w:rFonts w:hint="eastAsia"/>
          <w:kern w:val="0"/>
        </w:rPr>
        <w:t xml:space="preserve"> the </w:t>
      </w:r>
      <w:r>
        <w:rPr>
          <w:rFonts w:hint="eastAsia"/>
          <w:kern w:val="0"/>
        </w:rPr>
        <w:t>nutritional status</w:t>
      </w:r>
      <w:r w:rsidR="00427468">
        <w:rPr>
          <w:rFonts w:hint="eastAsia"/>
          <w:kern w:val="0"/>
        </w:rPr>
        <w:t xml:space="preserve"> of </w:t>
      </w:r>
      <w:r>
        <w:rPr>
          <w:rFonts w:hint="eastAsia"/>
          <w:kern w:val="0"/>
        </w:rPr>
        <w:t>children in developing countries. Design Systematic review. Data sources Published</w:t>
      </w:r>
      <w:r w:rsidR="005853A9">
        <w:rPr>
          <w:rFonts w:hint="eastAsia"/>
          <w:kern w:val="0"/>
        </w:rPr>
        <w:t xml:space="preserve"> and </w:t>
      </w:r>
      <w:r>
        <w:rPr>
          <w:rFonts w:hint="eastAsia"/>
          <w:kern w:val="0"/>
        </w:rPr>
        <w:t xml:space="preserve">unpublished reports (after 1990) in English identified by searching 10 databases (Agris, Econlit, Eldis, IBSS, IDEAS, IFPRI, Jolis, PubMed, </w:t>
      </w:r>
      <w:r w:rsidR="00D5664A">
        <w:rPr>
          <w:rFonts w:hint="eastAsia"/>
          <w:kern w:val="0"/>
        </w:rPr>
        <w:t>Web</w:t>
      </w:r>
      <w:r w:rsidR="00427468">
        <w:rPr>
          <w:rFonts w:hint="eastAsia"/>
          <w:kern w:val="0"/>
        </w:rPr>
        <w:t xml:space="preserve"> of </w:t>
      </w:r>
      <w:r w:rsidR="00D5664A">
        <w:rPr>
          <w:rFonts w:hint="eastAsia"/>
          <w:kern w:val="0"/>
        </w:rPr>
        <w:t>Science</w:t>
      </w:r>
      <w:r>
        <w:rPr>
          <w:rFonts w:hint="eastAsia"/>
          <w:kern w:val="0"/>
        </w:rPr>
        <w:t>,</w:t>
      </w:r>
      <w:r w:rsidR="005853A9">
        <w:rPr>
          <w:rFonts w:hint="eastAsia"/>
          <w:kern w:val="0"/>
        </w:rPr>
        <w:t xml:space="preserve"> and </w:t>
      </w:r>
      <w:r>
        <w:rPr>
          <w:rFonts w:hint="eastAsia"/>
          <w:kern w:val="0"/>
        </w:rPr>
        <w:t>World Bank), websites, previous systematic reviews,</w:t>
      </w:r>
      <w:r w:rsidR="005853A9">
        <w:rPr>
          <w:rFonts w:hint="eastAsia"/>
          <w:kern w:val="0"/>
        </w:rPr>
        <w:t xml:space="preserve"> and </w:t>
      </w:r>
      <w:r>
        <w:rPr>
          <w:rFonts w:hint="eastAsia"/>
          <w:kern w:val="0"/>
        </w:rPr>
        <w:t>reference lists</w:t>
      </w:r>
      <w:r w:rsidR="005853A9">
        <w:rPr>
          <w:rFonts w:hint="eastAsia"/>
          <w:kern w:val="0"/>
        </w:rPr>
        <w:t xml:space="preserve"> and </w:t>
      </w:r>
      <w:r>
        <w:rPr>
          <w:rFonts w:hint="eastAsia"/>
          <w:kern w:val="0"/>
        </w:rPr>
        <w:t>by contacting experts. Study selection Included studies assessed effects</w:t>
      </w:r>
      <w:r w:rsidR="00427468">
        <w:rPr>
          <w:rFonts w:hint="eastAsia"/>
          <w:kern w:val="0"/>
        </w:rPr>
        <w:t xml:space="preserve"> of </w:t>
      </w:r>
      <w:r>
        <w:rPr>
          <w:rFonts w:hint="eastAsia"/>
          <w:kern w:val="0"/>
        </w:rPr>
        <w:t>agricultural interventions aiming at improving</w:t>
      </w:r>
      <w:r w:rsidR="003A1917">
        <w:rPr>
          <w:rFonts w:hint="eastAsia"/>
          <w:kern w:val="0"/>
        </w:rPr>
        <w:t xml:space="preserve"> the </w:t>
      </w:r>
      <w:r>
        <w:rPr>
          <w:rFonts w:hint="eastAsia"/>
          <w:kern w:val="0"/>
        </w:rPr>
        <w:t>nutritional status</w:t>
      </w:r>
      <w:r w:rsidR="00427468">
        <w:rPr>
          <w:rFonts w:hint="eastAsia"/>
          <w:kern w:val="0"/>
        </w:rPr>
        <w:t xml:space="preserve"> of </w:t>
      </w:r>
      <w:r>
        <w:rPr>
          <w:rFonts w:hint="eastAsia"/>
          <w:kern w:val="0"/>
        </w:rPr>
        <w:t>children (bio-fortification, home gardens, small scale fisheries</w:t>
      </w:r>
      <w:r w:rsidR="005853A9">
        <w:rPr>
          <w:rFonts w:hint="eastAsia"/>
          <w:kern w:val="0"/>
        </w:rPr>
        <w:t xml:space="preserve"> and </w:t>
      </w:r>
      <w:r>
        <w:rPr>
          <w:rFonts w:hint="eastAsia"/>
          <w:kern w:val="0"/>
        </w:rPr>
        <w:t>aquaculture, dairy development,</w:t>
      </w:r>
      <w:r w:rsidR="005853A9">
        <w:rPr>
          <w:rFonts w:hint="eastAsia"/>
          <w:kern w:val="0"/>
        </w:rPr>
        <w:t xml:space="preserve"> and </w:t>
      </w:r>
      <w:r>
        <w:rPr>
          <w:rFonts w:hint="eastAsia"/>
          <w:kern w:val="0"/>
        </w:rPr>
        <w:t>animal husbandry</w:t>
      </w:r>
      <w:r w:rsidR="005853A9">
        <w:rPr>
          <w:rFonts w:hint="eastAsia"/>
          <w:kern w:val="0"/>
        </w:rPr>
        <w:t xml:space="preserve"> and </w:t>
      </w:r>
      <w:r>
        <w:rPr>
          <w:rFonts w:hint="eastAsia"/>
          <w:kern w:val="0"/>
        </w:rPr>
        <w:t>poultry development). Only studies that used a valid counterfactual analysis were included. Before/after studies</w:t>
      </w:r>
      <w:r w:rsidR="005853A9">
        <w:rPr>
          <w:rFonts w:hint="eastAsia"/>
          <w:kern w:val="0"/>
        </w:rPr>
        <w:t xml:space="preserve"> and </w:t>
      </w:r>
      <w:r>
        <w:rPr>
          <w:rFonts w:hint="eastAsia"/>
          <w:kern w:val="0"/>
        </w:rPr>
        <w:t>participants/non-participants comparisons affected by selection bias were excluded. Data analysis Results were analysed for four intermediate outcomes (programme participation, income, dietary diversity,</w:t>
      </w:r>
      <w:r w:rsidR="005853A9">
        <w:rPr>
          <w:rFonts w:hint="eastAsia"/>
          <w:kern w:val="0"/>
        </w:rPr>
        <w:t xml:space="preserve"> and </w:t>
      </w:r>
      <w:r>
        <w:rPr>
          <w:rFonts w:hint="eastAsia"/>
          <w:kern w:val="0"/>
        </w:rPr>
        <w:t>micronutrient intake)</w:t>
      </w:r>
      <w:r w:rsidR="005853A9">
        <w:rPr>
          <w:rFonts w:hint="eastAsia"/>
          <w:kern w:val="0"/>
        </w:rPr>
        <w:t xml:space="preserve"> and </w:t>
      </w:r>
      <w:r>
        <w:rPr>
          <w:rFonts w:hint="eastAsia"/>
          <w:kern w:val="0"/>
        </w:rPr>
        <w:t>one final outcome (prevalence</w:t>
      </w:r>
      <w:r w:rsidR="00427468">
        <w:rPr>
          <w:rFonts w:hint="eastAsia"/>
          <w:kern w:val="0"/>
        </w:rPr>
        <w:t xml:space="preserve"> of </w:t>
      </w:r>
      <w:r>
        <w:rPr>
          <w:rFonts w:hint="eastAsia"/>
          <w:kern w:val="0"/>
        </w:rPr>
        <w:t>under-nutrition). Analysis was by summary tables</w:t>
      </w:r>
      <w:r w:rsidR="00427468">
        <w:rPr>
          <w:rFonts w:hint="eastAsia"/>
          <w:kern w:val="0"/>
        </w:rPr>
        <w:t xml:space="preserve"> of </w:t>
      </w:r>
      <w:r>
        <w:rPr>
          <w:rFonts w:hint="eastAsia"/>
          <w:kern w:val="0"/>
        </w:rPr>
        <w:t>mean effects</w:t>
      </w:r>
      <w:r w:rsidR="005853A9">
        <w:rPr>
          <w:rFonts w:hint="eastAsia"/>
          <w:kern w:val="0"/>
        </w:rPr>
        <w:t xml:space="preserve"> and </w:t>
      </w:r>
      <w:r>
        <w:rPr>
          <w:rFonts w:hint="eastAsia"/>
          <w:kern w:val="0"/>
        </w:rPr>
        <w:t>by meta-analysis (for vitamin A absorption). Results</w:t>
      </w:r>
      <w:r w:rsidR="003A1917">
        <w:rPr>
          <w:rFonts w:hint="eastAsia"/>
          <w:kern w:val="0"/>
        </w:rPr>
        <w:t xml:space="preserve"> the </w:t>
      </w:r>
      <w:r>
        <w:rPr>
          <w:rFonts w:hint="eastAsia"/>
          <w:kern w:val="0"/>
        </w:rPr>
        <w:t>review included 23 studies, mostly evaluating home garden interventions</w:t>
      </w:r>
      <w:r w:rsidR="00A37C1D">
        <w:rPr>
          <w:rFonts w:hint="eastAsia"/>
          <w:kern w:val="0"/>
        </w:rPr>
        <w:t>. The</w:t>
      </w:r>
      <w:r w:rsidR="003A1917">
        <w:rPr>
          <w:rFonts w:hint="eastAsia"/>
          <w:kern w:val="0"/>
        </w:rPr>
        <w:t xml:space="preserve"> </w:t>
      </w:r>
      <w:r>
        <w:rPr>
          <w:rFonts w:hint="eastAsia"/>
          <w:kern w:val="0"/>
        </w:rPr>
        <w:t>studies reviewed did not report participation rates or</w:t>
      </w:r>
      <w:r w:rsidR="003A1917">
        <w:rPr>
          <w:rFonts w:hint="eastAsia"/>
          <w:kern w:val="0"/>
        </w:rPr>
        <w:t xml:space="preserve"> the </w:t>
      </w:r>
      <w:r>
        <w:rPr>
          <w:rFonts w:hint="eastAsia"/>
          <w:kern w:val="0"/>
        </w:rPr>
        <w:t>characteristics</w:t>
      </w:r>
      <w:r w:rsidR="00427468">
        <w:rPr>
          <w:rFonts w:hint="eastAsia"/>
          <w:kern w:val="0"/>
        </w:rPr>
        <w:t xml:space="preserve"> of </w:t>
      </w:r>
      <w:r>
        <w:rPr>
          <w:rFonts w:hint="eastAsia"/>
          <w:kern w:val="0"/>
        </w:rPr>
        <w:t>participants in programmes</w:t>
      </w:r>
      <w:r w:rsidR="00A37C1D">
        <w:rPr>
          <w:rFonts w:hint="eastAsia"/>
          <w:kern w:val="0"/>
        </w:rPr>
        <w:t>. The</w:t>
      </w:r>
      <w:r w:rsidR="003A1917">
        <w:rPr>
          <w:rFonts w:hint="eastAsia"/>
          <w:kern w:val="0"/>
        </w:rPr>
        <w:t xml:space="preserve"> </w:t>
      </w:r>
      <w:r>
        <w:rPr>
          <w:rFonts w:hint="eastAsia"/>
          <w:kern w:val="0"/>
        </w:rPr>
        <w:t>interventions had a positive effect on</w:t>
      </w:r>
      <w:r w:rsidR="003A1917">
        <w:rPr>
          <w:rFonts w:hint="eastAsia"/>
          <w:kern w:val="0"/>
        </w:rPr>
        <w:t xml:space="preserve"> the </w:t>
      </w:r>
      <w:r>
        <w:rPr>
          <w:rFonts w:hint="eastAsia"/>
          <w:kern w:val="0"/>
        </w:rPr>
        <w:t>production</w:t>
      </w:r>
      <w:r w:rsidR="00427468">
        <w:rPr>
          <w:rFonts w:hint="eastAsia"/>
          <w:kern w:val="0"/>
        </w:rPr>
        <w:t xml:space="preserve"> of </w:t>
      </w:r>
      <w:r w:rsidR="003A1917">
        <w:rPr>
          <w:rFonts w:hint="eastAsia"/>
          <w:kern w:val="0"/>
        </w:rPr>
        <w:t xml:space="preserve">the </w:t>
      </w:r>
      <w:r>
        <w:rPr>
          <w:rFonts w:hint="eastAsia"/>
          <w:kern w:val="0"/>
        </w:rPr>
        <w:t>agricultural goods promoted, but not on households</w:t>
      </w:r>
      <w:r w:rsidR="00700038">
        <w:rPr>
          <w:kern w:val="0"/>
        </w:rPr>
        <w:t>’</w:t>
      </w:r>
      <w:r>
        <w:rPr>
          <w:rFonts w:hint="eastAsia"/>
          <w:kern w:val="0"/>
        </w:rPr>
        <w:t xml:space="preserve"> total income</w:t>
      </w:r>
      <w:r w:rsidR="00A37C1D">
        <w:rPr>
          <w:rFonts w:hint="eastAsia"/>
          <w:kern w:val="0"/>
        </w:rPr>
        <w:t>. The</w:t>
      </w:r>
      <w:r w:rsidR="003A1917">
        <w:rPr>
          <w:rFonts w:hint="eastAsia"/>
          <w:kern w:val="0"/>
        </w:rPr>
        <w:t xml:space="preserve"> </w:t>
      </w:r>
      <w:r>
        <w:rPr>
          <w:rFonts w:hint="eastAsia"/>
          <w:kern w:val="0"/>
        </w:rPr>
        <w:t>interventions were successful in promoting</w:t>
      </w:r>
      <w:r w:rsidR="003A1917">
        <w:rPr>
          <w:rFonts w:hint="eastAsia"/>
          <w:kern w:val="0"/>
        </w:rPr>
        <w:t xml:space="preserve"> the </w:t>
      </w:r>
      <w:r>
        <w:rPr>
          <w:rFonts w:hint="eastAsia"/>
          <w:kern w:val="0"/>
        </w:rPr>
        <w:t>consumption</w:t>
      </w:r>
      <w:r w:rsidR="00427468">
        <w:rPr>
          <w:rFonts w:hint="eastAsia"/>
          <w:kern w:val="0"/>
        </w:rPr>
        <w:t xml:space="preserve"> of </w:t>
      </w:r>
      <w:r>
        <w:rPr>
          <w:rFonts w:hint="eastAsia"/>
          <w:kern w:val="0"/>
        </w:rPr>
        <w:t>food rich in protein</w:t>
      </w:r>
      <w:r w:rsidR="005853A9">
        <w:rPr>
          <w:rFonts w:hint="eastAsia"/>
          <w:kern w:val="0"/>
        </w:rPr>
        <w:t xml:space="preserve"> and </w:t>
      </w:r>
      <w:r>
        <w:rPr>
          <w:rFonts w:hint="eastAsia"/>
          <w:kern w:val="0"/>
        </w:rPr>
        <w:t>micronutrients, but</w:t>
      </w:r>
      <w:r w:rsidR="003A1917">
        <w:rPr>
          <w:rFonts w:hint="eastAsia"/>
          <w:kern w:val="0"/>
        </w:rPr>
        <w:t xml:space="preserve"> the </w:t>
      </w:r>
      <w:r>
        <w:rPr>
          <w:rFonts w:hint="eastAsia"/>
          <w:kern w:val="0"/>
        </w:rPr>
        <w:t>effect on</w:t>
      </w:r>
      <w:r w:rsidR="003A1917">
        <w:rPr>
          <w:rFonts w:hint="eastAsia"/>
          <w:kern w:val="0"/>
        </w:rPr>
        <w:t xml:space="preserve"> the </w:t>
      </w:r>
      <w:r>
        <w:rPr>
          <w:rFonts w:hint="eastAsia"/>
          <w:kern w:val="0"/>
        </w:rPr>
        <w:t>overall diet</w:t>
      </w:r>
      <w:r w:rsidR="00427468">
        <w:rPr>
          <w:rFonts w:hint="eastAsia"/>
          <w:kern w:val="0"/>
        </w:rPr>
        <w:t xml:space="preserve"> of </w:t>
      </w:r>
      <w:r>
        <w:rPr>
          <w:rFonts w:hint="eastAsia"/>
          <w:kern w:val="0"/>
        </w:rPr>
        <w:t>poor people remains unclear. No evidence was found</w:t>
      </w:r>
      <w:r w:rsidR="00427468">
        <w:rPr>
          <w:rFonts w:hint="eastAsia"/>
          <w:kern w:val="0"/>
        </w:rPr>
        <w:t xml:space="preserve"> of </w:t>
      </w:r>
      <w:r>
        <w:rPr>
          <w:rFonts w:hint="eastAsia"/>
          <w:kern w:val="0"/>
        </w:rPr>
        <w:t>an effect on</w:t>
      </w:r>
      <w:r w:rsidR="003A1917">
        <w:rPr>
          <w:rFonts w:hint="eastAsia"/>
          <w:kern w:val="0"/>
        </w:rPr>
        <w:t xml:space="preserve"> the </w:t>
      </w:r>
      <w:r>
        <w:rPr>
          <w:rFonts w:hint="eastAsia"/>
          <w:kern w:val="0"/>
        </w:rPr>
        <w:t>absorption</w:t>
      </w:r>
      <w:r w:rsidR="00427468">
        <w:rPr>
          <w:rFonts w:hint="eastAsia"/>
          <w:kern w:val="0"/>
        </w:rPr>
        <w:t xml:space="preserve"> of </w:t>
      </w:r>
      <w:r>
        <w:rPr>
          <w:rFonts w:hint="eastAsia"/>
          <w:kern w:val="0"/>
        </w:rPr>
        <w:t>iron, but some evidence exists</w:t>
      </w:r>
      <w:r w:rsidR="00427468">
        <w:rPr>
          <w:rFonts w:hint="eastAsia"/>
          <w:kern w:val="0"/>
        </w:rPr>
        <w:t xml:space="preserve"> of </w:t>
      </w:r>
      <w:r>
        <w:rPr>
          <w:rFonts w:hint="eastAsia"/>
          <w:kern w:val="0"/>
        </w:rPr>
        <w:t>a positive effect on absorption</w:t>
      </w:r>
      <w:r w:rsidR="00427468">
        <w:rPr>
          <w:rFonts w:hint="eastAsia"/>
          <w:kern w:val="0"/>
        </w:rPr>
        <w:t xml:space="preserve"> of </w:t>
      </w:r>
      <w:r>
        <w:rPr>
          <w:rFonts w:hint="eastAsia"/>
          <w:kern w:val="0"/>
        </w:rPr>
        <w:t xml:space="preserve">vitamin A. Very little </w:t>
      </w:r>
      <w:r>
        <w:rPr>
          <w:rFonts w:hint="eastAsia"/>
          <w:kern w:val="0"/>
        </w:rPr>
        <w:lastRenderedPageBreak/>
        <w:t>evidence was found</w:t>
      </w:r>
      <w:r w:rsidR="00427468">
        <w:rPr>
          <w:rFonts w:hint="eastAsia"/>
          <w:kern w:val="0"/>
        </w:rPr>
        <w:t xml:space="preserve"> of </w:t>
      </w:r>
      <w:r>
        <w:rPr>
          <w:rFonts w:hint="eastAsia"/>
          <w:kern w:val="0"/>
        </w:rPr>
        <w:t>a positive effect on</w:t>
      </w:r>
      <w:r w:rsidR="003A1917">
        <w:rPr>
          <w:rFonts w:hint="eastAsia"/>
          <w:kern w:val="0"/>
        </w:rPr>
        <w:t xml:space="preserve"> the </w:t>
      </w:r>
      <w:r>
        <w:rPr>
          <w:rFonts w:hint="eastAsia"/>
          <w:kern w:val="0"/>
        </w:rPr>
        <w:t>prevalence</w:t>
      </w:r>
      <w:r w:rsidR="00427468">
        <w:rPr>
          <w:rFonts w:hint="eastAsia"/>
          <w:kern w:val="0"/>
        </w:rPr>
        <w:t xml:space="preserve"> of </w:t>
      </w:r>
      <w:r>
        <w:rPr>
          <w:rFonts w:hint="eastAsia"/>
          <w:kern w:val="0"/>
        </w:rPr>
        <w:t>stunting, wasting,</w:t>
      </w:r>
      <w:r w:rsidR="005853A9">
        <w:rPr>
          <w:rFonts w:hint="eastAsia"/>
          <w:kern w:val="0"/>
        </w:rPr>
        <w:t xml:space="preserve"> and </w:t>
      </w:r>
      <w:r>
        <w:rPr>
          <w:rFonts w:hint="eastAsia"/>
          <w:kern w:val="0"/>
        </w:rPr>
        <w:t>underweight among children aged under 5. Conclusions</w:t>
      </w:r>
      <w:r w:rsidR="003A1917">
        <w:rPr>
          <w:rFonts w:hint="eastAsia"/>
          <w:kern w:val="0"/>
        </w:rPr>
        <w:t xml:space="preserve"> the </w:t>
      </w:r>
      <w:r>
        <w:rPr>
          <w:rFonts w:hint="eastAsia"/>
          <w:kern w:val="0"/>
        </w:rPr>
        <w:t>question posed by</w:t>
      </w:r>
      <w:r w:rsidR="003A1917">
        <w:rPr>
          <w:rFonts w:hint="eastAsia"/>
          <w:kern w:val="0"/>
        </w:rPr>
        <w:t xml:space="preserve"> the </w:t>
      </w:r>
      <w:r>
        <w:rPr>
          <w:rFonts w:hint="eastAsia"/>
          <w:kern w:val="0"/>
        </w:rPr>
        <w:t>review cannot be answered with any level</w:t>
      </w:r>
      <w:r w:rsidR="00427468">
        <w:rPr>
          <w:rFonts w:hint="eastAsia"/>
          <w:kern w:val="0"/>
        </w:rPr>
        <w:t xml:space="preserve"> of </w:t>
      </w:r>
      <w:r>
        <w:rPr>
          <w:rFonts w:hint="eastAsia"/>
          <w:kern w:val="0"/>
        </w:rPr>
        <w:t>confidence</w:t>
      </w:r>
      <w:r w:rsidR="00A37C1D">
        <w:rPr>
          <w:rFonts w:hint="eastAsia"/>
          <w:kern w:val="0"/>
        </w:rPr>
        <w:t>. The</w:t>
      </w:r>
      <w:r w:rsidR="003A1917">
        <w:rPr>
          <w:rFonts w:hint="eastAsia"/>
          <w:kern w:val="0"/>
        </w:rPr>
        <w:t xml:space="preserve"> </w:t>
      </w:r>
      <w:r>
        <w:rPr>
          <w:rFonts w:hint="eastAsia"/>
          <w:kern w:val="0"/>
        </w:rPr>
        <w:t>data available show a poor effect</w:t>
      </w:r>
      <w:r w:rsidR="00427468">
        <w:rPr>
          <w:rFonts w:hint="eastAsia"/>
          <w:kern w:val="0"/>
        </w:rPr>
        <w:t xml:space="preserve"> of </w:t>
      </w:r>
      <w:r>
        <w:rPr>
          <w:rFonts w:hint="eastAsia"/>
          <w:kern w:val="0"/>
        </w:rPr>
        <w:t>these interventions on nutritional status, but methodological weaknesses</w:t>
      </w:r>
      <w:r w:rsidR="00427468">
        <w:rPr>
          <w:rFonts w:hint="eastAsia"/>
          <w:kern w:val="0"/>
        </w:rPr>
        <w:t xml:space="preserve"> of </w:t>
      </w:r>
      <w:r w:rsidR="003A1917">
        <w:rPr>
          <w:rFonts w:hint="eastAsia"/>
          <w:kern w:val="0"/>
        </w:rPr>
        <w:t xml:space="preserve">the </w:t>
      </w:r>
      <w:r>
        <w:rPr>
          <w:rFonts w:hint="eastAsia"/>
          <w:kern w:val="0"/>
        </w:rPr>
        <w:t>studies cast serious doubts on</w:t>
      </w:r>
      <w:r w:rsidR="003A1917">
        <w:rPr>
          <w:rFonts w:hint="eastAsia"/>
          <w:kern w:val="0"/>
        </w:rPr>
        <w:t xml:space="preserve"> the </w:t>
      </w:r>
      <w:r>
        <w:rPr>
          <w:rFonts w:hint="eastAsia"/>
          <w:kern w:val="0"/>
        </w:rPr>
        <w:t>validity</w:t>
      </w:r>
      <w:r w:rsidR="00427468">
        <w:rPr>
          <w:rFonts w:hint="eastAsia"/>
          <w:kern w:val="0"/>
        </w:rPr>
        <w:t xml:space="preserve"> of </w:t>
      </w:r>
      <w:r>
        <w:rPr>
          <w:rFonts w:hint="eastAsia"/>
          <w:kern w:val="0"/>
        </w:rPr>
        <w:t>these results. More rigorous</w:t>
      </w:r>
      <w:r w:rsidR="005853A9">
        <w:rPr>
          <w:rFonts w:hint="eastAsia"/>
          <w:kern w:val="0"/>
        </w:rPr>
        <w:t xml:space="preserve"> and </w:t>
      </w:r>
      <w:r>
        <w:rPr>
          <w:rFonts w:hint="eastAsia"/>
          <w:kern w:val="0"/>
        </w:rPr>
        <w:t>better designed studies are needed, as well as</w:t>
      </w:r>
      <w:r w:rsidR="003A1917">
        <w:rPr>
          <w:rFonts w:hint="eastAsia"/>
          <w:kern w:val="0"/>
        </w:rPr>
        <w:t xml:space="preserve"> the </w:t>
      </w:r>
      <w:r>
        <w:rPr>
          <w:rFonts w:hint="eastAsia"/>
          <w:kern w:val="0"/>
        </w:rPr>
        <w:t>establishment</w:t>
      </w:r>
      <w:r w:rsidR="00427468">
        <w:rPr>
          <w:rFonts w:hint="eastAsia"/>
          <w:kern w:val="0"/>
        </w:rPr>
        <w:t xml:space="preserve"> of </w:t>
      </w:r>
      <w:r>
        <w:rPr>
          <w:rFonts w:hint="eastAsia"/>
          <w:kern w:val="0"/>
        </w:rPr>
        <w:t>agreed quality standards to guide researchers in this important area.</w:t>
      </w:r>
    </w:p>
    <w:p w:rsidR="00BA3B3F" w:rsidRDefault="00BA3B3F" w:rsidP="00BA3B3F">
      <w:pPr>
        <w:pStyle w:val="a3"/>
        <w:rPr>
          <w:kern w:val="0"/>
        </w:rPr>
      </w:pPr>
      <w:r>
        <w:rPr>
          <w:rFonts w:hint="eastAsia"/>
          <w:kern w:val="0"/>
        </w:rPr>
        <w:t xml:space="preserve">Keywords: Absorption, Aged, Analysis, Animal Husbandry, Bias, Children, Countries, Data Analysis, Databases, Developing Countries, Development, Diet, Effectiveness, English, Food, Ideas, Income, Interventions, Iron, Lessons, Meta Analysis, Meta-Analysis, Micronutrients, Outcome, Outcomes, Participation, People, Prevalence, Pubmed, Quality, Researchers, Review, Science, Selection Bias, South-Africa, Standards, Systematic, Systematic Review, Systematic Reviews, Validity, Vegetables, </w:t>
      </w:r>
      <w:r w:rsidR="00D5664A">
        <w:rPr>
          <w:rFonts w:hint="eastAsia"/>
          <w:kern w:val="0"/>
        </w:rPr>
        <w:t>Web</w:t>
      </w:r>
      <w:r w:rsidR="00427468">
        <w:rPr>
          <w:rFonts w:hint="eastAsia"/>
          <w:kern w:val="0"/>
        </w:rPr>
        <w:t xml:space="preserve"> of </w:t>
      </w:r>
      <w:r w:rsidR="00D5664A">
        <w:rPr>
          <w:rFonts w:hint="eastAsia"/>
          <w:kern w:val="0"/>
        </w:rPr>
        <w:t>Science</w:t>
      </w:r>
      <w:r>
        <w:rPr>
          <w:rFonts w:hint="eastAsia"/>
          <w:kern w:val="0"/>
        </w:rPr>
        <w:t xml:space="preserve">, </w:t>
      </w:r>
      <w:r w:rsidR="00D5664A">
        <w:rPr>
          <w:rFonts w:hint="eastAsia"/>
          <w:kern w:val="0"/>
        </w:rPr>
        <w:t>Web-of-Science</w:t>
      </w:r>
      <w:r>
        <w:rPr>
          <w:rFonts w:hint="eastAsia"/>
          <w:kern w:val="0"/>
        </w:rPr>
        <w:t>, Websites</w:t>
      </w:r>
    </w:p>
    <w:p w:rsidR="00704FE8" w:rsidRDefault="00704FE8" w:rsidP="00704FE8">
      <w:pPr>
        <w:pStyle w:val="a3"/>
        <w:rPr>
          <w:kern w:val="0"/>
        </w:rPr>
      </w:pPr>
      <w:r>
        <w:rPr>
          <w:rFonts w:hint="eastAsia"/>
          <w:kern w:val="0"/>
        </w:rPr>
        <w:t xml:space="preserve">? </w:t>
      </w:r>
      <w:r>
        <w:rPr>
          <w:kern w:val="0"/>
        </w:rPr>
        <w:t>Bostock, S.</w:t>
      </w:r>
      <w:r w:rsidR="005853A9">
        <w:rPr>
          <w:kern w:val="0"/>
        </w:rPr>
        <w:t xml:space="preserve"> and </w:t>
      </w:r>
      <w:r>
        <w:rPr>
          <w:kern w:val="0"/>
        </w:rPr>
        <w:t>Steptoe, A. (2012), Association between low functional health literacy</w:t>
      </w:r>
      <w:r w:rsidR="005853A9">
        <w:rPr>
          <w:kern w:val="0"/>
        </w:rPr>
        <w:t xml:space="preserve"> and </w:t>
      </w:r>
      <w:r>
        <w:rPr>
          <w:kern w:val="0"/>
        </w:rPr>
        <w:t xml:space="preserve">mortality in older adults: Longitudinal cohort study. </w:t>
      </w:r>
      <w:r>
        <w:rPr>
          <w:i/>
          <w:iCs/>
          <w:kern w:val="0"/>
        </w:rPr>
        <w:t>British Medical Journal</w:t>
      </w:r>
      <w:r>
        <w:rPr>
          <w:kern w:val="0"/>
        </w:rPr>
        <w:t xml:space="preserve">, </w:t>
      </w:r>
      <w:r>
        <w:rPr>
          <w:b/>
          <w:bCs/>
          <w:kern w:val="0"/>
        </w:rPr>
        <w:t>344</w:t>
      </w:r>
      <w:r>
        <w:rPr>
          <w:rFonts w:hint="eastAsia"/>
          <w:kern w:val="0"/>
        </w:rPr>
        <w:t xml:space="preserve">, </w:t>
      </w:r>
      <w:r>
        <w:rPr>
          <w:rFonts w:hint="eastAsia"/>
        </w:rPr>
        <w:t>Article Number: e1602.</w:t>
      </w:r>
    </w:p>
    <w:p w:rsidR="00704FE8" w:rsidRDefault="00704FE8" w:rsidP="00704FE8">
      <w:pPr>
        <w:pStyle w:val="a3"/>
      </w:pPr>
      <w:r>
        <w:rPr>
          <w:rFonts w:hint="eastAsia"/>
        </w:rPr>
        <w:t xml:space="preserve">Full Text: </w:t>
      </w:r>
      <w:hyperlink r:id="rId2078" w:history="1">
        <w:r w:rsidRPr="00704FE8">
          <w:rPr>
            <w:rStyle w:val="a5"/>
          </w:rPr>
          <w:t>2012\Bri Med J344, e1602.pdf</w:t>
        </w:r>
      </w:hyperlink>
    </w:p>
    <w:p w:rsidR="00704FE8" w:rsidRDefault="00704FE8" w:rsidP="00704FE8">
      <w:pPr>
        <w:pStyle w:val="a3"/>
        <w:rPr>
          <w:kern w:val="0"/>
        </w:rPr>
      </w:pPr>
      <w:r>
        <w:rPr>
          <w:kern w:val="0"/>
        </w:rPr>
        <w:t>Abstract: Objective To investigate</w:t>
      </w:r>
      <w:r w:rsidR="003A1917">
        <w:rPr>
          <w:kern w:val="0"/>
        </w:rPr>
        <w:t xml:space="preserve"> the </w:t>
      </w:r>
      <w:r>
        <w:rPr>
          <w:kern w:val="0"/>
        </w:rPr>
        <w:t>association between low functional health literacy (ability to read</w:t>
      </w:r>
      <w:r w:rsidR="005853A9">
        <w:rPr>
          <w:kern w:val="0"/>
        </w:rPr>
        <w:t xml:space="preserve"> and </w:t>
      </w:r>
      <w:r>
        <w:rPr>
          <w:kern w:val="0"/>
        </w:rPr>
        <w:t>understand basic health related information)</w:t>
      </w:r>
      <w:r w:rsidR="005853A9">
        <w:rPr>
          <w:kern w:val="0"/>
        </w:rPr>
        <w:t xml:space="preserve"> and </w:t>
      </w:r>
      <w:r>
        <w:rPr>
          <w:kern w:val="0"/>
        </w:rPr>
        <w:t>mortality in older adults. Design Population based longitudinal cohort study based on a stratified random sample</w:t>
      </w:r>
      <w:r w:rsidR="00427468">
        <w:rPr>
          <w:kern w:val="0"/>
        </w:rPr>
        <w:t xml:space="preserve"> of </w:t>
      </w:r>
      <w:r>
        <w:rPr>
          <w:kern w:val="0"/>
        </w:rPr>
        <w:t>households. Setting England. Participants 7857 adults aged 52 or more who participated in</w:t>
      </w:r>
      <w:r w:rsidR="003A1917">
        <w:rPr>
          <w:kern w:val="0"/>
        </w:rPr>
        <w:t xml:space="preserve"> the </w:t>
      </w:r>
      <w:r>
        <w:rPr>
          <w:kern w:val="0"/>
        </w:rPr>
        <w:t>second wave (2004-5)</w:t>
      </w:r>
      <w:r w:rsidR="00427468">
        <w:rPr>
          <w:kern w:val="0"/>
        </w:rPr>
        <w:t xml:space="preserve"> of </w:t>
      </w:r>
      <w:r w:rsidR="003A1917">
        <w:rPr>
          <w:kern w:val="0"/>
        </w:rPr>
        <w:t xml:space="preserve">the </w:t>
      </w:r>
      <w:r>
        <w:rPr>
          <w:kern w:val="0"/>
        </w:rPr>
        <w:t>English Longitudinal Study</w:t>
      </w:r>
      <w:r w:rsidR="00427468">
        <w:rPr>
          <w:kern w:val="0"/>
        </w:rPr>
        <w:t xml:space="preserve"> of </w:t>
      </w:r>
      <w:r>
        <w:rPr>
          <w:kern w:val="0"/>
        </w:rPr>
        <w:t>Ageing</w:t>
      </w:r>
      <w:r w:rsidR="005853A9">
        <w:rPr>
          <w:kern w:val="0"/>
        </w:rPr>
        <w:t xml:space="preserve"> and </w:t>
      </w:r>
      <w:r>
        <w:rPr>
          <w:kern w:val="0"/>
        </w:rPr>
        <w:t>survived more than 12 months after interview. Participants completed a brief four item test</w:t>
      </w:r>
      <w:r w:rsidR="00427468">
        <w:rPr>
          <w:kern w:val="0"/>
        </w:rPr>
        <w:t xml:space="preserve"> of </w:t>
      </w:r>
      <w:r>
        <w:rPr>
          <w:kern w:val="0"/>
        </w:rPr>
        <w:t>functional health literacy, which assessed understanding</w:t>
      </w:r>
      <w:r w:rsidR="00427468">
        <w:rPr>
          <w:kern w:val="0"/>
        </w:rPr>
        <w:t xml:space="preserve"> of </w:t>
      </w:r>
      <w:r>
        <w:rPr>
          <w:kern w:val="0"/>
        </w:rPr>
        <w:t>written instructions for taking an aspirin tablet. Main outcome measure Time to death, based on all cause mortality through October 2009. Results Health literacy was categorised as high (maximum score, 67.2%), medium (one error, 20.3%), or low (more than one error, 12.5%). During follow-up (mean 5.3 years) 621 deaths occurred: 321 (6.1%) in</w:t>
      </w:r>
      <w:r w:rsidR="003A1917">
        <w:rPr>
          <w:kern w:val="0"/>
        </w:rPr>
        <w:t xml:space="preserve"> the </w:t>
      </w:r>
      <w:r>
        <w:rPr>
          <w:kern w:val="0"/>
        </w:rPr>
        <w:t>high health literacy category, 143 (9.0%) in</w:t>
      </w:r>
      <w:r w:rsidR="003A1917">
        <w:rPr>
          <w:kern w:val="0"/>
        </w:rPr>
        <w:t xml:space="preserve"> the </w:t>
      </w:r>
      <w:r>
        <w:rPr>
          <w:kern w:val="0"/>
        </w:rPr>
        <w:t>medium category,</w:t>
      </w:r>
      <w:r w:rsidR="005853A9">
        <w:rPr>
          <w:kern w:val="0"/>
        </w:rPr>
        <w:t xml:space="preserve"> and </w:t>
      </w:r>
      <w:r>
        <w:rPr>
          <w:kern w:val="0"/>
        </w:rPr>
        <w:t>157 (16.0%) in</w:t>
      </w:r>
      <w:r w:rsidR="003A1917">
        <w:rPr>
          <w:kern w:val="0"/>
        </w:rPr>
        <w:t xml:space="preserve"> the </w:t>
      </w:r>
      <w:r>
        <w:rPr>
          <w:kern w:val="0"/>
        </w:rPr>
        <w:t>low category. After adjusting for personal characteristics, socioeconomic position, baseline health,</w:t>
      </w:r>
      <w:r w:rsidR="005853A9">
        <w:rPr>
          <w:kern w:val="0"/>
        </w:rPr>
        <w:t xml:space="preserve"> and </w:t>
      </w:r>
      <w:r>
        <w:rPr>
          <w:kern w:val="0"/>
        </w:rPr>
        <w:t>health behaviours,</w:t>
      </w:r>
      <w:r w:rsidR="003A1917">
        <w:rPr>
          <w:kern w:val="0"/>
        </w:rPr>
        <w:t xml:space="preserve"> the </w:t>
      </w:r>
      <w:r>
        <w:rPr>
          <w:kern w:val="0"/>
        </w:rPr>
        <w:t>hazard ratio for all cause mortality for participants with low health literacy was 1.40 (95% confidence interval 1.15 to 1.72)</w:t>
      </w:r>
      <w:r w:rsidR="005853A9">
        <w:rPr>
          <w:kern w:val="0"/>
        </w:rPr>
        <w:t xml:space="preserve"> and </w:t>
      </w:r>
      <w:r>
        <w:rPr>
          <w:kern w:val="0"/>
        </w:rPr>
        <w:t>with medium health literacy was 1.15 (0.94 to 1.41) compared with participants with high health literacy. Further adjustment for cognitive ability reduced</w:t>
      </w:r>
      <w:r w:rsidR="003A1917">
        <w:rPr>
          <w:kern w:val="0"/>
        </w:rPr>
        <w:t xml:space="preserve"> the </w:t>
      </w:r>
      <w:r>
        <w:rPr>
          <w:kern w:val="0"/>
        </w:rPr>
        <w:t>hazard ratio for low health literacy to 1.26 (1.02 to 1.55). Conclusions A third</w:t>
      </w:r>
      <w:r w:rsidR="00427468">
        <w:rPr>
          <w:kern w:val="0"/>
        </w:rPr>
        <w:t xml:space="preserve"> of </w:t>
      </w:r>
      <w:r>
        <w:rPr>
          <w:kern w:val="0"/>
        </w:rPr>
        <w:t>older adults in England have difficulties reading</w:t>
      </w:r>
      <w:r w:rsidR="005853A9">
        <w:rPr>
          <w:kern w:val="0"/>
        </w:rPr>
        <w:t xml:space="preserve"> and </w:t>
      </w:r>
      <w:r>
        <w:rPr>
          <w:kern w:val="0"/>
        </w:rPr>
        <w:t>understanding basic health related written information. Poorer understanding is associated with higher mortality</w:t>
      </w:r>
      <w:r w:rsidR="00A37C1D">
        <w:rPr>
          <w:kern w:val="0"/>
        </w:rPr>
        <w:t>. The</w:t>
      </w:r>
      <w:r w:rsidR="003A1917">
        <w:rPr>
          <w:kern w:val="0"/>
        </w:rPr>
        <w:t xml:space="preserve"> </w:t>
      </w:r>
      <w:r>
        <w:rPr>
          <w:kern w:val="0"/>
        </w:rPr>
        <w:t xml:space="preserve">limited health literacy </w:t>
      </w:r>
      <w:r>
        <w:rPr>
          <w:kern w:val="0"/>
        </w:rPr>
        <w:lastRenderedPageBreak/>
        <w:t>capabilities within this population have implications for</w:t>
      </w:r>
      <w:r w:rsidR="003A1917">
        <w:rPr>
          <w:kern w:val="0"/>
        </w:rPr>
        <w:t xml:space="preserve"> the </w:t>
      </w:r>
      <w:r>
        <w:rPr>
          <w:kern w:val="0"/>
        </w:rPr>
        <w:t>design</w:t>
      </w:r>
      <w:r w:rsidR="005853A9">
        <w:rPr>
          <w:kern w:val="0"/>
        </w:rPr>
        <w:t xml:space="preserve"> and </w:t>
      </w:r>
      <w:r>
        <w:rPr>
          <w:kern w:val="0"/>
        </w:rPr>
        <w:t>delivery</w:t>
      </w:r>
      <w:r w:rsidR="00427468">
        <w:rPr>
          <w:kern w:val="0"/>
        </w:rPr>
        <w:t xml:space="preserve"> of </w:t>
      </w:r>
      <w:r>
        <w:rPr>
          <w:kern w:val="0"/>
        </w:rPr>
        <w:t>health related services for older adults in England.</w:t>
      </w:r>
    </w:p>
    <w:p w:rsidR="00704FE8" w:rsidRDefault="00704FE8" w:rsidP="00704FE8">
      <w:pPr>
        <w:pStyle w:val="a3"/>
        <w:rPr>
          <w:kern w:val="0"/>
        </w:rPr>
      </w:pPr>
      <w:r>
        <w:rPr>
          <w:kern w:val="0"/>
        </w:rPr>
        <w:t>Keywords: Aged, Association, Behavior, Bibliometric Analysis, Care, Characteristics, Cognition, Cohort, Cohort Study, Confidence, Death, Delivery, Design, Elderly Persons, England, Error, Follow-Up, Hazard, Health, Individuals, Information, Interval, Knowledge, Longitudinal, Low, Mar, Measure, Mortality, Outcome, Outcomes, Patient Literacy, Population, Random Sample, Reading, Related Services, Services, Skills, Understanding</w:t>
      </w:r>
    </w:p>
    <w:p w:rsidR="000F6FB0" w:rsidRDefault="000F6FB0" w:rsidP="000F6FB0">
      <w:pPr>
        <w:pStyle w:val="a3"/>
        <w:rPr>
          <w:kern w:val="0"/>
        </w:rPr>
      </w:pPr>
      <w:r>
        <w:rPr>
          <w:rFonts w:hint="eastAsia"/>
          <w:kern w:val="0"/>
        </w:rPr>
        <w:t xml:space="preserve">? </w:t>
      </w:r>
      <w:r>
        <w:rPr>
          <w:kern w:val="0"/>
        </w:rPr>
        <w:t>Hemmingsen, B., Lundby, L., Wetterslev, J., Vaag, A., Gluud, C., Lund, S.S.</w:t>
      </w:r>
      <w:r w:rsidR="005853A9">
        <w:rPr>
          <w:kern w:val="0"/>
        </w:rPr>
        <w:t xml:space="preserve"> and </w:t>
      </w:r>
      <w:r>
        <w:rPr>
          <w:kern w:val="0"/>
        </w:rPr>
        <w:t>Almdal, T. (2012), Comparison</w:t>
      </w:r>
      <w:r w:rsidR="00427468">
        <w:rPr>
          <w:kern w:val="0"/>
        </w:rPr>
        <w:t xml:space="preserve"> of </w:t>
      </w:r>
      <w:r>
        <w:rPr>
          <w:kern w:val="0"/>
        </w:rPr>
        <w:t>metformin</w:t>
      </w:r>
      <w:r w:rsidR="005853A9">
        <w:rPr>
          <w:kern w:val="0"/>
        </w:rPr>
        <w:t xml:space="preserve"> and </w:t>
      </w:r>
      <w:r>
        <w:rPr>
          <w:kern w:val="0"/>
        </w:rPr>
        <w:t>insulin versus insulin alone for type 2 diabetes: Systematic review</w:t>
      </w:r>
      <w:r w:rsidR="00427468">
        <w:rPr>
          <w:kern w:val="0"/>
        </w:rPr>
        <w:t xml:space="preserve"> of </w:t>
      </w:r>
      <w:r>
        <w:rPr>
          <w:kern w:val="0"/>
        </w:rPr>
        <w:t>randomised clinical trials with meta-analyses</w:t>
      </w:r>
      <w:r w:rsidR="005853A9">
        <w:rPr>
          <w:kern w:val="0"/>
        </w:rPr>
        <w:t xml:space="preserve"> and </w:t>
      </w:r>
      <w:r>
        <w:rPr>
          <w:kern w:val="0"/>
        </w:rPr>
        <w:t xml:space="preserve">trial sequential analyses. </w:t>
      </w:r>
      <w:r>
        <w:rPr>
          <w:i/>
          <w:iCs/>
          <w:kern w:val="0"/>
        </w:rPr>
        <w:t>British Medical Journal</w:t>
      </w:r>
      <w:r>
        <w:rPr>
          <w:kern w:val="0"/>
        </w:rPr>
        <w:t xml:space="preserve">, </w:t>
      </w:r>
      <w:r>
        <w:rPr>
          <w:b/>
          <w:bCs/>
          <w:kern w:val="0"/>
        </w:rPr>
        <w:t>344</w:t>
      </w:r>
      <w:r>
        <w:rPr>
          <w:rFonts w:hint="eastAsia"/>
        </w:rPr>
        <w:t xml:space="preserve">, Article Number: </w:t>
      </w:r>
      <w:r>
        <w:t>e1771</w:t>
      </w:r>
      <w:r>
        <w:rPr>
          <w:rFonts w:hint="eastAsia"/>
        </w:rPr>
        <w:t>.</w:t>
      </w:r>
    </w:p>
    <w:p w:rsidR="000F6FB0" w:rsidRDefault="000F6FB0" w:rsidP="000F6FB0">
      <w:pPr>
        <w:pStyle w:val="a3"/>
      </w:pPr>
      <w:r>
        <w:rPr>
          <w:rFonts w:hint="eastAsia"/>
        </w:rPr>
        <w:t xml:space="preserve">Full Text: </w:t>
      </w:r>
      <w:r w:rsidRPr="00665EC7">
        <w:t>2012\Bri Med J344, e1771.pdf</w:t>
      </w:r>
    </w:p>
    <w:p w:rsidR="000F6FB0" w:rsidRDefault="000F6FB0" w:rsidP="000F6FB0">
      <w:pPr>
        <w:pStyle w:val="a3"/>
        <w:rPr>
          <w:kern w:val="0"/>
        </w:rPr>
      </w:pPr>
      <w:r>
        <w:rPr>
          <w:kern w:val="0"/>
        </w:rPr>
        <w:t>Abstract: Objectives To compare</w:t>
      </w:r>
      <w:r w:rsidR="003A1917">
        <w:rPr>
          <w:kern w:val="0"/>
        </w:rPr>
        <w:t xml:space="preserve"> the </w:t>
      </w:r>
      <w:r>
        <w:rPr>
          <w:kern w:val="0"/>
        </w:rPr>
        <w:t>benefits</w:t>
      </w:r>
      <w:r w:rsidR="005853A9">
        <w:rPr>
          <w:kern w:val="0"/>
        </w:rPr>
        <w:t xml:space="preserve"> and </w:t>
      </w:r>
      <w:r>
        <w:rPr>
          <w:kern w:val="0"/>
        </w:rPr>
        <w:t>harms</w:t>
      </w:r>
      <w:r w:rsidR="00427468">
        <w:rPr>
          <w:kern w:val="0"/>
        </w:rPr>
        <w:t xml:space="preserve"> of </w:t>
      </w:r>
      <w:r>
        <w:rPr>
          <w:kern w:val="0"/>
        </w:rPr>
        <w:t>metformin</w:t>
      </w:r>
      <w:r w:rsidR="005853A9">
        <w:rPr>
          <w:kern w:val="0"/>
        </w:rPr>
        <w:t xml:space="preserve"> and </w:t>
      </w:r>
      <w:r>
        <w:rPr>
          <w:kern w:val="0"/>
        </w:rPr>
        <w:t>insulin versus insulin alone as reported in randomised clinical trials</w:t>
      </w:r>
      <w:r w:rsidR="00427468">
        <w:rPr>
          <w:kern w:val="0"/>
        </w:rPr>
        <w:t xml:space="preserve"> of </w:t>
      </w:r>
      <w:r>
        <w:rPr>
          <w:kern w:val="0"/>
        </w:rPr>
        <w:t>patients with type 2 diabetes. Design Systematic review</w:t>
      </w:r>
      <w:r w:rsidR="00427468">
        <w:rPr>
          <w:kern w:val="0"/>
        </w:rPr>
        <w:t xml:space="preserve"> of </w:t>
      </w:r>
      <w:r>
        <w:rPr>
          <w:kern w:val="0"/>
        </w:rPr>
        <w:t>randomised clinical trials with meta-analyses</w:t>
      </w:r>
      <w:r w:rsidR="005853A9">
        <w:rPr>
          <w:kern w:val="0"/>
        </w:rPr>
        <w:t xml:space="preserve"> and </w:t>
      </w:r>
      <w:r>
        <w:rPr>
          <w:kern w:val="0"/>
        </w:rPr>
        <w:t>trial sequential analyses. Data sources</w:t>
      </w:r>
      <w:r w:rsidR="003A1917">
        <w:rPr>
          <w:kern w:val="0"/>
        </w:rPr>
        <w:t xml:space="preserve"> the </w:t>
      </w:r>
      <w:r>
        <w:rPr>
          <w:kern w:val="0"/>
        </w:rPr>
        <w:t xml:space="preserve">Cochrane Library, </w:t>
      </w:r>
      <w:r w:rsidR="00D5664A">
        <w:rPr>
          <w:kern w:val="0"/>
        </w:rPr>
        <w:t>MEDLINE</w:t>
      </w:r>
      <w:r>
        <w:rPr>
          <w:kern w:val="0"/>
        </w:rPr>
        <w:t>, Embase, Science Citation Index Expanded, Latin American Caribbean Health Sciences Literature,</w:t>
      </w:r>
      <w:r w:rsidR="005853A9">
        <w:rPr>
          <w:kern w:val="0"/>
        </w:rPr>
        <w:t xml:space="preserve"> and </w:t>
      </w:r>
      <w:r>
        <w:rPr>
          <w:kern w:val="0"/>
        </w:rPr>
        <w:t>Cumulative Index to Nursing</w:t>
      </w:r>
      <w:r w:rsidR="005853A9">
        <w:rPr>
          <w:kern w:val="0"/>
        </w:rPr>
        <w:t xml:space="preserve"> and </w:t>
      </w:r>
      <w:r>
        <w:rPr>
          <w:kern w:val="0"/>
        </w:rPr>
        <w:t>Allied Health Literature until March 2011. We also searched abstracts presented at</w:t>
      </w:r>
      <w:r w:rsidR="003A1917">
        <w:rPr>
          <w:kern w:val="0"/>
        </w:rPr>
        <w:t xml:space="preserve"> the </w:t>
      </w:r>
      <w:r>
        <w:rPr>
          <w:kern w:val="0"/>
        </w:rPr>
        <w:t>American Diabetes Association</w:t>
      </w:r>
      <w:r w:rsidR="005853A9">
        <w:rPr>
          <w:kern w:val="0"/>
        </w:rPr>
        <w:t xml:space="preserve"> and </w:t>
      </w:r>
      <w:r>
        <w:rPr>
          <w:kern w:val="0"/>
        </w:rPr>
        <w:t>European Association for</w:t>
      </w:r>
      <w:r w:rsidR="003A1917">
        <w:rPr>
          <w:kern w:val="0"/>
        </w:rPr>
        <w:t xml:space="preserve"> the </w:t>
      </w:r>
      <w:r>
        <w:rPr>
          <w:kern w:val="0"/>
        </w:rPr>
        <w:t>Study</w:t>
      </w:r>
      <w:r w:rsidR="00427468">
        <w:rPr>
          <w:kern w:val="0"/>
        </w:rPr>
        <w:t xml:space="preserve"> of </w:t>
      </w:r>
      <w:r>
        <w:rPr>
          <w:kern w:val="0"/>
        </w:rPr>
        <w:t>Diabetes Congresses, contacted relevant trial authors</w:t>
      </w:r>
      <w:r w:rsidR="005853A9">
        <w:rPr>
          <w:kern w:val="0"/>
        </w:rPr>
        <w:t xml:space="preserve"> and </w:t>
      </w:r>
      <w:r>
        <w:rPr>
          <w:kern w:val="0"/>
        </w:rPr>
        <w:t>pharmaceutical companies, hand searched reference lists</w:t>
      </w:r>
      <w:r w:rsidR="00427468">
        <w:rPr>
          <w:kern w:val="0"/>
        </w:rPr>
        <w:t xml:space="preserve"> of </w:t>
      </w:r>
      <w:r>
        <w:rPr>
          <w:kern w:val="0"/>
        </w:rPr>
        <w:t>included trials,</w:t>
      </w:r>
      <w:r w:rsidR="005853A9">
        <w:rPr>
          <w:kern w:val="0"/>
        </w:rPr>
        <w:t xml:space="preserve"> and </w:t>
      </w:r>
      <w:r>
        <w:rPr>
          <w:kern w:val="0"/>
        </w:rPr>
        <w:t>searched</w:t>
      </w:r>
      <w:r w:rsidR="003A1917">
        <w:rPr>
          <w:kern w:val="0"/>
        </w:rPr>
        <w:t xml:space="preserve"> the </w:t>
      </w:r>
      <w:r>
        <w:rPr>
          <w:kern w:val="0"/>
        </w:rPr>
        <w:t>US Food</w:t>
      </w:r>
      <w:r w:rsidR="005853A9">
        <w:rPr>
          <w:kern w:val="0"/>
        </w:rPr>
        <w:t xml:space="preserve"> and </w:t>
      </w:r>
      <w:r>
        <w:rPr>
          <w:kern w:val="0"/>
        </w:rPr>
        <w:t>Drug Administration website. Review methods Two authors independently screened titles</w:t>
      </w:r>
      <w:r w:rsidR="005853A9">
        <w:rPr>
          <w:kern w:val="0"/>
        </w:rPr>
        <w:t xml:space="preserve"> and </w:t>
      </w:r>
      <w:r>
        <w:rPr>
          <w:kern w:val="0"/>
        </w:rPr>
        <w:t>abstracts for randomised clinical trials comparing metformin</w:t>
      </w:r>
      <w:r w:rsidR="005853A9">
        <w:rPr>
          <w:kern w:val="0"/>
        </w:rPr>
        <w:t xml:space="preserve"> and </w:t>
      </w:r>
      <w:r>
        <w:rPr>
          <w:kern w:val="0"/>
        </w:rPr>
        <w:t>insulin versus insulin alone (with or without placebo) in patients with type 2 diabetes, older than 18 years,</w:t>
      </w:r>
      <w:r w:rsidR="005853A9">
        <w:rPr>
          <w:kern w:val="0"/>
        </w:rPr>
        <w:t xml:space="preserve"> and </w:t>
      </w:r>
      <w:r>
        <w:rPr>
          <w:kern w:val="0"/>
        </w:rPr>
        <w:t>with an intervention period</w:t>
      </w:r>
      <w:r w:rsidR="00427468">
        <w:rPr>
          <w:kern w:val="0"/>
        </w:rPr>
        <w:t xml:space="preserve"> of </w:t>
      </w:r>
      <w:r>
        <w:rPr>
          <w:kern w:val="0"/>
        </w:rPr>
        <w:t>at least 12 weeks. We included trials irrespective</w:t>
      </w:r>
      <w:r w:rsidR="00427468">
        <w:rPr>
          <w:kern w:val="0"/>
        </w:rPr>
        <w:t xml:space="preserve"> of </w:t>
      </w:r>
      <w:r>
        <w:rPr>
          <w:kern w:val="0"/>
        </w:rPr>
        <w:t>language, publication status, predefined outcomes, antidiabetic interventions used before randomisation,</w:t>
      </w:r>
      <w:r w:rsidR="005853A9">
        <w:rPr>
          <w:kern w:val="0"/>
        </w:rPr>
        <w:t xml:space="preserve"> and </w:t>
      </w:r>
      <w:r>
        <w:rPr>
          <w:kern w:val="0"/>
        </w:rPr>
        <w:t>reported outcomes. Results We included 26 randomised trials with 2286 participants,</w:t>
      </w:r>
      <w:r w:rsidR="00427468">
        <w:rPr>
          <w:kern w:val="0"/>
        </w:rPr>
        <w:t xml:space="preserve"> of </w:t>
      </w:r>
      <w:r>
        <w:rPr>
          <w:kern w:val="0"/>
        </w:rPr>
        <w:t>which 23 trials with 2117 participants could provide data. All trials had high risk</w:t>
      </w:r>
      <w:r w:rsidR="00427468">
        <w:rPr>
          <w:kern w:val="0"/>
        </w:rPr>
        <w:t xml:space="preserve"> of </w:t>
      </w:r>
      <w:r>
        <w:rPr>
          <w:kern w:val="0"/>
        </w:rPr>
        <w:t>bias. Data were sparse for outcomes relevant to patients. Metformin</w:t>
      </w:r>
      <w:r w:rsidR="005853A9">
        <w:rPr>
          <w:kern w:val="0"/>
        </w:rPr>
        <w:t xml:space="preserve"> and </w:t>
      </w:r>
      <w:r>
        <w:rPr>
          <w:kern w:val="0"/>
        </w:rPr>
        <w:t>insulin versus insulin alone did not significantly affect all cause mortality (relative risk 1.30, 95% confidence interval 0.57 to 2.99) or cardiovascular mortality (1.70, 0.35 to 8.30). Trial sequential analyses showed that more trials were needed before reliable conclusions could be drawn regarding these outcomes. In a fixed effect model, but not in a random effects model, severe hypoglycaemia was significantly more frequent with metformin</w:t>
      </w:r>
      <w:r w:rsidR="005853A9">
        <w:rPr>
          <w:kern w:val="0"/>
        </w:rPr>
        <w:t xml:space="preserve"> and </w:t>
      </w:r>
      <w:r>
        <w:rPr>
          <w:kern w:val="0"/>
        </w:rPr>
        <w:t>insulin than with insulin alone (2.83, 1.17 to 6.86). In a random effects model, metformin</w:t>
      </w:r>
      <w:r w:rsidR="005853A9">
        <w:rPr>
          <w:kern w:val="0"/>
        </w:rPr>
        <w:t xml:space="preserve"> and </w:t>
      </w:r>
      <w:r>
        <w:rPr>
          <w:kern w:val="0"/>
        </w:rPr>
        <w:t>insulin resulted in reduced HbA(1c), weight gain,</w:t>
      </w:r>
      <w:r w:rsidR="005853A9">
        <w:rPr>
          <w:kern w:val="0"/>
        </w:rPr>
        <w:t xml:space="preserve"> and </w:t>
      </w:r>
      <w:r>
        <w:rPr>
          <w:kern w:val="0"/>
        </w:rPr>
        <w:t xml:space="preserve">insulin dose, compared with insulin </w:t>
      </w:r>
      <w:r>
        <w:rPr>
          <w:kern w:val="0"/>
        </w:rPr>
        <w:lastRenderedPageBreak/>
        <w:t>alone; trial sequential analyses showed sufficient evidence for a HbA1c reduction</w:t>
      </w:r>
      <w:r w:rsidR="00427468">
        <w:rPr>
          <w:kern w:val="0"/>
        </w:rPr>
        <w:t xml:space="preserve"> of </w:t>
      </w:r>
      <w:r>
        <w:rPr>
          <w:kern w:val="0"/>
        </w:rPr>
        <w:t>0.5%, lower weight gain</w:t>
      </w:r>
      <w:r w:rsidR="00427468">
        <w:rPr>
          <w:kern w:val="0"/>
        </w:rPr>
        <w:t xml:space="preserve"> of </w:t>
      </w:r>
      <w:r>
        <w:rPr>
          <w:kern w:val="0"/>
        </w:rPr>
        <w:t>1 kg,</w:t>
      </w:r>
      <w:r w:rsidR="005853A9">
        <w:rPr>
          <w:kern w:val="0"/>
        </w:rPr>
        <w:t xml:space="preserve"> and </w:t>
      </w:r>
      <w:r>
        <w:rPr>
          <w:kern w:val="0"/>
        </w:rPr>
        <w:t>lower insulin dose</w:t>
      </w:r>
      <w:r w:rsidR="00427468">
        <w:rPr>
          <w:kern w:val="0"/>
        </w:rPr>
        <w:t xml:space="preserve"> of </w:t>
      </w:r>
      <w:r>
        <w:rPr>
          <w:kern w:val="0"/>
        </w:rPr>
        <w:t>5 U/day. Conclusions There was no evidence or even a trend towards improved all cause mortality or cardiovascular mortality with metformin</w:t>
      </w:r>
      <w:r w:rsidR="005853A9">
        <w:rPr>
          <w:kern w:val="0"/>
        </w:rPr>
        <w:t xml:space="preserve"> and </w:t>
      </w:r>
      <w:r>
        <w:rPr>
          <w:kern w:val="0"/>
        </w:rPr>
        <w:t>insulin, compared with insulin alone in type 2 diabetes. Data were limited by</w:t>
      </w:r>
      <w:r w:rsidR="003A1917">
        <w:rPr>
          <w:kern w:val="0"/>
        </w:rPr>
        <w:t xml:space="preserve"> the </w:t>
      </w:r>
      <w:r>
        <w:rPr>
          <w:kern w:val="0"/>
        </w:rPr>
        <w:t>severe lack</w:t>
      </w:r>
      <w:r w:rsidR="00427468">
        <w:rPr>
          <w:kern w:val="0"/>
        </w:rPr>
        <w:t xml:space="preserve"> of </w:t>
      </w:r>
      <w:r>
        <w:rPr>
          <w:kern w:val="0"/>
        </w:rPr>
        <w:t>data reported by trials for patient relevant outcomes</w:t>
      </w:r>
      <w:r w:rsidR="005853A9">
        <w:rPr>
          <w:kern w:val="0"/>
        </w:rPr>
        <w:t xml:space="preserve"> and </w:t>
      </w:r>
      <w:r>
        <w:rPr>
          <w:kern w:val="0"/>
        </w:rPr>
        <w:t>by poor bias control.</w:t>
      </w:r>
    </w:p>
    <w:p w:rsidR="000F6FB0" w:rsidRDefault="000F6FB0" w:rsidP="000F6FB0">
      <w:pPr>
        <w:pStyle w:val="a3"/>
        <w:rPr>
          <w:kern w:val="0"/>
        </w:rPr>
      </w:pPr>
      <w:r>
        <w:rPr>
          <w:kern w:val="0"/>
        </w:rPr>
        <w:t>Keywords: Analyses, Authors, Bias, Cardiovascular, Citation, Clinical, Clinical Trials, Confidence, Control, Data, Diabetes, Double-Blind, Drug, Effects, Empirical-Evidence, Evidence, Food</w:t>
      </w:r>
      <w:r w:rsidR="005853A9">
        <w:rPr>
          <w:kern w:val="0"/>
        </w:rPr>
        <w:t xml:space="preserve"> and </w:t>
      </w:r>
      <w:r>
        <w:rPr>
          <w:kern w:val="0"/>
        </w:rPr>
        <w:t xml:space="preserve">Drug Administration, Gain, Glucose Control, Glycemic Control, Hypoglycaemia, Information Size, Insulin, Interval, Intervention, Interventions, Literature, </w:t>
      </w:r>
      <w:r w:rsidR="00D5664A">
        <w:rPr>
          <w:kern w:val="0"/>
        </w:rPr>
        <w:t>MEDLINE</w:t>
      </w:r>
      <w:r>
        <w:rPr>
          <w:kern w:val="0"/>
        </w:rPr>
        <w:t>, Mellitus, Metformin, Methods, Model, Mortality, NPH Insulin, Open-Label, Outcomes, Patients, Placebo, Placebo-Controlled Trial, Publication, Random Effects Model, Randomisation, Randomised, Reduction, Reference, Reference Lists, Relative Risk, Review, Risk, Science, Science Citation Index, Science Citation Index Expanded, Sources, Starting Insulin, Systematic Review, Trend, Trial, Type 2 Diabetes, US, Weight Gain</w:t>
      </w:r>
    </w:p>
    <w:p w:rsidR="0019508C" w:rsidRDefault="0019508C" w:rsidP="0019508C">
      <w:pPr>
        <w:pStyle w:val="a3"/>
        <w:rPr>
          <w:kern w:val="0"/>
        </w:rPr>
      </w:pPr>
      <w:r>
        <w:rPr>
          <w:rFonts w:hint="eastAsia"/>
          <w:kern w:val="0"/>
        </w:rPr>
        <w:t xml:space="preserve">? </w:t>
      </w:r>
      <w:r>
        <w:rPr>
          <w:kern w:val="0"/>
        </w:rPr>
        <w:t>Handel, A.E., Patel, S.V., Pakpoor, J., Ebers, G.C., Goldacre, B.</w:t>
      </w:r>
      <w:r w:rsidR="005853A9">
        <w:rPr>
          <w:kern w:val="0"/>
        </w:rPr>
        <w:t xml:space="preserve"> and </w:t>
      </w:r>
      <w:r>
        <w:rPr>
          <w:kern w:val="0"/>
        </w:rPr>
        <w:t>Ramagopalan, S.V. (2012), High reprint orders in medical journals</w:t>
      </w:r>
      <w:r w:rsidR="005853A9">
        <w:rPr>
          <w:kern w:val="0"/>
        </w:rPr>
        <w:t xml:space="preserve"> and </w:t>
      </w:r>
      <w:r>
        <w:rPr>
          <w:kern w:val="0"/>
        </w:rPr>
        <w:t xml:space="preserve">pharmaceutical industry funding: Case-control study. </w:t>
      </w:r>
      <w:r>
        <w:rPr>
          <w:i/>
          <w:iCs/>
          <w:kern w:val="0"/>
        </w:rPr>
        <w:t>British Medical Journal</w:t>
      </w:r>
      <w:r>
        <w:rPr>
          <w:kern w:val="0"/>
        </w:rPr>
        <w:t xml:space="preserve">, </w:t>
      </w:r>
      <w:r>
        <w:rPr>
          <w:b/>
          <w:bCs/>
          <w:kern w:val="0"/>
        </w:rPr>
        <w:t>344</w:t>
      </w:r>
      <w:r>
        <w:rPr>
          <w:rFonts w:hint="eastAsia"/>
        </w:rPr>
        <w:t xml:space="preserve">, Article Number: </w:t>
      </w:r>
      <w:r>
        <w:t>e4212</w:t>
      </w:r>
      <w:r>
        <w:rPr>
          <w:rFonts w:hint="eastAsia"/>
        </w:rPr>
        <w:t>.</w:t>
      </w:r>
    </w:p>
    <w:p w:rsidR="0019508C" w:rsidRDefault="0019508C" w:rsidP="0019508C">
      <w:pPr>
        <w:pStyle w:val="a3"/>
      </w:pPr>
      <w:r>
        <w:rPr>
          <w:rFonts w:hint="eastAsia"/>
        </w:rPr>
        <w:t xml:space="preserve">Full Text: </w:t>
      </w:r>
      <w:hyperlink r:id="rId2079" w:history="1">
        <w:r w:rsidR="00F849BE" w:rsidRPr="00F849BE">
          <w:rPr>
            <w:rStyle w:val="a5"/>
          </w:rPr>
          <w:t>2012\Bri Med J344, e4212.pdf</w:t>
        </w:r>
      </w:hyperlink>
    </w:p>
    <w:p w:rsidR="0019508C" w:rsidRDefault="0019508C" w:rsidP="0019508C">
      <w:pPr>
        <w:pStyle w:val="a3"/>
        <w:rPr>
          <w:kern w:val="0"/>
        </w:rPr>
      </w:pPr>
      <w:r>
        <w:rPr>
          <w:kern w:val="0"/>
        </w:rPr>
        <w:t>Abstract: Objectives To assess</w:t>
      </w:r>
      <w:r w:rsidR="003A1917">
        <w:rPr>
          <w:kern w:val="0"/>
        </w:rPr>
        <w:t xml:space="preserve"> the </w:t>
      </w:r>
      <w:r>
        <w:rPr>
          <w:kern w:val="0"/>
        </w:rPr>
        <w:t>extent to which funding</w:t>
      </w:r>
      <w:r w:rsidR="005853A9">
        <w:rPr>
          <w:kern w:val="0"/>
        </w:rPr>
        <w:t xml:space="preserve"> and </w:t>
      </w:r>
      <w:r>
        <w:rPr>
          <w:kern w:val="0"/>
        </w:rPr>
        <w:t>study design are associated with high reprint orders. Design Case-control study. Setting Top articles by size</w:t>
      </w:r>
      <w:r w:rsidR="00427468">
        <w:rPr>
          <w:kern w:val="0"/>
        </w:rPr>
        <w:t xml:space="preserve"> of </w:t>
      </w:r>
      <w:r>
        <w:rPr>
          <w:kern w:val="0"/>
        </w:rPr>
        <w:t>reprint orders in seven journals, 2002-09. Participants Lancet, Lancet Neurology, Lancet Oncology (Lancet Group), BMJ, Gut, Heart,</w:t>
      </w:r>
      <w:r w:rsidR="005853A9">
        <w:rPr>
          <w:kern w:val="0"/>
        </w:rPr>
        <w:t xml:space="preserve"> and </w:t>
      </w:r>
      <w:r>
        <w:rPr>
          <w:kern w:val="0"/>
        </w:rPr>
        <w:t>Journal</w:t>
      </w:r>
      <w:r w:rsidR="00427468">
        <w:rPr>
          <w:kern w:val="0"/>
        </w:rPr>
        <w:t xml:space="preserve"> of </w:t>
      </w:r>
      <w:r>
        <w:rPr>
          <w:kern w:val="0"/>
        </w:rPr>
        <w:t>Neurology, Neurosurgery &amp; Psychiatry (BMJ Group) matched to contemporaneous articles not in</w:t>
      </w:r>
      <w:r w:rsidR="003A1917">
        <w:rPr>
          <w:kern w:val="0"/>
        </w:rPr>
        <w:t xml:space="preserve"> the </w:t>
      </w:r>
      <w:r>
        <w:rPr>
          <w:kern w:val="0"/>
        </w:rPr>
        <w:t>list</w:t>
      </w:r>
      <w:r w:rsidR="00427468">
        <w:rPr>
          <w:kern w:val="0"/>
        </w:rPr>
        <w:t xml:space="preserve"> of </w:t>
      </w:r>
      <w:r>
        <w:rPr>
          <w:kern w:val="0"/>
        </w:rPr>
        <w:t>high reprint orders. Main outcome measures Funding</w:t>
      </w:r>
      <w:r w:rsidR="005853A9">
        <w:rPr>
          <w:kern w:val="0"/>
        </w:rPr>
        <w:t xml:space="preserve"> and </w:t>
      </w:r>
      <w:r>
        <w:rPr>
          <w:kern w:val="0"/>
        </w:rPr>
        <w:t>design</w:t>
      </w:r>
      <w:r w:rsidR="00427468">
        <w:rPr>
          <w:kern w:val="0"/>
        </w:rPr>
        <w:t xml:space="preserve"> of </w:t>
      </w:r>
      <w:r>
        <w:rPr>
          <w:kern w:val="0"/>
        </w:rPr>
        <w:t>randomised controlled trials or other study designs. Results Median reprint orders for</w:t>
      </w:r>
      <w:r w:rsidR="003A1917">
        <w:rPr>
          <w:kern w:val="0"/>
        </w:rPr>
        <w:t xml:space="preserve"> the </w:t>
      </w:r>
      <w:r>
        <w:rPr>
          <w:kern w:val="0"/>
        </w:rPr>
        <w:t>seven journals ranged from 3000 to 126 350. Papers with high reprint orders were more likely to be funded by</w:t>
      </w:r>
      <w:r w:rsidR="003A1917">
        <w:rPr>
          <w:kern w:val="0"/>
        </w:rPr>
        <w:t xml:space="preserve"> the </w:t>
      </w:r>
      <w:r>
        <w:rPr>
          <w:kern w:val="0"/>
        </w:rPr>
        <w:t>pharmaceutical industry than were control papers (industry funding versus other or none: odds ratio 8.64, 95% confidence interval 5.09 to 14.68,</w:t>
      </w:r>
      <w:r w:rsidR="005853A9">
        <w:rPr>
          <w:kern w:val="0"/>
        </w:rPr>
        <w:t xml:space="preserve"> and </w:t>
      </w:r>
      <w:r>
        <w:rPr>
          <w:kern w:val="0"/>
        </w:rPr>
        <w:t>mixed funding versus other or none: 3.72, 2.43 to 5.70). Conclusions Funding by</w:t>
      </w:r>
      <w:r w:rsidR="003A1917">
        <w:rPr>
          <w:kern w:val="0"/>
        </w:rPr>
        <w:t xml:space="preserve"> the </w:t>
      </w:r>
      <w:r>
        <w:rPr>
          <w:kern w:val="0"/>
        </w:rPr>
        <w:t>pharmaceutical industry is associated with high numbers</w:t>
      </w:r>
      <w:r w:rsidR="00427468">
        <w:rPr>
          <w:kern w:val="0"/>
        </w:rPr>
        <w:t xml:space="preserve"> of </w:t>
      </w:r>
      <w:r>
        <w:rPr>
          <w:kern w:val="0"/>
        </w:rPr>
        <w:t>reprint orders.</w:t>
      </w:r>
    </w:p>
    <w:p w:rsidR="0019508C" w:rsidRDefault="0019508C" w:rsidP="0019508C">
      <w:pPr>
        <w:pStyle w:val="a3"/>
        <w:rPr>
          <w:kern w:val="0"/>
        </w:rPr>
      </w:pPr>
      <w:r>
        <w:rPr>
          <w:kern w:val="0"/>
        </w:rPr>
        <w:t>Keywords: Articles, Case-Control, Case-Control Study, Companies, Confidence, Control, Design, Funding, Interval, Journal, Journals, Medical, Medical Journals, Odds Ratio, Outcome, Outcome Measures, Papers, Pharmaceutical Industry, Randomised, Randomised Controlled Trials, Size, Study Design</w:t>
      </w:r>
    </w:p>
    <w:p w:rsidR="000D4317" w:rsidRDefault="000D4317" w:rsidP="000D4317">
      <w:pPr>
        <w:pStyle w:val="a3"/>
        <w:rPr>
          <w:kern w:val="0"/>
        </w:rPr>
      </w:pPr>
      <w:r>
        <w:rPr>
          <w:rFonts w:hint="eastAsia"/>
          <w:kern w:val="0"/>
          <w:szCs w:val="24"/>
        </w:rPr>
        <w:t xml:space="preserve">? </w:t>
      </w:r>
      <w:r>
        <w:rPr>
          <w:kern w:val="0"/>
          <w:szCs w:val="24"/>
        </w:rPr>
        <w:t>Boniol, M., Autier, P., Boyle, P.</w:t>
      </w:r>
      <w:r w:rsidR="005853A9">
        <w:rPr>
          <w:kern w:val="0"/>
          <w:szCs w:val="24"/>
        </w:rPr>
        <w:t xml:space="preserve"> and </w:t>
      </w:r>
      <w:r>
        <w:rPr>
          <w:kern w:val="0"/>
          <w:szCs w:val="24"/>
        </w:rPr>
        <w:t>Gandini, S. (2012), Cutaneous melanoma attributable to sunbed use: Systematic review</w:t>
      </w:r>
      <w:r w:rsidR="005853A9">
        <w:rPr>
          <w:kern w:val="0"/>
          <w:szCs w:val="24"/>
        </w:rPr>
        <w:t xml:space="preserve"> and </w:t>
      </w:r>
      <w:r>
        <w:rPr>
          <w:kern w:val="0"/>
          <w:szCs w:val="24"/>
        </w:rPr>
        <w:t xml:space="preserve">meta-analysis. </w:t>
      </w:r>
      <w:r>
        <w:rPr>
          <w:i/>
          <w:iCs/>
          <w:kern w:val="0"/>
          <w:szCs w:val="24"/>
        </w:rPr>
        <w:t xml:space="preserve">British Medical </w:t>
      </w:r>
      <w:r>
        <w:rPr>
          <w:i/>
          <w:iCs/>
          <w:kern w:val="0"/>
          <w:szCs w:val="24"/>
        </w:rPr>
        <w:lastRenderedPageBreak/>
        <w:t>Journal</w:t>
      </w:r>
      <w:r>
        <w:rPr>
          <w:kern w:val="0"/>
          <w:szCs w:val="24"/>
        </w:rPr>
        <w:t xml:space="preserve">, </w:t>
      </w:r>
      <w:r>
        <w:rPr>
          <w:b/>
          <w:bCs/>
          <w:kern w:val="0"/>
          <w:szCs w:val="24"/>
        </w:rPr>
        <w:t>345</w:t>
      </w:r>
      <w:r>
        <w:rPr>
          <w:rFonts w:hint="eastAsia"/>
        </w:rPr>
        <w:t xml:space="preserve">, Article Number: </w:t>
      </w:r>
      <w:r w:rsidRPr="008C5F91">
        <w:t>e4757</w:t>
      </w:r>
      <w:r>
        <w:rPr>
          <w:rFonts w:hint="eastAsia"/>
        </w:rPr>
        <w:t>.</w:t>
      </w:r>
    </w:p>
    <w:p w:rsidR="000D4317" w:rsidRDefault="000D4317" w:rsidP="000D4317">
      <w:pPr>
        <w:pStyle w:val="a3"/>
      </w:pPr>
      <w:r>
        <w:rPr>
          <w:rFonts w:hint="eastAsia"/>
        </w:rPr>
        <w:t xml:space="preserve">Full Text: </w:t>
      </w:r>
      <w:hyperlink r:id="rId2080" w:history="1">
        <w:r w:rsidR="002E7BDD" w:rsidRPr="002E7BDD">
          <w:rPr>
            <w:rStyle w:val="a5"/>
          </w:rPr>
          <w:t>2012\Bri Med J345, e4757.pdf</w:t>
        </w:r>
      </w:hyperlink>
    </w:p>
    <w:p w:rsidR="000D4317" w:rsidRDefault="000D4317" w:rsidP="000D4317">
      <w:pPr>
        <w:pStyle w:val="a3"/>
        <w:rPr>
          <w:kern w:val="0"/>
          <w:szCs w:val="24"/>
        </w:rPr>
      </w:pPr>
      <w:r>
        <w:rPr>
          <w:kern w:val="0"/>
          <w:szCs w:val="24"/>
        </w:rPr>
        <w:t>Abstract: Objective To estimate</w:t>
      </w:r>
      <w:r w:rsidR="003A1917">
        <w:rPr>
          <w:kern w:val="0"/>
          <w:szCs w:val="24"/>
        </w:rPr>
        <w:t xml:space="preserve"> the </w:t>
      </w:r>
      <w:r>
        <w:rPr>
          <w:kern w:val="0"/>
          <w:szCs w:val="24"/>
        </w:rPr>
        <w:t>burden</w:t>
      </w:r>
      <w:r w:rsidR="00427468">
        <w:rPr>
          <w:kern w:val="0"/>
          <w:szCs w:val="24"/>
        </w:rPr>
        <w:t xml:space="preserve"> of </w:t>
      </w:r>
      <w:r>
        <w:rPr>
          <w:kern w:val="0"/>
          <w:szCs w:val="24"/>
        </w:rPr>
        <w:t>melanoma resulting from sunbed use in western Europe. Design Systematic review</w:t>
      </w:r>
      <w:r w:rsidR="005853A9">
        <w:rPr>
          <w:kern w:val="0"/>
          <w:szCs w:val="24"/>
        </w:rPr>
        <w:t xml:space="preserve"> and </w:t>
      </w:r>
      <w:r>
        <w:rPr>
          <w:kern w:val="0"/>
          <w:szCs w:val="24"/>
        </w:rPr>
        <w:t xml:space="preserve">meta-analysis. Data sources PubMed,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(Science Citation Index Expanded), Embase, Pascal, Cochrane Library, LILACS,</w:t>
      </w:r>
      <w:r w:rsidR="005853A9">
        <w:rPr>
          <w:kern w:val="0"/>
          <w:szCs w:val="24"/>
        </w:rPr>
        <w:t xml:space="preserve"> and </w:t>
      </w:r>
      <w:r>
        <w:rPr>
          <w:kern w:val="0"/>
          <w:szCs w:val="24"/>
        </w:rPr>
        <w:t>MedCarib, along with published surveys reporting prevalence</w:t>
      </w:r>
      <w:r w:rsidR="00427468">
        <w:rPr>
          <w:kern w:val="0"/>
          <w:szCs w:val="24"/>
        </w:rPr>
        <w:t xml:space="preserve"> of </w:t>
      </w:r>
      <w:r>
        <w:rPr>
          <w:kern w:val="0"/>
          <w:szCs w:val="24"/>
        </w:rPr>
        <w:t>sunbed use at national level in Europe. Study selection Observational studies reporting a measure</w:t>
      </w:r>
      <w:r w:rsidR="00427468">
        <w:rPr>
          <w:kern w:val="0"/>
          <w:szCs w:val="24"/>
        </w:rPr>
        <w:t xml:space="preserve"> of </w:t>
      </w:r>
      <w:r>
        <w:rPr>
          <w:kern w:val="0"/>
          <w:szCs w:val="24"/>
        </w:rPr>
        <w:t>risk for skin cancer (cutaneous melanoma, squamous cell carcinoma, basal cell carcinoma) associated with ever use</w:t>
      </w:r>
      <w:r w:rsidR="00427468">
        <w:rPr>
          <w:kern w:val="0"/>
          <w:szCs w:val="24"/>
        </w:rPr>
        <w:t xml:space="preserve"> of </w:t>
      </w:r>
      <w:r>
        <w:rPr>
          <w:kern w:val="0"/>
          <w:szCs w:val="24"/>
        </w:rPr>
        <w:t>sunbeds. Results Based on 27 studies ever use</w:t>
      </w:r>
      <w:r w:rsidR="00427468">
        <w:rPr>
          <w:kern w:val="0"/>
          <w:szCs w:val="24"/>
        </w:rPr>
        <w:t xml:space="preserve"> of </w:t>
      </w:r>
      <w:r>
        <w:rPr>
          <w:kern w:val="0"/>
          <w:szCs w:val="24"/>
        </w:rPr>
        <w:t>sunbeds was associated with a summary relative risk</w:t>
      </w:r>
      <w:r w:rsidR="00427468">
        <w:rPr>
          <w:kern w:val="0"/>
          <w:szCs w:val="24"/>
        </w:rPr>
        <w:t xml:space="preserve"> of </w:t>
      </w:r>
      <w:r>
        <w:rPr>
          <w:kern w:val="0"/>
          <w:szCs w:val="24"/>
        </w:rPr>
        <w:t>1.20 (95% confidence interval 1.08 to 1.34). Publication bias was not evident. Restricting</w:t>
      </w:r>
      <w:r w:rsidR="003A1917">
        <w:rPr>
          <w:kern w:val="0"/>
          <w:szCs w:val="24"/>
        </w:rPr>
        <w:t xml:space="preserve"> the </w:t>
      </w:r>
      <w:r>
        <w:rPr>
          <w:kern w:val="0"/>
          <w:szCs w:val="24"/>
        </w:rPr>
        <w:t>analysis to cohorts</w:t>
      </w:r>
      <w:r w:rsidR="005853A9">
        <w:rPr>
          <w:kern w:val="0"/>
          <w:szCs w:val="24"/>
        </w:rPr>
        <w:t xml:space="preserve"> and </w:t>
      </w:r>
      <w:r>
        <w:rPr>
          <w:kern w:val="0"/>
          <w:szCs w:val="24"/>
        </w:rPr>
        <w:t>population based studies,</w:t>
      </w:r>
      <w:r w:rsidR="003A1917">
        <w:rPr>
          <w:kern w:val="0"/>
          <w:szCs w:val="24"/>
        </w:rPr>
        <w:t xml:space="preserve"> the </w:t>
      </w:r>
      <w:r>
        <w:rPr>
          <w:kern w:val="0"/>
          <w:szCs w:val="24"/>
        </w:rPr>
        <w:t>summary relative risk was 1.25 (1.09 to 1.43). Calculations for dose-response showed a 1.8% (95% confidence interval 0% to 3.8%) increase in risk</w:t>
      </w:r>
      <w:r w:rsidR="00427468">
        <w:rPr>
          <w:kern w:val="0"/>
          <w:szCs w:val="24"/>
        </w:rPr>
        <w:t xml:space="preserve"> of </w:t>
      </w:r>
      <w:r>
        <w:rPr>
          <w:kern w:val="0"/>
          <w:szCs w:val="24"/>
        </w:rPr>
        <w:t>melanoma for each additional session</w:t>
      </w:r>
      <w:r w:rsidR="00427468">
        <w:rPr>
          <w:kern w:val="0"/>
          <w:szCs w:val="24"/>
        </w:rPr>
        <w:t xml:space="preserve"> of </w:t>
      </w:r>
      <w:r>
        <w:rPr>
          <w:kern w:val="0"/>
          <w:szCs w:val="24"/>
        </w:rPr>
        <w:t>sunbed use per year. Based on 13 informative studies, first use</w:t>
      </w:r>
      <w:r w:rsidR="00427468">
        <w:rPr>
          <w:kern w:val="0"/>
          <w:szCs w:val="24"/>
        </w:rPr>
        <w:t xml:space="preserve"> of </w:t>
      </w:r>
      <w:r>
        <w:rPr>
          <w:kern w:val="0"/>
          <w:szCs w:val="24"/>
        </w:rPr>
        <w:t>sunbeds before age 35 years was associated with a summary relative risk</w:t>
      </w:r>
      <w:r w:rsidR="00427468">
        <w:rPr>
          <w:kern w:val="0"/>
          <w:szCs w:val="24"/>
        </w:rPr>
        <w:t xml:space="preserve"> of </w:t>
      </w:r>
      <w:r>
        <w:rPr>
          <w:kern w:val="0"/>
          <w:szCs w:val="24"/>
        </w:rPr>
        <w:t>1.87 (1.41 to 2.48), with no indication</w:t>
      </w:r>
      <w:r w:rsidR="00427468">
        <w:rPr>
          <w:kern w:val="0"/>
          <w:szCs w:val="24"/>
        </w:rPr>
        <w:t xml:space="preserve"> of </w:t>
      </w:r>
      <w:r>
        <w:rPr>
          <w:kern w:val="0"/>
          <w:szCs w:val="24"/>
        </w:rPr>
        <w:t>heterogeneity between studies. By using prevalence data from surveys</w:t>
      </w:r>
      <w:r w:rsidR="005853A9">
        <w:rPr>
          <w:kern w:val="0"/>
          <w:szCs w:val="24"/>
        </w:rPr>
        <w:t xml:space="preserve"> and </w:t>
      </w:r>
      <w:r>
        <w:rPr>
          <w:kern w:val="0"/>
          <w:szCs w:val="24"/>
        </w:rPr>
        <w:t>data from GLOBOCAN 2008, in 2008 in</w:t>
      </w:r>
      <w:r w:rsidR="003A1917">
        <w:rPr>
          <w:kern w:val="0"/>
          <w:szCs w:val="24"/>
        </w:rPr>
        <w:t xml:space="preserve"> the </w:t>
      </w:r>
      <w:r>
        <w:rPr>
          <w:kern w:val="0"/>
          <w:szCs w:val="24"/>
        </w:rPr>
        <w:t>15 original member countries</w:t>
      </w:r>
      <w:r w:rsidR="00427468">
        <w:rPr>
          <w:kern w:val="0"/>
          <w:szCs w:val="24"/>
        </w:rPr>
        <w:t xml:space="preserve"> of </w:t>
      </w:r>
      <w:r w:rsidR="003A1917">
        <w:rPr>
          <w:kern w:val="0"/>
          <w:szCs w:val="24"/>
        </w:rPr>
        <w:t xml:space="preserve">the </w:t>
      </w:r>
      <w:r>
        <w:rPr>
          <w:kern w:val="0"/>
          <w:szCs w:val="24"/>
        </w:rPr>
        <w:t>European Community plus three countries that were members</w:t>
      </w:r>
      <w:r w:rsidR="00427468">
        <w:rPr>
          <w:kern w:val="0"/>
          <w:szCs w:val="24"/>
        </w:rPr>
        <w:t xml:space="preserve"> of </w:t>
      </w:r>
      <w:r w:rsidR="003A1917">
        <w:rPr>
          <w:kern w:val="0"/>
          <w:szCs w:val="24"/>
        </w:rPr>
        <w:t xml:space="preserve">the </w:t>
      </w:r>
      <w:r>
        <w:rPr>
          <w:kern w:val="0"/>
          <w:szCs w:val="24"/>
        </w:rPr>
        <w:t>European Free Trade Association, an estimated 3438 cases</w:t>
      </w:r>
      <w:r w:rsidR="00427468">
        <w:rPr>
          <w:kern w:val="0"/>
          <w:szCs w:val="24"/>
        </w:rPr>
        <w:t xml:space="preserve"> of </w:t>
      </w:r>
      <w:r>
        <w:rPr>
          <w:kern w:val="0"/>
          <w:szCs w:val="24"/>
        </w:rPr>
        <w:t>melanoma could be attributable to sunbed use, most (n=2341) occurring among women. Conclusions Sunbed use is associated with a significant increase in risk</w:t>
      </w:r>
      <w:r w:rsidR="00427468">
        <w:rPr>
          <w:kern w:val="0"/>
          <w:szCs w:val="24"/>
        </w:rPr>
        <w:t xml:space="preserve"> of </w:t>
      </w:r>
      <w:r>
        <w:rPr>
          <w:kern w:val="0"/>
          <w:szCs w:val="24"/>
        </w:rPr>
        <w:t>melanoma. This risk increases with number</w:t>
      </w:r>
      <w:r w:rsidR="00427468">
        <w:rPr>
          <w:kern w:val="0"/>
          <w:szCs w:val="24"/>
        </w:rPr>
        <w:t xml:space="preserve"> of </w:t>
      </w:r>
      <w:r>
        <w:rPr>
          <w:kern w:val="0"/>
          <w:szCs w:val="24"/>
        </w:rPr>
        <w:t>sunbed sessions</w:t>
      </w:r>
      <w:r w:rsidR="005853A9">
        <w:rPr>
          <w:kern w:val="0"/>
          <w:szCs w:val="24"/>
        </w:rPr>
        <w:t xml:space="preserve"> and </w:t>
      </w:r>
      <w:r>
        <w:rPr>
          <w:kern w:val="0"/>
          <w:szCs w:val="24"/>
        </w:rPr>
        <w:t xml:space="preserve">with initial </w:t>
      </w:r>
      <w:r w:rsidR="00D5664A">
        <w:rPr>
          <w:kern w:val="0"/>
          <w:szCs w:val="24"/>
        </w:rPr>
        <w:t>USA</w:t>
      </w:r>
      <w:r>
        <w:rPr>
          <w:kern w:val="0"/>
          <w:szCs w:val="24"/>
        </w:rPr>
        <w:t>ge at a young age (&lt;35 years)</w:t>
      </w:r>
      <w:r w:rsidR="00A37C1D">
        <w:rPr>
          <w:kern w:val="0"/>
          <w:szCs w:val="24"/>
        </w:rPr>
        <w:t>. The</w:t>
      </w:r>
      <w:r w:rsidR="003A1917">
        <w:rPr>
          <w:kern w:val="0"/>
          <w:szCs w:val="24"/>
        </w:rPr>
        <w:t xml:space="preserve"> </w:t>
      </w:r>
      <w:r>
        <w:rPr>
          <w:kern w:val="0"/>
          <w:szCs w:val="24"/>
        </w:rPr>
        <w:t>cancerous damage associated with sunbed use is substantial</w:t>
      </w:r>
      <w:r w:rsidR="005853A9">
        <w:rPr>
          <w:kern w:val="0"/>
          <w:szCs w:val="24"/>
        </w:rPr>
        <w:t xml:space="preserve"> and </w:t>
      </w:r>
      <w:r>
        <w:rPr>
          <w:kern w:val="0"/>
          <w:szCs w:val="24"/>
        </w:rPr>
        <w:t>could be avoided by strict regulations.</w:t>
      </w:r>
    </w:p>
    <w:p w:rsidR="000D4317" w:rsidRDefault="000D4317" w:rsidP="000D4317">
      <w:pPr>
        <w:pStyle w:val="a3"/>
        <w:rPr>
          <w:kern w:val="0"/>
          <w:szCs w:val="24"/>
        </w:rPr>
      </w:pPr>
      <w:r>
        <w:rPr>
          <w:kern w:val="0"/>
          <w:szCs w:val="24"/>
        </w:rPr>
        <w:t>Keywords: Age, Analysis, Basal-Cell Carcinoma, Bias, Burden, Cancer, Citation, Confidence, Damage, Data, Europe, First, Heterogeneity, Iceland Possible Influence, Indication, Intermittent Exposure, Interval</w:t>
      </w:r>
      <w:r w:rsidR="00D5664A">
        <w:rPr>
          <w:kern w:val="0"/>
          <w:szCs w:val="24"/>
        </w:rPr>
        <w:t>, ISI,</w:t>
      </w:r>
      <w:r>
        <w:rPr>
          <w:kern w:val="0"/>
          <w:szCs w:val="24"/>
        </w:rPr>
        <w:t xml:space="preserve"> </w:t>
      </w:r>
      <w:r w:rsidR="00730B6D">
        <w:rPr>
          <w:kern w:val="0"/>
          <w:szCs w:val="24"/>
        </w:rPr>
        <w:t xml:space="preserve">ISI </w:t>
      </w:r>
      <w:r w:rsidR="00D5664A">
        <w:rPr>
          <w:kern w:val="0"/>
          <w:szCs w:val="24"/>
        </w:rPr>
        <w:t>Web</w:t>
      </w:r>
      <w:r w:rsidR="00427468">
        <w:rPr>
          <w:kern w:val="0"/>
          <w:szCs w:val="24"/>
        </w:rPr>
        <w:t xml:space="preserve"> of </w:t>
      </w:r>
      <w:r w:rsidR="00D5664A">
        <w:rPr>
          <w:kern w:val="0"/>
          <w:szCs w:val="24"/>
        </w:rPr>
        <w:t>Science</w:t>
      </w:r>
      <w:r>
        <w:rPr>
          <w:kern w:val="0"/>
          <w:szCs w:val="24"/>
        </w:rPr>
        <w:t xml:space="preserve">, Malignant-Melanoma, Measure, Melanoma, Meta-Analysis, Metaanalysis, Northern-Ireland, Population, Population Based, Population-Based, Prevalence, Protective Factor, Publication, Pubmed, Regulations, Relative Risk, Reporting, Review, Risk, Risk-Factors, Science, Science Citation Index, Science Citation Index Expanded, Skin, Skin Cancers, Sources, Squamous Cell Carcinoma, Surveys, Systematic Review, Tanning Devices, Ultraviolet-Radiation, </w:t>
      </w:r>
      <w:r w:rsidR="00D5664A">
        <w:rPr>
          <w:kern w:val="0"/>
          <w:szCs w:val="24"/>
        </w:rPr>
        <w:t>Web</w:t>
      </w:r>
      <w:r w:rsidR="00427468">
        <w:rPr>
          <w:kern w:val="0"/>
          <w:szCs w:val="24"/>
        </w:rPr>
        <w:t xml:space="preserve"> of </w:t>
      </w:r>
      <w:r w:rsidR="00D5664A">
        <w:rPr>
          <w:kern w:val="0"/>
          <w:szCs w:val="24"/>
        </w:rPr>
        <w:t>Science</w:t>
      </w:r>
      <w:r>
        <w:rPr>
          <w:kern w:val="0"/>
          <w:szCs w:val="24"/>
        </w:rPr>
        <w:t>, Women</w:t>
      </w:r>
    </w:p>
    <w:p w:rsidR="00111E21" w:rsidRDefault="00111E21" w:rsidP="00111E21">
      <w:pPr>
        <w:pStyle w:val="a3"/>
        <w:rPr>
          <w:kern w:val="0"/>
        </w:rPr>
      </w:pPr>
      <w:r>
        <w:rPr>
          <w:rFonts w:hint="eastAsia"/>
          <w:kern w:val="0"/>
          <w:szCs w:val="24"/>
        </w:rPr>
        <w:t xml:space="preserve">? </w:t>
      </w:r>
      <w:r>
        <w:rPr>
          <w:kern w:val="0"/>
          <w:szCs w:val="24"/>
        </w:rPr>
        <w:t>Chowdhury, R., Stevens, S., Gorman, D., Pan, A., Warnakula, S., Chowdhury, S., Ward, H., Johnson, L., Crowe, F., Hu, F.B.</w:t>
      </w:r>
      <w:r w:rsidR="005853A9">
        <w:rPr>
          <w:kern w:val="0"/>
          <w:szCs w:val="24"/>
        </w:rPr>
        <w:t xml:space="preserve"> and </w:t>
      </w:r>
      <w:r>
        <w:rPr>
          <w:kern w:val="0"/>
          <w:szCs w:val="24"/>
        </w:rPr>
        <w:t>Franco, O.H. (2012), Association between fish consumption, long chain omega 3 fatty acids,</w:t>
      </w:r>
      <w:r w:rsidR="005853A9">
        <w:rPr>
          <w:kern w:val="0"/>
          <w:szCs w:val="24"/>
        </w:rPr>
        <w:t xml:space="preserve"> and </w:t>
      </w:r>
      <w:r>
        <w:rPr>
          <w:kern w:val="0"/>
          <w:szCs w:val="24"/>
        </w:rPr>
        <w:t>risk</w:t>
      </w:r>
      <w:r w:rsidR="00427468">
        <w:rPr>
          <w:kern w:val="0"/>
          <w:szCs w:val="24"/>
        </w:rPr>
        <w:t xml:space="preserve"> of </w:t>
      </w:r>
      <w:r>
        <w:rPr>
          <w:kern w:val="0"/>
          <w:szCs w:val="24"/>
        </w:rPr>
        <w:t>cerebrovascular disease: Systematic review</w:t>
      </w:r>
      <w:r w:rsidR="005853A9">
        <w:rPr>
          <w:kern w:val="0"/>
          <w:szCs w:val="24"/>
        </w:rPr>
        <w:t xml:space="preserve"> and </w:t>
      </w:r>
      <w:r>
        <w:rPr>
          <w:kern w:val="0"/>
          <w:szCs w:val="24"/>
        </w:rPr>
        <w:t xml:space="preserve">meta-analysis. </w:t>
      </w:r>
      <w:r>
        <w:rPr>
          <w:i/>
          <w:iCs/>
          <w:kern w:val="0"/>
          <w:szCs w:val="24"/>
        </w:rPr>
        <w:t xml:space="preserve">British Medical </w:t>
      </w:r>
      <w:r>
        <w:rPr>
          <w:i/>
          <w:iCs/>
          <w:kern w:val="0"/>
          <w:szCs w:val="24"/>
        </w:rPr>
        <w:lastRenderedPageBreak/>
        <w:t>Journal</w:t>
      </w:r>
      <w:r>
        <w:rPr>
          <w:kern w:val="0"/>
          <w:szCs w:val="24"/>
        </w:rPr>
        <w:t xml:space="preserve">, </w:t>
      </w:r>
      <w:r>
        <w:rPr>
          <w:b/>
          <w:bCs/>
          <w:kern w:val="0"/>
          <w:szCs w:val="24"/>
        </w:rPr>
        <w:t>345</w:t>
      </w:r>
      <w:r>
        <w:rPr>
          <w:rFonts w:hint="eastAsia"/>
          <w:kern w:val="0"/>
          <w:szCs w:val="24"/>
        </w:rPr>
        <w:t>,</w:t>
      </w:r>
      <w:r w:rsidRPr="00E14B7C">
        <w:rPr>
          <w:rFonts w:hint="eastAsia"/>
        </w:rPr>
        <w:t xml:space="preserve"> </w:t>
      </w:r>
      <w:r>
        <w:rPr>
          <w:rFonts w:hint="eastAsia"/>
        </w:rPr>
        <w:t xml:space="preserve">Article Number: </w:t>
      </w:r>
      <w:r w:rsidRPr="00E14B7C">
        <w:t>e6698</w:t>
      </w:r>
      <w:r>
        <w:rPr>
          <w:rFonts w:hint="eastAsia"/>
        </w:rPr>
        <w:t>.</w:t>
      </w:r>
    </w:p>
    <w:p w:rsidR="00111E21" w:rsidRPr="00E14B7C" w:rsidRDefault="00111E21" w:rsidP="00111E21">
      <w:pPr>
        <w:pStyle w:val="a3"/>
        <w:rPr>
          <w:kern w:val="0"/>
          <w:szCs w:val="24"/>
        </w:rPr>
      </w:pPr>
      <w:r>
        <w:rPr>
          <w:rFonts w:hint="eastAsia"/>
        </w:rPr>
        <w:t xml:space="preserve">Full Text: </w:t>
      </w:r>
      <w:hyperlink r:id="rId2081" w:history="1">
        <w:r w:rsidRPr="00DE6C8F">
          <w:rPr>
            <w:rStyle w:val="a5"/>
          </w:rPr>
          <w:t>2012\Bri Med J345, e6698.pdf</w:t>
        </w:r>
      </w:hyperlink>
    </w:p>
    <w:p w:rsidR="00111E21" w:rsidRDefault="00111E21" w:rsidP="00111E21">
      <w:pPr>
        <w:pStyle w:val="a3"/>
        <w:rPr>
          <w:kern w:val="0"/>
          <w:szCs w:val="24"/>
        </w:rPr>
      </w:pPr>
      <w:r>
        <w:rPr>
          <w:kern w:val="0"/>
          <w:szCs w:val="24"/>
        </w:rPr>
        <w:t>Abstract: Objective To clarify associations</w:t>
      </w:r>
      <w:r w:rsidR="00427468">
        <w:rPr>
          <w:kern w:val="0"/>
          <w:szCs w:val="24"/>
        </w:rPr>
        <w:t xml:space="preserve"> of </w:t>
      </w:r>
      <w:r>
        <w:rPr>
          <w:kern w:val="0"/>
          <w:szCs w:val="24"/>
        </w:rPr>
        <w:t>fish consumption</w:t>
      </w:r>
      <w:r w:rsidR="005853A9">
        <w:rPr>
          <w:kern w:val="0"/>
          <w:szCs w:val="24"/>
        </w:rPr>
        <w:t xml:space="preserve"> and </w:t>
      </w:r>
      <w:r>
        <w:rPr>
          <w:kern w:val="0"/>
          <w:szCs w:val="24"/>
        </w:rPr>
        <w:t>long chain omega 3 fatty acids with risk</w:t>
      </w:r>
      <w:r w:rsidR="00427468">
        <w:rPr>
          <w:kern w:val="0"/>
          <w:szCs w:val="24"/>
        </w:rPr>
        <w:t xml:space="preserve"> of </w:t>
      </w:r>
      <w:r>
        <w:rPr>
          <w:kern w:val="0"/>
          <w:szCs w:val="24"/>
        </w:rPr>
        <w:t>cerebrovascular disease for primary</w:t>
      </w:r>
      <w:r w:rsidR="005853A9">
        <w:rPr>
          <w:kern w:val="0"/>
          <w:szCs w:val="24"/>
        </w:rPr>
        <w:t xml:space="preserve"> and </w:t>
      </w:r>
      <w:r>
        <w:rPr>
          <w:kern w:val="0"/>
          <w:szCs w:val="24"/>
        </w:rPr>
        <w:t>secondary prevention. Design Systematic review</w:t>
      </w:r>
      <w:r w:rsidR="005853A9">
        <w:rPr>
          <w:kern w:val="0"/>
          <w:szCs w:val="24"/>
        </w:rPr>
        <w:t xml:space="preserve"> and </w:t>
      </w:r>
      <w:r>
        <w:rPr>
          <w:kern w:val="0"/>
          <w:szCs w:val="24"/>
        </w:rPr>
        <w:t xml:space="preserve">meta-analysis. Data sources Studies published before September 2012 identified through electronic searches using </w:t>
      </w:r>
      <w:r w:rsidR="00D5664A">
        <w:rPr>
          <w:kern w:val="0"/>
          <w:szCs w:val="24"/>
        </w:rPr>
        <w:t>MEDLINE</w:t>
      </w:r>
      <w:r>
        <w:rPr>
          <w:kern w:val="0"/>
          <w:szCs w:val="24"/>
        </w:rPr>
        <w:t>, Embase, BIOSIS,</w:t>
      </w:r>
      <w:r w:rsidR="005853A9">
        <w:rPr>
          <w:kern w:val="0"/>
          <w:szCs w:val="24"/>
        </w:rPr>
        <w:t xml:space="preserve"> and </w:t>
      </w:r>
      <w:r>
        <w:rPr>
          <w:kern w:val="0"/>
          <w:szCs w:val="24"/>
        </w:rPr>
        <w:t>Science Citation Index databases. Eligibility criteria Prospective cohort studies</w:t>
      </w:r>
      <w:r w:rsidR="005853A9">
        <w:rPr>
          <w:kern w:val="0"/>
          <w:szCs w:val="24"/>
        </w:rPr>
        <w:t xml:space="preserve"> and </w:t>
      </w:r>
      <w:r>
        <w:rPr>
          <w:kern w:val="0"/>
          <w:szCs w:val="24"/>
        </w:rPr>
        <w:t>randomised controlled trials reporting on associations</w:t>
      </w:r>
      <w:r w:rsidR="00427468">
        <w:rPr>
          <w:kern w:val="0"/>
          <w:szCs w:val="24"/>
        </w:rPr>
        <w:t xml:space="preserve"> of </w:t>
      </w:r>
      <w:r>
        <w:rPr>
          <w:kern w:val="0"/>
          <w:szCs w:val="24"/>
        </w:rPr>
        <w:t>fish consumption</w:t>
      </w:r>
      <w:r w:rsidR="005853A9">
        <w:rPr>
          <w:kern w:val="0"/>
          <w:szCs w:val="24"/>
        </w:rPr>
        <w:t xml:space="preserve"> and </w:t>
      </w:r>
      <w:r>
        <w:rPr>
          <w:kern w:val="0"/>
          <w:szCs w:val="24"/>
        </w:rPr>
        <w:t>long chain omega 3 fatty acids (based on dietary self report), omega 3 fatty acids biomarkers, or supplementations with cerebrovascular disease (defined as any fatal or non-fatal ischaemic stroke, haemorrhagic stroke, cerebrovascular accident, or transient ischaemic attack). Both primary</w:t>
      </w:r>
      <w:r w:rsidR="005853A9">
        <w:rPr>
          <w:kern w:val="0"/>
          <w:szCs w:val="24"/>
        </w:rPr>
        <w:t xml:space="preserve"> and </w:t>
      </w:r>
      <w:r>
        <w:rPr>
          <w:kern w:val="0"/>
          <w:szCs w:val="24"/>
        </w:rPr>
        <w:t>secondary prevention studies (comprising participants with or without cardiovascular disease at baseline) were eligible. Results 26 prospective cohort studies</w:t>
      </w:r>
      <w:r w:rsidR="005853A9">
        <w:rPr>
          <w:kern w:val="0"/>
          <w:szCs w:val="24"/>
        </w:rPr>
        <w:t xml:space="preserve"> and </w:t>
      </w:r>
      <w:r>
        <w:rPr>
          <w:kern w:val="0"/>
          <w:szCs w:val="24"/>
        </w:rPr>
        <w:t>12 randomised controlled trials with aggregate data on 794 000 non-overlapping people</w:t>
      </w:r>
      <w:r w:rsidR="005853A9">
        <w:rPr>
          <w:kern w:val="0"/>
          <w:szCs w:val="24"/>
        </w:rPr>
        <w:t xml:space="preserve"> and </w:t>
      </w:r>
      <w:r>
        <w:rPr>
          <w:kern w:val="0"/>
          <w:szCs w:val="24"/>
        </w:rPr>
        <w:t>34 817 cerebrovascular outcomes were included. In cohort studies comparing categories</w:t>
      </w:r>
      <w:r w:rsidR="00427468">
        <w:rPr>
          <w:kern w:val="0"/>
          <w:szCs w:val="24"/>
        </w:rPr>
        <w:t xml:space="preserve"> of </w:t>
      </w:r>
      <w:r>
        <w:rPr>
          <w:kern w:val="0"/>
          <w:szCs w:val="24"/>
        </w:rPr>
        <w:t>fish intake</w:t>
      </w:r>
      <w:r w:rsidR="003A1917">
        <w:rPr>
          <w:kern w:val="0"/>
          <w:szCs w:val="24"/>
        </w:rPr>
        <w:t xml:space="preserve"> the </w:t>
      </w:r>
      <w:r>
        <w:rPr>
          <w:kern w:val="0"/>
          <w:szCs w:val="24"/>
        </w:rPr>
        <w:t>pooled relative risk for cerebrovascular disease for 2-4 servings a week versus &lt;= 1 servings a week was 0.94 (95% confidence intervals 0.90 to 0.98)</w:t>
      </w:r>
      <w:r w:rsidR="005853A9">
        <w:rPr>
          <w:kern w:val="0"/>
          <w:szCs w:val="24"/>
        </w:rPr>
        <w:t xml:space="preserve"> and </w:t>
      </w:r>
      <w:r>
        <w:rPr>
          <w:kern w:val="0"/>
          <w:szCs w:val="24"/>
        </w:rPr>
        <w:t>for &gt;= 5 servings a week versus 1 serving a week was 0.88 (0.81 to 0.96)</w:t>
      </w:r>
      <w:r w:rsidR="00A37C1D">
        <w:rPr>
          <w:kern w:val="0"/>
          <w:szCs w:val="24"/>
        </w:rPr>
        <w:t>. The</w:t>
      </w:r>
      <w:r w:rsidR="003A1917">
        <w:rPr>
          <w:kern w:val="0"/>
          <w:szCs w:val="24"/>
        </w:rPr>
        <w:t xml:space="preserve"> </w:t>
      </w:r>
      <w:r>
        <w:rPr>
          <w:kern w:val="0"/>
          <w:szCs w:val="24"/>
        </w:rPr>
        <w:t>relative risk for cerebrovascular disease comparing</w:t>
      </w:r>
      <w:r w:rsidR="003A1917">
        <w:rPr>
          <w:kern w:val="0"/>
          <w:szCs w:val="24"/>
        </w:rPr>
        <w:t xml:space="preserve"> the </w:t>
      </w:r>
      <w:r>
        <w:rPr>
          <w:kern w:val="0"/>
          <w:szCs w:val="24"/>
        </w:rPr>
        <w:t>top thirds</w:t>
      </w:r>
      <w:r w:rsidR="00427468">
        <w:rPr>
          <w:kern w:val="0"/>
          <w:szCs w:val="24"/>
        </w:rPr>
        <w:t xml:space="preserve"> of </w:t>
      </w:r>
      <w:r>
        <w:rPr>
          <w:kern w:val="0"/>
          <w:szCs w:val="24"/>
        </w:rPr>
        <w:t>baseline long chain omega 3 fatty acids with</w:t>
      </w:r>
      <w:r w:rsidR="003A1917">
        <w:rPr>
          <w:kern w:val="0"/>
          <w:szCs w:val="24"/>
        </w:rPr>
        <w:t xml:space="preserve"> the </w:t>
      </w:r>
      <w:r>
        <w:rPr>
          <w:kern w:val="0"/>
          <w:szCs w:val="24"/>
        </w:rPr>
        <w:t>bottom thirds for circulating biomarkers was 1.04 (0.90 to 1.20)</w:t>
      </w:r>
      <w:r w:rsidR="005853A9">
        <w:rPr>
          <w:kern w:val="0"/>
          <w:szCs w:val="24"/>
        </w:rPr>
        <w:t xml:space="preserve"> and </w:t>
      </w:r>
      <w:r>
        <w:rPr>
          <w:kern w:val="0"/>
          <w:szCs w:val="24"/>
        </w:rPr>
        <w:t>for dietary exposures was 0.90 (0.80 to 1.01). In</w:t>
      </w:r>
      <w:r w:rsidR="003A1917">
        <w:rPr>
          <w:kern w:val="0"/>
          <w:szCs w:val="24"/>
        </w:rPr>
        <w:t xml:space="preserve"> the </w:t>
      </w:r>
      <w:r>
        <w:rPr>
          <w:kern w:val="0"/>
          <w:szCs w:val="24"/>
        </w:rPr>
        <w:t>randomised controlled trials</w:t>
      </w:r>
      <w:r w:rsidR="003A1917">
        <w:rPr>
          <w:kern w:val="0"/>
          <w:szCs w:val="24"/>
        </w:rPr>
        <w:t xml:space="preserve"> the </w:t>
      </w:r>
      <w:r>
        <w:rPr>
          <w:kern w:val="0"/>
          <w:szCs w:val="24"/>
        </w:rPr>
        <w:t>relative risk for cerebrovascular disease in</w:t>
      </w:r>
      <w:r w:rsidR="003A1917">
        <w:rPr>
          <w:kern w:val="0"/>
          <w:szCs w:val="24"/>
        </w:rPr>
        <w:t xml:space="preserve"> the </w:t>
      </w:r>
      <w:r>
        <w:rPr>
          <w:kern w:val="0"/>
          <w:szCs w:val="24"/>
        </w:rPr>
        <w:t>long chain omega 3 supplement compared with</w:t>
      </w:r>
      <w:r w:rsidR="003A1917">
        <w:rPr>
          <w:kern w:val="0"/>
          <w:szCs w:val="24"/>
        </w:rPr>
        <w:t xml:space="preserve"> the </w:t>
      </w:r>
      <w:r>
        <w:rPr>
          <w:kern w:val="0"/>
          <w:szCs w:val="24"/>
        </w:rPr>
        <w:t>control group in primary prevention trials was 0.98 (0.89 to 1.08)</w:t>
      </w:r>
      <w:r w:rsidR="005853A9">
        <w:rPr>
          <w:kern w:val="0"/>
          <w:szCs w:val="24"/>
        </w:rPr>
        <w:t xml:space="preserve"> and </w:t>
      </w:r>
      <w:r>
        <w:rPr>
          <w:kern w:val="0"/>
          <w:szCs w:val="24"/>
        </w:rPr>
        <w:t>in secondary prevention trials was 1.17 (0.99 to 1.38). For fish or omega 3 fatty acids</w:t>
      </w:r>
      <w:r w:rsidR="003A1917">
        <w:rPr>
          <w:kern w:val="0"/>
          <w:szCs w:val="24"/>
        </w:rPr>
        <w:t xml:space="preserve"> the </w:t>
      </w:r>
      <w:r>
        <w:rPr>
          <w:kern w:val="0"/>
          <w:szCs w:val="24"/>
        </w:rPr>
        <w:t>estimates for ischaemic</w:t>
      </w:r>
      <w:r w:rsidR="005853A9">
        <w:rPr>
          <w:kern w:val="0"/>
          <w:szCs w:val="24"/>
        </w:rPr>
        <w:t xml:space="preserve"> and </w:t>
      </w:r>
      <w:r>
        <w:rPr>
          <w:kern w:val="0"/>
          <w:szCs w:val="24"/>
        </w:rPr>
        <w:t>haemorrhagic cerebrovascular events were broadly similar. Evidence was lacking</w:t>
      </w:r>
      <w:r w:rsidR="00427468">
        <w:rPr>
          <w:kern w:val="0"/>
          <w:szCs w:val="24"/>
        </w:rPr>
        <w:t xml:space="preserve"> of </w:t>
      </w:r>
      <w:r>
        <w:rPr>
          <w:kern w:val="0"/>
          <w:szCs w:val="24"/>
        </w:rPr>
        <w:t>heterogeneity</w:t>
      </w:r>
      <w:r w:rsidR="005853A9">
        <w:rPr>
          <w:kern w:val="0"/>
          <w:szCs w:val="24"/>
        </w:rPr>
        <w:t xml:space="preserve"> and </w:t>
      </w:r>
      <w:r>
        <w:rPr>
          <w:kern w:val="0"/>
          <w:szCs w:val="24"/>
        </w:rPr>
        <w:t>publication bias across studies or within subgroups. Conclusions Available observational data indicate moderate, inverse associations</w:t>
      </w:r>
      <w:r w:rsidR="00427468">
        <w:rPr>
          <w:kern w:val="0"/>
          <w:szCs w:val="24"/>
        </w:rPr>
        <w:t xml:space="preserve"> of </w:t>
      </w:r>
      <w:r>
        <w:rPr>
          <w:kern w:val="0"/>
          <w:szCs w:val="24"/>
        </w:rPr>
        <w:t>fish consumption</w:t>
      </w:r>
      <w:r w:rsidR="005853A9">
        <w:rPr>
          <w:kern w:val="0"/>
          <w:szCs w:val="24"/>
        </w:rPr>
        <w:t xml:space="preserve"> and </w:t>
      </w:r>
      <w:r>
        <w:rPr>
          <w:kern w:val="0"/>
          <w:szCs w:val="24"/>
        </w:rPr>
        <w:t>long chain omega 3 fatty acids with cerebrovascular risk. Long chain omega 3 fatty acids measured as circulating biomarkers in observational studies or supplements in primary</w:t>
      </w:r>
      <w:r w:rsidR="005853A9">
        <w:rPr>
          <w:kern w:val="0"/>
          <w:szCs w:val="24"/>
        </w:rPr>
        <w:t xml:space="preserve"> and </w:t>
      </w:r>
      <w:r>
        <w:rPr>
          <w:kern w:val="0"/>
          <w:szCs w:val="24"/>
        </w:rPr>
        <w:t>secondary prevention trials were not associated with cerebrovascular disease</w:t>
      </w:r>
      <w:r w:rsidR="00A37C1D">
        <w:rPr>
          <w:kern w:val="0"/>
          <w:szCs w:val="24"/>
        </w:rPr>
        <w:t>. The</w:t>
      </w:r>
      <w:r w:rsidR="003A1917">
        <w:rPr>
          <w:kern w:val="0"/>
          <w:szCs w:val="24"/>
        </w:rPr>
        <w:t xml:space="preserve"> </w:t>
      </w:r>
      <w:r>
        <w:rPr>
          <w:kern w:val="0"/>
          <w:szCs w:val="24"/>
        </w:rPr>
        <w:t>beneficial effect</w:t>
      </w:r>
      <w:r w:rsidR="00427468">
        <w:rPr>
          <w:kern w:val="0"/>
          <w:szCs w:val="24"/>
        </w:rPr>
        <w:t xml:space="preserve"> of </w:t>
      </w:r>
      <w:r>
        <w:rPr>
          <w:kern w:val="0"/>
          <w:szCs w:val="24"/>
        </w:rPr>
        <w:t>fish intake on cerebrovascular risk is likely to be mediated through</w:t>
      </w:r>
      <w:r w:rsidR="003A1917">
        <w:rPr>
          <w:kern w:val="0"/>
          <w:szCs w:val="24"/>
        </w:rPr>
        <w:t xml:space="preserve"> the </w:t>
      </w:r>
      <w:r>
        <w:rPr>
          <w:kern w:val="0"/>
          <w:szCs w:val="24"/>
        </w:rPr>
        <w:t>interplay</w:t>
      </w:r>
      <w:r w:rsidR="00427468">
        <w:rPr>
          <w:kern w:val="0"/>
          <w:szCs w:val="24"/>
        </w:rPr>
        <w:t xml:space="preserve"> of </w:t>
      </w:r>
      <w:r>
        <w:rPr>
          <w:kern w:val="0"/>
          <w:szCs w:val="24"/>
        </w:rPr>
        <w:t>a wide range</w:t>
      </w:r>
      <w:r w:rsidR="00427468">
        <w:rPr>
          <w:kern w:val="0"/>
          <w:szCs w:val="24"/>
        </w:rPr>
        <w:t xml:space="preserve"> of </w:t>
      </w:r>
      <w:r>
        <w:rPr>
          <w:kern w:val="0"/>
          <w:szCs w:val="24"/>
        </w:rPr>
        <w:t>nutrients abundant in fish.</w:t>
      </w:r>
    </w:p>
    <w:p w:rsidR="00111E21" w:rsidRDefault="00111E21" w:rsidP="00111E21">
      <w:pPr>
        <w:pStyle w:val="a3"/>
        <w:rPr>
          <w:kern w:val="0"/>
          <w:szCs w:val="24"/>
        </w:rPr>
      </w:pPr>
      <w:r>
        <w:rPr>
          <w:kern w:val="0"/>
          <w:szCs w:val="24"/>
        </w:rPr>
        <w:t xml:space="preserve">Keywords: Accident, Bias, Biomarkers, Cancer, Cardiovascular, Cardiovascular Disease, Cardiovascular-Disease, Cerebrovascular Accident, Cerebrovascular Disease, Citation, Cohort, Confidence, Confidence Intervals, Consumption, Control, Coronary-Heart-Disease, Criteria, Data, Databases, Disease, Estimates, Events, Exposures, Fish, Guidelines, Heterogeneity, Intervals, </w:t>
      </w:r>
      <w:r w:rsidR="00D5664A">
        <w:rPr>
          <w:kern w:val="0"/>
          <w:szCs w:val="24"/>
        </w:rPr>
        <w:t>MEDLINE</w:t>
      </w:r>
      <w:r>
        <w:rPr>
          <w:kern w:val="0"/>
          <w:szCs w:val="24"/>
        </w:rPr>
        <w:t xml:space="preserve">, Men, </w:t>
      </w:r>
      <w:r>
        <w:rPr>
          <w:kern w:val="0"/>
          <w:szCs w:val="24"/>
        </w:rPr>
        <w:lastRenderedPageBreak/>
        <w:t>Meta-Analysis, Metaanalysis, Nutrients, Observational, Observational Studies, Outcomes, Polyunsaturated Fatty-Acids, Prevention, Primary, Primary Prevention, Prospective, Publication, Publication Bias, Randomised, Randomised Controlled Trials, Relative Risk, Reporting, Review, Risk, Science, Science Citation Index, Self, Serum Magnesium, Sources, Stroke, Systematic Review, Transient, Women</w:t>
      </w:r>
    </w:p>
    <w:p w:rsidR="00A37C83" w:rsidRDefault="00A37C83" w:rsidP="00A37C83">
      <w:pPr>
        <w:pStyle w:val="a3"/>
        <w:rPr>
          <w:kern w:val="0"/>
        </w:rPr>
      </w:pPr>
      <w:r>
        <w:rPr>
          <w:kern w:val="0"/>
        </w:rPr>
        <w:t>? Haase, N., Perner, A., Inkeri, L., Siegemund, M., Lauridsen, B., Wetterslev, M.</w:t>
      </w:r>
      <w:r w:rsidR="005853A9">
        <w:rPr>
          <w:kern w:val="0"/>
        </w:rPr>
        <w:t xml:space="preserve"> and </w:t>
      </w:r>
      <w:r>
        <w:rPr>
          <w:kern w:val="0"/>
        </w:rPr>
        <w:t>Wetterslev, J. (2013), Hydroxyethyl starch 130/0.38-0.45 versus crystalloid or albumin in patients with sepsis: Systematic review with meta-analysis</w:t>
      </w:r>
      <w:r w:rsidR="005853A9">
        <w:rPr>
          <w:kern w:val="0"/>
        </w:rPr>
        <w:t xml:space="preserve"> and </w:t>
      </w:r>
      <w:r>
        <w:rPr>
          <w:kern w:val="0"/>
        </w:rPr>
        <w:t xml:space="preserve">trial sequential analysis. </w:t>
      </w:r>
      <w:r>
        <w:rPr>
          <w:i/>
          <w:iCs/>
          <w:kern w:val="0"/>
        </w:rPr>
        <w:t>British Medical Journal</w:t>
      </w:r>
      <w:r>
        <w:rPr>
          <w:kern w:val="0"/>
        </w:rPr>
        <w:t xml:space="preserve">, </w:t>
      </w:r>
      <w:r>
        <w:rPr>
          <w:b/>
          <w:bCs/>
          <w:kern w:val="0"/>
        </w:rPr>
        <w:t>346</w:t>
      </w:r>
      <w:r>
        <w:rPr>
          <w:kern w:val="0"/>
        </w:rPr>
        <w:t>, Article Number: f839.</w:t>
      </w:r>
    </w:p>
    <w:p w:rsidR="00A37C83" w:rsidRDefault="00A37C83" w:rsidP="00A37C83">
      <w:pPr>
        <w:pStyle w:val="a3"/>
        <w:rPr>
          <w:kern w:val="0"/>
        </w:rPr>
      </w:pPr>
      <w:r>
        <w:rPr>
          <w:kern w:val="0"/>
        </w:rPr>
        <w:t xml:space="preserve">Full Text: </w:t>
      </w:r>
      <w:hyperlink r:id="rId2082" w:history="1">
        <w:r w:rsidRPr="00A37C83">
          <w:rPr>
            <w:rStyle w:val="a5"/>
            <w:kern w:val="0"/>
          </w:rPr>
          <w:t>2013\Bri Med J346, f839.pdf</w:t>
        </w:r>
      </w:hyperlink>
    </w:p>
    <w:p w:rsidR="00A37C83" w:rsidRDefault="00A37C83" w:rsidP="00A37C83">
      <w:pPr>
        <w:pStyle w:val="a3"/>
        <w:rPr>
          <w:kern w:val="0"/>
        </w:rPr>
      </w:pPr>
      <w:r>
        <w:rPr>
          <w:kern w:val="0"/>
        </w:rPr>
        <w:t>Abstract: Objective To assess the effects</w:t>
      </w:r>
      <w:r w:rsidR="00427468">
        <w:rPr>
          <w:kern w:val="0"/>
        </w:rPr>
        <w:t xml:space="preserve"> of </w:t>
      </w:r>
      <w:r>
        <w:rPr>
          <w:kern w:val="0"/>
        </w:rPr>
        <w:t>fluid therapy with hydroxyethyl starch 130/0.38-0.45 versus crystalloid or albumin on mortality, kidney injury, bleeding,</w:t>
      </w:r>
      <w:r w:rsidR="005853A9">
        <w:rPr>
          <w:kern w:val="0"/>
        </w:rPr>
        <w:t xml:space="preserve"> and </w:t>
      </w:r>
      <w:r>
        <w:rPr>
          <w:kern w:val="0"/>
        </w:rPr>
        <w:t>serious adverse events in patients with sepsis. Design Systematic review with meta-analyses</w:t>
      </w:r>
      <w:r w:rsidR="005853A9">
        <w:rPr>
          <w:kern w:val="0"/>
        </w:rPr>
        <w:t xml:space="preserve"> and </w:t>
      </w:r>
      <w:r>
        <w:rPr>
          <w:kern w:val="0"/>
        </w:rPr>
        <w:t>trial sequential analyses</w:t>
      </w:r>
      <w:r w:rsidR="00427468">
        <w:rPr>
          <w:kern w:val="0"/>
        </w:rPr>
        <w:t xml:space="preserve"> of </w:t>
      </w:r>
      <w:r>
        <w:rPr>
          <w:kern w:val="0"/>
        </w:rPr>
        <w:t xml:space="preserve">randomised clinical trials. Data sources Cochrane Library, </w:t>
      </w:r>
      <w:r w:rsidR="00D5664A">
        <w:rPr>
          <w:kern w:val="0"/>
        </w:rPr>
        <w:t>MEDLINE</w:t>
      </w:r>
      <w:r>
        <w:rPr>
          <w:kern w:val="0"/>
        </w:rPr>
        <w:t>, Embase, Biosis Previews, Science Citation Index Expanded, CINAHL, Current Controlled Trials, Clinicaltrials.gov,</w:t>
      </w:r>
      <w:r w:rsidR="005853A9">
        <w:rPr>
          <w:kern w:val="0"/>
        </w:rPr>
        <w:t xml:space="preserve"> and </w:t>
      </w:r>
      <w:r>
        <w:rPr>
          <w:kern w:val="0"/>
        </w:rPr>
        <w:t>Centerwatch to September 2012; hand search</w:t>
      </w:r>
      <w:r w:rsidR="00427468">
        <w:rPr>
          <w:kern w:val="0"/>
        </w:rPr>
        <w:t xml:space="preserve"> of </w:t>
      </w:r>
      <w:r>
        <w:rPr>
          <w:kern w:val="0"/>
        </w:rPr>
        <w:t>reference lists</w:t>
      </w:r>
      <w:r w:rsidR="005853A9">
        <w:rPr>
          <w:kern w:val="0"/>
        </w:rPr>
        <w:t xml:space="preserve"> and </w:t>
      </w:r>
      <w:r>
        <w:rPr>
          <w:kern w:val="0"/>
        </w:rPr>
        <w:t>other systematic reviews; contact with authors</w:t>
      </w:r>
      <w:r w:rsidR="005853A9">
        <w:rPr>
          <w:kern w:val="0"/>
        </w:rPr>
        <w:t xml:space="preserve"> and </w:t>
      </w:r>
      <w:r>
        <w:rPr>
          <w:kern w:val="0"/>
        </w:rPr>
        <w:t>relevant pharmaceutical companies. Study selection Eligible trials were randomised clinical trials comparing hydroxyethyl starch 130/0.38-0.45 with either crystalloid or human albumin in patients with sepsis. Published</w:t>
      </w:r>
      <w:r w:rsidR="005853A9">
        <w:rPr>
          <w:kern w:val="0"/>
        </w:rPr>
        <w:t xml:space="preserve"> and </w:t>
      </w:r>
      <w:r>
        <w:rPr>
          <w:kern w:val="0"/>
        </w:rPr>
        <w:t>unpublished trials were included irrespective</w:t>
      </w:r>
      <w:r w:rsidR="00427468">
        <w:rPr>
          <w:kern w:val="0"/>
        </w:rPr>
        <w:t xml:space="preserve"> of </w:t>
      </w:r>
      <w:r>
        <w:rPr>
          <w:kern w:val="0"/>
        </w:rPr>
        <w:t>language</w:t>
      </w:r>
      <w:r w:rsidR="005853A9">
        <w:rPr>
          <w:kern w:val="0"/>
        </w:rPr>
        <w:t xml:space="preserve"> and </w:t>
      </w:r>
      <w:r>
        <w:rPr>
          <w:kern w:val="0"/>
        </w:rPr>
        <w:t>predefined outcomes. Data extraction Two reviewers independently assessed studies for inclusion</w:t>
      </w:r>
      <w:r w:rsidR="005853A9">
        <w:rPr>
          <w:kern w:val="0"/>
        </w:rPr>
        <w:t xml:space="preserve"> and </w:t>
      </w:r>
      <w:r>
        <w:rPr>
          <w:kern w:val="0"/>
        </w:rPr>
        <w:t>extracted data on methods, interventions, outcomes,</w:t>
      </w:r>
      <w:r w:rsidR="005853A9">
        <w:rPr>
          <w:kern w:val="0"/>
        </w:rPr>
        <w:t xml:space="preserve"> and </w:t>
      </w:r>
      <w:r>
        <w:rPr>
          <w:kern w:val="0"/>
        </w:rPr>
        <w:t>risk</w:t>
      </w:r>
      <w:r w:rsidR="00427468">
        <w:rPr>
          <w:kern w:val="0"/>
        </w:rPr>
        <w:t xml:space="preserve"> of </w:t>
      </w:r>
      <w:r>
        <w:rPr>
          <w:kern w:val="0"/>
        </w:rPr>
        <w:t>bias. Risk ratios</w:t>
      </w:r>
      <w:r w:rsidR="005853A9">
        <w:rPr>
          <w:kern w:val="0"/>
        </w:rPr>
        <w:t xml:space="preserve"> and </w:t>
      </w:r>
      <w:r>
        <w:rPr>
          <w:kern w:val="0"/>
        </w:rPr>
        <w:t>mean differences with 95% confidence intervals were estimated with fixed</w:t>
      </w:r>
      <w:r w:rsidR="005853A9">
        <w:rPr>
          <w:kern w:val="0"/>
        </w:rPr>
        <w:t xml:space="preserve"> and </w:t>
      </w:r>
      <w:r>
        <w:rPr>
          <w:kern w:val="0"/>
        </w:rPr>
        <w:t>random effects models. Results Nine trials that randomised 3456 patients with sepsis were included. Overall, hydroxyethyl starch 130/0.38-0.45 versus crystalloid or albumin did not affect the relative risk</w:t>
      </w:r>
      <w:r w:rsidR="00427468">
        <w:rPr>
          <w:kern w:val="0"/>
        </w:rPr>
        <w:t xml:space="preserve"> of </w:t>
      </w:r>
      <w:r>
        <w:rPr>
          <w:kern w:val="0"/>
        </w:rPr>
        <w:t>death (1.04, 95% confidence interval 0.89 to 1.22, 3414 patients, eight trials), but in the predefined analysis</w:t>
      </w:r>
      <w:r w:rsidR="00427468">
        <w:rPr>
          <w:kern w:val="0"/>
        </w:rPr>
        <w:t xml:space="preserve"> of </w:t>
      </w:r>
      <w:r>
        <w:rPr>
          <w:kern w:val="0"/>
        </w:rPr>
        <w:t>trials with low risk</w:t>
      </w:r>
      <w:r w:rsidR="00427468">
        <w:rPr>
          <w:kern w:val="0"/>
        </w:rPr>
        <w:t xml:space="preserve"> of </w:t>
      </w:r>
      <w:r>
        <w:rPr>
          <w:kern w:val="0"/>
        </w:rPr>
        <w:t>bias the relative risk</w:t>
      </w:r>
      <w:r w:rsidR="00427468">
        <w:rPr>
          <w:kern w:val="0"/>
        </w:rPr>
        <w:t xml:space="preserve"> of </w:t>
      </w:r>
      <w:r>
        <w:rPr>
          <w:kern w:val="0"/>
        </w:rPr>
        <w:t>death was 1.11 (1.00 to 1.23, trial sequential analysis (TSA) adjusted 95% confidence interval 0.95 to 1.29, 3016 patients, four trials). In the hydroxyethyl starch group, renal replacement therapy was used more (1.36, 1.08 to 1.72, TSA adjusted 1.03 to 1.80, 1311 patients, five trials),</w:t>
      </w:r>
      <w:r w:rsidR="005853A9">
        <w:rPr>
          <w:kern w:val="0"/>
        </w:rPr>
        <w:t xml:space="preserve"> and </w:t>
      </w:r>
      <w:r>
        <w:rPr>
          <w:kern w:val="0"/>
        </w:rPr>
        <w:t>the relative risk</w:t>
      </w:r>
      <w:r w:rsidR="00427468">
        <w:rPr>
          <w:kern w:val="0"/>
        </w:rPr>
        <w:t xml:space="preserve"> of </w:t>
      </w:r>
      <w:r>
        <w:rPr>
          <w:kern w:val="0"/>
        </w:rPr>
        <w:t>acute kidney injury was 1.18 (0.99 to 1.40, TSA adjusted 0.90 to 1.54, 994 patients, four trials). More patients in the hydroxyethyl starch group were transfused with red blood cells (1.29, 1.13 to 1.48, TSA adjusted 1.10 to 1.51, 973 patients, three trials),</w:t>
      </w:r>
      <w:r w:rsidR="005853A9">
        <w:rPr>
          <w:kern w:val="0"/>
        </w:rPr>
        <w:t xml:space="preserve"> and </w:t>
      </w:r>
      <w:r>
        <w:rPr>
          <w:kern w:val="0"/>
        </w:rPr>
        <w:t>more patients had serious adverse events (1.30, 1.02 to 1.67, TSA adjusted 0.93 to 1.83, 1069 patients, four trials)</w:t>
      </w:r>
      <w:r w:rsidR="00A37C1D">
        <w:rPr>
          <w:kern w:val="0"/>
        </w:rPr>
        <w:t>. The</w:t>
      </w:r>
      <w:r>
        <w:rPr>
          <w:kern w:val="0"/>
        </w:rPr>
        <w:t xml:space="preserve"> transfused volume</w:t>
      </w:r>
      <w:r w:rsidR="00427468">
        <w:rPr>
          <w:kern w:val="0"/>
        </w:rPr>
        <w:t xml:space="preserve"> of </w:t>
      </w:r>
      <w:r>
        <w:rPr>
          <w:kern w:val="0"/>
        </w:rPr>
        <w:t xml:space="preserve">red blood cells did not differ between the groups (mean difference 65 mL, 95% confidence interval -20 to 149 mL, three trials). Conclusion In conventional meta-analyses including recent </w:t>
      </w:r>
      <w:r>
        <w:rPr>
          <w:kern w:val="0"/>
        </w:rPr>
        <w:lastRenderedPageBreak/>
        <w:t>trial data, hydroxyethyl starch 130/0.38-0.45 versus crystalloid or albumin increased the use</w:t>
      </w:r>
      <w:r w:rsidR="00427468">
        <w:rPr>
          <w:kern w:val="0"/>
        </w:rPr>
        <w:t xml:space="preserve"> of </w:t>
      </w:r>
      <w:r>
        <w:rPr>
          <w:kern w:val="0"/>
        </w:rPr>
        <w:t>renal replacement therapy</w:t>
      </w:r>
      <w:r w:rsidR="005853A9">
        <w:rPr>
          <w:kern w:val="0"/>
        </w:rPr>
        <w:t xml:space="preserve"> and </w:t>
      </w:r>
      <w:r>
        <w:rPr>
          <w:kern w:val="0"/>
        </w:rPr>
        <w:t>transfusion with red blood cells,</w:t>
      </w:r>
      <w:r w:rsidR="005853A9">
        <w:rPr>
          <w:kern w:val="0"/>
        </w:rPr>
        <w:t xml:space="preserve"> and </w:t>
      </w:r>
      <w:r>
        <w:rPr>
          <w:kern w:val="0"/>
        </w:rPr>
        <w:t>resulted in more serious adverse events in patients with sepsis. It seems unlikely that hydroxyethyl starch 130/0.38-0.45 provides overall clinical benefit for patients with sepsis.</w:t>
      </w:r>
    </w:p>
    <w:p w:rsidR="00A37C83" w:rsidRDefault="00A37C83" w:rsidP="00A37C83">
      <w:pPr>
        <w:pStyle w:val="a3"/>
        <w:rPr>
          <w:kern w:val="0"/>
        </w:rPr>
      </w:pPr>
      <w:r>
        <w:rPr>
          <w:kern w:val="0"/>
        </w:rPr>
        <w:t xml:space="preserve">Keywords: 6-Percent Hydroxyethylstarch, Acute Kidney Injury, Acute-Renal-Failure, Albumin, Analyses, Analysis, Authors, Bias, Biosis, Bleeding, Blood, Citation, Clinical, Clinical Trials, Confidence, Confidence Intervals, Conventional, Critically-Ill Patients, Crystalloid, Data, Death, Effects, Events, Extraction, Fluid Resuscitation, Groups, Human, Information Size, Injury, Interval, Intervals, Interventions, Kidney, Language, Liver-Transplantation, Low Risk, Major Abdominal-Surgery, </w:t>
      </w:r>
      <w:r w:rsidR="00D5664A">
        <w:rPr>
          <w:kern w:val="0"/>
        </w:rPr>
        <w:t>MEDLINE</w:t>
      </w:r>
      <w:r>
        <w:rPr>
          <w:kern w:val="0"/>
        </w:rPr>
        <w:t>, Meta Analysis, Meta-Analysis, Metaanalysis, Methods, Models, Mortality, Outcomes, Patients, Pulmonary Permeability, Randomised, Recent, Red Blood Cells, Reference, Reference Lists, Relative Risk, Renal, Replacement Therapy, Results, Review, Reviews, Risk, Science, Science Citation Index, Science Citation Index Expanded, Selection, Sepsis, Sources, Starch, Systematic Review, Systematic Reviews, Therapy, Transfusion, Trial, Volume, Volume Replacement Strategy</w:t>
      </w:r>
    </w:p>
    <w:p w:rsidR="009228B2" w:rsidRDefault="009228B2" w:rsidP="009228B2">
      <w:pPr>
        <w:pStyle w:val="a3"/>
        <w:rPr>
          <w:kern w:val="0"/>
        </w:rPr>
      </w:pPr>
      <w:r>
        <w:rPr>
          <w:rFonts w:hint="eastAsia"/>
          <w:kern w:val="0"/>
        </w:rPr>
        <w:t xml:space="preserve">? </w:t>
      </w:r>
      <w:r>
        <w:rPr>
          <w:kern w:val="0"/>
        </w:rPr>
        <w:t>Azad, M.B., Coneys, J.G., Kozyrskyj, A.L., Field, C.J., Ramsey, C.D., Becker, A.B., Friesen, C., Abou-Setta, A.M.</w:t>
      </w:r>
      <w:r w:rsidR="005853A9">
        <w:rPr>
          <w:kern w:val="0"/>
        </w:rPr>
        <w:t xml:space="preserve"> and </w:t>
      </w:r>
      <w:r>
        <w:rPr>
          <w:kern w:val="0"/>
        </w:rPr>
        <w:t>Zarychanski, R. (2013), Probiotic supplementation during pregnancy or infancy for the prevention</w:t>
      </w:r>
      <w:r w:rsidR="00427468">
        <w:rPr>
          <w:kern w:val="0"/>
        </w:rPr>
        <w:t xml:space="preserve"> of </w:t>
      </w:r>
      <w:r>
        <w:rPr>
          <w:kern w:val="0"/>
        </w:rPr>
        <w:t>asthma</w:t>
      </w:r>
      <w:r w:rsidR="005853A9">
        <w:rPr>
          <w:kern w:val="0"/>
        </w:rPr>
        <w:t xml:space="preserve"> and </w:t>
      </w:r>
      <w:r>
        <w:rPr>
          <w:kern w:val="0"/>
        </w:rPr>
        <w:t>wheeze: Systematic review</w:t>
      </w:r>
      <w:r w:rsidR="005853A9">
        <w:rPr>
          <w:kern w:val="0"/>
        </w:rPr>
        <w:t xml:space="preserve"> and </w:t>
      </w:r>
      <w:r>
        <w:rPr>
          <w:kern w:val="0"/>
        </w:rPr>
        <w:t xml:space="preserve">meta-analysis. </w:t>
      </w:r>
      <w:r>
        <w:rPr>
          <w:i/>
          <w:iCs/>
          <w:kern w:val="0"/>
        </w:rPr>
        <w:t>British Medical Journal</w:t>
      </w:r>
      <w:r>
        <w:rPr>
          <w:kern w:val="0"/>
        </w:rPr>
        <w:t xml:space="preserve">, </w:t>
      </w:r>
      <w:r>
        <w:rPr>
          <w:b/>
          <w:bCs/>
          <w:kern w:val="0"/>
        </w:rPr>
        <w:t>34</w:t>
      </w:r>
      <w:r>
        <w:rPr>
          <w:rFonts w:hint="eastAsia"/>
          <w:b/>
          <w:bCs/>
          <w:kern w:val="0"/>
        </w:rPr>
        <w:t>7</w:t>
      </w:r>
      <w:r>
        <w:rPr>
          <w:kern w:val="0"/>
        </w:rPr>
        <w:t xml:space="preserve">, Article Number: </w:t>
      </w:r>
      <w:r w:rsidRPr="00EE5553">
        <w:rPr>
          <w:kern w:val="0"/>
        </w:rPr>
        <w:t>f6471</w:t>
      </w:r>
      <w:r>
        <w:rPr>
          <w:kern w:val="0"/>
        </w:rPr>
        <w:t>.</w:t>
      </w:r>
    </w:p>
    <w:p w:rsidR="009228B2" w:rsidRDefault="009228B2" w:rsidP="009228B2">
      <w:pPr>
        <w:pStyle w:val="a3"/>
        <w:rPr>
          <w:kern w:val="0"/>
        </w:rPr>
      </w:pPr>
      <w:r>
        <w:rPr>
          <w:kern w:val="0"/>
        </w:rPr>
        <w:t xml:space="preserve">Full Text: </w:t>
      </w:r>
      <w:hyperlink r:id="rId2083" w:history="1">
        <w:r w:rsidRPr="00E034DB">
          <w:rPr>
            <w:rStyle w:val="a5"/>
            <w:kern w:val="0"/>
          </w:rPr>
          <w:t>2013\Bri Med J347, f6471.pdf</w:t>
        </w:r>
      </w:hyperlink>
    </w:p>
    <w:p w:rsidR="009228B2" w:rsidRDefault="009228B2" w:rsidP="009228B2">
      <w:pPr>
        <w:pStyle w:val="a3"/>
        <w:rPr>
          <w:kern w:val="0"/>
        </w:rPr>
      </w:pPr>
      <w:r>
        <w:rPr>
          <w:kern w:val="0"/>
        </w:rPr>
        <w:t>Abstract: Objective To evaluate the association</w:t>
      </w:r>
      <w:r w:rsidR="00427468">
        <w:rPr>
          <w:kern w:val="0"/>
        </w:rPr>
        <w:t xml:space="preserve"> of </w:t>
      </w:r>
      <w:r>
        <w:rPr>
          <w:kern w:val="0"/>
        </w:rPr>
        <w:t>probiotic supplementation during pregnancy or infancy with childhood asthma</w:t>
      </w:r>
      <w:r w:rsidR="005853A9">
        <w:rPr>
          <w:kern w:val="0"/>
        </w:rPr>
        <w:t xml:space="preserve"> and </w:t>
      </w:r>
      <w:r>
        <w:rPr>
          <w:kern w:val="0"/>
        </w:rPr>
        <w:t>wheeze. Design Systematic review</w:t>
      </w:r>
      <w:r w:rsidR="005853A9">
        <w:rPr>
          <w:kern w:val="0"/>
        </w:rPr>
        <w:t xml:space="preserve"> and </w:t>
      </w:r>
      <w:r>
        <w:rPr>
          <w:kern w:val="0"/>
        </w:rPr>
        <w:t>meta-analysis</w:t>
      </w:r>
      <w:r w:rsidR="00427468">
        <w:rPr>
          <w:kern w:val="0"/>
        </w:rPr>
        <w:t xml:space="preserve"> of </w:t>
      </w:r>
      <w:r>
        <w:rPr>
          <w:kern w:val="0"/>
        </w:rPr>
        <w:t xml:space="preserve">randomised controlled trials. Data sources </w:t>
      </w:r>
      <w:r w:rsidR="00D5664A">
        <w:rPr>
          <w:kern w:val="0"/>
        </w:rPr>
        <w:t>MEDLINE</w:t>
      </w:r>
      <w:r>
        <w:rPr>
          <w:kern w:val="0"/>
        </w:rPr>
        <w:t>, Embase,</w:t>
      </w:r>
      <w:r w:rsidR="005853A9">
        <w:rPr>
          <w:kern w:val="0"/>
        </w:rPr>
        <w:t xml:space="preserve"> and </w:t>
      </w:r>
      <w:r>
        <w:rPr>
          <w:kern w:val="0"/>
        </w:rPr>
        <w:t>Central (Cochrane Library) databases from inception to August 2013, plus the World Health Organization</w:t>
      </w:r>
      <w:r w:rsidR="00700038">
        <w:rPr>
          <w:kern w:val="0"/>
        </w:rPr>
        <w:t>’</w:t>
      </w:r>
      <w:r>
        <w:rPr>
          <w:kern w:val="0"/>
        </w:rPr>
        <w:t>s international clinical trials registry platform</w:t>
      </w:r>
      <w:r w:rsidR="005853A9">
        <w:rPr>
          <w:kern w:val="0"/>
        </w:rPr>
        <w:t xml:space="preserve"> and </w:t>
      </w:r>
      <w:r>
        <w:rPr>
          <w:kern w:val="0"/>
        </w:rPr>
        <w:t>relevant conference proceedings for the preceding five years. Included trials</w:t>
      </w:r>
      <w:r w:rsidR="005853A9">
        <w:rPr>
          <w:kern w:val="0"/>
        </w:rPr>
        <w:t xml:space="preserve"> and </w:t>
      </w:r>
      <w:r>
        <w:rPr>
          <w:kern w:val="0"/>
        </w:rPr>
        <w:t xml:space="preserve">relevant reviews were forward searched in </w:t>
      </w:r>
      <w:r w:rsidR="00D5664A">
        <w:rPr>
          <w:kern w:val="0"/>
        </w:rPr>
        <w:t>Web</w:t>
      </w:r>
      <w:r w:rsidR="00427468">
        <w:rPr>
          <w:kern w:val="0"/>
        </w:rPr>
        <w:t xml:space="preserve"> of </w:t>
      </w:r>
      <w:r w:rsidR="00D5664A">
        <w:rPr>
          <w:kern w:val="0"/>
        </w:rPr>
        <w:t>Science</w:t>
      </w:r>
      <w:r>
        <w:rPr>
          <w:kern w:val="0"/>
        </w:rPr>
        <w:t>. Review methods Two reviewers independently identified randomised controlled trials evaluating probiotics administered to mothers during pregnancy or to infants during the first year</w:t>
      </w:r>
      <w:r w:rsidR="00427468">
        <w:rPr>
          <w:kern w:val="0"/>
        </w:rPr>
        <w:t xml:space="preserve"> of </w:t>
      </w:r>
      <w:r>
        <w:rPr>
          <w:kern w:val="0"/>
        </w:rPr>
        <w:t>life</w:t>
      </w:r>
      <w:r w:rsidR="00A37C1D">
        <w:rPr>
          <w:kern w:val="0"/>
        </w:rPr>
        <w:t>. The</w:t>
      </w:r>
      <w:r>
        <w:rPr>
          <w:kern w:val="0"/>
        </w:rPr>
        <w:t xml:space="preserve"> primary outcome was doctor diagnosed asthma; secondary outcomes included wheeze</w:t>
      </w:r>
      <w:r w:rsidR="005853A9">
        <w:rPr>
          <w:kern w:val="0"/>
        </w:rPr>
        <w:t xml:space="preserve"> and </w:t>
      </w:r>
      <w:r>
        <w:rPr>
          <w:kern w:val="0"/>
        </w:rPr>
        <w:t>lower respiratory tract infection. Results We identified 20 eligible trials including 4866 children. Trials were heterogeneous in the type</w:t>
      </w:r>
      <w:r w:rsidR="005853A9">
        <w:rPr>
          <w:kern w:val="0"/>
        </w:rPr>
        <w:t xml:space="preserve"> and </w:t>
      </w:r>
      <w:r>
        <w:rPr>
          <w:kern w:val="0"/>
        </w:rPr>
        <w:t>duration</w:t>
      </w:r>
      <w:r w:rsidR="00427468">
        <w:rPr>
          <w:kern w:val="0"/>
        </w:rPr>
        <w:t xml:space="preserve"> of </w:t>
      </w:r>
      <w:r>
        <w:rPr>
          <w:kern w:val="0"/>
        </w:rPr>
        <w:t>probiotic supplementation,</w:t>
      </w:r>
      <w:r w:rsidR="005853A9">
        <w:rPr>
          <w:kern w:val="0"/>
        </w:rPr>
        <w:t xml:space="preserve"> and </w:t>
      </w:r>
      <w:r>
        <w:rPr>
          <w:kern w:val="0"/>
        </w:rPr>
        <w:t>duration</w:t>
      </w:r>
      <w:r w:rsidR="00427468">
        <w:rPr>
          <w:kern w:val="0"/>
        </w:rPr>
        <w:t xml:space="preserve"> of </w:t>
      </w:r>
      <w:r>
        <w:rPr>
          <w:kern w:val="0"/>
        </w:rPr>
        <w:t>follow-up. Only five trials conducted follow-up beyond participants</w:t>
      </w:r>
      <w:r w:rsidR="00700038">
        <w:rPr>
          <w:kern w:val="0"/>
        </w:rPr>
        <w:t>’</w:t>
      </w:r>
      <w:r>
        <w:rPr>
          <w:kern w:val="0"/>
        </w:rPr>
        <w:t xml:space="preserve"> age</w:t>
      </w:r>
      <w:r w:rsidR="00427468">
        <w:rPr>
          <w:kern w:val="0"/>
        </w:rPr>
        <w:t xml:space="preserve"> of </w:t>
      </w:r>
      <w:r>
        <w:rPr>
          <w:kern w:val="0"/>
        </w:rPr>
        <w:t>6 years (median 24 months),</w:t>
      </w:r>
      <w:r w:rsidR="005853A9">
        <w:rPr>
          <w:kern w:val="0"/>
        </w:rPr>
        <w:t xml:space="preserve"> and </w:t>
      </w:r>
      <w:r>
        <w:rPr>
          <w:kern w:val="0"/>
        </w:rPr>
        <w:t>none were powered to detect asthma as the primary outcome</w:t>
      </w:r>
      <w:r w:rsidR="00A37C1D">
        <w:rPr>
          <w:kern w:val="0"/>
        </w:rPr>
        <w:t>. The</w:t>
      </w:r>
      <w:r>
        <w:rPr>
          <w:kern w:val="0"/>
        </w:rPr>
        <w:t xml:space="preserve"> overall rate</w:t>
      </w:r>
      <w:r w:rsidR="00427468">
        <w:rPr>
          <w:kern w:val="0"/>
        </w:rPr>
        <w:t xml:space="preserve"> of </w:t>
      </w:r>
      <w:r>
        <w:rPr>
          <w:kern w:val="0"/>
        </w:rPr>
        <w:t xml:space="preserve">doctor </w:t>
      </w:r>
      <w:r>
        <w:rPr>
          <w:kern w:val="0"/>
        </w:rPr>
        <w:lastRenderedPageBreak/>
        <w:t>diagnosed asthma was 10.7%; overall rates</w:t>
      </w:r>
      <w:r w:rsidR="00427468">
        <w:rPr>
          <w:kern w:val="0"/>
        </w:rPr>
        <w:t xml:space="preserve"> of </w:t>
      </w:r>
      <w:r>
        <w:rPr>
          <w:kern w:val="0"/>
        </w:rPr>
        <w:t>incident wheeze</w:t>
      </w:r>
      <w:r w:rsidR="005853A9">
        <w:rPr>
          <w:kern w:val="0"/>
        </w:rPr>
        <w:t xml:space="preserve"> and </w:t>
      </w:r>
      <w:r>
        <w:rPr>
          <w:kern w:val="0"/>
        </w:rPr>
        <w:t>lower respiratory tract infection were 33.3%</w:t>
      </w:r>
      <w:r w:rsidR="005853A9">
        <w:rPr>
          <w:kern w:val="0"/>
        </w:rPr>
        <w:t xml:space="preserve"> and </w:t>
      </w:r>
      <w:r>
        <w:rPr>
          <w:kern w:val="0"/>
        </w:rPr>
        <w:t>13.9%, respectively. Among 3257 infants enrolled in nine trials contributing asthma data, the risk ratio</w:t>
      </w:r>
      <w:r w:rsidR="00427468">
        <w:rPr>
          <w:kern w:val="0"/>
        </w:rPr>
        <w:t xml:space="preserve"> of </w:t>
      </w:r>
      <w:r>
        <w:rPr>
          <w:kern w:val="0"/>
        </w:rPr>
        <w:t>doctor diagnosed asthma in participants randomised to receive probiotics was 0.99 (95% confidence interval 0.81 to 1.21, I-2=0%)</w:t>
      </w:r>
      <w:r w:rsidR="00A37C1D">
        <w:rPr>
          <w:kern w:val="0"/>
        </w:rPr>
        <w:t>. The</w:t>
      </w:r>
      <w:r>
        <w:rPr>
          <w:kern w:val="0"/>
        </w:rPr>
        <w:t xml:space="preserve"> risk ratio</w:t>
      </w:r>
      <w:r w:rsidR="00427468">
        <w:rPr>
          <w:kern w:val="0"/>
        </w:rPr>
        <w:t xml:space="preserve"> of </w:t>
      </w:r>
      <w:r>
        <w:rPr>
          <w:kern w:val="0"/>
        </w:rPr>
        <w:t>incident wheeze was 0.97 (0.87 to 1.09, I-2=0%, 9 trials, 1949 infants). Among 1364 infants enrolled in six trials, the risk ratio</w:t>
      </w:r>
      <w:r w:rsidR="00427468">
        <w:rPr>
          <w:kern w:val="0"/>
        </w:rPr>
        <w:t xml:space="preserve"> of </w:t>
      </w:r>
      <w:r>
        <w:rPr>
          <w:kern w:val="0"/>
        </w:rPr>
        <w:t>lower respiratory tract infection after probiotic supplementation was 1.26 (0.99 to 1.61, I-2=0%). We adjudicated most trials to be</w:t>
      </w:r>
      <w:r w:rsidR="00427468">
        <w:rPr>
          <w:kern w:val="0"/>
        </w:rPr>
        <w:t xml:space="preserve"> of </w:t>
      </w:r>
      <w:r>
        <w:rPr>
          <w:kern w:val="0"/>
        </w:rPr>
        <w:t>high (ten trials) or unclear (nine trials) risk</w:t>
      </w:r>
      <w:r w:rsidR="00427468">
        <w:rPr>
          <w:kern w:val="0"/>
        </w:rPr>
        <w:t xml:space="preserve"> of </w:t>
      </w:r>
      <w:r>
        <w:rPr>
          <w:kern w:val="0"/>
        </w:rPr>
        <w:t>bias, mainly due to attrition. Conclusions We found no evidence to support a protective association between perinatal use</w:t>
      </w:r>
      <w:r w:rsidR="00427468">
        <w:rPr>
          <w:kern w:val="0"/>
        </w:rPr>
        <w:t xml:space="preserve"> of </w:t>
      </w:r>
      <w:r>
        <w:rPr>
          <w:kern w:val="0"/>
        </w:rPr>
        <w:t>probiotics</w:t>
      </w:r>
      <w:r w:rsidR="005853A9">
        <w:rPr>
          <w:kern w:val="0"/>
        </w:rPr>
        <w:t xml:space="preserve"> and </w:t>
      </w:r>
      <w:r>
        <w:rPr>
          <w:kern w:val="0"/>
        </w:rPr>
        <w:t>doctor diagnosed asthma or childhood wheeze. Randomised controlled trials to date have not yielded sufficient evidence to recommend probiotics for the primary prevention</w:t>
      </w:r>
      <w:r w:rsidR="00427468">
        <w:rPr>
          <w:kern w:val="0"/>
        </w:rPr>
        <w:t xml:space="preserve"> of </w:t>
      </w:r>
      <w:r>
        <w:rPr>
          <w:kern w:val="0"/>
        </w:rPr>
        <w:t>these disorders. Extended follow-up</w:t>
      </w:r>
      <w:r w:rsidR="00427468">
        <w:rPr>
          <w:kern w:val="0"/>
        </w:rPr>
        <w:t xml:space="preserve"> of </w:t>
      </w:r>
      <w:r>
        <w:rPr>
          <w:kern w:val="0"/>
        </w:rPr>
        <w:t>existing trials, along with further clinical</w:t>
      </w:r>
      <w:r w:rsidR="005853A9">
        <w:rPr>
          <w:kern w:val="0"/>
        </w:rPr>
        <w:t xml:space="preserve"> and </w:t>
      </w:r>
      <w:r>
        <w:rPr>
          <w:kern w:val="0"/>
        </w:rPr>
        <w:t>basic research, are needed to accurately define the role</w:t>
      </w:r>
      <w:r w:rsidR="00427468">
        <w:rPr>
          <w:kern w:val="0"/>
        </w:rPr>
        <w:t xml:space="preserve"> of </w:t>
      </w:r>
      <w:r>
        <w:rPr>
          <w:kern w:val="0"/>
        </w:rPr>
        <w:t>probiotics in the prevention</w:t>
      </w:r>
      <w:r w:rsidR="00427468">
        <w:rPr>
          <w:kern w:val="0"/>
        </w:rPr>
        <w:t xml:space="preserve"> of </w:t>
      </w:r>
      <w:r>
        <w:rPr>
          <w:kern w:val="0"/>
        </w:rPr>
        <w:t>childhood asthma.</w:t>
      </w:r>
    </w:p>
    <w:p w:rsidR="009228B2" w:rsidRDefault="009228B2" w:rsidP="009228B2">
      <w:pPr>
        <w:pStyle w:val="a3"/>
        <w:rPr>
          <w:kern w:val="0"/>
        </w:rPr>
      </w:pPr>
      <w:r>
        <w:rPr>
          <w:kern w:val="0"/>
        </w:rPr>
        <w:t xml:space="preserve">Keywords: Age, Airway Inflammation, Allergic Disease, Association, Asthma, Atopic-Dermatitis, Basic Research, Bias, Cesarean-Delivered Children, Childhood, Childhood Asthma, Children, Clinical, Clinical Trials, Conference Proceedings, Confidence, Data, Databases, Double-Blind, Duration, Evidence, First, Follow-Up, Infancy, Infants, Infection, International, Interval, Lactobacillus-Rhamnosus Hn001, Life, </w:t>
      </w:r>
      <w:r w:rsidR="00D5664A">
        <w:rPr>
          <w:kern w:val="0"/>
        </w:rPr>
        <w:t>MEDLINE</w:t>
      </w:r>
      <w:r>
        <w:rPr>
          <w:kern w:val="0"/>
        </w:rPr>
        <w:t xml:space="preserve">, Meta Analysis, Meta-Analysis, Metaanalysis, Methods, Mothers, Outcome, Outcomes, Perinatal, Placebo-Controlled Trial, Pregnancy, Prevention, Primary, Primary Prevention, Probiotics, Randomised, Randomised Controlled Trials, Randomized-Controlled-Trial, Rates, Registry, Research, Results, Review, Reviews, Risk, Role, Science, Sources, Support, Systematic Review, Until Age 5, </w:t>
      </w:r>
      <w:r w:rsidR="00D5664A">
        <w:rPr>
          <w:kern w:val="0"/>
        </w:rPr>
        <w:t>Web</w:t>
      </w:r>
      <w:r w:rsidR="00427468">
        <w:rPr>
          <w:kern w:val="0"/>
        </w:rPr>
        <w:t xml:space="preserve"> of </w:t>
      </w:r>
      <w:r w:rsidR="00D5664A">
        <w:rPr>
          <w:kern w:val="0"/>
        </w:rPr>
        <w:t>Science</w:t>
      </w:r>
    </w:p>
    <w:p w:rsidR="00AF28BD" w:rsidRDefault="00AF28BD" w:rsidP="00AF28BD">
      <w:pPr>
        <w:pStyle w:val="a3"/>
        <w:rPr>
          <w:kern w:val="0"/>
        </w:rPr>
      </w:pPr>
      <w:r>
        <w:rPr>
          <w:rFonts w:hint="eastAsia"/>
          <w:kern w:val="0"/>
        </w:rPr>
        <w:t xml:space="preserve">? </w:t>
      </w:r>
      <w:r>
        <w:rPr>
          <w:kern w:val="0"/>
        </w:rPr>
        <w:t xml:space="preserve">Taylor, G., McNeill, A., Girling, A., Farley, A., Lindson-Hawley, N. and Aveyard, P. (2014), Change in mental health after smoking cessation: Systematic review and meta-analysis. </w:t>
      </w:r>
      <w:r>
        <w:rPr>
          <w:i/>
          <w:iCs/>
          <w:kern w:val="0"/>
        </w:rPr>
        <w:t>British Medical Journal</w:t>
      </w:r>
      <w:r>
        <w:rPr>
          <w:kern w:val="0"/>
        </w:rPr>
        <w:t xml:space="preserve">, </w:t>
      </w:r>
      <w:r>
        <w:rPr>
          <w:b/>
          <w:bCs/>
          <w:kern w:val="0"/>
        </w:rPr>
        <w:t>348</w:t>
      </w:r>
      <w:r>
        <w:rPr>
          <w:rFonts w:hint="eastAsia"/>
          <w:kern w:val="0"/>
        </w:rPr>
        <w:t xml:space="preserve">, </w:t>
      </w:r>
      <w:r w:rsidRPr="004060CE">
        <w:rPr>
          <w:kern w:val="0"/>
        </w:rPr>
        <w:t>Article Number: g1151</w:t>
      </w:r>
      <w:r>
        <w:rPr>
          <w:rFonts w:hint="eastAsia"/>
          <w:kern w:val="0"/>
        </w:rPr>
        <w:t>.</w:t>
      </w:r>
    </w:p>
    <w:p w:rsidR="00AF28BD" w:rsidRDefault="00AF28BD" w:rsidP="00AF28BD">
      <w:pPr>
        <w:pStyle w:val="a3"/>
        <w:rPr>
          <w:kern w:val="0"/>
        </w:rPr>
      </w:pPr>
      <w:r>
        <w:rPr>
          <w:kern w:val="0"/>
        </w:rPr>
        <w:t xml:space="preserve">Full Text: </w:t>
      </w:r>
      <w:hyperlink r:id="rId2084" w:history="1">
        <w:r w:rsidRPr="009E6E63">
          <w:rPr>
            <w:rStyle w:val="a5"/>
            <w:kern w:val="0"/>
          </w:rPr>
          <w:t>2014\Bri Med J348, g1151.pdf</w:t>
        </w:r>
      </w:hyperlink>
    </w:p>
    <w:p w:rsidR="00AF28BD" w:rsidRDefault="00AF28BD" w:rsidP="00AF28BD">
      <w:pPr>
        <w:pStyle w:val="a3"/>
        <w:rPr>
          <w:kern w:val="0"/>
        </w:rPr>
      </w:pPr>
      <w:r>
        <w:rPr>
          <w:kern w:val="0"/>
        </w:rPr>
        <w:t>Abstract: Objective To investigate change in mental health after smoking cessation compared with continuing to smoke. Design Systematic review and meta-analysis</w:t>
      </w:r>
      <w:r w:rsidR="00427468">
        <w:rPr>
          <w:kern w:val="0"/>
        </w:rPr>
        <w:t xml:space="preserve"> of </w:t>
      </w:r>
      <w:r>
        <w:rPr>
          <w:kern w:val="0"/>
        </w:rPr>
        <w:t>observational studies. Data sources Web</w:t>
      </w:r>
      <w:r w:rsidR="00427468">
        <w:rPr>
          <w:kern w:val="0"/>
        </w:rPr>
        <w:t xml:space="preserve"> of </w:t>
      </w:r>
      <w:r>
        <w:rPr>
          <w:kern w:val="0"/>
        </w:rPr>
        <w:t>Science, Cochrane Central Register</w:t>
      </w:r>
      <w:r w:rsidR="00427468">
        <w:rPr>
          <w:kern w:val="0"/>
        </w:rPr>
        <w:t xml:space="preserve"> of </w:t>
      </w:r>
      <w:r>
        <w:rPr>
          <w:kern w:val="0"/>
        </w:rPr>
        <w:t>Controlled Trials, Medline, Embase, and PsycINFO for relevant studies from inception to April 2012. Reference lists</w:t>
      </w:r>
      <w:r w:rsidR="00427468">
        <w:rPr>
          <w:kern w:val="0"/>
        </w:rPr>
        <w:t xml:space="preserve"> of </w:t>
      </w:r>
      <w:r>
        <w:rPr>
          <w:kern w:val="0"/>
        </w:rPr>
        <w:t>included studies were hand searched, and authors were contacted when insufficient data were reported. Eligibility criteria for selecting studies Longitudinal studies</w:t>
      </w:r>
      <w:r w:rsidR="00427468">
        <w:rPr>
          <w:kern w:val="0"/>
        </w:rPr>
        <w:t xml:space="preserve"> of </w:t>
      </w:r>
      <w:r>
        <w:rPr>
          <w:kern w:val="0"/>
        </w:rPr>
        <w:t xml:space="preserve">adults that assessed mental health before smoking cessation and at least six weeks after cessation or baseline in healthy and clinical populations. Results 26 studies that assessed mental health with </w:t>
      </w:r>
      <w:r>
        <w:rPr>
          <w:kern w:val="0"/>
        </w:rPr>
        <w:lastRenderedPageBreak/>
        <w:t>questionnaires designed to measure anxiety, depression, mixed anxiety and depression, psychological quality</w:t>
      </w:r>
      <w:r w:rsidR="00427468">
        <w:rPr>
          <w:kern w:val="0"/>
        </w:rPr>
        <w:t xml:space="preserve"> of </w:t>
      </w:r>
      <w:r>
        <w:rPr>
          <w:kern w:val="0"/>
        </w:rPr>
        <w:t>life, positive affect, and stress were included. Follow-up mental health scores were measured between seven weeks and nine years after baseline. Anxiety, depression, mixed anxiety and depression, and stress significantly decreased between baseline and follow-up in quitters compared with continuing smokers: the standardised mean differences (95% confidence intervals) were anxiety -0.37 (95% confidence interval -0.70 to -0.03); depression -0.25 (-0.37 to -0.12); mixed anxiety and depression -0.31 (-0.47 to -0.14); stress -0.27 (-0.40 to -0.13). Both psychological quality</w:t>
      </w:r>
      <w:r w:rsidR="00427468">
        <w:rPr>
          <w:kern w:val="0"/>
        </w:rPr>
        <w:t xml:space="preserve"> of </w:t>
      </w:r>
      <w:r>
        <w:rPr>
          <w:kern w:val="0"/>
        </w:rPr>
        <w:t>life and positive affect significantly increased between baseline and follow-up in quitters compared with continuing smokers 0.22 (0.09 to 0.36) and 0.40 (0.09 to 0.71), respectively)</w:t>
      </w:r>
      <w:r w:rsidR="00A37C1D">
        <w:rPr>
          <w:kern w:val="0"/>
        </w:rPr>
        <w:t>. The</w:t>
      </w:r>
      <w:r>
        <w:rPr>
          <w:kern w:val="0"/>
        </w:rPr>
        <w:t>re was no evidence that the effect size differed between the general population and populations with physical or psychiatric disorders. Conclusions Smoking cessation is associated with reduced depression, anxiety, and stress and improved positive mood and quality</w:t>
      </w:r>
      <w:r w:rsidR="00427468">
        <w:rPr>
          <w:kern w:val="0"/>
        </w:rPr>
        <w:t xml:space="preserve"> of </w:t>
      </w:r>
      <w:r>
        <w:rPr>
          <w:kern w:val="0"/>
        </w:rPr>
        <w:t>life compared with continuing to smoke</w:t>
      </w:r>
      <w:r w:rsidR="00A37C1D">
        <w:rPr>
          <w:kern w:val="0"/>
        </w:rPr>
        <w:t>. The</w:t>
      </w:r>
      <w:r>
        <w:rPr>
          <w:kern w:val="0"/>
        </w:rPr>
        <w:t xml:space="preserve"> effect size seems as large for those with psychiatric disorders as those without</w:t>
      </w:r>
      <w:r w:rsidR="00A37C1D">
        <w:rPr>
          <w:kern w:val="0"/>
        </w:rPr>
        <w:t>. The</w:t>
      </w:r>
      <w:r>
        <w:rPr>
          <w:kern w:val="0"/>
        </w:rPr>
        <w:t xml:space="preserve"> effect sizes are equal or larger than those</w:t>
      </w:r>
      <w:r w:rsidR="00427468">
        <w:rPr>
          <w:kern w:val="0"/>
        </w:rPr>
        <w:t xml:space="preserve"> of </w:t>
      </w:r>
      <w:r>
        <w:rPr>
          <w:kern w:val="0"/>
        </w:rPr>
        <w:t>antidepressant treatment for mood and anxiety disorders.</w:t>
      </w:r>
    </w:p>
    <w:p w:rsidR="00AF28BD" w:rsidRDefault="00AF28BD" w:rsidP="00AF28BD">
      <w:pPr>
        <w:pStyle w:val="a3"/>
        <w:rPr>
          <w:kern w:val="0"/>
        </w:rPr>
      </w:pPr>
      <w:r>
        <w:rPr>
          <w:kern w:val="0"/>
        </w:rPr>
        <w:t>Keywords: Abstinence, Antidepressant, Anxiety, Anxiety Disorders, Attitudes, Authors, Cigarette, Clients, Clinical, Clinical-Trials, Confidence, Confidence Intervals, Criteria, Data, Depression, Design, Effect Size, Evidence, Follow-Up, General, Health, Interval, Intervals, Life, Measure, Mechanisms, Medline, Mental Health, Meta Analysis, Meta-Analysis, Metaanalysis, Nicotine Addiction, Observational, Observational Studies, Physical, Population, Populations, Psychiatric Disorders, Psychological, Psycinfo, Quality, Quality Of, Quality</w:t>
      </w:r>
      <w:r w:rsidR="00427468">
        <w:rPr>
          <w:kern w:val="0"/>
        </w:rPr>
        <w:t xml:space="preserve"> of </w:t>
      </w:r>
      <w:r>
        <w:rPr>
          <w:kern w:val="0"/>
        </w:rPr>
        <w:t>Life, Questionnaires, Reference, Reference Lists, Results, Review, Science, Size, Smokers, Smoking, Sources, Stress, Systematic Review, Treatment, Treatment Services, Web</w:t>
      </w:r>
      <w:r w:rsidR="00427468">
        <w:rPr>
          <w:kern w:val="0"/>
        </w:rPr>
        <w:t xml:space="preserve"> of </w:t>
      </w:r>
      <w:r>
        <w:rPr>
          <w:kern w:val="0"/>
        </w:rPr>
        <w:t>Science</w:t>
      </w:r>
    </w:p>
    <w:p w:rsidR="00912B4E" w:rsidRDefault="00912B4E" w:rsidP="00912B4E">
      <w:pPr>
        <w:pStyle w:val="a3"/>
        <w:rPr>
          <w:kern w:val="0"/>
        </w:rPr>
      </w:pPr>
      <w:r>
        <w:rPr>
          <w:rFonts w:hint="eastAsia"/>
          <w:kern w:val="0"/>
        </w:rPr>
        <w:t xml:space="preserve">? </w:t>
      </w:r>
      <w:r>
        <w:rPr>
          <w:kern w:val="0"/>
        </w:rPr>
        <w:t>Bould, M.D., Hladkowicz, E.S., Pigford, A.A.E., Ufholz, L.A., Postonogova, T., Shin, E. and Boet, S. (2014), References that anyone can edit: Review</w:t>
      </w:r>
      <w:r w:rsidR="00427468">
        <w:rPr>
          <w:kern w:val="0"/>
        </w:rPr>
        <w:t xml:space="preserve"> of </w:t>
      </w:r>
      <w:r>
        <w:rPr>
          <w:kern w:val="0"/>
        </w:rPr>
        <w:t xml:space="preserve">Wikipedia citations in peer reviewed health science literature. </w:t>
      </w:r>
      <w:r>
        <w:rPr>
          <w:i/>
          <w:iCs/>
          <w:kern w:val="0"/>
        </w:rPr>
        <w:t>British Medical Journal</w:t>
      </w:r>
      <w:r>
        <w:rPr>
          <w:kern w:val="0"/>
        </w:rPr>
        <w:t xml:space="preserve">, </w:t>
      </w:r>
      <w:r>
        <w:rPr>
          <w:b/>
          <w:bCs/>
          <w:kern w:val="0"/>
        </w:rPr>
        <w:t>348</w:t>
      </w:r>
      <w:r w:rsidRPr="00550E27">
        <w:rPr>
          <w:rFonts w:hint="eastAsia"/>
          <w:bCs/>
          <w:kern w:val="0"/>
        </w:rPr>
        <w:t xml:space="preserve">, </w:t>
      </w:r>
      <w:r w:rsidRPr="00550E27">
        <w:rPr>
          <w:bCs/>
          <w:kern w:val="0"/>
        </w:rPr>
        <w:t>Article Number: g1585</w:t>
      </w:r>
      <w:r>
        <w:rPr>
          <w:kern w:val="0"/>
        </w:rPr>
        <w:t>.</w:t>
      </w:r>
    </w:p>
    <w:p w:rsidR="00912B4E" w:rsidRDefault="00912B4E" w:rsidP="00912B4E">
      <w:pPr>
        <w:pStyle w:val="a3"/>
        <w:rPr>
          <w:kern w:val="0"/>
        </w:rPr>
      </w:pPr>
      <w:r>
        <w:rPr>
          <w:kern w:val="0"/>
        </w:rPr>
        <w:t xml:space="preserve">Full Text: </w:t>
      </w:r>
      <w:hyperlink r:id="rId2085" w:history="1">
        <w:r w:rsidRPr="00912B4E">
          <w:rPr>
            <w:rStyle w:val="a5"/>
            <w:kern w:val="0"/>
          </w:rPr>
          <w:t>2014\Bri Med J348, g1585.pdf</w:t>
        </w:r>
      </w:hyperlink>
    </w:p>
    <w:p w:rsidR="00912B4E" w:rsidRDefault="00912B4E" w:rsidP="00912B4E">
      <w:pPr>
        <w:pStyle w:val="a3"/>
        <w:rPr>
          <w:kern w:val="0"/>
        </w:rPr>
      </w:pPr>
      <w:r>
        <w:rPr>
          <w:kern w:val="0"/>
        </w:rPr>
        <w:t>Abstract: Objectives To examine indexed health science journals to evaluate the prevalence</w:t>
      </w:r>
      <w:r w:rsidR="00427468">
        <w:rPr>
          <w:kern w:val="0"/>
        </w:rPr>
        <w:t xml:space="preserve"> of </w:t>
      </w:r>
      <w:r>
        <w:rPr>
          <w:kern w:val="0"/>
        </w:rPr>
        <w:t>Wikipedia citations, identify the journals that publish articles with Wikipedia citations, and determine how Wikipedia is being cited. Design Bibliometric analysis. Study selection Publications in the English language that included citations to Wikipedia were retrieved using the online databases Scopus and Web</w:t>
      </w:r>
      <w:r w:rsidR="00427468">
        <w:rPr>
          <w:kern w:val="0"/>
        </w:rPr>
        <w:t xml:space="preserve"> of </w:t>
      </w:r>
      <w:r>
        <w:rPr>
          <w:kern w:val="0"/>
        </w:rPr>
        <w:t>Science. Data sources To identify health science journals, results were refined using Ulrich</w:t>
      </w:r>
      <w:r w:rsidR="00700038">
        <w:rPr>
          <w:kern w:val="0"/>
        </w:rPr>
        <w:t>’</w:t>
      </w:r>
      <w:r>
        <w:rPr>
          <w:kern w:val="0"/>
        </w:rPr>
        <w:t xml:space="preserve">s database, selecting for citations from journals indexed in Medline, PubMed, or Embase. Using Thomson Reuters Journal Citation Reports, </w:t>
      </w:r>
      <w:r>
        <w:rPr>
          <w:kern w:val="0"/>
        </w:rPr>
        <w:lastRenderedPageBreak/>
        <w:t>2011 impact factors were collected for all journals included in the search. Data extraction Resulting citations were thematically coded, and descriptive statistics were calculated. Results 1433 full text articles from 1008 journals indexed in Medline, PubMed, or Embase with 2049 Wikipedia citations were accessed</w:t>
      </w:r>
      <w:r w:rsidR="00A37C1D">
        <w:rPr>
          <w:kern w:val="0"/>
        </w:rPr>
        <w:t>. The</w:t>
      </w:r>
      <w:r>
        <w:rPr>
          <w:kern w:val="0"/>
        </w:rPr>
        <w:t xml:space="preserve"> frequency</w:t>
      </w:r>
      <w:r w:rsidR="00427468">
        <w:rPr>
          <w:kern w:val="0"/>
        </w:rPr>
        <w:t xml:space="preserve"> of </w:t>
      </w:r>
      <w:r>
        <w:rPr>
          <w:kern w:val="0"/>
        </w:rPr>
        <w:t>Wikipedia citations has increased over time; most citations occurred after December 2010. More than half</w:t>
      </w:r>
      <w:r w:rsidR="00427468">
        <w:rPr>
          <w:kern w:val="0"/>
        </w:rPr>
        <w:t xml:space="preserve"> of </w:t>
      </w:r>
      <w:r>
        <w:rPr>
          <w:kern w:val="0"/>
        </w:rPr>
        <w:t>the citations were coded as definitions (n= 648; 31.6%) or descriptions (n= 482; 23.5%). Citations were not limited to journals with a low or no impact factor; the search found Wikipedia citations in many journals with high impact factors. Conclusions Many publications are citing information from a tertiary source that can be edited by anyone, although permanent, evidence based sources are available. We encourage journal editors and reviewers to use caution when publishing articles that cite Wikipedia.</w:t>
      </w:r>
    </w:p>
    <w:p w:rsidR="00912B4E" w:rsidRDefault="00912B4E" w:rsidP="00912B4E">
      <w:pPr>
        <w:pStyle w:val="a3"/>
        <w:rPr>
          <w:kern w:val="0"/>
        </w:rPr>
      </w:pPr>
      <w:r>
        <w:rPr>
          <w:kern w:val="0"/>
        </w:rPr>
        <w:t>Keywords: Analysis, Bibliometric, Bibliometric Analysis, Citation, Citations, Data, Database, Databases, Design, English, Evidence, Evidence Based, Evidence-Based, Extraction, Google, Health, Impact, Impact Factor, Impact Factors, Information, Internet, Journal, Journal Citation Reports, Journal Editors, Journals, Language, Literature, Mar, Medical-Students, Medline, Online, Peer-Reviewed, Permanent, Prevalence, Publications, Publishing, Pubmed, Quality, References, Residents, Resource, Results, Review, Science, Science Journals, Scopus, Selection, Source, Sources, Statistics, Thomson Reuters, Thomson-Reuters, Web</w:t>
      </w:r>
      <w:r w:rsidR="00427468">
        <w:rPr>
          <w:kern w:val="0"/>
        </w:rPr>
        <w:t xml:space="preserve"> of </w:t>
      </w:r>
      <w:r>
        <w:rPr>
          <w:kern w:val="0"/>
        </w:rPr>
        <w:t>Science</w:t>
      </w:r>
    </w:p>
    <w:p w:rsidR="005E694B" w:rsidRPr="001A3D2B" w:rsidRDefault="005E694B" w:rsidP="005E694B">
      <w:pPr>
        <w:pStyle w:val="1"/>
      </w:pPr>
      <w:r w:rsidRPr="001A3D2B">
        <w:br w:type="page"/>
      </w:r>
      <w:bookmarkStart w:id="961" w:name="_Toc420814841"/>
      <w:r w:rsidRPr="001A3D2B">
        <w:lastRenderedPageBreak/>
        <w:t xml:space="preserve">Title: </w:t>
      </w:r>
      <w:r w:rsidRPr="005E694B">
        <w:rPr>
          <w:iCs w:val="0"/>
          <w:szCs w:val="24"/>
        </w:rPr>
        <w:t>Bronte Studies</w:t>
      </w:r>
      <w:bookmarkEnd w:id="961"/>
    </w:p>
    <w:p w:rsidR="005E694B" w:rsidRPr="001A3D2B" w:rsidRDefault="005E694B" w:rsidP="005E694B">
      <w:pPr>
        <w:pStyle w:val="12"/>
      </w:pPr>
      <w:r w:rsidRPr="001A3D2B">
        <w:t xml:space="preserve">Full Journal Title: </w:t>
      </w:r>
      <w:r w:rsidRPr="005E694B">
        <w:rPr>
          <w:iCs/>
          <w:kern w:val="0"/>
        </w:rPr>
        <w:t>Bronte Studies</w:t>
      </w:r>
    </w:p>
    <w:p w:rsidR="005E694B" w:rsidRPr="001A3D2B" w:rsidRDefault="005E694B" w:rsidP="005E694B">
      <w:pPr>
        <w:pStyle w:val="12"/>
      </w:pPr>
      <w:r w:rsidRPr="001A3D2B">
        <w:t xml:space="preserve">ISO Abbreviated Title: </w:t>
      </w:r>
    </w:p>
    <w:p w:rsidR="005E694B" w:rsidRPr="001A3D2B" w:rsidRDefault="005E694B" w:rsidP="005E694B">
      <w:pPr>
        <w:pStyle w:val="12"/>
      </w:pPr>
      <w:r w:rsidRPr="001A3D2B">
        <w:t xml:space="preserve">JCR Abbreviated Title: </w:t>
      </w:r>
    </w:p>
    <w:p w:rsidR="005E694B" w:rsidRPr="001A3D2B" w:rsidRDefault="005E694B" w:rsidP="005E694B">
      <w:pPr>
        <w:pStyle w:val="12"/>
      </w:pPr>
      <w:r w:rsidRPr="001A3D2B">
        <w:t xml:space="preserve">ISSN: </w:t>
      </w:r>
    </w:p>
    <w:p w:rsidR="005E694B" w:rsidRPr="001A3D2B" w:rsidRDefault="005E694B" w:rsidP="005E694B">
      <w:pPr>
        <w:pStyle w:val="12"/>
      </w:pPr>
      <w:r w:rsidRPr="001A3D2B">
        <w:t xml:space="preserve">Issues/Year: </w:t>
      </w:r>
    </w:p>
    <w:p w:rsidR="005E694B" w:rsidRPr="001A3D2B" w:rsidRDefault="005E694B" w:rsidP="005E694B">
      <w:pPr>
        <w:pStyle w:val="12"/>
      </w:pPr>
      <w:r w:rsidRPr="001A3D2B">
        <w:t xml:space="preserve">Journal Country/Territory: </w:t>
      </w:r>
    </w:p>
    <w:p w:rsidR="005E694B" w:rsidRPr="001A3D2B" w:rsidRDefault="005E694B" w:rsidP="005E694B">
      <w:pPr>
        <w:pStyle w:val="12"/>
      </w:pPr>
      <w:r w:rsidRPr="001A3D2B">
        <w:t xml:space="preserve">Language: </w:t>
      </w:r>
    </w:p>
    <w:p w:rsidR="005E694B" w:rsidRPr="001A3D2B" w:rsidRDefault="005E694B" w:rsidP="005E694B">
      <w:pPr>
        <w:pStyle w:val="12"/>
      </w:pPr>
      <w:r w:rsidRPr="001A3D2B">
        <w:t xml:space="preserve">Publisher: </w:t>
      </w:r>
    </w:p>
    <w:p w:rsidR="005E694B" w:rsidRPr="001A3D2B" w:rsidRDefault="005E694B" w:rsidP="005E694B">
      <w:pPr>
        <w:pStyle w:val="12"/>
      </w:pPr>
      <w:r w:rsidRPr="001A3D2B">
        <w:t xml:space="preserve">Publisher Address: </w:t>
      </w:r>
    </w:p>
    <w:p w:rsidR="005E694B" w:rsidRPr="001A3D2B" w:rsidRDefault="005E694B" w:rsidP="005E694B">
      <w:pPr>
        <w:pStyle w:val="12"/>
      </w:pPr>
      <w:r w:rsidRPr="001A3D2B">
        <w:t>Subject Categories:</w:t>
      </w:r>
    </w:p>
    <w:p w:rsidR="005E694B" w:rsidRPr="001A3D2B" w:rsidRDefault="005E694B" w:rsidP="005E694B">
      <w:pPr>
        <w:pStyle w:val="12"/>
      </w:pPr>
      <w:r w:rsidRPr="001A3D2B">
        <w:t xml:space="preserve">: Impact Factor </w:t>
      </w:r>
    </w:p>
    <w:p w:rsidR="005E694B" w:rsidRDefault="005E694B" w:rsidP="005E694B">
      <w:pPr>
        <w:pStyle w:val="a3"/>
        <w:rPr>
          <w:kern w:val="0"/>
          <w:szCs w:val="24"/>
        </w:rPr>
      </w:pPr>
      <w:r>
        <w:rPr>
          <w:rFonts w:hint="eastAsia"/>
          <w:kern w:val="0"/>
          <w:szCs w:val="24"/>
        </w:rPr>
        <w:t xml:space="preserve">? </w:t>
      </w:r>
      <w:r>
        <w:rPr>
          <w:kern w:val="0"/>
          <w:szCs w:val="24"/>
        </w:rPr>
        <w:t>Heywood, C. (2010), Vigny</w:t>
      </w:r>
      <w:r w:rsidR="00700038">
        <w:rPr>
          <w:kern w:val="0"/>
          <w:szCs w:val="24"/>
        </w:rPr>
        <w:t>’</w:t>
      </w:r>
      <w:r w:rsidR="00C13DDC">
        <w:rPr>
          <w:kern w:val="0"/>
          <w:szCs w:val="24"/>
        </w:rPr>
        <w:t>s</w:t>
      </w:r>
      <w:r>
        <w:rPr>
          <w:kern w:val="0"/>
          <w:szCs w:val="24"/>
        </w:rPr>
        <w:t xml:space="preserve"> Kitty Bell, Eugène Sue</w:t>
      </w:r>
      <w:r w:rsidR="00700038">
        <w:rPr>
          <w:kern w:val="0"/>
          <w:szCs w:val="24"/>
        </w:rPr>
        <w:t>’</w:t>
      </w:r>
      <w:r w:rsidR="00C13DDC">
        <w:rPr>
          <w:kern w:val="0"/>
          <w:szCs w:val="24"/>
        </w:rPr>
        <w:t>s</w:t>
      </w:r>
      <w:r>
        <w:rPr>
          <w:kern w:val="0"/>
          <w:szCs w:val="24"/>
        </w:rPr>
        <w:t xml:space="preserve"> </w:t>
      </w:r>
      <w:r w:rsidRPr="005E694B">
        <w:rPr>
          <w:i/>
          <w:kern w:val="0"/>
          <w:szCs w:val="24"/>
        </w:rPr>
        <w:t>Mathilde</w:t>
      </w:r>
      <w:r w:rsidR="005853A9">
        <w:rPr>
          <w:kern w:val="0"/>
          <w:szCs w:val="24"/>
        </w:rPr>
        <w:t xml:space="preserve"> and </w:t>
      </w:r>
      <w:r w:rsidR="00700038">
        <w:rPr>
          <w:kern w:val="0"/>
          <w:szCs w:val="24"/>
        </w:rPr>
        <w:t>‘</w:t>
      </w:r>
      <w:r>
        <w:rPr>
          <w:kern w:val="0"/>
          <w:szCs w:val="24"/>
        </w:rPr>
        <w:t>Kitty Bell</w:t>
      </w:r>
      <w:r w:rsidR="00700038">
        <w:rPr>
          <w:kern w:val="0"/>
          <w:szCs w:val="24"/>
        </w:rPr>
        <w:t>’</w:t>
      </w:r>
      <w:r>
        <w:rPr>
          <w:kern w:val="0"/>
          <w:szCs w:val="24"/>
        </w:rPr>
        <w:t xml:space="preserve">. </w:t>
      </w:r>
      <w:r w:rsidRPr="005E694B">
        <w:rPr>
          <w:i/>
          <w:iCs/>
          <w:kern w:val="0"/>
          <w:szCs w:val="24"/>
        </w:rPr>
        <w:t>Bronte Studies</w:t>
      </w:r>
      <w:r>
        <w:rPr>
          <w:kern w:val="0"/>
          <w:szCs w:val="24"/>
        </w:rPr>
        <w:t xml:space="preserve">, </w:t>
      </w:r>
      <w:r>
        <w:rPr>
          <w:b/>
          <w:bCs/>
          <w:kern w:val="0"/>
          <w:szCs w:val="24"/>
        </w:rPr>
        <w:t>35</w:t>
      </w:r>
      <w:r>
        <w:rPr>
          <w:kern w:val="0"/>
          <w:szCs w:val="24"/>
        </w:rPr>
        <w:t>, 40-56.</w:t>
      </w:r>
    </w:p>
    <w:p w:rsidR="005E694B" w:rsidRDefault="005E694B" w:rsidP="005E694B">
      <w:pPr>
        <w:pStyle w:val="a3"/>
        <w:rPr>
          <w:kern w:val="0"/>
          <w:szCs w:val="24"/>
        </w:rPr>
      </w:pPr>
      <w:r>
        <w:rPr>
          <w:rFonts w:hint="eastAsia"/>
          <w:kern w:val="0"/>
          <w:szCs w:val="24"/>
        </w:rPr>
        <w:t xml:space="preserve">Full Text: </w:t>
      </w:r>
      <w:hyperlink r:id="rId2086" w:history="1">
        <w:r w:rsidRPr="005E694B">
          <w:rPr>
            <w:rStyle w:val="a5"/>
            <w:kern w:val="0"/>
            <w:szCs w:val="24"/>
          </w:rPr>
          <w:t>2010\Bro Stu35, 40.pdf</w:t>
        </w:r>
      </w:hyperlink>
    </w:p>
    <w:p w:rsidR="005E694B" w:rsidRDefault="005E694B" w:rsidP="005E694B">
      <w:pPr>
        <w:pStyle w:val="a3"/>
        <w:rPr>
          <w:kern w:val="0"/>
          <w:szCs w:val="24"/>
        </w:rPr>
      </w:pPr>
      <w:r>
        <w:rPr>
          <w:kern w:val="0"/>
          <w:szCs w:val="24"/>
        </w:rPr>
        <w:t>Abstract:</w:t>
      </w:r>
      <w:r w:rsidR="003A1917">
        <w:rPr>
          <w:kern w:val="0"/>
          <w:szCs w:val="24"/>
        </w:rPr>
        <w:t xml:space="preserve"> the </w:t>
      </w:r>
      <w:r>
        <w:rPr>
          <w:kern w:val="0"/>
          <w:szCs w:val="24"/>
        </w:rPr>
        <w:t xml:space="preserve">tales </w:t>
      </w:r>
      <w:r w:rsidR="00700038">
        <w:rPr>
          <w:kern w:val="0"/>
          <w:szCs w:val="24"/>
        </w:rPr>
        <w:t>‘</w:t>
      </w:r>
      <w:r>
        <w:rPr>
          <w:kern w:val="0"/>
          <w:szCs w:val="24"/>
        </w:rPr>
        <w:t>Kitty Bell</w:t>
      </w:r>
      <w:r w:rsidR="00700038">
        <w:rPr>
          <w:kern w:val="0"/>
          <w:szCs w:val="24"/>
        </w:rPr>
        <w:t>’</w:t>
      </w:r>
      <w:r w:rsidR="005853A9">
        <w:rPr>
          <w:kern w:val="0"/>
          <w:szCs w:val="24"/>
        </w:rPr>
        <w:t xml:space="preserve"> and </w:t>
      </w:r>
      <w:r w:rsidR="00700038">
        <w:rPr>
          <w:kern w:val="0"/>
          <w:szCs w:val="24"/>
        </w:rPr>
        <w:t>‘</w:t>
      </w:r>
      <w:r>
        <w:rPr>
          <w:kern w:val="0"/>
          <w:szCs w:val="24"/>
        </w:rPr>
        <w:t>Giulio</w:t>
      </w:r>
      <w:r w:rsidR="005853A9">
        <w:rPr>
          <w:kern w:val="0"/>
          <w:szCs w:val="24"/>
        </w:rPr>
        <w:t xml:space="preserve"> and </w:t>
      </w:r>
      <w:r>
        <w:rPr>
          <w:kern w:val="0"/>
          <w:szCs w:val="24"/>
        </w:rPr>
        <w:t>Eleanor</w:t>
      </w:r>
      <w:r w:rsidR="00700038">
        <w:rPr>
          <w:kern w:val="0"/>
          <w:szCs w:val="24"/>
        </w:rPr>
        <w:t>’</w:t>
      </w:r>
      <w:r>
        <w:rPr>
          <w:kern w:val="0"/>
          <w:szCs w:val="24"/>
        </w:rPr>
        <w:t xml:space="preserve"> appeared as interpolations in</w:t>
      </w:r>
      <w:r w:rsidR="003A1917">
        <w:rPr>
          <w:kern w:val="0"/>
          <w:szCs w:val="24"/>
        </w:rPr>
        <w:t xml:space="preserve"> the </w:t>
      </w:r>
      <w:r>
        <w:rPr>
          <w:kern w:val="0"/>
          <w:szCs w:val="24"/>
        </w:rPr>
        <w:t xml:space="preserve">serial </w:t>
      </w:r>
      <w:r w:rsidR="00700038">
        <w:rPr>
          <w:kern w:val="0"/>
          <w:szCs w:val="24"/>
        </w:rPr>
        <w:t>‘</w:t>
      </w:r>
      <w:r>
        <w:rPr>
          <w:kern w:val="0"/>
          <w:szCs w:val="24"/>
        </w:rPr>
        <w:t>Mary Lawson by M. Eugene Sue</w:t>
      </w:r>
      <w:r w:rsidR="00700038">
        <w:rPr>
          <w:kern w:val="0"/>
          <w:szCs w:val="24"/>
        </w:rPr>
        <w:t>’</w:t>
      </w:r>
      <w:r>
        <w:rPr>
          <w:kern w:val="0"/>
          <w:szCs w:val="24"/>
        </w:rPr>
        <w:t>, published in</w:t>
      </w:r>
      <w:r w:rsidR="003A1917">
        <w:rPr>
          <w:kern w:val="0"/>
          <w:szCs w:val="24"/>
        </w:rPr>
        <w:t xml:space="preserve"> the </w:t>
      </w:r>
      <w:r>
        <w:rPr>
          <w:kern w:val="0"/>
          <w:szCs w:val="24"/>
        </w:rPr>
        <w:t>London Journal, a penny weekly, during 1850/51. Handwriting</w:t>
      </w:r>
      <w:r w:rsidR="005853A9">
        <w:rPr>
          <w:kern w:val="0"/>
          <w:szCs w:val="24"/>
        </w:rPr>
        <w:t xml:space="preserve"> and </w:t>
      </w:r>
      <w:r>
        <w:rPr>
          <w:kern w:val="0"/>
          <w:szCs w:val="24"/>
        </w:rPr>
        <w:t>other clues identify G. W. M. Reynolds as</w:t>
      </w:r>
      <w:r w:rsidR="003A1917">
        <w:rPr>
          <w:kern w:val="0"/>
          <w:szCs w:val="24"/>
        </w:rPr>
        <w:t xml:space="preserve"> the </w:t>
      </w:r>
      <w:r>
        <w:rPr>
          <w:kern w:val="0"/>
          <w:szCs w:val="24"/>
        </w:rPr>
        <w:t>compiler</w:t>
      </w:r>
      <w:r w:rsidR="00427468">
        <w:rPr>
          <w:kern w:val="0"/>
          <w:szCs w:val="24"/>
        </w:rPr>
        <w:t xml:space="preserve"> of </w:t>
      </w:r>
      <w:r>
        <w:rPr>
          <w:kern w:val="0"/>
          <w:szCs w:val="24"/>
        </w:rPr>
        <w:t>this novel from three manuscript sources,</w:t>
      </w:r>
      <w:r w:rsidR="005853A9">
        <w:rPr>
          <w:kern w:val="0"/>
          <w:szCs w:val="24"/>
        </w:rPr>
        <w:t xml:space="preserve"> and </w:t>
      </w:r>
      <w:r>
        <w:rPr>
          <w:kern w:val="0"/>
          <w:szCs w:val="24"/>
        </w:rPr>
        <w:t>as</w:t>
      </w:r>
      <w:r w:rsidR="003A1917">
        <w:rPr>
          <w:kern w:val="0"/>
          <w:szCs w:val="24"/>
        </w:rPr>
        <w:t xml:space="preserve"> the </w:t>
      </w:r>
      <w:r>
        <w:rPr>
          <w:kern w:val="0"/>
          <w:szCs w:val="24"/>
        </w:rPr>
        <w:t xml:space="preserve">pseudonymous correspondent </w:t>
      </w:r>
      <w:r w:rsidR="00700038">
        <w:rPr>
          <w:kern w:val="0"/>
          <w:szCs w:val="24"/>
        </w:rPr>
        <w:t>‘</w:t>
      </w:r>
      <w:r>
        <w:rPr>
          <w:kern w:val="0"/>
          <w:szCs w:val="24"/>
        </w:rPr>
        <w:t>K.T.</w:t>
      </w:r>
      <w:r w:rsidR="00700038">
        <w:rPr>
          <w:kern w:val="0"/>
          <w:szCs w:val="24"/>
        </w:rPr>
        <w:t>’</w:t>
      </w:r>
      <w:r>
        <w:rPr>
          <w:kern w:val="0"/>
          <w:szCs w:val="24"/>
        </w:rPr>
        <w:t xml:space="preserve"> whose letter to Charlotte, claiming </w:t>
      </w:r>
      <w:r w:rsidR="00700038">
        <w:rPr>
          <w:kern w:val="0"/>
          <w:szCs w:val="24"/>
        </w:rPr>
        <w:t>‘</w:t>
      </w:r>
      <w:r>
        <w:rPr>
          <w:kern w:val="0"/>
          <w:szCs w:val="24"/>
        </w:rPr>
        <w:t>Kitty Bell</w:t>
      </w:r>
      <w:r w:rsidR="00700038">
        <w:rPr>
          <w:kern w:val="0"/>
          <w:szCs w:val="24"/>
        </w:rPr>
        <w:t>’</w:t>
      </w:r>
      <w:r>
        <w:rPr>
          <w:kern w:val="0"/>
          <w:szCs w:val="24"/>
        </w:rPr>
        <w:t xml:space="preserve"> as a </w:t>
      </w:r>
      <w:r w:rsidR="00700038">
        <w:rPr>
          <w:kern w:val="0"/>
          <w:szCs w:val="24"/>
        </w:rPr>
        <w:t>‘</w:t>
      </w:r>
      <w:r>
        <w:rPr>
          <w:kern w:val="0"/>
          <w:szCs w:val="24"/>
        </w:rPr>
        <w:t>paraphrase</w:t>
      </w:r>
      <w:r w:rsidR="00700038">
        <w:rPr>
          <w:kern w:val="0"/>
          <w:szCs w:val="24"/>
        </w:rPr>
        <w:t>’</w:t>
      </w:r>
      <w:r w:rsidR="00427468">
        <w:rPr>
          <w:kern w:val="0"/>
          <w:szCs w:val="24"/>
        </w:rPr>
        <w:t xml:space="preserve"> of </w:t>
      </w:r>
      <w:r>
        <w:rPr>
          <w:kern w:val="0"/>
          <w:szCs w:val="24"/>
        </w:rPr>
        <w:t>Jane Eyre, has prompted</w:t>
      </w:r>
      <w:r w:rsidR="003A1917">
        <w:rPr>
          <w:kern w:val="0"/>
          <w:szCs w:val="24"/>
        </w:rPr>
        <w:t xml:space="preserve"> the </w:t>
      </w:r>
      <w:r>
        <w:rPr>
          <w:kern w:val="0"/>
          <w:szCs w:val="24"/>
        </w:rPr>
        <w:t xml:space="preserve">theory that </w:t>
      </w:r>
      <w:r w:rsidR="00700038">
        <w:rPr>
          <w:kern w:val="0"/>
          <w:szCs w:val="24"/>
        </w:rPr>
        <w:t>‘</w:t>
      </w:r>
      <w:r>
        <w:rPr>
          <w:kern w:val="0"/>
          <w:szCs w:val="24"/>
        </w:rPr>
        <w:t>Kitty Bell</w:t>
      </w:r>
      <w:r w:rsidR="00700038">
        <w:rPr>
          <w:kern w:val="0"/>
          <w:szCs w:val="24"/>
        </w:rPr>
        <w:t>’</w:t>
      </w:r>
      <w:r>
        <w:rPr>
          <w:kern w:val="0"/>
          <w:szCs w:val="24"/>
        </w:rPr>
        <w:t xml:space="preserve"> was a plagiarism</w:t>
      </w:r>
      <w:r w:rsidR="00427468">
        <w:rPr>
          <w:kern w:val="0"/>
          <w:szCs w:val="24"/>
        </w:rPr>
        <w:t xml:space="preserve"> of </w:t>
      </w:r>
      <w:r w:rsidR="003A1917">
        <w:rPr>
          <w:kern w:val="0"/>
          <w:szCs w:val="24"/>
        </w:rPr>
        <w:t xml:space="preserve">the </w:t>
      </w:r>
      <w:r>
        <w:rPr>
          <w:kern w:val="0"/>
          <w:szCs w:val="24"/>
        </w:rPr>
        <w:t>novel</w:t>
      </w:r>
      <w:r w:rsidR="00A37C1D">
        <w:rPr>
          <w:kern w:val="0"/>
          <w:szCs w:val="24"/>
        </w:rPr>
        <w:t>. The</w:t>
      </w:r>
      <w:r w:rsidR="003A1917">
        <w:rPr>
          <w:kern w:val="0"/>
          <w:szCs w:val="24"/>
        </w:rPr>
        <w:t xml:space="preserve"> </w:t>
      </w:r>
      <w:r>
        <w:rPr>
          <w:kern w:val="0"/>
          <w:szCs w:val="24"/>
        </w:rPr>
        <w:t>name Kitty Bell</w:t>
      </w:r>
      <w:r w:rsidR="005853A9">
        <w:rPr>
          <w:kern w:val="0"/>
          <w:szCs w:val="24"/>
        </w:rPr>
        <w:t xml:space="preserve"> and </w:t>
      </w:r>
      <w:r>
        <w:rPr>
          <w:kern w:val="0"/>
          <w:szCs w:val="24"/>
        </w:rPr>
        <w:t>associated topics appear among</w:t>
      </w:r>
      <w:r w:rsidR="003A1917">
        <w:rPr>
          <w:kern w:val="0"/>
          <w:szCs w:val="24"/>
        </w:rPr>
        <w:t xml:space="preserve"> the </w:t>
      </w:r>
      <w:r>
        <w:rPr>
          <w:kern w:val="0"/>
          <w:szCs w:val="24"/>
        </w:rPr>
        <w:t>works by Alfred de Vigny</w:t>
      </w:r>
      <w:r w:rsidR="005853A9">
        <w:rPr>
          <w:kern w:val="0"/>
          <w:szCs w:val="24"/>
        </w:rPr>
        <w:t xml:space="preserve"> and </w:t>
      </w:r>
      <w:r>
        <w:rPr>
          <w:kern w:val="0"/>
          <w:szCs w:val="24"/>
        </w:rPr>
        <w:t>Eugene Sue that contributed to Charlotte</w:t>
      </w:r>
      <w:r w:rsidR="00700038">
        <w:rPr>
          <w:kern w:val="0"/>
          <w:szCs w:val="24"/>
        </w:rPr>
        <w:t>’</w:t>
      </w:r>
      <w:r w:rsidR="00C13DDC">
        <w:rPr>
          <w:kern w:val="0"/>
          <w:szCs w:val="24"/>
        </w:rPr>
        <w:t>s</w:t>
      </w:r>
      <w:r>
        <w:rPr>
          <w:kern w:val="0"/>
          <w:szCs w:val="24"/>
        </w:rPr>
        <w:t xml:space="preserve"> literary formation. In that context, this article develops</w:t>
      </w:r>
      <w:r w:rsidR="003A1917">
        <w:rPr>
          <w:kern w:val="0"/>
          <w:szCs w:val="24"/>
        </w:rPr>
        <w:t xml:space="preserve"> the </w:t>
      </w:r>
      <w:r>
        <w:rPr>
          <w:kern w:val="0"/>
          <w:szCs w:val="24"/>
        </w:rPr>
        <w:t xml:space="preserve">view, first advanced by Mrs Ellis H. Chadwick, that Charlotte wrote </w:t>
      </w:r>
      <w:r w:rsidR="00700038">
        <w:rPr>
          <w:kern w:val="0"/>
          <w:szCs w:val="24"/>
        </w:rPr>
        <w:t>‘</w:t>
      </w:r>
      <w:r>
        <w:rPr>
          <w:kern w:val="0"/>
          <w:szCs w:val="24"/>
        </w:rPr>
        <w:t>Kitty Bell</w:t>
      </w:r>
      <w:r w:rsidR="00700038">
        <w:rPr>
          <w:kern w:val="0"/>
          <w:szCs w:val="24"/>
        </w:rPr>
        <w:t>’</w:t>
      </w:r>
      <w:r>
        <w:rPr>
          <w:kern w:val="0"/>
          <w:szCs w:val="24"/>
        </w:rPr>
        <w:t xml:space="preserve"> as a first attempt at</w:t>
      </w:r>
      <w:r w:rsidR="003A1917">
        <w:rPr>
          <w:kern w:val="0"/>
          <w:szCs w:val="24"/>
        </w:rPr>
        <w:t xml:space="preserve"> the </w:t>
      </w:r>
      <w:r>
        <w:rPr>
          <w:kern w:val="0"/>
          <w:szCs w:val="24"/>
        </w:rPr>
        <w:t>subject</w:t>
      </w:r>
      <w:r w:rsidR="00427468">
        <w:rPr>
          <w:kern w:val="0"/>
          <w:szCs w:val="24"/>
        </w:rPr>
        <w:t xml:space="preserve"> of </w:t>
      </w:r>
      <w:r>
        <w:rPr>
          <w:kern w:val="0"/>
          <w:szCs w:val="24"/>
        </w:rPr>
        <w:t xml:space="preserve">Jane Eyre. </w:t>
      </w:r>
      <w:r w:rsidR="00700038">
        <w:rPr>
          <w:kern w:val="0"/>
          <w:szCs w:val="24"/>
        </w:rPr>
        <w:t>‘</w:t>
      </w:r>
      <w:r>
        <w:rPr>
          <w:kern w:val="0"/>
          <w:szCs w:val="24"/>
        </w:rPr>
        <w:t>Giulio</w:t>
      </w:r>
      <w:r w:rsidR="005853A9">
        <w:rPr>
          <w:kern w:val="0"/>
          <w:szCs w:val="24"/>
        </w:rPr>
        <w:t xml:space="preserve"> and </w:t>
      </w:r>
      <w:r>
        <w:rPr>
          <w:kern w:val="0"/>
          <w:szCs w:val="24"/>
        </w:rPr>
        <w:t>Eleanor</w:t>
      </w:r>
      <w:r w:rsidR="00700038">
        <w:rPr>
          <w:kern w:val="0"/>
          <w:szCs w:val="24"/>
        </w:rPr>
        <w:t>’</w:t>
      </w:r>
      <w:r>
        <w:rPr>
          <w:kern w:val="0"/>
          <w:szCs w:val="24"/>
        </w:rPr>
        <w:t xml:space="preserve"> emerges as her matching sketch for</w:t>
      </w:r>
      <w:r w:rsidR="003A1917">
        <w:rPr>
          <w:kern w:val="0"/>
          <w:szCs w:val="24"/>
        </w:rPr>
        <w:t xml:space="preserve"> the </w:t>
      </w:r>
      <w:r>
        <w:rPr>
          <w:kern w:val="0"/>
          <w:szCs w:val="24"/>
        </w:rPr>
        <w:t>Professor.(1).</w:t>
      </w:r>
    </w:p>
    <w:p w:rsidR="005E694B" w:rsidRDefault="005E694B" w:rsidP="005E694B">
      <w:pPr>
        <w:pStyle w:val="a3"/>
        <w:rPr>
          <w:kern w:val="0"/>
          <w:szCs w:val="24"/>
        </w:rPr>
      </w:pPr>
      <w:r>
        <w:rPr>
          <w:kern w:val="0"/>
          <w:szCs w:val="24"/>
        </w:rPr>
        <w:t xml:space="preserve">Keywords: </w:t>
      </w:r>
      <w:r w:rsidR="00700038">
        <w:rPr>
          <w:kern w:val="0"/>
          <w:szCs w:val="24"/>
        </w:rPr>
        <w:t>‘</w:t>
      </w:r>
      <w:r>
        <w:rPr>
          <w:kern w:val="0"/>
          <w:szCs w:val="24"/>
        </w:rPr>
        <w:t>Kitty Bell</w:t>
      </w:r>
      <w:r w:rsidR="00700038">
        <w:rPr>
          <w:kern w:val="0"/>
          <w:szCs w:val="24"/>
        </w:rPr>
        <w:t>’</w:t>
      </w:r>
      <w:r>
        <w:rPr>
          <w:kern w:val="0"/>
          <w:szCs w:val="24"/>
        </w:rPr>
        <w:t>, Alfred De Vigny, Brussels Publishing, Charlotte Bronte, E.D.</w:t>
      </w:r>
      <w:r>
        <w:rPr>
          <w:rFonts w:hint="eastAsia"/>
          <w:kern w:val="0"/>
          <w:szCs w:val="24"/>
        </w:rPr>
        <w:t xml:space="preserve"> </w:t>
      </w:r>
      <w:r>
        <w:rPr>
          <w:kern w:val="0"/>
          <w:szCs w:val="24"/>
        </w:rPr>
        <w:t>Forgues, Eugene Sue, G.W.M.</w:t>
      </w:r>
      <w:r>
        <w:rPr>
          <w:rFonts w:hint="eastAsia"/>
          <w:kern w:val="0"/>
          <w:szCs w:val="24"/>
        </w:rPr>
        <w:t xml:space="preserve"> </w:t>
      </w:r>
      <w:r>
        <w:rPr>
          <w:kern w:val="0"/>
          <w:szCs w:val="24"/>
        </w:rPr>
        <w:t>Reynolds, Pensionnat Heger, Plagiarism, Romantic Realism</w:t>
      </w:r>
    </w:p>
    <w:p w:rsidR="00053180" w:rsidRPr="001A3D2B" w:rsidRDefault="00053180" w:rsidP="00053180">
      <w:pPr>
        <w:pStyle w:val="1"/>
      </w:pPr>
      <w:r w:rsidRPr="001A3D2B">
        <w:br w:type="page"/>
      </w:r>
      <w:bookmarkStart w:id="962" w:name="_Toc420814842"/>
      <w:r w:rsidRPr="001A3D2B">
        <w:lastRenderedPageBreak/>
        <w:t xml:space="preserve">Title: </w:t>
      </w:r>
      <w:r w:rsidRPr="00053180">
        <w:t>Buffalo Law Review</w:t>
      </w:r>
      <w:bookmarkEnd w:id="962"/>
    </w:p>
    <w:p w:rsidR="00053180" w:rsidRPr="001A3D2B" w:rsidRDefault="00053180" w:rsidP="00053180">
      <w:pPr>
        <w:pStyle w:val="12"/>
      </w:pPr>
      <w:r w:rsidRPr="001A3D2B">
        <w:t xml:space="preserve">Full Journal Title: </w:t>
      </w:r>
      <w:r w:rsidRPr="00053180">
        <w:rPr>
          <w:iCs/>
          <w:kern w:val="0"/>
        </w:rPr>
        <w:t>Buffalo Law Review</w:t>
      </w:r>
    </w:p>
    <w:p w:rsidR="00053180" w:rsidRPr="001A3D2B" w:rsidRDefault="00053180" w:rsidP="00053180">
      <w:pPr>
        <w:pStyle w:val="12"/>
      </w:pPr>
      <w:r w:rsidRPr="001A3D2B">
        <w:t xml:space="preserve">ISO Abbreviated Title: </w:t>
      </w:r>
    </w:p>
    <w:p w:rsidR="00053180" w:rsidRPr="001A3D2B" w:rsidRDefault="00053180" w:rsidP="00053180">
      <w:pPr>
        <w:pStyle w:val="12"/>
      </w:pPr>
      <w:r w:rsidRPr="001A3D2B">
        <w:t xml:space="preserve">JCR Abbreviated Title: </w:t>
      </w:r>
    </w:p>
    <w:p w:rsidR="00053180" w:rsidRPr="001A3D2B" w:rsidRDefault="00053180" w:rsidP="00053180">
      <w:pPr>
        <w:pStyle w:val="12"/>
      </w:pPr>
      <w:r w:rsidRPr="001A3D2B">
        <w:t xml:space="preserve">ISSN: </w:t>
      </w:r>
    </w:p>
    <w:p w:rsidR="00053180" w:rsidRPr="001A3D2B" w:rsidRDefault="00053180" w:rsidP="00053180">
      <w:pPr>
        <w:pStyle w:val="12"/>
      </w:pPr>
      <w:r w:rsidRPr="001A3D2B">
        <w:t xml:space="preserve">Issues/Year: </w:t>
      </w:r>
    </w:p>
    <w:p w:rsidR="00053180" w:rsidRPr="001A3D2B" w:rsidRDefault="00053180" w:rsidP="00053180">
      <w:pPr>
        <w:pStyle w:val="12"/>
      </w:pPr>
      <w:r w:rsidRPr="001A3D2B">
        <w:t xml:space="preserve">Journal Country/Territory: </w:t>
      </w:r>
    </w:p>
    <w:p w:rsidR="00053180" w:rsidRPr="001A3D2B" w:rsidRDefault="00053180" w:rsidP="00053180">
      <w:pPr>
        <w:pStyle w:val="12"/>
      </w:pPr>
      <w:r w:rsidRPr="001A3D2B">
        <w:t xml:space="preserve">Language: </w:t>
      </w:r>
    </w:p>
    <w:p w:rsidR="00053180" w:rsidRPr="001A3D2B" w:rsidRDefault="00053180" w:rsidP="00053180">
      <w:pPr>
        <w:pStyle w:val="12"/>
      </w:pPr>
      <w:r w:rsidRPr="001A3D2B">
        <w:t xml:space="preserve">Publisher: </w:t>
      </w:r>
    </w:p>
    <w:p w:rsidR="00053180" w:rsidRPr="001A3D2B" w:rsidRDefault="00053180" w:rsidP="00053180">
      <w:pPr>
        <w:pStyle w:val="12"/>
      </w:pPr>
      <w:r w:rsidRPr="001A3D2B">
        <w:t xml:space="preserve">Publisher Address: </w:t>
      </w:r>
    </w:p>
    <w:p w:rsidR="00053180" w:rsidRPr="001A3D2B" w:rsidRDefault="00053180" w:rsidP="00053180">
      <w:pPr>
        <w:pStyle w:val="12"/>
      </w:pPr>
      <w:r w:rsidRPr="001A3D2B">
        <w:t>Subject Categories:</w:t>
      </w:r>
    </w:p>
    <w:p w:rsidR="00053180" w:rsidRPr="001A3D2B" w:rsidRDefault="00053180" w:rsidP="00053180">
      <w:pPr>
        <w:pStyle w:val="12"/>
      </w:pPr>
      <w:r w:rsidRPr="001A3D2B">
        <w:t xml:space="preserve">: Impact Factor </w:t>
      </w:r>
    </w:p>
    <w:p w:rsidR="00053180" w:rsidRDefault="00053180" w:rsidP="00053180">
      <w:pPr>
        <w:pStyle w:val="a3"/>
        <w:rPr>
          <w:kern w:val="0"/>
        </w:rPr>
      </w:pPr>
      <w:r>
        <w:rPr>
          <w:rFonts w:hint="eastAsia"/>
          <w:kern w:val="0"/>
        </w:rPr>
        <w:t xml:space="preserve">? </w:t>
      </w:r>
      <w:r>
        <w:rPr>
          <w:kern w:val="0"/>
        </w:rPr>
        <w:t>Malloy, T.F. (2010</w:t>
      </w:r>
      <w:r w:rsidR="00F42EAC">
        <w:rPr>
          <w:kern w:val="0"/>
        </w:rPr>
        <w:t>), The</w:t>
      </w:r>
      <w:r w:rsidR="003A1917">
        <w:rPr>
          <w:kern w:val="0"/>
        </w:rPr>
        <w:t xml:space="preserve"> </w:t>
      </w:r>
      <w:r>
        <w:rPr>
          <w:kern w:val="0"/>
        </w:rPr>
        <w:t>social construction</w:t>
      </w:r>
      <w:r w:rsidR="00427468">
        <w:rPr>
          <w:kern w:val="0"/>
        </w:rPr>
        <w:t xml:space="preserve"> of </w:t>
      </w:r>
      <w:r>
        <w:rPr>
          <w:kern w:val="0"/>
        </w:rPr>
        <w:t>regulation: Lessons from</w:t>
      </w:r>
      <w:r w:rsidR="003A1917">
        <w:rPr>
          <w:kern w:val="0"/>
        </w:rPr>
        <w:t xml:space="preserve"> the </w:t>
      </w:r>
      <w:r>
        <w:rPr>
          <w:kern w:val="0"/>
        </w:rPr>
        <w:t>war against command</w:t>
      </w:r>
      <w:r w:rsidR="005853A9">
        <w:rPr>
          <w:kern w:val="0"/>
        </w:rPr>
        <w:t xml:space="preserve"> and </w:t>
      </w:r>
      <w:r>
        <w:rPr>
          <w:kern w:val="0"/>
        </w:rPr>
        <w:t xml:space="preserve">control. </w:t>
      </w:r>
      <w:r w:rsidRPr="00053180">
        <w:rPr>
          <w:i/>
          <w:iCs/>
          <w:kern w:val="0"/>
        </w:rPr>
        <w:t>Buffalo Law Review</w:t>
      </w:r>
      <w:r>
        <w:rPr>
          <w:kern w:val="0"/>
        </w:rPr>
        <w:t xml:space="preserve">, </w:t>
      </w:r>
      <w:r>
        <w:rPr>
          <w:b/>
          <w:bCs/>
          <w:kern w:val="0"/>
        </w:rPr>
        <w:t>58</w:t>
      </w:r>
      <w:r>
        <w:rPr>
          <w:kern w:val="0"/>
        </w:rPr>
        <w:t xml:space="preserve"> (2), 267-355</w:t>
      </w:r>
      <w:r>
        <w:rPr>
          <w:rFonts w:hint="eastAsia"/>
          <w:kern w:val="0"/>
        </w:rPr>
        <w:t>.</w:t>
      </w:r>
    </w:p>
    <w:p w:rsidR="00053180" w:rsidRDefault="00053180" w:rsidP="00053180">
      <w:pPr>
        <w:pStyle w:val="a3"/>
        <w:rPr>
          <w:kern w:val="0"/>
        </w:rPr>
      </w:pPr>
      <w:r>
        <w:rPr>
          <w:rFonts w:hint="eastAsia"/>
          <w:kern w:val="0"/>
        </w:rPr>
        <w:t xml:space="preserve">Full Text: </w:t>
      </w:r>
      <w:hyperlink r:id="rId2087" w:history="1">
        <w:r w:rsidRPr="00F65F3C">
          <w:rPr>
            <w:rStyle w:val="a5"/>
            <w:kern w:val="0"/>
          </w:rPr>
          <w:t>2010\Buf Law Rev58, 267.pdf</w:t>
        </w:r>
      </w:hyperlink>
    </w:p>
    <w:p w:rsidR="00053180" w:rsidRDefault="00053180" w:rsidP="00053180">
      <w:pPr>
        <w:pStyle w:val="a3"/>
        <w:rPr>
          <w:kern w:val="0"/>
        </w:rPr>
      </w:pPr>
      <w:r>
        <w:rPr>
          <w:kern w:val="0"/>
        </w:rPr>
        <w:t>Keywords: Bibliometrics, Citation Analysis, Decision-Making, Efficiency, Environmental-Regulation, Imperial Scholar, Law, Local Legal Culture, Protection, Technology</w:t>
      </w:r>
    </w:p>
    <w:p w:rsidR="003474F2" w:rsidRPr="001A3D2B" w:rsidRDefault="003474F2" w:rsidP="003474F2">
      <w:pPr>
        <w:pStyle w:val="1"/>
      </w:pPr>
      <w:r w:rsidRPr="001A3D2B">
        <w:br w:type="page"/>
      </w:r>
      <w:bookmarkStart w:id="963" w:name="_Toc420814843"/>
      <w:r w:rsidRPr="001A3D2B">
        <w:lastRenderedPageBreak/>
        <w:t>Title: Building an Information Society for All. Proceedings</w:t>
      </w:r>
      <w:r w:rsidR="00427468">
        <w:t xml:space="preserve"> of </w:t>
      </w:r>
      <w:r w:rsidR="003A1917">
        <w:t xml:space="preserve">the </w:t>
      </w:r>
      <w:r w:rsidRPr="001A3D2B">
        <w:t>International Conference on Libraries, Information</w:t>
      </w:r>
      <w:r w:rsidR="005853A9">
        <w:t xml:space="preserve"> and </w:t>
      </w:r>
      <w:r w:rsidRPr="001A3D2B">
        <w:t>Society, ICoLIS 2007</w:t>
      </w:r>
      <w:bookmarkEnd w:id="963"/>
    </w:p>
    <w:p w:rsidR="003474F2" w:rsidRPr="001A3D2B" w:rsidRDefault="003474F2" w:rsidP="003474F2">
      <w:pPr>
        <w:pStyle w:val="12"/>
      </w:pPr>
      <w:r w:rsidRPr="001A3D2B">
        <w:t>Full Journal Title: Building an Information Society for All. Proceedings</w:t>
      </w:r>
      <w:r w:rsidR="00427468">
        <w:t xml:space="preserve"> of </w:t>
      </w:r>
      <w:r w:rsidR="003A1917">
        <w:t xml:space="preserve">the </w:t>
      </w:r>
      <w:r w:rsidRPr="001A3D2B">
        <w:t>International Conference on Libraries, Information</w:t>
      </w:r>
      <w:r w:rsidR="005853A9">
        <w:t xml:space="preserve"> and </w:t>
      </w:r>
      <w:r w:rsidRPr="001A3D2B">
        <w:t>Society, ICoLIS 2007</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Goon, F.M.</w:t>
      </w:r>
      <w:r w:rsidR="005853A9">
        <w:t xml:space="preserve"> and </w:t>
      </w:r>
      <w:r w:rsidRPr="001A3D2B">
        <w:t>Singh, D. (2007), Trends in Malaysian LIS research 1996-2006: A content analysis</w:t>
      </w:r>
      <w:r w:rsidR="00427468">
        <w:t xml:space="preserve"> of </w:t>
      </w:r>
      <w:r w:rsidR="003A1917">
        <w:t xml:space="preserve">the </w:t>
      </w:r>
      <w:r w:rsidRPr="001A3D2B">
        <w:t xml:space="preserve">MJLIS articles. </w:t>
      </w:r>
      <w:r w:rsidRPr="001A3D2B">
        <w:rPr>
          <w:i/>
          <w:iCs/>
        </w:rPr>
        <w:t>Building an Information Society for All. Proceedings</w:t>
      </w:r>
      <w:r w:rsidR="00427468">
        <w:rPr>
          <w:i/>
          <w:iCs/>
        </w:rPr>
        <w:t xml:space="preserve"> of </w:t>
      </w:r>
      <w:r w:rsidR="003A1917">
        <w:rPr>
          <w:i/>
          <w:iCs/>
        </w:rPr>
        <w:t xml:space="preserve">the </w:t>
      </w:r>
      <w:r w:rsidRPr="001A3D2B">
        <w:rPr>
          <w:i/>
          <w:iCs/>
        </w:rPr>
        <w:t>International Conference on Libraries, Information</w:t>
      </w:r>
      <w:r w:rsidR="005853A9">
        <w:rPr>
          <w:i/>
          <w:iCs/>
        </w:rPr>
        <w:t xml:space="preserve"> and </w:t>
      </w:r>
      <w:r w:rsidRPr="001A3D2B">
        <w:rPr>
          <w:i/>
          <w:iCs/>
        </w:rPr>
        <w:t>Society, ICoLIS 2007</w:t>
      </w:r>
      <w:r w:rsidRPr="001A3D2B">
        <w:t>, 397-406.</w:t>
      </w:r>
    </w:p>
    <w:p w:rsidR="003474F2" w:rsidRPr="001A3D2B" w:rsidRDefault="003474F2" w:rsidP="003474F2">
      <w:pPr>
        <w:pStyle w:val="a3"/>
      </w:pPr>
      <w:r w:rsidRPr="001A3D2B">
        <w:t>Abstract: This paper is a content analysis</w:t>
      </w:r>
      <w:r w:rsidR="00427468">
        <w:t xml:space="preserve"> of </w:t>
      </w:r>
      <w:r w:rsidRPr="001A3D2B">
        <w:t>library</w:t>
      </w:r>
      <w:r w:rsidR="005853A9">
        <w:t xml:space="preserve"> and </w:t>
      </w:r>
      <w:r w:rsidRPr="001A3D2B">
        <w:t>information science (LIS) research by Malaysian authors, which were published in</w:t>
      </w:r>
      <w:r w:rsidR="003A1917">
        <w:t xml:space="preserve"> the </w:t>
      </w:r>
      <w:r w:rsidRPr="001A3D2B">
        <w:t>Malaysian Journal</w:t>
      </w:r>
      <w:r w:rsidR="00427468">
        <w:t xml:space="preserve"> of </w:t>
      </w:r>
      <w:r w:rsidRPr="001A3D2B">
        <w:t>Library &amp; Information Science (MJLIS) from 1996 to 2006</w:t>
      </w:r>
      <w:r w:rsidR="00A37C1D">
        <w:t>. The</w:t>
      </w:r>
      <w:r w:rsidR="003A1917">
        <w:t xml:space="preserve"> </w:t>
      </w:r>
      <w:r w:rsidRPr="001A3D2B">
        <w:t>aim is to find out how Malaysian LIS research is distributed over topics, which research methods are favoured,</w:t>
      </w:r>
      <w:r w:rsidR="005853A9">
        <w:t xml:space="preserve"> and </w:t>
      </w:r>
      <w:r w:rsidR="003A1917">
        <w:t xml:space="preserve">the </w:t>
      </w:r>
      <w:r w:rsidRPr="001A3D2B">
        <w:t>pattern</w:t>
      </w:r>
      <w:r w:rsidR="00427468">
        <w:t xml:space="preserve"> of </w:t>
      </w:r>
      <w:r w:rsidRPr="001A3D2B">
        <w:t>authorship. An author is regarded as Malaysian by virtue</w:t>
      </w:r>
      <w:r w:rsidR="00427468">
        <w:t xml:space="preserve"> of </w:t>
      </w:r>
      <w:r w:rsidRPr="001A3D2B">
        <w:t>affiliation to a Malaysian institution as stated in</w:t>
      </w:r>
      <w:r w:rsidR="003A1917">
        <w:t xml:space="preserve"> the </w:t>
      </w:r>
      <w:r w:rsidRPr="001A3D2B">
        <w:t>published article</w:t>
      </w:r>
      <w:r w:rsidR="00A37C1D">
        <w:t>. The</w:t>
      </w:r>
      <w:r w:rsidR="003A1917">
        <w:t xml:space="preserve"> </w:t>
      </w:r>
      <w:r w:rsidRPr="001A3D2B">
        <w:t>ratio</w:t>
      </w:r>
      <w:r w:rsidR="00427468">
        <w:t xml:space="preserve"> of </w:t>
      </w:r>
      <w:r w:rsidRPr="001A3D2B">
        <w:t>male to female authors changed from 5:2 to 1:2 over</w:t>
      </w:r>
      <w:r w:rsidR="003A1917">
        <w:t xml:space="preserve"> the </w:t>
      </w:r>
      <w:r w:rsidRPr="001A3D2B">
        <w:t>eleven years. Research focused consistently on 3 main classes; information storage &amp; retrieval (IS&amp;R), information seeking,</w:t>
      </w:r>
      <w:r w:rsidR="005853A9">
        <w:t xml:space="preserve"> and </w:t>
      </w:r>
      <w:r w:rsidRPr="001A3D2B">
        <w:t>scientific</w:t>
      </w:r>
      <w:r w:rsidR="005853A9">
        <w:t xml:space="preserve"> and </w:t>
      </w:r>
      <w:r w:rsidRPr="001A3D2B">
        <w:t>professional communication</w:t>
      </w:r>
      <w:r w:rsidR="00A37C1D">
        <w:t>. The</w:t>
      </w:r>
      <w:r w:rsidRPr="001A3D2B">
        <w:t>y totaled up to at least 50%</w:t>
      </w:r>
      <w:r w:rsidR="005853A9">
        <w:t xml:space="preserve"> and </w:t>
      </w:r>
      <w:r w:rsidRPr="001A3D2B">
        <w:t>as high as 100%</w:t>
      </w:r>
      <w:r w:rsidR="00427468">
        <w:t xml:space="preserve"> of </w:t>
      </w:r>
      <w:r w:rsidR="003A1917">
        <w:t xml:space="preserve">the </w:t>
      </w:r>
      <w:r w:rsidRPr="001A3D2B">
        <w:t>research articles every year</w:t>
      </w:r>
      <w:r w:rsidR="00A37C1D">
        <w:t>. The</w:t>
      </w:r>
      <w:r w:rsidRPr="001A3D2B">
        <w:t>re was strong emphasis on empirical research strategies, which were utilized for at least 50%</w:t>
      </w:r>
      <w:r w:rsidR="00427468">
        <w:t xml:space="preserve"> of </w:t>
      </w:r>
      <w:r w:rsidR="003A1917">
        <w:t xml:space="preserve">the </w:t>
      </w:r>
      <w:r w:rsidRPr="001A3D2B">
        <w:t>research carried out per year</w:t>
      </w:r>
      <w:r w:rsidR="00A37C1D">
        <w:t>. The</w:t>
      </w:r>
      <w:r w:rsidR="003A1917">
        <w:t xml:space="preserve"> </w:t>
      </w:r>
      <w:r w:rsidRPr="001A3D2B">
        <w:t>survey</w:t>
      </w:r>
      <w:r w:rsidR="005853A9">
        <w:t xml:space="preserve"> and </w:t>
      </w:r>
      <w:r w:rsidRPr="001A3D2B">
        <w:t>bibliometric method were</w:t>
      </w:r>
      <w:r w:rsidR="003A1917">
        <w:t xml:space="preserve"> the </w:t>
      </w:r>
      <w:r w:rsidRPr="001A3D2B">
        <w:t>most engaged methods.</w:t>
      </w:r>
    </w:p>
    <w:p w:rsidR="003474F2" w:rsidRPr="001A3D2B" w:rsidRDefault="003474F2" w:rsidP="003474F2">
      <w:pPr>
        <w:pStyle w:val="a3"/>
      </w:pPr>
      <w:r w:rsidRPr="001A3D2B">
        <w:t>Keywords: Affiliation, Analysis, Authorship, Bibliometric, Communication, Content Analysis, Distributed, Female, Information, Information Science, Library</w:t>
      </w:r>
      <w:r w:rsidR="005853A9">
        <w:t xml:space="preserve"> and </w:t>
      </w:r>
      <w:r w:rsidRPr="001A3D2B">
        <w:t>Information Science, LIS, Male, Methods, Pattern, Professional Communication, Research, Science, Storage, Survey</w:t>
      </w:r>
    </w:p>
    <w:p w:rsidR="003474F2" w:rsidRPr="001A3D2B" w:rsidRDefault="003474F2" w:rsidP="003474F2">
      <w:pPr>
        <w:pStyle w:val="a3"/>
      </w:pPr>
      <w:r w:rsidRPr="001A3D2B">
        <w:t>? Chu, K.L.</w:t>
      </w:r>
      <w:r w:rsidR="005853A9">
        <w:t xml:space="preserve"> and </w:t>
      </w:r>
      <w:r w:rsidRPr="001A3D2B">
        <w:t>Jee, F.W. (2007), A scientometric</w:t>
      </w:r>
      <w:r w:rsidR="005853A9">
        <w:t xml:space="preserve"> and </w:t>
      </w:r>
      <w:r w:rsidRPr="001A3D2B">
        <w:t>social network analysis</w:t>
      </w:r>
      <w:r w:rsidR="00427468">
        <w:t xml:space="preserve"> of </w:t>
      </w:r>
      <w:r w:rsidRPr="001A3D2B">
        <w:t xml:space="preserve">two </w:t>
      </w:r>
      <w:r w:rsidRPr="001A3D2B">
        <w:lastRenderedPageBreak/>
        <w:t xml:space="preserve">business schools. </w:t>
      </w:r>
      <w:r w:rsidRPr="001A3D2B">
        <w:rPr>
          <w:i/>
          <w:iCs/>
        </w:rPr>
        <w:t>Building an Information Society for All. Proceedings</w:t>
      </w:r>
      <w:r w:rsidR="00427468">
        <w:rPr>
          <w:i/>
          <w:iCs/>
        </w:rPr>
        <w:t xml:space="preserve"> of </w:t>
      </w:r>
      <w:r w:rsidR="003A1917">
        <w:rPr>
          <w:i/>
          <w:iCs/>
        </w:rPr>
        <w:t xml:space="preserve">the </w:t>
      </w:r>
      <w:r w:rsidRPr="001A3D2B">
        <w:rPr>
          <w:i/>
          <w:iCs/>
        </w:rPr>
        <w:t>International Conference on Libraries, Information</w:t>
      </w:r>
      <w:r w:rsidR="005853A9">
        <w:rPr>
          <w:i/>
          <w:iCs/>
        </w:rPr>
        <w:t xml:space="preserve"> and </w:t>
      </w:r>
      <w:r w:rsidRPr="001A3D2B">
        <w:rPr>
          <w:i/>
          <w:iCs/>
        </w:rPr>
        <w:t>Society, ICoLIS 2007</w:t>
      </w:r>
      <w:r w:rsidRPr="001A3D2B">
        <w:t>, 435-445.</w:t>
      </w:r>
    </w:p>
    <w:p w:rsidR="003474F2" w:rsidRPr="001A3D2B" w:rsidRDefault="003474F2" w:rsidP="003474F2">
      <w:pPr>
        <w:pStyle w:val="a3"/>
      </w:pPr>
      <w:r w:rsidRPr="001A3D2B">
        <w:t>Abstract: In this paper,</w:t>
      </w:r>
      <w:r w:rsidR="003A1917">
        <w:t xml:space="preserve"> the </w:t>
      </w:r>
      <w:r w:rsidRPr="001A3D2B">
        <w:t>ecologies</w:t>
      </w:r>
      <w:r w:rsidR="00427468">
        <w:t xml:space="preserve"> of </w:t>
      </w:r>
      <w:r w:rsidRPr="001A3D2B">
        <w:t>collaboration among</w:t>
      </w:r>
      <w:r w:rsidR="003A1917">
        <w:t xml:space="preserve"> the </w:t>
      </w:r>
      <w:r w:rsidRPr="001A3D2B">
        <w:t>academics at two business schools, namely,</w:t>
      </w:r>
      <w:r w:rsidR="003A1917">
        <w:t xml:space="preserve"> the </w:t>
      </w:r>
      <w:r w:rsidRPr="001A3D2B">
        <w:t>Nanyang Business School (NBS)</w:t>
      </w:r>
      <w:r w:rsidR="005853A9">
        <w:t xml:space="preserve"> and </w:t>
      </w:r>
      <w:r w:rsidRPr="001A3D2B">
        <w:t>INSEAD are analysed by analysing</w:t>
      </w:r>
      <w:r w:rsidR="003A1917">
        <w:t xml:space="preserve"> the </w:t>
      </w:r>
      <w:r w:rsidRPr="001A3D2B">
        <w:t>ten-year publication output</w:t>
      </w:r>
      <w:r w:rsidR="00427468">
        <w:t xml:space="preserve"> of </w:t>
      </w:r>
      <w:r w:rsidR="003A1917">
        <w:t xml:space="preserve">the </w:t>
      </w:r>
      <w:r w:rsidRPr="001A3D2B">
        <w:t>two schools using techniques from both scientometrics</w:t>
      </w:r>
      <w:r w:rsidR="005853A9">
        <w:t xml:space="preserve"> and </w:t>
      </w:r>
      <w:r w:rsidRPr="001A3D2B">
        <w:t>social network analysis</w:t>
      </w:r>
      <w:r w:rsidR="00A37C1D">
        <w:t>. The</w:t>
      </w:r>
      <w:r w:rsidRPr="001A3D2B">
        <w:t>se two lenses provide two views that complement each other. When</w:t>
      </w:r>
      <w:r w:rsidR="003A1917">
        <w:t xml:space="preserve"> the </w:t>
      </w:r>
      <w:r w:rsidRPr="001A3D2B">
        <w:t>two views are taken together, they make it possible for</w:t>
      </w:r>
      <w:r w:rsidR="003A1917">
        <w:t xml:space="preserve"> the </w:t>
      </w:r>
      <w:r w:rsidRPr="001A3D2B">
        <w:t>ecology</w:t>
      </w:r>
      <w:r w:rsidR="00427468">
        <w:t xml:space="preserve"> of </w:t>
      </w:r>
      <w:r w:rsidRPr="001A3D2B">
        <w:t>collaboration at</w:t>
      </w:r>
      <w:r w:rsidR="003A1917">
        <w:t xml:space="preserve"> the </w:t>
      </w:r>
      <w:r w:rsidRPr="001A3D2B">
        <w:t>two schools to be understood more holistically</w:t>
      </w:r>
      <w:r w:rsidR="00A37C1D">
        <w:t>. The</w:t>
      </w:r>
      <w:r w:rsidR="003A1917">
        <w:t xml:space="preserve"> </w:t>
      </w:r>
      <w:r w:rsidRPr="001A3D2B">
        <w:t>publications, retrieved from</w:t>
      </w:r>
      <w:r w:rsidR="003A1917">
        <w:t xml:space="preserve"> the </w:t>
      </w:r>
      <w:r w:rsidRPr="001A3D2B">
        <w:t>Institute</w:t>
      </w:r>
      <w:r w:rsidR="00427468">
        <w:t xml:space="preserve"> of </w:t>
      </w:r>
      <w:r w:rsidRPr="001A3D2B">
        <w:t>Scientific Information</w:t>
      </w:r>
      <w:r w:rsidR="00700038">
        <w:t>’</w:t>
      </w:r>
      <w:r w:rsidR="00C13DDC">
        <w:t>s</w:t>
      </w:r>
      <w:r w:rsidRPr="001A3D2B">
        <w:t xml:space="preserve"> </w:t>
      </w:r>
      <w:r w:rsidR="00D5664A">
        <w:t>Web</w:t>
      </w:r>
      <w:r w:rsidR="00427468">
        <w:t xml:space="preserve"> of </w:t>
      </w:r>
      <w:r w:rsidR="00D5664A">
        <w:t>Science</w:t>
      </w:r>
      <w:r w:rsidRPr="001A3D2B">
        <w:t xml:space="preserve"> database, were analysed on a sliding window basis over single-year time spans beginning with 1995</w:t>
      </w:r>
      <w:r w:rsidR="005853A9">
        <w:t xml:space="preserve"> and </w:t>
      </w:r>
      <w:r w:rsidRPr="001A3D2B">
        <w:t>ending with 2004. UCINET was then used to compute</w:t>
      </w:r>
      <w:r w:rsidR="003A1917">
        <w:t xml:space="preserve"> the </w:t>
      </w:r>
      <w:r w:rsidRPr="001A3D2B">
        <w:t>social network parameters</w:t>
      </w:r>
      <w:r w:rsidR="005853A9">
        <w:t xml:space="preserve"> and </w:t>
      </w:r>
      <w:r w:rsidRPr="001A3D2B">
        <w:t>to plot</w:t>
      </w:r>
      <w:r w:rsidR="003A1917">
        <w:t xml:space="preserve"> the </w:t>
      </w:r>
      <w:r w:rsidRPr="001A3D2B">
        <w:t>sociograms. From</w:t>
      </w:r>
      <w:r w:rsidR="003A1917">
        <w:t xml:space="preserve"> the </w:t>
      </w:r>
      <w:r w:rsidRPr="001A3D2B">
        <w:t>scientometric perspective, INSEAD had</w:t>
      </w:r>
      <w:r w:rsidR="003A1917">
        <w:t xml:space="preserve"> the </w:t>
      </w:r>
      <w:r w:rsidRPr="001A3D2B">
        <w:t>larger publication output</w:t>
      </w:r>
      <w:r w:rsidR="00427468">
        <w:t xml:space="preserve"> of </w:t>
      </w:r>
      <w:r w:rsidRPr="001A3D2B">
        <w:t>565 papers, compared with NBS</w:t>
      </w:r>
      <w:r w:rsidR="00700038">
        <w:t>’</w:t>
      </w:r>
      <w:r w:rsidR="00C13DDC">
        <w:t>s</w:t>
      </w:r>
      <w:r w:rsidRPr="001A3D2B">
        <w:t xml:space="preserve"> 234 papers</w:t>
      </w:r>
      <w:r w:rsidR="00A37C1D">
        <w:t>. The</w:t>
      </w:r>
      <w:r w:rsidR="003A1917">
        <w:t xml:space="preserve"> </w:t>
      </w:r>
      <w:r w:rsidRPr="001A3D2B">
        <w:t>levels</w:t>
      </w:r>
      <w:r w:rsidR="00427468">
        <w:t xml:space="preserve"> of </w:t>
      </w:r>
      <w:r w:rsidRPr="001A3D2B">
        <w:t>coauthorship at both schools were comparable, at 2.11 authors per paper in NBS</w:t>
      </w:r>
      <w:r w:rsidR="005853A9">
        <w:t xml:space="preserve"> and </w:t>
      </w:r>
      <w:r w:rsidRPr="001A3D2B">
        <w:t>2.21 papers per author at INSEAD</w:t>
      </w:r>
      <w:r w:rsidR="00A37C1D">
        <w:t>. The</w:t>
      </w:r>
      <w:r w:rsidR="003A1917">
        <w:t xml:space="preserve"> </w:t>
      </w:r>
      <w:r w:rsidRPr="001A3D2B">
        <w:t>low levels</w:t>
      </w:r>
      <w:r w:rsidR="00427468">
        <w:t xml:space="preserve"> of </w:t>
      </w:r>
      <w:r w:rsidRPr="001A3D2B">
        <w:t>coauthorship,</w:t>
      </w:r>
      <w:r w:rsidR="003A1917">
        <w:t xml:space="preserve"> the </w:t>
      </w:r>
      <w:r w:rsidRPr="001A3D2B">
        <w:t>lack</w:t>
      </w:r>
      <w:r w:rsidR="00427468">
        <w:t xml:space="preserve"> of </w:t>
      </w:r>
      <w:r w:rsidRPr="001A3D2B">
        <w:t>an inflationary trend in coauthorship over</w:t>
      </w:r>
      <w:r w:rsidR="003A1917">
        <w:t xml:space="preserve"> the </w:t>
      </w:r>
      <w:r w:rsidRPr="001A3D2B">
        <w:t>ten years,</w:t>
      </w:r>
      <w:r w:rsidR="005853A9">
        <w:t xml:space="preserve"> and </w:t>
      </w:r>
      <w:r w:rsidR="003A1917">
        <w:t xml:space="preserve">the </w:t>
      </w:r>
      <w:r w:rsidRPr="001A3D2B">
        <w:t>large percentage</w:t>
      </w:r>
      <w:r w:rsidR="00427468">
        <w:t xml:space="preserve"> of </w:t>
      </w:r>
      <w:r w:rsidRPr="001A3D2B">
        <w:t>papers that are coauthored by six or less authors (99.6%) indicate that</w:t>
      </w:r>
      <w:r w:rsidR="003A1917">
        <w:t xml:space="preserve"> the </w:t>
      </w:r>
      <w:r w:rsidRPr="001A3D2B">
        <w:t>phenomenon</w:t>
      </w:r>
      <w:r w:rsidR="00427468">
        <w:t xml:space="preserve"> of </w:t>
      </w:r>
      <w:r w:rsidRPr="001A3D2B">
        <w:t>hyperauthorship was not at play in either school. However, major differences were found in</w:t>
      </w:r>
      <w:r w:rsidR="003A1917">
        <w:t xml:space="preserve"> the </w:t>
      </w:r>
      <w:r w:rsidRPr="001A3D2B">
        <w:t>author productivity, citation profile,</w:t>
      </w:r>
      <w:r w:rsidR="005853A9">
        <w:t xml:space="preserve"> and </w:t>
      </w:r>
      <w:r w:rsidR="003A1917">
        <w:t xml:space="preserve">the </w:t>
      </w:r>
      <w:r w:rsidRPr="001A3D2B">
        <w:t>popular publication outlets. INSEAD</w:t>
      </w:r>
      <w:r w:rsidR="00700038">
        <w:t>’</w:t>
      </w:r>
      <w:r w:rsidR="00C13DDC">
        <w:t>s</w:t>
      </w:r>
      <w:r w:rsidRPr="001A3D2B">
        <w:t xml:space="preserve"> research papers received more citations compared with NBS</w:t>
      </w:r>
      <w:r w:rsidR="00700038">
        <w:t>’</w:t>
      </w:r>
      <w:r w:rsidR="00C13DDC">
        <w:t>s</w:t>
      </w:r>
      <w:r w:rsidRPr="001A3D2B">
        <w:t xml:space="preserve"> (29.1 %</w:t>
      </w:r>
      <w:r w:rsidR="00427468">
        <w:t xml:space="preserve"> of </w:t>
      </w:r>
      <w:r w:rsidRPr="001A3D2B">
        <w:t>NBS</w:t>
      </w:r>
      <w:r w:rsidR="00700038">
        <w:t>’</w:t>
      </w:r>
      <w:r w:rsidR="00C13DDC">
        <w:t>s</w:t>
      </w:r>
      <w:r w:rsidRPr="001A3D2B">
        <w:t xml:space="preserve"> papers were uncited compared with 16.8%</w:t>
      </w:r>
      <w:r w:rsidR="00427468">
        <w:t xml:space="preserve"> of </w:t>
      </w:r>
      <w:r w:rsidRPr="001A3D2B">
        <w:t>INSEAD</w:t>
      </w:r>
      <w:r w:rsidR="00700038">
        <w:t>’</w:t>
      </w:r>
      <w:r w:rsidR="00C13DDC">
        <w:t>s</w:t>
      </w:r>
      <w:r w:rsidRPr="001A3D2B">
        <w:t>),</w:t>
      </w:r>
      <w:r w:rsidR="005853A9">
        <w:t xml:space="preserve"> and </w:t>
      </w:r>
      <w:r w:rsidRPr="001A3D2B">
        <w:t>15 out</w:t>
      </w:r>
      <w:r w:rsidR="00427468">
        <w:t xml:space="preserve"> of </w:t>
      </w:r>
      <w:r w:rsidR="003A1917">
        <w:t xml:space="preserve">the </w:t>
      </w:r>
      <w:r w:rsidRPr="001A3D2B">
        <w:t>16 most heavily cited papers (those that received fifty citations or more) were from INSEAD. From</w:t>
      </w:r>
      <w:r w:rsidR="003A1917">
        <w:t xml:space="preserve"> the </w:t>
      </w:r>
      <w:r w:rsidRPr="001A3D2B">
        <w:t>social network perspective,</w:t>
      </w:r>
      <w:r w:rsidR="003A1917">
        <w:t xml:space="preserve"> the </w:t>
      </w:r>
      <w:r w:rsidRPr="001A3D2B">
        <w:t>author-to-author sociograms</w:t>
      </w:r>
      <w:r w:rsidR="00427468">
        <w:t xml:space="preserve"> of </w:t>
      </w:r>
      <w:r w:rsidRPr="001A3D2B">
        <w:t>both NBS</w:t>
      </w:r>
      <w:r w:rsidR="005853A9">
        <w:t xml:space="preserve"> and </w:t>
      </w:r>
      <w:r w:rsidRPr="001A3D2B">
        <w:t>INSEAD were fragmentary,</w:t>
      </w:r>
      <w:r w:rsidR="005853A9">
        <w:t xml:space="preserve"> and </w:t>
      </w:r>
      <w:r w:rsidRPr="001A3D2B">
        <w:t>comprised numerous small components averaging 2.3 to 4.2 nodes per component</w:t>
      </w:r>
      <w:r w:rsidR="00A37C1D">
        <w:t>. The</w:t>
      </w:r>
      <w:r w:rsidR="003A1917">
        <w:t xml:space="preserve"> </w:t>
      </w:r>
      <w:r w:rsidRPr="001A3D2B">
        <w:t>sociograms were symptomatic</w:t>
      </w:r>
      <w:r w:rsidR="00427468">
        <w:t xml:space="preserve"> of </w:t>
      </w:r>
      <w:r w:rsidR="003A1917">
        <w:t xml:space="preserve">the </w:t>
      </w:r>
      <w:r w:rsidRPr="001A3D2B">
        <w:t>typical business school culture, which is low in both sociability</w:t>
      </w:r>
      <w:r w:rsidR="005853A9">
        <w:t xml:space="preserve"> and </w:t>
      </w:r>
      <w:r w:rsidRPr="001A3D2B">
        <w:t>solidarity</w:t>
      </w:r>
      <w:r w:rsidR="00A37C1D">
        <w:t>. The</w:t>
      </w:r>
      <w:r w:rsidR="003A1917">
        <w:t xml:space="preserve"> </w:t>
      </w:r>
      <w:r w:rsidRPr="001A3D2B">
        <w:t>low density values also confirm</w:t>
      </w:r>
      <w:r w:rsidR="003A1917">
        <w:t xml:space="preserve"> the </w:t>
      </w:r>
      <w:r w:rsidRPr="001A3D2B">
        <w:t>low level social capital in</w:t>
      </w:r>
      <w:r w:rsidR="003A1917">
        <w:t xml:space="preserve"> the </w:t>
      </w:r>
      <w:r w:rsidRPr="001A3D2B">
        <w:t>networks</w:t>
      </w:r>
      <w:r w:rsidR="00427468">
        <w:t xml:space="preserve"> of </w:t>
      </w:r>
      <w:r w:rsidRPr="001A3D2B">
        <w:t>both schools.</w:t>
      </w:r>
    </w:p>
    <w:p w:rsidR="003474F2" w:rsidRPr="001A3D2B" w:rsidRDefault="003474F2" w:rsidP="003474F2">
      <w:pPr>
        <w:pStyle w:val="a3"/>
      </w:pPr>
      <w:r w:rsidRPr="001A3D2B">
        <w:t xml:space="preserve">Keywords: Analysis, Author Productivity, Business, Citation, Citations, Coauthorship, Collaboration, Culture, Database, Ecology, Network, Network Analysis, Networks, Papers, Productivity, Publication, Publications, Research, Scientometric, Scientometrics, Small, Social, Social Network Analysis, Solidarity, Techniques, Trend, </w:t>
      </w:r>
      <w:r w:rsidR="00D5664A">
        <w:t>Web</w:t>
      </w:r>
      <w:r w:rsidR="00427468">
        <w:t xml:space="preserve"> of </w:t>
      </w:r>
      <w:r w:rsidR="00D5664A">
        <w:t>Science</w:t>
      </w:r>
    </w:p>
    <w:p w:rsidR="003474F2" w:rsidRPr="001A3D2B" w:rsidRDefault="003474F2" w:rsidP="003474F2">
      <w:pPr>
        <w:pStyle w:val="a3"/>
      </w:pPr>
      <w:r w:rsidRPr="001A3D2B">
        <w:t>? Yazit, N.</w:t>
      </w:r>
      <w:r w:rsidR="005853A9">
        <w:t xml:space="preserve"> and </w:t>
      </w:r>
      <w:r w:rsidRPr="001A3D2B">
        <w:t>Zainab, A. (2007), Malaysian publication contributions to</w:t>
      </w:r>
      <w:r w:rsidR="003A1917">
        <w:t xml:space="preserve"> the </w:t>
      </w:r>
      <w:r w:rsidRPr="001A3D2B">
        <w:t>field</w:t>
      </w:r>
      <w:r w:rsidR="00427468">
        <w:t xml:space="preserve"> of </w:t>
      </w:r>
      <w:r w:rsidRPr="001A3D2B">
        <w:t>library</w:t>
      </w:r>
      <w:r w:rsidR="005853A9">
        <w:t xml:space="preserve"> and </w:t>
      </w:r>
      <w:r w:rsidRPr="001A3D2B">
        <w:t xml:space="preserve">information science. </w:t>
      </w:r>
      <w:r w:rsidRPr="001A3D2B">
        <w:rPr>
          <w:i/>
          <w:iCs/>
        </w:rPr>
        <w:t>Building an Information Society for All. Proceedings</w:t>
      </w:r>
      <w:r w:rsidR="00427468">
        <w:rPr>
          <w:i/>
          <w:iCs/>
        </w:rPr>
        <w:t xml:space="preserve"> of </w:t>
      </w:r>
      <w:r w:rsidR="003A1917">
        <w:rPr>
          <w:i/>
          <w:iCs/>
        </w:rPr>
        <w:t xml:space="preserve">the </w:t>
      </w:r>
      <w:r w:rsidRPr="001A3D2B">
        <w:rPr>
          <w:i/>
          <w:iCs/>
        </w:rPr>
        <w:t>International Conference on Libraries, Information</w:t>
      </w:r>
      <w:r w:rsidR="005853A9">
        <w:rPr>
          <w:i/>
          <w:iCs/>
        </w:rPr>
        <w:t xml:space="preserve"> and </w:t>
      </w:r>
      <w:r w:rsidRPr="001A3D2B">
        <w:rPr>
          <w:i/>
          <w:iCs/>
        </w:rPr>
        <w:t>Society, ICoLIS 2007</w:t>
      </w:r>
      <w:r w:rsidRPr="001A3D2B">
        <w:t>, 407-420.</w:t>
      </w:r>
    </w:p>
    <w:p w:rsidR="003474F2" w:rsidRPr="001A3D2B" w:rsidRDefault="003474F2" w:rsidP="003474F2">
      <w:pPr>
        <w:pStyle w:val="a3"/>
      </w:pPr>
      <w:r w:rsidRPr="001A3D2B">
        <w:lastRenderedPageBreak/>
        <w:t>Abstract:</w:t>
      </w:r>
      <w:r w:rsidR="003A1917">
        <w:t xml:space="preserve"> the </w:t>
      </w:r>
      <w:r w:rsidRPr="001A3D2B">
        <w:t>paper (a) described</w:t>
      </w:r>
      <w:r w:rsidR="003A1917">
        <w:t xml:space="preserve"> the </w:t>
      </w:r>
      <w:r w:rsidRPr="001A3D2B">
        <w:t>total number</w:t>
      </w:r>
      <w:r w:rsidR="005853A9">
        <w:t xml:space="preserve"> and </w:t>
      </w:r>
      <w:r w:rsidRPr="001A3D2B">
        <w:t>spread</w:t>
      </w:r>
      <w:r w:rsidR="00427468">
        <w:t xml:space="preserve"> of </w:t>
      </w:r>
      <w:r w:rsidRPr="001A3D2B">
        <w:t>publications produced by Malaysian contributors in</w:t>
      </w:r>
      <w:r w:rsidR="003A1917">
        <w:t xml:space="preserve"> the </w:t>
      </w:r>
      <w:r w:rsidRPr="001A3D2B">
        <w:t>field</w:t>
      </w:r>
      <w:r w:rsidR="00427468">
        <w:t xml:space="preserve"> of </w:t>
      </w:r>
      <w:r w:rsidRPr="001A3D2B">
        <w:t>LIS for</w:t>
      </w:r>
      <w:r w:rsidR="003A1917">
        <w:t xml:space="preserve"> the </w:t>
      </w:r>
      <w:r w:rsidRPr="001A3D2B">
        <w:t>period 1965</w:t>
      </w:r>
      <w:r w:rsidR="005853A9">
        <w:t xml:space="preserve"> and </w:t>
      </w:r>
      <w:r w:rsidRPr="001A3D2B">
        <w:t>2005; (b) identified</w:t>
      </w:r>
      <w:r w:rsidR="003A1917">
        <w:t xml:space="preserve"> the </w:t>
      </w:r>
      <w:r w:rsidRPr="001A3D2B">
        <w:t>active authors</w:t>
      </w:r>
      <w:r w:rsidR="005853A9">
        <w:t xml:space="preserve"> and </w:t>
      </w:r>
      <w:r w:rsidRPr="001A3D2B">
        <w:t>authorship pattern, (c) identified</w:t>
      </w:r>
      <w:r w:rsidR="003A1917">
        <w:t xml:space="preserve"> the </w:t>
      </w:r>
      <w:r w:rsidRPr="001A3D2B">
        <w:t>affiliation status</w:t>
      </w:r>
      <w:r w:rsidR="00427468">
        <w:t xml:space="preserve"> of </w:t>
      </w:r>
      <w:r w:rsidRPr="001A3D2B">
        <w:t>Malaysian researchers; (d)</w:t>
      </w:r>
      <w:r w:rsidR="003A1917">
        <w:t xml:space="preserve"> the </w:t>
      </w:r>
      <w:r w:rsidRPr="001A3D2B">
        <w:t>preferred channel</w:t>
      </w:r>
      <w:r w:rsidR="00427468">
        <w:t xml:space="preserve"> of </w:t>
      </w:r>
      <w:r w:rsidRPr="001A3D2B">
        <w:t>research publications;</w:t>
      </w:r>
      <w:r w:rsidR="005853A9">
        <w:t xml:space="preserve"> and </w:t>
      </w:r>
      <w:r w:rsidRPr="001A3D2B">
        <w:t>(e)</w:t>
      </w:r>
      <w:r w:rsidR="003A1917">
        <w:t xml:space="preserve"> the </w:t>
      </w:r>
      <w:r w:rsidRPr="001A3D2B">
        <w:t>subject areas covered by</w:t>
      </w:r>
      <w:r w:rsidR="003A1917">
        <w:t xml:space="preserve"> the </w:t>
      </w:r>
      <w:r w:rsidRPr="001A3D2B">
        <w:t>published works in LIS</w:t>
      </w:r>
      <w:r w:rsidR="00A37C1D">
        <w:t>. The</w:t>
      </w:r>
      <w:r w:rsidR="003A1917">
        <w:t xml:space="preserve"> </w:t>
      </w:r>
      <w:r w:rsidRPr="001A3D2B">
        <w:t>sample</w:t>
      </w:r>
      <w:r w:rsidR="00427468">
        <w:t xml:space="preserve"> of </w:t>
      </w:r>
      <w:r w:rsidR="003A1917">
        <w:t xml:space="preserve">the </w:t>
      </w:r>
      <w:r w:rsidRPr="001A3D2B">
        <w:t>study comprised all located publications in</w:t>
      </w:r>
      <w:r w:rsidR="003A1917">
        <w:t xml:space="preserve"> the </w:t>
      </w:r>
      <w:r w:rsidRPr="001A3D2B">
        <w:t>field</w:t>
      </w:r>
      <w:r w:rsidR="00427468">
        <w:t xml:space="preserve"> of </w:t>
      </w:r>
      <w:r w:rsidRPr="001A3D2B">
        <w:t>LIS by Malaysian authors published in Malaysia</w:t>
      </w:r>
      <w:r w:rsidR="005853A9">
        <w:t xml:space="preserve"> and </w:t>
      </w:r>
      <w:r w:rsidRPr="001A3D2B">
        <w:t>abroad. Data was collected from LIS related online databases; online public library catalogues</w:t>
      </w:r>
      <w:r w:rsidR="00427468">
        <w:t xml:space="preserve"> of </w:t>
      </w:r>
      <w:r w:rsidRPr="001A3D2B">
        <w:t>selected libraries in Malaysia</w:t>
      </w:r>
      <w:r w:rsidR="005853A9">
        <w:t xml:space="preserve"> and </w:t>
      </w:r>
      <w:r w:rsidRPr="001A3D2B">
        <w:t>Malaysian LIS journals</w:t>
      </w:r>
      <w:r w:rsidR="00A37C1D">
        <w:t>. The</w:t>
      </w:r>
      <w:r w:rsidR="003A1917">
        <w:t xml:space="preserve"> </w:t>
      </w:r>
      <w:r w:rsidRPr="001A3D2B">
        <w:t>data used in this study comprised 1045 publications which were based on accessible literature only</w:t>
      </w:r>
      <w:r w:rsidR="00A37C1D">
        <w:t>. The</w:t>
      </w:r>
      <w:r w:rsidR="003A1917">
        <w:t xml:space="preserve"> </w:t>
      </w:r>
      <w:r w:rsidRPr="001A3D2B">
        <w:t>results indicated (a) Malaysian LIS authors preferred publishing in journals (511, 48.9%), followed by conference papers (474, 45.4%), books (31, 2.9%)</w:t>
      </w:r>
      <w:r w:rsidR="005853A9">
        <w:t xml:space="preserve"> and </w:t>
      </w:r>
      <w:r w:rsidRPr="001A3D2B">
        <w:t>book chapters (29, 2.8%); (b) even though</w:t>
      </w:r>
      <w:r w:rsidR="003A1917">
        <w:t xml:space="preserve"> the </w:t>
      </w:r>
      <w:r w:rsidRPr="001A3D2B">
        <w:t>publication distribution fluctuated</w:t>
      </w:r>
      <w:r w:rsidR="003A1917">
        <w:t xml:space="preserve"> the </w:t>
      </w:r>
      <w:r w:rsidRPr="001A3D2B">
        <w:t>moving average depicted a steady incremental trend over</w:t>
      </w:r>
      <w:r w:rsidR="003A1917">
        <w:t xml:space="preserve"> the </w:t>
      </w:r>
      <w:r w:rsidRPr="001A3D2B">
        <w:t>41-year period, (c) a total</w:t>
      </w:r>
      <w:r w:rsidR="00427468">
        <w:t xml:space="preserve"> of </w:t>
      </w:r>
      <w:r w:rsidRPr="001A3D2B">
        <w:t>506 Malaysian authors contributed to</w:t>
      </w:r>
      <w:r w:rsidR="003A1917">
        <w:t xml:space="preserve"> the </w:t>
      </w:r>
      <w:r w:rsidRPr="001A3D2B">
        <w:t>1045 publications</w:t>
      </w:r>
      <w:r w:rsidR="005853A9">
        <w:t xml:space="preserve"> and </w:t>
      </w:r>
      <w:r w:rsidRPr="001A3D2B">
        <w:t>309 authors are one-time publishers, while</w:t>
      </w:r>
      <w:r w:rsidR="003A1917">
        <w:t xml:space="preserve"> the </w:t>
      </w:r>
      <w:r w:rsidRPr="001A3D2B">
        <w:t>rest published between 2</w:t>
      </w:r>
      <w:r w:rsidR="005853A9">
        <w:t xml:space="preserve"> and </w:t>
      </w:r>
      <w:r w:rsidRPr="001A3D2B">
        <w:t>to as high as 52 publications; (d)</w:t>
      </w:r>
      <w:r w:rsidR="003A1917">
        <w:t xml:space="preserve"> the </w:t>
      </w:r>
      <w:r w:rsidRPr="001A3D2B">
        <w:t>active Malaysian authors in LIS were affiliated to 131 institutions</w:t>
      </w:r>
      <w:r w:rsidR="005853A9">
        <w:t xml:space="preserve"> and </w:t>
      </w:r>
      <w:r w:rsidR="003A1917">
        <w:t xml:space="preserve">the </w:t>
      </w:r>
      <w:r w:rsidRPr="001A3D2B">
        <w:t>three dominant productive institutions were</w:t>
      </w:r>
      <w:r w:rsidR="003A1917">
        <w:t xml:space="preserve"> the </w:t>
      </w:r>
      <w:r w:rsidRPr="001A3D2B">
        <w:t>National Library</w:t>
      </w:r>
      <w:r w:rsidR="00427468">
        <w:t xml:space="preserve"> of </w:t>
      </w:r>
      <w:r w:rsidRPr="001A3D2B">
        <w:t>Malaysia, University</w:t>
      </w:r>
      <w:r w:rsidR="00427468">
        <w:t xml:space="preserve"> of </w:t>
      </w:r>
      <w:r w:rsidRPr="001A3D2B">
        <w:t>Malaya Library</w:t>
      </w:r>
      <w:r w:rsidR="005853A9">
        <w:t xml:space="preserve"> and </w:t>
      </w:r>
      <w:r w:rsidRPr="001A3D2B">
        <w:t>MLIS programme at</w:t>
      </w:r>
      <w:r w:rsidR="003A1917">
        <w:t xml:space="preserve"> the </w:t>
      </w:r>
      <w:r w:rsidRPr="001A3D2B">
        <w:t>University</w:t>
      </w:r>
      <w:r w:rsidR="00427468">
        <w:t xml:space="preserve"> of </w:t>
      </w:r>
      <w:r w:rsidRPr="001A3D2B">
        <w:t>Malaya; (e)</w:t>
      </w:r>
      <w:r w:rsidR="003A1917">
        <w:t xml:space="preserve"> the </w:t>
      </w:r>
      <w:r w:rsidRPr="001A3D2B">
        <w:t>subject areas written about in order</w:t>
      </w:r>
      <w:r w:rsidR="00427468">
        <w:t xml:space="preserve"> of </w:t>
      </w:r>
      <w:r w:rsidRPr="001A3D2B">
        <w:t>productivity were Management</w:t>
      </w:r>
      <w:r w:rsidR="00427468">
        <w:t xml:space="preserve"> of </w:t>
      </w:r>
      <w:r w:rsidRPr="001A3D2B">
        <w:t>library</w:t>
      </w:r>
      <w:r w:rsidR="005853A9">
        <w:t xml:space="preserve"> and </w:t>
      </w:r>
      <w:r w:rsidRPr="001A3D2B">
        <w:t>information centres (30%), Information services (23%); Collection development</w:t>
      </w:r>
      <w:r w:rsidR="005853A9">
        <w:t xml:space="preserve"> and </w:t>
      </w:r>
      <w:r w:rsidRPr="001A3D2B">
        <w:t>management (16%), ICT applications in LIS (14%), Information sources (10%), Organization</w:t>
      </w:r>
      <w:r w:rsidR="00427468">
        <w:t xml:space="preserve"> of </w:t>
      </w:r>
      <w:r w:rsidRPr="001A3D2B">
        <w:t>information (5%)</w:t>
      </w:r>
      <w:r w:rsidR="005853A9">
        <w:t xml:space="preserve"> and </w:t>
      </w:r>
      <w:r w:rsidRPr="001A3D2B">
        <w:t>Legal issues in LIS (2%)</w:t>
      </w:r>
      <w:r w:rsidR="00A37C1D">
        <w:t>. The</w:t>
      </w:r>
      <w:r w:rsidR="003A1917">
        <w:t xml:space="preserve"> </w:t>
      </w:r>
      <w:r w:rsidRPr="001A3D2B">
        <w:t>results revealed</w:t>
      </w:r>
      <w:r w:rsidR="003A1917">
        <w:t xml:space="preserve"> the </w:t>
      </w:r>
      <w:r w:rsidRPr="001A3D2B">
        <w:t>areas actively written about,</w:t>
      </w:r>
      <w:r w:rsidR="003A1917">
        <w:t xml:space="preserve"> the </w:t>
      </w:r>
      <w:r w:rsidRPr="001A3D2B">
        <w:t>productive authors</w:t>
      </w:r>
      <w:r w:rsidR="005853A9">
        <w:t xml:space="preserve"> and </w:t>
      </w:r>
      <w:r w:rsidRPr="001A3D2B">
        <w:t>institutions. It highlights</w:t>
      </w:r>
      <w:r w:rsidR="003A1917">
        <w:t xml:space="preserve"> the </w:t>
      </w:r>
      <w:r w:rsidRPr="001A3D2B">
        <w:t>areas which needed improvements</w:t>
      </w:r>
      <w:r w:rsidR="005853A9">
        <w:t xml:space="preserve"> and </w:t>
      </w:r>
      <w:r w:rsidRPr="001A3D2B">
        <w:t>expansion in</w:t>
      </w:r>
      <w:r w:rsidR="003A1917">
        <w:t xml:space="preserve"> the </w:t>
      </w:r>
      <w:r w:rsidRPr="001A3D2B">
        <w:t>field.</w:t>
      </w:r>
    </w:p>
    <w:p w:rsidR="003474F2" w:rsidRPr="001A3D2B" w:rsidRDefault="003474F2" w:rsidP="003474F2">
      <w:pPr>
        <w:pStyle w:val="a3"/>
      </w:pPr>
      <w:r w:rsidRPr="001A3D2B">
        <w:t>Keywords: Affiliation, Authorship, Authorship Pattern, Data, Databases, Development, Distribution, Field, Information, Information Science, Institutions, Journals, Library</w:t>
      </w:r>
      <w:r w:rsidR="005853A9">
        <w:t xml:space="preserve"> and </w:t>
      </w:r>
      <w:r w:rsidRPr="001A3D2B">
        <w:t>Information Science, LIS, Literature, Malaysia, Management, Papers, Pattern, Productivity, Public, Publication, Publications, Published Works, Publishing, Research, Science, Services, Sources, Trend</w:t>
      </w:r>
    </w:p>
    <w:p w:rsidR="003474F2" w:rsidRPr="001A3D2B" w:rsidRDefault="003474F2" w:rsidP="003474F2">
      <w:pPr>
        <w:pStyle w:val="1"/>
      </w:pPr>
      <w:r w:rsidRPr="001A3D2B">
        <w:br w:type="page"/>
      </w:r>
      <w:bookmarkStart w:id="964" w:name="_Toc420814844"/>
      <w:r w:rsidRPr="001A3D2B">
        <w:lastRenderedPageBreak/>
        <w:t>Title: Building Research &amp; Information</w:t>
      </w:r>
      <w:bookmarkEnd w:id="964"/>
    </w:p>
    <w:p w:rsidR="003474F2" w:rsidRPr="001A3D2B" w:rsidRDefault="003474F2" w:rsidP="003474F2">
      <w:pPr>
        <w:pStyle w:val="12"/>
      </w:pPr>
      <w:r w:rsidRPr="001A3D2B">
        <w:t xml:space="preserve">Full Journal Title: </w:t>
      </w:r>
      <w:hyperlink r:id="rId2088" w:history="1">
        <w:r w:rsidRPr="001A3D2B">
          <w:rPr>
            <w:rStyle w:val="a5"/>
          </w:rPr>
          <w:t>Building Research &amp; Information</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Winch, G. (1998), Zephyrs</w:t>
      </w:r>
      <w:r w:rsidR="00427468">
        <w:t xml:space="preserve"> of </w:t>
      </w:r>
      <w:r w:rsidRPr="001A3D2B">
        <w:t>creative destruction: understanding</w:t>
      </w:r>
      <w:r w:rsidR="003A1917">
        <w:t xml:space="preserve"> the </w:t>
      </w:r>
      <w:r w:rsidRPr="001A3D2B">
        <w:t>management</w:t>
      </w:r>
      <w:r w:rsidR="00427468">
        <w:t xml:space="preserve"> of </w:t>
      </w:r>
      <w:r w:rsidRPr="001A3D2B">
        <w:t xml:space="preserve">innovation in construction. </w:t>
      </w:r>
      <w:r w:rsidRPr="001A3D2B">
        <w:rPr>
          <w:i/>
          <w:iCs/>
        </w:rPr>
        <w:t>Building Research &amp; Information</w:t>
      </w:r>
      <w:r w:rsidRPr="001A3D2B">
        <w:t xml:space="preserve">, </w:t>
      </w:r>
      <w:r w:rsidRPr="001A3D2B">
        <w:rPr>
          <w:b/>
        </w:rPr>
        <w:t>26</w:t>
      </w:r>
      <w:r w:rsidRPr="001A3D2B">
        <w:t xml:space="preserve"> (5), 268-279.</w:t>
      </w:r>
    </w:p>
    <w:p w:rsidR="003474F2" w:rsidRPr="001A3D2B" w:rsidRDefault="003474F2" w:rsidP="003474F2">
      <w:pPr>
        <w:pStyle w:val="a3"/>
      </w:pPr>
      <w:r w:rsidRPr="001A3D2B">
        <w:t xml:space="preserve">Full Text: </w:t>
      </w:r>
      <w:hyperlink r:id="rId2089" w:history="1">
        <w:r w:rsidRPr="001A3D2B">
          <w:rPr>
            <w:rStyle w:val="a5"/>
          </w:rPr>
          <w:t>1998\Bui Res Inf26, 268.pdf</w:t>
        </w:r>
      </w:hyperlink>
    </w:p>
    <w:p w:rsidR="003474F2" w:rsidRPr="001A3D2B" w:rsidRDefault="003474F2" w:rsidP="003474F2">
      <w:pPr>
        <w:pStyle w:val="a3"/>
      </w:pPr>
      <w:r w:rsidRPr="001A3D2B">
        <w:t>Abstract:</w:t>
      </w:r>
      <w:r w:rsidR="003A1917">
        <w:t xml:space="preserve"> the </w:t>
      </w:r>
      <w:r w:rsidRPr="001A3D2B">
        <w:t>aim</w:t>
      </w:r>
      <w:r w:rsidR="00427468">
        <w:t xml:space="preserve"> of </w:t>
      </w:r>
      <w:r w:rsidRPr="001A3D2B">
        <w:t>this paper is to propose a comprehensive framework for</w:t>
      </w:r>
      <w:r w:rsidR="003A1917">
        <w:t xml:space="preserve"> the </w:t>
      </w:r>
      <w:r w:rsidRPr="001A3D2B">
        <w:t>management</w:t>
      </w:r>
      <w:r w:rsidR="00427468">
        <w:t xml:space="preserve"> of </w:t>
      </w:r>
      <w:r w:rsidRPr="001A3D2B">
        <w:t>innovation in construction, addressing</w:t>
      </w:r>
      <w:r w:rsidR="003A1917">
        <w:t xml:space="preserve"> the </w:t>
      </w:r>
      <w:r w:rsidRPr="001A3D2B">
        <w:t>construction innovation problem in two distinctive ways at</w:t>
      </w:r>
      <w:r w:rsidR="003A1917">
        <w:t xml:space="preserve"> the </w:t>
      </w:r>
      <w:r w:rsidRPr="001A3D2B">
        <w:t>institutional</w:t>
      </w:r>
      <w:r w:rsidR="005853A9">
        <w:t xml:space="preserve"> and </w:t>
      </w:r>
      <w:r w:rsidRPr="001A3D2B">
        <w:t>firm levels. First, an institutional perspective derived from research on complex systems industries is developed which provides an alternative to</w:t>
      </w:r>
      <w:r w:rsidR="003A1917">
        <w:t xml:space="preserve"> the </w:t>
      </w:r>
      <w:r w:rsidRPr="001A3D2B">
        <w:t>volume production model for construction innovation research</w:t>
      </w:r>
      <w:r w:rsidR="00A37C1D">
        <w:t>. The</w:t>
      </w:r>
      <w:r w:rsidR="003A1917">
        <w:t xml:space="preserve"> </w:t>
      </w:r>
      <w:r w:rsidRPr="001A3D2B">
        <w:t>roles</w:t>
      </w:r>
      <w:r w:rsidR="00427468">
        <w:t xml:space="preserve"> of </w:t>
      </w:r>
      <w:r w:rsidR="003A1917">
        <w:t xml:space="preserve">the </w:t>
      </w:r>
      <w:r w:rsidRPr="001A3D2B">
        <w:t>innovation infrastructure, innovation superstructure</w:t>
      </w:r>
      <w:r w:rsidR="005853A9">
        <w:t xml:space="preserve"> and </w:t>
      </w:r>
      <w:r w:rsidRPr="001A3D2B">
        <w:t>systems integrator are all identified</w:t>
      </w:r>
      <w:r w:rsidR="005853A9">
        <w:t xml:space="preserve"> and </w:t>
      </w:r>
      <w:r w:rsidRPr="001A3D2B">
        <w:t>applied to construction</w:t>
      </w:r>
      <w:r w:rsidR="00A37C1D">
        <w:t>. The</w:t>
      </w:r>
      <w:r w:rsidR="003A1917">
        <w:t xml:space="preserve"> </w:t>
      </w:r>
      <w:r w:rsidRPr="001A3D2B">
        <w:t>paper then moves on to</w:t>
      </w:r>
      <w:r w:rsidR="003A1917">
        <w:t xml:space="preserve"> the </w:t>
      </w:r>
      <w:r w:rsidRPr="001A3D2B">
        <w:t>firm level where</w:t>
      </w:r>
      <w:r w:rsidR="003A1917">
        <w:t xml:space="preserve"> the </w:t>
      </w:r>
      <w:r w:rsidRPr="001A3D2B">
        <w:t>two key innovation dynamics -</w:t>
      </w:r>
      <w:r w:rsidR="003A1917">
        <w:t xml:space="preserve"> the </w:t>
      </w:r>
      <w:r w:rsidRPr="001A3D2B">
        <w:t>top-down adoption/implementation dynamic</w:t>
      </w:r>
      <w:r w:rsidR="005853A9">
        <w:t xml:space="preserve"> and </w:t>
      </w:r>
      <w:r w:rsidR="003A1917">
        <w:t xml:space="preserve">the </w:t>
      </w:r>
      <w:r w:rsidRPr="001A3D2B">
        <w:t>bottom up problem solving/learning dynamic are identified</w:t>
      </w:r>
      <w:r w:rsidR="00A37C1D">
        <w:t>. The</w:t>
      </w:r>
      <w:r w:rsidR="003A1917">
        <w:t xml:space="preserve"> </w:t>
      </w:r>
      <w:r w:rsidRPr="001A3D2B">
        <w:t>paper ends by calling for more case studies</w:t>
      </w:r>
      <w:r w:rsidR="00427468">
        <w:t xml:space="preserve"> of </w:t>
      </w:r>
      <w:r w:rsidR="003A1917">
        <w:t xml:space="preserve">the </w:t>
      </w:r>
      <w:r w:rsidRPr="001A3D2B">
        <w:t>trajectories</w:t>
      </w:r>
      <w:r w:rsidR="00427468">
        <w:t xml:space="preserve"> of </w:t>
      </w:r>
      <w:r w:rsidRPr="001A3D2B">
        <w:t>construction innovations.</w:t>
      </w:r>
    </w:p>
    <w:p w:rsidR="003474F2" w:rsidRPr="001A3D2B" w:rsidRDefault="003474F2" w:rsidP="003474F2">
      <w:pPr>
        <w:pStyle w:val="a3"/>
        <w:rPr>
          <w:lang w:val="fr-FR"/>
        </w:rPr>
      </w:pPr>
      <w:r w:rsidRPr="001A3D2B">
        <w:rPr>
          <w:lang w:val="fr-FR"/>
        </w:rPr>
        <w:t>L</w:t>
      </w:r>
      <w:r w:rsidR="00700038">
        <w:rPr>
          <w:lang w:val="fr-FR"/>
        </w:rPr>
        <w:t>’</w:t>
      </w:r>
      <w:r w:rsidRPr="001A3D2B">
        <w:rPr>
          <w:lang w:val="fr-FR"/>
        </w:rPr>
        <w:t>objet de cet article est de proposer un cadre global ou gerer l</w:t>
      </w:r>
      <w:r w:rsidR="00700038">
        <w:rPr>
          <w:lang w:val="fr-FR"/>
        </w:rPr>
        <w:t>’</w:t>
      </w:r>
      <w:r w:rsidRPr="001A3D2B">
        <w:rPr>
          <w:lang w:val="fr-FR"/>
        </w:rPr>
        <w:t>innovation dans le secteur de la construction; l</w:t>
      </w:r>
      <w:r w:rsidR="00700038">
        <w:rPr>
          <w:lang w:val="fr-FR"/>
        </w:rPr>
        <w:t>’</w:t>
      </w:r>
      <w:r w:rsidRPr="001A3D2B">
        <w:rPr>
          <w:lang w:val="fr-FR"/>
        </w:rPr>
        <w:t>auteur aborde la question de l</w:t>
      </w:r>
      <w:r w:rsidR="00700038">
        <w:rPr>
          <w:lang w:val="fr-FR"/>
        </w:rPr>
        <w:t>’</w:t>
      </w:r>
      <w:r w:rsidRPr="001A3D2B">
        <w:rPr>
          <w:lang w:val="fr-FR"/>
        </w:rPr>
        <w:t>innovation sous deux angles differents, au niveau des institutions et celui des industriels. En un premier temps, on developpe une perspective institutionelle derivee de la recherche sur les systemes complexes; on debouche alors sur une alternative au modele de volume de production applique a la recherche en matiere d</w:t>
      </w:r>
      <w:r w:rsidR="00700038">
        <w:rPr>
          <w:lang w:val="fr-FR"/>
        </w:rPr>
        <w:t>’</w:t>
      </w:r>
      <w:r w:rsidRPr="001A3D2B">
        <w:rPr>
          <w:lang w:val="fr-FR"/>
        </w:rPr>
        <w:t xml:space="preserve">innovation dans </w:t>
      </w:r>
      <w:smartTag w:uri="urn:schemas-microsoft-com:office:smarttags" w:element="PersonName">
        <w:smartTagPr>
          <w:attr w:name="ProductID" w:val="la construction. Les"/>
        </w:smartTagPr>
        <w:r w:rsidRPr="001A3D2B">
          <w:rPr>
            <w:lang w:val="fr-FR"/>
          </w:rPr>
          <w:t>la construction. Les</w:t>
        </w:r>
      </w:smartTag>
      <w:r w:rsidRPr="001A3D2B">
        <w:rPr>
          <w:lang w:val="fr-FR"/>
        </w:rPr>
        <w:t xml:space="preserve"> roles de l</w:t>
      </w:r>
      <w:r w:rsidR="00700038">
        <w:rPr>
          <w:lang w:val="fr-FR"/>
        </w:rPr>
        <w:t>’</w:t>
      </w:r>
      <w:r w:rsidRPr="001A3D2B">
        <w:rPr>
          <w:lang w:val="fr-FR"/>
        </w:rPr>
        <w:t>infrastructure et de la superstructure de l</w:t>
      </w:r>
      <w:r w:rsidR="00700038">
        <w:rPr>
          <w:lang w:val="fr-FR"/>
        </w:rPr>
        <w:t>’</w:t>
      </w:r>
      <w:r w:rsidRPr="001A3D2B">
        <w:rPr>
          <w:lang w:val="fr-FR"/>
        </w:rPr>
        <w:t>innovation et celcui de l</w:t>
      </w:r>
      <w:r w:rsidR="00700038">
        <w:rPr>
          <w:lang w:val="fr-FR"/>
        </w:rPr>
        <w:t>’</w:t>
      </w:r>
      <w:r w:rsidRPr="001A3D2B">
        <w:rPr>
          <w:lang w:val="fr-FR"/>
        </w:rPr>
        <w:t>integrateur de systemes sont tous definis et appliques a la construction. L</w:t>
      </w:r>
      <w:r w:rsidR="00700038">
        <w:rPr>
          <w:lang w:val="fr-FR"/>
        </w:rPr>
        <w:t>’</w:t>
      </w:r>
      <w:r w:rsidRPr="001A3D2B">
        <w:rPr>
          <w:lang w:val="fr-FR"/>
        </w:rPr>
        <w:t>auteur passe ensuite au niveau de l</w:t>
      </w:r>
      <w:r w:rsidR="00700038">
        <w:rPr>
          <w:lang w:val="fr-FR"/>
        </w:rPr>
        <w:t>’</w:t>
      </w:r>
      <w:r w:rsidRPr="001A3D2B">
        <w:rPr>
          <w:lang w:val="fr-FR"/>
        </w:rPr>
        <w:t>industriel et definit les deux axes principaux de l</w:t>
      </w:r>
      <w:r w:rsidR="00700038">
        <w:rPr>
          <w:lang w:val="fr-FR"/>
        </w:rPr>
        <w:t>’</w:t>
      </w:r>
      <w:r w:rsidRPr="001A3D2B">
        <w:rPr>
          <w:lang w:val="fr-FR"/>
        </w:rPr>
        <w:t>innovation, la dynamique descendante d</w:t>
      </w:r>
      <w:r w:rsidR="00700038">
        <w:rPr>
          <w:lang w:val="fr-FR"/>
        </w:rPr>
        <w:t>’</w:t>
      </w:r>
      <w:r w:rsidRPr="001A3D2B">
        <w:rPr>
          <w:lang w:val="fr-FR"/>
        </w:rPr>
        <w:t>adoption/mise en u uvre, d</w:t>
      </w:r>
      <w:r w:rsidR="00700038">
        <w:rPr>
          <w:lang w:val="fr-FR"/>
        </w:rPr>
        <w:t>’</w:t>
      </w:r>
      <w:r w:rsidRPr="001A3D2B">
        <w:rPr>
          <w:lang w:val="fr-FR"/>
        </w:rPr>
        <w:t>une part et, d</w:t>
      </w:r>
      <w:r w:rsidR="00700038">
        <w:rPr>
          <w:lang w:val="fr-FR"/>
        </w:rPr>
        <w:t>’</w:t>
      </w:r>
      <w:r w:rsidRPr="001A3D2B">
        <w:rPr>
          <w:lang w:val="fr-FR"/>
        </w:rPr>
        <w:t>autre part, la dynamique ascendante de resolution des problemes et d</w:t>
      </w:r>
      <w:r w:rsidR="00700038">
        <w:rPr>
          <w:lang w:val="fr-FR"/>
        </w:rPr>
        <w:t>’</w:t>
      </w:r>
      <w:r w:rsidRPr="001A3D2B">
        <w:rPr>
          <w:lang w:val="fr-FR"/>
        </w:rPr>
        <w:t xml:space="preserve">enseignment </w:t>
      </w:r>
      <w:r w:rsidRPr="001A3D2B">
        <w:rPr>
          <w:lang w:val="fr-FR"/>
        </w:rPr>
        <w:lastRenderedPageBreak/>
        <w:t>a en tirer, L</w:t>
      </w:r>
      <w:r w:rsidR="00700038">
        <w:rPr>
          <w:lang w:val="fr-FR"/>
        </w:rPr>
        <w:t>’</w:t>
      </w:r>
      <w:r w:rsidRPr="001A3D2B">
        <w:rPr>
          <w:lang w:val="fr-FR"/>
        </w:rPr>
        <w:t>auteur demande, pour conclure, que soient presentes davantage de cas d</w:t>
      </w:r>
      <w:r w:rsidR="00700038">
        <w:rPr>
          <w:lang w:val="fr-FR"/>
        </w:rPr>
        <w:t>’</w:t>
      </w:r>
      <w:r w:rsidRPr="001A3D2B">
        <w:rPr>
          <w:lang w:val="fr-FR"/>
        </w:rPr>
        <w:t>etude portant sur les itineraires suivis par des innovations dans le secteur de la construction.</w:t>
      </w:r>
    </w:p>
    <w:p w:rsidR="003474F2" w:rsidRPr="001A3D2B" w:rsidRDefault="003474F2" w:rsidP="003474F2">
      <w:pPr>
        <w:pStyle w:val="a3"/>
      </w:pPr>
      <w:r w:rsidRPr="001A3D2B">
        <w:t>Keywords: Construction Innovation, Systems Integrator, Complex Product System, Adoptionimplementation, Problem Solvinglearning</w:t>
      </w:r>
    </w:p>
    <w:p w:rsidR="003474F2" w:rsidRPr="001A3D2B" w:rsidRDefault="003474F2" w:rsidP="003474F2">
      <w:pPr>
        <w:pStyle w:val="1"/>
      </w:pPr>
      <w:r w:rsidRPr="001A3D2B">
        <w:br w:type="page"/>
      </w:r>
      <w:bookmarkStart w:id="965" w:name="_Toc420814845"/>
      <w:r w:rsidRPr="001A3D2B">
        <w:lastRenderedPageBreak/>
        <w:t>Title: Bulgarian Historical Review-Revue Bulgare d Histoire</w:t>
      </w:r>
      <w:bookmarkEnd w:id="965"/>
    </w:p>
    <w:p w:rsidR="003474F2" w:rsidRPr="001A3D2B" w:rsidRDefault="003474F2" w:rsidP="003474F2">
      <w:pPr>
        <w:pStyle w:val="12"/>
      </w:pPr>
      <w:r w:rsidRPr="001A3D2B">
        <w:t>Full Journal Title: Bulgarian Historical Review-Revue Bulgare d Histoire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0204-8906</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xml:space="preserve">? Miloseva, M. (1999), </w:t>
      </w:r>
      <w:r w:rsidR="00700038">
        <w:t>‘</w:t>
      </w:r>
      <w:r w:rsidRPr="001A3D2B">
        <w:rPr>
          <w:i/>
          <w:iCs/>
        </w:rPr>
        <w:t>Bulgarian Historical Review</w:t>
      </w:r>
      <w:r w:rsidR="00700038">
        <w:t>’</w:t>
      </w:r>
      <w:r w:rsidRPr="001A3D2B">
        <w:t xml:space="preserve"> marks its 25th anniversary - With an accompanying bibliography (1474 references)</w:t>
      </w:r>
      <w:r w:rsidR="005853A9">
        <w:t xml:space="preserve"> and </w:t>
      </w:r>
      <w:r w:rsidRPr="001A3D2B">
        <w:t xml:space="preserve">scientometric analysis. </w:t>
      </w:r>
      <w:r w:rsidRPr="001A3D2B">
        <w:rPr>
          <w:i/>
          <w:iCs/>
        </w:rPr>
        <w:t>Bulgarian Historical Review-Revue Bulgare d Histoire</w:t>
      </w:r>
      <w:r w:rsidRPr="001A3D2B">
        <w:t>, (3-4), 222-295.</w:t>
      </w:r>
    </w:p>
    <w:p w:rsidR="003474F2" w:rsidRPr="001A3D2B" w:rsidRDefault="003474F2" w:rsidP="003474F2">
      <w:pPr>
        <w:pStyle w:val="a3"/>
      </w:pPr>
      <w:r w:rsidRPr="001A3D2B">
        <w:t>Keywords: Analysis, Bibliography, References, Scientometric, Scientometric Analysis</w:t>
      </w:r>
    </w:p>
    <w:p w:rsidR="003474F2" w:rsidRPr="001A3D2B" w:rsidRDefault="003474F2" w:rsidP="003474F2">
      <w:pPr>
        <w:pStyle w:val="a3"/>
      </w:pPr>
      <w:r w:rsidRPr="001A3D2B">
        <w:t xml:space="preserve">? Miloseva, M. (2000), </w:t>
      </w:r>
      <w:r w:rsidR="00B5188C">
        <w:t>“</w:t>
      </w:r>
      <w:r w:rsidRPr="001A3D2B">
        <w:rPr>
          <w:i/>
          <w:iCs/>
        </w:rPr>
        <w:t>Bulgarian Historical Review</w:t>
      </w:r>
      <w:r w:rsidR="00B5188C">
        <w:t>”</w:t>
      </w:r>
      <w:r w:rsidRPr="001A3D2B">
        <w:t xml:space="preserve"> marks its 25th anniversary. Bibliography</w:t>
      </w:r>
      <w:r w:rsidR="005853A9">
        <w:t xml:space="preserve"> and </w:t>
      </w:r>
      <w:r w:rsidRPr="001A3D2B">
        <w:t xml:space="preserve">scientometric analysis. </w:t>
      </w:r>
      <w:r w:rsidRPr="001A3D2B">
        <w:rPr>
          <w:i/>
          <w:iCs/>
        </w:rPr>
        <w:t>Bulgarian Historical Review-Revue Bulgare d Histoire</w:t>
      </w:r>
      <w:r w:rsidRPr="001A3D2B">
        <w:t>, (3-4), 216-253.</w:t>
      </w:r>
    </w:p>
    <w:p w:rsidR="003474F2" w:rsidRPr="001A3D2B" w:rsidRDefault="003474F2" w:rsidP="003474F2">
      <w:pPr>
        <w:pStyle w:val="a3"/>
        <w:rPr>
          <w:kern w:val="0"/>
        </w:rPr>
      </w:pPr>
      <w:r w:rsidRPr="001A3D2B">
        <w:rPr>
          <w:kern w:val="0"/>
        </w:rPr>
        <w:t>Keywords: Analysis, Scientometric, Scientometric Analysis</w:t>
      </w:r>
    </w:p>
    <w:p w:rsidR="00B46D1A" w:rsidRPr="00FC7835" w:rsidRDefault="00B46D1A" w:rsidP="00B46D1A">
      <w:pPr>
        <w:pStyle w:val="1"/>
        <w:rPr>
          <w:lang w:val="fr-FR"/>
        </w:rPr>
      </w:pPr>
      <w:r w:rsidRPr="00F621CE">
        <w:br w:type="page"/>
      </w:r>
      <w:bookmarkStart w:id="966" w:name="_Toc321766927"/>
      <w:bookmarkStart w:id="967" w:name="_Toc420814846"/>
      <w:r w:rsidRPr="00FC7835">
        <w:rPr>
          <w:lang w:val="fr-FR"/>
        </w:rPr>
        <w:lastRenderedPageBreak/>
        <w:t>Title: Bulletin de l Academie Nationale de Medecine</w:t>
      </w:r>
      <w:bookmarkEnd w:id="966"/>
      <w:bookmarkEnd w:id="967"/>
    </w:p>
    <w:p w:rsidR="00B46D1A" w:rsidRPr="00FC7835" w:rsidRDefault="00B46D1A" w:rsidP="00B46D1A">
      <w:pPr>
        <w:pStyle w:val="12"/>
      </w:pPr>
      <w:r w:rsidRPr="00FC7835">
        <w:t>Full Journal Title: Bulletin de L Academie Nationale de Medecine</w:t>
      </w:r>
    </w:p>
    <w:p w:rsidR="00B46D1A" w:rsidRPr="00FC7835" w:rsidRDefault="00B46D1A" w:rsidP="00B46D1A">
      <w:pPr>
        <w:pStyle w:val="12"/>
      </w:pPr>
      <w:r w:rsidRPr="00FC7835">
        <w:t>ISO Abbreviated Title: Bull. Acad. Natl. Med.</w:t>
      </w:r>
    </w:p>
    <w:p w:rsidR="00B46D1A" w:rsidRPr="00FC7835" w:rsidRDefault="00B46D1A" w:rsidP="00B46D1A">
      <w:pPr>
        <w:pStyle w:val="12"/>
      </w:pPr>
      <w:r w:rsidRPr="00FC7835">
        <w:t>JCR Abbreviated Title: B Acad Nat Med Paris</w:t>
      </w:r>
    </w:p>
    <w:p w:rsidR="00B46D1A" w:rsidRPr="00FC7835" w:rsidRDefault="00B46D1A" w:rsidP="00B46D1A">
      <w:pPr>
        <w:pStyle w:val="12"/>
      </w:pPr>
      <w:r w:rsidRPr="00FC7835">
        <w:t>ISSN: 0001-4079</w:t>
      </w:r>
    </w:p>
    <w:p w:rsidR="00B46D1A" w:rsidRPr="00FC7835" w:rsidRDefault="00B46D1A" w:rsidP="00B46D1A">
      <w:pPr>
        <w:pStyle w:val="12"/>
      </w:pPr>
      <w:r w:rsidRPr="00FC7835">
        <w:t>Issues/Year: 9</w:t>
      </w:r>
    </w:p>
    <w:p w:rsidR="00B46D1A" w:rsidRPr="00FC7835" w:rsidRDefault="00B46D1A" w:rsidP="00B46D1A">
      <w:pPr>
        <w:pStyle w:val="12"/>
      </w:pPr>
      <w:r w:rsidRPr="00FC7835">
        <w:t xml:space="preserve">Journal Country/Territory: </w:t>
      </w:r>
      <w:smartTag w:uri="urn:schemas-microsoft-com:office:smarttags" w:element="place">
        <w:smartTag w:uri="urn:schemas-microsoft-com:office:smarttags" w:element="country-region">
          <w:r w:rsidRPr="00FC7835">
            <w:t>France</w:t>
          </w:r>
        </w:smartTag>
      </w:smartTag>
    </w:p>
    <w:p w:rsidR="00B46D1A" w:rsidRPr="00FC7835" w:rsidRDefault="00B46D1A" w:rsidP="00B46D1A">
      <w:pPr>
        <w:pStyle w:val="12"/>
      </w:pPr>
      <w:r w:rsidRPr="00FC7835">
        <w:t>Language: English</w:t>
      </w:r>
    </w:p>
    <w:p w:rsidR="00B46D1A" w:rsidRPr="00FC7835" w:rsidRDefault="00B46D1A" w:rsidP="00B46D1A">
      <w:pPr>
        <w:pStyle w:val="12"/>
      </w:pPr>
      <w:r w:rsidRPr="00FC7835">
        <w:t>Publisher: Academie Natl De Medecine</w:t>
      </w:r>
    </w:p>
    <w:p w:rsidR="00B46D1A" w:rsidRPr="00FC7835" w:rsidRDefault="00B46D1A" w:rsidP="00B46D1A">
      <w:pPr>
        <w:pStyle w:val="12"/>
      </w:pPr>
      <w:r w:rsidRPr="00FC7835">
        <w:t>Publisher Address: 16 Rue Bonaparte</w:t>
      </w:r>
      <w:r>
        <w:t xml:space="preserve">, </w:t>
      </w:r>
      <w:r w:rsidRPr="00FC7835">
        <w:t>75272 Paris 06</w:t>
      </w:r>
      <w:r>
        <w:t xml:space="preserve">, </w:t>
      </w:r>
      <w:r w:rsidRPr="00FC7835">
        <w:t>France</w:t>
      </w:r>
    </w:p>
    <w:p w:rsidR="00B46D1A" w:rsidRPr="00FC7835" w:rsidRDefault="00B46D1A" w:rsidP="00B46D1A">
      <w:pPr>
        <w:pStyle w:val="12"/>
      </w:pPr>
      <w:r w:rsidRPr="00FC7835">
        <w:t xml:space="preserve">Subject Categories: </w:t>
      </w:r>
    </w:p>
    <w:p w:rsidR="00B46D1A" w:rsidRPr="00FC7835" w:rsidRDefault="00B46D1A" w:rsidP="00B46D1A">
      <w:pPr>
        <w:pStyle w:val="12"/>
      </w:pPr>
      <w:r w:rsidRPr="00FC7835">
        <w:t>Medicine</w:t>
      </w:r>
      <w:r>
        <w:t xml:space="preserve">, </w:t>
      </w:r>
      <w:r w:rsidRPr="00FC7835">
        <w:t xml:space="preserve">General &amp; Internal: Impact Factor </w:t>
      </w:r>
    </w:p>
    <w:p w:rsidR="00B46D1A" w:rsidRDefault="00B46D1A" w:rsidP="00B46D1A">
      <w:pPr>
        <w:pStyle w:val="a3"/>
        <w:rPr>
          <w:kern w:val="0"/>
        </w:rPr>
      </w:pPr>
      <w:r>
        <w:rPr>
          <w:rFonts w:hint="eastAsia"/>
          <w:kern w:val="0"/>
        </w:rPr>
        <w:t xml:space="preserve">? </w:t>
      </w:r>
      <w:r>
        <w:rPr>
          <w:kern w:val="0"/>
        </w:rPr>
        <w:t>Bach, J.F. (2011), On</w:t>
      </w:r>
      <w:r w:rsidR="003A1917">
        <w:rPr>
          <w:kern w:val="0"/>
        </w:rPr>
        <w:t xml:space="preserve"> the </w:t>
      </w:r>
      <w:r>
        <w:rPr>
          <w:kern w:val="0"/>
        </w:rPr>
        <w:t>proper use</w:t>
      </w:r>
      <w:r w:rsidR="00427468">
        <w:rPr>
          <w:kern w:val="0"/>
        </w:rPr>
        <w:t xml:space="preserve"> of </w:t>
      </w:r>
      <w:r>
        <w:rPr>
          <w:kern w:val="0"/>
        </w:rPr>
        <w:t>bibliometrics to evaluate physicians</w:t>
      </w:r>
      <w:r w:rsidR="005853A9">
        <w:rPr>
          <w:kern w:val="0"/>
        </w:rPr>
        <w:t xml:space="preserve"> and </w:t>
      </w:r>
      <w:r>
        <w:rPr>
          <w:kern w:val="0"/>
        </w:rPr>
        <w:t xml:space="preserve">scientists. </w:t>
      </w:r>
      <w:r>
        <w:rPr>
          <w:i/>
          <w:iCs/>
          <w:kern w:val="0"/>
        </w:rPr>
        <w:t>Bulletin de l Academie Nationale de Medecine</w:t>
      </w:r>
      <w:r>
        <w:rPr>
          <w:kern w:val="0"/>
        </w:rPr>
        <w:t xml:space="preserve">, </w:t>
      </w:r>
      <w:r>
        <w:rPr>
          <w:b/>
          <w:bCs/>
          <w:kern w:val="0"/>
        </w:rPr>
        <w:t>195</w:t>
      </w:r>
      <w:r>
        <w:rPr>
          <w:kern w:val="0"/>
        </w:rPr>
        <w:t xml:space="preserve"> (6), 1223-1233.</w:t>
      </w:r>
    </w:p>
    <w:p w:rsidR="00B46D1A" w:rsidRDefault="00B46D1A" w:rsidP="00B46D1A">
      <w:pPr>
        <w:pStyle w:val="a3"/>
        <w:rPr>
          <w:kern w:val="0"/>
        </w:rPr>
      </w:pPr>
      <w:r>
        <w:rPr>
          <w:rFonts w:hint="eastAsia"/>
          <w:kern w:val="0"/>
        </w:rPr>
        <w:t>Full Text: 2011\</w:t>
      </w:r>
      <w:r>
        <w:rPr>
          <w:iCs/>
          <w:kern w:val="0"/>
        </w:rPr>
        <w:t>Bul Aca Nat Med</w:t>
      </w:r>
      <w:r w:rsidRPr="00FB7062">
        <w:rPr>
          <w:bCs/>
          <w:kern w:val="0"/>
        </w:rPr>
        <w:t>195</w:t>
      </w:r>
      <w:r>
        <w:rPr>
          <w:kern w:val="0"/>
        </w:rPr>
        <w:t>, 1223</w:t>
      </w:r>
      <w:r>
        <w:rPr>
          <w:rFonts w:hint="eastAsia"/>
          <w:kern w:val="0"/>
        </w:rPr>
        <w:t>.pdf</w:t>
      </w:r>
    </w:p>
    <w:p w:rsidR="00B46D1A" w:rsidRDefault="00B46D1A" w:rsidP="00B46D1A">
      <w:pPr>
        <w:pStyle w:val="a3"/>
        <w:rPr>
          <w:kern w:val="0"/>
        </w:rPr>
      </w:pPr>
      <w:r>
        <w:rPr>
          <w:kern w:val="0"/>
        </w:rPr>
        <w:t>Abstract: Quantitative analysis</w:t>
      </w:r>
      <w:r w:rsidR="00427468">
        <w:rPr>
          <w:kern w:val="0"/>
        </w:rPr>
        <w:t xml:space="preserve"> of </w:t>
      </w:r>
      <w:r>
        <w:rPr>
          <w:kern w:val="0"/>
        </w:rPr>
        <w:t>publications</w:t>
      </w:r>
      <w:r w:rsidR="005853A9">
        <w:rPr>
          <w:kern w:val="0"/>
        </w:rPr>
        <w:t xml:space="preserve"> and </w:t>
      </w:r>
      <w:r>
        <w:rPr>
          <w:kern w:val="0"/>
        </w:rPr>
        <w:t>their citations, a procedure known as bibliometries, has become increasingly important in</w:t>
      </w:r>
      <w:r w:rsidR="003A1917">
        <w:rPr>
          <w:kern w:val="0"/>
        </w:rPr>
        <w:t xml:space="preserve"> the </w:t>
      </w:r>
      <w:r>
        <w:rPr>
          <w:kern w:val="0"/>
        </w:rPr>
        <w:t>evaluation</w:t>
      </w:r>
      <w:r w:rsidR="00427468">
        <w:rPr>
          <w:kern w:val="0"/>
        </w:rPr>
        <w:t xml:space="preserve"> of </w:t>
      </w:r>
      <w:r>
        <w:rPr>
          <w:kern w:val="0"/>
        </w:rPr>
        <w:t>scientists</w:t>
      </w:r>
      <w:r w:rsidR="005853A9">
        <w:rPr>
          <w:kern w:val="0"/>
        </w:rPr>
        <w:t xml:space="preserve"> and </w:t>
      </w:r>
      <w:r>
        <w:rPr>
          <w:kern w:val="0"/>
        </w:rPr>
        <w:t>clinicians. In</w:t>
      </w:r>
      <w:r w:rsidR="003A1917">
        <w:rPr>
          <w:kern w:val="0"/>
        </w:rPr>
        <w:t xml:space="preserve"> the </w:t>
      </w:r>
      <w:r>
        <w:rPr>
          <w:kern w:val="0"/>
        </w:rPr>
        <w:t>clinical setting, bibliometrics is used for</w:t>
      </w:r>
      <w:r w:rsidR="003A1917">
        <w:rPr>
          <w:kern w:val="0"/>
        </w:rPr>
        <w:t xml:space="preserve"> the </w:t>
      </w:r>
      <w:r>
        <w:rPr>
          <w:kern w:val="0"/>
        </w:rPr>
        <w:t>calculation</w:t>
      </w:r>
      <w:r w:rsidR="00427468">
        <w:rPr>
          <w:kern w:val="0"/>
        </w:rPr>
        <w:t xml:space="preserve"> of </w:t>
      </w:r>
      <w:r>
        <w:rPr>
          <w:kern w:val="0"/>
        </w:rPr>
        <w:t>hospital budgets. While bibliometrics is attractive because it rapidly provides numbers that bear a certain relation to scientific productivity, it is often misused</w:t>
      </w:r>
      <w:r w:rsidR="00A37C1D">
        <w:rPr>
          <w:kern w:val="0"/>
        </w:rPr>
        <w:t>. The</w:t>
      </w:r>
      <w:r w:rsidR="003A1917">
        <w:rPr>
          <w:kern w:val="0"/>
        </w:rPr>
        <w:t xml:space="preserve"> </w:t>
      </w:r>
      <w:r>
        <w:rPr>
          <w:kern w:val="0"/>
        </w:rPr>
        <w:t>parameters chosen are questionable</w:t>
      </w:r>
      <w:r w:rsidR="005853A9">
        <w:rPr>
          <w:kern w:val="0"/>
        </w:rPr>
        <w:t xml:space="preserve"> and </w:t>
      </w:r>
      <w:r>
        <w:rPr>
          <w:kern w:val="0"/>
        </w:rPr>
        <w:t>sometimes worthless because</w:t>
      </w:r>
      <w:r w:rsidR="00427468">
        <w:rPr>
          <w:kern w:val="0"/>
        </w:rPr>
        <w:t xml:space="preserve"> of </w:t>
      </w:r>
      <w:r>
        <w:rPr>
          <w:kern w:val="0"/>
        </w:rPr>
        <w:t>material errors or inappropriate use. More importantly, reducing</w:t>
      </w:r>
      <w:r w:rsidR="003A1917">
        <w:rPr>
          <w:kern w:val="0"/>
        </w:rPr>
        <w:t xml:space="preserve"> the </w:t>
      </w:r>
      <w:r>
        <w:rPr>
          <w:kern w:val="0"/>
        </w:rPr>
        <w:t>activity</w:t>
      </w:r>
      <w:r w:rsidR="00427468">
        <w:rPr>
          <w:kern w:val="0"/>
        </w:rPr>
        <w:t xml:space="preserve"> of </w:t>
      </w:r>
      <w:r>
        <w:rPr>
          <w:kern w:val="0"/>
        </w:rPr>
        <w:t>a scientist or physician simply to</w:t>
      </w:r>
      <w:r w:rsidR="003A1917">
        <w:rPr>
          <w:kern w:val="0"/>
        </w:rPr>
        <w:t xml:space="preserve"> the </w:t>
      </w:r>
      <w:r>
        <w:rPr>
          <w:kern w:val="0"/>
        </w:rPr>
        <w:t>number</w:t>
      </w:r>
      <w:r w:rsidR="00427468">
        <w:rPr>
          <w:kern w:val="0"/>
        </w:rPr>
        <w:t xml:space="preserve"> of </w:t>
      </w:r>
      <w:r>
        <w:rPr>
          <w:kern w:val="0"/>
        </w:rPr>
        <w:t>his or her publications or citations, without analyzing</w:t>
      </w:r>
      <w:r w:rsidR="003A1917">
        <w:rPr>
          <w:kern w:val="0"/>
        </w:rPr>
        <w:t xml:space="preserve"> the </w:t>
      </w:r>
      <w:r>
        <w:rPr>
          <w:kern w:val="0"/>
        </w:rPr>
        <w:t>importance</w:t>
      </w:r>
      <w:r w:rsidR="005853A9">
        <w:rPr>
          <w:kern w:val="0"/>
        </w:rPr>
        <w:t xml:space="preserve"> and </w:t>
      </w:r>
      <w:r>
        <w:rPr>
          <w:kern w:val="0"/>
        </w:rPr>
        <w:t>impact</w:t>
      </w:r>
      <w:r w:rsidR="00427468">
        <w:rPr>
          <w:kern w:val="0"/>
        </w:rPr>
        <w:t xml:space="preserve"> of </w:t>
      </w:r>
      <w:r w:rsidR="003A1917">
        <w:rPr>
          <w:kern w:val="0"/>
        </w:rPr>
        <w:t xml:space="preserve">the </w:t>
      </w:r>
      <w:r>
        <w:rPr>
          <w:kern w:val="0"/>
        </w:rPr>
        <w:t>work itself can lead to serious errors.</w:t>
      </w:r>
    </w:p>
    <w:p w:rsidR="00B46D1A" w:rsidRDefault="00B46D1A" w:rsidP="00B46D1A">
      <w:pPr>
        <w:pStyle w:val="a3"/>
        <w:rPr>
          <w:kern w:val="0"/>
        </w:rPr>
      </w:pPr>
      <w:r>
        <w:rPr>
          <w:kern w:val="0"/>
        </w:rPr>
        <w:t>Keywords: Analysis, Bear, Bibliometrics, Calculation, Citations, Clinical, Errors, Evaluation, Hospital, Impact, Journal Impact Factor, Lead, Peer Review, Physician, Physicians, Procedure, Productivity, Publications, Quantitative Analysis, Scientific Productivity, Work</w:t>
      </w:r>
    </w:p>
    <w:p w:rsidR="003474F2" w:rsidRPr="001A3D2B" w:rsidRDefault="003474F2" w:rsidP="003474F2">
      <w:pPr>
        <w:pStyle w:val="1"/>
      </w:pPr>
      <w:r w:rsidRPr="001A3D2B">
        <w:br w:type="page"/>
      </w:r>
      <w:bookmarkStart w:id="968" w:name="_Toc420814847"/>
      <w:r w:rsidRPr="001A3D2B">
        <w:lastRenderedPageBreak/>
        <w:t>Title: Bulletin</w:t>
      </w:r>
      <w:r w:rsidR="00427468">
        <w:t xml:space="preserve"> of </w:t>
      </w:r>
      <w:r w:rsidR="003A1917">
        <w:t xml:space="preserve">the </w:t>
      </w:r>
      <w:r w:rsidRPr="001A3D2B">
        <w:t>Academy</w:t>
      </w:r>
      <w:r w:rsidR="00427468">
        <w:t xml:space="preserve"> of </w:t>
      </w:r>
      <w:r w:rsidRPr="001A3D2B">
        <w:t>Military Medical Sciences</w:t>
      </w:r>
      <w:bookmarkEnd w:id="968"/>
    </w:p>
    <w:p w:rsidR="003474F2" w:rsidRPr="001A3D2B" w:rsidRDefault="003474F2" w:rsidP="003474F2">
      <w:pPr>
        <w:pStyle w:val="12"/>
      </w:pPr>
      <w:r w:rsidRPr="001A3D2B">
        <w:t xml:space="preserve">Full Journal Title: </w:t>
      </w:r>
      <w:hyperlink r:id="rId2090" w:history="1">
        <w:r w:rsidRPr="001A3D2B">
          <w:rPr>
            <w:rStyle w:val="a5"/>
          </w:rPr>
          <w:t>Bulletin</w:t>
        </w:r>
        <w:r w:rsidR="00427468">
          <w:rPr>
            <w:rStyle w:val="a5"/>
          </w:rPr>
          <w:t xml:space="preserve"> of </w:t>
        </w:r>
        <w:r w:rsidR="003A1917">
          <w:rPr>
            <w:rStyle w:val="a5"/>
          </w:rPr>
          <w:t xml:space="preserve">the </w:t>
        </w:r>
        <w:r w:rsidRPr="001A3D2B">
          <w:rPr>
            <w:rStyle w:val="a5"/>
          </w:rPr>
          <w:t>Academy</w:t>
        </w:r>
        <w:r w:rsidR="00427468">
          <w:rPr>
            <w:rStyle w:val="a5"/>
          </w:rPr>
          <w:t xml:space="preserve"> of </w:t>
        </w:r>
        <w:r w:rsidRPr="001A3D2B">
          <w:rPr>
            <w:rStyle w:val="a5"/>
          </w:rPr>
          <w:t>Military Medical Sciences</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1000-5501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Liu, C., Zhang, Y.X., Li, Z.</w:t>
      </w:r>
      <w:r w:rsidR="005853A9">
        <w:t xml:space="preserve"> and </w:t>
      </w:r>
      <w:r w:rsidRPr="001A3D2B">
        <w:t>Wang, Y.M. (2006), Analysis</w:t>
      </w:r>
      <w:r w:rsidR="00427468">
        <w:t xml:space="preserve"> of </w:t>
      </w:r>
      <w:r w:rsidR="0093286A" w:rsidRPr="001A3D2B">
        <w:t xml:space="preserve">American </w:t>
      </w:r>
      <w:r w:rsidRPr="001A3D2B">
        <w:t>R&amp;D status</w:t>
      </w:r>
      <w:r w:rsidR="00427468">
        <w:t xml:space="preserve"> of </w:t>
      </w:r>
      <w:r w:rsidRPr="001A3D2B">
        <w:t xml:space="preserve">special required medicines for national security. </w:t>
      </w:r>
      <w:r w:rsidRPr="001A3D2B">
        <w:rPr>
          <w:i/>
        </w:rPr>
        <w:t>Bulletin</w:t>
      </w:r>
      <w:r w:rsidR="00427468">
        <w:rPr>
          <w:i/>
        </w:rPr>
        <w:t xml:space="preserve"> of </w:t>
      </w:r>
      <w:r w:rsidR="003A1917">
        <w:rPr>
          <w:i/>
        </w:rPr>
        <w:t xml:space="preserve">the </w:t>
      </w:r>
      <w:r w:rsidRPr="001A3D2B">
        <w:rPr>
          <w:i/>
        </w:rPr>
        <w:t>Academy</w:t>
      </w:r>
      <w:r w:rsidR="00427468">
        <w:rPr>
          <w:i/>
        </w:rPr>
        <w:t xml:space="preserve"> of </w:t>
      </w:r>
      <w:r w:rsidRPr="001A3D2B">
        <w:rPr>
          <w:i/>
        </w:rPr>
        <w:t>Military Medical Sciences</w:t>
      </w:r>
      <w:r w:rsidRPr="001A3D2B">
        <w:t xml:space="preserve">, </w:t>
      </w:r>
      <w:r w:rsidRPr="001A3D2B">
        <w:rPr>
          <w:b/>
          <w:szCs w:val="19"/>
        </w:rPr>
        <w:t>6</w:t>
      </w:r>
      <w:r w:rsidRPr="001A3D2B">
        <w:rPr>
          <w:szCs w:val="19"/>
        </w:rPr>
        <w:t xml:space="preserve"> (??), ??-??</w:t>
      </w:r>
      <w:r w:rsidRPr="001A3D2B">
        <w:t>.</w:t>
      </w:r>
    </w:p>
    <w:p w:rsidR="003474F2" w:rsidRPr="001A3D2B" w:rsidRDefault="003474F2" w:rsidP="003474F2">
      <w:pPr>
        <w:pStyle w:val="a3"/>
      </w:pPr>
      <w:r w:rsidRPr="001A3D2B">
        <w:t>Abstract: Objective: To analyze</w:t>
      </w:r>
      <w:r w:rsidR="003A1917">
        <w:t xml:space="preserve"> the </w:t>
      </w:r>
      <w:r w:rsidRPr="001A3D2B">
        <w:t>American R&amp;D status</w:t>
      </w:r>
      <w:r w:rsidR="00427468">
        <w:t xml:space="preserve"> of </w:t>
      </w:r>
      <w:r w:rsidRPr="001A3D2B">
        <w:t>special required medicines for national security. Methods: Bibliometric analysis was used. Results: Among</w:t>
      </w:r>
      <w:r w:rsidR="003A1917">
        <w:t xml:space="preserve"> the </w:t>
      </w:r>
      <w:r w:rsidRPr="001A3D2B">
        <w:t>484 articles</w:t>
      </w:r>
      <w:r w:rsidR="00427468">
        <w:t xml:space="preserve"> of </w:t>
      </w:r>
      <w:r w:rsidRPr="001A3D2B">
        <w:t>literature about special required medicines, for</w:t>
      </w:r>
      <w:r w:rsidR="0093286A" w:rsidRPr="001A3D2B">
        <w:t xml:space="preserve"> </w:t>
      </w:r>
      <w:r w:rsidRPr="001A3D2B">
        <w:t>(national) security,</w:t>
      </w:r>
      <w:r w:rsidR="003A1917">
        <w:t xml:space="preserve"> the </w:t>
      </w:r>
      <w:r w:rsidRPr="001A3D2B">
        <w:t>largest portion was for environmental medicines, with heat-related casualty protection</w:t>
      </w:r>
      <w:r w:rsidR="005853A9">
        <w:t xml:space="preserve"> and </w:t>
      </w:r>
      <w:r w:rsidRPr="001A3D2B">
        <w:t>combat stress control accounting for</w:t>
      </w:r>
      <w:r w:rsidR="003A1917">
        <w:t xml:space="preserve"> the </w:t>
      </w:r>
      <w:r w:rsidRPr="001A3D2B">
        <w:t>considerable proportion;</w:t>
      </w:r>
      <w:r w:rsidR="003A1917">
        <w:t xml:space="preserve"> the </w:t>
      </w:r>
      <w:r w:rsidRPr="001A3D2B">
        <w:t>second portion was for</w:t>
      </w:r>
      <w:r w:rsidR="003A1917">
        <w:t xml:space="preserve"> the </w:t>
      </w:r>
      <w:r w:rsidRPr="001A3D2B">
        <w:t>prevention</w:t>
      </w:r>
      <w:r w:rsidR="005853A9">
        <w:t xml:space="preserve"> and </w:t>
      </w:r>
      <w:r w:rsidRPr="001A3D2B">
        <w:t>treatment</w:t>
      </w:r>
      <w:r w:rsidR="00427468">
        <w:t xml:space="preserve"> of </w:t>
      </w:r>
      <w:r w:rsidRPr="001A3D2B">
        <w:t>injuries induced by weapons</w:t>
      </w:r>
      <w:r w:rsidR="00427468">
        <w:t xml:space="preserve"> of </w:t>
      </w:r>
      <w:r w:rsidRPr="001A3D2B">
        <w:t>mass destruction, ...</w:t>
      </w:r>
    </w:p>
    <w:p w:rsidR="003474F2" w:rsidRPr="001A3D2B" w:rsidRDefault="003474F2" w:rsidP="003474F2">
      <w:pPr>
        <w:pStyle w:val="a3"/>
      </w:pPr>
      <w:r w:rsidRPr="001A3D2B">
        <w:t>Keywords: National Security, Special Required Medicine, Bibliometrics, Drugs, Essential</w:t>
      </w:r>
    </w:p>
    <w:p w:rsidR="00066B28" w:rsidRPr="001A3D2B" w:rsidRDefault="00066B28" w:rsidP="00066B28">
      <w:pPr>
        <w:pStyle w:val="1"/>
      </w:pPr>
      <w:r w:rsidRPr="001A3D2B">
        <w:br w:type="page"/>
      </w:r>
      <w:bookmarkStart w:id="969" w:name="_Toc420814848"/>
      <w:r w:rsidRPr="001A3D2B">
        <w:lastRenderedPageBreak/>
        <w:t xml:space="preserve">Title: </w:t>
      </w:r>
      <w:r w:rsidRPr="001A3D2B">
        <w:rPr>
          <w:iCs w:val="0"/>
        </w:rPr>
        <w:t>Bulletin</w:t>
      </w:r>
      <w:r w:rsidR="00427468">
        <w:rPr>
          <w:iCs w:val="0"/>
        </w:rPr>
        <w:t xml:space="preserve"> of </w:t>
      </w:r>
      <w:r w:rsidR="003A1917">
        <w:rPr>
          <w:iCs w:val="0"/>
        </w:rPr>
        <w:t xml:space="preserve">the </w:t>
      </w:r>
      <w:r w:rsidRPr="001A3D2B">
        <w:rPr>
          <w:iCs w:val="0"/>
        </w:rPr>
        <w:t>American Meteorological Society</w:t>
      </w:r>
      <w:bookmarkEnd w:id="969"/>
    </w:p>
    <w:p w:rsidR="00066B28" w:rsidRPr="001A3D2B" w:rsidRDefault="00066B28" w:rsidP="00066B28">
      <w:pPr>
        <w:pStyle w:val="12"/>
      </w:pPr>
      <w:r w:rsidRPr="001A3D2B">
        <w:t xml:space="preserve">Full Journal Title: </w:t>
      </w:r>
      <w:r w:rsidRPr="001A3D2B">
        <w:rPr>
          <w:iCs/>
          <w:kern w:val="0"/>
        </w:rPr>
        <w:t>Bulletin</w:t>
      </w:r>
      <w:r w:rsidR="00427468">
        <w:rPr>
          <w:iCs/>
          <w:kern w:val="0"/>
        </w:rPr>
        <w:t xml:space="preserve"> of </w:t>
      </w:r>
      <w:r w:rsidR="003A1917">
        <w:rPr>
          <w:iCs/>
          <w:kern w:val="0"/>
        </w:rPr>
        <w:t xml:space="preserve">the </w:t>
      </w:r>
      <w:r w:rsidRPr="001A3D2B">
        <w:rPr>
          <w:iCs/>
          <w:kern w:val="0"/>
        </w:rPr>
        <w:t>American Meteorological Society</w:t>
      </w:r>
    </w:p>
    <w:p w:rsidR="00066B28" w:rsidRPr="001A3D2B" w:rsidRDefault="00066B28" w:rsidP="00066B28">
      <w:pPr>
        <w:pStyle w:val="12"/>
      </w:pPr>
      <w:r w:rsidRPr="001A3D2B">
        <w:t xml:space="preserve">ISO Abbreviated Title: </w:t>
      </w:r>
    </w:p>
    <w:p w:rsidR="00066B28" w:rsidRPr="001A3D2B" w:rsidRDefault="00066B28" w:rsidP="00066B28">
      <w:pPr>
        <w:pStyle w:val="12"/>
      </w:pPr>
      <w:r w:rsidRPr="001A3D2B">
        <w:t xml:space="preserve">JCR Abbreviated Title: </w:t>
      </w:r>
    </w:p>
    <w:p w:rsidR="00066B28" w:rsidRPr="001A3D2B" w:rsidRDefault="00066B28" w:rsidP="00066B28">
      <w:pPr>
        <w:pStyle w:val="12"/>
      </w:pPr>
      <w:r w:rsidRPr="001A3D2B">
        <w:t xml:space="preserve">ISSN: </w:t>
      </w:r>
    </w:p>
    <w:p w:rsidR="00066B28" w:rsidRPr="001A3D2B" w:rsidRDefault="00066B28" w:rsidP="00066B28">
      <w:pPr>
        <w:pStyle w:val="12"/>
      </w:pPr>
      <w:r w:rsidRPr="001A3D2B">
        <w:t xml:space="preserve">Issues/Year: </w:t>
      </w:r>
    </w:p>
    <w:p w:rsidR="00066B28" w:rsidRPr="001A3D2B" w:rsidRDefault="00066B28" w:rsidP="00066B28">
      <w:pPr>
        <w:pStyle w:val="12"/>
      </w:pPr>
      <w:r w:rsidRPr="001A3D2B">
        <w:t xml:space="preserve">Journal Country/Territory: </w:t>
      </w:r>
    </w:p>
    <w:p w:rsidR="00066B28" w:rsidRPr="001A3D2B" w:rsidRDefault="00066B28" w:rsidP="00066B28">
      <w:pPr>
        <w:pStyle w:val="12"/>
      </w:pPr>
      <w:r w:rsidRPr="001A3D2B">
        <w:t xml:space="preserve">Language: </w:t>
      </w:r>
    </w:p>
    <w:p w:rsidR="00066B28" w:rsidRPr="001A3D2B" w:rsidRDefault="00066B28" w:rsidP="00066B28">
      <w:pPr>
        <w:pStyle w:val="12"/>
      </w:pPr>
      <w:r w:rsidRPr="001A3D2B">
        <w:t xml:space="preserve">Publisher: </w:t>
      </w:r>
    </w:p>
    <w:p w:rsidR="00066B28" w:rsidRPr="001A3D2B" w:rsidRDefault="00066B28" w:rsidP="00066B28">
      <w:pPr>
        <w:pStyle w:val="12"/>
      </w:pPr>
      <w:r w:rsidRPr="001A3D2B">
        <w:t xml:space="preserve">Publisher Address: </w:t>
      </w:r>
    </w:p>
    <w:p w:rsidR="00066B28" w:rsidRPr="001A3D2B" w:rsidRDefault="00066B28" w:rsidP="00066B28">
      <w:pPr>
        <w:pStyle w:val="12"/>
      </w:pPr>
      <w:r w:rsidRPr="001A3D2B">
        <w:t xml:space="preserve">Subject Categories: </w:t>
      </w:r>
    </w:p>
    <w:p w:rsidR="00066B28" w:rsidRPr="001A3D2B" w:rsidRDefault="00066B28" w:rsidP="00066B28">
      <w:pPr>
        <w:pStyle w:val="12"/>
      </w:pPr>
      <w:r w:rsidRPr="001A3D2B">
        <w:t>: Impact Factor</w:t>
      </w:r>
    </w:p>
    <w:p w:rsidR="00066B28" w:rsidRPr="001A3D2B" w:rsidRDefault="00066B28" w:rsidP="00066B28">
      <w:pPr>
        <w:pStyle w:val="a3"/>
        <w:rPr>
          <w:kern w:val="0"/>
        </w:rPr>
      </w:pPr>
      <w:r w:rsidRPr="001A3D2B">
        <w:rPr>
          <w:kern w:val="0"/>
        </w:rPr>
        <w:t>? Mishchenko, M.I.</w:t>
      </w:r>
      <w:r w:rsidR="005853A9">
        <w:rPr>
          <w:kern w:val="0"/>
        </w:rPr>
        <w:t xml:space="preserve"> and </w:t>
      </w:r>
      <w:r w:rsidRPr="001A3D2B">
        <w:rPr>
          <w:kern w:val="0"/>
        </w:rPr>
        <w:t>Travis, L.D. (2008), Gustav Mie</w:t>
      </w:r>
      <w:r w:rsidR="005853A9">
        <w:rPr>
          <w:kern w:val="0"/>
        </w:rPr>
        <w:t xml:space="preserve"> and </w:t>
      </w:r>
      <w:r w:rsidR="003A1917">
        <w:rPr>
          <w:kern w:val="0"/>
        </w:rPr>
        <w:t xml:space="preserve">the </w:t>
      </w:r>
      <w:r w:rsidRPr="001A3D2B">
        <w:rPr>
          <w:kern w:val="0"/>
        </w:rPr>
        <w:t>evolving discipline</w:t>
      </w:r>
      <w:r w:rsidR="00427468">
        <w:rPr>
          <w:kern w:val="0"/>
        </w:rPr>
        <w:t xml:space="preserve"> of </w:t>
      </w:r>
      <w:r w:rsidRPr="001A3D2B">
        <w:rPr>
          <w:kern w:val="0"/>
        </w:rPr>
        <w:t xml:space="preserve">electromagnetic scattering by particles. </w:t>
      </w:r>
      <w:r w:rsidRPr="001A3D2B">
        <w:rPr>
          <w:i/>
          <w:iCs/>
          <w:kern w:val="0"/>
        </w:rPr>
        <w:t>Bulletin</w:t>
      </w:r>
      <w:r w:rsidR="00427468">
        <w:rPr>
          <w:i/>
          <w:iCs/>
          <w:kern w:val="0"/>
        </w:rPr>
        <w:t xml:space="preserve"> of </w:t>
      </w:r>
      <w:r w:rsidR="003A1917">
        <w:rPr>
          <w:i/>
          <w:iCs/>
          <w:kern w:val="0"/>
        </w:rPr>
        <w:t xml:space="preserve">the </w:t>
      </w:r>
      <w:r w:rsidRPr="001A3D2B">
        <w:rPr>
          <w:i/>
          <w:iCs/>
          <w:kern w:val="0"/>
        </w:rPr>
        <w:t>American Meteorological Society</w:t>
      </w:r>
      <w:r w:rsidRPr="001A3D2B">
        <w:rPr>
          <w:kern w:val="0"/>
        </w:rPr>
        <w:t xml:space="preserve">, </w:t>
      </w:r>
      <w:r w:rsidRPr="001A3D2B">
        <w:rPr>
          <w:b/>
          <w:bCs/>
          <w:kern w:val="0"/>
        </w:rPr>
        <w:t>89</w:t>
      </w:r>
      <w:r w:rsidRPr="001A3D2B">
        <w:rPr>
          <w:kern w:val="0"/>
        </w:rPr>
        <w:t xml:space="preserve"> (12), 1853-??.</w:t>
      </w:r>
    </w:p>
    <w:p w:rsidR="00066B28" w:rsidRPr="001A3D2B" w:rsidRDefault="00066B28" w:rsidP="00066B28">
      <w:pPr>
        <w:pStyle w:val="a3"/>
        <w:rPr>
          <w:kern w:val="0"/>
        </w:rPr>
      </w:pPr>
      <w:r w:rsidRPr="001A3D2B">
        <w:rPr>
          <w:kern w:val="0"/>
        </w:rPr>
        <w:t>Abstract:</w:t>
      </w:r>
      <w:r w:rsidR="003A1917">
        <w:rPr>
          <w:kern w:val="0"/>
        </w:rPr>
        <w:t xml:space="preserve"> the </w:t>
      </w:r>
      <w:r w:rsidRPr="001A3D2B">
        <w:rPr>
          <w:kern w:val="0"/>
        </w:rPr>
        <w:t>year 2008 marks</w:t>
      </w:r>
      <w:r w:rsidR="003A1917">
        <w:rPr>
          <w:kern w:val="0"/>
        </w:rPr>
        <w:t xml:space="preserve"> the </w:t>
      </w:r>
      <w:r w:rsidRPr="001A3D2B">
        <w:rPr>
          <w:kern w:val="0"/>
        </w:rPr>
        <w:t>centenary</w:t>
      </w:r>
      <w:r w:rsidR="00427468">
        <w:rPr>
          <w:kern w:val="0"/>
        </w:rPr>
        <w:t xml:space="preserve"> of </w:t>
      </w:r>
      <w:r w:rsidR="003A1917">
        <w:rPr>
          <w:kern w:val="0"/>
        </w:rPr>
        <w:t xml:space="preserve">the </w:t>
      </w:r>
      <w:r w:rsidRPr="001A3D2B">
        <w:rPr>
          <w:kern w:val="0"/>
        </w:rPr>
        <w:t>seminal paper by Gustav Mie on electromagnetic scattering by homogeneous spherical particles. Having been cited in almost 4,000 journal articles since 1955 (according to</w:t>
      </w:r>
      <w:r w:rsidR="003A1917">
        <w:rPr>
          <w:kern w:val="0"/>
        </w:rPr>
        <w:t xml:space="preserve"> the </w:t>
      </w:r>
      <w:r w:rsidRPr="001A3D2B">
        <w:rPr>
          <w:kern w:val="0"/>
        </w:rPr>
        <w:t>Science Citation Index Expanded database), Mie</w:t>
      </w:r>
      <w:r w:rsidR="00700038">
        <w:rPr>
          <w:kern w:val="0"/>
        </w:rPr>
        <w:t>’</w:t>
      </w:r>
      <w:r w:rsidR="00C13DDC">
        <w:rPr>
          <w:kern w:val="0"/>
        </w:rPr>
        <w:t>s</w:t>
      </w:r>
      <w:r w:rsidRPr="001A3D2B">
        <w:rPr>
          <w:kern w:val="0"/>
        </w:rPr>
        <w:t xml:space="preserve"> paper has been among</w:t>
      </w:r>
      <w:r w:rsidR="003A1917">
        <w:rPr>
          <w:kern w:val="0"/>
        </w:rPr>
        <w:t xml:space="preserve"> the </w:t>
      </w:r>
      <w:r w:rsidRPr="001A3D2B">
        <w:rPr>
          <w:kern w:val="0"/>
        </w:rPr>
        <w:t>more influential scientific publications</w:t>
      </w:r>
      <w:r w:rsidR="00427468">
        <w:rPr>
          <w:kern w:val="0"/>
        </w:rPr>
        <w:t xml:space="preserve"> of </w:t>
      </w:r>
      <w:r w:rsidR="003A1917">
        <w:rPr>
          <w:kern w:val="0"/>
        </w:rPr>
        <w:t xml:space="preserve">the </w:t>
      </w:r>
      <w:r w:rsidRPr="001A3D2B">
        <w:rPr>
          <w:kern w:val="0"/>
        </w:rPr>
        <w:t>twentieth century. It has affected profoundly</w:t>
      </w:r>
      <w:r w:rsidR="003A1917">
        <w:rPr>
          <w:kern w:val="0"/>
        </w:rPr>
        <w:t xml:space="preserve"> the </w:t>
      </w:r>
      <w:r w:rsidRPr="001A3D2B">
        <w:rPr>
          <w:kern w:val="0"/>
        </w:rPr>
        <w:t>development</w:t>
      </w:r>
      <w:r w:rsidR="00427468">
        <w:rPr>
          <w:kern w:val="0"/>
        </w:rPr>
        <w:t xml:space="preserve"> of </w:t>
      </w:r>
      <w:r w:rsidRPr="001A3D2B">
        <w:rPr>
          <w:kern w:val="0"/>
        </w:rPr>
        <w:t>a great variety</w:t>
      </w:r>
      <w:r w:rsidR="00427468">
        <w:rPr>
          <w:kern w:val="0"/>
        </w:rPr>
        <w:t xml:space="preserve"> of </w:t>
      </w:r>
      <w:r w:rsidRPr="001A3D2B">
        <w:rPr>
          <w:kern w:val="0"/>
        </w:rPr>
        <w:t>natural science disciplines including atmospheric radiation, meteorological optics, remote sensing, aerosol physics, astrophysics,</w:t>
      </w:r>
      <w:r w:rsidR="005853A9">
        <w:rPr>
          <w:kern w:val="0"/>
        </w:rPr>
        <w:t xml:space="preserve"> and </w:t>
      </w:r>
      <w:r w:rsidRPr="001A3D2B">
        <w:rPr>
          <w:kern w:val="0"/>
        </w:rPr>
        <w:t>biomedical optics. Mie</w:t>
      </w:r>
      <w:r w:rsidR="00700038">
        <w:rPr>
          <w:kern w:val="0"/>
        </w:rPr>
        <w:t>’</w:t>
      </w:r>
      <w:r w:rsidR="00C13DDC">
        <w:rPr>
          <w:kern w:val="0"/>
        </w:rPr>
        <w:t>s</w:t>
      </w:r>
      <w:r w:rsidRPr="001A3D2B">
        <w:rPr>
          <w:kern w:val="0"/>
        </w:rPr>
        <w:t xml:space="preserve"> paper represented a fundamental advancement over</w:t>
      </w:r>
      <w:r w:rsidR="003A1917">
        <w:rPr>
          <w:kern w:val="0"/>
        </w:rPr>
        <w:t xml:space="preserve"> the </w:t>
      </w:r>
      <w:r w:rsidRPr="001A3D2B">
        <w:rPr>
          <w:kern w:val="0"/>
        </w:rPr>
        <w:t>earlier publications by Ludvig Lorenz in that it was explicitly based on</w:t>
      </w:r>
      <w:r w:rsidR="003A1917">
        <w:rPr>
          <w:kern w:val="0"/>
        </w:rPr>
        <w:t xml:space="preserve"> the </w:t>
      </w:r>
      <w:r w:rsidRPr="001A3D2B">
        <w:rPr>
          <w:kern w:val="0"/>
        </w:rPr>
        <w:t>Maxwell equations, gave</w:t>
      </w:r>
      <w:r w:rsidR="003A1917">
        <w:rPr>
          <w:kern w:val="0"/>
        </w:rPr>
        <w:t xml:space="preserve"> the </w:t>
      </w:r>
      <w:r w:rsidRPr="001A3D2B">
        <w:rPr>
          <w:kern w:val="0"/>
        </w:rPr>
        <w:t>final solution in a convenient form suitable for practical computations,</w:t>
      </w:r>
      <w:r w:rsidR="005853A9">
        <w:rPr>
          <w:kern w:val="0"/>
        </w:rPr>
        <w:t xml:space="preserve"> and </w:t>
      </w:r>
      <w:r w:rsidRPr="001A3D2B">
        <w:rPr>
          <w:kern w:val="0"/>
        </w:rPr>
        <w:t>imparted physical reality to</w:t>
      </w:r>
      <w:r w:rsidR="003A1917">
        <w:rPr>
          <w:kern w:val="0"/>
        </w:rPr>
        <w:t xml:space="preserve"> the </w:t>
      </w:r>
      <w:r w:rsidRPr="001A3D2B">
        <w:rPr>
          <w:kern w:val="0"/>
        </w:rPr>
        <w:t>abstract concept</w:t>
      </w:r>
      <w:r w:rsidR="00427468">
        <w:rPr>
          <w:kern w:val="0"/>
        </w:rPr>
        <w:t xml:space="preserve"> of </w:t>
      </w:r>
      <w:r w:rsidRPr="001A3D2B">
        <w:rPr>
          <w:kern w:val="0"/>
        </w:rPr>
        <w:t>electromagnetic scattering</w:t>
      </w:r>
      <w:r w:rsidR="00A37C1D">
        <w:rPr>
          <w:kern w:val="0"/>
        </w:rPr>
        <w:t>. The</w:t>
      </w:r>
      <w:r w:rsidR="003A1917">
        <w:rPr>
          <w:kern w:val="0"/>
        </w:rPr>
        <w:t xml:space="preserve"> </w:t>
      </w:r>
      <w:r w:rsidRPr="001A3D2B">
        <w:rPr>
          <w:kern w:val="0"/>
        </w:rPr>
        <w:t>Mie solution anticipated such general concepts as far-field scattering</w:t>
      </w:r>
      <w:r w:rsidR="005853A9">
        <w:rPr>
          <w:kern w:val="0"/>
        </w:rPr>
        <w:t xml:space="preserve"> and </w:t>
      </w:r>
      <w:r w:rsidR="003A1917">
        <w:rPr>
          <w:kern w:val="0"/>
        </w:rPr>
        <w:t xml:space="preserve">the </w:t>
      </w:r>
      <w:r w:rsidRPr="001A3D2B">
        <w:rPr>
          <w:kern w:val="0"/>
        </w:rPr>
        <w:t>Sommerfeld-Silver-Muller boundary conditions at infinity as well as paved</w:t>
      </w:r>
      <w:r w:rsidR="003A1917">
        <w:rPr>
          <w:kern w:val="0"/>
        </w:rPr>
        <w:t xml:space="preserve"> the </w:t>
      </w:r>
      <w:r w:rsidRPr="001A3D2B">
        <w:rPr>
          <w:kern w:val="0"/>
        </w:rPr>
        <w:t>way to such important extensions as</w:t>
      </w:r>
      <w:r w:rsidR="003A1917">
        <w:rPr>
          <w:kern w:val="0"/>
        </w:rPr>
        <w:t xml:space="preserve"> the </w:t>
      </w:r>
      <w:r w:rsidRPr="001A3D2B">
        <w:rPr>
          <w:kern w:val="0"/>
        </w:rPr>
        <w:t>separation</w:t>
      </w:r>
      <w:r w:rsidR="00427468">
        <w:rPr>
          <w:kern w:val="0"/>
        </w:rPr>
        <w:t xml:space="preserve"> of </w:t>
      </w:r>
      <w:r w:rsidRPr="001A3D2B">
        <w:rPr>
          <w:kern w:val="0"/>
        </w:rPr>
        <w:t>variables method for spheroids</w:t>
      </w:r>
      <w:r w:rsidR="005853A9">
        <w:rPr>
          <w:kern w:val="0"/>
        </w:rPr>
        <w:t xml:space="preserve"> and </w:t>
      </w:r>
      <w:r w:rsidR="003A1917">
        <w:rPr>
          <w:kern w:val="0"/>
        </w:rPr>
        <w:t xml:space="preserve">the </w:t>
      </w:r>
      <w:r w:rsidRPr="001A3D2B">
        <w:rPr>
          <w:kern w:val="0"/>
        </w:rPr>
        <w:t>T-matrix method. Key ingredients</w:t>
      </w:r>
      <w:r w:rsidR="00427468">
        <w:rPr>
          <w:kern w:val="0"/>
        </w:rPr>
        <w:t xml:space="preserve"> of </w:t>
      </w:r>
      <w:r w:rsidR="003A1917">
        <w:rPr>
          <w:kern w:val="0"/>
        </w:rPr>
        <w:t xml:space="preserve">the </w:t>
      </w:r>
      <w:r w:rsidRPr="001A3D2B">
        <w:rPr>
          <w:kern w:val="0"/>
        </w:rPr>
        <w:t>Mie theory are quite prominent in</w:t>
      </w:r>
      <w:r w:rsidR="003A1917">
        <w:rPr>
          <w:kern w:val="0"/>
        </w:rPr>
        <w:t xml:space="preserve"> the </w:t>
      </w:r>
      <w:r w:rsidRPr="001A3D2B">
        <w:rPr>
          <w:kern w:val="0"/>
        </w:rPr>
        <w:t>superposition T-matrix method for clusters</w:t>
      </w:r>
      <w:r w:rsidR="00427468">
        <w:rPr>
          <w:kern w:val="0"/>
        </w:rPr>
        <w:t xml:space="preserve"> of </w:t>
      </w:r>
      <w:r w:rsidRPr="001A3D2B">
        <w:rPr>
          <w:kern w:val="0"/>
        </w:rPr>
        <w:t>particles</w:t>
      </w:r>
      <w:r w:rsidR="005853A9">
        <w:rPr>
          <w:kern w:val="0"/>
        </w:rPr>
        <w:t xml:space="preserve"> and </w:t>
      </w:r>
      <w:r w:rsidRPr="001A3D2B">
        <w:rPr>
          <w:kern w:val="0"/>
        </w:rPr>
        <w:t>even in</w:t>
      </w:r>
      <w:r w:rsidR="003A1917">
        <w:rPr>
          <w:kern w:val="0"/>
        </w:rPr>
        <w:t xml:space="preserve"> the </w:t>
      </w:r>
      <w:r w:rsidRPr="001A3D2B">
        <w:rPr>
          <w:kern w:val="0"/>
        </w:rPr>
        <w:t>recent microphysical derivation</w:t>
      </w:r>
      <w:r w:rsidR="00427468">
        <w:rPr>
          <w:kern w:val="0"/>
        </w:rPr>
        <w:t xml:space="preserve"> of </w:t>
      </w:r>
      <w:r w:rsidR="003A1917">
        <w:rPr>
          <w:kern w:val="0"/>
        </w:rPr>
        <w:t xml:space="preserve">the </w:t>
      </w:r>
      <w:r w:rsidRPr="001A3D2B">
        <w:rPr>
          <w:kern w:val="0"/>
        </w:rPr>
        <w:t>radiative transfer equation. Among</w:t>
      </w:r>
      <w:r w:rsidR="003A1917">
        <w:rPr>
          <w:kern w:val="0"/>
        </w:rPr>
        <w:t xml:space="preserve"> the </w:t>
      </w:r>
      <w:r w:rsidRPr="001A3D2B">
        <w:rPr>
          <w:kern w:val="0"/>
        </w:rPr>
        <w:t>most illustrative uses</w:t>
      </w:r>
      <w:r w:rsidR="00427468">
        <w:rPr>
          <w:kern w:val="0"/>
        </w:rPr>
        <w:t xml:space="preserve"> of </w:t>
      </w:r>
      <w:r w:rsidR="003A1917">
        <w:rPr>
          <w:kern w:val="0"/>
        </w:rPr>
        <w:t xml:space="preserve">the </w:t>
      </w:r>
      <w:r w:rsidRPr="001A3D2B">
        <w:rPr>
          <w:kern w:val="0"/>
        </w:rPr>
        <w:t>Mie solution have been</w:t>
      </w:r>
      <w:r w:rsidR="003A1917">
        <w:rPr>
          <w:kern w:val="0"/>
        </w:rPr>
        <w:t xml:space="preserve"> the </w:t>
      </w:r>
      <w:r w:rsidRPr="001A3D2B">
        <w:rPr>
          <w:kern w:val="0"/>
        </w:rPr>
        <w:t>explanation</w:t>
      </w:r>
      <w:r w:rsidR="00427468">
        <w:rPr>
          <w:kern w:val="0"/>
        </w:rPr>
        <w:t xml:space="preserve"> of </w:t>
      </w:r>
      <w:r w:rsidR="003A1917">
        <w:rPr>
          <w:kern w:val="0"/>
        </w:rPr>
        <w:t xml:space="preserve">the </w:t>
      </w:r>
      <w:r w:rsidRPr="001A3D2B">
        <w:rPr>
          <w:kern w:val="0"/>
        </w:rPr>
        <w:t>spectacular optical displays caused by cloud</w:t>
      </w:r>
      <w:r w:rsidR="005853A9">
        <w:rPr>
          <w:kern w:val="0"/>
        </w:rPr>
        <w:t xml:space="preserve"> and </w:t>
      </w:r>
      <w:r w:rsidRPr="001A3D2B">
        <w:rPr>
          <w:kern w:val="0"/>
        </w:rPr>
        <w:t>rain droplets,</w:t>
      </w:r>
      <w:r w:rsidR="003A1917">
        <w:rPr>
          <w:kern w:val="0"/>
        </w:rPr>
        <w:t xml:space="preserve"> the </w:t>
      </w:r>
      <w:r w:rsidRPr="001A3D2B">
        <w:rPr>
          <w:kern w:val="0"/>
        </w:rPr>
        <w:t>identification</w:t>
      </w:r>
      <w:r w:rsidR="00427468">
        <w:rPr>
          <w:kern w:val="0"/>
        </w:rPr>
        <w:t xml:space="preserve"> of </w:t>
      </w:r>
      <w:r w:rsidRPr="001A3D2B">
        <w:rPr>
          <w:kern w:val="0"/>
        </w:rPr>
        <w:t>sulfuric acid particles in</w:t>
      </w:r>
      <w:r w:rsidR="003A1917">
        <w:rPr>
          <w:kern w:val="0"/>
        </w:rPr>
        <w:t xml:space="preserve"> the </w:t>
      </w:r>
      <w:r w:rsidRPr="001A3D2B">
        <w:rPr>
          <w:kern w:val="0"/>
        </w:rPr>
        <w:t>atmosphere</w:t>
      </w:r>
      <w:r w:rsidR="00427468">
        <w:rPr>
          <w:kern w:val="0"/>
        </w:rPr>
        <w:t xml:space="preserve"> of </w:t>
      </w:r>
      <w:r w:rsidRPr="001A3D2B">
        <w:rPr>
          <w:kern w:val="0"/>
        </w:rPr>
        <w:t>Venus from Earth-based polarimetry,</w:t>
      </w:r>
      <w:r w:rsidR="005853A9">
        <w:rPr>
          <w:kern w:val="0"/>
        </w:rPr>
        <w:t xml:space="preserve"> and </w:t>
      </w:r>
      <w:r w:rsidRPr="001A3D2B">
        <w:rPr>
          <w:kern w:val="0"/>
        </w:rPr>
        <w:t>optical particle characterization based on measurements</w:t>
      </w:r>
      <w:r w:rsidR="00427468">
        <w:rPr>
          <w:kern w:val="0"/>
        </w:rPr>
        <w:t xml:space="preserve"> of </w:t>
      </w:r>
      <w:r w:rsidRPr="001A3D2B">
        <w:rPr>
          <w:kern w:val="0"/>
        </w:rPr>
        <w:t>morphology-dependent resonances. Yet it is clear that</w:t>
      </w:r>
      <w:r w:rsidR="003A1917">
        <w:rPr>
          <w:kern w:val="0"/>
        </w:rPr>
        <w:t xml:space="preserve"> the </w:t>
      </w:r>
      <w:r w:rsidRPr="001A3D2B">
        <w:rPr>
          <w:kern w:val="0"/>
        </w:rPr>
        <w:t>full practical potential</w:t>
      </w:r>
      <w:r w:rsidR="00427468">
        <w:rPr>
          <w:kern w:val="0"/>
        </w:rPr>
        <w:t xml:space="preserve"> of </w:t>
      </w:r>
      <w:r w:rsidR="003A1917">
        <w:rPr>
          <w:kern w:val="0"/>
        </w:rPr>
        <w:t xml:space="preserve">the </w:t>
      </w:r>
      <w:r w:rsidRPr="001A3D2B">
        <w:rPr>
          <w:kern w:val="0"/>
        </w:rPr>
        <w:t xml:space="preserve">Mic theory is still to </w:t>
      </w:r>
      <w:r w:rsidRPr="001A3D2B">
        <w:rPr>
          <w:kern w:val="0"/>
        </w:rPr>
        <w:lastRenderedPageBreak/>
        <w:t>be revealed. (Page 1853).</w:t>
      </w:r>
    </w:p>
    <w:p w:rsidR="00066B28" w:rsidRPr="001A3D2B" w:rsidRDefault="00066B28" w:rsidP="00066B28">
      <w:pPr>
        <w:pStyle w:val="a3"/>
        <w:rPr>
          <w:kern w:val="0"/>
        </w:rPr>
      </w:pPr>
      <w:r w:rsidRPr="001A3D2B">
        <w:rPr>
          <w:kern w:val="0"/>
        </w:rPr>
        <w:t>Keywords: Citation, Matter, Photon, Polarization, Publications</w:t>
      </w:r>
    </w:p>
    <w:p w:rsidR="00913CBD" w:rsidRPr="00FC7835" w:rsidRDefault="00913CBD" w:rsidP="00913CBD">
      <w:pPr>
        <w:pStyle w:val="1"/>
      </w:pPr>
      <w:r w:rsidRPr="00FC7835">
        <w:rPr>
          <w:b w:val="0"/>
        </w:rPr>
        <w:br w:type="page"/>
      </w:r>
      <w:bookmarkStart w:id="970" w:name="_Toc420814849"/>
      <w:r w:rsidRPr="00FC7835">
        <w:lastRenderedPageBreak/>
        <w:t xml:space="preserve">Title: </w:t>
      </w:r>
      <w:r w:rsidRPr="004761BD">
        <w:rPr>
          <w:iCs w:val="0"/>
        </w:rPr>
        <w:t>Bulletin</w:t>
      </w:r>
      <w:r w:rsidR="00427468">
        <w:rPr>
          <w:iCs w:val="0"/>
        </w:rPr>
        <w:t xml:space="preserve"> of </w:t>
      </w:r>
      <w:r w:rsidR="003A1917">
        <w:rPr>
          <w:iCs w:val="0"/>
        </w:rPr>
        <w:t xml:space="preserve">the </w:t>
      </w:r>
      <w:r w:rsidRPr="004761BD">
        <w:rPr>
          <w:iCs w:val="0"/>
        </w:rPr>
        <w:t>Belgian Mathematical Society-Simon Stevin</w:t>
      </w:r>
      <w:bookmarkEnd w:id="970"/>
    </w:p>
    <w:p w:rsidR="00913CBD" w:rsidRPr="00FC7835" w:rsidRDefault="00913CBD" w:rsidP="00913CBD">
      <w:pPr>
        <w:pStyle w:val="12"/>
      </w:pPr>
      <w:r w:rsidRPr="00FC7835">
        <w:t xml:space="preserve">Full Journal Title: </w:t>
      </w:r>
      <w:r w:rsidRPr="004761BD">
        <w:rPr>
          <w:iCs/>
          <w:kern w:val="0"/>
        </w:rPr>
        <w:t>Bulletin</w:t>
      </w:r>
      <w:r w:rsidR="00427468">
        <w:rPr>
          <w:iCs/>
          <w:kern w:val="0"/>
        </w:rPr>
        <w:t xml:space="preserve"> of </w:t>
      </w:r>
      <w:r w:rsidR="003A1917">
        <w:rPr>
          <w:iCs/>
          <w:kern w:val="0"/>
        </w:rPr>
        <w:t xml:space="preserve">the </w:t>
      </w:r>
      <w:r w:rsidRPr="004761BD">
        <w:rPr>
          <w:iCs/>
          <w:kern w:val="0"/>
        </w:rPr>
        <w:t>Belgian Mathematical Society-Simon Stevin</w:t>
      </w:r>
    </w:p>
    <w:p w:rsidR="00913CBD" w:rsidRPr="00FC7835" w:rsidRDefault="00913CBD" w:rsidP="00913CBD">
      <w:pPr>
        <w:pStyle w:val="12"/>
      </w:pPr>
      <w:r w:rsidRPr="00FC7835">
        <w:t xml:space="preserve">ISO Abbreviated Title: </w:t>
      </w:r>
    </w:p>
    <w:p w:rsidR="00913CBD" w:rsidRPr="00FC7835" w:rsidRDefault="00913CBD" w:rsidP="00913CBD">
      <w:pPr>
        <w:pStyle w:val="12"/>
      </w:pPr>
      <w:r w:rsidRPr="00FC7835">
        <w:t xml:space="preserve">JCR Abbreviated Title: </w:t>
      </w:r>
    </w:p>
    <w:p w:rsidR="00913CBD" w:rsidRPr="00FC7835" w:rsidRDefault="00913CBD" w:rsidP="00913CBD">
      <w:pPr>
        <w:pStyle w:val="12"/>
      </w:pPr>
      <w:r w:rsidRPr="00FC7835">
        <w:t xml:space="preserve">ISSN: </w:t>
      </w:r>
    </w:p>
    <w:p w:rsidR="00913CBD" w:rsidRPr="00FC7835" w:rsidRDefault="00913CBD" w:rsidP="00913CBD">
      <w:pPr>
        <w:pStyle w:val="12"/>
      </w:pPr>
      <w:r w:rsidRPr="00FC7835">
        <w:t xml:space="preserve">Issues/Year: </w:t>
      </w:r>
    </w:p>
    <w:p w:rsidR="00913CBD" w:rsidRPr="00FC7835" w:rsidRDefault="00913CBD" w:rsidP="00913CBD">
      <w:pPr>
        <w:pStyle w:val="12"/>
      </w:pPr>
      <w:r w:rsidRPr="00FC7835">
        <w:t xml:space="preserve">Journal Country/Territory: </w:t>
      </w:r>
    </w:p>
    <w:p w:rsidR="00913CBD" w:rsidRPr="00FC7835" w:rsidRDefault="00913CBD" w:rsidP="00913CBD">
      <w:pPr>
        <w:pStyle w:val="12"/>
      </w:pPr>
      <w:r w:rsidRPr="00FC7835">
        <w:t xml:space="preserve">Language: </w:t>
      </w:r>
    </w:p>
    <w:p w:rsidR="00913CBD" w:rsidRPr="00FC7835" w:rsidRDefault="00913CBD" w:rsidP="00913CBD">
      <w:pPr>
        <w:pStyle w:val="12"/>
      </w:pPr>
      <w:r w:rsidRPr="00FC7835">
        <w:t xml:space="preserve">Publisher: </w:t>
      </w:r>
    </w:p>
    <w:p w:rsidR="00913CBD" w:rsidRPr="00FC7835" w:rsidRDefault="00913CBD" w:rsidP="00913CBD">
      <w:pPr>
        <w:pStyle w:val="12"/>
      </w:pPr>
      <w:r w:rsidRPr="00FC7835">
        <w:t xml:space="preserve">Publisher Address: </w:t>
      </w:r>
    </w:p>
    <w:p w:rsidR="00913CBD" w:rsidRPr="00FC7835" w:rsidRDefault="00913CBD" w:rsidP="00913CBD">
      <w:pPr>
        <w:pStyle w:val="12"/>
      </w:pPr>
      <w:r w:rsidRPr="00FC7835">
        <w:t xml:space="preserve">Subject Categories: </w:t>
      </w:r>
    </w:p>
    <w:p w:rsidR="00913CBD" w:rsidRPr="00FC7835" w:rsidRDefault="00913CBD" w:rsidP="00913CBD">
      <w:pPr>
        <w:pStyle w:val="12"/>
      </w:pPr>
      <w:r w:rsidRPr="00FC7835">
        <w:t>: Impact Factor</w:t>
      </w:r>
    </w:p>
    <w:p w:rsidR="00913CBD" w:rsidRDefault="00913CBD" w:rsidP="00913CBD">
      <w:pPr>
        <w:pStyle w:val="a3"/>
        <w:rPr>
          <w:kern w:val="0"/>
        </w:rPr>
      </w:pPr>
      <w:r>
        <w:rPr>
          <w:rFonts w:hint="eastAsia"/>
          <w:kern w:val="0"/>
        </w:rPr>
        <w:t xml:space="preserve">? </w:t>
      </w:r>
      <w:r>
        <w:rPr>
          <w:kern w:val="0"/>
        </w:rPr>
        <w:t>Del Corso, G.M.</w:t>
      </w:r>
      <w:r w:rsidR="005853A9">
        <w:rPr>
          <w:kern w:val="0"/>
        </w:rPr>
        <w:t xml:space="preserve"> and </w:t>
      </w:r>
      <w:r>
        <w:rPr>
          <w:kern w:val="0"/>
        </w:rPr>
        <w:t xml:space="preserve">Romani, F. (2009), Versatile weighting strategies for a citation-based research evaluation model. </w:t>
      </w:r>
      <w:r w:rsidRPr="004761BD">
        <w:rPr>
          <w:i/>
          <w:iCs/>
          <w:kern w:val="0"/>
        </w:rPr>
        <w:t>Bulletin</w:t>
      </w:r>
      <w:r w:rsidR="00427468">
        <w:rPr>
          <w:i/>
          <w:iCs/>
          <w:kern w:val="0"/>
        </w:rPr>
        <w:t xml:space="preserve"> of </w:t>
      </w:r>
      <w:r w:rsidR="003A1917">
        <w:rPr>
          <w:i/>
          <w:iCs/>
          <w:kern w:val="0"/>
        </w:rPr>
        <w:t xml:space="preserve">the </w:t>
      </w:r>
      <w:r w:rsidRPr="004761BD">
        <w:rPr>
          <w:i/>
          <w:iCs/>
          <w:kern w:val="0"/>
        </w:rPr>
        <w:t>Belgian Mathematical Society-Simon Stevin</w:t>
      </w:r>
      <w:r>
        <w:rPr>
          <w:kern w:val="0"/>
        </w:rPr>
        <w:t xml:space="preserve">, </w:t>
      </w:r>
      <w:r>
        <w:rPr>
          <w:b/>
          <w:bCs/>
          <w:kern w:val="0"/>
        </w:rPr>
        <w:t>16</w:t>
      </w:r>
      <w:r>
        <w:rPr>
          <w:kern w:val="0"/>
        </w:rPr>
        <w:t xml:space="preserve"> (4), 723-743.</w:t>
      </w:r>
    </w:p>
    <w:p w:rsidR="00913CBD" w:rsidRDefault="00913CBD" w:rsidP="00913CBD">
      <w:pPr>
        <w:pStyle w:val="a3"/>
        <w:rPr>
          <w:kern w:val="0"/>
        </w:rPr>
      </w:pPr>
      <w:r>
        <w:rPr>
          <w:kern w:val="0"/>
        </w:rPr>
        <w:t>Abstract: After a quick review</w:t>
      </w:r>
      <w:r w:rsidR="00427468">
        <w:rPr>
          <w:kern w:val="0"/>
        </w:rPr>
        <w:t xml:space="preserve"> of </w:t>
      </w:r>
      <w:r w:rsidR="003A1917">
        <w:rPr>
          <w:kern w:val="0"/>
        </w:rPr>
        <w:t xml:space="preserve">the </w:t>
      </w:r>
      <w:r>
        <w:rPr>
          <w:kern w:val="0"/>
        </w:rPr>
        <w:t>most used numerical indicators for evaluating research, we present an integrated model for ranking scientific publications together with authors</w:t>
      </w:r>
      <w:r w:rsidR="005853A9">
        <w:rPr>
          <w:kern w:val="0"/>
        </w:rPr>
        <w:t xml:space="preserve"> and </w:t>
      </w:r>
      <w:r>
        <w:rPr>
          <w:kern w:val="0"/>
        </w:rPr>
        <w:t>journals. Our model relies on certain adjacentcy matrices obtained from</w:t>
      </w:r>
      <w:r w:rsidR="003A1917">
        <w:rPr>
          <w:kern w:val="0"/>
        </w:rPr>
        <w:t xml:space="preserve"> the </w:t>
      </w:r>
      <w:r>
        <w:rPr>
          <w:kern w:val="0"/>
        </w:rPr>
        <w:t>relationship between papers, authors,</w:t>
      </w:r>
      <w:r w:rsidR="005853A9">
        <w:rPr>
          <w:kern w:val="0"/>
        </w:rPr>
        <w:t xml:space="preserve"> and </w:t>
      </w:r>
      <w:r>
        <w:rPr>
          <w:kern w:val="0"/>
        </w:rPr>
        <w:t>journals</w:t>
      </w:r>
      <w:r w:rsidR="00A37C1D">
        <w:rPr>
          <w:kern w:val="0"/>
        </w:rPr>
        <w:t>. The</w:t>
      </w:r>
      <w:r>
        <w:rPr>
          <w:kern w:val="0"/>
        </w:rPr>
        <w:t>se matrices are first normalized to obtain stochastic matrices</w:t>
      </w:r>
      <w:r w:rsidR="005853A9">
        <w:rPr>
          <w:kern w:val="0"/>
        </w:rPr>
        <w:t xml:space="preserve"> and </w:t>
      </w:r>
      <w:r>
        <w:rPr>
          <w:kern w:val="0"/>
        </w:rPr>
        <w:t>then are combined together using appropriate weights to form a suitable irreducible stochastic matrix whose dominant eigenvector provides</w:t>
      </w:r>
      <w:r w:rsidR="003A1917">
        <w:rPr>
          <w:kern w:val="0"/>
        </w:rPr>
        <w:t xml:space="preserve"> the </w:t>
      </w:r>
      <w:r>
        <w:rPr>
          <w:kern w:val="0"/>
        </w:rPr>
        <w:t>desired ranking. Our main contribution is a in-depth analysis</w:t>
      </w:r>
      <w:r w:rsidR="00427468">
        <w:rPr>
          <w:kern w:val="0"/>
        </w:rPr>
        <w:t xml:space="preserve"> of </w:t>
      </w:r>
      <w:r>
        <w:rPr>
          <w:kern w:val="0"/>
        </w:rPr>
        <w:t>various strategies for choosing</w:t>
      </w:r>
      <w:r w:rsidR="003A1917">
        <w:rPr>
          <w:kern w:val="0"/>
        </w:rPr>
        <w:t xml:space="preserve"> the </w:t>
      </w:r>
      <w:r>
        <w:rPr>
          <w:kern w:val="0"/>
        </w:rPr>
        <w:t>weights, showing their probabilistic interpretation</w:t>
      </w:r>
      <w:r w:rsidR="005853A9">
        <w:rPr>
          <w:kern w:val="0"/>
        </w:rPr>
        <w:t xml:space="preserve"> and </w:t>
      </w:r>
      <w:r>
        <w:rPr>
          <w:kern w:val="0"/>
        </w:rPr>
        <w:t>showing how they affect</w:t>
      </w:r>
      <w:r w:rsidR="003A1917">
        <w:rPr>
          <w:kern w:val="0"/>
        </w:rPr>
        <w:t xml:space="preserve"> the </w:t>
      </w:r>
      <w:r>
        <w:rPr>
          <w:kern w:val="0"/>
        </w:rPr>
        <w:t>outcome</w:t>
      </w:r>
      <w:r w:rsidR="00427468">
        <w:rPr>
          <w:kern w:val="0"/>
        </w:rPr>
        <w:t xml:space="preserve"> of </w:t>
      </w:r>
      <w:r w:rsidR="003A1917">
        <w:rPr>
          <w:kern w:val="0"/>
        </w:rPr>
        <w:t xml:space="preserve">the </w:t>
      </w:r>
      <w:r>
        <w:rPr>
          <w:kern w:val="0"/>
        </w:rPr>
        <w:t>ranking process. We also prove that, by solving an inverse eigenvector problem, we can determine a weighting strategy in which</w:t>
      </w:r>
      <w:r w:rsidR="003A1917">
        <w:rPr>
          <w:kern w:val="0"/>
        </w:rPr>
        <w:t xml:space="preserve"> the </w:t>
      </w:r>
      <w:r>
        <w:rPr>
          <w:kern w:val="0"/>
        </w:rPr>
        <w:t>relative importance</w:t>
      </w:r>
      <w:r w:rsidR="00427468">
        <w:rPr>
          <w:kern w:val="0"/>
        </w:rPr>
        <w:t xml:space="preserve"> of </w:t>
      </w:r>
      <w:r>
        <w:rPr>
          <w:kern w:val="0"/>
        </w:rPr>
        <w:t>papers, authors,</w:t>
      </w:r>
      <w:r w:rsidR="005853A9">
        <w:rPr>
          <w:kern w:val="0"/>
        </w:rPr>
        <w:t xml:space="preserve"> and </w:t>
      </w:r>
      <w:r>
        <w:rPr>
          <w:kern w:val="0"/>
        </w:rPr>
        <w:t>journals is chosen by</w:t>
      </w:r>
      <w:r w:rsidR="003A1917">
        <w:rPr>
          <w:kern w:val="0"/>
        </w:rPr>
        <w:t xml:space="preserve"> the </w:t>
      </w:r>
      <w:r>
        <w:rPr>
          <w:kern w:val="0"/>
        </w:rPr>
        <w:t>final user</w:t>
      </w:r>
      <w:r w:rsidR="00427468">
        <w:rPr>
          <w:kern w:val="0"/>
        </w:rPr>
        <w:t xml:space="preserve"> of </w:t>
      </w:r>
      <w:r w:rsidR="003A1917">
        <w:rPr>
          <w:kern w:val="0"/>
        </w:rPr>
        <w:t xml:space="preserve">the </w:t>
      </w:r>
      <w:r>
        <w:rPr>
          <w:kern w:val="0"/>
        </w:rPr>
        <w:t>ranking algorithm</w:t>
      </w:r>
      <w:r w:rsidR="00A37C1D">
        <w:rPr>
          <w:kern w:val="0"/>
        </w:rPr>
        <w:t>. The</w:t>
      </w:r>
      <w:r w:rsidR="003A1917">
        <w:rPr>
          <w:kern w:val="0"/>
        </w:rPr>
        <w:t xml:space="preserve"> </w:t>
      </w:r>
      <w:r>
        <w:rPr>
          <w:kern w:val="0"/>
        </w:rPr>
        <w:t>impact</w:t>
      </w:r>
      <w:r w:rsidR="00427468">
        <w:rPr>
          <w:kern w:val="0"/>
        </w:rPr>
        <w:t xml:space="preserve"> of </w:t>
      </w:r>
      <w:r w:rsidR="003A1917">
        <w:rPr>
          <w:kern w:val="0"/>
        </w:rPr>
        <w:t xml:space="preserve">the </w:t>
      </w:r>
      <w:r>
        <w:rPr>
          <w:kern w:val="0"/>
        </w:rPr>
        <w:t>different weighting strategies is analyzed also by means</w:t>
      </w:r>
      <w:r w:rsidR="00427468">
        <w:rPr>
          <w:kern w:val="0"/>
        </w:rPr>
        <w:t xml:space="preserve"> of </w:t>
      </w:r>
      <w:r>
        <w:rPr>
          <w:kern w:val="0"/>
        </w:rPr>
        <w:t>extensive experiments on large synthetic datasets.</w:t>
      </w:r>
    </w:p>
    <w:p w:rsidR="00913CBD" w:rsidRDefault="00913CBD" w:rsidP="00913CBD">
      <w:pPr>
        <w:pStyle w:val="a3"/>
        <w:rPr>
          <w:kern w:val="0"/>
        </w:rPr>
      </w:pPr>
      <w:r>
        <w:rPr>
          <w:kern w:val="0"/>
        </w:rPr>
        <w:t>Keywords: Analysis, Author Self-Citations, Contribution, Evaluation, Impact, Impact Factor, Journals, Macro, Pagerank, Perron Vector, Perturbation Results, Publications, Research, Tool</w:t>
      </w:r>
    </w:p>
    <w:p w:rsidR="003474F2" w:rsidRPr="001A3D2B" w:rsidRDefault="003474F2" w:rsidP="003474F2">
      <w:pPr>
        <w:pStyle w:val="1"/>
      </w:pPr>
      <w:r w:rsidRPr="001A3D2B">
        <w:br w:type="page"/>
      </w:r>
      <w:bookmarkStart w:id="971" w:name="_Toc420814850"/>
      <w:r w:rsidRPr="001A3D2B">
        <w:lastRenderedPageBreak/>
        <w:t>Title: Bulletin du Cancer</w:t>
      </w:r>
      <w:bookmarkEnd w:id="971"/>
    </w:p>
    <w:p w:rsidR="003474F2" w:rsidRPr="001A3D2B" w:rsidRDefault="003474F2" w:rsidP="003474F2">
      <w:pPr>
        <w:pStyle w:val="12"/>
      </w:pPr>
      <w:r w:rsidRPr="001A3D2B">
        <w:t>Full Journal Title: Bulletin du Cancer</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0007-4551</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Impact Factor</w:t>
      </w:r>
    </w:p>
    <w:p w:rsidR="003474F2" w:rsidRPr="001A3D2B" w:rsidRDefault="003474F2" w:rsidP="003474F2">
      <w:pPr>
        <w:pStyle w:val="a3"/>
      </w:pPr>
      <w:r w:rsidRPr="001A3D2B">
        <w:t>? Bonastre, J.</w:t>
      </w:r>
      <w:r w:rsidR="005853A9">
        <w:t xml:space="preserve"> and </w:t>
      </w:r>
      <w:r w:rsidRPr="001A3D2B">
        <w:t>Pouvourville, G. (2006), How to measure research emerging from hospitals?</w:t>
      </w:r>
      <w:r w:rsidR="003A1917">
        <w:t xml:space="preserve"> the </w:t>
      </w:r>
      <w:r w:rsidRPr="001A3D2B">
        <w:t>case</w:t>
      </w:r>
      <w:r w:rsidR="00427468">
        <w:t xml:space="preserve"> of </w:t>
      </w:r>
      <w:r w:rsidRPr="001A3D2B">
        <w:t xml:space="preserve">French comprehensive cancer centres. </w:t>
      </w:r>
      <w:r w:rsidRPr="001A3D2B">
        <w:rPr>
          <w:i/>
          <w:iCs/>
        </w:rPr>
        <w:t>Bulletin du Cancer</w:t>
      </w:r>
      <w:r w:rsidRPr="001A3D2B">
        <w:t xml:space="preserve">, </w:t>
      </w:r>
      <w:r w:rsidRPr="001A3D2B">
        <w:rPr>
          <w:b/>
          <w:bCs/>
        </w:rPr>
        <w:t>93</w:t>
      </w:r>
      <w:r w:rsidRPr="001A3D2B">
        <w:t xml:space="preserve"> (11), 1144-1151.</w:t>
      </w:r>
    </w:p>
    <w:p w:rsidR="003474F2" w:rsidRPr="001A3D2B" w:rsidRDefault="003474F2" w:rsidP="003474F2">
      <w:pPr>
        <w:pStyle w:val="a3"/>
      </w:pPr>
      <w:r w:rsidRPr="001A3D2B">
        <w:t xml:space="preserve">Full Text: </w:t>
      </w:r>
      <w:hyperlink r:id="rId2091" w:history="1">
        <w:r w:rsidRPr="001A3D2B">
          <w:rPr>
            <w:rStyle w:val="a5"/>
          </w:rPr>
          <w:t>2006\Bul Can93, 1144.pdf</w:t>
        </w:r>
      </w:hyperlink>
    </w:p>
    <w:p w:rsidR="003474F2" w:rsidRPr="001A3D2B" w:rsidRDefault="003474F2" w:rsidP="003474F2">
      <w:pPr>
        <w:pStyle w:val="a3"/>
      </w:pPr>
      <w:r w:rsidRPr="001A3D2B">
        <w:t>Abstract: Our objective was to assess</w:t>
      </w:r>
      <w:r w:rsidR="005853A9">
        <w:t xml:space="preserve"> and </w:t>
      </w:r>
      <w:r w:rsidRPr="001A3D2B">
        <w:t>to compare research performance</w:t>
      </w:r>
      <w:r w:rsidR="00427468">
        <w:t xml:space="preserve"> of </w:t>
      </w:r>
      <w:r w:rsidRPr="001A3D2B">
        <w:t>French comprehensive cancer centres using bibliometric indicators. Papers recorded in Science Citation Index</w:t>
      </w:r>
      <w:r w:rsidR="005853A9">
        <w:t xml:space="preserve"> and </w:t>
      </w:r>
      <w:r w:rsidRPr="001A3D2B">
        <w:t>published between 1997</w:t>
      </w:r>
      <w:r w:rsidR="005853A9">
        <w:t xml:space="preserve"> and </w:t>
      </w:r>
      <w:r w:rsidRPr="001A3D2B">
        <w:t>2002 were identified through</w:t>
      </w:r>
      <w:r w:rsidR="003A1917">
        <w:t xml:space="preserve"> the </w:t>
      </w:r>
      <w:r w:rsidRPr="001A3D2B">
        <w:t>address</w:t>
      </w:r>
      <w:r w:rsidR="00427468">
        <w:t xml:space="preserve"> of </w:t>
      </w:r>
      <w:r w:rsidR="003A1917">
        <w:t xml:space="preserve">the </w:t>
      </w:r>
      <w:r w:rsidRPr="001A3D2B">
        <w:t>authors. Four indicators were used:</w:t>
      </w:r>
      <w:r w:rsidR="003A1917">
        <w:t xml:space="preserve"> the </w:t>
      </w:r>
      <w:r w:rsidRPr="001A3D2B">
        <w:t>number</w:t>
      </w:r>
      <w:r w:rsidR="00427468">
        <w:t xml:space="preserve"> of </w:t>
      </w:r>
      <w:r w:rsidRPr="001A3D2B">
        <w:t>papers,</w:t>
      </w:r>
      <w:r w:rsidR="003A1917">
        <w:t xml:space="preserve"> the </w:t>
      </w:r>
      <w:r w:rsidRPr="001A3D2B">
        <w:t>number</w:t>
      </w:r>
      <w:r w:rsidR="00427468">
        <w:t xml:space="preserve"> of </w:t>
      </w:r>
      <w:r w:rsidRPr="001A3D2B">
        <w:t>papers weighted by</w:t>
      </w:r>
      <w:r w:rsidR="003A1917">
        <w:t xml:space="preserve"> the </w:t>
      </w:r>
      <w:r w:rsidRPr="001A3D2B">
        <w:t>impact factors</w:t>
      </w:r>
      <w:r w:rsidR="00427468">
        <w:t xml:space="preserve"> of </w:t>
      </w:r>
      <w:r w:rsidR="003A1917">
        <w:t xml:space="preserve">the </w:t>
      </w:r>
      <w:r w:rsidRPr="001A3D2B">
        <w:t>journals in which they were published,</w:t>
      </w:r>
      <w:r w:rsidR="003A1917">
        <w:t xml:space="preserve"> the </w:t>
      </w:r>
      <w:r w:rsidRPr="001A3D2B">
        <w:t>total number</w:t>
      </w:r>
      <w:r w:rsidR="00427468">
        <w:t xml:space="preserve"> of </w:t>
      </w:r>
      <w:r w:rsidRPr="001A3D2B">
        <w:t>citations received by</w:t>
      </w:r>
      <w:r w:rsidR="003A1917">
        <w:t xml:space="preserve"> the </w:t>
      </w:r>
      <w:r w:rsidRPr="001A3D2B">
        <w:t>Papers</w:t>
      </w:r>
      <w:r w:rsidR="00427468">
        <w:t xml:space="preserve"> of </w:t>
      </w:r>
      <w:r w:rsidRPr="001A3D2B">
        <w:t>a centre</w:t>
      </w:r>
      <w:r w:rsidR="005853A9">
        <w:t xml:space="preserve"> and </w:t>
      </w:r>
      <w:r w:rsidR="003A1917">
        <w:t xml:space="preserve">the </w:t>
      </w:r>
      <w:r w:rsidRPr="001A3D2B">
        <w:t>number</w:t>
      </w:r>
      <w:r w:rsidR="00427468">
        <w:t xml:space="preserve"> of </w:t>
      </w:r>
      <w:r w:rsidRPr="001A3D2B">
        <w:t>papers in a selection</w:t>
      </w:r>
      <w:r w:rsidR="00427468">
        <w:t xml:space="preserve"> of </w:t>
      </w:r>
      <w:r w:rsidR="003A1917">
        <w:t xml:space="preserve">the </w:t>
      </w:r>
      <w:r w:rsidRPr="001A3D2B">
        <w:t>most cited papers in</w:t>
      </w:r>
      <w:r w:rsidR="003A1917">
        <w:t xml:space="preserve"> the </w:t>
      </w:r>
      <w:r w:rsidRPr="001A3D2B">
        <w:t>last ten years. 5979 papers were identified. Median number</w:t>
      </w:r>
      <w:r w:rsidR="00427468">
        <w:t xml:space="preserve"> of </w:t>
      </w:r>
      <w:r w:rsidRPr="001A3D2B">
        <w:t>papers per centre was 187 (range: 48-1 490)</w:t>
      </w:r>
      <w:r w:rsidR="005853A9">
        <w:t xml:space="preserve"> and </w:t>
      </w:r>
      <w:r w:rsidRPr="001A3D2B">
        <w:t>595 (range : 133-12 935) when impact factors</w:t>
      </w:r>
      <w:r w:rsidR="00427468">
        <w:t xml:space="preserve"> of </w:t>
      </w:r>
      <w:r w:rsidR="003A1917">
        <w:t xml:space="preserve">the </w:t>
      </w:r>
      <w:r w:rsidRPr="001A3D2B">
        <w:t>journals were considered. Median number</w:t>
      </w:r>
      <w:r w:rsidR="00427468">
        <w:t xml:space="preserve"> of </w:t>
      </w:r>
      <w:r w:rsidRPr="001A3D2B">
        <w:t>citations was 1746, For each indicator. three groups</w:t>
      </w:r>
      <w:r w:rsidR="00427468">
        <w:t xml:space="preserve"> of </w:t>
      </w:r>
      <w:r w:rsidRPr="001A3D2B">
        <w:t>performance were determined using distribution terciles</w:t>
      </w:r>
      <w:r w:rsidR="005853A9">
        <w:t xml:space="preserve"> and </w:t>
      </w:r>
      <w:r w:rsidRPr="001A3D2B">
        <w:t>each centre was assigned to a tercile on</w:t>
      </w:r>
      <w:r w:rsidR="003A1917">
        <w:t xml:space="preserve"> the </w:t>
      </w:r>
      <w:r w:rsidRPr="001A3D2B">
        <w:t>basis</w:t>
      </w:r>
      <w:r w:rsidR="00427468">
        <w:t xml:space="preserve"> of </w:t>
      </w:r>
      <w:r w:rsidRPr="001A3D2B">
        <w:t>its scientific production. Taking into account</w:t>
      </w:r>
      <w:r w:rsidR="003A1917">
        <w:t xml:space="preserve"> the </w:t>
      </w:r>
      <w:r w:rsidRPr="001A3D2B">
        <w:t>impact factor</w:t>
      </w:r>
      <w:r w:rsidR="00427468">
        <w:t xml:space="preserve"> of </w:t>
      </w:r>
      <w:r w:rsidR="003A1917">
        <w:t xml:space="preserve">the </w:t>
      </w:r>
      <w:r w:rsidRPr="001A3D2B">
        <w:t>papers modified</w:t>
      </w:r>
      <w:r w:rsidR="003A1917">
        <w:t xml:space="preserve"> the </w:t>
      </w:r>
      <w:r w:rsidRPr="001A3D2B">
        <w:t>performance rank order as compared to</w:t>
      </w:r>
      <w:r w:rsidR="003A1917">
        <w:t xml:space="preserve"> the </w:t>
      </w:r>
      <w:r w:rsidRPr="001A3D2B">
        <w:t>ranking based on</w:t>
      </w:r>
      <w:r w:rsidR="003A1917">
        <w:t xml:space="preserve"> the </w:t>
      </w:r>
      <w:r w:rsidRPr="001A3D2B">
        <w:t>number</w:t>
      </w:r>
      <w:r w:rsidR="00427468">
        <w:t xml:space="preserve"> of </w:t>
      </w:r>
      <w:r w:rsidRPr="001A3D2B">
        <w:t>papers. But both impact measures (journals impact factors</w:t>
      </w:r>
      <w:r w:rsidR="005853A9">
        <w:t xml:space="preserve"> and </w:t>
      </w:r>
      <w:r w:rsidRPr="001A3D2B">
        <w:t>number</w:t>
      </w:r>
      <w:r w:rsidR="00427468">
        <w:t xml:space="preserve"> of </w:t>
      </w:r>
      <w:r w:rsidRPr="001A3D2B">
        <w:t>citations) lead to</w:t>
      </w:r>
      <w:r w:rsidR="003A1917">
        <w:t xml:space="preserve"> the </w:t>
      </w:r>
      <w:r w:rsidRPr="001A3D2B">
        <w:t>same rank order.</w:t>
      </w:r>
    </w:p>
    <w:p w:rsidR="003474F2" w:rsidRPr="001A3D2B" w:rsidRDefault="003474F2" w:rsidP="003474F2">
      <w:pPr>
        <w:pStyle w:val="a3"/>
      </w:pPr>
      <w:r w:rsidRPr="001A3D2B">
        <w:t>Keywords: Bibliometric, Bibliometric Indicators, Bibliometry, Cancer, Citations, Distribution, French, Groups, Hospital, Hospitals, Impact, Impact Factor, Impact Factors, Indicator, Indicators, Journal-Citation-Reports, Journals, Lead, Modified, Order, Performance, Production, Publications, Range, Rank, Ranking, Research, Research Performance, Research Performance Ranking, Science Citation Index, Scientific Production, Selection</w:t>
      </w:r>
    </w:p>
    <w:p w:rsidR="003474F2" w:rsidRPr="001A3D2B" w:rsidRDefault="003474F2" w:rsidP="003474F2">
      <w:pPr>
        <w:pStyle w:val="1"/>
      </w:pPr>
      <w:r w:rsidRPr="001A3D2B">
        <w:br w:type="page"/>
      </w:r>
      <w:bookmarkStart w:id="972" w:name="_Toc420814851"/>
      <w:r w:rsidRPr="001A3D2B">
        <w:lastRenderedPageBreak/>
        <w:t>Title: Bulletin</w:t>
      </w:r>
      <w:r w:rsidR="00427468">
        <w:t xml:space="preserve"> of </w:t>
      </w:r>
      <w:r w:rsidR="003A1917">
        <w:t xml:space="preserve">the </w:t>
      </w:r>
      <w:r w:rsidRPr="001A3D2B">
        <w:t>International Statistical Institute</w:t>
      </w:r>
      <w:bookmarkEnd w:id="972"/>
    </w:p>
    <w:p w:rsidR="003474F2" w:rsidRPr="001A3D2B" w:rsidRDefault="003474F2" w:rsidP="003474F2">
      <w:pPr>
        <w:pStyle w:val="12"/>
      </w:pPr>
      <w:r w:rsidRPr="001A3D2B">
        <w:t>Full Journal Title: Bulletin</w:t>
      </w:r>
      <w:r w:rsidR="00427468">
        <w:t xml:space="preserve"> of </w:t>
      </w:r>
      <w:r w:rsidR="003A1917">
        <w:t xml:space="preserve">the </w:t>
      </w:r>
      <w:r w:rsidRPr="001A3D2B">
        <w:t>International Statistical Institute</w:t>
      </w:r>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 0074-8609</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 Goudswaard, G.</w:t>
      </w:r>
      <w:r w:rsidR="005853A9">
        <w:t xml:space="preserve"> and </w:t>
      </w:r>
      <w:r w:rsidRPr="001A3D2B">
        <w:t>Verstege, J.C.W. (1963</w:t>
      </w:r>
      <w:r w:rsidR="00F42EAC">
        <w:t>), The</w:t>
      </w:r>
      <w:r w:rsidR="003A1917">
        <w:t xml:space="preserve"> </w:t>
      </w:r>
      <w:r w:rsidRPr="001A3D2B">
        <w:t>construction</w:t>
      </w:r>
      <w:r w:rsidR="00427468">
        <w:t xml:space="preserve"> of </w:t>
      </w:r>
      <w:r w:rsidRPr="001A3D2B">
        <w:t xml:space="preserve">a classification scheme for a general statistical bibliography. </w:t>
      </w:r>
      <w:r w:rsidRPr="001A3D2B">
        <w:rPr>
          <w:i/>
          <w:iCs/>
        </w:rPr>
        <w:t>Bulletin</w:t>
      </w:r>
      <w:r w:rsidR="00427468">
        <w:rPr>
          <w:i/>
          <w:iCs/>
        </w:rPr>
        <w:t xml:space="preserve"> of </w:t>
      </w:r>
      <w:r w:rsidR="003A1917">
        <w:rPr>
          <w:i/>
          <w:iCs/>
        </w:rPr>
        <w:t xml:space="preserve">the </w:t>
      </w:r>
      <w:r w:rsidRPr="001A3D2B">
        <w:rPr>
          <w:i/>
          <w:iCs/>
        </w:rPr>
        <w:t>International Statistical Institute</w:t>
      </w:r>
      <w:r w:rsidRPr="001A3D2B">
        <w:t xml:space="preserve">, </w:t>
      </w:r>
      <w:r w:rsidRPr="001A3D2B">
        <w:rPr>
          <w:b/>
          <w:bCs/>
        </w:rPr>
        <w:t>40</w:t>
      </w:r>
      <w:r w:rsidRPr="001A3D2B">
        <w:t xml:space="preserve"> (2), 1128-1132.</w:t>
      </w:r>
    </w:p>
    <w:p w:rsidR="005D2F4B" w:rsidRPr="001A3D2B" w:rsidRDefault="005D2F4B" w:rsidP="005D2F4B">
      <w:pPr>
        <w:pStyle w:val="1"/>
      </w:pPr>
      <w:r w:rsidRPr="001A3D2B">
        <w:br w:type="page"/>
      </w:r>
      <w:bookmarkStart w:id="973" w:name="_Toc420814852"/>
      <w:r w:rsidRPr="001A3D2B">
        <w:lastRenderedPageBreak/>
        <w:t xml:space="preserve">Title: </w:t>
      </w:r>
      <w:r w:rsidRPr="005D2F4B">
        <w:rPr>
          <w:iCs w:val="0"/>
        </w:rPr>
        <w:t>Bulletin</w:t>
      </w:r>
      <w:r w:rsidR="00427468">
        <w:rPr>
          <w:iCs w:val="0"/>
        </w:rPr>
        <w:t xml:space="preserve"> of </w:t>
      </w:r>
      <w:r w:rsidRPr="005D2F4B">
        <w:rPr>
          <w:iCs w:val="0"/>
        </w:rPr>
        <w:t>Marine Science</w:t>
      </w:r>
      <w:bookmarkEnd w:id="973"/>
    </w:p>
    <w:p w:rsidR="006D7A11" w:rsidRDefault="006D7A11" w:rsidP="006D7A11">
      <w:pPr>
        <w:pStyle w:val="12"/>
      </w:pPr>
      <w:r>
        <w:t>Full Journal Title: Bulletin</w:t>
      </w:r>
      <w:r w:rsidR="00427468">
        <w:t xml:space="preserve"> of </w:t>
      </w:r>
      <w:r>
        <w:t>Marine Science</w:t>
      </w:r>
    </w:p>
    <w:p w:rsidR="006D7A11" w:rsidRDefault="006D7A11" w:rsidP="006D7A11">
      <w:pPr>
        <w:pStyle w:val="12"/>
      </w:pPr>
      <w:r>
        <w:t>ISO Abbrev. Title: Bull. Mar. Sci.</w:t>
      </w:r>
    </w:p>
    <w:p w:rsidR="006D7A11" w:rsidRDefault="006D7A11" w:rsidP="006D7A11">
      <w:pPr>
        <w:pStyle w:val="12"/>
      </w:pPr>
      <w:r>
        <w:t>JCR Abbrev. Title: B Mar Sci</w:t>
      </w:r>
    </w:p>
    <w:p w:rsidR="006D7A11" w:rsidRDefault="006D7A11" w:rsidP="006D7A11">
      <w:pPr>
        <w:pStyle w:val="12"/>
      </w:pPr>
      <w:r>
        <w:t>ISSN: 0007-4977</w:t>
      </w:r>
    </w:p>
    <w:p w:rsidR="006D7A11" w:rsidRDefault="006D7A11" w:rsidP="006D7A11">
      <w:pPr>
        <w:pStyle w:val="12"/>
      </w:pPr>
      <w:r>
        <w:t>Issues/Year: 6</w:t>
      </w:r>
    </w:p>
    <w:p w:rsidR="006D7A11" w:rsidRDefault="006D7A11" w:rsidP="006D7A11">
      <w:pPr>
        <w:pStyle w:val="12"/>
      </w:pPr>
      <w:r>
        <w:t>Language: English</w:t>
      </w:r>
    </w:p>
    <w:p w:rsidR="006D7A11" w:rsidRDefault="006D7A11" w:rsidP="006D7A11">
      <w:pPr>
        <w:pStyle w:val="12"/>
      </w:pPr>
      <w:r>
        <w:t>Journal Country/Territory: United States</w:t>
      </w:r>
    </w:p>
    <w:p w:rsidR="006D7A11" w:rsidRDefault="006D7A11" w:rsidP="006D7A11">
      <w:pPr>
        <w:pStyle w:val="12"/>
      </w:pPr>
      <w:r>
        <w:t>Publisher: Rosenstiel Sch Mar Atmos Sci</w:t>
      </w:r>
    </w:p>
    <w:p w:rsidR="006D7A11" w:rsidRDefault="006D7A11" w:rsidP="006D7A11">
      <w:pPr>
        <w:pStyle w:val="12"/>
      </w:pPr>
      <w:r>
        <w:t>Publisher Address: 4600 Rickenbacker Causeway, Miami, FL 33149</w:t>
      </w:r>
    </w:p>
    <w:p w:rsidR="006D7A11" w:rsidRDefault="006D7A11" w:rsidP="006D7A11">
      <w:pPr>
        <w:pStyle w:val="12"/>
      </w:pPr>
      <w:r>
        <w:t>Subject Categories:</w:t>
      </w:r>
    </w:p>
    <w:p w:rsidR="006D7A11" w:rsidRPr="001A3D2B" w:rsidRDefault="006D7A11" w:rsidP="006D7A11">
      <w:pPr>
        <w:pStyle w:val="12"/>
      </w:pPr>
      <w:r>
        <w:t>Marine &amp; Freshwater Biology</w:t>
      </w:r>
      <w:r w:rsidRPr="001A3D2B">
        <w:t xml:space="preserve">: Impact Factor </w:t>
      </w:r>
      <w:r>
        <w:rPr>
          <w:rFonts w:hint="eastAsia"/>
        </w:rPr>
        <w:t>0.990, 59/93 (2010)</w:t>
      </w:r>
    </w:p>
    <w:p w:rsidR="006D7A11" w:rsidRDefault="006D7A11" w:rsidP="006D7A11">
      <w:pPr>
        <w:pStyle w:val="12"/>
      </w:pPr>
      <w:r>
        <w:t>Oceanography</w:t>
      </w:r>
      <w:r w:rsidRPr="001A3D2B">
        <w:t xml:space="preserve">: Impact Factor </w:t>
      </w:r>
      <w:r>
        <w:rPr>
          <w:rFonts w:hint="eastAsia"/>
        </w:rPr>
        <w:t>0.990, 36/59 (2010)</w:t>
      </w:r>
    </w:p>
    <w:p w:rsidR="005D2F4B" w:rsidRDefault="005D2F4B" w:rsidP="005D2F4B">
      <w:pPr>
        <w:pStyle w:val="a3"/>
        <w:rPr>
          <w:kern w:val="0"/>
        </w:rPr>
      </w:pPr>
      <w:r>
        <w:rPr>
          <w:kern w:val="0"/>
        </w:rPr>
        <w:t>? Araujo, R.J.</w:t>
      </w:r>
      <w:r w:rsidR="005853A9">
        <w:rPr>
          <w:kern w:val="0"/>
        </w:rPr>
        <w:t xml:space="preserve"> and </w:t>
      </w:r>
      <w:r>
        <w:rPr>
          <w:kern w:val="0"/>
        </w:rPr>
        <w:t>Shideler, G. (2011), Celebrating 60 years</w:t>
      </w:r>
      <w:r w:rsidR="00427468">
        <w:rPr>
          <w:kern w:val="0"/>
        </w:rPr>
        <w:t xml:space="preserve"> of </w:t>
      </w:r>
      <w:r>
        <w:rPr>
          <w:kern w:val="0"/>
        </w:rPr>
        <w:t>publication</w:t>
      </w:r>
      <w:r w:rsidR="00427468">
        <w:rPr>
          <w:kern w:val="0"/>
        </w:rPr>
        <w:t xml:space="preserve"> of </w:t>
      </w:r>
      <w:r w:rsidR="003A1917">
        <w:rPr>
          <w:kern w:val="0"/>
        </w:rPr>
        <w:t xml:space="preserve">the </w:t>
      </w:r>
      <w:r w:rsidRPr="00725A44">
        <w:rPr>
          <w:i/>
          <w:kern w:val="0"/>
        </w:rPr>
        <w:t>Bulletin</w:t>
      </w:r>
      <w:r w:rsidR="00427468">
        <w:rPr>
          <w:i/>
          <w:kern w:val="0"/>
        </w:rPr>
        <w:t xml:space="preserve"> of </w:t>
      </w:r>
      <w:r w:rsidRPr="00725A44">
        <w:rPr>
          <w:i/>
          <w:kern w:val="0"/>
        </w:rPr>
        <w:t>Marine Science</w:t>
      </w:r>
      <w:r>
        <w:rPr>
          <w:kern w:val="0"/>
        </w:rPr>
        <w:t xml:space="preserve">: A bibliometric history (1951-2010). </w:t>
      </w:r>
      <w:r w:rsidRPr="005D2F4B">
        <w:rPr>
          <w:i/>
          <w:iCs/>
          <w:kern w:val="0"/>
        </w:rPr>
        <w:t>Bulletin</w:t>
      </w:r>
      <w:r w:rsidR="00427468">
        <w:rPr>
          <w:i/>
          <w:iCs/>
          <w:kern w:val="0"/>
        </w:rPr>
        <w:t xml:space="preserve"> of </w:t>
      </w:r>
      <w:r w:rsidRPr="005D2F4B">
        <w:rPr>
          <w:i/>
          <w:iCs/>
          <w:kern w:val="0"/>
        </w:rPr>
        <w:t>Marine Science</w:t>
      </w:r>
      <w:r>
        <w:rPr>
          <w:kern w:val="0"/>
        </w:rPr>
        <w:t xml:space="preserve">, </w:t>
      </w:r>
      <w:r>
        <w:rPr>
          <w:b/>
          <w:bCs/>
          <w:kern w:val="0"/>
        </w:rPr>
        <w:t>87</w:t>
      </w:r>
      <w:r>
        <w:rPr>
          <w:kern w:val="0"/>
        </w:rPr>
        <w:t xml:space="preserve"> (4), 707-726.</w:t>
      </w:r>
    </w:p>
    <w:p w:rsidR="00C516F0" w:rsidRDefault="00C516F0" w:rsidP="00C516F0">
      <w:pPr>
        <w:pStyle w:val="a3"/>
        <w:rPr>
          <w:kern w:val="0"/>
        </w:rPr>
      </w:pPr>
      <w:r>
        <w:rPr>
          <w:rFonts w:hint="eastAsia"/>
          <w:kern w:val="0"/>
        </w:rPr>
        <w:t xml:space="preserve">Full Text: </w:t>
      </w:r>
      <w:hyperlink r:id="rId2092" w:history="1">
        <w:r w:rsidRPr="00FA6162">
          <w:rPr>
            <w:rStyle w:val="a5"/>
            <w:kern w:val="0"/>
          </w:rPr>
          <w:t>2011\Bul Mar Sci87, 707.pdf</w:t>
        </w:r>
      </w:hyperlink>
    </w:p>
    <w:p w:rsidR="005D2F4B" w:rsidRDefault="005D2F4B" w:rsidP="005D2F4B">
      <w:pPr>
        <w:pStyle w:val="a3"/>
        <w:rPr>
          <w:kern w:val="0"/>
        </w:rPr>
      </w:pPr>
      <w:r>
        <w:rPr>
          <w:kern w:val="0"/>
        </w:rPr>
        <w:t>Abstract: To commemorate</w:t>
      </w:r>
      <w:r w:rsidR="003A1917">
        <w:rPr>
          <w:kern w:val="0"/>
        </w:rPr>
        <w:t xml:space="preserve"> the </w:t>
      </w:r>
      <w:r>
        <w:rPr>
          <w:kern w:val="0"/>
        </w:rPr>
        <w:t>60(th) anniversary</w:t>
      </w:r>
      <w:r w:rsidR="00427468">
        <w:rPr>
          <w:kern w:val="0"/>
        </w:rPr>
        <w:t xml:space="preserve"> of </w:t>
      </w:r>
      <w:r w:rsidR="003A1917">
        <w:rPr>
          <w:kern w:val="0"/>
        </w:rPr>
        <w:t xml:space="preserve">the </w:t>
      </w:r>
      <w:r>
        <w:rPr>
          <w:kern w:val="0"/>
        </w:rPr>
        <w:t>Bulletin</w:t>
      </w:r>
      <w:r w:rsidR="00427468">
        <w:rPr>
          <w:kern w:val="0"/>
        </w:rPr>
        <w:t xml:space="preserve"> of </w:t>
      </w:r>
      <w:r>
        <w:rPr>
          <w:kern w:val="0"/>
        </w:rPr>
        <w:t>Marine Science, we used a bibliometric approach to trace</w:t>
      </w:r>
      <w:r w:rsidR="003A1917">
        <w:rPr>
          <w:kern w:val="0"/>
        </w:rPr>
        <w:t xml:space="preserve"> the </w:t>
      </w:r>
      <w:r>
        <w:rPr>
          <w:kern w:val="0"/>
        </w:rPr>
        <w:t>history</w:t>
      </w:r>
      <w:r w:rsidR="005853A9">
        <w:rPr>
          <w:kern w:val="0"/>
        </w:rPr>
        <w:t xml:space="preserve"> and </w:t>
      </w:r>
      <w:r>
        <w:rPr>
          <w:kern w:val="0"/>
        </w:rPr>
        <w:t>present status</w:t>
      </w:r>
      <w:r w:rsidR="00427468">
        <w:rPr>
          <w:kern w:val="0"/>
        </w:rPr>
        <w:t xml:space="preserve"> of </w:t>
      </w:r>
      <w:r w:rsidR="003A1917">
        <w:rPr>
          <w:kern w:val="0"/>
        </w:rPr>
        <w:t xml:space="preserve">the </w:t>
      </w:r>
      <w:r>
        <w:rPr>
          <w:kern w:val="0"/>
        </w:rPr>
        <w:t>journal. Our analysis included</w:t>
      </w:r>
      <w:r w:rsidR="003A1917">
        <w:rPr>
          <w:kern w:val="0"/>
        </w:rPr>
        <w:t xml:space="preserve"> the </w:t>
      </w:r>
      <w:r>
        <w:rPr>
          <w:kern w:val="0"/>
        </w:rPr>
        <w:t>4303 papers</w:t>
      </w:r>
      <w:r w:rsidR="005853A9">
        <w:rPr>
          <w:kern w:val="0"/>
        </w:rPr>
        <w:t xml:space="preserve"> and </w:t>
      </w:r>
      <w:r>
        <w:rPr>
          <w:kern w:val="0"/>
        </w:rPr>
        <w:t>notes published from 1951 to 2010</w:t>
      </w:r>
      <w:r w:rsidR="005853A9">
        <w:rPr>
          <w:kern w:val="0"/>
        </w:rPr>
        <w:t xml:space="preserve"> and </w:t>
      </w:r>
      <w:r>
        <w:rPr>
          <w:kern w:val="0"/>
        </w:rPr>
        <w:t>is based on data contained in</w:t>
      </w:r>
      <w:r w:rsidR="003A1917">
        <w:rPr>
          <w:kern w:val="0"/>
        </w:rPr>
        <w:t xml:space="preserve"> the </w:t>
      </w:r>
      <w:r>
        <w:rPr>
          <w:kern w:val="0"/>
        </w:rPr>
        <w:t>Thompson Reuters Web</w:t>
      </w:r>
      <w:r w:rsidR="00427468">
        <w:rPr>
          <w:kern w:val="0"/>
        </w:rPr>
        <w:t xml:space="preserve"> of </w:t>
      </w:r>
      <w:r>
        <w:rPr>
          <w:kern w:val="0"/>
        </w:rPr>
        <w:t>Knowledge(SM) database, our in-house database,</w:t>
      </w:r>
      <w:r w:rsidR="005853A9">
        <w:rPr>
          <w:kern w:val="0"/>
        </w:rPr>
        <w:t xml:space="preserve"> and </w:t>
      </w:r>
      <w:r>
        <w:rPr>
          <w:kern w:val="0"/>
        </w:rPr>
        <w:t>miscellaneous online sources</w:t>
      </w:r>
      <w:r w:rsidR="00A37C1D">
        <w:rPr>
          <w:kern w:val="0"/>
        </w:rPr>
        <w:t>. The</w:t>
      </w:r>
      <w:r w:rsidR="003A1917">
        <w:rPr>
          <w:kern w:val="0"/>
        </w:rPr>
        <w:t xml:space="preserve"> </w:t>
      </w:r>
      <w:r>
        <w:rPr>
          <w:kern w:val="0"/>
        </w:rPr>
        <w:t>analysis revealed that through time,</w:t>
      </w:r>
      <w:r w:rsidR="003A1917">
        <w:rPr>
          <w:kern w:val="0"/>
        </w:rPr>
        <w:t xml:space="preserve"> the </w:t>
      </w:r>
      <w:r>
        <w:rPr>
          <w:kern w:val="0"/>
        </w:rPr>
        <w:t>publication has changed from a predominantly US-dominated journal to a more international outlet for science. Although current trends still rank</w:t>
      </w:r>
      <w:r w:rsidR="003A1917">
        <w:rPr>
          <w:kern w:val="0"/>
        </w:rPr>
        <w:t xml:space="preserve"> the </w:t>
      </w:r>
      <w:r>
        <w:rPr>
          <w:kern w:val="0"/>
        </w:rPr>
        <w:t>US at</w:t>
      </w:r>
      <w:r w:rsidR="003A1917">
        <w:rPr>
          <w:kern w:val="0"/>
        </w:rPr>
        <w:t xml:space="preserve"> the </w:t>
      </w:r>
      <w:r>
        <w:rPr>
          <w:kern w:val="0"/>
        </w:rPr>
        <w:t>top</w:t>
      </w:r>
      <w:r w:rsidR="00427468">
        <w:rPr>
          <w:kern w:val="0"/>
        </w:rPr>
        <w:t xml:space="preserve"> of </w:t>
      </w:r>
      <w:r>
        <w:rPr>
          <w:kern w:val="0"/>
        </w:rPr>
        <w:t>most metrics (number</w:t>
      </w:r>
      <w:r w:rsidR="00427468">
        <w:rPr>
          <w:kern w:val="0"/>
        </w:rPr>
        <w:t xml:space="preserve"> of </w:t>
      </w:r>
      <w:r>
        <w:rPr>
          <w:kern w:val="0"/>
        </w:rPr>
        <w:t>contributions, most authors, top institutions, top cities for online use, etc.</w:t>
      </w:r>
      <w:r w:rsidR="00F42EAC">
        <w:rPr>
          <w:kern w:val="0"/>
        </w:rPr>
        <w:t>), The</w:t>
      </w:r>
      <w:r w:rsidR="003A1917">
        <w:rPr>
          <w:kern w:val="0"/>
        </w:rPr>
        <w:t xml:space="preserve"> </w:t>
      </w:r>
      <w:r>
        <w:rPr>
          <w:kern w:val="0"/>
        </w:rPr>
        <w:t>journal has a strong international presence, with subscriptions in 46 countries, authors hailing from most geographical regions,</w:t>
      </w:r>
      <w:r w:rsidR="005853A9">
        <w:rPr>
          <w:kern w:val="0"/>
        </w:rPr>
        <w:t xml:space="preserve"> and </w:t>
      </w:r>
      <w:r>
        <w:rPr>
          <w:kern w:val="0"/>
        </w:rPr>
        <w:t>increasing numbers</w:t>
      </w:r>
      <w:r w:rsidR="00427468">
        <w:rPr>
          <w:kern w:val="0"/>
        </w:rPr>
        <w:t xml:space="preserve"> of </w:t>
      </w:r>
      <w:r>
        <w:rPr>
          <w:kern w:val="0"/>
        </w:rPr>
        <w:t>emerging countries using our content and/or sending contributions to</w:t>
      </w:r>
      <w:r w:rsidR="003A1917">
        <w:rPr>
          <w:kern w:val="0"/>
        </w:rPr>
        <w:t xml:space="preserve"> the </w:t>
      </w:r>
      <w:r>
        <w:rPr>
          <w:kern w:val="0"/>
        </w:rPr>
        <w:t>journal.</w:t>
      </w:r>
    </w:p>
    <w:p w:rsidR="005D2F4B" w:rsidRDefault="005D2F4B" w:rsidP="005D2F4B">
      <w:pPr>
        <w:pStyle w:val="a3"/>
        <w:rPr>
          <w:kern w:val="0"/>
        </w:rPr>
      </w:pPr>
      <w:r>
        <w:rPr>
          <w:kern w:val="0"/>
        </w:rPr>
        <w:t>Keywords: Analysis, Authors, Bibliometric, History, Journal, Metrics, Papers, Publication, Science, Trends, US</w:t>
      </w:r>
    </w:p>
    <w:p w:rsidR="003474F2" w:rsidRPr="001A3D2B" w:rsidRDefault="003474F2" w:rsidP="003474F2">
      <w:pPr>
        <w:pStyle w:val="1"/>
      </w:pPr>
      <w:r w:rsidRPr="001A3D2B">
        <w:br w:type="page"/>
      </w:r>
      <w:bookmarkStart w:id="974" w:name="_Toc420814853"/>
      <w:r w:rsidRPr="001A3D2B">
        <w:lastRenderedPageBreak/>
        <w:t>Title: Bulletin</w:t>
      </w:r>
      <w:r w:rsidR="00427468">
        <w:t xml:space="preserve"> of </w:t>
      </w:r>
      <w:r w:rsidRPr="001A3D2B">
        <w:t>Mathematical Biology</w:t>
      </w:r>
      <w:bookmarkEnd w:id="974"/>
    </w:p>
    <w:p w:rsidR="003474F2" w:rsidRPr="001A3D2B" w:rsidRDefault="003474F2" w:rsidP="003474F2">
      <w:pPr>
        <w:pStyle w:val="12"/>
      </w:pPr>
      <w:r w:rsidRPr="001A3D2B">
        <w:t xml:space="preserve">Full Journal Title: </w:t>
      </w:r>
      <w:hyperlink r:id="rId2093" w:history="1">
        <w:r w:rsidRPr="001A3D2B">
          <w:rPr>
            <w:rStyle w:val="a5"/>
          </w:rPr>
          <w:t>Bulletin</w:t>
        </w:r>
        <w:r w:rsidR="00427468">
          <w:rPr>
            <w:rStyle w:val="a5"/>
          </w:rPr>
          <w:t xml:space="preserve"> of </w:t>
        </w:r>
        <w:r w:rsidRPr="001A3D2B">
          <w:rPr>
            <w:rStyle w:val="a5"/>
          </w:rPr>
          <w:t>Mathematical Biology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 xml:space="preserve">ISSN: </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Snoussi, E.H.</w:t>
      </w:r>
      <w:r w:rsidR="005853A9">
        <w:t xml:space="preserve"> and </w:t>
      </w:r>
      <w:r w:rsidRPr="001A3D2B">
        <w:t>Thomas, R. (1993), Logical identification</w:t>
      </w:r>
      <w:r w:rsidR="00427468">
        <w:t xml:space="preserve"> of </w:t>
      </w:r>
      <w:r w:rsidRPr="001A3D2B">
        <w:t>all steady states:</w:t>
      </w:r>
      <w:r w:rsidR="003A1917">
        <w:t xml:space="preserve"> the </w:t>
      </w:r>
      <w:r w:rsidRPr="001A3D2B">
        <w:t>concept</w:t>
      </w:r>
      <w:r w:rsidR="00427468">
        <w:t xml:space="preserve"> of </w:t>
      </w:r>
      <w:r w:rsidRPr="001A3D2B">
        <w:t xml:space="preserve">feedback loop characteristic states. </w:t>
      </w:r>
      <w:r w:rsidRPr="001A3D2B">
        <w:rPr>
          <w:i/>
          <w:iCs/>
        </w:rPr>
        <w:t>Bulletin</w:t>
      </w:r>
      <w:r w:rsidR="00427468">
        <w:rPr>
          <w:i/>
          <w:iCs/>
        </w:rPr>
        <w:t xml:space="preserve"> of </w:t>
      </w:r>
      <w:r w:rsidRPr="001A3D2B">
        <w:rPr>
          <w:i/>
          <w:iCs/>
        </w:rPr>
        <w:t>Mathematical Biology</w:t>
      </w:r>
      <w:r w:rsidRPr="001A3D2B">
        <w:t xml:space="preserve">, </w:t>
      </w:r>
      <w:r w:rsidRPr="001A3D2B">
        <w:rPr>
          <w:b/>
          <w:bCs/>
        </w:rPr>
        <w:t>55</w:t>
      </w:r>
      <w:r w:rsidRPr="001A3D2B">
        <w:t xml:space="preserve"> (5), 973-991.</w:t>
      </w:r>
    </w:p>
    <w:p w:rsidR="003474F2" w:rsidRPr="001A3D2B" w:rsidRDefault="003474F2" w:rsidP="003474F2">
      <w:pPr>
        <w:pStyle w:val="a3"/>
      </w:pPr>
      <w:r w:rsidRPr="001A3D2B">
        <w:t xml:space="preserve">Full Text: </w:t>
      </w:r>
      <w:hyperlink r:id="rId2094" w:history="1">
        <w:r w:rsidRPr="001A3D2B">
          <w:rPr>
            <w:rStyle w:val="a5"/>
          </w:rPr>
          <w:t>1993\Bul Mat Bio55, 973.pdf</w:t>
        </w:r>
      </w:hyperlink>
    </w:p>
    <w:p w:rsidR="003474F2" w:rsidRPr="001A3D2B" w:rsidRDefault="003474F2" w:rsidP="003474F2">
      <w:pPr>
        <w:pStyle w:val="a3"/>
      </w:pPr>
      <w:r w:rsidRPr="001A3D2B">
        <w:t>Abstract: Biological regulatory systems can be described in terms</w:t>
      </w:r>
      <w:r w:rsidR="00427468">
        <w:t xml:space="preserve"> of </w:t>
      </w:r>
      <w:r w:rsidRPr="001A3D2B">
        <w:t xml:space="preserve">non-linear differential equations or in logical terms (using an </w:t>
      </w:r>
      <w:r w:rsidR="00700038">
        <w:t>‘</w:t>
      </w:r>
      <w:r w:rsidRPr="001A3D2B">
        <w:t>infinitely non-linear</w:t>
      </w:r>
      <w:r w:rsidR="00700038">
        <w:t>’</w:t>
      </w:r>
      <w:r w:rsidRPr="001A3D2B">
        <w:t xml:space="preserve"> approximation). Until recently, only part</w:t>
      </w:r>
      <w:r w:rsidR="00427468">
        <w:t xml:space="preserve"> of </w:t>
      </w:r>
      <w:r w:rsidR="003A1917">
        <w:t xml:space="preserve">the </w:t>
      </w:r>
      <w:r w:rsidRPr="001A3D2B">
        <w:t>steady states</w:t>
      </w:r>
      <w:r w:rsidR="00427468">
        <w:t xml:space="preserve"> of </w:t>
      </w:r>
      <w:r w:rsidRPr="001A3D2B">
        <w:t>a system could be identified on logical grounds</w:t>
      </w:r>
      <w:r w:rsidR="00A37C1D">
        <w:t>. The</w:t>
      </w:r>
      <w:r w:rsidR="003A1917">
        <w:t xml:space="preserve"> </w:t>
      </w:r>
      <w:r w:rsidRPr="001A3D2B">
        <w:t>reason was that steady states frequently have one or more variable located on a threshold (see below); those steady states were not detected because so far no logical status was assigned to threshold values. This is why we introduced logical scales with values 0, 1-theta, 1, 2-theta, 2,..., in which 1-theta, 2-theta,...are</w:t>
      </w:r>
      <w:r w:rsidR="003A1917">
        <w:t xml:space="preserve"> the </w:t>
      </w:r>
      <w:r w:rsidRPr="001A3D2B">
        <w:t>logical values assigned to</w:t>
      </w:r>
      <w:r w:rsidR="003A1917">
        <w:t xml:space="preserve"> the </w:t>
      </w:r>
      <w:r w:rsidRPr="001A3D2B">
        <w:t>successive thresholds</w:t>
      </w:r>
      <w:r w:rsidR="00427468">
        <w:t xml:space="preserve"> of </w:t>
      </w:r>
      <w:r w:rsidR="003A1917">
        <w:t xml:space="preserve">the </w:t>
      </w:r>
      <w:r w:rsidRPr="001A3D2B">
        <w:t>scale. We thus have, in addition to</w:t>
      </w:r>
      <w:r w:rsidR="003A1917">
        <w:t xml:space="preserve"> the </w:t>
      </w:r>
      <w:r w:rsidRPr="001A3D2B">
        <w:t>regular logical states, singular states in which one or more variables is located on a threshold. This permits identifying all</w:t>
      </w:r>
      <w:r w:rsidR="003A1917">
        <w:t xml:space="preserve"> the </w:t>
      </w:r>
      <w:r w:rsidRPr="001A3D2B">
        <w:t>steady states on logical grounds. It was noticed that each feedback loop (or reunion</w:t>
      </w:r>
      <w:r w:rsidR="00427468">
        <w:t xml:space="preserve"> of </w:t>
      </w:r>
      <w:r w:rsidRPr="001A3D2B">
        <w:t>disjointed loops) can be characterized by a logical state located at</w:t>
      </w:r>
      <w:r w:rsidR="003A1917">
        <w:t xml:space="preserve"> the </w:t>
      </w:r>
      <w:r w:rsidRPr="001A3D2B">
        <w:t>thresholds at which</w:t>
      </w:r>
      <w:r w:rsidR="003A1917">
        <w:t xml:space="preserve"> the </w:t>
      </w:r>
      <w:r w:rsidRPr="001A3D2B">
        <w:t>variables</w:t>
      </w:r>
      <w:r w:rsidR="00427468">
        <w:t xml:space="preserve"> of </w:t>
      </w:r>
      <w:r w:rsidR="003A1917">
        <w:t xml:space="preserve">the </w:t>
      </w:r>
      <w:r w:rsidRPr="001A3D2B">
        <w:t>loop operate. This led to</w:t>
      </w:r>
      <w:r w:rsidR="003A1917">
        <w:t xml:space="preserve"> the </w:t>
      </w:r>
      <w:r w:rsidRPr="001A3D2B">
        <w:t>concept</w:t>
      </w:r>
      <w:r w:rsidR="00427468">
        <w:t xml:space="preserve"> of </w:t>
      </w:r>
      <w:r w:rsidRPr="001A3D2B">
        <w:t>loop-characteristic state, which, as well will see, enormously simplifies</w:t>
      </w:r>
      <w:r w:rsidR="003A1917">
        <w:t xml:space="preserve"> the </w:t>
      </w:r>
      <w:r w:rsidRPr="001A3D2B">
        <w:t>analysis</w:t>
      </w:r>
      <w:r w:rsidR="00A37C1D">
        <w:t>. The</w:t>
      </w:r>
      <w:r w:rsidR="003A1917">
        <w:t xml:space="preserve"> </w:t>
      </w:r>
      <w:r w:rsidRPr="001A3D2B">
        <w:t>core</w:t>
      </w:r>
      <w:r w:rsidR="00427468">
        <w:t xml:space="preserve"> of </w:t>
      </w:r>
      <w:r w:rsidRPr="001A3D2B">
        <w:t>this paper is a formal demonstration that among</w:t>
      </w:r>
      <w:r w:rsidR="003A1917">
        <w:t xml:space="preserve"> the </w:t>
      </w:r>
      <w:r w:rsidRPr="001A3D2B">
        <w:t>singular states</w:t>
      </w:r>
      <w:r w:rsidR="00427468">
        <w:t xml:space="preserve"> of </w:t>
      </w:r>
      <w:r w:rsidRPr="001A3D2B">
        <w:t>a system, only loop-characteristic states can be steady. Reciprocally, given a loop-characteristic state, there are parameter values for which this state is steady; in this case,</w:t>
      </w:r>
      <w:r w:rsidR="003A1917">
        <w:t xml:space="preserve"> the </w:t>
      </w:r>
      <w:r w:rsidRPr="001A3D2B">
        <w:t>loop is effective (i.e. it generates multistationarity if it is a positive loop, homeostasis if it is a negative loop). This not only results in</w:t>
      </w:r>
      <w:r w:rsidR="003A1917">
        <w:t xml:space="preserve"> the </w:t>
      </w:r>
      <w:r w:rsidRPr="001A3D2B">
        <w:t>above-mentioned radical simplification</w:t>
      </w:r>
      <w:r w:rsidR="00427468">
        <w:t xml:space="preserve"> of </w:t>
      </w:r>
      <w:r w:rsidR="003A1917">
        <w:t xml:space="preserve">the </w:t>
      </w:r>
      <w:r w:rsidRPr="001A3D2B">
        <w:t>identification</w:t>
      </w:r>
      <w:r w:rsidR="00427468">
        <w:t xml:space="preserve"> of </w:t>
      </w:r>
      <w:r w:rsidR="003A1917">
        <w:t xml:space="preserve">the </w:t>
      </w:r>
      <w:r w:rsidRPr="001A3D2B">
        <w:t>steady states, but in an entirely new view</w:t>
      </w:r>
      <w:r w:rsidR="00427468">
        <w:t xml:space="preserve"> of </w:t>
      </w:r>
      <w:r w:rsidR="003A1917">
        <w:t xml:space="preserve">the </w:t>
      </w:r>
      <w:r w:rsidRPr="001A3D2B">
        <w:t>relation between feedback loops</w:t>
      </w:r>
      <w:r w:rsidR="005853A9">
        <w:t xml:space="preserve"> and </w:t>
      </w:r>
      <w:r w:rsidRPr="001A3D2B">
        <w:t>steady states.</w:t>
      </w:r>
    </w:p>
    <w:p w:rsidR="003474F2" w:rsidRPr="001A3D2B" w:rsidRDefault="003474F2" w:rsidP="003474F2">
      <w:pPr>
        <w:pStyle w:val="1"/>
      </w:pPr>
      <w:r w:rsidRPr="001A3D2B">
        <w:br w:type="page"/>
      </w:r>
      <w:bookmarkStart w:id="975" w:name="_Toc420814854"/>
      <w:r w:rsidRPr="001A3D2B">
        <w:lastRenderedPageBreak/>
        <w:t>Title: Bulletin</w:t>
      </w:r>
      <w:r w:rsidR="00427468">
        <w:t xml:space="preserve"> of </w:t>
      </w:r>
      <w:r w:rsidR="003A1917">
        <w:t xml:space="preserve">the </w:t>
      </w:r>
      <w:r w:rsidRPr="001A3D2B">
        <w:t>Medical Library Associa</w:t>
      </w:r>
      <w:bookmarkStart w:id="976" w:name="_Toc7177644"/>
      <w:bookmarkStart w:id="977" w:name="_Toc39416528"/>
      <w:bookmarkStart w:id="978" w:name="_Toc43634549"/>
      <w:bookmarkStart w:id="979" w:name="_Toc81215652"/>
      <w:r w:rsidRPr="001A3D2B">
        <w:t>tion</w:t>
      </w:r>
      <w:bookmarkEnd w:id="975"/>
    </w:p>
    <w:p w:rsidR="003474F2" w:rsidRPr="001A3D2B" w:rsidRDefault="003474F2" w:rsidP="003474F2">
      <w:pPr>
        <w:pStyle w:val="12"/>
      </w:pPr>
      <w:r w:rsidRPr="001A3D2B">
        <w:t xml:space="preserve">Full Journal Title: </w:t>
      </w:r>
      <w:r w:rsidR="00206C8A">
        <w:fldChar w:fldCharType="begin"/>
      </w:r>
      <w:r w:rsidR="00FD158B">
        <w:instrText>HYPERLINK "http://www.pu</w:instrText>
      </w:r>
      <w:bookmarkEnd w:id="976"/>
      <w:bookmarkEnd w:id="977"/>
      <w:bookmarkEnd w:id="978"/>
      <w:bookmarkEnd w:id="979"/>
      <w:r w:rsidR="00FD158B">
        <w:instrText>bmedcentral.nih.gov/tocrender.fcgi?journal=93&amp;action=archive"</w:instrText>
      </w:r>
      <w:r w:rsidR="00206C8A">
        <w:fldChar w:fldCharType="separate"/>
      </w:r>
      <w:r w:rsidRPr="001A3D2B">
        <w:rPr>
          <w:rStyle w:val="a5"/>
        </w:rPr>
        <w:t>Journal</w:t>
      </w:r>
      <w:r w:rsidR="00427468">
        <w:rPr>
          <w:rStyle w:val="a5"/>
        </w:rPr>
        <w:t xml:space="preserve"> of </w:t>
      </w:r>
      <w:r w:rsidR="003A1917">
        <w:rPr>
          <w:rStyle w:val="a5"/>
        </w:rPr>
        <w:t xml:space="preserve">the </w:t>
      </w:r>
      <w:r w:rsidRPr="001A3D2B">
        <w:rPr>
          <w:rStyle w:val="a5"/>
        </w:rPr>
        <w:t>Medical Library Association</w:t>
      </w:r>
      <w:r w:rsidR="00206C8A">
        <w:fldChar w:fldCharType="end"/>
      </w:r>
      <w:r w:rsidRPr="001A3D2B">
        <w:t xml:space="preserve">, </w:t>
      </w:r>
      <w:hyperlink r:id="rId2095" w:history="1">
        <w:r w:rsidRPr="001A3D2B">
          <w:rPr>
            <w:rStyle w:val="a5"/>
          </w:rPr>
          <w:t>Journal</w:t>
        </w:r>
        <w:r w:rsidR="00427468">
          <w:rPr>
            <w:rStyle w:val="a5"/>
          </w:rPr>
          <w:t xml:space="preserve"> of </w:t>
        </w:r>
        <w:r w:rsidR="003A1917">
          <w:rPr>
            <w:rStyle w:val="a5"/>
          </w:rPr>
          <w:t xml:space="preserve">the </w:t>
        </w:r>
        <w:r w:rsidRPr="001A3D2B">
          <w:rPr>
            <w:rStyle w:val="a5"/>
          </w:rPr>
          <w:t>Medical Library Association</w:t>
        </w:r>
      </w:hyperlink>
    </w:p>
    <w:p w:rsidR="003474F2" w:rsidRPr="001A3D2B" w:rsidRDefault="003474F2" w:rsidP="003474F2">
      <w:pPr>
        <w:pStyle w:val="12"/>
      </w:pPr>
      <w:r w:rsidRPr="001A3D2B">
        <w:t xml:space="preserve">Full Journal Title: </w:t>
      </w:r>
      <w:hyperlink r:id="rId2096" w:history="1">
        <w:r w:rsidRPr="001A3D2B">
          <w:rPr>
            <w:rStyle w:val="a5"/>
          </w:rPr>
          <w:t>Bulletin</w:t>
        </w:r>
        <w:r w:rsidR="00427468">
          <w:rPr>
            <w:rStyle w:val="a5"/>
          </w:rPr>
          <w:t xml:space="preserve"> of </w:t>
        </w:r>
        <w:r w:rsidR="003A1917">
          <w:rPr>
            <w:rStyle w:val="a5"/>
          </w:rPr>
          <w:t xml:space="preserve">the </w:t>
        </w:r>
        <w:r w:rsidRPr="001A3D2B">
          <w:rPr>
            <w:rStyle w:val="a5"/>
          </w:rPr>
          <w:t>Medical Library Association</w:t>
        </w:r>
      </w:hyperlink>
      <w:r w:rsidRPr="001A3D2B">
        <w:t xml:space="preserve"> Vols. 1 to 89, 1911 to 2001</w:t>
      </w:r>
    </w:p>
    <w:p w:rsidR="003474F2" w:rsidRPr="001A3D2B" w:rsidRDefault="003474F2" w:rsidP="003474F2">
      <w:pPr>
        <w:pStyle w:val="12"/>
      </w:pPr>
      <w:r w:rsidRPr="001A3D2B">
        <w:t>ISO Abbreviated Title: Bull. Med. Libr. Assoc.</w:t>
      </w:r>
    </w:p>
    <w:p w:rsidR="003474F2" w:rsidRPr="001A3D2B" w:rsidRDefault="003474F2" w:rsidP="003474F2">
      <w:pPr>
        <w:pStyle w:val="12"/>
      </w:pPr>
      <w:r w:rsidRPr="001A3D2B">
        <w:t>JCR Abbreviated Title: B Med Libr Assoc</w:t>
      </w:r>
    </w:p>
    <w:p w:rsidR="003474F2" w:rsidRPr="001A3D2B" w:rsidRDefault="003474F2" w:rsidP="003474F2">
      <w:pPr>
        <w:pStyle w:val="12"/>
      </w:pPr>
      <w:r w:rsidRPr="001A3D2B">
        <w:t>ISSN: 0025-7338</w:t>
      </w:r>
    </w:p>
    <w:p w:rsidR="003474F2" w:rsidRPr="001A3D2B" w:rsidRDefault="003474F2" w:rsidP="003474F2">
      <w:pPr>
        <w:pStyle w:val="12"/>
      </w:pPr>
      <w:r w:rsidRPr="001A3D2B">
        <w:t>Issues/Year: 4</w:t>
      </w:r>
    </w:p>
    <w:p w:rsidR="003474F2" w:rsidRPr="001A3D2B" w:rsidRDefault="00AA25A4" w:rsidP="003474F2">
      <w:pPr>
        <w:pStyle w:val="12"/>
      </w:pPr>
      <w:r w:rsidRPr="001A3D2B">
        <w:t>Journal Country/Territory:</w:t>
      </w:r>
      <w:r w:rsidR="008F46E9" w:rsidRPr="001A3D2B">
        <w:t xml:space="preserve"> </w:t>
      </w:r>
      <w:r w:rsidR="003474F2" w:rsidRPr="001A3D2B">
        <w:t>United States</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Medical Library Assoc</w:t>
      </w:r>
    </w:p>
    <w:p w:rsidR="003474F2" w:rsidRPr="001A3D2B" w:rsidRDefault="003474F2" w:rsidP="003474F2">
      <w:pPr>
        <w:pStyle w:val="12"/>
      </w:pPr>
      <w:r w:rsidRPr="001A3D2B">
        <w:t xml:space="preserve">Publisher Address: </w:t>
      </w:r>
      <w:smartTag w:uri="urn:schemas-microsoft-com:office:smarttags" w:element="address">
        <w:smartTag w:uri="urn:schemas-microsoft-com:office:smarttags" w:element="Street">
          <w:r w:rsidRPr="001A3D2B">
            <w:t>65 East Wacker Place, Ste 1900</w:t>
          </w:r>
        </w:smartTag>
        <w:r w:rsidRPr="001A3D2B">
          <w:t xml:space="preserve">, </w:t>
        </w:r>
        <w:smartTag w:uri="urn:schemas-microsoft-com:office:smarttags" w:element="City">
          <w:r w:rsidRPr="001A3D2B">
            <w:t>Chicago</w:t>
          </w:r>
        </w:smartTag>
        <w:r w:rsidRPr="001A3D2B">
          <w:t xml:space="preserve">, </w:t>
        </w:r>
        <w:smartTag w:uri="urn:schemas-microsoft-com:office:smarttags" w:element="State">
          <w:r w:rsidRPr="001A3D2B">
            <w:t>IL</w:t>
          </w:r>
        </w:smartTag>
        <w:r w:rsidRPr="001A3D2B">
          <w:t xml:space="preserve"> </w:t>
        </w:r>
        <w:smartTag w:uri="urn:schemas-microsoft-com:office:smarttags" w:element="PostalCode">
          <w:r w:rsidRPr="001A3D2B">
            <w:t>60601-7298</w:t>
          </w:r>
        </w:smartTag>
      </w:smartTag>
    </w:p>
    <w:p w:rsidR="003474F2" w:rsidRPr="001A3D2B" w:rsidRDefault="003474F2" w:rsidP="003474F2">
      <w:pPr>
        <w:pStyle w:val="12"/>
      </w:pPr>
      <w:r w:rsidRPr="001A3D2B">
        <w:t>Subject Categories:</w:t>
      </w:r>
    </w:p>
    <w:p w:rsidR="003474F2" w:rsidRPr="001A3D2B" w:rsidRDefault="003474F2" w:rsidP="003474F2">
      <w:pPr>
        <w:pStyle w:val="12"/>
      </w:pPr>
      <w:r w:rsidRPr="001A3D2B">
        <w:t xml:space="preserve">Information Science &amp; Library Science: Impact Factor 0.343, 32/55 (2000); Impact Factor 0.625, 18/55 (2001) </w:t>
      </w:r>
      <w:r w:rsidR="00D5664A">
        <w:t>SSCI</w:t>
      </w:r>
    </w:p>
    <w:p w:rsidR="003474F2" w:rsidRPr="001A3D2B" w:rsidRDefault="003474F2" w:rsidP="003474F2">
      <w:pPr>
        <w:pStyle w:val="a3"/>
      </w:pPr>
      <w:r w:rsidRPr="001A3D2B">
        <w:t xml:space="preserve">Brodman, E. (1944), Choosing physiology journals.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32</w:t>
      </w:r>
      <w:r w:rsidRPr="001A3D2B">
        <w:t xml:space="preserve"> (4), 479-483.</w:t>
      </w:r>
    </w:p>
    <w:p w:rsidR="003474F2" w:rsidRPr="001A3D2B" w:rsidRDefault="003474F2" w:rsidP="003474F2">
      <w:pPr>
        <w:pStyle w:val="a3"/>
      </w:pPr>
      <w:r w:rsidRPr="001A3D2B">
        <w:t xml:space="preserve">Full Text: </w:t>
      </w:r>
      <w:hyperlink r:id="rId2097" w:history="1">
        <w:r w:rsidRPr="001A3D2B">
          <w:rPr>
            <w:rStyle w:val="a5"/>
          </w:rPr>
          <w:t>-1959\Bul Med Lib Ass32, 479.pdf</w:t>
        </w:r>
      </w:hyperlink>
    </w:p>
    <w:p w:rsidR="00475305" w:rsidRDefault="00475305" w:rsidP="00475305">
      <w:pPr>
        <w:pStyle w:val="a3"/>
        <w:rPr>
          <w:kern w:val="0"/>
        </w:rPr>
      </w:pPr>
      <w:r>
        <w:rPr>
          <w:rFonts w:hint="eastAsia"/>
          <w:kern w:val="0"/>
        </w:rPr>
        <w:t xml:space="preserve">? </w:t>
      </w:r>
      <w:r>
        <w:rPr>
          <w:kern w:val="0"/>
        </w:rPr>
        <w:t>Brodman, E. (1957), Scientific serials - Characteristics</w:t>
      </w:r>
      <w:r w:rsidR="005853A9">
        <w:rPr>
          <w:kern w:val="0"/>
        </w:rPr>
        <w:t xml:space="preserve"> and </w:t>
      </w:r>
      <w:r>
        <w:rPr>
          <w:kern w:val="0"/>
        </w:rPr>
        <w:t>lists</w:t>
      </w:r>
      <w:r w:rsidR="00427468">
        <w:rPr>
          <w:kern w:val="0"/>
        </w:rPr>
        <w:t xml:space="preserve"> of </w:t>
      </w:r>
      <w:r>
        <w:rPr>
          <w:kern w:val="0"/>
        </w:rPr>
        <w:t>most cited publications in mathematics, physics, chemistry, geology, physiology, botany, zoology,</w:t>
      </w:r>
      <w:r w:rsidR="005853A9">
        <w:rPr>
          <w:kern w:val="0"/>
        </w:rPr>
        <w:t xml:space="preserve"> and </w:t>
      </w:r>
      <w:r>
        <w:rPr>
          <w:kern w:val="0"/>
        </w:rPr>
        <w:t>entomology - Brown,</w:t>
      </w:r>
      <w:r>
        <w:rPr>
          <w:rFonts w:hint="eastAsia"/>
          <w:kern w:val="0"/>
        </w:rPr>
        <w:t xml:space="preserve"> </w:t>
      </w:r>
      <w:r>
        <w:rPr>
          <w:kern w:val="0"/>
        </w:rPr>
        <w:t xml:space="preserve">CH. </w:t>
      </w:r>
      <w:r>
        <w:rPr>
          <w:i/>
          <w:iCs/>
          <w:kern w:val="0"/>
        </w:rPr>
        <w:t>Bulletin</w:t>
      </w:r>
      <w:r w:rsidR="00427468">
        <w:rPr>
          <w:i/>
          <w:iCs/>
          <w:kern w:val="0"/>
        </w:rPr>
        <w:t xml:space="preserve"> of </w:t>
      </w:r>
      <w:r w:rsidR="003A1917">
        <w:rPr>
          <w:i/>
          <w:iCs/>
          <w:kern w:val="0"/>
        </w:rPr>
        <w:t xml:space="preserve">the </w:t>
      </w:r>
      <w:r>
        <w:rPr>
          <w:i/>
          <w:iCs/>
          <w:kern w:val="0"/>
        </w:rPr>
        <w:t>Medical Library Association</w:t>
      </w:r>
      <w:r>
        <w:rPr>
          <w:kern w:val="0"/>
        </w:rPr>
        <w:t xml:space="preserve">, </w:t>
      </w:r>
      <w:r>
        <w:rPr>
          <w:b/>
          <w:bCs/>
          <w:kern w:val="0"/>
        </w:rPr>
        <w:t>45</w:t>
      </w:r>
      <w:r>
        <w:rPr>
          <w:kern w:val="0"/>
        </w:rPr>
        <w:t xml:space="preserve"> (1), 114-115</w:t>
      </w:r>
      <w:r>
        <w:rPr>
          <w:rFonts w:hint="eastAsia"/>
          <w:kern w:val="0"/>
        </w:rPr>
        <w:t>.</w:t>
      </w:r>
    </w:p>
    <w:p w:rsidR="00475305" w:rsidRPr="001A3D2B" w:rsidRDefault="00475305" w:rsidP="00475305">
      <w:pPr>
        <w:pStyle w:val="a3"/>
      </w:pPr>
      <w:r>
        <w:t>Full Text:</w:t>
      </w:r>
      <w:r w:rsidRPr="001A3D2B">
        <w:t xml:space="preserve"> </w:t>
      </w:r>
      <w:hyperlink r:id="rId2098" w:history="1">
        <w:r w:rsidRPr="00475305">
          <w:rPr>
            <w:rStyle w:val="a5"/>
          </w:rPr>
          <w:t>-1959\Bul Med Lib Ass45, 114.pdf</w:t>
        </w:r>
      </w:hyperlink>
    </w:p>
    <w:p w:rsidR="00475305" w:rsidRDefault="00475305" w:rsidP="00475305">
      <w:pPr>
        <w:pStyle w:val="a3"/>
        <w:rPr>
          <w:kern w:val="0"/>
        </w:rPr>
      </w:pPr>
      <w:r>
        <w:rPr>
          <w:kern w:val="0"/>
        </w:rPr>
        <w:t>Keywords: Characteristics, Chemistry, Mathematics, Physics, Publications, Serials</w:t>
      </w:r>
    </w:p>
    <w:p w:rsidR="003474F2" w:rsidRPr="001A3D2B" w:rsidRDefault="003474F2" w:rsidP="003474F2">
      <w:pPr>
        <w:pStyle w:val="a3"/>
      </w:pPr>
      <w:r w:rsidRPr="001A3D2B">
        <w:t>Kronick, D.A. (1958), Literature citations, a clinico-pathological study, with</w:t>
      </w:r>
      <w:r w:rsidR="003A1917">
        <w:t xml:space="preserve"> the </w:t>
      </w:r>
      <w:r w:rsidRPr="001A3D2B">
        <w:t>presentation</w:t>
      </w:r>
      <w:r w:rsidR="00427468">
        <w:t xml:space="preserve"> of </w:t>
      </w:r>
      <w:r w:rsidRPr="001A3D2B">
        <w:t xml:space="preserve">three cases.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46</w:t>
      </w:r>
      <w:r w:rsidRPr="001A3D2B">
        <w:t xml:space="preserve"> (2), 219-223.</w:t>
      </w:r>
    </w:p>
    <w:p w:rsidR="003474F2" w:rsidRPr="001A3D2B" w:rsidRDefault="003474F2" w:rsidP="003474F2">
      <w:pPr>
        <w:pStyle w:val="a3"/>
      </w:pPr>
      <w:r w:rsidRPr="001A3D2B">
        <w:t xml:space="preserve">Full Text: </w:t>
      </w:r>
      <w:hyperlink r:id="rId2099" w:history="1">
        <w:r w:rsidRPr="001A3D2B">
          <w:rPr>
            <w:rStyle w:val="a5"/>
          </w:rPr>
          <w:t>-1959\Bul Med Lib Ass46, 219.pdf</w:t>
        </w:r>
      </w:hyperlink>
    </w:p>
    <w:p w:rsidR="003474F2" w:rsidRPr="001A3D2B" w:rsidRDefault="003474F2" w:rsidP="003474F2">
      <w:pPr>
        <w:pStyle w:val="a3"/>
      </w:pPr>
      <w:r w:rsidRPr="001A3D2B">
        <w:t xml:space="preserve">? Raisig, L.M. (1962), Statistical bibliography in health sciences.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50</w:t>
      </w:r>
      <w:r w:rsidRPr="001A3D2B">
        <w:t xml:space="preserve"> (3), 450-461.</w:t>
      </w:r>
    </w:p>
    <w:p w:rsidR="00B5119E" w:rsidRPr="00FC7835" w:rsidRDefault="00B5119E" w:rsidP="00B5119E">
      <w:pPr>
        <w:pStyle w:val="a3"/>
        <w:rPr>
          <w:kern w:val="2"/>
        </w:rPr>
      </w:pPr>
      <w:r>
        <w:t>Full Text:</w:t>
      </w:r>
      <w:r w:rsidRPr="00FC7835">
        <w:t xml:space="preserve"> </w:t>
      </w:r>
      <w:hyperlink r:id="rId2100" w:history="1">
        <w:r w:rsidRPr="00FC7835">
          <w:rPr>
            <w:rStyle w:val="a5"/>
          </w:rPr>
          <w:t>1960-80\Bul Med Lib Ass50</w:t>
        </w:r>
        <w:r>
          <w:rPr>
            <w:rStyle w:val="a5"/>
          </w:rPr>
          <w:t xml:space="preserve">, </w:t>
        </w:r>
        <w:r w:rsidRPr="00FC7835">
          <w:rPr>
            <w:rStyle w:val="a5"/>
          </w:rPr>
          <w:t>450.pdf</w:t>
        </w:r>
      </w:hyperlink>
    </w:p>
    <w:p w:rsidR="003474F2" w:rsidRPr="001A3D2B" w:rsidRDefault="00B5119E" w:rsidP="003474F2">
      <w:pPr>
        <w:pStyle w:val="a3"/>
      </w:pPr>
      <w:r w:rsidRPr="001A3D2B">
        <w:t>Abstract</w:t>
      </w:r>
      <w:r w:rsidR="003474F2" w:rsidRPr="001A3D2B">
        <w:t>: Relatively few studies have been concerned with</w:t>
      </w:r>
      <w:r w:rsidR="003A1917">
        <w:t xml:space="preserve"> the </w:t>
      </w:r>
      <w:r w:rsidR="003474F2" w:rsidRPr="001A3D2B">
        <w:t>use</w:t>
      </w:r>
      <w:r w:rsidR="00427468">
        <w:t xml:space="preserve"> of </w:t>
      </w:r>
      <w:r w:rsidR="003474F2" w:rsidRPr="001A3D2B">
        <w:t>biomedical books. This paper reports an investigation into use made</w:t>
      </w:r>
      <w:r w:rsidR="00427468">
        <w:t xml:space="preserve"> of </w:t>
      </w:r>
      <w:r w:rsidR="003474F2" w:rsidRPr="001A3D2B">
        <w:t>library books by biomedical investigators. Based on cancelled charge slips collected at</w:t>
      </w:r>
      <w:r w:rsidR="003A1917">
        <w:t xml:space="preserve"> the </w:t>
      </w:r>
      <w:r w:rsidR="003474F2" w:rsidRPr="001A3D2B">
        <w:t>Yale Medical Library circulation desk, telephone appointments were made to interview those research investigators whose books had been returned</w:t>
      </w:r>
      <w:r w:rsidR="003A1917">
        <w:t xml:space="preserve"> the </w:t>
      </w:r>
      <w:r w:rsidR="003474F2" w:rsidRPr="001A3D2B">
        <w:t>previous day</w:t>
      </w:r>
      <w:r w:rsidR="00A37C1D">
        <w:t>. The</w:t>
      </w:r>
      <w:r w:rsidR="003A1917">
        <w:t xml:space="preserve"> </w:t>
      </w:r>
      <w:r w:rsidR="003474F2" w:rsidRPr="001A3D2B">
        <w:t xml:space="preserve">interviewer </w:t>
      </w:r>
      <w:r w:rsidR="003474F2" w:rsidRPr="001A3D2B">
        <w:lastRenderedPageBreak/>
        <w:t>obtained answers from</w:t>
      </w:r>
      <w:r w:rsidR="003A1917">
        <w:t xml:space="preserve"> the </w:t>
      </w:r>
      <w:r w:rsidR="003474F2" w:rsidRPr="001A3D2B">
        <w:t>investigator to a questionnaire to discover how</w:t>
      </w:r>
      <w:r w:rsidR="003A1917">
        <w:t xml:space="preserve"> the </w:t>
      </w:r>
      <w:r w:rsidR="003474F2" w:rsidRPr="001A3D2B">
        <w:t>investigator had learned</w:t>
      </w:r>
      <w:r w:rsidR="00427468">
        <w:t xml:space="preserve"> of </w:t>
      </w:r>
      <w:r w:rsidR="003474F2" w:rsidRPr="001A3D2B">
        <w:t>a book, if</w:t>
      </w:r>
      <w:r w:rsidR="003A1917">
        <w:t xml:space="preserve"> the </w:t>
      </w:r>
      <w:r w:rsidR="003474F2" w:rsidRPr="001A3D2B">
        <w:t>book had been useful, and, if useful, how it had been used. During</w:t>
      </w:r>
      <w:r w:rsidR="003A1917">
        <w:t xml:space="preserve"> the </w:t>
      </w:r>
      <w:r w:rsidR="003474F2" w:rsidRPr="001A3D2B">
        <w:t>six-month study period, 30.4 percent</w:t>
      </w:r>
      <w:r w:rsidR="00427468">
        <w:t xml:space="preserve"> of </w:t>
      </w:r>
      <w:r w:rsidR="003474F2" w:rsidRPr="001A3D2B">
        <w:t>researchers</w:t>
      </w:r>
      <w:r w:rsidR="00700038">
        <w:t>’</w:t>
      </w:r>
      <w:r w:rsidR="003474F2" w:rsidRPr="001A3D2B">
        <w:t xml:space="preserve"> volumes returned were monographs. Almost four-fifths</w:t>
      </w:r>
      <w:r w:rsidR="00427468">
        <w:t xml:space="preserve"> of </w:t>
      </w:r>
      <w:r w:rsidR="003474F2" w:rsidRPr="001A3D2B">
        <w:t>books borrowed supplied information wanted,</w:t>
      </w:r>
      <w:r w:rsidR="005853A9">
        <w:t xml:space="preserve"> and </w:t>
      </w:r>
      <w:r w:rsidR="003474F2" w:rsidRPr="001A3D2B">
        <w:t>about four-fifths</w:t>
      </w:r>
      <w:r w:rsidR="00427468">
        <w:t xml:space="preserve"> of </w:t>
      </w:r>
      <w:r w:rsidR="003474F2" w:rsidRPr="001A3D2B">
        <w:t>books used had been printed in</w:t>
      </w:r>
      <w:r w:rsidR="003A1917">
        <w:t xml:space="preserve"> the </w:t>
      </w:r>
      <w:r w:rsidR="003474F2" w:rsidRPr="001A3D2B">
        <w:t>previous decade. Nine-tenths</w:t>
      </w:r>
      <w:r w:rsidR="00427468">
        <w:t xml:space="preserve"> of </w:t>
      </w:r>
      <w:r w:rsidR="003A1917">
        <w:t xml:space="preserve">the </w:t>
      </w:r>
      <w:r w:rsidR="003474F2" w:rsidRPr="001A3D2B">
        <w:t>use</w:t>
      </w:r>
      <w:r w:rsidR="00427468">
        <w:t xml:space="preserve"> of </w:t>
      </w:r>
      <w:r w:rsidR="003474F2" w:rsidRPr="001A3D2B">
        <w:t>books was research-related,</w:t>
      </w:r>
      <w:r w:rsidR="003A1917">
        <w:t xml:space="preserve"> the </w:t>
      </w:r>
      <w:r w:rsidR="003474F2" w:rsidRPr="001A3D2B">
        <w:t>other tenth being for lecture preparation.</w:t>
      </w:r>
    </w:p>
    <w:p w:rsidR="00AE68D3" w:rsidRPr="001A3D2B" w:rsidRDefault="00AE68D3" w:rsidP="00AE68D3">
      <w:pPr>
        <w:pStyle w:val="a3"/>
      </w:pPr>
      <w:r w:rsidRPr="001A3D2B">
        <w:t xml:space="preserve">? Pizer, I.H. (1964), Science Citation Index 1964 - Inst-SCI-Informat.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52</w:t>
      </w:r>
      <w:r w:rsidRPr="001A3D2B">
        <w:t xml:space="preserve"> (3), 629-632.</w:t>
      </w:r>
    </w:p>
    <w:p w:rsidR="00B5119E" w:rsidRPr="001A3D2B" w:rsidRDefault="00B5119E" w:rsidP="00B5119E">
      <w:pPr>
        <w:pStyle w:val="a3"/>
      </w:pPr>
      <w:r>
        <w:t>Full Text:</w:t>
      </w:r>
      <w:r w:rsidRPr="001A3D2B">
        <w:t xml:space="preserve"> </w:t>
      </w:r>
      <w:hyperlink r:id="rId2101" w:history="1">
        <w:r w:rsidRPr="00171555">
          <w:rPr>
            <w:rStyle w:val="a5"/>
          </w:rPr>
          <w:t>1960-80\Bul Med Lib Ass52, 629.pdf</w:t>
        </w:r>
      </w:hyperlink>
    </w:p>
    <w:p w:rsidR="00AE68D3" w:rsidRPr="001A3D2B" w:rsidRDefault="00AE68D3" w:rsidP="00AE68D3">
      <w:pPr>
        <w:pStyle w:val="a3"/>
      </w:pPr>
      <w:r w:rsidRPr="001A3D2B">
        <w:t>Keywords: Citation, Science Citation Index</w:t>
      </w:r>
    </w:p>
    <w:p w:rsidR="00AE68D3" w:rsidRPr="00FC7835" w:rsidRDefault="00AE68D3" w:rsidP="00AE68D3">
      <w:pPr>
        <w:pStyle w:val="a3"/>
        <w:rPr>
          <w:kern w:val="0"/>
        </w:rPr>
      </w:pPr>
      <w:r w:rsidRPr="00FC7835">
        <w:rPr>
          <w:kern w:val="0"/>
        </w:rPr>
        <w:t>? Raisig</w:t>
      </w:r>
      <w:r>
        <w:rPr>
          <w:kern w:val="0"/>
        </w:rPr>
        <w:t xml:space="preserve">, </w:t>
      </w:r>
      <w:r w:rsidRPr="00FC7835">
        <w:rPr>
          <w:kern w:val="0"/>
        </w:rPr>
        <w:t>L.M.</w:t>
      </w:r>
      <w:r>
        <w:rPr>
          <w:kern w:val="0"/>
        </w:rPr>
        <w:t xml:space="preserve">, </w:t>
      </w:r>
      <w:r w:rsidRPr="00FC7835">
        <w:rPr>
          <w:kern w:val="0"/>
        </w:rPr>
        <w:t>Smith</w:t>
      </w:r>
      <w:r>
        <w:rPr>
          <w:kern w:val="0"/>
        </w:rPr>
        <w:t xml:space="preserve">, </w:t>
      </w:r>
      <w:r w:rsidRPr="00FC7835">
        <w:rPr>
          <w:kern w:val="0"/>
        </w:rPr>
        <w:t>M.</w:t>
      </w:r>
      <w:r>
        <w:rPr>
          <w:kern w:val="0"/>
        </w:rPr>
        <w:t xml:space="preserve">, </w:t>
      </w:r>
      <w:r w:rsidRPr="00FC7835">
        <w:rPr>
          <w:kern w:val="0"/>
        </w:rPr>
        <w:t>Cuff</w:t>
      </w:r>
      <w:r>
        <w:rPr>
          <w:kern w:val="0"/>
        </w:rPr>
        <w:t xml:space="preserve">, </w:t>
      </w:r>
      <w:r w:rsidRPr="00FC7835">
        <w:rPr>
          <w:kern w:val="0"/>
        </w:rPr>
        <w:t>R.</w:t>
      </w:r>
      <w:r w:rsidR="005853A9">
        <w:rPr>
          <w:kern w:val="0"/>
        </w:rPr>
        <w:t xml:space="preserve"> and </w:t>
      </w:r>
      <w:r w:rsidRPr="00FC7835">
        <w:rPr>
          <w:kern w:val="0"/>
        </w:rPr>
        <w:t>Kilgour</w:t>
      </w:r>
      <w:r>
        <w:rPr>
          <w:kern w:val="0"/>
        </w:rPr>
        <w:t xml:space="preserve">, </w:t>
      </w:r>
      <w:r w:rsidRPr="00FC7835">
        <w:rPr>
          <w:kern w:val="0"/>
        </w:rPr>
        <w:t>F.G. (1966)</w:t>
      </w:r>
      <w:r>
        <w:rPr>
          <w:kern w:val="0"/>
        </w:rPr>
        <w:t xml:space="preserve">, </w:t>
      </w:r>
      <w:r w:rsidRPr="00FC7835">
        <w:rPr>
          <w:kern w:val="0"/>
        </w:rPr>
        <w:t xml:space="preserve">How biomedical investigators use library books. </w:t>
      </w:r>
      <w:r w:rsidRPr="00FC7835">
        <w:rPr>
          <w:i/>
          <w:iCs/>
          <w:kern w:val="0"/>
        </w:rPr>
        <w:t>Bulletin</w:t>
      </w:r>
      <w:r w:rsidR="00427468">
        <w:rPr>
          <w:i/>
          <w:iCs/>
          <w:kern w:val="0"/>
        </w:rPr>
        <w:t xml:space="preserve"> of </w:t>
      </w:r>
      <w:r w:rsidR="003A1917">
        <w:rPr>
          <w:i/>
          <w:iCs/>
          <w:kern w:val="0"/>
        </w:rPr>
        <w:t xml:space="preserve">the </w:t>
      </w:r>
      <w:r w:rsidRPr="00FC7835">
        <w:rPr>
          <w:i/>
          <w:iCs/>
          <w:kern w:val="0"/>
        </w:rPr>
        <w:t>Medical Library Association</w:t>
      </w:r>
      <w:r>
        <w:rPr>
          <w:kern w:val="0"/>
        </w:rPr>
        <w:t xml:space="preserve">, </w:t>
      </w:r>
      <w:r w:rsidRPr="00FC7835">
        <w:rPr>
          <w:b/>
          <w:bCs/>
          <w:kern w:val="0"/>
        </w:rPr>
        <w:t>54</w:t>
      </w:r>
      <w:r w:rsidRPr="00FC7835">
        <w:rPr>
          <w:kern w:val="0"/>
        </w:rPr>
        <w:t xml:space="preserve"> (2)</w:t>
      </w:r>
      <w:r>
        <w:rPr>
          <w:kern w:val="0"/>
        </w:rPr>
        <w:t xml:space="preserve">, </w:t>
      </w:r>
      <w:r w:rsidRPr="00FC7835">
        <w:rPr>
          <w:kern w:val="0"/>
        </w:rPr>
        <w:t>104-107.</w:t>
      </w:r>
    </w:p>
    <w:p w:rsidR="00B5119E" w:rsidRPr="00FC7835" w:rsidRDefault="00B5119E" w:rsidP="00B5119E">
      <w:pPr>
        <w:pStyle w:val="a3"/>
        <w:rPr>
          <w:kern w:val="2"/>
        </w:rPr>
      </w:pPr>
      <w:r>
        <w:t>Full Text:</w:t>
      </w:r>
      <w:r w:rsidRPr="00FC7835">
        <w:t xml:space="preserve"> </w:t>
      </w:r>
      <w:hyperlink r:id="rId2102" w:history="1">
        <w:r w:rsidRPr="00FC7835">
          <w:rPr>
            <w:rStyle w:val="a5"/>
          </w:rPr>
          <w:t>1960-80\Bul Med Lib Ass54</w:t>
        </w:r>
        <w:r>
          <w:rPr>
            <w:rStyle w:val="a5"/>
          </w:rPr>
          <w:t xml:space="preserve">, </w:t>
        </w:r>
        <w:r w:rsidRPr="00FC7835">
          <w:rPr>
            <w:rStyle w:val="a5"/>
          </w:rPr>
          <w:t>104.pdf</w:t>
        </w:r>
      </w:hyperlink>
    </w:p>
    <w:p w:rsidR="00AE68D3" w:rsidRPr="00FC7835" w:rsidRDefault="00AE68D3" w:rsidP="00AE68D3">
      <w:pPr>
        <w:pStyle w:val="a3"/>
      </w:pPr>
      <w:r w:rsidRPr="00FC7835">
        <w:t>Abstrct: Relatively few studies have been concerned with</w:t>
      </w:r>
      <w:r w:rsidR="003A1917">
        <w:t xml:space="preserve"> the </w:t>
      </w:r>
      <w:r w:rsidRPr="00FC7835">
        <w:t>use</w:t>
      </w:r>
      <w:r w:rsidR="00427468">
        <w:t xml:space="preserve"> of </w:t>
      </w:r>
      <w:r w:rsidRPr="00FC7835">
        <w:t>biomedical books. This paper reports an investigation into use made</w:t>
      </w:r>
      <w:r w:rsidR="00427468">
        <w:t xml:space="preserve"> of </w:t>
      </w:r>
      <w:r w:rsidRPr="00FC7835">
        <w:t>library books by biomedical investigators. Based on cancelled charge slips collected at</w:t>
      </w:r>
      <w:r w:rsidR="003A1917">
        <w:t xml:space="preserve"> the </w:t>
      </w:r>
      <w:r w:rsidRPr="00FC7835">
        <w:t>Yale Medical Library circulation desk</w:t>
      </w:r>
      <w:r>
        <w:t xml:space="preserve">, </w:t>
      </w:r>
      <w:r w:rsidRPr="00FC7835">
        <w:t>telephone appointments were made to interview those research investigators whose books had been returned</w:t>
      </w:r>
      <w:r w:rsidR="003A1917">
        <w:t xml:space="preserve"> the </w:t>
      </w:r>
      <w:r w:rsidRPr="00FC7835">
        <w:t>previous day</w:t>
      </w:r>
      <w:r w:rsidR="00A37C1D">
        <w:t>. The</w:t>
      </w:r>
      <w:r w:rsidR="003A1917">
        <w:t xml:space="preserve"> </w:t>
      </w:r>
      <w:r w:rsidRPr="00FC7835">
        <w:t>interviewer obtained answers from</w:t>
      </w:r>
      <w:r w:rsidR="003A1917">
        <w:t xml:space="preserve"> the </w:t>
      </w:r>
      <w:r w:rsidRPr="00FC7835">
        <w:t>investigator to a questionnaire to discover how</w:t>
      </w:r>
      <w:r w:rsidR="003A1917">
        <w:t xml:space="preserve"> the </w:t>
      </w:r>
      <w:r w:rsidRPr="00FC7835">
        <w:t>investigator had learned</w:t>
      </w:r>
      <w:r w:rsidR="00427468">
        <w:t xml:space="preserve"> of </w:t>
      </w:r>
      <w:r w:rsidRPr="00FC7835">
        <w:t>a book</w:t>
      </w:r>
      <w:r>
        <w:t xml:space="preserve">, </w:t>
      </w:r>
      <w:r w:rsidRPr="00FC7835">
        <w:t>if</w:t>
      </w:r>
      <w:r w:rsidR="003A1917">
        <w:t xml:space="preserve"> the </w:t>
      </w:r>
      <w:r w:rsidRPr="00FC7835">
        <w:t>book had been useful</w:t>
      </w:r>
      <w:r>
        <w:t xml:space="preserve">, </w:t>
      </w:r>
      <w:r w:rsidRPr="00FC7835">
        <w:t>and</w:t>
      </w:r>
      <w:r>
        <w:t xml:space="preserve">, </w:t>
      </w:r>
      <w:r w:rsidRPr="00FC7835">
        <w:t>if useful</w:t>
      </w:r>
      <w:r>
        <w:t xml:space="preserve">, </w:t>
      </w:r>
      <w:r w:rsidRPr="00FC7835">
        <w:t>how it had been used. During</w:t>
      </w:r>
      <w:r w:rsidR="003A1917">
        <w:t xml:space="preserve"> the </w:t>
      </w:r>
      <w:r w:rsidRPr="00FC7835">
        <w:t>six-month study period</w:t>
      </w:r>
      <w:r>
        <w:t xml:space="preserve">, </w:t>
      </w:r>
      <w:r w:rsidRPr="00FC7835">
        <w:t>30.4 percent</w:t>
      </w:r>
      <w:r w:rsidR="00427468">
        <w:t xml:space="preserve"> of </w:t>
      </w:r>
      <w:r w:rsidRPr="00FC7835">
        <w:t>researchers</w:t>
      </w:r>
      <w:r w:rsidR="00700038">
        <w:t>’</w:t>
      </w:r>
      <w:r w:rsidRPr="00FC7835">
        <w:t xml:space="preserve"> volumes returned were monographs. Almost four-fifths</w:t>
      </w:r>
      <w:r w:rsidR="00427468">
        <w:t xml:space="preserve"> of </w:t>
      </w:r>
      <w:r w:rsidRPr="00FC7835">
        <w:t>books borrowed supplied information wanted</w:t>
      </w:r>
      <w:r>
        <w:t>,</w:t>
      </w:r>
      <w:r w:rsidR="005853A9">
        <w:t xml:space="preserve"> and </w:t>
      </w:r>
      <w:r w:rsidRPr="00FC7835">
        <w:t>about four-fifths</w:t>
      </w:r>
      <w:r w:rsidR="00427468">
        <w:t xml:space="preserve"> of </w:t>
      </w:r>
      <w:r w:rsidRPr="00FC7835">
        <w:t>books used had been printed in</w:t>
      </w:r>
      <w:r w:rsidR="003A1917">
        <w:t xml:space="preserve"> the </w:t>
      </w:r>
      <w:r w:rsidRPr="00FC7835">
        <w:t>previous decade. Nine-tenths</w:t>
      </w:r>
      <w:r w:rsidR="00427468">
        <w:t xml:space="preserve"> of </w:t>
      </w:r>
      <w:r w:rsidR="003A1917">
        <w:t xml:space="preserve">the </w:t>
      </w:r>
      <w:r w:rsidRPr="00FC7835">
        <w:t>use</w:t>
      </w:r>
      <w:r w:rsidR="00427468">
        <w:t xml:space="preserve"> of </w:t>
      </w:r>
      <w:r w:rsidRPr="00FC7835">
        <w:t>books was research-related</w:t>
      </w:r>
      <w:r>
        <w:t>,</w:t>
      </w:r>
      <w:r w:rsidR="003A1917">
        <w:t xml:space="preserve"> the </w:t>
      </w:r>
      <w:r w:rsidRPr="00FC7835">
        <w:t>other tenth being for lecture preparation.</w:t>
      </w:r>
    </w:p>
    <w:p w:rsidR="00AE68D3" w:rsidRPr="00FC7835" w:rsidRDefault="00AE68D3" w:rsidP="00AE68D3">
      <w:pPr>
        <w:pStyle w:val="a3"/>
        <w:rPr>
          <w:kern w:val="0"/>
        </w:rPr>
      </w:pPr>
      <w:r w:rsidRPr="00FC7835">
        <w:rPr>
          <w:kern w:val="0"/>
        </w:rPr>
        <w:t>? Raisig</w:t>
      </w:r>
      <w:r>
        <w:rPr>
          <w:kern w:val="0"/>
        </w:rPr>
        <w:t xml:space="preserve">, </w:t>
      </w:r>
      <w:r w:rsidRPr="00FC7835">
        <w:rPr>
          <w:kern w:val="0"/>
        </w:rPr>
        <w:t>L.M. (1966)</w:t>
      </w:r>
      <w:r>
        <w:rPr>
          <w:kern w:val="0"/>
        </w:rPr>
        <w:t xml:space="preserve">, </w:t>
      </w:r>
      <w:r w:rsidRPr="00FC7835">
        <w:rPr>
          <w:kern w:val="0"/>
        </w:rPr>
        <w:t>World biomedical journals 1951-60: A study</w:t>
      </w:r>
      <w:r w:rsidR="00427468">
        <w:rPr>
          <w:kern w:val="0"/>
        </w:rPr>
        <w:t xml:space="preserve"> of </w:t>
      </w:r>
      <w:r w:rsidRPr="00FC7835">
        <w:rPr>
          <w:kern w:val="0"/>
        </w:rPr>
        <w:t>relative significance</w:t>
      </w:r>
      <w:r w:rsidR="00427468">
        <w:rPr>
          <w:kern w:val="0"/>
        </w:rPr>
        <w:t xml:space="preserve"> of </w:t>
      </w:r>
      <w:r w:rsidRPr="00FC7835">
        <w:rPr>
          <w:kern w:val="0"/>
        </w:rPr>
        <w:t xml:space="preserve">1388 titles indexed in </w:t>
      </w:r>
      <w:r w:rsidRPr="00FC7835">
        <w:rPr>
          <w:i/>
          <w:kern w:val="0"/>
        </w:rPr>
        <w:t>current list</w:t>
      </w:r>
      <w:r w:rsidR="00427468">
        <w:rPr>
          <w:i/>
          <w:kern w:val="0"/>
        </w:rPr>
        <w:t xml:space="preserve"> of </w:t>
      </w:r>
      <w:r w:rsidRPr="00FC7835">
        <w:rPr>
          <w:i/>
          <w:kern w:val="0"/>
        </w:rPr>
        <w:t>medical literature</w:t>
      </w:r>
      <w:r w:rsidRPr="00FC7835">
        <w:rPr>
          <w:kern w:val="0"/>
        </w:rPr>
        <w:t xml:space="preserve">. </w:t>
      </w:r>
      <w:r w:rsidRPr="00FC7835">
        <w:rPr>
          <w:i/>
          <w:iCs/>
          <w:kern w:val="0"/>
        </w:rPr>
        <w:t>Bulletin</w:t>
      </w:r>
      <w:r w:rsidR="00427468">
        <w:rPr>
          <w:i/>
          <w:iCs/>
          <w:kern w:val="0"/>
        </w:rPr>
        <w:t xml:space="preserve"> of </w:t>
      </w:r>
      <w:r w:rsidR="003A1917">
        <w:rPr>
          <w:i/>
          <w:iCs/>
          <w:kern w:val="0"/>
        </w:rPr>
        <w:t xml:space="preserve">the </w:t>
      </w:r>
      <w:r w:rsidRPr="00FC7835">
        <w:rPr>
          <w:i/>
          <w:iCs/>
          <w:kern w:val="0"/>
        </w:rPr>
        <w:t>Medical Library Association</w:t>
      </w:r>
      <w:r>
        <w:rPr>
          <w:kern w:val="0"/>
        </w:rPr>
        <w:t xml:space="preserve">, </w:t>
      </w:r>
      <w:r w:rsidRPr="00FC7835">
        <w:rPr>
          <w:b/>
          <w:bCs/>
          <w:kern w:val="0"/>
        </w:rPr>
        <w:t>54</w:t>
      </w:r>
      <w:r w:rsidRPr="00FC7835">
        <w:rPr>
          <w:kern w:val="0"/>
        </w:rPr>
        <w:t xml:space="preserve"> (2)</w:t>
      </w:r>
      <w:r>
        <w:rPr>
          <w:kern w:val="0"/>
        </w:rPr>
        <w:t xml:space="preserve">, </w:t>
      </w:r>
      <w:r w:rsidRPr="00FC7835">
        <w:rPr>
          <w:kern w:val="0"/>
        </w:rPr>
        <w:t>108-125.</w:t>
      </w:r>
    </w:p>
    <w:p w:rsidR="00B5119E" w:rsidRPr="00FC7835" w:rsidRDefault="00B5119E" w:rsidP="00B5119E">
      <w:pPr>
        <w:pStyle w:val="a3"/>
        <w:rPr>
          <w:kern w:val="2"/>
        </w:rPr>
      </w:pPr>
      <w:r>
        <w:t>Full Text:</w:t>
      </w:r>
      <w:r w:rsidRPr="00FC7835">
        <w:t xml:space="preserve"> </w:t>
      </w:r>
      <w:hyperlink r:id="rId2103" w:history="1">
        <w:r w:rsidR="00884144" w:rsidRPr="00884144">
          <w:rPr>
            <w:rStyle w:val="a5"/>
          </w:rPr>
          <w:t>1960-80\Bul Med Lib Ass54, 108.pdf</w:t>
        </w:r>
      </w:hyperlink>
    </w:p>
    <w:p w:rsidR="00AE68D3" w:rsidRPr="00FC7835" w:rsidRDefault="00AE68D3" w:rsidP="00AE68D3">
      <w:pPr>
        <w:pStyle w:val="a3"/>
      </w:pPr>
      <w:r w:rsidRPr="00FC7835">
        <w:t>Abstract: This study is an application</w:t>
      </w:r>
      <w:r w:rsidR="00427468">
        <w:t xml:space="preserve"> of </w:t>
      </w:r>
      <w:r w:rsidR="003A1917">
        <w:t xml:space="preserve">the </w:t>
      </w:r>
      <w:r w:rsidRPr="00FC7835">
        <w:t>relationship</w:t>
      </w:r>
      <w:r w:rsidR="00427468">
        <w:t xml:space="preserve"> of </w:t>
      </w:r>
      <w:r w:rsidRPr="00FC7835">
        <w:t>serial articles published to serial articles cited</w:t>
      </w:r>
      <w:r>
        <w:t xml:space="preserve">, </w:t>
      </w:r>
      <w:r w:rsidRPr="00FC7835">
        <w:t>developed in theory in</w:t>
      </w:r>
      <w:r w:rsidR="003A1917">
        <w:t xml:space="preserve"> the </w:t>
      </w:r>
      <w:r w:rsidRPr="00FC7835">
        <w:t>author</w:t>
      </w:r>
      <w:r w:rsidR="00700038">
        <w:t>’</w:t>
      </w:r>
      <w:r w:rsidR="00C13DDC">
        <w:t>s</w:t>
      </w:r>
      <w:r w:rsidRPr="00FC7835">
        <w:t xml:space="preserve"> </w:t>
      </w:r>
      <w:r w:rsidR="00B5188C">
        <w:t>“</w:t>
      </w:r>
      <w:r w:rsidRPr="00FC7835">
        <w:t>Statistical Bibliography in</w:t>
      </w:r>
      <w:r w:rsidR="003A1917">
        <w:t xml:space="preserve"> the </w:t>
      </w:r>
      <w:r w:rsidRPr="00FC7835">
        <w:t>Health Sciences</w:t>
      </w:r>
      <w:r w:rsidR="00B5188C">
        <w:t>”</w:t>
      </w:r>
      <w:r w:rsidRPr="00FC7835">
        <w:t xml:space="preserve"> (Bulletin 50: 450-461</w:t>
      </w:r>
      <w:r>
        <w:t xml:space="preserve">, </w:t>
      </w:r>
      <w:r w:rsidRPr="00FC7835">
        <w:t>July 1962). A ranked list</w:t>
      </w:r>
      <w:r w:rsidR="00427468">
        <w:t xml:space="preserve"> of </w:t>
      </w:r>
      <w:r w:rsidR="003A1917">
        <w:t xml:space="preserve">the </w:t>
      </w:r>
      <w:r w:rsidRPr="00FC7835">
        <w:t>indexes</w:t>
      </w:r>
      <w:r w:rsidR="00427468">
        <w:t xml:space="preserve"> of </w:t>
      </w:r>
      <w:r w:rsidRPr="00FC7835">
        <w:t>significance</w:t>
      </w:r>
      <w:r w:rsidR="00427468">
        <w:t xml:space="preserve"> of </w:t>
      </w:r>
      <w:r w:rsidRPr="00FC7835">
        <w:t>most</w:t>
      </w:r>
      <w:r w:rsidR="00427468">
        <w:t xml:space="preserve"> of </w:t>
      </w:r>
      <w:r w:rsidR="003A1917">
        <w:t xml:space="preserve">the </w:t>
      </w:r>
      <w:r w:rsidRPr="00FC7835">
        <w:t>serials indexed in Current List</w:t>
      </w:r>
      <w:r w:rsidR="00427468">
        <w:t xml:space="preserve"> of </w:t>
      </w:r>
      <w:r w:rsidRPr="00FC7835">
        <w:t>Medical Literature was derived</w:t>
      </w:r>
      <w:r w:rsidR="005853A9">
        <w:t xml:space="preserve"> and </w:t>
      </w:r>
      <w:r w:rsidRPr="00FC7835">
        <w:t>erected from 21,000 citations secured in a random sampling</w:t>
      </w:r>
      <w:r w:rsidR="00427468">
        <w:t xml:space="preserve"> of </w:t>
      </w:r>
      <w:r w:rsidRPr="00FC7835">
        <w:t>1962</w:t>
      </w:r>
      <w:r w:rsidR="005853A9">
        <w:t xml:space="preserve"> and </w:t>
      </w:r>
      <w:r w:rsidRPr="00FC7835">
        <w:t>1961 biomedical journals regularly received in</w:t>
      </w:r>
      <w:r w:rsidR="003A1917">
        <w:t xml:space="preserve"> the </w:t>
      </w:r>
      <w:r w:rsidRPr="00FC7835">
        <w:t>Yale Medical Library</w:t>
      </w:r>
      <w:r w:rsidR="00A37C1D">
        <w:t>. The</w:t>
      </w:r>
      <w:r w:rsidR="003A1917">
        <w:t xml:space="preserve"> </w:t>
      </w:r>
      <w:r w:rsidRPr="00FC7835">
        <w:t>author measures</w:t>
      </w:r>
      <w:r w:rsidR="003A1917">
        <w:t xml:space="preserve"> the </w:t>
      </w:r>
      <w:r w:rsidRPr="00FC7835">
        <w:t>gross indexing effectiveness</w:t>
      </w:r>
      <w:r w:rsidR="00427468">
        <w:t xml:space="preserve"> of </w:t>
      </w:r>
      <w:r w:rsidRPr="00FC7835">
        <w:t>Current List against his indexes</w:t>
      </w:r>
      <w:r w:rsidR="00427468">
        <w:t xml:space="preserve"> of </w:t>
      </w:r>
      <w:r w:rsidRPr="00FC7835">
        <w:t>significance</w:t>
      </w:r>
      <w:r>
        <w:t xml:space="preserve">, </w:t>
      </w:r>
      <w:r w:rsidRPr="00FC7835">
        <w:t>offers his method</w:t>
      </w:r>
      <w:r w:rsidR="005853A9">
        <w:t xml:space="preserve"> and </w:t>
      </w:r>
      <w:r w:rsidRPr="00FC7835">
        <w:t xml:space="preserve">results as means to reach objective standards </w:t>
      </w:r>
      <w:r w:rsidRPr="00FC7835">
        <w:lastRenderedPageBreak/>
        <w:t>for indexing</w:t>
      </w:r>
      <w:r w:rsidR="005853A9">
        <w:t xml:space="preserve"> and </w:t>
      </w:r>
      <w:r w:rsidRPr="00FC7835">
        <w:t>abstracting</w:t>
      </w:r>
      <w:r>
        <w:t>,</w:t>
      </w:r>
      <w:r w:rsidR="005853A9">
        <w:t xml:space="preserve"> and </w:t>
      </w:r>
      <w:r w:rsidRPr="00FC7835">
        <w:t>projects his results as measures</w:t>
      </w:r>
      <w:r w:rsidR="00427468">
        <w:t xml:space="preserve"> of </w:t>
      </w:r>
      <w:r w:rsidRPr="00FC7835">
        <w:t>general value</w:t>
      </w:r>
      <w:r w:rsidR="00427468">
        <w:t xml:space="preserve"> of </w:t>
      </w:r>
      <w:r w:rsidR="003A1917">
        <w:t xml:space="preserve">the </w:t>
      </w:r>
      <w:r w:rsidRPr="00FC7835">
        <w:t>serials analyzed.</w:t>
      </w:r>
    </w:p>
    <w:p w:rsidR="003474F2" w:rsidRPr="001A3D2B" w:rsidRDefault="003474F2" w:rsidP="003474F2">
      <w:pPr>
        <w:pStyle w:val="a3"/>
      </w:pPr>
      <w:r w:rsidRPr="001A3D2B">
        <w:t>? Raisig, L.M. (1967), Circulation analysis</w:t>
      </w:r>
      <w:r w:rsidR="00427468">
        <w:t xml:space="preserve"> of </w:t>
      </w:r>
      <w:r w:rsidRPr="001A3D2B">
        <w:t xml:space="preserve">serial use: Numbers game or key to service?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55</w:t>
      </w:r>
      <w:r w:rsidRPr="001A3D2B">
        <w:t xml:space="preserve"> (4), 399-407.</w:t>
      </w:r>
    </w:p>
    <w:p w:rsidR="00B5119E" w:rsidRPr="00FC7835" w:rsidRDefault="00B5119E" w:rsidP="00B5119E">
      <w:pPr>
        <w:pStyle w:val="a3"/>
        <w:rPr>
          <w:kern w:val="2"/>
        </w:rPr>
      </w:pPr>
      <w:r>
        <w:t>Full Text:</w:t>
      </w:r>
      <w:r w:rsidRPr="00FC7835">
        <w:t xml:space="preserve"> </w:t>
      </w:r>
      <w:hyperlink r:id="rId2104" w:history="1">
        <w:r w:rsidRPr="00FC7835">
          <w:rPr>
            <w:rStyle w:val="a5"/>
          </w:rPr>
          <w:t>1960-80\Bul Med Lib Ass55</w:t>
        </w:r>
        <w:r>
          <w:rPr>
            <w:rStyle w:val="a5"/>
          </w:rPr>
          <w:t xml:space="preserve">, </w:t>
        </w:r>
        <w:r w:rsidRPr="00FC7835">
          <w:rPr>
            <w:rStyle w:val="a5"/>
          </w:rPr>
          <w:t>399.pdf</w:t>
        </w:r>
      </w:hyperlink>
    </w:p>
    <w:p w:rsidR="003474F2" w:rsidRPr="001A3D2B" w:rsidRDefault="003474F2" w:rsidP="003474F2">
      <w:pPr>
        <w:pStyle w:val="a3"/>
      </w:pPr>
      <w:r w:rsidRPr="001A3D2B">
        <w:t>Abstract:</w:t>
      </w:r>
      <w:r w:rsidR="003A1917">
        <w:t xml:space="preserve"> the </w:t>
      </w:r>
      <w:r w:rsidRPr="001A3D2B">
        <w:t>conventionally erected</w:t>
      </w:r>
      <w:r w:rsidR="005853A9">
        <w:t xml:space="preserve"> and </w:t>
      </w:r>
      <w:r w:rsidRPr="001A3D2B">
        <w:t>reported circulation analysis</w:t>
      </w:r>
      <w:r w:rsidR="00427468">
        <w:t xml:space="preserve"> of </w:t>
      </w:r>
      <w:r w:rsidRPr="001A3D2B">
        <w:t>serial use in</w:t>
      </w:r>
      <w:r w:rsidR="003A1917">
        <w:t xml:space="preserve"> the </w:t>
      </w:r>
      <w:r w:rsidRPr="001A3D2B">
        <w:t>individual</w:t>
      </w:r>
      <w:r w:rsidR="005853A9">
        <w:t xml:space="preserve"> and </w:t>
      </w:r>
      <w:r w:rsidR="003A1917">
        <w:t xml:space="preserve">the </w:t>
      </w:r>
      <w:r w:rsidRPr="001A3D2B">
        <w:t>feeder library is found to be statistically invalid</w:t>
      </w:r>
      <w:r w:rsidR="005853A9">
        <w:t xml:space="preserve"> and </w:t>
      </w:r>
      <w:r w:rsidRPr="001A3D2B">
        <w:t>misleading, since it measures neither</w:t>
      </w:r>
      <w:r w:rsidR="003A1917">
        <w:t xml:space="preserve"> the </w:t>
      </w:r>
      <w:r w:rsidRPr="001A3D2B">
        <w:t>intellectual use</w:t>
      </w:r>
      <w:r w:rsidR="00427468">
        <w:t xml:space="preserve"> of </w:t>
      </w:r>
      <w:r w:rsidR="003A1917">
        <w:t xml:space="preserve">the </w:t>
      </w:r>
      <w:r w:rsidRPr="001A3D2B">
        <w:t>serial</w:t>
      </w:r>
      <w:r w:rsidR="00700038">
        <w:t>’</w:t>
      </w:r>
      <w:r w:rsidR="00C13DDC">
        <w:t>s</w:t>
      </w:r>
      <w:r w:rsidRPr="001A3D2B">
        <w:t xml:space="preserve"> contents nor</w:t>
      </w:r>
      <w:r w:rsidR="003A1917">
        <w:t xml:space="preserve"> the </w:t>
      </w:r>
      <w:r w:rsidRPr="001A3D2B">
        <w:t>physical handlings</w:t>
      </w:r>
      <w:r w:rsidR="00427468">
        <w:t xml:space="preserve"> of </w:t>
      </w:r>
      <w:r w:rsidRPr="001A3D2B">
        <w:t>serial units,</w:t>
      </w:r>
      <w:r w:rsidR="005853A9">
        <w:t xml:space="preserve"> and </w:t>
      </w:r>
      <w:r w:rsidRPr="001A3D2B">
        <w:t>is nonrepresentative</w:t>
      </w:r>
      <w:r w:rsidR="00427468">
        <w:t xml:space="preserve"> of </w:t>
      </w:r>
      <w:r w:rsidR="003A1917">
        <w:t xml:space="preserve">the </w:t>
      </w:r>
      <w:r w:rsidRPr="001A3D2B">
        <w:t>in-depth library use</w:t>
      </w:r>
      <w:r w:rsidR="00427468">
        <w:t xml:space="preserve"> of </w:t>
      </w:r>
      <w:r w:rsidRPr="001A3D2B">
        <w:t>serials. It fails utterly to report or even to suggest</w:t>
      </w:r>
      <w:r w:rsidR="003A1917">
        <w:t xml:space="preserve"> the </w:t>
      </w:r>
      <w:r w:rsidRPr="001A3D2B">
        <w:t>relation</w:t>
      </w:r>
      <w:r w:rsidR="00427468">
        <w:t xml:space="preserve"> of </w:t>
      </w:r>
      <w:r w:rsidRPr="001A3D2B">
        <w:t>intralibrary</w:t>
      </w:r>
      <w:r w:rsidR="005853A9">
        <w:t xml:space="preserve"> and </w:t>
      </w:r>
      <w:r w:rsidRPr="001A3D2B">
        <w:t>interlibrary serial resources</w:t>
      </w:r>
      <w:r w:rsidR="00A37C1D">
        <w:t>. The</w:t>
      </w:r>
      <w:r w:rsidR="003A1917">
        <w:t xml:space="preserve"> </w:t>
      </w:r>
      <w:r w:rsidRPr="001A3D2B">
        <w:t>actual mechanics</w:t>
      </w:r>
      <w:r w:rsidR="00427468">
        <w:t xml:space="preserve"> of </w:t>
      </w:r>
      <w:r w:rsidR="003A1917">
        <w:t xml:space="preserve">the </w:t>
      </w:r>
      <w:r w:rsidRPr="001A3D2B">
        <w:t>serial use analysis,</w:t>
      </w:r>
      <w:r w:rsidR="005853A9">
        <w:t xml:space="preserve"> and </w:t>
      </w:r>
      <w:r w:rsidR="003A1917">
        <w:t xml:space="preserve">the </w:t>
      </w:r>
      <w:r w:rsidRPr="001A3D2B">
        <w:t>active variables in</w:t>
      </w:r>
      <w:r w:rsidR="003A1917">
        <w:t xml:space="preserve"> the </w:t>
      </w:r>
      <w:r w:rsidRPr="001A3D2B">
        <w:t>library situation which affect serial use, are demonstrated in a simulated analysis</w:t>
      </w:r>
      <w:r w:rsidR="005853A9">
        <w:t xml:space="preserve"> and </w:t>
      </w:r>
      <w:r w:rsidRPr="001A3D2B">
        <w:t>are explained at length. A positive design is offered for</w:t>
      </w:r>
      <w:r w:rsidR="003A1917">
        <w:t xml:space="preserve"> the </w:t>
      </w:r>
      <w:r w:rsidRPr="001A3D2B">
        <w:t>objective gathering</w:t>
      </w:r>
      <w:r w:rsidR="005853A9">
        <w:t xml:space="preserve"> and </w:t>
      </w:r>
      <w:r w:rsidRPr="001A3D2B">
        <w:t>reporting</w:t>
      </w:r>
      <w:r w:rsidR="00427468">
        <w:t xml:space="preserve"> of </w:t>
      </w:r>
      <w:r w:rsidRPr="001A3D2B">
        <w:t>data on</w:t>
      </w:r>
      <w:r w:rsidR="003A1917">
        <w:t xml:space="preserve"> the </w:t>
      </w:r>
      <w:r w:rsidRPr="001A3D2B">
        <w:t>local intellectual use</w:t>
      </w:r>
      <w:r w:rsidR="005853A9">
        <w:t xml:space="preserve"> and </w:t>
      </w:r>
      <w:r w:rsidRPr="001A3D2B">
        <w:t>physical handling</w:t>
      </w:r>
      <w:r w:rsidR="00427468">
        <w:t xml:space="preserve"> of </w:t>
      </w:r>
      <w:r w:rsidRPr="001A3D2B">
        <w:t>serials</w:t>
      </w:r>
      <w:r w:rsidR="005853A9">
        <w:t xml:space="preserve"> and </w:t>
      </w:r>
      <w:r w:rsidR="003A1917">
        <w:t xml:space="preserve">the </w:t>
      </w:r>
      <w:r w:rsidRPr="001A3D2B">
        <w:t>relating</w:t>
      </w:r>
      <w:r w:rsidR="00427468">
        <w:t xml:space="preserve"> of </w:t>
      </w:r>
      <w:r w:rsidRPr="001A3D2B">
        <w:t>resources. Data gathering in</w:t>
      </w:r>
      <w:r w:rsidR="003A1917">
        <w:t xml:space="preserve"> the </w:t>
      </w:r>
      <w:r w:rsidRPr="001A3D2B">
        <w:t>feeder library,</w:t>
      </w:r>
      <w:r w:rsidR="005853A9">
        <w:t xml:space="preserve"> and </w:t>
      </w:r>
      <w:r w:rsidRPr="001A3D2B">
        <w:t>implications for</w:t>
      </w:r>
      <w:r w:rsidR="003A1917">
        <w:t xml:space="preserve"> the </w:t>
      </w:r>
      <w:r w:rsidRPr="001A3D2B">
        <w:t>extension</w:t>
      </w:r>
      <w:r w:rsidR="00427468">
        <w:t xml:space="preserve"> of </w:t>
      </w:r>
      <w:r w:rsidR="003A1917">
        <w:t xml:space="preserve">the </w:t>
      </w:r>
      <w:r w:rsidRPr="001A3D2B">
        <w:t>feeder library</w:t>
      </w:r>
      <w:r w:rsidR="00700038">
        <w:t>’</w:t>
      </w:r>
      <w:r w:rsidR="00C13DDC">
        <w:t>s</w:t>
      </w:r>
      <w:r w:rsidRPr="001A3D2B">
        <w:t xml:space="preserve"> resources, are discussed.</w:t>
      </w:r>
    </w:p>
    <w:p w:rsidR="00A66742" w:rsidRPr="001A3D2B" w:rsidRDefault="00A66742" w:rsidP="00A66742">
      <w:pPr>
        <w:pStyle w:val="a3"/>
        <w:rPr>
          <w:kern w:val="0"/>
        </w:rPr>
      </w:pPr>
      <w:r w:rsidRPr="001A3D2B">
        <w:rPr>
          <w:kern w:val="0"/>
        </w:rPr>
        <w:t>? Ash, J. (1974), Library use</w:t>
      </w:r>
      <w:r w:rsidR="00427468">
        <w:rPr>
          <w:kern w:val="0"/>
        </w:rPr>
        <w:t xml:space="preserve"> of </w:t>
      </w:r>
      <w:r w:rsidRPr="001A3D2B">
        <w:rPr>
          <w:kern w:val="0"/>
        </w:rPr>
        <w:t>public health materials - Description</w:t>
      </w:r>
      <w:r w:rsidR="005853A9">
        <w:rPr>
          <w:kern w:val="0"/>
        </w:rPr>
        <w:t xml:space="preserve"> and </w:t>
      </w:r>
      <w:r w:rsidRPr="001A3D2B">
        <w:rPr>
          <w:kern w:val="0"/>
        </w:rPr>
        <w:t xml:space="preserve">analysis. </w:t>
      </w:r>
      <w:r w:rsidRPr="001A3D2B">
        <w:rPr>
          <w:i/>
          <w:iCs/>
          <w:kern w:val="0"/>
        </w:rPr>
        <w:t>Bulletin</w:t>
      </w:r>
      <w:r w:rsidR="00427468">
        <w:rPr>
          <w:i/>
          <w:iCs/>
          <w:kern w:val="0"/>
        </w:rPr>
        <w:t xml:space="preserve"> of </w:t>
      </w:r>
      <w:r w:rsidR="003A1917">
        <w:rPr>
          <w:i/>
          <w:iCs/>
          <w:kern w:val="0"/>
        </w:rPr>
        <w:t xml:space="preserve">the </w:t>
      </w:r>
      <w:r w:rsidRPr="001A3D2B">
        <w:rPr>
          <w:i/>
          <w:iCs/>
          <w:kern w:val="0"/>
        </w:rPr>
        <w:t>Medical Library Association</w:t>
      </w:r>
      <w:r w:rsidRPr="001A3D2B">
        <w:rPr>
          <w:kern w:val="0"/>
        </w:rPr>
        <w:t xml:space="preserve">, </w:t>
      </w:r>
      <w:r w:rsidRPr="001A3D2B">
        <w:rPr>
          <w:b/>
          <w:bCs/>
          <w:kern w:val="0"/>
        </w:rPr>
        <w:t>62</w:t>
      </w:r>
      <w:r w:rsidRPr="001A3D2B">
        <w:rPr>
          <w:kern w:val="0"/>
        </w:rPr>
        <w:t xml:space="preserve"> (2), 95-104.</w:t>
      </w:r>
    </w:p>
    <w:p w:rsidR="00B5119E" w:rsidRPr="001A3D2B" w:rsidRDefault="00B5119E" w:rsidP="00B5119E">
      <w:pPr>
        <w:pStyle w:val="a3"/>
      </w:pPr>
      <w:r>
        <w:t>Full Text:</w:t>
      </w:r>
      <w:r w:rsidRPr="001A3D2B">
        <w:t xml:space="preserve"> </w:t>
      </w:r>
      <w:hyperlink r:id="rId2105" w:history="1">
        <w:r w:rsidRPr="00171555">
          <w:rPr>
            <w:rStyle w:val="a5"/>
          </w:rPr>
          <w:t>1960-80\Bul Med Lib Ass62, 95.pdf</w:t>
        </w:r>
      </w:hyperlink>
    </w:p>
    <w:p w:rsidR="00A66742" w:rsidRPr="001A3D2B" w:rsidRDefault="00A66742" w:rsidP="00A66742">
      <w:pPr>
        <w:pStyle w:val="a3"/>
      </w:pPr>
      <w:r w:rsidRPr="001A3D2B">
        <w:t>Abstract: A method is described for optimizing</w:t>
      </w:r>
      <w:r w:rsidR="003A1917">
        <w:t xml:space="preserve"> the </w:t>
      </w:r>
      <w:r w:rsidRPr="001A3D2B">
        <w:t>efficiency</w:t>
      </w:r>
      <w:r w:rsidR="00427468">
        <w:t xml:space="preserve"> of </w:t>
      </w:r>
      <w:r w:rsidRPr="001A3D2B">
        <w:t>a journal collection</w:t>
      </w:r>
      <w:r w:rsidR="00A37C1D">
        <w:t>. The</w:t>
      </w:r>
      <w:r w:rsidR="003A1917">
        <w:t xml:space="preserve"> </w:t>
      </w:r>
      <w:r w:rsidRPr="001A3D2B">
        <w:t>method is employed to determine an optimal journal collection in public health. A citation analysis</w:t>
      </w:r>
      <w:r w:rsidR="00427468">
        <w:t xml:space="preserve"> of </w:t>
      </w:r>
      <w:r w:rsidRPr="001A3D2B">
        <w:t>3,456 citations from</w:t>
      </w:r>
      <w:r w:rsidR="003A1917">
        <w:t xml:space="preserve"> the </w:t>
      </w:r>
      <w:r w:rsidRPr="001A3D2B">
        <w:t>bibliographies</w:t>
      </w:r>
      <w:r w:rsidR="00427468">
        <w:t xml:space="preserve"> of </w:t>
      </w:r>
      <w:r w:rsidRPr="001A3D2B">
        <w:t>forty-four master</w:t>
      </w:r>
      <w:r w:rsidR="00700038">
        <w:t>’</w:t>
      </w:r>
      <w:r w:rsidR="00C13DDC">
        <w:t>s</w:t>
      </w:r>
      <w:r w:rsidR="005853A9">
        <w:t xml:space="preserve"> and </w:t>
      </w:r>
      <w:r w:rsidRPr="001A3D2B">
        <w:t>doctoral dissertations from five different universities is performed. It is verified that</w:t>
      </w:r>
      <w:r w:rsidR="003A1917">
        <w:t xml:space="preserve"> the </w:t>
      </w:r>
      <w:r w:rsidRPr="001A3D2B">
        <w:t>distribution</w:t>
      </w:r>
      <w:r w:rsidR="00427468">
        <w:t xml:space="preserve"> of </w:t>
      </w:r>
      <w:r w:rsidRPr="001A3D2B">
        <w:t>references to journal titles is approximately logarithmic (Bradford</w:t>
      </w:r>
      <w:r w:rsidR="00700038">
        <w:t>’</w:t>
      </w:r>
      <w:r w:rsidR="00C13DDC">
        <w:t>s</w:t>
      </w:r>
      <w:r w:rsidRPr="001A3D2B">
        <w:t xml:space="preserve"> Law)</w:t>
      </w:r>
      <w:r w:rsidR="005853A9">
        <w:t xml:space="preserve"> and </w:t>
      </w:r>
      <w:r w:rsidRPr="001A3D2B">
        <w:t>that</w:t>
      </w:r>
      <w:r w:rsidR="003A1917">
        <w:t xml:space="preserve"> the </w:t>
      </w:r>
      <w:r w:rsidRPr="001A3D2B">
        <w:t>distribution</w:t>
      </w:r>
      <w:r w:rsidR="00427468">
        <w:t xml:space="preserve"> of </w:t>
      </w:r>
      <w:r w:rsidRPr="001A3D2B">
        <w:t>references by year is exponential</w:t>
      </w:r>
      <w:r w:rsidR="00A37C1D">
        <w:t>. The</w:t>
      </w:r>
      <w:r w:rsidRPr="001A3D2B">
        <w:t>se two parameters are combined to formulate an equation which may be used to specify a journal collection satisfying</w:t>
      </w:r>
      <w:r w:rsidR="003A1917">
        <w:t xml:space="preserve"> the </w:t>
      </w:r>
      <w:r w:rsidRPr="001A3D2B">
        <w:t>greatest possible percent</w:t>
      </w:r>
      <w:r w:rsidR="00427468">
        <w:t xml:space="preserve"> of </w:t>
      </w:r>
      <w:r w:rsidRPr="001A3D2B">
        <w:t>demand. In public health, for example, a 1,500- volume library containing sixty titles could satisfy 73%</w:t>
      </w:r>
      <w:r w:rsidR="00427468">
        <w:t xml:space="preserve"> of </w:t>
      </w:r>
      <w:r w:rsidR="003A1917">
        <w:t xml:space="preserve">the </w:t>
      </w:r>
      <w:r w:rsidRPr="001A3D2B">
        <w:t>demand for references in health related areas</w:t>
      </w:r>
      <w:r w:rsidR="005853A9">
        <w:t xml:space="preserve"> and </w:t>
      </w:r>
      <w:r w:rsidRPr="001A3D2B">
        <w:t>48%</w:t>
      </w:r>
      <w:r w:rsidR="00427468">
        <w:t xml:space="preserve"> of </w:t>
      </w:r>
      <w:r w:rsidR="003A1917">
        <w:t xml:space="preserve">the </w:t>
      </w:r>
      <w:r w:rsidRPr="001A3D2B">
        <w:t>total demand for references for this particular, diverse research group. Other desirable aspects</w:t>
      </w:r>
      <w:r w:rsidR="00427468">
        <w:t xml:space="preserve"> of </w:t>
      </w:r>
      <w:r w:rsidRPr="001A3D2B">
        <w:t>a public health collection are also described as determined from</w:t>
      </w:r>
      <w:r w:rsidR="003A1917">
        <w:t xml:space="preserve"> the </w:t>
      </w:r>
      <w:r w:rsidRPr="001A3D2B">
        <w:t>data.</w:t>
      </w:r>
    </w:p>
    <w:p w:rsidR="003474F2" w:rsidRPr="001A3D2B" w:rsidRDefault="003474F2" w:rsidP="003474F2">
      <w:pPr>
        <w:pStyle w:val="a3"/>
      </w:pPr>
      <w:r w:rsidRPr="001A3D2B">
        <w:t>? Williams, R.W. (1982), A comparison</w:t>
      </w:r>
      <w:r w:rsidR="00427468">
        <w:t xml:space="preserve"> of </w:t>
      </w:r>
      <w:r w:rsidR="003A1917">
        <w:t xml:space="preserve">the </w:t>
      </w:r>
      <w:r w:rsidRPr="001A3D2B">
        <w:t>quarterly Index to Current Contents Life Sciences</w:t>
      </w:r>
      <w:r w:rsidR="005853A9">
        <w:t xml:space="preserve"> and </w:t>
      </w:r>
      <w:r w:rsidR="003A1917">
        <w:t xml:space="preserve">the </w:t>
      </w:r>
      <w:r w:rsidRPr="001A3D2B">
        <w:t xml:space="preserve">Science Citation Index as Indexes to Current Contents Life Sciences.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70</w:t>
      </w:r>
      <w:r w:rsidRPr="001A3D2B">
        <w:t xml:space="preserve"> (4), 412-414.</w:t>
      </w:r>
    </w:p>
    <w:p w:rsidR="003474F2" w:rsidRPr="001A3D2B" w:rsidRDefault="003474F2" w:rsidP="003474F2">
      <w:pPr>
        <w:pStyle w:val="a3"/>
      </w:pPr>
      <w:r w:rsidRPr="001A3D2B">
        <w:t xml:space="preserve">Full Text: </w:t>
      </w:r>
      <w:hyperlink r:id="rId2106" w:history="1">
        <w:r w:rsidRPr="001A3D2B">
          <w:rPr>
            <w:rStyle w:val="a5"/>
          </w:rPr>
          <w:t>1982\Bul Med Lib Ass70, 412.pdf</w:t>
        </w:r>
      </w:hyperlink>
    </w:p>
    <w:p w:rsidR="003474F2" w:rsidRPr="001A3D2B" w:rsidRDefault="003474F2" w:rsidP="003474F2">
      <w:pPr>
        <w:pStyle w:val="a3"/>
      </w:pPr>
      <w:r w:rsidRPr="001A3D2B">
        <w:t>Keywords: Citation, Science Citation Index</w:t>
      </w:r>
    </w:p>
    <w:p w:rsidR="003474F2" w:rsidRPr="001A3D2B" w:rsidRDefault="003474F2" w:rsidP="003474F2">
      <w:pPr>
        <w:pStyle w:val="a3"/>
      </w:pPr>
      <w:r w:rsidRPr="001A3D2B">
        <w:t>? Poyer, R.K. (1984), Journal article overlap among Index-Medicus, Science Citation Index, Biological-Abstracts,</w:t>
      </w:r>
      <w:r w:rsidR="005853A9">
        <w:t xml:space="preserve"> and </w:t>
      </w:r>
      <w:r w:rsidRPr="001A3D2B">
        <w:t xml:space="preserve">Chemical-Abstracts.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72</w:t>
      </w:r>
      <w:r w:rsidRPr="001A3D2B">
        <w:t xml:space="preserve"> (4), 353-357.</w:t>
      </w:r>
    </w:p>
    <w:p w:rsidR="003474F2" w:rsidRPr="001A3D2B" w:rsidRDefault="003474F2" w:rsidP="003474F2">
      <w:pPr>
        <w:pStyle w:val="a3"/>
      </w:pPr>
      <w:r w:rsidRPr="001A3D2B">
        <w:lastRenderedPageBreak/>
        <w:t xml:space="preserve">Full Text: </w:t>
      </w:r>
      <w:hyperlink r:id="rId2107" w:history="1">
        <w:r w:rsidRPr="001A3D2B">
          <w:rPr>
            <w:rStyle w:val="a5"/>
          </w:rPr>
          <w:t>1984\Bul Med Lib Ass72, 353.pdf</w:t>
        </w:r>
      </w:hyperlink>
    </w:p>
    <w:p w:rsidR="003474F2" w:rsidRPr="001A3D2B" w:rsidRDefault="003474F2" w:rsidP="003474F2">
      <w:pPr>
        <w:pStyle w:val="a3"/>
      </w:pPr>
      <w:r w:rsidRPr="001A3D2B">
        <w:t>Keywords: Chemical Abstracts, Science Citation Index</w:t>
      </w:r>
    </w:p>
    <w:p w:rsidR="003474F2" w:rsidRPr="001A3D2B" w:rsidRDefault="003474F2" w:rsidP="003474F2">
      <w:pPr>
        <w:pStyle w:val="a3"/>
      </w:pPr>
      <w:r w:rsidRPr="001A3D2B">
        <w:t>Notes: TTopic, CCountry</w:t>
      </w:r>
    </w:p>
    <w:p w:rsidR="003474F2" w:rsidRPr="001A3D2B" w:rsidRDefault="003474F2" w:rsidP="003474F2">
      <w:pPr>
        <w:pStyle w:val="a3"/>
      </w:pPr>
      <w:smartTag w:uri="urn:schemas-microsoft-com:office:smarttags" w:element="place">
        <w:smartTag w:uri="urn:schemas-microsoft-com:office:smarttags" w:element="City">
          <w:r w:rsidRPr="001A3D2B">
            <w:t>Salem</w:t>
          </w:r>
        </w:smartTag>
      </w:smartTag>
      <w:r w:rsidRPr="001A3D2B">
        <w:t>, S. (1990), Bibliometric aspects</w:t>
      </w:r>
      <w:r w:rsidR="00427468">
        <w:t xml:space="preserve"> of </w:t>
      </w:r>
      <w:r w:rsidRPr="001A3D2B">
        <w:t xml:space="preserve">medical information in Arab countries.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78</w:t>
      </w:r>
      <w:r w:rsidRPr="001A3D2B">
        <w:t xml:space="preserve"> (4), 339-344.</w:t>
      </w:r>
    </w:p>
    <w:p w:rsidR="003474F2" w:rsidRPr="001A3D2B" w:rsidRDefault="003474F2" w:rsidP="003474F2">
      <w:pPr>
        <w:pStyle w:val="a3"/>
      </w:pPr>
      <w:r w:rsidRPr="001A3D2B">
        <w:t xml:space="preserve">Full Text: </w:t>
      </w:r>
      <w:hyperlink r:id="rId2108" w:history="1">
        <w:r w:rsidRPr="001A3D2B">
          <w:rPr>
            <w:rStyle w:val="a5"/>
          </w:rPr>
          <w:t>1990\Bul Med Lib Ass78, 339.pdf</w:t>
        </w:r>
      </w:hyperlink>
    </w:p>
    <w:p w:rsidR="003474F2" w:rsidRPr="001A3D2B" w:rsidRDefault="003474F2" w:rsidP="003474F2">
      <w:pPr>
        <w:pStyle w:val="a3"/>
      </w:pPr>
      <w:r w:rsidRPr="001A3D2B">
        <w:t>Abstract: This paper discusses</w:t>
      </w:r>
      <w:r w:rsidR="003A1917">
        <w:t xml:space="preserve"> the </w:t>
      </w:r>
      <w:r w:rsidRPr="001A3D2B">
        <w:t>current state</w:t>
      </w:r>
      <w:r w:rsidR="005853A9">
        <w:t xml:space="preserve"> and </w:t>
      </w:r>
      <w:r w:rsidRPr="001A3D2B">
        <w:t>development</w:t>
      </w:r>
      <w:r w:rsidR="00427468">
        <w:t xml:space="preserve"> of </w:t>
      </w:r>
      <w:r w:rsidRPr="001A3D2B">
        <w:t>health</w:t>
      </w:r>
      <w:r w:rsidR="005853A9">
        <w:t xml:space="preserve"> and </w:t>
      </w:r>
      <w:r w:rsidRPr="001A3D2B">
        <w:t>biomedical literature in Arab countries</w:t>
      </w:r>
      <w:r w:rsidR="00A37C1D">
        <w:t>. The</w:t>
      </w:r>
      <w:r w:rsidR="003A1917">
        <w:t xml:space="preserve"> </w:t>
      </w:r>
      <w:r w:rsidRPr="001A3D2B">
        <w:t>study concentrates on</w:t>
      </w:r>
      <w:r w:rsidR="003A1917">
        <w:t xml:space="preserve"> the </w:t>
      </w:r>
      <w:r w:rsidRPr="001A3D2B">
        <w:t>Arabic sources</w:t>
      </w:r>
      <w:r w:rsidR="00427468">
        <w:t xml:space="preserve"> of </w:t>
      </w:r>
      <w:r w:rsidRPr="001A3D2B">
        <w:t>medical articles,</w:t>
      </w:r>
      <w:r w:rsidR="005853A9">
        <w:t xml:space="preserve"> and </w:t>
      </w:r>
      <w:r w:rsidRPr="001A3D2B">
        <w:t>surveys</w:t>
      </w:r>
      <w:r w:rsidR="005853A9">
        <w:t xml:space="preserve"> and </w:t>
      </w:r>
      <w:r w:rsidRPr="001A3D2B">
        <w:t>analyzes</w:t>
      </w:r>
      <w:r w:rsidR="003A1917">
        <w:t xml:space="preserve"> the </w:t>
      </w:r>
      <w:r w:rsidRPr="001A3D2B">
        <w:t>size</w:t>
      </w:r>
      <w:r w:rsidR="00427468">
        <w:t xml:space="preserve"> of </w:t>
      </w:r>
      <w:r w:rsidR="003A1917">
        <w:t xml:space="preserve">the </w:t>
      </w:r>
      <w:r w:rsidRPr="001A3D2B">
        <w:t>literature</w:t>
      </w:r>
      <w:r w:rsidR="005853A9">
        <w:t xml:space="preserve"> and </w:t>
      </w:r>
      <w:r w:rsidRPr="001A3D2B">
        <w:t>its development in</w:t>
      </w:r>
      <w:r w:rsidR="003A1917">
        <w:t xml:space="preserve"> the </w:t>
      </w:r>
      <w:r w:rsidRPr="001A3D2B">
        <w:t>past 100 years. Two aspects</w:t>
      </w:r>
      <w:r w:rsidR="00427468">
        <w:t xml:space="preserve"> of </w:t>
      </w:r>
      <w:r w:rsidRPr="001A3D2B">
        <w:t>these sources are covered:</w:t>
      </w:r>
      <w:r w:rsidR="003A1917">
        <w:t xml:space="preserve"> the </w:t>
      </w:r>
      <w:r w:rsidRPr="001A3D2B">
        <w:t>Arab medical information sources published within</w:t>
      </w:r>
      <w:r w:rsidR="003A1917">
        <w:t xml:space="preserve"> the </w:t>
      </w:r>
      <w:r w:rsidRPr="001A3D2B">
        <w:t>Arab region,</w:t>
      </w:r>
      <w:r w:rsidR="005853A9">
        <w:t xml:space="preserve"> and </w:t>
      </w:r>
      <w:r w:rsidRPr="001A3D2B">
        <w:t>those published outside</w:t>
      </w:r>
      <w:r w:rsidR="003A1917">
        <w:t xml:space="preserve"> the </w:t>
      </w:r>
      <w:r w:rsidRPr="001A3D2B">
        <w:t>region. This includes</w:t>
      </w:r>
      <w:r w:rsidR="003A1917">
        <w:t xml:space="preserve"> the </w:t>
      </w:r>
      <w:r w:rsidRPr="001A3D2B">
        <w:t>quantity</w:t>
      </w:r>
      <w:r w:rsidR="00427468">
        <w:t xml:space="preserve"> of </w:t>
      </w:r>
      <w:r w:rsidRPr="001A3D2B">
        <w:t>material available within</w:t>
      </w:r>
      <w:r w:rsidR="005853A9">
        <w:t xml:space="preserve"> and </w:t>
      </w:r>
      <w:r w:rsidRPr="001A3D2B">
        <w:t>outside</w:t>
      </w:r>
      <w:r w:rsidR="003A1917">
        <w:t xml:space="preserve"> the </w:t>
      </w:r>
      <w:r w:rsidRPr="001A3D2B">
        <w:t>Arab region</w:t>
      </w:r>
      <w:r w:rsidR="00A37C1D">
        <w:t>. The</w:t>
      </w:r>
      <w:r w:rsidR="003A1917">
        <w:t xml:space="preserve"> </w:t>
      </w:r>
      <w:r w:rsidRPr="001A3D2B">
        <w:t>size</w:t>
      </w:r>
      <w:r w:rsidR="00427468">
        <w:t xml:space="preserve"> of </w:t>
      </w:r>
      <w:r w:rsidR="003A1917">
        <w:t xml:space="preserve">the </w:t>
      </w:r>
      <w:r w:rsidRPr="001A3D2B">
        <w:t>Arab medical literature indicates that it is worthy</w:t>
      </w:r>
      <w:r w:rsidR="00427468">
        <w:t xml:space="preserve"> of </w:t>
      </w:r>
      <w:r w:rsidRPr="001A3D2B">
        <w:t>collection. Treatment</w:t>
      </w:r>
      <w:r w:rsidR="00427468">
        <w:t xml:space="preserve"> of </w:t>
      </w:r>
      <w:r w:rsidR="003A1917">
        <w:t xml:space="preserve">the </w:t>
      </w:r>
      <w:r w:rsidRPr="001A3D2B">
        <w:t>Arab medical literature, a pressing</w:t>
      </w:r>
      <w:r w:rsidR="005853A9">
        <w:t xml:space="preserve"> and </w:t>
      </w:r>
      <w:r w:rsidRPr="001A3D2B">
        <w:t>urgent issue, is needed to assist in</w:t>
      </w:r>
      <w:r w:rsidR="003A1917">
        <w:t xml:space="preserve"> the </w:t>
      </w:r>
      <w:r w:rsidRPr="001A3D2B">
        <w:t>research</w:t>
      </w:r>
      <w:r w:rsidR="005853A9">
        <w:t xml:space="preserve"> and </w:t>
      </w:r>
      <w:r w:rsidRPr="001A3D2B">
        <w:t>development</w:t>
      </w:r>
      <w:r w:rsidR="00427468">
        <w:t xml:space="preserve"> of </w:t>
      </w:r>
      <w:r w:rsidRPr="001A3D2B">
        <w:t>an Arab medical infrastructure.</w:t>
      </w:r>
    </w:p>
    <w:p w:rsidR="00484DCC" w:rsidRPr="001A3D2B" w:rsidRDefault="00484DCC" w:rsidP="00484DCC">
      <w:pPr>
        <w:pStyle w:val="a3"/>
      </w:pPr>
      <w:r>
        <w:rPr>
          <w:rFonts w:hint="eastAsia"/>
        </w:rPr>
        <w:t xml:space="preserve">? </w:t>
      </w:r>
      <w:r>
        <w:t>Campbell</w:t>
      </w:r>
      <w:r>
        <w:rPr>
          <w:rFonts w:hint="eastAsia"/>
        </w:rPr>
        <w:t>,</w:t>
      </w:r>
      <w:r>
        <w:t xml:space="preserve"> F</w:t>
      </w:r>
      <w:r>
        <w:rPr>
          <w:rFonts w:hint="eastAsia"/>
        </w:rPr>
        <w:t>.</w:t>
      </w:r>
      <w:r>
        <w:t>M</w:t>
      </w:r>
      <w:r>
        <w:rPr>
          <w:rFonts w:hint="eastAsia"/>
        </w:rPr>
        <w:t>.</w:t>
      </w:r>
      <w:r w:rsidRPr="001A3D2B">
        <w:t xml:space="preserve"> (1990), </w:t>
      </w:r>
      <w:r>
        <w:t>National bias</w:t>
      </w:r>
      <w:r>
        <w:rPr>
          <w:rFonts w:hint="eastAsia"/>
        </w:rPr>
        <w:t>:</w:t>
      </w:r>
      <w:r>
        <w:t xml:space="preserve"> A comparison</w:t>
      </w:r>
      <w:r w:rsidR="00427468">
        <w:t xml:space="preserve"> of </w:t>
      </w:r>
      <w:r>
        <w:t>citation practices by health</w:t>
      </w:r>
      <w:r>
        <w:rPr>
          <w:rFonts w:hint="eastAsia"/>
        </w:rPr>
        <w:t xml:space="preserve"> </w:t>
      </w:r>
      <w:r>
        <w:t>professionals</w:t>
      </w:r>
      <w:r w:rsidRPr="001A3D2B">
        <w:t xml:space="preserv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78</w:t>
      </w:r>
      <w:r w:rsidRPr="001A3D2B">
        <w:t xml:space="preserve"> (4), </w:t>
      </w:r>
      <w:r>
        <w:t>376-382</w:t>
      </w:r>
      <w:r w:rsidRPr="001A3D2B">
        <w:t>.</w:t>
      </w:r>
    </w:p>
    <w:p w:rsidR="00484DCC" w:rsidRDefault="00484DCC" w:rsidP="00484DCC">
      <w:pPr>
        <w:pStyle w:val="a3"/>
      </w:pPr>
      <w:r>
        <w:t>Full Text:</w:t>
      </w:r>
      <w:r w:rsidRPr="001A3D2B">
        <w:t xml:space="preserve"> </w:t>
      </w:r>
      <w:hyperlink r:id="rId2109" w:history="1">
        <w:r w:rsidRPr="00C4553D">
          <w:rPr>
            <w:rStyle w:val="a5"/>
          </w:rPr>
          <w:t>1990\Bul Med Lib Ass78, 376.pdf</w:t>
        </w:r>
      </w:hyperlink>
    </w:p>
    <w:p w:rsidR="003474F2" w:rsidRPr="001A3D2B" w:rsidRDefault="003474F2" w:rsidP="003474F2">
      <w:pPr>
        <w:pStyle w:val="a3"/>
      </w:pPr>
      <w:r w:rsidRPr="001A3D2B">
        <w:t>Burnham, J.F., Shearer, B.S.</w:t>
      </w:r>
      <w:r w:rsidR="005853A9">
        <w:t xml:space="preserve"> and </w:t>
      </w:r>
      <w:r w:rsidRPr="001A3D2B">
        <w:t>Wall, J.C. (1992), Combining new technologies for effective collection development: A bibliometric study using CD-ROM</w:t>
      </w:r>
      <w:r w:rsidR="005853A9">
        <w:t xml:space="preserve"> and </w:t>
      </w:r>
      <w:r w:rsidRPr="001A3D2B">
        <w:t xml:space="preserve">a database-management program.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80</w:t>
      </w:r>
      <w:r w:rsidRPr="001A3D2B">
        <w:t xml:space="preserve"> (2), 150-156.</w:t>
      </w:r>
    </w:p>
    <w:p w:rsidR="003474F2" w:rsidRPr="001A3D2B" w:rsidRDefault="003474F2" w:rsidP="003474F2">
      <w:pPr>
        <w:pStyle w:val="a3"/>
      </w:pPr>
      <w:r w:rsidRPr="001A3D2B">
        <w:t xml:space="preserve">Full Text: </w:t>
      </w:r>
      <w:hyperlink r:id="rId2110" w:history="1">
        <w:r w:rsidRPr="001A3D2B">
          <w:rPr>
            <w:rStyle w:val="a5"/>
          </w:rPr>
          <w:t>1992\Bul Med Lib Ass80, 150.pdf</w:t>
        </w:r>
      </w:hyperlink>
    </w:p>
    <w:p w:rsidR="003474F2" w:rsidRPr="001A3D2B" w:rsidRDefault="003474F2" w:rsidP="003474F2">
      <w:pPr>
        <w:pStyle w:val="a3"/>
      </w:pPr>
      <w:r w:rsidRPr="001A3D2B">
        <w:t>Abstract: Librarians have used bibliometrics for many years to assess collections</w:t>
      </w:r>
      <w:r w:rsidR="005853A9">
        <w:t xml:space="preserve"> and </w:t>
      </w:r>
      <w:r w:rsidRPr="001A3D2B">
        <w:t>to provide data for making selection</w:t>
      </w:r>
      <w:r w:rsidR="005853A9">
        <w:t xml:space="preserve"> and </w:t>
      </w:r>
      <w:r w:rsidRPr="001A3D2B">
        <w:t>deselection decisions. With</w:t>
      </w:r>
      <w:r w:rsidR="003A1917">
        <w:t xml:space="preserve"> the </w:t>
      </w:r>
      <w:r w:rsidRPr="001A3D2B">
        <w:t>advent</w:t>
      </w:r>
      <w:r w:rsidR="00427468">
        <w:t xml:space="preserve"> of </w:t>
      </w:r>
      <w:r w:rsidRPr="001A3D2B">
        <w:t>new technology-specifically, CD-ROM databases</w:t>
      </w:r>
      <w:r w:rsidR="005853A9">
        <w:t xml:space="preserve"> and </w:t>
      </w:r>
      <w:r w:rsidRPr="001A3D2B">
        <w:t>reprint file database management programs-new cost-effective procedures can be developed. This paper describes a recent multidisciplinary study conducted by two library faculty members</w:t>
      </w:r>
      <w:r w:rsidR="005853A9">
        <w:t xml:space="preserve"> and </w:t>
      </w:r>
      <w:r w:rsidRPr="001A3D2B">
        <w:t>one allied health faculty member to test a bibliometric method that used</w:t>
      </w:r>
      <w:r w:rsidR="003A1917">
        <w:t xml:space="preserve"> the </w:t>
      </w:r>
      <w:r w:rsidR="00D5664A">
        <w:t>MEDLINE</w:t>
      </w:r>
      <w:r w:rsidR="005853A9">
        <w:t xml:space="preserve"> and </w:t>
      </w:r>
      <w:r w:rsidRPr="001A3D2B">
        <w:t>CINAHL databases on CD-ROM</w:t>
      </w:r>
      <w:r w:rsidR="005853A9">
        <w:t xml:space="preserve"> and </w:t>
      </w:r>
      <w:r w:rsidR="003A1917">
        <w:t xml:space="preserve">the </w:t>
      </w:r>
      <w:r w:rsidRPr="001A3D2B">
        <w:t>Papyrus database management program to produce a new collection development methodology.</w:t>
      </w:r>
    </w:p>
    <w:p w:rsidR="003474F2" w:rsidRPr="001A3D2B" w:rsidRDefault="003474F2" w:rsidP="003474F2">
      <w:pPr>
        <w:pStyle w:val="a3"/>
      </w:pPr>
      <w:r w:rsidRPr="001A3D2B">
        <w:t>Keywords: Selection, Citation</w:t>
      </w:r>
    </w:p>
    <w:p w:rsidR="003474F2" w:rsidRPr="001A3D2B" w:rsidRDefault="003474F2" w:rsidP="003474F2">
      <w:pPr>
        <w:pStyle w:val="a3"/>
      </w:pPr>
      <w:r w:rsidRPr="001A3D2B">
        <w:t>Dimitroff, A. (1992), Research in health-sciences library</w:t>
      </w:r>
      <w:r w:rsidR="005853A9">
        <w:t xml:space="preserve"> and </w:t>
      </w:r>
      <w:r w:rsidRPr="001A3D2B">
        <w:t xml:space="preserve">information-science: A quantitative-analysis.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80</w:t>
      </w:r>
      <w:r w:rsidRPr="001A3D2B">
        <w:t xml:space="preserve"> (4), 340-346.</w:t>
      </w:r>
    </w:p>
    <w:p w:rsidR="003474F2" w:rsidRPr="001A3D2B" w:rsidRDefault="003474F2" w:rsidP="003474F2">
      <w:pPr>
        <w:pStyle w:val="a3"/>
      </w:pPr>
      <w:r w:rsidRPr="001A3D2B">
        <w:t xml:space="preserve">Full Text: </w:t>
      </w:r>
      <w:hyperlink r:id="rId2111" w:history="1">
        <w:r w:rsidRPr="001A3D2B">
          <w:rPr>
            <w:rStyle w:val="a5"/>
          </w:rPr>
          <w:t>1992\Bul Med Lib Ass80, 340.pdf</w:t>
        </w:r>
      </w:hyperlink>
    </w:p>
    <w:p w:rsidR="003474F2" w:rsidRPr="001A3D2B" w:rsidRDefault="003474F2" w:rsidP="003474F2">
      <w:pPr>
        <w:pStyle w:val="a3"/>
      </w:pPr>
      <w:r w:rsidRPr="001A3D2B">
        <w:t>Abstract: A content analysis</w:t>
      </w:r>
      <w:r w:rsidR="00427468">
        <w:t xml:space="preserve"> of </w:t>
      </w:r>
      <w:r w:rsidRPr="001A3D2B">
        <w:t>research articles published between 1966</w:t>
      </w:r>
      <w:r w:rsidR="005853A9">
        <w:t xml:space="preserve"> and </w:t>
      </w:r>
      <w:smartTag w:uri="urn:schemas-microsoft-com:office:smarttags" w:element="chmetcnv">
        <w:smartTagPr>
          <w:attr w:name="TCSC" w:val="0"/>
          <w:attr w:name="NumberType" w:val="1"/>
          <w:attr w:name="Negative" w:val="False"/>
          <w:attr w:name="HasSpace" w:val="True"/>
          <w:attr w:name="SourceValue" w:val="1990"/>
          <w:attr w:name="UnitName" w:val="in"/>
        </w:smartTagPr>
        <w:r w:rsidRPr="001A3D2B">
          <w:t>1990 in</w:t>
        </w:r>
      </w:smartTag>
      <w:r w:rsidR="003A1917">
        <w:t xml:space="preserve"> the </w:t>
      </w:r>
      <w:r w:rsidRPr="001A3D2B">
        <w:t>Bulletin</w:t>
      </w:r>
      <w:r w:rsidR="00427468">
        <w:t xml:space="preserve"> of </w:t>
      </w:r>
      <w:r w:rsidR="003A1917">
        <w:t xml:space="preserve">the </w:t>
      </w:r>
      <w:r w:rsidRPr="001A3D2B">
        <w:t>Medical Library Association was undertaken. Four specific questions were addressed: What subjects are</w:t>
      </w:r>
      <w:r w:rsidR="00427468">
        <w:t xml:space="preserve"> of </w:t>
      </w:r>
      <w:r w:rsidRPr="001A3D2B">
        <w:t xml:space="preserve">interest to health sciences librarians? </w:t>
      </w:r>
      <w:r w:rsidRPr="001A3D2B">
        <w:lastRenderedPageBreak/>
        <w:t>Who is conducting this research? How do health sciences librarians conduct their research? Do health sciences librarians obtain funding for their research activities? Bibliometric characteristics</w:t>
      </w:r>
      <w:r w:rsidR="00427468">
        <w:t xml:space="preserve"> of </w:t>
      </w:r>
      <w:r w:rsidR="003A1917">
        <w:t xml:space="preserve">the </w:t>
      </w:r>
      <w:r w:rsidRPr="001A3D2B">
        <w:t>research articles are described</w:t>
      </w:r>
      <w:r w:rsidR="005853A9">
        <w:t xml:space="preserve"> and </w:t>
      </w:r>
      <w:r w:rsidRPr="001A3D2B">
        <w:t>compared to characteristics</w:t>
      </w:r>
      <w:r w:rsidR="00427468">
        <w:t xml:space="preserve"> of </w:t>
      </w:r>
      <w:r w:rsidRPr="001A3D2B">
        <w:t>research in library</w:t>
      </w:r>
      <w:r w:rsidR="005853A9">
        <w:t xml:space="preserve"> and </w:t>
      </w:r>
      <w:r w:rsidRPr="001A3D2B">
        <w:t>information science as a whole in terms</w:t>
      </w:r>
      <w:r w:rsidR="00427468">
        <w:t xml:space="preserve"> of </w:t>
      </w:r>
      <w:r w:rsidRPr="001A3D2B">
        <w:t>subject</w:t>
      </w:r>
      <w:r w:rsidR="005853A9">
        <w:t xml:space="preserve"> and </w:t>
      </w:r>
      <w:r w:rsidRPr="001A3D2B">
        <w:t>methodology. General findings were that most research in health sciences librarianship is conducted by librarians affiliated with academic health sciences libraries (51.8%); most deals with an applied (45.7%) or a theoretical (29.2%) topic; survey (41.0%) or observational (20.7%) research methodologies are used; descriptive quantitative analytical techniques are used (83.5%);</w:t>
      </w:r>
      <w:r w:rsidR="005853A9">
        <w:t xml:space="preserve"> and </w:t>
      </w:r>
      <w:r w:rsidRPr="001A3D2B">
        <w:t>over 25%</w:t>
      </w:r>
      <w:r w:rsidR="00427468">
        <w:t xml:space="preserve"> of </w:t>
      </w:r>
      <w:r w:rsidRPr="001A3D2B">
        <w:t>research is funded</w:t>
      </w:r>
      <w:r w:rsidR="00A37C1D">
        <w:t>. The</w:t>
      </w:r>
      <w:r w:rsidR="003A1917">
        <w:t xml:space="preserve"> </w:t>
      </w:r>
      <w:r w:rsidRPr="001A3D2B">
        <w:t>average number</w:t>
      </w:r>
      <w:r w:rsidR="00427468">
        <w:t xml:space="preserve"> of </w:t>
      </w:r>
      <w:r w:rsidRPr="001A3D2B">
        <w:t>authors was 1.85, average article length was 7.25 pages,</w:t>
      </w:r>
      <w:r w:rsidR="005853A9">
        <w:t xml:space="preserve"> and </w:t>
      </w:r>
      <w:r w:rsidRPr="001A3D2B">
        <w:t>average number</w:t>
      </w:r>
      <w:r w:rsidR="00427468">
        <w:t xml:space="preserve"> of </w:t>
      </w:r>
      <w:r w:rsidRPr="001A3D2B">
        <w:t>citations per article was 9.23</w:t>
      </w:r>
      <w:r w:rsidR="00A37C1D">
        <w:t>. The</w:t>
      </w:r>
      <w:r w:rsidRPr="001A3D2B">
        <w:t>se findings are consistent with those reported in</w:t>
      </w:r>
      <w:r w:rsidR="003A1917">
        <w:t xml:space="preserve"> the </w:t>
      </w:r>
      <w:r w:rsidRPr="001A3D2B">
        <w:t>general library</w:t>
      </w:r>
      <w:r w:rsidR="005853A9">
        <w:t xml:space="preserve"> and </w:t>
      </w:r>
      <w:r w:rsidRPr="001A3D2B">
        <w:t>information science literature for</w:t>
      </w:r>
      <w:r w:rsidR="003A1917">
        <w:t xml:space="preserve"> the </w:t>
      </w:r>
      <w:r w:rsidRPr="001A3D2B">
        <w:t>most part, although specific differences do exist in methodological</w:t>
      </w:r>
      <w:r w:rsidR="005853A9">
        <w:t xml:space="preserve"> and </w:t>
      </w:r>
      <w:r w:rsidRPr="001A3D2B">
        <w:t>analytical areas.</w:t>
      </w:r>
    </w:p>
    <w:p w:rsidR="003474F2" w:rsidRPr="001A3D2B" w:rsidRDefault="003474F2" w:rsidP="003474F2">
      <w:pPr>
        <w:pStyle w:val="a3"/>
      </w:pPr>
      <w:r w:rsidRPr="001A3D2B">
        <w:t>Keywords: Articles</w:t>
      </w:r>
    </w:p>
    <w:p w:rsidR="003474F2" w:rsidRPr="001A3D2B" w:rsidRDefault="003474F2" w:rsidP="003474F2">
      <w:pPr>
        <w:pStyle w:val="a3"/>
      </w:pPr>
      <w:r w:rsidRPr="001A3D2B">
        <w:t>Curtis, K.L., Weller, A.C.</w:t>
      </w:r>
      <w:r w:rsidR="005853A9">
        <w:t xml:space="preserve"> and </w:t>
      </w:r>
      <w:r w:rsidRPr="001A3D2B">
        <w:t>Hurd, J.M. (1993), Information-seeking behavior: A survey</w:t>
      </w:r>
      <w:r w:rsidR="00427468">
        <w:t xml:space="preserve"> of </w:t>
      </w:r>
      <w:r w:rsidRPr="001A3D2B">
        <w:t>health-sciences faculty use</w:t>
      </w:r>
      <w:r w:rsidR="00427468">
        <w:t xml:space="preserve"> of </w:t>
      </w:r>
      <w:r w:rsidRPr="001A3D2B">
        <w:t>indexes</w:t>
      </w:r>
      <w:r w:rsidR="005853A9">
        <w:t xml:space="preserve"> and </w:t>
      </w:r>
      <w:r w:rsidRPr="001A3D2B">
        <w:t xml:space="preserve">databases.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81</w:t>
      </w:r>
      <w:r w:rsidRPr="001A3D2B">
        <w:t xml:space="preserve"> (4), 383-392.</w:t>
      </w:r>
    </w:p>
    <w:p w:rsidR="003474F2" w:rsidRPr="001A3D2B" w:rsidRDefault="003474F2" w:rsidP="003474F2">
      <w:pPr>
        <w:pStyle w:val="a3"/>
      </w:pPr>
      <w:r w:rsidRPr="001A3D2B">
        <w:t xml:space="preserve">Full Text: </w:t>
      </w:r>
      <w:hyperlink r:id="rId2112" w:history="1">
        <w:r w:rsidRPr="001A3D2B">
          <w:rPr>
            <w:rStyle w:val="a5"/>
          </w:rPr>
          <w:t>1993\Bul Med Lib Ass81, 383.pdf</w:t>
        </w:r>
      </w:hyperlink>
    </w:p>
    <w:p w:rsidR="003474F2" w:rsidRPr="001A3D2B" w:rsidRDefault="003474F2" w:rsidP="003474F2">
      <w:pPr>
        <w:pStyle w:val="a3"/>
      </w:pPr>
      <w:r w:rsidRPr="001A3D2B">
        <w:t>Abstract: This study investigated information-seeking behavior, including use</w:t>
      </w:r>
      <w:r w:rsidR="00427468">
        <w:t xml:space="preserve"> of </w:t>
      </w:r>
      <w:r w:rsidRPr="001A3D2B">
        <w:t>major bibliographic tools by medical, pharmacy, nursing,</w:t>
      </w:r>
      <w:r w:rsidR="005853A9">
        <w:t xml:space="preserve"> and </w:t>
      </w:r>
      <w:r w:rsidRPr="001A3D2B">
        <w:t>science faculty at</w:t>
      </w:r>
      <w:r w:rsidR="003A1917">
        <w:t xml:space="preserve"> the </w:t>
      </w:r>
      <w:r w:rsidRPr="001A3D2B">
        <w:t>University</w:t>
      </w:r>
      <w:r w:rsidR="00427468">
        <w:t xml:space="preserve"> of </w:t>
      </w:r>
      <w:r w:rsidRPr="001A3D2B">
        <w:t>Illinois at Chicago</w:t>
      </w:r>
      <w:r w:rsidR="00A37C1D">
        <w:t>. The</w:t>
      </w:r>
      <w:r w:rsidR="003A1917">
        <w:t xml:space="preserve"> </w:t>
      </w:r>
      <w:r w:rsidRPr="001A3D2B">
        <w:t>study assessed</w:t>
      </w:r>
      <w:r w:rsidR="003A1917">
        <w:t xml:space="preserve"> the </w:t>
      </w:r>
      <w:r w:rsidRPr="001A3D2B">
        <w:t>impact</w:t>
      </w:r>
      <w:r w:rsidR="00427468">
        <w:t xml:space="preserve"> of </w:t>
      </w:r>
      <w:r w:rsidRPr="001A3D2B">
        <w:t>availability</w:t>
      </w:r>
      <w:r w:rsidR="00427468">
        <w:t xml:space="preserve"> of </w:t>
      </w:r>
      <w:r w:rsidRPr="001A3D2B">
        <w:t>locally mounted databases, determined needs for modification</w:t>
      </w:r>
      <w:r w:rsidR="00427468">
        <w:t xml:space="preserve"> of </w:t>
      </w:r>
      <w:r w:rsidRPr="001A3D2B">
        <w:t>instructional programs, identified</w:t>
      </w:r>
      <w:r w:rsidR="003A1917">
        <w:t xml:space="preserve"> the </w:t>
      </w:r>
      <w:r w:rsidRPr="001A3D2B">
        <w:t>need for promotional material,</w:t>
      </w:r>
      <w:r w:rsidR="005853A9">
        <w:t xml:space="preserve"> and </w:t>
      </w:r>
      <w:r w:rsidRPr="001A3D2B">
        <w:t>established a baseline for subsequent studies. Results reflected a wide variation in</w:t>
      </w:r>
      <w:r w:rsidR="003A1917">
        <w:t xml:space="preserve"> the </w:t>
      </w:r>
      <w:r w:rsidRPr="001A3D2B">
        <w:t>number</w:t>
      </w:r>
      <w:r w:rsidR="005853A9">
        <w:t xml:space="preserve"> and </w:t>
      </w:r>
      <w:r w:rsidRPr="001A3D2B">
        <w:t>format</w:t>
      </w:r>
      <w:r w:rsidR="00427468">
        <w:t xml:space="preserve"> of </w:t>
      </w:r>
      <w:r w:rsidRPr="001A3D2B">
        <w:t>secondary services used by faculty. Over 70%</w:t>
      </w:r>
      <w:r w:rsidR="00427468">
        <w:t xml:space="preserve"> of </w:t>
      </w:r>
      <w:r w:rsidRPr="001A3D2B">
        <w:t>all faculty from</w:t>
      </w:r>
      <w:r w:rsidR="003A1917">
        <w:t xml:space="preserve"> the </w:t>
      </w:r>
      <w:r w:rsidRPr="001A3D2B">
        <w:t>colleges</w:t>
      </w:r>
      <w:r w:rsidR="00427468">
        <w:t xml:space="preserve"> of </w:t>
      </w:r>
      <w:r w:rsidRPr="001A3D2B">
        <w:t>medicine, pharmacy,</w:t>
      </w:r>
      <w:r w:rsidR="005853A9">
        <w:t xml:space="preserve"> and </w:t>
      </w:r>
      <w:r w:rsidRPr="001A3D2B">
        <w:t xml:space="preserve">nursing used Index Medicus or </w:t>
      </w:r>
      <w:r w:rsidR="00D5664A">
        <w:t>MEDLINE</w:t>
      </w:r>
      <w:r w:rsidR="00A37C1D">
        <w:t>. The</w:t>
      </w:r>
      <w:r w:rsidRPr="001A3D2B">
        <w:t>re were statistically significant differences between colleges in their use</w:t>
      </w:r>
      <w:r w:rsidR="00427468">
        <w:t xml:space="preserve"> of </w:t>
      </w:r>
      <w:r w:rsidRPr="001A3D2B">
        <w:t>mediated</w:t>
      </w:r>
      <w:r w:rsidR="005853A9">
        <w:t xml:space="preserve"> and </w:t>
      </w:r>
      <w:r w:rsidRPr="001A3D2B">
        <w:t>end-user searching</w:t>
      </w:r>
      <w:r w:rsidR="00427468">
        <w:t xml:space="preserve"> of </w:t>
      </w:r>
      <w:r w:rsidR="00D5664A">
        <w:t>MEDLINE</w:t>
      </w:r>
      <w:r w:rsidRPr="001A3D2B">
        <w:t>. Colleges exhibited significant differences in use</w:t>
      </w:r>
      <w:r w:rsidR="00427468">
        <w:t xml:space="preserve"> of </w:t>
      </w:r>
      <w:r w:rsidRPr="001A3D2B">
        <w:t>Current Contents, PsycLIT, ERIC, Cumulative Index to Nursing</w:t>
      </w:r>
      <w:r w:rsidR="005853A9">
        <w:t xml:space="preserve"> and </w:t>
      </w:r>
      <w:r w:rsidRPr="001A3D2B">
        <w:t>Allied Health Literature (CINAHL), Chemical Abstracts,</w:t>
      </w:r>
      <w:r w:rsidR="005853A9">
        <w:t xml:space="preserve"> and </w:t>
      </w:r>
      <w:r w:rsidRPr="001A3D2B">
        <w:t>Science Citation Index. Statistically significant differences also were found among several clinical departments</w:t>
      </w:r>
      <w:r w:rsidR="00A37C1D">
        <w:t>. The</w:t>
      </w:r>
      <w:r w:rsidR="003A1917">
        <w:t xml:space="preserve"> </w:t>
      </w:r>
      <w:r w:rsidRPr="001A3D2B">
        <w:t>study concluded that, as new formats to bibliographic tools become available, traditional formats continue to be used; training sessions must be tailored to</w:t>
      </w:r>
      <w:r w:rsidR="003A1917">
        <w:t xml:space="preserve"> the </w:t>
      </w:r>
      <w:r w:rsidRPr="001A3D2B">
        <w:t>audience;</w:t>
      </w:r>
      <w:r w:rsidR="005853A9">
        <w:t xml:space="preserve"> and </w:t>
      </w:r>
      <w:r w:rsidR="003A1917">
        <w:t xml:space="preserve">the </w:t>
      </w:r>
      <w:r w:rsidRPr="001A3D2B">
        <w:t>availability</w:t>
      </w:r>
      <w:r w:rsidR="00427468">
        <w:t xml:space="preserve"> of </w:t>
      </w:r>
      <w:r w:rsidRPr="001A3D2B">
        <w:t>local resources</w:t>
      </w:r>
      <w:r w:rsidR="005853A9">
        <w:t xml:space="preserve"> and </w:t>
      </w:r>
      <w:r w:rsidRPr="001A3D2B">
        <w:t>their use by faculty needs to be understood.</w:t>
      </w:r>
    </w:p>
    <w:p w:rsidR="003474F2" w:rsidRPr="001A3D2B" w:rsidRDefault="003474F2" w:rsidP="003474F2">
      <w:pPr>
        <w:pStyle w:val="a3"/>
      </w:pPr>
      <w:r w:rsidRPr="001A3D2B">
        <w:t>? Reed, K.L. (1995), Citation analysis</w:t>
      </w:r>
      <w:r w:rsidR="00427468">
        <w:t xml:space="preserve"> of </w:t>
      </w:r>
      <w:r w:rsidRPr="001A3D2B">
        <w:t>faculty publication - Beyond Science Citation Index</w:t>
      </w:r>
      <w:r w:rsidR="005853A9">
        <w:t xml:space="preserve"> and </w:t>
      </w:r>
      <w:r w:rsidRPr="001A3D2B">
        <w:t xml:space="preserve">Social Science Citation Index.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83</w:t>
      </w:r>
      <w:r w:rsidRPr="001A3D2B">
        <w:t xml:space="preserve"> (4), 503-508.</w:t>
      </w:r>
    </w:p>
    <w:p w:rsidR="003474F2" w:rsidRPr="001A3D2B" w:rsidRDefault="003474F2" w:rsidP="003474F2">
      <w:pPr>
        <w:pStyle w:val="a3"/>
      </w:pPr>
      <w:r w:rsidRPr="001A3D2B">
        <w:lastRenderedPageBreak/>
        <w:t xml:space="preserve">Full Text: </w:t>
      </w:r>
      <w:hyperlink r:id="rId2113" w:history="1">
        <w:r w:rsidRPr="001A3D2B">
          <w:rPr>
            <w:rStyle w:val="a5"/>
          </w:rPr>
          <w:t>1995\Bul Med Lib Ass83, 503.pdf</w:t>
        </w:r>
      </w:hyperlink>
    </w:p>
    <w:p w:rsidR="003474F2" w:rsidRPr="001A3D2B" w:rsidRDefault="003474F2" w:rsidP="003474F2">
      <w:pPr>
        <w:pStyle w:val="a3"/>
      </w:pPr>
      <w:r w:rsidRPr="001A3D2B">
        <w:t>Abstract: When evaluated for promotion or tenure, faculty members are increasingly judged more on</w:t>
      </w:r>
      <w:r w:rsidR="003A1917">
        <w:t xml:space="preserve"> the </w:t>
      </w:r>
      <w:r w:rsidRPr="001A3D2B">
        <w:t>quality than on</w:t>
      </w:r>
      <w:r w:rsidR="003A1917">
        <w:t xml:space="preserve"> the </w:t>
      </w:r>
      <w:r w:rsidRPr="001A3D2B">
        <w:t>quantity</w:t>
      </w:r>
      <w:r w:rsidR="00427468">
        <w:t xml:space="preserve"> of </w:t>
      </w:r>
      <w:r w:rsidRPr="001A3D2B">
        <w:t>their scholarly publications. As a result, they want help from librarians in locating all citations to their published works for documentation in their curriculum vitae. Citation analysis using Science Citation Index</w:t>
      </w:r>
      <w:r w:rsidR="005853A9">
        <w:t xml:space="preserve"> and </w:t>
      </w:r>
      <w:r w:rsidRPr="001A3D2B">
        <w:t>Social Science Citation Index provides a logical starting point in measuring quality, but</w:t>
      </w:r>
      <w:r w:rsidR="003A1917">
        <w:t xml:space="preserve"> the </w:t>
      </w:r>
      <w:r w:rsidRPr="001A3D2B">
        <w:t>limitations</w:t>
      </w:r>
      <w:r w:rsidR="00427468">
        <w:t xml:space="preserve"> of </w:t>
      </w:r>
      <w:r w:rsidRPr="001A3D2B">
        <w:t>these sources leave a void in coverage</w:t>
      </w:r>
      <w:r w:rsidR="00427468">
        <w:t xml:space="preserve"> of </w:t>
      </w:r>
      <w:r w:rsidRPr="001A3D2B">
        <w:t>citations to an author</w:t>
      </w:r>
      <w:r w:rsidR="00700038">
        <w:t>’</w:t>
      </w:r>
      <w:r w:rsidR="00C13DDC">
        <w:t>s</w:t>
      </w:r>
      <w:r w:rsidRPr="001A3D2B">
        <w:t xml:space="preserve"> work. This article discusses alternative</w:t>
      </w:r>
      <w:r w:rsidR="005853A9">
        <w:t xml:space="preserve"> and </w:t>
      </w:r>
      <w:r w:rsidRPr="001A3D2B">
        <w:t>additional methods</w:t>
      </w:r>
      <w:r w:rsidR="00427468">
        <w:t xml:space="preserve"> of </w:t>
      </w:r>
      <w:r w:rsidRPr="001A3D2B">
        <w:t>locating citations to published works.</w:t>
      </w:r>
    </w:p>
    <w:p w:rsidR="003474F2" w:rsidRPr="001A3D2B" w:rsidRDefault="003474F2" w:rsidP="003474F2">
      <w:pPr>
        <w:pStyle w:val="a3"/>
      </w:pPr>
      <w:r w:rsidRPr="001A3D2B">
        <w:t>Keywords: Alternative, Analysis, Articles, Citation, Citation Analysis, Citations, Coverage, Curriculum, Documentation, Faculty, Impact, Journals, Methods, Promotion, Publications, Published Works, Quality, Science Citation Index, Social Science Citation Index, Sources, Tenure, Work</w:t>
      </w:r>
    </w:p>
    <w:p w:rsidR="003474F2" w:rsidRPr="001A3D2B" w:rsidRDefault="003474F2" w:rsidP="003474F2">
      <w:pPr>
        <w:pStyle w:val="a3"/>
      </w:pPr>
      <w:r w:rsidRPr="001A3D2B">
        <w:t>Sittig, D.F. (1996), Identifying a core set</w:t>
      </w:r>
      <w:r w:rsidR="00427468">
        <w:t xml:space="preserve"> of </w:t>
      </w:r>
      <w:r w:rsidRPr="001A3D2B">
        <w:t>medical informatics serials: An analysis using</w:t>
      </w:r>
      <w:r w:rsidR="003A1917">
        <w:t xml:space="preserve"> the </w:t>
      </w:r>
      <w:r w:rsidR="00D5664A">
        <w:t>MEDLINE</w:t>
      </w:r>
      <w:r w:rsidRPr="001A3D2B">
        <w:t xml:space="preserve"> database.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84</w:t>
      </w:r>
      <w:r w:rsidRPr="001A3D2B">
        <w:t xml:space="preserve"> (2), 200-204.</w:t>
      </w:r>
    </w:p>
    <w:p w:rsidR="003474F2" w:rsidRPr="001A3D2B" w:rsidRDefault="003474F2" w:rsidP="003474F2">
      <w:pPr>
        <w:pStyle w:val="a3"/>
      </w:pPr>
      <w:r w:rsidRPr="001A3D2B">
        <w:t xml:space="preserve">Full Text: </w:t>
      </w:r>
      <w:hyperlink r:id="rId2114" w:history="1">
        <w:r w:rsidRPr="001A3D2B">
          <w:rPr>
            <w:rStyle w:val="a5"/>
          </w:rPr>
          <w:t>1996\Bul Med Lib Ass84, 200.pdf</w:t>
        </w:r>
      </w:hyperlink>
    </w:p>
    <w:p w:rsidR="003474F2" w:rsidRPr="001A3D2B" w:rsidRDefault="003474F2" w:rsidP="003474F2">
      <w:pPr>
        <w:pStyle w:val="a3"/>
      </w:pPr>
      <w:r w:rsidRPr="001A3D2B">
        <w:t>Abstract: A study was undertaken to test</w:t>
      </w:r>
      <w:r w:rsidR="003A1917">
        <w:t xml:space="preserve"> the </w:t>
      </w:r>
      <w:r w:rsidRPr="001A3D2B">
        <w:t>hypothesis that a fore set</w:t>
      </w:r>
      <w:r w:rsidR="00427468">
        <w:t xml:space="preserve"> of </w:t>
      </w:r>
      <w:r w:rsidRPr="001A3D2B">
        <w:t>medical informatics serials could be identified by using standard bibliometric techniques. All journal articles indexed by</w:t>
      </w:r>
      <w:r w:rsidR="003A1917">
        <w:t xml:space="preserve"> the </w:t>
      </w:r>
      <w:r w:rsidRPr="001A3D2B">
        <w:t>National Library</w:t>
      </w:r>
      <w:r w:rsidR="00427468">
        <w:t xml:space="preserve"> of </w:t>
      </w:r>
      <w:r w:rsidRPr="001A3D2B">
        <w:t>Medicine between 1990</w:t>
      </w:r>
      <w:r w:rsidR="005853A9">
        <w:t xml:space="preserve"> and </w:t>
      </w:r>
      <w:r w:rsidRPr="001A3D2B">
        <w:t>1994 were included. Articles were identified by using</w:t>
      </w:r>
      <w:r w:rsidR="003A1917">
        <w:t xml:space="preserve"> the </w:t>
      </w:r>
      <w:r w:rsidR="00700038">
        <w:t>‘</w:t>
      </w:r>
      <w:r w:rsidRPr="001A3D2B">
        <w:t>MEDICAL INFORMATICS</w:t>
      </w:r>
      <w:r w:rsidR="00700038">
        <w:t>’</w:t>
      </w:r>
      <w:r w:rsidRPr="001A3D2B">
        <w:t xml:space="preserve"> Medical Subject Heading (MeSH) term. Each serial title containing articles was then ranked according to (1)</w:t>
      </w:r>
      <w:r w:rsidR="003A1917">
        <w:t xml:space="preserve"> the </w:t>
      </w:r>
      <w:r w:rsidRPr="001A3D2B">
        <w:t>total number</w:t>
      </w:r>
      <w:r w:rsidR="00427468">
        <w:t xml:space="preserve"> of </w:t>
      </w:r>
      <w:r w:rsidRPr="001A3D2B">
        <w:t>medical informatics journal articles indexed</w:t>
      </w:r>
      <w:r w:rsidR="005853A9">
        <w:t xml:space="preserve"> and </w:t>
      </w:r>
      <w:r w:rsidRPr="001A3D2B">
        <w:t>(2)</w:t>
      </w:r>
      <w:r w:rsidR="003A1917">
        <w:t xml:space="preserve"> the </w:t>
      </w:r>
      <w:r w:rsidRPr="001A3D2B">
        <w:t>percentage</w:t>
      </w:r>
      <w:r w:rsidR="00427468">
        <w:t xml:space="preserve"> of </w:t>
      </w:r>
      <w:r w:rsidRPr="001A3D2B">
        <w:t>medical informatics journal articles indexed, Twenty-eight serials had more than 100 articles indexed under</w:t>
      </w:r>
      <w:r w:rsidR="003A1917">
        <w:t xml:space="preserve"> the </w:t>
      </w:r>
      <w:r w:rsidR="00700038">
        <w:t>‘</w:t>
      </w:r>
      <w:r w:rsidRPr="001A3D2B">
        <w:t>MEDICAL INFORMATICS</w:t>
      </w:r>
      <w:r w:rsidR="00700038">
        <w:t>’</w:t>
      </w:r>
      <w:r w:rsidRPr="001A3D2B">
        <w:t xml:space="preserve"> MeSH term. Thirty serials had more than 40%</w:t>
      </w:r>
      <w:r w:rsidR="00427468">
        <w:t xml:space="preserve"> of </w:t>
      </w:r>
      <w:r w:rsidRPr="001A3D2B">
        <w:t>their articles indexed under</w:t>
      </w:r>
      <w:r w:rsidR="003A1917">
        <w:t xml:space="preserve"> the </w:t>
      </w:r>
      <w:r w:rsidR="00700038">
        <w:t>‘</w:t>
      </w:r>
      <w:r w:rsidRPr="001A3D2B">
        <w:t>MEDICAL INFORMATICS</w:t>
      </w:r>
      <w:r w:rsidR="00700038">
        <w:t>’</w:t>
      </w:r>
      <w:r w:rsidRPr="001A3D2B">
        <w:t xml:space="preserve"> MeSH term. A </w:t>
      </w:r>
      <w:r w:rsidR="00700038">
        <w:t>‘</w:t>
      </w:r>
      <w:r w:rsidRPr="001A3D2B">
        <w:t>core</w:t>
      </w:r>
      <w:r w:rsidR="00700038">
        <w:t>’</w:t>
      </w:r>
      <w:r w:rsidRPr="001A3D2B">
        <w:t xml:space="preserve"> set</w:t>
      </w:r>
      <w:r w:rsidR="00427468">
        <w:t xml:space="preserve"> of </w:t>
      </w:r>
      <w:r w:rsidRPr="001A3D2B">
        <w:t>fourteen serials had 100 or more medical informatics articles indexed, including more than 70%</w:t>
      </w:r>
      <w:r w:rsidR="00427468">
        <w:t xml:space="preserve"> of </w:t>
      </w:r>
      <w:r w:rsidRPr="001A3D2B">
        <w:t>all articles they published</w:t>
      </w:r>
      <w:r w:rsidR="00A37C1D">
        <w:t>. The</w:t>
      </w:r>
      <w:r w:rsidR="003A1917">
        <w:t xml:space="preserve"> </w:t>
      </w:r>
      <w:r w:rsidRPr="001A3D2B">
        <w:t>methodology described provides librarians with another tool to use in</w:t>
      </w:r>
      <w:r w:rsidR="003A1917">
        <w:t xml:space="preserve"> the </w:t>
      </w:r>
      <w:r w:rsidRPr="001A3D2B">
        <w:t>difficult task oi journal selection</w:t>
      </w:r>
      <w:r w:rsidR="00A37C1D">
        <w:t>. The</w:t>
      </w:r>
      <w:r w:rsidR="003A1917">
        <w:t xml:space="preserve"> </w:t>
      </w:r>
      <w:r w:rsidRPr="001A3D2B">
        <w:t>set</w:t>
      </w:r>
      <w:r w:rsidR="00427468">
        <w:t xml:space="preserve"> of </w:t>
      </w:r>
      <w:r w:rsidR="00700038">
        <w:t>‘</w:t>
      </w:r>
      <w:r w:rsidRPr="001A3D2B">
        <w:t>core</w:t>
      </w:r>
      <w:r w:rsidR="00700038">
        <w:t>’</w:t>
      </w:r>
      <w:r w:rsidRPr="001A3D2B">
        <w:t xml:space="preserve"> serials identified provides librarians with a ranked list</w:t>
      </w:r>
      <w:r w:rsidR="00427468">
        <w:t xml:space="preserve"> of </w:t>
      </w:r>
      <w:r w:rsidRPr="001A3D2B">
        <w:t>serials, based on which a medical informatics collection can be developed.</w:t>
      </w:r>
    </w:p>
    <w:p w:rsidR="003474F2" w:rsidRPr="001A3D2B" w:rsidRDefault="003474F2" w:rsidP="003474F2">
      <w:pPr>
        <w:pStyle w:val="a3"/>
      </w:pPr>
      <w:r w:rsidRPr="001A3D2B">
        <w:t>Keywords: Academic Discipline</w:t>
      </w:r>
    </w:p>
    <w:p w:rsidR="003474F2" w:rsidRPr="001A3D2B" w:rsidRDefault="003474F2" w:rsidP="003474F2">
      <w:pPr>
        <w:pStyle w:val="a3"/>
      </w:pPr>
      <w:r w:rsidRPr="001A3D2B">
        <w:t>Weller, A.C. (1996), Editorial peer review: A comparison</w:t>
      </w:r>
      <w:r w:rsidR="00427468">
        <w:t xml:space="preserve"> of </w:t>
      </w:r>
      <w:r w:rsidRPr="001A3D2B">
        <w:t>authors publishing in two groups</w:t>
      </w:r>
      <w:r w:rsidR="00427468">
        <w:t xml:space="preserve"> of </w:t>
      </w:r>
      <w:r w:rsidRPr="001A3D2B">
        <w:t xml:space="preserve">US medical journals.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84</w:t>
      </w:r>
      <w:r w:rsidRPr="001A3D2B">
        <w:t xml:space="preserve"> (3), 359-366.</w:t>
      </w:r>
    </w:p>
    <w:p w:rsidR="003474F2" w:rsidRPr="001A3D2B" w:rsidRDefault="003474F2" w:rsidP="003474F2">
      <w:pPr>
        <w:pStyle w:val="a3"/>
      </w:pPr>
      <w:r w:rsidRPr="001A3D2B">
        <w:t xml:space="preserve">Full Text: </w:t>
      </w:r>
      <w:hyperlink r:id="rId2115" w:history="1">
        <w:r w:rsidRPr="001A3D2B">
          <w:rPr>
            <w:rStyle w:val="a5"/>
          </w:rPr>
          <w:t>1996\Bul Med Lib Ass84, 359.pdf</w:t>
        </w:r>
      </w:hyperlink>
    </w:p>
    <w:p w:rsidR="003474F2" w:rsidRPr="001A3D2B" w:rsidRDefault="003474F2" w:rsidP="003474F2">
      <w:pPr>
        <w:pStyle w:val="a3"/>
      </w:pPr>
      <w:r w:rsidRPr="001A3D2B">
        <w:t>Abstract: This study compared</w:t>
      </w:r>
      <w:r w:rsidR="003A1917">
        <w:t xml:space="preserve"> the </w:t>
      </w:r>
      <w:r w:rsidRPr="001A3D2B">
        <w:t>editorial peer review experiences</w:t>
      </w:r>
      <w:r w:rsidR="00427468">
        <w:t xml:space="preserve"> of </w:t>
      </w:r>
      <w:r w:rsidRPr="001A3D2B">
        <w:t>authors who published in two groups</w:t>
      </w:r>
      <w:r w:rsidR="00427468">
        <w:t xml:space="preserve"> of </w:t>
      </w:r>
      <w:r w:rsidRPr="001A3D2B">
        <w:t xml:space="preserve">indexed </w:t>
      </w:r>
      <w:smartTag w:uri="urn:schemas-microsoft-com:office:smarttags" w:element="place">
        <w:smartTag w:uri="urn:schemas-microsoft-com:office:smarttags" w:element="country-region">
          <w:r w:rsidRPr="001A3D2B">
            <w:t>U.S.</w:t>
          </w:r>
        </w:smartTag>
      </w:smartTag>
      <w:r w:rsidRPr="001A3D2B">
        <w:t xml:space="preserve"> medical journals</w:t>
      </w:r>
      <w:r w:rsidR="00A37C1D">
        <w:t>. The</w:t>
      </w:r>
      <w:r w:rsidR="003A1917">
        <w:t xml:space="preserve"> </w:t>
      </w:r>
      <w:r w:rsidRPr="001A3D2B">
        <w:t>study tested</w:t>
      </w:r>
      <w:r w:rsidR="003A1917">
        <w:t xml:space="preserve"> the </w:t>
      </w:r>
      <w:r w:rsidRPr="001A3D2B">
        <w:lastRenderedPageBreak/>
        <w:t xml:space="preserve">hypothesis that after one journal rejects a manuscript an author selects a less well-known journal for submission. Group One journals were defined as those indexed in 1992 </w:t>
      </w:r>
      <w:r w:rsidR="00D5664A">
        <w:t>MEDLINE</w:t>
      </w:r>
      <w:r w:rsidRPr="001A3D2B">
        <w:t xml:space="preserve"> that satisfied several additional qualitative measures; Group Two journals were indexed in</w:t>
      </w:r>
      <w:r w:rsidR="003A1917">
        <w:t xml:space="preserve"> the </w:t>
      </w:r>
      <w:r w:rsidRPr="001A3D2B">
        <w:t xml:space="preserve">1992 </w:t>
      </w:r>
      <w:r w:rsidR="00D5664A">
        <w:t>MEDLINE</w:t>
      </w:r>
      <w:r w:rsidRPr="001A3D2B">
        <w:t xml:space="preserve"> only. Surveys were sent to</w:t>
      </w:r>
      <w:r w:rsidR="003A1917">
        <w:t xml:space="preserve"> the </w:t>
      </w:r>
      <w:r w:rsidRPr="001A3D2B">
        <w:t>first authors</w:t>
      </w:r>
      <w:r w:rsidR="00427468">
        <w:t xml:space="preserve"> of </w:t>
      </w:r>
      <w:r w:rsidRPr="001A3D2B">
        <w:t>616 randomly selected articles,</w:t>
      </w:r>
      <w:r w:rsidR="005853A9">
        <w:t xml:space="preserve"> and </w:t>
      </w:r>
      <w:r w:rsidRPr="001A3D2B">
        <w:t>479 surveys were returned, for a response rate</w:t>
      </w:r>
      <w:r w:rsidR="00427468">
        <w:t xml:space="preserve"> of </w:t>
      </w:r>
      <w:r w:rsidRPr="001A3D2B">
        <w:t>78.1%. A total</w:t>
      </w:r>
      <w:r w:rsidR="00427468">
        <w:t xml:space="preserve"> of </w:t>
      </w:r>
      <w:r w:rsidRPr="001A3D2B">
        <w:t>20.8%</w:t>
      </w:r>
      <w:r w:rsidR="00427468">
        <w:t xml:space="preserve"> of </w:t>
      </w:r>
      <w:r w:rsidRPr="001A3D2B">
        <w:t>Group One</w:t>
      </w:r>
      <w:r w:rsidR="005853A9">
        <w:t xml:space="preserve"> and </w:t>
      </w:r>
      <w:r w:rsidRPr="001A3D2B">
        <w:t>15.7%</w:t>
      </w:r>
      <w:r w:rsidR="00427468">
        <w:t xml:space="preserve"> of </w:t>
      </w:r>
      <w:r w:rsidRPr="001A3D2B">
        <w:t>Group Two articles previously had been rejected. Group One authors were more likely to select a journal for its prestige</w:t>
      </w:r>
      <w:r w:rsidR="005853A9">
        <w:t xml:space="preserve"> and </w:t>
      </w:r>
      <w:r w:rsidRPr="001A3D2B">
        <w:t>article quality, while Group Two authors were more likely to have been invited to submit</w:t>
      </w:r>
      <w:r w:rsidR="003A1917">
        <w:t xml:space="preserve"> the </w:t>
      </w:r>
      <w:r w:rsidRPr="001A3D2B">
        <w:t>manuscript. More than 60%</w:t>
      </w:r>
      <w:r w:rsidR="00427468">
        <w:t xml:space="preserve"> of </w:t>
      </w:r>
      <w:r w:rsidRPr="001A3D2B">
        <w:t>both groups felt</w:t>
      </w:r>
      <w:r w:rsidR="003A1917">
        <w:t xml:space="preserve"> the </w:t>
      </w:r>
      <w:r w:rsidRPr="001A3D2B">
        <w:t>peer review had offered constructive suggestions, but that it had changed article conclusions less than 3%</w:t>
      </w:r>
      <w:r w:rsidR="00427468">
        <w:t xml:space="preserve"> of </w:t>
      </w:r>
      <w:r w:rsidR="003A1917">
        <w:t xml:space="preserve">the </w:t>
      </w:r>
      <w:r w:rsidRPr="001A3D2B">
        <w:t>time. Both groups thought</w:t>
      </w:r>
      <w:r w:rsidR="003A1917">
        <w:t xml:space="preserve"> the </w:t>
      </w:r>
      <w:r w:rsidRPr="001A3D2B">
        <w:t>review process only marginally improved content, organization, or statistical analysis, or clarified conclusions. Between 3%</w:t>
      </w:r>
      <w:r w:rsidR="005853A9">
        <w:t xml:space="preserve"> and </w:t>
      </w:r>
      <w:r w:rsidRPr="001A3D2B">
        <w:t>15%</w:t>
      </w:r>
      <w:r w:rsidR="00427468">
        <w:t xml:space="preserve"> of </w:t>
      </w:r>
      <w:r w:rsidRPr="001A3D2B">
        <w:t>all authors received considerable conflicting advice from different reviewers. Authors from both groups differed as to their reasons for journal selection, their connections with</w:t>
      </w:r>
      <w:r w:rsidR="003A1917">
        <w:t xml:space="preserve"> the </w:t>
      </w:r>
      <w:r w:rsidRPr="001A3D2B">
        <w:t>publishing journal,</w:t>
      </w:r>
      <w:r w:rsidR="005853A9">
        <w:t xml:space="preserve"> and </w:t>
      </w:r>
      <w:r w:rsidRPr="001A3D2B">
        <w:t>patterns</w:t>
      </w:r>
      <w:r w:rsidR="00427468">
        <w:t xml:space="preserve"> of </w:t>
      </w:r>
      <w:r w:rsidRPr="001A3D2B">
        <w:t>resubmission after rejection.</w:t>
      </w:r>
    </w:p>
    <w:p w:rsidR="003474F2" w:rsidRPr="001A3D2B" w:rsidRDefault="003474F2" w:rsidP="003474F2">
      <w:pPr>
        <w:pStyle w:val="a3"/>
      </w:pPr>
      <w:r w:rsidRPr="001A3D2B">
        <w:t>Keywords: Publication</w:t>
      </w:r>
    </w:p>
    <w:p w:rsidR="003474F2" w:rsidRPr="001A3D2B" w:rsidRDefault="003474F2" w:rsidP="003474F2">
      <w:pPr>
        <w:pStyle w:val="a3"/>
      </w:pPr>
      <w:r w:rsidRPr="001A3D2B">
        <w:t>?</w:t>
      </w:r>
      <w:r w:rsidRPr="001A3D2B">
        <w:rPr>
          <w:bCs/>
          <w:szCs w:val="24"/>
        </w:rPr>
        <w:t xml:space="preserve"> Zhang, H.Q.</w:t>
      </w:r>
      <w:r w:rsidRPr="001A3D2B">
        <w:t xml:space="preserve"> (1996), </w:t>
      </w:r>
      <w:r w:rsidRPr="001A3D2B">
        <w:rPr>
          <w:szCs w:val="24"/>
        </w:rPr>
        <w:t>Author characteristics in three medical library periodicals</w:t>
      </w:r>
      <w:r w:rsidRPr="001A3D2B">
        <w:t xml:space="preserv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84</w:t>
      </w:r>
      <w:r w:rsidRPr="001A3D2B">
        <w:t xml:space="preserve"> (3), </w:t>
      </w:r>
      <w:r w:rsidRPr="001A3D2B">
        <w:rPr>
          <w:szCs w:val="24"/>
        </w:rPr>
        <w:t>423-426</w:t>
      </w:r>
      <w:r w:rsidRPr="001A3D2B">
        <w:t>.</w:t>
      </w:r>
    </w:p>
    <w:p w:rsidR="003474F2" w:rsidRPr="001A3D2B" w:rsidRDefault="003474F2" w:rsidP="003474F2">
      <w:pPr>
        <w:pStyle w:val="a3"/>
      </w:pPr>
      <w:r w:rsidRPr="001A3D2B">
        <w:t xml:space="preserve">Full Text: </w:t>
      </w:r>
      <w:hyperlink r:id="rId2116" w:history="1">
        <w:r w:rsidRPr="001A3D2B">
          <w:rPr>
            <w:rStyle w:val="a5"/>
          </w:rPr>
          <w:t>1996\Bul Med Lib Ass84, 423.pdf</w:t>
        </w:r>
      </w:hyperlink>
    </w:p>
    <w:p w:rsidR="003474F2" w:rsidRPr="001A3D2B" w:rsidRDefault="003474F2" w:rsidP="003474F2">
      <w:pPr>
        <w:pStyle w:val="a3"/>
        <w:rPr>
          <w:szCs w:val="24"/>
        </w:rPr>
      </w:pPr>
      <w:r w:rsidRPr="001A3D2B">
        <w:rPr>
          <w:szCs w:val="24"/>
        </w:rPr>
        <w:t>Keywords: Institutional Affiliations, Information-Science, Research Articles, Journals</w:t>
      </w:r>
    </w:p>
    <w:p w:rsidR="003474F2" w:rsidRPr="001A3D2B" w:rsidRDefault="003474F2" w:rsidP="003474F2">
      <w:pPr>
        <w:pStyle w:val="a3"/>
      </w:pPr>
      <w:r w:rsidRPr="001A3D2B">
        <w:t>? Dorsch, J.L. (1997), BIOETHICSLINE use by medical students: Curriculum-integrated instruction</w:t>
      </w:r>
      <w:r w:rsidR="005853A9">
        <w:t xml:space="preserve"> and </w:t>
      </w:r>
      <w:r w:rsidRPr="001A3D2B">
        <w:t xml:space="preserve">collection development implications.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(2), 147-153.</w:t>
      </w:r>
    </w:p>
    <w:p w:rsidR="003474F2" w:rsidRPr="001A3D2B" w:rsidRDefault="003474F2" w:rsidP="003474F2">
      <w:pPr>
        <w:pStyle w:val="a3"/>
      </w:pPr>
      <w:r w:rsidRPr="001A3D2B">
        <w:t xml:space="preserve">Full Text: </w:t>
      </w:r>
      <w:hyperlink r:id="rId2117" w:history="1">
        <w:r w:rsidRPr="001A3D2B">
          <w:rPr>
            <w:rStyle w:val="a5"/>
          </w:rPr>
          <w:t>1997\Bul Med Lib Ass85, 147.pdf</w:t>
        </w:r>
      </w:hyperlink>
    </w:p>
    <w:p w:rsidR="003474F2" w:rsidRPr="001A3D2B" w:rsidRDefault="003474F2" w:rsidP="003474F2">
      <w:pPr>
        <w:pStyle w:val="a3"/>
      </w:pPr>
      <w:r w:rsidRPr="001A3D2B">
        <w:t>Abstract: BIOETHICSLINE uselogs were analyzed during months when second-year medical students were engaged in ethics coursework that included curriculum-integrated bibliographic instruction. Uselog data showed that peak activity occurred while students were preparing a required paper. Further uselog analysis indicated that students applied database features such as controlled vocabulary,</w:t>
      </w:r>
      <w:r w:rsidR="003A1917">
        <w:t xml:space="preserve"> the </w:t>
      </w:r>
      <w:r w:rsidR="00B5188C">
        <w:t>“</w:t>
      </w:r>
      <w:r w:rsidRPr="001A3D2B">
        <w:t>explode</w:t>
      </w:r>
      <w:r w:rsidR="00B5188C">
        <w:t>”</w:t>
      </w:r>
      <w:r w:rsidRPr="001A3D2B">
        <w:t xml:space="preserve"> command,</w:t>
      </w:r>
      <w:r w:rsidR="005853A9">
        <w:t xml:space="preserve"> and </w:t>
      </w:r>
      <w:r w:rsidRPr="001A3D2B">
        <w:t>a combination</w:t>
      </w:r>
      <w:r w:rsidR="00427468">
        <w:t xml:space="preserve"> of </w:t>
      </w:r>
      <w:r w:rsidRPr="001A3D2B">
        <w:t>multiple search concepts. In addition,</w:t>
      </w:r>
      <w:r w:rsidR="003A1917">
        <w:t xml:space="preserve"> the </w:t>
      </w:r>
      <w:r w:rsidRPr="001A3D2B">
        <w:t>study examined journal use</w:t>
      </w:r>
      <w:r w:rsidR="005853A9">
        <w:t xml:space="preserve"> and </w:t>
      </w:r>
      <w:r w:rsidRPr="001A3D2B">
        <w:t>interlibrary loan activity for a correlation with online search activity. Higher bioethics journal use</w:t>
      </w:r>
      <w:r w:rsidR="005853A9">
        <w:t xml:space="preserve"> and </w:t>
      </w:r>
      <w:r w:rsidRPr="001A3D2B">
        <w:t>interlibrary loan statistics coincided with peak BIOETHICSLINE activity periods. Citation analysis</w:t>
      </w:r>
      <w:r w:rsidR="00427468">
        <w:t xml:space="preserve"> of </w:t>
      </w:r>
      <w:r w:rsidRPr="001A3D2B">
        <w:t>student bibliographies reflected</w:t>
      </w:r>
      <w:r w:rsidR="003A1917">
        <w:t xml:space="preserve"> the </w:t>
      </w:r>
      <w:r w:rsidRPr="001A3D2B">
        <w:t>interdisciplinary nature</w:t>
      </w:r>
      <w:r w:rsidR="00427468">
        <w:t xml:space="preserve"> of </w:t>
      </w:r>
      <w:r w:rsidRPr="001A3D2B">
        <w:t>BIOETHICSLINE</w:t>
      </w:r>
      <w:r w:rsidR="005853A9">
        <w:t xml:space="preserve"> and </w:t>
      </w:r>
      <w:r w:rsidR="003A1917">
        <w:t xml:space="preserve">the </w:t>
      </w:r>
      <w:r w:rsidRPr="001A3D2B">
        <w:t>need for ethics, legal,</w:t>
      </w:r>
      <w:r w:rsidR="005853A9">
        <w:t xml:space="preserve"> and </w:t>
      </w:r>
      <w:r w:rsidRPr="001A3D2B">
        <w:t>clinical information sources in a bioethics collection. This study suggests that</w:t>
      </w:r>
      <w:r w:rsidR="003A1917">
        <w:t xml:space="preserve"> the </w:t>
      </w:r>
      <w:r w:rsidRPr="001A3D2B">
        <w:t>integration</w:t>
      </w:r>
      <w:r w:rsidR="00427468">
        <w:t xml:space="preserve"> of </w:t>
      </w:r>
      <w:r w:rsidRPr="001A3D2B">
        <w:t>bibliographic instruction</w:t>
      </w:r>
      <w:r w:rsidR="005853A9">
        <w:t xml:space="preserve"> and </w:t>
      </w:r>
      <w:r w:rsidR="003A1917">
        <w:t xml:space="preserve">the </w:t>
      </w:r>
      <w:r w:rsidRPr="001A3D2B">
        <w:t>coordination</w:t>
      </w:r>
      <w:r w:rsidR="00427468">
        <w:t xml:space="preserve"> of </w:t>
      </w:r>
      <w:r w:rsidRPr="001A3D2B">
        <w:t>collection development with students</w:t>
      </w:r>
      <w:r w:rsidR="00700038">
        <w:t>’</w:t>
      </w:r>
      <w:r w:rsidRPr="001A3D2B">
        <w:t xml:space="preserve"> curricular needs lead to increased</w:t>
      </w:r>
      <w:r w:rsidR="005853A9">
        <w:t xml:space="preserve"> and </w:t>
      </w:r>
      <w:r w:rsidRPr="001A3D2B">
        <w:t>more competent use</w:t>
      </w:r>
      <w:r w:rsidR="00427468">
        <w:t xml:space="preserve"> of </w:t>
      </w:r>
      <w:r w:rsidRPr="001A3D2B">
        <w:t>information resources.</w:t>
      </w:r>
    </w:p>
    <w:p w:rsidR="003474F2" w:rsidRPr="001A3D2B" w:rsidRDefault="003474F2" w:rsidP="003474F2">
      <w:pPr>
        <w:pStyle w:val="a3"/>
      </w:pPr>
      <w:r w:rsidRPr="001A3D2B">
        <w:lastRenderedPageBreak/>
        <w:t>Keywords: Activity, Analysis, Bioethics, Clinical, Coordination, Correlation, Development, Ethics, Features, Information, Integration, Interdisciplinary, Journal, Lead, Medical, Medical Students, Paper, Sources, Statistics, Student, Students</w:t>
      </w:r>
    </w:p>
    <w:p w:rsidR="003474F2" w:rsidRPr="001A3D2B" w:rsidRDefault="003474F2" w:rsidP="003474F2">
      <w:pPr>
        <w:pStyle w:val="a3"/>
      </w:pPr>
      <w:r w:rsidRPr="001A3D2B">
        <w:t>Schloman, B.F. (1997), Symposium: Mapping</w:t>
      </w:r>
      <w:r w:rsidR="003A1917">
        <w:t xml:space="preserve"> the </w:t>
      </w:r>
      <w:r w:rsidRPr="001A3D2B">
        <w:t>literature</w:t>
      </w:r>
      <w:r w:rsidR="00427468">
        <w:t xml:space="preserve"> of </w:t>
      </w:r>
      <w:r w:rsidRPr="001A3D2B">
        <w:t xml:space="preserve">allied health - introduction.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(3), 270.</w:t>
      </w:r>
    </w:p>
    <w:p w:rsidR="003474F2" w:rsidRPr="001A3D2B" w:rsidRDefault="003474F2" w:rsidP="003474F2">
      <w:pPr>
        <w:pStyle w:val="a3"/>
      </w:pPr>
      <w:r w:rsidRPr="001A3D2B">
        <w:t xml:space="preserve">Full Text: </w:t>
      </w:r>
      <w:hyperlink r:id="rId2118" w:history="1">
        <w:r w:rsidRPr="001A3D2B">
          <w:rPr>
            <w:rStyle w:val="a5"/>
          </w:rPr>
          <w:t>1997\Bul Med Lib Ass85, 270.pdf</w:t>
        </w:r>
      </w:hyperlink>
    </w:p>
    <w:p w:rsidR="003474F2" w:rsidRPr="001A3D2B" w:rsidRDefault="003474F2" w:rsidP="003474F2">
      <w:pPr>
        <w:pStyle w:val="a3"/>
      </w:pPr>
      <w:r w:rsidRPr="001A3D2B">
        <w:t>Schloman, B.F. (1997), Mapping</w:t>
      </w:r>
      <w:r w:rsidR="003A1917">
        <w:t xml:space="preserve"> the </w:t>
      </w:r>
      <w:r w:rsidRPr="001A3D2B">
        <w:t>literature</w:t>
      </w:r>
      <w:r w:rsidR="00427468">
        <w:t xml:space="preserve"> of </w:t>
      </w:r>
      <w:r w:rsidRPr="001A3D2B">
        <w:t xml:space="preserve">allied health: Project overview.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(3), 271-277.</w:t>
      </w:r>
    </w:p>
    <w:p w:rsidR="003474F2" w:rsidRPr="001A3D2B" w:rsidRDefault="003474F2" w:rsidP="003474F2">
      <w:pPr>
        <w:pStyle w:val="a3"/>
      </w:pPr>
      <w:r w:rsidRPr="001A3D2B">
        <w:t xml:space="preserve">Full Text: </w:t>
      </w:r>
      <w:hyperlink r:id="rId2119" w:history="1">
        <w:r w:rsidRPr="001A3D2B">
          <w:rPr>
            <w:rStyle w:val="a5"/>
          </w:rPr>
          <w:t>1997\Bul Med Lib Ass85, 271.pdf</w:t>
        </w:r>
      </w:hyperlink>
    </w:p>
    <w:p w:rsidR="003474F2" w:rsidRPr="001A3D2B" w:rsidRDefault="003474F2" w:rsidP="003474F2">
      <w:pPr>
        <w:pStyle w:val="a3"/>
      </w:pPr>
      <w:r w:rsidRPr="001A3D2B">
        <w:t>Abstract:</w:t>
      </w:r>
      <w:r w:rsidR="003A1917">
        <w:t xml:space="preserve"> the </w:t>
      </w:r>
      <w:r w:rsidRPr="001A3D2B">
        <w:t>Nursing</w:t>
      </w:r>
      <w:r w:rsidR="005853A9">
        <w:t xml:space="preserve"> and </w:t>
      </w:r>
      <w:r w:rsidRPr="001A3D2B">
        <w:t>Allied Health Resources Section</w:t>
      </w:r>
      <w:r w:rsidR="00427468">
        <w:t xml:space="preserve"> of </w:t>
      </w:r>
      <w:r w:rsidR="003A1917">
        <w:t xml:space="preserve">the </w:t>
      </w:r>
      <w:r w:rsidRPr="001A3D2B">
        <w:t>Medical Library Association (MLA) created</w:t>
      </w:r>
      <w:r w:rsidR="003A1917">
        <w:t xml:space="preserve"> the </w:t>
      </w:r>
      <w:r w:rsidRPr="001A3D2B">
        <w:t>Task Force on Bibliographic Access for</w:t>
      </w:r>
      <w:r w:rsidR="003A1917">
        <w:t xml:space="preserve"> the </w:t>
      </w:r>
      <w:r w:rsidRPr="001A3D2B">
        <w:t>Allied Health Literature to identify</w:t>
      </w:r>
      <w:r w:rsidR="003A1917">
        <w:t xml:space="preserve"> the </w:t>
      </w:r>
      <w:r w:rsidRPr="001A3D2B">
        <w:t>core journals</w:t>
      </w:r>
      <w:r w:rsidR="00427468">
        <w:t xml:space="preserve"> of </w:t>
      </w:r>
      <w:r w:rsidRPr="001A3D2B">
        <w:t>various allied health fields</w:t>
      </w:r>
      <w:r w:rsidR="005853A9">
        <w:t xml:space="preserve"> and </w:t>
      </w:r>
      <w:r w:rsidRPr="001A3D2B">
        <w:t>assess</w:t>
      </w:r>
      <w:r w:rsidR="003A1917">
        <w:t xml:space="preserve"> the </w:t>
      </w:r>
      <w:r w:rsidRPr="001A3D2B">
        <w:t>coverage given these titles by</w:t>
      </w:r>
      <w:r w:rsidR="003A1917">
        <w:t xml:space="preserve"> the </w:t>
      </w:r>
      <w:r w:rsidRPr="001A3D2B">
        <w:t>major indexing</w:t>
      </w:r>
      <w:r w:rsidR="005853A9">
        <w:t xml:space="preserve"> and </w:t>
      </w:r>
      <w:r w:rsidRPr="001A3D2B">
        <w:t>abstracting services;</w:t>
      </w:r>
      <w:r w:rsidR="003A1917">
        <w:t xml:space="preserve"> the </w:t>
      </w:r>
      <w:r w:rsidRPr="001A3D2B">
        <w:t>larger objective is to influence increased bibliographic access to</w:t>
      </w:r>
      <w:r w:rsidR="003A1917">
        <w:t xml:space="preserve"> the </w:t>
      </w:r>
      <w:r w:rsidRPr="001A3D2B">
        <w:t>core literature. This paper introduces</w:t>
      </w:r>
      <w:r w:rsidR="003A1917">
        <w:t xml:space="preserve"> the </w:t>
      </w:r>
      <w:r w:rsidRPr="001A3D2B">
        <w:t>Project for Mapping</w:t>
      </w:r>
      <w:r w:rsidR="003A1917">
        <w:t xml:space="preserve"> the </w:t>
      </w:r>
      <w:r w:rsidRPr="001A3D2B">
        <w:t>Literature</w:t>
      </w:r>
      <w:r w:rsidR="00427468">
        <w:t xml:space="preserve"> of </w:t>
      </w:r>
      <w:r w:rsidRPr="001A3D2B">
        <w:t>Allied Health</w:t>
      </w:r>
      <w:r w:rsidR="005853A9">
        <w:t xml:space="preserve"> and </w:t>
      </w:r>
      <w:r w:rsidR="003A1917">
        <w:t xml:space="preserve">the </w:t>
      </w:r>
      <w:r w:rsidRPr="001A3D2B">
        <w:t>common bibliometric methodology used for</w:t>
      </w:r>
      <w:r w:rsidR="003A1917">
        <w:t xml:space="preserve"> the </w:t>
      </w:r>
      <w:r w:rsidRPr="001A3D2B">
        <w:t>five specific studies reported in</w:t>
      </w:r>
      <w:r w:rsidR="003A1917">
        <w:t xml:space="preserve"> the </w:t>
      </w:r>
      <w:r w:rsidRPr="001A3D2B">
        <w:t>accompanying papers. Findings relating to format used, age</w:t>
      </w:r>
      <w:r w:rsidR="00427468">
        <w:t xml:space="preserve"> of </w:t>
      </w:r>
      <w:r w:rsidRPr="001A3D2B">
        <w:t>citations, dispersion</w:t>
      </w:r>
      <w:r w:rsidR="00427468">
        <w:t xml:space="preserve"> of </w:t>
      </w:r>
      <w:r w:rsidRPr="001A3D2B">
        <w:t>literature,</w:t>
      </w:r>
      <w:r w:rsidR="005853A9">
        <w:t xml:space="preserve"> and </w:t>
      </w:r>
      <w:r w:rsidRPr="001A3D2B">
        <w:t>indexing coverage for</w:t>
      </w:r>
      <w:r w:rsidR="003A1917">
        <w:t xml:space="preserve"> the </w:t>
      </w:r>
      <w:r w:rsidRPr="001A3D2B">
        <w:t>different fields are compared. Journals;Ire</w:t>
      </w:r>
      <w:r w:rsidR="003A1917">
        <w:t xml:space="preserve"> the </w:t>
      </w:r>
      <w:r w:rsidRPr="001A3D2B">
        <w:t>most heavily cited format. Fields differ by</w:t>
      </w:r>
      <w:r w:rsidR="003A1917">
        <w:t xml:space="preserve"> the </w:t>
      </w:r>
      <w:r w:rsidRPr="001A3D2B">
        <w:t>currency</w:t>
      </w:r>
      <w:r w:rsidR="00427468">
        <w:t xml:space="preserve"> of </w:t>
      </w:r>
      <w:r w:rsidRPr="001A3D2B">
        <w:t>cited material, with physical therapy</w:t>
      </w:r>
      <w:r w:rsidR="005853A9">
        <w:t xml:space="preserve"> and </w:t>
      </w:r>
      <w:r w:rsidRPr="001A3D2B">
        <w:t>speech language pathology displaying use</w:t>
      </w:r>
      <w:r w:rsidR="00427468">
        <w:t xml:space="preserve"> of </w:t>
      </w:r>
      <w:r w:rsidR="003A1917">
        <w:t xml:space="preserve">the </w:t>
      </w:r>
      <w:r w:rsidRPr="001A3D2B">
        <w:t>oldest citations</w:t>
      </w:r>
      <w:r w:rsidR="00A37C1D">
        <w:t>. The</w:t>
      </w:r>
      <w:r w:rsidR="003A1917">
        <w:t xml:space="preserve"> </w:t>
      </w:r>
      <w:r w:rsidRPr="001A3D2B">
        <w:t>set</w:t>
      </w:r>
      <w:r w:rsidR="00427468">
        <w:t xml:space="preserve"> of </w:t>
      </w:r>
      <w:r w:rsidRPr="001A3D2B">
        <w:t xml:space="preserve">core journals is small for each field, particularly in speech-language pathology. </w:t>
      </w:r>
      <w:r w:rsidR="00D5664A">
        <w:t>MEDLINE</w:t>
      </w:r>
      <w:r w:rsidRPr="001A3D2B">
        <w:t xml:space="preserve"> provided</w:t>
      </w:r>
      <w:r w:rsidR="003A1917">
        <w:t xml:space="preserve"> the </w:t>
      </w:r>
      <w:r w:rsidRPr="001A3D2B">
        <w:t>strongest indexing coverage overall, followed by EMBASE. Information such as that reported by</w:t>
      </w:r>
      <w:r w:rsidR="003A1917">
        <w:t xml:space="preserve"> the </w:t>
      </w:r>
      <w:r w:rsidRPr="001A3D2B">
        <w:t>project can help librarians in improving information transfer for</w:t>
      </w:r>
      <w:r w:rsidR="003A1917">
        <w:t xml:space="preserve"> the </w:t>
      </w:r>
      <w:r w:rsidRPr="001A3D2B">
        <w:t>allied health professionals they serve.</w:t>
      </w:r>
    </w:p>
    <w:p w:rsidR="003474F2" w:rsidRPr="001A3D2B" w:rsidRDefault="003474F2" w:rsidP="003474F2">
      <w:pPr>
        <w:pStyle w:val="a3"/>
      </w:pPr>
      <w:r w:rsidRPr="001A3D2B">
        <w:t>Notes: TTopic</w:t>
      </w:r>
    </w:p>
    <w:p w:rsidR="003474F2" w:rsidRPr="001A3D2B" w:rsidRDefault="003474F2" w:rsidP="003474F2">
      <w:pPr>
        <w:pStyle w:val="a3"/>
      </w:pPr>
      <w:r w:rsidRPr="001A3D2B">
        <w:t>Schloman, B.F. (1997), Mapping</w:t>
      </w:r>
      <w:r w:rsidR="003A1917">
        <w:t xml:space="preserve"> the </w:t>
      </w:r>
      <w:r w:rsidRPr="001A3D2B">
        <w:t>literature</w:t>
      </w:r>
      <w:r w:rsidR="00427468">
        <w:t xml:space="preserve"> of </w:t>
      </w:r>
      <w:r w:rsidRPr="001A3D2B">
        <w:t xml:space="preserve">health education.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(3), 278-283.</w:t>
      </w:r>
    </w:p>
    <w:p w:rsidR="003474F2" w:rsidRPr="001A3D2B" w:rsidRDefault="003474F2" w:rsidP="003474F2">
      <w:pPr>
        <w:pStyle w:val="a3"/>
      </w:pPr>
      <w:r w:rsidRPr="001A3D2B">
        <w:t xml:space="preserve">Full Text: </w:t>
      </w:r>
      <w:hyperlink r:id="rId2120" w:history="1">
        <w:r w:rsidRPr="001A3D2B">
          <w:rPr>
            <w:rStyle w:val="a5"/>
          </w:rPr>
          <w:t>1997\Bul Med Lib Ass85, 278.pdf</w:t>
        </w:r>
      </w:hyperlink>
    </w:p>
    <w:p w:rsidR="003474F2" w:rsidRPr="001A3D2B" w:rsidRDefault="003474F2" w:rsidP="003474F2">
      <w:pPr>
        <w:pStyle w:val="a3"/>
      </w:pPr>
      <w:r w:rsidRPr="001A3D2B">
        <w:t>Abstract: Health education is a relatively new multidisciplinary field concerned with educational programs that empower individuals</w:t>
      </w:r>
      <w:r w:rsidR="005853A9">
        <w:t xml:space="preserve"> and </w:t>
      </w:r>
      <w:r w:rsidRPr="001A3D2B">
        <w:t>communities to play active roles in achieving, protecting,</w:t>
      </w:r>
      <w:r w:rsidR="005853A9">
        <w:t xml:space="preserve"> and </w:t>
      </w:r>
      <w:r w:rsidRPr="001A3D2B">
        <w:t>sustaining their health Its practitioners have bachelor</w:t>
      </w:r>
      <w:r w:rsidR="00700038">
        <w:t>’</w:t>
      </w:r>
      <w:r w:rsidR="00C13DDC">
        <w:t>s</w:t>
      </w:r>
      <w:r w:rsidRPr="001A3D2B">
        <w:t>, master</w:t>
      </w:r>
      <w:r w:rsidR="00700038">
        <w:t>’</w:t>
      </w:r>
      <w:r w:rsidR="00C13DDC">
        <w:t>s</w:t>
      </w:r>
      <w:r w:rsidRPr="001A3D2B">
        <w:t>, or doctoral degrees</w:t>
      </w:r>
      <w:r w:rsidR="005853A9">
        <w:t xml:space="preserve"> and </w:t>
      </w:r>
      <w:r w:rsidRPr="001A3D2B">
        <w:t>work in educational, worksite, health facility, or agency settings. This bibliometric study was part oi:</w:t>
      </w:r>
      <w:r w:rsidR="003A1917">
        <w:t xml:space="preserve"> the </w:t>
      </w:r>
      <w:r w:rsidRPr="001A3D2B">
        <w:t>Medical Library Association (MLA) Nursing</w:t>
      </w:r>
      <w:r w:rsidR="005853A9">
        <w:t xml:space="preserve"> and </w:t>
      </w:r>
      <w:r w:rsidRPr="001A3D2B">
        <w:t>Allied Wealth Resources Section</w:t>
      </w:r>
      <w:r w:rsidR="00700038">
        <w:t>’</w:t>
      </w:r>
      <w:r w:rsidR="00C13DDC">
        <w:t>s</w:t>
      </w:r>
      <w:r w:rsidRPr="001A3D2B">
        <w:t xml:space="preserve"> Project for Mapping</w:t>
      </w:r>
      <w:r w:rsidR="003A1917">
        <w:t xml:space="preserve"> the </w:t>
      </w:r>
      <w:r w:rsidRPr="001A3D2B">
        <w:t>Literature</w:t>
      </w:r>
      <w:r w:rsidR="00427468">
        <w:t xml:space="preserve"> of </w:t>
      </w:r>
      <w:r w:rsidRPr="001A3D2B">
        <w:t>Allied Health, It sought to identify</w:t>
      </w:r>
      <w:r w:rsidR="003A1917">
        <w:t xml:space="preserve"> the </w:t>
      </w:r>
      <w:r w:rsidRPr="001A3D2B">
        <w:t>core journals in health education</w:t>
      </w:r>
      <w:r w:rsidR="005853A9">
        <w:t xml:space="preserve"> and </w:t>
      </w:r>
      <w:r w:rsidRPr="001A3D2B">
        <w:t>to determine</w:t>
      </w:r>
      <w:r w:rsidR="003A1917">
        <w:t xml:space="preserve"> the </w:t>
      </w:r>
      <w:r w:rsidRPr="001A3D2B">
        <w:t>extent to which these titles are covered by</w:t>
      </w:r>
      <w:r w:rsidR="003A1917">
        <w:t xml:space="preserve"> the </w:t>
      </w:r>
      <w:r w:rsidRPr="001A3D2B">
        <w:t xml:space="preserve">standard indexing sources, Cited references appearing from 1991 through </w:t>
      </w:r>
      <w:smartTag w:uri="urn:schemas-microsoft-com:office:smarttags" w:element="chmetcnv">
        <w:smartTagPr>
          <w:attr w:name="TCSC" w:val="0"/>
          <w:attr w:name="NumberType" w:val="1"/>
          <w:attr w:name="Negative" w:val="False"/>
          <w:attr w:name="HasSpace" w:val="True"/>
          <w:attr w:name="SourceValue" w:val="1993"/>
          <w:attr w:name="UnitName" w:val="in"/>
        </w:smartTagPr>
        <w:r w:rsidRPr="001A3D2B">
          <w:t>1993 in</w:t>
        </w:r>
      </w:smartTag>
      <w:r w:rsidRPr="001A3D2B">
        <w:t xml:space="preserve"> articles</w:t>
      </w:r>
      <w:r w:rsidR="00427468">
        <w:t xml:space="preserve"> of </w:t>
      </w:r>
      <w:r w:rsidRPr="001A3D2B">
        <w:t>four journals published by</w:t>
      </w:r>
      <w:r w:rsidR="003A1917">
        <w:t xml:space="preserve"> the </w:t>
      </w:r>
      <w:r w:rsidRPr="001A3D2B">
        <w:t>major professional associations in</w:t>
      </w:r>
      <w:r w:rsidR="003A1917">
        <w:t xml:space="preserve"> the </w:t>
      </w:r>
      <w:r w:rsidRPr="001A3D2B">
        <w:t xml:space="preserve">field were analyzed. </w:t>
      </w:r>
      <w:r w:rsidRPr="001A3D2B">
        <w:lastRenderedPageBreak/>
        <w:t>It was found that only thirteen journals supply one-third</w:t>
      </w:r>
      <w:r w:rsidR="00427468">
        <w:t xml:space="preserve"> of </w:t>
      </w:r>
      <w:r w:rsidRPr="001A3D2B">
        <w:t>all references in</w:t>
      </w:r>
      <w:r w:rsidR="003A1917">
        <w:t xml:space="preserve"> the </w:t>
      </w:r>
      <w:r w:rsidRPr="001A3D2B">
        <w:t>study. Another eighty journals provide</w:t>
      </w:r>
      <w:r w:rsidR="003A1917">
        <w:t xml:space="preserve"> the </w:t>
      </w:r>
      <w:r w:rsidRPr="001A3D2B">
        <w:t xml:space="preserve">second third, </w:t>
      </w:r>
      <w:r w:rsidR="00D5664A">
        <w:t>MEDLINE</w:t>
      </w:r>
      <w:r w:rsidRPr="001A3D2B">
        <w:t xml:space="preserve"> gives</w:t>
      </w:r>
      <w:r w:rsidR="003A1917">
        <w:t xml:space="preserve"> the </w:t>
      </w:r>
      <w:r w:rsidRPr="001A3D2B">
        <w:t>best indexing coverage with nearly 69%</w:t>
      </w:r>
      <w:r w:rsidR="00427468">
        <w:t xml:space="preserve"> of </w:t>
      </w:r>
      <w:r w:rsidR="003A1917">
        <w:t xml:space="preserve">the </w:t>
      </w:r>
      <w:r w:rsidRPr="001A3D2B">
        <w:t>journals receiving indexing for at least half</w:t>
      </w:r>
      <w:r w:rsidR="00427468">
        <w:t xml:space="preserve"> of </w:t>
      </w:r>
      <w:r w:rsidRPr="001A3D2B">
        <w:t>their articles, followed by EMBASE (52%)</w:t>
      </w:r>
      <w:r w:rsidR="005853A9">
        <w:t xml:space="preserve"> and </w:t>
      </w:r>
      <w:r w:rsidRPr="001A3D2B">
        <w:t>PsycINFO (43%). Limited coverage is given by</w:t>
      </w:r>
      <w:r w:rsidR="003A1917">
        <w:t xml:space="preserve"> the </w:t>
      </w:r>
      <w:r w:rsidRPr="001A3D2B">
        <w:t>Cumulative Index to Nw: sing</w:t>
      </w:r>
      <w:r w:rsidR="005853A9">
        <w:t xml:space="preserve"> and </w:t>
      </w:r>
      <w:r w:rsidRPr="001A3D2B">
        <w:t>Allied Health Literature (16%)</w:t>
      </w:r>
      <w:r w:rsidR="005853A9">
        <w:t xml:space="preserve"> and </w:t>
      </w:r>
      <w:r w:rsidRPr="001A3D2B">
        <w:t>ERIC (14%)</w:t>
      </w:r>
      <w:r w:rsidR="00A37C1D">
        <w:t>. The</w:t>
      </w:r>
      <w:r w:rsidR="003A1917">
        <w:t xml:space="preserve"> </w:t>
      </w:r>
      <w:r w:rsidRPr="001A3D2B">
        <w:t>findings name titles that should be added by indexing services</w:t>
      </w:r>
      <w:r w:rsidR="005853A9">
        <w:t xml:space="preserve"> and </w:t>
      </w:r>
      <w:r w:rsidRPr="001A3D2B">
        <w:t>those that should have more complete coverage.</w:t>
      </w:r>
    </w:p>
    <w:p w:rsidR="003474F2" w:rsidRPr="001A3D2B" w:rsidRDefault="003474F2" w:rsidP="003474F2">
      <w:pPr>
        <w:pStyle w:val="a3"/>
      </w:pPr>
      <w:r w:rsidRPr="001A3D2B">
        <w:t>Notes: TTopic</w:t>
      </w:r>
    </w:p>
    <w:p w:rsidR="003474F2" w:rsidRPr="001A3D2B" w:rsidRDefault="003474F2" w:rsidP="003474F2">
      <w:pPr>
        <w:pStyle w:val="a3"/>
      </w:pPr>
      <w:r w:rsidRPr="001A3D2B">
        <w:t>Wakiji, E.M. (1997), Mapping</w:t>
      </w:r>
      <w:r w:rsidR="003A1917">
        <w:t xml:space="preserve"> the </w:t>
      </w:r>
      <w:r w:rsidRPr="001A3D2B">
        <w:t>literature</w:t>
      </w:r>
      <w:r w:rsidR="00427468">
        <w:t xml:space="preserve"> of </w:t>
      </w:r>
      <w:r w:rsidRPr="001A3D2B">
        <w:t xml:space="preserve">physical therapy.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(3), 284-288.</w:t>
      </w:r>
    </w:p>
    <w:p w:rsidR="003474F2" w:rsidRPr="001A3D2B" w:rsidRDefault="003474F2" w:rsidP="003474F2">
      <w:pPr>
        <w:pStyle w:val="a3"/>
      </w:pPr>
      <w:r w:rsidRPr="001A3D2B">
        <w:t xml:space="preserve">Full Text: </w:t>
      </w:r>
      <w:hyperlink r:id="rId2121" w:history="1">
        <w:r w:rsidRPr="001A3D2B">
          <w:rPr>
            <w:rStyle w:val="a5"/>
          </w:rPr>
          <w:t>1997\Bul Med Lib Ass85, 284.pdf</w:t>
        </w:r>
      </w:hyperlink>
    </w:p>
    <w:p w:rsidR="003474F2" w:rsidRPr="001A3D2B" w:rsidRDefault="003474F2" w:rsidP="003474F2">
      <w:pPr>
        <w:pStyle w:val="a3"/>
      </w:pPr>
      <w:r w:rsidRPr="001A3D2B">
        <w:t>Abstract: Physical therapy is a fast growing profession because</w:t>
      </w:r>
      <w:r w:rsidR="00427468">
        <w:t xml:space="preserve"> of </w:t>
      </w:r>
      <w:r w:rsidR="003A1917">
        <w:t xml:space="preserve">the </w:t>
      </w:r>
      <w:r w:rsidRPr="001A3D2B">
        <w:t>aging population, medical advances,</w:t>
      </w:r>
      <w:r w:rsidR="005853A9">
        <w:t xml:space="preserve"> and </w:t>
      </w:r>
      <w:r w:rsidR="003A1917">
        <w:t xml:space="preserve">the </w:t>
      </w:r>
      <w:r w:rsidRPr="001A3D2B">
        <w:t>public</w:t>
      </w:r>
      <w:r w:rsidR="00700038">
        <w:t>’</w:t>
      </w:r>
      <w:r w:rsidR="00C13DDC">
        <w:t>s</w:t>
      </w:r>
      <w:r w:rsidRPr="001A3D2B">
        <w:t xml:space="preserve"> interest in health promotion. This study is part</w:t>
      </w:r>
      <w:r w:rsidR="00427468">
        <w:t xml:space="preserve"> of </w:t>
      </w:r>
      <w:r w:rsidR="003A1917">
        <w:t xml:space="preserve">the </w:t>
      </w:r>
      <w:r w:rsidRPr="001A3D2B">
        <w:t>Medical Library Association (MLA) Nursing</w:t>
      </w:r>
      <w:r w:rsidR="005853A9">
        <w:t xml:space="preserve"> and </w:t>
      </w:r>
      <w:r w:rsidRPr="001A3D2B">
        <w:t>Allied Health Resources Section</w:t>
      </w:r>
      <w:r w:rsidR="00700038">
        <w:t>’</w:t>
      </w:r>
      <w:r w:rsidR="00C13DDC">
        <w:t>s</w:t>
      </w:r>
      <w:r w:rsidRPr="001A3D2B">
        <w:t xml:space="preserve"> project to map</w:t>
      </w:r>
      <w:r w:rsidR="003A1917">
        <w:t xml:space="preserve"> the </w:t>
      </w:r>
      <w:r w:rsidRPr="001A3D2B">
        <w:t>allied health literature. It identifies</w:t>
      </w:r>
      <w:r w:rsidR="003A1917">
        <w:t xml:space="preserve"> the </w:t>
      </w:r>
      <w:r w:rsidRPr="001A3D2B">
        <w:t>core journals in physical therapy by analyzing</w:t>
      </w:r>
      <w:r w:rsidR="003A1917">
        <w:t xml:space="preserve"> the </w:t>
      </w:r>
      <w:r w:rsidRPr="001A3D2B">
        <w:t>cited references</w:t>
      </w:r>
      <w:r w:rsidR="00427468">
        <w:t xml:space="preserve"> of </w:t>
      </w:r>
      <w:r w:rsidRPr="001A3D2B">
        <w:t>articles in two established physical therapy journals, Physical Therapy</w:t>
      </w:r>
      <w:r w:rsidR="005853A9">
        <w:t xml:space="preserve"> and </w:t>
      </w:r>
      <w:r w:rsidRPr="001A3D2B">
        <w:t>AI chives</w:t>
      </w:r>
      <w:r w:rsidR="00427468">
        <w:t xml:space="preserve"> of </w:t>
      </w:r>
      <w:r w:rsidRPr="001A3D2B">
        <w:t>Physical Medicine</w:t>
      </w:r>
      <w:r w:rsidR="005853A9">
        <w:t xml:space="preserve"> and </w:t>
      </w:r>
      <w:r w:rsidRPr="001A3D2B">
        <w:t>Rehabilitation, during</w:t>
      </w:r>
      <w:r w:rsidR="003A1917">
        <w:t xml:space="preserve"> the </w:t>
      </w:r>
      <w:r w:rsidRPr="001A3D2B">
        <w:t>period 1991 through 1993. This bibliometric analysis also determines</w:t>
      </w:r>
      <w:r w:rsidR="003A1917">
        <w:t xml:space="preserve"> the </w:t>
      </w:r>
      <w:r w:rsidRPr="001A3D2B">
        <w:t>extent to which these journals are covered by</w:t>
      </w:r>
      <w:r w:rsidR="003A1917">
        <w:t xml:space="preserve"> the </w:t>
      </w:r>
      <w:r w:rsidRPr="001A3D2B">
        <w:t>primary indexing sources, Allied</w:t>
      </w:r>
      <w:r w:rsidR="005853A9">
        <w:t xml:space="preserve"> and </w:t>
      </w:r>
      <w:r w:rsidRPr="001A3D2B">
        <w:t>Alternative Medicine (AMED</w:t>
      </w:r>
      <w:r w:rsidR="00F42EAC">
        <w:t>), The</w:t>
      </w:r>
      <w:r w:rsidR="003A1917">
        <w:t xml:space="preserve"> </w:t>
      </w:r>
      <w:r w:rsidRPr="001A3D2B">
        <w:t>Cumulative Index to Nursing</w:t>
      </w:r>
      <w:r w:rsidR="005853A9">
        <w:t xml:space="preserve"> and </w:t>
      </w:r>
      <w:r w:rsidRPr="001A3D2B">
        <w:t>Allied Health Literature, EMBASE,</w:t>
      </w:r>
      <w:r w:rsidR="005853A9">
        <w:t xml:space="preserve"> and </w:t>
      </w:r>
      <w:r w:rsidR="00D5664A">
        <w:t>MEDLINE</w:t>
      </w:r>
      <w:r w:rsidRPr="001A3D2B">
        <w:t>. in this study fourteen journals were found to supply one-third</w:t>
      </w:r>
      <w:r w:rsidR="00427468">
        <w:t xml:space="preserve"> of </w:t>
      </w:r>
      <w:r w:rsidRPr="001A3D2B">
        <w:t>all references studied. Ninety-five journals provided an additional third ol:</w:t>
      </w:r>
      <w:r w:rsidR="003A1917">
        <w:t xml:space="preserve"> the </w:t>
      </w:r>
      <w:r w:rsidRPr="001A3D2B">
        <w:t xml:space="preserve">references. </w:t>
      </w:r>
      <w:r w:rsidR="00D5664A">
        <w:t>MEDLINE</w:t>
      </w:r>
      <w:r w:rsidRPr="001A3D2B">
        <w:t xml:space="preserve"> rated</w:t>
      </w:r>
      <w:r w:rsidR="003A1917">
        <w:t xml:space="preserve"> the </w:t>
      </w:r>
      <w:r w:rsidRPr="001A3D2B">
        <w:t>highest as</w:t>
      </w:r>
      <w:r w:rsidR="003A1917">
        <w:t xml:space="preserve"> the </w:t>
      </w:r>
      <w:r w:rsidRPr="001A3D2B">
        <w:t>indexing tool</w:t>
      </w:r>
      <w:r w:rsidR="00427468">
        <w:t xml:space="preserve"> of </w:t>
      </w:r>
      <w:r w:rsidRPr="001A3D2B">
        <w:t>choice for these 109 journals</w:t>
      </w:r>
      <w:r w:rsidR="00A37C1D">
        <w:t>. The</w:t>
      </w:r>
      <w:r w:rsidR="003A1917">
        <w:t xml:space="preserve"> </w:t>
      </w:r>
      <w:r w:rsidRPr="001A3D2B">
        <w:t>study results can assist in collection development decisions, advise physical therapists as to</w:t>
      </w:r>
      <w:r w:rsidR="003A1917">
        <w:t xml:space="preserve"> the </w:t>
      </w:r>
      <w:r w:rsidRPr="001A3D2B">
        <w:t>best access to their core literature,</w:t>
      </w:r>
      <w:r w:rsidR="005853A9">
        <w:t xml:space="preserve"> and </w:t>
      </w:r>
      <w:r w:rsidRPr="001A3D2B">
        <w:t>influence database producers to increase their coverage</w:t>
      </w:r>
      <w:r w:rsidR="00427468">
        <w:t xml:space="preserve"> of </w:t>
      </w:r>
      <w:r w:rsidR="003A1917">
        <w:t xml:space="preserve">the </w:t>
      </w:r>
      <w:r w:rsidRPr="001A3D2B">
        <w:t>literature important to physical therapy.</w:t>
      </w:r>
    </w:p>
    <w:p w:rsidR="003474F2" w:rsidRPr="001A3D2B" w:rsidRDefault="003474F2" w:rsidP="003474F2">
      <w:pPr>
        <w:pStyle w:val="a3"/>
      </w:pPr>
      <w:r w:rsidRPr="001A3D2B">
        <w:t>Notes: TTopic</w:t>
      </w:r>
    </w:p>
    <w:p w:rsidR="003474F2" w:rsidRPr="001A3D2B" w:rsidRDefault="003474F2" w:rsidP="003474F2">
      <w:pPr>
        <w:pStyle w:val="a3"/>
      </w:pPr>
      <w:r w:rsidRPr="001A3D2B">
        <w:t>Burnham, J.F. (1997), Mapping</w:t>
      </w:r>
      <w:r w:rsidR="003A1917">
        <w:t xml:space="preserve"> the </w:t>
      </w:r>
      <w:r w:rsidRPr="001A3D2B">
        <w:t>literature</w:t>
      </w:r>
      <w:r w:rsidR="00427468">
        <w:t xml:space="preserve"> of </w:t>
      </w:r>
      <w:r w:rsidRPr="001A3D2B">
        <w:t xml:space="preserve">radiologic technology.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(3), 289-292.</w:t>
      </w:r>
    </w:p>
    <w:p w:rsidR="003474F2" w:rsidRPr="001A3D2B" w:rsidRDefault="003474F2" w:rsidP="003474F2">
      <w:pPr>
        <w:pStyle w:val="a3"/>
      </w:pPr>
      <w:r w:rsidRPr="001A3D2B">
        <w:t xml:space="preserve">Full Text: </w:t>
      </w:r>
      <w:hyperlink r:id="rId2122" w:history="1">
        <w:r w:rsidRPr="001A3D2B">
          <w:rPr>
            <w:rStyle w:val="a5"/>
          </w:rPr>
          <w:t>1997\Bul Med Lib Ass85, 289.pdf</w:t>
        </w:r>
      </w:hyperlink>
    </w:p>
    <w:p w:rsidR="003474F2" w:rsidRPr="001A3D2B" w:rsidRDefault="003474F2" w:rsidP="003474F2">
      <w:pPr>
        <w:pStyle w:val="a3"/>
      </w:pPr>
      <w:r w:rsidRPr="001A3D2B">
        <w:t>Abstract: While analysis</w:t>
      </w:r>
      <w:r w:rsidR="00427468">
        <w:t xml:space="preserve"> of </w:t>
      </w:r>
      <w:r w:rsidR="003A1917">
        <w:t xml:space="preserve">the </w:t>
      </w:r>
      <w:r w:rsidRPr="001A3D2B">
        <w:t>literature</w:t>
      </w:r>
      <w:r w:rsidR="00427468">
        <w:t xml:space="preserve"> of </w:t>
      </w:r>
      <w:r w:rsidRPr="001A3D2B">
        <w:t>radiology has been conducted in</w:t>
      </w:r>
      <w:r w:rsidR="003A1917">
        <w:t xml:space="preserve"> the </w:t>
      </w:r>
      <w:r w:rsidRPr="001A3D2B">
        <w:t>discipline, none</w:t>
      </w:r>
      <w:r w:rsidR="00427468">
        <w:t xml:space="preserve"> of </w:t>
      </w:r>
      <w:r w:rsidR="003A1917">
        <w:t xml:space="preserve">the </w:t>
      </w:r>
      <w:r w:rsidRPr="001A3D2B">
        <w:t>studies have focused on identifying</w:t>
      </w:r>
      <w:r w:rsidR="003A1917">
        <w:t xml:space="preserve"> the </w:t>
      </w:r>
      <w:r w:rsidRPr="001A3D2B">
        <w:t>core journals</w:t>
      </w:r>
      <w:r w:rsidR="00A37C1D">
        <w:t>. The</w:t>
      </w:r>
      <w:r w:rsidR="003A1917">
        <w:t xml:space="preserve"> </w:t>
      </w:r>
      <w:r w:rsidRPr="001A3D2B">
        <w:t>bibliometric method was used to conduct research to identify</w:t>
      </w:r>
      <w:r w:rsidR="003A1917">
        <w:t xml:space="preserve"> the </w:t>
      </w:r>
      <w:r w:rsidRPr="001A3D2B">
        <w:t>core journals in</w:t>
      </w:r>
      <w:r w:rsidR="003A1917">
        <w:t xml:space="preserve"> the </w:t>
      </w:r>
      <w:r w:rsidRPr="001A3D2B">
        <w:t>radiologic technology field</w:t>
      </w:r>
      <w:r w:rsidR="005853A9">
        <w:t xml:space="preserve"> and </w:t>
      </w:r>
      <w:r w:rsidRPr="001A3D2B">
        <w:t>determine</w:t>
      </w:r>
      <w:r w:rsidR="003A1917">
        <w:t xml:space="preserve"> the </w:t>
      </w:r>
      <w:r w:rsidRPr="001A3D2B">
        <w:t>extent</w:t>
      </w:r>
      <w:r w:rsidR="00427468">
        <w:t xml:space="preserve"> of </w:t>
      </w:r>
      <w:r w:rsidRPr="001A3D2B">
        <w:t>indexing</w:t>
      </w:r>
      <w:r w:rsidR="00427468">
        <w:t xml:space="preserve"> of </w:t>
      </w:r>
      <w:r w:rsidRPr="001A3D2B">
        <w:t>those journals. This study was a part</w:t>
      </w:r>
      <w:r w:rsidR="00427468">
        <w:t xml:space="preserve"> of </w:t>
      </w:r>
      <w:r w:rsidRPr="001A3D2B">
        <w:t>Medical Library Association (MLA) Nursing</w:t>
      </w:r>
      <w:r w:rsidR="005853A9">
        <w:t xml:space="preserve"> and </w:t>
      </w:r>
      <w:r w:rsidRPr="001A3D2B">
        <w:t>Allied Health Resource Section</w:t>
      </w:r>
      <w:r w:rsidR="00700038">
        <w:t>’</w:t>
      </w:r>
      <w:r w:rsidR="00C13DDC">
        <w:t>s</w:t>
      </w:r>
      <w:r w:rsidRPr="001A3D2B">
        <w:t xml:space="preserve"> project to map</w:t>
      </w:r>
      <w:r w:rsidR="003A1917">
        <w:t xml:space="preserve"> the </w:t>
      </w:r>
      <w:r w:rsidRPr="001A3D2B">
        <w:t>literature</w:t>
      </w:r>
      <w:r w:rsidR="00427468">
        <w:t xml:space="preserve"> of </w:t>
      </w:r>
      <w:r w:rsidRPr="001A3D2B">
        <w:t>allied health. Findings indicate that there is a small core</w:t>
      </w:r>
      <w:r w:rsidR="00427468">
        <w:t xml:space="preserve"> of </w:t>
      </w:r>
      <w:r w:rsidRPr="001A3D2B">
        <w:t>literature with a heavy reliance on</w:t>
      </w:r>
      <w:r w:rsidR="003A1917">
        <w:t xml:space="preserve"> the </w:t>
      </w:r>
      <w:r w:rsidRPr="001A3D2B">
        <w:t>journal literature. Books are used to a lesser extent</w:t>
      </w:r>
      <w:r w:rsidR="00A37C1D">
        <w:t>. The</w:t>
      </w:r>
      <w:r w:rsidR="003A1917">
        <w:t xml:space="preserve"> </w:t>
      </w:r>
      <w:r w:rsidRPr="001A3D2B">
        <w:t>majority</w:t>
      </w:r>
      <w:r w:rsidR="00427468">
        <w:t xml:space="preserve"> of </w:t>
      </w:r>
      <w:r w:rsidR="003A1917">
        <w:t xml:space="preserve">the </w:t>
      </w:r>
      <w:r w:rsidRPr="001A3D2B">
        <w:t xml:space="preserve">citations analyzed </w:t>
      </w:r>
      <w:r w:rsidRPr="001A3D2B">
        <w:lastRenderedPageBreak/>
        <w:t>were published during</w:t>
      </w:r>
      <w:r w:rsidR="003A1917">
        <w:t xml:space="preserve"> the </w:t>
      </w:r>
      <w:r w:rsidRPr="001A3D2B">
        <w:t>fourteen years between 1980</w:t>
      </w:r>
      <w:r w:rsidR="005853A9">
        <w:t xml:space="preserve"> and </w:t>
      </w:r>
      <w:r w:rsidRPr="001A3D2B">
        <w:t xml:space="preserve">1993. </w:t>
      </w:r>
      <w:r w:rsidR="00D5664A">
        <w:t>MEDLINE</w:t>
      </w:r>
      <w:r w:rsidR="005853A9">
        <w:t xml:space="preserve"> and </w:t>
      </w:r>
      <w:r w:rsidRPr="001A3D2B">
        <w:t>EMBASE provided</w:t>
      </w:r>
      <w:r w:rsidR="003A1917">
        <w:t xml:space="preserve"> the </w:t>
      </w:r>
      <w:r w:rsidRPr="001A3D2B">
        <w:t>best indexing coverage</w:t>
      </w:r>
      <w:r w:rsidR="00427468">
        <w:t xml:space="preserve"> of </w:t>
      </w:r>
      <w:r w:rsidR="003A1917">
        <w:t xml:space="preserve">the </w:t>
      </w:r>
      <w:r w:rsidRPr="001A3D2B">
        <w:t>radiologic technology literature; minimal coverage was provided by</w:t>
      </w:r>
      <w:r w:rsidR="003A1917">
        <w:t xml:space="preserve"> the </w:t>
      </w:r>
      <w:r w:rsidRPr="001A3D2B">
        <w:t>Cumulative Index to Nursing</w:t>
      </w:r>
      <w:r w:rsidR="005853A9">
        <w:t xml:space="preserve"> and </w:t>
      </w:r>
      <w:r w:rsidRPr="001A3D2B">
        <w:t>Allied Health Literature</w:t>
      </w:r>
      <w:r w:rsidR="005853A9">
        <w:t xml:space="preserve"> and </w:t>
      </w:r>
      <w:r w:rsidRPr="001A3D2B">
        <w:t>Health.</w:t>
      </w:r>
    </w:p>
    <w:p w:rsidR="003474F2" w:rsidRPr="001A3D2B" w:rsidRDefault="003474F2" w:rsidP="003474F2">
      <w:pPr>
        <w:pStyle w:val="a3"/>
      </w:pPr>
      <w:r w:rsidRPr="001A3D2B">
        <w:t>Notes: TTopic</w:t>
      </w:r>
    </w:p>
    <w:p w:rsidR="003474F2" w:rsidRPr="001A3D2B" w:rsidRDefault="003474F2" w:rsidP="003474F2">
      <w:pPr>
        <w:pStyle w:val="a3"/>
      </w:pPr>
      <w:r w:rsidRPr="001A3D2B">
        <w:t>Burnham, J.F. (1997), Mapping</w:t>
      </w:r>
      <w:r w:rsidR="003A1917">
        <w:t xml:space="preserve"> the </w:t>
      </w:r>
      <w:r w:rsidRPr="001A3D2B">
        <w:t>literature</w:t>
      </w:r>
      <w:r w:rsidR="00427468">
        <w:t xml:space="preserve"> of </w:t>
      </w:r>
      <w:r w:rsidRPr="001A3D2B">
        <w:t xml:space="preserve">respiratory therapy.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(3), 293-296.</w:t>
      </w:r>
    </w:p>
    <w:p w:rsidR="003474F2" w:rsidRPr="001A3D2B" w:rsidRDefault="003474F2" w:rsidP="003474F2">
      <w:pPr>
        <w:pStyle w:val="a3"/>
      </w:pPr>
      <w:r w:rsidRPr="001A3D2B">
        <w:t xml:space="preserve">Full Text: </w:t>
      </w:r>
      <w:hyperlink r:id="rId2123" w:history="1">
        <w:r w:rsidRPr="001A3D2B">
          <w:rPr>
            <w:rStyle w:val="a5"/>
          </w:rPr>
          <w:t>1997\Bul Med Lib Ass85, 293.pdf</w:t>
        </w:r>
      </w:hyperlink>
    </w:p>
    <w:p w:rsidR="003474F2" w:rsidRPr="001A3D2B" w:rsidRDefault="003474F2" w:rsidP="003474F2">
      <w:pPr>
        <w:pStyle w:val="a3"/>
      </w:pPr>
      <w:r w:rsidRPr="001A3D2B">
        <w:t>Abstract: Little research has been conducted on</w:t>
      </w:r>
      <w:r w:rsidR="003A1917">
        <w:t xml:space="preserve"> the </w:t>
      </w:r>
      <w:r w:rsidRPr="001A3D2B">
        <w:t>characteristics</w:t>
      </w:r>
      <w:r w:rsidR="00427468">
        <w:t xml:space="preserve"> of </w:t>
      </w:r>
      <w:r w:rsidR="003A1917">
        <w:t xml:space="preserve">the </w:t>
      </w:r>
      <w:r w:rsidRPr="001A3D2B">
        <w:t>literature</w:t>
      </w:r>
      <w:r w:rsidR="00427468">
        <w:t xml:space="preserve"> of </w:t>
      </w:r>
      <w:r w:rsidRPr="001A3D2B">
        <w:t>respiratory care</w:t>
      </w:r>
      <w:r w:rsidR="00A37C1D">
        <w:t>. The</w:t>
      </w:r>
      <w:r w:rsidR="003A1917">
        <w:t xml:space="preserve"> </w:t>
      </w:r>
      <w:r w:rsidRPr="001A3D2B">
        <w:t>bibliometric method was used to identify</w:t>
      </w:r>
      <w:r w:rsidR="003A1917">
        <w:t xml:space="preserve"> the </w:t>
      </w:r>
      <w:r w:rsidRPr="001A3D2B">
        <w:t>core journals in</w:t>
      </w:r>
      <w:r w:rsidR="003A1917">
        <w:t xml:space="preserve"> the </w:t>
      </w:r>
      <w:r w:rsidRPr="001A3D2B">
        <w:t>discipline</w:t>
      </w:r>
      <w:r w:rsidR="005853A9">
        <w:t xml:space="preserve"> and </w:t>
      </w:r>
      <w:r w:rsidR="003A1917">
        <w:t xml:space="preserve">the </w:t>
      </w:r>
      <w:r w:rsidRPr="001A3D2B">
        <w:t>extent</w:t>
      </w:r>
      <w:r w:rsidR="00427468">
        <w:t xml:space="preserve"> of </w:t>
      </w:r>
      <w:r w:rsidRPr="001A3D2B">
        <w:t>indexing</w:t>
      </w:r>
      <w:r w:rsidR="00427468">
        <w:t xml:space="preserve"> of </w:t>
      </w:r>
      <w:r w:rsidRPr="001A3D2B">
        <w:t>those journals. This study was a part</w:t>
      </w:r>
      <w:r w:rsidR="00427468">
        <w:t xml:space="preserve"> of </w:t>
      </w:r>
      <w:r w:rsidRPr="001A3D2B">
        <w:t>Medical Library Association (MLA) Nursing</w:t>
      </w:r>
      <w:r w:rsidR="005853A9">
        <w:t xml:space="preserve"> and </w:t>
      </w:r>
      <w:r w:rsidRPr="001A3D2B">
        <w:t>Allied Health Resources Section</w:t>
      </w:r>
      <w:r w:rsidR="00700038">
        <w:t>’</w:t>
      </w:r>
      <w:r w:rsidR="00C13DDC">
        <w:t>s</w:t>
      </w:r>
      <w:r w:rsidRPr="001A3D2B">
        <w:t xml:space="preserve"> project to map</w:t>
      </w:r>
      <w:r w:rsidR="003A1917">
        <w:t xml:space="preserve"> the </w:t>
      </w:r>
      <w:r w:rsidRPr="001A3D2B">
        <w:t>literature</w:t>
      </w:r>
      <w:r w:rsidR="00427468">
        <w:t xml:space="preserve"> of </w:t>
      </w:r>
      <w:r w:rsidRPr="001A3D2B">
        <w:t>allied health. Findings indicate that</w:t>
      </w:r>
      <w:r w:rsidR="003A1917">
        <w:t xml:space="preserve"> the </w:t>
      </w:r>
      <w:r w:rsidRPr="001A3D2B">
        <w:t>research writings</w:t>
      </w:r>
      <w:r w:rsidR="00427468">
        <w:t xml:space="preserve"> of </w:t>
      </w:r>
      <w:r w:rsidR="003A1917">
        <w:t xml:space="preserve">the </w:t>
      </w:r>
      <w:r w:rsidRPr="001A3D2B">
        <w:t>discipline cite journal articles most heavily, with</w:t>
      </w:r>
      <w:r w:rsidR="003A1917">
        <w:t xml:space="preserve"> the </w:t>
      </w:r>
      <w:r w:rsidRPr="001A3D2B">
        <w:t>majority</w:t>
      </w:r>
      <w:r w:rsidR="00427468">
        <w:t xml:space="preserve"> of </w:t>
      </w:r>
      <w:r w:rsidR="003A1917">
        <w:t xml:space="preserve">the </w:t>
      </w:r>
      <w:r w:rsidRPr="001A3D2B">
        <w:t>citations published between 1980</w:t>
      </w:r>
      <w:r w:rsidR="005853A9">
        <w:t xml:space="preserve"> and </w:t>
      </w:r>
      <w:r w:rsidRPr="001A3D2B">
        <w:t>1993</w:t>
      </w:r>
      <w:r w:rsidR="00A37C1D">
        <w:t>. The</w:t>
      </w:r>
      <w:r w:rsidR="003A1917">
        <w:t xml:space="preserve"> </w:t>
      </w:r>
      <w:r w:rsidRPr="001A3D2B">
        <w:t>literature has a small core</w:t>
      </w:r>
      <w:r w:rsidR="00427468">
        <w:t xml:space="preserve"> of </w:t>
      </w:r>
      <w:r w:rsidRPr="001A3D2B">
        <w:t xml:space="preserve">cited journals with a wide dispersion. </w:t>
      </w:r>
      <w:r w:rsidR="00D5664A">
        <w:t>MEDLINE</w:t>
      </w:r>
      <w:r w:rsidR="005853A9">
        <w:t xml:space="preserve"> and </w:t>
      </w:r>
      <w:r w:rsidRPr="001A3D2B">
        <w:t>EMBASE provided</w:t>
      </w:r>
      <w:r w:rsidR="003A1917">
        <w:t xml:space="preserve"> the </w:t>
      </w:r>
      <w:r w:rsidRPr="001A3D2B">
        <w:t>best indexing coverage</w:t>
      </w:r>
      <w:r w:rsidR="00427468">
        <w:t xml:space="preserve"> of </w:t>
      </w:r>
      <w:r w:rsidR="003A1917">
        <w:t xml:space="preserve">the </w:t>
      </w:r>
      <w:r w:rsidRPr="001A3D2B">
        <w:t>literature,</w:t>
      </w:r>
      <w:r w:rsidR="005853A9">
        <w:t xml:space="preserve"> and </w:t>
      </w:r>
      <w:r w:rsidRPr="001A3D2B">
        <w:t>minimal coverage was given by</w:t>
      </w:r>
      <w:r w:rsidR="003A1917">
        <w:t xml:space="preserve"> the </w:t>
      </w:r>
      <w:r w:rsidRPr="001A3D2B">
        <w:t>Cumulative Index to Nursing</w:t>
      </w:r>
      <w:r w:rsidR="005853A9">
        <w:t xml:space="preserve"> and </w:t>
      </w:r>
      <w:r w:rsidRPr="001A3D2B">
        <w:t xml:space="preserve">Allied Health </w:t>
      </w:r>
      <w:bookmarkStart w:id="980" w:name="OLE_LINK5"/>
      <w:r w:rsidRPr="001A3D2B">
        <w:t>Literature</w:t>
      </w:r>
      <w:r w:rsidR="005853A9">
        <w:t xml:space="preserve"> and </w:t>
      </w:r>
      <w:r w:rsidRPr="001A3D2B">
        <w:t>Health.</w:t>
      </w:r>
    </w:p>
    <w:p w:rsidR="003474F2" w:rsidRPr="001A3D2B" w:rsidRDefault="003474F2" w:rsidP="003474F2">
      <w:pPr>
        <w:pStyle w:val="a3"/>
      </w:pPr>
      <w:r w:rsidRPr="001A3D2B">
        <w:t>Notes: TTopic</w:t>
      </w:r>
    </w:p>
    <w:p w:rsidR="003474F2" w:rsidRPr="001A3D2B" w:rsidRDefault="003474F2" w:rsidP="003474F2">
      <w:pPr>
        <w:pStyle w:val="a3"/>
      </w:pPr>
      <w:r w:rsidRPr="001A3D2B">
        <w:t>Slater, L.G. (1997), Mapping</w:t>
      </w:r>
      <w:bookmarkEnd w:id="980"/>
      <w:r w:rsidR="003A1917">
        <w:t xml:space="preserve"> the </w:t>
      </w:r>
      <w:r w:rsidRPr="001A3D2B">
        <w:t>literature</w:t>
      </w:r>
      <w:r w:rsidR="00427468">
        <w:t xml:space="preserve"> of </w:t>
      </w:r>
      <w:r w:rsidRPr="001A3D2B">
        <w:t xml:space="preserve">speech-language pathology.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(3), 297-302.</w:t>
      </w:r>
    </w:p>
    <w:p w:rsidR="003474F2" w:rsidRPr="001A3D2B" w:rsidRDefault="003474F2" w:rsidP="003474F2">
      <w:pPr>
        <w:pStyle w:val="a3"/>
      </w:pPr>
      <w:r w:rsidRPr="001A3D2B">
        <w:t xml:space="preserve">Full Text: </w:t>
      </w:r>
      <w:hyperlink r:id="rId2124" w:history="1">
        <w:r w:rsidRPr="001A3D2B">
          <w:rPr>
            <w:rStyle w:val="a5"/>
          </w:rPr>
          <w:t>1997\Bul Med Lib Ass85, 297.pdf</w:t>
        </w:r>
      </w:hyperlink>
    </w:p>
    <w:p w:rsidR="003474F2" w:rsidRPr="001A3D2B" w:rsidRDefault="003474F2" w:rsidP="003474F2">
      <w:pPr>
        <w:pStyle w:val="a3"/>
      </w:pPr>
      <w:r w:rsidRPr="001A3D2B">
        <w:t>Abstract:</w:t>
      </w:r>
      <w:r w:rsidR="003A1917">
        <w:t xml:space="preserve"> the </w:t>
      </w:r>
      <w:r w:rsidRPr="001A3D2B">
        <w:t>purpose</w:t>
      </w:r>
      <w:r w:rsidR="00427468">
        <w:t xml:space="preserve"> of </w:t>
      </w:r>
      <w:r w:rsidRPr="001A3D2B">
        <w:t>this study, part</w:t>
      </w:r>
      <w:r w:rsidR="00427468">
        <w:t xml:space="preserve"> of </w:t>
      </w:r>
      <w:r w:rsidR="003A1917">
        <w:t xml:space="preserve">the </w:t>
      </w:r>
      <w:r w:rsidRPr="001A3D2B">
        <w:t>Medical Library Association (MLA) Nursing</w:t>
      </w:r>
      <w:r w:rsidR="005853A9">
        <w:t xml:space="preserve"> and </w:t>
      </w:r>
      <w:r w:rsidRPr="001A3D2B">
        <w:t>Allied Health Resources Section</w:t>
      </w:r>
      <w:r w:rsidR="00700038">
        <w:t>’</w:t>
      </w:r>
      <w:r w:rsidR="00C13DDC">
        <w:t>s</w:t>
      </w:r>
      <w:r w:rsidRPr="001A3D2B">
        <w:t xml:space="preserve"> project to map</w:t>
      </w:r>
      <w:r w:rsidR="003A1917">
        <w:t xml:space="preserve"> the </w:t>
      </w:r>
      <w:r w:rsidRPr="001A3D2B">
        <w:t>allied health literature, is to identify</w:t>
      </w:r>
      <w:r w:rsidR="003A1917">
        <w:t xml:space="preserve"> the </w:t>
      </w:r>
      <w:r w:rsidRPr="001A3D2B">
        <w:t>core journals in</w:t>
      </w:r>
      <w:r w:rsidR="003A1917">
        <w:t xml:space="preserve"> the </w:t>
      </w:r>
      <w:r w:rsidRPr="001A3D2B">
        <w:t>field</w:t>
      </w:r>
      <w:r w:rsidR="00427468">
        <w:t xml:space="preserve"> of </w:t>
      </w:r>
      <w:r w:rsidRPr="001A3D2B">
        <w:t>speech-language pathology</w:t>
      </w:r>
      <w:r w:rsidR="005853A9">
        <w:t xml:space="preserve"> and </w:t>
      </w:r>
      <w:r w:rsidRPr="001A3D2B">
        <w:t>to identify indexing</w:t>
      </w:r>
      <w:r w:rsidR="005853A9">
        <w:t xml:space="preserve"> and </w:t>
      </w:r>
      <w:r w:rsidRPr="001A3D2B">
        <w:t>abstracting services that provide access to these journals. Four representative speech-language pathology journals were selected</w:t>
      </w:r>
      <w:r w:rsidR="005853A9">
        <w:t xml:space="preserve"> and </w:t>
      </w:r>
      <w:r w:rsidRPr="001A3D2B">
        <w:t>subjected to citation analysis to determine which journals were cited</w:t>
      </w:r>
      <w:r w:rsidR="005853A9">
        <w:t xml:space="preserve"> and </w:t>
      </w:r>
      <w:r w:rsidRPr="001A3D2B">
        <w:t>how many times each was cited. Bradford</w:t>
      </w:r>
      <w:r w:rsidR="00700038">
        <w:t>’</w:t>
      </w:r>
      <w:r w:rsidR="00C13DDC">
        <w:t>s</w:t>
      </w:r>
      <w:r w:rsidRPr="001A3D2B">
        <w:t xml:space="preserve"> Law</w:t>
      </w:r>
      <w:r w:rsidR="00427468">
        <w:t xml:space="preserve"> of </w:t>
      </w:r>
      <w:r w:rsidRPr="001A3D2B">
        <w:t>Scattering was applied to</w:t>
      </w:r>
      <w:r w:rsidR="003A1917">
        <w:t xml:space="preserve"> the </w:t>
      </w:r>
      <w:r w:rsidRPr="001A3D2B">
        <w:t>resulting list</w:t>
      </w:r>
      <w:r w:rsidR="00427468">
        <w:t xml:space="preserve"> of </w:t>
      </w:r>
      <w:r w:rsidRPr="001A3D2B">
        <w:t>journals to identify</w:t>
      </w:r>
      <w:r w:rsidR="003A1917">
        <w:t xml:space="preserve"> the </w:t>
      </w:r>
      <w:r w:rsidRPr="001A3D2B">
        <w:t>core journals</w:t>
      </w:r>
      <w:r w:rsidR="00427468">
        <w:t xml:space="preserve"> of </w:t>
      </w:r>
      <w:r w:rsidRPr="001A3D2B">
        <w:t>this discipline. Six indexing</w:t>
      </w:r>
      <w:r w:rsidR="005853A9">
        <w:t xml:space="preserve"> and </w:t>
      </w:r>
      <w:r w:rsidRPr="001A3D2B">
        <w:t>abstracting services were selected</w:t>
      </w:r>
      <w:r w:rsidR="005853A9">
        <w:t xml:space="preserve"> and </w:t>
      </w:r>
      <w:r w:rsidRPr="001A3D2B">
        <w:t>scanned to determine coverage for</w:t>
      </w:r>
      <w:r w:rsidR="003A1917">
        <w:t xml:space="preserve"> the </w:t>
      </w:r>
      <w:r w:rsidRPr="001A3D2B">
        <w:t>speech-language pathology core journals</w:t>
      </w:r>
      <w:r w:rsidR="00A37C1D">
        <w:t>. The</w:t>
      </w:r>
      <w:r w:rsidR="003A1917">
        <w:t xml:space="preserve"> </w:t>
      </w:r>
      <w:r w:rsidRPr="001A3D2B">
        <w:t>core journals received broad coverage in</w:t>
      </w:r>
      <w:r w:rsidR="003A1917">
        <w:t xml:space="preserve"> the </w:t>
      </w:r>
      <w:r w:rsidRPr="001A3D2B">
        <w:t>health sciences</w:t>
      </w:r>
      <w:r w:rsidR="005853A9">
        <w:t xml:space="preserve"> and </w:t>
      </w:r>
      <w:r w:rsidRPr="001A3D2B">
        <w:t>social sciences indexing</w:t>
      </w:r>
      <w:r w:rsidR="005853A9">
        <w:t xml:space="preserve"> and </w:t>
      </w:r>
      <w:r w:rsidRPr="001A3D2B">
        <w:t>abstracting databases surveyed, although there was no one database that provided complete coverage</w:t>
      </w:r>
      <w:r w:rsidR="00427468">
        <w:t xml:space="preserve"> of </w:t>
      </w:r>
      <w:r w:rsidRPr="001A3D2B">
        <w:t>all core journals</w:t>
      </w:r>
      <w:r w:rsidR="00A37C1D">
        <w:t>. The</w:t>
      </w:r>
      <w:r w:rsidR="003A1917">
        <w:t xml:space="preserve"> </w:t>
      </w:r>
      <w:r w:rsidRPr="001A3D2B">
        <w:t>full Current Contents database provides</w:t>
      </w:r>
      <w:r w:rsidR="003A1917">
        <w:t xml:space="preserve"> the </w:t>
      </w:r>
      <w:r w:rsidRPr="001A3D2B">
        <w:t>most extensive coverage</w:t>
      </w:r>
      <w:r w:rsidR="00427468">
        <w:t xml:space="preserve"> of </w:t>
      </w:r>
      <w:r w:rsidRPr="001A3D2B">
        <w:t>core journals. For individuals without access to</w:t>
      </w:r>
      <w:r w:rsidR="003A1917">
        <w:t xml:space="preserve"> the </w:t>
      </w:r>
      <w:r w:rsidRPr="001A3D2B">
        <w:t>complete Current Contents database, a combined search</w:t>
      </w:r>
      <w:r w:rsidR="00427468">
        <w:t xml:space="preserve"> of </w:t>
      </w:r>
      <w:r w:rsidRPr="001A3D2B">
        <w:t xml:space="preserve">both </w:t>
      </w:r>
      <w:r w:rsidR="00D5664A">
        <w:t>MEDLINE</w:t>
      </w:r>
      <w:r w:rsidR="005853A9">
        <w:t xml:space="preserve"> and </w:t>
      </w:r>
      <w:r w:rsidRPr="001A3D2B">
        <w:t>PsycINFO provides very comprehensive coverage</w:t>
      </w:r>
      <w:r w:rsidR="00427468">
        <w:t xml:space="preserve"> of </w:t>
      </w:r>
      <w:r w:rsidRPr="001A3D2B">
        <w:t>core journals.</w:t>
      </w:r>
    </w:p>
    <w:p w:rsidR="003474F2" w:rsidRPr="001A3D2B" w:rsidRDefault="003474F2" w:rsidP="003474F2">
      <w:pPr>
        <w:pStyle w:val="a3"/>
      </w:pPr>
      <w:r w:rsidRPr="001A3D2B">
        <w:t>Notes: JJournal</w:t>
      </w:r>
    </w:p>
    <w:p w:rsidR="003474F2" w:rsidRPr="001A3D2B" w:rsidRDefault="003474F2" w:rsidP="003474F2">
      <w:pPr>
        <w:pStyle w:val="a3"/>
      </w:pPr>
      <w:r w:rsidRPr="001A3D2B">
        <w:lastRenderedPageBreak/>
        <w:t xml:space="preserve">Eldredge, J.D. (1997), Identifying peer-reviewed journals in clinical medicine.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85</w:t>
      </w:r>
      <w:r w:rsidRPr="001A3D2B">
        <w:t xml:space="preserve"> (4), 418-422.</w:t>
      </w:r>
    </w:p>
    <w:p w:rsidR="003474F2" w:rsidRPr="001A3D2B" w:rsidRDefault="003474F2" w:rsidP="003474F2">
      <w:pPr>
        <w:pStyle w:val="a3"/>
      </w:pPr>
      <w:r w:rsidRPr="001A3D2B">
        <w:t xml:space="preserve">Full Text: </w:t>
      </w:r>
      <w:hyperlink r:id="rId2125" w:history="1">
        <w:r w:rsidRPr="001A3D2B">
          <w:rPr>
            <w:rStyle w:val="a5"/>
          </w:rPr>
          <w:t>1997\Bul Med Lib Ass85, 418.pdf</w:t>
        </w:r>
      </w:hyperlink>
    </w:p>
    <w:p w:rsidR="003474F2" w:rsidRPr="001A3D2B" w:rsidRDefault="003474F2" w:rsidP="003474F2">
      <w:pPr>
        <w:pStyle w:val="a3"/>
      </w:pPr>
      <w:r w:rsidRPr="001A3D2B">
        <w:t>Abstract: Background: Two directories that contain information about serials also offer lists</w:t>
      </w:r>
      <w:r w:rsidR="00427468">
        <w:t xml:space="preserve"> of </w:t>
      </w:r>
      <w:r w:rsidRPr="001A3D2B">
        <w:t>tho</w:t>
      </w:r>
      <w:r w:rsidR="00D5664A">
        <w:t>USA</w:t>
      </w:r>
      <w:r w:rsidRPr="001A3D2B">
        <w:t>nds</w:t>
      </w:r>
      <w:r w:rsidR="00427468">
        <w:t xml:space="preserve"> of </w:t>
      </w:r>
      <w:r w:rsidRPr="001A3D2B">
        <w:t>journals identified as peer-reviewed, Librarians generally regard these lists as authoritative. Objective: To identify clinical medicine journals on both peer-reviewed lists, measure</w:t>
      </w:r>
      <w:r w:rsidR="003A1917">
        <w:t xml:space="preserve"> the </w:t>
      </w:r>
      <w:r w:rsidRPr="001A3D2B">
        <w:t>extent</w:t>
      </w:r>
      <w:r w:rsidR="00427468">
        <w:t xml:space="preserve"> of </w:t>
      </w:r>
      <w:r w:rsidRPr="001A3D2B">
        <w:t>discrepancies between these two lists,</w:t>
      </w:r>
      <w:r w:rsidR="005853A9">
        <w:t xml:space="preserve"> and </w:t>
      </w:r>
      <w:r w:rsidRPr="001A3D2B">
        <w:t>determine</w:t>
      </w:r>
      <w:r w:rsidR="003A1917">
        <w:t xml:space="preserve"> the </w:t>
      </w:r>
      <w:r w:rsidRPr="001A3D2B">
        <w:t>cause for these discrepancies. Design: Comparison Study. Measurements:</w:t>
      </w:r>
      <w:r w:rsidR="003A1917">
        <w:t xml:space="preserve"> the </w:t>
      </w:r>
      <w:r w:rsidRPr="001A3D2B">
        <w:t>extent</w:t>
      </w:r>
      <w:r w:rsidR="00427468">
        <w:t xml:space="preserve"> of </w:t>
      </w:r>
      <w:r w:rsidR="003A1917">
        <w:t xml:space="preserve">the </w:t>
      </w:r>
      <w:r w:rsidRPr="001A3D2B">
        <w:t>discrepancies were tallied once</w:t>
      </w:r>
      <w:r w:rsidR="003A1917">
        <w:t xml:space="preserve"> the </w:t>
      </w:r>
      <w:r w:rsidRPr="001A3D2B">
        <w:t>author had attempted to control for all extraneous variables. Interviews with</w:t>
      </w:r>
      <w:r w:rsidR="003A1917">
        <w:t xml:space="preserve"> the </w:t>
      </w:r>
      <w:r w:rsidRPr="001A3D2B">
        <w:t>editorial staffs</w:t>
      </w:r>
      <w:r w:rsidR="00427468">
        <w:t xml:space="preserve"> of </w:t>
      </w:r>
      <w:r w:rsidRPr="001A3D2B">
        <w:t>each directory in regard to procedures for compiling</w:t>
      </w:r>
      <w:r w:rsidR="003A1917">
        <w:t xml:space="preserve"> the </w:t>
      </w:r>
      <w:r w:rsidRPr="001A3D2B">
        <w:t>directories did not produce an explanation for these discrepancies, Results: Nearly half (46%)</w:t>
      </w:r>
      <w:r w:rsidR="00427468">
        <w:t xml:space="preserve"> of </w:t>
      </w:r>
      <w:r w:rsidR="003A1917">
        <w:t xml:space="preserve">the </w:t>
      </w:r>
      <w:r w:rsidRPr="001A3D2B">
        <w:t>784 clinical medicine journals were unique to either one directory</w:t>
      </w:r>
      <w:r w:rsidR="00700038">
        <w:t>’</w:t>
      </w:r>
      <w:r w:rsidR="00C13DDC">
        <w:t>s</w:t>
      </w:r>
      <w:r w:rsidRPr="001A3D2B">
        <w:t xml:space="preserve"> list</w:t>
      </w:r>
      <w:r w:rsidR="00427468">
        <w:t xml:space="preserve"> of </w:t>
      </w:r>
      <w:r w:rsidRPr="001A3D2B">
        <w:t>peer-reviewed journals or</w:t>
      </w:r>
      <w:r w:rsidR="003A1917">
        <w:t xml:space="preserve"> the </w:t>
      </w:r>
      <w:r w:rsidRPr="001A3D2B">
        <w:t>other</w:t>
      </w:r>
      <w:r w:rsidR="00700038">
        <w:t>’</w:t>
      </w:r>
      <w:r w:rsidR="00C13DDC">
        <w:t>s</w:t>
      </w:r>
      <w:r w:rsidRPr="001A3D2B">
        <w:t>, indicating significant discrepancies between</w:t>
      </w:r>
      <w:r w:rsidR="003A1917">
        <w:t xml:space="preserve"> the </w:t>
      </w:r>
      <w:r w:rsidRPr="001A3D2B">
        <w:t>two directories. Specifically,</w:t>
      </w:r>
      <w:r w:rsidR="003A1917">
        <w:t xml:space="preserve"> the </w:t>
      </w:r>
      <w:r w:rsidRPr="001A3D2B">
        <w:t>Serials Directory listed 211 (27%) unique titles</w:t>
      </w:r>
      <w:r w:rsidR="005853A9">
        <w:t xml:space="preserve"> and </w:t>
      </w:r>
      <w:r w:rsidRPr="001A3D2B">
        <w:t>Ulrich</w:t>
      </w:r>
      <w:r w:rsidR="00700038">
        <w:t>’</w:t>
      </w:r>
      <w:r w:rsidR="00C13DDC">
        <w:t>s</w:t>
      </w:r>
      <w:r w:rsidRPr="001A3D2B">
        <w:t xml:space="preserve"> International Periodicals Directory listed 150 (19%) unique titles (total unique titles = 46%). both directories listed 423</w:t>
      </w:r>
      <w:r w:rsidR="00427468">
        <w:t xml:space="preserve"> of </w:t>
      </w:r>
      <w:r w:rsidR="003A1917">
        <w:t xml:space="preserve">the </w:t>
      </w:r>
      <w:r w:rsidRPr="001A3D2B">
        <w:t>same titles (54%). Conclusion: Widespread confusion about</w:t>
      </w:r>
      <w:r w:rsidR="003A1917">
        <w:t xml:space="preserve"> the </w:t>
      </w:r>
      <w:r w:rsidRPr="001A3D2B">
        <w:t>actual identities</w:t>
      </w:r>
      <w:r w:rsidR="00427468">
        <w:t xml:space="preserve"> of </w:t>
      </w:r>
      <w:r w:rsidRPr="001A3D2B">
        <w:t>peer reviewed clinical medicine journals appears to explain</w:t>
      </w:r>
      <w:r w:rsidR="003A1917">
        <w:t xml:space="preserve"> the </w:t>
      </w:r>
      <w:r w:rsidRPr="001A3D2B">
        <w:t>discrepancies between lists in these two periodical directories.</w:t>
      </w:r>
    </w:p>
    <w:p w:rsidR="003474F2" w:rsidRPr="001A3D2B" w:rsidRDefault="003474F2" w:rsidP="003474F2">
      <w:pPr>
        <w:pStyle w:val="a3"/>
      </w:pPr>
      <w:r w:rsidRPr="001A3D2B">
        <w:t>Keywords: Ingelfinger Rule, Embargoes, Editors</w:t>
      </w:r>
    </w:p>
    <w:p w:rsidR="003474F2" w:rsidRPr="001A3D2B" w:rsidRDefault="003474F2" w:rsidP="003474F2">
      <w:pPr>
        <w:pStyle w:val="a3"/>
      </w:pPr>
      <w:r w:rsidRPr="001A3D2B">
        <w:t>Notes: JJournal</w:t>
      </w:r>
    </w:p>
    <w:p w:rsidR="003474F2" w:rsidRPr="001A3D2B" w:rsidRDefault="003474F2" w:rsidP="003474F2">
      <w:pPr>
        <w:pStyle w:val="a3"/>
      </w:pPr>
      <w:r w:rsidRPr="001A3D2B">
        <w:t>Tsay, M.Y. (1998</w:t>
      </w:r>
      <w:r w:rsidR="00F42EAC">
        <w:t>), The</w:t>
      </w:r>
      <w:r w:rsidR="003A1917">
        <w:t xml:space="preserve"> </w:t>
      </w:r>
      <w:r w:rsidRPr="001A3D2B">
        <w:t>relationship between journal use in a medical library</w:t>
      </w:r>
      <w:r w:rsidR="005853A9">
        <w:t xml:space="preserve"> and </w:t>
      </w:r>
      <w:r w:rsidRPr="001A3D2B">
        <w:t xml:space="preserve">citation use.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86</w:t>
      </w:r>
      <w:r w:rsidRPr="001A3D2B">
        <w:t xml:space="preserve"> (1), 31-39.</w:t>
      </w:r>
    </w:p>
    <w:p w:rsidR="003474F2" w:rsidRPr="001A3D2B" w:rsidRDefault="003474F2" w:rsidP="003474F2">
      <w:pPr>
        <w:pStyle w:val="a3"/>
      </w:pPr>
      <w:r w:rsidRPr="001A3D2B">
        <w:t xml:space="preserve">Full Text: </w:t>
      </w:r>
      <w:hyperlink r:id="rId2126" w:history="1">
        <w:r w:rsidRPr="001A3D2B">
          <w:rPr>
            <w:rStyle w:val="a5"/>
          </w:rPr>
          <w:t>1998\Bul Med Lib Ass86, 31.pdf</w:t>
        </w:r>
      </w:hyperlink>
    </w:p>
    <w:p w:rsidR="003474F2" w:rsidRPr="001A3D2B" w:rsidRDefault="003474F2" w:rsidP="003474F2">
      <w:pPr>
        <w:pStyle w:val="a3"/>
      </w:pPr>
      <w:r w:rsidRPr="001A3D2B">
        <w:t>Abstract:</w:t>
      </w:r>
      <w:r w:rsidR="003A1917">
        <w:t xml:space="preserve"> the </w:t>
      </w:r>
      <w:r w:rsidRPr="001A3D2B">
        <w:t>purpose</w:t>
      </w:r>
      <w:r w:rsidR="00427468">
        <w:t xml:space="preserve"> of </w:t>
      </w:r>
      <w:r w:rsidR="003A1917">
        <w:t xml:space="preserve">the </w:t>
      </w:r>
      <w:r w:rsidRPr="001A3D2B">
        <w:t>study was to investigate</w:t>
      </w:r>
      <w:r w:rsidR="003A1917">
        <w:t xml:space="preserve"> the </w:t>
      </w:r>
      <w:r w:rsidRPr="001A3D2B">
        <w:t>relationship between library journal use</w:t>
      </w:r>
      <w:r w:rsidR="005853A9">
        <w:t xml:space="preserve"> and </w:t>
      </w:r>
      <w:r w:rsidRPr="001A3D2B">
        <w:t>journal citation use in</w:t>
      </w:r>
      <w:r w:rsidR="003A1917">
        <w:t xml:space="preserve"> the </w:t>
      </w:r>
      <w:r w:rsidRPr="001A3D2B">
        <w:t>medical sciences</w:t>
      </w:r>
      <w:r w:rsidR="00A37C1D">
        <w:t>. The</w:t>
      </w:r>
      <w:r w:rsidR="003A1917">
        <w:t xml:space="preserve"> </w:t>
      </w:r>
      <w:r w:rsidRPr="001A3D2B">
        <w:t>six-month journal use study was conducted in</w:t>
      </w:r>
      <w:r w:rsidR="003A1917">
        <w:t xml:space="preserve"> the </w:t>
      </w:r>
      <w:r w:rsidRPr="001A3D2B">
        <w:t>Library</w:t>
      </w:r>
      <w:r w:rsidR="00427468">
        <w:t xml:space="preserve"> of </w:t>
      </w:r>
      <w:r w:rsidR="003A1917">
        <w:t xml:space="preserve">the </w:t>
      </w:r>
      <w:r w:rsidRPr="001A3D2B">
        <w:t xml:space="preserve">Veterans </w:t>
      </w:r>
      <w:smartTag w:uri="urn:schemas-microsoft-com:office:smarttags" w:element="PlaceName">
        <w:r w:rsidRPr="001A3D2B">
          <w:t>General</w:t>
        </w:r>
      </w:smartTag>
      <w:r w:rsidRPr="001A3D2B">
        <w:t xml:space="preserve"> </w:t>
      </w:r>
      <w:smartTag w:uri="urn:schemas-microsoft-com:office:smarttags" w:element="PlaceType">
        <w:r w:rsidRPr="001A3D2B">
          <w:t>Hospital</w:t>
        </w:r>
      </w:smartTag>
      <w:r w:rsidRPr="001A3D2B">
        <w:t xml:space="preserve"> in Taipei</w:t>
      </w:r>
      <w:r w:rsidR="00A37C1D">
        <w:t>. The</w:t>
      </w:r>
      <w:r w:rsidR="003A1917">
        <w:t xml:space="preserve"> </w:t>
      </w:r>
      <w:r w:rsidRPr="001A3D2B">
        <w:t>data on citation frequency</w:t>
      </w:r>
      <w:r w:rsidR="005853A9">
        <w:t xml:space="preserve"> and </w:t>
      </w:r>
      <w:r w:rsidRPr="001A3D2B">
        <w:t>impact factors were obtained from Journal Citation Reports, 1993 microfiche edition</w:t>
      </w:r>
      <w:r w:rsidR="00A37C1D">
        <w:t>. The</w:t>
      </w:r>
      <w:r w:rsidR="003A1917">
        <w:t xml:space="preserve"> </w:t>
      </w:r>
      <w:r w:rsidRPr="001A3D2B">
        <w:t>study explored</w:t>
      </w:r>
      <w:r w:rsidR="003A1917">
        <w:t xml:space="preserve"> the </w:t>
      </w:r>
      <w:r w:rsidRPr="001A3D2B">
        <w:t>use, citation,</w:t>
      </w:r>
      <w:r w:rsidR="005853A9">
        <w:t xml:space="preserve"> and </w:t>
      </w:r>
      <w:r w:rsidRPr="001A3D2B">
        <w:t>impact factor data, especially for heavily used, highly cited, or high-impact-factor journals</w:t>
      </w:r>
      <w:r w:rsidR="00A37C1D">
        <w:t>. The</w:t>
      </w:r>
      <w:r w:rsidR="003A1917">
        <w:t xml:space="preserve"> </w:t>
      </w:r>
      <w:r w:rsidRPr="001A3D2B">
        <w:t>correlations between frequency</w:t>
      </w:r>
      <w:r w:rsidR="00427468">
        <w:t xml:space="preserve"> of </w:t>
      </w:r>
      <w:r w:rsidRPr="001A3D2B">
        <w:t>use</w:t>
      </w:r>
      <w:r w:rsidR="005853A9">
        <w:t xml:space="preserve"> and </w:t>
      </w:r>
      <w:r w:rsidRPr="001A3D2B">
        <w:t>citation frequency</w:t>
      </w:r>
      <w:r w:rsidR="005853A9">
        <w:t xml:space="preserve"> and </w:t>
      </w:r>
      <w:r w:rsidRPr="001A3D2B">
        <w:t>between frequency</w:t>
      </w:r>
      <w:r w:rsidR="00427468">
        <w:t xml:space="preserve"> of </w:t>
      </w:r>
      <w:r w:rsidRPr="001A3D2B">
        <w:t>use</w:t>
      </w:r>
      <w:r w:rsidR="005853A9">
        <w:t xml:space="preserve"> and </w:t>
      </w:r>
      <w:r w:rsidRPr="001A3D2B">
        <w:t>impact factor were determined by using</w:t>
      </w:r>
      <w:r w:rsidR="003A1917">
        <w:t xml:space="preserve"> the </w:t>
      </w:r>
      <w:r w:rsidRPr="001A3D2B">
        <w:t>Spearman rank</w:t>
      </w:r>
      <w:r w:rsidR="005853A9">
        <w:t xml:space="preserve"> and </w:t>
      </w:r>
      <w:r w:rsidRPr="001A3D2B">
        <w:t>Pearson correlation tests</w:t>
      </w:r>
      <w:r w:rsidR="00A37C1D">
        <w:t>. The</w:t>
      </w:r>
      <w:r w:rsidR="003A1917">
        <w:t xml:space="preserve"> </w:t>
      </w:r>
      <w:r w:rsidRPr="001A3D2B">
        <w:t>same comparisons were also made within four Subject Categories: clinical medicine journals, life science journals, hybrid journals publishing both clinical medicine</w:t>
      </w:r>
      <w:r w:rsidR="005853A9">
        <w:t xml:space="preserve"> and </w:t>
      </w:r>
      <w:r w:rsidRPr="001A3D2B">
        <w:t>life science papers,</w:t>
      </w:r>
      <w:r w:rsidR="005853A9">
        <w:t xml:space="preserve"> and </w:t>
      </w:r>
      <w:r w:rsidRPr="001A3D2B">
        <w:t>journals that publish neither clinical medicine nor life science articles</w:t>
      </w:r>
      <w:r w:rsidR="00A37C1D">
        <w:t>. The</w:t>
      </w:r>
      <w:r w:rsidR="003A1917">
        <w:t xml:space="preserve"> </w:t>
      </w:r>
      <w:r w:rsidRPr="001A3D2B">
        <w:t>results</w:t>
      </w:r>
      <w:r w:rsidR="00427468">
        <w:t xml:space="preserve"> of </w:t>
      </w:r>
      <w:r w:rsidR="003A1917">
        <w:t xml:space="preserve">the </w:t>
      </w:r>
      <w:r w:rsidRPr="001A3D2B">
        <w:t>study showed that there is a significant correlation between frequency</w:t>
      </w:r>
      <w:r w:rsidR="00427468">
        <w:t xml:space="preserve"> of </w:t>
      </w:r>
      <w:r w:rsidRPr="001A3D2B">
        <w:t>use</w:t>
      </w:r>
      <w:r w:rsidR="005853A9">
        <w:t xml:space="preserve"> and </w:t>
      </w:r>
      <w:r w:rsidRPr="001A3D2B">
        <w:t>citation frequency</w:t>
      </w:r>
      <w:r w:rsidR="005853A9">
        <w:t xml:space="preserve"> and </w:t>
      </w:r>
      <w:r w:rsidRPr="001A3D2B">
        <w:t>between frequency</w:t>
      </w:r>
      <w:r w:rsidR="00427468">
        <w:t xml:space="preserve"> of </w:t>
      </w:r>
      <w:r w:rsidRPr="001A3D2B">
        <w:t>use</w:t>
      </w:r>
      <w:r w:rsidR="005853A9">
        <w:t xml:space="preserve"> and </w:t>
      </w:r>
      <w:r w:rsidRPr="001A3D2B">
        <w:t>impact factor for all titles</w:t>
      </w:r>
      <w:r w:rsidR="00A37C1D">
        <w:t>. The</w:t>
      </w:r>
      <w:r w:rsidRPr="001A3D2B">
        <w:t xml:space="preserve">re is also </w:t>
      </w:r>
      <w:r w:rsidRPr="001A3D2B">
        <w:lastRenderedPageBreak/>
        <w:t>a significant correlation between frequency</w:t>
      </w:r>
      <w:r w:rsidR="00427468">
        <w:t xml:space="preserve"> of </w:t>
      </w:r>
      <w:r w:rsidRPr="001A3D2B">
        <w:t>use</w:t>
      </w:r>
      <w:r w:rsidR="005853A9">
        <w:t xml:space="preserve"> and </w:t>
      </w:r>
      <w:r w:rsidRPr="001A3D2B">
        <w:t>citation frequency</w:t>
      </w:r>
      <w:r w:rsidR="005853A9">
        <w:t xml:space="preserve"> and </w:t>
      </w:r>
      <w:r w:rsidRPr="001A3D2B">
        <w:t>between frequency</w:t>
      </w:r>
      <w:r w:rsidR="00427468">
        <w:t xml:space="preserve"> of </w:t>
      </w:r>
      <w:r w:rsidRPr="001A3D2B">
        <w:t>use</w:t>
      </w:r>
      <w:r w:rsidR="005853A9">
        <w:t xml:space="preserve"> and </w:t>
      </w:r>
      <w:r w:rsidRPr="001A3D2B">
        <w:t>impact factor for journals that publish either clinical medicine or life science articles, or both. However,</w:t>
      </w:r>
      <w:r w:rsidR="003A1917">
        <w:t xml:space="preserve"> the </w:t>
      </w:r>
      <w:r w:rsidRPr="001A3D2B">
        <w:t>correlation is not significant for other journals.</w:t>
      </w:r>
    </w:p>
    <w:p w:rsidR="003474F2" w:rsidRPr="001A3D2B" w:rsidRDefault="003474F2" w:rsidP="003474F2">
      <w:pPr>
        <w:pStyle w:val="a3"/>
      </w:pPr>
      <w:r w:rsidRPr="001A3D2B">
        <w:t>Keywords: Impact Factor</w:t>
      </w:r>
    </w:p>
    <w:p w:rsidR="003474F2" w:rsidRPr="001A3D2B" w:rsidRDefault="003474F2" w:rsidP="003474F2">
      <w:pPr>
        <w:pStyle w:val="a3"/>
      </w:pPr>
      <w:r w:rsidRPr="001A3D2B">
        <w:t>Notes: JJournal</w:t>
      </w:r>
    </w:p>
    <w:p w:rsidR="003474F2" w:rsidRPr="001A3D2B" w:rsidRDefault="003474F2" w:rsidP="003474F2">
      <w:pPr>
        <w:pStyle w:val="a3"/>
      </w:pPr>
      <w:r w:rsidRPr="001A3D2B">
        <w:t>Vishwanatham, R. (1998), Citation analysis in journal rankings: Medical informatics in</w:t>
      </w:r>
      <w:r w:rsidR="003A1917">
        <w:t xml:space="preserve"> the </w:t>
      </w:r>
      <w:r w:rsidRPr="001A3D2B">
        <w:t>library</w:t>
      </w:r>
      <w:r w:rsidR="005853A9">
        <w:t xml:space="preserve"> and </w:t>
      </w:r>
      <w:r w:rsidRPr="001A3D2B">
        <w:t xml:space="preserve">information science literature.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86</w:t>
      </w:r>
      <w:r w:rsidRPr="001A3D2B">
        <w:t xml:space="preserve"> (4), 518-522.</w:t>
      </w:r>
    </w:p>
    <w:p w:rsidR="003474F2" w:rsidRPr="001A3D2B" w:rsidRDefault="003474F2" w:rsidP="003474F2">
      <w:pPr>
        <w:pStyle w:val="a3"/>
      </w:pPr>
      <w:r w:rsidRPr="001A3D2B">
        <w:t xml:space="preserve">Full Text: </w:t>
      </w:r>
      <w:hyperlink r:id="rId2127" w:history="1">
        <w:r w:rsidRPr="001A3D2B">
          <w:rPr>
            <w:rStyle w:val="a5"/>
          </w:rPr>
          <w:t>1998\Bul Med Lib Ass86, 518.pdf</w:t>
        </w:r>
      </w:hyperlink>
    </w:p>
    <w:p w:rsidR="003474F2" w:rsidRPr="001A3D2B" w:rsidRDefault="003474F2" w:rsidP="003474F2">
      <w:pPr>
        <w:pStyle w:val="a3"/>
      </w:pPr>
      <w:r w:rsidRPr="001A3D2B">
        <w:t>Abstract: Medical informatics is an interdisciplinary field. Medical informatics articles will be found in</w:t>
      </w:r>
      <w:r w:rsidR="003A1917">
        <w:t xml:space="preserve"> the </w:t>
      </w:r>
      <w:r w:rsidRPr="001A3D2B">
        <w:t>literature</w:t>
      </w:r>
      <w:r w:rsidR="00427468">
        <w:t xml:space="preserve"> of </w:t>
      </w:r>
      <w:r w:rsidRPr="001A3D2B">
        <w:t>various disciplines including library</w:t>
      </w:r>
      <w:r w:rsidR="005853A9">
        <w:t xml:space="preserve"> and </w:t>
      </w:r>
      <w:r w:rsidRPr="001A3D2B">
        <w:t>information science publications</w:t>
      </w:r>
      <w:r w:rsidR="00A37C1D">
        <w:t>. The</w:t>
      </w:r>
      <w:r w:rsidR="003A1917">
        <w:t xml:space="preserve"> </w:t>
      </w:r>
      <w:r w:rsidRPr="001A3D2B">
        <w:t>purpose</w:t>
      </w:r>
      <w:r w:rsidR="00427468">
        <w:t xml:space="preserve"> of </w:t>
      </w:r>
      <w:r w:rsidRPr="001A3D2B">
        <w:t>this study was to provide an objectively ranked list</w:t>
      </w:r>
      <w:r w:rsidR="00427468">
        <w:t xml:space="preserve"> of </w:t>
      </w:r>
      <w:r w:rsidRPr="001A3D2B">
        <w:t>journals that publish medical informatics articles relevant to library</w:t>
      </w:r>
      <w:r w:rsidR="005853A9">
        <w:t xml:space="preserve"> and </w:t>
      </w:r>
      <w:r w:rsidRPr="001A3D2B">
        <w:t>information science. Library Literature, Library</w:t>
      </w:r>
      <w:r w:rsidR="005853A9">
        <w:t xml:space="preserve"> and </w:t>
      </w:r>
      <w:r w:rsidRPr="001A3D2B">
        <w:t>Information Science Abstracts,</w:t>
      </w:r>
      <w:r w:rsidR="005853A9">
        <w:t xml:space="preserve"> and </w:t>
      </w:r>
      <w:r w:rsidRPr="001A3D2B">
        <w:t>Social Science Citation Index were used to identify articles published on</w:t>
      </w:r>
      <w:r w:rsidR="003A1917">
        <w:t xml:space="preserve"> the </w:t>
      </w:r>
      <w:r w:rsidRPr="001A3D2B">
        <w:t>topic</w:t>
      </w:r>
      <w:r w:rsidR="00427468">
        <w:t xml:space="preserve"> of </w:t>
      </w:r>
      <w:r w:rsidRPr="001A3D2B">
        <w:t>medical informatics</w:t>
      </w:r>
      <w:r w:rsidR="005853A9">
        <w:t xml:space="preserve"> and </w:t>
      </w:r>
      <w:r w:rsidRPr="001A3D2B">
        <w:t>to identify a ranked list</w:t>
      </w:r>
      <w:r w:rsidR="00427468">
        <w:t xml:space="preserve"> of </w:t>
      </w:r>
      <w:r w:rsidRPr="001A3D2B">
        <w:t>journals. This study also used citation analysis to identify</w:t>
      </w:r>
      <w:r w:rsidR="003A1917">
        <w:t xml:space="preserve"> the </w:t>
      </w:r>
      <w:r w:rsidRPr="001A3D2B">
        <w:t>most frequently cited journals relevant to library</w:t>
      </w:r>
      <w:r w:rsidR="005853A9">
        <w:t xml:space="preserve"> and </w:t>
      </w:r>
      <w:r w:rsidRPr="001A3D2B">
        <w:t>information science.</w:t>
      </w:r>
    </w:p>
    <w:p w:rsidR="003474F2" w:rsidRPr="001A3D2B" w:rsidRDefault="003474F2" w:rsidP="003474F2">
      <w:pPr>
        <w:pStyle w:val="a3"/>
      </w:pPr>
      <w:r w:rsidRPr="001A3D2B">
        <w:t>Notes: TTopic</w:t>
      </w:r>
    </w:p>
    <w:p w:rsidR="003474F2" w:rsidRPr="001A3D2B" w:rsidRDefault="003474F2" w:rsidP="003474F2">
      <w:pPr>
        <w:pStyle w:val="a3"/>
      </w:pPr>
      <w:r w:rsidRPr="001A3D2B">
        <w:t>Stone, V.L., Fishman, D.L.</w:t>
      </w:r>
      <w:r w:rsidR="005853A9">
        <w:t xml:space="preserve"> and </w:t>
      </w:r>
      <w:r w:rsidRPr="001A3D2B">
        <w:t>Frese, D.B. (1998), Searching online</w:t>
      </w:r>
      <w:r w:rsidR="005853A9">
        <w:t xml:space="preserve"> and </w:t>
      </w:r>
      <w:r w:rsidRPr="001A3D2B">
        <w:t xml:space="preserve">Web-based resources for information on natural products used as drugs.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86</w:t>
      </w:r>
      <w:r w:rsidRPr="001A3D2B">
        <w:t xml:space="preserve"> (4), 523-527.</w:t>
      </w:r>
    </w:p>
    <w:p w:rsidR="003474F2" w:rsidRPr="001A3D2B" w:rsidRDefault="003474F2" w:rsidP="003474F2">
      <w:pPr>
        <w:pStyle w:val="a3"/>
      </w:pPr>
      <w:r w:rsidRPr="001A3D2B">
        <w:t xml:space="preserve">Full Text: </w:t>
      </w:r>
      <w:hyperlink r:id="rId2128" w:history="1">
        <w:r w:rsidRPr="001A3D2B">
          <w:rPr>
            <w:rStyle w:val="a5"/>
          </w:rPr>
          <w:t>1998\Bul Med Lib Ass86, 523.pdf</w:t>
        </w:r>
      </w:hyperlink>
    </w:p>
    <w:p w:rsidR="003474F2" w:rsidRPr="001A3D2B" w:rsidRDefault="003474F2" w:rsidP="003474F2">
      <w:pPr>
        <w:pStyle w:val="a3"/>
      </w:pPr>
      <w:r w:rsidRPr="001A3D2B">
        <w:t>Abstract: Finding</w:t>
      </w:r>
      <w:r w:rsidR="005853A9">
        <w:t xml:space="preserve"> and </w:t>
      </w:r>
      <w:r w:rsidRPr="001A3D2B">
        <w:t>evaluating information on natural products used as drugs can present challenges to</w:t>
      </w:r>
      <w:r w:rsidR="003A1917">
        <w:t xml:space="preserve"> the </w:t>
      </w:r>
      <w:r w:rsidRPr="001A3D2B">
        <w:t>information professional. In this study, eight databases including resources retrieved on</w:t>
      </w:r>
      <w:r w:rsidR="003A1917">
        <w:t xml:space="preserve"> the </w:t>
      </w:r>
      <w:r w:rsidRPr="001A3D2B">
        <w:t>Web were compared for relevancy</w:t>
      </w:r>
      <w:r w:rsidR="005853A9">
        <w:t xml:space="preserve"> and </w:t>
      </w:r>
      <w:r w:rsidRPr="001A3D2B">
        <w:t>uniqueness. Ten reference questions related to natural products used as drugs were searched in</w:t>
      </w:r>
      <w:r w:rsidR="003A1917">
        <w:t xml:space="preserve"> the </w:t>
      </w:r>
      <w:r w:rsidRPr="001A3D2B">
        <w:t>latest three year file</w:t>
      </w:r>
      <w:r w:rsidR="00427468">
        <w:t xml:space="preserve"> of </w:t>
      </w:r>
      <w:r w:rsidRPr="001A3D2B">
        <w:t>a number</w:t>
      </w:r>
      <w:r w:rsidR="00427468">
        <w:t xml:space="preserve"> of </w:t>
      </w:r>
      <w:r w:rsidRPr="001A3D2B">
        <w:t xml:space="preserve">databases, including </w:t>
      </w:r>
      <w:r w:rsidR="00D5664A">
        <w:t>MEDLINE</w:t>
      </w:r>
      <w:r w:rsidRPr="001A3D2B">
        <w:t>, International Pharmaceutical Abstracts,</w:t>
      </w:r>
      <w:r w:rsidR="005853A9">
        <w:t xml:space="preserve"> and </w:t>
      </w:r>
      <w:r w:rsidRPr="001A3D2B">
        <w:t>EMBASE/Excerpta Medica. In addition,</w:t>
      </w:r>
      <w:r w:rsidR="003A1917">
        <w:t xml:space="preserve"> the </w:t>
      </w:r>
      <w:r w:rsidRPr="001A3D2B">
        <w:t>Web was searched for relevant Internet sites using</w:t>
      </w:r>
      <w:r w:rsidR="003A1917">
        <w:t xml:space="preserve"> the </w:t>
      </w:r>
      <w:r w:rsidRPr="001A3D2B">
        <w:t>Alta Vista search engine. EMBASE/Excerpta Medica retrieved</w:t>
      </w:r>
      <w:r w:rsidR="003A1917">
        <w:t xml:space="preserve"> the </w:t>
      </w:r>
      <w:r w:rsidRPr="001A3D2B">
        <w:t>largest number</w:t>
      </w:r>
      <w:r w:rsidR="00427468">
        <w:t xml:space="preserve"> of </w:t>
      </w:r>
      <w:r w:rsidRPr="001A3D2B">
        <w:t>relevant citations for four</w:t>
      </w:r>
      <w:r w:rsidR="00427468">
        <w:t xml:space="preserve"> of </w:t>
      </w:r>
      <w:r w:rsidR="003A1917">
        <w:t xml:space="preserve">the </w:t>
      </w:r>
      <w:r w:rsidRPr="001A3D2B">
        <w:t xml:space="preserve">ten questions. </w:t>
      </w:r>
      <w:r w:rsidR="00D5664A">
        <w:t>MEDLINE</w:t>
      </w:r>
      <w:r w:rsidRPr="001A3D2B">
        <w:t>,</w:t>
      </w:r>
      <w:r w:rsidR="003A1917">
        <w:t xml:space="preserve"> the </w:t>
      </w:r>
      <w:r w:rsidRPr="001A3D2B">
        <w:t xml:space="preserve">Health </w:t>
      </w:r>
      <w:smartTag w:uri="urn:schemas-microsoft-com:office:smarttags" w:element="PlaceName">
        <w:r w:rsidRPr="001A3D2B">
          <w:t>Reference</w:t>
        </w:r>
      </w:smartTag>
      <w:r w:rsidRPr="001A3D2B">
        <w:t xml:space="preserve"> </w:t>
      </w:r>
      <w:smartTag w:uri="urn:schemas-microsoft-com:office:smarttags" w:element="PlaceType">
        <w:r w:rsidRPr="001A3D2B">
          <w:t>Center</w:t>
        </w:r>
      </w:smartTag>
      <w:r w:rsidRPr="001A3D2B">
        <w:t>,</w:t>
      </w:r>
      <w:r w:rsidR="005853A9">
        <w:t xml:space="preserve"> and </w:t>
      </w:r>
      <w:r w:rsidRPr="001A3D2B">
        <w:t>Alta Vista each retrieved</w:t>
      </w:r>
      <w:r w:rsidR="003A1917">
        <w:t xml:space="preserve"> the </w:t>
      </w:r>
      <w:r w:rsidRPr="001A3D2B">
        <w:t>largest numbers in two questions. Overall,</w:t>
      </w:r>
      <w:r w:rsidR="003A1917">
        <w:t xml:space="preserve"> the </w:t>
      </w:r>
      <w:r w:rsidRPr="001A3D2B">
        <w:t>standard medical databases were</w:t>
      </w:r>
      <w:r w:rsidR="003A1917">
        <w:t xml:space="preserve"> the </w:t>
      </w:r>
      <w:r w:rsidRPr="001A3D2B">
        <w:t>first choice for</w:t>
      </w:r>
      <w:r w:rsidR="003A1917">
        <w:t xml:space="preserve"> the </w:t>
      </w:r>
      <w:r w:rsidRPr="001A3D2B">
        <w:t>health professional</w:t>
      </w:r>
      <w:r w:rsidR="005853A9">
        <w:t xml:space="preserve"> and </w:t>
      </w:r>
      <w:r w:rsidRPr="001A3D2B">
        <w:t>for many lay people because</w:t>
      </w:r>
      <w:r w:rsidR="00427468">
        <w:t xml:space="preserve"> of </w:t>
      </w:r>
      <w:r w:rsidRPr="001A3D2B">
        <w:t>their more extensive indexing</w:t>
      </w:r>
      <w:r w:rsidR="005853A9">
        <w:t xml:space="preserve"> and </w:t>
      </w:r>
      <w:r w:rsidRPr="001A3D2B">
        <w:t>coverage</w:t>
      </w:r>
      <w:r w:rsidR="00427468">
        <w:t xml:space="preserve"> of </w:t>
      </w:r>
      <w:r w:rsidRPr="001A3D2B">
        <w:t>authoritative journals.</w:t>
      </w:r>
    </w:p>
    <w:p w:rsidR="003474F2" w:rsidRPr="001A3D2B" w:rsidRDefault="003474F2" w:rsidP="003474F2">
      <w:pPr>
        <w:pStyle w:val="a3"/>
      </w:pPr>
      <w:r w:rsidRPr="001A3D2B">
        <w:t>Keywords: Alternative Medicine</w:t>
      </w:r>
    </w:p>
    <w:p w:rsidR="003474F2" w:rsidRPr="001A3D2B" w:rsidRDefault="003474F2" w:rsidP="003474F2">
      <w:pPr>
        <w:pStyle w:val="a3"/>
      </w:pPr>
      <w:r w:rsidRPr="001A3D2B">
        <w:t>Obst, O. (1998), Use</w:t>
      </w:r>
      <w:r w:rsidR="00427468">
        <w:t xml:space="preserve"> of </w:t>
      </w:r>
      <w:r w:rsidRPr="001A3D2B">
        <w:t xml:space="preserve">Internet resources by German medical professionals.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86</w:t>
      </w:r>
      <w:r w:rsidRPr="001A3D2B">
        <w:t xml:space="preserve"> (4), 528-533.</w:t>
      </w:r>
    </w:p>
    <w:p w:rsidR="003474F2" w:rsidRPr="001A3D2B" w:rsidRDefault="003474F2" w:rsidP="003474F2">
      <w:pPr>
        <w:pStyle w:val="a3"/>
      </w:pPr>
      <w:r w:rsidRPr="001A3D2B">
        <w:lastRenderedPageBreak/>
        <w:t xml:space="preserve">Full Text: </w:t>
      </w:r>
      <w:hyperlink r:id="rId2129" w:history="1">
        <w:r w:rsidRPr="001A3D2B">
          <w:rPr>
            <w:rStyle w:val="a5"/>
          </w:rPr>
          <w:t>1998\Bul Med Lib Ass86, 528.pdf</w:t>
        </w:r>
      </w:hyperlink>
    </w:p>
    <w:p w:rsidR="003474F2" w:rsidRPr="001A3D2B" w:rsidRDefault="003474F2" w:rsidP="003474F2">
      <w:pPr>
        <w:pStyle w:val="a3"/>
      </w:pPr>
      <w:r w:rsidRPr="001A3D2B">
        <w:t>Abstract: A survey</w:t>
      </w:r>
      <w:r w:rsidR="00427468">
        <w:t xml:space="preserve"> of </w:t>
      </w:r>
      <w:r w:rsidRPr="001A3D2B">
        <w:t>German medical professionals, students,</w:t>
      </w:r>
      <w:r w:rsidR="005853A9">
        <w:t xml:space="preserve"> and </w:t>
      </w:r>
      <w:r w:rsidRPr="001A3D2B">
        <w:t>librarians was performed in 1995 to examine how they used</w:t>
      </w:r>
      <w:r w:rsidR="003A1917">
        <w:t xml:space="preserve"> the </w:t>
      </w:r>
      <w:r w:rsidRPr="001A3D2B">
        <w:t>Internet</w:t>
      </w:r>
      <w:r w:rsidR="00A37C1D">
        <w:t>. The</w:t>
      </w:r>
      <w:r w:rsidR="003A1917">
        <w:t xml:space="preserve"> </w:t>
      </w:r>
      <w:r w:rsidRPr="001A3D2B">
        <w:t>great majority used e-mail,</w:t>
      </w:r>
      <w:r w:rsidR="003A1917">
        <w:t xml:space="preserve"> the </w:t>
      </w:r>
      <w:r w:rsidRPr="001A3D2B">
        <w:t>Web,</w:t>
      </w:r>
      <w:r w:rsidR="005853A9">
        <w:t xml:space="preserve"> and </w:t>
      </w:r>
      <w:r w:rsidRPr="001A3D2B">
        <w:t>Internet sources based in</w:t>
      </w:r>
      <w:r w:rsidR="003A1917">
        <w:t xml:space="preserve"> the </w:t>
      </w:r>
      <w:r w:rsidRPr="001A3D2B">
        <w:t>United States. Respondents claimed various advantages from Internet use</w:t>
      </w:r>
      <w:r w:rsidR="00A37C1D">
        <w:t>. The</w:t>
      </w:r>
      <w:r w:rsidRPr="001A3D2B">
        <w:t>re was a clearly expressed need for Internet courses as well as evaluation</w:t>
      </w:r>
      <w:r w:rsidR="005853A9">
        <w:t xml:space="preserve"> and </w:t>
      </w:r>
      <w:r w:rsidRPr="001A3D2B">
        <w:t>presentation</w:t>
      </w:r>
      <w:r w:rsidR="00427468">
        <w:t xml:space="preserve"> of </w:t>
      </w:r>
      <w:r w:rsidRPr="001A3D2B">
        <w:t>Internet sources. A majority</w:t>
      </w:r>
      <w:r w:rsidR="00427468">
        <w:t xml:space="preserve"> of </w:t>
      </w:r>
      <w:r w:rsidRPr="001A3D2B">
        <w:t>respondents wanted</w:t>
      </w:r>
      <w:r w:rsidR="003A1917">
        <w:t xml:space="preserve"> the </w:t>
      </w:r>
      <w:r w:rsidRPr="001A3D2B">
        <w:t>librarians to provide Internet related services. A follow-up survey in 1996 suggested a trend towards a more realistic view among medical Internet users that incorporated expected benefits</w:t>
      </w:r>
      <w:r w:rsidR="005853A9">
        <w:t xml:space="preserve"> and </w:t>
      </w:r>
      <w:r w:rsidRPr="001A3D2B">
        <w:t>advantages from</w:t>
      </w:r>
      <w:r w:rsidR="003A1917">
        <w:t xml:space="preserve"> the </w:t>
      </w:r>
      <w:r w:rsidRPr="001A3D2B">
        <w:t>Internet.</w:t>
      </w:r>
    </w:p>
    <w:p w:rsidR="003474F2" w:rsidRPr="001A3D2B" w:rsidRDefault="003474F2" w:rsidP="003474F2">
      <w:pPr>
        <w:pStyle w:val="a3"/>
      </w:pPr>
      <w:r w:rsidRPr="001A3D2B">
        <w:t>Keywords: Librarian, Faculty</w:t>
      </w:r>
    </w:p>
    <w:p w:rsidR="003474F2" w:rsidRPr="001A3D2B" w:rsidRDefault="003474F2" w:rsidP="003474F2">
      <w:pPr>
        <w:pStyle w:val="a3"/>
      </w:pPr>
      <w:r w:rsidRPr="001A3D2B">
        <w:t>Notes: UUniversity</w:t>
      </w:r>
    </w:p>
    <w:p w:rsidR="003474F2" w:rsidRPr="001A3D2B" w:rsidRDefault="003474F2" w:rsidP="003474F2">
      <w:pPr>
        <w:pStyle w:val="a3"/>
      </w:pPr>
      <w:r w:rsidRPr="001A3D2B">
        <w:t>? Bergen, P.L.</w:t>
      </w:r>
      <w:r w:rsidR="005853A9">
        <w:t xml:space="preserve"> and </w:t>
      </w:r>
      <w:r w:rsidRPr="001A3D2B">
        <w:t>Nemec, D. (1999), An assessment</w:t>
      </w:r>
      <w:r w:rsidR="00427468">
        <w:t xml:space="preserve"> of </w:t>
      </w:r>
      <w:r w:rsidRPr="001A3D2B">
        <w:t>collections at</w:t>
      </w:r>
      <w:r w:rsidR="003A1917">
        <w:t xml:space="preserve"> the </w:t>
      </w:r>
      <w:r w:rsidRPr="001A3D2B">
        <w:t>University</w:t>
      </w:r>
      <w:r w:rsidR="00427468">
        <w:t xml:space="preserve"> of </w:t>
      </w:r>
      <w:r w:rsidRPr="001A3D2B">
        <w:t xml:space="preserve">Wisconsin Madison Health Sciences Libraries: Drug resistance.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(1), 37-42.</w:t>
      </w:r>
    </w:p>
    <w:p w:rsidR="003474F2" w:rsidRPr="001A3D2B" w:rsidRDefault="003474F2" w:rsidP="003474F2">
      <w:pPr>
        <w:pStyle w:val="a3"/>
      </w:pPr>
      <w:r w:rsidRPr="001A3D2B">
        <w:t xml:space="preserve">Full Text: </w:t>
      </w:r>
      <w:hyperlink r:id="rId2130" w:history="1">
        <w:r w:rsidRPr="001A3D2B">
          <w:rPr>
            <w:rStyle w:val="a5"/>
          </w:rPr>
          <w:t>1999\Bul Med Lib Ass87, 37.pdf</w:t>
        </w:r>
      </w:hyperlink>
    </w:p>
    <w:p w:rsidR="003474F2" w:rsidRPr="001A3D2B" w:rsidRDefault="003474F2" w:rsidP="003474F2">
      <w:pPr>
        <w:pStyle w:val="a3"/>
      </w:pPr>
      <w:r w:rsidRPr="001A3D2B">
        <w:t>Abstract: In December 1997</w:t>
      </w:r>
      <w:r w:rsidR="003A1917">
        <w:t xml:space="preserve"> the </w:t>
      </w:r>
      <w:r w:rsidRPr="001A3D2B">
        <w:t>authors completed an in-depth collection assessment project at</w:t>
      </w:r>
      <w:r w:rsidR="003A1917">
        <w:t xml:space="preserve"> the </w:t>
      </w:r>
      <w:r w:rsidRPr="001A3D2B">
        <w:t>University</w:t>
      </w:r>
      <w:r w:rsidR="00427468">
        <w:t xml:space="preserve"> of </w:t>
      </w:r>
      <w:r w:rsidRPr="001A3D2B">
        <w:t>Wisconsin-Madison Health Sciences Libraries</w:t>
      </w:r>
      <w:r w:rsidR="00A37C1D">
        <w:t>. The</w:t>
      </w:r>
      <w:r w:rsidR="003A1917">
        <w:t xml:space="preserve"> </w:t>
      </w:r>
      <w:r w:rsidRPr="001A3D2B">
        <w:t>purpose was to develop a framework for future collection assessment projects by completing a multifaceted evaluation</w:t>
      </w:r>
      <w:r w:rsidR="00427468">
        <w:t xml:space="preserve"> of </w:t>
      </w:r>
      <w:r w:rsidR="003A1917">
        <w:t xml:space="preserve">the </w:t>
      </w:r>
      <w:r w:rsidRPr="001A3D2B">
        <w:t>libraries</w:t>
      </w:r>
      <w:r w:rsidR="00700038">
        <w:t>’</w:t>
      </w:r>
      <w:r w:rsidRPr="001A3D2B">
        <w:t xml:space="preserve"> monograph</w:t>
      </w:r>
      <w:r w:rsidR="005853A9">
        <w:t xml:space="preserve"> and </w:t>
      </w:r>
      <w:r w:rsidRPr="001A3D2B">
        <w:t>serial collections in</w:t>
      </w:r>
      <w:r w:rsidR="003A1917">
        <w:t xml:space="preserve"> the </w:t>
      </w:r>
      <w:r w:rsidRPr="001A3D2B">
        <w:t>subject area</w:t>
      </w:r>
      <w:r w:rsidR="00427468">
        <w:t xml:space="preserve"> of </w:t>
      </w:r>
      <w:r w:rsidRPr="001A3D2B">
        <w:t>drug resistance. Evaluators adapted</w:t>
      </w:r>
      <w:r w:rsidR="005853A9">
        <w:t xml:space="preserve"> and </w:t>
      </w:r>
      <w:r w:rsidRPr="001A3D2B">
        <w:t>synthesized several traditional collection assessment tools, including shelflist measurement, bibliography</w:t>
      </w:r>
      <w:r w:rsidR="005853A9">
        <w:t xml:space="preserve"> and </w:t>
      </w:r>
      <w:r w:rsidRPr="001A3D2B">
        <w:t>standard list checking,</w:t>
      </w:r>
      <w:r w:rsidR="005853A9">
        <w:t xml:space="preserve"> and </w:t>
      </w:r>
      <w:r w:rsidRPr="001A3D2B">
        <w:t>citation analysis. Throughout</w:t>
      </w:r>
      <w:r w:rsidR="003A1917">
        <w:t xml:space="preserve"> the </w:t>
      </w:r>
      <w:r w:rsidRPr="001A3D2B">
        <w:t>project, evaluators explored strategies to overcome some</w:t>
      </w:r>
      <w:r w:rsidR="00427468">
        <w:t xml:space="preserve"> of </w:t>
      </w:r>
      <w:r w:rsidR="003A1917">
        <w:t xml:space="preserve">the </w:t>
      </w:r>
      <w:r w:rsidRPr="001A3D2B">
        <w:t>problems inherent in</w:t>
      </w:r>
      <w:r w:rsidR="003A1917">
        <w:t xml:space="preserve"> the </w:t>
      </w:r>
      <w:r w:rsidRPr="001A3D2B">
        <w:t>application</w:t>
      </w:r>
      <w:r w:rsidR="00427468">
        <w:t xml:space="preserve"> of </w:t>
      </w:r>
      <w:r w:rsidRPr="001A3D2B">
        <w:t>traditional collection assessment methods to</w:t>
      </w:r>
      <w:r w:rsidR="003A1917">
        <w:t xml:space="preserve"> the </w:t>
      </w:r>
      <w:r w:rsidRPr="001A3D2B">
        <w:t>evaluation</w:t>
      </w:r>
      <w:r w:rsidR="00427468">
        <w:t xml:space="preserve"> of </w:t>
      </w:r>
      <w:r w:rsidRPr="001A3D2B">
        <w:t>biomedical collections</w:t>
      </w:r>
      <w:r w:rsidR="00A37C1D">
        <w:t>. The</w:t>
      </w:r>
      <w:r w:rsidRPr="001A3D2B">
        <w:t>ir efforts resulted in</w:t>
      </w:r>
      <w:r w:rsidR="003A1917">
        <w:t xml:space="preserve"> the </w:t>
      </w:r>
      <w:r w:rsidRPr="001A3D2B">
        <w:t>identification</w:t>
      </w:r>
      <w:r w:rsidR="00427468">
        <w:t xml:space="preserve"> of </w:t>
      </w:r>
      <w:r w:rsidRPr="001A3D2B">
        <w:t>standard monographs</w:t>
      </w:r>
      <w:r w:rsidR="005853A9">
        <w:t xml:space="preserve"> and </w:t>
      </w:r>
      <w:r w:rsidRPr="001A3D2B">
        <w:t>core journals for</w:t>
      </w:r>
      <w:r w:rsidR="003A1917">
        <w:t xml:space="preserve"> the </w:t>
      </w:r>
      <w:r w:rsidRPr="001A3D2B">
        <w:t>subject area, a measurement</w:t>
      </w:r>
      <w:r w:rsidR="00427468">
        <w:t xml:space="preserve"> of </w:t>
      </w:r>
      <w:r w:rsidR="003A1917">
        <w:t xml:space="preserve">the </w:t>
      </w:r>
      <w:r w:rsidRPr="001A3D2B">
        <w:t>collections</w:t>
      </w:r>
      <w:r w:rsidR="00700038">
        <w:t>’</w:t>
      </w:r>
      <w:r w:rsidRPr="001A3D2B">
        <w:t xml:space="preserve"> strength relative to</w:t>
      </w:r>
      <w:r w:rsidR="003A1917">
        <w:t xml:space="preserve"> the </w:t>
      </w:r>
      <w:r w:rsidRPr="001A3D2B">
        <w:t>collections</w:t>
      </w:r>
      <w:r w:rsidR="00427468">
        <w:t xml:space="preserve"> of </w:t>
      </w:r>
      <w:r w:rsidRPr="001A3D2B">
        <w:t>benchmark libraries,</w:t>
      </w:r>
      <w:r w:rsidR="005853A9">
        <w:t xml:space="preserve"> and </w:t>
      </w:r>
      <w:r w:rsidRPr="001A3D2B">
        <w:t>a foundation for future collection development within</w:t>
      </w:r>
      <w:r w:rsidR="003A1917">
        <w:t xml:space="preserve"> the </w:t>
      </w:r>
      <w:r w:rsidRPr="001A3D2B">
        <w:t>subject area</w:t>
      </w:r>
      <w:r w:rsidR="00A37C1D">
        <w:t>. The</w:t>
      </w:r>
      <w:r w:rsidR="003A1917">
        <w:t xml:space="preserve"> </w:t>
      </w:r>
      <w:r w:rsidRPr="001A3D2B">
        <w:t>project</w:t>
      </w:r>
      <w:r w:rsidR="00700038">
        <w:t>’</w:t>
      </w:r>
      <w:r w:rsidR="00C13DDC">
        <w:t>s</w:t>
      </w:r>
      <w:r w:rsidRPr="001A3D2B">
        <w:t xml:space="preserve"> primary outcome was a collection assessment methodology that has potential application to both internal</w:t>
      </w:r>
      <w:r w:rsidR="005853A9">
        <w:t xml:space="preserve"> and </w:t>
      </w:r>
      <w:r w:rsidRPr="001A3D2B">
        <w:t>cooperative collection development in medical, pharmaceutical,</w:t>
      </w:r>
      <w:r w:rsidR="005853A9">
        <w:t xml:space="preserve"> and </w:t>
      </w:r>
      <w:r w:rsidRPr="001A3D2B">
        <w:t>other health sciences libraries.</w:t>
      </w:r>
    </w:p>
    <w:p w:rsidR="003474F2" w:rsidRPr="001A3D2B" w:rsidRDefault="003474F2" w:rsidP="003474F2">
      <w:pPr>
        <w:pStyle w:val="a3"/>
      </w:pPr>
      <w:r w:rsidRPr="001A3D2B">
        <w:t>Keywords: Analysis, Application, Assessment, Bibliography, Biomedical, Citation, Citation Analysis, Collection, Development, Drug, Drug Resistance, Evaluation, Framework, Health, Health Sciences, Identification, Journals, Measurement, Medical, Methodology, Methods, Outcome, Potential, Primary, Purpose, Resistance, Sciences, Standard, Strength, Wisconsin</w:t>
      </w:r>
    </w:p>
    <w:p w:rsidR="003474F2" w:rsidRPr="001A3D2B" w:rsidRDefault="003474F2" w:rsidP="003474F2">
      <w:pPr>
        <w:pStyle w:val="a3"/>
      </w:pPr>
      <w:r w:rsidRPr="001A3D2B">
        <w:t>Schloman, B.F. (1999), Symposium: Mapping</w:t>
      </w:r>
      <w:r w:rsidR="003A1917">
        <w:t xml:space="preserve"> the </w:t>
      </w:r>
      <w:r w:rsidRPr="001A3D2B">
        <w:t>literature</w:t>
      </w:r>
      <w:r w:rsidR="00427468">
        <w:t xml:space="preserve"> of </w:t>
      </w:r>
      <w:r w:rsidRPr="001A3D2B">
        <w:t xml:space="preserve">allied health: phase II - Introduction.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276.</w:t>
      </w:r>
    </w:p>
    <w:p w:rsidR="003474F2" w:rsidRPr="001A3D2B" w:rsidRDefault="003474F2" w:rsidP="003474F2">
      <w:pPr>
        <w:pStyle w:val="a3"/>
      </w:pPr>
      <w:r w:rsidRPr="001A3D2B">
        <w:lastRenderedPageBreak/>
        <w:t xml:space="preserve">Full Text: </w:t>
      </w:r>
      <w:hyperlink r:id="rId2131" w:history="1">
        <w:r w:rsidRPr="001A3D2B">
          <w:rPr>
            <w:rStyle w:val="a5"/>
          </w:rPr>
          <w:t>1999\Bul Med Lib Ass87, 276.pdf</w:t>
        </w:r>
      </w:hyperlink>
    </w:p>
    <w:p w:rsidR="003474F2" w:rsidRPr="001A3D2B" w:rsidRDefault="003474F2" w:rsidP="003474F2">
      <w:pPr>
        <w:pStyle w:val="a3"/>
      </w:pPr>
      <w:r w:rsidRPr="001A3D2B">
        <w:t>Notes: TTopic</w:t>
      </w:r>
    </w:p>
    <w:p w:rsidR="003474F2" w:rsidRPr="001A3D2B" w:rsidRDefault="003474F2" w:rsidP="003474F2">
      <w:pPr>
        <w:pStyle w:val="a3"/>
      </w:pPr>
      <w:smartTag w:uri="urn:schemas-microsoft-com:office:smarttags" w:element="City">
        <w:r w:rsidRPr="001A3D2B">
          <w:t>Hook</w:t>
        </w:r>
      </w:smartTag>
      <w:r w:rsidRPr="001A3D2B">
        <w:t>, S.A.</w:t>
      </w:r>
      <w:r w:rsidR="005853A9">
        <w:t xml:space="preserve"> and </w:t>
      </w:r>
      <w:r w:rsidRPr="001A3D2B">
        <w:t>Wagner, C.F. (1999), Mapping</w:t>
      </w:r>
      <w:r w:rsidR="003A1917">
        <w:t xml:space="preserve"> the </w:t>
      </w:r>
      <w:r w:rsidRPr="001A3D2B">
        <w:t>literature</w:t>
      </w:r>
      <w:r w:rsidR="00427468">
        <w:t xml:space="preserve"> of </w:t>
      </w:r>
      <w:r w:rsidRPr="001A3D2B">
        <w:t xml:space="preserve">dental assisting.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277-282.</w:t>
      </w:r>
    </w:p>
    <w:p w:rsidR="003474F2" w:rsidRPr="001A3D2B" w:rsidRDefault="003474F2" w:rsidP="003474F2">
      <w:pPr>
        <w:pStyle w:val="a3"/>
      </w:pPr>
      <w:r w:rsidRPr="001A3D2B">
        <w:t xml:space="preserve">Full Text: </w:t>
      </w:r>
      <w:hyperlink r:id="rId2132" w:history="1">
        <w:r w:rsidRPr="001A3D2B">
          <w:rPr>
            <w:rStyle w:val="a5"/>
          </w:rPr>
          <w:t>1999\Bul Med Lib Ass87, 277.pdf</w:t>
        </w:r>
      </w:hyperlink>
    </w:p>
    <w:p w:rsidR="003474F2" w:rsidRPr="001A3D2B" w:rsidRDefault="003474F2" w:rsidP="003474F2">
      <w:pPr>
        <w:pStyle w:val="a3"/>
      </w:pPr>
      <w:r w:rsidRPr="001A3D2B">
        <w:t>Abstract:</w:t>
      </w:r>
      <w:r w:rsidR="003A1917">
        <w:t xml:space="preserve"> the </w:t>
      </w:r>
      <w:r w:rsidRPr="001A3D2B">
        <w:t>purpose</w:t>
      </w:r>
      <w:r w:rsidR="00427468">
        <w:t xml:space="preserve"> of </w:t>
      </w:r>
      <w:r w:rsidRPr="001A3D2B">
        <w:t>this study was to identify core journals</w:t>
      </w:r>
      <w:r w:rsidR="005853A9">
        <w:t xml:space="preserve"> and </w:t>
      </w:r>
      <w:r w:rsidR="003A1917">
        <w:t xml:space="preserve">the </w:t>
      </w:r>
      <w:r w:rsidRPr="001A3D2B">
        <w:t>databases that provide access to these journals for</w:t>
      </w:r>
      <w:r w:rsidR="003A1917">
        <w:t xml:space="preserve"> the </w:t>
      </w:r>
      <w:r w:rsidRPr="001A3D2B">
        <w:t>field</w:t>
      </w:r>
      <w:r w:rsidR="00427468">
        <w:t xml:space="preserve"> of </w:t>
      </w:r>
      <w:r w:rsidRPr="001A3D2B">
        <w:t>dental assisting. This study was completed as a part</w:t>
      </w:r>
      <w:r w:rsidR="00427468">
        <w:t xml:space="preserve"> of </w:t>
      </w:r>
      <w:r w:rsidR="003A1917">
        <w:t xml:space="preserve">the </w:t>
      </w:r>
      <w:r w:rsidRPr="001A3D2B">
        <w:t>Medical Library Association (MLA) Nursing</w:t>
      </w:r>
      <w:r w:rsidR="005853A9">
        <w:t xml:space="preserve"> and </w:t>
      </w:r>
      <w:r w:rsidRPr="001A3D2B">
        <w:t>Allied Health Resources Section</w:t>
      </w:r>
      <w:r w:rsidR="00700038">
        <w:t>’</w:t>
      </w:r>
      <w:r w:rsidR="00C13DDC">
        <w:t>s</w:t>
      </w:r>
      <w:r w:rsidRPr="001A3D2B">
        <w:t xml:space="preserve"> project to map</w:t>
      </w:r>
      <w:r w:rsidR="003A1917">
        <w:t xml:space="preserve"> the </w:t>
      </w:r>
      <w:r w:rsidRPr="001A3D2B">
        <w:t>literature</w:t>
      </w:r>
      <w:r w:rsidR="00427468">
        <w:t xml:space="preserve"> of </w:t>
      </w:r>
      <w:r w:rsidRPr="001A3D2B">
        <w:t>allied health</w:t>
      </w:r>
      <w:r w:rsidR="00A37C1D">
        <w:t>. The</w:t>
      </w:r>
      <w:r w:rsidRPr="001A3D2B">
        <w:t>re were three original journals selected for analysis using</w:t>
      </w:r>
      <w:r w:rsidR="003A1917">
        <w:t xml:space="preserve"> the </w:t>
      </w:r>
      <w:r w:rsidRPr="001A3D2B">
        <w:t>prescribed methodology, Dental Assistant,</w:t>
      </w:r>
      <w:r w:rsidR="003A1917">
        <w:t xml:space="preserve"> the </w:t>
      </w:r>
      <w:r w:rsidRPr="001A3D2B">
        <w:t>journal</w:t>
      </w:r>
      <w:r w:rsidR="00427468">
        <w:t xml:space="preserve"> of </w:t>
      </w:r>
      <w:r w:rsidR="003A1917">
        <w:t xml:space="preserve">the </w:t>
      </w:r>
      <w:r w:rsidRPr="001A3D2B">
        <w:t>American Dental Assistants Association; Journal</w:t>
      </w:r>
      <w:r w:rsidR="00427468">
        <w:t xml:space="preserve"> of </w:t>
      </w:r>
      <w:r w:rsidR="003A1917">
        <w:t xml:space="preserve">the </w:t>
      </w:r>
      <w:r w:rsidRPr="001A3D2B">
        <w:t>CDAA,</w:t>
      </w:r>
      <w:r w:rsidR="003A1917">
        <w:t xml:space="preserve"> the </w:t>
      </w:r>
      <w:r w:rsidRPr="001A3D2B">
        <w:t>journal</w:t>
      </w:r>
      <w:r w:rsidR="00427468">
        <w:t xml:space="preserve"> of </w:t>
      </w:r>
      <w:r w:rsidR="003A1917">
        <w:t xml:space="preserve">the </w:t>
      </w:r>
      <w:r w:rsidRPr="001A3D2B">
        <w:t>Canadian Dental Assistants</w:t>
      </w:r>
      <w:r w:rsidR="00700038">
        <w:t>’</w:t>
      </w:r>
      <w:r w:rsidRPr="001A3D2B">
        <w:t xml:space="preserve"> Association;</w:t>
      </w:r>
      <w:r w:rsidR="005853A9">
        <w:t xml:space="preserve"> and </w:t>
      </w:r>
      <w:r w:rsidRPr="001A3D2B">
        <w:t>Dental Teamwork, published by</w:t>
      </w:r>
      <w:r w:rsidR="003A1917">
        <w:t xml:space="preserve"> the </w:t>
      </w:r>
      <w:r w:rsidRPr="001A3D2B">
        <w:t>American Dental Association. Dental Teamwork ceased publication in December 1996; however, it was considered a necessary part</w:t>
      </w:r>
      <w:r w:rsidR="00427468">
        <w:t xml:space="preserve"> of </w:t>
      </w:r>
      <w:r w:rsidR="003A1917">
        <w:t xml:space="preserve">the </w:t>
      </w:r>
      <w:r w:rsidRPr="001A3D2B">
        <w:t>analysis due to its extensive coverage</w:t>
      </w:r>
      <w:r w:rsidR="00427468">
        <w:t xml:space="preserve"> of </w:t>
      </w:r>
      <w:r w:rsidRPr="001A3D2B">
        <w:t>dental assisting as well as its numerous scientific articles with references. In Dental Assistant, there were 16 source articles, containing 206 citations. In Dental Teamwork, there were 31 source articles with 308 citations. In Journal</w:t>
      </w:r>
      <w:r w:rsidR="00427468">
        <w:t xml:space="preserve"> of </w:t>
      </w:r>
      <w:r w:rsidR="003A1917">
        <w:t xml:space="preserve">the </w:t>
      </w:r>
      <w:r w:rsidRPr="001A3D2B">
        <w:t>CDAA, there were only 3 source articles with 14 citations. Bradford</w:t>
      </w:r>
      <w:r w:rsidR="00700038">
        <w:t>’</w:t>
      </w:r>
      <w:r w:rsidR="00C13DDC">
        <w:t>s</w:t>
      </w:r>
      <w:r w:rsidRPr="001A3D2B">
        <w:t xml:space="preserve"> Law</w:t>
      </w:r>
      <w:r w:rsidR="00427468">
        <w:t xml:space="preserve"> of </w:t>
      </w:r>
      <w:r w:rsidRPr="001A3D2B">
        <w:t>Scattering was applied to</w:t>
      </w:r>
      <w:r w:rsidR="003A1917">
        <w:t xml:space="preserve"> the </w:t>
      </w:r>
      <w:r w:rsidRPr="001A3D2B">
        <w:t xml:space="preserve">journal citations. Four databases, </w:t>
      </w:r>
      <w:r w:rsidR="00D5664A">
        <w:t>MEDLINE</w:t>
      </w:r>
      <w:r w:rsidRPr="001A3D2B">
        <w:t>,</w:t>
      </w:r>
      <w:r w:rsidR="003A1917">
        <w:t xml:space="preserve"> the </w:t>
      </w:r>
      <w:r w:rsidRPr="001A3D2B">
        <w:t>Cumulative Index to Nursing</w:t>
      </w:r>
      <w:r w:rsidR="005853A9">
        <w:t xml:space="preserve"> and </w:t>
      </w:r>
      <w:r w:rsidRPr="001A3D2B">
        <w:t>Allied Health Literature EMBASE/Excerpta Medica,</w:t>
      </w:r>
      <w:r w:rsidR="005853A9">
        <w:t xml:space="preserve"> and </w:t>
      </w:r>
      <w:r w:rsidRPr="001A3D2B">
        <w:t>HEALTH were analyzed for their coverage</w:t>
      </w:r>
      <w:r w:rsidR="00427468">
        <w:t xml:space="preserve"> of </w:t>
      </w:r>
      <w:r w:rsidRPr="001A3D2B">
        <w:t>these cited journals. This study may encourage</w:t>
      </w:r>
      <w:r w:rsidR="003A1917">
        <w:t xml:space="preserve"> the </w:t>
      </w:r>
      <w:r w:rsidRPr="001A3D2B">
        <w:t>dental assisting profession to take a close look at its existing journals</w:t>
      </w:r>
      <w:r w:rsidR="005853A9">
        <w:t xml:space="preserve"> and </w:t>
      </w:r>
      <w:r w:rsidRPr="001A3D2B">
        <w:t>to consider enhancing</w:t>
      </w:r>
      <w:r w:rsidR="003A1917">
        <w:t xml:space="preserve"> the </w:t>
      </w:r>
      <w:r w:rsidRPr="001A3D2B">
        <w:t>content</w:t>
      </w:r>
      <w:r w:rsidR="00427468">
        <w:t xml:space="preserve"> of </w:t>
      </w:r>
      <w:r w:rsidRPr="001A3D2B">
        <w:t>these journals or</w:t>
      </w:r>
      <w:r w:rsidR="003A1917">
        <w:t xml:space="preserve"> the </w:t>
      </w:r>
      <w:r w:rsidRPr="001A3D2B">
        <w:t>publication</w:t>
      </w:r>
      <w:r w:rsidR="00427468">
        <w:t xml:space="preserve"> of </w:t>
      </w:r>
      <w:r w:rsidRPr="001A3D2B">
        <w:t>additional journals in</w:t>
      </w:r>
      <w:r w:rsidR="003A1917">
        <w:t xml:space="preserve"> the </w:t>
      </w:r>
      <w:r w:rsidRPr="001A3D2B">
        <w:t>field. Dental assistants</w:t>
      </w:r>
      <w:r w:rsidR="00427468">
        <w:t xml:space="preserve"> of </w:t>
      </w:r>
      <w:r w:rsidRPr="001A3D2B">
        <w:t>today need substantive literature that deals with all aspects</w:t>
      </w:r>
      <w:r w:rsidR="00427468">
        <w:t xml:space="preserve"> of </w:t>
      </w:r>
      <w:r w:rsidRPr="001A3D2B">
        <w:t>their chosen profession in order to meet</w:t>
      </w:r>
      <w:r w:rsidR="003A1917">
        <w:t xml:space="preserve"> the </w:t>
      </w:r>
      <w:r w:rsidRPr="001A3D2B">
        <w:t>challenges</w:t>
      </w:r>
      <w:r w:rsidR="00427468">
        <w:t xml:space="preserve"> of </w:t>
      </w:r>
      <w:r w:rsidRPr="001A3D2B">
        <w:t>providing dental health care in</w:t>
      </w:r>
      <w:r w:rsidR="003A1917">
        <w:t xml:space="preserve"> the </w:t>
      </w:r>
      <w:r w:rsidRPr="001A3D2B">
        <w:t>future.</w:t>
      </w:r>
    </w:p>
    <w:p w:rsidR="003474F2" w:rsidRPr="001A3D2B" w:rsidRDefault="003474F2" w:rsidP="003474F2">
      <w:pPr>
        <w:pStyle w:val="a3"/>
      </w:pPr>
      <w:r w:rsidRPr="001A3D2B">
        <w:t>Notes: TTopic</w:t>
      </w:r>
    </w:p>
    <w:p w:rsidR="003474F2" w:rsidRPr="001A3D2B" w:rsidRDefault="003474F2" w:rsidP="003474F2">
      <w:pPr>
        <w:pStyle w:val="a3"/>
      </w:pPr>
      <w:r w:rsidRPr="001A3D2B">
        <w:t>Haaland, A. (1999), Mapping</w:t>
      </w:r>
      <w:r w:rsidR="003A1917">
        <w:t xml:space="preserve"> the </w:t>
      </w:r>
      <w:r w:rsidRPr="001A3D2B">
        <w:t>literature</w:t>
      </w:r>
      <w:r w:rsidR="00427468">
        <w:t xml:space="preserve"> of </w:t>
      </w:r>
      <w:r w:rsidRPr="001A3D2B">
        <w:t xml:space="preserve">dental hygiene.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283-286.</w:t>
      </w:r>
    </w:p>
    <w:p w:rsidR="003474F2" w:rsidRPr="001A3D2B" w:rsidRDefault="003474F2" w:rsidP="003474F2">
      <w:pPr>
        <w:pStyle w:val="a3"/>
      </w:pPr>
      <w:r w:rsidRPr="001A3D2B">
        <w:t xml:space="preserve">Full Text: </w:t>
      </w:r>
      <w:hyperlink r:id="rId2133" w:history="1">
        <w:r w:rsidRPr="001A3D2B">
          <w:rPr>
            <w:rStyle w:val="a5"/>
          </w:rPr>
          <w:t>1999\Bul Med Lib Ass87, 283.pdf</w:t>
        </w:r>
      </w:hyperlink>
    </w:p>
    <w:p w:rsidR="003474F2" w:rsidRPr="001A3D2B" w:rsidRDefault="003474F2" w:rsidP="003474F2">
      <w:pPr>
        <w:pStyle w:val="a3"/>
      </w:pPr>
      <w:r w:rsidRPr="001A3D2B">
        <w:t>Abstract: Despite</w:t>
      </w:r>
      <w:r w:rsidR="003A1917">
        <w:t xml:space="preserve"> the </w:t>
      </w:r>
      <w:r w:rsidRPr="001A3D2B">
        <w:t>long history</w:t>
      </w:r>
      <w:r w:rsidR="00427468">
        <w:t xml:space="preserve"> of </w:t>
      </w:r>
      <w:r w:rsidR="003A1917">
        <w:t xml:space="preserve">the </w:t>
      </w:r>
      <w:r w:rsidRPr="001A3D2B">
        <w:t>dental hygiene profession, little research has been conducted on</w:t>
      </w:r>
      <w:r w:rsidR="003A1917">
        <w:t xml:space="preserve"> the </w:t>
      </w:r>
      <w:r w:rsidRPr="001A3D2B">
        <w:t>characteristics</w:t>
      </w:r>
      <w:r w:rsidR="00427468">
        <w:t xml:space="preserve"> of </w:t>
      </w:r>
      <w:r w:rsidRPr="001A3D2B">
        <w:t>its Literature. In this study,</w:t>
      </w:r>
      <w:r w:rsidR="003A1917">
        <w:t xml:space="preserve"> the </w:t>
      </w:r>
      <w:r w:rsidRPr="001A3D2B">
        <w:t>bibliometric method was used to identify</w:t>
      </w:r>
      <w:r w:rsidR="003A1917">
        <w:t xml:space="preserve"> the </w:t>
      </w:r>
      <w:r w:rsidRPr="001A3D2B">
        <w:t>core journals in</w:t>
      </w:r>
      <w:r w:rsidR="003A1917">
        <w:t xml:space="preserve"> the </w:t>
      </w:r>
      <w:r w:rsidRPr="001A3D2B">
        <w:t>discipline</w:t>
      </w:r>
      <w:r w:rsidR="005853A9">
        <w:t xml:space="preserve"> and </w:t>
      </w:r>
      <w:r w:rsidR="003A1917">
        <w:t xml:space="preserve">the </w:t>
      </w:r>
      <w:r w:rsidRPr="001A3D2B">
        <w:t>extent</w:t>
      </w:r>
      <w:r w:rsidR="00427468">
        <w:t xml:space="preserve"> of </w:t>
      </w:r>
      <w:r w:rsidRPr="001A3D2B">
        <w:t>indexing</w:t>
      </w:r>
      <w:r w:rsidR="00427468">
        <w:t xml:space="preserve"> of </w:t>
      </w:r>
      <w:r w:rsidRPr="001A3D2B">
        <w:t>these journals</w:t>
      </w:r>
      <w:r w:rsidR="00A37C1D">
        <w:t>. The</w:t>
      </w:r>
      <w:r w:rsidR="003A1917">
        <w:t xml:space="preserve"> </w:t>
      </w:r>
      <w:r w:rsidRPr="001A3D2B">
        <w:t>study was a part</w:t>
      </w:r>
      <w:r w:rsidR="00427468">
        <w:t xml:space="preserve"> of </w:t>
      </w:r>
      <w:r w:rsidR="003A1917">
        <w:t xml:space="preserve">the </w:t>
      </w:r>
      <w:r w:rsidRPr="001A3D2B">
        <w:t>Medical Library Association (MLA) Nursing</w:t>
      </w:r>
      <w:r w:rsidR="005853A9">
        <w:t xml:space="preserve"> and </w:t>
      </w:r>
      <w:r w:rsidRPr="001A3D2B">
        <w:t>Allied Health Resources Section</w:t>
      </w:r>
      <w:r w:rsidR="00700038">
        <w:t>’</w:t>
      </w:r>
      <w:r w:rsidR="00C13DDC">
        <w:t>s</w:t>
      </w:r>
      <w:r w:rsidRPr="001A3D2B">
        <w:t xml:space="preserve"> project to map</w:t>
      </w:r>
      <w:r w:rsidR="003A1917">
        <w:t xml:space="preserve"> the </w:t>
      </w:r>
      <w:r w:rsidRPr="001A3D2B">
        <w:t>allied health literature. Five journals were found to provide one-third</w:t>
      </w:r>
      <w:r w:rsidR="00427468">
        <w:t xml:space="preserve"> of </w:t>
      </w:r>
      <w:r w:rsidRPr="001A3D2B">
        <w:t>all references studied. Forty-two journals yielded an additional one-third</w:t>
      </w:r>
      <w:r w:rsidR="00427468">
        <w:t xml:space="preserve"> of </w:t>
      </w:r>
      <w:r w:rsidR="003A1917">
        <w:t xml:space="preserve">the </w:t>
      </w:r>
      <w:r w:rsidRPr="001A3D2B">
        <w:t xml:space="preserve">references. </w:t>
      </w:r>
      <w:r w:rsidR="00D5664A">
        <w:t>MEDLINE</w:t>
      </w:r>
      <w:r w:rsidRPr="001A3D2B">
        <w:t xml:space="preserve"> had</w:t>
      </w:r>
      <w:r w:rsidR="003A1917">
        <w:t xml:space="preserve"> the </w:t>
      </w:r>
      <w:r w:rsidRPr="001A3D2B">
        <w:t>best indexing coverage with 87%</w:t>
      </w:r>
      <w:r w:rsidR="00427468">
        <w:t xml:space="preserve"> of </w:t>
      </w:r>
      <w:r w:rsidR="003A1917">
        <w:t xml:space="preserve">the </w:t>
      </w:r>
      <w:r w:rsidRPr="001A3D2B">
        <w:t>journals receiving indexing for at least one-half</w:t>
      </w:r>
      <w:r w:rsidR="00427468">
        <w:t xml:space="preserve"> of </w:t>
      </w:r>
      <w:r w:rsidR="003A1917">
        <w:t xml:space="preserve">the </w:t>
      </w:r>
      <w:r w:rsidRPr="001A3D2B">
        <w:t xml:space="preserve">articles included. Limited coverage was provided </w:t>
      </w:r>
      <w:r w:rsidRPr="001A3D2B">
        <w:lastRenderedPageBreak/>
        <w:t>by EMBASE/Excerpta Medica (11%)</w:t>
      </w:r>
      <w:r w:rsidR="005853A9">
        <w:t xml:space="preserve"> and </w:t>
      </w:r>
      <w:r w:rsidR="003A1917">
        <w:t xml:space="preserve">the </w:t>
      </w:r>
      <w:r w:rsidRPr="001A3D2B">
        <w:t>Cumulative Index to Nursing</w:t>
      </w:r>
      <w:r w:rsidR="005853A9">
        <w:t xml:space="preserve"> and </w:t>
      </w:r>
      <w:r w:rsidRPr="001A3D2B">
        <w:t>Allied Health Literature (9%)</w:t>
      </w:r>
      <w:r w:rsidR="00A37C1D">
        <w:t>. The</w:t>
      </w:r>
      <w:r w:rsidR="003A1917">
        <w:t xml:space="preserve"> </w:t>
      </w:r>
      <w:r w:rsidRPr="001A3D2B">
        <w:t>findings identified titles that should be added by indexing services as well as those that should have more complete coverage.</w:t>
      </w:r>
    </w:p>
    <w:p w:rsidR="003474F2" w:rsidRPr="001A3D2B" w:rsidRDefault="003474F2" w:rsidP="003474F2">
      <w:pPr>
        <w:pStyle w:val="a3"/>
      </w:pPr>
      <w:r w:rsidRPr="001A3D2B">
        <w:t>Notes: TTopic</w:t>
      </w:r>
    </w:p>
    <w:p w:rsidR="003474F2" w:rsidRPr="001A3D2B" w:rsidRDefault="003474F2" w:rsidP="003474F2">
      <w:pPr>
        <w:pStyle w:val="a3"/>
      </w:pPr>
      <w:r w:rsidRPr="001A3D2B">
        <w:t>Walcott, B.M. (1999), Mapping</w:t>
      </w:r>
      <w:r w:rsidR="003A1917">
        <w:t xml:space="preserve"> the </w:t>
      </w:r>
      <w:r w:rsidRPr="001A3D2B">
        <w:t>literature</w:t>
      </w:r>
      <w:r w:rsidR="00427468">
        <w:t xml:space="preserve"> of </w:t>
      </w:r>
      <w:r w:rsidRPr="001A3D2B">
        <w:t xml:space="preserve">diagnostic medical sonography.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287-291.</w:t>
      </w:r>
    </w:p>
    <w:p w:rsidR="003474F2" w:rsidRPr="001A3D2B" w:rsidRDefault="003474F2" w:rsidP="003474F2">
      <w:pPr>
        <w:pStyle w:val="a3"/>
      </w:pPr>
      <w:r w:rsidRPr="001A3D2B">
        <w:t xml:space="preserve">Full Text: </w:t>
      </w:r>
      <w:hyperlink r:id="rId2134" w:history="1">
        <w:r w:rsidRPr="001A3D2B">
          <w:rPr>
            <w:rStyle w:val="a5"/>
          </w:rPr>
          <w:t>1999\Bul Med Lib Ass87, 287.pdf</w:t>
        </w:r>
      </w:hyperlink>
    </w:p>
    <w:p w:rsidR="003474F2" w:rsidRPr="001A3D2B" w:rsidRDefault="003474F2" w:rsidP="003474F2">
      <w:pPr>
        <w:pStyle w:val="a3"/>
      </w:pPr>
      <w:r w:rsidRPr="001A3D2B">
        <w:t>Abstract: Diagnostic medical sonography has been evolving as a recognized allied health occupation since</w:t>
      </w:r>
      <w:r w:rsidR="003A1917">
        <w:t xml:space="preserve"> the </w:t>
      </w:r>
      <w:r w:rsidRPr="001A3D2B">
        <w:t>early 1970s, but no bibliometric studies</w:t>
      </w:r>
      <w:r w:rsidR="00427468">
        <w:t xml:space="preserve"> of </w:t>
      </w:r>
      <w:r w:rsidR="003A1917">
        <w:t xml:space="preserve">the </w:t>
      </w:r>
      <w:r w:rsidRPr="001A3D2B">
        <w:t>literature</w:t>
      </w:r>
      <w:r w:rsidR="00427468">
        <w:t xml:space="preserve"> of </w:t>
      </w:r>
      <w:r w:rsidR="003A1917">
        <w:t xml:space="preserve">the </w:t>
      </w:r>
      <w:r w:rsidRPr="001A3D2B">
        <w:t>field have been published. This study, part</w:t>
      </w:r>
      <w:r w:rsidR="00427468">
        <w:t xml:space="preserve"> of </w:t>
      </w:r>
      <w:r w:rsidR="003A1917">
        <w:t xml:space="preserve">the </w:t>
      </w:r>
      <w:r w:rsidRPr="001A3D2B">
        <w:t>Medical Library Association Nursing</w:t>
      </w:r>
      <w:r w:rsidR="005853A9">
        <w:t xml:space="preserve"> and </w:t>
      </w:r>
      <w:r w:rsidRPr="001A3D2B">
        <w:t>Allied Health Resources Section</w:t>
      </w:r>
      <w:r w:rsidR="00700038">
        <w:t>’</w:t>
      </w:r>
      <w:r w:rsidR="00C13DDC">
        <w:t>s</w:t>
      </w:r>
      <w:r w:rsidRPr="001A3D2B">
        <w:t xml:space="preserve"> Project for Mapping</w:t>
      </w:r>
      <w:r w:rsidR="003A1917">
        <w:t xml:space="preserve"> the </w:t>
      </w:r>
      <w:r w:rsidRPr="001A3D2B">
        <w:t>Literature</w:t>
      </w:r>
      <w:r w:rsidR="00427468">
        <w:t xml:space="preserve"> of </w:t>
      </w:r>
      <w:r w:rsidRPr="001A3D2B">
        <w:t>Allied Health, attempted to identify</w:t>
      </w:r>
      <w:r w:rsidR="003A1917">
        <w:t xml:space="preserve"> the </w:t>
      </w:r>
      <w:r w:rsidRPr="001A3D2B">
        <w:t>core journals in diagnostic medical sonography</w:t>
      </w:r>
      <w:r w:rsidR="005853A9">
        <w:t xml:space="preserve"> and </w:t>
      </w:r>
      <w:r w:rsidRPr="001A3D2B">
        <w:t xml:space="preserve">determine how well these journals are indexed by </w:t>
      </w:r>
      <w:r w:rsidR="00D5664A">
        <w:t>MEDLINE</w:t>
      </w:r>
      <w:r w:rsidRPr="001A3D2B">
        <w:t>, EMBASE/Excerpta Medica,</w:t>
      </w:r>
      <w:r w:rsidR="005853A9">
        <w:t xml:space="preserve"> and </w:t>
      </w:r>
      <w:r w:rsidR="003A1917">
        <w:t xml:space="preserve">the </w:t>
      </w:r>
      <w:r w:rsidRPr="001A3D2B">
        <w:t>Cumulative Index to Nursing</w:t>
      </w:r>
      <w:r w:rsidR="005853A9">
        <w:t xml:space="preserve"> and </w:t>
      </w:r>
      <w:r w:rsidRPr="001A3D2B">
        <w:t>Allied Health Literature (CINAHL). Citation analysis was done using</w:t>
      </w:r>
      <w:r w:rsidR="003A1917">
        <w:t xml:space="preserve"> the </w:t>
      </w:r>
      <w:r w:rsidRPr="001A3D2B">
        <w:t>three journals listed for</w:t>
      </w:r>
      <w:r w:rsidR="003A1917">
        <w:t xml:space="preserve"> the </w:t>
      </w:r>
      <w:r w:rsidRPr="001A3D2B">
        <w:t>field by</w:t>
      </w:r>
      <w:r w:rsidR="003A1917">
        <w:t xml:space="preserve"> the </w:t>
      </w:r>
      <w:r w:rsidRPr="001A3D2B">
        <w:t>Brandon/Hill List. Characteristics</w:t>
      </w:r>
      <w:r w:rsidR="00427468">
        <w:t xml:space="preserve"> of </w:t>
      </w:r>
      <w:r w:rsidRPr="001A3D2B">
        <w:t>two</w:t>
      </w:r>
      <w:r w:rsidR="00427468">
        <w:t xml:space="preserve"> of </w:t>
      </w:r>
      <w:r w:rsidRPr="001A3D2B">
        <w:t>these three journals affected</w:t>
      </w:r>
      <w:r w:rsidR="003A1917">
        <w:t xml:space="preserve"> the </w:t>
      </w:r>
      <w:r w:rsidRPr="001A3D2B">
        <w:t>results to</w:t>
      </w:r>
      <w:r w:rsidR="003A1917">
        <w:t xml:space="preserve"> the </w:t>
      </w:r>
      <w:r w:rsidRPr="001A3D2B">
        <w:t>extent that more data should be gathered to reach conclusions about</w:t>
      </w:r>
      <w:r w:rsidR="003A1917">
        <w:t xml:space="preserve"> the </w:t>
      </w:r>
      <w:r w:rsidRPr="001A3D2B">
        <w:t>literature</w:t>
      </w:r>
      <w:r w:rsidR="00427468">
        <w:t xml:space="preserve"> of </w:t>
      </w:r>
      <w:r w:rsidRPr="001A3D2B">
        <w:t>diagnostic medical sonography as a whole. Results</w:t>
      </w:r>
      <w:r w:rsidR="00427468">
        <w:t xml:space="preserve"> of </w:t>
      </w:r>
      <w:r w:rsidR="003A1917">
        <w:t xml:space="preserve">the </w:t>
      </w:r>
      <w:r w:rsidRPr="001A3D2B">
        <w:t>analysis do suggest that</w:t>
      </w:r>
      <w:r w:rsidR="003A1917">
        <w:t xml:space="preserve"> the </w:t>
      </w:r>
      <w:r w:rsidRPr="001A3D2B">
        <w:t>literature</w:t>
      </w:r>
      <w:r w:rsidR="00427468">
        <w:t xml:space="preserve"> of </w:t>
      </w:r>
      <w:r w:rsidRPr="001A3D2B">
        <w:t>echocardiography, which is a special area</w:t>
      </w:r>
      <w:r w:rsidR="00427468">
        <w:t xml:space="preserve"> of </w:t>
      </w:r>
      <w:r w:rsidRPr="001A3D2B">
        <w:t xml:space="preserve">diagnostic medical sonography, is indexed much more completely by </w:t>
      </w:r>
      <w:r w:rsidR="00D5664A">
        <w:t>MEDLINE</w:t>
      </w:r>
      <w:r w:rsidR="005853A9">
        <w:t xml:space="preserve"> and </w:t>
      </w:r>
      <w:r w:rsidRPr="001A3D2B">
        <w:t>EMBASE/Excerpta Medics than by CINAHL. Suggestions are made for librarians making collection development decisions in this area</w:t>
      </w:r>
      <w:r w:rsidR="00427468">
        <w:t xml:space="preserve"> of </w:t>
      </w:r>
      <w:r w:rsidRPr="001A3D2B">
        <w:t>allied health.</w:t>
      </w:r>
    </w:p>
    <w:p w:rsidR="003474F2" w:rsidRPr="001A3D2B" w:rsidRDefault="003474F2" w:rsidP="003474F2">
      <w:pPr>
        <w:pStyle w:val="a3"/>
      </w:pPr>
      <w:r w:rsidRPr="001A3D2B">
        <w:t>Notes: TTopic</w:t>
      </w:r>
    </w:p>
    <w:p w:rsidR="003474F2" w:rsidRPr="001A3D2B" w:rsidRDefault="003474F2" w:rsidP="003474F2">
      <w:pPr>
        <w:pStyle w:val="a3"/>
      </w:pPr>
      <w:r w:rsidRPr="001A3D2B">
        <w:t>Smith, A.M. (1999), Mapping</w:t>
      </w:r>
      <w:r w:rsidR="003A1917">
        <w:t xml:space="preserve"> the </w:t>
      </w:r>
      <w:r w:rsidRPr="001A3D2B">
        <w:t>literature</w:t>
      </w:r>
      <w:r w:rsidR="00427468">
        <w:t xml:space="preserve"> of </w:t>
      </w:r>
      <w:r w:rsidRPr="001A3D2B">
        <w:t xml:space="preserve">dietetics.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292-297.</w:t>
      </w:r>
    </w:p>
    <w:p w:rsidR="003474F2" w:rsidRPr="001A3D2B" w:rsidRDefault="003474F2" w:rsidP="003474F2">
      <w:pPr>
        <w:pStyle w:val="a3"/>
      </w:pPr>
      <w:r w:rsidRPr="001A3D2B">
        <w:t xml:space="preserve">Full Text: </w:t>
      </w:r>
      <w:hyperlink r:id="rId2135" w:history="1">
        <w:r w:rsidRPr="001A3D2B">
          <w:rPr>
            <w:rStyle w:val="a5"/>
          </w:rPr>
          <w:t>1999\Bul Med Lib Ass87, 292.pdf</w:t>
        </w:r>
      </w:hyperlink>
    </w:p>
    <w:p w:rsidR="003474F2" w:rsidRPr="001A3D2B" w:rsidRDefault="003474F2" w:rsidP="003474F2">
      <w:pPr>
        <w:pStyle w:val="a3"/>
      </w:pPr>
      <w:r w:rsidRPr="001A3D2B">
        <w:t>Abstract: Research on</w:t>
      </w:r>
      <w:r w:rsidR="003A1917">
        <w:t xml:space="preserve"> the </w:t>
      </w:r>
      <w:r w:rsidRPr="001A3D2B">
        <w:t>literature</w:t>
      </w:r>
      <w:r w:rsidR="00427468">
        <w:t xml:space="preserve"> of </w:t>
      </w:r>
      <w:r w:rsidRPr="001A3D2B">
        <w:t>dietetics, apart from</w:t>
      </w:r>
      <w:r w:rsidR="003A1917">
        <w:t xml:space="preserve"> the </w:t>
      </w:r>
      <w:r w:rsidRPr="001A3D2B">
        <w:t>broader field</w:t>
      </w:r>
      <w:r w:rsidR="00427468">
        <w:t xml:space="preserve"> of </w:t>
      </w:r>
      <w:r w:rsidRPr="001A3D2B">
        <w:t>nutrition, has not been reported in</w:t>
      </w:r>
      <w:r w:rsidR="003A1917">
        <w:t xml:space="preserve"> the </w:t>
      </w:r>
      <w:r w:rsidRPr="001A3D2B">
        <w:t>Literature</w:t>
      </w:r>
      <w:r w:rsidR="00A37C1D">
        <w:t>. The</w:t>
      </w:r>
      <w:r w:rsidR="003A1917">
        <w:t xml:space="preserve"> </w:t>
      </w:r>
      <w:r w:rsidRPr="001A3D2B">
        <w:t>purpose</w:t>
      </w:r>
      <w:r w:rsidR="00427468">
        <w:t xml:space="preserve"> of </w:t>
      </w:r>
      <w:r w:rsidRPr="001A3D2B">
        <w:t>this bibliometric study was to identify</w:t>
      </w:r>
      <w:r w:rsidR="003A1917">
        <w:t xml:space="preserve"> the </w:t>
      </w:r>
      <w:r w:rsidRPr="001A3D2B">
        <w:t>core journals</w:t>
      </w:r>
      <w:r w:rsidR="00427468">
        <w:t xml:space="preserve"> of </w:t>
      </w:r>
      <w:r w:rsidRPr="001A3D2B">
        <w:t>dietetics</w:t>
      </w:r>
      <w:r w:rsidR="005853A9">
        <w:t xml:space="preserve"> and </w:t>
      </w:r>
      <w:r w:rsidRPr="001A3D2B">
        <w:t>to determine</w:t>
      </w:r>
      <w:r w:rsidR="003A1917">
        <w:t xml:space="preserve"> the </w:t>
      </w:r>
      <w:r w:rsidRPr="001A3D2B">
        <w:t>extent</w:t>
      </w:r>
      <w:r w:rsidR="00427468">
        <w:t xml:space="preserve"> of </w:t>
      </w:r>
      <w:r w:rsidRPr="001A3D2B">
        <w:t>indexing coverage for these journals</w:t>
      </w:r>
      <w:r w:rsidR="00A37C1D">
        <w:t>. The</w:t>
      </w:r>
      <w:r w:rsidR="003A1917">
        <w:t xml:space="preserve"> </w:t>
      </w:r>
      <w:r w:rsidRPr="001A3D2B">
        <w:t>study was conducted as part</w:t>
      </w:r>
      <w:r w:rsidR="00427468">
        <w:t xml:space="preserve"> of </w:t>
      </w:r>
      <w:r w:rsidRPr="001A3D2B">
        <w:t>a larger: project,</w:t>
      </w:r>
      <w:r w:rsidR="003A1917">
        <w:t xml:space="preserve"> the </w:t>
      </w:r>
      <w:r w:rsidRPr="001A3D2B">
        <w:t>Project for Mapping</w:t>
      </w:r>
      <w:r w:rsidR="003A1917">
        <w:t xml:space="preserve"> the </w:t>
      </w:r>
      <w:r w:rsidRPr="001A3D2B">
        <w:t>Literature</w:t>
      </w:r>
      <w:r w:rsidR="00427468">
        <w:t xml:space="preserve"> of </w:t>
      </w:r>
      <w:r w:rsidRPr="001A3D2B">
        <w:t>Allied Health, sponsored by</w:t>
      </w:r>
      <w:r w:rsidR="003A1917">
        <w:t xml:space="preserve"> the </w:t>
      </w:r>
      <w:r w:rsidRPr="001A3D2B">
        <w:t>Nursing</w:t>
      </w:r>
      <w:r w:rsidR="005853A9">
        <w:t xml:space="preserve"> and </w:t>
      </w:r>
      <w:r w:rsidRPr="001A3D2B">
        <w:t>Allied Health Resources Section</w:t>
      </w:r>
      <w:r w:rsidR="00427468">
        <w:t xml:space="preserve"> of </w:t>
      </w:r>
      <w:r w:rsidR="003A1917">
        <w:t xml:space="preserve">the </w:t>
      </w:r>
      <w:r w:rsidRPr="001A3D2B">
        <w:t>Medical Library Association. Citations appearing in three journals between 1995 and. 1997 were analyzed by</w:t>
      </w:r>
      <w:r w:rsidR="003A1917">
        <w:t xml:space="preserve"> the </w:t>
      </w:r>
      <w:r w:rsidRPr="001A3D2B">
        <w:t>methodology common to studies in</w:t>
      </w:r>
      <w:r w:rsidR="003A1917">
        <w:t xml:space="preserve"> the </w:t>
      </w:r>
      <w:r w:rsidRPr="001A3D2B">
        <w:t>project. Results revealed that dietetic literature relies heavily on journal literature</w:t>
      </w:r>
      <w:r w:rsidR="005853A9">
        <w:t xml:space="preserve"> and </w:t>
      </w:r>
      <w:r w:rsidRPr="001A3D2B">
        <w:t>on those journals that are from associated health sciences fields.</w:t>
      </w:r>
      <w:r w:rsidR="00427468">
        <w:t xml:space="preserve"> of </w:t>
      </w:r>
      <w:r w:rsidR="003A1917">
        <w:t xml:space="preserve">the </w:t>
      </w:r>
      <w:r w:rsidRPr="001A3D2B">
        <w:t>indexing services examined, EMBASE/Excerpta Medica</w:t>
      </w:r>
      <w:r w:rsidR="005853A9">
        <w:t xml:space="preserve"> and </w:t>
      </w:r>
      <w:r w:rsidR="00D5664A">
        <w:t>MEDLINE</w:t>
      </w:r>
      <w:r w:rsidRPr="001A3D2B">
        <w:t xml:space="preserve"> provided</w:t>
      </w:r>
      <w:r w:rsidR="003A1917">
        <w:t xml:space="preserve"> the </w:t>
      </w:r>
      <w:r w:rsidRPr="001A3D2B">
        <w:t>most complete coverage</w:t>
      </w:r>
      <w:r w:rsidR="00427468">
        <w:t xml:space="preserve"> of </w:t>
      </w:r>
      <w:r w:rsidR="003A1917">
        <w:t xml:space="preserve">the </w:t>
      </w:r>
      <w:r w:rsidRPr="001A3D2B">
        <w:t>literature</w:t>
      </w:r>
      <w:r w:rsidR="003A1917">
        <w:t xml:space="preserve"> the </w:t>
      </w:r>
      <w:r w:rsidRPr="001A3D2B">
        <w:t>study</w:t>
      </w:r>
      <w:r w:rsidR="00700038">
        <w:t>’</w:t>
      </w:r>
      <w:r w:rsidR="00C13DDC">
        <w:t>s</w:t>
      </w:r>
      <w:r w:rsidRPr="001A3D2B">
        <w:t xml:space="preserve"> findings have implications for those involved with</w:t>
      </w:r>
      <w:r w:rsidR="003A1917">
        <w:t xml:space="preserve"> the </w:t>
      </w:r>
      <w:r w:rsidRPr="001A3D2B">
        <w:t>literature</w:t>
      </w:r>
      <w:r w:rsidR="00427468">
        <w:t xml:space="preserve"> of </w:t>
      </w:r>
      <w:r w:rsidRPr="001A3D2B">
        <w:t>dietetics.</w:t>
      </w:r>
    </w:p>
    <w:p w:rsidR="003474F2" w:rsidRPr="001A3D2B" w:rsidRDefault="003474F2" w:rsidP="003474F2">
      <w:pPr>
        <w:pStyle w:val="a3"/>
      </w:pPr>
      <w:r w:rsidRPr="001A3D2B">
        <w:lastRenderedPageBreak/>
        <w:t>Notes: TTopic</w:t>
      </w:r>
    </w:p>
    <w:p w:rsidR="003474F2" w:rsidRPr="001A3D2B" w:rsidRDefault="003474F2" w:rsidP="003474F2">
      <w:pPr>
        <w:pStyle w:val="a3"/>
      </w:pPr>
      <w:r w:rsidRPr="001A3D2B">
        <w:t>Reed, K.L. (1999), Mapping</w:t>
      </w:r>
      <w:r w:rsidR="003A1917">
        <w:t xml:space="preserve"> the </w:t>
      </w:r>
      <w:r w:rsidRPr="001A3D2B">
        <w:t>literature</w:t>
      </w:r>
      <w:r w:rsidR="00427468">
        <w:t xml:space="preserve"> of </w:t>
      </w:r>
      <w:r w:rsidRPr="001A3D2B">
        <w:t xml:space="preserve">occupational therapy.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298-304.</w:t>
      </w:r>
    </w:p>
    <w:p w:rsidR="003474F2" w:rsidRPr="001A3D2B" w:rsidRDefault="003474F2" w:rsidP="003474F2">
      <w:pPr>
        <w:pStyle w:val="a3"/>
      </w:pPr>
      <w:r w:rsidRPr="001A3D2B">
        <w:t xml:space="preserve">Full Text: </w:t>
      </w:r>
      <w:hyperlink r:id="rId2136" w:history="1">
        <w:r w:rsidRPr="001A3D2B">
          <w:rPr>
            <w:rStyle w:val="a5"/>
          </w:rPr>
          <w:t>1999\Bul Med Lib Ass87, 298.pdf</w:t>
        </w:r>
      </w:hyperlink>
    </w:p>
    <w:p w:rsidR="003474F2" w:rsidRPr="001A3D2B" w:rsidRDefault="003474F2" w:rsidP="003474F2">
      <w:pPr>
        <w:pStyle w:val="a3"/>
      </w:pPr>
      <w:r w:rsidRPr="001A3D2B">
        <w:t>Abstract: Occupational therapy, formally organized in</w:t>
      </w:r>
      <w:r w:rsidR="003A1917">
        <w:t xml:space="preserve"> the </w:t>
      </w:r>
      <w:r w:rsidRPr="001A3D2B">
        <w:t>United States in 1917, is considered an allied health field, Mapping occupational therapy literature is part</w:t>
      </w:r>
      <w:r w:rsidR="00427468">
        <w:t xml:space="preserve"> of </w:t>
      </w:r>
      <w:r w:rsidRPr="001A3D2B">
        <w:t>a bibliometric project</w:t>
      </w:r>
      <w:r w:rsidR="00427468">
        <w:t xml:space="preserve"> of </w:t>
      </w:r>
      <w:r w:rsidR="003A1917">
        <w:t xml:space="preserve">the </w:t>
      </w:r>
      <w:r w:rsidRPr="001A3D2B">
        <w:t>Medical Library Association</w:t>
      </w:r>
      <w:r w:rsidR="00700038">
        <w:t>’</w:t>
      </w:r>
      <w:r w:rsidR="00C13DDC">
        <w:t>s</w:t>
      </w:r>
      <w:r w:rsidRPr="001A3D2B">
        <w:t xml:space="preserve"> Nursing</w:t>
      </w:r>
      <w:r w:rsidR="005853A9">
        <w:t xml:space="preserve"> and </w:t>
      </w:r>
      <w:r w:rsidRPr="001A3D2B">
        <w:t>Allied Health Resources Section</w:t>
      </w:r>
      <w:r w:rsidR="00700038">
        <w:t>’</w:t>
      </w:r>
      <w:r w:rsidR="00C13DDC">
        <w:t>s</w:t>
      </w:r>
      <w:r w:rsidRPr="001A3D2B">
        <w:t xml:space="preserve"> project for mapping</w:t>
      </w:r>
      <w:r w:rsidR="003A1917">
        <w:t xml:space="preserve"> the </w:t>
      </w:r>
      <w:r w:rsidRPr="001A3D2B">
        <w:t>Literature</w:t>
      </w:r>
      <w:r w:rsidR="00427468">
        <w:t xml:space="preserve"> of </w:t>
      </w:r>
      <w:r w:rsidRPr="001A3D2B">
        <w:t>allied health. Three core journals were selected from</w:t>
      </w:r>
      <w:r w:rsidR="003A1917">
        <w:t xml:space="preserve"> the </w:t>
      </w:r>
      <w:r w:rsidRPr="001A3D2B">
        <w:t>years 1995</w:t>
      </w:r>
      <w:r w:rsidR="005853A9">
        <w:t xml:space="preserve"> and </w:t>
      </w:r>
      <w:r w:rsidRPr="001A3D2B">
        <w:t>1996</w:t>
      </w:r>
      <w:r w:rsidR="005853A9">
        <w:t xml:space="preserve"> and </w:t>
      </w:r>
      <w:r w:rsidRPr="001A3D2B">
        <w:t>a determination was made</w:t>
      </w:r>
      <w:r w:rsidR="00427468">
        <w:t xml:space="preserve"> of </w:t>
      </w:r>
      <w:r w:rsidR="003A1917">
        <w:t xml:space="preserve">the </w:t>
      </w:r>
      <w:r w:rsidRPr="001A3D2B">
        <w:t>extent to which</w:t>
      </w:r>
      <w:r w:rsidR="003A1917">
        <w:t xml:space="preserve"> the </w:t>
      </w:r>
      <w:r w:rsidRPr="001A3D2B">
        <w:t>cited journal references were covered by standard indexing sources. Using Bradford</w:t>
      </w:r>
      <w:r w:rsidR="00700038">
        <w:t>’</w:t>
      </w:r>
      <w:r w:rsidR="00C13DDC">
        <w:t>s</w:t>
      </w:r>
      <w:r w:rsidRPr="001A3D2B">
        <w:t xml:space="preserve"> Law</w:t>
      </w:r>
      <w:r w:rsidR="00427468">
        <w:t xml:space="preserve"> of </w:t>
      </w:r>
      <w:r w:rsidRPr="001A3D2B">
        <w:t>Scattering three zones were created, each containing approximately one-third</w:t>
      </w:r>
      <w:r w:rsidR="00427468">
        <w:t xml:space="preserve"> of </w:t>
      </w:r>
      <w:r w:rsidR="003A1917">
        <w:t xml:space="preserve">the </w:t>
      </w:r>
      <w:r w:rsidRPr="001A3D2B">
        <w:t>cited journal references</w:t>
      </w:r>
      <w:r w:rsidR="00A37C1D">
        <w:t>. The</w:t>
      </w:r>
      <w:r w:rsidR="003A1917">
        <w:t xml:space="preserve"> </w:t>
      </w:r>
      <w:r w:rsidRPr="001A3D2B">
        <w:t>results showed that three journals made up</w:t>
      </w:r>
      <w:r w:rsidR="003A1917">
        <w:t xml:space="preserve"> the </w:t>
      </w:r>
      <w:r w:rsidRPr="001A3D2B">
        <w:t>first zone, 117 journals:</w:t>
      </w:r>
      <w:r w:rsidR="003A1917">
        <w:t xml:space="preserve"> the </w:t>
      </w:r>
      <w:r w:rsidRPr="001A3D2B">
        <w:t>second,</w:t>
      </w:r>
      <w:r w:rsidR="005853A9">
        <w:t xml:space="preserve"> and </w:t>
      </w:r>
      <w:r w:rsidRPr="001A3D2B">
        <w:t>657</w:t>
      </w:r>
      <w:r w:rsidR="003A1917">
        <w:t xml:space="preserve"> the </w:t>
      </w:r>
      <w:r w:rsidRPr="001A3D2B">
        <w:t>third</w:t>
      </w:r>
      <w:r w:rsidR="00A37C1D">
        <w:t>. The</w:t>
      </w:r>
      <w:r w:rsidR="003A1917">
        <w:t xml:space="preserve"> </w:t>
      </w:r>
      <w:r w:rsidRPr="001A3D2B">
        <w:t>most cited journal was</w:t>
      </w:r>
      <w:r w:rsidR="003A1917">
        <w:t xml:space="preserve"> the </w:t>
      </w:r>
      <w:r w:rsidRPr="001A3D2B">
        <w:t>American Journal</w:t>
      </w:r>
      <w:r w:rsidR="00427468">
        <w:t xml:space="preserve"> of </w:t>
      </w:r>
      <w:r w:rsidRPr="001A3D2B">
        <w:t>Occupational Therapy. In</w:t>
      </w:r>
      <w:r w:rsidR="003A1917">
        <w:t xml:space="preserve"> the </w:t>
      </w:r>
      <w:r w:rsidRPr="001A3D2B">
        <w:t xml:space="preserve">second zone, journals from twelve disciplines were identified. While </w:t>
      </w:r>
      <w:r w:rsidR="00D5664A">
        <w:t>MEDLINE</w:t>
      </w:r>
      <w:r w:rsidRPr="001A3D2B">
        <w:t xml:space="preserve"> provided</w:t>
      </w:r>
      <w:r w:rsidR="003A1917">
        <w:t xml:space="preserve"> the </w:t>
      </w:r>
      <w:r w:rsidRPr="001A3D2B">
        <w:t>best overall indexing,</w:t>
      </w:r>
      <w:r w:rsidR="003A1917">
        <w:t xml:space="preserve"> the </w:t>
      </w:r>
      <w:r w:rsidRPr="001A3D2B">
        <w:t>Cumulative Index to Nursing</w:t>
      </w:r>
      <w:r w:rsidR="005853A9">
        <w:t xml:space="preserve"> and </w:t>
      </w:r>
      <w:r w:rsidRPr="001A3D2B">
        <w:t>Allied Health Literature (CINAHL) was</w:t>
      </w:r>
      <w:r w:rsidR="003A1917">
        <w:t xml:space="preserve"> the </w:t>
      </w:r>
      <w:r w:rsidRPr="001A3D2B">
        <w:t>only database that indexed</w:t>
      </w:r>
      <w:r w:rsidR="003A1917">
        <w:t xml:space="preserve"> the </w:t>
      </w:r>
      <w:r w:rsidRPr="001A3D2B">
        <w:t>three most cited journals plus nine</w:t>
      </w:r>
      <w:r w:rsidR="00427468">
        <w:t xml:space="preserve"> of </w:t>
      </w:r>
      <w:r w:rsidR="003A1917">
        <w:t xml:space="preserve">the </w:t>
      </w:r>
      <w:r w:rsidRPr="001A3D2B">
        <w:t xml:space="preserve">currently active titles in occupational therapy. </w:t>
      </w:r>
      <w:r w:rsidR="00D5664A">
        <w:t>MEDLINE</w:t>
      </w:r>
      <w:r w:rsidRPr="001A3D2B">
        <w:t xml:space="preserve"> could improve its coverage</w:t>
      </w:r>
      <w:r w:rsidR="00427468">
        <w:t xml:space="preserve"> of </w:t>
      </w:r>
      <w:r w:rsidRPr="001A3D2B">
        <w:t>occupational therapy by indexing</w:t>
      </w:r>
      <w:r w:rsidR="003A1917">
        <w:t xml:space="preserve"> the </w:t>
      </w:r>
      <w:r w:rsidRPr="001A3D2B">
        <w:t>journals</w:t>
      </w:r>
      <w:r w:rsidR="00427468">
        <w:t xml:space="preserve"> of </w:t>
      </w:r>
      <w:r w:rsidR="003A1917">
        <w:t xml:space="preserve">the </w:t>
      </w:r>
      <w:r w:rsidRPr="001A3D2B">
        <w:t>British, Canadian,</w:t>
      </w:r>
      <w:r w:rsidR="005853A9">
        <w:t xml:space="preserve"> and </w:t>
      </w:r>
      <w:r w:rsidRPr="001A3D2B">
        <w:t>Australian national associations.</w:t>
      </w:r>
    </w:p>
    <w:p w:rsidR="003474F2" w:rsidRPr="001A3D2B" w:rsidRDefault="003474F2" w:rsidP="003474F2">
      <w:pPr>
        <w:pStyle w:val="a3"/>
      </w:pPr>
      <w:r w:rsidRPr="001A3D2B">
        <w:t>Notes: TTopic</w:t>
      </w:r>
    </w:p>
    <w:p w:rsidR="003474F2" w:rsidRPr="001A3D2B" w:rsidRDefault="003474F2" w:rsidP="003474F2">
      <w:pPr>
        <w:pStyle w:val="a3"/>
      </w:pPr>
      <w:r w:rsidRPr="001A3D2B">
        <w:t>Hall, E.F. (1999), Mapping</w:t>
      </w:r>
      <w:r w:rsidR="003A1917">
        <w:t xml:space="preserve"> the </w:t>
      </w:r>
      <w:r w:rsidRPr="001A3D2B">
        <w:t>literature</w:t>
      </w:r>
      <w:r w:rsidR="00427468">
        <w:t xml:space="preserve"> of </w:t>
      </w:r>
      <w:r w:rsidRPr="001A3D2B">
        <w:t xml:space="preserve">perfusion.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305-311.</w:t>
      </w:r>
    </w:p>
    <w:p w:rsidR="003474F2" w:rsidRPr="001A3D2B" w:rsidRDefault="003474F2" w:rsidP="003474F2">
      <w:pPr>
        <w:pStyle w:val="a3"/>
      </w:pPr>
      <w:r w:rsidRPr="001A3D2B">
        <w:t xml:space="preserve">Full Text: </w:t>
      </w:r>
      <w:hyperlink r:id="rId2137" w:history="1">
        <w:r w:rsidRPr="001A3D2B">
          <w:rPr>
            <w:rStyle w:val="a5"/>
          </w:rPr>
          <w:t>1999\Bul Med Lib Ass87, 305.pdf</w:t>
        </w:r>
      </w:hyperlink>
    </w:p>
    <w:p w:rsidR="003474F2" w:rsidRPr="001A3D2B" w:rsidRDefault="003474F2" w:rsidP="003474F2">
      <w:pPr>
        <w:pStyle w:val="a3"/>
      </w:pPr>
      <w:r w:rsidRPr="001A3D2B">
        <w:t>Abstract: Perfusionists select</w:t>
      </w:r>
      <w:r w:rsidR="005853A9">
        <w:t xml:space="preserve"> and </w:t>
      </w:r>
      <w:r w:rsidRPr="001A3D2B">
        <w:t>operate</w:t>
      </w:r>
      <w:r w:rsidR="003A1917">
        <w:t xml:space="preserve"> the </w:t>
      </w:r>
      <w:r w:rsidRPr="001A3D2B">
        <w:t>equipment necessary for monitoring, supporting, or temporarily replacing</w:t>
      </w:r>
      <w:r w:rsidR="003A1917">
        <w:t xml:space="preserve"> the </w:t>
      </w:r>
      <w:r w:rsidRPr="001A3D2B">
        <w:t>patient</w:t>
      </w:r>
      <w:r w:rsidR="00700038">
        <w:t>’</w:t>
      </w:r>
      <w:r w:rsidR="00C13DDC">
        <w:t>s</w:t>
      </w:r>
      <w:r w:rsidRPr="001A3D2B">
        <w:t xml:space="preserve"> circulatory or respiratory function</w:t>
      </w:r>
      <w:r w:rsidR="00A37C1D">
        <w:t>. The</w:t>
      </w:r>
      <w:r w:rsidRPr="001A3D2B">
        <w:t xml:space="preserve">re are over 3,000 perfusionists working in </w:t>
      </w:r>
      <w:smartTag w:uri="urn:schemas-microsoft-com:office:smarttags" w:element="place">
        <w:smartTag w:uri="urn:schemas-microsoft-com:office:smarttags" w:element="country-region">
          <w:r w:rsidRPr="001A3D2B">
            <w:t>U.S.</w:t>
          </w:r>
        </w:smartTag>
      </w:smartTag>
      <w:r w:rsidRPr="001A3D2B">
        <w:t xml:space="preserve"> hospitals, medical</w:t>
      </w:r>
      <w:r w:rsidR="005853A9">
        <w:t xml:space="preserve"> and </w:t>
      </w:r>
      <w:r w:rsidRPr="001A3D2B">
        <w:t>perfusionist groups,</w:t>
      </w:r>
      <w:r w:rsidR="005853A9">
        <w:t xml:space="preserve"> and </w:t>
      </w:r>
      <w:r w:rsidRPr="001A3D2B">
        <w:t>as independent contractors</w:t>
      </w:r>
      <w:r w:rsidR="00A37C1D">
        <w:t>. The</w:t>
      </w:r>
      <w:r w:rsidR="003A1917">
        <w:t xml:space="preserve"> </w:t>
      </w:r>
      <w:r w:rsidRPr="001A3D2B">
        <w:t>purpose</w:t>
      </w:r>
      <w:r w:rsidR="00427468">
        <w:t xml:space="preserve"> of </w:t>
      </w:r>
      <w:r w:rsidRPr="001A3D2B">
        <w:t>this study was to identify</w:t>
      </w:r>
      <w:r w:rsidR="003A1917">
        <w:t xml:space="preserve"> the </w:t>
      </w:r>
      <w:r w:rsidRPr="001A3D2B">
        <w:t>core literature</w:t>
      </w:r>
      <w:r w:rsidR="00427468">
        <w:t xml:space="preserve"> of </w:t>
      </w:r>
      <w:r w:rsidRPr="001A3D2B">
        <w:t>perfusion</w:t>
      </w:r>
      <w:r w:rsidR="005853A9">
        <w:t xml:space="preserve"> and </w:t>
      </w:r>
      <w:r w:rsidRPr="001A3D2B">
        <w:t>to determine which major databases provide</w:t>
      </w:r>
      <w:r w:rsidR="003A1917">
        <w:t xml:space="preserve"> the </w:t>
      </w:r>
      <w:r w:rsidRPr="001A3D2B">
        <w:t>most thorough access to this literature. This paper is part</w:t>
      </w:r>
      <w:r w:rsidR="00427468">
        <w:t xml:space="preserve"> of </w:t>
      </w:r>
      <w:r w:rsidR="003A1917">
        <w:t xml:space="preserve">the </w:t>
      </w:r>
      <w:r w:rsidRPr="001A3D2B">
        <w:t>Medical Library Association Nursing</w:t>
      </w:r>
      <w:r w:rsidR="005853A9">
        <w:t xml:space="preserve"> and </w:t>
      </w:r>
      <w:r w:rsidRPr="001A3D2B">
        <w:t>Allied Health Resource Section</w:t>
      </w:r>
      <w:r w:rsidR="00700038">
        <w:t>’</w:t>
      </w:r>
      <w:r w:rsidR="00C13DDC">
        <w:t>s</w:t>
      </w:r>
      <w:r w:rsidRPr="001A3D2B">
        <w:t xml:space="preserve"> project to map</w:t>
      </w:r>
      <w:r w:rsidR="003A1917">
        <w:t xml:space="preserve"> the </w:t>
      </w:r>
      <w:r w:rsidRPr="001A3D2B">
        <w:t>literature</w:t>
      </w:r>
      <w:r w:rsidR="00427468">
        <w:t xml:space="preserve"> of </w:t>
      </w:r>
      <w:r w:rsidR="003A1917">
        <w:t xml:space="preserve">the </w:t>
      </w:r>
      <w:r w:rsidRPr="001A3D2B">
        <w:t>allied health professions. It uses a bibliometric methodology to identify core journals. A group of; forty-three journals was determined to make up</w:t>
      </w:r>
      <w:r w:rsidR="003A1917">
        <w:t xml:space="preserve"> the </w:t>
      </w:r>
      <w:r w:rsidRPr="001A3D2B">
        <w:t>core journal literature</w:t>
      </w:r>
      <w:r w:rsidR="00427468">
        <w:t xml:space="preserve"> of </w:t>
      </w:r>
      <w:r w:rsidRPr="001A3D2B">
        <w:t xml:space="preserve">perfusion. </w:t>
      </w:r>
      <w:r w:rsidR="00D5664A">
        <w:t>MEDLINE</w:t>
      </w:r>
      <w:r w:rsidRPr="001A3D2B">
        <w:t xml:space="preserve"> provided</w:t>
      </w:r>
      <w:r w:rsidR="003A1917">
        <w:t xml:space="preserve"> the </w:t>
      </w:r>
      <w:r w:rsidRPr="001A3D2B">
        <w:t>best overall indexing coverage for these journals, but librarians</w:t>
      </w:r>
      <w:r w:rsidR="005853A9">
        <w:t xml:space="preserve"> and </w:t>
      </w:r>
      <w:r w:rsidRPr="001A3D2B">
        <w:t>perfusionists will wish to supplement its use with</w:t>
      </w:r>
      <w:r w:rsidR="003A1917">
        <w:t xml:space="preserve"> the </w:t>
      </w:r>
      <w:r w:rsidRPr="001A3D2B">
        <w:t>Cumulative Index to Nursing</w:t>
      </w:r>
      <w:r w:rsidR="005853A9">
        <w:t xml:space="preserve"> and </w:t>
      </w:r>
      <w:r w:rsidRPr="001A3D2B">
        <w:t>Allied Health Literature in order to access</w:t>
      </w:r>
      <w:r w:rsidR="003A1917">
        <w:t xml:space="preserve"> the </w:t>
      </w:r>
      <w:r w:rsidRPr="001A3D2B">
        <w:t>journals written primarily for perfusionists</w:t>
      </w:r>
      <w:r w:rsidR="00A37C1D">
        <w:t>. The</w:t>
      </w:r>
      <w:r w:rsidR="003A1917">
        <w:t xml:space="preserve"> </w:t>
      </w:r>
      <w:r w:rsidRPr="001A3D2B">
        <w:t>study results can guide purchasing</w:t>
      </w:r>
      <w:r w:rsidR="005853A9">
        <w:t xml:space="preserve"> and </w:t>
      </w:r>
      <w:r w:rsidRPr="001A3D2B">
        <w:t>database searching decisions</w:t>
      </w:r>
      <w:r w:rsidR="00427468">
        <w:t xml:space="preserve"> of </w:t>
      </w:r>
      <w:r w:rsidRPr="001A3D2B">
        <w:t>collection development</w:t>
      </w:r>
      <w:r w:rsidR="005853A9">
        <w:t xml:space="preserve"> and </w:t>
      </w:r>
      <w:r w:rsidRPr="001A3D2B">
        <w:t>reference librarians, encourage</w:t>
      </w:r>
      <w:r w:rsidR="003A1917">
        <w:t xml:space="preserve"> the </w:t>
      </w:r>
      <w:r w:rsidRPr="001A3D2B">
        <w:t>database producer to increase coverage</w:t>
      </w:r>
      <w:r w:rsidR="00427468">
        <w:t xml:space="preserve"> of </w:t>
      </w:r>
      <w:r w:rsidRPr="001A3D2B">
        <w:t xml:space="preserve">titles that are </w:t>
      </w:r>
      <w:r w:rsidRPr="001A3D2B">
        <w:lastRenderedPageBreak/>
        <w:t>unindexed or underindexed,</w:t>
      </w:r>
      <w:r w:rsidR="005853A9">
        <w:t xml:space="preserve"> and </w:t>
      </w:r>
      <w:r w:rsidRPr="001A3D2B">
        <w:t>advise perfusionists</w:t>
      </w:r>
      <w:r w:rsidR="00427468">
        <w:t xml:space="preserve"> of </w:t>
      </w:r>
      <w:r w:rsidR="003A1917">
        <w:t xml:space="preserve">the </w:t>
      </w:r>
      <w:r w:rsidRPr="001A3D2B">
        <w:t>best access to their core literature.</w:t>
      </w:r>
    </w:p>
    <w:p w:rsidR="003474F2" w:rsidRPr="001A3D2B" w:rsidRDefault="003474F2" w:rsidP="003474F2">
      <w:pPr>
        <w:pStyle w:val="a3"/>
      </w:pPr>
      <w:r w:rsidRPr="001A3D2B">
        <w:t>Notes: MModel</w:t>
      </w:r>
    </w:p>
    <w:p w:rsidR="003474F2" w:rsidRPr="001A3D2B" w:rsidRDefault="003474F2" w:rsidP="003474F2">
      <w:pPr>
        <w:pStyle w:val="a3"/>
      </w:pPr>
      <w:r w:rsidRPr="001A3D2B">
        <w:t>Byrd, G.D. (1999), Medical faculty use</w:t>
      </w:r>
      <w:r w:rsidR="00427468">
        <w:t xml:space="preserve"> of </w:t>
      </w:r>
      <w:r w:rsidR="003A1917">
        <w:t xml:space="preserve">the </w:t>
      </w:r>
      <w:r w:rsidRPr="001A3D2B">
        <w:t>journal literature, publishing productivity</w:t>
      </w:r>
      <w:r w:rsidR="005853A9">
        <w:t xml:space="preserve"> and </w:t>
      </w:r>
      <w:r w:rsidR="003A1917">
        <w:t xml:space="preserve">the </w:t>
      </w:r>
      <w:r w:rsidRPr="001A3D2B">
        <w:t>size</w:t>
      </w:r>
      <w:r w:rsidR="00427468">
        <w:t xml:space="preserve"> of </w:t>
      </w:r>
      <w:r w:rsidRPr="001A3D2B">
        <w:t xml:space="preserve">health sciences library journal collections.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87</w:t>
      </w:r>
      <w:r w:rsidRPr="001A3D2B">
        <w:t xml:space="preserve"> (3), 312-321.</w:t>
      </w:r>
    </w:p>
    <w:p w:rsidR="003474F2" w:rsidRPr="001A3D2B" w:rsidRDefault="003474F2" w:rsidP="003474F2">
      <w:pPr>
        <w:pStyle w:val="a3"/>
      </w:pPr>
      <w:r w:rsidRPr="001A3D2B">
        <w:t>Full Text: B</w:t>
      </w:r>
      <w:hyperlink r:id="rId2138" w:history="1">
        <w:r w:rsidRPr="001A3D2B">
          <w:rPr>
            <w:rStyle w:val="a5"/>
            <w:rFonts w:eastAsia="新細明體"/>
            <w:kern w:val="2"/>
            <w:szCs w:val="24"/>
          </w:rPr>
          <w:t>1999\Bul Med Lib Ass87, 312.pdf</w:t>
        </w:r>
      </w:hyperlink>
    </w:p>
    <w:p w:rsidR="003474F2" w:rsidRPr="001A3D2B" w:rsidRDefault="003474F2" w:rsidP="003474F2">
      <w:pPr>
        <w:pStyle w:val="a3"/>
      </w:pPr>
      <w:r w:rsidRPr="001A3D2B">
        <w:t>Abstract: Objectives: This 1990-1991 study explored</w:t>
      </w:r>
      <w:r w:rsidR="003A1917">
        <w:t xml:space="preserve"> the </w:t>
      </w:r>
      <w:r w:rsidRPr="001A3D2B">
        <w:t>relationship between</w:t>
      </w:r>
      <w:r w:rsidR="003A1917">
        <w:t xml:space="preserve"> the </w:t>
      </w:r>
      <w:r w:rsidRPr="001A3D2B">
        <w:t>size</w:t>
      </w:r>
      <w:r w:rsidR="00427468">
        <w:t xml:space="preserve"> of </w:t>
      </w:r>
      <w:r w:rsidRPr="001A3D2B">
        <w:t>health sciences Library journal collections</w:t>
      </w:r>
      <w:r w:rsidR="005853A9">
        <w:t xml:space="preserve"> and </w:t>
      </w:r>
      <w:r w:rsidR="003A1917">
        <w:t xml:space="preserve">the </w:t>
      </w:r>
      <w:r w:rsidRPr="001A3D2B">
        <w:t>number</w:t>
      </w:r>
      <w:r w:rsidR="00427468">
        <w:t xml:space="preserve"> of </w:t>
      </w:r>
      <w:r w:rsidRPr="001A3D2B">
        <w:t>different journals cited by medical school faculty in departments</w:t>
      </w:r>
      <w:r w:rsidR="00427468">
        <w:t xml:space="preserve"> of </w:t>
      </w:r>
      <w:r w:rsidRPr="001A3D2B">
        <w:t>biochemistry</w:t>
      </w:r>
      <w:r w:rsidR="005853A9">
        <w:t xml:space="preserve"> and </w:t>
      </w:r>
      <w:r w:rsidRPr="001A3D2B">
        <w:t>medicine.</w:t>
      </w:r>
    </w:p>
    <w:p w:rsidR="003474F2" w:rsidRPr="001A3D2B" w:rsidRDefault="003474F2" w:rsidP="003474F2">
      <w:pPr>
        <w:pStyle w:val="a3"/>
      </w:pPr>
      <w:r w:rsidRPr="001A3D2B">
        <w:t>Methods: Two regression equations, including variables associated with a national stratified sample</w:t>
      </w:r>
      <w:r w:rsidR="00427468">
        <w:t xml:space="preserve"> of </w:t>
      </w:r>
      <w:r w:rsidRPr="001A3D2B">
        <w:t>622 faculty who published articles during those two years, were used to explore factors correlated with variations in faculty use</w:t>
      </w:r>
      <w:r w:rsidR="00427468">
        <w:t xml:space="preserve"> of </w:t>
      </w:r>
      <w:r w:rsidR="003A1917">
        <w:t xml:space="preserve">the </w:t>
      </w:r>
      <w:r w:rsidRPr="001A3D2B">
        <w:t>journal literature</w:t>
      </w:r>
      <w:r w:rsidR="005853A9">
        <w:t xml:space="preserve"> and </w:t>
      </w:r>
      <w:r w:rsidRPr="001A3D2B">
        <w:t>faculty publishing productivity.</w:t>
      </w:r>
    </w:p>
    <w:p w:rsidR="003474F2" w:rsidRPr="001A3D2B" w:rsidRDefault="003474F2" w:rsidP="003474F2">
      <w:pPr>
        <w:pStyle w:val="a3"/>
      </w:pPr>
      <w:r w:rsidRPr="001A3D2B">
        <w:t>Results: Results suggest that, after controlling for other variables in</w:t>
      </w:r>
      <w:r w:rsidR="003A1917">
        <w:t xml:space="preserve"> the </w:t>
      </w:r>
      <w:r w:rsidRPr="001A3D2B">
        <w:t>models, neither</w:t>
      </w:r>
      <w:r w:rsidR="003A1917">
        <w:t xml:space="preserve"> the </w:t>
      </w:r>
      <w:r w:rsidRPr="001A3D2B">
        <w:t>number</w:t>
      </w:r>
      <w:r w:rsidR="00427468">
        <w:t xml:space="preserve"> of </w:t>
      </w:r>
      <w:r w:rsidRPr="001A3D2B">
        <w:t>different journals those faculty cited nor</w:t>
      </w:r>
      <w:r w:rsidR="003A1917">
        <w:t xml:space="preserve"> the </w:t>
      </w:r>
      <w:r w:rsidRPr="001A3D2B">
        <w:t>number</w:t>
      </w:r>
      <w:r w:rsidR="00427468">
        <w:t xml:space="preserve"> of </w:t>
      </w:r>
      <w:r w:rsidRPr="001A3D2B">
        <w:t>articles they published, had statistically significant correlations with</w:t>
      </w:r>
      <w:r w:rsidR="003A1917">
        <w:t xml:space="preserve"> the </w:t>
      </w:r>
      <w:r w:rsidRPr="001A3D2B">
        <w:t>number</w:t>
      </w:r>
      <w:r w:rsidR="00427468">
        <w:t xml:space="preserve"> of </w:t>
      </w:r>
      <w:r w:rsidRPr="001A3D2B">
        <w:t>journals in</w:t>
      </w:r>
      <w:r w:rsidR="003A1917">
        <w:t xml:space="preserve"> the </w:t>
      </w:r>
      <w:r w:rsidRPr="001A3D2B">
        <w:t>health sciences library collection.</w:t>
      </w:r>
    </w:p>
    <w:p w:rsidR="003474F2" w:rsidRPr="001A3D2B" w:rsidRDefault="003474F2" w:rsidP="003474F2">
      <w:pPr>
        <w:pStyle w:val="a3"/>
      </w:pPr>
      <w:r w:rsidRPr="001A3D2B">
        <w:t>Conclusion:</w:t>
      </w:r>
      <w:r w:rsidR="003A1917">
        <w:t xml:space="preserve"> the </w:t>
      </w:r>
      <w:r w:rsidRPr="001A3D2B">
        <w:t>traditional view that</w:t>
      </w:r>
      <w:r w:rsidR="003A1917">
        <w:t xml:space="preserve"> the </w:t>
      </w:r>
      <w:r w:rsidRPr="001A3D2B">
        <w:t>size</w:t>
      </w:r>
      <w:r w:rsidR="00427468">
        <w:t xml:space="preserve"> of </w:t>
      </w:r>
      <w:r w:rsidRPr="001A3D2B">
        <w:t>an academic health sciences library</w:t>
      </w:r>
      <w:r w:rsidR="00700038">
        <w:t>’</w:t>
      </w:r>
      <w:r w:rsidR="00C13DDC">
        <w:t>s</w:t>
      </w:r>
      <w:r w:rsidRPr="001A3D2B">
        <w:t xml:space="preserve"> journal collection is a good measure</w:t>
      </w:r>
      <w:r w:rsidR="00427468">
        <w:t xml:space="preserve"> of </w:t>
      </w:r>
      <w:r w:rsidRPr="001A3D2B">
        <w:t>how well that library is positioned to support faculty research may not be entirely accurate.</w:t>
      </w:r>
    </w:p>
    <w:p w:rsidR="003474F2" w:rsidRPr="001A3D2B" w:rsidRDefault="003474F2" w:rsidP="003474F2">
      <w:pPr>
        <w:pStyle w:val="a3"/>
      </w:pPr>
      <w:r w:rsidRPr="001A3D2B">
        <w:t>Keywords: Price-Discrimination, Publication Output, Academic Journals</w:t>
      </w:r>
    </w:p>
    <w:p w:rsidR="003474F2" w:rsidRPr="001A3D2B" w:rsidRDefault="003474F2" w:rsidP="003474F2">
      <w:pPr>
        <w:pStyle w:val="a3"/>
      </w:pPr>
      <w:r w:rsidRPr="001A3D2B">
        <w:t>Notes: TTopic</w:t>
      </w:r>
    </w:p>
    <w:p w:rsidR="003474F2" w:rsidRPr="001A3D2B" w:rsidRDefault="003474F2" w:rsidP="003474F2">
      <w:pPr>
        <w:pStyle w:val="a3"/>
      </w:pPr>
      <w:smartTag w:uri="urn:schemas-microsoft-com:office:smarttags" w:element="City">
        <w:r w:rsidRPr="001A3D2B">
          <w:t>Macias-Chapula</w:t>
        </w:r>
      </w:smartTag>
      <w:r w:rsidRPr="001A3D2B">
        <w:t xml:space="preserve">, </w:t>
      </w:r>
      <w:smartTag w:uri="urn:schemas-microsoft-com:office:smarttags" w:element="country-region">
        <w:r w:rsidRPr="001A3D2B">
          <w:t>C.A.</w:t>
        </w:r>
      </w:smartTag>
      <w:r w:rsidRPr="001A3D2B">
        <w:t xml:space="preserve"> (2000), AIDS in </w:t>
      </w:r>
      <w:smartTag w:uri="urn:schemas-microsoft-com:office:smarttags" w:element="place">
        <w:smartTag w:uri="urn:schemas-microsoft-com:office:smarttags" w:element="country-region">
          <w:r w:rsidRPr="001A3D2B">
            <w:t>Haiti</w:t>
          </w:r>
        </w:smartTag>
      </w:smartTag>
      <w:r w:rsidRPr="001A3D2B">
        <w:t xml:space="preserve">: A bibliometric analysis.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88</w:t>
      </w:r>
      <w:r w:rsidRPr="001A3D2B">
        <w:t xml:space="preserve"> (1), 56-61.</w:t>
      </w:r>
    </w:p>
    <w:p w:rsidR="003474F2" w:rsidRPr="001A3D2B" w:rsidRDefault="003474F2" w:rsidP="003474F2">
      <w:pPr>
        <w:pStyle w:val="a3"/>
      </w:pPr>
      <w:r w:rsidRPr="001A3D2B">
        <w:t xml:space="preserve">Full Text: </w:t>
      </w:r>
      <w:hyperlink r:id="rId2139" w:history="1">
        <w:r w:rsidRPr="001A3D2B">
          <w:rPr>
            <w:rStyle w:val="a5"/>
          </w:rPr>
          <w:t>2000\Bul Med Lib Ass88, 56.pdf</w:t>
        </w:r>
      </w:hyperlink>
    </w:p>
    <w:p w:rsidR="003474F2" w:rsidRPr="001A3D2B" w:rsidRDefault="003474F2" w:rsidP="003474F2">
      <w:pPr>
        <w:pStyle w:val="a3"/>
      </w:pPr>
      <w:r w:rsidRPr="001A3D2B">
        <w:t>Abstract: Objectives: In Haiti, AIDS has become</w:t>
      </w:r>
      <w:r w:rsidR="003A1917">
        <w:t xml:space="preserve"> the </w:t>
      </w:r>
      <w:r w:rsidRPr="001A3D2B">
        <w:t>leading cause</w:t>
      </w:r>
      <w:r w:rsidR="00427468">
        <w:t xml:space="preserve"> of </w:t>
      </w:r>
      <w:r w:rsidRPr="001A3D2B">
        <w:t>death in sexually active adults. Increasingly, AIDS has become a disease</w:t>
      </w:r>
      <w:r w:rsidR="00427468">
        <w:t xml:space="preserve"> of </w:t>
      </w:r>
      <w:r w:rsidRPr="001A3D2B">
        <w:t>women</w:t>
      </w:r>
      <w:r w:rsidR="005853A9">
        <w:t xml:space="preserve"> and </w:t>
      </w:r>
      <w:r w:rsidRPr="001A3D2B">
        <w:t>children. Previous bibliometric studies have shown</w:t>
      </w:r>
      <w:r w:rsidR="003A1917">
        <w:t xml:space="preserve"> the </w:t>
      </w:r>
      <w:r w:rsidRPr="001A3D2B">
        <w:t>emergence</w:t>
      </w:r>
      <w:r w:rsidR="00427468">
        <w:t xml:space="preserve"> of </w:t>
      </w:r>
      <w:r w:rsidRPr="001A3D2B">
        <w:t>Haiti as a leading country in</w:t>
      </w:r>
      <w:r w:rsidR="003A1917">
        <w:t xml:space="preserve"> the </w:t>
      </w:r>
      <w:r w:rsidRPr="001A3D2B">
        <w:t>production</w:t>
      </w:r>
      <w:r w:rsidR="00427468">
        <w:t xml:space="preserve"> of </w:t>
      </w:r>
      <w:r w:rsidRPr="001A3D2B">
        <w:t>AIDS literature in</w:t>
      </w:r>
      <w:r w:rsidR="003A1917">
        <w:t xml:space="preserve"> the </w:t>
      </w:r>
      <w:r w:rsidRPr="001A3D2B">
        <w:t>Latin American and. Caribbean regions, No information exists, however, regarding</w:t>
      </w:r>
      <w:r w:rsidR="003A1917">
        <w:t xml:space="preserve"> the </w:t>
      </w:r>
      <w:r w:rsidRPr="001A3D2B">
        <w:t>type</w:t>
      </w:r>
      <w:r w:rsidR="00427468">
        <w:t xml:space="preserve"> of </w:t>
      </w:r>
      <w:r w:rsidRPr="001A3D2B">
        <w:t>publications produced,</w:t>
      </w:r>
      <w:r w:rsidR="003A1917">
        <w:t xml:space="preserve"> the </w:t>
      </w:r>
      <w:r w:rsidRPr="001A3D2B">
        <w:t>collaboration patterns used, or</w:t>
      </w:r>
      <w:r w:rsidR="003A1917">
        <w:t xml:space="preserve"> the </w:t>
      </w:r>
      <w:r w:rsidRPr="001A3D2B">
        <w:t>subject content analysis</w:t>
      </w:r>
      <w:r w:rsidR="00427468">
        <w:t xml:space="preserve"> of </w:t>
      </w:r>
      <w:r w:rsidRPr="001A3D2B">
        <w:t>this production</w:t>
      </w:r>
      <w:r w:rsidR="00A37C1D">
        <w:t>. The</w:t>
      </w:r>
      <w:r w:rsidR="003A1917">
        <w:t xml:space="preserve"> </w:t>
      </w:r>
      <w:r w:rsidRPr="001A3D2B">
        <w:t>purpose</w:t>
      </w:r>
      <w:r w:rsidR="00427468">
        <w:t xml:space="preserve"> of </w:t>
      </w:r>
      <w:r w:rsidRPr="001A3D2B">
        <w:t>this study was to gain insight into</w:t>
      </w:r>
      <w:r w:rsidR="003A1917">
        <w:t xml:space="preserve"> the </w:t>
      </w:r>
      <w:r w:rsidRPr="001A3D2B">
        <w:t>construction</w:t>
      </w:r>
      <w:r w:rsidR="00427468">
        <w:t xml:space="preserve"> of </w:t>
      </w:r>
      <w:r w:rsidRPr="001A3D2B">
        <w:t>this literature production. Methods: A bibliometric analysis regarding Haitian AIDS research was conducted in</w:t>
      </w:r>
      <w:r w:rsidR="003A1917">
        <w:t xml:space="preserve"> the </w:t>
      </w:r>
      <w:r w:rsidRPr="001A3D2B">
        <w:t>AIDSLINE database for</w:t>
      </w:r>
      <w:r w:rsidR="003A1917">
        <w:t xml:space="preserve"> the </w:t>
      </w:r>
      <w:r w:rsidRPr="001A3D2B">
        <w:t>period 1980 to 1998. An attempt was made to identify</w:t>
      </w:r>
      <w:r w:rsidR="003A1917">
        <w:t xml:space="preserve"> the </w:t>
      </w:r>
      <w:r w:rsidRPr="001A3D2B">
        <w:t>patterns</w:t>
      </w:r>
      <w:r w:rsidR="00427468">
        <w:t xml:space="preserve"> of </w:t>
      </w:r>
      <w:r w:rsidR="003A1917">
        <w:t xml:space="preserve">the </w:t>
      </w:r>
      <w:r w:rsidRPr="001A3D2B">
        <w:t>growth in AIDS Literature, as well as</w:t>
      </w:r>
      <w:r w:rsidR="003A1917">
        <w:t xml:space="preserve"> the </w:t>
      </w:r>
      <w:r w:rsidRPr="001A3D2B">
        <w:t>types</w:t>
      </w:r>
      <w:r w:rsidR="00427468">
        <w:t xml:space="preserve"> of </w:t>
      </w:r>
      <w:r w:rsidRPr="001A3D2B">
        <w:t>documents published, authorship, institutional affiliations</w:t>
      </w:r>
      <w:r w:rsidR="00427468">
        <w:t xml:space="preserve"> of </w:t>
      </w:r>
      <w:r w:rsidRPr="001A3D2B">
        <w:t>authors,</w:t>
      </w:r>
      <w:r w:rsidR="005853A9">
        <w:t xml:space="preserve"> and </w:t>
      </w:r>
      <w:r w:rsidRPr="001A3D2B">
        <w:t>subject content. Results: Results indicated that most documents were published in periodicals</w:t>
      </w:r>
      <w:r w:rsidR="00A37C1D">
        <w:t>. The</w:t>
      </w:r>
      <w:r w:rsidR="003A1917">
        <w:t xml:space="preserve"> </w:t>
      </w:r>
      <w:r w:rsidRPr="001A3D2B">
        <w:t>International Conference on AIDS obtained</w:t>
      </w:r>
      <w:r w:rsidR="003A1917">
        <w:t xml:space="preserve"> the </w:t>
      </w:r>
      <w:r w:rsidRPr="001A3D2B">
        <w:t>highest frequency</w:t>
      </w:r>
      <w:r w:rsidR="00A37C1D">
        <w:t xml:space="preserve">. </w:t>
      </w:r>
      <w:r w:rsidR="00A37C1D">
        <w:lastRenderedPageBreak/>
        <w:t>The</w:t>
      </w:r>
      <w:r w:rsidR="003A1917">
        <w:t xml:space="preserve"> </w:t>
      </w:r>
      <w:r w:rsidRPr="001A3D2B">
        <w:t>United States, Haiti,</w:t>
      </w:r>
      <w:r w:rsidR="005853A9">
        <w:t xml:space="preserve"> and </w:t>
      </w:r>
      <w:r w:rsidRPr="001A3D2B">
        <w:t>Canada were</w:t>
      </w:r>
      <w:r w:rsidR="003A1917">
        <w:t xml:space="preserve"> the </w:t>
      </w:r>
      <w:r w:rsidRPr="001A3D2B">
        <w:t>main productive countries. Conclusions: While nearly 40%</w:t>
      </w:r>
      <w:r w:rsidR="00427468">
        <w:t xml:space="preserve"> of </w:t>
      </w:r>
      <w:r w:rsidR="003A1917">
        <w:t xml:space="preserve">the </w:t>
      </w:r>
      <w:r w:rsidRPr="001A3D2B">
        <w:t>records corresponded to ethnology-related articles, HIV infections, sex behavior, pregnancy,</w:t>
      </w:r>
      <w:r w:rsidR="005853A9">
        <w:t xml:space="preserve"> and </w:t>
      </w:r>
      <w:r w:rsidRPr="001A3D2B">
        <w:t>substance-related disorders headed</w:t>
      </w:r>
      <w:r w:rsidR="003A1917">
        <w:t xml:space="preserve"> the </w:t>
      </w:r>
      <w:r w:rsidRPr="001A3D2B">
        <w:t>Medical Subject Headings (MeSH) found. Main aspects</w:t>
      </w:r>
      <w:r w:rsidR="00427468">
        <w:t xml:space="preserve"> of </w:t>
      </w:r>
      <w:r w:rsidRPr="001A3D2B">
        <w:t>AIDS papers focused on epidemiology, complications,</w:t>
      </w:r>
      <w:r w:rsidR="005853A9">
        <w:t xml:space="preserve"> and </w:t>
      </w:r>
      <w:r w:rsidRPr="001A3D2B">
        <w:t>trends issues.</w:t>
      </w:r>
    </w:p>
    <w:p w:rsidR="003474F2" w:rsidRPr="001A3D2B" w:rsidRDefault="003474F2" w:rsidP="003474F2">
      <w:pPr>
        <w:pStyle w:val="a3"/>
      </w:pPr>
      <w:r w:rsidRPr="001A3D2B">
        <w:t>Keywords: AID, AIDS, Analysis, Authorship, Behavior, Bibliometric, Bibliometric Analysis, Bibliometric Studies, Canada, Cause</w:t>
      </w:r>
      <w:r w:rsidR="00427468">
        <w:t xml:space="preserve"> of </w:t>
      </w:r>
      <w:r w:rsidRPr="001A3D2B">
        <w:t>Death, Children, Collaboration, Complications, Construction, Content Analysis, Country, Database, Death, Epidemiology, Growth, HIV, HIV Infections, Infections, Information, Literature, Papers, Periodicals, Pregnancy, Publications, Purpose, Records, Research, Sex, Substance-Related Disorders, Trends, United States, Women</w:t>
      </w:r>
    </w:p>
    <w:p w:rsidR="003474F2" w:rsidRPr="001A3D2B" w:rsidRDefault="003474F2" w:rsidP="003474F2">
      <w:pPr>
        <w:pStyle w:val="a3"/>
      </w:pPr>
      <w:r w:rsidRPr="001A3D2B">
        <w:t>Notes: TTopic</w:t>
      </w:r>
    </w:p>
    <w:p w:rsidR="003474F2" w:rsidRPr="001A3D2B" w:rsidRDefault="003474F2" w:rsidP="003474F2">
      <w:pPr>
        <w:pStyle w:val="a3"/>
      </w:pPr>
      <w:r w:rsidRPr="001A3D2B">
        <w:t>Stevens, S.R. (2000), Mapping</w:t>
      </w:r>
      <w:r w:rsidR="003A1917">
        <w:t xml:space="preserve"> the </w:t>
      </w:r>
      <w:r w:rsidRPr="001A3D2B">
        <w:t>literature</w:t>
      </w:r>
      <w:r w:rsidR="00427468">
        <w:t xml:space="preserve"> of </w:t>
      </w:r>
      <w:r w:rsidRPr="001A3D2B">
        <w:t xml:space="preserve">cytotechnology. </w:t>
      </w:r>
      <w:r w:rsidRPr="001A3D2B">
        <w:rPr>
          <w:i/>
          <w:iCs/>
        </w:rPr>
        <w:t>Bulletin</w:t>
      </w:r>
      <w:r w:rsidR="00427468">
        <w:rPr>
          <w:i/>
          <w:iCs/>
        </w:rPr>
        <w:t xml:space="preserve"> of </w:t>
      </w:r>
      <w:r w:rsidR="003A1917">
        <w:rPr>
          <w:i/>
          <w:iCs/>
        </w:rPr>
        <w:t xml:space="preserve">the </w:t>
      </w:r>
      <w:r w:rsidRPr="001A3D2B">
        <w:rPr>
          <w:i/>
          <w:iCs/>
        </w:rPr>
        <w:t>Medical Library Association</w:t>
      </w:r>
      <w:r w:rsidRPr="001A3D2B">
        <w:t xml:space="preserve">, </w:t>
      </w:r>
      <w:r w:rsidRPr="001A3D2B">
        <w:rPr>
          <w:b/>
          <w:bCs/>
        </w:rPr>
        <w:t>88</w:t>
      </w:r>
      <w:r w:rsidRPr="001A3D2B">
        <w:t xml:space="preserve"> (2), 172-177.</w:t>
      </w:r>
    </w:p>
    <w:p w:rsidR="003474F2" w:rsidRPr="001A3D2B" w:rsidRDefault="003474F2" w:rsidP="003474F2">
      <w:pPr>
        <w:pStyle w:val="a3"/>
      </w:pPr>
      <w:r w:rsidRPr="001A3D2B">
        <w:t xml:space="preserve">Full Text: </w:t>
      </w:r>
      <w:hyperlink r:id="rId2140" w:history="1">
        <w:r w:rsidR="001D3751" w:rsidRPr="001D3751">
          <w:rPr>
            <w:rStyle w:val="a5"/>
          </w:rPr>
          <w:t>2000\Bul Med Lib Ass88, 172.pdf</w:t>
        </w:r>
      </w:hyperlink>
    </w:p>
    <w:p w:rsidR="003474F2" w:rsidRPr="001A3D2B" w:rsidRDefault="003474F2" w:rsidP="003474F2">
      <w:pPr>
        <w:pStyle w:val="a3"/>
      </w:pPr>
      <w:r w:rsidRPr="001A3D2B">
        <w:t>Abstract:</w:t>
      </w:r>
      <w:r w:rsidR="003A1917">
        <w:t xml:space="preserve"> the </w:t>
      </w:r>
      <w:r w:rsidRPr="001A3D2B">
        <w:t>major purpose</w:t>
      </w:r>
      <w:r w:rsidR="00427468">
        <w:t xml:space="preserve"> of </w:t>
      </w:r>
      <w:r w:rsidRPr="001A3D2B">
        <w:t>this study was to identify</w:t>
      </w:r>
      <w:r w:rsidR="005853A9">
        <w:t xml:space="preserve"> and </w:t>
      </w:r>
      <w:r w:rsidRPr="001A3D2B">
        <w:t>assess indexing coverage</w:t>
      </w:r>
      <w:r w:rsidR="00427468">
        <w:t xml:space="preserve"> of </w:t>
      </w:r>
      <w:r w:rsidRPr="001A3D2B">
        <w:t>core journals in cytotechnology. It was part</w:t>
      </w:r>
      <w:r w:rsidR="00427468">
        <w:t xml:space="preserve"> of </w:t>
      </w:r>
      <w:r w:rsidRPr="001A3D2B">
        <w:t>a larger project Sponsored by</w:t>
      </w:r>
      <w:r w:rsidR="003A1917">
        <w:t xml:space="preserve"> the </w:t>
      </w:r>
      <w:r w:rsidRPr="001A3D2B">
        <w:t>Nursing</w:t>
      </w:r>
      <w:r w:rsidR="005853A9">
        <w:t xml:space="preserve"> and </w:t>
      </w:r>
      <w:r w:rsidRPr="001A3D2B">
        <w:t>Allied Health Resources Section</w:t>
      </w:r>
      <w:r w:rsidR="00427468">
        <w:t xml:space="preserve"> of </w:t>
      </w:r>
      <w:r w:rsidR="003A1917">
        <w:t xml:space="preserve">the </w:t>
      </w:r>
      <w:r w:rsidRPr="001A3D2B">
        <w:t>Medical Library Association to map</w:t>
      </w:r>
      <w:r w:rsidR="003A1917">
        <w:t xml:space="preserve"> the </w:t>
      </w:r>
      <w:r w:rsidRPr="001A3D2B">
        <w:t>literature</w:t>
      </w:r>
      <w:r w:rsidR="00427468">
        <w:t xml:space="preserve"> of </w:t>
      </w:r>
      <w:r w:rsidRPr="001A3D2B">
        <w:t>allied health. Three representative journals in cytotechnology were selected</w:t>
      </w:r>
      <w:r w:rsidR="005853A9">
        <w:t xml:space="preserve"> and </w:t>
      </w:r>
      <w:r w:rsidRPr="001A3D2B">
        <w:t>subjected to citation analysis to determine what journals, other publication types,</w:t>
      </w:r>
      <w:r w:rsidR="005853A9">
        <w:t xml:space="preserve"> and </w:t>
      </w:r>
      <w:r w:rsidRPr="001A3D2B">
        <w:t>years were cited</w:t>
      </w:r>
      <w:r w:rsidR="005853A9">
        <w:t xml:space="preserve"> and </w:t>
      </w:r>
      <w:r w:rsidRPr="001A3D2B">
        <w:t>how often. Bradford</w:t>
      </w:r>
      <w:r w:rsidR="00700038">
        <w:t>’</w:t>
      </w:r>
      <w:r w:rsidR="00C13DDC">
        <w:t>s</w:t>
      </w:r>
      <w:r w:rsidRPr="001A3D2B">
        <w:t xml:space="preserve"> Law</w:t>
      </w:r>
      <w:r w:rsidR="00427468">
        <w:t xml:space="preserve"> of </w:t>
      </w:r>
      <w:r w:rsidRPr="001A3D2B">
        <w:t>Scattering was applied to</w:t>
      </w:r>
      <w:r w:rsidR="003A1917">
        <w:t xml:space="preserve"> the </w:t>
      </w:r>
      <w:r w:rsidRPr="001A3D2B">
        <w:t>resulting list</w:t>
      </w:r>
      <w:r w:rsidR="00427468">
        <w:t xml:space="preserve"> of </w:t>
      </w:r>
      <w:r w:rsidRPr="001A3D2B">
        <w:t>cited journals to identify core titles in</w:t>
      </w:r>
      <w:r w:rsidR="003A1917">
        <w:t xml:space="preserve"> the </w:t>
      </w:r>
      <w:r w:rsidRPr="001A3D2B">
        <w:t>discipline,</w:t>
      </w:r>
      <w:r w:rsidR="005853A9">
        <w:t xml:space="preserve"> and </w:t>
      </w:r>
      <w:r w:rsidRPr="001A3D2B">
        <w:t>five indexes were searched to assess coverage</w:t>
      </w:r>
      <w:r w:rsidR="00427468">
        <w:t xml:space="preserve"> of </w:t>
      </w:r>
      <w:r w:rsidRPr="001A3D2B">
        <w:t>these core titles. Results indicated that</w:t>
      </w:r>
      <w:r w:rsidR="003A1917">
        <w:t xml:space="preserve"> the </w:t>
      </w:r>
      <w:r w:rsidRPr="001A3D2B">
        <w:t>cytotechnology journal literature had a small core but wide dispersion one third</w:t>
      </w:r>
      <w:r w:rsidR="00427468">
        <w:t xml:space="preserve"> of </w:t>
      </w:r>
      <w:r w:rsidR="003A1917">
        <w:t xml:space="preserve">the </w:t>
      </w:r>
      <w:r w:rsidRPr="001A3D2B">
        <w:t>21,021 journal citations appeared in only 3 titles; another third appeared in an additional 26 titles;</w:t>
      </w:r>
      <w:r w:rsidR="003A1917">
        <w:t xml:space="preserve"> the </w:t>
      </w:r>
      <w:r w:rsidRPr="001A3D2B">
        <w:t>remaining third M ere scattered in 1,069 different titles. Science Citation Index Expanded rated highest in indexing coverage</w:t>
      </w:r>
      <w:r w:rsidR="00427468">
        <w:t xml:space="preserve"> of </w:t>
      </w:r>
      <w:r w:rsidR="003A1917">
        <w:t xml:space="preserve">the </w:t>
      </w:r>
      <w:r w:rsidRPr="001A3D2B">
        <w:t xml:space="preserve">core titles, followed by </w:t>
      </w:r>
      <w:r w:rsidR="00D5664A">
        <w:t>MEDLINE</w:t>
      </w:r>
      <w:r w:rsidRPr="001A3D2B">
        <w:t>, EMBASE/Excerpta Medica, HealthSTAR,</w:t>
      </w:r>
      <w:r w:rsidR="005853A9">
        <w:t xml:space="preserve"> and </w:t>
      </w:r>
      <w:r w:rsidRPr="001A3D2B">
        <w:t>Cumulative Index to Nursing</w:t>
      </w:r>
      <w:r w:rsidR="005853A9">
        <w:t xml:space="preserve"> and </w:t>
      </w:r>
      <w:r w:rsidRPr="001A3D2B">
        <w:t>Allied Health Literature (CINAHL)</w:t>
      </w:r>
      <w:r w:rsidR="00A37C1D">
        <w:t>. The</w:t>
      </w:r>
      <w:r w:rsidR="003A1917">
        <w:t xml:space="preserve"> </w:t>
      </w:r>
      <w:r w:rsidRPr="001A3D2B">
        <w:t>study</w:t>
      </w:r>
      <w:r w:rsidR="00700038">
        <w:t>’</w:t>
      </w:r>
      <w:r w:rsidR="00C13DDC">
        <w:t>s</w:t>
      </w:r>
      <w:r w:rsidRPr="001A3D2B">
        <w:t xml:space="preserve"> results also showed that journals were</w:t>
      </w:r>
      <w:r w:rsidR="003A1917">
        <w:t xml:space="preserve"> the </w:t>
      </w:r>
      <w:r w:rsidRPr="001A3D2B">
        <w:t>predominantly cited format</w:t>
      </w:r>
      <w:r w:rsidR="005853A9">
        <w:t xml:space="preserve"> and </w:t>
      </w:r>
      <w:r w:rsidRPr="001A3D2B">
        <w:t>that citing authors relied strongly on more recent literature.</w:t>
      </w:r>
    </w:p>
    <w:p w:rsidR="003474F2" w:rsidRPr="001A3D2B" w:rsidRDefault="003474F2" w:rsidP="003474F2">
      <w:pPr>
        <w:pStyle w:val="a3"/>
      </w:pPr>
      <w:r w:rsidRPr="001A3D2B">
        <w:t xml:space="preserve">Evans, D. (2002), </w:t>
      </w:r>
      <w:r w:rsidRPr="001A3D2B">
        <w:rPr>
          <w:szCs w:val="32"/>
        </w:rPr>
        <w:t>Database searches for qualitative research</w:t>
      </w:r>
      <w:r w:rsidRPr="001A3D2B">
        <w:t xml:space="preserve">. </w:t>
      </w:r>
      <w:r w:rsidRPr="001A3D2B">
        <w:rPr>
          <w:i/>
        </w:rPr>
        <w:t>Bulletin</w:t>
      </w:r>
      <w:r w:rsidR="00427468">
        <w:rPr>
          <w:i/>
        </w:rPr>
        <w:t xml:space="preserve"> of </w:t>
      </w:r>
      <w:r w:rsidR="003A1917">
        <w:rPr>
          <w:i/>
        </w:rPr>
        <w:t xml:space="preserve">the </w:t>
      </w:r>
      <w:r w:rsidRPr="001A3D2B">
        <w:rPr>
          <w:i/>
        </w:rPr>
        <w:t>Medical Library Association</w:t>
      </w:r>
      <w:r w:rsidRPr="001A3D2B">
        <w:t xml:space="preserve">, </w:t>
      </w:r>
      <w:r w:rsidR="001D3751">
        <w:rPr>
          <w:rFonts w:hint="eastAsia"/>
          <w:b/>
        </w:rPr>
        <w:t>90</w:t>
      </w:r>
      <w:r w:rsidRPr="001A3D2B">
        <w:t xml:space="preserve"> (</w:t>
      </w:r>
      <w:r w:rsidR="001D3751">
        <w:rPr>
          <w:rFonts w:hint="eastAsia"/>
        </w:rPr>
        <w:t>3</w:t>
      </w:r>
      <w:r w:rsidRPr="001A3D2B">
        <w:t xml:space="preserve">), </w:t>
      </w:r>
      <w:r w:rsidR="001D3751">
        <w:rPr>
          <w:rFonts w:hint="eastAsia"/>
        </w:rPr>
        <w:t>290</w:t>
      </w:r>
      <w:r w:rsidRPr="001A3D2B">
        <w:t>-</w:t>
      </w:r>
      <w:r w:rsidR="001D3751">
        <w:rPr>
          <w:rFonts w:hint="eastAsia"/>
        </w:rPr>
        <w:t>293</w:t>
      </w:r>
      <w:r w:rsidRPr="001A3D2B">
        <w:t>.</w:t>
      </w:r>
    </w:p>
    <w:p w:rsidR="001D3751" w:rsidRPr="00FC7835" w:rsidRDefault="001D3751" w:rsidP="001D3751">
      <w:pPr>
        <w:pStyle w:val="a3"/>
      </w:pPr>
      <w:r w:rsidRPr="00FC7835">
        <w:t xml:space="preserve">Full Text: </w:t>
      </w:r>
      <w:hyperlink r:id="rId2141" w:history="1">
        <w:r w:rsidR="006F59BE" w:rsidRPr="006F59BE">
          <w:rPr>
            <w:rStyle w:val="a5"/>
          </w:rPr>
          <w:t>2002\Bul Med Lib Ass90, 290.pdf</w:t>
        </w:r>
      </w:hyperlink>
    </w:p>
    <w:p w:rsidR="003474F2" w:rsidRPr="001A3D2B" w:rsidRDefault="003474F2" w:rsidP="003474F2">
      <w:pPr>
        <w:pStyle w:val="a3"/>
      </w:pPr>
      <w:r w:rsidRPr="001A3D2B">
        <w:t>Abstract: Interest in</w:t>
      </w:r>
      <w:r w:rsidR="003A1917">
        <w:t xml:space="preserve"> the </w:t>
      </w:r>
      <w:r w:rsidRPr="001A3D2B">
        <w:t>role</w:t>
      </w:r>
      <w:r w:rsidR="00427468">
        <w:t xml:space="preserve"> of </w:t>
      </w:r>
      <w:r w:rsidRPr="001A3D2B">
        <w:t>qualitative research in evidence-based health care is growing. However,</w:t>
      </w:r>
      <w:r w:rsidR="003A1917">
        <w:t xml:space="preserve"> the </w:t>
      </w:r>
      <w:r w:rsidRPr="001A3D2B">
        <w:t>methods currently used to identify quantitative research do not translate easily to qualitative research. This paper highlights some</w:t>
      </w:r>
      <w:r w:rsidR="00427468">
        <w:t xml:space="preserve"> of </w:t>
      </w:r>
      <w:r w:rsidR="003A1917">
        <w:t xml:space="preserve">the </w:t>
      </w:r>
      <w:r w:rsidRPr="001A3D2B">
        <w:t>difficulties during searches</w:t>
      </w:r>
      <w:r w:rsidR="00427468">
        <w:t xml:space="preserve"> of </w:t>
      </w:r>
      <w:r w:rsidRPr="001A3D2B">
        <w:t>electronic databases for qualitative research</w:t>
      </w:r>
      <w:r w:rsidR="00A37C1D">
        <w:t>. The</w:t>
      </w:r>
      <w:r w:rsidRPr="001A3D2B">
        <w:t>se difficulties relate to</w:t>
      </w:r>
      <w:r w:rsidR="003A1917">
        <w:t xml:space="preserve"> the </w:t>
      </w:r>
      <w:r w:rsidRPr="001A3D2B">
        <w:t>descriptive nature</w:t>
      </w:r>
      <w:r w:rsidR="00427468">
        <w:t xml:space="preserve"> of </w:t>
      </w:r>
      <w:r w:rsidR="003A1917">
        <w:t xml:space="preserve">the </w:t>
      </w:r>
      <w:r w:rsidRPr="001A3D2B">
        <w:t xml:space="preserve">titles used in some qualitative </w:t>
      </w:r>
      <w:r w:rsidRPr="001A3D2B">
        <w:lastRenderedPageBreak/>
        <w:t>studies,</w:t>
      </w:r>
      <w:r w:rsidR="003A1917">
        <w:t xml:space="preserve"> the </w:t>
      </w:r>
      <w:r w:rsidRPr="001A3D2B">
        <w:t>variable information provided in abstracts,</w:t>
      </w:r>
      <w:r w:rsidR="005853A9">
        <w:t xml:space="preserve"> and </w:t>
      </w:r>
      <w:r w:rsidR="003A1917">
        <w:t xml:space="preserve">the </w:t>
      </w:r>
      <w:r w:rsidRPr="001A3D2B">
        <w:t>differences in</w:t>
      </w:r>
      <w:r w:rsidR="003A1917">
        <w:t xml:space="preserve"> the </w:t>
      </w:r>
      <w:r w:rsidRPr="001A3D2B">
        <w:t>indexing</w:t>
      </w:r>
      <w:r w:rsidR="00427468">
        <w:t xml:space="preserve"> of </w:t>
      </w:r>
      <w:r w:rsidRPr="001A3D2B">
        <w:t>these studies across databases.</w:t>
      </w:r>
    </w:p>
    <w:p w:rsidR="00500AD3" w:rsidRPr="001A3D2B" w:rsidRDefault="00500AD3" w:rsidP="00500AD3">
      <w:pPr>
        <w:pStyle w:val="1"/>
      </w:pPr>
      <w:r w:rsidRPr="001A3D2B">
        <w:br w:type="page"/>
      </w:r>
      <w:bookmarkStart w:id="981" w:name="_Toc420814855"/>
      <w:r w:rsidRPr="001A3D2B">
        <w:lastRenderedPageBreak/>
        <w:t>Title: Bulletin</w:t>
      </w:r>
      <w:r w:rsidR="00427468">
        <w:t xml:space="preserve"> of </w:t>
      </w:r>
      <w:r w:rsidRPr="001A3D2B">
        <w:t>National Natural Science Foundation</w:t>
      </w:r>
      <w:r w:rsidR="00427468">
        <w:t xml:space="preserve"> of </w:t>
      </w:r>
      <w:r w:rsidRPr="001A3D2B">
        <w:t>China</w:t>
      </w:r>
      <w:bookmarkEnd w:id="981"/>
    </w:p>
    <w:p w:rsidR="00500AD3" w:rsidRPr="001A3D2B" w:rsidRDefault="00500AD3" w:rsidP="00500AD3">
      <w:pPr>
        <w:pStyle w:val="12"/>
      </w:pPr>
      <w:r w:rsidRPr="001A3D2B">
        <w:t>Full Journal Title: Bulletin</w:t>
      </w:r>
      <w:r w:rsidR="00427468">
        <w:t xml:space="preserve"> of </w:t>
      </w:r>
      <w:r w:rsidRPr="001A3D2B">
        <w:t>National Natural Science Foundation</w:t>
      </w:r>
      <w:r w:rsidR="00427468">
        <w:t xml:space="preserve"> of </w:t>
      </w:r>
      <w:r w:rsidRPr="001A3D2B">
        <w:t>China</w:t>
      </w:r>
    </w:p>
    <w:p w:rsidR="00500AD3" w:rsidRPr="001A3D2B" w:rsidRDefault="00500AD3" w:rsidP="00500AD3">
      <w:pPr>
        <w:pStyle w:val="12"/>
      </w:pPr>
      <w:r w:rsidRPr="001A3D2B">
        <w:t xml:space="preserve">ISO Abbreviated Title: </w:t>
      </w:r>
    </w:p>
    <w:p w:rsidR="00500AD3" w:rsidRPr="001A3D2B" w:rsidRDefault="00500AD3" w:rsidP="00500AD3">
      <w:pPr>
        <w:pStyle w:val="12"/>
      </w:pPr>
      <w:r w:rsidRPr="001A3D2B">
        <w:t xml:space="preserve">JCR Abbreviated Title: </w:t>
      </w:r>
    </w:p>
    <w:p w:rsidR="00500AD3" w:rsidRPr="001A3D2B" w:rsidRDefault="00500AD3" w:rsidP="00500AD3">
      <w:pPr>
        <w:pStyle w:val="12"/>
      </w:pPr>
      <w:r w:rsidRPr="001A3D2B">
        <w:t xml:space="preserve">ISSN: </w:t>
      </w:r>
    </w:p>
    <w:p w:rsidR="00500AD3" w:rsidRPr="001A3D2B" w:rsidRDefault="00500AD3" w:rsidP="00500AD3">
      <w:pPr>
        <w:pStyle w:val="12"/>
      </w:pPr>
      <w:r w:rsidRPr="001A3D2B">
        <w:t xml:space="preserve">Issues/Year: </w:t>
      </w:r>
    </w:p>
    <w:p w:rsidR="00500AD3" w:rsidRPr="001A3D2B" w:rsidRDefault="00500AD3" w:rsidP="00500AD3">
      <w:pPr>
        <w:pStyle w:val="12"/>
      </w:pPr>
      <w:r w:rsidRPr="001A3D2B">
        <w:t xml:space="preserve">Journal Country/Territory: </w:t>
      </w:r>
    </w:p>
    <w:p w:rsidR="00500AD3" w:rsidRPr="001A3D2B" w:rsidRDefault="00500AD3" w:rsidP="00500AD3">
      <w:pPr>
        <w:pStyle w:val="12"/>
      </w:pPr>
      <w:r w:rsidRPr="001A3D2B">
        <w:t xml:space="preserve">Language: </w:t>
      </w:r>
    </w:p>
    <w:p w:rsidR="00500AD3" w:rsidRPr="001A3D2B" w:rsidRDefault="00500AD3" w:rsidP="00500AD3">
      <w:pPr>
        <w:pStyle w:val="12"/>
      </w:pPr>
      <w:r w:rsidRPr="001A3D2B">
        <w:t xml:space="preserve">Publisher: </w:t>
      </w:r>
    </w:p>
    <w:p w:rsidR="00500AD3" w:rsidRPr="001A3D2B" w:rsidRDefault="00500AD3" w:rsidP="00500AD3">
      <w:pPr>
        <w:pStyle w:val="12"/>
      </w:pPr>
      <w:r w:rsidRPr="001A3D2B">
        <w:t xml:space="preserve">Publisher Address: </w:t>
      </w:r>
    </w:p>
    <w:p w:rsidR="00500AD3" w:rsidRPr="001A3D2B" w:rsidRDefault="00500AD3" w:rsidP="00500AD3">
      <w:pPr>
        <w:pStyle w:val="12"/>
      </w:pPr>
      <w:r w:rsidRPr="001A3D2B">
        <w:t>Subject Categories:</w:t>
      </w:r>
    </w:p>
    <w:p w:rsidR="00500AD3" w:rsidRPr="001A3D2B" w:rsidRDefault="00500AD3" w:rsidP="00500AD3">
      <w:pPr>
        <w:pStyle w:val="12"/>
      </w:pPr>
      <w:r w:rsidRPr="001A3D2B">
        <w:t xml:space="preserve">: Impact Factor </w:t>
      </w:r>
    </w:p>
    <w:p w:rsidR="00500AD3" w:rsidRPr="001A3D2B" w:rsidRDefault="00500AD3" w:rsidP="00500AD3">
      <w:pPr>
        <w:pStyle w:val="a3"/>
        <w:rPr>
          <w:kern w:val="0"/>
        </w:rPr>
      </w:pPr>
      <w:r w:rsidRPr="001A3D2B">
        <w:rPr>
          <w:kern w:val="0"/>
        </w:rPr>
        <w:t>? Lin, F.P. (2002), With</w:t>
      </w:r>
      <w:r w:rsidR="003A1917">
        <w:rPr>
          <w:kern w:val="0"/>
        </w:rPr>
        <w:t xml:space="preserve"> the </w:t>
      </w:r>
      <w:r w:rsidRPr="001A3D2B">
        <w:rPr>
          <w:kern w:val="0"/>
        </w:rPr>
        <w:t>natural science foundation as guidance developing</w:t>
      </w:r>
      <w:r w:rsidR="003A1917">
        <w:rPr>
          <w:kern w:val="0"/>
        </w:rPr>
        <w:t xml:space="preserve"> the </w:t>
      </w:r>
      <w:r w:rsidRPr="001A3D2B">
        <w:rPr>
          <w:kern w:val="0"/>
        </w:rPr>
        <w:t>persistent creativity</w:t>
      </w:r>
      <w:r w:rsidR="00427468">
        <w:rPr>
          <w:kern w:val="0"/>
        </w:rPr>
        <w:t xml:space="preserve"> of </w:t>
      </w:r>
      <w:r w:rsidRPr="001A3D2B">
        <w:rPr>
          <w:kern w:val="0"/>
        </w:rPr>
        <w:t xml:space="preserve">a research oriented university. </w:t>
      </w:r>
      <w:r w:rsidRPr="001A3D2B">
        <w:rPr>
          <w:i/>
          <w:iCs/>
          <w:kern w:val="0"/>
        </w:rPr>
        <w:t>Bulletin</w:t>
      </w:r>
      <w:r w:rsidR="00427468">
        <w:rPr>
          <w:i/>
          <w:iCs/>
          <w:kern w:val="0"/>
        </w:rPr>
        <w:t xml:space="preserve"> of </w:t>
      </w:r>
      <w:r w:rsidRPr="001A3D2B">
        <w:rPr>
          <w:i/>
          <w:iCs/>
          <w:kern w:val="0"/>
        </w:rPr>
        <w:t>National Natural Science Foundation</w:t>
      </w:r>
      <w:r w:rsidR="00427468">
        <w:rPr>
          <w:i/>
          <w:iCs/>
          <w:kern w:val="0"/>
        </w:rPr>
        <w:t xml:space="preserve"> of </w:t>
      </w:r>
      <w:r w:rsidRPr="001A3D2B">
        <w:rPr>
          <w:i/>
          <w:iCs/>
          <w:kern w:val="0"/>
        </w:rPr>
        <w:t>China</w:t>
      </w:r>
      <w:r w:rsidRPr="001A3D2B">
        <w:rPr>
          <w:kern w:val="0"/>
        </w:rPr>
        <w:t xml:space="preserve">, </w:t>
      </w:r>
      <w:r w:rsidRPr="001A3D2B">
        <w:rPr>
          <w:b/>
          <w:bCs/>
          <w:kern w:val="0"/>
        </w:rPr>
        <w:t>16</w:t>
      </w:r>
      <w:r w:rsidRPr="001A3D2B">
        <w:rPr>
          <w:kern w:val="0"/>
        </w:rPr>
        <w:t xml:space="preserve"> (2), 115-119.</w:t>
      </w:r>
    </w:p>
    <w:p w:rsidR="00500AD3" w:rsidRPr="001A3D2B" w:rsidRDefault="00500AD3" w:rsidP="00500AD3">
      <w:pPr>
        <w:pStyle w:val="a3"/>
        <w:rPr>
          <w:kern w:val="0"/>
        </w:rPr>
      </w:pPr>
      <w:r w:rsidRPr="001A3D2B">
        <w:rPr>
          <w:kern w:val="0"/>
        </w:rPr>
        <w:t xml:space="preserve">Full Text: </w:t>
      </w:r>
      <w:hyperlink r:id="rId2142" w:history="1">
        <w:r w:rsidRPr="001A3D2B">
          <w:rPr>
            <w:rStyle w:val="a5"/>
            <w:kern w:val="0"/>
          </w:rPr>
          <w:t>2002\Bul Nat Nat Sci Fou Chi16, 115.pdf</w:t>
        </w:r>
      </w:hyperlink>
    </w:p>
    <w:p w:rsidR="00500AD3" w:rsidRPr="001A3D2B" w:rsidRDefault="00500AD3" w:rsidP="00500AD3">
      <w:pPr>
        <w:pStyle w:val="a3"/>
        <w:rPr>
          <w:kern w:val="0"/>
        </w:rPr>
      </w:pPr>
      <w:r w:rsidRPr="001A3D2B">
        <w:rPr>
          <w:kern w:val="0"/>
        </w:rPr>
        <w:t>Abstract:</w:t>
      </w:r>
      <w:r w:rsidRPr="001A3D2B">
        <w:rPr>
          <w:kern w:val="0"/>
        </w:rPr>
        <w:t>中国科学技术大学是国家</w:t>
      </w:r>
      <w:r w:rsidR="00B5188C">
        <w:rPr>
          <w:kern w:val="0"/>
        </w:rPr>
        <w:t>”</w:t>
      </w:r>
      <w:r w:rsidRPr="001A3D2B">
        <w:rPr>
          <w:kern w:val="0"/>
        </w:rPr>
        <w:t>七五</w:t>
      </w:r>
      <w:r w:rsidR="00B5188C">
        <w:rPr>
          <w:kern w:val="0"/>
        </w:rPr>
        <w:t>”</w:t>
      </w:r>
      <w:r w:rsidRPr="001A3D2B">
        <w:rPr>
          <w:kern w:val="0"/>
        </w:rPr>
        <w:t>、</w:t>
      </w:r>
      <w:r w:rsidR="00B5188C">
        <w:rPr>
          <w:kern w:val="0"/>
        </w:rPr>
        <w:t>”</w:t>
      </w:r>
      <w:r w:rsidRPr="001A3D2B">
        <w:rPr>
          <w:kern w:val="0"/>
        </w:rPr>
        <w:t>八五</w:t>
      </w:r>
      <w:r w:rsidR="00B5188C">
        <w:rPr>
          <w:kern w:val="0"/>
        </w:rPr>
        <w:t>”</w:t>
      </w:r>
      <w:r w:rsidRPr="001A3D2B">
        <w:rPr>
          <w:kern w:val="0"/>
        </w:rPr>
        <w:t>期间重点建设并进入</w:t>
      </w:r>
      <w:r w:rsidR="00B5188C">
        <w:rPr>
          <w:kern w:val="0"/>
        </w:rPr>
        <w:t>”</w:t>
      </w:r>
      <w:r w:rsidRPr="001A3D2B">
        <w:rPr>
          <w:kern w:val="0"/>
        </w:rPr>
        <w:t>211</w:t>
      </w:r>
      <w:r w:rsidRPr="001A3D2B">
        <w:rPr>
          <w:kern w:val="0"/>
        </w:rPr>
        <w:t>工程</w:t>
      </w:r>
      <w:r w:rsidR="00B5188C">
        <w:rPr>
          <w:kern w:val="0"/>
        </w:rPr>
        <w:t>”</w:t>
      </w:r>
      <w:r w:rsidRPr="001A3D2B">
        <w:rPr>
          <w:kern w:val="0"/>
        </w:rPr>
        <w:t>、</w:t>
      </w:r>
      <w:r w:rsidR="00B5188C">
        <w:rPr>
          <w:kern w:val="0"/>
        </w:rPr>
        <w:t>”</w:t>
      </w:r>
      <w:r w:rsidRPr="001A3D2B">
        <w:rPr>
          <w:kern w:val="0"/>
        </w:rPr>
        <w:t>世界知名高水平大学</w:t>
      </w:r>
      <w:r w:rsidR="00B5188C">
        <w:rPr>
          <w:kern w:val="0"/>
        </w:rPr>
        <w:t>”</w:t>
      </w:r>
      <w:r w:rsidRPr="001A3D2B">
        <w:rPr>
          <w:kern w:val="0"/>
        </w:rPr>
        <w:t>建设的重点大学之一，现已发展成国家重要的高质量人才培养和高水平科学研究基地，中国科学院学科综合的大型科研基地。在建设教学与科研紧密结合的研究型大学的进程中，学校始终重视和充分发挥国家自然科学基金的导向与激励作用，通过国家自然科学基金持续有效的支持，为学校积累了丰厚的学术基础，孕育了应用研究和高新技术发展的创新源头，促进了创造性人才培养，从而为建设世界知名高水平研究型大学提供了持续的科技创新能力。</w:t>
      </w:r>
    </w:p>
    <w:p w:rsidR="00500AD3" w:rsidRPr="001A3D2B" w:rsidRDefault="00500AD3" w:rsidP="00500AD3">
      <w:pPr>
        <w:pStyle w:val="a3"/>
        <w:rPr>
          <w:kern w:val="0"/>
        </w:rPr>
      </w:pPr>
      <w:r w:rsidRPr="001A3D2B">
        <w:rPr>
          <w:kern w:val="0"/>
        </w:rPr>
        <w:t>? Li, C., Sui, S.</w:t>
      </w:r>
      <w:r w:rsidR="005853A9">
        <w:rPr>
          <w:kern w:val="0"/>
        </w:rPr>
        <w:t xml:space="preserve"> and </w:t>
      </w:r>
      <w:r w:rsidRPr="001A3D2B">
        <w:rPr>
          <w:kern w:val="0"/>
        </w:rPr>
        <w:t>Jiang, G. (2006</w:t>
      </w:r>
      <w:r w:rsidR="00F42EAC">
        <w:rPr>
          <w:kern w:val="0"/>
        </w:rPr>
        <w:t>), The</w:t>
      </w:r>
      <w:r w:rsidR="003A1917">
        <w:rPr>
          <w:kern w:val="0"/>
        </w:rPr>
        <w:t xml:space="preserve"> </w:t>
      </w:r>
      <w:r w:rsidRPr="001A3D2B">
        <w:rPr>
          <w:kern w:val="0"/>
        </w:rPr>
        <w:t>promotion</w:t>
      </w:r>
      <w:r w:rsidR="00427468">
        <w:rPr>
          <w:kern w:val="0"/>
        </w:rPr>
        <w:t xml:space="preserve"> of </w:t>
      </w:r>
      <w:r w:rsidRPr="001A3D2B">
        <w:rPr>
          <w:kern w:val="0"/>
        </w:rPr>
        <w:t xml:space="preserve">research in Yanbian University supported by funds for development regions. </w:t>
      </w:r>
      <w:r w:rsidRPr="001A3D2B">
        <w:rPr>
          <w:i/>
          <w:iCs/>
          <w:kern w:val="0"/>
        </w:rPr>
        <w:t>Bulletin</w:t>
      </w:r>
      <w:r w:rsidR="00427468">
        <w:rPr>
          <w:i/>
          <w:iCs/>
          <w:kern w:val="0"/>
        </w:rPr>
        <w:t xml:space="preserve"> of </w:t>
      </w:r>
      <w:r w:rsidRPr="001A3D2B">
        <w:rPr>
          <w:i/>
          <w:iCs/>
          <w:kern w:val="0"/>
        </w:rPr>
        <w:t>National Natural Science Foundation</w:t>
      </w:r>
      <w:r w:rsidR="00427468">
        <w:rPr>
          <w:i/>
          <w:iCs/>
          <w:kern w:val="0"/>
        </w:rPr>
        <w:t xml:space="preserve"> of </w:t>
      </w:r>
      <w:r w:rsidRPr="001A3D2B">
        <w:rPr>
          <w:i/>
          <w:iCs/>
          <w:kern w:val="0"/>
        </w:rPr>
        <w:t>China</w:t>
      </w:r>
      <w:r w:rsidRPr="001A3D2B">
        <w:rPr>
          <w:kern w:val="0"/>
        </w:rPr>
        <w:t xml:space="preserve">, </w:t>
      </w:r>
      <w:r w:rsidRPr="001A3D2B">
        <w:rPr>
          <w:b/>
          <w:bCs/>
          <w:kern w:val="0"/>
        </w:rPr>
        <w:t>20</w:t>
      </w:r>
      <w:r w:rsidRPr="001A3D2B">
        <w:rPr>
          <w:kern w:val="0"/>
        </w:rPr>
        <w:t xml:space="preserve"> (1), 35-37.</w:t>
      </w:r>
    </w:p>
    <w:p w:rsidR="00500AD3" w:rsidRPr="001A3D2B" w:rsidRDefault="00500AD3" w:rsidP="00500AD3">
      <w:pPr>
        <w:pStyle w:val="a3"/>
        <w:rPr>
          <w:kern w:val="0"/>
        </w:rPr>
      </w:pPr>
      <w:r w:rsidRPr="001A3D2B">
        <w:rPr>
          <w:kern w:val="0"/>
        </w:rPr>
        <w:t xml:space="preserve">Full Text: </w:t>
      </w:r>
      <w:hyperlink r:id="rId2143" w:history="1">
        <w:r w:rsidRPr="001A3D2B">
          <w:rPr>
            <w:rStyle w:val="a5"/>
            <w:kern w:val="0"/>
          </w:rPr>
          <w:t>2006\Bul Nat Nat Sci Fou Chi20, 35.pdf</w:t>
        </w:r>
      </w:hyperlink>
    </w:p>
    <w:p w:rsidR="00500AD3" w:rsidRPr="001A3D2B" w:rsidRDefault="00500AD3" w:rsidP="00500AD3">
      <w:pPr>
        <w:pStyle w:val="a3"/>
        <w:rPr>
          <w:kern w:val="0"/>
        </w:rPr>
      </w:pPr>
      <w:r w:rsidRPr="001A3D2B">
        <w:rPr>
          <w:kern w:val="0"/>
        </w:rPr>
        <w:t xml:space="preserve">? </w:t>
      </w:r>
      <w:r w:rsidRPr="001A3D2B">
        <w:rPr>
          <w:kern w:val="0"/>
        </w:rPr>
        <w:t>石春薇</w:t>
      </w:r>
      <w:r w:rsidRPr="001A3D2B">
        <w:rPr>
          <w:kern w:val="0"/>
        </w:rPr>
        <w:t>and</w:t>
      </w:r>
      <w:r w:rsidRPr="001A3D2B">
        <w:rPr>
          <w:kern w:val="0"/>
        </w:rPr>
        <w:t>陈乐生</w:t>
      </w:r>
      <w:r w:rsidRPr="001A3D2B">
        <w:rPr>
          <w:kern w:val="0"/>
        </w:rPr>
        <w:t>(2006),</w:t>
      </w:r>
      <w:r w:rsidRPr="001A3D2B">
        <w:rPr>
          <w:kern w:val="0"/>
        </w:rPr>
        <w:t>星光计划</w:t>
      </w:r>
      <w:r w:rsidRPr="001A3D2B">
        <w:rPr>
          <w:kern w:val="0"/>
        </w:rPr>
        <w:t>—</w:t>
      </w:r>
      <w:r w:rsidRPr="001A3D2B">
        <w:rPr>
          <w:kern w:val="0"/>
        </w:rPr>
        <w:t>德国的</w:t>
      </w:r>
      <w:r w:rsidRPr="001A3D2B">
        <w:rPr>
          <w:kern w:val="0"/>
        </w:rPr>
        <w:t xml:space="preserve"> </w:t>
      </w:r>
      <w:r w:rsidR="00B5188C">
        <w:rPr>
          <w:kern w:val="0"/>
        </w:rPr>
        <w:t>“</w:t>
      </w:r>
      <w:r w:rsidRPr="001A3D2B">
        <w:rPr>
          <w:kern w:val="0"/>
        </w:rPr>
        <w:t>211</w:t>
      </w:r>
      <w:r w:rsidRPr="001A3D2B">
        <w:rPr>
          <w:kern w:val="0"/>
        </w:rPr>
        <w:t>工程</w:t>
      </w:r>
      <w:r w:rsidR="00B5188C">
        <w:rPr>
          <w:kern w:val="0"/>
        </w:rPr>
        <w:t>”</w:t>
      </w:r>
      <w:r w:rsidRPr="001A3D2B">
        <w:rPr>
          <w:kern w:val="0"/>
        </w:rPr>
        <w:t xml:space="preserve">. </w:t>
      </w:r>
      <w:r w:rsidRPr="001A3D2B">
        <w:rPr>
          <w:i/>
          <w:iCs/>
          <w:kern w:val="0"/>
        </w:rPr>
        <w:t>Bulletin</w:t>
      </w:r>
      <w:r w:rsidR="00427468">
        <w:rPr>
          <w:i/>
          <w:iCs/>
          <w:kern w:val="0"/>
        </w:rPr>
        <w:t xml:space="preserve"> of </w:t>
      </w:r>
      <w:r w:rsidRPr="001A3D2B">
        <w:rPr>
          <w:i/>
          <w:iCs/>
          <w:kern w:val="0"/>
        </w:rPr>
        <w:t>National Natural Science Foundation</w:t>
      </w:r>
      <w:r w:rsidR="00427468">
        <w:rPr>
          <w:i/>
          <w:iCs/>
          <w:kern w:val="0"/>
        </w:rPr>
        <w:t xml:space="preserve"> of </w:t>
      </w:r>
      <w:r w:rsidRPr="001A3D2B">
        <w:rPr>
          <w:i/>
          <w:iCs/>
          <w:kern w:val="0"/>
        </w:rPr>
        <w:t>China</w:t>
      </w:r>
      <w:r w:rsidRPr="001A3D2B">
        <w:rPr>
          <w:kern w:val="0"/>
        </w:rPr>
        <w:t xml:space="preserve">, </w:t>
      </w:r>
      <w:r w:rsidRPr="001A3D2B">
        <w:rPr>
          <w:b/>
          <w:bCs/>
          <w:kern w:val="0"/>
        </w:rPr>
        <w:t>20</w:t>
      </w:r>
      <w:r w:rsidRPr="001A3D2B">
        <w:rPr>
          <w:kern w:val="0"/>
        </w:rPr>
        <w:t xml:space="preserve"> (4), 255-256.</w:t>
      </w:r>
    </w:p>
    <w:p w:rsidR="00500AD3" w:rsidRPr="001A3D2B" w:rsidRDefault="00500AD3" w:rsidP="00500AD3">
      <w:pPr>
        <w:pStyle w:val="a3"/>
        <w:rPr>
          <w:kern w:val="0"/>
        </w:rPr>
      </w:pPr>
      <w:r w:rsidRPr="001A3D2B">
        <w:rPr>
          <w:kern w:val="0"/>
        </w:rPr>
        <w:t xml:space="preserve">Full Text: </w:t>
      </w:r>
      <w:hyperlink r:id="rId2144" w:history="1">
        <w:r w:rsidRPr="001A3D2B">
          <w:rPr>
            <w:rStyle w:val="a5"/>
            <w:kern w:val="0"/>
          </w:rPr>
          <w:t>2006\Bul Nat Nat Sci Fou Chi20, 255.pdf</w:t>
        </w:r>
      </w:hyperlink>
    </w:p>
    <w:p w:rsidR="00500AD3" w:rsidRPr="001A3D2B" w:rsidRDefault="00500AD3" w:rsidP="00500AD3">
      <w:pPr>
        <w:pStyle w:val="a3"/>
        <w:rPr>
          <w:kern w:val="0"/>
        </w:rPr>
      </w:pPr>
      <w:r w:rsidRPr="001A3D2B">
        <w:rPr>
          <w:kern w:val="0"/>
        </w:rPr>
        <w:t>Abstract:</w:t>
      </w:r>
      <w:r w:rsidRPr="001A3D2B">
        <w:rPr>
          <w:kern w:val="0"/>
        </w:rPr>
        <w:t>近年来</w:t>
      </w:r>
      <w:r w:rsidRPr="001A3D2B">
        <w:rPr>
          <w:kern w:val="0"/>
        </w:rPr>
        <w:t>,</w:t>
      </w:r>
      <w:r w:rsidRPr="001A3D2B">
        <w:rPr>
          <w:kern w:val="0"/>
        </w:rPr>
        <w:t>德国大学饱受经费匮乏、财政赤字、管理制度僵硬等问题的困扰</w:t>
      </w:r>
      <w:r w:rsidRPr="001A3D2B">
        <w:rPr>
          <w:kern w:val="0"/>
        </w:rPr>
        <w:t>,</w:t>
      </w:r>
      <w:r w:rsidRPr="001A3D2B">
        <w:rPr>
          <w:kern w:val="0"/>
        </w:rPr>
        <w:t>优秀人才流失严重</w:t>
      </w:r>
      <w:r w:rsidRPr="001A3D2B">
        <w:rPr>
          <w:kern w:val="0"/>
        </w:rPr>
        <w:t>,</w:t>
      </w:r>
      <w:r w:rsidRPr="001A3D2B">
        <w:rPr>
          <w:kern w:val="0"/>
        </w:rPr>
        <w:t>科研实力日渐削弱</w:t>
      </w:r>
      <w:r w:rsidRPr="001A3D2B">
        <w:rPr>
          <w:kern w:val="0"/>
        </w:rPr>
        <w:t>,</w:t>
      </w:r>
      <w:r w:rsidRPr="001A3D2B">
        <w:rPr>
          <w:kern w:val="0"/>
        </w:rPr>
        <w:t>国际竞争力每况愈下</w:t>
      </w:r>
      <w:r w:rsidRPr="001A3D2B">
        <w:rPr>
          <w:kern w:val="0"/>
        </w:rPr>
        <w:t>.</w:t>
      </w:r>
      <w:r w:rsidRPr="001A3D2B">
        <w:rPr>
          <w:kern w:val="0"/>
        </w:rPr>
        <w:t>与欧美国家名校相比</w:t>
      </w:r>
      <w:r w:rsidRPr="001A3D2B">
        <w:rPr>
          <w:kern w:val="0"/>
        </w:rPr>
        <w:t>,</w:t>
      </w:r>
      <w:r w:rsidRPr="001A3D2B">
        <w:rPr>
          <w:kern w:val="0"/>
        </w:rPr>
        <w:t>德国大学的灿烂光芒已经不复存在</w:t>
      </w:r>
      <w:r w:rsidRPr="001A3D2B">
        <w:rPr>
          <w:kern w:val="0"/>
        </w:rPr>
        <w:t>.</w:t>
      </w:r>
      <w:r w:rsidRPr="001A3D2B">
        <w:rPr>
          <w:kern w:val="0"/>
        </w:rPr>
        <w:t>为此</w:t>
      </w:r>
      <w:r w:rsidRPr="001A3D2B">
        <w:rPr>
          <w:kern w:val="0"/>
        </w:rPr>
        <w:t>,</w:t>
      </w:r>
      <w:r w:rsidRPr="001A3D2B">
        <w:rPr>
          <w:kern w:val="0"/>
        </w:rPr>
        <w:t>德国高校界强烈要求进行系列改革</w:t>
      </w:r>
      <w:r w:rsidRPr="001A3D2B">
        <w:rPr>
          <w:kern w:val="0"/>
        </w:rPr>
        <w:t>,</w:t>
      </w:r>
      <w:r w:rsidRPr="001A3D2B">
        <w:rPr>
          <w:kern w:val="0"/>
        </w:rPr>
        <w:t>各种改革计划纷纷出台</w:t>
      </w:r>
      <w:r w:rsidRPr="001A3D2B">
        <w:rPr>
          <w:kern w:val="0"/>
        </w:rPr>
        <w:t>,</w:t>
      </w:r>
      <w:r w:rsidRPr="001A3D2B">
        <w:rPr>
          <w:kern w:val="0"/>
        </w:rPr>
        <w:t>其中星光计划是最重要的举措之一</w:t>
      </w:r>
      <w:r w:rsidRPr="001A3D2B">
        <w:rPr>
          <w:kern w:val="0"/>
        </w:rPr>
        <w:t>.</w:t>
      </w:r>
    </w:p>
    <w:p w:rsidR="00500AD3" w:rsidRPr="001A3D2B" w:rsidRDefault="00500AD3" w:rsidP="00500AD3">
      <w:pPr>
        <w:pStyle w:val="a3"/>
      </w:pPr>
      <w:r w:rsidRPr="001A3D2B">
        <w:t>? Meng, X.Y. (2008), Analysis</w:t>
      </w:r>
      <w:r w:rsidR="00427468">
        <w:t xml:space="preserve"> of </w:t>
      </w:r>
      <w:r w:rsidR="003A1917">
        <w:t xml:space="preserve">the </w:t>
      </w:r>
      <w:r w:rsidRPr="001A3D2B">
        <w:t>output</w:t>
      </w:r>
      <w:r w:rsidR="00427468">
        <w:t xml:space="preserve"> of </w:t>
      </w:r>
      <w:r w:rsidRPr="001A3D2B">
        <w:t>fund theses in</w:t>
      </w:r>
      <w:r w:rsidR="003A1917">
        <w:t xml:space="preserve"> the </w:t>
      </w:r>
      <w:r w:rsidRPr="001A3D2B">
        <w:t>universities</w:t>
      </w:r>
      <w:r w:rsidR="00427468">
        <w:t xml:space="preserve"> of </w:t>
      </w:r>
      <w:r w:rsidRPr="001A3D2B">
        <w:t xml:space="preserve">China. </w:t>
      </w:r>
      <w:r w:rsidRPr="001A3D2B">
        <w:rPr>
          <w:i/>
        </w:rPr>
        <w:lastRenderedPageBreak/>
        <w:t>Bulletin</w:t>
      </w:r>
      <w:r w:rsidR="00427468">
        <w:rPr>
          <w:i/>
        </w:rPr>
        <w:t xml:space="preserve"> of </w:t>
      </w:r>
      <w:r w:rsidRPr="001A3D2B">
        <w:rPr>
          <w:i/>
        </w:rPr>
        <w:t>National Natural Science Foundation</w:t>
      </w:r>
      <w:r w:rsidR="00427468">
        <w:rPr>
          <w:i/>
        </w:rPr>
        <w:t xml:space="preserve"> of </w:t>
      </w:r>
      <w:r w:rsidRPr="001A3D2B">
        <w:rPr>
          <w:i/>
        </w:rPr>
        <w:t>China</w:t>
      </w:r>
      <w:r w:rsidRPr="001A3D2B">
        <w:t xml:space="preserve">, </w:t>
      </w:r>
      <w:r w:rsidRPr="001A3D2B">
        <w:rPr>
          <w:b/>
          <w:bCs/>
        </w:rPr>
        <w:t>22</w:t>
      </w:r>
      <w:r w:rsidRPr="001A3D2B">
        <w:t xml:space="preserve"> (2), 125-128.</w:t>
      </w:r>
    </w:p>
    <w:p w:rsidR="00500AD3" w:rsidRPr="001A3D2B" w:rsidRDefault="00500AD3" w:rsidP="00500AD3">
      <w:pPr>
        <w:pStyle w:val="a3"/>
        <w:rPr>
          <w:kern w:val="0"/>
        </w:rPr>
      </w:pPr>
      <w:r w:rsidRPr="001A3D2B">
        <w:rPr>
          <w:kern w:val="0"/>
        </w:rPr>
        <w:t xml:space="preserve">Full Text: </w:t>
      </w:r>
      <w:hyperlink r:id="rId2145" w:history="1">
        <w:r w:rsidRPr="001A3D2B">
          <w:rPr>
            <w:rStyle w:val="a5"/>
            <w:kern w:val="0"/>
          </w:rPr>
          <w:t>2008\Bul Nat Nat Sci Fou Chi22, 125.pdf</w:t>
        </w:r>
      </w:hyperlink>
    </w:p>
    <w:p w:rsidR="00500AD3" w:rsidRPr="001A3D2B" w:rsidRDefault="00500AD3" w:rsidP="00500AD3">
      <w:pPr>
        <w:pStyle w:val="a3"/>
      </w:pPr>
      <w:r w:rsidRPr="001A3D2B">
        <w:t>Abstract:</w:t>
      </w:r>
      <w:r w:rsidRPr="001A3D2B">
        <w:t>高校科学研究能力是衡量一个国家基础研究和高技术前沿领域原始性创新能力的重要标志</w:t>
      </w:r>
      <w:r w:rsidRPr="001A3D2B">
        <w:t>,</w:t>
      </w:r>
      <w:r w:rsidRPr="001A3D2B">
        <w:t>对国家未来能否在日趋激烈的全球科技竞争中占据有利地位具有举足轻重的影响</w:t>
      </w:r>
      <w:r w:rsidRPr="001A3D2B">
        <w:t>.</w:t>
      </w:r>
      <w:r w:rsidRPr="001A3D2B">
        <w:t>我国</w:t>
      </w:r>
      <w:r w:rsidR="00B5188C">
        <w:t>”</w:t>
      </w:r>
      <w:r w:rsidRPr="001A3D2B">
        <w:t>985</w:t>
      </w:r>
      <w:r w:rsidRPr="001A3D2B">
        <w:t>工程</w:t>
      </w:r>
      <w:r w:rsidR="00B5188C">
        <w:t>”</w:t>
      </w:r>
      <w:r w:rsidRPr="001A3D2B">
        <w:t>高校是国家科技创新的重要力量</w:t>
      </w:r>
      <w:r w:rsidRPr="001A3D2B">
        <w:t>,</w:t>
      </w:r>
      <w:r w:rsidRPr="001A3D2B">
        <w:t>国家实施</w:t>
      </w:r>
      <w:r w:rsidR="00B5188C">
        <w:t>”</w:t>
      </w:r>
      <w:r w:rsidRPr="001A3D2B">
        <w:t>985</w:t>
      </w:r>
      <w:r w:rsidRPr="001A3D2B">
        <w:t>工程</w:t>
      </w:r>
      <w:r w:rsidR="00B5188C">
        <w:t>”</w:t>
      </w:r>
      <w:r w:rsidRPr="001A3D2B">
        <w:t>8</w:t>
      </w:r>
      <w:r w:rsidRPr="001A3D2B">
        <w:t>年来</w:t>
      </w:r>
      <w:r w:rsidRPr="001A3D2B">
        <w:t>,</w:t>
      </w:r>
      <w:r w:rsidRPr="001A3D2B">
        <w:t>这些高校科研状况如何呢</w:t>
      </w:r>
      <w:r w:rsidRPr="001A3D2B">
        <w:t>?</w:t>
      </w:r>
      <w:r w:rsidRPr="001A3D2B">
        <w:t>本文选取</w:t>
      </w:r>
      <w:r w:rsidRPr="001A3D2B">
        <w:t>2006</w:t>
      </w:r>
      <w:r w:rsidRPr="001A3D2B">
        <w:t>年有代表性的</w:t>
      </w:r>
      <w:r w:rsidRPr="001A3D2B">
        <w:t>20</w:t>
      </w:r>
      <w:r w:rsidRPr="001A3D2B">
        <w:t>所</w:t>
      </w:r>
      <w:r w:rsidR="00B5188C">
        <w:t>”</w:t>
      </w:r>
      <w:r w:rsidRPr="001A3D2B">
        <w:t>985</w:t>
      </w:r>
      <w:r w:rsidRPr="001A3D2B">
        <w:t>工程</w:t>
      </w:r>
      <w:r w:rsidR="00B5188C">
        <w:t>”</w:t>
      </w:r>
      <w:r w:rsidRPr="001A3D2B">
        <w:t>高校学报</w:t>
      </w:r>
      <w:r w:rsidRPr="001A3D2B">
        <w:t>(</w:t>
      </w:r>
      <w:r w:rsidRPr="001A3D2B">
        <w:t>自然科学版和工学版</w:t>
      </w:r>
      <w:r w:rsidRPr="001A3D2B">
        <w:t>)</w:t>
      </w:r>
      <w:r w:rsidRPr="001A3D2B">
        <w:t>作为调研对象</w:t>
      </w:r>
      <w:r w:rsidRPr="001A3D2B">
        <w:t>,</w:t>
      </w:r>
      <w:r w:rsidRPr="001A3D2B">
        <w:t>从基金论文的数量、基金论文获基金资助数量、基金类型分布、基金论文的学科分布等方面</w:t>
      </w:r>
      <w:r w:rsidRPr="001A3D2B">
        <w:t>,</w:t>
      </w:r>
      <w:r w:rsidRPr="001A3D2B">
        <w:t>分析基金资助课题的现状</w:t>
      </w:r>
      <w:r w:rsidRPr="001A3D2B">
        <w:t>,</w:t>
      </w:r>
      <w:r w:rsidRPr="001A3D2B">
        <w:t>并与</w:t>
      </w:r>
      <w:r w:rsidRPr="001A3D2B">
        <w:t>2001</w:t>
      </w:r>
      <w:r w:rsidRPr="001A3D2B">
        <w:t>年、</w:t>
      </w:r>
      <w:r w:rsidRPr="001A3D2B">
        <w:t>1998</w:t>
      </w:r>
      <w:r w:rsidRPr="001A3D2B">
        <w:t>年的数据进行比较</w:t>
      </w:r>
      <w:r w:rsidRPr="001A3D2B">
        <w:t>,</w:t>
      </w:r>
      <w:r w:rsidRPr="001A3D2B">
        <w:t>从这一个方面透视我国高等学校科学研究的新趋势、新动向</w:t>
      </w:r>
      <w:r w:rsidRPr="001A3D2B">
        <w:t>.</w:t>
      </w:r>
    </w:p>
    <w:p w:rsidR="00500AD3" w:rsidRPr="001A3D2B" w:rsidRDefault="00500AD3" w:rsidP="00500AD3">
      <w:pPr>
        <w:pStyle w:val="a3"/>
        <w:rPr>
          <w:kern w:val="0"/>
        </w:rPr>
      </w:pPr>
      <w:r w:rsidRPr="001A3D2B">
        <w:rPr>
          <w:kern w:val="0"/>
        </w:rPr>
        <w:t>Keywords: China</w:t>
      </w:r>
    </w:p>
    <w:p w:rsidR="00480E14" w:rsidRPr="001A3D2B" w:rsidRDefault="00480E14" w:rsidP="00480E14">
      <w:pPr>
        <w:pStyle w:val="1"/>
      </w:pPr>
      <w:r w:rsidRPr="001A3D2B">
        <w:br w:type="page"/>
      </w:r>
      <w:bookmarkStart w:id="982" w:name="_Toc420814856"/>
      <w:r w:rsidRPr="001A3D2B">
        <w:lastRenderedPageBreak/>
        <w:t xml:space="preserve">Title: </w:t>
      </w:r>
      <w:r w:rsidRPr="00480E14">
        <w:t>Bulletin</w:t>
      </w:r>
      <w:r w:rsidR="00427468">
        <w:t xml:space="preserve"> of </w:t>
      </w:r>
      <w:r w:rsidRPr="00480E14">
        <w:t>the Polish Academy</w:t>
      </w:r>
      <w:r w:rsidR="00427468">
        <w:t xml:space="preserve"> of </w:t>
      </w:r>
      <w:r w:rsidRPr="00480E14">
        <w:t>Sciences-Technical Sciences</w:t>
      </w:r>
      <w:bookmarkEnd w:id="982"/>
    </w:p>
    <w:p w:rsidR="00480E14" w:rsidRPr="001A3D2B" w:rsidRDefault="00480E14" w:rsidP="00480E14">
      <w:pPr>
        <w:pStyle w:val="12"/>
      </w:pPr>
      <w:r w:rsidRPr="001A3D2B">
        <w:t xml:space="preserve">Full Journal Title: </w:t>
      </w:r>
      <w:r w:rsidRPr="00480E14">
        <w:rPr>
          <w:iCs/>
          <w:kern w:val="0"/>
        </w:rPr>
        <w:t>Bulletin</w:t>
      </w:r>
      <w:r w:rsidR="00427468">
        <w:rPr>
          <w:iCs/>
          <w:kern w:val="0"/>
        </w:rPr>
        <w:t xml:space="preserve"> of </w:t>
      </w:r>
      <w:r w:rsidRPr="00480E14">
        <w:rPr>
          <w:iCs/>
          <w:kern w:val="0"/>
        </w:rPr>
        <w:t>the Polish Academy</w:t>
      </w:r>
      <w:r w:rsidR="00427468">
        <w:rPr>
          <w:iCs/>
          <w:kern w:val="0"/>
        </w:rPr>
        <w:t xml:space="preserve"> of </w:t>
      </w:r>
      <w:r w:rsidRPr="00480E14">
        <w:rPr>
          <w:iCs/>
          <w:kern w:val="0"/>
        </w:rPr>
        <w:t>Sciences-Technical Sciences</w:t>
      </w:r>
    </w:p>
    <w:p w:rsidR="00480E14" w:rsidRPr="001A3D2B" w:rsidRDefault="00480E14" w:rsidP="00480E14">
      <w:pPr>
        <w:pStyle w:val="12"/>
      </w:pPr>
      <w:r w:rsidRPr="001A3D2B">
        <w:t xml:space="preserve">ISO Abbreviated Title: </w:t>
      </w:r>
    </w:p>
    <w:p w:rsidR="00480E14" w:rsidRPr="001A3D2B" w:rsidRDefault="00480E14" w:rsidP="00480E14">
      <w:pPr>
        <w:pStyle w:val="12"/>
      </w:pPr>
      <w:r w:rsidRPr="001A3D2B">
        <w:t xml:space="preserve">JCR Abbreviated Title: </w:t>
      </w:r>
    </w:p>
    <w:p w:rsidR="00480E14" w:rsidRPr="001A3D2B" w:rsidRDefault="00480E14" w:rsidP="00480E14">
      <w:pPr>
        <w:pStyle w:val="12"/>
      </w:pPr>
      <w:r w:rsidRPr="001A3D2B">
        <w:t xml:space="preserve">ISSN: </w:t>
      </w:r>
    </w:p>
    <w:p w:rsidR="00480E14" w:rsidRPr="001A3D2B" w:rsidRDefault="00480E14" w:rsidP="00480E14">
      <w:pPr>
        <w:pStyle w:val="12"/>
      </w:pPr>
      <w:r w:rsidRPr="001A3D2B">
        <w:t xml:space="preserve">Issues/Year: </w:t>
      </w:r>
    </w:p>
    <w:p w:rsidR="00480E14" w:rsidRPr="001A3D2B" w:rsidRDefault="00480E14" w:rsidP="00480E14">
      <w:pPr>
        <w:pStyle w:val="12"/>
      </w:pPr>
      <w:r w:rsidRPr="001A3D2B">
        <w:t xml:space="preserve">Journal Country/Territory: </w:t>
      </w:r>
    </w:p>
    <w:p w:rsidR="00480E14" w:rsidRPr="001A3D2B" w:rsidRDefault="00480E14" w:rsidP="00480E14">
      <w:pPr>
        <w:pStyle w:val="12"/>
      </w:pPr>
      <w:r w:rsidRPr="001A3D2B">
        <w:t xml:space="preserve">Language: </w:t>
      </w:r>
    </w:p>
    <w:p w:rsidR="00480E14" w:rsidRPr="001A3D2B" w:rsidRDefault="00480E14" w:rsidP="00480E14">
      <w:pPr>
        <w:pStyle w:val="12"/>
      </w:pPr>
      <w:r w:rsidRPr="001A3D2B">
        <w:t xml:space="preserve">Publisher: </w:t>
      </w:r>
    </w:p>
    <w:p w:rsidR="00480E14" w:rsidRPr="001A3D2B" w:rsidRDefault="00480E14" w:rsidP="00480E14">
      <w:pPr>
        <w:pStyle w:val="12"/>
      </w:pPr>
      <w:r w:rsidRPr="001A3D2B">
        <w:t xml:space="preserve">Publisher Address: </w:t>
      </w:r>
    </w:p>
    <w:p w:rsidR="00480E14" w:rsidRPr="001A3D2B" w:rsidRDefault="00480E14" w:rsidP="00480E14">
      <w:pPr>
        <w:pStyle w:val="12"/>
      </w:pPr>
      <w:r w:rsidRPr="001A3D2B">
        <w:t>Subject Categories:</w:t>
      </w:r>
    </w:p>
    <w:p w:rsidR="00480E14" w:rsidRPr="001A3D2B" w:rsidRDefault="00480E14" w:rsidP="00480E14">
      <w:pPr>
        <w:pStyle w:val="12"/>
      </w:pPr>
      <w:r w:rsidRPr="001A3D2B">
        <w:t xml:space="preserve">: Impact Factor </w:t>
      </w:r>
    </w:p>
    <w:p w:rsidR="00480E14" w:rsidRDefault="00480E14" w:rsidP="00480E14">
      <w:pPr>
        <w:pStyle w:val="a3"/>
        <w:rPr>
          <w:kern w:val="0"/>
        </w:rPr>
      </w:pPr>
      <w:r>
        <w:rPr>
          <w:rFonts w:hint="eastAsia"/>
          <w:kern w:val="0"/>
        </w:rPr>
        <w:t xml:space="preserve">? </w:t>
      </w:r>
      <w:r>
        <w:rPr>
          <w:kern w:val="0"/>
        </w:rPr>
        <w:t>Czarnecki, L., Kazmierkowski, M.P.</w:t>
      </w:r>
      <w:r w:rsidR="005853A9">
        <w:rPr>
          <w:kern w:val="0"/>
        </w:rPr>
        <w:t xml:space="preserve"> and </w:t>
      </w:r>
      <w:r>
        <w:rPr>
          <w:kern w:val="0"/>
        </w:rPr>
        <w:t xml:space="preserve">Rogalski, A. (2013), Doing Hirsch proud; shaping </w:t>
      </w:r>
      <w:r w:rsidR="00D5664A">
        <w:rPr>
          <w:rFonts w:hint="eastAsia"/>
          <w:kern w:val="0"/>
        </w:rPr>
        <w:t>h-Index</w:t>
      </w:r>
      <w:r>
        <w:rPr>
          <w:kern w:val="0"/>
        </w:rPr>
        <w:t xml:space="preserve"> in engineering sciences. </w:t>
      </w:r>
      <w:r w:rsidRPr="00480E14">
        <w:rPr>
          <w:i/>
          <w:iCs/>
          <w:kern w:val="0"/>
        </w:rPr>
        <w:t>Bulletin</w:t>
      </w:r>
      <w:r w:rsidR="00427468">
        <w:rPr>
          <w:i/>
          <w:iCs/>
          <w:kern w:val="0"/>
        </w:rPr>
        <w:t xml:space="preserve"> of </w:t>
      </w:r>
      <w:r w:rsidRPr="00480E14">
        <w:rPr>
          <w:i/>
          <w:iCs/>
          <w:kern w:val="0"/>
        </w:rPr>
        <w:t>the Polish Academy</w:t>
      </w:r>
      <w:r w:rsidR="00427468">
        <w:rPr>
          <w:i/>
          <w:iCs/>
          <w:kern w:val="0"/>
        </w:rPr>
        <w:t xml:space="preserve"> of </w:t>
      </w:r>
      <w:r w:rsidRPr="00480E14">
        <w:rPr>
          <w:i/>
          <w:iCs/>
          <w:kern w:val="0"/>
        </w:rPr>
        <w:t>Sciences-Technical Sciences</w:t>
      </w:r>
      <w:r>
        <w:rPr>
          <w:kern w:val="0"/>
        </w:rPr>
        <w:t xml:space="preserve">, </w:t>
      </w:r>
      <w:r>
        <w:rPr>
          <w:b/>
          <w:bCs/>
          <w:kern w:val="0"/>
        </w:rPr>
        <w:t>61</w:t>
      </w:r>
      <w:r>
        <w:rPr>
          <w:kern w:val="0"/>
        </w:rPr>
        <w:t xml:space="preserve"> (1), 5-21.</w:t>
      </w:r>
    </w:p>
    <w:p w:rsidR="00480E14" w:rsidRDefault="00480E14" w:rsidP="00480E14">
      <w:pPr>
        <w:pStyle w:val="a3"/>
        <w:rPr>
          <w:kern w:val="0"/>
        </w:rPr>
      </w:pPr>
      <w:r>
        <w:rPr>
          <w:rFonts w:hint="eastAsia"/>
          <w:kern w:val="0"/>
        </w:rPr>
        <w:t xml:space="preserve">Full Text: </w:t>
      </w:r>
      <w:hyperlink r:id="rId2146" w:history="1">
        <w:r w:rsidR="007E602A" w:rsidRPr="007E602A">
          <w:rPr>
            <w:rStyle w:val="a5"/>
            <w:kern w:val="0"/>
          </w:rPr>
          <w:t>2013\Bul Pol Aca Sci-Tec Sci61, 5.pdf</w:t>
        </w:r>
      </w:hyperlink>
    </w:p>
    <w:p w:rsidR="00480E14" w:rsidRDefault="00480E14" w:rsidP="00480E14">
      <w:pPr>
        <w:pStyle w:val="a3"/>
        <w:rPr>
          <w:kern w:val="0"/>
        </w:rPr>
      </w:pPr>
      <w:r>
        <w:rPr>
          <w:kern w:val="0"/>
        </w:rPr>
        <w:t xml:space="preserve">Abstract: The </w:t>
      </w:r>
      <w:r w:rsidR="00D5664A">
        <w:rPr>
          <w:kern w:val="0"/>
        </w:rPr>
        <w:t>h-Index</w:t>
      </w:r>
      <w:r>
        <w:rPr>
          <w:kern w:val="0"/>
        </w:rPr>
        <w:t xml:space="preserve"> concept has been analysed in aspects</w:t>
      </w:r>
      <w:r w:rsidR="00427468">
        <w:rPr>
          <w:kern w:val="0"/>
        </w:rPr>
        <w:t xml:space="preserve"> of </w:t>
      </w:r>
      <w:r>
        <w:rPr>
          <w:kern w:val="0"/>
        </w:rPr>
        <w:t>a contemporary tendency</w:t>
      </w:r>
      <w:r w:rsidR="00427468">
        <w:rPr>
          <w:kern w:val="0"/>
        </w:rPr>
        <w:t xml:space="preserve"> of </w:t>
      </w:r>
      <w:r>
        <w:rPr>
          <w:kern w:val="0"/>
        </w:rPr>
        <w:t>parameterisation</w:t>
      </w:r>
      <w:r w:rsidR="00427468">
        <w:rPr>
          <w:kern w:val="0"/>
        </w:rPr>
        <w:t xml:space="preserve"> of </w:t>
      </w:r>
      <w:r>
        <w:rPr>
          <w:kern w:val="0"/>
        </w:rPr>
        <w:t>everything</w:t>
      </w:r>
      <w:r w:rsidR="005853A9">
        <w:rPr>
          <w:kern w:val="0"/>
        </w:rPr>
        <w:t xml:space="preserve"> and </w:t>
      </w:r>
      <w:r>
        <w:rPr>
          <w:kern w:val="0"/>
        </w:rPr>
        <w:t>as the potential measure</w:t>
      </w:r>
      <w:r w:rsidR="00427468">
        <w:rPr>
          <w:kern w:val="0"/>
        </w:rPr>
        <w:t xml:space="preserve"> of </w:t>
      </w:r>
      <w:r>
        <w:rPr>
          <w:kern w:val="0"/>
        </w:rPr>
        <w:t>the knowledge progress, which recognises individuals, institutions</w:t>
      </w:r>
      <w:r w:rsidR="005853A9">
        <w:rPr>
          <w:kern w:val="0"/>
        </w:rPr>
        <w:t xml:space="preserve"> and </w:t>
      </w:r>
      <w:r>
        <w:rPr>
          <w:kern w:val="0"/>
        </w:rPr>
        <w:t>Engineering sub-disciplines that best generate new knowledge. Considerations have been presented at the level</w:t>
      </w:r>
      <w:r w:rsidR="00427468">
        <w:rPr>
          <w:kern w:val="0"/>
        </w:rPr>
        <w:t xml:space="preserve"> of </w:t>
      </w:r>
      <w:r>
        <w:rPr>
          <w:kern w:val="0"/>
        </w:rPr>
        <w:t>universality</w:t>
      </w:r>
      <w:r w:rsidR="00427468">
        <w:rPr>
          <w:kern w:val="0"/>
        </w:rPr>
        <w:t xml:space="preserve"> of </w:t>
      </w:r>
      <w:r>
        <w:rPr>
          <w:kern w:val="0"/>
        </w:rPr>
        <w:t>knowledge which implies permanent progress</w:t>
      </w:r>
      <w:r w:rsidR="005853A9">
        <w:rPr>
          <w:kern w:val="0"/>
        </w:rPr>
        <w:t xml:space="preserve"> and </w:t>
      </w:r>
      <w:r>
        <w:rPr>
          <w:kern w:val="0"/>
        </w:rPr>
        <w:t>on the base</w:t>
      </w:r>
      <w:r w:rsidR="00427468">
        <w:rPr>
          <w:kern w:val="0"/>
        </w:rPr>
        <w:t xml:space="preserve"> of </w:t>
      </w:r>
      <w:r>
        <w:rPr>
          <w:kern w:val="0"/>
        </w:rPr>
        <w:t>careful thoughts</w:t>
      </w:r>
      <w:r w:rsidR="00427468">
        <w:rPr>
          <w:kern w:val="0"/>
        </w:rPr>
        <w:t xml:space="preserve"> of </w:t>
      </w:r>
      <w:r>
        <w:rPr>
          <w:kern w:val="0"/>
        </w:rPr>
        <w:t>the domestic experience</w:t>
      </w:r>
      <w:r w:rsidR="00A37C1D">
        <w:rPr>
          <w:kern w:val="0"/>
        </w:rPr>
        <w:t>. The</w:t>
      </w:r>
      <w:r>
        <w:rPr>
          <w:kern w:val="0"/>
        </w:rPr>
        <w:t xml:space="preserve"> h-nature</w:t>
      </w:r>
      <w:r w:rsidR="00427468">
        <w:rPr>
          <w:kern w:val="0"/>
        </w:rPr>
        <w:t xml:space="preserve"> of </w:t>
      </w:r>
      <w:r>
        <w:rPr>
          <w:kern w:val="0"/>
        </w:rPr>
        <w:t>things has been described,</w:t>
      </w:r>
      <w:r w:rsidR="005853A9">
        <w:rPr>
          <w:kern w:val="0"/>
        </w:rPr>
        <w:t xml:space="preserve"> and </w:t>
      </w:r>
      <w:r>
        <w:rPr>
          <w:kern w:val="0"/>
        </w:rPr>
        <w:t>several axiomatic characterisations</w:t>
      </w:r>
      <w:r w:rsidR="00427468">
        <w:rPr>
          <w:kern w:val="0"/>
        </w:rPr>
        <w:t xml:space="preserve"> of </w:t>
      </w:r>
      <w:r>
        <w:rPr>
          <w:kern w:val="0"/>
        </w:rPr>
        <w:t>the Hirsc</w:t>
      </w:r>
      <w:r w:rsidR="00D5664A">
        <w:rPr>
          <w:kern w:val="0"/>
        </w:rPr>
        <w:t>h Index</w:t>
      </w:r>
      <w:r>
        <w:rPr>
          <w:kern w:val="0"/>
        </w:rPr>
        <w:t xml:space="preserve"> have been gathered</w:t>
      </w:r>
      <w:r w:rsidR="00A37C1D">
        <w:rPr>
          <w:kern w:val="0"/>
        </w:rPr>
        <w:t>. The</w:t>
      </w:r>
      <w:r>
        <w:rPr>
          <w:kern w:val="0"/>
        </w:rPr>
        <w:t xml:space="preserve"> mechanism how to increase the </w:t>
      </w:r>
      <w:r w:rsidR="00D5664A">
        <w:rPr>
          <w:kern w:val="0"/>
        </w:rPr>
        <w:t>h-Index</w:t>
      </w:r>
      <w:r>
        <w:rPr>
          <w:kern w:val="0"/>
        </w:rPr>
        <w:t xml:space="preserve"> has been presented. Some similarities between </w:t>
      </w:r>
      <w:r w:rsidR="00D5664A">
        <w:rPr>
          <w:kern w:val="0"/>
        </w:rPr>
        <w:t>h-Index</w:t>
      </w:r>
      <w:r w:rsidR="005853A9">
        <w:rPr>
          <w:kern w:val="0"/>
        </w:rPr>
        <w:t xml:space="preserve"> and </w:t>
      </w:r>
      <w:r>
        <w:rPr>
          <w:kern w:val="0"/>
        </w:rPr>
        <w:t>the journal impact factor (JIF) have been stressed. Also the universal role</w:t>
      </w:r>
      <w:r w:rsidR="00427468">
        <w:rPr>
          <w:kern w:val="0"/>
        </w:rPr>
        <w:t xml:space="preserve"> of </w:t>
      </w:r>
      <w:r w:rsidR="00D5664A">
        <w:rPr>
          <w:kern w:val="0"/>
        </w:rPr>
        <w:t>H-Index</w:t>
      </w:r>
      <w:r>
        <w:rPr>
          <w:kern w:val="0"/>
        </w:rPr>
        <w:t xml:space="preserve"> in ranking countries in all areas</w:t>
      </w:r>
      <w:r w:rsidR="005853A9">
        <w:rPr>
          <w:kern w:val="0"/>
        </w:rPr>
        <w:t xml:space="preserve"> and </w:t>
      </w:r>
      <w:r>
        <w:rPr>
          <w:kern w:val="0"/>
        </w:rPr>
        <w:t>in Engineering has been exampled in extended tables</w:t>
      </w:r>
      <w:r w:rsidR="00A37C1D">
        <w:rPr>
          <w:kern w:val="0"/>
        </w:rPr>
        <w:t>. The</w:t>
      </w:r>
      <w:r>
        <w:rPr>
          <w:kern w:val="0"/>
        </w:rPr>
        <w:t xml:space="preserve"> Glanzel</w:t>
      </w:r>
      <w:r w:rsidR="00700038">
        <w:rPr>
          <w:kern w:val="0"/>
        </w:rPr>
        <w:t>’</w:t>
      </w:r>
      <w:r>
        <w:rPr>
          <w:kern w:val="0"/>
        </w:rPr>
        <w:t xml:space="preserve">s model which connects the </w:t>
      </w:r>
      <w:r w:rsidR="00D5664A">
        <w:rPr>
          <w:kern w:val="0"/>
        </w:rPr>
        <w:t>h-Index</w:t>
      </w:r>
      <w:r>
        <w:rPr>
          <w:kern w:val="0"/>
        </w:rPr>
        <w:t xml:space="preserve"> with two fundamental scientometric indicators: number</w:t>
      </w:r>
      <w:r w:rsidR="00427468">
        <w:rPr>
          <w:kern w:val="0"/>
        </w:rPr>
        <w:t xml:space="preserve"> of </w:t>
      </w:r>
      <w:r>
        <w:rPr>
          <w:kern w:val="0"/>
        </w:rPr>
        <w:t>publications</w:t>
      </w:r>
      <w:r w:rsidR="005853A9">
        <w:rPr>
          <w:kern w:val="0"/>
        </w:rPr>
        <w:t xml:space="preserve"> and </w:t>
      </w:r>
      <w:r>
        <w:rPr>
          <w:kern w:val="0"/>
        </w:rPr>
        <w:t>the rate</w:t>
      </w:r>
      <w:r w:rsidR="00427468">
        <w:rPr>
          <w:kern w:val="0"/>
        </w:rPr>
        <w:t xml:space="preserve"> of </w:t>
      </w:r>
      <w:r>
        <w:rPr>
          <w:kern w:val="0"/>
        </w:rPr>
        <w:t>citation, has been analysed. Following the Microsoft Academic Search, the lists</w:t>
      </w:r>
      <w:r w:rsidR="00427468">
        <w:rPr>
          <w:kern w:val="0"/>
        </w:rPr>
        <w:t xml:space="preserve"> of </w:t>
      </w:r>
      <w:r>
        <w:rPr>
          <w:kern w:val="0"/>
        </w:rPr>
        <w:t>15 top scientists from various academic disciplines</w:t>
      </w:r>
      <w:r w:rsidR="005853A9">
        <w:rPr>
          <w:kern w:val="0"/>
        </w:rPr>
        <w:t xml:space="preserve"> and </w:t>
      </w:r>
      <w:r>
        <w:rPr>
          <w:kern w:val="0"/>
        </w:rPr>
        <w:t>separately in Engineering have been composed. It has been found that the population</w:t>
      </w:r>
      <w:r w:rsidR="00427468">
        <w:rPr>
          <w:kern w:val="0"/>
        </w:rPr>
        <w:t xml:space="preserve"> of </w:t>
      </w:r>
      <w:r>
        <w:rPr>
          <w:kern w:val="0"/>
        </w:rPr>
        <w:t xml:space="preserve">the best keeps basically the same relations between the </w:t>
      </w:r>
      <w:r w:rsidR="00D5664A">
        <w:rPr>
          <w:kern w:val="0"/>
        </w:rPr>
        <w:t>h-Index</w:t>
      </w:r>
      <w:r w:rsidR="005853A9">
        <w:rPr>
          <w:kern w:val="0"/>
        </w:rPr>
        <w:t xml:space="preserve"> and </w:t>
      </w:r>
      <w:r>
        <w:rPr>
          <w:kern w:val="0"/>
        </w:rPr>
        <w:t>a number</w:t>
      </w:r>
      <w:r w:rsidR="00427468">
        <w:rPr>
          <w:kern w:val="0"/>
        </w:rPr>
        <w:t xml:space="preserve"> of </w:t>
      </w:r>
      <w:r>
        <w:rPr>
          <w:kern w:val="0"/>
        </w:rPr>
        <w:t>publication,</w:t>
      </w:r>
      <w:r w:rsidR="005853A9">
        <w:rPr>
          <w:kern w:val="0"/>
        </w:rPr>
        <w:t xml:space="preserve"> and </w:t>
      </w:r>
      <w:r>
        <w:rPr>
          <w:kern w:val="0"/>
        </w:rPr>
        <w:t xml:space="preserve">between the </w:t>
      </w:r>
      <w:r w:rsidR="00D5664A">
        <w:rPr>
          <w:kern w:val="0"/>
        </w:rPr>
        <w:t>h-Index</w:t>
      </w:r>
      <w:r w:rsidR="005853A9">
        <w:rPr>
          <w:kern w:val="0"/>
        </w:rPr>
        <w:t xml:space="preserve"> and </w:t>
      </w:r>
      <w:r>
        <w:rPr>
          <w:kern w:val="0"/>
        </w:rPr>
        <w:t xml:space="preserve">a citation number. However, even the best in Engineering should publish 2 times a year or more papers to receive the same </w:t>
      </w:r>
      <w:r w:rsidR="00D5664A">
        <w:rPr>
          <w:kern w:val="0"/>
        </w:rPr>
        <w:t>h-Index</w:t>
      </w:r>
      <w:r>
        <w:rPr>
          <w:kern w:val="0"/>
        </w:rPr>
        <w:t xml:space="preserve"> as top scientists in overall domains</w:t>
      </w:r>
      <w:r w:rsidR="00A37C1D">
        <w:rPr>
          <w:kern w:val="0"/>
        </w:rPr>
        <w:t>. The</w:t>
      </w:r>
      <w:r>
        <w:rPr>
          <w:kern w:val="0"/>
        </w:rPr>
        <w:t xml:space="preserve"> </w:t>
      </w:r>
      <w:r w:rsidR="00D5664A">
        <w:rPr>
          <w:kern w:val="0"/>
        </w:rPr>
        <w:t>h-Index</w:t>
      </w:r>
      <w:r>
        <w:rPr>
          <w:kern w:val="0"/>
        </w:rPr>
        <w:t xml:space="preserve"> distribution</w:t>
      </w:r>
      <w:r w:rsidR="00427468">
        <w:rPr>
          <w:kern w:val="0"/>
        </w:rPr>
        <w:t xml:space="preserve"> of </w:t>
      </w:r>
      <w:r>
        <w:rPr>
          <w:kern w:val="0"/>
        </w:rPr>
        <w:t>domestic Engineering sub-disciplines has been presented</w:t>
      </w:r>
      <w:r w:rsidR="005853A9">
        <w:rPr>
          <w:kern w:val="0"/>
        </w:rPr>
        <w:t xml:space="preserve"> and </w:t>
      </w:r>
      <w:r>
        <w:rPr>
          <w:kern w:val="0"/>
        </w:rPr>
        <w:t>analysed in statistic categories</w:t>
      </w:r>
      <w:r w:rsidR="00A37C1D">
        <w:rPr>
          <w:kern w:val="0"/>
        </w:rPr>
        <w:t xml:space="preserve">. </w:t>
      </w:r>
      <w:r w:rsidR="00A37C1D">
        <w:rPr>
          <w:kern w:val="0"/>
        </w:rPr>
        <w:lastRenderedPageBreak/>
        <w:t>The</w:t>
      </w:r>
      <w:r>
        <w:rPr>
          <w:kern w:val="0"/>
        </w:rPr>
        <w:t xml:space="preserve"> suitable h-histograms</w:t>
      </w:r>
      <w:r w:rsidR="005853A9">
        <w:rPr>
          <w:kern w:val="0"/>
        </w:rPr>
        <w:t xml:space="preserve"> and </w:t>
      </w:r>
      <w:r>
        <w:rPr>
          <w:kern w:val="0"/>
        </w:rPr>
        <w:t>the cumulative probability density function (CPDF) have been elaborated for 21 sub-disciplines</w:t>
      </w:r>
      <w:r w:rsidR="005853A9">
        <w:rPr>
          <w:kern w:val="0"/>
        </w:rPr>
        <w:t xml:space="preserve"> and </w:t>
      </w:r>
      <w:r>
        <w:rPr>
          <w:kern w:val="0"/>
        </w:rPr>
        <w:t>thereupon the Engineering sub-disciplines have been arranged into three clusters. It has been demonstrated that Engineering as the whole</w:t>
      </w:r>
      <w:r w:rsidR="005853A9">
        <w:rPr>
          <w:kern w:val="0"/>
        </w:rPr>
        <w:t xml:space="preserve"> and </w:t>
      </w:r>
      <w:r>
        <w:rPr>
          <w:kern w:val="0"/>
        </w:rPr>
        <w:t>Engineering sub-disciplines are underestimated, compared to other academic disciplines</w:t>
      </w:r>
      <w:r w:rsidR="00A37C1D">
        <w:rPr>
          <w:kern w:val="0"/>
        </w:rPr>
        <w:t>. The</w:t>
      </w:r>
      <w:r>
        <w:rPr>
          <w:kern w:val="0"/>
        </w:rPr>
        <w:t xml:space="preserve"> adequate normalisation factors have been suggested. Several other conclusions considered the h,H-indices as the measure</w:t>
      </w:r>
      <w:r w:rsidR="00427468">
        <w:rPr>
          <w:kern w:val="0"/>
        </w:rPr>
        <w:t xml:space="preserve"> of </w:t>
      </w:r>
      <w:r>
        <w:rPr>
          <w:kern w:val="0"/>
        </w:rPr>
        <w:t>the knowledge progress addressed to individual researchers</w:t>
      </w:r>
      <w:r w:rsidR="005853A9">
        <w:rPr>
          <w:kern w:val="0"/>
        </w:rPr>
        <w:t xml:space="preserve"> and </w:t>
      </w:r>
      <w:r>
        <w:rPr>
          <w:kern w:val="0"/>
        </w:rPr>
        <w:t>to collective, e.g., journals, institutions, organisations, countries, adequately have been written</w:t>
      </w:r>
      <w:r w:rsidR="00A37C1D">
        <w:rPr>
          <w:kern w:val="0"/>
        </w:rPr>
        <w:t>. The</w:t>
      </w:r>
      <w:r>
        <w:rPr>
          <w:kern w:val="0"/>
        </w:rPr>
        <w:t xml:space="preserve"> h,H-indices are the general measure</w:t>
      </w:r>
      <w:r w:rsidR="00427468">
        <w:rPr>
          <w:kern w:val="0"/>
        </w:rPr>
        <w:t xml:space="preserve"> of </w:t>
      </w:r>
      <w:r>
        <w:rPr>
          <w:kern w:val="0"/>
        </w:rPr>
        <w:t>the position</w:t>
      </w:r>
      <w:r w:rsidR="00427468">
        <w:rPr>
          <w:kern w:val="0"/>
        </w:rPr>
        <w:t xml:space="preserve"> of </w:t>
      </w:r>
      <w:r>
        <w:rPr>
          <w:kern w:val="0"/>
        </w:rPr>
        <w:t>the given subject (person or organisation) but cannot be universal.</w:t>
      </w:r>
    </w:p>
    <w:p w:rsidR="00480E14" w:rsidRDefault="00480E14" w:rsidP="00480E14">
      <w:pPr>
        <w:pStyle w:val="a3"/>
        <w:rPr>
          <w:kern w:val="0"/>
        </w:rPr>
      </w:pPr>
      <w:r>
        <w:rPr>
          <w:kern w:val="0"/>
        </w:rPr>
        <w:t xml:space="preserve">Keywords: Academic, Bibliometric Indicators, Citation, Citation Metrics, Citations, Country Rank, Cumulative, Disciplines, Distribution, Domestic Engineering Sub-Disciplines, Engineering, Experience, Fields, Function, General, </w:t>
      </w:r>
      <w:r w:rsidR="00D5664A">
        <w:rPr>
          <w:rFonts w:hint="eastAsia"/>
          <w:kern w:val="0"/>
        </w:rPr>
        <w:t>h Index</w:t>
      </w:r>
      <w:r>
        <w:rPr>
          <w:kern w:val="0"/>
        </w:rPr>
        <w:t xml:space="preserve">, </w:t>
      </w:r>
      <w:r w:rsidR="00D5664A">
        <w:rPr>
          <w:rFonts w:hint="eastAsia"/>
          <w:kern w:val="0"/>
        </w:rPr>
        <w:t>h-Index</w:t>
      </w:r>
      <w:r>
        <w:rPr>
          <w:kern w:val="0"/>
        </w:rPr>
        <w:t xml:space="preserve">, </w:t>
      </w:r>
      <w:r w:rsidR="00D5664A">
        <w:rPr>
          <w:rFonts w:hint="eastAsia"/>
          <w:kern w:val="0"/>
        </w:rPr>
        <w:t>h-Index</w:t>
      </w:r>
      <w:r>
        <w:rPr>
          <w:kern w:val="0"/>
        </w:rPr>
        <w:t>, Hirsch, Hirsc</w:t>
      </w:r>
      <w:r w:rsidR="00D5664A">
        <w:rPr>
          <w:kern w:val="0"/>
        </w:rPr>
        <w:t>h Index</w:t>
      </w:r>
      <w:r>
        <w:rPr>
          <w:kern w:val="0"/>
        </w:rPr>
        <w:t>, Hirsc</w:t>
      </w:r>
      <w:r w:rsidR="00D5664A">
        <w:rPr>
          <w:kern w:val="0"/>
        </w:rPr>
        <w:t>h-Index</w:t>
      </w:r>
      <w:r>
        <w:rPr>
          <w:kern w:val="0"/>
        </w:rPr>
        <w:t>, Impact, Impact Factor, Index, Indicators, Institutions, Journal, Journal Impact, Journal Impact Factor, Journals, Knowledge, Mar, Measure, Mechanism, Model, Normalisation Factors, Papers, Parameterisation, Permanent, Person, Population, Potential, Progress, Publication, Publications, Ranking, Relations, Role, Sciences, Scientific-Research Output, Scientists, Scientometric, Scimago Indicator, Search, Statistics</w:t>
      </w:r>
    </w:p>
    <w:p w:rsidR="00500AD3" w:rsidRPr="00FC7835" w:rsidRDefault="00500AD3" w:rsidP="00500AD3">
      <w:pPr>
        <w:pStyle w:val="1"/>
      </w:pPr>
      <w:r w:rsidRPr="00FC7835">
        <w:rPr>
          <w:b w:val="0"/>
        </w:rPr>
        <w:br w:type="page"/>
      </w:r>
      <w:bookmarkStart w:id="983" w:name="_Toc420814857"/>
      <w:r w:rsidRPr="00FC7835">
        <w:lastRenderedPageBreak/>
        <w:t>Title: Bulletin</w:t>
      </w:r>
      <w:r w:rsidR="00427468">
        <w:t xml:space="preserve"> of </w:t>
      </w:r>
      <w:r w:rsidR="003A1917">
        <w:t xml:space="preserve">the </w:t>
      </w:r>
      <w:r w:rsidRPr="00FC7835">
        <w:t>World Health Organizati</w:t>
      </w:r>
      <w:bookmarkStart w:id="984" w:name="_Toc302559609"/>
      <w:r w:rsidRPr="00FC7835">
        <w:t>on</w:t>
      </w:r>
      <w:bookmarkEnd w:id="983"/>
    </w:p>
    <w:p w:rsidR="00500AD3" w:rsidRPr="00FC7835" w:rsidRDefault="00500AD3" w:rsidP="00500AD3">
      <w:pPr>
        <w:pStyle w:val="12"/>
      </w:pPr>
      <w:r w:rsidRPr="00FC7835">
        <w:t xml:space="preserve">Full Journal Title: </w:t>
      </w:r>
      <w:r w:rsidR="00206C8A">
        <w:fldChar w:fldCharType="begin"/>
      </w:r>
      <w:r w:rsidR="00FD158B">
        <w:instrText>HYPERLINK "http://www.sc</w:instrText>
      </w:r>
      <w:bookmarkEnd w:id="984"/>
      <w:r w:rsidR="00FD158B">
        <w:instrText>ielosp.org/scielo.php?script=sci_issues&amp;pid=0042-9686&amp;lng=en&amp;nrm=iso"</w:instrText>
      </w:r>
      <w:r w:rsidR="00206C8A">
        <w:fldChar w:fldCharType="separate"/>
      </w:r>
      <w:r w:rsidRPr="0006614D">
        <w:rPr>
          <w:rStyle w:val="a5"/>
        </w:rPr>
        <w:t>Bulletin</w:t>
      </w:r>
      <w:r w:rsidR="00427468">
        <w:rPr>
          <w:rStyle w:val="a5"/>
        </w:rPr>
        <w:t xml:space="preserve"> of </w:t>
      </w:r>
      <w:r w:rsidR="003A1917">
        <w:rPr>
          <w:rStyle w:val="a5"/>
        </w:rPr>
        <w:t xml:space="preserve">the </w:t>
      </w:r>
      <w:r w:rsidRPr="0006614D">
        <w:rPr>
          <w:rStyle w:val="a5"/>
        </w:rPr>
        <w:t>World Health Organization</w:t>
      </w:r>
      <w:r w:rsidR="00206C8A">
        <w:fldChar w:fldCharType="end"/>
      </w:r>
    </w:p>
    <w:p w:rsidR="00500AD3" w:rsidRPr="00FC7835" w:rsidRDefault="00500AD3" w:rsidP="00500AD3">
      <w:pPr>
        <w:pStyle w:val="12"/>
      </w:pPr>
      <w:r w:rsidRPr="00FC7835">
        <w:t>ISO Abbreviated Title: Bull. World Health Organ.</w:t>
      </w:r>
    </w:p>
    <w:p w:rsidR="00500AD3" w:rsidRPr="00FC7835" w:rsidRDefault="00500AD3" w:rsidP="00500AD3">
      <w:pPr>
        <w:pStyle w:val="12"/>
      </w:pPr>
      <w:r w:rsidRPr="00FC7835">
        <w:t>JCR Abbreviated Title: B World Health Organ</w:t>
      </w:r>
    </w:p>
    <w:p w:rsidR="00500AD3" w:rsidRPr="00FC7835" w:rsidRDefault="00500AD3" w:rsidP="00500AD3">
      <w:pPr>
        <w:pStyle w:val="12"/>
      </w:pPr>
      <w:r w:rsidRPr="00FC7835">
        <w:t>ISSN: 0042-9686</w:t>
      </w:r>
    </w:p>
    <w:p w:rsidR="00500AD3" w:rsidRPr="00FC7835" w:rsidRDefault="00500AD3" w:rsidP="00500AD3">
      <w:pPr>
        <w:pStyle w:val="12"/>
      </w:pPr>
      <w:r w:rsidRPr="00FC7835">
        <w:t>Issues/Year: 6</w:t>
      </w:r>
    </w:p>
    <w:p w:rsidR="00500AD3" w:rsidRPr="00FC7835" w:rsidRDefault="00500AD3" w:rsidP="00500AD3">
      <w:pPr>
        <w:pStyle w:val="12"/>
      </w:pPr>
      <w:r w:rsidRPr="00FC7835">
        <w:t xml:space="preserve">Journal Country/Territory: </w:t>
      </w:r>
      <w:smartTag w:uri="urn:schemas-microsoft-com:office:smarttags" w:element="place">
        <w:smartTag w:uri="urn:schemas-microsoft-com:office:smarttags" w:element="country-region">
          <w:r w:rsidRPr="00FC7835">
            <w:t>Switzerland</w:t>
          </w:r>
        </w:smartTag>
      </w:smartTag>
    </w:p>
    <w:p w:rsidR="00500AD3" w:rsidRPr="00FC7835" w:rsidRDefault="00500AD3" w:rsidP="00500AD3">
      <w:pPr>
        <w:pStyle w:val="12"/>
      </w:pPr>
      <w:r w:rsidRPr="00FC7835">
        <w:t>Language: Multi-Language</w:t>
      </w:r>
    </w:p>
    <w:p w:rsidR="00500AD3" w:rsidRPr="00FC7835" w:rsidRDefault="00500AD3" w:rsidP="00500AD3">
      <w:pPr>
        <w:pStyle w:val="12"/>
      </w:pPr>
      <w:r w:rsidRPr="00FC7835">
        <w:t>Publisher: World Health Organization</w:t>
      </w:r>
    </w:p>
    <w:p w:rsidR="00500AD3" w:rsidRPr="00FC7835" w:rsidRDefault="00500AD3" w:rsidP="00500AD3">
      <w:pPr>
        <w:pStyle w:val="12"/>
      </w:pPr>
      <w:r w:rsidRPr="00FC7835">
        <w:t>Publisher Address: Distribution</w:t>
      </w:r>
      <w:r w:rsidR="005853A9">
        <w:t xml:space="preserve"> and </w:t>
      </w:r>
      <w:r w:rsidRPr="00FC7835">
        <w:t>Sales</w:t>
      </w:r>
      <w:r>
        <w:t xml:space="preserve">, </w:t>
      </w:r>
      <w:r w:rsidRPr="00FC7835">
        <w:t xml:space="preserve">CH-1211 </w:t>
      </w:r>
      <w:smartTag w:uri="urn:schemas-microsoft-com:office:smarttags" w:element="City">
        <w:r w:rsidRPr="00FC7835">
          <w:t>Geneva</w:t>
        </w:r>
      </w:smartTag>
      <w:r w:rsidRPr="00FC7835">
        <w:t xml:space="preserve"> 27</w:t>
      </w:r>
      <w:r>
        <w:t xml:space="preserve">, </w:t>
      </w:r>
      <w:r w:rsidRPr="00FC7835">
        <w:t>Switzerland</w:t>
      </w:r>
    </w:p>
    <w:p w:rsidR="00500AD3" w:rsidRPr="00FC7835" w:rsidRDefault="00500AD3" w:rsidP="00500AD3">
      <w:pPr>
        <w:pStyle w:val="12"/>
      </w:pPr>
      <w:r w:rsidRPr="00FC7835">
        <w:t xml:space="preserve">Subject Categories: </w:t>
      </w:r>
    </w:p>
    <w:p w:rsidR="00500AD3" w:rsidRPr="00FC7835" w:rsidRDefault="00500AD3" w:rsidP="00500AD3">
      <w:pPr>
        <w:pStyle w:val="12"/>
      </w:pPr>
      <w:r w:rsidRPr="00FC7835">
        <w:t>Public</w:t>
      </w:r>
      <w:r>
        <w:t xml:space="preserve">, </w:t>
      </w:r>
      <w:r w:rsidRPr="00FC7835">
        <w:t>Environmental &amp; Occupational Health: Impact Factor 0.149</w:t>
      </w:r>
      <w:r>
        <w:t xml:space="preserve">, </w:t>
      </w:r>
      <w:r w:rsidRPr="00FC7835">
        <w:t>35/85</w:t>
      </w:r>
    </w:p>
    <w:p w:rsidR="00500AD3" w:rsidRDefault="00500AD3" w:rsidP="00500AD3">
      <w:pPr>
        <w:pStyle w:val="a3"/>
        <w:rPr>
          <w:kern w:val="0"/>
        </w:rPr>
      </w:pPr>
      <w:r>
        <w:rPr>
          <w:rFonts w:hint="eastAsia"/>
          <w:kern w:val="0"/>
        </w:rPr>
        <w:t xml:space="preserve">? </w:t>
      </w:r>
      <w:r>
        <w:rPr>
          <w:kern w:val="0"/>
        </w:rPr>
        <w:t>Tomasi, E., Facchini, L.A.</w:t>
      </w:r>
      <w:r w:rsidR="005853A9">
        <w:rPr>
          <w:kern w:val="0"/>
        </w:rPr>
        <w:t xml:space="preserve"> and </w:t>
      </w:r>
      <w:r>
        <w:rPr>
          <w:kern w:val="0"/>
        </w:rPr>
        <w:t xml:space="preserve">Maia, M.D.S. (2004), Health information technology in primary health care in developing countries: A literature review. </w:t>
      </w:r>
      <w:r>
        <w:rPr>
          <w:i/>
          <w:iCs/>
          <w:kern w:val="0"/>
        </w:rPr>
        <w:t>Bulletin</w:t>
      </w:r>
      <w:r w:rsidR="00427468">
        <w:rPr>
          <w:i/>
          <w:iCs/>
          <w:kern w:val="0"/>
        </w:rPr>
        <w:t xml:space="preserve"> of </w:t>
      </w:r>
      <w:r w:rsidR="003A1917">
        <w:rPr>
          <w:i/>
          <w:iCs/>
          <w:kern w:val="0"/>
        </w:rPr>
        <w:t xml:space="preserve">the </w:t>
      </w:r>
      <w:r>
        <w:rPr>
          <w:i/>
          <w:iCs/>
          <w:kern w:val="0"/>
        </w:rPr>
        <w:t>World Health Organization</w:t>
      </w:r>
      <w:r>
        <w:rPr>
          <w:kern w:val="0"/>
        </w:rPr>
        <w:t xml:space="preserve">, </w:t>
      </w:r>
      <w:r>
        <w:rPr>
          <w:b/>
          <w:bCs/>
          <w:kern w:val="0"/>
        </w:rPr>
        <w:t>82</w:t>
      </w:r>
      <w:r>
        <w:rPr>
          <w:kern w:val="0"/>
        </w:rPr>
        <w:t xml:space="preserve"> (11), 867-874.</w:t>
      </w:r>
    </w:p>
    <w:p w:rsidR="00500AD3" w:rsidRPr="00FC7835" w:rsidRDefault="00500AD3" w:rsidP="00500AD3">
      <w:pPr>
        <w:pStyle w:val="a3"/>
      </w:pPr>
      <w:r>
        <w:t>Full Text:</w:t>
      </w:r>
      <w:r w:rsidRPr="00FC7835">
        <w:t xml:space="preserve"> </w:t>
      </w:r>
      <w:r w:rsidRPr="00577381">
        <w:t>200</w:t>
      </w:r>
      <w:r>
        <w:rPr>
          <w:rFonts w:hint="eastAsia"/>
        </w:rPr>
        <w:t>4</w:t>
      </w:r>
      <w:r w:rsidRPr="00577381">
        <w:t>\Bul Wor Hea Org8</w:t>
      </w:r>
      <w:r>
        <w:rPr>
          <w:rFonts w:hint="eastAsia"/>
        </w:rPr>
        <w:t>2</w:t>
      </w:r>
      <w:r w:rsidRPr="00577381">
        <w:t xml:space="preserve">, </w:t>
      </w:r>
      <w:r>
        <w:rPr>
          <w:rFonts w:hint="eastAsia"/>
        </w:rPr>
        <w:t>867</w:t>
      </w:r>
      <w:r w:rsidRPr="00577381">
        <w:t>.pdf</w:t>
      </w:r>
    </w:p>
    <w:p w:rsidR="00500AD3" w:rsidRDefault="00500AD3" w:rsidP="00500AD3">
      <w:pPr>
        <w:pStyle w:val="a3"/>
        <w:rPr>
          <w:kern w:val="0"/>
        </w:rPr>
      </w:pPr>
      <w:r>
        <w:rPr>
          <w:kern w:val="0"/>
        </w:rPr>
        <w:t>Abstract: This paper explores</w:t>
      </w:r>
      <w:r w:rsidR="003A1917">
        <w:rPr>
          <w:kern w:val="0"/>
        </w:rPr>
        <w:t xml:space="preserve"> the </w:t>
      </w:r>
      <w:r>
        <w:rPr>
          <w:kern w:val="0"/>
        </w:rPr>
        <w:t>debate</w:t>
      </w:r>
      <w:r w:rsidR="005853A9">
        <w:rPr>
          <w:kern w:val="0"/>
        </w:rPr>
        <w:t xml:space="preserve"> and </w:t>
      </w:r>
      <w:r>
        <w:rPr>
          <w:kern w:val="0"/>
        </w:rPr>
        <w:t>initiatives concerning</w:t>
      </w:r>
      <w:r w:rsidR="003A1917">
        <w:rPr>
          <w:kern w:val="0"/>
        </w:rPr>
        <w:t xml:space="preserve"> the </w:t>
      </w:r>
      <w:r>
        <w:rPr>
          <w:kern w:val="0"/>
        </w:rPr>
        <w:t>use</w:t>
      </w:r>
      <w:r w:rsidR="00427468">
        <w:rPr>
          <w:kern w:val="0"/>
        </w:rPr>
        <w:t xml:space="preserve"> of </w:t>
      </w:r>
      <w:r>
        <w:rPr>
          <w:kern w:val="0"/>
        </w:rPr>
        <w:t>information technology (IT) in primary health care in developing countries</w:t>
      </w:r>
      <w:r w:rsidR="00A37C1D">
        <w:rPr>
          <w:kern w:val="0"/>
        </w:rPr>
        <w:t>. The</w:t>
      </w:r>
      <w:r w:rsidR="003A1917">
        <w:rPr>
          <w:kern w:val="0"/>
        </w:rPr>
        <w:t xml:space="preserve"> </w:t>
      </w:r>
      <w:r>
        <w:rPr>
          <w:kern w:val="0"/>
        </w:rPr>
        <w:t>literature from 1992-2002 was identified from searches</w:t>
      </w:r>
      <w:r w:rsidR="00427468">
        <w:rPr>
          <w:kern w:val="0"/>
        </w:rPr>
        <w:t xml:space="preserve"> of </w:t>
      </w:r>
      <w:r w:rsidR="003A1917">
        <w:rPr>
          <w:kern w:val="0"/>
        </w:rPr>
        <w:t xml:space="preserve">the </w:t>
      </w:r>
      <w:r w:rsidR="00D5664A">
        <w:rPr>
          <w:kern w:val="0"/>
        </w:rPr>
        <w:t>MEDLINE</w:t>
      </w:r>
      <w:r>
        <w:rPr>
          <w:kern w:val="0"/>
        </w:rPr>
        <w:t>, Latin American</w:t>
      </w:r>
      <w:r w:rsidR="005853A9">
        <w:rPr>
          <w:kern w:val="0"/>
        </w:rPr>
        <w:t xml:space="preserve"> and </w:t>
      </w:r>
      <w:r>
        <w:rPr>
          <w:kern w:val="0"/>
        </w:rPr>
        <w:t>Caribbean Health Science Literature Database (LILACS), Cochrane Library</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w:t>
      </w:r>
      <w:r w:rsidR="00A37C1D">
        <w:rPr>
          <w:kern w:val="0"/>
        </w:rPr>
        <w:t>. The</w:t>
      </w:r>
      <w:r w:rsidR="003A1917">
        <w:rPr>
          <w:kern w:val="0"/>
        </w:rPr>
        <w:t xml:space="preserve"> </w:t>
      </w:r>
      <w:r>
        <w:rPr>
          <w:kern w:val="0"/>
        </w:rPr>
        <w:t>search identified 884 references, 350</w:t>
      </w:r>
      <w:r w:rsidR="00427468">
        <w:rPr>
          <w:kern w:val="0"/>
        </w:rPr>
        <w:t xml:space="preserve"> of </w:t>
      </w:r>
      <w:r>
        <w:rPr>
          <w:kern w:val="0"/>
        </w:rPr>
        <w:t>which were classified according to</w:t>
      </w:r>
      <w:r w:rsidR="003A1917">
        <w:rPr>
          <w:kern w:val="0"/>
        </w:rPr>
        <w:t xml:space="preserve"> the </w:t>
      </w:r>
      <w:r>
        <w:rPr>
          <w:kern w:val="0"/>
        </w:rPr>
        <w:t>scheme described by</w:t>
      </w:r>
      <w:r w:rsidR="003A1917">
        <w:rPr>
          <w:kern w:val="0"/>
        </w:rPr>
        <w:t xml:space="preserve"> the </w:t>
      </w:r>
      <w:r>
        <w:rPr>
          <w:kern w:val="0"/>
        </w:rPr>
        <w:t>Pan American Health Organization (PAHO). For</w:t>
      </w:r>
      <w:r w:rsidR="003A1917">
        <w:rPr>
          <w:kern w:val="0"/>
        </w:rPr>
        <w:t xml:space="preserve"> the </w:t>
      </w:r>
      <w:r>
        <w:rPr>
          <w:kern w:val="0"/>
        </w:rPr>
        <w:t>analysis</w:t>
      </w:r>
      <w:r w:rsidR="00427468">
        <w:rPr>
          <w:kern w:val="0"/>
        </w:rPr>
        <w:t xml:space="preserve"> of </w:t>
      </w:r>
      <w:r>
        <w:rPr>
          <w:kern w:val="0"/>
        </w:rPr>
        <w:t>advantages, problems</w:t>
      </w:r>
      <w:r w:rsidR="005853A9">
        <w:rPr>
          <w:kern w:val="0"/>
        </w:rPr>
        <w:t xml:space="preserve"> and </w:t>
      </w:r>
      <w:r>
        <w:rPr>
          <w:kern w:val="0"/>
        </w:rPr>
        <w:t>perspectives</w:t>
      </w:r>
      <w:r w:rsidR="00427468">
        <w:rPr>
          <w:kern w:val="0"/>
        </w:rPr>
        <w:t xml:space="preserve"> of </w:t>
      </w:r>
      <w:r>
        <w:rPr>
          <w:kern w:val="0"/>
        </w:rPr>
        <w:t>IT applications</w:t>
      </w:r>
      <w:r w:rsidR="005853A9">
        <w:rPr>
          <w:kern w:val="0"/>
        </w:rPr>
        <w:t xml:space="preserve"> and </w:t>
      </w:r>
      <w:r>
        <w:rPr>
          <w:kern w:val="0"/>
        </w:rPr>
        <w:t>systems, 52 articles were selected according to their potential contribution to</w:t>
      </w:r>
      <w:r w:rsidR="003A1917">
        <w:rPr>
          <w:kern w:val="0"/>
        </w:rPr>
        <w:t xml:space="preserve"> the </w:t>
      </w:r>
      <w:r>
        <w:rPr>
          <w:kern w:val="0"/>
        </w:rPr>
        <w:t>primary health-care processes in non-developed countries</w:t>
      </w:r>
      <w:r w:rsidR="00A37C1D">
        <w:rPr>
          <w:kern w:val="0"/>
        </w:rPr>
        <w:t>. The</w:t>
      </w:r>
      <w:r>
        <w:rPr>
          <w:kern w:val="0"/>
        </w:rPr>
        <w:t>se included: 10 on electronic patient registries (EPR), 22 on process</w:t>
      </w:r>
      <w:r w:rsidR="005853A9">
        <w:rPr>
          <w:kern w:val="0"/>
        </w:rPr>
        <w:t xml:space="preserve"> and </w:t>
      </w:r>
      <w:r>
        <w:rPr>
          <w:kern w:val="0"/>
        </w:rPr>
        <w:t>programmatic action evaluation</w:t>
      </w:r>
      <w:r w:rsidR="005853A9">
        <w:rPr>
          <w:kern w:val="0"/>
        </w:rPr>
        <w:t xml:space="preserve"> and </w:t>
      </w:r>
      <w:r>
        <w:rPr>
          <w:kern w:val="0"/>
        </w:rPr>
        <w:t>management systems. (PPAEM)</w:t>
      </w:r>
      <w:r w:rsidR="005853A9">
        <w:rPr>
          <w:kern w:val="0"/>
        </w:rPr>
        <w:t xml:space="preserve"> and </w:t>
      </w:r>
      <w:r>
        <w:rPr>
          <w:kern w:val="0"/>
        </w:rPr>
        <w:t>20 on clinical decision-support systems (CDS)</w:t>
      </w:r>
      <w:r w:rsidR="00A37C1D">
        <w:rPr>
          <w:kern w:val="0"/>
        </w:rPr>
        <w:t>. The</w:t>
      </w:r>
      <w:r w:rsidR="003A1917">
        <w:rPr>
          <w:kern w:val="0"/>
        </w:rPr>
        <w:t xml:space="preserve"> </w:t>
      </w:r>
      <w:r>
        <w:rPr>
          <w:kern w:val="0"/>
        </w:rPr>
        <w:t>main advantages, limitations</w:t>
      </w:r>
      <w:r w:rsidR="005853A9">
        <w:rPr>
          <w:kern w:val="0"/>
        </w:rPr>
        <w:t xml:space="preserve"> and </w:t>
      </w:r>
      <w:r>
        <w:rPr>
          <w:kern w:val="0"/>
        </w:rPr>
        <w:t>perspectives are discussed.</w:t>
      </w:r>
    </w:p>
    <w:p w:rsidR="00500AD3" w:rsidRDefault="00500AD3" w:rsidP="00500AD3">
      <w:pPr>
        <w:pStyle w:val="a3"/>
        <w:rPr>
          <w:kern w:val="0"/>
        </w:rPr>
      </w:pPr>
      <w:r>
        <w:rPr>
          <w:kern w:val="0"/>
        </w:rPr>
        <w:t>Keywords: Analysis, Asthma, Cd, Challenges, Cochrane, Contribution, Databases, Decision Support Systems,</w:t>
      </w:r>
      <w:r w:rsidR="00032688">
        <w:rPr>
          <w:rFonts w:hint="eastAsia"/>
          <w:kern w:val="0"/>
        </w:rPr>
        <w:t xml:space="preserve"> </w:t>
      </w:r>
      <w:r>
        <w:rPr>
          <w:kern w:val="0"/>
        </w:rPr>
        <w:t>Clinical, Utilization, Decision-Support Systems, Developing Countries, Education,</w:t>
      </w:r>
      <w:r>
        <w:rPr>
          <w:rFonts w:hint="eastAsia"/>
          <w:kern w:val="0"/>
        </w:rPr>
        <w:t xml:space="preserve"> </w:t>
      </w:r>
      <w:r>
        <w:rPr>
          <w:kern w:val="0"/>
        </w:rPr>
        <w:t xml:space="preserve">Distance, Evaluation, General-Practice, Health, Health Care, Information, Information Systems, Utilization, Information Technology, Latin American, Literature, Literature Review, Management, Medical Records Systems,Computerized, Utilization, </w:t>
      </w:r>
      <w:r w:rsidR="00D5664A">
        <w:rPr>
          <w:kern w:val="0"/>
        </w:rPr>
        <w:t>MEDLINE</w:t>
      </w:r>
      <w:r>
        <w:rPr>
          <w:kern w:val="0"/>
        </w:rPr>
        <w:t xml:space="preserve">, Primary, Primary Health Care, Quality, Records, Review, Review Literature, Science, Services, Surveillance, System, Telemedicine, Utilization, Trial, </w:t>
      </w:r>
      <w:r w:rsidR="00D5664A">
        <w:rPr>
          <w:kern w:val="0"/>
        </w:rPr>
        <w:t>Web</w:t>
      </w:r>
      <w:r w:rsidR="00427468">
        <w:rPr>
          <w:kern w:val="0"/>
        </w:rPr>
        <w:t xml:space="preserve"> of </w:t>
      </w:r>
      <w:r w:rsidR="00D5664A">
        <w:rPr>
          <w:kern w:val="0"/>
        </w:rPr>
        <w:t>Science</w:t>
      </w:r>
    </w:p>
    <w:p w:rsidR="00CB0126" w:rsidRDefault="00CB0126" w:rsidP="00CB0126">
      <w:pPr>
        <w:pStyle w:val="a3"/>
        <w:rPr>
          <w:kern w:val="0"/>
        </w:rPr>
      </w:pPr>
      <w:r>
        <w:rPr>
          <w:rFonts w:hint="eastAsia"/>
          <w:kern w:val="0"/>
        </w:rPr>
        <w:lastRenderedPageBreak/>
        <w:t xml:space="preserve">? </w:t>
      </w:r>
      <w:r>
        <w:rPr>
          <w:kern w:val="0"/>
        </w:rPr>
        <w:t>Hilawe, E.H., Yatsuya, H., Kawaguchi, L.</w:t>
      </w:r>
      <w:r w:rsidR="005853A9">
        <w:rPr>
          <w:kern w:val="0"/>
        </w:rPr>
        <w:t xml:space="preserve"> and </w:t>
      </w:r>
      <w:r>
        <w:rPr>
          <w:kern w:val="0"/>
        </w:rPr>
        <w:t>Aoyama, A. (2013), Differences by sex in the prevalence</w:t>
      </w:r>
      <w:r w:rsidR="00427468">
        <w:rPr>
          <w:kern w:val="0"/>
        </w:rPr>
        <w:t xml:space="preserve"> of </w:t>
      </w:r>
      <w:r>
        <w:rPr>
          <w:kern w:val="0"/>
        </w:rPr>
        <w:t>diabetes mellitus, impaired fasting glycaemia</w:t>
      </w:r>
      <w:r w:rsidR="005853A9">
        <w:rPr>
          <w:kern w:val="0"/>
        </w:rPr>
        <w:t xml:space="preserve"> and </w:t>
      </w:r>
      <w:r>
        <w:rPr>
          <w:kern w:val="0"/>
        </w:rPr>
        <w:t>impaired glucose tolerance in sub-Saharan Africa: A systematic review</w:t>
      </w:r>
      <w:r w:rsidR="005853A9">
        <w:rPr>
          <w:kern w:val="0"/>
        </w:rPr>
        <w:t xml:space="preserve"> and </w:t>
      </w:r>
      <w:r>
        <w:rPr>
          <w:kern w:val="0"/>
        </w:rPr>
        <w:t xml:space="preserve">meta-analysis. </w:t>
      </w:r>
      <w:r>
        <w:rPr>
          <w:i/>
          <w:iCs/>
          <w:kern w:val="0"/>
        </w:rPr>
        <w:t>Bulletin</w:t>
      </w:r>
      <w:r w:rsidR="00427468">
        <w:rPr>
          <w:i/>
          <w:iCs/>
          <w:kern w:val="0"/>
        </w:rPr>
        <w:t xml:space="preserve"> of </w:t>
      </w:r>
      <w:r>
        <w:rPr>
          <w:i/>
          <w:iCs/>
          <w:kern w:val="0"/>
        </w:rPr>
        <w:t>the World Health Organization</w:t>
      </w:r>
      <w:r>
        <w:rPr>
          <w:kern w:val="0"/>
        </w:rPr>
        <w:t xml:space="preserve">, </w:t>
      </w:r>
      <w:r>
        <w:rPr>
          <w:b/>
          <w:bCs/>
          <w:kern w:val="0"/>
        </w:rPr>
        <w:t>91</w:t>
      </w:r>
      <w:r>
        <w:rPr>
          <w:kern w:val="0"/>
        </w:rPr>
        <w:t xml:space="preserve"> (9), 671-682.</w:t>
      </w:r>
    </w:p>
    <w:p w:rsidR="00CB0126" w:rsidRPr="00FC7835" w:rsidRDefault="00CB0126" w:rsidP="00CB0126">
      <w:pPr>
        <w:pStyle w:val="a3"/>
      </w:pPr>
      <w:r>
        <w:t>Full Text:</w:t>
      </w:r>
      <w:r w:rsidRPr="00FC7835">
        <w:t xml:space="preserve"> </w:t>
      </w:r>
      <w:hyperlink r:id="rId2147" w:history="1">
        <w:r w:rsidRPr="00A62465">
          <w:rPr>
            <w:rStyle w:val="a5"/>
          </w:rPr>
          <w:t>2013\Bul Wor Hea Org91, 671.pdf</w:t>
        </w:r>
      </w:hyperlink>
    </w:p>
    <w:p w:rsidR="00CB0126" w:rsidRDefault="00CB0126" w:rsidP="00CB0126">
      <w:pPr>
        <w:pStyle w:val="a3"/>
        <w:rPr>
          <w:kern w:val="0"/>
        </w:rPr>
      </w:pPr>
      <w:r>
        <w:rPr>
          <w:kern w:val="0"/>
        </w:rPr>
        <w:t>Abstract: Objective To assess differences between men</w:t>
      </w:r>
      <w:r w:rsidR="005853A9">
        <w:rPr>
          <w:kern w:val="0"/>
        </w:rPr>
        <w:t xml:space="preserve"> and </w:t>
      </w:r>
      <w:r>
        <w:rPr>
          <w:kern w:val="0"/>
        </w:rPr>
        <w:t>women in the prevalence</w:t>
      </w:r>
      <w:r w:rsidR="00427468">
        <w:rPr>
          <w:kern w:val="0"/>
        </w:rPr>
        <w:t xml:space="preserve"> of </w:t>
      </w:r>
      <w:r>
        <w:rPr>
          <w:kern w:val="0"/>
        </w:rPr>
        <w:t>diabetes mellitus, impaired fasting glycaemia</w:t>
      </w:r>
      <w:r w:rsidR="005853A9">
        <w:rPr>
          <w:kern w:val="0"/>
        </w:rPr>
        <w:t xml:space="preserve"> and </w:t>
      </w:r>
      <w:r>
        <w:rPr>
          <w:kern w:val="0"/>
        </w:rPr>
        <w:t>impaired glucose tolerance in sub-Saharan Africa. Methods in September 2011, the PubMed</w:t>
      </w:r>
      <w:r w:rsidR="005853A9">
        <w:rPr>
          <w:kern w:val="0"/>
        </w:rPr>
        <w:t xml:space="preserve"> and </w:t>
      </w:r>
      <w:r w:rsidR="00D5664A">
        <w:rPr>
          <w:kern w:val="0"/>
        </w:rPr>
        <w:t>Web</w:t>
      </w:r>
      <w:r w:rsidR="00427468">
        <w:rPr>
          <w:kern w:val="0"/>
        </w:rPr>
        <w:t xml:space="preserve"> of </w:t>
      </w:r>
      <w:r w:rsidR="00D5664A">
        <w:rPr>
          <w:kern w:val="0"/>
        </w:rPr>
        <w:t>Science</w:t>
      </w:r>
      <w:r>
        <w:rPr>
          <w:kern w:val="0"/>
        </w:rPr>
        <w:t xml:space="preserve"> databases were searched for community-based, cross-sectional studies providing sex-specific prevalences</w:t>
      </w:r>
      <w:r w:rsidR="00427468">
        <w:rPr>
          <w:kern w:val="0"/>
        </w:rPr>
        <w:t xml:space="preserve"> of </w:t>
      </w:r>
      <w:r>
        <w:rPr>
          <w:kern w:val="0"/>
        </w:rPr>
        <w:t>any</w:t>
      </w:r>
      <w:r w:rsidR="00427468">
        <w:rPr>
          <w:kern w:val="0"/>
        </w:rPr>
        <w:t xml:space="preserve"> of </w:t>
      </w:r>
      <w:r>
        <w:rPr>
          <w:kern w:val="0"/>
        </w:rPr>
        <w:t>the three study conditions among adults living in parts</w:t>
      </w:r>
      <w:r w:rsidR="00427468">
        <w:rPr>
          <w:kern w:val="0"/>
        </w:rPr>
        <w:t xml:space="preserve"> of </w:t>
      </w:r>
      <w:r>
        <w:rPr>
          <w:kern w:val="0"/>
        </w:rPr>
        <w:t>sub-Saharan Africa (i.e. in Eastern, Middle</w:t>
      </w:r>
      <w:r w:rsidR="005853A9">
        <w:rPr>
          <w:kern w:val="0"/>
        </w:rPr>
        <w:t xml:space="preserve"> and </w:t>
      </w:r>
      <w:r>
        <w:rPr>
          <w:kern w:val="0"/>
        </w:rPr>
        <w:t>Southern Africa according to the United Nations subregional classification for African countries). A random-effects model was then used to calculate</w:t>
      </w:r>
      <w:r w:rsidR="005853A9">
        <w:rPr>
          <w:kern w:val="0"/>
        </w:rPr>
        <w:t xml:space="preserve"> and </w:t>
      </w:r>
      <w:r>
        <w:rPr>
          <w:kern w:val="0"/>
        </w:rPr>
        <w:t>compare the odds</w:t>
      </w:r>
      <w:r w:rsidR="00427468">
        <w:rPr>
          <w:kern w:val="0"/>
        </w:rPr>
        <w:t xml:space="preserve"> of </w:t>
      </w:r>
      <w:r>
        <w:rPr>
          <w:kern w:val="0"/>
        </w:rPr>
        <w:t>men</w:t>
      </w:r>
      <w:r w:rsidR="005853A9">
        <w:rPr>
          <w:kern w:val="0"/>
        </w:rPr>
        <w:t xml:space="preserve"> and </w:t>
      </w:r>
      <w:r>
        <w:rPr>
          <w:kern w:val="0"/>
        </w:rPr>
        <w:t>women having each condition. Findings In a meta-analysis</w:t>
      </w:r>
      <w:r w:rsidR="00427468">
        <w:rPr>
          <w:kern w:val="0"/>
        </w:rPr>
        <w:t xml:space="preserve"> of </w:t>
      </w:r>
      <w:r>
        <w:rPr>
          <w:kern w:val="0"/>
        </w:rPr>
        <w:t>the 36 relevant, cross-sectional data sets that were identified, impaired fasting glycaemia was found to be more common in Men than in women (OR: 1,56; 95% confidence interval, CI: 1.20-2.03), whereas impaired glucose tolerance was found to be less common in men than in women (OR: 0.84; 95% CI: 0.72-0.98)</w:t>
      </w:r>
      <w:r w:rsidR="00A37C1D">
        <w:rPr>
          <w:kern w:val="0"/>
        </w:rPr>
        <w:t>. The</w:t>
      </w:r>
      <w:r>
        <w:rPr>
          <w:kern w:val="0"/>
        </w:rPr>
        <w:t xml:space="preserve"> prevalence</w:t>
      </w:r>
      <w:r w:rsidR="00427468">
        <w:rPr>
          <w:kern w:val="0"/>
        </w:rPr>
        <w:t xml:space="preserve"> of </w:t>
      </w:r>
      <w:r>
        <w:rPr>
          <w:kern w:val="0"/>
        </w:rPr>
        <w:t>diabetes mellitus - which was generally similar in both sexes (OR: 1.01; 95% CI: 0.91-1.11) - was higher among the women in Southern Africa than among the men from the same subregion</w:t>
      </w:r>
      <w:r w:rsidR="005853A9">
        <w:rPr>
          <w:kern w:val="0"/>
        </w:rPr>
        <w:t xml:space="preserve"> and </w:t>
      </w:r>
      <w:r>
        <w:rPr>
          <w:kern w:val="0"/>
        </w:rPr>
        <w:t>lower among the women from Eastern</w:t>
      </w:r>
      <w:r w:rsidR="005853A9">
        <w:rPr>
          <w:kern w:val="0"/>
        </w:rPr>
        <w:t xml:space="preserve"> and </w:t>
      </w:r>
      <w:r>
        <w:rPr>
          <w:kern w:val="0"/>
        </w:rPr>
        <w:t>Middle Africa</w:t>
      </w:r>
      <w:r w:rsidR="005853A9">
        <w:rPr>
          <w:kern w:val="0"/>
        </w:rPr>
        <w:t xml:space="preserve"> and </w:t>
      </w:r>
      <w:r>
        <w:rPr>
          <w:kern w:val="0"/>
        </w:rPr>
        <w:t>from low-income countries</w:t>
      </w:r>
      <w:r w:rsidR="00427468">
        <w:rPr>
          <w:kern w:val="0"/>
        </w:rPr>
        <w:t xml:space="preserve"> of </w:t>
      </w:r>
      <w:r>
        <w:rPr>
          <w:kern w:val="0"/>
        </w:rPr>
        <w:t>sub-Saharan Africa than among the corresponding men. Conclusion Compared with women in the same subregions, men-in Eastern, Middle</w:t>
      </w:r>
      <w:r w:rsidR="005853A9">
        <w:rPr>
          <w:kern w:val="0"/>
        </w:rPr>
        <w:t xml:space="preserve"> and </w:t>
      </w:r>
      <w:r>
        <w:rPr>
          <w:kern w:val="0"/>
        </w:rPr>
        <w:t>Southern Africa were found to have a similar overall prevalence</w:t>
      </w:r>
      <w:r w:rsidR="00427468">
        <w:rPr>
          <w:kern w:val="0"/>
        </w:rPr>
        <w:t xml:space="preserve"> of </w:t>
      </w:r>
      <w:r>
        <w:rPr>
          <w:kern w:val="0"/>
        </w:rPr>
        <w:t>diabetes mellitus but were more likely to have impaired fasting glycaemia</w:t>
      </w:r>
      <w:r w:rsidR="005853A9">
        <w:rPr>
          <w:kern w:val="0"/>
        </w:rPr>
        <w:t xml:space="preserve"> and </w:t>
      </w:r>
      <w:r>
        <w:rPr>
          <w:kern w:val="0"/>
        </w:rPr>
        <w:t>less likely to have impaired glucose tolerance.</w:t>
      </w:r>
    </w:p>
    <w:p w:rsidR="00CB0126" w:rsidRDefault="00CB0126" w:rsidP="00CB0126">
      <w:pPr>
        <w:pStyle w:val="a3"/>
        <w:rPr>
          <w:kern w:val="0"/>
        </w:rPr>
      </w:pPr>
      <w:r>
        <w:rPr>
          <w:kern w:val="0"/>
        </w:rPr>
        <w:t xml:space="preserve">Keywords: Africa, African Countries, Black-Population, Cardiovascular-Disease, Cigarette-Smoking, Classification, Community Based, Confidence, Cross-Sectional Studies, Data, Databases, Diabetes, Diabetes Mellitus, Differences, Disease Risk-Factors, Dissemination, Eh, Environmental, Gender-Related Differences, Glucose, Health, Impaired Glucose Tolerance, Interval, Japan, Living, Men, Meta Analysis, Meta-Analysis, Metaanalysis, Methods, Model, Occupational Health, Organ, Organization, Physical Inactivity, Population-Based Survey, Prevalence, Pubmed, Random Effects Model, Review, Science, Sex, Socioeconomic-Status, South-Africa, Sub-Saharan Africa, Switzerland, Systematic Review, Tolerance, Urban Populations, </w:t>
      </w:r>
      <w:r w:rsidR="00D5664A">
        <w:rPr>
          <w:kern w:val="0"/>
        </w:rPr>
        <w:t>Web</w:t>
      </w:r>
      <w:r w:rsidR="00427468">
        <w:rPr>
          <w:kern w:val="0"/>
        </w:rPr>
        <w:t xml:space="preserve"> of </w:t>
      </w:r>
      <w:r w:rsidR="00D5664A">
        <w:rPr>
          <w:kern w:val="0"/>
        </w:rPr>
        <w:t>Science</w:t>
      </w:r>
      <w:r>
        <w:rPr>
          <w:kern w:val="0"/>
        </w:rPr>
        <w:t xml:space="preserve">, </w:t>
      </w:r>
      <w:r w:rsidR="00D5664A">
        <w:rPr>
          <w:kern w:val="0"/>
        </w:rPr>
        <w:t>Web</w:t>
      </w:r>
      <w:r w:rsidR="00427468">
        <w:rPr>
          <w:kern w:val="0"/>
        </w:rPr>
        <w:t xml:space="preserve"> of </w:t>
      </w:r>
      <w:r w:rsidR="00D5664A">
        <w:rPr>
          <w:kern w:val="0"/>
        </w:rPr>
        <w:t>Science</w:t>
      </w:r>
      <w:r>
        <w:rPr>
          <w:kern w:val="0"/>
        </w:rPr>
        <w:t xml:space="preserve"> Databases, Women, World, World-Health-Organization</w:t>
      </w:r>
    </w:p>
    <w:p w:rsidR="00336418" w:rsidRPr="001A3D2B" w:rsidRDefault="00336418" w:rsidP="00336418">
      <w:pPr>
        <w:pStyle w:val="1"/>
      </w:pPr>
      <w:r w:rsidRPr="001A3D2B">
        <w:br w:type="page"/>
      </w:r>
      <w:bookmarkStart w:id="985" w:name="_Toc420814858"/>
      <w:r w:rsidRPr="001A3D2B">
        <w:lastRenderedPageBreak/>
        <w:t xml:space="preserve">Title: </w:t>
      </w:r>
      <w:r w:rsidRPr="00336418">
        <w:t>Bureaucrat</w:t>
      </w:r>
      <w:bookmarkEnd w:id="985"/>
    </w:p>
    <w:p w:rsidR="00336418" w:rsidRPr="001A3D2B" w:rsidRDefault="00336418" w:rsidP="00336418">
      <w:pPr>
        <w:pStyle w:val="12"/>
      </w:pPr>
      <w:r w:rsidRPr="001A3D2B">
        <w:t xml:space="preserve">Full Journal Title: </w:t>
      </w:r>
      <w:r w:rsidRPr="00336418">
        <w:rPr>
          <w:kern w:val="0"/>
        </w:rPr>
        <w:t>Bureaucrat</w:t>
      </w:r>
    </w:p>
    <w:p w:rsidR="00336418" w:rsidRPr="001A3D2B" w:rsidRDefault="00336418" w:rsidP="00336418">
      <w:pPr>
        <w:pStyle w:val="12"/>
      </w:pPr>
      <w:r w:rsidRPr="001A3D2B">
        <w:t xml:space="preserve">ISO Abbreviated Title: </w:t>
      </w:r>
      <w:r w:rsidRPr="00336418">
        <w:rPr>
          <w:kern w:val="0"/>
        </w:rPr>
        <w:t>Bureaucrat</w:t>
      </w:r>
    </w:p>
    <w:p w:rsidR="00336418" w:rsidRPr="001A3D2B" w:rsidRDefault="00336418" w:rsidP="00336418">
      <w:pPr>
        <w:pStyle w:val="12"/>
      </w:pPr>
      <w:r w:rsidRPr="001A3D2B">
        <w:t xml:space="preserve">JCR Abbreviated Title: </w:t>
      </w:r>
      <w:r w:rsidRPr="00336418">
        <w:rPr>
          <w:kern w:val="0"/>
        </w:rPr>
        <w:t>Bureaucrat</w:t>
      </w:r>
    </w:p>
    <w:p w:rsidR="00336418" w:rsidRPr="001A3D2B" w:rsidRDefault="00336418" w:rsidP="00336418">
      <w:pPr>
        <w:pStyle w:val="12"/>
      </w:pPr>
      <w:r w:rsidRPr="001A3D2B">
        <w:t xml:space="preserve">ISSN: </w:t>
      </w:r>
    </w:p>
    <w:p w:rsidR="00336418" w:rsidRPr="001A3D2B" w:rsidRDefault="00336418" w:rsidP="00336418">
      <w:pPr>
        <w:pStyle w:val="12"/>
      </w:pPr>
      <w:r w:rsidRPr="001A3D2B">
        <w:t xml:space="preserve">Issues/Year: </w:t>
      </w:r>
    </w:p>
    <w:p w:rsidR="00336418" w:rsidRPr="001A3D2B" w:rsidRDefault="00336418" w:rsidP="00336418">
      <w:pPr>
        <w:pStyle w:val="12"/>
      </w:pPr>
      <w:r w:rsidRPr="001A3D2B">
        <w:t xml:space="preserve">Journal Country/Territory: </w:t>
      </w:r>
    </w:p>
    <w:p w:rsidR="00336418" w:rsidRPr="001A3D2B" w:rsidRDefault="00336418" w:rsidP="00336418">
      <w:pPr>
        <w:pStyle w:val="12"/>
      </w:pPr>
      <w:r w:rsidRPr="001A3D2B">
        <w:t xml:space="preserve">Language: </w:t>
      </w:r>
    </w:p>
    <w:p w:rsidR="00336418" w:rsidRPr="001A3D2B" w:rsidRDefault="00336418" w:rsidP="00336418">
      <w:pPr>
        <w:pStyle w:val="12"/>
      </w:pPr>
      <w:r w:rsidRPr="001A3D2B">
        <w:t xml:space="preserve">Publisher: </w:t>
      </w:r>
    </w:p>
    <w:p w:rsidR="00336418" w:rsidRPr="001A3D2B" w:rsidRDefault="00336418" w:rsidP="00336418">
      <w:pPr>
        <w:pStyle w:val="12"/>
      </w:pPr>
      <w:r w:rsidRPr="001A3D2B">
        <w:t xml:space="preserve">Publisher Address: </w:t>
      </w:r>
    </w:p>
    <w:p w:rsidR="00336418" w:rsidRPr="001A3D2B" w:rsidRDefault="00336418" w:rsidP="00336418">
      <w:pPr>
        <w:pStyle w:val="12"/>
      </w:pPr>
      <w:r w:rsidRPr="001A3D2B">
        <w:t>Subject Categories:</w:t>
      </w:r>
    </w:p>
    <w:p w:rsidR="00336418" w:rsidRPr="001A3D2B" w:rsidRDefault="00336418" w:rsidP="00336418">
      <w:pPr>
        <w:pStyle w:val="12"/>
      </w:pPr>
      <w:r w:rsidRPr="001A3D2B">
        <w:t xml:space="preserve">: Impact Factor </w:t>
      </w:r>
    </w:p>
    <w:p w:rsidR="00336418" w:rsidRPr="001A3D2B" w:rsidRDefault="00336418" w:rsidP="00336418">
      <w:pPr>
        <w:pStyle w:val="a3"/>
        <w:rPr>
          <w:kern w:val="0"/>
        </w:rPr>
      </w:pPr>
      <w:r w:rsidRPr="001A3D2B">
        <w:rPr>
          <w:kern w:val="0"/>
        </w:rPr>
        <w:t xml:space="preserve">? </w:t>
      </w:r>
      <w:r w:rsidRPr="00336418">
        <w:rPr>
          <w:kern w:val="0"/>
        </w:rPr>
        <w:t>Peter, R</w:t>
      </w:r>
      <w:r>
        <w:rPr>
          <w:rFonts w:hint="eastAsia"/>
          <w:kern w:val="0"/>
        </w:rPr>
        <w:t>.</w:t>
      </w:r>
      <w:r w:rsidRPr="00336418">
        <w:rPr>
          <w:kern w:val="0"/>
        </w:rPr>
        <w:t>L</w:t>
      </w:r>
      <w:r>
        <w:rPr>
          <w:rFonts w:hint="eastAsia"/>
          <w:kern w:val="0"/>
        </w:rPr>
        <w:t>.</w:t>
      </w:r>
      <w:r w:rsidRPr="001A3D2B">
        <w:rPr>
          <w:kern w:val="0"/>
        </w:rPr>
        <w:t xml:space="preserve"> (</w:t>
      </w:r>
      <w:r>
        <w:rPr>
          <w:rFonts w:hint="eastAsia"/>
          <w:kern w:val="0"/>
        </w:rPr>
        <w:t>1979</w:t>
      </w:r>
      <w:r w:rsidRPr="001A3D2B">
        <w:rPr>
          <w:kern w:val="0"/>
        </w:rPr>
        <w:t xml:space="preserve">), </w:t>
      </w:r>
      <w:r w:rsidRPr="00336418">
        <w:rPr>
          <w:kern w:val="0"/>
        </w:rPr>
        <w:t>Is there life after citation</w:t>
      </w:r>
      <w:r>
        <w:rPr>
          <w:rFonts w:hint="eastAsia"/>
          <w:kern w:val="0"/>
        </w:rPr>
        <w:t>?</w:t>
      </w:r>
      <w:r w:rsidRPr="001A3D2B">
        <w:rPr>
          <w:kern w:val="0"/>
        </w:rPr>
        <w:t xml:space="preserve"> </w:t>
      </w:r>
      <w:r w:rsidRPr="00336418">
        <w:rPr>
          <w:i/>
          <w:kern w:val="0"/>
        </w:rPr>
        <w:t>Bureaucrat</w:t>
      </w:r>
      <w:r w:rsidRPr="001A3D2B">
        <w:rPr>
          <w:kern w:val="0"/>
        </w:rPr>
        <w:t xml:space="preserve">, </w:t>
      </w:r>
      <w:r>
        <w:rPr>
          <w:rFonts w:hint="eastAsia"/>
          <w:b/>
          <w:bCs/>
          <w:kern w:val="0"/>
        </w:rPr>
        <w:t>8</w:t>
      </w:r>
      <w:r w:rsidRPr="001A3D2B">
        <w:rPr>
          <w:kern w:val="0"/>
        </w:rPr>
        <w:t xml:space="preserve"> (</w:t>
      </w:r>
      <w:r>
        <w:rPr>
          <w:rFonts w:hint="eastAsia"/>
          <w:kern w:val="0"/>
        </w:rPr>
        <w:t>3</w:t>
      </w:r>
      <w:r w:rsidRPr="001A3D2B">
        <w:rPr>
          <w:kern w:val="0"/>
        </w:rPr>
        <w:t xml:space="preserve">), </w:t>
      </w:r>
      <w:r w:rsidRPr="00336418">
        <w:rPr>
          <w:kern w:val="0"/>
        </w:rPr>
        <w:t>56-57</w:t>
      </w:r>
      <w:r w:rsidRPr="001A3D2B">
        <w:rPr>
          <w:kern w:val="0"/>
        </w:rPr>
        <w:t>.</w:t>
      </w:r>
    </w:p>
    <w:p w:rsidR="00336418" w:rsidRDefault="00336418" w:rsidP="00336418">
      <w:pPr>
        <w:pStyle w:val="a3"/>
        <w:rPr>
          <w:kern w:val="0"/>
        </w:rPr>
      </w:pPr>
      <w:r w:rsidRPr="001A3D2B">
        <w:rPr>
          <w:kern w:val="0"/>
        </w:rPr>
        <w:t xml:space="preserve">Full Text: </w:t>
      </w:r>
      <w:r w:rsidRPr="00336418">
        <w:rPr>
          <w:rFonts w:hint="eastAsia"/>
          <w:kern w:val="0"/>
        </w:rPr>
        <w:t>1960-80</w:t>
      </w:r>
      <w:r w:rsidRPr="00336418">
        <w:rPr>
          <w:kern w:val="0"/>
        </w:rPr>
        <w:t>\Bureaucrat</w:t>
      </w:r>
      <w:r w:rsidRPr="00336418">
        <w:rPr>
          <w:rFonts w:hint="eastAsia"/>
          <w:kern w:val="0"/>
        </w:rPr>
        <w:t>8</w:t>
      </w:r>
      <w:r w:rsidRPr="00336418">
        <w:rPr>
          <w:kern w:val="0"/>
        </w:rPr>
        <w:t>, 56.pdf</w:t>
      </w:r>
    </w:p>
    <w:p w:rsidR="003474F2" w:rsidRPr="001A3D2B" w:rsidRDefault="003474F2" w:rsidP="003474F2">
      <w:pPr>
        <w:pStyle w:val="1"/>
      </w:pPr>
      <w:r w:rsidRPr="001A3D2B">
        <w:br w:type="page"/>
      </w:r>
      <w:bookmarkStart w:id="986" w:name="_Toc420814859"/>
      <w:r w:rsidRPr="001A3D2B">
        <w:lastRenderedPageBreak/>
        <w:t>Title: Burns</w:t>
      </w:r>
      <w:bookmarkEnd w:id="986"/>
    </w:p>
    <w:p w:rsidR="003474F2" w:rsidRPr="001A3D2B" w:rsidRDefault="003474F2" w:rsidP="003474F2">
      <w:pPr>
        <w:pStyle w:val="12"/>
      </w:pPr>
      <w:r w:rsidRPr="001A3D2B">
        <w:t>Full Journal Title: Burns</w:t>
      </w:r>
    </w:p>
    <w:p w:rsidR="003474F2" w:rsidRPr="001A3D2B" w:rsidRDefault="003474F2" w:rsidP="003474F2">
      <w:pPr>
        <w:pStyle w:val="12"/>
      </w:pPr>
      <w:r w:rsidRPr="001A3D2B">
        <w:t>ISO Abb</w:t>
      </w:r>
      <w:bookmarkStart w:id="987" w:name="_Toc123951973"/>
      <w:r w:rsidRPr="001A3D2B">
        <w:t>reviated Tit</w:t>
      </w:r>
      <w:bookmarkEnd w:id="987"/>
      <w:r w:rsidRPr="001A3D2B">
        <w:t>le: Burns</w:t>
      </w:r>
    </w:p>
    <w:p w:rsidR="003474F2" w:rsidRPr="001A3D2B" w:rsidRDefault="003474F2" w:rsidP="003474F2">
      <w:pPr>
        <w:pStyle w:val="12"/>
      </w:pPr>
      <w:r w:rsidRPr="001A3D2B">
        <w:t>JCR Abbreviated Title: Burns</w:t>
      </w:r>
    </w:p>
    <w:p w:rsidR="003474F2" w:rsidRPr="001A3D2B" w:rsidRDefault="003474F2" w:rsidP="003474F2">
      <w:pPr>
        <w:pStyle w:val="12"/>
      </w:pPr>
      <w:r w:rsidRPr="001A3D2B">
        <w:t>ISSN: 0305-4179</w:t>
      </w:r>
    </w:p>
    <w:p w:rsidR="003474F2" w:rsidRPr="001A3D2B" w:rsidRDefault="003474F2" w:rsidP="003474F2">
      <w:pPr>
        <w:pStyle w:val="12"/>
      </w:pPr>
      <w:r w:rsidRPr="001A3D2B">
        <w:t>Issues/Year: 6</w:t>
      </w:r>
    </w:p>
    <w:p w:rsidR="003474F2" w:rsidRPr="001A3D2B" w:rsidRDefault="00AA25A4" w:rsidP="003474F2">
      <w:pPr>
        <w:pStyle w:val="12"/>
      </w:pPr>
      <w:r w:rsidRPr="001A3D2B">
        <w:t>Journal Country/Territory:</w:t>
      </w:r>
      <w:r w:rsidR="008F46E9" w:rsidRPr="001A3D2B">
        <w:t xml:space="preserve"> </w:t>
      </w:r>
      <w:r w:rsidR="003474F2" w:rsidRPr="001A3D2B">
        <w:t>England</w:t>
      </w:r>
    </w:p>
    <w:p w:rsidR="003474F2" w:rsidRPr="001A3D2B" w:rsidRDefault="003474F2" w:rsidP="003474F2">
      <w:pPr>
        <w:pStyle w:val="12"/>
      </w:pPr>
      <w:r w:rsidRPr="001A3D2B">
        <w:t>Language: English</w:t>
      </w:r>
    </w:p>
    <w:p w:rsidR="003474F2" w:rsidRPr="001A3D2B" w:rsidRDefault="003474F2" w:rsidP="003474F2">
      <w:pPr>
        <w:pStyle w:val="12"/>
      </w:pPr>
      <w:r w:rsidRPr="001A3D2B">
        <w:t>Publisher: Elsevier Sci Ltd</w:t>
      </w:r>
    </w:p>
    <w:p w:rsidR="003474F2" w:rsidRPr="001A3D2B" w:rsidRDefault="003474F2" w:rsidP="003474F2">
      <w:pPr>
        <w:pStyle w:val="12"/>
      </w:pPr>
      <w:r w:rsidRPr="001A3D2B">
        <w:t>Publisher Address:</w:t>
      </w:r>
      <w:r w:rsidR="003A1917">
        <w:t xml:space="preserve"> the </w:t>
      </w:r>
      <w:r w:rsidRPr="001A3D2B">
        <w:t xml:space="preserve">Boulevard, </w:t>
      </w:r>
      <w:smartTag w:uri="urn:schemas-microsoft-com:office:smarttags" w:element="Street">
        <w:smartTag w:uri="urn:schemas-microsoft-com:office:smarttags" w:element="address">
          <w:r w:rsidRPr="001A3D2B">
            <w:t>Langford Lane</w:t>
          </w:r>
        </w:smartTag>
      </w:smartTag>
      <w:r w:rsidRPr="001A3D2B">
        <w:t xml:space="preserve">, Kidlington, </w:t>
      </w:r>
      <w:smartTag w:uri="urn:schemas-microsoft-com:office:smarttags" w:element="City">
        <w:r w:rsidRPr="001A3D2B">
          <w:t>Oxford</w:t>
        </w:r>
      </w:smartTag>
      <w:r w:rsidRPr="001A3D2B">
        <w:t xml:space="preserve"> OX5 1GB, </w:t>
      </w:r>
      <w:smartTag w:uri="urn:schemas-microsoft-com:office:smarttags" w:element="place">
        <w:smartTag w:uri="urn:schemas-microsoft-com:office:smarttags" w:element="City">
          <w:r w:rsidRPr="001A3D2B">
            <w:t>Oxon</w:t>
          </w:r>
        </w:smartTag>
        <w:r w:rsidRPr="001A3D2B">
          <w:t xml:space="preserve">, </w:t>
        </w:r>
        <w:smartTag w:uri="urn:schemas-microsoft-com:office:smarttags" w:element="country-region">
          <w:r w:rsidRPr="001A3D2B">
            <w:t>England</w:t>
          </w:r>
        </w:smartTag>
      </w:smartTag>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Critical Care Medicine: Impact Factor 0.791,/(2001)</w:t>
      </w:r>
    </w:p>
    <w:p w:rsidR="003474F2" w:rsidRPr="001A3D2B" w:rsidRDefault="003474F2" w:rsidP="003474F2">
      <w:pPr>
        <w:pStyle w:val="12"/>
      </w:pPr>
      <w:r w:rsidRPr="001A3D2B">
        <w:t>Dermatology &amp; Venereal Diseases: Impact Factor 0.791,/(2001)</w:t>
      </w:r>
    </w:p>
    <w:p w:rsidR="003474F2" w:rsidRPr="001A3D2B" w:rsidRDefault="003474F2" w:rsidP="003474F2">
      <w:pPr>
        <w:pStyle w:val="12"/>
      </w:pPr>
      <w:r w:rsidRPr="001A3D2B">
        <w:t>Surgery: Impact Factor 0.791,/(2001)</w:t>
      </w:r>
    </w:p>
    <w:p w:rsidR="003474F2" w:rsidRPr="001A3D2B" w:rsidRDefault="003474F2" w:rsidP="003474F2">
      <w:pPr>
        <w:pStyle w:val="a3"/>
      </w:pPr>
      <w:r w:rsidRPr="001A3D2B">
        <w:t>Cedidi, C., Hierner, R., Pichlmaier, M., Forssmann, W.G.</w:t>
      </w:r>
      <w:r w:rsidR="005853A9">
        <w:t xml:space="preserve"> and </w:t>
      </w:r>
      <w:r w:rsidRPr="001A3D2B">
        <w:t>Meyer, M. (2003), Survival</w:t>
      </w:r>
      <w:r w:rsidR="00427468">
        <w:t xml:space="preserve"> of </w:t>
      </w:r>
      <w:r w:rsidRPr="001A3D2B">
        <w:t>severe ARDS with five-organ system failure following burns</w:t>
      </w:r>
      <w:r w:rsidR="005853A9">
        <w:t xml:space="preserve"> and </w:t>
      </w:r>
      <w:r w:rsidRPr="001A3D2B">
        <w:t xml:space="preserve">inhalation injury in a 15-year-old patient. </w:t>
      </w:r>
      <w:r w:rsidRPr="001A3D2B">
        <w:rPr>
          <w:i/>
          <w:iCs/>
        </w:rPr>
        <w:t>Burns</w:t>
      </w:r>
      <w:r w:rsidRPr="001A3D2B">
        <w:t xml:space="preserve">, </w:t>
      </w:r>
      <w:r w:rsidRPr="001A3D2B">
        <w:rPr>
          <w:b/>
          <w:bCs/>
        </w:rPr>
        <w:t>29</w:t>
      </w:r>
      <w:r w:rsidRPr="001A3D2B">
        <w:t xml:space="preserve"> (4), 389-394.</w:t>
      </w:r>
    </w:p>
    <w:p w:rsidR="003474F2" w:rsidRPr="001A3D2B" w:rsidRDefault="003474F2" w:rsidP="003474F2">
      <w:pPr>
        <w:pStyle w:val="a3"/>
      </w:pPr>
      <w:r w:rsidRPr="001A3D2B">
        <w:t xml:space="preserve">Full Text: </w:t>
      </w:r>
      <w:hyperlink r:id="rId2148" w:history="1">
        <w:r w:rsidR="007C296B" w:rsidRPr="007C296B">
          <w:rPr>
            <w:rStyle w:val="a5"/>
          </w:rPr>
          <w:t>2003\Burns29, 389.pdf</w:t>
        </w:r>
      </w:hyperlink>
    </w:p>
    <w:p w:rsidR="003474F2" w:rsidRPr="001A3D2B" w:rsidRDefault="003474F2" w:rsidP="003474F2">
      <w:pPr>
        <w:pStyle w:val="a3"/>
      </w:pPr>
      <w:r w:rsidRPr="001A3D2B">
        <w:t xml:space="preserve">Abstract: </w:t>
      </w:r>
      <w:r w:rsidRPr="001A3D2B">
        <w:rPr>
          <w:i/>
          <w:iCs/>
        </w:rPr>
        <w:t>Objective</w:t>
      </w:r>
      <w:r w:rsidRPr="001A3D2B">
        <w:t>: To show</w:t>
      </w:r>
      <w:r w:rsidR="003A1917">
        <w:t xml:space="preserve"> the </w:t>
      </w:r>
      <w:r w:rsidRPr="001A3D2B">
        <w:t>effectiveness</w:t>
      </w:r>
      <w:r w:rsidR="00427468">
        <w:t xml:space="preserve"> of </w:t>
      </w:r>
      <w:r w:rsidRPr="001A3D2B">
        <w:t>an integrated therapeutical approach in a severe case</w:t>
      </w:r>
      <w:r w:rsidR="00427468">
        <w:t xml:space="preserve"> of </w:t>
      </w:r>
      <w:r w:rsidRPr="001A3D2B">
        <w:t>acute respiratory distress syndrome (ARDS) following burns, inhalation injury with therapy-refractory oxygenation under maximized ventilatory settings,</w:t>
      </w:r>
      <w:r w:rsidR="005853A9">
        <w:t xml:space="preserve"> and </w:t>
      </w:r>
      <w:r w:rsidRPr="001A3D2B">
        <w:t xml:space="preserve">an overall complicated clinical course. </w:t>
      </w:r>
      <w:r w:rsidRPr="001A3D2B">
        <w:rPr>
          <w:i/>
          <w:iCs/>
        </w:rPr>
        <w:t>Patient</w:t>
      </w:r>
      <w:r w:rsidR="005853A9">
        <w:rPr>
          <w:i/>
          <w:iCs/>
        </w:rPr>
        <w:t xml:space="preserve"> and </w:t>
      </w:r>
      <w:r w:rsidRPr="001A3D2B">
        <w:rPr>
          <w:i/>
          <w:iCs/>
        </w:rPr>
        <w:t>methods</w:t>
      </w:r>
      <w:r w:rsidRPr="001A3D2B">
        <w:t>: Case report</w:t>
      </w:r>
      <w:r w:rsidR="00427468">
        <w:t xml:space="preserve"> of </w:t>
      </w:r>
      <w:r w:rsidRPr="001A3D2B">
        <w:t>a patient with severe inhalation injury</w:t>
      </w:r>
      <w:r w:rsidR="005853A9">
        <w:t xml:space="preserve"> and </w:t>
      </w:r>
      <w:r w:rsidRPr="001A3D2B">
        <w:t>burns in an intensive care unit setting, undergoing cardiopulmonary resuscitation (CPR), nitric oxide (NO)-inhalation, surfactant-, kinetic-,</w:t>
      </w:r>
      <w:r w:rsidR="005853A9">
        <w:t xml:space="preserve"> and </w:t>
      </w:r>
      <w:r w:rsidRPr="001A3D2B">
        <w:t xml:space="preserve">urodilatin-therapy. </w:t>
      </w:r>
      <w:r w:rsidRPr="001A3D2B">
        <w:rPr>
          <w:i/>
          <w:iCs/>
        </w:rPr>
        <w:t>Case report</w:t>
      </w:r>
      <w:r w:rsidRPr="001A3D2B">
        <w:t>: A 15-year-old male presented with deep dermal</w:t>
      </w:r>
      <w:r w:rsidR="005853A9">
        <w:t xml:space="preserve"> and </w:t>
      </w:r>
      <w:r w:rsidRPr="001A3D2B">
        <w:t>full thickness thermal injuries involving 25%</w:t>
      </w:r>
      <w:r w:rsidR="00427468">
        <w:t xml:space="preserve"> of </w:t>
      </w:r>
      <w:r w:rsidRPr="001A3D2B">
        <w:t>his total body surface area. Shortly after presentation,</w:t>
      </w:r>
      <w:r w:rsidR="003A1917">
        <w:t xml:space="preserve"> the </w:t>
      </w:r>
      <w:r w:rsidRPr="001A3D2B">
        <w:t>patient developed therapy-refractory respiratory failure, cardiac arrest,</w:t>
      </w:r>
      <w:r w:rsidR="005853A9">
        <w:t xml:space="preserve"> and </w:t>
      </w:r>
      <w:r w:rsidRPr="001A3D2B">
        <w:t>subsequently suffered five-organ system failure (lung, heart, gastrointestinal, liver, kidney), in addition to burn injury,</w:t>
      </w:r>
      <w:r w:rsidR="005853A9">
        <w:t xml:space="preserve"> and </w:t>
      </w:r>
      <w:r w:rsidRPr="001A3D2B">
        <w:t>ischemia related cerebral lesions</w:t>
      </w:r>
      <w:r w:rsidR="00A37C1D">
        <w:t>. The</w:t>
      </w:r>
      <w:r w:rsidR="003A1917">
        <w:t xml:space="preserve"> </w:t>
      </w:r>
      <w:r w:rsidRPr="001A3D2B">
        <w:t>patient was successfully treated with cardiac resuscitation, extra corporeal membrane oxygenation (ECMO), NO, kinetic therapy, surfactant, urodilatin,</w:t>
      </w:r>
      <w:r w:rsidR="005853A9">
        <w:t xml:space="preserve"> and </w:t>
      </w:r>
      <w:r w:rsidRPr="001A3D2B">
        <w:t>other standard intensive care regimens. Three months post-trauma</w:t>
      </w:r>
      <w:r w:rsidR="003A1917">
        <w:t xml:space="preserve"> the </w:t>
      </w:r>
      <w:r w:rsidRPr="001A3D2B">
        <w:t xml:space="preserve">patient was discharged home, nearly fully recovered. </w:t>
      </w:r>
      <w:r w:rsidRPr="001A3D2B">
        <w:rPr>
          <w:i/>
          <w:iCs/>
        </w:rPr>
        <w:t>Conclusions</w:t>
      </w:r>
      <w:r w:rsidRPr="001A3D2B">
        <w:t>: In a patient with severe ARDS, oxygenation failure under maximized ventilatory settings,</w:t>
      </w:r>
      <w:r w:rsidR="005853A9">
        <w:t xml:space="preserve"> and </w:t>
      </w:r>
      <w:r w:rsidRPr="001A3D2B">
        <w:t>subsequent five-organ system failure, an integrated therapeutical approach comprising ECMO, NO, kinetic therapy, surfactant,</w:t>
      </w:r>
      <w:r w:rsidR="005853A9">
        <w:t xml:space="preserve"> </w:t>
      </w:r>
      <w:r w:rsidR="005853A9">
        <w:lastRenderedPageBreak/>
        <w:t xml:space="preserve">and </w:t>
      </w:r>
      <w:r w:rsidRPr="001A3D2B">
        <w:t>urodilatin did cross-bridge respiratory</w:t>
      </w:r>
      <w:r w:rsidR="005853A9">
        <w:t xml:space="preserve"> and </w:t>
      </w:r>
      <w:r w:rsidRPr="001A3D2B">
        <w:t>vital functions, enabling overall survival.</w:t>
      </w:r>
    </w:p>
    <w:p w:rsidR="003474F2" w:rsidRPr="001A3D2B" w:rsidRDefault="003474F2" w:rsidP="003474F2">
      <w:pPr>
        <w:pStyle w:val="a3"/>
      </w:pPr>
      <w:r w:rsidRPr="001A3D2B">
        <w:t>Keywords: ARDS, Burns, ECMO, NO, Surfactant, Urodilatin</w:t>
      </w:r>
    </w:p>
    <w:p w:rsidR="00DA1DD1" w:rsidRDefault="00DA1DD1" w:rsidP="00DA1DD1">
      <w:pPr>
        <w:pStyle w:val="a3"/>
        <w:rPr>
          <w:kern w:val="0"/>
          <w:szCs w:val="24"/>
        </w:rPr>
      </w:pPr>
      <w:r>
        <w:rPr>
          <w:rFonts w:hint="eastAsia"/>
          <w:kern w:val="0"/>
          <w:szCs w:val="24"/>
        </w:rPr>
        <w:t xml:space="preserve">? </w:t>
      </w:r>
      <w:r>
        <w:rPr>
          <w:kern w:val="0"/>
          <w:szCs w:val="24"/>
        </w:rPr>
        <w:t>Al-Benna, S., Rajgarhia, P., Ahmed, S.</w:t>
      </w:r>
      <w:r w:rsidR="005853A9">
        <w:rPr>
          <w:kern w:val="0"/>
          <w:szCs w:val="24"/>
        </w:rPr>
        <w:t xml:space="preserve"> and </w:t>
      </w:r>
      <w:r>
        <w:rPr>
          <w:kern w:val="0"/>
          <w:szCs w:val="24"/>
        </w:rPr>
        <w:t>Sheikh, Z. (2009), Accuracy</w:t>
      </w:r>
      <w:r w:rsidR="00427468">
        <w:rPr>
          <w:kern w:val="0"/>
          <w:szCs w:val="24"/>
        </w:rPr>
        <w:t xml:space="preserve"> of </w:t>
      </w:r>
      <w:r>
        <w:rPr>
          <w:kern w:val="0"/>
          <w:szCs w:val="24"/>
        </w:rPr>
        <w:t xml:space="preserve">references in burns journals. </w:t>
      </w:r>
      <w:r>
        <w:rPr>
          <w:i/>
          <w:iCs/>
          <w:kern w:val="0"/>
          <w:szCs w:val="24"/>
        </w:rPr>
        <w:t>Burns</w:t>
      </w:r>
      <w:r>
        <w:rPr>
          <w:kern w:val="0"/>
          <w:szCs w:val="24"/>
        </w:rPr>
        <w:t xml:space="preserve">, </w:t>
      </w:r>
      <w:r>
        <w:rPr>
          <w:b/>
          <w:bCs/>
          <w:kern w:val="0"/>
          <w:szCs w:val="24"/>
        </w:rPr>
        <w:t>35</w:t>
      </w:r>
      <w:r>
        <w:rPr>
          <w:kern w:val="0"/>
          <w:szCs w:val="24"/>
        </w:rPr>
        <w:t xml:space="preserve"> (5), 677-680.</w:t>
      </w:r>
    </w:p>
    <w:p w:rsidR="00DA1DD1" w:rsidRPr="001A3D2B" w:rsidRDefault="00DA1DD1" w:rsidP="00DA1DD1">
      <w:pPr>
        <w:pStyle w:val="a3"/>
      </w:pPr>
      <w:r w:rsidRPr="001A3D2B">
        <w:t xml:space="preserve">Full Text: </w:t>
      </w:r>
      <w:hyperlink r:id="rId2149" w:history="1">
        <w:r w:rsidRPr="002270D8">
          <w:rPr>
            <w:rStyle w:val="a5"/>
          </w:rPr>
          <w:t>2009\Burns35, 677.pdf</w:t>
        </w:r>
      </w:hyperlink>
    </w:p>
    <w:p w:rsidR="00DA1DD1" w:rsidRDefault="00DA1DD1" w:rsidP="00DA1DD1">
      <w:pPr>
        <w:pStyle w:val="a3"/>
        <w:rPr>
          <w:kern w:val="0"/>
          <w:szCs w:val="24"/>
        </w:rPr>
      </w:pPr>
      <w:r>
        <w:rPr>
          <w:kern w:val="0"/>
          <w:szCs w:val="24"/>
        </w:rPr>
        <w:t>Abstract: Aims: To study</w:t>
      </w:r>
      <w:r w:rsidR="003A1917">
        <w:rPr>
          <w:kern w:val="0"/>
          <w:szCs w:val="24"/>
        </w:rPr>
        <w:t xml:space="preserve"> the </w:t>
      </w:r>
      <w:r>
        <w:rPr>
          <w:kern w:val="0"/>
          <w:szCs w:val="24"/>
        </w:rPr>
        <w:t>incidence</w:t>
      </w:r>
      <w:r w:rsidR="005853A9">
        <w:rPr>
          <w:kern w:val="0"/>
          <w:szCs w:val="24"/>
        </w:rPr>
        <w:t xml:space="preserve"> and </w:t>
      </w:r>
      <w:r>
        <w:rPr>
          <w:kern w:val="0"/>
          <w:szCs w:val="24"/>
        </w:rPr>
        <w:t>risk factors for citation</w:t>
      </w:r>
      <w:r w:rsidR="005853A9">
        <w:rPr>
          <w:kern w:val="0"/>
          <w:szCs w:val="24"/>
        </w:rPr>
        <w:t xml:space="preserve"> and </w:t>
      </w:r>
      <w:r>
        <w:rPr>
          <w:kern w:val="0"/>
          <w:szCs w:val="24"/>
        </w:rPr>
        <w:t>quotation errors in two major burns surgery journals. Methods: 120 references were randomly selected from original articles published in</w:t>
      </w:r>
      <w:r w:rsidR="003A1917">
        <w:rPr>
          <w:kern w:val="0"/>
          <w:szCs w:val="24"/>
        </w:rPr>
        <w:t xml:space="preserve"> the </w:t>
      </w:r>
      <w:r>
        <w:rPr>
          <w:kern w:val="0"/>
          <w:szCs w:val="24"/>
        </w:rPr>
        <w:t>following two journals - January to December 2006 issues</w:t>
      </w:r>
      <w:r w:rsidR="00427468">
        <w:rPr>
          <w:kern w:val="0"/>
          <w:szCs w:val="24"/>
        </w:rPr>
        <w:t xml:space="preserve"> of </w:t>
      </w:r>
      <w:r>
        <w:rPr>
          <w:kern w:val="0"/>
          <w:szCs w:val="24"/>
        </w:rPr>
        <w:t>Burns</w:t>
      </w:r>
      <w:r w:rsidR="005853A9">
        <w:rPr>
          <w:kern w:val="0"/>
          <w:szCs w:val="24"/>
        </w:rPr>
        <w:t xml:space="preserve"> and </w:t>
      </w:r>
      <w:r>
        <w:rPr>
          <w:kern w:val="0"/>
          <w:szCs w:val="24"/>
        </w:rPr>
        <w:t>journal</w:t>
      </w:r>
      <w:r w:rsidR="00427468">
        <w:rPr>
          <w:kern w:val="0"/>
          <w:szCs w:val="24"/>
        </w:rPr>
        <w:t xml:space="preserve"> of </w:t>
      </w:r>
      <w:r>
        <w:rPr>
          <w:kern w:val="0"/>
          <w:szCs w:val="24"/>
        </w:rPr>
        <w:t>Burn Care &amp; Research. For each reference,</w:t>
      </w:r>
      <w:r w:rsidR="003A1917">
        <w:rPr>
          <w:kern w:val="0"/>
          <w:szCs w:val="24"/>
        </w:rPr>
        <w:t xml:space="preserve"> the </w:t>
      </w:r>
      <w:r>
        <w:rPr>
          <w:kern w:val="0"/>
          <w:szCs w:val="24"/>
        </w:rPr>
        <w:t>ease</w:t>
      </w:r>
      <w:r w:rsidR="00427468">
        <w:rPr>
          <w:kern w:val="0"/>
          <w:szCs w:val="24"/>
        </w:rPr>
        <w:t xml:space="preserve"> of </w:t>
      </w:r>
      <w:r>
        <w:rPr>
          <w:kern w:val="0"/>
          <w:szCs w:val="24"/>
        </w:rPr>
        <w:t xml:space="preserve">retrieval on </w:t>
      </w:r>
      <w:r w:rsidR="002C12F0">
        <w:rPr>
          <w:kern w:val="0"/>
          <w:szCs w:val="24"/>
        </w:rPr>
        <w:t>PUBMED</w:t>
      </w:r>
      <w:r w:rsidR="005853A9">
        <w:rPr>
          <w:kern w:val="0"/>
          <w:szCs w:val="24"/>
        </w:rPr>
        <w:t xml:space="preserve"> and </w:t>
      </w:r>
      <w:r w:rsidR="003A1917">
        <w:rPr>
          <w:kern w:val="0"/>
          <w:szCs w:val="24"/>
        </w:rPr>
        <w:t xml:space="preserve">the </w:t>
      </w:r>
      <w:r>
        <w:rPr>
          <w:kern w:val="0"/>
          <w:szCs w:val="24"/>
        </w:rPr>
        <w:t>presence</w:t>
      </w:r>
      <w:r w:rsidR="00427468">
        <w:rPr>
          <w:kern w:val="0"/>
          <w:szCs w:val="24"/>
        </w:rPr>
        <w:t xml:space="preserve"> of </w:t>
      </w:r>
      <w:r>
        <w:rPr>
          <w:kern w:val="0"/>
          <w:szCs w:val="24"/>
        </w:rPr>
        <w:t>citation errors were noted. Two independent observers analysed each reference for quotation errors</w:t>
      </w:r>
      <w:r w:rsidR="00A37C1D">
        <w:rPr>
          <w:kern w:val="0"/>
          <w:szCs w:val="24"/>
        </w:rPr>
        <w:t>. The</w:t>
      </w:r>
      <w:r w:rsidR="003A1917">
        <w:rPr>
          <w:kern w:val="0"/>
          <w:szCs w:val="24"/>
        </w:rPr>
        <w:t xml:space="preserve"> </w:t>
      </w:r>
      <w:r>
        <w:rPr>
          <w:kern w:val="0"/>
          <w:szCs w:val="24"/>
        </w:rPr>
        <w:t>characteristics</w:t>
      </w:r>
      <w:r w:rsidR="00427468">
        <w:rPr>
          <w:kern w:val="0"/>
          <w:szCs w:val="24"/>
        </w:rPr>
        <w:t xml:space="preserve"> of </w:t>
      </w:r>
      <w:r w:rsidR="003A1917">
        <w:rPr>
          <w:kern w:val="0"/>
          <w:szCs w:val="24"/>
        </w:rPr>
        <w:t xml:space="preserve">the </w:t>
      </w:r>
      <w:r>
        <w:rPr>
          <w:kern w:val="0"/>
          <w:szCs w:val="24"/>
        </w:rPr>
        <w:t>root article, that is, type</w:t>
      </w:r>
      <w:r w:rsidR="00427468">
        <w:rPr>
          <w:kern w:val="0"/>
          <w:szCs w:val="24"/>
        </w:rPr>
        <w:t xml:space="preserve"> of </w:t>
      </w:r>
      <w:r>
        <w:rPr>
          <w:kern w:val="0"/>
          <w:szCs w:val="24"/>
        </w:rPr>
        <w:t>study, author numbers, number</w:t>
      </w:r>
      <w:r w:rsidR="00427468">
        <w:rPr>
          <w:kern w:val="0"/>
          <w:szCs w:val="24"/>
        </w:rPr>
        <w:t xml:space="preserve"> of </w:t>
      </w:r>
      <w:r>
        <w:rPr>
          <w:kern w:val="0"/>
          <w:szCs w:val="24"/>
        </w:rPr>
        <w:t>references</w:t>
      </w:r>
      <w:r w:rsidR="005853A9">
        <w:rPr>
          <w:kern w:val="0"/>
          <w:szCs w:val="24"/>
        </w:rPr>
        <w:t xml:space="preserve"> and </w:t>
      </w:r>
      <w:r>
        <w:rPr>
          <w:kern w:val="0"/>
          <w:szCs w:val="24"/>
        </w:rPr>
        <w:t>article word count were noted. Results:</w:t>
      </w:r>
      <w:r w:rsidR="00427468">
        <w:rPr>
          <w:kern w:val="0"/>
          <w:szCs w:val="24"/>
        </w:rPr>
        <w:t xml:space="preserve"> of </w:t>
      </w:r>
      <w:r w:rsidR="003A1917">
        <w:rPr>
          <w:kern w:val="0"/>
          <w:szCs w:val="24"/>
        </w:rPr>
        <w:t xml:space="preserve">the </w:t>
      </w:r>
      <w:r>
        <w:rPr>
          <w:kern w:val="0"/>
          <w:szCs w:val="24"/>
        </w:rPr>
        <w:t>120 selected references, 117 referred to articles from indexed medical journals published in English. Among these, 4 articles could not be retrieved due to fatal citation errors (3.3%). A further 12 citation errors were noted giving a total citation error rate</w:t>
      </w:r>
      <w:r w:rsidR="00427468">
        <w:rPr>
          <w:kern w:val="0"/>
          <w:szCs w:val="24"/>
        </w:rPr>
        <w:t xml:space="preserve"> of </w:t>
      </w:r>
      <w:r>
        <w:rPr>
          <w:kern w:val="0"/>
          <w:szCs w:val="24"/>
        </w:rPr>
        <w:t>13.3% (95% Cl: 6.74-19.93%).</w:t>
      </w:r>
      <w:r w:rsidR="00427468">
        <w:rPr>
          <w:kern w:val="0"/>
          <w:szCs w:val="24"/>
        </w:rPr>
        <w:t xml:space="preserve"> of </w:t>
      </w:r>
      <w:r w:rsidR="003A1917">
        <w:rPr>
          <w:kern w:val="0"/>
          <w:szCs w:val="24"/>
        </w:rPr>
        <w:t xml:space="preserve">the </w:t>
      </w:r>
      <w:r>
        <w:rPr>
          <w:kern w:val="0"/>
          <w:szCs w:val="24"/>
        </w:rPr>
        <w:t>117 references analysed,</w:t>
      </w:r>
      <w:r w:rsidR="003A1917">
        <w:rPr>
          <w:kern w:val="0"/>
          <w:szCs w:val="24"/>
        </w:rPr>
        <w:t xml:space="preserve"> the </w:t>
      </w:r>
      <w:r>
        <w:rPr>
          <w:kern w:val="0"/>
          <w:szCs w:val="24"/>
        </w:rPr>
        <w:t>quotation error rate was 13.7% (95% Cl: 8.6-19.5%) half</w:t>
      </w:r>
      <w:r w:rsidR="00427468">
        <w:rPr>
          <w:kern w:val="0"/>
          <w:szCs w:val="24"/>
        </w:rPr>
        <w:t xml:space="preserve"> of </w:t>
      </w:r>
      <w:r>
        <w:rPr>
          <w:kern w:val="0"/>
          <w:szCs w:val="24"/>
        </w:rPr>
        <w:t>which were major errors</w:t>
      </w:r>
      <w:r w:rsidR="00A37C1D">
        <w:rPr>
          <w:kern w:val="0"/>
          <w:szCs w:val="24"/>
        </w:rPr>
        <w:t>. The</w:t>
      </w:r>
      <w:r>
        <w:rPr>
          <w:kern w:val="0"/>
          <w:szCs w:val="24"/>
        </w:rPr>
        <w:t>re was no significant association between</w:t>
      </w:r>
      <w:r w:rsidR="003A1917">
        <w:rPr>
          <w:kern w:val="0"/>
          <w:szCs w:val="24"/>
        </w:rPr>
        <w:t xml:space="preserve"> the </w:t>
      </w:r>
      <w:r>
        <w:rPr>
          <w:kern w:val="0"/>
          <w:szCs w:val="24"/>
        </w:rPr>
        <w:t>combined error rate per article</w:t>
      </w:r>
      <w:r w:rsidR="005853A9">
        <w:rPr>
          <w:kern w:val="0"/>
          <w:szCs w:val="24"/>
        </w:rPr>
        <w:t xml:space="preserve"> and </w:t>
      </w:r>
      <w:r w:rsidR="003A1917">
        <w:rPr>
          <w:kern w:val="0"/>
          <w:szCs w:val="24"/>
        </w:rPr>
        <w:t xml:space="preserve">the </w:t>
      </w:r>
      <w:r>
        <w:rPr>
          <w:kern w:val="0"/>
          <w:szCs w:val="24"/>
        </w:rPr>
        <w:t>journal (Kruskal-Wallis test; p = 0.861, type</w:t>
      </w:r>
      <w:r w:rsidR="00427468">
        <w:rPr>
          <w:kern w:val="0"/>
          <w:szCs w:val="24"/>
        </w:rPr>
        <w:t xml:space="preserve"> of </w:t>
      </w:r>
      <w:r>
        <w:rPr>
          <w:kern w:val="0"/>
          <w:szCs w:val="24"/>
        </w:rPr>
        <w:t>study (Kruskal-Wallis test; p = 0.717), author numbers (Spearman</w:t>
      </w:r>
      <w:r w:rsidR="00700038">
        <w:rPr>
          <w:kern w:val="0"/>
          <w:szCs w:val="24"/>
        </w:rPr>
        <w:t>’</w:t>
      </w:r>
      <w:r w:rsidR="00C13DDC">
        <w:rPr>
          <w:kern w:val="0"/>
          <w:szCs w:val="24"/>
        </w:rPr>
        <w:t>s</w:t>
      </w:r>
      <w:r>
        <w:rPr>
          <w:kern w:val="0"/>
          <w:szCs w:val="24"/>
        </w:rPr>
        <w:t xml:space="preserve"> rho = 0.197, p = 0.423), article length (Spearman</w:t>
      </w:r>
      <w:r w:rsidR="00700038">
        <w:rPr>
          <w:kern w:val="0"/>
          <w:szCs w:val="24"/>
        </w:rPr>
        <w:t>’</w:t>
      </w:r>
      <w:r w:rsidR="00C13DDC">
        <w:rPr>
          <w:kern w:val="0"/>
          <w:szCs w:val="24"/>
        </w:rPr>
        <w:t>s</w:t>
      </w:r>
      <w:r>
        <w:rPr>
          <w:kern w:val="0"/>
          <w:szCs w:val="24"/>
        </w:rPr>
        <w:t xml:space="preserve"> rho = 0.118, p = 0.705) or references per article (Spearman</w:t>
      </w:r>
      <w:r w:rsidR="00700038">
        <w:rPr>
          <w:kern w:val="0"/>
          <w:szCs w:val="24"/>
        </w:rPr>
        <w:t>’</w:t>
      </w:r>
      <w:r w:rsidR="00C13DDC">
        <w:rPr>
          <w:kern w:val="0"/>
          <w:szCs w:val="24"/>
        </w:rPr>
        <w:t>s</w:t>
      </w:r>
      <w:r>
        <w:rPr>
          <w:kern w:val="0"/>
          <w:szCs w:val="24"/>
        </w:rPr>
        <w:t xml:space="preserve"> rho = 0.229, p = 0.189). Conclusions Significant numbers</w:t>
      </w:r>
      <w:r w:rsidR="00427468">
        <w:rPr>
          <w:kern w:val="0"/>
          <w:szCs w:val="24"/>
        </w:rPr>
        <w:t xml:space="preserve"> of </w:t>
      </w:r>
      <w:r>
        <w:rPr>
          <w:kern w:val="0"/>
          <w:szCs w:val="24"/>
        </w:rPr>
        <w:t>citation</w:t>
      </w:r>
      <w:r w:rsidR="005853A9">
        <w:rPr>
          <w:kern w:val="0"/>
          <w:szCs w:val="24"/>
        </w:rPr>
        <w:t xml:space="preserve"> and </w:t>
      </w:r>
      <w:r>
        <w:rPr>
          <w:kern w:val="0"/>
          <w:szCs w:val="24"/>
        </w:rPr>
        <w:t>quotation errors still appear in current burns literature. Incorrect spelling</w:t>
      </w:r>
      <w:r w:rsidR="00427468">
        <w:rPr>
          <w:kern w:val="0"/>
          <w:szCs w:val="24"/>
        </w:rPr>
        <w:t xml:space="preserve"> of </w:t>
      </w:r>
      <w:r>
        <w:rPr>
          <w:kern w:val="0"/>
          <w:szCs w:val="24"/>
        </w:rPr>
        <w:t>author names</w:t>
      </w:r>
      <w:r w:rsidR="005853A9">
        <w:rPr>
          <w:kern w:val="0"/>
          <w:szCs w:val="24"/>
        </w:rPr>
        <w:t xml:space="preserve"> and </w:t>
      </w:r>
      <w:r>
        <w:rPr>
          <w:kern w:val="0"/>
          <w:szCs w:val="24"/>
        </w:rPr>
        <w:t>partial omissions</w:t>
      </w:r>
      <w:r w:rsidR="00427468">
        <w:rPr>
          <w:kern w:val="0"/>
          <w:szCs w:val="24"/>
        </w:rPr>
        <w:t xml:space="preserve"> of </w:t>
      </w:r>
      <w:r>
        <w:rPr>
          <w:kern w:val="0"/>
          <w:szCs w:val="24"/>
        </w:rPr>
        <w:t>article titles were</w:t>
      </w:r>
      <w:r w:rsidR="003A1917">
        <w:rPr>
          <w:kern w:val="0"/>
          <w:szCs w:val="24"/>
        </w:rPr>
        <w:t xml:space="preserve"> the </w:t>
      </w:r>
      <w:r>
        <w:rPr>
          <w:kern w:val="0"/>
          <w:szCs w:val="24"/>
        </w:rPr>
        <w:t>two most common errors. No observable underlying factors were identified in this study</w:t>
      </w:r>
      <w:r w:rsidR="00A37C1D">
        <w:rPr>
          <w:kern w:val="0"/>
          <w:szCs w:val="24"/>
        </w:rPr>
        <w:t>. The</w:t>
      </w:r>
      <w:r w:rsidR="003A1917">
        <w:rPr>
          <w:kern w:val="0"/>
          <w:szCs w:val="24"/>
        </w:rPr>
        <w:t xml:space="preserve"> </w:t>
      </w:r>
      <w:r>
        <w:rPr>
          <w:kern w:val="0"/>
          <w:szCs w:val="24"/>
        </w:rPr>
        <w:t>present results serve as a reminder to authors, editors</w:t>
      </w:r>
      <w:r w:rsidR="005853A9">
        <w:rPr>
          <w:kern w:val="0"/>
          <w:szCs w:val="24"/>
        </w:rPr>
        <w:t xml:space="preserve"> and </w:t>
      </w:r>
      <w:r>
        <w:rPr>
          <w:kern w:val="0"/>
          <w:szCs w:val="24"/>
        </w:rPr>
        <w:t>peer reviewers for more care</w:t>
      </w:r>
      <w:r w:rsidR="00427468">
        <w:rPr>
          <w:kern w:val="0"/>
          <w:szCs w:val="24"/>
        </w:rPr>
        <w:t xml:space="preserve"> of </w:t>
      </w:r>
      <w:r>
        <w:rPr>
          <w:kern w:val="0"/>
          <w:szCs w:val="24"/>
        </w:rPr>
        <w:t>citation accuracy when striving for their common goal</w:t>
      </w:r>
      <w:r w:rsidR="00427468">
        <w:rPr>
          <w:kern w:val="0"/>
          <w:szCs w:val="24"/>
        </w:rPr>
        <w:t xml:space="preserve"> of </w:t>
      </w:r>
      <w:r>
        <w:rPr>
          <w:kern w:val="0"/>
          <w:szCs w:val="24"/>
        </w:rPr>
        <w:t>scientific excellence. (C) 2008 Elsevier Ltd</w:t>
      </w:r>
      <w:r w:rsidR="005853A9">
        <w:rPr>
          <w:kern w:val="0"/>
          <w:szCs w:val="24"/>
        </w:rPr>
        <w:t xml:space="preserve"> and </w:t>
      </w:r>
      <w:r>
        <w:rPr>
          <w:kern w:val="0"/>
          <w:szCs w:val="24"/>
        </w:rPr>
        <w:t>ISBI. All rights reserved.</w:t>
      </w:r>
    </w:p>
    <w:p w:rsidR="00DA1DD1" w:rsidRDefault="00DA1DD1" w:rsidP="00DA1DD1">
      <w:pPr>
        <w:pStyle w:val="a3"/>
        <w:rPr>
          <w:kern w:val="0"/>
          <w:szCs w:val="24"/>
        </w:rPr>
      </w:pPr>
      <w:r>
        <w:rPr>
          <w:kern w:val="0"/>
          <w:szCs w:val="24"/>
        </w:rPr>
        <w:t xml:space="preserve">Keywords: Accuracy, Association, Authors, Bibliography, Care, Characteristics, Citation, Citation Accuracy, Citation Error, Citation Errors, Documentation, Error, Error Rate, Errors, Incidence, Journal, Journals, Length, Literature, Medical, Medical Journals, Observers, Paper, Periodicals, Publishing, </w:t>
      </w:r>
      <w:r w:rsidR="002C12F0">
        <w:rPr>
          <w:kern w:val="0"/>
          <w:szCs w:val="24"/>
        </w:rPr>
        <w:t>PUBMED</w:t>
      </w:r>
      <w:r>
        <w:rPr>
          <w:kern w:val="0"/>
          <w:szCs w:val="24"/>
        </w:rPr>
        <w:t>, Quotation, Quotation Accuracy, Quotation Error, Quotation Errors, Reference, References, Research, Rights, Risk, Risk Factors, Surgery</w:t>
      </w:r>
    </w:p>
    <w:p w:rsidR="007C296B" w:rsidRDefault="007C296B" w:rsidP="007C296B">
      <w:pPr>
        <w:pStyle w:val="a3"/>
        <w:rPr>
          <w:kern w:val="0"/>
        </w:rPr>
      </w:pPr>
      <w:r>
        <w:rPr>
          <w:rFonts w:hint="eastAsia"/>
          <w:kern w:val="0"/>
        </w:rPr>
        <w:t xml:space="preserve">? </w:t>
      </w:r>
      <w:r>
        <w:rPr>
          <w:kern w:val="0"/>
        </w:rPr>
        <w:t>Brusselaers, N., Pirayesh, A., Hoeksema, H., Verbelen, J., Blot, S.</w:t>
      </w:r>
      <w:r w:rsidR="005853A9">
        <w:rPr>
          <w:kern w:val="0"/>
        </w:rPr>
        <w:t xml:space="preserve"> and </w:t>
      </w:r>
      <w:r>
        <w:rPr>
          <w:kern w:val="0"/>
        </w:rPr>
        <w:t>Monstrey, S. (2010), Burn scar assessment: A systematic review</w:t>
      </w:r>
      <w:r w:rsidR="00427468">
        <w:rPr>
          <w:kern w:val="0"/>
        </w:rPr>
        <w:t xml:space="preserve"> of </w:t>
      </w:r>
      <w:r>
        <w:rPr>
          <w:kern w:val="0"/>
        </w:rPr>
        <w:t xml:space="preserve">objective scar assessment tools. </w:t>
      </w:r>
      <w:r>
        <w:rPr>
          <w:i/>
          <w:iCs/>
          <w:kern w:val="0"/>
        </w:rPr>
        <w:t>Burns</w:t>
      </w:r>
      <w:r>
        <w:rPr>
          <w:kern w:val="0"/>
        </w:rPr>
        <w:t xml:space="preserve">, </w:t>
      </w:r>
      <w:r>
        <w:rPr>
          <w:b/>
          <w:bCs/>
          <w:kern w:val="0"/>
        </w:rPr>
        <w:t>36</w:t>
      </w:r>
      <w:r>
        <w:rPr>
          <w:kern w:val="0"/>
        </w:rPr>
        <w:t xml:space="preserve"> (8), 1157-1164.</w:t>
      </w:r>
    </w:p>
    <w:p w:rsidR="007C296B" w:rsidRPr="001A3D2B" w:rsidRDefault="007C296B" w:rsidP="007C296B">
      <w:pPr>
        <w:pStyle w:val="a3"/>
      </w:pPr>
      <w:r w:rsidRPr="001A3D2B">
        <w:t xml:space="preserve">Full Text: </w:t>
      </w:r>
      <w:hyperlink r:id="rId2150" w:history="1">
        <w:r w:rsidRPr="00F81588">
          <w:rPr>
            <w:rStyle w:val="a5"/>
          </w:rPr>
          <w:t>2010\Burns36, 1157.pdf</w:t>
        </w:r>
      </w:hyperlink>
    </w:p>
    <w:p w:rsidR="007C296B" w:rsidRDefault="007C296B" w:rsidP="007C296B">
      <w:pPr>
        <w:pStyle w:val="a3"/>
        <w:rPr>
          <w:kern w:val="0"/>
        </w:rPr>
      </w:pPr>
      <w:r>
        <w:rPr>
          <w:kern w:val="0"/>
        </w:rPr>
        <w:lastRenderedPageBreak/>
        <w:t>Abstract: Purpose All deep second</w:t>
      </w:r>
      <w:r w:rsidR="005853A9">
        <w:rPr>
          <w:kern w:val="0"/>
        </w:rPr>
        <w:t xml:space="preserve"> and </w:t>
      </w:r>
      <w:r>
        <w:rPr>
          <w:kern w:val="0"/>
        </w:rPr>
        <w:t>third degree burns are at risk to develop hypertrophic scars which can severely undermine</w:t>
      </w:r>
      <w:r w:rsidR="003A1917">
        <w:rPr>
          <w:kern w:val="0"/>
        </w:rPr>
        <w:t xml:space="preserve"> the </w:t>
      </w:r>
      <w:r>
        <w:rPr>
          <w:kern w:val="0"/>
        </w:rPr>
        <w:t>quality</w:t>
      </w:r>
      <w:r w:rsidR="00427468">
        <w:rPr>
          <w:kern w:val="0"/>
        </w:rPr>
        <w:t xml:space="preserve"> of </w:t>
      </w:r>
      <w:r>
        <w:rPr>
          <w:kern w:val="0"/>
        </w:rPr>
        <w:t>survival To assess</w:t>
      </w:r>
      <w:r w:rsidR="003A1917">
        <w:rPr>
          <w:kern w:val="0"/>
        </w:rPr>
        <w:t xml:space="preserve"> the </w:t>
      </w:r>
      <w:r>
        <w:rPr>
          <w:kern w:val="0"/>
        </w:rPr>
        <w:t>seventy</w:t>
      </w:r>
      <w:r w:rsidR="00427468">
        <w:rPr>
          <w:kern w:val="0"/>
        </w:rPr>
        <w:t xml:space="preserve"> of </w:t>
      </w:r>
      <w:r>
        <w:rPr>
          <w:kern w:val="0"/>
        </w:rPr>
        <w:t>scarring several technical devices or tools have been introduced to evaluate one or more aspects</w:t>
      </w:r>
      <w:r w:rsidR="00427468">
        <w:rPr>
          <w:kern w:val="0"/>
        </w:rPr>
        <w:t xml:space="preserve"> of </w:t>
      </w:r>
      <w:r w:rsidR="003A1917">
        <w:rPr>
          <w:kern w:val="0"/>
        </w:rPr>
        <w:t xml:space="preserve">the </w:t>
      </w:r>
      <w:r>
        <w:rPr>
          <w:kern w:val="0"/>
        </w:rPr>
        <w:t>scar, enabling comparison</w:t>
      </w:r>
      <w:r w:rsidR="00427468">
        <w:rPr>
          <w:kern w:val="0"/>
        </w:rPr>
        <w:t xml:space="preserve"> of </w:t>
      </w:r>
      <w:r>
        <w:rPr>
          <w:kern w:val="0"/>
        </w:rPr>
        <w:t>different treatment protocols</w:t>
      </w:r>
      <w:r w:rsidR="005853A9">
        <w:rPr>
          <w:kern w:val="0"/>
        </w:rPr>
        <w:t xml:space="preserve"> and </w:t>
      </w:r>
      <w:r>
        <w:rPr>
          <w:kern w:val="0"/>
        </w:rPr>
        <w:t>allowing an objective follow up</w:t>
      </w:r>
      <w:r w:rsidR="003A1917">
        <w:rPr>
          <w:kern w:val="0"/>
        </w:rPr>
        <w:t xml:space="preserve"> the </w:t>
      </w:r>
      <w:r>
        <w:rPr>
          <w:kern w:val="0"/>
        </w:rPr>
        <w:t>objective</w:t>
      </w:r>
      <w:r w:rsidR="00427468">
        <w:rPr>
          <w:kern w:val="0"/>
        </w:rPr>
        <w:t xml:space="preserve"> of </w:t>
      </w:r>
      <w:r>
        <w:rPr>
          <w:kern w:val="0"/>
        </w:rPr>
        <w:t>this study was to review which tools can be used in objective burn scar assessment Basic procedures</w:t>
      </w:r>
      <w:r w:rsidR="003A1917">
        <w:rPr>
          <w:kern w:val="0"/>
        </w:rPr>
        <w:t xml:space="preserve"> the </w:t>
      </w:r>
      <w:r>
        <w:rPr>
          <w:kern w:val="0"/>
        </w:rPr>
        <w:t xml:space="preserve">Systematic literature search involving </w:t>
      </w:r>
      <w:r w:rsidR="002C12F0">
        <w:rPr>
          <w:kern w:val="0"/>
        </w:rPr>
        <w:t>PUBMED</w:t>
      </w:r>
      <w:r w:rsidR="003A1917">
        <w:rPr>
          <w:kern w:val="0"/>
        </w:rPr>
        <w:t xml:space="preserve"> the </w:t>
      </w:r>
      <w:r w:rsidR="00D5664A">
        <w:rPr>
          <w:kern w:val="0"/>
        </w:rPr>
        <w:t>Web</w:t>
      </w:r>
      <w:r w:rsidR="00427468">
        <w:rPr>
          <w:kern w:val="0"/>
        </w:rPr>
        <w:t xml:space="preserve"> of </w:t>
      </w:r>
      <w:r w:rsidR="00D5664A">
        <w:rPr>
          <w:kern w:val="0"/>
        </w:rPr>
        <w:t>Science</w:t>
      </w:r>
      <w:r>
        <w:rPr>
          <w:kern w:val="0"/>
        </w:rPr>
        <w:t xml:space="preserve"> (incl Science Citation Index) Main findings 51 articles with burn scar assessment as main topic were found Several characteristics</w:t>
      </w:r>
      <w:r w:rsidR="00427468">
        <w:rPr>
          <w:kern w:val="0"/>
        </w:rPr>
        <w:t xml:space="preserve"> of </w:t>
      </w:r>
      <w:r w:rsidR="003A1917">
        <w:rPr>
          <w:kern w:val="0"/>
        </w:rPr>
        <w:t xml:space="preserve">the </w:t>
      </w:r>
      <w:r>
        <w:rPr>
          <w:kern w:val="0"/>
        </w:rPr>
        <w:t>scar can be assessed such as color metric features</w:t>
      </w:r>
      <w:r w:rsidR="005853A9">
        <w:rPr>
          <w:kern w:val="0"/>
        </w:rPr>
        <w:t xml:space="preserve"> and </w:t>
      </w:r>
      <w:r>
        <w:rPr>
          <w:kern w:val="0"/>
        </w:rPr>
        <w:t>elasticity but none</w:t>
      </w:r>
      <w:r w:rsidR="00427468">
        <w:rPr>
          <w:kern w:val="0"/>
        </w:rPr>
        <w:t xml:space="preserve"> of </w:t>
      </w:r>
      <w:r w:rsidR="003A1917">
        <w:rPr>
          <w:kern w:val="0"/>
        </w:rPr>
        <w:t xml:space="preserve">the </w:t>
      </w:r>
      <w:r>
        <w:rPr>
          <w:kern w:val="0"/>
        </w:rPr>
        <w:t>available tools covers</w:t>
      </w:r>
      <w:r w:rsidR="003A1917">
        <w:rPr>
          <w:kern w:val="0"/>
        </w:rPr>
        <w:t xml:space="preserve"> the </w:t>
      </w:r>
      <w:r>
        <w:rPr>
          <w:kern w:val="0"/>
        </w:rPr>
        <w:t>whole aspect</w:t>
      </w:r>
      <w:r w:rsidR="00427468">
        <w:rPr>
          <w:kern w:val="0"/>
        </w:rPr>
        <w:t xml:space="preserve"> of </w:t>
      </w:r>
      <w:r w:rsidR="003A1917">
        <w:rPr>
          <w:kern w:val="0"/>
        </w:rPr>
        <w:t xml:space="preserve">the </w:t>
      </w:r>
      <w:r>
        <w:rPr>
          <w:kern w:val="0"/>
        </w:rPr>
        <w:t>scar Especially subjective factors such as pain</w:t>
      </w:r>
      <w:r w:rsidR="005853A9">
        <w:rPr>
          <w:kern w:val="0"/>
        </w:rPr>
        <w:t xml:space="preserve"> and </w:t>
      </w:r>
      <w:r>
        <w:rPr>
          <w:kern w:val="0"/>
        </w:rPr>
        <w:t>itching cannot be assessed with those tools in spite</w:t>
      </w:r>
      <w:r w:rsidR="00427468">
        <w:rPr>
          <w:kern w:val="0"/>
        </w:rPr>
        <w:t xml:space="preserve"> of </w:t>
      </w:r>
      <w:r>
        <w:rPr>
          <w:kern w:val="0"/>
        </w:rPr>
        <w:t>their great impact on</w:t>
      </w:r>
      <w:r w:rsidR="003A1917">
        <w:rPr>
          <w:kern w:val="0"/>
        </w:rPr>
        <w:t xml:space="preserve"> the </w:t>
      </w:r>
      <w:r>
        <w:rPr>
          <w:kern w:val="0"/>
        </w:rPr>
        <w:t>patient s quality</w:t>
      </w:r>
      <w:r w:rsidR="00427468">
        <w:rPr>
          <w:kern w:val="0"/>
        </w:rPr>
        <w:t xml:space="preserve"> of </w:t>
      </w:r>
      <w:r>
        <w:rPr>
          <w:kern w:val="0"/>
        </w:rPr>
        <w:t>life Conclusions Scar tools enable objective</w:t>
      </w:r>
      <w:r w:rsidR="005853A9">
        <w:rPr>
          <w:kern w:val="0"/>
        </w:rPr>
        <w:t xml:space="preserve"> and </w:t>
      </w:r>
      <w:r>
        <w:rPr>
          <w:kern w:val="0"/>
        </w:rPr>
        <w:t>reproducible evaluation</w:t>
      </w:r>
      <w:r w:rsidR="00427468">
        <w:rPr>
          <w:kern w:val="0"/>
        </w:rPr>
        <w:t xml:space="preserve"> of </w:t>
      </w:r>
      <w:r>
        <w:rPr>
          <w:kern w:val="0"/>
        </w:rPr>
        <w:t>scars which is essential for scientific studies</w:t>
      </w:r>
      <w:r w:rsidR="005853A9">
        <w:rPr>
          <w:kern w:val="0"/>
        </w:rPr>
        <w:t xml:space="preserve"> and </w:t>
      </w:r>
      <w:r>
        <w:rPr>
          <w:kern w:val="0"/>
        </w:rPr>
        <w:t>medico legal purposes</w:t>
      </w:r>
      <w:r w:rsidR="005853A9">
        <w:rPr>
          <w:kern w:val="0"/>
        </w:rPr>
        <w:t xml:space="preserve"> and </w:t>
      </w:r>
      <w:r>
        <w:rPr>
          <w:kern w:val="0"/>
        </w:rPr>
        <w:t>in selected cases for</w:t>
      </w:r>
      <w:r w:rsidR="003A1917">
        <w:rPr>
          <w:kern w:val="0"/>
        </w:rPr>
        <w:t xml:space="preserve"> the </w:t>
      </w:r>
      <w:r>
        <w:rPr>
          <w:kern w:val="0"/>
        </w:rPr>
        <w:t>clinical follow up</w:t>
      </w:r>
      <w:r w:rsidR="00427468">
        <w:rPr>
          <w:kern w:val="0"/>
        </w:rPr>
        <w:t xml:space="preserve"> of </w:t>
      </w:r>
      <w:r>
        <w:rPr>
          <w:kern w:val="0"/>
        </w:rPr>
        <w:t>an individual patient Further studies to evaluate these tools on scars are nevertheless required (C) 2010 Elsevier Ltd</w:t>
      </w:r>
      <w:r w:rsidR="005853A9">
        <w:rPr>
          <w:kern w:val="0"/>
        </w:rPr>
        <w:t xml:space="preserve"> and </w:t>
      </w:r>
      <w:r>
        <w:rPr>
          <w:kern w:val="0"/>
        </w:rPr>
        <w:t>ISBI All rights reserved.</w:t>
      </w:r>
    </w:p>
    <w:p w:rsidR="007C296B" w:rsidRDefault="007C296B" w:rsidP="007C296B">
      <w:pPr>
        <w:pStyle w:val="a3"/>
        <w:rPr>
          <w:kern w:val="0"/>
        </w:rPr>
      </w:pPr>
      <w:r>
        <w:rPr>
          <w:kern w:val="0"/>
        </w:rPr>
        <w:t xml:space="preserve">Keywords: Citation, Color, Comparison, Depth Assessment, Evaluation, Hypertrophic Scars, Laser-Doppler, Literature, Oxygen-Tension, Pain, Patient, Pediatric Burns, </w:t>
      </w:r>
      <w:r w:rsidR="002C12F0">
        <w:rPr>
          <w:kern w:val="0"/>
        </w:rPr>
        <w:t>PUBMED</w:t>
      </w:r>
      <w:r>
        <w:rPr>
          <w:kern w:val="0"/>
        </w:rPr>
        <w:t>, Quality</w:t>
      </w:r>
      <w:r w:rsidR="00427468">
        <w:rPr>
          <w:kern w:val="0"/>
        </w:rPr>
        <w:t xml:space="preserve"> of </w:t>
      </w:r>
      <w:r>
        <w:rPr>
          <w:kern w:val="0"/>
        </w:rPr>
        <w:t xml:space="preserve">Life, Quantitative Measurement, Review, Scar Assessment, Science, Science Citation Index, Skin Hardness, Stratum-Corneum, Subjective Evaluation, Survival, Systematic Review, Transepidermal Water-Loss, Treatment, </w:t>
      </w:r>
      <w:r w:rsidR="00D5664A">
        <w:rPr>
          <w:kern w:val="0"/>
        </w:rPr>
        <w:t>Web</w:t>
      </w:r>
      <w:r w:rsidR="00427468">
        <w:rPr>
          <w:kern w:val="0"/>
        </w:rPr>
        <w:t xml:space="preserve"> of </w:t>
      </w:r>
      <w:r w:rsidR="00D5664A">
        <w:rPr>
          <w:kern w:val="0"/>
        </w:rPr>
        <w:t>Science</w:t>
      </w:r>
    </w:p>
    <w:p w:rsidR="00CB0126" w:rsidRDefault="00CB0126" w:rsidP="00CB0126">
      <w:pPr>
        <w:pStyle w:val="a3"/>
        <w:rPr>
          <w:kern w:val="0"/>
        </w:rPr>
      </w:pPr>
      <w:r>
        <w:rPr>
          <w:rFonts w:hint="eastAsia"/>
          <w:kern w:val="0"/>
        </w:rPr>
        <w:t xml:space="preserve">? </w:t>
      </w:r>
      <w:r>
        <w:rPr>
          <w:kern w:val="0"/>
        </w:rPr>
        <w:t>Hussain, A.</w:t>
      </w:r>
      <w:r w:rsidR="005853A9">
        <w:rPr>
          <w:kern w:val="0"/>
        </w:rPr>
        <w:t xml:space="preserve"> and </w:t>
      </w:r>
      <w:r>
        <w:rPr>
          <w:kern w:val="0"/>
        </w:rPr>
        <w:t>Dunn, K.W. (2013), Predicting length</w:t>
      </w:r>
      <w:r w:rsidR="00427468">
        <w:rPr>
          <w:kern w:val="0"/>
        </w:rPr>
        <w:t xml:space="preserve"> of </w:t>
      </w:r>
      <w:r>
        <w:rPr>
          <w:kern w:val="0"/>
        </w:rPr>
        <w:t>stay in thermal burns: A systematic review</w:t>
      </w:r>
      <w:r w:rsidR="00427468">
        <w:rPr>
          <w:kern w:val="0"/>
        </w:rPr>
        <w:t xml:space="preserve"> of </w:t>
      </w:r>
      <w:r>
        <w:rPr>
          <w:kern w:val="0"/>
        </w:rPr>
        <w:t xml:space="preserve">prognostic factors. </w:t>
      </w:r>
      <w:r>
        <w:rPr>
          <w:i/>
          <w:iCs/>
          <w:kern w:val="0"/>
        </w:rPr>
        <w:t>Burns</w:t>
      </w:r>
      <w:r>
        <w:rPr>
          <w:kern w:val="0"/>
        </w:rPr>
        <w:t xml:space="preserve">, </w:t>
      </w:r>
      <w:r>
        <w:rPr>
          <w:b/>
          <w:bCs/>
          <w:kern w:val="0"/>
        </w:rPr>
        <w:t>39</w:t>
      </w:r>
      <w:r>
        <w:rPr>
          <w:kern w:val="0"/>
        </w:rPr>
        <w:t xml:space="preserve"> (7), 1331-1340.</w:t>
      </w:r>
    </w:p>
    <w:p w:rsidR="00CB0126" w:rsidRPr="001A3D2B" w:rsidRDefault="00CB0126" w:rsidP="00CB0126">
      <w:pPr>
        <w:pStyle w:val="a3"/>
      </w:pPr>
      <w:r w:rsidRPr="001A3D2B">
        <w:t xml:space="preserve">Full Text: </w:t>
      </w:r>
      <w:hyperlink r:id="rId2151" w:history="1">
        <w:r w:rsidRPr="00A62465">
          <w:rPr>
            <w:rStyle w:val="a5"/>
          </w:rPr>
          <w:t>2013\Burns39, 1331.pdf</w:t>
        </w:r>
      </w:hyperlink>
    </w:p>
    <w:p w:rsidR="00CB0126" w:rsidRDefault="00CB0126" w:rsidP="00CB0126">
      <w:pPr>
        <w:pStyle w:val="a3"/>
        <w:rPr>
          <w:kern w:val="0"/>
        </w:rPr>
      </w:pPr>
      <w:r>
        <w:rPr>
          <w:kern w:val="0"/>
        </w:rPr>
        <w:t>Abstract: Background: Continued improvement in all aspects</w:t>
      </w:r>
      <w:r w:rsidR="00427468">
        <w:rPr>
          <w:kern w:val="0"/>
        </w:rPr>
        <w:t xml:space="preserve"> of </w:t>
      </w:r>
      <w:r>
        <w:rPr>
          <w:kern w:val="0"/>
        </w:rPr>
        <w:t>the management</w:t>
      </w:r>
      <w:r w:rsidR="00427468">
        <w:rPr>
          <w:kern w:val="0"/>
        </w:rPr>
        <w:t xml:space="preserve"> of </w:t>
      </w:r>
      <w:r>
        <w:rPr>
          <w:kern w:val="0"/>
        </w:rPr>
        <w:t>thermal injury has resulted in marked improvements in the traditionally reported outcome</w:t>
      </w:r>
      <w:r w:rsidR="00427468">
        <w:rPr>
          <w:kern w:val="0"/>
        </w:rPr>
        <w:t xml:space="preserve"> of </w:t>
      </w:r>
      <w:r>
        <w:rPr>
          <w:kern w:val="0"/>
        </w:rPr>
        <w:t>mortality. This has resulted in the search for alternative parameters that can be monitored to indicate the performance</w:t>
      </w:r>
      <w:r w:rsidR="00427468">
        <w:rPr>
          <w:kern w:val="0"/>
        </w:rPr>
        <w:t xml:space="preserve"> of </w:t>
      </w:r>
      <w:r>
        <w:rPr>
          <w:kern w:val="0"/>
        </w:rPr>
        <w:t>burn services. Length</w:t>
      </w:r>
      <w:r w:rsidR="00427468">
        <w:rPr>
          <w:kern w:val="0"/>
        </w:rPr>
        <w:t xml:space="preserve"> of </w:t>
      </w:r>
      <w:r>
        <w:rPr>
          <w:kern w:val="0"/>
        </w:rPr>
        <w:t>stay (LOS) in hospitalised burn patients has long been considered reflective</w:t>
      </w:r>
      <w:r w:rsidR="00427468">
        <w:rPr>
          <w:kern w:val="0"/>
        </w:rPr>
        <w:t xml:space="preserve"> of </w:t>
      </w:r>
      <w:r>
        <w:rPr>
          <w:kern w:val="0"/>
        </w:rPr>
        <w:t>injury-associated morbidity, cost</w:t>
      </w:r>
      <w:r w:rsidR="005853A9">
        <w:rPr>
          <w:kern w:val="0"/>
        </w:rPr>
        <w:t xml:space="preserve"> and </w:t>
      </w:r>
      <w:r>
        <w:rPr>
          <w:kern w:val="0"/>
        </w:rPr>
        <w:t>the quality</w:t>
      </w:r>
      <w:r w:rsidR="00427468">
        <w:rPr>
          <w:kern w:val="0"/>
        </w:rPr>
        <w:t xml:space="preserve"> of </w:t>
      </w:r>
      <w:r>
        <w:rPr>
          <w:kern w:val="0"/>
        </w:rPr>
        <w:t>care, which can be monitored consistently across services. Aim: We undertook a systematic review</w:t>
      </w:r>
      <w:r w:rsidR="00427468">
        <w:rPr>
          <w:kern w:val="0"/>
        </w:rPr>
        <w:t xml:space="preserve"> of </w:t>
      </w:r>
      <w:r>
        <w:rPr>
          <w:kern w:val="0"/>
        </w:rPr>
        <w:t>published literature pertaining to LOS prognostication in thermal burns to identify the relevant factors, quantify the risk associated with these factors</w:t>
      </w:r>
      <w:r w:rsidR="005853A9">
        <w:rPr>
          <w:kern w:val="0"/>
        </w:rPr>
        <w:t xml:space="preserve"> and </w:t>
      </w:r>
      <w:r>
        <w:rPr>
          <w:kern w:val="0"/>
        </w:rPr>
        <w:t xml:space="preserve">identify predictive prognostic models. Methods: Electronic searches were performed on </w:t>
      </w:r>
      <w:r w:rsidR="00D5664A">
        <w:rPr>
          <w:kern w:val="0"/>
        </w:rPr>
        <w:t>MEDLINE</w:t>
      </w:r>
      <w:r>
        <w:rPr>
          <w:kern w:val="0"/>
        </w:rPr>
        <w:t xml:space="preserve">, CINHAL, EMBASE, </w:t>
      </w:r>
      <w:r w:rsidR="00D5664A">
        <w:rPr>
          <w:kern w:val="0"/>
        </w:rPr>
        <w:t>Web</w:t>
      </w:r>
      <w:r w:rsidR="00427468">
        <w:rPr>
          <w:kern w:val="0"/>
        </w:rPr>
        <w:t xml:space="preserve"> of </w:t>
      </w:r>
      <w:r w:rsidR="00D5664A">
        <w:rPr>
          <w:kern w:val="0"/>
        </w:rPr>
        <w:t>Science</w:t>
      </w:r>
      <w:r>
        <w:rPr>
          <w:kern w:val="0"/>
        </w:rPr>
        <w:t xml:space="preserve"> (R), the Cochrane collection</w:t>
      </w:r>
      <w:r w:rsidR="005853A9">
        <w:rPr>
          <w:kern w:val="0"/>
        </w:rPr>
        <w:t xml:space="preserve"> and </w:t>
      </w:r>
      <w:r>
        <w:rPr>
          <w:kern w:val="0"/>
        </w:rPr>
        <w:t>a general web search was performed using Google (R)</w:t>
      </w:r>
      <w:r w:rsidR="00A37C1D">
        <w:rPr>
          <w:kern w:val="0"/>
        </w:rPr>
        <w:t>. The</w:t>
      </w:r>
      <w:r>
        <w:rPr>
          <w:kern w:val="0"/>
        </w:rPr>
        <w:t xml:space="preserve"> searches were complemented by a manual search</w:t>
      </w:r>
      <w:r w:rsidR="00427468">
        <w:rPr>
          <w:kern w:val="0"/>
        </w:rPr>
        <w:t xml:space="preserve"> of </w:t>
      </w:r>
      <w:r>
        <w:rPr>
          <w:kern w:val="0"/>
        </w:rPr>
        <w:t>the contents</w:t>
      </w:r>
      <w:r w:rsidR="00427468">
        <w:rPr>
          <w:kern w:val="0"/>
        </w:rPr>
        <w:t xml:space="preserve"> of </w:t>
      </w:r>
      <w:r>
        <w:rPr>
          <w:kern w:val="0"/>
        </w:rPr>
        <w:t>leading burns journals. Quality</w:t>
      </w:r>
      <w:r w:rsidR="00427468">
        <w:rPr>
          <w:kern w:val="0"/>
        </w:rPr>
        <w:t xml:space="preserve"> of </w:t>
      </w:r>
      <w:r>
        <w:rPr>
          <w:kern w:val="0"/>
        </w:rPr>
        <w:t xml:space="preserve">the studies included in the review was evaluated </w:t>
      </w:r>
      <w:r>
        <w:rPr>
          <w:kern w:val="0"/>
        </w:rPr>
        <w:lastRenderedPageBreak/>
        <w:t>against published standards for prognostic studies. Results: Fourteen studies were included in the review after meeting the inclusion/exclusion criteria. Age</w:t>
      </w:r>
      <w:r w:rsidR="005853A9">
        <w:rPr>
          <w:kern w:val="0"/>
        </w:rPr>
        <w:t xml:space="preserve"> and </w:t>
      </w:r>
      <w:r>
        <w:rPr>
          <w:kern w:val="0"/>
        </w:rPr>
        <w:t>%TBSA were the strongest predictors</w:t>
      </w:r>
      <w:r w:rsidR="00427468">
        <w:rPr>
          <w:kern w:val="0"/>
        </w:rPr>
        <w:t xml:space="preserve"> of </w:t>
      </w:r>
      <w:r>
        <w:rPr>
          <w:kern w:val="0"/>
        </w:rPr>
        <w:t>LOS in these studies. Other significant predictors included % full thickness burn, female gender, inhalation injury, surgery including escharotomy</w:t>
      </w:r>
      <w:r w:rsidR="005853A9">
        <w:rPr>
          <w:kern w:val="0"/>
        </w:rPr>
        <w:t xml:space="preserve"> and </w:t>
      </w:r>
      <w:r>
        <w:rPr>
          <w:kern w:val="0"/>
        </w:rPr>
        <w:t>the depth</w:t>
      </w:r>
      <w:r w:rsidR="00427468">
        <w:rPr>
          <w:kern w:val="0"/>
        </w:rPr>
        <w:t xml:space="preserve"> of </w:t>
      </w:r>
      <w:r>
        <w:rPr>
          <w:kern w:val="0"/>
        </w:rPr>
        <w:t>burn. Nine studies reported multivariate models for predicting LOS in patients sustaining thermal injury. None</w:t>
      </w:r>
      <w:r w:rsidR="00427468">
        <w:rPr>
          <w:kern w:val="0"/>
        </w:rPr>
        <w:t xml:space="preserve"> of </w:t>
      </w:r>
      <w:r>
        <w:rPr>
          <w:kern w:val="0"/>
        </w:rPr>
        <w:t>these models were validated</w:t>
      </w:r>
      <w:r w:rsidR="005853A9">
        <w:rPr>
          <w:kern w:val="0"/>
        </w:rPr>
        <w:t xml:space="preserve"> and </w:t>
      </w:r>
      <w:r>
        <w:rPr>
          <w:kern w:val="0"/>
        </w:rPr>
        <w:t>the goodness-of-fit statistic (R-2) ranged from 0.15 to 0.75. Conclusion: This review has demonstrated that %TBSA</w:t>
      </w:r>
      <w:r w:rsidR="005853A9">
        <w:rPr>
          <w:kern w:val="0"/>
        </w:rPr>
        <w:t xml:space="preserve"> and </w:t>
      </w:r>
      <w:r>
        <w:rPr>
          <w:kern w:val="0"/>
        </w:rPr>
        <w:t>age are the best predictors</w:t>
      </w:r>
      <w:r w:rsidR="00427468">
        <w:rPr>
          <w:kern w:val="0"/>
        </w:rPr>
        <w:t xml:space="preserve"> of </w:t>
      </w:r>
      <w:r>
        <w:rPr>
          <w:kern w:val="0"/>
        </w:rPr>
        <w:t>LOS in published literature. Current prognostic models do not explain a significant proportion</w:t>
      </w:r>
      <w:r w:rsidR="00427468">
        <w:rPr>
          <w:kern w:val="0"/>
        </w:rPr>
        <w:t xml:space="preserve"> of </w:t>
      </w:r>
      <w:r>
        <w:rPr>
          <w:kern w:val="0"/>
        </w:rPr>
        <w:t>variation in LOS. (C) 2013 Elsevier Ltd</w:t>
      </w:r>
      <w:r w:rsidR="005853A9">
        <w:rPr>
          <w:kern w:val="0"/>
        </w:rPr>
        <w:t xml:space="preserve"> and </w:t>
      </w:r>
      <w:r>
        <w:rPr>
          <w:kern w:val="0"/>
        </w:rPr>
        <w:t>ISBI. All rights reserved.</w:t>
      </w:r>
    </w:p>
    <w:p w:rsidR="00CB0126" w:rsidRDefault="00CB0126" w:rsidP="00CB0126">
      <w:pPr>
        <w:pStyle w:val="a3"/>
        <w:rPr>
          <w:kern w:val="0"/>
        </w:rPr>
      </w:pPr>
      <w:r>
        <w:rPr>
          <w:kern w:val="0"/>
        </w:rPr>
        <w:t>Keywords: Age, Alternative, Burns, Care, Collection, Cost, Criteria, Embase, England, Female, Functional Outcomes, Gender, General, Google, Health Scale, Hospitalization Time, Improvement, Inhalation, Injury, Journals, Length, Length</w:t>
      </w:r>
      <w:r w:rsidR="00427468">
        <w:rPr>
          <w:kern w:val="0"/>
        </w:rPr>
        <w:t xml:space="preserve"> of </w:t>
      </w:r>
      <w:r>
        <w:rPr>
          <w:kern w:val="0"/>
        </w:rPr>
        <w:t xml:space="preserve">Stay, Life, Literature, Management, Medicine, </w:t>
      </w:r>
      <w:r w:rsidR="00D5664A">
        <w:rPr>
          <w:kern w:val="0"/>
        </w:rPr>
        <w:t>MEDLINE</w:t>
      </w:r>
      <w:r>
        <w:rPr>
          <w:kern w:val="0"/>
        </w:rPr>
        <w:t>, Methodological Standards, Methods, Models, Morbidity, Mortality, Mortality Risk, Multivariate, Multivariate Models, National Sample, Nov, Outcome, Patients, Performance, Prediction, Predictive, Predictors, Prognostic, Prognostic Factors, Prognostication, Quality, Quality Of, Quality</w:t>
      </w:r>
      <w:r w:rsidR="00427468">
        <w:rPr>
          <w:kern w:val="0"/>
        </w:rPr>
        <w:t xml:space="preserve"> of </w:t>
      </w:r>
      <w:r>
        <w:rPr>
          <w:kern w:val="0"/>
        </w:rPr>
        <w:t>Care, R, Results, Review, Rights, Risk</w:t>
      </w:r>
      <w:r w:rsidR="00D5664A">
        <w:rPr>
          <w:kern w:val="0"/>
        </w:rPr>
        <w:t>, SCI,</w:t>
      </w:r>
      <w:r>
        <w:rPr>
          <w:kern w:val="0"/>
        </w:rPr>
        <w:t xml:space="preserve"> Science, Services, Severity Index, Severity-Adjustment, Standards, Surgery, Systematic Review, Web, </w:t>
      </w:r>
      <w:r w:rsidR="00D5664A">
        <w:rPr>
          <w:kern w:val="0"/>
        </w:rPr>
        <w:t>Web</w:t>
      </w:r>
      <w:r w:rsidR="00427468">
        <w:rPr>
          <w:kern w:val="0"/>
        </w:rPr>
        <w:t xml:space="preserve"> of </w:t>
      </w:r>
      <w:r w:rsidR="00D5664A">
        <w:rPr>
          <w:kern w:val="0"/>
        </w:rPr>
        <w:t>Science</w:t>
      </w:r>
    </w:p>
    <w:p w:rsidR="00455485" w:rsidRDefault="00455485" w:rsidP="00455485">
      <w:pPr>
        <w:pStyle w:val="a3"/>
        <w:rPr>
          <w:kern w:val="0"/>
        </w:rPr>
      </w:pPr>
      <w:r>
        <w:rPr>
          <w:rFonts w:hint="eastAsia"/>
          <w:kern w:val="0"/>
        </w:rPr>
        <w:t xml:space="preserve">? </w:t>
      </w:r>
      <w:r>
        <w:rPr>
          <w:kern w:val="0"/>
        </w:rPr>
        <w:t>Vandamme, L., Heyneman, A., Hoeksema, H., Verbelen, J.</w:t>
      </w:r>
      <w:r w:rsidR="005853A9">
        <w:rPr>
          <w:kern w:val="0"/>
        </w:rPr>
        <w:t xml:space="preserve"> and </w:t>
      </w:r>
      <w:r>
        <w:rPr>
          <w:kern w:val="0"/>
        </w:rPr>
        <w:t xml:space="preserve">Monstrey, S. (2013), Honey in modern wound care: A systematic review. </w:t>
      </w:r>
      <w:r>
        <w:rPr>
          <w:i/>
          <w:iCs/>
          <w:kern w:val="0"/>
        </w:rPr>
        <w:t>Burns</w:t>
      </w:r>
      <w:r>
        <w:rPr>
          <w:kern w:val="0"/>
        </w:rPr>
        <w:t xml:space="preserve">, </w:t>
      </w:r>
      <w:r>
        <w:rPr>
          <w:b/>
          <w:bCs/>
          <w:kern w:val="0"/>
        </w:rPr>
        <w:t>39</w:t>
      </w:r>
      <w:r>
        <w:rPr>
          <w:kern w:val="0"/>
        </w:rPr>
        <w:t xml:space="preserve"> (8), 1514-1525.</w:t>
      </w:r>
    </w:p>
    <w:p w:rsidR="00455485" w:rsidRPr="001A3D2B" w:rsidRDefault="00455485" w:rsidP="00455485">
      <w:pPr>
        <w:pStyle w:val="a3"/>
      </w:pPr>
      <w:r w:rsidRPr="001A3D2B">
        <w:t xml:space="preserve">Full Text: </w:t>
      </w:r>
      <w:hyperlink r:id="rId2152" w:history="1">
        <w:r w:rsidRPr="001E09CE">
          <w:rPr>
            <w:rStyle w:val="a5"/>
          </w:rPr>
          <w:t>2013\Burns39, 1514.pdf</w:t>
        </w:r>
      </w:hyperlink>
    </w:p>
    <w:p w:rsidR="00455485" w:rsidRDefault="00455485" w:rsidP="00455485">
      <w:pPr>
        <w:pStyle w:val="a3"/>
        <w:rPr>
          <w:kern w:val="0"/>
        </w:rPr>
      </w:pPr>
      <w:r>
        <w:rPr>
          <w:kern w:val="0"/>
        </w:rPr>
        <w:t>Abstract: Honey, known for centuries as a topical treatment for a wide range</w:t>
      </w:r>
      <w:r w:rsidR="00427468">
        <w:rPr>
          <w:kern w:val="0"/>
        </w:rPr>
        <w:t xml:space="preserve"> of </w:t>
      </w:r>
      <w:r>
        <w:rPr>
          <w:kern w:val="0"/>
        </w:rPr>
        <w:t>wounds, has recently known a revival in modem wound care</w:t>
      </w:r>
      <w:r w:rsidR="00A37C1D">
        <w:rPr>
          <w:kern w:val="0"/>
        </w:rPr>
        <w:t>. The</w:t>
      </w:r>
      <w:r>
        <w:rPr>
          <w:kern w:val="0"/>
        </w:rPr>
        <w:t xml:space="preserve"> objective</w:t>
      </w:r>
      <w:r w:rsidR="00427468">
        <w:rPr>
          <w:kern w:val="0"/>
        </w:rPr>
        <w:t xml:space="preserve"> of </w:t>
      </w:r>
      <w:r>
        <w:rPr>
          <w:kern w:val="0"/>
        </w:rPr>
        <w:t>this systematic review is to evaluate the available evidence</w:t>
      </w:r>
      <w:r w:rsidR="005853A9">
        <w:rPr>
          <w:kern w:val="0"/>
        </w:rPr>
        <w:t xml:space="preserve"> and </w:t>
      </w:r>
      <w:r>
        <w:rPr>
          <w:kern w:val="0"/>
        </w:rPr>
        <w:t>the role</w:t>
      </w:r>
      <w:r w:rsidR="00427468">
        <w:rPr>
          <w:kern w:val="0"/>
        </w:rPr>
        <w:t xml:space="preserve"> of </w:t>
      </w:r>
      <w:r>
        <w:rPr>
          <w:kern w:val="0"/>
        </w:rPr>
        <w:t>honey in contemporary wound care</w:t>
      </w:r>
      <w:r w:rsidR="00A37C1D">
        <w:rPr>
          <w:kern w:val="0"/>
        </w:rPr>
        <w:t>. The</w:t>
      </w:r>
      <w:r>
        <w:rPr>
          <w:kern w:val="0"/>
        </w:rPr>
        <w:t xml:space="preserve"> search strategy was developed in the databases PubMed</w:t>
      </w:r>
      <w:r w:rsidR="005853A9">
        <w:rPr>
          <w:kern w:val="0"/>
        </w:rPr>
        <w:t xml:space="preserve"> and </w:t>
      </w:r>
      <w:r>
        <w:rPr>
          <w:kern w:val="0"/>
        </w:rPr>
        <w:t>ISI Web</w:t>
      </w:r>
      <w:r w:rsidR="00427468">
        <w:rPr>
          <w:kern w:val="0"/>
        </w:rPr>
        <w:t xml:space="preserve"> of </w:t>
      </w:r>
      <w:r>
        <w:rPr>
          <w:kern w:val="0"/>
        </w:rPr>
        <w:t>Science. Fifty-five studies</w:t>
      </w:r>
      <w:r w:rsidR="00427468">
        <w:rPr>
          <w:kern w:val="0"/>
        </w:rPr>
        <w:t xml:space="preserve"> of </w:t>
      </w:r>
      <w:r>
        <w:rPr>
          <w:kern w:val="0"/>
        </w:rPr>
        <w:t>any design, evaluating the use</w:t>
      </w:r>
      <w:r w:rsidR="00427468">
        <w:rPr>
          <w:kern w:val="0"/>
        </w:rPr>
        <w:t xml:space="preserve"> of </w:t>
      </w:r>
      <w:r>
        <w:rPr>
          <w:kern w:val="0"/>
        </w:rPr>
        <w:t>honey in human burns, ulcers</w:t>
      </w:r>
      <w:r w:rsidR="005853A9">
        <w:rPr>
          <w:kern w:val="0"/>
        </w:rPr>
        <w:t xml:space="preserve"> and </w:t>
      </w:r>
      <w:r>
        <w:rPr>
          <w:kern w:val="0"/>
        </w:rPr>
        <w:t>other wounds, written in English, French, German or Dutch were eligible for inclusion. in all three wound categories honey seems to be a dressing with wound healing stimulating properties. in burns there is also evidence for its antibacterial capacity. in general, honey is also been mentioned to have deodorizing, debridement, anti-inflammatory</w:t>
      </w:r>
      <w:r w:rsidR="005853A9">
        <w:rPr>
          <w:kern w:val="0"/>
        </w:rPr>
        <w:t xml:space="preserve"> and </w:t>
      </w:r>
      <w:r>
        <w:rPr>
          <w:kern w:val="0"/>
        </w:rPr>
        <w:t>wound pain reducing properties, although the evidence for these properties is rather limited. Many</w:t>
      </w:r>
      <w:r w:rsidR="00427468">
        <w:rPr>
          <w:kern w:val="0"/>
        </w:rPr>
        <w:t xml:space="preserve"> of </w:t>
      </w:r>
      <w:r>
        <w:rPr>
          <w:kern w:val="0"/>
        </w:rPr>
        <w:t>the included studies have methodological problems,</w:t>
      </w:r>
      <w:r w:rsidR="005853A9">
        <w:rPr>
          <w:kern w:val="0"/>
        </w:rPr>
        <w:t xml:space="preserve"> and </w:t>
      </w:r>
      <w:r>
        <w:rPr>
          <w:kern w:val="0"/>
        </w:rPr>
        <w:t>the quality</w:t>
      </w:r>
      <w:r w:rsidR="00427468">
        <w:rPr>
          <w:kern w:val="0"/>
        </w:rPr>
        <w:t xml:space="preserve"> of </w:t>
      </w:r>
      <w:r>
        <w:rPr>
          <w:kern w:val="0"/>
        </w:rPr>
        <w:t>certain studies is low, making it difficult to formulate conclusive guidelines. This review reveals several gaps in the research</w:t>
      </w:r>
      <w:r w:rsidR="00427468">
        <w:rPr>
          <w:kern w:val="0"/>
        </w:rPr>
        <w:t xml:space="preserve"> of </w:t>
      </w:r>
      <w:r>
        <w:rPr>
          <w:kern w:val="0"/>
        </w:rPr>
        <w:t>honey in modern wound care,</w:t>
      </w:r>
      <w:r w:rsidR="005853A9">
        <w:rPr>
          <w:kern w:val="0"/>
        </w:rPr>
        <w:t xml:space="preserve"> and </w:t>
      </w:r>
      <w:r>
        <w:rPr>
          <w:kern w:val="0"/>
        </w:rPr>
        <w:t>recommendations are suggested for future research. (C) 2013 Elsevier Ltd</w:t>
      </w:r>
      <w:r w:rsidR="005853A9">
        <w:rPr>
          <w:kern w:val="0"/>
        </w:rPr>
        <w:t xml:space="preserve"> and </w:t>
      </w:r>
      <w:r>
        <w:rPr>
          <w:kern w:val="0"/>
        </w:rPr>
        <w:t>ISBI. All rights reserved.</w:t>
      </w:r>
    </w:p>
    <w:p w:rsidR="00455485" w:rsidRDefault="00455485" w:rsidP="00455485">
      <w:pPr>
        <w:pStyle w:val="a3"/>
        <w:rPr>
          <w:kern w:val="0"/>
        </w:rPr>
      </w:pPr>
      <w:r>
        <w:rPr>
          <w:kern w:val="0"/>
        </w:rPr>
        <w:lastRenderedPageBreak/>
        <w:t>Keywords: Active Leptospermum Honey, Burns, Capacity, Care, Case Series, Clinical-Trial, Databases, Debridement, Design, Dutch, Evidence, General, Guidelines, Healing, Honey, Human, Induced Oral Mucositis, Isi, Isi Web</w:t>
      </w:r>
      <w:r w:rsidR="00427468">
        <w:rPr>
          <w:kern w:val="0"/>
        </w:rPr>
        <w:t xml:space="preserve"> of </w:t>
      </w:r>
      <w:r>
        <w:rPr>
          <w:kern w:val="0"/>
        </w:rPr>
        <w:t>Science, Manuka Honey, Medical Honey, Methodology, Pain, Properties, Pubmed, Quality, Quality Of, Randomized Controlled-Trial, Recommendations, Research, Review, Rights, Role, Science, Search Strategy, Silver Sulfadiazine, Strategy, Systematic Review, Therapy, Topical, Topical Honey, Treatment, Web</w:t>
      </w:r>
      <w:r w:rsidR="00427468">
        <w:rPr>
          <w:kern w:val="0"/>
        </w:rPr>
        <w:t xml:space="preserve"> of </w:t>
      </w:r>
      <w:r>
        <w:rPr>
          <w:kern w:val="0"/>
        </w:rPr>
        <w:t>Science, Wound, Wound Healing</w:t>
      </w:r>
    </w:p>
    <w:p w:rsidR="0096099C" w:rsidRDefault="0096099C" w:rsidP="0096099C">
      <w:pPr>
        <w:pStyle w:val="a3"/>
        <w:rPr>
          <w:kern w:val="0"/>
        </w:rPr>
      </w:pPr>
      <w:r>
        <w:rPr>
          <w:rFonts w:hint="eastAsia"/>
          <w:kern w:val="0"/>
        </w:rPr>
        <w:t xml:space="preserve">? </w:t>
      </w:r>
      <w:r>
        <w:rPr>
          <w:kern w:val="0"/>
        </w:rPr>
        <w:t xml:space="preserve">Strang, S.G., Van Lieshout, E.M.M., Breederueld, R.S. and Van Waes, O.J.F. (2014), A systematic review on intra-abdominal pressure in severely burned patients. </w:t>
      </w:r>
      <w:r>
        <w:rPr>
          <w:i/>
          <w:iCs/>
          <w:kern w:val="0"/>
        </w:rPr>
        <w:t>Burns</w:t>
      </w:r>
      <w:r>
        <w:rPr>
          <w:kern w:val="0"/>
        </w:rPr>
        <w:t xml:space="preserve">, </w:t>
      </w:r>
      <w:r>
        <w:rPr>
          <w:b/>
          <w:bCs/>
          <w:kern w:val="0"/>
        </w:rPr>
        <w:t>40</w:t>
      </w:r>
      <w:r>
        <w:rPr>
          <w:kern w:val="0"/>
        </w:rPr>
        <w:t xml:space="preserve"> (1), 9-16.</w:t>
      </w:r>
    </w:p>
    <w:p w:rsidR="0096099C" w:rsidRPr="001A3D2B" w:rsidRDefault="0096099C" w:rsidP="0096099C">
      <w:pPr>
        <w:pStyle w:val="a3"/>
      </w:pPr>
      <w:r w:rsidRPr="001A3D2B">
        <w:t xml:space="preserve">Full Text: </w:t>
      </w:r>
      <w:hyperlink r:id="rId2153" w:history="1">
        <w:r w:rsidRPr="00430DDC">
          <w:rPr>
            <w:rStyle w:val="a5"/>
          </w:rPr>
          <w:t>2014\Burns40, 9.pdf</w:t>
        </w:r>
      </w:hyperlink>
    </w:p>
    <w:p w:rsidR="0096099C" w:rsidRDefault="0096099C" w:rsidP="0096099C">
      <w:pPr>
        <w:pStyle w:val="a3"/>
        <w:rPr>
          <w:kern w:val="0"/>
        </w:rPr>
      </w:pPr>
      <w:r>
        <w:rPr>
          <w:kern w:val="0"/>
        </w:rPr>
        <w:t>Abstract: Objective: Intra-abdominal hypertension (IAH) and abdominal compartment syndrome (ACS) are complications that may occur in severely burned patients. Evidenced based medicine for these patients is in its early development</w:t>
      </w:r>
      <w:r w:rsidR="00A37C1D">
        <w:rPr>
          <w:kern w:val="0"/>
        </w:rPr>
        <w:t>. The</w:t>
      </w:r>
      <w:r>
        <w:rPr>
          <w:kern w:val="0"/>
        </w:rPr>
        <w:t xml:space="preserve"> aim</w:t>
      </w:r>
      <w:r w:rsidR="00427468">
        <w:rPr>
          <w:kern w:val="0"/>
        </w:rPr>
        <w:t xml:space="preserve"> of </w:t>
      </w:r>
      <w:r>
        <w:rPr>
          <w:kern w:val="0"/>
        </w:rPr>
        <w:t>this study was to provide an overview</w:t>
      </w:r>
      <w:r w:rsidR="00427468">
        <w:rPr>
          <w:kern w:val="0"/>
        </w:rPr>
        <w:t xml:space="preserve"> of </w:t>
      </w:r>
      <w:r>
        <w:rPr>
          <w:kern w:val="0"/>
        </w:rPr>
        <w:t>literature regarding IAH and ACS in severely burned patients. Methods: A systematic search was performed in Cochrane Central Register</w:t>
      </w:r>
      <w:r w:rsidR="00427468">
        <w:rPr>
          <w:kern w:val="0"/>
        </w:rPr>
        <w:t xml:space="preserve"> of </w:t>
      </w:r>
      <w:r>
        <w:rPr>
          <w:kern w:val="0"/>
        </w:rPr>
        <w:t>Controlled Trials, PubMed, Embase, Web</w:t>
      </w:r>
      <w:r w:rsidR="00427468">
        <w:rPr>
          <w:kern w:val="0"/>
        </w:rPr>
        <w:t xml:space="preserve"> of </w:t>
      </w:r>
      <w:r>
        <w:rPr>
          <w:kern w:val="0"/>
        </w:rPr>
        <w:t>Science and CINAHL on October 1, 2012</w:t>
      </w:r>
      <w:r w:rsidR="00A37C1D">
        <w:rPr>
          <w:kern w:val="0"/>
        </w:rPr>
        <w:t>. The</w:t>
      </w:r>
      <w:r>
        <w:rPr>
          <w:kern w:val="0"/>
        </w:rPr>
        <w:t xml:space="preserve">se databases were searched on </w:t>
      </w:r>
      <w:r w:rsidR="00700038">
        <w:rPr>
          <w:kern w:val="0"/>
        </w:rPr>
        <w:t>‘</w:t>
      </w:r>
      <w:r>
        <w:rPr>
          <w:kern w:val="0"/>
        </w:rPr>
        <w:t>burn</w:t>
      </w:r>
      <w:r w:rsidR="00700038">
        <w:rPr>
          <w:kern w:val="0"/>
        </w:rPr>
        <w:t>’</w:t>
      </w:r>
      <w:r>
        <w:rPr>
          <w:kern w:val="0"/>
        </w:rPr>
        <w:t xml:space="preserve">, </w:t>
      </w:r>
      <w:r w:rsidR="00700038">
        <w:rPr>
          <w:kern w:val="0"/>
        </w:rPr>
        <w:t>‘</w:t>
      </w:r>
      <w:r>
        <w:rPr>
          <w:kern w:val="0"/>
        </w:rPr>
        <w:t>intra-abdominal hypertension</w:t>
      </w:r>
      <w:r w:rsidR="00700038">
        <w:rPr>
          <w:kern w:val="0"/>
        </w:rPr>
        <w:t>’</w:t>
      </w:r>
      <w:r>
        <w:rPr>
          <w:kern w:val="0"/>
        </w:rPr>
        <w:t xml:space="preserve">, </w:t>
      </w:r>
      <w:r w:rsidR="00700038">
        <w:rPr>
          <w:kern w:val="0"/>
        </w:rPr>
        <w:t>‘</w:t>
      </w:r>
      <w:r>
        <w:rPr>
          <w:kern w:val="0"/>
        </w:rPr>
        <w:t>abdominal compartment syndrome</w:t>
      </w:r>
      <w:r w:rsidR="00700038">
        <w:rPr>
          <w:kern w:val="0"/>
        </w:rPr>
        <w:t>’</w:t>
      </w:r>
      <w:r>
        <w:rPr>
          <w:kern w:val="0"/>
        </w:rPr>
        <w:t>, synonyms and abbreviations. Studies reporting original data on mortality, abdominal decompression or abdominal pressure related complications were included. Results: Fifty publications met the criteria, reporting 1616 patients</w:t>
      </w:r>
      <w:r w:rsidR="00A37C1D">
        <w:rPr>
          <w:kern w:val="0"/>
        </w:rPr>
        <w:t>. The</w:t>
      </w:r>
      <w:r>
        <w:rPr>
          <w:kern w:val="0"/>
        </w:rPr>
        <w:t xml:space="preserve"> prevalence</w:t>
      </w:r>
      <w:r w:rsidR="00427468">
        <w:rPr>
          <w:kern w:val="0"/>
        </w:rPr>
        <w:t xml:space="preserve"> of </w:t>
      </w:r>
      <w:r>
        <w:rPr>
          <w:kern w:val="0"/>
        </w:rPr>
        <w:t>ACS and IAH in severely burned patients is 4.1-16.6% and 64.7-74.5%, respectively</w:t>
      </w:r>
      <w:r w:rsidR="00A37C1D">
        <w:rPr>
          <w:kern w:val="0"/>
        </w:rPr>
        <w:t>. The</w:t>
      </w:r>
      <w:r>
        <w:rPr>
          <w:kern w:val="0"/>
        </w:rPr>
        <w:t xml:space="preserve"> mean mortality rate for ACS in burn patients is 74.8%</w:t>
      </w:r>
      <w:r w:rsidR="00A37C1D">
        <w:rPr>
          <w:kern w:val="0"/>
        </w:rPr>
        <w:t>. The</w:t>
      </w:r>
      <w:r>
        <w:rPr>
          <w:kern w:val="0"/>
        </w:rPr>
        <w:t xml:space="preserve"> use</w:t>
      </w:r>
      <w:r w:rsidR="00427468">
        <w:rPr>
          <w:kern w:val="0"/>
        </w:rPr>
        <w:t xml:space="preserve"> of </w:t>
      </w:r>
      <w:r>
        <w:rPr>
          <w:kern w:val="0"/>
        </w:rPr>
        <w:t>plasma and hypertonic lactated resuscitation may prevent IAH or ACS. Despite colloids decrease resuscitation volume needs, no benefit in preventing IAH was proven. Escharotomy, peritoneal catheter drainage, and decompression laparotomy are effective intra-abdominal pressure (IAP) diminishing treatments in burn patients. Markers for IAP-related organ damage might be superior to IAP measurement itself. Conclusion: ACS and IAH are frequently seen devastating complications in already severely injured burn patients. Prevention is challenging but can be achieved by improving fluid resuscitation strategies. Surgical decompression measures are effective and often unavoidable. Timing is essential since decompression should prevent progression to ACS rather than limit its effects. Prognosis</w:t>
      </w:r>
      <w:r w:rsidR="00427468">
        <w:rPr>
          <w:kern w:val="0"/>
        </w:rPr>
        <w:t xml:space="preserve"> of </w:t>
      </w:r>
      <w:r>
        <w:rPr>
          <w:kern w:val="0"/>
        </w:rPr>
        <w:t>ACS remains poor, but options for care improvement are available in literature. (C) 2013 Elsevier Ltd and ISBI. All rights reserved.</w:t>
      </w:r>
    </w:p>
    <w:p w:rsidR="0096099C" w:rsidRDefault="0096099C" w:rsidP="0096099C">
      <w:pPr>
        <w:pStyle w:val="a3"/>
        <w:rPr>
          <w:kern w:val="0"/>
        </w:rPr>
      </w:pPr>
      <w:r>
        <w:rPr>
          <w:kern w:val="0"/>
        </w:rPr>
        <w:t xml:space="preserve">Keywords: Abdominal, Abdominal Compartment Syndrome, Abdominal Compartment Syndrome, Burn, Care, Catheter, Colloids, Complications, Criteria, Damage, Data, </w:t>
      </w:r>
      <w:r>
        <w:rPr>
          <w:kern w:val="0"/>
        </w:rPr>
        <w:lastRenderedPageBreak/>
        <w:t>Databases, Decompressive Laparotomy, Development, Drainage, Effects, Fluid Creep, Hypertension, Improvement, Injury, Intra-Abdominal Hypertension, Intra-Abdominal Pressure, Laparotomy, Literature, Major-Burn, Measurement, Measures, Medicine, Methods, Military Casualties, Mortality, Mortality Rate, Needs, Options, Outcomes, Patients, Plasma, Pressure, Prevalence, Prevent, Prevention, Prognosis, Progression, Publications, Pubmed, Reporting, Results, Resuscitation, Review, Rights, Science, Secondary, Surgical, Syndrome, Systematic Review, Volume, Web</w:t>
      </w:r>
      <w:r w:rsidR="00427468">
        <w:rPr>
          <w:kern w:val="0"/>
        </w:rPr>
        <w:t xml:space="preserve"> of </w:t>
      </w:r>
      <w:r>
        <w:rPr>
          <w:kern w:val="0"/>
        </w:rPr>
        <w:t>Science</w:t>
      </w:r>
    </w:p>
    <w:p w:rsidR="0096099C" w:rsidRDefault="0096099C" w:rsidP="0096099C">
      <w:pPr>
        <w:pStyle w:val="a3"/>
        <w:rPr>
          <w:kern w:val="0"/>
        </w:rPr>
      </w:pPr>
      <w:r>
        <w:rPr>
          <w:rFonts w:hint="eastAsia"/>
          <w:kern w:val="0"/>
        </w:rPr>
        <w:t xml:space="preserve">? </w:t>
      </w:r>
      <w:r>
        <w:rPr>
          <w:kern w:val="0"/>
        </w:rPr>
        <w:t>Joyce, C.W., Kelly, J.C. and Sugrue, C. (2014), A bibliometric analysis</w:t>
      </w:r>
      <w:r w:rsidR="00427468">
        <w:rPr>
          <w:kern w:val="0"/>
        </w:rPr>
        <w:t xml:space="preserve"> of </w:t>
      </w:r>
      <w:r>
        <w:rPr>
          <w:kern w:val="0"/>
        </w:rPr>
        <w:t xml:space="preserve">the 100 most influential papers in burns. </w:t>
      </w:r>
      <w:r>
        <w:rPr>
          <w:i/>
          <w:iCs/>
          <w:kern w:val="0"/>
        </w:rPr>
        <w:t>Burns</w:t>
      </w:r>
      <w:r>
        <w:rPr>
          <w:kern w:val="0"/>
        </w:rPr>
        <w:t xml:space="preserve">, </w:t>
      </w:r>
      <w:r>
        <w:rPr>
          <w:b/>
          <w:bCs/>
          <w:kern w:val="0"/>
        </w:rPr>
        <w:t>40</w:t>
      </w:r>
      <w:r>
        <w:rPr>
          <w:kern w:val="0"/>
        </w:rPr>
        <w:t xml:space="preserve"> (1), 30-37.</w:t>
      </w:r>
    </w:p>
    <w:p w:rsidR="0096099C" w:rsidRPr="001A3D2B" w:rsidRDefault="0096099C" w:rsidP="0096099C">
      <w:pPr>
        <w:pStyle w:val="a3"/>
      </w:pPr>
      <w:r w:rsidRPr="001A3D2B">
        <w:t xml:space="preserve">Full Text: </w:t>
      </w:r>
      <w:hyperlink r:id="rId2154" w:history="1">
        <w:r w:rsidRPr="00430DDC">
          <w:rPr>
            <w:rStyle w:val="a5"/>
          </w:rPr>
          <w:t>2014\Burns40, 30.pdf</w:t>
        </w:r>
      </w:hyperlink>
    </w:p>
    <w:p w:rsidR="0096099C" w:rsidRDefault="0096099C" w:rsidP="0096099C">
      <w:pPr>
        <w:pStyle w:val="a3"/>
        <w:rPr>
          <w:kern w:val="0"/>
        </w:rPr>
      </w:pPr>
      <w:r>
        <w:rPr>
          <w:kern w:val="0"/>
        </w:rPr>
        <w:t>Abstract: The importance</w:t>
      </w:r>
      <w:r w:rsidR="00427468">
        <w:rPr>
          <w:kern w:val="0"/>
        </w:rPr>
        <w:t xml:space="preserve"> of </w:t>
      </w:r>
      <w:r>
        <w:rPr>
          <w:kern w:val="0"/>
        </w:rPr>
        <w:t>a published paper to a particular area is reflected in the quantity</w:t>
      </w:r>
      <w:r w:rsidR="00427468">
        <w:rPr>
          <w:kern w:val="0"/>
        </w:rPr>
        <w:t xml:space="preserve"> of </w:t>
      </w:r>
      <w:r>
        <w:rPr>
          <w:kern w:val="0"/>
        </w:rPr>
        <w:t>citations obtained from peers. In burns, it is unknown which papers have been the most influential on this specialty</w:t>
      </w:r>
      <w:r w:rsidR="00A37C1D">
        <w:rPr>
          <w:kern w:val="0"/>
        </w:rPr>
        <w:t>. The</w:t>
      </w:r>
      <w:r>
        <w:rPr>
          <w:kern w:val="0"/>
        </w:rPr>
        <w:t xml:space="preserve"> purpose</w:t>
      </w:r>
      <w:r w:rsidR="00427468">
        <w:rPr>
          <w:kern w:val="0"/>
        </w:rPr>
        <w:t xml:space="preserve"> of </w:t>
      </w:r>
      <w:r>
        <w:rPr>
          <w:kern w:val="0"/>
        </w:rPr>
        <w:t>our study was to identify the 100 most cited papers in burns and to analyze their characteristics. Twenty-seven journals were chosen for analysis</w:t>
      </w:r>
      <w:r w:rsidR="00A37C1D">
        <w:rPr>
          <w:kern w:val="0"/>
        </w:rPr>
        <w:t>. The</w:t>
      </w:r>
      <w:r>
        <w:rPr>
          <w:kern w:val="0"/>
        </w:rPr>
        <w:t>se included high impact factor scientific journals and journals dedicated to burns and trauma. Only twelve</w:t>
      </w:r>
      <w:r w:rsidR="00427468">
        <w:rPr>
          <w:kern w:val="0"/>
        </w:rPr>
        <w:t xml:space="preserve"> of </w:t>
      </w:r>
      <w:r>
        <w:rPr>
          <w:kern w:val="0"/>
        </w:rPr>
        <w:t>these journals contributed to the 100 most cited papers in burns and we analyzed each paper individually looking at its subject matter, authorship, article type, institution, country and year</w:t>
      </w:r>
      <w:r w:rsidR="00427468">
        <w:rPr>
          <w:kern w:val="0"/>
        </w:rPr>
        <w:t xml:space="preserve"> of </w:t>
      </w:r>
      <w:r>
        <w:rPr>
          <w:kern w:val="0"/>
        </w:rPr>
        <w:t>publication. Our citation analysis revealed an interesting mix</w:t>
      </w:r>
      <w:r w:rsidR="00427468">
        <w:rPr>
          <w:kern w:val="0"/>
        </w:rPr>
        <w:t xml:space="preserve"> of </w:t>
      </w:r>
      <w:r>
        <w:rPr>
          <w:kern w:val="0"/>
        </w:rPr>
        <w:t>clinical and scientific papers that documents the key landmarks in burn care over the past 66 years. (C) 2013 Elsevier Ltd and ISBI. All rights reserved.</w:t>
      </w:r>
    </w:p>
    <w:p w:rsidR="0096099C" w:rsidRDefault="0096099C" w:rsidP="0096099C">
      <w:pPr>
        <w:pStyle w:val="a3"/>
        <w:rPr>
          <w:kern w:val="0"/>
        </w:rPr>
      </w:pPr>
      <w:r>
        <w:rPr>
          <w:kern w:val="0"/>
        </w:rPr>
        <w:t>Keywords: Analysis, Authorship, Bacterial Translocation, Bibliometric, Bibliometric Analysis, Burns, Care, Characteristics, Citation, Citation Analysis, Citation-Classics, Citations, Clinical, Country, Cultured Skin Substitutes, Full-Thickness Burns, Human Growth-Hormone, Impact, Impact Factor, Inhalation Injury, Intestinal Permeability, Journals, Major Burns, Most Cited, Muscle Protein-Synthesis, Papers, Publication, Purpose, Rights, Scientific Journals, Specialty, Thermal-Injury, Top 100, Trauma</w:t>
      </w:r>
    </w:p>
    <w:p w:rsidR="00D62F75" w:rsidRDefault="00D62F75" w:rsidP="00D62F75">
      <w:pPr>
        <w:pStyle w:val="a3"/>
        <w:rPr>
          <w:kern w:val="0"/>
        </w:rPr>
      </w:pPr>
      <w:r>
        <w:rPr>
          <w:kern w:val="0"/>
        </w:rPr>
        <w:t xml:space="preserve">? Silva, C.L.C., Rossi, L.A., Canini, S.R.M.D., Gonçalves, N. and Furuya, R.K. (2014), Site of catheter insertion in burn patients and infection: A systematic review. </w:t>
      </w:r>
      <w:r>
        <w:rPr>
          <w:i/>
          <w:iCs/>
          <w:kern w:val="0"/>
        </w:rPr>
        <w:t>Burns</w:t>
      </w:r>
      <w:r>
        <w:rPr>
          <w:kern w:val="0"/>
        </w:rPr>
        <w:t xml:space="preserve">, </w:t>
      </w:r>
      <w:r>
        <w:rPr>
          <w:b/>
          <w:bCs/>
          <w:kern w:val="0"/>
        </w:rPr>
        <w:t>40</w:t>
      </w:r>
      <w:r>
        <w:rPr>
          <w:kern w:val="0"/>
        </w:rPr>
        <w:t xml:space="preserve"> (3), 365-373.</w:t>
      </w:r>
    </w:p>
    <w:p w:rsidR="00D62F75" w:rsidRPr="001A3D2B" w:rsidRDefault="00D62F75" w:rsidP="00D62F75">
      <w:pPr>
        <w:pStyle w:val="a3"/>
      </w:pPr>
      <w:r w:rsidRPr="001A3D2B">
        <w:t xml:space="preserve">Full Text: </w:t>
      </w:r>
      <w:hyperlink r:id="rId2155" w:history="1">
        <w:r w:rsidRPr="006D37EB">
          <w:rPr>
            <w:rStyle w:val="a5"/>
          </w:rPr>
          <w:t>2014\Burns40, 365.pdf</w:t>
        </w:r>
      </w:hyperlink>
    </w:p>
    <w:p w:rsidR="00D62F75" w:rsidRDefault="00D62F75" w:rsidP="00D62F75">
      <w:pPr>
        <w:pStyle w:val="a3"/>
        <w:rPr>
          <w:kern w:val="0"/>
        </w:rPr>
      </w:pPr>
      <w:r>
        <w:rPr>
          <w:kern w:val="0"/>
        </w:rPr>
        <w:t xml:space="preserve">Abstract: The aim of the study was to conduct a systematic review to identify and appraise the evidence on possible association of the site of venous catheter insertion in burn patients and an increased occurrence of catheter-related infection. Searches were performed in “MEDLINE, LILACS, CINAHL, EMBASE, Web of Science and The Cochrane Library. Nine studies were selected for the review; four of them mentioned, directly or indirectly, an association between catheter-related infection </w:t>
      </w:r>
      <w:r>
        <w:rPr>
          <w:kern w:val="0"/>
        </w:rPr>
        <w:lastRenderedPageBreak/>
        <w:t>and the insertion of the catheter either in the burn wound or in surrounding area, and five studies investigated the occurrence of infection related to both the catheter and the anatomical sites of catheter insertion. Higher infection rates occurred when the catheters were inserted directly in the burn wound or near the wound (level of evidence IV) or in the femoral vein (level of evidence IV). No significant differences in infection occurrence rates were observed between central catheters and peripherally inserted central catheter (level of evidence IV). Further investigations for techniques and types of coverage of venous catheter insertion dressings are important for preventing infection in burn patients. Also, new technologies for venous access must be evaluated. (C) 2013 Elsevier Ltd and ISBI. All rights reserved.</w:t>
      </w:r>
    </w:p>
    <w:p w:rsidR="00D62F75" w:rsidRDefault="00D62F75" w:rsidP="00D62F75">
      <w:pPr>
        <w:pStyle w:val="a3"/>
        <w:rPr>
          <w:kern w:val="0"/>
        </w:rPr>
      </w:pPr>
      <w:r>
        <w:rPr>
          <w:kern w:val="0"/>
        </w:rPr>
        <w:t>Keywords: Access, Association, Burns, Care, Catheter, Catheter-Related Infections, Catheters, Central Venous Catheters, Children, Complications, Coverage, Embase, Emergency, Evidence, Guidelines, Infection, Investigations, Iv, Management, Metaanalysis, Patients, Rates, Review, Rights, Science, Sepsis, Site, Systematic Review, Techniques, Technologies, Unit, Web of Science, Wound</w:t>
      </w:r>
    </w:p>
    <w:p w:rsidR="008D3C09" w:rsidRDefault="008D3C09" w:rsidP="008D3C09">
      <w:pPr>
        <w:pStyle w:val="a3"/>
        <w:rPr>
          <w:kern w:val="0"/>
        </w:rPr>
      </w:pPr>
      <w:r>
        <w:rPr>
          <w:rFonts w:hint="eastAsia"/>
          <w:kern w:val="0"/>
        </w:rPr>
        <w:t xml:space="preserve">? </w:t>
      </w:r>
      <w:r>
        <w:rPr>
          <w:kern w:val="0"/>
        </w:rPr>
        <w:t xml:space="preserve">Goncalves, N., Melo, A.D., Caltran, M.P., Pedro, I.C.D., Pan, R., Nascimento, L.C. and Rossi, L.A. (2014), Sexuality in burn victims: An integrative literature review. </w:t>
      </w:r>
      <w:r>
        <w:rPr>
          <w:i/>
          <w:iCs/>
          <w:kern w:val="0"/>
        </w:rPr>
        <w:t>Burns</w:t>
      </w:r>
      <w:r>
        <w:rPr>
          <w:kern w:val="0"/>
        </w:rPr>
        <w:t xml:space="preserve">, </w:t>
      </w:r>
      <w:r>
        <w:rPr>
          <w:b/>
          <w:bCs/>
          <w:kern w:val="0"/>
        </w:rPr>
        <w:t>40</w:t>
      </w:r>
      <w:r>
        <w:rPr>
          <w:kern w:val="0"/>
        </w:rPr>
        <w:t xml:space="preserve"> (4), 552-561.</w:t>
      </w:r>
    </w:p>
    <w:p w:rsidR="008D3C09" w:rsidRPr="001A3D2B" w:rsidRDefault="008D3C09" w:rsidP="008D3C09">
      <w:pPr>
        <w:pStyle w:val="a3"/>
      </w:pPr>
      <w:r w:rsidRPr="001A3D2B">
        <w:t xml:space="preserve">Full Text: </w:t>
      </w:r>
      <w:hyperlink r:id="rId2156" w:history="1">
        <w:r w:rsidRPr="000A3DFF">
          <w:rPr>
            <w:rStyle w:val="a5"/>
          </w:rPr>
          <w:t>2014\Burns40, 552.pdf</w:t>
        </w:r>
      </w:hyperlink>
    </w:p>
    <w:p w:rsidR="008D3C09" w:rsidRDefault="008D3C09" w:rsidP="008D3C09">
      <w:pPr>
        <w:pStyle w:val="a3"/>
        <w:rPr>
          <w:kern w:val="0"/>
        </w:rPr>
      </w:pPr>
      <w:r>
        <w:rPr>
          <w:kern w:val="0"/>
        </w:rPr>
        <w:t>Abstract: Aims: To analyze and synthesize knowledge concerning sexuality in adult burn victims through an integiative literature review. Method: Two researchers independently searched six electronic databases.(PUBMED, LILACS, ISI Web of Science, PSYCINFO, CINAHL and EMBASE) and also performed a hand search using the following descriptors, in different combinations: burn, sexuality, gender identity, sexual behavior and sexual factors, in order to identify the articles published in English, Portuguese or Spanish, in the last 20 years. A total of 1781 articles were found and 22 were selected based on the inclusion and exclusion criteria. Results: The findings were organized into two categories that influence sexuality: (1) studies where the main purpose was to assess sexuality in burn victims; (2) studies that indirectly assess sexuality. Conclusion: The synthesis of the knowledge concerning sexuality in burn victims showed that sexual dysfunction can be related to the younger ages, TBSA &gt; 20%, burns on the genitalia and on exposed areas, prolonged length of hospital stay, avoidance coping, and mental disorders</w:t>
      </w:r>
      <w:r w:rsidR="00A37C1D">
        <w:rPr>
          <w:kern w:val="0"/>
        </w:rPr>
        <w:t>. The</w:t>
      </w:r>
      <w:r>
        <w:rPr>
          <w:kern w:val="0"/>
        </w:rPr>
        <w:t xml:space="preserve"> multidisciplinary team should be prepared to integrate sexuality as an important variable in the continuing treatment of burn patients. (C) 2013 Elsevier Ltd and ISBI. All rights reserved.</w:t>
      </w:r>
    </w:p>
    <w:p w:rsidR="008D3C09" w:rsidRDefault="008D3C09" w:rsidP="008D3C09">
      <w:pPr>
        <w:pStyle w:val="a3"/>
        <w:rPr>
          <w:kern w:val="0"/>
        </w:rPr>
      </w:pPr>
      <w:r>
        <w:rPr>
          <w:kern w:val="0"/>
        </w:rPr>
        <w:t xml:space="preserve">Keywords: Adult, Articles, Behavior, Burns, Coping, Criteria, Electrical Burns, Embase, English, Fear-Avoidance, Gender, Gender Identity, Health Scale, Hospital, Hospital </w:t>
      </w:r>
      <w:r>
        <w:rPr>
          <w:kern w:val="0"/>
        </w:rPr>
        <w:lastRenderedPageBreak/>
        <w:t xml:space="preserve">Stay, Influence, Injury, Integrative, </w:t>
      </w:r>
      <w:r w:rsidR="00121576">
        <w:rPr>
          <w:kern w:val="0"/>
        </w:rPr>
        <w:t>ISI, ISI</w:t>
      </w:r>
      <w:r>
        <w:rPr>
          <w:kern w:val="0"/>
        </w:rPr>
        <w:t xml:space="preserve"> Web Of Science, Knowledge, Length, Literature, Literature Review, Mental Disorders, Multidisciplinary, Multidisciplinary Team, Nursing, Patients, Perceived Health, Personality-Characteristics, Predictors, Prolonged, Psycinfo, Purpose, Quality-Of-Life, Rehabilitation, Results, Review, Rights, Science, Sexual Behavior, Sexual Dysfunction, Sexuality, Survivors, Synthesis, Treatment, Web Of Science, Work</w:t>
      </w:r>
    </w:p>
    <w:p w:rsidR="00C361D9" w:rsidRDefault="00C361D9" w:rsidP="00C361D9">
      <w:pPr>
        <w:pStyle w:val="a3"/>
        <w:rPr>
          <w:kern w:val="0"/>
        </w:rPr>
      </w:pPr>
      <w:r>
        <w:rPr>
          <w:rFonts w:hint="eastAsia"/>
          <w:kern w:val="0"/>
        </w:rPr>
        <w:t xml:space="preserve">? </w:t>
      </w:r>
      <w:r>
        <w:rPr>
          <w:kern w:val="0"/>
        </w:rPr>
        <w:t xml:space="preserve">Wang, X., Ling, L., Su, H., Cheng, J., Jin, L. and Sun, Y.H. (2015), Self-concept of left-behind children in China: A systematic review of the literature. </w:t>
      </w:r>
      <w:r>
        <w:rPr>
          <w:i/>
          <w:iCs/>
          <w:kern w:val="0"/>
        </w:rPr>
        <w:t>Child Care Health and Development</w:t>
      </w:r>
      <w:r>
        <w:rPr>
          <w:kern w:val="0"/>
        </w:rPr>
        <w:t xml:space="preserve">, </w:t>
      </w:r>
      <w:r>
        <w:rPr>
          <w:b/>
          <w:bCs/>
          <w:kern w:val="0"/>
        </w:rPr>
        <w:t>41</w:t>
      </w:r>
      <w:r>
        <w:rPr>
          <w:kern w:val="0"/>
        </w:rPr>
        <w:t xml:space="preserve"> (3), 346-355.</w:t>
      </w:r>
    </w:p>
    <w:p w:rsidR="00C361D9" w:rsidRPr="001A3D2B" w:rsidRDefault="00C361D9" w:rsidP="00C361D9">
      <w:pPr>
        <w:pStyle w:val="a3"/>
      </w:pPr>
      <w:r w:rsidRPr="001A3D2B">
        <w:t xml:space="preserve">Full Text: </w:t>
      </w:r>
      <w:hyperlink r:id="rId2157" w:history="1">
        <w:r w:rsidRPr="00096859">
          <w:rPr>
            <w:rStyle w:val="a5"/>
          </w:rPr>
          <w:t>2015\Burns41, 346.pdf</w:t>
        </w:r>
      </w:hyperlink>
    </w:p>
    <w:p w:rsidR="00C361D9" w:rsidRDefault="00C361D9" w:rsidP="00C361D9">
      <w:pPr>
        <w:pStyle w:val="a3"/>
        <w:rPr>
          <w:kern w:val="0"/>
        </w:rPr>
      </w:pPr>
      <w:r>
        <w:rPr>
          <w:kern w:val="0"/>
        </w:rPr>
        <w:t>Abstract: The aim of our study was to systematically review studies which had compared self-concept in left-behind children with the general population of children in China. Relevant studies about self-concept of left-behind children in China published from 2004 to 2014 were sought by searching online databases including Chinese Biological Medicine Database (CBM), Chinese National Knowledge Infrastructure (CNKI), Wanfang Database, Vip Database, PubMed Database, Google Scholar and Web of Science. The methodological quality of the articles was assessed by using Newcastle-Ottawa Scale (NOS). Poled effect size and associated 95% confidence interval (CI) were calculated using the random effects model. Cochrane’s Q was used to test for heterogeneity and I-2 index was used to determine the degree of heterogeneity. Nineteen studies involving 7758 left-behind children met the inclusion criteria and 15 studies were included in a meta-analysis. The results indicated that left-behind group had a lower score of self-concept and more psychological problems than the control group. The factors associated with self-concept in left-behind children were gender, age, grade and the relationships with parents, guardians and teachers. Left-behind children had lower self-concept and more mental health problems compared with the general population of children. The development of self-concept may be an important channel for promoting mental health of left-behind children.</w:t>
      </w:r>
    </w:p>
    <w:p w:rsidR="00C361D9" w:rsidRDefault="00C361D9" w:rsidP="00C361D9">
      <w:pPr>
        <w:pStyle w:val="a3"/>
        <w:rPr>
          <w:kern w:val="0"/>
        </w:rPr>
      </w:pPr>
      <w:r>
        <w:rPr>
          <w:kern w:val="0"/>
        </w:rPr>
        <w:t>Keywords: Adjustment, Adolescents, Age, Articles, Attachment, Children, China, Chinese, Confidence, Control, Criteria, Database, Databases, Development, Effect Size, Effects, Factors, From, Gender, General, General Population, Google, Google Scholar, Health, Heterogeneity, Index, Interval, Knowledge, Left-Behind Children, Literature, Medicine, Mental Health, Mental-Health, Meta Analysis, Meta-Analysis, Metaanalysis, Methodological Quality, Migrant Parents, Model, No, Online, Parents, Population, Psychological, Pubmed, Quality, Quality Of, Random Effects Model, Review, Roles, Rural China, Scale, Science, Self-Concept, Size, Systematic, Systematic Review, Web, Web Of Science</w:t>
      </w:r>
    </w:p>
    <w:p w:rsidR="00C361D9" w:rsidRDefault="00C361D9" w:rsidP="00C361D9">
      <w:pPr>
        <w:pStyle w:val="a3"/>
        <w:rPr>
          <w:kern w:val="0"/>
        </w:rPr>
      </w:pPr>
      <w:r>
        <w:rPr>
          <w:rFonts w:hint="eastAsia"/>
          <w:kern w:val="0"/>
        </w:rPr>
        <w:t xml:space="preserve">? </w:t>
      </w:r>
      <w:r>
        <w:rPr>
          <w:kern w:val="0"/>
        </w:rPr>
        <w:t xml:space="preserve">Zhao, H.L., Huang, S. and Fu, X.B. (2015), Should pyogenic granulomas following </w:t>
      </w:r>
      <w:r>
        <w:rPr>
          <w:kern w:val="0"/>
        </w:rPr>
        <w:lastRenderedPageBreak/>
        <w:t xml:space="preserve">burns be excised? </w:t>
      </w:r>
      <w:r>
        <w:rPr>
          <w:i/>
          <w:iCs/>
          <w:kern w:val="0"/>
        </w:rPr>
        <w:t>Burns</w:t>
      </w:r>
      <w:r>
        <w:rPr>
          <w:kern w:val="0"/>
        </w:rPr>
        <w:t xml:space="preserve">, </w:t>
      </w:r>
      <w:r>
        <w:rPr>
          <w:b/>
          <w:bCs/>
          <w:kern w:val="0"/>
        </w:rPr>
        <w:t>41</w:t>
      </w:r>
      <w:r>
        <w:rPr>
          <w:kern w:val="0"/>
        </w:rPr>
        <w:t xml:space="preserve"> (3), 431-436.</w:t>
      </w:r>
    </w:p>
    <w:p w:rsidR="00C361D9" w:rsidRPr="001A3D2B" w:rsidRDefault="00C361D9" w:rsidP="00C361D9">
      <w:pPr>
        <w:pStyle w:val="a3"/>
      </w:pPr>
      <w:r w:rsidRPr="001A3D2B">
        <w:t xml:space="preserve">Full Text: </w:t>
      </w:r>
      <w:hyperlink r:id="rId2158" w:history="1">
        <w:r w:rsidRPr="00096859">
          <w:rPr>
            <w:rStyle w:val="a5"/>
          </w:rPr>
          <w:t>2015\Burns41, 431.pdf</w:t>
        </w:r>
      </w:hyperlink>
    </w:p>
    <w:p w:rsidR="00C361D9" w:rsidRDefault="00C361D9" w:rsidP="00C361D9">
      <w:pPr>
        <w:pStyle w:val="a3"/>
        <w:rPr>
          <w:kern w:val="0"/>
        </w:rPr>
      </w:pPr>
      <w:r>
        <w:rPr>
          <w:kern w:val="0"/>
        </w:rPr>
        <w:t>Abstract: Background: Patients with pygenic granuloma following burns (PGB) presents dramatic clinical features which are different from those with classic pyogenic granuloma. This review aims to discuss whether pyogenic granuloma following burns (PGB) need excision or not. Methods: Using the PubMed, EMBASE, Cochrane Library and web of science databases. All articles which discussed diagnosis and treatment of pyogenic granuloma following burns with histological results were included from 1978 to 2013. Reports from meetings were not included. Only articles published in English were included. Results: Twenty one articles excluded from a total of 32 studies. One study was excluded from the 11 descriptive studies because of typical histological results’. The rest, 10 studies were case reports. Only one article was published in French, whose abstract was published in French and English. Patients with PGB presented six distinctive clinical features. First, all the patients had burns initially. The second, PGB acutely erupted between 1 and 4 weeks in patients’ burned area, which may be infected by bacteria, fungus and virus. The fourth, PGB can be classified into proliferative and shrivelling stages. The fifth, three hisiological characteristics including hyperkeratosis or acanthosis, numerous newly formed proliferative vascular, edematous stoma with infiltration by plasma cells and lymphocytes. Finally, recurrence, 6 out of 16 patients with PGB involuted spontaneously with no recurrence. Three out of 16 patients were conservatively managed with no recurrence, neither patients (5) who had surgery and 2 patients treated with electro coagulation had recurrence. Conclusions: PGB lesions are benign based on clinical features and histological examinations. The clinical process of PGB could be divided into proliferative and shrivelling stages. Conservative treatment including wound management and antibiotic could be chosen firstly, especially when large PGBs are on the face or other important area of one’s body. When conservative treatment is ineffective, a surgery could be chosen. (C) 2014 Published by Elsevier Ltd and ISBI.</w:t>
      </w:r>
    </w:p>
    <w:p w:rsidR="00C361D9" w:rsidRDefault="00C361D9" w:rsidP="00C361D9">
      <w:pPr>
        <w:pStyle w:val="a3"/>
        <w:rPr>
          <w:kern w:val="0"/>
        </w:rPr>
      </w:pPr>
      <w:r>
        <w:rPr>
          <w:kern w:val="0"/>
        </w:rPr>
        <w:t>Keywords: Article, Articles, Bacteria, Burns, Case Reports, Characteristics, Clinical, Clinical Features, Coagulation, Conservative, Conservative Treatment, Databases, Diagnosis, Embase, English, From, Fungus, Graft, Infected, Infiltration, Lesion, Library, Lobular Capillary Hemangioma, Management, Methods, Multiple, Patients, Plasma, Pubmed, Pulsed-Dye-Laser, Pyogenic Granulomas, Recurrence, Results, Review, Scar, Science, Shave-Excision, Surgery, Treatment, Web, Web Of Science, Wound</w:t>
      </w:r>
    </w:p>
    <w:p w:rsidR="00C361D9" w:rsidRDefault="00C361D9" w:rsidP="00C361D9">
      <w:pPr>
        <w:pStyle w:val="a3"/>
        <w:rPr>
          <w:kern w:val="0"/>
        </w:rPr>
      </w:pPr>
      <w:r>
        <w:rPr>
          <w:rFonts w:hint="eastAsia"/>
          <w:kern w:val="0"/>
        </w:rPr>
        <w:t xml:space="preserve">? </w:t>
      </w:r>
      <w:r>
        <w:rPr>
          <w:kern w:val="0"/>
        </w:rPr>
        <w:t xml:space="preserve">Ren, H.T., Li, Y., Han, C.M. and Hu, H. (2015), Serum procalcitonin as a diagnostic biomarker for sepsis in burned patients: A meta-analysis. </w:t>
      </w:r>
      <w:r>
        <w:rPr>
          <w:i/>
          <w:iCs/>
          <w:kern w:val="0"/>
        </w:rPr>
        <w:t>Burns</w:t>
      </w:r>
      <w:r>
        <w:rPr>
          <w:kern w:val="0"/>
        </w:rPr>
        <w:t xml:space="preserve">, </w:t>
      </w:r>
      <w:r>
        <w:rPr>
          <w:b/>
          <w:bCs/>
          <w:kern w:val="0"/>
        </w:rPr>
        <w:t>41</w:t>
      </w:r>
      <w:r>
        <w:rPr>
          <w:kern w:val="0"/>
        </w:rPr>
        <w:t xml:space="preserve"> (3), 502-509.</w:t>
      </w:r>
    </w:p>
    <w:p w:rsidR="00C361D9" w:rsidRPr="001A3D2B" w:rsidRDefault="00C361D9" w:rsidP="00C361D9">
      <w:pPr>
        <w:pStyle w:val="a3"/>
      </w:pPr>
      <w:r w:rsidRPr="001A3D2B">
        <w:t xml:space="preserve">Full Text: </w:t>
      </w:r>
      <w:hyperlink r:id="rId2159" w:history="1">
        <w:r w:rsidRPr="00096859">
          <w:rPr>
            <w:rStyle w:val="a5"/>
          </w:rPr>
          <w:t>2015\Burns41, 502.pdf</w:t>
        </w:r>
      </w:hyperlink>
    </w:p>
    <w:p w:rsidR="00C361D9" w:rsidRDefault="00C361D9" w:rsidP="00C361D9">
      <w:pPr>
        <w:pStyle w:val="a3"/>
        <w:rPr>
          <w:kern w:val="0"/>
        </w:rPr>
      </w:pPr>
      <w:r>
        <w:rPr>
          <w:kern w:val="0"/>
        </w:rPr>
        <w:lastRenderedPageBreak/>
        <w:t>Abstract: Background: Sepsis is one of the main causes of mortality in severe burns. However, it is difficult to diagnose early. Procalcitonin (PCT) has been reported as a biomarker for sepsis with controversial results. The aim of the study is to assess the diagnostic value of serum PCT for sepsis in burn patients through a meta-analysis of published studies. Methods: A comprehensive literature search of PubMed, Embase, Web of Science and the Cochrane Library databases for studies published up to 1st March 2014 that evaluated PCT as a marker for diagnosing sepsis in burn patients was conducted. The summary receiver operating characteristic curves served to evaulate overall test performance. Meta-Disc 1.4 software and Stata 12.1 were used to analyze the data. Results: A total of 566 patients (samples) from nine trials were identified and analyzed. The pooled sensitivity and specificity were 0.74 and 0.88, respectively. No threshold effect was found among studies. The area under the SROC curve (AUC) was 0.92. Conclusion: The results suggest that serum PCT is a useful biomarker (AUC = 0.92) for early diagnosis of sepsis in burn patients. However, the results should be used with caution, because of obvious heterogeneity among those studies. Further large-scale research should regard more attention to the uniform cut-off value, and laboratories test methods. (C) 2014 Elsevier Ltd and ISBI. All rights reserved.</w:t>
      </w:r>
    </w:p>
    <w:p w:rsidR="00C361D9" w:rsidRDefault="00C361D9" w:rsidP="00C361D9">
      <w:pPr>
        <w:pStyle w:val="a3"/>
        <w:rPr>
          <w:kern w:val="0"/>
        </w:rPr>
      </w:pPr>
      <w:r>
        <w:rPr>
          <w:kern w:val="0"/>
        </w:rPr>
        <w:t>Keywords: Attention, Auc, Biological Markers, Biomarker, Blood-Stream Infection, Burn, Burns, Consensus Conference, Critically-Ill Patients, Data, Databases, Definitions, Diagnosis, Diagnostic, Diagnostic Tests, Early Diagnosis, From, Heterogeneity, Innovative Therapies, Intensive-Care-Unit, Library, Literature, Literature Search, Marker, Meta Analysis, Meta-Analysis, Metaanalysis, Methods, Mortality, Organ Failure, Patients, Performance, Procalcitonin, Pubmed, Research, Results, Rights, Science, Sensitivity, Sepsis, Septic Shock, Serum, Software, Specificity, Stata, Threshold, Time-Course, Value, Web, Web Of Science</w:t>
      </w:r>
    </w:p>
    <w:p w:rsidR="00614273" w:rsidRDefault="00614273" w:rsidP="00614273">
      <w:pPr>
        <w:pStyle w:val="1"/>
      </w:pPr>
      <w:r>
        <w:br w:type="page"/>
      </w:r>
      <w:bookmarkStart w:id="988" w:name="_Toc420814860"/>
      <w:r>
        <w:lastRenderedPageBreak/>
        <w:t xml:space="preserve">Title: </w:t>
      </w:r>
      <w:r w:rsidRPr="00021D31">
        <w:t>Business Ethics-A European Review</w:t>
      </w:r>
      <w:bookmarkEnd w:id="988"/>
    </w:p>
    <w:p w:rsidR="00614273" w:rsidRDefault="00614273" w:rsidP="00614273">
      <w:pPr>
        <w:pStyle w:val="12"/>
      </w:pPr>
      <w:r>
        <w:t xml:space="preserve">Full Journal Title: </w:t>
      </w:r>
      <w:r w:rsidRPr="00021D31">
        <w:rPr>
          <w:iCs/>
          <w:kern w:val="0"/>
        </w:rPr>
        <w:t>Business Ethics-A European Review</w:t>
      </w:r>
    </w:p>
    <w:p w:rsidR="00614273" w:rsidRDefault="00614273" w:rsidP="00614273">
      <w:pPr>
        <w:pStyle w:val="12"/>
      </w:pPr>
      <w:r>
        <w:t xml:space="preserve">ISO Abbreviated Title: </w:t>
      </w:r>
    </w:p>
    <w:p w:rsidR="00614273" w:rsidRDefault="00614273" w:rsidP="00614273">
      <w:pPr>
        <w:pStyle w:val="12"/>
      </w:pPr>
      <w:r>
        <w:t xml:space="preserve">JCR Abbreviated Title: </w:t>
      </w:r>
    </w:p>
    <w:p w:rsidR="00614273" w:rsidRDefault="00614273" w:rsidP="00614273">
      <w:pPr>
        <w:pStyle w:val="12"/>
      </w:pPr>
      <w:r>
        <w:t>ISSN:</w:t>
      </w:r>
    </w:p>
    <w:p w:rsidR="00614273" w:rsidRDefault="00614273" w:rsidP="00614273">
      <w:pPr>
        <w:pStyle w:val="12"/>
      </w:pPr>
      <w:r>
        <w:t xml:space="preserve">Issues/Year: </w:t>
      </w:r>
    </w:p>
    <w:p w:rsidR="00614273" w:rsidRDefault="00614273" w:rsidP="00614273">
      <w:pPr>
        <w:pStyle w:val="12"/>
      </w:pPr>
      <w:r>
        <w:t xml:space="preserve">Journal Country/Territory: </w:t>
      </w:r>
    </w:p>
    <w:p w:rsidR="00614273" w:rsidRDefault="00614273" w:rsidP="00614273">
      <w:pPr>
        <w:pStyle w:val="12"/>
      </w:pPr>
      <w:r>
        <w:t xml:space="preserve">Language: </w:t>
      </w:r>
    </w:p>
    <w:p w:rsidR="00614273" w:rsidRDefault="00614273" w:rsidP="00614273">
      <w:pPr>
        <w:pStyle w:val="12"/>
      </w:pPr>
      <w:r>
        <w:t xml:space="preserve">Publisher: </w:t>
      </w:r>
    </w:p>
    <w:p w:rsidR="00614273" w:rsidRDefault="00614273" w:rsidP="00614273">
      <w:pPr>
        <w:pStyle w:val="12"/>
      </w:pPr>
      <w:r>
        <w:t xml:space="preserve">Publisher Address: </w:t>
      </w:r>
    </w:p>
    <w:p w:rsidR="00614273" w:rsidRDefault="00614273" w:rsidP="00614273">
      <w:pPr>
        <w:pStyle w:val="12"/>
      </w:pPr>
      <w:r>
        <w:t xml:space="preserve">Subject Categories: </w:t>
      </w:r>
    </w:p>
    <w:p w:rsidR="00614273" w:rsidRDefault="00614273" w:rsidP="00614273">
      <w:pPr>
        <w:pStyle w:val="12"/>
      </w:pPr>
      <w:r>
        <w:t xml:space="preserve">: Impact Factor </w:t>
      </w:r>
    </w:p>
    <w:p w:rsidR="00614273" w:rsidRDefault="00614273" w:rsidP="00614273">
      <w:pPr>
        <w:pStyle w:val="a3"/>
        <w:rPr>
          <w:kern w:val="0"/>
        </w:rPr>
      </w:pPr>
      <w:r>
        <w:rPr>
          <w:rFonts w:hint="eastAsia"/>
          <w:kern w:val="0"/>
        </w:rPr>
        <w:t xml:space="preserve">? </w:t>
      </w:r>
      <w:r>
        <w:rPr>
          <w:kern w:val="0"/>
        </w:rPr>
        <w:t>Ma, Z.Z., Liang, D.P., Yu, K.H.</w:t>
      </w:r>
      <w:r w:rsidR="005853A9">
        <w:rPr>
          <w:kern w:val="0"/>
        </w:rPr>
        <w:t xml:space="preserve"> and </w:t>
      </w:r>
      <w:r>
        <w:rPr>
          <w:kern w:val="0"/>
        </w:rPr>
        <w:t>Lee, Y. (2012), Most cited business ethics publications: Mapping</w:t>
      </w:r>
      <w:r w:rsidR="003A1917">
        <w:rPr>
          <w:kern w:val="0"/>
        </w:rPr>
        <w:t xml:space="preserve"> the </w:t>
      </w:r>
      <w:r>
        <w:rPr>
          <w:kern w:val="0"/>
        </w:rPr>
        <w:t>intellectual structure</w:t>
      </w:r>
      <w:r w:rsidR="00427468">
        <w:rPr>
          <w:kern w:val="0"/>
        </w:rPr>
        <w:t xml:space="preserve"> of </w:t>
      </w:r>
      <w:r>
        <w:rPr>
          <w:kern w:val="0"/>
        </w:rPr>
        <w:t xml:space="preserve">business ethics studies in 2001-2008. </w:t>
      </w:r>
      <w:r w:rsidRPr="00021D31">
        <w:rPr>
          <w:i/>
          <w:iCs/>
          <w:kern w:val="0"/>
        </w:rPr>
        <w:t>Business Ethics-A European Review</w:t>
      </w:r>
      <w:r>
        <w:rPr>
          <w:kern w:val="0"/>
        </w:rPr>
        <w:t xml:space="preserve">, </w:t>
      </w:r>
      <w:r>
        <w:rPr>
          <w:b/>
          <w:bCs/>
          <w:kern w:val="0"/>
        </w:rPr>
        <w:t>21</w:t>
      </w:r>
      <w:r>
        <w:rPr>
          <w:kern w:val="0"/>
        </w:rPr>
        <w:t xml:space="preserve"> (3), 286-297.</w:t>
      </w:r>
    </w:p>
    <w:p w:rsidR="00614273" w:rsidRDefault="00614273" w:rsidP="00614273">
      <w:pPr>
        <w:pStyle w:val="a3"/>
        <w:rPr>
          <w:kern w:val="0"/>
        </w:rPr>
      </w:pPr>
      <w:r>
        <w:rPr>
          <w:rFonts w:hint="eastAsia"/>
          <w:kern w:val="0"/>
        </w:rPr>
        <w:t xml:space="preserve">Full Text: </w:t>
      </w:r>
      <w:hyperlink r:id="rId2160" w:history="1">
        <w:r w:rsidRPr="00021D31">
          <w:rPr>
            <w:rStyle w:val="a5"/>
            <w:kern w:val="0"/>
          </w:rPr>
          <w:t>2012\Bus Eth- Eur Rev21, 286.pdf</w:t>
        </w:r>
      </w:hyperlink>
    </w:p>
    <w:p w:rsidR="00614273" w:rsidRDefault="00614273" w:rsidP="00614273">
      <w:pPr>
        <w:pStyle w:val="a3"/>
        <w:rPr>
          <w:kern w:val="0"/>
        </w:rPr>
      </w:pPr>
      <w:r>
        <w:rPr>
          <w:kern w:val="0"/>
        </w:rPr>
        <w:t>Abstract: This study explores</w:t>
      </w:r>
      <w:r w:rsidR="003A1917">
        <w:rPr>
          <w:kern w:val="0"/>
        </w:rPr>
        <w:t xml:space="preserve"> the </w:t>
      </w:r>
      <w:r>
        <w:rPr>
          <w:kern w:val="0"/>
        </w:rPr>
        <w:t>research paradigms</w:t>
      </w:r>
      <w:r w:rsidR="00427468">
        <w:rPr>
          <w:kern w:val="0"/>
        </w:rPr>
        <w:t xml:space="preserve"> of </w:t>
      </w:r>
      <w:r>
        <w:rPr>
          <w:kern w:val="0"/>
        </w:rPr>
        <w:t>contemporary business ethics research in 20012008. With citation data from</w:t>
      </w:r>
      <w:r w:rsidR="003A1917">
        <w:rPr>
          <w:kern w:val="0"/>
        </w:rPr>
        <w:t xml:space="preserve"> the </w:t>
      </w:r>
      <w:r>
        <w:rPr>
          <w:kern w:val="0"/>
        </w:rPr>
        <w:t>top two business ethics journals included in</w:t>
      </w:r>
      <w:r w:rsidR="003A1917">
        <w:rPr>
          <w:kern w:val="0"/>
        </w:rPr>
        <w:t xml:space="preserve"> the </w:t>
      </w:r>
      <w:r>
        <w:rPr>
          <w:kern w:val="0"/>
        </w:rPr>
        <w:t>Social Sciences Citation Index, this study conducts citation</w:t>
      </w:r>
      <w:r w:rsidR="005853A9">
        <w:rPr>
          <w:kern w:val="0"/>
        </w:rPr>
        <w:t xml:space="preserve"> and </w:t>
      </w:r>
      <w:r>
        <w:rPr>
          <w:kern w:val="0"/>
        </w:rPr>
        <w:t>co-citation analysis to identify</w:t>
      </w:r>
      <w:r w:rsidR="003A1917">
        <w:rPr>
          <w:kern w:val="0"/>
        </w:rPr>
        <w:t xml:space="preserve"> the </w:t>
      </w:r>
      <w:r>
        <w:rPr>
          <w:kern w:val="0"/>
        </w:rPr>
        <w:t>most important publications, scholars,</w:t>
      </w:r>
      <w:r w:rsidR="005853A9">
        <w:rPr>
          <w:kern w:val="0"/>
        </w:rPr>
        <w:t xml:space="preserve"> and </w:t>
      </w:r>
      <w:r>
        <w:rPr>
          <w:kern w:val="0"/>
        </w:rPr>
        <w:t>research themes in</w:t>
      </w:r>
      <w:r w:rsidR="003A1917">
        <w:rPr>
          <w:kern w:val="0"/>
        </w:rPr>
        <w:t xml:space="preserve"> the </w:t>
      </w:r>
      <w:r>
        <w:rPr>
          <w:kern w:val="0"/>
        </w:rPr>
        <w:t>business ethics area</w:t>
      </w:r>
      <w:r w:rsidR="005853A9">
        <w:rPr>
          <w:kern w:val="0"/>
        </w:rPr>
        <w:t xml:space="preserve"> and </w:t>
      </w:r>
      <w:r>
        <w:rPr>
          <w:kern w:val="0"/>
        </w:rPr>
        <w:t>then maps</w:t>
      </w:r>
      <w:r w:rsidR="003A1917">
        <w:rPr>
          <w:kern w:val="0"/>
        </w:rPr>
        <w:t xml:space="preserve"> the </w:t>
      </w:r>
      <w:r>
        <w:rPr>
          <w:kern w:val="0"/>
        </w:rPr>
        <w:t>intellectual structure</w:t>
      </w:r>
      <w:r w:rsidR="00427468">
        <w:rPr>
          <w:kern w:val="0"/>
        </w:rPr>
        <w:t xml:space="preserve"> of </w:t>
      </w:r>
      <w:r>
        <w:rPr>
          <w:kern w:val="0"/>
        </w:rPr>
        <w:t>business ethics studies between 2001</w:t>
      </w:r>
      <w:r w:rsidR="005853A9">
        <w:rPr>
          <w:kern w:val="0"/>
        </w:rPr>
        <w:t xml:space="preserve"> and </w:t>
      </w:r>
      <w:r>
        <w:rPr>
          <w:kern w:val="0"/>
        </w:rPr>
        <w:t>2008</w:t>
      </w:r>
      <w:r w:rsidR="00A37C1D">
        <w:rPr>
          <w:kern w:val="0"/>
        </w:rPr>
        <w:t>. The</w:t>
      </w:r>
      <w:r w:rsidR="003A1917">
        <w:rPr>
          <w:kern w:val="0"/>
        </w:rPr>
        <w:t xml:space="preserve"> </w:t>
      </w:r>
      <w:r>
        <w:rPr>
          <w:kern w:val="0"/>
        </w:rPr>
        <w:t>results show that current business ethics studies cluster around four major research themes, including morality</w:t>
      </w:r>
      <w:r w:rsidR="005853A9">
        <w:rPr>
          <w:kern w:val="0"/>
        </w:rPr>
        <w:t xml:space="preserve"> and </w:t>
      </w:r>
      <w:r>
        <w:rPr>
          <w:kern w:val="0"/>
        </w:rPr>
        <w:t>social contract theory, ethical decision making, corporate social responsibility,</w:t>
      </w:r>
      <w:r w:rsidR="005853A9">
        <w:rPr>
          <w:kern w:val="0"/>
        </w:rPr>
        <w:t xml:space="preserve"> and </w:t>
      </w:r>
      <w:r>
        <w:rPr>
          <w:kern w:val="0"/>
        </w:rPr>
        <w:t>stakeholder theory. This study helps profile</w:t>
      </w:r>
      <w:r w:rsidR="003A1917">
        <w:rPr>
          <w:kern w:val="0"/>
        </w:rPr>
        <w:t xml:space="preserve"> the </w:t>
      </w:r>
      <w:r>
        <w:rPr>
          <w:kern w:val="0"/>
        </w:rPr>
        <w:t>invisible network</w:t>
      </w:r>
      <w:r w:rsidR="00427468">
        <w:rPr>
          <w:kern w:val="0"/>
        </w:rPr>
        <w:t xml:space="preserve"> of </w:t>
      </w:r>
      <w:r>
        <w:rPr>
          <w:kern w:val="0"/>
        </w:rPr>
        <w:t>knowledge production in business ethics</w:t>
      </w:r>
      <w:r w:rsidR="005853A9">
        <w:rPr>
          <w:kern w:val="0"/>
        </w:rPr>
        <w:t xml:space="preserve"> and </w:t>
      </w:r>
      <w:r>
        <w:rPr>
          <w:kern w:val="0"/>
        </w:rPr>
        <w:t>provides important insights on current research paradigms</w:t>
      </w:r>
      <w:r w:rsidR="00427468">
        <w:rPr>
          <w:kern w:val="0"/>
        </w:rPr>
        <w:t xml:space="preserve"> of </w:t>
      </w:r>
      <w:r>
        <w:rPr>
          <w:kern w:val="0"/>
        </w:rPr>
        <w:t>business ethics studies.</w:t>
      </w:r>
    </w:p>
    <w:p w:rsidR="00614273" w:rsidRDefault="00614273" w:rsidP="00614273">
      <w:pPr>
        <w:pStyle w:val="a3"/>
        <w:rPr>
          <w:kern w:val="0"/>
        </w:rPr>
      </w:pPr>
      <w:r>
        <w:rPr>
          <w:kern w:val="0"/>
        </w:rPr>
        <w:t>Keywords: Analysis, Authors, Business, Citation, Cluster, Co-Citation, Co-Citation Analysis, Cocitation, Contract, Corporate Social-Responsibility, Data, Decision, Decision Making, Decision-Making, Ethical, Ethics, Firm Financial Performance, Intellectual Structure, Journals, Knowledge, Management, Mapping, Model, Morality, Network, Organizations, Publications, Research, Responsibility, Social, Social Responsibility, Social Sciences, Social Sciences Citation Index, Stakeholder Theory, Structure, Themes, Theory</w:t>
      </w:r>
    </w:p>
    <w:p w:rsidR="001F53D3" w:rsidRPr="001A3D2B" w:rsidRDefault="001F53D3" w:rsidP="001F53D3">
      <w:pPr>
        <w:pStyle w:val="1"/>
      </w:pPr>
      <w:r w:rsidRPr="001A3D2B">
        <w:br w:type="page"/>
      </w:r>
      <w:bookmarkStart w:id="989" w:name="_Toc420814861"/>
      <w:r w:rsidRPr="001A3D2B">
        <w:lastRenderedPageBreak/>
        <w:t xml:space="preserve">Title: </w:t>
      </w:r>
      <w:r w:rsidRPr="001A3D2B">
        <w:rPr>
          <w:szCs w:val="24"/>
        </w:rPr>
        <w:t>Business History</w:t>
      </w:r>
      <w:bookmarkEnd w:id="989"/>
    </w:p>
    <w:p w:rsidR="003F045B" w:rsidRPr="001A3D2B" w:rsidRDefault="003F045B" w:rsidP="003F045B">
      <w:pPr>
        <w:pStyle w:val="12"/>
      </w:pPr>
      <w:r w:rsidRPr="001A3D2B">
        <w:t xml:space="preserve">Full Journal Title: </w:t>
      </w:r>
      <w:hyperlink r:id="rId2161" w:history="1">
        <w:r w:rsidRPr="001A3D2B">
          <w:rPr>
            <w:rStyle w:val="a5"/>
            <w:kern w:val="0"/>
          </w:rPr>
          <w:t>Business History</w:t>
        </w:r>
      </w:hyperlink>
    </w:p>
    <w:p w:rsidR="001F53D3" w:rsidRPr="001A3D2B" w:rsidRDefault="001F53D3" w:rsidP="001F53D3">
      <w:pPr>
        <w:pStyle w:val="12"/>
      </w:pPr>
      <w:r w:rsidRPr="001A3D2B">
        <w:t xml:space="preserve">ISO Abbreviated Title: </w:t>
      </w:r>
    </w:p>
    <w:p w:rsidR="001F53D3" w:rsidRPr="001A3D2B" w:rsidRDefault="001F53D3" w:rsidP="001F53D3">
      <w:pPr>
        <w:pStyle w:val="12"/>
      </w:pPr>
      <w:r w:rsidRPr="001A3D2B">
        <w:t xml:space="preserve">JCR Abbreviated Title: </w:t>
      </w:r>
    </w:p>
    <w:p w:rsidR="001F53D3" w:rsidRPr="001A3D2B" w:rsidRDefault="001F53D3" w:rsidP="001F53D3">
      <w:pPr>
        <w:pStyle w:val="12"/>
      </w:pPr>
      <w:r w:rsidRPr="001A3D2B">
        <w:t>ISSN:</w:t>
      </w:r>
    </w:p>
    <w:p w:rsidR="001F53D3" w:rsidRPr="001A3D2B" w:rsidRDefault="001F53D3" w:rsidP="001F53D3">
      <w:pPr>
        <w:pStyle w:val="12"/>
      </w:pPr>
      <w:r w:rsidRPr="001A3D2B">
        <w:t xml:space="preserve">Issues/Year: </w:t>
      </w:r>
    </w:p>
    <w:p w:rsidR="001F53D3" w:rsidRPr="001A3D2B" w:rsidRDefault="00AA25A4" w:rsidP="001F53D3">
      <w:pPr>
        <w:pStyle w:val="12"/>
      </w:pPr>
      <w:r w:rsidRPr="001A3D2B">
        <w:t>Journal Country/Territory:</w:t>
      </w:r>
      <w:r w:rsidR="008F46E9" w:rsidRPr="001A3D2B">
        <w:t xml:space="preserve"> </w:t>
      </w:r>
    </w:p>
    <w:p w:rsidR="001F53D3" w:rsidRPr="001A3D2B" w:rsidRDefault="001F53D3" w:rsidP="001F53D3">
      <w:pPr>
        <w:pStyle w:val="12"/>
      </w:pPr>
      <w:r w:rsidRPr="001A3D2B">
        <w:t xml:space="preserve">Language: </w:t>
      </w:r>
    </w:p>
    <w:p w:rsidR="001F53D3" w:rsidRPr="001A3D2B" w:rsidRDefault="001F53D3" w:rsidP="001F53D3">
      <w:pPr>
        <w:pStyle w:val="12"/>
      </w:pPr>
      <w:r w:rsidRPr="001A3D2B">
        <w:t xml:space="preserve">Publisher: </w:t>
      </w:r>
    </w:p>
    <w:p w:rsidR="001F53D3" w:rsidRPr="001A3D2B" w:rsidRDefault="001F53D3" w:rsidP="001F53D3">
      <w:pPr>
        <w:pStyle w:val="12"/>
      </w:pPr>
      <w:r w:rsidRPr="001A3D2B">
        <w:t xml:space="preserve">Publisher Address: </w:t>
      </w:r>
    </w:p>
    <w:p w:rsidR="001F53D3" w:rsidRPr="001A3D2B" w:rsidRDefault="001F53D3" w:rsidP="001F53D3">
      <w:pPr>
        <w:pStyle w:val="12"/>
      </w:pPr>
      <w:r w:rsidRPr="001A3D2B">
        <w:t xml:space="preserve">Subject Categories: </w:t>
      </w:r>
    </w:p>
    <w:p w:rsidR="001F53D3" w:rsidRPr="001A3D2B" w:rsidRDefault="001F53D3" w:rsidP="001F53D3">
      <w:pPr>
        <w:pStyle w:val="12"/>
      </w:pPr>
      <w:r w:rsidRPr="001A3D2B">
        <w:t xml:space="preserve">: Impact Factor </w:t>
      </w:r>
    </w:p>
    <w:p w:rsidR="001F53D3" w:rsidRPr="001A3D2B" w:rsidRDefault="001F53D3" w:rsidP="001F53D3">
      <w:pPr>
        <w:pStyle w:val="a3"/>
        <w:rPr>
          <w:kern w:val="0"/>
          <w:szCs w:val="24"/>
        </w:rPr>
      </w:pPr>
      <w:r w:rsidRPr="001A3D2B">
        <w:rPr>
          <w:kern w:val="0"/>
          <w:szCs w:val="24"/>
        </w:rPr>
        <w:t>? Alfalla-Luque, R.</w:t>
      </w:r>
      <w:r w:rsidR="005853A9">
        <w:rPr>
          <w:kern w:val="0"/>
          <w:szCs w:val="24"/>
        </w:rPr>
        <w:t xml:space="preserve"> and </w:t>
      </w:r>
      <w:r w:rsidRPr="001A3D2B">
        <w:rPr>
          <w:kern w:val="0"/>
          <w:szCs w:val="24"/>
        </w:rPr>
        <w:t>Medina-López, C. (2009), Supply chain management: Unheard</w:t>
      </w:r>
      <w:r w:rsidR="00427468">
        <w:rPr>
          <w:kern w:val="0"/>
          <w:szCs w:val="24"/>
        </w:rPr>
        <w:t xml:space="preserve"> of </w:t>
      </w:r>
      <w:r w:rsidRPr="001A3D2B">
        <w:rPr>
          <w:kern w:val="0"/>
          <w:szCs w:val="24"/>
        </w:rPr>
        <w:t>in</w:t>
      </w:r>
      <w:r w:rsidR="003A1917">
        <w:rPr>
          <w:kern w:val="0"/>
          <w:szCs w:val="24"/>
        </w:rPr>
        <w:t xml:space="preserve"> the </w:t>
      </w:r>
      <w:r w:rsidRPr="001A3D2B">
        <w:rPr>
          <w:kern w:val="0"/>
          <w:szCs w:val="24"/>
        </w:rPr>
        <w:t>1970s, core to today</w:t>
      </w:r>
      <w:r w:rsidR="00700038">
        <w:rPr>
          <w:kern w:val="0"/>
          <w:szCs w:val="24"/>
        </w:rPr>
        <w:t>’</w:t>
      </w:r>
      <w:r w:rsidR="00C13DDC">
        <w:rPr>
          <w:kern w:val="0"/>
          <w:szCs w:val="24"/>
        </w:rPr>
        <w:t>s</w:t>
      </w:r>
      <w:r w:rsidRPr="001A3D2B">
        <w:rPr>
          <w:kern w:val="0"/>
          <w:szCs w:val="24"/>
        </w:rPr>
        <w:t xml:space="preserve"> company. </w:t>
      </w:r>
      <w:r w:rsidRPr="001A3D2B">
        <w:rPr>
          <w:i/>
          <w:iCs/>
          <w:kern w:val="0"/>
          <w:szCs w:val="24"/>
        </w:rPr>
        <w:t>Business History</w:t>
      </w:r>
      <w:r w:rsidRPr="001A3D2B">
        <w:rPr>
          <w:kern w:val="0"/>
          <w:szCs w:val="24"/>
        </w:rPr>
        <w:t xml:space="preserve">, </w:t>
      </w:r>
      <w:r w:rsidRPr="001A3D2B">
        <w:rPr>
          <w:b/>
          <w:bCs/>
          <w:kern w:val="0"/>
          <w:szCs w:val="24"/>
        </w:rPr>
        <w:t>51</w:t>
      </w:r>
      <w:r w:rsidRPr="001A3D2B">
        <w:rPr>
          <w:kern w:val="0"/>
          <w:szCs w:val="24"/>
        </w:rPr>
        <w:t xml:space="preserve"> (2), 202-221.</w:t>
      </w:r>
    </w:p>
    <w:p w:rsidR="000933A5" w:rsidRPr="001A3D2B" w:rsidRDefault="000933A5" w:rsidP="000933A5">
      <w:pPr>
        <w:pStyle w:val="a3"/>
        <w:rPr>
          <w:kern w:val="0"/>
          <w:szCs w:val="24"/>
        </w:rPr>
      </w:pPr>
      <w:r w:rsidRPr="001A3D2B">
        <w:rPr>
          <w:kern w:val="0"/>
          <w:szCs w:val="24"/>
        </w:rPr>
        <w:t xml:space="preserve">Full Text: </w:t>
      </w:r>
      <w:hyperlink r:id="rId2162" w:history="1">
        <w:r w:rsidR="005E4668" w:rsidRPr="001A3D2B">
          <w:rPr>
            <w:rStyle w:val="a5"/>
            <w:kern w:val="0"/>
            <w:szCs w:val="24"/>
          </w:rPr>
          <w:t>2009\Bus His51, 202.pdf</w:t>
        </w:r>
      </w:hyperlink>
    </w:p>
    <w:p w:rsidR="001F53D3" w:rsidRPr="001A3D2B" w:rsidRDefault="001F53D3" w:rsidP="001F53D3">
      <w:pPr>
        <w:pStyle w:val="a3"/>
        <w:rPr>
          <w:kern w:val="0"/>
          <w:szCs w:val="24"/>
        </w:rPr>
      </w:pPr>
      <w:r w:rsidRPr="001A3D2B">
        <w:rPr>
          <w:kern w:val="0"/>
          <w:szCs w:val="24"/>
        </w:rPr>
        <w:t>Abstract: Although</w:t>
      </w:r>
      <w:r w:rsidR="003A1917">
        <w:rPr>
          <w:kern w:val="0"/>
          <w:szCs w:val="24"/>
        </w:rPr>
        <w:t xml:space="preserve"> the </w:t>
      </w:r>
      <w:r w:rsidRPr="001A3D2B">
        <w:rPr>
          <w:kern w:val="0"/>
          <w:szCs w:val="24"/>
        </w:rPr>
        <w:t>Supply Chain Management (SCM) concept was born at</w:t>
      </w:r>
      <w:r w:rsidR="003A1917">
        <w:rPr>
          <w:kern w:val="0"/>
          <w:szCs w:val="24"/>
        </w:rPr>
        <w:t xml:space="preserve"> the </w:t>
      </w:r>
      <w:r w:rsidRPr="001A3D2B">
        <w:rPr>
          <w:kern w:val="0"/>
          <w:szCs w:val="24"/>
        </w:rPr>
        <w:t>beginning</w:t>
      </w:r>
      <w:r w:rsidR="00427468">
        <w:rPr>
          <w:kern w:val="0"/>
          <w:szCs w:val="24"/>
        </w:rPr>
        <w:t xml:space="preserve"> of </w:t>
      </w:r>
      <w:r w:rsidR="003A1917">
        <w:rPr>
          <w:kern w:val="0"/>
          <w:szCs w:val="24"/>
        </w:rPr>
        <w:t xml:space="preserve">the </w:t>
      </w:r>
      <w:r w:rsidRPr="001A3D2B">
        <w:rPr>
          <w:kern w:val="0"/>
          <w:szCs w:val="24"/>
        </w:rPr>
        <w:t>1980s, research in</w:t>
      </w:r>
      <w:r w:rsidR="003A1917">
        <w:rPr>
          <w:kern w:val="0"/>
          <w:szCs w:val="24"/>
        </w:rPr>
        <w:t xml:space="preserve"> the </w:t>
      </w:r>
      <w:r w:rsidRPr="001A3D2B">
        <w:rPr>
          <w:kern w:val="0"/>
          <w:szCs w:val="24"/>
        </w:rPr>
        <w:t>field was almost non-existent until</w:t>
      </w:r>
      <w:r w:rsidR="003A1917">
        <w:rPr>
          <w:kern w:val="0"/>
          <w:szCs w:val="24"/>
        </w:rPr>
        <w:t xml:space="preserve"> the </w:t>
      </w:r>
      <w:r w:rsidRPr="001A3D2B">
        <w:rPr>
          <w:kern w:val="0"/>
          <w:szCs w:val="24"/>
        </w:rPr>
        <w:t>mid-1990s. Since then,</w:t>
      </w:r>
      <w:r w:rsidR="003A1917">
        <w:rPr>
          <w:kern w:val="0"/>
          <w:szCs w:val="24"/>
        </w:rPr>
        <w:t xml:space="preserve"> the </w:t>
      </w:r>
      <w:r w:rsidRPr="001A3D2B">
        <w:rPr>
          <w:kern w:val="0"/>
          <w:szCs w:val="24"/>
        </w:rPr>
        <w:t>growth</w:t>
      </w:r>
      <w:r w:rsidR="00427468">
        <w:rPr>
          <w:kern w:val="0"/>
          <w:szCs w:val="24"/>
        </w:rPr>
        <w:t xml:space="preserve"> of </w:t>
      </w:r>
      <w:r w:rsidRPr="001A3D2B">
        <w:rPr>
          <w:kern w:val="0"/>
          <w:szCs w:val="24"/>
        </w:rPr>
        <w:t>SCM research has been exponential. Currently, SCM is making</w:t>
      </w:r>
      <w:r w:rsidR="003A1917">
        <w:rPr>
          <w:kern w:val="0"/>
          <w:szCs w:val="24"/>
        </w:rPr>
        <w:t xml:space="preserve"> the </w:t>
      </w:r>
      <w:r w:rsidRPr="001A3D2B">
        <w:rPr>
          <w:kern w:val="0"/>
          <w:szCs w:val="24"/>
        </w:rPr>
        <w:t>change from being an emerging research field to becoming a consolidated one</w:t>
      </w:r>
      <w:r w:rsidR="00A37C1D">
        <w:rPr>
          <w:kern w:val="0"/>
          <w:szCs w:val="24"/>
        </w:rPr>
        <w:t>. The</w:t>
      </w:r>
      <w:r w:rsidR="003A1917">
        <w:rPr>
          <w:kern w:val="0"/>
          <w:szCs w:val="24"/>
        </w:rPr>
        <w:t xml:space="preserve"> </w:t>
      </w:r>
      <w:r w:rsidRPr="001A3D2B">
        <w:rPr>
          <w:kern w:val="0"/>
          <w:szCs w:val="24"/>
        </w:rPr>
        <w:t>aim</w:t>
      </w:r>
      <w:r w:rsidR="00427468">
        <w:rPr>
          <w:kern w:val="0"/>
          <w:szCs w:val="24"/>
        </w:rPr>
        <w:t xml:space="preserve"> of </w:t>
      </w:r>
      <w:r w:rsidRPr="001A3D2B">
        <w:rPr>
          <w:kern w:val="0"/>
          <w:szCs w:val="24"/>
        </w:rPr>
        <w:t>this paper is to analyse</w:t>
      </w:r>
      <w:r w:rsidR="003A1917">
        <w:rPr>
          <w:kern w:val="0"/>
          <w:szCs w:val="24"/>
        </w:rPr>
        <w:t xml:space="preserve"> the </w:t>
      </w:r>
      <w:r w:rsidRPr="001A3D2B">
        <w:rPr>
          <w:kern w:val="0"/>
          <w:szCs w:val="24"/>
        </w:rPr>
        <w:t>way SCM has developed from its origins</w:t>
      </w:r>
      <w:r w:rsidR="005853A9">
        <w:rPr>
          <w:kern w:val="0"/>
          <w:szCs w:val="24"/>
        </w:rPr>
        <w:t xml:space="preserve"> and </w:t>
      </w:r>
      <w:r w:rsidRPr="001A3D2B">
        <w:rPr>
          <w:kern w:val="0"/>
          <w:szCs w:val="24"/>
        </w:rPr>
        <w:t>to determine whether its present development corresponds to</w:t>
      </w:r>
      <w:r w:rsidR="003A1917">
        <w:rPr>
          <w:kern w:val="0"/>
          <w:szCs w:val="24"/>
        </w:rPr>
        <w:t xml:space="preserve"> the </w:t>
      </w:r>
      <w:r w:rsidRPr="001A3D2B">
        <w:rPr>
          <w:kern w:val="0"/>
          <w:szCs w:val="24"/>
        </w:rPr>
        <w:t>needs that companies are experiencing. This article provides a frame</w:t>
      </w:r>
      <w:r w:rsidR="00427468">
        <w:rPr>
          <w:kern w:val="0"/>
          <w:szCs w:val="24"/>
        </w:rPr>
        <w:t xml:space="preserve"> of </w:t>
      </w:r>
      <w:r w:rsidRPr="001A3D2B">
        <w:rPr>
          <w:kern w:val="0"/>
          <w:szCs w:val="24"/>
        </w:rPr>
        <w:t>reference for SCM research, which is essential for</w:t>
      </w:r>
      <w:r w:rsidR="003A1917">
        <w:rPr>
          <w:kern w:val="0"/>
          <w:szCs w:val="24"/>
        </w:rPr>
        <w:t xml:space="preserve"> the </w:t>
      </w:r>
      <w:r w:rsidRPr="001A3D2B">
        <w:rPr>
          <w:kern w:val="0"/>
          <w:szCs w:val="24"/>
        </w:rPr>
        <w:t>definitive consolidation</w:t>
      </w:r>
      <w:r w:rsidR="00427468">
        <w:rPr>
          <w:kern w:val="0"/>
          <w:szCs w:val="24"/>
        </w:rPr>
        <w:t xml:space="preserve"> of </w:t>
      </w:r>
      <w:r w:rsidRPr="001A3D2B">
        <w:rPr>
          <w:kern w:val="0"/>
          <w:szCs w:val="24"/>
        </w:rPr>
        <w:t>a fledgling field such as this. It also allows any possible gap between SCM research</w:t>
      </w:r>
      <w:r w:rsidR="005853A9">
        <w:rPr>
          <w:kern w:val="0"/>
          <w:szCs w:val="24"/>
        </w:rPr>
        <w:t xml:space="preserve"> and </w:t>
      </w:r>
      <w:r w:rsidRPr="001A3D2B">
        <w:rPr>
          <w:kern w:val="0"/>
          <w:szCs w:val="24"/>
        </w:rPr>
        <w:t>practice to be minimised.</w:t>
      </w:r>
    </w:p>
    <w:p w:rsidR="001F53D3" w:rsidRPr="001A3D2B" w:rsidRDefault="001F53D3" w:rsidP="001F53D3">
      <w:pPr>
        <w:pStyle w:val="a3"/>
        <w:rPr>
          <w:kern w:val="0"/>
          <w:szCs w:val="24"/>
        </w:rPr>
      </w:pPr>
      <w:r w:rsidRPr="001A3D2B">
        <w:rPr>
          <w:kern w:val="0"/>
          <w:szCs w:val="24"/>
        </w:rPr>
        <w:t>Keywords: Bibliometric Studies, Change, Companies, Company, Developed, Development, Discipline, Emerging, Evolution, Field, Growth, History Review, Integration, Japanese, Journals, Management, Needs, Operations Management, Operations Management (OM), Performance, Perspective, Practice, Reference, Research, Research Agendas, Strategy, Supply Chain Management (SCM)</w:t>
      </w:r>
    </w:p>
    <w:p w:rsidR="00B136D2" w:rsidRPr="001A3D2B" w:rsidRDefault="00B136D2" w:rsidP="00B136D2">
      <w:pPr>
        <w:pStyle w:val="1"/>
      </w:pPr>
      <w:r w:rsidRPr="001A3D2B">
        <w:br w:type="page"/>
      </w:r>
      <w:bookmarkStart w:id="990" w:name="_Toc420814862"/>
      <w:r w:rsidRPr="001A3D2B">
        <w:lastRenderedPageBreak/>
        <w:t xml:space="preserve">Title: </w:t>
      </w:r>
      <w:r w:rsidRPr="00B136D2">
        <w:t>Business Horizons</w:t>
      </w:r>
      <w:bookmarkEnd w:id="990"/>
    </w:p>
    <w:p w:rsidR="00B136D2" w:rsidRPr="001A3D2B" w:rsidRDefault="00B136D2" w:rsidP="00B136D2">
      <w:pPr>
        <w:pStyle w:val="12"/>
      </w:pPr>
      <w:r w:rsidRPr="001A3D2B">
        <w:t xml:space="preserve">Full Journal Title: </w:t>
      </w:r>
      <w:r w:rsidRPr="00B136D2">
        <w:rPr>
          <w:iCs/>
          <w:kern w:val="0"/>
        </w:rPr>
        <w:t>Business Horizons</w:t>
      </w:r>
    </w:p>
    <w:p w:rsidR="00B136D2" w:rsidRPr="001A3D2B" w:rsidRDefault="00B136D2" w:rsidP="00B136D2">
      <w:pPr>
        <w:pStyle w:val="12"/>
      </w:pPr>
      <w:r w:rsidRPr="001A3D2B">
        <w:t xml:space="preserve">ISO Abbreviated Title: </w:t>
      </w:r>
    </w:p>
    <w:p w:rsidR="00B136D2" w:rsidRPr="001A3D2B" w:rsidRDefault="00B136D2" w:rsidP="00B136D2">
      <w:pPr>
        <w:pStyle w:val="12"/>
      </w:pPr>
      <w:r w:rsidRPr="001A3D2B">
        <w:t xml:space="preserve">JCR Abbreviated Title: </w:t>
      </w:r>
    </w:p>
    <w:p w:rsidR="00B136D2" w:rsidRPr="001A3D2B" w:rsidRDefault="00B136D2" w:rsidP="00B136D2">
      <w:pPr>
        <w:pStyle w:val="12"/>
      </w:pPr>
      <w:r w:rsidRPr="001A3D2B">
        <w:t>ISSN:</w:t>
      </w:r>
    </w:p>
    <w:p w:rsidR="00B136D2" w:rsidRPr="001A3D2B" w:rsidRDefault="00B136D2" w:rsidP="00B136D2">
      <w:pPr>
        <w:pStyle w:val="12"/>
      </w:pPr>
      <w:r w:rsidRPr="001A3D2B">
        <w:t xml:space="preserve">Issues/Year: </w:t>
      </w:r>
    </w:p>
    <w:p w:rsidR="00B136D2" w:rsidRPr="001A3D2B" w:rsidRDefault="00B136D2" w:rsidP="00B136D2">
      <w:pPr>
        <w:pStyle w:val="12"/>
      </w:pPr>
      <w:r w:rsidRPr="001A3D2B">
        <w:t xml:space="preserve">Journal Country/Territory: </w:t>
      </w:r>
    </w:p>
    <w:p w:rsidR="00B136D2" w:rsidRPr="001A3D2B" w:rsidRDefault="00B136D2" w:rsidP="00B136D2">
      <w:pPr>
        <w:pStyle w:val="12"/>
      </w:pPr>
      <w:r w:rsidRPr="001A3D2B">
        <w:t xml:space="preserve">Language: </w:t>
      </w:r>
    </w:p>
    <w:p w:rsidR="00B136D2" w:rsidRPr="001A3D2B" w:rsidRDefault="00B136D2" w:rsidP="00B136D2">
      <w:pPr>
        <w:pStyle w:val="12"/>
      </w:pPr>
      <w:r w:rsidRPr="001A3D2B">
        <w:t xml:space="preserve">Publisher: </w:t>
      </w:r>
    </w:p>
    <w:p w:rsidR="00B136D2" w:rsidRPr="001A3D2B" w:rsidRDefault="00B136D2" w:rsidP="00B136D2">
      <w:pPr>
        <w:pStyle w:val="12"/>
      </w:pPr>
      <w:r w:rsidRPr="001A3D2B">
        <w:t xml:space="preserve">Publisher Address: </w:t>
      </w:r>
    </w:p>
    <w:p w:rsidR="00B136D2" w:rsidRPr="001A3D2B" w:rsidRDefault="00B136D2" w:rsidP="00B136D2">
      <w:pPr>
        <w:pStyle w:val="12"/>
      </w:pPr>
      <w:r w:rsidRPr="001A3D2B">
        <w:t xml:space="preserve">Subject Categories: </w:t>
      </w:r>
    </w:p>
    <w:p w:rsidR="00B136D2" w:rsidRPr="001A3D2B" w:rsidRDefault="00B136D2" w:rsidP="00B136D2">
      <w:pPr>
        <w:pStyle w:val="12"/>
      </w:pPr>
      <w:r w:rsidRPr="001A3D2B">
        <w:t xml:space="preserve">: Impact Factor </w:t>
      </w:r>
    </w:p>
    <w:p w:rsidR="00B136D2" w:rsidRDefault="00B136D2" w:rsidP="00B136D2">
      <w:pPr>
        <w:pStyle w:val="a3"/>
        <w:rPr>
          <w:kern w:val="0"/>
        </w:rPr>
      </w:pPr>
      <w:r>
        <w:rPr>
          <w:rFonts w:hint="eastAsia"/>
          <w:kern w:val="0"/>
        </w:rPr>
        <w:t xml:space="preserve">? </w:t>
      </w:r>
      <w:r>
        <w:rPr>
          <w:kern w:val="0"/>
        </w:rPr>
        <w:t>Cotton, J.L.</w:t>
      </w:r>
      <w:r w:rsidR="005853A9">
        <w:rPr>
          <w:kern w:val="0"/>
        </w:rPr>
        <w:t xml:space="preserve"> and </w:t>
      </w:r>
      <w:r>
        <w:rPr>
          <w:kern w:val="0"/>
        </w:rPr>
        <w:t>Stewart, A. (2013), Evaluate your business school</w:t>
      </w:r>
      <w:r w:rsidR="00700038">
        <w:rPr>
          <w:kern w:val="0"/>
        </w:rPr>
        <w:t>’</w:t>
      </w:r>
      <w:r>
        <w:rPr>
          <w:kern w:val="0"/>
        </w:rPr>
        <w:t xml:space="preserve">s writings as if your strategy matters. </w:t>
      </w:r>
      <w:r w:rsidRPr="00B136D2">
        <w:rPr>
          <w:i/>
          <w:iCs/>
          <w:kern w:val="0"/>
        </w:rPr>
        <w:t>Business Horizons</w:t>
      </w:r>
      <w:r>
        <w:rPr>
          <w:kern w:val="0"/>
        </w:rPr>
        <w:t xml:space="preserve">, </w:t>
      </w:r>
      <w:r>
        <w:rPr>
          <w:b/>
          <w:bCs/>
          <w:kern w:val="0"/>
        </w:rPr>
        <w:t>56</w:t>
      </w:r>
      <w:r>
        <w:rPr>
          <w:kern w:val="0"/>
        </w:rPr>
        <w:t xml:space="preserve"> (3), 323-331.</w:t>
      </w:r>
    </w:p>
    <w:p w:rsidR="00B136D2" w:rsidRDefault="00B136D2" w:rsidP="00B136D2">
      <w:pPr>
        <w:pStyle w:val="a3"/>
        <w:rPr>
          <w:kern w:val="0"/>
        </w:rPr>
      </w:pPr>
      <w:r>
        <w:rPr>
          <w:rFonts w:hint="eastAsia"/>
          <w:kern w:val="0"/>
        </w:rPr>
        <w:t xml:space="preserve">Full Text: </w:t>
      </w:r>
      <w:hyperlink r:id="rId2163" w:history="1">
        <w:r w:rsidRPr="00B136D2">
          <w:rPr>
            <w:rStyle w:val="a5"/>
            <w:kern w:val="0"/>
          </w:rPr>
          <w:t>2013\Bus Hor56, 323.pdf</w:t>
        </w:r>
      </w:hyperlink>
    </w:p>
    <w:p w:rsidR="00B136D2" w:rsidRDefault="00B136D2" w:rsidP="00B136D2">
      <w:pPr>
        <w:pStyle w:val="a3"/>
        <w:rPr>
          <w:kern w:val="0"/>
        </w:rPr>
      </w:pPr>
      <w:r>
        <w:rPr>
          <w:kern w:val="0"/>
        </w:rPr>
        <w:t>Abstract: Business school publications are widely criticized for their lack</w:t>
      </w:r>
      <w:r w:rsidR="00427468">
        <w:rPr>
          <w:kern w:val="0"/>
        </w:rPr>
        <w:t xml:space="preserve"> of </w:t>
      </w:r>
      <w:r>
        <w:rPr>
          <w:kern w:val="0"/>
        </w:rPr>
        <w:t>managerial or teaching relevance. One reason for this criticism is that business school scholarship is typically evaluated purely in terms</w:t>
      </w:r>
      <w:r w:rsidR="00427468">
        <w:rPr>
          <w:kern w:val="0"/>
        </w:rPr>
        <w:t xml:space="preserve"> of </w:t>
      </w:r>
      <w:r>
        <w:rPr>
          <w:kern w:val="0"/>
        </w:rPr>
        <w:t>one type</w:t>
      </w:r>
      <w:r w:rsidR="00427468">
        <w:rPr>
          <w:kern w:val="0"/>
        </w:rPr>
        <w:t xml:space="preserve"> of </w:t>
      </w:r>
      <w:r>
        <w:rPr>
          <w:kern w:val="0"/>
        </w:rPr>
        <w:t>work: academic journal articles that are meant to be read by other scholars. However, academics produce multiple types</w:t>
      </w:r>
      <w:r w:rsidR="00427468">
        <w:rPr>
          <w:kern w:val="0"/>
        </w:rPr>
        <w:t xml:space="preserve"> of </w:t>
      </w:r>
      <w:r>
        <w:rPr>
          <w:kern w:val="0"/>
        </w:rPr>
        <w:t>publications,</w:t>
      </w:r>
      <w:r w:rsidR="005853A9">
        <w:rPr>
          <w:kern w:val="0"/>
        </w:rPr>
        <w:t xml:space="preserve"> and </w:t>
      </w:r>
      <w:r>
        <w:rPr>
          <w:kern w:val="0"/>
        </w:rPr>
        <w:t>business schools serve a wider range</w:t>
      </w:r>
      <w:r w:rsidR="00427468">
        <w:rPr>
          <w:kern w:val="0"/>
        </w:rPr>
        <w:t xml:space="preserve"> of </w:t>
      </w:r>
      <w:r>
        <w:rPr>
          <w:kern w:val="0"/>
        </w:rPr>
        <w:t>stakeholders</w:t>
      </w:r>
      <w:r w:rsidR="00A37C1D">
        <w:rPr>
          <w:kern w:val="0"/>
        </w:rPr>
        <w:t>. The</w:t>
      </w:r>
      <w:r>
        <w:rPr>
          <w:kern w:val="0"/>
        </w:rPr>
        <w:t>se other stakeholders are often central to the schools</w:t>
      </w:r>
      <w:r w:rsidR="00700038">
        <w:rPr>
          <w:kern w:val="0"/>
        </w:rPr>
        <w:t>’</w:t>
      </w:r>
      <w:r>
        <w:rPr>
          <w:kern w:val="0"/>
        </w:rPr>
        <w:t xml:space="preserve"> purposes</w:t>
      </w:r>
      <w:r w:rsidR="005853A9">
        <w:rPr>
          <w:kern w:val="0"/>
        </w:rPr>
        <w:t xml:space="preserve"> and </w:t>
      </w:r>
      <w:r>
        <w:rPr>
          <w:kern w:val="0"/>
        </w:rPr>
        <w:t>may be critical in acquiring resources</w:t>
      </w:r>
      <w:r w:rsidR="00A37C1D">
        <w:rPr>
          <w:kern w:val="0"/>
        </w:rPr>
        <w:t>. The</w:t>
      </w:r>
      <w:r>
        <w:rPr>
          <w:kern w:val="0"/>
        </w:rPr>
        <w:t>se stakeholders probably prefer to see scholarship that is relevant for students or for practitioners</w:t>
      </w:r>
      <w:r w:rsidR="00A37C1D">
        <w:rPr>
          <w:kern w:val="0"/>
        </w:rPr>
        <w:t>. The</w:t>
      </w:r>
      <w:r>
        <w:rPr>
          <w:kern w:val="0"/>
        </w:rPr>
        <w:t>y may prefer scholarship that is ethically relevant or regionally relevant</w:t>
      </w:r>
      <w:r w:rsidR="005853A9">
        <w:rPr>
          <w:kern w:val="0"/>
        </w:rPr>
        <w:t xml:space="preserve"> and </w:t>
      </w:r>
      <w:r>
        <w:rPr>
          <w:kern w:val="0"/>
        </w:rPr>
        <w:t>otherwise different from the model that dominates U.S. journals. Technologies are now available to measure the impact</w:t>
      </w:r>
      <w:r w:rsidR="00427468">
        <w:rPr>
          <w:kern w:val="0"/>
        </w:rPr>
        <w:t xml:space="preserve"> of </w:t>
      </w:r>
      <w:r>
        <w:rPr>
          <w:kern w:val="0"/>
        </w:rPr>
        <w:t>writings in a much wider range</w:t>
      </w:r>
      <w:r w:rsidR="00427468">
        <w:rPr>
          <w:kern w:val="0"/>
        </w:rPr>
        <w:t xml:space="preserve"> of </w:t>
      </w:r>
      <w:r>
        <w:rPr>
          <w:kern w:val="0"/>
        </w:rPr>
        <w:t xml:space="preserve">venues than covered by the Social Sciences Citation Index in the </w:t>
      </w:r>
      <w:r w:rsidR="00D5664A">
        <w:rPr>
          <w:kern w:val="0"/>
        </w:rPr>
        <w:t>Web</w:t>
      </w:r>
      <w:r w:rsidR="00427468">
        <w:rPr>
          <w:kern w:val="0"/>
        </w:rPr>
        <w:t xml:space="preserve"> of </w:t>
      </w:r>
      <w:r w:rsidR="00D5664A">
        <w:rPr>
          <w:kern w:val="0"/>
        </w:rPr>
        <w:t>Science</w:t>
      </w:r>
      <w:r>
        <w:rPr>
          <w:kern w:val="0"/>
        </w:rPr>
        <w:t>. Moreover, a wider range</w:t>
      </w:r>
      <w:r w:rsidR="00427468">
        <w:rPr>
          <w:kern w:val="0"/>
        </w:rPr>
        <w:t xml:space="preserve"> of </w:t>
      </w:r>
      <w:r>
        <w:rPr>
          <w:kern w:val="0"/>
        </w:rPr>
        <w:t>measures, such as the size</w:t>
      </w:r>
      <w:r w:rsidR="00427468">
        <w:rPr>
          <w:kern w:val="0"/>
        </w:rPr>
        <w:t xml:space="preserve"> of </w:t>
      </w:r>
      <w:r>
        <w:rPr>
          <w:kern w:val="0"/>
        </w:rPr>
        <w:t>writings</w:t>
      </w:r>
      <w:r w:rsidR="00700038">
        <w:rPr>
          <w:kern w:val="0"/>
        </w:rPr>
        <w:t>’</w:t>
      </w:r>
      <w:r>
        <w:rPr>
          <w:kern w:val="0"/>
        </w:rPr>
        <w:t xml:space="preserve"> readership, may be needed. We consider these issues</w:t>
      </w:r>
      <w:r w:rsidR="005853A9">
        <w:rPr>
          <w:kern w:val="0"/>
        </w:rPr>
        <w:t xml:space="preserve"> and </w:t>
      </w:r>
      <w:r>
        <w:rPr>
          <w:kern w:val="0"/>
        </w:rPr>
        <w:t>present some recommendations, arguing that faculty evaluations should follow an intentional strategy</w:t>
      </w:r>
      <w:r w:rsidR="005853A9">
        <w:rPr>
          <w:kern w:val="0"/>
        </w:rPr>
        <w:t xml:space="preserve"> and </w:t>
      </w:r>
      <w:r>
        <w:rPr>
          <w:kern w:val="0"/>
        </w:rPr>
        <w:t>not necessarily conform to the traditional default. (C) 2013 Kelley School</w:t>
      </w:r>
      <w:r w:rsidR="00427468">
        <w:rPr>
          <w:kern w:val="0"/>
        </w:rPr>
        <w:t xml:space="preserve"> of </w:t>
      </w:r>
      <w:r>
        <w:rPr>
          <w:kern w:val="0"/>
        </w:rPr>
        <w:t>Business, Indiana University. Published by Elsevier Inc. All rights reserved.</w:t>
      </w:r>
    </w:p>
    <w:p w:rsidR="00B136D2" w:rsidRDefault="00B136D2" w:rsidP="00B136D2">
      <w:pPr>
        <w:pStyle w:val="a3"/>
        <w:rPr>
          <w:kern w:val="0"/>
        </w:rPr>
      </w:pPr>
      <w:r>
        <w:rPr>
          <w:kern w:val="0"/>
        </w:rPr>
        <w:t xml:space="preserve">Keywords: Academics, Business, Business Schools, Citation, Education, Faculty, Impact, Journal, Journal Articles, Journals, Management, Measure, Model, Performance, Perspective, Practitioner Relevance, Publications, Rankings, Recommendations, Relevance, Resources, Rights, Salience, Scholarship, Science, Size, Social Sciences, Social Sciences Citation Index, Stakeholders, Strategy, </w:t>
      </w:r>
      <w:r>
        <w:rPr>
          <w:kern w:val="0"/>
        </w:rPr>
        <w:lastRenderedPageBreak/>
        <w:t xml:space="preserve">Students, Success, Teaching, Teaching Materials, University, </w:t>
      </w:r>
      <w:r w:rsidR="00D5664A">
        <w:rPr>
          <w:kern w:val="0"/>
        </w:rPr>
        <w:t>Web</w:t>
      </w:r>
      <w:r w:rsidR="00427468">
        <w:rPr>
          <w:kern w:val="0"/>
        </w:rPr>
        <w:t xml:space="preserve"> of </w:t>
      </w:r>
      <w:r w:rsidR="00D5664A">
        <w:rPr>
          <w:kern w:val="0"/>
        </w:rPr>
        <w:t>Science</w:t>
      </w:r>
      <w:r>
        <w:rPr>
          <w:kern w:val="0"/>
        </w:rPr>
        <w:t>, Work</w:t>
      </w:r>
    </w:p>
    <w:p w:rsidR="003474F2" w:rsidRPr="001A3D2B" w:rsidRDefault="003474F2" w:rsidP="003474F2">
      <w:pPr>
        <w:pStyle w:val="1"/>
      </w:pPr>
      <w:r w:rsidRPr="001A3D2B">
        <w:br w:type="page"/>
      </w:r>
      <w:bookmarkStart w:id="991" w:name="_Toc420814863"/>
      <w:r w:rsidRPr="001A3D2B">
        <w:lastRenderedPageBreak/>
        <w:t>Title: Business</w:t>
      </w:r>
      <w:r w:rsidR="005853A9">
        <w:t xml:space="preserve"> and </w:t>
      </w:r>
      <w:r w:rsidRPr="001A3D2B">
        <w:t>Society</w:t>
      </w:r>
      <w:bookmarkEnd w:id="991"/>
    </w:p>
    <w:p w:rsidR="003474F2" w:rsidRPr="001A3D2B" w:rsidRDefault="003474F2" w:rsidP="003474F2">
      <w:pPr>
        <w:pStyle w:val="12"/>
      </w:pPr>
      <w:r w:rsidRPr="001A3D2B">
        <w:t xml:space="preserve">Full Journal Title: </w:t>
      </w:r>
      <w:hyperlink r:id="rId2164" w:history="1">
        <w:r w:rsidRPr="001A3D2B">
          <w:rPr>
            <w:rStyle w:val="a5"/>
          </w:rPr>
          <w:t>Business</w:t>
        </w:r>
        <w:r w:rsidR="005853A9">
          <w:rPr>
            <w:rStyle w:val="a5"/>
          </w:rPr>
          <w:t xml:space="preserve"> and </w:t>
        </w:r>
        <w:r w:rsidRPr="001A3D2B">
          <w:rPr>
            <w:rStyle w:val="a5"/>
          </w:rPr>
          <w:t>Society</w:t>
        </w:r>
      </w:hyperlink>
    </w:p>
    <w:p w:rsidR="003474F2" w:rsidRPr="001A3D2B" w:rsidRDefault="003474F2" w:rsidP="003474F2">
      <w:pPr>
        <w:pStyle w:val="12"/>
      </w:pPr>
      <w:r w:rsidRPr="001A3D2B">
        <w:t xml:space="preserve">ISO Abbreviated Title: </w:t>
      </w:r>
    </w:p>
    <w:p w:rsidR="003474F2" w:rsidRPr="001A3D2B" w:rsidRDefault="003474F2" w:rsidP="003474F2">
      <w:pPr>
        <w:pStyle w:val="12"/>
      </w:pPr>
      <w:r w:rsidRPr="001A3D2B">
        <w:t xml:space="preserve">JCR Abbreviated Title: </w:t>
      </w:r>
    </w:p>
    <w:p w:rsidR="003474F2" w:rsidRPr="001A3D2B" w:rsidRDefault="003474F2" w:rsidP="003474F2">
      <w:pPr>
        <w:pStyle w:val="12"/>
      </w:pPr>
      <w:r w:rsidRPr="001A3D2B">
        <w:t>ISSN:</w:t>
      </w:r>
    </w:p>
    <w:p w:rsidR="003474F2" w:rsidRPr="001A3D2B" w:rsidRDefault="003474F2" w:rsidP="003474F2">
      <w:pPr>
        <w:pStyle w:val="12"/>
      </w:pPr>
      <w:r w:rsidRPr="001A3D2B">
        <w:t xml:space="preserve">Issues/Year: </w:t>
      </w:r>
    </w:p>
    <w:p w:rsidR="003474F2" w:rsidRPr="001A3D2B" w:rsidRDefault="00AA25A4" w:rsidP="003474F2">
      <w:pPr>
        <w:pStyle w:val="12"/>
      </w:pPr>
      <w:r w:rsidRPr="001A3D2B">
        <w:t>Journal Country/Territory:</w:t>
      </w:r>
      <w:r w:rsidR="008F46E9" w:rsidRPr="001A3D2B">
        <w:t xml:space="preserve"> </w:t>
      </w:r>
    </w:p>
    <w:p w:rsidR="003474F2" w:rsidRPr="001A3D2B" w:rsidRDefault="003474F2" w:rsidP="003474F2">
      <w:pPr>
        <w:pStyle w:val="12"/>
      </w:pPr>
      <w:r w:rsidRPr="001A3D2B">
        <w:t xml:space="preserve">Language: </w:t>
      </w:r>
    </w:p>
    <w:p w:rsidR="003474F2" w:rsidRPr="001A3D2B" w:rsidRDefault="003474F2" w:rsidP="003474F2">
      <w:pPr>
        <w:pStyle w:val="12"/>
      </w:pPr>
      <w:r w:rsidRPr="001A3D2B">
        <w:t xml:space="preserve">Publisher: </w:t>
      </w:r>
    </w:p>
    <w:p w:rsidR="003474F2" w:rsidRPr="001A3D2B" w:rsidRDefault="003474F2" w:rsidP="003474F2">
      <w:pPr>
        <w:pStyle w:val="12"/>
      </w:pPr>
      <w:r w:rsidRPr="001A3D2B">
        <w:t xml:space="preserve">Publisher Address: </w:t>
      </w:r>
    </w:p>
    <w:p w:rsidR="003474F2" w:rsidRPr="001A3D2B" w:rsidRDefault="003474F2" w:rsidP="003474F2">
      <w:pPr>
        <w:pStyle w:val="12"/>
      </w:pPr>
      <w:r w:rsidRPr="001A3D2B">
        <w:t xml:space="preserve">Subject Categories: </w:t>
      </w:r>
    </w:p>
    <w:p w:rsidR="003474F2" w:rsidRPr="001A3D2B" w:rsidRDefault="003474F2" w:rsidP="003474F2">
      <w:pPr>
        <w:pStyle w:val="12"/>
      </w:pPr>
      <w:r w:rsidRPr="001A3D2B">
        <w:t xml:space="preserve">: Impact Factor </w:t>
      </w:r>
    </w:p>
    <w:p w:rsidR="003474F2" w:rsidRPr="001A3D2B" w:rsidRDefault="003474F2" w:rsidP="003474F2">
      <w:pPr>
        <w:pStyle w:val="a3"/>
      </w:pPr>
      <w:r w:rsidRPr="001A3D2B">
        <w:t>De Bakker, F.G.A., Groenewegen, P.</w:t>
      </w:r>
      <w:r w:rsidR="005853A9">
        <w:t xml:space="preserve"> and </w:t>
      </w:r>
      <w:r w:rsidRPr="001A3D2B">
        <w:t>Den Hond, F. (2006), A research note on</w:t>
      </w:r>
      <w:r w:rsidR="003A1917">
        <w:t xml:space="preserve"> the </w:t>
      </w:r>
      <w:r w:rsidRPr="001A3D2B">
        <w:t>use</w:t>
      </w:r>
      <w:r w:rsidR="00427468">
        <w:t xml:space="preserve"> of </w:t>
      </w:r>
      <w:r w:rsidRPr="001A3D2B">
        <w:t>bibliometrics to review</w:t>
      </w:r>
      <w:r w:rsidR="003A1917">
        <w:t xml:space="preserve"> the </w:t>
      </w:r>
      <w:r w:rsidRPr="001A3D2B">
        <w:t>corporate social responsibility</w:t>
      </w:r>
      <w:r w:rsidR="005853A9">
        <w:t xml:space="preserve"> and </w:t>
      </w:r>
      <w:r w:rsidRPr="001A3D2B">
        <w:t xml:space="preserve">corporate social performance literature. </w:t>
      </w:r>
      <w:r w:rsidRPr="001A3D2B">
        <w:rPr>
          <w:i/>
        </w:rPr>
        <w:t>Business</w:t>
      </w:r>
      <w:r w:rsidR="005853A9">
        <w:rPr>
          <w:i/>
        </w:rPr>
        <w:t xml:space="preserve"> and </w:t>
      </w:r>
      <w:r w:rsidRPr="001A3D2B">
        <w:rPr>
          <w:i/>
        </w:rPr>
        <w:t>Society</w:t>
      </w:r>
      <w:r w:rsidRPr="001A3D2B">
        <w:t xml:space="preserve">, </w:t>
      </w:r>
      <w:r w:rsidRPr="001A3D2B">
        <w:rPr>
          <w:b/>
        </w:rPr>
        <w:t>45</w:t>
      </w:r>
      <w:r w:rsidRPr="001A3D2B">
        <w:t xml:space="preserve"> (1), 7-19.</w:t>
      </w:r>
    </w:p>
    <w:p w:rsidR="003474F2" w:rsidRPr="001A3D2B" w:rsidRDefault="003474F2" w:rsidP="003474F2">
      <w:pPr>
        <w:pStyle w:val="a3"/>
      </w:pPr>
      <w:r w:rsidRPr="001A3D2B">
        <w:t xml:space="preserve">Full Text: </w:t>
      </w:r>
      <w:hyperlink r:id="rId2165" w:history="1">
        <w:r w:rsidRPr="001A3D2B">
          <w:rPr>
            <w:rStyle w:val="a5"/>
          </w:rPr>
          <w:t>2006\Bus Soc45, 7.pdf</w:t>
        </w:r>
      </w:hyperlink>
    </w:p>
    <w:p w:rsidR="003474F2" w:rsidRPr="001A3D2B" w:rsidRDefault="003474F2" w:rsidP="003474F2">
      <w:pPr>
        <w:pStyle w:val="a3"/>
      </w:pPr>
      <w:r w:rsidRPr="001A3D2B">
        <w:t>Abstract: Recently,</w:t>
      </w:r>
      <w:r w:rsidR="003A1917">
        <w:t xml:space="preserve"> the </w:t>
      </w:r>
      <w:r w:rsidRPr="001A3D2B">
        <w:t>authors presented a bibliometric analysis</w:t>
      </w:r>
      <w:r w:rsidR="00427468">
        <w:t xml:space="preserve"> of </w:t>
      </w:r>
      <w:r w:rsidRPr="001A3D2B">
        <w:t>research</w:t>
      </w:r>
      <w:r w:rsidR="005853A9">
        <w:t xml:space="preserve"> and </w:t>
      </w:r>
      <w:r w:rsidRPr="001A3D2B">
        <w:t>theory on corporate social responsibility</w:t>
      </w:r>
      <w:r w:rsidR="005853A9">
        <w:t xml:space="preserve"> and </w:t>
      </w:r>
      <w:r w:rsidRPr="001A3D2B">
        <w:t>corporate social performance, which included a list</w:t>
      </w:r>
      <w:r w:rsidR="00427468">
        <w:t xml:space="preserve"> of </w:t>
      </w:r>
      <w:r w:rsidRPr="001A3D2B">
        <w:t>frequently cited articles in these fields. This list caused some questions,</w:t>
      </w:r>
      <w:r w:rsidR="005853A9">
        <w:t xml:space="preserve"> and </w:t>
      </w:r>
      <w:r w:rsidRPr="001A3D2B">
        <w:t>therefore this research note aims to supplement</w:t>
      </w:r>
      <w:r w:rsidR="005853A9">
        <w:t xml:space="preserve"> and </w:t>
      </w:r>
      <w:r w:rsidRPr="001A3D2B">
        <w:t>discuss</w:t>
      </w:r>
      <w:r w:rsidR="003A1917">
        <w:t xml:space="preserve"> the </w:t>
      </w:r>
      <w:r w:rsidRPr="001A3D2B">
        <w:t>findings presented in</w:t>
      </w:r>
      <w:r w:rsidR="003A1917">
        <w:t xml:space="preserve"> the </w:t>
      </w:r>
      <w:r w:rsidRPr="001A3D2B">
        <w:t>original study to (a) explain</w:t>
      </w:r>
      <w:r w:rsidR="003A1917">
        <w:t xml:space="preserve"> the </w:t>
      </w:r>
      <w:r w:rsidRPr="001A3D2B">
        <w:t>composition</w:t>
      </w:r>
      <w:r w:rsidR="00427468">
        <w:t xml:space="preserve"> of </w:t>
      </w:r>
      <w:r w:rsidR="003A1917">
        <w:t xml:space="preserve">the </w:t>
      </w:r>
      <w:r w:rsidRPr="001A3D2B">
        <w:t>dataset used, (b) highlight some problems pertaining to bibliometric research,</w:t>
      </w:r>
      <w:r w:rsidR="005853A9">
        <w:t xml:space="preserve"> and </w:t>
      </w:r>
      <w:r w:rsidRPr="001A3D2B">
        <w:t>(c) underline why such studies nevertheless are useful, also in business</w:t>
      </w:r>
      <w:r w:rsidR="005853A9">
        <w:t xml:space="preserve"> and </w:t>
      </w:r>
      <w:r w:rsidRPr="001A3D2B">
        <w:t>society research. © 2006 Sage Publications.</w:t>
      </w:r>
    </w:p>
    <w:p w:rsidR="003474F2" w:rsidRPr="001A3D2B" w:rsidRDefault="003474F2" w:rsidP="003474F2">
      <w:pPr>
        <w:pStyle w:val="a3"/>
      </w:pPr>
      <w:r w:rsidRPr="001A3D2B">
        <w:t>Keywords: Bibliometry, Citation Studies, Corporate Social Performance, Corporate Social Responsibility</w:t>
      </w:r>
    </w:p>
    <w:p w:rsidR="008D5AC5" w:rsidRPr="001A3D2B" w:rsidRDefault="008D5AC5" w:rsidP="008D5AC5">
      <w:pPr>
        <w:pStyle w:val="a3"/>
      </w:pPr>
      <w:r>
        <w:rPr>
          <w:rFonts w:hint="eastAsia"/>
        </w:rPr>
        <w:t xml:space="preserve">? </w:t>
      </w:r>
      <w:r w:rsidRPr="001A3D2B">
        <w:t>De Bakker, F.G.A., Groenewegen, P.</w:t>
      </w:r>
      <w:r w:rsidR="005853A9">
        <w:t xml:space="preserve"> and </w:t>
      </w:r>
      <w:r w:rsidRPr="001A3D2B">
        <w:t>Den Hond, F. (20</w:t>
      </w:r>
      <w:r>
        <w:rPr>
          <w:rFonts w:hint="eastAsia"/>
        </w:rPr>
        <w:t>10</w:t>
      </w:r>
      <w:r w:rsidRPr="001A3D2B">
        <w:t xml:space="preserve">), A </w:t>
      </w:r>
      <w:r>
        <w:t>bibliometric analysis</w:t>
      </w:r>
      <w:r w:rsidR="00427468">
        <w:t xml:space="preserve"> of </w:t>
      </w:r>
      <w:r>
        <w:t>30 years</w:t>
      </w:r>
      <w:r w:rsidR="00427468">
        <w:t xml:space="preserve"> of </w:t>
      </w:r>
      <w:r>
        <w:t>research</w:t>
      </w:r>
      <w:r w:rsidR="005853A9">
        <w:t xml:space="preserve"> and </w:t>
      </w:r>
      <w:r>
        <w:t>theory on corporate social responsibility</w:t>
      </w:r>
      <w:r w:rsidR="005853A9">
        <w:t xml:space="preserve"> and </w:t>
      </w:r>
      <w:r>
        <w:t>corporate social performance</w:t>
      </w:r>
      <w:r w:rsidRPr="001A3D2B">
        <w:t xml:space="preserve">. </w:t>
      </w:r>
      <w:r w:rsidRPr="001A3D2B">
        <w:rPr>
          <w:i/>
        </w:rPr>
        <w:t>Business</w:t>
      </w:r>
      <w:r w:rsidR="005853A9">
        <w:rPr>
          <w:i/>
        </w:rPr>
        <w:t xml:space="preserve"> and </w:t>
      </w:r>
      <w:r w:rsidRPr="001A3D2B">
        <w:rPr>
          <w:i/>
        </w:rPr>
        <w:t>Society</w:t>
      </w:r>
      <w:r w:rsidRPr="001A3D2B">
        <w:t xml:space="preserve">, </w:t>
      </w:r>
      <w:r w:rsidRPr="001A3D2B">
        <w:rPr>
          <w:b/>
        </w:rPr>
        <w:t>4</w:t>
      </w:r>
      <w:r>
        <w:rPr>
          <w:rFonts w:hint="eastAsia"/>
          <w:b/>
        </w:rPr>
        <w:t>9</w:t>
      </w:r>
      <w:r w:rsidRPr="001A3D2B">
        <w:t xml:space="preserve"> (</w:t>
      </w:r>
      <w:r>
        <w:rPr>
          <w:rFonts w:hint="eastAsia"/>
        </w:rPr>
        <w:t>4</w:t>
      </w:r>
      <w:r w:rsidRPr="001A3D2B">
        <w:t xml:space="preserve">), </w:t>
      </w:r>
      <w:r>
        <w:rPr>
          <w:rFonts w:hint="eastAsia"/>
        </w:rPr>
        <w:t>283-317</w:t>
      </w:r>
      <w:r w:rsidRPr="001A3D2B">
        <w:t>.</w:t>
      </w:r>
    </w:p>
    <w:p w:rsidR="008D5AC5" w:rsidRDefault="008D5AC5" w:rsidP="008D5AC5">
      <w:pPr>
        <w:pStyle w:val="a3"/>
      </w:pPr>
      <w:r w:rsidRPr="001A3D2B">
        <w:t xml:space="preserve">Full Text: </w:t>
      </w:r>
      <w:hyperlink r:id="rId2166" w:history="1">
        <w:r w:rsidRPr="008D5AC5">
          <w:rPr>
            <w:rStyle w:val="a5"/>
          </w:rPr>
          <w:t>2010\Bus Soc49, 283.pdf</w:t>
        </w:r>
      </w:hyperlink>
    </w:p>
    <w:p w:rsidR="008D5AC5" w:rsidRPr="001A3D2B" w:rsidRDefault="008D5AC5" w:rsidP="008D5AC5">
      <w:pPr>
        <w:pStyle w:val="a3"/>
      </w:pPr>
      <w:r>
        <w:t>Abstract</w:t>
      </w:r>
      <w:r>
        <w:rPr>
          <w:rFonts w:hint="eastAsia"/>
        </w:rPr>
        <w:t xml:space="preserve">: </w:t>
      </w:r>
      <w:r>
        <w:t>Social responsibilities</w:t>
      </w:r>
      <w:r w:rsidR="00427468">
        <w:t xml:space="preserve"> of </w:t>
      </w:r>
      <w:r>
        <w:t>businesses</w:t>
      </w:r>
      <w:r w:rsidR="005853A9">
        <w:t xml:space="preserve"> and </w:t>
      </w:r>
      <w:r>
        <w:t>their managers have been discussed since</w:t>
      </w:r>
      <w:r w:rsidR="003A1917">
        <w:t xml:space="preserve"> the </w:t>
      </w:r>
      <w:r>
        <w:t>1950s. Yet no consensus about progress has been achieved in</w:t>
      </w:r>
      <w:r w:rsidR="003A1917">
        <w:t xml:space="preserve"> the </w:t>
      </w:r>
      <w:r>
        <w:t>corporate social responsibility/corporate social performance literature. In this article, we seek to analyze three views on this literature. One view is that development occurred from conceptual vagueness, through clarification</w:t>
      </w:r>
      <w:r w:rsidR="00427468">
        <w:t xml:space="preserve"> of </w:t>
      </w:r>
      <w:r>
        <w:t>central constructs</w:t>
      </w:r>
      <w:r w:rsidR="005853A9">
        <w:t xml:space="preserve"> and </w:t>
      </w:r>
      <w:r>
        <w:t>their relationships, to</w:t>
      </w:r>
      <w:r w:rsidR="003A1917">
        <w:t xml:space="preserve"> the </w:t>
      </w:r>
      <w:r>
        <w:t>testing</w:t>
      </w:r>
      <w:r w:rsidR="00427468">
        <w:t xml:space="preserve"> of </w:t>
      </w:r>
      <w:r>
        <w:t xml:space="preserve">theory—a process supported by increased sophistication in research methods. In contrast, other authors claim that hardly any </w:t>
      </w:r>
      <w:r>
        <w:lastRenderedPageBreak/>
        <w:t>progress is to be expected because</w:t>
      </w:r>
      <w:r w:rsidR="00427468">
        <w:t xml:space="preserve"> of </w:t>
      </w:r>
      <w:r w:rsidR="003A1917">
        <w:t xml:space="preserve">the </w:t>
      </w:r>
      <w:r>
        <w:t>inherently normative character</w:t>
      </w:r>
      <w:r w:rsidR="00427468">
        <w:t xml:space="preserve"> of </w:t>
      </w:r>
      <w:r w:rsidR="003A1917">
        <w:t xml:space="preserve">the </w:t>
      </w:r>
      <w:r>
        <w:t>literature. A final view is that progress in</w:t>
      </w:r>
      <w:r w:rsidR="003A1917">
        <w:t xml:space="preserve"> the </w:t>
      </w:r>
      <w:r>
        <w:t>literature on</w:t>
      </w:r>
      <w:r w:rsidR="003A1917">
        <w:t xml:space="preserve"> the </w:t>
      </w:r>
      <w:r>
        <w:t>social responsibilities</w:t>
      </w:r>
      <w:r w:rsidR="00427468">
        <w:t xml:space="preserve"> of </w:t>
      </w:r>
      <w:r>
        <w:t>business is obscured or even hampered by</w:t>
      </w:r>
      <w:r w:rsidR="003A1917">
        <w:t xml:space="preserve"> the </w:t>
      </w:r>
      <w:r>
        <w:t>continuing introduction</w:t>
      </w:r>
      <w:r w:rsidR="00427468">
        <w:t xml:space="preserve"> of </w:t>
      </w:r>
      <w:r>
        <w:t>newconstructs. This article explores which</w:t>
      </w:r>
      <w:r w:rsidR="00427468">
        <w:t xml:space="preserve"> of </w:t>
      </w:r>
      <w:r>
        <w:t>these three views better describes</w:t>
      </w:r>
      <w:r w:rsidR="003A1917">
        <w:t xml:space="preserve"> the </w:t>
      </w:r>
      <w:r>
        <w:t>evolution</w:t>
      </w:r>
      <w:r w:rsidR="00427468">
        <w:t xml:space="preserve"> of </w:t>
      </w:r>
      <w:r w:rsidR="003A1917">
        <w:t xml:space="preserve">the </w:t>
      </w:r>
      <w:r>
        <w:t>literature during a period</w:t>
      </w:r>
      <w:r w:rsidR="00427468">
        <w:t xml:space="preserve"> of </w:t>
      </w:r>
      <w:r>
        <w:t>30 years</w:t>
      </w:r>
      <w:r w:rsidR="005853A9">
        <w:t xml:space="preserve"> and </w:t>
      </w:r>
      <w:r>
        <w:t>suggests implications for further research.</w:t>
      </w:r>
      <w:bookmarkEnd w:id="9"/>
      <w:bookmarkEnd w:id="834"/>
      <w:bookmarkEnd w:id="835"/>
      <w:bookmarkEnd w:id="836"/>
      <w:bookmarkEnd w:id="837"/>
    </w:p>
    <w:sectPr w:rsidR="008D5AC5" w:rsidRPr="001A3D2B" w:rsidSect="002377CD">
      <w:headerReference w:type="even" r:id="rId2167"/>
      <w:footerReference w:type="default" r:id="rId2168"/>
      <w:type w:val="nextColumn"/>
      <w:pgSz w:w="11906" w:h="16838"/>
      <w:pgMar w:top="1418" w:right="1701"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4FB" w:rsidRDefault="00C154FB" w:rsidP="006308DC">
      <w:r>
        <w:separator/>
      </w:r>
    </w:p>
  </w:endnote>
  <w:endnote w:type="continuationSeparator" w:id="0">
    <w:p w:rsidR="00C154FB" w:rsidRDefault="00C154FB" w:rsidP="0063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30" w:rsidRPr="004C42F6" w:rsidRDefault="00255930">
    <w:pPr>
      <w:jc w:val="center"/>
      <w:rPr>
        <w:sz w:val="20"/>
        <w:szCs w:val="20"/>
      </w:rPr>
    </w:pPr>
    <w:r w:rsidRPr="004C42F6">
      <w:rPr>
        <w:sz w:val="20"/>
        <w:szCs w:val="20"/>
      </w:rPr>
      <w:fldChar w:fldCharType="begin"/>
    </w:r>
    <w:r w:rsidRPr="004C42F6">
      <w:rPr>
        <w:sz w:val="20"/>
        <w:szCs w:val="20"/>
      </w:rPr>
      <w:instrText xml:space="preserve"> PAGE </w:instrText>
    </w:r>
    <w:r w:rsidRPr="004C42F6">
      <w:rPr>
        <w:sz w:val="20"/>
        <w:szCs w:val="20"/>
      </w:rPr>
      <w:fldChar w:fldCharType="separate"/>
    </w:r>
    <w:r w:rsidR="004F2BF8">
      <w:rPr>
        <w:noProof/>
        <w:sz w:val="20"/>
        <w:szCs w:val="20"/>
      </w:rPr>
      <w:t>2</w:t>
    </w:r>
    <w:r w:rsidRPr="004C42F6">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4FB" w:rsidRDefault="00C154FB" w:rsidP="006308DC">
      <w:r>
        <w:separator/>
      </w:r>
    </w:p>
  </w:footnote>
  <w:footnote w:type="continuationSeparator" w:id="0">
    <w:p w:rsidR="00C154FB" w:rsidRDefault="00C154FB" w:rsidP="00630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30" w:rsidRDefault="00255930"/>
  <w:p w:rsidR="00255930" w:rsidRDefault="00255930"/>
  <w:p w:rsidR="00255930" w:rsidRDefault="00255930"/>
  <w:p w:rsidR="00255930" w:rsidRDefault="00255930"/>
  <w:p w:rsidR="00255930" w:rsidRDefault="00255930"/>
  <w:p w:rsidR="00255930" w:rsidRDefault="002559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27BD25F8"/>
    <w:multiLevelType w:val="hybridMultilevel"/>
    <w:tmpl w:val="E5C8BD56"/>
    <w:lvl w:ilvl="0" w:tplc="5DA6339A">
      <w:start w:val="1"/>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3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4F2"/>
    <w:rsid w:val="00000282"/>
    <w:rsid w:val="000011DE"/>
    <w:rsid w:val="00001382"/>
    <w:rsid w:val="00001404"/>
    <w:rsid w:val="00001727"/>
    <w:rsid w:val="00001D6C"/>
    <w:rsid w:val="00002569"/>
    <w:rsid w:val="000025C5"/>
    <w:rsid w:val="000025F7"/>
    <w:rsid w:val="0000277B"/>
    <w:rsid w:val="00002EEB"/>
    <w:rsid w:val="00003018"/>
    <w:rsid w:val="00003232"/>
    <w:rsid w:val="000037BF"/>
    <w:rsid w:val="00003975"/>
    <w:rsid w:val="00004E3E"/>
    <w:rsid w:val="00005E2B"/>
    <w:rsid w:val="0000610A"/>
    <w:rsid w:val="0000618E"/>
    <w:rsid w:val="000062B1"/>
    <w:rsid w:val="0000644F"/>
    <w:rsid w:val="000064BA"/>
    <w:rsid w:val="0000718D"/>
    <w:rsid w:val="000073D3"/>
    <w:rsid w:val="0000789C"/>
    <w:rsid w:val="00007C83"/>
    <w:rsid w:val="000108BA"/>
    <w:rsid w:val="000109FF"/>
    <w:rsid w:val="00010B84"/>
    <w:rsid w:val="00011FE8"/>
    <w:rsid w:val="000124BC"/>
    <w:rsid w:val="0001326A"/>
    <w:rsid w:val="000132F9"/>
    <w:rsid w:val="000138A6"/>
    <w:rsid w:val="000145AE"/>
    <w:rsid w:val="000157D0"/>
    <w:rsid w:val="00017178"/>
    <w:rsid w:val="000201EE"/>
    <w:rsid w:val="00020909"/>
    <w:rsid w:val="000216D1"/>
    <w:rsid w:val="00021AEC"/>
    <w:rsid w:val="00021B4F"/>
    <w:rsid w:val="00021E6B"/>
    <w:rsid w:val="0002298A"/>
    <w:rsid w:val="00023260"/>
    <w:rsid w:val="00023D5F"/>
    <w:rsid w:val="00023ED9"/>
    <w:rsid w:val="00023FCD"/>
    <w:rsid w:val="00024181"/>
    <w:rsid w:val="00024610"/>
    <w:rsid w:val="00024D04"/>
    <w:rsid w:val="00024FBD"/>
    <w:rsid w:val="000259D5"/>
    <w:rsid w:val="00025C7C"/>
    <w:rsid w:val="0002625A"/>
    <w:rsid w:val="0002686D"/>
    <w:rsid w:val="00027885"/>
    <w:rsid w:val="000279D0"/>
    <w:rsid w:val="00027BCA"/>
    <w:rsid w:val="0003007E"/>
    <w:rsid w:val="00030508"/>
    <w:rsid w:val="00030BB7"/>
    <w:rsid w:val="00031430"/>
    <w:rsid w:val="0003168E"/>
    <w:rsid w:val="000317B2"/>
    <w:rsid w:val="00032688"/>
    <w:rsid w:val="00032707"/>
    <w:rsid w:val="000327D8"/>
    <w:rsid w:val="000331B4"/>
    <w:rsid w:val="0003473C"/>
    <w:rsid w:val="00035975"/>
    <w:rsid w:val="00035DDF"/>
    <w:rsid w:val="00035DF5"/>
    <w:rsid w:val="00036F25"/>
    <w:rsid w:val="000373CF"/>
    <w:rsid w:val="00037A0B"/>
    <w:rsid w:val="00037BBC"/>
    <w:rsid w:val="00040380"/>
    <w:rsid w:val="00042A2D"/>
    <w:rsid w:val="00042FF9"/>
    <w:rsid w:val="000437E7"/>
    <w:rsid w:val="00043831"/>
    <w:rsid w:val="00043C4B"/>
    <w:rsid w:val="00043E74"/>
    <w:rsid w:val="000449C8"/>
    <w:rsid w:val="00044FB9"/>
    <w:rsid w:val="00045A48"/>
    <w:rsid w:val="00045AEB"/>
    <w:rsid w:val="00045BB5"/>
    <w:rsid w:val="0004609D"/>
    <w:rsid w:val="0004612E"/>
    <w:rsid w:val="0004698F"/>
    <w:rsid w:val="00050168"/>
    <w:rsid w:val="0005086E"/>
    <w:rsid w:val="00050B77"/>
    <w:rsid w:val="00050E5C"/>
    <w:rsid w:val="00051345"/>
    <w:rsid w:val="000519B7"/>
    <w:rsid w:val="00051EA9"/>
    <w:rsid w:val="0005247A"/>
    <w:rsid w:val="00052796"/>
    <w:rsid w:val="00052FA3"/>
    <w:rsid w:val="0005300B"/>
    <w:rsid w:val="000530C2"/>
    <w:rsid w:val="00053180"/>
    <w:rsid w:val="000534C4"/>
    <w:rsid w:val="00053A4A"/>
    <w:rsid w:val="00053CE5"/>
    <w:rsid w:val="00054020"/>
    <w:rsid w:val="00054A2D"/>
    <w:rsid w:val="00054C78"/>
    <w:rsid w:val="0005507D"/>
    <w:rsid w:val="00055633"/>
    <w:rsid w:val="00055DE4"/>
    <w:rsid w:val="00055E72"/>
    <w:rsid w:val="00055EFE"/>
    <w:rsid w:val="00055F17"/>
    <w:rsid w:val="0005625C"/>
    <w:rsid w:val="00056516"/>
    <w:rsid w:val="0005697A"/>
    <w:rsid w:val="00056A01"/>
    <w:rsid w:val="00056BBE"/>
    <w:rsid w:val="00057113"/>
    <w:rsid w:val="00057785"/>
    <w:rsid w:val="000579D0"/>
    <w:rsid w:val="00060ECB"/>
    <w:rsid w:val="00060EEB"/>
    <w:rsid w:val="000611D3"/>
    <w:rsid w:val="00061313"/>
    <w:rsid w:val="0006135F"/>
    <w:rsid w:val="00061447"/>
    <w:rsid w:val="000617BD"/>
    <w:rsid w:val="00061931"/>
    <w:rsid w:val="000619DF"/>
    <w:rsid w:val="000619E6"/>
    <w:rsid w:val="00062270"/>
    <w:rsid w:val="000626D1"/>
    <w:rsid w:val="00062B2E"/>
    <w:rsid w:val="00063619"/>
    <w:rsid w:val="00063734"/>
    <w:rsid w:val="00063FA4"/>
    <w:rsid w:val="00063FB3"/>
    <w:rsid w:val="0006497C"/>
    <w:rsid w:val="00064ACD"/>
    <w:rsid w:val="0006522A"/>
    <w:rsid w:val="00065C77"/>
    <w:rsid w:val="000668AE"/>
    <w:rsid w:val="00066B28"/>
    <w:rsid w:val="00066BA4"/>
    <w:rsid w:val="00067D36"/>
    <w:rsid w:val="00070207"/>
    <w:rsid w:val="00070538"/>
    <w:rsid w:val="00070D88"/>
    <w:rsid w:val="0007158C"/>
    <w:rsid w:val="00071888"/>
    <w:rsid w:val="00071A6E"/>
    <w:rsid w:val="00071BBE"/>
    <w:rsid w:val="00071DAE"/>
    <w:rsid w:val="00072018"/>
    <w:rsid w:val="00072349"/>
    <w:rsid w:val="000726FD"/>
    <w:rsid w:val="00072A3A"/>
    <w:rsid w:val="00073605"/>
    <w:rsid w:val="00073F17"/>
    <w:rsid w:val="000741FA"/>
    <w:rsid w:val="0007436F"/>
    <w:rsid w:val="00074789"/>
    <w:rsid w:val="00074C18"/>
    <w:rsid w:val="00074DF9"/>
    <w:rsid w:val="00074E7F"/>
    <w:rsid w:val="0007507D"/>
    <w:rsid w:val="000753DA"/>
    <w:rsid w:val="000767F8"/>
    <w:rsid w:val="0007779E"/>
    <w:rsid w:val="000806EC"/>
    <w:rsid w:val="00080BC1"/>
    <w:rsid w:val="00080F00"/>
    <w:rsid w:val="000810F3"/>
    <w:rsid w:val="000819E6"/>
    <w:rsid w:val="00081EDC"/>
    <w:rsid w:val="000821B9"/>
    <w:rsid w:val="00082F91"/>
    <w:rsid w:val="0008304C"/>
    <w:rsid w:val="0008349C"/>
    <w:rsid w:val="000835F5"/>
    <w:rsid w:val="00083B92"/>
    <w:rsid w:val="00085579"/>
    <w:rsid w:val="00085AA9"/>
    <w:rsid w:val="00085ADC"/>
    <w:rsid w:val="000867C4"/>
    <w:rsid w:val="00086A18"/>
    <w:rsid w:val="000875D0"/>
    <w:rsid w:val="00087B6C"/>
    <w:rsid w:val="000901AA"/>
    <w:rsid w:val="0009028F"/>
    <w:rsid w:val="0009076F"/>
    <w:rsid w:val="00090804"/>
    <w:rsid w:val="00090CAD"/>
    <w:rsid w:val="00091189"/>
    <w:rsid w:val="00091A62"/>
    <w:rsid w:val="00091ABE"/>
    <w:rsid w:val="000920AB"/>
    <w:rsid w:val="00092116"/>
    <w:rsid w:val="000933A5"/>
    <w:rsid w:val="00093686"/>
    <w:rsid w:val="00093E34"/>
    <w:rsid w:val="0009527E"/>
    <w:rsid w:val="0009540D"/>
    <w:rsid w:val="00095BD3"/>
    <w:rsid w:val="00095C62"/>
    <w:rsid w:val="000968C0"/>
    <w:rsid w:val="00096AA3"/>
    <w:rsid w:val="00096CEB"/>
    <w:rsid w:val="00096D5F"/>
    <w:rsid w:val="0009796F"/>
    <w:rsid w:val="000A01FE"/>
    <w:rsid w:val="000A02ED"/>
    <w:rsid w:val="000A0D5A"/>
    <w:rsid w:val="000A16CF"/>
    <w:rsid w:val="000A2A47"/>
    <w:rsid w:val="000A30A9"/>
    <w:rsid w:val="000A34C1"/>
    <w:rsid w:val="000A3962"/>
    <w:rsid w:val="000A3AF5"/>
    <w:rsid w:val="000A3CB1"/>
    <w:rsid w:val="000A3D4C"/>
    <w:rsid w:val="000A3DD1"/>
    <w:rsid w:val="000A44FA"/>
    <w:rsid w:val="000A49C1"/>
    <w:rsid w:val="000A4FB1"/>
    <w:rsid w:val="000A5145"/>
    <w:rsid w:val="000A53E4"/>
    <w:rsid w:val="000A5821"/>
    <w:rsid w:val="000A700B"/>
    <w:rsid w:val="000A78AC"/>
    <w:rsid w:val="000B075C"/>
    <w:rsid w:val="000B08BB"/>
    <w:rsid w:val="000B0B28"/>
    <w:rsid w:val="000B1360"/>
    <w:rsid w:val="000B1518"/>
    <w:rsid w:val="000B2D22"/>
    <w:rsid w:val="000B3D2E"/>
    <w:rsid w:val="000B3F40"/>
    <w:rsid w:val="000B4106"/>
    <w:rsid w:val="000B443A"/>
    <w:rsid w:val="000B4C6C"/>
    <w:rsid w:val="000B506C"/>
    <w:rsid w:val="000B53B8"/>
    <w:rsid w:val="000B5AB3"/>
    <w:rsid w:val="000B5CD6"/>
    <w:rsid w:val="000B5FD2"/>
    <w:rsid w:val="000B65C0"/>
    <w:rsid w:val="000B666D"/>
    <w:rsid w:val="000B6EA7"/>
    <w:rsid w:val="000B73E8"/>
    <w:rsid w:val="000B758D"/>
    <w:rsid w:val="000B76B9"/>
    <w:rsid w:val="000B7779"/>
    <w:rsid w:val="000B79DA"/>
    <w:rsid w:val="000C0680"/>
    <w:rsid w:val="000C0BF2"/>
    <w:rsid w:val="000C0E51"/>
    <w:rsid w:val="000C140A"/>
    <w:rsid w:val="000C37C1"/>
    <w:rsid w:val="000C3D87"/>
    <w:rsid w:val="000C4089"/>
    <w:rsid w:val="000C4180"/>
    <w:rsid w:val="000C46FB"/>
    <w:rsid w:val="000C5143"/>
    <w:rsid w:val="000C54FC"/>
    <w:rsid w:val="000C7144"/>
    <w:rsid w:val="000C73D2"/>
    <w:rsid w:val="000C76D0"/>
    <w:rsid w:val="000C7736"/>
    <w:rsid w:val="000C7C63"/>
    <w:rsid w:val="000C7CB0"/>
    <w:rsid w:val="000D0757"/>
    <w:rsid w:val="000D0976"/>
    <w:rsid w:val="000D148D"/>
    <w:rsid w:val="000D172A"/>
    <w:rsid w:val="000D1B3F"/>
    <w:rsid w:val="000D22CC"/>
    <w:rsid w:val="000D25A5"/>
    <w:rsid w:val="000D2C48"/>
    <w:rsid w:val="000D33F7"/>
    <w:rsid w:val="000D389A"/>
    <w:rsid w:val="000D39E9"/>
    <w:rsid w:val="000D3C08"/>
    <w:rsid w:val="000D3D34"/>
    <w:rsid w:val="000D405D"/>
    <w:rsid w:val="000D40F7"/>
    <w:rsid w:val="000D4317"/>
    <w:rsid w:val="000D53B9"/>
    <w:rsid w:val="000D59C3"/>
    <w:rsid w:val="000D5EEC"/>
    <w:rsid w:val="000D6482"/>
    <w:rsid w:val="000D70FE"/>
    <w:rsid w:val="000D7186"/>
    <w:rsid w:val="000D71A1"/>
    <w:rsid w:val="000D78C9"/>
    <w:rsid w:val="000D7A6E"/>
    <w:rsid w:val="000D7D3C"/>
    <w:rsid w:val="000E063D"/>
    <w:rsid w:val="000E07AE"/>
    <w:rsid w:val="000E09F5"/>
    <w:rsid w:val="000E1043"/>
    <w:rsid w:val="000E17D8"/>
    <w:rsid w:val="000E1BDB"/>
    <w:rsid w:val="000E1D99"/>
    <w:rsid w:val="000E2BF9"/>
    <w:rsid w:val="000E3A81"/>
    <w:rsid w:val="000E53EA"/>
    <w:rsid w:val="000E5770"/>
    <w:rsid w:val="000E5BE7"/>
    <w:rsid w:val="000E622D"/>
    <w:rsid w:val="000E7CD1"/>
    <w:rsid w:val="000F1DCA"/>
    <w:rsid w:val="000F2423"/>
    <w:rsid w:val="000F2963"/>
    <w:rsid w:val="000F2C96"/>
    <w:rsid w:val="000F3530"/>
    <w:rsid w:val="000F3891"/>
    <w:rsid w:val="000F38E8"/>
    <w:rsid w:val="000F3B8B"/>
    <w:rsid w:val="000F5482"/>
    <w:rsid w:val="000F592F"/>
    <w:rsid w:val="000F59ED"/>
    <w:rsid w:val="000F5C94"/>
    <w:rsid w:val="000F6623"/>
    <w:rsid w:val="000F66B9"/>
    <w:rsid w:val="000F6DE3"/>
    <w:rsid w:val="000F6FB0"/>
    <w:rsid w:val="000F7174"/>
    <w:rsid w:val="000F7D56"/>
    <w:rsid w:val="0010082F"/>
    <w:rsid w:val="001012B2"/>
    <w:rsid w:val="00101755"/>
    <w:rsid w:val="00102A28"/>
    <w:rsid w:val="00102B50"/>
    <w:rsid w:val="00102D10"/>
    <w:rsid w:val="00102D38"/>
    <w:rsid w:val="001032D5"/>
    <w:rsid w:val="001035C6"/>
    <w:rsid w:val="00103A48"/>
    <w:rsid w:val="001043A9"/>
    <w:rsid w:val="001052BB"/>
    <w:rsid w:val="001056B2"/>
    <w:rsid w:val="00105FF0"/>
    <w:rsid w:val="001062DE"/>
    <w:rsid w:val="00106797"/>
    <w:rsid w:val="001070F3"/>
    <w:rsid w:val="00107876"/>
    <w:rsid w:val="00107E0F"/>
    <w:rsid w:val="001110FC"/>
    <w:rsid w:val="00111E21"/>
    <w:rsid w:val="00112A65"/>
    <w:rsid w:val="00113BB1"/>
    <w:rsid w:val="00114AA0"/>
    <w:rsid w:val="00114DBF"/>
    <w:rsid w:val="00114F9D"/>
    <w:rsid w:val="0011509C"/>
    <w:rsid w:val="00115317"/>
    <w:rsid w:val="00115C6F"/>
    <w:rsid w:val="00116069"/>
    <w:rsid w:val="001162DE"/>
    <w:rsid w:val="0011722D"/>
    <w:rsid w:val="0011731A"/>
    <w:rsid w:val="00117747"/>
    <w:rsid w:val="001207D1"/>
    <w:rsid w:val="0012087A"/>
    <w:rsid w:val="00120EA9"/>
    <w:rsid w:val="00120FEE"/>
    <w:rsid w:val="00121576"/>
    <w:rsid w:val="001217DA"/>
    <w:rsid w:val="00121D67"/>
    <w:rsid w:val="00122A87"/>
    <w:rsid w:val="00123456"/>
    <w:rsid w:val="00123556"/>
    <w:rsid w:val="001240AB"/>
    <w:rsid w:val="001246D8"/>
    <w:rsid w:val="00124FC2"/>
    <w:rsid w:val="001252B9"/>
    <w:rsid w:val="00125621"/>
    <w:rsid w:val="001259DA"/>
    <w:rsid w:val="001267AA"/>
    <w:rsid w:val="0012698C"/>
    <w:rsid w:val="0012772A"/>
    <w:rsid w:val="001307C3"/>
    <w:rsid w:val="001308D8"/>
    <w:rsid w:val="00130B9F"/>
    <w:rsid w:val="00132BCD"/>
    <w:rsid w:val="00132E11"/>
    <w:rsid w:val="0013323B"/>
    <w:rsid w:val="00133908"/>
    <w:rsid w:val="00133D27"/>
    <w:rsid w:val="00133DE5"/>
    <w:rsid w:val="001342C6"/>
    <w:rsid w:val="00134976"/>
    <w:rsid w:val="00134BB4"/>
    <w:rsid w:val="00135605"/>
    <w:rsid w:val="00135C2F"/>
    <w:rsid w:val="0013647E"/>
    <w:rsid w:val="001367AD"/>
    <w:rsid w:val="00136BA7"/>
    <w:rsid w:val="00136EA1"/>
    <w:rsid w:val="00137144"/>
    <w:rsid w:val="001373C0"/>
    <w:rsid w:val="001377ED"/>
    <w:rsid w:val="0013794C"/>
    <w:rsid w:val="00137DE3"/>
    <w:rsid w:val="00140229"/>
    <w:rsid w:val="001413F9"/>
    <w:rsid w:val="001421FE"/>
    <w:rsid w:val="00142209"/>
    <w:rsid w:val="00142318"/>
    <w:rsid w:val="001424AE"/>
    <w:rsid w:val="001428F3"/>
    <w:rsid w:val="00142B52"/>
    <w:rsid w:val="00143BB3"/>
    <w:rsid w:val="00144CB8"/>
    <w:rsid w:val="001456A2"/>
    <w:rsid w:val="00147218"/>
    <w:rsid w:val="00150012"/>
    <w:rsid w:val="001504B9"/>
    <w:rsid w:val="00152072"/>
    <w:rsid w:val="0015262E"/>
    <w:rsid w:val="00153A65"/>
    <w:rsid w:val="00153BD1"/>
    <w:rsid w:val="00153DF2"/>
    <w:rsid w:val="00154367"/>
    <w:rsid w:val="00154658"/>
    <w:rsid w:val="00155DEF"/>
    <w:rsid w:val="00156735"/>
    <w:rsid w:val="001569AF"/>
    <w:rsid w:val="001579B9"/>
    <w:rsid w:val="00160251"/>
    <w:rsid w:val="00161B63"/>
    <w:rsid w:val="00162426"/>
    <w:rsid w:val="00162A2F"/>
    <w:rsid w:val="00162B53"/>
    <w:rsid w:val="00162F68"/>
    <w:rsid w:val="00163034"/>
    <w:rsid w:val="00163318"/>
    <w:rsid w:val="001633B8"/>
    <w:rsid w:val="001650DA"/>
    <w:rsid w:val="00165ABC"/>
    <w:rsid w:val="00165C22"/>
    <w:rsid w:val="00165C2D"/>
    <w:rsid w:val="00165DDC"/>
    <w:rsid w:val="00166836"/>
    <w:rsid w:val="001669DF"/>
    <w:rsid w:val="00167B55"/>
    <w:rsid w:val="001708DB"/>
    <w:rsid w:val="00170CA1"/>
    <w:rsid w:val="00170EBA"/>
    <w:rsid w:val="00171A00"/>
    <w:rsid w:val="0017351F"/>
    <w:rsid w:val="00173B20"/>
    <w:rsid w:val="00173C59"/>
    <w:rsid w:val="00174969"/>
    <w:rsid w:val="001752AB"/>
    <w:rsid w:val="001761FA"/>
    <w:rsid w:val="00176FAA"/>
    <w:rsid w:val="001803BE"/>
    <w:rsid w:val="00180DB9"/>
    <w:rsid w:val="00182418"/>
    <w:rsid w:val="00183AAE"/>
    <w:rsid w:val="00183D7B"/>
    <w:rsid w:val="001840B5"/>
    <w:rsid w:val="00184512"/>
    <w:rsid w:val="001845AD"/>
    <w:rsid w:val="00184A4C"/>
    <w:rsid w:val="00184BFC"/>
    <w:rsid w:val="00185170"/>
    <w:rsid w:val="0018533D"/>
    <w:rsid w:val="00185630"/>
    <w:rsid w:val="00185D89"/>
    <w:rsid w:val="00185D9A"/>
    <w:rsid w:val="001863BD"/>
    <w:rsid w:val="00186A52"/>
    <w:rsid w:val="00186FAF"/>
    <w:rsid w:val="001906FE"/>
    <w:rsid w:val="00190C0B"/>
    <w:rsid w:val="001910E9"/>
    <w:rsid w:val="00192BBD"/>
    <w:rsid w:val="00193A0D"/>
    <w:rsid w:val="00193A77"/>
    <w:rsid w:val="001943D0"/>
    <w:rsid w:val="001945EB"/>
    <w:rsid w:val="00194C29"/>
    <w:rsid w:val="00194E3B"/>
    <w:rsid w:val="0019508C"/>
    <w:rsid w:val="0019511C"/>
    <w:rsid w:val="001971CF"/>
    <w:rsid w:val="00197485"/>
    <w:rsid w:val="00197ACA"/>
    <w:rsid w:val="00197F74"/>
    <w:rsid w:val="00197F9D"/>
    <w:rsid w:val="001A08DD"/>
    <w:rsid w:val="001A08F4"/>
    <w:rsid w:val="001A0AB9"/>
    <w:rsid w:val="001A0EA5"/>
    <w:rsid w:val="001A124C"/>
    <w:rsid w:val="001A166F"/>
    <w:rsid w:val="001A1B8B"/>
    <w:rsid w:val="001A1BE5"/>
    <w:rsid w:val="001A3301"/>
    <w:rsid w:val="001A3D2B"/>
    <w:rsid w:val="001A52A5"/>
    <w:rsid w:val="001A5627"/>
    <w:rsid w:val="001A6521"/>
    <w:rsid w:val="001A6E18"/>
    <w:rsid w:val="001A710F"/>
    <w:rsid w:val="001A72BE"/>
    <w:rsid w:val="001B05EE"/>
    <w:rsid w:val="001B0703"/>
    <w:rsid w:val="001B18A6"/>
    <w:rsid w:val="001B1BC1"/>
    <w:rsid w:val="001B314D"/>
    <w:rsid w:val="001B31A4"/>
    <w:rsid w:val="001B31D8"/>
    <w:rsid w:val="001B340B"/>
    <w:rsid w:val="001B36F3"/>
    <w:rsid w:val="001B3FFE"/>
    <w:rsid w:val="001B4001"/>
    <w:rsid w:val="001B4476"/>
    <w:rsid w:val="001B4EF2"/>
    <w:rsid w:val="001B4F45"/>
    <w:rsid w:val="001B51F1"/>
    <w:rsid w:val="001B5539"/>
    <w:rsid w:val="001B5773"/>
    <w:rsid w:val="001B5808"/>
    <w:rsid w:val="001B664B"/>
    <w:rsid w:val="001B6798"/>
    <w:rsid w:val="001B71EE"/>
    <w:rsid w:val="001B74AA"/>
    <w:rsid w:val="001B7A44"/>
    <w:rsid w:val="001B7AE9"/>
    <w:rsid w:val="001C0069"/>
    <w:rsid w:val="001C017A"/>
    <w:rsid w:val="001C07A1"/>
    <w:rsid w:val="001C08AF"/>
    <w:rsid w:val="001C09BA"/>
    <w:rsid w:val="001C0A33"/>
    <w:rsid w:val="001C22E8"/>
    <w:rsid w:val="001C39C2"/>
    <w:rsid w:val="001C58EC"/>
    <w:rsid w:val="001C5F0D"/>
    <w:rsid w:val="001C629A"/>
    <w:rsid w:val="001C7078"/>
    <w:rsid w:val="001C74EC"/>
    <w:rsid w:val="001D0CFD"/>
    <w:rsid w:val="001D0DDF"/>
    <w:rsid w:val="001D1795"/>
    <w:rsid w:val="001D1AED"/>
    <w:rsid w:val="001D20B6"/>
    <w:rsid w:val="001D262C"/>
    <w:rsid w:val="001D26E3"/>
    <w:rsid w:val="001D2878"/>
    <w:rsid w:val="001D2CCA"/>
    <w:rsid w:val="001D2FDB"/>
    <w:rsid w:val="001D3751"/>
    <w:rsid w:val="001D3837"/>
    <w:rsid w:val="001D3A71"/>
    <w:rsid w:val="001D4429"/>
    <w:rsid w:val="001D4991"/>
    <w:rsid w:val="001D4B91"/>
    <w:rsid w:val="001D4C77"/>
    <w:rsid w:val="001D4E3C"/>
    <w:rsid w:val="001D4F4E"/>
    <w:rsid w:val="001D50C6"/>
    <w:rsid w:val="001D5147"/>
    <w:rsid w:val="001D5149"/>
    <w:rsid w:val="001D5A1D"/>
    <w:rsid w:val="001D5A6F"/>
    <w:rsid w:val="001D64D6"/>
    <w:rsid w:val="001D6BE3"/>
    <w:rsid w:val="001D7D3E"/>
    <w:rsid w:val="001E081E"/>
    <w:rsid w:val="001E18AA"/>
    <w:rsid w:val="001E1D3F"/>
    <w:rsid w:val="001E1D98"/>
    <w:rsid w:val="001E2406"/>
    <w:rsid w:val="001E2A76"/>
    <w:rsid w:val="001E2CE3"/>
    <w:rsid w:val="001E2FBB"/>
    <w:rsid w:val="001E3754"/>
    <w:rsid w:val="001E3E15"/>
    <w:rsid w:val="001E3F9D"/>
    <w:rsid w:val="001E47A5"/>
    <w:rsid w:val="001E4F40"/>
    <w:rsid w:val="001E51C4"/>
    <w:rsid w:val="001E55D5"/>
    <w:rsid w:val="001E5EFE"/>
    <w:rsid w:val="001E6983"/>
    <w:rsid w:val="001E7C3C"/>
    <w:rsid w:val="001F091B"/>
    <w:rsid w:val="001F0FAE"/>
    <w:rsid w:val="001F27B4"/>
    <w:rsid w:val="001F290A"/>
    <w:rsid w:val="001F2B36"/>
    <w:rsid w:val="001F3964"/>
    <w:rsid w:val="001F4090"/>
    <w:rsid w:val="001F42EE"/>
    <w:rsid w:val="001F432D"/>
    <w:rsid w:val="001F4BB7"/>
    <w:rsid w:val="001F4EFB"/>
    <w:rsid w:val="001F5347"/>
    <w:rsid w:val="001F53D3"/>
    <w:rsid w:val="001F5A12"/>
    <w:rsid w:val="001F60D2"/>
    <w:rsid w:val="001F7110"/>
    <w:rsid w:val="00200DE5"/>
    <w:rsid w:val="00201969"/>
    <w:rsid w:val="00201AF7"/>
    <w:rsid w:val="002028BD"/>
    <w:rsid w:val="00202BDD"/>
    <w:rsid w:val="00203F83"/>
    <w:rsid w:val="002046D1"/>
    <w:rsid w:val="00205A5A"/>
    <w:rsid w:val="00205FB6"/>
    <w:rsid w:val="00206C8A"/>
    <w:rsid w:val="00207021"/>
    <w:rsid w:val="0020744E"/>
    <w:rsid w:val="002076DD"/>
    <w:rsid w:val="002078D7"/>
    <w:rsid w:val="0021036B"/>
    <w:rsid w:val="00210EE7"/>
    <w:rsid w:val="002113FE"/>
    <w:rsid w:val="00211E10"/>
    <w:rsid w:val="00211EB4"/>
    <w:rsid w:val="00212714"/>
    <w:rsid w:val="00213552"/>
    <w:rsid w:val="00213835"/>
    <w:rsid w:val="00213E1E"/>
    <w:rsid w:val="00213E71"/>
    <w:rsid w:val="00213F93"/>
    <w:rsid w:val="0021402B"/>
    <w:rsid w:val="002144DD"/>
    <w:rsid w:val="00214D09"/>
    <w:rsid w:val="00215347"/>
    <w:rsid w:val="0021553D"/>
    <w:rsid w:val="002155B3"/>
    <w:rsid w:val="00215758"/>
    <w:rsid w:val="00215E02"/>
    <w:rsid w:val="00216A52"/>
    <w:rsid w:val="00216D66"/>
    <w:rsid w:val="0021714F"/>
    <w:rsid w:val="0021720F"/>
    <w:rsid w:val="00217285"/>
    <w:rsid w:val="00220006"/>
    <w:rsid w:val="0022042A"/>
    <w:rsid w:val="00220CB0"/>
    <w:rsid w:val="00221601"/>
    <w:rsid w:val="00221BFF"/>
    <w:rsid w:val="00224010"/>
    <w:rsid w:val="002247B1"/>
    <w:rsid w:val="0022587B"/>
    <w:rsid w:val="00226CE9"/>
    <w:rsid w:val="00226D75"/>
    <w:rsid w:val="002273E4"/>
    <w:rsid w:val="002276D2"/>
    <w:rsid w:val="00227871"/>
    <w:rsid w:val="00230CC9"/>
    <w:rsid w:val="002315C3"/>
    <w:rsid w:val="00231FB9"/>
    <w:rsid w:val="002321EC"/>
    <w:rsid w:val="002323E8"/>
    <w:rsid w:val="002335AD"/>
    <w:rsid w:val="002336E9"/>
    <w:rsid w:val="00233C0A"/>
    <w:rsid w:val="00234036"/>
    <w:rsid w:val="002346D1"/>
    <w:rsid w:val="002346DD"/>
    <w:rsid w:val="002354D4"/>
    <w:rsid w:val="00235606"/>
    <w:rsid w:val="00237551"/>
    <w:rsid w:val="002376BA"/>
    <w:rsid w:val="002377CD"/>
    <w:rsid w:val="0024028C"/>
    <w:rsid w:val="00240376"/>
    <w:rsid w:val="00240C16"/>
    <w:rsid w:val="002419E3"/>
    <w:rsid w:val="00243805"/>
    <w:rsid w:val="0024391B"/>
    <w:rsid w:val="00243B55"/>
    <w:rsid w:val="0024417D"/>
    <w:rsid w:val="002445C0"/>
    <w:rsid w:val="00244902"/>
    <w:rsid w:val="00244E60"/>
    <w:rsid w:val="002457A2"/>
    <w:rsid w:val="00246C10"/>
    <w:rsid w:val="002475A2"/>
    <w:rsid w:val="002479AE"/>
    <w:rsid w:val="00250185"/>
    <w:rsid w:val="002517C0"/>
    <w:rsid w:val="00253ADE"/>
    <w:rsid w:val="00253E13"/>
    <w:rsid w:val="00254C4D"/>
    <w:rsid w:val="002552B8"/>
    <w:rsid w:val="002552BB"/>
    <w:rsid w:val="00255396"/>
    <w:rsid w:val="00255930"/>
    <w:rsid w:val="00255950"/>
    <w:rsid w:val="00255BE5"/>
    <w:rsid w:val="00255F9F"/>
    <w:rsid w:val="00256992"/>
    <w:rsid w:val="00256ACA"/>
    <w:rsid w:val="00257EC3"/>
    <w:rsid w:val="00257F72"/>
    <w:rsid w:val="00260F14"/>
    <w:rsid w:val="002615FF"/>
    <w:rsid w:val="00261AA5"/>
    <w:rsid w:val="00261F36"/>
    <w:rsid w:val="002624F4"/>
    <w:rsid w:val="00262548"/>
    <w:rsid w:val="00262932"/>
    <w:rsid w:val="00262B40"/>
    <w:rsid w:val="00264691"/>
    <w:rsid w:val="002647BF"/>
    <w:rsid w:val="00264C93"/>
    <w:rsid w:val="0026521A"/>
    <w:rsid w:val="00265907"/>
    <w:rsid w:val="00265990"/>
    <w:rsid w:val="00265E70"/>
    <w:rsid w:val="00266242"/>
    <w:rsid w:val="002664FA"/>
    <w:rsid w:val="002700F6"/>
    <w:rsid w:val="00270256"/>
    <w:rsid w:val="00270C09"/>
    <w:rsid w:val="00271776"/>
    <w:rsid w:val="002726B6"/>
    <w:rsid w:val="00273601"/>
    <w:rsid w:val="00273F2D"/>
    <w:rsid w:val="002741F0"/>
    <w:rsid w:val="00274398"/>
    <w:rsid w:val="00274498"/>
    <w:rsid w:val="0027493F"/>
    <w:rsid w:val="00275934"/>
    <w:rsid w:val="00276839"/>
    <w:rsid w:val="00276CDF"/>
    <w:rsid w:val="002775EC"/>
    <w:rsid w:val="00277B78"/>
    <w:rsid w:val="00277C6E"/>
    <w:rsid w:val="00277E3C"/>
    <w:rsid w:val="00280319"/>
    <w:rsid w:val="0028067D"/>
    <w:rsid w:val="00280D74"/>
    <w:rsid w:val="002814E8"/>
    <w:rsid w:val="0028240A"/>
    <w:rsid w:val="00282544"/>
    <w:rsid w:val="002827FA"/>
    <w:rsid w:val="0028335E"/>
    <w:rsid w:val="00283863"/>
    <w:rsid w:val="00284C3B"/>
    <w:rsid w:val="00285158"/>
    <w:rsid w:val="00285A97"/>
    <w:rsid w:val="00286873"/>
    <w:rsid w:val="00286B1B"/>
    <w:rsid w:val="00286E12"/>
    <w:rsid w:val="0028758B"/>
    <w:rsid w:val="002879DD"/>
    <w:rsid w:val="00290805"/>
    <w:rsid w:val="00290E6C"/>
    <w:rsid w:val="00292739"/>
    <w:rsid w:val="0029277B"/>
    <w:rsid w:val="0029435F"/>
    <w:rsid w:val="00294866"/>
    <w:rsid w:val="00294ABB"/>
    <w:rsid w:val="00295212"/>
    <w:rsid w:val="00295CDE"/>
    <w:rsid w:val="00296091"/>
    <w:rsid w:val="00297442"/>
    <w:rsid w:val="00297C48"/>
    <w:rsid w:val="00297FF8"/>
    <w:rsid w:val="002A06B1"/>
    <w:rsid w:val="002A0A45"/>
    <w:rsid w:val="002A0C52"/>
    <w:rsid w:val="002A0FCD"/>
    <w:rsid w:val="002A1516"/>
    <w:rsid w:val="002A1621"/>
    <w:rsid w:val="002A17B9"/>
    <w:rsid w:val="002A1BE5"/>
    <w:rsid w:val="002A32BD"/>
    <w:rsid w:val="002A335B"/>
    <w:rsid w:val="002A34CD"/>
    <w:rsid w:val="002A4A3D"/>
    <w:rsid w:val="002A54A4"/>
    <w:rsid w:val="002A5564"/>
    <w:rsid w:val="002A56CE"/>
    <w:rsid w:val="002A57E7"/>
    <w:rsid w:val="002A592E"/>
    <w:rsid w:val="002A5B62"/>
    <w:rsid w:val="002A5DF0"/>
    <w:rsid w:val="002A62E6"/>
    <w:rsid w:val="002A6701"/>
    <w:rsid w:val="002A6753"/>
    <w:rsid w:val="002A68BF"/>
    <w:rsid w:val="002A6A1A"/>
    <w:rsid w:val="002A78C5"/>
    <w:rsid w:val="002A7A87"/>
    <w:rsid w:val="002B0964"/>
    <w:rsid w:val="002B09FD"/>
    <w:rsid w:val="002B0A34"/>
    <w:rsid w:val="002B0EDE"/>
    <w:rsid w:val="002B0FE3"/>
    <w:rsid w:val="002B1193"/>
    <w:rsid w:val="002B1634"/>
    <w:rsid w:val="002B1869"/>
    <w:rsid w:val="002B1C6F"/>
    <w:rsid w:val="002B2749"/>
    <w:rsid w:val="002B393B"/>
    <w:rsid w:val="002B410A"/>
    <w:rsid w:val="002B41B0"/>
    <w:rsid w:val="002B456F"/>
    <w:rsid w:val="002B4A97"/>
    <w:rsid w:val="002B5089"/>
    <w:rsid w:val="002B522F"/>
    <w:rsid w:val="002B5705"/>
    <w:rsid w:val="002B5BBF"/>
    <w:rsid w:val="002B5C60"/>
    <w:rsid w:val="002B6EC6"/>
    <w:rsid w:val="002B715B"/>
    <w:rsid w:val="002B76AD"/>
    <w:rsid w:val="002B76B6"/>
    <w:rsid w:val="002B7D75"/>
    <w:rsid w:val="002C0555"/>
    <w:rsid w:val="002C0B19"/>
    <w:rsid w:val="002C10D3"/>
    <w:rsid w:val="002C126C"/>
    <w:rsid w:val="002C12F0"/>
    <w:rsid w:val="002C13BB"/>
    <w:rsid w:val="002C1C2C"/>
    <w:rsid w:val="002C2BDE"/>
    <w:rsid w:val="002C39F6"/>
    <w:rsid w:val="002C3EAF"/>
    <w:rsid w:val="002C43D8"/>
    <w:rsid w:val="002C4BBE"/>
    <w:rsid w:val="002C5BD0"/>
    <w:rsid w:val="002C625A"/>
    <w:rsid w:val="002C6373"/>
    <w:rsid w:val="002C66BA"/>
    <w:rsid w:val="002C77E8"/>
    <w:rsid w:val="002C7DC2"/>
    <w:rsid w:val="002C7F77"/>
    <w:rsid w:val="002D0015"/>
    <w:rsid w:val="002D0384"/>
    <w:rsid w:val="002D0DE0"/>
    <w:rsid w:val="002D110C"/>
    <w:rsid w:val="002D161A"/>
    <w:rsid w:val="002D1939"/>
    <w:rsid w:val="002D1B1D"/>
    <w:rsid w:val="002D1E76"/>
    <w:rsid w:val="002D22AA"/>
    <w:rsid w:val="002D22AC"/>
    <w:rsid w:val="002D232B"/>
    <w:rsid w:val="002D2B48"/>
    <w:rsid w:val="002D2C21"/>
    <w:rsid w:val="002D2C9F"/>
    <w:rsid w:val="002D3883"/>
    <w:rsid w:val="002D495C"/>
    <w:rsid w:val="002D4D0F"/>
    <w:rsid w:val="002D5D15"/>
    <w:rsid w:val="002D5DA5"/>
    <w:rsid w:val="002D65A1"/>
    <w:rsid w:val="002D6633"/>
    <w:rsid w:val="002D691E"/>
    <w:rsid w:val="002D6C1D"/>
    <w:rsid w:val="002D7AB6"/>
    <w:rsid w:val="002D7E72"/>
    <w:rsid w:val="002D7FE7"/>
    <w:rsid w:val="002E069E"/>
    <w:rsid w:val="002E074B"/>
    <w:rsid w:val="002E0F00"/>
    <w:rsid w:val="002E1302"/>
    <w:rsid w:val="002E1571"/>
    <w:rsid w:val="002E1BEB"/>
    <w:rsid w:val="002E21E4"/>
    <w:rsid w:val="002E269B"/>
    <w:rsid w:val="002E343C"/>
    <w:rsid w:val="002E3A7C"/>
    <w:rsid w:val="002E4AAD"/>
    <w:rsid w:val="002E4DAA"/>
    <w:rsid w:val="002E504A"/>
    <w:rsid w:val="002E508C"/>
    <w:rsid w:val="002E57B2"/>
    <w:rsid w:val="002E5872"/>
    <w:rsid w:val="002E5D07"/>
    <w:rsid w:val="002E6324"/>
    <w:rsid w:val="002E6662"/>
    <w:rsid w:val="002E69BC"/>
    <w:rsid w:val="002E6D90"/>
    <w:rsid w:val="002E70D6"/>
    <w:rsid w:val="002E7215"/>
    <w:rsid w:val="002E7BDD"/>
    <w:rsid w:val="002E7EA7"/>
    <w:rsid w:val="002E7EE2"/>
    <w:rsid w:val="002F040C"/>
    <w:rsid w:val="002F051B"/>
    <w:rsid w:val="002F0654"/>
    <w:rsid w:val="002F093F"/>
    <w:rsid w:val="002F0D9F"/>
    <w:rsid w:val="002F13AF"/>
    <w:rsid w:val="002F1CF1"/>
    <w:rsid w:val="002F2D83"/>
    <w:rsid w:val="002F38CC"/>
    <w:rsid w:val="002F51BD"/>
    <w:rsid w:val="002F554C"/>
    <w:rsid w:val="002F5880"/>
    <w:rsid w:val="002F613F"/>
    <w:rsid w:val="002F6B0F"/>
    <w:rsid w:val="002F6CF5"/>
    <w:rsid w:val="002F6E6D"/>
    <w:rsid w:val="002F7017"/>
    <w:rsid w:val="002F7199"/>
    <w:rsid w:val="0030013D"/>
    <w:rsid w:val="00300241"/>
    <w:rsid w:val="003004EA"/>
    <w:rsid w:val="003009D0"/>
    <w:rsid w:val="003010E0"/>
    <w:rsid w:val="0030198C"/>
    <w:rsid w:val="00301EC3"/>
    <w:rsid w:val="00302BF7"/>
    <w:rsid w:val="0030347C"/>
    <w:rsid w:val="003042DC"/>
    <w:rsid w:val="003043E8"/>
    <w:rsid w:val="00304D1E"/>
    <w:rsid w:val="0030557A"/>
    <w:rsid w:val="00305604"/>
    <w:rsid w:val="00305E7A"/>
    <w:rsid w:val="00306749"/>
    <w:rsid w:val="00306D81"/>
    <w:rsid w:val="00307BD3"/>
    <w:rsid w:val="00307C2D"/>
    <w:rsid w:val="00310875"/>
    <w:rsid w:val="00310B0A"/>
    <w:rsid w:val="00311D93"/>
    <w:rsid w:val="00311ED0"/>
    <w:rsid w:val="00311F2A"/>
    <w:rsid w:val="00312145"/>
    <w:rsid w:val="00312216"/>
    <w:rsid w:val="00312966"/>
    <w:rsid w:val="003139B3"/>
    <w:rsid w:val="003157CC"/>
    <w:rsid w:val="00315B33"/>
    <w:rsid w:val="00316783"/>
    <w:rsid w:val="0031685C"/>
    <w:rsid w:val="00316B3B"/>
    <w:rsid w:val="00317598"/>
    <w:rsid w:val="00317A2F"/>
    <w:rsid w:val="00317A45"/>
    <w:rsid w:val="003204E8"/>
    <w:rsid w:val="00321824"/>
    <w:rsid w:val="0032230E"/>
    <w:rsid w:val="0032237C"/>
    <w:rsid w:val="0032265B"/>
    <w:rsid w:val="00322C61"/>
    <w:rsid w:val="00322FB9"/>
    <w:rsid w:val="00323DEC"/>
    <w:rsid w:val="00324208"/>
    <w:rsid w:val="00324344"/>
    <w:rsid w:val="003247C2"/>
    <w:rsid w:val="00324B02"/>
    <w:rsid w:val="0032595F"/>
    <w:rsid w:val="00325CE2"/>
    <w:rsid w:val="00325E77"/>
    <w:rsid w:val="00326369"/>
    <w:rsid w:val="00326B32"/>
    <w:rsid w:val="00327586"/>
    <w:rsid w:val="0032773A"/>
    <w:rsid w:val="00327863"/>
    <w:rsid w:val="0033020B"/>
    <w:rsid w:val="003304A3"/>
    <w:rsid w:val="003306C8"/>
    <w:rsid w:val="003308F8"/>
    <w:rsid w:val="00330F41"/>
    <w:rsid w:val="003310AD"/>
    <w:rsid w:val="0033126E"/>
    <w:rsid w:val="00331399"/>
    <w:rsid w:val="00331531"/>
    <w:rsid w:val="0033168F"/>
    <w:rsid w:val="003316A4"/>
    <w:rsid w:val="00331D57"/>
    <w:rsid w:val="0033249F"/>
    <w:rsid w:val="00332567"/>
    <w:rsid w:val="003335AB"/>
    <w:rsid w:val="00333819"/>
    <w:rsid w:val="003339A0"/>
    <w:rsid w:val="00333ABF"/>
    <w:rsid w:val="00334718"/>
    <w:rsid w:val="003348ED"/>
    <w:rsid w:val="00335AA9"/>
    <w:rsid w:val="00336418"/>
    <w:rsid w:val="003364C7"/>
    <w:rsid w:val="00336E0F"/>
    <w:rsid w:val="0033783D"/>
    <w:rsid w:val="00337EA2"/>
    <w:rsid w:val="0034019F"/>
    <w:rsid w:val="0034038F"/>
    <w:rsid w:val="00340C34"/>
    <w:rsid w:val="00340D41"/>
    <w:rsid w:val="003413F0"/>
    <w:rsid w:val="00342A01"/>
    <w:rsid w:val="00342B64"/>
    <w:rsid w:val="0034333A"/>
    <w:rsid w:val="00343909"/>
    <w:rsid w:val="00343915"/>
    <w:rsid w:val="003439FE"/>
    <w:rsid w:val="00343B50"/>
    <w:rsid w:val="003443BC"/>
    <w:rsid w:val="00344677"/>
    <w:rsid w:val="0034485F"/>
    <w:rsid w:val="0034488D"/>
    <w:rsid w:val="00345186"/>
    <w:rsid w:val="00345636"/>
    <w:rsid w:val="0034573C"/>
    <w:rsid w:val="003458A7"/>
    <w:rsid w:val="0034600E"/>
    <w:rsid w:val="003463D7"/>
    <w:rsid w:val="003464B5"/>
    <w:rsid w:val="003473A0"/>
    <w:rsid w:val="003474F2"/>
    <w:rsid w:val="0034794E"/>
    <w:rsid w:val="00351D99"/>
    <w:rsid w:val="003527BB"/>
    <w:rsid w:val="00352A5A"/>
    <w:rsid w:val="003532DC"/>
    <w:rsid w:val="00353680"/>
    <w:rsid w:val="00353B4A"/>
    <w:rsid w:val="0035492C"/>
    <w:rsid w:val="00354D7E"/>
    <w:rsid w:val="0035550E"/>
    <w:rsid w:val="003557C2"/>
    <w:rsid w:val="003564DC"/>
    <w:rsid w:val="00356E8F"/>
    <w:rsid w:val="00357CA3"/>
    <w:rsid w:val="00357FDE"/>
    <w:rsid w:val="0036075F"/>
    <w:rsid w:val="00361846"/>
    <w:rsid w:val="00361E35"/>
    <w:rsid w:val="00361F01"/>
    <w:rsid w:val="00362159"/>
    <w:rsid w:val="003623BB"/>
    <w:rsid w:val="0036271A"/>
    <w:rsid w:val="003627DF"/>
    <w:rsid w:val="003634C2"/>
    <w:rsid w:val="0036384F"/>
    <w:rsid w:val="00363887"/>
    <w:rsid w:val="00363D7A"/>
    <w:rsid w:val="00364D49"/>
    <w:rsid w:val="0036536E"/>
    <w:rsid w:val="00365492"/>
    <w:rsid w:val="00365919"/>
    <w:rsid w:val="00365DE4"/>
    <w:rsid w:val="003678AA"/>
    <w:rsid w:val="003703F4"/>
    <w:rsid w:val="00371B12"/>
    <w:rsid w:val="00371D53"/>
    <w:rsid w:val="00372516"/>
    <w:rsid w:val="0037254F"/>
    <w:rsid w:val="003732BB"/>
    <w:rsid w:val="00374190"/>
    <w:rsid w:val="003744C6"/>
    <w:rsid w:val="00374D8F"/>
    <w:rsid w:val="00374E65"/>
    <w:rsid w:val="003750D9"/>
    <w:rsid w:val="00375225"/>
    <w:rsid w:val="003757F1"/>
    <w:rsid w:val="00376E15"/>
    <w:rsid w:val="00376E18"/>
    <w:rsid w:val="0037712D"/>
    <w:rsid w:val="00377159"/>
    <w:rsid w:val="0037760C"/>
    <w:rsid w:val="003778E3"/>
    <w:rsid w:val="00380655"/>
    <w:rsid w:val="0038174E"/>
    <w:rsid w:val="00381C7A"/>
    <w:rsid w:val="003826A0"/>
    <w:rsid w:val="003827C7"/>
    <w:rsid w:val="0038296B"/>
    <w:rsid w:val="003832E9"/>
    <w:rsid w:val="003839D6"/>
    <w:rsid w:val="00383B08"/>
    <w:rsid w:val="00383B97"/>
    <w:rsid w:val="00383EDC"/>
    <w:rsid w:val="003840F7"/>
    <w:rsid w:val="00384259"/>
    <w:rsid w:val="00384985"/>
    <w:rsid w:val="00384A24"/>
    <w:rsid w:val="00384AE3"/>
    <w:rsid w:val="00384C16"/>
    <w:rsid w:val="003856CB"/>
    <w:rsid w:val="00385A51"/>
    <w:rsid w:val="00385BDC"/>
    <w:rsid w:val="0038769F"/>
    <w:rsid w:val="00387789"/>
    <w:rsid w:val="00390668"/>
    <w:rsid w:val="00390F0A"/>
    <w:rsid w:val="003914E9"/>
    <w:rsid w:val="00392405"/>
    <w:rsid w:val="0039308B"/>
    <w:rsid w:val="003931FC"/>
    <w:rsid w:val="003938AD"/>
    <w:rsid w:val="0039425D"/>
    <w:rsid w:val="003946B9"/>
    <w:rsid w:val="0039485A"/>
    <w:rsid w:val="0039489C"/>
    <w:rsid w:val="00394D48"/>
    <w:rsid w:val="003971F9"/>
    <w:rsid w:val="003A03B5"/>
    <w:rsid w:val="003A0602"/>
    <w:rsid w:val="003A08B7"/>
    <w:rsid w:val="003A119A"/>
    <w:rsid w:val="003A17DE"/>
    <w:rsid w:val="003A1917"/>
    <w:rsid w:val="003A205A"/>
    <w:rsid w:val="003A208D"/>
    <w:rsid w:val="003A2595"/>
    <w:rsid w:val="003A2F86"/>
    <w:rsid w:val="003A3347"/>
    <w:rsid w:val="003A3361"/>
    <w:rsid w:val="003A3BEA"/>
    <w:rsid w:val="003A3F3F"/>
    <w:rsid w:val="003A4C74"/>
    <w:rsid w:val="003A4CEB"/>
    <w:rsid w:val="003A4DC6"/>
    <w:rsid w:val="003A4F20"/>
    <w:rsid w:val="003A5D2A"/>
    <w:rsid w:val="003A5ECB"/>
    <w:rsid w:val="003A61D0"/>
    <w:rsid w:val="003A650E"/>
    <w:rsid w:val="003A68A8"/>
    <w:rsid w:val="003A6A83"/>
    <w:rsid w:val="003A6E3B"/>
    <w:rsid w:val="003A7150"/>
    <w:rsid w:val="003A7151"/>
    <w:rsid w:val="003A7D0F"/>
    <w:rsid w:val="003A7FFD"/>
    <w:rsid w:val="003B0726"/>
    <w:rsid w:val="003B1308"/>
    <w:rsid w:val="003B185E"/>
    <w:rsid w:val="003B1ED9"/>
    <w:rsid w:val="003B2D6E"/>
    <w:rsid w:val="003B392E"/>
    <w:rsid w:val="003B3B77"/>
    <w:rsid w:val="003B4368"/>
    <w:rsid w:val="003B4DDE"/>
    <w:rsid w:val="003B50FD"/>
    <w:rsid w:val="003B5204"/>
    <w:rsid w:val="003B69E0"/>
    <w:rsid w:val="003B6C33"/>
    <w:rsid w:val="003B6CAB"/>
    <w:rsid w:val="003B7D7E"/>
    <w:rsid w:val="003B7E5F"/>
    <w:rsid w:val="003C0867"/>
    <w:rsid w:val="003C1873"/>
    <w:rsid w:val="003C1C02"/>
    <w:rsid w:val="003C3277"/>
    <w:rsid w:val="003C3534"/>
    <w:rsid w:val="003C483A"/>
    <w:rsid w:val="003C4DAE"/>
    <w:rsid w:val="003C5F70"/>
    <w:rsid w:val="003C68CF"/>
    <w:rsid w:val="003C6F51"/>
    <w:rsid w:val="003C754E"/>
    <w:rsid w:val="003C7670"/>
    <w:rsid w:val="003C7715"/>
    <w:rsid w:val="003C7A83"/>
    <w:rsid w:val="003C7B23"/>
    <w:rsid w:val="003D0438"/>
    <w:rsid w:val="003D0E16"/>
    <w:rsid w:val="003D11F0"/>
    <w:rsid w:val="003D1E10"/>
    <w:rsid w:val="003D1EFB"/>
    <w:rsid w:val="003D27B8"/>
    <w:rsid w:val="003D2C75"/>
    <w:rsid w:val="003D2E7C"/>
    <w:rsid w:val="003D366D"/>
    <w:rsid w:val="003D3910"/>
    <w:rsid w:val="003D3B1B"/>
    <w:rsid w:val="003D5633"/>
    <w:rsid w:val="003D5671"/>
    <w:rsid w:val="003D5E83"/>
    <w:rsid w:val="003D7640"/>
    <w:rsid w:val="003D7854"/>
    <w:rsid w:val="003E03F5"/>
    <w:rsid w:val="003E07BC"/>
    <w:rsid w:val="003E0C79"/>
    <w:rsid w:val="003E11F8"/>
    <w:rsid w:val="003E1752"/>
    <w:rsid w:val="003E236C"/>
    <w:rsid w:val="003E249A"/>
    <w:rsid w:val="003E2645"/>
    <w:rsid w:val="003E367E"/>
    <w:rsid w:val="003E3772"/>
    <w:rsid w:val="003E480C"/>
    <w:rsid w:val="003E4A87"/>
    <w:rsid w:val="003E4B94"/>
    <w:rsid w:val="003E4BEE"/>
    <w:rsid w:val="003E5630"/>
    <w:rsid w:val="003E5A47"/>
    <w:rsid w:val="003E631D"/>
    <w:rsid w:val="003E6396"/>
    <w:rsid w:val="003E651C"/>
    <w:rsid w:val="003E66EE"/>
    <w:rsid w:val="003E67CB"/>
    <w:rsid w:val="003E6FF0"/>
    <w:rsid w:val="003E77D2"/>
    <w:rsid w:val="003E7FDC"/>
    <w:rsid w:val="003F000F"/>
    <w:rsid w:val="003F045B"/>
    <w:rsid w:val="003F0EC6"/>
    <w:rsid w:val="003F1259"/>
    <w:rsid w:val="003F1552"/>
    <w:rsid w:val="003F1B31"/>
    <w:rsid w:val="003F2089"/>
    <w:rsid w:val="003F2167"/>
    <w:rsid w:val="003F2A1F"/>
    <w:rsid w:val="003F2A39"/>
    <w:rsid w:val="003F2FF9"/>
    <w:rsid w:val="003F3411"/>
    <w:rsid w:val="003F421F"/>
    <w:rsid w:val="003F4364"/>
    <w:rsid w:val="003F46E1"/>
    <w:rsid w:val="003F5083"/>
    <w:rsid w:val="003F5FFD"/>
    <w:rsid w:val="003F6C8A"/>
    <w:rsid w:val="003F6D62"/>
    <w:rsid w:val="003F6F41"/>
    <w:rsid w:val="003F7125"/>
    <w:rsid w:val="003F7141"/>
    <w:rsid w:val="003F723A"/>
    <w:rsid w:val="003F79A1"/>
    <w:rsid w:val="004004AB"/>
    <w:rsid w:val="004007EF"/>
    <w:rsid w:val="0040162D"/>
    <w:rsid w:val="00401CB2"/>
    <w:rsid w:val="00402C49"/>
    <w:rsid w:val="00403A65"/>
    <w:rsid w:val="00403C83"/>
    <w:rsid w:val="00404010"/>
    <w:rsid w:val="00405A85"/>
    <w:rsid w:val="00405CA8"/>
    <w:rsid w:val="00405DD3"/>
    <w:rsid w:val="00406BDE"/>
    <w:rsid w:val="004106DF"/>
    <w:rsid w:val="00411958"/>
    <w:rsid w:val="00412132"/>
    <w:rsid w:val="00412378"/>
    <w:rsid w:val="0041253D"/>
    <w:rsid w:val="004126AE"/>
    <w:rsid w:val="00413088"/>
    <w:rsid w:val="00413CD5"/>
    <w:rsid w:val="0041454E"/>
    <w:rsid w:val="004145F9"/>
    <w:rsid w:val="00414EE4"/>
    <w:rsid w:val="00415362"/>
    <w:rsid w:val="00415C7A"/>
    <w:rsid w:val="00415F4A"/>
    <w:rsid w:val="0041622B"/>
    <w:rsid w:val="0041689F"/>
    <w:rsid w:val="004168A2"/>
    <w:rsid w:val="00416FAC"/>
    <w:rsid w:val="004170A3"/>
    <w:rsid w:val="00417188"/>
    <w:rsid w:val="00417671"/>
    <w:rsid w:val="00417B33"/>
    <w:rsid w:val="00417D28"/>
    <w:rsid w:val="0042050B"/>
    <w:rsid w:val="004205E8"/>
    <w:rsid w:val="00420FCF"/>
    <w:rsid w:val="00421491"/>
    <w:rsid w:val="0042181A"/>
    <w:rsid w:val="00422A92"/>
    <w:rsid w:val="00423356"/>
    <w:rsid w:val="00423679"/>
    <w:rsid w:val="004238F3"/>
    <w:rsid w:val="004240BD"/>
    <w:rsid w:val="00424206"/>
    <w:rsid w:val="004248AD"/>
    <w:rsid w:val="0042496E"/>
    <w:rsid w:val="004253F7"/>
    <w:rsid w:val="004256A5"/>
    <w:rsid w:val="00425FF8"/>
    <w:rsid w:val="004262D2"/>
    <w:rsid w:val="00426310"/>
    <w:rsid w:val="004267BF"/>
    <w:rsid w:val="00427468"/>
    <w:rsid w:val="004303A5"/>
    <w:rsid w:val="0043094F"/>
    <w:rsid w:val="0043167C"/>
    <w:rsid w:val="00431680"/>
    <w:rsid w:val="00431942"/>
    <w:rsid w:val="004326B6"/>
    <w:rsid w:val="004328EF"/>
    <w:rsid w:val="00432B79"/>
    <w:rsid w:val="00432F98"/>
    <w:rsid w:val="00433081"/>
    <w:rsid w:val="00433518"/>
    <w:rsid w:val="00433647"/>
    <w:rsid w:val="00433A86"/>
    <w:rsid w:val="00433C71"/>
    <w:rsid w:val="00434900"/>
    <w:rsid w:val="00435DD5"/>
    <w:rsid w:val="00435FE1"/>
    <w:rsid w:val="00436765"/>
    <w:rsid w:val="0043690D"/>
    <w:rsid w:val="00436C4E"/>
    <w:rsid w:val="004378C5"/>
    <w:rsid w:val="00437B60"/>
    <w:rsid w:val="00437F08"/>
    <w:rsid w:val="00440562"/>
    <w:rsid w:val="004406EE"/>
    <w:rsid w:val="004408FF"/>
    <w:rsid w:val="00440903"/>
    <w:rsid w:val="00440DEB"/>
    <w:rsid w:val="004423F2"/>
    <w:rsid w:val="00442955"/>
    <w:rsid w:val="00443599"/>
    <w:rsid w:val="00443608"/>
    <w:rsid w:val="00443B31"/>
    <w:rsid w:val="00443F73"/>
    <w:rsid w:val="00443F8B"/>
    <w:rsid w:val="004447B7"/>
    <w:rsid w:val="00445083"/>
    <w:rsid w:val="00445D13"/>
    <w:rsid w:val="00445DA2"/>
    <w:rsid w:val="00446774"/>
    <w:rsid w:val="00447CA0"/>
    <w:rsid w:val="00450064"/>
    <w:rsid w:val="00450C8F"/>
    <w:rsid w:val="004511E5"/>
    <w:rsid w:val="00451801"/>
    <w:rsid w:val="00451F0E"/>
    <w:rsid w:val="004523EF"/>
    <w:rsid w:val="00452F2E"/>
    <w:rsid w:val="0045393E"/>
    <w:rsid w:val="004539B9"/>
    <w:rsid w:val="004541D8"/>
    <w:rsid w:val="00454570"/>
    <w:rsid w:val="004548DF"/>
    <w:rsid w:val="00455485"/>
    <w:rsid w:val="00455E99"/>
    <w:rsid w:val="00456E18"/>
    <w:rsid w:val="00457250"/>
    <w:rsid w:val="00457F7D"/>
    <w:rsid w:val="0046049C"/>
    <w:rsid w:val="00460736"/>
    <w:rsid w:val="004613AF"/>
    <w:rsid w:val="004615F8"/>
    <w:rsid w:val="00462B4E"/>
    <w:rsid w:val="004633D5"/>
    <w:rsid w:val="00463600"/>
    <w:rsid w:val="004638F5"/>
    <w:rsid w:val="004639FF"/>
    <w:rsid w:val="0046448A"/>
    <w:rsid w:val="00464606"/>
    <w:rsid w:val="00464632"/>
    <w:rsid w:val="004648B2"/>
    <w:rsid w:val="00464A56"/>
    <w:rsid w:val="00464DCC"/>
    <w:rsid w:val="004653DF"/>
    <w:rsid w:val="004671A9"/>
    <w:rsid w:val="004700B9"/>
    <w:rsid w:val="004707E6"/>
    <w:rsid w:val="00470955"/>
    <w:rsid w:val="0047141B"/>
    <w:rsid w:val="00471DFD"/>
    <w:rsid w:val="004720B1"/>
    <w:rsid w:val="0047226D"/>
    <w:rsid w:val="00472E8E"/>
    <w:rsid w:val="0047340C"/>
    <w:rsid w:val="00473E39"/>
    <w:rsid w:val="00474161"/>
    <w:rsid w:val="004742E0"/>
    <w:rsid w:val="00474950"/>
    <w:rsid w:val="0047509F"/>
    <w:rsid w:val="00475305"/>
    <w:rsid w:val="0047549F"/>
    <w:rsid w:val="004754E9"/>
    <w:rsid w:val="00475AEC"/>
    <w:rsid w:val="00475D6B"/>
    <w:rsid w:val="00475DE9"/>
    <w:rsid w:val="00476040"/>
    <w:rsid w:val="00476E17"/>
    <w:rsid w:val="00477261"/>
    <w:rsid w:val="004773FE"/>
    <w:rsid w:val="00477869"/>
    <w:rsid w:val="00477CC1"/>
    <w:rsid w:val="00480E14"/>
    <w:rsid w:val="00480F7F"/>
    <w:rsid w:val="004812C8"/>
    <w:rsid w:val="00481459"/>
    <w:rsid w:val="004814D8"/>
    <w:rsid w:val="004819A3"/>
    <w:rsid w:val="00481BA3"/>
    <w:rsid w:val="0048240E"/>
    <w:rsid w:val="00482537"/>
    <w:rsid w:val="004827F9"/>
    <w:rsid w:val="00482B07"/>
    <w:rsid w:val="00482CDA"/>
    <w:rsid w:val="004831D0"/>
    <w:rsid w:val="0048327C"/>
    <w:rsid w:val="004832FF"/>
    <w:rsid w:val="004836D7"/>
    <w:rsid w:val="00483BC4"/>
    <w:rsid w:val="00483F01"/>
    <w:rsid w:val="00484DCC"/>
    <w:rsid w:val="00485005"/>
    <w:rsid w:val="004851AA"/>
    <w:rsid w:val="00486EB1"/>
    <w:rsid w:val="00487130"/>
    <w:rsid w:val="0048778A"/>
    <w:rsid w:val="00487802"/>
    <w:rsid w:val="00487CB9"/>
    <w:rsid w:val="0049115C"/>
    <w:rsid w:val="004912BC"/>
    <w:rsid w:val="00491C40"/>
    <w:rsid w:val="00491C66"/>
    <w:rsid w:val="004926F6"/>
    <w:rsid w:val="00492A20"/>
    <w:rsid w:val="004938C0"/>
    <w:rsid w:val="00493AE5"/>
    <w:rsid w:val="00493BB2"/>
    <w:rsid w:val="004941A8"/>
    <w:rsid w:val="004941B5"/>
    <w:rsid w:val="0049479D"/>
    <w:rsid w:val="00494850"/>
    <w:rsid w:val="00494B0A"/>
    <w:rsid w:val="00494D63"/>
    <w:rsid w:val="00495DCE"/>
    <w:rsid w:val="0049737D"/>
    <w:rsid w:val="0049784D"/>
    <w:rsid w:val="004A0830"/>
    <w:rsid w:val="004A0D44"/>
    <w:rsid w:val="004A0EC9"/>
    <w:rsid w:val="004A11E8"/>
    <w:rsid w:val="004A1214"/>
    <w:rsid w:val="004A1255"/>
    <w:rsid w:val="004A18E7"/>
    <w:rsid w:val="004A246D"/>
    <w:rsid w:val="004A3775"/>
    <w:rsid w:val="004A3B0D"/>
    <w:rsid w:val="004A3BD1"/>
    <w:rsid w:val="004A4045"/>
    <w:rsid w:val="004A4A6C"/>
    <w:rsid w:val="004A577A"/>
    <w:rsid w:val="004A5798"/>
    <w:rsid w:val="004A594B"/>
    <w:rsid w:val="004A5CBB"/>
    <w:rsid w:val="004A774C"/>
    <w:rsid w:val="004A7891"/>
    <w:rsid w:val="004A7F0A"/>
    <w:rsid w:val="004B0173"/>
    <w:rsid w:val="004B0431"/>
    <w:rsid w:val="004B0E00"/>
    <w:rsid w:val="004B19E0"/>
    <w:rsid w:val="004B2AD3"/>
    <w:rsid w:val="004B2C67"/>
    <w:rsid w:val="004B348C"/>
    <w:rsid w:val="004B3DCD"/>
    <w:rsid w:val="004B53BF"/>
    <w:rsid w:val="004B5617"/>
    <w:rsid w:val="004B5BB4"/>
    <w:rsid w:val="004B63AC"/>
    <w:rsid w:val="004B6B28"/>
    <w:rsid w:val="004B7322"/>
    <w:rsid w:val="004B7B1F"/>
    <w:rsid w:val="004B7BD8"/>
    <w:rsid w:val="004B7C79"/>
    <w:rsid w:val="004B7E77"/>
    <w:rsid w:val="004C0AED"/>
    <w:rsid w:val="004C17F6"/>
    <w:rsid w:val="004C1D36"/>
    <w:rsid w:val="004C21C0"/>
    <w:rsid w:val="004C26E7"/>
    <w:rsid w:val="004C3123"/>
    <w:rsid w:val="004C34C6"/>
    <w:rsid w:val="004C42F6"/>
    <w:rsid w:val="004C4AAA"/>
    <w:rsid w:val="004C59A3"/>
    <w:rsid w:val="004C5CBB"/>
    <w:rsid w:val="004C661A"/>
    <w:rsid w:val="004C6E6F"/>
    <w:rsid w:val="004C76CB"/>
    <w:rsid w:val="004D0B69"/>
    <w:rsid w:val="004D0D25"/>
    <w:rsid w:val="004D0F8A"/>
    <w:rsid w:val="004D11DC"/>
    <w:rsid w:val="004D136C"/>
    <w:rsid w:val="004D1F8F"/>
    <w:rsid w:val="004D2523"/>
    <w:rsid w:val="004D323C"/>
    <w:rsid w:val="004D3685"/>
    <w:rsid w:val="004D3B71"/>
    <w:rsid w:val="004D3E98"/>
    <w:rsid w:val="004D5A90"/>
    <w:rsid w:val="004D6850"/>
    <w:rsid w:val="004E00C2"/>
    <w:rsid w:val="004E075D"/>
    <w:rsid w:val="004E0979"/>
    <w:rsid w:val="004E1201"/>
    <w:rsid w:val="004E12B5"/>
    <w:rsid w:val="004E1BE3"/>
    <w:rsid w:val="004E242C"/>
    <w:rsid w:val="004E318F"/>
    <w:rsid w:val="004E31FA"/>
    <w:rsid w:val="004E4ABE"/>
    <w:rsid w:val="004E4C3E"/>
    <w:rsid w:val="004E4DB6"/>
    <w:rsid w:val="004E517B"/>
    <w:rsid w:val="004E59F5"/>
    <w:rsid w:val="004E5D51"/>
    <w:rsid w:val="004E6297"/>
    <w:rsid w:val="004E63BA"/>
    <w:rsid w:val="004E6DBE"/>
    <w:rsid w:val="004E77AF"/>
    <w:rsid w:val="004E7AD7"/>
    <w:rsid w:val="004E7D93"/>
    <w:rsid w:val="004F04A0"/>
    <w:rsid w:val="004F051C"/>
    <w:rsid w:val="004F0DEB"/>
    <w:rsid w:val="004F10CE"/>
    <w:rsid w:val="004F1D0E"/>
    <w:rsid w:val="004F271D"/>
    <w:rsid w:val="004F2B16"/>
    <w:rsid w:val="004F2B2F"/>
    <w:rsid w:val="004F2BF8"/>
    <w:rsid w:val="004F3304"/>
    <w:rsid w:val="004F3848"/>
    <w:rsid w:val="004F3AB1"/>
    <w:rsid w:val="004F3E0E"/>
    <w:rsid w:val="004F46F8"/>
    <w:rsid w:val="004F4E34"/>
    <w:rsid w:val="004F5270"/>
    <w:rsid w:val="004F680C"/>
    <w:rsid w:val="004F6953"/>
    <w:rsid w:val="004F6D74"/>
    <w:rsid w:val="004F7A0B"/>
    <w:rsid w:val="004F7BF5"/>
    <w:rsid w:val="004F7EC3"/>
    <w:rsid w:val="00500AD3"/>
    <w:rsid w:val="00500B3E"/>
    <w:rsid w:val="00500DA4"/>
    <w:rsid w:val="00500F0E"/>
    <w:rsid w:val="00501116"/>
    <w:rsid w:val="00501351"/>
    <w:rsid w:val="005014BC"/>
    <w:rsid w:val="00501A9A"/>
    <w:rsid w:val="00501DC5"/>
    <w:rsid w:val="005028BF"/>
    <w:rsid w:val="005028EE"/>
    <w:rsid w:val="00503BFD"/>
    <w:rsid w:val="00503EEC"/>
    <w:rsid w:val="00504551"/>
    <w:rsid w:val="005048C6"/>
    <w:rsid w:val="00504EDE"/>
    <w:rsid w:val="00505265"/>
    <w:rsid w:val="00505B11"/>
    <w:rsid w:val="00506426"/>
    <w:rsid w:val="00506658"/>
    <w:rsid w:val="0050689D"/>
    <w:rsid w:val="00506BE4"/>
    <w:rsid w:val="00506CAE"/>
    <w:rsid w:val="00506D61"/>
    <w:rsid w:val="005070A9"/>
    <w:rsid w:val="00507E36"/>
    <w:rsid w:val="00510C1F"/>
    <w:rsid w:val="0051114C"/>
    <w:rsid w:val="005114BC"/>
    <w:rsid w:val="005116E8"/>
    <w:rsid w:val="00512340"/>
    <w:rsid w:val="00512E78"/>
    <w:rsid w:val="005135F2"/>
    <w:rsid w:val="00513B53"/>
    <w:rsid w:val="005141C2"/>
    <w:rsid w:val="005142E2"/>
    <w:rsid w:val="00514995"/>
    <w:rsid w:val="00514CED"/>
    <w:rsid w:val="0051534D"/>
    <w:rsid w:val="00515DC5"/>
    <w:rsid w:val="0051682A"/>
    <w:rsid w:val="00516A8B"/>
    <w:rsid w:val="00516A9F"/>
    <w:rsid w:val="00516CBD"/>
    <w:rsid w:val="005171BF"/>
    <w:rsid w:val="005171C3"/>
    <w:rsid w:val="0051774E"/>
    <w:rsid w:val="00517946"/>
    <w:rsid w:val="00517EB4"/>
    <w:rsid w:val="00517F0C"/>
    <w:rsid w:val="00520834"/>
    <w:rsid w:val="00521172"/>
    <w:rsid w:val="005212D7"/>
    <w:rsid w:val="00521804"/>
    <w:rsid w:val="00521EAD"/>
    <w:rsid w:val="00521F07"/>
    <w:rsid w:val="00522F44"/>
    <w:rsid w:val="00522F4A"/>
    <w:rsid w:val="0052379D"/>
    <w:rsid w:val="00523B2F"/>
    <w:rsid w:val="00523C8B"/>
    <w:rsid w:val="00523E4F"/>
    <w:rsid w:val="005241CC"/>
    <w:rsid w:val="00524370"/>
    <w:rsid w:val="005243C5"/>
    <w:rsid w:val="005250B5"/>
    <w:rsid w:val="0052518D"/>
    <w:rsid w:val="0052553B"/>
    <w:rsid w:val="00525E29"/>
    <w:rsid w:val="00525E3B"/>
    <w:rsid w:val="0052600D"/>
    <w:rsid w:val="00527C73"/>
    <w:rsid w:val="00530DDC"/>
    <w:rsid w:val="005311BC"/>
    <w:rsid w:val="00531645"/>
    <w:rsid w:val="00531958"/>
    <w:rsid w:val="00531A00"/>
    <w:rsid w:val="0053214A"/>
    <w:rsid w:val="00532E2C"/>
    <w:rsid w:val="00533624"/>
    <w:rsid w:val="005337D5"/>
    <w:rsid w:val="00533FBC"/>
    <w:rsid w:val="00534370"/>
    <w:rsid w:val="00534601"/>
    <w:rsid w:val="00534D33"/>
    <w:rsid w:val="005353B8"/>
    <w:rsid w:val="005354BE"/>
    <w:rsid w:val="005366EB"/>
    <w:rsid w:val="00536997"/>
    <w:rsid w:val="00536ABB"/>
    <w:rsid w:val="005402AC"/>
    <w:rsid w:val="00540690"/>
    <w:rsid w:val="005407E3"/>
    <w:rsid w:val="005414E3"/>
    <w:rsid w:val="00541A68"/>
    <w:rsid w:val="00541FDE"/>
    <w:rsid w:val="00542D63"/>
    <w:rsid w:val="005433A3"/>
    <w:rsid w:val="005434DC"/>
    <w:rsid w:val="00543C29"/>
    <w:rsid w:val="005448E5"/>
    <w:rsid w:val="00544F31"/>
    <w:rsid w:val="00544F9B"/>
    <w:rsid w:val="00545227"/>
    <w:rsid w:val="00546B42"/>
    <w:rsid w:val="005472A3"/>
    <w:rsid w:val="005473DF"/>
    <w:rsid w:val="00547945"/>
    <w:rsid w:val="00547F0A"/>
    <w:rsid w:val="00550F14"/>
    <w:rsid w:val="005515E9"/>
    <w:rsid w:val="005516F9"/>
    <w:rsid w:val="00551FC3"/>
    <w:rsid w:val="005522ED"/>
    <w:rsid w:val="00552D87"/>
    <w:rsid w:val="00552E4A"/>
    <w:rsid w:val="005533F5"/>
    <w:rsid w:val="005544E4"/>
    <w:rsid w:val="00554836"/>
    <w:rsid w:val="00554913"/>
    <w:rsid w:val="0055495B"/>
    <w:rsid w:val="00554DCF"/>
    <w:rsid w:val="00555844"/>
    <w:rsid w:val="00556015"/>
    <w:rsid w:val="00556105"/>
    <w:rsid w:val="0055631A"/>
    <w:rsid w:val="00556A39"/>
    <w:rsid w:val="00557EC3"/>
    <w:rsid w:val="005607F3"/>
    <w:rsid w:val="0056113B"/>
    <w:rsid w:val="00561156"/>
    <w:rsid w:val="00561B24"/>
    <w:rsid w:val="00561E42"/>
    <w:rsid w:val="00561E60"/>
    <w:rsid w:val="00562FFB"/>
    <w:rsid w:val="0056312E"/>
    <w:rsid w:val="005632EF"/>
    <w:rsid w:val="0056359C"/>
    <w:rsid w:val="00564372"/>
    <w:rsid w:val="00566582"/>
    <w:rsid w:val="005665DC"/>
    <w:rsid w:val="00566857"/>
    <w:rsid w:val="00566B7D"/>
    <w:rsid w:val="00566C23"/>
    <w:rsid w:val="00566E70"/>
    <w:rsid w:val="005674EA"/>
    <w:rsid w:val="0056769C"/>
    <w:rsid w:val="00570277"/>
    <w:rsid w:val="00570755"/>
    <w:rsid w:val="005708DC"/>
    <w:rsid w:val="00570FB2"/>
    <w:rsid w:val="005715F4"/>
    <w:rsid w:val="005716E6"/>
    <w:rsid w:val="00571DAE"/>
    <w:rsid w:val="00573003"/>
    <w:rsid w:val="00573517"/>
    <w:rsid w:val="00573EEF"/>
    <w:rsid w:val="00574278"/>
    <w:rsid w:val="005744D7"/>
    <w:rsid w:val="00574C1A"/>
    <w:rsid w:val="00574E83"/>
    <w:rsid w:val="005756A9"/>
    <w:rsid w:val="00575F32"/>
    <w:rsid w:val="00577009"/>
    <w:rsid w:val="00577BD3"/>
    <w:rsid w:val="00580B8C"/>
    <w:rsid w:val="00580C1C"/>
    <w:rsid w:val="005823FA"/>
    <w:rsid w:val="00582DE3"/>
    <w:rsid w:val="00583356"/>
    <w:rsid w:val="00583705"/>
    <w:rsid w:val="00583746"/>
    <w:rsid w:val="00583C05"/>
    <w:rsid w:val="00583F57"/>
    <w:rsid w:val="00585033"/>
    <w:rsid w:val="005850F3"/>
    <w:rsid w:val="005853A9"/>
    <w:rsid w:val="00585913"/>
    <w:rsid w:val="005859EB"/>
    <w:rsid w:val="00586DB0"/>
    <w:rsid w:val="00587583"/>
    <w:rsid w:val="005908C2"/>
    <w:rsid w:val="005909BB"/>
    <w:rsid w:val="00590AF0"/>
    <w:rsid w:val="00590E52"/>
    <w:rsid w:val="00591140"/>
    <w:rsid w:val="00591CD6"/>
    <w:rsid w:val="0059223D"/>
    <w:rsid w:val="00593831"/>
    <w:rsid w:val="00593A77"/>
    <w:rsid w:val="00593BAA"/>
    <w:rsid w:val="005951E7"/>
    <w:rsid w:val="00595498"/>
    <w:rsid w:val="005958C0"/>
    <w:rsid w:val="00596214"/>
    <w:rsid w:val="00596CC8"/>
    <w:rsid w:val="005975F8"/>
    <w:rsid w:val="00597836"/>
    <w:rsid w:val="00597A40"/>
    <w:rsid w:val="00597AF8"/>
    <w:rsid w:val="00597D9A"/>
    <w:rsid w:val="00597F5F"/>
    <w:rsid w:val="005A08ED"/>
    <w:rsid w:val="005A0E07"/>
    <w:rsid w:val="005A104C"/>
    <w:rsid w:val="005A1118"/>
    <w:rsid w:val="005A1591"/>
    <w:rsid w:val="005A16F5"/>
    <w:rsid w:val="005A2210"/>
    <w:rsid w:val="005A240A"/>
    <w:rsid w:val="005A248D"/>
    <w:rsid w:val="005A2947"/>
    <w:rsid w:val="005A2F03"/>
    <w:rsid w:val="005A378E"/>
    <w:rsid w:val="005A4113"/>
    <w:rsid w:val="005A48B0"/>
    <w:rsid w:val="005A49D3"/>
    <w:rsid w:val="005A5B83"/>
    <w:rsid w:val="005A612B"/>
    <w:rsid w:val="005A73A5"/>
    <w:rsid w:val="005A7F89"/>
    <w:rsid w:val="005B0549"/>
    <w:rsid w:val="005B1BA9"/>
    <w:rsid w:val="005B2706"/>
    <w:rsid w:val="005B2904"/>
    <w:rsid w:val="005B3525"/>
    <w:rsid w:val="005B4629"/>
    <w:rsid w:val="005B4EAD"/>
    <w:rsid w:val="005B5589"/>
    <w:rsid w:val="005B560D"/>
    <w:rsid w:val="005B5E1F"/>
    <w:rsid w:val="005B6453"/>
    <w:rsid w:val="005B64CD"/>
    <w:rsid w:val="005B6B2C"/>
    <w:rsid w:val="005B7074"/>
    <w:rsid w:val="005B7B10"/>
    <w:rsid w:val="005B7E6C"/>
    <w:rsid w:val="005C0289"/>
    <w:rsid w:val="005C091F"/>
    <w:rsid w:val="005C1AAF"/>
    <w:rsid w:val="005C23CC"/>
    <w:rsid w:val="005C2FD6"/>
    <w:rsid w:val="005C2FFB"/>
    <w:rsid w:val="005C412B"/>
    <w:rsid w:val="005C4442"/>
    <w:rsid w:val="005C49C2"/>
    <w:rsid w:val="005C4A33"/>
    <w:rsid w:val="005C51F8"/>
    <w:rsid w:val="005C55D2"/>
    <w:rsid w:val="005C59A1"/>
    <w:rsid w:val="005C59C1"/>
    <w:rsid w:val="005C5E6B"/>
    <w:rsid w:val="005C6431"/>
    <w:rsid w:val="005C67A7"/>
    <w:rsid w:val="005C773E"/>
    <w:rsid w:val="005C782F"/>
    <w:rsid w:val="005C795D"/>
    <w:rsid w:val="005C7B8A"/>
    <w:rsid w:val="005D0B76"/>
    <w:rsid w:val="005D1B4D"/>
    <w:rsid w:val="005D2F4B"/>
    <w:rsid w:val="005D3454"/>
    <w:rsid w:val="005D359C"/>
    <w:rsid w:val="005D35C2"/>
    <w:rsid w:val="005D3B27"/>
    <w:rsid w:val="005D3DBF"/>
    <w:rsid w:val="005D49E2"/>
    <w:rsid w:val="005D61A2"/>
    <w:rsid w:val="005D6FE7"/>
    <w:rsid w:val="005D7AD9"/>
    <w:rsid w:val="005E13ED"/>
    <w:rsid w:val="005E154E"/>
    <w:rsid w:val="005E2386"/>
    <w:rsid w:val="005E2833"/>
    <w:rsid w:val="005E2CE7"/>
    <w:rsid w:val="005E3017"/>
    <w:rsid w:val="005E3496"/>
    <w:rsid w:val="005E3F0A"/>
    <w:rsid w:val="005E4668"/>
    <w:rsid w:val="005E4E5F"/>
    <w:rsid w:val="005E5262"/>
    <w:rsid w:val="005E5523"/>
    <w:rsid w:val="005E5F3A"/>
    <w:rsid w:val="005E694B"/>
    <w:rsid w:val="005E6A9D"/>
    <w:rsid w:val="005E7956"/>
    <w:rsid w:val="005E7A50"/>
    <w:rsid w:val="005E7B62"/>
    <w:rsid w:val="005E7C0D"/>
    <w:rsid w:val="005E7DCC"/>
    <w:rsid w:val="005F002F"/>
    <w:rsid w:val="005F124A"/>
    <w:rsid w:val="005F143F"/>
    <w:rsid w:val="005F1478"/>
    <w:rsid w:val="005F1848"/>
    <w:rsid w:val="005F19A2"/>
    <w:rsid w:val="005F22B2"/>
    <w:rsid w:val="005F3371"/>
    <w:rsid w:val="005F41DF"/>
    <w:rsid w:val="005F424A"/>
    <w:rsid w:val="005F459A"/>
    <w:rsid w:val="005F4EC2"/>
    <w:rsid w:val="005F5158"/>
    <w:rsid w:val="005F609A"/>
    <w:rsid w:val="005F6251"/>
    <w:rsid w:val="005F643A"/>
    <w:rsid w:val="005F6C06"/>
    <w:rsid w:val="005F7579"/>
    <w:rsid w:val="005F77EB"/>
    <w:rsid w:val="005F7C9E"/>
    <w:rsid w:val="005F7D93"/>
    <w:rsid w:val="006002D3"/>
    <w:rsid w:val="006002F7"/>
    <w:rsid w:val="00600367"/>
    <w:rsid w:val="006003EB"/>
    <w:rsid w:val="0060114A"/>
    <w:rsid w:val="006013D3"/>
    <w:rsid w:val="00601F78"/>
    <w:rsid w:val="006028E9"/>
    <w:rsid w:val="00602DE6"/>
    <w:rsid w:val="0060321A"/>
    <w:rsid w:val="00603680"/>
    <w:rsid w:val="006040DC"/>
    <w:rsid w:val="006040FA"/>
    <w:rsid w:val="00605399"/>
    <w:rsid w:val="00606091"/>
    <w:rsid w:val="00606C8F"/>
    <w:rsid w:val="006074F5"/>
    <w:rsid w:val="0061062D"/>
    <w:rsid w:val="0061112D"/>
    <w:rsid w:val="006113D0"/>
    <w:rsid w:val="006114E2"/>
    <w:rsid w:val="00611C1A"/>
    <w:rsid w:val="006125C8"/>
    <w:rsid w:val="006127E4"/>
    <w:rsid w:val="00612BC0"/>
    <w:rsid w:val="00612FD6"/>
    <w:rsid w:val="00613ADA"/>
    <w:rsid w:val="00614094"/>
    <w:rsid w:val="00614273"/>
    <w:rsid w:val="006143ED"/>
    <w:rsid w:val="006148AF"/>
    <w:rsid w:val="00614C3E"/>
    <w:rsid w:val="00615332"/>
    <w:rsid w:val="00615E1F"/>
    <w:rsid w:val="00616660"/>
    <w:rsid w:val="00617068"/>
    <w:rsid w:val="00617555"/>
    <w:rsid w:val="006178B4"/>
    <w:rsid w:val="00617DCA"/>
    <w:rsid w:val="00617E6D"/>
    <w:rsid w:val="00620022"/>
    <w:rsid w:val="0062028A"/>
    <w:rsid w:val="006203D1"/>
    <w:rsid w:val="00620545"/>
    <w:rsid w:val="006206D8"/>
    <w:rsid w:val="00620E50"/>
    <w:rsid w:val="00621ACA"/>
    <w:rsid w:val="00621DD1"/>
    <w:rsid w:val="006225CB"/>
    <w:rsid w:val="0062348F"/>
    <w:rsid w:val="006235D1"/>
    <w:rsid w:val="006236B4"/>
    <w:rsid w:val="00623D75"/>
    <w:rsid w:val="00624181"/>
    <w:rsid w:val="006246E5"/>
    <w:rsid w:val="00624926"/>
    <w:rsid w:val="00624A41"/>
    <w:rsid w:val="00624F6C"/>
    <w:rsid w:val="00625620"/>
    <w:rsid w:val="00625E95"/>
    <w:rsid w:val="00626677"/>
    <w:rsid w:val="006267C3"/>
    <w:rsid w:val="00626A32"/>
    <w:rsid w:val="00626FF9"/>
    <w:rsid w:val="006270DA"/>
    <w:rsid w:val="00627199"/>
    <w:rsid w:val="006271D9"/>
    <w:rsid w:val="0062750D"/>
    <w:rsid w:val="00627802"/>
    <w:rsid w:val="00627C37"/>
    <w:rsid w:val="00627EFF"/>
    <w:rsid w:val="00630393"/>
    <w:rsid w:val="006305E7"/>
    <w:rsid w:val="00630688"/>
    <w:rsid w:val="006308DC"/>
    <w:rsid w:val="00630BBF"/>
    <w:rsid w:val="006319A5"/>
    <w:rsid w:val="00631D8E"/>
    <w:rsid w:val="006340D1"/>
    <w:rsid w:val="0063410A"/>
    <w:rsid w:val="00634E0E"/>
    <w:rsid w:val="0063526A"/>
    <w:rsid w:val="0063542C"/>
    <w:rsid w:val="006354FC"/>
    <w:rsid w:val="0063792A"/>
    <w:rsid w:val="006401CB"/>
    <w:rsid w:val="006407B3"/>
    <w:rsid w:val="00641158"/>
    <w:rsid w:val="00641451"/>
    <w:rsid w:val="0064147B"/>
    <w:rsid w:val="00641B60"/>
    <w:rsid w:val="00642687"/>
    <w:rsid w:val="0064280F"/>
    <w:rsid w:val="00643020"/>
    <w:rsid w:val="00643533"/>
    <w:rsid w:val="00643D88"/>
    <w:rsid w:val="00643D89"/>
    <w:rsid w:val="00643D8A"/>
    <w:rsid w:val="00643F47"/>
    <w:rsid w:val="0064418C"/>
    <w:rsid w:val="006444FF"/>
    <w:rsid w:val="00644626"/>
    <w:rsid w:val="00644790"/>
    <w:rsid w:val="006449C2"/>
    <w:rsid w:val="00644CC0"/>
    <w:rsid w:val="0064506C"/>
    <w:rsid w:val="0064658E"/>
    <w:rsid w:val="00646775"/>
    <w:rsid w:val="00646CB0"/>
    <w:rsid w:val="00646F64"/>
    <w:rsid w:val="006471A9"/>
    <w:rsid w:val="00647419"/>
    <w:rsid w:val="00647808"/>
    <w:rsid w:val="00647EFD"/>
    <w:rsid w:val="00647F62"/>
    <w:rsid w:val="00650DEE"/>
    <w:rsid w:val="0065116C"/>
    <w:rsid w:val="006511C4"/>
    <w:rsid w:val="00651B0E"/>
    <w:rsid w:val="00651BC9"/>
    <w:rsid w:val="006523F8"/>
    <w:rsid w:val="006525FA"/>
    <w:rsid w:val="006530A3"/>
    <w:rsid w:val="0065399B"/>
    <w:rsid w:val="006539D9"/>
    <w:rsid w:val="006545BD"/>
    <w:rsid w:val="00654610"/>
    <w:rsid w:val="0065496A"/>
    <w:rsid w:val="00654AC1"/>
    <w:rsid w:val="00654EB3"/>
    <w:rsid w:val="006550B3"/>
    <w:rsid w:val="00655165"/>
    <w:rsid w:val="00655AED"/>
    <w:rsid w:val="0065600F"/>
    <w:rsid w:val="00656A89"/>
    <w:rsid w:val="0065747A"/>
    <w:rsid w:val="006578B9"/>
    <w:rsid w:val="00660572"/>
    <w:rsid w:val="0066068F"/>
    <w:rsid w:val="006608C4"/>
    <w:rsid w:val="00661198"/>
    <w:rsid w:val="00661D08"/>
    <w:rsid w:val="00662251"/>
    <w:rsid w:val="00662C4C"/>
    <w:rsid w:val="0066364E"/>
    <w:rsid w:val="00663D2C"/>
    <w:rsid w:val="00663D67"/>
    <w:rsid w:val="00664410"/>
    <w:rsid w:val="00664662"/>
    <w:rsid w:val="006647B7"/>
    <w:rsid w:val="006653A3"/>
    <w:rsid w:val="0066552F"/>
    <w:rsid w:val="0066594F"/>
    <w:rsid w:val="00666025"/>
    <w:rsid w:val="00666900"/>
    <w:rsid w:val="00666C28"/>
    <w:rsid w:val="00666CCD"/>
    <w:rsid w:val="006671DB"/>
    <w:rsid w:val="00667848"/>
    <w:rsid w:val="00667AE3"/>
    <w:rsid w:val="00667FE7"/>
    <w:rsid w:val="0067086B"/>
    <w:rsid w:val="00670B80"/>
    <w:rsid w:val="00671630"/>
    <w:rsid w:val="0067192E"/>
    <w:rsid w:val="0067223A"/>
    <w:rsid w:val="006727AA"/>
    <w:rsid w:val="00672C61"/>
    <w:rsid w:val="0067337E"/>
    <w:rsid w:val="00673B7D"/>
    <w:rsid w:val="00674097"/>
    <w:rsid w:val="00674243"/>
    <w:rsid w:val="00674EF0"/>
    <w:rsid w:val="00675046"/>
    <w:rsid w:val="00675380"/>
    <w:rsid w:val="00675495"/>
    <w:rsid w:val="00675518"/>
    <w:rsid w:val="0067625B"/>
    <w:rsid w:val="0067639B"/>
    <w:rsid w:val="00677203"/>
    <w:rsid w:val="00680320"/>
    <w:rsid w:val="00680765"/>
    <w:rsid w:val="00680CBC"/>
    <w:rsid w:val="006815BE"/>
    <w:rsid w:val="006819C9"/>
    <w:rsid w:val="00681D3C"/>
    <w:rsid w:val="006826DC"/>
    <w:rsid w:val="0068271F"/>
    <w:rsid w:val="00683038"/>
    <w:rsid w:val="00683081"/>
    <w:rsid w:val="00683378"/>
    <w:rsid w:val="00683431"/>
    <w:rsid w:val="00683580"/>
    <w:rsid w:val="006837A4"/>
    <w:rsid w:val="00683CA4"/>
    <w:rsid w:val="00683EBC"/>
    <w:rsid w:val="00683F10"/>
    <w:rsid w:val="0068406D"/>
    <w:rsid w:val="006841EF"/>
    <w:rsid w:val="0068444D"/>
    <w:rsid w:val="0068447C"/>
    <w:rsid w:val="00684818"/>
    <w:rsid w:val="00684949"/>
    <w:rsid w:val="006854B5"/>
    <w:rsid w:val="00685569"/>
    <w:rsid w:val="00685941"/>
    <w:rsid w:val="006859A2"/>
    <w:rsid w:val="0068612D"/>
    <w:rsid w:val="00687243"/>
    <w:rsid w:val="00687CF6"/>
    <w:rsid w:val="006904BA"/>
    <w:rsid w:val="0069059E"/>
    <w:rsid w:val="00690F77"/>
    <w:rsid w:val="006911AE"/>
    <w:rsid w:val="00691871"/>
    <w:rsid w:val="006931C9"/>
    <w:rsid w:val="00693999"/>
    <w:rsid w:val="00693E96"/>
    <w:rsid w:val="00694581"/>
    <w:rsid w:val="0069476F"/>
    <w:rsid w:val="00694E67"/>
    <w:rsid w:val="00695295"/>
    <w:rsid w:val="006957FF"/>
    <w:rsid w:val="00695B06"/>
    <w:rsid w:val="0069637B"/>
    <w:rsid w:val="006963B9"/>
    <w:rsid w:val="00696505"/>
    <w:rsid w:val="0069673B"/>
    <w:rsid w:val="00696D4A"/>
    <w:rsid w:val="0069740E"/>
    <w:rsid w:val="0069789B"/>
    <w:rsid w:val="00697B8E"/>
    <w:rsid w:val="006A1634"/>
    <w:rsid w:val="006A182E"/>
    <w:rsid w:val="006A1A1C"/>
    <w:rsid w:val="006A1B19"/>
    <w:rsid w:val="006A1B90"/>
    <w:rsid w:val="006A24D7"/>
    <w:rsid w:val="006A345C"/>
    <w:rsid w:val="006A3707"/>
    <w:rsid w:val="006A3C7F"/>
    <w:rsid w:val="006A3DDD"/>
    <w:rsid w:val="006A544E"/>
    <w:rsid w:val="006A63AD"/>
    <w:rsid w:val="006A6A1A"/>
    <w:rsid w:val="006A6D1B"/>
    <w:rsid w:val="006B0869"/>
    <w:rsid w:val="006B099C"/>
    <w:rsid w:val="006B1E42"/>
    <w:rsid w:val="006B348C"/>
    <w:rsid w:val="006B37BC"/>
    <w:rsid w:val="006B382D"/>
    <w:rsid w:val="006B3D22"/>
    <w:rsid w:val="006B534B"/>
    <w:rsid w:val="006B5B51"/>
    <w:rsid w:val="006B5EB4"/>
    <w:rsid w:val="006B6C20"/>
    <w:rsid w:val="006B6D7A"/>
    <w:rsid w:val="006B70D1"/>
    <w:rsid w:val="006B72CC"/>
    <w:rsid w:val="006C0532"/>
    <w:rsid w:val="006C0536"/>
    <w:rsid w:val="006C060E"/>
    <w:rsid w:val="006C11DA"/>
    <w:rsid w:val="006C122B"/>
    <w:rsid w:val="006C130F"/>
    <w:rsid w:val="006C1482"/>
    <w:rsid w:val="006C1619"/>
    <w:rsid w:val="006C19D0"/>
    <w:rsid w:val="006C23F5"/>
    <w:rsid w:val="006C2543"/>
    <w:rsid w:val="006C26C8"/>
    <w:rsid w:val="006C2E83"/>
    <w:rsid w:val="006C2EDE"/>
    <w:rsid w:val="006C3CE8"/>
    <w:rsid w:val="006C3E0C"/>
    <w:rsid w:val="006C4751"/>
    <w:rsid w:val="006C4EC5"/>
    <w:rsid w:val="006C57AA"/>
    <w:rsid w:val="006C59DB"/>
    <w:rsid w:val="006C5CD6"/>
    <w:rsid w:val="006C6544"/>
    <w:rsid w:val="006C6E2D"/>
    <w:rsid w:val="006C7D24"/>
    <w:rsid w:val="006D0805"/>
    <w:rsid w:val="006D0DCB"/>
    <w:rsid w:val="006D17DE"/>
    <w:rsid w:val="006D1948"/>
    <w:rsid w:val="006D1994"/>
    <w:rsid w:val="006D1EFD"/>
    <w:rsid w:val="006D270E"/>
    <w:rsid w:val="006D283D"/>
    <w:rsid w:val="006D29A3"/>
    <w:rsid w:val="006D3C70"/>
    <w:rsid w:val="006D507A"/>
    <w:rsid w:val="006D5321"/>
    <w:rsid w:val="006D5CA3"/>
    <w:rsid w:val="006D629A"/>
    <w:rsid w:val="006D6E7C"/>
    <w:rsid w:val="006D734D"/>
    <w:rsid w:val="006D7565"/>
    <w:rsid w:val="006D7A11"/>
    <w:rsid w:val="006E03E7"/>
    <w:rsid w:val="006E03FB"/>
    <w:rsid w:val="006E0460"/>
    <w:rsid w:val="006E0544"/>
    <w:rsid w:val="006E0649"/>
    <w:rsid w:val="006E1110"/>
    <w:rsid w:val="006E1210"/>
    <w:rsid w:val="006E167F"/>
    <w:rsid w:val="006E1CC1"/>
    <w:rsid w:val="006E2094"/>
    <w:rsid w:val="006E22E4"/>
    <w:rsid w:val="006E2640"/>
    <w:rsid w:val="006E3B66"/>
    <w:rsid w:val="006E4625"/>
    <w:rsid w:val="006E4781"/>
    <w:rsid w:val="006E5995"/>
    <w:rsid w:val="006E5CC1"/>
    <w:rsid w:val="006E66F2"/>
    <w:rsid w:val="006E6EB0"/>
    <w:rsid w:val="006E71E2"/>
    <w:rsid w:val="006E79B0"/>
    <w:rsid w:val="006E7ABC"/>
    <w:rsid w:val="006F0184"/>
    <w:rsid w:val="006F13D1"/>
    <w:rsid w:val="006F156A"/>
    <w:rsid w:val="006F1B79"/>
    <w:rsid w:val="006F1F33"/>
    <w:rsid w:val="006F271B"/>
    <w:rsid w:val="006F2D64"/>
    <w:rsid w:val="006F2EBB"/>
    <w:rsid w:val="006F2F90"/>
    <w:rsid w:val="006F32CE"/>
    <w:rsid w:val="006F3C2B"/>
    <w:rsid w:val="006F3DD6"/>
    <w:rsid w:val="006F3E08"/>
    <w:rsid w:val="006F3EFA"/>
    <w:rsid w:val="006F4B60"/>
    <w:rsid w:val="006F4E07"/>
    <w:rsid w:val="006F5189"/>
    <w:rsid w:val="006F53DE"/>
    <w:rsid w:val="006F55D1"/>
    <w:rsid w:val="006F5853"/>
    <w:rsid w:val="006F59BE"/>
    <w:rsid w:val="006F5B0B"/>
    <w:rsid w:val="006F6297"/>
    <w:rsid w:val="006F745F"/>
    <w:rsid w:val="006F75A7"/>
    <w:rsid w:val="006F76FE"/>
    <w:rsid w:val="006F79B7"/>
    <w:rsid w:val="00700038"/>
    <w:rsid w:val="007005B7"/>
    <w:rsid w:val="00700AE5"/>
    <w:rsid w:val="00700B62"/>
    <w:rsid w:val="00700C42"/>
    <w:rsid w:val="00701BB6"/>
    <w:rsid w:val="007029A5"/>
    <w:rsid w:val="00702C40"/>
    <w:rsid w:val="00702E10"/>
    <w:rsid w:val="00702E9E"/>
    <w:rsid w:val="007031BF"/>
    <w:rsid w:val="007048B9"/>
    <w:rsid w:val="00704972"/>
    <w:rsid w:val="00704B62"/>
    <w:rsid w:val="00704D6B"/>
    <w:rsid w:val="00704DB3"/>
    <w:rsid w:val="00704FE8"/>
    <w:rsid w:val="00705223"/>
    <w:rsid w:val="00705B8D"/>
    <w:rsid w:val="00705F3E"/>
    <w:rsid w:val="007066FD"/>
    <w:rsid w:val="0070683D"/>
    <w:rsid w:val="007078AC"/>
    <w:rsid w:val="007079F9"/>
    <w:rsid w:val="00707B00"/>
    <w:rsid w:val="00707F02"/>
    <w:rsid w:val="007103C8"/>
    <w:rsid w:val="007104DC"/>
    <w:rsid w:val="00710959"/>
    <w:rsid w:val="007111BE"/>
    <w:rsid w:val="0071165E"/>
    <w:rsid w:val="00711CAA"/>
    <w:rsid w:val="00712ABA"/>
    <w:rsid w:val="00712CBE"/>
    <w:rsid w:val="0071377C"/>
    <w:rsid w:val="00713791"/>
    <w:rsid w:val="00715194"/>
    <w:rsid w:val="00715B7E"/>
    <w:rsid w:val="007162C3"/>
    <w:rsid w:val="0071662A"/>
    <w:rsid w:val="007166F9"/>
    <w:rsid w:val="0071680C"/>
    <w:rsid w:val="007169F0"/>
    <w:rsid w:val="00716D93"/>
    <w:rsid w:val="00717128"/>
    <w:rsid w:val="0071755F"/>
    <w:rsid w:val="00717B98"/>
    <w:rsid w:val="007209A6"/>
    <w:rsid w:val="00720D09"/>
    <w:rsid w:val="00721D06"/>
    <w:rsid w:val="0072224F"/>
    <w:rsid w:val="007224DC"/>
    <w:rsid w:val="00722620"/>
    <w:rsid w:val="00722B34"/>
    <w:rsid w:val="00722F23"/>
    <w:rsid w:val="0072382F"/>
    <w:rsid w:val="00723FEB"/>
    <w:rsid w:val="007245DF"/>
    <w:rsid w:val="00724789"/>
    <w:rsid w:val="007250E4"/>
    <w:rsid w:val="007252A4"/>
    <w:rsid w:val="00726072"/>
    <w:rsid w:val="00726213"/>
    <w:rsid w:val="00726342"/>
    <w:rsid w:val="007266AD"/>
    <w:rsid w:val="00727AFC"/>
    <w:rsid w:val="007301A0"/>
    <w:rsid w:val="00730B6D"/>
    <w:rsid w:val="00730B87"/>
    <w:rsid w:val="00730BF3"/>
    <w:rsid w:val="00731CFA"/>
    <w:rsid w:val="00732F94"/>
    <w:rsid w:val="00733443"/>
    <w:rsid w:val="00733472"/>
    <w:rsid w:val="0073398C"/>
    <w:rsid w:val="00733C0A"/>
    <w:rsid w:val="00734108"/>
    <w:rsid w:val="007350BE"/>
    <w:rsid w:val="00735158"/>
    <w:rsid w:val="00735508"/>
    <w:rsid w:val="007355BB"/>
    <w:rsid w:val="007362C1"/>
    <w:rsid w:val="0073645B"/>
    <w:rsid w:val="007364CE"/>
    <w:rsid w:val="00736E05"/>
    <w:rsid w:val="007375FC"/>
    <w:rsid w:val="00737836"/>
    <w:rsid w:val="00737CE6"/>
    <w:rsid w:val="00737F81"/>
    <w:rsid w:val="00737FD3"/>
    <w:rsid w:val="007404AC"/>
    <w:rsid w:val="00740874"/>
    <w:rsid w:val="007409BE"/>
    <w:rsid w:val="00740C0D"/>
    <w:rsid w:val="00740CB7"/>
    <w:rsid w:val="00742197"/>
    <w:rsid w:val="00743106"/>
    <w:rsid w:val="0074351B"/>
    <w:rsid w:val="0074512A"/>
    <w:rsid w:val="00745716"/>
    <w:rsid w:val="00745B29"/>
    <w:rsid w:val="00745B8E"/>
    <w:rsid w:val="00746D46"/>
    <w:rsid w:val="00747540"/>
    <w:rsid w:val="00747E9F"/>
    <w:rsid w:val="0075025B"/>
    <w:rsid w:val="00750424"/>
    <w:rsid w:val="00750787"/>
    <w:rsid w:val="007507DE"/>
    <w:rsid w:val="00750B17"/>
    <w:rsid w:val="007510B3"/>
    <w:rsid w:val="007512C1"/>
    <w:rsid w:val="00752211"/>
    <w:rsid w:val="007522A8"/>
    <w:rsid w:val="00752376"/>
    <w:rsid w:val="00752433"/>
    <w:rsid w:val="00752951"/>
    <w:rsid w:val="007529C0"/>
    <w:rsid w:val="00752DA7"/>
    <w:rsid w:val="00753317"/>
    <w:rsid w:val="007533A2"/>
    <w:rsid w:val="00753D15"/>
    <w:rsid w:val="00754347"/>
    <w:rsid w:val="00754842"/>
    <w:rsid w:val="00754DAB"/>
    <w:rsid w:val="00755173"/>
    <w:rsid w:val="00755BF0"/>
    <w:rsid w:val="00756529"/>
    <w:rsid w:val="00756D2E"/>
    <w:rsid w:val="0075709C"/>
    <w:rsid w:val="007571EC"/>
    <w:rsid w:val="00760283"/>
    <w:rsid w:val="00760A5C"/>
    <w:rsid w:val="00760E04"/>
    <w:rsid w:val="00760F0B"/>
    <w:rsid w:val="007619F9"/>
    <w:rsid w:val="0076292E"/>
    <w:rsid w:val="0076296B"/>
    <w:rsid w:val="0076314C"/>
    <w:rsid w:val="00763266"/>
    <w:rsid w:val="007647D8"/>
    <w:rsid w:val="00764C01"/>
    <w:rsid w:val="00764D0E"/>
    <w:rsid w:val="00764D90"/>
    <w:rsid w:val="00765295"/>
    <w:rsid w:val="00765F86"/>
    <w:rsid w:val="00765FFE"/>
    <w:rsid w:val="00766DFB"/>
    <w:rsid w:val="00766F1E"/>
    <w:rsid w:val="00767C2B"/>
    <w:rsid w:val="007705F8"/>
    <w:rsid w:val="00770859"/>
    <w:rsid w:val="0077097F"/>
    <w:rsid w:val="00771030"/>
    <w:rsid w:val="00771250"/>
    <w:rsid w:val="00771F70"/>
    <w:rsid w:val="007727D9"/>
    <w:rsid w:val="00774814"/>
    <w:rsid w:val="00774A71"/>
    <w:rsid w:val="00774B6F"/>
    <w:rsid w:val="00774C7B"/>
    <w:rsid w:val="00775D67"/>
    <w:rsid w:val="007768CF"/>
    <w:rsid w:val="007769EE"/>
    <w:rsid w:val="00777CC4"/>
    <w:rsid w:val="00777D7B"/>
    <w:rsid w:val="00777DCB"/>
    <w:rsid w:val="007809FC"/>
    <w:rsid w:val="007820DF"/>
    <w:rsid w:val="00782578"/>
    <w:rsid w:val="00782757"/>
    <w:rsid w:val="00782846"/>
    <w:rsid w:val="00782A43"/>
    <w:rsid w:val="00782AE8"/>
    <w:rsid w:val="00782E8A"/>
    <w:rsid w:val="00782EA0"/>
    <w:rsid w:val="007833AA"/>
    <w:rsid w:val="007835D2"/>
    <w:rsid w:val="00783D62"/>
    <w:rsid w:val="00783E9C"/>
    <w:rsid w:val="007842C3"/>
    <w:rsid w:val="007844EC"/>
    <w:rsid w:val="0078456C"/>
    <w:rsid w:val="00784741"/>
    <w:rsid w:val="00784E2B"/>
    <w:rsid w:val="00785199"/>
    <w:rsid w:val="00785C2B"/>
    <w:rsid w:val="0078638A"/>
    <w:rsid w:val="00786923"/>
    <w:rsid w:val="0078720D"/>
    <w:rsid w:val="00787B7E"/>
    <w:rsid w:val="007900C3"/>
    <w:rsid w:val="00790A5D"/>
    <w:rsid w:val="00790E45"/>
    <w:rsid w:val="00791E2D"/>
    <w:rsid w:val="00792918"/>
    <w:rsid w:val="00792BC3"/>
    <w:rsid w:val="007936FD"/>
    <w:rsid w:val="007938EC"/>
    <w:rsid w:val="00793B99"/>
    <w:rsid w:val="007944E0"/>
    <w:rsid w:val="007950AF"/>
    <w:rsid w:val="00795A15"/>
    <w:rsid w:val="00796D1C"/>
    <w:rsid w:val="00796DF7"/>
    <w:rsid w:val="00796E40"/>
    <w:rsid w:val="007A11D6"/>
    <w:rsid w:val="007A128A"/>
    <w:rsid w:val="007A21FE"/>
    <w:rsid w:val="007A24DB"/>
    <w:rsid w:val="007A3486"/>
    <w:rsid w:val="007A38C0"/>
    <w:rsid w:val="007A3CA4"/>
    <w:rsid w:val="007A3DE5"/>
    <w:rsid w:val="007A3E61"/>
    <w:rsid w:val="007A400C"/>
    <w:rsid w:val="007A435A"/>
    <w:rsid w:val="007A4472"/>
    <w:rsid w:val="007A52CA"/>
    <w:rsid w:val="007A584A"/>
    <w:rsid w:val="007A5962"/>
    <w:rsid w:val="007A5EF8"/>
    <w:rsid w:val="007A65AD"/>
    <w:rsid w:val="007A6AFC"/>
    <w:rsid w:val="007A6C9B"/>
    <w:rsid w:val="007A71C1"/>
    <w:rsid w:val="007A7244"/>
    <w:rsid w:val="007A75F4"/>
    <w:rsid w:val="007B019B"/>
    <w:rsid w:val="007B04B2"/>
    <w:rsid w:val="007B05B7"/>
    <w:rsid w:val="007B0AB0"/>
    <w:rsid w:val="007B124F"/>
    <w:rsid w:val="007B1884"/>
    <w:rsid w:val="007B25E5"/>
    <w:rsid w:val="007B2BC0"/>
    <w:rsid w:val="007B3078"/>
    <w:rsid w:val="007B3821"/>
    <w:rsid w:val="007B3A63"/>
    <w:rsid w:val="007B3E55"/>
    <w:rsid w:val="007B3FB4"/>
    <w:rsid w:val="007B75D7"/>
    <w:rsid w:val="007B7EE3"/>
    <w:rsid w:val="007C012C"/>
    <w:rsid w:val="007C01E6"/>
    <w:rsid w:val="007C050F"/>
    <w:rsid w:val="007C07F7"/>
    <w:rsid w:val="007C0EFB"/>
    <w:rsid w:val="007C108A"/>
    <w:rsid w:val="007C1239"/>
    <w:rsid w:val="007C14E9"/>
    <w:rsid w:val="007C164A"/>
    <w:rsid w:val="007C19CD"/>
    <w:rsid w:val="007C2929"/>
    <w:rsid w:val="007C296B"/>
    <w:rsid w:val="007C2DC4"/>
    <w:rsid w:val="007C39EB"/>
    <w:rsid w:val="007C3DA3"/>
    <w:rsid w:val="007C47CA"/>
    <w:rsid w:val="007C4857"/>
    <w:rsid w:val="007C4AA2"/>
    <w:rsid w:val="007C4C5C"/>
    <w:rsid w:val="007C5B7F"/>
    <w:rsid w:val="007C61D9"/>
    <w:rsid w:val="007C676A"/>
    <w:rsid w:val="007C6B24"/>
    <w:rsid w:val="007C7316"/>
    <w:rsid w:val="007C7700"/>
    <w:rsid w:val="007C7ABD"/>
    <w:rsid w:val="007C7EC6"/>
    <w:rsid w:val="007D0CD6"/>
    <w:rsid w:val="007D1046"/>
    <w:rsid w:val="007D134B"/>
    <w:rsid w:val="007D21E4"/>
    <w:rsid w:val="007D2636"/>
    <w:rsid w:val="007D27CD"/>
    <w:rsid w:val="007D3022"/>
    <w:rsid w:val="007D3D45"/>
    <w:rsid w:val="007D4738"/>
    <w:rsid w:val="007D4E01"/>
    <w:rsid w:val="007D5327"/>
    <w:rsid w:val="007D5A89"/>
    <w:rsid w:val="007D5DCA"/>
    <w:rsid w:val="007D5FB8"/>
    <w:rsid w:val="007D603A"/>
    <w:rsid w:val="007D61FB"/>
    <w:rsid w:val="007D655A"/>
    <w:rsid w:val="007D6E78"/>
    <w:rsid w:val="007D723D"/>
    <w:rsid w:val="007D7298"/>
    <w:rsid w:val="007D7C60"/>
    <w:rsid w:val="007D7EE6"/>
    <w:rsid w:val="007E04C5"/>
    <w:rsid w:val="007E0D85"/>
    <w:rsid w:val="007E13D7"/>
    <w:rsid w:val="007E2309"/>
    <w:rsid w:val="007E2565"/>
    <w:rsid w:val="007E2659"/>
    <w:rsid w:val="007E27DE"/>
    <w:rsid w:val="007E3036"/>
    <w:rsid w:val="007E39AB"/>
    <w:rsid w:val="007E3B90"/>
    <w:rsid w:val="007E3F81"/>
    <w:rsid w:val="007E4AC6"/>
    <w:rsid w:val="007E4EE3"/>
    <w:rsid w:val="007E5867"/>
    <w:rsid w:val="007E5EA9"/>
    <w:rsid w:val="007E602A"/>
    <w:rsid w:val="007E6554"/>
    <w:rsid w:val="007E68F3"/>
    <w:rsid w:val="007E6AAE"/>
    <w:rsid w:val="007E6B83"/>
    <w:rsid w:val="007E7346"/>
    <w:rsid w:val="007E76F3"/>
    <w:rsid w:val="007E777A"/>
    <w:rsid w:val="007E790C"/>
    <w:rsid w:val="007E7F2B"/>
    <w:rsid w:val="007F03EF"/>
    <w:rsid w:val="007F08F9"/>
    <w:rsid w:val="007F0A4F"/>
    <w:rsid w:val="007F0A70"/>
    <w:rsid w:val="007F1638"/>
    <w:rsid w:val="007F2DC1"/>
    <w:rsid w:val="007F3C8E"/>
    <w:rsid w:val="007F3CD6"/>
    <w:rsid w:val="007F3E03"/>
    <w:rsid w:val="007F48C9"/>
    <w:rsid w:val="007F4E97"/>
    <w:rsid w:val="007F4FEF"/>
    <w:rsid w:val="007F5088"/>
    <w:rsid w:val="007F5146"/>
    <w:rsid w:val="007F536A"/>
    <w:rsid w:val="007F643A"/>
    <w:rsid w:val="007F6869"/>
    <w:rsid w:val="007F699D"/>
    <w:rsid w:val="007F7278"/>
    <w:rsid w:val="008008ED"/>
    <w:rsid w:val="00800C50"/>
    <w:rsid w:val="0080126E"/>
    <w:rsid w:val="008016E6"/>
    <w:rsid w:val="0080184B"/>
    <w:rsid w:val="008028D3"/>
    <w:rsid w:val="00802901"/>
    <w:rsid w:val="0080314E"/>
    <w:rsid w:val="0080538B"/>
    <w:rsid w:val="00806011"/>
    <w:rsid w:val="00806FAC"/>
    <w:rsid w:val="00807CEE"/>
    <w:rsid w:val="00807E84"/>
    <w:rsid w:val="00807EB0"/>
    <w:rsid w:val="00810456"/>
    <w:rsid w:val="008107A2"/>
    <w:rsid w:val="00810F8B"/>
    <w:rsid w:val="0081211E"/>
    <w:rsid w:val="008121BB"/>
    <w:rsid w:val="0081295D"/>
    <w:rsid w:val="00813642"/>
    <w:rsid w:val="00814304"/>
    <w:rsid w:val="00814D80"/>
    <w:rsid w:val="0081530A"/>
    <w:rsid w:val="00815F90"/>
    <w:rsid w:val="00816966"/>
    <w:rsid w:val="00816BC6"/>
    <w:rsid w:val="00816DB3"/>
    <w:rsid w:val="00816DD7"/>
    <w:rsid w:val="008172E7"/>
    <w:rsid w:val="008179BD"/>
    <w:rsid w:val="00817A1A"/>
    <w:rsid w:val="00817FE4"/>
    <w:rsid w:val="00821258"/>
    <w:rsid w:val="008212E1"/>
    <w:rsid w:val="008219C5"/>
    <w:rsid w:val="008221D0"/>
    <w:rsid w:val="0082232F"/>
    <w:rsid w:val="0082245B"/>
    <w:rsid w:val="00822A7F"/>
    <w:rsid w:val="00822E25"/>
    <w:rsid w:val="00823654"/>
    <w:rsid w:val="00823659"/>
    <w:rsid w:val="0082380E"/>
    <w:rsid w:val="00824163"/>
    <w:rsid w:val="008256AC"/>
    <w:rsid w:val="00825B2C"/>
    <w:rsid w:val="008267D5"/>
    <w:rsid w:val="00826CAC"/>
    <w:rsid w:val="00826F05"/>
    <w:rsid w:val="00827142"/>
    <w:rsid w:val="0082755E"/>
    <w:rsid w:val="00827E70"/>
    <w:rsid w:val="00827FE8"/>
    <w:rsid w:val="008307BE"/>
    <w:rsid w:val="00830BC0"/>
    <w:rsid w:val="00831736"/>
    <w:rsid w:val="00831912"/>
    <w:rsid w:val="008319FA"/>
    <w:rsid w:val="00831C24"/>
    <w:rsid w:val="0083298D"/>
    <w:rsid w:val="00832A77"/>
    <w:rsid w:val="00834899"/>
    <w:rsid w:val="00834CD8"/>
    <w:rsid w:val="0083520D"/>
    <w:rsid w:val="00835BA5"/>
    <w:rsid w:val="00835F39"/>
    <w:rsid w:val="00836188"/>
    <w:rsid w:val="008373BF"/>
    <w:rsid w:val="008378EF"/>
    <w:rsid w:val="00837AE7"/>
    <w:rsid w:val="00840093"/>
    <w:rsid w:val="00840253"/>
    <w:rsid w:val="008407A2"/>
    <w:rsid w:val="00840CC6"/>
    <w:rsid w:val="008416E5"/>
    <w:rsid w:val="00841E16"/>
    <w:rsid w:val="008428E9"/>
    <w:rsid w:val="00842E87"/>
    <w:rsid w:val="0084394B"/>
    <w:rsid w:val="00844080"/>
    <w:rsid w:val="00844216"/>
    <w:rsid w:val="00844B95"/>
    <w:rsid w:val="00844BE9"/>
    <w:rsid w:val="00844D08"/>
    <w:rsid w:val="008450A5"/>
    <w:rsid w:val="00845498"/>
    <w:rsid w:val="008456BC"/>
    <w:rsid w:val="00845D91"/>
    <w:rsid w:val="00847931"/>
    <w:rsid w:val="00847BCB"/>
    <w:rsid w:val="008500E2"/>
    <w:rsid w:val="008500EC"/>
    <w:rsid w:val="008503E6"/>
    <w:rsid w:val="00850CCA"/>
    <w:rsid w:val="00850FA4"/>
    <w:rsid w:val="008511E1"/>
    <w:rsid w:val="008519C3"/>
    <w:rsid w:val="008524DB"/>
    <w:rsid w:val="008525E9"/>
    <w:rsid w:val="00852698"/>
    <w:rsid w:val="0085296C"/>
    <w:rsid w:val="00852BD6"/>
    <w:rsid w:val="008536DB"/>
    <w:rsid w:val="008538A8"/>
    <w:rsid w:val="008546CE"/>
    <w:rsid w:val="00855C4B"/>
    <w:rsid w:val="00856B49"/>
    <w:rsid w:val="00856D24"/>
    <w:rsid w:val="00857011"/>
    <w:rsid w:val="00860AE9"/>
    <w:rsid w:val="00860D09"/>
    <w:rsid w:val="00860E13"/>
    <w:rsid w:val="00861926"/>
    <w:rsid w:val="0086221F"/>
    <w:rsid w:val="008623E4"/>
    <w:rsid w:val="00862E4D"/>
    <w:rsid w:val="008637E0"/>
    <w:rsid w:val="00863BAC"/>
    <w:rsid w:val="008646CA"/>
    <w:rsid w:val="00864AAE"/>
    <w:rsid w:val="00864B79"/>
    <w:rsid w:val="00864FB9"/>
    <w:rsid w:val="008660E6"/>
    <w:rsid w:val="008660F9"/>
    <w:rsid w:val="008662E9"/>
    <w:rsid w:val="00866C8C"/>
    <w:rsid w:val="00870A50"/>
    <w:rsid w:val="00871826"/>
    <w:rsid w:val="00871A39"/>
    <w:rsid w:val="00871B64"/>
    <w:rsid w:val="0087245C"/>
    <w:rsid w:val="00872587"/>
    <w:rsid w:val="00872650"/>
    <w:rsid w:val="00872FF9"/>
    <w:rsid w:val="0087354D"/>
    <w:rsid w:val="00873B45"/>
    <w:rsid w:val="00873C06"/>
    <w:rsid w:val="00873C13"/>
    <w:rsid w:val="00874402"/>
    <w:rsid w:val="008746E1"/>
    <w:rsid w:val="008748D9"/>
    <w:rsid w:val="00874E78"/>
    <w:rsid w:val="00874E87"/>
    <w:rsid w:val="00875956"/>
    <w:rsid w:val="00875C95"/>
    <w:rsid w:val="00876CA0"/>
    <w:rsid w:val="00876F62"/>
    <w:rsid w:val="00876FBE"/>
    <w:rsid w:val="00877647"/>
    <w:rsid w:val="00877676"/>
    <w:rsid w:val="00877B61"/>
    <w:rsid w:val="00880464"/>
    <w:rsid w:val="008805C1"/>
    <w:rsid w:val="00880CD1"/>
    <w:rsid w:val="00880D5B"/>
    <w:rsid w:val="00880F1F"/>
    <w:rsid w:val="0088205A"/>
    <w:rsid w:val="008825F8"/>
    <w:rsid w:val="008827B1"/>
    <w:rsid w:val="00883320"/>
    <w:rsid w:val="00884144"/>
    <w:rsid w:val="00884385"/>
    <w:rsid w:val="008845A1"/>
    <w:rsid w:val="00885352"/>
    <w:rsid w:val="00885385"/>
    <w:rsid w:val="0088547A"/>
    <w:rsid w:val="00885BD0"/>
    <w:rsid w:val="0088623F"/>
    <w:rsid w:val="00886312"/>
    <w:rsid w:val="008868EC"/>
    <w:rsid w:val="00886ED6"/>
    <w:rsid w:val="00886FB9"/>
    <w:rsid w:val="0088725D"/>
    <w:rsid w:val="008905F1"/>
    <w:rsid w:val="00890820"/>
    <w:rsid w:val="00891811"/>
    <w:rsid w:val="00891C6F"/>
    <w:rsid w:val="0089255F"/>
    <w:rsid w:val="00892993"/>
    <w:rsid w:val="0089350C"/>
    <w:rsid w:val="00893C66"/>
    <w:rsid w:val="008942A2"/>
    <w:rsid w:val="00894971"/>
    <w:rsid w:val="00894C6E"/>
    <w:rsid w:val="00894DCF"/>
    <w:rsid w:val="00894DF6"/>
    <w:rsid w:val="008954A6"/>
    <w:rsid w:val="00896B5D"/>
    <w:rsid w:val="00896D6E"/>
    <w:rsid w:val="00896FDC"/>
    <w:rsid w:val="0089723B"/>
    <w:rsid w:val="00897828"/>
    <w:rsid w:val="00897953"/>
    <w:rsid w:val="00897E83"/>
    <w:rsid w:val="008A058A"/>
    <w:rsid w:val="008A3731"/>
    <w:rsid w:val="008A3BC8"/>
    <w:rsid w:val="008A3CB1"/>
    <w:rsid w:val="008A5266"/>
    <w:rsid w:val="008A5467"/>
    <w:rsid w:val="008A61C0"/>
    <w:rsid w:val="008A636B"/>
    <w:rsid w:val="008A6547"/>
    <w:rsid w:val="008A65C4"/>
    <w:rsid w:val="008A66DF"/>
    <w:rsid w:val="008A7619"/>
    <w:rsid w:val="008B00A4"/>
    <w:rsid w:val="008B039C"/>
    <w:rsid w:val="008B1074"/>
    <w:rsid w:val="008B13C6"/>
    <w:rsid w:val="008B1C42"/>
    <w:rsid w:val="008B27C7"/>
    <w:rsid w:val="008B2A34"/>
    <w:rsid w:val="008B452F"/>
    <w:rsid w:val="008B4B87"/>
    <w:rsid w:val="008B4CD5"/>
    <w:rsid w:val="008B4E73"/>
    <w:rsid w:val="008B4EB7"/>
    <w:rsid w:val="008B4F56"/>
    <w:rsid w:val="008B5457"/>
    <w:rsid w:val="008B568E"/>
    <w:rsid w:val="008B5895"/>
    <w:rsid w:val="008B5B33"/>
    <w:rsid w:val="008B5C14"/>
    <w:rsid w:val="008B5DEA"/>
    <w:rsid w:val="008B6324"/>
    <w:rsid w:val="008B638D"/>
    <w:rsid w:val="008B6395"/>
    <w:rsid w:val="008B64E9"/>
    <w:rsid w:val="008B66AE"/>
    <w:rsid w:val="008B7241"/>
    <w:rsid w:val="008B7581"/>
    <w:rsid w:val="008B763B"/>
    <w:rsid w:val="008B7D3C"/>
    <w:rsid w:val="008C018F"/>
    <w:rsid w:val="008C05B5"/>
    <w:rsid w:val="008C05E3"/>
    <w:rsid w:val="008C074F"/>
    <w:rsid w:val="008C0B55"/>
    <w:rsid w:val="008C0C22"/>
    <w:rsid w:val="008C1027"/>
    <w:rsid w:val="008C184D"/>
    <w:rsid w:val="008C1C37"/>
    <w:rsid w:val="008C26FA"/>
    <w:rsid w:val="008C278D"/>
    <w:rsid w:val="008C37AB"/>
    <w:rsid w:val="008C42EE"/>
    <w:rsid w:val="008C4301"/>
    <w:rsid w:val="008C4313"/>
    <w:rsid w:val="008C6729"/>
    <w:rsid w:val="008D063F"/>
    <w:rsid w:val="008D08E5"/>
    <w:rsid w:val="008D123D"/>
    <w:rsid w:val="008D1577"/>
    <w:rsid w:val="008D17DC"/>
    <w:rsid w:val="008D184B"/>
    <w:rsid w:val="008D25AB"/>
    <w:rsid w:val="008D25CD"/>
    <w:rsid w:val="008D27B3"/>
    <w:rsid w:val="008D2A93"/>
    <w:rsid w:val="008D31F7"/>
    <w:rsid w:val="008D3C09"/>
    <w:rsid w:val="008D47D0"/>
    <w:rsid w:val="008D4C2B"/>
    <w:rsid w:val="008D5138"/>
    <w:rsid w:val="008D5AC5"/>
    <w:rsid w:val="008D7D2B"/>
    <w:rsid w:val="008D7F16"/>
    <w:rsid w:val="008E0B96"/>
    <w:rsid w:val="008E0CB0"/>
    <w:rsid w:val="008E0CF6"/>
    <w:rsid w:val="008E115E"/>
    <w:rsid w:val="008E1549"/>
    <w:rsid w:val="008E1938"/>
    <w:rsid w:val="008E1F33"/>
    <w:rsid w:val="008E2069"/>
    <w:rsid w:val="008E2577"/>
    <w:rsid w:val="008E3069"/>
    <w:rsid w:val="008E3859"/>
    <w:rsid w:val="008E3D4B"/>
    <w:rsid w:val="008E4276"/>
    <w:rsid w:val="008E4CDC"/>
    <w:rsid w:val="008E59DD"/>
    <w:rsid w:val="008E5AEC"/>
    <w:rsid w:val="008E5D3E"/>
    <w:rsid w:val="008E5EC6"/>
    <w:rsid w:val="008E60D0"/>
    <w:rsid w:val="008E6165"/>
    <w:rsid w:val="008E6478"/>
    <w:rsid w:val="008E650E"/>
    <w:rsid w:val="008E6CB5"/>
    <w:rsid w:val="008E7F08"/>
    <w:rsid w:val="008F05B3"/>
    <w:rsid w:val="008F0E98"/>
    <w:rsid w:val="008F0FE7"/>
    <w:rsid w:val="008F1451"/>
    <w:rsid w:val="008F184A"/>
    <w:rsid w:val="008F1A73"/>
    <w:rsid w:val="008F1AE9"/>
    <w:rsid w:val="008F20C0"/>
    <w:rsid w:val="008F2789"/>
    <w:rsid w:val="008F2B04"/>
    <w:rsid w:val="008F2F9C"/>
    <w:rsid w:val="008F3178"/>
    <w:rsid w:val="008F3BDE"/>
    <w:rsid w:val="008F3BF5"/>
    <w:rsid w:val="008F46E9"/>
    <w:rsid w:val="008F478A"/>
    <w:rsid w:val="008F5025"/>
    <w:rsid w:val="008F6E5B"/>
    <w:rsid w:val="008F786A"/>
    <w:rsid w:val="00900F66"/>
    <w:rsid w:val="00901971"/>
    <w:rsid w:val="00901A2F"/>
    <w:rsid w:val="00901B03"/>
    <w:rsid w:val="00901F70"/>
    <w:rsid w:val="00902781"/>
    <w:rsid w:val="009028DA"/>
    <w:rsid w:val="00902AE0"/>
    <w:rsid w:val="00902AED"/>
    <w:rsid w:val="00902D19"/>
    <w:rsid w:val="009040E0"/>
    <w:rsid w:val="0090410F"/>
    <w:rsid w:val="00904417"/>
    <w:rsid w:val="00904730"/>
    <w:rsid w:val="00904CDB"/>
    <w:rsid w:val="00904F19"/>
    <w:rsid w:val="00904FD1"/>
    <w:rsid w:val="009056D2"/>
    <w:rsid w:val="00905BDE"/>
    <w:rsid w:val="009065D7"/>
    <w:rsid w:val="009101F8"/>
    <w:rsid w:val="009103B7"/>
    <w:rsid w:val="00910603"/>
    <w:rsid w:val="00911088"/>
    <w:rsid w:val="00912472"/>
    <w:rsid w:val="0091276C"/>
    <w:rsid w:val="0091295E"/>
    <w:rsid w:val="00912B4E"/>
    <w:rsid w:val="00912F4E"/>
    <w:rsid w:val="00913850"/>
    <w:rsid w:val="00913CBD"/>
    <w:rsid w:val="009152FF"/>
    <w:rsid w:val="0091537B"/>
    <w:rsid w:val="00915568"/>
    <w:rsid w:val="0091599C"/>
    <w:rsid w:val="00915B8D"/>
    <w:rsid w:val="00916E4E"/>
    <w:rsid w:val="0091783B"/>
    <w:rsid w:val="0092026B"/>
    <w:rsid w:val="00920355"/>
    <w:rsid w:val="00920492"/>
    <w:rsid w:val="00920518"/>
    <w:rsid w:val="00920610"/>
    <w:rsid w:val="00920620"/>
    <w:rsid w:val="00921333"/>
    <w:rsid w:val="009228B2"/>
    <w:rsid w:val="00923C4A"/>
    <w:rsid w:val="00924772"/>
    <w:rsid w:val="00924ABB"/>
    <w:rsid w:val="009257D0"/>
    <w:rsid w:val="00925872"/>
    <w:rsid w:val="00925D52"/>
    <w:rsid w:val="00925E9C"/>
    <w:rsid w:val="00926138"/>
    <w:rsid w:val="009263EA"/>
    <w:rsid w:val="00926EB0"/>
    <w:rsid w:val="009270A0"/>
    <w:rsid w:val="0092718A"/>
    <w:rsid w:val="00927255"/>
    <w:rsid w:val="009272E3"/>
    <w:rsid w:val="0092734C"/>
    <w:rsid w:val="00927815"/>
    <w:rsid w:val="00927CB2"/>
    <w:rsid w:val="00930373"/>
    <w:rsid w:val="009305E8"/>
    <w:rsid w:val="00930F50"/>
    <w:rsid w:val="00931BC0"/>
    <w:rsid w:val="009325CA"/>
    <w:rsid w:val="009326AE"/>
    <w:rsid w:val="00932832"/>
    <w:rsid w:val="0093286A"/>
    <w:rsid w:val="00932965"/>
    <w:rsid w:val="009329E1"/>
    <w:rsid w:val="00932A5F"/>
    <w:rsid w:val="00932CCA"/>
    <w:rsid w:val="00932EA0"/>
    <w:rsid w:val="00932FDF"/>
    <w:rsid w:val="009336B5"/>
    <w:rsid w:val="0093383A"/>
    <w:rsid w:val="009345DD"/>
    <w:rsid w:val="00934A67"/>
    <w:rsid w:val="00935421"/>
    <w:rsid w:val="0093588D"/>
    <w:rsid w:val="00935D80"/>
    <w:rsid w:val="00936810"/>
    <w:rsid w:val="00936C62"/>
    <w:rsid w:val="0093744E"/>
    <w:rsid w:val="00937EA5"/>
    <w:rsid w:val="0094056D"/>
    <w:rsid w:val="00941562"/>
    <w:rsid w:val="009416FA"/>
    <w:rsid w:val="00942812"/>
    <w:rsid w:val="00942B74"/>
    <w:rsid w:val="00942C78"/>
    <w:rsid w:val="00943F2A"/>
    <w:rsid w:val="00944506"/>
    <w:rsid w:val="0094509F"/>
    <w:rsid w:val="00945948"/>
    <w:rsid w:val="00945CDD"/>
    <w:rsid w:val="00946836"/>
    <w:rsid w:val="009469F7"/>
    <w:rsid w:val="00946A48"/>
    <w:rsid w:val="009474C5"/>
    <w:rsid w:val="009479CF"/>
    <w:rsid w:val="00947B48"/>
    <w:rsid w:val="009500E7"/>
    <w:rsid w:val="00950466"/>
    <w:rsid w:val="009515E0"/>
    <w:rsid w:val="009525BD"/>
    <w:rsid w:val="0095331D"/>
    <w:rsid w:val="00953B3A"/>
    <w:rsid w:val="00954038"/>
    <w:rsid w:val="009548B3"/>
    <w:rsid w:val="0095590F"/>
    <w:rsid w:val="0095641E"/>
    <w:rsid w:val="0095647A"/>
    <w:rsid w:val="009566F9"/>
    <w:rsid w:val="009572DF"/>
    <w:rsid w:val="00957D81"/>
    <w:rsid w:val="0096099C"/>
    <w:rsid w:val="009615DF"/>
    <w:rsid w:val="00961C5C"/>
    <w:rsid w:val="00962CF9"/>
    <w:rsid w:val="00962DC0"/>
    <w:rsid w:val="00962EDB"/>
    <w:rsid w:val="00962FF1"/>
    <w:rsid w:val="009630AF"/>
    <w:rsid w:val="00964999"/>
    <w:rsid w:val="00964C32"/>
    <w:rsid w:val="009664DA"/>
    <w:rsid w:val="0096673F"/>
    <w:rsid w:val="009668DE"/>
    <w:rsid w:val="00966A37"/>
    <w:rsid w:val="00966F64"/>
    <w:rsid w:val="00967CF3"/>
    <w:rsid w:val="009701FE"/>
    <w:rsid w:val="00970578"/>
    <w:rsid w:val="00970F08"/>
    <w:rsid w:val="00971EB4"/>
    <w:rsid w:val="009722C7"/>
    <w:rsid w:val="00973400"/>
    <w:rsid w:val="009736D0"/>
    <w:rsid w:val="00973A63"/>
    <w:rsid w:val="0097422C"/>
    <w:rsid w:val="00974FF9"/>
    <w:rsid w:val="0097631E"/>
    <w:rsid w:val="00976A60"/>
    <w:rsid w:val="00977501"/>
    <w:rsid w:val="00980F13"/>
    <w:rsid w:val="00981155"/>
    <w:rsid w:val="009811B5"/>
    <w:rsid w:val="00981233"/>
    <w:rsid w:val="00981DFA"/>
    <w:rsid w:val="009829CE"/>
    <w:rsid w:val="00982BA5"/>
    <w:rsid w:val="00982CC9"/>
    <w:rsid w:val="00983502"/>
    <w:rsid w:val="00984060"/>
    <w:rsid w:val="009840F6"/>
    <w:rsid w:val="00984236"/>
    <w:rsid w:val="00985023"/>
    <w:rsid w:val="00985ABD"/>
    <w:rsid w:val="00985CC1"/>
    <w:rsid w:val="00985D5A"/>
    <w:rsid w:val="009862B3"/>
    <w:rsid w:val="00986CB0"/>
    <w:rsid w:val="00986EE1"/>
    <w:rsid w:val="00987479"/>
    <w:rsid w:val="00990401"/>
    <w:rsid w:val="00990440"/>
    <w:rsid w:val="00991200"/>
    <w:rsid w:val="00992514"/>
    <w:rsid w:val="00992D07"/>
    <w:rsid w:val="00992E1A"/>
    <w:rsid w:val="009942EC"/>
    <w:rsid w:val="00994C49"/>
    <w:rsid w:val="00995556"/>
    <w:rsid w:val="009955BA"/>
    <w:rsid w:val="009960C6"/>
    <w:rsid w:val="00996A65"/>
    <w:rsid w:val="00997773"/>
    <w:rsid w:val="00997912"/>
    <w:rsid w:val="00997C84"/>
    <w:rsid w:val="00997D25"/>
    <w:rsid w:val="00997E34"/>
    <w:rsid w:val="009A0534"/>
    <w:rsid w:val="009A0721"/>
    <w:rsid w:val="009A1631"/>
    <w:rsid w:val="009A1A17"/>
    <w:rsid w:val="009A1A1D"/>
    <w:rsid w:val="009A1B0E"/>
    <w:rsid w:val="009A2017"/>
    <w:rsid w:val="009A2755"/>
    <w:rsid w:val="009A2B75"/>
    <w:rsid w:val="009A309D"/>
    <w:rsid w:val="009A5A9C"/>
    <w:rsid w:val="009A5CFA"/>
    <w:rsid w:val="009A6360"/>
    <w:rsid w:val="009A6477"/>
    <w:rsid w:val="009A6D5C"/>
    <w:rsid w:val="009A78D5"/>
    <w:rsid w:val="009A7E0B"/>
    <w:rsid w:val="009B0809"/>
    <w:rsid w:val="009B1422"/>
    <w:rsid w:val="009B1C71"/>
    <w:rsid w:val="009B3B40"/>
    <w:rsid w:val="009B3D0B"/>
    <w:rsid w:val="009B3DAB"/>
    <w:rsid w:val="009B3DB8"/>
    <w:rsid w:val="009B3E94"/>
    <w:rsid w:val="009B495E"/>
    <w:rsid w:val="009B51D4"/>
    <w:rsid w:val="009B53E5"/>
    <w:rsid w:val="009B59D7"/>
    <w:rsid w:val="009B5CAA"/>
    <w:rsid w:val="009B5D68"/>
    <w:rsid w:val="009B74BE"/>
    <w:rsid w:val="009B7C95"/>
    <w:rsid w:val="009B7DE7"/>
    <w:rsid w:val="009B7F79"/>
    <w:rsid w:val="009C0284"/>
    <w:rsid w:val="009C0839"/>
    <w:rsid w:val="009C0A54"/>
    <w:rsid w:val="009C0E5F"/>
    <w:rsid w:val="009C1109"/>
    <w:rsid w:val="009C11E2"/>
    <w:rsid w:val="009C1725"/>
    <w:rsid w:val="009C1746"/>
    <w:rsid w:val="009C1AEE"/>
    <w:rsid w:val="009C2115"/>
    <w:rsid w:val="009C29F8"/>
    <w:rsid w:val="009C2D4B"/>
    <w:rsid w:val="009C35CC"/>
    <w:rsid w:val="009C3B80"/>
    <w:rsid w:val="009C4A66"/>
    <w:rsid w:val="009C57A2"/>
    <w:rsid w:val="009C58D0"/>
    <w:rsid w:val="009C5B7B"/>
    <w:rsid w:val="009C6243"/>
    <w:rsid w:val="009C6289"/>
    <w:rsid w:val="009C6AEC"/>
    <w:rsid w:val="009C744B"/>
    <w:rsid w:val="009C7885"/>
    <w:rsid w:val="009C7D88"/>
    <w:rsid w:val="009C7FDC"/>
    <w:rsid w:val="009D0547"/>
    <w:rsid w:val="009D0C18"/>
    <w:rsid w:val="009D1085"/>
    <w:rsid w:val="009D1FB9"/>
    <w:rsid w:val="009D218A"/>
    <w:rsid w:val="009D239A"/>
    <w:rsid w:val="009D23ED"/>
    <w:rsid w:val="009D281F"/>
    <w:rsid w:val="009D2A6D"/>
    <w:rsid w:val="009D2C74"/>
    <w:rsid w:val="009D30B8"/>
    <w:rsid w:val="009D3254"/>
    <w:rsid w:val="009D366D"/>
    <w:rsid w:val="009D3BF8"/>
    <w:rsid w:val="009D3C8C"/>
    <w:rsid w:val="009D59D4"/>
    <w:rsid w:val="009D5A9F"/>
    <w:rsid w:val="009D5DB1"/>
    <w:rsid w:val="009D612F"/>
    <w:rsid w:val="009D6D81"/>
    <w:rsid w:val="009D6DD0"/>
    <w:rsid w:val="009D7F65"/>
    <w:rsid w:val="009D7FDD"/>
    <w:rsid w:val="009E070A"/>
    <w:rsid w:val="009E08C0"/>
    <w:rsid w:val="009E192B"/>
    <w:rsid w:val="009E2A11"/>
    <w:rsid w:val="009E33AC"/>
    <w:rsid w:val="009E3432"/>
    <w:rsid w:val="009E361E"/>
    <w:rsid w:val="009E3791"/>
    <w:rsid w:val="009E3AC4"/>
    <w:rsid w:val="009E4029"/>
    <w:rsid w:val="009E403C"/>
    <w:rsid w:val="009E4976"/>
    <w:rsid w:val="009E4A16"/>
    <w:rsid w:val="009E50D5"/>
    <w:rsid w:val="009E587E"/>
    <w:rsid w:val="009E5AA2"/>
    <w:rsid w:val="009E6082"/>
    <w:rsid w:val="009E6307"/>
    <w:rsid w:val="009E6CEA"/>
    <w:rsid w:val="009E6D14"/>
    <w:rsid w:val="009E7251"/>
    <w:rsid w:val="009E7E1A"/>
    <w:rsid w:val="009F0A66"/>
    <w:rsid w:val="009F1849"/>
    <w:rsid w:val="009F1E5B"/>
    <w:rsid w:val="009F22C1"/>
    <w:rsid w:val="009F3224"/>
    <w:rsid w:val="009F3832"/>
    <w:rsid w:val="009F38E1"/>
    <w:rsid w:val="009F3B74"/>
    <w:rsid w:val="009F3D8A"/>
    <w:rsid w:val="009F400E"/>
    <w:rsid w:val="009F4EAA"/>
    <w:rsid w:val="009F5208"/>
    <w:rsid w:val="009F5DAB"/>
    <w:rsid w:val="009F5F41"/>
    <w:rsid w:val="009F69D8"/>
    <w:rsid w:val="009F6CF0"/>
    <w:rsid w:val="009F73A6"/>
    <w:rsid w:val="009F7A0E"/>
    <w:rsid w:val="00A00439"/>
    <w:rsid w:val="00A00523"/>
    <w:rsid w:val="00A006AF"/>
    <w:rsid w:val="00A00DE5"/>
    <w:rsid w:val="00A018A3"/>
    <w:rsid w:val="00A02041"/>
    <w:rsid w:val="00A021F3"/>
    <w:rsid w:val="00A023C7"/>
    <w:rsid w:val="00A025A6"/>
    <w:rsid w:val="00A02D19"/>
    <w:rsid w:val="00A03BA4"/>
    <w:rsid w:val="00A0423B"/>
    <w:rsid w:val="00A04C3D"/>
    <w:rsid w:val="00A04D4B"/>
    <w:rsid w:val="00A05528"/>
    <w:rsid w:val="00A05B4A"/>
    <w:rsid w:val="00A064A6"/>
    <w:rsid w:val="00A06A70"/>
    <w:rsid w:val="00A06D44"/>
    <w:rsid w:val="00A06FDB"/>
    <w:rsid w:val="00A071E8"/>
    <w:rsid w:val="00A073C0"/>
    <w:rsid w:val="00A07CA3"/>
    <w:rsid w:val="00A07F2A"/>
    <w:rsid w:val="00A110C9"/>
    <w:rsid w:val="00A115AB"/>
    <w:rsid w:val="00A11D17"/>
    <w:rsid w:val="00A12410"/>
    <w:rsid w:val="00A12B23"/>
    <w:rsid w:val="00A12DC6"/>
    <w:rsid w:val="00A134F6"/>
    <w:rsid w:val="00A13BAA"/>
    <w:rsid w:val="00A13E9A"/>
    <w:rsid w:val="00A15366"/>
    <w:rsid w:val="00A15425"/>
    <w:rsid w:val="00A1631E"/>
    <w:rsid w:val="00A16DCA"/>
    <w:rsid w:val="00A16EE2"/>
    <w:rsid w:val="00A17481"/>
    <w:rsid w:val="00A20347"/>
    <w:rsid w:val="00A203C5"/>
    <w:rsid w:val="00A20483"/>
    <w:rsid w:val="00A208A7"/>
    <w:rsid w:val="00A2101B"/>
    <w:rsid w:val="00A214CA"/>
    <w:rsid w:val="00A21F1C"/>
    <w:rsid w:val="00A2202E"/>
    <w:rsid w:val="00A22080"/>
    <w:rsid w:val="00A22090"/>
    <w:rsid w:val="00A2328B"/>
    <w:rsid w:val="00A23827"/>
    <w:rsid w:val="00A23ABB"/>
    <w:rsid w:val="00A23DB4"/>
    <w:rsid w:val="00A24306"/>
    <w:rsid w:val="00A24701"/>
    <w:rsid w:val="00A247FE"/>
    <w:rsid w:val="00A25096"/>
    <w:rsid w:val="00A250DE"/>
    <w:rsid w:val="00A25804"/>
    <w:rsid w:val="00A25BF7"/>
    <w:rsid w:val="00A26454"/>
    <w:rsid w:val="00A26485"/>
    <w:rsid w:val="00A26C73"/>
    <w:rsid w:val="00A270C6"/>
    <w:rsid w:val="00A27166"/>
    <w:rsid w:val="00A27940"/>
    <w:rsid w:val="00A27C14"/>
    <w:rsid w:val="00A311AA"/>
    <w:rsid w:val="00A311C8"/>
    <w:rsid w:val="00A3151F"/>
    <w:rsid w:val="00A31944"/>
    <w:rsid w:val="00A31C73"/>
    <w:rsid w:val="00A322E3"/>
    <w:rsid w:val="00A323E8"/>
    <w:rsid w:val="00A327D5"/>
    <w:rsid w:val="00A32C7D"/>
    <w:rsid w:val="00A32E08"/>
    <w:rsid w:val="00A3352C"/>
    <w:rsid w:val="00A3451D"/>
    <w:rsid w:val="00A34C37"/>
    <w:rsid w:val="00A356A5"/>
    <w:rsid w:val="00A35B59"/>
    <w:rsid w:val="00A35C43"/>
    <w:rsid w:val="00A35F08"/>
    <w:rsid w:val="00A36CAF"/>
    <w:rsid w:val="00A371AB"/>
    <w:rsid w:val="00A377B1"/>
    <w:rsid w:val="00A37B2B"/>
    <w:rsid w:val="00A37C1D"/>
    <w:rsid w:val="00A37C83"/>
    <w:rsid w:val="00A37F05"/>
    <w:rsid w:val="00A40030"/>
    <w:rsid w:val="00A4062A"/>
    <w:rsid w:val="00A4077C"/>
    <w:rsid w:val="00A40D81"/>
    <w:rsid w:val="00A416A6"/>
    <w:rsid w:val="00A4172F"/>
    <w:rsid w:val="00A41A5B"/>
    <w:rsid w:val="00A41C91"/>
    <w:rsid w:val="00A41F67"/>
    <w:rsid w:val="00A41F70"/>
    <w:rsid w:val="00A4221D"/>
    <w:rsid w:val="00A42989"/>
    <w:rsid w:val="00A43071"/>
    <w:rsid w:val="00A4358E"/>
    <w:rsid w:val="00A43944"/>
    <w:rsid w:val="00A43E9D"/>
    <w:rsid w:val="00A4453A"/>
    <w:rsid w:val="00A44FB6"/>
    <w:rsid w:val="00A4527E"/>
    <w:rsid w:val="00A4530B"/>
    <w:rsid w:val="00A46382"/>
    <w:rsid w:val="00A465A1"/>
    <w:rsid w:val="00A46A8B"/>
    <w:rsid w:val="00A47C83"/>
    <w:rsid w:val="00A5034B"/>
    <w:rsid w:val="00A5080F"/>
    <w:rsid w:val="00A50AD3"/>
    <w:rsid w:val="00A512BC"/>
    <w:rsid w:val="00A5367E"/>
    <w:rsid w:val="00A54773"/>
    <w:rsid w:val="00A54797"/>
    <w:rsid w:val="00A5575A"/>
    <w:rsid w:val="00A6001B"/>
    <w:rsid w:val="00A623E3"/>
    <w:rsid w:val="00A62BD9"/>
    <w:rsid w:val="00A6312C"/>
    <w:rsid w:val="00A636E3"/>
    <w:rsid w:val="00A6382D"/>
    <w:rsid w:val="00A63C4F"/>
    <w:rsid w:val="00A63E1E"/>
    <w:rsid w:val="00A64304"/>
    <w:rsid w:val="00A644BA"/>
    <w:rsid w:val="00A64885"/>
    <w:rsid w:val="00A6551D"/>
    <w:rsid w:val="00A66742"/>
    <w:rsid w:val="00A66A76"/>
    <w:rsid w:val="00A67105"/>
    <w:rsid w:val="00A67441"/>
    <w:rsid w:val="00A6796E"/>
    <w:rsid w:val="00A70A3A"/>
    <w:rsid w:val="00A70C84"/>
    <w:rsid w:val="00A71047"/>
    <w:rsid w:val="00A71BAC"/>
    <w:rsid w:val="00A71BE0"/>
    <w:rsid w:val="00A7204D"/>
    <w:rsid w:val="00A7224D"/>
    <w:rsid w:val="00A726F2"/>
    <w:rsid w:val="00A729D3"/>
    <w:rsid w:val="00A72A46"/>
    <w:rsid w:val="00A73229"/>
    <w:rsid w:val="00A7355D"/>
    <w:rsid w:val="00A735D5"/>
    <w:rsid w:val="00A7394A"/>
    <w:rsid w:val="00A7398D"/>
    <w:rsid w:val="00A73C27"/>
    <w:rsid w:val="00A73EB4"/>
    <w:rsid w:val="00A75E22"/>
    <w:rsid w:val="00A76076"/>
    <w:rsid w:val="00A800D5"/>
    <w:rsid w:val="00A8019D"/>
    <w:rsid w:val="00A80BBD"/>
    <w:rsid w:val="00A813C9"/>
    <w:rsid w:val="00A813E2"/>
    <w:rsid w:val="00A81CD6"/>
    <w:rsid w:val="00A827D1"/>
    <w:rsid w:val="00A83015"/>
    <w:rsid w:val="00A830AF"/>
    <w:rsid w:val="00A835C9"/>
    <w:rsid w:val="00A840B0"/>
    <w:rsid w:val="00A84209"/>
    <w:rsid w:val="00A84C2D"/>
    <w:rsid w:val="00A8574C"/>
    <w:rsid w:val="00A859F0"/>
    <w:rsid w:val="00A85FA8"/>
    <w:rsid w:val="00A86445"/>
    <w:rsid w:val="00A86EAB"/>
    <w:rsid w:val="00A9083A"/>
    <w:rsid w:val="00A90CE8"/>
    <w:rsid w:val="00A91285"/>
    <w:rsid w:val="00A914B8"/>
    <w:rsid w:val="00A915BC"/>
    <w:rsid w:val="00A91C10"/>
    <w:rsid w:val="00A91DA4"/>
    <w:rsid w:val="00A91E73"/>
    <w:rsid w:val="00A924AE"/>
    <w:rsid w:val="00A92AFF"/>
    <w:rsid w:val="00A92E00"/>
    <w:rsid w:val="00A934AB"/>
    <w:rsid w:val="00A93C2C"/>
    <w:rsid w:val="00A948E0"/>
    <w:rsid w:val="00A94BEC"/>
    <w:rsid w:val="00A94F4B"/>
    <w:rsid w:val="00A95061"/>
    <w:rsid w:val="00A95743"/>
    <w:rsid w:val="00A95EC1"/>
    <w:rsid w:val="00A963CC"/>
    <w:rsid w:val="00A971EC"/>
    <w:rsid w:val="00A97ED6"/>
    <w:rsid w:val="00AA0947"/>
    <w:rsid w:val="00AA1A3B"/>
    <w:rsid w:val="00AA1B8F"/>
    <w:rsid w:val="00AA25A4"/>
    <w:rsid w:val="00AA28D9"/>
    <w:rsid w:val="00AA41B5"/>
    <w:rsid w:val="00AA41C4"/>
    <w:rsid w:val="00AA42E6"/>
    <w:rsid w:val="00AA441D"/>
    <w:rsid w:val="00AA54CB"/>
    <w:rsid w:val="00AA56FA"/>
    <w:rsid w:val="00AA593A"/>
    <w:rsid w:val="00AA6EBC"/>
    <w:rsid w:val="00AA745A"/>
    <w:rsid w:val="00AA75AB"/>
    <w:rsid w:val="00AA7A99"/>
    <w:rsid w:val="00AA7D67"/>
    <w:rsid w:val="00AB002C"/>
    <w:rsid w:val="00AB02DF"/>
    <w:rsid w:val="00AB0680"/>
    <w:rsid w:val="00AB11CD"/>
    <w:rsid w:val="00AB1CBB"/>
    <w:rsid w:val="00AB286B"/>
    <w:rsid w:val="00AB360A"/>
    <w:rsid w:val="00AB3621"/>
    <w:rsid w:val="00AB39FF"/>
    <w:rsid w:val="00AB3D1B"/>
    <w:rsid w:val="00AB4BAC"/>
    <w:rsid w:val="00AB5455"/>
    <w:rsid w:val="00AB5752"/>
    <w:rsid w:val="00AB5762"/>
    <w:rsid w:val="00AB5788"/>
    <w:rsid w:val="00AB59DE"/>
    <w:rsid w:val="00AB5DCE"/>
    <w:rsid w:val="00AB643F"/>
    <w:rsid w:val="00AB68BC"/>
    <w:rsid w:val="00AB6E3D"/>
    <w:rsid w:val="00AB72AF"/>
    <w:rsid w:val="00AB72C1"/>
    <w:rsid w:val="00AB76E5"/>
    <w:rsid w:val="00AC039B"/>
    <w:rsid w:val="00AC124C"/>
    <w:rsid w:val="00AC17DF"/>
    <w:rsid w:val="00AC1872"/>
    <w:rsid w:val="00AC1CB5"/>
    <w:rsid w:val="00AC2E18"/>
    <w:rsid w:val="00AC34FE"/>
    <w:rsid w:val="00AC3EA1"/>
    <w:rsid w:val="00AC4145"/>
    <w:rsid w:val="00AC4307"/>
    <w:rsid w:val="00AC472B"/>
    <w:rsid w:val="00AC47AA"/>
    <w:rsid w:val="00AC4A8C"/>
    <w:rsid w:val="00AC5583"/>
    <w:rsid w:val="00AC58DA"/>
    <w:rsid w:val="00AC5C2A"/>
    <w:rsid w:val="00AC6AF2"/>
    <w:rsid w:val="00AC70DD"/>
    <w:rsid w:val="00AC7C65"/>
    <w:rsid w:val="00AD0121"/>
    <w:rsid w:val="00AD014C"/>
    <w:rsid w:val="00AD0898"/>
    <w:rsid w:val="00AD139C"/>
    <w:rsid w:val="00AD1564"/>
    <w:rsid w:val="00AD1820"/>
    <w:rsid w:val="00AD1900"/>
    <w:rsid w:val="00AD1FB6"/>
    <w:rsid w:val="00AD2480"/>
    <w:rsid w:val="00AD2506"/>
    <w:rsid w:val="00AD2BC1"/>
    <w:rsid w:val="00AD3062"/>
    <w:rsid w:val="00AD31D3"/>
    <w:rsid w:val="00AD440D"/>
    <w:rsid w:val="00AD44F5"/>
    <w:rsid w:val="00AD5852"/>
    <w:rsid w:val="00AD67B6"/>
    <w:rsid w:val="00AD6943"/>
    <w:rsid w:val="00AD6D0B"/>
    <w:rsid w:val="00AD738F"/>
    <w:rsid w:val="00AD7437"/>
    <w:rsid w:val="00AD7D1F"/>
    <w:rsid w:val="00AE04C4"/>
    <w:rsid w:val="00AE0B38"/>
    <w:rsid w:val="00AE0FDC"/>
    <w:rsid w:val="00AE1242"/>
    <w:rsid w:val="00AE1725"/>
    <w:rsid w:val="00AE2713"/>
    <w:rsid w:val="00AE3ACC"/>
    <w:rsid w:val="00AE3B01"/>
    <w:rsid w:val="00AE4281"/>
    <w:rsid w:val="00AE495E"/>
    <w:rsid w:val="00AE4B45"/>
    <w:rsid w:val="00AE4CB7"/>
    <w:rsid w:val="00AE5279"/>
    <w:rsid w:val="00AE52C1"/>
    <w:rsid w:val="00AE66EE"/>
    <w:rsid w:val="00AE68D3"/>
    <w:rsid w:val="00AE6B5B"/>
    <w:rsid w:val="00AE6EAA"/>
    <w:rsid w:val="00AE753A"/>
    <w:rsid w:val="00AE7A30"/>
    <w:rsid w:val="00AE7BB6"/>
    <w:rsid w:val="00AF0034"/>
    <w:rsid w:val="00AF04E4"/>
    <w:rsid w:val="00AF1210"/>
    <w:rsid w:val="00AF26D4"/>
    <w:rsid w:val="00AF28BD"/>
    <w:rsid w:val="00AF2B20"/>
    <w:rsid w:val="00AF32F8"/>
    <w:rsid w:val="00AF3374"/>
    <w:rsid w:val="00AF40E8"/>
    <w:rsid w:val="00AF4B9F"/>
    <w:rsid w:val="00AF4C7A"/>
    <w:rsid w:val="00AF4E10"/>
    <w:rsid w:val="00AF523D"/>
    <w:rsid w:val="00AF55EB"/>
    <w:rsid w:val="00AF57CC"/>
    <w:rsid w:val="00AF597B"/>
    <w:rsid w:val="00AF6059"/>
    <w:rsid w:val="00AF60FA"/>
    <w:rsid w:val="00AF6426"/>
    <w:rsid w:val="00AF6804"/>
    <w:rsid w:val="00AF6B70"/>
    <w:rsid w:val="00AF77EF"/>
    <w:rsid w:val="00AF7830"/>
    <w:rsid w:val="00AF790E"/>
    <w:rsid w:val="00AF7C94"/>
    <w:rsid w:val="00AF7D98"/>
    <w:rsid w:val="00B0019C"/>
    <w:rsid w:val="00B001EA"/>
    <w:rsid w:val="00B005C6"/>
    <w:rsid w:val="00B00B4A"/>
    <w:rsid w:val="00B00C26"/>
    <w:rsid w:val="00B00EAE"/>
    <w:rsid w:val="00B0129A"/>
    <w:rsid w:val="00B023CB"/>
    <w:rsid w:val="00B02584"/>
    <w:rsid w:val="00B03552"/>
    <w:rsid w:val="00B03692"/>
    <w:rsid w:val="00B037C8"/>
    <w:rsid w:val="00B03DDE"/>
    <w:rsid w:val="00B04540"/>
    <w:rsid w:val="00B04758"/>
    <w:rsid w:val="00B05611"/>
    <w:rsid w:val="00B06104"/>
    <w:rsid w:val="00B06811"/>
    <w:rsid w:val="00B06C75"/>
    <w:rsid w:val="00B06E10"/>
    <w:rsid w:val="00B06F32"/>
    <w:rsid w:val="00B07325"/>
    <w:rsid w:val="00B07A19"/>
    <w:rsid w:val="00B10B74"/>
    <w:rsid w:val="00B10E37"/>
    <w:rsid w:val="00B11270"/>
    <w:rsid w:val="00B12A7A"/>
    <w:rsid w:val="00B12CDE"/>
    <w:rsid w:val="00B136D2"/>
    <w:rsid w:val="00B1399A"/>
    <w:rsid w:val="00B13AEE"/>
    <w:rsid w:val="00B14E6B"/>
    <w:rsid w:val="00B1501F"/>
    <w:rsid w:val="00B15208"/>
    <w:rsid w:val="00B153E3"/>
    <w:rsid w:val="00B15525"/>
    <w:rsid w:val="00B15828"/>
    <w:rsid w:val="00B16587"/>
    <w:rsid w:val="00B173EF"/>
    <w:rsid w:val="00B17671"/>
    <w:rsid w:val="00B17872"/>
    <w:rsid w:val="00B20101"/>
    <w:rsid w:val="00B206B7"/>
    <w:rsid w:val="00B2073C"/>
    <w:rsid w:val="00B20FD5"/>
    <w:rsid w:val="00B21266"/>
    <w:rsid w:val="00B21D5F"/>
    <w:rsid w:val="00B2288C"/>
    <w:rsid w:val="00B228B1"/>
    <w:rsid w:val="00B22909"/>
    <w:rsid w:val="00B22CEE"/>
    <w:rsid w:val="00B23603"/>
    <w:rsid w:val="00B23BEB"/>
    <w:rsid w:val="00B23E8F"/>
    <w:rsid w:val="00B24BC2"/>
    <w:rsid w:val="00B24C7C"/>
    <w:rsid w:val="00B2573F"/>
    <w:rsid w:val="00B25896"/>
    <w:rsid w:val="00B26566"/>
    <w:rsid w:val="00B26CE8"/>
    <w:rsid w:val="00B26CEA"/>
    <w:rsid w:val="00B26DAD"/>
    <w:rsid w:val="00B27C5D"/>
    <w:rsid w:val="00B30A31"/>
    <w:rsid w:val="00B30B7C"/>
    <w:rsid w:val="00B30B9F"/>
    <w:rsid w:val="00B30DE6"/>
    <w:rsid w:val="00B3129F"/>
    <w:rsid w:val="00B31EDC"/>
    <w:rsid w:val="00B33045"/>
    <w:rsid w:val="00B33F3D"/>
    <w:rsid w:val="00B345F9"/>
    <w:rsid w:val="00B347B6"/>
    <w:rsid w:val="00B34A1B"/>
    <w:rsid w:val="00B36403"/>
    <w:rsid w:val="00B36B79"/>
    <w:rsid w:val="00B36D6F"/>
    <w:rsid w:val="00B36DD3"/>
    <w:rsid w:val="00B36FA6"/>
    <w:rsid w:val="00B379BB"/>
    <w:rsid w:val="00B40419"/>
    <w:rsid w:val="00B40576"/>
    <w:rsid w:val="00B40E41"/>
    <w:rsid w:val="00B40EE2"/>
    <w:rsid w:val="00B410A0"/>
    <w:rsid w:val="00B4163E"/>
    <w:rsid w:val="00B41855"/>
    <w:rsid w:val="00B4253B"/>
    <w:rsid w:val="00B4254E"/>
    <w:rsid w:val="00B4283A"/>
    <w:rsid w:val="00B430B8"/>
    <w:rsid w:val="00B43761"/>
    <w:rsid w:val="00B44361"/>
    <w:rsid w:val="00B44B0D"/>
    <w:rsid w:val="00B44E36"/>
    <w:rsid w:val="00B4529B"/>
    <w:rsid w:val="00B45C27"/>
    <w:rsid w:val="00B45D55"/>
    <w:rsid w:val="00B45DA1"/>
    <w:rsid w:val="00B45FED"/>
    <w:rsid w:val="00B46792"/>
    <w:rsid w:val="00B46A11"/>
    <w:rsid w:val="00B46D1A"/>
    <w:rsid w:val="00B476FF"/>
    <w:rsid w:val="00B47DB8"/>
    <w:rsid w:val="00B47FB7"/>
    <w:rsid w:val="00B47FEB"/>
    <w:rsid w:val="00B50061"/>
    <w:rsid w:val="00B50CF6"/>
    <w:rsid w:val="00B50E71"/>
    <w:rsid w:val="00B50EAC"/>
    <w:rsid w:val="00B5108D"/>
    <w:rsid w:val="00B5119E"/>
    <w:rsid w:val="00B51680"/>
    <w:rsid w:val="00B5188C"/>
    <w:rsid w:val="00B51CAF"/>
    <w:rsid w:val="00B533D2"/>
    <w:rsid w:val="00B53D40"/>
    <w:rsid w:val="00B541D0"/>
    <w:rsid w:val="00B545FA"/>
    <w:rsid w:val="00B54633"/>
    <w:rsid w:val="00B54766"/>
    <w:rsid w:val="00B547D3"/>
    <w:rsid w:val="00B557F9"/>
    <w:rsid w:val="00B563DB"/>
    <w:rsid w:val="00B5682B"/>
    <w:rsid w:val="00B568B9"/>
    <w:rsid w:val="00B56A29"/>
    <w:rsid w:val="00B56A2E"/>
    <w:rsid w:val="00B570A8"/>
    <w:rsid w:val="00B57D64"/>
    <w:rsid w:val="00B600BA"/>
    <w:rsid w:val="00B60193"/>
    <w:rsid w:val="00B60F7D"/>
    <w:rsid w:val="00B61495"/>
    <w:rsid w:val="00B62CF7"/>
    <w:rsid w:val="00B6380F"/>
    <w:rsid w:val="00B64A24"/>
    <w:rsid w:val="00B65F6B"/>
    <w:rsid w:val="00B667F8"/>
    <w:rsid w:val="00B66871"/>
    <w:rsid w:val="00B66950"/>
    <w:rsid w:val="00B66DEC"/>
    <w:rsid w:val="00B66E7D"/>
    <w:rsid w:val="00B67E36"/>
    <w:rsid w:val="00B707CA"/>
    <w:rsid w:val="00B71009"/>
    <w:rsid w:val="00B713D9"/>
    <w:rsid w:val="00B71929"/>
    <w:rsid w:val="00B71BCD"/>
    <w:rsid w:val="00B71C97"/>
    <w:rsid w:val="00B7285B"/>
    <w:rsid w:val="00B74B33"/>
    <w:rsid w:val="00B74F07"/>
    <w:rsid w:val="00B75F32"/>
    <w:rsid w:val="00B762D4"/>
    <w:rsid w:val="00B769AA"/>
    <w:rsid w:val="00B76BAB"/>
    <w:rsid w:val="00B76DBB"/>
    <w:rsid w:val="00B77A6E"/>
    <w:rsid w:val="00B77AEB"/>
    <w:rsid w:val="00B80386"/>
    <w:rsid w:val="00B809D6"/>
    <w:rsid w:val="00B80D7B"/>
    <w:rsid w:val="00B80D91"/>
    <w:rsid w:val="00B80DC5"/>
    <w:rsid w:val="00B80F57"/>
    <w:rsid w:val="00B8113A"/>
    <w:rsid w:val="00B811BE"/>
    <w:rsid w:val="00B815BE"/>
    <w:rsid w:val="00B81862"/>
    <w:rsid w:val="00B81A3C"/>
    <w:rsid w:val="00B823AE"/>
    <w:rsid w:val="00B82AB0"/>
    <w:rsid w:val="00B83209"/>
    <w:rsid w:val="00B836C7"/>
    <w:rsid w:val="00B83B53"/>
    <w:rsid w:val="00B83C00"/>
    <w:rsid w:val="00B848F5"/>
    <w:rsid w:val="00B84FA3"/>
    <w:rsid w:val="00B866F1"/>
    <w:rsid w:val="00B868AA"/>
    <w:rsid w:val="00B86945"/>
    <w:rsid w:val="00B8703C"/>
    <w:rsid w:val="00B8706F"/>
    <w:rsid w:val="00B87940"/>
    <w:rsid w:val="00B90BC6"/>
    <w:rsid w:val="00B913D3"/>
    <w:rsid w:val="00B929FB"/>
    <w:rsid w:val="00B93AAC"/>
    <w:rsid w:val="00B93D2D"/>
    <w:rsid w:val="00B94147"/>
    <w:rsid w:val="00B94170"/>
    <w:rsid w:val="00B945EE"/>
    <w:rsid w:val="00B94950"/>
    <w:rsid w:val="00B94DA1"/>
    <w:rsid w:val="00B96150"/>
    <w:rsid w:val="00B964E1"/>
    <w:rsid w:val="00B96D38"/>
    <w:rsid w:val="00B96D7C"/>
    <w:rsid w:val="00B975F2"/>
    <w:rsid w:val="00B978DF"/>
    <w:rsid w:val="00BA16FD"/>
    <w:rsid w:val="00BA1705"/>
    <w:rsid w:val="00BA247B"/>
    <w:rsid w:val="00BA3B3F"/>
    <w:rsid w:val="00BA438D"/>
    <w:rsid w:val="00BA46BC"/>
    <w:rsid w:val="00BA4846"/>
    <w:rsid w:val="00BA4D96"/>
    <w:rsid w:val="00BA5227"/>
    <w:rsid w:val="00BA589D"/>
    <w:rsid w:val="00BA604F"/>
    <w:rsid w:val="00BA7364"/>
    <w:rsid w:val="00BA7682"/>
    <w:rsid w:val="00BB09FB"/>
    <w:rsid w:val="00BB0F72"/>
    <w:rsid w:val="00BB1281"/>
    <w:rsid w:val="00BB1328"/>
    <w:rsid w:val="00BB154B"/>
    <w:rsid w:val="00BB1E17"/>
    <w:rsid w:val="00BB1E70"/>
    <w:rsid w:val="00BB2188"/>
    <w:rsid w:val="00BB269D"/>
    <w:rsid w:val="00BB2845"/>
    <w:rsid w:val="00BB38EC"/>
    <w:rsid w:val="00BB404A"/>
    <w:rsid w:val="00BB4654"/>
    <w:rsid w:val="00BB4A44"/>
    <w:rsid w:val="00BB4CCE"/>
    <w:rsid w:val="00BB4FB5"/>
    <w:rsid w:val="00BB51C0"/>
    <w:rsid w:val="00BB5398"/>
    <w:rsid w:val="00BB54CD"/>
    <w:rsid w:val="00BB5526"/>
    <w:rsid w:val="00BB659F"/>
    <w:rsid w:val="00BB6DEA"/>
    <w:rsid w:val="00BB6F18"/>
    <w:rsid w:val="00BB7297"/>
    <w:rsid w:val="00BB766B"/>
    <w:rsid w:val="00BC24D7"/>
    <w:rsid w:val="00BC320C"/>
    <w:rsid w:val="00BC3667"/>
    <w:rsid w:val="00BC388C"/>
    <w:rsid w:val="00BC4D02"/>
    <w:rsid w:val="00BC4FD0"/>
    <w:rsid w:val="00BC5791"/>
    <w:rsid w:val="00BC5F05"/>
    <w:rsid w:val="00BC60CC"/>
    <w:rsid w:val="00BC62B4"/>
    <w:rsid w:val="00BC65EF"/>
    <w:rsid w:val="00BC692A"/>
    <w:rsid w:val="00BC6CE2"/>
    <w:rsid w:val="00BC6E79"/>
    <w:rsid w:val="00BC7A1D"/>
    <w:rsid w:val="00BD0108"/>
    <w:rsid w:val="00BD0A12"/>
    <w:rsid w:val="00BD0FED"/>
    <w:rsid w:val="00BD1AE7"/>
    <w:rsid w:val="00BD3089"/>
    <w:rsid w:val="00BD31CA"/>
    <w:rsid w:val="00BD5052"/>
    <w:rsid w:val="00BD511E"/>
    <w:rsid w:val="00BD5500"/>
    <w:rsid w:val="00BD5C25"/>
    <w:rsid w:val="00BD6302"/>
    <w:rsid w:val="00BD6426"/>
    <w:rsid w:val="00BD64B9"/>
    <w:rsid w:val="00BD66CD"/>
    <w:rsid w:val="00BD6D3C"/>
    <w:rsid w:val="00BD6DF3"/>
    <w:rsid w:val="00BD7318"/>
    <w:rsid w:val="00BD7BB7"/>
    <w:rsid w:val="00BD7F31"/>
    <w:rsid w:val="00BE02AE"/>
    <w:rsid w:val="00BE0CB8"/>
    <w:rsid w:val="00BE139C"/>
    <w:rsid w:val="00BE1997"/>
    <w:rsid w:val="00BE2A05"/>
    <w:rsid w:val="00BE2EF6"/>
    <w:rsid w:val="00BE2F5F"/>
    <w:rsid w:val="00BE2FA3"/>
    <w:rsid w:val="00BE3DA8"/>
    <w:rsid w:val="00BE4F40"/>
    <w:rsid w:val="00BE55D4"/>
    <w:rsid w:val="00BE5622"/>
    <w:rsid w:val="00BE5EF1"/>
    <w:rsid w:val="00BE6A8E"/>
    <w:rsid w:val="00BE6F6C"/>
    <w:rsid w:val="00BE7047"/>
    <w:rsid w:val="00BF0516"/>
    <w:rsid w:val="00BF0833"/>
    <w:rsid w:val="00BF0BA9"/>
    <w:rsid w:val="00BF0C42"/>
    <w:rsid w:val="00BF0D0F"/>
    <w:rsid w:val="00BF12CE"/>
    <w:rsid w:val="00BF1840"/>
    <w:rsid w:val="00BF1B42"/>
    <w:rsid w:val="00BF2EC9"/>
    <w:rsid w:val="00BF337E"/>
    <w:rsid w:val="00BF3422"/>
    <w:rsid w:val="00BF3747"/>
    <w:rsid w:val="00BF37D3"/>
    <w:rsid w:val="00BF48C2"/>
    <w:rsid w:val="00BF497C"/>
    <w:rsid w:val="00BF4B62"/>
    <w:rsid w:val="00BF4D40"/>
    <w:rsid w:val="00BF516B"/>
    <w:rsid w:val="00BF56C3"/>
    <w:rsid w:val="00BF62EA"/>
    <w:rsid w:val="00BF6684"/>
    <w:rsid w:val="00BF6B4E"/>
    <w:rsid w:val="00BF6C91"/>
    <w:rsid w:val="00BF6DAB"/>
    <w:rsid w:val="00BF7919"/>
    <w:rsid w:val="00BF7B06"/>
    <w:rsid w:val="00C00608"/>
    <w:rsid w:val="00C00D15"/>
    <w:rsid w:val="00C010E8"/>
    <w:rsid w:val="00C0148A"/>
    <w:rsid w:val="00C01686"/>
    <w:rsid w:val="00C01A68"/>
    <w:rsid w:val="00C01B08"/>
    <w:rsid w:val="00C02081"/>
    <w:rsid w:val="00C020FE"/>
    <w:rsid w:val="00C02ACF"/>
    <w:rsid w:val="00C03516"/>
    <w:rsid w:val="00C043DA"/>
    <w:rsid w:val="00C04F01"/>
    <w:rsid w:val="00C05911"/>
    <w:rsid w:val="00C05A32"/>
    <w:rsid w:val="00C06490"/>
    <w:rsid w:val="00C06857"/>
    <w:rsid w:val="00C06884"/>
    <w:rsid w:val="00C06B5A"/>
    <w:rsid w:val="00C07886"/>
    <w:rsid w:val="00C0795B"/>
    <w:rsid w:val="00C079B4"/>
    <w:rsid w:val="00C10F49"/>
    <w:rsid w:val="00C1103A"/>
    <w:rsid w:val="00C11720"/>
    <w:rsid w:val="00C119FB"/>
    <w:rsid w:val="00C12BA3"/>
    <w:rsid w:val="00C13DDC"/>
    <w:rsid w:val="00C14042"/>
    <w:rsid w:val="00C14582"/>
    <w:rsid w:val="00C14766"/>
    <w:rsid w:val="00C14871"/>
    <w:rsid w:val="00C154FB"/>
    <w:rsid w:val="00C16AD3"/>
    <w:rsid w:val="00C16F1B"/>
    <w:rsid w:val="00C17070"/>
    <w:rsid w:val="00C17795"/>
    <w:rsid w:val="00C177B8"/>
    <w:rsid w:val="00C17EF7"/>
    <w:rsid w:val="00C206DA"/>
    <w:rsid w:val="00C20C47"/>
    <w:rsid w:val="00C21651"/>
    <w:rsid w:val="00C2189B"/>
    <w:rsid w:val="00C21B29"/>
    <w:rsid w:val="00C21C0C"/>
    <w:rsid w:val="00C2218D"/>
    <w:rsid w:val="00C222B1"/>
    <w:rsid w:val="00C22529"/>
    <w:rsid w:val="00C225D8"/>
    <w:rsid w:val="00C227AA"/>
    <w:rsid w:val="00C2296F"/>
    <w:rsid w:val="00C22C48"/>
    <w:rsid w:val="00C22CBC"/>
    <w:rsid w:val="00C22DDA"/>
    <w:rsid w:val="00C22E2B"/>
    <w:rsid w:val="00C22FC7"/>
    <w:rsid w:val="00C23696"/>
    <w:rsid w:val="00C242D1"/>
    <w:rsid w:val="00C24A3E"/>
    <w:rsid w:val="00C24F7E"/>
    <w:rsid w:val="00C25446"/>
    <w:rsid w:val="00C25919"/>
    <w:rsid w:val="00C26C67"/>
    <w:rsid w:val="00C26F5E"/>
    <w:rsid w:val="00C274C4"/>
    <w:rsid w:val="00C27514"/>
    <w:rsid w:val="00C27624"/>
    <w:rsid w:val="00C301DA"/>
    <w:rsid w:val="00C304B9"/>
    <w:rsid w:val="00C30A18"/>
    <w:rsid w:val="00C30AC8"/>
    <w:rsid w:val="00C30B87"/>
    <w:rsid w:val="00C30BA2"/>
    <w:rsid w:val="00C3115C"/>
    <w:rsid w:val="00C313BB"/>
    <w:rsid w:val="00C31911"/>
    <w:rsid w:val="00C32081"/>
    <w:rsid w:val="00C32E49"/>
    <w:rsid w:val="00C33241"/>
    <w:rsid w:val="00C33341"/>
    <w:rsid w:val="00C33709"/>
    <w:rsid w:val="00C33735"/>
    <w:rsid w:val="00C337FD"/>
    <w:rsid w:val="00C33D52"/>
    <w:rsid w:val="00C359A0"/>
    <w:rsid w:val="00C35F1F"/>
    <w:rsid w:val="00C361D9"/>
    <w:rsid w:val="00C378D0"/>
    <w:rsid w:val="00C37AD8"/>
    <w:rsid w:val="00C403E1"/>
    <w:rsid w:val="00C407CA"/>
    <w:rsid w:val="00C40803"/>
    <w:rsid w:val="00C40F81"/>
    <w:rsid w:val="00C41008"/>
    <w:rsid w:val="00C41091"/>
    <w:rsid w:val="00C41561"/>
    <w:rsid w:val="00C41ECE"/>
    <w:rsid w:val="00C41F9F"/>
    <w:rsid w:val="00C422E3"/>
    <w:rsid w:val="00C423FF"/>
    <w:rsid w:val="00C4358E"/>
    <w:rsid w:val="00C4436C"/>
    <w:rsid w:val="00C44568"/>
    <w:rsid w:val="00C44889"/>
    <w:rsid w:val="00C44957"/>
    <w:rsid w:val="00C44A13"/>
    <w:rsid w:val="00C44EFA"/>
    <w:rsid w:val="00C452C4"/>
    <w:rsid w:val="00C45335"/>
    <w:rsid w:val="00C46142"/>
    <w:rsid w:val="00C4693A"/>
    <w:rsid w:val="00C46AA3"/>
    <w:rsid w:val="00C46AD8"/>
    <w:rsid w:val="00C4763A"/>
    <w:rsid w:val="00C47E2E"/>
    <w:rsid w:val="00C50151"/>
    <w:rsid w:val="00C5021D"/>
    <w:rsid w:val="00C50535"/>
    <w:rsid w:val="00C50C3A"/>
    <w:rsid w:val="00C51030"/>
    <w:rsid w:val="00C51252"/>
    <w:rsid w:val="00C516F0"/>
    <w:rsid w:val="00C51A0A"/>
    <w:rsid w:val="00C52A9E"/>
    <w:rsid w:val="00C537DE"/>
    <w:rsid w:val="00C53E7B"/>
    <w:rsid w:val="00C541DF"/>
    <w:rsid w:val="00C54793"/>
    <w:rsid w:val="00C55344"/>
    <w:rsid w:val="00C5584C"/>
    <w:rsid w:val="00C563CD"/>
    <w:rsid w:val="00C56473"/>
    <w:rsid w:val="00C568E1"/>
    <w:rsid w:val="00C57203"/>
    <w:rsid w:val="00C57D5D"/>
    <w:rsid w:val="00C6053F"/>
    <w:rsid w:val="00C608F6"/>
    <w:rsid w:val="00C60A3C"/>
    <w:rsid w:val="00C60CDB"/>
    <w:rsid w:val="00C611F3"/>
    <w:rsid w:val="00C61549"/>
    <w:rsid w:val="00C617B7"/>
    <w:rsid w:val="00C6271C"/>
    <w:rsid w:val="00C6308C"/>
    <w:rsid w:val="00C63215"/>
    <w:rsid w:val="00C63276"/>
    <w:rsid w:val="00C64B5A"/>
    <w:rsid w:val="00C64BC7"/>
    <w:rsid w:val="00C65818"/>
    <w:rsid w:val="00C65A5E"/>
    <w:rsid w:val="00C65A7F"/>
    <w:rsid w:val="00C65D1E"/>
    <w:rsid w:val="00C66B34"/>
    <w:rsid w:val="00C679D5"/>
    <w:rsid w:val="00C67B9E"/>
    <w:rsid w:val="00C70646"/>
    <w:rsid w:val="00C708E1"/>
    <w:rsid w:val="00C71344"/>
    <w:rsid w:val="00C7145A"/>
    <w:rsid w:val="00C71CF5"/>
    <w:rsid w:val="00C724FE"/>
    <w:rsid w:val="00C73085"/>
    <w:rsid w:val="00C73812"/>
    <w:rsid w:val="00C73BBD"/>
    <w:rsid w:val="00C73D08"/>
    <w:rsid w:val="00C74E78"/>
    <w:rsid w:val="00C74EF7"/>
    <w:rsid w:val="00C7525D"/>
    <w:rsid w:val="00C759C8"/>
    <w:rsid w:val="00C75EB9"/>
    <w:rsid w:val="00C76079"/>
    <w:rsid w:val="00C760DC"/>
    <w:rsid w:val="00C763C3"/>
    <w:rsid w:val="00C7674F"/>
    <w:rsid w:val="00C77A02"/>
    <w:rsid w:val="00C809CD"/>
    <w:rsid w:val="00C80D7A"/>
    <w:rsid w:val="00C8194D"/>
    <w:rsid w:val="00C81F0F"/>
    <w:rsid w:val="00C8240C"/>
    <w:rsid w:val="00C82E35"/>
    <w:rsid w:val="00C8395D"/>
    <w:rsid w:val="00C83ED5"/>
    <w:rsid w:val="00C84443"/>
    <w:rsid w:val="00C847BD"/>
    <w:rsid w:val="00C84BB1"/>
    <w:rsid w:val="00C85F7F"/>
    <w:rsid w:val="00C85FA9"/>
    <w:rsid w:val="00C86511"/>
    <w:rsid w:val="00C86739"/>
    <w:rsid w:val="00C86A3F"/>
    <w:rsid w:val="00C86E91"/>
    <w:rsid w:val="00C874EA"/>
    <w:rsid w:val="00C87BA7"/>
    <w:rsid w:val="00C9086E"/>
    <w:rsid w:val="00C90B4E"/>
    <w:rsid w:val="00C90B54"/>
    <w:rsid w:val="00C90F24"/>
    <w:rsid w:val="00C90F8C"/>
    <w:rsid w:val="00C910EB"/>
    <w:rsid w:val="00C9125C"/>
    <w:rsid w:val="00C915FF"/>
    <w:rsid w:val="00C9174B"/>
    <w:rsid w:val="00C9183A"/>
    <w:rsid w:val="00C921D0"/>
    <w:rsid w:val="00C925A9"/>
    <w:rsid w:val="00C92725"/>
    <w:rsid w:val="00C927BA"/>
    <w:rsid w:val="00C92E1C"/>
    <w:rsid w:val="00C93311"/>
    <w:rsid w:val="00C9412C"/>
    <w:rsid w:val="00C9446B"/>
    <w:rsid w:val="00C94ACF"/>
    <w:rsid w:val="00C94B5C"/>
    <w:rsid w:val="00C9514A"/>
    <w:rsid w:val="00C95645"/>
    <w:rsid w:val="00C957DD"/>
    <w:rsid w:val="00C97500"/>
    <w:rsid w:val="00C97A1F"/>
    <w:rsid w:val="00C97B16"/>
    <w:rsid w:val="00CA00C8"/>
    <w:rsid w:val="00CA02B8"/>
    <w:rsid w:val="00CA0EA7"/>
    <w:rsid w:val="00CA1115"/>
    <w:rsid w:val="00CA143C"/>
    <w:rsid w:val="00CA18A9"/>
    <w:rsid w:val="00CA1A94"/>
    <w:rsid w:val="00CA25EA"/>
    <w:rsid w:val="00CA285D"/>
    <w:rsid w:val="00CA3156"/>
    <w:rsid w:val="00CA32DD"/>
    <w:rsid w:val="00CA35A2"/>
    <w:rsid w:val="00CA3753"/>
    <w:rsid w:val="00CA37E2"/>
    <w:rsid w:val="00CA39AC"/>
    <w:rsid w:val="00CA4480"/>
    <w:rsid w:val="00CA4777"/>
    <w:rsid w:val="00CA495C"/>
    <w:rsid w:val="00CA4A3D"/>
    <w:rsid w:val="00CA4AFE"/>
    <w:rsid w:val="00CA4C0E"/>
    <w:rsid w:val="00CA4EED"/>
    <w:rsid w:val="00CA5FAF"/>
    <w:rsid w:val="00CA6C5F"/>
    <w:rsid w:val="00CA6DB2"/>
    <w:rsid w:val="00CA6FAA"/>
    <w:rsid w:val="00CA7775"/>
    <w:rsid w:val="00CA7919"/>
    <w:rsid w:val="00CA7D6A"/>
    <w:rsid w:val="00CB0126"/>
    <w:rsid w:val="00CB166F"/>
    <w:rsid w:val="00CB19D0"/>
    <w:rsid w:val="00CB1BB1"/>
    <w:rsid w:val="00CB20E3"/>
    <w:rsid w:val="00CB2B27"/>
    <w:rsid w:val="00CB3C24"/>
    <w:rsid w:val="00CB444B"/>
    <w:rsid w:val="00CB5E7C"/>
    <w:rsid w:val="00CB7650"/>
    <w:rsid w:val="00CB7EA7"/>
    <w:rsid w:val="00CC1A82"/>
    <w:rsid w:val="00CC23C0"/>
    <w:rsid w:val="00CC24A3"/>
    <w:rsid w:val="00CC2875"/>
    <w:rsid w:val="00CC31BF"/>
    <w:rsid w:val="00CC31F9"/>
    <w:rsid w:val="00CC4622"/>
    <w:rsid w:val="00CC4A3D"/>
    <w:rsid w:val="00CC4D06"/>
    <w:rsid w:val="00CC557A"/>
    <w:rsid w:val="00CC67DD"/>
    <w:rsid w:val="00CC6DDE"/>
    <w:rsid w:val="00CC719F"/>
    <w:rsid w:val="00CC71AF"/>
    <w:rsid w:val="00CC7348"/>
    <w:rsid w:val="00CC754E"/>
    <w:rsid w:val="00CD0220"/>
    <w:rsid w:val="00CD0352"/>
    <w:rsid w:val="00CD1076"/>
    <w:rsid w:val="00CD1332"/>
    <w:rsid w:val="00CD1414"/>
    <w:rsid w:val="00CD2052"/>
    <w:rsid w:val="00CD2352"/>
    <w:rsid w:val="00CD3E84"/>
    <w:rsid w:val="00CD6175"/>
    <w:rsid w:val="00CD6334"/>
    <w:rsid w:val="00CD6FEF"/>
    <w:rsid w:val="00CD73F9"/>
    <w:rsid w:val="00CD7770"/>
    <w:rsid w:val="00CD7B0F"/>
    <w:rsid w:val="00CE0340"/>
    <w:rsid w:val="00CE0FB8"/>
    <w:rsid w:val="00CE0FDE"/>
    <w:rsid w:val="00CE1065"/>
    <w:rsid w:val="00CE1D1C"/>
    <w:rsid w:val="00CE1EEC"/>
    <w:rsid w:val="00CE23F6"/>
    <w:rsid w:val="00CE265A"/>
    <w:rsid w:val="00CE285D"/>
    <w:rsid w:val="00CE2BB8"/>
    <w:rsid w:val="00CE2E22"/>
    <w:rsid w:val="00CE3BED"/>
    <w:rsid w:val="00CE3BFA"/>
    <w:rsid w:val="00CE4A21"/>
    <w:rsid w:val="00CE4C41"/>
    <w:rsid w:val="00CE595C"/>
    <w:rsid w:val="00CE61C5"/>
    <w:rsid w:val="00CE64DF"/>
    <w:rsid w:val="00CE666F"/>
    <w:rsid w:val="00CE6D0D"/>
    <w:rsid w:val="00CE6FF6"/>
    <w:rsid w:val="00CF020F"/>
    <w:rsid w:val="00CF0C03"/>
    <w:rsid w:val="00CF1039"/>
    <w:rsid w:val="00CF15F4"/>
    <w:rsid w:val="00CF2BA1"/>
    <w:rsid w:val="00CF2D4D"/>
    <w:rsid w:val="00CF2DAE"/>
    <w:rsid w:val="00CF2E15"/>
    <w:rsid w:val="00CF36DD"/>
    <w:rsid w:val="00CF378C"/>
    <w:rsid w:val="00CF45A2"/>
    <w:rsid w:val="00CF46CB"/>
    <w:rsid w:val="00CF5270"/>
    <w:rsid w:val="00CF54C3"/>
    <w:rsid w:val="00CF6116"/>
    <w:rsid w:val="00CF672C"/>
    <w:rsid w:val="00CF6D2A"/>
    <w:rsid w:val="00CF6E93"/>
    <w:rsid w:val="00CF7FB1"/>
    <w:rsid w:val="00D00127"/>
    <w:rsid w:val="00D0062A"/>
    <w:rsid w:val="00D00F93"/>
    <w:rsid w:val="00D02081"/>
    <w:rsid w:val="00D022F4"/>
    <w:rsid w:val="00D0249A"/>
    <w:rsid w:val="00D02518"/>
    <w:rsid w:val="00D025C3"/>
    <w:rsid w:val="00D03134"/>
    <w:rsid w:val="00D031BA"/>
    <w:rsid w:val="00D03F3B"/>
    <w:rsid w:val="00D0404E"/>
    <w:rsid w:val="00D0431C"/>
    <w:rsid w:val="00D04CCE"/>
    <w:rsid w:val="00D05356"/>
    <w:rsid w:val="00D05692"/>
    <w:rsid w:val="00D05865"/>
    <w:rsid w:val="00D06A28"/>
    <w:rsid w:val="00D070D0"/>
    <w:rsid w:val="00D071D1"/>
    <w:rsid w:val="00D10842"/>
    <w:rsid w:val="00D10DA1"/>
    <w:rsid w:val="00D1132D"/>
    <w:rsid w:val="00D11432"/>
    <w:rsid w:val="00D1151E"/>
    <w:rsid w:val="00D12340"/>
    <w:rsid w:val="00D1261F"/>
    <w:rsid w:val="00D12710"/>
    <w:rsid w:val="00D129E3"/>
    <w:rsid w:val="00D13747"/>
    <w:rsid w:val="00D138D3"/>
    <w:rsid w:val="00D13B9B"/>
    <w:rsid w:val="00D13C49"/>
    <w:rsid w:val="00D14D0A"/>
    <w:rsid w:val="00D14ECA"/>
    <w:rsid w:val="00D150F8"/>
    <w:rsid w:val="00D158FF"/>
    <w:rsid w:val="00D15B05"/>
    <w:rsid w:val="00D16F27"/>
    <w:rsid w:val="00D17046"/>
    <w:rsid w:val="00D206BE"/>
    <w:rsid w:val="00D209C8"/>
    <w:rsid w:val="00D216EF"/>
    <w:rsid w:val="00D21712"/>
    <w:rsid w:val="00D21DD5"/>
    <w:rsid w:val="00D22306"/>
    <w:rsid w:val="00D23713"/>
    <w:rsid w:val="00D23780"/>
    <w:rsid w:val="00D2382B"/>
    <w:rsid w:val="00D23A11"/>
    <w:rsid w:val="00D23E09"/>
    <w:rsid w:val="00D23FE2"/>
    <w:rsid w:val="00D257A1"/>
    <w:rsid w:val="00D25F1D"/>
    <w:rsid w:val="00D26F7D"/>
    <w:rsid w:val="00D2738A"/>
    <w:rsid w:val="00D27500"/>
    <w:rsid w:val="00D30EBE"/>
    <w:rsid w:val="00D30FA1"/>
    <w:rsid w:val="00D3100C"/>
    <w:rsid w:val="00D31AFA"/>
    <w:rsid w:val="00D31B4C"/>
    <w:rsid w:val="00D32380"/>
    <w:rsid w:val="00D33592"/>
    <w:rsid w:val="00D33ADF"/>
    <w:rsid w:val="00D33DA1"/>
    <w:rsid w:val="00D33F60"/>
    <w:rsid w:val="00D3471E"/>
    <w:rsid w:val="00D356F0"/>
    <w:rsid w:val="00D37808"/>
    <w:rsid w:val="00D37AFE"/>
    <w:rsid w:val="00D37BB8"/>
    <w:rsid w:val="00D37D31"/>
    <w:rsid w:val="00D403C1"/>
    <w:rsid w:val="00D40554"/>
    <w:rsid w:val="00D40B88"/>
    <w:rsid w:val="00D40E05"/>
    <w:rsid w:val="00D412E3"/>
    <w:rsid w:val="00D41456"/>
    <w:rsid w:val="00D4214A"/>
    <w:rsid w:val="00D42358"/>
    <w:rsid w:val="00D42867"/>
    <w:rsid w:val="00D42B6D"/>
    <w:rsid w:val="00D42B7B"/>
    <w:rsid w:val="00D42E6A"/>
    <w:rsid w:val="00D44168"/>
    <w:rsid w:val="00D441EB"/>
    <w:rsid w:val="00D44596"/>
    <w:rsid w:val="00D449B6"/>
    <w:rsid w:val="00D451A8"/>
    <w:rsid w:val="00D455A0"/>
    <w:rsid w:val="00D45954"/>
    <w:rsid w:val="00D45A65"/>
    <w:rsid w:val="00D468DA"/>
    <w:rsid w:val="00D47627"/>
    <w:rsid w:val="00D47930"/>
    <w:rsid w:val="00D502BA"/>
    <w:rsid w:val="00D50499"/>
    <w:rsid w:val="00D50CA5"/>
    <w:rsid w:val="00D510C4"/>
    <w:rsid w:val="00D5128E"/>
    <w:rsid w:val="00D513BA"/>
    <w:rsid w:val="00D516A0"/>
    <w:rsid w:val="00D517E3"/>
    <w:rsid w:val="00D519A1"/>
    <w:rsid w:val="00D51DE0"/>
    <w:rsid w:val="00D522F8"/>
    <w:rsid w:val="00D53296"/>
    <w:rsid w:val="00D53596"/>
    <w:rsid w:val="00D53F71"/>
    <w:rsid w:val="00D558AC"/>
    <w:rsid w:val="00D558FB"/>
    <w:rsid w:val="00D55B15"/>
    <w:rsid w:val="00D55E12"/>
    <w:rsid w:val="00D55F88"/>
    <w:rsid w:val="00D562CB"/>
    <w:rsid w:val="00D5664A"/>
    <w:rsid w:val="00D56B1D"/>
    <w:rsid w:val="00D56EC1"/>
    <w:rsid w:val="00D57330"/>
    <w:rsid w:val="00D57467"/>
    <w:rsid w:val="00D57483"/>
    <w:rsid w:val="00D57D6C"/>
    <w:rsid w:val="00D60E51"/>
    <w:rsid w:val="00D60FA7"/>
    <w:rsid w:val="00D62035"/>
    <w:rsid w:val="00D6223C"/>
    <w:rsid w:val="00D6241B"/>
    <w:rsid w:val="00D626C6"/>
    <w:rsid w:val="00D62A94"/>
    <w:rsid w:val="00D62B4A"/>
    <w:rsid w:val="00D62F75"/>
    <w:rsid w:val="00D64101"/>
    <w:rsid w:val="00D64106"/>
    <w:rsid w:val="00D64B6D"/>
    <w:rsid w:val="00D652B3"/>
    <w:rsid w:val="00D65871"/>
    <w:rsid w:val="00D658AE"/>
    <w:rsid w:val="00D65AC0"/>
    <w:rsid w:val="00D66221"/>
    <w:rsid w:val="00D6630C"/>
    <w:rsid w:val="00D66440"/>
    <w:rsid w:val="00D677FA"/>
    <w:rsid w:val="00D67E9D"/>
    <w:rsid w:val="00D706DF"/>
    <w:rsid w:val="00D7071D"/>
    <w:rsid w:val="00D71B67"/>
    <w:rsid w:val="00D71CDF"/>
    <w:rsid w:val="00D71E0F"/>
    <w:rsid w:val="00D7231D"/>
    <w:rsid w:val="00D72764"/>
    <w:rsid w:val="00D72DAA"/>
    <w:rsid w:val="00D733C5"/>
    <w:rsid w:val="00D73B0C"/>
    <w:rsid w:val="00D73EF1"/>
    <w:rsid w:val="00D73F42"/>
    <w:rsid w:val="00D74096"/>
    <w:rsid w:val="00D741B8"/>
    <w:rsid w:val="00D74D48"/>
    <w:rsid w:val="00D74E89"/>
    <w:rsid w:val="00D759D0"/>
    <w:rsid w:val="00D75ED7"/>
    <w:rsid w:val="00D764AD"/>
    <w:rsid w:val="00D764D8"/>
    <w:rsid w:val="00D76636"/>
    <w:rsid w:val="00D76820"/>
    <w:rsid w:val="00D76E10"/>
    <w:rsid w:val="00D76ECA"/>
    <w:rsid w:val="00D76FCB"/>
    <w:rsid w:val="00D77167"/>
    <w:rsid w:val="00D777D6"/>
    <w:rsid w:val="00D77EB2"/>
    <w:rsid w:val="00D80E10"/>
    <w:rsid w:val="00D823C7"/>
    <w:rsid w:val="00D826B3"/>
    <w:rsid w:val="00D82721"/>
    <w:rsid w:val="00D829E7"/>
    <w:rsid w:val="00D82B2D"/>
    <w:rsid w:val="00D82E10"/>
    <w:rsid w:val="00D83827"/>
    <w:rsid w:val="00D83AB6"/>
    <w:rsid w:val="00D83D38"/>
    <w:rsid w:val="00D84460"/>
    <w:rsid w:val="00D85FF5"/>
    <w:rsid w:val="00D87205"/>
    <w:rsid w:val="00D8726F"/>
    <w:rsid w:val="00D8755F"/>
    <w:rsid w:val="00D87951"/>
    <w:rsid w:val="00D90001"/>
    <w:rsid w:val="00D90A10"/>
    <w:rsid w:val="00D90B3C"/>
    <w:rsid w:val="00D90D2E"/>
    <w:rsid w:val="00D91726"/>
    <w:rsid w:val="00D91B14"/>
    <w:rsid w:val="00D91B36"/>
    <w:rsid w:val="00D92A21"/>
    <w:rsid w:val="00D92A34"/>
    <w:rsid w:val="00D92C01"/>
    <w:rsid w:val="00D92CEA"/>
    <w:rsid w:val="00D93AAA"/>
    <w:rsid w:val="00D93F11"/>
    <w:rsid w:val="00D9411E"/>
    <w:rsid w:val="00D94624"/>
    <w:rsid w:val="00D948DE"/>
    <w:rsid w:val="00D94C8C"/>
    <w:rsid w:val="00D94F10"/>
    <w:rsid w:val="00D950BF"/>
    <w:rsid w:val="00D9543B"/>
    <w:rsid w:val="00D9571B"/>
    <w:rsid w:val="00D95942"/>
    <w:rsid w:val="00D95E95"/>
    <w:rsid w:val="00D9649C"/>
    <w:rsid w:val="00D96C19"/>
    <w:rsid w:val="00D96CA6"/>
    <w:rsid w:val="00D9712E"/>
    <w:rsid w:val="00D97D33"/>
    <w:rsid w:val="00DA0A09"/>
    <w:rsid w:val="00DA0D0D"/>
    <w:rsid w:val="00DA1DD1"/>
    <w:rsid w:val="00DA1E70"/>
    <w:rsid w:val="00DA2144"/>
    <w:rsid w:val="00DA249A"/>
    <w:rsid w:val="00DA3B9C"/>
    <w:rsid w:val="00DA41AD"/>
    <w:rsid w:val="00DA4A74"/>
    <w:rsid w:val="00DA5467"/>
    <w:rsid w:val="00DA5836"/>
    <w:rsid w:val="00DA6412"/>
    <w:rsid w:val="00DA69BB"/>
    <w:rsid w:val="00DA6CEB"/>
    <w:rsid w:val="00DA6EE8"/>
    <w:rsid w:val="00DA7481"/>
    <w:rsid w:val="00DA74ED"/>
    <w:rsid w:val="00DA7543"/>
    <w:rsid w:val="00DA767C"/>
    <w:rsid w:val="00DB03D4"/>
    <w:rsid w:val="00DB1587"/>
    <w:rsid w:val="00DB1BB4"/>
    <w:rsid w:val="00DB1C71"/>
    <w:rsid w:val="00DB2795"/>
    <w:rsid w:val="00DB32E7"/>
    <w:rsid w:val="00DB34E1"/>
    <w:rsid w:val="00DB4176"/>
    <w:rsid w:val="00DB48CC"/>
    <w:rsid w:val="00DB4AC9"/>
    <w:rsid w:val="00DB5313"/>
    <w:rsid w:val="00DB5B2F"/>
    <w:rsid w:val="00DB5D9B"/>
    <w:rsid w:val="00DB71E3"/>
    <w:rsid w:val="00DB7655"/>
    <w:rsid w:val="00DB7863"/>
    <w:rsid w:val="00DB7B12"/>
    <w:rsid w:val="00DC04CD"/>
    <w:rsid w:val="00DC056F"/>
    <w:rsid w:val="00DC0DDA"/>
    <w:rsid w:val="00DC1096"/>
    <w:rsid w:val="00DC226A"/>
    <w:rsid w:val="00DC2ED2"/>
    <w:rsid w:val="00DC337A"/>
    <w:rsid w:val="00DC3D00"/>
    <w:rsid w:val="00DC466D"/>
    <w:rsid w:val="00DC4EC4"/>
    <w:rsid w:val="00DC5107"/>
    <w:rsid w:val="00DC6228"/>
    <w:rsid w:val="00DC7C72"/>
    <w:rsid w:val="00DD04C0"/>
    <w:rsid w:val="00DD0660"/>
    <w:rsid w:val="00DD0716"/>
    <w:rsid w:val="00DD09B4"/>
    <w:rsid w:val="00DD2AF5"/>
    <w:rsid w:val="00DD34AC"/>
    <w:rsid w:val="00DD392C"/>
    <w:rsid w:val="00DD39FA"/>
    <w:rsid w:val="00DD3BE7"/>
    <w:rsid w:val="00DD3EFB"/>
    <w:rsid w:val="00DD4441"/>
    <w:rsid w:val="00DD4624"/>
    <w:rsid w:val="00DD5066"/>
    <w:rsid w:val="00DD5499"/>
    <w:rsid w:val="00DD55F7"/>
    <w:rsid w:val="00DD58F7"/>
    <w:rsid w:val="00DD5B86"/>
    <w:rsid w:val="00DD5CE6"/>
    <w:rsid w:val="00DD7384"/>
    <w:rsid w:val="00DE010F"/>
    <w:rsid w:val="00DE0A13"/>
    <w:rsid w:val="00DE15BB"/>
    <w:rsid w:val="00DE1694"/>
    <w:rsid w:val="00DE2067"/>
    <w:rsid w:val="00DE232B"/>
    <w:rsid w:val="00DE3496"/>
    <w:rsid w:val="00DE34D4"/>
    <w:rsid w:val="00DE3C24"/>
    <w:rsid w:val="00DE4747"/>
    <w:rsid w:val="00DE4F4F"/>
    <w:rsid w:val="00DE5A5F"/>
    <w:rsid w:val="00DE5E12"/>
    <w:rsid w:val="00DE6242"/>
    <w:rsid w:val="00DE641F"/>
    <w:rsid w:val="00DE7522"/>
    <w:rsid w:val="00DF0157"/>
    <w:rsid w:val="00DF0AD0"/>
    <w:rsid w:val="00DF0E4C"/>
    <w:rsid w:val="00DF181B"/>
    <w:rsid w:val="00DF1BEC"/>
    <w:rsid w:val="00DF265C"/>
    <w:rsid w:val="00DF27FB"/>
    <w:rsid w:val="00DF28EC"/>
    <w:rsid w:val="00DF2B29"/>
    <w:rsid w:val="00DF2FA3"/>
    <w:rsid w:val="00DF32F5"/>
    <w:rsid w:val="00DF35F9"/>
    <w:rsid w:val="00DF3901"/>
    <w:rsid w:val="00DF4596"/>
    <w:rsid w:val="00DF4717"/>
    <w:rsid w:val="00DF4CE6"/>
    <w:rsid w:val="00DF55C6"/>
    <w:rsid w:val="00DF6019"/>
    <w:rsid w:val="00DF7767"/>
    <w:rsid w:val="00E00156"/>
    <w:rsid w:val="00E0025B"/>
    <w:rsid w:val="00E008E0"/>
    <w:rsid w:val="00E0218A"/>
    <w:rsid w:val="00E02BDB"/>
    <w:rsid w:val="00E02FC6"/>
    <w:rsid w:val="00E0314D"/>
    <w:rsid w:val="00E03A25"/>
    <w:rsid w:val="00E04388"/>
    <w:rsid w:val="00E043EB"/>
    <w:rsid w:val="00E04BCA"/>
    <w:rsid w:val="00E056A9"/>
    <w:rsid w:val="00E0646A"/>
    <w:rsid w:val="00E06F9E"/>
    <w:rsid w:val="00E075F2"/>
    <w:rsid w:val="00E07C60"/>
    <w:rsid w:val="00E11233"/>
    <w:rsid w:val="00E11639"/>
    <w:rsid w:val="00E116AB"/>
    <w:rsid w:val="00E11B22"/>
    <w:rsid w:val="00E11D30"/>
    <w:rsid w:val="00E121E8"/>
    <w:rsid w:val="00E12755"/>
    <w:rsid w:val="00E12855"/>
    <w:rsid w:val="00E12BB8"/>
    <w:rsid w:val="00E12D83"/>
    <w:rsid w:val="00E12EEC"/>
    <w:rsid w:val="00E1310D"/>
    <w:rsid w:val="00E15615"/>
    <w:rsid w:val="00E15C06"/>
    <w:rsid w:val="00E16370"/>
    <w:rsid w:val="00E1643A"/>
    <w:rsid w:val="00E16E33"/>
    <w:rsid w:val="00E16E90"/>
    <w:rsid w:val="00E1774C"/>
    <w:rsid w:val="00E1775D"/>
    <w:rsid w:val="00E17DAE"/>
    <w:rsid w:val="00E17EE9"/>
    <w:rsid w:val="00E20686"/>
    <w:rsid w:val="00E20A9D"/>
    <w:rsid w:val="00E21F7D"/>
    <w:rsid w:val="00E224A7"/>
    <w:rsid w:val="00E228B9"/>
    <w:rsid w:val="00E234DE"/>
    <w:rsid w:val="00E2385C"/>
    <w:rsid w:val="00E244D1"/>
    <w:rsid w:val="00E25279"/>
    <w:rsid w:val="00E258E9"/>
    <w:rsid w:val="00E25A9D"/>
    <w:rsid w:val="00E25DE0"/>
    <w:rsid w:val="00E25E53"/>
    <w:rsid w:val="00E2642C"/>
    <w:rsid w:val="00E271B6"/>
    <w:rsid w:val="00E27A6F"/>
    <w:rsid w:val="00E27AC8"/>
    <w:rsid w:val="00E3022B"/>
    <w:rsid w:val="00E302C0"/>
    <w:rsid w:val="00E30437"/>
    <w:rsid w:val="00E306DC"/>
    <w:rsid w:val="00E30B7D"/>
    <w:rsid w:val="00E3140D"/>
    <w:rsid w:val="00E31AF1"/>
    <w:rsid w:val="00E31E7F"/>
    <w:rsid w:val="00E32084"/>
    <w:rsid w:val="00E321B5"/>
    <w:rsid w:val="00E32412"/>
    <w:rsid w:val="00E328FC"/>
    <w:rsid w:val="00E32B6D"/>
    <w:rsid w:val="00E32EFF"/>
    <w:rsid w:val="00E3333B"/>
    <w:rsid w:val="00E33649"/>
    <w:rsid w:val="00E33B1A"/>
    <w:rsid w:val="00E34533"/>
    <w:rsid w:val="00E34926"/>
    <w:rsid w:val="00E34A20"/>
    <w:rsid w:val="00E34B0F"/>
    <w:rsid w:val="00E34D17"/>
    <w:rsid w:val="00E35202"/>
    <w:rsid w:val="00E35703"/>
    <w:rsid w:val="00E35710"/>
    <w:rsid w:val="00E36351"/>
    <w:rsid w:val="00E36508"/>
    <w:rsid w:val="00E365EC"/>
    <w:rsid w:val="00E36869"/>
    <w:rsid w:val="00E36AE7"/>
    <w:rsid w:val="00E37517"/>
    <w:rsid w:val="00E37853"/>
    <w:rsid w:val="00E37F37"/>
    <w:rsid w:val="00E41434"/>
    <w:rsid w:val="00E41718"/>
    <w:rsid w:val="00E42177"/>
    <w:rsid w:val="00E4269B"/>
    <w:rsid w:val="00E42BB3"/>
    <w:rsid w:val="00E4368B"/>
    <w:rsid w:val="00E43C6F"/>
    <w:rsid w:val="00E44078"/>
    <w:rsid w:val="00E442D1"/>
    <w:rsid w:val="00E44CAC"/>
    <w:rsid w:val="00E45F0D"/>
    <w:rsid w:val="00E46DA6"/>
    <w:rsid w:val="00E4735F"/>
    <w:rsid w:val="00E478BD"/>
    <w:rsid w:val="00E47AB2"/>
    <w:rsid w:val="00E50E20"/>
    <w:rsid w:val="00E50E41"/>
    <w:rsid w:val="00E528A8"/>
    <w:rsid w:val="00E52A13"/>
    <w:rsid w:val="00E52B53"/>
    <w:rsid w:val="00E532CA"/>
    <w:rsid w:val="00E537CD"/>
    <w:rsid w:val="00E5420F"/>
    <w:rsid w:val="00E54630"/>
    <w:rsid w:val="00E55896"/>
    <w:rsid w:val="00E55A04"/>
    <w:rsid w:val="00E564DE"/>
    <w:rsid w:val="00E56588"/>
    <w:rsid w:val="00E56B56"/>
    <w:rsid w:val="00E56C0A"/>
    <w:rsid w:val="00E56D13"/>
    <w:rsid w:val="00E570A1"/>
    <w:rsid w:val="00E57155"/>
    <w:rsid w:val="00E5797C"/>
    <w:rsid w:val="00E579F3"/>
    <w:rsid w:val="00E57EC9"/>
    <w:rsid w:val="00E6019D"/>
    <w:rsid w:val="00E601FD"/>
    <w:rsid w:val="00E60D50"/>
    <w:rsid w:val="00E614B1"/>
    <w:rsid w:val="00E6194C"/>
    <w:rsid w:val="00E61CBD"/>
    <w:rsid w:val="00E61FA1"/>
    <w:rsid w:val="00E6202B"/>
    <w:rsid w:val="00E6297A"/>
    <w:rsid w:val="00E62995"/>
    <w:rsid w:val="00E629C0"/>
    <w:rsid w:val="00E62C3C"/>
    <w:rsid w:val="00E63846"/>
    <w:rsid w:val="00E63959"/>
    <w:rsid w:val="00E63C7F"/>
    <w:rsid w:val="00E641C8"/>
    <w:rsid w:val="00E642EF"/>
    <w:rsid w:val="00E6548D"/>
    <w:rsid w:val="00E65A2E"/>
    <w:rsid w:val="00E65B43"/>
    <w:rsid w:val="00E65EDA"/>
    <w:rsid w:val="00E66329"/>
    <w:rsid w:val="00E66AC7"/>
    <w:rsid w:val="00E66B70"/>
    <w:rsid w:val="00E66CF7"/>
    <w:rsid w:val="00E66F63"/>
    <w:rsid w:val="00E672D3"/>
    <w:rsid w:val="00E67681"/>
    <w:rsid w:val="00E67858"/>
    <w:rsid w:val="00E700A3"/>
    <w:rsid w:val="00E70F1E"/>
    <w:rsid w:val="00E70FBC"/>
    <w:rsid w:val="00E71DB3"/>
    <w:rsid w:val="00E71E30"/>
    <w:rsid w:val="00E71E31"/>
    <w:rsid w:val="00E72621"/>
    <w:rsid w:val="00E72746"/>
    <w:rsid w:val="00E73B4C"/>
    <w:rsid w:val="00E743FC"/>
    <w:rsid w:val="00E745C3"/>
    <w:rsid w:val="00E74ABA"/>
    <w:rsid w:val="00E74E38"/>
    <w:rsid w:val="00E7523D"/>
    <w:rsid w:val="00E753FF"/>
    <w:rsid w:val="00E757FF"/>
    <w:rsid w:val="00E75F54"/>
    <w:rsid w:val="00E7632A"/>
    <w:rsid w:val="00E76795"/>
    <w:rsid w:val="00E77409"/>
    <w:rsid w:val="00E7788D"/>
    <w:rsid w:val="00E77A3D"/>
    <w:rsid w:val="00E80505"/>
    <w:rsid w:val="00E8089B"/>
    <w:rsid w:val="00E80DEB"/>
    <w:rsid w:val="00E81D56"/>
    <w:rsid w:val="00E82FE7"/>
    <w:rsid w:val="00E83192"/>
    <w:rsid w:val="00E835B4"/>
    <w:rsid w:val="00E83B66"/>
    <w:rsid w:val="00E83E65"/>
    <w:rsid w:val="00E84364"/>
    <w:rsid w:val="00E84D8C"/>
    <w:rsid w:val="00E85C08"/>
    <w:rsid w:val="00E8697C"/>
    <w:rsid w:val="00E869A8"/>
    <w:rsid w:val="00E86AC5"/>
    <w:rsid w:val="00E86F84"/>
    <w:rsid w:val="00E87A0D"/>
    <w:rsid w:val="00E90007"/>
    <w:rsid w:val="00E9021D"/>
    <w:rsid w:val="00E90BEE"/>
    <w:rsid w:val="00E914A7"/>
    <w:rsid w:val="00E91A1E"/>
    <w:rsid w:val="00E9313F"/>
    <w:rsid w:val="00E933C8"/>
    <w:rsid w:val="00E93786"/>
    <w:rsid w:val="00E939F5"/>
    <w:rsid w:val="00E93A13"/>
    <w:rsid w:val="00E943A6"/>
    <w:rsid w:val="00E943D9"/>
    <w:rsid w:val="00E95683"/>
    <w:rsid w:val="00E95D31"/>
    <w:rsid w:val="00E96060"/>
    <w:rsid w:val="00E96B9A"/>
    <w:rsid w:val="00E9754C"/>
    <w:rsid w:val="00E97774"/>
    <w:rsid w:val="00E977E3"/>
    <w:rsid w:val="00E97821"/>
    <w:rsid w:val="00EA055D"/>
    <w:rsid w:val="00EA0E81"/>
    <w:rsid w:val="00EA10FD"/>
    <w:rsid w:val="00EA11E8"/>
    <w:rsid w:val="00EA1606"/>
    <w:rsid w:val="00EA1788"/>
    <w:rsid w:val="00EA17FA"/>
    <w:rsid w:val="00EA1A53"/>
    <w:rsid w:val="00EA1DF2"/>
    <w:rsid w:val="00EA20DA"/>
    <w:rsid w:val="00EA243D"/>
    <w:rsid w:val="00EA2653"/>
    <w:rsid w:val="00EA4CDA"/>
    <w:rsid w:val="00EA5861"/>
    <w:rsid w:val="00EA6335"/>
    <w:rsid w:val="00EA64BA"/>
    <w:rsid w:val="00EA6B77"/>
    <w:rsid w:val="00EA6BFC"/>
    <w:rsid w:val="00EA730F"/>
    <w:rsid w:val="00EA755C"/>
    <w:rsid w:val="00EA7733"/>
    <w:rsid w:val="00EB0A9B"/>
    <w:rsid w:val="00EB0F78"/>
    <w:rsid w:val="00EB14E5"/>
    <w:rsid w:val="00EB1B53"/>
    <w:rsid w:val="00EB32E9"/>
    <w:rsid w:val="00EB3E6D"/>
    <w:rsid w:val="00EB3F05"/>
    <w:rsid w:val="00EB42B9"/>
    <w:rsid w:val="00EB5C5F"/>
    <w:rsid w:val="00EB5E20"/>
    <w:rsid w:val="00EB5E79"/>
    <w:rsid w:val="00EB62FA"/>
    <w:rsid w:val="00EB6C42"/>
    <w:rsid w:val="00EB7D5D"/>
    <w:rsid w:val="00EC06FE"/>
    <w:rsid w:val="00EC075E"/>
    <w:rsid w:val="00EC0770"/>
    <w:rsid w:val="00EC113B"/>
    <w:rsid w:val="00EC2312"/>
    <w:rsid w:val="00EC23E5"/>
    <w:rsid w:val="00EC2668"/>
    <w:rsid w:val="00EC2E13"/>
    <w:rsid w:val="00EC3AA1"/>
    <w:rsid w:val="00EC3B02"/>
    <w:rsid w:val="00EC40B7"/>
    <w:rsid w:val="00EC41C3"/>
    <w:rsid w:val="00EC4274"/>
    <w:rsid w:val="00EC5254"/>
    <w:rsid w:val="00EC6A6F"/>
    <w:rsid w:val="00EC77CF"/>
    <w:rsid w:val="00ED158A"/>
    <w:rsid w:val="00ED1EBA"/>
    <w:rsid w:val="00ED1FD0"/>
    <w:rsid w:val="00ED204A"/>
    <w:rsid w:val="00ED2860"/>
    <w:rsid w:val="00ED2D7B"/>
    <w:rsid w:val="00ED7738"/>
    <w:rsid w:val="00EE0BBC"/>
    <w:rsid w:val="00EE109F"/>
    <w:rsid w:val="00EE11DD"/>
    <w:rsid w:val="00EE1272"/>
    <w:rsid w:val="00EE21AC"/>
    <w:rsid w:val="00EE330D"/>
    <w:rsid w:val="00EE3EBC"/>
    <w:rsid w:val="00EE44B6"/>
    <w:rsid w:val="00EE5AA2"/>
    <w:rsid w:val="00EE6196"/>
    <w:rsid w:val="00EE65BF"/>
    <w:rsid w:val="00EE6A73"/>
    <w:rsid w:val="00EE7031"/>
    <w:rsid w:val="00EE723A"/>
    <w:rsid w:val="00EE7414"/>
    <w:rsid w:val="00EF0748"/>
    <w:rsid w:val="00EF0A27"/>
    <w:rsid w:val="00EF0DEA"/>
    <w:rsid w:val="00EF12CB"/>
    <w:rsid w:val="00EF1511"/>
    <w:rsid w:val="00EF1F36"/>
    <w:rsid w:val="00EF390C"/>
    <w:rsid w:val="00EF3950"/>
    <w:rsid w:val="00EF3C0E"/>
    <w:rsid w:val="00EF48AF"/>
    <w:rsid w:val="00EF48D0"/>
    <w:rsid w:val="00EF498D"/>
    <w:rsid w:val="00EF514A"/>
    <w:rsid w:val="00EF5951"/>
    <w:rsid w:val="00EF6403"/>
    <w:rsid w:val="00EF6BA2"/>
    <w:rsid w:val="00EF7768"/>
    <w:rsid w:val="00EF7959"/>
    <w:rsid w:val="00F0004A"/>
    <w:rsid w:val="00F01589"/>
    <w:rsid w:val="00F0168D"/>
    <w:rsid w:val="00F01A6B"/>
    <w:rsid w:val="00F01C9C"/>
    <w:rsid w:val="00F01CB7"/>
    <w:rsid w:val="00F01E75"/>
    <w:rsid w:val="00F022A8"/>
    <w:rsid w:val="00F02392"/>
    <w:rsid w:val="00F0281E"/>
    <w:rsid w:val="00F04826"/>
    <w:rsid w:val="00F05B7A"/>
    <w:rsid w:val="00F06147"/>
    <w:rsid w:val="00F0673B"/>
    <w:rsid w:val="00F067E1"/>
    <w:rsid w:val="00F073B7"/>
    <w:rsid w:val="00F074F8"/>
    <w:rsid w:val="00F0789E"/>
    <w:rsid w:val="00F07F84"/>
    <w:rsid w:val="00F07FFB"/>
    <w:rsid w:val="00F1115C"/>
    <w:rsid w:val="00F11A0E"/>
    <w:rsid w:val="00F11AB5"/>
    <w:rsid w:val="00F1226B"/>
    <w:rsid w:val="00F12481"/>
    <w:rsid w:val="00F12EEB"/>
    <w:rsid w:val="00F13182"/>
    <w:rsid w:val="00F1350C"/>
    <w:rsid w:val="00F14734"/>
    <w:rsid w:val="00F14A6C"/>
    <w:rsid w:val="00F1512D"/>
    <w:rsid w:val="00F15279"/>
    <w:rsid w:val="00F1565E"/>
    <w:rsid w:val="00F15958"/>
    <w:rsid w:val="00F160A9"/>
    <w:rsid w:val="00F163EC"/>
    <w:rsid w:val="00F16A2C"/>
    <w:rsid w:val="00F16FA5"/>
    <w:rsid w:val="00F17F05"/>
    <w:rsid w:val="00F207E8"/>
    <w:rsid w:val="00F20F80"/>
    <w:rsid w:val="00F2187C"/>
    <w:rsid w:val="00F230DD"/>
    <w:rsid w:val="00F233D6"/>
    <w:rsid w:val="00F23E52"/>
    <w:rsid w:val="00F24006"/>
    <w:rsid w:val="00F25B9F"/>
    <w:rsid w:val="00F268F1"/>
    <w:rsid w:val="00F26DD6"/>
    <w:rsid w:val="00F274E1"/>
    <w:rsid w:val="00F277FE"/>
    <w:rsid w:val="00F30127"/>
    <w:rsid w:val="00F30984"/>
    <w:rsid w:val="00F30AE5"/>
    <w:rsid w:val="00F31AFF"/>
    <w:rsid w:val="00F31CE5"/>
    <w:rsid w:val="00F32421"/>
    <w:rsid w:val="00F325A1"/>
    <w:rsid w:val="00F32E02"/>
    <w:rsid w:val="00F33307"/>
    <w:rsid w:val="00F33348"/>
    <w:rsid w:val="00F33392"/>
    <w:rsid w:val="00F3392E"/>
    <w:rsid w:val="00F33F4C"/>
    <w:rsid w:val="00F3450C"/>
    <w:rsid w:val="00F35BC9"/>
    <w:rsid w:val="00F35E1D"/>
    <w:rsid w:val="00F363BE"/>
    <w:rsid w:val="00F36ADE"/>
    <w:rsid w:val="00F371B2"/>
    <w:rsid w:val="00F37971"/>
    <w:rsid w:val="00F37C90"/>
    <w:rsid w:val="00F42868"/>
    <w:rsid w:val="00F42892"/>
    <w:rsid w:val="00F429D2"/>
    <w:rsid w:val="00F42E0C"/>
    <w:rsid w:val="00F42EAC"/>
    <w:rsid w:val="00F434FF"/>
    <w:rsid w:val="00F43A81"/>
    <w:rsid w:val="00F43B1E"/>
    <w:rsid w:val="00F44843"/>
    <w:rsid w:val="00F449FB"/>
    <w:rsid w:val="00F44C73"/>
    <w:rsid w:val="00F44E91"/>
    <w:rsid w:val="00F44FF1"/>
    <w:rsid w:val="00F45367"/>
    <w:rsid w:val="00F462A3"/>
    <w:rsid w:val="00F4645D"/>
    <w:rsid w:val="00F46CBF"/>
    <w:rsid w:val="00F471EF"/>
    <w:rsid w:val="00F47944"/>
    <w:rsid w:val="00F47DDC"/>
    <w:rsid w:val="00F47F39"/>
    <w:rsid w:val="00F51220"/>
    <w:rsid w:val="00F515F1"/>
    <w:rsid w:val="00F517C5"/>
    <w:rsid w:val="00F51AAF"/>
    <w:rsid w:val="00F5217E"/>
    <w:rsid w:val="00F52211"/>
    <w:rsid w:val="00F523BA"/>
    <w:rsid w:val="00F526D5"/>
    <w:rsid w:val="00F52791"/>
    <w:rsid w:val="00F52A9F"/>
    <w:rsid w:val="00F52E39"/>
    <w:rsid w:val="00F5310D"/>
    <w:rsid w:val="00F53B47"/>
    <w:rsid w:val="00F53C19"/>
    <w:rsid w:val="00F54601"/>
    <w:rsid w:val="00F5481E"/>
    <w:rsid w:val="00F54871"/>
    <w:rsid w:val="00F54FE8"/>
    <w:rsid w:val="00F562A2"/>
    <w:rsid w:val="00F56D73"/>
    <w:rsid w:val="00F579E9"/>
    <w:rsid w:val="00F60F44"/>
    <w:rsid w:val="00F60F63"/>
    <w:rsid w:val="00F60FF2"/>
    <w:rsid w:val="00F61AA2"/>
    <w:rsid w:val="00F629DC"/>
    <w:rsid w:val="00F630D7"/>
    <w:rsid w:val="00F6365E"/>
    <w:rsid w:val="00F63CD6"/>
    <w:rsid w:val="00F6450F"/>
    <w:rsid w:val="00F64D2A"/>
    <w:rsid w:val="00F64DC3"/>
    <w:rsid w:val="00F64F85"/>
    <w:rsid w:val="00F65486"/>
    <w:rsid w:val="00F65523"/>
    <w:rsid w:val="00F6565D"/>
    <w:rsid w:val="00F65CCA"/>
    <w:rsid w:val="00F65ECC"/>
    <w:rsid w:val="00F66957"/>
    <w:rsid w:val="00F66BDB"/>
    <w:rsid w:val="00F67155"/>
    <w:rsid w:val="00F675C1"/>
    <w:rsid w:val="00F679C9"/>
    <w:rsid w:val="00F67BF3"/>
    <w:rsid w:val="00F67C23"/>
    <w:rsid w:val="00F67CD9"/>
    <w:rsid w:val="00F7101C"/>
    <w:rsid w:val="00F7158F"/>
    <w:rsid w:val="00F71800"/>
    <w:rsid w:val="00F71CA9"/>
    <w:rsid w:val="00F72007"/>
    <w:rsid w:val="00F72299"/>
    <w:rsid w:val="00F7242F"/>
    <w:rsid w:val="00F724D1"/>
    <w:rsid w:val="00F72919"/>
    <w:rsid w:val="00F73486"/>
    <w:rsid w:val="00F73546"/>
    <w:rsid w:val="00F736BD"/>
    <w:rsid w:val="00F7422B"/>
    <w:rsid w:val="00F74DCD"/>
    <w:rsid w:val="00F74DE2"/>
    <w:rsid w:val="00F75175"/>
    <w:rsid w:val="00F756B3"/>
    <w:rsid w:val="00F758CF"/>
    <w:rsid w:val="00F75AAE"/>
    <w:rsid w:val="00F75C1D"/>
    <w:rsid w:val="00F76434"/>
    <w:rsid w:val="00F7789E"/>
    <w:rsid w:val="00F77F53"/>
    <w:rsid w:val="00F80543"/>
    <w:rsid w:val="00F80585"/>
    <w:rsid w:val="00F80750"/>
    <w:rsid w:val="00F810DF"/>
    <w:rsid w:val="00F818C1"/>
    <w:rsid w:val="00F81FDC"/>
    <w:rsid w:val="00F821FA"/>
    <w:rsid w:val="00F8361A"/>
    <w:rsid w:val="00F83D65"/>
    <w:rsid w:val="00F83FA0"/>
    <w:rsid w:val="00F849BE"/>
    <w:rsid w:val="00F85147"/>
    <w:rsid w:val="00F853D1"/>
    <w:rsid w:val="00F854C6"/>
    <w:rsid w:val="00F85614"/>
    <w:rsid w:val="00F857E0"/>
    <w:rsid w:val="00F858FB"/>
    <w:rsid w:val="00F85A48"/>
    <w:rsid w:val="00F86241"/>
    <w:rsid w:val="00F86388"/>
    <w:rsid w:val="00F86477"/>
    <w:rsid w:val="00F87C3E"/>
    <w:rsid w:val="00F9113F"/>
    <w:rsid w:val="00F91897"/>
    <w:rsid w:val="00F918F9"/>
    <w:rsid w:val="00F91DD9"/>
    <w:rsid w:val="00F92C3B"/>
    <w:rsid w:val="00F93E57"/>
    <w:rsid w:val="00F9413C"/>
    <w:rsid w:val="00F94653"/>
    <w:rsid w:val="00F94690"/>
    <w:rsid w:val="00F9536B"/>
    <w:rsid w:val="00F95741"/>
    <w:rsid w:val="00F961A1"/>
    <w:rsid w:val="00F9633C"/>
    <w:rsid w:val="00F964C4"/>
    <w:rsid w:val="00F97A63"/>
    <w:rsid w:val="00F97D07"/>
    <w:rsid w:val="00FA0CA3"/>
    <w:rsid w:val="00FA1CB1"/>
    <w:rsid w:val="00FA25A7"/>
    <w:rsid w:val="00FA27A1"/>
    <w:rsid w:val="00FA2982"/>
    <w:rsid w:val="00FA2B67"/>
    <w:rsid w:val="00FA3760"/>
    <w:rsid w:val="00FA41AE"/>
    <w:rsid w:val="00FA4269"/>
    <w:rsid w:val="00FA447A"/>
    <w:rsid w:val="00FA4F83"/>
    <w:rsid w:val="00FA53C1"/>
    <w:rsid w:val="00FA54D0"/>
    <w:rsid w:val="00FA5615"/>
    <w:rsid w:val="00FA5A44"/>
    <w:rsid w:val="00FA5D30"/>
    <w:rsid w:val="00FA612C"/>
    <w:rsid w:val="00FA655E"/>
    <w:rsid w:val="00FA6B56"/>
    <w:rsid w:val="00FA6E6C"/>
    <w:rsid w:val="00FA717A"/>
    <w:rsid w:val="00FA71DF"/>
    <w:rsid w:val="00FA741E"/>
    <w:rsid w:val="00FA7468"/>
    <w:rsid w:val="00FA7797"/>
    <w:rsid w:val="00FA7AD6"/>
    <w:rsid w:val="00FB195A"/>
    <w:rsid w:val="00FB1EE7"/>
    <w:rsid w:val="00FB3814"/>
    <w:rsid w:val="00FB3D26"/>
    <w:rsid w:val="00FB4140"/>
    <w:rsid w:val="00FB47C9"/>
    <w:rsid w:val="00FB47D8"/>
    <w:rsid w:val="00FB4C83"/>
    <w:rsid w:val="00FB4DD5"/>
    <w:rsid w:val="00FB61B8"/>
    <w:rsid w:val="00FB61C2"/>
    <w:rsid w:val="00FB70A0"/>
    <w:rsid w:val="00FB7108"/>
    <w:rsid w:val="00FB73D8"/>
    <w:rsid w:val="00FC058E"/>
    <w:rsid w:val="00FC276A"/>
    <w:rsid w:val="00FC2FE3"/>
    <w:rsid w:val="00FC30AC"/>
    <w:rsid w:val="00FC3407"/>
    <w:rsid w:val="00FC346E"/>
    <w:rsid w:val="00FC35B9"/>
    <w:rsid w:val="00FC4007"/>
    <w:rsid w:val="00FC4053"/>
    <w:rsid w:val="00FC408A"/>
    <w:rsid w:val="00FC4546"/>
    <w:rsid w:val="00FC5262"/>
    <w:rsid w:val="00FC5494"/>
    <w:rsid w:val="00FC59E1"/>
    <w:rsid w:val="00FC61AB"/>
    <w:rsid w:val="00FC65AD"/>
    <w:rsid w:val="00FC7192"/>
    <w:rsid w:val="00FC779D"/>
    <w:rsid w:val="00FD0292"/>
    <w:rsid w:val="00FD08C9"/>
    <w:rsid w:val="00FD0D5F"/>
    <w:rsid w:val="00FD0E29"/>
    <w:rsid w:val="00FD158B"/>
    <w:rsid w:val="00FD2568"/>
    <w:rsid w:val="00FD25CE"/>
    <w:rsid w:val="00FD2AA3"/>
    <w:rsid w:val="00FD2F16"/>
    <w:rsid w:val="00FD3435"/>
    <w:rsid w:val="00FD3771"/>
    <w:rsid w:val="00FD38B8"/>
    <w:rsid w:val="00FD3DA0"/>
    <w:rsid w:val="00FD3DAB"/>
    <w:rsid w:val="00FD465C"/>
    <w:rsid w:val="00FD4AD1"/>
    <w:rsid w:val="00FD4E26"/>
    <w:rsid w:val="00FD4FA4"/>
    <w:rsid w:val="00FD5A17"/>
    <w:rsid w:val="00FD5BC4"/>
    <w:rsid w:val="00FD5FB4"/>
    <w:rsid w:val="00FD6614"/>
    <w:rsid w:val="00FD68D2"/>
    <w:rsid w:val="00FD70E3"/>
    <w:rsid w:val="00FD7492"/>
    <w:rsid w:val="00FD7840"/>
    <w:rsid w:val="00FE0288"/>
    <w:rsid w:val="00FE069E"/>
    <w:rsid w:val="00FE0B89"/>
    <w:rsid w:val="00FE0D4A"/>
    <w:rsid w:val="00FE1947"/>
    <w:rsid w:val="00FE1E36"/>
    <w:rsid w:val="00FE1EF5"/>
    <w:rsid w:val="00FE1FFA"/>
    <w:rsid w:val="00FE2560"/>
    <w:rsid w:val="00FE2A80"/>
    <w:rsid w:val="00FE2F86"/>
    <w:rsid w:val="00FE2FA4"/>
    <w:rsid w:val="00FE33CE"/>
    <w:rsid w:val="00FE3F57"/>
    <w:rsid w:val="00FE42AC"/>
    <w:rsid w:val="00FE45D0"/>
    <w:rsid w:val="00FE5A8D"/>
    <w:rsid w:val="00FE64E0"/>
    <w:rsid w:val="00FE65A5"/>
    <w:rsid w:val="00FE7050"/>
    <w:rsid w:val="00FE744D"/>
    <w:rsid w:val="00FF063B"/>
    <w:rsid w:val="00FF09FB"/>
    <w:rsid w:val="00FF0D1A"/>
    <w:rsid w:val="00FF100F"/>
    <w:rsid w:val="00FF1206"/>
    <w:rsid w:val="00FF165A"/>
    <w:rsid w:val="00FF1B28"/>
    <w:rsid w:val="00FF1E58"/>
    <w:rsid w:val="00FF2C9E"/>
    <w:rsid w:val="00FF334F"/>
    <w:rsid w:val="00FF3B07"/>
    <w:rsid w:val="00FF3F84"/>
    <w:rsid w:val="00FF4250"/>
    <w:rsid w:val="00FF4C13"/>
    <w:rsid w:val="00FF5563"/>
    <w:rsid w:val="00FF5AAC"/>
    <w:rsid w:val="00FF5D2A"/>
    <w:rsid w:val="00FF62AC"/>
    <w:rsid w:val="00FF6538"/>
    <w:rsid w:val="00FF66F8"/>
    <w:rsid w:val="00FF6851"/>
    <w:rsid w:val="00FF6A74"/>
    <w:rsid w:val="00FF6C8E"/>
    <w:rsid w:val="00FF7551"/>
    <w:rsid w:val="00FF7661"/>
    <w:rsid w:val="00FF787C"/>
    <w:rsid w:val="00FF79FA"/>
    <w:rsid w:val="00FF7D2D"/>
    <w:rsid w:val="00FF7E66"/>
    <w:rsid w:val="00FF7E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9"/>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8221D0"/>
    <w:pPr>
      <w:widowControl w:val="0"/>
    </w:pPr>
    <w:rPr>
      <w:rFonts w:ascii="Times New Roman" w:eastAsia="新細明體" w:hAnsi="Times New Roman" w:cs="Times New Roman"/>
    </w:rPr>
  </w:style>
  <w:style w:type="paragraph" w:styleId="1">
    <w:name w:val="heading 1"/>
    <w:basedOn w:val="a"/>
    <w:next w:val="a"/>
    <w:link w:val="10"/>
    <w:autoRedefine/>
    <w:qFormat/>
    <w:rsid w:val="000D33F7"/>
    <w:pPr>
      <w:keepNext/>
      <w:widowControl/>
      <w:overflowPunct w:val="0"/>
      <w:autoSpaceDE w:val="0"/>
      <w:autoSpaceDN w:val="0"/>
      <w:adjustRightInd w:val="0"/>
      <w:spacing w:before="240" w:after="240" w:line="0" w:lineRule="atLeast"/>
      <w:ind w:left="839" w:hanging="839"/>
      <w:textAlignment w:val="baseline"/>
      <w:outlineLvl w:val="0"/>
    </w:pPr>
    <w:rPr>
      <w:rFonts w:eastAsia="標楷體"/>
      <w:b/>
      <w:bCs/>
      <w:iCs/>
      <w:noProof/>
      <w:kern w:val="0"/>
      <w:sz w:val="32"/>
      <w:szCs w:val="20"/>
    </w:rPr>
  </w:style>
  <w:style w:type="paragraph" w:styleId="2">
    <w:name w:val="heading 2"/>
    <w:basedOn w:val="a"/>
    <w:next w:val="a"/>
    <w:link w:val="20"/>
    <w:rsid w:val="003474F2"/>
    <w:pPr>
      <w:keepNext/>
      <w:spacing w:before="240" w:after="240"/>
      <w:outlineLvl w:val="1"/>
    </w:pPr>
    <w:rPr>
      <w:b/>
      <w:sz w:val="32"/>
      <w:szCs w:val="20"/>
    </w:rPr>
  </w:style>
  <w:style w:type="paragraph" w:styleId="3">
    <w:name w:val="heading 3"/>
    <w:basedOn w:val="a"/>
    <w:link w:val="30"/>
    <w:rsid w:val="003474F2"/>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rsid w:val="003474F2"/>
    <w:pPr>
      <w:widowControl/>
      <w:spacing w:before="100" w:beforeAutospacing="1" w:after="100" w:afterAutospacing="1"/>
      <w:outlineLvl w:val="3"/>
    </w:pPr>
    <w:rPr>
      <w:rFonts w:ascii="Arial Unicode MS" w:eastAsia="Arial Unicode MS" w:hAnsi="Arial Unicode MS" w:cs="Arial Unicode MS"/>
      <w:b/>
      <w:bCs/>
      <w:kern w:val="0"/>
    </w:rPr>
  </w:style>
  <w:style w:type="paragraph" w:styleId="5">
    <w:name w:val="heading 5"/>
    <w:basedOn w:val="a"/>
    <w:next w:val="a"/>
    <w:link w:val="50"/>
    <w:uiPriority w:val="9"/>
    <w:semiHidden/>
    <w:unhideWhenUsed/>
    <w:rsid w:val="00121D67"/>
    <w:pPr>
      <w:keepNext/>
      <w:spacing w:line="720" w:lineRule="auto"/>
      <w:ind w:left="425"/>
      <w:outlineLvl w:val="4"/>
    </w:pPr>
    <w:rPr>
      <w:rFonts w:asciiTheme="majorHAnsi" w:eastAsiaTheme="majorEastAsia" w:hAnsiTheme="majorHAnsi" w:cstheme="majorBidi"/>
      <w:b/>
      <w:bCs/>
      <w:sz w:val="36"/>
      <w:szCs w:val="36"/>
    </w:rPr>
  </w:style>
  <w:style w:type="paragraph" w:styleId="6">
    <w:name w:val="heading 6"/>
    <w:basedOn w:val="a"/>
    <w:link w:val="60"/>
    <w:rsid w:val="006B348C"/>
    <w:pPr>
      <w:widowControl/>
      <w:outlineLvl w:val="5"/>
    </w:pPr>
    <w:rPr>
      <w:rFonts w:ascii="Geneva" w:eastAsia="Arial Unicode MS" w:hAnsi="Geneva" w:cs="Arial Unicode MS"/>
      <w:b/>
      <w:bCs/>
      <w:color w:val="333333"/>
      <w:kern w:val="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D33F7"/>
    <w:rPr>
      <w:rFonts w:ascii="Times New Roman" w:eastAsia="標楷體" w:hAnsi="Times New Roman" w:cs="Times New Roman"/>
      <w:b/>
      <w:bCs/>
      <w:iCs/>
      <w:noProof/>
      <w:kern w:val="0"/>
      <w:sz w:val="32"/>
      <w:szCs w:val="20"/>
    </w:rPr>
  </w:style>
  <w:style w:type="character" w:customStyle="1" w:styleId="20">
    <w:name w:val="標題 2 字元"/>
    <w:basedOn w:val="a0"/>
    <w:link w:val="2"/>
    <w:rsid w:val="003474F2"/>
    <w:rPr>
      <w:rFonts w:ascii="Times New Roman" w:eastAsia="新細明體" w:hAnsi="Times New Roman" w:cs="Times New Roman"/>
      <w:b/>
      <w:sz w:val="32"/>
      <w:szCs w:val="20"/>
    </w:rPr>
  </w:style>
  <w:style w:type="character" w:customStyle="1" w:styleId="30">
    <w:name w:val="標題 3 字元"/>
    <w:basedOn w:val="a0"/>
    <w:link w:val="3"/>
    <w:rsid w:val="003474F2"/>
    <w:rPr>
      <w:rFonts w:ascii="Arial Unicode MS" w:eastAsia="Arial Unicode MS" w:hAnsi="Arial Unicode MS" w:cs="Arial Unicode MS"/>
      <w:b/>
      <w:bCs/>
      <w:kern w:val="0"/>
      <w:sz w:val="27"/>
      <w:szCs w:val="27"/>
    </w:rPr>
  </w:style>
  <w:style w:type="character" w:customStyle="1" w:styleId="40">
    <w:name w:val="標題 4 字元"/>
    <w:basedOn w:val="a0"/>
    <w:link w:val="4"/>
    <w:rsid w:val="003474F2"/>
    <w:rPr>
      <w:rFonts w:ascii="Arial Unicode MS" w:eastAsia="Arial Unicode MS" w:hAnsi="Arial Unicode MS" w:cs="Arial Unicode MS"/>
      <w:b/>
      <w:bCs/>
      <w:kern w:val="0"/>
      <w:szCs w:val="24"/>
    </w:rPr>
  </w:style>
  <w:style w:type="paragraph" w:styleId="a3">
    <w:name w:val="Body Text"/>
    <w:basedOn w:val="a"/>
    <w:link w:val="a4"/>
    <w:uiPriority w:val="99"/>
    <w:qFormat/>
    <w:rsid w:val="003474F2"/>
    <w:pPr>
      <w:ind w:left="284" w:hanging="284"/>
      <w:jc w:val="both"/>
    </w:pPr>
    <w:rPr>
      <w:rFonts w:eastAsia="標楷體"/>
      <w:kern w:val="52"/>
      <w:szCs w:val="20"/>
    </w:rPr>
  </w:style>
  <w:style w:type="character" w:customStyle="1" w:styleId="a4">
    <w:name w:val="本文 字元"/>
    <w:basedOn w:val="a0"/>
    <w:link w:val="a3"/>
    <w:uiPriority w:val="99"/>
    <w:rsid w:val="003474F2"/>
    <w:rPr>
      <w:rFonts w:ascii="Times New Roman" w:eastAsia="標楷體" w:hAnsi="Times New Roman" w:cs="Times New Roman"/>
      <w:kern w:val="52"/>
      <w:szCs w:val="20"/>
    </w:rPr>
  </w:style>
  <w:style w:type="character" w:styleId="a5">
    <w:name w:val="Hyperlink"/>
    <w:basedOn w:val="a0"/>
    <w:uiPriority w:val="99"/>
    <w:rsid w:val="003474F2"/>
    <w:rPr>
      <w:color w:val="0000FF"/>
      <w:u w:val="single"/>
    </w:rPr>
  </w:style>
  <w:style w:type="paragraph" w:styleId="11">
    <w:name w:val="toc 1"/>
    <w:basedOn w:val="a"/>
    <w:next w:val="a"/>
    <w:autoRedefine/>
    <w:uiPriority w:val="39"/>
    <w:rsid w:val="003474F2"/>
    <w:pPr>
      <w:ind w:left="567" w:right="851" w:hanging="567"/>
    </w:pPr>
    <w:rPr>
      <w:rFonts w:eastAsia="標楷體"/>
    </w:rPr>
  </w:style>
  <w:style w:type="paragraph" w:styleId="21">
    <w:name w:val="toc 2"/>
    <w:basedOn w:val="a"/>
    <w:next w:val="a"/>
    <w:autoRedefine/>
    <w:uiPriority w:val="39"/>
    <w:rsid w:val="003474F2"/>
    <w:pPr>
      <w:ind w:left="480"/>
    </w:pPr>
  </w:style>
  <w:style w:type="paragraph" w:styleId="31">
    <w:name w:val="toc 3"/>
    <w:basedOn w:val="a"/>
    <w:next w:val="a"/>
    <w:autoRedefine/>
    <w:uiPriority w:val="39"/>
    <w:rsid w:val="003474F2"/>
    <w:pPr>
      <w:ind w:left="960"/>
    </w:pPr>
  </w:style>
  <w:style w:type="paragraph" w:styleId="41">
    <w:name w:val="toc 4"/>
    <w:basedOn w:val="a"/>
    <w:next w:val="a"/>
    <w:autoRedefine/>
    <w:uiPriority w:val="39"/>
    <w:rsid w:val="003474F2"/>
    <w:pPr>
      <w:ind w:left="1440"/>
    </w:pPr>
  </w:style>
  <w:style w:type="paragraph" w:styleId="51">
    <w:name w:val="toc 5"/>
    <w:basedOn w:val="a"/>
    <w:next w:val="a"/>
    <w:autoRedefine/>
    <w:uiPriority w:val="39"/>
    <w:unhideWhenUsed/>
    <w:rsid w:val="008221D0"/>
    <w:pPr>
      <w:ind w:left="1920"/>
    </w:pPr>
    <w:rPr>
      <w:rFonts w:asciiTheme="minorHAnsi" w:eastAsiaTheme="minorEastAsia" w:hAnsiTheme="minorHAnsi" w:cstheme="minorBidi"/>
      <w:szCs w:val="22"/>
    </w:rPr>
  </w:style>
  <w:style w:type="paragraph" w:styleId="61">
    <w:name w:val="toc 6"/>
    <w:basedOn w:val="a"/>
    <w:next w:val="a"/>
    <w:autoRedefine/>
    <w:uiPriority w:val="39"/>
    <w:unhideWhenUsed/>
    <w:rsid w:val="008221D0"/>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8221D0"/>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8221D0"/>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8221D0"/>
    <w:pPr>
      <w:ind w:left="3840"/>
    </w:pPr>
    <w:rPr>
      <w:rFonts w:asciiTheme="minorHAnsi" w:eastAsiaTheme="minorEastAsia" w:hAnsiTheme="minorHAnsi" w:cstheme="minorBidi"/>
      <w:szCs w:val="22"/>
    </w:rPr>
  </w:style>
  <w:style w:type="paragraph" w:styleId="z-">
    <w:name w:val="HTML Top of Form"/>
    <w:basedOn w:val="a"/>
    <w:next w:val="a"/>
    <w:link w:val="z-0"/>
    <w:hidden/>
    <w:rsid w:val="003474F2"/>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0"/>
    <w:link w:val="z-"/>
    <w:rsid w:val="003474F2"/>
    <w:rPr>
      <w:rFonts w:ascii="Arial" w:eastAsia="新細明體" w:hAnsi="Arial" w:cs="Arial"/>
      <w:vanish/>
      <w:kern w:val="0"/>
      <w:sz w:val="16"/>
      <w:szCs w:val="16"/>
    </w:rPr>
  </w:style>
  <w:style w:type="paragraph" w:styleId="z-1">
    <w:name w:val="HTML Bottom of Form"/>
    <w:basedOn w:val="a"/>
    <w:next w:val="a"/>
    <w:link w:val="z-2"/>
    <w:hidden/>
    <w:rsid w:val="003474F2"/>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0"/>
    <w:link w:val="z-1"/>
    <w:rsid w:val="003474F2"/>
    <w:rPr>
      <w:rFonts w:ascii="Arial" w:eastAsia="新細明體" w:hAnsi="Arial" w:cs="Arial"/>
      <w:vanish/>
      <w:kern w:val="0"/>
      <w:sz w:val="16"/>
      <w:szCs w:val="16"/>
    </w:rPr>
  </w:style>
  <w:style w:type="character" w:customStyle="1" w:styleId="fieldlabel1">
    <w:name w:val="fieldlabel1"/>
    <w:basedOn w:val="a0"/>
    <w:semiHidden/>
    <w:rsid w:val="003474F2"/>
    <w:rPr>
      <w:rFonts w:ascii="Verdana" w:hAnsi="Verdana" w:hint="default"/>
      <w:b/>
      <w:bCs/>
    </w:rPr>
  </w:style>
  <w:style w:type="paragraph" w:customStyle="1" w:styleId="12">
    <w:name w:val="本文1"/>
    <w:basedOn w:val="a3"/>
    <w:autoRedefine/>
    <w:qFormat/>
    <w:rsid w:val="000A30A9"/>
    <w:pPr>
      <w:jc w:val="left"/>
    </w:pPr>
    <w:rPr>
      <w:color w:val="0000FF"/>
      <w:kern w:val="2"/>
      <w:szCs w:val="24"/>
    </w:rPr>
  </w:style>
  <w:style w:type="character" w:customStyle="1" w:styleId="60">
    <w:name w:val="標題 6 字元"/>
    <w:basedOn w:val="a0"/>
    <w:link w:val="6"/>
    <w:rsid w:val="006B348C"/>
    <w:rPr>
      <w:rFonts w:ascii="Geneva" w:eastAsia="Arial Unicode MS" w:hAnsi="Geneva" w:cs="Arial Unicode MS"/>
      <w:b/>
      <w:bCs/>
      <w:color w:val="333333"/>
      <w:kern w:val="0"/>
      <w:sz w:val="17"/>
      <w:szCs w:val="17"/>
    </w:rPr>
  </w:style>
  <w:style w:type="character" w:styleId="a6">
    <w:name w:val="FollowedHyperlink"/>
    <w:basedOn w:val="a0"/>
    <w:semiHidden/>
    <w:unhideWhenUsed/>
    <w:rsid w:val="00004E3E"/>
    <w:rPr>
      <w:color w:val="800080" w:themeColor="followedHyperlink"/>
      <w:u w:val="single"/>
    </w:rPr>
  </w:style>
  <w:style w:type="paragraph" w:styleId="a7">
    <w:name w:val="header"/>
    <w:basedOn w:val="a"/>
    <w:link w:val="a8"/>
    <w:uiPriority w:val="99"/>
    <w:semiHidden/>
    <w:unhideWhenUsed/>
    <w:rsid w:val="00DB5B2F"/>
    <w:pPr>
      <w:tabs>
        <w:tab w:val="center" w:pos="4153"/>
        <w:tab w:val="right" w:pos="8306"/>
      </w:tabs>
      <w:snapToGrid w:val="0"/>
    </w:pPr>
    <w:rPr>
      <w:rFonts w:asciiTheme="minorHAnsi" w:eastAsiaTheme="minorEastAsia" w:hAnsiTheme="minorHAnsi" w:cstheme="minorBidi"/>
      <w:sz w:val="20"/>
      <w:szCs w:val="20"/>
    </w:rPr>
  </w:style>
  <w:style w:type="character" w:customStyle="1" w:styleId="a8">
    <w:name w:val="頁首 字元"/>
    <w:basedOn w:val="a0"/>
    <w:link w:val="a7"/>
    <w:uiPriority w:val="99"/>
    <w:semiHidden/>
    <w:rsid w:val="00DB5B2F"/>
    <w:rPr>
      <w:sz w:val="20"/>
      <w:szCs w:val="20"/>
    </w:rPr>
  </w:style>
  <w:style w:type="paragraph" w:styleId="a9">
    <w:name w:val="footer"/>
    <w:basedOn w:val="a"/>
    <w:link w:val="aa"/>
    <w:uiPriority w:val="99"/>
    <w:unhideWhenUsed/>
    <w:rsid w:val="00920610"/>
    <w:pPr>
      <w:tabs>
        <w:tab w:val="center" w:pos="4153"/>
        <w:tab w:val="right" w:pos="8306"/>
      </w:tabs>
      <w:snapToGrid w:val="0"/>
    </w:pPr>
    <w:rPr>
      <w:sz w:val="20"/>
      <w:szCs w:val="20"/>
    </w:rPr>
  </w:style>
  <w:style w:type="character" w:customStyle="1" w:styleId="aa">
    <w:name w:val="頁尾 字元"/>
    <w:basedOn w:val="a0"/>
    <w:link w:val="a9"/>
    <w:uiPriority w:val="99"/>
    <w:rsid w:val="00920610"/>
    <w:rPr>
      <w:rFonts w:ascii="Times New Roman" w:eastAsia="新細明體" w:hAnsi="Times New Roman" w:cs="Times New Roman"/>
      <w:sz w:val="20"/>
      <w:szCs w:val="20"/>
    </w:rPr>
  </w:style>
  <w:style w:type="paragraph" w:styleId="ab">
    <w:name w:val="Balloon Text"/>
    <w:basedOn w:val="a"/>
    <w:link w:val="ac"/>
    <w:uiPriority w:val="99"/>
    <w:semiHidden/>
    <w:unhideWhenUsed/>
    <w:rsid w:val="00B5463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54633"/>
    <w:rPr>
      <w:rFonts w:asciiTheme="majorHAnsi" w:eastAsiaTheme="majorEastAsia" w:hAnsiTheme="majorHAnsi" w:cstheme="majorBidi"/>
      <w:sz w:val="18"/>
      <w:szCs w:val="18"/>
    </w:rPr>
  </w:style>
  <w:style w:type="paragraph" w:styleId="Web">
    <w:name w:val="Normal (Web)"/>
    <w:basedOn w:val="a"/>
    <w:uiPriority w:val="99"/>
    <w:semiHidden/>
    <w:unhideWhenUsed/>
    <w:rsid w:val="00B54633"/>
    <w:pPr>
      <w:widowControl/>
      <w:spacing w:before="100" w:beforeAutospacing="1" w:after="100" w:afterAutospacing="1"/>
    </w:pPr>
    <w:rPr>
      <w:rFonts w:ascii="新細明體" w:hAnsi="新細明體" w:cs="新細明體"/>
      <w:kern w:val="0"/>
    </w:rPr>
  </w:style>
  <w:style w:type="character" w:customStyle="1" w:styleId="50">
    <w:name w:val="標題 5 字元"/>
    <w:basedOn w:val="a0"/>
    <w:link w:val="5"/>
    <w:uiPriority w:val="99"/>
    <w:rsid w:val="00121D67"/>
    <w:rPr>
      <w:rFonts w:asciiTheme="majorHAnsi" w:eastAsiaTheme="majorEastAsia" w:hAnsiTheme="majorHAnsi" w:cstheme="majorBidi"/>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9"/>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8221D0"/>
    <w:pPr>
      <w:widowControl w:val="0"/>
    </w:pPr>
    <w:rPr>
      <w:rFonts w:ascii="Times New Roman" w:eastAsia="新細明體" w:hAnsi="Times New Roman" w:cs="Times New Roman"/>
    </w:rPr>
  </w:style>
  <w:style w:type="paragraph" w:styleId="1">
    <w:name w:val="heading 1"/>
    <w:basedOn w:val="a"/>
    <w:next w:val="a"/>
    <w:link w:val="10"/>
    <w:autoRedefine/>
    <w:qFormat/>
    <w:rsid w:val="000D33F7"/>
    <w:pPr>
      <w:keepNext/>
      <w:widowControl/>
      <w:overflowPunct w:val="0"/>
      <w:autoSpaceDE w:val="0"/>
      <w:autoSpaceDN w:val="0"/>
      <w:adjustRightInd w:val="0"/>
      <w:spacing w:before="240" w:after="240" w:line="0" w:lineRule="atLeast"/>
      <w:ind w:left="839" w:hanging="839"/>
      <w:textAlignment w:val="baseline"/>
      <w:outlineLvl w:val="0"/>
    </w:pPr>
    <w:rPr>
      <w:rFonts w:eastAsia="標楷體"/>
      <w:b/>
      <w:bCs/>
      <w:iCs/>
      <w:noProof/>
      <w:kern w:val="0"/>
      <w:sz w:val="32"/>
      <w:szCs w:val="20"/>
    </w:rPr>
  </w:style>
  <w:style w:type="paragraph" w:styleId="2">
    <w:name w:val="heading 2"/>
    <w:basedOn w:val="a"/>
    <w:next w:val="a"/>
    <w:link w:val="20"/>
    <w:rsid w:val="003474F2"/>
    <w:pPr>
      <w:keepNext/>
      <w:spacing w:before="240" w:after="240"/>
      <w:outlineLvl w:val="1"/>
    </w:pPr>
    <w:rPr>
      <w:b/>
      <w:sz w:val="32"/>
      <w:szCs w:val="20"/>
    </w:rPr>
  </w:style>
  <w:style w:type="paragraph" w:styleId="3">
    <w:name w:val="heading 3"/>
    <w:basedOn w:val="a"/>
    <w:link w:val="30"/>
    <w:rsid w:val="003474F2"/>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rsid w:val="003474F2"/>
    <w:pPr>
      <w:widowControl/>
      <w:spacing w:before="100" w:beforeAutospacing="1" w:after="100" w:afterAutospacing="1"/>
      <w:outlineLvl w:val="3"/>
    </w:pPr>
    <w:rPr>
      <w:rFonts w:ascii="Arial Unicode MS" w:eastAsia="Arial Unicode MS" w:hAnsi="Arial Unicode MS" w:cs="Arial Unicode MS"/>
      <w:b/>
      <w:bCs/>
      <w:kern w:val="0"/>
    </w:rPr>
  </w:style>
  <w:style w:type="paragraph" w:styleId="5">
    <w:name w:val="heading 5"/>
    <w:basedOn w:val="a"/>
    <w:next w:val="a"/>
    <w:link w:val="50"/>
    <w:uiPriority w:val="9"/>
    <w:semiHidden/>
    <w:unhideWhenUsed/>
    <w:rsid w:val="00121D67"/>
    <w:pPr>
      <w:keepNext/>
      <w:spacing w:line="720" w:lineRule="auto"/>
      <w:ind w:left="425"/>
      <w:outlineLvl w:val="4"/>
    </w:pPr>
    <w:rPr>
      <w:rFonts w:asciiTheme="majorHAnsi" w:eastAsiaTheme="majorEastAsia" w:hAnsiTheme="majorHAnsi" w:cstheme="majorBidi"/>
      <w:b/>
      <w:bCs/>
      <w:sz w:val="36"/>
      <w:szCs w:val="36"/>
    </w:rPr>
  </w:style>
  <w:style w:type="paragraph" w:styleId="6">
    <w:name w:val="heading 6"/>
    <w:basedOn w:val="a"/>
    <w:link w:val="60"/>
    <w:rsid w:val="006B348C"/>
    <w:pPr>
      <w:widowControl/>
      <w:outlineLvl w:val="5"/>
    </w:pPr>
    <w:rPr>
      <w:rFonts w:ascii="Geneva" w:eastAsia="Arial Unicode MS" w:hAnsi="Geneva" w:cs="Arial Unicode MS"/>
      <w:b/>
      <w:bCs/>
      <w:color w:val="333333"/>
      <w:kern w:val="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D33F7"/>
    <w:rPr>
      <w:rFonts w:ascii="Times New Roman" w:eastAsia="標楷體" w:hAnsi="Times New Roman" w:cs="Times New Roman"/>
      <w:b/>
      <w:bCs/>
      <w:iCs/>
      <w:noProof/>
      <w:kern w:val="0"/>
      <w:sz w:val="32"/>
      <w:szCs w:val="20"/>
    </w:rPr>
  </w:style>
  <w:style w:type="character" w:customStyle="1" w:styleId="20">
    <w:name w:val="標題 2 字元"/>
    <w:basedOn w:val="a0"/>
    <w:link w:val="2"/>
    <w:rsid w:val="003474F2"/>
    <w:rPr>
      <w:rFonts w:ascii="Times New Roman" w:eastAsia="新細明體" w:hAnsi="Times New Roman" w:cs="Times New Roman"/>
      <w:b/>
      <w:sz w:val="32"/>
      <w:szCs w:val="20"/>
    </w:rPr>
  </w:style>
  <w:style w:type="character" w:customStyle="1" w:styleId="30">
    <w:name w:val="標題 3 字元"/>
    <w:basedOn w:val="a0"/>
    <w:link w:val="3"/>
    <w:rsid w:val="003474F2"/>
    <w:rPr>
      <w:rFonts w:ascii="Arial Unicode MS" w:eastAsia="Arial Unicode MS" w:hAnsi="Arial Unicode MS" w:cs="Arial Unicode MS"/>
      <w:b/>
      <w:bCs/>
      <w:kern w:val="0"/>
      <w:sz w:val="27"/>
      <w:szCs w:val="27"/>
    </w:rPr>
  </w:style>
  <w:style w:type="character" w:customStyle="1" w:styleId="40">
    <w:name w:val="標題 4 字元"/>
    <w:basedOn w:val="a0"/>
    <w:link w:val="4"/>
    <w:rsid w:val="003474F2"/>
    <w:rPr>
      <w:rFonts w:ascii="Arial Unicode MS" w:eastAsia="Arial Unicode MS" w:hAnsi="Arial Unicode MS" w:cs="Arial Unicode MS"/>
      <w:b/>
      <w:bCs/>
      <w:kern w:val="0"/>
      <w:szCs w:val="24"/>
    </w:rPr>
  </w:style>
  <w:style w:type="paragraph" w:styleId="a3">
    <w:name w:val="Body Text"/>
    <w:basedOn w:val="a"/>
    <w:link w:val="a4"/>
    <w:uiPriority w:val="99"/>
    <w:qFormat/>
    <w:rsid w:val="003474F2"/>
    <w:pPr>
      <w:ind w:left="284" w:hanging="284"/>
      <w:jc w:val="both"/>
    </w:pPr>
    <w:rPr>
      <w:rFonts w:eastAsia="標楷體"/>
      <w:kern w:val="52"/>
      <w:szCs w:val="20"/>
    </w:rPr>
  </w:style>
  <w:style w:type="character" w:customStyle="1" w:styleId="a4">
    <w:name w:val="本文 字元"/>
    <w:basedOn w:val="a0"/>
    <w:link w:val="a3"/>
    <w:uiPriority w:val="99"/>
    <w:rsid w:val="003474F2"/>
    <w:rPr>
      <w:rFonts w:ascii="Times New Roman" w:eastAsia="標楷體" w:hAnsi="Times New Roman" w:cs="Times New Roman"/>
      <w:kern w:val="52"/>
      <w:szCs w:val="20"/>
    </w:rPr>
  </w:style>
  <w:style w:type="character" w:styleId="a5">
    <w:name w:val="Hyperlink"/>
    <w:basedOn w:val="a0"/>
    <w:uiPriority w:val="99"/>
    <w:rsid w:val="003474F2"/>
    <w:rPr>
      <w:color w:val="0000FF"/>
      <w:u w:val="single"/>
    </w:rPr>
  </w:style>
  <w:style w:type="paragraph" w:styleId="11">
    <w:name w:val="toc 1"/>
    <w:basedOn w:val="a"/>
    <w:next w:val="a"/>
    <w:autoRedefine/>
    <w:uiPriority w:val="39"/>
    <w:rsid w:val="003474F2"/>
    <w:pPr>
      <w:ind w:left="567" w:right="851" w:hanging="567"/>
    </w:pPr>
    <w:rPr>
      <w:rFonts w:eastAsia="標楷體"/>
    </w:rPr>
  </w:style>
  <w:style w:type="paragraph" w:styleId="21">
    <w:name w:val="toc 2"/>
    <w:basedOn w:val="a"/>
    <w:next w:val="a"/>
    <w:autoRedefine/>
    <w:uiPriority w:val="39"/>
    <w:rsid w:val="003474F2"/>
    <w:pPr>
      <w:ind w:left="480"/>
    </w:pPr>
  </w:style>
  <w:style w:type="paragraph" w:styleId="31">
    <w:name w:val="toc 3"/>
    <w:basedOn w:val="a"/>
    <w:next w:val="a"/>
    <w:autoRedefine/>
    <w:uiPriority w:val="39"/>
    <w:rsid w:val="003474F2"/>
    <w:pPr>
      <w:ind w:left="960"/>
    </w:pPr>
  </w:style>
  <w:style w:type="paragraph" w:styleId="41">
    <w:name w:val="toc 4"/>
    <w:basedOn w:val="a"/>
    <w:next w:val="a"/>
    <w:autoRedefine/>
    <w:uiPriority w:val="39"/>
    <w:rsid w:val="003474F2"/>
    <w:pPr>
      <w:ind w:left="1440"/>
    </w:pPr>
  </w:style>
  <w:style w:type="paragraph" w:styleId="51">
    <w:name w:val="toc 5"/>
    <w:basedOn w:val="a"/>
    <w:next w:val="a"/>
    <w:autoRedefine/>
    <w:uiPriority w:val="39"/>
    <w:unhideWhenUsed/>
    <w:rsid w:val="008221D0"/>
    <w:pPr>
      <w:ind w:left="1920"/>
    </w:pPr>
    <w:rPr>
      <w:rFonts w:asciiTheme="minorHAnsi" w:eastAsiaTheme="minorEastAsia" w:hAnsiTheme="minorHAnsi" w:cstheme="minorBidi"/>
      <w:szCs w:val="22"/>
    </w:rPr>
  </w:style>
  <w:style w:type="paragraph" w:styleId="61">
    <w:name w:val="toc 6"/>
    <w:basedOn w:val="a"/>
    <w:next w:val="a"/>
    <w:autoRedefine/>
    <w:uiPriority w:val="39"/>
    <w:unhideWhenUsed/>
    <w:rsid w:val="008221D0"/>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8221D0"/>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8221D0"/>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8221D0"/>
    <w:pPr>
      <w:ind w:left="3840"/>
    </w:pPr>
    <w:rPr>
      <w:rFonts w:asciiTheme="minorHAnsi" w:eastAsiaTheme="minorEastAsia" w:hAnsiTheme="minorHAnsi" w:cstheme="minorBidi"/>
      <w:szCs w:val="22"/>
    </w:rPr>
  </w:style>
  <w:style w:type="paragraph" w:styleId="z-">
    <w:name w:val="HTML Top of Form"/>
    <w:basedOn w:val="a"/>
    <w:next w:val="a"/>
    <w:link w:val="z-0"/>
    <w:hidden/>
    <w:rsid w:val="003474F2"/>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0"/>
    <w:link w:val="z-"/>
    <w:rsid w:val="003474F2"/>
    <w:rPr>
      <w:rFonts w:ascii="Arial" w:eastAsia="新細明體" w:hAnsi="Arial" w:cs="Arial"/>
      <w:vanish/>
      <w:kern w:val="0"/>
      <w:sz w:val="16"/>
      <w:szCs w:val="16"/>
    </w:rPr>
  </w:style>
  <w:style w:type="paragraph" w:styleId="z-1">
    <w:name w:val="HTML Bottom of Form"/>
    <w:basedOn w:val="a"/>
    <w:next w:val="a"/>
    <w:link w:val="z-2"/>
    <w:hidden/>
    <w:rsid w:val="003474F2"/>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0"/>
    <w:link w:val="z-1"/>
    <w:rsid w:val="003474F2"/>
    <w:rPr>
      <w:rFonts w:ascii="Arial" w:eastAsia="新細明體" w:hAnsi="Arial" w:cs="Arial"/>
      <w:vanish/>
      <w:kern w:val="0"/>
      <w:sz w:val="16"/>
      <w:szCs w:val="16"/>
    </w:rPr>
  </w:style>
  <w:style w:type="character" w:customStyle="1" w:styleId="fieldlabel1">
    <w:name w:val="fieldlabel1"/>
    <w:basedOn w:val="a0"/>
    <w:semiHidden/>
    <w:rsid w:val="003474F2"/>
    <w:rPr>
      <w:rFonts w:ascii="Verdana" w:hAnsi="Verdana" w:hint="default"/>
      <w:b/>
      <w:bCs/>
    </w:rPr>
  </w:style>
  <w:style w:type="paragraph" w:customStyle="1" w:styleId="12">
    <w:name w:val="本文1"/>
    <w:basedOn w:val="a3"/>
    <w:autoRedefine/>
    <w:qFormat/>
    <w:rsid w:val="000A30A9"/>
    <w:pPr>
      <w:jc w:val="left"/>
    </w:pPr>
    <w:rPr>
      <w:color w:val="0000FF"/>
      <w:kern w:val="2"/>
      <w:szCs w:val="24"/>
    </w:rPr>
  </w:style>
  <w:style w:type="character" w:customStyle="1" w:styleId="60">
    <w:name w:val="標題 6 字元"/>
    <w:basedOn w:val="a0"/>
    <w:link w:val="6"/>
    <w:rsid w:val="006B348C"/>
    <w:rPr>
      <w:rFonts w:ascii="Geneva" w:eastAsia="Arial Unicode MS" w:hAnsi="Geneva" w:cs="Arial Unicode MS"/>
      <w:b/>
      <w:bCs/>
      <w:color w:val="333333"/>
      <w:kern w:val="0"/>
      <w:sz w:val="17"/>
      <w:szCs w:val="17"/>
    </w:rPr>
  </w:style>
  <w:style w:type="character" w:styleId="a6">
    <w:name w:val="FollowedHyperlink"/>
    <w:basedOn w:val="a0"/>
    <w:semiHidden/>
    <w:unhideWhenUsed/>
    <w:rsid w:val="00004E3E"/>
    <w:rPr>
      <w:color w:val="800080" w:themeColor="followedHyperlink"/>
      <w:u w:val="single"/>
    </w:rPr>
  </w:style>
  <w:style w:type="paragraph" w:styleId="a7">
    <w:name w:val="header"/>
    <w:basedOn w:val="a"/>
    <w:link w:val="a8"/>
    <w:uiPriority w:val="99"/>
    <w:semiHidden/>
    <w:unhideWhenUsed/>
    <w:rsid w:val="00DB5B2F"/>
    <w:pPr>
      <w:tabs>
        <w:tab w:val="center" w:pos="4153"/>
        <w:tab w:val="right" w:pos="8306"/>
      </w:tabs>
      <w:snapToGrid w:val="0"/>
    </w:pPr>
    <w:rPr>
      <w:rFonts w:asciiTheme="minorHAnsi" w:eastAsiaTheme="minorEastAsia" w:hAnsiTheme="minorHAnsi" w:cstheme="minorBidi"/>
      <w:sz w:val="20"/>
      <w:szCs w:val="20"/>
    </w:rPr>
  </w:style>
  <w:style w:type="character" w:customStyle="1" w:styleId="a8">
    <w:name w:val="頁首 字元"/>
    <w:basedOn w:val="a0"/>
    <w:link w:val="a7"/>
    <w:uiPriority w:val="99"/>
    <w:semiHidden/>
    <w:rsid w:val="00DB5B2F"/>
    <w:rPr>
      <w:sz w:val="20"/>
      <w:szCs w:val="20"/>
    </w:rPr>
  </w:style>
  <w:style w:type="paragraph" w:styleId="a9">
    <w:name w:val="footer"/>
    <w:basedOn w:val="a"/>
    <w:link w:val="aa"/>
    <w:uiPriority w:val="99"/>
    <w:unhideWhenUsed/>
    <w:rsid w:val="00920610"/>
    <w:pPr>
      <w:tabs>
        <w:tab w:val="center" w:pos="4153"/>
        <w:tab w:val="right" w:pos="8306"/>
      </w:tabs>
      <w:snapToGrid w:val="0"/>
    </w:pPr>
    <w:rPr>
      <w:sz w:val="20"/>
      <w:szCs w:val="20"/>
    </w:rPr>
  </w:style>
  <w:style w:type="character" w:customStyle="1" w:styleId="aa">
    <w:name w:val="頁尾 字元"/>
    <w:basedOn w:val="a0"/>
    <w:link w:val="a9"/>
    <w:uiPriority w:val="99"/>
    <w:rsid w:val="00920610"/>
    <w:rPr>
      <w:rFonts w:ascii="Times New Roman" w:eastAsia="新細明體" w:hAnsi="Times New Roman" w:cs="Times New Roman"/>
      <w:sz w:val="20"/>
      <w:szCs w:val="20"/>
    </w:rPr>
  </w:style>
  <w:style w:type="paragraph" w:styleId="ab">
    <w:name w:val="Balloon Text"/>
    <w:basedOn w:val="a"/>
    <w:link w:val="ac"/>
    <w:uiPriority w:val="99"/>
    <w:semiHidden/>
    <w:unhideWhenUsed/>
    <w:rsid w:val="00B5463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54633"/>
    <w:rPr>
      <w:rFonts w:asciiTheme="majorHAnsi" w:eastAsiaTheme="majorEastAsia" w:hAnsiTheme="majorHAnsi" w:cstheme="majorBidi"/>
      <w:sz w:val="18"/>
      <w:szCs w:val="18"/>
    </w:rPr>
  </w:style>
  <w:style w:type="paragraph" w:styleId="Web">
    <w:name w:val="Normal (Web)"/>
    <w:basedOn w:val="a"/>
    <w:uiPriority w:val="99"/>
    <w:semiHidden/>
    <w:unhideWhenUsed/>
    <w:rsid w:val="00B54633"/>
    <w:pPr>
      <w:widowControl/>
      <w:spacing w:before="100" w:beforeAutospacing="1" w:after="100" w:afterAutospacing="1"/>
    </w:pPr>
    <w:rPr>
      <w:rFonts w:ascii="新細明體" w:hAnsi="新細明體" w:cs="新細明體"/>
      <w:kern w:val="0"/>
    </w:rPr>
  </w:style>
  <w:style w:type="character" w:customStyle="1" w:styleId="50">
    <w:name w:val="標題 5 字元"/>
    <w:basedOn w:val="a0"/>
    <w:link w:val="5"/>
    <w:uiPriority w:val="99"/>
    <w:rsid w:val="00121D67"/>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2367">
      <w:bodyDiv w:val="1"/>
      <w:marLeft w:val="0"/>
      <w:marRight w:val="0"/>
      <w:marTop w:val="0"/>
      <w:marBottom w:val="0"/>
      <w:divBdr>
        <w:top w:val="none" w:sz="0" w:space="0" w:color="auto"/>
        <w:left w:val="none" w:sz="0" w:space="0" w:color="auto"/>
        <w:bottom w:val="none" w:sz="0" w:space="0" w:color="auto"/>
        <w:right w:val="none" w:sz="0" w:space="0" w:color="auto"/>
      </w:divBdr>
    </w:div>
    <w:div w:id="35739016">
      <w:bodyDiv w:val="1"/>
      <w:marLeft w:val="0"/>
      <w:marRight w:val="0"/>
      <w:marTop w:val="0"/>
      <w:marBottom w:val="0"/>
      <w:divBdr>
        <w:top w:val="none" w:sz="0" w:space="0" w:color="auto"/>
        <w:left w:val="none" w:sz="0" w:space="0" w:color="auto"/>
        <w:bottom w:val="none" w:sz="0" w:space="0" w:color="auto"/>
        <w:right w:val="none" w:sz="0" w:space="0" w:color="auto"/>
      </w:divBdr>
    </w:div>
    <w:div w:id="41903472">
      <w:bodyDiv w:val="1"/>
      <w:marLeft w:val="0"/>
      <w:marRight w:val="0"/>
      <w:marTop w:val="0"/>
      <w:marBottom w:val="0"/>
      <w:divBdr>
        <w:top w:val="none" w:sz="0" w:space="0" w:color="auto"/>
        <w:left w:val="none" w:sz="0" w:space="0" w:color="auto"/>
        <w:bottom w:val="none" w:sz="0" w:space="0" w:color="auto"/>
        <w:right w:val="none" w:sz="0" w:space="0" w:color="auto"/>
      </w:divBdr>
    </w:div>
    <w:div w:id="115758772">
      <w:bodyDiv w:val="1"/>
      <w:marLeft w:val="0"/>
      <w:marRight w:val="0"/>
      <w:marTop w:val="0"/>
      <w:marBottom w:val="0"/>
      <w:divBdr>
        <w:top w:val="none" w:sz="0" w:space="0" w:color="auto"/>
        <w:left w:val="none" w:sz="0" w:space="0" w:color="auto"/>
        <w:bottom w:val="none" w:sz="0" w:space="0" w:color="auto"/>
        <w:right w:val="none" w:sz="0" w:space="0" w:color="auto"/>
      </w:divBdr>
    </w:div>
    <w:div w:id="127213952">
      <w:bodyDiv w:val="1"/>
      <w:marLeft w:val="0"/>
      <w:marRight w:val="0"/>
      <w:marTop w:val="0"/>
      <w:marBottom w:val="0"/>
      <w:divBdr>
        <w:top w:val="none" w:sz="0" w:space="0" w:color="auto"/>
        <w:left w:val="none" w:sz="0" w:space="0" w:color="auto"/>
        <w:bottom w:val="none" w:sz="0" w:space="0" w:color="auto"/>
        <w:right w:val="none" w:sz="0" w:space="0" w:color="auto"/>
      </w:divBdr>
    </w:div>
    <w:div w:id="131556043">
      <w:bodyDiv w:val="1"/>
      <w:marLeft w:val="0"/>
      <w:marRight w:val="0"/>
      <w:marTop w:val="0"/>
      <w:marBottom w:val="0"/>
      <w:divBdr>
        <w:top w:val="none" w:sz="0" w:space="0" w:color="auto"/>
        <w:left w:val="none" w:sz="0" w:space="0" w:color="auto"/>
        <w:bottom w:val="none" w:sz="0" w:space="0" w:color="auto"/>
        <w:right w:val="none" w:sz="0" w:space="0" w:color="auto"/>
      </w:divBdr>
    </w:div>
    <w:div w:id="165823690">
      <w:bodyDiv w:val="1"/>
      <w:marLeft w:val="0"/>
      <w:marRight w:val="0"/>
      <w:marTop w:val="0"/>
      <w:marBottom w:val="0"/>
      <w:divBdr>
        <w:top w:val="none" w:sz="0" w:space="0" w:color="auto"/>
        <w:left w:val="none" w:sz="0" w:space="0" w:color="auto"/>
        <w:bottom w:val="none" w:sz="0" w:space="0" w:color="auto"/>
        <w:right w:val="none" w:sz="0" w:space="0" w:color="auto"/>
      </w:divBdr>
    </w:div>
    <w:div w:id="256795003">
      <w:bodyDiv w:val="1"/>
      <w:marLeft w:val="0"/>
      <w:marRight w:val="0"/>
      <w:marTop w:val="0"/>
      <w:marBottom w:val="0"/>
      <w:divBdr>
        <w:top w:val="none" w:sz="0" w:space="0" w:color="auto"/>
        <w:left w:val="none" w:sz="0" w:space="0" w:color="auto"/>
        <w:bottom w:val="none" w:sz="0" w:space="0" w:color="auto"/>
        <w:right w:val="none" w:sz="0" w:space="0" w:color="auto"/>
      </w:divBdr>
    </w:div>
    <w:div w:id="263735846">
      <w:bodyDiv w:val="1"/>
      <w:marLeft w:val="0"/>
      <w:marRight w:val="0"/>
      <w:marTop w:val="0"/>
      <w:marBottom w:val="0"/>
      <w:divBdr>
        <w:top w:val="none" w:sz="0" w:space="0" w:color="auto"/>
        <w:left w:val="none" w:sz="0" w:space="0" w:color="auto"/>
        <w:bottom w:val="none" w:sz="0" w:space="0" w:color="auto"/>
        <w:right w:val="none" w:sz="0" w:space="0" w:color="auto"/>
      </w:divBdr>
    </w:div>
    <w:div w:id="264769442">
      <w:bodyDiv w:val="1"/>
      <w:marLeft w:val="0"/>
      <w:marRight w:val="0"/>
      <w:marTop w:val="0"/>
      <w:marBottom w:val="0"/>
      <w:divBdr>
        <w:top w:val="none" w:sz="0" w:space="0" w:color="auto"/>
        <w:left w:val="none" w:sz="0" w:space="0" w:color="auto"/>
        <w:bottom w:val="none" w:sz="0" w:space="0" w:color="auto"/>
        <w:right w:val="none" w:sz="0" w:space="0" w:color="auto"/>
      </w:divBdr>
    </w:div>
    <w:div w:id="296305922">
      <w:bodyDiv w:val="1"/>
      <w:marLeft w:val="0"/>
      <w:marRight w:val="0"/>
      <w:marTop w:val="0"/>
      <w:marBottom w:val="0"/>
      <w:divBdr>
        <w:top w:val="none" w:sz="0" w:space="0" w:color="auto"/>
        <w:left w:val="none" w:sz="0" w:space="0" w:color="auto"/>
        <w:bottom w:val="none" w:sz="0" w:space="0" w:color="auto"/>
        <w:right w:val="none" w:sz="0" w:space="0" w:color="auto"/>
      </w:divBdr>
    </w:div>
    <w:div w:id="307248641">
      <w:bodyDiv w:val="1"/>
      <w:marLeft w:val="0"/>
      <w:marRight w:val="0"/>
      <w:marTop w:val="0"/>
      <w:marBottom w:val="0"/>
      <w:divBdr>
        <w:top w:val="none" w:sz="0" w:space="0" w:color="auto"/>
        <w:left w:val="none" w:sz="0" w:space="0" w:color="auto"/>
        <w:bottom w:val="none" w:sz="0" w:space="0" w:color="auto"/>
        <w:right w:val="none" w:sz="0" w:space="0" w:color="auto"/>
      </w:divBdr>
    </w:div>
    <w:div w:id="315644078">
      <w:bodyDiv w:val="1"/>
      <w:marLeft w:val="0"/>
      <w:marRight w:val="0"/>
      <w:marTop w:val="0"/>
      <w:marBottom w:val="0"/>
      <w:divBdr>
        <w:top w:val="none" w:sz="0" w:space="0" w:color="auto"/>
        <w:left w:val="none" w:sz="0" w:space="0" w:color="auto"/>
        <w:bottom w:val="none" w:sz="0" w:space="0" w:color="auto"/>
        <w:right w:val="none" w:sz="0" w:space="0" w:color="auto"/>
      </w:divBdr>
    </w:div>
    <w:div w:id="348338141">
      <w:bodyDiv w:val="1"/>
      <w:marLeft w:val="0"/>
      <w:marRight w:val="0"/>
      <w:marTop w:val="0"/>
      <w:marBottom w:val="0"/>
      <w:divBdr>
        <w:top w:val="none" w:sz="0" w:space="0" w:color="auto"/>
        <w:left w:val="none" w:sz="0" w:space="0" w:color="auto"/>
        <w:bottom w:val="none" w:sz="0" w:space="0" w:color="auto"/>
        <w:right w:val="none" w:sz="0" w:space="0" w:color="auto"/>
      </w:divBdr>
    </w:div>
    <w:div w:id="351803239">
      <w:bodyDiv w:val="1"/>
      <w:marLeft w:val="0"/>
      <w:marRight w:val="0"/>
      <w:marTop w:val="0"/>
      <w:marBottom w:val="0"/>
      <w:divBdr>
        <w:top w:val="none" w:sz="0" w:space="0" w:color="auto"/>
        <w:left w:val="none" w:sz="0" w:space="0" w:color="auto"/>
        <w:bottom w:val="none" w:sz="0" w:space="0" w:color="auto"/>
        <w:right w:val="none" w:sz="0" w:space="0" w:color="auto"/>
      </w:divBdr>
    </w:div>
    <w:div w:id="420413475">
      <w:bodyDiv w:val="1"/>
      <w:marLeft w:val="0"/>
      <w:marRight w:val="0"/>
      <w:marTop w:val="0"/>
      <w:marBottom w:val="0"/>
      <w:divBdr>
        <w:top w:val="none" w:sz="0" w:space="0" w:color="auto"/>
        <w:left w:val="none" w:sz="0" w:space="0" w:color="auto"/>
        <w:bottom w:val="none" w:sz="0" w:space="0" w:color="auto"/>
        <w:right w:val="none" w:sz="0" w:space="0" w:color="auto"/>
      </w:divBdr>
    </w:div>
    <w:div w:id="428044123">
      <w:bodyDiv w:val="1"/>
      <w:marLeft w:val="0"/>
      <w:marRight w:val="0"/>
      <w:marTop w:val="0"/>
      <w:marBottom w:val="0"/>
      <w:divBdr>
        <w:top w:val="none" w:sz="0" w:space="0" w:color="auto"/>
        <w:left w:val="none" w:sz="0" w:space="0" w:color="auto"/>
        <w:bottom w:val="none" w:sz="0" w:space="0" w:color="auto"/>
        <w:right w:val="none" w:sz="0" w:space="0" w:color="auto"/>
      </w:divBdr>
    </w:div>
    <w:div w:id="477113318">
      <w:bodyDiv w:val="1"/>
      <w:marLeft w:val="0"/>
      <w:marRight w:val="0"/>
      <w:marTop w:val="0"/>
      <w:marBottom w:val="0"/>
      <w:divBdr>
        <w:top w:val="none" w:sz="0" w:space="0" w:color="auto"/>
        <w:left w:val="none" w:sz="0" w:space="0" w:color="auto"/>
        <w:bottom w:val="none" w:sz="0" w:space="0" w:color="auto"/>
        <w:right w:val="none" w:sz="0" w:space="0" w:color="auto"/>
      </w:divBdr>
    </w:div>
    <w:div w:id="519440580">
      <w:bodyDiv w:val="1"/>
      <w:marLeft w:val="0"/>
      <w:marRight w:val="0"/>
      <w:marTop w:val="0"/>
      <w:marBottom w:val="0"/>
      <w:divBdr>
        <w:top w:val="none" w:sz="0" w:space="0" w:color="auto"/>
        <w:left w:val="none" w:sz="0" w:space="0" w:color="auto"/>
        <w:bottom w:val="none" w:sz="0" w:space="0" w:color="auto"/>
        <w:right w:val="none" w:sz="0" w:space="0" w:color="auto"/>
      </w:divBdr>
    </w:div>
    <w:div w:id="535313378">
      <w:bodyDiv w:val="1"/>
      <w:marLeft w:val="0"/>
      <w:marRight w:val="0"/>
      <w:marTop w:val="0"/>
      <w:marBottom w:val="0"/>
      <w:divBdr>
        <w:top w:val="none" w:sz="0" w:space="0" w:color="auto"/>
        <w:left w:val="none" w:sz="0" w:space="0" w:color="auto"/>
        <w:bottom w:val="none" w:sz="0" w:space="0" w:color="auto"/>
        <w:right w:val="none" w:sz="0" w:space="0" w:color="auto"/>
      </w:divBdr>
    </w:div>
    <w:div w:id="540440563">
      <w:bodyDiv w:val="1"/>
      <w:marLeft w:val="0"/>
      <w:marRight w:val="0"/>
      <w:marTop w:val="0"/>
      <w:marBottom w:val="0"/>
      <w:divBdr>
        <w:top w:val="none" w:sz="0" w:space="0" w:color="auto"/>
        <w:left w:val="none" w:sz="0" w:space="0" w:color="auto"/>
        <w:bottom w:val="none" w:sz="0" w:space="0" w:color="auto"/>
        <w:right w:val="none" w:sz="0" w:space="0" w:color="auto"/>
      </w:divBdr>
    </w:div>
    <w:div w:id="554435113">
      <w:bodyDiv w:val="1"/>
      <w:marLeft w:val="0"/>
      <w:marRight w:val="0"/>
      <w:marTop w:val="0"/>
      <w:marBottom w:val="0"/>
      <w:divBdr>
        <w:top w:val="none" w:sz="0" w:space="0" w:color="auto"/>
        <w:left w:val="none" w:sz="0" w:space="0" w:color="auto"/>
        <w:bottom w:val="none" w:sz="0" w:space="0" w:color="auto"/>
        <w:right w:val="none" w:sz="0" w:space="0" w:color="auto"/>
      </w:divBdr>
    </w:div>
    <w:div w:id="591354227">
      <w:bodyDiv w:val="1"/>
      <w:marLeft w:val="0"/>
      <w:marRight w:val="0"/>
      <w:marTop w:val="0"/>
      <w:marBottom w:val="0"/>
      <w:divBdr>
        <w:top w:val="none" w:sz="0" w:space="0" w:color="auto"/>
        <w:left w:val="none" w:sz="0" w:space="0" w:color="auto"/>
        <w:bottom w:val="none" w:sz="0" w:space="0" w:color="auto"/>
        <w:right w:val="none" w:sz="0" w:space="0" w:color="auto"/>
      </w:divBdr>
    </w:div>
    <w:div w:id="595287322">
      <w:bodyDiv w:val="1"/>
      <w:marLeft w:val="0"/>
      <w:marRight w:val="0"/>
      <w:marTop w:val="0"/>
      <w:marBottom w:val="0"/>
      <w:divBdr>
        <w:top w:val="none" w:sz="0" w:space="0" w:color="auto"/>
        <w:left w:val="none" w:sz="0" w:space="0" w:color="auto"/>
        <w:bottom w:val="none" w:sz="0" w:space="0" w:color="auto"/>
        <w:right w:val="none" w:sz="0" w:space="0" w:color="auto"/>
      </w:divBdr>
    </w:div>
    <w:div w:id="642581158">
      <w:bodyDiv w:val="1"/>
      <w:marLeft w:val="0"/>
      <w:marRight w:val="0"/>
      <w:marTop w:val="0"/>
      <w:marBottom w:val="0"/>
      <w:divBdr>
        <w:top w:val="none" w:sz="0" w:space="0" w:color="auto"/>
        <w:left w:val="none" w:sz="0" w:space="0" w:color="auto"/>
        <w:bottom w:val="none" w:sz="0" w:space="0" w:color="auto"/>
        <w:right w:val="none" w:sz="0" w:space="0" w:color="auto"/>
      </w:divBdr>
    </w:div>
    <w:div w:id="657880047">
      <w:bodyDiv w:val="1"/>
      <w:marLeft w:val="0"/>
      <w:marRight w:val="0"/>
      <w:marTop w:val="0"/>
      <w:marBottom w:val="0"/>
      <w:divBdr>
        <w:top w:val="none" w:sz="0" w:space="0" w:color="auto"/>
        <w:left w:val="none" w:sz="0" w:space="0" w:color="auto"/>
        <w:bottom w:val="none" w:sz="0" w:space="0" w:color="auto"/>
        <w:right w:val="none" w:sz="0" w:space="0" w:color="auto"/>
      </w:divBdr>
    </w:div>
    <w:div w:id="676230434">
      <w:bodyDiv w:val="1"/>
      <w:marLeft w:val="0"/>
      <w:marRight w:val="0"/>
      <w:marTop w:val="0"/>
      <w:marBottom w:val="0"/>
      <w:divBdr>
        <w:top w:val="none" w:sz="0" w:space="0" w:color="auto"/>
        <w:left w:val="none" w:sz="0" w:space="0" w:color="auto"/>
        <w:bottom w:val="none" w:sz="0" w:space="0" w:color="auto"/>
        <w:right w:val="none" w:sz="0" w:space="0" w:color="auto"/>
      </w:divBdr>
    </w:div>
    <w:div w:id="702629656">
      <w:bodyDiv w:val="1"/>
      <w:marLeft w:val="0"/>
      <w:marRight w:val="0"/>
      <w:marTop w:val="0"/>
      <w:marBottom w:val="0"/>
      <w:divBdr>
        <w:top w:val="none" w:sz="0" w:space="0" w:color="auto"/>
        <w:left w:val="none" w:sz="0" w:space="0" w:color="auto"/>
        <w:bottom w:val="none" w:sz="0" w:space="0" w:color="auto"/>
        <w:right w:val="none" w:sz="0" w:space="0" w:color="auto"/>
      </w:divBdr>
    </w:div>
    <w:div w:id="712265600">
      <w:bodyDiv w:val="1"/>
      <w:marLeft w:val="0"/>
      <w:marRight w:val="0"/>
      <w:marTop w:val="0"/>
      <w:marBottom w:val="0"/>
      <w:divBdr>
        <w:top w:val="none" w:sz="0" w:space="0" w:color="auto"/>
        <w:left w:val="none" w:sz="0" w:space="0" w:color="auto"/>
        <w:bottom w:val="none" w:sz="0" w:space="0" w:color="auto"/>
        <w:right w:val="none" w:sz="0" w:space="0" w:color="auto"/>
      </w:divBdr>
    </w:div>
    <w:div w:id="742220587">
      <w:bodyDiv w:val="1"/>
      <w:marLeft w:val="0"/>
      <w:marRight w:val="0"/>
      <w:marTop w:val="0"/>
      <w:marBottom w:val="0"/>
      <w:divBdr>
        <w:top w:val="none" w:sz="0" w:space="0" w:color="auto"/>
        <w:left w:val="none" w:sz="0" w:space="0" w:color="auto"/>
        <w:bottom w:val="none" w:sz="0" w:space="0" w:color="auto"/>
        <w:right w:val="none" w:sz="0" w:space="0" w:color="auto"/>
      </w:divBdr>
    </w:div>
    <w:div w:id="750584224">
      <w:bodyDiv w:val="1"/>
      <w:marLeft w:val="0"/>
      <w:marRight w:val="0"/>
      <w:marTop w:val="0"/>
      <w:marBottom w:val="0"/>
      <w:divBdr>
        <w:top w:val="none" w:sz="0" w:space="0" w:color="auto"/>
        <w:left w:val="none" w:sz="0" w:space="0" w:color="auto"/>
        <w:bottom w:val="none" w:sz="0" w:space="0" w:color="auto"/>
        <w:right w:val="none" w:sz="0" w:space="0" w:color="auto"/>
      </w:divBdr>
    </w:div>
    <w:div w:id="802696510">
      <w:bodyDiv w:val="1"/>
      <w:marLeft w:val="0"/>
      <w:marRight w:val="0"/>
      <w:marTop w:val="0"/>
      <w:marBottom w:val="0"/>
      <w:divBdr>
        <w:top w:val="none" w:sz="0" w:space="0" w:color="auto"/>
        <w:left w:val="none" w:sz="0" w:space="0" w:color="auto"/>
        <w:bottom w:val="none" w:sz="0" w:space="0" w:color="auto"/>
        <w:right w:val="none" w:sz="0" w:space="0" w:color="auto"/>
      </w:divBdr>
    </w:div>
    <w:div w:id="853613106">
      <w:bodyDiv w:val="1"/>
      <w:marLeft w:val="0"/>
      <w:marRight w:val="0"/>
      <w:marTop w:val="0"/>
      <w:marBottom w:val="0"/>
      <w:divBdr>
        <w:top w:val="none" w:sz="0" w:space="0" w:color="auto"/>
        <w:left w:val="none" w:sz="0" w:space="0" w:color="auto"/>
        <w:bottom w:val="none" w:sz="0" w:space="0" w:color="auto"/>
        <w:right w:val="none" w:sz="0" w:space="0" w:color="auto"/>
      </w:divBdr>
    </w:div>
    <w:div w:id="855315741">
      <w:bodyDiv w:val="1"/>
      <w:marLeft w:val="0"/>
      <w:marRight w:val="0"/>
      <w:marTop w:val="0"/>
      <w:marBottom w:val="0"/>
      <w:divBdr>
        <w:top w:val="none" w:sz="0" w:space="0" w:color="auto"/>
        <w:left w:val="none" w:sz="0" w:space="0" w:color="auto"/>
        <w:bottom w:val="none" w:sz="0" w:space="0" w:color="auto"/>
        <w:right w:val="none" w:sz="0" w:space="0" w:color="auto"/>
      </w:divBdr>
    </w:div>
    <w:div w:id="866337184">
      <w:bodyDiv w:val="1"/>
      <w:marLeft w:val="0"/>
      <w:marRight w:val="0"/>
      <w:marTop w:val="0"/>
      <w:marBottom w:val="0"/>
      <w:divBdr>
        <w:top w:val="none" w:sz="0" w:space="0" w:color="auto"/>
        <w:left w:val="none" w:sz="0" w:space="0" w:color="auto"/>
        <w:bottom w:val="none" w:sz="0" w:space="0" w:color="auto"/>
        <w:right w:val="none" w:sz="0" w:space="0" w:color="auto"/>
      </w:divBdr>
    </w:div>
    <w:div w:id="877887473">
      <w:bodyDiv w:val="1"/>
      <w:marLeft w:val="0"/>
      <w:marRight w:val="0"/>
      <w:marTop w:val="0"/>
      <w:marBottom w:val="0"/>
      <w:divBdr>
        <w:top w:val="none" w:sz="0" w:space="0" w:color="auto"/>
        <w:left w:val="none" w:sz="0" w:space="0" w:color="auto"/>
        <w:bottom w:val="none" w:sz="0" w:space="0" w:color="auto"/>
        <w:right w:val="none" w:sz="0" w:space="0" w:color="auto"/>
      </w:divBdr>
    </w:div>
    <w:div w:id="886112715">
      <w:bodyDiv w:val="1"/>
      <w:marLeft w:val="0"/>
      <w:marRight w:val="0"/>
      <w:marTop w:val="0"/>
      <w:marBottom w:val="0"/>
      <w:divBdr>
        <w:top w:val="none" w:sz="0" w:space="0" w:color="auto"/>
        <w:left w:val="none" w:sz="0" w:space="0" w:color="auto"/>
        <w:bottom w:val="none" w:sz="0" w:space="0" w:color="auto"/>
        <w:right w:val="none" w:sz="0" w:space="0" w:color="auto"/>
      </w:divBdr>
    </w:div>
    <w:div w:id="929318456">
      <w:bodyDiv w:val="1"/>
      <w:marLeft w:val="0"/>
      <w:marRight w:val="0"/>
      <w:marTop w:val="0"/>
      <w:marBottom w:val="0"/>
      <w:divBdr>
        <w:top w:val="none" w:sz="0" w:space="0" w:color="auto"/>
        <w:left w:val="none" w:sz="0" w:space="0" w:color="auto"/>
        <w:bottom w:val="none" w:sz="0" w:space="0" w:color="auto"/>
        <w:right w:val="none" w:sz="0" w:space="0" w:color="auto"/>
      </w:divBdr>
    </w:div>
    <w:div w:id="933395438">
      <w:bodyDiv w:val="1"/>
      <w:marLeft w:val="0"/>
      <w:marRight w:val="0"/>
      <w:marTop w:val="0"/>
      <w:marBottom w:val="0"/>
      <w:divBdr>
        <w:top w:val="none" w:sz="0" w:space="0" w:color="auto"/>
        <w:left w:val="none" w:sz="0" w:space="0" w:color="auto"/>
        <w:bottom w:val="none" w:sz="0" w:space="0" w:color="auto"/>
        <w:right w:val="none" w:sz="0" w:space="0" w:color="auto"/>
      </w:divBdr>
    </w:div>
    <w:div w:id="958075039">
      <w:bodyDiv w:val="1"/>
      <w:marLeft w:val="0"/>
      <w:marRight w:val="0"/>
      <w:marTop w:val="0"/>
      <w:marBottom w:val="0"/>
      <w:divBdr>
        <w:top w:val="none" w:sz="0" w:space="0" w:color="auto"/>
        <w:left w:val="none" w:sz="0" w:space="0" w:color="auto"/>
        <w:bottom w:val="none" w:sz="0" w:space="0" w:color="auto"/>
        <w:right w:val="none" w:sz="0" w:space="0" w:color="auto"/>
      </w:divBdr>
    </w:div>
    <w:div w:id="983585085">
      <w:bodyDiv w:val="1"/>
      <w:marLeft w:val="0"/>
      <w:marRight w:val="0"/>
      <w:marTop w:val="0"/>
      <w:marBottom w:val="0"/>
      <w:divBdr>
        <w:top w:val="none" w:sz="0" w:space="0" w:color="auto"/>
        <w:left w:val="none" w:sz="0" w:space="0" w:color="auto"/>
        <w:bottom w:val="none" w:sz="0" w:space="0" w:color="auto"/>
        <w:right w:val="none" w:sz="0" w:space="0" w:color="auto"/>
      </w:divBdr>
    </w:div>
    <w:div w:id="983587038">
      <w:bodyDiv w:val="1"/>
      <w:marLeft w:val="0"/>
      <w:marRight w:val="0"/>
      <w:marTop w:val="0"/>
      <w:marBottom w:val="0"/>
      <w:divBdr>
        <w:top w:val="none" w:sz="0" w:space="0" w:color="auto"/>
        <w:left w:val="none" w:sz="0" w:space="0" w:color="auto"/>
        <w:bottom w:val="none" w:sz="0" w:space="0" w:color="auto"/>
        <w:right w:val="none" w:sz="0" w:space="0" w:color="auto"/>
      </w:divBdr>
    </w:div>
    <w:div w:id="1004043104">
      <w:bodyDiv w:val="1"/>
      <w:marLeft w:val="0"/>
      <w:marRight w:val="0"/>
      <w:marTop w:val="0"/>
      <w:marBottom w:val="0"/>
      <w:divBdr>
        <w:top w:val="none" w:sz="0" w:space="0" w:color="auto"/>
        <w:left w:val="none" w:sz="0" w:space="0" w:color="auto"/>
        <w:bottom w:val="none" w:sz="0" w:space="0" w:color="auto"/>
        <w:right w:val="none" w:sz="0" w:space="0" w:color="auto"/>
      </w:divBdr>
    </w:div>
    <w:div w:id="1028750400">
      <w:bodyDiv w:val="1"/>
      <w:marLeft w:val="0"/>
      <w:marRight w:val="0"/>
      <w:marTop w:val="0"/>
      <w:marBottom w:val="0"/>
      <w:divBdr>
        <w:top w:val="none" w:sz="0" w:space="0" w:color="auto"/>
        <w:left w:val="none" w:sz="0" w:space="0" w:color="auto"/>
        <w:bottom w:val="none" w:sz="0" w:space="0" w:color="auto"/>
        <w:right w:val="none" w:sz="0" w:space="0" w:color="auto"/>
      </w:divBdr>
    </w:div>
    <w:div w:id="1041367936">
      <w:bodyDiv w:val="1"/>
      <w:marLeft w:val="0"/>
      <w:marRight w:val="0"/>
      <w:marTop w:val="0"/>
      <w:marBottom w:val="0"/>
      <w:divBdr>
        <w:top w:val="none" w:sz="0" w:space="0" w:color="auto"/>
        <w:left w:val="none" w:sz="0" w:space="0" w:color="auto"/>
        <w:bottom w:val="none" w:sz="0" w:space="0" w:color="auto"/>
        <w:right w:val="none" w:sz="0" w:space="0" w:color="auto"/>
      </w:divBdr>
    </w:div>
    <w:div w:id="1050494020">
      <w:bodyDiv w:val="1"/>
      <w:marLeft w:val="0"/>
      <w:marRight w:val="0"/>
      <w:marTop w:val="0"/>
      <w:marBottom w:val="0"/>
      <w:divBdr>
        <w:top w:val="none" w:sz="0" w:space="0" w:color="auto"/>
        <w:left w:val="none" w:sz="0" w:space="0" w:color="auto"/>
        <w:bottom w:val="none" w:sz="0" w:space="0" w:color="auto"/>
        <w:right w:val="none" w:sz="0" w:space="0" w:color="auto"/>
      </w:divBdr>
    </w:div>
    <w:div w:id="1059011320">
      <w:bodyDiv w:val="1"/>
      <w:marLeft w:val="0"/>
      <w:marRight w:val="0"/>
      <w:marTop w:val="0"/>
      <w:marBottom w:val="0"/>
      <w:divBdr>
        <w:top w:val="none" w:sz="0" w:space="0" w:color="auto"/>
        <w:left w:val="none" w:sz="0" w:space="0" w:color="auto"/>
        <w:bottom w:val="none" w:sz="0" w:space="0" w:color="auto"/>
        <w:right w:val="none" w:sz="0" w:space="0" w:color="auto"/>
      </w:divBdr>
    </w:div>
    <w:div w:id="1070928318">
      <w:bodyDiv w:val="1"/>
      <w:marLeft w:val="0"/>
      <w:marRight w:val="0"/>
      <w:marTop w:val="0"/>
      <w:marBottom w:val="0"/>
      <w:divBdr>
        <w:top w:val="none" w:sz="0" w:space="0" w:color="auto"/>
        <w:left w:val="none" w:sz="0" w:space="0" w:color="auto"/>
        <w:bottom w:val="none" w:sz="0" w:space="0" w:color="auto"/>
        <w:right w:val="none" w:sz="0" w:space="0" w:color="auto"/>
      </w:divBdr>
    </w:div>
    <w:div w:id="1076054949">
      <w:bodyDiv w:val="1"/>
      <w:marLeft w:val="0"/>
      <w:marRight w:val="0"/>
      <w:marTop w:val="0"/>
      <w:marBottom w:val="0"/>
      <w:divBdr>
        <w:top w:val="none" w:sz="0" w:space="0" w:color="auto"/>
        <w:left w:val="none" w:sz="0" w:space="0" w:color="auto"/>
        <w:bottom w:val="none" w:sz="0" w:space="0" w:color="auto"/>
        <w:right w:val="none" w:sz="0" w:space="0" w:color="auto"/>
      </w:divBdr>
    </w:div>
    <w:div w:id="1080105544">
      <w:bodyDiv w:val="1"/>
      <w:marLeft w:val="0"/>
      <w:marRight w:val="0"/>
      <w:marTop w:val="0"/>
      <w:marBottom w:val="0"/>
      <w:divBdr>
        <w:top w:val="none" w:sz="0" w:space="0" w:color="auto"/>
        <w:left w:val="none" w:sz="0" w:space="0" w:color="auto"/>
        <w:bottom w:val="none" w:sz="0" w:space="0" w:color="auto"/>
        <w:right w:val="none" w:sz="0" w:space="0" w:color="auto"/>
      </w:divBdr>
    </w:div>
    <w:div w:id="1093428364">
      <w:bodyDiv w:val="1"/>
      <w:marLeft w:val="0"/>
      <w:marRight w:val="0"/>
      <w:marTop w:val="0"/>
      <w:marBottom w:val="0"/>
      <w:divBdr>
        <w:top w:val="none" w:sz="0" w:space="0" w:color="auto"/>
        <w:left w:val="none" w:sz="0" w:space="0" w:color="auto"/>
        <w:bottom w:val="none" w:sz="0" w:space="0" w:color="auto"/>
        <w:right w:val="none" w:sz="0" w:space="0" w:color="auto"/>
      </w:divBdr>
    </w:div>
    <w:div w:id="1134952872">
      <w:bodyDiv w:val="1"/>
      <w:marLeft w:val="0"/>
      <w:marRight w:val="0"/>
      <w:marTop w:val="0"/>
      <w:marBottom w:val="0"/>
      <w:divBdr>
        <w:top w:val="none" w:sz="0" w:space="0" w:color="auto"/>
        <w:left w:val="none" w:sz="0" w:space="0" w:color="auto"/>
        <w:bottom w:val="none" w:sz="0" w:space="0" w:color="auto"/>
        <w:right w:val="none" w:sz="0" w:space="0" w:color="auto"/>
      </w:divBdr>
    </w:div>
    <w:div w:id="1161963222">
      <w:bodyDiv w:val="1"/>
      <w:marLeft w:val="0"/>
      <w:marRight w:val="0"/>
      <w:marTop w:val="0"/>
      <w:marBottom w:val="0"/>
      <w:divBdr>
        <w:top w:val="none" w:sz="0" w:space="0" w:color="auto"/>
        <w:left w:val="none" w:sz="0" w:space="0" w:color="auto"/>
        <w:bottom w:val="none" w:sz="0" w:space="0" w:color="auto"/>
        <w:right w:val="none" w:sz="0" w:space="0" w:color="auto"/>
      </w:divBdr>
    </w:div>
    <w:div w:id="1168129097">
      <w:bodyDiv w:val="1"/>
      <w:marLeft w:val="0"/>
      <w:marRight w:val="0"/>
      <w:marTop w:val="0"/>
      <w:marBottom w:val="0"/>
      <w:divBdr>
        <w:top w:val="none" w:sz="0" w:space="0" w:color="auto"/>
        <w:left w:val="none" w:sz="0" w:space="0" w:color="auto"/>
        <w:bottom w:val="none" w:sz="0" w:space="0" w:color="auto"/>
        <w:right w:val="none" w:sz="0" w:space="0" w:color="auto"/>
      </w:divBdr>
    </w:div>
    <w:div w:id="1222866349">
      <w:bodyDiv w:val="1"/>
      <w:marLeft w:val="0"/>
      <w:marRight w:val="0"/>
      <w:marTop w:val="0"/>
      <w:marBottom w:val="0"/>
      <w:divBdr>
        <w:top w:val="none" w:sz="0" w:space="0" w:color="auto"/>
        <w:left w:val="none" w:sz="0" w:space="0" w:color="auto"/>
        <w:bottom w:val="none" w:sz="0" w:space="0" w:color="auto"/>
        <w:right w:val="none" w:sz="0" w:space="0" w:color="auto"/>
      </w:divBdr>
    </w:div>
    <w:div w:id="1233659881">
      <w:bodyDiv w:val="1"/>
      <w:marLeft w:val="0"/>
      <w:marRight w:val="0"/>
      <w:marTop w:val="0"/>
      <w:marBottom w:val="0"/>
      <w:divBdr>
        <w:top w:val="none" w:sz="0" w:space="0" w:color="auto"/>
        <w:left w:val="none" w:sz="0" w:space="0" w:color="auto"/>
        <w:bottom w:val="none" w:sz="0" w:space="0" w:color="auto"/>
        <w:right w:val="none" w:sz="0" w:space="0" w:color="auto"/>
      </w:divBdr>
    </w:div>
    <w:div w:id="1234196162">
      <w:bodyDiv w:val="1"/>
      <w:marLeft w:val="0"/>
      <w:marRight w:val="0"/>
      <w:marTop w:val="0"/>
      <w:marBottom w:val="0"/>
      <w:divBdr>
        <w:top w:val="none" w:sz="0" w:space="0" w:color="auto"/>
        <w:left w:val="none" w:sz="0" w:space="0" w:color="auto"/>
        <w:bottom w:val="none" w:sz="0" w:space="0" w:color="auto"/>
        <w:right w:val="none" w:sz="0" w:space="0" w:color="auto"/>
      </w:divBdr>
    </w:div>
    <w:div w:id="1240673578">
      <w:bodyDiv w:val="1"/>
      <w:marLeft w:val="0"/>
      <w:marRight w:val="0"/>
      <w:marTop w:val="0"/>
      <w:marBottom w:val="0"/>
      <w:divBdr>
        <w:top w:val="none" w:sz="0" w:space="0" w:color="auto"/>
        <w:left w:val="none" w:sz="0" w:space="0" w:color="auto"/>
        <w:bottom w:val="none" w:sz="0" w:space="0" w:color="auto"/>
        <w:right w:val="none" w:sz="0" w:space="0" w:color="auto"/>
      </w:divBdr>
    </w:div>
    <w:div w:id="1269190927">
      <w:bodyDiv w:val="1"/>
      <w:marLeft w:val="0"/>
      <w:marRight w:val="0"/>
      <w:marTop w:val="0"/>
      <w:marBottom w:val="0"/>
      <w:divBdr>
        <w:top w:val="none" w:sz="0" w:space="0" w:color="auto"/>
        <w:left w:val="none" w:sz="0" w:space="0" w:color="auto"/>
        <w:bottom w:val="none" w:sz="0" w:space="0" w:color="auto"/>
        <w:right w:val="none" w:sz="0" w:space="0" w:color="auto"/>
      </w:divBdr>
    </w:div>
    <w:div w:id="1311711370">
      <w:bodyDiv w:val="1"/>
      <w:marLeft w:val="0"/>
      <w:marRight w:val="0"/>
      <w:marTop w:val="0"/>
      <w:marBottom w:val="0"/>
      <w:divBdr>
        <w:top w:val="none" w:sz="0" w:space="0" w:color="auto"/>
        <w:left w:val="none" w:sz="0" w:space="0" w:color="auto"/>
        <w:bottom w:val="none" w:sz="0" w:space="0" w:color="auto"/>
        <w:right w:val="none" w:sz="0" w:space="0" w:color="auto"/>
      </w:divBdr>
    </w:div>
    <w:div w:id="1399666989">
      <w:bodyDiv w:val="1"/>
      <w:marLeft w:val="0"/>
      <w:marRight w:val="0"/>
      <w:marTop w:val="0"/>
      <w:marBottom w:val="0"/>
      <w:divBdr>
        <w:top w:val="none" w:sz="0" w:space="0" w:color="auto"/>
        <w:left w:val="none" w:sz="0" w:space="0" w:color="auto"/>
        <w:bottom w:val="none" w:sz="0" w:space="0" w:color="auto"/>
        <w:right w:val="none" w:sz="0" w:space="0" w:color="auto"/>
      </w:divBdr>
    </w:div>
    <w:div w:id="1459453230">
      <w:bodyDiv w:val="1"/>
      <w:marLeft w:val="0"/>
      <w:marRight w:val="0"/>
      <w:marTop w:val="0"/>
      <w:marBottom w:val="0"/>
      <w:divBdr>
        <w:top w:val="none" w:sz="0" w:space="0" w:color="auto"/>
        <w:left w:val="none" w:sz="0" w:space="0" w:color="auto"/>
        <w:bottom w:val="none" w:sz="0" w:space="0" w:color="auto"/>
        <w:right w:val="none" w:sz="0" w:space="0" w:color="auto"/>
      </w:divBdr>
    </w:div>
    <w:div w:id="1464424734">
      <w:bodyDiv w:val="1"/>
      <w:marLeft w:val="0"/>
      <w:marRight w:val="0"/>
      <w:marTop w:val="0"/>
      <w:marBottom w:val="0"/>
      <w:divBdr>
        <w:top w:val="none" w:sz="0" w:space="0" w:color="auto"/>
        <w:left w:val="none" w:sz="0" w:space="0" w:color="auto"/>
        <w:bottom w:val="none" w:sz="0" w:space="0" w:color="auto"/>
        <w:right w:val="none" w:sz="0" w:space="0" w:color="auto"/>
      </w:divBdr>
    </w:div>
    <w:div w:id="1496265235">
      <w:bodyDiv w:val="1"/>
      <w:marLeft w:val="0"/>
      <w:marRight w:val="0"/>
      <w:marTop w:val="0"/>
      <w:marBottom w:val="0"/>
      <w:divBdr>
        <w:top w:val="none" w:sz="0" w:space="0" w:color="auto"/>
        <w:left w:val="none" w:sz="0" w:space="0" w:color="auto"/>
        <w:bottom w:val="none" w:sz="0" w:space="0" w:color="auto"/>
        <w:right w:val="none" w:sz="0" w:space="0" w:color="auto"/>
      </w:divBdr>
    </w:div>
    <w:div w:id="1538008300">
      <w:bodyDiv w:val="1"/>
      <w:marLeft w:val="0"/>
      <w:marRight w:val="0"/>
      <w:marTop w:val="0"/>
      <w:marBottom w:val="0"/>
      <w:divBdr>
        <w:top w:val="none" w:sz="0" w:space="0" w:color="auto"/>
        <w:left w:val="none" w:sz="0" w:space="0" w:color="auto"/>
        <w:bottom w:val="none" w:sz="0" w:space="0" w:color="auto"/>
        <w:right w:val="none" w:sz="0" w:space="0" w:color="auto"/>
      </w:divBdr>
    </w:div>
    <w:div w:id="1549106550">
      <w:bodyDiv w:val="1"/>
      <w:marLeft w:val="0"/>
      <w:marRight w:val="0"/>
      <w:marTop w:val="0"/>
      <w:marBottom w:val="0"/>
      <w:divBdr>
        <w:top w:val="none" w:sz="0" w:space="0" w:color="auto"/>
        <w:left w:val="none" w:sz="0" w:space="0" w:color="auto"/>
        <w:bottom w:val="none" w:sz="0" w:space="0" w:color="auto"/>
        <w:right w:val="none" w:sz="0" w:space="0" w:color="auto"/>
      </w:divBdr>
    </w:div>
    <w:div w:id="1550997725">
      <w:bodyDiv w:val="1"/>
      <w:marLeft w:val="0"/>
      <w:marRight w:val="0"/>
      <w:marTop w:val="0"/>
      <w:marBottom w:val="0"/>
      <w:divBdr>
        <w:top w:val="none" w:sz="0" w:space="0" w:color="auto"/>
        <w:left w:val="none" w:sz="0" w:space="0" w:color="auto"/>
        <w:bottom w:val="none" w:sz="0" w:space="0" w:color="auto"/>
        <w:right w:val="none" w:sz="0" w:space="0" w:color="auto"/>
      </w:divBdr>
    </w:div>
    <w:div w:id="1570270174">
      <w:bodyDiv w:val="1"/>
      <w:marLeft w:val="0"/>
      <w:marRight w:val="0"/>
      <w:marTop w:val="0"/>
      <w:marBottom w:val="0"/>
      <w:divBdr>
        <w:top w:val="none" w:sz="0" w:space="0" w:color="auto"/>
        <w:left w:val="none" w:sz="0" w:space="0" w:color="auto"/>
        <w:bottom w:val="none" w:sz="0" w:space="0" w:color="auto"/>
        <w:right w:val="none" w:sz="0" w:space="0" w:color="auto"/>
      </w:divBdr>
    </w:div>
    <w:div w:id="1598832594">
      <w:bodyDiv w:val="1"/>
      <w:marLeft w:val="0"/>
      <w:marRight w:val="0"/>
      <w:marTop w:val="0"/>
      <w:marBottom w:val="0"/>
      <w:divBdr>
        <w:top w:val="none" w:sz="0" w:space="0" w:color="auto"/>
        <w:left w:val="none" w:sz="0" w:space="0" w:color="auto"/>
        <w:bottom w:val="none" w:sz="0" w:space="0" w:color="auto"/>
        <w:right w:val="none" w:sz="0" w:space="0" w:color="auto"/>
      </w:divBdr>
    </w:div>
    <w:div w:id="1608536263">
      <w:bodyDiv w:val="1"/>
      <w:marLeft w:val="0"/>
      <w:marRight w:val="0"/>
      <w:marTop w:val="0"/>
      <w:marBottom w:val="0"/>
      <w:divBdr>
        <w:top w:val="none" w:sz="0" w:space="0" w:color="auto"/>
        <w:left w:val="none" w:sz="0" w:space="0" w:color="auto"/>
        <w:bottom w:val="none" w:sz="0" w:space="0" w:color="auto"/>
        <w:right w:val="none" w:sz="0" w:space="0" w:color="auto"/>
      </w:divBdr>
    </w:div>
    <w:div w:id="1619871756">
      <w:bodyDiv w:val="1"/>
      <w:marLeft w:val="0"/>
      <w:marRight w:val="0"/>
      <w:marTop w:val="0"/>
      <w:marBottom w:val="0"/>
      <w:divBdr>
        <w:top w:val="none" w:sz="0" w:space="0" w:color="auto"/>
        <w:left w:val="none" w:sz="0" w:space="0" w:color="auto"/>
        <w:bottom w:val="none" w:sz="0" w:space="0" w:color="auto"/>
        <w:right w:val="none" w:sz="0" w:space="0" w:color="auto"/>
      </w:divBdr>
    </w:div>
    <w:div w:id="1645037553">
      <w:bodyDiv w:val="1"/>
      <w:marLeft w:val="0"/>
      <w:marRight w:val="0"/>
      <w:marTop w:val="0"/>
      <w:marBottom w:val="0"/>
      <w:divBdr>
        <w:top w:val="none" w:sz="0" w:space="0" w:color="auto"/>
        <w:left w:val="none" w:sz="0" w:space="0" w:color="auto"/>
        <w:bottom w:val="none" w:sz="0" w:space="0" w:color="auto"/>
        <w:right w:val="none" w:sz="0" w:space="0" w:color="auto"/>
      </w:divBdr>
    </w:div>
    <w:div w:id="1648240243">
      <w:bodyDiv w:val="1"/>
      <w:marLeft w:val="0"/>
      <w:marRight w:val="0"/>
      <w:marTop w:val="0"/>
      <w:marBottom w:val="0"/>
      <w:divBdr>
        <w:top w:val="none" w:sz="0" w:space="0" w:color="auto"/>
        <w:left w:val="none" w:sz="0" w:space="0" w:color="auto"/>
        <w:bottom w:val="none" w:sz="0" w:space="0" w:color="auto"/>
        <w:right w:val="none" w:sz="0" w:space="0" w:color="auto"/>
      </w:divBdr>
    </w:div>
    <w:div w:id="1657296645">
      <w:bodyDiv w:val="1"/>
      <w:marLeft w:val="0"/>
      <w:marRight w:val="0"/>
      <w:marTop w:val="0"/>
      <w:marBottom w:val="0"/>
      <w:divBdr>
        <w:top w:val="none" w:sz="0" w:space="0" w:color="auto"/>
        <w:left w:val="none" w:sz="0" w:space="0" w:color="auto"/>
        <w:bottom w:val="none" w:sz="0" w:space="0" w:color="auto"/>
        <w:right w:val="none" w:sz="0" w:space="0" w:color="auto"/>
      </w:divBdr>
    </w:div>
    <w:div w:id="1675765257">
      <w:bodyDiv w:val="1"/>
      <w:marLeft w:val="0"/>
      <w:marRight w:val="0"/>
      <w:marTop w:val="0"/>
      <w:marBottom w:val="0"/>
      <w:divBdr>
        <w:top w:val="none" w:sz="0" w:space="0" w:color="auto"/>
        <w:left w:val="none" w:sz="0" w:space="0" w:color="auto"/>
        <w:bottom w:val="none" w:sz="0" w:space="0" w:color="auto"/>
        <w:right w:val="none" w:sz="0" w:space="0" w:color="auto"/>
      </w:divBdr>
    </w:div>
    <w:div w:id="1683892257">
      <w:bodyDiv w:val="1"/>
      <w:marLeft w:val="0"/>
      <w:marRight w:val="0"/>
      <w:marTop w:val="0"/>
      <w:marBottom w:val="0"/>
      <w:divBdr>
        <w:top w:val="none" w:sz="0" w:space="0" w:color="auto"/>
        <w:left w:val="none" w:sz="0" w:space="0" w:color="auto"/>
        <w:bottom w:val="none" w:sz="0" w:space="0" w:color="auto"/>
        <w:right w:val="none" w:sz="0" w:space="0" w:color="auto"/>
      </w:divBdr>
    </w:div>
    <w:div w:id="1721398079">
      <w:bodyDiv w:val="1"/>
      <w:marLeft w:val="0"/>
      <w:marRight w:val="0"/>
      <w:marTop w:val="0"/>
      <w:marBottom w:val="0"/>
      <w:divBdr>
        <w:top w:val="none" w:sz="0" w:space="0" w:color="auto"/>
        <w:left w:val="none" w:sz="0" w:space="0" w:color="auto"/>
        <w:bottom w:val="none" w:sz="0" w:space="0" w:color="auto"/>
        <w:right w:val="none" w:sz="0" w:space="0" w:color="auto"/>
      </w:divBdr>
    </w:div>
    <w:div w:id="1738940175">
      <w:bodyDiv w:val="1"/>
      <w:marLeft w:val="0"/>
      <w:marRight w:val="0"/>
      <w:marTop w:val="0"/>
      <w:marBottom w:val="0"/>
      <w:divBdr>
        <w:top w:val="none" w:sz="0" w:space="0" w:color="auto"/>
        <w:left w:val="none" w:sz="0" w:space="0" w:color="auto"/>
        <w:bottom w:val="none" w:sz="0" w:space="0" w:color="auto"/>
        <w:right w:val="none" w:sz="0" w:space="0" w:color="auto"/>
      </w:divBdr>
    </w:div>
    <w:div w:id="1742751718">
      <w:bodyDiv w:val="1"/>
      <w:marLeft w:val="0"/>
      <w:marRight w:val="0"/>
      <w:marTop w:val="0"/>
      <w:marBottom w:val="0"/>
      <w:divBdr>
        <w:top w:val="none" w:sz="0" w:space="0" w:color="auto"/>
        <w:left w:val="none" w:sz="0" w:space="0" w:color="auto"/>
        <w:bottom w:val="none" w:sz="0" w:space="0" w:color="auto"/>
        <w:right w:val="none" w:sz="0" w:space="0" w:color="auto"/>
      </w:divBdr>
    </w:div>
    <w:div w:id="1760635264">
      <w:bodyDiv w:val="1"/>
      <w:marLeft w:val="0"/>
      <w:marRight w:val="0"/>
      <w:marTop w:val="0"/>
      <w:marBottom w:val="0"/>
      <w:divBdr>
        <w:top w:val="none" w:sz="0" w:space="0" w:color="auto"/>
        <w:left w:val="none" w:sz="0" w:space="0" w:color="auto"/>
        <w:bottom w:val="none" w:sz="0" w:space="0" w:color="auto"/>
        <w:right w:val="none" w:sz="0" w:space="0" w:color="auto"/>
      </w:divBdr>
    </w:div>
    <w:div w:id="1762722004">
      <w:bodyDiv w:val="1"/>
      <w:marLeft w:val="0"/>
      <w:marRight w:val="0"/>
      <w:marTop w:val="0"/>
      <w:marBottom w:val="0"/>
      <w:divBdr>
        <w:top w:val="none" w:sz="0" w:space="0" w:color="auto"/>
        <w:left w:val="none" w:sz="0" w:space="0" w:color="auto"/>
        <w:bottom w:val="none" w:sz="0" w:space="0" w:color="auto"/>
        <w:right w:val="none" w:sz="0" w:space="0" w:color="auto"/>
      </w:divBdr>
    </w:div>
    <w:div w:id="1797479123">
      <w:bodyDiv w:val="1"/>
      <w:marLeft w:val="0"/>
      <w:marRight w:val="0"/>
      <w:marTop w:val="0"/>
      <w:marBottom w:val="0"/>
      <w:divBdr>
        <w:top w:val="none" w:sz="0" w:space="0" w:color="auto"/>
        <w:left w:val="none" w:sz="0" w:space="0" w:color="auto"/>
        <w:bottom w:val="none" w:sz="0" w:space="0" w:color="auto"/>
        <w:right w:val="none" w:sz="0" w:space="0" w:color="auto"/>
      </w:divBdr>
    </w:div>
    <w:div w:id="1812015710">
      <w:bodyDiv w:val="1"/>
      <w:marLeft w:val="0"/>
      <w:marRight w:val="0"/>
      <w:marTop w:val="0"/>
      <w:marBottom w:val="0"/>
      <w:divBdr>
        <w:top w:val="none" w:sz="0" w:space="0" w:color="auto"/>
        <w:left w:val="none" w:sz="0" w:space="0" w:color="auto"/>
        <w:bottom w:val="none" w:sz="0" w:space="0" w:color="auto"/>
        <w:right w:val="none" w:sz="0" w:space="0" w:color="auto"/>
      </w:divBdr>
    </w:div>
    <w:div w:id="1923443785">
      <w:bodyDiv w:val="1"/>
      <w:marLeft w:val="0"/>
      <w:marRight w:val="0"/>
      <w:marTop w:val="0"/>
      <w:marBottom w:val="0"/>
      <w:divBdr>
        <w:top w:val="none" w:sz="0" w:space="0" w:color="auto"/>
        <w:left w:val="none" w:sz="0" w:space="0" w:color="auto"/>
        <w:bottom w:val="none" w:sz="0" w:space="0" w:color="auto"/>
        <w:right w:val="none" w:sz="0" w:space="0" w:color="auto"/>
      </w:divBdr>
    </w:div>
    <w:div w:id="1933513562">
      <w:bodyDiv w:val="1"/>
      <w:marLeft w:val="0"/>
      <w:marRight w:val="0"/>
      <w:marTop w:val="0"/>
      <w:marBottom w:val="0"/>
      <w:divBdr>
        <w:top w:val="none" w:sz="0" w:space="0" w:color="auto"/>
        <w:left w:val="none" w:sz="0" w:space="0" w:color="auto"/>
        <w:bottom w:val="none" w:sz="0" w:space="0" w:color="auto"/>
        <w:right w:val="none" w:sz="0" w:space="0" w:color="auto"/>
      </w:divBdr>
    </w:div>
    <w:div w:id="1961909275">
      <w:bodyDiv w:val="1"/>
      <w:marLeft w:val="0"/>
      <w:marRight w:val="0"/>
      <w:marTop w:val="0"/>
      <w:marBottom w:val="0"/>
      <w:divBdr>
        <w:top w:val="none" w:sz="0" w:space="0" w:color="auto"/>
        <w:left w:val="none" w:sz="0" w:space="0" w:color="auto"/>
        <w:bottom w:val="none" w:sz="0" w:space="0" w:color="auto"/>
        <w:right w:val="none" w:sz="0" w:space="0" w:color="auto"/>
      </w:divBdr>
    </w:div>
    <w:div w:id="1973830777">
      <w:bodyDiv w:val="1"/>
      <w:marLeft w:val="0"/>
      <w:marRight w:val="0"/>
      <w:marTop w:val="0"/>
      <w:marBottom w:val="0"/>
      <w:divBdr>
        <w:top w:val="none" w:sz="0" w:space="0" w:color="auto"/>
        <w:left w:val="none" w:sz="0" w:space="0" w:color="auto"/>
        <w:bottom w:val="none" w:sz="0" w:space="0" w:color="auto"/>
        <w:right w:val="none" w:sz="0" w:space="0" w:color="auto"/>
      </w:divBdr>
    </w:div>
    <w:div w:id="1982689992">
      <w:bodyDiv w:val="1"/>
      <w:marLeft w:val="0"/>
      <w:marRight w:val="0"/>
      <w:marTop w:val="0"/>
      <w:marBottom w:val="0"/>
      <w:divBdr>
        <w:top w:val="none" w:sz="0" w:space="0" w:color="auto"/>
        <w:left w:val="none" w:sz="0" w:space="0" w:color="auto"/>
        <w:bottom w:val="none" w:sz="0" w:space="0" w:color="auto"/>
        <w:right w:val="none" w:sz="0" w:space="0" w:color="auto"/>
      </w:divBdr>
    </w:div>
    <w:div w:id="2019382801">
      <w:bodyDiv w:val="1"/>
      <w:marLeft w:val="0"/>
      <w:marRight w:val="0"/>
      <w:marTop w:val="0"/>
      <w:marBottom w:val="0"/>
      <w:divBdr>
        <w:top w:val="none" w:sz="0" w:space="0" w:color="auto"/>
        <w:left w:val="none" w:sz="0" w:space="0" w:color="auto"/>
        <w:bottom w:val="none" w:sz="0" w:space="0" w:color="auto"/>
        <w:right w:val="none" w:sz="0" w:space="0" w:color="auto"/>
      </w:divBdr>
    </w:div>
    <w:div w:id="2029061520">
      <w:bodyDiv w:val="1"/>
      <w:marLeft w:val="0"/>
      <w:marRight w:val="0"/>
      <w:marTop w:val="0"/>
      <w:marBottom w:val="0"/>
      <w:divBdr>
        <w:top w:val="none" w:sz="0" w:space="0" w:color="auto"/>
        <w:left w:val="none" w:sz="0" w:space="0" w:color="auto"/>
        <w:bottom w:val="none" w:sz="0" w:space="0" w:color="auto"/>
        <w:right w:val="none" w:sz="0" w:space="0" w:color="auto"/>
      </w:divBdr>
    </w:div>
    <w:div w:id="2042315583">
      <w:bodyDiv w:val="1"/>
      <w:marLeft w:val="0"/>
      <w:marRight w:val="0"/>
      <w:marTop w:val="0"/>
      <w:marBottom w:val="0"/>
      <w:divBdr>
        <w:top w:val="none" w:sz="0" w:space="0" w:color="auto"/>
        <w:left w:val="none" w:sz="0" w:space="0" w:color="auto"/>
        <w:bottom w:val="none" w:sz="0" w:space="0" w:color="auto"/>
        <w:right w:val="none" w:sz="0" w:space="0" w:color="auto"/>
      </w:divBdr>
    </w:div>
    <w:div w:id="2062442421">
      <w:bodyDiv w:val="1"/>
      <w:marLeft w:val="0"/>
      <w:marRight w:val="0"/>
      <w:marTop w:val="0"/>
      <w:marBottom w:val="0"/>
      <w:divBdr>
        <w:top w:val="none" w:sz="0" w:space="0" w:color="auto"/>
        <w:left w:val="none" w:sz="0" w:space="0" w:color="auto"/>
        <w:bottom w:val="none" w:sz="0" w:space="0" w:color="auto"/>
        <w:right w:val="none" w:sz="0" w:space="0" w:color="auto"/>
      </w:divBdr>
    </w:div>
    <w:div w:id="2072924816">
      <w:bodyDiv w:val="1"/>
      <w:marLeft w:val="0"/>
      <w:marRight w:val="0"/>
      <w:marTop w:val="0"/>
      <w:marBottom w:val="0"/>
      <w:divBdr>
        <w:top w:val="none" w:sz="0" w:space="0" w:color="auto"/>
        <w:left w:val="none" w:sz="0" w:space="0" w:color="auto"/>
        <w:bottom w:val="none" w:sz="0" w:space="0" w:color="auto"/>
        <w:right w:val="none" w:sz="0" w:space="0" w:color="auto"/>
      </w:divBdr>
    </w:div>
    <w:div w:id="2075623206">
      <w:bodyDiv w:val="1"/>
      <w:marLeft w:val="0"/>
      <w:marRight w:val="0"/>
      <w:marTop w:val="0"/>
      <w:marBottom w:val="0"/>
      <w:divBdr>
        <w:top w:val="none" w:sz="0" w:space="0" w:color="auto"/>
        <w:left w:val="none" w:sz="0" w:space="0" w:color="auto"/>
        <w:bottom w:val="none" w:sz="0" w:space="0" w:color="auto"/>
        <w:right w:val="none" w:sz="0" w:space="0" w:color="auto"/>
      </w:divBdr>
    </w:div>
    <w:div w:id="2112434357">
      <w:bodyDiv w:val="1"/>
      <w:marLeft w:val="0"/>
      <w:marRight w:val="0"/>
      <w:marTop w:val="0"/>
      <w:marBottom w:val="0"/>
      <w:divBdr>
        <w:top w:val="none" w:sz="0" w:space="0" w:color="auto"/>
        <w:left w:val="none" w:sz="0" w:space="0" w:color="auto"/>
        <w:bottom w:val="none" w:sz="0" w:space="0" w:color="auto"/>
        <w:right w:val="none" w:sz="0" w:space="0" w:color="auto"/>
      </w:divBdr>
    </w:div>
    <w:div w:id="2117479696">
      <w:bodyDiv w:val="1"/>
      <w:marLeft w:val="0"/>
      <w:marRight w:val="0"/>
      <w:marTop w:val="0"/>
      <w:marBottom w:val="0"/>
      <w:divBdr>
        <w:top w:val="none" w:sz="0" w:space="0" w:color="auto"/>
        <w:left w:val="none" w:sz="0" w:space="0" w:color="auto"/>
        <w:bottom w:val="none" w:sz="0" w:space="0" w:color="auto"/>
        <w:right w:val="none" w:sz="0" w:space="0" w:color="auto"/>
      </w:divBdr>
    </w:div>
    <w:div w:id="2133211330">
      <w:bodyDiv w:val="1"/>
      <w:marLeft w:val="0"/>
      <w:marRight w:val="0"/>
      <w:marTop w:val="0"/>
      <w:marBottom w:val="0"/>
      <w:divBdr>
        <w:top w:val="none" w:sz="0" w:space="0" w:color="auto"/>
        <w:left w:val="none" w:sz="0" w:space="0" w:color="auto"/>
        <w:bottom w:val="none" w:sz="0" w:space="0" w:color="auto"/>
        <w:right w:val="none" w:sz="0" w:space="0" w:color="auto"/>
      </w:divBdr>
    </w:div>
    <w:div w:id="2137990487">
      <w:bodyDiv w:val="1"/>
      <w:marLeft w:val="0"/>
      <w:marRight w:val="0"/>
      <w:marTop w:val="0"/>
      <w:marBottom w:val="0"/>
      <w:divBdr>
        <w:top w:val="none" w:sz="0" w:space="0" w:color="auto"/>
        <w:left w:val="none" w:sz="0" w:space="0" w:color="auto"/>
        <w:bottom w:val="none" w:sz="0" w:space="0" w:color="auto"/>
        <w:right w:val="none" w:sz="0" w:space="0" w:color="auto"/>
      </w:divBdr>
    </w:div>
    <w:div w:id="214415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1999/BJU%20Int84,%20601.pdf" TargetMode="External"/><Relationship Id="rId1827" Type="http://schemas.openxmlformats.org/officeDocument/2006/relationships/hyperlink" Target="2009/Bra%20J%20Med%20Bio%20Res42,%201002.pdf" TargetMode="External"/><Relationship Id="rId21" Type="http://schemas.openxmlformats.org/officeDocument/2006/relationships/hyperlink" Target="2013/Aca%20Eme%20Med20,%201004.pdf" TargetMode="External"/><Relationship Id="rId2089" Type="http://schemas.openxmlformats.org/officeDocument/2006/relationships/hyperlink" Target="1998/Bui%20Res%20Inf26,%20268.pdf" TargetMode="External"/><Relationship Id="rId170" Type="http://schemas.openxmlformats.org/officeDocument/2006/relationships/hyperlink" Target="2014/Act%20Ort85,%20415.pdf" TargetMode="External"/><Relationship Id="rId268" Type="http://schemas.openxmlformats.org/officeDocument/2006/relationships/hyperlink" Target="2005/Adv%20Phy%20Edu29,%20138.pdf" TargetMode="External"/><Relationship Id="rId475" Type="http://schemas.openxmlformats.org/officeDocument/2006/relationships/hyperlink" Target="2008/Ame%20J%20Gas103,%20104.pdf" TargetMode="External"/><Relationship Id="rId682" Type="http://schemas.openxmlformats.org/officeDocument/2006/relationships/hyperlink" Target="1960-80/Ame%20Soc3,%20124.pdf" TargetMode="External"/><Relationship Id="rId2156" Type="http://schemas.openxmlformats.org/officeDocument/2006/relationships/hyperlink" Target="2014/Burns40,%20552.pdf" TargetMode="External"/><Relationship Id="rId128" Type="http://schemas.openxmlformats.org/officeDocument/2006/relationships/hyperlink" Target="2006/Act%20Cry%20Sec%20B62,%20993.pdf" TargetMode="External"/><Relationship Id="rId335" Type="http://schemas.openxmlformats.org/officeDocument/2006/relationships/hyperlink" Target="../HO-reference/2014/AIDS28,%20599.pdf" TargetMode="External"/><Relationship Id="rId542" Type="http://schemas.openxmlformats.org/officeDocument/2006/relationships/hyperlink" Target="2014/Ame%20J%20Med124,%201242.e1.pdf" TargetMode="External"/><Relationship Id="rId987" Type="http://schemas.openxmlformats.org/officeDocument/2006/relationships/hyperlink" Target="2006/Ann%20Vas%20Sur20,%20282.pdf" TargetMode="External"/><Relationship Id="rId1172" Type="http://schemas.openxmlformats.org/officeDocument/2006/relationships/hyperlink" Target="2010/Arc%20Phy%20Med%20Reh91,%20806.pdf" TargetMode="External"/><Relationship Id="rId2016" Type="http://schemas.openxmlformats.org/officeDocument/2006/relationships/hyperlink" Target="1999/Bri%20Med%20J319,%20259.pdf" TargetMode="External"/><Relationship Id="rId402" Type="http://schemas.openxmlformats.org/officeDocument/2006/relationships/hyperlink" Target="2007/Ame%20Hea%20J153,%20175.pdf" TargetMode="External"/><Relationship Id="rId847" Type="http://schemas.openxmlformats.org/officeDocument/2006/relationships/hyperlink" Target="2010/Ann%20For%20Sci67,%20800.pdf" TargetMode="External"/><Relationship Id="rId1032" Type="http://schemas.openxmlformats.org/officeDocument/2006/relationships/hyperlink" Target="2011/ANZ%20J%20Sur81,%20418.pdf" TargetMode="External"/><Relationship Id="rId1477" Type="http://schemas.openxmlformats.org/officeDocument/2006/relationships/hyperlink" Target="2014/Bio%20Res%20Int,%20827635.pdf" TargetMode="External"/><Relationship Id="rId1684" Type="http://schemas.openxmlformats.org/officeDocument/2006/relationships/hyperlink" Target="2013/BMC%20Psy13,%20102.pdf" TargetMode="External"/><Relationship Id="rId1891" Type="http://schemas.openxmlformats.org/officeDocument/2006/relationships/hyperlink" Target="2006/Bri%20J%20Gen%20Pra56,%20286.pdf" TargetMode="External"/><Relationship Id="rId707" Type="http://schemas.openxmlformats.org/officeDocument/2006/relationships/hyperlink" Target="2008/Anaesthesia63,%20225.pdf" TargetMode="External"/><Relationship Id="rId914" Type="http://schemas.openxmlformats.org/officeDocument/2006/relationships/hyperlink" Target="2013/Ann%20Nut%20Met63,%20229.pdf" TargetMode="External"/><Relationship Id="rId1337" Type="http://schemas.openxmlformats.org/officeDocument/2006/relationships/hyperlink" Target="2011/Asl%20Pro63,%20321.pdf" TargetMode="External"/><Relationship Id="rId1544" Type="http://schemas.openxmlformats.org/officeDocument/2006/relationships/hyperlink" Target="2014/BMC%20Can14,%2015.pdf" TargetMode="External"/><Relationship Id="rId1751" Type="http://schemas.openxmlformats.org/officeDocument/2006/relationships/hyperlink" Target="2013/BMJ%20Ope3,%20e003417.pdf" TargetMode="External"/><Relationship Id="rId1989" Type="http://schemas.openxmlformats.org/officeDocument/2006/relationships/hyperlink" Target="1992/Bri%20Med%20J305,%20420.pdf" TargetMode="External"/><Relationship Id="rId43" Type="http://schemas.openxmlformats.org/officeDocument/2006/relationships/hyperlink" Target="2014/Aca%20Med89,%201245.pdf" TargetMode="External"/><Relationship Id="rId1404" Type="http://schemas.openxmlformats.org/officeDocument/2006/relationships/hyperlink" Target="2013/Aus%20New%20Zea%20J%20Psy47,%201119.pdf" TargetMode="External"/><Relationship Id="rId1611" Type="http://schemas.openxmlformats.org/officeDocument/2006/relationships/hyperlink" Target="2013/BMC%20Inf%20Dis13,%20454.pdf" TargetMode="External"/><Relationship Id="rId1849" Type="http://schemas.openxmlformats.org/officeDocument/2006/relationships/hyperlink" Target="2004/Bri%20Acc%20Rev36,%207.pdf" TargetMode="External"/><Relationship Id="rId192" Type="http://schemas.openxmlformats.org/officeDocument/2006/relationships/hyperlink" Target="2002/Act%20Psy%20Sca106,%205.pdf" TargetMode="External"/><Relationship Id="rId1709" Type="http://schemas.openxmlformats.org/officeDocument/2006/relationships/hyperlink" Target="2013/BMC%20Pub%20Hea13,%20541.pdf" TargetMode="External"/><Relationship Id="rId1916" Type="http://schemas.openxmlformats.org/officeDocument/2006/relationships/hyperlink" Target="http://www.sciencedirect.com/science/journal/00071226" TargetMode="External"/><Relationship Id="rId497" Type="http://schemas.openxmlformats.org/officeDocument/2006/relationships/hyperlink" Target="http://ajh.sagepub.com/" TargetMode="External"/><Relationship Id="rId2080" Type="http://schemas.openxmlformats.org/officeDocument/2006/relationships/hyperlink" Target="2012/Bri%20Med%20J345,%20e4757.pdf" TargetMode="External"/><Relationship Id="rId357" Type="http://schemas.openxmlformats.org/officeDocument/2006/relationships/hyperlink" Target="http://www3.interscience.wiley.com/journal/117987555/home" TargetMode="External"/><Relationship Id="rId1194" Type="http://schemas.openxmlformats.org/officeDocument/2006/relationships/hyperlink" Target="2007/Arc%20Bro43,%20378.pdf" TargetMode="External"/><Relationship Id="rId2038" Type="http://schemas.openxmlformats.org/officeDocument/2006/relationships/hyperlink" Target="2005/Bri%20Med%20J330,%201056.pdf" TargetMode="External"/><Relationship Id="rId217" Type="http://schemas.openxmlformats.org/officeDocument/2006/relationships/hyperlink" Target="2011/Act%20Esp%20Psi39,%20294.pdf" TargetMode="External"/><Relationship Id="rId564" Type="http://schemas.openxmlformats.org/officeDocument/2006/relationships/hyperlink" Target="2005/Ame%20J%20Oph140,%201146.pdf" TargetMode="External"/><Relationship Id="rId771" Type="http://schemas.openxmlformats.org/officeDocument/2006/relationships/hyperlink" Target="2012/Ane%20Ana115,%201286.pdf" TargetMode="External"/><Relationship Id="rId869" Type="http://schemas.openxmlformats.org/officeDocument/2006/relationships/hyperlink" Target="2008/Ann%20Int%20Med149,%20879.pdf" TargetMode="External"/><Relationship Id="rId1499" Type="http://schemas.openxmlformats.org/officeDocument/2006/relationships/hyperlink" Target="2005/Bioscience55,%20438.pdf" TargetMode="External"/><Relationship Id="rId424" Type="http://schemas.openxmlformats.org/officeDocument/2006/relationships/hyperlink" Target="2014\Ame%20J%20Car114,%20187.pdf" TargetMode="External"/><Relationship Id="rId631" Type="http://schemas.openxmlformats.org/officeDocument/2006/relationships/hyperlink" Target="1993/Ame%20J%20Roe161,%20479.pdf" TargetMode="External"/><Relationship Id="rId729" Type="http://schemas.openxmlformats.org/officeDocument/2006/relationships/hyperlink" Target="2014/Ana%20Aca%20Bra%20Cie86,%201373.pdf" TargetMode="External"/><Relationship Id="rId1054" Type="http://schemas.openxmlformats.org/officeDocument/2006/relationships/hyperlink" Target="2014/App%20Ene109,%20415.pdf" TargetMode="External"/><Relationship Id="rId1261" Type="http://schemas.openxmlformats.org/officeDocument/2006/relationships/hyperlink" Target="http://www3.interscience.wiley.com/journal/118507094/home" TargetMode="External"/><Relationship Id="rId1359" Type="http://schemas.openxmlformats.org/officeDocument/2006/relationships/hyperlink" Target="2009/Atm%20Env43,%209.pdf" TargetMode="External"/><Relationship Id="rId2105" Type="http://schemas.openxmlformats.org/officeDocument/2006/relationships/hyperlink" Target="1960-80/Bul%20Med%20Lib%20Ass62,%2095.pdf" TargetMode="External"/><Relationship Id="rId936" Type="http://schemas.openxmlformats.org/officeDocument/2006/relationships/hyperlink" Target="2013/Ann%20Pha47,%201301.pdf" TargetMode="External"/><Relationship Id="rId1121" Type="http://schemas.openxmlformats.org/officeDocument/2006/relationships/hyperlink" Target="2014/Arc%20Ger%20Ger59,%20497.pdf" TargetMode="External"/><Relationship Id="rId1219" Type="http://schemas.openxmlformats.org/officeDocument/2006/relationships/hyperlink" Target="2008/Arq%20Bra%20Car91,%20289.pdf" TargetMode="External"/><Relationship Id="rId1566" Type="http://schemas.openxmlformats.org/officeDocument/2006/relationships/hyperlink" Target="2007/BMC%20Hea%20Ser%20Res7,%2078.pdf" TargetMode="External"/><Relationship Id="rId1773" Type="http://schemas.openxmlformats.org/officeDocument/2006/relationships/hyperlink" Target="2015/BMJ%20Ope5,%20e006524.pdf" TargetMode="External"/><Relationship Id="rId1980" Type="http://schemas.openxmlformats.org/officeDocument/2006/relationships/hyperlink" Target="1960-80/Bri%20Med%20J1,%20532.pdf" TargetMode="External"/><Relationship Id="rId65" Type="http://schemas.openxmlformats.org/officeDocument/2006/relationships/hyperlink" Target="2013/Acc%20Res%20Pol%20Qua%20Ass20,%20143.pdf" TargetMode="External"/><Relationship Id="rId1426" Type="http://schemas.openxmlformats.org/officeDocument/2006/relationships/hyperlink" Target="2011/Beh%20Ana34,%2075.pdf" TargetMode="External"/><Relationship Id="rId1633" Type="http://schemas.openxmlformats.org/officeDocument/2006/relationships/hyperlink" Target="2013/BMC%20Med%20Inf%20Dec%20Mak13,%2077.pdf" TargetMode="External"/><Relationship Id="rId1840" Type="http://schemas.openxmlformats.org/officeDocument/2006/relationships/hyperlink" Target="2011/Bre%20Can%20Res%20Tre127,%20845.pdf" TargetMode="External"/><Relationship Id="rId1700" Type="http://schemas.openxmlformats.org/officeDocument/2006/relationships/hyperlink" Target="2011/BMC%20Pub%20Hea11,%20244.pdf" TargetMode="External"/><Relationship Id="rId1938" Type="http://schemas.openxmlformats.org/officeDocument/2006/relationships/hyperlink" Target="http://bjsm.bmj.com/contents-by-date.0.dtl" TargetMode="External"/><Relationship Id="rId281" Type="http://schemas.openxmlformats.org/officeDocument/2006/relationships/hyperlink" Target="2014/Afr%20Hea%20Sci14,%201078.pdf" TargetMode="External"/><Relationship Id="rId141" Type="http://schemas.openxmlformats.org/officeDocument/2006/relationships/hyperlink" Target="2010/Act%20M&#233;d%20Por23,%20561.pdf" TargetMode="External"/><Relationship Id="rId379" Type="http://schemas.openxmlformats.org/officeDocument/2006/relationships/hyperlink" Target="2010/Allergy65,%20152.pdf" TargetMode="External"/><Relationship Id="rId586" Type="http://schemas.openxmlformats.org/officeDocument/2006/relationships/hyperlink" Target="1960-80/Ame%20J%20Phy34,%20993.pdf" TargetMode="External"/><Relationship Id="rId793" Type="http://schemas.openxmlformats.org/officeDocument/2006/relationships/hyperlink" Target="../HO-reference/2013/Ani%20Beh85,%205.pdf" TargetMode="External"/><Relationship Id="rId7" Type="http://schemas.openxmlformats.org/officeDocument/2006/relationships/footnotes" Target="footnotes.xml"/><Relationship Id="rId239" Type="http://schemas.openxmlformats.org/officeDocument/2006/relationships/hyperlink" Target="http://www.adicciones.es/numerospublicados_new.php" TargetMode="External"/><Relationship Id="rId446" Type="http://schemas.openxmlformats.org/officeDocument/2006/relationships/hyperlink" Target="1998/Ame%20J%20Eme%20Med16,%20708.pdf" TargetMode="External"/><Relationship Id="rId653" Type="http://schemas.openxmlformats.org/officeDocument/2006/relationships/hyperlink" Target="http://www3.interscience.wiley.com/journal/118499698/toc?journal=ajt&amp;CRETRY=1&amp;SRETRY=0" TargetMode="External"/><Relationship Id="rId1076" Type="http://schemas.openxmlformats.org/officeDocument/2006/relationships/hyperlink" Target="2010/Arc%20Bud6,%20101.pdf" TargetMode="External"/><Relationship Id="rId1283" Type="http://schemas.openxmlformats.org/officeDocument/2006/relationships/hyperlink" Target="2013/Asi%20Pac%20J%20Can%20Pre14,%202453.pdf" TargetMode="External"/><Relationship Id="rId1490" Type="http://schemas.openxmlformats.org/officeDocument/2006/relationships/hyperlink" Target="2014\Bio%20Pap-Olo158,%20175.pdf" TargetMode="External"/><Relationship Id="rId2127" Type="http://schemas.openxmlformats.org/officeDocument/2006/relationships/hyperlink" Target="1998/Bul%20Med%20Lib%20Ass86,%20518.pdf" TargetMode="External"/><Relationship Id="rId306" Type="http://schemas.openxmlformats.org/officeDocument/2006/relationships/hyperlink" Target="2013/Afr%20J%20Lib%20Arc%20Inf%20Sci23,%2093.pdf" TargetMode="External"/><Relationship Id="rId860" Type="http://schemas.openxmlformats.org/officeDocument/2006/relationships/hyperlink" Target="1992/Ann%20Int%20Med116,%20575.pdf" TargetMode="External"/><Relationship Id="rId958" Type="http://schemas.openxmlformats.org/officeDocument/2006/relationships/hyperlink" Target="2012/Ann%20Sau%20Med32,%20637.pdf" TargetMode="External"/><Relationship Id="rId1143" Type="http://schemas.openxmlformats.org/officeDocument/2006/relationships/hyperlink" Target="2014/Arc%20Med%20Res45,%2076.pdf" TargetMode="External"/><Relationship Id="rId1588" Type="http://schemas.openxmlformats.org/officeDocument/2006/relationships/hyperlink" Target="2011/BMC%20Hea%20Ser%20Res11,%20268.pdf" TargetMode="External"/><Relationship Id="rId1795" Type="http://schemas.openxmlformats.org/officeDocument/2006/relationships/hyperlink" Target="2013/Bot-Bot91,%20III.pdf" TargetMode="External"/><Relationship Id="rId87" Type="http://schemas.openxmlformats.org/officeDocument/2006/relationships/hyperlink" Target="http://e42.cnki.net/KNS50/Navi/item.aspx?NaviID=1&amp;BaseID=ZJNB&amp;NaviLink=%e6%b5%99%e6%b1%9f%e5%86%9c%e4%b8%9a%e5%ad%a6%e6%8a%a5" TargetMode="External"/><Relationship Id="rId513" Type="http://schemas.openxmlformats.org/officeDocument/2006/relationships/hyperlink" Target="2004/Ame%20J%20Ind%20Med45,%20522.pdf" TargetMode="External"/><Relationship Id="rId720" Type="http://schemas.openxmlformats.org/officeDocument/2006/relationships/hyperlink" Target="http://www.blackwell-synergy.com/servlet/useragent?func=showIssues&amp;code=ana" TargetMode="External"/><Relationship Id="rId818" Type="http://schemas.openxmlformats.org/officeDocument/2006/relationships/hyperlink" Target="2014/Ann%20Med-Psy172,%20727.pdf" TargetMode="External"/><Relationship Id="rId1350" Type="http://schemas.openxmlformats.org/officeDocument/2006/relationships/hyperlink" Target="2012/Ast%20J144,%2091.pdf" TargetMode="External"/><Relationship Id="rId1448" Type="http://schemas.openxmlformats.org/officeDocument/2006/relationships/hyperlink" Target="1996/Bio%20Bio%20Res%20Com226,%20362.pdf" TargetMode="External"/><Relationship Id="rId1655" Type="http://schemas.openxmlformats.org/officeDocument/2006/relationships/hyperlink" Target="2010/BMC%20Mus%20Dis,%2011,%204.pdf" TargetMode="External"/><Relationship Id="rId1003" Type="http://schemas.openxmlformats.org/officeDocument/2006/relationships/hyperlink" Target="1993/Ant%20Age%20Che37,%20407.pdf" TargetMode="External"/><Relationship Id="rId1210" Type="http://schemas.openxmlformats.org/officeDocument/2006/relationships/hyperlink" Target="2009/Area41,%20231.pdf" TargetMode="External"/><Relationship Id="rId1308" Type="http://schemas.openxmlformats.org/officeDocument/2006/relationships/hyperlink" Target="2014/Asl%20J%20Inf%20Man66,%20279.pdf" TargetMode="External"/><Relationship Id="rId1862" Type="http://schemas.openxmlformats.org/officeDocument/2006/relationships/hyperlink" Target="2011/Bri%20J%20Ana107,%20351.pdf" TargetMode="External"/><Relationship Id="rId1515" Type="http://schemas.openxmlformats.org/officeDocument/2006/relationships/hyperlink" Target="1998/BIT38,%20217.pdf" TargetMode="External"/><Relationship Id="rId1722" Type="http://schemas.openxmlformats.org/officeDocument/2006/relationships/hyperlink" Target="2014\BMC%20Pub%20Hea14,%20632.pdf" TargetMode="External"/><Relationship Id="rId14" Type="http://schemas.openxmlformats.org/officeDocument/2006/relationships/hyperlink" Target="1999/Aca%20Eme%20Med6,%20292.pdf" TargetMode="External"/><Relationship Id="rId163" Type="http://schemas.openxmlformats.org/officeDocument/2006/relationships/hyperlink" Target="2010/Act%20Onc49,%20287.pdf" TargetMode="External"/><Relationship Id="rId370" Type="http://schemas.openxmlformats.org/officeDocument/2006/relationships/hyperlink" Target="2014/Ali%20Pha%20The39,%20913.pdf" TargetMode="External"/><Relationship Id="rId2051" Type="http://schemas.openxmlformats.org/officeDocument/2006/relationships/hyperlink" Target="2008/Bri%20Med%20J337,%20a1518.pdf" TargetMode="External"/><Relationship Id="rId230" Type="http://schemas.openxmlformats.org/officeDocument/2006/relationships/hyperlink" Target="2004/Addiction99,%20686.pdf" TargetMode="External"/><Relationship Id="rId468" Type="http://schemas.openxmlformats.org/officeDocument/2006/relationships/hyperlink" Target="2002/Ame%20J%20Gas97,%20172.pdf" TargetMode="External"/><Relationship Id="rId675" Type="http://schemas.openxmlformats.org/officeDocument/2006/relationships/hyperlink" Target="2014/Ame%20Rev%20Pub%20Adm44,%20203.pdf" TargetMode="External"/><Relationship Id="rId882" Type="http://schemas.openxmlformats.org/officeDocument/2006/relationships/hyperlink" Target="2010/Ann%20Int%20Med153,%20766.pdf" TargetMode="External"/><Relationship Id="rId1098" Type="http://schemas.openxmlformats.org/officeDocument/2006/relationships/hyperlink" Target="2012/Arc%20Dis%20Chi97,%20304.pdf" TargetMode="External"/><Relationship Id="rId2149" Type="http://schemas.openxmlformats.org/officeDocument/2006/relationships/hyperlink" Target="2009/Burns35,%20677.pdf" TargetMode="External"/><Relationship Id="rId328" Type="http://schemas.openxmlformats.org/officeDocument/2006/relationships/hyperlink" Target="1987/Agr%20Adm%20Ext25,%2099.pdf" TargetMode="External"/><Relationship Id="rId535" Type="http://schemas.openxmlformats.org/officeDocument/2006/relationships/hyperlink" Target="2003/Ame%20J%20Med114,%2044.pdf" TargetMode="External"/><Relationship Id="rId742" Type="http://schemas.openxmlformats.org/officeDocument/2006/relationships/hyperlink" Target="2010/Ana%20Bio%20Che398,%2017.pdf" TargetMode="External"/><Relationship Id="rId1165" Type="http://schemas.openxmlformats.org/officeDocument/2006/relationships/hyperlink" Target="2004/Arc%20Phy%20Med%20Reh85,%201561.pdf" TargetMode="External"/><Relationship Id="rId1372" Type="http://schemas.openxmlformats.org/officeDocument/2006/relationships/hyperlink" Target="2009/Aus%20Aca%20Res%20Lib40,%2076.pdf" TargetMode="External"/><Relationship Id="rId2009" Type="http://schemas.openxmlformats.org/officeDocument/2006/relationships/hyperlink" Target="1997/Bri%20Med%20J314,%20498.pdf" TargetMode="External"/><Relationship Id="rId602" Type="http://schemas.openxmlformats.org/officeDocument/2006/relationships/hyperlink" Target="2014/Ame%20J%20Pre%20Med47,%20330.pdf" TargetMode="External"/><Relationship Id="rId1025" Type="http://schemas.openxmlformats.org/officeDocument/2006/relationships/hyperlink" Target="2002/Ant%20Age%20Che46,%201875.pdf" TargetMode="External"/><Relationship Id="rId1232" Type="http://schemas.openxmlformats.org/officeDocument/2006/relationships/hyperlink" Target="2015/Arq%20Bra%20Car104,%205.pdf" TargetMode="External"/><Relationship Id="rId1677" Type="http://schemas.openxmlformats.org/officeDocument/2006/relationships/hyperlink" Target="2011/BMC%20Ped11,%2027.pdf" TargetMode="External"/><Relationship Id="rId1884" Type="http://schemas.openxmlformats.org/officeDocument/2006/relationships/hyperlink" Target="2009/Bri%20J%20Der160,%201273.pdf" TargetMode="External"/><Relationship Id="rId907" Type="http://schemas.openxmlformats.org/officeDocument/2006/relationships/hyperlink" Target="-1959/Ann%20Mat%20Sta13,%20115.pdf" TargetMode="External"/><Relationship Id="rId1537" Type="http://schemas.openxmlformats.org/officeDocument/2006/relationships/hyperlink" Target="2014/Blo%20Pur37,%20179.pdf" TargetMode="External"/><Relationship Id="rId1744" Type="http://schemas.openxmlformats.org/officeDocument/2006/relationships/hyperlink" Target="2012/BMJ%20Ope2,%20e001007.pdf" TargetMode="External"/><Relationship Id="rId1951" Type="http://schemas.openxmlformats.org/officeDocument/2006/relationships/hyperlink" Target="2007/Bri%20J%20Soc%20Wor37,%20951.pdf" TargetMode="External"/><Relationship Id="rId36" Type="http://schemas.openxmlformats.org/officeDocument/2006/relationships/hyperlink" Target="2005/Aca%20Med80,%20S106.pdf" TargetMode="External"/><Relationship Id="rId1604" Type="http://schemas.openxmlformats.org/officeDocument/2006/relationships/hyperlink" Target="2006/BMC%20Inf%20Dis6,%201.pdf" TargetMode="External"/><Relationship Id="rId185" Type="http://schemas.openxmlformats.org/officeDocument/2006/relationships/hyperlink" Target="2014/Act%20Phy212,%20119.pdf" TargetMode="External"/><Relationship Id="rId1811" Type="http://schemas.openxmlformats.org/officeDocument/2006/relationships/hyperlink" Target="2008/Bra%20J%20Bio68,%201051.pdf" TargetMode="External"/><Relationship Id="rId1909" Type="http://schemas.openxmlformats.org/officeDocument/2006/relationships/hyperlink" Target="2006/Bri%20J%20Oph90,%201548.pdf" TargetMode="External"/><Relationship Id="rId392" Type="http://schemas.openxmlformats.org/officeDocument/2006/relationships/hyperlink" Target="1960-80/Ame%20Doc11,%2018.pdf" TargetMode="External"/><Relationship Id="rId697" Type="http://schemas.openxmlformats.org/officeDocument/2006/relationships/hyperlink" Target="2009/Amf%20Eco11,%20429.pdf" TargetMode="External"/><Relationship Id="rId2073" Type="http://schemas.openxmlformats.org/officeDocument/2006/relationships/hyperlink" Target="2011/Bri%20Med%20J343,%20d5856.pdf" TargetMode="External"/><Relationship Id="rId252" Type="http://schemas.openxmlformats.org/officeDocument/2006/relationships/hyperlink" Target="http://www.springerlink.com/content/119821/?p=0a918f17398345d4b28a8fe84cb48311&amp;pi=0" TargetMode="External"/><Relationship Id="rId1187" Type="http://schemas.openxmlformats.org/officeDocument/2006/relationships/hyperlink" Target="2010/Arc%20Tox84,%20903.pdf" TargetMode="External"/><Relationship Id="rId2140" Type="http://schemas.openxmlformats.org/officeDocument/2006/relationships/hyperlink" Target="2000/Bul%20Med%20Lib%20Ass88,%20172.pdf" TargetMode="External"/><Relationship Id="rId112" Type="http://schemas.openxmlformats.org/officeDocument/2006/relationships/hyperlink" Target="2014/Act%20Bot%20Bra28,%20502.pdf" TargetMode="External"/><Relationship Id="rId557" Type="http://schemas.openxmlformats.org/officeDocument/2006/relationships/hyperlink" Target="2009/Ame%20J%20Occ%20The63,%20105.pdf" TargetMode="External"/><Relationship Id="rId764" Type="http://schemas.openxmlformats.org/officeDocument/2006/relationships/hyperlink" Target="2007/Ane%20Ana105,%201741.pdf" TargetMode="External"/><Relationship Id="rId971" Type="http://schemas.openxmlformats.org/officeDocument/2006/relationships/hyperlink" Target="2013/Ann%20Sur%20Onc20,%202156.pdf" TargetMode="External"/><Relationship Id="rId1394" Type="http://schemas.openxmlformats.org/officeDocument/2006/relationships/hyperlink" Target="2002/Aus%20New%20Zea%20J%20Psy36,%20157.pdf" TargetMode="External"/><Relationship Id="rId1699" Type="http://schemas.openxmlformats.org/officeDocument/2006/relationships/hyperlink" Target="2010/BMC%20Pub%20Hea10,%20415.pdf" TargetMode="External"/><Relationship Id="rId2000" Type="http://schemas.openxmlformats.org/officeDocument/2006/relationships/hyperlink" Target="1995/Bri%20Med%20J310,%20869.pdf" TargetMode="External"/><Relationship Id="rId417" Type="http://schemas.openxmlformats.org/officeDocument/2006/relationships/hyperlink" Target="http://uk.jstor.org/browse/00029122?frame=noframe&amp;userID=527bfbc0@ic.ac.uk/018258cb3a95110217e8942d&amp;dpi=3&amp;config=jstor" TargetMode="External"/><Relationship Id="rId624" Type="http://schemas.openxmlformats.org/officeDocument/2006/relationships/hyperlink" Target="http://ajrccm.atsjournals.org/" TargetMode="External"/><Relationship Id="rId831" Type="http://schemas.openxmlformats.org/officeDocument/2006/relationships/hyperlink" Target="1996/Ann%20Eme%20Med26,%20327.pdf" TargetMode="External"/><Relationship Id="rId1047" Type="http://schemas.openxmlformats.org/officeDocument/2006/relationships/hyperlink" Target="2012/App%20Eco44,%204689.pdf" TargetMode="External"/><Relationship Id="rId1254" Type="http://schemas.openxmlformats.org/officeDocument/2006/relationships/hyperlink" Target="2008/Asi-Pac%20J%20Ope%20Res25,%20217.pdf" TargetMode="External"/><Relationship Id="rId1461" Type="http://schemas.openxmlformats.org/officeDocument/2006/relationships/hyperlink" Target="2010/Bioinformatics26,%201453.pdf" TargetMode="External"/><Relationship Id="rId929" Type="http://schemas.openxmlformats.org/officeDocument/2006/relationships/hyperlink" Target="2003/Ann%20Pha37,%201321.pdf" TargetMode="External"/><Relationship Id="rId1114" Type="http://schemas.openxmlformats.org/officeDocument/2006/relationships/hyperlink" Target="2012/Arc%20Eur%20Sci6,%2096.pdf" TargetMode="External"/><Relationship Id="rId1321" Type="http://schemas.openxmlformats.org/officeDocument/2006/relationships/hyperlink" Target="2003/Asl%20Pro55,%20379.pdf" TargetMode="External"/><Relationship Id="rId1559" Type="http://schemas.openxmlformats.org/officeDocument/2006/relationships/hyperlink" Target="2013/BMC%20Com%20Alt%20Med13,%20362.pdf" TargetMode="External"/><Relationship Id="rId1766" Type="http://schemas.openxmlformats.org/officeDocument/2006/relationships/hyperlink" Target="2014/BMJ%20Ope4,%20e005130.pdf" TargetMode="External"/><Relationship Id="rId1973" Type="http://schemas.openxmlformats.org/officeDocument/2006/relationships/hyperlink" Target="2009/Bri%20Med%20Bul92,%20123.pdf" TargetMode="External"/><Relationship Id="rId58" Type="http://schemas.openxmlformats.org/officeDocument/2006/relationships/hyperlink" Target="1991/Acc%20Ana%20Pre23,%20557.pdf" TargetMode="External"/><Relationship Id="rId1419" Type="http://schemas.openxmlformats.org/officeDocument/2006/relationships/hyperlink" Target="http://www.sciencedirect.com/science/journal/14391791" TargetMode="External"/><Relationship Id="rId1626" Type="http://schemas.openxmlformats.org/officeDocument/2006/relationships/hyperlink" Target="http://www.biomedcentral.com/bmcmedethics/archive/" TargetMode="External"/><Relationship Id="rId1833" Type="http://schemas.openxmlformats.org/officeDocument/2006/relationships/hyperlink" Target="2014/Bra%20J%20Phy%20The18,%2056.pdf" TargetMode="External"/><Relationship Id="rId1900" Type="http://schemas.openxmlformats.org/officeDocument/2006/relationships/hyperlink" Target="2012/Bri%20J%20Neu26,%20809-1.pdf" TargetMode="External"/><Relationship Id="rId2095" Type="http://schemas.openxmlformats.org/officeDocument/2006/relationships/hyperlink" Target="http://www.mlanet.org/publications/jmla/" TargetMode="External"/><Relationship Id="rId274" Type="http://schemas.openxmlformats.org/officeDocument/2006/relationships/hyperlink" Target="2015/Aes%20Pla%20Sur39,%208.pdf" TargetMode="External"/><Relationship Id="rId481" Type="http://schemas.openxmlformats.org/officeDocument/2006/relationships/hyperlink" Target="2010/Ame%20J%20Ger%20Pha8,%20514.pdf" TargetMode="External"/><Relationship Id="rId2162" Type="http://schemas.openxmlformats.org/officeDocument/2006/relationships/hyperlink" Target="2009/Bus%20His51,%20202.pdf" TargetMode="External"/><Relationship Id="rId134" Type="http://schemas.openxmlformats.org/officeDocument/2006/relationships/hyperlink" Target="2014/Act%20End-Buc10,%20443.pdf" TargetMode="External"/><Relationship Id="rId579" Type="http://schemas.openxmlformats.org/officeDocument/2006/relationships/hyperlink" Target="2013/Ame%20J%20Per30,%20529.pdf" TargetMode="External"/><Relationship Id="rId786" Type="http://schemas.openxmlformats.org/officeDocument/2006/relationships/hyperlink" Target="2013/Ang%20Ort83,%20164.pdf" TargetMode="External"/><Relationship Id="rId993" Type="http://schemas.openxmlformats.org/officeDocument/2006/relationships/hyperlink" Target="2011/Ann%20Rev%20Inf%20Sci%20Tec45,%20199.pdf" TargetMode="External"/><Relationship Id="rId341" Type="http://schemas.openxmlformats.org/officeDocument/2006/relationships/hyperlink" Target="2012/AIDS%20Care24,%201584.pdf" TargetMode="External"/><Relationship Id="rId439" Type="http://schemas.openxmlformats.org/officeDocument/2006/relationships/hyperlink" Target="http://ajcp.metapress.com/(0mneta45oj0i5mfn01a4mnfd)/app/home/journal.asp?referrer=parent&amp;backto=linkingpublicationresults,1:300401,1" TargetMode="External"/><Relationship Id="rId646" Type="http://schemas.openxmlformats.org/officeDocument/2006/relationships/hyperlink" Target="2010/Ame%20J%20Spo%20Med38,%202391.pdf" TargetMode="External"/><Relationship Id="rId1069" Type="http://schemas.openxmlformats.org/officeDocument/2006/relationships/hyperlink" Target="2009/Arb-Cie%20Pen%20Cul185,%20861.pdf" TargetMode="External"/><Relationship Id="rId1276" Type="http://schemas.openxmlformats.org/officeDocument/2006/relationships/hyperlink" Target="1999/Asi%20Lib8,%2039.pdf" TargetMode="External"/><Relationship Id="rId1483" Type="http://schemas.openxmlformats.org/officeDocument/2006/relationships/hyperlink" Target="2015/Bio%20Res%20Int,%20430185.pdf" TargetMode="External"/><Relationship Id="rId2022" Type="http://schemas.openxmlformats.org/officeDocument/2006/relationships/hyperlink" Target="2001/Bri%20Med%20J322,%20279.pdf" TargetMode="External"/><Relationship Id="rId201" Type="http://schemas.openxmlformats.org/officeDocument/2006/relationships/hyperlink" Target="2009/Act%20Rad50,%201064.pdf" TargetMode="External"/><Relationship Id="rId506" Type="http://schemas.openxmlformats.org/officeDocument/2006/relationships/hyperlink" Target="-1959/Ame%20J%20Hyg3,%2096.pdf" TargetMode="External"/><Relationship Id="rId853" Type="http://schemas.openxmlformats.org/officeDocument/2006/relationships/hyperlink" Target="2012/Ann%20Ind%20Aca%20Neu15,%20170.pdf" TargetMode="External"/><Relationship Id="rId1136" Type="http://schemas.openxmlformats.org/officeDocument/2006/relationships/hyperlink" Target="2007/Arc%20Int%20Med167,%20626.pdf" TargetMode="External"/><Relationship Id="rId1690" Type="http://schemas.openxmlformats.org/officeDocument/2006/relationships/hyperlink" Target="http://www.pubmedcentral.nih.gov/tocrender.fcgi?journal=63&amp;action=archive" TargetMode="External"/><Relationship Id="rId1788" Type="http://schemas.openxmlformats.org/officeDocument/2006/relationships/hyperlink" Target="2010/Bol%20Soc%20Esp%20Cer%20Vid49,%20377.pdf" TargetMode="External"/><Relationship Id="rId1995" Type="http://schemas.openxmlformats.org/officeDocument/2006/relationships/hyperlink" Target="1993/Bri%20Med%20J306,%201252.pdf" TargetMode="External"/><Relationship Id="rId713" Type="http://schemas.openxmlformats.org/officeDocument/2006/relationships/hyperlink" Target="2011/Anesthesia66,%20873.pdf" TargetMode="External"/><Relationship Id="rId920" Type="http://schemas.openxmlformats.org/officeDocument/2006/relationships/hyperlink" Target="2010/Ann%20Onc21,%20627.pdf" TargetMode="External"/><Relationship Id="rId1343" Type="http://schemas.openxmlformats.org/officeDocument/2006/relationships/hyperlink" Target="2013/Asl%20Pro65,%20503.pdf" TargetMode="External"/><Relationship Id="rId1550" Type="http://schemas.openxmlformats.org/officeDocument/2006/relationships/hyperlink" Target="2014/BMC%20Can14,%20773.pdf" TargetMode="External"/><Relationship Id="rId1648" Type="http://schemas.openxmlformats.org/officeDocument/2006/relationships/hyperlink" Target="2009/BMC%20Med7,%2059.pdf" TargetMode="External"/><Relationship Id="rId1203" Type="http://schemas.openxmlformats.org/officeDocument/2006/relationships/hyperlink" Target="2008/Arc%20Imm%20The%20Exp56,%20373.pdf" TargetMode="External"/><Relationship Id="rId1410" Type="http://schemas.openxmlformats.org/officeDocument/2006/relationships/hyperlink" Target="http://www.blackwell-synergy.com/loi/anzs" TargetMode="External"/><Relationship Id="rId1508" Type="http://schemas.openxmlformats.org/officeDocument/2006/relationships/hyperlink" Target="2012/Bip%20Dis14,%2062.pdf" TargetMode="External"/><Relationship Id="rId1855" Type="http://schemas.openxmlformats.org/officeDocument/2006/relationships/hyperlink" Target="2000/Bri%20J%20Ana84,%20266.pdf" TargetMode="External"/><Relationship Id="rId1715" Type="http://schemas.openxmlformats.org/officeDocument/2006/relationships/hyperlink" Target="2014/BMC%20Pub%20Hea14,%20274.pdf" TargetMode="External"/><Relationship Id="rId1922" Type="http://schemas.openxmlformats.org/officeDocument/2006/relationships/hyperlink" Target="2001/Bri%20J%20Psy178,%20406.pdf" TargetMode="External"/><Relationship Id="rId296" Type="http://schemas.openxmlformats.org/officeDocument/2006/relationships/hyperlink" Target="2011/Afr%20J%20Bus%20Man5,%201020.pdf" TargetMode="External"/><Relationship Id="rId156" Type="http://schemas.openxmlformats.org/officeDocument/2006/relationships/hyperlink" Target="2004/Act%20Odo%20Sca62,%2046.pdf" TargetMode="External"/><Relationship Id="rId363" Type="http://schemas.openxmlformats.org/officeDocument/2006/relationships/hyperlink" Target="2010/Ali%20Pha%20The31,%20693.pdf" TargetMode="External"/><Relationship Id="rId570" Type="http://schemas.openxmlformats.org/officeDocument/2006/relationships/hyperlink" Target="2001/Ame%20J%20Ort%20Den%20Ort120,%20490.pdf" TargetMode="External"/><Relationship Id="rId2044" Type="http://schemas.openxmlformats.org/officeDocument/2006/relationships/hyperlink" Target="2006/Bri%20Med%20J333,%20706.pdf" TargetMode="External"/><Relationship Id="rId223" Type="http://schemas.openxmlformats.org/officeDocument/2006/relationships/hyperlink" Target="2012/Act%20Res10,%2079.pdf" TargetMode="External"/><Relationship Id="rId430" Type="http://schemas.openxmlformats.org/officeDocument/2006/relationships/hyperlink" Target="http://global.umi.com/pqdweb?TS=0&amp;JSEnabled=1&amp;RQT=317&amp;SK=2&amp;ScQ=000027518&amp;TS=1030081137" TargetMode="External"/><Relationship Id="rId668" Type="http://schemas.openxmlformats.org/officeDocument/2006/relationships/hyperlink" Target="2000/Ame%20Psy55,%20272.pdf" TargetMode="External"/><Relationship Id="rId875" Type="http://schemas.openxmlformats.org/officeDocument/2006/relationships/hyperlink" Target="2010/Ann%20Int%20Med152,%20167.pdf" TargetMode="External"/><Relationship Id="rId1060" Type="http://schemas.openxmlformats.org/officeDocument/2006/relationships/hyperlink" Target="2013/App%20Nur%20Res26,%2049.pdf" TargetMode="External"/><Relationship Id="rId1298" Type="http://schemas.openxmlformats.org/officeDocument/2006/relationships/hyperlink" Target="2014/Asi%20Pac%20J%20Can%20Pre15,%201313.pdf" TargetMode="External"/><Relationship Id="rId2111" Type="http://schemas.openxmlformats.org/officeDocument/2006/relationships/hyperlink" Target="1992/Bul%20Med%20Lib%20Ass80,%20340.pdf" TargetMode="External"/><Relationship Id="rId528" Type="http://schemas.openxmlformats.org/officeDocument/2006/relationships/hyperlink" Target="2011/Ame%20J%20Med%20Sci341,%20106-1.pdf" TargetMode="External"/><Relationship Id="rId735" Type="http://schemas.openxmlformats.org/officeDocument/2006/relationships/hyperlink" Target="1995/Analusis23,%20518.pdf" TargetMode="External"/><Relationship Id="rId942" Type="http://schemas.openxmlformats.org/officeDocument/2006/relationships/hyperlink" Target="2007/Ann%20Pla%20Sur59,%20733.pdf" TargetMode="External"/><Relationship Id="rId1158" Type="http://schemas.openxmlformats.org/officeDocument/2006/relationships/hyperlink" Target="http://archpedi.ama-assn.org/contents-by-date.0.dtl" TargetMode="External"/><Relationship Id="rId1365" Type="http://schemas.openxmlformats.org/officeDocument/2006/relationships/hyperlink" Target="2012/Aut%20J%20Edu%20Tec28-2,%20iii.pdf" TargetMode="External"/><Relationship Id="rId1572" Type="http://schemas.openxmlformats.org/officeDocument/2006/relationships/hyperlink" Target="2012/BMC%20Gas12,%20151.pdf" TargetMode="External"/><Relationship Id="rId1018" Type="http://schemas.openxmlformats.org/officeDocument/2006/relationships/hyperlink" Target="1999/Ant%20Age%20Che43,%201156.pdf" TargetMode="External"/><Relationship Id="rId1225" Type="http://schemas.openxmlformats.org/officeDocument/2006/relationships/hyperlink" Target="2011/Arq%20Bra%20Car97,%20446.pdf" TargetMode="External"/><Relationship Id="rId1432" Type="http://schemas.openxmlformats.org/officeDocument/2006/relationships/hyperlink" Target="1997/Beh%20Soc%20Sci%20Lib15,%2037.pdf" TargetMode="External"/><Relationship Id="rId1877" Type="http://schemas.openxmlformats.org/officeDocument/2006/relationships/hyperlink" Target="2015/Bri%20J%20Cli%20Pha79,%20566.pdf" TargetMode="External"/><Relationship Id="rId71" Type="http://schemas.openxmlformats.org/officeDocument/2006/relationships/hyperlink" Target="http://www.sciencedirect.com/science?_ob=JournalURL&amp;_cdi=5957&amp;_auth=y&amp;_acct=C000047720&amp;_version=1&amp;_urlVersion=0&amp;_userid=2007471&amp;md5=f4237b11e7ccfe2f917c68d921075b0f" TargetMode="External"/><Relationship Id="rId802" Type="http://schemas.openxmlformats.org/officeDocument/2006/relationships/hyperlink" Target="2008/Ann%20Phy17,%20497.pdf" TargetMode="External"/><Relationship Id="rId1737" Type="http://schemas.openxmlformats.org/officeDocument/2006/relationships/hyperlink" Target="2014/BMJ-Bri%20Med%20J349,%20g4561.pdf" TargetMode="External"/><Relationship Id="rId1944" Type="http://schemas.openxmlformats.org/officeDocument/2006/relationships/hyperlink" Target="2011/Bri%20J%20Spo%20Med45,%20132.pdf" TargetMode="External"/><Relationship Id="rId29" Type="http://schemas.openxmlformats.org/officeDocument/2006/relationships/hyperlink" Target="2000/Aca%20Med75,%201025.pdf" TargetMode="External"/><Relationship Id="rId178" Type="http://schemas.openxmlformats.org/officeDocument/2006/relationships/hyperlink" Target="2010/Act%20Pau%20Enf23,%20271.pdf" TargetMode="External"/><Relationship Id="rId1804" Type="http://schemas.openxmlformats.org/officeDocument/2006/relationships/hyperlink" Target="2015/Bra%20Beh%20Imm46,%20203.pdf" TargetMode="External"/><Relationship Id="rId385" Type="http://schemas.openxmlformats.org/officeDocument/2006/relationships/hyperlink" Target="2011/Ame%20Ant113,%20163.pdf" TargetMode="External"/><Relationship Id="rId592" Type="http://schemas.openxmlformats.org/officeDocument/2006/relationships/hyperlink" Target="2006/Ame%20J%20Pre%20Med30,%20211.pdf" TargetMode="External"/><Relationship Id="rId2066" Type="http://schemas.openxmlformats.org/officeDocument/2006/relationships/hyperlink" Target="2011/Bri%20Med%20J342,%20d1028.pdf" TargetMode="External"/><Relationship Id="rId245" Type="http://schemas.openxmlformats.org/officeDocument/2006/relationships/hyperlink" Target="2012/Adv%20Dru%20Del%20Rev64,%201.pdf" TargetMode="External"/><Relationship Id="rId452" Type="http://schemas.openxmlformats.org/officeDocument/2006/relationships/hyperlink" Target="1999/Ame%20J%20Epi149,%20401.pdf" TargetMode="External"/><Relationship Id="rId897" Type="http://schemas.openxmlformats.org/officeDocument/2006/relationships/hyperlink" Target="2002/Ann%20Lib%20Inf%20Stu49,%201.pdf" TargetMode="External"/><Relationship Id="rId1082" Type="http://schemas.openxmlformats.org/officeDocument/2006/relationships/hyperlink" Target="2014/Arc%20Civ%20Mec%20Eng14,%20519.pdf" TargetMode="External"/><Relationship Id="rId2133" Type="http://schemas.openxmlformats.org/officeDocument/2006/relationships/hyperlink" Target="1999/Bul%20Med%20Lib%20Ass87,%20283.pdf" TargetMode="External"/><Relationship Id="rId105" Type="http://schemas.openxmlformats.org/officeDocument/2006/relationships/hyperlink" Target="2003/Act%20Ara%20Sin12,%20122.pdf" TargetMode="External"/><Relationship Id="rId312" Type="http://schemas.openxmlformats.org/officeDocument/2006/relationships/hyperlink" Target="2006/Age%20Age35,%20469.pdf" TargetMode="External"/><Relationship Id="rId757" Type="http://schemas.openxmlformats.org/officeDocument/2006/relationships/hyperlink" Target="1996/Ane%20Ana82,%20221.pdf" TargetMode="External"/><Relationship Id="rId964" Type="http://schemas.openxmlformats.org/officeDocument/2006/relationships/hyperlink" Target="2009/Ann%20Sur249,%20162.pdf" TargetMode="External"/><Relationship Id="rId1387" Type="http://schemas.openxmlformats.org/officeDocument/2006/relationships/hyperlink" Target="2011/Aus%20Lib%20J60,%20350.pdf" TargetMode="External"/><Relationship Id="rId1594" Type="http://schemas.openxmlformats.org/officeDocument/2006/relationships/hyperlink" Target="2014/BMC%20Hea%20Ser%20Res14,%2052.pdf" TargetMode="External"/><Relationship Id="rId93" Type="http://schemas.openxmlformats.org/officeDocument/2006/relationships/hyperlink" Target="2000/Act%20Ana%20Sca44,%20842.pdf" TargetMode="External"/><Relationship Id="rId617" Type="http://schemas.openxmlformats.org/officeDocument/2006/relationships/hyperlink" Target="1987/Ame%20J%20Pub%20Hea77,%201011.pdf" TargetMode="External"/><Relationship Id="rId824" Type="http://schemas.openxmlformats.org/officeDocument/2006/relationships/hyperlink" Target="http://uk.jstor.org/journals/00027162.html" TargetMode="External"/><Relationship Id="rId1247" Type="http://schemas.openxmlformats.org/officeDocument/2006/relationships/hyperlink" Target="http://apjcn.nhri.org.tw/server/APJCN/abstracts.php" TargetMode="External"/><Relationship Id="rId1454" Type="http://schemas.openxmlformats.org/officeDocument/2006/relationships/hyperlink" Target="1999/Bioelectrochemistry,%2050,%201.pdf" TargetMode="External"/><Relationship Id="rId1661" Type="http://schemas.openxmlformats.org/officeDocument/2006/relationships/hyperlink" Target="2014/BMC%20Mus%20Dis15,%20404.pdf" TargetMode="External"/><Relationship Id="rId1899" Type="http://schemas.openxmlformats.org/officeDocument/2006/relationships/hyperlink" Target="2011/Bri%20J%20Neu-Hung.pdf" TargetMode="External"/><Relationship Id="rId1107" Type="http://schemas.openxmlformats.org/officeDocument/2006/relationships/hyperlink" Target="2013/Arc%20Env%20Occ%20Hea68,%20123.pdf" TargetMode="External"/><Relationship Id="rId1314" Type="http://schemas.openxmlformats.org/officeDocument/2006/relationships/hyperlink" Target="1983/Asl%20Pro35,%20249.pdf" TargetMode="External"/><Relationship Id="rId1521" Type="http://schemas.openxmlformats.org/officeDocument/2006/relationships/hyperlink" Target="2014/BJOG121,%20929.pdf" TargetMode="External"/><Relationship Id="rId1759" Type="http://schemas.openxmlformats.org/officeDocument/2006/relationships/hyperlink" Target="2014/BMJ%20Ope4,%20e004936.pdf" TargetMode="External"/><Relationship Id="rId1966" Type="http://schemas.openxmlformats.org/officeDocument/2006/relationships/hyperlink" Target="2010/Bri%20J%20Sur97,%201304.pdf" TargetMode="External"/><Relationship Id="rId1619" Type="http://schemas.openxmlformats.org/officeDocument/2006/relationships/hyperlink" Target="2012/BMC%20Med%20Edu12,%2081.pdf" TargetMode="External"/><Relationship Id="rId1826" Type="http://schemas.openxmlformats.org/officeDocument/2006/relationships/hyperlink" Target="2008/Bra%20J%20Med%20Bio%20Res41,%20258.pdf" TargetMode="External"/><Relationship Id="rId20" Type="http://schemas.openxmlformats.org/officeDocument/2006/relationships/hyperlink" Target="2011/Aca%20Eme%20Med18,%201349.pdf" TargetMode="External"/><Relationship Id="rId2088" Type="http://schemas.openxmlformats.org/officeDocument/2006/relationships/hyperlink" Target="http://www.informaworld.com/smpp/title~content=t713694730" TargetMode="External"/><Relationship Id="rId267" Type="http://schemas.openxmlformats.org/officeDocument/2006/relationships/hyperlink" Target="2005/Adv%20Phy%20Edu29,%2059.pdf" TargetMode="External"/><Relationship Id="rId474" Type="http://schemas.openxmlformats.org/officeDocument/2006/relationships/hyperlink" Target="2007/Ame%20J%20Gas102,%201528.pdf" TargetMode="External"/><Relationship Id="rId2155" Type="http://schemas.openxmlformats.org/officeDocument/2006/relationships/hyperlink" Target="2014/Burns40,%20365.pdf" TargetMode="External"/><Relationship Id="rId127" Type="http://schemas.openxmlformats.org/officeDocument/2006/relationships/hyperlink" Target="http://scripts.iucr.org/" TargetMode="External"/><Relationship Id="rId681" Type="http://schemas.openxmlformats.org/officeDocument/2006/relationships/hyperlink" Target="http://www.springerlink.com/content/107894/" TargetMode="External"/><Relationship Id="rId779" Type="http://schemas.openxmlformats.org/officeDocument/2006/relationships/hyperlink" Target="2006/Ang%20Ort76,%20721.pdf" TargetMode="External"/><Relationship Id="rId986" Type="http://schemas.openxmlformats.org/officeDocument/2006/relationships/hyperlink" Target="http://www.springerlink.com/(crkruyynku24xg552nflzkmh)/app/home/journal.asp?referrer=backto&amp;backto=linkingpublicationresults,1:100372,1;&amp;absoluteposition=3" TargetMode="External"/><Relationship Id="rId334" Type="http://schemas.openxmlformats.org/officeDocument/2006/relationships/hyperlink" Target="2013/AIDS27,%202593.pdf" TargetMode="External"/><Relationship Id="rId541" Type="http://schemas.openxmlformats.org/officeDocument/2006/relationships/hyperlink" Target="2013/Ame%20J%20Med126,%20633.pdf" TargetMode="External"/><Relationship Id="rId639" Type="http://schemas.openxmlformats.org/officeDocument/2006/relationships/hyperlink" Target="2005/Ame%20J%20Roe185,%20597.pdf" TargetMode="External"/><Relationship Id="rId1171" Type="http://schemas.openxmlformats.org/officeDocument/2006/relationships/hyperlink" Target="2008/Arc%20Phy%20Med%20Reh89,%201395.pdf" TargetMode="External"/><Relationship Id="rId1269" Type="http://schemas.openxmlformats.org/officeDocument/2006/relationships/hyperlink" Target="2011/Asi%20J%20Che23,%201889.pdf" TargetMode="External"/><Relationship Id="rId1476" Type="http://schemas.openxmlformats.org/officeDocument/2006/relationships/hyperlink" Target="2014/Bio%20Res%20Int,%20738298.pdf" TargetMode="External"/><Relationship Id="rId2015" Type="http://schemas.openxmlformats.org/officeDocument/2006/relationships/hyperlink" Target="1999/Bri%20Med%20J319,%2023.pdf" TargetMode="External"/><Relationship Id="rId401" Type="http://schemas.openxmlformats.org/officeDocument/2006/relationships/hyperlink" Target="http://www.sciencedirect.com./science/journal/00028703" TargetMode="External"/><Relationship Id="rId846" Type="http://schemas.openxmlformats.org/officeDocument/2006/relationships/hyperlink" Target="2012/Ann%20For%20Res55,%20147.pdf" TargetMode="External"/><Relationship Id="rId1031" Type="http://schemas.openxmlformats.org/officeDocument/2006/relationships/hyperlink" Target="2010/ANZ%20J%20Sur80,%20876.pdf" TargetMode="External"/><Relationship Id="rId1129" Type="http://schemas.openxmlformats.org/officeDocument/2006/relationships/hyperlink" Target="2014/Arc%20Gyn%20Obs289,%20107.pdf" TargetMode="External"/><Relationship Id="rId1683" Type="http://schemas.openxmlformats.org/officeDocument/2006/relationships/hyperlink" Target="2011/BMC%20Psy11,%20151.pdf" TargetMode="External"/><Relationship Id="rId1890" Type="http://schemas.openxmlformats.org/officeDocument/2006/relationships/hyperlink" Target="2002/Bri%20J%20Gen%20Pra52,%2047.pdf" TargetMode="External"/><Relationship Id="rId1988" Type="http://schemas.openxmlformats.org/officeDocument/2006/relationships/hyperlink" Target="1992/Bri%20Med%20J305,%20420.pdf" TargetMode="External"/><Relationship Id="rId706" Type="http://schemas.openxmlformats.org/officeDocument/2006/relationships/hyperlink" Target="2004/Anesthesia59,%201002.pdf" TargetMode="External"/><Relationship Id="rId913" Type="http://schemas.openxmlformats.org/officeDocument/2006/relationships/hyperlink" Target="2002/Ann%20Nuc%20Med16,%20383.pdf" TargetMode="External"/><Relationship Id="rId1336" Type="http://schemas.openxmlformats.org/officeDocument/2006/relationships/hyperlink" Target="2011/Asl%20Pro63,%20101.pdf" TargetMode="External"/><Relationship Id="rId1543" Type="http://schemas.openxmlformats.org/officeDocument/2006/relationships/hyperlink" Target="2013/BMC%20Can13,%20393.pdf" TargetMode="External"/><Relationship Id="rId1750" Type="http://schemas.openxmlformats.org/officeDocument/2006/relationships/hyperlink" Target="2013/BMJ%20Ope3,%20e003416.pdf" TargetMode="External"/><Relationship Id="rId42" Type="http://schemas.openxmlformats.org/officeDocument/2006/relationships/hyperlink" Target="2013/Aca%20Med88,%201765.pdf" TargetMode="External"/><Relationship Id="rId1403" Type="http://schemas.openxmlformats.org/officeDocument/2006/relationships/hyperlink" Target="2013/Aus%20New%20Zea%20J%20Psy47,%201002.pdf" TargetMode="External"/><Relationship Id="rId1610" Type="http://schemas.openxmlformats.org/officeDocument/2006/relationships/hyperlink" Target="2013/BMC%20Inf%20Dis13,%20227.pdf" TargetMode="External"/><Relationship Id="rId1848" Type="http://schemas.openxmlformats.org/officeDocument/2006/relationships/hyperlink" Target="2014/Bre%20Can%20Res%20Tre148,%201.pdf" TargetMode="External"/><Relationship Id="rId191" Type="http://schemas.openxmlformats.org/officeDocument/2006/relationships/hyperlink" Target="2001/Act%20Psy%20Sca104,%20243.pdf" TargetMode="External"/><Relationship Id="rId1708" Type="http://schemas.openxmlformats.org/officeDocument/2006/relationships/hyperlink" Target="2013/BMC%20Pub%20Hea13,%2095.pdf" TargetMode="External"/><Relationship Id="rId1915" Type="http://schemas.openxmlformats.org/officeDocument/2006/relationships/hyperlink" Target="2012/Bri%20J%20Phi%20Sci63,%20859.pdf" TargetMode="External"/><Relationship Id="rId289" Type="http://schemas.openxmlformats.org/officeDocument/2006/relationships/hyperlink" Target="2010/Afr%20J%20Bus%20Man4,%201372.pdf" TargetMode="External"/><Relationship Id="rId496" Type="http://schemas.openxmlformats.org/officeDocument/2006/relationships/hyperlink" Target="2014/Ame%20J%20Hem89,%20581.pdf" TargetMode="External"/><Relationship Id="rId149" Type="http://schemas.openxmlformats.org/officeDocument/2006/relationships/hyperlink" Target="2007/Act%20Obs%20Gyn%20Sca86,%20389.pdf" TargetMode="External"/><Relationship Id="rId356" Type="http://schemas.openxmlformats.org/officeDocument/2006/relationships/hyperlink" Target="2014/Alg%20Res-Bio%20Bio%20Bio6,%20132.pdf" TargetMode="External"/><Relationship Id="rId563" Type="http://schemas.openxmlformats.org/officeDocument/2006/relationships/hyperlink" Target="http://www.sciencedirect.com/science/journal/00029394" TargetMode="External"/><Relationship Id="rId770" Type="http://schemas.openxmlformats.org/officeDocument/2006/relationships/hyperlink" Target="2011/Ane%20Ana112,%20674.pdf" TargetMode="External"/><Relationship Id="rId1193" Type="http://schemas.openxmlformats.org/officeDocument/2006/relationships/hyperlink" Target="2007/Arc%20Bro43,%20212.pdf" TargetMode="External"/><Relationship Id="rId2037" Type="http://schemas.openxmlformats.org/officeDocument/2006/relationships/hyperlink" Target="2005/Bri%20Med%20J329,%20546.pdf" TargetMode="External"/><Relationship Id="rId216" Type="http://schemas.openxmlformats.org/officeDocument/2006/relationships/hyperlink" Target="2008/Act%20Tro106,%2096.pdf" TargetMode="External"/><Relationship Id="rId423" Type="http://schemas.openxmlformats.org/officeDocument/2006/relationships/hyperlink" Target="2014/Ame%20J%20Car113,%201173.pdf" TargetMode="External"/><Relationship Id="rId868" Type="http://schemas.openxmlformats.org/officeDocument/2006/relationships/hyperlink" Target="2008/Ann%20Int%20Med148,%20519.pdf" TargetMode="External"/><Relationship Id="rId1053" Type="http://schemas.openxmlformats.org/officeDocument/2006/relationships/hyperlink" Target="2013/App%20Ene109,%20145.pdf" TargetMode="External"/><Relationship Id="rId1260" Type="http://schemas.openxmlformats.org/officeDocument/2006/relationships/hyperlink" Target="2013/Asi-Pac%20Psy5,%20113.pdf" TargetMode="External"/><Relationship Id="rId1498" Type="http://schemas.openxmlformats.org/officeDocument/2006/relationships/hyperlink" Target="1995/Biorheology32,%20380.pdf" TargetMode="External"/><Relationship Id="rId2104" Type="http://schemas.openxmlformats.org/officeDocument/2006/relationships/hyperlink" Target="../HO-reference/1960-80/Bul%20Med%20Lib%20Ass55,%20399.pdf" TargetMode="External"/><Relationship Id="rId630" Type="http://schemas.openxmlformats.org/officeDocument/2006/relationships/hyperlink" Target="1988/Ame%20J%20Roe150,%20227.pdf" TargetMode="External"/><Relationship Id="rId728" Type="http://schemas.openxmlformats.org/officeDocument/2006/relationships/hyperlink" Target="2011/Ana%20Aca%20Bra%20Cie83,%20745.pdf" TargetMode="External"/><Relationship Id="rId935" Type="http://schemas.openxmlformats.org/officeDocument/2006/relationships/hyperlink" Target="2013/Ann%20Pha47,%201153.pdf" TargetMode="External"/><Relationship Id="rId1358" Type="http://schemas.openxmlformats.org/officeDocument/2006/relationships/hyperlink" Target="2013/Atmosfera26,%20547.pdf" TargetMode="External"/><Relationship Id="rId1565" Type="http://schemas.openxmlformats.org/officeDocument/2006/relationships/hyperlink" Target="2007/BMC%20Hea%20Ser%20Res7,%2071.pdf" TargetMode="External"/><Relationship Id="rId1772" Type="http://schemas.openxmlformats.org/officeDocument/2006/relationships/hyperlink" Target="2015/BMJ%20Ope5,%20e005636.pdf" TargetMode="External"/><Relationship Id="rId64" Type="http://schemas.openxmlformats.org/officeDocument/2006/relationships/hyperlink" Target="2011/Acc%20Res%20Pol%20Qua%20Ass18,%2076.pdf" TargetMode="External"/><Relationship Id="rId1120" Type="http://schemas.openxmlformats.org/officeDocument/2006/relationships/hyperlink" Target="2014/Arc%20Ger%20Ger59,%20227.pdf" TargetMode="External"/><Relationship Id="rId1218" Type="http://schemas.openxmlformats.org/officeDocument/2006/relationships/hyperlink" Target="2000/Arq%20Bra%20Car75,%201.pdf" TargetMode="External"/><Relationship Id="rId1425" Type="http://schemas.openxmlformats.org/officeDocument/2006/relationships/hyperlink" Target="2000/Beh%20Ana23,%20255.pdf" TargetMode="External"/><Relationship Id="rId1632" Type="http://schemas.openxmlformats.org/officeDocument/2006/relationships/hyperlink" Target="2013/BMC%20Med%20Inf%20Dec%20Mak13,%2052.pdf" TargetMode="External"/><Relationship Id="rId1937" Type="http://schemas.openxmlformats.org/officeDocument/2006/relationships/hyperlink" Target="2012/Bri%20J%20Rad85,%201513.pdf" TargetMode="External"/><Relationship Id="rId280" Type="http://schemas.openxmlformats.org/officeDocument/2006/relationships/hyperlink" Target="2011/AJAR10,%20101.pdf" TargetMode="External"/><Relationship Id="rId140" Type="http://schemas.openxmlformats.org/officeDocument/2006/relationships/hyperlink" Target="2009/Act%20M&#233;d%20Por22,%2041.pdf" TargetMode="External"/><Relationship Id="rId378" Type="http://schemas.openxmlformats.org/officeDocument/2006/relationships/hyperlink" Target="2009/Allergy64,%20840.pdf" TargetMode="External"/><Relationship Id="rId585" Type="http://schemas.openxmlformats.org/officeDocument/2006/relationships/hyperlink" Target="-1959/Ame%20J%20Phy15,%20309.pdf" TargetMode="External"/><Relationship Id="rId792" Type="http://schemas.openxmlformats.org/officeDocument/2006/relationships/hyperlink" Target="2015/Ang%20Ort85,%20501.pdf" TargetMode="External"/><Relationship Id="rId2059" Type="http://schemas.openxmlformats.org/officeDocument/2006/relationships/hyperlink" Target="2010/Bri%20Med%20J340,%20c1344.pdf" TargetMode="External"/><Relationship Id="rId6" Type="http://schemas.openxmlformats.org/officeDocument/2006/relationships/webSettings" Target="webSettings.xml"/><Relationship Id="rId238" Type="http://schemas.openxmlformats.org/officeDocument/2006/relationships/hyperlink" Target="2014/Add%20Beh39,%20512.pdf" TargetMode="External"/><Relationship Id="rId445" Type="http://schemas.openxmlformats.org/officeDocument/2006/relationships/hyperlink" Target="http://www.sciencedirect.com/science?_ob=JournalURL&amp;_cdi=6685&amp;_auth=y&amp;_acct=C000050221&amp;_version=1&amp;_urlVersion=0&amp;_userid=10&amp;md5=7563655ba58342160504797825b5593b" TargetMode="External"/><Relationship Id="rId652" Type="http://schemas.openxmlformats.org/officeDocument/2006/relationships/hyperlink" Target="2006/Ame%20J%20The13,%20309.pdf" TargetMode="External"/><Relationship Id="rId1075" Type="http://schemas.openxmlformats.org/officeDocument/2006/relationships/hyperlink" Target="http://www.archbudo.com/" TargetMode="External"/><Relationship Id="rId1282" Type="http://schemas.openxmlformats.org/officeDocument/2006/relationships/hyperlink" Target="2011/Asi%20Pac%20J%20Can%20Pre12,%202055.pdf" TargetMode="External"/><Relationship Id="rId2126" Type="http://schemas.openxmlformats.org/officeDocument/2006/relationships/hyperlink" Target="1998/Bul%20Med%20Lib%20Ass86,%2031.pdf" TargetMode="External"/><Relationship Id="rId305" Type="http://schemas.openxmlformats.org/officeDocument/2006/relationships/hyperlink" Target="2011/Afr%20J%20Lib%20Arc%20Inf%20Sci21,%2099.pdf" TargetMode="External"/><Relationship Id="rId512" Type="http://schemas.openxmlformats.org/officeDocument/2006/relationships/hyperlink" Target="http://www3.interscience.wiley.com/cgi-bin/jtoc?ID=34471" TargetMode="External"/><Relationship Id="rId957" Type="http://schemas.openxmlformats.org/officeDocument/2006/relationships/hyperlink" Target="2010/Ann%20Sau%20Med30,%20123.pdf" TargetMode="External"/><Relationship Id="rId1142" Type="http://schemas.openxmlformats.org/officeDocument/2006/relationships/hyperlink" Target="2011/Arc%20Ira%20Med14,%20222.pdf" TargetMode="External"/><Relationship Id="rId1587" Type="http://schemas.openxmlformats.org/officeDocument/2006/relationships/hyperlink" Target="2011/BMC%20Hea%20Ser%20Res11,%20320.pdf" TargetMode="External"/><Relationship Id="rId1794" Type="http://schemas.openxmlformats.org/officeDocument/2006/relationships/hyperlink" Target="2013/Bosque34,%20211.pdf" TargetMode="External"/><Relationship Id="rId86" Type="http://schemas.openxmlformats.org/officeDocument/2006/relationships/hyperlink" Target="2014/Act%20Agr%20Sca%20Sec%20B-Soi%20Pla%20Sci64,%20377.pdf" TargetMode="External"/><Relationship Id="rId817" Type="http://schemas.openxmlformats.org/officeDocument/2006/relationships/hyperlink" Target="2013/Ann%20Med-Psy171,%20725.pdf" TargetMode="External"/><Relationship Id="rId1002" Type="http://schemas.openxmlformats.org/officeDocument/2006/relationships/hyperlink" Target="1991/Ant%20Age%20Che35,%202473.pdf" TargetMode="External"/><Relationship Id="rId1447" Type="http://schemas.openxmlformats.org/officeDocument/2006/relationships/hyperlink" Target="2012/Bio%20Med22,%207.pdf" TargetMode="External"/><Relationship Id="rId1654" Type="http://schemas.openxmlformats.org/officeDocument/2006/relationships/hyperlink" Target="2007/BMC%20Mus%20Dis,%208,%206.pdf" TargetMode="External"/><Relationship Id="rId1861" Type="http://schemas.openxmlformats.org/officeDocument/2006/relationships/hyperlink" Target="2011/Bri%20J%20Ana107,%20306.pdf" TargetMode="External"/><Relationship Id="rId1307" Type="http://schemas.openxmlformats.org/officeDocument/2006/relationships/hyperlink" Target="2014/Asl%20J%20Inf%20Man66,%20202.pdf" TargetMode="External"/><Relationship Id="rId1514" Type="http://schemas.openxmlformats.org/officeDocument/2006/relationships/hyperlink" Target="http://www.springerlink.com/content/0006-3835" TargetMode="External"/><Relationship Id="rId1721" Type="http://schemas.openxmlformats.org/officeDocument/2006/relationships/hyperlink" Target="2014\BMC%20Pub%20Hea14,%20623.pdf" TargetMode="External"/><Relationship Id="rId1959" Type="http://schemas.openxmlformats.org/officeDocument/2006/relationships/hyperlink" Target="2007/Bri%20J%20Sur94,%20244.pdf" TargetMode="External"/><Relationship Id="rId13" Type="http://schemas.openxmlformats.org/officeDocument/2006/relationships/hyperlink" Target="1995/Aca%20Eme%20Med2,%20651.pdf" TargetMode="External"/><Relationship Id="rId1819" Type="http://schemas.openxmlformats.org/officeDocument/2006/relationships/hyperlink" Target="2005/Bra%20J%20Med%20Bio%20Res38,%20649.pdf" TargetMode="External"/><Relationship Id="rId162" Type="http://schemas.openxmlformats.org/officeDocument/2006/relationships/hyperlink" Target="2009/Act%20Onc48,%209.pdf" TargetMode="External"/><Relationship Id="rId467" Type="http://schemas.openxmlformats.org/officeDocument/2006/relationships/hyperlink" Target="http://www.sciencedirect.com/science?_ob=JournalURL&amp;_cdi=6076&amp;_auth=y&amp;_acct=C000047720&amp;_version=1&amp;_urlVersion=0&amp;_userid=2007471&amp;md5=a1d285eb7160f060b830b38d751622c4" TargetMode="External"/><Relationship Id="rId1097" Type="http://schemas.openxmlformats.org/officeDocument/2006/relationships/hyperlink" Target="2010/Arc%20Dis%20Chi95,%20214.pdf" TargetMode="External"/><Relationship Id="rId2050" Type="http://schemas.openxmlformats.org/officeDocument/2006/relationships/hyperlink" Target="2008/Bri%20Med%20J337,%20a1711.pdf" TargetMode="External"/><Relationship Id="rId2148" Type="http://schemas.openxmlformats.org/officeDocument/2006/relationships/hyperlink" Target="2003/Burns29,%20389.pdf" TargetMode="External"/><Relationship Id="rId674" Type="http://schemas.openxmlformats.org/officeDocument/2006/relationships/hyperlink" Target="2014/Ame%20Rev%20Pub%20Adm44,%20131.pdf" TargetMode="External"/><Relationship Id="rId881" Type="http://schemas.openxmlformats.org/officeDocument/2006/relationships/hyperlink" Target="2010/Ann%20Int%20Med153,%20766.pdf" TargetMode="External"/><Relationship Id="rId979" Type="http://schemas.openxmlformats.org/officeDocument/2006/relationships/hyperlink" Target="2005/Ann%20Tou%20Res32,%20167.pdf" TargetMode="External"/><Relationship Id="rId327" Type="http://schemas.openxmlformats.org/officeDocument/2006/relationships/hyperlink" Target="2011/Agrekon50,%20124.pdf" TargetMode="External"/><Relationship Id="rId534" Type="http://schemas.openxmlformats.org/officeDocument/2006/relationships/hyperlink" Target="2002/Ame%20J%20Med112,%20406.pdf" TargetMode="External"/><Relationship Id="rId741" Type="http://schemas.openxmlformats.org/officeDocument/2006/relationships/hyperlink" Target="2007/Ana%20Bio%20Che387,%201143.pdf" TargetMode="External"/><Relationship Id="rId839" Type="http://schemas.openxmlformats.org/officeDocument/2006/relationships/hyperlink" Target="2011/Ann%20Eme%20Med58,%2041.pdf" TargetMode="External"/><Relationship Id="rId1164" Type="http://schemas.openxmlformats.org/officeDocument/2006/relationships/hyperlink" Target="2004/Arc%20Phy%20Med%20Reh85,%20142.pdf" TargetMode="External"/><Relationship Id="rId1371" Type="http://schemas.openxmlformats.org/officeDocument/2006/relationships/hyperlink" Target="2013/Aus%20Psy21,%20533.pdf" TargetMode="External"/><Relationship Id="rId1469" Type="http://schemas.openxmlformats.org/officeDocument/2006/relationships/hyperlink" Target="http://sciencejournals.info/Biomaterials.html" TargetMode="External"/><Relationship Id="rId2008" Type="http://schemas.openxmlformats.org/officeDocument/2006/relationships/hyperlink" Target="1996/Bri%20Med%20J313,%201117.pdf" TargetMode="External"/><Relationship Id="rId601" Type="http://schemas.openxmlformats.org/officeDocument/2006/relationships/hyperlink" Target="../HO-reference/2012/Ame%20J%20Pre%20Med42,%20157.pdf" TargetMode="External"/><Relationship Id="rId1024" Type="http://schemas.openxmlformats.org/officeDocument/2006/relationships/hyperlink" Target="2002/Ant%20Age%20Che46,%20672.pdf" TargetMode="External"/><Relationship Id="rId1231" Type="http://schemas.openxmlformats.org/officeDocument/2006/relationships/hyperlink" Target="2015/Arq%20Bra%20Car104,%201.pdf" TargetMode="External"/><Relationship Id="rId1676" Type="http://schemas.openxmlformats.org/officeDocument/2006/relationships/hyperlink" Target="2010/BMC%20Ped10,%2050.pdf" TargetMode="External"/><Relationship Id="rId1883" Type="http://schemas.openxmlformats.org/officeDocument/2006/relationships/hyperlink" Target="2006/Bri%20J%20Der154,%201016.pdf" TargetMode="External"/><Relationship Id="rId906" Type="http://schemas.openxmlformats.org/officeDocument/2006/relationships/hyperlink" Target="-1959/Ann%20Mat%20Sta10,%20144.pdf" TargetMode="External"/><Relationship Id="rId1329" Type="http://schemas.openxmlformats.org/officeDocument/2006/relationships/hyperlink" Target="2008/Asl%20Pro60,%20463.pdf" TargetMode="External"/><Relationship Id="rId1536" Type="http://schemas.openxmlformats.org/officeDocument/2006/relationships/hyperlink" Target="2012/Blo%20Pre21,%203.pdf" TargetMode="External"/><Relationship Id="rId1743" Type="http://schemas.openxmlformats.org/officeDocument/2006/relationships/hyperlink" Target="2012/BMJ%20Ope,%20e000897.pdf" TargetMode="External"/><Relationship Id="rId1950" Type="http://schemas.openxmlformats.org/officeDocument/2006/relationships/hyperlink" Target="2014/Bri%20J%20Spo%20Med48,%20952.pdf" TargetMode="External"/><Relationship Id="rId35" Type="http://schemas.openxmlformats.org/officeDocument/2006/relationships/hyperlink" Target="2005/Aca%20Med80,%20S67.pdf" TargetMode="External"/><Relationship Id="rId1603" Type="http://schemas.openxmlformats.org/officeDocument/2006/relationships/hyperlink" Target="2005/BMC%20Inf%20Dis5,%2062.pdf" TargetMode="External"/><Relationship Id="rId1810" Type="http://schemas.openxmlformats.org/officeDocument/2006/relationships/hyperlink" Target="2014/Bra%20Sti7,%207.pdf" TargetMode="External"/><Relationship Id="rId184" Type="http://schemas.openxmlformats.org/officeDocument/2006/relationships/hyperlink" Target="2014/Act%20Phy210,%2031.pdf" TargetMode="External"/><Relationship Id="rId391" Type="http://schemas.openxmlformats.org/officeDocument/2006/relationships/hyperlink" Target="http://proquest.umi.com/pqdweb?RQT=318&amp;pmid=66158" TargetMode="External"/><Relationship Id="rId1908" Type="http://schemas.openxmlformats.org/officeDocument/2006/relationships/hyperlink" Target="2001/Bri%20J%20Oph85,%201497.pdf" TargetMode="External"/><Relationship Id="rId2072" Type="http://schemas.openxmlformats.org/officeDocument/2006/relationships/hyperlink" Target="2011/Bri%20Med%20J343,%20d4488.pdf" TargetMode="External"/><Relationship Id="rId251" Type="http://schemas.openxmlformats.org/officeDocument/2006/relationships/hyperlink" Target="2006/Adv%20Ana%20Pat13,%20114.pdf" TargetMode="External"/><Relationship Id="rId489" Type="http://schemas.openxmlformats.org/officeDocument/2006/relationships/hyperlink" Target="2010/Ame%20J%20Hea%20Pro24,%20267.pdf" TargetMode="External"/><Relationship Id="rId696" Type="http://schemas.openxmlformats.org/officeDocument/2006/relationships/hyperlink" Target="2000/Ame%20Zoo40,%20165.pdf" TargetMode="External"/><Relationship Id="rId349" Type="http://schemas.openxmlformats.org/officeDocument/2006/relationships/hyperlink" Target="1999/Alc%20Alc34,%2025.pdf" TargetMode="External"/><Relationship Id="rId556" Type="http://schemas.openxmlformats.org/officeDocument/2006/relationships/hyperlink" Target="2014/Ame%20J%20Obs%20Gyn210,%20684.e1.pdf" TargetMode="External"/><Relationship Id="rId763" Type="http://schemas.openxmlformats.org/officeDocument/2006/relationships/hyperlink" Target="2008/Ane%20Ana106,%201524.pdf" TargetMode="External"/><Relationship Id="rId1186" Type="http://schemas.openxmlformats.org/officeDocument/2006/relationships/hyperlink" Target="2008/Arc%20Tox82,%20881.pdf" TargetMode="External"/><Relationship Id="rId1393" Type="http://schemas.openxmlformats.org/officeDocument/2006/relationships/hyperlink" Target="2001/Aus%20New%20Zea%20J%20Psy35,%20563.pdf" TargetMode="External"/><Relationship Id="rId111" Type="http://schemas.openxmlformats.org/officeDocument/2006/relationships/hyperlink" Target="2009/Act%20Bot%20Bra23,%20606.pdf" TargetMode="External"/><Relationship Id="rId209" Type="http://schemas.openxmlformats.org/officeDocument/2006/relationships/hyperlink" Target="2002/Act%20Soc45,%20253.pdf" TargetMode="External"/><Relationship Id="rId416" Type="http://schemas.openxmlformats.org/officeDocument/2006/relationships/hyperlink" Target="2011/Ame%20J%20Bio11,%2024.pdf" TargetMode="External"/><Relationship Id="rId970" Type="http://schemas.openxmlformats.org/officeDocument/2006/relationships/hyperlink" Target="2013/Ann%20Sur%20Onc20,%201203.pdf" TargetMode="External"/><Relationship Id="rId1046" Type="http://schemas.openxmlformats.org/officeDocument/2006/relationships/hyperlink" Target="2012/App%20Eco44,%202827.pdf" TargetMode="External"/><Relationship Id="rId1253" Type="http://schemas.openxmlformats.org/officeDocument/2006/relationships/hyperlink" Target="http://econpapers.repec.org/article/wsiapjorx/" TargetMode="External"/><Relationship Id="rId1698" Type="http://schemas.openxmlformats.org/officeDocument/2006/relationships/hyperlink" Target="2010/BMC%20Pub%20Hea10,%20331.pdf" TargetMode="External"/><Relationship Id="rId623" Type="http://schemas.openxmlformats.org/officeDocument/2006/relationships/hyperlink" Target="2014/Ame%20J%20Rep%20Imm72,%20504.pdf" TargetMode="External"/><Relationship Id="rId830" Type="http://schemas.openxmlformats.org/officeDocument/2006/relationships/hyperlink" Target="1993/Ann%20Eme%20Med22,%201450.pdf" TargetMode="External"/><Relationship Id="rId928" Type="http://schemas.openxmlformats.org/officeDocument/2006/relationships/hyperlink" Target="http://www.theannals.com/contents-by-date.0.shtml" TargetMode="External"/><Relationship Id="rId1460" Type="http://schemas.openxmlformats.org/officeDocument/2006/relationships/hyperlink" Target="2011/Bioethics25,%2057.pdf" TargetMode="External"/><Relationship Id="rId1558" Type="http://schemas.openxmlformats.org/officeDocument/2006/relationships/hyperlink" Target="2009/BMC%20Car%20Dis9,%205.pdf" TargetMode="External"/><Relationship Id="rId1765" Type="http://schemas.openxmlformats.org/officeDocument/2006/relationships/hyperlink" Target="2014/BMJ%20Ope4,%20e005047.pdf" TargetMode="External"/><Relationship Id="rId57" Type="http://schemas.openxmlformats.org/officeDocument/2006/relationships/hyperlink" Target="http://www.sciencedirect.com/science?_ob=JournalURL&amp;_cdi=5794&amp;_auth=y&amp;_acct=C000047720&amp;_version=1&amp;_urlVersion=0&amp;_userid=2007471&amp;md5=4ea2d6adacb296ee4a3bdb98b6d175b1" TargetMode="External"/><Relationship Id="rId1113" Type="http://schemas.openxmlformats.org/officeDocument/2006/relationships/hyperlink" Target="2012/Arc%20Eur%20Sci6,%2068.pdf" TargetMode="External"/><Relationship Id="rId1320" Type="http://schemas.openxmlformats.org/officeDocument/2006/relationships/hyperlink" Target="2003/Asl%20Pro55,%2032.pdf" TargetMode="External"/><Relationship Id="rId1418" Type="http://schemas.openxmlformats.org/officeDocument/2006/relationships/hyperlink" Target="2007/Avi%20Dis51,%201.pdf" TargetMode="External"/><Relationship Id="rId1972" Type="http://schemas.openxmlformats.org/officeDocument/2006/relationships/hyperlink" Target="2015/Bri%20J%20Sur102,%20451.pdf" TargetMode="External"/><Relationship Id="rId1625" Type="http://schemas.openxmlformats.org/officeDocument/2006/relationships/hyperlink" Target="2015/BMC%20Med%20Edu15,%2030.pdf" TargetMode="External"/><Relationship Id="rId1832" Type="http://schemas.openxmlformats.org/officeDocument/2006/relationships/hyperlink" Target="2011/Bra%20J%20Pha%20Sci47,%20409.pdf" TargetMode="External"/><Relationship Id="rId2094" Type="http://schemas.openxmlformats.org/officeDocument/2006/relationships/hyperlink" Target="1993/Bul%20Mat%20Bio55,%20973.pdf" TargetMode="External"/><Relationship Id="rId273" Type="http://schemas.openxmlformats.org/officeDocument/2006/relationships/hyperlink" Target="2008/Aes%20Pla%20Sur32,%2018.pdf" TargetMode="External"/><Relationship Id="rId480" Type="http://schemas.openxmlformats.org/officeDocument/2006/relationships/hyperlink" Target="2010/Ame%20J%20Ger%20Pha8,%204.pdf" TargetMode="External"/><Relationship Id="rId2161" Type="http://schemas.openxmlformats.org/officeDocument/2006/relationships/hyperlink" Target="http://www.informaworld.com/smpp/title~db=all~content=t713634500~tab=issueslist" TargetMode="External"/><Relationship Id="rId133" Type="http://schemas.openxmlformats.org/officeDocument/2006/relationships/hyperlink" Target="2014/Act%20End-Buc10,%20259.pdf" TargetMode="External"/><Relationship Id="rId340" Type="http://schemas.openxmlformats.org/officeDocument/2006/relationships/hyperlink" Target="2009/AIDS%20Care21,%201343.pdf" TargetMode="External"/><Relationship Id="rId578" Type="http://schemas.openxmlformats.org/officeDocument/2006/relationships/hyperlink" Target="2014/Ame%20J%20Ort%20Den%20Ort145,%20720.pdf" TargetMode="External"/><Relationship Id="rId785" Type="http://schemas.openxmlformats.org/officeDocument/2006/relationships/hyperlink" Target="2011/Ang%20Ort81,%20153.pdf" TargetMode="External"/><Relationship Id="rId992" Type="http://schemas.openxmlformats.org/officeDocument/2006/relationships/hyperlink" Target="2008/Ann%20Rev%20Inf%20Sci%20Tec42,%20297.pdf" TargetMode="External"/><Relationship Id="rId2021" Type="http://schemas.openxmlformats.org/officeDocument/2006/relationships/hyperlink" Target="2000/Bri%20Med%20J321,%20683.pdf" TargetMode="External"/><Relationship Id="rId200" Type="http://schemas.openxmlformats.org/officeDocument/2006/relationships/hyperlink" Target="2014/Act%20Psy%20Sca130,%20342.pdf" TargetMode="External"/><Relationship Id="rId438" Type="http://schemas.openxmlformats.org/officeDocument/2006/relationships/hyperlink" Target="2014/Ame%20J%20Cli%20Nut100,%2065.pdf" TargetMode="External"/><Relationship Id="rId645" Type="http://schemas.openxmlformats.org/officeDocument/2006/relationships/hyperlink" Target="1960-80/Ame%20J%20Soc74,%20276.pdf" TargetMode="External"/><Relationship Id="rId852" Type="http://schemas.openxmlformats.org/officeDocument/2006/relationships/hyperlink" Target="2014/Ann%20Hum%20Gen78,%20264.pdf" TargetMode="External"/><Relationship Id="rId1068" Type="http://schemas.openxmlformats.org/officeDocument/2006/relationships/hyperlink" Target="2002/Arb-Cie%20Pen%20Cul171,%20609.pdf" TargetMode="External"/><Relationship Id="rId1275" Type="http://schemas.openxmlformats.org/officeDocument/2006/relationships/hyperlink" Target="1998/Asi%20Lib7,%20257.pdf" TargetMode="External"/><Relationship Id="rId1482" Type="http://schemas.openxmlformats.org/officeDocument/2006/relationships/hyperlink" Target="2015/Bio%20Res%20Int,%20315043.pdf" TargetMode="External"/><Relationship Id="rId2119" Type="http://schemas.openxmlformats.org/officeDocument/2006/relationships/hyperlink" Target="1997/Bul%20Med%20Lib%20Ass85,%20271.pdf" TargetMode="External"/><Relationship Id="rId505" Type="http://schemas.openxmlformats.org/officeDocument/2006/relationships/hyperlink" Target="-1959/Ame%20J%20Hyg3,%2055.pdf" TargetMode="External"/><Relationship Id="rId712" Type="http://schemas.openxmlformats.org/officeDocument/2006/relationships/hyperlink" Target="2011/Anesthesia66,%20220.pdf" TargetMode="External"/><Relationship Id="rId1135" Type="http://schemas.openxmlformats.org/officeDocument/2006/relationships/hyperlink" Target="2007/Arc%20Int%20Med167,%20335.pdf" TargetMode="External"/><Relationship Id="rId1342" Type="http://schemas.openxmlformats.org/officeDocument/2006/relationships/hyperlink" Target="2013/Asl%20Pro65,%20376.pdf" TargetMode="External"/><Relationship Id="rId1787" Type="http://schemas.openxmlformats.org/officeDocument/2006/relationships/hyperlink" Target="2009/Bol%20Soc%20Esp%20Cer%20Vid48,%20297.pdf" TargetMode="External"/><Relationship Id="rId1994" Type="http://schemas.openxmlformats.org/officeDocument/2006/relationships/hyperlink" Target="1993/Bri%20Med%20J306,%20765.pdf" TargetMode="External"/><Relationship Id="rId79" Type="http://schemas.openxmlformats.org/officeDocument/2006/relationships/hyperlink" Target="2002/ACIMED10-Perez.pdf" TargetMode="External"/><Relationship Id="rId1202" Type="http://schemas.openxmlformats.org/officeDocument/2006/relationships/hyperlink" Target="2008/Arc%20Imm%20The%20Exp56,%20363.pdf" TargetMode="External"/><Relationship Id="rId1647" Type="http://schemas.openxmlformats.org/officeDocument/2006/relationships/hyperlink" Target="2006/BMC%20Med4,%2013.pdf" TargetMode="External"/><Relationship Id="rId1854" Type="http://schemas.openxmlformats.org/officeDocument/2006/relationships/hyperlink" Target="1960-80/Bri%20J%20Ana43,%20814.pdf" TargetMode="External"/><Relationship Id="rId1507" Type="http://schemas.openxmlformats.org/officeDocument/2006/relationships/hyperlink" Target="2011/Bip%20Dis13,%20454.pdf" TargetMode="External"/><Relationship Id="rId1714" Type="http://schemas.openxmlformats.org/officeDocument/2006/relationships/hyperlink" Target="2014/BMC%20Pub%20Hea14,%20205.pdf" TargetMode="External"/><Relationship Id="rId295" Type="http://schemas.openxmlformats.org/officeDocument/2006/relationships/hyperlink" Target="2010/Afr%20J%20Bus%20Man-Huang.pdf" TargetMode="External"/><Relationship Id="rId1921" Type="http://schemas.openxmlformats.org/officeDocument/2006/relationships/hyperlink" Target="1998/Bri%20J%20Psy172,%20110.pdf" TargetMode="External"/><Relationship Id="rId155" Type="http://schemas.openxmlformats.org/officeDocument/2006/relationships/hyperlink" Target="2014/Act%20Obs%20Gyn%20Sca93,%20727.pdf" TargetMode="External"/><Relationship Id="rId362" Type="http://schemas.openxmlformats.org/officeDocument/2006/relationships/hyperlink" Target="2009/Ali%20Pha%20The29,%201155.pdf" TargetMode="External"/><Relationship Id="rId1297" Type="http://schemas.openxmlformats.org/officeDocument/2006/relationships/hyperlink" Target="2014/Asi%20Pac%20J%20Can%20Pre15,%201263.pdf" TargetMode="External"/><Relationship Id="rId2043" Type="http://schemas.openxmlformats.org/officeDocument/2006/relationships/hyperlink" Target="2006/Bri%20Med%20J332,%201063.pdf" TargetMode="External"/><Relationship Id="rId222" Type="http://schemas.openxmlformats.org/officeDocument/2006/relationships/hyperlink" Target="2011/Act%20Uro%20Esp35,%20289.pdf" TargetMode="External"/><Relationship Id="rId667" Type="http://schemas.openxmlformats.org/officeDocument/2006/relationships/hyperlink" Target="2000/Ame%20Psy55,%20271.pdf" TargetMode="External"/><Relationship Id="rId874" Type="http://schemas.openxmlformats.org/officeDocument/2006/relationships/hyperlink" Target="2010/Ann%20Int%20Med152,%2026.pdf" TargetMode="External"/><Relationship Id="rId2110" Type="http://schemas.openxmlformats.org/officeDocument/2006/relationships/hyperlink" Target="1992/Bul%20Med%20Lib%20Ass80,%20150.pdf" TargetMode="External"/><Relationship Id="rId17" Type="http://schemas.openxmlformats.org/officeDocument/2006/relationships/hyperlink" Target="2010/Aca%20Eme%20Med17,%20476.pdf" TargetMode="External"/><Relationship Id="rId527" Type="http://schemas.openxmlformats.org/officeDocument/2006/relationships/hyperlink" Target="2008/Ame%20J%20Med%20Sci335,%20188.pdf" TargetMode="External"/><Relationship Id="rId734" Type="http://schemas.openxmlformats.org/officeDocument/2006/relationships/hyperlink" Target="http://scielo.isciii.es/scielo.php?script=sci_serial&amp;pid=1137-6627&amp;lng=en&amp;nrm=iso" TargetMode="External"/><Relationship Id="rId941" Type="http://schemas.openxmlformats.org/officeDocument/2006/relationships/hyperlink" Target="2007/Ann%20Pla%20Sur59,%20733.pdf" TargetMode="External"/><Relationship Id="rId1157" Type="http://schemas.openxmlformats.org/officeDocument/2006/relationships/hyperlink" Target="2015/Arc%20Pat%20Lab%20Med139,%20394.pdf" TargetMode="External"/><Relationship Id="rId1364" Type="http://schemas.openxmlformats.org/officeDocument/2006/relationships/hyperlink" Target="2013/Aus%20Eco38,%20599.pdf" TargetMode="External"/><Relationship Id="rId1571" Type="http://schemas.openxmlformats.org/officeDocument/2006/relationships/hyperlink" Target="2010/BMC%20Hea%20Ser%20Res10,%20247.pdf" TargetMode="External"/><Relationship Id="rId70" Type="http://schemas.openxmlformats.org/officeDocument/2006/relationships/hyperlink" Target="2002/Acc%20Bus%20Fin%20His12,%201.pdf" TargetMode="External"/><Relationship Id="rId166" Type="http://schemas.openxmlformats.org/officeDocument/2006/relationships/hyperlink" Target="2014/Act%20Oph92,%20403.pdf" TargetMode="External"/><Relationship Id="rId373" Type="http://schemas.openxmlformats.org/officeDocument/2006/relationships/hyperlink" Target="http://www3.interscience.wiley.com/journal/118519659/home" TargetMode="External"/><Relationship Id="rId580" Type="http://schemas.openxmlformats.org/officeDocument/2006/relationships/hyperlink" Target="2011/Ame%20J%20Pha%20Edu75,%2010.pdf" TargetMode="External"/><Relationship Id="rId801" Type="http://schemas.openxmlformats.org/officeDocument/2006/relationships/hyperlink" Target="2007/Ann%20Phy16,%20842.pdf" TargetMode="External"/><Relationship Id="rId1017" Type="http://schemas.openxmlformats.org/officeDocument/2006/relationships/hyperlink" Target="1999/Ant%20Age%20Che43,%201077.pdf" TargetMode="External"/><Relationship Id="rId1224" Type="http://schemas.openxmlformats.org/officeDocument/2006/relationships/hyperlink" Target="2011/Arq%20Bra%20Car97,%20444.pdf" TargetMode="External"/><Relationship Id="rId1431" Type="http://schemas.openxmlformats.org/officeDocument/2006/relationships/hyperlink" Target="1997/Beh%20Soc%20Sci%20Lib15,%201.pdf" TargetMode="External"/><Relationship Id="rId1669" Type="http://schemas.openxmlformats.org/officeDocument/2006/relationships/hyperlink" Target="2013/BMC%20Oph13,%20UNSP%2025.pdf" TargetMode="External"/><Relationship Id="rId1876" Type="http://schemas.openxmlformats.org/officeDocument/2006/relationships/hyperlink" Target="2014/Bri%20J%20Cli%20Pha78,%201238.pdf" TargetMode="External"/><Relationship Id="rId2054" Type="http://schemas.openxmlformats.org/officeDocument/2006/relationships/hyperlink" Target="2009/Bri%20Med%20J338,%20b354.pdf" TargetMode="External"/><Relationship Id="rId1" Type="http://schemas.openxmlformats.org/officeDocument/2006/relationships/customXml" Target="../customXml/item1.xml"/><Relationship Id="rId233" Type="http://schemas.openxmlformats.org/officeDocument/2006/relationships/hyperlink" Target="2009/Addiction104,%201100.pdf" TargetMode="External"/><Relationship Id="rId440" Type="http://schemas.openxmlformats.org/officeDocument/2006/relationships/hyperlink" Target="http://www.springerlink.com/content/104830/?p=a7fcdd329d2b426488db315f043717f6&amp;pi=0" TargetMode="External"/><Relationship Id="rId678" Type="http://schemas.openxmlformats.org/officeDocument/2006/relationships/hyperlink" Target="http://web.ebscohost.com/ehost/detail?vid=1&amp;hid=6&amp;sid=46c8df41-b124-4618-8da5-4c4e50721708%40sessionmgr3&amp;bdata=JnNpdGU9ZWhvc3QtbGl2ZQ%3d%3d" TargetMode="External"/><Relationship Id="rId885" Type="http://schemas.openxmlformats.org/officeDocument/2006/relationships/hyperlink" Target="2010/Ann%20Int%20Med153,%20766.pdf" TargetMode="External"/><Relationship Id="rId1070" Type="http://schemas.openxmlformats.org/officeDocument/2006/relationships/hyperlink" Target="2014/Arb-Cie%20Pen%20Cul190,%20a191.pdf" TargetMode="External"/><Relationship Id="rId1529" Type="http://schemas.openxmlformats.org/officeDocument/2006/relationships/hyperlink" Target="2012/BJU%20Int109,%20321.pdf" TargetMode="External"/><Relationship Id="rId1736" Type="http://schemas.openxmlformats.org/officeDocument/2006/relationships/hyperlink" Target="2014/BMJ-Bri%20Med%20J349,%20g4227.pdf" TargetMode="External"/><Relationship Id="rId1943" Type="http://schemas.openxmlformats.org/officeDocument/2006/relationships/hyperlink" Target="2010/Bri%20J%20Spo%20Med44,%201186.pdf" TargetMode="External"/><Relationship Id="rId2121" Type="http://schemas.openxmlformats.org/officeDocument/2006/relationships/hyperlink" Target="1997/Bul%20Med%20Lib%20Ass85,%20284.pdf" TargetMode="External"/><Relationship Id="rId28" Type="http://schemas.openxmlformats.org/officeDocument/2006/relationships/hyperlink" Target="1998/Aca%20Med73,%201183.pdf" TargetMode="External"/><Relationship Id="rId300" Type="http://schemas.openxmlformats.org/officeDocument/2006/relationships/hyperlink" Target="http://vnweb.hwwilsonweb.com/hww/Journals/getIssues.jhtml?sid=HWW:OMNIS&amp;issn=0795-4778" TargetMode="External"/><Relationship Id="rId538" Type="http://schemas.openxmlformats.org/officeDocument/2006/relationships/hyperlink" Target="2005/Ame%20J%20Med118,%20658.pdf" TargetMode="External"/><Relationship Id="rId745" Type="http://schemas.openxmlformats.org/officeDocument/2006/relationships/hyperlink" Target="1960-80/Ana%20Che49,%20A208.pdf" TargetMode="External"/><Relationship Id="rId952" Type="http://schemas.openxmlformats.org/officeDocument/2006/relationships/hyperlink" Target="2006/Ann%20Roy%20Col%20Sur%20Eng88,%2052.pdf" TargetMode="External"/><Relationship Id="rId1168" Type="http://schemas.openxmlformats.org/officeDocument/2006/relationships/hyperlink" Target="2006/Arc%20Phy%20Med%20Reh87,%2020.pdf" TargetMode="External"/><Relationship Id="rId1375" Type="http://schemas.openxmlformats.org/officeDocument/2006/relationships/hyperlink" Target="2013/Aus%20Cri%20Car26,%20158.pdf" TargetMode="External"/><Relationship Id="rId1582" Type="http://schemas.openxmlformats.org/officeDocument/2006/relationships/hyperlink" Target="2007/BMC%20Hea%20Ser%20Res7,%2078.pdf" TargetMode="External"/><Relationship Id="rId1803" Type="http://schemas.openxmlformats.org/officeDocument/2006/relationships/hyperlink" Target="2009/Bra%20Beh%20Imm23,%20917.pdf" TargetMode="External"/><Relationship Id="rId81" Type="http://schemas.openxmlformats.org/officeDocument/2006/relationships/hyperlink" Target="2003/ACIMED11-Perezleo.pdf" TargetMode="External"/><Relationship Id="rId177" Type="http://schemas.openxmlformats.org/officeDocument/2006/relationships/hyperlink" Target="http://www.scielo.br/scielo.php/script_sci_serial/pid_0103-2100/lng_en/nrm_iso" TargetMode="External"/><Relationship Id="rId384" Type="http://schemas.openxmlformats.org/officeDocument/2006/relationships/hyperlink" Target="http://global.umi.com/pqdweb?TS=0&amp;JSEnabled=1&amp;RQT=317&amp;SK=2&amp;ScQ=000038441&amp;TS=1030080836" TargetMode="External"/><Relationship Id="rId591" Type="http://schemas.openxmlformats.org/officeDocument/2006/relationships/hyperlink" Target="2004/Ame%20J%20Pre%20Med26,%20130.pdf" TargetMode="External"/><Relationship Id="rId605" Type="http://schemas.openxmlformats.org/officeDocument/2006/relationships/hyperlink" Target="2005/Ame%20J%20Pri65,%20283.pdf" TargetMode="External"/><Relationship Id="rId812" Type="http://schemas.openxmlformats.org/officeDocument/2006/relationships/hyperlink" Target="http://www.sciencedirect.com/" TargetMode="External"/><Relationship Id="rId1028" Type="http://schemas.openxmlformats.org/officeDocument/2006/relationships/hyperlink" Target="2011/Ant%20Res89,%20156.pdf" TargetMode="External"/><Relationship Id="rId1235" Type="http://schemas.openxmlformats.org/officeDocument/2006/relationships/hyperlink" Target="2006/Arq%20Bra%20Oft69,%20719.pdf" TargetMode="External"/><Relationship Id="rId1442" Type="http://schemas.openxmlformats.org/officeDocument/2006/relationships/hyperlink" Target="2010/Bio%20Med20,%20282.pdf" TargetMode="External"/><Relationship Id="rId1887" Type="http://schemas.openxmlformats.org/officeDocument/2006/relationships/hyperlink" Target="2014/Bri%20J%20Edu%20Tec45,%20202.pdf" TargetMode="External"/><Relationship Id="rId2065" Type="http://schemas.openxmlformats.org/officeDocument/2006/relationships/hyperlink" Target="2011/Bri%20Med%20J342,%20d223.pdf" TargetMode="External"/><Relationship Id="rId244" Type="http://schemas.openxmlformats.org/officeDocument/2006/relationships/hyperlink" Target="http://www.sciencedirect.com/science/journal/0169409X" TargetMode="External"/><Relationship Id="rId689" Type="http://schemas.openxmlformats.org/officeDocument/2006/relationships/hyperlink" Target="http://www.ingentaconnect.com/content/sesc/tas" TargetMode="External"/><Relationship Id="rId896" Type="http://schemas.openxmlformats.org/officeDocument/2006/relationships/hyperlink" Target="2015/Ann%20Lab%20Med35,%20329.pdf" TargetMode="External"/><Relationship Id="rId1081" Type="http://schemas.openxmlformats.org/officeDocument/2006/relationships/hyperlink" Target="2013/Arc%20Bud9,%20273.pdf" TargetMode="External"/><Relationship Id="rId1302" Type="http://schemas.openxmlformats.org/officeDocument/2006/relationships/hyperlink" Target="2014/Asi%20Pac%20J%20Can%20Pre15,%202917.pdf" TargetMode="External"/><Relationship Id="rId1747" Type="http://schemas.openxmlformats.org/officeDocument/2006/relationships/hyperlink" Target="2013/BMJ%20Ope3,%20e002269.pdf" TargetMode="External"/><Relationship Id="rId1954" Type="http://schemas.openxmlformats.org/officeDocument/2006/relationships/hyperlink" Target="2014/Bri%20J%20Soc%20Wor44,%20469.pdf" TargetMode="External"/><Relationship Id="rId39" Type="http://schemas.openxmlformats.org/officeDocument/2006/relationships/hyperlink" Target="2010/Aca%20Med85,%201470.pdf" TargetMode="External"/><Relationship Id="rId451" Type="http://schemas.openxmlformats.org/officeDocument/2006/relationships/hyperlink" Target="1985/Ame%20J%20Epi121,%20140.pdf" TargetMode="External"/><Relationship Id="rId549" Type="http://schemas.openxmlformats.org/officeDocument/2006/relationships/hyperlink" Target="2003/Ame%20J%20Obs%20Gyn188,%201083.pdf" TargetMode="External"/><Relationship Id="rId756" Type="http://schemas.openxmlformats.org/officeDocument/2006/relationships/hyperlink" Target="1996/Ane%20Ana82,%20220.pdf" TargetMode="External"/><Relationship Id="rId1179" Type="http://schemas.openxmlformats.org/officeDocument/2006/relationships/hyperlink" Target="2011/Arc%20Phy%20Med%20Reh92,%202071.pdf" TargetMode="External"/><Relationship Id="rId1386" Type="http://schemas.openxmlformats.org/officeDocument/2006/relationships/hyperlink" Target="2009/Aus%20Lib%20J58,%20329.pdf" TargetMode="External"/><Relationship Id="rId1593" Type="http://schemas.openxmlformats.org/officeDocument/2006/relationships/hyperlink" Target="2014/BMC%20Hea%20Ser%20Res14,%2036.pdf" TargetMode="External"/><Relationship Id="rId1607" Type="http://schemas.openxmlformats.org/officeDocument/2006/relationships/hyperlink" Target="2009/BMC%20Inf%20Dis9,%2028.pdf" TargetMode="External"/><Relationship Id="rId1814" Type="http://schemas.openxmlformats.org/officeDocument/2006/relationships/hyperlink" Target="2014/Bra%20J%20Inf%20Dis18,%20196.pdf" TargetMode="External"/><Relationship Id="rId2132" Type="http://schemas.openxmlformats.org/officeDocument/2006/relationships/hyperlink" Target="1999/Bul%20Med%20Lib%20Ass87,%20277.pdf" TargetMode="External"/><Relationship Id="rId104" Type="http://schemas.openxmlformats.org/officeDocument/2006/relationships/hyperlink" Target="http://e29.cnki.net/KNS50/Navi/item.aspx?NaviID=1&amp;BaseID=ZXXB&amp;NaviLink=%e8%9b%9b%e5%bd%a2%e5%ad%a6%e6%8a%a5" TargetMode="External"/><Relationship Id="rId188" Type="http://schemas.openxmlformats.org/officeDocument/2006/relationships/hyperlink" Target="2002/Act%20Phy%20Sca174,%2087.pdf" TargetMode="External"/><Relationship Id="rId311" Type="http://schemas.openxmlformats.org/officeDocument/2006/relationships/hyperlink" Target="2005/Age%20Age34,%20107.pdf" TargetMode="External"/><Relationship Id="rId395" Type="http://schemas.openxmlformats.org/officeDocument/2006/relationships/hyperlink" Target="1960-80/Ame%20Doc16,%20179.pdf" TargetMode="External"/><Relationship Id="rId409" Type="http://schemas.openxmlformats.org/officeDocument/2006/relationships/hyperlink" Target="2014/Ame%20Hea%20J167,%201.pdf" TargetMode="External"/><Relationship Id="rId963" Type="http://schemas.openxmlformats.org/officeDocument/2006/relationships/hyperlink" Target="2008/Ann%20Sur247,%20950.pdf" TargetMode="External"/><Relationship Id="rId1039" Type="http://schemas.openxmlformats.org/officeDocument/2006/relationships/hyperlink" Target="2015/Appetite85,%2036.pdf" TargetMode="External"/><Relationship Id="rId1246" Type="http://schemas.openxmlformats.org/officeDocument/2006/relationships/hyperlink" Target="2014/Asi%20Pac%20Edu%20Rev15,%20367.pdf" TargetMode="External"/><Relationship Id="rId1898" Type="http://schemas.openxmlformats.org/officeDocument/2006/relationships/hyperlink" Target="2012/Bri%20J%20Neu26,%20258.pdf" TargetMode="External"/><Relationship Id="rId2076" Type="http://schemas.openxmlformats.org/officeDocument/2006/relationships/hyperlink" Target="2012/Bri%20Med%20J343,%20d7771.pdf" TargetMode="External"/><Relationship Id="rId92" Type="http://schemas.openxmlformats.org/officeDocument/2006/relationships/hyperlink" Target="1999/Act%20Ana%20Sca43,%20971.pdf" TargetMode="External"/><Relationship Id="rId616" Type="http://schemas.openxmlformats.org/officeDocument/2006/relationships/hyperlink" Target="2012/Ame%20J%20Psy125,%20423.pdf" TargetMode="External"/><Relationship Id="rId823" Type="http://schemas.openxmlformats.org/officeDocument/2006/relationships/hyperlink" Target="2015/Ann%20All%20Ast%20Imm114,%20273.pdf" TargetMode="External"/><Relationship Id="rId1453" Type="http://schemas.openxmlformats.org/officeDocument/2006/relationships/hyperlink" Target="2011/Bio%20Con20,%20807.pdf" TargetMode="External"/><Relationship Id="rId1660" Type="http://schemas.openxmlformats.org/officeDocument/2006/relationships/hyperlink" Target="2014/BMC%20Mus%20Dis15,%20373.pdf" TargetMode="External"/><Relationship Id="rId1758" Type="http://schemas.openxmlformats.org/officeDocument/2006/relationships/hyperlink" Target="2014/BMJ%20Ope4,%20e004843.pdf" TargetMode="External"/><Relationship Id="rId255" Type="http://schemas.openxmlformats.org/officeDocument/2006/relationships/hyperlink" Target="1998/Adv%20Cla%20Res8,%2059.pdf" TargetMode="External"/><Relationship Id="rId462" Type="http://schemas.openxmlformats.org/officeDocument/2006/relationships/hyperlink" Target="2014/Ame%20J%20Epi179,%201049.pdf" TargetMode="External"/><Relationship Id="rId1092" Type="http://schemas.openxmlformats.org/officeDocument/2006/relationships/hyperlink" Target="2010/Arc%20Der146,%20896.pdf" TargetMode="External"/><Relationship Id="rId1106" Type="http://schemas.openxmlformats.org/officeDocument/2006/relationships/hyperlink" Target="2010/Arc%20Env%20Occ%20Hea65,%20173.pdf" TargetMode="External"/><Relationship Id="rId1313" Type="http://schemas.openxmlformats.org/officeDocument/2006/relationships/hyperlink" Target="1960-80/Asl%20Pro29,%20174.pdf" TargetMode="External"/><Relationship Id="rId1397" Type="http://schemas.openxmlformats.org/officeDocument/2006/relationships/hyperlink" Target="2005/Aus%20New%20Zea%20J%20Psy39,%201051.pdf" TargetMode="External"/><Relationship Id="rId1520" Type="http://schemas.openxmlformats.org/officeDocument/2006/relationships/hyperlink" Target="2014/BJOG121,%20527.pdf" TargetMode="External"/><Relationship Id="rId1965" Type="http://schemas.openxmlformats.org/officeDocument/2006/relationships/hyperlink" Target="2010/Bri%20J%20Sur97,%20972.pdf" TargetMode="External"/><Relationship Id="rId2143" Type="http://schemas.openxmlformats.org/officeDocument/2006/relationships/hyperlink" Target="2006/Bul%20Nat%20Nat%20Sci%20Fou%20Chi20,%2035.pdf" TargetMode="External"/><Relationship Id="rId115" Type="http://schemas.openxmlformats.org/officeDocument/2006/relationships/hyperlink" Target="2002/Act%20Bot%20Cro61,%20221.pdf" TargetMode="External"/><Relationship Id="rId322" Type="http://schemas.openxmlformats.org/officeDocument/2006/relationships/hyperlink" Target="2012/Age%20Res%20Rev11,%20271.pdf" TargetMode="External"/><Relationship Id="rId767" Type="http://schemas.openxmlformats.org/officeDocument/2006/relationships/hyperlink" Target="2009/Ane%20Ana108,%20105.pdf" TargetMode="External"/><Relationship Id="rId974" Type="http://schemas.openxmlformats.org/officeDocument/2006/relationships/hyperlink" Target="2014/Ann%20Sur%20Onc21,%201082.pdf" TargetMode="External"/><Relationship Id="rId1618" Type="http://schemas.openxmlformats.org/officeDocument/2006/relationships/hyperlink" Target="2010/BMC%20Med%20Edu10,%2021.pdf" TargetMode="External"/><Relationship Id="rId1825" Type="http://schemas.openxmlformats.org/officeDocument/2006/relationships/hyperlink" Target="2007/Bra%20J%20Med%20Bio%20Res40,%201529.pdf" TargetMode="External"/><Relationship Id="rId2003" Type="http://schemas.openxmlformats.org/officeDocument/2006/relationships/hyperlink" Target="1995/Bri%20Med%20J311,%20604.pdf" TargetMode="External"/><Relationship Id="rId199" Type="http://schemas.openxmlformats.org/officeDocument/2006/relationships/hyperlink" Target="2014/Act%20Psy%20Sca129,%20241.pdf" TargetMode="External"/><Relationship Id="rId627" Type="http://schemas.openxmlformats.org/officeDocument/2006/relationships/hyperlink" Target="2013/Ame%20J%20Rhi%20All27,%20E131.pdf" TargetMode="External"/><Relationship Id="rId834" Type="http://schemas.openxmlformats.org/officeDocument/2006/relationships/hyperlink" Target="1998/Ann%20Eme%20Med32,%2051.pdf" TargetMode="External"/><Relationship Id="rId1257" Type="http://schemas.openxmlformats.org/officeDocument/2006/relationships/hyperlink" Target="2013/Asi-Pac%20J%20Pub%20Hea25,%20438.pdf" TargetMode="External"/><Relationship Id="rId1464" Type="http://schemas.openxmlformats.org/officeDocument/2006/relationships/hyperlink" Target="2010/Bio%20Inv12,%204065.pdf" TargetMode="External"/><Relationship Id="rId1671" Type="http://schemas.openxmlformats.org/officeDocument/2006/relationships/hyperlink" Target="2014/BMC%20Oph14,%2012.pdf" TargetMode="External"/><Relationship Id="rId2087" Type="http://schemas.openxmlformats.org/officeDocument/2006/relationships/hyperlink" Target="2010/Buf%20Law%20Rev58,%20267.pdf" TargetMode="External"/><Relationship Id="rId266" Type="http://schemas.openxmlformats.org/officeDocument/2006/relationships/hyperlink" Target="http://advan.physiology.org/contents-by-date.0.shtml" TargetMode="External"/><Relationship Id="rId473" Type="http://schemas.openxmlformats.org/officeDocument/2006/relationships/hyperlink" Target="2006/Ame%20J%20Gas101,%201529.pdf" TargetMode="External"/><Relationship Id="rId680" Type="http://schemas.openxmlformats.org/officeDocument/2006/relationships/hyperlink" Target="http://www.springerlink.com/content/107894/" TargetMode="External"/><Relationship Id="rId901" Type="http://schemas.openxmlformats.org/officeDocument/2006/relationships/hyperlink" Target="1994/Ann%20Lib%20Sci%20Doc41,%2013.pdf" TargetMode="External"/><Relationship Id="rId1117" Type="http://schemas.openxmlformats.org/officeDocument/2006/relationships/hyperlink" Target="2007/Arc%20Gen%20Psy64,%201123.pdf" TargetMode="External"/><Relationship Id="rId1324" Type="http://schemas.openxmlformats.org/officeDocument/2006/relationships/hyperlink" Target="2005/Asl%20Pro57,%20197.pdf" TargetMode="External"/><Relationship Id="rId1531" Type="http://schemas.openxmlformats.org/officeDocument/2006/relationships/hyperlink" Target="2012/BJU%20Int110,%201536.pdf" TargetMode="External"/><Relationship Id="rId1769" Type="http://schemas.openxmlformats.org/officeDocument/2006/relationships/hyperlink" Target="2014/BMJ%20Ope4,%20e005399.pdf" TargetMode="External"/><Relationship Id="rId1976" Type="http://schemas.openxmlformats.org/officeDocument/2006/relationships/hyperlink" Target="2014/Bri%20Med%20Bul110,%2047.pdf" TargetMode="External"/><Relationship Id="rId2154" Type="http://schemas.openxmlformats.org/officeDocument/2006/relationships/hyperlink" Target="2014/Burns40,%2030.pdf" TargetMode="External"/><Relationship Id="rId30" Type="http://schemas.openxmlformats.org/officeDocument/2006/relationships/hyperlink" Target="2001/Aca%20Med76,%20945.pdf" TargetMode="External"/><Relationship Id="rId126" Type="http://schemas.openxmlformats.org/officeDocument/2006/relationships/hyperlink" Target="1960-80/Act%20Cry%20Sec%20A36,%20475.pdf" TargetMode="External"/><Relationship Id="rId333" Type="http://schemas.openxmlformats.org/officeDocument/2006/relationships/hyperlink" Target="2012/AIDS-Nachegaa.pdf" TargetMode="External"/><Relationship Id="rId540" Type="http://schemas.openxmlformats.org/officeDocument/2006/relationships/hyperlink" Target="2011/Ame%20J%20Med124,%20841.pdf" TargetMode="External"/><Relationship Id="rId778" Type="http://schemas.openxmlformats.org/officeDocument/2006/relationships/hyperlink" Target="2000/Ang%20Ort70,%20464.pdf" TargetMode="External"/><Relationship Id="rId985" Type="http://schemas.openxmlformats.org/officeDocument/2006/relationships/hyperlink" Target="2014/Ann%20Tra19,%20436.pdf" TargetMode="External"/><Relationship Id="rId1170" Type="http://schemas.openxmlformats.org/officeDocument/2006/relationships/hyperlink" Target="2008/Arc%20Phy%20Med%20Reh89,%201169.pdf" TargetMode="External"/><Relationship Id="rId1629" Type="http://schemas.openxmlformats.org/officeDocument/2006/relationships/hyperlink" Target="2009/BMC%20Med%20Inf%20Dec%20Mak9,%207.pdf" TargetMode="External"/><Relationship Id="rId1836" Type="http://schemas.openxmlformats.org/officeDocument/2006/relationships/hyperlink" Target="2008/Bre%20Can%20Res10,%20103.pdf" TargetMode="External"/><Relationship Id="rId2014" Type="http://schemas.openxmlformats.org/officeDocument/2006/relationships/hyperlink" Target="1997/Bri%20Med%20J315,%201412.pdf" TargetMode="External"/><Relationship Id="rId638" Type="http://schemas.openxmlformats.org/officeDocument/2006/relationships/hyperlink" Target="2003/Ame%20J%20Roe181,%20907.pdf" TargetMode="External"/><Relationship Id="rId845" Type="http://schemas.openxmlformats.org/officeDocument/2006/relationships/hyperlink" Target="2014/Ann%20Epi24,%20809.pdf" TargetMode="External"/><Relationship Id="rId1030" Type="http://schemas.openxmlformats.org/officeDocument/2006/relationships/hyperlink" Target="2008/ANZ%20J%20Sur78,%20439.pdf" TargetMode="External"/><Relationship Id="rId1268" Type="http://schemas.openxmlformats.org/officeDocument/2006/relationships/hyperlink" Target="2015/Aut%20Rev14,%20446.pdf" TargetMode="External"/><Relationship Id="rId1475" Type="http://schemas.openxmlformats.org/officeDocument/2006/relationships/hyperlink" Target="2014/Bio%20Res%20Int,%20643685.pdf" TargetMode="External"/><Relationship Id="rId1682" Type="http://schemas.openxmlformats.org/officeDocument/2006/relationships/hyperlink" Target="2014/BMC%20Pre%20Chi14,%20411.pdf" TargetMode="External"/><Relationship Id="rId1903" Type="http://schemas.openxmlformats.org/officeDocument/2006/relationships/hyperlink" Target="2004/Bri%20J%20Nut92,%201.pdf" TargetMode="External"/><Relationship Id="rId2098" Type="http://schemas.openxmlformats.org/officeDocument/2006/relationships/hyperlink" Target="-1959/Bul%20Med%20Lib%20Ass45,%20114.pdf" TargetMode="External"/><Relationship Id="rId277" Type="http://schemas.openxmlformats.org/officeDocument/2006/relationships/hyperlink" Target="2014/Aes%20Sur%20J34,%2022.pdf" TargetMode="External"/><Relationship Id="rId400" Type="http://schemas.openxmlformats.org/officeDocument/2006/relationships/hyperlink" Target="2010/Ame%20Fam%20Phy82,%20763.pdf" TargetMode="External"/><Relationship Id="rId484" Type="http://schemas.openxmlformats.org/officeDocument/2006/relationships/hyperlink" Target="2003/Ame%20J%20Hea%20Pro17,%20304.pdf" TargetMode="External"/><Relationship Id="rId705" Type="http://schemas.openxmlformats.org/officeDocument/2006/relationships/hyperlink" Target="2004/Anesthesia59,%20831.pdf" TargetMode="External"/><Relationship Id="rId1128" Type="http://schemas.openxmlformats.org/officeDocument/2006/relationships/hyperlink" Target="2013/Arc%20Gyn%20Obs288,%20655.pdf" TargetMode="External"/><Relationship Id="rId1335" Type="http://schemas.openxmlformats.org/officeDocument/2006/relationships/hyperlink" Target="2011/Asl%20Pro63,%205.pdf" TargetMode="External"/><Relationship Id="rId1542" Type="http://schemas.openxmlformats.org/officeDocument/2006/relationships/hyperlink" Target="2011/BMC%20Can11,%2096.pdf" TargetMode="External"/><Relationship Id="rId1987" Type="http://schemas.openxmlformats.org/officeDocument/2006/relationships/hyperlink" Target="1992/Bri%20Med%20J305,%20420.pdf" TargetMode="External"/><Relationship Id="rId2165" Type="http://schemas.openxmlformats.org/officeDocument/2006/relationships/hyperlink" Target="2006/Bus%20Soc45,%207.pdf" TargetMode="External"/><Relationship Id="rId137" Type="http://schemas.openxmlformats.org/officeDocument/2006/relationships/hyperlink" Target="2014/Act%20Hae131,%20114.pdf" TargetMode="External"/><Relationship Id="rId344" Type="http://schemas.openxmlformats.org/officeDocument/2006/relationships/hyperlink" Target="2010/AID%20Rev12,%2076.pdf" TargetMode="External"/><Relationship Id="rId691" Type="http://schemas.openxmlformats.org/officeDocument/2006/relationships/hyperlink" Target="2014/Ame%20Sur80,%2049.pdf" TargetMode="External"/><Relationship Id="rId789" Type="http://schemas.openxmlformats.org/officeDocument/2006/relationships/hyperlink" Target="2013/Ang%20Ort83,%20491.pdf" TargetMode="External"/><Relationship Id="rId912" Type="http://schemas.openxmlformats.org/officeDocument/2006/relationships/hyperlink" Target="2015/Ann%20Non%20Ele20,%20108.pdf" TargetMode="External"/><Relationship Id="rId996" Type="http://schemas.openxmlformats.org/officeDocument/2006/relationships/hyperlink" Target="2003/AMIA%20Ann%20Sym%20Pro03,%201024.pdf" TargetMode="External"/><Relationship Id="rId1847" Type="http://schemas.openxmlformats.org/officeDocument/2006/relationships/hyperlink" Target="2014/Bre%20Can%20Res%20Tre147,%20463.pdf" TargetMode="External"/><Relationship Id="rId2025" Type="http://schemas.openxmlformats.org/officeDocument/2006/relationships/hyperlink" Target="2001/Bri%20Med%20J323,%201461.pdf" TargetMode="External"/><Relationship Id="rId41" Type="http://schemas.openxmlformats.org/officeDocument/2006/relationships/hyperlink" Target="2013/Aca%20Med88,%20421.pdf" TargetMode="External"/><Relationship Id="rId551" Type="http://schemas.openxmlformats.org/officeDocument/2006/relationships/hyperlink" Target="2011/Ame%20J%20Obs%20Gyn204,%20E12.pdf" TargetMode="External"/><Relationship Id="rId649" Type="http://schemas.openxmlformats.org/officeDocument/2006/relationships/hyperlink" Target="2014/Ame%20J%20Sur208,%20841.pdf" TargetMode="External"/><Relationship Id="rId856" Type="http://schemas.openxmlformats.org/officeDocument/2006/relationships/hyperlink" Target="1984/Ann%20Int%20Med104,%20269.pdf" TargetMode="External"/><Relationship Id="rId1181" Type="http://schemas.openxmlformats.org/officeDocument/2006/relationships/hyperlink" Target="2014/Arc%20Phy%20Med%20Reh95,%20968.pdf" TargetMode="External"/><Relationship Id="rId1279" Type="http://schemas.openxmlformats.org/officeDocument/2006/relationships/hyperlink" Target="http://www.apocpcontrol.org/page/apjcp_issues.php" TargetMode="External"/><Relationship Id="rId1402" Type="http://schemas.openxmlformats.org/officeDocument/2006/relationships/hyperlink" Target="2011/Aus%20New%20Zea%20J%20Psy45,%20444.pdf" TargetMode="External"/><Relationship Id="rId1486" Type="http://schemas.openxmlformats.org/officeDocument/2006/relationships/hyperlink" Target="2015/Bio%20Res%20Int,%20650138.pdf" TargetMode="External"/><Relationship Id="rId1707" Type="http://schemas.openxmlformats.org/officeDocument/2006/relationships/hyperlink" Target="2012/BMC%20Pub%20Hea12,%20980.pdf" TargetMode="External"/><Relationship Id="rId190" Type="http://schemas.openxmlformats.org/officeDocument/2006/relationships/hyperlink" Target="http://www.blackwell-synergy.com/servlet/useragent?func=showIssues&amp;code=acp" TargetMode="External"/><Relationship Id="rId204" Type="http://schemas.openxmlformats.org/officeDocument/2006/relationships/hyperlink" Target="2007/Act%20Sci%20Nat%20Uni%20Pek43,%20723.pdf" TargetMode="External"/><Relationship Id="rId288" Type="http://schemas.openxmlformats.org/officeDocument/2006/relationships/hyperlink" Target="http://www.academicjournals.org/ajbm/Archive.htm" TargetMode="External"/><Relationship Id="rId411" Type="http://schemas.openxmlformats.org/officeDocument/2006/relationships/hyperlink" Target="1988/Ame%20J%20Agr%20Eco70,%20403.pdf" TargetMode="External"/><Relationship Id="rId509" Type="http://schemas.openxmlformats.org/officeDocument/2006/relationships/hyperlink" Target="-1959/Ame%20J%20Hyg8,%20875.pdf" TargetMode="External"/><Relationship Id="rId1041" Type="http://schemas.openxmlformats.org/officeDocument/2006/relationships/hyperlink" Target="2014/App%20Eco%20Env%20Res12,%20355.pdf" TargetMode="External"/><Relationship Id="rId1139" Type="http://schemas.openxmlformats.org/officeDocument/2006/relationships/hyperlink" Target="2012/Arc%20Int%20Med172,%20101.pdf" TargetMode="External"/><Relationship Id="rId1346" Type="http://schemas.openxmlformats.org/officeDocument/2006/relationships/hyperlink" Target="2001/Assessment8,%20339.pdf" TargetMode="External"/><Relationship Id="rId1693" Type="http://schemas.openxmlformats.org/officeDocument/2006/relationships/hyperlink" Target="2006/BMC%20Pub%20Hea6,%20221.pdf" TargetMode="External"/><Relationship Id="rId1914" Type="http://schemas.openxmlformats.org/officeDocument/2006/relationships/hyperlink" Target="2007/Bri%20J%20Phi%20Sci58,%20409.pdf" TargetMode="External"/><Relationship Id="rId1998" Type="http://schemas.openxmlformats.org/officeDocument/2006/relationships/hyperlink" Target="1994/Bri%20Med%20J309,%201456.pdf" TargetMode="External"/><Relationship Id="rId495" Type="http://schemas.openxmlformats.org/officeDocument/2006/relationships/hyperlink" Target="../HO-reference/2012/Ame%20J%20Hem87,%20175.pdf" TargetMode="External"/><Relationship Id="rId716" Type="http://schemas.openxmlformats.org/officeDocument/2006/relationships/hyperlink" Target="2014/Anesthesia69,%208.pdf" TargetMode="External"/><Relationship Id="rId923" Type="http://schemas.openxmlformats.org/officeDocument/2006/relationships/hyperlink" Target="2013/Ann%20Onc24,%202274.pdf" TargetMode="External"/><Relationship Id="rId1553" Type="http://schemas.openxmlformats.org/officeDocument/2006/relationships/hyperlink" Target="2014/BMC%20Can14,%20950.pdf" TargetMode="External"/><Relationship Id="rId1760" Type="http://schemas.openxmlformats.org/officeDocument/2006/relationships/hyperlink" Target="2014/BMJ%20Ope4,%20e005202.pdf" TargetMode="External"/><Relationship Id="rId1858" Type="http://schemas.openxmlformats.org/officeDocument/2006/relationships/hyperlink" Target="2010/Bri%20J%20Ana105,%20386.pdf" TargetMode="External"/><Relationship Id="rId52" Type="http://schemas.openxmlformats.org/officeDocument/2006/relationships/hyperlink" Target="http://proquest.umi.com/pqdweb?TS=0&amp;JSEnabled=1&amp;RQT=317&amp;SK=2&amp;ScQ=000024476&amp;TS=1029995676" TargetMode="External"/><Relationship Id="rId148" Type="http://schemas.openxmlformats.org/officeDocument/2006/relationships/hyperlink" Target="2005/Act%20Obs%20Gyn%20Sca84,%20611.pdf" TargetMode="External"/><Relationship Id="rId355" Type="http://schemas.openxmlformats.org/officeDocument/2006/relationships/hyperlink" Target="2013/Alc-Cli%20Exp%20Res37,%20E381.pdf" TargetMode="External"/><Relationship Id="rId562" Type="http://schemas.openxmlformats.org/officeDocument/2006/relationships/hyperlink" Target="2011/Ame%20J%20Occ%20The65,%20346.pdf" TargetMode="External"/><Relationship Id="rId1192" Type="http://schemas.openxmlformats.org/officeDocument/2006/relationships/hyperlink" Target="2005/Arc%20Bro41,%2078.pdf" TargetMode="External"/><Relationship Id="rId1206" Type="http://schemas.openxmlformats.org/officeDocument/2006/relationships/hyperlink" Target="2009/Arc%20Imm%20The%20Exp57,%2013.pdf" TargetMode="External"/><Relationship Id="rId1413" Type="http://schemas.openxmlformats.org/officeDocument/2006/relationships/hyperlink" Target="2000/ANZ%20J%20Sur70,%20870.pdf" TargetMode="External"/><Relationship Id="rId1620" Type="http://schemas.openxmlformats.org/officeDocument/2006/relationships/hyperlink" Target="2014/BMC%20Med%20Edu14,%20152.pdf" TargetMode="External"/><Relationship Id="rId2036" Type="http://schemas.openxmlformats.org/officeDocument/2006/relationships/hyperlink" Target="2004/Bri%20Med%20J328,%201166.pdf" TargetMode="External"/><Relationship Id="rId215" Type="http://schemas.openxmlformats.org/officeDocument/2006/relationships/hyperlink" Target="2006/Act%20Tro99,%20155.pdf" TargetMode="External"/><Relationship Id="rId422" Type="http://schemas.openxmlformats.org/officeDocument/2006/relationships/hyperlink" Target="2014/Ame%20J%20Car113,%20731.pdf" TargetMode="External"/><Relationship Id="rId867" Type="http://schemas.openxmlformats.org/officeDocument/2006/relationships/hyperlink" Target="2008/Ann%20Int%20Med148,%20111.pdf" TargetMode="External"/><Relationship Id="rId1052" Type="http://schemas.openxmlformats.org/officeDocument/2006/relationships/hyperlink" Target="2011/App%20Ene88,%204229.pdf" TargetMode="External"/><Relationship Id="rId1497" Type="http://schemas.openxmlformats.org/officeDocument/2006/relationships/hyperlink" Target="http://www.biopolymers.org.ua/" TargetMode="External"/><Relationship Id="rId1718" Type="http://schemas.openxmlformats.org/officeDocument/2006/relationships/hyperlink" Target="2014/BMC%20Pub%20Hea14,%20522.pdf" TargetMode="External"/><Relationship Id="rId1925" Type="http://schemas.openxmlformats.org/officeDocument/2006/relationships/hyperlink" Target="2003/Bri%20J%20Psy182,%20148.pdf" TargetMode="External"/><Relationship Id="rId2103" Type="http://schemas.openxmlformats.org/officeDocument/2006/relationships/hyperlink" Target="1960-80/Bul%20Med%20Lib%20Ass54,%20108.pdf" TargetMode="External"/><Relationship Id="rId299" Type="http://schemas.openxmlformats.org/officeDocument/2006/relationships/hyperlink" Target="2011/Afr%20J%20Bus%20Man5,%209137.pdf" TargetMode="External"/><Relationship Id="rId727" Type="http://schemas.openxmlformats.org/officeDocument/2006/relationships/hyperlink" Target="2008/Ana%20Aca%20Bra%20Cie80,%20771.pdf" TargetMode="External"/><Relationship Id="rId934" Type="http://schemas.openxmlformats.org/officeDocument/2006/relationships/hyperlink" Target="2013/Ann%20Pha47,%2090.pdf" TargetMode="External"/><Relationship Id="rId1357" Type="http://schemas.openxmlformats.org/officeDocument/2006/relationships/hyperlink" Target="2014/Atherosclerosis236,%20338.pdf" TargetMode="External"/><Relationship Id="rId1564" Type="http://schemas.openxmlformats.org/officeDocument/2006/relationships/hyperlink" Target="2006/BMC%20Hea%20Ser%20Res6,%2082.pdf" TargetMode="External"/><Relationship Id="rId1771" Type="http://schemas.openxmlformats.org/officeDocument/2006/relationships/hyperlink" Target="2014/BMJ%20Ope4,%20e005696.pdf" TargetMode="External"/><Relationship Id="rId63" Type="http://schemas.openxmlformats.org/officeDocument/2006/relationships/hyperlink" Target="2009/Acc%20Res%20Pol%20Qua%20Ass16,%20127.pdf" TargetMode="External"/><Relationship Id="rId159" Type="http://schemas.openxmlformats.org/officeDocument/2006/relationships/hyperlink" Target="2011/Act%20Oec61,%20441.pdf" TargetMode="External"/><Relationship Id="rId366" Type="http://schemas.openxmlformats.org/officeDocument/2006/relationships/hyperlink" Target="2012/Ali%20Pha%20The35,%20690.pdf" TargetMode="External"/><Relationship Id="rId573" Type="http://schemas.openxmlformats.org/officeDocument/2006/relationships/hyperlink" Target="2006/Ame%20J%20Ort%20Den%20Ort130,%20516.pdf" TargetMode="External"/><Relationship Id="rId780" Type="http://schemas.openxmlformats.org/officeDocument/2006/relationships/hyperlink" Target="2006/Ang%20Ort76,%20876.pdf" TargetMode="External"/><Relationship Id="rId1217" Type="http://schemas.openxmlformats.org/officeDocument/2006/relationships/hyperlink" Target="http://www.scielo.br/scielo.php?script=sci_serial&amp;pid=0066-782X&amp;lng=en&amp;nrm=iso" TargetMode="External"/><Relationship Id="rId1424" Type="http://schemas.openxmlformats.org/officeDocument/2006/relationships/hyperlink" Target="2005/Bas%20Cli%20Pha%20Tox97,%20261.pdf" TargetMode="External"/><Relationship Id="rId1631" Type="http://schemas.openxmlformats.org/officeDocument/2006/relationships/hyperlink" Target="2013/BMC%20Med%20Inf%20Dec%20Mak13,%207.pdf" TargetMode="External"/><Relationship Id="rId1869" Type="http://schemas.openxmlformats.org/officeDocument/2006/relationships/hyperlink" Target="2011/Bri%20J%20Can104,%201440.pdf" TargetMode="External"/><Relationship Id="rId2047" Type="http://schemas.openxmlformats.org/officeDocument/2006/relationships/hyperlink" Target="2008/Bri%20Med%20J336,%20655.pdf" TargetMode="External"/><Relationship Id="rId226" Type="http://schemas.openxmlformats.org/officeDocument/2006/relationships/hyperlink" Target="2001/Ada%20Phy%20Act%20Qua18,%20434.pdf" TargetMode="External"/><Relationship Id="rId433" Type="http://schemas.openxmlformats.org/officeDocument/2006/relationships/hyperlink" Target="2003/Ame%20J%20Cli%20Nut77,%201052S.pdf" TargetMode="External"/><Relationship Id="rId878" Type="http://schemas.openxmlformats.org/officeDocument/2006/relationships/hyperlink" Target="2010/Ann%20Int%20Med153,%20112.pdf" TargetMode="External"/><Relationship Id="rId1063" Type="http://schemas.openxmlformats.org/officeDocument/2006/relationships/hyperlink" Target="1960-80/App%20Sta13,%2057.pdf" TargetMode="External"/><Relationship Id="rId1270" Type="http://schemas.openxmlformats.org/officeDocument/2006/relationships/hyperlink" Target="2011/Asi%20J%20Che-Khan.pdf" TargetMode="External"/><Relationship Id="rId1729" Type="http://schemas.openxmlformats.org/officeDocument/2006/relationships/hyperlink" Target="2013/BMC%20Sur13,%2053.pdf" TargetMode="External"/><Relationship Id="rId1936" Type="http://schemas.openxmlformats.org/officeDocument/2006/relationships/hyperlink" Target="2010/Bri%20J%20Rad83,%2093.pdf" TargetMode="External"/><Relationship Id="rId2114" Type="http://schemas.openxmlformats.org/officeDocument/2006/relationships/hyperlink" Target="1996/Bul%20Med%20Lib%20Ass84,%20200.pdf" TargetMode="External"/><Relationship Id="rId640" Type="http://schemas.openxmlformats.org/officeDocument/2006/relationships/hyperlink" Target="2006/Ame%20J%20Roe186,%203.pdf" TargetMode="External"/><Relationship Id="rId738" Type="http://schemas.openxmlformats.org/officeDocument/2006/relationships/hyperlink" Target="2004/Ana%20Chi%20Act505,%203.pdf" TargetMode="External"/><Relationship Id="rId945" Type="http://schemas.openxmlformats.org/officeDocument/2006/relationships/hyperlink" Target="2013/Ann%20Pla%20Sur71,%20103.pdf" TargetMode="External"/><Relationship Id="rId1368" Type="http://schemas.openxmlformats.org/officeDocument/2006/relationships/hyperlink" Target="2010/Aus%20Phy%20Eng%20Sci%20Med33,%20299.pdf" TargetMode="External"/><Relationship Id="rId1575" Type="http://schemas.openxmlformats.org/officeDocument/2006/relationships/hyperlink" Target="2014/BMC%20Hea%20Ser%20Res14,%20170.pdf" TargetMode="External"/><Relationship Id="rId1782" Type="http://schemas.openxmlformats.org/officeDocument/2006/relationships/hyperlink" Target="2013/Bol%20Aso%20Geo%20Esp63,%20535.pdf" TargetMode="External"/><Relationship Id="rId74" Type="http://schemas.openxmlformats.org/officeDocument/2006/relationships/hyperlink" Target="2001/ACIMED9,%20201.pdf" TargetMode="External"/><Relationship Id="rId377" Type="http://schemas.openxmlformats.org/officeDocument/2006/relationships/hyperlink" Target="2007/Allergy62,%20830.pdf" TargetMode="External"/><Relationship Id="rId500" Type="http://schemas.openxmlformats.org/officeDocument/2006/relationships/hyperlink" Target="2003/Ame%20J%20Hum%20Bio15,%20440.pdf" TargetMode="External"/><Relationship Id="rId584" Type="http://schemas.openxmlformats.org/officeDocument/2006/relationships/hyperlink" Target="2015/Ame%20J%20Phy%20Med%20Reh94,%20358.pdf" TargetMode="External"/><Relationship Id="rId805" Type="http://schemas.openxmlformats.org/officeDocument/2006/relationships/hyperlink" Target="2010/Ann%20Phy522,%20536.pdf" TargetMode="External"/><Relationship Id="rId1130" Type="http://schemas.openxmlformats.org/officeDocument/2006/relationships/hyperlink" Target="2015/Arc%20Gyn%20Obs291,%20611.pdf" TargetMode="External"/><Relationship Id="rId1228" Type="http://schemas.openxmlformats.org/officeDocument/2006/relationships/hyperlink" Target="2014/Arq%20Bra%20Car102,%20E21.pdf" TargetMode="External"/><Relationship Id="rId1435" Type="http://schemas.openxmlformats.org/officeDocument/2006/relationships/hyperlink" Target="2007/Bibliometric%20indicators.pdf" TargetMode="External"/><Relationship Id="rId2058" Type="http://schemas.openxmlformats.org/officeDocument/2006/relationships/hyperlink" Target="2010/Bri%20Med%20J340,%20c467.pdf" TargetMode="External"/><Relationship Id="rId5" Type="http://schemas.openxmlformats.org/officeDocument/2006/relationships/settings" Target="settings.xml"/><Relationship Id="rId237" Type="http://schemas.openxmlformats.org/officeDocument/2006/relationships/hyperlink" Target="2015/Addiction110,%20761.pdf" TargetMode="External"/><Relationship Id="rId791" Type="http://schemas.openxmlformats.org/officeDocument/2006/relationships/hyperlink" Target="2014/Ang%20Ort84,%20397.pdf" TargetMode="External"/><Relationship Id="rId889" Type="http://schemas.openxmlformats.org/officeDocument/2006/relationships/hyperlink" Target="2013/Ann%20Int%20Med159,%20677.pdf" TargetMode="External"/><Relationship Id="rId1074" Type="http://schemas.openxmlformats.org/officeDocument/2006/relationships/hyperlink" Target="2006/Arc%20And52,%20433.pdf" TargetMode="External"/><Relationship Id="rId1642" Type="http://schemas.openxmlformats.org/officeDocument/2006/relationships/hyperlink" Target="2014/BMC%20Med%20Res%20Met14,%2073.pdf" TargetMode="External"/><Relationship Id="rId1947" Type="http://schemas.openxmlformats.org/officeDocument/2006/relationships/hyperlink" Target="2012/Bri%20J%20Spo%20Med46,%20174.pdf" TargetMode="External"/><Relationship Id="rId444" Type="http://schemas.openxmlformats.org/officeDocument/2006/relationships/hyperlink" Target="2012/Ame%20J%20Eco%20Soc71,%201143.pdf" TargetMode="External"/><Relationship Id="rId651" Type="http://schemas.openxmlformats.org/officeDocument/2006/relationships/hyperlink" Target="http://ovidsp.uk.ovid.com/sp-2.3/ovidweb.cgi?QS2=434f4e1a73d37e8c55ee654abafc9a936733407cbee9e50245056a0f390ad7183f7405c82794ce46a3974eaf386883fe836b4fec070951fd2286480f0ebfbeb91971934474d86b064a9598a6771b1c33fcfe37368a81ebb6062b05f24e1c973999a98e80ee08c5b" TargetMode="External"/><Relationship Id="rId749" Type="http://schemas.openxmlformats.org/officeDocument/2006/relationships/hyperlink" Target="2002/Ana%20Che74,%20477A.pdf" TargetMode="External"/><Relationship Id="rId1281" Type="http://schemas.openxmlformats.org/officeDocument/2006/relationships/hyperlink" Target="2011/Asi%20Pac%20J%20Can%20Pre12,%20861.pdf" TargetMode="External"/><Relationship Id="rId1379" Type="http://schemas.openxmlformats.org/officeDocument/2006/relationships/hyperlink" Target="2012/Aus%20Edu%20Res39,%20221.pdf" TargetMode="External"/><Relationship Id="rId1502" Type="http://schemas.openxmlformats.org/officeDocument/2006/relationships/hyperlink" Target="2011/Bio%20Agr%20Soc%20Env15,%20101.pdf" TargetMode="External"/><Relationship Id="rId1586" Type="http://schemas.openxmlformats.org/officeDocument/2006/relationships/hyperlink" Target="2010/BMC%20Hea%20Ser%20Res10,%20247.pdf" TargetMode="External"/><Relationship Id="rId1807" Type="http://schemas.openxmlformats.org/officeDocument/2006/relationships/hyperlink" Target="1996/Bra%20Lan75,%20465.pdf" TargetMode="External"/><Relationship Id="rId2125" Type="http://schemas.openxmlformats.org/officeDocument/2006/relationships/hyperlink" Target="1997/Bul%20Med%20Lib%20Ass85,%20418.pdf" TargetMode="External"/><Relationship Id="rId290" Type="http://schemas.openxmlformats.org/officeDocument/2006/relationships/hyperlink" Target="2010/Afr%20J%20Bus%20Man4,%203898.pdf" TargetMode="External"/><Relationship Id="rId304" Type="http://schemas.openxmlformats.org/officeDocument/2006/relationships/hyperlink" Target="2010/Afr%20J%20Lib%20Arc%20Inf%20Sci20,%2041.pdf" TargetMode="External"/><Relationship Id="rId388" Type="http://schemas.openxmlformats.org/officeDocument/2006/relationships/hyperlink" Target="1960-80/Ame%20Beh%20Sci10,%2029.pdf" TargetMode="External"/><Relationship Id="rId511" Type="http://schemas.openxmlformats.org/officeDocument/2006/relationships/hyperlink" Target="2010/Ame%20J%20Hyp23,%20460.pdf" TargetMode="External"/><Relationship Id="rId609" Type="http://schemas.openxmlformats.org/officeDocument/2006/relationships/hyperlink" Target="http://infotrac.galegroup.com/itw/infomark/0/1/1/purl=rc18_EAIM_0__jn+%22American+Journal+of+Psychology%22?sw_aep=jrycal5" TargetMode="External"/><Relationship Id="rId956" Type="http://schemas.openxmlformats.org/officeDocument/2006/relationships/hyperlink" Target="http://www.saudiannals.net/backissues.asp" TargetMode="External"/><Relationship Id="rId1141" Type="http://schemas.openxmlformats.org/officeDocument/2006/relationships/hyperlink" Target="2010/Arc%20Ira%20Med13,%20313.pdf" TargetMode="External"/><Relationship Id="rId1239" Type="http://schemas.openxmlformats.org/officeDocument/2006/relationships/hyperlink" Target="2011/Art%20Res%20The13,%20R28.pdf" TargetMode="External"/><Relationship Id="rId1793" Type="http://schemas.openxmlformats.org/officeDocument/2006/relationships/hyperlink" Target="2014/Bone64,%20288.pdf" TargetMode="External"/><Relationship Id="rId2069" Type="http://schemas.openxmlformats.org/officeDocument/2006/relationships/hyperlink" Target="2011/Bri%20Med%20J342,%20d2600.pdf" TargetMode="External"/><Relationship Id="rId85" Type="http://schemas.openxmlformats.org/officeDocument/2006/relationships/hyperlink" Target="http://e42.cnki.net/KNS50/Navi/item.aspx?NaviID=1&amp;BaseID=ZJNB&amp;NaviLink=%e6%b5%99%e6%b1%9f%e5%86%9c%e4%b8%9a%e5%ad%a6%e6%8a%a5" TargetMode="External"/><Relationship Id="rId150" Type="http://schemas.openxmlformats.org/officeDocument/2006/relationships/hyperlink" Target="2009/Act%20Obs%20Gyn%20Sca88,%201190.pdf" TargetMode="External"/><Relationship Id="rId595" Type="http://schemas.openxmlformats.org/officeDocument/2006/relationships/hyperlink" Target="2009/Ame%20J%20Pre%20Med36,%20S34.pdf" TargetMode="External"/><Relationship Id="rId816" Type="http://schemas.openxmlformats.org/officeDocument/2006/relationships/hyperlink" Target="2000/Ann%20His%20Rev%20Fra320,%20183.pdf" TargetMode="External"/><Relationship Id="rId1001" Type="http://schemas.openxmlformats.org/officeDocument/2006/relationships/hyperlink" Target="1991/Ant%20Age%20Che35,%201933.pdf" TargetMode="External"/><Relationship Id="rId1446" Type="http://schemas.openxmlformats.org/officeDocument/2006/relationships/hyperlink" Target="2010/Bio%20Med20,%20307.pdf" TargetMode="External"/><Relationship Id="rId1653" Type="http://schemas.openxmlformats.org/officeDocument/2006/relationships/hyperlink" Target="2015/BMC%20Med13,%20111.pdf" TargetMode="External"/><Relationship Id="rId1860" Type="http://schemas.openxmlformats.org/officeDocument/2006/relationships/hyperlink" Target="2011/Bri%20J%20Ana106,%20325.pdf" TargetMode="External"/><Relationship Id="rId248" Type="http://schemas.openxmlformats.org/officeDocument/2006/relationships/hyperlink" Target="1996/Adv%20Mat8,%20201.pdf" TargetMode="External"/><Relationship Id="rId455" Type="http://schemas.openxmlformats.org/officeDocument/2006/relationships/hyperlink" Target="2005/Ame%20J%20Epi161,%20494.pdf" TargetMode="External"/><Relationship Id="rId662" Type="http://schemas.openxmlformats.org/officeDocument/2006/relationships/hyperlink" Target="1960-80/Ame%20Psy34,%20725.pdf" TargetMode="External"/><Relationship Id="rId1085" Type="http://schemas.openxmlformats.org/officeDocument/2006/relationships/hyperlink" Target="1997/Arc%20Der133,%2021.pdf" TargetMode="External"/><Relationship Id="rId1292" Type="http://schemas.openxmlformats.org/officeDocument/2006/relationships/hyperlink" Target="2013/Asi%20Pac%20J%20Can%20Pre14,%207203.pdf" TargetMode="External"/><Relationship Id="rId1306" Type="http://schemas.openxmlformats.org/officeDocument/2006/relationships/hyperlink" Target="2014/Asl%20J%20Inf%20Man66,%2038.pdf" TargetMode="External"/><Relationship Id="rId1513" Type="http://schemas.openxmlformats.org/officeDocument/2006/relationships/hyperlink" Target="2001/Bir-Iss%20Per%20Car28,%20166.pdf" TargetMode="External"/><Relationship Id="rId1720" Type="http://schemas.openxmlformats.org/officeDocument/2006/relationships/hyperlink" Target="2014/BMC%20Pub%20Hea14,%20616.pdf" TargetMode="External"/><Relationship Id="rId1958" Type="http://schemas.openxmlformats.org/officeDocument/2006/relationships/hyperlink" Target="2006/Bri%20J%20Sur93,%20674.pdf" TargetMode="External"/><Relationship Id="rId2136" Type="http://schemas.openxmlformats.org/officeDocument/2006/relationships/hyperlink" Target="1999/Bul%20Med%20Lib%20Ass87,%20298.pdf" TargetMode="External"/><Relationship Id="rId12" Type="http://schemas.openxmlformats.org/officeDocument/2006/relationships/hyperlink" Target="http://global.umi.com/pqdweb?TS=0&amp;JSEnabled=1&amp;RQT=317&amp;SK=2&amp;ScQ=000046162&amp;TS=1047692192" TargetMode="External"/><Relationship Id="rId108" Type="http://schemas.openxmlformats.org/officeDocument/2006/relationships/hyperlink" Target="2011/Act%20Bio17,%20105.pdf" TargetMode="External"/><Relationship Id="rId315" Type="http://schemas.openxmlformats.org/officeDocument/2006/relationships/hyperlink" Target="2010/Age%20Age39,%20169.pdf" TargetMode="External"/><Relationship Id="rId522" Type="http://schemas.openxmlformats.org/officeDocument/2006/relationships/hyperlink" Target="2011/Ame%20J%20Man%20Car17,%20E449.pdf" TargetMode="External"/><Relationship Id="rId967" Type="http://schemas.openxmlformats.org/officeDocument/2006/relationships/hyperlink" Target="2011/Ann%20Sur253,%20900.pdf" TargetMode="External"/><Relationship Id="rId1152" Type="http://schemas.openxmlformats.org/officeDocument/2006/relationships/hyperlink" Target="2008/Arc%20Oph126,%20874.pdf" TargetMode="External"/><Relationship Id="rId1597" Type="http://schemas.openxmlformats.org/officeDocument/2006/relationships/hyperlink" Target="2014/BMC%20Hea%20Ser%20Res14,%20325.pdf" TargetMode="External"/><Relationship Id="rId1818" Type="http://schemas.openxmlformats.org/officeDocument/2006/relationships/hyperlink" Target="2003/Bra%20J%20Med%20Bio%20Res36,%201605.pdf" TargetMode="External"/><Relationship Id="rId96" Type="http://schemas.openxmlformats.org/officeDocument/2006/relationships/hyperlink" Target="2003/Act%20Ana%20Sca47,%20378.pdf" TargetMode="External"/><Relationship Id="rId161" Type="http://schemas.openxmlformats.org/officeDocument/2006/relationships/hyperlink" Target="2008/Act%20Onc47,%20176.pdf" TargetMode="External"/><Relationship Id="rId399" Type="http://schemas.openxmlformats.org/officeDocument/2006/relationships/hyperlink" Target="http://www.aafp.org/online/en/home/publications/journals/afp/afpsearch.html" TargetMode="External"/><Relationship Id="rId827" Type="http://schemas.openxmlformats.org/officeDocument/2006/relationships/hyperlink" Target="http://www.blackwell-synergy.com/loi/aab" TargetMode="External"/><Relationship Id="rId1012" Type="http://schemas.openxmlformats.org/officeDocument/2006/relationships/hyperlink" Target="1996/Ant%20Age%20Che40,%202054.pdf" TargetMode="External"/><Relationship Id="rId1457" Type="http://schemas.openxmlformats.org/officeDocument/2006/relationships/hyperlink" Target="http://onlinelibrary.wiley.com/journal/10.1002/(ISSN)1521-1878/issues" TargetMode="External"/><Relationship Id="rId1664" Type="http://schemas.openxmlformats.org/officeDocument/2006/relationships/hyperlink" Target="2014/BMC%20Nep15,%20122.pdf" TargetMode="External"/><Relationship Id="rId1871" Type="http://schemas.openxmlformats.org/officeDocument/2006/relationships/hyperlink" Target="2014/Bri%20J%20Can110,%20802.pdf" TargetMode="External"/><Relationship Id="rId259" Type="http://schemas.openxmlformats.org/officeDocument/2006/relationships/hyperlink" Target="http://weblinks3.epnet.com/authHjafDetail.asp?tb=1&amp;_ua=bo+B%5F+db+pbhjnh+bt+ID++ACR+3FE1&amp;_ug=sid+2730F771%2D4B76%2D462A%2DABA0%2DEC5FC2F0FEC2%40sessionmgr2+dbs+pbh+0329&amp;_us=hd+True+sm+ES+4DBA&amp;_uso=st%5B0+%2DID++ACR+tg%5B0+%2D+db%5B0+%2Dpbh+op%5B0+" TargetMode="External"/><Relationship Id="rId466" Type="http://schemas.openxmlformats.org/officeDocument/2006/relationships/hyperlink" Target="2010/Ame%20J%20Eva31,%2066.pdf" TargetMode="External"/><Relationship Id="rId673" Type="http://schemas.openxmlformats.org/officeDocument/2006/relationships/hyperlink" Target="2010/Ame%20Psy65,%20660.pdf" TargetMode="External"/><Relationship Id="rId880" Type="http://schemas.openxmlformats.org/officeDocument/2006/relationships/hyperlink" Target="2010/Ann%20Int%20Med153,%20592.pdf" TargetMode="External"/><Relationship Id="rId1096" Type="http://schemas.openxmlformats.org/officeDocument/2006/relationships/hyperlink" Target="2008/Arc%20Dis%20Chi93,%20599.pdf" TargetMode="External"/><Relationship Id="rId1317" Type="http://schemas.openxmlformats.org/officeDocument/2006/relationships/hyperlink" Target="2002/Asl%20Pro54,%20149.pdf" TargetMode="External"/><Relationship Id="rId1524" Type="http://schemas.openxmlformats.org/officeDocument/2006/relationships/hyperlink" Target="2004/BJU%20Int94,%2079.pdf" TargetMode="External"/><Relationship Id="rId1731" Type="http://schemas.openxmlformats.org/officeDocument/2006/relationships/hyperlink" Target="2015/BMC%20Wom%20Hea15,%2025.pdf" TargetMode="External"/><Relationship Id="rId1969" Type="http://schemas.openxmlformats.org/officeDocument/2006/relationships/hyperlink" Target="2013/Bri%20J%20Sur100,%201709.pdf" TargetMode="External"/><Relationship Id="rId2147" Type="http://schemas.openxmlformats.org/officeDocument/2006/relationships/hyperlink" Target="2013/Bul%20Wor%20Hea%20Org91,%20671.pdf" TargetMode="External"/><Relationship Id="rId23" Type="http://schemas.openxmlformats.org/officeDocument/2006/relationships/hyperlink" Target="http://www.academicmedicine.org/" TargetMode="External"/><Relationship Id="rId119" Type="http://schemas.openxmlformats.org/officeDocument/2006/relationships/hyperlink" Target="2013/Act%20Cir%20Bra28,%2084.pdf" TargetMode="External"/><Relationship Id="rId326" Type="http://schemas.openxmlformats.org/officeDocument/2006/relationships/hyperlink" Target="2013/Agi%20Neu%20Cog20,%20271.pdf" TargetMode="External"/><Relationship Id="rId533" Type="http://schemas.openxmlformats.org/officeDocument/2006/relationships/hyperlink" Target="1999/Ame%20J%20Med109,%20131.pdf" TargetMode="External"/><Relationship Id="rId978" Type="http://schemas.openxmlformats.org/officeDocument/2006/relationships/hyperlink" Target="2014/Ann%20Tho%20Sur97,%20446.pdf" TargetMode="External"/><Relationship Id="rId1163" Type="http://schemas.openxmlformats.org/officeDocument/2006/relationships/hyperlink" Target="2003/Arc%20Phy%20Med%20Reh84,%201714.pdf" TargetMode="External"/><Relationship Id="rId1370" Type="http://schemas.openxmlformats.org/officeDocument/2006/relationships/hyperlink" Target="2013/Aus%20Psy21,%20343.pdf" TargetMode="External"/><Relationship Id="rId1829" Type="http://schemas.openxmlformats.org/officeDocument/2006/relationships/hyperlink" Target="2015/Bra%20J%20Med%20Bio%20Res48,%20198.pdf" TargetMode="External"/><Relationship Id="rId2007" Type="http://schemas.openxmlformats.org/officeDocument/2006/relationships/hyperlink" Target="1996/Bri%20Med%20J313,%201062.pdf" TargetMode="External"/><Relationship Id="rId740" Type="http://schemas.openxmlformats.org/officeDocument/2006/relationships/hyperlink" Target="2004/Ana%20Bio%20Che378,%209.pdf" TargetMode="External"/><Relationship Id="rId838" Type="http://schemas.openxmlformats.org/officeDocument/2006/relationships/hyperlink" Target="2008/Ann%20Eme%20Med52,%20211.pdf" TargetMode="External"/><Relationship Id="rId1023" Type="http://schemas.openxmlformats.org/officeDocument/2006/relationships/hyperlink" Target="2000/Ant%20Age%20Che44,%203337.pdf" TargetMode="External"/><Relationship Id="rId1468" Type="http://schemas.openxmlformats.org/officeDocument/2006/relationships/hyperlink" Target="2012/Bio%20Bio47,%20504.pdf" TargetMode="External"/><Relationship Id="rId1675" Type="http://schemas.openxmlformats.org/officeDocument/2006/relationships/hyperlink" Target="2015/BMC%20Ora%20Hea15,%2031.pdf" TargetMode="External"/><Relationship Id="rId1882" Type="http://schemas.openxmlformats.org/officeDocument/2006/relationships/hyperlink" Target="2005/Bri%20J%20Der153,%20855.pdf" TargetMode="External"/><Relationship Id="rId172" Type="http://schemas.openxmlformats.org/officeDocument/2006/relationships/hyperlink" Target="2014/Act%20Ort%20Tra%20Tur48,%20576.pdf" TargetMode="External"/><Relationship Id="rId477" Type="http://schemas.openxmlformats.org/officeDocument/2006/relationships/hyperlink" Target="2009/Ame%20J%20Gas104,%201548.pdf" TargetMode="External"/><Relationship Id="rId600" Type="http://schemas.openxmlformats.org/officeDocument/2006/relationships/hyperlink" Target="2011/Ame%20J%20Pre%20Med41,%20442.pdf" TargetMode="External"/><Relationship Id="rId684" Type="http://schemas.openxmlformats.org/officeDocument/2006/relationships/hyperlink" Target="http://proquest.umi.com/pqdweb?RQT=318&amp;pmid=28405" TargetMode="External"/><Relationship Id="rId1230" Type="http://schemas.openxmlformats.org/officeDocument/2006/relationships/hyperlink" Target="2014/Arq%20Bra%20Car102,%20529.pdf" TargetMode="External"/><Relationship Id="rId1328" Type="http://schemas.openxmlformats.org/officeDocument/2006/relationships/hyperlink" Target="2008/Asl%20Pro60,%204.pdf" TargetMode="External"/><Relationship Id="rId1535" Type="http://schemas.openxmlformats.org/officeDocument/2006/relationships/hyperlink" Target="2001/Blo%20Cel%20Mol%20Dis27,%201020.pdf" TargetMode="External"/><Relationship Id="rId2060" Type="http://schemas.openxmlformats.org/officeDocument/2006/relationships/hyperlink" Target="2010/Bri%20Med%20J341,%20c6581.pdf" TargetMode="External"/><Relationship Id="rId2158" Type="http://schemas.openxmlformats.org/officeDocument/2006/relationships/hyperlink" Target="2015/Burns41,%20431.pdf" TargetMode="External"/><Relationship Id="rId337" Type="http://schemas.openxmlformats.org/officeDocument/2006/relationships/hyperlink" Target="2014/AIDS28,%20S187.pdf" TargetMode="External"/><Relationship Id="rId891" Type="http://schemas.openxmlformats.org/officeDocument/2006/relationships/hyperlink" Target="2014/Ann%20Int%20Med160,%20398.pdf" TargetMode="External"/><Relationship Id="rId905" Type="http://schemas.openxmlformats.org/officeDocument/2006/relationships/hyperlink" Target="-1959/Ann%20Mat%20Sta10,%201.pdf" TargetMode="External"/><Relationship Id="rId989" Type="http://schemas.openxmlformats.org/officeDocument/2006/relationships/hyperlink" Target="2015/Ann%20Vas%20Sur29,%20286.pdf" TargetMode="External"/><Relationship Id="rId1742" Type="http://schemas.openxmlformats.org/officeDocument/2006/relationships/hyperlink" Target="2015/BMJ-Bri%20Med%20J350,%20h1618.pdf" TargetMode="External"/><Relationship Id="rId2018" Type="http://schemas.openxmlformats.org/officeDocument/2006/relationships/hyperlink" Target="2000/Bri%20Med%20J320,%201517.pdf" TargetMode="External"/><Relationship Id="rId34" Type="http://schemas.openxmlformats.org/officeDocument/2006/relationships/hyperlink" Target="2003/Aca%20Med78,%20939.pdf" TargetMode="External"/><Relationship Id="rId544" Type="http://schemas.openxmlformats.org/officeDocument/2006/relationships/hyperlink" Target="2008/Ame%20J%20Neu29,%205.pdf" TargetMode="External"/><Relationship Id="rId751" Type="http://schemas.openxmlformats.org/officeDocument/2006/relationships/hyperlink" Target="http://www.rsc.org/Publishing/Journals/AI/Index.asp" TargetMode="External"/><Relationship Id="rId849" Type="http://schemas.openxmlformats.org/officeDocument/2006/relationships/hyperlink" Target="2007/Ann%20Gen%20Psy6,%2026.pdf" TargetMode="External"/><Relationship Id="rId1174" Type="http://schemas.openxmlformats.org/officeDocument/2006/relationships/hyperlink" Target="2010/Arc%20Phy%20Med%20Reh91,%201960.pdf" TargetMode="External"/><Relationship Id="rId1381" Type="http://schemas.openxmlformats.org/officeDocument/2006/relationships/hyperlink" Target="http://www.informaworld.com/smpp/title~db=all~content=t713404457~tab=issueslist" TargetMode="External"/><Relationship Id="rId1479" Type="http://schemas.openxmlformats.org/officeDocument/2006/relationships/hyperlink" Target="2014/Bio%20Res%20Int2014,%20973095.pdf" TargetMode="External"/><Relationship Id="rId1602" Type="http://schemas.openxmlformats.org/officeDocument/2006/relationships/hyperlink" Target="2005/BMC%20Inf%20Dis5,%2059.pdf" TargetMode="External"/><Relationship Id="rId1686" Type="http://schemas.openxmlformats.org/officeDocument/2006/relationships/hyperlink" Target="2014/BMC%20Psy14,%20321.pdf" TargetMode="External"/><Relationship Id="rId183" Type="http://schemas.openxmlformats.org/officeDocument/2006/relationships/hyperlink" Target="2002/Act%20Phy%20Sin51,%20197.pdf" TargetMode="External"/><Relationship Id="rId390" Type="http://schemas.openxmlformats.org/officeDocument/2006/relationships/hyperlink" Target="http://www3.interscience.wiley.com/journal/117946195/grouphome/home.html" TargetMode="External"/><Relationship Id="rId404" Type="http://schemas.openxmlformats.org/officeDocument/2006/relationships/hyperlink" Target="2008/Ame%20Hea%20J156,%20216.pdf" TargetMode="External"/><Relationship Id="rId611" Type="http://schemas.openxmlformats.org/officeDocument/2006/relationships/hyperlink" Target="-1959/Ame%20J%20Psy59,%20401.pdf" TargetMode="External"/><Relationship Id="rId1034" Type="http://schemas.openxmlformats.org/officeDocument/2006/relationships/hyperlink" Target="2013/ANZ%20J%20Sur83,%20312.pdf" TargetMode="External"/><Relationship Id="rId1241" Type="http://schemas.openxmlformats.org/officeDocument/2006/relationships/hyperlink" Target="2012/Art-%20J%20Art%20Rel%20Sur28,%20548.pdf" TargetMode="External"/><Relationship Id="rId1339" Type="http://schemas.openxmlformats.org/officeDocument/2006/relationships/hyperlink" Target="2012/Asl%20Pro64,%2067.pdf" TargetMode="External"/><Relationship Id="rId1893" Type="http://schemas.openxmlformats.org/officeDocument/2006/relationships/hyperlink" Target="2012/Bri%20J%20Gen%20Pra62,%20157.pdf" TargetMode="External"/><Relationship Id="rId1907" Type="http://schemas.openxmlformats.org/officeDocument/2006/relationships/hyperlink" Target="http://bjo.bmj.com/contents-by-date.0.dtl" TargetMode="External"/><Relationship Id="rId2071" Type="http://schemas.openxmlformats.org/officeDocument/2006/relationships/hyperlink" Target="2011/Bri%20Med%20J342,%20d4092.pdf" TargetMode="External"/><Relationship Id="rId250" Type="http://schemas.openxmlformats.org/officeDocument/2006/relationships/hyperlink" Target="2011/Adv%20Mat23,%201042.pdf" TargetMode="External"/><Relationship Id="rId488" Type="http://schemas.openxmlformats.org/officeDocument/2006/relationships/hyperlink" Target="2008/Ame%20J%20Hea%20Pro22,%20183.pdf" TargetMode="External"/><Relationship Id="rId695" Type="http://schemas.openxmlformats.org/officeDocument/2006/relationships/hyperlink" Target="http://icb.oxfordjournals.org/archive/" TargetMode="External"/><Relationship Id="rId709" Type="http://schemas.openxmlformats.org/officeDocument/2006/relationships/hyperlink" Target="2008/Anesthesia63,%201017.pdf" TargetMode="External"/><Relationship Id="rId916" Type="http://schemas.openxmlformats.org/officeDocument/2006/relationships/hyperlink" Target="http://annhyg.oxfordjournals.org/archive/" TargetMode="External"/><Relationship Id="rId1101" Type="http://schemas.openxmlformats.org/officeDocument/2006/relationships/hyperlink" Target="http://heldref.metapress.com/app/home/journal.asp?referrer=searchresults&amp;id=120617&amp;backto=searcharticlesresults,1,3;" TargetMode="External"/><Relationship Id="rId1546" Type="http://schemas.openxmlformats.org/officeDocument/2006/relationships/hyperlink" Target="2014/BMC%20Can14,%20117.pdf" TargetMode="External"/><Relationship Id="rId1753" Type="http://schemas.openxmlformats.org/officeDocument/2006/relationships/hyperlink" Target="2013/BMJ%20Ope3,%20e003729.pdf" TargetMode="External"/><Relationship Id="rId1960" Type="http://schemas.openxmlformats.org/officeDocument/2006/relationships/hyperlink" Target="2008/Bri%20J%20Sur95,%20161.pdf" TargetMode="External"/><Relationship Id="rId2169" Type="http://schemas.openxmlformats.org/officeDocument/2006/relationships/fontTable" Target="fontTable.xml"/><Relationship Id="rId45" Type="http://schemas.openxmlformats.org/officeDocument/2006/relationships/hyperlink" Target="2015/Aca%20Ped15,%209.pdf" TargetMode="External"/><Relationship Id="rId110" Type="http://schemas.openxmlformats.org/officeDocument/2006/relationships/hyperlink" Target="http://www.scielo.br/scielo.php/script_sci_serial/lng_pt/pid_0102-3306/nrm_iso" TargetMode="External"/><Relationship Id="rId348" Type="http://schemas.openxmlformats.org/officeDocument/2006/relationships/hyperlink" Target="http://alcalc.oupjournals.org/" TargetMode="External"/><Relationship Id="rId555" Type="http://schemas.openxmlformats.org/officeDocument/2006/relationships/hyperlink" Target="2014/Ame%20J%20Obs%20Gyn210,%2052.e1.pdf" TargetMode="External"/><Relationship Id="rId762" Type="http://schemas.openxmlformats.org/officeDocument/2006/relationships/hyperlink" Target="2004/Ane%20Ana98,%20443.pdf" TargetMode="External"/><Relationship Id="rId1185" Type="http://schemas.openxmlformats.org/officeDocument/2006/relationships/hyperlink" Target="2008/Arc%20Tox82,%201.pdf" TargetMode="External"/><Relationship Id="rId1392" Type="http://schemas.openxmlformats.org/officeDocument/2006/relationships/hyperlink" Target="http://web.ebscohost.com/ehost/detail?vid=1&amp;hid=5&amp;sid=4b447d4b-545e-4955-b82d-0d1dd198f072%40sessionmgr10&amp;bdata=JnNpdGU9ZWhvc3QtbGl2ZQ%3d%3d" TargetMode="External"/><Relationship Id="rId1406" Type="http://schemas.openxmlformats.org/officeDocument/2006/relationships/hyperlink" Target="2007/Aus%20New%20Zea%20J%20Pub%20Hea31,%20581.pdf" TargetMode="External"/><Relationship Id="rId1613" Type="http://schemas.openxmlformats.org/officeDocument/2006/relationships/hyperlink" Target="2014/BMC%20Inf%20Dis5,%20167.pdf" TargetMode="External"/><Relationship Id="rId1820" Type="http://schemas.openxmlformats.org/officeDocument/2006/relationships/hyperlink" Target="2005/Bra%20J%20Med%20Bio%20Res38,%201285.pdf" TargetMode="External"/><Relationship Id="rId2029" Type="http://schemas.openxmlformats.org/officeDocument/2006/relationships/hyperlink" Target="2003/Bri%20Med%20J326,%20283.pdf" TargetMode="External"/><Relationship Id="rId194" Type="http://schemas.openxmlformats.org/officeDocument/2006/relationships/hyperlink" Target="2006/Act%20Psy%20Sca113,%2013.pdf" TargetMode="External"/><Relationship Id="rId208" Type="http://schemas.openxmlformats.org/officeDocument/2006/relationships/hyperlink" Target="http://weblinks2.epnet.com/authHjafDetail.asp?tb=1&amp;_ua=bo+B%5F+db+buhjnh+bt+TD++%22ACT%22+CB8F&amp;_ug=sid+2220A5CD%2D917B%2D46E3%2D9A1A%2DAC75BC8A3AA8%40sessionmgr2+dbs+buh+4C99&amp;_us=sm+ES+E6C7&amp;_uso=st%5B0+%2DTD++%22ACT%22+tg%5B0+%2D+db%5B0+%2Dbuh+op%5B0+%2D+h" TargetMode="External"/><Relationship Id="rId415" Type="http://schemas.openxmlformats.org/officeDocument/2006/relationships/hyperlink" Target="2011/Ame%20J%20Alz%20Dis%20Oth%20Dem26,%20169.pdf" TargetMode="External"/><Relationship Id="rId622" Type="http://schemas.openxmlformats.org/officeDocument/2006/relationships/hyperlink" Target="2014/Ame%20J%20Pub%20Hea104,%20E16.pdf" TargetMode="External"/><Relationship Id="rId1045" Type="http://schemas.openxmlformats.org/officeDocument/2006/relationships/hyperlink" Target="2011/App%20Eco43,%203687.pdf" TargetMode="External"/><Relationship Id="rId1252" Type="http://schemas.openxmlformats.org/officeDocument/2006/relationships/hyperlink" Target="http://web.ebscohost.com/ehost/detail?vid=1&amp;hid=3&amp;sid=552fe02c-c630-461f-95fd-43ea81d43317%40sessionmgr12&amp;bdata=JnNpdGU9ZWhvc3QtbGl2ZQ%3d%3d" TargetMode="External"/><Relationship Id="rId1697" Type="http://schemas.openxmlformats.org/officeDocument/2006/relationships/hyperlink" Target="2010/BMC%20Pub%20Hea10,%20317.pdf" TargetMode="External"/><Relationship Id="rId1918" Type="http://schemas.openxmlformats.org/officeDocument/2006/relationships/hyperlink" Target="2003/Bri%20J%20Pla%20Sur56,%20158.pdf" TargetMode="External"/><Relationship Id="rId2082" Type="http://schemas.openxmlformats.org/officeDocument/2006/relationships/hyperlink" Target="2013/Bri%20Med%20J346,%20f839.pdf" TargetMode="External"/><Relationship Id="rId261" Type="http://schemas.openxmlformats.org/officeDocument/2006/relationships/hyperlink" Target="2015/Adv%20Dat%20Ana%20Cla9,%2059.pdf" TargetMode="External"/><Relationship Id="rId499" Type="http://schemas.openxmlformats.org/officeDocument/2006/relationships/hyperlink" Target="http://www3.interscience.wiley.com/journal/37873/home" TargetMode="External"/><Relationship Id="rId927" Type="http://schemas.openxmlformats.org/officeDocument/2006/relationships/hyperlink" Target="2004/Ann%20Oto%20Rh%20Lar113,%20378.pdf" TargetMode="External"/><Relationship Id="rId1112" Type="http://schemas.openxmlformats.org/officeDocument/2006/relationships/hyperlink" Target="2012/Arc%20Eur%20Sci6,%2068-1.pdf" TargetMode="External"/><Relationship Id="rId1557" Type="http://schemas.openxmlformats.org/officeDocument/2006/relationships/hyperlink" Target="2015/BMC%20Can15,%20334.pdf" TargetMode="External"/><Relationship Id="rId1764" Type="http://schemas.openxmlformats.org/officeDocument/2006/relationships/hyperlink" Target="2014/BMJ%20Ope4,%20e004806.pdf" TargetMode="External"/><Relationship Id="rId1971" Type="http://schemas.openxmlformats.org/officeDocument/2006/relationships/hyperlink" Target="2014/Bri%20J%20Sur101,%201499.pdf" TargetMode="External"/><Relationship Id="rId56" Type="http://schemas.openxmlformats.org/officeDocument/2006/relationships/hyperlink" Target="2015/Aca%20Man%20Lea%20Edu14,%2031.pdf" TargetMode="External"/><Relationship Id="rId359" Type="http://schemas.openxmlformats.org/officeDocument/2006/relationships/hyperlink" Target="2008/Ali%20Pha%20The27,%20638.pdf" TargetMode="External"/><Relationship Id="rId566" Type="http://schemas.openxmlformats.org/officeDocument/2006/relationships/hyperlink" Target="2007/Ame%20J%20Oph143,%20551.pdf" TargetMode="External"/><Relationship Id="rId773" Type="http://schemas.openxmlformats.org/officeDocument/2006/relationships/hyperlink" Target="1992/Anesthesiology77,%20185.pdf" TargetMode="External"/><Relationship Id="rId1196" Type="http://schemas.openxmlformats.org/officeDocument/2006/relationships/hyperlink" Target="2009/Arc%20Bro45,%20271.pdf" TargetMode="External"/><Relationship Id="rId1417" Type="http://schemas.openxmlformats.org/officeDocument/2006/relationships/hyperlink" Target="http://www.aaapjournals.info/loi/avdi" TargetMode="External"/><Relationship Id="rId1624" Type="http://schemas.openxmlformats.org/officeDocument/2006/relationships/hyperlink" Target="2015/BMC%20Med%20Edu15,%208.pdf" TargetMode="External"/><Relationship Id="rId1831" Type="http://schemas.openxmlformats.org/officeDocument/2006/relationships/hyperlink" Target="2015/Bra%20J%20Oto81,%20212.pdf" TargetMode="External"/><Relationship Id="rId121" Type="http://schemas.openxmlformats.org/officeDocument/2006/relationships/hyperlink" Target="2014/Act%20Cir%20Bra29,%20826.pdf" TargetMode="External"/><Relationship Id="rId219" Type="http://schemas.openxmlformats.org/officeDocument/2006/relationships/hyperlink" Target="http://www.elsevier.es/es/revistas/actas-urologicas-espa%C3%B1olas-292" TargetMode="External"/><Relationship Id="rId426" Type="http://schemas.openxmlformats.org/officeDocument/2006/relationships/hyperlink" Target="2014/Ame%20J%20Car114,%201049.pdf" TargetMode="External"/><Relationship Id="rId633" Type="http://schemas.openxmlformats.org/officeDocument/2006/relationships/hyperlink" Target="1994/Ame%20J%20Roe162,%20519.pdf" TargetMode="External"/><Relationship Id="rId980" Type="http://schemas.openxmlformats.org/officeDocument/2006/relationships/hyperlink" Target="2013/Ann%20Tou%20Res43,%20121.pdf" TargetMode="External"/><Relationship Id="rId1056" Type="http://schemas.openxmlformats.org/officeDocument/2006/relationships/hyperlink" Target="2010/App%20Lin31,%201.pdf" TargetMode="External"/><Relationship Id="rId1263" Type="http://schemas.openxmlformats.org/officeDocument/2006/relationships/hyperlink" Target="http://www.palgrave-journals.com/abm/archive/index.html" TargetMode="External"/><Relationship Id="rId1929" Type="http://schemas.openxmlformats.org/officeDocument/2006/relationships/hyperlink" Target="2005/Bri%20J%20Psy186,%20448.pdf" TargetMode="External"/><Relationship Id="rId2093" Type="http://schemas.openxmlformats.org/officeDocument/2006/relationships/hyperlink" Target="http://www.sciencedirect.com/science?_ob=JournalURL&amp;_cdi=6731&amp;_auth=y&amp;_acct=C000047720&amp;_version=1&amp;_urlVersion=0&amp;_userid=2007471&amp;md5=251177e747f6f763f37e126fb3f11ace" TargetMode="External"/><Relationship Id="rId2107" Type="http://schemas.openxmlformats.org/officeDocument/2006/relationships/hyperlink" Target="1984/Bul%20Med%20Lib%20Ass72,%20353.pdf" TargetMode="External"/><Relationship Id="rId840" Type="http://schemas.openxmlformats.org/officeDocument/2006/relationships/hyperlink" Target="2011/Ann%20Eme%20Med58,%20S96.pdf" TargetMode="External"/><Relationship Id="rId938" Type="http://schemas.openxmlformats.org/officeDocument/2006/relationships/hyperlink" Target="2014/Ann%20Pha48,%20741.pdf" TargetMode="External"/><Relationship Id="rId1470" Type="http://schemas.openxmlformats.org/officeDocument/2006/relationships/hyperlink" Target="2008/Biomaterials29,%203047.pdf" TargetMode="External"/><Relationship Id="rId1568" Type="http://schemas.openxmlformats.org/officeDocument/2006/relationships/hyperlink" Target="2009/BMC%20Gas9,%2031.pdf" TargetMode="External"/><Relationship Id="rId1775" Type="http://schemas.openxmlformats.org/officeDocument/2006/relationships/hyperlink" Target="2015/BMJ%20Ope5,%20e006965.pdf" TargetMode="External"/><Relationship Id="rId67" Type="http://schemas.openxmlformats.org/officeDocument/2006/relationships/hyperlink" Target="http://weblinks3.epnet.com/authHjafDetail.asp?tb=1&amp;_ua=bo+B%5F+db+buhjnh+bt+TD++%225AU%22+BD54&amp;_ug=sid+3BE5FDC8%2D7732%2D49C0%2D964F%2D1F344691324F%40sessionmgr2+dbs+buh+268E&amp;_us=sm+ES+E6C7&amp;_uso=st%5B0+%2DTD++%225AU%22+tg%5B0+%2D+db%5B0+%2Dbuh+op%5B0+%2D+h" TargetMode="External"/><Relationship Id="rId272" Type="http://schemas.openxmlformats.org/officeDocument/2006/relationships/hyperlink" Target="2006/Aes%20Pla%20Sur30,%20549.pdf" TargetMode="External"/><Relationship Id="rId577" Type="http://schemas.openxmlformats.org/officeDocument/2006/relationships/hyperlink" Target="2009/Ame%20J%20Ort%20Den%20Ort135,%20284.pdf" TargetMode="External"/><Relationship Id="rId700" Type="http://schemas.openxmlformats.org/officeDocument/2006/relationships/hyperlink" Target="http://www.blackwell-synergy.com/servlet/useragent?func=showIssues&amp;code=ana" TargetMode="External"/><Relationship Id="rId1123" Type="http://schemas.openxmlformats.org/officeDocument/2006/relationships/hyperlink" Target="2010/Arc%20Gyn%20Obs282,%20493.pdf" TargetMode="External"/><Relationship Id="rId1330" Type="http://schemas.openxmlformats.org/officeDocument/2006/relationships/hyperlink" Target="2008/Asl%20Pro60,%20619.pdf" TargetMode="External"/><Relationship Id="rId1428" Type="http://schemas.openxmlformats.org/officeDocument/2006/relationships/hyperlink" Target="1993/Beh%20Soc%20Sci%20Lib12,%201.pdf" TargetMode="External"/><Relationship Id="rId1635" Type="http://schemas.openxmlformats.org/officeDocument/2006/relationships/hyperlink" Target="2014/BMC%20Med%20Inf%20Dec%20Mak14,%2071.pdf" TargetMode="External"/><Relationship Id="rId1982" Type="http://schemas.openxmlformats.org/officeDocument/2006/relationships/hyperlink" Target="1985/Bri%20Med%20J291,%20884.pdf" TargetMode="External"/><Relationship Id="rId2160" Type="http://schemas.openxmlformats.org/officeDocument/2006/relationships/hyperlink" Target="2012/Bus%20Eth-%20Eur%20Rev21,%20286.pdf" TargetMode="External"/><Relationship Id="rId132" Type="http://schemas.openxmlformats.org/officeDocument/2006/relationships/hyperlink" Target="2010/Act%20Eco%20Sin30,%201066.pdf" TargetMode="External"/><Relationship Id="rId784" Type="http://schemas.openxmlformats.org/officeDocument/2006/relationships/hyperlink" Target="2010/Ang%20Ort80,%20211.pdf" TargetMode="External"/><Relationship Id="rId991" Type="http://schemas.openxmlformats.org/officeDocument/2006/relationships/hyperlink" Target="2005/Ann%20Rev%20Inf%20Sci%20Tec39,%2033.pdf" TargetMode="External"/><Relationship Id="rId1067" Type="http://schemas.openxmlformats.org/officeDocument/2006/relationships/hyperlink" Target="1999/Arb-Cie%20Pen%20Cul162,%20307.pdf" TargetMode="External"/><Relationship Id="rId1842" Type="http://schemas.openxmlformats.org/officeDocument/2006/relationships/hyperlink" Target="2011/Bre%20Can%20Res%20Tre130,%20599.pdf" TargetMode="External"/><Relationship Id="rId2020" Type="http://schemas.openxmlformats.org/officeDocument/2006/relationships/hyperlink" Target="2000/Bri%20Med%20J321,%20566.pdf" TargetMode="External"/><Relationship Id="rId437" Type="http://schemas.openxmlformats.org/officeDocument/2006/relationships/hyperlink" Target="2012/Ame%20J%20Cli%20Nut95,%2091.pdf" TargetMode="External"/><Relationship Id="rId644" Type="http://schemas.openxmlformats.org/officeDocument/2006/relationships/hyperlink" Target="-1959/Ame%20J%20Sci24,%20199.pdf" TargetMode="External"/><Relationship Id="rId851" Type="http://schemas.openxmlformats.org/officeDocument/2006/relationships/hyperlink" Target="2013/Ann%20Hep12,%20803.pdf" TargetMode="External"/><Relationship Id="rId1274" Type="http://schemas.openxmlformats.org/officeDocument/2006/relationships/hyperlink" Target="2010/Asi%20J%20Soc%20Psy13,%20202.pdf" TargetMode="External"/><Relationship Id="rId1481" Type="http://schemas.openxmlformats.org/officeDocument/2006/relationships/hyperlink" Target="2014/Bio%20Res%20Int,%20691540.pdf" TargetMode="External"/><Relationship Id="rId1579" Type="http://schemas.openxmlformats.org/officeDocument/2006/relationships/hyperlink" Target="http://www.biomedcentral.com/bmchealthservres/archive/" TargetMode="External"/><Relationship Id="rId1702" Type="http://schemas.openxmlformats.org/officeDocument/2006/relationships/hyperlink" Target="2011/BMC%20Pub%20Hea11,%20838.pdf" TargetMode="External"/><Relationship Id="rId2118" Type="http://schemas.openxmlformats.org/officeDocument/2006/relationships/hyperlink" Target="1997/Bul%20Med%20Lib%20Ass85,%20270.pdf" TargetMode="External"/><Relationship Id="rId283" Type="http://schemas.openxmlformats.org/officeDocument/2006/relationships/hyperlink" Target="http://www.academicjournals.org/AJB/Archive.htm" TargetMode="External"/><Relationship Id="rId490" Type="http://schemas.openxmlformats.org/officeDocument/2006/relationships/hyperlink" Target="2014/Ame%20J%20Hea%20Pro29,%2071.pdf" TargetMode="External"/><Relationship Id="rId504" Type="http://schemas.openxmlformats.org/officeDocument/2006/relationships/hyperlink" Target="-1959/Ame%20J%20Hyg3,%2038.pdf" TargetMode="External"/><Relationship Id="rId711" Type="http://schemas.openxmlformats.org/officeDocument/2006/relationships/hyperlink" Target="2010/Anesthesia65,%20799.pdf" TargetMode="External"/><Relationship Id="rId949" Type="http://schemas.openxmlformats.org/officeDocument/2006/relationships/hyperlink" Target="2007/Ann%20Rhe%20Dis66,%20377.pdf" TargetMode="External"/><Relationship Id="rId1134" Type="http://schemas.openxmlformats.org/officeDocument/2006/relationships/hyperlink" Target="2006/Arc%20Int%20Med166,%201256.pdf" TargetMode="External"/><Relationship Id="rId1341" Type="http://schemas.openxmlformats.org/officeDocument/2006/relationships/hyperlink" Target="2013/Asl%20Pro65,%20203.pdf" TargetMode="External"/><Relationship Id="rId1786" Type="http://schemas.openxmlformats.org/officeDocument/2006/relationships/hyperlink" Target="2009/Bol%20Soc%20Esp%20Cer%20Vid48,%20255.pdf" TargetMode="External"/><Relationship Id="rId1993" Type="http://schemas.openxmlformats.org/officeDocument/2006/relationships/hyperlink" Target="1992/Bri%20Med%20J305,%20420.pdf" TargetMode="External"/><Relationship Id="rId78" Type="http://schemas.openxmlformats.org/officeDocument/2006/relationships/hyperlink" Target="2002/ACIMED10-Sanz.pdf" TargetMode="External"/><Relationship Id="rId143" Type="http://schemas.openxmlformats.org/officeDocument/2006/relationships/hyperlink" Target="2012/Act%20Nat4,%2014.pdf" TargetMode="External"/><Relationship Id="rId350" Type="http://schemas.openxmlformats.org/officeDocument/2006/relationships/hyperlink" Target="2006/Alc%20Alc41,%2099.pdf" TargetMode="External"/><Relationship Id="rId588" Type="http://schemas.openxmlformats.org/officeDocument/2006/relationships/hyperlink" Target="http://www.sciencedirect.com/science?_ob=JournalURL&amp;_cdi=6075&amp;_auth=y&amp;_acct=C000011279&amp;_version=1&amp;_urlVersion=0&amp;_userid=1134284&amp;md5=fb5fbbbf00ddfe0338c88d81617ea617" TargetMode="External"/><Relationship Id="rId795" Type="http://schemas.openxmlformats.org/officeDocument/2006/relationships/hyperlink" Target="http://www3.interscience.wiley.com/journal/5006612/toc" TargetMode="External"/><Relationship Id="rId809" Type="http://schemas.openxmlformats.org/officeDocument/2006/relationships/hyperlink" Target="2015/Ann%20Chi%20Pla%20Est60,%20E3.pdf" TargetMode="External"/><Relationship Id="rId1201" Type="http://schemas.openxmlformats.org/officeDocument/2006/relationships/hyperlink" Target="2008/Arc%20Imm%20The%20Exp56,%20223.pdf" TargetMode="External"/><Relationship Id="rId1439" Type="http://schemas.openxmlformats.org/officeDocument/2006/relationships/hyperlink" Target="2013/Bioanalysis5,%203063.pdf" TargetMode="External"/><Relationship Id="rId1646" Type="http://schemas.openxmlformats.org/officeDocument/2006/relationships/hyperlink" Target="../HO-reference/2004/BMC%20Med2,%2033.pdf" TargetMode="External"/><Relationship Id="rId1853" Type="http://schemas.openxmlformats.org/officeDocument/2006/relationships/hyperlink" Target="2014/Bri%20Foo%20J116,%201710.pdf" TargetMode="External"/><Relationship Id="rId2031" Type="http://schemas.openxmlformats.org/officeDocument/2006/relationships/hyperlink" Target="2003/Bri%20Med%20J326,%20931.pdf" TargetMode="External"/><Relationship Id="rId9" Type="http://schemas.openxmlformats.org/officeDocument/2006/relationships/hyperlink" Target="http://www3.interscience.wiley.com/journal/118480526/home" TargetMode="External"/><Relationship Id="rId210" Type="http://schemas.openxmlformats.org/officeDocument/2006/relationships/hyperlink" Target="http://www.kbd.hr/hsd/ascro/" TargetMode="External"/><Relationship Id="rId448" Type="http://schemas.openxmlformats.org/officeDocument/2006/relationships/hyperlink" Target="2006/Ame%20J%20Eme%20Med24,%20647.pdf" TargetMode="External"/><Relationship Id="rId655" Type="http://schemas.openxmlformats.org/officeDocument/2006/relationships/hyperlink" Target="2008/Ame%20J%20Tra8,%202378.pdf" TargetMode="External"/><Relationship Id="rId862" Type="http://schemas.openxmlformats.org/officeDocument/2006/relationships/hyperlink" Target="2004/Ann%20Int%20Med140,%20121.pdf" TargetMode="External"/><Relationship Id="rId1078" Type="http://schemas.openxmlformats.org/officeDocument/2006/relationships/hyperlink" Target="2011/Arc%20Bud7,%2093.pdf" TargetMode="External"/><Relationship Id="rId1285" Type="http://schemas.openxmlformats.org/officeDocument/2006/relationships/hyperlink" Target="2013/Asi%20Pac%20J%20Can%20Pre14,%204131.pdf" TargetMode="External"/><Relationship Id="rId1492" Type="http://schemas.openxmlformats.org/officeDocument/2006/relationships/hyperlink" Target="2015/Bio%20Pap-Olo159,%2018.pdf" TargetMode="External"/><Relationship Id="rId1506" Type="http://schemas.openxmlformats.org/officeDocument/2006/relationships/hyperlink" Target="2008/Bip%20Dis10,%2068.pdf" TargetMode="External"/><Relationship Id="rId1713" Type="http://schemas.openxmlformats.org/officeDocument/2006/relationships/hyperlink" Target="2014/BMC%20Pub%20Hea14,%2020.pdf" TargetMode="External"/><Relationship Id="rId1920" Type="http://schemas.openxmlformats.org/officeDocument/2006/relationships/hyperlink" Target="1998/Bri%20J%20Psy172,%20457.pdf" TargetMode="External"/><Relationship Id="rId2129" Type="http://schemas.openxmlformats.org/officeDocument/2006/relationships/hyperlink" Target="1998/Bul%20Med%20Lib%20Ass86,%20528.pdf" TargetMode="External"/><Relationship Id="rId294" Type="http://schemas.openxmlformats.org/officeDocument/2006/relationships/hyperlink" Target="2010/Afr%20J%20Bus%20Man-Huang1.pdf" TargetMode="External"/><Relationship Id="rId308" Type="http://schemas.openxmlformats.org/officeDocument/2006/relationships/hyperlink" Target="http://ageing.oxfordjournals.org/archive/" TargetMode="External"/><Relationship Id="rId515" Type="http://schemas.openxmlformats.org/officeDocument/2006/relationships/hyperlink" Target="2013/Ame%20J%20Ind%20Med56,%201473.pdf" TargetMode="External"/><Relationship Id="rId722" Type="http://schemas.openxmlformats.org/officeDocument/2006/relationships/hyperlink" Target="2000/Anaesthesist49,%20371.pdf" TargetMode="External"/><Relationship Id="rId1145" Type="http://schemas.openxmlformats.org/officeDocument/2006/relationships/hyperlink" Target="2006/Arc%20Neu63,%20189.pdf" TargetMode="External"/><Relationship Id="rId1352" Type="http://schemas.openxmlformats.org/officeDocument/2006/relationships/hyperlink" Target="http://www.iop.org/EJ/journal/apj" TargetMode="External"/><Relationship Id="rId1797" Type="http://schemas.openxmlformats.org/officeDocument/2006/relationships/hyperlink" Target="2006/Brain129,%202811.pdf" TargetMode="External"/><Relationship Id="rId89" Type="http://schemas.openxmlformats.org/officeDocument/2006/relationships/hyperlink" Target="http://www.blackwell-synergy.com/servlet/useragent?func=showIssues&amp;code=aas" TargetMode="External"/><Relationship Id="rId154" Type="http://schemas.openxmlformats.org/officeDocument/2006/relationships/hyperlink" Target="2014/Act%20Obs%20Gyn%20Sca93,%20626.pdf" TargetMode="External"/><Relationship Id="rId361" Type="http://schemas.openxmlformats.org/officeDocument/2006/relationships/hyperlink" Target="2009/Ali%20Pha%20The29,%20605.pdf" TargetMode="External"/><Relationship Id="rId599" Type="http://schemas.openxmlformats.org/officeDocument/2006/relationships/hyperlink" Target="2011/Ame%20J%20Pre%20Med41,%20207.pdf" TargetMode="External"/><Relationship Id="rId1005" Type="http://schemas.openxmlformats.org/officeDocument/2006/relationships/hyperlink" Target="1993/Ant%20Age%20Che37,%202344.pdf" TargetMode="External"/><Relationship Id="rId1212" Type="http://schemas.openxmlformats.org/officeDocument/2006/relationships/hyperlink" Target="2011/Area43,%20305.pdf" TargetMode="External"/><Relationship Id="rId1657" Type="http://schemas.openxmlformats.org/officeDocument/2006/relationships/hyperlink" Target="2011/BMC%20Mus%20Dis,%2012,%20117.pdf" TargetMode="External"/><Relationship Id="rId1864" Type="http://schemas.openxmlformats.org/officeDocument/2006/relationships/hyperlink" Target="2012/Bri%20J%20Ana108,%20164.pdf" TargetMode="External"/><Relationship Id="rId2042" Type="http://schemas.openxmlformats.org/officeDocument/2006/relationships/hyperlink" Target="2006/Bri%20Med%20J332,%201061.pdf" TargetMode="External"/><Relationship Id="rId459" Type="http://schemas.openxmlformats.org/officeDocument/2006/relationships/hyperlink" Target="2011/Ame%20J%20Epi174,%201101.pdf" TargetMode="External"/><Relationship Id="rId666" Type="http://schemas.openxmlformats.org/officeDocument/2006/relationships/hyperlink" Target="1994/Ame%20Psy49,%201095.pdf" TargetMode="External"/><Relationship Id="rId873" Type="http://schemas.openxmlformats.org/officeDocument/2006/relationships/hyperlink" Target="2009/Ann%20Int%20Med151,%20727.pdf" TargetMode="External"/><Relationship Id="rId1089" Type="http://schemas.openxmlformats.org/officeDocument/2006/relationships/hyperlink" Target="2002/Arc%20Der138,%20207.pdf" TargetMode="External"/><Relationship Id="rId1296" Type="http://schemas.openxmlformats.org/officeDocument/2006/relationships/hyperlink" Target="2014/Asi%20Pac%20J%20Can%20Pre15,%201141.pdf" TargetMode="External"/><Relationship Id="rId1517" Type="http://schemas.openxmlformats.org/officeDocument/2006/relationships/hyperlink" Target="2006/BJOG113,%201472.pdf" TargetMode="External"/><Relationship Id="rId1724" Type="http://schemas.openxmlformats.org/officeDocument/2006/relationships/hyperlink" Target="2014/BMC%20Pub%20Hea14,%201230.pdf" TargetMode="External"/><Relationship Id="rId16" Type="http://schemas.openxmlformats.org/officeDocument/2006/relationships/hyperlink" Target="2008/Aca%20Eme%20Med15,%20963.pdf" TargetMode="External"/><Relationship Id="rId221" Type="http://schemas.openxmlformats.org/officeDocument/2006/relationships/hyperlink" Target="2011/Act%20Uro%20Esp35,%20282.pdf" TargetMode="External"/><Relationship Id="rId319" Type="http://schemas.openxmlformats.org/officeDocument/2006/relationships/hyperlink" Target="2015/Age%20Age44,%20205.pdf" TargetMode="External"/><Relationship Id="rId526" Type="http://schemas.openxmlformats.org/officeDocument/2006/relationships/hyperlink" Target="2014/Ame%20J%20Med%20Qua29,%20403.pdf" TargetMode="External"/><Relationship Id="rId1156" Type="http://schemas.openxmlformats.org/officeDocument/2006/relationships/hyperlink" Target="2010/Arc%20Ort%20Tra%20Sur130,%20293.pdf" TargetMode="External"/><Relationship Id="rId1363" Type="http://schemas.openxmlformats.org/officeDocument/2006/relationships/hyperlink" Target="2014/Aur%20Nas%20Lar41,%20337.pdf" TargetMode="External"/><Relationship Id="rId1931" Type="http://schemas.openxmlformats.org/officeDocument/2006/relationships/hyperlink" Target="2007/Bri%20J%20Psy190,%2077.pdf" TargetMode="External"/><Relationship Id="rId733" Type="http://schemas.openxmlformats.org/officeDocument/2006/relationships/hyperlink" Target="2014/Ana%20Psi30,%20157.pdf" TargetMode="External"/><Relationship Id="rId940" Type="http://schemas.openxmlformats.org/officeDocument/2006/relationships/hyperlink" Target="2007/Ann%20Pla%20Sur59,%20232.pdf" TargetMode="External"/><Relationship Id="rId1016" Type="http://schemas.openxmlformats.org/officeDocument/2006/relationships/hyperlink" Target="1999/Ant%20Age%20Che43,%20661.pdf" TargetMode="External"/><Relationship Id="rId1570" Type="http://schemas.openxmlformats.org/officeDocument/2006/relationships/hyperlink" Target="2009/BMC%20Hea%20Ser%20Res9,%20115.pdf" TargetMode="External"/><Relationship Id="rId1668" Type="http://schemas.openxmlformats.org/officeDocument/2006/relationships/hyperlink" Target="2008/BMC%20Nur7,%201.pdf" TargetMode="External"/><Relationship Id="rId1875" Type="http://schemas.openxmlformats.org/officeDocument/2006/relationships/hyperlink" Target="2014/Bri%20J%20Cli%20Pha78,%20748.pdf" TargetMode="External"/><Relationship Id="rId165" Type="http://schemas.openxmlformats.org/officeDocument/2006/relationships/hyperlink" Target="2013/Act%20Onc52,%201202.pdf" TargetMode="External"/><Relationship Id="rId372" Type="http://schemas.openxmlformats.org/officeDocument/2006/relationships/hyperlink" Target="http://www.blackwell-synergy.com/servlet/useragent?func=showIssues&amp;code=all" TargetMode="External"/><Relationship Id="rId677" Type="http://schemas.openxmlformats.org/officeDocument/2006/relationships/hyperlink" Target="http://www.americanscientist.org/issues/past.aspx" TargetMode="External"/><Relationship Id="rId800" Type="http://schemas.openxmlformats.org/officeDocument/2006/relationships/hyperlink" Target="2007/Ann%20Phy16,%20640.pdf" TargetMode="External"/><Relationship Id="rId1223" Type="http://schemas.openxmlformats.org/officeDocument/2006/relationships/hyperlink" Target="2011/Arq%20Bra%20Car97,%20186.pdf" TargetMode="External"/><Relationship Id="rId1430" Type="http://schemas.openxmlformats.org/officeDocument/2006/relationships/hyperlink" Target="1996/Beh%20Soc%20Sci%20Lib14,%201.pdf" TargetMode="External"/><Relationship Id="rId1528" Type="http://schemas.openxmlformats.org/officeDocument/2006/relationships/hyperlink" Target="2011/BJU%20Int108,%20168.pdf" TargetMode="External"/><Relationship Id="rId2053" Type="http://schemas.openxmlformats.org/officeDocument/2006/relationships/hyperlink" Target="2008/Bri%20Med%20J337,%20a2931.pdf" TargetMode="External"/><Relationship Id="rId232" Type="http://schemas.openxmlformats.org/officeDocument/2006/relationships/hyperlink" Target="2009/Addiction104,%20365.pdf" TargetMode="External"/><Relationship Id="rId884" Type="http://schemas.openxmlformats.org/officeDocument/2006/relationships/hyperlink" Target="2010/Ann%20Int%20Med153,%20766.pdf" TargetMode="External"/><Relationship Id="rId1735" Type="http://schemas.openxmlformats.org/officeDocument/2006/relationships/hyperlink" Target="2014/BMJ-Bri%20Med%20J348,%20g2467.pdf" TargetMode="External"/><Relationship Id="rId1942" Type="http://schemas.openxmlformats.org/officeDocument/2006/relationships/hyperlink" Target="2009/Bri%20J%20Spo%20Med43,%20I3.pdf" TargetMode="External"/><Relationship Id="rId2120" Type="http://schemas.openxmlformats.org/officeDocument/2006/relationships/hyperlink" Target="1997/Bul%20Med%20Lib%20Ass85,%20278.pdf" TargetMode="External"/><Relationship Id="rId27" Type="http://schemas.openxmlformats.org/officeDocument/2006/relationships/hyperlink" Target="1998/Aca%20Med73,%20532.pdf" TargetMode="External"/><Relationship Id="rId537" Type="http://schemas.openxmlformats.org/officeDocument/2006/relationships/hyperlink" Target="2003/Ame%20J%20Med114,%20742.pdf" TargetMode="External"/><Relationship Id="rId744" Type="http://schemas.openxmlformats.org/officeDocument/2006/relationships/hyperlink" Target="http://pubs3.acs.org/acs/journals/toc.page?incoden=ancham" TargetMode="External"/><Relationship Id="rId951" Type="http://schemas.openxmlformats.org/officeDocument/2006/relationships/hyperlink" Target="2014/Ann%20Rhe%20Dis73,%201962.pdf" TargetMode="External"/><Relationship Id="rId1167" Type="http://schemas.openxmlformats.org/officeDocument/2006/relationships/hyperlink" Target="2005/Arc%20Phy%20Med%20Reh86,%201693.pdf" TargetMode="External"/><Relationship Id="rId1374" Type="http://schemas.openxmlformats.org/officeDocument/2006/relationships/hyperlink" Target="http://www.biowizard.com/pmsearch.php?q=%22Aust%20Clin%20Rev%22%5bJour%5d" TargetMode="External"/><Relationship Id="rId1581" Type="http://schemas.openxmlformats.org/officeDocument/2006/relationships/hyperlink" Target="2007/BMC%20Hea%20Ser%20Res7,%2071.pdf" TargetMode="External"/><Relationship Id="rId1679" Type="http://schemas.openxmlformats.org/officeDocument/2006/relationships/hyperlink" Target="2014/BMC%20Ped14,%20109.pdf" TargetMode="External"/><Relationship Id="rId1802" Type="http://schemas.openxmlformats.org/officeDocument/2006/relationships/hyperlink" Target="2009/Bra%20Beh%20Imm23,%20434.pdf" TargetMode="External"/><Relationship Id="rId80" Type="http://schemas.openxmlformats.org/officeDocument/2006/relationships/hyperlink" Target="2002/ACIMED10-Araujo.pdf" TargetMode="External"/><Relationship Id="rId176" Type="http://schemas.openxmlformats.org/officeDocument/2006/relationships/hyperlink" Target="2007/Act%20Pae96,%201080.pdf" TargetMode="External"/><Relationship Id="rId383" Type="http://schemas.openxmlformats.org/officeDocument/2006/relationships/hyperlink" Target="2010/All%20Ast%20Pro31,%20428.pdf" TargetMode="External"/><Relationship Id="rId590" Type="http://schemas.openxmlformats.org/officeDocument/2006/relationships/hyperlink" Target="2002/Ame%20J%20Pre%20Med22,%2098.pdf" TargetMode="External"/><Relationship Id="rId604" Type="http://schemas.openxmlformats.org/officeDocument/2006/relationships/hyperlink" Target="2015/Ame%20J%20Pre%20Med48,%20205.pdf" TargetMode="External"/><Relationship Id="rId811" Type="http://schemas.openxmlformats.org/officeDocument/2006/relationships/hyperlink" Target="http://www.sciencedirect.com/" TargetMode="External"/><Relationship Id="rId1027" Type="http://schemas.openxmlformats.org/officeDocument/2006/relationships/hyperlink" Target="2003/Ant%20Age%20Che47,%201257.pdf" TargetMode="External"/><Relationship Id="rId1234" Type="http://schemas.openxmlformats.org/officeDocument/2006/relationships/hyperlink" Target="http://www.scielo.br/scielo.php?script=sci_serial&amp;pid=0004-2749&amp;lng=en&amp;nrm=iso" TargetMode="External"/><Relationship Id="rId1441" Type="http://schemas.openxmlformats.org/officeDocument/2006/relationships/hyperlink" Target="2010/Bio%20Med20,%20279.pdf" TargetMode="External"/><Relationship Id="rId1886" Type="http://schemas.openxmlformats.org/officeDocument/2006/relationships/hyperlink" Target="2012/Bri%20J%20Edu%20Tec43,%205.pdf" TargetMode="External"/><Relationship Id="rId2064" Type="http://schemas.openxmlformats.org/officeDocument/2006/relationships/hyperlink" Target="2011/Bri%20Med%20J342,%20c7254.pdf" TargetMode="External"/><Relationship Id="rId243" Type="http://schemas.openxmlformats.org/officeDocument/2006/relationships/hyperlink" Target="2014/Adu%20Edu%20Qua64,%20222.pdf" TargetMode="External"/><Relationship Id="rId450" Type="http://schemas.openxmlformats.org/officeDocument/2006/relationships/hyperlink" Target="http://aje.oupjournals.org/" TargetMode="External"/><Relationship Id="rId688" Type="http://schemas.openxmlformats.org/officeDocument/2006/relationships/hyperlink" Target="http://web.ebscohost.com/ehost/detail?vid=1&amp;hid=3&amp;sid=17f27e89-089a-4b98-aee7-d639e67aee7f%40sessionmgr12&amp;bdata=JnNpdGU9ZWhvc3QtbGl2ZQ%3d%3d" TargetMode="External"/><Relationship Id="rId895" Type="http://schemas.openxmlformats.org/officeDocument/2006/relationships/hyperlink" Target="2014/Ann%20Int%20Med161,%20659.pdf" TargetMode="External"/><Relationship Id="rId909" Type="http://schemas.openxmlformats.org/officeDocument/2006/relationships/hyperlink" Target="-1959/Ann%20Mat2,%20105.pdf" TargetMode="External"/><Relationship Id="rId1080" Type="http://schemas.openxmlformats.org/officeDocument/2006/relationships/hyperlink" Target="2013/Arc%20Bud9,%2081.pdf" TargetMode="External"/><Relationship Id="rId1301" Type="http://schemas.openxmlformats.org/officeDocument/2006/relationships/hyperlink" Target="2014/Asi%20Pac%20J%20Can%20Pre15,%202571.pdf" TargetMode="External"/><Relationship Id="rId1539" Type="http://schemas.openxmlformats.org/officeDocument/2006/relationships/hyperlink" Target="http://www.biomedcentral.com/bmcbioinformatics/archive/" TargetMode="External"/><Relationship Id="rId1746" Type="http://schemas.openxmlformats.org/officeDocument/2006/relationships/hyperlink" Target="2013/BMJ%20Ope3,%20e002268.pdf" TargetMode="External"/><Relationship Id="rId1953" Type="http://schemas.openxmlformats.org/officeDocument/2006/relationships/hyperlink" Target="2012/Bri%20J%20Soc%20Wor42,%201626.pdf" TargetMode="External"/><Relationship Id="rId2131" Type="http://schemas.openxmlformats.org/officeDocument/2006/relationships/hyperlink" Target="1999/Bul%20Med%20Lib%20Ass87,%20276.pdf" TargetMode="External"/><Relationship Id="rId38" Type="http://schemas.openxmlformats.org/officeDocument/2006/relationships/hyperlink" Target="2010/Aca%20Med85,%201060.pdf" TargetMode="External"/><Relationship Id="rId103" Type="http://schemas.openxmlformats.org/officeDocument/2006/relationships/hyperlink" Target="2008/Act%20Ana%20Sin39,%20264.pdf" TargetMode="External"/><Relationship Id="rId310" Type="http://schemas.openxmlformats.org/officeDocument/2006/relationships/hyperlink" Target="2004/Age%20Age33,%20548.pdf" TargetMode="External"/><Relationship Id="rId548" Type="http://schemas.openxmlformats.org/officeDocument/2006/relationships/hyperlink" Target="1997/Ame%20J%20Obs%20Gyn177,%20973.pdf" TargetMode="External"/><Relationship Id="rId755" Type="http://schemas.openxmlformats.org/officeDocument/2006/relationships/hyperlink" Target="1995/Ane%20Ana80,%20641.pdf" TargetMode="External"/><Relationship Id="rId962" Type="http://schemas.openxmlformats.org/officeDocument/2006/relationships/hyperlink" Target="2007/Ann%20Sur245,%20187.pdf" TargetMode="External"/><Relationship Id="rId1178" Type="http://schemas.openxmlformats.org/officeDocument/2006/relationships/hyperlink" Target="2011/Arc%20Phy%20Med%20Reh92,%202041.pdf" TargetMode="External"/><Relationship Id="rId1385" Type="http://schemas.openxmlformats.org/officeDocument/2006/relationships/hyperlink" Target="2009/Aus%20Lib%20J58,%2028.pdf" TargetMode="External"/><Relationship Id="rId1592" Type="http://schemas.openxmlformats.org/officeDocument/2006/relationships/hyperlink" Target="2013/BMC%20Hea%20Ser%20Res13,%20528.pdf" TargetMode="External"/><Relationship Id="rId1606" Type="http://schemas.openxmlformats.org/officeDocument/2006/relationships/hyperlink" Target="2009/BMC%20Inf%20Dis9,%2024.pdf" TargetMode="External"/><Relationship Id="rId1813" Type="http://schemas.openxmlformats.org/officeDocument/2006/relationships/hyperlink" Target="2012/Bra%20J%20Inf%20Dis16,%20366.pdf" TargetMode="External"/><Relationship Id="rId91" Type="http://schemas.openxmlformats.org/officeDocument/2006/relationships/hyperlink" Target="1995/Act%20Ana%20Sca39,%20577.pdf" TargetMode="External"/><Relationship Id="rId187" Type="http://schemas.openxmlformats.org/officeDocument/2006/relationships/hyperlink" Target="2001/Act%20Phy%20Sca171,%20113.pdf" TargetMode="External"/><Relationship Id="rId394" Type="http://schemas.openxmlformats.org/officeDocument/2006/relationships/hyperlink" Target="1960-80/Ame%20Doc16,%2081.pdf" TargetMode="External"/><Relationship Id="rId408" Type="http://schemas.openxmlformats.org/officeDocument/2006/relationships/hyperlink" Target="2010/Ame%20Hea%20J160,%201004.pdf" TargetMode="External"/><Relationship Id="rId615" Type="http://schemas.openxmlformats.org/officeDocument/2006/relationships/hyperlink" Target="1960-80/Ame%20J%20Psy81,%20269.pdf" TargetMode="External"/><Relationship Id="rId822" Type="http://schemas.openxmlformats.org/officeDocument/2006/relationships/hyperlink" Target="2014/Ann%20All%20Ast%20Imm113,%20187.pdf" TargetMode="External"/><Relationship Id="rId1038" Type="http://schemas.openxmlformats.org/officeDocument/2006/relationships/hyperlink" Target="2015/Appetite84,%20240.pdf" TargetMode="External"/><Relationship Id="rId1245" Type="http://schemas.openxmlformats.org/officeDocument/2006/relationships/hyperlink" Target="2013/Asi%20Pac%20Edu%20Rev14,%2023.pdf" TargetMode="External"/><Relationship Id="rId1452" Type="http://schemas.openxmlformats.org/officeDocument/2006/relationships/hyperlink" Target="2012/Bio%20Soc%20Biol58,%2062.pdf" TargetMode="External"/><Relationship Id="rId1897" Type="http://schemas.openxmlformats.org/officeDocument/2006/relationships/hyperlink" Target="2010/Bri%20J%20Neu24,%20334.pdf" TargetMode="External"/><Relationship Id="rId2075" Type="http://schemas.openxmlformats.org/officeDocument/2006/relationships/hyperlink" Target="2011/Bri%20Med%20J343,%20d7102.pdf" TargetMode="External"/><Relationship Id="rId254" Type="http://schemas.openxmlformats.org/officeDocument/2006/relationships/hyperlink" Target="2011/Adv%20Atm%20Sci28,%20238.pdf" TargetMode="External"/><Relationship Id="rId699" Type="http://schemas.openxmlformats.org/officeDocument/2006/relationships/hyperlink" Target="2014/Ana%20Kar%20Der%20Ana%20J%20Car14,%20332.pdf" TargetMode="External"/><Relationship Id="rId1091" Type="http://schemas.openxmlformats.org/officeDocument/2006/relationships/hyperlink" Target="2010/Arc%20Der146,%20554.pdf" TargetMode="External"/><Relationship Id="rId1105" Type="http://schemas.openxmlformats.org/officeDocument/2006/relationships/hyperlink" Target="2010/Arc%20Env%20Occ%20Hea65,%20112.pdf" TargetMode="External"/><Relationship Id="rId1312" Type="http://schemas.openxmlformats.org/officeDocument/2006/relationships/hyperlink" Target="1960-80/Asl%20Pro25,%20252.pdf" TargetMode="External"/><Relationship Id="rId1757" Type="http://schemas.openxmlformats.org/officeDocument/2006/relationships/hyperlink" Target="2014/BMJ%20Ope4,%20e004468.pdf" TargetMode="External"/><Relationship Id="rId1964" Type="http://schemas.openxmlformats.org/officeDocument/2006/relationships/hyperlink" Target="2010/Bri%20J%20Sur97,%20141.pdf" TargetMode="External"/><Relationship Id="rId49" Type="http://schemas.openxmlformats.org/officeDocument/2006/relationships/hyperlink" Target="2010/Aca%20Rad17,%20815.pdf" TargetMode="External"/><Relationship Id="rId114" Type="http://schemas.openxmlformats.org/officeDocument/2006/relationships/hyperlink" Target="http://hirc.botanic.hr/actabot/actahome.htm" TargetMode="External"/><Relationship Id="rId461" Type="http://schemas.openxmlformats.org/officeDocument/2006/relationships/hyperlink" Target="2014/Ame%20J%20Epi179,%20929.pdf" TargetMode="External"/><Relationship Id="rId559" Type="http://schemas.openxmlformats.org/officeDocument/2006/relationships/hyperlink" Target="2010/Ame%20J%20Occ%20The64,%207.pdf" TargetMode="External"/><Relationship Id="rId766" Type="http://schemas.openxmlformats.org/officeDocument/2006/relationships/hyperlink" Target="2008/Ane%20Ana106,%201589.pdf" TargetMode="External"/><Relationship Id="rId1189" Type="http://schemas.openxmlformats.org/officeDocument/2006/relationships/hyperlink" Target="2014/Arc%20Vir159,%203167.pdf" TargetMode="External"/><Relationship Id="rId1396" Type="http://schemas.openxmlformats.org/officeDocument/2006/relationships/hyperlink" Target="2005/Aus%20New%20Zea%20J%20Psy39,%20591.pdf" TargetMode="External"/><Relationship Id="rId1617" Type="http://schemas.openxmlformats.org/officeDocument/2006/relationships/hyperlink" Target="http://www.biomedcentral.com/bmcmededuc/" TargetMode="External"/><Relationship Id="rId1824" Type="http://schemas.openxmlformats.org/officeDocument/2006/relationships/hyperlink" Target="2006/Bra%20J%20Med%20Bio%20Res39,%201513.pdf" TargetMode="External"/><Relationship Id="rId2142" Type="http://schemas.openxmlformats.org/officeDocument/2006/relationships/hyperlink" Target="2002/Bul%20Nat%20Nat%20Sci%20Fou%20Chi16,%20115.pdf" TargetMode="External"/><Relationship Id="rId198" Type="http://schemas.openxmlformats.org/officeDocument/2006/relationships/hyperlink" Target="2011/Act%20Psy%20Sca124,%20120.pdf" TargetMode="External"/><Relationship Id="rId321" Type="http://schemas.openxmlformats.org/officeDocument/2006/relationships/hyperlink" Target="2011/Age%20Res%20Rev10,%20464.pdf" TargetMode="External"/><Relationship Id="rId419" Type="http://schemas.openxmlformats.org/officeDocument/2006/relationships/hyperlink" Target="2011/Ame%20J%20Car108,%201171.pdf" TargetMode="External"/><Relationship Id="rId626" Type="http://schemas.openxmlformats.org/officeDocument/2006/relationships/hyperlink" Target="2004/Ame%20J%20Res%20Cri%20Car%20Med170,%20351.pdf" TargetMode="External"/><Relationship Id="rId973" Type="http://schemas.openxmlformats.org/officeDocument/2006/relationships/hyperlink" Target="2013/Ann%20Sur%20Onc20,%204169.pdf" TargetMode="External"/><Relationship Id="rId1049" Type="http://schemas.openxmlformats.org/officeDocument/2006/relationships/hyperlink" Target="../HO-reference/2013/App%20Eco%20Let20,%20830.pdf" TargetMode="External"/><Relationship Id="rId1256" Type="http://schemas.openxmlformats.org/officeDocument/2006/relationships/hyperlink" Target="2010/Asi-Pac%20J%20Pub%20Hea22,%20492.pdf" TargetMode="External"/><Relationship Id="rId2002" Type="http://schemas.openxmlformats.org/officeDocument/2006/relationships/hyperlink" Target="1995/Bri%20Med%20J310,%201236.pdf" TargetMode="External"/><Relationship Id="rId2086" Type="http://schemas.openxmlformats.org/officeDocument/2006/relationships/hyperlink" Target="2010/Bro%20Stu35,%2040.pdf" TargetMode="External"/><Relationship Id="rId833" Type="http://schemas.openxmlformats.org/officeDocument/2006/relationships/hyperlink" Target="1998/Ann%20Eme%20Med31,%2083.pdf" TargetMode="External"/><Relationship Id="rId1116" Type="http://schemas.openxmlformats.org/officeDocument/2006/relationships/hyperlink" Target="2013/Arc%20Eur%20Soc54,%20327.pdf" TargetMode="External"/><Relationship Id="rId1463" Type="http://schemas.openxmlformats.org/officeDocument/2006/relationships/hyperlink" Target="2014/Bio%20Cyb108,%20757.pdf" TargetMode="External"/><Relationship Id="rId1670" Type="http://schemas.openxmlformats.org/officeDocument/2006/relationships/hyperlink" Target="2013/BMC%20Oph13,%20UNSP%2056.pdf" TargetMode="External"/><Relationship Id="rId1768" Type="http://schemas.openxmlformats.org/officeDocument/2006/relationships/hyperlink" Target="2014/BMJ%20Ope4,%20e005378.pdf" TargetMode="External"/><Relationship Id="rId265" Type="http://schemas.openxmlformats.org/officeDocument/2006/relationships/hyperlink" Target="2014/Adv%20Met903709.pdf" TargetMode="External"/><Relationship Id="rId472" Type="http://schemas.openxmlformats.org/officeDocument/2006/relationships/hyperlink" Target="2005/Ame%20J%20Gas100,%202431.pdf" TargetMode="External"/><Relationship Id="rId900" Type="http://schemas.openxmlformats.org/officeDocument/2006/relationships/hyperlink" Target="http://www.niscair.res.in/sciencecommunication/ResearchJournals/rejour/annals/annals0.asp" TargetMode="External"/><Relationship Id="rId1323" Type="http://schemas.openxmlformats.org/officeDocument/2006/relationships/hyperlink" Target="2005/Asl%20Pro57,%2022.pdf" TargetMode="External"/><Relationship Id="rId1530" Type="http://schemas.openxmlformats.org/officeDocument/2006/relationships/hyperlink" Target="2012/BJU%20Int109,%20496.pdf" TargetMode="External"/><Relationship Id="rId1628" Type="http://schemas.openxmlformats.org/officeDocument/2006/relationships/hyperlink" Target="http://www.biomedcentral.com/bmcmedinformdecismak" TargetMode="External"/><Relationship Id="rId1975" Type="http://schemas.openxmlformats.org/officeDocument/2006/relationships/hyperlink" Target="2013/Bri%20Med%20Bul107,%2069.pdf" TargetMode="External"/><Relationship Id="rId2153" Type="http://schemas.openxmlformats.org/officeDocument/2006/relationships/hyperlink" Target="2014/Burns40,%209.pdf" TargetMode="External"/><Relationship Id="rId125" Type="http://schemas.openxmlformats.org/officeDocument/2006/relationships/hyperlink" Target="http://journals.iucr.org/a/journalhomepage.html" TargetMode="External"/><Relationship Id="rId332" Type="http://schemas.openxmlformats.org/officeDocument/2006/relationships/hyperlink" Target="2012/AIDS26,%202039.pdf" TargetMode="External"/><Relationship Id="rId777" Type="http://schemas.openxmlformats.org/officeDocument/2006/relationships/hyperlink" Target="2001/Ang%20Che40,%20139.pdf" TargetMode="External"/><Relationship Id="rId984" Type="http://schemas.openxmlformats.org/officeDocument/2006/relationships/hyperlink" Target="2009/Ann%20Tra14,%2058.pdf" TargetMode="External"/><Relationship Id="rId1835" Type="http://schemas.openxmlformats.org/officeDocument/2006/relationships/hyperlink" Target="2014/Bra%20Ora%20Res28,%20413.pdf" TargetMode="External"/><Relationship Id="rId2013" Type="http://schemas.openxmlformats.org/officeDocument/2006/relationships/hyperlink" Target="1997/Bri%20Med%20J315,%2025.pdf" TargetMode="External"/><Relationship Id="rId637" Type="http://schemas.openxmlformats.org/officeDocument/2006/relationships/hyperlink" Target="2002/Ame%20J%20Roe178,%20541.pdf" TargetMode="External"/><Relationship Id="rId844" Type="http://schemas.openxmlformats.org/officeDocument/2006/relationships/hyperlink" Target="2014/Ann%20Epi24,%20383.pdf" TargetMode="External"/><Relationship Id="rId1267" Type="http://schemas.openxmlformats.org/officeDocument/2006/relationships/hyperlink" Target="2015/Asi%20J%20And17,%20135.pdf" TargetMode="External"/><Relationship Id="rId1474" Type="http://schemas.openxmlformats.org/officeDocument/2006/relationships/hyperlink" Target="2014/Bio%20Res%20Int,%20482906.pdf" TargetMode="External"/><Relationship Id="rId1681" Type="http://schemas.openxmlformats.org/officeDocument/2006/relationships/hyperlink" Target="2014/BMC%20Pre%20Chi14,%20281.pdf" TargetMode="External"/><Relationship Id="rId1902" Type="http://schemas.openxmlformats.org/officeDocument/2006/relationships/hyperlink" Target="2003/Bri%20J%20Nut90,%201.pdf" TargetMode="External"/><Relationship Id="rId2097" Type="http://schemas.openxmlformats.org/officeDocument/2006/relationships/hyperlink" Target="-1959/Bul%20Med%20Lib%20Ass32,%20479.pdf" TargetMode="External"/><Relationship Id="rId276" Type="http://schemas.openxmlformats.org/officeDocument/2006/relationships/hyperlink" Target="2013/Aes%20Sur%20J33,%20585.pdf" TargetMode="External"/><Relationship Id="rId483" Type="http://schemas.openxmlformats.org/officeDocument/2006/relationships/hyperlink" Target="2007/Ame%20J%20Hea%20Beh31,%20S47.pdf" TargetMode="External"/><Relationship Id="rId690" Type="http://schemas.openxmlformats.org/officeDocument/2006/relationships/hyperlink" Target="2004/Ame%20Sur70,%20127.pdf" TargetMode="External"/><Relationship Id="rId704" Type="http://schemas.openxmlformats.org/officeDocument/2006/relationships/hyperlink" Target="2001/Anesthesia56,%2099.pdf" TargetMode="External"/><Relationship Id="rId911" Type="http://schemas.openxmlformats.org/officeDocument/2006/relationships/hyperlink" Target="2014/Ann%20Med46,%20693.pdf" TargetMode="External"/><Relationship Id="rId1127" Type="http://schemas.openxmlformats.org/officeDocument/2006/relationships/hyperlink" Target="2011/Arc%20Gyn%20Obs284,%201209.pdf" TargetMode="External"/><Relationship Id="rId1334" Type="http://schemas.openxmlformats.org/officeDocument/2006/relationships/hyperlink" Target="2009/Asl%20Pro61,%20407.pdf" TargetMode="External"/><Relationship Id="rId1541" Type="http://schemas.openxmlformats.org/officeDocument/2006/relationships/hyperlink" Target="2011/BMC%20Bio12,%20387.pdf" TargetMode="External"/><Relationship Id="rId1779" Type="http://schemas.openxmlformats.org/officeDocument/2006/relationships/hyperlink" Target="2012/BMJ%20Qua%20Saf21,%20423.pdf" TargetMode="External"/><Relationship Id="rId1986" Type="http://schemas.openxmlformats.org/officeDocument/2006/relationships/hyperlink" Target="1992/Bri%20Med%20J305,%2015.pdf" TargetMode="External"/><Relationship Id="rId2164" Type="http://schemas.openxmlformats.org/officeDocument/2006/relationships/hyperlink" Target="http://bas.sagepub.com/" TargetMode="External"/><Relationship Id="rId40" Type="http://schemas.openxmlformats.org/officeDocument/2006/relationships/hyperlink" Target="2011/Aca%20Med86,%20628.pdf" TargetMode="External"/><Relationship Id="rId136" Type="http://schemas.openxmlformats.org/officeDocument/2006/relationships/hyperlink" Target="2013/Act%20Hae129,%20146.pdf" TargetMode="External"/><Relationship Id="rId343" Type="http://schemas.openxmlformats.org/officeDocument/2006/relationships/hyperlink" Target="2006/AID%20Res%20Hum%20Ret22,%201199.pdf" TargetMode="External"/><Relationship Id="rId550" Type="http://schemas.openxmlformats.org/officeDocument/2006/relationships/hyperlink" Target="2010/Ame%20J%20Obs%20Gyn203,%20355.e1.pdf" TargetMode="External"/><Relationship Id="rId788" Type="http://schemas.openxmlformats.org/officeDocument/2006/relationships/hyperlink" Target="2013/Ang%20Ort83,%20366.pdf" TargetMode="External"/><Relationship Id="rId995" Type="http://schemas.openxmlformats.org/officeDocument/2006/relationships/hyperlink" Target="http://www.pubmedcentral.nih.gov/tocrender.fcgi?action=archive&amp;journal=362" TargetMode="External"/><Relationship Id="rId1180" Type="http://schemas.openxmlformats.org/officeDocument/2006/relationships/hyperlink" Target="2013/Arc%20Phy%20Med%20Reh94,%20324.pdf" TargetMode="External"/><Relationship Id="rId1401" Type="http://schemas.openxmlformats.org/officeDocument/2006/relationships/hyperlink" Target="2011/Aus%20New%20Zea%20J%20Psy45,%2027.pdf" TargetMode="External"/><Relationship Id="rId1639" Type="http://schemas.openxmlformats.org/officeDocument/2006/relationships/hyperlink" Target="2009/BMC%20Med%20Res%20Met9,%2026.pdf" TargetMode="External"/><Relationship Id="rId1846" Type="http://schemas.openxmlformats.org/officeDocument/2006/relationships/hyperlink" Target="2014/Bre%20Can%20Res%20Tre144,%20223.pdf" TargetMode="External"/><Relationship Id="rId2024" Type="http://schemas.openxmlformats.org/officeDocument/2006/relationships/hyperlink" Target="2001/Bri%20Med%20J323,%201460.pdf" TargetMode="External"/><Relationship Id="rId203" Type="http://schemas.openxmlformats.org/officeDocument/2006/relationships/hyperlink" Target="2007/Act%20Sci%20Bio%20Sci29,%2039.pdf" TargetMode="External"/><Relationship Id="rId648" Type="http://schemas.openxmlformats.org/officeDocument/2006/relationships/hyperlink" Target="2013/Ame%20J%20Sur206,%20560.pdf" TargetMode="External"/><Relationship Id="rId855" Type="http://schemas.openxmlformats.org/officeDocument/2006/relationships/hyperlink" Target="1982/Ann%20Int%20Med97,%20602.pdf" TargetMode="External"/><Relationship Id="rId1040" Type="http://schemas.openxmlformats.org/officeDocument/2006/relationships/hyperlink" Target="http://www.ecology.kee.hu/" TargetMode="External"/><Relationship Id="rId1278" Type="http://schemas.openxmlformats.org/officeDocument/2006/relationships/hyperlink" Target="2003/Asi-Pac%20Eco%20Lit17,%2051.pdf" TargetMode="External"/><Relationship Id="rId1485" Type="http://schemas.openxmlformats.org/officeDocument/2006/relationships/hyperlink" Target="2015/Bio%20Res%20Int,%20623939.pdf" TargetMode="External"/><Relationship Id="rId1692" Type="http://schemas.openxmlformats.org/officeDocument/2006/relationships/hyperlink" Target="2006/BMC%20Pub%20Hea6,%20177.pdf" TargetMode="External"/><Relationship Id="rId1706" Type="http://schemas.openxmlformats.org/officeDocument/2006/relationships/hyperlink" Target="2012/BMC%20Pub%20Hea12,%20723.pdf" TargetMode="External"/><Relationship Id="rId1913" Type="http://schemas.openxmlformats.org/officeDocument/2006/relationships/hyperlink" Target="http://bjps.oxfordjournals.org/archive/" TargetMode="External"/><Relationship Id="rId287" Type="http://schemas.openxmlformats.org/officeDocument/2006/relationships/hyperlink" Target="2013/Afr%20J%20Bio-Sun.pdf" TargetMode="External"/><Relationship Id="rId410" Type="http://schemas.openxmlformats.org/officeDocument/2006/relationships/hyperlink" Target="2001/Ame%20His%20Rev106,%20927.pdf" TargetMode="External"/><Relationship Id="rId494" Type="http://schemas.openxmlformats.org/officeDocument/2006/relationships/hyperlink" Target="2004/Ame%20J%20Hem77,%20257.pdf" TargetMode="External"/><Relationship Id="rId508" Type="http://schemas.openxmlformats.org/officeDocument/2006/relationships/hyperlink" Target="-1959/Ame%20J%20Hyg7,%20299.pdf" TargetMode="External"/><Relationship Id="rId715" Type="http://schemas.openxmlformats.org/officeDocument/2006/relationships/hyperlink" Target="../HO-reference/2012/Anesthesia67,%20186.pdf" TargetMode="External"/><Relationship Id="rId922" Type="http://schemas.openxmlformats.org/officeDocument/2006/relationships/hyperlink" Target="2011/Ann%20Onc22,%202366.pdf" TargetMode="External"/><Relationship Id="rId1138" Type="http://schemas.openxmlformats.org/officeDocument/2006/relationships/hyperlink" Target="2008/Arc%20Int%20Med168,%2014.pdf" TargetMode="External"/><Relationship Id="rId1345" Type="http://schemas.openxmlformats.org/officeDocument/2006/relationships/hyperlink" Target="2013/Asl%20Pro65,%20659.pdf" TargetMode="External"/><Relationship Id="rId1552" Type="http://schemas.openxmlformats.org/officeDocument/2006/relationships/hyperlink" Target="2014/BMC%20Can14,%20793.pdf" TargetMode="External"/><Relationship Id="rId1997" Type="http://schemas.openxmlformats.org/officeDocument/2006/relationships/hyperlink" Target="1993/Bri%20Med%20J306,%201415.pdf.pdf" TargetMode="External"/><Relationship Id="rId147" Type="http://schemas.openxmlformats.org/officeDocument/2006/relationships/hyperlink" Target="2015/Act%20Neu27,%2082.pdf" TargetMode="External"/><Relationship Id="rId354" Type="http://schemas.openxmlformats.org/officeDocument/2006/relationships/hyperlink" Target="2011/Alc-Cli%20Exp%20Res35,%20595.pdf" TargetMode="External"/><Relationship Id="rId799" Type="http://schemas.openxmlformats.org/officeDocument/2006/relationships/hyperlink" Target="2006/Ann%20Phy15,%20461.pdf" TargetMode="External"/><Relationship Id="rId1191" Type="http://schemas.openxmlformats.org/officeDocument/2006/relationships/hyperlink" Target="2004/Arc%20Bro40,%20563.pdf" TargetMode="External"/><Relationship Id="rId1205" Type="http://schemas.openxmlformats.org/officeDocument/2006/relationships/hyperlink" Target="2009/Arc%20Imm%20The%20Exp57,%201.pdf" TargetMode="External"/><Relationship Id="rId1857" Type="http://schemas.openxmlformats.org/officeDocument/2006/relationships/hyperlink" Target="2008/Bri%20J%20Ana100,%20744.pdf" TargetMode="External"/><Relationship Id="rId2035" Type="http://schemas.openxmlformats.org/officeDocument/2006/relationships/hyperlink" Target="2003/Bri%20Med%20J327,%201459.pdf" TargetMode="External"/><Relationship Id="rId51" Type="http://schemas.openxmlformats.org/officeDocument/2006/relationships/hyperlink" Target="2014/Aca%20Rad21,%201056.pdf" TargetMode="External"/><Relationship Id="rId561" Type="http://schemas.openxmlformats.org/officeDocument/2006/relationships/hyperlink" Target="2011/Ame%20J%20Occ%20The65,%20346.pdf" TargetMode="External"/><Relationship Id="rId659" Type="http://schemas.openxmlformats.org/officeDocument/2006/relationships/hyperlink" Target="1960-80/Ame%20Psy28,%20161.pdf" TargetMode="External"/><Relationship Id="rId866" Type="http://schemas.openxmlformats.org/officeDocument/2006/relationships/hyperlink" Target="2007/Ann%20Int%20Med146,%20502.pdf" TargetMode="External"/><Relationship Id="rId1289" Type="http://schemas.openxmlformats.org/officeDocument/2006/relationships/hyperlink" Target="2013/Asi%20Pac%20J%20Can%20Pre14,%206681.pdf" TargetMode="External"/><Relationship Id="rId1412" Type="http://schemas.openxmlformats.org/officeDocument/2006/relationships/hyperlink" Target="1997/Aus%20New%20Zea%20J%20Sur67,%20417.pdf" TargetMode="External"/><Relationship Id="rId1496" Type="http://schemas.openxmlformats.org/officeDocument/2006/relationships/hyperlink" Target="-1959/Biometrika30,%20469.pdf" TargetMode="External"/><Relationship Id="rId1717" Type="http://schemas.openxmlformats.org/officeDocument/2006/relationships/hyperlink" Target="2014/BMC%20Pub%20Hea14,%20403.pdf" TargetMode="External"/><Relationship Id="rId1924" Type="http://schemas.openxmlformats.org/officeDocument/2006/relationships/hyperlink" Target="2002/Bri%20J%20Psy181,%20538.pdf" TargetMode="External"/><Relationship Id="rId214" Type="http://schemas.openxmlformats.org/officeDocument/2006/relationships/hyperlink" Target="http://sdos.ejournal.ascc.net/cgi-bin/sciserv.pl?collection=journals&amp;journal=0001706x" TargetMode="External"/><Relationship Id="rId298" Type="http://schemas.openxmlformats.org/officeDocument/2006/relationships/hyperlink" Target="2011/Afr%20J%20Bus%20Man5,%209838.pdf" TargetMode="External"/><Relationship Id="rId421" Type="http://schemas.openxmlformats.org/officeDocument/2006/relationships/hyperlink" Target="2013/Ame%20J%20Car112,%201322.pdf" TargetMode="External"/><Relationship Id="rId519" Type="http://schemas.openxmlformats.org/officeDocument/2006/relationships/hyperlink" Target="2014/Ame%20J%20Kid%20Dis63,%20479.pdf" TargetMode="External"/><Relationship Id="rId1051" Type="http://schemas.openxmlformats.org/officeDocument/2006/relationships/hyperlink" Target="2011/App%20Ene88,%203532.pdf" TargetMode="External"/><Relationship Id="rId1149" Type="http://schemas.openxmlformats.org/officeDocument/2006/relationships/hyperlink" Target="2005/Arc%20Oph123,%20263.pdf" TargetMode="External"/><Relationship Id="rId1356" Type="http://schemas.openxmlformats.org/officeDocument/2006/relationships/hyperlink" Target="2014/Atherosclerosis236,%207.pdf" TargetMode="External"/><Relationship Id="rId2102" Type="http://schemas.openxmlformats.org/officeDocument/2006/relationships/hyperlink" Target="../HO-reference/1960-80/Bul%20Med%20Lib%20Ass54,%20104.pdf" TargetMode="External"/><Relationship Id="rId158" Type="http://schemas.openxmlformats.org/officeDocument/2006/relationships/hyperlink" Target="2010/Act%20Odo%20Sca68,%20249.pdf" TargetMode="External"/><Relationship Id="rId726" Type="http://schemas.openxmlformats.org/officeDocument/2006/relationships/hyperlink" Target="2006/Ana%20Aca%20Bra%20Cie78,%20855.pdf" TargetMode="External"/><Relationship Id="rId933" Type="http://schemas.openxmlformats.org/officeDocument/2006/relationships/hyperlink" Target="2011/Ann%20Pha45,%201506.pdf" TargetMode="External"/><Relationship Id="rId1009" Type="http://schemas.openxmlformats.org/officeDocument/2006/relationships/hyperlink" Target="1995/Ant%20Age%20Che39,%201700.pdf" TargetMode="External"/><Relationship Id="rId1563" Type="http://schemas.openxmlformats.org/officeDocument/2006/relationships/hyperlink" Target="2013/BMC%20Fam%20Pra14,%2020.pdf" TargetMode="External"/><Relationship Id="rId1770" Type="http://schemas.openxmlformats.org/officeDocument/2006/relationships/hyperlink" Target="2014/BMJ%20Ope4,%20e006514.pdf" TargetMode="External"/><Relationship Id="rId1868" Type="http://schemas.openxmlformats.org/officeDocument/2006/relationships/hyperlink" Target="2010/Bri%20J%20Can103,%201467.pdf" TargetMode="External"/><Relationship Id="rId62" Type="http://schemas.openxmlformats.org/officeDocument/2006/relationships/hyperlink" Target="2009/Acc%20Res%20Pol%20Qua%20Ass16,%201.pdf" TargetMode="External"/><Relationship Id="rId365" Type="http://schemas.openxmlformats.org/officeDocument/2006/relationships/hyperlink" Target="2011/Ali%20Pha%20The34,%20509.pdf" TargetMode="External"/><Relationship Id="rId572" Type="http://schemas.openxmlformats.org/officeDocument/2006/relationships/hyperlink" Target="2005/Ame%20J%20Ort%20Den%20Ort128,%20212.pdf" TargetMode="External"/><Relationship Id="rId1216" Type="http://schemas.openxmlformats.org/officeDocument/2006/relationships/hyperlink" Target="2006/Ari%20Lan%20Geo29,%20452.pdf" TargetMode="External"/><Relationship Id="rId1423" Type="http://schemas.openxmlformats.org/officeDocument/2006/relationships/hyperlink" Target="http://www.blackwell-synergy.com/doi/abs/10.1111/j.1742-7843.2005.pto_139.x" TargetMode="External"/><Relationship Id="rId1630" Type="http://schemas.openxmlformats.org/officeDocument/2006/relationships/hyperlink" Target="2011/BMC%20Med%20Inf%20Dec%20Mak11,%2024.pdf" TargetMode="External"/><Relationship Id="rId2046" Type="http://schemas.openxmlformats.org/officeDocument/2006/relationships/hyperlink" Target="2007/Bri%20Med%20J335,%201248.pdf" TargetMode="External"/><Relationship Id="rId225" Type="http://schemas.openxmlformats.org/officeDocument/2006/relationships/hyperlink" Target="http://weblinks3.epnet.com/authHjafDetail.asp?tb=1&amp;_ua=bo+B%5F+db+pbhjnh+bt+ID++ADP+88ED&amp;_ug=sid+5F41C0A1%2D97E5%2D41D5%2D924F%2DA163E7023529%40sessionmgr2+dbs+pbh+8A78&amp;_us=hd+True+sm+ES+4DBA&amp;_uso=st%5B0+%2DID++ADP+tg%5B0+%2D+db%5B0+%2Dpbh+op%5B0+" TargetMode="External"/><Relationship Id="rId432" Type="http://schemas.openxmlformats.org/officeDocument/2006/relationships/hyperlink" Target="2001/Ame%20J%20Cli%20Nut74,%20556.pdf" TargetMode="External"/><Relationship Id="rId877" Type="http://schemas.openxmlformats.org/officeDocument/2006/relationships/hyperlink" Target="2010/Ann%20Int%20Med153,%2099.pdf" TargetMode="External"/><Relationship Id="rId1062" Type="http://schemas.openxmlformats.org/officeDocument/2006/relationships/hyperlink" Target="2015/App%20Sof%20Com30,%20778.pdf" TargetMode="External"/><Relationship Id="rId1728" Type="http://schemas.openxmlformats.org/officeDocument/2006/relationships/hyperlink" Target="2015/BMC%20Pub%20Hea15,%20258.pdf" TargetMode="External"/><Relationship Id="rId1935" Type="http://schemas.openxmlformats.org/officeDocument/2006/relationships/hyperlink" Target="http://bjr.birjournals.org/contents-by-date.0.shtml" TargetMode="External"/><Relationship Id="rId2113" Type="http://schemas.openxmlformats.org/officeDocument/2006/relationships/hyperlink" Target="1995/Bul%20Med%20Lib%20Ass83,%20503.pdf" TargetMode="External"/><Relationship Id="rId737" Type="http://schemas.openxmlformats.org/officeDocument/2006/relationships/hyperlink" Target="http://sciencejournals.info/Analytica_Chimica_Acta.html" TargetMode="External"/><Relationship Id="rId944" Type="http://schemas.openxmlformats.org/officeDocument/2006/relationships/hyperlink" Target="2013/Ann%20Pla%20Sur70,%20231.pdf" TargetMode="External"/><Relationship Id="rId1367" Type="http://schemas.openxmlformats.org/officeDocument/2006/relationships/hyperlink" Target="2012/Aut%20J%20Edu%20Tec28,%20iii-1.pdf" TargetMode="External"/><Relationship Id="rId1574" Type="http://schemas.openxmlformats.org/officeDocument/2006/relationships/hyperlink" Target="2014/BMC%20Hea%20Ser%20Res14,%20121.pdf" TargetMode="External"/><Relationship Id="rId1781" Type="http://schemas.openxmlformats.org/officeDocument/2006/relationships/hyperlink" Target="2014/Bol%20Cie%20Geo20,%20855.pdf" TargetMode="External"/><Relationship Id="rId73" Type="http://schemas.openxmlformats.org/officeDocument/2006/relationships/hyperlink" Target="1986/Acc%20Che%20Res19,%20376.pdf" TargetMode="External"/><Relationship Id="rId169" Type="http://schemas.openxmlformats.org/officeDocument/2006/relationships/hyperlink" Target="1998/Act%20Ort69,%20224.pdf" TargetMode="External"/><Relationship Id="rId376" Type="http://schemas.openxmlformats.org/officeDocument/2006/relationships/hyperlink" Target="2007/Allergy62,%20115.pdf" TargetMode="External"/><Relationship Id="rId583" Type="http://schemas.openxmlformats.org/officeDocument/2006/relationships/hyperlink" Target="2014/Ame%20J%20Phy%20Med%20Reh93,%20809.pdf" TargetMode="External"/><Relationship Id="rId790" Type="http://schemas.openxmlformats.org/officeDocument/2006/relationships/hyperlink" Target="2013/Ang%20Ort83,%201066.pdf" TargetMode="External"/><Relationship Id="rId804" Type="http://schemas.openxmlformats.org/officeDocument/2006/relationships/hyperlink" Target="2009/Ann%20Phy18,%20607.pdf" TargetMode="External"/><Relationship Id="rId1227" Type="http://schemas.openxmlformats.org/officeDocument/2006/relationships/hyperlink" Target="2014/Arq%20Bra%20Car102,%20E21.pdf" TargetMode="External"/><Relationship Id="rId1434" Type="http://schemas.openxmlformats.org/officeDocument/2006/relationships/hyperlink" Target="1998/Beh%20Inf%20Tec17,%203.pdf" TargetMode="External"/><Relationship Id="rId1641" Type="http://schemas.openxmlformats.org/officeDocument/2006/relationships/hyperlink" Target="2011/BMC%20Med%20Res%20Met11,%2060.pdf" TargetMode="External"/><Relationship Id="rId1879" Type="http://schemas.openxmlformats.org/officeDocument/2006/relationships/hyperlink" Target="http://www.blackwell-synergy.com/servlet/useragent?func=showIssues&amp;code=bjd" TargetMode="External"/><Relationship Id="rId2057" Type="http://schemas.openxmlformats.org/officeDocument/2006/relationships/hyperlink" Target="2010/Bri%20Med%20J340,%20b5569.pdf" TargetMode="External"/><Relationship Id="rId4" Type="http://schemas.microsoft.com/office/2007/relationships/stylesWithEffects" Target="stylesWithEffects.xml"/><Relationship Id="rId236" Type="http://schemas.openxmlformats.org/officeDocument/2006/relationships/hyperlink" Target="2015/Addiction110,%2038.pdf" TargetMode="External"/><Relationship Id="rId443" Type="http://schemas.openxmlformats.org/officeDocument/2006/relationships/hyperlink" Target="2010/Ame%20J%20Eco%20Soc69,%201409.pdf" TargetMode="External"/><Relationship Id="rId650" Type="http://schemas.openxmlformats.org/officeDocument/2006/relationships/hyperlink" Target="2014/Ame%20J%20Sur-Long.pdf" TargetMode="External"/><Relationship Id="rId888" Type="http://schemas.openxmlformats.org/officeDocument/2006/relationships/hyperlink" Target="2011/Ann%20Int%20Med155,%20520.pdf" TargetMode="External"/><Relationship Id="rId1073" Type="http://schemas.openxmlformats.org/officeDocument/2006/relationships/hyperlink" Target="http://informahealthcare.com/loi/aan" TargetMode="External"/><Relationship Id="rId1280" Type="http://schemas.openxmlformats.org/officeDocument/2006/relationships/hyperlink" Target="2009/Asi%20Pac%20J%20Can%20Pre10,%201.pdf" TargetMode="External"/><Relationship Id="rId1501" Type="http://schemas.openxmlformats.org/officeDocument/2006/relationships/hyperlink" Target="2014\BioScience64,%20593.pdf" TargetMode="External"/><Relationship Id="rId1739" Type="http://schemas.openxmlformats.org/officeDocument/2006/relationships/hyperlink" Target="2015/BMJ-Bri%20Med%20J350,%20h1225.pdf" TargetMode="External"/><Relationship Id="rId1946" Type="http://schemas.openxmlformats.org/officeDocument/2006/relationships/hyperlink" Target="2012/Bri%20J%20Spo%20Med46,%20169.pdf" TargetMode="External"/><Relationship Id="rId2124" Type="http://schemas.openxmlformats.org/officeDocument/2006/relationships/hyperlink" Target="1997/Bul%20Med%20Lib%20Ass85,%20297.pdf" TargetMode="External"/><Relationship Id="rId303" Type="http://schemas.openxmlformats.org/officeDocument/2006/relationships/hyperlink" Target="2009/Afr%20J%20Lib%20Arc%20Inf%20Sci19,%20101.pdf" TargetMode="External"/><Relationship Id="rId748" Type="http://schemas.openxmlformats.org/officeDocument/2006/relationships/hyperlink" Target="2001/Ana%20Che73,%20667A.pdf" TargetMode="External"/><Relationship Id="rId955" Type="http://schemas.openxmlformats.org/officeDocument/2006/relationships/hyperlink" Target="2013/Ann%20Roy%20Col%20Sur%20Eng95,%2087.pdf" TargetMode="External"/><Relationship Id="rId1140" Type="http://schemas.openxmlformats.org/officeDocument/2006/relationships/hyperlink" Target="http://www.ams.ac.ir/AIM/archive.htm" TargetMode="External"/><Relationship Id="rId1378" Type="http://schemas.openxmlformats.org/officeDocument/2006/relationships/hyperlink" Target="2003/Aus%20Edu%20Res30,%2057.pdf" TargetMode="External"/><Relationship Id="rId1585" Type="http://schemas.openxmlformats.org/officeDocument/2006/relationships/hyperlink" Target="2009/BMC%20Hea%20Ser%20Res9,%20115.pdf" TargetMode="External"/><Relationship Id="rId1792" Type="http://schemas.openxmlformats.org/officeDocument/2006/relationships/hyperlink" Target="2014/Bone64,%20246.pdf" TargetMode="External"/><Relationship Id="rId1806" Type="http://schemas.openxmlformats.org/officeDocument/2006/relationships/hyperlink" Target="1996/Bra%20Lan74,%20289.pdf" TargetMode="External"/><Relationship Id="rId84" Type="http://schemas.openxmlformats.org/officeDocument/2006/relationships/hyperlink" Target="2012/ACS%20NANO19,%202861.pdf" TargetMode="External"/><Relationship Id="rId387" Type="http://schemas.openxmlformats.org/officeDocument/2006/relationships/hyperlink" Target="1969/Ame%20Bar%20Ass%20J55,%201006.pdf" TargetMode="External"/><Relationship Id="rId510" Type="http://schemas.openxmlformats.org/officeDocument/2006/relationships/hyperlink" Target="http://www.sciencedirect.com/science?_ob=JournalURL&amp;_cdi=4875&amp;_auth=y&amp;_acct=C000050221&amp;_version=1&amp;_urlVersion=0&amp;_userid=10&amp;md5=dd288086027019bdc298536dac7b1de1" TargetMode="External"/><Relationship Id="rId594" Type="http://schemas.openxmlformats.org/officeDocument/2006/relationships/hyperlink" Target="2007/Ame%20J%20Pre%20Med33,%2054.pdf" TargetMode="External"/><Relationship Id="rId608" Type="http://schemas.openxmlformats.org/officeDocument/2006/relationships/hyperlink" Target="http://galenet.galegroup.com/servlet/IOURL?issn=0002-9556&amp;title=American+Journal+of+Psychology&amp;locID=jrycal5&amp;prod=HWRC&amp;finalAuth=true" TargetMode="External"/><Relationship Id="rId815" Type="http://schemas.openxmlformats.org/officeDocument/2006/relationships/hyperlink" Target="2013/Ann%20Geo31,%20395.pdf" TargetMode="External"/><Relationship Id="rId1238" Type="http://schemas.openxmlformats.org/officeDocument/2006/relationships/hyperlink" Target="2015/Art%20Car%20Res67,%20169.pdf" TargetMode="External"/><Relationship Id="rId1445" Type="http://schemas.openxmlformats.org/officeDocument/2006/relationships/hyperlink" Target="2010/Bio%20Med20,%20301.pdf" TargetMode="External"/><Relationship Id="rId1652" Type="http://schemas.openxmlformats.org/officeDocument/2006/relationships/hyperlink" Target="2014/BMC%20Med12,%2036.pdf" TargetMode="External"/><Relationship Id="rId2068" Type="http://schemas.openxmlformats.org/officeDocument/2006/relationships/hyperlink" Target="2011/Bri%20Med%20J342,%20d1580.pdf" TargetMode="External"/><Relationship Id="rId247" Type="http://schemas.openxmlformats.org/officeDocument/2006/relationships/hyperlink" Target="http://www3.interscience.wiley.com/cgi-bin/jhome/109614369" TargetMode="External"/><Relationship Id="rId899" Type="http://schemas.openxmlformats.org/officeDocument/2006/relationships/hyperlink" Target="2011/Ann%20Lib%20Inf%20Stu59,%20280.pdf" TargetMode="External"/><Relationship Id="rId1000" Type="http://schemas.openxmlformats.org/officeDocument/2006/relationships/hyperlink" Target="2012/Ant-Can%20Dru23,%20155.pdf" TargetMode="External"/><Relationship Id="rId1084" Type="http://schemas.openxmlformats.org/officeDocument/2006/relationships/hyperlink" Target="1993/Arc%20Der129,%201121.pdf" TargetMode="External"/><Relationship Id="rId1305" Type="http://schemas.openxmlformats.org/officeDocument/2006/relationships/hyperlink" Target="2014/Asl%20J%20Inf%20Man66,%202.pdf" TargetMode="External"/><Relationship Id="rId1957" Type="http://schemas.openxmlformats.org/officeDocument/2006/relationships/hyperlink" Target="2003/Bri%20J%20Sur90,%201479.pdf" TargetMode="External"/><Relationship Id="rId107" Type="http://schemas.openxmlformats.org/officeDocument/2006/relationships/hyperlink" Target="2010/Act%20Bio16,%20115.pdf" TargetMode="External"/><Relationship Id="rId454" Type="http://schemas.openxmlformats.org/officeDocument/2006/relationships/hyperlink" Target="2003/Ame%20J%20Epi157,%20399.pdf" TargetMode="External"/><Relationship Id="rId661" Type="http://schemas.openxmlformats.org/officeDocument/2006/relationships/hyperlink" Target="1960-80/Ame%20Psy33,%20520.pdf" TargetMode="External"/><Relationship Id="rId759" Type="http://schemas.openxmlformats.org/officeDocument/2006/relationships/hyperlink" Target="1999/Ane%20Ana89,%20520.pdf" TargetMode="External"/><Relationship Id="rId966" Type="http://schemas.openxmlformats.org/officeDocument/2006/relationships/hyperlink" Target="2009/Ann%20Sur250,%20152.pdf" TargetMode="External"/><Relationship Id="rId1291" Type="http://schemas.openxmlformats.org/officeDocument/2006/relationships/hyperlink" Target="2013/Asi%20Pac%20J%20Can%20Pre14,%207149.pdf" TargetMode="External"/><Relationship Id="rId1389" Type="http://schemas.openxmlformats.org/officeDocument/2006/relationships/hyperlink" Target="http://www.atypon-link.com/AAP/loi/anft" TargetMode="External"/><Relationship Id="rId1512" Type="http://schemas.openxmlformats.org/officeDocument/2006/relationships/hyperlink" Target="2000/Bir-Iss%20Per%20Car27,%2086.pdf" TargetMode="External"/><Relationship Id="rId1596" Type="http://schemas.openxmlformats.org/officeDocument/2006/relationships/hyperlink" Target="2014/BMC%20Hea%20Ser%20Res14,%2089.pdf" TargetMode="External"/><Relationship Id="rId1817" Type="http://schemas.openxmlformats.org/officeDocument/2006/relationships/hyperlink" Target="2003/Bra%20J%20Med%20Bio%20Res36,%201.pdf" TargetMode="External"/><Relationship Id="rId2135" Type="http://schemas.openxmlformats.org/officeDocument/2006/relationships/hyperlink" Target="1999/Bul%20Med%20Lib%20Ass87,%20292.pdf" TargetMode="External"/><Relationship Id="rId11" Type="http://schemas.openxmlformats.org/officeDocument/2006/relationships/hyperlink" Target="2008/Aca-Rev%20Lat%20Adm41,%20V.pdf" TargetMode="External"/><Relationship Id="rId314" Type="http://schemas.openxmlformats.org/officeDocument/2006/relationships/hyperlink" Target="2010/Age%20Age39,%2031.pdf" TargetMode="External"/><Relationship Id="rId398" Type="http://schemas.openxmlformats.org/officeDocument/2006/relationships/hyperlink" Target="1960-80/Ame%20Doc19,%20102.pdf" TargetMode="External"/><Relationship Id="rId521" Type="http://schemas.openxmlformats.org/officeDocument/2006/relationships/hyperlink" Target="2009/Ame%20J%20Man%20Car15,%20383.pdf" TargetMode="External"/><Relationship Id="rId619" Type="http://schemas.openxmlformats.org/officeDocument/2006/relationships/hyperlink" Target="2003/Ame%20J%20Pub%20Hea93,%202037.pdf" TargetMode="External"/><Relationship Id="rId1151" Type="http://schemas.openxmlformats.org/officeDocument/2006/relationships/hyperlink" Target="2008/Arc%20Oph126,%20873.pdf" TargetMode="External"/><Relationship Id="rId1249" Type="http://schemas.openxmlformats.org/officeDocument/2006/relationships/hyperlink" Target="http://www.springerlink.com/content/106589/?p=6b6c15c145894f6ba0a7acc63c16671a&amp;pi=0" TargetMode="External"/><Relationship Id="rId2079" Type="http://schemas.openxmlformats.org/officeDocument/2006/relationships/hyperlink" Target="2012/Bri%20Med%20J344,%20e4212.pdf" TargetMode="External"/><Relationship Id="rId95" Type="http://schemas.openxmlformats.org/officeDocument/2006/relationships/hyperlink" Target="2002/Act%20Ana%20Sca46,%20902.pdf" TargetMode="External"/><Relationship Id="rId160" Type="http://schemas.openxmlformats.org/officeDocument/2006/relationships/hyperlink" Target="Health%20Education%20Research" TargetMode="External"/><Relationship Id="rId826" Type="http://schemas.openxmlformats.org/officeDocument/2006/relationships/hyperlink" Target="2011/Ann%20Ana93,%20191.pdf" TargetMode="External"/><Relationship Id="rId1011" Type="http://schemas.openxmlformats.org/officeDocument/2006/relationships/hyperlink" Target="1996/Ant%20Age%20Che40,%201768.pdf" TargetMode="External"/><Relationship Id="rId1109" Type="http://schemas.openxmlformats.org/officeDocument/2006/relationships/hyperlink" Target="2011/Arc%20Eur%20Sci5,%201.pdf" TargetMode="External"/><Relationship Id="rId1456" Type="http://schemas.openxmlformats.org/officeDocument/2006/relationships/hyperlink" Target="1999/Bioe%20Bio50,%2019.pdf" TargetMode="External"/><Relationship Id="rId1663" Type="http://schemas.openxmlformats.org/officeDocument/2006/relationships/hyperlink" Target="2013/BMC%20Nep14,%20228.pdf" TargetMode="External"/><Relationship Id="rId1870" Type="http://schemas.openxmlformats.org/officeDocument/2006/relationships/hyperlink" Target="2011/Bri%20J%20Can105,%2013.pdf" TargetMode="External"/><Relationship Id="rId1968" Type="http://schemas.openxmlformats.org/officeDocument/2006/relationships/hyperlink" Target="2013/Bri%20J%20Sur100,%2066.pdf" TargetMode="External"/><Relationship Id="rId258" Type="http://schemas.openxmlformats.org/officeDocument/2006/relationships/hyperlink" Target="2010/Adv%20Com%20Sys13,%2059.pdf" TargetMode="External"/><Relationship Id="rId465" Type="http://schemas.openxmlformats.org/officeDocument/2006/relationships/hyperlink" Target="2010/Ame%20J%20Eva31,%2024.pdf" TargetMode="External"/><Relationship Id="rId672" Type="http://schemas.openxmlformats.org/officeDocument/2006/relationships/hyperlink" Target="2004/Ame%20Psy59,%2049.pdf" TargetMode="External"/><Relationship Id="rId1095" Type="http://schemas.openxmlformats.org/officeDocument/2006/relationships/hyperlink" Target="2005/Arc%20Dis%20Chi90,%20925.pdf" TargetMode="External"/><Relationship Id="rId1316" Type="http://schemas.openxmlformats.org/officeDocument/2006/relationships/hyperlink" Target="2002/Asl%20Pro54,%2077.pdf" TargetMode="External"/><Relationship Id="rId1523" Type="http://schemas.openxmlformats.org/officeDocument/2006/relationships/hyperlink" Target="2002/BJU%20Int89,%20I.pdf" TargetMode="External"/><Relationship Id="rId1730" Type="http://schemas.openxmlformats.org/officeDocument/2006/relationships/hyperlink" Target="2014/BMC%20Sur14,%2087.pdf" TargetMode="External"/><Relationship Id="rId2146" Type="http://schemas.openxmlformats.org/officeDocument/2006/relationships/hyperlink" Target="2013/Bul%20Pol%20Aca%20Sci-Tec%20Sci61,%205.pdf" TargetMode="External"/><Relationship Id="rId22" Type="http://schemas.openxmlformats.org/officeDocument/2006/relationships/hyperlink" Target="2014/Aca%20Eme%20Med21,%201160.pdf" TargetMode="External"/><Relationship Id="rId118" Type="http://schemas.openxmlformats.org/officeDocument/2006/relationships/hyperlink" Target="2005/Act%20Cir%20Bra20,%2012.pdf" TargetMode="External"/><Relationship Id="rId325" Type="http://schemas.openxmlformats.org/officeDocument/2006/relationships/hyperlink" Target="2015/Agi%20Men%20Hea19,%2013.pdf" TargetMode="External"/><Relationship Id="rId532" Type="http://schemas.openxmlformats.org/officeDocument/2006/relationships/hyperlink" Target="1998/Ame%20J%20Med105,%20515.pdf" TargetMode="External"/><Relationship Id="rId977" Type="http://schemas.openxmlformats.org/officeDocument/2006/relationships/hyperlink" Target="2012/Ann%20Tho%20Sur93,%20337.pdf" TargetMode="External"/><Relationship Id="rId1162" Type="http://schemas.openxmlformats.org/officeDocument/2006/relationships/hyperlink" Target="2000/Arc%20Phy%20Med%20Reh81,%20720.pdf" TargetMode="External"/><Relationship Id="rId1828" Type="http://schemas.openxmlformats.org/officeDocument/2006/relationships/hyperlink" Target="2011/Bra%20J%20Med%20Bio%20Res44,%20738.pdf" TargetMode="External"/><Relationship Id="rId2006" Type="http://schemas.openxmlformats.org/officeDocument/2006/relationships/hyperlink" Target="1996/Bri%20Med%20J313,%20686.pdf" TargetMode="External"/><Relationship Id="rId171" Type="http://schemas.openxmlformats.org/officeDocument/2006/relationships/hyperlink" Target="2014/Act%20Ort%20Bel80,%20508.pdf" TargetMode="External"/><Relationship Id="rId837" Type="http://schemas.openxmlformats.org/officeDocument/2006/relationships/hyperlink" Target="2004/Ann%20Eme%20Med44,%20S117.pdf" TargetMode="External"/><Relationship Id="rId1022" Type="http://schemas.openxmlformats.org/officeDocument/2006/relationships/hyperlink" Target="2000/Ant%20Age%20Che44,%203133.pdf" TargetMode="External"/><Relationship Id="rId1467" Type="http://schemas.openxmlformats.org/officeDocument/2006/relationships/hyperlink" Target="2011/Bio%20Bio35,%204368.pdf" TargetMode="External"/><Relationship Id="rId1674" Type="http://schemas.openxmlformats.org/officeDocument/2006/relationships/hyperlink" Target="2014/BMC%20Ora%20Hea14,%2040.pdf" TargetMode="External"/><Relationship Id="rId1881" Type="http://schemas.openxmlformats.org/officeDocument/2006/relationships/hyperlink" Target="2003/Bri%20J%20Der149,%20218.pdf" TargetMode="External"/><Relationship Id="rId269" Type="http://schemas.openxmlformats.org/officeDocument/2006/relationships/hyperlink" Target="2006/Adv%20Phy%20Edu30,%20108.pdf" TargetMode="External"/><Relationship Id="rId476" Type="http://schemas.openxmlformats.org/officeDocument/2006/relationships/hyperlink" Target="2008/Ame%20J%20Gas103,%203195.pdf" TargetMode="External"/><Relationship Id="rId683" Type="http://schemas.openxmlformats.org/officeDocument/2006/relationships/hyperlink" Target="http://infotrac.galegroup.com/itw/infomark/1/1/1/purl=rc18_EAIM_0__jn+%22American+Statistician%22?sw_aep=jrycal5" TargetMode="External"/><Relationship Id="rId890" Type="http://schemas.openxmlformats.org/officeDocument/2006/relationships/hyperlink" Target="2014/Ann%20Int%20Med160,%20101.pdf" TargetMode="External"/><Relationship Id="rId904" Type="http://schemas.openxmlformats.org/officeDocument/2006/relationships/hyperlink" Target="http://uk.jstor.org/journals/00034851.html" TargetMode="External"/><Relationship Id="rId1327" Type="http://schemas.openxmlformats.org/officeDocument/2006/relationships/hyperlink" Target="2007/Asl%20Pro59,%20222.pdf" TargetMode="External"/><Relationship Id="rId1534" Type="http://schemas.openxmlformats.org/officeDocument/2006/relationships/hyperlink" Target="2014/BJU%20Int113,%2024.pdf" TargetMode="External"/><Relationship Id="rId1741" Type="http://schemas.openxmlformats.org/officeDocument/2006/relationships/hyperlink" Target="2015/BMJ-Bri%20Med%20J350,%20h1354.pdf" TargetMode="External"/><Relationship Id="rId1979" Type="http://schemas.openxmlformats.org/officeDocument/2006/relationships/hyperlink" Target="http://www.bmj.com/archive/" TargetMode="External"/><Relationship Id="rId2157" Type="http://schemas.openxmlformats.org/officeDocument/2006/relationships/hyperlink" Target="2015/Burns41,%20346.pdf" TargetMode="External"/><Relationship Id="rId33" Type="http://schemas.openxmlformats.org/officeDocument/2006/relationships/hyperlink" Target="2003/Aca%20Med78,%2061.pdf" TargetMode="External"/><Relationship Id="rId129" Type="http://schemas.openxmlformats.org/officeDocument/2006/relationships/hyperlink" Target="http://www.medicaljournals.se/acta/content/" TargetMode="External"/><Relationship Id="rId336" Type="http://schemas.openxmlformats.org/officeDocument/2006/relationships/hyperlink" Target="2014/AIDS28,%20S175.pdf" TargetMode="External"/><Relationship Id="rId543" Type="http://schemas.openxmlformats.org/officeDocument/2006/relationships/hyperlink" Target="2014/Ame%20J%20Men%20Hea8,%20409.pdf" TargetMode="External"/><Relationship Id="rId988" Type="http://schemas.openxmlformats.org/officeDocument/2006/relationships/hyperlink" Target="2014/Ann%20Vas%20Sur28,%20394.pdf" TargetMode="External"/><Relationship Id="rId1173" Type="http://schemas.openxmlformats.org/officeDocument/2006/relationships/hyperlink" Target="2010/Arc%20Phy%20Med%20Reh91,%201814.pdf" TargetMode="External"/><Relationship Id="rId1380" Type="http://schemas.openxmlformats.org/officeDocument/2006/relationships/hyperlink" Target="1991/Aus%20J%20Ear%20Sci38,%20613.pdf" TargetMode="External"/><Relationship Id="rId1601" Type="http://schemas.openxmlformats.org/officeDocument/2006/relationships/hyperlink" Target="http://www.biomedcentral.com/bmcinfectdis" TargetMode="External"/><Relationship Id="rId1839" Type="http://schemas.openxmlformats.org/officeDocument/2006/relationships/hyperlink" Target="2011/Bre%20Can%20Res%20Tre126,%2037.pdf" TargetMode="External"/><Relationship Id="rId2017" Type="http://schemas.openxmlformats.org/officeDocument/2006/relationships/hyperlink" Target="2000/Bri%20Med%20J320,%201107.pdf" TargetMode="External"/><Relationship Id="rId182" Type="http://schemas.openxmlformats.org/officeDocument/2006/relationships/hyperlink" Target="2013/Act%20Phy%20Pol%20A124,%20173.pdf" TargetMode="External"/><Relationship Id="rId403" Type="http://schemas.openxmlformats.org/officeDocument/2006/relationships/hyperlink" Target="2008/Ame%20Hea%20J156,%2013.pdf" TargetMode="External"/><Relationship Id="rId750" Type="http://schemas.openxmlformats.org/officeDocument/2006/relationships/hyperlink" Target="2001/Ana%20Let34,%20177.pdf" TargetMode="External"/><Relationship Id="rId848" Type="http://schemas.openxmlformats.org/officeDocument/2006/relationships/hyperlink" Target="2015/Ann%20For%20Sci72,%20145.pdf" TargetMode="External"/><Relationship Id="rId1033" Type="http://schemas.openxmlformats.org/officeDocument/2006/relationships/hyperlink" Target="2011/ANZ%20J%20Sur81,%20681.pdf" TargetMode="External"/><Relationship Id="rId1478" Type="http://schemas.openxmlformats.org/officeDocument/2006/relationships/hyperlink" Target="2014/Bio%20Res%20Int,%20941085.pdf" TargetMode="External"/><Relationship Id="rId1685" Type="http://schemas.openxmlformats.org/officeDocument/2006/relationships/hyperlink" Target="2013/BMC%20Psy13,%20342.pdf" TargetMode="External"/><Relationship Id="rId1892" Type="http://schemas.openxmlformats.org/officeDocument/2006/relationships/hyperlink" Target="2007/Bri%20J%20Gen%20Pra57,%20904.pdf" TargetMode="External"/><Relationship Id="rId1906" Type="http://schemas.openxmlformats.org/officeDocument/2006/relationships/hyperlink" Target="2014/Bri%20J%20Nut112,%2041.pdf" TargetMode="External"/><Relationship Id="rId487" Type="http://schemas.openxmlformats.org/officeDocument/2006/relationships/hyperlink" Target="2005/Ame%20J%20Hea%20Pro20,%2096.pdf" TargetMode="External"/><Relationship Id="rId610" Type="http://schemas.openxmlformats.org/officeDocument/2006/relationships/hyperlink" Target="-1959/Ame%20J%20Psy58,%20425.pdf" TargetMode="External"/><Relationship Id="rId694" Type="http://schemas.openxmlformats.org/officeDocument/2006/relationships/hyperlink" Target="http://vnweb.hwwilsonweb.com/hww/Journals/getIssues.jhtml?sid=HWW:OMNIS&amp;id=-4568" TargetMode="External"/><Relationship Id="rId708" Type="http://schemas.openxmlformats.org/officeDocument/2006/relationships/hyperlink" Target="2008/Anaesthesia63,%20270.pdf" TargetMode="External"/><Relationship Id="rId915" Type="http://schemas.openxmlformats.org/officeDocument/2006/relationships/hyperlink" Target="2014/Ann%20Nut%20Met64,%20127.pdf" TargetMode="External"/><Relationship Id="rId1240" Type="http://schemas.openxmlformats.org/officeDocument/2006/relationships/hyperlink" Target="2011/Art-%20J%20Art%20Rel%20Sur27,%2097.pdf" TargetMode="External"/><Relationship Id="rId1338" Type="http://schemas.openxmlformats.org/officeDocument/2006/relationships/hyperlink" Target="2011/Asl%20Pro63,%20593.pdf" TargetMode="External"/><Relationship Id="rId1545" Type="http://schemas.openxmlformats.org/officeDocument/2006/relationships/hyperlink" Target="2014/BMC%20Can14,%2049.pdf" TargetMode="External"/><Relationship Id="rId2070" Type="http://schemas.openxmlformats.org/officeDocument/2006/relationships/hyperlink" Target="2011/Bri%20Med%20J342,%20d2732.pdf" TargetMode="External"/><Relationship Id="rId2168" Type="http://schemas.openxmlformats.org/officeDocument/2006/relationships/footer" Target="footer1.xml"/><Relationship Id="rId347" Type="http://schemas.openxmlformats.org/officeDocument/2006/relationships/hyperlink" Target="1960-80/Albion9,%20188.pdf" TargetMode="External"/><Relationship Id="rId999" Type="http://schemas.openxmlformats.org/officeDocument/2006/relationships/hyperlink" Target="2005/AMIA%20Ann%20Sym%20Pro05,%201129.pdf" TargetMode="External"/><Relationship Id="rId1100" Type="http://schemas.openxmlformats.org/officeDocument/2006/relationships/hyperlink" Target="2014/Arc%20Dis%20Chi-Fet%20Neo%20Edi99,%20F495.pdf" TargetMode="External"/><Relationship Id="rId1184" Type="http://schemas.openxmlformats.org/officeDocument/2006/relationships/hyperlink" Target="2012/Arc%20Sur147,%20961.pdf" TargetMode="External"/><Relationship Id="rId1405" Type="http://schemas.openxmlformats.org/officeDocument/2006/relationships/hyperlink" Target="1999/Aus%20New%20Zea%20J%20Pub%20Hea23,%20486.pdf" TargetMode="External"/><Relationship Id="rId1752" Type="http://schemas.openxmlformats.org/officeDocument/2006/relationships/hyperlink" Target="2013/BMJ%20Ope3,%20e003332.pdf" TargetMode="External"/><Relationship Id="rId2028" Type="http://schemas.openxmlformats.org/officeDocument/2006/relationships/hyperlink" Target="2002/Bri%20Med%20J325,%2081.pdf" TargetMode="External"/><Relationship Id="rId44" Type="http://schemas.openxmlformats.org/officeDocument/2006/relationships/hyperlink" Target="2014\Aca%20Med89,%201295.pdf" TargetMode="External"/><Relationship Id="rId554" Type="http://schemas.openxmlformats.org/officeDocument/2006/relationships/hyperlink" Target="2014/Ame%20J%20Obs%20Gyn210,%2044.e1.pdf" TargetMode="External"/><Relationship Id="rId761" Type="http://schemas.openxmlformats.org/officeDocument/2006/relationships/hyperlink" Target="2003/Ane%20Ana97,%20634.pdf" TargetMode="External"/><Relationship Id="rId859" Type="http://schemas.openxmlformats.org/officeDocument/2006/relationships/hyperlink" Target="1992/Ann%20Int%20Med116,%20279.pdf" TargetMode="External"/><Relationship Id="rId1391" Type="http://schemas.openxmlformats.org/officeDocument/2006/relationships/hyperlink" Target="http://www3.interscience.wiley.com/journal/118579537/home" TargetMode="External"/><Relationship Id="rId1489" Type="http://schemas.openxmlformats.org/officeDocument/2006/relationships/hyperlink" Target="2011/Bio%20Pap-Olo155,%20109.pdf" TargetMode="External"/><Relationship Id="rId1612" Type="http://schemas.openxmlformats.org/officeDocument/2006/relationships/hyperlink" Target="2013/BMC%20Inf%20Dis13,%20566.pdf" TargetMode="External"/><Relationship Id="rId1696" Type="http://schemas.openxmlformats.org/officeDocument/2006/relationships/hyperlink" Target="2010/BMC%20Pub%20Hea10,%20258.pdf" TargetMode="External"/><Relationship Id="rId1917" Type="http://schemas.openxmlformats.org/officeDocument/2006/relationships/hyperlink" Target="2002/Bri%20J%20Pla%20Sur55,%20570.pdf" TargetMode="External"/><Relationship Id="rId193" Type="http://schemas.openxmlformats.org/officeDocument/2006/relationships/hyperlink" Target="2005/Act%20Psy%20Sca112,%2072.pdf" TargetMode="External"/><Relationship Id="rId207" Type="http://schemas.openxmlformats.org/officeDocument/2006/relationships/hyperlink" Target="http://ca2.csa.com/ids70/browse_toc.php?SID=3c5356efe6ea3d2857d04d61cacc7b9b&amp;db=sagesoc-set-c&amp;docid=sage-set-c%2FASJ_2005_48_4_cln3.wais+0+sagesoc-set-c" TargetMode="External"/><Relationship Id="rId414" Type="http://schemas.openxmlformats.org/officeDocument/2006/relationships/hyperlink" Target="2005/Ame%20J%20Agr%20Eco87,%20509.pdf" TargetMode="External"/><Relationship Id="rId498" Type="http://schemas.openxmlformats.org/officeDocument/2006/relationships/hyperlink" Target="2004/Ame%20J%20Hos%20Pal%20Med21,%20353.pdf" TargetMode="External"/><Relationship Id="rId621" Type="http://schemas.openxmlformats.org/officeDocument/2006/relationships/hyperlink" Target="2013/Ame%20J%20Pub%20Hea103,%20E14.pdf" TargetMode="External"/><Relationship Id="rId1044" Type="http://schemas.openxmlformats.org/officeDocument/2006/relationships/hyperlink" Target="2011/App%20Eco43,%20941.pdf" TargetMode="External"/><Relationship Id="rId1251" Type="http://schemas.openxmlformats.org/officeDocument/2006/relationships/hyperlink" Target="2012/Asi-Pac%20Edu%20Res21,%204.pdf" TargetMode="External"/><Relationship Id="rId1349" Type="http://schemas.openxmlformats.org/officeDocument/2006/relationships/hyperlink" Target="2010/Ass%20Eva%20Hig%20Edu35,%20647.pdf" TargetMode="External"/><Relationship Id="rId2081" Type="http://schemas.openxmlformats.org/officeDocument/2006/relationships/hyperlink" Target="2012/Bri%20Med%20J345,%20e6698.pdf" TargetMode="External"/><Relationship Id="rId260" Type="http://schemas.openxmlformats.org/officeDocument/2006/relationships/hyperlink" Target="1999/Adv%20Con%20Res26,%20203.pdf" TargetMode="External"/><Relationship Id="rId719" Type="http://schemas.openxmlformats.org/officeDocument/2006/relationships/hyperlink" Target="2011/Ana%20Int%20Car39,%20268.pdf" TargetMode="External"/><Relationship Id="rId926" Type="http://schemas.openxmlformats.org/officeDocument/2006/relationships/hyperlink" Target="http://weblinks1.epnet.com/authHjafDetail.asp?tb=1&amp;_ua=bo+B%5F+db+pbhjnh+bt+ID++1FP+6975&amp;_ug=sid+48D460C8%2D1428%2D48BE%2DA9A7%2DEB38CEE405DC%40sessionmgr2+dbs+pbh+A622&amp;_us=hd+True+sm+ES+4DBA&amp;_uso=st%5B0+%2DID++1FP+tg%5B0+%2D+db%5B0+%2Dpbh+op%5B0+" TargetMode="External"/><Relationship Id="rId1111" Type="http://schemas.openxmlformats.org/officeDocument/2006/relationships/hyperlink" Target="2011/Arc%20Eur%20Sci5,%2089.pdf" TargetMode="External"/><Relationship Id="rId1556" Type="http://schemas.openxmlformats.org/officeDocument/2006/relationships/hyperlink" Target="2015/BMC%20Can15,%20202.pdf" TargetMode="External"/><Relationship Id="rId1763" Type="http://schemas.openxmlformats.org/officeDocument/2006/relationships/hyperlink" Target="2014/BMJ%20Ope4,%20e005707.pdf" TargetMode="External"/><Relationship Id="rId1970" Type="http://schemas.openxmlformats.org/officeDocument/2006/relationships/hyperlink" Target="2014/Bri%20J%20Sur101,%20595.pdf" TargetMode="External"/><Relationship Id="rId55" Type="http://schemas.openxmlformats.org/officeDocument/2006/relationships/hyperlink" Target="2010/Aca%20Man%20Lea%20Edu9,%20715.pdf" TargetMode="External"/><Relationship Id="rId120" Type="http://schemas.openxmlformats.org/officeDocument/2006/relationships/hyperlink" Target="2013/Act%20Cir%20Bra28,%20800.pdf" TargetMode="External"/><Relationship Id="rId358" Type="http://schemas.openxmlformats.org/officeDocument/2006/relationships/hyperlink" Target="2007/Ali%20Pha%20The25,%201153.pdf" TargetMode="External"/><Relationship Id="rId565" Type="http://schemas.openxmlformats.org/officeDocument/2006/relationships/hyperlink" Target="2007/Ame%20J%20Oph143,%20677.pdf" TargetMode="External"/><Relationship Id="rId772" Type="http://schemas.openxmlformats.org/officeDocument/2006/relationships/hyperlink" Target="1992/Anesthesiology77,%201.pdf" TargetMode="External"/><Relationship Id="rId1195" Type="http://schemas.openxmlformats.org/officeDocument/2006/relationships/hyperlink" Target="2008/Arc%20Bro44,%20655.pdf" TargetMode="External"/><Relationship Id="rId1209" Type="http://schemas.openxmlformats.org/officeDocument/2006/relationships/hyperlink" Target="2000/Ardeola47,%20109.pdf" TargetMode="External"/><Relationship Id="rId1416" Type="http://schemas.openxmlformats.org/officeDocument/2006/relationships/hyperlink" Target="2008/Aus%20Vet%20J86,%20337.pdf" TargetMode="External"/><Relationship Id="rId1623" Type="http://schemas.openxmlformats.org/officeDocument/2006/relationships/hyperlink" Target="2014/BMC%20Med%20Edu14,%20219.pdf" TargetMode="External"/><Relationship Id="rId1830" Type="http://schemas.openxmlformats.org/officeDocument/2006/relationships/hyperlink" Target="2015/Bra%20J%20Oto81,%2097.pdf" TargetMode="External"/><Relationship Id="rId2039" Type="http://schemas.openxmlformats.org/officeDocument/2006/relationships/hyperlink" Target="2008/Bri%20Med%20J330,%201128.pdf" TargetMode="External"/><Relationship Id="rId218" Type="http://schemas.openxmlformats.org/officeDocument/2006/relationships/hyperlink" Target="2013/Act%20Esp%20Psi41,%20349.pdf" TargetMode="External"/><Relationship Id="rId425" Type="http://schemas.openxmlformats.org/officeDocument/2006/relationships/hyperlink" Target="2014/Ame%20J%20Car114,%20541.pdf" TargetMode="External"/><Relationship Id="rId632" Type="http://schemas.openxmlformats.org/officeDocument/2006/relationships/hyperlink" Target="1993/Ame%20J%20Roe161,%201317.pdf" TargetMode="External"/><Relationship Id="rId1055" Type="http://schemas.openxmlformats.org/officeDocument/2006/relationships/hyperlink" Target="2004/App%20Lin25,%2089.pdf" TargetMode="External"/><Relationship Id="rId1262" Type="http://schemas.openxmlformats.org/officeDocument/2006/relationships/hyperlink" Target="2009/Asi%20Pac%20Vie50,%20253.pdf" TargetMode="External"/><Relationship Id="rId1928" Type="http://schemas.openxmlformats.org/officeDocument/2006/relationships/hyperlink" Target="2004/Bri%20J%20Psy184,%20273.pdf" TargetMode="External"/><Relationship Id="rId2092" Type="http://schemas.openxmlformats.org/officeDocument/2006/relationships/hyperlink" Target="2011/Bul%20Mar%20Sci87,%20707.pdf" TargetMode="External"/><Relationship Id="rId2106" Type="http://schemas.openxmlformats.org/officeDocument/2006/relationships/hyperlink" Target="1982/Bul%20Med%20Lib%20Ass70,%20412.pdf" TargetMode="External"/><Relationship Id="rId271" Type="http://schemas.openxmlformats.org/officeDocument/2006/relationships/hyperlink" Target="2007/Adv%20Psy%20Sci15,%20476.pdf" TargetMode="External"/><Relationship Id="rId937" Type="http://schemas.openxmlformats.org/officeDocument/2006/relationships/hyperlink" Target="2013/Ann%20Pha47,%201488.pdf" TargetMode="External"/><Relationship Id="rId1122" Type="http://schemas.openxmlformats.org/officeDocument/2006/relationships/hyperlink" Target="2010/Arc%20Gyn%20Obs281,%20975.pdf" TargetMode="External"/><Relationship Id="rId1567" Type="http://schemas.openxmlformats.org/officeDocument/2006/relationships/hyperlink" Target="2008/BMC%20Hea%20Ser%20Res8,%20227.pdf" TargetMode="External"/><Relationship Id="rId1774" Type="http://schemas.openxmlformats.org/officeDocument/2006/relationships/hyperlink" Target="2015/BMJ%20Ope5,%20e006591.pdf" TargetMode="External"/><Relationship Id="rId1981" Type="http://schemas.openxmlformats.org/officeDocument/2006/relationships/hyperlink" Target="1983/Bri%20Med%20J286,%20892.pdf" TargetMode="External"/><Relationship Id="rId66" Type="http://schemas.openxmlformats.org/officeDocument/2006/relationships/hyperlink" Target="2013/Acc%20Res%20Pol%20Qua%20Ass20,%2093.pdf" TargetMode="External"/><Relationship Id="rId131" Type="http://schemas.openxmlformats.org/officeDocument/2006/relationships/hyperlink" Target="2011/Act%20Der-Ven91,%20621.pdf" TargetMode="External"/><Relationship Id="rId369" Type="http://schemas.openxmlformats.org/officeDocument/2006/relationships/hyperlink" Target="2014/Ali%20Pha%20The39,%20745.pdf" TargetMode="External"/><Relationship Id="rId576" Type="http://schemas.openxmlformats.org/officeDocument/2006/relationships/hyperlink" Target="2009/Ame%20J%20Ort%20Den%20Ort135,%2016.pdf" TargetMode="External"/><Relationship Id="rId783" Type="http://schemas.openxmlformats.org/officeDocument/2006/relationships/hyperlink" Target="2009/Ang%20Ort79,%20592.pdf" TargetMode="External"/><Relationship Id="rId990" Type="http://schemas.openxmlformats.org/officeDocument/2006/relationships/hyperlink" Target="2002/Ann%20Rev%20Inf%20Sci%20Tec36,%203.pdf" TargetMode="External"/><Relationship Id="rId1427" Type="http://schemas.openxmlformats.org/officeDocument/2006/relationships/hyperlink" Target="2009/Beh%20Sci%20Law27,%20599.pdf" TargetMode="External"/><Relationship Id="rId1634" Type="http://schemas.openxmlformats.org/officeDocument/2006/relationships/hyperlink" Target="2013/BMC%20Med%20Inf%20Dec%20Mak13,%20S14.pdf" TargetMode="External"/><Relationship Id="rId1841" Type="http://schemas.openxmlformats.org/officeDocument/2006/relationships/hyperlink" Target="2011/Bre%20Can%20Res%20Tre127,%20309.pdf" TargetMode="External"/><Relationship Id="rId229" Type="http://schemas.openxmlformats.org/officeDocument/2006/relationships/hyperlink" Target="2002/Addiction97,%20773.pdf" TargetMode="External"/><Relationship Id="rId436" Type="http://schemas.openxmlformats.org/officeDocument/2006/relationships/hyperlink" Target="2010/Ame%20J%20Cli%20Nut92,%20203.pdf" TargetMode="External"/><Relationship Id="rId643" Type="http://schemas.openxmlformats.org/officeDocument/2006/relationships/hyperlink" Target="2013/Ame%20J%20Roe200,%20W560.pdf" TargetMode="External"/><Relationship Id="rId1066" Type="http://schemas.openxmlformats.org/officeDocument/2006/relationships/hyperlink" Target="http://arbor.revistas.csic.es/index.php/arbor/issue/archive?issuesPage=1" TargetMode="External"/><Relationship Id="rId1273" Type="http://schemas.openxmlformats.org/officeDocument/2006/relationships/hyperlink" Target="http://www.ingentaconnect.com/content/bpl/ajsp;jsessionid=3kd6pjafbbuao.alice" TargetMode="External"/><Relationship Id="rId1480" Type="http://schemas.openxmlformats.org/officeDocument/2006/relationships/hyperlink" Target="2014/Bio%20Res%20Int,%20589296.pdf" TargetMode="External"/><Relationship Id="rId1939" Type="http://schemas.openxmlformats.org/officeDocument/2006/relationships/hyperlink" Target="2008/Bri%20J%20Spo%20Med42,%2093.pdf" TargetMode="External"/><Relationship Id="rId2117" Type="http://schemas.openxmlformats.org/officeDocument/2006/relationships/hyperlink" Target="1997/Bul%20Med%20Lib%20Ass85,%20147.pdf" TargetMode="External"/><Relationship Id="rId850" Type="http://schemas.openxmlformats.org/officeDocument/2006/relationships/hyperlink" Target="2015/Ann%20Hem94,%20929.pdf" TargetMode="External"/><Relationship Id="rId948" Type="http://schemas.openxmlformats.org/officeDocument/2006/relationships/hyperlink" Target="1998/Ann%20Rhe%20Dis57,%20643.pdf" TargetMode="External"/><Relationship Id="rId1133" Type="http://schemas.openxmlformats.org/officeDocument/2006/relationships/hyperlink" Target="2005/Arc%20Int%20Med165,%20986.pdf" TargetMode="External"/><Relationship Id="rId1578" Type="http://schemas.openxmlformats.org/officeDocument/2006/relationships/hyperlink" Target="2015/BMC%20Ger15,%2074.pdf" TargetMode="External"/><Relationship Id="rId1701" Type="http://schemas.openxmlformats.org/officeDocument/2006/relationships/hyperlink" Target="2011/BMC%20Pub%20Hea11,%20453.pdf" TargetMode="External"/><Relationship Id="rId1785" Type="http://schemas.openxmlformats.org/officeDocument/2006/relationships/hyperlink" Target="2009/Bol%20Soc%20Esp%20Cer%20Vid48,%20187.pdf" TargetMode="External"/><Relationship Id="rId1992" Type="http://schemas.openxmlformats.org/officeDocument/2006/relationships/hyperlink" Target="1992/Bri%20Med%20J305,%20422.pdf" TargetMode="External"/><Relationship Id="rId77" Type="http://schemas.openxmlformats.org/officeDocument/2006/relationships/hyperlink" Target="2001/ACIMED9S,%20115.pdf" TargetMode="External"/><Relationship Id="rId282" Type="http://schemas.openxmlformats.org/officeDocument/2006/relationships/hyperlink" Target="http://www.bioline.org.br/jb" TargetMode="External"/><Relationship Id="rId503" Type="http://schemas.openxmlformats.org/officeDocument/2006/relationships/hyperlink" Target="-1959/Ame%20J%20Hyg3,%201.pdf" TargetMode="External"/><Relationship Id="rId587" Type="http://schemas.openxmlformats.org/officeDocument/2006/relationships/hyperlink" Target="1960-80/Ame%20J%20Phy37,%201162.pdf" TargetMode="External"/><Relationship Id="rId710" Type="http://schemas.openxmlformats.org/officeDocument/2006/relationships/hyperlink" Target="2009/Anesthesia64,%20984.pdf" TargetMode="External"/><Relationship Id="rId808" Type="http://schemas.openxmlformats.org/officeDocument/2006/relationships/hyperlink" Target="2001/Ann%20Chi126,%20932.pdf" TargetMode="External"/><Relationship Id="rId1340" Type="http://schemas.openxmlformats.org/officeDocument/2006/relationships/hyperlink" Target="../HO-reference/2012/Asl%20Pro64,%20561.pdf" TargetMode="External"/><Relationship Id="rId1438" Type="http://schemas.openxmlformats.org/officeDocument/2006/relationships/hyperlink" Target="2012/Bilig62,%201.pdf" TargetMode="External"/><Relationship Id="rId1645" Type="http://schemas.openxmlformats.org/officeDocument/2006/relationships/hyperlink" Target="2003/BMC%20Med1,%202.pdf" TargetMode="External"/><Relationship Id="rId2170"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hyperlink" Target="2014/Act%20M&#233;d%20Por27,%20116.pdf" TargetMode="External"/><Relationship Id="rId447" Type="http://schemas.openxmlformats.org/officeDocument/2006/relationships/hyperlink" Target="1999/Ame%20J%20Eme%20Med17,%20540.pdf" TargetMode="External"/><Relationship Id="rId794" Type="http://schemas.openxmlformats.org/officeDocument/2006/relationships/hyperlink" Target="2014/Ani%20Hea%20Res%20Rev15,%2014.pdf" TargetMode="External"/><Relationship Id="rId1077" Type="http://schemas.openxmlformats.org/officeDocument/2006/relationships/hyperlink" Target="2011/Arc%20Bud7,%2041.pdf" TargetMode="External"/><Relationship Id="rId1200" Type="http://schemas.openxmlformats.org/officeDocument/2006/relationships/hyperlink" Target="http://www.springerlink.com/content/120001/?p=636147301b3f4b81beea03053006934c&amp;pi=0" TargetMode="External"/><Relationship Id="rId1852" Type="http://schemas.openxmlformats.org/officeDocument/2006/relationships/hyperlink" Target="2007/Bri%20Den%20J203,%20535.pdf" TargetMode="External"/><Relationship Id="rId2030" Type="http://schemas.openxmlformats.org/officeDocument/2006/relationships/hyperlink" Target="2003/Bri%20Med%20J326,%20820.pdf" TargetMode="External"/><Relationship Id="rId2128" Type="http://schemas.openxmlformats.org/officeDocument/2006/relationships/hyperlink" Target="1998/Bul%20Med%20Lib%20Ass86,%20523.pdf" TargetMode="External"/><Relationship Id="rId654" Type="http://schemas.openxmlformats.org/officeDocument/2006/relationships/hyperlink" Target="http://web.ebscohost.com/ehost/detail?vid=1&amp;hid=3&amp;sid=fe144a58-df00-418c-84e2-84d2fe6243b6%40sessionmgr4&amp;bdata=JnNpdGU9ZWhvc3QtbGl2ZQ%3d%3d" TargetMode="External"/><Relationship Id="rId861" Type="http://schemas.openxmlformats.org/officeDocument/2006/relationships/hyperlink" Target="2003/Ann%20Int%20Med138,%20390.pdf" TargetMode="External"/><Relationship Id="rId959" Type="http://schemas.openxmlformats.org/officeDocument/2006/relationships/hyperlink" Target="http://ovidsp.tx.ovid.com/spa/ovidweb.cgi" TargetMode="External"/><Relationship Id="rId1284" Type="http://schemas.openxmlformats.org/officeDocument/2006/relationships/hyperlink" Target="2013/Asi%20Pac%20J%20Can%20Pre14,%202621.pdf" TargetMode="External"/><Relationship Id="rId1491" Type="http://schemas.openxmlformats.org/officeDocument/2006/relationships/hyperlink" Target="2014/Bio%20Pap-Olo158,%20365.pdf" TargetMode="External"/><Relationship Id="rId1505" Type="http://schemas.openxmlformats.org/officeDocument/2006/relationships/hyperlink" Target="2014/Biotropica46,%206.pdf" TargetMode="External"/><Relationship Id="rId1589" Type="http://schemas.openxmlformats.org/officeDocument/2006/relationships/hyperlink" Target="2012/BMC%20Hea%20Ser%20Res12,%2010.pdf" TargetMode="External"/><Relationship Id="rId1712" Type="http://schemas.openxmlformats.org/officeDocument/2006/relationships/hyperlink" Target="2014/BMC%20Pub%20Hea13,%201234.pdf" TargetMode="External"/><Relationship Id="rId293" Type="http://schemas.openxmlformats.org/officeDocument/2006/relationships/hyperlink" Target="2011/Afr%20J%20Bus%20Man5,%20276.pdf" TargetMode="External"/><Relationship Id="rId307" Type="http://schemas.openxmlformats.org/officeDocument/2006/relationships/hyperlink" Target="2013/Age35,%202329.pdf" TargetMode="External"/><Relationship Id="rId514" Type="http://schemas.openxmlformats.org/officeDocument/2006/relationships/hyperlink" Target="2012/Ame%20J%20Ind%20Med55,%20143.pdf" TargetMode="External"/><Relationship Id="rId721" Type="http://schemas.openxmlformats.org/officeDocument/2006/relationships/hyperlink" Target="1998/Anaesthesist47,%20439.pdf" TargetMode="External"/><Relationship Id="rId1144" Type="http://schemas.openxmlformats.org/officeDocument/2006/relationships/hyperlink" Target="http://archneur.ama-assn.org/contents-by-date.0.dtl" TargetMode="External"/><Relationship Id="rId1351" Type="http://schemas.openxmlformats.org/officeDocument/2006/relationships/hyperlink" Target="2004/Ast%20Nac325,%20445.pdf" TargetMode="External"/><Relationship Id="rId1449" Type="http://schemas.openxmlformats.org/officeDocument/2006/relationships/hyperlink" Target="2014/Bio%20Bio%20Res%20Com446,%201197.pdf" TargetMode="External"/><Relationship Id="rId1796" Type="http://schemas.openxmlformats.org/officeDocument/2006/relationships/hyperlink" Target="http://brain.oxfordjournals.org/" TargetMode="External"/><Relationship Id="rId88" Type="http://schemas.openxmlformats.org/officeDocument/2006/relationships/hyperlink" Target="2007/Act%20Agr%20Zhe19,%2060.pdf" TargetMode="External"/><Relationship Id="rId153" Type="http://schemas.openxmlformats.org/officeDocument/2006/relationships/hyperlink" Target="2014/Act%20Obs%20Gyn%20Sca93,%20144.pdf" TargetMode="External"/><Relationship Id="rId360" Type="http://schemas.openxmlformats.org/officeDocument/2006/relationships/hyperlink" Target="2008/Ali%20Pha%20The27,%20752.pdf" TargetMode="External"/><Relationship Id="rId598" Type="http://schemas.openxmlformats.org/officeDocument/2006/relationships/hyperlink" Target="2010/Ame%20J%20Pre%20Med39,%20379.pdf" TargetMode="External"/><Relationship Id="rId819" Type="http://schemas.openxmlformats.org/officeDocument/2006/relationships/hyperlink" Target="2009/Ann%20All%20Ast%20Imm102,%20282.pdf" TargetMode="External"/><Relationship Id="rId1004" Type="http://schemas.openxmlformats.org/officeDocument/2006/relationships/hyperlink" Target="1993/Ant%20Age%20Che37,%201259.pdf" TargetMode="External"/><Relationship Id="rId1211" Type="http://schemas.openxmlformats.org/officeDocument/2006/relationships/hyperlink" Target="2010/Area42,%20417.pdf" TargetMode="External"/><Relationship Id="rId1656" Type="http://schemas.openxmlformats.org/officeDocument/2006/relationships/hyperlink" Target="2011/BMC%20Mus%20Dis,%2012,%2096.pdf" TargetMode="External"/><Relationship Id="rId1863" Type="http://schemas.openxmlformats.org/officeDocument/2006/relationships/hyperlink" Target="2011/Bri%20J%20Ana107,%20357.pdf" TargetMode="External"/><Relationship Id="rId2041" Type="http://schemas.openxmlformats.org/officeDocument/2006/relationships/hyperlink" Target="2006/Bri%20Med%20J332,%20995.pdf" TargetMode="External"/><Relationship Id="rId220" Type="http://schemas.openxmlformats.org/officeDocument/2006/relationships/hyperlink" Target="2010/Act%20Uro%20Esp34,%20579.pdf" TargetMode="External"/><Relationship Id="rId458" Type="http://schemas.openxmlformats.org/officeDocument/2006/relationships/hyperlink" Target="2010/Ame%20J%20Epi172,%20631.pdf" TargetMode="External"/><Relationship Id="rId665" Type="http://schemas.openxmlformats.org/officeDocument/2006/relationships/hyperlink" Target="1993/Ame%20Psy48,%201141.pdf" TargetMode="External"/><Relationship Id="rId872" Type="http://schemas.openxmlformats.org/officeDocument/2006/relationships/hyperlink" Target="2009/Ann%20Int%20Med151,%20703.pdf" TargetMode="External"/><Relationship Id="rId1088" Type="http://schemas.openxmlformats.org/officeDocument/2006/relationships/hyperlink" Target="2000/Arc%20Der136,%20357.pdf" TargetMode="External"/><Relationship Id="rId1295" Type="http://schemas.openxmlformats.org/officeDocument/2006/relationships/hyperlink" Target="2014/Asi%20Pac%20J%20Can%20Pre15,%20803.pdf" TargetMode="External"/><Relationship Id="rId1309" Type="http://schemas.openxmlformats.org/officeDocument/2006/relationships/hyperlink" Target="2014/Asl%20J%20Inf%20Man66,%20424.pdf" TargetMode="External"/><Relationship Id="rId1516" Type="http://schemas.openxmlformats.org/officeDocument/2006/relationships/hyperlink" Target="2005/BJOG112,%2012.pdf" TargetMode="External"/><Relationship Id="rId1723" Type="http://schemas.openxmlformats.org/officeDocument/2006/relationships/hyperlink" Target="2014\BMC%20Pub%20Hea14,%20667.pdf" TargetMode="External"/><Relationship Id="rId1930" Type="http://schemas.openxmlformats.org/officeDocument/2006/relationships/hyperlink" Target="2006/Bri%20J%20Psy188,%2081.pdf" TargetMode="External"/><Relationship Id="rId2139" Type="http://schemas.openxmlformats.org/officeDocument/2006/relationships/hyperlink" Target="2000/Bul%20Med%20Lib%20Ass88,%2056.pdf" TargetMode="External"/><Relationship Id="rId15" Type="http://schemas.openxmlformats.org/officeDocument/2006/relationships/hyperlink" Target="1999/Aca%20Eme%20Med6,%20297.pdf" TargetMode="External"/><Relationship Id="rId318" Type="http://schemas.openxmlformats.org/officeDocument/2006/relationships/hyperlink" Target="2014/Age%20Age43,%20326.pdf" TargetMode="External"/><Relationship Id="rId525" Type="http://schemas.openxmlformats.org/officeDocument/2006/relationships/hyperlink" Target="2010/Ame%20J%20Med%20Gen%20Par%20B-Neu%20Gen153B,%201134.pdf" TargetMode="External"/><Relationship Id="rId732" Type="http://schemas.openxmlformats.org/officeDocument/2006/relationships/hyperlink" Target="2012/Ana%20Psi28,%20597.pdf" TargetMode="External"/><Relationship Id="rId1155" Type="http://schemas.openxmlformats.org/officeDocument/2006/relationships/hyperlink" Target="http://www.springerlink.com/content/101491/?p=95830298c454411fadcbfd0f0e311865&amp;pi=0" TargetMode="External"/><Relationship Id="rId1362" Type="http://schemas.openxmlformats.org/officeDocument/2006/relationships/hyperlink" Target="2003/Aud-J%20Pra%20The22,%20195.pdf" TargetMode="External"/><Relationship Id="rId99" Type="http://schemas.openxmlformats.org/officeDocument/2006/relationships/hyperlink" Target="2011/Act%20Ana%20Sca55,%201085.pdf" TargetMode="External"/><Relationship Id="rId164" Type="http://schemas.openxmlformats.org/officeDocument/2006/relationships/hyperlink" Target="2011/Act%20Onc50,%20997.pdf" TargetMode="External"/><Relationship Id="rId371" Type="http://schemas.openxmlformats.org/officeDocument/2006/relationships/hyperlink" Target="2014/Ali%20Pha%20The40,%20863.pdf" TargetMode="External"/><Relationship Id="rId1015" Type="http://schemas.openxmlformats.org/officeDocument/2006/relationships/hyperlink" Target="1998/Ant%20Age%20Che42,%202674.pdf" TargetMode="External"/><Relationship Id="rId1222" Type="http://schemas.openxmlformats.org/officeDocument/2006/relationships/hyperlink" Target="2011/Arq%20Bra%20Car97,%2088.pdf" TargetMode="External"/><Relationship Id="rId1667" Type="http://schemas.openxmlformats.org/officeDocument/2006/relationships/hyperlink" Target="http://www.pubmedcentral.nih.gov/tocrender.fcgi?journal=51&amp;action=archive" TargetMode="External"/><Relationship Id="rId1874" Type="http://schemas.openxmlformats.org/officeDocument/2006/relationships/hyperlink" Target="2014/Bri%20J%20Cli%20Pha77,%2096.pdf" TargetMode="External"/><Relationship Id="rId2052" Type="http://schemas.openxmlformats.org/officeDocument/2006/relationships/hyperlink" Target="2008/Bri%20Med%20J337,%20a1841.pdf" TargetMode="External"/><Relationship Id="rId469" Type="http://schemas.openxmlformats.org/officeDocument/2006/relationships/hyperlink" Target="2002/Ame%20J%20Gas97,%202695.pdf" TargetMode="External"/><Relationship Id="rId676" Type="http://schemas.openxmlformats.org/officeDocument/2006/relationships/hyperlink" Target="2014/Ame%20Rev%20Pub%20Adm44,%20383.pdf" TargetMode="External"/><Relationship Id="rId883" Type="http://schemas.openxmlformats.org/officeDocument/2006/relationships/hyperlink" Target="2010/Ann%20Int%20Med153,%20766.pdf" TargetMode="External"/><Relationship Id="rId1099" Type="http://schemas.openxmlformats.org/officeDocument/2006/relationships/hyperlink" Target="2012/Arc%20Dis%20Chi-Fet%20Neo%20Edi97,%20F8.pdf" TargetMode="External"/><Relationship Id="rId1527" Type="http://schemas.openxmlformats.org/officeDocument/2006/relationships/hyperlink" Target="2011/BJU%20Int107,%201876.pdf" TargetMode="External"/><Relationship Id="rId1734" Type="http://schemas.openxmlformats.org/officeDocument/2006/relationships/hyperlink" Target="2014/BMJ-Bri%20Med%20J348,%20g2301.pdf" TargetMode="External"/><Relationship Id="rId1941" Type="http://schemas.openxmlformats.org/officeDocument/2006/relationships/hyperlink" Target="2008/Bri%20J%20Spo%20Med42,%20238.pdf" TargetMode="External"/><Relationship Id="rId26" Type="http://schemas.openxmlformats.org/officeDocument/2006/relationships/hyperlink" Target="1992/Aca%20Med67,%20850.pdf" TargetMode="External"/><Relationship Id="rId231" Type="http://schemas.openxmlformats.org/officeDocument/2006/relationships/hyperlink" Target="2005/Addiction100,%201166.pdf" TargetMode="External"/><Relationship Id="rId329" Type="http://schemas.openxmlformats.org/officeDocument/2006/relationships/hyperlink" Target="2011/Agr%20Hum%20Val28,%20483.pdf" TargetMode="External"/><Relationship Id="rId536" Type="http://schemas.openxmlformats.org/officeDocument/2006/relationships/hyperlink" Target="2003/Ame%20J%20Med114,%20510.pdf" TargetMode="External"/><Relationship Id="rId1166" Type="http://schemas.openxmlformats.org/officeDocument/2006/relationships/hyperlink" Target="2005/Arc%20Phy%20Med%20Reh86,%20134.pdf" TargetMode="External"/><Relationship Id="rId1373" Type="http://schemas.openxmlformats.org/officeDocument/2006/relationships/hyperlink" Target="2014/Aus%20Aca%20Res%20Lib45,%20309.pdf" TargetMode="External"/><Relationship Id="rId175" Type="http://schemas.openxmlformats.org/officeDocument/2006/relationships/hyperlink" Target="2002/Act%20Pae91,%201020.pdf" TargetMode="External"/><Relationship Id="rId743" Type="http://schemas.openxmlformats.org/officeDocument/2006/relationships/hyperlink" Target="2010/Ana%20Bio%20Che398,%203227.pdf" TargetMode="External"/><Relationship Id="rId950" Type="http://schemas.openxmlformats.org/officeDocument/2006/relationships/hyperlink" Target="2011/Ann%20Rhe%20Dis70,%2060.pdf" TargetMode="External"/><Relationship Id="rId1026" Type="http://schemas.openxmlformats.org/officeDocument/2006/relationships/hyperlink" Target="2003/Ant%20Age%20Che47,%2077.pdf" TargetMode="External"/><Relationship Id="rId1580" Type="http://schemas.openxmlformats.org/officeDocument/2006/relationships/hyperlink" Target="2006/BMC%20Hea%20Ser%20Res6,%2082.pdf" TargetMode="External"/><Relationship Id="rId1678" Type="http://schemas.openxmlformats.org/officeDocument/2006/relationships/hyperlink" Target="2012/BMC%20Ped12,%2034.pdf" TargetMode="External"/><Relationship Id="rId1801" Type="http://schemas.openxmlformats.org/officeDocument/2006/relationships/hyperlink" Target="2007/Bra%20Beh%20Imm21,%20273.pdf" TargetMode="External"/><Relationship Id="rId1885" Type="http://schemas.openxmlformats.org/officeDocument/2006/relationships/hyperlink" Target="2011/Bri%20J%20Der165,%20760.pdf" TargetMode="External"/><Relationship Id="rId382" Type="http://schemas.openxmlformats.org/officeDocument/2006/relationships/hyperlink" Target="2014/All%20Ast%20Cli%20Imm10,%2024.pdf" TargetMode="External"/><Relationship Id="rId603" Type="http://schemas.openxmlformats.org/officeDocument/2006/relationships/hyperlink" Target="2015/Ame%20J%20Pre%20Med48,%2050.pdf" TargetMode="External"/><Relationship Id="rId687" Type="http://schemas.openxmlformats.org/officeDocument/2006/relationships/hyperlink" Target="2000/Ame%20Sta54,%201.pdf" TargetMode="External"/><Relationship Id="rId810" Type="http://schemas.openxmlformats.org/officeDocument/2006/relationships/hyperlink" Target="2000/Ann%20Fra%20dAn%20Rea19,%20492.pdf" TargetMode="External"/><Relationship Id="rId908" Type="http://schemas.openxmlformats.org/officeDocument/2006/relationships/hyperlink" Target="-1959/Ann%20Mat%20Sta19,%20190.pdf" TargetMode="External"/><Relationship Id="rId1233" Type="http://schemas.openxmlformats.org/officeDocument/2006/relationships/hyperlink" Target="2015/Arq%20Bra%20Car104,%2094.pdf" TargetMode="External"/><Relationship Id="rId1440" Type="http://schemas.openxmlformats.org/officeDocument/2006/relationships/hyperlink" Target="2009/Bio%20Med19,%205.pdf" TargetMode="External"/><Relationship Id="rId1538" Type="http://schemas.openxmlformats.org/officeDocument/2006/relationships/hyperlink" Target="2012/BMC%20Ane12,%205.pdf" TargetMode="External"/><Relationship Id="rId2063" Type="http://schemas.openxmlformats.org/officeDocument/2006/relationships/hyperlink" Target="2011/Bri%20Med%20J342,%20c7237.pdf" TargetMode="External"/><Relationship Id="rId242" Type="http://schemas.openxmlformats.org/officeDocument/2006/relationships/hyperlink" Target="2011/Adu%20Edu%20Qua61,%20201.pdf" TargetMode="External"/><Relationship Id="rId894" Type="http://schemas.openxmlformats.org/officeDocument/2006/relationships/hyperlink" Target="2014/Ann%20Int%20Med160,%20419.pdf" TargetMode="External"/><Relationship Id="rId1177" Type="http://schemas.openxmlformats.org/officeDocument/2006/relationships/hyperlink" Target="2011/Arc%20Phy%20Med%20Reh92,%201501.pdf" TargetMode="External"/><Relationship Id="rId1300" Type="http://schemas.openxmlformats.org/officeDocument/2006/relationships/hyperlink" Target="2014/Asi%20Pac%20J%20Can%20Pre15,%202517.pdf" TargetMode="External"/><Relationship Id="rId1745" Type="http://schemas.openxmlformats.org/officeDocument/2006/relationships/hyperlink" Target="2013/BMJ%20Ope3,%20e002360.pdf" TargetMode="External"/><Relationship Id="rId1952" Type="http://schemas.openxmlformats.org/officeDocument/2006/relationships/hyperlink" Target="2012/Bri%20J%20Soc%20Wor42,%20765.pdf" TargetMode="External"/><Relationship Id="rId2130" Type="http://schemas.openxmlformats.org/officeDocument/2006/relationships/hyperlink" Target="1999/Bul%20Med%20Lib%20Ass87,%2037.pdf" TargetMode="External"/><Relationship Id="rId37" Type="http://schemas.openxmlformats.org/officeDocument/2006/relationships/hyperlink" Target="2010/Aca%20Med85,%20909.pdf" TargetMode="External"/><Relationship Id="rId102" Type="http://schemas.openxmlformats.org/officeDocument/2006/relationships/hyperlink" Target="http://scholar.ilib.cn/P-jpxb.html" TargetMode="External"/><Relationship Id="rId547" Type="http://schemas.openxmlformats.org/officeDocument/2006/relationships/hyperlink" Target="http://www.sciencedirect.com/science?_ob=JournalURL&amp;_cdi=6688&amp;_auth=y&amp;_acct=C000011279&amp;_version=1&amp;_urlVersion=0&amp;_userid=1134284&amp;md5=2e3ee2498c68929d556651561d218903" TargetMode="External"/><Relationship Id="rId754" Type="http://schemas.openxmlformats.org/officeDocument/2006/relationships/hyperlink" Target="1960-80/Ane%20Ana55,%20717.pdf" TargetMode="External"/><Relationship Id="rId961" Type="http://schemas.openxmlformats.org/officeDocument/2006/relationships/hyperlink" Target="2006/Ann%20Sur244,%20827.pdf" TargetMode="External"/><Relationship Id="rId1384" Type="http://schemas.openxmlformats.org/officeDocument/2006/relationships/hyperlink" Target="2014/Aus%20J%20Rur%20Hea22,%20189.pdf" TargetMode="External"/><Relationship Id="rId1591" Type="http://schemas.openxmlformats.org/officeDocument/2006/relationships/hyperlink" Target="2013/BMC%20Hea%20Ser%20Res13,%20461.pdf" TargetMode="External"/><Relationship Id="rId1605" Type="http://schemas.openxmlformats.org/officeDocument/2006/relationships/hyperlink" Target="2008/BMC%20Inf%20Dis8,%2019.pdf" TargetMode="External"/><Relationship Id="rId1689" Type="http://schemas.openxmlformats.org/officeDocument/2006/relationships/hyperlink" Target="2015/BMC%20Psy15,%2055.pdf" TargetMode="External"/><Relationship Id="rId1812" Type="http://schemas.openxmlformats.org/officeDocument/2006/relationships/hyperlink" Target="2012/Bra%20J%20Bio72,%20821.pdf" TargetMode="External"/><Relationship Id="rId90" Type="http://schemas.openxmlformats.org/officeDocument/2006/relationships/hyperlink" Target="1995/Act%20Ana%20Sca39,%201.pdf" TargetMode="External"/><Relationship Id="rId186" Type="http://schemas.openxmlformats.org/officeDocument/2006/relationships/hyperlink" Target="http://www.blackwell-synergy.com/loi/aps" TargetMode="External"/><Relationship Id="rId393" Type="http://schemas.openxmlformats.org/officeDocument/2006/relationships/hyperlink" Target="1960-80/Ame%20Doc14,%20195.pdf" TargetMode="External"/><Relationship Id="rId407" Type="http://schemas.openxmlformats.org/officeDocument/2006/relationships/hyperlink" Target="2009/Ame%20Hea%20J157,%20695.pdf" TargetMode="External"/><Relationship Id="rId614" Type="http://schemas.openxmlformats.org/officeDocument/2006/relationships/hyperlink" Target="-1959/Ame%20J%20Psy63,%20342.pdf" TargetMode="External"/><Relationship Id="rId821" Type="http://schemas.openxmlformats.org/officeDocument/2006/relationships/hyperlink" Target="2014/Ann%20All%20Ast%20Imm112,%20496.pdf" TargetMode="External"/><Relationship Id="rId1037" Type="http://schemas.openxmlformats.org/officeDocument/2006/relationships/hyperlink" Target="2015/Appetite84,%20212.pdf" TargetMode="External"/><Relationship Id="rId1244" Type="http://schemas.openxmlformats.org/officeDocument/2006/relationships/hyperlink" Target="2004/Asi%20Pac%20Edu%20Rev5,%2014.pdf" TargetMode="External"/><Relationship Id="rId1451" Type="http://schemas.openxmlformats.org/officeDocument/2006/relationships/hyperlink" Target="2013/Bio%20Bio%20Act-Pro%20Pro1834,%201279.pdf" TargetMode="External"/><Relationship Id="rId1896" Type="http://schemas.openxmlformats.org/officeDocument/2006/relationships/hyperlink" Target="2014/Bri%20J%20Man25,%2023.pdf" TargetMode="External"/><Relationship Id="rId2074" Type="http://schemas.openxmlformats.org/officeDocument/2006/relationships/hyperlink" Target="2011/Bri%20Med%20J343,%20d6128.pdf" TargetMode="External"/><Relationship Id="rId253" Type="http://schemas.openxmlformats.org/officeDocument/2006/relationships/hyperlink" Target="2008/Adv%20Atm%20Sci25,%20705.pdf" TargetMode="External"/><Relationship Id="rId460" Type="http://schemas.openxmlformats.org/officeDocument/2006/relationships/hyperlink" Target="2011/Ame%20J%20Epi174,%20S4.pdf" TargetMode="External"/><Relationship Id="rId698" Type="http://schemas.openxmlformats.org/officeDocument/2006/relationships/hyperlink" Target="2011/Ana%20Kar%20Der%20Ana%20J%20Car11,%20661.pdf" TargetMode="External"/><Relationship Id="rId919" Type="http://schemas.openxmlformats.org/officeDocument/2006/relationships/hyperlink" Target="2006/Ann%20Onc17,%201197.pdf" TargetMode="External"/><Relationship Id="rId1090" Type="http://schemas.openxmlformats.org/officeDocument/2006/relationships/hyperlink" Target="2010/Arc%20Der146,%20554.pdf" TargetMode="External"/><Relationship Id="rId1104" Type="http://schemas.openxmlformats.org/officeDocument/2006/relationships/hyperlink" Target="2009/Arc%20Env%20Occ%20Hea64,%2043.pdf" TargetMode="External"/><Relationship Id="rId1311" Type="http://schemas.openxmlformats.org/officeDocument/2006/relationships/hyperlink" Target="2015/Asl%20J%20Inf%20Man67,%2055.pdf" TargetMode="External"/><Relationship Id="rId1549" Type="http://schemas.openxmlformats.org/officeDocument/2006/relationships/hyperlink" Target="2014/BMC%20Can11,%20557.pdf" TargetMode="External"/><Relationship Id="rId1756" Type="http://schemas.openxmlformats.org/officeDocument/2006/relationships/hyperlink" Target="2014/BMJ%20Ope4,%20e004429.pdf" TargetMode="External"/><Relationship Id="rId1963" Type="http://schemas.openxmlformats.org/officeDocument/2006/relationships/hyperlink" Target="2009/Bri%20J%20Sur96,%20967.pdf" TargetMode="External"/><Relationship Id="rId2141" Type="http://schemas.openxmlformats.org/officeDocument/2006/relationships/hyperlink" Target="2002/Bul%20Med%20Lib%20Ass90,%20290.pdf" TargetMode="External"/><Relationship Id="rId48" Type="http://schemas.openxmlformats.org/officeDocument/2006/relationships/hyperlink" Target="2005/Aca%20Rad12,%20825.pdf" TargetMode="External"/><Relationship Id="rId113" Type="http://schemas.openxmlformats.org/officeDocument/2006/relationships/hyperlink" Target="2015/Act%20Bot%20Bra29,%20113.pdf" TargetMode="External"/><Relationship Id="rId320" Type="http://schemas.openxmlformats.org/officeDocument/2006/relationships/hyperlink" Target="http://journals.cambridge.org/action/displayJournal?jid=ASO" TargetMode="External"/><Relationship Id="rId558" Type="http://schemas.openxmlformats.org/officeDocument/2006/relationships/hyperlink" Target="2009/Ame%20J%20Occ%20The63,%20508.pdf" TargetMode="External"/><Relationship Id="rId765" Type="http://schemas.openxmlformats.org/officeDocument/2006/relationships/hyperlink" Target="2008/Ane%20Ana106,%201524.pdf" TargetMode="External"/><Relationship Id="rId972" Type="http://schemas.openxmlformats.org/officeDocument/2006/relationships/hyperlink" Target="2013/Ann%20Sur%20Onc20,%204022.pdf" TargetMode="External"/><Relationship Id="rId1188" Type="http://schemas.openxmlformats.org/officeDocument/2006/relationships/hyperlink" Target="2011/Arc%20Tox85,%201485.pdf" TargetMode="External"/><Relationship Id="rId1395" Type="http://schemas.openxmlformats.org/officeDocument/2006/relationships/hyperlink" Target="2003/Aus%20New%20Zea%20J%20Psy37,%20255.pdf" TargetMode="External"/><Relationship Id="rId1409" Type="http://schemas.openxmlformats.org/officeDocument/2006/relationships/hyperlink" Target="2015/Aus%20New%20Zea%20J%20Pub%20Hea39,%2063.pdf" TargetMode="External"/><Relationship Id="rId1616" Type="http://schemas.openxmlformats.org/officeDocument/2006/relationships/hyperlink" Target="2015/BMC%20Inf%20Dis15,%20118.pdf" TargetMode="External"/><Relationship Id="rId1823" Type="http://schemas.openxmlformats.org/officeDocument/2006/relationships/hyperlink" Target="2006/Bra%20J%20Med%20Bio%20Res39,%201143.pdf" TargetMode="External"/><Relationship Id="rId2001" Type="http://schemas.openxmlformats.org/officeDocument/2006/relationships/hyperlink" Target="1995/Bri%20Med%20J310,%20869-1.pdf" TargetMode="External"/><Relationship Id="rId197" Type="http://schemas.openxmlformats.org/officeDocument/2006/relationships/hyperlink" Target="2007/Act%20Psy%20Sca116,%20157.pdf" TargetMode="External"/><Relationship Id="rId418" Type="http://schemas.openxmlformats.org/officeDocument/2006/relationships/hyperlink" Target="2010/Ame%20J%20Car105,%201317.pdf" TargetMode="External"/><Relationship Id="rId625" Type="http://schemas.openxmlformats.org/officeDocument/2006/relationships/hyperlink" Target="2002/Ame%20J%20Res%20Cri%20Car%20Med166,%201019.pdf" TargetMode="External"/><Relationship Id="rId832" Type="http://schemas.openxmlformats.org/officeDocument/2006/relationships/hyperlink" Target="1998/Ann%20Eme%20Med31,%2078.pdf" TargetMode="External"/><Relationship Id="rId1048" Type="http://schemas.openxmlformats.org/officeDocument/2006/relationships/hyperlink" Target="2012/App%20Eco%20Let19,%201609.pdf" TargetMode="External"/><Relationship Id="rId1255" Type="http://schemas.openxmlformats.org/officeDocument/2006/relationships/hyperlink" Target="2009/Asi-Pac%20J%20Pub%20Hea21,%20128.pdf" TargetMode="External"/><Relationship Id="rId1462" Type="http://schemas.openxmlformats.org/officeDocument/2006/relationships/hyperlink" Target="2013/Bio%20Con66,%20102.pdf" TargetMode="External"/><Relationship Id="rId2085" Type="http://schemas.openxmlformats.org/officeDocument/2006/relationships/hyperlink" Target="2014/Bri%20Med%20J348,%20g1585.pdf" TargetMode="External"/><Relationship Id="rId264" Type="http://schemas.openxmlformats.org/officeDocument/2006/relationships/hyperlink" Target="2014/Adv%20Med%20Res%20Neu%20Cli%20App1307,%2089.pdf" TargetMode="External"/><Relationship Id="rId471" Type="http://schemas.openxmlformats.org/officeDocument/2006/relationships/hyperlink" Target="2005/Ame%20J%20Gas100,%201345.pdf" TargetMode="External"/><Relationship Id="rId1115" Type="http://schemas.openxmlformats.org/officeDocument/2006/relationships/hyperlink" Target="2010/Arc%20Eur%20Soc51,%20243.pdf" TargetMode="External"/><Relationship Id="rId1322" Type="http://schemas.openxmlformats.org/officeDocument/2006/relationships/hyperlink" Target="2005/Asl%20Pro57,%205.pdf" TargetMode="External"/><Relationship Id="rId1767" Type="http://schemas.openxmlformats.org/officeDocument/2006/relationships/hyperlink" Target="2014/BMJ%20Ope4,%20e005238.pdf" TargetMode="External"/><Relationship Id="rId1974" Type="http://schemas.openxmlformats.org/officeDocument/2006/relationships/hyperlink" Target="2010/Bri%20Med%20Bul95,%20121.pdf" TargetMode="External"/><Relationship Id="rId2152" Type="http://schemas.openxmlformats.org/officeDocument/2006/relationships/hyperlink" Target="2013/Burns39,%201514.pdf" TargetMode="External"/><Relationship Id="rId59" Type="http://schemas.openxmlformats.org/officeDocument/2006/relationships/hyperlink" Target="2003/Acc%20Ana%20Pre35,%20177.pdf" TargetMode="External"/><Relationship Id="rId124" Type="http://schemas.openxmlformats.org/officeDocument/2006/relationships/hyperlink" Target="http://www.blackwell-synergy.com/loi/aya" TargetMode="External"/><Relationship Id="rId569" Type="http://schemas.openxmlformats.org/officeDocument/2006/relationships/hyperlink" Target="http://www.sciencedirect.com/science?_ob=JournalURL&amp;_cdi=6689&amp;_auth=y&amp;_acct=C000011279&amp;_version=1&amp;_urlVersion=0&amp;_userid=1134284&amp;md5=f7bc1d7220cf6bfc84e79540b4be4254" TargetMode="External"/><Relationship Id="rId776" Type="http://schemas.openxmlformats.org/officeDocument/2006/relationships/hyperlink" Target="http://www3.interscience.wiley.com/cgi-bin/jtoc/106572259/" TargetMode="External"/><Relationship Id="rId983" Type="http://schemas.openxmlformats.org/officeDocument/2006/relationships/hyperlink" Target="2008/Ann%20Tra13,%2048.pdf" TargetMode="External"/><Relationship Id="rId1199" Type="http://schemas.openxmlformats.org/officeDocument/2006/relationships/hyperlink" Target="2011/Arc%20Bro47,%2025.pdf" TargetMode="External"/><Relationship Id="rId1627" Type="http://schemas.openxmlformats.org/officeDocument/2006/relationships/hyperlink" Target="2013/BMC%20Med%20Gen6,%20S3.pdf" TargetMode="External"/><Relationship Id="rId1834" Type="http://schemas.openxmlformats.org/officeDocument/2006/relationships/hyperlink" Target="2014/Bra%20J%20Phy%20The18,%20111.pdf" TargetMode="External"/><Relationship Id="rId331" Type="http://schemas.openxmlformats.org/officeDocument/2006/relationships/hyperlink" Target="2008/AIDS22,%201799.pdf" TargetMode="External"/><Relationship Id="rId429" Type="http://schemas.openxmlformats.org/officeDocument/2006/relationships/hyperlink" Target="2015/Ame%20J%20Car%20Der16,%2089.pdf" TargetMode="External"/><Relationship Id="rId636" Type="http://schemas.openxmlformats.org/officeDocument/2006/relationships/hyperlink" Target="1996/Ame%20J%20Roe167,%20571.pdf" TargetMode="External"/><Relationship Id="rId1059" Type="http://schemas.openxmlformats.org/officeDocument/2006/relationships/hyperlink" Target="2005/App%20Nur%20Res18,%201.pdf" TargetMode="External"/><Relationship Id="rId1266" Type="http://schemas.openxmlformats.org/officeDocument/2006/relationships/hyperlink" Target="2014/Asi%20J%20And16,%20487.pdf" TargetMode="External"/><Relationship Id="rId1473" Type="http://schemas.openxmlformats.org/officeDocument/2006/relationships/hyperlink" Target="2014/Bio%20Res%20Int,%20364207.pdf" TargetMode="External"/><Relationship Id="rId2012" Type="http://schemas.openxmlformats.org/officeDocument/2006/relationships/hyperlink" Target="1997/Bri%20Med%20J314,%201046.pdf" TargetMode="External"/><Relationship Id="rId2096" Type="http://schemas.openxmlformats.org/officeDocument/2006/relationships/hyperlink" Target="http://www.pubmedcentral.nih.gov/tocrender.fcgi?action=archive&amp;journal=72" TargetMode="External"/><Relationship Id="rId843" Type="http://schemas.openxmlformats.org/officeDocument/2006/relationships/hyperlink" Target="2013/Ann%20Epi23,%20797.pdf" TargetMode="External"/><Relationship Id="rId1126" Type="http://schemas.openxmlformats.org/officeDocument/2006/relationships/hyperlink" Target="2011/Arc%20Gyn%20Obs284,%20749.pdf" TargetMode="External"/><Relationship Id="rId1680" Type="http://schemas.openxmlformats.org/officeDocument/2006/relationships/hyperlink" Target="2013/BMC%20Med%20Inf%20Dec%20Mak13,%2083.pdf" TargetMode="External"/><Relationship Id="rId1778" Type="http://schemas.openxmlformats.org/officeDocument/2006/relationships/hyperlink" Target="2012/BMJ%20Qua%20Saf21,%20239.pdf" TargetMode="External"/><Relationship Id="rId1901" Type="http://schemas.openxmlformats.org/officeDocument/2006/relationships/hyperlink" Target="http://journals.cambridge.org/action/home" TargetMode="External"/><Relationship Id="rId1985" Type="http://schemas.openxmlformats.org/officeDocument/2006/relationships/hyperlink" Target="1990/Bri%20Med%20J301,%201333.pdf" TargetMode="External"/><Relationship Id="rId275" Type="http://schemas.openxmlformats.org/officeDocument/2006/relationships/hyperlink" Target="2011/Aes%20Sur%20J31,%20807.pdf" TargetMode="External"/><Relationship Id="rId482" Type="http://schemas.openxmlformats.org/officeDocument/2006/relationships/hyperlink" Target="2015/Ame%20J%20Ger%20Psy23,%20335.pdf" TargetMode="External"/><Relationship Id="rId703" Type="http://schemas.openxmlformats.org/officeDocument/2006/relationships/hyperlink" Target="1999/Anesthesia54,%20192.pdf" TargetMode="External"/><Relationship Id="rId910" Type="http://schemas.openxmlformats.org/officeDocument/2006/relationships/hyperlink" Target="2013/Ann%20Med45,%20532.pdf" TargetMode="External"/><Relationship Id="rId1333" Type="http://schemas.openxmlformats.org/officeDocument/2006/relationships/hyperlink" Target="2009/Asl%20Pro61,%20605.pdf" TargetMode="External"/><Relationship Id="rId1540" Type="http://schemas.openxmlformats.org/officeDocument/2006/relationships/hyperlink" Target="2006/BMC%20Bio7,%20424.pdf" TargetMode="External"/><Relationship Id="rId1638" Type="http://schemas.openxmlformats.org/officeDocument/2006/relationships/hyperlink" Target="2007/BMC%20Med%20Res%20Met7,%2024.pdf" TargetMode="External"/><Relationship Id="rId2163" Type="http://schemas.openxmlformats.org/officeDocument/2006/relationships/hyperlink" Target="2013/Bus%20Hor56,%20323.pdf" TargetMode="External"/><Relationship Id="rId135" Type="http://schemas.openxmlformats.org/officeDocument/2006/relationships/hyperlink" Target="2010/Act%20Geo%20Slo50,%208.pdf" TargetMode="External"/><Relationship Id="rId342" Type="http://schemas.openxmlformats.org/officeDocument/2006/relationships/hyperlink" Target="http://www.liebertonline.com/toc/apc/2005/19/1" TargetMode="External"/><Relationship Id="rId787" Type="http://schemas.openxmlformats.org/officeDocument/2006/relationships/hyperlink" Target="2013/Ang%20Ort83,%20365.pdf" TargetMode="External"/><Relationship Id="rId994" Type="http://schemas.openxmlformats.org/officeDocument/2006/relationships/hyperlink" Target="1995/Ann%20Rev%20Soc21,%20387.pdf" TargetMode="External"/><Relationship Id="rId1400" Type="http://schemas.openxmlformats.org/officeDocument/2006/relationships/hyperlink" Target="2010/Aus%20New%20Zea%20J%20Psy44,%20681.pdf" TargetMode="External"/><Relationship Id="rId1845" Type="http://schemas.openxmlformats.org/officeDocument/2006/relationships/hyperlink" Target="2013/Bre%20Can%20Res%20Tre142,%20619.pdf" TargetMode="External"/><Relationship Id="rId2023" Type="http://schemas.openxmlformats.org/officeDocument/2006/relationships/hyperlink" Target="2001/Bri%20Med%20J323,%20833.pdf" TargetMode="External"/><Relationship Id="rId202" Type="http://schemas.openxmlformats.org/officeDocument/2006/relationships/hyperlink" Target="http://www.periodicos.uem.br/ojs/index.php/ActaSciBiolSci/index" TargetMode="External"/><Relationship Id="rId647" Type="http://schemas.openxmlformats.org/officeDocument/2006/relationships/hyperlink" Target="2000/Ame%20J%20Sur179,%20309.pdf" TargetMode="External"/><Relationship Id="rId854" Type="http://schemas.openxmlformats.org/officeDocument/2006/relationships/hyperlink" Target="2014/Ann%20Ind%20Aca%20Neu17,%2012.pdf" TargetMode="External"/><Relationship Id="rId1277" Type="http://schemas.openxmlformats.org/officeDocument/2006/relationships/hyperlink" Target="http://weblinks1.epnet.com/HJAFdetail.asp?tb=1&amp;_ug=dbs+0+ln+en%2Dus+sid+56B2EE21%2D74E5%2D4393%2DA524%2D509C497F9F2E%40Sessionmgr2+AD79&amp;_uh=btn+N+idb+buhish+jdb+buhjnh+op+phrase+ss+ID++%22bm6%22+BF12&amp;_us=db+0+sm+KS+95B1&amp;" TargetMode="External"/><Relationship Id="rId1484" Type="http://schemas.openxmlformats.org/officeDocument/2006/relationships/hyperlink" Target="2015/Bio%20Res%20Int,%20564149.pdf" TargetMode="External"/><Relationship Id="rId1691" Type="http://schemas.openxmlformats.org/officeDocument/2006/relationships/hyperlink" Target="2005/BMC%20Pub%20Hea5,%2024.pdf" TargetMode="External"/><Relationship Id="rId1705" Type="http://schemas.openxmlformats.org/officeDocument/2006/relationships/hyperlink" Target="2012/BMC%20Pub%20Hea12,%20442.pdf" TargetMode="External"/><Relationship Id="rId1912" Type="http://schemas.openxmlformats.org/officeDocument/2006/relationships/hyperlink" Target="2015/Bri%20J%20Oph99,%20593.pdf" TargetMode="External"/><Relationship Id="rId286" Type="http://schemas.openxmlformats.org/officeDocument/2006/relationships/hyperlink" Target="2013/Afr%20J%20Bio12,%207043.pdf" TargetMode="External"/><Relationship Id="rId493" Type="http://schemas.openxmlformats.org/officeDocument/2006/relationships/hyperlink" Target="2011/Ame%20J%20Hea-Sys%20Pha68,%201730.pdf" TargetMode="External"/><Relationship Id="rId507" Type="http://schemas.openxmlformats.org/officeDocument/2006/relationships/hyperlink" Target="-1959/Ame%20J%20Hyg3,%20113.pdf" TargetMode="External"/><Relationship Id="rId714" Type="http://schemas.openxmlformats.org/officeDocument/2006/relationships/hyperlink" Target="2012/Anesthesia67,%20185.pdf" TargetMode="External"/><Relationship Id="rId921" Type="http://schemas.openxmlformats.org/officeDocument/2006/relationships/hyperlink" Target="2011/Ann%20Onc22,%20754.pdf" TargetMode="External"/><Relationship Id="rId1137" Type="http://schemas.openxmlformats.org/officeDocument/2006/relationships/hyperlink" Target="2007/Arc%20Int%20Med167,%201730.pdf" TargetMode="External"/><Relationship Id="rId1344" Type="http://schemas.openxmlformats.org/officeDocument/2006/relationships/hyperlink" Target="2013/Asl%20Pro65,%20623.pdf" TargetMode="External"/><Relationship Id="rId1551" Type="http://schemas.openxmlformats.org/officeDocument/2006/relationships/hyperlink" Target="2014/BMC%20Can14,%20776.pdf" TargetMode="External"/><Relationship Id="rId1789" Type="http://schemas.openxmlformats.org/officeDocument/2006/relationships/hyperlink" Target="2011/Bol%20Soc%20Esp%20Cer%20Vid50,%20185.pdf" TargetMode="External"/><Relationship Id="rId1996" Type="http://schemas.openxmlformats.org/officeDocument/2006/relationships/hyperlink" Target="1993/Bri%20Med%20J306,%201345.pdf" TargetMode="External"/><Relationship Id="rId50" Type="http://schemas.openxmlformats.org/officeDocument/2006/relationships/hyperlink" Target="2010/Aca%20Rad17,%20817.pdf" TargetMode="External"/><Relationship Id="rId146" Type="http://schemas.openxmlformats.org/officeDocument/2006/relationships/hyperlink" Target="2011/Act%20Neu23,%2080.pdf" TargetMode="External"/><Relationship Id="rId353" Type="http://schemas.openxmlformats.org/officeDocument/2006/relationships/hyperlink" Target="2015/Alc%20Alc50,%201.pdf" TargetMode="External"/><Relationship Id="rId560" Type="http://schemas.openxmlformats.org/officeDocument/2006/relationships/hyperlink" Target="2011/Ame%20J%20Occ%20The65,%20179.pdf" TargetMode="External"/><Relationship Id="rId798" Type="http://schemas.openxmlformats.org/officeDocument/2006/relationships/hyperlink" Target="-1959/Ann%20Phy330,%20377.pdf" TargetMode="External"/><Relationship Id="rId1190" Type="http://schemas.openxmlformats.org/officeDocument/2006/relationships/hyperlink" Target="2010/Arc%20Wom%20Men%20Hea13,%20459.pdf" TargetMode="External"/><Relationship Id="rId1204" Type="http://schemas.openxmlformats.org/officeDocument/2006/relationships/hyperlink" Target="2008/Arc%20Imm%20The%20Exp56,%20381.pdf" TargetMode="External"/><Relationship Id="rId1411" Type="http://schemas.openxmlformats.org/officeDocument/2006/relationships/hyperlink" Target="2002/Aus%20New%20Zea%20J%20Sta44,%2038.pdf" TargetMode="External"/><Relationship Id="rId1649" Type="http://schemas.openxmlformats.org/officeDocument/2006/relationships/hyperlink" Target="2011/BMC%20Med9,%207.pdf" TargetMode="External"/><Relationship Id="rId1856" Type="http://schemas.openxmlformats.org/officeDocument/2006/relationships/hyperlink" Target="2000/Bri%20J%20Ana85,%20556.pdf" TargetMode="External"/><Relationship Id="rId2034" Type="http://schemas.openxmlformats.org/officeDocument/2006/relationships/hyperlink" Target="2003/Bri%20Med%20J327,%201189.pdf" TargetMode="External"/><Relationship Id="rId213" Type="http://schemas.openxmlformats.org/officeDocument/2006/relationships/hyperlink" Target="2008/Act%20Sto%20Cro42,%20123.pdf" TargetMode="External"/><Relationship Id="rId420" Type="http://schemas.openxmlformats.org/officeDocument/2006/relationships/hyperlink" Target="2011/Ame%20J%20Car108,%201207.pdf" TargetMode="External"/><Relationship Id="rId658" Type="http://schemas.openxmlformats.org/officeDocument/2006/relationships/hyperlink" Target="http://ovidsp.uk.ovid.com/sp-2.3/ovidweb.cgi?QS2=434f4e1a73d37e8c2871575337c986e9f1f4ed67c4b87d69ed26292731ac5873182492c3f78598b53ba90fbe6f972a591bb4496467f62f700d07e5322c8340258dc1165d5c5aed59ea941d33f051f8aa2ff1777f3a0b389152e5429d0e08f0e420481c43f2c48b9" TargetMode="External"/><Relationship Id="rId865" Type="http://schemas.openxmlformats.org/officeDocument/2006/relationships/hyperlink" Target="2006/Ann%20Int%20Med145,%20185.pdf" TargetMode="External"/><Relationship Id="rId1050" Type="http://schemas.openxmlformats.org/officeDocument/2006/relationships/hyperlink" Target="2014/App%20Eco%20Let21,%20760.pdf" TargetMode="External"/><Relationship Id="rId1288" Type="http://schemas.openxmlformats.org/officeDocument/2006/relationships/hyperlink" Target="../HO-reference/2013/Asi%20Pac%20J%20Can%20Pre14,%205921.pdf" TargetMode="External"/><Relationship Id="rId1495" Type="http://schemas.openxmlformats.org/officeDocument/2006/relationships/hyperlink" Target="2014/Bio%20Pha68,%20923.pdf" TargetMode="External"/><Relationship Id="rId1509" Type="http://schemas.openxmlformats.org/officeDocument/2006/relationships/hyperlink" Target="2014/Bip%20Dis16,%20455.pdf" TargetMode="External"/><Relationship Id="rId1716" Type="http://schemas.openxmlformats.org/officeDocument/2006/relationships/hyperlink" Target="2014/BMC%20Pub%20Hea14,%20333.pdf" TargetMode="External"/><Relationship Id="rId1923" Type="http://schemas.openxmlformats.org/officeDocument/2006/relationships/hyperlink" Target="2001/Bri%20J%20Psy178,%20410.pdf" TargetMode="External"/><Relationship Id="rId2101" Type="http://schemas.openxmlformats.org/officeDocument/2006/relationships/hyperlink" Target="1960-80/Bul%20Med%20Lib%20Ass52,%20629.pdf" TargetMode="External"/><Relationship Id="rId297" Type="http://schemas.openxmlformats.org/officeDocument/2006/relationships/hyperlink" Target="2011/Afr%20J%20Bus%20Man5,%201020.pdf" TargetMode="External"/><Relationship Id="rId518" Type="http://schemas.openxmlformats.org/officeDocument/2006/relationships/hyperlink" Target="2011/Ame%20J%20Kid%20Dis58,%20921.pdf" TargetMode="External"/><Relationship Id="rId725" Type="http://schemas.openxmlformats.org/officeDocument/2006/relationships/hyperlink" Target="2006/Ana%20Aca%20Bra%20Cie78,%20841.pdf" TargetMode="External"/><Relationship Id="rId932" Type="http://schemas.openxmlformats.org/officeDocument/2006/relationships/hyperlink" Target="2011/Ann%20Pha45,%201144.pdf" TargetMode="External"/><Relationship Id="rId1148" Type="http://schemas.openxmlformats.org/officeDocument/2006/relationships/hyperlink" Target="1988/Arc%20Oph106,%20465.pdf" TargetMode="External"/><Relationship Id="rId1355" Type="http://schemas.openxmlformats.org/officeDocument/2006/relationships/hyperlink" Target="2013/Atherosclerosis230,%20275.pdf" TargetMode="External"/><Relationship Id="rId1562" Type="http://schemas.openxmlformats.org/officeDocument/2006/relationships/hyperlink" Target="2001/BMC%20Der1,%207.pdf" TargetMode="External"/><Relationship Id="rId157" Type="http://schemas.openxmlformats.org/officeDocument/2006/relationships/hyperlink" Target="2008/Act%20Odo%20Sca66,%20193.pdf" TargetMode="External"/><Relationship Id="rId364" Type="http://schemas.openxmlformats.org/officeDocument/2006/relationships/hyperlink" Target="2011/Ali%20Pha%20The34,%20166.pdf" TargetMode="External"/><Relationship Id="rId1008" Type="http://schemas.openxmlformats.org/officeDocument/2006/relationships/hyperlink" Target="1994/Ant%20Age%20Che38,%202877.pdf" TargetMode="External"/><Relationship Id="rId1215" Type="http://schemas.openxmlformats.org/officeDocument/2006/relationships/hyperlink" Target="http://www.ceps.com.tw/ec/ecJnlIntro.aspx?jnlcattype=0&amp;jnlptype=0&amp;jnltype=0&amp;Jnliid=1903&amp;newIssueiid=33056" TargetMode="External"/><Relationship Id="rId1422" Type="http://schemas.openxmlformats.org/officeDocument/2006/relationships/hyperlink" Target="1997/Bas%20App%20Myo7,%20295.pdf" TargetMode="External"/><Relationship Id="rId1867" Type="http://schemas.openxmlformats.org/officeDocument/2006/relationships/hyperlink" Target="2009/Bri%20J%20Can101,%201641.pdf" TargetMode="External"/><Relationship Id="rId2045" Type="http://schemas.openxmlformats.org/officeDocument/2006/relationships/hyperlink" Target="2008/Bri%20Med%20J334,%20561.pdf" TargetMode="External"/><Relationship Id="rId61" Type="http://schemas.openxmlformats.org/officeDocument/2006/relationships/hyperlink" Target="2003/Acc%20Res%20Pol%20Qua%20Ass10,%2027.pdf" TargetMode="External"/><Relationship Id="rId571" Type="http://schemas.openxmlformats.org/officeDocument/2006/relationships/hyperlink" Target="2003/Ame%20J%20Ort%20Den%20Ort124,%2030.pdf" TargetMode="External"/><Relationship Id="rId669" Type="http://schemas.openxmlformats.org/officeDocument/2006/relationships/hyperlink" Target="2000/Ame%20Psy55,%20274.pdf" TargetMode="External"/><Relationship Id="rId876" Type="http://schemas.openxmlformats.org/officeDocument/2006/relationships/hyperlink" Target="2010/Ann%20Int%20Med152,%20247.pdf" TargetMode="External"/><Relationship Id="rId1299" Type="http://schemas.openxmlformats.org/officeDocument/2006/relationships/hyperlink" Target="2014/Asi%20Pac%20J%20Can%20Pre15,%201803.pdf" TargetMode="External"/><Relationship Id="rId1727" Type="http://schemas.openxmlformats.org/officeDocument/2006/relationships/hyperlink" Target="2015/BMC%20Pub%20Hea15,%20239.pdf" TargetMode="External"/><Relationship Id="rId1934" Type="http://schemas.openxmlformats.org/officeDocument/2006/relationships/hyperlink" Target="2010/Bri%20J%20Psy101,%20777.pdf" TargetMode="External"/><Relationship Id="rId19" Type="http://schemas.openxmlformats.org/officeDocument/2006/relationships/hyperlink" Target="2011/Aca%20Eme%20Med18,%20111.pdf" TargetMode="External"/><Relationship Id="rId224" Type="http://schemas.openxmlformats.org/officeDocument/2006/relationships/hyperlink" Target="2014/Acu%20Med32,%20160.pdf" TargetMode="External"/><Relationship Id="rId431" Type="http://schemas.openxmlformats.org/officeDocument/2006/relationships/hyperlink" Target="1999/Ame%20J%20Cli%20Nut70,%20601S.pdf" TargetMode="External"/><Relationship Id="rId529" Type="http://schemas.openxmlformats.org/officeDocument/2006/relationships/hyperlink" Target="2011/Ame%20J%20Med%20Sci342,%2050.pdf" TargetMode="External"/><Relationship Id="rId736" Type="http://schemas.openxmlformats.org/officeDocument/2006/relationships/hyperlink" Target="1996/Analusis24,%20M42.pdf" TargetMode="External"/><Relationship Id="rId1061" Type="http://schemas.openxmlformats.org/officeDocument/2006/relationships/hyperlink" Target="2015/App%20Sof%20Com27,%20420.pdf" TargetMode="External"/><Relationship Id="rId1159" Type="http://schemas.openxmlformats.org/officeDocument/2006/relationships/hyperlink" Target="2010/Arc%20Ped%20Ado%20Med164,%2085.pdf" TargetMode="External"/><Relationship Id="rId1366" Type="http://schemas.openxmlformats.org/officeDocument/2006/relationships/hyperlink" Target="2012/Aut%20J%20Edu%20Tec28,%20iii.pdf" TargetMode="External"/><Relationship Id="rId2112" Type="http://schemas.openxmlformats.org/officeDocument/2006/relationships/hyperlink" Target="1993/Bul%20Med%20Lib%20Ass81,%20383.pdf" TargetMode="External"/><Relationship Id="rId168" Type="http://schemas.openxmlformats.org/officeDocument/2006/relationships/hyperlink" Target="http://taylorandfrancis.metapress.com/(y0wi13bczi2y0w55motajb55)/app/home/journal.asp?referrer=parent&amp;backto=linkingpublicationresults,1:300377,1" TargetMode="External"/><Relationship Id="rId943" Type="http://schemas.openxmlformats.org/officeDocument/2006/relationships/hyperlink" Target="2012/Ann%20Pla%20Sur68,%20328.pdf" TargetMode="External"/><Relationship Id="rId1019" Type="http://schemas.openxmlformats.org/officeDocument/2006/relationships/hyperlink" Target="1999/Ant%20Age%20Che43,%203001.pdf" TargetMode="External"/><Relationship Id="rId1573" Type="http://schemas.openxmlformats.org/officeDocument/2006/relationships/hyperlink" Target="2012/BMC%20Hea%20Ser%20Res12,%20165.pdf" TargetMode="External"/><Relationship Id="rId1780" Type="http://schemas.openxmlformats.org/officeDocument/2006/relationships/hyperlink" Target="../HO-reference/2013/BMC%20Vet%20Res9,%20115.pdf" TargetMode="External"/><Relationship Id="rId1878" Type="http://schemas.openxmlformats.org/officeDocument/2006/relationships/hyperlink" Target="1998/Bri%20J%20Cri38,%20156.pdf" TargetMode="External"/><Relationship Id="rId72" Type="http://schemas.openxmlformats.org/officeDocument/2006/relationships/hyperlink" Target="2003/Acc%20Org%20Soc28,%20395.pdf" TargetMode="External"/><Relationship Id="rId375" Type="http://schemas.openxmlformats.org/officeDocument/2006/relationships/hyperlink" Target="1998/Allergy53,%201225.pdf" TargetMode="External"/><Relationship Id="rId582" Type="http://schemas.openxmlformats.org/officeDocument/2006/relationships/hyperlink" Target="2013/Ame%20J%20Pha%20Edu77,%20167.pdf" TargetMode="External"/><Relationship Id="rId803" Type="http://schemas.openxmlformats.org/officeDocument/2006/relationships/hyperlink" Target="2009/Ann%20Phy18,%20198.pdf" TargetMode="External"/><Relationship Id="rId1226" Type="http://schemas.openxmlformats.org/officeDocument/2006/relationships/hyperlink" Target="2013/Arq%20Bra%20Car101,%20286.pdf" TargetMode="External"/><Relationship Id="rId1433" Type="http://schemas.openxmlformats.org/officeDocument/2006/relationships/hyperlink" Target="2006/Beh%20Soc%20Sci%20Lib25,%2093.pdf" TargetMode="External"/><Relationship Id="rId1640" Type="http://schemas.openxmlformats.org/officeDocument/2006/relationships/hyperlink" Target="2009/BMC%20Med%20Res%20Met9,%2067.pdf" TargetMode="External"/><Relationship Id="rId1738" Type="http://schemas.openxmlformats.org/officeDocument/2006/relationships/hyperlink" Target="2014/BMJ-Bri%20Med%20J349,%20g5133.pdf" TargetMode="External"/><Relationship Id="rId2056" Type="http://schemas.openxmlformats.org/officeDocument/2006/relationships/hyperlink" Target="2009/Bri%20Med%20J339,%20b4471.pdf" TargetMode="External"/><Relationship Id="rId3" Type="http://schemas.openxmlformats.org/officeDocument/2006/relationships/styles" Target="styles.xml"/><Relationship Id="rId235" Type="http://schemas.openxmlformats.org/officeDocument/2006/relationships/hyperlink" Target="2011/Addiction106,%202110.pdf" TargetMode="External"/><Relationship Id="rId442" Type="http://schemas.openxmlformats.org/officeDocument/2006/relationships/hyperlink" Target="2010/Ame%20J%20Eco%20Soc69,%201345.pdf" TargetMode="External"/><Relationship Id="rId887" Type="http://schemas.openxmlformats.org/officeDocument/2006/relationships/hyperlink" Target="2011/Ann%20Int%20Med154,%20243.pdf" TargetMode="External"/><Relationship Id="rId1072" Type="http://schemas.openxmlformats.org/officeDocument/2006/relationships/hyperlink" Target="2009/Arc-J%20Wor%20Arc%20Con5,%20446.pdf" TargetMode="External"/><Relationship Id="rId1500" Type="http://schemas.openxmlformats.org/officeDocument/2006/relationships/hyperlink" Target="2008/Bioscience58,%20160.pdf" TargetMode="External"/><Relationship Id="rId1945" Type="http://schemas.openxmlformats.org/officeDocument/2006/relationships/hyperlink" Target="2012/Bri%20J%20Spo%20Med46,%20103.pdf" TargetMode="External"/><Relationship Id="rId2123" Type="http://schemas.openxmlformats.org/officeDocument/2006/relationships/hyperlink" Target="1997/Bul%20Med%20Lib%20Ass85,%20293.pdf" TargetMode="External"/><Relationship Id="rId302" Type="http://schemas.openxmlformats.org/officeDocument/2006/relationships/hyperlink" Target="2008/Afr%20J%20Lib%20Arc%20Inf%20Sci18,%2055.pdf" TargetMode="External"/><Relationship Id="rId747" Type="http://schemas.openxmlformats.org/officeDocument/2006/relationships/hyperlink" Target="2001/Ana%20Che73,%20370A.pdf" TargetMode="External"/><Relationship Id="rId954" Type="http://schemas.openxmlformats.org/officeDocument/2006/relationships/hyperlink" Target="../HO-reference/2012/Ann%20Roy%20Col%20Sur%20Eng94,%20219.pdf" TargetMode="External"/><Relationship Id="rId1377" Type="http://schemas.openxmlformats.org/officeDocument/2006/relationships/hyperlink" Target="2015/Aus%20Den%20J60,%20125.pdf" TargetMode="External"/><Relationship Id="rId1584" Type="http://schemas.openxmlformats.org/officeDocument/2006/relationships/hyperlink" Target="2009/BMC%20Hea%20Ser%20Res9,%2076.pdf" TargetMode="External"/><Relationship Id="rId1791" Type="http://schemas.openxmlformats.org/officeDocument/2006/relationships/hyperlink" Target="2014/Bone63,%2020.pdf" TargetMode="External"/><Relationship Id="rId1805" Type="http://schemas.openxmlformats.org/officeDocument/2006/relationships/hyperlink" Target="2014/Bra%20Dev36,%20626.pdf" TargetMode="External"/><Relationship Id="rId83" Type="http://schemas.openxmlformats.org/officeDocument/2006/relationships/hyperlink" Target="2004/ACIMED10-Canedo.pdf" TargetMode="External"/><Relationship Id="rId179" Type="http://schemas.openxmlformats.org/officeDocument/2006/relationships/hyperlink" Target="2011/Act%20Pau%20Enf24,%20127.pdf" TargetMode="External"/><Relationship Id="rId386" Type="http://schemas.openxmlformats.org/officeDocument/2006/relationships/hyperlink" Target="http://www.heinonline.org/HOL/Index?index=journals/abaj&amp;collection=journals" TargetMode="External"/><Relationship Id="rId593" Type="http://schemas.openxmlformats.org/officeDocument/2006/relationships/hyperlink" Target="2007/Ame%20J%20Pre%20Med32,%20163.pdf" TargetMode="External"/><Relationship Id="rId607" Type="http://schemas.openxmlformats.org/officeDocument/2006/relationships/hyperlink" Target="http://uk.jstor.org/journals/00029556.html" TargetMode="External"/><Relationship Id="rId814" Type="http://schemas.openxmlformats.org/officeDocument/2006/relationships/hyperlink" Target="2011/Ann%20Fra%20dAn%20Rea30,%20429.pdf" TargetMode="External"/><Relationship Id="rId1237" Type="http://schemas.openxmlformats.org/officeDocument/2006/relationships/hyperlink" Target="2011/Art%20Car%20Res63,%201115.pdf" TargetMode="External"/><Relationship Id="rId1444" Type="http://schemas.openxmlformats.org/officeDocument/2006/relationships/hyperlink" Target="2010/Bio%20Med20,%20295.pdf" TargetMode="External"/><Relationship Id="rId1651" Type="http://schemas.openxmlformats.org/officeDocument/2006/relationships/hyperlink" Target="2013/BMC%20Med11,%2066.pdf" TargetMode="External"/><Relationship Id="rId1889" Type="http://schemas.openxmlformats.org/officeDocument/2006/relationships/hyperlink" Target="-1959/Bri%20J%20Eng137,%2085.pdf" TargetMode="External"/><Relationship Id="rId2067" Type="http://schemas.openxmlformats.org/officeDocument/2006/relationships/hyperlink" Target="2011/Bri%20Med%20J342,%20d1083.pdf" TargetMode="External"/><Relationship Id="rId246" Type="http://schemas.openxmlformats.org/officeDocument/2006/relationships/hyperlink" Target="http://www3.interscience.wiley.com/journal/67500980/toc" TargetMode="External"/><Relationship Id="rId453" Type="http://schemas.openxmlformats.org/officeDocument/2006/relationships/hyperlink" Target="1999/Ame%20J%20Epi150,%20663.pdf" TargetMode="External"/><Relationship Id="rId660" Type="http://schemas.openxmlformats.org/officeDocument/2006/relationships/hyperlink" Target="1960-80/Ame%20Psy28,%20534.pdf" TargetMode="External"/><Relationship Id="rId898" Type="http://schemas.openxmlformats.org/officeDocument/2006/relationships/hyperlink" Target="2011/Ann%20Lib%20Inf%20Stu58,%20203.pdf" TargetMode="External"/><Relationship Id="rId1083" Type="http://schemas.openxmlformats.org/officeDocument/2006/relationships/hyperlink" Target="1992/Arc%20Der128,%201249.pdf" TargetMode="External"/><Relationship Id="rId1290" Type="http://schemas.openxmlformats.org/officeDocument/2006/relationships/hyperlink" Target="2013/Asi%20Pac%20J%20Can%20Pre14,%203337.pdf" TargetMode="External"/><Relationship Id="rId1304" Type="http://schemas.openxmlformats.org/officeDocument/2006/relationships/hyperlink" Target="1881/Asi%20Sur21,%20125.pdf" TargetMode="External"/><Relationship Id="rId1511" Type="http://schemas.openxmlformats.org/officeDocument/2006/relationships/hyperlink" Target="2014/Bir%20Con%20Int24,%20178.pdf" TargetMode="External"/><Relationship Id="rId1749" Type="http://schemas.openxmlformats.org/officeDocument/2006/relationships/hyperlink" Target="2013/BMJ%20Ope3,%20e002889.pdf" TargetMode="External"/><Relationship Id="rId1956" Type="http://schemas.openxmlformats.org/officeDocument/2006/relationships/hyperlink" Target="2000/Bri%20J%20Sur87,%201610.pdf" TargetMode="External"/><Relationship Id="rId2134" Type="http://schemas.openxmlformats.org/officeDocument/2006/relationships/hyperlink" Target="1999/Bul%20Med%20Lib%20Ass87,%20287.pdf" TargetMode="External"/><Relationship Id="rId106" Type="http://schemas.openxmlformats.org/officeDocument/2006/relationships/hyperlink" Target="http://www.actabioethica.cl/" TargetMode="External"/><Relationship Id="rId313" Type="http://schemas.openxmlformats.org/officeDocument/2006/relationships/hyperlink" Target="2007/Age%20Age36,%20492.pdf" TargetMode="External"/><Relationship Id="rId758" Type="http://schemas.openxmlformats.org/officeDocument/2006/relationships/hyperlink" Target="1999/Ane%20Ana88,%201175.pdf" TargetMode="External"/><Relationship Id="rId965" Type="http://schemas.openxmlformats.org/officeDocument/2006/relationships/hyperlink" Target="2009/Ann%20Sur250,%2062.pdf" TargetMode="External"/><Relationship Id="rId1150" Type="http://schemas.openxmlformats.org/officeDocument/2006/relationships/hyperlink" Target="2007/Arc%20Oph125,%20952.pdf" TargetMode="External"/><Relationship Id="rId1388" Type="http://schemas.openxmlformats.org/officeDocument/2006/relationships/hyperlink" Target="2010/Aus%20New%20Zea%20J%20Cri43,%20130.pdf" TargetMode="External"/><Relationship Id="rId1595" Type="http://schemas.openxmlformats.org/officeDocument/2006/relationships/hyperlink" Target="2014/BMC%20Hea%20Ser%20Res14,%2061.pdf" TargetMode="External"/><Relationship Id="rId1609" Type="http://schemas.openxmlformats.org/officeDocument/2006/relationships/hyperlink" Target="2011/BMC%20Inf%20Dis11,%2010.pdf" TargetMode="External"/><Relationship Id="rId1816" Type="http://schemas.openxmlformats.org/officeDocument/2006/relationships/hyperlink" Target="2000/Bra%20J%20Med%20Bio%20Res33,%20853.pdf" TargetMode="External"/><Relationship Id="rId10" Type="http://schemas.openxmlformats.org/officeDocument/2006/relationships/hyperlink" Target="1992/Aba-%20J%20Acc%20Bus%20Stu28,%20168.pdf" TargetMode="External"/><Relationship Id="rId94" Type="http://schemas.openxmlformats.org/officeDocument/2006/relationships/hyperlink" Target="2001/Act%20Ana%20Sca45,%20458.pdf" TargetMode="External"/><Relationship Id="rId397" Type="http://schemas.openxmlformats.org/officeDocument/2006/relationships/hyperlink" Target="1960-80/Ame%20Doc18,%2087.pdf" TargetMode="External"/><Relationship Id="rId520" Type="http://schemas.openxmlformats.org/officeDocument/2006/relationships/hyperlink" Target="2014/Ame%20J%20Kid%20Dis64,%20383.pdf" TargetMode="External"/><Relationship Id="rId618" Type="http://schemas.openxmlformats.org/officeDocument/2006/relationships/hyperlink" Target="2000/Ame%20J%20Pub%20Hea90,%201145.pdf" TargetMode="External"/><Relationship Id="rId825" Type="http://schemas.openxmlformats.org/officeDocument/2006/relationships/hyperlink" Target="http://www.ingentaconnect.com/content/sage/ann" TargetMode="External"/><Relationship Id="rId1248" Type="http://schemas.openxmlformats.org/officeDocument/2006/relationships/hyperlink" Target="2008/Asi%20Pac%20J%20Cli%20Nut17,%2095.pdf" TargetMode="External"/><Relationship Id="rId1455" Type="http://schemas.openxmlformats.org/officeDocument/2006/relationships/hyperlink" Target="1999/Bioe%20Bio50,%201.pdf" TargetMode="External"/><Relationship Id="rId1662" Type="http://schemas.openxmlformats.org/officeDocument/2006/relationships/hyperlink" Target="2014/BMC%20Mus%20Dis15,%20437.pdf" TargetMode="External"/><Relationship Id="rId2078" Type="http://schemas.openxmlformats.org/officeDocument/2006/relationships/hyperlink" Target="2012/Bri%20Med%20J344,%20e1602.pdf" TargetMode="External"/><Relationship Id="rId257" Type="http://schemas.openxmlformats.org/officeDocument/2006/relationships/hyperlink" Target="2011/Adv%20Cli%20Cha%20Res7,%2073.pdf" TargetMode="External"/><Relationship Id="rId464" Type="http://schemas.openxmlformats.org/officeDocument/2006/relationships/hyperlink" Target="2008/Ame%20J%20Eva29,%208.pdf" TargetMode="External"/><Relationship Id="rId1010" Type="http://schemas.openxmlformats.org/officeDocument/2006/relationships/hyperlink" Target="1995/Ant%20Age%20Che39,%202145.pdf" TargetMode="External"/><Relationship Id="rId1094" Type="http://schemas.openxmlformats.org/officeDocument/2006/relationships/hyperlink" Target="2001/Arc%20Dis%20Chi85,%20497.pdf" TargetMode="External"/><Relationship Id="rId1108" Type="http://schemas.openxmlformats.org/officeDocument/2006/relationships/hyperlink" Target="2015/Arc%20Env%20Occ%20Hea70,%201.pdf" TargetMode="External"/><Relationship Id="rId1315" Type="http://schemas.openxmlformats.org/officeDocument/2006/relationships/hyperlink" Target="1995/Asl%20Pro47,%20131.pdf" TargetMode="External"/><Relationship Id="rId1967" Type="http://schemas.openxmlformats.org/officeDocument/2006/relationships/hyperlink" Target="2011/Bri%20J%20Sur98,%201188.pdf" TargetMode="External"/><Relationship Id="rId2145" Type="http://schemas.openxmlformats.org/officeDocument/2006/relationships/hyperlink" Target="2008/Bul%20Nat%20Nat%20Sci%20Fou%20Chi22,%20125.pdf" TargetMode="External"/><Relationship Id="rId117" Type="http://schemas.openxmlformats.org/officeDocument/2006/relationships/hyperlink" Target="http://www.scielo.br/scielo.php?script=sci_serial&amp;pid=0102-8650&amp;lng=en&amp;nrm=iso" TargetMode="External"/><Relationship Id="rId671" Type="http://schemas.openxmlformats.org/officeDocument/2006/relationships/hyperlink" Target="2000/Ame%20Psy55,%20276.pdf" TargetMode="External"/><Relationship Id="rId769" Type="http://schemas.openxmlformats.org/officeDocument/2006/relationships/hyperlink" Target="2010/Ane%20Ana110,%20918.pdf" TargetMode="External"/><Relationship Id="rId976" Type="http://schemas.openxmlformats.org/officeDocument/2006/relationships/hyperlink" Target="2003/Ann%20Tho%20Sur76,%20S47.pdf" TargetMode="External"/><Relationship Id="rId1399" Type="http://schemas.openxmlformats.org/officeDocument/2006/relationships/hyperlink" Target="2009/Aus%20New%20Zea%20J%20Psy43,%201105.pdf" TargetMode="External"/><Relationship Id="rId324" Type="http://schemas.openxmlformats.org/officeDocument/2006/relationships/hyperlink" Target="2014/Agi%20Mal17,%20223.pdf" TargetMode="External"/><Relationship Id="rId531" Type="http://schemas.openxmlformats.org/officeDocument/2006/relationships/hyperlink" Target="http://www.sciencedirect.com/science?_ob=JournalURL&amp;_cdi=5195&amp;_auth=y&amp;_acct=C000050221&amp;_version=1&amp;_urlVersion=0&amp;_userid=10&amp;md5=c25b2bd4798ad393ff537cd421c428df" TargetMode="External"/><Relationship Id="rId629" Type="http://schemas.openxmlformats.org/officeDocument/2006/relationships/hyperlink" Target="1988/Ame%20J%20Roe150,%2031.pdf" TargetMode="External"/><Relationship Id="rId1161" Type="http://schemas.openxmlformats.org/officeDocument/2006/relationships/hyperlink" Target="http://www.sciencedirect.com/science?_ob=JournalURL&amp;_cdi=6702&amp;_auth=y&amp;_acct=C000024058&amp;_version=1&amp;_urlVersion=0&amp;_userid=4191814&amp;md5=6027d0b738ded5735b0497fef1b09b62" TargetMode="External"/><Relationship Id="rId1259" Type="http://schemas.openxmlformats.org/officeDocument/2006/relationships/hyperlink" Target="2015/Asi-Pac%20J%20Pub%20Hea27,%20NP47.pdf" TargetMode="External"/><Relationship Id="rId1466" Type="http://schemas.openxmlformats.org/officeDocument/2006/relationships/hyperlink" Target="2013/Biomarkers18,%20639.pdf" TargetMode="External"/><Relationship Id="rId2005" Type="http://schemas.openxmlformats.org/officeDocument/2006/relationships/hyperlink" Target="1996/Bri%20Med%20J313,%20411.pdf" TargetMode="External"/><Relationship Id="rId836" Type="http://schemas.openxmlformats.org/officeDocument/2006/relationships/hyperlink" Target="2002/Ann%20Eme%20Med39,%20622.pdf" TargetMode="External"/><Relationship Id="rId1021" Type="http://schemas.openxmlformats.org/officeDocument/2006/relationships/hyperlink" Target="2000/Ant%20Age%20Che44,%202581.pdf" TargetMode="External"/><Relationship Id="rId1119" Type="http://schemas.openxmlformats.org/officeDocument/2006/relationships/hyperlink" Target="2011/Arc%20Ger%20Ger54,%20175.pdf" TargetMode="External"/><Relationship Id="rId1673" Type="http://schemas.openxmlformats.org/officeDocument/2006/relationships/hyperlink" Target="2014/BMC%20Oph14,%2031.pdf" TargetMode="External"/><Relationship Id="rId1880" Type="http://schemas.openxmlformats.org/officeDocument/2006/relationships/hyperlink" Target="2000/Bri%20J%20Der142,%20413.pdf" TargetMode="External"/><Relationship Id="rId1978" Type="http://schemas.openxmlformats.org/officeDocument/2006/relationships/hyperlink" Target="2015/Bri%20Med%20Bul113,%2059.pdf" TargetMode="External"/><Relationship Id="rId903" Type="http://schemas.openxmlformats.org/officeDocument/2006/relationships/hyperlink" Target="1998/Ann%20Lib%20Sci%20Doc45,%20125.pdf" TargetMode="External"/><Relationship Id="rId1326" Type="http://schemas.openxmlformats.org/officeDocument/2006/relationships/hyperlink" Target="2005/Asl%20Pro57,%20247.pdf" TargetMode="External"/><Relationship Id="rId1533" Type="http://schemas.openxmlformats.org/officeDocument/2006/relationships/hyperlink" Target="2013/BJU%20Int112,%20798.pdf" TargetMode="External"/><Relationship Id="rId1740" Type="http://schemas.openxmlformats.org/officeDocument/2006/relationships/hyperlink" Target="2015/BMJ-Bri%20Med%20J350,%20h1295.pdf" TargetMode="External"/><Relationship Id="rId32" Type="http://schemas.openxmlformats.org/officeDocument/2006/relationships/hyperlink" Target="2002/Aca%20Med77,%20238.pdf" TargetMode="External"/><Relationship Id="rId1600" Type="http://schemas.openxmlformats.org/officeDocument/2006/relationships/hyperlink" Target="2015/BMC%20Hea%20Ser%20Res15,%2033.pdf" TargetMode="External"/><Relationship Id="rId1838" Type="http://schemas.openxmlformats.org/officeDocument/2006/relationships/hyperlink" Target="2010/Bre%20Can%20Res%20Tre124,%20453.pdf" TargetMode="External"/><Relationship Id="rId181" Type="http://schemas.openxmlformats.org/officeDocument/2006/relationships/hyperlink" Target="2011/Act%20Pau%20Enf24,%20715.pdf" TargetMode="External"/><Relationship Id="rId1905" Type="http://schemas.openxmlformats.org/officeDocument/2006/relationships/hyperlink" Target="2009/Bri%20J%20Nut101,%20787.pdf" TargetMode="External"/><Relationship Id="rId279" Type="http://schemas.openxmlformats.org/officeDocument/2006/relationships/hyperlink" Target="2008/AJAR7,%2055.pdf" TargetMode="External"/><Relationship Id="rId486" Type="http://schemas.openxmlformats.org/officeDocument/2006/relationships/hyperlink" Target="2005/Ame%20J%20Hea%20Pro19,%20167.pdf" TargetMode="External"/><Relationship Id="rId693" Type="http://schemas.openxmlformats.org/officeDocument/2006/relationships/hyperlink" Target="http://www.bioone.org/loi/azoo?genre=journal&amp;stitle=azoo&amp;cookieSet=1" TargetMode="External"/><Relationship Id="rId2167" Type="http://schemas.openxmlformats.org/officeDocument/2006/relationships/header" Target="header1.xml"/><Relationship Id="rId139" Type="http://schemas.openxmlformats.org/officeDocument/2006/relationships/hyperlink" Target="2006/Act%20M&#233;d%20Por19,%20225.pdf" TargetMode="External"/><Relationship Id="rId346" Type="http://schemas.openxmlformats.org/officeDocument/2006/relationships/hyperlink" Target="1960-80/Albion9,%20188.pdf" TargetMode="External"/><Relationship Id="rId553" Type="http://schemas.openxmlformats.org/officeDocument/2006/relationships/hyperlink" Target="2013/Ame%20J%20Obs%20Gyn209,%20505.pdf" TargetMode="External"/><Relationship Id="rId760" Type="http://schemas.openxmlformats.org/officeDocument/2006/relationships/hyperlink" Target="1999/Ane%20Ana89,%201528.pdf" TargetMode="External"/><Relationship Id="rId998" Type="http://schemas.openxmlformats.org/officeDocument/2006/relationships/hyperlink" Target="2005/AMIA%20Ann%20Sym%20Pro05,%201018.pdf" TargetMode="External"/><Relationship Id="rId1183" Type="http://schemas.openxmlformats.org/officeDocument/2006/relationships/hyperlink" Target="2005/Arc%20Sur140,%201074.pdf" TargetMode="External"/><Relationship Id="rId1390" Type="http://schemas.openxmlformats.org/officeDocument/2006/relationships/hyperlink" Target="2008/Aus%20New%20Zea%20J%20Fam%20The29,%20122.pdf" TargetMode="External"/><Relationship Id="rId2027" Type="http://schemas.openxmlformats.org/officeDocument/2006/relationships/hyperlink" Target="2002/Bri%20Med%20J324,%201434.pdf" TargetMode="External"/><Relationship Id="rId206" Type="http://schemas.openxmlformats.org/officeDocument/2006/relationships/hyperlink" Target="2008/Act%20Soc%20Oph%20Sin47,%20101.pdf" TargetMode="External"/><Relationship Id="rId413" Type="http://schemas.openxmlformats.org/officeDocument/2006/relationships/hyperlink" Target="2003/Ame%20J%20Agr%20Eco85,%201266.pdf" TargetMode="External"/><Relationship Id="rId858" Type="http://schemas.openxmlformats.org/officeDocument/2006/relationships/hyperlink" Target="1990/Ann%20Int%20Med113,%20317.pdf" TargetMode="External"/><Relationship Id="rId1043" Type="http://schemas.openxmlformats.org/officeDocument/2006/relationships/hyperlink" Target="2000/App%20Eco32,%20239.pdf" TargetMode="External"/><Relationship Id="rId1488" Type="http://schemas.openxmlformats.org/officeDocument/2006/relationships/hyperlink" Target="2015/Bio%20Res%20Int,%20731469.pdf" TargetMode="External"/><Relationship Id="rId1695" Type="http://schemas.openxmlformats.org/officeDocument/2006/relationships/hyperlink" Target="2006/BMC%20Pub%20Hea6,%20301.pdf" TargetMode="External"/><Relationship Id="rId620" Type="http://schemas.openxmlformats.org/officeDocument/2006/relationships/hyperlink" Target="2005/Ame%20J%20Pub%20Hea95,%201832.pdf" TargetMode="External"/><Relationship Id="rId718" Type="http://schemas.openxmlformats.org/officeDocument/2006/relationships/hyperlink" Target="2006/Ana%20Int%20Car34,%20753.pdf" TargetMode="External"/><Relationship Id="rId925" Type="http://schemas.openxmlformats.org/officeDocument/2006/relationships/hyperlink" Target="2014/Ann%20Onc25,%201517.pdf" TargetMode="External"/><Relationship Id="rId1250" Type="http://schemas.openxmlformats.org/officeDocument/2006/relationships/hyperlink" Target="2006/Asi%20Pac%20J%20Man23,%20157.pdf" TargetMode="External"/><Relationship Id="rId1348" Type="http://schemas.openxmlformats.org/officeDocument/2006/relationships/hyperlink" Target="2010/Ass%20Eva%20Hig%20Edu35,%20157.pdf" TargetMode="External"/><Relationship Id="rId1555" Type="http://schemas.openxmlformats.org/officeDocument/2006/relationships/hyperlink" Target="2014/BMC%20Can14,%20976.pdf" TargetMode="External"/><Relationship Id="rId1762" Type="http://schemas.openxmlformats.org/officeDocument/2006/relationships/hyperlink" Target="2014/BMJ%20Ope4,%20e005292.pdf" TargetMode="External"/><Relationship Id="rId1110" Type="http://schemas.openxmlformats.org/officeDocument/2006/relationships/hyperlink" Target="2011/Arc%20Eur%20Sci5,%2062.pdf" TargetMode="External"/><Relationship Id="rId1208" Type="http://schemas.openxmlformats.org/officeDocument/2006/relationships/hyperlink" Target="2009/Arc%20Imm%20The%20Exp57,%2033.pdf" TargetMode="External"/><Relationship Id="rId1415" Type="http://schemas.openxmlformats.org/officeDocument/2006/relationships/hyperlink" Target="2000/Aus%20Vet%20J78,%20334.pdf" TargetMode="External"/><Relationship Id="rId54" Type="http://schemas.openxmlformats.org/officeDocument/2006/relationships/hyperlink" Target="2009/Aca%20Man%20Lea%20Edu8,%2072.pdf" TargetMode="External"/><Relationship Id="rId1622" Type="http://schemas.openxmlformats.org/officeDocument/2006/relationships/hyperlink" Target="2014/BMC%20Med%20Edu14,%20251.pdf" TargetMode="External"/><Relationship Id="rId1927" Type="http://schemas.openxmlformats.org/officeDocument/2006/relationships/hyperlink" Target="2003/Bri%20J%20Psy183,%20273.pdf" TargetMode="External"/><Relationship Id="rId2091" Type="http://schemas.openxmlformats.org/officeDocument/2006/relationships/hyperlink" Target="2006/Bul%20Can93,%201144.pdf" TargetMode="External"/><Relationship Id="rId270" Type="http://schemas.openxmlformats.org/officeDocument/2006/relationships/hyperlink" Target="http://e45.cnki.net/KNS50/Navi/item.aspx?NaviID=1&amp;BaseID=XLXD&amp;NaviLink=%e5%bf%83%e7%90%86%e7%a7%91%e5%ad%a6%e8%bf%9b%e5%b1%95" TargetMode="External"/><Relationship Id="rId130" Type="http://schemas.openxmlformats.org/officeDocument/2006/relationships/hyperlink" Target="2009/Act%20Der-Ven89,%20595.pdf" TargetMode="External"/><Relationship Id="rId368" Type="http://schemas.openxmlformats.org/officeDocument/2006/relationships/hyperlink" Target="2014/Ali%20Pha%20The39,%20569.pdf" TargetMode="External"/><Relationship Id="rId575" Type="http://schemas.openxmlformats.org/officeDocument/2006/relationships/hyperlink" Target="2006/Ame%20J%20Ort%20Den%20Ort130,%20709.pdf" TargetMode="External"/><Relationship Id="rId782" Type="http://schemas.openxmlformats.org/officeDocument/2006/relationships/hyperlink" Target="2008/Ang%20Ort78,%20752.pdf" TargetMode="External"/><Relationship Id="rId2049" Type="http://schemas.openxmlformats.org/officeDocument/2006/relationships/hyperlink" Target="2008/Bri%20Med%20J337,%20a1344.pdf" TargetMode="External"/><Relationship Id="rId228" Type="http://schemas.openxmlformats.org/officeDocument/2006/relationships/hyperlink" Target="2002/Addiction97,%20501.pdf" TargetMode="External"/><Relationship Id="rId435" Type="http://schemas.openxmlformats.org/officeDocument/2006/relationships/hyperlink" Target="2009/Ame%20J%20Cli%20Nut90,%20680.pdf" TargetMode="External"/><Relationship Id="rId642" Type="http://schemas.openxmlformats.org/officeDocument/2006/relationships/hyperlink" Target="2012/Ame%20J%20Roe198,%201247.pdf" TargetMode="External"/><Relationship Id="rId1065" Type="http://schemas.openxmlformats.org/officeDocument/2006/relationships/hyperlink" Target="2011/Aquichan11,%20245.pdf" TargetMode="External"/><Relationship Id="rId1272" Type="http://schemas.openxmlformats.org/officeDocument/2006/relationships/hyperlink" Target="2013/Asi%20J%20Psy6,%20292.pdf" TargetMode="External"/><Relationship Id="rId2116" Type="http://schemas.openxmlformats.org/officeDocument/2006/relationships/hyperlink" Target="1996/Bul%20Med%20Lib%20Ass84,%20423.pdf" TargetMode="External"/><Relationship Id="rId502" Type="http://schemas.openxmlformats.org/officeDocument/2006/relationships/hyperlink" Target="1995/Ame%20J%20Hum%20Gen56,%201.pdf" TargetMode="External"/><Relationship Id="rId947" Type="http://schemas.openxmlformats.org/officeDocument/2006/relationships/hyperlink" Target="2008/Ann%20Reg%20Sci42,%20487.pdf" TargetMode="External"/><Relationship Id="rId1132" Type="http://schemas.openxmlformats.org/officeDocument/2006/relationships/hyperlink" Target="1999/Arc%20Int%20Med159,%201721.pdf" TargetMode="External"/><Relationship Id="rId1577" Type="http://schemas.openxmlformats.org/officeDocument/2006/relationships/hyperlink" Target="2015/BMC%20Ger15,%2049.pdf" TargetMode="External"/><Relationship Id="rId1784" Type="http://schemas.openxmlformats.org/officeDocument/2006/relationships/hyperlink" Target="http://dialnet.unirioja.es/servlet/revista?tipo_busqueda=CODIGO&amp;clave_revista=2757" TargetMode="External"/><Relationship Id="rId1991" Type="http://schemas.openxmlformats.org/officeDocument/2006/relationships/hyperlink" Target="1992/Bri%20Med%20J305,%20420.pdf" TargetMode="External"/><Relationship Id="rId76" Type="http://schemas.openxmlformats.org/officeDocument/2006/relationships/hyperlink" Target="2001/ACIMED9S,%2050.pdf" TargetMode="External"/><Relationship Id="rId807" Type="http://schemas.openxmlformats.org/officeDocument/2006/relationships/hyperlink" Target="-1959/Ann%20Phy%20Che338,%201275.pdf" TargetMode="External"/><Relationship Id="rId1437" Type="http://schemas.openxmlformats.org/officeDocument/2006/relationships/hyperlink" Target="2010/Bilig55,%201.pdf" TargetMode="External"/><Relationship Id="rId1644" Type="http://schemas.openxmlformats.org/officeDocument/2006/relationships/hyperlink" Target="http://www.biomedcentral.com/bmcmed/about/" TargetMode="External"/><Relationship Id="rId1851" Type="http://schemas.openxmlformats.org/officeDocument/2006/relationships/hyperlink" Target="2005/Bri%20Den%20J198,%20391.pdf" TargetMode="External"/><Relationship Id="rId1504" Type="http://schemas.openxmlformats.org/officeDocument/2006/relationships/hyperlink" Target="2014/Bio%20J9,%201473.pdf" TargetMode="External"/><Relationship Id="rId1711" Type="http://schemas.openxmlformats.org/officeDocument/2006/relationships/hyperlink" Target="2014/BMC%20Pub%20Hea14,%2014.pdf" TargetMode="External"/><Relationship Id="rId1949" Type="http://schemas.openxmlformats.org/officeDocument/2006/relationships/hyperlink" Target="2014/Bri%20J%20Spo%20Med48,%20871.pdf" TargetMode="External"/><Relationship Id="rId292" Type="http://schemas.openxmlformats.org/officeDocument/2006/relationships/hyperlink" Target="2011/Afr%20J%20Bus%20Man5.pdf" TargetMode="External"/><Relationship Id="rId1809" Type="http://schemas.openxmlformats.org/officeDocument/2006/relationships/hyperlink" Target="2013/Bra%20Res%20Bul99,%2041.pdf" TargetMode="External"/><Relationship Id="rId597" Type="http://schemas.openxmlformats.org/officeDocument/2006/relationships/hyperlink" Target="2010/Ame%20J%20Pre%20Med39,%20352.pdf" TargetMode="External"/><Relationship Id="rId152" Type="http://schemas.openxmlformats.org/officeDocument/2006/relationships/hyperlink" Target="2013/Act%20Obs%20Gyn%20Sca92,%20496.pdf" TargetMode="External"/><Relationship Id="rId457" Type="http://schemas.openxmlformats.org/officeDocument/2006/relationships/hyperlink" Target="2006/Ame%20J%20Epi163,%20197.pdf" TargetMode="External"/><Relationship Id="rId1087" Type="http://schemas.openxmlformats.org/officeDocument/2006/relationships/hyperlink" Target="1999/Arc%20Der135,%20948.pdf" TargetMode="External"/><Relationship Id="rId1294" Type="http://schemas.openxmlformats.org/officeDocument/2006/relationships/hyperlink" Target="2013/Asi%20Pac%20J%20Can%20Pre14,%207509.pdf" TargetMode="External"/><Relationship Id="rId2040" Type="http://schemas.openxmlformats.org/officeDocument/2006/relationships/hyperlink" Target="2005/Bri%20Med%20J331,%20192.pdf" TargetMode="External"/><Relationship Id="rId2138" Type="http://schemas.openxmlformats.org/officeDocument/2006/relationships/hyperlink" Target="1999/Bul%20Med%20Lib%20Ass87,%20312.pdf" TargetMode="External"/><Relationship Id="rId664" Type="http://schemas.openxmlformats.org/officeDocument/2006/relationships/hyperlink" Target="1993/Ame%20Psy48,%20658.pdf" TargetMode="External"/><Relationship Id="rId871" Type="http://schemas.openxmlformats.org/officeDocument/2006/relationships/hyperlink" Target="2009/Ann%20Int%20Med151,%20252.pdf" TargetMode="External"/><Relationship Id="rId969" Type="http://schemas.openxmlformats.org/officeDocument/2006/relationships/hyperlink" Target="2003/Ann%20Sur%20Onc10,%201.pdf" TargetMode="External"/><Relationship Id="rId1599" Type="http://schemas.openxmlformats.org/officeDocument/2006/relationships/hyperlink" Target="2015/BMC%20Hea%20Ser%20Res15,%207.pdf" TargetMode="External"/><Relationship Id="rId317" Type="http://schemas.openxmlformats.org/officeDocument/2006/relationships/hyperlink" Target="2011/Age%20Age40,%20423.pdf" TargetMode="External"/><Relationship Id="rId524" Type="http://schemas.openxmlformats.org/officeDocument/2006/relationships/hyperlink" Target="1981/Ame%20J%20Mat4,%2039.pdf" TargetMode="External"/><Relationship Id="rId731" Type="http://schemas.openxmlformats.org/officeDocument/2006/relationships/hyperlink" Target="http://dialnet.unirioja.es/servlet/revista?codigo=2479" TargetMode="External"/><Relationship Id="rId1154" Type="http://schemas.openxmlformats.org/officeDocument/2006/relationships/hyperlink" Target="2010/Arc%20Oph128,%201610.pdf" TargetMode="External"/><Relationship Id="rId1361" Type="http://schemas.openxmlformats.org/officeDocument/2006/relationships/hyperlink" Target="2009/Atm%20Res93,%20664.pdf" TargetMode="External"/><Relationship Id="rId1459" Type="http://schemas.openxmlformats.org/officeDocument/2006/relationships/hyperlink" Target="2010/Bioethics24,%20267.pdf" TargetMode="External"/><Relationship Id="rId98" Type="http://schemas.openxmlformats.org/officeDocument/2006/relationships/hyperlink" Target="2004/Act%20Ana%20Sca48,%201006.pdf" TargetMode="External"/><Relationship Id="rId829" Type="http://schemas.openxmlformats.org/officeDocument/2006/relationships/hyperlink" Target="2009/Ann%20Bio%20Eng37,%201474.pdf" TargetMode="External"/><Relationship Id="rId1014" Type="http://schemas.openxmlformats.org/officeDocument/2006/relationships/hyperlink" Target="1998/Ant%20Age%20Che42,%202048.pdf" TargetMode="External"/><Relationship Id="rId1221" Type="http://schemas.openxmlformats.org/officeDocument/2006/relationships/hyperlink" Target="2011/Arq%20Bra%20Car97,%2087.pdf" TargetMode="External"/><Relationship Id="rId1666" Type="http://schemas.openxmlformats.org/officeDocument/2006/relationships/hyperlink" Target="2014/BMC%20Neu14,%2058.pdf" TargetMode="External"/><Relationship Id="rId1873" Type="http://schemas.openxmlformats.org/officeDocument/2006/relationships/hyperlink" Target="2008/Bri%20J%20Cli%20Pha66,%20774.pdf" TargetMode="External"/><Relationship Id="rId1319" Type="http://schemas.openxmlformats.org/officeDocument/2006/relationships/hyperlink" Target="2003/Asl%20Pro55,%205.pdf" TargetMode="External"/><Relationship Id="rId1526" Type="http://schemas.openxmlformats.org/officeDocument/2006/relationships/hyperlink" Target="2008/BJU%20Int102,%20862.pdf" TargetMode="External"/><Relationship Id="rId1733" Type="http://schemas.openxmlformats.org/officeDocument/2006/relationships/hyperlink" Target="2014/BMJ-Bri%20Med%20J348,%20g2267.pdf" TargetMode="External"/><Relationship Id="rId1940" Type="http://schemas.openxmlformats.org/officeDocument/2006/relationships/hyperlink" Target="2008/Bri%20J%20Spo%20Med42,%20103.pdf" TargetMode="External"/><Relationship Id="rId25" Type="http://schemas.openxmlformats.org/officeDocument/2006/relationships/hyperlink" Target="http://gateway.ut.ovid.com/gw1/ovidweb.cgi" TargetMode="External"/><Relationship Id="rId1800" Type="http://schemas.openxmlformats.org/officeDocument/2006/relationships/hyperlink" Target="http://www.sciencedirect.com/science/journal/08891591" TargetMode="External"/><Relationship Id="rId174" Type="http://schemas.openxmlformats.org/officeDocument/2006/relationships/hyperlink" Target="1999/Act%20Pae96,%20793.pdf" TargetMode="External"/><Relationship Id="rId381" Type="http://schemas.openxmlformats.org/officeDocument/2006/relationships/hyperlink" Target="2014/Allergy69,%20510.pdf" TargetMode="External"/><Relationship Id="rId2062" Type="http://schemas.openxmlformats.org/officeDocument/2006/relationships/hyperlink" Target="2011/Bri%20Med%20J342,%20c7086.pdf" TargetMode="External"/><Relationship Id="rId241" Type="http://schemas.openxmlformats.org/officeDocument/2006/relationships/hyperlink" Target="1995/Adu%20Edu%20Qua45,%2063.pdf" TargetMode="External"/><Relationship Id="rId479" Type="http://schemas.openxmlformats.org/officeDocument/2006/relationships/hyperlink" Target="2009/Ame%20J%20Ger%20Pha7,%20293.pdf" TargetMode="External"/><Relationship Id="rId686" Type="http://schemas.openxmlformats.org/officeDocument/2006/relationships/hyperlink" Target="1960-80/Ame%20Sta18,%2024.pdf" TargetMode="External"/><Relationship Id="rId893" Type="http://schemas.openxmlformats.org/officeDocument/2006/relationships/hyperlink" Target="2014/Ann%20Int%20Med160,%20550.pdf" TargetMode="External"/><Relationship Id="rId339" Type="http://schemas.openxmlformats.org/officeDocument/2006/relationships/hyperlink" Target="2006/AIDS%20Care18,%20467.pdf" TargetMode="External"/><Relationship Id="rId546" Type="http://schemas.openxmlformats.org/officeDocument/2006/relationships/hyperlink" Target="-1959/Ame%20J%20Nur59,%20544.pdf" TargetMode="External"/><Relationship Id="rId753" Type="http://schemas.openxmlformats.org/officeDocument/2006/relationships/hyperlink" Target="http://ovidsp.uk.ovid.com/spa/ovidweb.cgi" TargetMode="External"/><Relationship Id="rId1176" Type="http://schemas.openxmlformats.org/officeDocument/2006/relationships/hyperlink" Target="2011/Arc%20Phy%20Med%20Reh92,%20998.pdf" TargetMode="External"/><Relationship Id="rId1383" Type="http://schemas.openxmlformats.org/officeDocument/2006/relationships/hyperlink" Target="2014/Aus%20J%20Rur%20Hea22,%20146.pdf" TargetMode="External"/><Relationship Id="rId101" Type="http://schemas.openxmlformats.org/officeDocument/2006/relationships/hyperlink" Target="2014/Act%20Ana%20Sca58,%20914.pdf" TargetMode="External"/><Relationship Id="rId406" Type="http://schemas.openxmlformats.org/officeDocument/2006/relationships/hyperlink" Target="2009/Ame%20Hea%20J157,%20208.pdf" TargetMode="External"/><Relationship Id="rId960" Type="http://schemas.openxmlformats.org/officeDocument/2006/relationships/hyperlink" Target="2005/Ann%20Sur241,%20562.pdf" TargetMode="External"/><Relationship Id="rId1036" Type="http://schemas.openxmlformats.org/officeDocument/2006/relationships/hyperlink" Target="2015/Aphasiology29,%20101.pdf" TargetMode="External"/><Relationship Id="rId1243" Type="http://schemas.openxmlformats.org/officeDocument/2006/relationships/hyperlink" Target="2015/ASAI%20J61,%2015.pdf" TargetMode="External"/><Relationship Id="rId1590" Type="http://schemas.openxmlformats.org/officeDocument/2006/relationships/hyperlink" Target="2012/BMC%20Hea%20Ser%20Res12,%20316.pdf" TargetMode="External"/><Relationship Id="rId1688" Type="http://schemas.openxmlformats.org/officeDocument/2006/relationships/hyperlink" Target="2014/BMC%20Psy14,%20332.pdf" TargetMode="External"/><Relationship Id="rId1895" Type="http://schemas.openxmlformats.org/officeDocument/2006/relationships/hyperlink" Target="2011/Bri%20J%20Man22,%20202.pdf" TargetMode="External"/><Relationship Id="rId613" Type="http://schemas.openxmlformats.org/officeDocument/2006/relationships/hyperlink" Target="-1959/Ame%20J%20Psy61,%2079.pdf" TargetMode="External"/><Relationship Id="rId820" Type="http://schemas.openxmlformats.org/officeDocument/2006/relationships/hyperlink" Target="2014/Ann%20All%20Ast%20Imm112,%20237.pdf" TargetMode="External"/><Relationship Id="rId918" Type="http://schemas.openxmlformats.org/officeDocument/2006/relationships/hyperlink" Target="2003/Ann%20Onc14,%20715.pdf" TargetMode="External"/><Relationship Id="rId1450" Type="http://schemas.openxmlformats.org/officeDocument/2006/relationships/hyperlink" Target="2010/Bio%20Cel%20Bio88,%20843.pdf" TargetMode="External"/><Relationship Id="rId1548" Type="http://schemas.openxmlformats.org/officeDocument/2006/relationships/hyperlink" Target="2014/BMC%20Can11,%20410.pdf" TargetMode="External"/><Relationship Id="rId1755" Type="http://schemas.openxmlformats.org/officeDocument/2006/relationships/hyperlink" Target="2014/BMJ%20Ope4,%20e004377.pdf" TargetMode="External"/><Relationship Id="rId1103" Type="http://schemas.openxmlformats.org/officeDocument/2006/relationships/hyperlink" Target="2009/Arc%20Env%20Occ%20Hea64,%2032.pdf" TargetMode="External"/><Relationship Id="rId1310" Type="http://schemas.openxmlformats.org/officeDocument/2006/relationships/hyperlink" Target="2015/Asl%20J%20Inf%20Man67,%2027.pdf" TargetMode="External"/><Relationship Id="rId1408" Type="http://schemas.openxmlformats.org/officeDocument/2006/relationships/hyperlink" Target="2012/Aus%20New%20Zea%20J%20Pub%20Hea36,%20269.pdf" TargetMode="External"/><Relationship Id="rId1962" Type="http://schemas.openxmlformats.org/officeDocument/2006/relationships/hyperlink" Target="2009/Bri%20J%20Sur96,%20137.pdf" TargetMode="External"/><Relationship Id="rId47" Type="http://schemas.openxmlformats.org/officeDocument/2006/relationships/hyperlink" Target="2000/Aca%20Rad7,%20727.pdf" TargetMode="External"/><Relationship Id="rId1615" Type="http://schemas.openxmlformats.org/officeDocument/2006/relationships/hyperlink" Target="2014/BMC%20Inf%20Dis14,%20709.pdf" TargetMode="External"/><Relationship Id="rId1822" Type="http://schemas.openxmlformats.org/officeDocument/2006/relationships/hyperlink" Target="2006/Bra%20J%20Med%20Bio%20Res39,%20997.pdf" TargetMode="External"/><Relationship Id="rId196" Type="http://schemas.openxmlformats.org/officeDocument/2006/relationships/hyperlink" Target="2007/Act%20Psy%20Sca116,%20156.pdf" TargetMode="External"/><Relationship Id="rId2084" Type="http://schemas.openxmlformats.org/officeDocument/2006/relationships/hyperlink" Target="2014/Bri%20Med%20J348,%20g1151.pdf" TargetMode="External"/><Relationship Id="rId263" Type="http://schemas.openxmlformats.org/officeDocument/2006/relationships/hyperlink" Target="2006/Adv%20Ear%20Sci21,%20757.pdf" TargetMode="External"/><Relationship Id="rId470" Type="http://schemas.openxmlformats.org/officeDocument/2006/relationships/hyperlink" Target="2004/Ame%20J%20Gas99,%202051.pdf" TargetMode="External"/><Relationship Id="rId2151" Type="http://schemas.openxmlformats.org/officeDocument/2006/relationships/hyperlink" Target="2013/Burns39,%201331.pdf" TargetMode="External"/><Relationship Id="rId123" Type="http://schemas.openxmlformats.org/officeDocument/2006/relationships/hyperlink" Target="http://journals.iucr.org/a/contents/backissues.html" TargetMode="External"/><Relationship Id="rId330" Type="http://schemas.openxmlformats.org/officeDocument/2006/relationships/hyperlink" Target="2014/Agr%20Sus%20Dev34,%20251.pdf" TargetMode="External"/><Relationship Id="rId568" Type="http://schemas.openxmlformats.org/officeDocument/2006/relationships/hyperlink" Target="2008/Ame%20J%20Oph146,%20251.pdf" TargetMode="External"/><Relationship Id="rId775" Type="http://schemas.openxmlformats.org/officeDocument/2006/relationships/hyperlink" Target="2011/Anesthesiology114,%20271.pdf" TargetMode="External"/><Relationship Id="rId982" Type="http://schemas.openxmlformats.org/officeDocument/2006/relationships/hyperlink" Target="2008/Ann%20Tra13,%2021.pdf" TargetMode="External"/><Relationship Id="rId1198" Type="http://schemas.openxmlformats.org/officeDocument/2006/relationships/hyperlink" Target="2010/Arc%20Bro46,%2078.pdf" TargetMode="External"/><Relationship Id="rId2011" Type="http://schemas.openxmlformats.org/officeDocument/2006/relationships/hyperlink" Target="1997/Bri%20Med%20J314,%201009.pdf" TargetMode="External"/><Relationship Id="rId428" Type="http://schemas.openxmlformats.org/officeDocument/2006/relationships/hyperlink" Target="2014/Ame%20J%20Car%20Der15,%20267.pdf" TargetMode="External"/><Relationship Id="rId635" Type="http://schemas.openxmlformats.org/officeDocument/2006/relationships/hyperlink" Target="1996/Ame%20J%20Roe166,%20517.pdf" TargetMode="External"/><Relationship Id="rId842" Type="http://schemas.openxmlformats.org/officeDocument/2006/relationships/hyperlink" Target="2010/Ann%20Epi20,%20868.pdf" TargetMode="External"/><Relationship Id="rId1058" Type="http://schemas.openxmlformats.org/officeDocument/2006/relationships/hyperlink" Target="2001/App%20Num%20Mat36,%20197.pdf" TargetMode="External"/><Relationship Id="rId1265" Type="http://schemas.openxmlformats.org/officeDocument/2006/relationships/hyperlink" Target="2013/Asi%20J%20And15,%20662.pdf" TargetMode="External"/><Relationship Id="rId1472" Type="http://schemas.openxmlformats.org/officeDocument/2006/relationships/hyperlink" Target="2014/Bio%20Res%20Int,%20253128.pdf" TargetMode="External"/><Relationship Id="rId2109" Type="http://schemas.openxmlformats.org/officeDocument/2006/relationships/hyperlink" Target="1990/Bul%20Med%20Lib%20Ass78,%20376.pdf" TargetMode="External"/><Relationship Id="rId702" Type="http://schemas.openxmlformats.org/officeDocument/2006/relationships/hyperlink" Target="1996/Anesthesia51,%20517.pdf" TargetMode="External"/><Relationship Id="rId1125" Type="http://schemas.openxmlformats.org/officeDocument/2006/relationships/hyperlink" Target="2011/Arc%20Gyn%20Obs283,%201275.pdf" TargetMode="External"/><Relationship Id="rId1332" Type="http://schemas.openxmlformats.org/officeDocument/2006/relationships/hyperlink" Target="2009/Asl%20Pro61,%20380.pdf" TargetMode="External"/><Relationship Id="rId1777" Type="http://schemas.openxmlformats.org/officeDocument/2006/relationships/hyperlink" Target="2011/BMJ%20Qua%20Saf20,%20991.pdf" TargetMode="External"/><Relationship Id="rId1984" Type="http://schemas.openxmlformats.org/officeDocument/2006/relationships/hyperlink" Target="1990/Bri%20Med%20J301,%20747.pdf" TargetMode="External"/><Relationship Id="rId69" Type="http://schemas.openxmlformats.org/officeDocument/2006/relationships/hyperlink" Target="http://taylorandfrancis.metapress.com/(4rmckr55oxmidb55jwdzjp45)/app/home/journal.asp?referrer=parent&amp;backto=linkingpublicationresults,1:100111,1" TargetMode="External"/><Relationship Id="rId1637" Type="http://schemas.openxmlformats.org/officeDocument/2006/relationships/hyperlink" Target="2006/BMC%20Med%20Res%20Met6,%2030.pdf" TargetMode="External"/><Relationship Id="rId1844" Type="http://schemas.openxmlformats.org/officeDocument/2006/relationships/hyperlink" Target="2013/Bre%20Can%20Res%20Tre142,%20227.pdf" TargetMode="External"/><Relationship Id="rId1704" Type="http://schemas.openxmlformats.org/officeDocument/2006/relationships/hyperlink" Target="2012/BMC%20Pub%20Hea12,%20542.pdf" TargetMode="External"/><Relationship Id="rId285" Type="http://schemas.openxmlformats.org/officeDocument/2006/relationships/hyperlink" Target="2013/Afr%20J%20Bio-Hao.pdf" TargetMode="External"/><Relationship Id="rId1911" Type="http://schemas.openxmlformats.org/officeDocument/2006/relationships/hyperlink" Target="2015/Bri%20J%20Oph99,%20141.pdf" TargetMode="External"/><Relationship Id="rId492" Type="http://schemas.openxmlformats.org/officeDocument/2006/relationships/hyperlink" Target="2009/Ame%20J%20Hea-Sys%20Pha66,%201726.pdf" TargetMode="External"/><Relationship Id="rId797" Type="http://schemas.openxmlformats.org/officeDocument/2006/relationships/hyperlink" Target="-1959/Ann%20Phy330,%20377.pdf" TargetMode="External"/><Relationship Id="rId145" Type="http://schemas.openxmlformats.org/officeDocument/2006/relationships/hyperlink" Target="2006/Act%20Neu18,%20130.pdf" TargetMode="External"/><Relationship Id="rId352" Type="http://schemas.openxmlformats.org/officeDocument/2006/relationships/hyperlink" Target="2013/Alc%20Alc48,%20i3.pdf" TargetMode="External"/><Relationship Id="rId1287" Type="http://schemas.openxmlformats.org/officeDocument/2006/relationships/hyperlink" Target="2013/Asi%20Pac%20J%20Can%20Pre14,%204261.pdf" TargetMode="External"/><Relationship Id="rId2033" Type="http://schemas.openxmlformats.org/officeDocument/2006/relationships/hyperlink" Target="2003/Bri%20Med%20J326,%201363.pdf" TargetMode="External"/><Relationship Id="rId212" Type="http://schemas.openxmlformats.org/officeDocument/2006/relationships/hyperlink" Target="2006/Act%20Sto%20Cro40,%20336.pdf" TargetMode="External"/><Relationship Id="rId657" Type="http://schemas.openxmlformats.org/officeDocument/2006/relationships/hyperlink" Target="2013/Ame%20Min98,%201055.pdf" TargetMode="External"/><Relationship Id="rId864" Type="http://schemas.openxmlformats.org/officeDocument/2006/relationships/hyperlink" Target="2005/Ann%20Int%20Med143,%20129.pdf" TargetMode="External"/><Relationship Id="rId1494" Type="http://schemas.openxmlformats.org/officeDocument/2006/relationships/hyperlink" Target="http://www.sciencedirect.com/science?_ob=JournalURL&amp;_cdi=6127&amp;_auth=y&amp;_acct=C000011279&amp;_version=1&amp;_urlVersion=0&amp;_userid=1134284&amp;md5=5efc8b4c66ab18794eacd163d349ced7" TargetMode="External"/><Relationship Id="rId1799" Type="http://schemas.openxmlformats.org/officeDocument/2006/relationships/hyperlink" Target="2012/Brain135,%202290.pdf" TargetMode="External"/><Relationship Id="rId2100" Type="http://schemas.openxmlformats.org/officeDocument/2006/relationships/hyperlink" Target="../HO-reference/1960-80/Bul%20Med%20Lib%20Ass50,%20450.pdf" TargetMode="External"/><Relationship Id="rId517" Type="http://schemas.openxmlformats.org/officeDocument/2006/relationships/hyperlink" Target="2007/Ame%20J%20Kid%20Dis49,%20186.pdf" TargetMode="External"/><Relationship Id="rId724" Type="http://schemas.openxmlformats.org/officeDocument/2006/relationships/hyperlink" Target="http://www.scielo.br/scielo.php?script=sci_serial&amp;pid=0001-3765&amp;lng=en&amp;nrm=iso" TargetMode="External"/><Relationship Id="rId931" Type="http://schemas.openxmlformats.org/officeDocument/2006/relationships/hyperlink" Target="2009/Ann%20Pha43,%20268.pdf" TargetMode="External"/><Relationship Id="rId1147" Type="http://schemas.openxmlformats.org/officeDocument/2006/relationships/hyperlink" Target="2011/Arc%20Neu68,%20999.pdf" TargetMode="External"/><Relationship Id="rId1354" Type="http://schemas.openxmlformats.org/officeDocument/2006/relationships/hyperlink" Target="2011/Atherosclerosis215,%20428.pdf" TargetMode="External"/><Relationship Id="rId1561" Type="http://schemas.openxmlformats.org/officeDocument/2006/relationships/hyperlink" Target="2015/BMC%20Com%20Alt%20Med15,%2040.pdf" TargetMode="External"/><Relationship Id="rId60" Type="http://schemas.openxmlformats.org/officeDocument/2006/relationships/hyperlink" Target="http://www.informaworld.com/smpp/title~db=all~content=t713453593~tab=issueslist" TargetMode="External"/><Relationship Id="rId1007" Type="http://schemas.openxmlformats.org/officeDocument/2006/relationships/hyperlink" Target="1994/Ant%20Age%20Che38,%20773.pdf" TargetMode="External"/><Relationship Id="rId1214" Type="http://schemas.openxmlformats.org/officeDocument/2006/relationships/hyperlink" Target="2010/Arethusa43,%20113.pdf" TargetMode="External"/><Relationship Id="rId1421" Type="http://schemas.openxmlformats.org/officeDocument/2006/relationships/hyperlink" Target="http://www.bio.unipd.it/bam/" TargetMode="External"/><Relationship Id="rId1659" Type="http://schemas.openxmlformats.org/officeDocument/2006/relationships/hyperlink" Target="2014\BMC%20Mus%20Dis15,%20229.pdf" TargetMode="External"/><Relationship Id="rId1866" Type="http://schemas.openxmlformats.org/officeDocument/2006/relationships/hyperlink" Target="2012/Bri%20J%20Ana109,%2099.pdf" TargetMode="External"/><Relationship Id="rId1519" Type="http://schemas.openxmlformats.org/officeDocument/2006/relationships/hyperlink" Target="2013/BJOG120,%20801.pdf" TargetMode="External"/><Relationship Id="rId1726" Type="http://schemas.openxmlformats.org/officeDocument/2006/relationships/hyperlink" Target="2014/BMC%20Pub%20Hea14,%201310.pdf" TargetMode="External"/><Relationship Id="rId1933" Type="http://schemas.openxmlformats.org/officeDocument/2006/relationships/hyperlink" Target="2004/Bri%20J%20Psy95,%20523.pdf" TargetMode="External"/><Relationship Id="rId18" Type="http://schemas.openxmlformats.org/officeDocument/2006/relationships/hyperlink" Target="2010/Aca%20Eme%20Med17,%20S16.pdf" TargetMode="External"/><Relationship Id="rId167" Type="http://schemas.openxmlformats.org/officeDocument/2006/relationships/hyperlink" Target="http://203.64.48.29/cgi-bin/er/browse.cgi?ccd=6LRoTi&amp;o=e0&amp;s=c-1-4424" TargetMode="External"/><Relationship Id="rId374" Type="http://schemas.openxmlformats.org/officeDocument/2006/relationships/hyperlink" Target="1997/Allergy52,%201050.pdf" TargetMode="External"/><Relationship Id="rId581" Type="http://schemas.openxmlformats.org/officeDocument/2006/relationships/hyperlink" Target="2012/Ame%20J%20Pha%20Edu76,%20173.pdf" TargetMode="External"/><Relationship Id="rId2055" Type="http://schemas.openxmlformats.org/officeDocument/2006/relationships/hyperlink" Target="2009/Bri%20Med%20J339,%20b3354.pdf" TargetMode="External"/><Relationship Id="rId234" Type="http://schemas.openxmlformats.org/officeDocument/2006/relationships/hyperlink" Target="2011/Addiction104,%20906.pdf" TargetMode="External"/><Relationship Id="rId679" Type="http://schemas.openxmlformats.org/officeDocument/2006/relationships/hyperlink" Target="1998/Ame%20Soc%20Rev63,%20829.pdf" TargetMode="External"/><Relationship Id="rId886" Type="http://schemas.openxmlformats.org/officeDocument/2006/relationships/hyperlink" Target="2010/Ann%20Int%20Med153,%20847.pdf" TargetMode="External"/><Relationship Id="rId2" Type="http://schemas.openxmlformats.org/officeDocument/2006/relationships/numbering" Target="numbering.xml"/><Relationship Id="rId441" Type="http://schemas.openxmlformats.org/officeDocument/2006/relationships/hyperlink" Target="2000/Ame%20J%20Com%20Psy28,%20793.pdf" TargetMode="External"/><Relationship Id="rId539" Type="http://schemas.openxmlformats.org/officeDocument/2006/relationships/hyperlink" Target="2009/Ame%20J%20Med122,%20S3.pdf" TargetMode="External"/><Relationship Id="rId746" Type="http://schemas.openxmlformats.org/officeDocument/2006/relationships/hyperlink" Target="2000/Ana%20Che72,%20324A.pdf" TargetMode="External"/><Relationship Id="rId1071" Type="http://schemas.openxmlformats.org/officeDocument/2006/relationships/hyperlink" Target="http://www.springerlink.com/content/120598/?p=163a38e7b0dc42f78a615da63ead3c0e&amp;pi=0" TargetMode="External"/><Relationship Id="rId1169" Type="http://schemas.openxmlformats.org/officeDocument/2006/relationships/hyperlink" Target="2007/Arc%20Phy%20Med%20Reh88,%20673.pdf" TargetMode="External"/><Relationship Id="rId1376" Type="http://schemas.openxmlformats.org/officeDocument/2006/relationships/hyperlink" Target="2008/Aus%20Den%20J53,%20265.pdf" TargetMode="External"/><Relationship Id="rId1583" Type="http://schemas.openxmlformats.org/officeDocument/2006/relationships/hyperlink" Target="2008/BMC%20Hea%20Ser%20Res8,%20227.pdf" TargetMode="External"/><Relationship Id="rId2122" Type="http://schemas.openxmlformats.org/officeDocument/2006/relationships/hyperlink" Target="1997/Bul%20Med%20Lib%20Ass85,%20289.pdf" TargetMode="External"/><Relationship Id="rId301" Type="http://schemas.openxmlformats.org/officeDocument/2006/relationships/hyperlink" Target="2007/Afr%20J%20Lib%20Arc%20Inf%20Sci17,%201.pdf" TargetMode="External"/><Relationship Id="rId953" Type="http://schemas.openxmlformats.org/officeDocument/2006/relationships/hyperlink" Target="../HO-reference/2007/Ann%20Roy%20Col%20Sur%20Eng89,%20292.pdf" TargetMode="External"/><Relationship Id="rId1029" Type="http://schemas.openxmlformats.org/officeDocument/2006/relationships/hyperlink" Target="2003/ANZ%20J%20Sur73,%20680.pdf" TargetMode="External"/><Relationship Id="rId1236" Type="http://schemas.openxmlformats.org/officeDocument/2006/relationships/hyperlink" Target="2003/Art%20His26,%20143.pdf" TargetMode="External"/><Relationship Id="rId1790" Type="http://schemas.openxmlformats.org/officeDocument/2006/relationships/hyperlink" Target="2014/Bol%20Soc%20Esp%20Cer%20Vid53,%20II.pdf" TargetMode="External"/><Relationship Id="rId1888" Type="http://schemas.openxmlformats.org/officeDocument/2006/relationships/hyperlink" Target="2014/Bri%20J%20Edu%20Tec45,%20415.pdf" TargetMode="External"/><Relationship Id="rId82" Type="http://schemas.openxmlformats.org/officeDocument/2006/relationships/hyperlink" Target="2003/ACIMED11-Lopez.pdf" TargetMode="External"/><Relationship Id="rId606" Type="http://schemas.openxmlformats.org/officeDocument/2006/relationships/hyperlink" Target="http://pao.chadwyck.co.uk/journals/displayItemFromId.do?QueryType=journals&amp;ItemID=1016" TargetMode="External"/><Relationship Id="rId813" Type="http://schemas.openxmlformats.org/officeDocument/2006/relationships/hyperlink" Target="A/Ann%20Fra%20dAn%20Rea22,%2025.pdf" TargetMode="External"/><Relationship Id="rId1443" Type="http://schemas.openxmlformats.org/officeDocument/2006/relationships/hyperlink" Target="2010/Bio%20Med20,%20288.pdf" TargetMode="External"/><Relationship Id="rId1650" Type="http://schemas.openxmlformats.org/officeDocument/2006/relationships/hyperlink" Target="2011/BMC%20Med9,%2058.pdf" TargetMode="External"/><Relationship Id="rId1748" Type="http://schemas.openxmlformats.org/officeDocument/2006/relationships/hyperlink" Target="2013/BMJ%20Ope3,%20e002312.pdf" TargetMode="External"/><Relationship Id="rId1303" Type="http://schemas.openxmlformats.org/officeDocument/2006/relationships/hyperlink" Target="2012/Asi%20Pac%20J%20Tro%20Med5,%2015.pdf" TargetMode="External"/><Relationship Id="rId1510" Type="http://schemas.openxmlformats.org/officeDocument/2006/relationships/hyperlink" Target="2015/Bip%20Dis17,%2027.pdf" TargetMode="External"/><Relationship Id="rId1955" Type="http://schemas.openxmlformats.org/officeDocument/2006/relationships/hyperlink" Target="2000/Bri%20J%20Sur87,%201123.pdf" TargetMode="External"/><Relationship Id="rId1608" Type="http://schemas.openxmlformats.org/officeDocument/2006/relationships/hyperlink" Target="2010/BMC%20Inf%20Dis10,%2047.pdf" TargetMode="External"/><Relationship Id="rId1815" Type="http://schemas.openxmlformats.org/officeDocument/2006/relationships/hyperlink" Target="http://www.bjournal.com.br/" TargetMode="External"/><Relationship Id="rId189" Type="http://schemas.openxmlformats.org/officeDocument/2006/relationships/hyperlink" Target="2003/Act%20Phy%20Sca177,%20104.pdf" TargetMode="External"/><Relationship Id="rId396" Type="http://schemas.openxmlformats.org/officeDocument/2006/relationships/hyperlink" Target="1960-80/Ame%20Doc18,%2046.pdf" TargetMode="External"/><Relationship Id="rId2077" Type="http://schemas.openxmlformats.org/officeDocument/2006/relationships/hyperlink" Target="2012/Bri%20Med%20J344,%20d8222.pdf" TargetMode="External"/><Relationship Id="rId256" Type="http://schemas.openxmlformats.org/officeDocument/2006/relationships/hyperlink" Target="http://www.climatechange.cn/" TargetMode="External"/><Relationship Id="rId463" Type="http://schemas.openxmlformats.org/officeDocument/2006/relationships/hyperlink" Target="http://aje.sagepub.com/archive/" TargetMode="External"/><Relationship Id="rId670" Type="http://schemas.openxmlformats.org/officeDocument/2006/relationships/hyperlink" Target="2000/Ame%20Psy55,%20275.pdf" TargetMode="External"/><Relationship Id="rId1093" Type="http://schemas.openxmlformats.org/officeDocument/2006/relationships/hyperlink" Target="1997/Arc%20Dis%20Chi76,%2050.pdf" TargetMode="External"/><Relationship Id="rId2144" Type="http://schemas.openxmlformats.org/officeDocument/2006/relationships/hyperlink" Target="2006/Bul%20Nat%20Nat%20Sci%20Fou%20Chi20,%20255.pdf" TargetMode="External"/><Relationship Id="rId116" Type="http://schemas.openxmlformats.org/officeDocument/2006/relationships/hyperlink" Target="2013/Act%20Chi%20Bel113,%2077.pdf" TargetMode="External"/><Relationship Id="rId323" Type="http://schemas.openxmlformats.org/officeDocument/2006/relationships/hyperlink" Target="2013/Age%20Res%20Rev12,%201042.pdf" TargetMode="External"/><Relationship Id="rId530" Type="http://schemas.openxmlformats.org/officeDocument/2006/relationships/hyperlink" Target="http://www.sciencedirect.com/science?_ob=JournalURL&amp;_cdi=5195&amp;_auth=y&amp;_acct=C000050221&amp;_version=1&amp;_urlVersion=0&amp;_userid=10&amp;md5=c25b2bd4798ad393ff537cd421c428df" TargetMode="External"/><Relationship Id="rId768" Type="http://schemas.openxmlformats.org/officeDocument/2006/relationships/hyperlink" Target="2008/Ane%20Ana107,%201543.pdf" TargetMode="External"/><Relationship Id="rId975" Type="http://schemas.openxmlformats.org/officeDocument/2006/relationships/hyperlink" Target="http://www.sciencedirect.com/science/journal/00034975" TargetMode="External"/><Relationship Id="rId1160" Type="http://schemas.openxmlformats.org/officeDocument/2006/relationships/hyperlink" Target="2010/Arc%20Ped%20Ado%20Med164,%20268.pdf" TargetMode="External"/><Relationship Id="rId1398" Type="http://schemas.openxmlformats.org/officeDocument/2006/relationships/hyperlink" Target="2009/Aus%20New%20Zea%20J%20Psy43,%20173.pdf" TargetMode="External"/><Relationship Id="rId2004" Type="http://schemas.openxmlformats.org/officeDocument/2006/relationships/hyperlink" Target="1996/Bri%20Med%20J312,%20443.pdf" TargetMode="External"/><Relationship Id="rId628" Type="http://schemas.openxmlformats.org/officeDocument/2006/relationships/hyperlink" Target="1985/Ame%20J%20Roe145,%20305.pdf" TargetMode="External"/><Relationship Id="rId835" Type="http://schemas.openxmlformats.org/officeDocument/2006/relationships/hyperlink" Target="2001/Ann%20Eme%20Med38,%20513.pdf" TargetMode="External"/><Relationship Id="rId1258" Type="http://schemas.openxmlformats.org/officeDocument/2006/relationships/hyperlink" Target="2015/Asi-Pac%20J%20Pub%20Hea27,%2045.pdf" TargetMode="External"/><Relationship Id="rId1465" Type="http://schemas.openxmlformats.org/officeDocument/2006/relationships/hyperlink" Target="2009/Bio%20J%20Lin%20Soc96,%20712.pdf" TargetMode="External"/><Relationship Id="rId1672" Type="http://schemas.openxmlformats.org/officeDocument/2006/relationships/hyperlink" Target="2014/BMC%20Oph14,%20147.pdf" TargetMode="External"/><Relationship Id="rId1020" Type="http://schemas.openxmlformats.org/officeDocument/2006/relationships/hyperlink" Target="2000/Ant%20Age%20Che44,%20283.pdf" TargetMode="External"/><Relationship Id="rId1118" Type="http://schemas.openxmlformats.org/officeDocument/2006/relationships/hyperlink" Target="2011/Arc%20Gen%20Psy68,%20555.pdf" TargetMode="External"/><Relationship Id="rId1325" Type="http://schemas.openxmlformats.org/officeDocument/2006/relationships/hyperlink" Target="2005/Asl%20Pro57,%20200.pdf" TargetMode="External"/><Relationship Id="rId1532" Type="http://schemas.openxmlformats.org/officeDocument/2006/relationships/hyperlink" Target="2013/BJU%20Int111,%2011.pdf" TargetMode="External"/><Relationship Id="rId1977" Type="http://schemas.openxmlformats.org/officeDocument/2006/relationships/hyperlink" Target="2014/Bri%20Med%20Bul111,%2089.pdf" TargetMode="External"/><Relationship Id="rId902" Type="http://schemas.openxmlformats.org/officeDocument/2006/relationships/hyperlink" Target="1995/Ann%20Lib%20Sci%20Doc42,%20121.pdf" TargetMode="External"/><Relationship Id="rId1837" Type="http://schemas.openxmlformats.org/officeDocument/2006/relationships/hyperlink" Target="2010/Bre%20Can%20Res12,%20R108.pdf" TargetMode="External"/><Relationship Id="rId31" Type="http://schemas.openxmlformats.org/officeDocument/2006/relationships/hyperlink" Target="2001/Aca%20Med76,%201265.pdf" TargetMode="External"/><Relationship Id="rId2099" Type="http://schemas.openxmlformats.org/officeDocument/2006/relationships/hyperlink" Target="-1959/Bul%20Med%20Lib%20Ass46,%20219.pdf" TargetMode="External"/><Relationship Id="rId180" Type="http://schemas.openxmlformats.org/officeDocument/2006/relationships/hyperlink" Target="2011/Act%20Pau%20Enf24,%20577.pdf" TargetMode="External"/><Relationship Id="rId278" Type="http://schemas.openxmlformats.org/officeDocument/2006/relationships/hyperlink" Target="2014/Aes%20Sur%20J34,%2034.pdf" TargetMode="External"/><Relationship Id="rId1904" Type="http://schemas.openxmlformats.org/officeDocument/2006/relationships/hyperlink" Target="2005/Bri%20J%20Nut94,%20299.pdf" TargetMode="External"/><Relationship Id="rId485" Type="http://schemas.openxmlformats.org/officeDocument/2006/relationships/hyperlink" Target="2003/Ame%20J%20Hea%20Pro18,%2021.pdf" TargetMode="External"/><Relationship Id="rId692" Type="http://schemas.openxmlformats.org/officeDocument/2006/relationships/hyperlink" Target="http://www.jstor.org/action/showPublication?journalCode=amerzool&amp;cookieSet=1" TargetMode="External"/><Relationship Id="rId2166" Type="http://schemas.openxmlformats.org/officeDocument/2006/relationships/hyperlink" Target="2010/Bus%20Soc49,%20283.pdf" TargetMode="External"/><Relationship Id="rId138" Type="http://schemas.openxmlformats.org/officeDocument/2006/relationships/hyperlink" Target="http://www.actamedicaportuguesa.com/" TargetMode="External"/><Relationship Id="rId345" Type="http://schemas.openxmlformats.org/officeDocument/2006/relationships/hyperlink" Target="2010/Akt%20Neu37,%20206.pdf" TargetMode="External"/><Relationship Id="rId552" Type="http://schemas.openxmlformats.org/officeDocument/2006/relationships/hyperlink" Target="2011/Ame%20J%20Obs%20Gyn204,%20E13.pdf" TargetMode="External"/><Relationship Id="rId997" Type="http://schemas.openxmlformats.org/officeDocument/2006/relationships/hyperlink" Target="2005/AMIA%20Ann%20Sym%20Pro05,%20724.pdf" TargetMode="External"/><Relationship Id="rId1182" Type="http://schemas.openxmlformats.org/officeDocument/2006/relationships/hyperlink" Target="2013/Arc%20Pla%20Sur40,%20109.pdf" TargetMode="External"/><Relationship Id="rId2026" Type="http://schemas.openxmlformats.org/officeDocument/2006/relationships/hyperlink" Target="2002/Bri%20Med%20J324,%20819.pdf" TargetMode="External"/><Relationship Id="rId205" Type="http://schemas.openxmlformats.org/officeDocument/2006/relationships/hyperlink" Target="http://www.ceps.com.tw/ec/ecJnlIntro.aspx?Jnliid=3185" TargetMode="External"/><Relationship Id="rId412" Type="http://schemas.openxmlformats.org/officeDocument/2006/relationships/hyperlink" Target="2002/Ame%20J%20Agr%20Eco84,%20867.pdf" TargetMode="External"/><Relationship Id="rId857" Type="http://schemas.openxmlformats.org/officeDocument/2006/relationships/hyperlink" Target="1986/Ann%20Int%20Med105,%20313.pdf" TargetMode="External"/><Relationship Id="rId1042" Type="http://schemas.openxmlformats.org/officeDocument/2006/relationships/hyperlink" Target="2002/App%20Eco34,%201453.pdf" TargetMode="External"/><Relationship Id="rId1487" Type="http://schemas.openxmlformats.org/officeDocument/2006/relationships/hyperlink" Target="2015/Bio%20Res%20Int,%20680756.pdf" TargetMode="External"/><Relationship Id="rId1694" Type="http://schemas.openxmlformats.org/officeDocument/2006/relationships/hyperlink" Target="2006/BMC%20Pub%20Hea6,%20245.pdf" TargetMode="External"/><Relationship Id="rId717" Type="http://schemas.openxmlformats.org/officeDocument/2006/relationships/hyperlink" Target="2014/Anesthesia69,%201251.pdf" TargetMode="External"/><Relationship Id="rId924" Type="http://schemas.openxmlformats.org/officeDocument/2006/relationships/hyperlink" Target="2014/Ann%20Onc25,%20564.pdf" TargetMode="External"/><Relationship Id="rId1347" Type="http://schemas.openxmlformats.org/officeDocument/2006/relationships/hyperlink" Target="2010/Ass%20Eva%20Hig%20Edu35,%201.pdf" TargetMode="External"/><Relationship Id="rId1554" Type="http://schemas.openxmlformats.org/officeDocument/2006/relationships/hyperlink" Target="2014/BMC%20Can14,%20956.pdf" TargetMode="External"/><Relationship Id="rId1761" Type="http://schemas.openxmlformats.org/officeDocument/2006/relationships/hyperlink" Target="2014/BMJ%20Ope4,%20e005267.pdf" TargetMode="External"/><Relationship Id="rId1999" Type="http://schemas.openxmlformats.org/officeDocument/2006/relationships/hyperlink" Target="1994/Bri%20Med%20J309,%201482.pdf" TargetMode="External"/><Relationship Id="rId53" Type="http://schemas.openxmlformats.org/officeDocument/2006/relationships/hyperlink" Target="1992/Aca%20Man%20J35,%20921.pdf" TargetMode="External"/><Relationship Id="rId1207" Type="http://schemas.openxmlformats.org/officeDocument/2006/relationships/hyperlink" Target="2009/Arc%20Imm%20The%20Exp57,%2019.pdf" TargetMode="External"/><Relationship Id="rId1414" Type="http://schemas.openxmlformats.org/officeDocument/2006/relationships/hyperlink" Target="2014/Aus%20Occ%20The%20J61,%2038.pdf" TargetMode="External"/><Relationship Id="rId1621" Type="http://schemas.openxmlformats.org/officeDocument/2006/relationships/hyperlink" Target="2014/BMC%20Med%20Edu14,%20243.pdf" TargetMode="External"/><Relationship Id="rId1859" Type="http://schemas.openxmlformats.org/officeDocument/2006/relationships/hyperlink" Target="2010/Bri%20J%20Ana105,%20721.pdf" TargetMode="External"/><Relationship Id="rId1719" Type="http://schemas.openxmlformats.org/officeDocument/2006/relationships/hyperlink" Target="2014/BMC%20Pub%20Hea14,%20589.pdf" TargetMode="External"/><Relationship Id="rId1926" Type="http://schemas.openxmlformats.org/officeDocument/2006/relationships/hyperlink" Target="2003/Bri%20J%20Psy183,%203.pdf" TargetMode="External"/><Relationship Id="rId2090" Type="http://schemas.openxmlformats.org/officeDocument/2006/relationships/hyperlink" Target="http://e48.cnki.net/KNS50/Navi/item.aspx?NaviID=1&amp;BaseID=JSYX&amp;NaviLink=%e5%86%9b%e4%ba%8b%e5%8c%bb%e5%ad%a6%e7%a7%91%e5%ad%a6%e9%99%a2%e9%99%a2%e5%88%8a" TargetMode="External"/><Relationship Id="rId367" Type="http://schemas.openxmlformats.org/officeDocument/2006/relationships/hyperlink" Target="2014/Ali%20Pha%20The39,%20239.pdf" TargetMode="External"/><Relationship Id="rId574" Type="http://schemas.openxmlformats.org/officeDocument/2006/relationships/hyperlink" Target="2006/Ame%20J%20Ort%20Den%20Ort130,%20700.pdf" TargetMode="External"/><Relationship Id="rId2048" Type="http://schemas.openxmlformats.org/officeDocument/2006/relationships/hyperlink" Target="2008/Bri%20Med%20J336,%20789.pdf" TargetMode="External"/><Relationship Id="rId227" Type="http://schemas.openxmlformats.org/officeDocument/2006/relationships/hyperlink" Target="http://www.blackwell-synergy.com/servlet/useragent?func=showIssues&amp;code=add" TargetMode="External"/><Relationship Id="rId781" Type="http://schemas.openxmlformats.org/officeDocument/2006/relationships/hyperlink" Target="2008/Ang%20Ort78,%20145.pdf" TargetMode="External"/><Relationship Id="rId879" Type="http://schemas.openxmlformats.org/officeDocument/2006/relationships/hyperlink" Target="2010/Ann%20Int%20Med153,%20128.pdf" TargetMode="External"/><Relationship Id="rId434" Type="http://schemas.openxmlformats.org/officeDocument/2006/relationships/hyperlink" Target="2008/Ame%20J%20Cli%20Nut88,%201167.pdf" TargetMode="External"/><Relationship Id="rId641" Type="http://schemas.openxmlformats.org/officeDocument/2006/relationships/hyperlink" Target="2011/Ame%20J%20Roe196,%201065.pdf" TargetMode="External"/><Relationship Id="rId739" Type="http://schemas.openxmlformats.org/officeDocument/2006/relationships/hyperlink" Target="http://www.springeronline.com/sgw/cda/frontpage/0,11855,5-175-70-1023710-0,00.html" TargetMode="External"/><Relationship Id="rId1064" Type="http://schemas.openxmlformats.org/officeDocument/2006/relationships/hyperlink" Target="2011/Aquichan11,%2094.pdf" TargetMode="External"/><Relationship Id="rId1271" Type="http://schemas.openxmlformats.org/officeDocument/2006/relationships/hyperlink" Target="2011/Asi%20J%20Che-Khan-1.pdf" TargetMode="External"/><Relationship Id="rId1369" Type="http://schemas.openxmlformats.org/officeDocument/2006/relationships/hyperlink" Target="2012/Aus%20Pla%20Pat41,%20179.pdf" TargetMode="External"/><Relationship Id="rId1576" Type="http://schemas.openxmlformats.org/officeDocument/2006/relationships/hyperlink" Target="2015/BMC%20Ger15,%2031.pdf" TargetMode="External"/><Relationship Id="rId2115" Type="http://schemas.openxmlformats.org/officeDocument/2006/relationships/hyperlink" Target="1996/Bul%20Med%20Lib%20Ass84,%20359.pdf" TargetMode="External"/><Relationship Id="rId501" Type="http://schemas.openxmlformats.org/officeDocument/2006/relationships/hyperlink" Target="http://weblinks1.epnet.com/authHjafDetail.asp?tb=1&amp;_ua=bo+B%5F+db+bmhjnh+bt+ID++1WZ+DE7F&amp;_ug=sid+7FB2CCF2%2D1778%2D4BEA%2D92DA%2D92C2C2F5A66F%40sessionmgr2+dbs+bmh+9F46&amp;_us=hd+True+sm+ES+4DBA&amp;_uso=st%5B0+%2DID++1WZ+tg%5B0+%2D+db%5B0+%2Dbmh+op%5B0+" TargetMode="External"/><Relationship Id="rId946" Type="http://schemas.openxmlformats.org/officeDocument/2006/relationships/hyperlink" Target="http://www.springerlink.com/content/100498/?p=6b9b036563c24323bd77bcc2865b0f4e&amp;pi=0" TargetMode="External"/><Relationship Id="rId1131" Type="http://schemas.openxmlformats.org/officeDocument/2006/relationships/hyperlink" Target="1996/Arc%20Int%20Med156,%20661.pdf" TargetMode="External"/><Relationship Id="rId1229" Type="http://schemas.openxmlformats.org/officeDocument/2006/relationships/hyperlink" Target="2014/Arq%20Bra%20Car102,%20345.pdf" TargetMode="External"/><Relationship Id="rId1783" Type="http://schemas.openxmlformats.org/officeDocument/2006/relationships/hyperlink" Target="2010/Bol%20Mal%20Sal%20Amb50,%20161.pdf" TargetMode="External"/><Relationship Id="rId1990" Type="http://schemas.openxmlformats.org/officeDocument/2006/relationships/hyperlink" Target="1992/Bri%20Med%20J305,%20420.pdf" TargetMode="External"/><Relationship Id="rId75" Type="http://schemas.openxmlformats.org/officeDocument/2006/relationships/hyperlink" Target="2001/ACIMED9S,%2042.pdf" TargetMode="External"/><Relationship Id="rId806" Type="http://schemas.openxmlformats.org/officeDocument/2006/relationships/hyperlink" Target="2011/Ann%20Phy523,%20179.pdf" TargetMode="External"/><Relationship Id="rId1436" Type="http://schemas.openxmlformats.org/officeDocument/2006/relationships/hyperlink" Target="http://yayinlar.yesevi.edu.tr/index.php?menu_id=55&amp;Itemid=48" TargetMode="External"/><Relationship Id="rId1643" Type="http://schemas.openxmlformats.org/officeDocument/2006/relationships/hyperlink" Target="2014/BMC%20Med%20Res%20Met14,%20126.pdf" TargetMode="External"/><Relationship Id="rId1850" Type="http://schemas.openxmlformats.org/officeDocument/2006/relationships/hyperlink" Target="2000/Bri%20Den%20J189,%201.pdf" TargetMode="External"/><Relationship Id="rId1503" Type="http://schemas.openxmlformats.org/officeDocument/2006/relationships/hyperlink" Target="2009/Bio%20Adv27,%201.pdf" TargetMode="External"/><Relationship Id="rId1710" Type="http://schemas.openxmlformats.org/officeDocument/2006/relationships/hyperlink" Target="2013/BMC%20Pub%20Hea13,%201127.pdf" TargetMode="External"/><Relationship Id="rId1948" Type="http://schemas.openxmlformats.org/officeDocument/2006/relationships/hyperlink" Target="2014/Bri%20J%20Spo%20Med48,%20417.pdf" TargetMode="External"/><Relationship Id="rId291" Type="http://schemas.openxmlformats.org/officeDocument/2006/relationships/hyperlink" Target="2010/Afr%20J%20Bus%20Man-Chang.pdf" TargetMode="External"/><Relationship Id="rId1808" Type="http://schemas.openxmlformats.org/officeDocument/2006/relationships/hyperlink" Target="2004/Bra%20Res%20Bul64,%20285.pdf" TargetMode="External"/><Relationship Id="rId151" Type="http://schemas.openxmlformats.org/officeDocument/2006/relationships/hyperlink" Target="2011/Act%20Obs%20Gyn%20Sca90,%201307.pdf" TargetMode="External"/><Relationship Id="rId389" Type="http://schemas.openxmlformats.org/officeDocument/2006/relationships/hyperlink" Target="http://proquest.umi.com/pqdweb?RQT=318&amp;pmid=66158" TargetMode="External"/><Relationship Id="rId596" Type="http://schemas.openxmlformats.org/officeDocument/2006/relationships/hyperlink" Target="2009/Ame%20J%20Pre%20Med37,%20455.pdf" TargetMode="External"/><Relationship Id="rId249" Type="http://schemas.openxmlformats.org/officeDocument/2006/relationships/hyperlink" Target="2010/Adv%20Mat22,%201428.pdf" TargetMode="External"/><Relationship Id="rId456" Type="http://schemas.openxmlformats.org/officeDocument/2006/relationships/hyperlink" Target="2005/Ame%20J%20Epi162,%201.pdf" TargetMode="External"/><Relationship Id="rId663" Type="http://schemas.openxmlformats.org/officeDocument/2006/relationships/hyperlink" Target="1982/Ame%20Psy37,%20975.pdf" TargetMode="External"/><Relationship Id="rId870" Type="http://schemas.openxmlformats.org/officeDocument/2006/relationships/hyperlink" Target="2009/Ann%20Int%20Med150,%20784.pdf" TargetMode="External"/><Relationship Id="rId1086" Type="http://schemas.openxmlformats.org/officeDocument/2006/relationships/hyperlink" Target="1999/Arc%20Der135,%20299.pdf" TargetMode="External"/><Relationship Id="rId1293" Type="http://schemas.openxmlformats.org/officeDocument/2006/relationships/hyperlink" Target="2013/Asi%20Pac%20J%20Can%20Pre14,%207271.pdf" TargetMode="External"/><Relationship Id="rId2137" Type="http://schemas.openxmlformats.org/officeDocument/2006/relationships/hyperlink" Target="1999/Bul%20Med%20Lib%20Ass87,%20305.pdf" TargetMode="External"/><Relationship Id="rId109" Type="http://schemas.openxmlformats.org/officeDocument/2006/relationships/hyperlink" Target="2011/Act%20Bio17,%20115.pdf" TargetMode="External"/><Relationship Id="rId316" Type="http://schemas.openxmlformats.org/officeDocument/2006/relationships/hyperlink" Target="2010/Age%20Age39,%20294.pdf" TargetMode="External"/><Relationship Id="rId523" Type="http://schemas.openxmlformats.org/officeDocument/2006/relationships/hyperlink" Target="http://uk.jstor.org/journals/00029327.html" TargetMode="External"/><Relationship Id="rId968" Type="http://schemas.openxmlformats.org/officeDocument/2006/relationships/hyperlink" Target="http://www.springerlink.com/content/112644/?p=bd29d5e4c6a34ac3aef8beca72fa4420&amp;pi=0" TargetMode="External"/><Relationship Id="rId1153" Type="http://schemas.openxmlformats.org/officeDocument/2006/relationships/hyperlink" Target="2009/Arc%20Oph127,%20204.pdf" TargetMode="External"/><Relationship Id="rId1598" Type="http://schemas.openxmlformats.org/officeDocument/2006/relationships/hyperlink" Target="2014/BMC%20Hea%20Ser%20Res14,%20621.pdf" TargetMode="External"/><Relationship Id="rId97" Type="http://schemas.openxmlformats.org/officeDocument/2006/relationships/hyperlink" Target="2003/Act%20Ana%20Sca47,%20655.pdf" TargetMode="External"/><Relationship Id="rId730" Type="http://schemas.openxmlformats.org/officeDocument/2006/relationships/hyperlink" Target="2014/Ana%20Aca%20Bra%20Cie86,%201873.pdf" TargetMode="External"/><Relationship Id="rId828" Type="http://schemas.openxmlformats.org/officeDocument/2006/relationships/hyperlink" Target="http://www.swetswise.com/eAccess/viewTitleIssues.do?titleID=11319" TargetMode="External"/><Relationship Id="rId1013" Type="http://schemas.openxmlformats.org/officeDocument/2006/relationships/hyperlink" Target="1996/Ant%20Age%20Che40,%202363.pdf" TargetMode="External"/><Relationship Id="rId1360" Type="http://schemas.openxmlformats.org/officeDocument/2006/relationships/hyperlink" Target="http://www.sciencedirect.com/science/journal/01698095" TargetMode="External"/><Relationship Id="rId1458" Type="http://schemas.openxmlformats.org/officeDocument/2006/relationships/hyperlink" Target="2010/Bioessays32,%20744.pdf" TargetMode="External"/><Relationship Id="rId1665" Type="http://schemas.openxmlformats.org/officeDocument/2006/relationships/hyperlink" Target="2014/BMC%20Neu14,%2013.pdf" TargetMode="External"/><Relationship Id="rId1872" Type="http://schemas.openxmlformats.org/officeDocument/2006/relationships/hyperlink" Target="2005/Bri%20J%20Cli%20Pha59,%20108.pdf" TargetMode="External"/><Relationship Id="rId1220" Type="http://schemas.openxmlformats.org/officeDocument/2006/relationships/hyperlink" Target="2011/Arq%20Bra%20Car96,%2090.pdf" TargetMode="External"/><Relationship Id="rId1318" Type="http://schemas.openxmlformats.org/officeDocument/2006/relationships/hyperlink" Target="2003/Asl%20Pro55,%2032.pdf" TargetMode="External"/><Relationship Id="rId1525" Type="http://schemas.openxmlformats.org/officeDocument/2006/relationships/hyperlink" Target="2006/BJU%20Int98,%201122.pdf" TargetMode="External"/><Relationship Id="rId1732" Type="http://schemas.openxmlformats.org/officeDocument/2006/relationships/hyperlink" Target="2013/Bri%20Med%20J347,%20f6879.pdf" TargetMode="External"/><Relationship Id="rId24" Type="http://schemas.openxmlformats.org/officeDocument/2006/relationships/hyperlink" Target="http://gateway.uk.ovid.com/gw1/ovidweb.cgi?QS2=434f4e1a73d37e8c9b1d8364a39cea98d7a231784ab6e6622d142fb5dd8e55726a4758d8badbf3eb482e3899230a7b57c9646d5150c7b8396d49369e9fe8ac7f5acb97d730f9a33c7f45d06a4c8bd871b22b42f24d17a714bd7edcf9a404d5fa5e18eb2db44ad8f56" TargetMode="External"/><Relationship Id="rId173" Type="http://schemas.openxmlformats.org/officeDocument/2006/relationships/hyperlink" Target="http://haly.ingentaselect.com/vl=4964193/cl=59/nw=1/rpsv/catchword/tandf/08035253/m_cp1-1.htm" TargetMode="External"/><Relationship Id="rId380" Type="http://schemas.openxmlformats.org/officeDocument/2006/relationships/hyperlink" Target="2011/Allergy66,%20740.pdf" TargetMode="External"/><Relationship Id="rId2061" Type="http://schemas.openxmlformats.org/officeDocument/2006/relationships/hyperlink" Target="2010/Bri%20Med%20J341,%20c7017.pdf" TargetMode="External"/><Relationship Id="rId240" Type="http://schemas.openxmlformats.org/officeDocument/2006/relationships/hyperlink" Target="2011/Adicciones23,%20165.pdf" TargetMode="External"/><Relationship Id="rId478" Type="http://schemas.openxmlformats.org/officeDocument/2006/relationships/hyperlink" Target="2011/Ame%20J%20Gas106,%20699.pdf" TargetMode="External"/><Relationship Id="rId685" Type="http://schemas.openxmlformats.org/officeDocument/2006/relationships/hyperlink" Target="1960-80/Ame%20Sta17,%2025.pdf" TargetMode="External"/><Relationship Id="rId892" Type="http://schemas.openxmlformats.org/officeDocument/2006/relationships/hyperlink" Target="2014/Ann%20Int%20Med160,%20542.pdf" TargetMode="External"/><Relationship Id="rId2159" Type="http://schemas.openxmlformats.org/officeDocument/2006/relationships/hyperlink" Target="2015/Burns41,%20502.pdf" TargetMode="External"/><Relationship Id="rId100" Type="http://schemas.openxmlformats.org/officeDocument/2006/relationships/hyperlink" Target="2013/Act%20Ana%20Sca57,%201058.pdf" TargetMode="External"/><Relationship Id="rId338" Type="http://schemas.openxmlformats.org/officeDocument/2006/relationships/hyperlink" Target="2005/AIDS%20Care17,%20273.pdf" TargetMode="External"/><Relationship Id="rId545" Type="http://schemas.openxmlformats.org/officeDocument/2006/relationships/hyperlink" Target="2010/Ame%20J%20Neu31,%201853.pdf" TargetMode="External"/><Relationship Id="rId752" Type="http://schemas.openxmlformats.org/officeDocument/2006/relationships/hyperlink" Target="1994/Ana%20Pro31,%20141.pdf" TargetMode="External"/><Relationship Id="rId1175" Type="http://schemas.openxmlformats.org/officeDocument/2006/relationships/hyperlink" Target="2010/Arc%20Phy%20Med%20Reh91,%201961.pdf" TargetMode="External"/><Relationship Id="rId1382" Type="http://schemas.openxmlformats.org/officeDocument/2006/relationships/hyperlink" Target="2013/Aus%20J%20Rur%20Hea21,%20141.pdf" TargetMode="External"/><Relationship Id="rId2019" Type="http://schemas.openxmlformats.org/officeDocument/2006/relationships/hyperlink" Target="2000/Bri%20Med%20J321,%20300.pdf" TargetMode="External"/><Relationship Id="rId405" Type="http://schemas.openxmlformats.org/officeDocument/2006/relationships/hyperlink" Target="2008/Ame%20Hea%20J156,%20901.pdf" TargetMode="External"/><Relationship Id="rId612" Type="http://schemas.openxmlformats.org/officeDocument/2006/relationships/hyperlink" Target="-1959/Ame%20J%20Psy60,%20284.pdf" TargetMode="External"/><Relationship Id="rId1035" Type="http://schemas.openxmlformats.org/officeDocument/2006/relationships/hyperlink" Target="2015/ANZ%20J%20Sur85,%2016.pdf" TargetMode="External"/><Relationship Id="rId1242" Type="http://schemas.openxmlformats.org/officeDocument/2006/relationships/hyperlink" Target="2014/Art-%20J%20Art%20Rel%20Sur30,%20747.pdf" TargetMode="External"/><Relationship Id="rId1687" Type="http://schemas.openxmlformats.org/officeDocument/2006/relationships/hyperlink" Target="2014/BMC%20Psy14,%20340.pdf" TargetMode="External"/><Relationship Id="rId1894" Type="http://schemas.openxmlformats.org/officeDocument/2006/relationships/hyperlink" Target="http://www3.interscience.wiley.com/journal/117956993/home" TargetMode="External"/><Relationship Id="rId917" Type="http://schemas.openxmlformats.org/officeDocument/2006/relationships/hyperlink" Target="2006/Ann%20Occ%20Hyg50,%20751.pdf" TargetMode="External"/><Relationship Id="rId1102" Type="http://schemas.openxmlformats.org/officeDocument/2006/relationships/hyperlink" Target="2008/Arc%20Env%20Occ%20Hea63,%20114.pdf" TargetMode="External"/><Relationship Id="rId1547" Type="http://schemas.openxmlformats.org/officeDocument/2006/relationships/hyperlink" Target="2014/BMC%20Can11,%20153.pdf" TargetMode="External"/><Relationship Id="rId1754" Type="http://schemas.openxmlformats.org/officeDocument/2006/relationships/hyperlink" Target="2014/BMJ%20Ope4,%20e004201.pdf" TargetMode="External"/><Relationship Id="rId1961" Type="http://schemas.openxmlformats.org/officeDocument/2006/relationships/hyperlink" Target="2008/Bri%20J%20Sur95,%201088.pdf" TargetMode="External"/><Relationship Id="rId46" Type="http://schemas.openxmlformats.org/officeDocument/2006/relationships/hyperlink" Target="http://www.sciencedirect.com/science?_ob=JournalURL&amp;_cdi=12985&amp;_auth=y&amp;_acct=C000048059&amp;_version=1&amp;_urlVersion=0&amp;_userid=1516938&amp;md5=8bd9f19ddd6355dc7c59958b0f664e22" TargetMode="External"/><Relationship Id="rId1407" Type="http://schemas.openxmlformats.org/officeDocument/2006/relationships/hyperlink" Target="2010/Aus%20New%20Zea%20J%20Pub%20Hea34,%20172.pdf" TargetMode="External"/><Relationship Id="rId1614" Type="http://schemas.openxmlformats.org/officeDocument/2006/relationships/hyperlink" Target="2014/BMC%20Inf%20Dis5,%2038.pdf" TargetMode="External"/><Relationship Id="rId1821" Type="http://schemas.openxmlformats.org/officeDocument/2006/relationships/hyperlink" Target="2006/Bra%20J%20Med%20Bio%20Res39,%20839.pdf" TargetMode="External"/><Relationship Id="rId195" Type="http://schemas.openxmlformats.org/officeDocument/2006/relationships/hyperlink" Target="2005/Act%20Psy%20Sca104,%20411.pdf" TargetMode="External"/><Relationship Id="rId1919" Type="http://schemas.openxmlformats.org/officeDocument/2006/relationships/hyperlink" Target="1997/Bri%20J%20Psy170,%20109.pdf" TargetMode="External"/><Relationship Id="rId2083" Type="http://schemas.openxmlformats.org/officeDocument/2006/relationships/hyperlink" Target="2013/Bri%20Med%20J347,%20f6471.pdf" TargetMode="External"/><Relationship Id="rId262" Type="http://schemas.openxmlformats.org/officeDocument/2006/relationships/hyperlink" Target="http://e29.cnki.net/KNS50/Navi/item.aspx?NaviID=1&amp;BaseID=DXJZ&amp;NaviLink=%e5%9c%b0%e7%90%83%e7%a7%91%e5%ad%a6%e8%bf%9b%e5%b1%95" TargetMode="External"/><Relationship Id="rId567" Type="http://schemas.openxmlformats.org/officeDocument/2006/relationships/hyperlink" Target="2007/Ame%20J%20Oph144,%20222.pdf" TargetMode="External"/><Relationship Id="rId1197" Type="http://schemas.openxmlformats.org/officeDocument/2006/relationships/hyperlink" Target="2009/Arc%20Bro45,%20561.pdf" TargetMode="External"/><Relationship Id="rId2150" Type="http://schemas.openxmlformats.org/officeDocument/2006/relationships/hyperlink" Target="2010/Burns36,%201157.pdf" TargetMode="External"/><Relationship Id="rId122" Type="http://schemas.openxmlformats.org/officeDocument/2006/relationships/hyperlink" Target="2003/Act%20Cli%20Bel58,%20152.pdf" TargetMode="External"/><Relationship Id="rId774" Type="http://schemas.openxmlformats.org/officeDocument/2006/relationships/hyperlink" Target="1995/Anesthesiology82,%20599.pdf" TargetMode="External"/><Relationship Id="rId981" Type="http://schemas.openxmlformats.org/officeDocument/2006/relationships/hyperlink" Target="http://www.annalsoftransplantation.com/" TargetMode="External"/><Relationship Id="rId1057" Type="http://schemas.openxmlformats.org/officeDocument/2006/relationships/hyperlink" Target="http://www.sciencedirect.com/science/journal/01689274" TargetMode="External"/><Relationship Id="rId2010" Type="http://schemas.openxmlformats.org/officeDocument/2006/relationships/hyperlink" Target="1997/Bri%20Med%20J314,%20832.pdf" TargetMode="External"/><Relationship Id="rId427" Type="http://schemas.openxmlformats.org/officeDocument/2006/relationships/hyperlink" Target="2015/Ame%20J%20Car115,%20972.pdf" TargetMode="External"/><Relationship Id="rId634" Type="http://schemas.openxmlformats.org/officeDocument/2006/relationships/hyperlink" Target="1994/Ame%20J%20Roe163,%20719.pdf" TargetMode="External"/><Relationship Id="rId841" Type="http://schemas.openxmlformats.org/officeDocument/2006/relationships/hyperlink" Target="2015/Ann%20Eme%20Med65,%20162.pdf" TargetMode="External"/><Relationship Id="rId1264" Type="http://schemas.openxmlformats.org/officeDocument/2006/relationships/hyperlink" Target="2009/Asi%20Bus%20Man8,%20461.pdf" TargetMode="External"/><Relationship Id="rId1471" Type="http://schemas.openxmlformats.org/officeDocument/2006/relationships/hyperlink" Target="2014/Bio%20Res%20Int2014,%20182303.pdf" TargetMode="External"/><Relationship Id="rId1569" Type="http://schemas.openxmlformats.org/officeDocument/2006/relationships/hyperlink" Target="2009/BMC%20Hea%20Ser%20Res9,%2076.pdf" TargetMode="External"/><Relationship Id="rId2108" Type="http://schemas.openxmlformats.org/officeDocument/2006/relationships/hyperlink" Target="1990/Bul%20Med%20Lib%20Ass78,%20339.pdf" TargetMode="External"/><Relationship Id="rId701" Type="http://schemas.openxmlformats.org/officeDocument/2006/relationships/hyperlink" Target="1995/Anaesthesia50,%201080.pdf" TargetMode="External"/><Relationship Id="rId939" Type="http://schemas.openxmlformats.org/officeDocument/2006/relationships/hyperlink" Target="2015/Ann%20Pha49,%20311.pdf" TargetMode="External"/><Relationship Id="rId1124" Type="http://schemas.openxmlformats.org/officeDocument/2006/relationships/hyperlink" Target="2011/Arc%20Gyn%20Obs283,%201175.pdf" TargetMode="External"/><Relationship Id="rId1331" Type="http://schemas.openxmlformats.org/officeDocument/2006/relationships/hyperlink" Target="2009/Asl%20Pro61,%2083.pdf" TargetMode="External"/><Relationship Id="rId1776" Type="http://schemas.openxmlformats.org/officeDocument/2006/relationships/hyperlink" Target="2011/BMJ%20Qua%20Saf20,%2038.pdf" TargetMode="External"/><Relationship Id="rId1983" Type="http://schemas.openxmlformats.org/officeDocument/2006/relationships/hyperlink" Target="1987/Bri%20Med%20J295,%20241.pdf" TargetMode="External"/><Relationship Id="rId68" Type="http://schemas.openxmlformats.org/officeDocument/2006/relationships/hyperlink" Target="http://www.ingentaconnect.com/content/routledg/rabf" TargetMode="External"/><Relationship Id="rId1429" Type="http://schemas.openxmlformats.org/officeDocument/2006/relationships/hyperlink" Target="1994/Beh%20Soc%20Sci%20Lib13,%2049.pdf" TargetMode="External"/><Relationship Id="rId1636" Type="http://schemas.openxmlformats.org/officeDocument/2006/relationships/hyperlink" Target="http://www.pubmedcentral.nih.gov/tocrender.fcgi?journal=43&amp;action=archive" TargetMode="External"/><Relationship Id="rId1843" Type="http://schemas.openxmlformats.org/officeDocument/2006/relationships/hyperlink" Target="2011/Bre%20Can%20Res%20Tre130,%20809.pdf" TargetMode="External"/><Relationship Id="rId1703" Type="http://schemas.openxmlformats.org/officeDocument/2006/relationships/hyperlink" Target="2011/BMC%20Pub%20Hea11,%20934.pdf" TargetMode="External"/><Relationship Id="rId1910" Type="http://schemas.openxmlformats.org/officeDocument/2006/relationships/hyperlink" Target="2014/Bri%20J%20Oph98,%20292.pdf" TargetMode="External"/><Relationship Id="rId284" Type="http://schemas.openxmlformats.org/officeDocument/2006/relationships/hyperlink" Target="2008/Afr%20J%20Bio7,%20342.pdf" TargetMode="External"/><Relationship Id="rId491" Type="http://schemas.openxmlformats.org/officeDocument/2006/relationships/hyperlink" Target="2007/Ame%20J%20Hea-Sys%20Pha64,%20830.pdf" TargetMode="External"/><Relationship Id="rId144" Type="http://schemas.openxmlformats.org/officeDocument/2006/relationships/hyperlink" Target="2013/Act%20Nat5,%206.pdf" TargetMode="External"/><Relationship Id="rId589" Type="http://schemas.openxmlformats.org/officeDocument/2006/relationships/hyperlink" Target="2001/Ame%20J%20Pre%20Med20,%2021.pdf" TargetMode="External"/><Relationship Id="rId796" Type="http://schemas.openxmlformats.org/officeDocument/2006/relationships/hyperlink" Target="http://onlinelibrary.wiley.com/journal/10.1002/(ISSN)1521-3889/issues" TargetMode="External"/><Relationship Id="rId351" Type="http://schemas.openxmlformats.org/officeDocument/2006/relationships/hyperlink" Target="2011/Alc%20Alc46,%2095.pdf" TargetMode="External"/><Relationship Id="rId449" Type="http://schemas.openxmlformats.org/officeDocument/2006/relationships/hyperlink" Target="2012/Ame%20J%20Eme%20Med30,%201530.pdf" TargetMode="External"/><Relationship Id="rId656" Type="http://schemas.openxmlformats.org/officeDocument/2006/relationships/hyperlink" Target="2009/Ame%20J%20Tra9,%20746.pdf" TargetMode="External"/><Relationship Id="rId863" Type="http://schemas.openxmlformats.org/officeDocument/2006/relationships/hyperlink" Target="2004/Ann%20Int%20Med141,%20805.pdf" TargetMode="External"/><Relationship Id="rId1079" Type="http://schemas.openxmlformats.org/officeDocument/2006/relationships/hyperlink" Target="2011/Arc%20Bud7,%20159.pdf" TargetMode="External"/><Relationship Id="rId1286" Type="http://schemas.openxmlformats.org/officeDocument/2006/relationships/hyperlink" Target="2013/Asi%20Pac%20J%20Can%20Pre14,%204195.pdf" TargetMode="External"/><Relationship Id="rId1493" Type="http://schemas.openxmlformats.org/officeDocument/2006/relationships/hyperlink" Target="2015/Bio%20Pap-Olo159,%2044.pdf" TargetMode="External"/><Relationship Id="rId2032" Type="http://schemas.openxmlformats.org/officeDocument/2006/relationships/hyperlink" Target="2003/Bri%20Med%20J326,%20931.pdf" TargetMode="External"/><Relationship Id="rId211" Type="http://schemas.openxmlformats.org/officeDocument/2006/relationships/hyperlink" Target="2006/Act%20Sto%20Cro40,%20218.pdf" TargetMode="External"/><Relationship Id="rId309" Type="http://schemas.openxmlformats.org/officeDocument/2006/relationships/hyperlink" Target="2004/Age%20Age33,%20110.pdf" TargetMode="External"/><Relationship Id="rId516" Type="http://schemas.openxmlformats.org/officeDocument/2006/relationships/hyperlink" Target="2014/Ame%20J%20Inf%20Con42,%201212.pdf" TargetMode="External"/><Relationship Id="rId1146" Type="http://schemas.openxmlformats.org/officeDocument/2006/relationships/hyperlink" Target="2007/Arc%20Neu64,%201696.pdf" TargetMode="External"/><Relationship Id="rId1798" Type="http://schemas.openxmlformats.org/officeDocument/2006/relationships/hyperlink" Target="2008/Brain131,%20318.pdf" TargetMode="External"/><Relationship Id="rId723" Type="http://schemas.openxmlformats.org/officeDocument/2006/relationships/hyperlink" Target="2005/Anaesthesist54,%201094.pdf" TargetMode="External"/><Relationship Id="rId930" Type="http://schemas.openxmlformats.org/officeDocument/2006/relationships/hyperlink" Target="2007/Ann%20Pha41,%201694.pdf" TargetMode="External"/><Relationship Id="rId1006" Type="http://schemas.openxmlformats.org/officeDocument/2006/relationships/hyperlink" Target="1993/Ant%20Age%20Che37,%202584.pdf" TargetMode="External"/><Relationship Id="rId1353" Type="http://schemas.openxmlformats.org/officeDocument/2006/relationships/hyperlink" Target="2009/Atherosclerosis207,%20311.pdf" TargetMode="External"/><Relationship Id="rId1560" Type="http://schemas.openxmlformats.org/officeDocument/2006/relationships/hyperlink" Target="2014/BMC%20Com%20Alt%20Med14,%20362.pdf" TargetMode="External"/><Relationship Id="rId1658" Type="http://schemas.openxmlformats.org/officeDocument/2006/relationships/hyperlink" Target="2013/BMC%20Mus%20Dis14,%20306.pdf" TargetMode="External"/><Relationship Id="rId1865" Type="http://schemas.openxmlformats.org/officeDocument/2006/relationships/hyperlink" Target="2012/Bri%20J%20Ana108,%20165.pdf" TargetMode="External"/><Relationship Id="rId1213" Type="http://schemas.openxmlformats.org/officeDocument/2006/relationships/hyperlink" Target="2011/Area43,%20463.pdf" TargetMode="External"/><Relationship Id="rId1420" Type="http://schemas.openxmlformats.org/officeDocument/2006/relationships/hyperlink" Target="2009/Bas%20App%20Eco10,%20393.pdf" TargetMode="External"/><Relationship Id="rId1518" Type="http://schemas.openxmlformats.org/officeDocument/2006/relationships/hyperlink" Target="2011/BJOG118,%201411.pdf" TargetMode="External"/><Relationship Id="rId1725" Type="http://schemas.openxmlformats.org/officeDocument/2006/relationships/hyperlink" Target="2014/BMC%20Pub%20Hea14,%201301.pdf" TargetMode="External"/><Relationship Id="rId1932" Type="http://schemas.openxmlformats.org/officeDocument/2006/relationships/hyperlink" Target="2007/Bri%20J%20Psy190,%20314.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2AE16-1C71-41A6-BD9D-5FB2CC33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2048</Pages>
  <Words>704131</Words>
  <Characters>4013548</Characters>
  <Application>Microsoft Office Word</Application>
  <DocSecurity>0</DocSecurity>
  <Lines>33446</Lines>
  <Paragraphs>9416</Paragraphs>
  <ScaleCrop>false</ScaleCrop>
  <Company/>
  <LinksUpToDate>false</LinksUpToDate>
  <CharactersWithSpaces>4708263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Yuh-Shan Ho</dc:creator>
  <cp:lastModifiedBy>YSHo</cp:lastModifiedBy>
  <cp:revision>6</cp:revision>
  <dcterms:created xsi:type="dcterms:W3CDTF">2015-05-20T05:56:00Z</dcterms:created>
  <dcterms:modified xsi:type="dcterms:W3CDTF">2015-05-30T21:41:00Z</dcterms:modified>
</cp:coreProperties>
</file>